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8B2E1" w14:textId="77777777" w:rsidR="00400209" w:rsidRDefault="00400209" w:rsidP="00400209">
      <w:pPr>
        <w:jc w:val="center"/>
        <w:rPr>
          <w:b/>
          <w:bCs/>
          <w:sz w:val="56"/>
          <w:szCs w:val="56"/>
        </w:rPr>
      </w:pPr>
      <w:r>
        <w:rPr>
          <w:b/>
          <w:bCs/>
          <w:sz w:val="56"/>
          <w:szCs w:val="56"/>
        </w:rPr>
        <w:t>Philologisch-Exegetischer Kommentar</w:t>
      </w:r>
    </w:p>
    <w:p w14:paraId="085314C5" w14:textId="77777777" w:rsidR="00400209" w:rsidRDefault="00400209" w:rsidP="00400209">
      <w:pPr>
        <w:jc w:val="center"/>
        <w:rPr>
          <w:b/>
          <w:bCs/>
          <w:sz w:val="16"/>
          <w:szCs w:val="16"/>
        </w:rPr>
      </w:pPr>
    </w:p>
    <w:p w14:paraId="7650716D" w14:textId="77777777" w:rsidR="00400209" w:rsidRDefault="00400209" w:rsidP="00400209">
      <w:pPr>
        <w:jc w:val="center"/>
        <w:rPr>
          <w:b/>
          <w:bCs/>
          <w:sz w:val="56"/>
          <w:szCs w:val="56"/>
        </w:rPr>
      </w:pPr>
      <w:r>
        <w:rPr>
          <w:b/>
          <w:bCs/>
          <w:sz w:val="56"/>
          <w:szCs w:val="56"/>
        </w:rPr>
        <w:t xml:space="preserve">Tanach-Deutsch </w:t>
      </w:r>
    </w:p>
    <w:p w14:paraId="071C54B8" w14:textId="77777777" w:rsidR="00400209" w:rsidRDefault="00400209" w:rsidP="00400209">
      <w:pPr>
        <w:jc w:val="center"/>
        <w:rPr>
          <w:b/>
          <w:bCs/>
        </w:rPr>
      </w:pPr>
    </w:p>
    <w:p w14:paraId="3326245A" w14:textId="1B5206FD" w:rsidR="00A739DA" w:rsidRDefault="00400209" w:rsidP="00400209">
      <w:pPr>
        <w:jc w:val="center"/>
        <w:rPr>
          <w:b/>
          <w:bCs/>
          <w:sz w:val="56"/>
          <w:szCs w:val="56"/>
        </w:rPr>
      </w:pPr>
      <w:r>
        <w:rPr>
          <w:b/>
          <w:bCs/>
          <w:sz w:val="56"/>
          <w:szCs w:val="56"/>
        </w:rPr>
        <w:t>Deuteronomium</w:t>
      </w:r>
    </w:p>
    <w:p w14:paraId="34E2D461" w14:textId="7CFA571D" w:rsidR="00400209" w:rsidRDefault="00400209" w:rsidP="00400209">
      <w:pPr>
        <w:jc w:val="center"/>
        <w:rPr>
          <w:b/>
          <w:bCs/>
          <w:sz w:val="56"/>
          <w:szCs w:val="56"/>
        </w:rPr>
      </w:pPr>
    </w:p>
    <w:p w14:paraId="6FACC748" w14:textId="77777777" w:rsidR="00394F78" w:rsidRPr="00394F78" w:rsidRDefault="00394F78" w:rsidP="00394F78">
      <w:pPr>
        <w:spacing w:before="100" w:beforeAutospacing="1" w:after="100" w:afterAutospacing="1" w:line="240" w:lineRule="auto"/>
        <w:outlineLvl w:val="1"/>
        <w:rPr>
          <w:rFonts w:eastAsia="Times New Roman"/>
          <w:b/>
          <w:bCs/>
          <w:sz w:val="36"/>
          <w:szCs w:val="36"/>
          <w:lang w:eastAsia="de-DE"/>
        </w:rPr>
      </w:pPr>
      <w:r w:rsidRPr="00394F78">
        <w:rPr>
          <w:rFonts w:eastAsia="Times New Roman"/>
          <w:b/>
          <w:bCs/>
          <w:sz w:val="36"/>
          <w:szCs w:val="36"/>
          <w:lang w:eastAsia="de-DE"/>
        </w:rPr>
        <w:t>Deuteronomium 1,1</w:t>
      </w:r>
    </w:p>
    <w:p w14:paraId="5265F5AA" w14:textId="77777777"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b/>
          <w:bCs/>
          <w:lang w:eastAsia="de-DE"/>
        </w:rPr>
        <w:t>Hebräisch:</w:t>
      </w:r>
      <w:r w:rsidRPr="00394F78">
        <w:rPr>
          <w:rFonts w:eastAsia="Times New Roman"/>
          <w:lang w:eastAsia="de-DE"/>
        </w:rPr>
        <w:t xml:space="preserve"> </w:t>
      </w:r>
      <w:r w:rsidRPr="00394F78">
        <w:rPr>
          <w:rFonts w:eastAsia="Times New Roman"/>
          <w:rtl/>
          <w:lang w:eastAsia="de-DE"/>
        </w:rPr>
        <w:t>אֵ֣לֶּה הַדְּבָרִ֗ים אֲשֶׁ֨ר דִּבֶּ֤ר מֹשֶׁה֙ אֶל־כָּל־יִשְׂרָאֵ֔ל בְּעֵ֖בֶר הַיַּרְדֵּ֑ן בַּמִּדְבָּ֡ר בָּֽעֲרָבָה֩ מ֨וֹל ס֜וּף בֵּֽין־פָּארָ֧ן וּבֵֽין־תֹּ֛פֶל וְלָבָ֥ן וַחֲצֵרֹ֖ת וְדִ֥י זָהָֽב׃</w:t>
      </w:r>
    </w:p>
    <w:p w14:paraId="2C8E52CD" w14:textId="77777777"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b/>
          <w:bCs/>
          <w:lang w:eastAsia="de-DE"/>
        </w:rPr>
        <w:t>Deutsch:</w:t>
      </w:r>
      <w:r w:rsidRPr="00394F78">
        <w:rPr>
          <w:rFonts w:eastAsia="Times New Roman"/>
          <w:lang w:eastAsia="de-DE"/>
        </w:rPr>
        <w:t xml:space="preserve"> Dies sind die Worte, die Mosche zu ganz Jisra'el redete jenseits des Jardens in der Wüste, in der Arava gegenüber Suph, zwischen Paran und Tophel und Lavan und Chazerot und Di-Sahav.</w:t>
      </w:r>
    </w:p>
    <w:p w14:paraId="6B0B465B" w14:textId="77777777" w:rsidR="00394F78" w:rsidRPr="00394F78" w:rsidRDefault="004F5CEB" w:rsidP="00394F78">
      <w:pPr>
        <w:spacing w:after="0" w:line="240" w:lineRule="auto"/>
        <w:rPr>
          <w:rFonts w:eastAsia="Times New Roman"/>
          <w:lang w:eastAsia="de-DE"/>
        </w:rPr>
      </w:pPr>
      <w:r>
        <w:rPr>
          <w:rFonts w:eastAsia="Times New Roman"/>
          <w:noProof/>
          <w:lang w:eastAsia="de-DE"/>
        </w:rPr>
        <w:pict w14:anchorId="1B00747F">
          <v:rect id="_x0000_i1025" style="width:0;height:1.5pt" o:hralign="center" o:hrstd="t" o:hr="t" fillcolor="#a0a0a0" stroked="f"/>
        </w:pict>
      </w:r>
    </w:p>
    <w:p w14:paraId="2A9700A1" w14:textId="4CD09580"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b/>
          <w:bCs/>
          <w:lang w:eastAsia="de-DE"/>
        </w:rPr>
        <w:t>Kommentar:</w:t>
      </w:r>
      <w:r w:rsidRPr="00394F78">
        <w:rPr>
          <w:rFonts w:eastAsia="Times New Roman"/>
          <w:lang w:eastAsia="de-DE"/>
        </w:rPr>
        <w:t xml:space="preserve"> </w:t>
      </w:r>
      <w:r w:rsidRPr="00394F78">
        <w:rPr>
          <w:rFonts w:eastAsia="Times New Roman"/>
          <w:b/>
          <w:bCs/>
          <w:rtl/>
          <w:lang w:eastAsia="de-DE"/>
        </w:rPr>
        <w:t>אֵלֶּה</w:t>
      </w:r>
      <w:r w:rsidRPr="00394F78">
        <w:rPr>
          <w:rFonts w:eastAsia="Times New Roman"/>
          <w:rtl/>
          <w:lang w:eastAsia="de-DE"/>
        </w:rPr>
        <w:t xml:space="preserve"> </w:t>
      </w:r>
      <w:r w:rsidRPr="00394F78">
        <w:rPr>
          <w:rFonts w:eastAsia="Times New Roman"/>
          <w:lang w:eastAsia="de-DE"/>
        </w:rPr>
        <w:t xml:space="preserve">ist ein hinweisendes Demonstrativpronomen im Plural („diese"), das als Subjekt des Nominalsatzes fungiert und die nachfolgende Rede einleitet. </w:t>
      </w:r>
      <w:r w:rsidRPr="00394F78">
        <w:rPr>
          <w:rFonts w:eastAsia="Times New Roman"/>
          <w:b/>
          <w:bCs/>
          <w:rtl/>
          <w:lang w:eastAsia="de-DE"/>
        </w:rPr>
        <w:t>הַדְּבָרִים</w:t>
      </w:r>
      <w:r w:rsidRPr="00394F78">
        <w:rPr>
          <w:rFonts w:eastAsia="Times New Roman"/>
          <w:rtl/>
          <w:lang w:eastAsia="de-DE"/>
        </w:rPr>
        <w:t xml:space="preserve"> </w:t>
      </w:r>
      <w:r w:rsidRPr="00394F78">
        <w:rPr>
          <w:rFonts w:eastAsia="Times New Roman"/>
          <w:lang w:eastAsia="de-DE"/>
        </w:rPr>
        <w:t xml:space="preserve">(„die Worte") ist ein maskulines Substantiv im Plural mit bestimmtem Artikel, das in Apposition zu </w:t>
      </w:r>
      <w:r w:rsidRPr="00394F78">
        <w:rPr>
          <w:rFonts w:eastAsia="Times New Roman"/>
          <w:b/>
          <w:bCs/>
          <w:rtl/>
          <w:lang w:eastAsia="de-DE"/>
        </w:rPr>
        <w:t>אֵלֶּה</w:t>
      </w:r>
      <w:r w:rsidRPr="00394F78">
        <w:rPr>
          <w:rFonts w:eastAsia="Times New Roman"/>
          <w:rtl/>
          <w:lang w:eastAsia="de-DE"/>
        </w:rPr>
        <w:t xml:space="preserve"> </w:t>
      </w:r>
      <w:r w:rsidRPr="00394F78">
        <w:rPr>
          <w:rFonts w:eastAsia="Times New Roman"/>
          <w:lang w:eastAsia="de-DE"/>
        </w:rPr>
        <w:t xml:space="preserve">steht. Der Relativsatz wird durch </w:t>
      </w:r>
      <w:r w:rsidRPr="00394F78">
        <w:rPr>
          <w:rFonts w:eastAsia="Times New Roman"/>
          <w:b/>
          <w:bCs/>
          <w:rtl/>
          <w:lang w:eastAsia="de-DE"/>
        </w:rPr>
        <w:t>אֲשֶׁר</w:t>
      </w:r>
      <w:r w:rsidRPr="00394F78">
        <w:rPr>
          <w:rFonts w:eastAsia="Times New Roman"/>
          <w:rtl/>
          <w:lang w:eastAsia="de-DE"/>
        </w:rPr>
        <w:t xml:space="preserve"> </w:t>
      </w:r>
      <w:r w:rsidRPr="00394F78">
        <w:rPr>
          <w:rFonts w:eastAsia="Times New Roman"/>
          <w:lang w:eastAsia="de-DE"/>
        </w:rPr>
        <w:t xml:space="preserve">eingeleitet, ein Relativpronomen, das sich auf </w:t>
      </w:r>
      <w:r w:rsidRPr="00394F78">
        <w:rPr>
          <w:rFonts w:eastAsia="Times New Roman"/>
          <w:b/>
          <w:bCs/>
          <w:rtl/>
          <w:lang w:eastAsia="de-DE"/>
        </w:rPr>
        <w:t>הַדְּבָרִים</w:t>
      </w:r>
      <w:r w:rsidRPr="00394F78">
        <w:rPr>
          <w:rFonts w:eastAsia="Times New Roman"/>
          <w:rtl/>
          <w:lang w:eastAsia="de-DE"/>
        </w:rPr>
        <w:t xml:space="preserve"> </w:t>
      </w:r>
      <w:r w:rsidRPr="00394F78">
        <w:rPr>
          <w:rFonts w:eastAsia="Times New Roman"/>
          <w:lang w:eastAsia="de-DE"/>
        </w:rPr>
        <w:t xml:space="preserve">bezieht. </w:t>
      </w:r>
      <w:r w:rsidRPr="00394F78">
        <w:rPr>
          <w:rFonts w:eastAsia="Times New Roman"/>
          <w:b/>
          <w:bCs/>
          <w:rtl/>
          <w:lang w:eastAsia="de-DE"/>
        </w:rPr>
        <w:t>דִּבֶּר</w:t>
      </w:r>
      <w:r w:rsidRPr="00394F78">
        <w:rPr>
          <w:rFonts w:eastAsia="Times New Roman"/>
          <w:rtl/>
          <w:lang w:eastAsia="de-DE"/>
        </w:rPr>
        <w:t xml:space="preserve"> </w:t>
      </w:r>
      <w:r w:rsidRPr="00394F78">
        <w:rPr>
          <w:rFonts w:eastAsia="Times New Roman"/>
          <w:lang w:eastAsia="de-DE"/>
        </w:rPr>
        <w:t xml:space="preserve">ist ein Verb der Piel-Form, Perfekt, 3. Person maskulin Singular von der Wurzel </w:t>
      </w:r>
      <w:r w:rsidRPr="00394F78">
        <w:rPr>
          <w:rFonts w:eastAsia="Times New Roman"/>
          <w:rtl/>
          <w:lang w:eastAsia="de-DE"/>
        </w:rPr>
        <w:t>דבר</w:t>
      </w:r>
      <w:r w:rsidRPr="00394F78">
        <w:rPr>
          <w:rFonts w:eastAsia="Times New Roman"/>
          <w:lang w:eastAsia="de-DE"/>
        </w:rPr>
        <w:t xml:space="preserve"> („reden, sprechen"). Die Piel-Form intensiviert hier die Bedeutung und betont die Autorität und Vollständigkeit der Rede. </w:t>
      </w:r>
      <w:r w:rsidRPr="00394F78">
        <w:rPr>
          <w:rFonts w:eastAsia="Times New Roman"/>
          <w:b/>
          <w:bCs/>
          <w:rtl/>
          <w:lang w:eastAsia="de-DE"/>
        </w:rPr>
        <w:t>מֹשֶׁה</w:t>
      </w:r>
      <w:r w:rsidRPr="00394F78">
        <w:rPr>
          <w:rFonts w:eastAsia="Times New Roman"/>
          <w:rtl/>
          <w:lang w:eastAsia="de-DE"/>
        </w:rPr>
        <w:t xml:space="preserve"> </w:t>
      </w:r>
      <w:r w:rsidRPr="00394F78">
        <w:rPr>
          <w:rFonts w:eastAsia="Times New Roman"/>
          <w:lang w:eastAsia="de-DE"/>
        </w:rPr>
        <w:t xml:space="preserve">ist das Subjekt im Nominativ, ein Eigenname ohne Artikel. Die Präposition </w:t>
      </w:r>
      <w:r w:rsidRPr="00394F78">
        <w:rPr>
          <w:rFonts w:eastAsia="Times New Roman"/>
          <w:b/>
          <w:bCs/>
          <w:rtl/>
          <w:lang w:eastAsia="de-DE"/>
        </w:rPr>
        <w:t>אֶל</w:t>
      </w:r>
      <w:r w:rsidRPr="00394F78">
        <w:rPr>
          <w:rFonts w:eastAsia="Times New Roman"/>
          <w:rtl/>
          <w:lang w:eastAsia="de-DE"/>
        </w:rPr>
        <w:t xml:space="preserve"> </w:t>
      </w:r>
      <w:r w:rsidRPr="00394F78">
        <w:rPr>
          <w:rFonts w:eastAsia="Times New Roman"/>
          <w:lang w:eastAsia="de-DE"/>
        </w:rPr>
        <w:t xml:space="preserve">mit Bindestrich zeigt die Richtung an („zu, an") und leitet das indirekte Objekt ein. </w:t>
      </w:r>
      <w:r w:rsidRPr="00394F78">
        <w:rPr>
          <w:rFonts w:eastAsia="Times New Roman"/>
          <w:b/>
          <w:bCs/>
          <w:rtl/>
          <w:lang w:eastAsia="de-DE"/>
        </w:rPr>
        <w:t>כָּל־יִשְׂרָאֵל</w:t>
      </w:r>
      <w:r w:rsidRPr="00394F78">
        <w:rPr>
          <w:rFonts w:eastAsia="Times New Roman"/>
          <w:rtl/>
          <w:lang w:eastAsia="de-DE"/>
        </w:rPr>
        <w:t xml:space="preserve"> </w:t>
      </w:r>
      <w:r w:rsidRPr="00394F78">
        <w:rPr>
          <w:rFonts w:eastAsia="Times New Roman"/>
          <w:lang w:eastAsia="de-DE"/>
        </w:rPr>
        <w:t xml:space="preserve">besteht aus </w:t>
      </w:r>
      <w:r w:rsidRPr="00394F78">
        <w:rPr>
          <w:rFonts w:eastAsia="Times New Roman"/>
          <w:b/>
          <w:bCs/>
          <w:rtl/>
          <w:lang w:eastAsia="de-DE"/>
        </w:rPr>
        <w:t>כָּל</w:t>
      </w:r>
      <w:r w:rsidRPr="00394F78">
        <w:rPr>
          <w:rFonts w:eastAsia="Times New Roman"/>
          <w:rtl/>
          <w:lang w:eastAsia="de-DE"/>
        </w:rPr>
        <w:t xml:space="preserve"> </w:t>
      </w:r>
      <w:r w:rsidRPr="00394F78">
        <w:rPr>
          <w:rFonts w:eastAsia="Times New Roman"/>
          <w:lang w:eastAsia="de-DE"/>
        </w:rPr>
        <w:t xml:space="preserve">(„ganz, all"), einem </w:t>
      </w:r>
      <w:r w:rsidR="0032647F">
        <w:rPr>
          <w:rFonts w:eastAsia="Times New Roman"/>
          <w:lang w:eastAsia="de-DE"/>
        </w:rPr>
        <w:t>Construct</w:t>
      </w:r>
      <w:r w:rsidRPr="00394F78">
        <w:rPr>
          <w:rFonts w:eastAsia="Times New Roman"/>
          <w:lang w:eastAsia="de-DE"/>
        </w:rPr>
        <w:t xml:space="preserve">status, der mit </w:t>
      </w:r>
      <w:r w:rsidRPr="00394F78">
        <w:rPr>
          <w:rFonts w:eastAsia="Times New Roman"/>
          <w:b/>
          <w:bCs/>
          <w:rtl/>
          <w:lang w:eastAsia="de-DE"/>
        </w:rPr>
        <w:t>יִשְׂרָאֵל</w:t>
      </w:r>
      <w:r w:rsidRPr="00394F78">
        <w:rPr>
          <w:rFonts w:eastAsia="Times New Roman"/>
          <w:rtl/>
          <w:lang w:eastAsia="de-DE"/>
        </w:rPr>
        <w:t xml:space="preserve"> </w:t>
      </w:r>
      <w:r w:rsidRPr="00394F78">
        <w:rPr>
          <w:rFonts w:eastAsia="Times New Roman"/>
          <w:lang w:eastAsia="de-DE"/>
        </w:rPr>
        <w:t>(Eigenname im Singular) verbunden ist und die Gesamtheit des Volkes bezeichnet.</w:t>
      </w:r>
    </w:p>
    <w:p w14:paraId="7DFFE5CB" w14:textId="325921C2"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lang w:eastAsia="de-DE"/>
        </w:rPr>
        <w:t xml:space="preserve">Die Ortsangaben beginnen mit </w:t>
      </w:r>
      <w:r w:rsidRPr="00394F78">
        <w:rPr>
          <w:rFonts w:eastAsia="Times New Roman"/>
          <w:b/>
          <w:bCs/>
          <w:rtl/>
          <w:lang w:eastAsia="de-DE"/>
        </w:rPr>
        <w:t>בְּעֵבֶר</w:t>
      </w:r>
      <w:r w:rsidRPr="00394F78">
        <w:rPr>
          <w:rFonts w:eastAsia="Times New Roman"/>
          <w:rtl/>
          <w:lang w:eastAsia="de-DE"/>
        </w:rPr>
        <w:t xml:space="preserve"> </w:t>
      </w:r>
      <w:r w:rsidRPr="00394F78">
        <w:rPr>
          <w:rFonts w:eastAsia="Times New Roman"/>
          <w:lang w:eastAsia="de-DE"/>
        </w:rPr>
        <w:t xml:space="preserve">(„jenseits"), wobei die Präposition </w:t>
      </w:r>
      <w:r w:rsidRPr="00394F78">
        <w:rPr>
          <w:rFonts w:eastAsia="Times New Roman"/>
          <w:b/>
          <w:bCs/>
          <w:rtl/>
          <w:lang w:eastAsia="de-DE"/>
        </w:rPr>
        <w:t>בְּ</w:t>
      </w:r>
      <w:r w:rsidRPr="00394F78">
        <w:rPr>
          <w:rFonts w:eastAsia="Times New Roman"/>
          <w:rtl/>
          <w:lang w:eastAsia="de-DE"/>
        </w:rPr>
        <w:t xml:space="preserve"> </w:t>
      </w:r>
      <w:r w:rsidRPr="00394F78">
        <w:rPr>
          <w:rFonts w:eastAsia="Times New Roman"/>
          <w:lang w:eastAsia="de-DE"/>
        </w:rPr>
        <w:t xml:space="preserve">den Lokativ ausdrückt. </w:t>
      </w:r>
      <w:r w:rsidRPr="00394F78">
        <w:rPr>
          <w:rFonts w:eastAsia="Times New Roman"/>
          <w:b/>
          <w:bCs/>
          <w:rtl/>
          <w:lang w:eastAsia="de-DE"/>
        </w:rPr>
        <w:t>עֵבֶר</w:t>
      </w:r>
      <w:r w:rsidRPr="00394F78">
        <w:rPr>
          <w:rFonts w:eastAsia="Times New Roman"/>
          <w:rtl/>
          <w:lang w:eastAsia="de-DE"/>
        </w:rPr>
        <w:t xml:space="preserve"> </w:t>
      </w:r>
      <w:r w:rsidRPr="00394F78">
        <w:rPr>
          <w:rFonts w:eastAsia="Times New Roman"/>
          <w:lang w:eastAsia="de-DE"/>
        </w:rPr>
        <w:t xml:space="preserve">ist ein maskulines Substantiv im </w:t>
      </w:r>
      <w:r w:rsidR="0032647F">
        <w:rPr>
          <w:rFonts w:eastAsia="Times New Roman"/>
          <w:lang w:eastAsia="de-DE"/>
        </w:rPr>
        <w:t>Construct</w:t>
      </w:r>
      <w:r w:rsidRPr="00394F78">
        <w:rPr>
          <w:rFonts w:eastAsia="Times New Roman"/>
          <w:lang w:eastAsia="de-DE"/>
        </w:rPr>
        <w:t xml:space="preserve">status, gefolgt von </w:t>
      </w:r>
      <w:r w:rsidRPr="00394F78">
        <w:rPr>
          <w:rFonts w:eastAsia="Times New Roman"/>
          <w:b/>
          <w:bCs/>
          <w:rtl/>
          <w:lang w:eastAsia="de-DE"/>
        </w:rPr>
        <w:t>הַיַּרְדֵּן</w:t>
      </w:r>
      <w:r w:rsidRPr="00394F78">
        <w:rPr>
          <w:rFonts w:eastAsia="Times New Roman"/>
          <w:rtl/>
          <w:lang w:eastAsia="de-DE"/>
        </w:rPr>
        <w:t xml:space="preserve"> </w:t>
      </w:r>
      <w:r w:rsidRPr="00394F78">
        <w:rPr>
          <w:rFonts w:eastAsia="Times New Roman"/>
          <w:lang w:eastAsia="de-DE"/>
        </w:rPr>
        <w:t xml:space="preserve">(„der Jordan"), einem Eigennamen mit bestimmtem Artikel. </w:t>
      </w:r>
      <w:r w:rsidRPr="00394F78">
        <w:rPr>
          <w:rFonts w:eastAsia="Times New Roman"/>
          <w:b/>
          <w:bCs/>
          <w:rtl/>
          <w:lang w:eastAsia="de-DE"/>
        </w:rPr>
        <w:t>בַּמִּדְבָּר</w:t>
      </w:r>
      <w:r w:rsidRPr="00394F78">
        <w:rPr>
          <w:rFonts w:eastAsia="Times New Roman"/>
          <w:rtl/>
          <w:lang w:eastAsia="de-DE"/>
        </w:rPr>
        <w:t xml:space="preserve"> </w:t>
      </w:r>
      <w:r w:rsidRPr="00394F78">
        <w:rPr>
          <w:rFonts w:eastAsia="Times New Roman"/>
          <w:lang w:eastAsia="de-DE"/>
        </w:rPr>
        <w:t xml:space="preserve">(„in der Wüste") hat die Präposition </w:t>
      </w:r>
      <w:r w:rsidRPr="00394F78">
        <w:rPr>
          <w:rFonts w:eastAsia="Times New Roman"/>
          <w:b/>
          <w:bCs/>
          <w:rtl/>
          <w:lang w:eastAsia="de-DE"/>
        </w:rPr>
        <w:t>בְּ</w:t>
      </w:r>
      <w:r w:rsidRPr="00394F78">
        <w:rPr>
          <w:rFonts w:eastAsia="Times New Roman"/>
          <w:rtl/>
          <w:lang w:eastAsia="de-DE"/>
        </w:rPr>
        <w:t xml:space="preserve"> </w:t>
      </w:r>
      <w:r w:rsidRPr="00394F78">
        <w:rPr>
          <w:rFonts w:eastAsia="Times New Roman"/>
          <w:lang w:eastAsia="de-DE"/>
        </w:rPr>
        <w:t xml:space="preserve">mit dem Artikel </w:t>
      </w:r>
      <w:r w:rsidRPr="00394F78">
        <w:rPr>
          <w:rFonts w:eastAsia="Times New Roman"/>
          <w:b/>
          <w:bCs/>
          <w:rtl/>
          <w:lang w:eastAsia="de-DE"/>
        </w:rPr>
        <w:t>הַ</w:t>
      </w:r>
      <w:r w:rsidRPr="00394F78">
        <w:rPr>
          <w:rFonts w:eastAsia="Times New Roman"/>
          <w:lang w:eastAsia="de-DE"/>
        </w:rPr>
        <w:t xml:space="preserve">, der zu </w:t>
      </w:r>
      <w:r w:rsidRPr="00394F78">
        <w:rPr>
          <w:rFonts w:eastAsia="Times New Roman"/>
          <w:b/>
          <w:bCs/>
          <w:rtl/>
          <w:lang w:eastAsia="de-DE"/>
        </w:rPr>
        <w:t>בַּ</w:t>
      </w:r>
      <w:r w:rsidRPr="00394F78">
        <w:rPr>
          <w:rFonts w:eastAsia="Times New Roman"/>
          <w:rtl/>
          <w:lang w:eastAsia="de-DE"/>
        </w:rPr>
        <w:t xml:space="preserve"> </w:t>
      </w:r>
      <w:r w:rsidRPr="00394F78">
        <w:rPr>
          <w:rFonts w:eastAsia="Times New Roman"/>
          <w:lang w:eastAsia="de-DE"/>
        </w:rPr>
        <w:t xml:space="preserve">assimiliert wird. </w:t>
      </w:r>
      <w:r w:rsidRPr="00394F78">
        <w:rPr>
          <w:rFonts w:eastAsia="Times New Roman"/>
          <w:b/>
          <w:bCs/>
          <w:rtl/>
          <w:lang w:eastAsia="de-DE"/>
        </w:rPr>
        <w:t>מִדְבָּר</w:t>
      </w:r>
      <w:r w:rsidRPr="00394F78">
        <w:rPr>
          <w:rFonts w:eastAsia="Times New Roman"/>
          <w:rtl/>
          <w:lang w:eastAsia="de-DE"/>
        </w:rPr>
        <w:t xml:space="preserve"> </w:t>
      </w:r>
      <w:r w:rsidRPr="00394F78">
        <w:rPr>
          <w:rFonts w:eastAsia="Times New Roman"/>
          <w:lang w:eastAsia="de-DE"/>
        </w:rPr>
        <w:t>ist ein maskulines Substantiv im Singular.</w:t>
      </w:r>
    </w:p>
    <w:p w14:paraId="5D1F9D9F" w14:textId="04FDAE86"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lang w:eastAsia="de-DE"/>
        </w:rPr>
        <w:lastRenderedPageBreak/>
        <w:t xml:space="preserve">Weitere Lokalisierungen folgen: </w:t>
      </w:r>
      <w:r w:rsidRPr="00394F78">
        <w:rPr>
          <w:rFonts w:eastAsia="Times New Roman"/>
          <w:b/>
          <w:bCs/>
          <w:rtl/>
          <w:lang w:eastAsia="de-DE"/>
        </w:rPr>
        <w:t>בָּעֲרָבָה</w:t>
      </w:r>
      <w:r w:rsidRPr="00394F78">
        <w:rPr>
          <w:rFonts w:eastAsia="Times New Roman"/>
          <w:rtl/>
          <w:lang w:eastAsia="de-DE"/>
        </w:rPr>
        <w:t xml:space="preserve"> </w:t>
      </w:r>
      <w:r w:rsidRPr="00394F78">
        <w:rPr>
          <w:rFonts w:eastAsia="Times New Roman"/>
          <w:lang w:eastAsia="de-DE"/>
        </w:rPr>
        <w:t xml:space="preserve">(„in der Arava") mit Präposition und Artikel, </w:t>
      </w:r>
      <w:r w:rsidRPr="00394F78">
        <w:rPr>
          <w:rFonts w:eastAsia="Times New Roman"/>
          <w:b/>
          <w:bCs/>
          <w:rtl/>
          <w:lang w:eastAsia="de-DE"/>
        </w:rPr>
        <w:t>מוֹל</w:t>
      </w:r>
      <w:r w:rsidRPr="00394F78">
        <w:rPr>
          <w:rFonts w:eastAsia="Times New Roman"/>
          <w:rtl/>
          <w:lang w:eastAsia="de-DE"/>
        </w:rPr>
        <w:t xml:space="preserve"> </w:t>
      </w:r>
      <w:r w:rsidRPr="00394F78">
        <w:rPr>
          <w:rFonts w:eastAsia="Times New Roman"/>
          <w:lang w:eastAsia="de-DE"/>
        </w:rPr>
        <w:t xml:space="preserve">(„gegenüber") ist eine Präposition, die mit </w:t>
      </w:r>
      <w:r w:rsidRPr="00394F78">
        <w:rPr>
          <w:rFonts w:eastAsia="Times New Roman"/>
          <w:b/>
          <w:bCs/>
          <w:rtl/>
          <w:lang w:eastAsia="de-DE"/>
        </w:rPr>
        <w:t>סוּף</w:t>
      </w:r>
      <w:r w:rsidRPr="00394F78">
        <w:rPr>
          <w:rFonts w:eastAsia="Times New Roman"/>
          <w:rtl/>
          <w:lang w:eastAsia="de-DE"/>
        </w:rPr>
        <w:t xml:space="preserve"> </w:t>
      </w:r>
      <w:r w:rsidRPr="00394F78">
        <w:rPr>
          <w:rFonts w:eastAsia="Times New Roman"/>
          <w:lang w:eastAsia="de-DE"/>
        </w:rPr>
        <w:t xml:space="preserve">(Ortsname) verbunden ist. Die Phrase </w:t>
      </w:r>
      <w:r w:rsidRPr="00394F78">
        <w:rPr>
          <w:rFonts w:eastAsia="Times New Roman"/>
          <w:b/>
          <w:bCs/>
          <w:rtl/>
          <w:lang w:eastAsia="de-DE"/>
        </w:rPr>
        <w:t>בֵּין־פָּארָן וּבֵין־תֹּפֶל</w:t>
      </w:r>
      <w:r w:rsidRPr="00394F78">
        <w:rPr>
          <w:rFonts w:eastAsia="Times New Roman"/>
          <w:rtl/>
          <w:lang w:eastAsia="de-DE"/>
        </w:rPr>
        <w:t xml:space="preserve"> </w:t>
      </w:r>
      <w:r w:rsidRPr="00394F78">
        <w:rPr>
          <w:rFonts w:eastAsia="Times New Roman"/>
          <w:lang w:eastAsia="de-DE"/>
        </w:rPr>
        <w:t xml:space="preserve">verwendet </w:t>
      </w:r>
      <w:r w:rsidRPr="00394F78">
        <w:rPr>
          <w:rFonts w:eastAsia="Times New Roman"/>
          <w:b/>
          <w:bCs/>
          <w:rtl/>
          <w:lang w:eastAsia="de-DE"/>
        </w:rPr>
        <w:t>בֵּין</w:t>
      </w:r>
      <w:r w:rsidRPr="00394F78">
        <w:rPr>
          <w:rFonts w:eastAsia="Times New Roman"/>
          <w:rtl/>
          <w:lang w:eastAsia="de-DE"/>
        </w:rPr>
        <w:t xml:space="preserve"> </w:t>
      </w:r>
      <w:r w:rsidRPr="00394F78">
        <w:rPr>
          <w:rFonts w:eastAsia="Times New Roman"/>
          <w:lang w:eastAsia="de-DE"/>
        </w:rPr>
        <w:t xml:space="preserve">(„zwischen") zweimal mit Maqqef, eine typische </w:t>
      </w:r>
      <w:r w:rsidR="00FF2B82">
        <w:rPr>
          <w:rFonts w:eastAsia="Times New Roman"/>
          <w:lang w:eastAsia="de-DE"/>
        </w:rPr>
        <w:t>Konstruktion</w:t>
      </w:r>
      <w:r w:rsidRPr="00394F78">
        <w:rPr>
          <w:rFonts w:eastAsia="Times New Roman"/>
          <w:lang w:eastAsia="de-DE"/>
        </w:rPr>
        <w:t xml:space="preserve"> für „zwischen X und Y". </w:t>
      </w:r>
      <w:r w:rsidRPr="00394F78">
        <w:rPr>
          <w:rFonts w:eastAsia="Times New Roman"/>
          <w:b/>
          <w:bCs/>
          <w:rtl/>
          <w:lang w:eastAsia="de-DE"/>
        </w:rPr>
        <w:t>וּ</w:t>
      </w:r>
      <w:r w:rsidRPr="00394F78">
        <w:rPr>
          <w:rFonts w:eastAsia="Times New Roman"/>
          <w:rtl/>
          <w:lang w:eastAsia="de-DE"/>
        </w:rPr>
        <w:t xml:space="preserve"> </w:t>
      </w:r>
      <w:r w:rsidRPr="00394F78">
        <w:rPr>
          <w:rFonts w:eastAsia="Times New Roman"/>
          <w:lang w:eastAsia="de-DE"/>
        </w:rPr>
        <w:t xml:space="preserve">ist die Konjunktion „und", die die verschiedenen Ortsnamen verbindet: </w:t>
      </w:r>
      <w:r w:rsidRPr="00394F78">
        <w:rPr>
          <w:rFonts w:eastAsia="Times New Roman"/>
          <w:b/>
          <w:bCs/>
          <w:rtl/>
          <w:lang w:eastAsia="de-DE"/>
        </w:rPr>
        <w:t>פָּארָן</w:t>
      </w:r>
      <w:r w:rsidRPr="00394F78">
        <w:rPr>
          <w:rFonts w:eastAsia="Times New Roman"/>
          <w:lang w:eastAsia="de-DE"/>
        </w:rPr>
        <w:t xml:space="preserve">, </w:t>
      </w:r>
      <w:r w:rsidRPr="00394F78">
        <w:rPr>
          <w:rFonts w:eastAsia="Times New Roman"/>
          <w:b/>
          <w:bCs/>
          <w:rtl/>
          <w:lang w:eastAsia="de-DE"/>
        </w:rPr>
        <w:t>תֹּפֶל</w:t>
      </w:r>
      <w:r w:rsidRPr="00394F78">
        <w:rPr>
          <w:rFonts w:eastAsia="Times New Roman"/>
          <w:lang w:eastAsia="de-DE"/>
        </w:rPr>
        <w:t xml:space="preserve">, </w:t>
      </w:r>
      <w:r w:rsidRPr="00394F78">
        <w:rPr>
          <w:rFonts w:eastAsia="Times New Roman"/>
          <w:b/>
          <w:bCs/>
          <w:rtl/>
          <w:lang w:eastAsia="de-DE"/>
        </w:rPr>
        <w:t>לָבָן</w:t>
      </w:r>
      <w:r w:rsidRPr="00394F78">
        <w:rPr>
          <w:rFonts w:eastAsia="Times New Roman"/>
          <w:lang w:eastAsia="de-DE"/>
        </w:rPr>
        <w:t xml:space="preserve">, </w:t>
      </w:r>
      <w:r w:rsidRPr="00394F78">
        <w:rPr>
          <w:rFonts w:eastAsia="Times New Roman"/>
          <w:b/>
          <w:bCs/>
          <w:rtl/>
          <w:lang w:eastAsia="de-DE"/>
        </w:rPr>
        <w:t>חֲצֵרֹת</w:t>
      </w:r>
      <w:r w:rsidRPr="00394F78">
        <w:rPr>
          <w:rFonts w:eastAsia="Times New Roman"/>
          <w:rtl/>
          <w:lang w:eastAsia="de-DE"/>
        </w:rPr>
        <w:t xml:space="preserve"> </w:t>
      </w:r>
      <w:r w:rsidRPr="00394F78">
        <w:rPr>
          <w:rFonts w:eastAsia="Times New Roman"/>
          <w:lang w:eastAsia="de-DE"/>
        </w:rPr>
        <w:t xml:space="preserve">(Plural von </w:t>
      </w:r>
      <w:r w:rsidRPr="00394F78">
        <w:rPr>
          <w:rFonts w:eastAsia="Times New Roman"/>
          <w:rtl/>
          <w:lang w:eastAsia="de-DE"/>
        </w:rPr>
        <w:t>חָצֵר</w:t>
      </w:r>
      <w:r w:rsidRPr="00394F78">
        <w:rPr>
          <w:rFonts w:eastAsia="Times New Roman"/>
          <w:lang w:eastAsia="de-DE"/>
        </w:rPr>
        <w:t xml:space="preserve"> „Gehöft"), und </w:t>
      </w:r>
      <w:r w:rsidRPr="00394F78">
        <w:rPr>
          <w:rFonts w:eastAsia="Times New Roman"/>
          <w:b/>
          <w:bCs/>
          <w:rtl/>
          <w:lang w:eastAsia="de-DE"/>
        </w:rPr>
        <w:t>דִי זָהָב</w:t>
      </w:r>
      <w:r w:rsidRPr="00394F78">
        <w:rPr>
          <w:rFonts w:eastAsia="Times New Roman"/>
          <w:rtl/>
          <w:lang w:eastAsia="de-DE"/>
        </w:rPr>
        <w:t xml:space="preserve"> </w:t>
      </w:r>
      <w:r w:rsidRPr="00394F78">
        <w:rPr>
          <w:rFonts w:eastAsia="Times New Roman"/>
          <w:lang w:eastAsia="de-DE"/>
        </w:rPr>
        <w:t>(zusammengesetzter Ortsname „Di-Sahav").</w:t>
      </w:r>
    </w:p>
    <w:p w14:paraId="758514EF" w14:textId="77777777" w:rsidR="008D099B" w:rsidRDefault="00394F78" w:rsidP="008D099B">
      <w:pPr>
        <w:spacing w:before="100" w:beforeAutospacing="1" w:after="100" w:afterAutospacing="1" w:line="240" w:lineRule="auto"/>
      </w:pPr>
      <w:r w:rsidRPr="00394F78">
        <w:rPr>
          <w:rFonts w:eastAsia="Times New Roman"/>
          <w:b/>
          <w:bCs/>
          <w:lang w:eastAsia="de-DE"/>
        </w:rPr>
        <w:t>Die LXX</w:t>
      </w:r>
      <w:r w:rsidRPr="00394F78">
        <w:rPr>
          <w:rFonts w:eastAsia="Times New Roman"/>
          <w:lang w:eastAsia="de-DE"/>
        </w:rPr>
        <w:t xml:space="preserve"> weicht in der Ortsangabe teilweise ab: Sie transliteriert die meisten Namen, gibt aber </w:t>
      </w:r>
      <w:r w:rsidRPr="00394F78">
        <w:rPr>
          <w:rFonts w:eastAsia="Times New Roman"/>
          <w:b/>
          <w:bCs/>
          <w:rtl/>
          <w:lang w:eastAsia="de-DE"/>
        </w:rPr>
        <w:t>מוֹל סוּף</w:t>
      </w:r>
      <w:r w:rsidRPr="00394F78">
        <w:rPr>
          <w:rFonts w:eastAsia="Times New Roman"/>
          <w:rtl/>
          <w:lang w:eastAsia="de-DE"/>
        </w:rPr>
        <w:t xml:space="preserve"> </w:t>
      </w:r>
      <w:r w:rsidRPr="00394F78">
        <w:rPr>
          <w:rFonts w:eastAsia="Times New Roman"/>
          <w:lang w:eastAsia="de-DE"/>
        </w:rPr>
        <w:t>mit „κα</w:t>
      </w:r>
      <w:proofErr w:type="spellStart"/>
      <w:r w:rsidRPr="00394F78">
        <w:rPr>
          <w:rFonts w:eastAsia="Times New Roman"/>
          <w:lang w:eastAsia="de-DE"/>
        </w:rPr>
        <w:t>τέν</w:t>
      </w:r>
      <w:proofErr w:type="spellEnd"/>
      <w:r w:rsidRPr="00394F78">
        <w:rPr>
          <w:rFonts w:eastAsia="Times New Roman"/>
          <w:lang w:eastAsia="de-DE"/>
        </w:rPr>
        <w:t xml:space="preserve">αντι </w:t>
      </w:r>
      <w:proofErr w:type="spellStart"/>
      <w:r w:rsidRPr="00394F78">
        <w:rPr>
          <w:rFonts w:eastAsia="Times New Roman"/>
          <w:lang w:eastAsia="de-DE"/>
        </w:rPr>
        <w:t>τῆς</w:t>
      </w:r>
      <w:proofErr w:type="spellEnd"/>
      <w:r w:rsidRPr="00394F78">
        <w:rPr>
          <w:rFonts w:eastAsia="Times New Roman"/>
          <w:lang w:eastAsia="de-DE"/>
        </w:rPr>
        <w:t xml:space="preserve"> </w:t>
      </w:r>
      <w:proofErr w:type="spellStart"/>
      <w:r w:rsidRPr="00394F78">
        <w:rPr>
          <w:rFonts w:eastAsia="Times New Roman"/>
          <w:lang w:eastAsia="de-DE"/>
        </w:rPr>
        <w:t>ἐρυθρᾶς</w:t>
      </w:r>
      <w:proofErr w:type="spellEnd"/>
      <w:r w:rsidRPr="00394F78">
        <w:rPr>
          <w:rFonts w:eastAsia="Times New Roman"/>
          <w:lang w:eastAsia="de-DE"/>
        </w:rPr>
        <w:t>" („gegenüber der Roten [sc. dem Roten Meer]") wieder, was eine interpretierende Übersetzung darstellt</w:t>
      </w:r>
      <w:r w:rsidR="008D099B">
        <w:rPr>
          <w:rFonts w:eastAsia="Times New Roman"/>
          <w:lang w:eastAsia="de-DE"/>
        </w:rPr>
        <w:t>,</w:t>
      </w:r>
      <w:r w:rsidRPr="00394F78">
        <w:rPr>
          <w:rFonts w:eastAsia="Times New Roman"/>
          <w:lang w:eastAsia="de-DE"/>
        </w:rPr>
        <w:t xml:space="preserve"> </w:t>
      </w:r>
      <w:r w:rsidR="008D099B">
        <w:t>und übersetzt „</w:t>
      </w:r>
      <w:r w:rsidR="008D099B">
        <w:rPr>
          <w:rtl/>
        </w:rPr>
        <w:t>דִי זָהָב</w:t>
      </w:r>
      <w:r w:rsidR="008D099B">
        <w:t>" (Di-Sahab) mit „Κατα</w:t>
      </w:r>
      <w:proofErr w:type="spellStart"/>
      <w:r w:rsidR="008D099B">
        <w:t>χρύσε</w:t>
      </w:r>
      <w:proofErr w:type="spellEnd"/>
      <w:r w:rsidR="008D099B">
        <w:t>α" (</w:t>
      </w:r>
      <w:proofErr w:type="spellStart"/>
      <w:r w:rsidR="008D099B">
        <w:t>Katachryse</w:t>
      </w:r>
      <w:proofErr w:type="spellEnd"/>
      <w:r w:rsidR="008D099B">
        <w:t>/Goldüberzogen), was eine Übersetzung statt Transliteration ist.</w:t>
      </w:r>
    </w:p>
    <w:p w14:paraId="034CE7B0" w14:textId="0AF85FEF" w:rsidR="00394F78" w:rsidRPr="00394F78" w:rsidRDefault="00394F78" w:rsidP="008D099B">
      <w:pPr>
        <w:spacing w:before="100" w:beforeAutospacing="1" w:after="100" w:afterAutospacing="1" w:line="240" w:lineRule="auto"/>
        <w:rPr>
          <w:rFonts w:eastAsia="Times New Roman"/>
          <w:lang w:eastAsia="de-DE"/>
        </w:rPr>
      </w:pPr>
      <w:r w:rsidRPr="00394F78">
        <w:rPr>
          <w:rFonts w:eastAsia="Times New Roman"/>
          <w:lang w:eastAsia="de-DE"/>
        </w:rPr>
        <w:t>Die Satzstruktur besteht aus einem Hauptsatz: „Dies sind die Worte" mit einem erweiterten Relativsatz „die Mosche redete". Dieser Relativsatz wird durch mehrere präpositionale Phrasen erweitert, die den Ort der Rede näher bestimmen. Es handelt sich um einen komplexen Nominalsatz mit attributivem Relativsatz und mehreren Lokalbestimmungen.</w:t>
      </w:r>
    </w:p>
    <w:p w14:paraId="3860F62C" w14:textId="77777777"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lang w:eastAsia="de-DE"/>
        </w:rPr>
        <w:t>Der Vers dient als Überschrift zum gesamten Buch Deuteronomium und situiert Moses Abschiedsrede geografisch östlich des Jordan in der Wüstenregion, kurz vor dem Eintritt Israels ins verheißene Land.</w:t>
      </w:r>
    </w:p>
    <w:p w14:paraId="7AD0C868" w14:textId="77777777" w:rsidR="00394F78" w:rsidRPr="00394F78" w:rsidRDefault="00394F78" w:rsidP="00394F78">
      <w:pPr>
        <w:spacing w:before="100" w:beforeAutospacing="1" w:after="100" w:afterAutospacing="1" w:line="240" w:lineRule="auto"/>
        <w:outlineLvl w:val="1"/>
        <w:rPr>
          <w:rFonts w:eastAsia="Times New Roman"/>
          <w:b/>
          <w:bCs/>
          <w:sz w:val="36"/>
          <w:szCs w:val="36"/>
          <w:lang w:eastAsia="de-DE"/>
        </w:rPr>
      </w:pPr>
      <w:r w:rsidRPr="00394F78">
        <w:rPr>
          <w:rFonts w:eastAsia="Times New Roman"/>
          <w:b/>
          <w:bCs/>
          <w:sz w:val="36"/>
          <w:szCs w:val="36"/>
          <w:lang w:eastAsia="de-DE"/>
        </w:rPr>
        <w:t>Deuteronomium 1,2</w:t>
      </w:r>
    </w:p>
    <w:p w14:paraId="36A52722" w14:textId="77777777"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b/>
          <w:bCs/>
          <w:lang w:eastAsia="de-DE"/>
        </w:rPr>
        <w:t>Hebräisch:</w:t>
      </w:r>
      <w:r w:rsidRPr="00394F78">
        <w:rPr>
          <w:rFonts w:eastAsia="Times New Roman"/>
          <w:lang w:eastAsia="de-DE"/>
        </w:rPr>
        <w:t xml:space="preserve"> </w:t>
      </w:r>
      <w:r w:rsidRPr="00394F78">
        <w:rPr>
          <w:rFonts w:eastAsia="Times New Roman"/>
          <w:rtl/>
          <w:lang w:eastAsia="de-DE"/>
        </w:rPr>
        <w:t>אַחַ֨ד עָשָׂ֥ר יוֹם֙ מֵֽחֹרֵ֔ב דֶּ֖רֶךְ הַר־שֵׂעִ֑יר עַ֖ד קָדֵ֥שׁ בַּרְנֵֽעַ׃</w:t>
      </w:r>
    </w:p>
    <w:p w14:paraId="78DB05CF" w14:textId="77777777"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b/>
          <w:bCs/>
          <w:lang w:eastAsia="de-DE"/>
        </w:rPr>
        <w:t>Deutsch:</w:t>
      </w:r>
      <w:r w:rsidRPr="00394F78">
        <w:rPr>
          <w:rFonts w:eastAsia="Times New Roman"/>
          <w:lang w:eastAsia="de-DE"/>
        </w:rPr>
        <w:t xml:space="preserve"> Elf Tage (sind es) von Chorev auf dem Weg zum Gebirge Se'ir bis Kadesch-Barnea.</w:t>
      </w:r>
    </w:p>
    <w:p w14:paraId="057ADAD4" w14:textId="77777777" w:rsidR="00394F78" w:rsidRPr="00394F78" w:rsidRDefault="004F5CEB" w:rsidP="00394F78">
      <w:pPr>
        <w:spacing w:after="0" w:line="240" w:lineRule="auto"/>
        <w:rPr>
          <w:rFonts w:eastAsia="Times New Roman"/>
          <w:lang w:eastAsia="de-DE"/>
        </w:rPr>
      </w:pPr>
      <w:r>
        <w:rPr>
          <w:rFonts w:eastAsia="Times New Roman"/>
          <w:noProof/>
          <w:lang w:eastAsia="de-DE"/>
        </w:rPr>
        <w:pict w14:anchorId="7B81FF4E">
          <v:rect id="_x0000_i1026" style="width:0;height:1.5pt" o:hralign="center" o:hrstd="t" o:hr="t" fillcolor="#a0a0a0" stroked="f"/>
        </w:pict>
      </w:r>
    </w:p>
    <w:p w14:paraId="5529979C" w14:textId="011B5F13"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b/>
          <w:bCs/>
          <w:lang w:eastAsia="de-DE"/>
        </w:rPr>
        <w:t>Kommentar:</w:t>
      </w:r>
      <w:r w:rsidRPr="00394F78">
        <w:rPr>
          <w:rFonts w:eastAsia="Times New Roman"/>
          <w:lang w:eastAsia="de-DE"/>
        </w:rPr>
        <w:t xml:space="preserve"> </w:t>
      </w:r>
      <w:r w:rsidRPr="00E724E6">
        <w:rPr>
          <w:rFonts w:eastAsia="Times New Roman"/>
          <w:rtl/>
          <w:lang w:eastAsia="de-DE"/>
        </w:rPr>
        <w:t xml:space="preserve">אַחַד </w:t>
      </w:r>
      <w:r w:rsidR="003B5012" w:rsidRPr="00E724E6">
        <w:rPr>
          <w:rtl/>
        </w:rPr>
        <w:t>אַחַד עָשָׂר</w:t>
      </w:r>
      <w:r w:rsidR="003B5012" w:rsidRPr="00E724E6">
        <w:t xml:space="preserve"> </w:t>
      </w:r>
      <w:r w:rsidR="003B5012">
        <w:t xml:space="preserve">ist die Kardinalzahl „elf", bestehend aus </w:t>
      </w:r>
      <w:r w:rsidR="003B5012" w:rsidRPr="00E724E6">
        <w:rPr>
          <w:b/>
          <w:bCs/>
          <w:rtl/>
        </w:rPr>
        <w:t>אַחַד</w:t>
      </w:r>
      <w:r w:rsidR="003B5012">
        <w:t xml:space="preserve"> („eins", maskulin) und </w:t>
      </w:r>
      <w:r w:rsidR="003B5012" w:rsidRPr="00E724E6">
        <w:rPr>
          <w:b/>
          <w:bCs/>
          <w:rtl/>
        </w:rPr>
        <w:t>עָשָׂר</w:t>
      </w:r>
      <w:r w:rsidR="003B5012">
        <w:t xml:space="preserve"> („zehn"). </w:t>
      </w:r>
      <w:r w:rsidR="003B5012" w:rsidRPr="00E724E6">
        <w:rPr>
          <w:b/>
          <w:bCs/>
          <w:rtl/>
        </w:rPr>
        <w:t>יוֹם</w:t>
      </w:r>
      <w:r w:rsidR="003B5012">
        <w:t xml:space="preserve"> („Tag") ist ein maskulines Substantiv im Singular. Die Formulierung "Elf Tage (sind es)" könnte auch als "Elf Tagesreisen" verstanden werden. Bei Zahlen 11-19 steht die Einer-Komponente normalerweise im Genus-Gegensatz (Polarität) zum Gezählten. Da </w:t>
      </w:r>
      <w:r w:rsidR="003B5012" w:rsidRPr="00E724E6">
        <w:rPr>
          <w:b/>
          <w:bCs/>
          <w:rtl/>
        </w:rPr>
        <w:t>יוֹם</w:t>
      </w:r>
      <w:r w:rsidR="003B5012">
        <w:t xml:space="preserve"> maskulin ist, würde man </w:t>
      </w:r>
      <w:r w:rsidR="003B5012">
        <w:rPr>
          <w:rStyle w:val="Fett"/>
        </w:rPr>
        <w:t>eigentlich</w:t>
      </w:r>
      <w:r w:rsidR="003B5012">
        <w:t xml:space="preserve"> die feminine Form </w:t>
      </w:r>
      <w:r w:rsidR="003B5012" w:rsidRPr="00E724E6">
        <w:rPr>
          <w:b/>
          <w:bCs/>
          <w:rtl/>
        </w:rPr>
        <w:t>אַחַת עָשָׂר</w:t>
      </w:r>
      <w:r w:rsidR="003B5012">
        <w:t xml:space="preserve"> erwarten. Hier erscheint jedoch die maskuline Form </w:t>
      </w:r>
      <w:r w:rsidR="003B5012" w:rsidRPr="00E724E6">
        <w:rPr>
          <w:b/>
          <w:bCs/>
          <w:rtl/>
        </w:rPr>
        <w:t>אַחַד עָשָׂר</w:t>
      </w:r>
      <w:r w:rsidR="003B5012">
        <w:t xml:space="preserve">, was bei den Zehnerzahlen (11-19) eine zulässige Variante darstellt, bei der die Kongruenz mit dem Gezählten hergestellt wird. Diese Zeitangabe bildet das Subjekt des Nominalsatzes. Die Präposition </w:t>
      </w:r>
      <w:r w:rsidR="003B5012" w:rsidRPr="00E724E6">
        <w:rPr>
          <w:b/>
          <w:bCs/>
          <w:rtl/>
        </w:rPr>
        <w:t>מִן</w:t>
      </w:r>
      <w:r w:rsidR="003B5012">
        <w:t xml:space="preserve"> in der Form </w:t>
      </w:r>
      <w:r w:rsidR="003B5012" w:rsidRPr="00E724E6">
        <w:rPr>
          <w:b/>
          <w:bCs/>
          <w:rtl/>
        </w:rPr>
        <w:t>מֵ</w:t>
      </w:r>
      <w:r w:rsidR="003B5012">
        <w:t xml:space="preserve"> („von") mit </w:t>
      </w:r>
      <w:r w:rsidR="003B5012" w:rsidRPr="00E724E6">
        <w:rPr>
          <w:b/>
          <w:bCs/>
          <w:rtl/>
        </w:rPr>
        <w:t>חֹרֵב</w:t>
      </w:r>
      <w:r w:rsidR="003B5012">
        <w:t xml:space="preserve"> (Ortsname „Horeb", alternative Bezeichnung für Sinai) gibt den Ausgangspunkt an.</w:t>
      </w:r>
    </w:p>
    <w:p w14:paraId="37AA1609" w14:textId="69926CDF"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b/>
          <w:bCs/>
          <w:rtl/>
          <w:lang w:eastAsia="de-DE"/>
        </w:rPr>
        <w:t>דֶּרֶךְ</w:t>
      </w:r>
      <w:r w:rsidRPr="00394F78">
        <w:rPr>
          <w:rFonts w:eastAsia="Times New Roman"/>
          <w:rtl/>
          <w:lang w:eastAsia="de-DE"/>
        </w:rPr>
        <w:t xml:space="preserve"> </w:t>
      </w:r>
      <w:r w:rsidRPr="00394F78">
        <w:rPr>
          <w:rFonts w:eastAsia="Times New Roman"/>
          <w:lang w:eastAsia="de-DE"/>
        </w:rPr>
        <w:t xml:space="preserve">(„Weg") ist ein maskulines oder feminines Substantiv im </w:t>
      </w:r>
      <w:r w:rsidR="0032647F">
        <w:rPr>
          <w:rFonts w:eastAsia="Times New Roman"/>
          <w:lang w:eastAsia="de-DE"/>
        </w:rPr>
        <w:t>Construct</w:t>
      </w:r>
      <w:r w:rsidRPr="00394F78">
        <w:rPr>
          <w:rFonts w:eastAsia="Times New Roman"/>
          <w:lang w:eastAsia="de-DE"/>
        </w:rPr>
        <w:t xml:space="preserve">status, das mit </w:t>
      </w:r>
      <w:r w:rsidRPr="00394F78">
        <w:rPr>
          <w:rFonts w:eastAsia="Times New Roman"/>
          <w:b/>
          <w:bCs/>
          <w:rtl/>
          <w:lang w:eastAsia="de-DE"/>
        </w:rPr>
        <w:t>הַר־שֵׂעִיר</w:t>
      </w:r>
      <w:r w:rsidRPr="00394F78">
        <w:rPr>
          <w:rFonts w:eastAsia="Times New Roman"/>
          <w:rtl/>
          <w:lang w:eastAsia="de-DE"/>
        </w:rPr>
        <w:t xml:space="preserve"> </w:t>
      </w:r>
      <w:r w:rsidRPr="00394F78">
        <w:rPr>
          <w:rFonts w:eastAsia="Times New Roman"/>
          <w:lang w:eastAsia="de-DE"/>
        </w:rPr>
        <w:t xml:space="preserve">verbunden ist. </w:t>
      </w:r>
      <w:r w:rsidRPr="00394F78">
        <w:rPr>
          <w:rFonts w:eastAsia="Times New Roman"/>
          <w:b/>
          <w:bCs/>
          <w:rtl/>
          <w:lang w:eastAsia="de-DE"/>
        </w:rPr>
        <w:t>הַר</w:t>
      </w:r>
      <w:r w:rsidRPr="00394F78">
        <w:rPr>
          <w:rFonts w:eastAsia="Times New Roman"/>
          <w:rtl/>
          <w:lang w:eastAsia="de-DE"/>
        </w:rPr>
        <w:t xml:space="preserve"> </w:t>
      </w:r>
      <w:r w:rsidRPr="00394F78">
        <w:rPr>
          <w:rFonts w:eastAsia="Times New Roman"/>
          <w:lang w:eastAsia="de-DE"/>
        </w:rPr>
        <w:t xml:space="preserve">(„Berg, Gebirge") mit </w:t>
      </w:r>
      <w:r w:rsidRPr="00394F78">
        <w:rPr>
          <w:rFonts w:eastAsia="Times New Roman"/>
          <w:b/>
          <w:bCs/>
          <w:rtl/>
          <w:lang w:eastAsia="de-DE"/>
        </w:rPr>
        <w:t>שֵׂעִיר</w:t>
      </w:r>
      <w:r w:rsidRPr="00394F78">
        <w:rPr>
          <w:rFonts w:eastAsia="Times New Roman"/>
          <w:rtl/>
          <w:lang w:eastAsia="de-DE"/>
        </w:rPr>
        <w:t xml:space="preserve"> </w:t>
      </w:r>
      <w:r w:rsidRPr="00394F78">
        <w:rPr>
          <w:rFonts w:eastAsia="Times New Roman"/>
          <w:lang w:eastAsia="de-DE"/>
        </w:rPr>
        <w:t xml:space="preserve">(Ortsname „Seir") bildet eine geografische Angabe. Die Präposition </w:t>
      </w:r>
      <w:r w:rsidRPr="00394F78">
        <w:rPr>
          <w:rFonts w:eastAsia="Times New Roman"/>
          <w:b/>
          <w:bCs/>
          <w:rtl/>
          <w:lang w:eastAsia="de-DE"/>
        </w:rPr>
        <w:t>עַד</w:t>
      </w:r>
      <w:r w:rsidRPr="00394F78">
        <w:rPr>
          <w:rFonts w:eastAsia="Times New Roman"/>
          <w:rtl/>
          <w:lang w:eastAsia="de-DE"/>
        </w:rPr>
        <w:t xml:space="preserve"> </w:t>
      </w:r>
      <w:r w:rsidRPr="00394F78">
        <w:rPr>
          <w:rFonts w:eastAsia="Times New Roman"/>
          <w:lang w:eastAsia="de-DE"/>
        </w:rPr>
        <w:t xml:space="preserve">(„bis") leitet das Ziel an: </w:t>
      </w:r>
      <w:r w:rsidRPr="00394F78">
        <w:rPr>
          <w:rFonts w:eastAsia="Times New Roman"/>
          <w:b/>
          <w:bCs/>
          <w:rtl/>
          <w:lang w:eastAsia="de-DE"/>
        </w:rPr>
        <w:t>קָדֵשׁ בַּרְנֵעַ</w:t>
      </w:r>
      <w:r w:rsidRPr="00394F78">
        <w:rPr>
          <w:rFonts w:eastAsia="Times New Roman"/>
          <w:rtl/>
          <w:lang w:eastAsia="de-DE"/>
        </w:rPr>
        <w:t xml:space="preserve"> </w:t>
      </w:r>
      <w:r w:rsidRPr="00394F78">
        <w:rPr>
          <w:rFonts w:eastAsia="Times New Roman"/>
          <w:lang w:eastAsia="de-DE"/>
        </w:rPr>
        <w:t>ist ein zusammengesetzter Ortsname „Kadesch-Barnea".</w:t>
      </w:r>
    </w:p>
    <w:p w14:paraId="131C335C" w14:textId="77777777"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b/>
          <w:bCs/>
          <w:lang w:eastAsia="de-DE"/>
        </w:rPr>
        <w:t>Die LXX</w:t>
      </w:r>
      <w:r w:rsidRPr="00394F78">
        <w:rPr>
          <w:rFonts w:eastAsia="Times New Roman"/>
          <w:lang w:eastAsia="de-DE"/>
        </w:rPr>
        <w:t xml:space="preserve"> übersetzt mit „</w:t>
      </w:r>
      <w:proofErr w:type="spellStart"/>
      <w:r w:rsidRPr="00394F78">
        <w:rPr>
          <w:rFonts w:eastAsia="Times New Roman"/>
          <w:lang w:eastAsia="de-DE"/>
        </w:rPr>
        <w:t>ἕνδεκ</w:t>
      </w:r>
      <w:proofErr w:type="spellEnd"/>
      <w:r w:rsidRPr="00394F78">
        <w:rPr>
          <w:rFonts w:eastAsia="Times New Roman"/>
          <w:lang w:eastAsia="de-DE"/>
        </w:rPr>
        <w:t xml:space="preserve">α </w:t>
      </w:r>
      <w:proofErr w:type="spellStart"/>
      <w:r w:rsidRPr="00394F78">
        <w:rPr>
          <w:rFonts w:eastAsia="Times New Roman"/>
          <w:lang w:eastAsia="de-DE"/>
        </w:rPr>
        <w:t>ἡμερῶν</w:t>
      </w:r>
      <w:proofErr w:type="spellEnd"/>
      <w:r w:rsidRPr="00394F78">
        <w:rPr>
          <w:rFonts w:eastAsia="Times New Roman"/>
          <w:lang w:eastAsia="de-DE"/>
        </w:rPr>
        <w:t xml:space="preserve">" („elf Tage") und behält die Struktur bei, transliteriert aber die Ortsnamen: „ἀπὸ </w:t>
      </w:r>
      <w:proofErr w:type="spellStart"/>
      <w:r w:rsidRPr="00394F78">
        <w:rPr>
          <w:rFonts w:eastAsia="Times New Roman"/>
          <w:lang w:eastAsia="de-DE"/>
        </w:rPr>
        <w:t>Χωρη</w:t>
      </w:r>
      <w:proofErr w:type="spellEnd"/>
      <w:r w:rsidRPr="00394F78">
        <w:rPr>
          <w:rFonts w:eastAsia="Times New Roman"/>
          <w:lang w:eastAsia="de-DE"/>
        </w:rPr>
        <w:t xml:space="preserve">β </w:t>
      </w:r>
      <w:proofErr w:type="spellStart"/>
      <w:r w:rsidRPr="00394F78">
        <w:rPr>
          <w:rFonts w:eastAsia="Times New Roman"/>
          <w:lang w:eastAsia="de-DE"/>
        </w:rPr>
        <w:t>ὁδὸν</w:t>
      </w:r>
      <w:proofErr w:type="spellEnd"/>
      <w:r w:rsidRPr="00394F78">
        <w:rPr>
          <w:rFonts w:eastAsia="Times New Roman"/>
          <w:lang w:eastAsia="de-DE"/>
        </w:rPr>
        <w:t xml:space="preserve"> τὴν κα</w:t>
      </w:r>
      <w:proofErr w:type="spellStart"/>
      <w:r w:rsidRPr="00394F78">
        <w:rPr>
          <w:rFonts w:eastAsia="Times New Roman"/>
          <w:lang w:eastAsia="de-DE"/>
        </w:rPr>
        <w:t>τὰ</w:t>
      </w:r>
      <w:proofErr w:type="spellEnd"/>
      <w:r w:rsidRPr="00394F78">
        <w:rPr>
          <w:rFonts w:eastAsia="Times New Roman"/>
          <w:lang w:eastAsia="de-DE"/>
        </w:rPr>
        <w:t xml:space="preserve"> </w:t>
      </w:r>
      <w:proofErr w:type="spellStart"/>
      <w:r w:rsidRPr="00394F78">
        <w:rPr>
          <w:rFonts w:eastAsia="Times New Roman"/>
          <w:lang w:eastAsia="de-DE"/>
        </w:rPr>
        <w:t>τὸ</w:t>
      </w:r>
      <w:proofErr w:type="spellEnd"/>
      <w:r w:rsidRPr="00394F78">
        <w:rPr>
          <w:rFonts w:eastAsia="Times New Roman"/>
          <w:lang w:eastAsia="de-DE"/>
        </w:rPr>
        <w:t xml:space="preserve"> </w:t>
      </w:r>
      <w:proofErr w:type="spellStart"/>
      <w:r w:rsidRPr="00394F78">
        <w:rPr>
          <w:rFonts w:eastAsia="Times New Roman"/>
          <w:lang w:eastAsia="de-DE"/>
        </w:rPr>
        <w:t>ὄρος</w:t>
      </w:r>
      <w:proofErr w:type="spellEnd"/>
      <w:r w:rsidRPr="00394F78">
        <w:rPr>
          <w:rFonts w:eastAsia="Times New Roman"/>
          <w:lang w:eastAsia="de-DE"/>
        </w:rPr>
        <w:t xml:space="preserve"> </w:t>
      </w:r>
      <w:proofErr w:type="spellStart"/>
      <w:r w:rsidRPr="00394F78">
        <w:rPr>
          <w:rFonts w:eastAsia="Times New Roman"/>
          <w:lang w:eastAsia="de-DE"/>
        </w:rPr>
        <w:t>Σηιρ</w:t>
      </w:r>
      <w:proofErr w:type="spellEnd"/>
      <w:r w:rsidRPr="00394F78">
        <w:rPr>
          <w:rFonts w:eastAsia="Times New Roman"/>
          <w:lang w:eastAsia="de-DE"/>
        </w:rPr>
        <w:t xml:space="preserve"> </w:t>
      </w:r>
      <w:proofErr w:type="spellStart"/>
      <w:r w:rsidRPr="00394F78">
        <w:rPr>
          <w:rFonts w:eastAsia="Times New Roman"/>
          <w:lang w:eastAsia="de-DE"/>
        </w:rPr>
        <w:t>ἕως</w:t>
      </w:r>
      <w:proofErr w:type="spellEnd"/>
      <w:r w:rsidRPr="00394F78">
        <w:rPr>
          <w:rFonts w:eastAsia="Times New Roman"/>
          <w:lang w:eastAsia="de-DE"/>
        </w:rPr>
        <w:t xml:space="preserve"> Κα</w:t>
      </w:r>
      <w:proofErr w:type="spellStart"/>
      <w:r w:rsidRPr="00394F78">
        <w:rPr>
          <w:rFonts w:eastAsia="Times New Roman"/>
          <w:lang w:eastAsia="de-DE"/>
        </w:rPr>
        <w:t>δης</w:t>
      </w:r>
      <w:proofErr w:type="spellEnd"/>
      <w:r w:rsidRPr="00394F78">
        <w:rPr>
          <w:rFonts w:eastAsia="Times New Roman"/>
          <w:lang w:eastAsia="de-DE"/>
        </w:rPr>
        <w:t xml:space="preserve"> Βα</w:t>
      </w:r>
      <w:proofErr w:type="spellStart"/>
      <w:r w:rsidRPr="00394F78">
        <w:rPr>
          <w:rFonts w:eastAsia="Times New Roman"/>
          <w:lang w:eastAsia="de-DE"/>
        </w:rPr>
        <w:t>ρνη</w:t>
      </w:r>
      <w:proofErr w:type="spellEnd"/>
      <w:r w:rsidRPr="00394F78">
        <w:rPr>
          <w:rFonts w:eastAsia="Times New Roman"/>
          <w:lang w:eastAsia="de-DE"/>
        </w:rPr>
        <w:t xml:space="preserve">" („von Horeb, den Weg nach dem Berg Seir bis Kades </w:t>
      </w:r>
      <w:proofErr w:type="spellStart"/>
      <w:r w:rsidRPr="00394F78">
        <w:rPr>
          <w:rFonts w:eastAsia="Times New Roman"/>
          <w:lang w:eastAsia="de-DE"/>
        </w:rPr>
        <w:t>Barne</w:t>
      </w:r>
      <w:proofErr w:type="spellEnd"/>
      <w:r w:rsidRPr="00394F78">
        <w:rPr>
          <w:rFonts w:eastAsia="Times New Roman"/>
          <w:lang w:eastAsia="de-DE"/>
        </w:rPr>
        <w:t>").</w:t>
      </w:r>
    </w:p>
    <w:p w14:paraId="3BEB0CF7" w14:textId="77777777"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lang w:eastAsia="de-DE"/>
        </w:rPr>
        <w:lastRenderedPageBreak/>
        <w:t xml:space="preserve">Die Satzstruktur ist ein einfacher Nominalsatz ohne finites Verb (Verbalsatz). Die Zeitangabe „elf Tage" steht als Prädikat zu einem elliptischen Subjekt („es sind"). Die präpositionalen Phrasen </w:t>
      </w:r>
      <w:r w:rsidRPr="00394F78">
        <w:rPr>
          <w:rFonts w:eastAsia="Times New Roman"/>
          <w:b/>
          <w:bCs/>
          <w:rtl/>
          <w:lang w:eastAsia="de-DE"/>
        </w:rPr>
        <w:t>מֵחֹרֵב</w:t>
      </w:r>
      <w:r w:rsidRPr="00394F78">
        <w:rPr>
          <w:rFonts w:eastAsia="Times New Roman"/>
          <w:lang w:eastAsia="de-DE"/>
        </w:rPr>
        <w:t xml:space="preserve">, </w:t>
      </w:r>
      <w:r w:rsidRPr="00394F78">
        <w:rPr>
          <w:rFonts w:eastAsia="Times New Roman"/>
          <w:b/>
          <w:bCs/>
          <w:rtl/>
          <w:lang w:eastAsia="de-DE"/>
        </w:rPr>
        <w:t>דֶּרֶךְ הַר־שֵׂעִיר</w:t>
      </w:r>
      <w:r w:rsidRPr="00394F78">
        <w:rPr>
          <w:rFonts w:eastAsia="Times New Roman"/>
          <w:rtl/>
          <w:lang w:eastAsia="de-DE"/>
        </w:rPr>
        <w:t xml:space="preserve"> </w:t>
      </w:r>
      <w:r w:rsidRPr="00394F78">
        <w:rPr>
          <w:rFonts w:eastAsia="Times New Roman"/>
          <w:lang w:eastAsia="de-DE"/>
        </w:rPr>
        <w:t xml:space="preserve">und </w:t>
      </w:r>
      <w:r w:rsidRPr="00394F78">
        <w:rPr>
          <w:rFonts w:eastAsia="Times New Roman"/>
          <w:b/>
          <w:bCs/>
          <w:rtl/>
          <w:lang w:eastAsia="de-DE"/>
        </w:rPr>
        <w:t>עַד קָדֵשׁ בַּרְנֵעַ</w:t>
      </w:r>
      <w:r w:rsidRPr="00394F78">
        <w:rPr>
          <w:rFonts w:eastAsia="Times New Roman"/>
          <w:rtl/>
          <w:lang w:eastAsia="de-DE"/>
        </w:rPr>
        <w:t xml:space="preserve"> </w:t>
      </w:r>
      <w:r w:rsidRPr="00394F78">
        <w:rPr>
          <w:rFonts w:eastAsia="Times New Roman"/>
          <w:lang w:eastAsia="de-DE"/>
        </w:rPr>
        <w:t>dienen als adverbiale Bestimmungen und beschreiben die Route.</w:t>
      </w:r>
    </w:p>
    <w:p w14:paraId="435D3094" w14:textId="77777777"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lang w:eastAsia="de-DE"/>
        </w:rPr>
        <w:t>Der Vers gibt eine Reisezeitangabe, die die normale Distanz zwischen Horeb und Kadesch-Barnea beschreibt und implizit den Kontrast zur 40-jährigen Wüstenwanderung Israels andeutet.</w:t>
      </w:r>
    </w:p>
    <w:p w14:paraId="691D773A" w14:textId="77777777" w:rsidR="00394F78" w:rsidRPr="00394F78" w:rsidRDefault="00394F78" w:rsidP="00394F78">
      <w:pPr>
        <w:spacing w:before="100" w:beforeAutospacing="1" w:after="100" w:afterAutospacing="1" w:line="240" w:lineRule="auto"/>
        <w:outlineLvl w:val="1"/>
        <w:rPr>
          <w:rFonts w:eastAsia="Times New Roman"/>
          <w:b/>
          <w:bCs/>
          <w:sz w:val="36"/>
          <w:szCs w:val="36"/>
          <w:lang w:eastAsia="de-DE"/>
        </w:rPr>
      </w:pPr>
      <w:r w:rsidRPr="00394F78">
        <w:rPr>
          <w:rFonts w:eastAsia="Times New Roman"/>
          <w:b/>
          <w:bCs/>
          <w:sz w:val="36"/>
          <w:szCs w:val="36"/>
          <w:lang w:eastAsia="de-DE"/>
        </w:rPr>
        <w:t>Deuteronomium 1,3</w:t>
      </w:r>
    </w:p>
    <w:p w14:paraId="2A73E7A1" w14:textId="77777777"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b/>
          <w:bCs/>
          <w:lang w:eastAsia="de-DE"/>
        </w:rPr>
        <w:t>Hebräisch:</w:t>
      </w:r>
      <w:r w:rsidRPr="00394F78">
        <w:rPr>
          <w:rFonts w:eastAsia="Times New Roman"/>
          <w:lang w:eastAsia="de-DE"/>
        </w:rPr>
        <w:t xml:space="preserve"> </w:t>
      </w:r>
      <w:r w:rsidRPr="00394F78">
        <w:rPr>
          <w:rFonts w:eastAsia="Times New Roman"/>
          <w:rtl/>
          <w:lang w:eastAsia="de-DE"/>
        </w:rPr>
        <w:t>וַיְהִי֙ בְּאַרְבָּעִ֣ים שָׁנָ֔ה בְּעַשְׁתֵּֽי־עָשָׂ֥ר חֹ֖דֶשׁ בְּאֶחָ֣ד לַחֹ֑דֶשׁ דִּבֶּ֤ר מֹשֶׁה֙ אֶל־בְּנֵ֣י יִשְׂרָאֵ֔ל כְּ֠כֹל אֲשֶׁ֨ר צִוָּ֧ה יְהוָ֛ה אֹתוֹ֖ אֲלֵהֶֽם׃</w:t>
      </w:r>
    </w:p>
    <w:p w14:paraId="3B89D31F" w14:textId="77777777"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b/>
          <w:bCs/>
          <w:lang w:eastAsia="de-DE"/>
        </w:rPr>
        <w:t>Deutsch:</w:t>
      </w:r>
      <w:r w:rsidRPr="00394F78">
        <w:rPr>
          <w:rFonts w:eastAsia="Times New Roman"/>
          <w:lang w:eastAsia="de-DE"/>
        </w:rPr>
        <w:t xml:space="preserve"> Und es geschah im 40. Jahr, im elften Monat, am Ersten des Monats, redete Mosche zu den Söhnen Jisra'el gemäß allem, was der Ewige ihm für sie geboten hatte.</w:t>
      </w:r>
    </w:p>
    <w:p w14:paraId="3175189D" w14:textId="77777777" w:rsidR="00394F78" w:rsidRPr="00394F78" w:rsidRDefault="004F5CEB" w:rsidP="00394F78">
      <w:pPr>
        <w:spacing w:after="0" w:line="240" w:lineRule="auto"/>
        <w:rPr>
          <w:rFonts w:eastAsia="Times New Roman"/>
          <w:lang w:eastAsia="de-DE"/>
        </w:rPr>
      </w:pPr>
      <w:r>
        <w:rPr>
          <w:rFonts w:eastAsia="Times New Roman"/>
          <w:noProof/>
          <w:lang w:eastAsia="de-DE"/>
        </w:rPr>
        <w:pict w14:anchorId="452C4501">
          <v:rect id="_x0000_i1027" style="width:0;height:1.5pt" o:hralign="center" o:hrstd="t" o:hr="t" fillcolor="#a0a0a0" stroked="f"/>
        </w:pict>
      </w:r>
    </w:p>
    <w:p w14:paraId="743E1C65" w14:textId="6DC95A35"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b/>
          <w:bCs/>
          <w:lang w:eastAsia="de-DE"/>
        </w:rPr>
        <w:t>Kommentar:</w:t>
      </w:r>
      <w:r w:rsidRPr="00394F78">
        <w:rPr>
          <w:rFonts w:eastAsia="Times New Roman"/>
          <w:lang w:eastAsia="de-DE"/>
        </w:rPr>
        <w:t xml:space="preserve"> </w:t>
      </w:r>
      <w:r w:rsidRPr="00394F78">
        <w:rPr>
          <w:rFonts w:eastAsia="Times New Roman"/>
          <w:b/>
          <w:bCs/>
          <w:rtl/>
          <w:lang w:eastAsia="de-DE"/>
        </w:rPr>
        <w:t>וַיְהִי</w:t>
      </w:r>
      <w:r w:rsidRPr="00394F78">
        <w:rPr>
          <w:rFonts w:eastAsia="Times New Roman"/>
          <w:rtl/>
          <w:lang w:eastAsia="de-DE"/>
        </w:rPr>
        <w:t xml:space="preserve"> </w:t>
      </w:r>
      <w:r w:rsidRPr="00394F78">
        <w:rPr>
          <w:rFonts w:eastAsia="Times New Roman"/>
          <w:lang w:eastAsia="de-DE"/>
        </w:rPr>
        <w:t xml:space="preserve">ist die Waw-consecutivum-Form von </w:t>
      </w:r>
      <w:r w:rsidRPr="00394F78">
        <w:rPr>
          <w:rFonts w:eastAsia="Times New Roman"/>
          <w:b/>
          <w:bCs/>
          <w:rtl/>
          <w:lang w:eastAsia="de-DE"/>
        </w:rPr>
        <w:t>הָיָה</w:t>
      </w:r>
      <w:r w:rsidRPr="00394F78">
        <w:rPr>
          <w:rFonts w:eastAsia="Times New Roman"/>
          <w:rtl/>
          <w:lang w:eastAsia="de-DE"/>
        </w:rPr>
        <w:t xml:space="preserve"> </w:t>
      </w:r>
      <w:r w:rsidRPr="00394F78">
        <w:rPr>
          <w:rFonts w:eastAsia="Times New Roman"/>
          <w:lang w:eastAsia="de-DE"/>
        </w:rPr>
        <w:t xml:space="preserve">(„sein, geschehen"), Imperfekt consecutivum, 3. Person maskulin Singular. Diese Form leitet typischerweise narrative Sequenzen ein und markiert einen neuen Abschnitt. Die Zeitangabe beginnt mit der Präposition </w:t>
      </w:r>
      <w:r w:rsidRPr="00394F78">
        <w:rPr>
          <w:rFonts w:eastAsia="Times New Roman"/>
          <w:b/>
          <w:bCs/>
          <w:rtl/>
          <w:lang w:eastAsia="de-DE"/>
        </w:rPr>
        <w:t>בְּ</w:t>
      </w:r>
      <w:r w:rsidRPr="00394F78">
        <w:rPr>
          <w:rFonts w:eastAsia="Times New Roman"/>
          <w:rtl/>
          <w:lang w:eastAsia="de-DE"/>
        </w:rPr>
        <w:t xml:space="preserve"> </w:t>
      </w:r>
      <w:r w:rsidRPr="00394F78">
        <w:rPr>
          <w:rFonts w:eastAsia="Times New Roman"/>
          <w:lang w:eastAsia="de-DE"/>
        </w:rPr>
        <w:t xml:space="preserve">(„in, im") und </w:t>
      </w:r>
      <w:r w:rsidRPr="00394F78">
        <w:rPr>
          <w:rFonts w:eastAsia="Times New Roman"/>
          <w:b/>
          <w:bCs/>
          <w:rtl/>
          <w:lang w:eastAsia="de-DE"/>
        </w:rPr>
        <w:t>אַרְבָּעִים</w:t>
      </w:r>
      <w:r w:rsidRPr="00394F78">
        <w:rPr>
          <w:rFonts w:eastAsia="Times New Roman"/>
          <w:rtl/>
          <w:lang w:eastAsia="de-DE"/>
        </w:rPr>
        <w:t xml:space="preserve"> </w:t>
      </w:r>
      <w:r w:rsidRPr="00394F78">
        <w:rPr>
          <w:rFonts w:eastAsia="Times New Roman"/>
          <w:lang w:eastAsia="de-DE"/>
        </w:rPr>
        <w:t xml:space="preserve">(„vierzig"), gefolgt von </w:t>
      </w:r>
      <w:r w:rsidRPr="00394F78">
        <w:rPr>
          <w:rFonts w:eastAsia="Times New Roman"/>
          <w:b/>
          <w:bCs/>
          <w:rtl/>
          <w:lang w:eastAsia="de-DE"/>
        </w:rPr>
        <w:t>שָׁנָה</w:t>
      </w:r>
      <w:r w:rsidRPr="00394F78">
        <w:rPr>
          <w:rFonts w:eastAsia="Times New Roman"/>
          <w:rtl/>
          <w:lang w:eastAsia="de-DE"/>
        </w:rPr>
        <w:t xml:space="preserve"> </w:t>
      </w:r>
      <w:r w:rsidRPr="00394F78">
        <w:rPr>
          <w:rFonts w:eastAsia="Times New Roman"/>
          <w:lang w:eastAsia="de-DE"/>
        </w:rPr>
        <w:t xml:space="preserve">(„Jahr", feminin Singular). </w:t>
      </w:r>
      <w:r w:rsidRPr="00394F78">
        <w:rPr>
          <w:rFonts w:eastAsia="Times New Roman"/>
          <w:b/>
          <w:bCs/>
          <w:rtl/>
          <w:lang w:eastAsia="de-DE"/>
        </w:rPr>
        <w:t>בְּעַשְׁתֵּי־עָשָׂר</w:t>
      </w:r>
      <w:r w:rsidRPr="00394F78">
        <w:rPr>
          <w:rFonts w:eastAsia="Times New Roman"/>
          <w:rtl/>
          <w:lang w:eastAsia="de-DE"/>
        </w:rPr>
        <w:t xml:space="preserve"> </w:t>
      </w:r>
      <w:r w:rsidRPr="00394F78">
        <w:rPr>
          <w:rFonts w:eastAsia="Times New Roman"/>
          <w:lang w:eastAsia="de-DE"/>
        </w:rPr>
        <w:t xml:space="preserve">ist die Ordinalzahl „elfter", bestehend aus der femininen Form </w:t>
      </w:r>
      <w:r w:rsidRPr="00394F78">
        <w:rPr>
          <w:rFonts w:eastAsia="Times New Roman"/>
          <w:b/>
          <w:bCs/>
          <w:rtl/>
          <w:lang w:eastAsia="de-DE"/>
        </w:rPr>
        <w:t>עַשְׁתֵּי</w:t>
      </w:r>
      <w:r w:rsidRPr="00394F78">
        <w:rPr>
          <w:rFonts w:eastAsia="Times New Roman"/>
          <w:rtl/>
          <w:lang w:eastAsia="de-DE"/>
        </w:rPr>
        <w:t xml:space="preserve"> </w:t>
      </w:r>
      <w:r w:rsidRPr="00394F78">
        <w:rPr>
          <w:rFonts w:eastAsia="Times New Roman"/>
          <w:lang w:eastAsia="de-DE"/>
        </w:rPr>
        <w:t xml:space="preserve">(„eins" im </w:t>
      </w:r>
      <w:r w:rsidR="0032647F">
        <w:rPr>
          <w:rFonts w:eastAsia="Times New Roman"/>
          <w:lang w:eastAsia="de-DE"/>
        </w:rPr>
        <w:t>Construct</w:t>
      </w:r>
      <w:r w:rsidRPr="00394F78">
        <w:rPr>
          <w:rFonts w:eastAsia="Times New Roman"/>
          <w:lang w:eastAsia="de-DE"/>
        </w:rPr>
        <w:t xml:space="preserve">) und </w:t>
      </w:r>
      <w:r w:rsidRPr="00394F78">
        <w:rPr>
          <w:rFonts w:eastAsia="Times New Roman"/>
          <w:b/>
          <w:bCs/>
          <w:rtl/>
          <w:lang w:eastAsia="de-DE"/>
        </w:rPr>
        <w:t>עָשָׂר</w:t>
      </w:r>
      <w:r w:rsidRPr="00394F78">
        <w:rPr>
          <w:rFonts w:eastAsia="Times New Roman"/>
          <w:rtl/>
          <w:lang w:eastAsia="de-DE"/>
        </w:rPr>
        <w:t xml:space="preserve"> </w:t>
      </w:r>
      <w:r w:rsidRPr="00394F78">
        <w:rPr>
          <w:rFonts w:eastAsia="Times New Roman"/>
          <w:lang w:eastAsia="de-DE"/>
        </w:rPr>
        <w:t xml:space="preserve">(„zehn"). </w:t>
      </w:r>
      <w:r w:rsidRPr="00394F78">
        <w:rPr>
          <w:rFonts w:eastAsia="Times New Roman"/>
          <w:b/>
          <w:bCs/>
          <w:rtl/>
          <w:lang w:eastAsia="de-DE"/>
        </w:rPr>
        <w:t>חֹדֶשׁ</w:t>
      </w:r>
      <w:r w:rsidRPr="00394F78">
        <w:rPr>
          <w:rFonts w:eastAsia="Times New Roman"/>
          <w:rtl/>
          <w:lang w:eastAsia="de-DE"/>
        </w:rPr>
        <w:t xml:space="preserve"> </w:t>
      </w:r>
      <w:r w:rsidRPr="00394F78">
        <w:rPr>
          <w:rFonts w:eastAsia="Times New Roman"/>
          <w:lang w:eastAsia="de-DE"/>
        </w:rPr>
        <w:t xml:space="preserve">(„Monat") ist maskulin Singular. Die weitere Spezifikation </w:t>
      </w:r>
      <w:r w:rsidRPr="00394F78">
        <w:rPr>
          <w:rFonts w:eastAsia="Times New Roman"/>
          <w:b/>
          <w:bCs/>
          <w:rtl/>
          <w:lang w:eastAsia="de-DE"/>
        </w:rPr>
        <w:t>בְּאֶחָד</w:t>
      </w:r>
      <w:r w:rsidRPr="00394F78">
        <w:rPr>
          <w:rFonts w:eastAsia="Times New Roman"/>
          <w:rtl/>
          <w:lang w:eastAsia="de-DE"/>
        </w:rPr>
        <w:t xml:space="preserve"> </w:t>
      </w:r>
      <w:r w:rsidRPr="00394F78">
        <w:rPr>
          <w:rFonts w:eastAsia="Times New Roman"/>
          <w:lang w:eastAsia="de-DE"/>
        </w:rPr>
        <w:t xml:space="preserve">(„am ersten") mit </w:t>
      </w:r>
      <w:r w:rsidRPr="00394F78">
        <w:rPr>
          <w:rFonts w:eastAsia="Times New Roman"/>
          <w:b/>
          <w:bCs/>
          <w:rtl/>
          <w:lang w:eastAsia="de-DE"/>
        </w:rPr>
        <w:t>לַחֹדֶשׁ</w:t>
      </w:r>
      <w:r w:rsidRPr="00394F78">
        <w:rPr>
          <w:rFonts w:eastAsia="Times New Roman"/>
          <w:rtl/>
          <w:lang w:eastAsia="de-DE"/>
        </w:rPr>
        <w:t xml:space="preserve"> </w:t>
      </w:r>
      <w:r w:rsidRPr="00394F78">
        <w:rPr>
          <w:rFonts w:eastAsia="Times New Roman"/>
          <w:lang w:eastAsia="de-DE"/>
        </w:rPr>
        <w:t xml:space="preserve">(„des Monats", mit Präposition </w:t>
      </w:r>
      <w:r w:rsidRPr="00394F78">
        <w:rPr>
          <w:rFonts w:eastAsia="Times New Roman"/>
          <w:b/>
          <w:bCs/>
          <w:rtl/>
          <w:lang w:eastAsia="de-DE"/>
        </w:rPr>
        <w:t>לְ</w:t>
      </w:r>
      <w:r w:rsidRPr="00394F78">
        <w:rPr>
          <w:rFonts w:eastAsia="Times New Roman"/>
          <w:lang w:eastAsia="de-DE"/>
        </w:rPr>
        <w:t>) gibt den genauen Tag an.</w:t>
      </w:r>
    </w:p>
    <w:p w14:paraId="0DD434F9" w14:textId="444ECBA4"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b/>
          <w:bCs/>
          <w:rtl/>
          <w:lang w:eastAsia="de-DE"/>
        </w:rPr>
        <w:t>דִּבֶּר</w:t>
      </w:r>
      <w:r w:rsidRPr="00394F78">
        <w:rPr>
          <w:rFonts w:eastAsia="Times New Roman"/>
          <w:rtl/>
          <w:lang w:eastAsia="de-DE"/>
        </w:rPr>
        <w:t xml:space="preserve"> </w:t>
      </w:r>
      <w:r w:rsidRPr="00394F78">
        <w:rPr>
          <w:rFonts w:eastAsia="Times New Roman"/>
          <w:lang w:eastAsia="de-DE"/>
        </w:rPr>
        <w:t xml:space="preserve">ist Piel Perfekt, 3. Person maskulin Singular von </w:t>
      </w:r>
      <w:r w:rsidRPr="00394F78">
        <w:rPr>
          <w:rFonts w:eastAsia="Times New Roman"/>
          <w:rtl/>
          <w:lang w:eastAsia="de-DE"/>
        </w:rPr>
        <w:t>דבר</w:t>
      </w:r>
      <w:r w:rsidRPr="00394F78">
        <w:rPr>
          <w:rFonts w:eastAsia="Times New Roman"/>
          <w:lang w:eastAsia="de-DE"/>
        </w:rPr>
        <w:t xml:space="preserve">, identisch mit V. 1, und bildet das Hauptverb des Satzes. </w:t>
      </w:r>
      <w:r w:rsidRPr="00394F78">
        <w:rPr>
          <w:rFonts w:eastAsia="Times New Roman"/>
          <w:b/>
          <w:bCs/>
          <w:rtl/>
          <w:lang w:eastAsia="de-DE"/>
        </w:rPr>
        <w:t>מֹשֶׁה</w:t>
      </w:r>
      <w:r w:rsidRPr="00394F78">
        <w:rPr>
          <w:rFonts w:eastAsia="Times New Roman"/>
          <w:rtl/>
          <w:lang w:eastAsia="de-DE"/>
        </w:rPr>
        <w:t xml:space="preserve"> </w:t>
      </w:r>
      <w:r w:rsidRPr="00394F78">
        <w:rPr>
          <w:rFonts w:eastAsia="Times New Roman"/>
          <w:lang w:eastAsia="de-DE"/>
        </w:rPr>
        <w:t xml:space="preserve">ist das Subjekt. </w:t>
      </w:r>
      <w:r w:rsidRPr="00394F78">
        <w:rPr>
          <w:rFonts w:eastAsia="Times New Roman"/>
          <w:b/>
          <w:bCs/>
          <w:rtl/>
          <w:lang w:eastAsia="de-DE"/>
        </w:rPr>
        <w:t>אֶל־בְּנֵי יִשְׂרָאֵל</w:t>
      </w:r>
      <w:r w:rsidRPr="00394F78">
        <w:rPr>
          <w:rFonts w:eastAsia="Times New Roman"/>
          <w:rtl/>
          <w:lang w:eastAsia="de-DE"/>
        </w:rPr>
        <w:t xml:space="preserve"> </w:t>
      </w:r>
      <w:r w:rsidRPr="00394F78">
        <w:rPr>
          <w:rFonts w:eastAsia="Times New Roman"/>
          <w:lang w:eastAsia="de-DE"/>
        </w:rPr>
        <w:t xml:space="preserve">besteht aus der Präposition </w:t>
      </w:r>
      <w:r w:rsidRPr="00394F78">
        <w:rPr>
          <w:rFonts w:eastAsia="Times New Roman"/>
          <w:b/>
          <w:bCs/>
          <w:rtl/>
          <w:lang w:eastAsia="de-DE"/>
        </w:rPr>
        <w:t>אֶל</w:t>
      </w:r>
      <w:r w:rsidRPr="00394F78">
        <w:rPr>
          <w:rFonts w:eastAsia="Times New Roman"/>
          <w:rtl/>
          <w:lang w:eastAsia="de-DE"/>
        </w:rPr>
        <w:t xml:space="preserve"> </w:t>
      </w:r>
      <w:r w:rsidRPr="00394F78">
        <w:rPr>
          <w:rFonts w:eastAsia="Times New Roman"/>
          <w:lang w:eastAsia="de-DE"/>
        </w:rPr>
        <w:t xml:space="preserve">und der </w:t>
      </w:r>
      <w:r w:rsidR="0032647F">
        <w:rPr>
          <w:rFonts w:eastAsia="Times New Roman"/>
          <w:lang w:eastAsia="de-DE"/>
        </w:rPr>
        <w:t>Construct</w:t>
      </w:r>
      <w:r w:rsidRPr="00394F78">
        <w:rPr>
          <w:rFonts w:eastAsia="Times New Roman"/>
          <w:lang w:eastAsia="de-DE"/>
        </w:rPr>
        <w:t xml:space="preserve">usverbindung </w:t>
      </w:r>
      <w:r w:rsidRPr="00394F78">
        <w:rPr>
          <w:rFonts w:eastAsia="Times New Roman"/>
          <w:b/>
          <w:bCs/>
          <w:rtl/>
          <w:lang w:eastAsia="de-DE"/>
        </w:rPr>
        <w:t>בְּנֵי יִשְׂרָאֵל</w:t>
      </w:r>
      <w:r w:rsidRPr="00394F78">
        <w:rPr>
          <w:rFonts w:eastAsia="Times New Roman"/>
          <w:rtl/>
          <w:lang w:eastAsia="de-DE"/>
        </w:rPr>
        <w:t xml:space="preserve"> </w:t>
      </w:r>
      <w:r w:rsidRPr="00394F78">
        <w:rPr>
          <w:rFonts w:eastAsia="Times New Roman"/>
          <w:lang w:eastAsia="de-DE"/>
        </w:rPr>
        <w:t xml:space="preserve">(„Söhne Israels", d.h. Israeliten). </w:t>
      </w:r>
      <w:r w:rsidRPr="00394F78">
        <w:rPr>
          <w:rFonts w:eastAsia="Times New Roman"/>
          <w:b/>
          <w:bCs/>
          <w:rtl/>
          <w:lang w:eastAsia="de-DE"/>
        </w:rPr>
        <w:t>בְּנֵי</w:t>
      </w:r>
      <w:r w:rsidRPr="00394F78">
        <w:rPr>
          <w:rFonts w:eastAsia="Times New Roman"/>
          <w:rtl/>
          <w:lang w:eastAsia="de-DE"/>
        </w:rPr>
        <w:t xml:space="preserve"> </w:t>
      </w:r>
      <w:r w:rsidRPr="00394F78">
        <w:rPr>
          <w:rFonts w:eastAsia="Times New Roman"/>
          <w:lang w:eastAsia="de-DE"/>
        </w:rPr>
        <w:t xml:space="preserve">ist der Plural </w:t>
      </w:r>
      <w:r w:rsidR="0032647F">
        <w:rPr>
          <w:rFonts w:eastAsia="Times New Roman"/>
          <w:lang w:eastAsia="de-DE"/>
        </w:rPr>
        <w:t>Construct</w:t>
      </w:r>
      <w:r w:rsidRPr="00394F78">
        <w:rPr>
          <w:rFonts w:eastAsia="Times New Roman"/>
          <w:lang w:eastAsia="de-DE"/>
        </w:rPr>
        <w:t xml:space="preserve"> von </w:t>
      </w:r>
      <w:r w:rsidRPr="00394F78">
        <w:rPr>
          <w:rFonts w:eastAsia="Times New Roman"/>
          <w:b/>
          <w:bCs/>
          <w:rtl/>
          <w:lang w:eastAsia="de-DE"/>
        </w:rPr>
        <w:t>בֵּן</w:t>
      </w:r>
      <w:r w:rsidRPr="00394F78">
        <w:rPr>
          <w:rFonts w:eastAsia="Times New Roman"/>
          <w:rtl/>
          <w:lang w:eastAsia="de-DE"/>
        </w:rPr>
        <w:t xml:space="preserve"> </w:t>
      </w:r>
      <w:r w:rsidRPr="00394F78">
        <w:rPr>
          <w:rFonts w:eastAsia="Times New Roman"/>
          <w:lang w:eastAsia="de-DE"/>
        </w:rPr>
        <w:t>(„Sohn").</w:t>
      </w:r>
    </w:p>
    <w:p w14:paraId="2100E5B0" w14:textId="77777777"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b/>
          <w:bCs/>
          <w:rtl/>
          <w:lang w:eastAsia="de-DE"/>
        </w:rPr>
        <w:t>כְּכֹל</w:t>
      </w:r>
      <w:r w:rsidRPr="00394F78">
        <w:rPr>
          <w:rFonts w:eastAsia="Times New Roman"/>
          <w:rtl/>
          <w:lang w:eastAsia="de-DE"/>
        </w:rPr>
        <w:t xml:space="preserve"> </w:t>
      </w:r>
      <w:r w:rsidRPr="00394F78">
        <w:rPr>
          <w:rFonts w:eastAsia="Times New Roman"/>
          <w:lang w:eastAsia="de-DE"/>
        </w:rPr>
        <w:t xml:space="preserve">ist eine Präposition </w:t>
      </w:r>
      <w:r w:rsidRPr="00394F78">
        <w:rPr>
          <w:rFonts w:eastAsia="Times New Roman"/>
          <w:b/>
          <w:bCs/>
          <w:rtl/>
          <w:lang w:eastAsia="de-DE"/>
        </w:rPr>
        <w:t>כְּ</w:t>
      </w:r>
      <w:r w:rsidRPr="00394F78">
        <w:rPr>
          <w:rFonts w:eastAsia="Times New Roman"/>
          <w:rtl/>
          <w:lang w:eastAsia="de-DE"/>
        </w:rPr>
        <w:t xml:space="preserve"> </w:t>
      </w:r>
      <w:r w:rsidRPr="00394F78">
        <w:rPr>
          <w:rFonts w:eastAsia="Times New Roman"/>
          <w:lang w:eastAsia="de-DE"/>
        </w:rPr>
        <w:t xml:space="preserve">(„wie, gemäß") mit </w:t>
      </w:r>
      <w:r w:rsidRPr="00394F78">
        <w:rPr>
          <w:rFonts w:eastAsia="Times New Roman"/>
          <w:b/>
          <w:bCs/>
          <w:rtl/>
          <w:lang w:eastAsia="de-DE"/>
        </w:rPr>
        <w:t>כֹּל</w:t>
      </w:r>
      <w:r w:rsidRPr="00394F78">
        <w:rPr>
          <w:rFonts w:eastAsia="Times New Roman"/>
          <w:rtl/>
          <w:lang w:eastAsia="de-DE"/>
        </w:rPr>
        <w:t xml:space="preserve"> </w:t>
      </w:r>
      <w:r w:rsidRPr="00394F78">
        <w:rPr>
          <w:rFonts w:eastAsia="Times New Roman"/>
          <w:lang w:eastAsia="de-DE"/>
        </w:rPr>
        <w:t xml:space="preserve">(„alles, ganz"), gefolgt vom Relativsatz </w:t>
      </w:r>
      <w:r w:rsidRPr="00394F78">
        <w:rPr>
          <w:rFonts w:eastAsia="Times New Roman"/>
          <w:b/>
          <w:bCs/>
          <w:rtl/>
          <w:lang w:eastAsia="de-DE"/>
        </w:rPr>
        <w:t>אֲשֶׁר צִוָּה יְהוָה</w:t>
      </w:r>
      <w:r w:rsidRPr="00394F78">
        <w:rPr>
          <w:rFonts w:eastAsia="Times New Roman"/>
          <w:lang w:eastAsia="de-DE"/>
        </w:rPr>
        <w:t xml:space="preserve">. </w:t>
      </w:r>
      <w:r w:rsidRPr="00394F78">
        <w:rPr>
          <w:rFonts w:eastAsia="Times New Roman"/>
          <w:b/>
          <w:bCs/>
          <w:rtl/>
          <w:lang w:eastAsia="de-DE"/>
        </w:rPr>
        <w:t>צִוָּה</w:t>
      </w:r>
      <w:r w:rsidRPr="00394F78">
        <w:rPr>
          <w:rFonts w:eastAsia="Times New Roman"/>
          <w:rtl/>
          <w:lang w:eastAsia="de-DE"/>
        </w:rPr>
        <w:t xml:space="preserve"> </w:t>
      </w:r>
      <w:r w:rsidRPr="00394F78">
        <w:rPr>
          <w:rFonts w:eastAsia="Times New Roman"/>
          <w:lang w:eastAsia="de-DE"/>
        </w:rPr>
        <w:t xml:space="preserve">ist Piel Perfekt, 3. Person maskulin Singular von </w:t>
      </w:r>
      <w:r w:rsidRPr="00394F78">
        <w:rPr>
          <w:rFonts w:eastAsia="Times New Roman"/>
          <w:rtl/>
          <w:lang w:eastAsia="de-DE"/>
        </w:rPr>
        <w:t>צוה</w:t>
      </w:r>
      <w:r w:rsidRPr="00394F78">
        <w:rPr>
          <w:rFonts w:eastAsia="Times New Roman"/>
          <w:lang w:eastAsia="de-DE"/>
        </w:rPr>
        <w:t xml:space="preserve"> („befehlen, gebieten"). </w:t>
      </w:r>
      <w:r w:rsidRPr="00394F78">
        <w:rPr>
          <w:rFonts w:eastAsia="Times New Roman"/>
          <w:b/>
          <w:bCs/>
          <w:rtl/>
          <w:lang w:eastAsia="de-DE"/>
        </w:rPr>
        <w:t>יְהוָה</w:t>
      </w:r>
      <w:r w:rsidRPr="00394F78">
        <w:rPr>
          <w:rFonts w:eastAsia="Times New Roman"/>
          <w:rtl/>
          <w:lang w:eastAsia="de-DE"/>
        </w:rPr>
        <w:t xml:space="preserve"> </w:t>
      </w:r>
      <w:r w:rsidRPr="00394F78">
        <w:rPr>
          <w:rFonts w:eastAsia="Times New Roman"/>
          <w:lang w:eastAsia="de-DE"/>
        </w:rPr>
        <w:t xml:space="preserve">ist das Tetragramm, der Gottesname, hier Subjekt des Relativsatzes. </w:t>
      </w:r>
      <w:r w:rsidRPr="00394F78">
        <w:rPr>
          <w:rFonts w:eastAsia="Times New Roman"/>
          <w:b/>
          <w:bCs/>
          <w:rtl/>
          <w:lang w:eastAsia="de-DE"/>
        </w:rPr>
        <w:t>אֹתוֹ</w:t>
      </w:r>
      <w:r w:rsidRPr="00394F78">
        <w:rPr>
          <w:rFonts w:eastAsia="Times New Roman"/>
          <w:rtl/>
          <w:lang w:eastAsia="de-DE"/>
        </w:rPr>
        <w:t xml:space="preserve"> </w:t>
      </w:r>
      <w:r w:rsidRPr="00394F78">
        <w:rPr>
          <w:rFonts w:eastAsia="Times New Roman"/>
          <w:lang w:eastAsia="de-DE"/>
        </w:rPr>
        <w:t xml:space="preserve">ist das Objektsuffix 3. Person maskulin Singular („ihn", bezogen auf Mosche). </w:t>
      </w:r>
      <w:r w:rsidRPr="00394F78">
        <w:rPr>
          <w:rFonts w:eastAsia="Times New Roman"/>
          <w:b/>
          <w:bCs/>
          <w:rtl/>
          <w:lang w:eastAsia="de-DE"/>
        </w:rPr>
        <w:t>אֲלֵהֶם</w:t>
      </w:r>
      <w:r w:rsidRPr="00394F78">
        <w:rPr>
          <w:rFonts w:eastAsia="Times New Roman"/>
          <w:rtl/>
          <w:lang w:eastAsia="de-DE"/>
        </w:rPr>
        <w:t xml:space="preserve"> </w:t>
      </w:r>
      <w:r w:rsidRPr="00394F78">
        <w:rPr>
          <w:rFonts w:eastAsia="Times New Roman"/>
          <w:lang w:eastAsia="de-DE"/>
        </w:rPr>
        <w:t xml:space="preserve">besteht aus der Präposition </w:t>
      </w:r>
      <w:r w:rsidRPr="00394F78">
        <w:rPr>
          <w:rFonts w:eastAsia="Times New Roman"/>
          <w:b/>
          <w:bCs/>
          <w:rtl/>
          <w:lang w:eastAsia="de-DE"/>
        </w:rPr>
        <w:t>אֶל</w:t>
      </w:r>
      <w:r w:rsidRPr="00394F78">
        <w:rPr>
          <w:rFonts w:eastAsia="Times New Roman"/>
          <w:rtl/>
          <w:lang w:eastAsia="de-DE"/>
        </w:rPr>
        <w:t xml:space="preserve"> </w:t>
      </w:r>
      <w:r w:rsidRPr="00394F78">
        <w:rPr>
          <w:rFonts w:eastAsia="Times New Roman"/>
          <w:lang w:eastAsia="de-DE"/>
        </w:rPr>
        <w:t>und dem Suffix 3. Person maskulin Plural („zu ihnen", bezogen auf die Israeliten).</w:t>
      </w:r>
    </w:p>
    <w:p w14:paraId="3A785160" w14:textId="2174E47B"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b/>
          <w:bCs/>
          <w:lang w:eastAsia="de-DE"/>
        </w:rPr>
        <w:t>Die LXX</w:t>
      </w:r>
      <w:r w:rsidRPr="00394F78">
        <w:rPr>
          <w:rFonts w:eastAsia="Times New Roman"/>
          <w:lang w:eastAsia="de-DE"/>
        </w:rPr>
        <w:t xml:space="preserve"> übersetzt „καὶ </w:t>
      </w:r>
      <w:proofErr w:type="spellStart"/>
      <w:r w:rsidRPr="00394F78">
        <w:rPr>
          <w:rFonts w:eastAsia="Times New Roman"/>
          <w:lang w:eastAsia="de-DE"/>
        </w:rPr>
        <w:t>ἐγένετο</w:t>
      </w:r>
      <w:proofErr w:type="spellEnd"/>
      <w:r w:rsidRPr="00394F78">
        <w:rPr>
          <w:rFonts w:eastAsia="Times New Roman"/>
          <w:lang w:eastAsia="de-DE"/>
        </w:rPr>
        <w:t xml:space="preserve"> </w:t>
      </w:r>
      <w:proofErr w:type="spellStart"/>
      <w:r w:rsidRPr="00394F78">
        <w:rPr>
          <w:rFonts w:eastAsia="Times New Roman"/>
          <w:lang w:eastAsia="de-DE"/>
        </w:rPr>
        <w:t>ἐν</w:t>
      </w:r>
      <w:proofErr w:type="spellEnd"/>
      <w:r w:rsidRPr="00394F78">
        <w:rPr>
          <w:rFonts w:eastAsia="Times New Roman"/>
          <w:lang w:eastAsia="de-DE"/>
        </w:rPr>
        <w:t xml:space="preserve"> </w:t>
      </w:r>
      <w:proofErr w:type="spellStart"/>
      <w:r w:rsidRPr="00394F78">
        <w:rPr>
          <w:rFonts w:eastAsia="Times New Roman"/>
          <w:lang w:eastAsia="de-DE"/>
        </w:rPr>
        <w:t>τῷ</w:t>
      </w:r>
      <w:proofErr w:type="spellEnd"/>
      <w:r w:rsidRPr="00394F78">
        <w:rPr>
          <w:rFonts w:eastAsia="Times New Roman"/>
          <w:lang w:eastAsia="de-DE"/>
        </w:rPr>
        <w:t xml:space="preserve"> </w:t>
      </w:r>
      <w:proofErr w:type="spellStart"/>
      <w:r w:rsidRPr="00394F78">
        <w:rPr>
          <w:rFonts w:eastAsia="Times New Roman"/>
          <w:lang w:eastAsia="de-DE"/>
        </w:rPr>
        <w:t>τεσσ</w:t>
      </w:r>
      <w:proofErr w:type="spellEnd"/>
      <w:r w:rsidRPr="00394F78">
        <w:rPr>
          <w:rFonts w:eastAsia="Times New Roman"/>
          <w:lang w:eastAsia="de-DE"/>
        </w:rPr>
        <w:t xml:space="preserve">αρακοστῷ </w:t>
      </w:r>
      <w:proofErr w:type="spellStart"/>
      <w:r w:rsidRPr="00394F78">
        <w:rPr>
          <w:rFonts w:eastAsia="Times New Roman"/>
          <w:lang w:eastAsia="de-DE"/>
        </w:rPr>
        <w:t>ἔτει</w:t>
      </w:r>
      <w:proofErr w:type="spellEnd"/>
      <w:r w:rsidRPr="00394F78">
        <w:rPr>
          <w:rFonts w:eastAsia="Times New Roman"/>
          <w:lang w:eastAsia="de-DE"/>
        </w:rPr>
        <w:t xml:space="preserve">" („und es geschah im vierzigsten Jahr") und behält die Struktur bei. Die Zeitangaben werden präzise wiedergegeben. Die Formel </w:t>
      </w:r>
      <w:r w:rsidRPr="00394F78">
        <w:rPr>
          <w:rFonts w:eastAsia="Times New Roman"/>
          <w:b/>
          <w:bCs/>
          <w:rtl/>
          <w:lang w:eastAsia="de-DE"/>
        </w:rPr>
        <w:t>וַיְהִי</w:t>
      </w:r>
      <w:r w:rsidRPr="00394F78">
        <w:rPr>
          <w:rFonts w:eastAsia="Times New Roman"/>
          <w:rtl/>
          <w:lang w:eastAsia="de-DE"/>
        </w:rPr>
        <w:t xml:space="preserve"> </w:t>
      </w:r>
      <w:r w:rsidRPr="00394F78">
        <w:rPr>
          <w:rFonts w:eastAsia="Times New Roman"/>
          <w:lang w:eastAsia="de-DE"/>
        </w:rPr>
        <w:t>wird mit der typischen LXX-</w:t>
      </w:r>
      <w:r w:rsidR="00FF2B82">
        <w:rPr>
          <w:rFonts w:eastAsia="Times New Roman"/>
          <w:lang w:eastAsia="de-DE"/>
        </w:rPr>
        <w:t>Konstruktion</w:t>
      </w:r>
      <w:r w:rsidRPr="00394F78">
        <w:rPr>
          <w:rFonts w:eastAsia="Times New Roman"/>
          <w:lang w:eastAsia="de-DE"/>
        </w:rPr>
        <w:t xml:space="preserve"> „καὶ </w:t>
      </w:r>
      <w:proofErr w:type="spellStart"/>
      <w:r w:rsidRPr="00394F78">
        <w:rPr>
          <w:rFonts w:eastAsia="Times New Roman"/>
          <w:lang w:eastAsia="de-DE"/>
        </w:rPr>
        <w:t>ἐγένετο</w:t>
      </w:r>
      <w:proofErr w:type="spellEnd"/>
      <w:r w:rsidRPr="00394F78">
        <w:rPr>
          <w:rFonts w:eastAsia="Times New Roman"/>
          <w:lang w:eastAsia="de-DE"/>
        </w:rPr>
        <w:t>" übersetzt.</w:t>
      </w:r>
    </w:p>
    <w:p w14:paraId="34D6B1CF" w14:textId="77777777"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lang w:eastAsia="de-DE"/>
        </w:rPr>
        <w:t xml:space="preserve">Die Satzstruktur besteht aus einem Hauptsatz mit der Einleitungsformel </w:t>
      </w:r>
      <w:r w:rsidRPr="00394F78">
        <w:rPr>
          <w:rFonts w:eastAsia="Times New Roman"/>
          <w:b/>
          <w:bCs/>
          <w:rtl/>
          <w:lang w:eastAsia="de-DE"/>
        </w:rPr>
        <w:t>וַיְהִי</w:t>
      </w:r>
      <w:r w:rsidRPr="00394F78">
        <w:rPr>
          <w:rFonts w:eastAsia="Times New Roman"/>
          <w:rtl/>
          <w:lang w:eastAsia="de-DE"/>
        </w:rPr>
        <w:t xml:space="preserve"> </w:t>
      </w:r>
      <w:r w:rsidRPr="00394F78">
        <w:rPr>
          <w:rFonts w:eastAsia="Times New Roman"/>
          <w:lang w:eastAsia="de-DE"/>
        </w:rPr>
        <w:t xml:space="preserve">und ausführlichen temporalen Bestimmungen (im 40. Jahr, im 11. Monat, am 1. Tag), gefolgt vom Hauptverb </w:t>
      </w:r>
      <w:r w:rsidRPr="00394F78">
        <w:rPr>
          <w:rFonts w:eastAsia="Times New Roman"/>
          <w:b/>
          <w:bCs/>
          <w:rtl/>
          <w:lang w:eastAsia="de-DE"/>
        </w:rPr>
        <w:t>דִּבֶּר</w:t>
      </w:r>
      <w:r w:rsidRPr="00394F78">
        <w:rPr>
          <w:rFonts w:eastAsia="Times New Roman"/>
          <w:lang w:eastAsia="de-DE"/>
        </w:rPr>
        <w:t xml:space="preserve">. Ein Relativsatz mit </w:t>
      </w:r>
      <w:r w:rsidRPr="00394F78">
        <w:rPr>
          <w:rFonts w:eastAsia="Times New Roman"/>
          <w:b/>
          <w:bCs/>
          <w:rtl/>
          <w:lang w:eastAsia="de-DE"/>
        </w:rPr>
        <w:t>אֲשֶׁר</w:t>
      </w:r>
      <w:r w:rsidRPr="00394F78">
        <w:rPr>
          <w:rFonts w:eastAsia="Times New Roman"/>
          <w:rtl/>
          <w:lang w:eastAsia="de-DE"/>
        </w:rPr>
        <w:t xml:space="preserve"> </w:t>
      </w:r>
      <w:r w:rsidRPr="00394F78">
        <w:rPr>
          <w:rFonts w:eastAsia="Times New Roman"/>
          <w:lang w:eastAsia="de-DE"/>
        </w:rPr>
        <w:t>modifiziert die Art und Weise der Rede („gemäß allem, was..."). Der Satz verbindet die zeitliche Situierung mit der autoritativen Grundlage von Moses Rede: Er spricht nach göttlichem Befehl.</w:t>
      </w:r>
    </w:p>
    <w:p w14:paraId="081E1827" w14:textId="48B880C9" w:rsidR="00344263" w:rsidRDefault="00344263" w:rsidP="00344263">
      <w:pPr>
        <w:pStyle w:val="StandardWeb"/>
      </w:pPr>
      <w:r>
        <w:lastRenderedPageBreak/>
        <w:t xml:space="preserve">Dieser Vers datiert Moses Rede präzise und betont ihren göttlichen Ursprung als Vermittlung des Willens </w:t>
      </w:r>
      <w:r w:rsidR="00ED2181">
        <w:t>JHWHs</w:t>
      </w:r>
      <w:r>
        <w:t xml:space="preserve"> an Israel.</w:t>
      </w:r>
    </w:p>
    <w:p w14:paraId="05E994C1" w14:textId="77777777" w:rsidR="00394F78" w:rsidRPr="00394F78" w:rsidRDefault="00394F78" w:rsidP="00394F78">
      <w:pPr>
        <w:spacing w:before="100" w:beforeAutospacing="1" w:after="100" w:afterAutospacing="1" w:line="240" w:lineRule="auto"/>
        <w:outlineLvl w:val="1"/>
        <w:rPr>
          <w:rFonts w:eastAsia="Times New Roman"/>
          <w:b/>
          <w:bCs/>
          <w:sz w:val="36"/>
          <w:szCs w:val="36"/>
          <w:lang w:eastAsia="de-DE"/>
        </w:rPr>
      </w:pPr>
      <w:r w:rsidRPr="00394F78">
        <w:rPr>
          <w:rFonts w:eastAsia="Times New Roman"/>
          <w:b/>
          <w:bCs/>
          <w:sz w:val="36"/>
          <w:szCs w:val="36"/>
          <w:lang w:eastAsia="de-DE"/>
        </w:rPr>
        <w:t>Deuteronomium 1,4</w:t>
      </w:r>
    </w:p>
    <w:p w14:paraId="6CFC5A12" w14:textId="77777777"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b/>
          <w:bCs/>
          <w:lang w:eastAsia="de-DE"/>
        </w:rPr>
        <w:t>Hebräisch:</w:t>
      </w:r>
      <w:r w:rsidRPr="00394F78">
        <w:rPr>
          <w:rFonts w:eastAsia="Times New Roman"/>
          <w:lang w:eastAsia="de-DE"/>
        </w:rPr>
        <w:t xml:space="preserve"> </w:t>
      </w:r>
      <w:r w:rsidRPr="00394F78">
        <w:rPr>
          <w:rFonts w:eastAsia="Times New Roman"/>
          <w:rtl/>
          <w:lang w:eastAsia="de-DE"/>
        </w:rPr>
        <w:t>אַחֲרֵ֣י הַכֹּתוֹ֗ אֵ֚ת סִיחֹן֙ מֶ֣לֶךְ הָֽאֱמֹרִ֔י אֲשֶׁ֥ר יוֹשֵׁ֖ב בְּחֶשְׁבּ֑וֹן וְאֵ֗ת ע֚וֹג מֶ֣לֶךְ הַבָּשָׁ֔ן אֲשֶׁר־יוֹשֵׁ֥ב בְּעַשְׁתָּרֹ֖ת בְּאֶדְרֶֽעִי׃</w:t>
      </w:r>
    </w:p>
    <w:p w14:paraId="281859F4" w14:textId="77777777"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b/>
          <w:bCs/>
          <w:lang w:eastAsia="de-DE"/>
        </w:rPr>
        <w:t>Deutsch:</w:t>
      </w:r>
      <w:r w:rsidRPr="00394F78">
        <w:rPr>
          <w:rFonts w:eastAsia="Times New Roman"/>
          <w:lang w:eastAsia="de-DE"/>
        </w:rPr>
        <w:t xml:space="preserve"> Nachdem er Sichon, den König der Emori, der in Cheschbon wohnte, und Og, den König von Baschan, der in Aschtarot und in Edre'i wohnte, geschlagen hatte.</w:t>
      </w:r>
    </w:p>
    <w:p w14:paraId="493FB165" w14:textId="77777777" w:rsidR="00394F78" w:rsidRPr="00394F78" w:rsidRDefault="004F5CEB" w:rsidP="00394F78">
      <w:pPr>
        <w:spacing w:after="0" w:line="240" w:lineRule="auto"/>
        <w:rPr>
          <w:rFonts w:eastAsia="Times New Roman"/>
          <w:lang w:eastAsia="de-DE"/>
        </w:rPr>
      </w:pPr>
      <w:r>
        <w:rPr>
          <w:rFonts w:eastAsia="Times New Roman"/>
          <w:noProof/>
          <w:lang w:eastAsia="de-DE"/>
        </w:rPr>
        <w:pict w14:anchorId="4E5FFFF8">
          <v:rect id="_x0000_i1028" style="width:0;height:1.5pt" o:hralign="center" o:hrstd="t" o:hr="t" fillcolor="#a0a0a0" stroked="f"/>
        </w:pict>
      </w:r>
    </w:p>
    <w:p w14:paraId="2B853BAC" w14:textId="3F84AD49"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b/>
          <w:bCs/>
          <w:lang w:eastAsia="de-DE"/>
        </w:rPr>
        <w:t>Kommentar:</w:t>
      </w:r>
      <w:r w:rsidRPr="00394F78">
        <w:rPr>
          <w:rFonts w:eastAsia="Times New Roman"/>
          <w:lang w:eastAsia="de-DE"/>
        </w:rPr>
        <w:t xml:space="preserve"> </w:t>
      </w:r>
      <w:r w:rsidRPr="00394F78">
        <w:rPr>
          <w:rFonts w:eastAsia="Times New Roman"/>
          <w:b/>
          <w:bCs/>
          <w:rtl/>
          <w:lang w:eastAsia="de-DE"/>
        </w:rPr>
        <w:t>אַחֲרֵי</w:t>
      </w:r>
      <w:r w:rsidRPr="00394F78">
        <w:rPr>
          <w:rFonts w:eastAsia="Times New Roman"/>
          <w:rtl/>
          <w:lang w:eastAsia="de-DE"/>
        </w:rPr>
        <w:t xml:space="preserve"> </w:t>
      </w:r>
      <w:r w:rsidRPr="00394F78">
        <w:rPr>
          <w:rFonts w:eastAsia="Times New Roman"/>
          <w:lang w:eastAsia="de-DE"/>
        </w:rPr>
        <w:t xml:space="preserve">ist eine Präposition („nach, nachdem"), die einen temporalen Nebensatz einleitet. </w:t>
      </w:r>
      <w:r w:rsidRPr="00394F78">
        <w:rPr>
          <w:rFonts w:eastAsia="Times New Roman"/>
          <w:b/>
          <w:bCs/>
          <w:rtl/>
          <w:lang w:eastAsia="de-DE"/>
        </w:rPr>
        <w:t>הַכֹּתוֹ</w:t>
      </w:r>
      <w:r w:rsidRPr="00394F78">
        <w:rPr>
          <w:rFonts w:eastAsia="Times New Roman"/>
          <w:rtl/>
          <w:lang w:eastAsia="de-DE"/>
        </w:rPr>
        <w:t xml:space="preserve"> </w:t>
      </w:r>
      <w:r w:rsidRPr="00394F78">
        <w:rPr>
          <w:rFonts w:eastAsia="Times New Roman"/>
          <w:lang w:eastAsia="de-DE"/>
        </w:rPr>
        <w:t xml:space="preserve">ist ein Hif'il-Infinitiv </w:t>
      </w:r>
      <w:r w:rsidR="0032647F">
        <w:rPr>
          <w:rFonts w:eastAsia="Times New Roman"/>
          <w:lang w:eastAsia="de-DE"/>
        </w:rPr>
        <w:t>Construct</w:t>
      </w:r>
      <w:r w:rsidRPr="00394F78">
        <w:rPr>
          <w:rFonts w:eastAsia="Times New Roman"/>
          <w:lang w:eastAsia="de-DE"/>
        </w:rPr>
        <w:t xml:space="preserve"> von </w:t>
      </w:r>
      <w:r w:rsidRPr="00394F78">
        <w:rPr>
          <w:rFonts w:eastAsia="Times New Roman"/>
          <w:rtl/>
          <w:lang w:eastAsia="de-DE"/>
        </w:rPr>
        <w:t>נכה</w:t>
      </w:r>
      <w:r w:rsidRPr="00394F78">
        <w:rPr>
          <w:rFonts w:eastAsia="Times New Roman"/>
          <w:lang w:eastAsia="de-DE"/>
        </w:rPr>
        <w:t xml:space="preserve"> („schlagen, besiegen") mit dem Suffix 3. Person maskulin Singular </w:t>
      </w:r>
      <w:r w:rsidRPr="00394F78">
        <w:rPr>
          <w:rFonts w:eastAsia="Times New Roman"/>
          <w:b/>
          <w:bCs/>
          <w:rtl/>
          <w:lang w:eastAsia="de-DE"/>
        </w:rPr>
        <w:t>וֹ</w:t>
      </w:r>
      <w:r w:rsidRPr="00394F78">
        <w:rPr>
          <w:rFonts w:eastAsia="Times New Roman"/>
          <w:rtl/>
          <w:lang w:eastAsia="de-DE"/>
        </w:rPr>
        <w:t xml:space="preserve"> </w:t>
      </w:r>
      <w:r w:rsidRPr="00394F78">
        <w:rPr>
          <w:rFonts w:eastAsia="Times New Roman"/>
          <w:lang w:eastAsia="de-DE"/>
        </w:rPr>
        <w:t xml:space="preserve">(„sein Schlagen", d.h. „nachdem er geschlagen hatte"). Die Hif'il-Form hat kausative Bedeutung. </w:t>
      </w:r>
      <w:r w:rsidRPr="00394F78">
        <w:rPr>
          <w:rFonts w:eastAsia="Times New Roman"/>
          <w:b/>
          <w:bCs/>
          <w:rtl/>
          <w:lang w:eastAsia="de-DE"/>
        </w:rPr>
        <w:t>אֵת</w:t>
      </w:r>
      <w:r w:rsidRPr="00394F78">
        <w:rPr>
          <w:rFonts w:eastAsia="Times New Roman"/>
          <w:rtl/>
          <w:lang w:eastAsia="de-DE"/>
        </w:rPr>
        <w:t xml:space="preserve"> </w:t>
      </w:r>
      <w:r w:rsidRPr="00394F78">
        <w:rPr>
          <w:rFonts w:eastAsia="Times New Roman"/>
          <w:lang w:eastAsia="de-DE"/>
        </w:rPr>
        <w:t xml:space="preserve">ist die Objektpartikel, die das bestimmte direkte Objekt markiert. </w:t>
      </w:r>
      <w:r w:rsidRPr="00394F78">
        <w:rPr>
          <w:rFonts w:eastAsia="Times New Roman"/>
          <w:b/>
          <w:bCs/>
          <w:rtl/>
          <w:lang w:eastAsia="de-DE"/>
        </w:rPr>
        <w:t>סִיחֹן</w:t>
      </w:r>
      <w:r w:rsidRPr="00394F78">
        <w:rPr>
          <w:rFonts w:eastAsia="Times New Roman"/>
          <w:rtl/>
          <w:lang w:eastAsia="de-DE"/>
        </w:rPr>
        <w:t xml:space="preserve"> </w:t>
      </w:r>
      <w:r w:rsidRPr="00394F78">
        <w:rPr>
          <w:rFonts w:eastAsia="Times New Roman"/>
          <w:lang w:eastAsia="de-DE"/>
        </w:rPr>
        <w:t xml:space="preserve">ist ein Eigenname ohne Artikel. </w:t>
      </w:r>
      <w:r w:rsidRPr="00394F78">
        <w:rPr>
          <w:rFonts w:eastAsia="Times New Roman"/>
          <w:b/>
          <w:bCs/>
          <w:rtl/>
          <w:lang w:eastAsia="de-DE"/>
        </w:rPr>
        <w:t>מֶלֶךְ הָאֱמֹרִי</w:t>
      </w:r>
      <w:r w:rsidRPr="00394F78">
        <w:rPr>
          <w:rFonts w:eastAsia="Times New Roman"/>
          <w:rtl/>
          <w:lang w:eastAsia="de-DE"/>
        </w:rPr>
        <w:t xml:space="preserve"> </w:t>
      </w:r>
      <w:r w:rsidRPr="00394F78">
        <w:rPr>
          <w:rFonts w:eastAsia="Times New Roman"/>
          <w:lang w:eastAsia="de-DE"/>
        </w:rPr>
        <w:t xml:space="preserve">ist eine Apposition: </w:t>
      </w:r>
      <w:r w:rsidRPr="00394F78">
        <w:rPr>
          <w:rFonts w:eastAsia="Times New Roman"/>
          <w:b/>
          <w:bCs/>
          <w:rtl/>
          <w:lang w:eastAsia="de-DE"/>
        </w:rPr>
        <w:t>מֶלֶךְ</w:t>
      </w:r>
      <w:r w:rsidRPr="00394F78">
        <w:rPr>
          <w:rFonts w:eastAsia="Times New Roman"/>
          <w:rtl/>
          <w:lang w:eastAsia="de-DE"/>
        </w:rPr>
        <w:t xml:space="preserve"> </w:t>
      </w:r>
      <w:r w:rsidRPr="00394F78">
        <w:rPr>
          <w:rFonts w:eastAsia="Times New Roman"/>
          <w:lang w:eastAsia="de-DE"/>
        </w:rPr>
        <w:t xml:space="preserve">(„König") im </w:t>
      </w:r>
      <w:r w:rsidR="0032647F">
        <w:rPr>
          <w:rFonts w:eastAsia="Times New Roman"/>
          <w:lang w:eastAsia="de-DE"/>
        </w:rPr>
        <w:t>Construct</w:t>
      </w:r>
      <w:r w:rsidRPr="00394F78">
        <w:rPr>
          <w:rFonts w:eastAsia="Times New Roman"/>
          <w:lang w:eastAsia="de-DE"/>
        </w:rPr>
        <w:t xml:space="preserve">status mit </w:t>
      </w:r>
      <w:r w:rsidRPr="00394F78">
        <w:rPr>
          <w:rFonts w:eastAsia="Times New Roman"/>
          <w:b/>
          <w:bCs/>
          <w:rtl/>
          <w:lang w:eastAsia="de-DE"/>
        </w:rPr>
        <w:t>הָאֱמֹרִי</w:t>
      </w:r>
      <w:r w:rsidRPr="00394F78">
        <w:rPr>
          <w:rFonts w:eastAsia="Times New Roman"/>
          <w:rtl/>
          <w:lang w:eastAsia="de-DE"/>
        </w:rPr>
        <w:t xml:space="preserve"> </w:t>
      </w:r>
      <w:r w:rsidRPr="00394F78">
        <w:rPr>
          <w:rFonts w:eastAsia="Times New Roman"/>
          <w:lang w:eastAsia="de-DE"/>
        </w:rPr>
        <w:t xml:space="preserve">(„der Amoriter"), einem </w:t>
      </w:r>
      <w:r w:rsidR="00C13523">
        <w:rPr>
          <w:rFonts w:eastAsia="Times New Roman"/>
          <w:lang w:eastAsia="de-DE"/>
        </w:rPr>
        <w:t>Gentilicum</w:t>
      </w:r>
      <w:r w:rsidRPr="00394F78">
        <w:rPr>
          <w:rFonts w:eastAsia="Times New Roman"/>
          <w:lang w:eastAsia="de-DE"/>
        </w:rPr>
        <w:t xml:space="preserve"> mit Artikel.</w:t>
      </w:r>
    </w:p>
    <w:p w14:paraId="314EF001" w14:textId="77777777"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lang w:eastAsia="de-DE"/>
        </w:rPr>
        <w:t xml:space="preserve">Der Relativsatz </w:t>
      </w:r>
      <w:r w:rsidRPr="00394F78">
        <w:rPr>
          <w:rFonts w:eastAsia="Times New Roman"/>
          <w:b/>
          <w:bCs/>
          <w:rtl/>
          <w:lang w:eastAsia="de-DE"/>
        </w:rPr>
        <w:t>אֲשֶׁר יוֹשֵׁב בְּחֶשְׁבּוֹן</w:t>
      </w:r>
      <w:r w:rsidRPr="00394F78">
        <w:rPr>
          <w:rFonts w:eastAsia="Times New Roman"/>
          <w:rtl/>
          <w:lang w:eastAsia="de-DE"/>
        </w:rPr>
        <w:t xml:space="preserve"> </w:t>
      </w:r>
      <w:r w:rsidRPr="00394F78">
        <w:rPr>
          <w:rFonts w:eastAsia="Times New Roman"/>
          <w:lang w:eastAsia="de-DE"/>
        </w:rPr>
        <w:t xml:space="preserve">beschreibt Sichon näher. </w:t>
      </w:r>
      <w:r w:rsidRPr="00394F78">
        <w:rPr>
          <w:rFonts w:eastAsia="Times New Roman"/>
          <w:b/>
          <w:bCs/>
          <w:rtl/>
          <w:lang w:eastAsia="de-DE"/>
        </w:rPr>
        <w:t>יוֹשֵׁב</w:t>
      </w:r>
      <w:r w:rsidRPr="00394F78">
        <w:rPr>
          <w:rFonts w:eastAsia="Times New Roman"/>
          <w:rtl/>
          <w:lang w:eastAsia="de-DE"/>
        </w:rPr>
        <w:t xml:space="preserve"> </w:t>
      </w:r>
      <w:r w:rsidRPr="00394F78">
        <w:rPr>
          <w:rFonts w:eastAsia="Times New Roman"/>
          <w:lang w:eastAsia="de-DE"/>
        </w:rPr>
        <w:t xml:space="preserve">ist Qal Partizip aktiv, maskulin Singular von </w:t>
      </w:r>
      <w:r w:rsidRPr="00394F78">
        <w:rPr>
          <w:rFonts w:eastAsia="Times New Roman"/>
          <w:rtl/>
          <w:lang w:eastAsia="de-DE"/>
        </w:rPr>
        <w:t>ישׁב</w:t>
      </w:r>
      <w:r w:rsidRPr="00394F78">
        <w:rPr>
          <w:rFonts w:eastAsia="Times New Roman"/>
          <w:lang w:eastAsia="de-DE"/>
        </w:rPr>
        <w:t xml:space="preserve"> („wohnen, sitzen"). </w:t>
      </w:r>
      <w:r w:rsidRPr="00394F78">
        <w:rPr>
          <w:rFonts w:eastAsia="Times New Roman"/>
          <w:b/>
          <w:bCs/>
          <w:rtl/>
          <w:lang w:eastAsia="de-DE"/>
        </w:rPr>
        <w:t>בְּחֶשְׁבּוֹן</w:t>
      </w:r>
      <w:r w:rsidRPr="00394F78">
        <w:rPr>
          <w:rFonts w:eastAsia="Times New Roman"/>
          <w:rtl/>
          <w:lang w:eastAsia="de-DE"/>
        </w:rPr>
        <w:t xml:space="preserve"> </w:t>
      </w:r>
      <w:r w:rsidRPr="00394F78">
        <w:rPr>
          <w:rFonts w:eastAsia="Times New Roman"/>
          <w:lang w:eastAsia="de-DE"/>
        </w:rPr>
        <w:t xml:space="preserve">besteht aus der Präposition </w:t>
      </w:r>
      <w:r w:rsidRPr="00394F78">
        <w:rPr>
          <w:rFonts w:eastAsia="Times New Roman"/>
          <w:b/>
          <w:bCs/>
          <w:rtl/>
          <w:lang w:eastAsia="de-DE"/>
        </w:rPr>
        <w:t>בְּ</w:t>
      </w:r>
      <w:r w:rsidRPr="00394F78">
        <w:rPr>
          <w:rFonts w:eastAsia="Times New Roman"/>
          <w:rtl/>
          <w:lang w:eastAsia="de-DE"/>
        </w:rPr>
        <w:t xml:space="preserve"> </w:t>
      </w:r>
      <w:r w:rsidRPr="00394F78">
        <w:rPr>
          <w:rFonts w:eastAsia="Times New Roman"/>
          <w:lang w:eastAsia="de-DE"/>
        </w:rPr>
        <w:t xml:space="preserve">und dem Ortsnamen </w:t>
      </w:r>
      <w:r w:rsidRPr="00394F78">
        <w:rPr>
          <w:rFonts w:eastAsia="Times New Roman"/>
          <w:b/>
          <w:bCs/>
          <w:rtl/>
          <w:lang w:eastAsia="de-DE"/>
        </w:rPr>
        <w:t>חֶשְׁבּוֹן</w:t>
      </w:r>
      <w:r w:rsidRPr="00394F78">
        <w:rPr>
          <w:rFonts w:eastAsia="Times New Roman"/>
          <w:rtl/>
          <w:lang w:eastAsia="de-DE"/>
        </w:rPr>
        <w:t xml:space="preserve"> </w:t>
      </w:r>
      <w:r w:rsidRPr="00394F78">
        <w:rPr>
          <w:rFonts w:eastAsia="Times New Roman"/>
          <w:lang w:eastAsia="de-DE"/>
        </w:rPr>
        <w:t>(„Heschbon").</w:t>
      </w:r>
    </w:p>
    <w:p w14:paraId="3C5A2AE2" w14:textId="05A84C53"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lang w:eastAsia="de-DE"/>
        </w:rPr>
        <w:t xml:space="preserve">Die Konjunktion </w:t>
      </w:r>
      <w:r w:rsidRPr="00394F78">
        <w:rPr>
          <w:rFonts w:eastAsia="Times New Roman"/>
          <w:b/>
          <w:bCs/>
          <w:rtl/>
          <w:lang w:eastAsia="de-DE"/>
        </w:rPr>
        <w:t>וְ</w:t>
      </w:r>
      <w:r w:rsidRPr="00394F78">
        <w:rPr>
          <w:rFonts w:eastAsia="Times New Roman"/>
          <w:rtl/>
          <w:lang w:eastAsia="de-DE"/>
        </w:rPr>
        <w:t xml:space="preserve"> </w:t>
      </w:r>
      <w:r w:rsidRPr="00394F78">
        <w:rPr>
          <w:rFonts w:eastAsia="Times New Roman"/>
          <w:lang w:eastAsia="de-DE"/>
        </w:rPr>
        <w:t xml:space="preserve">(„und") verbindet das zweite Objekt. </w:t>
      </w:r>
      <w:r w:rsidRPr="00394F78">
        <w:rPr>
          <w:rFonts w:eastAsia="Times New Roman"/>
          <w:b/>
          <w:bCs/>
          <w:rtl/>
          <w:lang w:eastAsia="de-DE"/>
        </w:rPr>
        <w:t>אֵת עוֹג</w:t>
      </w:r>
      <w:r w:rsidRPr="00394F78">
        <w:rPr>
          <w:rFonts w:eastAsia="Times New Roman"/>
          <w:rtl/>
          <w:lang w:eastAsia="de-DE"/>
        </w:rPr>
        <w:t xml:space="preserve"> </w:t>
      </w:r>
      <w:r w:rsidRPr="00394F78">
        <w:rPr>
          <w:rFonts w:eastAsia="Times New Roman"/>
          <w:lang w:eastAsia="de-DE"/>
        </w:rPr>
        <w:t xml:space="preserve">mit Objektpartikel und Eigenname </w:t>
      </w:r>
      <w:r w:rsidRPr="00394F78">
        <w:rPr>
          <w:rFonts w:eastAsia="Times New Roman"/>
          <w:b/>
          <w:bCs/>
          <w:rtl/>
          <w:lang w:eastAsia="de-DE"/>
        </w:rPr>
        <w:t>עוֹג</w:t>
      </w:r>
      <w:r w:rsidRPr="00394F78">
        <w:rPr>
          <w:rFonts w:eastAsia="Times New Roman"/>
          <w:rtl/>
          <w:lang w:eastAsia="de-DE"/>
        </w:rPr>
        <w:t xml:space="preserve"> </w:t>
      </w:r>
      <w:r w:rsidRPr="00394F78">
        <w:rPr>
          <w:rFonts w:eastAsia="Times New Roman"/>
          <w:lang w:eastAsia="de-DE"/>
        </w:rPr>
        <w:t xml:space="preserve">(„Og"). </w:t>
      </w:r>
      <w:r w:rsidRPr="00394F78">
        <w:rPr>
          <w:rFonts w:eastAsia="Times New Roman"/>
          <w:b/>
          <w:bCs/>
          <w:rtl/>
          <w:lang w:eastAsia="de-DE"/>
        </w:rPr>
        <w:t>מֶלֶךְ הַבָּשָׁ֔ן</w:t>
      </w:r>
      <w:r w:rsidRPr="00394F78">
        <w:rPr>
          <w:rFonts w:eastAsia="Times New Roman"/>
          <w:rtl/>
          <w:lang w:eastAsia="de-DE"/>
        </w:rPr>
        <w:t xml:space="preserve"> </w:t>
      </w:r>
      <w:r w:rsidRPr="00394F78">
        <w:rPr>
          <w:rFonts w:eastAsia="Times New Roman"/>
          <w:lang w:eastAsia="de-DE"/>
        </w:rPr>
        <w:t xml:space="preserve">ist wieder eine Apposition: </w:t>
      </w:r>
      <w:r w:rsidRPr="00394F78">
        <w:rPr>
          <w:rFonts w:eastAsia="Times New Roman"/>
          <w:b/>
          <w:bCs/>
          <w:rtl/>
          <w:lang w:eastAsia="de-DE"/>
        </w:rPr>
        <w:t>מֶלֶךְ</w:t>
      </w:r>
      <w:r w:rsidRPr="00394F78">
        <w:rPr>
          <w:rFonts w:eastAsia="Times New Roman"/>
          <w:rtl/>
          <w:lang w:eastAsia="de-DE"/>
        </w:rPr>
        <w:t xml:space="preserve"> </w:t>
      </w:r>
      <w:r w:rsidRPr="00394F78">
        <w:rPr>
          <w:rFonts w:eastAsia="Times New Roman"/>
          <w:lang w:eastAsia="de-DE"/>
        </w:rPr>
        <w:t xml:space="preserve">mit </w:t>
      </w:r>
      <w:r w:rsidRPr="00394F78">
        <w:rPr>
          <w:rFonts w:eastAsia="Times New Roman"/>
          <w:b/>
          <w:bCs/>
          <w:rtl/>
          <w:lang w:eastAsia="de-DE"/>
        </w:rPr>
        <w:t>הַבָּשָׁן</w:t>
      </w:r>
      <w:r w:rsidRPr="00394F78">
        <w:rPr>
          <w:rFonts w:eastAsia="Times New Roman"/>
          <w:rtl/>
          <w:lang w:eastAsia="de-DE"/>
        </w:rPr>
        <w:t xml:space="preserve"> </w:t>
      </w:r>
      <w:r w:rsidRPr="00394F78">
        <w:rPr>
          <w:rFonts w:eastAsia="Times New Roman"/>
          <w:lang w:eastAsia="de-DE"/>
        </w:rPr>
        <w:t xml:space="preserve">(„Baschan", </w:t>
      </w:r>
      <w:r w:rsidR="00C13523">
        <w:rPr>
          <w:rFonts w:eastAsia="Times New Roman"/>
          <w:lang w:eastAsia="de-DE"/>
        </w:rPr>
        <w:t>Region Name</w:t>
      </w:r>
      <w:r w:rsidRPr="00394F78">
        <w:rPr>
          <w:rFonts w:eastAsia="Times New Roman"/>
          <w:lang w:eastAsia="de-DE"/>
        </w:rPr>
        <w:t xml:space="preserve"> mit Artikel). Der zweite Relativsatz </w:t>
      </w:r>
      <w:r w:rsidRPr="00394F78">
        <w:rPr>
          <w:rFonts w:eastAsia="Times New Roman"/>
          <w:b/>
          <w:bCs/>
          <w:rtl/>
          <w:lang w:eastAsia="de-DE"/>
        </w:rPr>
        <w:t>אֲשֶׁר־יוֹשֵׁב</w:t>
      </w:r>
      <w:r w:rsidRPr="00394F78">
        <w:rPr>
          <w:rFonts w:eastAsia="Times New Roman"/>
          <w:rtl/>
          <w:lang w:eastAsia="de-DE"/>
        </w:rPr>
        <w:t xml:space="preserve"> </w:t>
      </w:r>
      <w:r w:rsidRPr="00394F78">
        <w:rPr>
          <w:rFonts w:eastAsia="Times New Roman"/>
          <w:lang w:eastAsia="de-DE"/>
        </w:rPr>
        <w:t xml:space="preserve">verwendet dasselbe Partizip. </w:t>
      </w:r>
      <w:r w:rsidRPr="00394F78">
        <w:rPr>
          <w:rFonts w:eastAsia="Times New Roman"/>
          <w:b/>
          <w:bCs/>
          <w:rtl/>
          <w:lang w:eastAsia="de-DE"/>
        </w:rPr>
        <w:t>בְּעַשְׁתָּרֹת</w:t>
      </w:r>
      <w:r w:rsidRPr="00394F78">
        <w:rPr>
          <w:rFonts w:eastAsia="Times New Roman"/>
          <w:rtl/>
          <w:lang w:eastAsia="de-DE"/>
        </w:rPr>
        <w:t xml:space="preserve"> </w:t>
      </w:r>
      <w:r w:rsidRPr="00394F78">
        <w:rPr>
          <w:rFonts w:eastAsia="Times New Roman"/>
          <w:lang w:eastAsia="de-DE"/>
        </w:rPr>
        <w:t xml:space="preserve">gibt den ersten Wohnort an („in Aschtarot"), gefolgt von </w:t>
      </w:r>
      <w:r w:rsidRPr="00394F78">
        <w:rPr>
          <w:rFonts w:eastAsia="Times New Roman"/>
          <w:b/>
          <w:bCs/>
          <w:rtl/>
          <w:lang w:eastAsia="de-DE"/>
        </w:rPr>
        <w:t>בְּאֶדְרֶעִי</w:t>
      </w:r>
      <w:r w:rsidRPr="00394F78">
        <w:rPr>
          <w:rFonts w:eastAsia="Times New Roman"/>
          <w:rtl/>
          <w:lang w:eastAsia="de-DE"/>
        </w:rPr>
        <w:t xml:space="preserve"> </w:t>
      </w:r>
      <w:r w:rsidRPr="00394F78">
        <w:rPr>
          <w:rFonts w:eastAsia="Times New Roman"/>
          <w:lang w:eastAsia="de-DE"/>
        </w:rPr>
        <w:t>(„in Edrei"), was auf zwei Residenzen oder eine Doppelstadt hinweisen könnte.</w:t>
      </w:r>
    </w:p>
    <w:p w14:paraId="6A2BF5BE" w14:textId="04BFECFA"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b/>
          <w:bCs/>
          <w:lang w:eastAsia="de-DE"/>
        </w:rPr>
        <w:t>Die LXX</w:t>
      </w:r>
      <w:r w:rsidRPr="00394F78">
        <w:rPr>
          <w:rFonts w:eastAsia="Times New Roman"/>
          <w:lang w:eastAsia="de-DE"/>
        </w:rPr>
        <w:t xml:space="preserve"> übersetzt „</w:t>
      </w:r>
      <w:proofErr w:type="spellStart"/>
      <w:r w:rsidRPr="00394F78">
        <w:rPr>
          <w:rFonts w:eastAsia="Times New Roman"/>
          <w:lang w:eastAsia="de-DE"/>
        </w:rPr>
        <w:t>μετὰ</w:t>
      </w:r>
      <w:proofErr w:type="spellEnd"/>
      <w:r w:rsidRPr="00394F78">
        <w:rPr>
          <w:rFonts w:eastAsia="Times New Roman"/>
          <w:lang w:eastAsia="de-DE"/>
        </w:rPr>
        <w:t xml:space="preserve"> </w:t>
      </w:r>
      <w:proofErr w:type="spellStart"/>
      <w:r w:rsidRPr="00394F78">
        <w:rPr>
          <w:rFonts w:eastAsia="Times New Roman"/>
          <w:lang w:eastAsia="de-DE"/>
        </w:rPr>
        <w:t>τὸ</w:t>
      </w:r>
      <w:proofErr w:type="spellEnd"/>
      <w:r w:rsidRPr="00394F78">
        <w:rPr>
          <w:rFonts w:eastAsia="Times New Roman"/>
          <w:lang w:eastAsia="de-DE"/>
        </w:rPr>
        <w:t xml:space="preserve"> πα</w:t>
      </w:r>
      <w:proofErr w:type="spellStart"/>
      <w:r w:rsidRPr="00394F78">
        <w:rPr>
          <w:rFonts w:eastAsia="Times New Roman"/>
          <w:lang w:eastAsia="de-DE"/>
        </w:rPr>
        <w:t>τάξ</w:t>
      </w:r>
      <w:proofErr w:type="spellEnd"/>
      <w:r w:rsidRPr="00394F78">
        <w:rPr>
          <w:rFonts w:eastAsia="Times New Roman"/>
          <w:lang w:eastAsia="de-DE"/>
        </w:rPr>
        <w:t>αι" („nachdem er geschlagen hatte") und gibt die Struktur wieder. Die Namen werden transliteriert: „</w:t>
      </w:r>
      <w:proofErr w:type="spellStart"/>
      <w:r w:rsidRPr="00394F78">
        <w:rPr>
          <w:rFonts w:eastAsia="Times New Roman"/>
          <w:lang w:eastAsia="de-DE"/>
        </w:rPr>
        <w:t>Σηων</w:t>
      </w:r>
      <w:proofErr w:type="spellEnd"/>
      <w:r w:rsidRPr="00394F78">
        <w:rPr>
          <w:rFonts w:eastAsia="Times New Roman"/>
          <w:lang w:eastAsia="de-DE"/>
        </w:rPr>
        <w:t>", „</w:t>
      </w:r>
      <w:proofErr w:type="spellStart"/>
      <w:r w:rsidRPr="00394F78">
        <w:rPr>
          <w:rFonts w:eastAsia="Times New Roman"/>
          <w:lang w:eastAsia="de-DE"/>
        </w:rPr>
        <w:t>Ωγ</w:t>
      </w:r>
      <w:proofErr w:type="spellEnd"/>
      <w:r w:rsidRPr="00394F78">
        <w:rPr>
          <w:rFonts w:eastAsia="Times New Roman"/>
          <w:lang w:eastAsia="de-DE"/>
        </w:rPr>
        <w:t>", „</w:t>
      </w:r>
      <w:proofErr w:type="spellStart"/>
      <w:r w:rsidRPr="00394F78">
        <w:rPr>
          <w:rFonts w:eastAsia="Times New Roman"/>
          <w:lang w:eastAsia="de-DE"/>
        </w:rPr>
        <w:t>Εσε</w:t>
      </w:r>
      <w:proofErr w:type="spellEnd"/>
      <w:r w:rsidRPr="00394F78">
        <w:rPr>
          <w:rFonts w:eastAsia="Times New Roman"/>
          <w:lang w:eastAsia="de-DE"/>
        </w:rPr>
        <w:t>βων", „</w:t>
      </w:r>
      <w:proofErr w:type="spellStart"/>
      <w:r w:rsidRPr="00394F78">
        <w:rPr>
          <w:rFonts w:eastAsia="Times New Roman"/>
          <w:lang w:eastAsia="de-DE"/>
        </w:rPr>
        <w:t>Αστ</w:t>
      </w:r>
      <w:proofErr w:type="spellEnd"/>
      <w:r w:rsidRPr="00394F78">
        <w:rPr>
          <w:rFonts w:eastAsia="Times New Roman"/>
          <w:lang w:eastAsia="de-DE"/>
        </w:rPr>
        <w:t>αρωθ", „</w:t>
      </w:r>
      <w:proofErr w:type="spellStart"/>
      <w:r w:rsidRPr="00394F78">
        <w:rPr>
          <w:rFonts w:eastAsia="Times New Roman"/>
          <w:lang w:eastAsia="de-DE"/>
        </w:rPr>
        <w:t>Εδρ</w:t>
      </w:r>
      <w:proofErr w:type="spellEnd"/>
      <w:r w:rsidRPr="00394F78">
        <w:rPr>
          <w:rFonts w:eastAsia="Times New Roman"/>
          <w:lang w:eastAsia="de-DE"/>
        </w:rPr>
        <w:t xml:space="preserve">αϊν". Die LXX expliziert manchmal die </w:t>
      </w:r>
      <w:r w:rsidR="0032647F">
        <w:rPr>
          <w:rFonts w:eastAsia="Times New Roman"/>
          <w:lang w:eastAsia="de-DE"/>
        </w:rPr>
        <w:t>Construct</w:t>
      </w:r>
      <w:r w:rsidRPr="00394F78">
        <w:rPr>
          <w:rFonts w:eastAsia="Times New Roman"/>
          <w:lang w:eastAsia="de-DE"/>
        </w:rPr>
        <w:t>beziehungen stärker.</w:t>
      </w:r>
    </w:p>
    <w:p w14:paraId="337F6B77" w14:textId="5D1AD600"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lang w:eastAsia="de-DE"/>
        </w:rPr>
        <w:t>Die Satzstruktur ist ein temporaler Nebensatz mit Infinitiv</w:t>
      </w:r>
      <w:r w:rsidR="00C13523">
        <w:rPr>
          <w:rFonts w:eastAsia="Times New Roman"/>
          <w:lang w:eastAsia="de-DE"/>
        </w:rPr>
        <w:t>-</w:t>
      </w:r>
      <w:r w:rsidR="00FF2B82">
        <w:rPr>
          <w:rFonts w:eastAsia="Times New Roman"/>
          <w:lang w:eastAsia="de-DE"/>
        </w:rPr>
        <w:t>Konstruktion</w:t>
      </w:r>
      <w:r w:rsidRPr="00394F78">
        <w:rPr>
          <w:rFonts w:eastAsia="Times New Roman"/>
          <w:lang w:eastAsia="de-DE"/>
        </w:rPr>
        <w:t>, der die Voraussetzung für Moses Rede in V. 3 angibt. Der Nebensatz enthält zwei koordinierte Objekte (Sichon und Og) mit jeweiligen Appositionen und Relativsätzen. Es handelt sich um eine komplexe Hypotaxe, die den historischen Kontext der Rede etabliert: nach den militärischen Siegen über die transjordanischen Könige.</w:t>
      </w:r>
    </w:p>
    <w:p w14:paraId="3A4A8E38" w14:textId="77777777"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lang w:eastAsia="de-DE"/>
        </w:rPr>
        <w:t>Der Vers situiert Moses Rede zeitlich nach den entscheidenden Siegen über Sichon und Og und bereitet so die nachfolgende Reflexion über Israels Wüstenwanderung vor.</w:t>
      </w:r>
    </w:p>
    <w:p w14:paraId="593ED9F3" w14:textId="77777777" w:rsidR="00394F78" w:rsidRPr="00394F78" w:rsidRDefault="00394F78" w:rsidP="00394F78">
      <w:pPr>
        <w:spacing w:before="100" w:beforeAutospacing="1" w:after="100" w:afterAutospacing="1" w:line="240" w:lineRule="auto"/>
        <w:outlineLvl w:val="1"/>
        <w:rPr>
          <w:rFonts w:eastAsia="Times New Roman"/>
          <w:b/>
          <w:bCs/>
          <w:sz w:val="36"/>
          <w:szCs w:val="36"/>
          <w:lang w:eastAsia="de-DE"/>
        </w:rPr>
      </w:pPr>
      <w:r w:rsidRPr="00394F78">
        <w:rPr>
          <w:rFonts w:eastAsia="Times New Roman"/>
          <w:b/>
          <w:bCs/>
          <w:sz w:val="36"/>
          <w:szCs w:val="36"/>
          <w:lang w:eastAsia="de-DE"/>
        </w:rPr>
        <w:t>Deuteronomium 1,5</w:t>
      </w:r>
    </w:p>
    <w:p w14:paraId="5B3C36C9" w14:textId="77777777"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b/>
          <w:bCs/>
          <w:lang w:eastAsia="de-DE"/>
        </w:rPr>
        <w:t>Hebräisch:</w:t>
      </w:r>
      <w:r w:rsidRPr="00394F78">
        <w:rPr>
          <w:rFonts w:eastAsia="Times New Roman"/>
          <w:lang w:eastAsia="de-DE"/>
        </w:rPr>
        <w:t xml:space="preserve"> </w:t>
      </w:r>
      <w:r w:rsidRPr="00394F78">
        <w:rPr>
          <w:rFonts w:eastAsia="Times New Roman"/>
          <w:rtl/>
          <w:lang w:eastAsia="de-DE"/>
        </w:rPr>
        <w:t>בְּעֵ֥בֶר הַיַּרְדֵּ֖ן בְּאֶ֣רֶץ מוֹאָ֑ב הוֹאִ֣יל מֹשֶׁ֔ה בֵּאֵ֛ר אֶת־הַתּוֹרָ֥ה הַזֹּ֖את לֵאמֹֽר׃</w:t>
      </w:r>
    </w:p>
    <w:p w14:paraId="300EB25C" w14:textId="16B2B3B6"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b/>
          <w:bCs/>
          <w:lang w:eastAsia="de-DE"/>
        </w:rPr>
        <w:lastRenderedPageBreak/>
        <w:t>Deutsch:</w:t>
      </w:r>
      <w:r w:rsidRPr="00394F78">
        <w:rPr>
          <w:rFonts w:eastAsia="Times New Roman"/>
          <w:lang w:eastAsia="de-DE"/>
        </w:rPr>
        <w:t xml:space="preserve"> Jenseits des Jardens, im Land Mo'av, begann Mosche diese </w:t>
      </w:r>
      <w:r w:rsidR="001E0205">
        <w:rPr>
          <w:rFonts w:eastAsia="Times New Roman"/>
          <w:lang w:eastAsia="de-DE"/>
        </w:rPr>
        <w:t>Torah</w:t>
      </w:r>
      <w:r w:rsidRPr="00394F78">
        <w:rPr>
          <w:rFonts w:eastAsia="Times New Roman"/>
          <w:lang w:eastAsia="de-DE"/>
        </w:rPr>
        <w:t xml:space="preserve"> zu erklären, sagend:</w:t>
      </w:r>
    </w:p>
    <w:p w14:paraId="3EDD3822" w14:textId="77777777" w:rsidR="00394F78" w:rsidRPr="00394F78" w:rsidRDefault="004F5CEB" w:rsidP="00394F78">
      <w:pPr>
        <w:spacing w:after="0" w:line="240" w:lineRule="auto"/>
        <w:rPr>
          <w:rFonts w:eastAsia="Times New Roman"/>
          <w:lang w:eastAsia="de-DE"/>
        </w:rPr>
      </w:pPr>
      <w:r>
        <w:rPr>
          <w:rFonts w:eastAsia="Times New Roman"/>
          <w:noProof/>
          <w:lang w:eastAsia="de-DE"/>
        </w:rPr>
        <w:pict w14:anchorId="53EBA74E">
          <v:rect id="_x0000_i1029" style="width:0;height:1.5pt" o:hralign="center" o:hrstd="t" o:hr="t" fillcolor="#a0a0a0" stroked="f"/>
        </w:pict>
      </w:r>
    </w:p>
    <w:p w14:paraId="47BF397B" w14:textId="61D04011"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b/>
          <w:bCs/>
          <w:lang w:eastAsia="de-DE"/>
        </w:rPr>
        <w:t>Kommentar:</w:t>
      </w:r>
      <w:r w:rsidRPr="00394F78">
        <w:rPr>
          <w:rFonts w:eastAsia="Times New Roman"/>
          <w:lang w:eastAsia="de-DE"/>
        </w:rPr>
        <w:t xml:space="preserve"> </w:t>
      </w:r>
      <w:r w:rsidRPr="00394F78">
        <w:rPr>
          <w:rFonts w:eastAsia="Times New Roman"/>
          <w:b/>
          <w:bCs/>
          <w:rtl/>
          <w:lang w:eastAsia="de-DE"/>
        </w:rPr>
        <w:t>בְּעֵבֶר הַיַּרְדֵּן</w:t>
      </w:r>
      <w:r w:rsidRPr="00394F78">
        <w:rPr>
          <w:rFonts w:eastAsia="Times New Roman"/>
          <w:rtl/>
          <w:lang w:eastAsia="de-DE"/>
        </w:rPr>
        <w:t xml:space="preserve"> </w:t>
      </w:r>
      <w:r w:rsidRPr="00394F78">
        <w:rPr>
          <w:rFonts w:eastAsia="Times New Roman"/>
          <w:lang w:eastAsia="de-DE"/>
        </w:rPr>
        <w:t xml:space="preserve">wiederholt die Ortsangabe aus V. 1: Präposition </w:t>
      </w:r>
      <w:r w:rsidRPr="00394F78">
        <w:rPr>
          <w:rFonts w:eastAsia="Times New Roman"/>
          <w:b/>
          <w:bCs/>
          <w:rtl/>
          <w:lang w:eastAsia="de-DE"/>
        </w:rPr>
        <w:t>בְּ</w:t>
      </w:r>
      <w:r w:rsidRPr="00394F78">
        <w:rPr>
          <w:rFonts w:eastAsia="Times New Roman"/>
          <w:lang w:eastAsia="de-DE"/>
        </w:rPr>
        <w:t xml:space="preserve">, </w:t>
      </w:r>
      <w:r w:rsidRPr="00394F78">
        <w:rPr>
          <w:rFonts w:eastAsia="Times New Roman"/>
          <w:b/>
          <w:bCs/>
          <w:rtl/>
          <w:lang w:eastAsia="de-DE"/>
        </w:rPr>
        <w:t>עֵבֶר</w:t>
      </w:r>
      <w:r w:rsidRPr="00394F78">
        <w:rPr>
          <w:rFonts w:eastAsia="Times New Roman"/>
          <w:rtl/>
          <w:lang w:eastAsia="de-DE"/>
        </w:rPr>
        <w:t xml:space="preserve"> </w:t>
      </w:r>
      <w:r w:rsidRPr="00394F78">
        <w:rPr>
          <w:rFonts w:eastAsia="Times New Roman"/>
          <w:lang w:eastAsia="de-DE"/>
        </w:rPr>
        <w:t xml:space="preserve">(„Jenseits, andere Seite") im </w:t>
      </w:r>
      <w:r w:rsidR="0032647F">
        <w:rPr>
          <w:rFonts w:eastAsia="Times New Roman"/>
          <w:lang w:eastAsia="de-DE"/>
        </w:rPr>
        <w:t>Construct</w:t>
      </w:r>
      <w:r w:rsidRPr="00394F78">
        <w:rPr>
          <w:rFonts w:eastAsia="Times New Roman"/>
          <w:lang w:eastAsia="de-DE"/>
        </w:rPr>
        <w:t xml:space="preserve"> mit </w:t>
      </w:r>
      <w:r w:rsidRPr="00394F78">
        <w:rPr>
          <w:rFonts w:eastAsia="Times New Roman"/>
          <w:b/>
          <w:bCs/>
          <w:rtl/>
          <w:lang w:eastAsia="de-DE"/>
        </w:rPr>
        <w:t>הַיַּרְדֵּן</w:t>
      </w:r>
      <w:r w:rsidRPr="00394F78">
        <w:rPr>
          <w:rFonts w:eastAsia="Times New Roman"/>
          <w:rtl/>
          <w:lang w:eastAsia="de-DE"/>
        </w:rPr>
        <w:t xml:space="preserve"> </w:t>
      </w:r>
      <w:r w:rsidRPr="00394F78">
        <w:rPr>
          <w:rFonts w:eastAsia="Times New Roman"/>
          <w:lang w:eastAsia="de-DE"/>
        </w:rPr>
        <w:t xml:space="preserve">(„der Jordan"). </w:t>
      </w:r>
      <w:r w:rsidRPr="00394F78">
        <w:rPr>
          <w:rFonts w:eastAsia="Times New Roman"/>
          <w:b/>
          <w:bCs/>
          <w:rtl/>
          <w:lang w:eastAsia="de-DE"/>
        </w:rPr>
        <w:t>בְּאֶרֶץ מוֹאָב</w:t>
      </w:r>
      <w:r w:rsidRPr="00394F78">
        <w:rPr>
          <w:rFonts w:eastAsia="Times New Roman"/>
          <w:rtl/>
          <w:lang w:eastAsia="de-DE"/>
        </w:rPr>
        <w:t xml:space="preserve"> </w:t>
      </w:r>
      <w:r w:rsidRPr="00394F78">
        <w:rPr>
          <w:rFonts w:eastAsia="Times New Roman"/>
          <w:lang w:eastAsia="de-DE"/>
        </w:rPr>
        <w:t xml:space="preserve">ist eine weitere Lokalisierung: </w:t>
      </w:r>
      <w:r w:rsidRPr="00394F78">
        <w:rPr>
          <w:rFonts w:eastAsia="Times New Roman"/>
          <w:b/>
          <w:bCs/>
          <w:rtl/>
          <w:lang w:eastAsia="de-DE"/>
        </w:rPr>
        <w:t>בְּ</w:t>
      </w:r>
      <w:r w:rsidRPr="00394F78">
        <w:rPr>
          <w:rFonts w:eastAsia="Times New Roman"/>
          <w:rtl/>
          <w:lang w:eastAsia="de-DE"/>
        </w:rPr>
        <w:t xml:space="preserve"> </w:t>
      </w:r>
      <w:r w:rsidRPr="00394F78">
        <w:rPr>
          <w:rFonts w:eastAsia="Times New Roman"/>
          <w:lang w:eastAsia="de-DE"/>
        </w:rPr>
        <w:t xml:space="preserve">mit </w:t>
      </w:r>
      <w:r w:rsidRPr="00394F78">
        <w:rPr>
          <w:rFonts w:eastAsia="Times New Roman"/>
          <w:b/>
          <w:bCs/>
          <w:rtl/>
          <w:lang w:eastAsia="de-DE"/>
        </w:rPr>
        <w:t>אֶרֶץ</w:t>
      </w:r>
      <w:r w:rsidRPr="00394F78">
        <w:rPr>
          <w:rFonts w:eastAsia="Times New Roman"/>
          <w:rtl/>
          <w:lang w:eastAsia="de-DE"/>
        </w:rPr>
        <w:t xml:space="preserve"> </w:t>
      </w:r>
      <w:r w:rsidRPr="00394F78">
        <w:rPr>
          <w:rFonts w:eastAsia="Times New Roman"/>
          <w:lang w:eastAsia="de-DE"/>
        </w:rPr>
        <w:t xml:space="preserve">(„Land") im </w:t>
      </w:r>
      <w:r w:rsidR="0032647F">
        <w:rPr>
          <w:rFonts w:eastAsia="Times New Roman"/>
          <w:lang w:eastAsia="de-DE"/>
        </w:rPr>
        <w:t>Construct</w:t>
      </w:r>
      <w:r w:rsidRPr="00394F78">
        <w:rPr>
          <w:rFonts w:eastAsia="Times New Roman"/>
          <w:lang w:eastAsia="de-DE"/>
        </w:rPr>
        <w:t xml:space="preserve"> mit </w:t>
      </w:r>
      <w:r w:rsidRPr="00394F78">
        <w:rPr>
          <w:rFonts w:eastAsia="Times New Roman"/>
          <w:b/>
          <w:bCs/>
          <w:rtl/>
          <w:lang w:eastAsia="de-DE"/>
        </w:rPr>
        <w:t>מוֹאָב</w:t>
      </w:r>
      <w:r w:rsidRPr="00394F78">
        <w:rPr>
          <w:rFonts w:eastAsia="Times New Roman"/>
          <w:rtl/>
          <w:lang w:eastAsia="de-DE"/>
        </w:rPr>
        <w:t xml:space="preserve"> </w:t>
      </w:r>
      <w:r w:rsidRPr="00394F78">
        <w:rPr>
          <w:rFonts w:eastAsia="Times New Roman"/>
          <w:lang w:eastAsia="de-DE"/>
        </w:rPr>
        <w:t xml:space="preserve">(„Moab"), </w:t>
      </w:r>
      <w:r w:rsidR="00C13523">
        <w:rPr>
          <w:rFonts w:eastAsia="Times New Roman"/>
          <w:lang w:eastAsia="de-DE"/>
        </w:rPr>
        <w:t>Region Name</w:t>
      </w:r>
      <w:r w:rsidRPr="00394F78">
        <w:rPr>
          <w:rFonts w:eastAsia="Times New Roman"/>
          <w:lang w:eastAsia="de-DE"/>
        </w:rPr>
        <w:t>. Diese doppelte Ortsbestimmung präzisiert die geografische Situation.</w:t>
      </w:r>
    </w:p>
    <w:p w14:paraId="0E0D0851" w14:textId="3FD9A77D"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b/>
          <w:bCs/>
          <w:rtl/>
          <w:lang w:eastAsia="de-DE"/>
        </w:rPr>
        <w:t>הוֹאִיל</w:t>
      </w:r>
      <w:r w:rsidRPr="00394F78">
        <w:rPr>
          <w:rFonts w:eastAsia="Times New Roman"/>
          <w:rtl/>
          <w:lang w:eastAsia="de-DE"/>
        </w:rPr>
        <w:t xml:space="preserve"> </w:t>
      </w:r>
      <w:r w:rsidRPr="00394F78">
        <w:rPr>
          <w:rFonts w:eastAsia="Times New Roman"/>
          <w:lang w:eastAsia="de-DE"/>
        </w:rPr>
        <w:t xml:space="preserve">ist Hif'il Perfekt, 3. Person maskulin Singular von </w:t>
      </w:r>
      <w:r w:rsidRPr="00E724E6">
        <w:rPr>
          <w:rFonts w:eastAsia="Times New Roman"/>
          <w:b/>
          <w:bCs/>
          <w:rtl/>
          <w:lang w:eastAsia="de-DE"/>
        </w:rPr>
        <w:t>יאל</w:t>
      </w:r>
      <w:r w:rsidRPr="00394F78">
        <w:rPr>
          <w:rFonts w:eastAsia="Times New Roman"/>
          <w:lang w:eastAsia="de-DE"/>
        </w:rPr>
        <w:t xml:space="preserve"> („willens sein, beginnen, unternehmen"). Die Hif'il-Form hat hier inchoative Bedeutung („beginnen"). </w:t>
      </w:r>
      <w:r w:rsidRPr="00394F78">
        <w:rPr>
          <w:rFonts w:eastAsia="Times New Roman"/>
          <w:b/>
          <w:bCs/>
          <w:rtl/>
          <w:lang w:eastAsia="de-DE"/>
        </w:rPr>
        <w:t>מֹשֶׁה</w:t>
      </w:r>
      <w:r w:rsidRPr="00394F78">
        <w:rPr>
          <w:rFonts w:eastAsia="Times New Roman"/>
          <w:rtl/>
          <w:lang w:eastAsia="de-DE"/>
        </w:rPr>
        <w:t xml:space="preserve"> </w:t>
      </w:r>
      <w:r w:rsidRPr="00394F78">
        <w:rPr>
          <w:rFonts w:eastAsia="Times New Roman"/>
          <w:lang w:eastAsia="de-DE"/>
        </w:rPr>
        <w:t xml:space="preserve">ist das Subjekt. </w:t>
      </w:r>
      <w:r w:rsidRPr="00394F78">
        <w:rPr>
          <w:rFonts w:eastAsia="Times New Roman"/>
          <w:b/>
          <w:bCs/>
          <w:rtl/>
          <w:lang w:eastAsia="de-DE"/>
        </w:rPr>
        <w:t>בֵּאֵר</w:t>
      </w:r>
      <w:r w:rsidRPr="00394F78">
        <w:rPr>
          <w:rFonts w:eastAsia="Times New Roman"/>
          <w:rtl/>
          <w:lang w:eastAsia="de-DE"/>
        </w:rPr>
        <w:t xml:space="preserve"> </w:t>
      </w:r>
      <w:r w:rsidRPr="00394F78">
        <w:rPr>
          <w:rFonts w:eastAsia="Times New Roman"/>
          <w:lang w:eastAsia="de-DE"/>
        </w:rPr>
        <w:t xml:space="preserve">ist Piel Infinitiv </w:t>
      </w:r>
      <w:r w:rsidR="0032647F">
        <w:rPr>
          <w:rFonts w:eastAsia="Times New Roman"/>
          <w:lang w:eastAsia="de-DE"/>
        </w:rPr>
        <w:t>Construct</w:t>
      </w:r>
      <w:r w:rsidRPr="00394F78">
        <w:rPr>
          <w:rFonts w:eastAsia="Times New Roman"/>
          <w:lang w:eastAsia="de-DE"/>
        </w:rPr>
        <w:t xml:space="preserve"> von </w:t>
      </w:r>
      <w:r w:rsidRPr="00394F78">
        <w:rPr>
          <w:rFonts w:eastAsia="Times New Roman"/>
          <w:rtl/>
          <w:lang w:eastAsia="de-DE"/>
        </w:rPr>
        <w:t>באר</w:t>
      </w:r>
      <w:r w:rsidRPr="00394F78">
        <w:rPr>
          <w:rFonts w:eastAsia="Times New Roman"/>
          <w:lang w:eastAsia="de-DE"/>
        </w:rPr>
        <w:t xml:space="preserve"> („erklären, auslegen, klar machen"). Die Piel-Form intensiviert die Bedeutung: gründlich erklären. Der Infinitiv fungiert als Objekt zu </w:t>
      </w:r>
      <w:r w:rsidRPr="00394F78">
        <w:rPr>
          <w:rFonts w:eastAsia="Times New Roman"/>
          <w:b/>
          <w:bCs/>
          <w:rtl/>
          <w:lang w:eastAsia="de-DE"/>
        </w:rPr>
        <w:t>הוֹאִיל</w:t>
      </w:r>
      <w:r w:rsidRPr="00394F78">
        <w:rPr>
          <w:rFonts w:eastAsia="Times New Roman"/>
          <w:lang w:eastAsia="de-DE"/>
        </w:rPr>
        <w:t>.</w:t>
      </w:r>
    </w:p>
    <w:p w14:paraId="2504BCBB" w14:textId="372860F7"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b/>
          <w:bCs/>
          <w:rtl/>
          <w:lang w:eastAsia="de-DE"/>
        </w:rPr>
        <w:t>אֶת־הַתּוֹרָה הַזֹּאת</w:t>
      </w:r>
      <w:r w:rsidRPr="00394F78">
        <w:rPr>
          <w:rFonts w:eastAsia="Times New Roman"/>
          <w:rtl/>
          <w:lang w:eastAsia="de-DE"/>
        </w:rPr>
        <w:t xml:space="preserve"> </w:t>
      </w:r>
      <w:r w:rsidRPr="00394F78">
        <w:rPr>
          <w:rFonts w:eastAsia="Times New Roman"/>
          <w:lang w:eastAsia="de-DE"/>
        </w:rPr>
        <w:t xml:space="preserve">besteht aus der Objektpartikel </w:t>
      </w:r>
      <w:r w:rsidRPr="00394F78">
        <w:rPr>
          <w:rFonts w:eastAsia="Times New Roman"/>
          <w:b/>
          <w:bCs/>
          <w:rtl/>
          <w:lang w:eastAsia="de-DE"/>
        </w:rPr>
        <w:t>אֶת</w:t>
      </w:r>
      <w:r w:rsidRPr="00394F78">
        <w:rPr>
          <w:rFonts w:eastAsia="Times New Roman"/>
          <w:lang w:eastAsia="de-DE"/>
        </w:rPr>
        <w:t xml:space="preserve">, </w:t>
      </w:r>
      <w:r w:rsidRPr="00394F78">
        <w:rPr>
          <w:rFonts w:eastAsia="Times New Roman"/>
          <w:b/>
          <w:bCs/>
          <w:rtl/>
          <w:lang w:eastAsia="de-DE"/>
        </w:rPr>
        <w:t>הַתּוֹרָה</w:t>
      </w:r>
      <w:r w:rsidRPr="00394F78">
        <w:rPr>
          <w:rFonts w:eastAsia="Times New Roman"/>
          <w:rtl/>
          <w:lang w:eastAsia="de-DE"/>
        </w:rPr>
        <w:t xml:space="preserve"> </w:t>
      </w:r>
      <w:r w:rsidRPr="00394F78">
        <w:rPr>
          <w:rFonts w:eastAsia="Times New Roman"/>
          <w:lang w:eastAsia="de-DE"/>
        </w:rPr>
        <w:t xml:space="preserve">(„die </w:t>
      </w:r>
      <w:r w:rsidR="001E0205">
        <w:rPr>
          <w:rFonts w:eastAsia="Times New Roman"/>
          <w:lang w:eastAsia="de-DE"/>
        </w:rPr>
        <w:t>Torah</w:t>
      </w:r>
      <w:r w:rsidRPr="00394F78">
        <w:rPr>
          <w:rFonts w:eastAsia="Times New Roman"/>
          <w:lang w:eastAsia="de-DE"/>
        </w:rPr>
        <w:t xml:space="preserve">, die Weisung, das Gesetz") mit Artikel, und dem Demonstrativpronomen </w:t>
      </w:r>
      <w:r w:rsidRPr="00394F78">
        <w:rPr>
          <w:rFonts w:eastAsia="Times New Roman"/>
          <w:b/>
          <w:bCs/>
          <w:rtl/>
          <w:lang w:eastAsia="de-DE"/>
        </w:rPr>
        <w:t>הַזֹּאת</w:t>
      </w:r>
      <w:r w:rsidRPr="00394F78">
        <w:rPr>
          <w:rFonts w:eastAsia="Times New Roman"/>
          <w:rtl/>
          <w:lang w:eastAsia="de-DE"/>
        </w:rPr>
        <w:t xml:space="preserve"> </w:t>
      </w:r>
      <w:r w:rsidRPr="00394F78">
        <w:rPr>
          <w:rFonts w:eastAsia="Times New Roman"/>
          <w:lang w:eastAsia="de-DE"/>
        </w:rPr>
        <w:t xml:space="preserve">(„diese", feminin Singular), das attributiv zu </w:t>
      </w:r>
      <w:r w:rsidRPr="00394F78">
        <w:rPr>
          <w:rFonts w:eastAsia="Times New Roman"/>
          <w:b/>
          <w:bCs/>
          <w:rtl/>
          <w:lang w:eastAsia="de-DE"/>
        </w:rPr>
        <w:t>הַתּוֹרָה</w:t>
      </w:r>
      <w:r w:rsidRPr="00394F78">
        <w:rPr>
          <w:rFonts w:eastAsia="Times New Roman"/>
          <w:rtl/>
          <w:lang w:eastAsia="de-DE"/>
        </w:rPr>
        <w:t xml:space="preserve"> </w:t>
      </w:r>
      <w:r w:rsidRPr="00394F78">
        <w:rPr>
          <w:rFonts w:eastAsia="Times New Roman"/>
          <w:lang w:eastAsia="de-DE"/>
        </w:rPr>
        <w:t xml:space="preserve">steht. </w:t>
      </w:r>
      <w:r w:rsidRPr="00394F78">
        <w:rPr>
          <w:rFonts w:eastAsia="Times New Roman"/>
          <w:b/>
          <w:bCs/>
          <w:rtl/>
          <w:lang w:eastAsia="de-DE"/>
        </w:rPr>
        <w:t>לֵאמֹר</w:t>
      </w:r>
      <w:r w:rsidRPr="00394F78">
        <w:rPr>
          <w:rFonts w:eastAsia="Times New Roman"/>
          <w:rtl/>
          <w:lang w:eastAsia="de-DE"/>
        </w:rPr>
        <w:t xml:space="preserve"> </w:t>
      </w:r>
      <w:r w:rsidRPr="00394F78">
        <w:rPr>
          <w:rFonts w:eastAsia="Times New Roman"/>
          <w:lang w:eastAsia="de-DE"/>
        </w:rPr>
        <w:t xml:space="preserve">ist die häufige Formel: Präposition </w:t>
      </w:r>
      <w:r w:rsidRPr="00394F78">
        <w:rPr>
          <w:rFonts w:eastAsia="Times New Roman"/>
          <w:b/>
          <w:bCs/>
          <w:rtl/>
          <w:lang w:eastAsia="de-DE"/>
        </w:rPr>
        <w:t>לְ</w:t>
      </w:r>
      <w:r w:rsidRPr="00394F78">
        <w:rPr>
          <w:rFonts w:eastAsia="Times New Roman"/>
          <w:rtl/>
          <w:lang w:eastAsia="de-DE"/>
        </w:rPr>
        <w:t xml:space="preserve"> </w:t>
      </w:r>
      <w:r w:rsidRPr="00394F78">
        <w:rPr>
          <w:rFonts w:eastAsia="Times New Roman"/>
          <w:lang w:eastAsia="de-DE"/>
        </w:rPr>
        <w:t xml:space="preserve">mit dem Qal Infinitiv </w:t>
      </w:r>
      <w:r w:rsidR="0032647F">
        <w:rPr>
          <w:rFonts w:eastAsia="Times New Roman"/>
          <w:lang w:eastAsia="de-DE"/>
        </w:rPr>
        <w:t>Construct</w:t>
      </w:r>
      <w:r w:rsidRPr="00394F78">
        <w:rPr>
          <w:rFonts w:eastAsia="Times New Roman"/>
          <w:lang w:eastAsia="de-DE"/>
        </w:rPr>
        <w:t xml:space="preserve"> von </w:t>
      </w:r>
      <w:r w:rsidRPr="00394F78">
        <w:rPr>
          <w:rFonts w:eastAsia="Times New Roman"/>
          <w:rtl/>
          <w:lang w:eastAsia="de-DE"/>
        </w:rPr>
        <w:t>אמר</w:t>
      </w:r>
      <w:r w:rsidRPr="00394F78">
        <w:rPr>
          <w:rFonts w:eastAsia="Times New Roman"/>
          <w:lang w:eastAsia="de-DE"/>
        </w:rPr>
        <w:t xml:space="preserve"> („sagen"). Diese Formel leitet direkte Rede ein und bedeutet wörtlich „sagend" oder „folgendermaßen".</w:t>
      </w:r>
    </w:p>
    <w:p w14:paraId="41C91957" w14:textId="77777777"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b/>
          <w:bCs/>
          <w:lang w:eastAsia="de-DE"/>
        </w:rPr>
        <w:t>Die LXX</w:t>
      </w:r>
      <w:r w:rsidRPr="00394F78">
        <w:rPr>
          <w:rFonts w:eastAsia="Times New Roman"/>
          <w:lang w:eastAsia="de-DE"/>
        </w:rPr>
        <w:t xml:space="preserve"> übersetzt „π</w:t>
      </w:r>
      <w:proofErr w:type="spellStart"/>
      <w:r w:rsidRPr="00394F78">
        <w:rPr>
          <w:rFonts w:eastAsia="Times New Roman"/>
          <w:lang w:eastAsia="de-DE"/>
        </w:rPr>
        <w:t>έρ</w:t>
      </w:r>
      <w:proofErr w:type="spellEnd"/>
      <w:r w:rsidRPr="00394F78">
        <w:rPr>
          <w:rFonts w:eastAsia="Times New Roman"/>
          <w:lang w:eastAsia="de-DE"/>
        </w:rPr>
        <w:t xml:space="preserve">αν </w:t>
      </w:r>
      <w:proofErr w:type="spellStart"/>
      <w:r w:rsidRPr="00394F78">
        <w:rPr>
          <w:rFonts w:eastAsia="Times New Roman"/>
          <w:lang w:eastAsia="de-DE"/>
        </w:rPr>
        <w:t>τοῦ</w:t>
      </w:r>
      <w:proofErr w:type="spellEnd"/>
      <w:r w:rsidRPr="00394F78">
        <w:rPr>
          <w:rFonts w:eastAsia="Times New Roman"/>
          <w:lang w:eastAsia="de-DE"/>
        </w:rPr>
        <w:t xml:space="preserve"> </w:t>
      </w:r>
      <w:proofErr w:type="spellStart"/>
      <w:r w:rsidRPr="00394F78">
        <w:rPr>
          <w:rFonts w:eastAsia="Times New Roman"/>
          <w:lang w:eastAsia="de-DE"/>
        </w:rPr>
        <w:t>Ιορδάνου</w:t>
      </w:r>
      <w:proofErr w:type="spellEnd"/>
      <w:r w:rsidRPr="00394F78">
        <w:rPr>
          <w:rFonts w:eastAsia="Times New Roman"/>
          <w:lang w:eastAsia="de-DE"/>
        </w:rPr>
        <w:t xml:space="preserve"> </w:t>
      </w:r>
      <w:proofErr w:type="spellStart"/>
      <w:r w:rsidRPr="00394F78">
        <w:rPr>
          <w:rFonts w:eastAsia="Times New Roman"/>
          <w:lang w:eastAsia="de-DE"/>
        </w:rPr>
        <w:t>ἐν</w:t>
      </w:r>
      <w:proofErr w:type="spellEnd"/>
      <w:r w:rsidRPr="00394F78">
        <w:rPr>
          <w:rFonts w:eastAsia="Times New Roman"/>
          <w:lang w:eastAsia="de-DE"/>
        </w:rPr>
        <w:t xml:space="preserve"> </w:t>
      </w:r>
      <w:proofErr w:type="spellStart"/>
      <w:r w:rsidRPr="00394F78">
        <w:rPr>
          <w:rFonts w:eastAsia="Times New Roman"/>
          <w:lang w:eastAsia="de-DE"/>
        </w:rPr>
        <w:t>γῇ</w:t>
      </w:r>
      <w:proofErr w:type="spellEnd"/>
      <w:r w:rsidRPr="00394F78">
        <w:rPr>
          <w:rFonts w:eastAsia="Times New Roman"/>
          <w:lang w:eastAsia="de-DE"/>
        </w:rPr>
        <w:t xml:space="preserve"> </w:t>
      </w:r>
      <w:proofErr w:type="spellStart"/>
      <w:r w:rsidRPr="00394F78">
        <w:rPr>
          <w:rFonts w:eastAsia="Times New Roman"/>
          <w:lang w:eastAsia="de-DE"/>
        </w:rPr>
        <w:t>Μω</w:t>
      </w:r>
      <w:proofErr w:type="spellEnd"/>
      <w:r w:rsidRPr="00394F78">
        <w:rPr>
          <w:rFonts w:eastAsia="Times New Roman"/>
          <w:lang w:eastAsia="de-DE"/>
        </w:rPr>
        <w:t xml:space="preserve">αβ </w:t>
      </w:r>
      <w:proofErr w:type="spellStart"/>
      <w:r w:rsidRPr="00394F78">
        <w:rPr>
          <w:rFonts w:eastAsia="Times New Roman"/>
          <w:lang w:eastAsia="de-DE"/>
        </w:rPr>
        <w:t>ἤρξ</w:t>
      </w:r>
      <w:proofErr w:type="spellEnd"/>
      <w:r w:rsidRPr="00394F78">
        <w:rPr>
          <w:rFonts w:eastAsia="Times New Roman"/>
          <w:lang w:eastAsia="de-DE"/>
        </w:rPr>
        <w:t xml:space="preserve">ατο Μωυσῆς </w:t>
      </w:r>
      <w:proofErr w:type="spellStart"/>
      <w:r w:rsidRPr="00394F78">
        <w:rPr>
          <w:rFonts w:eastAsia="Times New Roman"/>
          <w:lang w:eastAsia="de-DE"/>
        </w:rPr>
        <w:t>δι</w:t>
      </w:r>
      <w:proofErr w:type="spellEnd"/>
      <w:r w:rsidRPr="00394F78">
        <w:rPr>
          <w:rFonts w:eastAsia="Times New Roman"/>
          <w:lang w:eastAsia="de-DE"/>
        </w:rPr>
        <w:t xml:space="preserve">ασαφῆσαι </w:t>
      </w:r>
      <w:proofErr w:type="spellStart"/>
      <w:r w:rsidRPr="00394F78">
        <w:rPr>
          <w:rFonts w:eastAsia="Times New Roman"/>
          <w:lang w:eastAsia="de-DE"/>
        </w:rPr>
        <w:t>τὸν</w:t>
      </w:r>
      <w:proofErr w:type="spellEnd"/>
      <w:r w:rsidRPr="00394F78">
        <w:rPr>
          <w:rFonts w:eastAsia="Times New Roman"/>
          <w:lang w:eastAsia="de-DE"/>
        </w:rPr>
        <w:t xml:space="preserve"> </w:t>
      </w:r>
      <w:proofErr w:type="spellStart"/>
      <w:r w:rsidRPr="00394F78">
        <w:rPr>
          <w:rFonts w:eastAsia="Times New Roman"/>
          <w:lang w:eastAsia="de-DE"/>
        </w:rPr>
        <w:t>νόμον</w:t>
      </w:r>
      <w:proofErr w:type="spellEnd"/>
      <w:r w:rsidRPr="00394F78">
        <w:rPr>
          <w:rFonts w:eastAsia="Times New Roman"/>
          <w:lang w:eastAsia="de-DE"/>
        </w:rPr>
        <w:t xml:space="preserve"> </w:t>
      </w:r>
      <w:proofErr w:type="spellStart"/>
      <w:r w:rsidRPr="00394F78">
        <w:rPr>
          <w:rFonts w:eastAsia="Times New Roman"/>
          <w:lang w:eastAsia="de-DE"/>
        </w:rPr>
        <w:t>τοῦτον</w:t>
      </w:r>
      <w:proofErr w:type="spellEnd"/>
      <w:r w:rsidRPr="00394F78">
        <w:rPr>
          <w:rFonts w:eastAsia="Times New Roman"/>
          <w:lang w:eastAsia="de-DE"/>
        </w:rPr>
        <w:t xml:space="preserve"> </w:t>
      </w:r>
      <w:proofErr w:type="spellStart"/>
      <w:r w:rsidRPr="00394F78">
        <w:rPr>
          <w:rFonts w:eastAsia="Times New Roman"/>
          <w:lang w:eastAsia="de-DE"/>
        </w:rPr>
        <w:t>λέγων</w:t>
      </w:r>
      <w:proofErr w:type="spellEnd"/>
      <w:r w:rsidRPr="00394F78">
        <w:rPr>
          <w:rFonts w:eastAsia="Times New Roman"/>
          <w:lang w:eastAsia="de-DE"/>
        </w:rPr>
        <w:t xml:space="preserve">" („jenseits des Jordan im Land Moab begann Mose, dieses Gesetz zu erklären, sagend"). Die LXX übersetzt </w:t>
      </w:r>
      <w:r w:rsidRPr="00394F78">
        <w:rPr>
          <w:rFonts w:eastAsia="Times New Roman"/>
          <w:b/>
          <w:bCs/>
          <w:rtl/>
          <w:lang w:eastAsia="de-DE"/>
        </w:rPr>
        <w:t>תּוֹרָה</w:t>
      </w:r>
      <w:r w:rsidRPr="00394F78">
        <w:rPr>
          <w:rFonts w:eastAsia="Times New Roman"/>
          <w:rtl/>
          <w:lang w:eastAsia="de-DE"/>
        </w:rPr>
        <w:t xml:space="preserve"> </w:t>
      </w:r>
      <w:r w:rsidRPr="00394F78">
        <w:rPr>
          <w:rFonts w:eastAsia="Times New Roman"/>
          <w:lang w:eastAsia="de-DE"/>
        </w:rPr>
        <w:t>mit „</w:t>
      </w:r>
      <w:proofErr w:type="spellStart"/>
      <w:r w:rsidRPr="00394F78">
        <w:rPr>
          <w:rFonts w:eastAsia="Times New Roman"/>
          <w:lang w:eastAsia="de-DE"/>
        </w:rPr>
        <w:t>νόμος</w:t>
      </w:r>
      <w:proofErr w:type="spellEnd"/>
      <w:r w:rsidRPr="00394F78">
        <w:rPr>
          <w:rFonts w:eastAsia="Times New Roman"/>
          <w:lang w:eastAsia="de-DE"/>
        </w:rPr>
        <w:t>" („Gesetz"), was die juristische Dimension betont, während das Hebräische breiter „Weisung, Lehre" bedeutet.</w:t>
      </w:r>
    </w:p>
    <w:p w14:paraId="5ADDFC6A" w14:textId="6C7F74DE"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lang w:eastAsia="de-DE"/>
        </w:rPr>
        <w:t xml:space="preserve">Die Satzstruktur besteht aus einem Hauptsatz mit zwei präpositionalen Ortsangaben am Anfang, dem finiten Verb </w:t>
      </w:r>
      <w:r w:rsidRPr="00394F78">
        <w:rPr>
          <w:rFonts w:eastAsia="Times New Roman"/>
          <w:b/>
          <w:bCs/>
          <w:rtl/>
          <w:lang w:eastAsia="de-DE"/>
        </w:rPr>
        <w:t>הוֹאִיל</w:t>
      </w:r>
      <w:r w:rsidRPr="00394F78">
        <w:rPr>
          <w:rFonts w:eastAsia="Times New Roman"/>
          <w:rtl/>
          <w:lang w:eastAsia="de-DE"/>
        </w:rPr>
        <w:t xml:space="preserve"> </w:t>
      </w:r>
      <w:r w:rsidRPr="00394F78">
        <w:rPr>
          <w:rFonts w:eastAsia="Times New Roman"/>
          <w:lang w:eastAsia="de-DE"/>
        </w:rPr>
        <w:t xml:space="preserve">mit Subjekt </w:t>
      </w:r>
      <w:r w:rsidRPr="00394F78">
        <w:rPr>
          <w:rFonts w:eastAsia="Times New Roman"/>
          <w:b/>
          <w:bCs/>
          <w:rtl/>
          <w:lang w:eastAsia="de-DE"/>
        </w:rPr>
        <w:t>מֹשֶׁה</w:t>
      </w:r>
      <w:r w:rsidRPr="00394F78">
        <w:rPr>
          <w:rFonts w:eastAsia="Times New Roman"/>
          <w:lang w:eastAsia="de-DE"/>
        </w:rPr>
        <w:t>, einem Infinitiv als Objekt (</w:t>
      </w:r>
      <w:r w:rsidRPr="00394F78">
        <w:rPr>
          <w:rFonts w:eastAsia="Times New Roman"/>
          <w:b/>
          <w:bCs/>
          <w:rtl/>
          <w:lang w:eastAsia="de-DE"/>
        </w:rPr>
        <w:t>בֵּאֵר</w:t>
      </w:r>
      <w:r w:rsidRPr="00394F78">
        <w:rPr>
          <w:rFonts w:eastAsia="Times New Roman"/>
          <w:lang w:eastAsia="de-DE"/>
        </w:rPr>
        <w:t>) mit dessen eigenem Objekt (</w:t>
      </w:r>
      <w:r w:rsidRPr="00394F78">
        <w:rPr>
          <w:rFonts w:eastAsia="Times New Roman"/>
          <w:b/>
          <w:bCs/>
          <w:rtl/>
          <w:lang w:eastAsia="de-DE"/>
        </w:rPr>
        <w:t>אֶת־הַתּוֹרָה הַזֹּאת</w:t>
      </w:r>
      <w:r w:rsidRPr="00394F78">
        <w:rPr>
          <w:rFonts w:eastAsia="Times New Roman"/>
          <w:lang w:eastAsia="de-DE"/>
        </w:rPr>
        <w:t xml:space="preserve">), und der abschließenden Einleitungsformel </w:t>
      </w:r>
      <w:r w:rsidRPr="00394F78">
        <w:rPr>
          <w:rFonts w:eastAsia="Times New Roman"/>
          <w:b/>
          <w:bCs/>
          <w:rtl/>
          <w:lang w:eastAsia="de-DE"/>
        </w:rPr>
        <w:t>לֵאמֹר</w:t>
      </w:r>
      <w:r w:rsidRPr="00394F78">
        <w:rPr>
          <w:rFonts w:eastAsia="Times New Roman"/>
          <w:lang w:eastAsia="de-DE"/>
        </w:rPr>
        <w:t xml:space="preserve">. Es ist ein einfacher Verbalsatz mit </w:t>
      </w:r>
      <w:r w:rsidR="00C13523">
        <w:rPr>
          <w:rFonts w:eastAsia="Times New Roman"/>
          <w:lang w:eastAsia="de-DE"/>
        </w:rPr>
        <w:t>Infinitiv-</w:t>
      </w:r>
      <w:r w:rsidR="00FF2B82">
        <w:rPr>
          <w:rFonts w:eastAsia="Times New Roman"/>
          <w:lang w:eastAsia="de-DE"/>
        </w:rPr>
        <w:t>Konstruktion</w:t>
      </w:r>
      <w:r w:rsidRPr="00394F78">
        <w:rPr>
          <w:rFonts w:eastAsia="Times New Roman"/>
          <w:lang w:eastAsia="de-DE"/>
        </w:rPr>
        <w:t>.</w:t>
      </w:r>
    </w:p>
    <w:p w14:paraId="1129583C" w14:textId="214AF415"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lang w:eastAsia="de-DE"/>
        </w:rPr>
        <w:t xml:space="preserve">Der Vers markiert den eigentlichen Beginn von Moses Rede und charakterisiert das gesamte Buch Deuteronomium als „Auslegung der </w:t>
      </w:r>
      <w:r w:rsidR="001E0205">
        <w:rPr>
          <w:rFonts w:eastAsia="Times New Roman"/>
          <w:lang w:eastAsia="de-DE"/>
        </w:rPr>
        <w:t>Torah</w:t>
      </w:r>
      <w:r w:rsidRPr="00394F78">
        <w:rPr>
          <w:rFonts w:eastAsia="Times New Roman"/>
          <w:lang w:eastAsia="de-DE"/>
        </w:rPr>
        <w:t>", als interpretative Darlegung des göttlichen Willens für die neue Generation vor dem Eintritt ins verheißene Land.</w:t>
      </w:r>
    </w:p>
    <w:p w14:paraId="7A2AB495" w14:textId="77777777" w:rsidR="00394F78" w:rsidRPr="00394F78" w:rsidRDefault="00394F78" w:rsidP="00394F78">
      <w:pPr>
        <w:spacing w:before="100" w:beforeAutospacing="1" w:after="100" w:afterAutospacing="1" w:line="240" w:lineRule="auto"/>
        <w:outlineLvl w:val="1"/>
        <w:rPr>
          <w:rFonts w:eastAsia="Times New Roman"/>
          <w:b/>
          <w:bCs/>
          <w:sz w:val="36"/>
          <w:szCs w:val="36"/>
          <w:lang w:eastAsia="de-DE"/>
        </w:rPr>
      </w:pPr>
      <w:r w:rsidRPr="00394F78">
        <w:rPr>
          <w:rFonts w:eastAsia="Times New Roman"/>
          <w:b/>
          <w:bCs/>
          <w:sz w:val="36"/>
          <w:szCs w:val="36"/>
          <w:lang w:eastAsia="de-DE"/>
        </w:rPr>
        <w:t>Deuteronomium 1,6</w:t>
      </w:r>
    </w:p>
    <w:p w14:paraId="535EC093" w14:textId="77777777"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b/>
          <w:bCs/>
          <w:lang w:eastAsia="de-DE"/>
        </w:rPr>
        <w:t>Hebräisch:</w:t>
      </w:r>
      <w:r w:rsidRPr="00394F78">
        <w:rPr>
          <w:rFonts w:eastAsia="Times New Roman"/>
          <w:lang w:eastAsia="de-DE"/>
        </w:rPr>
        <w:t xml:space="preserve"> </w:t>
      </w:r>
      <w:r w:rsidRPr="00394F78">
        <w:rPr>
          <w:rFonts w:eastAsia="Times New Roman"/>
          <w:rtl/>
          <w:lang w:eastAsia="de-DE"/>
        </w:rPr>
        <w:t>יְהוָ֧ה אֱלֹהֵ֛ינוּ דִּבֶּ֥ר אֵלֵ֖ינוּ בְּחֹרֵ֣ב לֵאמֹ֑ר רַב־לָכֶ֥ם שֶׁ֖בֶת בָּהָ֥ר הַזֶּֽה׃</w:t>
      </w:r>
    </w:p>
    <w:p w14:paraId="750E9866" w14:textId="77777777"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b/>
          <w:bCs/>
          <w:lang w:eastAsia="de-DE"/>
        </w:rPr>
        <w:t>Deutsch:</w:t>
      </w:r>
      <w:r w:rsidRPr="00394F78">
        <w:rPr>
          <w:rFonts w:eastAsia="Times New Roman"/>
          <w:lang w:eastAsia="de-DE"/>
        </w:rPr>
        <w:t xml:space="preserve"> Der Ewige, unser Gott, redete zu uns am Chorev, sagend: Lange genug seid ihr an diesem Berg geblieben.</w:t>
      </w:r>
    </w:p>
    <w:p w14:paraId="4BF96875" w14:textId="77777777" w:rsidR="00394F78" w:rsidRPr="00394F78" w:rsidRDefault="004F5CEB" w:rsidP="00394F78">
      <w:pPr>
        <w:spacing w:after="0" w:line="240" w:lineRule="auto"/>
        <w:rPr>
          <w:rFonts w:eastAsia="Times New Roman"/>
          <w:lang w:eastAsia="de-DE"/>
        </w:rPr>
      </w:pPr>
      <w:r>
        <w:rPr>
          <w:rFonts w:eastAsia="Times New Roman"/>
          <w:noProof/>
          <w:lang w:eastAsia="de-DE"/>
        </w:rPr>
        <w:pict w14:anchorId="127E4FDA">
          <v:rect id="_x0000_i1030" style="width:0;height:1.5pt" o:hralign="center" o:hrstd="t" o:hr="t" fillcolor="#a0a0a0" stroked="f"/>
        </w:pict>
      </w:r>
    </w:p>
    <w:p w14:paraId="3A291D75" w14:textId="433E40E9"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b/>
          <w:bCs/>
          <w:lang w:eastAsia="de-DE"/>
        </w:rPr>
        <w:t>Kommentar:</w:t>
      </w:r>
      <w:r w:rsidRPr="00394F78">
        <w:rPr>
          <w:rFonts w:eastAsia="Times New Roman"/>
          <w:lang w:eastAsia="de-DE"/>
        </w:rPr>
        <w:t xml:space="preserve"> </w:t>
      </w:r>
      <w:r w:rsidRPr="00394F78">
        <w:rPr>
          <w:rFonts w:eastAsia="Times New Roman"/>
          <w:b/>
          <w:bCs/>
          <w:rtl/>
          <w:lang w:eastAsia="de-DE"/>
        </w:rPr>
        <w:t>יְהוָה אֱלֹהֵינוּ</w:t>
      </w:r>
      <w:r w:rsidRPr="00394F78">
        <w:rPr>
          <w:rFonts w:eastAsia="Times New Roman"/>
          <w:rtl/>
          <w:lang w:eastAsia="de-DE"/>
        </w:rPr>
        <w:t xml:space="preserve"> </w:t>
      </w:r>
      <w:r w:rsidRPr="00394F78">
        <w:rPr>
          <w:rFonts w:eastAsia="Times New Roman"/>
          <w:lang w:eastAsia="de-DE"/>
        </w:rPr>
        <w:t xml:space="preserve">ist eine </w:t>
      </w:r>
      <w:r w:rsidR="00C13523">
        <w:rPr>
          <w:rFonts w:eastAsia="Times New Roman"/>
          <w:lang w:eastAsia="de-DE"/>
        </w:rPr>
        <w:t>Nominal-</w:t>
      </w:r>
      <w:r w:rsidR="00FF2B82">
        <w:rPr>
          <w:rFonts w:eastAsia="Times New Roman"/>
          <w:lang w:eastAsia="de-DE"/>
        </w:rPr>
        <w:t>Konstruktion</w:t>
      </w:r>
      <w:r w:rsidRPr="00394F78">
        <w:rPr>
          <w:rFonts w:eastAsia="Times New Roman"/>
          <w:lang w:eastAsia="de-DE"/>
        </w:rPr>
        <w:t xml:space="preserve">: </w:t>
      </w:r>
      <w:r w:rsidRPr="00394F78">
        <w:rPr>
          <w:rFonts w:eastAsia="Times New Roman"/>
          <w:b/>
          <w:bCs/>
          <w:rtl/>
          <w:lang w:eastAsia="de-DE"/>
        </w:rPr>
        <w:t>יְהוָה</w:t>
      </w:r>
      <w:r w:rsidRPr="00394F78">
        <w:rPr>
          <w:rFonts w:eastAsia="Times New Roman"/>
          <w:rtl/>
          <w:lang w:eastAsia="de-DE"/>
        </w:rPr>
        <w:t xml:space="preserve"> </w:t>
      </w:r>
      <w:r w:rsidRPr="00394F78">
        <w:rPr>
          <w:rFonts w:eastAsia="Times New Roman"/>
          <w:lang w:eastAsia="de-DE"/>
        </w:rPr>
        <w:t xml:space="preserve">(Tetragramm) mit </w:t>
      </w:r>
      <w:r w:rsidRPr="00394F78">
        <w:rPr>
          <w:rFonts w:eastAsia="Times New Roman"/>
          <w:b/>
          <w:bCs/>
          <w:rtl/>
          <w:lang w:eastAsia="de-DE"/>
        </w:rPr>
        <w:t>אֱלֹהֵינוּ</w:t>
      </w:r>
      <w:r w:rsidRPr="00394F78">
        <w:rPr>
          <w:rFonts w:eastAsia="Times New Roman"/>
          <w:lang w:eastAsia="de-DE"/>
        </w:rPr>
        <w:t xml:space="preserve">, bestehend aus </w:t>
      </w:r>
      <w:r w:rsidRPr="00394F78">
        <w:rPr>
          <w:rFonts w:eastAsia="Times New Roman"/>
          <w:b/>
          <w:bCs/>
          <w:rtl/>
          <w:lang w:eastAsia="de-DE"/>
        </w:rPr>
        <w:t>אֱלֹהִים</w:t>
      </w:r>
      <w:r w:rsidRPr="00394F78">
        <w:rPr>
          <w:rFonts w:eastAsia="Times New Roman"/>
          <w:rtl/>
          <w:lang w:eastAsia="de-DE"/>
        </w:rPr>
        <w:t xml:space="preserve"> </w:t>
      </w:r>
      <w:r w:rsidRPr="00394F78">
        <w:rPr>
          <w:rFonts w:eastAsia="Times New Roman"/>
          <w:lang w:eastAsia="de-DE"/>
        </w:rPr>
        <w:t xml:space="preserve">(„Gott") mit dem Possessivsuffix 1. Person Plural </w:t>
      </w:r>
      <w:r w:rsidRPr="00394F78">
        <w:rPr>
          <w:rFonts w:eastAsia="Times New Roman"/>
          <w:b/>
          <w:bCs/>
          <w:rtl/>
          <w:lang w:eastAsia="de-DE"/>
        </w:rPr>
        <w:t>נוּ</w:t>
      </w:r>
      <w:r w:rsidRPr="00394F78">
        <w:rPr>
          <w:rFonts w:eastAsia="Times New Roman"/>
          <w:rtl/>
          <w:lang w:eastAsia="de-DE"/>
        </w:rPr>
        <w:t xml:space="preserve"> </w:t>
      </w:r>
      <w:r w:rsidRPr="00394F78">
        <w:rPr>
          <w:rFonts w:eastAsia="Times New Roman"/>
          <w:lang w:eastAsia="de-DE"/>
        </w:rPr>
        <w:t xml:space="preserve">(„unser"). Diese </w:t>
      </w:r>
      <w:r w:rsidRPr="00394F78">
        <w:rPr>
          <w:rFonts w:eastAsia="Times New Roman"/>
          <w:lang w:eastAsia="de-DE"/>
        </w:rPr>
        <w:lastRenderedPageBreak/>
        <w:t xml:space="preserve">Verbindung „JHWH, unser Gott" betont die Bundesbeziehung. </w:t>
      </w:r>
      <w:r w:rsidRPr="00394F78">
        <w:rPr>
          <w:rFonts w:eastAsia="Times New Roman"/>
          <w:b/>
          <w:bCs/>
          <w:rtl/>
          <w:lang w:eastAsia="de-DE"/>
        </w:rPr>
        <w:t>דִּבֶּר</w:t>
      </w:r>
      <w:r w:rsidRPr="00394F78">
        <w:rPr>
          <w:rFonts w:eastAsia="Times New Roman"/>
          <w:rtl/>
          <w:lang w:eastAsia="de-DE"/>
        </w:rPr>
        <w:t xml:space="preserve"> </w:t>
      </w:r>
      <w:r w:rsidRPr="00394F78">
        <w:rPr>
          <w:rFonts w:eastAsia="Times New Roman"/>
          <w:lang w:eastAsia="de-DE"/>
        </w:rPr>
        <w:t xml:space="preserve">ist Piel Perfekt, 3. Person maskulin Singular von </w:t>
      </w:r>
      <w:r w:rsidRPr="00394F78">
        <w:rPr>
          <w:rFonts w:eastAsia="Times New Roman"/>
          <w:rtl/>
          <w:lang w:eastAsia="de-DE"/>
        </w:rPr>
        <w:t>דבר</w:t>
      </w:r>
      <w:r w:rsidRPr="00394F78">
        <w:rPr>
          <w:rFonts w:eastAsia="Times New Roman"/>
          <w:lang w:eastAsia="de-DE"/>
        </w:rPr>
        <w:t xml:space="preserve">. </w:t>
      </w:r>
      <w:r w:rsidRPr="00394F78">
        <w:rPr>
          <w:rFonts w:eastAsia="Times New Roman"/>
          <w:b/>
          <w:bCs/>
          <w:rtl/>
          <w:lang w:eastAsia="de-DE"/>
        </w:rPr>
        <w:t>אֵלֵינוּ</w:t>
      </w:r>
      <w:r w:rsidRPr="00394F78">
        <w:rPr>
          <w:rFonts w:eastAsia="Times New Roman"/>
          <w:rtl/>
          <w:lang w:eastAsia="de-DE"/>
        </w:rPr>
        <w:t xml:space="preserve"> </w:t>
      </w:r>
      <w:r w:rsidRPr="00394F78">
        <w:rPr>
          <w:rFonts w:eastAsia="Times New Roman"/>
          <w:lang w:eastAsia="de-DE"/>
        </w:rPr>
        <w:t xml:space="preserve">ist die Präposition </w:t>
      </w:r>
      <w:r w:rsidRPr="00394F78">
        <w:rPr>
          <w:rFonts w:eastAsia="Times New Roman"/>
          <w:b/>
          <w:bCs/>
          <w:rtl/>
          <w:lang w:eastAsia="de-DE"/>
        </w:rPr>
        <w:t>אֶל</w:t>
      </w:r>
      <w:r w:rsidRPr="00394F78">
        <w:rPr>
          <w:rFonts w:eastAsia="Times New Roman"/>
          <w:rtl/>
          <w:lang w:eastAsia="de-DE"/>
        </w:rPr>
        <w:t xml:space="preserve"> </w:t>
      </w:r>
      <w:r w:rsidRPr="00394F78">
        <w:rPr>
          <w:rFonts w:eastAsia="Times New Roman"/>
          <w:lang w:eastAsia="de-DE"/>
        </w:rPr>
        <w:t xml:space="preserve">mit dem Suffix 1. Person Plural („zu uns"). </w:t>
      </w:r>
      <w:r w:rsidRPr="00394F78">
        <w:rPr>
          <w:rFonts w:eastAsia="Times New Roman"/>
          <w:b/>
          <w:bCs/>
          <w:rtl/>
          <w:lang w:eastAsia="de-DE"/>
        </w:rPr>
        <w:t>בְּחֹרֵב</w:t>
      </w:r>
      <w:r w:rsidRPr="00394F78">
        <w:rPr>
          <w:rFonts w:eastAsia="Times New Roman"/>
          <w:rtl/>
          <w:lang w:eastAsia="de-DE"/>
        </w:rPr>
        <w:t xml:space="preserve"> </w:t>
      </w:r>
      <w:r w:rsidRPr="00394F78">
        <w:rPr>
          <w:rFonts w:eastAsia="Times New Roman"/>
          <w:lang w:eastAsia="de-DE"/>
        </w:rPr>
        <w:t xml:space="preserve">besteht aus </w:t>
      </w:r>
      <w:r w:rsidRPr="00394F78">
        <w:rPr>
          <w:rFonts w:eastAsia="Times New Roman"/>
          <w:b/>
          <w:bCs/>
          <w:rtl/>
          <w:lang w:eastAsia="de-DE"/>
        </w:rPr>
        <w:t>בְּ</w:t>
      </w:r>
      <w:r w:rsidRPr="00394F78">
        <w:rPr>
          <w:rFonts w:eastAsia="Times New Roman"/>
          <w:rtl/>
          <w:lang w:eastAsia="de-DE"/>
        </w:rPr>
        <w:t xml:space="preserve"> </w:t>
      </w:r>
      <w:r w:rsidRPr="00394F78">
        <w:rPr>
          <w:rFonts w:eastAsia="Times New Roman"/>
          <w:lang w:eastAsia="de-DE"/>
        </w:rPr>
        <w:t xml:space="preserve">und dem Ortsnamen </w:t>
      </w:r>
      <w:r w:rsidRPr="00394F78">
        <w:rPr>
          <w:rFonts w:eastAsia="Times New Roman"/>
          <w:b/>
          <w:bCs/>
          <w:rtl/>
          <w:lang w:eastAsia="de-DE"/>
        </w:rPr>
        <w:t>חֹרֵב</w:t>
      </w:r>
      <w:r w:rsidRPr="00394F78">
        <w:rPr>
          <w:rFonts w:eastAsia="Times New Roman"/>
          <w:rtl/>
          <w:lang w:eastAsia="de-DE"/>
        </w:rPr>
        <w:t xml:space="preserve"> </w:t>
      </w:r>
      <w:r w:rsidRPr="00394F78">
        <w:rPr>
          <w:rFonts w:eastAsia="Times New Roman"/>
          <w:lang w:eastAsia="de-DE"/>
        </w:rPr>
        <w:t xml:space="preserve">(„Horeb"). </w:t>
      </w:r>
      <w:r w:rsidRPr="00394F78">
        <w:rPr>
          <w:rFonts w:eastAsia="Times New Roman"/>
          <w:b/>
          <w:bCs/>
          <w:rtl/>
          <w:lang w:eastAsia="de-DE"/>
        </w:rPr>
        <w:t>לֵאמֹר</w:t>
      </w:r>
      <w:r w:rsidRPr="00394F78">
        <w:rPr>
          <w:rFonts w:eastAsia="Times New Roman"/>
          <w:rtl/>
          <w:lang w:eastAsia="de-DE"/>
        </w:rPr>
        <w:t xml:space="preserve"> </w:t>
      </w:r>
      <w:r w:rsidRPr="00394F78">
        <w:rPr>
          <w:rFonts w:eastAsia="Times New Roman"/>
          <w:lang w:eastAsia="de-DE"/>
        </w:rPr>
        <w:t>leitet die direkte Rede ein.</w:t>
      </w:r>
    </w:p>
    <w:p w14:paraId="565BD9E2" w14:textId="2584AEBE"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b/>
          <w:bCs/>
          <w:rtl/>
          <w:lang w:eastAsia="de-DE"/>
        </w:rPr>
        <w:t>רַב־לָכֶם</w:t>
      </w:r>
      <w:r w:rsidRPr="00394F78">
        <w:rPr>
          <w:rFonts w:eastAsia="Times New Roman"/>
          <w:rtl/>
          <w:lang w:eastAsia="de-DE"/>
        </w:rPr>
        <w:t xml:space="preserve"> </w:t>
      </w:r>
      <w:r w:rsidRPr="00394F78">
        <w:rPr>
          <w:rFonts w:eastAsia="Times New Roman"/>
          <w:lang w:eastAsia="de-DE"/>
        </w:rPr>
        <w:t xml:space="preserve">ist eine elliptische </w:t>
      </w:r>
      <w:r w:rsidR="00FF2B82">
        <w:rPr>
          <w:rFonts w:eastAsia="Times New Roman"/>
          <w:lang w:eastAsia="de-DE"/>
        </w:rPr>
        <w:t>Konstruktion</w:t>
      </w:r>
      <w:r w:rsidRPr="00394F78">
        <w:rPr>
          <w:rFonts w:eastAsia="Times New Roman"/>
          <w:lang w:eastAsia="de-DE"/>
        </w:rPr>
        <w:t xml:space="preserve">: </w:t>
      </w:r>
      <w:r w:rsidRPr="00394F78">
        <w:rPr>
          <w:rFonts w:eastAsia="Times New Roman"/>
          <w:b/>
          <w:bCs/>
          <w:rtl/>
          <w:lang w:eastAsia="de-DE"/>
        </w:rPr>
        <w:t>רַב</w:t>
      </w:r>
      <w:r w:rsidRPr="00394F78">
        <w:rPr>
          <w:rFonts w:eastAsia="Times New Roman"/>
          <w:rtl/>
          <w:lang w:eastAsia="de-DE"/>
        </w:rPr>
        <w:t xml:space="preserve"> </w:t>
      </w:r>
      <w:r w:rsidRPr="00394F78">
        <w:rPr>
          <w:rFonts w:eastAsia="Times New Roman"/>
          <w:lang w:eastAsia="de-DE"/>
        </w:rPr>
        <w:t xml:space="preserve">(„viel, genug") als Prädikat mit </w:t>
      </w:r>
      <w:r w:rsidRPr="00394F78">
        <w:rPr>
          <w:rFonts w:eastAsia="Times New Roman"/>
          <w:b/>
          <w:bCs/>
          <w:rtl/>
          <w:lang w:eastAsia="de-DE"/>
        </w:rPr>
        <w:t>לָכֶם</w:t>
      </w:r>
      <w:r w:rsidRPr="00394F78">
        <w:rPr>
          <w:rFonts w:eastAsia="Times New Roman"/>
          <w:lang w:eastAsia="de-DE"/>
        </w:rPr>
        <w:t xml:space="preserve">, der Präposition </w:t>
      </w:r>
      <w:r w:rsidRPr="00394F78">
        <w:rPr>
          <w:rFonts w:eastAsia="Times New Roman"/>
          <w:b/>
          <w:bCs/>
          <w:rtl/>
          <w:lang w:eastAsia="de-DE"/>
        </w:rPr>
        <w:t>לְ</w:t>
      </w:r>
      <w:r w:rsidRPr="00394F78">
        <w:rPr>
          <w:rFonts w:eastAsia="Times New Roman"/>
          <w:rtl/>
          <w:lang w:eastAsia="de-DE"/>
        </w:rPr>
        <w:t xml:space="preserve"> </w:t>
      </w:r>
      <w:r w:rsidRPr="00394F78">
        <w:rPr>
          <w:rFonts w:eastAsia="Times New Roman"/>
          <w:lang w:eastAsia="de-DE"/>
        </w:rPr>
        <w:t xml:space="preserve">mit Suffix 2. Person maskulin Plural („für euch"). Der Sinn ist: „Es ist genug für euch" oder „Ihr habt genug". </w:t>
      </w:r>
      <w:r w:rsidRPr="00394F78">
        <w:rPr>
          <w:rFonts w:eastAsia="Times New Roman"/>
          <w:b/>
          <w:bCs/>
          <w:rtl/>
          <w:lang w:eastAsia="de-DE"/>
        </w:rPr>
        <w:t>שֶׁבֶת</w:t>
      </w:r>
      <w:r w:rsidRPr="00394F78">
        <w:rPr>
          <w:rFonts w:eastAsia="Times New Roman"/>
          <w:rtl/>
          <w:lang w:eastAsia="de-DE"/>
        </w:rPr>
        <w:t xml:space="preserve"> </w:t>
      </w:r>
      <w:r w:rsidRPr="00394F78">
        <w:rPr>
          <w:rFonts w:eastAsia="Times New Roman"/>
          <w:lang w:eastAsia="de-DE"/>
        </w:rPr>
        <w:t xml:space="preserve">ist ein Qal Infinitiv </w:t>
      </w:r>
      <w:r w:rsidR="0032647F">
        <w:rPr>
          <w:rFonts w:eastAsia="Times New Roman"/>
          <w:lang w:eastAsia="de-DE"/>
        </w:rPr>
        <w:t>Construct</w:t>
      </w:r>
      <w:r w:rsidRPr="00394F78">
        <w:rPr>
          <w:rFonts w:eastAsia="Times New Roman"/>
          <w:lang w:eastAsia="de-DE"/>
        </w:rPr>
        <w:t xml:space="preserve"> von </w:t>
      </w:r>
      <w:r w:rsidRPr="00394F78">
        <w:rPr>
          <w:rFonts w:eastAsia="Times New Roman"/>
          <w:rtl/>
          <w:lang w:eastAsia="de-DE"/>
        </w:rPr>
        <w:t>ישׁב</w:t>
      </w:r>
      <w:r w:rsidRPr="00394F78">
        <w:rPr>
          <w:rFonts w:eastAsia="Times New Roman"/>
          <w:lang w:eastAsia="de-DE"/>
        </w:rPr>
        <w:t xml:space="preserve"> („sitzen, wohnen, bleiben"), der hier als Subjekt des Nominalsatzes fungiert. </w:t>
      </w:r>
      <w:r w:rsidRPr="00394F78">
        <w:rPr>
          <w:rFonts w:eastAsia="Times New Roman"/>
          <w:b/>
          <w:bCs/>
          <w:rtl/>
          <w:lang w:eastAsia="de-DE"/>
        </w:rPr>
        <w:t>בָּהָר הַזֶּה</w:t>
      </w:r>
      <w:r w:rsidRPr="00394F78">
        <w:rPr>
          <w:rFonts w:eastAsia="Times New Roman"/>
          <w:rtl/>
          <w:lang w:eastAsia="de-DE"/>
        </w:rPr>
        <w:t xml:space="preserve"> </w:t>
      </w:r>
      <w:r w:rsidRPr="00394F78">
        <w:rPr>
          <w:rFonts w:eastAsia="Times New Roman"/>
          <w:lang w:eastAsia="de-DE"/>
        </w:rPr>
        <w:t xml:space="preserve">besteht aus der Präposition </w:t>
      </w:r>
      <w:r w:rsidRPr="00394F78">
        <w:rPr>
          <w:rFonts w:eastAsia="Times New Roman"/>
          <w:b/>
          <w:bCs/>
          <w:rtl/>
          <w:lang w:eastAsia="de-DE"/>
        </w:rPr>
        <w:t>בְּ</w:t>
      </w:r>
      <w:r w:rsidRPr="00394F78">
        <w:rPr>
          <w:rFonts w:eastAsia="Times New Roman"/>
          <w:lang w:eastAsia="de-DE"/>
        </w:rPr>
        <w:t xml:space="preserve">, </w:t>
      </w:r>
      <w:r w:rsidRPr="00394F78">
        <w:rPr>
          <w:rFonts w:eastAsia="Times New Roman"/>
          <w:b/>
          <w:bCs/>
          <w:rtl/>
          <w:lang w:eastAsia="de-DE"/>
        </w:rPr>
        <w:t>הָהָר</w:t>
      </w:r>
      <w:r w:rsidRPr="00394F78">
        <w:rPr>
          <w:rFonts w:eastAsia="Times New Roman"/>
          <w:rtl/>
          <w:lang w:eastAsia="de-DE"/>
        </w:rPr>
        <w:t xml:space="preserve"> </w:t>
      </w:r>
      <w:r w:rsidRPr="00394F78">
        <w:rPr>
          <w:rFonts w:eastAsia="Times New Roman"/>
          <w:lang w:eastAsia="de-DE"/>
        </w:rPr>
        <w:t xml:space="preserve">(„der Berg") mit Artikel, und </w:t>
      </w:r>
      <w:r w:rsidRPr="00394F78">
        <w:rPr>
          <w:rFonts w:eastAsia="Times New Roman"/>
          <w:b/>
          <w:bCs/>
          <w:rtl/>
          <w:lang w:eastAsia="de-DE"/>
        </w:rPr>
        <w:t>הַזֶּה</w:t>
      </w:r>
      <w:r w:rsidRPr="00394F78">
        <w:rPr>
          <w:rFonts w:eastAsia="Times New Roman"/>
          <w:rtl/>
          <w:lang w:eastAsia="de-DE"/>
        </w:rPr>
        <w:t xml:space="preserve"> </w:t>
      </w:r>
      <w:r w:rsidRPr="00394F78">
        <w:rPr>
          <w:rFonts w:eastAsia="Times New Roman"/>
          <w:lang w:eastAsia="de-DE"/>
        </w:rPr>
        <w:t xml:space="preserve">(„dieser"), Demonstrativpronomen maskulin Singular mit Artikel. Die </w:t>
      </w:r>
      <w:r w:rsidR="00FF2B82">
        <w:rPr>
          <w:rFonts w:eastAsia="Times New Roman"/>
          <w:lang w:eastAsia="de-DE"/>
        </w:rPr>
        <w:t>Konstruktion</w:t>
      </w:r>
      <w:r w:rsidRPr="00394F78">
        <w:rPr>
          <w:rFonts w:eastAsia="Times New Roman"/>
          <w:lang w:eastAsia="de-DE"/>
        </w:rPr>
        <w:t xml:space="preserve"> </w:t>
      </w:r>
      <w:r w:rsidRPr="00394F78">
        <w:rPr>
          <w:rFonts w:eastAsia="Times New Roman"/>
          <w:b/>
          <w:bCs/>
          <w:rtl/>
          <w:lang w:eastAsia="de-DE"/>
        </w:rPr>
        <w:t>רַב־לָכֶם שֶׁבֶת</w:t>
      </w:r>
      <w:r w:rsidRPr="00394F78">
        <w:rPr>
          <w:rFonts w:eastAsia="Times New Roman"/>
          <w:rtl/>
          <w:lang w:eastAsia="de-DE"/>
        </w:rPr>
        <w:t xml:space="preserve"> </w:t>
      </w:r>
      <w:r w:rsidRPr="00394F78">
        <w:rPr>
          <w:rFonts w:eastAsia="Times New Roman"/>
          <w:lang w:eastAsia="de-DE"/>
        </w:rPr>
        <w:t>bedeutet wörtlich „Genug für euch (ist das) Wohnen/Bleiben".</w:t>
      </w:r>
    </w:p>
    <w:p w14:paraId="1CC29EC7" w14:textId="54BAB214"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b/>
          <w:bCs/>
          <w:lang w:eastAsia="de-DE"/>
        </w:rPr>
        <w:t>Die LXX</w:t>
      </w:r>
      <w:r w:rsidRPr="00394F78">
        <w:rPr>
          <w:rFonts w:eastAsia="Times New Roman"/>
          <w:lang w:eastAsia="de-DE"/>
        </w:rPr>
        <w:t xml:space="preserve"> übersetzt „</w:t>
      </w:r>
      <w:proofErr w:type="spellStart"/>
      <w:r w:rsidRPr="00394F78">
        <w:rPr>
          <w:rFonts w:eastAsia="Times New Roman"/>
          <w:lang w:eastAsia="de-DE"/>
        </w:rPr>
        <w:t>κύριος</w:t>
      </w:r>
      <w:proofErr w:type="spellEnd"/>
      <w:r w:rsidRPr="00394F78">
        <w:rPr>
          <w:rFonts w:eastAsia="Times New Roman"/>
          <w:lang w:eastAsia="de-DE"/>
        </w:rPr>
        <w:t xml:space="preserve"> ὁ </w:t>
      </w:r>
      <w:proofErr w:type="spellStart"/>
      <w:r w:rsidRPr="00394F78">
        <w:rPr>
          <w:rFonts w:eastAsia="Times New Roman"/>
          <w:lang w:eastAsia="de-DE"/>
        </w:rPr>
        <w:t>θεὸς</w:t>
      </w:r>
      <w:proofErr w:type="spellEnd"/>
      <w:r w:rsidRPr="00394F78">
        <w:rPr>
          <w:rFonts w:eastAsia="Times New Roman"/>
          <w:lang w:eastAsia="de-DE"/>
        </w:rPr>
        <w:t xml:space="preserve"> </w:t>
      </w:r>
      <w:proofErr w:type="spellStart"/>
      <w:r w:rsidRPr="00394F78">
        <w:rPr>
          <w:rFonts w:eastAsia="Times New Roman"/>
          <w:lang w:eastAsia="de-DE"/>
        </w:rPr>
        <w:t>ἡμῶν</w:t>
      </w:r>
      <w:proofErr w:type="spellEnd"/>
      <w:r w:rsidRPr="00394F78">
        <w:rPr>
          <w:rFonts w:eastAsia="Times New Roman"/>
          <w:lang w:eastAsia="de-DE"/>
        </w:rPr>
        <w:t xml:space="preserve"> </w:t>
      </w:r>
      <w:proofErr w:type="spellStart"/>
      <w:r w:rsidRPr="00394F78">
        <w:rPr>
          <w:rFonts w:eastAsia="Times New Roman"/>
          <w:lang w:eastAsia="de-DE"/>
        </w:rPr>
        <w:t>ἐλάλησεν</w:t>
      </w:r>
      <w:proofErr w:type="spellEnd"/>
      <w:r w:rsidRPr="00394F78">
        <w:rPr>
          <w:rFonts w:eastAsia="Times New Roman"/>
          <w:lang w:eastAsia="de-DE"/>
        </w:rPr>
        <w:t xml:space="preserve"> </w:t>
      </w:r>
      <w:proofErr w:type="spellStart"/>
      <w:r w:rsidRPr="00394F78">
        <w:rPr>
          <w:rFonts w:eastAsia="Times New Roman"/>
          <w:lang w:eastAsia="de-DE"/>
        </w:rPr>
        <w:t>ἡμῖν</w:t>
      </w:r>
      <w:proofErr w:type="spellEnd"/>
      <w:r w:rsidRPr="00394F78">
        <w:rPr>
          <w:rFonts w:eastAsia="Times New Roman"/>
          <w:lang w:eastAsia="de-DE"/>
        </w:rPr>
        <w:t xml:space="preserve"> </w:t>
      </w:r>
      <w:proofErr w:type="spellStart"/>
      <w:r w:rsidRPr="00394F78">
        <w:rPr>
          <w:rFonts w:eastAsia="Times New Roman"/>
          <w:lang w:eastAsia="de-DE"/>
        </w:rPr>
        <w:t>ἐν</w:t>
      </w:r>
      <w:proofErr w:type="spellEnd"/>
      <w:r w:rsidRPr="00394F78">
        <w:rPr>
          <w:rFonts w:eastAsia="Times New Roman"/>
          <w:lang w:eastAsia="de-DE"/>
        </w:rPr>
        <w:t xml:space="preserve"> </w:t>
      </w:r>
      <w:proofErr w:type="spellStart"/>
      <w:r w:rsidRPr="00394F78">
        <w:rPr>
          <w:rFonts w:eastAsia="Times New Roman"/>
          <w:lang w:eastAsia="de-DE"/>
        </w:rPr>
        <w:t>Χωρη</w:t>
      </w:r>
      <w:proofErr w:type="spellEnd"/>
      <w:r w:rsidRPr="00394F78">
        <w:rPr>
          <w:rFonts w:eastAsia="Times New Roman"/>
          <w:lang w:eastAsia="de-DE"/>
        </w:rPr>
        <w:t xml:space="preserve">β </w:t>
      </w:r>
      <w:proofErr w:type="spellStart"/>
      <w:r w:rsidRPr="00394F78">
        <w:rPr>
          <w:rFonts w:eastAsia="Times New Roman"/>
          <w:lang w:eastAsia="de-DE"/>
        </w:rPr>
        <w:t>λέγων</w:t>
      </w:r>
      <w:proofErr w:type="spellEnd"/>
      <w:r w:rsidRPr="00394F78">
        <w:rPr>
          <w:rFonts w:eastAsia="Times New Roman"/>
          <w:lang w:eastAsia="de-DE"/>
        </w:rPr>
        <w:t xml:space="preserve"> </w:t>
      </w:r>
      <w:proofErr w:type="spellStart"/>
      <w:r w:rsidRPr="00394F78">
        <w:rPr>
          <w:rFonts w:eastAsia="Times New Roman"/>
          <w:lang w:eastAsia="de-DE"/>
        </w:rPr>
        <w:t>Ἱκ</w:t>
      </w:r>
      <w:proofErr w:type="spellEnd"/>
      <w:r w:rsidRPr="00394F78">
        <w:rPr>
          <w:rFonts w:eastAsia="Times New Roman"/>
          <w:lang w:eastAsia="de-DE"/>
        </w:rPr>
        <w:t xml:space="preserve">ανούσθω </w:t>
      </w:r>
      <w:proofErr w:type="spellStart"/>
      <w:r w:rsidRPr="00394F78">
        <w:rPr>
          <w:rFonts w:eastAsia="Times New Roman"/>
          <w:lang w:eastAsia="de-DE"/>
        </w:rPr>
        <w:t>ὑμῖν</w:t>
      </w:r>
      <w:proofErr w:type="spellEnd"/>
      <w:r w:rsidRPr="00394F78">
        <w:rPr>
          <w:rFonts w:eastAsia="Times New Roman"/>
          <w:lang w:eastAsia="de-DE"/>
        </w:rPr>
        <w:t xml:space="preserve"> κα</w:t>
      </w:r>
      <w:proofErr w:type="spellStart"/>
      <w:r w:rsidRPr="00394F78">
        <w:rPr>
          <w:rFonts w:eastAsia="Times New Roman"/>
          <w:lang w:eastAsia="de-DE"/>
        </w:rPr>
        <w:t>τοικεῖν</w:t>
      </w:r>
      <w:proofErr w:type="spellEnd"/>
      <w:r w:rsidRPr="00394F78">
        <w:rPr>
          <w:rFonts w:eastAsia="Times New Roman"/>
          <w:lang w:eastAsia="de-DE"/>
        </w:rPr>
        <w:t xml:space="preserve"> </w:t>
      </w:r>
      <w:proofErr w:type="spellStart"/>
      <w:r w:rsidRPr="00394F78">
        <w:rPr>
          <w:rFonts w:eastAsia="Times New Roman"/>
          <w:lang w:eastAsia="de-DE"/>
        </w:rPr>
        <w:t>ἐν</w:t>
      </w:r>
      <w:proofErr w:type="spellEnd"/>
      <w:r w:rsidRPr="00394F78">
        <w:rPr>
          <w:rFonts w:eastAsia="Times New Roman"/>
          <w:lang w:eastAsia="de-DE"/>
        </w:rPr>
        <w:t xml:space="preserve"> </w:t>
      </w:r>
      <w:proofErr w:type="spellStart"/>
      <w:r w:rsidRPr="00394F78">
        <w:rPr>
          <w:rFonts w:eastAsia="Times New Roman"/>
          <w:lang w:eastAsia="de-DE"/>
        </w:rPr>
        <w:t>τῷ</w:t>
      </w:r>
      <w:proofErr w:type="spellEnd"/>
      <w:r w:rsidRPr="00394F78">
        <w:rPr>
          <w:rFonts w:eastAsia="Times New Roman"/>
          <w:lang w:eastAsia="de-DE"/>
        </w:rPr>
        <w:t xml:space="preserve"> </w:t>
      </w:r>
      <w:proofErr w:type="spellStart"/>
      <w:r w:rsidRPr="00394F78">
        <w:rPr>
          <w:rFonts w:eastAsia="Times New Roman"/>
          <w:lang w:eastAsia="de-DE"/>
        </w:rPr>
        <w:t>ὄρει</w:t>
      </w:r>
      <w:proofErr w:type="spellEnd"/>
      <w:r w:rsidRPr="00394F78">
        <w:rPr>
          <w:rFonts w:eastAsia="Times New Roman"/>
          <w:lang w:eastAsia="de-DE"/>
        </w:rPr>
        <w:t xml:space="preserve"> </w:t>
      </w:r>
      <w:proofErr w:type="spellStart"/>
      <w:r w:rsidRPr="00394F78">
        <w:rPr>
          <w:rFonts w:eastAsia="Times New Roman"/>
          <w:lang w:eastAsia="de-DE"/>
        </w:rPr>
        <w:t>τούτῳ</w:t>
      </w:r>
      <w:proofErr w:type="spellEnd"/>
      <w:r w:rsidRPr="00394F78">
        <w:rPr>
          <w:rFonts w:eastAsia="Times New Roman"/>
          <w:lang w:eastAsia="de-DE"/>
        </w:rPr>
        <w:t xml:space="preserve">" („Der Herr, unser Gott, redete zu uns in Horeb, sagend: Es soll euch genug sein, in diesem Berg zu wohnen"). Die LXX expliziert die elliptische </w:t>
      </w:r>
      <w:r w:rsidR="00FF2B82">
        <w:rPr>
          <w:rFonts w:eastAsia="Times New Roman"/>
          <w:lang w:eastAsia="de-DE"/>
        </w:rPr>
        <w:t>Konstruktion</w:t>
      </w:r>
      <w:r w:rsidRPr="00394F78">
        <w:rPr>
          <w:rFonts w:eastAsia="Times New Roman"/>
          <w:lang w:eastAsia="de-DE"/>
        </w:rPr>
        <w:t xml:space="preserve"> durch ein Verb im Imperativ (</w:t>
      </w:r>
      <w:proofErr w:type="spellStart"/>
      <w:r w:rsidRPr="00394F78">
        <w:rPr>
          <w:rFonts w:eastAsia="Times New Roman"/>
          <w:b/>
          <w:bCs/>
          <w:lang w:eastAsia="de-DE"/>
        </w:rPr>
        <w:t>ἱκ</w:t>
      </w:r>
      <w:proofErr w:type="spellEnd"/>
      <w:r w:rsidRPr="00394F78">
        <w:rPr>
          <w:rFonts w:eastAsia="Times New Roman"/>
          <w:b/>
          <w:bCs/>
          <w:lang w:eastAsia="de-DE"/>
        </w:rPr>
        <w:t>ανούσθω</w:t>
      </w:r>
      <w:r w:rsidRPr="00394F78">
        <w:rPr>
          <w:rFonts w:eastAsia="Times New Roman"/>
          <w:lang w:eastAsia="de-DE"/>
        </w:rPr>
        <w:t xml:space="preserve"> „es soll genügen").</w:t>
      </w:r>
    </w:p>
    <w:p w14:paraId="7151EC71" w14:textId="77777777"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lang w:eastAsia="de-DE"/>
        </w:rPr>
        <w:t xml:space="preserve">Die Satzstruktur besteht aus einem Hauptsatz mit </w:t>
      </w:r>
      <w:r w:rsidRPr="00394F78">
        <w:rPr>
          <w:rFonts w:eastAsia="Times New Roman"/>
          <w:b/>
          <w:bCs/>
          <w:rtl/>
          <w:lang w:eastAsia="de-DE"/>
        </w:rPr>
        <w:t>יְהוָה אֱלֹהֵינוּ</w:t>
      </w:r>
      <w:r w:rsidRPr="00394F78">
        <w:rPr>
          <w:rFonts w:eastAsia="Times New Roman"/>
          <w:rtl/>
          <w:lang w:eastAsia="de-DE"/>
        </w:rPr>
        <w:t xml:space="preserve"> </w:t>
      </w:r>
      <w:r w:rsidRPr="00394F78">
        <w:rPr>
          <w:rFonts w:eastAsia="Times New Roman"/>
          <w:lang w:eastAsia="de-DE"/>
        </w:rPr>
        <w:t xml:space="preserve">als Subjekt und </w:t>
      </w:r>
      <w:r w:rsidRPr="00394F78">
        <w:rPr>
          <w:rFonts w:eastAsia="Times New Roman"/>
          <w:b/>
          <w:bCs/>
          <w:rtl/>
          <w:lang w:eastAsia="de-DE"/>
        </w:rPr>
        <w:t>דִּבֶּר אֵלֵינוּ</w:t>
      </w:r>
      <w:r w:rsidRPr="00394F78">
        <w:rPr>
          <w:rFonts w:eastAsia="Times New Roman"/>
          <w:rtl/>
          <w:lang w:eastAsia="de-DE"/>
        </w:rPr>
        <w:t xml:space="preserve"> </w:t>
      </w:r>
      <w:r w:rsidRPr="00394F78">
        <w:rPr>
          <w:rFonts w:eastAsia="Times New Roman"/>
          <w:lang w:eastAsia="de-DE"/>
        </w:rPr>
        <w:t>als Prädikat, ergänzt durch Ortsangabe (</w:t>
      </w:r>
      <w:r w:rsidRPr="00394F78">
        <w:rPr>
          <w:rFonts w:eastAsia="Times New Roman"/>
          <w:b/>
          <w:bCs/>
          <w:rtl/>
          <w:lang w:eastAsia="de-DE"/>
        </w:rPr>
        <w:t>בְּחֹרֵב</w:t>
      </w:r>
      <w:r w:rsidRPr="00394F78">
        <w:rPr>
          <w:rFonts w:eastAsia="Times New Roman"/>
          <w:lang w:eastAsia="de-DE"/>
        </w:rPr>
        <w:t>) und Einleitungsformel (</w:t>
      </w:r>
      <w:r w:rsidRPr="00394F78">
        <w:rPr>
          <w:rFonts w:eastAsia="Times New Roman"/>
          <w:b/>
          <w:bCs/>
          <w:rtl/>
          <w:lang w:eastAsia="de-DE"/>
        </w:rPr>
        <w:t>לֵאמֹר</w:t>
      </w:r>
      <w:r w:rsidRPr="00394F78">
        <w:rPr>
          <w:rFonts w:eastAsia="Times New Roman"/>
          <w:lang w:eastAsia="de-DE"/>
        </w:rPr>
        <w:t>). Die direkte Rede ist ein Nominalsatz mit elliptischem Prädikat (</w:t>
      </w:r>
      <w:r w:rsidRPr="00394F78">
        <w:rPr>
          <w:rFonts w:eastAsia="Times New Roman"/>
          <w:b/>
          <w:bCs/>
          <w:rtl/>
          <w:lang w:eastAsia="de-DE"/>
        </w:rPr>
        <w:t>רַב</w:t>
      </w:r>
      <w:r w:rsidRPr="00394F78">
        <w:rPr>
          <w:rFonts w:eastAsia="Times New Roman"/>
          <w:lang w:eastAsia="de-DE"/>
        </w:rPr>
        <w:t>), Dativ (</w:t>
      </w:r>
      <w:r w:rsidRPr="00394F78">
        <w:rPr>
          <w:rFonts w:eastAsia="Times New Roman"/>
          <w:b/>
          <w:bCs/>
          <w:rtl/>
          <w:lang w:eastAsia="de-DE"/>
        </w:rPr>
        <w:t>לָכֶם</w:t>
      </w:r>
      <w:r w:rsidRPr="00394F78">
        <w:rPr>
          <w:rFonts w:eastAsia="Times New Roman"/>
          <w:lang w:eastAsia="de-DE"/>
        </w:rPr>
        <w:t xml:space="preserve">), und Subjekt (Infinitiv </w:t>
      </w:r>
      <w:r w:rsidRPr="00394F78">
        <w:rPr>
          <w:rFonts w:eastAsia="Times New Roman"/>
          <w:b/>
          <w:bCs/>
          <w:rtl/>
          <w:lang w:eastAsia="de-DE"/>
        </w:rPr>
        <w:t>שֶׁבֶת</w:t>
      </w:r>
      <w:r w:rsidRPr="00394F78">
        <w:rPr>
          <w:rFonts w:eastAsia="Times New Roman"/>
          <w:rtl/>
          <w:lang w:eastAsia="de-DE"/>
        </w:rPr>
        <w:t xml:space="preserve"> </w:t>
      </w:r>
      <w:r w:rsidRPr="00394F78">
        <w:rPr>
          <w:rFonts w:eastAsia="Times New Roman"/>
          <w:lang w:eastAsia="de-DE"/>
        </w:rPr>
        <w:t xml:space="preserve">mit Lokalbestimmung </w:t>
      </w:r>
      <w:r w:rsidRPr="00394F78">
        <w:rPr>
          <w:rFonts w:eastAsia="Times New Roman"/>
          <w:b/>
          <w:bCs/>
          <w:rtl/>
          <w:lang w:eastAsia="de-DE"/>
        </w:rPr>
        <w:t>בָּהָר הַזֶּה</w:t>
      </w:r>
      <w:r w:rsidRPr="00394F78">
        <w:rPr>
          <w:rFonts w:eastAsia="Times New Roman"/>
          <w:lang w:eastAsia="de-DE"/>
        </w:rPr>
        <w:t>).</w:t>
      </w:r>
    </w:p>
    <w:p w14:paraId="6EE89512" w14:textId="77777777"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lang w:eastAsia="de-DE"/>
        </w:rPr>
        <w:t>Der Vers zitiert JHWHs Befehl am Horeb/Sinai, der Israel zum Aufbruch auffordert und damit die Wüstenwanderung einleitet. Die lange Verweildauer am Sinai (fast ein Jahr nach Ex 19,1 und Num 10,11) soll nun enden.</w:t>
      </w:r>
    </w:p>
    <w:p w14:paraId="6BABD4A3" w14:textId="77777777" w:rsidR="00394F78" w:rsidRPr="00394F78" w:rsidRDefault="00394F78" w:rsidP="00394F78">
      <w:pPr>
        <w:spacing w:before="100" w:beforeAutospacing="1" w:after="100" w:afterAutospacing="1" w:line="240" w:lineRule="auto"/>
        <w:outlineLvl w:val="1"/>
        <w:rPr>
          <w:rFonts w:eastAsia="Times New Roman"/>
          <w:b/>
          <w:bCs/>
          <w:sz w:val="36"/>
          <w:szCs w:val="36"/>
          <w:lang w:eastAsia="de-DE"/>
        </w:rPr>
      </w:pPr>
      <w:r w:rsidRPr="00394F78">
        <w:rPr>
          <w:rFonts w:eastAsia="Times New Roman"/>
          <w:b/>
          <w:bCs/>
          <w:sz w:val="36"/>
          <w:szCs w:val="36"/>
          <w:lang w:eastAsia="de-DE"/>
        </w:rPr>
        <w:t>Deuteronomium 1,7</w:t>
      </w:r>
    </w:p>
    <w:p w14:paraId="3A097038" w14:textId="77777777"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b/>
          <w:bCs/>
          <w:lang w:eastAsia="de-DE"/>
        </w:rPr>
        <w:t>Hebräisch:</w:t>
      </w:r>
      <w:r w:rsidRPr="00394F78">
        <w:rPr>
          <w:rFonts w:eastAsia="Times New Roman"/>
          <w:lang w:eastAsia="de-DE"/>
        </w:rPr>
        <w:t xml:space="preserve"> </w:t>
      </w:r>
      <w:r w:rsidRPr="00394F78">
        <w:rPr>
          <w:rFonts w:eastAsia="Times New Roman"/>
          <w:rtl/>
          <w:lang w:eastAsia="de-DE"/>
        </w:rPr>
        <w:t>פְּנ֣וּ׀ וּסְע֣וּ לָכֶ֗ם וּבֹ֨אוּ הַ֥ר הָֽאֱמֹרִי֮ וְאֶל־כָּל־שְׁכֵנָיו֒ בָּעֲרָבָ֥ה בָהָ֛ר וּבַשְּׁפֵלָ֥ה וּבַנֶּ֖גֶב וּבְח֣וֹף הַיָּ֑ם אֶ֤רֶץ הַֽכְּנַעֲנִי֙ וְהַלְּבָנ֔וֹן עַד־הַנָּהָ֥ר הַגָּדֹ֖ל נְהַר־פְּרָֽת׃</w:t>
      </w:r>
    </w:p>
    <w:p w14:paraId="1722E9B1" w14:textId="77777777"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b/>
          <w:bCs/>
          <w:lang w:eastAsia="de-DE"/>
        </w:rPr>
        <w:t>Deutsch:</w:t>
      </w:r>
      <w:r w:rsidRPr="00394F78">
        <w:rPr>
          <w:rFonts w:eastAsia="Times New Roman"/>
          <w:lang w:eastAsia="de-DE"/>
        </w:rPr>
        <w:t xml:space="preserve"> Wendet euch und brecht auf und geht zum Gebirge der Emori und zu all seinen Nachbarn in der Arava, auf dem Gebirge und in der Niederung und im Negev und an der Meeresküste, in das Land des Kena'ani und zum Levanon bis zum großen Strom, dem Strom P'rat.</w:t>
      </w:r>
    </w:p>
    <w:p w14:paraId="316BDA82" w14:textId="77777777" w:rsidR="00394F78" w:rsidRPr="00394F78" w:rsidRDefault="004F5CEB" w:rsidP="00394F78">
      <w:pPr>
        <w:spacing w:after="0" w:line="240" w:lineRule="auto"/>
        <w:rPr>
          <w:rFonts w:eastAsia="Times New Roman"/>
          <w:lang w:eastAsia="de-DE"/>
        </w:rPr>
      </w:pPr>
      <w:r>
        <w:rPr>
          <w:rFonts w:eastAsia="Times New Roman"/>
          <w:noProof/>
          <w:lang w:eastAsia="de-DE"/>
        </w:rPr>
        <w:pict w14:anchorId="12CA22FC">
          <v:rect id="_x0000_i1031" style="width:0;height:1.5pt" o:hralign="center" o:hrstd="t" o:hr="t" fillcolor="#a0a0a0" stroked="f"/>
        </w:pict>
      </w:r>
    </w:p>
    <w:p w14:paraId="11AA7157" w14:textId="77777777"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b/>
          <w:bCs/>
          <w:lang w:eastAsia="de-DE"/>
        </w:rPr>
        <w:t>Kommentar:</w:t>
      </w:r>
      <w:r w:rsidRPr="00394F78">
        <w:rPr>
          <w:rFonts w:eastAsia="Times New Roman"/>
          <w:lang w:eastAsia="de-DE"/>
        </w:rPr>
        <w:t xml:space="preserve"> </w:t>
      </w:r>
      <w:r w:rsidRPr="00394F78">
        <w:rPr>
          <w:rFonts w:eastAsia="Times New Roman"/>
          <w:b/>
          <w:bCs/>
          <w:rtl/>
          <w:lang w:eastAsia="de-DE"/>
        </w:rPr>
        <w:t>פְּנוּ</w:t>
      </w:r>
      <w:r w:rsidRPr="00394F78">
        <w:rPr>
          <w:rFonts w:eastAsia="Times New Roman"/>
          <w:rtl/>
          <w:lang w:eastAsia="de-DE"/>
        </w:rPr>
        <w:t xml:space="preserve"> </w:t>
      </w:r>
      <w:r w:rsidRPr="00394F78">
        <w:rPr>
          <w:rFonts w:eastAsia="Times New Roman"/>
          <w:lang w:eastAsia="de-DE"/>
        </w:rPr>
        <w:t xml:space="preserve">ist Qal Imperativ maskulin Plural von </w:t>
      </w:r>
      <w:r w:rsidRPr="00394F78">
        <w:rPr>
          <w:rFonts w:eastAsia="Times New Roman"/>
          <w:rtl/>
          <w:lang w:eastAsia="de-DE"/>
        </w:rPr>
        <w:t>פנה</w:t>
      </w:r>
      <w:r w:rsidRPr="00394F78">
        <w:rPr>
          <w:rFonts w:eastAsia="Times New Roman"/>
          <w:lang w:eastAsia="de-DE"/>
        </w:rPr>
        <w:t xml:space="preserve"> („sich wenden, sich hinwenden"). </w:t>
      </w:r>
      <w:r w:rsidRPr="00394F78">
        <w:rPr>
          <w:rFonts w:eastAsia="Times New Roman"/>
          <w:b/>
          <w:bCs/>
          <w:rtl/>
          <w:lang w:eastAsia="de-DE"/>
        </w:rPr>
        <w:t>וּסְעוּ</w:t>
      </w:r>
      <w:r w:rsidRPr="00394F78">
        <w:rPr>
          <w:rFonts w:eastAsia="Times New Roman"/>
          <w:rtl/>
          <w:lang w:eastAsia="de-DE"/>
        </w:rPr>
        <w:t xml:space="preserve"> </w:t>
      </w:r>
      <w:r w:rsidRPr="00394F78">
        <w:rPr>
          <w:rFonts w:eastAsia="Times New Roman"/>
          <w:lang w:eastAsia="de-DE"/>
        </w:rPr>
        <w:t xml:space="preserve">ist mit Waw copulativum verbunden: Qal Imperativ maskulin Plural von </w:t>
      </w:r>
      <w:r w:rsidRPr="00394F78">
        <w:rPr>
          <w:rFonts w:eastAsia="Times New Roman"/>
          <w:rtl/>
          <w:lang w:eastAsia="de-DE"/>
        </w:rPr>
        <w:t>נסע</w:t>
      </w:r>
      <w:r w:rsidRPr="00394F78">
        <w:rPr>
          <w:rFonts w:eastAsia="Times New Roman"/>
          <w:lang w:eastAsia="de-DE"/>
        </w:rPr>
        <w:t xml:space="preserve"> („aufbrechen, ausziehen"). </w:t>
      </w:r>
      <w:r w:rsidRPr="00394F78">
        <w:rPr>
          <w:rFonts w:eastAsia="Times New Roman"/>
          <w:b/>
          <w:bCs/>
          <w:rtl/>
          <w:lang w:eastAsia="de-DE"/>
        </w:rPr>
        <w:t>לָכֶם</w:t>
      </w:r>
      <w:r w:rsidRPr="00394F78">
        <w:rPr>
          <w:rFonts w:eastAsia="Times New Roman"/>
          <w:rtl/>
          <w:lang w:eastAsia="de-DE"/>
        </w:rPr>
        <w:t xml:space="preserve"> </w:t>
      </w:r>
      <w:r w:rsidRPr="00394F78">
        <w:rPr>
          <w:rFonts w:eastAsia="Times New Roman"/>
          <w:lang w:eastAsia="de-DE"/>
        </w:rPr>
        <w:t xml:space="preserve">ist die Präposition </w:t>
      </w:r>
      <w:r w:rsidRPr="00394F78">
        <w:rPr>
          <w:rFonts w:eastAsia="Times New Roman"/>
          <w:b/>
          <w:bCs/>
          <w:rtl/>
          <w:lang w:eastAsia="de-DE"/>
        </w:rPr>
        <w:t>לְ</w:t>
      </w:r>
      <w:r w:rsidRPr="00394F78">
        <w:rPr>
          <w:rFonts w:eastAsia="Times New Roman"/>
          <w:rtl/>
          <w:lang w:eastAsia="de-DE"/>
        </w:rPr>
        <w:t xml:space="preserve"> </w:t>
      </w:r>
      <w:r w:rsidRPr="00394F78">
        <w:rPr>
          <w:rFonts w:eastAsia="Times New Roman"/>
          <w:lang w:eastAsia="de-DE"/>
        </w:rPr>
        <w:t xml:space="preserve">mit Suffix 2. Person maskulin Plural, die hier eine ethische oder reflexive Nuance hat („für euch selbst"). </w:t>
      </w:r>
      <w:r w:rsidRPr="00394F78">
        <w:rPr>
          <w:rFonts w:eastAsia="Times New Roman"/>
          <w:b/>
          <w:bCs/>
          <w:rtl/>
          <w:lang w:eastAsia="de-DE"/>
        </w:rPr>
        <w:t>וּבֹאוּ</w:t>
      </w:r>
      <w:r w:rsidRPr="00394F78">
        <w:rPr>
          <w:rFonts w:eastAsia="Times New Roman"/>
          <w:rtl/>
          <w:lang w:eastAsia="de-DE"/>
        </w:rPr>
        <w:t xml:space="preserve"> </w:t>
      </w:r>
      <w:r w:rsidRPr="00394F78">
        <w:rPr>
          <w:rFonts w:eastAsia="Times New Roman"/>
          <w:lang w:eastAsia="de-DE"/>
        </w:rPr>
        <w:t xml:space="preserve">ist ebenfalls Qal Imperativ maskulin Plural von </w:t>
      </w:r>
      <w:r w:rsidRPr="00394F78">
        <w:rPr>
          <w:rFonts w:eastAsia="Times New Roman"/>
          <w:rtl/>
          <w:lang w:eastAsia="de-DE"/>
        </w:rPr>
        <w:t>בוא</w:t>
      </w:r>
      <w:r w:rsidRPr="00394F78">
        <w:rPr>
          <w:rFonts w:eastAsia="Times New Roman"/>
          <w:lang w:eastAsia="de-DE"/>
        </w:rPr>
        <w:t xml:space="preserve"> („kommen, hineingehen"). Diese drei Imperative bilden eine </w:t>
      </w:r>
      <w:proofErr w:type="spellStart"/>
      <w:r w:rsidRPr="00394F78">
        <w:rPr>
          <w:rFonts w:eastAsia="Times New Roman"/>
          <w:lang w:eastAsia="de-DE"/>
        </w:rPr>
        <w:t>klimaktische</w:t>
      </w:r>
      <w:proofErr w:type="spellEnd"/>
      <w:r w:rsidRPr="00394F78">
        <w:rPr>
          <w:rFonts w:eastAsia="Times New Roman"/>
          <w:lang w:eastAsia="de-DE"/>
        </w:rPr>
        <w:t xml:space="preserve"> Sequenz: sich wenden, aufbrechen, hingehen.</w:t>
      </w:r>
    </w:p>
    <w:p w14:paraId="52CACE5A" w14:textId="5F88FEA3" w:rsidR="00394F78" w:rsidRPr="00394F78" w:rsidRDefault="00394F78" w:rsidP="00394F78">
      <w:pPr>
        <w:spacing w:before="100" w:beforeAutospacing="1" w:after="100" w:afterAutospacing="1" w:line="240" w:lineRule="auto"/>
        <w:rPr>
          <w:rFonts w:eastAsia="Times New Roman"/>
          <w:lang w:eastAsia="de-DE"/>
        </w:rPr>
      </w:pPr>
      <w:r w:rsidRPr="00394F78">
        <w:rPr>
          <w:rFonts w:eastAsia="Times New Roman"/>
          <w:b/>
          <w:bCs/>
          <w:rtl/>
          <w:lang w:eastAsia="de-DE"/>
        </w:rPr>
        <w:t>הַר הָאֱמֹרִי</w:t>
      </w:r>
      <w:r w:rsidRPr="00394F78">
        <w:rPr>
          <w:rFonts w:eastAsia="Times New Roman"/>
          <w:rtl/>
          <w:lang w:eastAsia="de-DE"/>
        </w:rPr>
        <w:t xml:space="preserve"> </w:t>
      </w:r>
      <w:r w:rsidRPr="00394F78">
        <w:rPr>
          <w:rFonts w:eastAsia="Times New Roman"/>
          <w:lang w:eastAsia="de-DE"/>
        </w:rPr>
        <w:t xml:space="preserve">ist eine </w:t>
      </w:r>
      <w:r w:rsidR="0032647F">
        <w:rPr>
          <w:rFonts w:eastAsia="Times New Roman"/>
          <w:lang w:eastAsia="de-DE"/>
        </w:rPr>
        <w:t>Construct</w:t>
      </w:r>
      <w:r w:rsidRPr="00394F78">
        <w:rPr>
          <w:rFonts w:eastAsia="Times New Roman"/>
          <w:lang w:eastAsia="de-DE"/>
        </w:rPr>
        <w:t xml:space="preserve">usverbindung: </w:t>
      </w:r>
      <w:r w:rsidRPr="00394F78">
        <w:rPr>
          <w:rFonts w:eastAsia="Times New Roman"/>
          <w:b/>
          <w:bCs/>
          <w:rtl/>
          <w:lang w:eastAsia="de-DE"/>
        </w:rPr>
        <w:t>הַר</w:t>
      </w:r>
      <w:r w:rsidRPr="00394F78">
        <w:rPr>
          <w:rFonts w:eastAsia="Times New Roman"/>
          <w:rtl/>
          <w:lang w:eastAsia="de-DE"/>
        </w:rPr>
        <w:t xml:space="preserve"> </w:t>
      </w:r>
      <w:r w:rsidRPr="00394F78">
        <w:rPr>
          <w:rFonts w:eastAsia="Times New Roman"/>
          <w:lang w:eastAsia="de-DE"/>
        </w:rPr>
        <w:t xml:space="preserve">(„Berg, Gebirge") mit </w:t>
      </w:r>
      <w:r w:rsidRPr="00394F78">
        <w:rPr>
          <w:rFonts w:eastAsia="Times New Roman"/>
          <w:b/>
          <w:bCs/>
          <w:rtl/>
          <w:lang w:eastAsia="de-DE"/>
        </w:rPr>
        <w:t>הָאֱמֹרִי</w:t>
      </w:r>
      <w:r w:rsidRPr="00394F78">
        <w:rPr>
          <w:rFonts w:eastAsia="Times New Roman"/>
          <w:rtl/>
          <w:lang w:eastAsia="de-DE"/>
        </w:rPr>
        <w:t xml:space="preserve"> </w:t>
      </w:r>
      <w:r w:rsidRPr="00394F78">
        <w:rPr>
          <w:rFonts w:eastAsia="Times New Roman"/>
          <w:lang w:eastAsia="de-DE"/>
        </w:rPr>
        <w:t xml:space="preserve">(„der Amoriter"), </w:t>
      </w:r>
      <w:r w:rsidR="00C13523">
        <w:rPr>
          <w:rFonts w:eastAsia="Times New Roman"/>
          <w:lang w:eastAsia="de-DE"/>
        </w:rPr>
        <w:t>Gentilicum</w:t>
      </w:r>
      <w:r w:rsidRPr="00394F78">
        <w:rPr>
          <w:rFonts w:eastAsia="Times New Roman"/>
          <w:lang w:eastAsia="de-DE"/>
        </w:rPr>
        <w:t xml:space="preserve"> mit Artikel. </w:t>
      </w:r>
      <w:r w:rsidRPr="00394F78">
        <w:rPr>
          <w:rFonts w:eastAsia="Times New Roman"/>
          <w:b/>
          <w:bCs/>
          <w:rtl/>
          <w:lang w:eastAsia="de-DE"/>
        </w:rPr>
        <w:t>וְאֶל־כָּל־שְׁכֵנָיו</w:t>
      </w:r>
      <w:r w:rsidRPr="00394F78">
        <w:rPr>
          <w:rFonts w:eastAsia="Times New Roman"/>
          <w:rtl/>
          <w:lang w:eastAsia="de-DE"/>
        </w:rPr>
        <w:t xml:space="preserve"> </w:t>
      </w:r>
      <w:r w:rsidRPr="00394F78">
        <w:rPr>
          <w:rFonts w:eastAsia="Times New Roman"/>
          <w:lang w:eastAsia="de-DE"/>
        </w:rPr>
        <w:t xml:space="preserve">besteht aus der Konjunktion </w:t>
      </w:r>
      <w:r w:rsidRPr="00394F78">
        <w:rPr>
          <w:rFonts w:eastAsia="Times New Roman"/>
          <w:b/>
          <w:bCs/>
          <w:rtl/>
          <w:lang w:eastAsia="de-DE"/>
        </w:rPr>
        <w:t>וְ</w:t>
      </w:r>
      <w:r w:rsidRPr="00394F78">
        <w:rPr>
          <w:rFonts w:eastAsia="Times New Roman"/>
          <w:lang w:eastAsia="de-DE"/>
        </w:rPr>
        <w:t xml:space="preserve">, Präposition </w:t>
      </w:r>
      <w:r w:rsidRPr="00394F78">
        <w:rPr>
          <w:rFonts w:eastAsia="Times New Roman"/>
          <w:b/>
          <w:bCs/>
          <w:rtl/>
          <w:lang w:eastAsia="de-DE"/>
        </w:rPr>
        <w:t>אֶל</w:t>
      </w:r>
      <w:r w:rsidRPr="00394F78">
        <w:rPr>
          <w:rFonts w:eastAsia="Times New Roman"/>
          <w:lang w:eastAsia="de-DE"/>
        </w:rPr>
        <w:t xml:space="preserve">, </w:t>
      </w:r>
      <w:r w:rsidRPr="00394F78">
        <w:rPr>
          <w:rFonts w:eastAsia="Times New Roman"/>
          <w:b/>
          <w:bCs/>
          <w:rtl/>
          <w:lang w:eastAsia="de-DE"/>
        </w:rPr>
        <w:t>כָּל</w:t>
      </w:r>
      <w:r w:rsidRPr="00394F78">
        <w:rPr>
          <w:rFonts w:eastAsia="Times New Roman"/>
          <w:rtl/>
          <w:lang w:eastAsia="de-DE"/>
        </w:rPr>
        <w:t xml:space="preserve"> </w:t>
      </w:r>
      <w:r w:rsidRPr="00394F78">
        <w:rPr>
          <w:rFonts w:eastAsia="Times New Roman"/>
          <w:lang w:eastAsia="de-DE"/>
        </w:rPr>
        <w:t xml:space="preserve">im </w:t>
      </w:r>
      <w:r w:rsidR="0032647F">
        <w:rPr>
          <w:rFonts w:eastAsia="Times New Roman"/>
          <w:lang w:eastAsia="de-DE"/>
        </w:rPr>
        <w:lastRenderedPageBreak/>
        <w:t>Construct</w:t>
      </w:r>
      <w:r w:rsidRPr="00394F78">
        <w:rPr>
          <w:rFonts w:eastAsia="Times New Roman"/>
          <w:lang w:eastAsia="de-DE"/>
        </w:rPr>
        <w:t xml:space="preserve">, und </w:t>
      </w:r>
      <w:r w:rsidRPr="00394F78">
        <w:rPr>
          <w:rFonts w:eastAsia="Times New Roman"/>
          <w:b/>
          <w:bCs/>
          <w:rtl/>
          <w:lang w:eastAsia="de-DE"/>
        </w:rPr>
        <w:t>שְׁכֵנָיו</w:t>
      </w:r>
      <w:r w:rsidRPr="00394F78">
        <w:rPr>
          <w:rFonts w:eastAsia="Times New Roman"/>
          <w:lang w:eastAsia="de-DE"/>
        </w:rPr>
        <w:t xml:space="preserve">, dem Plural von </w:t>
      </w:r>
      <w:r w:rsidRPr="00394F78">
        <w:rPr>
          <w:rFonts w:eastAsia="Times New Roman"/>
          <w:b/>
          <w:bCs/>
          <w:rtl/>
          <w:lang w:eastAsia="de-DE"/>
        </w:rPr>
        <w:t>שָׁכֵן</w:t>
      </w:r>
      <w:r w:rsidRPr="00394F78">
        <w:rPr>
          <w:rFonts w:eastAsia="Times New Roman"/>
          <w:rtl/>
          <w:lang w:eastAsia="de-DE"/>
        </w:rPr>
        <w:t xml:space="preserve"> </w:t>
      </w:r>
      <w:r w:rsidRPr="00394F78">
        <w:rPr>
          <w:rFonts w:eastAsia="Times New Roman"/>
          <w:lang w:eastAsia="de-DE"/>
        </w:rPr>
        <w:t>(„Nachbar") mit Possessivsuffix 3. Person maskulin Singular („seine Nachbarn").</w:t>
      </w:r>
    </w:p>
    <w:p w14:paraId="27614F33" w14:textId="0A4ADBC5" w:rsidR="0045060F" w:rsidRDefault="00394F78" w:rsidP="007B72C7">
      <w:r w:rsidRPr="00394F78">
        <w:t xml:space="preserve">Es folgt eine ausführliche Aufzählung von Regionen mit der Präposition </w:t>
      </w:r>
      <w:r w:rsidRPr="00394F78">
        <w:rPr>
          <w:b/>
          <w:bCs/>
          <w:rtl/>
        </w:rPr>
        <w:t>בְּ</w:t>
      </w:r>
      <w:r w:rsidRPr="00394F78">
        <w:rPr>
          <w:rtl/>
        </w:rPr>
        <w:t xml:space="preserve"> </w:t>
      </w:r>
      <w:r w:rsidRPr="00394F78">
        <w:t xml:space="preserve">(„in, an"): </w:t>
      </w:r>
      <w:r w:rsidRPr="00394F78">
        <w:rPr>
          <w:b/>
          <w:bCs/>
          <w:rtl/>
        </w:rPr>
        <w:t>בָּעֲרָבָה</w:t>
      </w:r>
      <w:r w:rsidRPr="00394F78">
        <w:rPr>
          <w:rtl/>
        </w:rPr>
        <w:t xml:space="preserve"> </w:t>
      </w:r>
      <w:r w:rsidRPr="00394F78">
        <w:t xml:space="preserve">(„in der Arava", Steppenregion), </w:t>
      </w:r>
      <w:r w:rsidRPr="00394F78">
        <w:rPr>
          <w:b/>
          <w:bCs/>
          <w:rtl/>
        </w:rPr>
        <w:t>בָהָר</w:t>
      </w:r>
      <w:r w:rsidRPr="00394F78">
        <w:rPr>
          <w:rtl/>
        </w:rPr>
        <w:t xml:space="preserve"> </w:t>
      </w:r>
      <w:r w:rsidRPr="00394F78">
        <w:t xml:space="preserve">(„auf dem Gebirge"), </w:t>
      </w:r>
      <w:r w:rsidR="007B72C7" w:rsidRPr="007B72C7">
        <w:rPr>
          <w:b/>
          <w:bCs/>
          <w:rtl/>
        </w:rPr>
        <w:t>וּבַשְּפֵלָה</w:t>
      </w:r>
      <w:r w:rsidR="007B72C7" w:rsidRPr="007B72C7">
        <w:t xml:space="preserve"> </w:t>
      </w:r>
      <w:r w:rsidR="0045060F">
        <w:t xml:space="preserve">(„und in der Niederung", Küstenebene), </w:t>
      </w:r>
      <w:r w:rsidR="0045060F" w:rsidRPr="00257FCB">
        <w:rPr>
          <w:rStyle w:val="berschrift3Zchn"/>
          <w:b/>
          <w:bCs/>
          <w:color w:val="auto"/>
          <w:rtl/>
        </w:rPr>
        <w:t>וּבַנֶּגֶב</w:t>
      </w:r>
      <w:r w:rsidR="0045060F" w:rsidRPr="00257FCB">
        <w:rPr>
          <w:rtl/>
        </w:rPr>
        <w:t xml:space="preserve"> </w:t>
      </w:r>
      <w:r w:rsidR="0045060F">
        <w:t xml:space="preserve">(„und im Negev", Südland), </w:t>
      </w:r>
      <w:r w:rsidR="0045060F" w:rsidRPr="00257FCB">
        <w:rPr>
          <w:rStyle w:val="berschrift3Zchn"/>
          <w:b/>
          <w:bCs/>
          <w:color w:val="auto"/>
          <w:rtl/>
        </w:rPr>
        <w:t>וּבְחוֹף הַיָּם</w:t>
      </w:r>
      <w:r w:rsidR="0045060F">
        <w:rPr>
          <w:rtl/>
        </w:rPr>
        <w:t xml:space="preserve"> </w:t>
      </w:r>
      <w:r w:rsidR="0045060F">
        <w:t xml:space="preserve">(„und an der Meeresküste"), wobei </w:t>
      </w:r>
      <w:r w:rsidR="0045060F" w:rsidRPr="00257FCB">
        <w:rPr>
          <w:rStyle w:val="berschrift3Zchn"/>
          <w:b/>
          <w:bCs/>
          <w:color w:val="auto"/>
          <w:rtl/>
        </w:rPr>
        <w:t>חוֹף</w:t>
      </w:r>
      <w:r w:rsidR="0045060F" w:rsidRPr="00257FCB">
        <w:rPr>
          <w:rtl/>
        </w:rPr>
        <w:t xml:space="preserve"> </w:t>
      </w:r>
      <w:r w:rsidR="0045060F">
        <w:t xml:space="preserve">(„Küste, Ufer") im </w:t>
      </w:r>
      <w:r w:rsidR="0032647F">
        <w:t>Construct</w:t>
      </w:r>
      <w:r w:rsidR="0045060F">
        <w:t xml:space="preserve"> mit </w:t>
      </w:r>
      <w:r w:rsidR="0045060F" w:rsidRPr="00257FCB">
        <w:rPr>
          <w:rStyle w:val="berschrift3Zchn"/>
          <w:b/>
          <w:bCs/>
          <w:color w:val="auto"/>
          <w:rtl/>
        </w:rPr>
        <w:t>הַיָּם</w:t>
      </w:r>
      <w:r w:rsidR="0045060F" w:rsidRPr="00257FCB">
        <w:rPr>
          <w:rtl/>
        </w:rPr>
        <w:t xml:space="preserve"> </w:t>
      </w:r>
      <w:r w:rsidR="0045060F">
        <w:t>(„das Meer") steht.</w:t>
      </w:r>
    </w:p>
    <w:p w14:paraId="5B281604" w14:textId="77FC46F4" w:rsidR="0045060F" w:rsidRDefault="0045060F" w:rsidP="0045060F">
      <w:r w:rsidRPr="00257FCB">
        <w:rPr>
          <w:rStyle w:val="berschrift3Zchn"/>
          <w:b/>
          <w:bCs/>
          <w:color w:val="auto"/>
          <w:rtl/>
        </w:rPr>
        <w:t>אֶרֶץ הַכְּנַעֲנִי</w:t>
      </w:r>
      <w:r>
        <w:rPr>
          <w:rtl/>
        </w:rPr>
        <w:t xml:space="preserve"> </w:t>
      </w:r>
      <w:r>
        <w:t xml:space="preserve">ist eine weitere </w:t>
      </w:r>
      <w:r w:rsidR="0032647F">
        <w:t>Construct</w:t>
      </w:r>
      <w:r>
        <w:t xml:space="preserve">usverbindung: </w:t>
      </w:r>
      <w:r w:rsidRPr="00257FCB">
        <w:rPr>
          <w:rStyle w:val="berschrift3Zchn"/>
          <w:b/>
          <w:bCs/>
          <w:color w:val="auto"/>
          <w:rtl/>
        </w:rPr>
        <w:t>אֶרֶץ</w:t>
      </w:r>
      <w:r w:rsidRPr="00257FCB">
        <w:rPr>
          <w:rtl/>
        </w:rPr>
        <w:t xml:space="preserve"> </w:t>
      </w:r>
      <w:r>
        <w:t xml:space="preserve">(„Land") mit </w:t>
      </w:r>
      <w:r w:rsidRPr="00257FCB">
        <w:rPr>
          <w:rStyle w:val="berschrift3Zchn"/>
          <w:b/>
          <w:bCs/>
          <w:color w:val="auto"/>
          <w:rtl/>
        </w:rPr>
        <w:t>הַכְּנַעֲנִי</w:t>
      </w:r>
      <w:r w:rsidRPr="00257FCB">
        <w:rPr>
          <w:rtl/>
        </w:rPr>
        <w:t xml:space="preserve"> </w:t>
      </w:r>
      <w:r>
        <w:t xml:space="preserve">(„der Kanaaniter"), </w:t>
      </w:r>
      <w:r w:rsidR="00C13523">
        <w:t>Gentilicum</w:t>
      </w:r>
      <w:r>
        <w:t xml:space="preserve"> mit Artikel. </w:t>
      </w:r>
      <w:r w:rsidRPr="00257FCB">
        <w:rPr>
          <w:rStyle w:val="berschrift3Zchn"/>
          <w:b/>
          <w:bCs/>
          <w:color w:val="auto"/>
          <w:rtl/>
        </w:rPr>
        <w:t>וְהַלְּבָנוֹן</w:t>
      </w:r>
      <w:r w:rsidRPr="00257FCB">
        <w:rPr>
          <w:rtl/>
        </w:rPr>
        <w:t xml:space="preserve"> </w:t>
      </w:r>
      <w:r>
        <w:t xml:space="preserve">ist der Ortsname „Libanon" mit Artikel und Konjunktion. </w:t>
      </w:r>
      <w:r w:rsidRPr="00257FCB">
        <w:rPr>
          <w:rStyle w:val="berschrift3Zchn"/>
          <w:b/>
          <w:bCs/>
          <w:color w:val="auto"/>
          <w:rtl/>
        </w:rPr>
        <w:t>עַד־הַנָּהָר הַגָּדֹל</w:t>
      </w:r>
      <w:r>
        <w:rPr>
          <w:rtl/>
        </w:rPr>
        <w:t xml:space="preserve"> </w:t>
      </w:r>
      <w:r>
        <w:t xml:space="preserve">besteht aus der Präposition </w:t>
      </w:r>
      <w:r w:rsidRPr="00257FCB">
        <w:rPr>
          <w:rStyle w:val="berschrift3Zchn"/>
          <w:b/>
          <w:bCs/>
          <w:color w:val="auto"/>
          <w:rtl/>
        </w:rPr>
        <w:t>עַד</w:t>
      </w:r>
      <w:r w:rsidRPr="00257FCB">
        <w:rPr>
          <w:rtl/>
        </w:rPr>
        <w:t xml:space="preserve"> </w:t>
      </w:r>
      <w:r>
        <w:t xml:space="preserve">(„bis"), </w:t>
      </w:r>
      <w:r w:rsidRPr="00257FCB">
        <w:rPr>
          <w:rStyle w:val="berschrift3Zchn"/>
          <w:b/>
          <w:bCs/>
          <w:color w:val="auto"/>
          <w:rtl/>
        </w:rPr>
        <w:t>הַנָּהָר</w:t>
      </w:r>
      <w:r w:rsidRPr="00257FCB">
        <w:rPr>
          <w:rtl/>
        </w:rPr>
        <w:t xml:space="preserve"> </w:t>
      </w:r>
      <w:r>
        <w:t xml:space="preserve">(„der Fluss, der Strom") und dem Adjektiv </w:t>
      </w:r>
      <w:r w:rsidRPr="00257FCB">
        <w:rPr>
          <w:rStyle w:val="berschrift3Zchn"/>
          <w:b/>
          <w:bCs/>
          <w:color w:val="auto"/>
          <w:rtl/>
        </w:rPr>
        <w:t>הַגָּדֹל</w:t>
      </w:r>
      <w:r w:rsidRPr="00257FCB">
        <w:rPr>
          <w:rtl/>
        </w:rPr>
        <w:t xml:space="preserve"> </w:t>
      </w:r>
      <w:r>
        <w:t xml:space="preserve">(„der große"), beide mit Artikel. </w:t>
      </w:r>
      <w:r w:rsidRPr="00257FCB">
        <w:rPr>
          <w:rStyle w:val="berschrift3Zchn"/>
          <w:b/>
          <w:bCs/>
          <w:color w:val="auto"/>
          <w:rtl/>
        </w:rPr>
        <w:t>נְהַר־פְּרָת</w:t>
      </w:r>
      <w:r w:rsidRPr="00257FCB">
        <w:rPr>
          <w:rtl/>
        </w:rPr>
        <w:t xml:space="preserve"> </w:t>
      </w:r>
      <w:r>
        <w:t xml:space="preserve">ist eine appositionelle </w:t>
      </w:r>
      <w:r w:rsidR="00FF2B82">
        <w:t>Konstruktion</w:t>
      </w:r>
      <w:r>
        <w:t xml:space="preserve">: </w:t>
      </w:r>
      <w:r w:rsidRPr="00257FCB">
        <w:rPr>
          <w:rStyle w:val="berschrift3Zchn"/>
          <w:b/>
          <w:bCs/>
          <w:color w:val="auto"/>
          <w:rtl/>
        </w:rPr>
        <w:t>נְהַר</w:t>
      </w:r>
      <w:r w:rsidRPr="00257FCB">
        <w:rPr>
          <w:rtl/>
        </w:rPr>
        <w:t xml:space="preserve"> </w:t>
      </w:r>
      <w:r>
        <w:t xml:space="preserve">(„Fluss, Strom") im </w:t>
      </w:r>
      <w:r w:rsidR="0032647F">
        <w:t>Construct</w:t>
      </w:r>
      <w:r>
        <w:t xml:space="preserve"> mit </w:t>
      </w:r>
      <w:r w:rsidRPr="00257FCB">
        <w:rPr>
          <w:rStyle w:val="berschrift3Zchn"/>
          <w:b/>
          <w:bCs/>
          <w:color w:val="auto"/>
          <w:rtl/>
        </w:rPr>
        <w:t>פְּרָת</w:t>
      </w:r>
      <w:r w:rsidRPr="00257FCB">
        <w:rPr>
          <w:rtl/>
        </w:rPr>
        <w:t xml:space="preserve"> </w:t>
      </w:r>
      <w:r>
        <w:t>(„Euphrat"), was den „großen Strom" präzisiert.</w:t>
      </w:r>
    </w:p>
    <w:p w14:paraId="2BE18407" w14:textId="43ADB30E" w:rsidR="0045060F" w:rsidRDefault="0045060F" w:rsidP="0045060F">
      <w:r w:rsidRPr="00257FCB">
        <w:rPr>
          <w:rStyle w:val="berschrift3Zchn"/>
          <w:rFonts w:ascii="Times New Roman" w:hAnsi="Times New Roman"/>
          <w:b/>
          <w:bCs/>
          <w:color w:val="auto"/>
        </w:rPr>
        <w:t>Die LXX</w:t>
      </w:r>
      <w:r w:rsidRPr="00257FCB">
        <w:t xml:space="preserve"> </w:t>
      </w:r>
      <w:r w:rsidR="008D099B" w:rsidRPr="00257FCB">
        <w:t>übersetzt</w:t>
      </w:r>
      <w:r w:rsidR="008D099B">
        <w:t xml:space="preserve"> „</w:t>
      </w:r>
      <w:r w:rsidR="008D099B">
        <w:rPr>
          <w:rtl/>
        </w:rPr>
        <w:t>הַלְּבָנוֹן</w:t>
      </w:r>
      <w:r w:rsidR="008D099B">
        <w:t>" (der Libanon) mit „</w:t>
      </w:r>
      <w:proofErr w:type="spellStart"/>
      <w:r w:rsidR="008D099B">
        <w:t>Ἀντιλί</w:t>
      </w:r>
      <w:proofErr w:type="spellEnd"/>
      <w:r w:rsidR="008D099B">
        <w:t>βανον" (Anti-Libanon), was auf den Gebirgszug östlich des Libanon verweist.</w:t>
      </w:r>
    </w:p>
    <w:p w14:paraId="0592BB97" w14:textId="07522A94" w:rsidR="0045060F" w:rsidRDefault="0045060F" w:rsidP="0045060F">
      <w:r>
        <w:t>Die Satzstruktur besteht aus drei koordinierten Imperativen (</w:t>
      </w:r>
      <w:r>
        <w:rPr>
          <w:rStyle w:val="berschrift3Zchn"/>
          <w:rtl/>
        </w:rPr>
        <w:t>פְּנוּ וּסְעוּ וּבֹאוּ</w:t>
      </w:r>
      <w:r>
        <w:t xml:space="preserve">), gefolgt von einer umfangreichen Serie von präpositionalen Phrasen, die das Ziel der Bewegung beschreiben. Die Lokalbestimmungen sind teils parallel (alle mit </w:t>
      </w:r>
      <w:r w:rsidRPr="00257FCB">
        <w:rPr>
          <w:rStyle w:val="berschrift3Zchn"/>
          <w:b/>
          <w:bCs/>
          <w:color w:val="auto"/>
          <w:rtl/>
        </w:rPr>
        <w:t>בְּ</w:t>
      </w:r>
      <w:r>
        <w:t xml:space="preserve">), teils hierarchisch geordnet. Die </w:t>
      </w:r>
      <w:r w:rsidR="00FF2B82">
        <w:t>Konstruktion</w:t>
      </w:r>
      <w:r>
        <w:t xml:space="preserve"> </w:t>
      </w:r>
      <w:r w:rsidRPr="00257FCB">
        <w:rPr>
          <w:rStyle w:val="berschrift3Zchn"/>
          <w:b/>
          <w:bCs/>
          <w:color w:val="auto"/>
          <w:rtl/>
        </w:rPr>
        <w:t>עַד־הַנָּהָר הַגָּדֹל</w:t>
      </w:r>
      <w:r>
        <w:rPr>
          <w:rtl/>
        </w:rPr>
        <w:t xml:space="preserve"> </w:t>
      </w:r>
      <w:r>
        <w:t xml:space="preserve">mit der Apposition </w:t>
      </w:r>
      <w:r w:rsidRPr="00257FCB">
        <w:rPr>
          <w:rStyle w:val="berschrift3Zchn"/>
          <w:b/>
          <w:bCs/>
          <w:color w:val="auto"/>
          <w:rtl/>
        </w:rPr>
        <w:t>נְהַר־פְּרָת</w:t>
      </w:r>
      <w:r w:rsidRPr="00257FCB">
        <w:rPr>
          <w:rtl/>
        </w:rPr>
        <w:t xml:space="preserve"> </w:t>
      </w:r>
      <w:r>
        <w:t>bildet den klimaktischen Abschluss und markiert die nördliche Grenze des verheißenen Landes.</w:t>
      </w:r>
    </w:p>
    <w:p w14:paraId="6933486D" w14:textId="77777777" w:rsidR="0045060F" w:rsidRDefault="0045060F" w:rsidP="0045060F">
      <w:r>
        <w:t>Der Vers entfaltet JHWHs Auftrag zum Aufbruch und beschreibt das gesamte verheißene Land in all seinen geografischen Regionen von der Arava im Süden bis zum Euphrat im Norden, vom Mittelmeer im Westen bis zum Gebirge im Osten. Die detaillierte Aufzählung unterstreicht die Großzügigkeit der göttlichen Verheißung.</w:t>
      </w:r>
    </w:p>
    <w:p w14:paraId="4DD1B30F" w14:textId="77777777" w:rsidR="007B72C7" w:rsidRPr="007B72C7" w:rsidRDefault="007B72C7" w:rsidP="007B72C7">
      <w:pPr>
        <w:spacing w:before="100" w:beforeAutospacing="1" w:after="100" w:afterAutospacing="1" w:line="240" w:lineRule="auto"/>
        <w:outlineLvl w:val="1"/>
        <w:rPr>
          <w:rFonts w:eastAsia="Times New Roman"/>
          <w:b/>
          <w:bCs/>
          <w:sz w:val="36"/>
          <w:szCs w:val="36"/>
          <w:lang w:eastAsia="de-DE"/>
        </w:rPr>
      </w:pPr>
      <w:r w:rsidRPr="007B72C7">
        <w:rPr>
          <w:rFonts w:eastAsia="Times New Roman"/>
          <w:b/>
          <w:bCs/>
          <w:sz w:val="36"/>
          <w:szCs w:val="36"/>
          <w:lang w:eastAsia="de-DE"/>
        </w:rPr>
        <w:t>Deuteronomium 1,8</w:t>
      </w:r>
    </w:p>
    <w:p w14:paraId="00CF23D0"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Hebräisch:</w:t>
      </w:r>
      <w:r w:rsidRPr="007B72C7">
        <w:rPr>
          <w:rFonts w:eastAsia="Times New Roman"/>
          <w:lang w:eastAsia="de-DE"/>
        </w:rPr>
        <w:t xml:space="preserve"> </w:t>
      </w:r>
      <w:r w:rsidRPr="007B72C7">
        <w:rPr>
          <w:rFonts w:eastAsia="Times New Roman"/>
          <w:rtl/>
          <w:lang w:eastAsia="de-DE"/>
        </w:rPr>
        <w:t>רְאֵ֛ה נָתַ֥תִּי לִפְנֵיכֶ֖ם אֶת־הָאָ֑רֶץ בֹּ֚אוּ וּרְשׁ֣וּ אֶת־הָאָ֔רֶץ אֲשֶׁ֣ר נִשְׁבַּ֣ע יְ֠הוָה לַאֲבֹ֨תֵיכֶ֜ם לְאַבְרָהָ֨ם לְיִצְחָ֤ק וּֽלְיַעֲקֹב֙ לָתֵ֣ת לָהֶ֔ם וּלְזַרְעָ֖ם אַחֲרֵיהֶֽם׃</w:t>
      </w:r>
    </w:p>
    <w:p w14:paraId="259DA27A"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Deutsch:</w:t>
      </w:r>
      <w:r w:rsidRPr="007B72C7">
        <w:rPr>
          <w:rFonts w:eastAsia="Times New Roman"/>
          <w:lang w:eastAsia="de-DE"/>
        </w:rPr>
        <w:t xml:space="preserve"> Siehe, ich habe das Land vor euch hingegeben. Geht hinein und nehmt das Land in Besitz, das der Ewige euren Vätern, 'Avraham, Jitzchak und Ja'akov, geschworen hat, ihnen zu geben und ihrem Samen nach ihnen.</w:t>
      </w:r>
    </w:p>
    <w:p w14:paraId="2B6EF9D7" w14:textId="77777777" w:rsidR="007B72C7" w:rsidRPr="007B72C7" w:rsidRDefault="004F5CEB" w:rsidP="007B72C7">
      <w:pPr>
        <w:spacing w:after="0" w:line="240" w:lineRule="auto"/>
        <w:rPr>
          <w:rFonts w:eastAsia="Times New Roman"/>
          <w:lang w:eastAsia="de-DE"/>
        </w:rPr>
      </w:pPr>
      <w:r>
        <w:rPr>
          <w:rFonts w:eastAsia="Times New Roman"/>
          <w:noProof/>
          <w:lang w:eastAsia="de-DE"/>
        </w:rPr>
        <w:pict w14:anchorId="71AACEF9">
          <v:rect id="_x0000_i1032" style="width:0;height:1.5pt" o:hralign="center" o:hrstd="t" o:hr="t" fillcolor="#a0a0a0" stroked="f"/>
        </w:pict>
      </w:r>
    </w:p>
    <w:p w14:paraId="5B737213" w14:textId="0256DFA2"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Kommentar:</w:t>
      </w:r>
      <w:r w:rsidRPr="007B72C7">
        <w:rPr>
          <w:rFonts w:eastAsia="Times New Roman"/>
          <w:lang w:eastAsia="de-DE"/>
        </w:rPr>
        <w:t xml:space="preserve"> </w:t>
      </w:r>
      <w:r w:rsidRPr="007B72C7">
        <w:rPr>
          <w:rFonts w:eastAsia="Times New Roman"/>
          <w:b/>
          <w:bCs/>
          <w:rtl/>
          <w:lang w:eastAsia="de-DE"/>
        </w:rPr>
        <w:t>רְאֵה</w:t>
      </w:r>
      <w:r w:rsidRPr="007B72C7">
        <w:rPr>
          <w:rFonts w:eastAsia="Times New Roman"/>
          <w:rtl/>
          <w:lang w:eastAsia="de-DE"/>
        </w:rPr>
        <w:t xml:space="preserve"> </w:t>
      </w:r>
      <w:r w:rsidRPr="007B72C7">
        <w:rPr>
          <w:rFonts w:eastAsia="Times New Roman"/>
          <w:lang w:eastAsia="de-DE"/>
        </w:rPr>
        <w:t xml:space="preserve">ist Qal Imperativ maskulin Singular von </w:t>
      </w:r>
      <w:r w:rsidRPr="007B72C7">
        <w:rPr>
          <w:rFonts w:eastAsia="Times New Roman"/>
          <w:rtl/>
          <w:lang w:eastAsia="de-DE"/>
        </w:rPr>
        <w:t>ראה</w:t>
      </w:r>
      <w:r w:rsidRPr="007B72C7">
        <w:rPr>
          <w:rFonts w:eastAsia="Times New Roman"/>
          <w:lang w:eastAsia="de-DE"/>
        </w:rPr>
        <w:t xml:space="preserve"> („sehen"), hier als Aufmerksamkeitspartikel verwendet („siehe!"). Obwohl die Form Singular ist, richtet sie sich an das Volk kollektiv. </w:t>
      </w:r>
      <w:r w:rsidRPr="007B72C7">
        <w:rPr>
          <w:rFonts w:eastAsia="Times New Roman"/>
          <w:b/>
          <w:bCs/>
          <w:rtl/>
          <w:lang w:eastAsia="de-DE"/>
        </w:rPr>
        <w:t>נָתַתִּי</w:t>
      </w:r>
      <w:r w:rsidRPr="007B72C7">
        <w:rPr>
          <w:rFonts w:eastAsia="Times New Roman"/>
          <w:rtl/>
          <w:lang w:eastAsia="de-DE"/>
        </w:rPr>
        <w:t xml:space="preserve"> </w:t>
      </w:r>
      <w:r w:rsidRPr="007B72C7">
        <w:rPr>
          <w:rFonts w:eastAsia="Times New Roman"/>
          <w:lang w:eastAsia="de-DE"/>
        </w:rPr>
        <w:t xml:space="preserve">ist Qal Perfekt, 1. Person Singular von </w:t>
      </w:r>
      <w:r w:rsidRPr="007B72C7">
        <w:rPr>
          <w:rFonts w:eastAsia="Times New Roman"/>
          <w:rtl/>
          <w:lang w:eastAsia="de-DE"/>
        </w:rPr>
        <w:t>נתן</w:t>
      </w:r>
      <w:r w:rsidRPr="007B72C7">
        <w:rPr>
          <w:rFonts w:eastAsia="Times New Roman"/>
          <w:lang w:eastAsia="de-DE"/>
        </w:rPr>
        <w:t xml:space="preserve"> („geben"). Das Perfekt drückt hier eine vollendete Handlung aus, die gegenwärtige Gültigkeit hat („ich habe gegeben"). </w:t>
      </w:r>
      <w:r w:rsidRPr="007B72C7">
        <w:rPr>
          <w:rFonts w:eastAsia="Times New Roman"/>
          <w:b/>
          <w:bCs/>
          <w:rtl/>
          <w:lang w:eastAsia="de-DE"/>
        </w:rPr>
        <w:t>לִפְנֵיכֶם</w:t>
      </w:r>
      <w:r w:rsidRPr="007B72C7">
        <w:rPr>
          <w:rFonts w:eastAsia="Times New Roman"/>
          <w:rtl/>
          <w:lang w:eastAsia="de-DE"/>
        </w:rPr>
        <w:t xml:space="preserve"> </w:t>
      </w:r>
      <w:r w:rsidRPr="007B72C7">
        <w:rPr>
          <w:rFonts w:eastAsia="Times New Roman"/>
          <w:lang w:eastAsia="de-DE"/>
        </w:rPr>
        <w:t xml:space="preserve">besteht aus der Präposition </w:t>
      </w:r>
      <w:r w:rsidRPr="007B72C7">
        <w:rPr>
          <w:rFonts w:eastAsia="Times New Roman"/>
          <w:b/>
          <w:bCs/>
          <w:rtl/>
          <w:lang w:eastAsia="de-DE"/>
        </w:rPr>
        <w:t>לְ</w:t>
      </w:r>
      <w:r w:rsidRPr="007B72C7">
        <w:rPr>
          <w:rFonts w:eastAsia="Times New Roman"/>
          <w:rtl/>
          <w:lang w:eastAsia="de-DE"/>
        </w:rPr>
        <w:t xml:space="preserve"> </w:t>
      </w:r>
      <w:r w:rsidRPr="007B72C7">
        <w:rPr>
          <w:rFonts w:eastAsia="Times New Roman"/>
          <w:lang w:eastAsia="de-DE"/>
        </w:rPr>
        <w:t xml:space="preserve">und </w:t>
      </w:r>
      <w:r w:rsidRPr="007B72C7">
        <w:rPr>
          <w:rFonts w:eastAsia="Times New Roman"/>
          <w:b/>
          <w:bCs/>
          <w:rtl/>
          <w:lang w:eastAsia="de-DE"/>
        </w:rPr>
        <w:t>פָּנִים</w:t>
      </w:r>
      <w:r w:rsidRPr="007B72C7">
        <w:rPr>
          <w:rFonts w:eastAsia="Times New Roman"/>
          <w:rtl/>
          <w:lang w:eastAsia="de-DE"/>
        </w:rPr>
        <w:t xml:space="preserve"> </w:t>
      </w:r>
      <w:r w:rsidRPr="007B72C7">
        <w:rPr>
          <w:rFonts w:eastAsia="Times New Roman"/>
          <w:lang w:eastAsia="de-DE"/>
        </w:rPr>
        <w:t xml:space="preserve">(„Angesicht") im Plural </w:t>
      </w:r>
      <w:r w:rsidR="0032647F">
        <w:rPr>
          <w:rFonts w:eastAsia="Times New Roman"/>
          <w:lang w:eastAsia="de-DE"/>
        </w:rPr>
        <w:t>Construct</w:t>
      </w:r>
      <w:r w:rsidRPr="007B72C7">
        <w:rPr>
          <w:rFonts w:eastAsia="Times New Roman"/>
          <w:lang w:eastAsia="de-DE"/>
        </w:rPr>
        <w:t xml:space="preserve"> mit Suffix 2. Person maskulin Plural („vor euch"). </w:t>
      </w:r>
      <w:r w:rsidRPr="007B72C7">
        <w:rPr>
          <w:rFonts w:eastAsia="Times New Roman"/>
          <w:b/>
          <w:bCs/>
          <w:rtl/>
          <w:lang w:eastAsia="de-DE"/>
        </w:rPr>
        <w:t>אֶת־הָאָרֶץ</w:t>
      </w:r>
      <w:r w:rsidRPr="007B72C7">
        <w:rPr>
          <w:rFonts w:eastAsia="Times New Roman"/>
          <w:rtl/>
          <w:lang w:eastAsia="de-DE"/>
        </w:rPr>
        <w:t xml:space="preserve"> </w:t>
      </w:r>
      <w:r w:rsidRPr="007B72C7">
        <w:rPr>
          <w:rFonts w:eastAsia="Times New Roman"/>
          <w:lang w:eastAsia="de-DE"/>
        </w:rPr>
        <w:t xml:space="preserve">ist die Objektpartikel mit </w:t>
      </w:r>
      <w:r w:rsidRPr="007B72C7">
        <w:rPr>
          <w:rFonts w:eastAsia="Times New Roman"/>
          <w:b/>
          <w:bCs/>
          <w:rtl/>
          <w:lang w:eastAsia="de-DE"/>
        </w:rPr>
        <w:t>הָאָרֶץ</w:t>
      </w:r>
      <w:r w:rsidRPr="007B72C7">
        <w:rPr>
          <w:rFonts w:eastAsia="Times New Roman"/>
          <w:rtl/>
          <w:lang w:eastAsia="de-DE"/>
        </w:rPr>
        <w:t xml:space="preserve"> </w:t>
      </w:r>
      <w:r w:rsidRPr="007B72C7">
        <w:rPr>
          <w:rFonts w:eastAsia="Times New Roman"/>
          <w:lang w:eastAsia="de-DE"/>
        </w:rPr>
        <w:t>(„das Land").</w:t>
      </w:r>
    </w:p>
    <w:p w14:paraId="76EC379A"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rtl/>
          <w:lang w:eastAsia="de-DE"/>
        </w:rPr>
        <w:lastRenderedPageBreak/>
        <w:t>בֹּאוּ</w:t>
      </w:r>
      <w:r w:rsidRPr="007B72C7">
        <w:rPr>
          <w:rFonts w:eastAsia="Times New Roman"/>
          <w:rtl/>
          <w:lang w:eastAsia="de-DE"/>
        </w:rPr>
        <w:t xml:space="preserve"> </w:t>
      </w:r>
      <w:r w:rsidRPr="007B72C7">
        <w:rPr>
          <w:rFonts w:eastAsia="Times New Roman"/>
          <w:lang w:eastAsia="de-DE"/>
        </w:rPr>
        <w:t xml:space="preserve">ist Qal Imperativ maskulin Plural von </w:t>
      </w:r>
      <w:r w:rsidRPr="007B72C7">
        <w:rPr>
          <w:rFonts w:eastAsia="Times New Roman"/>
          <w:rtl/>
          <w:lang w:eastAsia="de-DE"/>
        </w:rPr>
        <w:t>בוא</w:t>
      </w:r>
      <w:r w:rsidRPr="007B72C7">
        <w:rPr>
          <w:rFonts w:eastAsia="Times New Roman"/>
          <w:lang w:eastAsia="de-DE"/>
        </w:rPr>
        <w:t xml:space="preserve"> („hineingehen"). </w:t>
      </w:r>
      <w:r w:rsidRPr="007B72C7">
        <w:rPr>
          <w:rFonts w:eastAsia="Times New Roman"/>
          <w:b/>
          <w:bCs/>
          <w:rtl/>
          <w:lang w:eastAsia="de-DE"/>
        </w:rPr>
        <w:t>וּרְשׁוּ</w:t>
      </w:r>
      <w:r w:rsidRPr="007B72C7">
        <w:rPr>
          <w:rFonts w:eastAsia="Times New Roman"/>
          <w:rtl/>
          <w:lang w:eastAsia="de-DE"/>
        </w:rPr>
        <w:t xml:space="preserve"> </w:t>
      </w:r>
      <w:r w:rsidRPr="007B72C7">
        <w:rPr>
          <w:rFonts w:eastAsia="Times New Roman"/>
          <w:lang w:eastAsia="de-DE"/>
        </w:rPr>
        <w:t xml:space="preserve">ist Qal Imperativ maskulin Plural von </w:t>
      </w:r>
      <w:r w:rsidRPr="007B72C7">
        <w:rPr>
          <w:rFonts w:eastAsia="Times New Roman"/>
          <w:rtl/>
          <w:lang w:eastAsia="de-DE"/>
        </w:rPr>
        <w:t>ירשׁ</w:t>
      </w:r>
      <w:r w:rsidRPr="007B72C7">
        <w:rPr>
          <w:rFonts w:eastAsia="Times New Roman"/>
          <w:lang w:eastAsia="de-DE"/>
        </w:rPr>
        <w:t xml:space="preserve"> („in Besitz nehmen, erben") mit Waw copulativum. </w:t>
      </w:r>
      <w:r w:rsidRPr="007B72C7">
        <w:rPr>
          <w:rFonts w:eastAsia="Times New Roman"/>
          <w:b/>
          <w:bCs/>
          <w:rtl/>
          <w:lang w:eastAsia="de-DE"/>
        </w:rPr>
        <w:t>אֶת־הָאָרֶץ</w:t>
      </w:r>
      <w:r w:rsidRPr="007B72C7">
        <w:rPr>
          <w:rFonts w:eastAsia="Times New Roman"/>
          <w:rtl/>
          <w:lang w:eastAsia="de-DE"/>
        </w:rPr>
        <w:t xml:space="preserve"> </w:t>
      </w:r>
      <w:r w:rsidRPr="007B72C7">
        <w:rPr>
          <w:rFonts w:eastAsia="Times New Roman"/>
          <w:lang w:eastAsia="de-DE"/>
        </w:rPr>
        <w:t xml:space="preserve">wiederholt das Objekt. Der folgende Relativsatz wird durch </w:t>
      </w:r>
      <w:r w:rsidRPr="007B72C7">
        <w:rPr>
          <w:rFonts w:eastAsia="Times New Roman"/>
          <w:b/>
          <w:bCs/>
          <w:rtl/>
          <w:lang w:eastAsia="de-DE"/>
        </w:rPr>
        <w:t>אֲשֶׁר</w:t>
      </w:r>
      <w:r w:rsidRPr="007B72C7">
        <w:rPr>
          <w:rFonts w:eastAsia="Times New Roman"/>
          <w:rtl/>
          <w:lang w:eastAsia="de-DE"/>
        </w:rPr>
        <w:t xml:space="preserve"> </w:t>
      </w:r>
      <w:r w:rsidRPr="007B72C7">
        <w:rPr>
          <w:rFonts w:eastAsia="Times New Roman"/>
          <w:lang w:eastAsia="de-DE"/>
        </w:rPr>
        <w:t xml:space="preserve">eingeleitet. </w:t>
      </w:r>
      <w:r w:rsidRPr="007B72C7">
        <w:rPr>
          <w:rFonts w:eastAsia="Times New Roman"/>
          <w:b/>
          <w:bCs/>
          <w:rtl/>
          <w:lang w:eastAsia="de-DE"/>
        </w:rPr>
        <w:t>נִשְׁבַּע</w:t>
      </w:r>
      <w:r w:rsidRPr="007B72C7">
        <w:rPr>
          <w:rFonts w:eastAsia="Times New Roman"/>
          <w:rtl/>
          <w:lang w:eastAsia="de-DE"/>
        </w:rPr>
        <w:t xml:space="preserve"> </w:t>
      </w:r>
      <w:r w:rsidRPr="007B72C7">
        <w:rPr>
          <w:rFonts w:eastAsia="Times New Roman"/>
          <w:lang w:eastAsia="de-DE"/>
        </w:rPr>
        <w:t xml:space="preserve">ist Nif'al Perfekt, 3. Person maskulin Singular von </w:t>
      </w:r>
      <w:r w:rsidRPr="007B72C7">
        <w:rPr>
          <w:rFonts w:eastAsia="Times New Roman"/>
          <w:rtl/>
          <w:lang w:eastAsia="de-DE"/>
        </w:rPr>
        <w:t>שׁבע</w:t>
      </w:r>
      <w:r w:rsidRPr="007B72C7">
        <w:rPr>
          <w:rFonts w:eastAsia="Times New Roman"/>
          <w:lang w:eastAsia="de-DE"/>
        </w:rPr>
        <w:t xml:space="preserve"> („schwören"). Die Nif'al-Form ist reflexiv: „sich verpflichten durch Schwur". </w:t>
      </w:r>
      <w:r w:rsidRPr="007B72C7">
        <w:rPr>
          <w:rFonts w:eastAsia="Times New Roman"/>
          <w:b/>
          <w:bCs/>
          <w:rtl/>
          <w:lang w:eastAsia="de-DE"/>
        </w:rPr>
        <w:t>יְהוָה</w:t>
      </w:r>
      <w:r w:rsidRPr="007B72C7">
        <w:rPr>
          <w:rFonts w:eastAsia="Times New Roman"/>
          <w:rtl/>
          <w:lang w:eastAsia="de-DE"/>
        </w:rPr>
        <w:t xml:space="preserve"> </w:t>
      </w:r>
      <w:r w:rsidRPr="007B72C7">
        <w:rPr>
          <w:rFonts w:eastAsia="Times New Roman"/>
          <w:lang w:eastAsia="de-DE"/>
        </w:rPr>
        <w:t>ist das Subjekt des Relativsatzes.</w:t>
      </w:r>
    </w:p>
    <w:p w14:paraId="5F1DF84B" w14:textId="6F802082"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rtl/>
          <w:lang w:eastAsia="de-DE"/>
        </w:rPr>
        <w:t>לַאֲבֹתֵיכֶם</w:t>
      </w:r>
      <w:r w:rsidRPr="007B72C7">
        <w:rPr>
          <w:rFonts w:eastAsia="Times New Roman"/>
          <w:rtl/>
          <w:lang w:eastAsia="de-DE"/>
        </w:rPr>
        <w:t xml:space="preserve"> </w:t>
      </w:r>
      <w:r w:rsidRPr="007B72C7">
        <w:rPr>
          <w:rFonts w:eastAsia="Times New Roman"/>
          <w:lang w:eastAsia="de-DE"/>
        </w:rPr>
        <w:t xml:space="preserve">ist die Präposition </w:t>
      </w:r>
      <w:r w:rsidRPr="007B72C7">
        <w:rPr>
          <w:rFonts w:eastAsia="Times New Roman"/>
          <w:b/>
          <w:bCs/>
          <w:rtl/>
          <w:lang w:eastAsia="de-DE"/>
        </w:rPr>
        <w:t>לְ</w:t>
      </w:r>
      <w:r w:rsidRPr="007B72C7">
        <w:rPr>
          <w:rFonts w:eastAsia="Times New Roman"/>
          <w:rtl/>
          <w:lang w:eastAsia="de-DE"/>
        </w:rPr>
        <w:t xml:space="preserve"> </w:t>
      </w:r>
      <w:r w:rsidRPr="007B72C7">
        <w:rPr>
          <w:rFonts w:eastAsia="Times New Roman"/>
          <w:lang w:eastAsia="de-DE"/>
        </w:rPr>
        <w:t xml:space="preserve">(„zu, für") mit </w:t>
      </w:r>
      <w:r w:rsidRPr="007B72C7">
        <w:rPr>
          <w:rFonts w:eastAsia="Times New Roman"/>
          <w:b/>
          <w:bCs/>
          <w:rtl/>
          <w:lang w:eastAsia="de-DE"/>
        </w:rPr>
        <w:t>אֲבוֹת</w:t>
      </w:r>
      <w:r w:rsidRPr="007B72C7">
        <w:rPr>
          <w:rFonts w:eastAsia="Times New Roman"/>
          <w:rtl/>
          <w:lang w:eastAsia="de-DE"/>
        </w:rPr>
        <w:t xml:space="preserve"> </w:t>
      </w:r>
      <w:r w:rsidRPr="007B72C7">
        <w:rPr>
          <w:rFonts w:eastAsia="Times New Roman"/>
          <w:lang w:eastAsia="de-DE"/>
        </w:rPr>
        <w:t xml:space="preserve">(„Väter") im Plural </w:t>
      </w:r>
      <w:r w:rsidR="0032647F">
        <w:rPr>
          <w:rFonts w:eastAsia="Times New Roman"/>
          <w:lang w:eastAsia="de-DE"/>
        </w:rPr>
        <w:t>Construct</w:t>
      </w:r>
      <w:r w:rsidRPr="007B72C7">
        <w:rPr>
          <w:rFonts w:eastAsia="Times New Roman"/>
          <w:lang w:eastAsia="de-DE"/>
        </w:rPr>
        <w:t xml:space="preserve"> und Suffix 2. Person maskulin Plural. Es folgen drei Eigennamen in Apposition: </w:t>
      </w:r>
      <w:r w:rsidRPr="007B72C7">
        <w:rPr>
          <w:rFonts w:eastAsia="Times New Roman"/>
          <w:b/>
          <w:bCs/>
          <w:rtl/>
          <w:lang w:eastAsia="de-DE"/>
        </w:rPr>
        <w:t>לְאַבְרָהָם לְיִצְחָק וּלְיַעֲקֹב</w:t>
      </w:r>
      <w:r w:rsidRPr="007B72C7">
        <w:rPr>
          <w:rFonts w:eastAsia="Times New Roman"/>
          <w:lang w:eastAsia="de-DE"/>
        </w:rPr>
        <w:t xml:space="preserve">, jeweils mit </w:t>
      </w:r>
      <w:r w:rsidRPr="007B72C7">
        <w:rPr>
          <w:rFonts w:eastAsia="Times New Roman"/>
          <w:b/>
          <w:bCs/>
          <w:rtl/>
          <w:lang w:eastAsia="de-DE"/>
        </w:rPr>
        <w:t>לְ</w:t>
      </w:r>
      <w:r w:rsidRPr="007B72C7">
        <w:rPr>
          <w:rFonts w:eastAsia="Times New Roman"/>
          <w:rtl/>
          <w:lang w:eastAsia="de-DE"/>
        </w:rPr>
        <w:t xml:space="preserve"> </w:t>
      </w:r>
      <w:r w:rsidRPr="007B72C7">
        <w:rPr>
          <w:rFonts w:eastAsia="Times New Roman"/>
          <w:lang w:eastAsia="de-DE"/>
        </w:rPr>
        <w:t xml:space="preserve">(„Abraham, Isaak und Jakob"). Die wiederholte Präposition </w:t>
      </w:r>
      <w:r w:rsidRPr="007B72C7">
        <w:rPr>
          <w:rFonts w:eastAsia="Times New Roman"/>
          <w:b/>
          <w:bCs/>
          <w:rtl/>
          <w:lang w:eastAsia="de-DE"/>
        </w:rPr>
        <w:t>לְ</w:t>
      </w:r>
      <w:r w:rsidRPr="007B72C7">
        <w:rPr>
          <w:rFonts w:eastAsia="Times New Roman"/>
          <w:rtl/>
          <w:lang w:eastAsia="de-DE"/>
        </w:rPr>
        <w:t xml:space="preserve"> </w:t>
      </w:r>
      <w:r w:rsidRPr="007B72C7">
        <w:rPr>
          <w:rFonts w:eastAsia="Times New Roman"/>
          <w:lang w:eastAsia="de-DE"/>
        </w:rPr>
        <w:t xml:space="preserve">betont jeden einzelnen Patriarchen. </w:t>
      </w:r>
      <w:r w:rsidRPr="007B72C7">
        <w:rPr>
          <w:rFonts w:eastAsia="Times New Roman"/>
          <w:b/>
          <w:bCs/>
          <w:rtl/>
          <w:lang w:eastAsia="de-DE"/>
        </w:rPr>
        <w:t>לָתֵת</w:t>
      </w:r>
      <w:r w:rsidRPr="007B72C7">
        <w:rPr>
          <w:rFonts w:eastAsia="Times New Roman"/>
          <w:rtl/>
          <w:lang w:eastAsia="de-DE"/>
        </w:rPr>
        <w:t xml:space="preserve"> </w:t>
      </w:r>
      <w:r w:rsidRPr="007B72C7">
        <w:rPr>
          <w:rFonts w:eastAsia="Times New Roman"/>
          <w:lang w:eastAsia="de-DE"/>
        </w:rPr>
        <w:t xml:space="preserve">ist Qal Infinitiv </w:t>
      </w:r>
      <w:r w:rsidR="0032647F">
        <w:rPr>
          <w:rFonts w:eastAsia="Times New Roman"/>
          <w:lang w:eastAsia="de-DE"/>
        </w:rPr>
        <w:t>Construct</w:t>
      </w:r>
      <w:r w:rsidRPr="007B72C7">
        <w:rPr>
          <w:rFonts w:eastAsia="Times New Roman"/>
          <w:lang w:eastAsia="de-DE"/>
        </w:rPr>
        <w:t xml:space="preserve"> von </w:t>
      </w:r>
      <w:r w:rsidRPr="007B72C7">
        <w:rPr>
          <w:rFonts w:eastAsia="Times New Roman"/>
          <w:rtl/>
          <w:lang w:eastAsia="de-DE"/>
        </w:rPr>
        <w:t>נתן</w:t>
      </w:r>
      <w:r w:rsidRPr="007B72C7">
        <w:rPr>
          <w:rFonts w:eastAsia="Times New Roman"/>
          <w:lang w:eastAsia="de-DE"/>
        </w:rPr>
        <w:t xml:space="preserve"> mit </w:t>
      </w:r>
      <w:r w:rsidRPr="007B72C7">
        <w:rPr>
          <w:rFonts w:eastAsia="Times New Roman"/>
          <w:b/>
          <w:bCs/>
          <w:rtl/>
          <w:lang w:eastAsia="de-DE"/>
        </w:rPr>
        <w:t>לְ</w:t>
      </w:r>
      <w:r w:rsidRPr="007B72C7">
        <w:rPr>
          <w:rFonts w:eastAsia="Times New Roman"/>
          <w:lang w:eastAsia="de-DE"/>
        </w:rPr>
        <w:t xml:space="preserve">, der den Zweck oder Inhalt des Schwurs angibt („zu geben"). </w:t>
      </w:r>
      <w:r w:rsidRPr="007B72C7">
        <w:rPr>
          <w:rFonts w:eastAsia="Times New Roman"/>
          <w:b/>
          <w:bCs/>
          <w:rtl/>
          <w:lang w:eastAsia="de-DE"/>
        </w:rPr>
        <w:t>לָהֶם</w:t>
      </w:r>
      <w:r w:rsidRPr="007B72C7">
        <w:rPr>
          <w:rFonts w:eastAsia="Times New Roman"/>
          <w:rtl/>
          <w:lang w:eastAsia="de-DE"/>
        </w:rPr>
        <w:t xml:space="preserve"> </w:t>
      </w:r>
      <w:r w:rsidRPr="007B72C7">
        <w:rPr>
          <w:rFonts w:eastAsia="Times New Roman"/>
          <w:lang w:eastAsia="de-DE"/>
        </w:rPr>
        <w:t xml:space="preserve">ist </w:t>
      </w:r>
      <w:r w:rsidRPr="007B72C7">
        <w:rPr>
          <w:rFonts w:eastAsia="Times New Roman"/>
          <w:b/>
          <w:bCs/>
          <w:rtl/>
          <w:lang w:eastAsia="de-DE"/>
        </w:rPr>
        <w:t>לְ</w:t>
      </w:r>
      <w:r w:rsidRPr="007B72C7">
        <w:rPr>
          <w:rFonts w:eastAsia="Times New Roman"/>
          <w:rtl/>
          <w:lang w:eastAsia="de-DE"/>
        </w:rPr>
        <w:t xml:space="preserve"> </w:t>
      </w:r>
      <w:r w:rsidRPr="007B72C7">
        <w:rPr>
          <w:rFonts w:eastAsia="Times New Roman"/>
          <w:lang w:eastAsia="de-DE"/>
        </w:rPr>
        <w:t xml:space="preserve">mit Suffix 3. Person maskulin Plural („ihnen"). </w:t>
      </w:r>
      <w:r w:rsidRPr="007B72C7">
        <w:rPr>
          <w:rFonts w:eastAsia="Times New Roman"/>
          <w:b/>
          <w:bCs/>
          <w:rtl/>
          <w:lang w:eastAsia="de-DE"/>
        </w:rPr>
        <w:t>וּלְזַרְעָם</w:t>
      </w:r>
      <w:r w:rsidRPr="007B72C7">
        <w:rPr>
          <w:rFonts w:eastAsia="Times New Roman"/>
          <w:rtl/>
          <w:lang w:eastAsia="de-DE"/>
        </w:rPr>
        <w:t xml:space="preserve"> </w:t>
      </w:r>
      <w:r w:rsidRPr="007B72C7">
        <w:rPr>
          <w:rFonts w:eastAsia="Times New Roman"/>
          <w:lang w:eastAsia="de-DE"/>
        </w:rPr>
        <w:t xml:space="preserve">ist die Konjunktion </w:t>
      </w:r>
      <w:r w:rsidRPr="007B72C7">
        <w:rPr>
          <w:rFonts w:eastAsia="Times New Roman"/>
          <w:b/>
          <w:bCs/>
          <w:rtl/>
          <w:lang w:eastAsia="de-DE"/>
        </w:rPr>
        <w:t>וְ</w:t>
      </w:r>
      <w:r w:rsidRPr="007B72C7">
        <w:rPr>
          <w:rFonts w:eastAsia="Times New Roman"/>
          <w:lang w:eastAsia="de-DE"/>
        </w:rPr>
        <w:t xml:space="preserve">, Präposition </w:t>
      </w:r>
      <w:r w:rsidRPr="007B72C7">
        <w:rPr>
          <w:rFonts w:eastAsia="Times New Roman"/>
          <w:b/>
          <w:bCs/>
          <w:rtl/>
          <w:lang w:eastAsia="de-DE"/>
        </w:rPr>
        <w:t>לְ</w:t>
      </w:r>
      <w:r w:rsidRPr="007B72C7">
        <w:rPr>
          <w:rFonts w:eastAsia="Times New Roman"/>
          <w:lang w:eastAsia="de-DE"/>
        </w:rPr>
        <w:t xml:space="preserve">, und </w:t>
      </w:r>
      <w:r w:rsidRPr="007B72C7">
        <w:rPr>
          <w:rFonts w:eastAsia="Times New Roman"/>
          <w:b/>
          <w:bCs/>
          <w:rtl/>
          <w:lang w:eastAsia="de-DE"/>
        </w:rPr>
        <w:t>זֶרַע</w:t>
      </w:r>
      <w:r w:rsidRPr="007B72C7">
        <w:rPr>
          <w:rFonts w:eastAsia="Times New Roman"/>
          <w:rtl/>
          <w:lang w:eastAsia="de-DE"/>
        </w:rPr>
        <w:t xml:space="preserve"> </w:t>
      </w:r>
      <w:r w:rsidRPr="007B72C7">
        <w:rPr>
          <w:rFonts w:eastAsia="Times New Roman"/>
          <w:lang w:eastAsia="de-DE"/>
        </w:rPr>
        <w:t xml:space="preserve">(„Same, Nachkommenschaft") mit Suffix 3. Person maskulin Plural („und ihrem Samen"). </w:t>
      </w:r>
      <w:r w:rsidRPr="007B72C7">
        <w:rPr>
          <w:rFonts w:eastAsia="Times New Roman"/>
          <w:b/>
          <w:bCs/>
          <w:rtl/>
          <w:lang w:eastAsia="de-DE"/>
        </w:rPr>
        <w:t>אַחֲרֵיהֶם</w:t>
      </w:r>
      <w:r w:rsidRPr="007B72C7">
        <w:rPr>
          <w:rFonts w:eastAsia="Times New Roman"/>
          <w:rtl/>
          <w:lang w:eastAsia="de-DE"/>
        </w:rPr>
        <w:t xml:space="preserve"> </w:t>
      </w:r>
      <w:r w:rsidRPr="007B72C7">
        <w:rPr>
          <w:rFonts w:eastAsia="Times New Roman"/>
          <w:lang w:eastAsia="de-DE"/>
        </w:rPr>
        <w:t xml:space="preserve">ist die Präposition </w:t>
      </w:r>
      <w:r w:rsidRPr="007B72C7">
        <w:rPr>
          <w:rFonts w:eastAsia="Times New Roman"/>
          <w:b/>
          <w:bCs/>
          <w:rtl/>
          <w:lang w:eastAsia="de-DE"/>
        </w:rPr>
        <w:t>אַחֲרֵי</w:t>
      </w:r>
      <w:r w:rsidRPr="007B72C7">
        <w:rPr>
          <w:rFonts w:eastAsia="Times New Roman"/>
          <w:rtl/>
          <w:lang w:eastAsia="de-DE"/>
        </w:rPr>
        <w:t xml:space="preserve"> </w:t>
      </w:r>
      <w:r w:rsidRPr="007B72C7">
        <w:rPr>
          <w:rFonts w:eastAsia="Times New Roman"/>
          <w:lang w:eastAsia="de-DE"/>
        </w:rPr>
        <w:t>(„nach") mit Suffix 3. Person maskulin Plural („nach ihnen").</w:t>
      </w:r>
    </w:p>
    <w:p w14:paraId="1BCB3E13"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Die LXX</w:t>
      </w:r>
      <w:r w:rsidRPr="007B72C7">
        <w:rPr>
          <w:rFonts w:eastAsia="Times New Roman"/>
          <w:lang w:eastAsia="de-DE"/>
        </w:rPr>
        <w:t xml:space="preserve"> übersetzt „</w:t>
      </w:r>
      <w:proofErr w:type="spellStart"/>
      <w:r w:rsidRPr="007B72C7">
        <w:rPr>
          <w:rFonts w:eastAsia="Times New Roman"/>
          <w:lang w:eastAsia="de-DE"/>
        </w:rPr>
        <w:t>ἰδοὺ</w:t>
      </w:r>
      <w:proofErr w:type="spellEnd"/>
      <w:r w:rsidRPr="007B72C7">
        <w:rPr>
          <w:rFonts w:eastAsia="Times New Roman"/>
          <w:lang w:eastAsia="de-DE"/>
        </w:rPr>
        <w:t xml:space="preserve"> παρα</w:t>
      </w:r>
      <w:proofErr w:type="spellStart"/>
      <w:r w:rsidRPr="007B72C7">
        <w:rPr>
          <w:rFonts w:eastAsia="Times New Roman"/>
          <w:lang w:eastAsia="de-DE"/>
        </w:rPr>
        <w:t>δέδωκ</w:t>
      </w:r>
      <w:proofErr w:type="spellEnd"/>
      <w:r w:rsidRPr="007B72C7">
        <w:rPr>
          <w:rFonts w:eastAsia="Times New Roman"/>
          <w:lang w:eastAsia="de-DE"/>
        </w:rPr>
        <w:t xml:space="preserve">α </w:t>
      </w:r>
      <w:proofErr w:type="spellStart"/>
      <w:r w:rsidRPr="007B72C7">
        <w:rPr>
          <w:rFonts w:eastAsia="Times New Roman"/>
          <w:lang w:eastAsia="de-DE"/>
        </w:rPr>
        <w:t>ἐνώ</w:t>
      </w:r>
      <w:proofErr w:type="spellEnd"/>
      <w:r w:rsidRPr="007B72C7">
        <w:rPr>
          <w:rFonts w:eastAsia="Times New Roman"/>
          <w:lang w:eastAsia="de-DE"/>
        </w:rPr>
        <w:t xml:space="preserve">πιον </w:t>
      </w:r>
      <w:proofErr w:type="spellStart"/>
      <w:r w:rsidRPr="007B72C7">
        <w:rPr>
          <w:rFonts w:eastAsia="Times New Roman"/>
          <w:lang w:eastAsia="de-DE"/>
        </w:rPr>
        <w:t>ὑμῶν</w:t>
      </w:r>
      <w:proofErr w:type="spellEnd"/>
      <w:r w:rsidRPr="007B72C7">
        <w:rPr>
          <w:rFonts w:eastAsia="Times New Roman"/>
          <w:lang w:eastAsia="de-DE"/>
        </w:rPr>
        <w:t xml:space="preserve"> τὴν </w:t>
      </w:r>
      <w:proofErr w:type="spellStart"/>
      <w:r w:rsidRPr="007B72C7">
        <w:rPr>
          <w:rFonts w:eastAsia="Times New Roman"/>
          <w:lang w:eastAsia="de-DE"/>
        </w:rPr>
        <w:t>γῆν</w:t>
      </w:r>
      <w:proofErr w:type="spellEnd"/>
      <w:r w:rsidRPr="007B72C7">
        <w:rPr>
          <w:rFonts w:eastAsia="Times New Roman"/>
          <w:lang w:eastAsia="de-DE"/>
        </w:rPr>
        <w:t xml:space="preserve">, </w:t>
      </w:r>
      <w:proofErr w:type="spellStart"/>
      <w:r w:rsidRPr="007B72C7">
        <w:rPr>
          <w:rFonts w:eastAsia="Times New Roman"/>
          <w:lang w:eastAsia="de-DE"/>
        </w:rPr>
        <w:t>εἰσελθόντες</w:t>
      </w:r>
      <w:proofErr w:type="spellEnd"/>
      <w:r w:rsidRPr="007B72C7">
        <w:rPr>
          <w:rFonts w:eastAsia="Times New Roman"/>
          <w:lang w:eastAsia="de-DE"/>
        </w:rPr>
        <w:t xml:space="preserve"> </w:t>
      </w:r>
      <w:proofErr w:type="spellStart"/>
      <w:r w:rsidRPr="007B72C7">
        <w:rPr>
          <w:rFonts w:eastAsia="Times New Roman"/>
          <w:lang w:eastAsia="de-DE"/>
        </w:rPr>
        <w:t>κληρονομήσ</w:t>
      </w:r>
      <w:proofErr w:type="spellEnd"/>
      <w:r w:rsidRPr="007B72C7">
        <w:rPr>
          <w:rFonts w:eastAsia="Times New Roman"/>
          <w:lang w:eastAsia="de-DE"/>
        </w:rPr>
        <w:t xml:space="preserve">ατε τὴν </w:t>
      </w:r>
      <w:proofErr w:type="spellStart"/>
      <w:r w:rsidRPr="007B72C7">
        <w:rPr>
          <w:rFonts w:eastAsia="Times New Roman"/>
          <w:lang w:eastAsia="de-DE"/>
        </w:rPr>
        <w:t>γῆν</w:t>
      </w:r>
      <w:proofErr w:type="spellEnd"/>
      <w:r w:rsidRPr="007B72C7">
        <w:rPr>
          <w:rFonts w:eastAsia="Times New Roman"/>
          <w:lang w:eastAsia="de-DE"/>
        </w:rPr>
        <w:t>" („siehe, ich habe übergeben vor euch das Land, hineingehend nehmt in Besitz das Land"). Die LXX verwendet das Perfekt „παρα</w:t>
      </w:r>
      <w:proofErr w:type="spellStart"/>
      <w:r w:rsidRPr="007B72C7">
        <w:rPr>
          <w:rFonts w:eastAsia="Times New Roman"/>
          <w:lang w:eastAsia="de-DE"/>
        </w:rPr>
        <w:t>δέδωκ</w:t>
      </w:r>
      <w:proofErr w:type="spellEnd"/>
      <w:r w:rsidRPr="007B72C7">
        <w:rPr>
          <w:rFonts w:eastAsia="Times New Roman"/>
          <w:lang w:eastAsia="de-DE"/>
        </w:rPr>
        <w:t>α" und expliziert die Inbesitznahme mit „</w:t>
      </w:r>
      <w:proofErr w:type="spellStart"/>
      <w:r w:rsidRPr="007B72C7">
        <w:rPr>
          <w:rFonts w:eastAsia="Times New Roman"/>
          <w:lang w:eastAsia="de-DE"/>
        </w:rPr>
        <w:t>κληρονομέω</w:t>
      </w:r>
      <w:proofErr w:type="spellEnd"/>
      <w:r w:rsidRPr="007B72C7">
        <w:rPr>
          <w:rFonts w:eastAsia="Times New Roman"/>
          <w:lang w:eastAsia="de-DE"/>
        </w:rPr>
        <w:t xml:space="preserve">" („erben, in Besitz nehmen"). Die Namen der Patriarchen werden als „Αβρααμ, </w:t>
      </w:r>
      <w:proofErr w:type="spellStart"/>
      <w:r w:rsidRPr="007B72C7">
        <w:rPr>
          <w:rFonts w:eastAsia="Times New Roman"/>
          <w:lang w:eastAsia="de-DE"/>
        </w:rPr>
        <w:t>Ισ</w:t>
      </w:r>
      <w:proofErr w:type="spellEnd"/>
      <w:r w:rsidRPr="007B72C7">
        <w:rPr>
          <w:rFonts w:eastAsia="Times New Roman"/>
          <w:lang w:eastAsia="de-DE"/>
        </w:rPr>
        <w:t>αακ, Ια</w:t>
      </w:r>
      <w:proofErr w:type="spellStart"/>
      <w:r w:rsidRPr="007B72C7">
        <w:rPr>
          <w:rFonts w:eastAsia="Times New Roman"/>
          <w:lang w:eastAsia="de-DE"/>
        </w:rPr>
        <w:t>κω</w:t>
      </w:r>
      <w:proofErr w:type="spellEnd"/>
      <w:r w:rsidRPr="007B72C7">
        <w:rPr>
          <w:rFonts w:eastAsia="Times New Roman"/>
          <w:lang w:eastAsia="de-DE"/>
        </w:rPr>
        <w:t>β" wiedergegeben.</w:t>
      </w:r>
    </w:p>
    <w:p w14:paraId="5F1916CC"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lang w:eastAsia="de-DE"/>
        </w:rPr>
        <w:t xml:space="preserve">Die Satzstruktur besteht aus zwei Hauptsätzen: (1) Aufmerksamkeitspartikel mit </w:t>
      </w:r>
      <w:proofErr w:type="spellStart"/>
      <w:r w:rsidRPr="007B72C7">
        <w:rPr>
          <w:rFonts w:eastAsia="Times New Roman"/>
          <w:lang w:eastAsia="de-DE"/>
        </w:rPr>
        <w:t>Perfektaussage</w:t>
      </w:r>
      <w:proofErr w:type="spellEnd"/>
      <w:r w:rsidRPr="007B72C7">
        <w:rPr>
          <w:rFonts w:eastAsia="Times New Roman"/>
          <w:lang w:eastAsia="de-DE"/>
        </w:rPr>
        <w:t xml:space="preserve"> (</w:t>
      </w:r>
      <w:r w:rsidRPr="007B72C7">
        <w:rPr>
          <w:rFonts w:eastAsia="Times New Roman"/>
          <w:b/>
          <w:bCs/>
          <w:rtl/>
          <w:lang w:eastAsia="de-DE"/>
        </w:rPr>
        <w:t>רְאֵה נָתַתִּי</w:t>
      </w:r>
      <w:r w:rsidRPr="007B72C7">
        <w:rPr>
          <w:rFonts w:eastAsia="Times New Roman"/>
          <w:lang w:eastAsia="de-DE"/>
        </w:rPr>
        <w:t>), (2) zwei koordinierte Imperative (</w:t>
      </w:r>
      <w:r w:rsidRPr="007B72C7">
        <w:rPr>
          <w:rFonts w:eastAsia="Times New Roman"/>
          <w:b/>
          <w:bCs/>
          <w:rtl/>
          <w:lang w:eastAsia="de-DE"/>
        </w:rPr>
        <w:t>בֹּאוּ וּרְשׁוּ</w:t>
      </w:r>
      <w:r w:rsidRPr="007B72C7">
        <w:rPr>
          <w:rFonts w:eastAsia="Times New Roman"/>
          <w:lang w:eastAsia="de-DE"/>
        </w:rPr>
        <w:t>). An den zweiten Hauptsatz schließt sich ein erweiterter Relativsatz an, der selbst einen finalen Infinitiv (</w:t>
      </w:r>
      <w:r w:rsidRPr="007B72C7">
        <w:rPr>
          <w:rFonts w:eastAsia="Times New Roman"/>
          <w:b/>
          <w:bCs/>
          <w:rtl/>
          <w:lang w:eastAsia="de-DE"/>
        </w:rPr>
        <w:t>לָתֵת</w:t>
      </w:r>
      <w:r w:rsidRPr="007B72C7">
        <w:rPr>
          <w:rFonts w:eastAsia="Times New Roman"/>
          <w:lang w:eastAsia="de-DE"/>
        </w:rPr>
        <w:t>) mit zwei Objekten (</w:t>
      </w:r>
      <w:r w:rsidRPr="007B72C7">
        <w:rPr>
          <w:rFonts w:eastAsia="Times New Roman"/>
          <w:b/>
          <w:bCs/>
          <w:rtl/>
          <w:lang w:eastAsia="de-DE"/>
        </w:rPr>
        <w:t>לָהֶם וּלְזַרְעָם</w:t>
      </w:r>
      <w:r w:rsidRPr="007B72C7">
        <w:rPr>
          <w:rFonts w:eastAsia="Times New Roman"/>
          <w:lang w:eastAsia="de-DE"/>
        </w:rPr>
        <w:t>) enthält. Die Struktur kombiniert göttliche Vollmacht (Perfekt), menschliche Verantwortung (Imperativ) und historische Verheißung (Relativsatz).</w:t>
      </w:r>
    </w:p>
    <w:p w14:paraId="608C7D47"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lang w:eastAsia="de-DE"/>
        </w:rPr>
        <w:t>Der Vers verbindet die gegenwärtige Landgabe mit der Schwurverheißung an die Patriarchen und legitimiert so Israels Anspruch auf das Land durch göttliche Zusage, die sich über Generationen erstreckt.</w:t>
      </w:r>
    </w:p>
    <w:p w14:paraId="08AEFF96" w14:textId="77777777" w:rsidR="007B72C7" w:rsidRPr="007B72C7" w:rsidRDefault="007B72C7" w:rsidP="007B72C7">
      <w:pPr>
        <w:spacing w:before="100" w:beforeAutospacing="1" w:after="100" w:afterAutospacing="1" w:line="240" w:lineRule="auto"/>
        <w:outlineLvl w:val="1"/>
        <w:rPr>
          <w:rFonts w:eastAsia="Times New Roman"/>
          <w:b/>
          <w:bCs/>
          <w:sz w:val="36"/>
          <w:szCs w:val="36"/>
          <w:lang w:eastAsia="de-DE"/>
        </w:rPr>
      </w:pPr>
      <w:r w:rsidRPr="007B72C7">
        <w:rPr>
          <w:rFonts w:eastAsia="Times New Roman"/>
          <w:b/>
          <w:bCs/>
          <w:sz w:val="36"/>
          <w:szCs w:val="36"/>
          <w:lang w:eastAsia="de-DE"/>
        </w:rPr>
        <w:t>Deuteronomium 1,9</w:t>
      </w:r>
    </w:p>
    <w:p w14:paraId="3C8FDB75"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Hebräisch:</w:t>
      </w:r>
      <w:r w:rsidRPr="007B72C7">
        <w:rPr>
          <w:rFonts w:eastAsia="Times New Roman"/>
          <w:lang w:eastAsia="de-DE"/>
        </w:rPr>
        <w:t xml:space="preserve"> </w:t>
      </w:r>
      <w:r w:rsidRPr="007B72C7">
        <w:rPr>
          <w:rFonts w:eastAsia="Times New Roman"/>
          <w:rtl/>
          <w:lang w:eastAsia="de-DE"/>
        </w:rPr>
        <w:t>וָאֹמַ֣ר אֲלֵכֶ֔ם בָּעֵ֥ת הַהִ֖וא לֵאמֹ֑ר לֹא־אוּכַ֥ל לְבַדִּ֖י שְׂאֵ֥ת אֶתְכֶֽם׃</w:t>
      </w:r>
    </w:p>
    <w:p w14:paraId="75E2F9A8"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Deutsch:</w:t>
      </w:r>
      <w:r w:rsidRPr="007B72C7">
        <w:rPr>
          <w:rFonts w:eastAsia="Times New Roman"/>
          <w:lang w:eastAsia="de-DE"/>
        </w:rPr>
        <w:t xml:space="preserve"> Und ich sprach zu euch in jener Zeit, sagend: Ich vermag nicht allein euch zu tragen.</w:t>
      </w:r>
    </w:p>
    <w:p w14:paraId="1F90A04A" w14:textId="77777777" w:rsidR="007B72C7" w:rsidRPr="007B72C7" w:rsidRDefault="004F5CEB" w:rsidP="007B72C7">
      <w:pPr>
        <w:spacing w:after="0" w:line="240" w:lineRule="auto"/>
        <w:rPr>
          <w:rFonts w:eastAsia="Times New Roman"/>
          <w:lang w:eastAsia="de-DE"/>
        </w:rPr>
      </w:pPr>
      <w:r>
        <w:rPr>
          <w:rFonts w:eastAsia="Times New Roman"/>
          <w:noProof/>
          <w:lang w:eastAsia="de-DE"/>
        </w:rPr>
        <w:pict w14:anchorId="40D316B3">
          <v:rect id="_x0000_i1033" style="width:0;height:1.5pt" o:hralign="center" o:hrstd="t" o:hr="t" fillcolor="#a0a0a0" stroked="f"/>
        </w:pict>
      </w:r>
    </w:p>
    <w:p w14:paraId="0A61ECE9" w14:textId="496573BA"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Kommentar:</w:t>
      </w:r>
      <w:r w:rsidRPr="007B72C7">
        <w:rPr>
          <w:rFonts w:eastAsia="Times New Roman"/>
          <w:lang w:eastAsia="de-DE"/>
        </w:rPr>
        <w:t xml:space="preserve"> </w:t>
      </w:r>
      <w:r w:rsidRPr="007B72C7">
        <w:rPr>
          <w:rFonts w:eastAsia="Times New Roman"/>
          <w:b/>
          <w:bCs/>
          <w:rtl/>
          <w:lang w:eastAsia="de-DE"/>
        </w:rPr>
        <w:t>וָאֹמַר</w:t>
      </w:r>
      <w:r w:rsidRPr="007B72C7">
        <w:rPr>
          <w:rFonts w:eastAsia="Times New Roman"/>
          <w:rtl/>
          <w:lang w:eastAsia="de-DE"/>
        </w:rPr>
        <w:t xml:space="preserve"> </w:t>
      </w:r>
      <w:r w:rsidRPr="007B72C7">
        <w:rPr>
          <w:rFonts w:eastAsia="Times New Roman"/>
          <w:lang w:eastAsia="de-DE"/>
        </w:rPr>
        <w:t xml:space="preserve">ist Qal Imperfekt consecutivum, 1. Person Singular von </w:t>
      </w:r>
      <w:r w:rsidRPr="007B72C7">
        <w:rPr>
          <w:rFonts w:eastAsia="Times New Roman"/>
          <w:rtl/>
          <w:lang w:eastAsia="de-DE"/>
        </w:rPr>
        <w:t>אמר</w:t>
      </w:r>
      <w:r w:rsidRPr="007B72C7">
        <w:rPr>
          <w:rFonts w:eastAsia="Times New Roman"/>
          <w:lang w:eastAsia="de-DE"/>
        </w:rPr>
        <w:t xml:space="preserve"> („sagen"). Die Waw-consecutivum-Form zeigt die narrative Fortsetzung an und schließt an die Erzählung der Vergangenheit an. </w:t>
      </w:r>
      <w:r w:rsidRPr="007B72C7">
        <w:rPr>
          <w:rFonts w:eastAsia="Times New Roman"/>
          <w:b/>
          <w:bCs/>
          <w:rtl/>
          <w:lang w:eastAsia="de-DE"/>
        </w:rPr>
        <w:t>אֲלֵכֶם</w:t>
      </w:r>
      <w:r w:rsidRPr="007B72C7">
        <w:rPr>
          <w:rFonts w:eastAsia="Times New Roman"/>
          <w:rtl/>
          <w:lang w:eastAsia="de-DE"/>
        </w:rPr>
        <w:t xml:space="preserve"> </w:t>
      </w:r>
      <w:r w:rsidRPr="007B72C7">
        <w:rPr>
          <w:rFonts w:eastAsia="Times New Roman"/>
          <w:lang w:eastAsia="de-DE"/>
        </w:rPr>
        <w:t xml:space="preserve">ist die Präposition </w:t>
      </w:r>
      <w:r w:rsidRPr="007B72C7">
        <w:rPr>
          <w:rFonts w:eastAsia="Times New Roman"/>
          <w:b/>
          <w:bCs/>
          <w:rtl/>
          <w:lang w:eastAsia="de-DE"/>
        </w:rPr>
        <w:t>אֶל</w:t>
      </w:r>
      <w:r w:rsidRPr="007B72C7">
        <w:rPr>
          <w:rFonts w:eastAsia="Times New Roman"/>
          <w:rtl/>
          <w:lang w:eastAsia="de-DE"/>
        </w:rPr>
        <w:t xml:space="preserve"> </w:t>
      </w:r>
      <w:r w:rsidRPr="007B72C7">
        <w:rPr>
          <w:rFonts w:eastAsia="Times New Roman"/>
          <w:lang w:eastAsia="de-DE"/>
        </w:rPr>
        <w:t xml:space="preserve">mit Suffix 2. Person maskulin Plural („zu euch"). </w:t>
      </w:r>
      <w:r w:rsidRPr="007B72C7">
        <w:rPr>
          <w:rFonts w:eastAsia="Times New Roman"/>
          <w:b/>
          <w:bCs/>
          <w:rtl/>
          <w:lang w:eastAsia="de-DE"/>
        </w:rPr>
        <w:t>בָּעֵת הַהִוא</w:t>
      </w:r>
      <w:r w:rsidRPr="007B72C7">
        <w:rPr>
          <w:rFonts w:eastAsia="Times New Roman"/>
          <w:rtl/>
          <w:lang w:eastAsia="de-DE"/>
        </w:rPr>
        <w:t xml:space="preserve"> </w:t>
      </w:r>
      <w:r w:rsidRPr="007B72C7">
        <w:rPr>
          <w:rFonts w:eastAsia="Times New Roman"/>
          <w:lang w:eastAsia="de-DE"/>
        </w:rPr>
        <w:t xml:space="preserve">ist eine temporale Phrase: </w:t>
      </w:r>
      <w:r w:rsidRPr="007B72C7">
        <w:rPr>
          <w:rFonts w:eastAsia="Times New Roman"/>
          <w:b/>
          <w:bCs/>
          <w:rtl/>
          <w:lang w:eastAsia="de-DE"/>
        </w:rPr>
        <w:t>בְּ</w:t>
      </w:r>
      <w:r w:rsidRPr="007B72C7">
        <w:rPr>
          <w:rFonts w:eastAsia="Times New Roman"/>
          <w:rtl/>
          <w:lang w:eastAsia="de-DE"/>
        </w:rPr>
        <w:t xml:space="preserve"> </w:t>
      </w:r>
      <w:r w:rsidRPr="007B72C7">
        <w:rPr>
          <w:rFonts w:eastAsia="Times New Roman"/>
          <w:lang w:eastAsia="de-DE"/>
        </w:rPr>
        <w:t xml:space="preserve">mit </w:t>
      </w:r>
      <w:r w:rsidRPr="007B72C7">
        <w:rPr>
          <w:rFonts w:eastAsia="Times New Roman"/>
          <w:b/>
          <w:bCs/>
          <w:rtl/>
          <w:lang w:eastAsia="de-DE"/>
        </w:rPr>
        <w:t>עֵת</w:t>
      </w:r>
      <w:r w:rsidRPr="007B72C7">
        <w:rPr>
          <w:rFonts w:eastAsia="Times New Roman"/>
          <w:rtl/>
          <w:lang w:eastAsia="de-DE"/>
        </w:rPr>
        <w:t xml:space="preserve"> </w:t>
      </w:r>
      <w:r w:rsidRPr="007B72C7">
        <w:rPr>
          <w:rFonts w:eastAsia="Times New Roman"/>
          <w:lang w:eastAsia="de-DE"/>
        </w:rPr>
        <w:t xml:space="preserve">(„Zeit") im </w:t>
      </w:r>
      <w:r w:rsidR="0032647F">
        <w:rPr>
          <w:rFonts w:eastAsia="Times New Roman"/>
          <w:lang w:eastAsia="de-DE"/>
        </w:rPr>
        <w:t>Construct</w:t>
      </w:r>
      <w:r w:rsidRPr="007B72C7">
        <w:rPr>
          <w:rFonts w:eastAsia="Times New Roman"/>
          <w:lang w:eastAsia="de-DE"/>
        </w:rPr>
        <w:t xml:space="preserve"> und </w:t>
      </w:r>
      <w:r w:rsidRPr="007B72C7">
        <w:rPr>
          <w:rFonts w:eastAsia="Times New Roman"/>
          <w:b/>
          <w:bCs/>
          <w:rtl/>
          <w:lang w:eastAsia="de-DE"/>
        </w:rPr>
        <w:t>הַהִוא</w:t>
      </w:r>
      <w:r w:rsidRPr="007B72C7">
        <w:rPr>
          <w:rFonts w:eastAsia="Times New Roman"/>
          <w:rtl/>
          <w:lang w:eastAsia="de-DE"/>
        </w:rPr>
        <w:t xml:space="preserve"> </w:t>
      </w:r>
      <w:r w:rsidRPr="007B72C7">
        <w:rPr>
          <w:rFonts w:eastAsia="Times New Roman"/>
          <w:lang w:eastAsia="de-DE"/>
        </w:rPr>
        <w:t xml:space="preserve">(„jene"), Demonstrativpronomen feminin Singular mit Artikel. </w:t>
      </w:r>
      <w:r w:rsidRPr="007B72C7">
        <w:rPr>
          <w:rFonts w:eastAsia="Times New Roman"/>
          <w:b/>
          <w:bCs/>
          <w:rtl/>
          <w:lang w:eastAsia="de-DE"/>
        </w:rPr>
        <w:t>לֵאמֹר</w:t>
      </w:r>
      <w:r w:rsidRPr="007B72C7">
        <w:rPr>
          <w:rFonts w:eastAsia="Times New Roman"/>
          <w:rtl/>
          <w:lang w:eastAsia="de-DE"/>
        </w:rPr>
        <w:t xml:space="preserve"> </w:t>
      </w:r>
      <w:r w:rsidRPr="007B72C7">
        <w:rPr>
          <w:rFonts w:eastAsia="Times New Roman"/>
          <w:lang w:eastAsia="de-DE"/>
        </w:rPr>
        <w:t>leitet die direkte Rede ein.</w:t>
      </w:r>
    </w:p>
    <w:p w14:paraId="69CA58B2" w14:textId="59985A8C"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rtl/>
          <w:lang w:eastAsia="de-DE"/>
        </w:rPr>
        <w:lastRenderedPageBreak/>
        <w:t>לֹא־אוּכַל</w:t>
      </w:r>
      <w:r w:rsidRPr="007B72C7">
        <w:rPr>
          <w:rFonts w:eastAsia="Times New Roman"/>
          <w:rtl/>
          <w:lang w:eastAsia="de-DE"/>
        </w:rPr>
        <w:t xml:space="preserve"> </w:t>
      </w:r>
      <w:r w:rsidRPr="007B72C7">
        <w:rPr>
          <w:rFonts w:eastAsia="Times New Roman"/>
          <w:lang w:eastAsia="de-DE"/>
        </w:rPr>
        <w:t xml:space="preserve">besteht aus der Negation </w:t>
      </w:r>
      <w:r w:rsidRPr="007B72C7">
        <w:rPr>
          <w:rFonts w:eastAsia="Times New Roman"/>
          <w:b/>
          <w:bCs/>
          <w:rtl/>
          <w:lang w:eastAsia="de-DE"/>
        </w:rPr>
        <w:t>לֹא</w:t>
      </w:r>
      <w:r w:rsidRPr="007B72C7">
        <w:rPr>
          <w:rFonts w:eastAsia="Times New Roman"/>
          <w:rtl/>
          <w:lang w:eastAsia="de-DE"/>
        </w:rPr>
        <w:t xml:space="preserve"> </w:t>
      </w:r>
      <w:r w:rsidRPr="007B72C7">
        <w:rPr>
          <w:rFonts w:eastAsia="Times New Roman"/>
          <w:lang w:eastAsia="de-DE"/>
        </w:rPr>
        <w:t xml:space="preserve">und </w:t>
      </w:r>
      <w:r w:rsidRPr="007B72C7">
        <w:rPr>
          <w:rFonts w:eastAsia="Times New Roman"/>
          <w:b/>
          <w:bCs/>
          <w:rtl/>
          <w:lang w:eastAsia="de-DE"/>
        </w:rPr>
        <w:t>אוּכַל</w:t>
      </w:r>
      <w:r w:rsidRPr="007B72C7">
        <w:rPr>
          <w:rFonts w:eastAsia="Times New Roman"/>
          <w:lang w:eastAsia="de-DE"/>
        </w:rPr>
        <w:t xml:space="preserve">, Qal Imperfekt, 1. Person Singular von </w:t>
      </w:r>
      <w:r w:rsidRPr="007B72C7">
        <w:rPr>
          <w:rFonts w:eastAsia="Times New Roman"/>
          <w:rtl/>
          <w:lang w:eastAsia="de-DE"/>
        </w:rPr>
        <w:t>יכל</w:t>
      </w:r>
      <w:r w:rsidRPr="007B72C7">
        <w:rPr>
          <w:rFonts w:eastAsia="Times New Roman"/>
          <w:lang w:eastAsia="de-DE"/>
        </w:rPr>
        <w:t xml:space="preserve"> („können, vermögen"). </w:t>
      </w:r>
      <w:r w:rsidRPr="007B72C7">
        <w:rPr>
          <w:rFonts w:eastAsia="Times New Roman"/>
          <w:b/>
          <w:bCs/>
          <w:rtl/>
          <w:lang w:eastAsia="de-DE"/>
        </w:rPr>
        <w:t>לְבַדִּי</w:t>
      </w:r>
      <w:r w:rsidRPr="007B72C7">
        <w:rPr>
          <w:rFonts w:eastAsia="Times New Roman"/>
          <w:rtl/>
          <w:lang w:eastAsia="de-DE"/>
        </w:rPr>
        <w:t xml:space="preserve"> </w:t>
      </w:r>
      <w:r w:rsidRPr="007B72C7">
        <w:rPr>
          <w:rFonts w:eastAsia="Times New Roman"/>
          <w:lang w:eastAsia="de-DE"/>
        </w:rPr>
        <w:t xml:space="preserve">ist </w:t>
      </w:r>
      <w:r w:rsidRPr="007B72C7">
        <w:rPr>
          <w:rFonts w:eastAsia="Times New Roman"/>
          <w:b/>
          <w:bCs/>
          <w:rtl/>
          <w:lang w:eastAsia="de-DE"/>
        </w:rPr>
        <w:t>לְ</w:t>
      </w:r>
      <w:r w:rsidRPr="007B72C7">
        <w:rPr>
          <w:rFonts w:eastAsia="Times New Roman"/>
          <w:rtl/>
          <w:lang w:eastAsia="de-DE"/>
        </w:rPr>
        <w:t xml:space="preserve"> </w:t>
      </w:r>
      <w:r w:rsidRPr="007B72C7">
        <w:rPr>
          <w:rFonts w:eastAsia="Times New Roman"/>
          <w:lang w:eastAsia="de-DE"/>
        </w:rPr>
        <w:t xml:space="preserve">mit </w:t>
      </w:r>
      <w:r w:rsidRPr="007B72C7">
        <w:rPr>
          <w:rFonts w:eastAsia="Times New Roman"/>
          <w:b/>
          <w:bCs/>
          <w:rtl/>
          <w:lang w:eastAsia="de-DE"/>
        </w:rPr>
        <w:t>בַּד</w:t>
      </w:r>
      <w:r w:rsidRPr="007B72C7">
        <w:rPr>
          <w:rFonts w:eastAsia="Times New Roman"/>
          <w:rtl/>
          <w:lang w:eastAsia="de-DE"/>
        </w:rPr>
        <w:t xml:space="preserve"> </w:t>
      </w:r>
      <w:r w:rsidRPr="007B72C7">
        <w:rPr>
          <w:rFonts w:eastAsia="Times New Roman"/>
          <w:lang w:eastAsia="de-DE"/>
        </w:rPr>
        <w:t xml:space="preserve">(„allein") und Suffix 1. Person Singular („für mich allein, allein"). </w:t>
      </w:r>
      <w:r w:rsidRPr="007B72C7">
        <w:rPr>
          <w:rFonts w:eastAsia="Times New Roman"/>
          <w:b/>
          <w:bCs/>
          <w:rtl/>
          <w:lang w:eastAsia="de-DE"/>
        </w:rPr>
        <w:t>שְׂאֵת</w:t>
      </w:r>
      <w:r w:rsidRPr="007B72C7">
        <w:rPr>
          <w:rFonts w:eastAsia="Times New Roman"/>
          <w:rtl/>
          <w:lang w:eastAsia="de-DE"/>
        </w:rPr>
        <w:t xml:space="preserve"> </w:t>
      </w:r>
      <w:r w:rsidRPr="007B72C7">
        <w:rPr>
          <w:rFonts w:eastAsia="Times New Roman"/>
          <w:lang w:eastAsia="de-DE"/>
        </w:rPr>
        <w:t xml:space="preserve">ist Qal Infinitiv </w:t>
      </w:r>
      <w:r w:rsidR="0032647F">
        <w:rPr>
          <w:rFonts w:eastAsia="Times New Roman"/>
          <w:lang w:eastAsia="de-DE"/>
        </w:rPr>
        <w:t>Construct</w:t>
      </w:r>
      <w:r w:rsidRPr="007B72C7">
        <w:rPr>
          <w:rFonts w:eastAsia="Times New Roman"/>
          <w:lang w:eastAsia="de-DE"/>
        </w:rPr>
        <w:t xml:space="preserve"> von </w:t>
      </w:r>
      <w:r w:rsidRPr="007B72C7">
        <w:rPr>
          <w:rFonts w:eastAsia="Times New Roman"/>
          <w:rtl/>
          <w:lang w:eastAsia="de-DE"/>
        </w:rPr>
        <w:t>נשׂא</w:t>
      </w:r>
      <w:r w:rsidRPr="007B72C7">
        <w:rPr>
          <w:rFonts w:eastAsia="Times New Roman"/>
          <w:lang w:eastAsia="de-DE"/>
        </w:rPr>
        <w:t xml:space="preserve"> („tragen, erheben"). </w:t>
      </w:r>
      <w:r w:rsidRPr="007B72C7">
        <w:rPr>
          <w:rFonts w:eastAsia="Times New Roman"/>
          <w:b/>
          <w:bCs/>
          <w:rtl/>
          <w:lang w:eastAsia="de-DE"/>
        </w:rPr>
        <w:t>אֶתְכֶם</w:t>
      </w:r>
      <w:r w:rsidRPr="007B72C7">
        <w:rPr>
          <w:rFonts w:eastAsia="Times New Roman"/>
          <w:rtl/>
          <w:lang w:eastAsia="de-DE"/>
        </w:rPr>
        <w:t xml:space="preserve"> </w:t>
      </w:r>
      <w:r w:rsidRPr="007B72C7">
        <w:rPr>
          <w:rFonts w:eastAsia="Times New Roman"/>
          <w:lang w:eastAsia="de-DE"/>
        </w:rPr>
        <w:t xml:space="preserve">ist die Objektpartikel </w:t>
      </w:r>
      <w:r w:rsidRPr="007B72C7">
        <w:rPr>
          <w:rFonts w:eastAsia="Times New Roman"/>
          <w:b/>
          <w:bCs/>
          <w:rtl/>
          <w:lang w:eastAsia="de-DE"/>
        </w:rPr>
        <w:t>אֵת</w:t>
      </w:r>
      <w:r w:rsidRPr="007B72C7">
        <w:rPr>
          <w:rFonts w:eastAsia="Times New Roman"/>
          <w:rtl/>
          <w:lang w:eastAsia="de-DE"/>
        </w:rPr>
        <w:t xml:space="preserve"> </w:t>
      </w:r>
      <w:r w:rsidRPr="007B72C7">
        <w:rPr>
          <w:rFonts w:eastAsia="Times New Roman"/>
          <w:lang w:eastAsia="de-DE"/>
        </w:rPr>
        <w:t>mit Suffix 2. Person maskulin Plural („euch").</w:t>
      </w:r>
    </w:p>
    <w:p w14:paraId="12B98B65"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Die LXX</w:t>
      </w:r>
      <w:r w:rsidRPr="007B72C7">
        <w:rPr>
          <w:rFonts w:eastAsia="Times New Roman"/>
          <w:lang w:eastAsia="de-DE"/>
        </w:rPr>
        <w:t xml:space="preserve"> übersetzt „καὶ </w:t>
      </w:r>
      <w:proofErr w:type="spellStart"/>
      <w:r w:rsidRPr="007B72C7">
        <w:rPr>
          <w:rFonts w:eastAsia="Times New Roman"/>
          <w:lang w:eastAsia="de-DE"/>
        </w:rPr>
        <w:t>εἶ</w:t>
      </w:r>
      <w:proofErr w:type="spellEnd"/>
      <w:r w:rsidRPr="007B72C7">
        <w:rPr>
          <w:rFonts w:eastAsia="Times New Roman"/>
          <w:lang w:eastAsia="de-DE"/>
        </w:rPr>
        <w:t>πα π</w:t>
      </w:r>
      <w:proofErr w:type="spellStart"/>
      <w:r w:rsidRPr="007B72C7">
        <w:rPr>
          <w:rFonts w:eastAsia="Times New Roman"/>
          <w:lang w:eastAsia="de-DE"/>
        </w:rPr>
        <w:t>ρὸς</w:t>
      </w:r>
      <w:proofErr w:type="spellEnd"/>
      <w:r w:rsidRPr="007B72C7">
        <w:rPr>
          <w:rFonts w:eastAsia="Times New Roman"/>
          <w:lang w:eastAsia="de-DE"/>
        </w:rPr>
        <w:t xml:space="preserve"> </w:t>
      </w:r>
      <w:proofErr w:type="spellStart"/>
      <w:r w:rsidRPr="007B72C7">
        <w:rPr>
          <w:rFonts w:eastAsia="Times New Roman"/>
          <w:lang w:eastAsia="de-DE"/>
        </w:rPr>
        <w:t>ὑμᾶς</w:t>
      </w:r>
      <w:proofErr w:type="spellEnd"/>
      <w:r w:rsidRPr="007B72C7">
        <w:rPr>
          <w:rFonts w:eastAsia="Times New Roman"/>
          <w:lang w:eastAsia="de-DE"/>
        </w:rPr>
        <w:t xml:space="preserve"> </w:t>
      </w:r>
      <w:proofErr w:type="spellStart"/>
      <w:r w:rsidRPr="007B72C7">
        <w:rPr>
          <w:rFonts w:eastAsia="Times New Roman"/>
          <w:lang w:eastAsia="de-DE"/>
        </w:rPr>
        <w:t>ἐν</w:t>
      </w:r>
      <w:proofErr w:type="spellEnd"/>
      <w:r w:rsidRPr="007B72C7">
        <w:rPr>
          <w:rFonts w:eastAsia="Times New Roman"/>
          <w:lang w:eastAsia="de-DE"/>
        </w:rPr>
        <w:t xml:space="preserve"> </w:t>
      </w:r>
      <w:proofErr w:type="spellStart"/>
      <w:r w:rsidRPr="007B72C7">
        <w:rPr>
          <w:rFonts w:eastAsia="Times New Roman"/>
          <w:lang w:eastAsia="de-DE"/>
        </w:rPr>
        <w:t>τῷ</w:t>
      </w:r>
      <w:proofErr w:type="spellEnd"/>
      <w:r w:rsidRPr="007B72C7">
        <w:rPr>
          <w:rFonts w:eastAsia="Times New Roman"/>
          <w:lang w:eastAsia="de-DE"/>
        </w:rPr>
        <w:t xml:space="preserve"> κα</w:t>
      </w:r>
      <w:proofErr w:type="spellStart"/>
      <w:r w:rsidRPr="007B72C7">
        <w:rPr>
          <w:rFonts w:eastAsia="Times New Roman"/>
          <w:lang w:eastAsia="de-DE"/>
        </w:rPr>
        <w:t>ιρῷ</w:t>
      </w:r>
      <w:proofErr w:type="spellEnd"/>
      <w:r w:rsidRPr="007B72C7">
        <w:rPr>
          <w:rFonts w:eastAsia="Times New Roman"/>
          <w:lang w:eastAsia="de-DE"/>
        </w:rPr>
        <w:t xml:space="preserve"> </w:t>
      </w:r>
      <w:proofErr w:type="spellStart"/>
      <w:r w:rsidRPr="007B72C7">
        <w:rPr>
          <w:rFonts w:eastAsia="Times New Roman"/>
          <w:lang w:eastAsia="de-DE"/>
        </w:rPr>
        <w:t>ἐκείνῳ</w:t>
      </w:r>
      <w:proofErr w:type="spellEnd"/>
      <w:r w:rsidRPr="007B72C7">
        <w:rPr>
          <w:rFonts w:eastAsia="Times New Roman"/>
          <w:lang w:eastAsia="de-DE"/>
        </w:rPr>
        <w:t xml:space="preserve"> </w:t>
      </w:r>
      <w:proofErr w:type="spellStart"/>
      <w:r w:rsidRPr="007B72C7">
        <w:rPr>
          <w:rFonts w:eastAsia="Times New Roman"/>
          <w:lang w:eastAsia="de-DE"/>
        </w:rPr>
        <w:t>λέγων</w:t>
      </w:r>
      <w:proofErr w:type="spellEnd"/>
      <w:r w:rsidRPr="007B72C7">
        <w:rPr>
          <w:rFonts w:eastAsia="Times New Roman"/>
          <w:lang w:eastAsia="de-DE"/>
        </w:rPr>
        <w:t xml:space="preserve"> </w:t>
      </w:r>
      <w:proofErr w:type="spellStart"/>
      <w:r w:rsidRPr="007B72C7">
        <w:rPr>
          <w:rFonts w:eastAsia="Times New Roman"/>
          <w:lang w:eastAsia="de-DE"/>
        </w:rPr>
        <w:t>Οὐ</w:t>
      </w:r>
      <w:proofErr w:type="spellEnd"/>
      <w:r w:rsidRPr="007B72C7">
        <w:rPr>
          <w:rFonts w:eastAsia="Times New Roman"/>
          <w:lang w:eastAsia="de-DE"/>
        </w:rPr>
        <w:t xml:space="preserve"> </w:t>
      </w:r>
      <w:proofErr w:type="spellStart"/>
      <w:r w:rsidRPr="007B72C7">
        <w:rPr>
          <w:rFonts w:eastAsia="Times New Roman"/>
          <w:lang w:eastAsia="de-DE"/>
        </w:rPr>
        <w:t>δυνήσομ</w:t>
      </w:r>
      <w:proofErr w:type="spellEnd"/>
      <w:r w:rsidRPr="007B72C7">
        <w:rPr>
          <w:rFonts w:eastAsia="Times New Roman"/>
          <w:lang w:eastAsia="de-DE"/>
        </w:rPr>
        <w:t xml:space="preserve">αι </w:t>
      </w:r>
      <w:proofErr w:type="spellStart"/>
      <w:r w:rsidRPr="007B72C7">
        <w:rPr>
          <w:rFonts w:eastAsia="Times New Roman"/>
          <w:lang w:eastAsia="de-DE"/>
        </w:rPr>
        <w:t>μόνος</w:t>
      </w:r>
      <w:proofErr w:type="spellEnd"/>
      <w:r w:rsidRPr="007B72C7">
        <w:rPr>
          <w:rFonts w:eastAsia="Times New Roman"/>
          <w:lang w:eastAsia="de-DE"/>
        </w:rPr>
        <w:t xml:space="preserve"> </w:t>
      </w:r>
      <w:proofErr w:type="spellStart"/>
      <w:r w:rsidRPr="007B72C7">
        <w:rPr>
          <w:rFonts w:eastAsia="Times New Roman"/>
          <w:lang w:eastAsia="de-DE"/>
        </w:rPr>
        <w:t>φέρειν</w:t>
      </w:r>
      <w:proofErr w:type="spellEnd"/>
      <w:r w:rsidRPr="007B72C7">
        <w:rPr>
          <w:rFonts w:eastAsia="Times New Roman"/>
          <w:lang w:eastAsia="de-DE"/>
        </w:rPr>
        <w:t xml:space="preserve"> </w:t>
      </w:r>
      <w:proofErr w:type="spellStart"/>
      <w:r w:rsidRPr="007B72C7">
        <w:rPr>
          <w:rFonts w:eastAsia="Times New Roman"/>
          <w:lang w:eastAsia="de-DE"/>
        </w:rPr>
        <w:t>ὑμᾶς</w:t>
      </w:r>
      <w:proofErr w:type="spellEnd"/>
      <w:r w:rsidRPr="007B72C7">
        <w:rPr>
          <w:rFonts w:eastAsia="Times New Roman"/>
          <w:lang w:eastAsia="de-DE"/>
        </w:rPr>
        <w:t xml:space="preserve">" („und ich sagte zu euch in jener Zeit, sagend: Ich werde nicht können allein zu tragen euch"). Die LXX verwendet Futur statt Präsens für </w:t>
      </w:r>
      <w:r w:rsidRPr="007B72C7">
        <w:rPr>
          <w:rFonts w:eastAsia="Times New Roman"/>
          <w:b/>
          <w:bCs/>
          <w:rtl/>
          <w:lang w:eastAsia="de-DE"/>
        </w:rPr>
        <w:t>אוּכַל</w:t>
      </w:r>
      <w:r w:rsidRPr="007B72C7">
        <w:rPr>
          <w:rFonts w:eastAsia="Times New Roman"/>
          <w:lang w:eastAsia="de-DE"/>
        </w:rPr>
        <w:t>, was die Unmöglichkeit prospektiv ausdrückt.</w:t>
      </w:r>
    </w:p>
    <w:p w14:paraId="7325564A"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lang w:eastAsia="de-DE"/>
        </w:rPr>
        <w:t>Die Satzstruktur besteht aus einem Hauptsatz mit Waw consecutivum (</w:t>
      </w:r>
      <w:r w:rsidRPr="007B72C7">
        <w:rPr>
          <w:rFonts w:eastAsia="Times New Roman"/>
          <w:b/>
          <w:bCs/>
          <w:rtl/>
          <w:lang w:eastAsia="de-DE"/>
        </w:rPr>
        <w:t>וָאֹמַר</w:t>
      </w:r>
      <w:r w:rsidRPr="007B72C7">
        <w:rPr>
          <w:rFonts w:eastAsia="Times New Roman"/>
          <w:lang w:eastAsia="de-DE"/>
        </w:rPr>
        <w:t>) mit temporaler Bestimmung (</w:t>
      </w:r>
      <w:r w:rsidRPr="007B72C7">
        <w:rPr>
          <w:rFonts w:eastAsia="Times New Roman"/>
          <w:b/>
          <w:bCs/>
          <w:rtl/>
          <w:lang w:eastAsia="de-DE"/>
        </w:rPr>
        <w:t>בָּעֵת הַהִוא</w:t>
      </w:r>
      <w:r w:rsidRPr="007B72C7">
        <w:rPr>
          <w:rFonts w:eastAsia="Times New Roman"/>
          <w:lang w:eastAsia="de-DE"/>
        </w:rPr>
        <w:t>) und Einleitungsformel (</w:t>
      </w:r>
      <w:r w:rsidRPr="007B72C7">
        <w:rPr>
          <w:rFonts w:eastAsia="Times New Roman"/>
          <w:b/>
          <w:bCs/>
          <w:rtl/>
          <w:lang w:eastAsia="de-DE"/>
        </w:rPr>
        <w:t>לֵאמֹר</w:t>
      </w:r>
      <w:r w:rsidRPr="007B72C7">
        <w:rPr>
          <w:rFonts w:eastAsia="Times New Roman"/>
          <w:lang w:eastAsia="de-DE"/>
        </w:rPr>
        <w:t>). Die direkte Rede ist ein einfacher Verbalsatz mit Negation: Subjekt (implizites „ich"), negiertes Prädikat (</w:t>
      </w:r>
      <w:r w:rsidRPr="007B72C7">
        <w:rPr>
          <w:rFonts w:eastAsia="Times New Roman"/>
          <w:b/>
          <w:bCs/>
          <w:rtl/>
          <w:lang w:eastAsia="de-DE"/>
        </w:rPr>
        <w:t>לֹא־אוּכַל</w:t>
      </w:r>
      <w:r w:rsidRPr="007B72C7">
        <w:rPr>
          <w:rFonts w:eastAsia="Times New Roman"/>
          <w:lang w:eastAsia="de-DE"/>
        </w:rPr>
        <w:t>), adverbiale Bestimmung (</w:t>
      </w:r>
      <w:r w:rsidRPr="007B72C7">
        <w:rPr>
          <w:rFonts w:eastAsia="Times New Roman"/>
          <w:b/>
          <w:bCs/>
          <w:rtl/>
          <w:lang w:eastAsia="de-DE"/>
        </w:rPr>
        <w:t>לְבַדִּי</w:t>
      </w:r>
      <w:r w:rsidRPr="007B72C7">
        <w:rPr>
          <w:rFonts w:eastAsia="Times New Roman"/>
          <w:lang w:eastAsia="de-DE"/>
        </w:rPr>
        <w:t>), Infinitiv (</w:t>
      </w:r>
      <w:r w:rsidRPr="007B72C7">
        <w:rPr>
          <w:rFonts w:eastAsia="Times New Roman"/>
          <w:b/>
          <w:bCs/>
          <w:rtl/>
          <w:lang w:eastAsia="de-DE"/>
        </w:rPr>
        <w:t>שְׂאֵת</w:t>
      </w:r>
      <w:r w:rsidRPr="007B72C7">
        <w:rPr>
          <w:rFonts w:eastAsia="Times New Roman"/>
          <w:lang w:eastAsia="de-DE"/>
        </w:rPr>
        <w:t>) als Komplementobjekt, und direktes Objekt (</w:t>
      </w:r>
      <w:r w:rsidRPr="007B72C7">
        <w:rPr>
          <w:rFonts w:eastAsia="Times New Roman"/>
          <w:b/>
          <w:bCs/>
          <w:rtl/>
          <w:lang w:eastAsia="de-DE"/>
        </w:rPr>
        <w:t>אֶתְכֶם</w:t>
      </w:r>
      <w:r w:rsidRPr="007B72C7">
        <w:rPr>
          <w:rFonts w:eastAsia="Times New Roman"/>
          <w:lang w:eastAsia="de-DE"/>
        </w:rPr>
        <w:t>).</w:t>
      </w:r>
    </w:p>
    <w:p w14:paraId="7A6C425A"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lang w:eastAsia="de-DE"/>
        </w:rPr>
        <w:t>Der Vers leitet Moses Rückblick auf die Einsetzung von Richtern ein (vgl. Ex 18) und zeigt seine administrative Überforderung angesichts der Größe des Volkes. Die Metapher des „Tragens" drückt Verantwortung und Fürsorge aus.</w:t>
      </w:r>
    </w:p>
    <w:p w14:paraId="263A5F13" w14:textId="77777777" w:rsidR="007B72C7" w:rsidRPr="007B72C7" w:rsidRDefault="007B72C7" w:rsidP="007B72C7">
      <w:pPr>
        <w:spacing w:before="100" w:beforeAutospacing="1" w:after="100" w:afterAutospacing="1" w:line="240" w:lineRule="auto"/>
        <w:outlineLvl w:val="1"/>
        <w:rPr>
          <w:rFonts w:eastAsia="Times New Roman"/>
          <w:b/>
          <w:bCs/>
          <w:sz w:val="36"/>
          <w:szCs w:val="36"/>
          <w:lang w:eastAsia="de-DE"/>
        </w:rPr>
      </w:pPr>
      <w:r w:rsidRPr="007B72C7">
        <w:rPr>
          <w:rFonts w:eastAsia="Times New Roman"/>
          <w:b/>
          <w:bCs/>
          <w:sz w:val="36"/>
          <w:szCs w:val="36"/>
          <w:lang w:eastAsia="de-DE"/>
        </w:rPr>
        <w:t>Deuteronomium 1,10</w:t>
      </w:r>
    </w:p>
    <w:p w14:paraId="285E106E"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Hebräisch:</w:t>
      </w:r>
      <w:r w:rsidRPr="007B72C7">
        <w:rPr>
          <w:rFonts w:eastAsia="Times New Roman"/>
          <w:lang w:eastAsia="de-DE"/>
        </w:rPr>
        <w:t xml:space="preserve"> </w:t>
      </w:r>
      <w:r w:rsidRPr="007B72C7">
        <w:rPr>
          <w:rFonts w:eastAsia="Times New Roman"/>
          <w:rtl/>
          <w:lang w:eastAsia="de-DE"/>
        </w:rPr>
        <w:t>יְהוָ֥ה אֱלֹהֵיכֶ֖ם הִרְבָּ֣ה אֶתְכֶ֑ם וְהִנְּכֶ֣ם הַיּ֔וֹם כְּכוֹכְבֵ֥י הַשָּׁמַ֖יִם לָרֹֽב׃</w:t>
      </w:r>
    </w:p>
    <w:p w14:paraId="3BA90C1A"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Deutsch:</w:t>
      </w:r>
      <w:r w:rsidRPr="007B72C7">
        <w:rPr>
          <w:rFonts w:eastAsia="Times New Roman"/>
          <w:lang w:eastAsia="de-DE"/>
        </w:rPr>
        <w:t xml:space="preserve"> Der Ewige, euer Gott, hat euch vermehrt, und siehe, ihr seid heute wie die Sterne des Himmels an Menge.</w:t>
      </w:r>
    </w:p>
    <w:p w14:paraId="5F420780" w14:textId="77777777" w:rsidR="007B72C7" w:rsidRPr="007B72C7" w:rsidRDefault="004F5CEB" w:rsidP="007B72C7">
      <w:pPr>
        <w:spacing w:after="0" w:line="240" w:lineRule="auto"/>
        <w:rPr>
          <w:rFonts w:eastAsia="Times New Roman"/>
          <w:lang w:eastAsia="de-DE"/>
        </w:rPr>
      </w:pPr>
      <w:r>
        <w:rPr>
          <w:rFonts w:eastAsia="Times New Roman"/>
          <w:noProof/>
          <w:lang w:eastAsia="de-DE"/>
        </w:rPr>
        <w:pict w14:anchorId="7D1AAEC2">
          <v:rect id="_x0000_i1034" style="width:0;height:1.5pt" o:hralign="center" o:hrstd="t" o:hr="t" fillcolor="#a0a0a0" stroked="f"/>
        </w:pict>
      </w:r>
    </w:p>
    <w:p w14:paraId="0326B356" w14:textId="658F91F5"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Kommentar:</w:t>
      </w:r>
      <w:r w:rsidRPr="007B72C7">
        <w:rPr>
          <w:rFonts w:eastAsia="Times New Roman"/>
          <w:lang w:eastAsia="de-DE"/>
        </w:rPr>
        <w:t xml:space="preserve"> </w:t>
      </w:r>
      <w:r w:rsidRPr="007B72C7">
        <w:rPr>
          <w:rFonts w:eastAsia="Times New Roman"/>
          <w:b/>
          <w:bCs/>
          <w:rtl/>
          <w:lang w:eastAsia="de-DE"/>
        </w:rPr>
        <w:t>יְהוָה אֱלֹהֵיכֶם</w:t>
      </w:r>
      <w:r w:rsidRPr="007B72C7">
        <w:rPr>
          <w:rFonts w:eastAsia="Times New Roman"/>
          <w:rtl/>
          <w:lang w:eastAsia="de-DE"/>
        </w:rPr>
        <w:t xml:space="preserve"> </w:t>
      </w:r>
      <w:r w:rsidRPr="007B72C7">
        <w:rPr>
          <w:rFonts w:eastAsia="Times New Roman"/>
          <w:lang w:eastAsia="de-DE"/>
        </w:rPr>
        <w:t xml:space="preserve">ist die vertraute </w:t>
      </w:r>
      <w:r w:rsidR="00FF2B82">
        <w:rPr>
          <w:rFonts w:eastAsia="Times New Roman"/>
          <w:lang w:eastAsia="de-DE"/>
        </w:rPr>
        <w:t>Konstruktion</w:t>
      </w:r>
      <w:r w:rsidRPr="007B72C7">
        <w:rPr>
          <w:rFonts w:eastAsia="Times New Roman"/>
          <w:lang w:eastAsia="de-DE"/>
        </w:rPr>
        <w:t xml:space="preserve">: </w:t>
      </w:r>
      <w:r w:rsidRPr="007B72C7">
        <w:rPr>
          <w:rFonts w:eastAsia="Times New Roman"/>
          <w:b/>
          <w:bCs/>
          <w:rtl/>
          <w:lang w:eastAsia="de-DE"/>
        </w:rPr>
        <w:t>יְהוָה</w:t>
      </w:r>
      <w:r w:rsidRPr="007B72C7">
        <w:rPr>
          <w:rFonts w:eastAsia="Times New Roman"/>
          <w:rtl/>
          <w:lang w:eastAsia="de-DE"/>
        </w:rPr>
        <w:t xml:space="preserve"> </w:t>
      </w:r>
      <w:r w:rsidRPr="007B72C7">
        <w:rPr>
          <w:rFonts w:eastAsia="Times New Roman"/>
          <w:lang w:eastAsia="de-DE"/>
        </w:rPr>
        <w:t xml:space="preserve">mit </w:t>
      </w:r>
      <w:r w:rsidRPr="007B72C7">
        <w:rPr>
          <w:rFonts w:eastAsia="Times New Roman"/>
          <w:b/>
          <w:bCs/>
          <w:rtl/>
          <w:lang w:eastAsia="de-DE"/>
        </w:rPr>
        <w:t>אֱלֹהִים</w:t>
      </w:r>
      <w:r w:rsidRPr="007B72C7">
        <w:rPr>
          <w:rFonts w:eastAsia="Times New Roman"/>
          <w:rtl/>
          <w:lang w:eastAsia="de-DE"/>
        </w:rPr>
        <w:t xml:space="preserve"> </w:t>
      </w:r>
      <w:r w:rsidRPr="007B72C7">
        <w:rPr>
          <w:rFonts w:eastAsia="Times New Roman"/>
          <w:lang w:eastAsia="de-DE"/>
        </w:rPr>
        <w:t xml:space="preserve">und Suffix 2. Person maskulin Plural („euer Gott"). </w:t>
      </w:r>
      <w:r w:rsidRPr="007B72C7">
        <w:rPr>
          <w:rFonts w:eastAsia="Times New Roman"/>
          <w:b/>
          <w:bCs/>
          <w:rtl/>
          <w:lang w:eastAsia="de-DE"/>
        </w:rPr>
        <w:t>הִרְבָּה</w:t>
      </w:r>
      <w:r w:rsidRPr="007B72C7">
        <w:rPr>
          <w:rFonts w:eastAsia="Times New Roman"/>
          <w:rtl/>
          <w:lang w:eastAsia="de-DE"/>
        </w:rPr>
        <w:t xml:space="preserve"> </w:t>
      </w:r>
      <w:r w:rsidRPr="007B72C7">
        <w:rPr>
          <w:rFonts w:eastAsia="Times New Roman"/>
          <w:lang w:eastAsia="de-DE"/>
        </w:rPr>
        <w:t xml:space="preserve">ist Hif'il Perfekt, 3. Person maskulin Singular von </w:t>
      </w:r>
      <w:r w:rsidRPr="007B72C7">
        <w:rPr>
          <w:rFonts w:eastAsia="Times New Roman"/>
          <w:rtl/>
          <w:lang w:eastAsia="de-DE"/>
        </w:rPr>
        <w:t>רבה</w:t>
      </w:r>
      <w:r w:rsidRPr="007B72C7">
        <w:rPr>
          <w:rFonts w:eastAsia="Times New Roman"/>
          <w:lang w:eastAsia="de-DE"/>
        </w:rPr>
        <w:t xml:space="preserve"> („viel sein, sich mehren"). Die Hif'il-Form ist kausativ: „vermehren, zahlreich machen". </w:t>
      </w:r>
      <w:r w:rsidRPr="007B72C7">
        <w:rPr>
          <w:rFonts w:eastAsia="Times New Roman"/>
          <w:b/>
          <w:bCs/>
          <w:rtl/>
          <w:lang w:eastAsia="de-DE"/>
        </w:rPr>
        <w:t>אֶתְכֶם</w:t>
      </w:r>
      <w:r w:rsidRPr="007B72C7">
        <w:rPr>
          <w:rFonts w:eastAsia="Times New Roman"/>
          <w:rtl/>
          <w:lang w:eastAsia="de-DE"/>
        </w:rPr>
        <w:t xml:space="preserve"> </w:t>
      </w:r>
      <w:r w:rsidRPr="007B72C7">
        <w:rPr>
          <w:rFonts w:eastAsia="Times New Roman"/>
          <w:lang w:eastAsia="de-DE"/>
        </w:rPr>
        <w:t xml:space="preserve">ist die Objektpartikel </w:t>
      </w:r>
      <w:r w:rsidRPr="007B72C7">
        <w:rPr>
          <w:rFonts w:eastAsia="Times New Roman"/>
          <w:b/>
          <w:bCs/>
          <w:rtl/>
          <w:lang w:eastAsia="de-DE"/>
        </w:rPr>
        <w:t>אֵת</w:t>
      </w:r>
      <w:r w:rsidRPr="007B72C7">
        <w:rPr>
          <w:rFonts w:eastAsia="Times New Roman"/>
          <w:rtl/>
          <w:lang w:eastAsia="de-DE"/>
        </w:rPr>
        <w:t xml:space="preserve"> </w:t>
      </w:r>
      <w:r w:rsidRPr="007B72C7">
        <w:rPr>
          <w:rFonts w:eastAsia="Times New Roman"/>
          <w:lang w:eastAsia="de-DE"/>
        </w:rPr>
        <w:t>mit Suffix 2. Person maskulin Plural („euch").</w:t>
      </w:r>
    </w:p>
    <w:p w14:paraId="7EBAAB0D" w14:textId="1373E346"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rtl/>
          <w:lang w:eastAsia="de-DE"/>
        </w:rPr>
        <w:t>וְהִנְּכֶם</w:t>
      </w:r>
      <w:r w:rsidRPr="007B72C7">
        <w:rPr>
          <w:rFonts w:eastAsia="Times New Roman"/>
          <w:rtl/>
          <w:lang w:eastAsia="de-DE"/>
        </w:rPr>
        <w:t xml:space="preserve"> </w:t>
      </w:r>
      <w:r w:rsidRPr="007B72C7">
        <w:rPr>
          <w:rFonts w:eastAsia="Times New Roman"/>
          <w:lang w:eastAsia="de-DE"/>
        </w:rPr>
        <w:t xml:space="preserve">besteht aus der Interjektion </w:t>
      </w:r>
      <w:r w:rsidRPr="007B72C7">
        <w:rPr>
          <w:rFonts w:eastAsia="Times New Roman"/>
          <w:b/>
          <w:bCs/>
          <w:rtl/>
          <w:lang w:eastAsia="de-DE"/>
        </w:rPr>
        <w:t>הִנֵּה</w:t>
      </w:r>
      <w:r w:rsidRPr="007B72C7">
        <w:rPr>
          <w:rFonts w:eastAsia="Times New Roman"/>
          <w:rtl/>
          <w:lang w:eastAsia="de-DE"/>
        </w:rPr>
        <w:t xml:space="preserve"> </w:t>
      </w:r>
      <w:r w:rsidRPr="007B72C7">
        <w:rPr>
          <w:rFonts w:eastAsia="Times New Roman"/>
          <w:lang w:eastAsia="de-DE"/>
        </w:rPr>
        <w:t xml:space="preserve">(„siehe") mit Waw copulativum und Suffix 2. Person maskulin Plural („und siehe, ihr"). </w:t>
      </w:r>
      <w:r w:rsidRPr="007B72C7">
        <w:rPr>
          <w:rFonts w:eastAsia="Times New Roman"/>
          <w:b/>
          <w:bCs/>
          <w:rtl/>
          <w:lang w:eastAsia="de-DE"/>
        </w:rPr>
        <w:t>הַיּוֹם</w:t>
      </w:r>
      <w:r w:rsidRPr="007B72C7">
        <w:rPr>
          <w:rFonts w:eastAsia="Times New Roman"/>
          <w:rtl/>
          <w:lang w:eastAsia="de-DE"/>
        </w:rPr>
        <w:t xml:space="preserve"> </w:t>
      </w:r>
      <w:r w:rsidRPr="007B72C7">
        <w:rPr>
          <w:rFonts w:eastAsia="Times New Roman"/>
          <w:lang w:eastAsia="de-DE"/>
        </w:rPr>
        <w:t xml:space="preserve">ist ein temporales Adverb („heute"), hier </w:t>
      </w:r>
      <w:r w:rsidRPr="007B72C7">
        <w:rPr>
          <w:rFonts w:eastAsia="Times New Roman"/>
          <w:b/>
          <w:bCs/>
          <w:rtl/>
          <w:lang w:eastAsia="de-DE"/>
        </w:rPr>
        <w:t>יוֹם</w:t>
      </w:r>
      <w:r w:rsidRPr="007B72C7">
        <w:rPr>
          <w:rFonts w:eastAsia="Times New Roman"/>
          <w:rtl/>
          <w:lang w:eastAsia="de-DE"/>
        </w:rPr>
        <w:t xml:space="preserve"> </w:t>
      </w:r>
      <w:r w:rsidRPr="007B72C7">
        <w:rPr>
          <w:rFonts w:eastAsia="Times New Roman"/>
          <w:lang w:eastAsia="de-DE"/>
        </w:rPr>
        <w:t xml:space="preserve">mit Artikel für besondere Betonung. </w:t>
      </w:r>
      <w:r w:rsidRPr="007B72C7">
        <w:rPr>
          <w:rFonts w:eastAsia="Times New Roman"/>
          <w:b/>
          <w:bCs/>
          <w:rtl/>
          <w:lang w:eastAsia="de-DE"/>
        </w:rPr>
        <w:t>כְּכוֹכְבֵי הַשָּׁמַיִם</w:t>
      </w:r>
      <w:r w:rsidRPr="007B72C7">
        <w:rPr>
          <w:rFonts w:eastAsia="Times New Roman"/>
          <w:rtl/>
          <w:lang w:eastAsia="de-DE"/>
        </w:rPr>
        <w:t xml:space="preserve"> </w:t>
      </w:r>
      <w:r w:rsidRPr="007B72C7">
        <w:rPr>
          <w:rFonts w:eastAsia="Times New Roman"/>
          <w:lang w:eastAsia="de-DE"/>
        </w:rPr>
        <w:t xml:space="preserve">ist eine Vergleichsphrase: </w:t>
      </w:r>
      <w:r w:rsidRPr="007B72C7">
        <w:rPr>
          <w:rFonts w:eastAsia="Times New Roman"/>
          <w:b/>
          <w:bCs/>
          <w:rtl/>
          <w:lang w:eastAsia="de-DE"/>
        </w:rPr>
        <w:t>כְּ</w:t>
      </w:r>
      <w:r w:rsidRPr="007B72C7">
        <w:rPr>
          <w:rFonts w:eastAsia="Times New Roman"/>
          <w:rtl/>
          <w:lang w:eastAsia="de-DE"/>
        </w:rPr>
        <w:t xml:space="preserve"> </w:t>
      </w:r>
      <w:r w:rsidRPr="007B72C7">
        <w:rPr>
          <w:rFonts w:eastAsia="Times New Roman"/>
          <w:lang w:eastAsia="de-DE"/>
        </w:rPr>
        <w:t xml:space="preserve">(„wie"), </w:t>
      </w:r>
      <w:r w:rsidRPr="007B72C7">
        <w:rPr>
          <w:rFonts w:eastAsia="Times New Roman"/>
          <w:b/>
          <w:bCs/>
          <w:rtl/>
          <w:lang w:eastAsia="de-DE"/>
        </w:rPr>
        <w:t>כּוֹכְבֵי</w:t>
      </w:r>
      <w:r w:rsidRPr="007B72C7">
        <w:rPr>
          <w:rFonts w:eastAsia="Times New Roman"/>
          <w:rtl/>
          <w:lang w:eastAsia="de-DE"/>
        </w:rPr>
        <w:t xml:space="preserve"> </w:t>
      </w:r>
      <w:r w:rsidRPr="007B72C7">
        <w:rPr>
          <w:rFonts w:eastAsia="Times New Roman"/>
          <w:lang w:eastAsia="de-DE"/>
        </w:rPr>
        <w:t xml:space="preserve">(Plural </w:t>
      </w:r>
      <w:r w:rsidR="0032647F">
        <w:rPr>
          <w:rFonts w:eastAsia="Times New Roman"/>
          <w:lang w:eastAsia="de-DE"/>
        </w:rPr>
        <w:t>Construct</w:t>
      </w:r>
      <w:r w:rsidRPr="007B72C7">
        <w:rPr>
          <w:rFonts w:eastAsia="Times New Roman"/>
          <w:lang w:eastAsia="de-DE"/>
        </w:rPr>
        <w:t xml:space="preserve"> von </w:t>
      </w:r>
      <w:r w:rsidRPr="007B72C7">
        <w:rPr>
          <w:rFonts w:eastAsia="Times New Roman"/>
          <w:b/>
          <w:bCs/>
          <w:rtl/>
          <w:lang w:eastAsia="de-DE"/>
        </w:rPr>
        <w:t>כּוֹכָב</w:t>
      </w:r>
      <w:r w:rsidRPr="007B72C7">
        <w:rPr>
          <w:rFonts w:eastAsia="Times New Roman"/>
          <w:rtl/>
          <w:lang w:eastAsia="de-DE"/>
        </w:rPr>
        <w:t xml:space="preserve"> </w:t>
      </w:r>
      <w:r w:rsidRPr="007B72C7">
        <w:rPr>
          <w:rFonts w:eastAsia="Times New Roman"/>
          <w:lang w:eastAsia="de-DE"/>
        </w:rPr>
        <w:t xml:space="preserve">„Stern"), und </w:t>
      </w:r>
      <w:r w:rsidRPr="007B72C7">
        <w:rPr>
          <w:rFonts w:eastAsia="Times New Roman"/>
          <w:b/>
          <w:bCs/>
          <w:rtl/>
          <w:lang w:eastAsia="de-DE"/>
        </w:rPr>
        <w:t>הַשָּׁמַיִם</w:t>
      </w:r>
      <w:r w:rsidRPr="007B72C7">
        <w:rPr>
          <w:rFonts w:eastAsia="Times New Roman"/>
          <w:rtl/>
          <w:lang w:eastAsia="de-DE"/>
        </w:rPr>
        <w:t xml:space="preserve"> </w:t>
      </w:r>
      <w:r w:rsidRPr="007B72C7">
        <w:rPr>
          <w:rFonts w:eastAsia="Times New Roman"/>
          <w:lang w:eastAsia="de-DE"/>
        </w:rPr>
        <w:t xml:space="preserve">(„die Himmel", Dual oder Plural von </w:t>
      </w:r>
      <w:r w:rsidRPr="007B72C7">
        <w:rPr>
          <w:rFonts w:eastAsia="Times New Roman"/>
          <w:b/>
          <w:bCs/>
          <w:rtl/>
          <w:lang w:eastAsia="de-DE"/>
        </w:rPr>
        <w:t>שָׁמַיִם</w:t>
      </w:r>
      <w:r w:rsidRPr="007B72C7">
        <w:rPr>
          <w:rFonts w:eastAsia="Times New Roman"/>
          <w:lang w:eastAsia="de-DE"/>
        </w:rPr>
        <w:t xml:space="preserve">). </w:t>
      </w:r>
      <w:r w:rsidRPr="007B72C7">
        <w:rPr>
          <w:rFonts w:eastAsia="Times New Roman"/>
          <w:b/>
          <w:bCs/>
          <w:rtl/>
          <w:lang w:eastAsia="de-DE"/>
        </w:rPr>
        <w:t>לָרֹב</w:t>
      </w:r>
      <w:r w:rsidRPr="007B72C7">
        <w:rPr>
          <w:rFonts w:eastAsia="Times New Roman"/>
          <w:rtl/>
          <w:lang w:eastAsia="de-DE"/>
        </w:rPr>
        <w:t xml:space="preserve"> </w:t>
      </w:r>
      <w:r w:rsidRPr="007B72C7">
        <w:rPr>
          <w:rFonts w:eastAsia="Times New Roman"/>
          <w:lang w:eastAsia="de-DE"/>
        </w:rPr>
        <w:t xml:space="preserve">besteht aus </w:t>
      </w:r>
      <w:r w:rsidRPr="007B72C7">
        <w:rPr>
          <w:rFonts w:eastAsia="Times New Roman"/>
          <w:b/>
          <w:bCs/>
          <w:rtl/>
          <w:lang w:eastAsia="de-DE"/>
        </w:rPr>
        <w:t>לְ</w:t>
      </w:r>
      <w:r w:rsidRPr="007B72C7">
        <w:rPr>
          <w:rFonts w:eastAsia="Times New Roman"/>
          <w:rtl/>
          <w:lang w:eastAsia="de-DE"/>
        </w:rPr>
        <w:t xml:space="preserve"> </w:t>
      </w:r>
      <w:r w:rsidRPr="007B72C7">
        <w:rPr>
          <w:rFonts w:eastAsia="Times New Roman"/>
          <w:lang w:eastAsia="de-DE"/>
        </w:rPr>
        <w:t xml:space="preserve">und </w:t>
      </w:r>
      <w:r w:rsidRPr="007B72C7">
        <w:rPr>
          <w:rFonts w:eastAsia="Times New Roman"/>
          <w:b/>
          <w:bCs/>
          <w:rtl/>
          <w:lang w:eastAsia="de-DE"/>
        </w:rPr>
        <w:t>רֹב</w:t>
      </w:r>
      <w:r w:rsidRPr="007B72C7">
        <w:rPr>
          <w:rFonts w:eastAsia="Times New Roman"/>
          <w:rtl/>
          <w:lang w:eastAsia="de-DE"/>
        </w:rPr>
        <w:t xml:space="preserve"> </w:t>
      </w:r>
      <w:r w:rsidRPr="007B72C7">
        <w:rPr>
          <w:rFonts w:eastAsia="Times New Roman"/>
          <w:lang w:eastAsia="de-DE"/>
        </w:rPr>
        <w:t>(„Menge, Fülle"), was „an Menge, zur Fülle" bedeutet.</w:t>
      </w:r>
    </w:p>
    <w:p w14:paraId="5A41167F"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Die LXX</w:t>
      </w:r>
      <w:r w:rsidRPr="007B72C7">
        <w:rPr>
          <w:rFonts w:eastAsia="Times New Roman"/>
          <w:lang w:eastAsia="de-DE"/>
        </w:rPr>
        <w:t xml:space="preserve"> übersetzt „</w:t>
      </w:r>
      <w:proofErr w:type="spellStart"/>
      <w:r w:rsidRPr="007B72C7">
        <w:rPr>
          <w:rFonts w:eastAsia="Times New Roman"/>
          <w:lang w:eastAsia="de-DE"/>
        </w:rPr>
        <w:t>κύριος</w:t>
      </w:r>
      <w:proofErr w:type="spellEnd"/>
      <w:r w:rsidRPr="007B72C7">
        <w:rPr>
          <w:rFonts w:eastAsia="Times New Roman"/>
          <w:lang w:eastAsia="de-DE"/>
        </w:rPr>
        <w:t xml:space="preserve"> ὁ </w:t>
      </w:r>
      <w:proofErr w:type="spellStart"/>
      <w:r w:rsidRPr="007B72C7">
        <w:rPr>
          <w:rFonts w:eastAsia="Times New Roman"/>
          <w:lang w:eastAsia="de-DE"/>
        </w:rPr>
        <w:t>θεὸς</w:t>
      </w:r>
      <w:proofErr w:type="spellEnd"/>
      <w:r w:rsidRPr="007B72C7">
        <w:rPr>
          <w:rFonts w:eastAsia="Times New Roman"/>
          <w:lang w:eastAsia="de-DE"/>
        </w:rPr>
        <w:t xml:space="preserve"> </w:t>
      </w:r>
      <w:proofErr w:type="spellStart"/>
      <w:r w:rsidRPr="007B72C7">
        <w:rPr>
          <w:rFonts w:eastAsia="Times New Roman"/>
          <w:lang w:eastAsia="de-DE"/>
        </w:rPr>
        <w:t>ὑμῶν</w:t>
      </w:r>
      <w:proofErr w:type="spellEnd"/>
      <w:r w:rsidRPr="007B72C7">
        <w:rPr>
          <w:rFonts w:eastAsia="Times New Roman"/>
          <w:lang w:eastAsia="de-DE"/>
        </w:rPr>
        <w:t xml:space="preserve"> ἐπ</w:t>
      </w:r>
      <w:proofErr w:type="spellStart"/>
      <w:r w:rsidRPr="007B72C7">
        <w:rPr>
          <w:rFonts w:eastAsia="Times New Roman"/>
          <w:lang w:eastAsia="de-DE"/>
        </w:rPr>
        <w:t>λήθυνεν</w:t>
      </w:r>
      <w:proofErr w:type="spellEnd"/>
      <w:r w:rsidRPr="007B72C7">
        <w:rPr>
          <w:rFonts w:eastAsia="Times New Roman"/>
          <w:lang w:eastAsia="de-DE"/>
        </w:rPr>
        <w:t xml:space="preserve"> </w:t>
      </w:r>
      <w:proofErr w:type="spellStart"/>
      <w:r w:rsidRPr="007B72C7">
        <w:rPr>
          <w:rFonts w:eastAsia="Times New Roman"/>
          <w:lang w:eastAsia="de-DE"/>
        </w:rPr>
        <w:t>ὑμᾶς</w:t>
      </w:r>
      <w:proofErr w:type="spellEnd"/>
      <w:r w:rsidRPr="007B72C7">
        <w:rPr>
          <w:rFonts w:eastAsia="Times New Roman"/>
          <w:lang w:eastAsia="de-DE"/>
        </w:rPr>
        <w:t xml:space="preserve">, καὶ </w:t>
      </w:r>
      <w:proofErr w:type="spellStart"/>
      <w:r w:rsidRPr="007B72C7">
        <w:rPr>
          <w:rFonts w:eastAsia="Times New Roman"/>
          <w:lang w:eastAsia="de-DE"/>
        </w:rPr>
        <w:t>ἰδού</w:t>
      </w:r>
      <w:proofErr w:type="spellEnd"/>
      <w:r w:rsidRPr="007B72C7">
        <w:rPr>
          <w:rFonts w:eastAsia="Times New Roman"/>
          <w:lang w:eastAsia="de-DE"/>
        </w:rPr>
        <w:t xml:space="preserve"> </w:t>
      </w:r>
      <w:proofErr w:type="spellStart"/>
      <w:r w:rsidRPr="007B72C7">
        <w:rPr>
          <w:rFonts w:eastAsia="Times New Roman"/>
          <w:lang w:eastAsia="de-DE"/>
        </w:rPr>
        <w:t>ἐστε</w:t>
      </w:r>
      <w:proofErr w:type="spellEnd"/>
      <w:r w:rsidRPr="007B72C7">
        <w:rPr>
          <w:rFonts w:eastAsia="Times New Roman"/>
          <w:lang w:eastAsia="de-DE"/>
        </w:rPr>
        <w:t xml:space="preserve"> </w:t>
      </w:r>
      <w:proofErr w:type="spellStart"/>
      <w:r w:rsidRPr="007B72C7">
        <w:rPr>
          <w:rFonts w:eastAsia="Times New Roman"/>
          <w:lang w:eastAsia="de-DE"/>
        </w:rPr>
        <w:t>σήμερον</w:t>
      </w:r>
      <w:proofErr w:type="spellEnd"/>
      <w:r w:rsidRPr="007B72C7">
        <w:rPr>
          <w:rFonts w:eastAsia="Times New Roman"/>
          <w:lang w:eastAsia="de-DE"/>
        </w:rPr>
        <w:t xml:space="preserve"> </w:t>
      </w:r>
      <w:proofErr w:type="spellStart"/>
      <w:r w:rsidRPr="007B72C7">
        <w:rPr>
          <w:rFonts w:eastAsia="Times New Roman"/>
          <w:lang w:eastAsia="de-DE"/>
        </w:rPr>
        <w:t>ὡσεὶ</w:t>
      </w:r>
      <w:proofErr w:type="spellEnd"/>
      <w:r w:rsidRPr="007B72C7">
        <w:rPr>
          <w:rFonts w:eastAsia="Times New Roman"/>
          <w:lang w:eastAsia="de-DE"/>
        </w:rPr>
        <w:t xml:space="preserve"> </w:t>
      </w:r>
      <w:proofErr w:type="spellStart"/>
      <w:r w:rsidRPr="007B72C7">
        <w:rPr>
          <w:rFonts w:eastAsia="Times New Roman"/>
          <w:lang w:eastAsia="de-DE"/>
        </w:rPr>
        <w:t>τὰ</w:t>
      </w:r>
      <w:proofErr w:type="spellEnd"/>
      <w:r w:rsidRPr="007B72C7">
        <w:rPr>
          <w:rFonts w:eastAsia="Times New Roman"/>
          <w:lang w:eastAsia="de-DE"/>
        </w:rPr>
        <w:t xml:space="preserve"> </w:t>
      </w:r>
      <w:proofErr w:type="spellStart"/>
      <w:r w:rsidRPr="007B72C7">
        <w:rPr>
          <w:rFonts w:eastAsia="Times New Roman"/>
          <w:lang w:eastAsia="de-DE"/>
        </w:rPr>
        <w:t>ἄστρ</w:t>
      </w:r>
      <w:proofErr w:type="spellEnd"/>
      <w:r w:rsidRPr="007B72C7">
        <w:rPr>
          <w:rFonts w:eastAsia="Times New Roman"/>
          <w:lang w:eastAsia="de-DE"/>
        </w:rPr>
        <w:t xml:space="preserve">α </w:t>
      </w:r>
      <w:proofErr w:type="spellStart"/>
      <w:r w:rsidRPr="007B72C7">
        <w:rPr>
          <w:rFonts w:eastAsia="Times New Roman"/>
          <w:lang w:eastAsia="de-DE"/>
        </w:rPr>
        <w:t>τοῦ</w:t>
      </w:r>
      <w:proofErr w:type="spellEnd"/>
      <w:r w:rsidRPr="007B72C7">
        <w:rPr>
          <w:rFonts w:eastAsia="Times New Roman"/>
          <w:lang w:eastAsia="de-DE"/>
        </w:rPr>
        <w:t xml:space="preserve"> </w:t>
      </w:r>
      <w:proofErr w:type="spellStart"/>
      <w:r w:rsidRPr="007B72C7">
        <w:rPr>
          <w:rFonts w:eastAsia="Times New Roman"/>
          <w:lang w:eastAsia="de-DE"/>
        </w:rPr>
        <w:t>οὐρ</w:t>
      </w:r>
      <w:proofErr w:type="spellEnd"/>
      <w:r w:rsidRPr="007B72C7">
        <w:rPr>
          <w:rFonts w:eastAsia="Times New Roman"/>
          <w:lang w:eastAsia="de-DE"/>
        </w:rPr>
        <w:t xml:space="preserve">ανοῦ </w:t>
      </w:r>
      <w:proofErr w:type="spellStart"/>
      <w:r w:rsidRPr="007B72C7">
        <w:rPr>
          <w:rFonts w:eastAsia="Times New Roman"/>
          <w:lang w:eastAsia="de-DE"/>
        </w:rPr>
        <w:t>τῷ</w:t>
      </w:r>
      <w:proofErr w:type="spellEnd"/>
      <w:r w:rsidRPr="007B72C7">
        <w:rPr>
          <w:rFonts w:eastAsia="Times New Roman"/>
          <w:lang w:eastAsia="de-DE"/>
        </w:rPr>
        <w:t xml:space="preserve"> π</w:t>
      </w:r>
      <w:proofErr w:type="spellStart"/>
      <w:r w:rsidRPr="007B72C7">
        <w:rPr>
          <w:rFonts w:eastAsia="Times New Roman"/>
          <w:lang w:eastAsia="de-DE"/>
        </w:rPr>
        <w:t>λήθει</w:t>
      </w:r>
      <w:proofErr w:type="spellEnd"/>
      <w:r w:rsidRPr="007B72C7">
        <w:rPr>
          <w:rFonts w:eastAsia="Times New Roman"/>
          <w:lang w:eastAsia="de-DE"/>
        </w:rPr>
        <w:t>" („Der Herr, euer Gott, hat euch vermehrt, und siehe, ihr seid heute wie die Sterne des Himmels an Menge"). Die LXX expliziert das Verb „seid" (</w:t>
      </w:r>
      <w:proofErr w:type="spellStart"/>
      <w:r w:rsidRPr="007B72C7">
        <w:rPr>
          <w:rFonts w:eastAsia="Times New Roman"/>
          <w:b/>
          <w:bCs/>
          <w:lang w:eastAsia="de-DE"/>
        </w:rPr>
        <w:t>ἐστε</w:t>
      </w:r>
      <w:proofErr w:type="spellEnd"/>
      <w:r w:rsidRPr="007B72C7">
        <w:rPr>
          <w:rFonts w:eastAsia="Times New Roman"/>
          <w:lang w:eastAsia="de-DE"/>
        </w:rPr>
        <w:t>), das im Hebräischen implizit bleibt.</w:t>
      </w:r>
    </w:p>
    <w:p w14:paraId="0E08F1F6"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lang w:eastAsia="de-DE"/>
        </w:rPr>
        <w:t xml:space="preserve">Die Satzstruktur besteht aus zwei koordinierten Sätzen: (1) Ein Verbalsatz mit </w:t>
      </w:r>
      <w:r w:rsidRPr="007B72C7">
        <w:rPr>
          <w:rFonts w:eastAsia="Times New Roman"/>
          <w:b/>
          <w:bCs/>
          <w:rtl/>
          <w:lang w:eastAsia="de-DE"/>
        </w:rPr>
        <w:t>יְהוָה אֱלֹהֵיכֶם</w:t>
      </w:r>
      <w:r w:rsidRPr="007B72C7">
        <w:rPr>
          <w:rFonts w:eastAsia="Times New Roman"/>
          <w:rtl/>
          <w:lang w:eastAsia="de-DE"/>
        </w:rPr>
        <w:t xml:space="preserve"> </w:t>
      </w:r>
      <w:r w:rsidRPr="007B72C7">
        <w:rPr>
          <w:rFonts w:eastAsia="Times New Roman"/>
          <w:lang w:eastAsia="de-DE"/>
        </w:rPr>
        <w:t xml:space="preserve">als Subjekt, </w:t>
      </w:r>
      <w:r w:rsidRPr="007B72C7">
        <w:rPr>
          <w:rFonts w:eastAsia="Times New Roman"/>
          <w:b/>
          <w:bCs/>
          <w:rtl/>
          <w:lang w:eastAsia="de-DE"/>
        </w:rPr>
        <w:t>הִרְבָּה</w:t>
      </w:r>
      <w:r w:rsidRPr="007B72C7">
        <w:rPr>
          <w:rFonts w:eastAsia="Times New Roman"/>
          <w:rtl/>
          <w:lang w:eastAsia="de-DE"/>
        </w:rPr>
        <w:t xml:space="preserve"> </w:t>
      </w:r>
      <w:r w:rsidRPr="007B72C7">
        <w:rPr>
          <w:rFonts w:eastAsia="Times New Roman"/>
          <w:lang w:eastAsia="de-DE"/>
        </w:rPr>
        <w:t xml:space="preserve">als Prädikat und </w:t>
      </w:r>
      <w:r w:rsidRPr="007B72C7">
        <w:rPr>
          <w:rFonts w:eastAsia="Times New Roman"/>
          <w:b/>
          <w:bCs/>
          <w:rtl/>
          <w:lang w:eastAsia="de-DE"/>
        </w:rPr>
        <w:t>אֶתְכֶם</w:t>
      </w:r>
      <w:r w:rsidRPr="007B72C7">
        <w:rPr>
          <w:rFonts w:eastAsia="Times New Roman"/>
          <w:rtl/>
          <w:lang w:eastAsia="de-DE"/>
        </w:rPr>
        <w:t xml:space="preserve"> </w:t>
      </w:r>
      <w:r w:rsidRPr="007B72C7">
        <w:rPr>
          <w:rFonts w:eastAsia="Times New Roman"/>
          <w:lang w:eastAsia="de-DE"/>
        </w:rPr>
        <w:t xml:space="preserve">als Objekt; (2) Ein Nominalsatz mit </w:t>
      </w:r>
      <w:r w:rsidRPr="007B72C7">
        <w:rPr>
          <w:rFonts w:eastAsia="Times New Roman"/>
          <w:b/>
          <w:bCs/>
          <w:rtl/>
          <w:lang w:eastAsia="de-DE"/>
        </w:rPr>
        <w:t>הִנְּכֶם</w:t>
      </w:r>
      <w:r w:rsidRPr="007B72C7">
        <w:rPr>
          <w:rFonts w:eastAsia="Times New Roman"/>
          <w:rtl/>
          <w:lang w:eastAsia="de-DE"/>
        </w:rPr>
        <w:t xml:space="preserve"> </w:t>
      </w:r>
      <w:r w:rsidRPr="007B72C7">
        <w:rPr>
          <w:rFonts w:eastAsia="Times New Roman"/>
          <w:lang w:eastAsia="de-DE"/>
        </w:rPr>
        <w:t xml:space="preserve">als </w:t>
      </w:r>
      <w:r w:rsidRPr="007B72C7">
        <w:rPr>
          <w:rFonts w:eastAsia="Times New Roman"/>
          <w:lang w:eastAsia="de-DE"/>
        </w:rPr>
        <w:lastRenderedPageBreak/>
        <w:t xml:space="preserve">Interjektionssubjekt, </w:t>
      </w:r>
      <w:r w:rsidRPr="007B72C7">
        <w:rPr>
          <w:rFonts w:eastAsia="Times New Roman"/>
          <w:b/>
          <w:bCs/>
          <w:rtl/>
          <w:lang w:eastAsia="de-DE"/>
        </w:rPr>
        <w:t>הַיּוֹם</w:t>
      </w:r>
      <w:r w:rsidRPr="007B72C7">
        <w:rPr>
          <w:rFonts w:eastAsia="Times New Roman"/>
          <w:rtl/>
          <w:lang w:eastAsia="de-DE"/>
        </w:rPr>
        <w:t xml:space="preserve"> </w:t>
      </w:r>
      <w:r w:rsidRPr="007B72C7">
        <w:rPr>
          <w:rFonts w:eastAsia="Times New Roman"/>
          <w:lang w:eastAsia="de-DE"/>
        </w:rPr>
        <w:t xml:space="preserve">als temporale Bestimmung, und der Vergleichsphrase </w:t>
      </w:r>
      <w:r w:rsidRPr="007B72C7">
        <w:rPr>
          <w:rFonts w:eastAsia="Times New Roman"/>
          <w:b/>
          <w:bCs/>
          <w:rtl/>
          <w:lang w:eastAsia="de-DE"/>
        </w:rPr>
        <w:t>כְּכוֹכְבֵי הַשָּׁמַיִם לָרֹב</w:t>
      </w:r>
      <w:r w:rsidRPr="007B72C7">
        <w:rPr>
          <w:rFonts w:eastAsia="Times New Roman"/>
          <w:rtl/>
          <w:lang w:eastAsia="de-DE"/>
        </w:rPr>
        <w:t xml:space="preserve"> </w:t>
      </w:r>
      <w:r w:rsidRPr="007B72C7">
        <w:rPr>
          <w:rFonts w:eastAsia="Times New Roman"/>
          <w:lang w:eastAsia="de-DE"/>
        </w:rPr>
        <w:t>als Prädikat.</w:t>
      </w:r>
    </w:p>
    <w:p w14:paraId="08372C75"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lang w:eastAsia="de-DE"/>
        </w:rPr>
        <w:t>Der Vers begründet Moses Überforderung (V. 9) durch den göttlichen Segen der Vermehrung und greift die Verheißung an Abraham auf (Gen 15,5; 22,17; 26,4), die nun erfüllt ist. Die hyperbolische Sprache betont die außerordentliche Größe des Volkes.</w:t>
      </w:r>
    </w:p>
    <w:p w14:paraId="47B13FEC" w14:textId="77777777" w:rsidR="007B72C7" w:rsidRPr="007B72C7" w:rsidRDefault="007B72C7" w:rsidP="007B72C7">
      <w:pPr>
        <w:spacing w:before="100" w:beforeAutospacing="1" w:after="100" w:afterAutospacing="1" w:line="240" w:lineRule="auto"/>
        <w:outlineLvl w:val="1"/>
        <w:rPr>
          <w:rFonts w:eastAsia="Times New Roman"/>
          <w:b/>
          <w:bCs/>
          <w:sz w:val="36"/>
          <w:szCs w:val="36"/>
          <w:lang w:eastAsia="de-DE"/>
        </w:rPr>
      </w:pPr>
      <w:r w:rsidRPr="007B72C7">
        <w:rPr>
          <w:rFonts w:eastAsia="Times New Roman"/>
          <w:b/>
          <w:bCs/>
          <w:sz w:val="36"/>
          <w:szCs w:val="36"/>
          <w:lang w:eastAsia="de-DE"/>
        </w:rPr>
        <w:t>Deuteronomium 1,11</w:t>
      </w:r>
    </w:p>
    <w:p w14:paraId="75EE1C25"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Hebräisch:</w:t>
      </w:r>
      <w:r w:rsidRPr="007B72C7">
        <w:rPr>
          <w:rFonts w:eastAsia="Times New Roman"/>
          <w:lang w:eastAsia="de-DE"/>
        </w:rPr>
        <w:t xml:space="preserve"> </w:t>
      </w:r>
      <w:r w:rsidRPr="007B72C7">
        <w:rPr>
          <w:rFonts w:eastAsia="Times New Roman"/>
          <w:rtl/>
          <w:lang w:eastAsia="de-DE"/>
        </w:rPr>
        <w:t>יְהוָ֞ה אֱלֹהֵ֣י אֲבֽוֹתֵכֶ֗ם יֹסֵ֧ף עֲלֵיכֶ֛ם כָּכֶ֖ם אֶ֣לֶף פְּעָמִ֑ים וִיבָרֵ֣ךְ אֶתְכֶ֔ם כַּאֲשֶׁ֖ר דִּבֶּ֥ר לָכֶֽם׃</w:t>
      </w:r>
    </w:p>
    <w:p w14:paraId="4ABAA85C"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Deutsch:</w:t>
      </w:r>
      <w:r w:rsidRPr="007B72C7">
        <w:rPr>
          <w:rFonts w:eastAsia="Times New Roman"/>
          <w:lang w:eastAsia="de-DE"/>
        </w:rPr>
        <w:t xml:space="preserve"> Der Ewige, der Gott eurer Väter, möge zu euch 1.000-mal so viel hinzufügen, wie ihr seid, und euch segnen, wie er zu euch geredet hat.</w:t>
      </w:r>
    </w:p>
    <w:p w14:paraId="75D9A111" w14:textId="77777777" w:rsidR="007B72C7" w:rsidRPr="007B72C7" w:rsidRDefault="004F5CEB" w:rsidP="007B72C7">
      <w:pPr>
        <w:spacing w:after="0" w:line="240" w:lineRule="auto"/>
        <w:rPr>
          <w:rFonts w:eastAsia="Times New Roman"/>
          <w:lang w:eastAsia="de-DE"/>
        </w:rPr>
      </w:pPr>
      <w:r>
        <w:rPr>
          <w:rFonts w:eastAsia="Times New Roman"/>
          <w:noProof/>
          <w:lang w:eastAsia="de-DE"/>
        </w:rPr>
        <w:pict w14:anchorId="03AF5199">
          <v:rect id="_x0000_i1035" style="width:0;height:1.5pt" o:hralign="center" o:hrstd="t" o:hr="t" fillcolor="#a0a0a0" stroked="f"/>
        </w:pict>
      </w:r>
    </w:p>
    <w:p w14:paraId="39050C9A" w14:textId="140D62C9"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Kommentar:</w:t>
      </w:r>
      <w:r w:rsidRPr="007B72C7">
        <w:rPr>
          <w:rFonts w:eastAsia="Times New Roman"/>
          <w:lang w:eastAsia="de-DE"/>
        </w:rPr>
        <w:t xml:space="preserve"> </w:t>
      </w:r>
      <w:r w:rsidRPr="007B72C7">
        <w:rPr>
          <w:rFonts w:eastAsia="Times New Roman"/>
          <w:b/>
          <w:bCs/>
          <w:rtl/>
          <w:lang w:eastAsia="de-DE"/>
        </w:rPr>
        <w:t>יְהוָה אֱלֹהֵי אֲבוֹתֵכֶם</w:t>
      </w:r>
      <w:r w:rsidRPr="007B72C7">
        <w:rPr>
          <w:rFonts w:eastAsia="Times New Roman"/>
          <w:rtl/>
          <w:lang w:eastAsia="de-DE"/>
        </w:rPr>
        <w:t xml:space="preserve"> </w:t>
      </w:r>
      <w:r w:rsidRPr="007B72C7">
        <w:rPr>
          <w:rFonts w:eastAsia="Times New Roman"/>
          <w:lang w:eastAsia="de-DE"/>
        </w:rPr>
        <w:t xml:space="preserve">ist eine erweiterte Gottesbezeichnung: </w:t>
      </w:r>
      <w:r w:rsidRPr="007B72C7">
        <w:rPr>
          <w:rFonts w:eastAsia="Times New Roman"/>
          <w:b/>
          <w:bCs/>
          <w:rtl/>
          <w:lang w:eastAsia="de-DE"/>
        </w:rPr>
        <w:t>יְהוָה</w:t>
      </w:r>
      <w:r w:rsidRPr="007B72C7">
        <w:rPr>
          <w:rFonts w:eastAsia="Times New Roman"/>
          <w:lang w:eastAsia="de-DE"/>
        </w:rPr>
        <w:t xml:space="preserve">, </w:t>
      </w:r>
      <w:r w:rsidRPr="007B72C7">
        <w:rPr>
          <w:rFonts w:eastAsia="Times New Roman"/>
          <w:b/>
          <w:bCs/>
          <w:rtl/>
          <w:lang w:eastAsia="de-DE"/>
        </w:rPr>
        <w:t>אֱלֹהֵי</w:t>
      </w:r>
      <w:r w:rsidRPr="007B72C7">
        <w:rPr>
          <w:rFonts w:eastAsia="Times New Roman"/>
          <w:rtl/>
          <w:lang w:eastAsia="de-DE"/>
        </w:rPr>
        <w:t xml:space="preserve"> </w:t>
      </w:r>
      <w:r w:rsidRPr="007B72C7">
        <w:rPr>
          <w:rFonts w:eastAsia="Times New Roman"/>
          <w:lang w:eastAsia="de-DE"/>
        </w:rPr>
        <w:t xml:space="preserve">(Plural </w:t>
      </w:r>
      <w:r w:rsidR="0032647F">
        <w:rPr>
          <w:rFonts w:eastAsia="Times New Roman"/>
          <w:lang w:eastAsia="de-DE"/>
        </w:rPr>
        <w:t>Construct</w:t>
      </w:r>
      <w:r w:rsidRPr="007B72C7">
        <w:rPr>
          <w:rFonts w:eastAsia="Times New Roman"/>
          <w:lang w:eastAsia="de-DE"/>
        </w:rPr>
        <w:t xml:space="preserve"> von </w:t>
      </w:r>
      <w:r w:rsidRPr="007B72C7">
        <w:rPr>
          <w:rFonts w:eastAsia="Times New Roman"/>
          <w:b/>
          <w:bCs/>
          <w:rtl/>
          <w:lang w:eastAsia="de-DE"/>
        </w:rPr>
        <w:t>אֱלֹהִים</w:t>
      </w:r>
      <w:r w:rsidRPr="007B72C7">
        <w:rPr>
          <w:rFonts w:eastAsia="Times New Roman"/>
          <w:lang w:eastAsia="de-DE"/>
        </w:rPr>
        <w:t xml:space="preserve">), </w:t>
      </w:r>
      <w:r w:rsidRPr="007B72C7">
        <w:rPr>
          <w:rFonts w:eastAsia="Times New Roman"/>
          <w:b/>
          <w:bCs/>
          <w:rtl/>
          <w:lang w:eastAsia="de-DE"/>
        </w:rPr>
        <w:t>אֲבוֹתֵכֶם</w:t>
      </w:r>
      <w:r w:rsidRPr="007B72C7">
        <w:rPr>
          <w:rFonts w:eastAsia="Times New Roman"/>
          <w:rtl/>
          <w:lang w:eastAsia="de-DE"/>
        </w:rPr>
        <w:t xml:space="preserve"> </w:t>
      </w:r>
      <w:r w:rsidRPr="007B72C7">
        <w:rPr>
          <w:rFonts w:eastAsia="Times New Roman"/>
          <w:lang w:eastAsia="de-DE"/>
        </w:rPr>
        <w:t xml:space="preserve">(Plural von </w:t>
      </w:r>
      <w:r w:rsidRPr="007B72C7">
        <w:rPr>
          <w:rFonts w:eastAsia="Times New Roman"/>
          <w:b/>
          <w:bCs/>
          <w:rtl/>
          <w:lang w:eastAsia="de-DE"/>
        </w:rPr>
        <w:t>אָב</w:t>
      </w:r>
      <w:r w:rsidRPr="007B72C7">
        <w:rPr>
          <w:rFonts w:eastAsia="Times New Roman"/>
          <w:rtl/>
          <w:lang w:eastAsia="de-DE"/>
        </w:rPr>
        <w:t xml:space="preserve"> </w:t>
      </w:r>
      <w:r w:rsidRPr="007B72C7">
        <w:rPr>
          <w:rFonts w:eastAsia="Times New Roman"/>
          <w:lang w:eastAsia="de-DE"/>
        </w:rPr>
        <w:t xml:space="preserve">„Vater" im </w:t>
      </w:r>
      <w:r w:rsidR="0032647F">
        <w:rPr>
          <w:rFonts w:eastAsia="Times New Roman"/>
          <w:lang w:eastAsia="de-DE"/>
        </w:rPr>
        <w:t>Construct</w:t>
      </w:r>
      <w:r w:rsidRPr="007B72C7">
        <w:rPr>
          <w:rFonts w:eastAsia="Times New Roman"/>
          <w:lang w:eastAsia="de-DE"/>
        </w:rPr>
        <w:t xml:space="preserve"> mit Suffix 2. Person maskulin Plural). Diese Formulierung betont die Kontinuität mit den Patriarchen. </w:t>
      </w:r>
      <w:r w:rsidRPr="007B72C7">
        <w:rPr>
          <w:rFonts w:eastAsia="Times New Roman"/>
          <w:b/>
          <w:bCs/>
          <w:rtl/>
          <w:lang w:eastAsia="de-DE"/>
        </w:rPr>
        <w:t>יֹסֵף</w:t>
      </w:r>
      <w:r w:rsidRPr="007B72C7">
        <w:rPr>
          <w:rFonts w:eastAsia="Times New Roman"/>
          <w:rtl/>
          <w:lang w:eastAsia="de-DE"/>
        </w:rPr>
        <w:t xml:space="preserve"> </w:t>
      </w:r>
      <w:r w:rsidRPr="007B72C7">
        <w:rPr>
          <w:rFonts w:eastAsia="Times New Roman"/>
          <w:lang w:eastAsia="de-DE"/>
        </w:rPr>
        <w:t xml:space="preserve">ist Hif'il Jussiv (oder Imperfekt), 3. Person maskulin Singular von </w:t>
      </w:r>
      <w:r w:rsidRPr="007B72C7">
        <w:rPr>
          <w:rFonts w:eastAsia="Times New Roman"/>
          <w:rtl/>
          <w:lang w:eastAsia="de-DE"/>
        </w:rPr>
        <w:t>יסף</w:t>
      </w:r>
      <w:r w:rsidRPr="007B72C7">
        <w:rPr>
          <w:rFonts w:eastAsia="Times New Roman"/>
          <w:lang w:eastAsia="de-DE"/>
        </w:rPr>
        <w:t xml:space="preserve"> („hinzufügen, vermehren"). Der Jussiv drückt einen Wunsch oder Segenswunsch aus. </w:t>
      </w:r>
      <w:r w:rsidRPr="007B72C7">
        <w:rPr>
          <w:rFonts w:eastAsia="Times New Roman"/>
          <w:b/>
          <w:bCs/>
          <w:rtl/>
          <w:lang w:eastAsia="de-DE"/>
        </w:rPr>
        <w:t>עֲלֵיכֶם</w:t>
      </w:r>
      <w:r w:rsidRPr="007B72C7">
        <w:rPr>
          <w:rFonts w:eastAsia="Times New Roman"/>
          <w:rtl/>
          <w:lang w:eastAsia="de-DE"/>
        </w:rPr>
        <w:t xml:space="preserve"> </w:t>
      </w:r>
      <w:r w:rsidRPr="007B72C7">
        <w:rPr>
          <w:rFonts w:eastAsia="Times New Roman"/>
          <w:lang w:eastAsia="de-DE"/>
        </w:rPr>
        <w:t xml:space="preserve">ist die Präposition </w:t>
      </w:r>
      <w:r w:rsidRPr="007B72C7">
        <w:rPr>
          <w:rFonts w:eastAsia="Times New Roman"/>
          <w:b/>
          <w:bCs/>
          <w:rtl/>
          <w:lang w:eastAsia="de-DE"/>
        </w:rPr>
        <w:t>עַל</w:t>
      </w:r>
      <w:r w:rsidRPr="007B72C7">
        <w:rPr>
          <w:rFonts w:eastAsia="Times New Roman"/>
          <w:rtl/>
          <w:lang w:eastAsia="de-DE"/>
        </w:rPr>
        <w:t xml:space="preserve"> </w:t>
      </w:r>
      <w:r w:rsidRPr="007B72C7">
        <w:rPr>
          <w:rFonts w:eastAsia="Times New Roman"/>
          <w:lang w:eastAsia="de-DE"/>
        </w:rPr>
        <w:t>(„auf, zu") mit Suffix 2. Person maskulin Plural.</w:t>
      </w:r>
    </w:p>
    <w:p w14:paraId="11C13A81"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rtl/>
          <w:lang w:eastAsia="de-DE"/>
        </w:rPr>
        <w:t>כָּכֶם</w:t>
      </w:r>
      <w:r w:rsidRPr="007B72C7">
        <w:rPr>
          <w:rFonts w:eastAsia="Times New Roman"/>
          <w:rtl/>
          <w:lang w:eastAsia="de-DE"/>
        </w:rPr>
        <w:t xml:space="preserve"> </w:t>
      </w:r>
      <w:r w:rsidRPr="007B72C7">
        <w:rPr>
          <w:rFonts w:eastAsia="Times New Roman"/>
          <w:lang w:eastAsia="de-DE"/>
        </w:rPr>
        <w:t xml:space="preserve">ist </w:t>
      </w:r>
      <w:r w:rsidRPr="007B72C7">
        <w:rPr>
          <w:rFonts w:eastAsia="Times New Roman"/>
          <w:b/>
          <w:bCs/>
          <w:rtl/>
          <w:lang w:eastAsia="de-DE"/>
        </w:rPr>
        <w:t>כְּ</w:t>
      </w:r>
      <w:r w:rsidRPr="007B72C7">
        <w:rPr>
          <w:rFonts w:eastAsia="Times New Roman"/>
          <w:rtl/>
          <w:lang w:eastAsia="de-DE"/>
        </w:rPr>
        <w:t xml:space="preserve"> </w:t>
      </w:r>
      <w:r w:rsidRPr="007B72C7">
        <w:rPr>
          <w:rFonts w:eastAsia="Times New Roman"/>
          <w:lang w:eastAsia="de-DE"/>
        </w:rPr>
        <w:t xml:space="preserve">mit dem Suffix 2. Person maskulin Plural („wie ihr"). </w:t>
      </w:r>
      <w:r w:rsidRPr="007B72C7">
        <w:rPr>
          <w:rFonts w:eastAsia="Times New Roman"/>
          <w:b/>
          <w:bCs/>
          <w:rtl/>
          <w:lang w:eastAsia="de-DE"/>
        </w:rPr>
        <w:t>אֶלֶף</w:t>
      </w:r>
      <w:r w:rsidRPr="007B72C7">
        <w:rPr>
          <w:rFonts w:eastAsia="Times New Roman"/>
          <w:rtl/>
          <w:lang w:eastAsia="de-DE"/>
        </w:rPr>
        <w:t xml:space="preserve"> </w:t>
      </w:r>
      <w:r w:rsidRPr="007B72C7">
        <w:rPr>
          <w:rFonts w:eastAsia="Times New Roman"/>
          <w:lang w:eastAsia="de-DE"/>
        </w:rPr>
        <w:t xml:space="preserve">ist die Kardinalzahl „tausend". </w:t>
      </w:r>
      <w:r w:rsidRPr="007B72C7">
        <w:rPr>
          <w:rFonts w:eastAsia="Times New Roman"/>
          <w:b/>
          <w:bCs/>
          <w:rtl/>
          <w:lang w:eastAsia="de-DE"/>
        </w:rPr>
        <w:t>פְּעָמִים</w:t>
      </w:r>
      <w:r w:rsidRPr="007B72C7">
        <w:rPr>
          <w:rFonts w:eastAsia="Times New Roman"/>
          <w:rtl/>
          <w:lang w:eastAsia="de-DE"/>
        </w:rPr>
        <w:t xml:space="preserve"> </w:t>
      </w:r>
      <w:r w:rsidRPr="007B72C7">
        <w:rPr>
          <w:rFonts w:eastAsia="Times New Roman"/>
          <w:lang w:eastAsia="de-DE"/>
        </w:rPr>
        <w:t xml:space="preserve">ist der Plural von </w:t>
      </w:r>
      <w:r w:rsidRPr="007B72C7">
        <w:rPr>
          <w:rFonts w:eastAsia="Times New Roman"/>
          <w:b/>
          <w:bCs/>
          <w:rtl/>
          <w:lang w:eastAsia="de-DE"/>
        </w:rPr>
        <w:t>פַּעַם</w:t>
      </w:r>
      <w:r w:rsidRPr="007B72C7">
        <w:rPr>
          <w:rFonts w:eastAsia="Times New Roman"/>
          <w:rtl/>
          <w:lang w:eastAsia="de-DE"/>
        </w:rPr>
        <w:t xml:space="preserve"> </w:t>
      </w:r>
      <w:r w:rsidRPr="007B72C7">
        <w:rPr>
          <w:rFonts w:eastAsia="Times New Roman"/>
          <w:lang w:eastAsia="de-DE"/>
        </w:rPr>
        <w:t>(„Mal, Zeit"), hier im Akkusativ der Zeit. Die Phrase bedeutet „tausend Mal (so viel) wie ihr".</w:t>
      </w:r>
    </w:p>
    <w:p w14:paraId="3CEE1013"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rtl/>
          <w:lang w:eastAsia="de-DE"/>
        </w:rPr>
        <w:t>וִיבָרֵךְ</w:t>
      </w:r>
      <w:r w:rsidRPr="007B72C7">
        <w:rPr>
          <w:rFonts w:eastAsia="Times New Roman"/>
          <w:rtl/>
          <w:lang w:eastAsia="de-DE"/>
        </w:rPr>
        <w:t xml:space="preserve"> </w:t>
      </w:r>
      <w:r w:rsidRPr="007B72C7">
        <w:rPr>
          <w:rFonts w:eastAsia="Times New Roman"/>
          <w:lang w:eastAsia="de-DE"/>
        </w:rPr>
        <w:t xml:space="preserve">ist Piel Jussiv (oder Imperfekt consecutivum), 3. Person maskulin Singular von </w:t>
      </w:r>
      <w:r w:rsidRPr="007B72C7">
        <w:rPr>
          <w:rFonts w:eastAsia="Times New Roman"/>
          <w:rtl/>
          <w:lang w:eastAsia="de-DE"/>
        </w:rPr>
        <w:t>ברך</w:t>
      </w:r>
      <w:r w:rsidRPr="007B72C7">
        <w:rPr>
          <w:rFonts w:eastAsia="Times New Roman"/>
          <w:lang w:eastAsia="de-DE"/>
        </w:rPr>
        <w:t xml:space="preserve"> („segnen") mit Waw. </w:t>
      </w:r>
      <w:r w:rsidRPr="007B72C7">
        <w:rPr>
          <w:rFonts w:eastAsia="Times New Roman"/>
          <w:b/>
          <w:bCs/>
          <w:rtl/>
          <w:lang w:eastAsia="de-DE"/>
        </w:rPr>
        <w:t>אֶתְכֶם</w:t>
      </w:r>
      <w:r w:rsidRPr="007B72C7">
        <w:rPr>
          <w:rFonts w:eastAsia="Times New Roman"/>
          <w:rtl/>
          <w:lang w:eastAsia="de-DE"/>
        </w:rPr>
        <w:t xml:space="preserve"> </w:t>
      </w:r>
      <w:r w:rsidRPr="007B72C7">
        <w:rPr>
          <w:rFonts w:eastAsia="Times New Roman"/>
          <w:lang w:eastAsia="de-DE"/>
        </w:rPr>
        <w:t xml:space="preserve">ist die Objektpartikel mit Suffix 2. Person maskulin Plural. </w:t>
      </w:r>
      <w:r w:rsidRPr="007B72C7">
        <w:rPr>
          <w:rFonts w:eastAsia="Times New Roman"/>
          <w:b/>
          <w:bCs/>
          <w:rtl/>
          <w:lang w:eastAsia="de-DE"/>
        </w:rPr>
        <w:t>כַּאֲשֶׁר</w:t>
      </w:r>
      <w:r w:rsidRPr="007B72C7">
        <w:rPr>
          <w:rFonts w:eastAsia="Times New Roman"/>
          <w:rtl/>
          <w:lang w:eastAsia="de-DE"/>
        </w:rPr>
        <w:t xml:space="preserve"> </w:t>
      </w:r>
      <w:r w:rsidRPr="007B72C7">
        <w:rPr>
          <w:rFonts w:eastAsia="Times New Roman"/>
          <w:lang w:eastAsia="de-DE"/>
        </w:rPr>
        <w:t xml:space="preserve">ist eine Konjunktion („wie, gemäß wie"). </w:t>
      </w:r>
      <w:r w:rsidRPr="007B72C7">
        <w:rPr>
          <w:rFonts w:eastAsia="Times New Roman"/>
          <w:b/>
          <w:bCs/>
          <w:rtl/>
          <w:lang w:eastAsia="de-DE"/>
        </w:rPr>
        <w:t>דִּבֶּר</w:t>
      </w:r>
      <w:r w:rsidRPr="007B72C7">
        <w:rPr>
          <w:rFonts w:eastAsia="Times New Roman"/>
          <w:rtl/>
          <w:lang w:eastAsia="de-DE"/>
        </w:rPr>
        <w:t xml:space="preserve"> </w:t>
      </w:r>
      <w:r w:rsidRPr="007B72C7">
        <w:rPr>
          <w:rFonts w:eastAsia="Times New Roman"/>
          <w:lang w:eastAsia="de-DE"/>
        </w:rPr>
        <w:t xml:space="preserve">ist Piel Perfekt, 3. Person maskulin Singular von </w:t>
      </w:r>
      <w:r w:rsidRPr="007B72C7">
        <w:rPr>
          <w:rFonts w:eastAsia="Times New Roman"/>
          <w:rtl/>
          <w:lang w:eastAsia="de-DE"/>
        </w:rPr>
        <w:t>דבר</w:t>
      </w:r>
      <w:r w:rsidRPr="007B72C7">
        <w:rPr>
          <w:rFonts w:eastAsia="Times New Roman"/>
          <w:lang w:eastAsia="de-DE"/>
        </w:rPr>
        <w:t xml:space="preserve">. </w:t>
      </w:r>
      <w:r w:rsidRPr="007B72C7">
        <w:rPr>
          <w:rFonts w:eastAsia="Times New Roman"/>
          <w:b/>
          <w:bCs/>
          <w:rtl/>
          <w:lang w:eastAsia="de-DE"/>
        </w:rPr>
        <w:t>לָכֶם</w:t>
      </w:r>
      <w:r w:rsidRPr="007B72C7">
        <w:rPr>
          <w:rFonts w:eastAsia="Times New Roman"/>
          <w:rtl/>
          <w:lang w:eastAsia="de-DE"/>
        </w:rPr>
        <w:t xml:space="preserve"> </w:t>
      </w:r>
      <w:r w:rsidRPr="007B72C7">
        <w:rPr>
          <w:rFonts w:eastAsia="Times New Roman"/>
          <w:lang w:eastAsia="de-DE"/>
        </w:rPr>
        <w:t xml:space="preserve">ist </w:t>
      </w:r>
      <w:r w:rsidRPr="007B72C7">
        <w:rPr>
          <w:rFonts w:eastAsia="Times New Roman"/>
          <w:b/>
          <w:bCs/>
          <w:rtl/>
          <w:lang w:eastAsia="de-DE"/>
        </w:rPr>
        <w:t>לְ</w:t>
      </w:r>
      <w:r w:rsidRPr="007B72C7">
        <w:rPr>
          <w:rFonts w:eastAsia="Times New Roman"/>
          <w:rtl/>
          <w:lang w:eastAsia="de-DE"/>
        </w:rPr>
        <w:t xml:space="preserve"> </w:t>
      </w:r>
      <w:r w:rsidRPr="007B72C7">
        <w:rPr>
          <w:rFonts w:eastAsia="Times New Roman"/>
          <w:lang w:eastAsia="de-DE"/>
        </w:rPr>
        <w:t>mit Suffix 2. Person maskulin Plural („zu euch").</w:t>
      </w:r>
    </w:p>
    <w:p w14:paraId="13EB7EFF"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Die LXX</w:t>
      </w:r>
      <w:r w:rsidRPr="007B72C7">
        <w:rPr>
          <w:rFonts w:eastAsia="Times New Roman"/>
          <w:lang w:eastAsia="de-DE"/>
        </w:rPr>
        <w:t xml:space="preserve"> übersetzt „</w:t>
      </w:r>
      <w:proofErr w:type="spellStart"/>
      <w:r w:rsidRPr="007B72C7">
        <w:rPr>
          <w:rFonts w:eastAsia="Times New Roman"/>
          <w:lang w:eastAsia="de-DE"/>
        </w:rPr>
        <w:t>κύριος</w:t>
      </w:r>
      <w:proofErr w:type="spellEnd"/>
      <w:r w:rsidRPr="007B72C7">
        <w:rPr>
          <w:rFonts w:eastAsia="Times New Roman"/>
          <w:lang w:eastAsia="de-DE"/>
        </w:rPr>
        <w:t xml:space="preserve"> ὁ </w:t>
      </w:r>
      <w:proofErr w:type="spellStart"/>
      <w:r w:rsidRPr="007B72C7">
        <w:rPr>
          <w:rFonts w:eastAsia="Times New Roman"/>
          <w:lang w:eastAsia="de-DE"/>
        </w:rPr>
        <w:t>θεὸς</w:t>
      </w:r>
      <w:proofErr w:type="spellEnd"/>
      <w:r w:rsidRPr="007B72C7">
        <w:rPr>
          <w:rFonts w:eastAsia="Times New Roman"/>
          <w:lang w:eastAsia="de-DE"/>
        </w:rPr>
        <w:t xml:space="preserve"> </w:t>
      </w:r>
      <w:proofErr w:type="spellStart"/>
      <w:r w:rsidRPr="007B72C7">
        <w:rPr>
          <w:rFonts w:eastAsia="Times New Roman"/>
          <w:lang w:eastAsia="de-DE"/>
        </w:rPr>
        <w:t>τῶν</w:t>
      </w:r>
      <w:proofErr w:type="spellEnd"/>
      <w:r w:rsidRPr="007B72C7">
        <w:rPr>
          <w:rFonts w:eastAsia="Times New Roman"/>
          <w:lang w:eastAsia="de-DE"/>
        </w:rPr>
        <w:t xml:space="preserve"> πα</w:t>
      </w:r>
      <w:proofErr w:type="spellStart"/>
      <w:r w:rsidRPr="007B72C7">
        <w:rPr>
          <w:rFonts w:eastAsia="Times New Roman"/>
          <w:lang w:eastAsia="de-DE"/>
        </w:rPr>
        <w:t>τέρων</w:t>
      </w:r>
      <w:proofErr w:type="spellEnd"/>
      <w:r w:rsidRPr="007B72C7">
        <w:rPr>
          <w:rFonts w:eastAsia="Times New Roman"/>
          <w:lang w:eastAsia="de-DE"/>
        </w:rPr>
        <w:t xml:space="preserve"> </w:t>
      </w:r>
      <w:proofErr w:type="spellStart"/>
      <w:r w:rsidRPr="007B72C7">
        <w:rPr>
          <w:rFonts w:eastAsia="Times New Roman"/>
          <w:lang w:eastAsia="de-DE"/>
        </w:rPr>
        <w:t>ὑμῶν</w:t>
      </w:r>
      <w:proofErr w:type="spellEnd"/>
      <w:r w:rsidRPr="007B72C7">
        <w:rPr>
          <w:rFonts w:eastAsia="Times New Roman"/>
          <w:lang w:eastAsia="de-DE"/>
        </w:rPr>
        <w:t xml:space="preserve"> π</w:t>
      </w:r>
      <w:proofErr w:type="spellStart"/>
      <w:r w:rsidRPr="007B72C7">
        <w:rPr>
          <w:rFonts w:eastAsia="Times New Roman"/>
          <w:lang w:eastAsia="de-DE"/>
        </w:rPr>
        <w:t>ροσθείη</w:t>
      </w:r>
      <w:proofErr w:type="spellEnd"/>
      <w:r w:rsidRPr="007B72C7">
        <w:rPr>
          <w:rFonts w:eastAsia="Times New Roman"/>
          <w:lang w:eastAsia="de-DE"/>
        </w:rPr>
        <w:t xml:space="preserve"> </w:t>
      </w:r>
      <w:proofErr w:type="spellStart"/>
      <w:r w:rsidRPr="007B72C7">
        <w:rPr>
          <w:rFonts w:eastAsia="Times New Roman"/>
          <w:lang w:eastAsia="de-DE"/>
        </w:rPr>
        <w:t>ὑμῖν</w:t>
      </w:r>
      <w:proofErr w:type="spellEnd"/>
      <w:r w:rsidRPr="007B72C7">
        <w:rPr>
          <w:rFonts w:eastAsia="Times New Roman"/>
          <w:lang w:eastAsia="de-DE"/>
        </w:rPr>
        <w:t xml:space="preserve"> </w:t>
      </w:r>
      <w:proofErr w:type="spellStart"/>
      <w:r w:rsidRPr="007B72C7">
        <w:rPr>
          <w:rFonts w:eastAsia="Times New Roman"/>
          <w:lang w:eastAsia="de-DE"/>
        </w:rPr>
        <w:t>ὡς</w:t>
      </w:r>
      <w:proofErr w:type="spellEnd"/>
      <w:r w:rsidRPr="007B72C7">
        <w:rPr>
          <w:rFonts w:eastAsia="Times New Roman"/>
          <w:lang w:eastAsia="de-DE"/>
        </w:rPr>
        <w:t xml:space="preserve"> </w:t>
      </w:r>
      <w:proofErr w:type="spellStart"/>
      <w:r w:rsidRPr="007B72C7">
        <w:rPr>
          <w:rFonts w:eastAsia="Times New Roman"/>
          <w:lang w:eastAsia="de-DE"/>
        </w:rPr>
        <w:t>ἐστὲ</w:t>
      </w:r>
      <w:proofErr w:type="spellEnd"/>
      <w:r w:rsidRPr="007B72C7">
        <w:rPr>
          <w:rFonts w:eastAsia="Times New Roman"/>
          <w:lang w:eastAsia="de-DE"/>
        </w:rPr>
        <w:t xml:space="preserve"> </w:t>
      </w:r>
      <w:proofErr w:type="spellStart"/>
      <w:r w:rsidRPr="007B72C7">
        <w:rPr>
          <w:rFonts w:eastAsia="Times New Roman"/>
          <w:lang w:eastAsia="de-DE"/>
        </w:rPr>
        <w:t>χιλιο</w:t>
      </w:r>
      <w:proofErr w:type="spellEnd"/>
      <w:r w:rsidRPr="007B72C7">
        <w:rPr>
          <w:rFonts w:eastAsia="Times New Roman"/>
          <w:lang w:eastAsia="de-DE"/>
        </w:rPr>
        <w:t xml:space="preserve">πλασίως καὶ </w:t>
      </w:r>
      <w:proofErr w:type="spellStart"/>
      <w:r w:rsidRPr="007B72C7">
        <w:rPr>
          <w:rFonts w:eastAsia="Times New Roman"/>
          <w:lang w:eastAsia="de-DE"/>
        </w:rPr>
        <w:t>εὐλογήσ</w:t>
      </w:r>
      <w:proofErr w:type="spellEnd"/>
      <w:r w:rsidRPr="007B72C7">
        <w:rPr>
          <w:rFonts w:eastAsia="Times New Roman"/>
          <w:lang w:eastAsia="de-DE"/>
        </w:rPr>
        <w:t xml:space="preserve">αι </w:t>
      </w:r>
      <w:proofErr w:type="spellStart"/>
      <w:r w:rsidRPr="007B72C7">
        <w:rPr>
          <w:rFonts w:eastAsia="Times New Roman"/>
          <w:lang w:eastAsia="de-DE"/>
        </w:rPr>
        <w:t>ὑμᾶς</w:t>
      </w:r>
      <w:proofErr w:type="spellEnd"/>
      <w:r w:rsidRPr="007B72C7">
        <w:rPr>
          <w:rFonts w:eastAsia="Times New Roman"/>
          <w:lang w:eastAsia="de-DE"/>
        </w:rPr>
        <w:t xml:space="preserve"> κα</w:t>
      </w:r>
      <w:proofErr w:type="spellStart"/>
      <w:r w:rsidRPr="007B72C7">
        <w:rPr>
          <w:rFonts w:eastAsia="Times New Roman"/>
          <w:lang w:eastAsia="de-DE"/>
        </w:rPr>
        <w:t>θότι</w:t>
      </w:r>
      <w:proofErr w:type="spellEnd"/>
      <w:r w:rsidRPr="007B72C7">
        <w:rPr>
          <w:rFonts w:eastAsia="Times New Roman"/>
          <w:lang w:eastAsia="de-DE"/>
        </w:rPr>
        <w:t xml:space="preserve"> </w:t>
      </w:r>
      <w:proofErr w:type="spellStart"/>
      <w:r w:rsidRPr="007B72C7">
        <w:rPr>
          <w:rFonts w:eastAsia="Times New Roman"/>
          <w:lang w:eastAsia="de-DE"/>
        </w:rPr>
        <w:t>ἐλάλησεν</w:t>
      </w:r>
      <w:proofErr w:type="spellEnd"/>
      <w:r w:rsidRPr="007B72C7">
        <w:rPr>
          <w:rFonts w:eastAsia="Times New Roman"/>
          <w:lang w:eastAsia="de-DE"/>
        </w:rPr>
        <w:t xml:space="preserve"> </w:t>
      </w:r>
      <w:proofErr w:type="spellStart"/>
      <w:r w:rsidRPr="007B72C7">
        <w:rPr>
          <w:rFonts w:eastAsia="Times New Roman"/>
          <w:lang w:eastAsia="de-DE"/>
        </w:rPr>
        <w:t>ὑμῖν</w:t>
      </w:r>
      <w:proofErr w:type="spellEnd"/>
      <w:r w:rsidRPr="007B72C7">
        <w:rPr>
          <w:rFonts w:eastAsia="Times New Roman"/>
          <w:lang w:eastAsia="de-DE"/>
        </w:rPr>
        <w:t>" („Der Herr, der Gott eurer Väter, möge zu euch hinzufügen, wie ihr seid, tausendfach, und euch segnen, wie er zu euch geredet hat"). Die LXX verwendet „</w:t>
      </w:r>
      <w:proofErr w:type="spellStart"/>
      <w:r w:rsidRPr="007B72C7">
        <w:rPr>
          <w:rFonts w:eastAsia="Times New Roman"/>
          <w:lang w:eastAsia="de-DE"/>
        </w:rPr>
        <w:t>χιλιο</w:t>
      </w:r>
      <w:proofErr w:type="spellEnd"/>
      <w:r w:rsidRPr="007B72C7">
        <w:rPr>
          <w:rFonts w:eastAsia="Times New Roman"/>
          <w:lang w:eastAsia="de-DE"/>
        </w:rPr>
        <w:t>πλασίως" („tausendfach"), was die Multiplikation expliziert.</w:t>
      </w:r>
    </w:p>
    <w:p w14:paraId="4C73CB29"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lang w:eastAsia="de-DE"/>
        </w:rPr>
        <w:t xml:space="preserve">Die Satzstruktur besteht aus zwei koordinierten Wunschsätzen (Jussive): (1) </w:t>
      </w:r>
      <w:r w:rsidRPr="007B72C7">
        <w:rPr>
          <w:rFonts w:eastAsia="Times New Roman"/>
          <w:b/>
          <w:bCs/>
          <w:rtl/>
          <w:lang w:eastAsia="de-DE"/>
        </w:rPr>
        <w:t>יְהוָה אֱלֹהֵי אֲבוֹתֵכֶם</w:t>
      </w:r>
      <w:r w:rsidRPr="007B72C7">
        <w:rPr>
          <w:rFonts w:eastAsia="Times New Roman"/>
          <w:rtl/>
          <w:lang w:eastAsia="de-DE"/>
        </w:rPr>
        <w:t xml:space="preserve"> </w:t>
      </w:r>
      <w:r w:rsidRPr="007B72C7">
        <w:rPr>
          <w:rFonts w:eastAsia="Times New Roman"/>
          <w:lang w:eastAsia="de-DE"/>
        </w:rPr>
        <w:t xml:space="preserve">als Subjekt, </w:t>
      </w:r>
      <w:r w:rsidRPr="007B72C7">
        <w:rPr>
          <w:rFonts w:eastAsia="Times New Roman"/>
          <w:b/>
          <w:bCs/>
          <w:rtl/>
          <w:lang w:eastAsia="de-DE"/>
        </w:rPr>
        <w:t>יֹסֵף</w:t>
      </w:r>
      <w:r w:rsidRPr="007B72C7">
        <w:rPr>
          <w:rFonts w:eastAsia="Times New Roman"/>
          <w:rtl/>
          <w:lang w:eastAsia="de-DE"/>
        </w:rPr>
        <w:t xml:space="preserve"> </w:t>
      </w:r>
      <w:r w:rsidRPr="007B72C7">
        <w:rPr>
          <w:rFonts w:eastAsia="Times New Roman"/>
          <w:lang w:eastAsia="de-DE"/>
        </w:rPr>
        <w:t>als Prädikat mit präpositionaler Ergänzung (</w:t>
      </w:r>
      <w:r w:rsidRPr="007B72C7">
        <w:rPr>
          <w:rFonts w:eastAsia="Times New Roman"/>
          <w:b/>
          <w:bCs/>
          <w:rtl/>
          <w:lang w:eastAsia="de-DE"/>
        </w:rPr>
        <w:t>עֲלֵיכֶם</w:t>
      </w:r>
      <w:r w:rsidRPr="007B72C7">
        <w:rPr>
          <w:rFonts w:eastAsia="Times New Roman"/>
          <w:lang w:eastAsia="de-DE"/>
        </w:rPr>
        <w:t>) und Akkusativbestimmung (</w:t>
      </w:r>
      <w:r w:rsidRPr="007B72C7">
        <w:rPr>
          <w:rFonts w:eastAsia="Times New Roman"/>
          <w:b/>
          <w:bCs/>
          <w:rtl/>
          <w:lang w:eastAsia="de-DE"/>
        </w:rPr>
        <w:t>כָּכֶם אֶלֶף פְּעָמִים</w:t>
      </w:r>
      <w:r w:rsidRPr="007B72C7">
        <w:rPr>
          <w:rFonts w:eastAsia="Times New Roman"/>
          <w:lang w:eastAsia="de-DE"/>
        </w:rPr>
        <w:t xml:space="preserve">); (2) </w:t>
      </w:r>
      <w:r w:rsidRPr="007B72C7">
        <w:rPr>
          <w:rFonts w:eastAsia="Times New Roman"/>
          <w:b/>
          <w:bCs/>
          <w:rtl/>
          <w:lang w:eastAsia="de-DE"/>
        </w:rPr>
        <w:t>וִיבָרֵךְ אֶתְכֶם</w:t>
      </w:r>
      <w:r w:rsidRPr="007B72C7">
        <w:rPr>
          <w:rFonts w:eastAsia="Times New Roman"/>
          <w:rtl/>
          <w:lang w:eastAsia="de-DE"/>
        </w:rPr>
        <w:t xml:space="preserve"> </w:t>
      </w:r>
      <w:r w:rsidRPr="007B72C7">
        <w:rPr>
          <w:rFonts w:eastAsia="Times New Roman"/>
          <w:lang w:eastAsia="de-DE"/>
        </w:rPr>
        <w:t>mit Vergleichssatz (</w:t>
      </w:r>
      <w:r w:rsidRPr="007B72C7">
        <w:rPr>
          <w:rFonts w:eastAsia="Times New Roman"/>
          <w:b/>
          <w:bCs/>
          <w:rtl/>
          <w:lang w:eastAsia="de-DE"/>
        </w:rPr>
        <w:t>כַּאֲשֶׁר דִּבֶּר לָכֶם</w:t>
      </w:r>
      <w:r w:rsidRPr="007B72C7">
        <w:rPr>
          <w:rFonts w:eastAsia="Times New Roman"/>
          <w:lang w:eastAsia="de-DE"/>
        </w:rPr>
        <w:t>).</w:t>
      </w:r>
    </w:p>
    <w:p w14:paraId="1145CB86"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lang w:eastAsia="de-DE"/>
        </w:rPr>
        <w:t>Der Vers ist Moses Segenswunsch für weiteres Wachstum über die bereits erreichte große Zahl hinaus und verweist auf die göttlichen Verheißungen. Er zeigt, dass trotz der administrativen Herausforderung das Wachstum des Volkes als göttlicher Segen zu verstehen ist.</w:t>
      </w:r>
    </w:p>
    <w:p w14:paraId="3D9D8F2C" w14:textId="77777777" w:rsidR="007B72C7" w:rsidRPr="007B72C7" w:rsidRDefault="007B72C7" w:rsidP="007B72C7">
      <w:pPr>
        <w:spacing w:before="100" w:beforeAutospacing="1" w:after="100" w:afterAutospacing="1" w:line="240" w:lineRule="auto"/>
        <w:outlineLvl w:val="1"/>
        <w:rPr>
          <w:rFonts w:eastAsia="Times New Roman"/>
          <w:b/>
          <w:bCs/>
          <w:sz w:val="36"/>
          <w:szCs w:val="36"/>
          <w:lang w:eastAsia="de-DE"/>
        </w:rPr>
      </w:pPr>
      <w:r w:rsidRPr="007B72C7">
        <w:rPr>
          <w:rFonts w:eastAsia="Times New Roman"/>
          <w:b/>
          <w:bCs/>
          <w:sz w:val="36"/>
          <w:szCs w:val="36"/>
          <w:lang w:eastAsia="de-DE"/>
        </w:rPr>
        <w:t>Deuteronomium 1,12</w:t>
      </w:r>
    </w:p>
    <w:p w14:paraId="608A6D5D"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lastRenderedPageBreak/>
        <w:t>Hebräisch:</w:t>
      </w:r>
      <w:r w:rsidRPr="007B72C7">
        <w:rPr>
          <w:rFonts w:eastAsia="Times New Roman"/>
          <w:lang w:eastAsia="de-DE"/>
        </w:rPr>
        <w:t xml:space="preserve"> </w:t>
      </w:r>
      <w:r w:rsidRPr="007B72C7">
        <w:rPr>
          <w:rFonts w:eastAsia="Times New Roman"/>
          <w:rtl/>
          <w:lang w:eastAsia="de-DE"/>
        </w:rPr>
        <w:t>אֵיכָ֥ה אֶשָּׂ֖א לְבַדִּ֑י טָרְחֲכֶ֥ם וּמַֽשַּׂאֲכֶ֖ם וְרִֽיבְכֶֽם׃</w:t>
      </w:r>
    </w:p>
    <w:p w14:paraId="39927595"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Deutsch:</w:t>
      </w:r>
      <w:r w:rsidRPr="007B72C7">
        <w:rPr>
          <w:rFonts w:eastAsia="Times New Roman"/>
          <w:lang w:eastAsia="de-DE"/>
        </w:rPr>
        <w:t xml:space="preserve"> Wie kann ich allein eure Mühsal und eure Last und euren Streit tragen?</w:t>
      </w:r>
    </w:p>
    <w:p w14:paraId="42B5A514" w14:textId="77777777" w:rsidR="007B72C7" w:rsidRPr="007B72C7" w:rsidRDefault="004F5CEB" w:rsidP="007B72C7">
      <w:pPr>
        <w:spacing w:after="0" w:line="240" w:lineRule="auto"/>
        <w:rPr>
          <w:rFonts w:eastAsia="Times New Roman"/>
          <w:lang w:eastAsia="de-DE"/>
        </w:rPr>
      </w:pPr>
      <w:r>
        <w:rPr>
          <w:rFonts w:eastAsia="Times New Roman"/>
          <w:noProof/>
          <w:lang w:eastAsia="de-DE"/>
        </w:rPr>
        <w:pict w14:anchorId="77DA1DA4">
          <v:rect id="_x0000_i1036" style="width:0;height:1.5pt" o:hralign="center" o:hrstd="t" o:hr="t" fillcolor="#a0a0a0" stroked="f"/>
        </w:pict>
      </w:r>
    </w:p>
    <w:p w14:paraId="4D8AC2D6"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Kommentar:</w:t>
      </w:r>
      <w:r w:rsidRPr="007B72C7">
        <w:rPr>
          <w:rFonts w:eastAsia="Times New Roman"/>
          <w:lang w:eastAsia="de-DE"/>
        </w:rPr>
        <w:t xml:space="preserve"> </w:t>
      </w:r>
      <w:r w:rsidRPr="007B72C7">
        <w:rPr>
          <w:rFonts w:eastAsia="Times New Roman"/>
          <w:b/>
          <w:bCs/>
          <w:rtl/>
          <w:lang w:eastAsia="de-DE"/>
        </w:rPr>
        <w:t>אֵיכָה</w:t>
      </w:r>
      <w:r w:rsidRPr="007B72C7">
        <w:rPr>
          <w:rFonts w:eastAsia="Times New Roman"/>
          <w:rtl/>
          <w:lang w:eastAsia="de-DE"/>
        </w:rPr>
        <w:t xml:space="preserve"> </w:t>
      </w:r>
      <w:r w:rsidRPr="007B72C7">
        <w:rPr>
          <w:rFonts w:eastAsia="Times New Roman"/>
          <w:lang w:eastAsia="de-DE"/>
        </w:rPr>
        <w:t xml:space="preserve">ist ein interrogatives Adverb („wie?"), das oft Klage oder Verwunderung ausdrückt. </w:t>
      </w:r>
      <w:r w:rsidRPr="007B72C7">
        <w:rPr>
          <w:rFonts w:eastAsia="Times New Roman"/>
          <w:b/>
          <w:bCs/>
          <w:rtl/>
          <w:lang w:eastAsia="de-DE"/>
        </w:rPr>
        <w:t>אֶשָּׂא</w:t>
      </w:r>
      <w:r w:rsidRPr="007B72C7">
        <w:rPr>
          <w:rFonts w:eastAsia="Times New Roman"/>
          <w:rtl/>
          <w:lang w:eastAsia="de-DE"/>
        </w:rPr>
        <w:t xml:space="preserve"> </w:t>
      </w:r>
      <w:r w:rsidRPr="007B72C7">
        <w:rPr>
          <w:rFonts w:eastAsia="Times New Roman"/>
          <w:lang w:eastAsia="de-DE"/>
        </w:rPr>
        <w:t xml:space="preserve">ist Qal Imperfekt, 1. Person Singular von </w:t>
      </w:r>
      <w:r w:rsidRPr="007B72C7">
        <w:rPr>
          <w:rFonts w:eastAsia="Times New Roman"/>
          <w:rtl/>
          <w:lang w:eastAsia="de-DE"/>
        </w:rPr>
        <w:t>נשׂא</w:t>
      </w:r>
      <w:r w:rsidRPr="007B72C7">
        <w:rPr>
          <w:rFonts w:eastAsia="Times New Roman"/>
          <w:lang w:eastAsia="de-DE"/>
        </w:rPr>
        <w:t xml:space="preserve"> („tragen"). </w:t>
      </w:r>
      <w:r w:rsidRPr="007B72C7">
        <w:rPr>
          <w:rFonts w:eastAsia="Times New Roman"/>
          <w:b/>
          <w:bCs/>
          <w:rtl/>
          <w:lang w:eastAsia="de-DE"/>
        </w:rPr>
        <w:t>לְבַדִּי</w:t>
      </w:r>
      <w:r w:rsidRPr="007B72C7">
        <w:rPr>
          <w:rFonts w:eastAsia="Times New Roman"/>
          <w:rtl/>
          <w:lang w:eastAsia="de-DE"/>
        </w:rPr>
        <w:t xml:space="preserve"> </w:t>
      </w:r>
      <w:r w:rsidRPr="007B72C7">
        <w:rPr>
          <w:rFonts w:eastAsia="Times New Roman"/>
          <w:lang w:eastAsia="de-DE"/>
        </w:rPr>
        <w:t xml:space="preserve">ist </w:t>
      </w:r>
      <w:r w:rsidRPr="007B72C7">
        <w:rPr>
          <w:rFonts w:eastAsia="Times New Roman"/>
          <w:b/>
          <w:bCs/>
          <w:rtl/>
          <w:lang w:eastAsia="de-DE"/>
        </w:rPr>
        <w:t>לְ</w:t>
      </w:r>
      <w:r w:rsidRPr="007B72C7">
        <w:rPr>
          <w:rFonts w:eastAsia="Times New Roman"/>
          <w:rtl/>
          <w:lang w:eastAsia="de-DE"/>
        </w:rPr>
        <w:t xml:space="preserve"> </w:t>
      </w:r>
      <w:r w:rsidRPr="007B72C7">
        <w:rPr>
          <w:rFonts w:eastAsia="Times New Roman"/>
          <w:lang w:eastAsia="de-DE"/>
        </w:rPr>
        <w:t xml:space="preserve">mit </w:t>
      </w:r>
      <w:r w:rsidRPr="007B72C7">
        <w:rPr>
          <w:rFonts w:eastAsia="Times New Roman"/>
          <w:b/>
          <w:bCs/>
          <w:rtl/>
          <w:lang w:eastAsia="de-DE"/>
        </w:rPr>
        <w:t>בַּד</w:t>
      </w:r>
      <w:r w:rsidRPr="007B72C7">
        <w:rPr>
          <w:rFonts w:eastAsia="Times New Roman"/>
          <w:rtl/>
          <w:lang w:eastAsia="de-DE"/>
        </w:rPr>
        <w:t xml:space="preserve"> </w:t>
      </w:r>
      <w:r w:rsidRPr="007B72C7">
        <w:rPr>
          <w:rFonts w:eastAsia="Times New Roman"/>
          <w:lang w:eastAsia="de-DE"/>
        </w:rPr>
        <w:t>(„allein") und Suffix 1. Person Singular („allein, für mich allein"), identisch mit V. 9.</w:t>
      </w:r>
    </w:p>
    <w:p w14:paraId="5F616C06"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lang w:eastAsia="de-DE"/>
        </w:rPr>
        <w:t xml:space="preserve">Es folgen drei Objekte mit Possessivsuffixen: </w:t>
      </w:r>
      <w:r w:rsidRPr="007B72C7">
        <w:rPr>
          <w:rFonts w:eastAsia="Times New Roman"/>
          <w:b/>
          <w:bCs/>
          <w:rtl/>
          <w:lang w:eastAsia="de-DE"/>
        </w:rPr>
        <w:t>טָרְחֲכֶם</w:t>
      </w:r>
      <w:r w:rsidRPr="007B72C7">
        <w:rPr>
          <w:rFonts w:eastAsia="Times New Roman"/>
          <w:rtl/>
          <w:lang w:eastAsia="de-DE"/>
        </w:rPr>
        <w:t xml:space="preserve"> </w:t>
      </w:r>
      <w:r w:rsidRPr="007B72C7">
        <w:rPr>
          <w:rFonts w:eastAsia="Times New Roman"/>
          <w:lang w:eastAsia="de-DE"/>
        </w:rPr>
        <w:t xml:space="preserve">ist von </w:t>
      </w:r>
      <w:r w:rsidRPr="007B72C7">
        <w:rPr>
          <w:rFonts w:eastAsia="Times New Roman"/>
          <w:b/>
          <w:bCs/>
          <w:rtl/>
          <w:lang w:eastAsia="de-DE"/>
        </w:rPr>
        <w:t>טֹרַח</w:t>
      </w:r>
      <w:r w:rsidRPr="007B72C7">
        <w:rPr>
          <w:rFonts w:eastAsia="Times New Roman"/>
          <w:rtl/>
          <w:lang w:eastAsia="de-DE"/>
        </w:rPr>
        <w:t xml:space="preserve"> </w:t>
      </w:r>
      <w:r w:rsidRPr="007B72C7">
        <w:rPr>
          <w:rFonts w:eastAsia="Times New Roman"/>
          <w:lang w:eastAsia="de-DE"/>
        </w:rPr>
        <w:t xml:space="preserve">(„Mühsal, Last, Beschwernis") mit Suffix 2. Person maskulin Plural. </w:t>
      </w:r>
      <w:r w:rsidRPr="007B72C7">
        <w:rPr>
          <w:rFonts w:eastAsia="Times New Roman"/>
          <w:b/>
          <w:bCs/>
          <w:rtl/>
          <w:lang w:eastAsia="de-DE"/>
        </w:rPr>
        <w:t>וּמַשַּׂאֲכֶם</w:t>
      </w:r>
      <w:r w:rsidRPr="007B72C7">
        <w:rPr>
          <w:rFonts w:eastAsia="Times New Roman"/>
          <w:rtl/>
          <w:lang w:eastAsia="de-DE"/>
        </w:rPr>
        <w:t xml:space="preserve"> </w:t>
      </w:r>
      <w:r w:rsidRPr="007B72C7">
        <w:rPr>
          <w:rFonts w:eastAsia="Times New Roman"/>
          <w:lang w:eastAsia="de-DE"/>
        </w:rPr>
        <w:t xml:space="preserve">hat Waw copulativum und ist von </w:t>
      </w:r>
      <w:r w:rsidRPr="007B72C7">
        <w:rPr>
          <w:rFonts w:eastAsia="Times New Roman"/>
          <w:b/>
          <w:bCs/>
          <w:rtl/>
          <w:lang w:eastAsia="de-DE"/>
        </w:rPr>
        <w:t>מַשָּׂא</w:t>
      </w:r>
      <w:r w:rsidRPr="007B72C7">
        <w:rPr>
          <w:rFonts w:eastAsia="Times New Roman"/>
          <w:rtl/>
          <w:lang w:eastAsia="de-DE"/>
        </w:rPr>
        <w:t xml:space="preserve"> </w:t>
      </w:r>
      <w:r w:rsidRPr="007B72C7">
        <w:rPr>
          <w:rFonts w:eastAsia="Times New Roman"/>
          <w:lang w:eastAsia="de-DE"/>
        </w:rPr>
        <w:t xml:space="preserve">(„Last, Bürde") mit demselben Suffix. </w:t>
      </w:r>
      <w:r w:rsidRPr="007B72C7">
        <w:rPr>
          <w:rFonts w:eastAsia="Times New Roman"/>
          <w:b/>
          <w:bCs/>
          <w:rtl/>
          <w:lang w:eastAsia="de-DE"/>
        </w:rPr>
        <w:t>וְרִיבְכֶם</w:t>
      </w:r>
      <w:r w:rsidRPr="007B72C7">
        <w:rPr>
          <w:rFonts w:eastAsia="Times New Roman"/>
          <w:rtl/>
          <w:lang w:eastAsia="de-DE"/>
        </w:rPr>
        <w:t xml:space="preserve"> </w:t>
      </w:r>
      <w:r w:rsidRPr="007B72C7">
        <w:rPr>
          <w:rFonts w:eastAsia="Times New Roman"/>
          <w:lang w:eastAsia="de-DE"/>
        </w:rPr>
        <w:t xml:space="preserve">ist von </w:t>
      </w:r>
      <w:r w:rsidRPr="007B72C7">
        <w:rPr>
          <w:rFonts w:eastAsia="Times New Roman"/>
          <w:b/>
          <w:bCs/>
          <w:rtl/>
          <w:lang w:eastAsia="de-DE"/>
        </w:rPr>
        <w:t>רִיב</w:t>
      </w:r>
      <w:r w:rsidRPr="007B72C7">
        <w:rPr>
          <w:rFonts w:eastAsia="Times New Roman"/>
          <w:rtl/>
          <w:lang w:eastAsia="de-DE"/>
        </w:rPr>
        <w:t xml:space="preserve"> </w:t>
      </w:r>
      <w:r w:rsidRPr="007B72C7">
        <w:rPr>
          <w:rFonts w:eastAsia="Times New Roman"/>
          <w:lang w:eastAsia="de-DE"/>
        </w:rPr>
        <w:t xml:space="preserve">(„Streit, Rechtsstreit") mit demselben Suffix. Die drei Begriffe bilden eine </w:t>
      </w:r>
      <w:proofErr w:type="spellStart"/>
      <w:r w:rsidRPr="007B72C7">
        <w:rPr>
          <w:rFonts w:eastAsia="Times New Roman"/>
          <w:lang w:eastAsia="de-DE"/>
        </w:rPr>
        <w:t>klimaktische</w:t>
      </w:r>
      <w:proofErr w:type="spellEnd"/>
      <w:r w:rsidRPr="007B72C7">
        <w:rPr>
          <w:rFonts w:eastAsia="Times New Roman"/>
          <w:lang w:eastAsia="de-DE"/>
        </w:rPr>
        <w:t xml:space="preserve"> Aufzählung der Herausforderungen der Führung.</w:t>
      </w:r>
    </w:p>
    <w:p w14:paraId="377A0BAE"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Die LXX</w:t>
      </w:r>
      <w:r w:rsidRPr="007B72C7">
        <w:rPr>
          <w:rFonts w:eastAsia="Times New Roman"/>
          <w:lang w:eastAsia="de-DE"/>
        </w:rPr>
        <w:t xml:space="preserve"> übersetzt „π</w:t>
      </w:r>
      <w:proofErr w:type="spellStart"/>
      <w:r w:rsidRPr="007B72C7">
        <w:rPr>
          <w:rFonts w:eastAsia="Times New Roman"/>
          <w:lang w:eastAsia="de-DE"/>
        </w:rPr>
        <w:t>ῶς</w:t>
      </w:r>
      <w:proofErr w:type="spellEnd"/>
      <w:r w:rsidRPr="007B72C7">
        <w:rPr>
          <w:rFonts w:eastAsia="Times New Roman"/>
          <w:lang w:eastAsia="de-DE"/>
        </w:rPr>
        <w:t xml:space="preserve"> </w:t>
      </w:r>
      <w:proofErr w:type="spellStart"/>
      <w:r w:rsidRPr="007B72C7">
        <w:rPr>
          <w:rFonts w:eastAsia="Times New Roman"/>
          <w:lang w:eastAsia="de-DE"/>
        </w:rPr>
        <w:t>δυνήσομ</w:t>
      </w:r>
      <w:proofErr w:type="spellEnd"/>
      <w:r w:rsidRPr="007B72C7">
        <w:rPr>
          <w:rFonts w:eastAsia="Times New Roman"/>
          <w:lang w:eastAsia="de-DE"/>
        </w:rPr>
        <w:t xml:space="preserve">αι </w:t>
      </w:r>
      <w:proofErr w:type="spellStart"/>
      <w:r w:rsidRPr="007B72C7">
        <w:rPr>
          <w:rFonts w:eastAsia="Times New Roman"/>
          <w:lang w:eastAsia="de-DE"/>
        </w:rPr>
        <w:t>μόνος</w:t>
      </w:r>
      <w:proofErr w:type="spellEnd"/>
      <w:r w:rsidRPr="007B72C7">
        <w:rPr>
          <w:rFonts w:eastAsia="Times New Roman"/>
          <w:lang w:eastAsia="de-DE"/>
        </w:rPr>
        <w:t xml:space="preserve"> </w:t>
      </w:r>
      <w:proofErr w:type="spellStart"/>
      <w:r w:rsidRPr="007B72C7">
        <w:rPr>
          <w:rFonts w:eastAsia="Times New Roman"/>
          <w:lang w:eastAsia="de-DE"/>
        </w:rPr>
        <w:t>φέρειν</w:t>
      </w:r>
      <w:proofErr w:type="spellEnd"/>
      <w:r w:rsidRPr="007B72C7">
        <w:rPr>
          <w:rFonts w:eastAsia="Times New Roman"/>
          <w:lang w:eastAsia="de-DE"/>
        </w:rPr>
        <w:t xml:space="preserve"> </w:t>
      </w:r>
      <w:proofErr w:type="spellStart"/>
      <w:r w:rsidRPr="007B72C7">
        <w:rPr>
          <w:rFonts w:eastAsia="Times New Roman"/>
          <w:lang w:eastAsia="de-DE"/>
        </w:rPr>
        <w:t>τὸν</w:t>
      </w:r>
      <w:proofErr w:type="spellEnd"/>
      <w:r w:rsidRPr="007B72C7">
        <w:rPr>
          <w:rFonts w:eastAsia="Times New Roman"/>
          <w:lang w:eastAsia="de-DE"/>
        </w:rPr>
        <w:t xml:space="preserve"> </w:t>
      </w:r>
      <w:proofErr w:type="spellStart"/>
      <w:r w:rsidRPr="007B72C7">
        <w:rPr>
          <w:rFonts w:eastAsia="Times New Roman"/>
          <w:lang w:eastAsia="de-DE"/>
        </w:rPr>
        <w:t>κό</w:t>
      </w:r>
      <w:proofErr w:type="spellEnd"/>
      <w:r w:rsidRPr="007B72C7">
        <w:rPr>
          <w:rFonts w:eastAsia="Times New Roman"/>
          <w:lang w:eastAsia="de-DE"/>
        </w:rPr>
        <w:t xml:space="preserve">πον </w:t>
      </w:r>
      <w:proofErr w:type="spellStart"/>
      <w:r w:rsidRPr="007B72C7">
        <w:rPr>
          <w:rFonts w:eastAsia="Times New Roman"/>
          <w:lang w:eastAsia="de-DE"/>
        </w:rPr>
        <w:t>ὑμῶν</w:t>
      </w:r>
      <w:proofErr w:type="spellEnd"/>
      <w:r w:rsidRPr="007B72C7">
        <w:rPr>
          <w:rFonts w:eastAsia="Times New Roman"/>
          <w:lang w:eastAsia="de-DE"/>
        </w:rPr>
        <w:t xml:space="preserve"> καὶ τὴν ὑπ</w:t>
      </w:r>
      <w:proofErr w:type="spellStart"/>
      <w:r w:rsidRPr="007B72C7">
        <w:rPr>
          <w:rFonts w:eastAsia="Times New Roman"/>
          <w:lang w:eastAsia="de-DE"/>
        </w:rPr>
        <w:t>όστ</w:t>
      </w:r>
      <w:proofErr w:type="spellEnd"/>
      <w:r w:rsidRPr="007B72C7">
        <w:rPr>
          <w:rFonts w:eastAsia="Times New Roman"/>
          <w:lang w:eastAsia="de-DE"/>
        </w:rPr>
        <w:t xml:space="preserve">ασιν </w:t>
      </w:r>
      <w:proofErr w:type="spellStart"/>
      <w:r w:rsidRPr="007B72C7">
        <w:rPr>
          <w:rFonts w:eastAsia="Times New Roman"/>
          <w:lang w:eastAsia="de-DE"/>
        </w:rPr>
        <w:t>ὑμῶν</w:t>
      </w:r>
      <w:proofErr w:type="spellEnd"/>
      <w:r w:rsidRPr="007B72C7">
        <w:rPr>
          <w:rFonts w:eastAsia="Times New Roman"/>
          <w:lang w:eastAsia="de-DE"/>
        </w:rPr>
        <w:t xml:space="preserve"> καὶ </w:t>
      </w:r>
      <w:proofErr w:type="spellStart"/>
      <w:r w:rsidRPr="007B72C7">
        <w:rPr>
          <w:rFonts w:eastAsia="Times New Roman"/>
          <w:lang w:eastAsia="de-DE"/>
        </w:rPr>
        <w:t>τὰς</w:t>
      </w:r>
      <w:proofErr w:type="spellEnd"/>
      <w:r w:rsidRPr="007B72C7">
        <w:rPr>
          <w:rFonts w:eastAsia="Times New Roman"/>
          <w:lang w:eastAsia="de-DE"/>
        </w:rPr>
        <w:t xml:space="preserve"> </w:t>
      </w:r>
      <w:proofErr w:type="spellStart"/>
      <w:r w:rsidRPr="007B72C7">
        <w:rPr>
          <w:rFonts w:eastAsia="Times New Roman"/>
          <w:lang w:eastAsia="de-DE"/>
        </w:rPr>
        <w:t>ἀντιλογί</w:t>
      </w:r>
      <w:proofErr w:type="spellEnd"/>
      <w:r w:rsidRPr="007B72C7">
        <w:rPr>
          <w:rFonts w:eastAsia="Times New Roman"/>
          <w:lang w:eastAsia="de-DE"/>
        </w:rPr>
        <w:t xml:space="preserve">ας </w:t>
      </w:r>
      <w:proofErr w:type="spellStart"/>
      <w:r w:rsidRPr="007B72C7">
        <w:rPr>
          <w:rFonts w:eastAsia="Times New Roman"/>
          <w:lang w:eastAsia="de-DE"/>
        </w:rPr>
        <w:t>ὑμῶν</w:t>
      </w:r>
      <w:proofErr w:type="spellEnd"/>
      <w:r w:rsidRPr="007B72C7">
        <w:rPr>
          <w:rFonts w:eastAsia="Times New Roman"/>
          <w:lang w:eastAsia="de-DE"/>
        </w:rPr>
        <w:t>" („wie werde ich können allein zu tragen eure Mühe und eure Last und eure Streitigkeiten"). Die LXX expliziert das Modalverb „können" und verwendet Artikel vor den Substantiven.</w:t>
      </w:r>
    </w:p>
    <w:p w14:paraId="601EE275"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lang w:eastAsia="de-DE"/>
        </w:rPr>
        <w:t xml:space="preserve">Die Satzstruktur ist eine rhetorische Frage mit </w:t>
      </w:r>
      <w:r w:rsidRPr="007B72C7">
        <w:rPr>
          <w:rFonts w:eastAsia="Times New Roman"/>
          <w:b/>
          <w:bCs/>
          <w:rtl/>
          <w:lang w:eastAsia="de-DE"/>
        </w:rPr>
        <w:t>אֵיכָה</w:t>
      </w:r>
      <w:r w:rsidRPr="007B72C7">
        <w:rPr>
          <w:rFonts w:eastAsia="Times New Roman"/>
          <w:lang w:eastAsia="de-DE"/>
        </w:rPr>
        <w:t xml:space="preserve">, dem Prädikat </w:t>
      </w:r>
      <w:r w:rsidRPr="007B72C7">
        <w:rPr>
          <w:rFonts w:eastAsia="Times New Roman"/>
          <w:b/>
          <w:bCs/>
          <w:rtl/>
          <w:lang w:eastAsia="de-DE"/>
        </w:rPr>
        <w:t>אֶשָּׂא</w:t>
      </w:r>
      <w:r w:rsidRPr="007B72C7">
        <w:rPr>
          <w:rFonts w:eastAsia="Times New Roman"/>
          <w:lang w:eastAsia="de-DE"/>
        </w:rPr>
        <w:t xml:space="preserve">, der adverbialen Bestimmung </w:t>
      </w:r>
      <w:r w:rsidRPr="007B72C7">
        <w:rPr>
          <w:rFonts w:eastAsia="Times New Roman"/>
          <w:b/>
          <w:bCs/>
          <w:rtl/>
          <w:lang w:eastAsia="de-DE"/>
        </w:rPr>
        <w:t>לְבַדִּי</w:t>
      </w:r>
      <w:r w:rsidRPr="007B72C7">
        <w:rPr>
          <w:rFonts w:eastAsia="Times New Roman"/>
          <w:lang w:eastAsia="de-DE"/>
        </w:rPr>
        <w:t>, und drei koordinierten Objekten (</w:t>
      </w:r>
      <w:r w:rsidRPr="007B72C7">
        <w:rPr>
          <w:rFonts w:eastAsia="Times New Roman"/>
          <w:b/>
          <w:bCs/>
          <w:rtl/>
          <w:lang w:eastAsia="de-DE"/>
        </w:rPr>
        <w:t>טָרְחֲכֶם וּמַשַּׂאֲכֶם וְרִיבְכֶם</w:t>
      </w:r>
      <w:r w:rsidRPr="007B72C7">
        <w:rPr>
          <w:rFonts w:eastAsia="Times New Roman"/>
          <w:lang w:eastAsia="de-DE"/>
        </w:rPr>
        <w:t>). Die Frage erwartet keine direkte Antwort, sondern drückt die Unmöglichkeit aus.</w:t>
      </w:r>
    </w:p>
    <w:p w14:paraId="1BE290F3"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lang w:eastAsia="de-DE"/>
        </w:rPr>
        <w:t>Der Vers intensiviert V. 9 durch die rhetorische Frage und die konkrete Benennung der drei Aspekte der Führungsverantwortung: administrative Last, physische Bürde und juristische Streitfälle. Dies bereitet die Lösung in V. 13 vor.</w:t>
      </w:r>
    </w:p>
    <w:p w14:paraId="5DDF8A13" w14:textId="77777777" w:rsidR="007B72C7" w:rsidRPr="007B72C7" w:rsidRDefault="007B72C7" w:rsidP="007B72C7">
      <w:pPr>
        <w:spacing w:before="100" w:beforeAutospacing="1" w:after="100" w:afterAutospacing="1" w:line="240" w:lineRule="auto"/>
        <w:outlineLvl w:val="1"/>
        <w:rPr>
          <w:rFonts w:eastAsia="Times New Roman"/>
          <w:b/>
          <w:bCs/>
          <w:sz w:val="36"/>
          <w:szCs w:val="36"/>
          <w:lang w:eastAsia="de-DE"/>
        </w:rPr>
      </w:pPr>
      <w:r w:rsidRPr="007B72C7">
        <w:rPr>
          <w:rFonts w:eastAsia="Times New Roman"/>
          <w:b/>
          <w:bCs/>
          <w:sz w:val="36"/>
          <w:szCs w:val="36"/>
          <w:lang w:eastAsia="de-DE"/>
        </w:rPr>
        <w:t>Deuteronomium 1,13</w:t>
      </w:r>
    </w:p>
    <w:p w14:paraId="63C0E5E6"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Hebräisch:</w:t>
      </w:r>
      <w:r w:rsidRPr="007B72C7">
        <w:rPr>
          <w:rFonts w:eastAsia="Times New Roman"/>
          <w:lang w:eastAsia="de-DE"/>
        </w:rPr>
        <w:t xml:space="preserve"> </w:t>
      </w:r>
      <w:r w:rsidRPr="007B72C7">
        <w:rPr>
          <w:rFonts w:eastAsia="Times New Roman"/>
          <w:rtl/>
          <w:lang w:eastAsia="de-DE"/>
        </w:rPr>
        <w:t>הָב֣וּ לָ֠כֶם אֲנָשִׁ֨ים חֲכָמִ֧ים וּנְבֹנִ֛ים וִידֻעִ֖ים לְשִׁבְטֵיכֶ֑ם וַאֲשִׂימֵ֖ם בְּרָאשֵׁיכֶֽם׃</w:t>
      </w:r>
    </w:p>
    <w:p w14:paraId="7A409114"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Deutsch:</w:t>
      </w:r>
      <w:r w:rsidRPr="007B72C7">
        <w:rPr>
          <w:rFonts w:eastAsia="Times New Roman"/>
          <w:lang w:eastAsia="de-DE"/>
        </w:rPr>
        <w:t xml:space="preserve"> Schafft euch weise und verständige und bekannte Männer für eure Stämme, und ich werde sie als Häupter über euch einsetzen.</w:t>
      </w:r>
    </w:p>
    <w:p w14:paraId="1A0A9505" w14:textId="77777777" w:rsidR="007B72C7" w:rsidRPr="007B72C7" w:rsidRDefault="004F5CEB" w:rsidP="007B72C7">
      <w:pPr>
        <w:spacing w:after="0" w:line="240" w:lineRule="auto"/>
        <w:rPr>
          <w:rFonts w:eastAsia="Times New Roman"/>
          <w:lang w:eastAsia="de-DE"/>
        </w:rPr>
      </w:pPr>
      <w:r>
        <w:rPr>
          <w:rFonts w:eastAsia="Times New Roman"/>
          <w:noProof/>
          <w:lang w:eastAsia="de-DE"/>
        </w:rPr>
        <w:pict w14:anchorId="05B00C3A">
          <v:rect id="_x0000_i1037" style="width:0;height:1.5pt" o:hralign="center" o:hrstd="t" o:hr="t" fillcolor="#a0a0a0" stroked="f"/>
        </w:pict>
      </w:r>
    </w:p>
    <w:p w14:paraId="230391E6" w14:textId="131211AC"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Kommentar:</w:t>
      </w:r>
      <w:r w:rsidRPr="007B72C7">
        <w:rPr>
          <w:rFonts w:eastAsia="Times New Roman"/>
          <w:lang w:eastAsia="de-DE"/>
        </w:rPr>
        <w:t xml:space="preserve"> </w:t>
      </w:r>
      <w:r w:rsidRPr="007B72C7">
        <w:rPr>
          <w:rFonts w:eastAsia="Times New Roman"/>
          <w:b/>
          <w:bCs/>
          <w:rtl/>
          <w:lang w:eastAsia="de-DE"/>
        </w:rPr>
        <w:t>הָבוּ</w:t>
      </w:r>
      <w:r w:rsidRPr="007B72C7">
        <w:rPr>
          <w:rFonts w:eastAsia="Times New Roman"/>
          <w:rtl/>
          <w:lang w:eastAsia="de-DE"/>
        </w:rPr>
        <w:t xml:space="preserve"> </w:t>
      </w:r>
      <w:r w:rsidRPr="007B72C7">
        <w:rPr>
          <w:rFonts w:eastAsia="Times New Roman"/>
          <w:lang w:eastAsia="de-DE"/>
        </w:rPr>
        <w:t xml:space="preserve">ist Qal Imperativ maskulin Plural von </w:t>
      </w:r>
      <w:r w:rsidRPr="007B72C7">
        <w:rPr>
          <w:rFonts w:eastAsia="Times New Roman"/>
          <w:rtl/>
          <w:lang w:eastAsia="de-DE"/>
        </w:rPr>
        <w:t>יהב</w:t>
      </w:r>
      <w:r w:rsidRPr="007B72C7">
        <w:rPr>
          <w:rFonts w:eastAsia="Times New Roman"/>
          <w:lang w:eastAsia="de-DE"/>
        </w:rPr>
        <w:t xml:space="preserve"> („geben"), eine poetische oder altertümliche Form für </w:t>
      </w:r>
      <w:r w:rsidRPr="007B72C7">
        <w:rPr>
          <w:rFonts w:eastAsia="Times New Roman"/>
          <w:rtl/>
          <w:lang w:eastAsia="de-DE"/>
        </w:rPr>
        <w:t>נתן</w:t>
      </w:r>
      <w:r w:rsidRPr="007B72C7">
        <w:rPr>
          <w:rFonts w:eastAsia="Times New Roman"/>
          <w:lang w:eastAsia="de-DE"/>
        </w:rPr>
        <w:t xml:space="preserve">. </w:t>
      </w:r>
      <w:r w:rsidRPr="007B72C7">
        <w:rPr>
          <w:rFonts w:eastAsia="Times New Roman"/>
          <w:b/>
          <w:bCs/>
          <w:rtl/>
          <w:lang w:eastAsia="de-DE"/>
        </w:rPr>
        <w:t>לָכֶם</w:t>
      </w:r>
      <w:r w:rsidRPr="007B72C7">
        <w:rPr>
          <w:rFonts w:eastAsia="Times New Roman"/>
          <w:rtl/>
          <w:lang w:eastAsia="de-DE"/>
        </w:rPr>
        <w:t xml:space="preserve"> </w:t>
      </w:r>
      <w:r w:rsidRPr="007B72C7">
        <w:rPr>
          <w:rFonts w:eastAsia="Times New Roman"/>
          <w:lang w:eastAsia="de-DE"/>
        </w:rPr>
        <w:t xml:space="preserve">ist </w:t>
      </w:r>
      <w:r w:rsidRPr="007B72C7">
        <w:rPr>
          <w:rFonts w:eastAsia="Times New Roman"/>
          <w:b/>
          <w:bCs/>
          <w:rtl/>
          <w:lang w:eastAsia="de-DE"/>
        </w:rPr>
        <w:t>לְ</w:t>
      </w:r>
      <w:r w:rsidRPr="007B72C7">
        <w:rPr>
          <w:rFonts w:eastAsia="Times New Roman"/>
          <w:rtl/>
          <w:lang w:eastAsia="de-DE"/>
        </w:rPr>
        <w:t xml:space="preserve"> </w:t>
      </w:r>
      <w:r w:rsidRPr="007B72C7">
        <w:rPr>
          <w:rFonts w:eastAsia="Times New Roman"/>
          <w:lang w:eastAsia="de-DE"/>
        </w:rPr>
        <w:t xml:space="preserve">mit Suffix 2. Person maskulin Plural, hier mit reflexiver Bedeutung („für euch selbst"). </w:t>
      </w:r>
      <w:r w:rsidRPr="007B72C7">
        <w:rPr>
          <w:rFonts w:eastAsia="Times New Roman"/>
          <w:b/>
          <w:bCs/>
          <w:rtl/>
          <w:lang w:eastAsia="de-DE"/>
        </w:rPr>
        <w:t>אֲנָשִׁים</w:t>
      </w:r>
      <w:r w:rsidRPr="007B72C7">
        <w:rPr>
          <w:rFonts w:eastAsia="Times New Roman"/>
          <w:rtl/>
          <w:lang w:eastAsia="de-DE"/>
        </w:rPr>
        <w:t xml:space="preserve"> </w:t>
      </w:r>
      <w:r w:rsidRPr="007B72C7">
        <w:rPr>
          <w:rFonts w:eastAsia="Times New Roman"/>
          <w:lang w:eastAsia="de-DE"/>
        </w:rPr>
        <w:t xml:space="preserve">ist der Plural von </w:t>
      </w:r>
      <w:r w:rsidRPr="007B72C7">
        <w:rPr>
          <w:rFonts w:eastAsia="Times New Roman"/>
          <w:b/>
          <w:bCs/>
          <w:rtl/>
          <w:lang w:eastAsia="de-DE"/>
        </w:rPr>
        <w:t>אִישׁ</w:t>
      </w:r>
      <w:r w:rsidRPr="007B72C7">
        <w:rPr>
          <w:rFonts w:eastAsia="Times New Roman"/>
          <w:rtl/>
          <w:lang w:eastAsia="de-DE"/>
        </w:rPr>
        <w:t xml:space="preserve"> </w:t>
      </w:r>
      <w:r w:rsidRPr="007B72C7">
        <w:rPr>
          <w:rFonts w:eastAsia="Times New Roman"/>
          <w:lang w:eastAsia="de-DE"/>
        </w:rPr>
        <w:t xml:space="preserve">(„Mann, Mensch"). Es folgen drei Adjektive im Plural maskulin, die </w:t>
      </w:r>
      <w:r w:rsidRPr="007B72C7">
        <w:rPr>
          <w:rFonts w:eastAsia="Times New Roman"/>
          <w:b/>
          <w:bCs/>
          <w:rtl/>
          <w:lang w:eastAsia="de-DE"/>
        </w:rPr>
        <w:t>אֲנָשִׁים</w:t>
      </w:r>
      <w:r w:rsidRPr="007B72C7">
        <w:rPr>
          <w:rFonts w:eastAsia="Times New Roman"/>
          <w:rtl/>
          <w:lang w:eastAsia="de-DE"/>
        </w:rPr>
        <w:t xml:space="preserve"> </w:t>
      </w:r>
      <w:r w:rsidRPr="007B72C7">
        <w:rPr>
          <w:rFonts w:eastAsia="Times New Roman"/>
          <w:lang w:eastAsia="de-DE"/>
        </w:rPr>
        <w:t xml:space="preserve">näher bestimmen: </w:t>
      </w:r>
      <w:r w:rsidRPr="007B72C7">
        <w:rPr>
          <w:rFonts w:eastAsia="Times New Roman"/>
          <w:b/>
          <w:bCs/>
          <w:rtl/>
          <w:lang w:eastAsia="de-DE"/>
        </w:rPr>
        <w:t>חֲכָמִים</w:t>
      </w:r>
      <w:r w:rsidRPr="007B72C7">
        <w:rPr>
          <w:rFonts w:eastAsia="Times New Roman"/>
          <w:rtl/>
          <w:lang w:eastAsia="de-DE"/>
        </w:rPr>
        <w:t xml:space="preserve"> </w:t>
      </w:r>
      <w:r w:rsidRPr="007B72C7">
        <w:rPr>
          <w:rFonts w:eastAsia="Times New Roman"/>
          <w:lang w:eastAsia="de-DE"/>
        </w:rPr>
        <w:t xml:space="preserve">(von </w:t>
      </w:r>
      <w:r w:rsidRPr="007B72C7">
        <w:rPr>
          <w:rFonts w:eastAsia="Times New Roman"/>
          <w:b/>
          <w:bCs/>
          <w:rtl/>
          <w:lang w:eastAsia="de-DE"/>
        </w:rPr>
        <w:t>חָכָם</w:t>
      </w:r>
      <w:r w:rsidRPr="007B72C7">
        <w:rPr>
          <w:rFonts w:eastAsia="Times New Roman"/>
          <w:rtl/>
          <w:lang w:eastAsia="de-DE"/>
        </w:rPr>
        <w:t xml:space="preserve"> </w:t>
      </w:r>
      <w:r w:rsidRPr="007B72C7">
        <w:rPr>
          <w:rFonts w:eastAsia="Times New Roman"/>
          <w:lang w:eastAsia="de-DE"/>
        </w:rPr>
        <w:t xml:space="preserve">„weise"), </w:t>
      </w:r>
      <w:r w:rsidRPr="007B72C7">
        <w:rPr>
          <w:rFonts w:eastAsia="Times New Roman"/>
          <w:b/>
          <w:bCs/>
          <w:rtl/>
          <w:lang w:eastAsia="de-DE"/>
        </w:rPr>
        <w:t>וּנְבֹנִים</w:t>
      </w:r>
      <w:r w:rsidRPr="007B72C7">
        <w:rPr>
          <w:rFonts w:eastAsia="Times New Roman"/>
          <w:rtl/>
          <w:lang w:eastAsia="de-DE"/>
        </w:rPr>
        <w:t xml:space="preserve"> </w:t>
      </w:r>
      <w:r w:rsidRPr="007B72C7">
        <w:rPr>
          <w:rFonts w:eastAsia="Times New Roman"/>
          <w:lang w:eastAsia="de-DE"/>
        </w:rPr>
        <w:t xml:space="preserve">(Nif'al Partizip von </w:t>
      </w:r>
      <w:r w:rsidRPr="007B72C7">
        <w:rPr>
          <w:rFonts w:eastAsia="Times New Roman"/>
          <w:rtl/>
          <w:lang w:eastAsia="de-DE"/>
        </w:rPr>
        <w:t>בין</w:t>
      </w:r>
      <w:r w:rsidRPr="007B72C7">
        <w:rPr>
          <w:rFonts w:eastAsia="Times New Roman"/>
          <w:lang w:eastAsia="de-DE"/>
        </w:rPr>
        <w:t xml:space="preserve"> „verstehen, einsichtig sein"), und </w:t>
      </w:r>
      <w:r w:rsidRPr="007B72C7">
        <w:rPr>
          <w:rFonts w:eastAsia="Times New Roman"/>
          <w:b/>
          <w:bCs/>
          <w:rtl/>
          <w:lang w:eastAsia="de-DE"/>
        </w:rPr>
        <w:t>וִידֻעִים</w:t>
      </w:r>
      <w:r w:rsidRPr="007B72C7">
        <w:rPr>
          <w:rFonts w:eastAsia="Times New Roman"/>
          <w:rtl/>
          <w:lang w:eastAsia="de-DE"/>
        </w:rPr>
        <w:t xml:space="preserve"> </w:t>
      </w:r>
      <w:r w:rsidRPr="007B72C7">
        <w:rPr>
          <w:rFonts w:eastAsia="Times New Roman"/>
          <w:lang w:eastAsia="de-DE"/>
        </w:rPr>
        <w:t xml:space="preserve">(Qal Passivpartizip von </w:t>
      </w:r>
      <w:r w:rsidRPr="007B72C7">
        <w:rPr>
          <w:rFonts w:eastAsia="Times New Roman"/>
          <w:rtl/>
          <w:lang w:eastAsia="de-DE"/>
        </w:rPr>
        <w:t>ידע</w:t>
      </w:r>
      <w:r w:rsidRPr="007B72C7">
        <w:rPr>
          <w:rFonts w:eastAsia="Times New Roman"/>
          <w:lang w:eastAsia="de-DE"/>
        </w:rPr>
        <w:t xml:space="preserve"> „kennen", also „gekannt, bekannt, anerkannt"). </w:t>
      </w:r>
      <w:r w:rsidRPr="007B72C7">
        <w:rPr>
          <w:rFonts w:eastAsia="Times New Roman"/>
          <w:b/>
          <w:bCs/>
          <w:rtl/>
          <w:lang w:eastAsia="de-DE"/>
        </w:rPr>
        <w:t>לְשִׁבְטֵיכֶם</w:t>
      </w:r>
      <w:r w:rsidRPr="007B72C7">
        <w:rPr>
          <w:rFonts w:eastAsia="Times New Roman"/>
          <w:rtl/>
          <w:lang w:eastAsia="de-DE"/>
        </w:rPr>
        <w:t xml:space="preserve"> </w:t>
      </w:r>
      <w:r w:rsidRPr="007B72C7">
        <w:rPr>
          <w:rFonts w:eastAsia="Times New Roman"/>
          <w:lang w:eastAsia="de-DE"/>
        </w:rPr>
        <w:t xml:space="preserve">ist </w:t>
      </w:r>
      <w:r w:rsidRPr="007B72C7">
        <w:rPr>
          <w:rFonts w:eastAsia="Times New Roman"/>
          <w:b/>
          <w:bCs/>
          <w:rtl/>
          <w:lang w:eastAsia="de-DE"/>
        </w:rPr>
        <w:t>לְ</w:t>
      </w:r>
      <w:r w:rsidRPr="007B72C7">
        <w:rPr>
          <w:rFonts w:eastAsia="Times New Roman"/>
          <w:rtl/>
          <w:lang w:eastAsia="de-DE"/>
        </w:rPr>
        <w:t xml:space="preserve"> </w:t>
      </w:r>
      <w:r w:rsidRPr="007B72C7">
        <w:rPr>
          <w:rFonts w:eastAsia="Times New Roman"/>
          <w:lang w:eastAsia="de-DE"/>
        </w:rPr>
        <w:t xml:space="preserve">mit </w:t>
      </w:r>
      <w:r w:rsidRPr="007B72C7">
        <w:rPr>
          <w:rFonts w:eastAsia="Times New Roman"/>
          <w:b/>
          <w:bCs/>
          <w:rtl/>
          <w:lang w:eastAsia="de-DE"/>
        </w:rPr>
        <w:t>שְׁבָטִים</w:t>
      </w:r>
      <w:r w:rsidRPr="007B72C7">
        <w:rPr>
          <w:rFonts w:eastAsia="Times New Roman"/>
          <w:rtl/>
          <w:lang w:eastAsia="de-DE"/>
        </w:rPr>
        <w:t xml:space="preserve"> </w:t>
      </w:r>
      <w:r w:rsidRPr="007B72C7">
        <w:rPr>
          <w:rFonts w:eastAsia="Times New Roman"/>
          <w:lang w:eastAsia="de-DE"/>
        </w:rPr>
        <w:t xml:space="preserve">(Plural von </w:t>
      </w:r>
      <w:r w:rsidRPr="007B72C7">
        <w:rPr>
          <w:rFonts w:eastAsia="Times New Roman"/>
          <w:b/>
          <w:bCs/>
          <w:rtl/>
          <w:lang w:eastAsia="de-DE"/>
        </w:rPr>
        <w:t>שֵׁבֶט</w:t>
      </w:r>
      <w:r w:rsidRPr="007B72C7">
        <w:rPr>
          <w:rFonts w:eastAsia="Times New Roman"/>
          <w:rtl/>
          <w:lang w:eastAsia="de-DE"/>
        </w:rPr>
        <w:t xml:space="preserve"> </w:t>
      </w:r>
      <w:r w:rsidRPr="007B72C7">
        <w:rPr>
          <w:rFonts w:eastAsia="Times New Roman"/>
          <w:lang w:eastAsia="de-DE"/>
        </w:rPr>
        <w:t xml:space="preserve">„Stamm") im </w:t>
      </w:r>
      <w:r w:rsidR="0032647F">
        <w:rPr>
          <w:rFonts w:eastAsia="Times New Roman"/>
          <w:lang w:eastAsia="de-DE"/>
        </w:rPr>
        <w:t>Construct</w:t>
      </w:r>
      <w:r w:rsidRPr="007B72C7">
        <w:rPr>
          <w:rFonts w:eastAsia="Times New Roman"/>
          <w:lang w:eastAsia="de-DE"/>
        </w:rPr>
        <w:t xml:space="preserve"> und Suffix 2. Person maskulin Plural („für eure Stämme").</w:t>
      </w:r>
    </w:p>
    <w:p w14:paraId="5B00D70E" w14:textId="30089892"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rtl/>
          <w:lang w:eastAsia="de-DE"/>
        </w:rPr>
        <w:lastRenderedPageBreak/>
        <w:t>וַאֲשִׂימֵם</w:t>
      </w:r>
      <w:r w:rsidRPr="007B72C7">
        <w:rPr>
          <w:rFonts w:eastAsia="Times New Roman"/>
          <w:rtl/>
          <w:lang w:eastAsia="de-DE"/>
        </w:rPr>
        <w:t xml:space="preserve"> </w:t>
      </w:r>
      <w:r w:rsidRPr="007B72C7">
        <w:rPr>
          <w:rFonts w:eastAsia="Times New Roman"/>
          <w:lang w:eastAsia="de-DE"/>
        </w:rPr>
        <w:t xml:space="preserve">ist Qal Imperfekt consecutivum, 1. Person Singular von </w:t>
      </w:r>
      <w:r w:rsidRPr="007B72C7">
        <w:rPr>
          <w:rFonts w:eastAsia="Times New Roman"/>
          <w:rtl/>
          <w:lang w:eastAsia="de-DE"/>
        </w:rPr>
        <w:t>שׂים</w:t>
      </w:r>
      <w:r w:rsidRPr="007B72C7">
        <w:rPr>
          <w:rFonts w:eastAsia="Times New Roman"/>
          <w:lang w:eastAsia="de-DE"/>
        </w:rPr>
        <w:t xml:space="preserve"> („setzen, einsetzen") mit Waw und Objektsuffix 3. Person maskulin Plural </w:t>
      </w:r>
      <w:r w:rsidRPr="007B72C7">
        <w:rPr>
          <w:rFonts w:eastAsia="Times New Roman"/>
          <w:b/>
          <w:bCs/>
          <w:rtl/>
          <w:lang w:eastAsia="de-DE"/>
        </w:rPr>
        <w:t>ם</w:t>
      </w:r>
      <w:r w:rsidRPr="007B72C7">
        <w:rPr>
          <w:rFonts w:eastAsia="Times New Roman"/>
          <w:rtl/>
          <w:lang w:eastAsia="de-DE"/>
        </w:rPr>
        <w:t xml:space="preserve"> </w:t>
      </w:r>
      <w:r w:rsidRPr="007B72C7">
        <w:rPr>
          <w:rFonts w:eastAsia="Times New Roman"/>
          <w:lang w:eastAsia="de-DE"/>
        </w:rPr>
        <w:t xml:space="preserve">(„sie"). </w:t>
      </w:r>
      <w:r w:rsidRPr="007B72C7">
        <w:rPr>
          <w:rFonts w:eastAsia="Times New Roman"/>
          <w:b/>
          <w:bCs/>
          <w:rtl/>
          <w:lang w:eastAsia="de-DE"/>
        </w:rPr>
        <w:t>בְּרָאשֵׁיכֶם</w:t>
      </w:r>
      <w:r w:rsidRPr="007B72C7">
        <w:rPr>
          <w:rFonts w:eastAsia="Times New Roman"/>
          <w:rtl/>
          <w:lang w:eastAsia="de-DE"/>
        </w:rPr>
        <w:t xml:space="preserve"> </w:t>
      </w:r>
      <w:r w:rsidRPr="007B72C7">
        <w:rPr>
          <w:rFonts w:eastAsia="Times New Roman"/>
          <w:lang w:eastAsia="de-DE"/>
        </w:rPr>
        <w:t xml:space="preserve">besteht aus </w:t>
      </w:r>
      <w:r w:rsidRPr="007B72C7">
        <w:rPr>
          <w:rFonts w:eastAsia="Times New Roman"/>
          <w:b/>
          <w:bCs/>
          <w:rtl/>
          <w:lang w:eastAsia="de-DE"/>
        </w:rPr>
        <w:t>בְּ</w:t>
      </w:r>
      <w:r w:rsidRPr="007B72C7">
        <w:rPr>
          <w:rFonts w:eastAsia="Times New Roman"/>
          <w:rtl/>
          <w:lang w:eastAsia="de-DE"/>
        </w:rPr>
        <w:t xml:space="preserve"> </w:t>
      </w:r>
      <w:r w:rsidRPr="007B72C7">
        <w:rPr>
          <w:rFonts w:eastAsia="Times New Roman"/>
          <w:lang w:eastAsia="de-DE"/>
        </w:rPr>
        <w:t xml:space="preserve">(„als, zu"), </w:t>
      </w:r>
      <w:r w:rsidRPr="007B72C7">
        <w:rPr>
          <w:rFonts w:eastAsia="Times New Roman"/>
          <w:b/>
          <w:bCs/>
          <w:rtl/>
          <w:lang w:eastAsia="de-DE"/>
        </w:rPr>
        <w:t>רָאשִׁים</w:t>
      </w:r>
      <w:r w:rsidRPr="007B72C7">
        <w:rPr>
          <w:rFonts w:eastAsia="Times New Roman"/>
          <w:rtl/>
          <w:lang w:eastAsia="de-DE"/>
        </w:rPr>
        <w:t xml:space="preserve"> </w:t>
      </w:r>
      <w:r w:rsidRPr="007B72C7">
        <w:rPr>
          <w:rFonts w:eastAsia="Times New Roman"/>
          <w:lang w:eastAsia="de-DE"/>
        </w:rPr>
        <w:t xml:space="preserve">(Plural von </w:t>
      </w:r>
      <w:r w:rsidRPr="007B72C7">
        <w:rPr>
          <w:rFonts w:eastAsia="Times New Roman"/>
          <w:b/>
          <w:bCs/>
          <w:rtl/>
          <w:lang w:eastAsia="de-DE"/>
        </w:rPr>
        <w:t>רֹאשׁ</w:t>
      </w:r>
      <w:r w:rsidRPr="007B72C7">
        <w:rPr>
          <w:rFonts w:eastAsia="Times New Roman"/>
          <w:rtl/>
          <w:lang w:eastAsia="de-DE"/>
        </w:rPr>
        <w:t xml:space="preserve"> </w:t>
      </w:r>
      <w:r w:rsidRPr="007B72C7">
        <w:rPr>
          <w:rFonts w:eastAsia="Times New Roman"/>
          <w:lang w:eastAsia="de-DE"/>
        </w:rPr>
        <w:t xml:space="preserve">„Kopf, Haupt") im </w:t>
      </w:r>
      <w:r w:rsidR="0032647F">
        <w:rPr>
          <w:rFonts w:eastAsia="Times New Roman"/>
          <w:lang w:eastAsia="de-DE"/>
        </w:rPr>
        <w:t>Construct</w:t>
      </w:r>
      <w:r w:rsidRPr="007B72C7">
        <w:rPr>
          <w:rFonts w:eastAsia="Times New Roman"/>
          <w:lang w:eastAsia="de-DE"/>
        </w:rPr>
        <w:t>, und Suffix 2. Person maskulin Plural („als eure Häupter" oder „an eurer Spitze").</w:t>
      </w:r>
    </w:p>
    <w:p w14:paraId="4A471E42"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Die LXX</w:t>
      </w:r>
      <w:r w:rsidRPr="007B72C7">
        <w:rPr>
          <w:rFonts w:eastAsia="Times New Roman"/>
          <w:lang w:eastAsia="de-DE"/>
        </w:rPr>
        <w:t xml:space="preserve"> übersetzt „</w:t>
      </w:r>
      <w:proofErr w:type="spellStart"/>
      <w:r w:rsidRPr="007B72C7">
        <w:rPr>
          <w:rFonts w:eastAsia="Times New Roman"/>
          <w:lang w:eastAsia="de-DE"/>
        </w:rPr>
        <w:t>δότε</w:t>
      </w:r>
      <w:proofErr w:type="spellEnd"/>
      <w:r w:rsidRPr="007B72C7">
        <w:rPr>
          <w:rFonts w:eastAsia="Times New Roman"/>
          <w:lang w:eastAsia="de-DE"/>
        </w:rPr>
        <w:t xml:space="preserve"> ἑα</w:t>
      </w:r>
      <w:proofErr w:type="spellStart"/>
      <w:r w:rsidRPr="007B72C7">
        <w:rPr>
          <w:rFonts w:eastAsia="Times New Roman"/>
          <w:lang w:eastAsia="de-DE"/>
        </w:rPr>
        <w:t>υτοῖς</w:t>
      </w:r>
      <w:proofErr w:type="spellEnd"/>
      <w:r w:rsidRPr="007B72C7">
        <w:rPr>
          <w:rFonts w:eastAsia="Times New Roman"/>
          <w:lang w:eastAsia="de-DE"/>
        </w:rPr>
        <w:t xml:space="preserve"> </w:t>
      </w:r>
      <w:proofErr w:type="spellStart"/>
      <w:r w:rsidRPr="007B72C7">
        <w:rPr>
          <w:rFonts w:eastAsia="Times New Roman"/>
          <w:lang w:eastAsia="de-DE"/>
        </w:rPr>
        <w:t>ἄνδρ</w:t>
      </w:r>
      <w:proofErr w:type="spellEnd"/>
      <w:r w:rsidRPr="007B72C7">
        <w:rPr>
          <w:rFonts w:eastAsia="Times New Roman"/>
          <w:lang w:eastAsia="de-DE"/>
        </w:rPr>
        <w:t xml:space="preserve">ας </w:t>
      </w:r>
      <w:proofErr w:type="spellStart"/>
      <w:r w:rsidRPr="007B72C7">
        <w:rPr>
          <w:rFonts w:eastAsia="Times New Roman"/>
          <w:lang w:eastAsia="de-DE"/>
        </w:rPr>
        <w:t>σοφοὺς</w:t>
      </w:r>
      <w:proofErr w:type="spellEnd"/>
      <w:r w:rsidRPr="007B72C7">
        <w:rPr>
          <w:rFonts w:eastAsia="Times New Roman"/>
          <w:lang w:eastAsia="de-DE"/>
        </w:rPr>
        <w:t xml:space="preserve"> καὶ ἐπ</w:t>
      </w:r>
      <w:proofErr w:type="spellStart"/>
      <w:r w:rsidRPr="007B72C7">
        <w:rPr>
          <w:rFonts w:eastAsia="Times New Roman"/>
          <w:lang w:eastAsia="de-DE"/>
        </w:rPr>
        <w:t>ιστήμον</w:t>
      </w:r>
      <w:proofErr w:type="spellEnd"/>
      <w:r w:rsidRPr="007B72C7">
        <w:rPr>
          <w:rFonts w:eastAsia="Times New Roman"/>
          <w:lang w:eastAsia="de-DE"/>
        </w:rPr>
        <w:t xml:space="preserve">ας καὶ </w:t>
      </w:r>
      <w:proofErr w:type="spellStart"/>
      <w:r w:rsidRPr="007B72C7">
        <w:rPr>
          <w:rFonts w:eastAsia="Times New Roman"/>
          <w:lang w:eastAsia="de-DE"/>
        </w:rPr>
        <w:t>συνετοὺς</w:t>
      </w:r>
      <w:proofErr w:type="spellEnd"/>
      <w:r w:rsidRPr="007B72C7">
        <w:rPr>
          <w:rFonts w:eastAsia="Times New Roman"/>
          <w:lang w:eastAsia="de-DE"/>
        </w:rPr>
        <w:t xml:space="preserve"> </w:t>
      </w:r>
      <w:proofErr w:type="spellStart"/>
      <w:r w:rsidRPr="007B72C7">
        <w:rPr>
          <w:rFonts w:eastAsia="Times New Roman"/>
          <w:lang w:eastAsia="de-DE"/>
        </w:rPr>
        <w:t>ἐκ</w:t>
      </w:r>
      <w:proofErr w:type="spellEnd"/>
      <w:r w:rsidRPr="007B72C7">
        <w:rPr>
          <w:rFonts w:eastAsia="Times New Roman"/>
          <w:lang w:eastAsia="de-DE"/>
        </w:rPr>
        <w:t xml:space="preserve"> </w:t>
      </w:r>
      <w:proofErr w:type="spellStart"/>
      <w:r w:rsidRPr="007B72C7">
        <w:rPr>
          <w:rFonts w:eastAsia="Times New Roman"/>
          <w:lang w:eastAsia="de-DE"/>
        </w:rPr>
        <w:t>τῶν</w:t>
      </w:r>
      <w:proofErr w:type="spellEnd"/>
      <w:r w:rsidRPr="007B72C7">
        <w:rPr>
          <w:rFonts w:eastAsia="Times New Roman"/>
          <w:lang w:eastAsia="de-DE"/>
        </w:rPr>
        <w:t xml:space="preserve"> </w:t>
      </w:r>
      <w:proofErr w:type="spellStart"/>
      <w:r w:rsidRPr="007B72C7">
        <w:rPr>
          <w:rFonts w:eastAsia="Times New Roman"/>
          <w:lang w:eastAsia="de-DE"/>
        </w:rPr>
        <w:t>φυλῶν</w:t>
      </w:r>
      <w:proofErr w:type="spellEnd"/>
      <w:r w:rsidRPr="007B72C7">
        <w:rPr>
          <w:rFonts w:eastAsia="Times New Roman"/>
          <w:lang w:eastAsia="de-DE"/>
        </w:rPr>
        <w:t xml:space="preserve"> </w:t>
      </w:r>
      <w:proofErr w:type="spellStart"/>
      <w:r w:rsidRPr="007B72C7">
        <w:rPr>
          <w:rFonts w:eastAsia="Times New Roman"/>
          <w:lang w:eastAsia="de-DE"/>
        </w:rPr>
        <w:t>ὑμῶν</w:t>
      </w:r>
      <w:proofErr w:type="spellEnd"/>
      <w:r w:rsidRPr="007B72C7">
        <w:rPr>
          <w:rFonts w:eastAsia="Times New Roman"/>
          <w:lang w:eastAsia="de-DE"/>
        </w:rPr>
        <w:t>, καὶ κατα</w:t>
      </w:r>
      <w:proofErr w:type="spellStart"/>
      <w:r w:rsidRPr="007B72C7">
        <w:rPr>
          <w:rFonts w:eastAsia="Times New Roman"/>
          <w:lang w:eastAsia="de-DE"/>
        </w:rPr>
        <w:t>στήσω</w:t>
      </w:r>
      <w:proofErr w:type="spellEnd"/>
      <w:r w:rsidRPr="007B72C7">
        <w:rPr>
          <w:rFonts w:eastAsia="Times New Roman"/>
          <w:lang w:eastAsia="de-DE"/>
        </w:rPr>
        <w:t xml:space="preserve"> α</w:t>
      </w:r>
      <w:proofErr w:type="spellStart"/>
      <w:r w:rsidRPr="007B72C7">
        <w:rPr>
          <w:rFonts w:eastAsia="Times New Roman"/>
          <w:lang w:eastAsia="de-DE"/>
        </w:rPr>
        <w:t>ὐτοὺς</w:t>
      </w:r>
      <w:proofErr w:type="spellEnd"/>
      <w:r w:rsidRPr="007B72C7">
        <w:rPr>
          <w:rFonts w:eastAsia="Times New Roman"/>
          <w:lang w:eastAsia="de-DE"/>
        </w:rPr>
        <w:t xml:space="preserve"> </w:t>
      </w:r>
      <w:proofErr w:type="spellStart"/>
      <w:r w:rsidRPr="007B72C7">
        <w:rPr>
          <w:rFonts w:eastAsia="Times New Roman"/>
          <w:lang w:eastAsia="de-DE"/>
        </w:rPr>
        <w:t>ἀφηγουμένους</w:t>
      </w:r>
      <w:proofErr w:type="spellEnd"/>
      <w:r w:rsidRPr="007B72C7">
        <w:rPr>
          <w:rFonts w:eastAsia="Times New Roman"/>
          <w:lang w:eastAsia="de-DE"/>
        </w:rPr>
        <w:t xml:space="preserve"> </w:t>
      </w:r>
      <w:proofErr w:type="spellStart"/>
      <w:r w:rsidRPr="007B72C7">
        <w:rPr>
          <w:rFonts w:eastAsia="Times New Roman"/>
          <w:lang w:eastAsia="de-DE"/>
        </w:rPr>
        <w:t>ὑμῶν</w:t>
      </w:r>
      <w:proofErr w:type="spellEnd"/>
      <w:r w:rsidRPr="007B72C7">
        <w:rPr>
          <w:rFonts w:eastAsia="Times New Roman"/>
          <w:lang w:eastAsia="de-DE"/>
        </w:rPr>
        <w:t>" („gebt euch selbst Männer weise und wissend und verständig aus euren Stämmen, und ich werde sie einsetzen als Führer über euch"). Die LXX verwendet verschiedene Begriffe für die drei Qualifikationen und expliziert „aus den Stämmen" statt „für die Stämme".</w:t>
      </w:r>
    </w:p>
    <w:p w14:paraId="2560B294"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lang w:eastAsia="de-DE"/>
        </w:rPr>
        <w:t xml:space="preserve">Die Satzstruktur besteht aus zwei koordinierten Sätzen: (1) Imperativsatz mit </w:t>
      </w:r>
      <w:r w:rsidRPr="007B72C7">
        <w:rPr>
          <w:rFonts w:eastAsia="Times New Roman"/>
          <w:b/>
          <w:bCs/>
          <w:rtl/>
          <w:lang w:eastAsia="de-DE"/>
        </w:rPr>
        <w:t>הָבוּ</w:t>
      </w:r>
      <w:r w:rsidRPr="007B72C7">
        <w:rPr>
          <w:rFonts w:eastAsia="Times New Roman"/>
          <w:rtl/>
          <w:lang w:eastAsia="de-DE"/>
        </w:rPr>
        <w:t xml:space="preserve"> </w:t>
      </w:r>
      <w:r w:rsidRPr="007B72C7">
        <w:rPr>
          <w:rFonts w:eastAsia="Times New Roman"/>
          <w:lang w:eastAsia="de-DE"/>
        </w:rPr>
        <w:t xml:space="preserve">als Prädikat, </w:t>
      </w:r>
      <w:r w:rsidRPr="007B72C7">
        <w:rPr>
          <w:rFonts w:eastAsia="Times New Roman"/>
          <w:b/>
          <w:bCs/>
          <w:rtl/>
          <w:lang w:eastAsia="de-DE"/>
        </w:rPr>
        <w:t>לָכֶם</w:t>
      </w:r>
      <w:r w:rsidRPr="007B72C7">
        <w:rPr>
          <w:rFonts w:eastAsia="Times New Roman"/>
          <w:rtl/>
          <w:lang w:eastAsia="de-DE"/>
        </w:rPr>
        <w:t xml:space="preserve"> </w:t>
      </w:r>
      <w:r w:rsidRPr="007B72C7">
        <w:rPr>
          <w:rFonts w:eastAsia="Times New Roman"/>
          <w:lang w:eastAsia="de-DE"/>
        </w:rPr>
        <w:t xml:space="preserve">als Dativobjekt, und </w:t>
      </w:r>
      <w:r w:rsidRPr="007B72C7">
        <w:rPr>
          <w:rFonts w:eastAsia="Times New Roman"/>
          <w:b/>
          <w:bCs/>
          <w:rtl/>
          <w:lang w:eastAsia="de-DE"/>
        </w:rPr>
        <w:t>אֲנָשִׁים</w:t>
      </w:r>
      <w:r w:rsidRPr="007B72C7">
        <w:rPr>
          <w:rFonts w:eastAsia="Times New Roman"/>
          <w:rtl/>
          <w:lang w:eastAsia="de-DE"/>
        </w:rPr>
        <w:t xml:space="preserve"> </w:t>
      </w:r>
      <w:r w:rsidRPr="007B72C7">
        <w:rPr>
          <w:rFonts w:eastAsia="Times New Roman"/>
          <w:lang w:eastAsia="de-DE"/>
        </w:rPr>
        <w:t xml:space="preserve">mit drei attributiven Adjektiven als direktes Objekt, erweitert durch </w:t>
      </w:r>
      <w:r w:rsidRPr="007B72C7">
        <w:rPr>
          <w:rFonts w:eastAsia="Times New Roman"/>
          <w:b/>
          <w:bCs/>
          <w:rtl/>
          <w:lang w:eastAsia="de-DE"/>
        </w:rPr>
        <w:t>לְשִׁבְטֵיכֶם</w:t>
      </w:r>
      <w:r w:rsidRPr="007B72C7">
        <w:rPr>
          <w:rFonts w:eastAsia="Times New Roman"/>
          <w:lang w:eastAsia="de-DE"/>
        </w:rPr>
        <w:t xml:space="preserve">; (2) Waw-consecutivum-Satz mit </w:t>
      </w:r>
      <w:r w:rsidRPr="007B72C7">
        <w:rPr>
          <w:rFonts w:eastAsia="Times New Roman"/>
          <w:b/>
          <w:bCs/>
          <w:rtl/>
          <w:lang w:eastAsia="de-DE"/>
        </w:rPr>
        <w:t>וַאֲשִׂימֵם</w:t>
      </w:r>
      <w:r w:rsidRPr="007B72C7">
        <w:rPr>
          <w:rFonts w:eastAsia="Times New Roman"/>
          <w:rtl/>
          <w:lang w:eastAsia="de-DE"/>
        </w:rPr>
        <w:t xml:space="preserve"> </w:t>
      </w:r>
      <w:r w:rsidRPr="007B72C7">
        <w:rPr>
          <w:rFonts w:eastAsia="Times New Roman"/>
          <w:lang w:eastAsia="de-DE"/>
        </w:rPr>
        <w:t xml:space="preserve">als Prädikat und </w:t>
      </w:r>
      <w:r w:rsidRPr="007B72C7">
        <w:rPr>
          <w:rFonts w:eastAsia="Times New Roman"/>
          <w:b/>
          <w:bCs/>
          <w:rtl/>
          <w:lang w:eastAsia="de-DE"/>
        </w:rPr>
        <w:t>בְּרָאשֵׁיכֶם</w:t>
      </w:r>
      <w:r w:rsidRPr="007B72C7">
        <w:rPr>
          <w:rFonts w:eastAsia="Times New Roman"/>
          <w:rtl/>
          <w:lang w:eastAsia="de-DE"/>
        </w:rPr>
        <w:t xml:space="preserve"> </w:t>
      </w:r>
      <w:r w:rsidRPr="007B72C7">
        <w:rPr>
          <w:rFonts w:eastAsia="Times New Roman"/>
          <w:lang w:eastAsia="de-DE"/>
        </w:rPr>
        <w:t>als präpositionale Ergänzung.</w:t>
      </w:r>
    </w:p>
    <w:p w14:paraId="09AFA120"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lang w:eastAsia="de-DE"/>
        </w:rPr>
        <w:t>Der Vers präsentiert Moses Lösung für das Problem der Überlastung: die Auswahl qualifizierter Führungspersonen durch das Volk selbst, die dann von Mose offiziell eingesetzt werden. Dies zeigt ein partizipatives Element in der Herrschaftsstruktur.</w:t>
      </w:r>
    </w:p>
    <w:p w14:paraId="60405C13" w14:textId="77777777" w:rsidR="007B72C7" w:rsidRPr="007B72C7" w:rsidRDefault="007B72C7" w:rsidP="007B72C7">
      <w:pPr>
        <w:spacing w:before="100" w:beforeAutospacing="1" w:after="100" w:afterAutospacing="1" w:line="240" w:lineRule="auto"/>
        <w:outlineLvl w:val="1"/>
        <w:rPr>
          <w:rFonts w:eastAsia="Times New Roman"/>
          <w:b/>
          <w:bCs/>
          <w:sz w:val="36"/>
          <w:szCs w:val="36"/>
          <w:lang w:eastAsia="de-DE"/>
        </w:rPr>
      </w:pPr>
      <w:r w:rsidRPr="007B72C7">
        <w:rPr>
          <w:rFonts w:eastAsia="Times New Roman"/>
          <w:b/>
          <w:bCs/>
          <w:sz w:val="36"/>
          <w:szCs w:val="36"/>
          <w:lang w:eastAsia="de-DE"/>
        </w:rPr>
        <w:t>Deuteronomium 1,14</w:t>
      </w:r>
    </w:p>
    <w:p w14:paraId="2019203E"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Hebräisch:</w:t>
      </w:r>
      <w:r w:rsidRPr="007B72C7">
        <w:rPr>
          <w:rFonts w:eastAsia="Times New Roman"/>
          <w:lang w:eastAsia="de-DE"/>
        </w:rPr>
        <w:t xml:space="preserve"> </w:t>
      </w:r>
      <w:r w:rsidRPr="007B72C7">
        <w:rPr>
          <w:rFonts w:eastAsia="Times New Roman"/>
          <w:rtl/>
          <w:lang w:eastAsia="de-DE"/>
        </w:rPr>
        <w:t>וַֽתַּעֲנ֖וּ אֹתִ֑י וַתֹּ֣אמְר֔וּ טֽוֹב־הַדָּבָ֥ר אֲשֶׁר־דִּבַּ֖רְתָּ לַעֲשֽׂוֹת׃</w:t>
      </w:r>
    </w:p>
    <w:p w14:paraId="7EF6AE1B"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Deutsch:</w:t>
      </w:r>
      <w:r w:rsidRPr="007B72C7">
        <w:rPr>
          <w:rFonts w:eastAsia="Times New Roman"/>
          <w:lang w:eastAsia="de-DE"/>
        </w:rPr>
        <w:t xml:space="preserve"> Und ihr antwortetet mir und sagtet: Die Sache ist gut, die du gesagt hast, zu tun.</w:t>
      </w:r>
    </w:p>
    <w:p w14:paraId="58823BDE" w14:textId="77777777" w:rsidR="007B72C7" w:rsidRPr="007B72C7" w:rsidRDefault="004F5CEB" w:rsidP="007B72C7">
      <w:pPr>
        <w:spacing w:after="0" w:line="240" w:lineRule="auto"/>
        <w:rPr>
          <w:rFonts w:eastAsia="Times New Roman"/>
          <w:lang w:eastAsia="de-DE"/>
        </w:rPr>
      </w:pPr>
      <w:r>
        <w:rPr>
          <w:rFonts w:eastAsia="Times New Roman"/>
          <w:noProof/>
          <w:lang w:eastAsia="de-DE"/>
        </w:rPr>
        <w:pict w14:anchorId="5497D7D8">
          <v:rect id="_x0000_i1038" style="width:0;height:1.5pt" o:hralign="center" o:hrstd="t" o:hr="t" fillcolor="#a0a0a0" stroked="f"/>
        </w:pict>
      </w:r>
    </w:p>
    <w:p w14:paraId="312BE9B5" w14:textId="0D2948B1" w:rsidR="007B72C7" w:rsidRDefault="007B72C7" w:rsidP="007B72C7">
      <w:r w:rsidRPr="007B72C7">
        <w:rPr>
          <w:b/>
          <w:bCs/>
        </w:rPr>
        <w:t>Kommentar:</w:t>
      </w:r>
      <w:r w:rsidRPr="007B72C7">
        <w:t xml:space="preserve"> </w:t>
      </w:r>
      <w:r w:rsidRPr="007B72C7">
        <w:rPr>
          <w:b/>
          <w:bCs/>
          <w:rtl/>
        </w:rPr>
        <w:t>וַתַּעֲנוּ</w:t>
      </w:r>
      <w:r w:rsidRPr="007B72C7">
        <w:rPr>
          <w:rtl/>
        </w:rPr>
        <w:t xml:space="preserve"> </w:t>
      </w:r>
      <w:r w:rsidRPr="007B72C7">
        <w:t xml:space="preserve">ist Qal Imperfekt consecutivum, 2. </w:t>
      </w:r>
      <w:r>
        <w:t xml:space="preserve">Person maskulin Plural von </w:t>
      </w:r>
      <w:r>
        <w:rPr>
          <w:rtl/>
        </w:rPr>
        <w:t>ענה</w:t>
      </w:r>
      <w:r>
        <w:t xml:space="preserve"> („antworten") mit Waw. </w:t>
      </w:r>
      <w:r>
        <w:rPr>
          <w:rStyle w:val="berschrift3Zchn"/>
          <w:rtl/>
        </w:rPr>
        <w:t>אֹתִי</w:t>
      </w:r>
      <w:r>
        <w:rPr>
          <w:rtl/>
        </w:rPr>
        <w:t xml:space="preserve"> </w:t>
      </w:r>
      <w:r>
        <w:t xml:space="preserve">ist die Objektpartikel </w:t>
      </w:r>
      <w:r>
        <w:rPr>
          <w:rStyle w:val="berschrift3Zchn"/>
          <w:rtl/>
        </w:rPr>
        <w:t>אֵת</w:t>
      </w:r>
      <w:r>
        <w:rPr>
          <w:rtl/>
        </w:rPr>
        <w:t xml:space="preserve"> </w:t>
      </w:r>
      <w:r>
        <w:t xml:space="preserve">mit Suffix 1. Person Singular („mich"). </w:t>
      </w:r>
      <w:r>
        <w:rPr>
          <w:rStyle w:val="berschrift3Zchn"/>
          <w:rtl/>
        </w:rPr>
        <w:t>וַתֹּאמְרוּ</w:t>
      </w:r>
      <w:r>
        <w:rPr>
          <w:rtl/>
        </w:rPr>
        <w:t xml:space="preserve"> </w:t>
      </w:r>
      <w:r>
        <w:t xml:space="preserve">ist Qal Imperfekt consecutivum, 2. Person maskulin Plural von </w:t>
      </w:r>
      <w:r>
        <w:rPr>
          <w:rtl/>
        </w:rPr>
        <w:t>אמר</w:t>
      </w:r>
      <w:r>
        <w:t xml:space="preserve"> („sagen") mit Waw.</w:t>
      </w:r>
    </w:p>
    <w:p w14:paraId="7CB18783" w14:textId="139F0797" w:rsidR="007B72C7" w:rsidRDefault="007B72C7" w:rsidP="007B72C7">
      <w:r>
        <w:rPr>
          <w:rStyle w:val="berschrift3Zchn"/>
          <w:rtl/>
        </w:rPr>
        <w:t>טוֹב־הַדָּבָר</w:t>
      </w:r>
      <w:r>
        <w:rPr>
          <w:rtl/>
        </w:rPr>
        <w:t xml:space="preserve"> </w:t>
      </w:r>
      <w:r>
        <w:t xml:space="preserve">ist ein Nominalsatz: </w:t>
      </w:r>
      <w:r>
        <w:rPr>
          <w:rStyle w:val="berschrift3Zchn"/>
          <w:rtl/>
        </w:rPr>
        <w:t>טוֹב</w:t>
      </w:r>
      <w:r>
        <w:rPr>
          <w:rtl/>
        </w:rPr>
        <w:t xml:space="preserve"> </w:t>
      </w:r>
      <w:r>
        <w:t xml:space="preserve">(„gut") als Prädikat und </w:t>
      </w:r>
      <w:r>
        <w:rPr>
          <w:rStyle w:val="berschrift3Zchn"/>
          <w:rtl/>
        </w:rPr>
        <w:t>הַדָּבָר</w:t>
      </w:r>
      <w:r>
        <w:rPr>
          <w:rtl/>
        </w:rPr>
        <w:t xml:space="preserve"> </w:t>
      </w:r>
      <w:r>
        <w:t xml:space="preserve">(„die Sache, das Wort") als Subjekt. Der Bindestrich (Maqqef) verbindet die Wörter eng. </w:t>
      </w:r>
      <w:r>
        <w:rPr>
          <w:rStyle w:val="berschrift3Zchn"/>
          <w:rtl/>
        </w:rPr>
        <w:t>אֲשֶׁר־דִּבַּרְתָּ</w:t>
      </w:r>
      <w:r>
        <w:rPr>
          <w:rtl/>
        </w:rPr>
        <w:t xml:space="preserve"> </w:t>
      </w:r>
      <w:r>
        <w:t xml:space="preserve">ist ein Relativsatz: </w:t>
      </w:r>
      <w:r>
        <w:rPr>
          <w:rStyle w:val="berschrift3Zchn"/>
          <w:rtl/>
        </w:rPr>
        <w:t>אֲשֶׁר</w:t>
      </w:r>
      <w:r>
        <w:rPr>
          <w:rtl/>
        </w:rPr>
        <w:t xml:space="preserve"> </w:t>
      </w:r>
      <w:r>
        <w:t xml:space="preserve">als Relativpronomen, </w:t>
      </w:r>
      <w:r>
        <w:rPr>
          <w:rStyle w:val="berschrift3Zchn"/>
          <w:rtl/>
        </w:rPr>
        <w:t>דִּבַּרְתָּ</w:t>
      </w:r>
      <w:r>
        <w:rPr>
          <w:rtl/>
        </w:rPr>
        <w:t xml:space="preserve"> </w:t>
      </w:r>
      <w:r>
        <w:t xml:space="preserve">als Piel Perfekt, 2. Person maskulin Singular von </w:t>
      </w:r>
      <w:r>
        <w:rPr>
          <w:rtl/>
        </w:rPr>
        <w:t>דבר</w:t>
      </w:r>
      <w:r>
        <w:t xml:space="preserve"> mit Suffix 2. Person („du hast geredet"). </w:t>
      </w:r>
      <w:r>
        <w:rPr>
          <w:rStyle w:val="berschrift3Zchn"/>
          <w:rtl/>
        </w:rPr>
        <w:t>לַעֲשׂוֹת</w:t>
      </w:r>
      <w:r>
        <w:rPr>
          <w:rtl/>
        </w:rPr>
        <w:t xml:space="preserve"> </w:t>
      </w:r>
      <w:r>
        <w:t xml:space="preserve">ist ein finaler Infinitiv: </w:t>
      </w:r>
      <w:r>
        <w:rPr>
          <w:rStyle w:val="berschrift3Zchn"/>
          <w:rtl/>
        </w:rPr>
        <w:t>לְ</w:t>
      </w:r>
      <w:r>
        <w:rPr>
          <w:rtl/>
        </w:rPr>
        <w:t xml:space="preserve"> </w:t>
      </w:r>
      <w:r>
        <w:t xml:space="preserve">mit Qal Infinitiv </w:t>
      </w:r>
      <w:r w:rsidR="0032647F">
        <w:t>Construct</w:t>
      </w:r>
      <w:r>
        <w:t xml:space="preserve"> von </w:t>
      </w:r>
      <w:r>
        <w:rPr>
          <w:rtl/>
        </w:rPr>
        <w:t>עשׂה</w:t>
      </w:r>
      <w:r>
        <w:t xml:space="preserve"> („tun, machen"), der den Zweck oder Inhalt des Gesagten angibt („zu tun").</w:t>
      </w:r>
    </w:p>
    <w:p w14:paraId="41A8A6B9" w14:textId="77777777" w:rsidR="007B72C7" w:rsidRDefault="007B72C7" w:rsidP="007B72C7">
      <w:r>
        <w:rPr>
          <w:rStyle w:val="berschrift3Zchn"/>
        </w:rPr>
        <w:t>Die LXX</w:t>
      </w:r>
      <w:r>
        <w:t xml:space="preserve"> übersetzt „καὶ ἀπ</w:t>
      </w:r>
      <w:proofErr w:type="spellStart"/>
      <w:r>
        <w:t>εκρίθητέ</w:t>
      </w:r>
      <w:proofErr w:type="spellEnd"/>
      <w:r>
        <w:t xml:space="preserve"> </w:t>
      </w:r>
      <w:proofErr w:type="spellStart"/>
      <w:r>
        <w:t>μοι</w:t>
      </w:r>
      <w:proofErr w:type="spellEnd"/>
      <w:r>
        <w:t xml:space="preserve"> καὶ </w:t>
      </w:r>
      <w:proofErr w:type="spellStart"/>
      <w:r>
        <w:t>εἴ</w:t>
      </w:r>
      <w:proofErr w:type="spellEnd"/>
      <w:r>
        <w:t>πατε Κα</w:t>
      </w:r>
      <w:proofErr w:type="spellStart"/>
      <w:r>
        <w:t>λὸν</w:t>
      </w:r>
      <w:proofErr w:type="spellEnd"/>
      <w:r>
        <w:t xml:space="preserve"> </w:t>
      </w:r>
      <w:proofErr w:type="spellStart"/>
      <w:r>
        <w:t>τὸ</w:t>
      </w:r>
      <w:proofErr w:type="spellEnd"/>
      <w:r>
        <w:t xml:space="preserve"> </w:t>
      </w:r>
      <w:proofErr w:type="spellStart"/>
      <w:r>
        <w:t>ῥῆμ</w:t>
      </w:r>
      <w:proofErr w:type="spellEnd"/>
      <w:r>
        <w:t xml:space="preserve">α, ὃ </w:t>
      </w:r>
      <w:proofErr w:type="spellStart"/>
      <w:r>
        <w:t>ἐλάλησ</w:t>
      </w:r>
      <w:proofErr w:type="spellEnd"/>
      <w:r>
        <w:t>ας π</w:t>
      </w:r>
      <w:proofErr w:type="spellStart"/>
      <w:r>
        <w:t>οιῆσ</w:t>
      </w:r>
      <w:proofErr w:type="spellEnd"/>
      <w:r>
        <w:t>αι" („und ihr antwortetet mir und sagtet: Gut ist das Wort, das du gesprochen hast zu tun"). Die LXX gibt die Struktur präzise wieder und verwendet „κα</w:t>
      </w:r>
      <w:proofErr w:type="spellStart"/>
      <w:r>
        <w:t>λόν</w:t>
      </w:r>
      <w:proofErr w:type="spellEnd"/>
      <w:r>
        <w:t xml:space="preserve">" („gut") für </w:t>
      </w:r>
      <w:r>
        <w:rPr>
          <w:rStyle w:val="berschrift3Zchn"/>
          <w:rtl/>
        </w:rPr>
        <w:t>טוֹב</w:t>
      </w:r>
      <w:r>
        <w:t>.</w:t>
      </w:r>
    </w:p>
    <w:p w14:paraId="7E10E40A" w14:textId="4487BFCB" w:rsidR="007B72C7" w:rsidRDefault="007B72C7" w:rsidP="007B72C7">
      <w:r>
        <w:t>Die Satzstruktur besteht aus zwei koordinierten Verben (</w:t>
      </w:r>
      <w:r>
        <w:rPr>
          <w:rStyle w:val="berschrift3Zchn"/>
          <w:rtl/>
        </w:rPr>
        <w:t>וַתַּעֲנוּ אֹתִי</w:t>
      </w:r>
      <w:r>
        <w:rPr>
          <w:rtl/>
        </w:rPr>
        <w:t xml:space="preserve"> </w:t>
      </w:r>
      <w:r>
        <w:t xml:space="preserve">und </w:t>
      </w:r>
      <w:r>
        <w:rPr>
          <w:rStyle w:val="berschrift3Zchn"/>
          <w:rtl/>
        </w:rPr>
        <w:t>וַתֹּאמְרוּ</w:t>
      </w:r>
      <w:r>
        <w:t>), gefolgt von der direkten Rede. Diese enthält einen Nominalsatz (</w:t>
      </w:r>
      <w:r>
        <w:rPr>
          <w:rStyle w:val="berschrift3Zchn"/>
          <w:rtl/>
        </w:rPr>
        <w:t>טוֹב־הַדָּבָר</w:t>
      </w:r>
      <w:r>
        <w:t>), der durch einen Relativsatz (</w:t>
      </w:r>
      <w:r>
        <w:rPr>
          <w:rStyle w:val="berschrift3Zchn"/>
          <w:rtl/>
        </w:rPr>
        <w:t>אֲשֶׁר־דִּבַּרְתָּ</w:t>
      </w:r>
      <w:r>
        <w:t>) und einen finalen Infinitiv (</w:t>
      </w:r>
      <w:r>
        <w:rPr>
          <w:rStyle w:val="berschrift3Zchn"/>
          <w:rtl/>
        </w:rPr>
        <w:t>לַעֲשׂוֹת</w:t>
      </w:r>
      <w:r>
        <w:t xml:space="preserve">) erweitert wird. Die </w:t>
      </w:r>
      <w:r w:rsidR="00FF2B82">
        <w:t>Konstruktion</w:t>
      </w:r>
      <w:r>
        <w:t xml:space="preserve"> zeigt die Zustimmung des Volkes zu Moses Vorschlag.</w:t>
      </w:r>
    </w:p>
    <w:p w14:paraId="690955DB" w14:textId="77777777" w:rsidR="007B72C7" w:rsidRDefault="007B72C7" w:rsidP="007B72C7">
      <w:r>
        <w:lastRenderedPageBreak/>
        <w:t>Der Vers dokumentiert die positive Reaktion des Volkes auf Moses Plan zur Delegation von Führungsverantwortung. Die Zustimmung legitimiert die folgende Einsetzung der Richter.</w:t>
      </w:r>
    </w:p>
    <w:p w14:paraId="3C85B36C" w14:textId="77777777" w:rsidR="007B72C7" w:rsidRPr="007B72C7" w:rsidRDefault="007B72C7" w:rsidP="007B72C7">
      <w:pPr>
        <w:spacing w:before="100" w:beforeAutospacing="1" w:after="100" w:afterAutospacing="1" w:line="240" w:lineRule="auto"/>
        <w:outlineLvl w:val="1"/>
        <w:rPr>
          <w:rFonts w:eastAsia="Times New Roman"/>
          <w:b/>
          <w:bCs/>
          <w:sz w:val="36"/>
          <w:szCs w:val="36"/>
          <w:lang w:eastAsia="de-DE"/>
        </w:rPr>
      </w:pPr>
      <w:r w:rsidRPr="007B72C7">
        <w:rPr>
          <w:rFonts w:eastAsia="Times New Roman"/>
          <w:b/>
          <w:bCs/>
          <w:sz w:val="36"/>
          <w:szCs w:val="36"/>
          <w:lang w:eastAsia="de-DE"/>
        </w:rPr>
        <w:t>Deuteronomium 1,15</w:t>
      </w:r>
    </w:p>
    <w:p w14:paraId="7040FAB7"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Hebräisch:</w:t>
      </w:r>
      <w:r w:rsidRPr="007B72C7">
        <w:rPr>
          <w:rFonts w:eastAsia="Times New Roman"/>
          <w:lang w:eastAsia="de-DE"/>
        </w:rPr>
        <w:t xml:space="preserve"> </w:t>
      </w:r>
      <w:r w:rsidRPr="007B72C7">
        <w:rPr>
          <w:rFonts w:eastAsia="Times New Roman"/>
          <w:rtl/>
          <w:lang w:eastAsia="de-DE"/>
        </w:rPr>
        <w:t>וָאֶקַּ֞ח אֶת־רָאשֵׁ֣י שִׁבְטֵיכֶ֗ם אֲנָשִׁ֤ים חֲכָמִים֙ וִֽידֻעִ֔ים וָאֶתֵּ֥ן אֹתָ֛ם רָאשִׁ֖ים עֲלֵיכֶ֑ם שָׂרֵ֨י אֲלָפִ֜ים וְשָׂרֵ֣י מֵא֗וֹת וְשָׂרֵ֤י חֲמִשִּׁים֙ וְשָׂרֵ֣י עֲשָׂרֹ֔ת וְשֹׁטְרִ֖ים לְשִׁבְטֵיכֶֽם׃</w:t>
      </w:r>
    </w:p>
    <w:p w14:paraId="07DF3F70"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Deutsch:</w:t>
      </w:r>
      <w:r w:rsidRPr="007B72C7">
        <w:rPr>
          <w:rFonts w:eastAsia="Times New Roman"/>
          <w:lang w:eastAsia="de-DE"/>
        </w:rPr>
        <w:t xml:space="preserve"> Und ich nahm die Häupter eurer Stämme, weise und bekannte Männer, und gab sie als Häupter über euch, als Oberste von Tausenden und Oberste von Hunderten und Oberste von Fünfzigen und Oberste von Zehnen und als Aufseher für eure Stämme.</w:t>
      </w:r>
    </w:p>
    <w:p w14:paraId="1A915008" w14:textId="77777777" w:rsidR="007B72C7" w:rsidRPr="007B72C7" w:rsidRDefault="004F5CEB" w:rsidP="007B72C7">
      <w:pPr>
        <w:spacing w:after="0" w:line="240" w:lineRule="auto"/>
        <w:rPr>
          <w:rFonts w:eastAsia="Times New Roman"/>
          <w:lang w:eastAsia="de-DE"/>
        </w:rPr>
      </w:pPr>
      <w:r>
        <w:rPr>
          <w:rFonts w:eastAsia="Times New Roman"/>
          <w:noProof/>
          <w:lang w:eastAsia="de-DE"/>
        </w:rPr>
        <w:pict w14:anchorId="0850663D">
          <v:rect id="_x0000_i1039" style="width:0;height:1.5pt" o:hralign="center" o:hrstd="t" o:hr="t" fillcolor="#a0a0a0" stroked="f"/>
        </w:pict>
      </w:r>
    </w:p>
    <w:p w14:paraId="53B7FA0D" w14:textId="29B445E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Kommentar:</w:t>
      </w:r>
      <w:r w:rsidRPr="007B72C7">
        <w:rPr>
          <w:rFonts w:eastAsia="Times New Roman"/>
          <w:lang w:eastAsia="de-DE"/>
        </w:rPr>
        <w:t xml:space="preserve"> </w:t>
      </w:r>
      <w:r w:rsidRPr="007B72C7">
        <w:rPr>
          <w:rFonts w:eastAsia="Times New Roman"/>
          <w:b/>
          <w:bCs/>
          <w:rtl/>
          <w:lang w:eastAsia="de-DE"/>
        </w:rPr>
        <w:t>וָאֶקַּח</w:t>
      </w:r>
      <w:r w:rsidRPr="007B72C7">
        <w:rPr>
          <w:rFonts w:eastAsia="Times New Roman"/>
          <w:rtl/>
          <w:lang w:eastAsia="de-DE"/>
        </w:rPr>
        <w:t xml:space="preserve"> </w:t>
      </w:r>
      <w:r w:rsidRPr="007B72C7">
        <w:rPr>
          <w:rFonts w:eastAsia="Times New Roman"/>
          <w:lang w:eastAsia="de-DE"/>
        </w:rPr>
        <w:t xml:space="preserve">ist Qal Imperfekt consecutivum, 1. Person Singular von </w:t>
      </w:r>
      <w:r w:rsidRPr="007B72C7">
        <w:rPr>
          <w:rFonts w:eastAsia="Times New Roman"/>
          <w:rtl/>
          <w:lang w:eastAsia="de-DE"/>
        </w:rPr>
        <w:t>לקח</w:t>
      </w:r>
      <w:r w:rsidRPr="007B72C7">
        <w:rPr>
          <w:rFonts w:eastAsia="Times New Roman"/>
          <w:lang w:eastAsia="de-DE"/>
        </w:rPr>
        <w:t xml:space="preserve"> („nehmen") mit Waw. </w:t>
      </w:r>
      <w:r w:rsidRPr="007B72C7">
        <w:rPr>
          <w:rFonts w:eastAsia="Times New Roman"/>
          <w:b/>
          <w:bCs/>
          <w:rtl/>
          <w:lang w:eastAsia="de-DE"/>
        </w:rPr>
        <w:t>אֶת־רָאשֵׁי שִׁבְטֵיכֶם</w:t>
      </w:r>
      <w:r w:rsidRPr="007B72C7">
        <w:rPr>
          <w:rFonts w:eastAsia="Times New Roman"/>
          <w:rtl/>
          <w:lang w:eastAsia="de-DE"/>
        </w:rPr>
        <w:t xml:space="preserve"> </w:t>
      </w:r>
      <w:r w:rsidRPr="007B72C7">
        <w:rPr>
          <w:rFonts w:eastAsia="Times New Roman"/>
          <w:lang w:eastAsia="de-DE"/>
        </w:rPr>
        <w:t xml:space="preserve">besteht aus der Objektpartikel </w:t>
      </w:r>
      <w:r w:rsidRPr="007B72C7">
        <w:rPr>
          <w:rFonts w:eastAsia="Times New Roman"/>
          <w:b/>
          <w:bCs/>
          <w:rtl/>
          <w:lang w:eastAsia="de-DE"/>
        </w:rPr>
        <w:t>אֵת</w:t>
      </w:r>
      <w:r w:rsidRPr="007B72C7">
        <w:rPr>
          <w:rFonts w:eastAsia="Times New Roman"/>
          <w:lang w:eastAsia="de-DE"/>
        </w:rPr>
        <w:t xml:space="preserve">, </w:t>
      </w:r>
      <w:r w:rsidRPr="007B72C7">
        <w:rPr>
          <w:rFonts w:eastAsia="Times New Roman"/>
          <w:b/>
          <w:bCs/>
          <w:rtl/>
          <w:lang w:eastAsia="de-DE"/>
        </w:rPr>
        <w:t>רָאשֵׁי</w:t>
      </w:r>
      <w:r w:rsidRPr="007B72C7">
        <w:rPr>
          <w:rFonts w:eastAsia="Times New Roman"/>
          <w:rtl/>
          <w:lang w:eastAsia="de-DE"/>
        </w:rPr>
        <w:t xml:space="preserve"> </w:t>
      </w:r>
      <w:r w:rsidRPr="007B72C7">
        <w:rPr>
          <w:rFonts w:eastAsia="Times New Roman"/>
          <w:lang w:eastAsia="de-DE"/>
        </w:rPr>
        <w:t xml:space="preserve">(Plural </w:t>
      </w:r>
      <w:r w:rsidR="0032647F">
        <w:rPr>
          <w:rFonts w:eastAsia="Times New Roman"/>
          <w:lang w:eastAsia="de-DE"/>
        </w:rPr>
        <w:t>Construct</w:t>
      </w:r>
      <w:r w:rsidRPr="007B72C7">
        <w:rPr>
          <w:rFonts w:eastAsia="Times New Roman"/>
          <w:lang w:eastAsia="de-DE"/>
        </w:rPr>
        <w:t xml:space="preserve"> von </w:t>
      </w:r>
      <w:r w:rsidRPr="007B72C7">
        <w:rPr>
          <w:rFonts w:eastAsia="Times New Roman"/>
          <w:b/>
          <w:bCs/>
          <w:rtl/>
          <w:lang w:eastAsia="de-DE"/>
        </w:rPr>
        <w:t>רֹאשׁ</w:t>
      </w:r>
      <w:r w:rsidRPr="007B72C7">
        <w:rPr>
          <w:rFonts w:eastAsia="Times New Roman"/>
          <w:rtl/>
          <w:lang w:eastAsia="de-DE"/>
        </w:rPr>
        <w:t xml:space="preserve"> </w:t>
      </w:r>
      <w:r w:rsidRPr="007B72C7">
        <w:rPr>
          <w:rFonts w:eastAsia="Times New Roman"/>
          <w:lang w:eastAsia="de-DE"/>
        </w:rPr>
        <w:t xml:space="preserve">„Haupt"), </w:t>
      </w:r>
      <w:r w:rsidRPr="007B72C7">
        <w:rPr>
          <w:rFonts w:eastAsia="Times New Roman"/>
          <w:b/>
          <w:bCs/>
          <w:rtl/>
          <w:lang w:eastAsia="de-DE"/>
        </w:rPr>
        <w:t>שִׁבְטֵיכֶם</w:t>
      </w:r>
      <w:r w:rsidRPr="007B72C7">
        <w:rPr>
          <w:rFonts w:eastAsia="Times New Roman"/>
          <w:rtl/>
          <w:lang w:eastAsia="de-DE"/>
        </w:rPr>
        <w:t xml:space="preserve"> </w:t>
      </w:r>
      <w:r w:rsidRPr="007B72C7">
        <w:rPr>
          <w:rFonts w:eastAsia="Times New Roman"/>
          <w:lang w:eastAsia="de-DE"/>
        </w:rPr>
        <w:t xml:space="preserve">(Plural von </w:t>
      </w:r>
      <w:r w:rsidRPr="007B72C7">
        <w:rPr>
          <w:rFonts w:eastAsia="Times New Roman"/>
          <w:b/>
          <w:bCs/>
          <w:rtl/>
          <w:lang w:eastAsia="de-DE"/>
        </w:rPr>
        <w:t>שֵׁבֶט</w:t>
      </w:r>
      <w:r w:rsidRPr="007B72C7">
        <w:rPr>
          <w:rFonts w:eastAsia="Times New Roman"/>
          <w:rtl/>
          <w:lang w:eastAsia="de-DE"/>
        </w:rPr>
        <w:t xml:space="preserve"> </w:t>
      </w:r>
      <w:r w:rsidRPr="007B72C7">
        <w:rPr>
          <w:rFonts w:eastAsia="Times New Roman"/>
          <w:lang w:eastAsia="de-DE"/>
        </w:rPr>
        <w:t xml:space="preserve">mit Suffix 2. Person maskulin Plural). </w:t>
      </w:r>
      <w:r w:rsidRPr="007B72C7">
        <w:rPr>
          <w:rFonts w:eastAsia="Times New Roman"/>
          <w:b/>
          <w:bCs/>
          <w:rtl/>
          <w:lang w:eastAsia="de-DE"/>
        </w:rPr>
        <w:t>אֲנָשִׁים חֲכָמִים וִידֻעִים</w:t>
      </w:r>
      <w:r w:rsidRPr="007B72C7">
        <w:rPr>
          <w:rFonts w:eastAsia="Times New Roman"/>
          <w:rtl/>
          <w:lang w:eastAsia="de-DE"/>
        </w:rPr>
        <w:t xml:space="preserve"> </w:t>
      </w:r>
      <w:r w:rsidRPr="007B72C7">
        <w:rPr>
          <w:rFonts w:eastAsia="Times New Roman"/>
          <w:lang w:eastAsia="de-DE"/>
        </w:rPr>
        <w:t xml:space="preserve">ist eine appositionelle Phrase, die die </w:t>
      </w:r>
      <w:r w:rsidRPr="007B72C7">
        <w:rPr>
          <w:rFonts w:eastAsia="Times New Roman"/>
          <w:b/>
          <w:bCs/>
          <w:rtl/>
          <w:lang w:eastAsia="de-DE"/>
        </w:rPr>
        <w:t>רָאשֵׁי</w:t>
      </w:r>
      <w:r w:rsidRPr="007B72C7">
        <w:rPr>
          <w:rFonts w:eastAsia="Times New Roman"/>
          <w:rtl/>
          <w:lang w:eastAsia="de-DE"/>
        </w:rPr>
        <w:t xml:space="preserve"> </w:t>
      </w:r>
      <w:r w:rsidRPr="007B72C7">
        <w:rPr>
          <w:rFonts w:eastAsia="Times New Roman"/>
          <w:lang w:eastAsia="de-DE"/>
        </w:rPr>
        <w:t xml:space="preserve">näher beschreibt. Im Gegensatz zu V. 13 fehlt hier </w:t>
      </w:r>
      <w:r w:rsidRPr="007B72C7">
        <w:rPr>
          <w:rFonts w:eastAsia="Times New Roman"/>
          <w:b/>
          <w:bCs/>
          <w:rtl/>
          <w:lang w:eastAsia="de-DE"/>
        </w:rPr>
        <w:t>נְבֹנִים</w:t>
      </w:r>
      <w:r w:rsidRPr="007B72C7">
        <w:rPr>
          <w:rFonts w:eastAsia="Times New Roman"/>
          <w:rtl/>
          <w:lang w:eastAsia="de-DE"/>
        </w:rPr>
        <w:t xml:space="preserve"> </w:t>
      </w:r>
      <w:r w:rsidRPr="007B72C7">
        <w:rPr>
          <w:rFonts w:eastAsia="Times New Roman"/>
          <w:lang w:eastAsia="de-DE"/>
        </w:rPr>
        <w:t>(„verständig"), was auf eine partielle Erfüllung der Anforderungen hinweisen könnte.</w:t>
      </w:r>
    </w:p>
    <w:p w14:paraId="5400B8EF"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rtl/>
          <w:lang w:eastAsia="de-DE"/>
        </w:rPr>
        <w:t>וָאֶתֵּן</w:t>
      </w:r>
      <w:r w:rsidRPr="007B72C7">
        <w:rPr>
          <w:rFonts w:eastAsia="Times New Roman"/>
          <w:rtl/>
          <w:lang w:eastAsia="de-DE"/>
        </w:rPr>
        <w:t xml:space="preserve"> </w:t>
      </w:r>
      <w:r w:rsidRPr="007B72C7">
        <w:rPr>
          <w:rFonts w:eastAsia="Times New Roman"/>
          <w:lang w:eastAsia="de-DE"/>
        </w:rPr>
        <w:t xml:space="preserve">ist Qal Imperfekt consecutivum, 1. Person Singular von </w:t>
      </w:r>
      <w:r w:rsidRPr="007B72C7">
        <w:rPr>
          <w:rFonts w:eastAsia="Times New Roman"/>
          <w:rtl/>
          <w:lang w:eastAsia="de-DE"/>
        </w:rPr>
        <w:t>נתן</w:t>
      </w:r>
      <w:r w:rsidRPr="007B72C7">
        <w:rPr>
          <w:rFonts w:eastAsia="Times New Roman"/>
          <w:lang w:eastAsia="de-DE"/>
        </w:rPr>
        <w:t xml:space="preserve"> („geben, einsetzen") mit Waw. </w:t>
      </w:r>
      <w:r w:rsidRPr="007B72C7">
        <w:rPr>
          <w:rFonts w:eastAsia="Times New Roman"/>
          <w:b/>
          <w:bCs/>
          <w:rtl/>
          <w:lang w:eastAsia="de-DE"/>
        </w:rPr>
        <w:t>אֹתָם</w:t>
      </w:r>
      <w:r w:rsidRPr="007B72C7">
        <w:rPr>
          <w:rFonts w:eastAsia="Times New Roman"/>
          <w:rtl/>
          <w:lang w:eastAsia="de-DE"/>
        </w:rPr>
        <w:t xml:space="preserve"> </w:t>
      </w:r>
      <w:r w:rsidRPr="007B72C7">
        <w:rPr>
          <w:rFonts w:eastAsia="Times New Roman"/>
          <w:lang w:eastAsia="de-DE"/>
        </w:rPr>
        <w:t xml:space="preserve">ist die Objektpartikel mit Suffix 3. Person maskulin Plural („sie"). </w:t>
      </w:r>
      <w:r w:rsidRPr="007B72C7">
        <w:rPr>
          <w:rFonts w:eastAsia="Times New Roman"/>
          <w:b/>
          <w:bCs/>
          <w:rtl/>
          <w:lang w:eastAsia="de-DE"/>
        </w:rPr>
        <w:t>רָאשִׁים</w:t>
      </w:r>
      <w:r w:rsidRPr="007B72C7">
        <w:rPr>
          <w:rFonts w:eastAsia="Times New Roman"/>
          <w:rtl/>
          <w:lang w:eastAsia="de-DE"/>
        </w:rPr>
        <w:t xml:space="preserve"> </w:t>
      </w:r>
      <w:r w:rsidRPr="007B72C7">
        <w:rPr>
          <w:rFonts w:eastAsia="Times New Roman"/>
          <w:lang w:eastAsia="de-DE"/>
        </w:rPr>
        <w:t xml:space="preserve">ist Akkusativ oder als doppeltes Akkusativobjekt („als Häupter"). </w:t>
      </w:r>
      <w:r w:rsidRPr="007B72C7">
        <w:rPr>
          <w:rFonts w:eastAsia="Times New Roman"/>
          <w:b/>
          <w:bCs/>
          <w:rtl/>
          <w:lang w:eastAsia="de-DE"/>
        </w:rPr>
        <w:t>עֲלֵיכֶם</w:t>
      </w:r>
      <w:r w:rsidRPr="007B72C7">
        <w:rPr>
          <w:rFonts w:eastAsia="Times New Roman"/>
          <w:rtl/>
          <w:lang w:eastAsia="de-DE"/>
        </w:rPr>
        <w:t xml:space="preserve"> </w:t>
      </w:r>
      <w:r w:rsidRPr="007B72C7">
        <w:rPr>
          <w:rFonts w:eastAsia="Times New Roman"/>
          <w:lang w:eastAsia="de-DE"/>
        </w:rPr>
        <w:t xml:space="preserve">ist die Präposition </w:t>
      </w:r>
      <w:r w:rsidRPr="007B72C7">
        <w:rPr>
          <w:rFonts w:eastAsia="Times New Roman"/>
          <w:b/>
          <w:bCs/>
          <w:rtl/>
          <w:lang w:eastAsia="de-DE"/>
        </w:rPr>
        <w:t>עַל</w:t>
      </w:r>
      <w:r w:rsidRPr="007B72C7">
        <w:rPr>
          <w:rFonts w:eastAsia="Times New Roman"/>
          <w:rtl/>
          <w:lang w:eastAsia="de-DE"/>
        </w:rPr>
        <w:t xml:space="preserve"> </w:t>
      </w:r>
      <w:r w:rsidRPr="007B72C7">
        <w:rPr>
          <w:rFonts w:eastAsia="Times New Roman"/>
          <w:lang w:eastAsia="de-DE"/>
        </w:rPr>
        <w:t>(„über") mit Suffix 2. Person maskulin Plural.</w:t>
      </w:r>
    </w:p>
    <w:p w14:paraId="3AC39E76" w14:textId="1851EA61"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lang w:eastAsia="de-DE"/>
        </w:rPr>
        <w:t xml:space="preserve">Es folgt eine detaillierte hierarchische Aufzählung von Amtstiteln: </w:t>
      </w:r>
      <w:r w:rsidRPr="007B72C7">
        <w:rPr>
          <w:rFonts w:eastAsia="Times New Roman"/>
          <w:b/>
          <w:bCs/>
          <w:rtl/>
          <w:lang w:eastAsia="de-DE"/>
        </w:rPr>
        <w:t>שָׂרֵי אֲלָפִים</w:t>
      </w:r>
      <w:r w:rsidRPr="007B72C7">
        <w:rPr>
          <w:rFonts w:eastAsia="Times New Roman"/>
          <w:rtl/>
          <w:lang w:eastAsia="de-DE"/>
        </w:rPr>
        <w:t xml:space="preserve"> </w:t>
      </w:r>
      <w:r w:rsidRPr="007B72C7">
        <w:rPr>
          <w:rFonts w:eastAsia="Times New Roman"/>
          <w:lang w:eastAsia="de-DE"/>
        </w:rPr>
        <w:t xml:space="preserve">(„Oberste von Tausenden"), wobei </w:t>
      </w:r>
      <w:r w:rsidRPr="007B72C7">
        <w:rPr>
          <w:rFonts w:eastAsia="Times New Roman"/>
          <w:b/>
          <w:bCs/>
          <w:rtl/>
          <w:lang w:eastAsia="de-DE"/>
        </w:rPr>
        <w:t>שָׂרֵי</w:t>
      </w:r>
      <w:r w:rsidRPr="007B72C7">
        <w:rPr>
          <w:rFonts w:eastAsia="Times New Roman"/>
          <w:rtl/>
          <w:lang w:eastAsia="de-DE"/>
        </w:rPr>
        <w:t xml:space="preserve"> </w:t>
      </w:r>
      <w:r w:rsidRPr="007B72C7">
        <w:rPr>
          <w:rFonts w:eastAsia="Times New Roman"/>
          <w:lang w:eastAsia="de-DE"/>
        </w:rPr>
        <w:t xml:space="preserve">der Plural </w:t>
      </w:r>
      <w:r w:rsidR="0032647F">
        <w:rPr>
          <w:rFonts w:eastAsia="Times New Roman"/>
          <w:lang w:eastAsia="de-DE"/>
        </w:rPr>
        <w:t>Construct</w:t>
      </w:r>
      <w:r w:rsidRPr="007B72C7">
        <w:rPr>
          <w:rFonts w:eastAsia="Times New Roman"/>
          <w:lang w:eastAsia="de-DE"/>
        </w:rPr>
        <w:t xml:space="preserve"> von </w:t>
      </w:r>
      <w:r w:rsidRPr="007B72C7">
        <w:rPr>
          <w:rFonts w:eastAsia="Times New Roman"/>
          <w:b/>
          <w:bCs/>
          <w:rtl/>
          <w:lang w:eastAsia="de-DE"/>
        </w:rPr>
        <w:t>שַׂר</w:t>
      </w:r>
      <w:r w:rsidRPr="007B72C7">
        <w:rPr>
          <w:rFonts w:eastAsia="Times New Roman"/>
          <w:rtl/>
          <w:lang w:eastAsia="de-DE"/>
        </w:rPr>
        <w:t xml:space="preserve"> </w:t>
      </w:r>
      <w:r w:rsidRPr="007B72C7">
        <w:rPr>
          <w:rFonts w:eastAsia="Times New Roman"/>
          <w:lang w:eastAsia="de-DE"/>
        </w:rPr>
        <w:t xml:space="preserve">(„Oberster, Fürst") ist und </w:t>
      </w:r>
      <w:r w:rsidRPr="007B72C7">
        <w:rPr>
          <w:rFonts w:eastAsia="Times New Roman"/>
          <w:b/>
          <w:bCs/>
          <w:rtl/>
          <w:lang w:eastAsia="de-DE"/>
        </w:rPr>
        <w:t>אֲלָפִים</w:t>
      </w:r>
      <w:r w:rsidRPr="007B72C7">
        <w:rPr>
          <w:rFonts w:eastAsia="Times New Roman"/>
          <w:rtl/>
          <w:lang w:eastAsia="de-DE"/>
        </w:rPr>
        <w:t xml:space="preserve"> </w:t>
      </w:r>
      <w:r w:rsidRPr="007B72C7">
        <w:rPr>
          <w:rFonts w:eastAsia="Times New Roman"/>
          <w:lang w:eastAsia="de-DE"/>
        </w:rPr>
        <w:t xml:space="preserve">der Plural von </w:t>
      </w:r>
      <w:r w:rsidRPr="007B72C7">
        <w:rPr>
          <w:rFonts w:eastAsia="Times New Roman"/>
          <w:b/>
          <w:bCs/>
          <w:rtl/>
          <w:lang w:eastAsia="de-DE"/>
        </w:rPr>
        <w:t>אֶלֶף</w:t>
      </w:r>
      <w:r w:rsidRPr="007B72C7">
        <w:rPr>
          <w:rFonts w:eastAsia="Times New Roman"/>
          <w:rtl/>
          <w:lang w:eastAsia="de-DE"/>
        </w:rPr>
        <w:t xml:space="preserve"> </w:t>
      </w:r>
      <w:r w:rsidRPr="007B72C7">
        <w:rPr>
          <w:rFonts w:eastAsia="Times New Roman"/>
          <w:lang w:eastAsia="de-DE"/>
        </w:rPr>
        <w:t xml:space="preserve">(„Tausend"). Parallel dazu: </w:t>
      </w:r>
      <w:r w:rsidRPr="007B72C7">
        <w:rPr>
          <w:rFonts w:eastAsia="Times New Roman"/>
          <w:b/>
          <w:bCs/>
          <w:rtl/>
          <w:lang w:eastAsia="de-DE"/>
        </w:rPr>
        <w:t>וְשָׂרֵי מֵאוֹת</w:t>
      </w:r>
      <w:r w:rsidRPr="007B72C7">
        <w:rPr>
          <w:rFonts w:eastAsia="Times New Roman"/>
          <w:rtl/>
          <w:lang w:eastAsia="de-DE"/>
        </w:rPr>
        <w:t xml:space="preserve"> </w:t>
      </w:r>
      <w:r w:rsidRPr="007B72C7">
        <w:rPr>
          <w:rFonts w:eastAsia="Times New Roman"/>
          <w:lang w:eastAsia="de-DE"/>
        </w:rPr>
        <w:t xml:space="preserve">(„Oberste von Hunderten"), </w:t>
      </w:r>
      <w:r w:rsidRPr="007B72C7">
        <w:rPr>
          <w:rFonts w:eastAsia="Times New Roman"/>
          <w:b/>
          <w:bCs/>
          <w:rtl/>
          <w:lang w:eastAsia="de-DE"/>
        </w:rPr>
        <w:t>וְשָׂרֵי חֲמִשִּׁים</w:t>
      </w:r>
      <w:r w:rsidRPr="007B72C7">
        <w:rPr>
          <w:rFonts w:eastAsia="Times New Roman"/>
          <w:rtl/>
          <w:lang w:eastAsia="de-DE"/>
        </w:rPr>
        <w:t xml:space="preserve"> </w:t>
      </w:r>
      <w:r w:rsidRPr="007B72C7">
        <w:rPr>
          <w:rFonts w:eastAsia="Times New Roman"/>
          <w:lang w:eastAsia="de-DE"/>
        </w:rPr>
        <w:t xml:space="preserve">(„Oberste von Fünfzigen"), </w:t>
      </w:r>
      <w:r w:rsidRPr="007B72C7">
        <w:rPr>
          <w:rFonts w:eastAsia="Times New Roman"/>
          <w:b/>
          <w:bCs/>
          <w:rtl/>
          <w:lang w:eastAsia="de-DE"/>
        </w:rPr>
        <w:t>וְשָׂרֵי עֲשָׂרֹת</w:t>
      </w:r>
      <w:r w:rsidRPr="007B72C7">
        <w:rPr>
          <w:rFonts w:eastAsia="Times New Roman"/>
          <w:rtl/>
          <w:lang w:eastAsia="de-DE"/>
        </w:rPr>
        <w:t xml:space="preserve"> </w:t>
      </w:r>
      <w:r w:rsidRPr="007B72C7">
        <w:rPr>
          <w:rFonts w:eastAsia="Times New Roman"/>
          <w:lang w:eastAsia="de-DE"/>
        </w:rPr>
        <w:t xml:space="preserve">(„Oberste von Zehnen"), wobei </w:t>
      </w:r>
      <w:r w:rsidRPr="007B72C7">
        <w:rPr>
          <w:rFonts w:eastAsia="Times New Roman"/>
          <w:b/>
          <w:bCs/>
          <w:rtl/>
          <w:lang w:eastAsia="de-DE"/>
        </w:rPr>
        <w:t>מֵאוֹת</w:t>
      </w:r>
      <w:r w:rsidRPr="007B72C7">
        <w:rPr>
          <w:rFonts w:eastAsia="Times New Roman"/>
          <w:rtl/>
          <w:lang w:eastAsia="de-DE"/>
        </w:rPr>
        <w:t xml:space="preserve"> </w:t>
      </w:r>
      <w:r w:rsidRPr="007B72C7">
        <w:rPr>
          <w:rFonts w:eastAsia="Times New Roman"/>
          <w:lang w:eastAsia="de-DE"/>
        </w:rPr>
        <w:t xml:space="preserve">von </w:t>
      </w:r>
      <w:r w:rsidRPr="007B72C7">
        <w:rPr>
          <w:rFonts w:eastAsia="Times New Roman"/>
          <w:b/>
          <w:bCs/>
          <w:rtl/>
          <w:lang w:eastAsia="de-DE"/>
        </w:rPr>
        <w:t>מֵאָה</w:t>
      </w:r>
      <w:r w:rsidRPr="007B72C7">
        <w:rPr>
          <w:rFonts w:eastAsia="Times New Roman"/>
          <w:rtl/>
          <w:lang w:eastAsia="de-DE"/>
        </w:rPr>
        <w:t xml:space="preserve"> </w:t>
      </w:r>
      <w:r w:rsidRPr="007B72C7">
        <w:rPr>
          <w:rFonts w:eastAsia="Times New Roman"/>
          <w:lang w:eastAsia="de-DE"/>
        </w:rPr>
        <w:t xml:space="preserve">(„Hundert"), </w:t>
      </w:r>
      <w:r w:rsidRPr="007B72C7">
        <w:rPr>
          <w:rFonts w:eastAsia="Times New Roman"/>
          <w:b/>
          <w:bCs/>
          <w:rtl/>
          <w:lang w:eastAsia="de-DE"/>
        </w:rPr>
        <w:t>חֲמִשִּׁים</w:t>
      </w:r>
      <w:r w:rsidRPr="007B72C7">
        <w:rPr>
          <w:rFonts w:eastAsia="Times New Roman"/>
          <w:rtl/>
          <w:lang w:eastAsia="de-DE"/>
        </w:rPr>
        <w:t xml:space="preserve"> </w:t>
      </w:r>
      <w:r w:rsidRPr="007B72C7">
        <w:rPr>
          <w:rFonts w:eastAsia="Times New Roman"/>
          <w:lang w:eastAsia="de-DE"/>
        </w:rPr>
        <w:t xml:space="preserve">(„Fünfzig"), und </w:t>
      </w:r>
      <w:r w:rsidRPr="007B72C7">
        <w:rPr>
          <w:rFonts w:eastAsia="Times New Roman"/>
          <w:b/>
          <w:bCs/>
          <w:rtl/>
          <w:lang w:eastAsia="de-DE"/>
        </w:rPr>
        <w:t>עֲשָׂרֹת</w:t>
      </w:r>
      <w:r w:rsidRPr="007B72C7">
        <w:rPr>
          <w:rFonts w:eastAsia="Times New Roman"/>
          <w:rtl/>
          <w:lang w:eastAsia="de-DE"/>
        </w:rPr>
        <w:t xml:space="preserve"> </w:t>
      </w:r>
      <w:r w:rsidRPr="007B72C7">
        <w:rPr>
          <w:rFonts w:eastAsia="Times New Roman"/>
          <w:lang w:eastAsia="de-DE"/>
        </w:rPr>
        <w:t xml:space="preserve">von </w:t>
      </w:r>
      <w:r w:rsidRPr="007B72C7">
        <w:rPr>
          <w:rFonts w:eastAsia="Times New Roman"/>
          <w:b/>
          <w:bCs/>
          <w:rtl/>
          <w:lang w:eastAsia="de-DE"/>
        </w:rPr>
        <w:t>עֶשֶׂר</w:t>
      </w:r>
      <w:r w:rsidRPr="007B72C7">
        <w:rPr>
          <w:rFonts w:eastAsia="Times New Roman"/>
          <w:rtl/>
          <w:lang w:eastAsia="de-DE"/>
        </w:rPr>
        <w:t xml:space="preserve"> </w:t>
      </w:r>
      <w:r w:rsidRPr="007B72C7">
        <w:rPr>
          <w:rFonts w:eastAsia="Times New Roman"/>
          <w:lang w:eastAsia="de-DE"/>
        </w:rPr>
        <w:t xml:space="preserve">(„Zehn") abgeleitet sind. </w:t>
      </w:r>
      <w:r w:rsidRPr="007B72C7">
        <w:rPr>
          <w:rFonts w:eastAsia="Times New Roman"/>
          <w:b/>
          <w:bCs/>
          <w:rtl/>
          <w:lang w:eastAsia="de-DE"/>
        </w:rPr>
        <w:t>וְשֹׁטְרִים</w:t>
      </w:r>
      <w:r w:rsidRPr="007B72C7">
        <w:rPr>
          <w:rFonts w:eastAsia="Times New Roman"/>
          <w:rtl/>
          <w:lang w:eastAsia="de-DE"/>
        </w:rPr>
        <w:t xml:space="preserve"> </w:t>
      </w:r>
      <w:r w:rsidRPr="007B72C7">
        <w:rPr>
          <w:rFonts w:eastAsia="Times New Roman"/>
          <w:lang w:eastAsia="de-DE"/>
        </w:rPr>
        <w:t xml:space="preserve">(„und Aufseher") ist der Plural von </w:t>
      </w:r>
      <w:r w:rsidRPr="007B72C7">
        <w:rPr>
          <w:rFonts w:eastAsia="Times New Roman"/>
          <w:b/>
          <w:bCs/>
          <w:rtl/>
          <w:lang w:eastAsia="de-DE"/>
        </w:rPr>
        <w:t>שׁוֹטֵר</w:t>
      </w:r>
      <w:r w:rsidRPr="007B72C7">
        <w:rPr>
          <w:rFonts w:eastAsia="Times New Roman"/>
          <w:rtl/>
          <w:lang w:eastAsia="de-DE"/>
        </w:rPr>
        <w:t xml:space="preserve"> </w:t>
      </w:r>
      <w:r w:rsidRPr="007B72C7">
        <w:rPr>
          <w:rFonts w:eastAsia="Times New Roman"/>
          <w:lang w:eastAsia="de-DE"/>
        </w:rPr>
        <w:t xml:space="preserve">(„Aufseher, Beamter"). </w:t>
      </w:r>
      <w:r w:rsidRPr="007B72C7">
        <w:rPr>
          <w:rFonts w:eastAsia="Times New Roman"/>
          <w:b/>
          <w:bCs/>
          <w:rtl/>
          <w:lang w:eastAsia="de-DE"/>
        </w:rPr>
        <w:t>לְשִׁבְטֵיכֶם</w:t>
      </w:r>
      <w:r w:rsidRPr="007B72C7">
        <w:rPr>
          <w:rFonts w:eastAsia="Times New Roman"/>
          <w:rtl/>
          <w:lang w:eastAsia="de-DE"/>
        </w:rPr>
        <w:t xml:space="preserve"> </w:t>
      </w:r>
      <w:r w:rsidRPr="007B72C7">
        <w:rPr>
          <w:rFonts w:eastAsia="Times New Roman"/>
          <w:lang w:eastAsia="de-DE"/>
        </w:rPr>
        <w:t xml:space="preserve">ist </w:t>
      </w:r>
      <w:r w:rsidRPr="007B72C7">
        <w:rPr>
          <w:rFonts w:eastAsia="Times New Roman"/>
          <w:b/>
          <w:bCs/>
          <w:rtl/>
          <w:lang w:eastAsia="de-DE"/>
        </w:rPr>
        <w:t>לְ</w:t>
      </w:r>
      <w:r w:rsidRPr="007B72C7">
        <w:rPr>
          <w:rFonts w:eastAsia="Times New Roman"/>
          <w:rtl/>
          <w:lang w:eastAsia="de-DE"/>
        </w:rPr>
        <w:t xml:space="preserve"> </w:t>
      </w:r>
      <w:r w:rsidRPr="007B72C7">
        <w:rPr>
          <w:rFonts w:eastAsia="Times New Roman"/>
          <w:lang w:eastAsia="de-DE"/>
        </w:rPr>
        <w:t xml:space="preserve">mit </w:t>
      </w:r>
      <w:r w:rsidRPr="007B72C7">
        <w:rPr>
          <w:rFonts w:eastAsia="Times New Roman"/>
          <w:b/>
          <w:bCs/>
          <w:rtl/>
          <w:lang w:eastAsia="de-DE"/>
        </w:rPr>
        <w:t>שְׁבָטִים</w:t>
      </w:r>
      <w:r w:rsidRPr="007B72C7">
        <w:rPr>
          <w:rFonts w:eastAsia="Times New Roman"/>
          <w:rtl/>
          <w:lang w:eastAsia="de-DE"/>
        </w:rPr>
        <w:t xml:space="preserve"> </w:t>
      </w:r>
      <w:r w:rsidRPr="007B72C7">
        <w:rPr>
          <w:rFonts w:eastAsia="Times New Roman"/>
          <w:lang w:eastAsia="de-DE"/>
        </w:rPr>
        <w:t xml:space="preserve">im </w:t>
      </w:r>
      <w:r w:rsidR="0032647F">
        <w:rPr>
          <w:rFonts w:eastAsia="Times New Roman"/>
          <w:lang w:eastAsia="de-DE"/>
        </w:rPr>
        <w:t>Construct</w:t>
      </w:r>
      <w:r w:rsidRPr="007B72C7">
        <w:rPr>
          <w:rFonts w:eastAsia="Times New Roman"/>
          <w:lang w:eastAsia="de-DE"/>
        </w:rPr>
        <w:t xml:space="preserve"> und Suffix 2. Person maskulin Plural („für eure Stämme").</w:t>
      </w:r>
    </w:p>
    <w:p w14:paraId="7DA2F572" w14:textId="2BF3DDF2"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Die LXX</w:t>
      </w:r>
      <w:r w:rsidRPr="007B72C7">
        <w:rPr>
          <w:rFonts w:eastAsia="Times New Roman"/>
          <w:lang w:eastAsia="de-DE"/>
        </w:rPr>
        <w:t xml:space="preserve"> </w:t>
      </w:r>
      <w:r w:rsidR="00D936E2">
        <w:t>übersetzt „</w:t>
      </w:r>
      <w:r w:rsidR="00D936E2">
        <w:rPr>
          <w:rtl/>
        </w:rPr>
        <w:t>וְשֹׁטְרִים לְשִׁבְטֵיכֶם</w:t>
      </w:r>
      <w:r w:rsidR="00D936E2">
        <w:t xml:space="preserve">" (und Aufseher für eure Stämme) mit „καὶ </w:t>
      </w:r>
      <w:proofErr w:type="spellStart"/>
      <w:r w:rsidR="00D936E2">
        <w:t>γρ</w:t>
      </w:r>
      <w:proofErr w:type="spellEnd"/>
      <w:r w:rsidR="00D936E2">
        <w:t xml:space="preserve">αμματοεισαγωγεῖς </w:t>
      </w:r>
      <w:proofErr w:type="spellStart"/>
      <w:r w:rsidR="00D936E2">
        <w:t>τοῖς</w:t>
      </w:r>
      <w:proofErr w:type="spellEnd"/>
      <w:r w:rsidR="00D936E2">
        <w:t xml:space="preserve"> </w:t>
      </w:r>
      <w:proofErr w:type="spellStart"/>
      <w:r w:rsidR="00D936E2">
        <w:t>κριτ</w:t>
      </w:r>
      <w:proofErr w:type="spellEnd"/>
      <w:r w:rsidR="00D936E2">
        <w:t xml:space="preserve">αῖς </w:t>
      </w:r>
      <w:proofErr w:type="spellStart"/>
      <w:r w:rsidR="00D936E2">
        <w:t>ὑμῶν</w:t>
      </w:r>
      <w:proofErr w:type="spellEnd"/>
      <w:r w:rsidR="00D936E2">
        <w:t>" (und Schreiber/Registerführer für eure Richter), was eine deutlich andere Funktion beschreibt.</w:t>
      </w:r>
    </w:p>
    <w:p w14:paraId="6FAF1BC9"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lang w:eastAsia="de-DE"/>
        </w:rPr>
        <w:t xml:space="preserve">Die Satzstruktur besteht aus zwei koordinierten Hauptsätzen mit Waw consecutivum: (1) </w:t>
      </w:r>
      <w:r w:rsidRPr="007B72C7">
        <w:rPr>
          <w:rFonts w:eastAsia="Times New Roman"/>
          <w:b/>
          <w:bCs/>
          <w:rtl/>
          <w:lang w:eastAsia="de-DE"/>
        </w:rPr>
        <w:t>וָאֶקַּח</w:t>
      </w:r>
      <w:r w:rsidRPr="007B72C7">
        <w:rPr>
          <w:rFonts w:eastAsia="Times New Roman"/>
          <w:rtl/>
          <w:lang w:eastAsia="de-DE"/>
        </w:rPr>
        <w:t xml:space="preserve"> </w:t>
      </w:r>
      <w:r w:rsidRPr="007B72C7">
        <w:rPr>
          <w:rFonts w:eastAsia="Times New Roman"/>
          <w:lang w:eastAsia="de-DE"/>
        </w:rPr>
        <w:t>mit Objekt (</w:t>
      </w:r>
      <w:r w:rsidRPr="007B72C7">
        <w:rPr>
          <w:rFonts w:eastAsia="Times New Roman"/>
          <w:b/>
          <w:bCs/>
          <w:rtl/>
          <w:lang w:eastAsia="de-DE"/>
        </w:rPr>
        <w:t>אֶת־רָאשֵׁי שִׁבְטֵיכֶם</w:t>
      </w:r>
      <w:r w:rsidRPr="007B72C7">
        <w:rPr>
          <w:rFonts w:eastAsia="Times New Roman"/>
          <w:lang w:eastAsia="de-DE"/>
        </w:rPr>
        <w:t>) und Apposition (</w:t>
      </w:r>
      <w:r w:rsidRPr="007B72C7">
        <w:rPr>
          <w:rFonts w:eastAsia="Times New Roman"/>
          <w:b/>
          <w:bCs/>
          <w:rtl/>
          <w:lang w:eastAsia="de-DE"/>
        </w:rPr>
        <w:t>אֲנָשִׁים חֲכָמִים וִידֻעִים</w:t>
      </w:r>
      <w:r w:rsidRPr="007B72C7">
        <w:rPr>
          <w:rFonts w:eastAsia="Times New Roman"/>
          <w:lang w:eastAsia="de-DE"/>
        </w:rPr>
        <w:t xml:space="preserve">); (2) </w:t>
      </w:r>
      <w:r w:rsidRPr="007B72C7">
        <w:rPr>
          <w:rFonts w:eastAsia="Times New Roman"/>
          <w:b/>
          <w:bCs/>
          <w:rtl/>
          <w:lang w:eastAsia="de-DE"/>
        </w:rPr>
        <w:t>וָאֶתֵּן אֹתָם רָאשִׁים עֲלֵיכֶם</w:t>
      </w:r>
      <w:r w:rsidRPr="007B72C7">
        <w:rPr>
          <w:rFonts w:eastAsia="Times New Roman"/>
          <w:rtl/>
          <w:lang w:eastAsia="de-DE"/>
        </w:rPr>
        <w:t xml:space="preserve"> </w:t>
      </w:r>
      <w:r w:rsidRPr="007B72C7">
        <w:rPr>
          <w:rFonts w:eastAsia="Times New Roman"/>
          <w:lang w:eastAsia="de-DE"/>
        </w:rPr>
        <w:t>mit einer ausführlichen appositionellen Aufzählung der verschiedenen Ränge. Die Struktur zeigt die Umsetzung des in V. 13 angekündigten Plans durch eine hierarchisch gegliederte Verwaltung.</w:t>
      </w:r>
    </w:p>
    <w:p w14:paraId="2BC9D426"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lang w:eastAsia="de-DE"/>
        </w:rPr>
        <w:t>Der Vers beschreibt die konkrete Implementierung des Führungssystems mit einer klaren hierarchischen Struktur nach dezimalem System (1000, 100, 50, 10), ergänzt durch administrative Beamte (</w:t>
      </w:r>
      <w:r w:rsidRPr="007B72C7">
        <w:rPr>
          <w:rFonts w:eastAsia="Times New Roman"/>
          <w:b/>
          <w:bCs/>
          <w:rtl/>
          <w:lang w:eastAsia="de-DE"/>
        </w:rPr>
        <w:t>שֹׁטְרִים</w:t>
      </w:r>
      <w:r w:rsidRPr="007B72C7">
        <w:rPr>
          <w:rFonts w:eastAsia="Times New Roman"/>
          <w:lang w:eastAsia="de-DE"/>
        </w:rPr>
        <w:t>). Dies entspricht dem System in Ex 18,21.25.</w:t>
      </w:r>
    </w:p>
    <w:p w14:paraId="78DC7F75" w14:textId="77777777" w:rsidR="007B72C7" w:rsidRPr="007B72C7" w:rsidRDefault="007B72C7" w:rsidP="007B72C7">
      <w:pPr>
        <w:spacing w:before="100" w:beforeAutospacing="1" w:after="100" w:afterAutospacing="1" w:line="240" w:lineRule="auto"/>
        <w:outlineLvl w:val="1"/>
        <w:rPr>
          <w:rFonts w:eastAsia="Times New Roman"/>
          <w:b/>
          <w:bCs/>
          <w:sz w:val="36"/>
          <w:szCs w:val="36"/>
          <w:lang w:eastAsia="de-DE"/>
        </w:rPr>
      </w:pPr>
      <w:r w:rsidRPr="007B72C7">
        <w:rPr>
          <w:rFonts w:eastAsia="Times New Roman"/>
          <w:b/>
          <w:bCs/>
          <w:sz w:val="36"/>
          <w:szCs w:val="36"/>
          <w:lang w:eastAsia="de-DE"/>
        </w:rPr>
        <w:lastRenderedPageBreak/>
        <w:t>Deuteronomium 1,16</w:t>
      </w:r>
    </w:p>
    <w:p w14:paraId="3E129A8C"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Hebräisch:</w:t>
      </w:r>
      <w:r w:rsidRPr="007B72C7">
        <w:rPr>
          <w:rFonts w:eastAsia="Times New Roman"/>
          <w:lang w:eastAsia="de-DE"/>
        </w:rPr>
        <w:t xml:space="preserve"> </w:t>
      </w:r>
      <w:r w:rsidRPr="007B72C7">
        <w:rPr>
          <w:rFonts w:eastAsia="Times New Roman"/>
          <w:rtl/>
          <w:lang w:eastAsia="de-DE"/>
        </w:rPr>
        <w:t>וָאֲצַוֶּה֙ אֶת־שֹׁ֣פְטֵיכֶ֔ם בָּעֵ֥ת הַהִ֖וא לֵאמֹ֑ר שָׁמֹ֤עַ בֵּין־אֲחֵיכֶם֙ וּשְׁפַטְתֶּ֣ם צֶ֔דֶק בֵּֽין־אִ֥ישׁ וּבֵין־אָחִ֖יו וּבֵ֥ין גֵּרֽוֹ׃</w:t>
      </w:r>
    </w:p>
    <w:p w14:paraId="6ABFCE30"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Deutsch:</w:t>
      </w:r>
      <w:r w:rsidRPr="007B72C7">
        <w:rPr>
          <w:rFonts w:eastAsia="Times New Roman"/>
          <w:lang w:eastAsia="de-DE"/>
        </w:rPr>
        <w:t xml:space="preserve"> Und ich gebot euren Richtern in jener Zeit, sagend: Hört (die Streitfälle) zwischen euren Brüdern und richtet gerecht zwischen einem Mann und seinem Bruder und seinem Fremden.</w:t>
      </w:r>
    </w:p>
    <w:p w14:paraId="5B5605C4" w14:textId="77777777" w:rsidR="007B72C7" w:rsidRPr="007B72C7" w:rsidRDefault="004F5CEB" w:rsidP="007B72C7">
      <w:pPr>
        <w:spacing w:after="0" w:line="240" w:lineRule="auto"/>
        <w:rPr>
          <w:rFonts w:eastAsia="Times New Roman"/>
          <w:lang w:eastAsia="de-DE"/>
        </w:rPr>
      </w:pPr>
      <w:r>
        <w:rPr>
          <w:rFonts w:eastAsia="Times New Roman"/>
          <w:noProof/>
          <w:lang w:eastAsia="de-DE"/>
        </w:rPr>
        <w:pict w14:anchorId="0F6EE8C9">
          <v:rect id="_x0000_i1040" style="width:0;height:1.5pt" o:hralign="center" o:hrstd="t" o:hr="t" fillcolor="#a0a0a0" stroked="f"/>
        </w:pict>
      </w:r>
    </w:p>
    <w:p w14:paraId="0E28137D" w14:textId="27190361"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Kommentar:</w:t>
      </w:r>
      <w:r w:rsidRPr="007B72C7">
        <w:rPr>
          <w:rFonts w:eastAsia="Times New Roman"/>
          <w:lang w:eastAsia="de-DE"/>
        </w:rPr>
        <w:t xml:space="preserve"> </w:t>
      </w:r>
      <w:r w:rsidRPr="007B72C7">
        <w:rPr>
          <w:rFonts w:eastAsia="Times New Roman"/>
          <w:b/>
          <w:bCs/>
          <w:rtl/>
          <w:lang w:eastAsia="de-DE"/>
        </w:rPr>
        <w:t>וָאֲצַוֶּה</w:t>
      </w:r>
      <w:r w:rsidRPr="007B72C7">
        <w:rPr>
          <w:rFonts w:eastAsia="Times New Roman"/>
          <w:rtl/>
          <w:lang w:eastAsia="de-DE"/>
        </w:rPr>
        <w:t xml:space="preserve"> </w:t>
      </w:r>
      <w:r w:rsidRPr="007B72C7">
        <w:rPr>
          <w:rFonts w:eastAsia="Times New Roman"/>
          <w:lang w:eastAsia="de-DE"/>
        </w:rPr>
        <w:t xml:space="preserve">ist Piel Imperfekt consecutivum, 1. Person Singular von </w:t>
      </w:r>
      <w:r w:rsidRPr="007B72C7">
        <w:rPr>
          <w:rFonts w:eastAsia="Times New Roman"/>
          <w:rtl/>
          <w:lang w:eastAsia="de-DE"/>
        </w:rPr>
        <w:t>צוה</w:t>
      </w:r>
      <w:r w:rsidRPr="007B72C7">
        <w:rPr>
          <w:rFonts w:eastAsia="Times New Roman"/>
          <w:lang w:eastAsia="de-DE"/>
        </w:rPr>
        <w:t xml:space="preserve"> („befehlen, gebieten") mit Waw. </w:t>
      </w:r>
      <w:r w:rsidRPr="007B72C7">
        <w:rPr>
          <w:rFonts w:eastAsia="Times New Roman"/>
          <w:b/>
          <w:bCs/>
          <w:rtl/>
          <w:lang w:eastAsia="de-DE"/>
        </w:rPr>
        <w:t>אֶת־שֹׁפְטֵיכֶם</w:t>
      </w:r>
      <w:r w:rsidRPr="007B72C7">
        <w:rPr>
          <w:rFonts w:eastAsia="Times New Roman"/>
          <w:rtl/>
          <w:lang w:eastAsia="de-DE"/>
        </w:rPr>
        <w:t xml:space="preserve"> </w:t>
      </w:r>
      <w:r w:rsidRPr="007B72C7">
        <w:rPr>
          <w:rFonts w:eastAsia="Times New Roman"/>
          <w:lang w:eastAsia="de-DE"/>
        </w:rPr>
        <w:t xml:space="preserve">ist die Objektpartikel mit </w:t>
      </w:r>
      <w:r w:rsidRPr="007B72C7">
        <w:rPr>
          <w:rFonts w:eastAsia="Times New Roman"/>
          <w:b/>
          <w:bCs/>
          <w:rtl/>
          <w:lang w:eastAsia="de-DE"/>
        </w:rPr>
        <w:t>שֹׁפְטִים</w:t>
      </w:r>
      <w:r w:rsidRPr="007B72C7">
        <w:rPr>
          <w:rFonts w:eastAsia="Times New Roman"/>
          <w:rtl/>
          <w:lang w:eastAsia="de-DE"/>
        </w:rPr>
        <w:t xml:space="preserve"> </w:t>
      </w:r>
      <w:r w:rsidRPr="007B72C7">
        <w:rPr>
          <w:rFonts w:eastAsia="Times New Roman"/>
          <w:lang w:eastAsia="de-DE"/>
        </w:rPr>
        <w:t xml:space="preserve">(Plural von </w:t>
      </w:r>
      <w:r w:rsidRPr="007B72C7">
        <w:rPr>
          <w:rFonts w:eastAsia="Times New Roman"/>
          <w:b/>
          <w:bCs/>
          <w:rtl/>
          <w:lang w:eastAsia="de-DE"/>
        </w:rPr>
        <w:t>שׁוֹפֵט</w:t>
      </w:r>
      <w:r w:rsidRPr="007B72C7">
        <w:rPr>
          <w:rFonts w:eastAsia="Times New Roman"/>
          <w:rtl/>
          <w:lang w:eastAsia="de-DE"/>
        </w:rPr>
        <w:t xml:space="preserve"> </w:t>
      </w:r>
      <w:r w:rsidRPr="007B72C7">
        <w:rPr>
          <w:rFonts w:eastAsia="Times New Roman"/>
          <w:lang w:eastAsia="de-DE"/>
        </w:rPr>
        <w:t xml:space="preserve">„Richter") im </w:t>
      </w:r>
      <w:r w:rsidR="0032647F">
        <w:rPr>
          <w:rFonts w:eastAsia="Times New Roman"/>
          <w:lang w:eastAsia="de-DE"/>
        </w:rPr>
        <w:t>Construct</w:t>
      </w:r>
      <w:r w:rsidRPr="007B72C7">
        <w:rPr>
          <w:rFonts w:eastAsia="Times New Roman"/>
          <w:lang w:eastAsia="de-DE"/>
        </w:rPr>
        <w:t xml:space="preserve"> und Suffix 2. Person maskulin Plural. </w:t>
      </w:r>
      <w:r w:rsidRPr="007B72C7">
        <w:rPr>
          <w:rFonts w:eastAsia="Times New Roman"/>
          <w:b/>
          <w:bCs/>
          <w:rtl/>
          <w:lang w:eastAsia="de-DE"/>
        </w:rPr>
        <w:t>בָּעֵת הַהִוא</w:t>
      </w:r>
      <w:r w:rsidRPr="007B72C7">
        <w:rPr>
          <w:rFonts w:eastAsia="Times New Roman"/>
          <w:rtl/>
          <w:lang w:eastAsia="de-DE"/>
        </w:rPr>
        <w:t xml:space="preserve"> </w:t>
      </w:r>
      <w:r w:rsidRPr="007B72C7">
        <w:rPr>
          <w:rFonts w:eastAsia="Times New Roman"/>
          <w:lang w:eastAsia="de-DE"/>
        </w:rPr>
        <w:t xml:space="preserve">ist die temporale Phrase wie in V. 9. </w:t>
      </w:r>
      <w:r w:rsidRPr="007B72C7">
        <w:rPr>
          <w:rFonts w:eastAsia="Times New Roman"/>
          <w:b/>
          <w:bCs/>
          <w:rtl/>
          <w:lang w:eastAsia="de-DE"/>
        </w:rPr>
        <w:t>לֵאמֹר</w:t>
      </w:r>
      <w:r w:rsidRPr="007B72C7">
        <w:rPr>
          <w:rFonts w:eastAsia="Times New Roman"/>
          <w:rtl/>
          <w:lang w:eastAsia="de-DE"/>
        </w:rPr>
        <w:t xml:space="preserve"> </w:t>
      </w:r>
      <w:r w:rsidRPr="007B72C7">
        <w:rPr>
          <w:rFonts w:eastAsia="Times New Roman"/>
          <w:lang w:eastAsia="de-DE"/>
        </w:rPr>
        <w:t>leitet die direkte Rede ein.</w:t>
      </w:r>
    </w:p>
    <w:p w14:paraId="32804960"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rtl/>
          <w:lang w:eastAsia="de-DE"/>
        </w:rPr>
        <w:t>שָׁמֹעַ</w:t>
      </w:r>
      <w:r w:rsidRPr="007B72C7">
        <w:rPr>
          <w:rFonts w:eastAsia="Times New Roman"/>
          <w:rtl/>
          <w:lang w:eastAsia="de-DE"/>
        </w:rPr>
        <w:t xml:space="preserve"> </w:t>
      </w:r>
      <w:r w:rsidRPr="007B72C7">
        <w:rPr>
          <w:rFonts w:eastAsia="Times New Roman"/>
          <w:lang w:eastAsia="de-DE"/>
        </w:rPr>
        <w:t xml:space="preserve">ist Qal Infinitiv Absolut von </w:t>
      </w:r>
      <w:r w:rsidRPr="007B72C7">
        <w:rPr>
          <w:rFonts w:eastAsia="Times New Roman"/>
          <w:rtl/>
          <w:lang w:eastAsia="de-DE"/>
        </w:rPr>
        <w:t>שׁמע</w:t>
      </w:r>
      <w:r w:rsidRPr="007B72C7">
        <w:rPr>
          <w:rFonts w:eastAsia="Times New Roman"/>
          <w:lang w:eastAsia="de-DE"/>
        </w:rPr>
        <w:t xml:space="preserve"> („hören"), der hier imperativisch verwendet wird und die Aufforderung verstärkt. </w:t>
      </w:r>
      <w:r w:rsidRPr="007B72C7">
        <w:rPr>
          <w:rFonts w:eastAsia="Times New Roman"/>
          <w:b/>
          <w:bCs/>
          <w:rtl/>
          <w:lang w:eastAsia="de-DE"/>
        </w:rPr>
        <w:t>בֵּין־אֲחֵיכֶם</w:t>
      </w:r>
      <w:r w:rsidRPr="007B72C7">
        <w:rPr>
          <w:rFonts w:eastAsia="Times New Roman"/>
          <w:rtl/>
          <w:lang w:eastAsia="de-DE"/>
        </w:rPr>
        <w:t xml:space="preserve"> </w:t>
      </w:r>
      <w:r w:rsidRPr="007B72C7">
        <w:rPr>
          <w:rFonts w:eastAsia="Times New Roman"/>
          <w:lang w:eastAsia="de-DE"/>
        </w:rPr>
        <w:t xml:space="preserve">besteht aus der Präposition </w:t>
      </w:r>
      <w:r w:rsidRPr="007B72C7">
        <w:rPr>
          <w:rFonts w:eastAsia="Times New Roman"/>
          <w:b/>
          <w:bCs/>
          <w:rtl/>
          <w:lang w:eastAsia="de-DE"/>
        </w:rPr>
        <w:t>בֵּין</w:t>
      </w:r>
      <w:r w:rsidRPr="007B72C7">
        <w:rPr>
          <w:rFonts w:eastAsia="Times New Roman"/>
          <w:rtl/>
          <w:lang w:eastAsia="de-DE"/>
        </w:rPr>
        <w:t xml:space="preserve"> </w:t>
      </w:r>
      <w:r w:rsidRPr="007B72C7">
        <w:rPr>
          <w:rFonts w:eastAsia="Times New Roman"/>
          <w:lang w:eastAsia="de-DE"/>
        </w:rPr>
        <w:t xml:space="preserve">(„zwischen") mit Maqqef und </w:t>
      </w:r>
      <w:r w:rsidRPr="007B72C7">
        <w:rPr>
          <w:rFonts w:eastAsia="Times New Roman"/>
          <w:b/>
          <w:bCs/>
          <w:rtl/>
          <w:lang w:eastAsia="de-DE"/>
        </w:rPr>
        <w:t>אֲחֵיכֶם</w:t>
      </w:r>
      <w:r w:rsidRPr="007B72C7">
        <w:rPr>
          <w:rFonts w:eastAsia="Times New Roman"/>
          <w:rtl/>
          <w:lang w:eastAsia="de-DE"/>
        </w:rPr>
        <w:t xml:space="preserve"> </w:t>
      </w:r>
      <w:r w:rsidRPr="007B72C7">
        <w:rPr>
          <w:rFonts w:eastAsia="Times New Roman"/>
          <w:lang w:eastAsia="de-DE"/>
        </w:rPr>
        <w:t xml:space="preserve">(Plural von </w:t>
      </w:r>
      <w:r w:rsidRPr="007B72C7">
        <w:rPr>
          <w:rFonts w:eastAsia="Times New Roman"/>
          <w:b/>
          <w:bCs/>
          <w:rtl/>
          <w:lang w:eastAsia="de-DE"/>
        </w:rPr>
        <w:t>אָח</w:t>
      </w:r>
      <w:r w:rsidRPr="007B72C7">
        <w:rPr>
          <w:rFonts w:eastAsia="Times New Roman"/>
          <w:rtl/>
          <w:lang w:eastAsia="de-DE"/>
        </w:rPr>
        <w:t xml:space="preserve"> </w:t>
      </w:r>
      <w:r w:rsidRPr="007B72C7">
        <w:rPr>
          <w:rFonts w:eastAsia="Times New Roman"/>
          <w:lang w:eastAsia="de-DE"/>
        </w:rPr>
        <w:t>„Bruder" mit Suffix 2. Person maskulin Plural). Die Phrase bedeutet „zwischen euren Brüdern", d.h. die Streitfälle unter den Israeliten anhören.</w:t>
      </w:r>
    </w:p>
    <w:p w14:paraId="7E8BACBB" w14:textId="6D4F988F"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rtl/>
          <w:lang w:eastAsia="de-DE"/>
        </w:rPr>
        <w:t>וּשְׁפַטְתֶּם</w:t>
      </w:r>
      <w:r w:rsidRPr="007B72C7">
        <w:rPr>
          <w:rFonts w:eastAsia="Times New Roman"/>
          <w:rtl/>
          <w:lang w:eastAsia="de-DE"/>
        </w:rPr>
        <w:t xml:space="preserve"> </w:t>
      </w:r>
      <w:r w:rsidRPr="007B72C7">
        <w:rPr>
          <w:rFonts w:eastAsia="Times New Roman"/>
          <w:lang w:eastAsia="de-DE"/>
        </w:rPr>
        <w:t xml:space="preserve">ist Qal Perfekt, 2. Person maskulin Plural von </w:t>
      </w:r>
      <w:r w:rsidRPr="007B72C7">
        <w:rPr>
          <w:rFonts w:eastAsia="Times New Roman"/>
          <w:rtl/>
          <w:lang w:eastAsia="de-DE"/>
        </w:rPr>
        <w:t>שׁפט</w:t>
      </w:r>
      <w:r w:rsidRPr="007B72C7">
        <w:rPr>
          <w:rFonts w:eastAsia="Times New Roman"/>
          <w:lang w:eastAsia="de-DE"/>
        </w:rPr>
        <w:t xml:space="preserve"> („richten, Recht sprechen") mit Waw copulativum. Das Perfekt hat hier imperative oder instruktive Kraft. </w:t>
      </w:r>
      <w:r w:rsidRPr="007B72C7">
        <w:rPr>
          <w:rFonts w:eastAsia="Times New Roman"/>
          <w:b/>
          <w:bCs/>
          <w:rtl/>
          <w:lang w:eastAsia="de-DE"/>
        </w:rPr>
        <w:t>צֶדֶק</w:t>
      </w:r>
      <w:r w:rsidRPr="007B72C7">
        <w:rPr>
          <w:rFonts w:eastAsia="Times New Roman"/>
          <w:rtl/>
          <w:lang w:eastAsia="de-DE"/>
        </w:rPr>
        <w:t xml:space="preserve"> </w:t>
      </w:r>
      <w:r w:rsidRPr="007B72C7">
        <w:rPr>
          <w:rFonts w:eastAsia="Times New Roman"/>
          <w:lang w:eastAsia="de-DE"/>
        </w:rPr>
        <w:t xml:space="preserve">ist ein Akkusativ der Art und Weise („gerecht, Gerechtigkeit"). Die </w:t>
      </w:r>
      <w:r w:rsidR="00FF2B82">
        <w:rPr>
          <w:rFonts w:eastAsia="Times New Roman"/>
          <w:lang w:eastAsia="de-DE"/>
        </w:rPr>
        <w:t>Konstruktion</w:t>
      </w:r>
      <w:r w:rsidRPr="007B72C7">
        <w:rPr>
          <w:rFonts w:eastAsia="Times New Roman"/>
          <w:lang w:eastAsia="de-DE"/>
        </w:rPr>
        <w:t xml:space="preserve"> </w:t>
      </w:r>
      <w:r w:rsidRPr="007B72C7">
        <w:rPr>
          <w:rFonts w:eastAsia="Times New Roman"/>
          <w:b/>
          <w:bCs/>
          <w:rtl/>
          <w:lang w:eastAsia="de-DE"/>
        </w:rPr>
        <w:t>בֵּין־אִישׁ וּבֵין־אָחִיו וּבֵין גֵּרוֹ</w:t>
      </w:r>
      <w:r w:rsidRPr="007B72C7">
        <w:rPr>
          <w:rFonts w:eastAsia="Times New Roman"/>
          <w:rtl/>
          <w:lang w:eastAsia="de-DE"/>
        </w:rPr>
        <w:t xml:space="preserve"> </w:t>
      </w:r>
      <w:r w:rsidRPr="007B72C7">
        <w:rPr>
          <w:rFonts w:eastAsia="Times New Roman"/>
          <w:lang w:eastAsia="de-DE"/>
        </w:rPr>
        <w:t xml:space="preserve">verwendet dreimal </w:t>
      </w:r>
      <w:r w:rsidRPr="007B72C7">
        <w:rPr>
          <w:rFonts w:eastAsia="Times New Roman"/>
          <w:b/>
          <w:bCs/>
          <w:rtl/>
          <w:lang w:eastAsia="de-DE"/>
        </w:rPr>
        <w:t>בֵּין</w:t>
      </w:r>
      <w:r w:rsidRPr="007B72C7">
        <w:rPr>
          <w:rFonts w:eastAsia="Times New Roman"/>
          <w:lang w:eastAsia="de-DE"/>
        </w:rPr>
        <w:t xml:space="preserve">: zwischen </w:t>
      </w:r>
      <w:r w:rsidRPr="007B72C7">
        <w:rPr>
          <w:rFonts w:eastAsia="Times New Roman"/>
          <w:b/>
          <w:bCs/>
          <w:rtl/>
          <w:lang w:eastAsia="de-DE"/>
        </w:rPr>
        <w:t>אִישׁ</w:t>
      </w:r>
      <w:r w:rsidRPr="007B72C7">
        <w:rPr>
          <w:rFonts w:eastAsia="Times New Roman"/>
          <w:rtl/>
          <w:lang w:eastAsia="de-DE"/>
        </w:rPr>
        <w:t xml:space="preserve"> </w:t>
      </w:r>
      <w:r w:rsidRPr="007B72C7">
        <w:rPr>
          <w:rFonts w:eastAsia="Times New Roman"/>
          <w:lang w:eastAsia="de-DE"/>
        </w:rPr>
        <w:t xml:space="preserve">(„Mann, jemand"), </w:t>
      </w:r>
      <w:r w:rsidRPr="007B72C7">
        <w:rPr>
          <w:rFonts w:eastAsia="Times New Roman"/>
          <w:b/>
          <w:bCs/>
          <w:rtl/>
          <w:lang w:eastAsia="de-DE"/>
        </w:rPr>
        <w:t>אָחִיו</w:t>
      </w:r>
      <w:r w:rsidRPr="007B72C7">
        <w:rPr>
          <w:rFonts w:eastAsia="Times New Roman"/>
          <w:rtl/>
          <w:lang w:eastAsia="de-DE"/>
        </w:rPr>
        <w:t xml:space="preserve"> </w:t>
      </w:r>
      <w:r w:rsidRPr="007B72C7">
        <w:rPr>
          <w:rFonts w:eastAsia="Times New Roman"/>
          <w:lang w:eastAsia="de-DE"/>
        </w:rPr>
        <w:t xml:space="preserve">(„sein Bruder" mit Suffix 3. Person maskulin Singular), und </w:t>
      </w:r>
      <w:r w:rsidRPr="007B72C7">
        <w:rPr>
          <w:rFonts w:eastAsia="Times New Roman"/>
          <w:b/>
          <w:bCs/>
          <w:rtl/>
          <w:lang w:eastAsia="de-DE"/>
        </w:rPr>
        <w:t>גֵּרוֹ</w:t>
      </w:r>
      <w:r w:rsidRPr="007B72C7">
        <w:rPr>
          <w:rFonts w:eastAsia="Times New Roman"/>
          <w:rtl/>
          <w:lang w:eastAsia="de-DE"/>
        </w:rPr>
        <w:t xml:space="preserve"> </w:t>
      </w:r>
      <w:r w:rsidRPr="007B72C7">
        <w:rPr>
          <w:rFonts w:eastAsia="Times New Roman"/>
          <w:lang w:eastAsia="de-DE"/>
        </w:rPr>
        <w:t xml:space="preserve">(von </w:t>
      </w:r>
      <w:r w:rsidRPr="007B72C7">
        <w:rPr>
          <w:rFonts w:eastAsia="Times New Roman"/>
          <w:b/>
          <w:bCs/>
          <w:rtl/>
          <w:lang w:eastAsia="de-DE"/>
        </w:rPr>
        <w:t>גֵּר</w:t>
      </w:r>
      <w:r w:rsidRPr="007B72C7">
        <w:rPr>
          <w:rFonts w:eastAsia="Times New Roman"/>
          <w:rtl/>
          <w:lang w:eastAsia="de-DE"/>
        </w:rPr>
        <w:t xml:space="preserve"> </w:t>
      </w:r>
      <w:r w:rsidRPr="007B72C7">
        <w:rPr>
          <w:rFonts w:eastAsia="Times New Roman"/>
          <w:lang w:eastAsia="de-DE"/>
        </w:rPr>
        <w:t>„Fremdling, ansässiger Fremder" mit Suffix 3. Person maskulin Singular). Diese Formulierung umfasst Rechtsstreitigkeiten zwischen Israeliten untereinander und zwischen Israeliten und ansässigen Fremden.</w:t>
      </w:r>
    </w:p>
    <w:p w14:paraId="4F6E7F5D" w14:textId="16CB9D1F"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Die LXX</w:t>
      </w:r>
      <w:r w:rsidRPr="007B72C7">
        <w:rPr>
          <w:rFonts w:eastAsia="Times New Roman"/>
          <w:lang w:eastAsia="de-DE"/>
        </w:rPr>
        <w:t xml:space="preserve"> übersetzt „καὶ </w:t>
      </w:r>
      <w:proofErr w:type="spellStart"/>
      <w:r w:rsidRPr="007B72C7">
        <w:rPr>
          <w:rFonts w:eastAsia="Times New Roman"/>
          <w:lang w:eastAsia="de-DE"/>
        </w:rPr>
        <w:t>ἐνετειλάμην</w:t>
      </w:r>
      <w:proofErr w:type="spellEnd"/>
      <w:r w:rsidRPr="007B72C7">
        <w:rPr>
          <w:rFonts w:eastAsia="Times New Roman"/>
          <w:lang w:eastAsia="de-DE"/>
        </w:rPr>
        <w:t xml:space="preserve"> </w:t>
      </w:r>
      <w:proofErr w:type="spellStart"/>
      <w:r w:rsidRPr="007B72C7">
        <w:rPr>
          <w:rFonts w:eastAsia="Times New Roman"/>
          <w:lang w:eastAsia="de-DE"/>
        </w:rPr>
        <w:t>τοῖς</w:t>
      </w:r>
      <w:proofErr w:type="spellEnd"/>
      <w:r w:rsidRPr="007B72C7">
        <w:rPr>
          <w:rFonts w:eastAsia="Times New Roman"/>
          <w:lang w:eastAsia="de-DE"/>
        </w:rPr>
        <w:t xml:space="preserve"> </w:t>
      </w:r>
      <w:proofErr w:type="spellStart"/>
      <w:r w:rsidRPr="007B72C7">
        <w:rPr>
          <w:rFonts w:eastAsia="Times New Roman"/>
          <w:lang w:eastAsia="de-DE"/>
        </w:rPr>
        <w:t>κριτ</w:t>
      </w:r>
      <w:proofErr w:type="spellEnd"/>
      <w:r w:rsidRPr="007B72C7">
        <w:rPr>
          <w:rFonts w:eastAsia="Times New Roman"/>
          <w:lang w:eastAsia="de-DE"/>
        </w:rPr>
        <w:t xml:space="preserve">αῖς </w:t>
      </w:r>
      <w:proofErr w:type="spellStart"/>
      <w:r w:rsidRPr="007B72C7">
        <w:rPr>
          <w:rFonts w:eastAsia="Times New Roman"/>
          <w:lang w:eastAsia="de-DE"/>
        </w:rPr>
        <w:t>ὑμῶν</w:t>
      </w:r>
      <w:proofErr w:type="spellEnd"/>
      <w:r w:rsidRPr="007B72C7">
        <w:rPr>
          <w:rFonts w:eastAsia="Times New Roman"/>
          <w:lang w:eastAsia="de-DE"/>
        </w:rPr>
        <w:t xml:space="preserve"> </w:t>
      </w:r>
      <w:proofErr w:type="spellStart"/>
      <w:r w:rsidRPr="007B72C7">
        <w:rPr>
          <w:rFonts w:eastAsia="Times New Roman"/>
          <w:lang w:eastAsia="de-DE"/>
        </w:rPr>
        <w:t>ἐν</w:t>
      </w:r>
      <w:proofErr w:type="spellEnd"/>
      <w:r w:rsidRPr="007B72C7">
        <w:rPr>
          <w:rFonts w:eastAsia="Times New Roman"/>
          <w:lang w:eastAsia="de-DE"/>
        </w:rPr>
        <w:t xml:space="preserve"> </w:t>
      </w:r>
      <w:proofErr w:type="spellStart"/>
      <w:r w:rsidRPr="007B72C7">
        <w:rPr>
          <w:rFonts w:eastAsia="Times New Roman"/>
          <w:lang w:eastAsia="de-DE"/>
        </w:rPr>
        <w:t>τῷ</w:t>
      </w:r>
      <w:proofErr w:type="spellEnd"/>
      <w:r w:rsidRPr="007B72C7">
        <w:rPr>
          <w:rFonts w:eastAsia="Times New Roman"/>
          <w:lang w:eastAsia="de-DE"/>
        </w:rPr>
        <w:t xml:space="preserve"> κα</w:t>
      </w:r>
      <w:proofErr w:type="spellStart"/>
      <w:r w:rsidRPr="007B72C7">
        <w:rPr>
          <w:rFonts w:eastAsia="Times New Roman"/>
          <w:lang w:eastAsia="de-DE"/>
        </w:rPr>
        <w:t>ιρῷ</w:t>
      </w:r>
      <w:proofErr w:type="spellEnd"/>
      <w:r w:rsidRPr="007B72C7">
        <w:rPr>
          <w:rFonts w:eastAsia="Times New Roman"/>
          <w:lang w:eastAsia="de-DE"/>
        </w:rPr>
        <w:t xml:space="preserve"> </w:t>
      </w:r>
      <w:proofErr w:type="spellStart"/>
      <w:r w:rsidRPr="007B72C7">
        <w:rPr>
          <w:rFonts w:eastAsia="Times New Roman"/>
          <w:lang w:eastAsia="de-DE"/>
        </w:rPr>
        <w:t>ἐκείνῳ</w:t>
      </w:r>
      <w:proofErr w:type="spellEnd"/>
      <w:r w:rsidRPr="007B72C7">
        <w:rPr>
          <w:rFonts w:eastAsia="Times New Roman"/>
          <w:lang w:eastAsia="de-DE"/>
        </w:rPr>
        <w:t xml:space="preserve"> </w:t>
      </w:r>
      <w:proofErr w:type="spellStart"/>
      <w:r w:rsidRPr="007B72C7">
        <w:rPr>
          <w:rFonts w:eastAsia="Times New Roman"/>
          <w:lang w:eastAsia="de-DE"/>
        </w:rPr>
        <w:t>λέγων</w:t>
      </w:r>
      <w:proofErr w:type="spellEnd"/>
      <w:r w:rsidRPr="007B72C7">
        <w:rPr>
          <w:rFonts w:eastAsia="Times New Roman"/>
          <w:lang w:eastAsia="de-DE"/>
        </w:rPr>
        <w:t xml:space="preserve"> </w:t>
      </w:r>
      <w:proofErr w:type="spellStart"/>
      <w:r w:rsidRPr="007B72C7">
        <w:rPr>
          <w:rFonts w:eastAsia="Times New Roman"/>
          <w:lang w:eastAsia="de-DE"/>
        </w:rPr>
        <w:t>Δι</w:t>
      </w:r>
      <w:proofErr w:type="spellEnd"/>
      <w:r w:rsidRPr="007B72C7">
        <w:rPr>
          <w:rFonts w:eastAsia="Times New Roman"/>
          <w:lang w:eastAsia="de-DE"/>
        </w:rPr>
        <w:t xml:space="preserve">ακούετε </w:t>
      </w:r>
      <w:proofErr w:type="spellStart"/>
      <w:r w:rsidRPr="007B72C7">
        <w:rPr>
          <w:rFonts w:eastAsia="Times New Roman"/>
          <w:lang w:eastAsia="de-DE"/>
        </w:rPr>
        <w:t>ἀνὰ</w:t>
      </w:r>
      <w:proofErr w:type="spellEnd"/>
      <w:r w:rsidRPr="007B72C7">
        <w:rPr>
          <w:rFonts w:eastAsia="Times New Roman"/>
          <w:lang w:eastAsia="de-DE"/>
        </w:rPr>
        <w:t xml:space="preserve"> </w:t>
      </w:r>
      <w:proofErr w:type="spellStart"/>
      <w:r w:rsidRPr="007B72C7">
        <w:rPr>
          <w:rFonts w:eastAsia="Times New Roman"/>
          <w:lang w:eastAsia="de-DE"/>
        </w:rPr>
        <w:t>μέσον</w:t>
      </w:r>
      <w:proofErr w:type="spellEnd"/>
      <w:r w:rsidRPr="007B72C7">
        <w:rPr>
          <w:rFonts w:eastAsia="Times New Roman"/>
          <w:lang w:eastAsia="de-DE"/>
        </w:rPr>
        <w:t xml:space="preserve"> </w:t>
      </w:r>
      <w:proofErr w:type="spellStart"/>
      <w:r w:rsidRPr="007B72C7">
        <w:rPr>
          <w:rFonts w:eastAsia="Times New Roman"/>
          <w:lang w:eastAsia="de-DE"/>
        </w:rPr>
        <w:t>τῶν</w:t>
      </w:r>
      <w:proofErr w:type="spellEnd"/>
      <w:r w:rsidRPr="007B72C7">
        <w:rPr>
          <w:rFonts w:eastAsia="Times New Roman"/>
          <w:lang w:eastAsia="de-DE"/>
        </w:rPr>
        <w:t xml:space="preserve"> </w:t>
      </w:r>
      <w:proofErr w:type="spellStart"/>
      <w:r w:rsidRPr="007B72C7">
        <w:rPr>
          <w:rFonts w:eastAsia="Times New Roman"/>
          <w:lang w:eastAsia="de-DE"/>
        </w:rPr>
        <w:t>ἀδελφῶν</w:t>
      </w:r>
      <w:proofErr w:type="spellEnd"/>
      <w:r w:rsidRPr="007B72C7">
        <w:rPr>
          <w:rFonts w:eastAsia="Times New Roman"/>
          <w:lang w:eastAsia="de-DE"/>
        </w:rPr>
        <w:t xml:space="preserve"> </w:t>
      </w:r>
      <w:proofErr w:type="spellStart"/>
      <w:r w:rsidRPr="007B72C7">
        <w:rPr>
          <w:rFonts w:eastAsia="Times New Roman"/>
          <w:lang w:eastAsia="de-DE"/>
        </w:rPr>
        <w:t>ὑμῶν</w:t>
      </w:r>
      <w:proofErr w:type="spellEnd"/>
      <w:r w:rsidRPr="007B72C7">
        <w:rPr>
          <w:rFonts w:eastAsia="Times New Roman"/>
          <w:lang w:eastAsia="de-DE"/>
        </w:rPr>
        <w:t xml:space="preserve"> καὶ </w:t>
      </w:r>
      <w:proofErr w:type="spellStart"/>
      <w:r w:rsidRPr="007B72C7">
        <w:rPr>
          <w:rFonts w:eastAsia="Times New Roman"/>
          <w:lang w:eastAsia="de-DE"/>
        </w:rPr>
        <w:t>κρίν</w:t>
      </w:r>
      <w:proofErr w:type="spellEnd"/>
      <w:r w:rsidRPr="007B72C7">
        <w:rPr>
          <w:rFonts w:eastAsia="Times New Roman"/>
          <w:lang w:eastAsia="de-DE"/>
        </w:rPr>
        <w:t xml:space="preserve">ατε </w:t>
      </w:r>
      <w:proofErr w:type="spellStart"/>
      <w:r w:rsidRPr="007B72C7">
        <w:rPr>
          <w:rFonts w:eastAsia="Times New Roman"/>
          <w:lang w:eastAsia="de-DE"/>
        </w:rPr>
        <w:t>δικ</w:t>
      </w:r>
      <w:proofErr w:type="spellEnd"/>
      <w:r w:rsidRPr="007B72C7">
        <w:rPr>
          <w:rFonts w:eastAsia="Times New Roman"/>
          <w:lang w:eastAsia="de-DE"/>
        </w:rPr>
        <w:t xml:space="preserve">αίως </w:t>
      </w:r>
      <w:proofErr w:type="spellStart"/>
      <w:r w:rsidRPr="007B72C7">
        <w:rPr>
          <w:rFonts w:eastAsia="Times New Roman"/>
          <w:lang w:eastAsia="de-DE"/>
        </w:rPr>
        <w:t>ἀνὰ</w:t>
      </w:r>
      <w:proofErr w:type="spellEnd"/>
      <w:r w:rsidRPr="007B72C7">
        <w:rPr>
          <w:rFonts w:eastAsia="Times New Roman"/>
          <w:lang w:eastAsia="de-DE"/>
        </w:rPr>
        <w:t xml:space="preserve"> </w:t>
      </w:r>
      <w:proofErr w:type="spellStart"/>
      <w:r w:rsidRPr="007B72C7">
        <w:rPr>
          <w:rFonts w:eastAsia="Times New Roman"/>
          <w:lang w:eastAsia="de-DE"/>
        </w:rPr>
        <w:t>μέσον</w:t>
      </w:r>
      <w:proofErr w:type="spellEnd"/>
      <w:r w:rsidRPr="007B72C7">
        <w:rPr>
          <w:rFonts w:eastAsia="Times New Roman"/>
          <w:lang w:eastAsia="de-DE"/>
        </w:rPr>
        <w:t xml:space="preserve"> </w:t>
      </w:r>
      <w:proofErr w:type="spellStart"/>
      <w:r w:rsidRPr="007B72C7">
        <w:rPr>
          <w:rFonts w:eastAsia="Times New Roman"/>
          <w:lang w:eastAsia="de-DE"/>
        </w:rPr>
        <w:t>ἀνδρὸς</w:t>
      </w:r>
      <w:proofErr w:type="spellEnd"/>
      <w:r w:rsidRPr="007B72C7">
        <w:rPr>
          <w:rFonts w:eastAsia="Times New Roman"/>
          <w:lang w:eastAsia="de-DE"/>
        </w:rPr>
        <w:t xml:space="preserve"> καὶ </w:t>
      </w:r>
      <w:proofErr w:type="spellStart"/>
      <w:r w:rsidRPr="007B72C7">
        <w:rPr>
          <w:rFonts w:eastAsia="Times New Roman"/>
          <w:lang w:eastAsia="de-DE"/>
        </w:rPr>
        <w:t>ἀνὰ</w:t>
      </w:r>
      <w:proofErr w:type="spellEnd"/>
      <w:r w:rsidRPr="007B72C7">
        <w:rPr>
          <w:rFonts w:eastAsia="Times New Roman"/>
          <w:lang w:eastAsia="de-DE"/>
        </w:rPr>
        <w:t xml:space="preserve"> </w:t>
      </w:r>
      <w:proofErr w:type="spellStart"/>
      <w:r w:rsidRPr="007B72C7">
        <w:rPr>
          <w:rFonts w:eastAsia="Times New Roman"/>
          <w:lang w:eastAsia="de-DE"/>
        </w:rPr>
        <w:t>μέσον</w:t>
      </w:r>
      <w:proofErr w:type="spellEnd"/>
      <w:r w:rsidRPr="007B72C7">
        <w:rPr>
          <w:rFonts w:eastAsia="Times New Roman"/>
          <w:lang w:eastAsia="de-DE"/>
        </w:rPr>
        <w:t xml:space="preserve"> </w:t>
      </w:r>
      <w:proofErr w:type="spellStart"/>
      <w:r w:rsidRPr="007B72C7">
        <w:rPr>
          <w:rFonts w:eastAsia="Times New Roman"/>
          <w:lang w:eastAsia="de-DE"/>
        </w:rPr>
        <w:t>ἀδελφοῦ</w:t>
      </w:r>
      <w:proofErr w:type="spellEnd"/>
      <w:r w:rsidRPr="007B72C7">
        <w:rPr>
          <w:rFonts w:eastAsia="Times New Roman"/>
          <w:lang w:eastAsia="de-DE"/>
        </w:rPr>
        <w:t xml:space="preserve"> καὶ </w:t>
      </w:r>
      <w:proofErr w:type="spellStart"/>
      <w:r w:rsidRPr="007B72C7">
        <w:rPr>
          <w:rFonts w:eastAsia="Times New Roman"/>
          <w:lang w:eastAsia="de-DE"/>
        </w:rPr>
        <w:t>ἀνὰ</w:t>
      </w:r>
      <w:proofErr w:type="spellEnd"/>
      <w:r w:rsidRPr="007B72C7">
        <w:rPr>
          <w:rFonts w:eastAsia="Times New Roman"/>
          <w:lang w:eastAsia="de-DE"/>
        </w:rPr>
        <w:t xml:space="preserve"> </w:t>
      </w:r>
      <w:proofErr w:type="spellStart"/>
      <w:r w:rsidRPr="007B72C7">
        <w:rPr>
          <w:rFonts w:eastAsia="Times New Roman"/>
          <w:lang w:eastAsia="de-DE"/>
        </w:rPr>
        <w:t>μέσον</w:t>
      </w:r>
      <w:proofErr w:type="spellEnd"/>
      <w:r w:rsidRPr="007B72C7">
        <w:rPr>
          <w:rFonts w:eastAsia="Times New Roman"/>
          <w:lang w:eastAsia="de-DE"/>
        </w:rPr>
        <w:t xml:space="preserve"> π</w:t>
      </w:r>
      <w:proofErr w:type="spellStart"/>
      <w:r w:rsidRPr="007B72C7">
        <w:rPr>
          <w:rFonts w:eastAsia="Times New Roman"/>
          <w:lang w:eastAsia="de-DE"/>
        </w:rPr>
        <w:t>ροσηλύτου</w:t>
      </w:r>
      <w:proofErr w:type="spellEnd"/>
      <w:r w:rsidRPr="007B72C7">
        <w:rPr>
          <w:rFonts w:eastAsia="Times New Roman"/>
          <w:lang w:eastAsia="de-DE"/>
        </w:rPr>
        <w:t xml:space="preserve"> α</w:t>
      </w:r>
      <w:proofErr w:type="spellStart"/>
      <w:r w:rsidRPr="007B72C7">
        <w:rPr>
          <w:rFonts w:eastAsia="Times New Roman"/>
          <w:lang w:eastAsia="de-DE"/>
        </w:rPr>
        <w:t>ὐτοῦ</w:t>
      </w:r>
      <w:proofErr w:type="spellEnd"/>
      <w:r w:rsidRPr="007B72C7">
        <w:rPr>
          <w:rFonts w:eastAsia="Times New Roman"/>
          <w:lang w:eastAsia="de-DE"/>
        </w:rPr>
        <w:t xml:space="preserve">" („und ich </w:t>
      </w:r>
      <w:r w:rsidR="000F34F9">
        <w:rPr>
          <w:rFonts w:eastAsia="Times New Roman"/>
          <w:lang w:eastAsia="de-DE"/>
        </w:rPr>
        <w:t>befahl</w:t>
      </w:r>
      <w:r w:rsidRPr="007B72C7">
        <w:rPr>
          <w:rFonts w:eastAsia="Times New Roman"/>
          <w:lang w:eastAsia="de-DE"/>
        </w:rPr>
        <w:t xml:space="preserve"> euren Richtern in jener Zeit, sagend: Hört zwischen euren Brüdern und richtet gerecht zwischen einem Mann und zwischen einem Bruder und zwischen seinem Proselyten"). Die LXX verwendet „π</w:t>
      </w:r>
      <w:proofErr w:type="spellStart"/>
      <w:r w:rsidRPr="007B72C7">
        <w:rPr>
          <w:rFonts w:eastAsia="Times New Roman"/>
          <w:lang w:eastAsia="de-DE"/>
        </w:rPr>
        <w:t>ροσήλυτος</w:t>
      </w:r>
      <w:proofErr w:type="spellEnd"/>
      <w:r w:rsidRPr="007B72C7">
        <w:rPr>
          <w:rFonts w:eastAsia="Times New Roman"/>
          <w:lang w:eastAsia="de-DE"/>
        </w:rPr>
        <w:t xml:space="preserve">" („Proselyt, Fremder") für </w:t>
      </w:r>
      <w:r w:rsidRPr="007B72C7">
        <w:rPr>
          <w:rFonts w:eastAsia="Times New Roman"/>
          <w:b/>
          <w:bCs/>
          <w:rtl/>
          <w:lang w:eastAsia="de-DE"/>
        </w:rPr>
        <w:t>גֵּר</w:t>
      </w:r>
      <w:r w:rsidRPr="007B72C7">
        <w:rPr>
          <w:rFonts w:eastAsia="Times New Roman"/>
          <w:rtl/>
          <w:lang w:eastAsia="de-DE"/>
        </w:rPr>
        <w:t xml:space="preserve"> </w:t>
      </w:r>
      <w:r w:rsidRPr="007B72C7">
        <w:rPr>
          <w:rFonts w:eastAsia="Times New Roman"/>
          <w:lang w:eastAsia="de-DE"/>
        </w:rPr>
        <w:t>und expliziert die Struktur mit „</w:t>
      </w:r>
      <w:proofErr w:type="spellStart"/>
      <w:r w:rsidRPr="007B72C7">
        <w:rPr>
          <w:rFonts w:eastAsia="Times New Roman"/>
          <w:lang w:eastAsia="de-DE"/>
        </w:rPr>
        <w:t>ἀνὰ</w:t>
      </w:r>
      <w:proofErr w:type="spellEnd"/>
      <w:r w:rsidRPr="007B72C7">
        <w:rPr>
          <w:rFonts w:eastAsia="Times New Roman"/>
          <w:lang w:eastAsia="de-DE"/>
        </w:rPr>
        <w:t xml:space="preserve"> </w:t>
      </w:r>
      <w:proofErr w:type="spellStart"/>
      <w:r w:rsidRPr="007B72C7">
        <w:rPr>
          <w:rFonts w:eastAsia="Times New Roman"/>
          <w:lang w:eastAsia="de-DE"/>
        </w:rPr>
        <w:t>μέσον</w:t>
      </w:r>
      <w:proofErr w:type="spellEnd"/>
      <w:r w:rsidRPr="007B72C7">
        <w:rPr>
          <w:rFonts w:eastAsia="Times New Roman"/>
          <w:lang w:eastAsia="de-DE"/>
        </w:rPr>
        <w:t>" („zwischen").</w:t>
      </w:r>
    </w:p>
    <w:p w14:paraId="5D18EF52" w14:textId="0F8E0FB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lang w:eastAsia="de-DE"/>
        </w:rPr>
        <w:t>Die Satzstruktur besteht aus einem Hauptsatz (</w:t>
      </w:r>
      <w:r w:rsidRPr="007B72C7">
        <w:rPr>
          <w:rFonts w:eastAsia="Times New Roman"/>
          <w:b/>
          <w:bCs/>
          <w:rtl/>
          <w:lang w:eastAsia="de-DE"/>
        </w:rPr>
        <w:t>וָאֲצַוֶּה אֶת־שֹׁפְטֵיכֶם בָּעֵת הַהִוא</w:t>
      </w:r>
      <w:r w:rsidRPr="007B72C7">
        <w:rPr>
          <w:rFonts w:eastAsia="Times New Roman"/>
          <w:lang w:eastAsia="de-DE"/>
        </w:rPr>
        <w:t>) mit Einleitungsformel (</w:t>
      </w:r>
      <w:r w:rsidRPr="007B72C7">
        <w:rPr>
          <w:rFonts w:eastAsia="Times New Roman"/>
          <w:b/>
          <w:bCs/>
          <w:rtl/>
          <w:lang w:eastAsia="de-DE"/>
        </w:rPr>
        <w:t>לֵאמֹר</w:t>
      </w:r>
      <w:r w:rsidRPr="007B72C7">
        <w:rPr>
          <w:rFonts w:eastAsia="Times New Roman"/>
          <w:lang w:eastAsia="de-DE"/>
        </w:rPr>
        <w:t xml:space="preserve">). Die direkte Rede enthält zwei Imperative: (1) </w:t>
      </w:r>
      <w:r w:rsidRPr="007B72C7">
        <w:rPr>
          <w:rFonts w:eastAsia="Times New Roman"/>
          <w:b/>
          <w:bCs/>
          <w:rtl/>
          <w:lang w:eastAsia="de-DE"/>
        </w:rPr>
        <w:t>שָׁמֹעַ בֵּין־אֲחֵיכֶם</w:t>
      </w:r>
      <w:r w:rsidRPr="007B72C7">
        <w:rPr>
          <w:rFonts w:eastAsia="Times New Roman"/>
          <w:rtl/>
          <w:lang w:eastAsia="de-DE"/>
        </w:rPr>
        <w:t xml:space="preserve"> </w:t>
      </w:r>
      <w:r w:rsidRPr="007B72C7">
        <w:rPr>
          <w:rFonts w:eastAsia="Times New Roman"/>
          <w:lang w:eastAsia="de-DE"/>
        </w:rPr>
        <w:t xml:space="preserve">und (2) </w:t>
      </w:r>
      <w:r w:rsidRPr="007B72C7">
        <w:rPr>
          <w:rFonts w:eastAsia="Times New Roman"/>
          <w:b/>
          <w:bCs/>
          <w:rtl/>
          <w:lang w:eastAsia="de-DE"/>
        </w:rPr>
        <w:t>וּשְׁפַטְתֶּם צֶדֶק</w:t>
      </w:r>
      <w:r w:rsidRPr="007B72C7">
        <w:rPr>
          <w:rFonts w:eastAsia="Times New Roman"/>
          <w:rtl/>
          <w:lang w:eastAsia="de-DE"/>
        </w:rPr>
        <w:t xml:space="preserve"> </w:t>
      </w:r>
      <w:r w:rsidRPr="007B72C7">
        <w:rPr>
          <w:rFonts w:eastAsia="Times New Roman"/>
          <w:lang w:eastAsia="de-DE"/>
        </w:rPr>
        <w:t xml:space="preserve">mit der dreifachen </w:t>
      </w:r>
      <w:r w:rsidRPr="007B72C7">
        <w:rPr>
          <w:rFonts w:eastAsia="Times New Roman"/>
          <w:b/>
          <w:bCs/>
          <w:rtl/>
          <w:lang w:eastAsia="de-DE"/>
        </w:rPr>
        <w:t>בֵּין</w:t>
      </w:r>
      <w:r w:rsidRPr="007B72C7">
        <w:rPr>
          <w:rFonts w:eastAsia="Times New Roman"/>
          <w:lang w:eastAsia="de-DE"/>
        </w:rPr>
        <w:t>-</w:t>
      </w:r>
      <w:r w:rsidR="00FF2B82">
        <w:rPr>
          <w:rFonts w:eastAsia="Times New Roman"/>
          <w:lang w:eastAsia="de-DE"/>
        </w:rPr>
        <w:t>Konstruktion</w:t>
      </w:r>
      <w:r w:rsidRPr="007B72C7">
        <w:rPr>
          <w:rFonts w:eastAsia="Times New Roman"/>
          <w:lang w:eastAsia="de-DE"/>
        </w:rPr>
        <w:t>, die die verschiedenen Parteien spezifiziert.</w:t>
      </w:r>
    </w:p>
    <w:p w14:paraId="20A20325"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lang w:eastAsia="de-DE"/>
        </w:rPr>
        <w:t>Der Vers gibt den Richtern ihre grundlegende Anweisung: unparteiisch zuhören und gerecht urteilen, sowohl in Fällen zwischen Israeliten als auch in Fällen, die ansässige Fremde betreffen. Dies betont den Rechtsschutz auch für Nicht-Israeliten.</w:t>
      </w:r>
    </w:p>
    <w:p w14:paraId="025F5A91" w14:textId="77777777" w:rsidR="007B72C7" w:rsidRPr="007B72C7" w:rsidRDefault="007B72C7" w:rsidP="007B72C7">
      <w:pPr>
        <w:spacing w:before="100" w:beforeAutospacing="1" w:after="100" w:afterAutospacing="1" w:line="240" w:lineRule="auto"/>
        <w:outlineLvl w:val="1"/>
        <w:rPr>
          <w:rFonts w:eastAsia="Times New Roman"/>
          <w:b/>
          <w:bCs/>
          <w:sz w:val="36"/>
          <w:szCs w:val="36"/>
          <w:lang w:eastAsia="de-DE"/>
        </w:rPr>
      </w:pPr>
      <w:r w:rsidRPr="007B72C7">
        <w:rPr>
          <w:rFonts w:eastAsia="Times New Roman"/>
          <w:b/>
          <w:bCs/>
          <w:sz w:val="36"/>
          <w:szCs w:val="36"/>
          <w:lang w:eastAsia="de-DE"/>
        </w:rPr>
        <w:t>Deuteronomium 1,17</w:t>
      </w:r>
    </w:p>
    <w:p w14:paraId="1F222207"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lastRenderedPageBreak/>
        <w:t>Hebräisch:</w:t>
      </w:r>
      <w:r w:rsidRPr="007B72C7">
        <w:rPr>
          <w:rFonts w:eastAsia="Times New Roman"/>
          <w:lang w:eastAsia="de-DE"/>
        </w:rPr>
        <w:t xml:space="preserve"> </w:t>
      </w:r>
      <w:r w:rsidRPr="007B72C7">
        <w:rPr>
          <w:rFonts w:eastAsia="Times New Roman"/>
          <w:rtl/>
          <w:lang w:eastAsia="de-DE"/>
        </w:rPr>
        <w:t>לֹֽא־תַכִּ֨ירוּ פָנִ֜ים בַּמִּשְׁפָּ֗ט כַּקָּטֹ֤ן כַּגָּדֹל֙ תִּשְׁמָע֔וּן לֹ֤א תָג֨וּרוּ֙ מִפְּנֵי־אִ֔ישׁ כִּ֥י הַמִּשְׁפָּ֖ט לֵאלֹהִ֣ים ה֑וּא וְהַדָּבָר֙ אֲשֶׁ֣ר יִקְשֶׁ֣ה מִכֶּ֔ם תַּקְרִב֥וּן אֵלַ֖י וּשְׁמַעְתִּֽיו׃</w:t>
      </w:r>
    </w:p>
    <w:p w14:paraId="7B80269B"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Deutsch:</w:t>
      </w:r>
      <w:r w:rsidRPr="007B72C7">
        <w:rPr>
          <w:rFonts w:eastAsia="Times New Roman"/>
          <w:lang w:eastAsia="de-DE"/>
        </w:rPr>
        <w:t xml:space="preserve"> Ihr sollt nicht Gesichter erkennen im Gericht; wie den Kleinen, so sollt ihr den Großen hören. Ihr sollt euch nicht fürchten vor dem Angesicht eines Mannes, denn das Gericht ist Gottes. Und die Sache, die zu schwer für euch ist, sollt ihr zu mir bringen, und ich werde sie hören.</w:t>
      </w:r>
    </w:p>
    <w:p w14:paraId="7E5604C3" w14:textId="77777777" w:rsidR="007B72C7" w:rsidRPr="007B72C7" w:rsidRDefault="004F5CEB" w:rsidP="007B72C7">
      <w:pPr>
        <w:spacing w:after="0" w:line="240" w:lineRule="auto"/>
        <w:rPr>
          <w:rFonts w:eastAsia="Times New Roman"/>
          <w:lang w:eastAsia="de-DE"/>
        </w:rPr>
      </w:pPr>
      <w:r>
        <w:rPr>
          <w:rFonts w:eastAsia="Times New Roman"/>
          <w:noProof/>
          <w:lang w:eastAsia="de-DE"/>
        </w:rPr>
        <w:pict w14:anchorId="2CE52A75">
          <v:rect id="_x0000_i1041" style="width:0;height:1.5pt" o:hralign="center" o:hrstd="t" o:hr="t" fillcolor="#a0a0a0" stroked="f"/>
        </w:pict>
      </w:r>
    </w:p>
    <w:p w14:paraId="4501A1CE"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Kommentar:</w:t>
      </w:r>
      <w:r w:rsidRPr="007B72C7">
        <w:rPr>
          <w:rFonts w:eastAsia="Times New Roman"/>
          <w:lang w:eastAsia="de-DE"/>
        </w:rPr>
        <w:t xml:space="preserve"> </w:t>
      </w:r>
      <w:r w:rsidRPr="007B72C7">
        <w:rPr>
          <w:rFonts w:eastAsia="Times New Roman"/>
          <w:b/>
          <w:bCs/>
          <w:rtl/>
          <w:lang w:eastAsia="de-DE"/>
        </w:rPr>
        <w:t>לֹא־תַכִּירוּ</w:t>
      </w:r>
      <w:r w:rsidRPr="007B72C7">
        <w:rPr>
          <w:rFonts w:eastAsia="Times New Roman"/>
          <w:rtl/>
          <w:lang w:eastAsia="de-DE"/>
        </w:rPr>
        <w:t xml:space="preserve"> </w:t>
      </w:r>
      <w:r w:rsidRPr="007B72C7">
        <w:rPr>
          <w:rFonts w:eastAsia="Times New Roman"/>
          <w:lang w:eastAsia="de-DE"/>
        </w:rPr>
        <w:t xml:space="preserve">ist eine Negation </w:t>
      </w:r>
      <w:r w:rsidRPr="007B72C7">
        <w:rPr>
          <w:rFonts w:eastAsia="Times New Roman"/>
          <w:b/>
          <w:bCs/>
          <w:rtl/>
          <w:lang w:eastAsia="de-DE"/>
        </w:rPr>
        <w:t>לֹא</w:t>
      </w:r>
      <w:r w:rsidRPr="007B72C7">
        <w:rPr>
          <w:rFonts w:eastAsia="Times New Roman"/>
          <w:rtl/>
          <w:lang w:eastAsia="de-DE"/>
        </w:rPr>
        <w:t xml:space="preserve"> </w:t>
      </w:r>
      <w:r w:rsidRPr="007B72C7">
        <w:rPr>
          <w:rFonts w:eastAsia="Times New Roman"/>
          <w:lang w:eastAsia="de-DE"/>
        </w:rPr>
        <w:t xml:space="preserve">mit Hif'il Imperfekt, 2. Person maskulin Plural von </w:t>
      </w:r>
      <w:r w:rsidRPr="007B72C7">
        <w:rPr>
          <w:rFonts w:eastAsia="Times New Roman"/>
          <w:rtl/>
          <w:lang w:eastAsia="de-DE"/>
        </w:rPr>
        <w:t>נכר</w:t>
      </w:r>
      <w:r w:rsidRPr="007B72C7">
        <w:rPr>
          <w:rFonts w:eastAsia="Times New Roman"/>
          <w:lang w:eastAsia="de-DE"/>
        </w:rPr>
        <w:t xml:space="preserve"> („erkennen, anerkennen, Ansehen haben"). </w:t>
      </w:r>
      <w:r w:rsidRPr="007B72C7">
        <w:rPr>
          <w:rFonts w:eastAsia="Times New Roman"/>
          <w:b/>
          <w:bCs/>
          <w:rtl/>
          <w:lang w:eastAsia="de-DE"/>
        </w:rPr>
        <w:t>פָנִים</w:t>
      </w:r>
      <w:r w:rsidRPr="007B72C7">
        <w:rPr>
          <w:rFonts w:eastAsia="Times New Roman"/>
          <w:rtl/>
          <w:lang w:eastAsia="de-DE"/>
        </w:rPr>
        <w:t xml:space="preserve"> </w:t>
      </w:r>
      <w:r w:rsidRPr="007B72C7">
        <w:rPr>
          <w:rFonts w:eastAsia="Times New Roman"/>
          <w:lang w:eastAsia="de-DE"/>
        </w:rPr>
        <w:t xml:space="preserve">ist der Plural von </w:t>
      </w:r>
      <w:r w:rsidRPr="007B72C7">
        <w:rPr>
          <w:rFonts w:eastAsia="Times New Roman"/>
          <w:b/>
          <w:bCs/>
          <w:rtl/>
          <w:lang w:eastAsia="de-DE"/>
        </w:rPr>
        <w:t>פָּנֶה</w:t>
      </w:r>
      <w:r w:rsidRPr="007B72C7">
        <w:rPr>
          <w:rFonts w:eastAsia="Times New Roman"/>
          <w:rtl/>
          <w:lang w:eastAsia="de-DE"/>
        </w:rPr>
        <w:t xml:space="preserve"> </w:t>
      </w:r>
      <w:r w:rsidRPr="007B72C7">
        <w:rPr>
          <w:rFonts w:eastAsia="Times New Roman"/>
          <w:lang w:eastAsia="de-DE"/>
        </w:rPr>
        <w:t xml:space="preserve">(„Gesicht, Angesicht"). Die Phrase </w:t>
      </w:r>
      <w:r w:rsidRPr="007B72C7">
        <w:rPr>
          <w:rFonts w:eastAsia="Times New Roman"/>
          <w:b/>
          <w:bCs/>
          <w:rtl/>
          <w:lang w:eastAsia="de-DE"/>
        </w:rPr>
        <w:t>לֹא־תַכִּירוּ פָנִים</w:t>
      </w:r>
      <w:r w:rsidRPr="007B72C7">
        <w:rPr>
          <w:rFonts w:eastAsia="Times New Roman"/>
          <w:rtl/>
          <w:lang w:eastAsia="de-DE"/>
        </w:rPr>
        <w:t xml:space="preserve"> </w:t>
      </w:r>
      <w:r w:rsidRPr="007B72C7">
        <w:rPr>
          <w:rFonts w:eastAsia="Times New Roman"/>
          <w:lang w:eastAsia="de-DE"/>
        </w:rPr>
        <w:t xml:space="preserve">ist eine idiomatische Wendung für „nicht parteiisch sein, keine Person ansehen". </w:t>
      </w:r>
      <w:r w:rsidRPr="007B72C7">
        <w:rPr>
          <w:rFonts w:eastAsia="Times New Roman"/>
          <w:b/>
          <w:bCs/>
          <w:rtl/>
          <w:lang w:eastAsia="de-DE"/>
        </w:rPr>
        <w:t>בַּמִּשְׁפָּט</w:t>
      </w:r>
      <w:r w:rsidRPr="007B72C7">
        <w:rPr>
          <w:rFonts w:eastAsia="Times New Roman"/>
          <w:rtl/>
          <w:lang w:eastAsia="de-DE"/>
        </w:rPr>
        <w:t xml:space="preserve"> </w:t>
      </w:r>
      <w:r w:rsidRPr="007B72C7">
        <w:rPr>
          <w:rFonts w:eastAsia="Times New Roman"/>
          <w:lang w:eastAsia="de-DE"/>
        </w:rPr>
        <w:t xml:space="preserve">ist </w:t>
      </w:r>
      <w:r w:rsidRPr="007B72C7">
        <w:rPr>
          <w:rFonts w:eastAsia="Times New Roman"/>
          <w:b/>
          <w:bCs/>
          <w:rtl/>
          <w:lang w:eastAsia="de-DE"/>
        </w:rPr>
        <w:t>בְּ</w:t>
      </w:r>
      <w:r w:rsidRPr="007B72C7">
        <w:rPr>
          <w:rFonts w:eastAsia="Times New Roman"/>
          <w:rtl/>
          <w:lang w:eastAsia="de-DE"/>
        </w:rPr>
        <w:t xml:space="preserve"> </w:t>
      </w:r>
      <w:r w:rsidRPr="007B72C7">
        <w:rPr>
          <w:rFonts w:eastAsia="Times New Roman"/>
          <w:lang w:eastAsia="de-DE"/>
        </w:rPr>
        <w:t xml:space="preserve">mit </w:t>
      </w:r>
      <w:r w:rsidRPr="007B72C7">
        <w:rPr>
          <w:rFonts w:eastAsia="Times New Roman"/>
          <w:b/>
          <w:bCs/>
          <w:rtl/>
          <w:lang w:eastAsia="de-DE"/>
        </w:rPr>
        <w:t>מִשְׁפָּט</w:t>
      </w:r>
      <w:r w:rsidRPr="007B72C7">
        <w:rPr>
          <w:rFonts w:eastAsia="Times New Roman"/>
          <w:rtl/>
          <w:lang w:eastAsia="de-DE"/>
        </w:rPr>
        <w:t xml:space="preserve"> </w:t>
      </w:r>
      <w:r w:rsidRPr="007B72C7">
        <w:rPr>
          <w:rFonts w:eastAsia="Times New Roman"/>
          <w:lang w:eastAsia="de-DE"/>
        </w:rPr>
        <w:t>(„Gericht, Recht, Urteil").</w:t>
      </w:r>
    </w:p>
    <w:p w14:paraId="6AA92424" w14:textId="359CB6F2"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rtl/>
          <w:lang w:eastAsia="de-DE"/>
        </w:rPr>
        <w:t>כַּקָּטֹן כַּגָּדֹל</w:t>
      </w:r>
      <w:r w:rsidRPr="007B72C7">
        <w:rPr>
          <w:rFonts w:eastAsia="Times New Roman"/>
          <w:rtl/>
          <w:lang w:eastAsia="de-DE"/>
        </w:rPr>
        <w:t xml:space="preserve"> </w:t>
      </w:r>
      <w:r w:rsidRPr="007B72C7">
        <w:rPr>
          <w:rFonts w:eastAsia="Times New Roman"/>
          <w:lang w:eastAsia="de-DE"/>
        </w:rPr>
        <w:t xml:space="preserve">ist eine Vergleichsphrase: </w:t>
      </w:r>
      <w:r w:rsidRPr="007B72C7">
        <w:rPr>
          <w:rFonts w:eastAsia="Times New Roman"/>
          <w:b/>
          <w:bCs/>
          <w:rtl/>
          <w:lang w:eastAsia="de-DE"/>
        </w:rPr>
        <w:t>כְּ</w:t>
      </w:r>
      <w:r w:rsidRPr="007B72C7">
        <w:rPr>
          <w:rFonts w:eastAsia="Times New Roman"/>
          <w:rtl/>
          <w:lang w:eastAsia="de-DE"/>
        </w:rPr>
        <w:t xml:space="preserve"> </w:t>
      </w:r>
      <w:r w:rsidRPr="007B72C7">
        <w:rPr>
          <w:rFonts w:eastAsia="Times New Roman"/>
          <w:lang w:eastAsia="de-DE"/>
        </w:rPr>
        <w:t xml:space="preserve">mit </w:t>
      </w:r>
      <w:r w:rsidRPr="007B72C7">
        <w:rPr>
          <w:rFonts w:eastAsia="Times New Roman"/>
          <w:b/>
          <w:bCs/>
          <w:rtl/>
          <w:lang w:eastAsia="de-DE"/>
        </w:rPr>
        <w:t>קָטֹן</w:t>
      </w:r>
      <w:r w:rsidRPr="007B72C7">
        <w:rPr>
          <w:rFonts w:eastAsia="Times New Roman"/>
          <w:rtl/>
          <w:lang w:eastAsia="de-DE"/>
        </w:rPr>
        <w:t xml:space="preserve"> </w:t>
      </w:r>
      <w:r w:rsidRPr="007B72C7">
        <w:rPr>
          <w:rFonts w:eastAsia="Times New Roman"/>
          <w:lang w:eastAsia="de-DE"/>
        </w:rPr>
        <w:t xml:space="preserve">(„klein, gering") und parallel </w:t>
      </w:r>
      <w:r w:rsidRPr="007B72C7">
        <w:rPr>
          <w:rFonts w:eastAsia="Times New Roman"/>
          <w:b/>
          <w:bCs/>
          <w:rtl/>
          <w:lang w:eastAsia="de-DE"/>
        </w:rPr>
        <w:t>כְּ</w:t>
      </w:r>
      <w:r w:rsidRPr="007B72C7">
        <w:rPr>
          <w:rFonts w:eastAsia="Times New Roman"/>
          <w:rtl/>
          <w:lang w:eastAsia="de-DE"/>
        </w:rPr>
        <w:t xml:space="preserve"> </w:t>
      </w:r>
      <w:r w:rsidRPr="007B72C7">
        <w:rPr>
          <w:rFonts w:eastAsia="Times New Roman"/>
          <w:lang w:eastAsia="de-DE"/>
        </w:rPr>
        <w:t xml:space="preserve">mit </w:t>
      </w:r>
      <w:r w:rsidRPr="007B72C7">
        <w:rPr>
          <w:rFonts w:eastAsia="Times New Roman"/>
          <w:b/>
          <w:bCs/>
          <w:rtl/>
          <w:lang w:eastAsia="de-DE"/>
        </w:rPr>
        <w:t>גָּדוֹל</w:t>
      </w:r>
      <w:r w:rsidRPr="007B72C7">
        <w:rPr>
          <w:rFonts w:eastAsia="Times New Roman"/>
          <w:rtl/>
          <w:lang w:eastAsia="de-DE"/>
        </w:rPr>
        <w:t xml:space="preserve"> </w:t>
      </w:r>
      <w:r w:rsidRPr="007B72C7">
        <w:rPr>
          <w:rFonts w:eastAsia="Times New Roman"/>
          <w:lang w:eastAsia="de-DE"/>
        </w:rPr>
        <w:t xml:space="preserve">(„groß, bedeutend"). </w:t>
      </w:r>
      <w:r w:rsidRPr="007B72C7">
        <w:rPr>
          <w:rFonts w:eastAsia="Times New Roman"/>
          <w:b/>
          <w:bCs/>
          <w:rtl/>
          <w:lang w:eastAsia="de-DE"/>
        </w:rPr>
        <w:t>תִּשְׁמָעוּן</w:t>
      </w:r>
      <w:r w:rsidRPr="007B72C7">
        <w:rPr>
          <w:rFonts w:eastAsia="Times New Roman"/>
          <w:rtl/>
          <w:lang w:eastAsia="de-DE"/>
        </w:rPr>
        <w:t xml:space="preserve"> </w:t>
      </w:r>
      <w:r w:rsidRPr="007B72C7">
        <w:rPr>
          <w:rFonts w:eastAsia="Times New Roman"/>
          <w:lang w:eastAsia="de-DE"/>
        </w:rPr>
        <w:t xml:space="preserve">ist Qal Imperfekt, 2. Person maskulin Plural von </w:t>
      </w:r>
      <w:r w:rsidRPr="007B72C7">
        <w:rPr>
          <w:rFonts w:eastAsia="Times New Roman"/>
          <w:rtl/>
          <w:lang w:eastAsia="de-DE"/>
        </w:rPr>
        <w:t>שׁמע</w:t>
      </w:r>
      <w:r w:rsidRPr="007B72C7">
        <w:rPr>
          <w:rFonts w:eastAsia="Times New Roman"/>
          <w:lang w:eastAsia="de-DE"/>
        </w:rPr>
        <w:t xml:space="preserve"> mit Nun paragogicum, das die Form </w:t>
      </w:r>
      <w:proofErr w:type="spellStart"/>
      <w:r w:rsidRPr="007B72C7">
        <w:rPr>
          <w:rFonts w:eastAsia="Times New Roman"/>
          <w:lang w:eastAsia="de-DE"/>
        </w:rPr>
        <w:t>emphasisiert</w:t>
      </w:r>
      <w:proofErr w:type="spellEnd"/>
      <w:r w:rsidRPr="007B72C7">
        <w:rPr>
          <w:rFonts w:eastAsia="Times New Roman"/>
          <w:lang w:eastAsia="de-DE"/>
        </w:rPr>
        <w:t xml:space="preserve"> („ihr sollt hören"). Die </w:t>
      </w:r>
      <w:r w:rsidR="00FF2B82">
        <w:rPr>
          <w:rFonts w:eastAsia="Times New Roman"/>
          <w:lang w:eastAsia="de-DE"/>
        </w:rPr>
        <w:t>Konstruktion</w:t>
      </w:r>
      <w:r w:rsidRPr="007B72C7">
        <w:rPr>
          <w:rFonts w:eastAsia="Times New Roman"/>
          <w:lang w:eastAsia="de-DE"/>
        </w:rPr>
        <w:t xml:space="preserve"> bedeutet: gleiche Aufmerksamkeit für sozial Niedrige wie für sozial Hohe.</w:t>
      </w:r>
    </w:p>
    <w:p w14:paraId="75DC5DC7" w14:textId="7C78269F"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rtl/>
          <w:lang w:eastAsia="de-DE"/>
        </w:rPr>
        <w:t>לֹא תָגוּרוּ</w:t>
      </w:r>
      <w:r w:rsidRPr="007B72C7">
        <w:rPr>
          <w:rFonts w:eastAsia="Times New Roman"/>
          <w:rtl/>
          <w:lang w:eastAsia="de-DE"/>
        </w:rPr>
        <w:t xml:space="preserve"> </w:t>
      </w:r>
      <w:r w:rsidRPr="007B72C7">
        <w:rPr>
          <w:rFonts w:eastAsia="Times New Roman"/>
          <w:lang w:eastAsia="de-DE"/>
        </w:rPr>
        <w:t xml:space="preserve">ist die Negation mit Qal Imperfekt, 2. Person maskulin Plural von </w:t>
      </w:r>
      <w:r w:rsidRPr="007B72C7">
        <w:rPr>
          <w:rFonts w:eastAsia="Times New Roman"/>
          <w:rtl/>
          <w:lang w:eastAsia="de-DE"/>
        </w:rPr>
        <w:t>גור</w:t>
      </w:r>
      <w:r w:rsidRPr="007B72C7">
        <w:rPr>
          <w:rFonts w:eastAsia="Times New Roman"/>
          <w:lang w:eastAsia="de-DE"/>
        </w:rPr>
        <w:t xml:space="preserve"> („sich fürchten"). </w:t>
      </w:r>
      <w:r w:rsidRPr="007B72C7">
        <w:rPr>
          <w:rFonts w:eastAsia="Times New Roman"/>
          <w:b/>
          <w:bCs/>
          <w:rtl/>
          <w:lang w:eastAsia="de-DE"/>
        </w:rPr>
        <w:t>מִפְּנֵי־אִישׁ</w:t>
      </w:r>
      <w:r w:rsidRPr="007B72C7">
        <w:rPr>
          <w:rFonts w:eastAsia="Times New Roman"/>
          <w:rtl/>
          <w:lang w:eastAsia="de-DE"/>
        </w:rPr>
        <w:t xml:space="preserve"> </w:t>
      </w:r>
      <w:r w:rsidRPr="007B72C7">
        <w:rPr>
          <w:rFonts w:eastAsia="Times New Roman"/>
          <w:lang w:eastAsia="de-DE"/>
        </w:rPr>
        <w:t xml:space="preserve">ist </w:t>
      </w:r>
      <w:r w:rsidRPr="007B72C7">
        <w:rPr>
          <w:rFonts w:eastAsia="Times New Roman"/>
          <w:b/>
          <w:bCs/>
          <w:rtl/>
          <w:lang w:eastAsia="de-DE"/>
        </w:rPr>
        <w:t>מִן</w:t>
      </w:r>
      <w:r w:rsidRPr="007B72C7">
        <w:rPr>
          <w:rFonts w:eastAsia="Times New Roman"/>
          <w:rtl/>
          <w:lang w:eastAsia="de-DE"/>
        </w:rPr>
        <w:t xml:space="preserve"> </w:t>
      </w:r>
      <w:r w:rsidRPr="007B72C7">
        <w:rPr>
          <w:rFonts w:eastAsia="Times New Roman"/>
          <w:lang w:eastAsia="de-DE"/>
        </w:rPr>
        <w:t xml:space="preserve">(„vor") mit </w:t>
      </w:r>
      <w:r w:rsidRPr="007B72C7">
        <w:rPr>
          <w:rFonts w:eastAsia="Times New Roman"/>
          <w:b/>
          <w:bCs/>
          <w:rtl/>
          <w:lang w:eastAsia="de-DE"/>
        </w:rPr>
        <w:t>פְּנֵי</w:t>
      </w:r>
      <w:r w:rsidRPr="007B72C7">
        <w:rPr>
          <w:rFonts w:eastAsia="Times New Roman"/>
          <w:rtl/>
          <w:lang w:eastAsia="de-DE"/>
        </w:rPr>
        <w:t xml:space="preserve"> </w:t>
      </w:r>
      <w:r w:rsidRPr="007B72C7">
        <w:rPr>
          <w:rFonts w:eastAsia="Times New Roman"/>
          <w:lang w:eastAsia="de-DE"/>
        </w:rPr>
        <w:t xml:space="preserve">(Plural </w:t>
      </w:r>
      <w:r w:rsidR="0032647F">
        <w:rPr>
          <w:rFonts w:eastAsia="Times New Roman"/>
          <w:lang w:eastAsia="de-DE"/>
        </w:rPr>
        <w:t>Construct</w:t>
      </w:r>
      <w:r w:rsidRPr="007B72C7">
        <w:rPr>
          <w:rFonts w:eastAsia="Times New Roman"/>
          <w:lang w:eastAsia="de-DE"/>
        </w:rPr>
        <w:t xml:space="preserve"> von </w:t>
      </w:r>
      <w:r w:rsidRPr="007B72C7">
        <w:rPr>
          <w:rFonts w:eastAsia="Times New Roman"/>
          <w:b/>
          <w:bCs/>
          <w:rtl/>
          <w:lang w:eastAsia="de-DE"/>
        </w:rPr>
        <w:t>פָּנֶה</w:t>
      </w:r>
      <w:r w:rsidRPr="007B72C7">
        <w:rPr>
          <w:rFonts w:eastAsia="Times New Roman"/>
          <w:lang w:eastAsia="de-DE"/>
        </w:rPr>
        <w:t xml:space="preserve">) und </w:t>
      </w:r>
      <w:r w:rsidRPr="007B72C7">
        <w:rPr>
          <w:rFonts w:eastAsia="Times New Roman"/>
          <w:b/>
          <w:bCs/>
          <w:rtl/>
          <w:lang w:eastAsia="de-DE"/>
        </w:rPr>
        <w:t>אִישׁ</w:t>
      </w:r>
      <w:r w:rsidRPr="007B72C7">
        <w:rPr>
          <w:rFonts w:eastAsia="Times New Roman"/>
          <w:rtl/>
          <w:lang w:eastAsia="de-DE"/>
        </w:rPr>
        <w:t xml:space="preserve"> </w:t>
      </w:r>
      <w:r w:rsidRPr="007B72C7">
        <w:rPr>
          <w:rFonts w:eastAsia="Times New Roman"/>
          <w:lang w:eastAsia="de-DE"/>
        </w:rPr>
        <w:t xml:space="preserve">(„Mann, jemand"). </w:t>
      </w:r>
      <w:r w:rsidRPr="007B72C7">
        <w:rPr>
          <w:rFonts w:eastAsia="Times New Roman"/>
          <w:b/>
          <w:bCs/>
          <w:rtl/>
          <w:lang w:eastAsia="de-DE"/>
        </w:rPr>
        <w:t>כִּי</w:t>
      </w:r>
      <w:r w:rsidRPr="007B72C7">
        <w:rPr>
          <w:rFonts w:eastAsia="Times New Roman"/>
          <w:rtl/>
          <w:lang w:eastAsia="de-DE"/>
        </w:rPr>
        <w:t xml:space="preserve"> </w:t>
      </w:r>
      <w:r w:rsidRPr="007B72C7">
        <w:rPr>
          <w:rFonts w:eastAsia="Times New Roman"/>
          <w:lang w:eastAsia="de-DE"/>
        </w:rPr>
        <w:t xml:space="preserve">ist eine kausale Konjunktion („denn, weil"). </w:t>
      </w:r>
      <w:r w:rsidRPr="007B72C7">
        <w:rPr>
          <w:rFonts w:eastAsia="Times New Roman"/>
          <w:b/>
          <w:bCs/>
          <w:rtl/>
          <w:lang w:eastAsia="de-DE"/>
        </w:rPr>
        <w:t>הַמִּשְׁפָּט לֵאלֹהִים הוּא</w:t>
      </w:r>
      <w:r w:rsidRPr="007B72C7">
        <w:rPr>
          <w:rFonts w:eastAsia="Times New Roman"/>
          <w:rtl/>
          <w:lang w:eastAsia="de-DE"/>
        </w:rPr>
        <w:t xml:space="preserve"> </w:t>
      </w:r>
      <w:r w:rsidRPr="007B72C7">
        <w:rPr>
          <w:rFonts w:eastAsia="Times New Roman"/>
          <w:lang w:eastAsia="de-DE"/>
        </w:rPr>
        <w:t xml:space="preserve">ist ein Nominalsatz: </w:t>
      </w:r>
      <w:r w:rsidRPr="007B72C7">
        <w:rPr>
          <w:rFonts w:eastAsia="Times New Roman"/>
          <w:b/>
          <w:bCs/>
          <w:rtl/>
          <w:lang w:eastAsia="de-DE"/>
        </w:rPr>
        <w:t>הַמִּשְׁפָּט</w:t>
      </w:r>
      <w:r w:rsidRPr="007B72C7">
        <w:rPr>
          <w:rFonts w:eastAsia="Times New Roman"/>
          <w:rtl/>
          <w:lang w:eastAsia="de-DE"/>
        </w:rPr>
        <w:t xml:space="preserve"> </w:t>
      </w:r>
      <w:r w:rsidRPr="007B72C7">
        <w:rPr>
          <w:rFonts w:eastAsia="Times New Roman"/>
          <w:lang w:eastAsia="de-DE"/>
        </w:rPr>
        <w:t xml:space="preserve">als Subjekt, </w:t>
      </w:r>
      <w:r w:rsidRPr="007B72C7">
        <w:rPr>
          <w:rFonts w:eastAsia="Times New Roman"/>
          <w:b/>
          <w:bCs/>
          <w:rtl/>
          <w:lang w:eastAsia="de-DE"/>
        </w:rPr>
        <w:t>לֵאלֹהִים</w:t>
      </w:r>
      <w:r w:rsidRPr="007B72C7">
        <w:rPr>
          <w:rFonts w:eastAsia="Times New Roman"/>
          <w:rtl/>
          <w:lang w:eastAsia="de-DE"/>
        </w:rPr>
        <w:t xml:space="preserve"> </w:t>
      </w:r>
      <w:r w:rsidRPr="007B72C7">
        <w:rPr>
          <w:rFonts w:eastAsia="Times New Roman"/>
          <w:lang w:eastAsia="de-DE"/>
        </w:rPr>
        <w:t xml:space="preserve">(Präposition </w:t>
      </w:r>
      <w:r w:rsidRPr="007B72C7">
        <w:rPr>
          <w:rFonts w:eastAsia="Times New Roman"/>
          <w:b/>
          <w:bCs/>
          <w:rtl/>
          <w:lang w:eastAsia="de-DE"/>
        </w:rPr>
        <w:t>לְ</w:t>
      </w:r>
      <w:r w:rsidRPr="007B72C7">
        <w:rPr>
          <w:rFonts w:eastAsia="Times New Roman"/>
          <w:rtl/>
          <w:lang w:eastAsia="de-DE"/>
        </w:rPr>
        <w:t xml:space="preserve"> </w:t>
      </w:r>
      <w:r w:rsidRPr="007B72C7">
        <w:rPr>
          <w:rFonts w:eastAsia="Times New Roman"/>
          <w:lang w:eastAsia="de-DE"/>
        </w:rPr>
        <w:t xml:space="preserve">mit </w:t>
      </w:r>
      <w:r w:rsidRPr="007B72C7">
        <w:rPr>
          <w:rFonts w:eastAsia="Times New Roman"/>
          <w:b/>
          <w:bCs/>
          <w:rtl/>
          <w:lang w:eastAsia="de-DE"/>
        </w:rPr>
        <w:t>אֱלֹהִים</w:t>
      </w:r>
      <w:r w:rsidRPr="007B72C7">
        <w:rPr>
          <w:rFonts w:eastAsia="Times New Roman"/>
          <w:lang w:eastAsia="de-DE"/>
        </w:rPr>
        <w:t xml:space="preserve">) als Prädikat, und </w:t>
      </w:r>
      <w:r w:rsidRPr="007B72C7">
        <w:rPr>
          <w:rFonts w:eastAsia="Times New Roman"/>
          <w:b/>
          <w:bCs/>
          <w:rtl/>
          <w:lang w:eastAsia="de-DE"/>
        </w:rPr>
        <w:t>הוּא</w:t>
      </w:r>
      <w:r w:rsidRPr="007B72C7">
        <w:rPr>
          <w:rFonts w:eastAsia="Times New Roman"/>
          <w:rtl/>
          <w:lang w:eastAsia="de-DE"/>
        </w:rPr>
        <w:t xml:space="preserve"> </w:t>
      </w:r>
      <w:r w:rsidRPr="007B72C7">
        <w:rPr>
          <w:rFonts w:eastAsia="Times New Roman"/>
          <w:lang w:eastAsia="de-DE"/>
        </w:rPr>
        <w:t>als verstärkendes Pronomen („das Gericht gehört Gott" oder „das Gericht ist Gottes").</w:t>
      </w:r>
    </w:p>
    <w:p w14:paraId="2206A04B"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rtl/>
          <w:lang w:eastAsia="de-DE"/>
        </w:rPr>
        <w:t>וְהַדָּבָר אֲשֶׁר יִקְשֶׁה מִכֶּם</w:t>
      </w:r>
      <w:r w:rsidRPr="007B72C7">
        <w:rPr>
          <w:rFonts w:eastAsia="Times New Roman"/>
          <w:rtl/>
          <w:lang w:eastAsia="de-DE"/>
        </w:rPr>
        <w:t xml:space="preserve"> </w:t>
      </w:r>
      <w:r w:rsidRPr="007B72C7">
        <w:rPr>
          <w:rFonts w:eastAsia="Times New Roman"/>
          <w:lang w:eastAsia="de-DE"/>
        </w:rPr>
        <w:t xml:space="preserve">ist ein neuer Satz: </w:t>
      </w:r>
      <w:r w:rsidRPr="007B72C7">
        <w:rPr>
          <w:rFonts w:eastAsia="Times New Roman"/>
          <w:b/>
          <w:bCs/>
          <w:rtl/>
          <w:lang w:eastAsia="de-DE"/>
        </w:rPr>
        <w:t>וְ</w:t>
      </w:r>
      <w:r w:rsidRPr="007B72C7">
        <w:rPr>
          <w:rFonts w:eastAsia="Times New Roman"/>
          <w:rtl/>
          <w:lang w:eastAsia="de-DE"/>
        </w:rPr>
        <w:t xml:space="preserve"> </w:t>
      </w:r>
      <w:r w:rsidRPr="007B72C7">
        <w:rPr>
          <w:rFonts w:eastAsia="Times New Roman"/>
          <w:lang w:eastAsia="de-DE"/>
        </w:rPr>
        <w:t xml:space="preserve">copulativum, </w:t>
      </w:r>
      <w:r w:rsidRPr="007B72C7">
        <w:rPr>
          <w:rFonts w:eastAsia="Times New Roman"/>
          <w:b/>
          <w:bCs/>
          <w:rtl/>
          <w:lang w:eastAsia="de-DE"/>
        </w:rPr>
        <w:t>הַדָּבָר</w:t>
      </w:r>
      <w:r w:rsidRPr="007B72C7">
        <w:rPr>
          <w:rFonts w:eastAsia="Times New Roman"/>
          <w:rtl/>
          <w:lang w:eastAsia="de-DE"/>
        </w:rPr>
        <w:t xml:space="preserve"> </w:t>
      </w:r>
      <w:r w:rsidRPr="007B72C7">
        <w:rPr>
          <w:rFonts w:eastAsia="Times New Roman"/>
          <w:lang w:eastAsia="de-DE"/>
        </w:rPr>
        <w:t xml:space="preserve">(„die Sache") als Subjekt, Relativsatz mit </w:t>
      </w:r>
      <w:r w:rsidRPr="007B72C7">
        <w:rPr>
          <w:rFonts w:eastAsia="Times New Roman"/>
          <w:b/>
          <w:bCs/>
          <w:rtl/>
          <w:lang w:eastAsia="de-DE"/>
        </w:rPr>
        <w:t>אֲשֶׁר</w:t>
      </w:r>
      <w:r w:rsidRPr="007B72C7">
        <w:rPr>
          <w:rFonts w:eastAsia="Times New Roman"/>
          <w:rtl/>
          <w:lang w:eastAsia="de-DE"/>
        </w:rPr>
        <w:t xml:space="preserve"> </w:t>
      </w:r>
      <w:r w:rsidRPr="007B72C7">
        <w:rPr>
          <w:rFonts w:eastAsia="Times New Roman"/>
          <w:lang w:eastAsia="de-DE"/>
        </w:rPr>
        <w:t xml:space="preserve">und </w:t>
      </w:r>
      <w:r w:rsidRPr="007B72C7">
        <w:rPr>
          <w:rFonts w:eastAsia="Times New Roman"/>
          <w:b/>
          <w:bCs/>
          <w:rtl/>
          <w:lang w:eastAsia="de-DE"/>
        </w:rPr>
        <w:t>יִקְשֶׁה</w:t>
      </w:r>
      <w:r w:rsidRPr="007B72C7">
        <w:rPr>
          <w:rFonts w:eastAsia="Times New Roman"/>
          <w:rtl/>
          <w:lang w:eastAsia="de-DE"/>
        </w:rPr>
        <w:t xml:space="preserve"> </w:t>
      </w:r>
      <w:r w:rsidRPr="007B72C7">
        <w:rPr>
          <w:rFonts w:eastAsia="Times New Roman"/>
          <w:lang w:eastAsia="de-DE"/>
        </w:rPr>
        <w:t xml:space="preserve">(Qal Imperfekt, 3. Person maskulin Singular von </w:t>
      </w:r>
      <w:r w:rsidRPr="007B72C7">
        <w:rPr>
          <w:rFonts w:eastAsia="Times New Roman"/>
          <w:rtl/>
          <w:lang w:eastAsia="de-DE"/>
        </w:rPr>
        <w:t>קשׁה</w:t>
      </w:r>
      <w:r w:rsidRPr="007B72C7">
        <w:rPr>
          <w:rFonts w:eastAsia="Times New Roman"/>
          <w:lang w:eastAsia="de-DE"/>
        </w:rPr>
        <w:t xml:space="preserve"> „schwer sein, hart sein"). </w:t>
      </w:r>
      <w:r w:rsidRPr="007B72C7">
        <w:rPr>
          <w:rFonts w:eastAsia="Times New Roman"/>
          <w:b/>
          <w:bCs/>
          <w:rtl/>
          <w:lang w:eastAsia="de-DE"/>
        </w:rPr>
        <w:t>מִכֶּם</w:t>
      </w:r>
      <w:r w:rsidRPr="007B72C7">
        <w:rPr>
          <w:rFonts w:eastAsia="Times New Roman"/>
          <w:rtl/>
          <w:lang w:eastAsia="de-DE"/>
        </w:rPr>
        <w:t xml:space="preserve"> </w:t>
      </w:r>
      <w:r w:rsidRPr="007B72C7">
        <w:rPr>
          <w:rFonts w:eastAsia="Times New Roman"/>
          <w:lang w:eastAsia="de-DE"/>
        </w:rPr>
        <w:t xml:space="preserve">ist </w:t>
      </w:r>
      <w:r w:rsidRPr="007B72C7">
        <w:rPr>
          <w:rFonts w:eastAsia="Times New Roman"/>
          <w:b/>
          <w:bCs/>
          <w:rtl/>
          <w:lang w:eastAsia="de-DE"/>
        </w:rPr>
        <w:t>מִן</w:t>
      </w:r>
      <w:r w:rsidRPr="007B72C7">
        <w:rPr>
          <w:rFonts w:eastAsia="Times New Roman"/>
          <w:rtl/>
          <w:lang w:eastAsia="de-DE"/>
        </w:rPr>
        <w:t xml:space="preserve"> </w:t>
      </w:r>
      <w:r w:rsidRPr="007B72C7">
        <w:rPr>
          <w:rFonts w:eastAsia="Times New Roman"/>
          <w:lang w:eastAsia="de-DE"/>
        </w:rPr>
        <w:t xml:space="preserve">mit Suffix 2. Person maskulin Plural („von euch, für euch"). </w:t>
      </w:r>
      <w:r w:rsidRPr="007B72C7">
        <w:rPr>
          <w:rFonts w:eastAsia="Times New Roman"/>
          <w:b/>
          <w:bCs/>
          <w:rtl/>
          <w:lang w:eastAsia="de-DE"/>
        </w:rPr>
        <w:t>תַּקְרִבוּן</w:t>
      </w:r>
      <w:r w:rsidRPr="007B72C7">
        <w:rPr>
          <w:rFonts w:eastAsia="Times New Roman"/>
          <w:rtl/>
          <w:lang w:eastAsia="de-DE"/>
        </w:rPr>
        <w:t xml:space="preserve"> </w:t>
      </w:r>
      <w:r w:rsidRPr="007B72C7">
        <w:rPr>
          <w:rFonts w:eastAsia="Times New Roman"/>
          <w:lang w:eastAsia="de-DE"/>
        </w:rPr>
        <w:t xml:space="preserve">ist Hif'il Imperfekt, 2. Person maskulin Plural von </w:t>
      </w:r>
      <w:r w:rsidRPr="007B72C7">
        <w:rPr>
          <w:rFonts w:eastAsia="Times New Roman"/>
          <w:rtl/>
          <w:lang w:eastAsia="de-DE"/>
        </w:rPr>
        <w:t>קרב</w:t>
      </w:r>
      <w:r w:rsidRPr="007B72C7">
        <w:rPr>
          <w:rFonts w:eastAsia="Times New Roman"/>
          <w:lang w:eastAsia="de-DE"/>
        </w:rPr>
        <w:t xml:space="preserve"> („nahe bringen, herbringen") mit Nun paragogicum. </w:t>
      </w:r>
      <w:r w:rsidRPr="007B72C7">
        <w:rPr>
          <w:rFonts w:eastAsia="Times New Roman"/>
          <w:b/>
          <w:bCs/>
          <w:rtl/>
          <w:lang w:eastAsia="de-DE"/>
        </w:rPr>
        <w:t>אֵלַי</w:t>
      </w:r>
      <w:r w:rsidRPr="007B72C7">
        <w:rPr>
          <w:rFonts w:eastAsia="Times New Roman"/>
          <w:rtl/>
          <w:lang w:eastAsia="de-DE"/>
        </w:rPr>
        <w:t xml:space="preserve"> </w:t>
      </w:r>
      <w:r w:rsidRPr="007B72C7">
        <w:rPr>
          <w:rFonts w:eastAsia="Times New Roman"/>
          <w:lang w:eastAsia="de-DE"/>
        </w:rPr>
        <w:t xml:space="preserve">ist </w:t>
      </w:r>
      <w:r w:rsidRPr="007B72C7">
        <w:rPr>
          <w:rFonts w:eastAsia="Times New Roman"/>
          <w:b/>
          <w:bCs/>
          <w:rtl/>
          <w:lang w:eastAsia="de-DE"/>
        </w:rPr>
        <w:t>אֶל</w:t>
      </w:r>
      <w:r w:rsidRPr="007B72C7">
        <w:rPr>
          <w:rFonts w:eastAsia="Times New Roman"/>
          <w:rtl/>
          <w:lang w:eastAsia="de-DE"/>
        </w:rPr>
        <w:t xml:space="preserve"> </w:t>
      </w:r>
      <w:r w:rsidRPr="007B72C7">
        <w:rPr>
          <w:rFonts w:eastAsia="Times New Roman"/>
          <w:lang w:eastAsia="de-DE"/>
        </w:rPr>
        <w:t xml:space="preserve">mit Suffix 1. Person Singular („zu mir"). </w:t>
      </w:r>
      <w:r w:rsidRPr="007B72C7">
        <w:rPr>
          <w:rFonts w:eastAsia="Times New Roman"/>
          <w:b/>
          <w:bCs/>
          <w:rtl/>
          <w:lang w:eastAsia="de-DE"/>
        </w:rPr>
        <w:t>וּשְׁמַעְתִּיו</w:t>
      </w:r>
      <w:r w:rsidRPr="007B72C7">
        <w:rPr>
          <w:rFonts w:eastAsia="Times New Roman"/>
          <w:rtl/>
          <w:lang w:eastAsia="de-DE"/>
        </w:rPr>
        <w:t xml:space="preserve"> </w:t>
      </w:r>
      <w:r w:rsidRPr="007B72C7">
        <w:rPr>
          <w:rFonts w:eastAsia="Times New Roman"/>
          <w:lang w:eastAsia="de-DE"/>
        </w:rPr>
        <w:t xml:space="preserve">ist Qal Perfekt, 1. Person Singular von </w:t>
      </w:r>
      <w:r w:rsidRPr="007B72C7">
        <w:rPr>
          <w:rFonts w:eastAsia="Times New Roman"/>
          <w:rtl/>
          <w:lang w:eastAsia="de-DE"/>
        </w:rPr>
        <w:t>שׁמע</w:t>
      </w:r>
      <w:r w:rsidRPr="007B72C7">
        <w:rPr>
          <w:rFonts w:eastAsia="Times New Roman"/>
          <w:lang w:eastAsia="de-DE"/>
        </w:rPr>
        <w:t xml:space="preserve"> mit Waw copulativum und Objektsuffix 3. Person maskulin Singular („und ich werde es hören"). Das Perfekt hat hier futurische Bedeutung.</w:t>
      </w:r>
    </w:p>
    <w:p w14:paraId="7340209B"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Die LXX</w:t>
      </w:r>
      <w:r w:rsidRPr="007B72C7">
        <w:rPr>
          <w:rFonts w:eastAsia="Times New Roman"/>
          <w:lang w:eastAsia="de-DE"/>
        </w:rPr>
        <w:t xml:space="preserve"> übersetzt „</w:t>
      </w:r>
      <w:proofErr w:type="spellStart"/>
      <w:r w:rsidRPr="007B72C7">
        <w:rPr>
          <w:rFonts w:eastAsia="Times New Roman"/>
          <w:lang w:eastAsia="de-DE"/>
        </w:rPr>
        <w:t>οὐκ</w:t>
      </w:r>
      <w:proofErr w:type="spellEnd"/>
      <w:r w:rsidRPr="007B72C7">
        <w:rPr>
          <w:rFonts w:eastAsia="Times New Roman"/>
          <w:lang w:eastAsia="de-DE"/>
        </w:rPr>
        <w:t xml:space="preserve"> ἐπ</w:t>
      </w:r>
      <w:proofErr w:type="spellStart"/>
      <w:r w:rsidRPr="007B72C7">
        <w:rPr>
          <w:rFonts w:eastAsia="Times New Roman"/>
          <w:lang w:eastAsia="de-DE"/>
        </w:rPr>
        <w:t>ιγνώσεσθε</w:t>
      </w:r>
      <w:proofErr w:type="spellEnd"/>
      <w:r w:rsidRPr="007B72C7">
        <w:rPr>
          <w:rFonts w:eastAsia="Times New Roman"/>
          <w:lang w:eastAsia="de-DE"/>
        </w:rPr>
        <w:t xml:space="preserve"> π</w:t>
      </w:r>
      <w:proofErr w:type="spellStart"/>
      <w:r w:rsidRPr="007B72C7">
        <w:rPr>
          <w:rFonts w:eastAsia="Times New Roman"/>
          <w:lang w:eastAsia="de-DE"/>
        </w:rPr>
        <w:t>ρόσω</w:t>
      </w:r>
      <w:proofErr w:type="spellEnd"/>
      <w:r w:rsidRPr="007B72C7">
        <w:rPr>
          <w:rFonts w:eastAsia="Times New Roman"/>
          <w:lang w:eastAsia="de-DE"/>
        </w:rPr>
        <w:t xml:space="preserve">πον </w:t>
      </w:r>
      <w:proofErr w:type="spellStart"/>
      <w:r w:rsidRPr="007B72C7">
        <w:rPr>
          <w:rFonts w:eastAsia="Times New Roman"/>
          <w:lang w:eastAsia="de-DE"/>
        </w:rPr>
        <w:t>ἐν</w:t>
      </w:r>
      <w:proofErr w:type="spellEnd"/>
      <w:r w:rsidRPr="007B72C7">
        <w:rPr>
          <w:rFonts w:eastAsia="Times New Roman"/>
          <w:lang w:eastAsia="de-DE"/>
        </w:rPr>
        <w:t xml:space="preserve"> </w:t>
      </w:r>
      <w:proofErr w:type="spellStart"/>
      <w:r w:rsidRPr="007B72C7">
        <w:rPr>
          <w:rFonts w:eastAsia="Times New Roman"/>
          <w:lang w:eastAsia="de-DE"/>
        </w:rPr>
        <w:t>κρίσει</w:t>
      </w:r>
      <w:proofErr w:type="spellEnd"/>
      <w:r w:rsidRPr="007B72C7">
        <w:rPr>
          <w:rFonts w:eastAsia="Times New Roman"/>
          <w:lang w:eastAsia="de-DE"/>
        </w:rPr>
        <w:t>, κα</w:t>
      </w:r>
      <w:proofErr w:type="spellStart"/>
      <w:r w:rsidRPr="007B72C7">
        <w:rPr>
          <w:rFonts w:eastAsia="Times New Roman"/>
          <w:lang w:eastAsia="de-DE"/>
        </w:rPr>
        <w:t>τὰ</w:t>
      </w:r>
      <w:proofErr w:type="spellEnd"/>
      <w:r w:rsidRPr="007B72C7">
        <w:rPr>
          <w:rFonts w:eastAsia="Times New Roman"/>
          <w:lang w:eastAsia="de-DE"/>
        </w:rPr>
        <w:t xml:space="preserve"> </w:t>
      </w:r>
      <w:proofErr w:type="spellStart"/>
      <w:r w:rsidRPr="007B72C7">
        <w:rPr>
          <w:rFonts w:eastAsia="Times New Roman"/>
          <w:lang w:eastAsia="de-DE"/>
        </w:rPr>
        <w:t>τὸν</w:t>
      </w:r>
      <w:proofErr w:type="spellEnd"/>
      <w:r w:rsidRPr="007B72C7">
        <w:rPr>
          <w:rFonts w:eastAsia="Times New Roman"/>
          <w:lang w:eastAsia="de-DE"/>
        </w:rPr>
        <w:t xml:space="preserve"> </w:t>
      </w:r>
      <w:proofErr w:type="spellStart"/>
      <w:r w:rsidRPr="007B72C7">
        <w:rPr>
          <w:rFonts w:eastAsia="Times New Roman"/>
          <w:lang w:eastAsia="de-DE"/>
        </w:rPr>
        <w:t>μικρὸν</w:t>
      </w:r>
      <w:proofErr w:type="spellEnd"/>
      <w:r w:rsidRPr="007B72C7">
        <w:rPr>
          <w:rFonts w:eastAsia="Times New Roman"/>
          <w:lang w:eastAsia="de-DE"/>
        </w:rPr>
        <w:t xml:space="preserve"> καὶ κα</w:t>
      </w:r>
      <w:proofErr w:type="spellStart"/>
      <w:r w:rsidRPr="007B72C7">
        <w:rPr>
          <w:rFonts w:eastAsia="Times New Roman"/>
          <w:lang w:eastAsia="de-DE"/>
        </w:rPr>
        <w:t>τὰ</w:t>
      </w:r>
      <w:proofErr w:type="spellEnd"/>
      <w:r w:rsidRPr="007B72C7">
        <w:rPr>
          <w:rFonts w:eastAsia="Times New Roman"/>
          <w:lang w:eastAsia="de-DE"/>
        </w:rPr>
        <w:t xml:space="preserve"> </w:t>
      </w:r>
      <w:proofErr w:type="spellStart"/>
      <w:r w:rsidRPr="007B72C7">
        <w:rPr>
          <w:rFonts w:eastAsia="Times New Roman"/>
          <w:lang w:eastAsia="de-DE"/>
        </w:rPr>
        <w:t>τὸν</w:t>
      </w:r>
      <w:proofErr w:type="spellEnd"/>
      <w:r w:rsidRPr="007B72C7">
        <w:rPr>
          <w:rFonts w:eastAsia="Times New Roman"/>
          <w:lang w:eastAsia="de-DE"/>
        </w:rPr>
        <w:t xml:space="preserve"> </w:t>
      </w:r>
      <w:proofErr w:type="spellStart"/>
      <w:r w:rsidRPr="007B72C7">
        <w:rPr>
          <w:rFonts w:eastAsia="Times New Roman"/>
          <w:lang w:eastAsia="de-DE"/>
        </w:rPr>
        <w:t>μέγ</w:t>
      </w:r>
      <w:proofErr w:type="spellEnd"/>
      <w:r w:rsidRPr="007B72C7">
        <w:rPr>
          <w:rFonts w:eastAsia="Times New Roman"/>
          <w:lang w:eastAsia="de-DE"/>
        </w:rPr>
        <w:t xml:space="preserve">αν </w:t>
      </w:r>
      <w:proofErr w:type="spellStart"/>
      <w:r w:rsidRPr="007B72C7">
        <w:rPr>
          <w:rFonts w:eastAsia="Times New Roman"/>
          <w:lang w:eastAsia="de-DE"/>
        </w:rPr>
        <w:t>κρινεῖτε</w:t>
      </w:r>
      <w:proofErr w:type="spellEnd"/>
      <w:r w:rsidRPr="007B72C7">
        <w:rPr>
          <w:rFonts w:eastAsia="Times New Roman"/>
          <w:lang w:eastAsia="de-DE"/>
        </w:rPr>
        <w:t xml:space="preserve">, </w:t>
      </w:r>
      <w:proofErr w:type="spellStart"/>
      <w:r w:rsidRPr="007B72C7">
        <w:rPr>
          <w:rFonts w:eastAsia="Times New Roman"/>
          <w:lang w:eastAsia="de-DE"/>
        </w:rPr>
        <w:t>οὐ</w:t>
      </w:r>
      <w:proofErr w:type="spellEnd"/>
      <w:r w:rsidRPr="007B72C7">
        <w:rPr>
          <w:rFonts w:eastAsia="Times New Roman"/>
          <w:lang w:eastAsia="de-DE"/>
        </w:rPr>
        <w:t xml:space="preserve"> </w:t>
      </w:r>
      <w:proofErr w:type="spellStart"/>
      <w:r w:rsidRPr="007B72C7">
        <w:rPr>
          <w:rFonts w:eastAsia="Times New Roman"/>
          <w:lang w:eastAsia="de-DE"/>
        </w:rPr>
        <w:t>μὴ</w:t>
      </w:r>
      <w:proofErr w:type="spellEnd"/>
      <w:r w:rsidRPr="007B72C7">
        <w:rPr>
          <w:rFonts w:eastAsia="Times New Roman"/>
          <w:lang w:eastAsia="de-DE"/>
        </w:rPr>
        <w:t xml:space="preserve"> ὑπ</w:t>
      </w:r>
      <w:proofErr w:type="spellStart"/>
      <w:r w:rsidRPr="007B72C7">
        <w:rPr>
          <w:rFonts w:eastAsia="Times New Roman"/>
          <w:lang w:eastAsia="de-DE"/>
        </w:rPr>
        <w:t>οστείλησθε</w:t>
      </w:r>
      <w:proofErr w:type="spellEnd"/>
      <w:r w:rsidRPr="007B72C7">
        <w:rPr>
          <w:rFonts w:eastAsia="Times New Roman"/>
          <w:lang w:eastAsia="de-DE"/>
        </w:rPr>
        <w:t xml:space="preserve"> π</w:t>
      </w:r>
      <w:proofErr w:type="spellStart"/>
      <w:r w:rsidRPr="007B72C7">
        <w:rPr>
          <w:rFonts w:eastAsia="Times New Roman"/>
          <w:lang w:eastAsia="de-DE"/>
        </w:rPr>
        <w:t>ρόσω</w:t>
      </w:r>
      <w:proofErr w:type="spellEnd"/>
      <w:r w:rsidRPr="007B72C7">
        <w:rPr>
          <w:rFonts w:eastAsia="Times New Roman"/>
          <w:lang w:eastAsia="de-DE"/>
        </w:rPr>
        <w:t xml:space="preserve">πον </w:t>
      </w:r>
      <w:proofErr w:type="spellStart"/>
      <w:r w:rsidRPr="007B72C7">
        <w:rPr>
          <w:rFonts w:eastAsia="Times New Roman"/>
          <w:lang w:eastAsia="de-DE"/>
        </w:rPr>
        <w:t>ἀνθρώ</w:t>
      </w:r>
      <w:proofErr w:type="spellEnd"/>
      <w:r w:rsidRPr="007B72C7">
        <w:rPr>
          <w:rFonts w:eastAsia="Times New Roman"/>
          <w:lang w:eastAsia="de-DE"/>
        </w:rPr>
        <w:t xml:space="preserve">που, </w:t>
      </w:r>
      <w:proofErr w:type="spellStart"/>
      <w:r w:rsidRPr="007B72C7">
        <w:rPr>
          <w:rFonts w:eastAsia="Times New Roman"/>
          <w:lang w:eastAsia="de-DE"/>
        </w:rPr>
        <w:t>ὅτι</w:t>
      </w:r>
      <w:proofErr w:type="spellEnd"/>
      <w:r w:rsidRPr="007B72C7">
        <w:rPr>
          <w:rFonts w:eastAsia="Times New Roman"/>
          <w:lang w:eastAsia="de-DE"/>
        </w:rPr>
        <w:t xml:space="preserve"> ἡ </w:t>
      </w:r>
      <w:proofErr w:type="spellStart"/>
      <w:r w:rsidRPr="007B72C7">
        <w:rPr>
          <w:rFonts w:eastAsia="Times New Roman"/>
          <w:lang w:eastAsia="de-DE"/>
        </w:rPr>
        <w:t>κρίσις</w:t>
      </w:r>
      <w:proofErr w:type="spellEnd"/>
      <w:r w:rsidRPr="007B72C7">
        <w:rPr>
          <w:rFonts w:eastAsia="Times New Roman"/>
          <w:lang w:eastAsia="de-DE"/>
        </w:rPr>
        <w:t xml:space="preserve"> </w:t>
      </w:r>
      <w:proofErr w:type="spellStart"/>
      <w:r w:rsidRPr="007B72C7">
        <w:rPr>
          <w:rFonts w:eastAsia="Times New Roman"/>
          <w:lang w:eastAsia="de-DE"/>
        </w:rPr>
        <w:t>τοῦ</w:t>
      </w:r>
      <w:proofErr w:type="spellEnd"/>
      <w:r w:rsidRPr="007B72C7">
        <w:rPr>
          <w:rFonts w:eastAsia="Times New Roman"/>
          <w:lang w:eastAsia="de-DE"/>
        </w:rPr>
        <w:t xml:space="preserve"> </w:t>
      </w:r>
      <w:proofErr w:type="spellStart"/>
      <w:r w:rsidRPr="007B72C7">
        <w:rPr>
          <w:rFonts w:eastAsia="Times New Roman"/>
          <w:lang w:eastAsia="de-DE"/>
        </w:rPr>
        <w:t>θεοῦ</w:t>
      </w:r>
      <w:proofErr w:type="spellEnd"/>
      <w:r w:rsidRPr="007B72C7">
        <w:rPr>
          <w:rFonts w:eastAsia="Times New Roman"/>
          <w:lang w:eastAsia="de-DE"/>
        </w:rPr>
        <w:t xml:space="preserve"> </w:t>
      </w:r>
      <w:proofErr w:type="spellStart"/>
      <w:r w:rsidRPr="007B72C7">
        <w:rPr>
          <w:rFonts w:eastAsia="Times New Roman"/>
          <w:lang w:eastAsia="de-DE"/>
        </w:rPr>
        <w:t>ἐστίν</w:t>
      </w:r>
      <w:proofErr w:type="spellEnd"/>
      <w:r w:rsidRPr="007B72C7">
        <w:rPr>
          <w:rFonts w:eastAsia="Times New Roman"/>
          <w:lang w:eastAsia="de-DE"/>
        </w:rPr>
        <w:t xml:space="preserve">· καὶ </w:t>
      </w:r>
      <w:proofErr w:type="spellStart"/>
      <w:r w:rsidRPr="007B72C7">
        <w:rPr>
          <w:rFonts w:eastAsia="Times New Roman"/>
          <w:lang w:eastAsia="de-DE"/>
        </w:rPr>
        <w:t>τὸ</w:t>
      </w:r>
      <w:proofErr w:type="spellEnd"/>
      <w:r w:rsidRPr="007B72C7">
        <w:rPr>
          <w:rFonts w:eastAsia="Times New Roman"/>
          <w:lang w:eastAsia="de-DE"/>
        </w:rPr>
        <w:t xml:space="preserve"> </w:t>
      </w:r>
      <w:proofErr w:type="spellStart"/>
      <w:r w:rsidRPr="007B72C7">
        <w:rPr>
          <w:rFonts w:eastAsia="Times New Roman"/>
          <w:lang w:eastAsia="de-DE"/>
        </w:rPr>
        <w:t>ῥῆμ</w:t>
      </w:r>
      <w:proofErr w:type="spellEnd"/>
      <w:r w:rsidRPr="007B72C7">
        <w:rPr>
          <w:rFonts w:eastAsia="Times New Roman"/>
          <w:lang w:eastAsia="de-DE"/>
        </w:rPr>
        <w:t xml:space="preserve">α, ὃ </w:t>
      </w:r>
      <w:proofErr w:type="spellStart"/>
      <w:r w:rsidRPr="007B72C7">
        <w:rPr>
          <w:rFonts w:eastAsia="Times New Roman"/>
          <w:lang w:eastAsia="de-DE"/>
        </w:rPr>
        <w:t>ἐὰν</w:t>
      </w:r>
      <w:proofErr w:type="spellEnd"/>
      <w:r w:rsidRPr="007B72C7">
        <w:rPr>
          <w:rFonts w:eastAsia="Times New Roman"/>
          <w:lang w:eastAsia="de-DE"/>
        </w:rPr>
        <w:t xml:space="preserve"> </w:t>
      </w:r>
      <w:proofErr w:type="spellStart"/>
      <w:r w:rsidRPr="007B72C7">
        <w:rPr>
          <w:rFonts w:eastAsia="Times New Roman"/>
          <w:lang w:eastAsia="de-DE"/>
        </w:rPr>
        <w:t>σκληρὸν</w:t>
      </w:r>
      <w:proofErr w:type="spellEnd"/>
      <w:r w:rsidRPr="007B72C7">
        <w:rPr>
          <w:rFonts w:eastAsia="Times New Roman"/>
          <w:lang w:eastAsia="de-DE"/>
        </w:rPr>
        <w:t xml:space="preserve"> ᾖ </w:t>
      </w:r>
      <w:proofErr w:type="spellStart"/>
      <w:r w:rsidRPr="007B72C7">
        <w:rPr>
          <w:rFonts w:eastAsia="Times New Roman"/>
          <w:lang w:eastAsia="de-DE"/>
        </w:rPr>
        <w:t>ἀφ</w:t>
      </w:r>
      <w:proofErr w:type="spellEnd"/>
      <w:r w:rsidRPr="007B72C7">
        <w:rPr>
          <w:rFonts w:eastAsia="Times New Roman"/>
          <w:lang w:eastAsia="de-DE"/>
        </w:rPr>
        <w:t xml:space="preserve">' </w:t>
      </w:r>
      <w:proofErr w:type="spellStart"/>
      <w:r w:rsidRPr="007B72C7">
        <w:rPr>
          <w:rFonts w:eastAsia="Times New Roman"/>
          <w:lang w:eastAsia="de-DE"/>
        </w:rPr>
        <w:t>ὑμῶν</w:t>
      </w:r>
      <w:proofErr w:type="spellEnd"/>
      <w:r w:rsidRPr="007B72C7">
        <w:rPr>
          <w:rFonts w:eastAsia="Times New Roman"/>
          <w:lang w:eastAsia="de-DE"/>
        </w:rPr>
        <w:t xml:space="preserve">, </w:t>
      </w:r>
      <w:proofErr w:type="spellStart"/>
      <w:r w:rsidRPr="007B72C7">
        <w:rPr>
          <w:rFonts w:eastAsia="Times New Roman"/>
          <w:lang w:eastAsia="de-DE"/>
        </w:rPr>
        <w:t>ἀνοίσετε</w:t>
      </w:r>
      <w:proofErr w:type="spellEnd"/>
      <w:r w:rsidRPr="007B72C7">
        <w:rPr>
          <w:rFonts w:eastAsia="Times New Roman"/>
          <w:lang w:eastAsia="de-DE"/>
        </w:rPr>
        <w:t xml:space="preserve"> α</w:t>
      </w:r>
      <w:proofErr w:type="spellStart"/>
      <w:r w:rsidRPr="007B72C7">
        <w:rPr>
          <w:rFonts w:eastAsia="Times New Roman"/>
          <w:lang w:eastAsia="de-DE"/>
        </w:rPr>
        <w:t>ὐτὸ</w:t>
      </w:r>
      <w:proofErr w:type="spellEnd"/>
      <w:r w:rsidRPr="007B72C7">
        <w:rPr>
          <w:rFonts w:eastAsia="Times New Roman"/>
          <w:lang w:eastAsia="de-DE"/>
        </w:rPr>
        <w:t xml:space="preserve"> ἐπ' </w:t>
      </w:r>
      <w:proofErr w:type="spellStart"/>
      <w:r w:rsidRPr="007B72C7">
        <w:rPr>
          <w:rFonts w:eastAsia="Times New Roman"/>
          <w:lang w:eastAsia="de-DE"/>
        </w:rPr>
        <w:t>ἐμέ</w:t>
      </w:r>
      <w:proofErr w:type="spellEnd"/>
      <w:r w:rsidRPr="007B72C7">
        <w:rPr>
          <w:rFonts w:eastAsia="Times New Roman"/>
          <w:lang w:eastAsia="de-DE"/>
        </w:rPr>
        <w:t xml:space="preserve">, καὶ </w:t>
      </w:r>
      <w:proofErr w:type="spellStart"/>
      <w:r w:rsidRPr="007B72C7">
        <w:rPr>
          <w:rFonts w:eastAsia="Times New Roman"/>
          <w:lang w:eastAsia="de-DE"/>
        </w:rPr>
        <w:t>ἀκούσομ</w:t>
      </w:r>
      <w:proofErr w:type="spellEnd"/>
      <w:r w:rsidRPr="007B72C7">
        <w:rPr>
          <w:rFonts w:eastAsia="Times New Roman"/>
          <w:lang w:eastAsia="de-DE"/>
        </w:rPr>
        <w:t>αι α</w:t>
      </w:r>
      <w:proofErr w:type="spellStart"/>
      <w:r w:rsidRPr="007B72C7">
        <w:rPr>
          <w:rFonts w:eastAsia="Times New Roman"/>
          <w:lang w:eastAsia="de-DE"/>
        </w:rPr>
        <w:t>ὐτό</w:t>
      </w:r>
      <w:proofErr w:type="spellEnd"/>
      <w:r w:rsidRPr="007B72C7">
        <w:rPr>
          <w:rFonts w:eastAsia="Times New Roman"/>
          <w:lang w:eastAsia="de-DE"/>
        </w:rPr>
        <w:t>" („Ihr sollt nicht ein Gesicht im Gericht anerkennen, nach dem Kleinen und nach dem Großen sollt ihr richten, ihr sollt nicht zurückweichen vor dem Gesicht eines Menschen, weil das Gericht Gottes ist; und die Sache, die schwer sein mag für euch, sollt ihr zu mir hinaufbringen, und ich werde sie hören"). Die LXX expliziert die Struktur und verwendet Futur für die Imperative.</w:t>
      </w:r>
    </w:p>
    <w:p w14:paraId="7E2FBF75" w14:textId="58092BB1"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lang w:eastAsia="de-DE"/>
        </w:rPr>
        <w:t>Die Satzstruktur ist komplex mit mehreren koordinierten Hauptsätzen: (1) Negierter Imperativ (</w:t>
      </w:r>
      <w:r w:rsidRPr="007B72C7">
        <w:rPr>
          <w:rFonts w:eastAsia="Times New Roman"/>
          <w:b/>
          <w:bCs/>
          <w:rtl/>
          <w:lang w:eastAsia="de-DE"/>
        </w:rPr>
        <w:t>לֹא־תַכִּירוּ פָנִים</w:t>
      </w:r>
      <w:r w:rsidRPr="007B72C7">
        <w:rPr>
          <w:rFonts w:eastAsia="Times New Roman"/>
          <w:lang w:eastAsia="de-DE"/>
        </w:rPr>
        <w:t>) mit Lokalbestimmung (</w:t>
      </w:r>
      <w:r w:rsidRPr="007B72C7">
        <w:rPr>
          <w:rFonts w:eastAsia="Times New Roman"/>
          <w:b/>
          <w:bCs/>
          <w:rtl/>
          <w:lang w:eastAsia="de-DE"/>
        </w:rPr>
        <w:t>בַּמִּשְׁפָּט</w:t>
      </w:r>
      <w:r w:rsidRPr="007B72C7">
        <w:rPr>
          <w:rFonts w:eastAsia="Times New Roman"/>
          <w:lang w:eastAsia="de-DE"/>
        </w:rPr>
        <w:t>); (2) Vergleichssatz (</w:t>
      </w:r>
      <w:r w:rsidRPr="007B72C7">
        <w:rPr>
          <w:rFonts w:eastAsia="Times New Roman"/>
          <w:b/>
          <w:bCs/>
          <w:rtl/>
          <w:lang w:eastAsia="de-DE"/>
        </w:rPr>
        <w:t>כַּקָּטֹן כַּגָּדֹל תִּשְׁמָעוּן</w:t>
      </w:r>
      <w:r w:rsidRPr="007B72C7">
        <w:rPr>
          <w:rFonts w:eastAsia="Times New Roman"/>
          <w:lang w:eastAsia="de-DE"/>
        </w:rPr>
        <w:t>); (3) Weiterer negierter Imperativ (</w:t>
      </w:r>
      <w:r w:rsidRPr="007B72C7">
        <w:rPr>
          <w:rFonts w:eastAsia="Times New Roman"/>
          <w:b/>
          <w:bCs/>
          <w:rtl/>
          <w:lang w:eastAsia="de-DE"/>
        </w:rPr>
        <w:t>לֹא תָגוּרוּ מִפְּנֵי־אִישׁ</w:t>
      </w:r>
      <w:r w:rsidRPr="007B72C7">
        <w:rPr>
          <w:rFonts w:eastAsia="Times New Roman"/>
          <w:lang w:eastAsia="de-DE"/>
        </w:rPr>
        <w:t>) mit kausaler Begründung (</w:t>
      </w:r>
      <w:r w:rsidRPr="007B72C7">
        <w:rPr>
          <w:rFonts w:eastAsia="Times New Roman"/>
          <w:b/>
          <w:bCs/>
          <w:rtl/>
          <w:lang w:eastAsia="de-DE"/>
        </w:rPr>
        <w:t>כִּי הַמִּשְׁפָּט לֵאלֹהִים הוּא</w:t>
      </w:r>
      <w:r w:rsidRPr="007B72C7">
        <w:rPr>
          <w:rFonts w:eastAsia="Times New Roman"/>
          <w:lang w:eastAsia="de-DE"/>
        </w:rPr>
        <w:t xml:space="preserve">); (4) Konditionalsatz mit </w:t>
      </w:r>
      <w:r w:rsidR="00C13523">
        <w:rPr>
          <w:rFonts w:eastAsia="Times New Roman"/>
          <w:lang w:eastAsia="de-DE"/>
        </w:rPr>
        <w:t>Relativ-</w:t>
      </w:r>
      <w:r w:rsidR="00FF2B82">
        <w:rPr>
          <w:rFonts w:eastAsia="Times New Roman"/>
          <w:lang w:eastAsia="de-DE"/>
        </w:rPr>
        <w:t>Konstruktion</w:t>
      </w:r>
      <w:r w:rsidRPr="007B72C7">
        <w:rPr>
          <w:rFonts w:eastAsia="Times New Roman"/>
          <w:lang w:eastAsia="de-DE"/>
        </w:rPr>
        <w:t xml:space="preserve"> (</w:t>
      </w:r>
      <w:r w:rsidRPr="007B72C7">
        <w:rPr>
          <w:rFonts w:eastAsia="Times New Roman"/>
          <w:b/>
          <w:bCs/>
          <w:rtl/>
          <w:lang w:eastAsia="de-DE"/>
        </w:rPr>
        <w:t>וְהַדָּבָר אֲשֶׁר יִקְשֶׁה מִכֶּם</w:t>
      </w:r>
      <w:r w:rsidRPr="007B72C7">
        <w:rPr>
          <w:rFonts w:eastAsia="Times New Roman"/>
          <w:lang w:eastAsia="de-DE"/>
        </w:rPr>
        <w:t>) und zwei koordinierten Prädikaten (</w:t>
      </w:r>
      <w:r w:rsidRPr="007B72C7">
        <w:rPr>
          <w:rFonts w:eastAsia="Times New Roman"/>
          <w:b/>
          <w:bCs/>
          <w:rtl/>
          <w:lang w:eastAsia="de-DE"/>
        </w:rPr>
        <w:t>תַּקְרִבוּן אֵלַי וּשְׁמַעְתִּיו</w:t>
      </w:r>
      <w:r w:rsidRPr="007B72C7">
        <w:rPr>
          <w:rFonts w:eastAsia="Times New Roman"/>
          <w:lang w:eastAsia="de-DE"/>
        </w:rPr>
        <w:t>).</w:t>
      </w:r>
    </w:p>
    <w:p w14:paraId="08D0F41A"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lang w:eastAsia="de-DE"/>
        </w:rPr>
        <w:lastRenderedPageBreak/>
        <w:t>Der Vers formuliert drei zentrale Prinzipien gerechter Rechtsprechung: (1) Unparteilichkeit ohne Ansehen der Person, (2) Furchtlosigkeit, da das Gericht göttliche Autorität hat, (3) ein Eskalationsmechanismus für schwierige Fälle zu Mose selbst. Dies sichert Gerechtigkeit auf allen Ebenen.</w:t>
      </w:r>
    </w:p>
    <w:p w14:paraId="53314204" w14:textId="77777777" w:rsidR="007B72C7" w:rsidRPr="007B72C7" w:rsidRDefault="007B72C7" w:rsidP="007B72C7">
      <w:pPr>
        <w:spacing w:before="100" w:beforeAutospacing="1" w:after="100" w:afterAutospacing="1" w:line="240" w:lineRule="auto"/>
        <w:outlineLvl w:val="1"/>
        <w:rPr>
          <w:rFonts w:eastAsia="Times New Roman"/>
          <w:b/>
          <w:bCs/>
          <w:sz w:val="36"/>
          <w:szCs w:val="36"/>
          <w:lang w:eastAsia="de-DE"/>
        </w:rPr>
      </w:pPr>
      <w:r w:rsidRPr="007B72C7">
        <w:rPr>
          <w:rFonts w:eastAsia="Times New Roman"/>
          <w:b/>
          <w:bCs/>
          <w:sz w:val="36"/>
          <w:szCs w:val="36"/>
          <w:lang w:eastAsia="de-DE"/>
        </w:rPr>
        <w:t>Deuteronomium 1,18</w:t>
      </w:r>
    </w:p>
    <w:p w14:paraId="23BE729D"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Hebräisch:</w:t>
      </w:r>
      <w:r w:rsidRPr="007B72C7">
        <w:rPr>
          <w:rFonts w:eastAsia="Times New Roman"/>
          <w:lang w:eastAsia="de-DE"/>
        </w:rPr>
        <w:t xml:space="preserve"> </w:t>
      </w:r>
      <w:r w:rsidRPr="007B72C7">
        <w:rPr>
          <w:rFonts w:eastAsia="Times New Roman"/>
          <w:rtl/>
          <w:lang w:eastAsia="de-DE"/>
        </w:rPr>
        <w:t>וָאֲצַוֶּ֥ה אֶתְכֶ֖ם בָּעֵ֣ת הַהִ֑וא אֵ֥ת כָּל־הַדְּבָרִ֖ים אֲשֶׁ֥ר תַּעֲשֽׂוּן׃</w:t>
      </w:r>
    </w:p>
    <w:p w14:paraId="5C3FBEBC"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Deutsch:</w:t>
      </w:r>
      <w:r w:rsidRPr="007B72C7">
        <w:rPr>
          <w:rFonts w:eastAsia="Times New Roman"/>
          <w:lang w:eastAsia="de-DE"/>
        </w:rPr>
        <w:t xml:space="preserve"> Und ich gebot euch in jener Zeit all die Dinge, die ihr tun solltet.</w:t>
      </w:r>
    </w:p>
    <w:p w14:paraId="14851A00" w14:textId="77777777" w:rsidR="007B72C7" w:rsidRPr="007B72C7" w:rsidRDefault="004F5CEB" w:rsidP="007B72C7">
      <w:pPr>
        <w:spacing w:after="0" w:line="240" w:lineRule="auto"/>
        <w:rPr>
          <w:rFonts w:eastAsia="Times New Roman"/>
          <w:lang w:eastAsia="de-DE"/>
        </w:rPr>
      </w:pPr>
      <w:r>
        <w:rPr>
          <w:rFonts w:eastAsia="Times New Roman"/>
          <w:noProof/>
          <w:lang w:eastAsia="de-DE"/>
        </w:rPr>
        <w:pict w14:anchorId="6E9A9042">
          <v:rect id="_x0000_i1042" style="width:0;height:1.5pt" o:hralign="center" o:hrstd="t" o:hr="t" fillcolor="#a0a0a0" stroked="f"/>
        </w:pict>
      </w:r>
    </w:p>
    <w:p w14:paraId="51433476" w14:textId="30B5E958"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Kommentar:</w:t>
      </w:r>
      <w:r w:rsidRPr="007B72C7">
        <w:rPr>
          <w:rFonts w:eastAsia="Times New Roman"/>
          <w:lang w:eastAsia="de-DE"/>
        </w:rPr>
        <w:t xml:space="preserve"> </w:t>
      </w:r>
      <w:r w:rsidRPr="007B72C7">
        <w:rPr>
          <w:rFonts w:eastAsia="Times New Roman"/>
          <w:b/>
          <w:bCs/>
          <w:rtl/>
          <w:lang w:eastAsia="de-DE"/>
        </w:rPr>
        <w:t>וָאֲצַוֶּה</w:t>
      </w:r>
      <w:r w:rsidRPr="007B72C7">
        <w:rPr>
          <w:rFonts w:eastAsia="Times New Roman"/>
          <w:rtl/>
          <w:lang w:eastAsia="de-DE"/>
        </w:rPr>
        <w:t xml:space="preserve"> </w:t>
      </w:r>
      <w:r w:rsidRPr="007B72C7">
        <w:rPr>
          <w:rFonts w:eastAsia="Times New Roman"/>
          <w:lang w:eastAsia="de-DE"/>
        </w:rPr>
        <w:t xml:space="preserve">ist Piel Imperfekt consecutivum, 1. Person Singular von </w:t>
      </w:r>
      <w:r w:rsidRPr="007B72C7">
        <w:rPr>
          <w:rFonts w:eastAsia="Times New Roman"/>
          <w:rtl/>
          <w:lang w:eastAsia="de-DE"/>
        </w:rPr>
        <w:t>צוה</w:t>
      </w:r>
      <w:r w:rsidRPr="007B72C7">
        <w:rPr>
          <w:rFonts w:eastAsia="Times New Roman"/>
          <w:lang w:eastAsia="de-DE"/>
        </w:rPr>
        <w:t xml:space="preserve"> mit Waw, identisch mit V. 16. </w:t>
      </w:r>
      <w:r w:rsidRPr="007B72C7">
        <w:rPr>
          <w:rFonts w:eastAsia="Times New Roman"/>
          <w:b/>
          <w:bCs/>
          <w:rtl/>
          <w:lang w:eastAsia="de-DE"/>
        </w:rPr>
        <w:t>אֶתְכֶם</w:t>
      </w:r>
      <w:r w:rsidRPr="007B72C7">
        <w:rPr>
          <w:rFonts w:eastAsia="Times New Roman"/>
          <w:rtl/>
          <w:lang w:eastAsia="de-DE"/>
        </w:rPr>
        <w:t xml:space="preserve"> </w:t>
      </w:r>
      <w:r w:rsidRPr="007B72C7">
        <w:rPr>
          <w:rFonts w:eastAsia="Times New Roman"/>
          <w:lang w:eastAsia="de-DE"/>
        </w:rPr>
        <w:t xml:space="preserve">ist die Objektpartikel </w:t>
      </w:r>
      <w:r w:rsidRPr="007B72C7">
        <w:rPr>
          <w:rFonts w:eastAsia="Times New Roman"/>
          <w:b/>
          <w:bCs/>
          <w:rtl/>
          <w:lang w:eastAsia="de-DE"/>
        </w:rPr>
        <w:t>אֵת</w:t>
      </w:r>
      <w:r w:rsidRPr="007B72C7">
        <w:rPr>
          <w:rFonts w:eastAsia="Times New Roman"/>
          <w:rtl/>
          <w:lang w:eastAsia="de-DE"/>
        </w:rPr>
        <w:t xml:space="preserve"> </w:t>
      </w:r>
      <w:r w:rsidRPr="007B72C7">
        <w:rPr>
          <w:rFonts w:eastAsia="Times New Roman"/>
          <w:lang w:eastAsia="de-DE"/>
        </w:rPr>
        <w:t xml:space="preserve">mit Suffix 2. Person maskulin Plural („euch"). </w:t>
      </w:r>
      <w:r w:rsidRPr="007B72C7">
        <w:rPr>
          <w:rFonts w:eastAsia="Times New Roman"/>
          <w:b/>
          <w:bCs/>
          <w:rtl/>
          <w:lang w:eastAsia="de-DE"/>
        </w:rPr>
        <w:t>בָּעֵת הַהִוא</w:t>
      </w:r>
      <w:r w:rsidRPr="007B72C7">
        <w:rPr>
          <w:rFonts w:eastAsia="Times New Roman"/>
          <w:rtl/>
          <w:lang w:eastAsia="de-DE"/>
        </w:rPr>
        <w:t xml:space="preserve"> </w:t>
      </w:r>
      <w:r w:rsidRPr="007B72C7">
        <w:rPr>
          <w:rFonts w:eastAsia="Times New Roman"/>
          <w:lang w:eastAsia="de-DE"/>
        </w:rPr>
        <w:t xml:space="preserve">ist wieder die temporale Phrase. </w:t>
      </w:r>
      <w:r w:rsidRPr="007B72C7">
        <w:rPr>
          <w:rFonts w:eastAsia="Times New Roman"/>
          <w:b/>
          <w:bCs/>
          <w:rtl/>
          <w:lang w:eastAsia="de-DE"/>
        </w:rPr>
        <w:t>אֵת כָּל־הַדְּבָרִים</w:t>
      </w:r>
      <w:r w:rsidRPr="007B72C7">
        <w:rPr>
          <w:rFonts w:eastAsia="Times New Roman"/>
          <w:rtl/>
          <w:lang w:eastAsia="de-DE"/>
        </w:rPr>
        <w:t xml:space="preserve"> </w:t>
      </w:r>
      <w:r w:rsidRPr="007B72C7">
        <w:rPr>
          <w:rFonts w:eastAsia="Times New Roman"/>
          <w:lang w:eastAsia="de-DE"/>
        </w:rPr>
        <w:t xml:space="preserve">ist die Objektpartikel mit </w:t>
      </w:r>
      <w:r w:rsidRPr="007B72C7">
        <w:rPr>
          <w:rFonts w:eastAsia="Times New Roman"/>
          <w:b/>
          <w:bCs/>
          <w:rtl/>
          <w:lang w:eastAsia="de-DE"/>
        </w:rPr>
        <w:t>כָּל</w:t>
      </w:r>
      <w:r w:rsidRPr="007B72C7">
        <w:rPr>
          <w:rFonts w:eastAsia="Times New Roman"/>
          <w:rtl/>
          <w:lang w:eastAsia="de-DE"/>
        </w:rPr>
        <w:t xml:space="preserve"> </w:t>
      </w:r>
      <w:r w:rsidRPr="007B72C7">
        <w:rPr>
          <w:rFonts w:eastAsia="Times New Roman"/>
          <w:lang w:eastAsia="de-DE"/>
        </w:rPr>
        <w:t xml:space="preserve">im </w:t>
      </w:r>
      <w:r w:rsidR="0032647F">
        <w:rPr>
          <w:rFonts w:eastAsia="Times New Roman"/>
          <w:lang w:eastAsia="de-DE"/>
        </w:rPr>
        <w:t>Construct</w:t>
      </w:r>
      <w:r w:rsidRPr="007B72C7">
        <w:rPr>
          <w:rFonts w:eastAsia="Times New Roman"/>
          <w:lang w:eastAsia="de-DE"/>
        </w:rPr>
        <w:t xml:space="preserve"> und </w:t>
      </w:r>
      <w:r w:rsidRPr="007B72C7">
        <w:rPr>
          <w:rFonts w:eastAsia="Times New Roman"/>
          <w:b/>
          <w:bCs/>
          <w:rtl/>
          <w:lang w:eastAsia="de-DE"/>
        </w:rPr>
        <w:t>הַדְּבָרִים</w:t>
      </w:r>
      <w:r w:rsidRPr="007B72C7">
        <w:rPr>
          <w:rFonts w:eastAsia="Times New Roman"/>
          <w:rtl/>
          <w:lang w:eastAsia="de-DE"/>
        </w:rPr>
        <w:t xml:space="preserve"> </w:t>
      </w:r>
      <w:r w:rsidRPr="007B72C7">
        <w:rPr>
          <w:rFonts w:eastAsia="Times New Roman"/>
          <w:lang w:eastAsia="de-DE"/>
        </w:rPr>
        <w:t xml:space="preserve">(„die Dinge, die Worte, die Angelegenheiten"). </w:t>
      </w:r>
      <w:r w:rsidRPr="007B72C7">
        <w:rPr>
          <w:rFonts w:eastAsia="Times New Roman"/>
          <w:b/>
          <w:bCs/>
          <w:rtl/>
          <w:lang w:eastAsia="de-DE"/>
        </w:rPr>
        <w:t>אֲשֶׁר תַּעֲשׂוּן</w:t>
      </w:r>
      <w:r w:rsidRPr="007B72C7">
        <w:rPr>
          <w:rFonts w:eastAsia="Times New Roman"/>
          <w:rtl/>
          <w:lang w:eastAsia="de-DE"/>
        </w:rPr>
        <w:t xml:space="preserve"> </w:t>
      </w:r>
      <w:r w:rsidRPr="007B72C7">
        <w:rPr>
          <w:rFonts w:eastAsia="Times New Roman"/>
          <w:lang w:eastAsia="de-DE"/>
        </w:rPr>
        <w:t xml:space="preserve">ist ein Relativsatz: </w:t>
      </w:r>
      <w:r w:rsidRPr="007B72C7">
        <w:rPr>
          <w:rFonts w:eastAsia="Times New Roman"/>
          <w:b/>
          <w:bCs/>
          <w:rtl/>
          <w:lang w:eastAsia="de-DE"/>
        </w:rPr>
        <w:t>אֲשֶׁר</w:t>
      </w:r>
      <w:r w:rsidRPr="007B72C7">
        <w:rPr>
          <w:rFonts w:eastAsia="Times New Roman"/>
          <w:rtl/>
          <w:lang w:eastAsia="de-DE"/>
        </w:rPr>
        <w:t xml:space="preserve"> </w:t>
      </w:r>
      <w:r w:rsidRPr="007B72C7">
        <w:rPr>
          <w:rFonts w:eastAsia="Times New Roman"/>
          <w:lang w:eastAsia="de-DE"/>
        </w:rPr>
        <w:t xml:space="preserve">mit </w:t>
      </w:r>
      <w:r w:rsidRPr="007B72C7">
        <w:rPr>
          <w:rFonts w:eastAsia="Times New Roman"/>
          <w:b/>
          <w:bCs/>
          <w:rtl/>
          <w:lang w:eastAsia="de-DE"/>
        </w:rPr>
        <w:t>תַּעֲשׂוּן</w:t>
      </w:r>
      <w:r w:rsidRPr="007B72C7">
        <w:rPr>
          <w:rFonts w:eastAsia="Times New Roman"/>
          <w:rtl/>
          <w:lang w:eastAsia="de-DE"/>
        </w:rPr>
        <w:t xml:space="preserve"> </w:t>
      </w:r>
      <w:r w:rsidRPr="007B72C7">
        <w:rPr>
          <w:rFonts w:eastAsia="Times New Roman"/>
          <w:lang w:eastAsia="de-DE"/>
        </w:rPr>
        <w:t xml:space="preserve">(Qal Imperfekt, 2. Person maskulin Plural von </w:t>
      </w:r>
      <w:r w:rsidRPr="007B72C7">
        <w:rPr>
          <w:rFonts w:eastAsia="Times New Roman"/>
          <w:rtl/>
          <w:lang w:eastAsia="de-DE"/>
        </w:rPr>
        <w:t>עשׂה</w:t>
      </w:r>
      <w:r w:rsidRPr="007B72C7">
        <w:rPr>
          <w:rFonts w:eastAsia="Times New Roman"/>
          <w:lang w:eastAsia="de-DE"/>
        </w:rPr>
        <w:t xml:space="preserve"> mit Nun paragogicum). Das Imperfekt hat hier modale oder futurische Bedeutung („die ihr tun sollt").</w:t>
      </w:r>
    </w:p>
    <w:p w14:paraId="1A407121" w14:textId="767C245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Die LXX</w:t>
      </w:r>
      <w:r w:rsidRPr="007B72C7">
        <w:rPr>
          <w:rFonts w:eastAsia="Times New Roman"/>
          <w:lang w:eastAsia="de-DE"/>
        </w:rPr>
        <w:t xml:space="preserve"> übersetzt „καὶ </w:t>
      </w:r>
      <w:proofErr w:type="spellStart"/>
      <w:r w:rsidRPr="007B72C7">
        <w:rPr>
          <w:rFonts w:eastAsia="Times New Roman"/>
          <w:lang w:eastAsia="de-DE"/>
        </w:rPr>
        <w:t>ἐνετειλάμην</w:t>
      </w:r>
      <w:proofErr w:type="spellEnd"/>
      <w:r w:rsidRPr="007B72C7">
        <w:rPr>
          <w:rFonts w:eastAsia="Times New Roman"/>
          <w:lang w:eastAsia="de-DE"/>
        </w:rPr>
        <w:t xml:space="preserve"> </w:t>
      </w:r>
      <w:proofErr w:type="spellStart"/>
      <w:r w:rsidRPr="007B72C7">
        <w:rPr>
          <w:rFonts w:eastAsia="Times New Roman"/>
          <w:lang w:eastAsia="de-DE"/>
        </w:rPr>
        <w:t>ὑμῖν</w:t>
      </w:r>
      <w:proofErr w:type="spellEnd"/>
      <w:r w:rsidRPr="007B72C7">
        <w:rPr>
          <w:rFonts w:eastAsia="Times New Roman"/>
          <w:lang w:eastAsia="de-DE"/>
        </w:rPr>
        <w:t xml:space="preserve"> </w:t>
      </w:r>
      <w:proofErr w:type="spellStart"/>
      <w:r w:rsidRPr="007B72C7">
        <w:rPr>
          <w:rFonts w:eastAsia="Times New Roman"/>
          <w:lang w:eastAsia="de-DE"/>
        </w:rPr>
        <w:t>ἐν</w:t>
      </w:r>
      <w:proofErr w:type="spellEnd"/>
      <w:r w:rsidRPr="007B72C7">
        <w:rPr>
          <w:rFonts w:eastAsia="Times New Roman"/>
          <w:lang w:eastAsia="de-DE"/>
        </w:rPr>
        <w:t xml:space="preserve"> </w:t>
      </w:r>
      <w:proofErr w:type="spellStart"/>
      <w:r w:rsidRPr="007B72C7">
        <w:rPr>
          <w:rFonts w:eastAsia="Times New Roman"/>
          <w:lang w:eastAsia="de-DE"/>
        </w:rPr>
        <w:t>τῷ</w:t>
      </w:r>
      <w:proofErr w:type="spellEnd"/>
      <w:r w:rsidRPr="007B72C7">
        <w:rPr>
          <w:rFonts w:eastAsia="Times New Roman"/>
          <w:lang w:eastAsia="de-DE"/>
        </w:rPr>
        <w:t xml:space="preserve"> κα</w:t>
      </w:r>
      <w:proofErr w:type="spellStart"/>
      <w:r w:rsidRPr="007B72C7">
        <w:rPr>
          <w:rFonts w:eastAsia="Times New Roman"/>
          <w:lang w:eastAsia="de-DE"/>
        </w:rPr>
        <w:t>ιρῷ</w:t>
      </w:r>
      <w:proofErr w:type="spellEnd"/>
      <w:r w:rsidRPr="007B72C7">
        <w:rPr>
          <w:rFonts w:eastAsia="Times New Roman"/>
          <w:lang w:eastAsia="de-DE"/>
        </w:rPr>
        <w:t xml:space="preserve"> </w:t>
      </w:r>
      <w:proofErr w:type="spellStart"/>
      <w:r w:rsidRPr="007B72C7">
        <w:rPr>
          <w:rFonts w:eastAsia="Times New Roman"/>
          <w:lang w:eastAsia="de-DE"/>
        </w:rPr>
        <w:t>ἐκείνῳ</w:t>
      </w:r>
      <w:proofErr w:type="spellEnd"/>
      <w:r w:rsidRPr="007B72C7">
        <w:rPr>
          <w:rFonts w:eastAsia="Times New Roman"/>
          <w:lang w:eastAsia="de-DE"/>
        </w:rPr>
        <w:t xml:space="preserve"> π</w:t>
      </w:r>
      <w:proofErr w:type="spellStart"/>
      <w:r w:rsidRPr="007B72C7">
        <w:rPr>
          <w:rFonts w:eastAsia="Times New Roman"/>
          <w:lang w:eastAsia="de-DE"/>
        </w:rPr>
        <w:t>άντ</w:t>
      </w:r>
      <w:proofErr w:type="spellEnd"/>
      <w:r w:rsidRPr="007B72C7">
        <w:rPr>
          <w:rFonts w:eastAsia="Times New Roman"/>
          <w:lang w:eastAsia="de-DE"/>
        </w:rPr>
        <w:t xml:space="preserve">ας </w:t>
      </w:r>
      <w:proofErr w:type="spellStart"/>
      <w:r w:rsidRPr="007B72C7">
        <w:rPr>
          <w:rFonts w:eastAsia="Times New Roman"/>
          <w:lang w:eastAsia="de-DE"/>
        </w:rPr>
        <w:t>τοὺς</w:t>
      </w:r>
      <w:proofErr w:type="spellEnd"/>
      <w:r w:rsidRPr="007B72C7">
        <w:rPr>
          <w:rFonts w:eastAsia="Times New Roman"/>
          <w:lang w:eastAsia="de-DE"/>
        </w:rPr>
        <w:t xml:space="preserve"> </w:t>
      </w:r>
      <w:proofErr w:type="spellStart"/>
      <w:r w:rsidRPr="007B72C7">
        <w:rPr>
          <w:rFonts w:eastAsia="Times New Roman"/>
          <w:lang w:eastAsia="de-DE"/>
        </w:rPr>
        <w:t>λόγους</w:t>
      </w:r>
      <w:proofErr w:type="spellEnd"/>
      <w:r w:rsidRPr="007B72C7">
        <w:rPr>
          <w:rFonts w:eastAsia="Times New Roman"/>
          <w:lang w:eastAsia="de-DE"/>
        </w:rPr>
        <w:t xml:space="preserve">, </w:t>
      </w:r>
      <w:proofErr w:type="spellStart"/>
      <w:r w:rsidRPr="007B72C7">
        <w:rPr>
          <w:rFonts w:eastAsia="Times New Roman"/>
          <w:lang w:eastAsia="de-DE"/>
        </w:rPr>
        <w:t>οὓς</w:t>
      </w:r>
      <w:proofErr w:type="spellEnd"/>
      <w:r w:rsidRPr="007B72C7">
        <w:rPr>
          <w:rFonts w:eastAsia="Times New Roman"/>
          <w:lang w:eastAsia="de-DE"/>
        </w:rPr>
        <w:t xml:space="preserve"> π</w:t>
      </w:r>
      <w:proofErr w:type="spellStart"/>
      <w:r w:rsidRPr="007B72C7">
        <w:rPr>
          <w:rFonts w:eastAsia="Times New Roman"/>
          <w:lang w:eastAsia="de-DE"/>
        </w:rPr>
        <w:t>οιήσετε</w:t>
      </w:r>
      <w:proofErr w:type="spellEnd"/>
      <w:r w:rsidRPr="007B72C7">
        <w:rPr>
          <w:rFonts w:eastAsia="Times New Roman"/>
          <w:lang w:eastAsia="de-DE"/>
        </w:rPr>
        <w:t>" („und ich b</w:t>
      </w:r>
      <w:r w:rsidR="00003E41">
        <w:rPr>
          <w:rFonts w:eastAsia="Times New Roman"/>
          <w:lang w:eastAsia="de-DE"/>
        </w:rPr>
        <w:t>ef</w:t>
      </w:r>
      <w:r w:rsidR="00743283">
        <w:rPr>
          <w:rFonts w:eastAsia="Times New Roman"/>
          <w:lang w:eastAsia="de-DE"/>
        </w:rPr>
        <w:t>a</w:t>
      </w:r>
      <w:r w:rsidRPr="007B72C7">
        <w:rPr>
          <w:rFonts w:eastAsia="Times New Roman"/>
          <w:lang w:eastAsia="de-DE"/>
        </w:rPr>
        <w:t>hl euch in jener Zeit alle die Worte, die ihr tun werdet"). Die LXX verwendet Futur für das Imperfekt.</w:t>
      </w:r>
    </w:p>
    <w:p w14:paraId="3540C5CC"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lang w:eastAsia="de-DE"/>
        </w:rPr>
        <w:t xml:space="preserve">Die Satzstruktur ist ein einfacher Hauptsatz mit </w:t>
      </w:r>
      <w:r w:rsidRPr="007B72C7">
        <w:rPr>
          <w:rFonts w:eastAsia="Times New Roman"/>
          <w:b/>
          <w:bCs/>
          <w:rtl/>
          <w:lang w:eastAsia="de-DE"/>
        </w:rPr>
        <w:t>וָאֲצַוֶּה</w:t>
      </w:r>
      <w:r w:rsidRPr="007B72C7">
        <w:rPr>
          <w:rFonts w:eastAsia="Times New Roman"/>
          <w:rtl/>
          <w:lang w:eastAsia="de-DE"/>
        </w:rPr>
        <w:t xml:space="preserve"> </w:t>
      </w:r>
      <w:r w:rsidRPr="007B72C7">
        <w:rPr>
          <w:rFonts w:eastAsia="Times New Roman"/>
          <w:lang w:eastAsia="de-DE"/>
        </w:rPr>
        <w:t xml:space="preserve">als Prädikat, </w:t>
      </w:r>
      <w:r w:rsidRPr="007B72C7">
        <w:rPr>
          <w:rFonts w:eastAsia="Times New Roman"/>
          <w:b/>
          <w:bCs/>
          <w:rtl/>
          <w:lang w:eastAsia="de-DE"/>
        </w:rPr>
        <w:t>אֶתְכֶם</w:t>
      </w:r>
      <w:r w:rsidRPr="007B72C7">
        <w:rPr>
          <w:rFonts w:eastAsia="Times New Roman"/>
          <w:rtl/>
          <w:lang w:eastAsia="de-DE"/>
        </w:rPr>
        <w:t xml:space="preserve"> </w:t>
      </w:r>
      <w:r w:rsidRPr="007B72C7">
        <w:rPr>
          <w:rFonts w:eastAsia="Times New Roman"/>
          <w:lang w:eastAsia="de-DE"/>
        </w:rPr>
        <w:t xml:space="preserve">als Objekt, </w:t>
      </w:r>
      <w:r w:rsidRPr="007B72C7">
        <w:rPr>
          <w:rFonts w:eastAsia="Times New Roman"/>
          <w:b/>
          <w:bCs/>
          <w:rtl/>
          <w:lang w:eastAsia="de-DE"/>
        </w:rPr>
        <w:t>בָּעֵת הַהִוא</w:t>
      </w:r>
      <w:r w:rsidRPr="007B72C7">
        <w:rPr>
          <w:rFonts w:eastAsia="Times New Roman"/>
          <w:rtl/>
          <w:lang w:eastAsia="de-DE"/>
        </w:rPr>
        <w:t xml:space="preserve"> </w:t>
      </w:r>
      <w:r w:rsidRPr="007B72C7">
        <w:rPr>
          <w:rFonts w:eastAsia="Times New Roman"/>
          <w:lang w:eastAsia="de-DE"/>
        </w:rPr>
        <w:t xml:space="preserve">als temporale Bestimmung, und </w:t>
      </w:r>
      <w:r w:rsidRPr="007B72C7">
        <w:rPr>
          <w:rFonts w:eastAsia="Times New Roman"/>
          <w:b/>
          <w:bCs/>
          <w:rtl/>
          <w:lang w:eastAsia="de-DE"/>
        </w:rPr>
        <w:t>אֵת כָּל־הַדְּבָרִים</w:t>
      </w:r>
      <w:r w:rsidRPr="007B72C7">
        <w:rPr>
          <w:rFonts w:eastAsia="Times New Roman"/>
          <w:rtl/>
          <w:lang w:eastAsia="de-DE"/>
        </w:rPr>
        <w:t xml:space="preserve"> </w:t>
      </w:r>
      <w:r w:rsidRPr="007B72C7">
        <w:rPr>
          <w:rFonts w:eastAsia="Times New Roman"/>
          <w:lang w:eastAsia="de-DE"/>
        </w:rPr>
        <w:t>als weiteres Objekt, das durch einen Relativsatz (</w:t>
      </w:r>
      <w:r w:rsidRPr="007B72C7">
        <w:rPr>
          <w:rFonts w:eastAsia="Times New Roman"/>
          <w:b/>
          <w:bCs/>
          <w:rtl/>
          <w:lang w:eastAsia="de-DE"/>
        </w:rPr>
        <w:t>אֲשֶׁר תַּעֲשׂוּן</w:t>
      </w:r>
      <w:r w:rsidRPr="007B72C7">
        <w:rPr>
          <w:rFonts w:eastAsia="Times New Roman"/>
          <w:lang w:eastAsia="de-DE"/>
        </w:rPr>
        <w:t>) näher bestimmt wird.</w:t>
      </w:r>
    </w:p>
    <w:p w14:paraId="10F0EF8A"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lang w:eastAsia="de-DE"/>
        </w:rPr>
        <w:t xml:space="preserve">Der Vers dient als zusammenfassender Abschluss des Abschnitts über die Einsetzung der Richter (V. 9-18) und leitet zum nächsten Thema über: der Reise von Horeb nach Kadesch-Barnea und der </w:t>
      </w:r>
      <w:proofErr w:type="spellStart"/>
      <w:r w:rsidRPr="007B72C7">
        <w:rPr>
          <w:rFonts w:eastAsia="Times New Roman"/>
          <w:lang w:eastAsia="de-DE"/>
        </w:rPr>
        <w:t>Kundschaftererzählung</w:t>
      </w:r>
      <w:proofErr w:type="spellEnd"/>
      <w:r w:rsidRPr="007B72C7">
        <w:rPr>
          <w:rFonts w:eastAsia="Times New Roman"/>
          <w:lang w:eastAsia="de-DE"/>
        </w:rPr>
        <w:t>.</w:t>
      </w:r>
    </w:p>
    <w:p w14:paraId="06223F1A" w14:textId="77777777" w:rsidR="007B72C7" w:rsidRPr="007B72C7" w:rsidRDefault="007B72C7" w:rsidP="007B72C7">
      <w:pPr>
        <w:spacing w:before="100" w:beforeAutospacing="1" w:after="100" w:afterAutospacing="1" w:line="240" w:lineRule="auto"/>
        <w:outlineLvl w:val="1"/>
        <w:rPr>
          <w:rFonts w:eastAsia="Times New Roman"/>
          <w:b/>
          <w:bCs/>
          <w:sz w:val="36"/>
          <w:szCs w:val="36"/>
          <w:lang w:eastAsia="de-DE"/>
        </w:rPr>
      </w:pPr>
      <w:r w:rsidRPr="007B72C7">
        <w:rPr>
          <w:rFonts w:eastAsia="Times New Roman"/>
          <w:b/>
          <w:bCs/>
          <w:sz w:val="36"/>
          <w:szCs w:val="36"/>
          <w:lang w:eastAsia="de-DE"/>
        </w:rPr>
        <w:t>Deuteronomium 1,19</w:t>
      </w:r>
    </w:p>
    <w:p w14:paraId="6ADB843C"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Hebräisch:</w:t>
      </w:r>
      <w:r w:rsidRPr="007B72C7">
        <w:rPr>
          <w:rFonts w:eastAsia="Times New Roman"/>
          <w:lang w:eastAsia="de-DE"/>
        </w:rPr>
        <w:t xml:space="preserve"> </w:t>
      </w:r>
      <w:r w:rsidRPr="007B72C7">
        <w:rPr>
          <w:rFonts w:eastAsia="Times New Roman"/>
          <w:rtl/>
          <w:lang w:eastAsia="de-DE"/>
        </w:rPr>
        <w:t>וַנִּסַּ֣ע מֵחֹרֵ֗ב וַנֵּ֡לֶךְ אֵ֣ת כָּל־הַמִּדְבָּ֣ר הַגָּדוֹל֩ וְהַנּוֹרָ֨א הַה֜וּא אֲשֶׁ֣ר רְאִיתֶ֗ם דֶּ֚רֶךְ הַ֣ר הָֽאֱמֹרִ֔י כַּאֲשֶׁ֥ר צִוָּ֛ה יְהוָ֥ה אֱלֹהֵ֖ינוּ אֹתָ֑נוּ וַנָּבֹ֕א עַ֖ד קָדֵ֥שׁ בַּרְנֵֽעַ׃</w:t>
      </w:r>
    </w:p>
    <w:p w14:paraId="026CF00E" w14:textId="77777777"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Deutsch:</w:t>
      </w:r>
      <w:r w:rsidRPr="007B72C7">
        <w:rPr>
          <w:rFonts w:eastAsia="Times New Roman"/>
          <w:lang w:eastAsia="de-DE"/>
        </w:rPr>
        <w:t xml:space="preserve"> Und wir brachen auf vom Chorev und gingen durch diese ganze große und furchtbare Wüste, die ihr gesehen hattet, auf dem Weg zum Gebirge der Emori, wie der Ewige, unser Gott, uns geboten hatte; und wir kamen bis Kadesch-Barnea.</w:t>
      </w:r>
    </w:p>
    <w:p w14:paraId="2841FF1C" w14:textId="77777777" w:rsidR="007B72C7" w:rsidRPr="007B72C7" w:rsidRDefault="004F5CEB" w:rsidP="007B72C7">
      <w:pPr>
        <w:spacing w:after="0" w:line="240" w:lineRule="auto"/>
        <w:rPr>
          <w:rFonts w:eastAsia="Times New Roman"/>
          <w:lang w:eastAsia="de-DE"/>
        </w:rPr>
      </w:pPr>
      <w:r>
        <w:rPr>
          <w:rFonts w:eastAsia="Times New Roman"/>
          <w:noProof/>
          <w:lang w:eastAsia="de-DE"/>
        </w:rPr>
        <w:pict w14:anchorId="3A9D384D">
          <v:rect id="_x0000_i1043" style="width:0;height:1.5pt" o:hralign="center" o:hrstd="t" o:hr="t" fillcolor="#a0a0a0" stroked="f"/>
        </w:pict>
      </w:r>
    </w:p>
    <w:p w14:paraId="06E4AD98" w14:textId="323ABF1B"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b/>
          <w:bCs/>
          <w:lang w:eastAsia="de-DE"/>
        </w:rPr>
        <w:t>Kommentar:</w:t>
      </w:r>
      <w:r w:rsidRPr="007B72C7">
        <w:rPr>
          <w:rFonts w:eastAsia="Times New Roman"/>
          <w:lang w:eastAsia="de-DE"/>
        </w:rPr>
        <w:t xml:space="preserve"> </w:t>
      </w:r>
      <w:r w:rsidRPr="007B72C7">
        <w:rPr>
          <w:rFonts w:eastAsia="Times New Roman"/>
          <w:b/>
          <w:bCs/>
          <w:rtl/>
          <w:lang w:eastAsia="de-DE"/>
        </w:rPr>
        <w:t>וַנִּסַּע</w:t>
      </w:r>
      <w:r w:rsidRPr="007B72C7">
        <w:rPr>
          <w:rFonts w:eastAsia="Times New Roman"/>
          <w:rtl/>
          <w:lang w:eastAsia="de-DE"/>
        </w:rPr>
        <w:t xml:space="preserve"> </w:t>
      </w:r>
      <w:r w:rsidRPr="007B72C7">
        <w:rPr>
          <w:rFonts w:eastAsia="Times New Roman"/>
          <w:lang w:eastAsia="de-DE"/>
        </w:rPr>
        <w:t xml:space="preserve">ist Qal Imperfekt consecutivum, 1. Person Plural von </w:t>
      </w:r>
      <w:r w:rsidRPr="007B72C7">
        <w:rPr>
          <w:rFonts w:eastAsia="Times New Roman"/>
          <w:rtl/>
          <w:lang w:eastAsia="de-DE"/>
        </w:rPr>
        <w:t>נסע</w:t>
      </w:r>
      <w:r w:rsidRPr="007B72C7">
        <w:rPr>
          <w:rFonts w:eastAsia="Times New Roman"/>
          <w:lang w:eastAsia="de-DE"/>
        </w:rPr>
        <w:t xml:space="preserve"> („aufbrechen, ausziehen") mit Waw. </w:t>
      </w:r>
      <w:r w:rsidRPr="007B72C7">
        <w:rPr>
          <w:rFonts w:eastAsia="Times New Roman"/>
          <w:b/>
          <w:bCs/>
          <w:rtl/>
          <w:lang w:eastAsia="de-DE"/>
        </w:rPr>
        <w:t>מֵחֹרֵב</w:t>
      </w:r>
      <w:r w:rsidRPr="007B72C7">
        <w:rPr>
          <w:rFonts w:eastAsia="Times New Roman"/>
          <w:rtl/>
          <w:lang w:eastAsia="de-DE"/>
        </w:rPr>
        <w:t xml:space="preserve"> </w:t>
      </w:r>
      <w:r w:rsidRPr="007B72C7">
        <w:rPr>
          <w:rFonts w:eastAsia="Times New Roman"/>
          <w:lang w:eastAsia="de-DE"/>
        </w:rPr>
        <w:t xml:space="preserve">ist </w:t>
      </w:r>
      <w:r w:rsidRPr="007B72C7">
        <w:rPr>
          <w:rFonts w:eastAsia="Times New Roman"/>
          <w:b/>
          <w:bCs/>
          <w:rtl/>
          <w:lang w:eastAsia="de-DE"/>
        </w:rPr>
        <w:t>מִן</w:t>
      </w:r>
      <w:r w:rsidRPr="007B72C7">
        <w:rPr>
          <w:rFonts w:eastAsia="Times New Roman"/>
          <w:rtl/>
          <w:lang w:eastAsia="de-DE"/>
        </w:rPr>
        <w:t xml:space="preserve"> </w:t>
      </w:r>
      <w:r w:rsidRPr="007B72C7">
        <w:rPr>
          <w:rFonts w:eastAsia="Times New Roman"/>
          <w:lang w:eastAsia="de-DE"/>
        </w:rPr>
        <w:t xml:space="preserve">mit </w:t>
      </w:r>
      <w:r w:rsidRPr="007B72C7">
        <w:rPr>
          <w:rFonts w:eastAsia="Times New Roman"/>
          <w:b/>
          <w:bCs/>
          <w:rtl/>
          <w:lang w:eastAsia="de-DE"/>
        </w:rPr>
        <w:t>חֹרֵב</w:t>
      </w:r>
      <w:r w:rsidRPr="007B72C7">
        <w:rPr>
          <w:rFonts w:eastAsia="Times New Roman"/>
          <w:lang w:eastAsia="de-DE"/>
        </w:rPr>
        <w:t xml:space="preserve">. </w:t>
      </w:r>
      <w:r w:rsidRPr="007B72C7">
        <w:rPr>
          <w:rFonts w:eastAsia="Times New Roman"/>
          <w:b/>
          <w:bCs/>
          <w:rtl/>
          <w:lang w:eastAsia="de-DE"/>
        </w:rPr>
        <w:t>וַנֵּלֶךְ</w:t>
      </w:r>
      <w:r w:rsidRPr="007B72C7">
        <w:rPr>
          <w:rFonts w:eastAsia="Times New Roman"/>
          <w:rtl/>
          <w:lang w:eastAsia="de-DE"/>
        </w:rPr>
        <w:t xml:space="preserve"> </w:t>
      </w:r>
      <w:r w:rsidRPr="007B72C7">
        <w:rPr>
          <w:rFonts w:eastAsia="Times New Roman"/>
          <w:lang w:eastAsia="de-DE"/>
        </w:rPr>
        <w:t xml:space="preserve">ist Qal Imperfekt consecutivum, 1. Person Plural von </w:t>
      </w:r>
      <w:r w:rsidRPr="007B72C7">
        <w:rPr>
          <w:rFonts w:eastAsia="Times New Roman"/>
          <w:rtl/>
          <w:lang w:eastAsia="de-DE"/>
        </w:rPr>
        <w:t>הלך</w:t>
      </w:r>
      <w:r w:rsidRPr="007B72C7">
        <w:rPr>
          <w:rFonts w:eastAsia="Times New Roman"/>
          <w:lang w:eastAsia="de-DE"/>
        </w:rPr>
        <w:t xml:space="preserve"> („gehen") mit Waw. </w:t>
      </w:r>
      <w:r w:rsidRPr="007B72C7">
        <w:rPr>
          <w:rFonts w:eastAsia="Times New Roman"/>
          <w:b/>
          <w:bCs/>
          <w:rtl/>
          <w:lang w:eastAsia="de-DE"/>
        </w:rPr>
        <w:t>אֵת כָּל־הַמִּדְבָּר הַגָּדוֹל וְהַנּוֹרָא הַהוּא</w:t>
      </w:r>
      <w:r w:rsidRPr="007B72C7">
        <w:rPr>
          <w:rFonts w:eastAsia="Times New Roman"/>
          <w:rtl/>
          <w:lang w:eastAsia="de-DE"/>
        </w:rPr>
        <w:t xml:space="preserve"> </w:t>
      </w:r>
      <w:r w:rsidRPr="007B72C7">
        <w:rPr>
          <w:rFonts w:eastAsia="Times New Roman"/>
          <w:lang w:eastAsia="de-DE"/>
        </w:rPr>
        <w:t xml:space="preserve">ist eine erweiterte Akkusativphrase: </w:t>
      </w:r>
      <w:r w:rsidRPr="007B72C7">
        <w:rPr>
          <w:rFonts w:eastAsia="Times New Roman"/>
          <w:b/>
          <w:bCs/>
          <w:rtl/>
          <w:lang w:eastAsia="de-DE"/>
        </w:rPr>
        <w:t>אֵת</w:t>
      </w:r>
      <w:r w:rsidRPr="007B72C7">
        <w:rPr>
          <w:rFonts w:eastAsia="Times New Roman"/>
          <w:rtl/>
          <w:lang w:eastAsia="de-DE"/>
        </w:rPr>
        <w:t xml:space="preserve"> </w:t>
      </w:r>
      <w:r w:rsidRPr="007B72C7">
        <w:rPr>
          <w:rFonts w:eastAsia="Times New Roman"/>
          <w:lang w:eastAsia="de-DE"/>
        </w:rPr>
        <w:t xml:space="preserve">(hier als Präposition „durch"), </w:t>
      </w:r>
      <w:r w:rsidRPr="007B72C7">
        <w:rPr>
          <w:rFonts w:eastAsia="Times New Roman"/>
          <w:b/>
          <w:bCs/>
          <w:rtl/>
          <w:lang w:eastAsia="de-DE"/>
        </w:rPr>
        <w:t>כָּל</w:t>
      </w:r>
      <w:r w:rsidRPr="007B72C7">
        <w:rPr>
          <w:rFonts w:eastAsia="Times New Roman"/>
          <w:rtl/>
          <w:lang w:eastAsia="de-DE"/>
        </w:rPr>
        <w:t xml:space="preserve"> </w:t>
      </w:r>
      <w:r w:rsidRPr="007B72C7">
        <w:rPr>
          <w:rFonts w:eastAsia="Times New Roman"/>
          <w:lang w:eastAsia="de-DE"/>
        </w:rPr>
        <w:t xml:space="preserve">im </w:t>
      </w:r>
      <w:r w:rsidR="0032647F">
        <w:rPr>
          <w:rFonts w:eastAsia="Times New Roman"/>
          <w:lang w:eastAsia="de-DE"/>
        </w:rPr>
        <w:t>Construct</w:t>
      </w:r>
      <w:r w:rsidRPr="007B72C7">
        <w:rPr>
          <w:rFonts w:eastAsia="Times New Roman"/>
          <w:lang w:eastAsia="de-DE"/>
        </w:rPr>
        <w:t xml:space="preserve">, </w:t>
      </w:r>
      <w:r w:rsidRPr="007B72C7">
        <w:rPr>
          <w:rFonts w:eastAsia="Times New Roman"/>
          <w:b/>
          <w:bCs/>
          <w:rtl/>
          <w:lang w:eastAsia="de-DE"/>
        </w:rPr>
        <w:t>הַמִּדְבָּר</w:t>
      </w:r>
      <w:r w:rsidRPr="007B72C7">
        <w:rPr>
          <w:rFonts w:eastAsia="Times New Roman"/>
          <w:rtl/>
          <w:lang w:eastAsia="de-DE"/>
        </w:rPr>
        <w:t xml:space="preserve"> </w:t>
      </w:r>
      <w:r w:rsidRPr="007B72C7">
        <w:rPr>
          <w:rFonts w:eastAsia="Times New Roman"/>
          <w:lang w:eastAsia="de-DE"/>
        </w:rPr>
        <w:t xml:space="preserve">(„die Wüste"), </w:t>
      </w:r>
      <w:r w:rsidRPr="007B72C7">
        <w:rPr>
          <w:rFonts w:eastAsia="Times New Roman"/>
          <w:lang w:eastAsia="de-DE"/>
        </w:rPr>
        <w:lastRenderedPageBreak/>
        <w:t xml:space="preserve">und zwei Adjektive </w:t>
      </w:r>
      <w:r w:rsidRPr="007B72C7">
        <w:rPr>
          <w:rFonts w:eastAsia="Times New Roman"/>
          <w:b/>
          <w:bCs/>
          <w:rtl/>
          <w:lang w:eastAsia="de-DE"/>
        </w:rPr>
        <w:t>הַגָּדוֹל</w:t>
      </w:r>
      <w:r w:rsidRPr="007B72C7">
        <w:rPr>
          <w:rFonts w:eastAsia="Times New Roman"/>
          <w:rtl/>
          <w:lang w:eastAsia="de-DE"/>
        </w:rPr>
        <w:t xml:space="preserve"> </w:t>
      </w:r>
      <w:r w:rsidRPr="007B72C7">
        <w:rPr>
          <w:rFonts w:eastAsia="Times New Roman"/>
          <w:lang w:eastAsia="de-DE"/>
        </w:rPr>
        <w:t xml:space="preserve">(„der große") und </w:t>
      </w:r>
      <w:r w:rsidRPr="007B72C7">
        <w:rPr>
          <w:rFonts w:eastAsia="Times New Roman"/>
          <w:b/>
          <w:bCs/>
          <w:rtl/>
          <w:lang w:eastAsia="de-DE"/>
        </w:rPr>
        <w:t>הַנּוֹרָא</w:t>
      </w:r>
      <w:r w:rsidRPr="007B72C7">
        <w:rPr>
          <w:rFonts w:eastAsia="Times New Roman"/>
          <w:rtl/>
          <w:lang w:eastAsia="de-DE"/>
        </w:rPr>
        <w:t xml:space="preserve"> </w:t>
      </w:r>
      <w:r w:rsidRPr="007B72C7">
        <w:rPr>
          <w:rFonts w:eastAsia="Times New Roman"/>
          <w:lang w:eastAsia="de-DE"/>
        </w:rPr>
        <w:t xml:space="preserve">(Nif'al Partizip von </w:t>
      </w:r>
      <w:r w:rsidRPr="007B72C7">
        <w:rPr>
          <w:rFonts w:eastAsia="Times New Roman"/>
          <w:rtl/>
          <w:lang w:eastAsia="de-DE"/>
        </w:rPr>
        <w:t>ירא</w:t>
      </w:r>
      <w:r w:rsidRPr="007B72C7">
        <w:rPr>
          <w:rFonts w:eastAsia="Times New Roman"/>
          <w:lang w:eastAsia="de-DE"/>
        </w:rPr>
        <w:t xml:space="preserve"> „fürchten", also „der furchtbare, der Furcht erregende"), sowie das Demonstrativpronomen </w:t>
      </w:r>
      <w:r w:rsidRPr="007B72C7">
        <w:rPr>
          <w:rFonts w:eastAsia="Times New Roman"/>
          <w:b/>
          <w:bCs/>
          <w:rtl/>
          <w:lang w:eastAsia="de-DE"/>
        </w:rPr>
        <w:t>הַהוּא</w:t>
      </w:r>
      <w:r w:rsidRPr="007B72C7">
        <w:rPr>
          <w:rFonts w:eastAsia="Times New Roman"/>
          <w:rtl/>
          <w:lang w:eastAsia="de-DE"/>
        </w:rPr>
        <w:t xml:space="preserve"> </w:t>
      </w:r>
      <w:r w:rsidRPr="007B72C7">
        <w:rPr>
          <w:rFonts w:eastAsia="Times New Roman"/>
          <w:lang w:eastAsia="de-DE"/>
        </w:rPr>
        <w:t>(„jene").</w:t>
      </w:r>
    </w:p>
    <w:p w14:paraId="0DE4513A" w14:textId="4330310E" w:rsidR="007B72C7" w:rsidRPr="007B72C7" w:rsidRDefault="007B72C7" w:rsidP="007B72C7">
      <w:pPr>
        <w:spacing w:before="100" w:beforeAutospacing="1" w:after="100" w:afterAutospacing="1" w:line="240" w:lineRule="auto"/>
        <w:rPr>
          <w:rFonts w:eastAsia="Times New Roman"/>
          <w:lang w:eastAsia="de-DE"/>
        </w:rPr>
      </w:pPr>
      <w:r w:rsidRPr="007B72C7">
        <w:rPr>
          <w:rFonts w:eastAsia="Times New Roman"/>
          <w:lang w:eastAsia="de-DE"/>
        </w:rPr>
        <w:t xml:space="preserve">Der Relativsatz </w:t>
      </w:r>
      <w:r w:rsidRPr="007B72C7">
        <w:rPr>
          <w:rFonts w:eastAsia="Times New Roman"/>
          <w:b/>
          <w:bCs/>
          <w:rtl/>
          <w:lang w:eastAsia="de-DE"/>
        </w:rPr>
        <w:t>אֲשֶׁר רְאִיתֶם</w:t>
      </w:r>
      <w:r w:rsidRPr="007B72C7">
        <w:rPr>
          <w:rFonts w:eastAsia="Times New Roman"/>
          <w:rtl/>
          <w:lang w:eastAsia="de-DE"/>
        </w:rPr>
        <w:t xml:space="preserve"> </w:t>
      </w:r>
      <w:r w:rsidRPr="007B72C7">
        <w:rPr>
          <w:rFonts w:eastAsia="Times New Roman"/>
          <w:lang w:eastAsia="de-DE"/>
        </w:rPr>
        <w:t xml:space="preserve">hat </w:t>
      </w:r>
      <w:r w:rsidRPr="007B72C7">
        <w:rPr>
          <w:rFonts w:eastAsia="Times New Roman"/>
          <w:b/>
          <w:bCs/>
          <w:rtl/>
          <w:lang w:eastAsia="de-DE"/>
        </w:rPr>
        <w:t>רְאִיתֶם</w:t>
      </w:r>
      <w:r w:rsidRPr="007B72C7">
        <w:rPr>
          <w:rFonts w:eastAsia="Times New Roman"/>
          <w:rtl/>
          <w:lang w:eastAsia="de-DE"/>
        </w:rPr>
        <w:t xml:space="preserve"> </w:t>
      </w:r>
      <w:r w:rsidRPr="007B72C7">
        <w:rPr>
          <w:rFonts w:eastAsia="Times New Roman"/>
          <w:lang w:eastAsia="de-DE"/>
        </w:rPr>
        <w:t xml:space="preserve">als Qal Perfekt, 2. Person maskulin Plural von </w:t>
      </w:r>
      <w:r w:rsidRPr="007B72C7">
        <w:rPr>
          <w:rFonts w:eastAsia="Times New Roman"/>
          <w:rtl/>
          <w:lang w:eastAsia="de-DE"/>
        </w:rPr>
        <w:t>ראה</w:t>
      </w:r>
      <w:r w:rsidRPr="007B72C7">
        <w:rPr>
          <w:rFonts w:eastAsia="Times New Roman"/>
          <w:lang w:eastAsia="de-DE"/>
        </w:rPr>
        <w:t xml:space="preserve"> („sehen"). </w:t>
      </w:r>
      <w:r w:rsidRPr="007B72C7">
        <w:rPr>
          <w:rFonts w:eastAsia="Times New Roman"/>
          <w:b/>
          <w:bCs/>
          <w:rtl/>
          <w:lang w:eastAsia="de-DE"/>
        </w:rPr>
        <w:t>דֶּרֶךְ הַר הָאֱמֹרִי</w:t>
      </w:r>
      <w:r w:rsidRPr="007B72C7">
        <w:rPr>
          <w:rFonts w:eastAsia="Times New Roman"/>
          <w:rtl/>
          <w:lang w:eastAsia="de-DE"/>
        </w:rPr>
        <w:t xml:space="preserve"> </w:t>
      </w:r>
      <w:r w:rsidRPr="007B72C7">
        <w:rPr>
          <w:rFonts w:eastAsia="Times New Roman"/>
          <w:lang w:eastAsia="de-DE"/>
        </w:rPr>
        <w:t xml:space="preserve">ist eine Akkusativphrase der Art und Weise: </w:t>
      </w:r>
      <w:r w:rsidRPr="007B72C7">
        <w:rPr>
          <w:rFonts w:eastAsia="Times New Roman"/>
          <w:b/>
          <w:bCs/>
          <w:rtl/>
          <w:lang w:eastAsia="de-DE"/>
        </w:rPr>
        <w:t>דֶּרֶךְ</w:t>
      </w:r>
      <w:r w:rsidRPr="007B72C7">
        <w:rPr>
          <w:rFonts w:eastAsia="Times New Roman"/>
          <w:rtl/>
          <w:lang w:eastAsia="de-DE"/>
        </w:rPr>
        <w:t xml:space="preserve"> </w:t>
      </w:r>
      <w:r w:rsidRPr="007B72C7">
        <w:rPr>
          <w:rFonts w:eastAsia="Times New Roman"/>
          <w:lang w:eastAsia="de-DE"/>
        </w:rPr>
        <w:t xml:space="preserve">(„Weg") im </w:t>
      </w:r>
      <w:r w:rsidR="0032647F">
        <w:rPr>
          <w:rFonts w:eastAsia="Times New Roman"/>
          <w:lang w:eastAsia="de-DE"/>
        </w:rPr>
        <w:t>Construct</w:t>
      </w:r>
      <w:r w:rsidRPr="007B72C7">
        <w:rPr>
          <w:rFonts w:eastAsia="Times New Roman"/>
          <w:lang w:eastAsia="de-DE"/>
        </w:rPr>
        <w:t xml:space="preserve"> mit </w:t>
      </w:r>
      <w:r w:rsidRPr="007B72C7">
        <w:rPr>
          <w:rFonts w:eastAsia="Times New Roman"/>
          <w:b/>
          <w:bCs/>
          <w:rtl/>
          <w:lang w:eastAsia="de-DE"/>
        </w:rPr>
        <w:t>הַר הָאֱמֹרִי</w:t>
      </w:r>
      <w:r w:rsidRPr="007B72C7">
        <w:rPr>
          <w:rFonts w:eastAsia="Times New Roman"/>
          <w:rtl/>
          <w:lang w:eastAsia="de-DE"/>
        </w:rPr>
        <w:t xml:space="preserve"> </w:t>
      </w:r>
      <w:r w:rsidRPr="007B72C7">
        <w:rPr>
          <w:rFonts w:eastAsia="Times New Roman"/>
          <w:lang w:eastAsia="de-DE"/>
        </w:rPr>
        <w:t xml:space="preserve">(„das Gebirge der Amoriter"). </w:t>
      </w:r>
      <w:r w:rsidRPr="007B72C7">
        <w:rPr>
          <w:rFonts w:eastAsia="Times New Roman"/>
          <w:b/>
          <w:bCs/>
          <w:rtl/>
          <w:lang w:eastAsia="de-DE"/>
        </w:rPr>
        <w:t>כַּאֲשֶׁר צִוָּה יְהוָה אֱלֹהֵינוּ אֹתָנוּ</w:t>
      </w:r>
      <w:r w:rsidRPr="007B72C7">
        <w:rPr>
          <w:rFonts w:eastAsia="Times New Roman"/>
          <w:rtl/>
          <w:lang w:eastAsia="de-DE"/>
        </w:rPr>
        <w:t xml:space="preserve"> </w:t>
      </w:r>
      <w:r w:rsidRPr="007B72C7">
        <w:rPr>
          <w:rFonts w:eastAsia="Times New Roman"/>
          <w:lang w:eastAsia="de-DE"/>
        </w:rPr>
        <w:t xml:space="preserve">ist ein Vergleichssatz: </w:t>
      </w:r>
      <w:r w:rsidRPr="007B72C7">
        <w:rPr>
          <w:rFonts w:eastAsia="Times New Roman"/>
          <w:b/>
          <w:bCs/>
          <w:rtl/>
          <w:lang w:eastAsia="de-DE"/>
        </w:rPr>
        <w:t>כַּאֲשֶׁר</w:t>
      </w:r>
      <w:r w:rsidRPr="007B72C7">
        <w:rPr>
          <w:rFonts w:eastAsia="Times New Roman"/>
          <w:rtl/>
          <w:lang w:eastAsia="de-DE"/>
        </w:rPr>
        <w:t xml:space="preserve"> </w:t>
      </w:r>
      <w:r w:rsidRPr="007B72C7">
        <w:rPr>
          <w:rFonts w:eastAsia="Times New Roman"/>
          <w:lang w:eastAsia="de-DE"/>
        </w:rPr>
        <w:t xml:space="preserve">(„wie, gemäß wie"), </w:t>
      </w:r>
      <w:r w:rsidRPr="007B72C7">
        <w:rPr>
          <w:rFonts w:eastAsia="Times New Roman"/>
          <w:b/>
          <w:bCs/>
          <w:rtl/>
          <w:lang w:eastAsia="de-DE"/>
        </w:rPr>
        <w:t>צִוָּה</w:t>
      </w:r>
      <w:r w:rsidRPr="007B72C7">
        <w:rPr>
          <w:rFonts w:eastAsia="Times New Roman"/>
          <w:rtl/>
          <w:lang w:eastAsia="de-DE"/>
        </w:rPr>
        <w:t xml:space="preserve"> </w:t>
      </w:r>
      <w:r w:rsidRPr="007B72C7">
        <w:rPr>
          <w:rFonts w:eastAsia="Times New Roman"/>
          <w:lang w:eastAsia="de-DE"/>
        </w:rPr>
        <w:t xml:space="preserve">(Piel Perfekt, 3. Person maskulin Singular von </w:t>
      </w:r>
      <w:r w:rsidRPr="007B72C7">
        <w:rPr>
          <w:rFonts w:eastAsia="Times New Roman"/>
          <w:rtl/>
          <w:lang w:eastAsia="de-DE"/>
        </w:rPr>
        <w:t>צוה</w:t>
      </w:r>
      <w:r w:rsidRPr="007B72C7">
        <w:rPr>
          <w:rFonts w:eastAsia="Times New Roman"/>
          <w:lang w:eastAsia="de-DE"/>
        </w:rPr>
        <w:t xml:space="preserve">), </w:t>
      </w:r>
      <w:r w:rsidRPr="007B72C7">
        <w:rPr>
          <w:rFonts w:eastAsia="Times New Roman"/>
          <w:b/>
          <w:bCs/>
          <w:rtl/>
          <w:lang w:eastAsia="de-DE"/>
        </w:rPr>
        <w:t>יְהוָה אֱלֹהֵינוּ</w:t>
      </w:r>
      <w:r w:rsidRPr="007B72C7">
        <w:rPr>
          <w:rFonts w:eastAsia="Times New Roman"/>
          <w:rtl/>
          <w:lang w:eastAsia="de-DE"/>
        </w:rPr>
        <w:t xml:space="preserve"> </w:t>
      </w:r>
      <w:r w:rsidRPr="007B72C7">
        <w:rPr>
          <w:rFonts w:eastAsia="Times New Roman"/>
          <w:lang w:eastAsia="de-DE"/>
        </w:rPr>
        <w:t xml:space="preserve">als Subjekt, und </w:t>
      </w:r>
      <w:r w:rsidRPr="007B72C7">
        <w:rPr>
          <w:rFonts w:eastAsia="Times New Roman"/>
          <w:b/>
          <w:bCs/>
          <w:rtl/>
          <w:lang w:eastAsia="de-DE"/>
        </w:rPr>
        <w:t>אֹתָנוּ</w:t>
      </w:r>
      <w:r w:rsidRPr="007B72C7">
        <w:rPr>
          <w:rFonts w:eastAsia="Times New Roman"/>
          <w:rtl/>
          <w:lang w:eastAsia="de-DE"/>
        </w:rPr>
        <w:t xml:space="preserve"> </w:t>
      </w:r>
      <w:r w:rsidRPr="007B72C7">
        <w:rPr>
          <w:rFonts w:eastAsia="Times New Roman"/>
          <w:lang w:eastAsia="de-DE"/>
        </w:rPr>
        <w:t>(Objektpartikel mit Suffix 1. Person Plural „uns").</w:t>
      </w:r>
    </w:p>
    <w:p w14:paraId="3FEC8297" w14:textId="77777777" w:rsidR="007B72C7" w:rsidRDefault="007B72C7" w:rsidP="007B72C7">
      <w:r w:rsidRPr="007B72C7">
        <w:rPr>
          <w:b/>
          <w:bCs/>
          <w:rtl/>
        </w:rPr>
        <w:t>וַנָּבֹא</w:t>
      </w:r>
      <w:r w:rsidRPr="007B72C7">
        <w:rPr>
          <w:rtl/>
        </w:rPr>
        <w:t xml:space="preserve"> </w:t>
      </w:r>
      <w:r w:rsidRPr="007B72C7">
        <w:t xml:space="preserve">ist Qal Imperfekt consecutivum, 1. Person Plural von </w:t>
      </w:r>
      <w:r w:rsidRPr="007B72C7">
        <w:rPr>
          <w:rtl/>
        </w:rPr>
        <w:t>בוא</w:t>
      </w:r>
      <w:r w:rsidRPr="007B72C7">
        <w:t xml:space="preserve"> („kommen") mit Waw. </w:t>
      </w:r>
      <w:r w:rsidRPr="007B72C7">
        <w:rPr>
          <w:b/>
          <w:bCs/>
          <w:rtl/>
        </w:rPr>
        <w:t>עַד קָדֵשׁ בַּרְנֵעַ</w:t>
      </w:r>
      <w:r w:rsidRPr="007B72C7">
        <w:rPr>
          <w:rtl/>
        </w:rPr>
        <w:t xml:space="preserve"> </w:t>
      </w:r>
      <w:r w:rsidRPr="007B72C7">
        <w:t>ist</w:t>
      </w:r>
      <w:r>
        <w:t xml:space="preserve"> </w:t>
      </w:r>
      <w:r>
        <w:rPr>
          <w:rStyle w:val="berschrift3Zchn"/>
          <w:rtl/>
        </w:rPr>
        <w:t>עַד</w:t>
      </w:r>
      <w:r>
        <w:rPr>
          <w:rtl/>
        </w:rPr>
        <w:t xml:space="preserve"> </w:t>
      </w:r>
      <w:r>
        <w:t xml:space="preserve">(„bis") mit dem zusammengesetzten Ortsnamen </w:t>
      </w:r>
      <w:r>
        <w:rPr>
          <w:rStyle w:val="berschrift3Zchn"/>
          <w:rtl/>
        </w:rPr>
        <w:t>קָדֵשׁ בַּרְנֵעַ</w:t>
      </w:r>
      <w:r>
        <w:rPr>
          <w:rtl/>
        </w:rPr>
        <w:t xml:space="preserve"> </w:t>
      </w:r>
      <w:r>
        <w:t>(„Kadesch-Barnea").</w:t>
      </w:r>
    </w:p>
    <w:p w14:paraId="6F5ABAB0" w14:textId="77777777" w:rsidR="007B72C7" w:rsidRDefault="007B72C7" w:rsidP="007B72C7">
      <w:r>
        <w:rPr>
          <w:rStyle w:val="berschrift3Zchn"/>
        </w:rPr>
        <w:t>Die LXX</w:t>
      </w:r>
      <w:r>
        <w:t xml:space="preserve"> übersetzt „καὶ ἀπ</w:t>
      </w:r>
      <w:proofErr w:type="spellStart"/>
      <w:r>
        <w:t>άρ</w:t>
      </w:r>
      <w:proofErr w:type="spellEnd"/>
      <w:r>
        <w:t xml:space="preserve">αντες </w:t>
      </w:r>
      <w:proofErr w:type="spellStart"/>
      <w:r>
        <w:t>ἐκ</w:t>
      </w:r>
      <w:proofErr w:type="spellEnd"/>
      <w:r>
        <w:t xml:space="preserve"> </w:t>
      </w:r>
      <w:proofErr w:type="spellStart"/>
      <w:r>
        <w:t>Χωρη</w:t>
      </w:r>
      <w:proofErr w:type="spellEnd"/>
      <w:r>
        <w:t>β ἐπ</w:t>
      </w:r>
      <w:proofErr w:type="spellStart"/>
      <w:r>
        <w:t>ορεύθημεν</w:t>
      </w:r>
      <w:proofErr w:type="spellEnd"/>
      <w:r>
        <w:t xml:space="preserve"> π</w:t>
      </w:r>
      <w:proofErr w:type="spellStart"/>
      <w:r>
        <w:t>ᾶσ</w:t>
      </w:r>
      <w:proofErr w:type="spellEnd"/>
      <w:r>
        <w:t xml:space="preserve">αν τὴν </w:t>
      </w:r>
      <w:proofErr w:type="spellStart"/>
      <w:r>
        <w:t>ἔρημον</w:t>
      </w:r>
      <w:proofErr w:type="spellEnd"/>
      <w:r>
        <w:t xml:space="preserve"> τὴν </w:t>
      </w:r>
      <w:proofErr w:type="spellStart"/>
      <w:r>
        <w:t>μεγάλην</w:t>
      </w:r>
      <w:proofErr w:type="spellEnd"/>
      <w:r>
        <w:t xml:space="preserve"> καὶ τὴν </w:t>
      </w:r>
      <w:proofErr w:type="spellStart"/>
      <w:r>
        <w:t>φο</w:t>
      </w:r>
      <w:proofErr w:type="spellEnd"/>
      <w:r>
        <w:t xml:space="preserve">βερὰν </w:t>
      </w:r>
      <w:proofErr w:type="spellStart"/>
      <w:r>
        <w:t>ἐκείνην</w:t>
      </w:r>
      <w:proofErr w:type="spellEnd"/>
      <w:r>
        <w:t xml:space="preserve">, </w:t>
      </w:r>
      <w:proofErr w:type="spellStart"/>
      <w:r>
        <w:t>ἣν</w:t>
      </w:r>
      <w:proofErr w:type="spellEnd"/>
      <w:r>
        <w:t xml:space="preserve"> </w:t>
      </w:r>
      <w:proofErr w:type="spellStart"/>
      <w:r>
        <w:t>εἴδετε</w:t>
      </w:r>
      <w:proofErr w:type="spellEnd"/>
      <w:r>
        <w:t xml:space="preserve">, </w:t>
      </w:r>
      <w:proofErr w:type="spellStart"/>
      <w:r>
        <w:t>ὁδὸν</w:t>
      </w:r>
      <w:proofErr w:type="spellEnd"/>
      <w:r>
        <w:t xml:space="preserve"> </w:t>
      </w:r>
      <w:proofErr w:type="spellStart"/>
      <w:r>
        <w:t>τοῦ</w:t>
      </w:r>
      <w:proofErr w:type="spellEnd"/>
      <w:r>
        <w:t xml:space="preserve"> </w:t>
      </w:r>
      <w:proofErr w:type="spellStart"/>
      <w:r>
        <w:t>ὄρους</w:t>
      </w:r>
      <w:proofErr w:type="spellEnd"/>
      <w:r>
        <w:t xml:space="preserve"> </w:t>
      </w:r>
      <w:proofErr w:type="spellStart"/>
      <w:r>
        <w:t>τοῦ</w:t>
      </w:r>
      <w:proofErr w:type="spellEnd"/>
      <w:r>
        <w:t xml:space="preserve"> </w:t>
      </w:r>
      <w:proofErr w:type="spellStart"/>
      <w:r>
        <w:t>Αμορρ</w:t>
      </w:r>
      <w:proofErr w:type="spellEnd"/>
      <w:r>
        <w:t>αίου, κα</w:t>
      </w:r>
      <w:proofErr w:type="spellStart"/>
      <w:r>
        <w:t>θότι</w:t>
      </w:r>
      <w:proofErr w:type="spellEnd"/>
      <w:r>
        <w:t xml:space="preserve"> </w:t>
      </w:r>
      <w:proofErr w:type="spellStart"/>
      <w:r>
        <w:t>ἐνετείλ</w:t>
      </w:r>
      <w:proofErr w:type="spellEnd"/>
      <w:r>
        <w:t xml:space="preserve">ατο </w:t>
      </w:r>
      <w:proofErr w:type="spellStart"/>
      <w:r>
        <w:t>κύριος</w:t>
      </w:r>
      <w:proofErr w:type="spellEnd"/>
      <w:r>
        <w:t xml:space="preserve"> ὁ </w:t>
      </w:r>
      <w:proofErr w:type="spellStart"/>
      <w:r>
        <w:t>θεὸς</w:t>
      </w:r>
      <w:proofErr w:type="spellEnd"/>
      <w:r>
        <w:t xml:space="preserve"> </w:t>
      </w:r>
      <w:proofErr w:type="spellStart"/>
      <w:r>
        <w:t>ἡμῶν</w:t>
      </w:r>
      <w:proofErr w:type="spellEnd"/>
      <w:r>
        <w:t xml:space="preserve"> </w:t>
      </w:r>
      <w:proofErr w:type="spellStart"/>
      <w:r>
        <w:t>ἡμῖν</w:t>
      </w:r>
      <w:proofErr w:type="spellEnd"/>
      <w:r>
        <w:t xml:space="preserve">, καὶ </w:t>
      </w:r>
      <w:proofErr w:type="spellStart"/>
      <w:r>
        <w:t>ἤλθομεν</w:t>
      </w:r>
      <w:proofErr w:type="spellEnd"/>
      <w:r>
        <w:t xml:space="preserve"> </w:t>
      </w:r>
      <w:proofErr w:type="spellStart"/>
      <w:r>
        <w:t>ἕως</w:t>
      </w:r>
      <w:proofErr w:type="spellEnd"/>
      <w:r>
        <w:t xml:space="preserve"> Κα</w:t>
      </w:r>
      <w:proofErr w:type="spellStart"/>
      <w:r>
        <w:t>δης</w:t>
      </w:r>
      <w:proofErr w:type="spellEnd"/>
      <w:r>
        <w:t xml:space="preserve"> Βα</w:t>
      </w:r>
      <w:proofErr w:type="spellStart"/>
      <w:r>
        <w:t>ρνη</w:t>
      </w:r>
      <w:proofErr w:type="spellEnd"/>
      <w:r>
        <w:t xml:space="preserve">" („und aufbrechend von Horeb zogen wir durch die ganze Wüste, die große und furchtbare jene, die ihr saht, den Weg des Gebirges der Amoriter, wie befohlen hatte der Herr, unser Gott, uns, und wir kamen bis Kades </w:t>
      </w:r>
      <w:proofErr w:type="spellStart"/>
      <w:r>
        <w:t>Barne</w:t>
      </w:r>
      <w:proofErr w:type="spellEnd"/>
      <w:r>
        <w:t>"). Die LXX gibt die Struktur präzise wieder und verwendet „</w:t>
      </w:r>
      <w:proofErr w:type="spellStart"/>
      <w:r>
        <w:t>φο</w:t>
      </w:r>
      <w:proofErr w:type="spellEnd"/>
      <w:r>
        <w:t xml:space="preserve">βερός" („furchtbar, schrecklich") für </w:t>
      </w:r>
      <w:r>
        <w:rPr>
          <w:rStyle w:val="berschrift3Zchn"/>
          <w:rtl/>
        </w:rPr>
        <w:t>נוֹרָא</w:t>
      </w:r>
      <w:r>
        <w:t>.</w:t>
      </w:r>
    </w:p>
    <w:p w14:paraId="06B8D7FE" w14:textId="77777777" w:rsidR="007B72C7" w:rsidRDefault="007B72C7" w:rsidP="007B72C7">
      <w:r>
        <w:t xml:space="preserve">Die Satzstruktur besteht aus drei koordinierten Hauptsätzen mit Waw consecutivum: (1) </w:t>
      </w:r>
      <w:r>
        <w:rPr>
          <w:rStyle w:val="berschrift3Zchn"/>
          <w:rtl/>
        </w:rPr>
        <w:t>וַנִּסַּע מֵחֹרֵב</w:t>
      </w:r>
      <w:r>
        <w:t xml:space="preserve">, (2) </w:t>
      </w:r>
      <w:r>
        <w:rPr>
          <w:rStyle w:val="berschrift3Zchn"/>
          <w:rtl/>
        </w:rPr>
        <w:t>וַנֵּלֶךְ</w:t>
      </w:r>
      <w:r>
        <w:rPr>
          <w:rtl/>
        </w:rPr>
        <w:t xml:space="preserve"> </w:t>
      </w:r>
      <w:r>
        <w:t>mit ausführlichem Akkusativobjekt (</w:t>
      </w:r>
      <w:r>
        <w:rPr>
          <w:rStyle w:val="berschrift3Zchn"/>
          <w:rtl/>
        </w:rPr>
        <w:t>אֵת כָּל־הַמִּדְבָּר</w:t>
      </w:r>
      <w:r>
        <w:t>...), das durch einen Relativsatz (</w:t>
      </w:r>
      <w:r>
        <w:rPr>
          <w:rStyle w:val="berschrift3Zchn"/>
          <w:rtl/>
        </w:rPr>
        <w:t>אֲשֶׁר רְאִיתֶם</w:t>
      </w:r>
      <w:r>
        <w:t>), eine Wegangabe (</w:t>
      </w:r>
      <w:r>
        <w:rPr>
          <w:rStyle w:val="berschrift3Zchn"/>
          <w:rtl/>
        </w:rPr>
        <w:t>דֶּרֶךְ הַר הָאֱמֹרִי</w:t>
      </w:r>
      <w:r>
        <w:t>), und einen Vergleichssatz (</w:t>
      </w:r>
      <w:r>
        <w:rPr>
          <w:rStyle w:val="berschrift3Zchn"/>
          <w:rtl/>
        </w:rPr>
        <w:t>כַּאֲשֶׁר צִוָּה יְהוָה אֱלֹהֵינוּ אֹתָנוּ</w:t>
      </w:r>
      <w:r>
        <w:t xml:space="preserve">) erweitert wird, (3) </w:t>
      </w:r>
      <w:r>
        <w:rPr>
          <w:rStyle w:val="berschrift3Zchn"/>
          <w:rtl/>
        </w:rPr>
        <w:t>וַנָּבֹא עַד קָדֵשׁ בַּרְנֵעַ</w:t>
      </w:r>
      <w:r>
        <w:t>. Die narrative Struktur zeigt die Erfüllung des göttlichen Befehls.</w:t>
      </w:r>
    </w:p>
    <w:p w14:paraId="7C42EE08" w14:textId="77777777" w:rsidR="007B72C7" w:rsidRDefault="007B72C7" w:rsidP="007B72C7">
      <w:r>
        <w:t>Der Vers beschreibt die Wüstenwanderung von Horeb nach Kadesch-Barnea und betont die Größe und Furchtbarkeit der Wüste sowie den Gehorsam gegenüber JHWHs Befehl. Die Anrede „die ihr gesehen hattet" erinnert die zweite Generation an die Erfahrungen, die sie als Kinder miterlebt hatten.</w:t>
      </w:r>
    </w:p>
    <w:p w14:paraId="5D99CA20" w14:textId="77777777" w:rsidR="00233F30" w:rsidRPr="00233F30" w:rsidRDefault="00233F30" w:rsidP="00233F30">
      <w:pPr>
        <w:spacing w:before="100" w:beforeAutospacing="1" w:after="100" w:afterAutospacing="1" w:line="240" w:lineRule="auto"/>
        <w:outlineLvl w:val="1"/>
        <w:rPr>
          <w:rFonts w:eastAsia="Times New Roman"/>
          <w:b/>
          <w:bCs/>
          <w:sz w:val="36"/>
          <w:szCs w:val="36"/>
          <w:lang w:eastAsia="de-DE"/>
        </w:rPr>
      </w:pPr>
      <w:r w:rsidRPr="00233F30">
        <w:rPr>
          <w:rFonts w:eastAsia="Times New Roman"/>
          <w:b/>
          <w:bCs/>
          <w:sz w:val="36"/>
          <w:szCs w:val="36"/>
          <w:lang w:eastAsia="de-DE"/>
        </w:rPr>
        <w:t>Deuteronomium 1,20</w:t>
      </w:r>
    </w:p>
    <w:p w14:paraId="6FEC200A"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Hebräisch:</w:t>
      </w:r>
      <w:r w:rsidRPr="00233F30">
        <w:rPr>
          <w:rFonts w:eastAsia="Times New Roman"/>
          <w:lang w:eastAsia="de-DE"/>
        </w:rPr>
        <w:t xml:space="preserve"> </w:t>
      </w:r>
      <w:r w:rsidRPr="00233F30">
        <w:rPr>
          <w:rFonts w:eastAsia="Times New Roman"/>
          <w:rtl/>
          <w:lang w:eastAsia="de-DE"/>
        </w:rPr>
        <w:t>וָאֹמַ֖ר אֲלֵכֶ֑ם בָּאתֶם֙ עַד־הַ֣ר הָאֱמֹרִ֔י אֲשֶׁר־יְהוָ֥ה אֱלֹהֵ֖ינוּ נֹתֵ֥ן לָֽנוּ׃</w:t>
      </w:r>
    </w:p>
    <w:p w14:paraId="5096077C"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Deutsch:</w:t>
      </w:r>
      <w:r w:rsidRPr="00233F30">
        <w:rPr>
          <w:rFonts w:eastAsia="Times New Roman"/>
          <w:lang w:eastAsia="de-DE"/>
        </w:rPr>
        <w:t xml:space="preserve"> Und ich sprach zu euch: Ihr seid bis zum Gebirge der Emori gekommen, das der Ewige, unser Gott, uns dabei ist, zu geben.</w:t>
      </w:r>
    </w:p>
    <w:p w14:paraId="26A9F099" w14:textId="77777777" w:rsidR="00233F30" w:rsidRPr="00233F30" w:rsidRDefault="004F5CEB" w:rsidP="00233F30">
      <w:pPr>
        <w:spacing w:after="0" w:line="240" w:lineRule="auto"/>
        <w:rPr>
          <w:rFonts w:eastAsia="Times New Roman"/>
          <w:lang w:eastAsia="de-DE"/>
        </w:rPr>
      </w:pPr>
      <w:r>
        <w:rPr>
          <w:rFonts w:eastAsia="Times New Roman"/>
          <w:noProof/>
          <w:lang w:eastAsia="de-DE"/>
        </w:rPr>
        <w:pict w14:anchorId="4C3DBE67">
          <v:rect id="_x0000_i1044" style="width:0;height:1.5pt" o:hralign="center" o:hrstd="t" o:hr="t" fillcolor="#a0a0a0" stroked="f"/>
        </w:pict>
      </w:r>
    </w:p>
    <w:p w14:paraId="607FDB2C" w14:textId="091DF4D6"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Kommentar:</w:t>
      </w:r>
      <w:r w:rsidRPr="00233F30">
        <w:rPr>
          <w:rFonts w:eastAsia="Times New Roman"/>
          <w:lang w:eastAsia="de-DE"/>
        </w:rPr>
        <w:t xml:space="preserve"> </w:t>
      </w:r>
      <w:r w:rsidRPr="00233F30">
        <w:rPr>
          <w:rFonts w:eastAsia="Times New Roman"/>
          <w:b/>
          <w:bCs/>
          <w:rtl/>
          <w:lang w:eastAsia="de-DE"/>
        </w:rPr>
        <w:t>וָאֹמַר</w:t>
      </w:r>
      <w:r w:rsidRPr="00233F30">
        <w:rPr>
          <w:rFonts w:eastAsia="Times New Roman"/>
          <w:rtl/>
          <w:lang w:eastAsia="de-DE"/>
        </w:rPr>
        <w:t xml:space="preserve"> </w:t>
      </w:r>
      <w:r w:rsidRPr="00233F30">
        <w:rPr>
          <w:rFonts w:eastAsia="Times New Roman"/>
          <w:lang w:eastAsia="de-DE"/>
        </w:rPr>
        <w:t xml:space="preserve">ist Qal Imperfekt consecutivum, 1. Person Singular von </w:t>
      </w:r>
      <w:r w:rsidRPr="00233F30">
        <w:rPr>
          <w:rFonts w:eastAsia="Times New Roman"/>
          <w:rtl/>
          <w:lang w:eastAsia="de-DE"/>
        </w:rPr>
        <w:t>אמר</w:t>
      </w:r>
      <w:r w:rsidRPr="00233F30">
        <w:rPr>
          <w:rFonts w:eastAsia="Times New Roman"/>
          <w:lang w:eastAsia="de-DE"/>
        </w:rPr>
        <w:t xml:space="preserve"> mit Waw. </w:t>
      </w:r>
      <w:r w:rsidRPr="00233F30">
        <w:rPr>
          <w:rFonts w:eastAsia="Times New Roman"/>
          <w:b/>
          <w:bCs/>
          <w:rtl/>
          <w:lang w:eastAsia="de-DE"/>
        </w:rPr>
        <w:t>אֲלֵכֶם</w:t>
      </w:r>
      <w:r w:rsidRPr="00233F30">
        <w:rPr>
          <w:rFonts w:eastAsia="Times New Roman"/>
          <w:rtl/>
          <w:lang w:eastAsia="de-DE"/>
        </w:rPr>
        <w:t xml:space="preserve"> </w:t>
      </w:r>
      <w:r w:rsidRPr="00233F30">
        <w:rPr>
          <w:rFonts w:eastAsia="Times New Roman"/>
          <w:lang w:eastAsia="de-DE"/>
        </w:rPr>
        <w:t xml:space="preserve">ist </w:t>
      </w:r>
      <w:r w:rsidRPr="00233F30">
        <w:rPr>
          <w:rFonts w:eastAsia="Times New Roman"/>
          <w:b/>
          <w:bCs/>
          <w:rtl/>
          <w:lang w:eastAsia="de-DE"/>
        </w:rPr>
        <w:t>אֶל</w:t>
      </w:r>
      <w:r w:rsidRPr="00233F30">
        <w:rPr>
          <w:rFonts w:eastAsia="Times New Roman"/>
          <w:rtl/>
          <w:lang w:eastAsia="de-DE"/>
        </w:rPr>
        <w:t xml:space="preserve"> </w:t>
      </w:r>
      <w:r w:rsidRPr="00233F30">
        <w:rPr>
          <w:rFonts w:eastAsia="Times New Roman"/>
          <w:lang w:eastAsia="de-DE"/>
        </w:rPr>
        <w:t xml:space="preserve">mit Suffix 2. Person maskulin Plural. </w:t>
      </w:r>
      <w:r w:rsidRPr="00233F30">
        <w:rPr>
          <w:rFonts w:eastAsia="Times New Roman"/>
          <w:b/>
          <w:bCs/>
          <w:rtl/>
          <w:lang w:eastAsia="de-DE"/>
        </w:rPr>
        <w:t>בָּאתֶם</w:t>
      </w:r>
      <w:r w:rsidRPr="00233F30">
        <w:rPr>
          <w:rFonts w:eastAsia="Times New Roman"/>
          <w:rtl/>
          <w:lang w:eastAsia="de-DE"/>
        </w:rPr>
        <w:t xml:space="preserve"> </w:t>
      </w:r>
      <w:r w:rsidRPr="00233F30">
        <w:rPr>
          <w:rFonts w:eastAsia="Times New Roman"/>
          <w:lang w:eastAsia="de-DE"/>
        </w:rPr>
        <w:t xml:space="preserve">ist Qal Perfekt, 2. Person maskulin Plural von </w:t>
      </w:r>
      <w:r w:rsidRPr="00233F30">
        <w:rPr>
          <w:rFonts w:eastAsia="Times New Roman"/>
          <w:rtl/>
          <w:lang w:eastAsia="de-DE"/>
        </w:rPr>
        <w:t>בוא</w:t>
      </w:r>
      <w:r w:rsidRPr="00233F30">
        <w:rPr>
          <w:rFonts w:eastAsia="Times New Roman"/>
          <w:lang w:eastAsia="de-DE"/>
        </w:rPr>
        <w:t xml:space="preserve"> („kommen"). </w:t>
      </w:r>
      <w:r w:rsidRPr="00233F30">
        <w:rPr>
          <w:rFonts w:eastAsia="Times New Roman"/>
          <w:b/>
          <w:bCs/>
          <w:rtl/>
          <w:lang w:eastAsia="de-DE"/>
        </w:rPr>
        <w:t>עַד־הַר הָאֱמֹרִי</w:t>
      </w:r>
      <w:r w:rsidRPr="00233F30">
        <w:rPr>
          <w:rFonts w:eastAsia="Times New Roman"/>
          <w:rtl/>
          <w:lang w:eastAsia="de-DE"/>
        </w:rPr>
        <w:t xml:space="preserve"> </w:t>
      </w:r>
      <w:r w:rsidRPr="00233F30">
        <w:rPr>
          <w:rFonts w:eastAsia="Times New Roman"/>
          <w:lang w:eastAsia="de-DE"/>
        </w:rPr>
        <w:t xml:space="preserve">ist </w:t>
      </w:r>
      <w:r w:rsidRPr="00233F30">
        <w:rPr>
          <w:rFonts w:eastAsia="Times New Roman"/>
          <w:b/>
          <w:bCs/>
          <w:rtl/>
          <w:lang w:eastAsia="de-DE"/>
        </w:rPr>
        <w:t>עַד</w:t>
      </w:r>
      <w:r w:rsidRPr="00233F30">
        <w:rPr>
          <w:rFonts w:eastAsia="Times New Roman"/>
          <w:rtl/>
          <w:lang w:eastAsia="de-DE"/>
        </w:rPr>
        <w:t xml:space="preserve"> </w:t>
      </w:r>
      <w:r w:rsidRPr="00233F30">
        <w:rPr>
          <w:rFonts w:eastAsia="Times New Roman"/>
          <w:lang w:eastAsia="de-DE"/>
        </w:rPr>
        <w:t xml:space="preserve">mit </w:t>
      </w:r>
      <w:r w:rsidRPr="00233F30">
        <w:rPr>
          <w:rFonts w:eastAsia="Times New Roman"/>
          <w:b/>
          <w:bCs/>
          <w:rtl/>
          <w:lang w:eastAsia="de-DE"/>
        </w:rPr>
        <w:t>הַר הָאֱמֹרִי</w:t>
      </w:r>
      <w:r w:rsidRPr="00233F30">
        <w:rPr>
          <w:rFonts w:eastAsia="Times New Roman"/>
          <w:rtl/>
          <w:lang w:eastAsia="de-DE"/>
        </w:rPr>
        <w:t xml:space="preserve"> </w:t>
      </w:r>
      <w:r w:rsidRPr="00233F30">
        <w:rPr>
          <w:rFonts w:eastAsia="Times New Roman"/>
          <w:lang w:eastAsia="de-DE"/>
        </w:rPr>
        <w:t xml:space="preserve">(„das Gebirge der Amoriter"), </w:t>
      </w:r>
      <w:r w:rsidR="0032647F">
        <w:rPr>
          <w:rFonts w:eastAsia="Times New Roman"/>
          <w:lang w:eastAsia="de-DE"/>
        </w:rPr>
        <w:t>Construct</w:t>
      </w:r>
      <w:r w:rsidRPr="00233F30">
        <w:rPr>
          <w:rFonts w:eastAsia="Times New Roman"/>
          <w:lang w:eastAsia="de-DE"/>
        </w:rPr>
        <w:t>usverbindung.</w:t>
      </w:r>
    </w:p>
    <w:p w14:paraId="24080CAA"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lang w:eastAsia="de-DE"/>
        </w:rPr>
        <w:t xml:space="preserve">Der Relativsatz </w:t>
      </w:r>
      <w:r w:rsidRPr="00233F30">
        <w:rPr>
          <w:rFonts w:eastAsia="Times New Roman"/>
          <w:b/>
          <w:bCs/>
          <w:rtl/>
          <w:lang w:eastAsia="de-DE"/>
        </w:rPr>
        <w:t>אֲשֶׁר־יְהוָה אֱלֹהֵינוּ נֹתֵן לָנוּ</w:t>
      </w:r>
      <w:r w:rsidRPr="00233F30">
        <w:rPr>
          <w:rFonts w:eastAsia="Times New Roman"/>
          <w:rtl/>
          <w:lang w:eastAsia="de-DE"/>
        </w:rPr>
        <w:t xml:space="preserve"> </w:t>
      </w:r>
      <w:r w:rsidRPr="00233F30">
        <w:rPr>
          <w:rFonts w:eastAsia="Times New Roman"/>
          <w:lang w:eastAsia="de-DE"/>
        </w:rPr>
        <w:t xml:space="preserve">enthält </w:t>
      </w:r>
      <w:r w:rsidRPr="00233F30">
        <w:rPr>
          <w:rFonts w:eastAsia="Times New Roman"/>
          <w:b/>
          <w:bCs/>
          <w:rtl/>
          <w:lang w:eastAsia="de-DE"/>
        </w:rPr>
        <w:t>נֹתֵן</w:t>
      </w:r>
      <w:r w:rsidRPr="00233F30">
        <w:rPr>
          <w:rFonts w:eastAsia="Times New Roman"/>
          <w:lang w:eastAsia="de-DE"/>
        </w:rPr>
        <w:t xml:space="preserve">, ein Qal Partizip aktiv, maskulin Singular von </w:t>
      </w:r>
      <w:r w:rsidRPr="00233F30">
        <w:rPr>
          <w:rFonts w:eastAsia="Times New Roman"/>
          <w:rtl/>
          <w:lang w:eastAsia="de-DE"/>
        </w:rPr>
        <w:t>נתן</w:t>
      </w:r>
      <w:r w:rsidRPr="00233F30">
        <w:rPr>
          <w:rFonts w:eastAsia="Times New Roman"/>
          <w:lang w:eastAsia="de-DE"/>
        </w:rPr>
        <w:t xml:space="preserve"> („geben"). Das Partizip drückt hier eine gegenwärtige oder bevorstehende Handlung aus: „der dabei ist zu geben" oder „der gibt". </w:t>
      </w:r>
      <w:r w:rsidRPr="00233F30">
        <w:rPr>
          <w:rFonts w:eastAsia="Times New Roman"/>
          <w:b/>
          <w:bCs/>
          <w:rtl/>
          <w:lang w:eastAsia="de-DE"/>
        </w:rPr>
        <w:t>לָנוּ</w:t>
      </w:r>
      <w:r w:rsidRPr="00233F30">
        <w:rPr>
          <w:rFonts w:eastAsia="Times New Roman"/>
          <w:rtl/>
          <w:lang w:eastAsia="de-DE"/>
        </w:rPr>
        <w:t xml:space="preserve"> </w:t>
      </w:r>
      <w:r w:rsidRPr="00233F30">
        <w:rPr>
          <w:rFonts w:eastAsia="Times New Roman"/>
          <w:lang w:eastAsia="de-DE"/>
        </w:rPr>
        <w:t xml:space="preserve">ist </w:t>
      </w:r>
      <w:r w:rsidRPr="00233F30">
        <w:rPr>
          <w:rFonts w:eastAsia="Times New Roman"/>
          <w:b/>
          <w:bCs/>
          <w:rtl/>
          <w:lang w:eastAsia="de-DE"/>
        </w:rPr>
        <w:t>לְ</w:t>
      </w:r>
      <w:r w:rsidRPr="00233F30">
        <w:rPr>
          <w:rFonts w:eastAsia="Times New Roman"/>
          <w:rtl/>
          <w:lang w:eastAsia="de-DE"/>
        </w:rPr>
        <w:t xml:space="preserve"> </w:t>
      </w:r>
      <w:r w:rsidRPr="00233F30">
        <w:rPr>
          <w:rFonts w:eastAsia="Times New Roman"/>
          <w:lang w:eastAsia="de-DE"/>
        </w:rPr>
        <w:t>mit Suffix 1. Person Plural („uns").</w:t>
      </w:r>
    </w:p>
    <w:p w14:paraId="63DA9BE4"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lastRenderedPageBreak/>
        <w:t>Die LXX</w:t>
      </w:r>
      <w:r w:rsidRPr="00233F30">
        <w:rPr>
          <w:rFonts w:eastAsia="Times New Roman"/>
          <w:lang w:eastAsia="de-DE"/>
        </w:rPr>
        <w:t xml:space="preserve"> übersetzt „καὶ </w:t>
      </w:r>
      <w:proofErr w:type="spellStart"/>
      <w:r w:rsidRPr="00233F30">
        <w:rPr>
          <w:rFonts w:eastAsia="Times New Roman"/>
          <w:lang w:eastAsia="de-DE"/>
        </w:rPr>
        <w:t>εἶ</w:t>
      </w:r>
      <w:proofErr w:type="spellEnd"/>
      <w:r w:rsidRPr="00233F30">
        <w:rPr>
          <w:rFonts w:eastAsia="Times New Roman"/>
          <w:lang w:eastAsia="de-DE"/>
        </w:rPr>
        <w:t>πα π</w:t>
      </w:r>
      <w:proofErr w:type="spellStart"/>
      <w:r w:rsidRPr="00233F30">
        <w:rPr>
          <w:rFonts w:eastAsia="Times New Roman"/>
          <w:lang w:eastAsia="de-DE"/>
        </w:rPr>
        <w:t>ρὸς</w:t>
      </w:r>
      <w:proofErr w:type="spellEnd"/>
      <w:r w:rsidRPr="00233F30">
        <w:rPr>
          <w:rFonts w:eastAsia="Times New Roman"/>
          <w:lang w:eastAsia="de-DE"/>
        </w:rPr>
        <w:t xml:space="preserve"> </w:t>
      </w:r>
      <w:proofErr w:type="spellStart"/>
      <w:r w:rsidRPr="00233F30">
        <w:rPr>
          <w:rFonts w:eastAsia="Times New Roman"/>
          <w:lang w:eastAsia="de-DE"/>
        </w:rPr>
        <w:t>ὑμᾶς</w:t>
      </w:r>
      <w:proofErr w:type="spellEnd"/>
      <w:r w:rsidRPr="00233F30">
        <w:rPr>
          <w:rFonts w:eastAsia="Times New Roman"/>
          <w:lang w:eastAsia="de-DE"/>
        </w:rPr>
        <w:t xml:space="preserve"> </w:t>
      </w:r>
      <w:proofErr w:type="spellStart"/>
      <w:r w:rsidRPr="00233F30">
        <w:rPr>
          <w:rFonts w:eastAsia="Times New Roman"/>
          <w:lang w:eastAsia="de-DE"/>
        </w:rPr>
        <w:t>Ἤλθ</w:t>
      </w:r>
      <w:proofErr w:type="spellEnd"/>
      <w:r w:rsidRPr="00233F30">
        <w:rPr>
          <w:rFonts w:eastAsia="Times New Roman"/>
          <w:lang w:eastAsia="de-DE"/>
        </w:rPr>
        <w:t xml:space="preserve">ατε </w:t>
      </w:r>
      <w:proofErr w:type="spellStart"/>
      <w:r w:rsidRPr="00233F30">
        <w:rPr>
          <w:rFonts w:eastAsia="Times New Roman"/>
          <w:lang w:eastAsia="de-DE"/>
        </w:rPr>
        <w:t>ἕως</w:t>
      </w:r>
      <w:proofErr w:type="spellEnd"/>
      <w:r w:rsidRPr="00233F30">
        <w:rPr>
          <w:rFonts w:eastAsia="Times New Roman"/>
          <w:lang w:eastAsia="de-DE"/>
        </w:rPr>
        <w:t xml:space="preserve"> </w:t>
      </w:r>
      <w:proofErr w:type="spellStart"/>
      <w:r w:rsidRPr="00233F30">
        <w:rPr>
          <w:rFonts w:eastAsia="Times New Roman"/>
          <w:lang w:eastAsia="de-DE"/>
        </w:rPr>
        <w:t>τοῦ</w:t>
      </w:r>
      <w:proofErr w:type="spellEnd"/>
      <w:r w:rsidRPr="00233F30">
        <w:rPr>
          <w:rFonts w:eastAsia="Times New Roman"/>
          <w:lang w:eastAsia="de-DE"/>
        </w:rPr>
        <w:t xml:space="preserve"> </w:t>
      </w:r>
      <w:proofErr w:type="spellStart"/>
      <w:r w:rsidRPr="00233F30">
        <w:rPr>
          <w:rFonts w:eastAsia="Times New Roman"/>
          <w:lang w:eastAsia="de-DE"/>
        </w:rPr>
        <w:t>ὄρους</w:t>
      </w:r>
      <w:proofErr w:type="spellEnd"/>
      <w:r w:rsidRPr="00233F30">
        <w:rPr>
          <w:rFonts w:eastAsia="Times New Roman"/>
          <w:lang w:eastAsia="de-DE"/>
        </w:rPr>
        <w:t xml:space="preserve"> </w:t>
      </w:r>
      <w:proofErr w:type="spellStart"/>
      <w:r w:rsidRPr="00233F30">
        <w:rPr>
          <w:rFonts w:eastAsia="Times New Roman"/>
          <w:lang w:eastAsia="de-DE"/>
        </w:rPr>
        <w:t>τοῦ</w:t>
      </w:r>
      <w:proofErr w:type="spellEnd"/>
      <w:r w:rsidRPr="00233F30">
        <w:rPr>
          <w:rFonts w:eastAsia="Times New Roman"/>
          <w:lang w:eastAsia="de-DE"/>
        </w:rPr>
        <w:t xml:space="preserve"> </w:t>
      </w:r>
      <w:proofErr w:type="spellStart"/>
      <w:r w:rsidRPr="00233F30">
        <w:rPr>
          <w:rFonts w:eastAsia="Times New Roman"/>
          <w:lang w:eastAsia="de-DE"/>
        </w:rPr>
        <w:t>Αμορρ</w:t>
      </w:r>
      <w:proofErr w:type="spellEnd"/>
      <w:r w:rsidRPr="00233F30">
        <w:rPr>
          <w:rFonts w:eastAsia="Times New Roman"/>
          <w:lang w:eastAsia="de-DE"/>
        </w:rPr>
        <w:t xml:space="preserve">αίου, ὃ </w:t>
      </w:r>
      <w:proofErr w:type="spellStart"/>
      <w:r w:rsidRPr="00233F30">
        <w:rPr>
          <w:rFonts w:eastAsia="Times New Roman"/>
          <w:lang w:eastAsia="de-DE"/>
        </w:rPr>
        <w:t>κύριος</w:t>
      </w:r>
      <w:proofErr w:type="spellEnd"/>
      <w:r w:rsidRPr="00233F30">
        <w:rPr>
          <w:rFonts w:eastAsia="Times New Roman"/>
          <w:lang w:eastAsia="de-DE"/>
        </w:rPr>
        <w:t xml:space="preserve"> ὁ </w:t>
      </w:r>
      <w:proofErr w:type="spellStart"/>
      <w:r w:rsidRPr="00233F30">
        <w:rPr>
          <w:rFonts w:eastAsia="Times New Roman"/>
          <w:lang w:eastAsia="de-DE"/>
        </w:rPr>
        <w:t>θεὸς</w:t>
      </w:r>
      <w:proofErr w:type="spellEnd"/>
      <w:r w:rsidRPr="00233F30">
        <w:rPr>
          <w:rFonts w:eastAsia="Times New Roman"/>
          <w:lang w:eastAsia="de-DE"/>
        </w:rPr>
        <w:t xml:space="preserve"> </w:t>
      </w:r>
      <w:proofErr w:type="spellStart"/>
      <w:r w:rsidRPr="00233F30">
        <w:rPr>
          <w:rFonts w:eastAsia="Times New Roman"/>
          <w:lang w:eastAsia="de-DE"/>
        </w:rPr>
        <w:t>ἡμῶν</w:t>
      </w:r>
      <w:proofErr w:type="spellEnd"/>
      <w:r w:rsidRPr="00233F30">
        <w:rPr>
          <w:rFonts w:eastAsia="Times New Roman"/>
          <w:lang w:eastAsia="de-DE"/>
        </w:rPr>
        <w:t xml:space="preserve"> </w:t>
      </w:r>
      <w:proofErr w:type="spellStart"/>
      <w:r w:rsidRPr="00233F30">
        <w:rPr>
          <w:rFonts w:eastAsia="Times New Roman"/>
          <w:lang w:eastAsia="de-DE"/>
        </w:rPr>
        <w:t>δίδωσιν</w:t>
      </w:r>
      <w:proofErr w:type="spellEnd"/>
      <w:r w:rsidRPr="00233F30">
        <w:rPr>
          <w:rFonts w:eastAsia="Times New Roman"/>
          <w:lang w:eastAsia="de-DE"/>
        </w:rPr>
        <w:t xml:space="preserve"> </w:t>
      </w:r>
      <w:proofErr w:type="spellStart"/>
      <w:r w:rsidRPr="00233F30">
        <w:rPr>
          <w:rFonts w:eastAsia="Times New Roman"/>
          <w:lang w:eastAsia="de-DE"/>
        </w:rPr>
        <w:t>ἡμῖν</w:t>
      </w:r>
      <w:proofErr w:type="spellEnd"/>
      <w:r w:rsidRPr="00233F30">
        <w:rPr>
          <w:rFonts w:eastAsia="Times New Roman"/>
          <w:lang w:eastAsia="de-DE"/>
        </w:rPr>
        <w:t>" („und ich sagte zu euch: Ihr seid gekommen bis zu dem Gebirge der Amoriter, das der Herr, unser Gott, uns gibt"). Die LXX verwendet Präsens für das Partizip, was die Unmittelbarkeit der Gabe betont.</w:t>
      </w:r>
    </w:p>
    <w:p w14:paraId="549B5444"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lang w:eastAsia="de-DE"/>
        </w:rPr>
        <w:t>Die Satzstruktur besteht aus einem Hauptsatz (</w:t>
      </w:r>
      <w:r w:rsidRPr="00233F30">
        <w:rPr>
          <w:rFonts w:eastAsia="Times New Roman"/>
          <w:b/>
          <w:bCs/>
          <w:rtl/>
          <w:lang w:eastAsia="de-DE"/>
        </w:rPr>
        <w:t>וָאֹמַר אֲלֵכֶם</w:t>
      </w:r>
      <w:r w:rsidRPr="00233F30">
        <w:rPr>
          <w:rFonts w:eastAsia="Times New Roman"/>
          <w:lang w:eastAsia="de-DE"/>
        </w:rPr>
        <w:t xml:space="preserve">) und direkter Rede, die selbst aus einem </w:t>
      </w:r>
      <w:proofErr w:type="spellStart"/>
      <w:r w:rsidRPr="00233F30">
        <w:rPr>
          <w:rFonts w:eastAsia="Times New Roman"/>
          <w:lang w:eastAsia="de-DE"/>
        </w:rPr>
        <w:t>Perfektsatz</w:t>
      </w:r>
      <w:proofErr w:type="spellEnd"/>
      <w:r w:rsidRPr="00233F30">
        <w:rPr>
          <w:rFonts w:eastAsia="Times New Roman"/>
          <w:lang w:eastAsia="de-DE"/>
        </w:rPr>
        <w:t xml:space="preserve"> (</w:t>
      </w:r>
      <w:r w:rsidRPr="00233F30">
        <w:rPr>
          <w:rFonts w:eastAsia="Times New Roman"/>
          <w:b/>
          <w:bCs/>
          <w:rtl/>
          <w:lang w:eastAsia="de-DE"/>
        </w:rPr>
        <w:t>בָּאתֶם עַד־הַר הָאֱמֹרִי</w:t>
      </w:r>
      <w:r w:rsidRPr="00233F30">
        <w:rPr>
          <w:rFonts w:eastAsia="Times New Roman"/>
          <w:lang w:eastAsia="de-DE"/>
        </w:rPr>
        <w:t>) mit attributivem Relativsatz (</w:t>
      </w:r>
      <w:r w:rsidRPr="00233F30">
        <w:rPr>
          <w:rFonts w:eastAsia="Times New Roman"/>
          <w:b/>
          <w:bCs/>
          <w:rtl/>
          <w:lang w:eastAsia="de-DE"/>
        </w:rPr>
        <w:t>אֲשֶׁר־יְהוָה אֱלֹהֵינוּ נֹתֵן לָנוּ</w:t>
      </w:r>
      <w:r w:rsidRPr="00233F30">
        <w:rPr>
          <w:rFonts w:eastAsia="Times New Roman"/>
          <w:lang w:eastAsia="de-DE"/>
        </w:rPr>
        <w:t>) besteht.</w:t>
      </w:r>
    </w:p>
    <w:p w14:paraId="65FC97C2"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lang w:eastAsia="de-DE"/>
        </w:rPr>
        <w:t xml:space="preserve">Der Vers markiert die Ankunft am Ziel und Moses Verkündigung, dass das verheißene Land nun erreicht ist. Das Partizip </w:t>
      </w:r>
      <w:r w:rsidRPr="00233F30">
        <w:rPr>
          <w:rFonts w:eastAsia="Times New Roman"/>
          <w:b/>
          <w:bCs/>
          <w:rtl/>
          <w:lang w:eastAsia="de-DE"/>
        </w:rPr>
        <w:t>נֹתֵן</w:t>
      </w:r>
      <w:r w:rsidRPr="00233F30">
        <w:rPr>
          <w:rFonts w:eastAsia="Times New Roman"/>
          <w:rtl/>
          <w:lang w:eastAsia="de-DE"/>
        </w:rPr>
        <w:t xml:space="preserve"> </w:t>
      </w:r>
      <w:r w:rsidRPr="00233F30">
        <w:rPr>
          <w:rFonts w:eastAsia="Times New Roman"/>
          <w:lang w:eastAsia="de-DE"/>
        </w:rPr>
        <w:t>betont die Aktualität der göttlichen Landgabe.</w:t>
      </w:r>
    </w:p>
    <w:p w14:paraId="2656CC43" w14:textId="77777777" w:rsidR="00233F30" w:rsidRPr="00233F30" w:rsidRDefault="00233F30" w:rsidP="00233F30">
      <w:pPr>
        <w:spacing w:before="100" w:beforeAutospacing="1" w:after="100" w:afterAutospacing="1" w:line="240" w:lineRule="auto"/>
        <w:outlineLvl w:val="1"/>
        <w:rPr>
          <w:rFonts w:eastAsia="Times New Roman"/>
          <w:b/>
          <w:bCs/>
          <w:sz w:val="36"/>
          <w:szCs w:val="36"/>
          <w:lang w:eastAsia="de-DE"/>
        </w:rPr>
      </w:pPr>
      <w:r w:rsidRPr="00233F30">
        <w:rPr>
          <w:rFonts w:eastAsia="Times New Roman"/>
          <w:b/>
          <w:bCs/>
          <w:sz w:val="36"/>
          <w:szCs w:val="36"/>
          <w:lang w:eastAsia="de-DE"/>
        </w:rPr>
        <w:t>Deuteronomium 1,21</w:t>
      </w:r>
    </w:p>
    <w:p w14:paraId="6AE6F78F"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Hebräisch:</w:t>
      </w:r>
      <w:r w:rsidRPr="00233F30">
        <w:rPr>
          <w:rFonts w:eastAsia="Times New Roman"/>
          <w:lang w:eastAsia="de-DE"/>
        </w:rPr>
        <w:t xml:space="preserve"> </w:t>
      </w:r>
      <w:r w:rsidRPr="00233F30">
        <w:rPr>
          <w:rFonts w:eastAsia="Times New Roman"/>
          <w:rtl/>
          <w:lang w:eastAsia="de-DE"/>
        </w:rPr>
        <w:t>רְ֠אֵה נָתַ֨ן יְהוָ֧ה אֱלֹהֶ֛יךָ לְפָנֶ֖יךָ אֶת־הָאָ֑רֶץ עֲלֵ֣ה רֵ֗שׁ כַּאֲשֶׁר֩ דִּבֶּ֨ר יְהוָ֜ה אֱלֹהֵ֤י אֲבֹתֶ֙יךָ֙ לָ֔ךְ אַל־תִּירָ֖א וְאַל־תֵּחָֽת׃</w:t>
      </w:r>
    </w:p>
    <w:p w14:paraId="39B42542"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Deutsch:</w:t>
      </w:r>
      <w:r w:rsidRPr="00233F30">
        <w:rPr>
          <w:rFonts w:eastAsia="Times New Roman"/>
          <w:lang w:eastAsia="de-DE"/>
        </w:rPr>
        <w:t xml:space="preserve"> Siehe, der Ewige, dein Gott, hat das Land vor dich gegeben. Geh hinauf, nimm in Besitz, wie der Ewige, der Gott deiner Väter, zu dir geredet hat. Fürchte dich nicht und sei nicht mutlos.</w:t>
      </w:r>
    </w:p>
    <w:p w14:paraId="4F0615A4" w14:textId="77777777" w:rsidR="00233F30" w:rsidRPr="00233F30" w:rsidRDefault="004F5CEB" w:rsidP="00233F30">
      <w:pPr>
        <w:spacing w:after="0" w:line="240" w:lineRule="auto"/>
        <w:rPr>
          <w:rFonts w:eastAsia="Times New Roman"/>
          <w:lang w:eastAsia="de-DE"/>
        </w:rPr>
      </w:pPr>
      <w:r>
        <w:rPr>
          <w:rFonts w:eastAsia="Times New Roman"/>
          <w:noProof/>
          <w:lang w:eastAsia="de-DE"/>
        </w:rPr>
        <w:pict w14:anchorId="77BE60F0">
          <v:rect id="_x0000_i1045" style="width:0;height:1.5pt" o:hralign="center" o:hrstd="t" o:hr="t" fillcolor="#a0a0a0" stroked="f"/>
        </w:pict>
      </w:r>
    </w:p>
    <w:p w14:paraId="3779050D" w14:textId="72F7273A"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Kommentar:</w:t>
      </w:r>
      <w:r w:rsidRPr="00233F30">
        <w:rPr>
          <w:rFonts w:eastAsia="Times New Roman"/>
          <w:lang w:eastAsia="de-DE"/>
        </w:rPr>
        <w:t xml:space="preserve"> </w:t>
      </w:r>
      <w:r w:rsidRPr="00233F30">
        <w:rPr>
          <w:rFonts w:eastAsia="Times New Roman"/>
          <w:b/>
          <w:bCs/>
          <w:rtl/>
          <w:lang w:eastAsia="de-DE"/>
        </w:rPr>
        <w:t>רְאֵה</w:t>
      </w:r>
      <w:r w:rsidRPr="00233F30">
        <w:rPr>
          <w:rFonts w:eastAsia="Times New Roman"/>
          <w:rtl/>
          <w:lang w:eastAsia="de-DE"/>
        </w:rPr>
        <w:t xml:space="preserve"> </w:t>
      </w:r>
      <w:r w:rsidRPr="00233F30">
        <w:rPr>
          <w:rFonts w:eastAsia="Times New Roman"/>
          <w:lang w:eastAsia="de-DE"/>
        </w:rPr>
        <w:t xml:space="preserve">ist Qal Imperativ maskulin Singular von </w:t>
      </w:r>
      <w:r w:rsidRPr="00233F30">
        <w:rPr>
          <w:rFonts w:eastAsia="Times New Roman"/>
          <w:rtl/>
          <w:lang w:eastAsia="de-DE"/>
        </w:rPr>
        <w:t>ראה</w:t>
      </w:r>
      <w:r w:rsidRPr="00233F30">
        <w:rPr>
          <w:rFonts w:eastAsia="Times New Roman"/>
          <w:lang w:eastAsia="de-DE"/>
        </w:rPr>
        <w:t xml:space="preserve"> als Aufmerksamkeitspartikel. </w:t>
      </w:r>
      <w:r w:rsidRPr="00233F30">
        <w:rPr>
          <w:rFonts w:eastAsia="Times New Roman"/>
          <w:b/>
          <w:bCs/>
          <w:rtl/>
          <w:lang w:eastAsia="de-DE"/>
        </w:rPr>
        <w:t>נָתַן</w:t>
      </w:r>
      <w:r w:rsidRPr="00233F30">
        <w:rPr>
          <w:rFonts w:eastAsia="Times New Roman"/>
          <w:rtl/>
          <w:lang w:eastAsia="de-DE"/>
        </w:rPr>
        <w:t xml:space="preserve"> </w:t>
      </w:r>
      <w:r w:rsidRPr="00233F30">
        <w:rPr>
          <w:rFonts w:eastAsia="Times New Roman"/>
          <w:lang w:eastAsia="de-DE"/>
        </w:rPr>
        <w:t xml:space="preserve">ist Qal Perfekt, 3. Person maskulin Singular von </w:t>
      </w:r>
      <w:r w:rsidRPr="00233F30">
        <w:rPr>
          <w:rFonts w:eastAsia="Times New Roman"/>
          <w:rtl/>
          <w:lang w:eastAsia="de-DE"/>
        </w:rPr>
        <w:t>נתן</w:t>
      </w:r>
      <w:r w:rsidRPr="00233F30">
        <w:rPr>
          <w:rFonts w:eastAsia="Times New Roman"/>
          <w:lang w:eastAsia="de-DE"/>
        </w:rPr>
        <w:t xml:space="preserve">. </w:t>
      </w:r>
      <w:r w:rsidRPr="00233F30">
        <w:rPr>
          <w:rFonts w:eastAsia="Times New Roman"/>
          <w:b/>
          <w:bCs/>
          <w:rtl/>
          <w:lang w:eastAsia="de-DE"/>
        </w:rPr>
        <w:t>יְהוָה אֱלֹהֶיךָ</w:t>
      </w:r>
      <w:r w:rsidRPr="00233F30">
        <w:rPr>
          <w:rFonts w:eastAsia="Times New Roman"/>
          <w:rtl/>
          <w:lang w:eastAsia="de-DE"/>
        </w:rPr>
        <w:t xml:space="preserve"> </w:t>
      </w:r>
      <w:r w:rsidRPr="00233F30">
        <w:rPr>
          <w:rFonts w:eastAsia="Times New Roman"/>
          <w:lang w:eastAsia="de-DE"/>
        </w:rPr>
        <w:t xml:space="preserve">hat das Possessivsuffix 2. Person maskulin Singular („dein Gott"), was zur individuellen Ansprache wechselt. </w:t>
      </w:r>
      <w:r w:rsidRPr="00233F30">
        <w:rPr>
          <w:rFonts w:eastAsia="Times New Roman"/>
          <w:b/>
          <w:bCs/>
          <w:rtl/>
          <w:lang w:eastAsia="de-DE"/>
        </w:rPr>
        <w:t>לְפָנֶיךָ</w:t>
      </w:r>
      <w:r w:rsidRPr="00233F30">
        <w:rPr>
          <w:rFonts w:eastAsia="Times New Roman"/>
          <w:rtl/>
          <w:lang w:eastAsia="de-DE"/>
        </w:rPr>
        <w:t xml:space="preserve"> </w:t>
      </w:r>
      <w:r w:rsidRPr="00233F30">
        <w:rPr>
          <w:rFonts w:eastAsia="Times New Roman"/>
          <w:lang w:eastAsia="de-DE"/>
        </w:rPr>
        <w:t xml:space="preserve">ist </w:t>
      </w:r>
      <w:r w:rsidRPr="00233F30">
        <w:rPr>
          <w:rFonts w:eastAsia="Times New Roman"/>
          <w:b/>
          <w:bCs/>
          <w:rtl/>
          <w:lang w:eastAsia="de-DE"/>
        </w:rPr>
        <w:t>לְ</w:t>
      </w:r>
      <w:r w:rsidRPr="00233F30">
        <w:rPr>
          <w:rFonts w:eastAsia="Times New Roman"/>
          <w:rtl/>
          <w:lang w:eastAsia="de-DE"/>
        </w:rPr>
        <w:t xml:space="preserve"> </w:t>
      </w:r>
      <w:r w:rsidRPr="00233F30">
        <w:rPr>
          <w:rFonts w:eastAsia="Times New Roman"/>
          <w:lang w:eastAsia="de-DE"/>
        </w:rPr>
        <w:t xml:space="preserve">mit </w:t>
      </w:r>
      <w:r w:rsidRPr="00233F30">
        <w:rPr>
          <w:rFonts w:eastAsia="Times New Roman"/>
          <w:b/>
          <w:bCs/>
          <w:rtl/>
          <w:lang w:eastAsia="de-DE"/>
        </w:rPr>
        <w:t>פָּנִים</w:t>
      </w:r>
      <w:r w:rsidRPr="00233F30">
        <w:rPr>
          <w:rFonts w:eastAsia="Times New Roman"/>
          <w:rtl/>
          <w:lang w:eastAsia="de-DE"/>
        </w:rPr>
        <w:t xml:space="preserve"> </w:t>
      </w:r>
      <w:r w:rsidRPr="00233F30">
        <w:rPr>
          <w:rFonts w:eastAsia="Times New Roman"/>
          <w:lang w:eastAsia="de-DE"/>
        </w:rPr>
        <w:t xml:space="preserve">im Plural </w:t>
      </w:r>
      <w:r w:rsidR="0032647F">
        <w:rPr>
          <w:rFonts w:eastAsia="Times New Roman"/>
          <w:lang w:eastAsia="de-DE"/>
        </w:rPr>
        <w:t>Construct</w:t>
      </w:r>
      <w:r w:rsidRPr="00233F30">
        <w:rPr>
          <w:rFonts w:eastAsia="Times New Roman"/>
          <w:lang w:eastAsia="de-DE"/>
        </w:rPr>
        <w:t xml:space="preserve"> und Suffix 2. Person maskulin Singular („vor dich"). </w:t>
      </w:r>
      <w:r w:rsidRPr="00233F30">
        <w:rPr>
          <w:rFonts w:eastAsia="Times New Roman"/>
          <w:b/>
          <w:bCs/>
          <w:rtl/>
          <w:lang w:eastAsia="de-DE"/>
        </w:rPr>
        <w:t>אֶת־הָאָרֶץ</w:t>
      </w:r>
      <w:r w:rsidRPr="00233F30">
        <w:rPr>
          <w:rFonts w:eastAsia="Times New Roman"/>
          <w:rtl/>
          <w:lang w:eastAsia="de-DE"/>
        </w:rPr>
        <w:t xml:space="preserve"> </w:t>
      </w:r>
      <w:r w:rsidRPr="00233F30">
        <w:rPr>
          <w:rFonts w:eastAsia="Times New Roman"/>
          <w:lang w:eastAsia="de-DE"/>
        </w:rPr>
        <w:t xml:space="preserve">ist die Objektpartikel mit </w:t>
      </w:r>
      <w:r w:rsidRPr="00233F30">
        <w:rPr>
          <w:rFonts w:eastAsia="Times New Roman"/>
          <w:b/>
          <w:bCs/>
          <w:rtl/>
          <w:lang w:eastAsia="de-DE"/>
        </w:rPr>
        <w:t>הָאָרֶץ</w:t>
      </w:r>
      <w:r w:rsidRPr="00233F30">
        <w:rPr>
          <w:rFonts w:eastAsia="Times New Roman"/>
          <w:lang w:eastAsia="de-DE"/>
        </w:rPr>
        <w:t>.</w:t>
      </w:r>
    </w:p>
    <w:p w14:paraId="38C3A0B6" w14:textId="7C84F8DD"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rtl/>
          <w:lang w:eastAsia="de-DE"/>
        </w:rPr>
        <w:t>עֲלֵה</w:t>
      </w:r>
      <w:r w:rsidRPr="00233F30">
        <w:rPr>
          <w:rFonts w:eastAsia="Times New Roman"/>
          <w:rtl/>
          <w:lang w:eastAsia="de-DE"/>
        </w:rPr>
        <w:t xml:space="preserve"> </w:t>
      </w:r>
      <w:r w:rsidRPr="00233F30">
        <w:rPr>
          <w:rFonts w:eastAsia="Times New Roman"/>
          <w:lang w:eastAsia="de-DE"/>
        </w:rPr>
        <w:t xml:space="preserve">ist Qal Imperativ maskulin Singular von </w:t>
      </w:r>
      <w:r w:rsidRPr="00233F30">
        <w:rPr>
          <w:rFonts w:eastAsia="Times New Roman"/>
          <w:rtl/>
          <w:lang w:eastAsia="de-DE"/>
        </w:rPr>
        <w:t>עלה</w:t>
      </w:r>
      <w:r w:rsidRPr="00233F30">
        <w:rPr>
          <w:rFonts w:eastAsia="Times New Roman"/>
          <w:lang w:eastAsia="de-DE"/>
        </w:rPr>
        <w:t xml:space="preserve"> („hinaufgehen"). </w:t>
      </w:r>
      <w:r w:rsidRPr="00233F30">
        <w:rPr>
          <w:rFonts w:eastAsia="Times New Roman"/>
          <w:b/>
          <w:bCs/>
          <w:rtl/>
          <w:lang w:eastAsia="de-DE"/>
        </w:rPr>
        <w:t>רֵשׁ</w:t>
      </w:r>
      <w:r w:rsidRPr="00233F30">
        <w:rPr>
          <w:rFonts w:eastAsia="Times New Roman"/>
          <w:rtl/>
          <w:lang w:eastAsia="de-DE"/>
        </w:rPr>
        <w:t xml:space="preserve"> </w:t>
      </w:r>
      <w:r w:rsidRPr="00233F30">
        <w:rPr>
          <w:rFonts w:eastAsia="Times New Roman"/>
          <w:lang w:eastAsia="de-DE"/>
        </w:rPr>
        <w:t xml:space="preserve">ist Qal Imperativ maskulin Singular von </w:t>
      </w:r>
      <w:r w:rsidRPr="00233F30">
        <w:rPr>
          <w:rFonts w:eastAsia="Times New Roman"/>
          <w:rtl/>
          <w:lang w:eastAsia="de-DE"/>
        </w:rPr>
        <w:t>ירשׁ</w:t>
      </w:r>
      <w:r w:rsidRPr="00233F30">
        <w:rPr>
          <w:rFonts w:eastAsia="Times New Roman"/>
          <w:lang w:eastAsia="de-DE"/>
        </w:rPr>
        <w:t xml:space="preserve"> („in Besitz nehmen, erben"). </w:t>
      </w:r>
      <w:r w:rsidRPr="00233F30">
        <w:rPr>
          <w:rFonts w:eastAsia="Times New Roman"/>
          <w:b/>
          <w:bCs/>
          <w:rtl/>
          <w:lang w:eastAsia="de-DE"/>
        </w:rPr>
        <w:t>כַּאֲשֶׁר דִּבֶּר יְהוָה אֱלֹהֵי אֲבֹתֶיךָ לָךְ</w:t>
      </w:r>
      <w:r w:rsidRPr="00233F30">
        <w:rPr>
          <w:rFonts w:eastAsia="Times New Roman"/>
          <w:rtl/>
          <w:lang w:eastAsia="de-DE"/>
        </w:rPr>
        <w:t xml:space="preserve"> </w:t>
      </w:r>
      <w:r w:rsidRPr="00233F30">
        <w:rPr>
          <w:rFonts w:eastAsia="Times New Roman"/>
          <w:lang w:eastAsia="de-DE"/>
        </w:rPr>
        <w:t xml:space="preserve">ist ein Vergleichssatz: </w:t>
      </w:r>
      <w:r w:rsidRPr="00233F30">
        <w:rPr>
          <w:rFonts w:eastAsia="Times New Roman"/>
          <w:b/>
          <w:bCs/>
          <w:rtl/>
          <w:lang w:eastAsia="de-DE"/>
        </w:rPr>
        <w:t>כַּאֲשֶׁר</w:t>
      </w:r>
      <w:r w:rsidRPr="00233F30">
        <w:rPr>
          <w:rFonts w:eastAsia="Times New Roman"/>
          <w:lang w:eastAsia="de-DE"/>
        </w:rPr>
        <w:t xml:space="preserve">, </w:t>
      </w:r>
      <w:r w:rsidRPr="00233F30">
        <w:rPr>
          <w:rFonts w:eastAsia="Times New Roman"/>
          <w:b/>
          <w:bCs/>
          <w:rtl/>
          <w:lang w:eastAsia="de-DE"/>
        </w:rPr>
        <w:t>דִּבֶּר</w:t>
      </w:r>
      <w:r w:rsidRPr="00233F30">
        <w:rPr>
          <w:rFonts w:eastAsia="Times New Roman"/>
          <w:rtl/>
          <w:lang w:eastAsia="de-DE"/>
        </w:rPr>
        <w:t xml:space="preserve"> </w:t>
      </w:r>
      <w:r w:rsidRPr="00233F30">
        <w:rPr>
          <w:rFonts w:eastAsia="Times New Roman"/>
          <w:lang w:eastAsia="de-DE"/>
        </w:rPr>
        <w:t xml:space="preserve">(Piel Perfekt, 3. Person maskulin Singular), </w:t>
      </w:r>
      <w:r w:rsidRPr="00233F30">
        <w:rPr>
          <w:rFonts w:eastAsia="Times New Roman"/>
          <w:b/>
          <w:bCs/>
          <w:rtl/>
          <w:lang w:eastAsia="de-DE"/>
        </w:rPr>
        <w:t>יְהוָה אֱלֹהֵי אֲבֹתֶיךָ</w:t>
      </w:r>
      <w:r w:rsidRPr="00233F30">
        <w:rPr>
          <w:rFonts w:eastAsia="Times New Roman"/>
          <w:rtl/>
          <w:lang w:eastAsia="de-DE"/>
        </w:rPr>
        <w:t xml:space="preserve"> </w:t>
      </w:r>
      <w:r w:rsidRPr="00233F30">
        <w:rPr>
          <w:rFonts w:eastAsia="Times New Roman"/>
          <w:lang w:eastAsia="de-DE"/>
        </w:rPr>
        <w:t xml:space="preserve">(mit </w:t>
      </w:r>
      <w:r w:rsidRPr="00233F30">
        <w:rPr>
          <w:rFonts w:eastAsia="Times New Roman"/>
          <w:b/>
          <w:bCs/>
          <w:rtl/>
          <w:lang w:eastAsia="de-DE"/>
        </w:rPr>
        <w:t>אֲבֹתֶיךָ</w:t>
      </w:r>
      <w:r w:rsidRPr="00233F30">
        <w:rPr>
          <w:rFonts w:eastAsia="Times New Roman"/>
          <w:rtl/>
          <w:lang w:eastAsia="de-DE"/>
        </w:rPr>
        <w:t xml:space="preserve"> </w:t>
      </w:r>
      <w:r w:rsidRPr="00233F30">
        <w:rPr>
          <w:rFonts w:eastAsia="Times New Roman"/>
          <w:lang w:eastAsia="de-DE"/>
        </w:rPr>
        <w:t xml:space="preserve">als Plural </w:t>
      </w:r>
      <w:r w:rsidR="0032647F">
        <w:rPr>
          <w:rFonts w:eastAsia="Times New Roman"/>
          <w:lang w:eastAsia="de-DE"/>
        </w:rPr>
        <w:t>Construct</w:t>
      </w:r>
      <w:r w:rsidRPr="00233F30">
        <w:rPr>
          <w:rFonts w:eastAsia="Times New Roman"/>
          <w:lang w:eastAsia="de-DE"/>
        </w:rPr>
        <w:t xml:space="preserve"> von </w:t>
      </w:r>
      <w:r w:rsidRPr="00233F30">
        <w:rPr>
          <w:rFonts w:eastAsia="Times New Roman"/>
          <w:b/>
          <w:bCs/>
          <w:rtl/>
          <w:lang w:eastAsia="de-DE"/>
        </w:rPr>
        <w:t>אָב</w:t>
      </w:r>
      <w:r w:rsidRPr="00233F30">
        <w:rPr>
          <w:rFonts w:eastAsia="Times New Roman"/>
          <w:rtl/>
          <w:lang w:eastAsia="de-DE"/>
        </w:rPr>
        <w:t xml:space="preserve"> </w:t>
      </w:r>
      <w:r w:rsidRPr="00233F30">
        <w:rPr>
          <w:rFonts w:eastAsia="Times New Roman"/>
          <w:lang w:eastAsia="de-DE"/>
        </w:rPr>
        <w:t xml:space="preserve">mit Suffix 2. Person maskulin Singular), und </w:t>
      </w:r>
      <w:r w:rsidRPr="00233F30">
        <w:rPr>
          <w:rFonts w:eastAsia="Times New Roman"/>
          <w:b/>
          <w:bCs/>
          <w:rtl/>
          <w:lang w:eastAsia="de-DE"/>
        </w:rPr>
        <w:t>לָךְ</w:t>
      </w:r>
      <w:r w:rsidRPr="00233F30">
        <w:rPr>
          <w:rFonts w:eastAsia="Times New Roman"/>
          <w:rtl/>
          <w:lang w:eastAsia="de-DE"/>
        </w:rPr>
        <w:t xml:space="preserve"> </w:t>
      </w:r>
      <w:r w:rsidRPr="00233F30">
        <w:rPr>
          <w:rFonts w:eastAsia="Times New Roman"/>
          <w:lang w:eastAsia="de-DE"/>
        </w:rPr>
        <w:t xml:space="preserve">(mit femininer Endung </w:t>
      </w:r>
      <w:r w:rsidRPr="00233F30">
        <w:rPr>
          <w:rFonts w:eastAsia="Times New Roman"/>
          <w:b/>
          <w:bCs/>
          <w:rtl/>
          <w:lang w:eastAsia="de-DE"/>
        </w:rPr>
        <w:t>ךְ</w:t>
      </w:r>
      <w:r w:rsidRPr="00233F30">
        <w:rPr>
          <w:rFonts w:eastAsia="Times New Roman"/>
          <w:rtl/>
          <w:lang w:eastAsia="de-DE"/>
        </w:rPr>
        <w:t xml:space="preserve"> </w:t>
      </w:r>
      <w:r w:rsidRPr="00233F30">
        <w:rPr>
          <w:rFonts w:eastAsia="Times New Roman"/>
          <w:lang w:eastAsia="de-DE"/>
        </w:rPr>
        <w:t xml:space="preserve">statt maskulin </w:t>
      </w:r>
      <w:r w:rsidRPr="00233F30">
        <w:rPr>
          <w:rFonts w:eastAsia="Times New Roman"/>
          <w:b/>
          <w:bCs/>
          <w:rtl/>
          <w:lang w:eastAsia="de-DE"/>
        </w:rPr>
        <w:t>ךָ</w:t>
      </w:r>
      <w:r w:rsidRPr="00233F30">
        <w:rPr>
          <w:rFonts w:eastAsia="Times New Roman"/>
          <w:lang w:eastAsia="de-DE"/>
        </w:rPr>
        <w:t>, eine dialektale Variante).</w:t>
      </w:r>
    </w:p>
    <w:p w14:paraId="43F9298E"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rtl/>
          <w:lang w:eastAsia="de-DE"/>
        </w:rPr>
        <w:t>אַל־תִּירָא</w:t>
      </w:r>
      <w:r w:rsidRPr="00233F30">
        <w:rPr>
          <w:rFonts w:eastAsia="Times New Roman"/>
          <w:rtl/>
          <w:lang w:eastAsia="de-DE"/>
        </w:rPr>
        <w:t xml:space="preserve"> </w:t>
      </w:r>
      <w:r w:rsidRPr="00233F30">
        <w:rPr>
          <w:rFonts w:eastAsia="Times New Roman"/>
          <w:lang w:eastAsia="de-DE"/>
        </w:rPr>
        <w:t xml:space="preserve">ist die prohibitive Negation </w:t>
      </w:r>
      <w:r w:rsidRPr="00233F30">
        <w:rPr>
          <w:rFonts w:eastAsia="Times New Roman"/>
          <w:b/>
          <w:bCs/>
          <w:rtl/>
          <w:lang w:eastAsia="de-DE"/>
        </w:rPr>
        <w:t>אַל</w:t>
      </w:r>
      <w:r w:rsidRPr="00233F30">
        <w:rPr>
          <w:rFonts w:eastAsia="Times New Roman"/>
          <w:rtl/>
          <w:lang w:eastAsia="de-DE"/>
        </w:rPr>
        <w:t xml:space="preserve"> </w:t>
      </w:r>
      <w:r w:rsidRPr="00233F30">
        <w:rPr>
          <w:rFonts w:eastAsia="Times New Roman"/>
          <w:lang w:eastAsia="de-DE"/>
        </w:rPr>
        <w:t xml:space="preserve">mit Qal Imperfekt (Jussiv), 2. Person maskulin Singular von </w:t>
      </w:r>
      <w:r w:rsidRPr="00233F30">
        <w:rPr>
          <w:rFonts w:eastAsia="Times New Roman"/>
          <w:rtl/>
          <w:lang w:eastAsia="de-DE"/>
        </w:rPr>
        <w:t>ירא</w:t>
      </w:r>
      <w:r w:rsidRPr="00233F30">
        <w:rPr>
          <w:rFonts w:eastAsia="Times New Roman"/>
          <w:lang w:eastAsia="de-DE"/>
        </w:rPr>
        <w:t xml:space="preserve"> („sich fürchten"). </w:t>
      </w:r>
      <w:r w:rsidRPr="00233F30">
        <w:rPr>
          <w:rFonts w:eastAsia="Times New Roman"/>
          <w:b/>
          <w:bCs/>
          <w:rtl/>
          <w:lang w:eastAsia="de-DE"/>
        </w:rPr>
        <w:t>וְאַל־תֵּחָת</w:t>
      </w:r>
      <w:r w:rsidRPr="00233F30">
        <w:rPr>
          <w:rFonts w:eastAsia="Times New Roman"/>
          <w:rtl/>
          <w:lang w:eastAsia="de-DE"/>
        </w:rPr>
        <w:t xml:space="preserve"> </w:t>
      </w:r>
      <w:r w:rsidRPr="00233F30">
        <w:rPr>
          <w:rFonts w:eastAsia="Times New Roman"/>
          <w:lang w:eastAsia="de-DE"/>
        </w:rPr>
        <w:t xml:space="preserve">ist parallel: </w:t>
      </w:r>
      <w:r w:rsidRPr="00233F30">
        <w:rPr>
          <w:rFonts w:eastAsia="Times New Roman"/>
          <w:b/>
          <w:bCs/>
          <w:rtl/>
          <w:lang w:eastAsia="de-DE"/>
        </w:rPr>
        <w:t>אַל</w:t>
      </w:r>
      <w:r w:rsidRPr="00233F30">
        <w:rPr>
          <w:rFonts w:eastAsia="Times New Roman"/>
          <w:rtl/>
          <w:lang w:eastAsia="de-DE"/>
        </w:rPr>
        <w:t xml:space="preserve"> </w:t>
      </w:r>
      <w:r w:rsidRPr="00233F30">
        <w:rPr>
          <w:rFonts w:eastAsia="Times New Roman"/>
          <w:lang w:eastAsia="de-DE"/>
        </w:rPr>
        <w:t xml:space="preserve">mit Qal Imperfekt (Jussiv), 2. Person maskulin Singular von </w:t>
      </w:r>
      <w:r w:rsidRPr="00233F30">
        <w:rPr>
          <w:rFonts w:eastAsia="Times New Roman"/>
          <w:rtl/>
          <w:lang w:eastAsia="de-DE"/>
        </w:rPr>
        <w:t>חתת</w:t>
      </w:r>
      <w:r w:rsidRPr="00233F30">
        <w:rPr>
          <w:rFonts w:eastAsia="Times New Roman"/>
          <w:lang w:eastAsia="de-DE"/>
        </w:rPr>
        <w:t xml:space="preserve"> („zerschlagen werden, verzagen, mutlos sein"). Beide Prohibitive sind charakteristisch für Ermutigungsformeln im Heiligen Krieg.</w:t>
      </w:r>
    </w:p>
    <w:p w14:paraId="48BBF258"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Die LXX</w:t>
      </w:r>
      <w:r w:rsidRPr="00233F30">
        <w:rPr>
          <w:rFonts w:eastAsia="Times New Roman"/>
          <w:lang w:eastAsia="de-DE"/>
        </w:rPr>
        <w:t xml:space="preserve"> übersetzt „</w:t>
      </w:r>
      <w:proofErr w:type="spellStart"/>
      <w:r w:rsidRPr="00233F30">
        <w:rPr>
          <w:rFonts w:eastAsia="Times New Roman"/>
          <w:lang w:eastAsia="de-DE"/>
        </w:rPr>
        <w:t>ἰδοὺ</w:t>
      </w:r>
      <w:proofErr w:type="spellEnd"/>
      <w:r w:rsidRPr="00233F30">
        <w:rPr>
          <w:rFonts w:eastAsia="Times New Roman"/>
          <w:lang w:eastAsia="de-DE"/>
        </w:rPr>
        <w:t xml:space="preserve"> παρα</w:t>
      </w:r>
      <w:proofErr w:type="spellStart"/>
      <w:r w:rsidRPr="00233F30">
        <w:rPr>
          <w:rFonts w:eastAsia="Times New Roman"/>
          <w:lang w:eastAsia="de-DE"/>
        </w:rPr>
        <w:t>δέδωκεν</w:t>
      </w:r>
      <w:proofErr w:type="spellEnd"/>
      <w:r w:rsidRPr="00233F30">
        <w:rPr>
          <w:rFonts w:eastAsia="Times New Roman"/>
          <w:lang w:eastAsia="de-DE"/>
        </w:rPr>
        <w:t xml:space="preserve"> </w:t>
      </w:r>
      <w:proofErr w:type="spellStart"/>
      <w:r w:rsidRPr="00233F30">
        <w:rPr>
          <w:rFonts w:eastAsia="Times New Roman"/>
          <w:lang w:eastAsia="de-DE"/>
        </w:rPr>
        <w:t>κύριος</w:t>
      </w:r>
      <w:proofErr w:type="spellEnd"/>
      <w:r w:rsidRPr="00233F30">
        <w:rPr>
          <w:rFonts w:eastAsia="Times New Roman"/>
          <w:lang w:eastAsia="de-DE"/>
        </w:rPr>
        <w:t xml:space="preserve"> ὁ </w:t>
      </w:r>
      <w:proofErr w:type="spellStart"/>
      <w:r w:rsidRPr="00233F30">
        <w:rPr>
          <w:rFonts w:eastAsia="Times New Roman"/>
          <w:lang w:eastAsia="de-DE"/>
        </w:rPr>
        <w:t>θεός</w:t>
      </w:r>
      <w:proofErr w:type="spellEnd"/>
      <w:r w:rsidRPr="00233F30">
        <w:rPr>
          <w:rFonts w:eastAsia="Times New Roman"/>
          <w:lang w:eastAsia="de-DE"/>
        </w:rPr>
        <w:t xml:space="preserve"> </w:t>
      </w:r>
      <w:proofErr w:type="spellStart"/>
      <w:r w:rsidRPr="00233F30">
        <w:rPr>
          <w:rFonts w:eastAsia="Times New Roman"/>
          <w:lang w:eastAsia="de-DE"/>
        </w:rPr>
        <w:t>σου</w:t>
      </w:r>
      <w:proofErr w:type="spellEnd"/>
      <w:r w:rsidRPr="00233F30">
        <w:rPr>
          <w:rFonts w:eastAsia="Times New Roman"/>
          <w:lang w:eastAsia="de-DE"/>
        </w:rPr>
        <w:t xml:space="preserve"> π</w:t>
      </w:r>
      <w:proofErr w:type="spellStart"/>
      <w:r w:rsidRPr="00233F30">
        <w:rPr>
          <w:rFonts w:eastAsia="Times New Roman"/>
          <w:lang w:eastAsia="de-DE"/>
        </w:rPr>
        <w:t>ρὸ</w:t>
      </w:r>
      <w:proofErr w:type="spellEnd"/>
      <w:r w:rsidRPr="00233F30">
        <w:rPr>
          <w:rFonts w:eastAsia="Times New Roman"/>
          <w:lang w:eastAsia="de-DE"/>
        </w:rPr>
        <w:t xml:space="preserve"> π</w:t>
      </w:r>
      <w:proofErr w:type="spellStart"/>
      <w:r w:rsidRPr="00233F30">
        <w:rPr>
          <w:rFonts w:eastAsia="Times New Roman"/>
          <w:lang w:eastAsia="de-DE"/>
        </w:rPr>
        <w:t>ροσώ</w:t>
      </w:r>
      <w:proofErr w:type="spellEnd"/>
      <w:r w:rsidRPr="00233F30">
        <w:rPr>
          <w:rFonts w:eastAsia="Times New Roman"/>
          <w:lang w:eastAsia="de-DE"/>
        </w:rPr>
        <w:t xml:space="preserve">που </w:t>
      </w:r>
      <w:proofErr w:type="spellStart"/>
      <w:r w:rsidRPr="00233F30">
        <w:rPr>
          <w:rFonts w:eastAsia="Times New Roman"/>
          <w:lang w:eastAsia="de-DE"/>
        </w:rPr>
        <w:t>σου</w:t>
      </w:r>
      <w:proofErr w:type="spellEnd"/>
      <w:r w:rsidRPr="00233F30">
        <w:rPr>
          <w:rFonts w:eastAsia="Times New Roman"/>
          <w:lang w:eastAsia="de-DE"/>
        </w:rPr>
        <w:t xml:space="preserve"> τὴν </w:t>
      </w:r>
      <w:proofErr w:type="spellStart"/>
      <w:r w:rsidRPr="00233F30">
        <w:rPr>
          <w:rFonts w:eastAsia="Times New Roman"/>
          <w:lang w:eastAsia="de-DE"/>
        </w:rPr>
        <w:t>γῆν</w:t>
      </w:r>
      <w:proofErr w:type="spellEnd"/>
      <w:r w:rsidRPr="00233F30">
        <w:rPr>
          <w:rFonts w:eastAsia="Times New Roman"/>
          <w:lang w:eastAsia="de-DE"/>
        </w:rPr>
        <w:t xml:space="preserve">, </w:t>
      </w:r>
      <w:proofErr w:type="spellStart"/>
      <w:r w:rsidRPr="00233F30">
        <w:rPr>
          <w:rFonts w:eastAsia="Times New Roman"/>
          <w:lang w:eastAsia="de-DE"/>
        </w:rPr>
        <w:t>ἀν</w:t>
      </w:r>
      <w:proofErr w:type="spellEnd"/>
      <w:r w:rsidRPr="00233F30">
        <w:rPr>
          <w:rFonts w:eastAsia="Times New Roman"/>
          <w:lang w:eastAsia="de-DE"/>
        </w:rPr>
        <w:t xml:space="preserve">αβὰς </w:t>
      </w:r>
      <w:proofErr w:type="spellStart"/>
      <w:r w:rsidRPr="00233F30">
        <w:rPr>
          <w:rFonts w:eastAsia="Times New Roman"/>
          <w:lang w:eastAsia="de-DE"/>
        </w:rPr>
        <w:t>κληρονόμησον</w:t>
      </w:r>
      <w:proofErr w:type="spellEnd"/>
      <w:r w:rsidRPr="00233F30">
        <w:rPr>
          <w:rFonts w:eastAsia="Times New Roman"/>
          <w:lang w:eastAsia="de-DE"/>
        </w:rPr>
        <w:t xml:space="preserve">, </w:t>
      </w:r>
      <w:proofErr w:type="spellStart"/>
      <w:r w:rsidRPr="00233F30">
        <w:rPr>
          <w:rFonts w:eastAsia="Times New Roman"/>
          <w:lang w:eastAsia="de-DE"/>
        </w:rPr>
        <w:t>ὃν</w:t>
      </w:r>
      <w:proofErr w:type="spellEnd"/>
      <w:r w:rsidRPr="00233F30">
        <w:rPr>
          <w:rFonts w:eastAsia="Times New Roman"/>
          <w:lang w:eastAsia="de-DE"/>
        </w:rPr>
        <w:t xml:space="preserve"> </w:t>
      </w:r>
      <w:proofErr w:type="spellStart"/>
      <w:r w:rsidRPr="00233F30">
        <w:rPr>
          <w:rFonts w:eastAsia="Times New Roman"/>
          <w:lang w:eastAsia="de-DE"/>
        </w:rPr>
        <w:t>τρό</w:t>
      </w:r>
      <w:proofErr w:type="spellEnd"/>
      <w:r w:rsidRPr="00233F30">
        <w:rPr>
          <w:rFonts w:eastAsia="Times New Roman"/>
          <w:lang w:eastAsia="de-DE"/>
        </w:rPr>
        <w:t xml:space="preserve">πον </w:t>
      </w:r>
      <w:proofErr w:type="spellStart"/>
      <w:r w:rsidRPr="00233F30">
        <w:rPr>
          <w:rFonts w:eastAsia="Times New Roman"/>
          <w:lang w:eastAsia="de-DE"/>
        </w:rPr>
        <w:t>εἶ</w:t>
      </w:r>
      <w:proofErr w:type="spellEnd"/>
      <w:r w:rsidRPr="00233F30">
        <w:rPr>
          <w:rFonts w:eastAsia="Times New Roman"/>
          <w:lang w:eastAsia="de-DE"/>
        </w:rPr>
        <w:t xml:space="preserve">πεν </w:t>
      </w:r>
      <w:proofErr w:type="spellStart"/>
      <w:r w:rsidRPr="00233F30">
        <w:rPr>
          <w:rFonts w:eastAsia="Times New Roman"/>
          <w:lang w:eastAsia="de-DE"/>
        </w:rPr>
        <w:t>κύριος</w:t>
      </w:r>
      <w:proofErr w:type="spellEnd"/>
      <w:r w:rsidRPr="00233F30">
        <w:rPr>
          <w:rFonts w:eastAsia="Times New Roman"/>
          <w:lang w:eastAsia="de-DE"/>
        </w:rPr>
        <w:t xml:space="preserve"> ὁ </w:t>
      </w:r>
      <w:proofErr w:type="spellStart"/>
      <w:r w:rsidRPr="00233F30">
        <w:rPr>
          <w:rFonts w:eastAsia="Times New Roman"/>
          <w:lang w:eastAsia="de-DE"/>
        </w:rPr>
        <w:t>θεὸς</w:t>
      </w:r>
      <w:proofErr w:type="spellEnd"/>
      <w:r w:rsidRPr="00233F30">
        <w:rPr>
          <w:rFonts w:eastAsia="Times New Roman"/>
          <w:lang w:eastAsia="de-DE"/>
        </w:rPr>
        <w:t xml:space="preserve"> </w:t>
      </w:r>
      <w:proofErr w:type="spellStart"/>
      <w:r w:rsidRPr="00233F30">
        <w:rPr>
          <w:rFonts w:eastAsia="Times New Roman"/>
          <w:lang w:eastAsia="de-DE"/>
        </w:rPr>
        <w:t>τῶν</w:t>
      </w:r>
      <w:proofErr w:type="spellEnd"/>
      <w:r w:rsidRPr="00233F30">
        <w:rPr>
          <w:rFonts w:eastAsia="Times New Roman"/>
          <w:lang w:eastAsia="de-DE"/>
        </w:rPr>
        <w:t xml:space="preserve"> πα</w:t>
      </w:r>
      <w:proofErr w:type="spellStart"/>
      <w:r w:rsidRPr="00233F30">
        <w:rPr>
          <w:rFonts w:eastAsia="Times New Roman"/>
          <w:lang w:eastAsia="de-DE"/>
        </w:rPr>
        <w:t>τέρων</w:t>
      </w:r>
      <w:proofErr w:type="spellEnd"/>
      <w:r w:rsidRPr="00233F30">
        <w:rPr>
          <w:rFonts w:eastAsia="Times New Roman"/>
          <w:lang w:eastAsia="de-DE"/>
        </w:rPr>
        <w:t xml:space="preserve"> </w:t>
      </w:r>
      <w:proofErr w:type="spellStart"/>
      <w:r w:rsidRPr="00233F30">
        <w:rPr>
          <w:rFonts w:eastAsia="Times New Roman"/>
          <w:lang w:eastAsia="de-DE"/>
        </w:rPr>
        <w:t>σου</w:t>
      </w:r>
      <w:proofErr w:type="spellEnd"/>
      <w:r w:rsidRPr="00233F30">
        <w:rPr>
          <w:rFonts w:eastAsia="Times New Roman"/>
          <w:lang w:eastAsia="de-DE"/>
        </w:rPr>
        <w:t xml:space="preserve"> </w:t>
      </w:r>
      <w:proofErr w:type="spellStart"/>
      <w:r w:rsidRPr="00233F30">
        <w:rPr>
          <w:rFonts w:eastAsia="Times New Roman"/>
          <w:lang w:eastAsia="de-DE"/>
        </w:rPr>
        <w:t>σοί</w:t>
      </w:r>
      <w:proofErr w:type="spellEnd"/>
      <w:r w:rsidRPr="00233F30">
        <w:rPr>
          <w:rFonts w:eastAsia="Times New Roman"/>
          <w:lang w:eastAsia="de-DE"/>
        </w:rPr>
        <w:t xml:space="preserve">, </w:t>
      </w:r>
      <w:proofErr w:type="spellStart"/>
      <w:r w:rsidRPr="00233F30">
        <w:rPr>
          <w:rFonts w:eastAsia="Times New Roman"/>
          <w:lang w:eastAsia="de-DE"/>
        </w:rPr>
        <w:t>μὴ</w:t>
      </w:r>
      <w:proofErr w:type="spellEnd"/>
      <w:r w:rsidRPr="00233F30">
        <w:rPr>
          <w:rFonts w:eastAsia="Times New Roman"/>
          <w:lang w:eastAsia="de-DE"/>
        </w:rPr>
        <w:t xml:space="preserve"> </w:t>
      </w:r>
      <w:proofErr w:type="spellStart"/>
      <w:r w:rsidRPr="00233F30">
        <w:rPr>
          <w:rFonts w:eastAsia="Times New Roman"/>
          <w:lang w:eastAsia="de-DE"/>
        </w:rPr>
        <w:t>φο</w:t>
      </w:r>
      <w:proofErr w:type="spellEnd"/>
      <w:r w:rsidRPr="00233F30">
        <w:rPr>
          <w:rFonts w:eastAsia="Times New Roman"/>
          <w:lang w:eastAsia="de-DE"/>
        </w:rPr>
        <w:t xml:space="preserve">βοῦ </w:t>
      </w:r>
      <w:proofErr w:type="spellStart"/>
      <w:r w:rsidRPr="00233F30">
        <w:rPr>
          <w:rFonts w:eastAsia="Times New Roman"/>
          <w:lang w:eastAsia="de-DE"/>
        </w:rPr>
        <w:t>μηδὲ</w:t>
      </w:r>
      <w:proofErr w:type="spellEnd"/>
      <w:r w:rsidRPr="00233F30">
        <w:rPr>
          <w:rFonts w:eastAsia="Times New Roman"/>
          <w:lang w:eastAsia="de-DE"/>
        </w:rPr>
        <w:t xml:space="preserve"> </w:t>
      </w:r>
      <w:proofErr w:type="spellStart"/>
      <w:r w:rsidRPr="00233F30">
        <w:rPr>
          <w:rFonts w:eastAsia="Times New Roman"/>
          <w:lang w:eastAsia="de-DE"/>
        </w:rPr>
        <w:t>δειλιάσῃς</w:t>
      </w:r>
      <w:proofErr w:type="spellEnd"/>
      <w:r w:rsidRPr="00233F30">
        <w:rPr>
          <w:rFonts w:eastAsia="Times New Roman"/>
          <w:lang w:eastAsia="de-DE"/>
        </w:rPr>
        <w:t>" („siehe, übergeben hat der Herr, dein Gott, vor dein Angesicht das Land, hinaufgehend nimm in Besitz, auf welche Weise gesagt hat der Herr, der Gott deiner Väter, zu dir, fürchte dich nicht und verzage nicht"). Die LXX verwendet Partizip für den ersten Imperativ und Konjunktiv für die Prohibitive.</w:t>
      </w:r>
    </w:p>
    <w:p w14:paraId="6D4CF7ED"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lang w:eastAsia="de-DE"/>
        </w:rPr>
        <w:lastRenderedPageBreak/>
        <w:t xml:space="preserve">Die Satzstruktur besteht aus mehreren koordinierten Sätzen: (1) Aufmerksamkeitspartikel mit </w:t>
      </w:r>
      <w:proofErr w:type="spellStart"/>
      <w:r w:rsidRPr="00233F30">
        <w:rPr>
          <w:rFonts w:eastAsia="Times New Roman"/>
          <w:lang w:eastAsia="de-DE"/>
        </w:rPr>
        <w:t>Perfektsatz</w:t>
      </w:r>
      <w:proofErr w:type="spellEnd"/>
      <w:r w:rsidRPr="00233F30">
        <w:rPr>
          <w:rFonts w:eastAsia="Times New Roman"/>
          <w:lang w:eastAsia="de-DE"/>
        </w:rPr>
        <w:t xml:space="preserve"> (</w:t>
      </w:r>
      <w:r w:rsidRPr="00233F30">
        <w:rPr>
          <w:rFonts w:eastAsia="Times New Roman"/>
          <w:b/>
          <w:bCs/>
          <w:rtl/>
          <w:lang w:eastAsia="de-DE"/>
        </w:rPr>
        <w:t>רְאֵה נָתַן יְהוָה אֱלֹהֶיךָ לְפָנֶיךָ אֶת־הָאָרֶץ</w:t>
      </w:r>
      <w:r w:rsidRPr="00233F30">
        <w:rPr>
          <w:rFonts w:eastAsia="Times New Roman"/>
          <w:lang w:eastAsia="de-DE"/>
        </w:rPr>
        <w:t>), (2) zwei koordinierte Imperative (</w:t>
      </w:r>
      <w:r w:rsidRPr="00233F30">
        <w:rPr>
          <w:rFonts w:eastAsia="Times New Roman"/>
          <w:b/>
          <w:bCs/>
          <w:rtl/>
          <w:lang w:eastAsia="de-DE"/>
        </w:rPr>
        <w:t>עֲלֵה רֵשׁ</w:t>
      </w:r>
      <w:r w:rsidRPr="00233F30">
        <w:rPr>
          <w:rFonts w:eastAsia="Times New Roman"/>
          <w:lang w:eastAsia="de-DE"/>
        </w:rPr>
        <w:t>) mit Vergleichssatz, (3) zwei koordinierte Prohibitive (</w:t>
      </w:r>
      <w:r w:rsidRPr="00233F30">
        <w:rPr>
          <w:rFonts w:eastAsia="Times New Roman"/>
          <w:b/>
          <w:bCs/>
          <w:rtl/>
          <w:lang w:eastAsia="de-DE"/>
        </w:rPr>
        <w:t>אַל־תִּירָא וְאַל־תֵּחָת</w:t>
      </w:r>
      <w:r w:rsidRPr="00233F30">
        <w:rPr>
          <w:rFonts w:eastAsia="Times New Roman"/>
          <w:lang w:eastAsia="de-DE"/>
        </w:rPr>
        <w:t>). Die Struktur kombiniert göttliche Zusicherung, menschliche Aufforderung und Ermutigung.</w:t>
      </w:r>
    </w:p>
    <w:p w14:paraId="3CD036C2"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lang w:eastAsia="de-DE"/>
        </w:rPr>
        <w:t>Der Vers ist Moses ermutigende Aufforderung zur Landnahme und greift die klassischen Formeln des Heiligen Krieges auf: Gottes Zusage, der Befehl zum Handeln, und die Aufhebung der Furcht. Der Wechsel vom Plural (V. 20) zum Singular (V. 21) individualisiert die Verantwortung.</w:t>
      </w:r>
    </w:p>
    <w:p w14:paraId="1AD18D77" w14:textId="77777777" w:rsidR="00233F30" w:rsidRPr="00233F30" w:rsidRDefault="00233F30" w:rsidP="00233F30">
      <w:pPr>
        <w:spacing w:before="100" w:beforeAutospacing="1" w:after="100" w:afterAutospacing="1" w:line="240" w:lineRule="auto"/>
        <w:outlineLvl w:val="1"/>
        <w:rPr>
          <w:rFonts w:eastAsia="Times New Roman"/>
          <w:b/>
          <w:bCs/>
          <w:sz w:val="36"/>
          <w:szCs w:val="36"/>
          <w:lang w:eastAsia="de-DE"/>
        </w:rPr>
      </w:pPr>
      <w:r w:rsidRPr="00233F30">
        <w:rPr>
          <w:rFonts w:eastAsia="Times New Roman"/>
          <w:b/>
          <w:bCs/>
          <w:sz w:val="36"/>
          <w:szCs w:val="36"/>
          <w:lang w:eastAsia="de-DE"/>
        </w:rPr>
        <w:t>Deuteronomium 1,22</w:t>
      </w:r>
    </w:p>
    <w:p w14:paraId="742CD1AA"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Hebräisch:</w:t>
      </w:r>
      <w:r w:rsidRPr="00233F30">
        <w:rPr>
          <w:rFonts w:eastAsia="Times New Roman"/>
          <w:lang w:eastAsia="de-DE"/>
        </w:rPr>
        <w:t xml:space="preserve"> </w:t>
      </w:r>
      <w:r w:rsidRPr="00233F30">
        <w:rPr>
          <w:rFonts w:eastAsia="Times New Roman"/>
          <w:rtl/>
          <w:lang w:eastAsia="de-DE"/>
        </w:rPr>
        <w:t>וַתִּקְרְב֣וּן אֵלַי֮ כֻּלְּכֶם֒ וַתֹּאמְר֗וּ נִשְׁלְחָ֤ה אֲנָשִׁים֙ לְפָנֵ֔ינוּ וְיַחְפְּרוּ־לָ֖נוּ אֶת־הָאָ֑רֶץ וְיָשִׁ֤בוּ אֹתָ֙נוּ֙ דָּבָ֔ר</w:t>
      </w:r>
    </w:p>
    <w:p w14:paraId="588FF97B"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rtl/>
          <w:lang w:eastAsia="de-DE"/>
        </w:rPr>
        <w:t>אֶת־הַדֶּ֙רֶךְ֙ אֲשֶׁ֣ר נַעֲלֶה־בָּ֔הּ וְאֵת֙ הֶֽעָרִ֔ים אֲשֶׁ֥ר נָבֹ֖א אֲלֵיהֶֽן׃</w:t>
      </w:r>
    </w:p>
    <w:p w14:paraId="2662CD1C"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Deutsch:</w:t>
      </w:r>
      <w:r w:rsidRPr="00233F30">
        <w:rPr>
          <w:rFonts w:eastAsia="Times New Roman"/>
          <w:lang w:eastAsia="de-DE"/>
        </w:rPr>
        <w:t xml:space="preserve"> Und ihr tratet alle zu mir und sagtet: Lasst uns Männer vor uns hersenden, dass sie für uns das Land erkunden und uns Bericht erstatten über den Weg, auf dem wir hinaufziehen sollen, und über die Städte, zu denen wir kommen werden.</w:t>
      </w:r>
    </w:p>
    <w:p w14:paraId="37637474" w14:textId="77777777" w:rsidR="00233F30" w:rsidRPr="00233F30" w:rsidRDefault="004F5CEB" w:rsidP="00233F30">
      <w:pPr>
        <w:spacing w:after="0" w:line="240" w:lineRule="auto"/>
        <w:rPr>
          <w:rFonts w:eastAsia="Times New Roman"/>
          <w:lang w:eastAsia="de-DE"/>
        </w:rPr>
      </w:pPr>
      <w:r>
        <w:rPr>
          <w:rFonts w:eastAsia="Times New Roman"/>
          <w:noProof/>
          <w:lang w:eastAsia="de-DE"/>
        </w:rPr>
        <w:pict w14:anchorId="5328FD2B">
          <v:rect id="_x0000_i1046" style="width:0;height:1.5pt" o:hralign="center" o:hrstd="t" o:hr="t" fillcolor="#a0a0a0" stroked="f"/>
        </w:pict>
      </w:r>
    </w:p>
    <w:p w14:paraId="7D775257"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Kommentar:</w:t>
      </w:r>
      <w:r w:rsidRPr="00233F30">
        <w:rPr>
          <w:rFonts w:eastAsia="Times New Roman"/>
          <w:lang w:eastAsia="de-DE"/>
        </w:rPr>
        <w:t xml:space="preserve"> </w:t>
      </w:r>
      <w:r w:rsidRPr="00233F30">
        <w:rPr>
          <w:rFonts w:eastAsia="Times New Roman"/>
          <w:b/>
          <w:bCs/>
          <w:rtl/>
          <w:lang w:eastAsia="de-DE"/>
        </w:rPr>
        <w:t>וַתִּקְרְבוּן</w:t>
      </w:r>
      <w:r w:rsidRPr="00233F30">
        <w:rPr>
          <w:rFonts w:eastAsia="Times New Roman"/>
          <w:rtl/>
          <w:lang w:eastAsia="de-DE"/>
        </w:rPr>
        <w:t xml:space="preserve"> </w:t>
      </w:r>
      <w:r w:rsidRPr="00233F30">
        <w:rPr>
          <w:rFonts w:eastAsia="Times New Roman"/>
          <w:lang w:eastAsia="de-DE"/>
        </w:rPr>
        <w:t xml:space="preserve">ist Qal Imperfekt consecutivum, 2. Person maskulin Plural von </w:t>
      </w:r>
      <w:r w:rsidRPr="00233F30">
        <w:rPr>
          <w:rFonts w:eastAsia="Times New Roman"/>
          <w:rtl/>
          <w:lang w:eastAsia="de-DE"/>
        </w:rPr>
        <w:t>קרב</w:t>
      </w:r>
      <w:r w:rsidRPr="00233F30">
        <w:rPr>
          <w:rFonts w:eastAsia="Times New Roman"/>
          <w:lang w:eastAsia="de-DE"/>
        </w:rPr>
        <w:t xml:space="preserve"> („nahen, herantreten") mit Waw und Nun paragogicum. </w:t>
      </w:r>
      <w:r w:rsidRPr="00233F30">
        <w:rPr>
          <w:rFonts w:eastAsia="Times New Roman"/>
          <w:b/>
          <w:bCs/>
          <w:rtl/>
          <w:lang w:eastAsia="de-DE"/>
        </w:rPr>
        <w:t>אֵלַי</w:t>
      </w:r>
      <w:r w:rsidRPr="00233F30">
        <w:rPr>
          <w:rFonts w:eastAsia="Times New Roman"/>
          <w:rtl/>
          <w:lang w:eastAsia="de-DE"/>
        </w:rPr>
        <w:t xml:space="preserve"> </w:t>
      </w:r>
      <w:r w:rsidRPr="00233F30">
        <w:rPr>
          <w:rFonts w:eastAsia="Times New Roman"/>
          <w:lang w:eastAsia="de-DE"/>
        </w:rPr>
        <w:t xml:space="preserve">ist </w:t>
      </w:r>
      <w:r w:rsidRPr="00233F30">
        <w:rPr>
          <w:rFonts w:eastAsia="Times New Roman"/>
          <w:b/>
          <w:bCs/>
          <w:rtl/>
          <w:lang w:eastAsia="de-DE"/>
        </w:rPr>
        <w:t>אֶל</w:t>
      </w:r>
      <w:r w:rsidRPr="00233F30">
        <w:rPr>
          <w:rFonts w:eastAsia="Times New Roman"/>
          <w:rtl/>
          <w:lang w:eastAsia="de-DE"/>
        </w:rPr>
        <w:t xml:space="preserve"> </w:t>
      </w:r>
      <w:r w:rsidRPr="00233F30">
        <w:rPr>
          <w:rFonts w:eastAsia="Times New Roman"/>
          <w:lang w:eastAsia="de-DE"/>
        </w:rPr>
        <w:t xml:space="preserve">mit Suffix 1. Person Singular. </w:t>
      </w:r>
      <w:r w:rsidRPr="00233F30">
        <w:rPr>
          <w:rFonts w:eastAsia="Times New Roman"/>
          <w:b/>
          <w:bCs/>
          <w:rtl/>
          <w:lang w:eastAsia="de-DE"/>
        </w:rPr>
        <w:t>כֻּלְּכֶם</w:t>
      </w:r>
      <w:r w:rsidRPr="00233F30">
        <w:rPr>
          <w:rFonts w:eastAsia="Times New Roman"/>
          <w:rtl/>
          <w:lang w:eastAsia="de-DE"/>
        </w:rPr>
        <w:t xml:space="preserve"> </w:t>
      </w:r>
      <w:r w:rsidRPr="00233F30">
        <w:rPr>
          <w:rFonts w:eastAsia="Times New Roman"/>
          <w:lang w:eastAsia="de-DE"/>
        </w:rPr>
        <w:t xml:space="preserve">ist </w:t>
      </w:r>
      <w:r w:rsidRPr="00233F30">
        <w:rPr>
          <w:rFonts w:eastAsia="Times New Roman"/>
          <w:b/>
          <w:bCs/>
          <w:rtl/>
          <w:lang w:eastAsia="de-DE"/>
        </w:rPr>
        <w:t>כֹּל</w:t>
      </w:r>
      <w:r w:rsidRPr="00233F30">
        <w:rPr>
          <w:rFonts w:eastAsia="Times New Roman"/>
          <w:rtl/>
          <w:lang w:eastAsia="de-DE"/>
        </w:rPr>
        <w:t xml:space="preserve"> </w:t>
      </w:r>
      <w:r w:rsidRPr="00233F30">
        <w:rPr>
          <w:rFonts w:eastAsia="Times New Roman"/>
          <w:lang w:eastAsia="de-DE"/>
        </w:rPr>
        <w:t xml:space="preserve">mit Suffix 2. Person maskulin Plural („ihr alle"). </w:t>
      </w:r>
      <w:r w:rsidRPr="00233F30">
        <w:rPr>
          <w:rFonts w:eastAsia="Times New Roman"/>
          <w:b/>
          <w:bCs/>
          <w:rtl/>
          <w:lang w:eastAsia="de-DE"/>
        </w:rPr>
        <w:t>וַתֹּאמְרוּ</w:t>
      </w:r>
      <w:r w:rsidRPr="00233F30">
        <w:rPr>
          <w:rFonts w:eastAsia="Times New Roman"/>
          <w:rtl/>
          <w:lang w:eastAsia="de-DE"/>
        </w:rPr>
        <w:t xml:space="preserve"> </w:t>
      </w:r>
      <w:r w:rsidRPr="00233F30">
        <w:rPr>
          <w:rFonts w:eastAsia="Times New Roman"/>
          <w:lang w:eastAsia="de-DE"/>
        </w:rPr>
        <w:t xml:space="preserve">ist Qal Imperfekt consecutivum, 2. Person maskulin Plural von </w:t>
      </w:r>
      <w:r w:rsidRPr="00233F30">
        <w:rPr>
          <w:rFonts w:eastAsia="Times New Roman"/>
          <w:rtl/>
          <w:lang w:eastAsia="de-DE"/>
        </w:rPr>
        <w:t>אמר</w:t>
      </w:r>
      <w:r w:rsidRPr="00233F30">
        <w:rPr>
          <w:rFonts w:eastAsia="Times New Roman"/>
          <w:lang w:eastAsia="de-DE"/>
        </w:rPr>
        <w:t xml:space="preserve"> mit Waw.</w:t>
      </w:r>
    </w:p>
    <w:p w14:paraId="659EC964" w14:textId="4A8B4E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rtl/>
          <w:lang w:eastAsia="de-DE"/>
        </w:rPr>
        <w:t>נִשְׁלְחָה</w:t>
      </w:r>
      <w:r w:rsidRPr="00233F30">
        <w:rPr>
          <w:rFonts w:eastAsia="Times New Roman"/>
          <w:rtl/>
          <w:lang w:eastAsia="de-DE"/>
        </w:rPr>
        <w:t xml:space="preserve"> </w:t>
      </w:r>
      <w:r w:rsidRPr="00233F30">
        <w:rPr>
          <w:rFonts w:eastAsia="Times New Roman"/>
          <w:lang w:eastAsia="de-DE"/>
        </w:rPr>
        <w:t xml:space="preserve">ist Qal Kohortativ, 1. Person Plural von </w:t>
      </w:r>
      <w:r w:rsidRPr="00233F30">
        <w:rPr>
          <w:rFonts w:eastAsia="Times New Roman"/>
          <w:rtl/>
          <w:lang w:eastAsia="de-DE"/>
        </w:rPr>
        <w:t>שׁלח</w:t>
      </w:r>
      <w:r w:rsidRPr="00233F30">
        <w:rPr>
          <w:rFonts w:eastAsia="Times New Roman"/>
          <w:lang w:eastAsia="de-DE"/>
        </w:rPr>
        <w:t xml:space="preserve"> („senden"). Die Kohortativform drückt einen Vorschlag oder Wunsch aus („lasst uns senden"). </w:t>
      </w:r>
      <w:r w:rsidRPr="00233F30">
        <w:rPr>
          <w:rFonts w:eastAsia="Times New Roman"/>
          <w:b/>
          <w:bCs/>
          <w:rtl/>
          <w:lang w:eastAsia="de-DE"/>
        </w:rPr>
        <w:t>אֲנָשִׁים</w:t>
      </w:r>
      <w:r w:rsidRPr="00233F30">
        <w:rPr>
          <w:rFonts w:eastAsia="Times New Roman"/>
          <w:rtl/>
          <w:lang w:eastAsia="de-DE"/>
        </w:rPr>
        <w:t xml:space="preserve"> </w:t>
      </w:r>
      <w:r w:rsidRPr="00233F30">
        <w:rPr>
          <w:rFonts w:eastAsia="Times New Roman"/>
          <w:lang w:eastAsia="de-DE"/>
        </w:rPr>
        <w:t xml:space="preserve">ist direktes Objekt. </w:t>
      </w:r>
      <w:r w:rsidRPr="00233F30">
        <w:rPr>
          <w:rFonts w:eastAsia="Times New Roman"/>
          <w:b/>
          <w:bCs/>
          <w:rtl/>
          <w:lang w:eastAsia="de-DE"/>
        </w:rPr>
        <w:t>לְפָנֵינוּ</w:t>
      </w:r>
      <w:r w:rsidRPr="00233F30">
        <w:rPr>
          <w:rFonts w:eastAsia="Times New Roman"/>
          <w:rtl/>
          <w:lang w:eastAsia="de-DE"/>
        </w:rPr>
        <w:t xml:space="preserve"> </w:t>
      </w:r>
      <w:r w:rsidRPr="00233F30">
        <w:rPr>
          <w:rFonts w:eastAsia="Times New Roman"/>
          <w:lang w:eastAsia="de-DE"/>
        </w:rPr>
        <w:t xml:space="preserve">ist </w:t>
      </w:r>
      <w:r w:rsidRPr="00233F30">
        <w:rPr>
          <w:rFonts w:eastAsia="Times New Roman"/>
          <w:b/>
          <w:bCs/>
          <w:rtl/>
          <w:lang w:eastAsia="de-DE"/>
        </w:rPr>
        <w:t>לְ</w:t>
      </w:r>
      <w:r w:rsidRPr="00233F30">
        <w:rPr>
          <w:rFonts w:eastAsia="Times New Roman"/>
          <w:rtl/>
          <w:lang w:eastAsia="de-DE"/>
        </w:rPr>
        <w:t xml:space="preserve"> </w:t>
      </w:r>
      <w:r w:rsidRPr="00233F30">
        <w:rPr>
          <w:rFonts w:eastAsia="Times New Roman"/>
          <w:lang w:eastAsia="de-DE"/>
        </w:rPr>
        <w:t xml:space="preserve">mit </w:t>
      </w:r>
      <w:r w:rsidRPr="00233F30">
        <w:rPr>
          <w:rFonts w:eastAsia="Times New Roman"/>
          <w:b/>
          <w:bCs/>
          <w:rtl/>
          <w:lang w:eastAsia="de-DE"/>
        </w:rPr>
        <w:t>פָּנִים</w:t>
      </w:r>
      <w:r w:rsidRPr="00233F30">
        <w:rPr>
          <w:rFonts w:eastAsia="Times New Roman"/>
          <w:rtl/>
          <w:lang w:eastAsia="de-DE"/>
        </w:rPr>
        <w:t xml:space="preserve"> </w:t>
      </w:r>
      <w:r w:rsidRPr="00233F30">
        <w:rPr>
          <w:rFonts w:eastAsia="Times New Roman"/>
          <w:lang w:eastAsia="de-DE"/>
        </w:rPr>
        <w:t xml:space="preserve">im Plural </w:t>
      </w:r>
      <w:r w:rsidR="0032647F">
        <w:rPr>
          <w:rFonts w:eastAsia="Times New Roman"/>
          <w:lang w:eastAsia="de-DE"/>
        </w:rPr>
        <w:t>Construct</w:t>
      </w:r>
      <w:r w:rsidRPr="00233F30">
        <w:rPr>
          <w:rFonts w:eastAsia="Times New Roman"/>
          <w:lang w:eastAsia="de-DE"/>
        </w:rPr>
        <w:t xml:space="preserve"> und Suffix 1. Person Plural („vor uns"). </w:t>
      </w:r>
      <w:r w:rsidRPr="00233F30">
        <w:rPr>
          <w:rFonts w:eastAsia="Times New Roman"/>
          <w:b/>
          <w:bCs/>
          <w:rtl/>
          <w:lang w:eastAsia="de-DE"/>
        </w:rPr>
        <w:t>וְיַחְפְּרוּ־לָנוּ</w:t>
      </w:r>
      <w:r w:rsidRPr="00233F30">
        <w:rPr>
          <w:rFonts w:eastAsia="Times New Roman"/>
          <w:rtl/>
          <w:lang w:eastAsia="de-DE"/>
        </w:rPr>
        <w:t xml:space="preserve"> </w:t>
      </w:r>
      <w:r w:rsidRPr="00233F30">
        <w:rPr>
          <w:rFonts w:eastAsia="Times New Roman"/>
          <w:lang w:eastAsia="de-DE"/>
        </w:rPr>
        <w:t xml:space="preserve">ist Qal Imperfekt (Jussiv), 3. Person maskulin Plural von </w:t>
      </w:r>
      <w:r w:rsidRPr="00233F30">
        <w:rPr>
          <w:rFonts w:eastAsia="Times New Roman"/>
          <w:rtl/>
          <w:lang w:eastAsia="de-DE"/>
        </w:rPr>
        <w:t>חפר</w:t>
      </w:r>
      <w:r w:rsidRPr="00233F30">
        <w:rPr>
          <w:rFonts w:eastAsia="Times New Roman"/>
          <w:lang w:eastAsia="de-DE"/>
        </w:rPr>
        <w:t xml:space="preserve"> („graben, auskundschaften, erkunden") mit Waw und </w:t>
      </w:r>
      <w:r w:rsidRPr="00233F30">
        <w:rPr>
          <w:rFonts w:eastAsia="Times New Roman"/>
          <w:b/>
          <w:bCs/>
          <w:rtl/>
          <w:lang w:eastAsia="de-DE"/>
        </w:rPr>
        <w:t>לָנוּ</w:t>
      </w:r>
      <w:r w:rsidRPr="00233F30">
        <w:rPr>
          <w:rFonts w:eastAsia="Times New Roman"/>
          <w:rtl/>
          <w:lang w:eastAsia="de-DE"/>
        </w:rPr>
        <w:t xml:space="preserve"> </w:t>
      </w:r>
      <w:r w:rsidRPr="00233F30">
        <w:rPr>
          <w:rFonts w:eastAsia="Times New Roman"/>
          <w:lang w:eastAsia="de-DE"/>
        </w:rPr>
        <w:t xml:space="preserve">(„für uns"). </w:t>
      </w:r>
      <w:r w:rsidRPr="00233F30">
        <w:rPr>
          <w:rFonts w:eastAsia="Times New Roman"/>
          <w:b/>
          <w:bCs/>
          <w:rtl/>
          <w:lang w:eastAsia="de-DE"/>
        </w:rPr>
        <w:t>אֶת־הָאָרֶץ</w:t>
      </w:r>
      <w:r w:rsidRPr="00233F30">
        <w:rPr>
          <w:rFonts w:eastAsia="Times New Roman"/>
          <w:rtl/>
          <w:lang w:eastAsia="de-DE"/>
        </w:rPr>
        <w:t xml:space="preserve"> </w:t>
      </w:r>
      <w:r w:rsidRPr="00233F30">
        <w:rPr>
          <w:rFonts w:eastAsia="Times New Roman"/>
          <w:lang w:eastAsia="de-DE"/>
        </w:rPr>
        <w:t>ist das Objekt.</w:t>
      </w:r>
    </w:p>
    <w:p w14:paraId="17A0EFDA"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rtl/>
          <w:lang w:eastAsia="de-DE"/>
        </w:rPr>
        <w:t>וְיָשִׁבוּ אֹתָנוּ דָּבָר</w:t>
      </w:r>
      <w:r w:rsidRPr="00233F30">
        <w:rPr>
          <w:rFonts w:eastAsia="Times New Roman"/>
          <w:rtl/>
          <w:lang w:eastAsia="de-DE"/>
        </w:rPr>
        <w:t xml:space="preserve"> </w:t>
      </w:r>
      <w:r w:rsidRPr="00233F30">
        <w:rPr>
          <w:rFonts w:eastAsia="Times New Roman"/>
          <w:lang w:eastAsia="de-DE"/>
        </w:rPr>
        <w:t xml:space="preserve">besteht aus Hif'il Imperfekt (Jussiv), 3. Person maskulin Plural von </w:t>
      </w:r>
      <w:r w:rsidRPr="00233F30">
        <w:rPr>
          <w:rFonts w:eastAsia="Times New Roman"/>
          <w:rtl/>
          <w:lang w:eastAsia="de-DE"/>
        </w:rPr>
        <w:t>שׁוב</w:t>
      </w:r>
      <w:r w:rsidRPr="00233F30">
        <w:rPr>
          <w:rFonts w:eastAsia="Times New Roman"/>
          <w:lang w:eastAsia="de-DE"/>
        </w:rPr>
        <w:t xml:space="preserve"> („zurückbringen, Bericht erstatten"), </w:t>
      </w:r>
      <w:r w:rsidRPr="00233F30">
        <w:rPr>
          <w:rFonts w:eastAsia="Times New Roman"/>
          <w:b/>
          <w:bCs/>
          <w:rtl/>
          <w:lang w:eastAsia="de-DE"/>
        </w:rPr>
        <w:t>אֹתָנוּ</w:t>
      </w:r>
      <w:r w:rsidRPr="00233F30">
        <w:rPr>
          <w:rFonts w:eastAsia="Times New Roman"/>
          <w:rtl/>
          <w:lang w:eastAsia="de-DE"/>
        </w:rPr>
        <w:t xml:space="preserve"> </w:t>
      </w:r>
      <w:r w:rsidRPr="00233F30">
        <w:rPr>
          <w:rFonts w:eastAsia="Times New Roman"/>
          <w:lang w:eastAsia="de-DE"/>
        </w:rPr>
        <w:t xml:space="preserve">(Objektpartikel mit Suffix 1. Person Plural „uns"), und </w:t>
      </w:r>
      <w:r w:rsidRPr="00233F30">
        <w:rPr>
          <w:rFonts w:eastAsia="Times New Roman"/>
          <w:b/>
          <w:bCs/>
          <w:rtl/>
          <w:lang w:eastAsia="de-DE"/>
        </w:rPr>
        <w:t>דָּבָר</w:t>
      </w:r>
      <w:r w:rsidRPr="00233F30">
        <w:rPr>
          <w:rFonts w:eastAsia="Times New Roman"/>
          <w:rtl/>
          <w:lang w:eastAsia="de-DE"/>
        </w:rPr>
        <w:t xml:space="preserve"> </w:t>
      </w:r>
      <w:r w:rsidRPr="00233F30">
        <w:rPr>
          <w:rFonts w:eastAsia="Times New Roman"/>
          <w:lang w:eastAsia="de-DE"/>
        </w:rPr>
        <w:t xml:space="preserve">(„Wort, Bericht") als zweites Objekt. </w:t>
      </w:r>
      <w:r w:rsidRPr="00233F30">
        <w:rPr>
          <w:rFonts w:eastAsia="Times New Roman"/>
          <w:b/>
          <w:bCs/>
          <w:rtl/>
          <w:lang w:eastAsia="de-DE"/>
        </w:rPr>
        <w:t>אֶת־הַדֶּרֶךְ אֲשֶׁר נַעֲלֶה־בָּהּ</w:t>
      </w:r>
      <w:r w:rsidRPr="00233F30">
        <w:rPr>
          <w:rFonts w:eastAsia="Times New Roman"/>
          <w:rtl/>
          <w:lang w:eastAsia="de-DE"/>
        </w:rPr>
        <w:t xml:space="preserve"> </w:t>
      </w:r>
      <w:r w:rsidRPr="00233F30">
        <w:rPr>
          <w:rFonts w:eastAsia="Times New Roman"/>
          <w:lang w:eastAsia="de-DE"/>
        </w:rPr>
        <w:t xml:space="preserve">ist eine weitere Objektphrase: </w:t>
      </w:r>
      <w:r w:rsidRPr="00233F30">
        <w:rPr>
          <w:rFonts w:eastAsia="Times New Roman"/>
          <w:b/>
          <w:bCs/>
          <w:rtl/>
          <w:lang w:eastAsia="de-DE"/>
        </w:rPr>
        <w:t>אֵת</w:t>
      </w:r>
      <w:r w:rsidRPr="00233F30">
        <w:rPr>
          <w:rFonts w:eastAsia="Times New Roman"/>
          <w:rtl/>
          <w:lang w:eastAsia="de-DE"/>
        </w:rPr>
        <w:t xml:space="preserve"> </w:t>
      </w:r>
      <w:r w:rsidRPr="00233F30">
        <w:rPr>
          <w:rFonts w:eastAsia="Times New Roman"/>
          <w:lang w:eastAsia="de-DE"/>
        </w:rPr>
        <w:t xml:space="preserve">mit </w:t>
      </w:r>
      <w:r w:rsidRPr="00233F30">
        <w:rPr>
          <w:rFonts w:eastAsia="Times New Roman"/>
          <w:b/>
          <w:bCs/>
          <w:rtl/>
          <w:lang w:eastAsia="de-DE"/>
        </w:rPr>
        <w:t>הַדֶּרֶךְ</w:t>
      </w:r>
      <w:r w:rsidRPr="00233F30">
        <w:rPr>
          <w:rFonts w:eastAsia="Times New Roman"/>
          <w:rtl/>
          <w:lang w:eastAsia="de-DE"/>
        </w:rPr>
        <w:t xml:space="preserve"> </w:t>
      </w:r>
      <w:r w:rsidRPr="00233F30">
        <w:rPr>
          <w:rFonts w:eastAsia="Times New Roman"/>
          <w:lang w:eastAsia="de-DE"/>
        </w:rPr>
        <w:t xml:space="preserve">(„der Weg"), Relativsatz mit </w:t>
      </w:r>
      <w:r w:rsidRPr="00233F30">
        <w:rPr>
          <w:rFonts w:eastAsia="Times New Roman"/>
          <w:b/>
          <w:bCs/>
          <w:rtl/>
          <w:lang w:eastAsia="de-DE"/>
        </w:rPr>
        <w:t>אֲשֶׁר</w:t>
      </w:r>
      <w:r w:rsidRPr="00233F30">
        <w:rPr>
          <w:rFonts w:eastAsia="Times New Roman"/>
          <w:rtl/>
          <w:lang w:eastAsia="de-DE"/>
        </w:rPr>
        <w:t xml:space="preserve"> </w:t>
      </w:r>
      <w:r w:rsidRPr="00233F30">
        <w:rPr>
          <w:rFonts w:eastAsia="Times New Roman"/>
          <w:lang w:eastAsia="de-DE"/>
        </w:rPr>
        <w:t xml:space="preserve">und </w:t>
      </w:r>
      <w:r w:rsidRPr="00233F30">
        <w:rPr>
          <w:rFonts w:eastAsia="Times New Roman"/>
          <w:b/>
          <w:bCs/>
          <w:rtl/>
          <w:lang w:eastAsia="de-DE"/>
        </w:rPr>
        <w:t>נַעֲלֶה</w:t>
      </w:r>
      <w:r w:rsidRPr="00233F30">
        <w:rPr>
          <w:rFonts w:eastAsia="Times New Roman"/>
          <w:rtl/>
          <w:lang w:eastAsia="de-DE"/>
        </w:rPr>
        <w:t xml:space="preserve"> </w:t>
      </w:r>
      <w:r w:rsidRPr="00233F30">
        <w:rPr>
          <w:rFonts w:eastAsia="Times New Roman"/>
          <w:lang w:eastAsia="de-DE"/>
        </w:rPr>
        <w:t xml:space="preserve">(Qal Imperfekt, 1. Person Plural von </w:t>
      </w:r>
      <w:r w:rsidRPr="00233F30">
        <w:rPr>
          <w:rFonts w:eastAsia="Times New Roman"/>
          <w:rtl/>
          <w:lang w:eastAsia="de-DE"/>
        </w:rPr>
        <w:t>עלה</w:t>
      </w:r>
      <w:r w:rsidRPr="00233F30">
        <w:rPr>
          <w:rFonts w:eastAsia="Times New Roman"/>
          <w:lang w:eastAsia="de-DE"/>
        </w:rPr>
        <w:t xml:space="preserve">), </w:t>
      </w:r>
      <w:r w:rsidRPr="00233F30">
        <w:rPr>
          <w:rFonts w:eastAsia="Times New Roman"/>
          <w:b/>
          <w:bCs/>
          <w:rtl/>
          <w:lang w:eastAsia="de-DE"/>
        </w:rPr>
        <w:t>בָּהּ</w:t>
      </w:r>
      <w:r w:rsidRPr="00233F30">
        <w:rPr>
          <w:rFonts w:eastAsia="Times New Roman"/>
          <w:rtl/>
          <w:lang w:eastAsia="de-DE"/>
        </w:rPr>
        <w:t xml:space="preserve"> </w:t>
      </w:r>
      <w:r w:rsidRPr="00233F30">
        <w:rPr>
          <w:rFonts w:eastAsia="Times New Roman"/>
          <w:lang w:eastAsia="de-DE"/>
        </w:rPr>
        <w:t xml:space="preserve">ist </w:t>
      </w:r>
      <w:r w:rsidRPr="00233F30">
        <w:rPr>
          <w:rFonts w:eastAsia="Times New Roman"/>
          <w:b/>
          <w:bCs/>
          <w:rtl/>
          <w:lang w:eastAsia="de-DE"/>
        </w:rPr>
        <w:t>בְּ</w:t>
      </w:r>
      <w:r w:rsidRPr="00233F30">
        <w:rPr>
          <w:rFonts w:eastAsia="Times New Roman"/>
          <w:rtl/>
          <w:lang w:eastAsia="de-DE"/>
        </w:rPr>
        <w:t xml:space="preserve"> </w:t>
      </w:r>
      <w:r w:rsidRPr="00233F30">
        <w:rPr>
          <w:rFonts w:eastAsia="Times New Roman"/>
          <w:lang w:eastAsia="de-DE"/>
        </w:rPr>
        <w:t xml:space="preserve">mit femininem Suffix („auf ihm/ihr", bezogen auf </w:t>
      </w:r>
      <w:r w:rsidRPr="00233F30">
        <w:rPr>
          <w:rFonts w:eastAsia="Times New Roman"/>
          <w:b/>
          <w:bCs/>
          <w:rtl/>
          <w:lang w:eastAsia="de-DE"/>
        </w:rPr>
        <w:t>דֶּרֶךְ</w:t>
      </w:r>
      <w:r w:rsidRPr="00233F30">
        <w:rPr>
          <w:rFonts w:eastAsia="Times New Roman"/>
          <w:lang w:eastAsia="de-DE"/>
        </w:rPr>
        <w:t xml:space="preserve">). </w:t>
      </w:r>
      <w:r w:rsidRPr="00233F30">
        <w:rPr>
          <w:rFonts w:eastAsia="Times New Roman"/>
          <w:b/>
          <w:bCs/>
          <w:rtl/>
          <w:lang w:eastAsia="de-DE"/>
        </w:rPr>
        <w:t>וְאֵת הֶעָרִים אֲשֶׁר נָבֹא אֲלֵיהֶן</w:t>
      </w:r>
      <w:r w:rsidRPr="00233F30">
        <w:rPr>
          <w:rFonts w:eastAsia="Times New Roman"/>
          <w:rtl/>
          <w:lang w:eastAsia="de-DE"/>
        </w:rPr>
        <w:t xml:space="preserve"> </w:t>
      </w:r>
      <w:r w:rsidRPr="00233F30">
        <w:rPr>
          <w:rFonts w:eastAsia="Times New Roman"/>
          <w:lang w:eastAsia="de-DE"/>
        </w:rPr>
        <w:t xml:space="preserve">ist parallel strukturiert: </w:t>
      </w:r>
      <w:r w:rsidRPr="00233F30">
        <w:rPr>
          <w:rFonts w:eastAsia="Times New Roman"/>
          <w:b/>
          <w:bCs/>
          <w:rtl/>
          <w:lang w:eastAsia="de-DE"/>
        </w:rPr>
        <w:t>אֵת</w:t>
      </w:r>
      <w:r w:rsidRPr="00233F30">
        <w:rPr>
          <w:rFonts w:eastAsia="Times New Roman"/>
          <w:rtl/>
          <w:lang w:eastAsia="de-DE"/>
        </w:rPr>
        <w:t xml:space="preserve"> </w:t>
      </w:r>
      <w:r w:rsidRPr="00233F30">
        <w:rPr>
          <w:rFonts w:eastAsia="Times New Roman"/>
          <w:lang w:eastAsia="de-DE"/>
        </w:rPr>
        <w:t xml:space="preserve">mit </w:t>
      </w:r>
      <w:r w:rsidRPr="00233F30">
        <w:rPr>
          <w:rFonts w:eastAsia="Times New Roman"/>
          <w:b/>
          <w:bCs/>
          <w:rtl/>
          <w:lang w:eastAsia="de-DE"/>
        </w:rPr>
        <w:t>הֶעָרִים</w:t>
      </w:r>
      <w:r w:rsidRPr="00233F30">
        <w:rPr>
          <w:rFonts w:eastAsia="Times New Roman"/>
          <w:rtl/>
          <w:lang w:eastAsia="de-DE"/>
        </w:rPr>
        <w:t xml:space="preserve"> </w:t>
      </w:r>
      <w:r w:rsidRPr="00233F30">
        <w:rPr>
          <w:rFonts w:eastAsia="Times New Roman"/>
          <w:lang w:eastAsia="de-DE"/>
        </w:rPr>
        <w:t xml:space="preserve">(Plural von </w:t>
      </w:r>
      <w:r w:rsidRPr="00233F30">
        <w:rPr>
          <w:rFonts w:eastAsia="Times New Roman"/>
          <w:b/>
          <w:bCs/>
          <w:rtl/>
          <w:lang w:eastAsia="de-DE"/>
        </w:rPr>
        <w:t>עִיר</w:t>
      </w:r>
      <w:r w:rsidRPr="00233F30">
        <w:rPr>
          <w:rFonts w:eastAsia="Times New Roman"/>
          <w:rtl/>
          <w:lang w:eastAsia="de-DE"/>
        </w:rPr>
        <w:t xml:space="preserve"> </w:t>
      </w:r>
      <w:r w:rsidRPr="00233F30">
        <w:rPr>
          <w:rFonts w:eastAsia="Times New Roman"/>
          <w:lang w:eastAsia="de-DE"/>
        </w:rPr>
        <w:t xml:space="preserve">„Stadt"), Relativsatz mit </w:t>
      </w:r>
      <w:r w:rsidRPr="00233F30">
        <w:rPr>
          <w:rFonts w:eastAsia="Times New Roman"/>
          <w:b/>
          <w:bCs/>
          <w:rtl/>
          <w:lang w:eastAsia="de-DE"/>
        </w:rPr>
        <w:t>נָבֹא</w:t>
      </w:r>
      <w:r w:rsidRPr="00233F30">
        <w:rPr>
          <w:rFonts w:eastAsia="Times New Roman"/>
          <w:rtl/>
          <w:lang w:eastAsia="de-DE"/>
        </w:rPr>
        <w:t xml:space="preserve"> </w:t>
      </w:r>
      <w:r w:rsidRPr="00233F30">
        <w:rPr>
          <w:rFonts w:eastAsia="Times New Roman"/>
          <w:lang w:eastAsia="de-DE"/>
        </w:rPr>
        <w:t xml:space="preserve">(Qal Imperfekt, 1. Person Plural von </w:t>
      </w:r>
      <w:r w:rsidRPr="00233F30">
        <w:rPr>
          <w:rFonts w:eastAsia="Times New Roman"/>
          <w:rtl/>
          <w:lang w:eastAsia="de-DE"/>
        </w:rPr>
        <w:t>בוא</w:t>
      </w:r>
      <w:r w:rsidRPr="00233F30">
        <w:rPr>
          <w:rFonts w:eastAsia="Times New Roman"/>
          <w:lang w:eastAsia="de-DE"/>
        </w:rPr>
        <w:t xml:space="preserve">), und </w:t>
      </w:r>
      <w:r w:rsidRPr="00233F30">
        <w:rPr>
          <w:rFonts w:eastAsia="Times New Roman"/>
          <w:b/>
          <w:bCs/>
          <w:rtl/>
          <w:lang w:eastAsia="de-DE"/>
        </w:rPr>
        <w:t>אֲלֵיהֶן</w:t>
      </w:r>
      <w:r w:rsidRPr="00233F30">
        <w:rPr>
          <w:rFonts w:eastAsia="Times New Roman"/>
          <w:rtl/>
          <w:lang w:eastAsia="de-DE"/>
        </w:rPr>
        <w:t xml:space="preserve"> </w:t>
      </w:r>
      <w:r w:rsidRPr="00233F30">
        <w:rPr>
          <w:rFonts w:eastAsia="Times New Roman"/>
          <w:lang w:eastAsia="de-DE"/>
        </w:rPr>
        <w:t>(</w:t>
      </w:r>
      <w:r w:rsidRPr="00233F30">
        <w:rPr>
          <w:rFonts w:eastAsia="Times New Roman"/>
          <w:b/>
          <w:bCs/>
          <w:rtl/>
          <w:lang w:eastAsia="de-DE"/>
        </w:rPr>
        <w:t>אֶל</w:t>
      </w:r>
      <w:r w:rsidRPr="00233F30">
        <w:rPr>
          <w:rFonts w:eastAsia="Times New Roman"/>
          <w:rtl/>
          <w:lang w:eastAsia="de-DE"/>
        </w:rPr>
        <w:t xml:space="preserve"> </w:t>
      </w:r>
      <w:r w:rsidRPr="00233F30">
        <w:rPr>
          <w:rFonts w:eastAsia="Times New Roman"/>
          <w:lang w:eastAsia="de-DE"/>
        </w:rPr>
        <w:t>mit femininem Pluralsuffix „zu ihnen").</w:t>
      </w:r>
    </w:p>
    <w:p w14:paraId="141E2E9A"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Die LXX</w:t>
      </w:r>
      <w:r w:rsidRPr="00233F30">
        <w:rPr>
          <w:rFonts w:eastAsia="Times New Roman"/>
          <w:lang w:eastAsia="de-DE"/>
        </w:rPr>
        <w:t xml:space="preserve"> fügt hinzu, dass der Vorschlag Mose gefiel, ähnlich wie in Num 13,2.</w:t>
      </w:r>
    </w:p>
    <w:p w14:paraId="64EE8A75"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lang w:eastAsia="de-DE"/>
        </w:rPr>
        <w:t>Die Satzstruktur besteht aus einem Hauptsatz (</w:t>
      </w:r>
      <w:r w:rsidRPr="00233F30">
        <w:rPr>
          <w:rFonts w:eastAsia="Times New Roman"/>
          <w:b/>
          <w:bCs/>
          <w:rtl/>
          <w:lang w:eastAsia="de-DE"/>
        </w:rPr>
        <w:t>וַתִּקְרְבוּן אֵלַי כֻּלְּכֶם וַתֹּאמְרוּ</w:t>
      </w:r>
      <w:r w:rsidRPr="00233F30">
        <w:rPr>
          <w:rFonts w:eastAsia="Times New Roman"/>
          <w:lang w:eastAsia="de-DE"/>
        </w:rPr>
        <w:t>) mit direkter Rede. Diese enthält: (1) Kohortativ (</w:t>
      </w:r>
      <w:r w:rsidRPr="00233F30">
        <w:rPr>
          <w:rFonts w:eastAsia="Times New Roman"/>
          <w:b/>
          <w:bCs/>
          <w:rtl/>
          <w:lang w:eastAsia="de-DE"/>
        </w:rPr>
        <w:t>נִשְׁלְחָה אֲנָשִׁים</w:t>
      </w:r>
      <w:r w:rsidRPr="00233F30">
        <w:rPr>
          <w:rFonts w:eastAsia="Times New Roman"/>
          <w:lang w:eastAsia="de-DE"/>
        </w:rPr>
        <w:t>), (2) zwei finale Jussive mit Objekten (</w:t>
      </w:r>
      <w:r w:rsidRPr="00233F30">
        <w:rPr>
          <w:rFonts w:eastAsia="Times New Roman"/>
          <w:b/>
          <w:bCs/>
          <w:rtl/>
          <w:lang w:eastAsia="de-DE"/>
        </w:rPr>
        <w:t>וְיַחְפְּרוּ</w:t>
      </w:r>
      <w:r w:rsidRPr="00233F30">
        <w:rPr>
          <w:rFonts w:eastAsia="Times New Roman"/>
          <w:rtl/>
          <w:lang w:eastAsia="de-DE"/>
        </w:rPr>
        <w:t xml:space="preserve"> </w:t>
      </w:r>
      <w:r w:rsidRPr="00233F30">
        <w:rPr>
          <w:rFonts w:eastAsia="Times New Roman"/>
          <w:lang w:eastAsia="de-DE"/>
        </w:rPr>
        <w:t xml:space="preserve">und </w:t>
      </w:r>
      <w:r w:rsidRPr="00233F30">
        <w:rPr>
          <w:rFonts w:eastAsia="Times New Roman"/>
          <w:b/>
          <w:bCs/>
          <w:rtl/>
          <w:lang w:eastAsia="de-DE"/>
        </w:rPr>
        <w:t>וְיָשִׁבוּ</w:t>
      </w:r>
      <w:r w:rsidRPr="00233F30">
        <w:rPr>
          <w:rFonts w:eastAsia="Times New Roman"/>
          <w:lang w:eastAsia="de-DE"/>
        </w:rPr>
        <w:t>), wobei der zweite Jussiv zwei Objekte mit Relativsätzen hat.</w:t>
      </w:r>
    </w:p>
    <w:p w14:paraId="2E429368"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lang w:eastAsia="de-DE"/>
        </w:rPr>
        <w:lastRenderedPageBreak/>
        <w:t>Der Vers berichtet von der Initiative des Volkes, Kundschafter auszusenden – eine Abweichung von Num 13, wo der Befehl von JHWH ausgeht. Dies bereitet die spätere Anklage der mangelnden Glaubensbereitschaft vor.</w:t>
      </w:r>
    </w:p>
    <w:p w14:paraId="4B1DBBA5" w14:textId="77777777" w:rsidR="00233F30" w:rsidRPr="00233F30" w:rsidRDefault="00233F30" w:rsidP="00233F30">
      <w:pPr>
        <w:spacing w:before="100" w:beforeAutospacing="1" w:after="100" w:afterAutospacing="1" w:line="240" w:lineRule="auto"/>
        <w:outlineLvl w:val="1"/>
        <w:rPr>
          <w:rFonts w:eastAsia="Times New Roman"/>
          <w:b/>
          <w:bCs/>
          <w:sz w:val="36"/>
          <w:szCs w:val="36"/>
          <w:lang w:eastAsia="de-DE"/>
        </w:rPr>
      </w:pPr>
      <w:r w:rsidRPr="00233F30">
        <w:rPr>
          <w:rFonts w:eastAsia="Times New Roman"/>
          <w:b/>
          <w:bCs/>
          <w:sz w:val="36"/>
          <w:szCs w:val="36"/>
          <w:lang w:eastAsia="de-DE"/>
        </w:rPr>
        <w:t>Deuteronomium 1,23</w:t>
      </w:r>
    </w:p>
    <w:p w14:paraId="4EB491FE"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Hebräisch:</w:t>
      </w:r>
      <w:r w:rsidRPr="00233F30">
        <w:rPr>
          <w:rFonts w:eastAsia="Times New Roman"/>
          <w:lang w:eastAsia="de-DE"/>
        </w:rPr>
        <w:t xml:space="preserve"> </w:t>
      </w:r>
      <w:r w:rsidRPr="00233F30">
        <w:rPr>
          <w:rFonts w:eastAsia="Times New Roman"/>
          <w:rtl/>
          <w:lang w:eastAsia="de-DE"/>
        </w:rPr>
        <w:t>וַיִּיטַ֥ב בְּעֵינַ֖י הַדָּבָ֑ר וָאֶקַּ֤ח מִכֶּם֙ שְׁנֵ֣ים עָשָׂ֣ר אֲנָשִׁ֔ים אִ֥ישׁ אֶחָ֖ד לַשָּֽׁבֶט׃</w:t>
      </w:r>
    </w:p>
    <w:p w14:paraId="00518A14"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Deutsch:</w:t>
      </w:r>
      <w:r w:rsidRPr="00233F30">
        <w:rPr>
          <w:rFonts w:eastAsia="Times New Roman"/>
          <w:lang w:eastAsia="de-DE"/>
        </w:rPr>
        <w:t xml:space="preserve"> Und die Sache war gut in meinen Augen; und ich nahm von euch zwölf Mann, einen Mann für den Stamm.</w:t>
      </w:r>
    </w:p>
    <w:p w14:paraId="532ADBB5" w14:textId="77777777" w:rsidR="00233F30" w:rsidRPr="00233F30" w:rsidRDefault="004F5CEB" w:rsidP="00233F30">
      <w:pPr>
        <w:spacing w:after="0" w:line="240" w:lineRule="auto"/>
        <w:rPr>
          <w:rFonts w:eastAsia="Times New Roman"/>
          <w:lang w:eastAsia="de-DE"/>
        </w:rPr>
      </w:pPr>
      <w:r>
        <w:rPr>
          <w:rFonts w:eastAsia="Times New Roman"/>
          <w:noProof/>
          <w:lang w:eastAsia="de-DE"/>
        </w:rPr>
        <w:pict w14:anchorId="66853C2D">
          <v:rect id="_x0000_i1047" style="width:0;height:1.5pt" o:hralign="center" o:hrstd="t" o:hr="t" fillcolor="#a0a0a0" stroked="f"/>
        </w:pict>
      </w:r>
    </w:p>
    <w:p w14:paraId="2E3BA2AC" w14:textId="4AAE9A4E"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Kommentar:</w:t>
      </w:r>
      <w:r w:rsidRPr="00233F30">
        <w:rPr>
          <w:rFonts w:eastAsia="Times New Roman"/>
          <w:lang w:eastAsia="de-DE"/>
        </w:rPr>
        <w:t xml:space="preserve"> </w:t>
      </w:r>
      <w:r w:rsidRPr="00233F30">
        <w:rPr>
          <w:rFonts w:eastAsia="Times New Roman"/>
          <w:b/>
          <w:bCs/>
          <w:rtl/>
          <w:lang w:eastAsia="de-DE"/>
        </w:rPr>
        <w:t>וַיִּיטַב</w:t>
      </w:r>
      <w:r w:rsidRPr="00233F30">
        <w:rPr>
          <w:rFonts w:eastAsia="Times New Roman"/>
          <w:rtl/>
          <w:lang w:eastAsia="de-DE"/>
        </w:rPr>
        <w:t xml:space="preserve"> </w:t>
      </w:r>
      <w:r w:rsidRPr="00233F30">
        <w:rPr>
          <w:rFonts w:eastAsia="Times New Roman"/>
          <w:lang w:eastAsia="de-DE"/>
        </w:rPr>
        <w:t xml:space="preserve">ist Qal Imperfekt consecutivum, 3. Person maskulin Singular von </w:t>
      </w:r>
      <w:r w:rsidRPr="00233F30">
        <w:rPr>
          <w:rFonts w:eastAsia="Times New Roman"/>
          <w:rtl/>
          <w:lang w:eastAsia="de-DE"/>
        </w:rPr>
        <w:t>יטב</w:t>
      </w:r>
      <w:r w:rsidRPr="00233F30">
        <w:rPr>
          <w:rFonts w:eastAsia="Times New Roman"/>
          <w:lang w:eastAsia="de-DE"/>
        </w:rPr>
        <w:t xml:space="preserve"> („gut sein, </w:t>
      </w:r>
      <w:r w:rsidR="00D47758">
        <w:rPr>
          <w:rFonts w:eastAsia="Times New Roman"/>
          <w:lang w:eastAsia="de-DE"/>
        </w:rPr>
        <w:t>gefallen</w:t>
      </w:r>
      <w:r w:rsidRPr="00233F30">
        <w:rPr>
          <w:rFonts w:eastAsia="Times New Roman"/>
          <w:lang w:eastAsia="de-DE"/>
        </w:rPr>
        <w:t xml:space="preserve">") mit Waw. </w:t>
      </w:r>
      <w:r w:rsidRPr="00233F30">
        <w:rPr>
          <w:rFonts w:eastAsia="Times New Roman"/>
          <w:b/>
          <w:bCs/>
          <w:rtl/>
          <w:lang w:eastAsia="de-DE"/>
        </w:rPr>
        <w:t>בְּעֵינַי</w:t>
      </w:r>
      <w:r w:rsidRPr="00233F30">
        <w:rPr>
          <w:rFonts w:eastAsia="Times New Roman"/>
          <w:rtl/>
          <w:lang w:eastAsia="de-DE"/>
        </w:rPr>
        <w:t xml:space="preserve"> </w:t>
      </w:r>
      <w:r w:rsidRPr="00233F30">
        <w:rPr>
          <w:rFonts w:eastAsia="Times New Roman"/>
          <w:lang w:eastAsia="de-DE"/>
        </w:rPr>
        <w:t xml:space="preserve">ist </w:t>
      </w:r>
      <w:r w:rsidRPr="00233F30">
        <w:rPr>
          <w:rFonts w:eastAsia="Times New Roman"/>
          <w:b/>
          <w:bCs/>
          <w:rtl/>
          <w:lang w:eastAsia="de-DE"/>
        </w:rPr>
        <w:t>בְּ</w:t>
      </w:r>
      <w:r w:rsidRPr="00233F30">
        <w:rPr>
          <w:rFonts w:eastAsia="Times New Roman"/>
          <w:rtl/>
          <w:lang w:eastAsia="de-DE"/>
        </w:rPr>
        <w:t xml:space="preserve"> </w:t>
      </w:r>
      <w:r w:rsidRPr="00233F30">
        <w:rPr>
          <w:rFonts w:eastAsia="Times New Roman"/>
          <w:lang w:eastAsia="de-DE"/>
        </w:rPr>
        <w:t xml:space="preserve">mit </w:t>
      </w:r>
      <w:r w:rsidRPr="00233F30">
        <w:rPr>
          <w:rFonts w:eastAsia="Times New Roman"/>
          <w:b/>
          <w:bCs/>
          <w:rtl/>
          <w:lang w:eastAsia="de-DE"/>
        </w:rPr>
        <w:t>עֵינַיִם</w:t>
      </w:r>
      <w:r w:rsidRPr="00233F30">
        <w:rPr>
          <w:rFonts w:eastAsia="Times New Roman"/>
          <w:rtl/>
          <w:lang w:eastAsia="de-DE"/>
        </w:rPr>
        <w:t xml:space="preserve"> </w:t>
      </w:r>
      <w:r w:rsidRPr="00233F30">
        <w:rPr>
          <w:rFonts w:eastAsia="Times New Roman"/>
          <w:lang w:eastAsia="de-DE"/>
        </w:rPr>
        <w:t xml:space="preserve">(„Augen") im Dual </w:t>
      </w:r>
      <w:r w:rsidR="0032647F">
        <w:rPr>
          <w:rFonts w:eastAsia="Times New Roman"/>
          <w:lang w:eastAsia="de-DE"/>
        </w:rPr>
        <w:t>Construct</w:t>
      </w:r>
      <w:r w:rsidRPr="00233F30">
        <w:rPr>
          <w:rFonts w:eastAsia="Times New Roman"/>
          <w:lang w:eastAsia="de-DE"/>
        </w:rPr>
        <w:t xml:space="preserve"> und Suffix 1. Person Singular. Die Phrase </w:t>
      </w:r>
      <w:r w:rsidRPr="00233F30">
        <w:rPr>
          <w:rFonts w:eastAsia="Times New Roman"/>
          <w:b/>
          <w:bCs/>
          <w:rtl/>
          <w:lang w:eastAsia="de-DE"/>
        </w:rPr>
        <w:t>וַיִּיטַב בְּעֵינַי</w:t>
      </w:r>
      <w:r w:rsidRPr="00233F30">
        <w:rPr>
          <w:rFonts w:eastAsia="Times New Roman"/>
          <w:rtl/>
          <w:lang w:eastAsia="de-DE"/>
        </w:rPr>
        <w:t xml:space="preserve"> </w:t>
      </w:r>
      <w:r w:rsidRPr="00233F30">
        <w:rPr>
          <w:rFonts w:eastAsia="Times New Roman"/>
          <w:lang w:eastAsia="de-DE"/>
        </w:rPr>
        <w:t xml:space="preserve">ist idiomatisch für „es gefiel mir, es war gut in meinen Augen". </w:t>
      </w:r>
      <w:r w:rsidRPr="00233F30">
        <w:rPr>
          <w:rFonts w:eastAsia="Times New Roman"/>
          <w:b/>
          <w:bCs/>
          <w:rtl/>
          <w:lang w:eastAsia="de-DE"/>
        </w:rPr>
        <w:t>הַדָּבָר</w:t>
      </w:r>
      <w:r w:rsidRPr="00233F30">
        <w:rPr>
          <w:rFonts w:eastAsia="Times New Roman"/>
          <w:rtl/>
          <w:lang w:eastAsia="de-DE"/>
        </w:rPr>
        <w:t xml:space="preserve"> </w:t>
      </w:r>
      <w:r w:rsidRPr="00233F30">
        <w:rPr>
          <w:rFonts w:eastAsia="Times New Roman"/>
          <w:lang w:eastAsia="de-DE"/>
        </w:rPr>
        <w:t>ist Subjekt.</w:t>
      </w:r>
    </w:p>
    <w:p w14:paraId="40DC6246"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rtl/>
          <w:lang w:eastAsia="de-DE"/>
        </w:rPr>
        <w:t>וָאֶקַּח</w:t>
      </w:r>
      <w:r w:rsidRPr="00233F30">
        <w:rPr>
          <w:rFonts w:eastAsia="Times New Roman"/>
          <w:rtl/>
          <w:lang w:eastAsia="de-DE"/>
        </w:rPr>
        <w:t xml:space="preserve"> </w:t>
      </w:r>
      <w:r w:rsidRPr="00233F30">
        <w:rPr>
          <w:rFonts w:eastAsia="Times New Roman"/>
          <w:lang w:eastAsia="de-DE"/>
        </w:rPr>
        <w:t xml:space="preserve">ist Qal Imperfekt consecutivum, 1. Person Singular von </w:t>
      </w:r>
      <w:r w:rsidRPr="00233F30">
        <w:rPr>
          <w:rFonts w:eastAsia="Times New Roman"/>
          <w:rtl/>
          <w:lang w:eastAsia="de-DE"/>
        </w:rPr>
        <w:t>לקח</w:t>
      </w:r>
      <w:r w:rsidRPr="00233F30">
        <w:rPr>
          <w:rFonts w:eastAsia="Times New Roman"/>
          <w:lang w:eastAsia="de-DE"/>
        </w:rPr>
        <w:t xml:space="preserve"> („nehmen") mit Waw. </w:t>
      </w:r>
      <w:r w:rsidRPr="00233F30">
        <w:rPr>
          <w:rFonts w:eastAsia="Times New Roman"/>
          <w:b/>
          <w:bCs/>
          <w:rtl/>
          <w:lang w:eastAsia="de-DE"/>
        </w:rPr>
        <w:t>מִכֶּם</w:t>
      </w:r>
      <w:r w:rsidRPr="00233F30">
        <w:rPr>
          <w:rFonts w:eastAsia="Times New Roman"/>
          <w:rtl/>
          <w:lang w:eastAsia="de-DE"/>
        </w:rPr>
        <w:t xml:space="preserve"> </w:t>
      </w:r>
      <w:r w:rsidRPr="00233F30">
        <w:rPr>
          <w:rFonts w:eastAsia="Times New Roman"/>
          <w:lang w:eastAsia="de-DE"/>
        </w:rPr>
        <w:t xml:space="preserve">ist </w:t>
      </w:r>
      <w:r w:rsidRPr="00233F30">
        <w:rPr>
          <w:rFonts w:eastAsia="Times New Roman"/>
          <w:b/>
          <w:bCs/>
          <w:rtl/>
          <w:lang w:eastAsia="de-DE"/>
        </w:rPr>
        <w:t>מִן</w:t>
      </w:r>
      <w:r w:rsidRPr="00233F30">
        <w:rPr>
          <w:rFonts w:eastAsia="Times New Roman"/>
          <w:rtl/>
          <w:lang w:eastAsia="de-DE"/>
        </w:rPr>
        <w:t xml:space="preserve"> </w:t>
      </w:r>
      <w:r w:rsidRPr="00233F30">
        <w:rPr>
          <w:rFonts w:eastAsia="Times New Roman"/>
          <w:lang w:eastAsia="de-DE"/>
        </w:rPr>
        <w:t xml:space="preserve">mit Suffix 2. Person maskulin Plural („von euch"). </w:t>
      </w:r>
      <w:r w:rsidRPr="00233F30">
        <w:rPr>
          <w:rFonts w:eastAsia="Times New Roman"/>
          <w:b/>
          <w:bCs/>
          <w:rtl/>
          <w:lang w:eastAsia="de-DE"/>
        </w:rPr>
        <w:t>שְׁנֵים עָשָׂר</w:t>
      </w:r>
      <w:r w:rsidRPr="00233F30">
        <w:rPr>
          <w:rFonts w:eastAsia="Times New Roman"/>
          <w:rtl/>
          <w:lang w:eastAsia="de-DE"/>
        </w:rPr>
        <w:t xml:space="preserve"> </w:t>
      </w:r>
      <w:r w:rsidRPr="00233F30">
        <w:rPr>
          <w:rFonts w:eastAsia="Times New Roman"/>
          <w:lang w:eastAsia="de-DE"/>
        </w:rPr>
        <w:t xml:space="preserve">ist die Kardinalzahl „zwölf". </w:t>
      </w:r>
      <w:r w:rsidRPr="00233F30">
        <w:rPr>
          <w:rFonts w:eastAsia="Times New Roman"/>
          <w:b/>
          <w:bCs/>
          <w:rtl/>
          <w:lang w:eastAsia="de-DE"/>
        </w:rPr>
        <w:t>אֲנָשִׁים</w:t>
      </w:r>
      <w:r w:rsidRPr="00233F30">
        <w:rPr>
          <w:rFonts w:eastAsia="Times New Roman"/>
          <w:rtl/>
          <w:lang w:eastAsia="de-DE"/>
        </w:rPr>
        <w:t xml:space="preserve"> </w:t>
      </w:r>
      <w:r w:rsidRPr="00233F30">
        <w:rPr>
          <w:rFonts w:eastAsia="Times New Roman"/>
          <w:lang w:eastAsia="de-DE"/>
        </w:rPr>
        <w:t xml:space="preserve">ist das Objekt. </w:t>
      </w:r>
      <w:r w:rsidRPr="00233F30">
        <w:rPr>
          <w:rFonts w:eastAsia="Times New Roman"/>
          <w:b/>
          <w:bCs/>
          <w:rtl/>
          <w:lang w:eastAsia="de-DE"/>
        </w:rPr>
        <w:t>אִישׁ אֶחָד לַשָּׁבֶט</w:t>
      </w:r>
      <w:r w:rsidRPr="00233F30">
        <w:rPr>
          <w:rFonts w:eastAsia="Times New Roman"/>
          <w:rtl/>
          <w:lang w:eastAsia="de-DE"/>
        </w:rPr>
        <w:t xml:space="preserve"> </w:t>
      </w:r>
      <w:r w:rsidRPr="00233F30">
        <w:rPr>
          <w:rFonts w:eastAsia="Times New Roman"/>
          <w:lang w:eastAsia="de-DE"/>
        </w:rPr>
        <w:t xml:space="preserve">spezifiziert die Verteilung: </w:t>
      </w:r>
      <w:r w:rsidRPr="00233F30">
        <w:rPr>
          <w:rFonts w:eastAsia="Times New Roman"/>
          <w:b/>
          <w:bCs/>
          <w:rtl/>
          <w:lang w:eastAsia="de-DE"/>
        </w:rPr>
        <w:t>אִישׁ אֶחָד</w:t>
      </w:r>
      <w:r w:rsidRPr="00233F30">
        <w:rPr>
          <w:rFonts w:eastAsia="Times New Roman"/>
          <w:rtl/>
          <w:lang w:eastAsia="de-DE"/>
        </w:rPr>
        <w:t xml:space="preserve"> </w:t>
      </w:r>
      <w:r w:rsidRPr="00233F30">
        <w:rPr>
          <w:rFonts w:eastAsia="Times New Roman"/>
          <w:lang w:eastAsia="de-DE"/>
        </w:rPr>
        <w:t xml:space="preserve">(„ein Mann") und </w:t>
      </w:r>
      <w:r w:rsidRPr="00233F30">
        <w:rPr>
          <w:rFonts w:eastAsia="Times New Roman"/>
          <w:b/>
          <w:bCs/>
          <w:rtl/>
          <w:lang w:eastAsia="de-DE"/>
        </w:rPr>
        <w:t>לַשָּׁבֶט</w:t>
      </w:r>
      <w:r w:rsidRPr="00233F30">
        <w:rPr>
          <w:rFonts w:eastAsia="Times New Roman"/>
          <w:rtl/>
          <w:lang w:eastAsia="de-DE"/>
        </w:rPr>
        <w:t xml:space="preserve"> </w:t>
      </w:r>
      <w:r w:rsidRPr="00233F30">
        <w:rPr>
          <w:rFonts w:eastAsia="Times New Roman"/>
          <w:lang w:eastAsia="de-DE"/>
        </w:rPr>
        <w:t>(</w:t>
      </w:r>
      <w:r w:rsidRPr="00233F30">
        <w:rPr>
          <w:rFonts w:eastAsia="Times New Roman"/>
          <w:b/>
          <w:bCs/>
          <w:rtl/>
          <w:lang w:eastAsia="de-DE"/>
        </w:rPr>
        <w:t>לְ</w:t>
      </w:r>
      <w:r w:rsidRPr="00233F30">
        <w:rPr>
          <w:rFonts w:eastAsia="Times New Roman"/>
          <w:rtl/>
          <w:lang w:eastAsia="de-DE"/>
        </w:rPr>
        <w:t xml:space="preserve"> </w:t>
      </w:r>
      <w:r w:rsidRPr="00233F30">
        <w:rPr>
          <w:rFonts w:eastAsia="Times New Roman"/>
          <w:lang w:eastAsia="de-DE"/>
        </w:rPr>
        <w:t xml:space="preserve">mit </w:t>
      </w:r>
      <w:r w:rsidRPr="00233F30">
        <w:rPr>
          <w:rFonts w:eastAsia="Times New Roman"/>
          <w:b/>
          <w:bCs/>
          <w:rtl/>
          <w:lang w:eastAsia="de-DE"/>
        </w:rPr>
        <w:t>שֵׁבֶט</w:t>
      </w:r>
      <w:r w:rsidRPr="00233F30">
        <w:rPr>
          <w:rFonts w:eastAsia="Times New Roman"/>
          <w:rtl/>
          <w:lang w:eastAsia="de-DE"/>
        </w:rPr>
        <w:t xml:space="preserve"> </w:t>
      </w:r>
      <w:r w:rsidRPr="00233F30">
        <w:rPr>
          <w:rFonts w:eastAsia="Times New Roman"/>
          <w:lang w:eastAsia="de-DE"/>
        </w:rPr>
        <w:t>„für den Stamm").</w:t>
      </w:r>
    </w:p>
    <w:p w14:paraId="61B2DD56"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Die LXX</w:t>
      </w:r>
      <w:r w:rsidRPr="00233F30">
        <w:rPr>
          <w:rFonts w:eastAsia="Times New Roman"/>
          <w:lang w:eastAsia="de-DE"/>
        </w:rPr>
        <w:t xml:space="preserve"> entspricht dem hebräischen Text weitgehend.</w:t>
      </w:r>
    </w:p>
    <w:p w14:paraId="25E21824"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lang w:eastAsia="de-DE"/>
        </w:rPr>
        <w:t xml:space="preserve">Die Satzstruktur besteht aus zwei koordinierten Hauptsätzen: (1) </w:t>
      </w:r>
      <w:r w:rsidRPr="00233F30">
        <w:rPr>
          <w:rFonts w:eastAsia="Times New Roman"/>
          <w:b/>
          <w:bCs/>
          <w:rtl/>
          <w:lang w:eastAsia="de-DE"/>
        </w:rPr>
        <w:t>וַיִּיטַב בְּעֵינַי הַדָּבָר</w:t>
      </w:r>
      <w:r w:rsidRPr="00233F30">
        <w:rPr>
          <w:rFonts w:eastAsia="Times New Roman"/>
          <w:lang w:eastAsia="de-DE"/>
        </w:rPr>
        <w:t xml:space="preserve">, (2) </w:t>
      </w:r>
      <w:r w:rsidRPr="00233F30">
        <w:rPr>
          <w:rFonts w:eastAsia="Times New Roman"/>
          <w:b/>
          <w:bCs/>
          <w:rtl/>
          <w:lang w:eastAsia="de-DE"/>
        </w:rPr>
        <w:t>וָאֶקַּח מִכֶּם שְׁנֵים עָשָׂר אֲנָשִׁים</w:t>
      </w:r>
      <w:r w:rsidRPr="00233F30">
        <w:rPr>
          <w:rFonts w:eastAsia="Times New Roman"/>
          <w:rtl/>
          <w:lang w:eastAsia="de-DE"/>
        </w:rPr>
        <w:t xml:space="preserve"> </w:t>
      </w:r>
      <w:r w:rsidRPr="00233F30">
        <w:rPr>
          <w:rFonts w:eastAsia="Times New Roman"/>
          <w:lang w:eastAsia="de-DE"/>
        </w:rPr>
        <w:t xml:space="preserve">mit Apposition </w:t>
      </w:r>
      <w:r w:rsidRPr="00233F30">
        <w:rPr>
          <w:rFonts w:eastAsia="Times New Roman"/>
          <w:b/>
          <w:bCs/>
          <w:rtl/>
          <w:lang w:eastAsia="de-DE"/>
        </w:rPr>
        <w:t>אִישׁ אֶחָד לַשָּׁבֶט</w:t>
      </w:r>
      <w:r w:rsidRPr="00233F30">
        <w:rPr>
          <w:rFonts w:eastAsia="Times New Roman"/>
          <w:lang w:eastAsia="de-DE"/>
        </w:rPr>
        <w:t>.</w:t>
      </w:r>
    </w:p>
    <w:p w14:paraId="6DC4E621"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lang w:eastAsia="de-DE"/>
        </w:rPr>
        <w:t>Der Vers zeigt Moses Zustimmung zum Vorschlag des Volkes und die Auswahl von zwölf Kundschaftern, je einer pro Stamm, was die gesamte Repräsentation Israels gewährleistet.</w:t>
      </w:r>
    </w:p>
    <w:p w14:paraId="35BD8403" w14:textId="77777777" w:rsidR="00233F30" w:rsidRPr="00233F30" w:rsidRDefault="00233F30" w:rsidP="00233F30">
      <w:pPr>
        <w:spacing w:before="100" w:beforeAutospacing="1" w:after="100" w:afterAutospacing="1" w:line="240" w:lineRule="auto"/>
        <w:outlineLvl w:val="1"/>
        <w:rPr>
          <w:rFonts w:eastAsia="Times New Roman"/>
          <w:b/>
          <w:bCs/>
          <w:sz w:val="36"/>
          <w:szCs w:val="36"/>
          <w:lang w:eastAsia="de-DE"/>
        </w:rPr>
      </w:pPr>
      <w:r w:rsidRPr="00233F30">
        <w:rPr>
          <w:rFonts w:eastAsia="Times New Roman"/>
          <w:b/>
          <w:bCs/>
          <w:sz w:val="36"/>
          <w:szCs w:val="36"/>
          <w:lang w:eastAsia="de-DE"/>
        </w:rPr>
        <w:t>Deuteronomium 1,24</w:t>
      </w:r>
    </w:p>
    <w:p w14:paraId="427E4307"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Hebräisch:</w:t>
      </w:r>
      <w:r w:rsidRPr="00233F30">
        <w:rPr>
          <w:rFonts w:eastAsia="Times New Roman"/>
          <w:lang w:eastAsia="de-DE"/>
        </w:rPr>
        <w:t xml:space="preserve"> </w:t>
      </w:r>
      <w:r w:rsidRPr="00233F30">
        <w:rPr>
          <w:rFonts w:eastAsia="Times New Roman"/>
          <w:rtl/>
          <w:lang w:eastAsia="de-DE"/>
        </w:rPr>
        <w:t>וַיִּפְנוּ֙ וַיַּעֲל֣וּ הָהָ֔רָה וַיָּבֹ֖אוּ עַד־נַ֣חַל אֶשְׁכֹּ֑ל וַֽיְרַגְּל֖וּ אֹתָֽהּ׃</w:t>
      </w:r>
    </w:p>
    <w:p w14:paraId="00DE3884"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Deutsch:</w:t>
      </w:r>
      <w:r w:rsidRPr="00233F30">
        <w:rPr>
          <w:rFonts w:eastAsia="Times New Roman"/>
          <w:lang w:eastAsia="de-DE"/>
        </w:rPr>
        <w:t xml:space="preserve"> Und sie wandten sich und stiegen auf das Gebirge und kamen bis zum Tal Eschkol und kundschafteten es aus.</w:t>
      </w:r>
    </w:p>
    <w:p w14:paraId="682AD2AD" w14:textId="77777777" w:rsidR="00233F30" w:rsidRPr="00233F30" w:rsidRDefault="004F5CEB" w:rsidP="00233F30">
      <w:pPr>
        <w:spacing w:after="0" w:line="240" w:lineRule="auto"/>
        <w:rPr>
          <w:rFonts w:eastAsia="Times New Roman"/>
          <w:lang w:eastAsia="de-DE"/>
        </w:rPr>
      </w:pPr>
      <w:r>
        <w:rPr>
          <w:rFonts w:eastAsia="Times New Roman"/>
          <w:noProof/>
          <w:lang w:eastAsia="de-DE"/>
        </w:rPr>
        <w:pict w14:anchorId="20627739">
          <v:rect id="_x0000_i1048" style="width:0;height:1.5pt" o:hralign="center" o:hrstd="t" o:hr="t" fillcolor="#a0a0a0" stroked="f"/>
        </w:pict>
      </w:r>
    </w:p>
    <w:p w14:paraId="4DE135ED" w14:textId="612958CD"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Kommentar:</w:t>
      </w:r>
      <w:r w:rsidRPr="00233F30">
        <w:rPr>
          <w:rFonts w:eastAsia="Times New Roman"/>
          <w:lang w:eastAsia="de-DE"/>
        </w:rPr>
        <w:t xml:space="preserve"> </w:t>
      </w:r>
      <w:r w:rsidRPr="00233F30">
        <w:rPr>
          <w:rFonts w:eastAsia="Times New Roman"/>
          <w:b/>
          <w:bCs/>
          <w:rtl/>
          <w:lang w:eastAsia="de-DE"/>
        </w:rPr>
        <w:t>וַיִּפְנוּ</w:t>
      </w:r>
      <w:r w:rsidRPr="00233F30">
        <w:rPr>
          <w:rFonts w:eastAsia="Times New Roman"/>
          <w:rtl/>
          <w:lang w:eastAsia="de-DE"/>
        </w:rPr>
        <w:t xml:space="preserve"> </w:t>
      </w:r>
      <w:r w:rsidRPr="00233F30">
        <w:rPr>
          <w:rFonts w:eastAsia="Times New Roman"/>
          <w:lang w:eastAsia="de-DE"/>
        </w:rPr>
        <w:t xml:space="preserve">ist Qal Imperfect consecutivum, 3. Person maskulin Plural von </w:t>
      </w:r>
      <w:r w:rsidRPr="00233F30">
        <w:rPr>
          <w:rFonts w:eastAsia="Times New Roman"/>
          <w:rtl/>
          <w:lang w:eastAsia="de-DE"/>
        </w:rPr>
        <w:t>פנה</w:t>
      </w:r>
      <w:r w:rsidRPr="00233F30">
        <w:rPr>
          <w:rFonts w:eastAsia="Times New Roman"/>
          <w:lang w:eastAsia="de-DE"/>
        </w:rPr>
        <w:t xml:space="preserve"> („sich wenden") mit Waw. </w:t>
      </w:r>
      <w:r w:rsidRPr="00233F30">
        <w:rPr>
          <w:rFonts w:eastAsia="Times New Roman"/>
          <w:b/>
          <w:bCs/>
          <w:rtl/>
          <w:lang w:eastAsia="de-DE"/>
        </w:rPr>
        <w:t>וַיַּעֲלוּ</w:t>
      </w:r>
      <w:r w:rsidRPr="00233F30">
        <w:rPr>
          <w:rFonts w:eastAsia="Times New Roman"/>
          <w:rtl/>
          <w:lang w:eastAsia="de-DE"/>
        </w:rPr>
        <w:t xml:space="preserve"> </w:t>
      </w:r>
      <w:r w:rsidRPr="00233F30">
        <w:rPr>
          <w:rFonts w:eastAsia="Times New Roman"/>
          <w:lang w:eastAsia="de-DE"/>
        </w:rPr>
        <w:t xml:space="preserve">ist Qal Imperfekt consecutivum, 3. Person maskulin Plural von </w:t>
      </w:r>
      <w:r w:rsidRPr="00233F30">
        <w:rPr>
          <w:rFonts w:eastAsia="Times New Roman"/>
          <w:rtl/>
          <w:lang w:eastAsia="de-DE"/>
        </w:rPr>
        <w:t>עלה</w:t>
      </w:r>
      <w:r w:rsidRPr="00233F30">
        <w:rPr>
          <w:rFonts w:eastAsia="Times New Roman"/>
          <w:lang w:eastAsia="de-DE"/>
        </w:rPr>
        <w:t xml:space="preserve"> mit Waw. </w:t>
      </w:r>
      <w:r w:rsidRPr="00233F30">
        <w:rPr>
          <w:rFonts w:eastAsia="Times New Roman"/>
          <w:b/>
          <w:bCs/>
          <w:rtl/>
          <w:lang w:eastAsia="de-DE"/>
        </w:rPr>
        <w:t>הָהָרָה</w:t>
      </w:r>
      <w:r w:rsidRPr="00233F30">
        <w:rPr>
          <w:rFonts w:eastAsia="Times New Roman"/>
          <w:rtl/>
          <w:lang w:eastAsia="de-DE"/>
        </w:rPr>
        <w:t xml:space="preserve"> </w:t>
      </w:r>
      <w:r w:rsidRPr="00233F30">
        <w:rPr>
          <w:rFonts w:eastAsia="Times New Roman"/>
          <w:lang w:eastAsia="de-DE"/>
        </w:rPr>
        <w:t xml:space="preserve">ist </w:t>
      </w:r>
      <w:r w:rsidRPr="00233F30">
        <w:rPr>
          <w:rFonts w:eastAsia="Times New Roman"/>
          <w:b/>
          <w:bCs/>
          <w:rtl/>
          <w:lang w:eastAsia="de-DE"/>
        </w:rPr>
        <w:t>הַהַר</w:t>
      </w:r>
      <w:r w:rsidRPr="00233F30">
        <w:rPr>
          <w:rFonts w:eastAsia="Times New Roman"/>
          <w:rtl/>
          <w:lang w:eastAsia="de-DE"/>
        </w:rPr>
        <w:t xml:space="preserve"> </w:t>
      </w:r>
      <w:r w:rsidRPr="00233F30">
        <w:rPr>
          <w:rFonts w:eastAsia="Times New Roman"/>
          <w:lang w:eastAsia="de-DE"/>
        </w:rPr>
        <w:t xml:space="preserve">(„das Gebirge") mit He locale (Richtungsendung </w:t>
      </w:r>
      <w:r w:rsidRPr="00233F30">
        <w:rPr>
          <w:rFonts w:eastAsia="Times New Roman"/>
          <w:b/>
          <w:bCs/>
          <w:rtl/>
          <w:lang w:eastAsia="de-DE"/>
        </w:rPr>
        <w:t>ה</w:t>
      </w:r>
      <w:r w:rsidRPr="00233F30">
        <w:rPr>
          <w:rFonts w:eastAsia="Times New Roman"/>
          <w:rtl/>
          <w:lang w:eastAsia="de-DE"/>
        </w:rPr>
        <w:t xml:space="preserve"> </w:t>
      </w:r>
      <w:r w:rsidRPr="00233F30">
        <w:rPr>
          <w:rFonts w:eastAsia="Times New Roman"/>
          <w:lang w:eastAsia="de-DE"/>
        </w:rPr>
        <w:t xml:space="preserve">für „zum Gebirge hin"). </w:t>
      </w:r>
      <w:r w:rsidRPr="00233F30">
        <w:rPr>
          <w:rFonts w:eastAsia="Times New Roman"/>
          <w:b/>
          <w:bCs/>
          <w:rtl/>
          <w:lang w:eastAsia="de-DE"/>
        </w:rPr>
        <w:t>וַיָּבֹאוּ</w:t>
      </w:r>
      <w:r w:rsidRPr="00233F30">
        <w:rPr>
          <w:rFonts w:eastAsia="Times New Roman"/>
          <w:rtl/>
          <w:lang w:eastAsia="de-DE"/>
        </w:rPr>
        <w:t xml:space="preserve"> </w:t>
      </w:r>
      <w:r w:rsidRPr="00233F30">
        <w:rPr>
          <w:rFonts w:eastAsia="Times New Roman"/>
          <w:lang w:eastAsia="de-DE"/>
        </w:rPr>
        <w:t xml:space="preserve">ist Qal Imperfekt consecutivum, 3. Person maskulin Plural von </w:t>
      </w:r>
      <w:r w:rsidRPr="00233F30">
        <w:rPr>
          <w:rFonts w:eastAsia="Times New Roman"/>
          <w:rtl/>
          <w:lang w:eastAsia="de-DE"/>
        </w:rPr>
        <w:t>בוא</w:t>
      </w:r>
      <w:r w:rsidRPr="00233F30">
        <w:rPr>
          <w:rFonts w:eastAsia="Times New Roman"/>
          <w:lang w:eastAsia="de-DE"/>
        </w:rPr>
        <w:t xml:space="preserve"> mit Waw. </w:t>
      </w:r>
      <w:r w:rsidRPr="00233F30">
        <w:rPr>
          <w:rFonts w:eastAsia="Times New Roman"/>
          <w:b/>
          <w:bCs/>
          <w:rtl/>
          <w:lang w:eastAsia="de-DE"/>
        </w:rPr>
        <w:t>עַד־נַחַל אֶשְׁכֹּל</w:t>
      </w:r>
      <w:r w:rsidRPr="00233F30">
        <w:rPr>
          <w:rFonts w:eastAsia="Times New Roman"/>
          <w:rtl/>
          <w:lang w:eastAsia="de-DE"/>
        </w:rPr>
        <w:t xml:space="preserve"> </w:t>
      </w:r>
      <w:r w:rsidRPr="00233F30">
        <w:rPr>
          <w:rFonts w:eastAsia="Times New Roman"/>
          <w:lang w:eastAsia="de-DE"/>
        </w:rPr>
        <w:t xml:space="preserve">ist </w:t>
      </w:r>
      <w:r w:rsidRPr="00233F30">
        <w:rPr>
          <w:rFonts w:eastAsia="Times New Roman"/>
          <w:b/>
          <w:bCs/>
          <w:rtl/>
          <w:lang w:eastAsia="de-DE"/>
        </w:rPr>
        <w:t>עַד</w:t>
      </w:r>
      <w:r w:rsidRPr="00233F30">
        <w:rPr>
          <w:rFonts w:eastAsia="Times New Roman"/>
          <w:rtl/>
          <w:lang w:eastAsia="de-DE"/>
        </w:rPr>
        <w:t xml:space="preserve"> </w:t>
      </w:r>
      <w:r w:rsidRPr="00233F30">
        <w:rPr>
          <w:rFonts w:eastAsia="Times New Roman"/>
          <w:lang w:eastAsia="de-DE"/>
        </w:rPr>
        <w:t xml:space="preserve">mit </w:t>
      </w:r>
      <w:r w:rsidRPr="00233F30">
        <w:rPr>
          <w:rFonts w:eastAsia="Times New Roman"/>
          <w:b/>
          <w:bCs/>
          <w:rtl/>
          <w:lang w:eastAsia="de-DE"/>
        </w:rPr>
        <w:t>נַחַל</w:t>
      </w:r>
      <w:r w:rsidRPr="00233F30">
        <w:rPr>
          <w:rFonts w:eastAsia="Times New Roman"/>
          <w:rtl/>
          <w:lang w:eastAsia="de-DE"/>
        </w:rPr>
        <w:t xml:space="preserve"> </w:t>
      </w:r>
      <w:r w:rsidRPr="00233F30">
        <w:rPr>
          <w:rFonts w:eastAsia="Times New Roman"/>
          <w:lang w:eastAsia="de-DE"/>
        </w:rPr>
        <w:t xml:space="preserve">(„Bach, Tal") im </w:t>
      </w:r>
      <w:r w:rsidR="0032647F">
        <w:rPr>
          <w:rFonts w:eastAsia="Times New Roman"/>
          <w:lang w:eastAsia="de-DE"/>
        </w:rPr>
        <w:t>Construct</w:t>
      </w:r>
      <w:r w:rsidRPr="00233F30">
        <w:rPr>
          <w:rFonts w:eastAsia="Times New Roman"/>
          <w:lang w:eastAsia="de-DE"/>
        </w:rPr>
        <w:t xml:space="preserve"> mit </w:t>
      </w:r>
      <w:r w:rsidRPr="00233F30">
        <w:rPr>
          <w:rFonts w:eastAsia="Times New Roman"/>
          <w:b/>
          <w:bCs/>
          <w:rtl/>
          <w:lang w:eastAsia="de-DE"/>
        </w:rPr>
        <w:t>אֶשְׁכֹּל</w:t>
      </w:r>
      <w:r w:rsidRPr="00233F30">
        <w:rPr>
          <w:rFonts w:eastAsia="Times New Roman"/>
          <w:rtl/>
          <w:lang w:eastAsia="de-DE"/>
        </w:rPr>
        <w:t xml:space="preserve"> </w:t>
      </w:r>
      <w:r w:rsidRPr="00233F30">
        <w:rPr>
          <w:rFonts w:eastAsia="Times New Roman"/>
          <w:lang w:eastAsia="de-DE"/>
        </w:rPr>
        <w:t>(„Eschkol", Ortsname, wörtlich „Traube").</w:t>
      </w:r>
    </w:p>
    <w:p w14:paraId="53DEACCC"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rtl/>
          <w:lang w:eastAsia="de-DE"/>
        </w:rPr>
        <w:lastRenderedPageBreak/>
        <w:t>וַיְרַגְּלוּ</w:t>
      </w:r>
      <w:r w:rsidRPr="00233F30">
        <w:rPr>
          <w:rFonts w:eastAsia="Times New Roman"/>
          <w:rtl/>
          <w:lang w:eastAsia="de-DE"/>
        </w:rPr>
        <w:t xml:space="preserve"> </w:t>
      </w:r>
      <w:r w:rsidRPr="00233F30">
        <w:rPr>
          <w:rFonts w:eastAsia="Times New Roman"/>
          <w:lang w:eastAsia="de-DE"/>
        </w:rPr>
        <w:t xml:space="preserve">ist Piel Imperfekt consecutivum, 3. Person maskulin Plural von </w:t>
      </w:r>
      <w:r w:rsidRPr="00233F30">
        <w:rPr>
          <w:rFonts w:eastAsia="Times New Roman"/>
          <w:rtl/>
          <w:lang w:eastAsia="de-DE"/>
        </w:rPr>
        <w:t>רגל</w:t>
      </w:r>
      <w:r w:rsidRPr="00233F30">
        <w:rPr>
          <w:rFonts w:eastAsia="Times New Roman"/>
          <w:lang w:eastAsia="de-DE"/>
        </w:rPr>
        <w:t xml:space="preserve"> („auskundschaften, ausspionieren") mit Waw. </w:t>
      </w:r>
      <w:r w:rsidRPr="00233F30">
        <w:rPr>
          <w:rFonts w:eastAsia="Times New Roman"/>
          <w:b/>
          <w:bCs/>
          <w:rtl/>
          <w:lang w:eastAsia="de-DE"/>
        </w:rPr>
        <w:t>אֹתָהּ</w:t>
      </w:r>
      <w:r w:rsidRPr="00233F30">
        <w:rPr>
          <w:rFonts w:eastAsia="Times New Roman"/>
          <w:rtl/>
          <w:lang w:eastAsia="de-DE"/>
        </w:rPr>
        <w:t xml:space="preserve"> </w:t>
      </w:r>
      <w:r w:rsidRPr="00233F30">
        <w:rPr>
          <w:rFonts w:eastAsia="Times New Roman"/>
          <w:lang w:eastAsia="de-DE"/>
        </w:rPr>
        <w:t xml:space="preserve">ist die Objektpartikel mit femininem Suffix 3. Person Singular, bezogen auf </w:t>
      </w:r>
      <w:r w:rsidRPr="00233F30">
        <w:rPr>
          <w:rFonts w:eastAsia="Times New Roman"/>
          <w:b/>
          <w:bCs/>
          <w:rtl/>
          <w:lang w:eastAsia="de-DE"/>
        </w:rPr>
        <w:t>הָאָרֶץ</w:t>
      </w:r>
      <w:r w:rsidRPr="00233F30">
        <w:rPr>
          <w:rFonts w:eastAsia="Times New Roman"/>
          <w:rtl/>
          <w:lang w:eastAsia="de-DE"/>
        </w:rPr>
        <w:t xml:space="preserve"> </w:t>
      </w:r>
      <w:r w:rsidRPr="00233F30">
        <w:rPr>
          <w:rFonts w:eastAsia="Times New Roman"/>
          <w:lang w:eastAsia="de-DE"/>
        </w:rPr>
        <w:t>oder die Region.</w:t>
      </w:r>
    </w:p>
    <w:p w14:paraId="2097F6F0" w14:textId="58C4A8FF"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Die LXX</w:t>
      </w:r>
      <w:r w:rsidRPr="00233F30">
        <w:rPr>
          <w:rFonts w:eastAsia="Times New Roman"/>
          <w:lang w:eastAsia="de-DE"/>
        </w:rPr>
        <w:t xml:space="preserve"> </w:t>
      </w:r>
      <w:r w:rsidR="00D936E2">
        <w:t>übersetzt „</w:t>
      </w:r>
      <w:r w:rsidR="00D936E2">
        <w:rPr>
          <w:rtl/>
        </w:rPr>
        <w:t>נַחַל אֶשְׁכּוֹל</w:t>
      </w:r>
      <w:r w:rsidR="00D936E2">
        <w:t>" (Bach Eschkol) mit „</w:t>
      </w:r>
      <w:proofErr w:type="spellStart"/>
      <w:r w:rsidR="00D936E2">
        <w:t>Φάρ</w:t>
      </w:r>
      <w:proofErr w:type="spellEnd"/>
      <w:r w:rsidR="00D936E2">
        <w:t>αγγος β</w:t>
      </w:r>
      <w:proofErr w:type="spellStart"/>
      <w:r w:rsidR="00D936E2">
        <w:t>ότρυος</w:t>
      </w:r>
      <w:proofErr w:type="spellEnd"/>
      <w:r w:rsidR="00D936E2">
        <w:t>" (Schlucht der Traube), was den Namen übersetzt statt transliteriert.</w:t>
      </w:r>
    </w:p>
    <w:p w14:paraId="00E90D17"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lang w:eastAsia="de-DE"/>
        </w:rPr>
        <w:t xml:space="preserve">Die Satzstruktur besteht aus vier koordinierten Verben mit Waw consecutivum: </w:t>
      </w:r>
      <w:r w:rsidRPr="00233F30">
        <w:rPr>
          <w:rFonts w:eastAsia="Times New Roman"/>
          <w:b/>
          <w:bCs/>
          <w:rtl/>
          <w:lang w:eastAsia="de-DE"/>
        </w:rPr>
        <w:t>וַיִּפְנוּ</w:t>
      </w:r>
      <w:r w:rsidRPr="00233F30">
        <w:rPr>
          <w:rFonts w:eastAsia="Times New Roman"/>
          <w:lang w:eastAsia="de-DE"/>
        </w:rPr>
        <w:t xml:space="preserve">, </w:t>
      </w:r>
      <w:r w:rsidRPr="00233F30">
        <w:rPr>
          <w:rFonts w:eastAsia="Times New Roman"/>
          <w:b/>
          <w:bCs/>
          <w:rtl/>
          <w:lang w:eastAsia="de-DE"/>
        </w:rPr>
        <w:t>וַיַּעֲלוּ</w:t>
      </w:r>
      <w:r w:rsidRPr="00233F30">
        <w:rPr>
          <w:rFonts w:eastAsia="Times New Roman"/>
          <w:lang w:eastAsia="de-DE"/>
        </w:rPr>
        <w:t xml:space="preserve">, </w:t>
      </w:r>
      <w:r w:rsidRPr="00233F30">
        <w:rPr>
          <w:rFonts w:eastAsia="Times New Roman"/>
          <w:b/>
          <w:bCs/>
          <w:rtl/>
          <w:lang w:eastAsia="de-DE"/>
        </w:rPr>
        <w:t>וַיָּבֹאוּ</w:t>
      </w:r>
      <w:r w:rsidRPr="00233F30">
        <w:rPr>
          <w:rFonts w:eastAsia="Times New Roman"/>
          <w:lang w:eastAsia="de-DE"/>
        </w:rPr>
        <w:t xml:space="preserve">, und </w:t>
      </w:r>
      <w:r w:rsidRPr="00233F30">
        <w:rPr>
          <w:rFonts w:eastAsia="Times New Roman"/>
          <w:b/>
          <w:bCs/>
          <w:rtl/>
          <w:lang w:eastAsia="de-DE"/>
        </w:rPr>
        <w:t>וַיְרַגְּלוּ</w:t>
      </w:r>
      <w:r w:rsidRPr="00233F30">
        <w:rPr>
          <w:rFonts w:eastAsia="Times New Roman"/>
          <w:lang w:eastAsia="de-DE"/>
        </w:rPr>
        <w:t>. Die Sequenz beschreibt die Bewegung und Aktion der Kundschafter.</w:t>
      </w:r>
    </w:p>
    <w:p w14:paraId="07A7CBCE"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lang w:eastAsia="de-DE"/>
        </w:rPr>
        <w:t>Der Vers berichtet von der Erkundungsmission der zwölf Männer bis zum Tal Eschkol, einem fruchtbaren Gebiet, das für seine Trauben bekannt war (vgl. Num 13,23-24).</w:t>
      </w:r>
    </w:p>
    <w:p w14:paraId="4B4243E6" w14:textId="77777777" w:rsidR="00233F30" w:rsidRPr="00233F30" w:rsidRDefault="00233F30" w:rsidP="00233F30">
      <w:pPr>
        <w:spacing w:before="100" w:beforeAutospacing="1" w:after="100" w:afterAutospacing="1" w:line="240" w:lineRule="auto"/>
        <w:outlineLvl w:val="1"/>
        <w:rPr>
          <w:rFonts w:eastAsia="Times New Roman"/>
          <w:b/>
          <w:bCs/>
          <w:sz w:val="36"/>
          <w:szCs w:val="36"/>
          <w:lang w:eastAsia="de-DE"/>
        </w:rPr>
      </w:pPr>
      <w:r w:rsidRPr="00233F30">
        <w:rPr>
          <w:rFonts w:eastAsia="Times New Roman"/>
          <w:b/>
          <w:bCs/>
          <w:sz w:val="36"/>
          <w:szCs w:val="36"/>
          <w:lang w:eastAsia="de-DE"/>
        </w:rPr>
        <w:t>Deuteronomium 1,25</w:t>
      </w:r>
    </w:p>
    <w:p w14:paraId="4833BE63"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Hebräisch:</w:t>
      </w:r>
      <w:r w:rsidRPr="00233F30">
        <w:rPr>
          <w:rFonts w:eastAsia="Times New Roman"/>
          <w:lang w:eastAsia="de-DE"/>
        </w:rPr>
        <w:t xml:space="preserve"> </w:t>
      </w:r>
      <w:r w:rsidRPr="00233F30">
        <w:rPr>
          <w:rFonts w:eastAsia="Times New Roman"/>
          <w:rtl/>
          <w:lang w:eastAsia="de-DE"/>
        </w:rPr>
        <w:t>וַיִּקְח֤וּ בְיָדָם֙ מִפְּרִ֣י הָאָ֔רֶץ וַיּוֹרִ֖דוּ אֵלֵ֑ינוּ וַיָּשִׁ֨בוּ אֹתָ֤נוּ דָבָר֙ וַיֹּ֣אמְר֔וּ טוֹבָ֣ה הָאָ֔רֶץ אֲשֶׁר־יְהוָ֥ה אֱלֹהֵ֖ינוּ נֹתֵ֥ן לָֽנוּ׃</w:t>
      </w:r>
    </w:p>
    <w:p w14:paraId="041BA673"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Deutsch:</w:t>
      </w:r>
      <w:r w:rsidRPr="00233F30">
        <w:rPr>
          <w:rFonts w:eastAsia="Times New Roman"/>
          <w:lang w:eastAsia="de-DE"/>
        </w:rPr>
        <w:t xml:space="preserve"> Und sie nahmen von der Frucht des Landes in ihre Hand und brachten (sie) zu uns herab. Und sie erstatteten uns Bericht und sagten: Das Land ist gut, das der Ewige, unser Gott, dabei ist, uns zu geben.</w:t>
      </w:r>
    </w:p>
    <w:p w14:paraId="33CD2C05" w14:textId="77777777" w:rsidR="00233F30" w:rsidRPr="00233F30" w:rsidRDefault="004F5CEB" w:rsidP="00233F30">
      <w:pPr>
        <w:spacing w:after="0" w:line="240" w:lineRule="auto"/>
        <w:rPr>
          <w:rFonts w:eastAsia="Times New Roman"/>
          <w:lang w:eastAsia="de-DE"/>
        </w:rPr>
      </w:pPr>
      <w:r>
        <w:rPr>
          <w:rFonts w:eastAsia="Times New Roman"/>
          <w:noProof/>
          <w:lang w:eastAsia="de-DE"/>
        </w:rPr>
        <w:pict w14:anchorId="7C847642">
          <v:rect id="_x0000_i1049" style="width:0;height:1.5pt" o:hralign="center" o:hrstd="t" o:hr="t" fillcolor="#a0a0a0" stroked="f"/>
        </w:pict>
      </w:r>
    </w:p>
    <w:p w14:paraId="611E9607" w14:textId="6E22D5E3"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Kommentar:</w:t>
      </w:r>
      <w:r w:rsidRPr="00233F30">
        <w:rPr>
          <w:rFonts w:eastAsia="Times New Roman"/>
          <w:lang w:eastAsia="de-DE"/>
        </w:rPr>
        <w:t xml:space="preserve"> </w:t>
      </w:r>
      <w:r w:rsidRPr="00233F30">
        <w:rPr>
          <w:rFonts w:eastAsia="Times New Roman"/>
          <w:b/>
          <w:bCs/>
          <w:rtl/>
          <w:lang w:eastAsia="de-DE"/>
        </w:rPr>
        <w:t>וַיִּקְחוּ</w:t>
      </w:r>
      <w:r w:rsidRPr="00233F30">
        <w:rPr>
          <w:rFonts w:eastAsia="Times New Roman"/>
          <w:rtl/>
          <w:lang w:eastAsia="de-DE"/>
        </w:rPr>
        <w:t xml:space="preserve"> </w:t>
      </w:r>
      <w:r w:rsidRPr="00233F30">
        <w:rPr>
          <w:rFonts w:eastAsia="Times New Roman"/>
          <w:lang w:eastAsia="de-DE"/>
        </w:rPr>
        <w:t xml:space="preserve">ist Qal Imperfekt consecutivum, 3. Person maskulin Plural von </w:t>
      </w:r>
      <w:r w:rsidRPr="00233F30">
        <w:rPr>
          <w:rFonts w:eastAsia="Times New Roman"/>
          <w:rtl/>
          <w:lang w:eastAsia="de-DE"/>
        </w:rPr>
        <w:t>לקח</w:t>
      </w:r>
      <w:r w:rsidRPr="00233F30">
        <w:rPr>
          <w:rFonts w:eastAsia="Times New Roman"/>
          <w:lang w:eastAsia="de-DE"/>
        </w:rPr>
        <w:t xml:space="preserve"> mit Waw. </w:t>
      </w:r>
      <w:r w:rsidRPr="00233F30">
        <w:rPr>
          <w:rFonts w:eastAsia="Times New Roman"/>
          <w:b/>
          <w:bCs/>
          <w:rtl/>
          <w:lang w:eastAsia="de-DE"/>
        </w:rPr>
        <w:t>בְיָדָם</w:t>
      </w:r>
      <w:r w:rsidRPr="00233F30">
        <w:rPr>
          <w:rFonts w:eastAsia="Times New Roman"/>
          <w:rtl/>
          <w:lang w:eastAsia="de-DE"/>
        </w:rPr>
        <w:t xml:space="preserve"> </w:t>
      </w:r>
      <w:r w:rsidRPr="00233F30">
        <w:rPr>
          <w:rFonts w:eastAsia="Times New Roman"/>
          <w:lang w:eastAsia="de-DE"/>
        </w:rPr>
        <w:t xml:space="preserve">ist </w:t>
      </w:r>
      <w:r w:rsidRPr="00233F30">
        <w:rPr>
          <w:rFonts w:eastAsia="Times New Roman"/>
          <w:b/>
          <w:bCs/>
          <w:rtl/>
          <w:lang w:eastAsia="de-DE"/>
        </w:rPr>
        <w:t>בְּ</w:t>
      </w:r>
      <w:r w:rsidRPr="00233F30">
        <w:rPr>
          <w:rFonts w:eastAsia="Times New Roman"/>
          <w:rtl/>
          <w:lang w:eastAsia="de-DE"/>
        </w:rPr>
        <w:t xml:space="preserve"> </w:t>
      </w:r>
      <w:r w:rsidRPr="00233F30">
        <w:rPr>
          <w:rFonts w:eastAsia="Times New Roman"/>
          <w:lang w:eastAsia="de-DE"/>
        </w:rPr>
        <w:t xml:space="preserve">mit </w:t>
      </w:r>
      <w:r w:rsidRPr="00233F30">
        <w:rPr>
          <w:rFonts w:eastAsia="Times New Roman"/>
          <w:b/>
          <w:bCs/>
          <w:rtl/>
          <w:lang w:eastAsia="de-DE"/>
        </w:rPr>
        <w:t>יָד</w:t>
      </w:r>
      <w:r w:rsidRPr="00233F30">
        <w:rPr>
          <w:rFonts w:eastAsia="Times New Roman"/>
          <w:rtl/>
          <w:lang w:eastAsia="de-DE"/>
        </w:rPr>
        <w:t xml:space="preserve"> </w:t>
      </w:r>
      <w:r w:rsidRPr="00233F30">
        <w:rPr>
          <w:rFonts w:eastAsia="Times New Roman"/>
          <w:lang w:eastAsia="de-DE"/>
        </w:rPr>
        <w:t xml:space="preserve">(„Hand") im Dual oder Plural und Suffix 3. Person maskulin Plural („in ihre Hand"). </w:t>
      </w:r>
      <w:r w:rsidRPr="00233F30">
        <w:rPr>
          <w:rFonts w:eastAsia="Times New Roman"/>
          <w:b/>
          <w:bCs/>
          <w:rtl/>
          <w:lang w:eastAsia="de-DE"/>
        </w:rPr>
        <w:t>מִפְּרִי הָאָרֶץ</w:t>
      </w:r>
      <w:r w:rsidRPr="00233F30">
        <w:rPr>
          <w:rFonts w:eastAsia="Times New Roman"/>
          <w:rtl/>
          <w:lang w:eastAsia="de-DE"/>
        </w:rPr>
        <w:t xml:space="preserve"> </w:t>
      </w:r>
      <w:r w:rsidRPr="00233F30">
        <w:rPr>
          <w:rFonts w:eastAsia="Times New Roman"/>
          <w:lang w:eastAsia="de-DE"/>
        </w:rPr>
        <w:t xml:space="preserve">ist </w:t>
      </w:r>
      <w:r w:rsidRPr="00233F30">
        <w:rPr>
          <w:rFonts w:eastAsia="Times New Roman"/>
          <w:b/>
          <w:bCs/>
          <w:rtl/>
          <w:lang w:eastAsia="de-DE"/>
        </w:rPr>
        <w:t>מִן</w:t>
      </w:r>
      <w:r w:rsidRPr="00233F30">
        <w:rPr>
          <w:rFonts w:eastAsia="Times New Roman"/>
          <w:rtl/>
          <w:lang w:eastAsia="de-DE"/>
        </w:rPr>
        <w:t xml:space="preserve"> </w:t>
      </w:r>
      <w:r w:rsidRPr="00233F30">
        <w:rPr>
          <w:rFonts w:eastAsia="Times New Roman"/>
          <w:lang w:eastAsia="de-DE"/>
        </w:rPr>
        <w:t xml:space="preserve">(„von") mit </w:t>
      </w:r>
      <w:r w:rsidRPr="00233F30">
        <w:rPr>
          <w:rFonts w:eastAsia="Times New Roman"/>
          <w:b/>
          <w:bCs/>
          <w:rtl/>
          <w:lang w:eastAsia="de-DE"/>
        </w:rPr>
        <w:t>פְּרִי</w:t>
      </w:r>
      <w:r w:rsidRPr="00233F30">
        <w:rPr>
          <w:rFonts w:eastAsia="Times New Roman"/>
          <w:rtl/>
          <w:lang w:eastAsia="de-DE"/>
        </w:rPr>
        <w:t xml:space="preserve"> </w:t>
      </w:r>
      <w:r w:rsidRPr="00233F30">
        <w:rPr>
          <w:rFonts w:eastAsia="Times New Roman"/>
          <w:lang w:eastAsia="de-DE"/>
        </w:rPr>
        <w:t xml:space="preserve">(„Frucht") im </w:t>
      </w:r>
      <w:r w:rsidR="0032647F">
        <w:rPr>
          <w:rFonts w:eastAsia="Times New Roman"/>
          <w:lang w:eastAsia="de-DE"/>
        </w:rPr>
        <w:t>Construct</w:t>
      </w:r>
      <w:r w:rsidRPr="00233F30">
        <w:rPr>
          <w:rFonts w:eastAsia="Times New Roman"/>
          <w:lang w:eastAsia="de-DE"/>
        </w:rPr>
        <w:t xml:space="preserve"> und </w:t>
      </w:r>
      <w:r w:rsidRPr="00233F30">
        <w:rPr>
          <w:rFonts w:eastAsia="Times New Roman"/>
          <w:b/>
          <w:bCs/>
          <w:rtl/>
          <w:lang w:eastAsia="de-DE"/>
        </w:rPr>
        <w:t>הָאָרֶץ</w:t>
      </w:r>
      <w:r w:rsidRPr="00233F30">
        <w:rPr>
          <w:rFonts w:eastAsia="Times New Roman"/>
          <w:lang w:eastAsia="de-DE"/>
        </w:rPr>
        <w:t xml:space="preserve">. </w:t>
      </w:r>
      <w:r w:rsidRPr="00233F30">
        <w:rPr>
          <w:rFonts w:eastAsia="Times New Roman"/>
          <w:b/>
          <w:bCs/>
          <w:rtl/>
          <w:lang w:eastAsia="de-DE"/>
        </w:rPr>
        <w:t>וַיּוֹרִדוּ</w:t>
      </w:r>
      <w:r w:rsidRPr="00233F30">
        <w:rPr>
          <w:rFonts w:eastAsia="Times New Roman"/>
          <w:rtl/>
          <w:lang w:eastAsia="de-DE"/>
        </w:rPr>
        <w:t xml:space="preserve"> </w:t>
      </w:r>
      <w:r w:rsidRPr="00233F30">
        <w:rPr>
          <w:rFonts w:eastAsia="Times New Roman"/>
          <w:lang w:eastAsia="de-DE"/>
        </w:rPr>
        <w:t xml:space="preserve">ist Hif'il Imperfekt consecutivum, 3. Person maskulin Plural von </w:t>
      </w:r>
      <w:r w:rsidRPr="00233F30">
        <w:rPr>
          <w:rFonts w:eastAsia="Times New Roman"/>
          <w:rtl/>
          <w:lang w:eastAsia="de-DE"/>
        </w:rPr>
        <w:t>ירד</w:t>
      </w:r>
      <w:r w:rsidRPr="00233F30">
        <w:rPr>
          <w:rFonts w:eastAsia="Times New Roman"/>
          <w:lang w:eastAsia="de-DE"/>
        </w:rPr>
        <w:t xml:space="preserve"> („hinabbringen") mit Waw. </w:t>
      </w:r>
      <w:r w:rsidRPr="00233F30">
        <w:rPr>
          <w:rFonts w:eastAsia="Times New Roman"/>
          <w:b/>
          <w:bCs/>
          <w:rtl/>
          <w:lang w:eastAsia="de-DE"/>
        </w:rPr>
        <w:t>אֵלֵינוּ</w:t>
      </w:r>
      <w:r w:rsidRPr="00233F30">
        <w:rPr>
          <w:rFonts w:eastAsia="Times New Roman"/>
          <w:rtl/>
          <w:lang w:eastAsia="de-DE"/>
        </w:rPr>
        <w:t xml:space="preserve"> </w:t>
      </w:r>
      <w:r w:rsidRPr="00233F30">
        <w:rPr>
          <w:rFonts w:eastAsia="Times New Roman"/>
          <w:lang w:eastAsia="de-DE"/>
        </w:rPr>
        <w:t xml:space="preserve">ist </w:t>
      </w:r>
      <w:r w:rsidRPr="00233F30">
        <w:rPr>
          <w:rFonts w:eastAsia="Times New Roman"/>
          <w:b/>
          <w:bCs/>
          <w:rtl/>
          <w:lang w:eastAsia="de-DE"/>
        </w:rPr>
        <w:t>אֶל</w:t>
      </w:r>
      <w:r w:rsidRPr="00233F30">
        <w:rPr>
          <w:rFonts w:eastAsia="Times New Roman"/>
          <w:rtl/>
          <w:lang w:eastAsia="de-DE"/>
        </w:rPr>
        <w:t xml:space="preserve"> </w:t>
      </w:r>
      <w:r w:rsidRPr="00233F30">
        <w:rPr>
          <w:rFonts w:eastAsia="Times New Roman"/>
          <w:lang w:eastAsia="de-DE"/>
        </w:rPr>
        <w:t>mit Suffix 1. Person Plural.</w:t>
      </w:r>
    </w:p>
    <w:p w14:paraId="6D6E7F0E" w14:textId="4D604DE8"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rtl/>
          <w:lang w:eastAsia="de-DE"/>
        </w:rPr>
        <w:t>וַיָּשִׁבוּ אֹתָנוּ דָבָר</w:t>
      </w:r>
      <w:r w:rsidRPr="00233F30">
        <w:rPr>
          <w:rFonts w:eastAsia="Times New Roman"/>
          <w:rtl/>
          <w:lang w:eastAsia="de-DE"/>
        </w:rPr>
        <w:t xml:space="preserve"> </w:t>
      </w:r>
      <w:r w:rsidRPr="00233F30">
        <w:rPr>
          <w:rFonts w:eastAsia="Times New Roman"/>
          <w:lang w:eastAsia="de-DE"/>
        </w:rPr>
        <w:t xml:space="preserve">entspricht der </w:t>
      </w:r>
      <w:r w:rsidR="00FF2B82">
        <w:rPr>
          <w:rFonts w:eastAsia="Times New Roman"/>
          <w:lang w:eastAsia="de-DE"/>
        </w:rPr>
        <w:t>Konstruktion</w:t>
      </w:r>
      <w:r w:rsidRPr="00233F30">
        <w:rPr>
          <w:rFonts w:eastAsia="Times New Roman"/>
          <w:lang w:eastAsia="de-DE"/>
        </w:rPr>
        <w:t xml:space="preserve"> in V. 22: Hif'il Imperfekt consecutivum von </w:t>
      </w:r>
      <w:r w:rsidRPr="00233F30">
        <w:rPr>
          <w:rFonts w:eastAsia="Times New Roman"/>
          <w:rtl/>
          <w:lang w:eastAsia="de-DE"/>
        </w:rPr>
        <w:t>שׁוב</w:t>
      </w:r>
      <w:r w:rsidRPr="00233F30">
        <w:rPr>
          <w:rFonts w:eastAsia="Times New Roman"/>
          <w:lang w:eastAsia="de-DE"/>
        </w:rPr>
        <w:t xml:space="preserve">, Objektsuffix, und </w:t>
      </w:r>
      <w:r w:rsidRPr="00233F30">
        <w:rPr>
          <w:rFonts w:eastAsia="Times New Roman"/>
          <w:b/>
          <w:bCs/>
          <w:rtl/>
          <w:lang w:eastAsia="de-DE"/>
        </w:rPr>
        <w:t>דָבָר</w:t>
      </w:r>
      <w:r w:rsidRPr="00233F30">
        <w:rPr>
          <w:rFonts w:eastAsia="Times New Roman"/>
          <w:lang w:eastAsia="de-DE"/>
        </w:rPr>
        <w:t xml:space="preserve">. </w:t>
      </w:r>
      <w:r w:rsidRPr="00233F30">
        <w:rPr>
          <w:rFonts w:eastAsia="Times New Roman"/>
          <w:b/>
          <w:bCs/>
          <w:rtl/>
          <w:lang w:eastAsia="de-DE"/>
        </w:rPr>
        <w:t>וַיֹּאמְרוּ</w:t>
      </w:r>
      <w:r w:rsidRPr="00233F30">
        <w:rPr>
          <w:rFonts w:eastAsia="Times New Roman"/>
          <w:rtl/>
          <w:lang w:eastAsia="de-DE"/>
        </w:rPr>
        <w:t xml:space="preserve"> </w:t>
      </w:r>
      <w:r w:rsidRPr="00233F30">
        <w:rPr>
          <w:rFonts w:eastAsia="Times New Roman"/>
          <w:lang w:eastAsia="de-DE"/>
        </w:rPr>
        <w:t xml:space="preserve">ist Qal Imperfekt consecutivum, 3. Person maskulin Plural von </w:t>
      </w:r>
      <w:r w:rsidRPr="00233F30">
        <w:rPr>
          <w:rFonts w:eastAsia="Times New Roman"/>
          <w:rtl/>
          <w:lang w:eastAsia="de-DE"/>
        </w:rPr>
        <w:t>אמר</w:t>
      </w:r>
      <w:r w:rsidRPr="00233F30">
        <w:rPr>
          <w:rFonts w:eastAsia="Times New Roman"/>
          <w:lang w:eastAsia="de-DE"/>
        </w:rPr>
        <w:t xml:space="preserve"> mit Waw. </w:t>
      </w:r>
      <w:r w:rsidRPr="00233F30">
        <w:rPr>
          <w:rFonts w:eastAsia="Times New Roman"/>
          <w:b/>
          <w:bCs/>
          <w:rtl/>
          <w:lang w:eastAsia="de-DE"/>
        </w:rPr>
        <w:t>טוֹבָה הָאָרֶץ</w:t>
      </w:r>
      <w:r w:rsidRPr="00233F30">
        <w:rPr>
          <w:rFonts w:eastAsia="Times New Roman"/>
          <w:rtl/>
          <w:lang w:eastAsia="de-DE"/>
        </w:rPr>
        <w:t xml:space="preserve"> </w:t>
      </w:r>
      <w:r w:rsidRPr="00233F30">
        <w:rPr>
          <w:rFonts w:eastAsia="Times New Roman"/>
          <w:lang w:eastAsia="de-DE"/>
        </w:rPr>
        <w:t xml:space="preserve">ist ein Nominalsatz: </w:t>
      </w:r>
      <w:r w:rsidRPr="00233F30">
        <w:rPr>
          <w:rFonts w:eastAsia="Times New Roman"/>
          <w:b/>
          <w:bCs/>
          <w:rtl/>
          <w:lang w:eastAsia="de-DE"/>
        </w:rPr>
        <w:t>טוֹבָה</w:t>
      </w:r>
      <w:r w:rsidRPr="00233F30">
        <w:rPr>
          <w:rFonts w:eastAsia="Times New Roman"/>
          <w:rtl/>
          <w:lang w:eastAsia="de-DE"/>
        </w:rPr>
        <w:t xml:space="preserve"> </w:t>
      </w:r>
      <w:r w:rsidRPr="00233F30">
        <w:rPr>
          <w:rFonts w:eastAsia="Times New Roman"/>
          <w:lang w:eastAsia="de-DE"/>
        </w:rPr>
        <w:t xml:space="preserve">(feminin Singular von </w:t>
      </w:r>
      <w:r w:rsidRPr="00233F30">
        <w:rPr>
          <w:rFonts w:eastAsia="Times New Roman"/>
          <w:b/>
          <w:bCs/>
          <w:rtl/>
          <w:lang w:eastAsia="de-DE"/>
        </w:rPr>
        <w:t>טוֹב</w:t>
      </w:r>
      <w:r w:rsidRPr="00233F30">
        <w:rPr>
          <w:rFonts w:eastAsia="Times New Roman"/>
          <w:lang w:eastAsia="de-DE"/>
        </w:rPr>
        <w:t xml:space="preserve">) als Prädikat, </w:t>
      </w:r>
      <w:r w:rsidRPr="00233F30">
        <w:rPr>
          <w:rFonts w:eastAsia="Times New Roman"/>
          <w:b/>
          <w:bCs/>
          <w:rtl/>
          <w:lang w:eastAsia="de-DE"/>
        </w:rPr>
        <w:t>הָאָרֶץ</w:t>
      </w:r>
      <w:r w:rsidRPr="00233F30">
        <w:rPr>
          <w:rFonts w:eastAsia="Times New Roman"/>
          <w:rtl/>
          <w:lang w:eastAsia="de-DE"/>
        </w:rPr>
        <w:t xml:space="preserve"> </w:t>
      </w:r>
      <w:r w:rsidRPr="00233F30">
        <w:rPr>
          <w:rFonts w:eastAsia="Times New Roman"/>
          <w:lang w:eastAsia="de-DE"/>
        </w:rPr>
        <w:t xml:space="preserve">als Subjekt. Der Relativsatz </w:t>
      </w:r>
      <w:r w:rsidRPr="00233F30">
        <w:rPr>
          <w:rFonts w:eastAsia="Times New Roman"/>
          <w:b/>
          <w:bCs/>
          <w:rtl/>
          <w:lang w:eastAsia="de-DE"/>
        </w:rPr>
        <w:t>אֲשֶׁר־יְהוָה אֱלֹהֵינוּ נֹתֵן לָנוּ</w:t>
      </w:r>
      <w:r w:rsidRPr="00233F30">
        <w:rPr>
          <w:rFonts w:eastAsia="Times New Roman"/>
          <w:rtl/>
          <w:lang w:eastAsia="de-DE"/>
        </w:rPr>
        <w:t xml:space="preserve"> </w:t>
      </w:r>
      <w:r w:rsidRPr="00233F30">
        <w:rPr>
          <w:rFonts w:eastAsia="Times New Roman"/>
          <w:lang w:eastAsia="de-DE"/>
        </w:rPr>
        <w:t>ist identisch strukturiert wie in V. 20.</w:t>
      </w:r>
    </w:p>
    <w:p w14:paraId="430D273C"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Die LXX</w:t>
      </w:r>
      <w:r w:rsidRPr="00233F30">
        <w:rPr>
          <w:rFonts w:eastAsia="Times New Roman"/>
          <w:lang w:eastAsia="de-DE"/>
        </w:rPr>
        <w:t xml:space="preserve"> folgt dem hebräischen Text eng.</w:t>
      </w:r>
    </w:p>
    <w:p w14:paraId="6AA6F90B"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lang w:eastAsia="de-DE"/>
        </w:rPr>
        <w:t>Die Satzstruktur besteht aus fünf koordinierten Verben (</w:t>
      </w:r>
      <w:r w:rsidRPr="00233F30">
        <w:rPr>
          <w:rFonts w:eastAsia="Times New Roman"/>
          <w:b/>
          <w:bCs/>
          <w:rtl/>
          <w:lang w:eastAsia="de-DE"/>
        </w:rPr>
        <w:t>וַיִּקְחוּ</w:t>
      </w:r>
      <w:r w:rsidRPr="00233F30">
        <w:rPr>
          <w:rFonts w:eastAsia="Times New Roman"/>
          <w:lang w:eastAsia="de-DE"/>
        </w:rPr>
        <w:t xml:space="preserve">, </w:t>
      </w:r>
      <w:r w:rsidRPr="00233F30">
        <w:rPr>
          <w:rFonts w:eastAsia="Times New Roman"/>
          <w:b/>
          <w:bCs/>
          <w:rtl/>
          <w:lang w:eastAsia="de-DE"/>
        </w:rPr>
        <w:t>וַיּוֹרִדוּ</w:t>
      </w:r>
      <w:r w:rsidRPr="00233F30">
        <w:rPr>
          <w:rFonts w:eastAsia="Times New Roman"/>
          <w:lang w:eastAsia="de-DE"/>
        </w:rPr>
        <w:t xml:space="preserve">, </w:t>
      </w:r>
      <w:r w:rsidRPr="00233F30">
        <w:rPr>
          <w:rFonts w:eastAsia="Times New Roman"/>
          <w:b/>
          <w:bCs/>
          <w:rtl/>
          <w:lang w:eastAsia="de-DE"/>
        </w:rPr>
        <w:t>וַיָּשִׁבוּ</w:t>
      </w:r>
      <w:r w:rsidRPr="00233F30">
        <w:rPr>
          <w:rFonts w:eastAsia="Times New Roman"/>
          <w:lang w:eastAsia="de-DE"/>
        </w:rPr>
        <w:t xml:space="preserve">, </w:t>
      </w:r>
      <w:r w:rsidRPr="00233F30">
        <w:rPr>
          <w:rFonts w:eastAsia="Times New Roman"/>
          <w:b/>
          <w:bCs/>
          <w:rtl/>
          <w:lang w:eastAsia="de-DE"/>
        </w:rPr>
        <w:t>וַיֹּאמְרוּ</w:t>
      </w:r>
      <w:r w:rsidRPr="00233F30">
        <w:rPr>
          <w:rFonts w:eastAsia="Times New Roman"/>
          <w:lang w:eastAsia="de-DE"/>
        </w:rPr>
        <w:t>) mit direkter Rede, die einen Nominalsatz mit Relativsatz enthält.</w:t>
      </w:r>
    </w:p>
    <w:p w14:paraId="22AD0971"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lang w:eastAsia="de-DE"/>
        </w:rPr>
        <w:t>Der Vers berichtet den positiven Bericht der Kundschafter über die Fruchtbarkeit des Landes und ihre Bestätigung der göttlichen Verheißung – ein Kontrast zur nachfolgenden Rebellion des Volkes.</w:t>
      </w:r>
    </w:p>
    <w:p w14:paraId="635003D9" w14:textId="77777777" w:rsidR="00233F30" w:rsidRPr="00233F30" w:rsidRDefault="00233F30" w:rsidP="00233F30">
      <w:pPr>
        <w:spacing w:before="100" w:beforeAutospacing="1" w:after="100" w:afterAutospacing="1" w:line="240" w:lineRule="auto"/>
        <w:outlineLvl w:val="1"/>
        <w:rPr>
          <w:rFonts w:eastAsia="Times New Roman"/>
          <w:b/>
          <w:bCs/>
          <w:sz w:val="36"/>
          <w:szCs w:val="36"/>
          <w:lang w:eastAsia="de-DE"/>
        </w:rPr>
      </w:pPr>
      <w:r w:rsidRPr="00233F30">
        <w:rPr>
          <w:rFonts w:eastAsia="Times New Roman"/>
          <w:b/>
          <w:bCs/>
          <w:sz w:val="36"/>
          <w:szCs w:val="36"/>
          <w:lang w:eastAsia="de-DE"/>
        </w:rPr>
        <w:t>Deuteronomium 1,26</w:t>
      </w:r>
    </w:p>
    <w:p w14:paraId="0FB086D5"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lastRenderedPageBreak/>
        <w:t>Hebräisch:</w:t>
      </w:r>
      <w:r w:rsidRPr="00233F30">
        <w:rPr>
          <w:rFonts w:eastAsia="Times New Roman"/>
          <w:lang w:eastAsia="de-DE"/>
        </w:rPr>
        <w:t xml:space="preserve"> </w:t>
      </w:r>
      <w:r w:rsidRPr="00233F30">
        <w:rPr>
          <w:rFonts w:eastAsia="Times New Roman"/>
          <w:rtl/>
          <w:lang w:eastAsia="de-DE"/>
        </w:rPr>
        <w:t>וְלֹ֥א אֲבִיתֶ֖ם לַעֲלֹ֑ת וַתַּמְר֕וּ אֶת־פִּ֥י יְהוָ֖ה אֱלֹהֵיכֶֽם׃</w:t>
      </w:r>
    </w:p>
    <w:p w14:paraId="02315B8B"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Deutsch:</w:t>
      </w:r>
      <w:r w:rsidRPr="00233F30">
        <w:rPr>
          <w:rFonts w:eastAsia="Times New Roman"/>
          <w:lang w:eastAsia="de-DE"/>
        </w:rPr>
        <w:t xml:space="preserve"> Aber ihr wolltet nicht hinaufziehen und wart widerspenstig gegen den Befehl des Ewigen, eures Gottes.</w:t>
      </w:r>
    </w:p>
    <w:p w14:paraId="3A91A5E2" w14:textId="77777777" w:rsidR="00233F30" w:rsidRPr="00233F30" w:rsidRDefault="004F5CEB" w:rsidP="00233F30">
      <w:pPr>
        <w:spacing w:after="0" w:line="240" w:lineRule="auto"/>
        <w:rPr>
          <w:rFonts w:eastAsia="Times New Roman"/>
          <w:lang w:eastAsia="de-DE"/>
        </w:rPr>
      </w:pPr>
      <w:r>
        <w:rPr>
          <w:rFonts w:eastAsia="Times New Roman"/>
          <w:noProof/>
          <w:lang w:eastAsia="de-DE"/>
        </w:rPr>
        <w:pict w14:anchorId="00B9B6CB">
          <v:rect id="_x0000_i1050" style="width:0;height:1.5pt" o:hralign="center" o:hrstd="t" o:hr="t" fillcolor="#a0a0a0" stroked="f"/>
        </w:pict>
      </w:r>
    </w:p>
    <w:p w14:paraId="0095A666" w14:textId="7CC68DFA"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Kommentar:</w:t>
      </w:r>
      <w:r w:rsidRPr="00233F30">
        <w:rPr>
          <w:rFonts w:eastAsia="Times New Roman"/>
          <w:lang w:eastAsia="de-DE"/>
        </w:rPr>
        <w:t xml:space="preserve"> </w:t>
      </w:r>
      <w:r w:rsidRPr="00233F30">
        <w:rPr>
          <w:rFonts w:eastAsia="Times New Roman"/>
          <w:b/>
          <w:bCs/>
          <w:rtl/>
          <w:lang w:eastAsia="de-DE"/>
        </w:rPr>
        <w:t>וְלֹא אֲבִיתֶם</w:t>
      </w:r>
      <w:r w:rsidRPr="00233F30">
        <w:rPr>
          <w:rFonts w:eastAsia="Times New Roman"/>
          <w:rtl/>
          <w:lang w:eastAsia="de-DE"/>
        </w:rPr>
        <w:t xml:space="preserve"> </w:t>
      </w:r>
      <w:r w:rsidRPr="00233F30">
        <w:rPr>
          <w:rFonts w:eastAsia="Times New Roman"/>
          <w:lang w:eastAsia="de-DE"/>
        </w:rPr>
        <w:t xml:space="preserve">ist die Negation </w:t>
      </w:r>
      <w:r w:rsidRPr="00233F30">
        <w:rPr>
          <w:rFonts w:eastAsia="Times New Roman"/>
          <w:b/>
          <w:bCs/>
          <w:rtl/>
          <w:lang w:eastAsia="de-DE"/>
        </w:rPr>
        <w:t>לֹא</w:t>
      </w:r>
      <w:r w:rsidRPr="00233F30">
        <w:rPr>
          <w:rFonts w:eastAsia="Times New Roman"/>
          <w:rtl/>
          <w:lang w:eastAsia="de-DE"/>
        </w:rPr>
        <w:t xml:space="preserve"> </w:t>
      </w:r>
      <w:r w:rsidRPr="00233F30">
        <w:rPr>
          <w:rFonts w:eastAsia="Times New Roman"/>
          <w:lang w:eastAsia="de-DE"/>
        </w:rPr>
        <w:t xml:space="preserve">mit Qal Perfekt, 2. Person maskulin Plural von </w:t>
      </w:r>
      <w:r w:rsidRPr="00233F30">
        <w:rPr>
          <w:rFonts w:eastAsia="Times New Roman"/>
          <w:rtl/>
          <w:lang w:eastAsia="de-DE"/>
        </w:rPr>
        <w:t>אבה</w:t>
      </w:r>
      <w:r w:rsidRPr="00233F30">
        <w:rPr>
          <w:rFonts w:eastAsia="Times New Roman"/>
          <w:lang w:eastAsia="de-DE"/>
        </w:rPr>
        <w:t xml:space="preserve"> („willens sein, wollen") und Waw adversativum („aber"). </w:t>
      </w:r>
      <w:r w:rsidRPr="00233F30">
        <w:rPr>
          <w:rFonts w:eastAsia="Times New Roman"/>
          <w:b/>
          <w:bCs/>
          <w:rtl/>
          <w:lang w:eastAsia="de-DE"/>
        </w:rPr>
        <w:t>לַעֲלֹת</w:t>
      </w:r>
      <w:r w:rsidRPr="00233F30">
        <w:rPr>
          <w:rFonts w:eastAsia="Times New Roman"/>
          <w:rtl/>
          <w:lang w:eastAsia="de-DE"/>
        </w:rPr>
        <w:t xml:space="preserve"> </w:t>
      </w:r>
      <w:r w:rsidRPr="00233F30">
        <w:rPr>
          <w:rFonts w:eastAsia="Times New Roman"/>
          <w:lang w:eastAsia="de-DE"/>
        </w:rPr>
        <w:t xml:space="preserve">ist </w:t>
      </w:r>
      <w:r w:rsidRPr="00233F30">
        <w:rPr>
          <w:rFonts w:eastAsia="Times New Roman"/>
          <w:b/>
          <w:bCs/>
          <w:rtl/>
          <w:lang w:eastAsia="de-DE"/>
        </w:rPr>
        <w:t>לְ</w:t>
      </w:r>
      <w:r w:rsidRPr="00233F30">
        <w:rPr>
          <w:rFonts w:eastAsia="Times New Roman"/>
          <w:rtl/>
          <w:lang w:eastAsia="de-DE"/>
        </w:rPr>
        <w:t xml:space="preserve"> </w:t>
      </w:r>
      <w:r w:rsidRPr="00233F30">
        <w:rPr>
          <w:rFonts w:eastAsia="Times New Roman"/>
          <w:lang w:eastAsia="de-DE"/>
        </w:rPr>
        <w:t xml:space="preserve">mit Qal Infinitiv </w:t>
      </w:r>
      <w:r w:rsidR="0032647F">
        <w:rPr>
          <w:rFonts w:eastAsia="Times New Roman"/>
          <w:lang w:eastAsia="de-DE"/>
        </w:rPr>
        <w:t>Construct</w:t>
      </w:r>
      <w:r w:rsidRPr="00233F30">
        <w:rPr>
          <w:rFonts w:eastAsia="Times New Roman"/>
          <w:lang w:eastAsia="de-DE"/>
        </w:rPr>
        <w:t xml:space="preserve"> von </w:t>
      </w:r>
      <w:r w:rsidRPr="00233F30">
        <w:rPr>
          <w:rFonts w:eastAsia="Times New Roman"/>
          <w:rtl/>
          <w:lang w:eastAsia="de-DE"/>
        </w:rPr>
        <w:t>עלה</w:t>
      </w:r>
      <w:r w:rsidRPr="00233F30">
        <w:rPr>
          <w:rFonts w:eastAsia="Times New Roman"/>
          <w:lang w:eastAsia="de-DE"/>
        </w:rPr>
        <w:t xml:space="preserve">. </w:t>
      </w:r>
      <w:r w:rsidRPr="00233F30">
        <w:rPr>
          <w:rFonts w:eastAsia="Times New Roman"/>
          <w:b/>
          <w:bCs/>
          <w:rtl/>
          <w:lang w:eastAsia="de-DE"/>
        </w:rPr>
        <w:t>וַתַּמְרוּ</w:t>
      </w:r>
      <w:r w:rsidRPr="00233F30">
        <w:rPr>
          <w:rFonts w:eastAsia="Times New Roman"/>
          <w:rtl/>
          <w:lang w:eastAsia="de-DE"/>
        </w:rPr>
        <w:t xml:space="preserve"> </w:t>
      </w:r>
      <w:r w:rsidRPr="00233F30">
        <w:rPr>
          <w:rFonts w:eastAsia="Times New Roman"/>
          <w:lang w:eastAsia="de-DE"/>
        </w:rPr>
        <w:t xml:space="preserve">ist Hif'il Imperfekt consecutivum, 2. Person maskulin Plural von </w:t>
      </w:r>
      <w:r w:rsidRPr="00233F30">
        <w:rPr>
          <w:rFonts w:eastAsia="Times New Roman"/>
          <w:rtl/>
          <w:lang w:eastAsia="de-DE"/>
        </w:rPr>
        <w:t>מרה</w:t>
      </w:r>
      <w:r w:rsidRPr="00233F30">
        <w:rPr>
          <w:rFonts w:eastAsia="Times New Roman"/>
          <w:lang w:eastAsia="de-DE"/>
        </w:rPr>
        <w:t xml:space="preserve"> („widerspenstig sein, sich auflehnen") mit Waw. </w:t>
      </w:r>
      <w:r w:rsidRPr="00233F30">
        <w:rPr>
          <w:rFonts w:eastAsia="Times New Roman"/>
          <w:b/>
          <w:bCs/>
          <w:rtl/>
          <w:lang w:eastAsia="de-DE"/>
        </w:rPr>
        <w:t>אֶת־פִּי יְהוָה אֱלֹהֵיכֶם</w:t>
      </w:r>
      <w:r w:rsidRPr="00233F30">
        <w:rPr>
          <w:rFonts w:eastAsia="Times New Roman"/>
          <w:rtl/>
          <w:lang w:eastAsia="de-DE"/>
        </w:rPr>
        <w:t xml:space="preserve"> </w:t>
      </w:r>
      <w:r w:rsidRPr="00233F30">
        <w:rPr>
          <w:rFonts w:eastAsia="Times New Roman"/>
          <w:lang w:eastAsia="de-DE"/>
        </w:rPr>
        <w:t xml:space="preserve">besteht aus der Objektpartikel, </w:t>
      </w:r>
      <w:r w:rsidRPr="00233F30">
        <w:rPr>
          <w:rFonts w:eastAsia="Times New Roman"/>
          <w:b/>
          <w:bCs/>
          <w:rtl/>
          <w:lang w:eastAsia="de-DE"/>
        </w:rPr>
        <w:t>פֶּה</w:t>
      </w:r>
      <w:r w:rsidRPr="00233F30">
        <w:rPr>
          <w:rFonts w:eastAsia="Times New Roman"/>
          <w:rtl/>
          <w:lang w:eastAsia="de-DE"/>
        </w:rPr>
        <w:t xml:space="preserve"> </w:t>
      </w:r>
      <w:r w:rsidRPr="00233F30">
        <w:rPr>
          <w:rFonts w:eastAsia="Times New Roman"/>
          <w:lang w:eastAsia="de-DE"/>
        </w:rPr>
        <w:t xml:space="preserve">(„Mund") im </w:t>
      </w:r>
      <w:r w:rsidR="0032647F">
        <w:rPr>
          <w:rFonts w:eastAsia="Times New Roman"/>
          <w:lang w:eastAsia="de-DE"/>
        </w:rPr>
        <w:t>Construct</w:t>
      </w:r>
      <w:r w:rsidRPr="00233F30">
        <w:rPr>
          <w:rFonts w:eastAsia="Times New Roman"/>
          <w:lang w:eastAsia="de-DE"/>
        </w:rPr>
        <w:t xml:space="preserve"> mit </w:t>
      </w:r>
      <w:r w:rsidRPr="00233F30">
        <w:rPr>
          <w:rFonts w:eastAsia="Times New Roman"/>
          <w:b/>
          <w:bCs/>
          <w:rtl/>
          <w:lang w:eastAsia="de-DE"/>
        </w:rPr>
        <w:t>יְהוָה אֱלֹהֵיכֶם</w:t>
      </w:r>
      <w:r w:rsidRPr="00233F30">
        <w:rPr>
          <w:rFonts w:eastAsia="Times New Roman"/>
          <w:lang w:eastAsia="de-DE"/>
        </w:rPr>
        <w:t xml:space="preserve">. Die Phrase </w:t>
      </w:r>
      <w:r w:rsidRPr="00233F30">
        <w:rPr>
          <w:rFonts w:eastAsia="Times New Roman"/>
          <w:b/>
          <w:bCs/>
          <w:rtl/>
          <w:lang w:eastAsia="de-DE"/>
        </w:rPr>
        <w:t>פִּי יְהוָה</w:t>
      </w:r>
      <w:r w:rsidRPr="00233F30">
        <w:rPr>
          <w:rFonts w:eastAsia="Times New Roman"/>
          <w:rtl/>
          <w:lang w:eastAsia="de-DE"/>
        </w:rPr>
        <w:t xml:space="preserve"> </w:t>
      </w:r>
      <w:r w:rsidRPr="00233F30">
        <w:rPr>
          <w:rFonts w:eastAsia="Times New Roman"/>
          <w:lang w:eastAsia="de-DE"/>
        </w:rPr>
        <w:t>(„Mund JHWHs") steht metonymisch für „Befehl, Wort JHWHs".</w:t>
      </w:r>
    </w:p>
    <w:p w14:paraId="081D52A0"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Die LXX</w:t>
      </w:r>
      <w:r w:rsidRPr="00233F30">
        <w:rPr>
          <w:rFonts w:eastAsia="Times New Roman"/>
          <w:lang w:eastAsia="de-DE"/>
        </w:rPr>
        <w:t xml:space="preserve"> übersetzt </w:t>
      </w:r>
      <w:r w:rsidRPr="00233F30">
        <w:rPr>
          <w:rFonts w:eastAsia="Times New Roman"/>
          <w:b/>
          <w:bCs/>
          <w:rtl/>
          <w:lang w:eastAsia="de-DE"/>
        </w:rPr>
        <w:t>מרה</w:t>
      </w:r>
      <w:r w:rsidRPr="00233F30">
        <w:rPr>
          <w:rFonts w:eastAsia="Times New Roman"/>
          <w:rtl/>
          <w:lang w:eastAsia="de-DE"/>
        </w:rPr>
        <w:t xml:space="preserve"> </w:t>
      </w:r>
      <w:r w:rsidRPr="00233F30">
        <w:rPr>
          <w:rFonts w:eastAsia="Times New Roman"/>
          <w:lang w:eastAsia="de-DE"/>
        </w:rPr>
        <w:t>mit „παραπ</w:t>
      </w:r>
      <w:proofErr w:type="spellStart"/>
      <w:r w:rsidRPr="00233F30">
        <w:rPr>
          <w:rFonts w:eastAsia="Times New Roman"/>
          <w:lang w:eastAsia="de-DE"/>
        </w:rPr>
        <w:t>ικρ</w:t>
      </w:r>
      <w:proofErr w:type="spellEnd"/>
      <w:r w:rsidRPr="00233F30">
        <w:rPr>
          <w:rFonts w:eastAsia="Times New Roman"/>
          <w:lang w:eastAsia="de-DE"/>
        </w:rPr>
        <w:t>αίνω" („erbittern, trotzen").</w:t>
      </w:r>
    </w:p>
    <w:p w14:paraId="67F7871C"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lang w:eastAsia="de-DE"/>
        </w:rPr>
        <w:t>Die Satzstruktur besteht aus zwei koordinierten Sätzen: (1) negiertes Perfekt mit Infinitiv (</w:t>
      </w:r>
      <w:r w:rsidRPr="00233F30">
        <w:rPr>
          <w:rFonts w:eastAsia="Times New Roman"/>
          <w:b/>
          <w:bCs/>
          <w:rtl/>
          <w:lang w:eastAsia="de-DE"/>
        </w:rPr>
        <w:t>וְלֹא אֲבִיתֶם לַעֲלֹת</w:t>
      </w:r>
      <w:r w:rsidRPr="00233F30">
        <w:rPr>
          <w:rFonts w:eastAsia="Times New Roman"/>
          <w:lang w:eastAsia="de-DE"/>
        </w:rPr>
        <w:t>), (2) Waw consecutivum mit Objekt (</w:t>
      </w:r>
      <w:r w:rsidRPr="00233F30">
        <w:rPr>
          <w:rFonts w:eastAsia="Times New Roman"/>
          <w:b/>
          <w:bCs/>
          <w:rtl/>
          <w:lang w:eastAsia="de-DE"/>
        </w:rPr>
        <w:t>וַתַּמְרוּ אֶת־פִּי יְהוָה אֱלֹהֵיכֶם</w:t>
      </w:r>
      <w:r w:rsidRPr="00233F30">
        <w:rPr>
          <w:rFonts w:eastAsia="Times New Roman"/>
          <w:lang w:eastAsia="de-DE"/>
        </w:rPr>
        <w:t>). Der Übergang vom positiven Kundschafterbericht zur Rebellion ist abrupt und betont die Schuld des Volkes.</w:t>
      </w:r>
    </w:p>
    <w:p w14:paraId="1E07315A"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lang w:eastAsia="de-DE"/>
        </w:rPr>
        <w:t>Der Vers markiert den entscheidenden Wendepunkt: Trotz des guten Berichts weigert sich das Volk aufzuziehen und rebelliert gegen JHWH. Dies führt zur Katastrophe der 40-jährigen Wüstenwanderung.</w:t>
      </w:r>
    </w:p>
    <w:p w14:paraId="14FD0258" w14:textId="77777777" w:rsidR="00233F30" w:rsidRPr="00233F30" w:rsidRDefault="00233F30" w:rsidP="00233F30">
      <w:pPr>
        <w:spacing w:before="100" w:beforeAutospacing="1" w:after="100" w:afterAutospacing="1" w:line="240" w:lineRule="auto"/>
        <w:outlineLvl w:val="1"/>
        <w:rPr>
          <w:rFonts w:eastAsia="Times New Roman"/>
          <w:b/>
          <w:bCs/>
          <w:sz w:val="36"/>
          <w:szCs w:val="36"/>
          <w:lang w:eastAsia="de-DE"/>
        </w:rPr>
      </w:pPr>
      <w:r w:rsidRPr="00233F30">
        <w:rPr>
          <w:rFonts w:eastAsia="Times New Roman"/>
          <w:b/>
          <w:bCs/>
          <w:sz w:val="36"/>
          <w:szCs w:val="36"/>
          <w:lang w:eastAsia="de-DE"/>
        </w:rPr>
        <w:t>Deuteronomium 1,27</w:t>
      </w:r>
    </w:p>
    <w:p w14:paraId="494FA9BC"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Hebräisch:</w:t>
      </w:r>
      <w:r w:rsidRPr="00233F30">
        <w:rPr>
          <w:rFonts w:eastAsia="Times New Roman"/>
          <w:lang w:eastAsia="de-DE"/>
        </w:rPr>
        <w:t xml:space="preserve"> </w:t>
      </w:r>
      <w:r w:rsidRPr="00233F30">
        <w:rPr>
          <w:rFonts w:eastAsia="Times New Roman"/>
          <w:rtl/>
          <w:lang w:eastAsia="de-DE"/>
        </w:rPr>
        <w:t>וַתֵּרָגְנ֤וּ בְאָהֳלֵיכֶם֙ וַתֹּ֣אמְר֔וּ בְּשִׂנְאַ֤ת יְהוָה֙ אֹתָ֔נוּ הוֹצִיאָ֖נוּ מֵאֶ֣רֶץ מִצְרָ֑יִם לָתֵ֥ת אֹתָ֛נוּ בְּיַ֥ד הָאֱמֹרִ֖י לְהַשְׁמִידֵֽנוּ׃</w:t>
      </w:r>
    </w:p>
    <w:p w14:paraId="102F5AE1"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Deutsch:</w:t>
      </w:r>
      <w:r w:rsidRPr="00233F30">
        <w:rPr>
          <w:rFonts w:eastAsia="Times New Roman"/>
          <w:lang w:eastAsia="de-DE"/>
        </w:rPr>
        <w:t xml:space="preserve"> Und ihr murrtet in euren Zelten und sagtet: Weil der Ewige uns hasst, hat er uns aus dem Land Mizrajim herausgeführt, um uns in die Hand der Emori zu geben, uns zu vernichten.</w:t>
      </w:r>
    </w:p>
    <w:p w14:paraId="03BE2B74" w14:textId="77777777" w:rsidR="00233F30" w:rsidRPr="00233F30" w:rsidRDefault="004F5CEB" w:rsidP="00233F30">
      <w:pPr>
        <w:spacing w:after="0" w:line="240" w:lineRule="auto"/>
        <w:rPr>
          <w:rFonts w:eastAsia="Times New Roman"/>
          <w:lang w:eastAsia="de-DE"/>
        </w:rPr>
      </w:pPr>
      <w:r>
        <w:rPr>
          <w:rFonts w:eastAsia="Times New Roman"/>
          <w:noProof/>
          <w:lang w:eastAsia="de-DE"/>
        </w:rPr>
        <w:pict w14:anchorId="6FA6441D">
          <v:rect id="_x0000_i1051" style="width:0;height:1.5pt" o:hralign="center" o:hrstd="t" o:hr="t" fillcolor="#a0a0a0" stroked="f"/>
        </w:pict>
      </w:r>
    </w:p>
    <w:p w14:paraId="3195C015"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Kommentar:</w:t>
      </w:r>
      <w:r w:rsidRPr="00233F30">
        <w:rPr>
          <w:rFonts w:eastAsia="Times New Roman"/>
          <w:lang w:eastAsia="de-DE"/>
        </w:rPr>
        <w:t xml:space="preserve"> </w:t>
      </w:r>
      <w:r w:rsidRPr="00233F30">
        <w:rPr>
          <w:rFonts w:eastAsia="Times New Roman"/>
          <w:b/>
          <w:bCs/>
          <w:rtl/>
          <w:lang w:eastAsia="de-DE"/>
        </w:rPr>
        <w:t>וַתֵּרָגְנוּ</w:t>
      </w:r>
      <w:r w:rsidRPr="00233F30">
        <w:rPr>
          <w:rFonts w:eastAsia="Times New Roman"/>
          <w:rtl/>
          <w:lang w:eastAsia="de-DE"/>
        </w:rPr>
        <w:t xml:space="preserve"> </w:t>
      </w:r>
      <w:r w:rsidRPr="00233F30">
        <w:rPr>
          <w:rFonts w:eastAsia="Times New Roman"/>
          <w:lang w:eastAsia="de-DE"/>
        </w:rPr>
        <w:t xml:space="preserve">ist Nif'al Imperfekt consecutivum, 2. Person maskulin Plural von </w:t>
      </w:r>
      <w:r w:rsidRPr="00233F30">
        <w:rPr>
          <w:rFonts w:eastAsia="Times New Roman"/>
          <w:rtl/>
          <w:lang w:eastAsia="de-DE"/>
        </w:rPr>
        <w:t>רגן</w:t>
      </w:r>
      <w:r w:rsidRPr="00233F30">
        <w:rPr>
          <w:rFonts w:eastAsia="Times New Roman"/>
          <w:lang w:eastAsia="de-DE"/>
        </w:rPr>
        <w:t xml:space="preserve"> („murren") mit Waw. </w:t>
      </w:r>
      <w:r w:rsidRPr="00233F30">
        <w:rPr>
          <w:rFonts w:eastAsia="Times New Roman"/>
          <w:b/>
          <w:bCs/>
          <w:rtl/>
          <w:lang w:eastAsia="de-DE"/>
        </w:rPr>
        <w:t>בְאָהֳלֵיכֶם</w:t>
      </w:r>
      <w:r w:rsidRPr="00233F30">
        <w:rPr>
          <w:rFonts w:eastAsia="Times New Roman"/>
          <w:rtl/>
          <w:lang w:eastAsia="de-DE"/>
        </w:rPr>
        <w:t xml:space="preserve"> </w:t>
      </w:r>
      <w:r w:rsidRPr="00233F30">
        <w:rPr>
          <w:rFonts w:eastAsia="Times New Roman"/>
          <w:lang w:eastAsia="de-DE"/>
        </w:rPr>
        <w:t xml:space="preserve">ist </w:t>
      </w:r>
      <w:r w:rsidRPr="00233F30">
        <w:rPr>
          <w:rFonts w:eastAsia="Times New Roman"/>
          <w:b/>
          <w:bCs/>
          <w:rtl/>
          <w:lang w:eastAsia="de-DE"/>
        </w:rPr>
        <w:t>בְּ</w:t>
      </w:r>
      <w:r w:rsidRPr="00233F30">
        <w:rPr>
          <w:rFonts w:eastAsia="Times New Roman"/>
          <w:rtl/>
          <w:lang w:eastAsia="de-DE"/>
        </w:rPr>
        <w:t xml:space="preserve"> </w:t>
      </w:r>
      <w:r w:rsidRPr="00233F30">
        <w:rPr>
          <w:rFonts w:eastAsia="Times New Roman"/>
          <w:lang w:eastAsia="de-DE"/>
        </w:rPr>
        <w:t xml:space="preserve">mit </w:t>
      </w:r>
      <w:r w:rsidRPr="00233F30">
        <w:rPr>
          <w:rFonts w:eastAsia="Times New Roman"/>
          <w:b/>
          <w:bCs/>
          <w:rtl/>
          <w:lang w:eastAsia="de-DE"/>
        </w:rPr>
        <w:t>אֹהֶל</w:t>
      </w:r>
      <w:r w:rsidRPr="00233F30">
        <w:rPr>
          <w:rFonts w:eastAsia="Times New Roman"/>
          <w:rtl/>
          <w:lang w:eastAsia="de-DE"/>
        </w:rPr>
        <w:t xml:space="preserve"> </w:t>
      </w:r>
      <w:r w:rsidRPr="00233F30">
        <w:rPr>
          <w:rFonts w:eastAsia="Times New Roman"/>
          <w:lang w:eastAsia="de-DE"/>
        </w:rPr>
        <w:t xml:space="preserve">(„Zelt") im Plural und Suffix 2. Person maskulin Plural. </w:t>
      </w:r>
      <w:r w:rsidRPr="00233F30">
        <w:rPr>
          <w:rFonts w:eastAsia="Times New Roman"/>
          <w:b/>
          <w:bCs/>
          <w:rtl/>
          <w:lang w:eastAsia="de-DE"/>
        </w:rPr>
        <w:t>וַתֹּאמְרוּ</w:t>
      </w:r>
      <w:r w:rsidRPr="00233F30">
        <w:rPr>
          <w:rFonts w:eastAsia="Times New Roman"/>
          <w:rtl/>
          <w:lang w:eastAsia="de-DE"/>
        </w:rPr>
        <w:t xml:space="preserve"> </w:t>
      </w:r>
      <w:r w:rsidRPr="00233F30">
        <w:rPr>
          <w:rFonts w:eastAsia="Times New Roman"/>
          <w:lang w:eastAsia="de-DE"/>
        </w:rPr>
        <w:t xml:space="preserve">ist Qal Imperfekt consecutivum, 2. Person maskulin Plural von </w:t>
      </w:r>
      <w:r w:rsidRPr="00233F30">
        <w:rPr>
          <w:rFonts w:eastAsia="Times New Roman"/>
          <w:rtl/>
          <w:lang w:eastAsia="de-DE"/>
        </w:rPr>
        <w:t>אמר</w:t>
      </w:r>
      <w:r w:rsidRPr="00233F30">
        <w:rPr>
          <w:rFonts w:eastAsia="Times New Roman"/>
          <w:lang w:eastAsia="de-DE"/>
        </w:rPr>
        <w:t xml:space="preserve"> mit Waw.</w:t>
      </w:r>
    </w:p>
    <w:p w14:paraId="58F6AF48" w14:textId="124CC4D9"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rtl/>
          <w:lang w:eastAsia="de-DE"/>
        </w:rPr>
        <w:t>בְּשִׂנְאַת יְהוָה אֹתָנוּ</w:t>
      </w:r>
      <w:r w:rsidRPr="00233F30">
        <w:rPr>
          <w:rFonts w:eastAsia="Times New Roman"/>
          <w:rtl/>
          <w:lang w:eastAsia="de-DE"/>
        </w:rPr>
        <w:t xml:space="preserve"> </w:t>
      </w:r>
      <w:r w:rsidRPr="00233F30">
        <w:rPr>
          <w:rFonts w:eastAsia="Times New Roman"/>
          <w:lang w:eastAsia="de-DE"/>
        </w:rPr>
        <w:t xml:space="preserve">ist eine kausale Präpositionalphrase: </w:t>
      </w:r>
      <w:r w:rsidRPr="00233F30">
        <w:rPr>
          <w:rFonts w:eastAsia="Times New Roman"/>
          <w:b/>
          <w:bCs/>
          <w:rtl/>
          <w:lang w:eastAsia="de-DE"/>
        </w:rPr>
        <w:t>בְּ</w:t>
      </w:r>
      <w:r w:rsidRPr="00233F30">
        <w:rPr>
          <w:rFonts w:eastAsia="Times New Roman"/>
          <w:rtl/>
          <w:lang w:eastAsia="de-DE"/>
        </w:rPr>
        <w:t xml:space="preserve"> </w:t>
      </w:r>
      <w:r w:rsidRPr="00233F30">
        <w:rPr>
          <w:rFonts w:eastAsia="Times New Roman"/>
          <w:lang w:eastAsia="de-DE"/>
        </w:rPr>
        <w:t xml:space="preserve">(„wegen, weil"), </w:t>
      </w:r>
      <w:r w:rsidR="00E724E6">
        <w:rPr>
          <w:rFonts w:eastAsia="Times New Roman"/>
          <w:lang w:eastAsia="de-DE"/>
        </w:rPr>
        <w:t>(</w:t>
      </w:r>
      <w:r w:rsidRPr="00233F30">
        <w:rPr>
          <w:rFonts w:eastAsia="Times New Roman"/>
          <w:b/>
          <w:bCs/>
          <w:rtl/>
          <w:lang w:eastAsia="de-DE"/>
        </w:rPr>
        <w:t>שִׂנְאַת</w:t>
      </w:r>
      <w:r w:rsidRPr="00233F30">
        <w:rPr>
          <w:rFonts w:eastAsia="Times New Roman"/>
          <w:rtl/>
          <w:lang w:eastAsia="de-DE"/>
        </w:rPr>
        <w:t xml:space="preserve"> </w:t>
      </w:r>
      <w:r w:rsidR="00E724E6">
        <w:t xml:space="preserve">Qal </w:t>
      </w:r>
      <w:r w:rsidRPr="00233F30">
        <w:rPr>
          <w:rFonts w:eastAsia="Times New Roman"/>
          <w:lang w:eastAsia="de-DE"/>
        </w:rPr>
        <w:t xml:space="preserve">Infinitiv </w:t>
      </w:r>
      <w:r w:rsidR="0032647F">
        <w:rPr>
          <w:rFonts w:eastAsia="Times New Roman"/>
          <w:lang w:eastAsia="de-DE"/>
        </w:rPr>
        <w:t>Construct</w:t>
      </w:r>
      <w:r w:rsidRPr="00233F30">
        <w:rPr>
          <w:rFonts w:eastAsia="Times New Roman"/>
          <w:lang w:eastAsia="de-DE"/>
        </w:rPr>
        <w:t xml:space="preserve"> von </w:t>
      </w:r>
      <w:r w:rsidRPr="00233F30">
        <w:rPr>
          <w:rFonts w:eastAsia="Times New Roman"/>
          <w:rtl/>
          <w:lang w:eastAsia="de-DE"/>
        </w:rPr>
        <w:t>שׂנא</w:t>
      </w:r>
      <w:r w:rsidRPr="00233F30">
        <w:rPr>
          <w:rFonts w:eastAsia="Times New Roman"/>
          <w:lang w:eastAsia="de-DE"/>
        </w:rPr>
        <w:t xml:space="preserve"> „hassen"), </w:t>
      </w:r>
      <w:r w:rsidRPr="00233F30">
        <w:rPr>
          <w:rFonts w:eastAsia="Times New Roman"/>
          <w:b/>
          <w:bCs/>
          <w:rtl/>
          <w:lang w:eastAsia="de-DE"/>
        </w:rPr>
        <w:t>יְהוָה</w:t>
      </w:r>
      <w:r w:rsidRPr="00233F30">
        <w:rPr>
          <w:rFonts w:eastAsia="Times New Roman"/>
          <w:rtl/>
          <w:lang w:eastAsia="de-DE"/>
        </w:rPr>
        <w:t xml:space="preserve"> </w:t>
      </w:r>
      <w:r w:rsidRPr="00233F30">
        <w:rPr>
          <w:rFonts w:eastAsia="Times New Roman"/>
          <w:lang w:eastAsia="de-DE"/>
        </w:rPr>
        <w:t xml:space="preserve">als Subjekt des Infinitivs, </w:t>
      </w:r>
      <w:r w:rsidRPr="00233F30">
        <w:rPr>
          <w:rFonts w:eastAsia="Times New Roman"/>
          <w:b/>
          <w:bCs/>
          <w:rtl/>
          <w:lang w:eastAsia="de-DE"/>
        </w:rPr>
        <w:t>אֹתָנוּ</w:t>
      </w:r>
      <w:r w:rsidRPr="00233F30">
        <w:rPr>
          <w:rFonts w:eastAsia="Times New Roman"/>
          <w:rtl/>
          <w:lang w:eastAsia="de-DE"/>
        </w:rPr>
        <w:t xml:space="preserve"> </w:t>
      </w:r>
      <w:r w:rsidRPr="00233F30">
        <w:rPr>
          <w:rFonts w:eastAsia="Times New Roman"/>
          <w:lang w:eastAsia="de-DE"/>
        </w:rPr>
        <w:t xml:space="preserve">als Objekt. </w:t>
      </w:r>
      <w:r w:rsidRPr="00233F30">
        <w:rPr>
          <w:rFonts w:eastAsia="Times New Roman"/>
          <w:b/>
          <w:bCs/>
          <w:rtl/>
          <w:lang w:eastAsia="de-DE"/>
        </w:rPr>
        <w:t>הוֹצִיאָנוּ</w:t>
      </w:r>
      <w:r w:rsidRPr="00233F30">
        <w:rPr>
          <w:rFonts w:eastAsia="Times New Roman"/>
          <w:rtl/>
          <w:lang w:eastAsia="de-DE"/>
        </w:rPr>
        <w:t xml:space="preserve"> </w:t>
      </w:r>
      <w:r w:rsidRPr="00233F30">
        <w:rPr>
          <w:rFonts w:eastAsia="Times New Roman"/>
          <w:lang w:eastAsia="de-DE"/>
        </w:rPr>
        <w:t xml:space="preserve">ist Hif'il Perfekt, 3. Person maskulin Singular von </w:t>
      </w:r>
      <w:r w:rsidRPr="00233F30">
        <w:rPr>
          <w:rFonts w:eastAsia="Times New Roman"/>
          <w:rtl/>
          <w:lang w:eastAsia="de-DE"/>
        </w:rPr>
        <w:t>יצא</w:t>
      </w:r>
      <w:r w:rsidRPr="00233F30">
        <w:rPr>
          <w:rFonts w:eastAsia="Times New Roman"/>
          <w:lang w:eastAsia="de-DE"/>
        </w:rPr>
        <w:t xml:space="preserve"> („herausführen") mit Objektsuffix 1. Person Plural. </w:t>
      </w:r>
      <w:r w:rsidRPr="00233F30">
        <w:rPr>
          <w:rFonts w:eastAsia="Times New Roman"/>
          <w:b/>
          <w:bCs/>
          <w:rtl/>
          <w:lang w:eastAsia="de-DE"/>
        </w:rPr>
        <w:t>מֵאֶרֶץ מִצְרָיִם</w:t>
      </w:r>
      <w:r w:rsidRPr="00233F30">
        <w:rPr>
          <w:rFonts w:eastAsia="Times New Roman"/>
          <w:rtl/>
          <w:lang w:eastAsia="de-DE"/>
        </w:rPr>
        <w:t xml:space="preserve"> </w:t>
      </w:r>
      <w:r w:rsidRPr="00233F30">
        <w:rPr>
          <w:rFonts w:eastAsia="Times New Roman"/>
          <w:lang w:eastAsia="de-DE"/>
        </w:rPr>
        <w:t xml:space="preserve">ist </w:t>
      </w:r>
      <w:r w:rsidRPr="00233F30">
        <w:rPr>
          <w:rFonts w:eastAsia="Times New Roman"/>
          <w:b/>
          <w:bCs/>
          <w:rtl/>
          <w:lang w:eastAsia="de-DE"/>
        </w:rPr>
        <w:t>מִן</w:t>
      </w:r>
      <w:r w:rsidRPr="00233F30">
        <w:rPr>
          <w:rFonts w:eastAsia="Times New Roman"/>
          <w:rtl/>
          <w:lang w:eastAsia="de-DE"/>
        </w:rPr>
        <w:t xml:space="preserve"> </w:t>
      </w:r>
      <w:r w:rsidRPr="00233F30">
        <w:rPr>
          <w:rFonts w:eastAsia="Times New Roman"/>
          <w:lang w:eastAsia="de-DE"/>
        </w:rPr>
        <w:t xml:space="preserve">mit </w:t>
      </w:r>
      <w:r w:rsidRPr="00233F30">
        <w:rPr>
          <w:rFonts w:eastAsia="Times New Roman"/>
          <w:b/>
          <w:bCs/>
          <w:rtl/>
          <w:lang w:eastAsia="de-DE"/>
        </w:rPr>
        <w:t>אֶרֶץ</w:t>
      </w:r>
      <w:r w:rsidRPr="00233F30">
        <w:rPr>
          <w:rFonts w:eastAsia="Times New Roman"/>
          <w:rtl/>
          <w:lang w:eastAsia="de-DE"/>
        </w:rPr>
        <w:t xml:space="preserve"> </w:t>
      </w:r>
      <w:r w:rsidRPr="00233F30">
        <w:rPr>
          <w:rFonts w:eastAsia="Times New Roman"/>
          <w:lang w:eastAsia="de-DE"/>
        </w:rPr>
        <w:t xml:space="preserve">im </w:t>
      </w:r>
      <w:r w:rsidR="0032647F">
        <w:rPr>
          <w:rFonts w:eastAsia="Times New Roman"/>
          <w:lang w:eastAsia="de-DE"/>
        </w:rPr>
        <w:t>Construct</w:t>
      </w:r>
      <w:r w:rsidRPr="00233F30">
        <w:rPr>
          <w:rFonts w:eastAsia="Times New Roman"/>
          <w:lang w:eastAsia="de-DE"/>
        </w:rPr>
        <w:t xml:space="preserve"> und </w:t>
      </w:r>
      <w:r w:rsidRPr="00233F30">
        <w:rPr>
          <w:rFonts w:eastAsia="Times New Roman"/>
          <w:b/>
          <w:bCs/>
          <w:rtl/>
          <w:lang w:eastAsia="de-DE"/>
        </w:rPr>
        <w:t>מִצְרַיִם</w:t>
      </w:r>
      <w:r w:rsidRPr="00233F30">
        <w:rPr>
          <w:rFonts w:eastAsia="Times New Roman"/>
          <w:rtl/>
          <w:lang w:eastAsia="de-DE"/>
        </w:rPr>
        <w:t xml:space="preserve"> </w:t>
      </w:r>
      <w:r w:rsidRPr="00233F30">
        <w:rPr>
          <w:rFonts w:eastAsia="Times New Roman"/>
          <w:lang w:eastAsia="de-DE"/>
        </w:rPr>
        <w:t xml:space="preserve">(„Ägypten"). </w:t>
      </w:r>
      <w:r w:rsidRPr="00233F30">
        <w:rPr>
          <w:rFonts w:eastAsia="Times New Roman"/>
          <w:b/>
          <w:bCs/>
          <w:rtl/>
          <w:lang w:eastAsia="de-DE"/>
        </w:rPr>
        <w:t>לָתֵת אֹתָנוּ בְּיַד הָאֱמֹרִי</w:t>
      </w:r>
      <w:r w:rsidRPr="00233F30">
        <w:rPr>
          <w:rFonts w:eastAsia="Times New Roman"/>
          <w:rtl/>
          <w:lang w:eastAsia="de-DE"/>
        </w:rPr>
        <w:t xml:space="preserve"> </w:t>
      </w:r>
      <w:r w:rsidRPr="00233F30">
        <w:rPr>
          <w:rFonts w:eastAsia="Times New Roman"/>
          <w:lang w:eastAsia="de-DE"/>
        </w:rPr>
        <w:t xml:space="preserve">ist ein finaler Infinitiv: </w:t>
      </w:r>
      <w:r w:rsidRPr="00233F30">
        <w:rPr>
          <w:rFonts w:eastAsia="Times New Roman"/>
          <w:b/>
          <w:bCs/>
          <w:rtl/>
          <w:lang w:eastAsia="de-DE"/>
        </w:rPr>
        <w:t>לְ</w:t>
      </w:r>
      <w:r w:rsidRPr="00233F30">
        <w:rPr>
          <w:rFonts w:eastAsia="Times New Roman"/>
          <w:rtl/>
          <w:lang w:eastAsia="de-DE"/>
        </w:rPr>
        <w:t xml:space="preserve"> </w:t>
      </w:r>
      <w:r w:rsidRPr="00233F30">
        <w:rPr>
          <w:rFonts w:eastAsia="Times New Roman"/>
          <w:lang w:eastAsia="de-DE"/>
        </w:rPr>
        <w:t xml:space="preserve">mit Qal Infinitiv </w:t>
      </w:r>
      <w:r w:rsidR="0032647F">
        <w:rPr>
          <w:rFonts w:eastAsia="Times New Roman"/>
          <w:lang w:eastAsia="de-DE"/>
        </w:rPr>
        <w:t>Construct</w:t>
      </w:r>
      <w:r w:rsidRPr="00233F30">
        <w:rPr>
          <w:rFonts w:eastAsia="Times New Roman"/>
          <w:lang w:eastAsia="de-DE"/>
        </w:rPr>
        <w:t xml:space="preserve"> von </w:t>
      </w:r>
      <w:r w:rsidRPr="00233F30">
        <w:rPr>
          <w:rFonts w:eastAsia="Times New Roman"/>
          <w:rtl/>
          <w:lang w:eastAsia="de-DE"/>
        </w:rPr>
        <w:t>נתן</w:t>
      </w:r>
      <w:r w:rsidRPr="00233F30">
        <w:rPr>
          <w:rFonts w:eastAsia="Times New Roman"/>
          <w:lang w:eastAsia="de-DE"/>
        </w:rPr>
        <w:t xml:space="preserve">, </w:t>
      </w:r>
      <w:r w:rsidRPr="00233F30">
        <w:rPr>
          <w:rFonts w:eastAsia="Times New Roman"/>
          <w:b/>
          <w:bCs/>
          <w:rtl/>
          <w:lang w:eastAsia="de-DE"/>
        </w:rPr>
        <w:t>אֹתָנוּ</w:t>
      </w:r>
      <w:r w:rsidRPr="00233F30">
        <w:rPr>
          <w:rFonts w:eastAsia="Times New Roman"/>
          <w:rtl/>
          <w:lang w:eastAsia="de-DE"/>
        </w:rPr>
        <w:t xml:space="preserve"> </w:t>
      </w:r>
      <w:r w:rsidRPr="00233F30">
        <w:rPr>
          <w:rFonts w:eastAsia="Times New Roman"/>
          <w:lang w:eastAsia="de-DE"/>
        </w:rPr>
        <w:t xml:space="preserve">als Objekt, </w:t>
      </w:r>
      <w:r w:rsidRPr="00233F30">
        <w:rPr>
          <w:rFonts w:eastAsia="Times New Roman"/>
          <w:b/>
          <w:bCs/>
          <w:rtl/>
          <w:lang w:eastAsia="de-DE"/>
        </w:rPr>
        <w:t>בְּיַד הָאֱמֹרִי</w:t>
      </w:r>
      <w:r w:rsidRPr="00233F30">
        <w:rPr>
          <w:rFonts w:eastAsia="Times New Roman"/>
          <w:rtl/>
          <w:lang w:eastAsia="de-DE"/>
        </w:rPr>
        <w:t xml:space="preserve"> </w:t>
      </w:r>
      <w:r w:rsidRPr="00233F30">
        <w:rPr>
          <w:rFonts w:eastAsia="Times New Roman"/>
          <w:lang w:eastAsia="de-DE"/>
        </w:rPr>
        <w:t xml:space="preserve">(„in die Hand der Amoriter"). </w:t>
      </w:r>
      <w:r w:rsidRPr="00233F30">
        <w:rPr>
          <w:rFonts w:eastAsia="Times New Roman"/>
          <w:b/>
          <w:bCs/>
          <w:rtl/>
          <w:lang w:eastAsia="de-DE"/>
        </w:rPr>
        <w:t>לְהַשְׁמִידֵנוּ</w:t>
      </w:r>
      <w:r w:rsidRPr="00233F30">
        <w:rPr>
          <w:rFonts w:eastAsia="Times New Roman"/>
          <w:rtl/>
          <w:lang w:eastAsia="de-DE"/>
        </w:rPr>
        <w:t xml:space="preserve"> </w:t>
      </w:r>
      <w:r w:rsidRPr="00233F30">
        <w:rPr>
          <w:rFonts w:eastAsia="Times New Roman"/>
          <w:lang w:eastAsia="de-DE"/>
        </w:rPr>
        <w:t xml:space="preserve">ist ein weiterer finaler Infinitiv: </w:t>
      </w:r>
      <w:r w:rsidRPr="00233F30">
        <w:rPr>
          <w:rFonts w:eastAsia="Times New Roman"/>
          <w:b/>
          <w:bCs/>
          <w:rtl/>
          <w:lang w:eastAsia="de-DE"/>
        </w:rPr>
        <w:t>לְ</w:t>
      </w:r>
      <w:r w:rsidRPr="00233F30">
        <w:rPr>
          <w:rFonts w:eastAsia="Times New Roman"/>
          <w:rtl/>
          <w:lang w:eastAsia="de-DE"/>
        </w:rPr>
        <w:t xml:space="preserve"> </w:t>
      </w:r>
      <w:r w:rsidRPr="00233F30">
        <w:rPr>
          <w:rFonts w:eastAsia="Times New Roman"/>
          <w:lang w:eastAsia="de-DE"/>
        </w:rPr>
        <w:t xml:space="preserve">mit Hif'il Infinitiv </w:t>
      </w:r>
      <w:r w:rsidR="0032647F">
        <w:rPr>
          <w:rFonts w:eastAsia="Times New Roman"/>
          <w:lang w:eastAsia="de-DE"/>
        </w:rPr>
        <w:t>Construct</w:t>
      </w:r>
      <w:r w:rsidRPr="00233F30">
        <w:rPr>
          <w:rFonts w:eastAsia="Times New Roman"/>
          <w:lang w:eastAsia="de-DE"/>
        </w:rPr>
        <w:t xml:space="preserve"> von </w:t>
      </w:r>
      <w:r w:rsidRPr="00233F30">
        <w:rPr>
          <w:rFonts w:eastAsia="Times New Roman"/>
          <w:rtl/>
          <w:lang w:eastAsia="de-DE"/>
        </w:rPr>
        <w:t>שׁמד</w:t>
      </w:r>
      <w:r w:rsidRPr="00233F30">
        <w:rPr>
          <w:rFonts w:eastAsia="Times New Roman"/>
          <w:lang w:eastAsia="de-DE"/>
        </w:rPr>
        <w:t xml:space="preserve"> („vernichten") und Objektsuffix 1. Person Plural.</w:t>
      </w:r>
    </w:p>
    <w:p w14:paraId="57F37BF2" w14:textId="77777777" w:rsidR="00233F30" w:rsidRDefault="00233F30" w:rsidP="00233F30">
      <w:r w:rsidRPr="00233F30">
        <w:rPr>
          <w:b/>
          <w:bCs/>
        </w:rPr>
        <w:lastRenderedPageBreak/>
        <w:t>Die LXX</w:t>
      </w:r>
      <w:r w:rsidRPr="00233F30">
        <w:t xml:space="preserve"> interpretiert die Motivation des Volkes als Unterstellung </w:t>
      </w:r>
      <w:r>
        <w:t>gegen Gott.</w:t>
      </w:r>
    </w:p>
    <w:p w14:paraId="32E6CA6E" w14:textId="77777777" w:rsidR="00233F30" w:rsidRDefault="00233F30" w:rsidP="00233F30">
      <w:r>
        <w:t>Die Satzstruktur besteht aus zwei Hauptsätzen (</w:t>
      </w:r>
      <w:r>
        <w:rPr>
          <w:rStyle w:val="berschrift3Zchn"/>
          <w:rtl/>
        </w:rPr>
        <w:t>וַתֵּרָגְנוּ</w:t>
      </w:r>
      <w:r>
        <w:t xml:space="preserve">, </w:t>
      </w:r>
      <w:r>
        <w:rPr>
          <w:rStyle w:val="berschrift3Zchn"/>
          <w:rtl/>
        </w:rPr>
        <w:t>וַתֹּאמְרוּ</w:t>
      </w:r>
      <w:r>
        <w:t>) mit direkter Rede. Diese enthält: (1) kausale Infinitivphrase (</w:t>
      </w:r>
      <w:r>
        <w:rPr>
          <w:rStyle w:val="berschrift3Zchn"/>
          <w:rtl/>
        </w:rPr>
        <w:t>בְּשִׂנְאַת יְהוָה אֹתָנוּ</w:t>
      </w:r>
      <w:r>
        <w:t>), (2) Hauptverb (</w:t>
      </w:r>
      <w:r>
        <w:rPr>
          <w:rStyle w:val="berschrift3Zchn"/>
          <w:rtl/>
        </w:rPr>
        <w:t>הוֹצִיאָנוּ</w:t>
      </w:r>
      <w:r>
        <w:t>) mit Herkunftsangabe, (3) zwei finale Infinitive (</w:t>
      </w:r>
      <w:r>
        <w:rPr>
          <w:rStyle w:val="berschrift3Zchn"/>
          <w:rtl/>
        </w:rPr>
        <w:t>לָתֵת</w:t>
      </w:r>
      <w:r>
        <w:rPr>
          <w:rtl/>
        </w:rPr>
        <w:t xml:space="preserve"> </w:t>
      </w:r>
      <w:r>
        <w:t xml:space="preserve">und </w:t>
      </w:r>
      <w:r>
        <w:rPr>
          <w:rStyle w:val="berschrift3Zchn"/>
          <w:rtl/>
        </w:rPr>
        <w:t>לְהַשְׁמִידֵנוּ</w:t>
      </w:r>
      <w:r>
        <w:t>).</w:t>
      </w:r>
    </w:p>
    <w:p w14:paraId="5AF0BDCB" w14:textId="77777777" w:rsidR="00233F30" w:rsidRDefault="00233F30" w:rsidP="00233F30">
      <w:r>
        <w:t>Der Vers zeigt die blasphemische Verkehrung der Exoduserfahrung durch das murrende Volk: Sie deuten die Befreiungstat als Vernichtungsabsicht JHWHs – eine völlige Verdrehung der Heilsgeschichte.</w:t>
      </w:r>
    </w:p>
    <w:p w14:paraId="589AAC00" w14:textId="77777777" w:rsidR="00233F30" w:rsidRPr="00233F30" w:rsidRDefault="00233F30" w:rsidP="00233F30">
      <w:pPr>
        <w:spacing w:before="100" w:beforeAutospacing="1" w:after="100" w:afterAutospacing="1" w:line="240" w:lineRule="auto"/>
        <w:outlineLvl w:val="1"/>
        <w:rPr>
          <w:rFonts w:eastAsia="Times New Roman"/>
          <w:b/>
          <w:bCs/>
          <w:sz w:val="36"/>
          <w:szCs w:val="36"/>
          <w:lang w:eastAsia="de-DE"/>
        </w:rPr>
      </w:pPr>
      <w:r w:rsidRPr="00233F30">
        <w:rPr>
          <w:rFonts w:eastAsia="Times New Roman"/>
          <w:b/>
          <w:bCs/>
          <w:sz w:val="36"/>
          <w:szCs w:val="36"/>
          <w:lang w:eastAsia="de-DE"/>
        </w:rPr>
        <w:t>Deuteronomium 1,28</w:t>
      </w:r>
    </w:p>
    <w:p w14:paraId="40C556F7"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Hebräisch:</w:t>
      </w:r>
      <w:r w:rsidRPr="00233F30">
        <w:rPr>
          <w:rFonts w:eastAsia="Times New Roman"/>
          <w:lang w:eastAsia="de-DE"/>
        </w:rPr>
        <w:t xml:space="preserve"> </w:t>
      </w:r>
      <w:r w:rsidRPr="00233F30">
        <w:rPr>
          <w:rFonts w:eastAsia="Times New Roman"/>
          <w:rtl/>
          <w:lang w:eastAsia="de-DE"/>
        </w:rPr>
        <w:t>אָנָ֣ה׀ אֲנַ֣חְנוּ עֹלִ֗ים אַחֵינוּ֩ הֵמַ֨סּוּ אֶת־לְבָבֵ֜נוּ לֵאמֹ֗ר עַ֣ם גָּד֤וֹל וָרָם֙ מִמֶּ֔נּוּ עָרִ֛ים גְּדֹלֹ֥ת וּבְצוּרֹ֖ת בַּשָּׁמָ֑יִם וְגַם־בְּנֵ֥י עֲנָקִ֖ים רָאִ֥ינוּ שָֽׁם׃</w:t>
      </w:r>
    </w:p>
    <w:p w14:paraId="6DA608D6"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Deutsch:</w:t>
      </w:r>
      <w:r w:rsidRPr="00233F30">
        <w:rPr>
          <w:rFonts w:eastAsia="Times New Roman"/>
          <w:lang w:eastAsia="de-DE"/>
        </w:rPr>
        <w:t xml:space="preserve"> Wohin ziehen wir hinauf? Unsere Brüder haben unser Herz verzagt gemacht, indem sie sagten: Ein Volk, größer und höher als wir, Städte, groß und befestigt bis in den Himmel, und auch die Söhne der Anakim haben wir dort gesehen.</w:t>
      </w:r>
    </w:p>
    <w:p w14:paraId="15ADE20C" w14:textId="77777777" w:rsidR="00233F30" w:rsidRPr="00233F30" w:rsidRDefault="004F5CEB" w:rsidP="00233F30">
      <w:pPr>
        <w:spacing w:after="0" w:line="240" w:lineRule="auto"/>
        <w:rPr>
          <w:rFonts w:eastAsia="Times New Roman"/>
          <w:lang w:eastAsia="de-DE"/>
        </w:rPr>
      </w:pPr>
      <w:r>
        <w:rPr>
          <w:rFonts w:eastAsia="Times New Roman"/>
          <w:noProof/>
          <w:lang w:eastAsia="de-DE"/>
        </w:rPr>
        <w:pict w14:anchorId="496B2D35">
          <v:rect id="_x0000_i1052" style="width:0;height:1.5pt" o:hralign="center" o:hrstd="t" o:hr="t" fillcolor="#a0a0a0" stroked="f"/>
        </w:pict>
      </w:r>
    </w:p>
    <w:p w14:paraId="4AC593D7"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Kommentar:</w:t>
      </w:r>
      <w:r w:rsidRPr="00233F30">
        <w:rPr>
          <w:rFonts w:eastAsia="Times New Roman"/>
          <w:lang w:eastAsia="de-DE"/>
        </w:rPr>
        <w:t xml:space="preserve"> </w:t>
      </w:r>
      <w:r w:rsidRPr="00233F30">
        <w:rPr>
          <w:rFonts w:eastAsia="Times New Roman"/>
          <w:b/>
          <w:bCs/>
          <w:rtl/>
          <w:lang w:eastAsia="de-DE"/>
        </w:rPr>
        <w:t>אָנָה</w:t>
      </w:r>
      <w:r w:rsidRPr="00233F30">
        <w:rPr>
          <w:rFonts w:eastAsia="Times New Roman"/>
          <w:rtl/>
          <w:lang w:eastAsia="de-DE"/>
        </w:rPr>
        <w:t xml:space="preserve"> </w:t>
      </w:r>
      <w:r w:rsidRPr="00233F30">
        <w:rPr>
          <w:rFonts w:eastAsia="Times New Roman"/>
          <w:lang w:eastAsia="de-DE"/>
        </w:rPr>
        <w:t xml:space="preserve">ist ein interrogatives Adverb („wohin?"). </w:t>
      </w:r>
      <w:r w:rsidRPr="00233F30">
        <w:rPr>
          <w:rFonts w:eastAsia="Times New Roman"/>
          <w:b/>
          <w:bCs/>
          <w:rtl/>
          <w:lang w:eastAsia="de-DE"/>
        </w:rPr>
        <w:t>אֲנַחְנוּ</w:t>
      </w:r>
      <w:r w:rsidRPr="00233F30">
        <w:rPr>
          <w:rFonts w:eastAsia="Times New Roman"/>
          <w:rtl/>
          <w:lang w:eastAsia="de-DE"/>
        </w:rPr>
        <w:t xml:space="preserve"> </w:t>
      </w:r>
      <w:r w:rsidRPr="00233F30">
        <w:rPr>
          <w:rFonts w:eastAsia="Times New Roman"/>
          <w:lang w:eastAsia="de-DE"/>
        </w:rPr>
        <w:t xml:space="preserve">ist das Personalpronomen 1. Person Plural („wir"). </w:t>
      </w:r>
      <w:r w:rsidRPr="00233F30">
        <w:rPr>
          <w:rFonts w:eastAsia="Times New Roman"/>
          <w:b/>
          <w:bCs/>
          <w:rtl/>
          <w:lang w:eastAsia="de-DE"/>
        </w:rPr>
        <w:t>עֹלִים</w:t>
      </w:r>
      <w:r w:rsidRPr="00233F30">
        <w:rPr>
          <w:rFonts w:eastAsia="Times New Roman"/>
          <w:rtl/>
          <w:lang w:eastAsia="de-DE"/>
        </w:rPr>
        <w:t xml:space="preserve"> </w:t>
      </w:r>
      <w:r w:rsidRPr="00233F30">
        <w:rPr>
          <w:rFonts w:eastAsia="Times New Roman"/>
          <w:lang w:eastAsia="de-DE"/>
        </w:rPr>
        <w:t xml:space="preserve">ist Qal Partizip aktiv, maskulin Plural von </w:t>
      </w:r>
      <w:r w:rsidRPr="00233F30">
        <w:rPr>
          <w:rFonts w:eastAsia="Times New Roman"/>
          <w:rtl/>
          <w:lang w:eastAsia="de-DE"/>
        </w:rPr>
        <w:t>עלה</w:t>
      </w:r>
      <w:r w:rsidRPr="00233F30">
        <w:rPr>
          <w:rFonts w:eastAsia="Times New Roman"/>
          <w:lang w:eastAsia="de-DE"/>
        </w:rPr>
        <w:t xml:space="preserve"> („hinaufziehen"). </w:t>
      </w:r>
      <w:r w:rsidRPr="00233F30">
        <w:rPr>
          <w:rFonts w:eastAsia="Times New Roman"/>
          <w:b/>
          <w:bCs/>
          <w:rtl/>
          <w:lang w:eastAsia="de-DE"/>
        </w:rPr>
        <w:t>אַחֵינוּ</w:t>
      </w:r>
      <w:r w:rsidRPr="00233F30">
        <w:rPr>
          <w:rFonts w:eastAsia="Times New Roman"/>
          <w:rtl/>
          <w:lang w:eastAsia="de-DE"/>
        </w:rPr>
        <w:t xml:space="preserve"> </w:t>
      </w:r>
      <w:r w:rsidRPr="00233F30">
        <w:rPr>
          <w:rFonts w:eastAsia="Times New Roman"/>
          <w:lang w:eastAsia="de-DE"/>
        </w:rPr>
        <w:t xml:space="preserve">ist </w:t>
      </w:r>
      <w:r w:rsidRPr="00233F30">
        <w:rPr>
          <w:rFonts w:eastAsia="Times New Roman"/>
          <w:b/>
          <w:bCs/>
          <w:rtl/>
          <w:lang w:eastAsia="de-DE"/>
        </w:rPr>
        <w:t>אָח</w:t>
      </w:r>
      <w:r w:rsidRPr="00233F30">
        <w:rPr>
          <w:rFonts w:eastAsia="Times New Roman"/>
          <w:rtl/>
          <w:lang w:eastAsia="de-DE"/>
        </w:rPr>
        <w:t xml:space="preserve"> </w:t>
      </w:r>
      <w:r w:rsidRPr="00233F30">
        <w:rPr>
          <w:rFonts w:eastAsia="Times New Roman"/>
          <w:lang w:eastAsia="de-DE"/>
        </w:rPr>
        <w:t xml:space="preserve">im Plural mit Suffix 1. Person Plural („unsere Brüder", bezogen auf die Kundschafter). </w:t>
      </w:r>
      <w:r w:rsidRPr="00233F30">
        <w:rPr>
          <w:rFonts w:eastAsia="Times New Roman"/>
          <w:b/>
          <w:bCs/>
          <w:rtl/>
          <w:lang w:eastAsia="de-DE"/>
        </w:rPr>
        <w:t>הֵמַסּוּ</w:t>
      </w:r>
      <w:r w:rsidRPr="00233F30">
        <w:rPr>
          <w:rFonts w:eastAsia="Times New Roman"/>
          <w:rtl/>
          <w:lang w:eastAsia="de-DE"/>
        </w:rPr>
        <w:t xml:space="preserve"> </w:t>
      </w:r>
      <w:r w:rsidRPr="00233F30">
        <w:rPr>
          <w:rFonts w:eastAsia="Times New Roman"/>
          <w:lang w:eastAsia="de-DE"/>
        </w:rPr>
        <w:t xml:space="preserve">ist Hif'il Perfekt, 3. Person Plural von </w:t>
      </w:r>
      <w:r w:rsidRPr="00233F30">
        <w:rPr>
          <w:rFonts w:eastAsia="Times New Roman"/>
          <w:rtl/>
          <w:lang w:eastAsia="de-DE"/>
        </w:rPr>
        <w:t>מסס</w:t>
      </w:r>
      <w:r w:rsidRPr="00233F30">
        <w:rPr>
          <w:rFonts w:eastAsia="Times New Roman"/>
          <w:lang w:eastAsia="de-DE"/>
        </w:rPr>
        <w:t xml:space="preserve"> („schmelzen, verzagt machen"). </w:t>
      </w:r>
      <w:r w:rsidRPr="00233F30">
        <w:rPr>
          <w:rFonts w:eastAsia="Times New Roman"/>
          <w:b/>
          <w:bCs/>
          <w:rtl/>
          <w:lang w:eastAsia="de-DE"/>
        </w:rPr>
        <w:t>אֶת־לְבָבֵנוּ</w:t>
      </w:r>
      <w:r w:rsidRPr="00233F30">
        <w:rPr>
          <w:rFonts w:eastAsia="Times New Roman"/>
          <w:rtl/>
          <w:lang w:eastAsia="de-DE"/>
        </w:rPr>
        <w:t xml:space="preserve"> </w:t>
      </w:r>
      <w:r w:rsidRPr="00233F30">
        <w:rPr>
          <w:rFonts w:eastAsia="Times New Roman"/>
          <w:lang w:eastAsia="de-DE"/>
        </w:rPr>
        <w:t xml:space="preserve">ist die Objektpartikel mit </w:t>
      </w:r>
      <w:r w:rsidRPr="00233F30">
        <w:rPr>
          <w:rFonts w:eastAsia="Times New Roman"/>
          <w:b/>
          <w:bCs/>
          <w:rtl/>
          <w:lang w:eastAsia="de-DE"/>
        </w:rPr>
        <w:t>לֵבָב</w:t>
      </w:r>
      <w:r w:rsidRPr="00233F30">
        <w:rPr>
          <w:rFonts w:eastAsia="Times New Roman"/>
          <w:rtl/>
          <w:lang w:eastAsia="de-DE"/>
        </w:rPr>
        <w:t xml:space="preserve"> </w:t>
      </w:r>
      <w:r w:rsidRPr="00233F30">
        <w:rPr>
          <w:rFonts w:eastAsia="Times New Roman"/>
          <w:lang w:eastAsia="de-DE"/>
        </w:rPr>
        <w:t xml:space="preserve">(„Herz") und Suffix 1. Person Plural. </w:t>
      </w:r>
      <w:r w:rsidRPr="00233F30">
        <w:rPr>
          <w:rFonts w:eastAsia="Times New Roman"/>
          <w:b/>
          <w:bCs/>
          <w:rtl/>
          <w:lang w:eastAsia="de-DE"/>
        </w:rPr>
        <w:t>לֵאמֹר</w:t>
      </w:r>
      <w:r w:rsidRPr="00233F30">
        <w:rPr>
          <w:rFonts w:eastAsia="Times New Roman"/>
          <w:rtl/>
          <w:lang w:eastAsia="de-DE"/>
        </w:rPr>
        <w:t xml:space="preserve"> </w:t>
      </w:r>
      <w:r w:rsidRPr="00233F30">
        <w:rPr>
          <w:rFonts w:eastAsia="Times New Roman"/>
          <w:lang w:eastAsia="de-DE"/>
        </w:rPr>
        <w:t>leitet die direkte Rede ein.</w:t>
      </w:r>
    </w:p>
    <w:p w14:paraId="18C582C3" w14:textId="5C16F5CC"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rtl/>
          <w:lang w:eastAsia="de-DE"/>
        </w:rPr>
        <w:t>עַם גָּדוֹל וָרָם מִמֶּנּוּ</w:t>
      </w:r>
      <w:r w:rsidRPr="00233F30">
        <w:rPr>
          <w:rFonts w:eastAsia="Times New Roman"/>
          <w:rtl/>
          <w:lang w:eastAsia="de-DE"/>
        </w:rPr>
        <w:t xml:space="preserve"> </w:t>
      </w:r>
      <w:r w:rsidRPr="00233F30">
        <w:rPr>
          <w:rFonts w:eastAsia="Times New Roman"/>
          <w:lang w:eastAsia="de-DE"/>
        </w:rPr>
        <w:t xml:space="preserve">ist ein Nominalsatz: </w:t>
      </w:r>
      <w:r w:rsidRPr="00233F30">
        <w:rPr>
          <w:rFonts w:eastAsia="Times New Roman"/>
          <w:b/>
          <w:bCs/>
          <w:rtl/>
          <w:lang w:eastAsia="de-DE"/>
        </w:rPr>
        <w:t>עַם</w:t>
      </w:r>
      <w:r w:rsidRPr="00233F30">
        <w:rPr>
          <w:rFonts w:eastAsia="Times New Roman"/>
          <w:rtl/>
          <w:lang w:eastAsia="de-DE"/>
        </w:rPr>
        <w:t xml:space="preserve"> </w:t>
      </w:r>
      <w:r w:rsidRPr="00233F30">
        <w:rPr>
          <w:rFonts w:eastAsia="Times New Roman"/>
          <w:lang w:eastAsia="de-DE"/>
        </w:rPr>
        <w:t xml:space="preserve">(„Volk") als Subjekt, </w:t>
      </w:r>
      <w:r w:rsidRPr="00233F30">
        <w:rPr>
          <w:rFonts w:eastAsia="Times New Roman"/>
          <w:b/>
          <w:bCs/>
          <w:rtl/>
          <w:lang w:eastAsia="de-DE"/>
        </w:rPr>
        <w:t>גָּדוֹל</w:t>
      </w:r>
      <w:r w:rsidRPr="00233F30">
        <w:rPr>
          <w:rFonts w:eastAsia="Times New Roman"/>
          <w:rtl/>
          <w:lang w:eastAsia="de-DE"/>
        </w:rPr>
        <w:t xml:space="preserve"> </w:t>
      </w:r>
      <w:r w:rsidRPr="00233F30">
        <w:rPr>
          <w:rFonts w:eastAsia="Times New Roman"/>
          <w:lang w:eastAsia="de-DE"/>
        </w:rPr>
        <w:t xml:space="preserve">(„groß") und </w:t>
      </w:r>
      <w:r w:rsidRPr="00233F30">
        <w:rPr>
          <w:rFonts w:eastAsia="Times New Roman"/>
          <w:b/>
          <w:bCs/>
          <w:rtl/>
          <w:lang w:eastAsia="de-DE"/>
        </w:rPr>
        <w:t>רָם</w:t>
      </w:r>
      <w:r w:rsidRPr="00233F30">
        <w:rPr>
          <w:rFonts w:eastAsia="Times New Roman"/>
          <w:rtl/>
          <w:lang w:eastAsia="de-DE"/>
        </w:rPr>
        <w:t xml:space="preserve"> </w:t>
      </w:r>
      <w:r w:rsidRPr="00233F30">
        <w:rPr>
          <w:rFonts w:eastAsia="Times New Roman"/>
          <w:lang w:eastAsia="de-DE"/>
        </w:rPr>
        <w:t xml:space="preserve">(„hoch") als Prädikate, </w:t>
      </w:r>
      <w:r w:rsidRPr="00233F30">
        <w:rPr>
          <w:rFonts w:eastAsia="Times New Roman"/>
          <w:b/>
          <w:bCs/>
          <w:rtl/>
          <w:lang w:eastAsia="de-DE"/>
        </w:rPr>
        <w:t>מִמֶּנּוּ</w:t>
      </w:r>
      <w:r w:rsidRPr="00233F30">
        <w:rPr>
          <w:rFonts w:eastAsia="Times New Roman"/>
          <w:rtl/>
          <w:lang w:eastAsia="de-DE"/>
        </w:rPr>
        <w:t xml:space="preserve"> </w:t>
      </w:r>
      <w:r w:rsidRPr="00233F30">
        <w:rPr>
          <w:rFonts w:eastAsia="Times New Roman"/>
          <w:lang w:eastAsia="de-DE"/>
        </w:rPr>
        <w:t>(</w:t>
      </w:r>
      <w:r w:rsidRPr="00233F30">
        <w:rPr>
          <w:rFonts w:eastAsia="Times New Roman"/>
          <w:b/>
          <w:bCs/>
          <w:rtl/>
          <w:lang w:eastAsia="de-DE"/>
        </w:rPr>
        <w:t>מִן</w:t>
      </w:r>
      <w:r w:rsidRPr="00233F30">
        <w:rPr>
          <w:rFonts w:eastAsia="Times New Roman"/>
          <w:rtl/>
          <w:lang w:eastAsia="de-DE"/>
        </w:rPr>
        <w:t xml:space="preserve"> </w:t>
      </w:r>
      <w:r w:rsidRPr="00233F30">
        <w:rPr>
          <w:rFonts w:eastAsia="Times New Roman"/>
          <w:lang w:eastAsia="de-DE"/>
        </w:rPr>
        <w:t xml:space="preserve">mit Suffix 1. Person Plural „als wir, mehr als wir"). </w:t>
      </w:r>
      <w:r w:rsidRPr="00233F30">
        <w:rPr>
          <w:rFonts w:eastAsia="Times New Roman"/>
          <w:b/>
          <w:bCs/>
          <w:rtl/>
          <w:lang w:eastAsia="de-DE"/>
        </w:rPr>
        <w:t>עָרִים גְּדֹלֹת וּבְצוּרֹת בַּשָּׁמָיִם</w:t>
      </w:r>
      <w:r w:rsidRPr="00233F30">
        <w:rPr>
          <w:rFonts w:eastAsia="Times New Roman"/>
          <w:rtl/>
          <w:lang w:eastAsia="de-DE"/>
        </w:rPr>
        <w:t xml:space="preserve"> </w:t>
      </w:r>
      <w:r w:rsidRPr="00233F30">
        <w:rPr>
          <w:rFonts w:eastAsia="Times New Roman"/>
          <w:lang w:eastAsia="de-DE"/>
        </w:rPr>
        <w:t xml:space="preserve">ist eine weitere Phrase: </w:t>
      </w:r>
      <w:r w:rsidRPr="00233F30">
        <w:rPr>
          <w:rFonts w:eastAsia="Times New Roman"/>
          <w:b/>
          <w:bCs/>
          <w:rtl/>
          <w:lang w:eastAsia="de-DE"/>
        </w:rPr>
        <w:t>עָרִים</w:t>
      </w:r>
      <w:r w:rsidRPr="00233F30">
        <w:rPr>
          <w:rFonts w:eastAsia="Times New Roman"/>
          <w:rtl/>
          <w:lang w:eastAsia="de-DE"/>
        </w:rPr>
        <w:t xml:space="preserve"> </w:t>
      </w:r>
      <w:r w:rsidRPr="00233F30">
        <w:rPr>
          <w:rFonts w:eastAsia="Times New Roman"/>
          <w:lang w:eastAsia="de-DE"/>
        </w:rPr>
        <w:t xml:space="preserve">als Subjekt, </w:t>
      </w:r>
      <w:r w:rsidRPr="00233F30">
        <w:rPr>
          <w:rFonts w:eastAsia="Times New Roman"/>
          <w:b/>
          <w:bCs/>
          <w:rtl/>
          <w:lang w:eastAsia="de-DE"/>
        </w:rPr>
        <w:t>גְּדֹלֹת</w:t>
      </w:r>
      <w:r w:rsidRPr="00233F30">
        <w:rPr>
          <w:rFonts w:eastAsia="Times New Roman"/>
          <w:rtl/>
          <w:lang w:eastAsia="de-DE"/>
        </w:rPr>
        <w:t xml:space="preserve"> </w:t>
      </w:r>
      <w:r w:rsidRPr="00233F30">
        <w:rPr>
          <w:rFonts w:eastAsia="Times New Roman"/>
          <w:lang w:eastAsia="de-DE"/>
        </w:rPr>
        <w:t xml:space="preserve">(Plural von </w:t>
      </w:r>
      <w:r w:rsidRPr="00233F30">
        <w:rPr>
          <w:rFonts w:eastAsia="Times New Roman"/>
          <w:b/>
          <w:bCs/>
          <w:rtl/>
          <w:lang w:eastAsia="de-DE"/>
        </w:rPr>
        <w:t>גָּדוֹל</w:t>
      </w:r>
      <w:r w:rsidRPr="00233F30">
        <w:rPr>
          <w:rFonts w:eastAsia="Times New Roman"/>
          <w:lang w:eastAsia="de-DE"/>
        </w:rPr>
        <w:t xml:space="preserve">) und </w:t>
      </w:r>
      <w:r w:rsidRPr="00233F30">
        <w:rPr>
          <w:rFonts w:eastAsia="Times New Roman"/>
          <w:b/>
          <w:bCs/>
          <w:rtl/>
          <w:lang w:eastAsia="de-DE"/>
        </w:rPr>
        <w:t>בְצוּרֹת</w:t>
      </w:r>
      <w:r w:rsidRPr="00233F30">
        <w:rPr>
          <w:rFonts w:eastAsia="Times New Roman"/>
          <w:rtl/>
          <w:lang w:eastAsia="de-DE"/>
        </w:rPr>
        <w:t xml:space="preserve"> </w:t>
      </w:r>
      <w:r w:rsidRPr="00233F30">
        <w:rPr>
          <w:rFonts w:eastAsia="Times New Roman"/>
          <w:lang w:eastAsia="de-DE"/>
        </w:rPr>
        <w:t xml:space="preserve">(Plural Passivpartizip von </w:t>
      </w:r>
      <w:r w:rsidRPr="00233F30">
        <w:rPr>
          <w:rFonts w:eastAsia="Times New Roman"/>
          <w:rtl/>
          <w:lang w:eastAsia="de-DE"/>
        </w:rPr>
        <w:t>בצר</w:t>
      </w:r>
      <w:r w:rsidRPr="00233F30">
        <w:rPr>
          <w:rFonts w:eastAsia="Times New Roman"/>
          <w:lang w:eastAsia="de-DE"/>
        </w:rPr>
        <w:t xml:space="preserve"> „befestigt") als Attribute, </w:t>
      </w:r>
      <w:r w:rsidRPr="00233F30">
        <w:rPr>
          <w:rFonts w:eastAsia="Times New Roman"/>
          <w:b/>
          <w:bCs/>
          <w:rtl/>
          <w:lang w:eastAsia="de-DE"/>
        </w:rPr>
        <w:t>בַּשָּׁמָיִם</w:t>
      </w:r>
      <w:r w:rsidRPr="00233F30">
        <w:rPr>
          <w:rFonts w:eastAsia="Times New Roman"/>
          <w:rtl/>
          <w:lang w:eastAsia="de-DE"/>
        </w:rPr>
        <w:t xml:space="preserve"> </w:t>
      </w:r>
      <w:r w:rsidRPr="00233F30">
        <w:rPr>
          <w:rFonts w:eastAsia="Times New Roman"/>
          <w:lang w:eastAsia="de-DE"/>
        </w:rPr>
        <w:t>(</w:t>
      </w:r>
      <w:r w:rsidRPr="00233F30">
        <w:rPr>
          <w:rFonts w:eastAsia="Times New Roman"/>
          <w:b/>
          <w:bCs/>
          <w:rtl/>
          <w:lang w:eastAsia="de-DE"/>
        </w:rPr>
        <w:t>בְּ</w:t>
      </w:r>
      <w:r w:rsidRPr="00233F30">
        <w:rPr>
          <w:rFonts w:eastAsia="Times New Roman"/>
          <w:rtl/>
          <w:lang w:eastAsia="de-DE"/>
        </w:rPr>
        <w:t xml:space="preserve"> </w:t>
      </w:r>
      <w:r w:rsidRPr="00233F30">
        <w:rPr>
          <w:rFonts w:eastAsia="Times New Roman"/>
          <w:lang w:eastAsia="de-DE"/>
        </w:rPr>
        <w:t xml:space="preserve">mit </w:t>
      </w:r>
      <w:r w:rsidRPr="00233F30">
        <w:rPr>
          <w:rFonts w:eastAsia="Times New Roman"/>
          <w:b/>
          <w:bCs/>
          <w:rtl/>
          <w:lang w:eastAsia="de-DE"/>
        </w:rPr>
        <w:t>שָׁמַיִם</w:t>
      </w:r>
      <w:r w:rsidRPr="00233F30">
        <w:rPr>
          <w:rFonts w:eastAsia="Times New Roman"/>
          <w:rtl/>
          <w:lang w:eastAsia="de-DE"/>
        </w:rPr>
        <w:t xml:space="preserve"> </w:t>
      </w:r>
      <w:r w:rsidRPr="00233F30">
        <w:rPr>
          <w:rFonts w:eastAsia="Times New Roman"/>
          <w:lang w:eastAsia="de-DE"/>
        </w:rPr>
        <w:t xml:space="preserve">„bis in den Himmel") als hyperbolische Ortsangabe. </w:t>
      </w:r>
      <w:r w:rsidRPr="00233F30">
        <w:rPr>
          <w:rFonts w:eastAsia="Times New Roman"/>
          <w:b/>
          <w:bCs/>
          <w:rtl/>
          <w:lang w:eastAsia="de-DE"/>
        </w:rPr>
        <w:t>וְגַם־בְּנֵי עֲנָקִים</w:t>
      </w:r>
      <w:r w:rsidRPr="00233F30">
        <w:rPr>
          <w:rFonts w:eastAsia="Times New Roman"/>
          <w:rtl/>
          <w:lang w:eastAsia="de-DE"/>
        </w:rPr>
        <w:t xml:space="preserve"> </w:t>
      </w:r>
      <w:r w:rsidRPr="00233F30">
        <w:rPr>
          <w:rFonts w:eastAsia="Times New Roman"/>
          <w:lang w:eastAsia="de-DE"/>
        </w:rPr>
        <w:t xml:space="preserve">ist </w:t>
      </w:r>
      <w:r w:rsidRPr="00233F30">
        <w:rPr>
          <w:rFonts w:eastAsia="Times New Roman"/>
          <w:b/>
          <w:bCs/>
          <w:rtl/>
          <w:lang w:eastAsia="de-DE"/>
        </w:rPr>
        <w:t>גַּם</w:t>
      </w:r>
      <w:r w:rsidRPr="00233F30">
        <w:rPr>
          <w:rFonts w:eastAsia="Times New Roman"/>
          <w:rtl/>
          <w:lang w:eastAsia="de-DE"/>
        </w:rPr>
        <w:t xml:space="preserve"> </w:t>
      </w:r>
      <w:r w:rsidRPr="00233F30">
        <w:rPr>
          <w:rFonts w:eastAsia="Times New Roman"/>
          <w:lang w:eastAsia="de-DE"/>
        </w:rPr>
        <w:t xml:space="preserve">(„auch") mit </w:t>
      </w:r>
      <w:r w:rsidRPr="00233F30">
        <w:rPr>
          <w:rFonts w:eastAsia="Times New Roman"/>
          <w:b/>
          <w:bCs/>
          <w:rtl/>
          <w:lang w:eastAsia="de-DE"/>
        </w:rPr>
        <w:t>בְּנֵי עֲנָקִים</w:t>
      </w:r>
      <w:r w:rsidRPr="00233F30">
        <w:rPr>
          <w:rFonts w:eastAsia="Times New Roman"/>
          <w:rtl/>
          <w:lang w:eastAsia="de-DE"/>
        </w:rPr>
        <w:t xml:space="preserve"> </w:t>
      </w:r>
      <w:r w:rsidRPr="00233F30">
        <w:rPr>
          <w:rFonts w:eastAsia="Times New Roman"/>
          <w:lang w:eastAsia="de-DE"/>
        </w:rPr>
        <w:t xml:space="preserve">(Plural </w:t>
      </w:r>
      <w:r w:rsidR="0032647F">
        <w:rPr>
          <w:rFonts w:eastAsia="Times New Roman"/>
          <w:lang w:eastAsia="de-DE"/>
        </w:rPr>
        <w:t>Construct</w:t>
      </w:r>
      <w:r w:rsidRPr="00233F30">
        <w:rPr>
          <w:rFonts w:eastAsia="Times New Roman"/>
          <w:lang w:eastAsia="de-DE"/>
        </w:rPr>
        <w:t xml:space="preserve"> von </w:t>
      </w:r>
      <w:r w:rsidRPr="00233F30">
        <w:rPr>
          <w:rFonts w:eastAsia="Times New Roman"/>
          <w:b/>
          <w:bCs/>
          <w:rtl/>
          <w:lang w:eastAsia="de-DE"/>
        </w:rPr>
        <w:t>בֵּן</w:t>
      </w:r>
      <w:r w:rsidRPr="00233F30">
        <w:rPr>
          <w:rFonts w:eastAsia="Times New Roman"/>
          <w:rtl/>
          <w:lang w:eastAsia="de-DE"/>
        </w:rPr>
        <w:t xml:space="preserve"> </w:t>
      </w:r>
      <w:r w:rsidRPr="00233F30">
        <w:rPr>
          <w:rFonts w:eastAsia="Times New Roman"/>
          <w:lang w:eastAsia="de-DE"/>
        </w:rPr>
        <w:t xml:space="preserve">mit </w:t>
      </w:r>
      <w:r w:rsidRPr="00233F30">
        <w:rPr>
          <w:rFonts w:eastAsia="Times New Roman"/>
          <w:b/>
          <w:bCs/>
          <w:rtl/>
          <w:lang w:eastAsia="de-DE"/>
        </w:rPr>
        <w:t>עֲנָקִים</w:t>
      </w:r>
      <w:r w:rsidRPr="00233F30">
        <w:rPr>
          <w:rFonts w:eastAsia="Times New Roman"/>
          <w:lang w:eastAsia="de-DE"/>
        </w:rPr>
        <w:t xml:space="preserve">, Plural von </w:t>
      </w:r>
      <w:r w:rsidRPr="00233F30">
        <w:rPr>
          <w:rFonts w:eastAsia="Times New Roman"/>
          <w:b/>
          <w:bCs/>
          <w:rtl/>
          <w:lang w:eastAsia="de-DE"/>
        </w:rPr>
        <w:t>עֲנָק</w:t>
      </w:r>
      <w:r w:rsidRPr="00233F30">
        <w:rPr>
          <w:rFonts w:eastAsia="Times New Roman"/>
          <w:lang w:eastAsia="de-DE"/>
        </w:rPr>
        <w:t xml:space="preserve">, ein Riesenvolk). </w:t>
      </w:r>
      <w:r w:rsidRPr="00233F30">
        <w:rPr>
          <w:rFonts w:eastAsia="Times New Roman"/>
          <w:b/>
          <w:bCs/>
          <w:rtl/>
          <w:lang w:eastAsia="de-DE"/>
        </w:rPr>
        <w:t>רָאִינוּ</w:t>
      </w:r>
      <w:r w:rsidRPr="00233F30">
        <w:rPr>
          <w:rFonts w:eastAsia="Times New Roman"/>
          <w:rtl/>
          <w:lang w:eastAsia="de-DE"/>
        </w:rPr>
        <w:t xml:space="preserve"> </w:t>
      </w:r>
      <w:r w:rsidRPr="00233F30">
        <w:rPr>
          <w:rFonts w:eastAsia="Times New Roman"/>
          <w:lang w:eastAsia="de-DE"/>
        </w:rPr>
        <w:t xml:space="preserve">ist Qal Perfekt, 1. Person Plural von </w:t>
      </w:r>
      <w:r w:rsidRPr="00233F30">
        <w:rPr>
          <w:rFonts w:eastAsia="Times New Roman"/>
          <w:rtl/>
          <w:lang w:eastAsia="de-DE"/>
        </w:rPr>
        <w:t>ראה</w:t>
      </w:r>
      <w:r w:rsidRPr="00233F30">
        <w:rPr>
          <w:rFonts w:eastAsia="Times New Roman"/>
          <w:lang w:eastAsia="de-DE"/>
        </w:rPr>
        <w:t xml:space="preserve"> mit Suffix („wir haben gesehen"). </w:t>
      </w:r>
      <w:r w:rsidRPr="00233F30">
        <w:rPr>
          <w:rFonts w:eastAsia="Times New Roman"/>
          <w:b/>
          <w:bCs/>
          <w:rtl/>
          <w:lang w:eastAsia="de-DE"/>
        </w:rPr>
        <w:t>שָׁם</w:t>
      </w:r>
      <w:r w:rsidRPr="00233F30">
        <w:rPr>
          <w:rFonts w:eastAsia="Times New Roman"/>
          <w:rtl/>
          <w:lang w:eastAsia="de-DE"/>
        </w:rPr>
        <w:t xml:space="preserve"> </w:t>
      </w:r>
      <w:r w:rsidRPr="00233F30">
        <w:rPr>
          <w:rFonts w:eastAsia="Times New Roman"/>
          <w:lang w:eastAsia="de-DE"/>
        </w:rPr>
        <w:t>ist das lokale Adverb („dort").</w:t>
      </w:r>
    </w:p>
    <w:p w14:paraId="6C363CA4" w14:textId="5D9A0A58"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Die LXX</w:t>
      </w:r>
      <w:r w:rsidRPr="00233F30">
        <w:rPr>
          <w:rFonts w:eastAsia="Times New Roman"/>
          <w:lang w:eastAsia="de-DE"/>
        </w:rPr>
        <w:t xml:space="preserve"> </w:t>
      </w:r>
      <w:r w:rsidR="00D936E2">
        <w:t>übersetzt „</w:t>
      </w:r>
      <w:r w:rsidR="00D936E2">
        <w:rPr>
          <w:rtl/>
        </w:rPr>
        <w:t>בְּנֵי עֲנָקִים</w:t>
      </w:r>
      <w:r w:rsidR="00D936E2">
        <w:t>" (Söhne der Enakiter) mit „</w:t>
      </w:r>
      <w:proofErr w:type="spellStart"/>
      <w:r w:rsidR="00D936E2">
        <w:t>υἱοὺς</w:t>
      </w:r>
      <w:proofErr w:type="spellEnd"/>
      <w:r w:rsidR="00D936E2">
        <w:t xml:space="preserve"> </w:t>
      </w:r>
      <w:proofErr w:type="spellStart"/>
      <w:r w:rsidR="00D936E2">
        <w:t>γιγάντων</w:t>
      </w:r>
      <w:proofErr w:type="spellEnd"/>
      <w:r w:rsidR="00D936E2">
        <w:t xml:space="preserve">" (Söhne der Riesen/Giganten), eine interpretierende Übersetzung, und fügt „καὶ </w:t>
      </w:r>
      <w:proofErr w:type="spellStart"/>
      <w:r w:rsidR="00D936E2">
        <w:t>δυν</w:t>
      </w:r>
      <w:proofErr w:type="spellEnd"/>
      <w:r w:rsidR="00D936E2">
        <w:t xml:space="preserve">ατώτερον </w:t>
      </w:r>
      <w:proofErr w:type="spellStart"/>
      <w:r w:rsidR="00D936E2">
        <w:t>ἡμῶν</w:t>
      </w:r>
      <w:proofErr w:type="spellEnd"/>
      <w:r w:rsidR="00D936E2">
        <w:t>" (und mächtiger als wir) nach „π</w:t>
      </w:r>
      <w:proofErr w:type="spellStart"/>
      <w:r w:rsidR="00D936E2">
        <w:t>ολύ</w:t>
      </w:r>
      <w:proofErr w:type="spellEnd"/>
      <w:r w:rsidR="00D936E2">
        <w:t>" (groß/zahlreich) hinzu, was im MT nicht erscheint.</w:t>
      </w:r>
    </w:p>
    <w:p w14:paraId="77C15C8E"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lang w:eastAsia="de-DE"/>
        </w:rPr>
        <w:t>Die Satzstruktur beginnt mit einer rhetorischen Frage (</w:t>
      </w:r>
      <w:r w:rsidRPr="00233F30">
        <w:rPr>
          <w:rFonts w:eastAsia="Times New Roman"/>
          <w:b/>
          <w:bCs/>
          <w:rtl/>
          <w:lang w:eastAsia="de-DE"/>
        </w:rPr>
        <w:t>אָנָה אֲנַחְנוּ עֹלִים</w:t>
      </w:r>
      <w:r w:rsidRPr="00233F30">
        <w:rPr>
          <w:rFonts w:eastAsia="Times New Roman"/>
          <w:lang w:eastAsia="de-DE"/>
        </w:rPr>
        <w:t>), gefolgt von einem Hauptsatz (</w:t>
      </w:r>
      <w:r w:rsidRPr="00233F30">
        <w:rPr>
          <w:rFonts w:eastAsia="Times New Roman"/>
          <w:b/>
          <w:bCs/>
          <w:rtl/>
          <w:lang w:eastAsia="de-DE"/>
        </w:rPr>
        <w:t>אַחֵינוּ הֵמַסּוּ אֶת־לְבָבֵנוּ</w:t>
      </w:r>
      <w:r w:rsidRPr="00233F30">
        <w:rPr>
          <w:rFonts w:eastAsia="Times New Roman"/>
          <w:lang w:eastAsia="de-DE"/>
        </w:rPr>
        <w:t>) und Einleitungsformel. Die direkte Rede enthält mehrere Nominalsätze, die die schreckenserregenden Bedingungen aufzählen.</w:t>
      </w:r>
    </w:p>
    <w:p w14:paraId="5008B2E3"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lang w:eastAsia="de-DE"/>
        </w:rPr>
        <w:t>Der Vers gibt den Schreckensbericht der Kundschafter wieder, der das Volk entmutigt: übermächtige Feinde, uneinnehmbare Städte und Riesen. Dies rechtfertigt in den Augen des Volkes ihre Weigerung zum Aufstieg.</w:t>
      </w:r>
    </w:p>
    <w:p w14:paraId="78C39FAE" w14:textId="77777777" w:rsidR="00233F30" w:rsidRPr="00233F30" w:rsidRDefault="00233F30" w:rsidP="00233F30">
      <w:pPr>
        <w:spacing w:before="100" w:beforeAutospacing="1" w:after="100" w:afterAutospacing="1" w:line="240" w:lineRule="auto"/>
        <w:outlineLvl w:val="1"/>
        <w:rPr>
          <w:rFonts w:eastAsia="Times New Roman"/>
          <w:b/>
          <w:bCs/>
          <w:sz w:val="36"/>
          <w:szCs w:val="36"/>
          <w:lang w:eastAsia="de-DE"/>
        </w:rPr>
      </w:pPr>
      <w:r w:rsidRPr="00233F30">
        <w:rPr>
          <w:rFonts w:eastAsia="Times New Roman"/>
          <w:b/>
          <w:bCs/>
          <w:sz w:val="36"/>
          <w:szCs w:val="36"/>
          <w:lang w:eastAsia="de-DE"/>
        </w:rPr>
        <w:lastRenderedPageBreak/>
        <w:t>Deuteronomium 1,29</w:t>
      </w:r>
    </w:p>
    <w:p w14:paraId="03D1C1AA"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Hebräisch:</w:t>
      </w:r>
      <w:r w:rsidRPr="00233F30">
        <w:rPr>
          <w:rFonts w:eastAsia="Times New Roman"/>
          <w:lang w:eastAsia="de-DE"/>
        </w:rPr>
        <w:t xml:space="preserve"> </w:t>
      </w:r>
      <w:r w:rsidRPr="00233F30">
        <w:rPr>
          <w:rFonts w:eastAsia="Times New Roman"/>
          <w:rtl/>
          <w:lang w:eastAsia="de-DE"/>
        </w:rPr>
        <w:t>וָאֹמַ֖ר אֲלֵכֶ֑ם לֹא־תַֽעַרְצ֥וּן וְֽלֹא־תִֽירְא֖וּן מֵהֶֽם׃</w:t>
      </w:r>
    </w:p>
    <w:p w14:paraId="20FF3628"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Deutsch:</w:t>
      </w:r>
      <w:r w:rsidRPr="00233F30">
        <w:rPr>
          <w:rFonts w:eastAsia="Times New Roman"/>
          <w:lang w:eastAsia="de-DE"/>
        </w:rPr>
        <w:t xml:space="preserve"> Da sagte ich zu euch: Erschreckt nicht und fürchtet euch nicht vor ihnen.</w:t>
      </w:r>
    </w:p>
    <w:p w14:paraId="79CD5420" w14:textId="77777777" w:rsidR="00233F30" w:rsidRPr="00233F30" w:rsidRDefault="004F5CEB" w:rsidP="00233F30">
      <w:pPr>
        <w:spacing w:after="0" w:line="240" w:lineRule="auto"/>
        <w:rPr>
          <w:rFonts w:eastAsia="Times New Roman"/>
          <w:lang w:eastAsia="de-DE"/>
        </w:rPr>
      </w:pPr>
      <w:r>
        <w:rPr>
          <w:rFonts w:eastAsia="Times New Roman"/>
          <w:noProof/>
          <w:lang w:eastAsia="de-DE"/>
        </w:rPr>
        <w:pict w14:anchorId="2FB226A4">
          <v:rect id="_x0000_i1053" style="width:0;height:1.5pt" o:hralign="center" o:hrstd="t" o:hr="t" fillcolor="#a0a0a0" stroked="f"/>
        </w:pict>
      </w:r>
    </w:p>
    <w:p w14:paraId="55214749"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Kommentar:</w:t>
      </w:r>
      <w:r w:rsidRPr="00233F30">
        <w:rPr>
          <w:rFonts w:eastAsia="Times New Roman"/>
          <w:lang w:eastAsia="de-DE"/>
        </w:rPr>
        <w:t xml:space="preserve"> </w:t>
      </w:r>
      <w:r w:rsidRPr="00233F30">
        <w:rPr>
          <w:rFonts w:eastAsia="Times New Roman"/>
          <w:b/>
          <w:bCs/>
          <w:rtl/>
          <w:lang w:eastAsia="de-DE"/>
        </w:rPr>
        <w:t>וָאֹמַר</w:t>
      </w:r>
      <w:r w:rsidRPr="00233F30">
        <w:rPr>
          <w:rFonts w:eastAsia="Times New Roman"/>
          <w:rtl/>
          <w:lang w:eastAsia="de-DE"/>
        </w:rPr>
        <w:t xml:space="preserve"> </w:t>
      </w:r>
      <w:r w:rsidRPr="00233F30">
        <w:rPr>
          <w:rFonts w:eastAsia="Times New Roman"/>
          <w:lang w:eastAsia="de-DE"/>
        </w:rPr>
        <w:t xml:space="preserve">ist Qal Imperfekt consecutivum, 1. Person Singular von </w:t>
      </w:r>
      <w:r w:rsidRPr="00233F30">
        <w:rPr>
          <w:rFonts w:eastAsia="Times New Roman"/>
          <w:rtl/>
          <w:lang w:eastAsia="de-DE"/>
        </w:rPr>
        <w:t>אמר</w:t>
      </w:r>
      <w:r w:rsidRPr="00233F30">
        <w:rPr>
          <w:rFonts w:eastAsia="Times New Roman"/>
          <w:lang w:eastAsia="de-DE"/>
        </w:rPr>
        <w:t xml:space="preserve"> mit Waw. </w:t>
      </w:r>
      <w:r w:rsidRPr="00233F30">
        <w:rPr>
          <w:rFonts w:eastAsia="Times New Roman"/>
          <w:b/>
          <w:bCs/>
          <w:rtl/>
          <w:lang w:eastAsia="de-DE"/>
        </w:rPr>
        <w:t>אֲלֵכֶם</w:t>
      </w:r>
      <w:r w:rsidRPr="00233F30">
        <w:rPr>
          <w:rFonts w:eastAsia="Times New Roman"/>
          <w:rtl/>
          <w:lang w:eastAsia="de-DE"/>
        </w:rPr>
        <w:t xml:space="preserve"> </w:t>
      </w:r>
      <w:r w:rsidRPr="00233F30">
        <w:rPr>
          <w:rFonts w:eastAsia="Times New Roman"/>
          <w:lang w:eastAsia="de-DE"/>
        </w:rPr>
        <w:t xml:space="preserve">ist </w:t>
      </w:r>
      <w:r w:rsidRPr="00233F30">
        <w:rPr>
          <w:rFonts w:eastAsia="Times New Roman"/>
          <w:b/>
          <w:bCs/>
          <w:rtl/>
          <w:lang w:eastAsia="de-DE"/>
        </w:rPr>
        <w:t>אֶל</w:t>
      </w:r>
      <w:r w:rsidRPr="00233F30">
        <w:rPr>
          <w:rFonts w:eastAsia="Times New Roman"/>
          <w:rtl/>
          <w:lang w:eastAsia="de-DE"/>
        </w:rPr>
        <w:t xml:space="preserve"> </w:t>
      </w:r>
      <w:r w:rsidRPr="00233F30">
        <w:rPr>
          <w:rFonts w:eastAsia="Times New Roman"/>
          <w:lang w:eastAsia="de-DE"/>
        </w:rPr>
        <w:t xml:space="preserve">mit Suffix 2. Person maskulin Plural. </w:t>
      </w:r>
      <w:r w:rsidRPr="00233F30">
        <w:rPr>
          <w:rFonts w:eastAsia="Times New Roman"/>
          <w:b/>
          <w:bCs/>
          <w:rtl/>
          <w:lang w:eastAsia="de-DE"/>
        </w:rPr>
        <w:t>לֹא־תַעַרְצוּן</w:t>
      </w:r>
      <w:r w:rsidRPr="00233F30">
        <w:rPr>
          <w:rFonts w:eastAsia="Times New Roman"/>
          <w:rtl/>
          <w:lang w:eastAsia="de-DE"/>
        </w:rPr>
        <w:t xml:space="preserve"> </w:t>
      </w:r>
      <w:r w:rsidRPr="00233F30">
        <w:rPr>
          <w:rFonts w:eastAsia="Times New Roman"/>
          <w:lang w:eastAsia="de-DE"/>
        </w:rPr>
        <w:t xml:space="preserve">ist die Negation </w:t>
      </w:r>
      <w:r w:rsidRPr="00233F30">
        <w:rPr>
          <w:rFonts w:eastAsia="Times New Roman"/>
          <w:b/>
          <w:bCs/>
          <w:rtl/>
          <w:lang w:eastAsia="de-DE"/>
        </w:rPr>
        <w:t>לֹא</w:t>
      </w:r>
      <w:r w:rsidRPr="00233F30">
        <w:rPr>
          <w:rFonts w:eastAsia="Times New Roman"/>
          <w:rtl/>
          <w:lang w:eastAsia="de-DE"/>
        </w:rPr>
        <w:t xml:space="preserve"> </w:t>
      </w:r>
      <w:r w:rsidRPr="00233F30">
        <w:rPr>
          <w:rFonts w:eastAsia="Times New Roman"/>
          <w:lang w:eastAsia="de-DE"/>
        </w:rPr>
        <w:t xml:space="preserve">mit Qal Imperfekt, 2. Person maskulin Plural von </w:t>
      </w:r>
      <w:r w:rsidRPr="00233F30">
        <w:rPr>
          <w:rFonts w:eastAsia="Times New Roman"/>
          <w:rtl/>
          <w:lang w:eastAsia="de-DE"/>
        </w:rPr>
        <w:t>ערץ</w:t>
      </w:r>
      <w:r w:rsidRPr="00233F30">
        <w:rPr>
          <w:rFonts w:eastAsia="Times New Roman"/>
          <w:lang w:eastAsia="de-DE"/>
        </w:rPr>
        <w:t xml:space="preserve"> („erschrecken, in Furcht geraten") und Nun paragogicum. </w:t>
      </w:r>
      <w:r w:rsidRPr="00233F30">
        <w:rPr>
          <w:rFonts w:eastAsia="Times New Roman"/>
          <w:b/>
          <w:bCs/>
          <w:rtl/>
          <w:lang w:eastAsia="de-DE"/>
        </w:rPr>
        <w:t>וְלֹא־תִירְאוּן</w:t>
      </w:r>
      <w:r w:rsidRPr="00233F30">
        <w:rPr>
          <w:rFonts w:eastAsia="Times New Roman"/>
          <w:rtl/>
          <w:lang w:eastAsia="de-DE"/>
        </w:rPr>
        <w:t xml:space="preserve"> </w:t>
      </w:r>
      <w:r w:rsidRPr="00233F30">
        <w:rPr>
          <w:rFonts w:eastAsia="Times New Roman"/>
          <w:lang w:eastAsia="de-DE"/>
        </w:rPr>
        <w:t xml:space="preserve">ist parallel: </w:t>
      </w:r>
      <w:r w:rsidRPr="00233F30">
        <w:rPr>
          <w:rFonts w:eastAsia="Times New Roman"/>
          <w:b/>
          <w:bCs/>
          <w:rtl/>
          <w:lang w:eastAsia="de-DE"/>
        </w:rPr>
        <w:t>לֹא</w:t>
      </w:r>
      <w:r w:rsidRPr="00233F30">
        <w:rPr>
          <w:rFonts w:eastAsia="Times New Roman"/>
          <w:rtl/>
          <w:lang w:eastAsia="de-DE"/>
        </w:rPr>
        <w:t xml:space="preserve"> </w:t>
      </w:r>
      <w:r w:rsidRPr="00233F30">
        <w:rPr>
          <w:rFonts w:eastAsia="Times New Roman"/>
          <w:lang w:eastAsia="de-DE"/>
        </w:rPr>
        <w:t xml:space="preserve">mit Qal Imperfekt, 2. Person maskulin Plural von </w:t>
      </w:r>
      <w:r w:rsidRPr="00233F30">
        <w:rPr>
          <w:rFonts w:eastAsia="Times New Roman"/>
          <w:rtl/>
          <w:lang w:eastAsia="de-DE"/>
        </w:rPr>
        <w:t>ירא</w:t>
      </w:r>
      <w:r w:rsidRPr="00233F30">
        <w:rPr>
          <w:rFonts w:eastAsia="Times New Roman"/>
          <w:lang w:eastAsia="de-DE"/>
        </w:rPr>
        <w:t xml:space="preserve"> („sich fürchten") und Nun paragogicum. </w:t>
      </w:r>
      <w:r w:rsidRPr="00233F30">
        <w:rPr>
          <w:rFonts w:eastAsia="Times New Roman"/>
          <w:b/>
          <w:bCs/>
          <w:rtl/>
          <w:lang w:eastAsia="de-DE"/>
        </w:rPr>
        <w:t>מֵהֶם</w:t>
      </w:r>
      <w:r w:rsidRPr="00233F30">
        <w:rPr>
          <w:rFonts w:eastAsia="Times New Roman"/>
          <w:rtl/>
          <w:lang w:eastAsia="de-DE"/>
        </w:rPr>
        <w:t xml:space="preserve"> </w:t>
      </w:r>
      <w:r w:rsidRPr="00233F30">
        <w:rPr>
          <w:rFonts w:eastAsia="Times New Roman"/>
          <w:lang w:eastAsia="de-DE"/>
        </w:rPr>
        <w:t xml:space="preserve">ist </w:t>
      </w:r>
      <w:r w:rsidRPr="00233F30">
        <w:rPr>
          <w:rFonts w:eastAsia="Times New Roman"/>
          <w:b/>
          <w:bCs/>
          <w:rtl/>
          <w:lang w:eastAsia="de-DE"/>
        </w:rPr>
        <w:t>מִן</w:t>
      </w:r>
      <w:r w:rsidRPr="00233F30">
        <w:rPr>
          <w:rFonts w:eastAsia="Times New Roman"/>
          <w:rtl/>
          <w:lang w:eastAsia="de-DE"/>
        </w:rPr>
        <w:t xml:space="preserve"> </w:t>
      </w:r>
      <w:r w:rsidRPr="00233F30">
        <w:rPr>
          <w:rFonts w:eastAsia="Times New Roman"/>
          <w:lang w:eastAsia="de-DE"/>
        </w:rPr>
        <w:t>mit Suffix 3. Person maskulin Plural („vor ihnen").</w:t>
      </w:r>
    </w:p>
    <w:p w14:paraId="78B89881"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Die LXX</w:t>
      </w:r>
      <w:r w:rsidRPr="00233F30">
        <w:rPr>
          <w:rFonts w:eastAsia="Times New Roman"/>
          <w:lang w:eastAsia="de-DE"/>
        </w:rPr>
        <w:t xml:space="preserve"> verwendet „</w:t>
      </w:r>
      <w:proofErr w:type="spellStart"/>
      <w:r w:rsidRPr="00233F30">
        <w:rPr>
          <w:rFonts w:eastAsia="Times New Roman"/>
          <w:lang w:eastAsia="de-DE"/>
        </w:rPr>
        <w:t>μὴ</w:t>
      </w:r>
      <w:proofErr w:type="spellEnd"/>
      <w:r w:rsidRPr="00233F30">
        <w:rPr>
          <w:rFonts w:eastAsia="Times New Roman"/>
          <w:lang w:eastAsia="de-DE"/>
        </w:rPr>
        <w:t xml:space="preserve"> π</w:t>
      </w:r>
      <w:proofErr w:type="spellStart"/>
      <w:r w:rsidRPr="00233F30">
        <w:rPr>
          <w:rFonts w:eastAsia="Times New Roman"/>
          <w:lang w:eastAsia="de-DE"/>
        </w:rPr>
        <w:t>τοηθῆτε</w:t>
      </w:r>
      <w:proofErr w:type="spellEnd"/>
      <w:r w:rsidRPr="00233F30">
        <w:rPr>
          <w:rFonts w:eastAsia="Times New Roman"/>
          <w:lang w:eastAsia="de-DE"/>
        </w:rPr>
        <w:t xml:space="preserve"> </w:t>
      </w:r>
      <w:proofErr w:type="spellStart"/>
      <w:r w:rsidRPr="00233F30">
        <w:rPr>
          <w:rFonts w:eastAsia="Times New Roman"/>
          <w:lang w:eastAsia="de-DE"/>
        </w:rPr>
        <w:t>μηδὲ</w:t>
      </w:r>
      <w:proofErr w:type="spellEnd"/>
      <w:r w:rsidRPr="00233F30">
        <w:rPr>
          <w:rFonts w:eastAsia="Times New Roman"/>
          <w:lang w:eastAsia="de-DE"/>
        </w:rPr>
        <w:t xml:space="preserve"> </w:t>
      </w:r>
      <w:proofErr w:type="spellStart"/>
      <w:r w:rsidRPr="00233F30">
        <w:rPr>
          <w:rFonts w:eastAsia="Times New Roman"/>
          <w:lang w:eastAsia="de-DE"/>
        </w:rPr>
        <w:t>φο</w:t>
      </w:r>
      <w:proofErr w:type="spellEnd"/>
      <w:r w:rsidRPr="00233F30">
        <w:rPr>
          <w:rFonts w:eastAsia="Times New Roman"/>
          <w:lang w:eastAsia="de-DE"/>
        </w:rPr>
        <w:t>βηθῆτε" („erschreckt nicht und fürchtet euch nicht").</w:t>
      </w:r>
    </w:p>
    <w:p w14:paraId="5CBF76A9"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lang w:eastAsia="de-DE"/>
        </w:rPr>
        <w:t>Die Satzstruktur besteht aus einem Hauptsatz (</w:t>
      </w:r>
      <w:r w:rsidRPr="00233F30">
        <w:rPr>
          <w:rFonts w:eastAsia="Times New Roman"/>
          <w:b/>
          <w:bCs/>
          <w:rtl/>
          <w:lang w:eastAsia="de-DE"/>
        </w:rPr>
        <w:t>וָאֹמַר אֲלֵכֶם</w:t>
      </w:r>
      <w:r w:rsidRPr="00233F30">
        <w:rPr>
          <w:rFonts w:eastAsia="Times New Roman"/>
          <w:lang w:eastAsia="de-DE"/>
        </w:rPr>
        <w:t>) mit direkter Rede, die zwei parallele Prohibitive enthält.</w:t>
      </w:r>
    </w:p>
    <w:p w14:paraId="38381D84"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lang w:eastAsia="de-DE"/>
        </w:rPr>
        <w:t>Der Vers zeigt Moses Versuch, das Volk zu ermutigen und ihre Furcht zu überwinden – eine Reaktion auf den Schreckensbericht.</w:t>
      </w:r>
    </w:p>
    <w:p w14:paraId="5BD12EE9" w14:textId="77777777" w:rsidR="00233F30" w:rsidRPr="00233F30" w:rsidRDefault="00233F30" w:rsidP="00233F30">
      <w:pPr>
        <w:spacing w:before="100" w:beforeAutospacing="1" w:after="100" w:afterAutospacing="1" w:line="240" w:lineRule="auto"/>
        <w:outlineLvl w:val="1"/>
        <w:rPr>
          <w:rFonts w:eastAsia="Times New Roman"/>
          <w:b/>
          <w:bCs/>
          <w:sz w:val="36"/>
          <w:szCs w:val="36"/>
          <w:lang w:eastAsia="de-DE"/>
        </w:rPr>
      </w:pPr>
      <w:r w:rsidRPr="00233F30">
        <w:rPr>
          <w:rFonts w:eastAsia="Times New Roman"/>
          <w:b/>
          <w:bCs/>
          <w:sz w:val="36"/>
          <w:szCs w:val="36"/>
          <w:lang w:eastAsia="de-DE"/>
        </w:rPr>
        <w:t>Deuteronomium 1,30</w:t>
      </w:r>
    </w:p>
    <w:p w14:paraId="0301984F"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Hebräisch:</w:t>
      </w:r>
      <w:r w:rsidRPr="00233F30">
        <w:rPr>
          <w:rFonts w:eastAsia="Times New Roman"/>
          <w:lang w:eastAsia="de-DE"/>
        </w:rPr>
        <w:t xml:space="preserve"> </w:t>
      </w:r>
      <w:r w:rsidRPr="00233F30">
        <w:rPr>
          <w:rFonts w:eastAsia="Times New Roman"/>
          <w:rtl/>
          <w:lang w:eastAsia="de-DE"/>
        </w:rPr>
        <w:t>יְהוָ֤ה אֱלֹֽהֵיכֶם֙ הַהֹלֵ֣ךְ לִפְנֵיכֶ֔ם ה֖וּא יִלָּחֵ֣ם לָכֶ֑ם כְּ֠כֹל אֲשֶׁ֨ר עָשָׂ֧ה אִתְּכֶ֛ם בְּמִצְרַ֖יִם לְעֵינֵיכֶֽם׃</w:t>
      </w:r>
    </w:p>
    <w:p w14:paraId="6F3CC53F" w14:textId="77777777"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Deutsch:</w:t>
      </w:r>
      <w:r w:rsidRPr="00233F30">
        <w:rPr>
          <w:rFonts w:eastAsia="Times New Roman"/>
          <w:lang w:eastAsia="de-DE"/>
        </w:rPr>
        <w:t xml:space="preserve"> Der Ewige, euer Gott, der vor euch Herziehende, er wird für euch kämpfen, ganz so, wie er mit euch in Mizrajim vor euren Augen getan hat.</w:t>
      </w:r>
    </w:p>
    <w:p w14:paraId="0967E4B9" w14:textId="77777777" w:rsidR="00233F30" w:rsidRPr="00233F30" w:rsidRDefault="004F5CEB" w:rsidP="00233F30">
      <w:pPr>
        <w:spacing w:after="0" w:line="240" w:lineRule="auto"/>
        <w:rPr>
          <w:rFonts w:eastAsia="Times New Roman"/>
          <w:lang w:eastAsia="de-DE"/>
        </w:rPr>
      </w:pPr>
      <w:r>
        <w:rPr>
          <w:rFonts w:eastAsia="Times New Roman"/>
          <w:noProof/>
          <w:lang w:eastAsia="de-DE"/>
        </w:rPr>
        <w:pict w14:anchorId="608139FE">
          <v:rect id="_x0000_i1054" style="width:0;height:1.5pt" o:hralign="center" o:hrstd="t" o:hr="t" fillcolor="#a0a0a0" stroked="f"/>
        </w:pict>
      </w:r>
    </w:p>
    <w:p w14:paraId="71BE47B9" w14:textId="778F9A25" w:rsidR="00233F30" w:rsidRPr="00233F30" w:rsidRDefault="00233F30" w:rsidP="00233F30">
      <w:pPr>
        <w:spacing w:before="100" w:beforeAutospacing="1" w:after="100" w:afterAutospacing="1" w:line="240" w:lineRule="auto"/>
        <w:rPr>
          <w:rFonts w:eastAsia="Times New Roman"/>
          <w:lang w:eastAsia="de-DE"/>
        </w:rPr>
      </w:pPr>
      <w:r w:rsidRPr="00233F30">
        <w:rPr>
          <w:rFonts w:eastAsia="Times New Roman"/>
          <w:b/>
          <w:bCs/>
          <w:lang w:eastAsia="de-DE"/>
        </w:rPr>
        <w:t>Kommentar:</w:t>
      </w:r>
      <w:r w:rsidRPr="00233F30">
        <w:rPr>
          <w:rFonts w:eastAsia="Times New Roman"/>
          <w:lang w:eastAsia="de-DE"/>
        </w:rPr>
        <w:t xml:space="preserve"> </w:t>
      </w:r>
      <w:r w:rsidRPr="00233F30">
        <w:rPr>
          <w:rFonts w:eastAsia="Times New Roman"/>
          <w:b/>
          <w:bCs/>
          <w:rtl/>
          <w:lang w:eastAsia="de-DE"/>
        </w:rPr>
        <w:t>יְהוָה אֱלֹהֵיכֶם</w:t>
      </w:r>
      <w:r w:rsidRPr="00233F30">
        <w:rPr>
          <w:rFonts w:eastAsia="Times New Roman"/>
          <w:rtl/>
          <w:lang w:eastAsia="de-DE"/>
        </w:rPr>
        <w:t xml:space="preserve"> </w:t>
      </w:r>
      <w:r w:rsidRPr="00233F30">
        <w:rPr>
          <w:rFonts w:eastAsia="Times New Roman"/>
          <w:lang w:eastAsia="de-DE"/>
        </w:rPr>
        <w:t xml:space="preserve">ist das Subjekt. </w:t>
      </w:r>
      <w:r w:rsidRPr="00233F30">
        <w:rPr>
          <w:rFonts w:eastAsia="Times New Roman"/>
          <w:b/>
          <w:bCs/>
          <w:rtl/>
          <w:lang w:eastAsia="de-DE"/>
        </w:rPr>
        <w:t>הַהֹלֵךְ לִפְנֵיכֶם</w:t>
      </w:r>
      <w:r w:rsidRPr="00233F30">
        <w:rPr>
          <w:rFonts w:eastAsia="Times New Roman"/>
          <w:rtl/>
          <w:lang w:eastAsia="de-DE"/>
        </w:rPr>
        <w:t xml:space="preserve"> </w:t>
      </w:r>
      <w:r w:rsidRPr="00233F30">
        <w:rPr>
          <w:rFonts w:eastAsia="Times New Roman"/>
          <w:lang w:eastAsia="de-DE"/>
        </w:rPr>
        <w:t xml:space="preserve">ist ein attributives Partizip: </w:t>
      </w:r>
      <w:r w:rsidRPr="00233F30">
        <w:rPr>
          <w:rFonts w:eastAsia="Times New Roman"/>
          <w:b/>
          <w:bCs/>
          <w:rtl/>
          <w:lang w:eastAsia="de-DE"/>
        </w:rPr>
        <w:t>הַהֹלֵךְ</w:t>
      </w:r>
      <w:r w:rsidRPr="00233F30">
        <w:rPr>
          <w:rFonts w:eastAsia="Times New Roman"/>
          <w:rtl/>
          <w:lang w:eastAsia="de-DE"/>
        </w:rPr>
        <w:t xml:space="preserve"> </w:t>
      </w:r>
      <w:r w:rsidRPr="00233F30">
        <w:rPr>
          <w:rFonts w:eastAsia="Times New Roman"/>
          <w:lang w:eastAsia="de-DE"/>
        </w:rPr>
        <w:t xml:space="preserve">(Qal Partizip aktiv von </w:t>
      </w:r>
      <w:r w:rsidRPr="00233F30">
        <w:rPr>
          <w:rFonts w:eastAsia="Times New Roman"/>
          <w:rtl/>
          <w:lang w:eastAsia="de-DE"/>
        </w:rPr>
        <w:t>הלך</w:t>
      </w:r>
      <w:r w:rsidRPr="00233F30">
        <w:rPr>
          <w:rFonts w:eastAsia="Times New Roman"/>
          <w:lang w:eastAsia="de-DE"/>
        </w:rPr>
        <w:t xml:space="preserve"> mit Artikel „der Gehende") und </w:t>
      </w:r>
      <w:r w:rsidRPr="00233F30">
        <w:rPr>
          <w:rFonts w:eastAsia="Times New Roman"/>
          <w:b/>
          <w:bCs/>
          <w:rtl/>
          <w:lang w:eastAsia="de-DE"/>
        </w:rPr>
        <w:t>לִפְנֵיכֶם</w:t>
      </w:r>
      <w:r w:rsidRPr="00233F30">
        <w:rPr>
          <w:rFonts w:eastAsia="Times New Roman"/>
          <w:rtl/>
          <w:lang w:eastAsia="de-DE"/>
        </w:rPr>
        <w:t xml:space="preserve"> </w:t>
      </w:r>
      <w:r w:rsidRPr="00233F30">
        <w:rPr>
          <w:rFonts w:eastAsia="Times New Roman"/>
          <w:lang w:eastAsia="de-DE"/>
        </w:rPr>
        <w:t>(</w:t>
      </w:r>
      <w:r w:rsidRPr="00233F30">
        <w:rPr>
          <w:rFonts w:eastAsia="Times New Roman"/>
          <w:b/>
          <w:bCs/>
          <w:rtl/>
          <w:lang w:eastAsia="de-DE"/>
        </w:rPr>
        <w:t>לְ</w:t>
      </w:r>
      <w:r w:rsidRPr="00233F30">
        <w:rPr>
          <w:rFonts w:eastAsia="Times New Roman"/>
          <w:rtl/>
          <w:lang w:eastAsia="de-DE"/>
        </w:rPr>
        <w:t xml:space="preserve"> </w:t>
      </w:r>
      <w:r w:rsidRPr="00233F30">
        <w:rPr>
          <w:rFonts w:eastAsia="Times New Roman"/>
          <w:lang w:eastAsia="de-DE"/>
        </w:rPr>
        <w:t xml:space="preserve">mit </w:t>
      </w:r>
      <w:r w:rsidRPr="00233F30">
        <w:rPr>
          <w:rFonts w:eastAsia="Times New Roman"/>
          <w:b/>
          <w:bCs/>
          <w:rtl/>
          <w:lang w:eastAsia="de-DE"/>
        </w:rPr>
        <w:t>פָּנִים</w:t>
      </w:r>
      <w:r w:rsidRPr="00233F30">
        <w:rPr>
          <w:rFonts w:eastAsia="Times New Roman"/>
          <w:rtl/>
          <w:lang w:eastAsia="de-DE"/>
        </w:rPr>
        <w:t xml:space="preserve"> </w:t>
      </w:r>
      <w:r w:rsidRPr="00233F30">
        <w:rPr>
          <w:rFonts w:eastAsia="Times New Roman"/>
          <w:lang w:eastAsia="de-DE"/>
        </w:rPr>
        <w:t xml:space="preserve">im Plural </w:t>
      </w:r>
      <w:r w:rsidR="0032647F">
        <w:rPr>
          <w:rFonts w:eastAsia="Times New Roman"/>
          <w:lang w:eastAsia="de-DE"/>
        </w:rPr>
        <w:t>Construct</w:t>
      </w:r>
      <w:r w:rsidRPr="00233F30">
        <w:rPr>
          <w:rFonts w:eastAsia="Times New Roman"/>
          <w:lang w:eastAsia="de-DE"/>
        </w:rPr>
        <w:t xml:space="preserve"> und Suffix 2. Person maskulin Plural). </w:t>
      </w:r>
      <w:r w:rsidRPr="00233F30">
        <w:rPr>
          <w:rFonts w:eastAsia="Times New Roman"/>
          <w:b/>
          <w:bCs/>
          <w:rtl/>
          <w:lang w:eastAsia="de-DE"/>
        </w:rPr>
        <w:t>הוּא</w:t>
      </w:r>
      <w:r w:rsidRPr="00233F30">
        <w:rPr>
          <w:rFonts w:eastAsia="Times New Roman"/>
          <w:rtl/>
          <w:lang w:eastAsia="de-DE"/>
        </w:rPr>
        <w:t xml:space="preserve"> </w:t>
      </w:r>
      <w:r w:rsidRPr="00233F30">
        <w:rPr>
          <w:rFonts w:eastAsia="Times New Roman"/>
          <w:lang w:eastAsia="de-DE"/>
        </w:rPr>
        <w:t xml:space="preserve">ist ein verstärkendes Pronomen. </w:t>
      </w:r>
      <w:r w:rsidRPr="00233F30">
        <w:rPr>
          <w:rFonts w:eastAsia="Times New Roman"/>
          <w:b/>
          <w:bCs/>
          <w:rtl/>
          <w:lang w:eastAsia="de-DE"/>
        </w:rPr>
        <w:t>יִלָּחֵם</w:t>
      </w:r>
      <w:r w:rsidRPr="00233F30">
        <w:rPr>
          <w:rFonts w:eastAsia="Times New Roman"/>
          <w:rtl/>
          <w:lang w:eastAsia="de-DE"/>
        </w:rPr>
        <w:t xml:space="preserve"> </w:t>
      </w:r>
      <w:r w:rsidRPr="00233F30">
        <w:rPr>
          <w:rFonts w:eastAsia="Times New Roman"/>
          <w:lang w:eastAsia="de-DE"/>
        </w:rPr>
        <w:t xml:space="preserve">ist Nif'al Imperfekt, 3. Person maskulin Singular von </w:t>
      </w:r>
      <w:r w:rsidRPr="00233F30">
        <w:rPr>
          <w:rFonts w:eastAsia="Times New Roman"/>
          <w:rtl/>
          <w:lang w:eastAsia="de-DE"/>
        </w:rPr>
        <w:t>לחם</w:t>
      </w:r>
      <w:r w:rsidRPr="00233F30">
        <w:rPr>
          <w:rFonts w:eastAsia="Times New Roman"/>
          <w:lang w:eastAsia="de-DE"/>
        </w:rPr>
        <w:t xml:space="preserve"> („kämpfen"). </w:t>
      </w:r>
      <w:r w:rsidRPr="00233F30">
        <w:rPr>
          <w:rFonts w:eastAsia="Times New Roman"/>
          <w:b/>
          <w:bCs/>
          <w:rtl/>
          <w:lang w:eastAsia="de-DE"/>
        </w:rPr>
        <w:t>לָכֶם</w:t>
      </w:r>
      <w:r w:rsidRPr="00233F30">
        <w:rPr>
          <w:rFonts w:eastAsia="Times New Roman"/>
          <w:rtl/>
          <w:lang w:eastAsia="de-DE"/>
        </w:rPr>
        <w:t xml:space="preserve"> </w:t>
      </w:r>
      <w:r w:rsidRPr="00233F30">
        <w:rPr>
          <w:rFonts w:eastAsia="Times New Roman"/>
          <w:lang w:eastAsia="de-DE"/>
        </w:rPr>
        <w:t xml:space="preserve">ist </w:t>
      </w:r>
      <w:r w:rsidRPr="00233F30">
        <w:rPr>
          <w:rFonts w:eastAsia="Times New Roman"/>
          <w:b/>
          <w:bCs/>
          <w:rtl/>
          <w:lang w:eastAsia="de-DE"/>
        </w:rPr>
        <w:t>לְ</w:t>
      </w:r>
      <w:r w:rsidRPr="00233F30">
        <w:rPr>
          <w:rFonts w:eastAsia="Times New Roman"/>
          <w:rtl/>
          <w:lang w:eastAsia="de-DE"/>
        </w:rPr>
        <w:t xml:space="preserve"> </w:t>
      </w:r>
      <w:r w:rsidRPr="00233F30">
        <w:rPr>
          <w:rFonts w:eastAsia="Times New Roman"/>
          <w:lang w:eastAsia="de-DE"/>
        </w:rPr>
        <w:t>mit Suffix 2. Person maskulin Plural („für euch").</w:t>
      </w:r>
    </w:p>
    <w:p w14:paraId="2BD27F17" w14:textId="7AE7C0D7" w:rsidR="00233F30" w:rsidRDefault="00233F30" w:rsidP="00233F30">
      <w:pPr>
        <w:spacing w:before="100" w:beforeAutospacing="1" w:after="100" w:afterAutospacing="1" w:line="240" w:lineRule="auto"/>
      </w:pPr>
      <w:r w:rsidRPr="00233F30">
        <w:rPr>
          <w:rFonts w:eastAsia="Times New Roman"/>
          <w:b/>
          <w:bCs/>
          <w:rtl/>
          <w:lang w:eastAsia="de-DE"/>
        </w:rPr>
        <w:t>כְּכֹל אֲשֶׁר עָשָׂה אִתְּכֶם בְּמִצְרַיִם לְעֵינֵיכֶם</w:t>
      </w:r>
      <w:r w:rsidRPr="00233F30">
        <w:rPr>
          <w:rFonts w:eastAsia="Times New Roman"/>
          <w:rtl/>
          <w:lang w:eastAsia="de-DE"/>
        </w:rPr>
        <w:t xml:space="preserve"> </w:t>
      </w:r>
      <w:r w:rsidRPr="00233F30">
        <w:rPr>
          <w:rFonts w:eastAsia="Times New Roman"/>
          <w:lang w:eastAsia="de-DE"/>
        </w:rPr>
        <w:t xml:space="preserve">ist ein Vergleichssatz: </w:t>
      </w:r>
      <w:r w:rsidRPr="00233F30">
        <w:rPr>
          <w:rFonts w:eastAsia="Times New Roman"/>
          <w:b/>
          <w:bCs/>
          <w:rtl/>
          <w:lang w:eastAsia="de-DE"/>
        </w:rPr>
        <w:t>כְּכֹל</w:t>
      </w:r>
      <w:r w:rsidRPr="00233F30">
        <w:rPr>
          <w:rFonts w:eastAsia="Times New Roman"/>
          <w:rtl/>
          <w:lang w:eastAsia="de-DE"/>
        </w:rPr>
        <w:t xml:space="preserve"> </w:t>
      </w:r>
      <w:r w:rsidRPr="00233F30">
        <w:rPr>
          <w:rFonts w:eastAsia="Times New Roman"/>
          <w:lang w:eastAsia="de-DE"/>
        </w:rPr>
        <w:t xml:space="preserve">(„ganz so, gemäß allem"), </w:t>
      </w:r>
      <w:r w:rsidRPr="00233F30">
        <w:rPr>
          <w:rFonts w:eastAsia="Times New Roman"/>
          <w:b/>
          <w:bCs/>
          <w:rtl/>
          <w:lang w:eastAsia="de-DE"/>
        </w:rPr>
        <w:t>אֲשֶׁר</w:t>
      </w:r>
      <w:r w:rsidRPr="00233F30">
        <w:rPr>
          <w:rFonts w:eastAsia="Times New Roman"/>
          <w:rtl/>
          <w:lang w:eastAsia="de-DE"/>
        </w:rPr>
        <w:t xml:space="preserve"> </w:t>
      </w:r>
      <w:r w:rsidRPr="00233F30">
        <w:rPr>
          <w:rFonts w:eastAsia="Times New Roman"/>
          <w:lang w:eastAsia="de-DE"/>
        </w:rPr>
        <w:t xml:space="preserve">Relativpronomen, </w:t>
      </w:r>
      <w:r w:rsidRPr="00233F30">
        <w:rPr>
          <w:rFonts w:eastAsia="Times New Roman"/>
          <w:b/>
          <w:bCs/>
          <w:rtl/>
          <w:lang w:eastAsia="de-DE"/>
        </w:rPr>
        <w:t>עָשָׂה</w:t>
      </w:r>
      <w:r w:rsidRPr="00233F30">
        <w:rPr>
          <w:rFonts w:eastAsia="Times New Roman"/>
          <w:rtl/>
          <w:lang w:eastAsia="de-DE"/>
        </w:rPr>
        <w:t xml:space="preserve"> </w:t>
      </w:r>
      <w:r w:rsidRPr="00233F30">
        <w:rPr>
          <w:rFonts w:eastAsia="Times New Roman"/>
          <w:lang w:eastAsia="de-DE"/>
        </w:rPr>
        <w:t xml:space="preserve">(Qal Perfekt, 3. Person maskulin Singular von </w:t>
      </w:r>
      <w:r w:rsidRPr="00233F30">
        <w:rPr>
          <w:rFonts w:eastAsia="Times New Roman"/>
          <w:rtl/>
          <w:lang w:eastAsia="de-DE"/>
        </w:rPr>
        <w:t>עשׂה</w:t>
      </w:r>
      <w:r w:rsidRPr="00233F30">
        <w:rPr>
          <w:rFonts w:eastAsia="Times New Roman"/>
          <w:lang w:eastAsia="de-DE"/>
        </w:rPr>
        <w:t xml:space="preserve">), </w:t>
      </w:r>
      <w:r w:rsidRPr="00233F30">
        <w:rPr>
          <w:rFonts w:eastAsia="Times New Roman"/>
          <w:b/>
          <w:bCs/>
          <w:rtl/>
          <w:lang w:eastAsia="de-DE"/>
        </w:rPr>
        <w:t>אִתְּכֶם</w:t>
      </w:r>
      <w:r w:rsidRPr="00233F30">
        <w:rPr>
          <w:rFonts w:eastAsia="Times New Roman"/>
          <w:rtl/>
          <w:lang w:eastAsia="de-DE"/>
        </w:rPr>
        <w:t xml:space="preserve"> </w:t>
      </w:r>
      <w:r w:rsidRPr="00233F30">
        <w:rPr>
          <w:rFonts w:eastAsia="Times New Roman"/>
          <w:lang w:eastAsia="de-DE"/>
        </w:rPr>
        <w:t>(</w:t>
      </w:r>
      <w:r w:rsidRPr="00233F30">
        <w:rPr>
          <w:rFonts w:eastAsia="Times New Roman"/>
          <w:b/>
          <w:bCs/>
          <w:rtl/>
          <w:lang w:eastAsia="de-DE"/>
        </w:rPr>
        <w:t>אֵת</w:t>
      </w:r>
      <w:r w:rsidRPr="00233F30">
        <w:rPr>
          <w:rFonts w:eastAsia="Times New Roman"/>
          <w:rtl/>
          <w:lang w:eastAsia="de-DE"/>
        </w:rPr>
        <w:t xml:space="preserve"> </w:t>
      </w:r>
      <w:r w:rsidRPr="00233F30">
        <w:rPr>
          <w:rFonts w:eastAsia="Times New Roman"/>
          <w:lang w:eastAsia="de-DE"/>
        </w:rPr>
        <w:t xml:space="preserve">„mit" mit Suffix 2. Person maskulin Plural), </w:t>
      </w:r>
      <w:r w:rsidRPr="00233F30">
        <w:rPr>
          <w:rFonts w:eastAsia="Times New Roman"/>
          <w:b/>
          <w:bCs/>
          <w:rtl/>
          <w:lang w:eastAsia="de-DE"/>
        </w:rPr>
        <w:t>בְּמִצְרַיִם</w:t>
      </w:r>
      <w:r w:rsidRPr="00233F30">
        <w:rPr>
          <w:rFonts w:eastAsia="Times New Roman"/>
          <w:rtl/>
          <w:lang w:eastAsia="de-DE"/>
        </w:rPr>
        <w:t xml:space="preserve"> </w:t>
      </w:r>
      <w:r w:rsidRPr="00233F30">
        <w:rPr>
          <w:rFonts w:eastAsia="Times New Roman"/>
          <w:lang w:eastAsia="de-DE"/>
        </w:rPr>
        <w:t xml:space="preserve">Ortsangabe, </w:t>
      </w:r>
      <w:r w:rsidRPr="00233F30">
        <w:rPr>
          <w:rFonts w:eastAsia="Times New Roman"/>
          <w:b/>
          <w:bCs/>
          <w:rtl/>
          <w:lang w:eastAsia="de-DE"/>
        </w:rPr>
        <w:t>לְעֵינֵיכֶם</w:t>
      </w:r>
      <w:r w:rsidRPr="00233F30">
        <w:rPr>
          <w:rFonts w:eastAsia="Times New Roman"/>
          <w:rtl/>
          <w:lang w:eastAsia="de-DE"/>
        </w:rPr>
        <w:t xml:space="preserve"> </w:t>
      </w:r>
      <w:r w:rsidRPr="00233F30">
        <w:rPr>
          <w:rFonts w:eastAsia="Times New Roman"/>
          <w:lang w:eastAsia="de-DE"/>
        </w:rPr>
        <w:t>(</w:t>
      </w:r>
      <w:r w:rsidRPr="00233F30">
        <w:rPr>
          <w:rFonts w:eastAsia="Times New Roman"/>
          <w:b/>
          <w:bCs/>
          <w:rtl/>
          <w:lang w:eastAsia="de-DE"/>
        </w:rPr>
        <w:t>לְ</w:t>
      </w:r>
      <w:r w:rsidRPr="00233F30">
        <w:rPr>
          <w:rFonts w:eastAsia="Times New Roman"/>
          <w:rtl/>
          <w:lang w:eastAsia="de-DE"/>
        </w:rPr>
        <w:t xml:space="preserve"> </w:t>
      </w:r>
      <w:r w:rsidRPr="00233F30">
        <w:rPr>
          <w:rFonts w:eastAsia="Times New Roman"/>
          <w:lang w:eastAsia="de-DE"/>
        </w:rPr>
        <w:t xml:space="preserve">mit </w:t>
      </w:r>
      <w:r w:rsidRPr="00233F30">
        <w:rPr>
          <w:rFonts w:eastAsia="Times New Roman"/>
          <w:b/>
          <w:bCs/>
          <w:rtl/>
          <w:lang w:eastAsia="de-DE"/>
        </w:rPr>
        <w:t>עַיִן</w:t>
      </w:r>
      <w:r w:rsidRPr="00233F30">
        <w:rPr>
          <w:rFonts w:eastAsia="Times New Roman"/>
          <w:rtl/>
          <w:lang w:eastAsia="de-DE"/>
        </w:rPr>
        <w:t xml:space="preserve"> </w:t>
      </w:r>
      <w:r w:rsidRPr="00233F30">
        <w:rPr>
          <w:rFonts w:eastAsia="Times New Roman"/>
          <w:lang w:eastAsia="de-DE"/>
        </w:rPr>
        <w:t xml:space="preserve">im Dual </w:t>
      </w:r>
      <w:r w:rsidR="0032647F">
        <w:rPr>
          <w:rFonts w:eastAsia="Times New Roman"/>
          <w:lang w:eastAsia="de-DE"/>
        </w:rPr>
        <w:t>Construct</w:t>
      </w:r>
      <w:r w:rsidRPr="00233F30">
        <w:rPr>
          <w:rFonts w:eastAsia="Times New Roman"/>
          <w:lang w:eastAsia="de-DE"/>
        </w:rPr>
        <w:t xml:space="preserve"> un</w:t>
      </w:r>
      <w:r w:rsidR="006538EF">
        <w:t>d Suffix 2. Person maskulin Plural „vor euren Augen").</w:t>
      </w:r>
    </w:p>
    <w:p w14:paraId="009B1B3C" w14:textId="14B11B6B" w:rsidR="00D936E2" w:rsidRPr="00233F30" w:rsidRDefault="00D936E2" w:rsidP="00233F30">
      <w:pPr>
        <w:spacing w:before="100" w:beforeAutospacing="1" w:after="100" w:afterAutospacing="1" w:line="240" w:lineRule="auto"/>
        <w:rPr>
          <w:rFonts w:eastAsia="Times New Roman"/>
          <w:lang w:eastAsia="de-DE"/>
        </w:rPr>
      </w:pPr>
      <w:r>
        <w:rPr>
          <w:rStyle w:val="berschrift3Zchn"/>
        </w:rPr>
        <w:t>Die LXX</w:t>
      </w:r>
      <w:r>
        <w:t xml:space="preserve"> übersetzt „</w:t>
      </w:r>
      <w:r>
        <w:rPr>
          <w:rtl/>
        </w:rPr>
        <w:t>הוּא יִלָּחֵם לָכֶם</w:t>
      </w:r>
      <w:r>
        <w:t>" (er wird für euch kämpfen) mit „α</w:t>
      </w:r>
      <w:proofErr w:type="spellStart"/>
      <w:r>
        <w:t>ὐτὸς</w:t>
      </w:r>
      <w:proofErr w:type="spellEnd"/>
      <w:r>
        <w:t xml:space="preserve"> </w:t>
      </w:r>
      <w:proofErr w:type="spellStart"/>
      <w:r>
        <w:t>συνεκ</w:t>
      </w:r>
      <w:proofErr w:type="spellEnd"/>
      <w:r>
        <w:t>πολεμήσει α</w:t>
      </w:r>
      <w:proofErr w:type="spellStart"/>
      <w:r>
        <w:t>ὐτοὺς</w:t>
      </w:r>
      <w:proofErr w:type="spellEnd"/>
      <w:r>
        <w:t xml:space="preserve"> </w:t>
      </w:r>
      <w:proofErr w:type="spellStart"/>
      <w:r>
        <w:t>μεθʼ</w:t>
      </w:r>
      <w:proofErr w:type="spellEnd"/>
      <w:r>
        <w:t xml:space="preserve"> </w:t>
      </w:r>
      <w:proofErr w:type="spellStart"/>
      <w:r>
        <w:t>ὑμῶν</w:t>
      </w:r>
      <w:proofErr w:type="spellEnd"/>
      <w:r>
        <w:t>" (er wird mit euch zusammen gegen sie kämpfen), was eine andere Nuancierung hat.</w:t>
      </w:r>
    </w:p>
    <w:p w14:paraId="706A0798"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lang w:eastAsia="de-DE"/>
        </w:rPr>
        <w:lastRenderedPageBreak/>
        <w:t xml:space="preserve">Die Satzstruktur besteht aus einem Nominalsatz mit erweiterten Attributen: </w:t>
      </w:r>
      <w:r w:rsidRPr="006538EF">
        <w:rPr>
          <w:rFonts w:eastAsia="Times New Roman"/>
          <w:b/>
          <w:bCs/>
          <w:rtl/>
          <w:lang w:eastAsia="de-DE"/>
        </w:rPr>
        <w:t>יְהוָה אֱלֹהֵיכֶם</w:t>
      </w:r>
      <w:r w:rsidRPr="006538EF">
        <w:rPr>
          <w:rFonts w:eastAsia="Times New Roman"/>
          <w:rtl/>
          <w:lang w:eastAsia="de-DE"/>
        </w:rPr>
        <w:t xml:space="preserve"> </w:t>
      </w:r>
      <w:r w:rsidRPr="006538EF">
        <w:rPr>
          <w:rFonts w:eastAsia="Times New Roman"/>
          <w:lang w:eastAsia="de-DE"/>
        </w:rPr>
        <w:t xml:space="preserve">als Subjekt, </w:t>
      </w:r>
      <w:r w:rsidRPr="006538EF">
        <w:rPr>
          <w:rFonts w:eastAsia="Times New Roman"/>
          <w:b/>
          <w:bCs/>
          <w:rtl/>
          <w:lang w:eastAsia="de-DE"/>
        </w:rPr>
        <w:t>הַהֹלֵךְ לִפְנֵיכֶם</w:t>
      </w:r>
      <w:r w:rsidRPr="006538EF">
        <w:rPr>
          <w:rFonts w:eastAsia="Times New Roman"/>
          <w:rtl/>
          <w:lang w:eastAsia="de-DE"/>
        </w:rPr>
        <w:t xml:space="preserve"> </w:t>
      </w:r>
      <w:r w:rsidRPr="006538EF">
        <w:rPr>
          <w:rFonts w:eastAsia="Times New Roman"/>
          <w:lang w:eastAsia="de-DE"/>
        </w:rPr>
        <w:t xml:space="preserve">als attributives Partizip, </w:t>
      </w:r>
      <w:r w:rsidRPr="006538EF">
        <w:rPr>
          <w:rFonts w:eastAsia="Times New Roman"/>
          <w:b/>
          <w:bCs/>
          <w:rtl/>
          <w:lang w:eastAsia="de-DE"/>
        </w:rPr>
        <w:t>הוּא</w:t>
      </w:r>
      <w:r w:rsidRPr="006538EF">
        <w:rPr>
          <w:rFonts w:eastAsia="Times New Roman"/>
          <w:rtl/>
          <w:lang w:eastAsia="de-DE"/>
        </w:rPr>
        <w:t xml:space="preserve"> </w:t>
      </w:r>
      <w:r w:rsidRPr="006538EF">
        <w:rPr>
          <w:rFonts w:eastAsia="Times New Roman"/>
          <w:lang w:eastAsia="de-DE"/>
        </w:rPr>
        <w:t xml:space="preserve">als verstärkendes Pronomen, </w:t>
      </w:r>
      <w:r w:rsidRPr="006538EF">
        <w:rPr>
          <w:rFonts w:eastAsia="Times New Roman"/>
          <w:b/>
          <w:bCs/>
          <w:rtl/>
          <w:lang w:eastAsia="de-DE"/>
        </w:rPr>
        <w:t>יִלָּחֵם לָכֶם</w:t>
      </w:r>
      <w:r w:rsidRPr="006538EF">
        <w:rPr>
          <w:rFonts w:eastAsia="Times New Roman"/>
          <w:rtl/>
          <w:lang w:eastAsia="de-DE"/>
        </w:rPr>
        <w:t xml:space="preserve"> </w:t>
      </w:r>
      <w:r w:rsidRPr="006538EF">
        <w:rPr>
          <w:rFonts w:eastAsia="Times New Roman"/>
          <w:lang w:eastAsia="de-DE"/>
        </w:rPr>
        <w:t>als Prädikat, und einem abschließenden Vergleichssatz mit Verweis auf die Exoduserfahrung.</w:t>
      </w:r>
    </w:p>
    <w:p w14:paraId="2EB23460"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lang w:eastAsia="de-DE"/>
        </w:rPr>
        <w:t>Der Vers erinnert das Volk an JHWHs bewährte Hilfe beim Exodus und verspricht seinen Beistand im bevorstehenden Kampf – eine klassische Heilskriegsformel, die Vertrauen statt Furcht einfordern soll.</w:t>
      </w:r>
    </w:p>
    <w:p w14:paraId="05901EEB" w14:textId="77777777" w:rsidR="006538EF" w:rsidRPr="006538EF" w:rsidRDefault="006538EF" w:rsidP="006538EF">
      <w:pPr>
        <w:spacing w:before="100" w:beforeAutospacing="1" w:after="100" w:afterAutospacing="1" w:line="240" w:lineRule="auto"/>
        <w:outlineLvl w:val="1"/>
        <w:rPr>
          <w:rFonts w:eastAsia="Times New Roman"/>
          <w:b/>
          <w:bCs/>
          <w:sz w:val="36"/>
          <w:szCs w:val="36"/>
          <w:lang w:eastAsia="de-DE"/>
        </w:rPr>
      </w:pPr>
      <w:r w:rsidRPr="006538EF">
        <w:rPr>
          <w:rFonts w:eastAsia="Times New Roman"/>
          <w:b/>
          <w:bCs/>
          <w:sz w:val="36"/>
          <w:szCs w:val="36"/>
          <w:lang w:eastAsia="de-DE"/>
        </w:rPr>
        <w:t>Deuteronomium 1,31</w:t>
      </w:r>
    </w:p>
    <w:p w14:paraId="04FEE143"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lang w:eastAsia="de-DE"/>
        </w:rPr>
        <w:t>Hebräisch:</w:t>
      </w:r>
      <w:r w:rsidRPr="006538EF">
        <w:rPr>
          <w:rFonts w:eastAsia="Times New Roman"/>
          <w:lang w:eastAsia="de-DE"/>
        </w:rPr>
        <w:t xml:space="preserve"> </w:t>
      </w:r>
      <w:r w:rsidRPr="006538EF">
        <w:rPr>
          <w:rFonts w:eastAsia="Times New Roman"/>
          <w:rtl/>
          <w:lang w:eastAsia="de-DE"/>
        </w:rPr>
        <w:t>וּבַמִּדְבָּר֙ אֲשֶׁ֣ר רָאִ֔יתָ אֲשֶׁ֤ר נְשָׂאֲךָ֙ יְהוָ֣ה אֱלֹהֶ֔יךָ כַּאֲשֶׁ֥ר יִשָּׂא־אִ֖ישׁ אֶת־בְּנ֑וֹ בְּכָל־הַדֶּ֙רֶךְ֙ אֲשֶׁ֣ר הֲלַכְתֶּ֔ם עַד־בֹּאֲכֶ֖ם עַד־הַמָּק֥וֹם הַזֶּֽה׃</w:t>
      </w:r>
    </w:p>
    <w:p w14:paraId="41146A2F"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lang w:eastAsia="de-DE"/>
        </w:rPr>
        <w:t>Deutsch:</w:t>
      </w:r>
      <w:r w:rsidRPr="006538EF">
        <w:rPr>
          <w:rFonts w:eastAsia="Times New Roman"/>
          <w:lang w:eastAsia="de-DE"/>
        </w:rPr>
        <w:t xml:space="preserve"> Und in der Wüste, wo du gesehen hast, dass der Ewige, dein Gott, dich getragen hat, wie ein Mann seinen Sohn trägt, auf dem ganzen Weg, den ihr gegangen seid, bis ihr an diesen Ort kamt.</w:t>
      </w:r>
    </w:p>
    <w:p w14:paraId="473A524F" w14:textId="77777777" w:rsidR="006538EF" w:rsidRPr="006538EF" w:rsidRDefault="004F5CEB" w:rsidP="006538EF">
      <w:pPr>
        <w:spacing w:after="0" w:line="240" w:lineRule="auto"/>
        <w:rPr>
          <w:rFonts w:eastAsia="Times New Roman"/>
          <w:lang w:eastAsia="de-DE"/>
        </w:rPr>
      </w:pPr>
      <w:r>
        <w:rPr>
          <w:rFonts w:eastAsia="Times New Roman"/>
          <w:noProof/>
          <w:lang w:eastAsia="de-DE"/>
        </w:rPr>
        <w:pict w14:anchorId="133B4C54">
          <v:rect id="_x0000_i1055" style="width:0;height:1.5pt" o:hralign="center" o:hrstd="t" o:hr="t" fillcolor="#a0a0a0" stroked="f"/>
        </w:pict>
      </w:r>
    </w:p>
    <w:p w14:paraId="2374743F"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lang w:eastAsia="de-DE"/>
        </w:rPr>
        <w:t>Kommentar:</w:t>
      </w:r>
      <w:r w:rsidRPr="006538EF">
        <w:rPr>
          <w:rFonts w:eastAsia="Times New Roman"/>
          <w:lang w:eastAsia="de-DE"/>
        </w:rPr>
        <w:t xml:space="preserve"> </w:t>
      </w:r>
      <w:r w:rsidRPr="006538EF">
        <w:rPr>
          <w:rFonts w:eastAsia="Times New Roman"/>
          <w:b/>
          <w:bCs/>
          <w:rtl/>
          <w:lang w:eastAsia="de-DE"/>
        </w:rPr>
        <w:t>וּבַמִּדְבָּר</w:t>
      </w:r>
      <w:r w:rsidRPr="006538EF">
        <w:rPr>
          <w:rFonts w:eastAsia="Times New Roman"/>
          <w:rtl/>
          <w:lang w:eastAsia="de-DE"/>
        </w:rPr>
        <w:t xml:space="preserve"> </w:t>
      </w:r>
      <w:r w:rsidRPr="006538EF">
        <w:rPr>
          <w:rFonts w:eastAsia="Times New Roman"/>
          <w:lang w:eastAsia="de-DE"/>
        </w:rPr>
        <w:t xml:space="preserve">ist </w:t>
      </w:r>
      <w:r w:rsidRPr="006538EF">
        <w:rPr>
          <w:rFonts w:eastAsia="Times New Roman"/>
          <w:b/>
          <w:bCs/>
          <w:rtl/>
          <w:lang w:eastAsia="de-DE"/>
        </w:rPr>
        <w:t>וְ</w:t>
      </w:r>
      <w:r w:rsidRPr="006538EF">
        <w:rPr>
          <w:rFonts w:eastAsia="Times New Roman"/>
          <w:rtl/>
          <w:lang w:eastAsia="de-DE"/>
        </w:rPr>
        <w:t xml:space="preserve"> </w:t>
      </w:r>
      <w:r w:rsidRPr="006538EF">
        <w:rPr>
          <w:rFonts w:eastAsia="Times New Roman"/>
          <w:lang w:eastAsia="de-DE"/>
        </w:rPr>
        <w:t xml:space="preserve">mit </w:t>
      </w:r>
      <w:r w:rsidRPr="006538EF">
        <w:rPr>
          <w:rFonts w:eastAsia="Times New Roman"/>
          <w:b/>
          <w:bCs/>
          <w:rtl/>
          <w:lang w:eastAsia="de-DE"/>
        </w:rPr>
        <w:t>בְּ</w:t>
      </w:r>
      <w:r w:rsidRPr="006538EF">
        <w:rPr>
          <w:rFonts w:eastAsia="Times New Roman"/>
          <w:rtl/>
          <w:lang w:eastAsia="de-DE"/>
        </w:rPr>
        <w:t xml:space="preserve"> </w:t>
      </w:r>
      <w:r w:rsidRPr="006538EF">
        <w:rPr>
          <w:rFonts w:eastAsia="Times New Roman"/>
          <w:lang w:eastAsia="de-DE"/>
        </w:rPr>
        <w:t xml:space="preserve">und </w:t>
      </w:r>
      <w:r w:rsidRPr="006538EF">
        <w:rPr>
          <w:rFonts w:eastAsia="Times New Roman"/>
          <w:b/>
          <w:bCs/>
          <w:rtl/>
          <w:lang w:eastAsia="de-DE"/>
        </w:rPr>
        <w:t>מִדְבָּר</w:t>
      </w:r>
      <w:r w:rsidRPr="006538EF">
        <w:rPr>
          <w:rFonts w:eastAsia="Times New Roman"/>
          <w:rtl/>
          <w:lang w:eastAsia="de-DE"/>
        </w:rPr>
        <w:t xml:space="preserve"> </w:t>
      </w:r>
      <w:r w:rsidRPr="006538EF">
        <w:rPr>
          <w:rFonts w:eastAsia="Times New Roman"/>
          <w:lang w:eastAsia="de-DE"/>
        </w:rPr>
        <w:t xml:space="preserve">mit Artikel („und in der Wüste"). </w:t>
      </w:r>
      <w:r w:rsidRPr="006538EF">
        <w:rPr>
          <w:rFonts w:eastAsia="Times New Roman"/>
          <w:b/>
          <w:bCs/>
          <w:rtl/>
          <w:lang w:eastAsia="de-DE"/>
        </w:rPr>
        <w:t>אֲשֶׁר רָאִיתָ</w:t>
      </w:r>
      <w:r w:rsidRPr="006538EF">
        <w:rPr>
          <w:rFonts w:eastAsia="Times New Roman"/>
          <w:rtl/>
          <w:lang w:eastAsia="de-DE"/>
        </w:rPr>
        <w:t xml:space="preserve"> </w:t>
      </w:r>
      <w:r w:rsidRPr="006538EF">
        <w:rPr>
          <w:rFonts w:eastAsia="Times New Roman"/>
          <w:lang w:eastAsia="de-DE"/>
        </w:rPr>
        <w:t xml:space="preserve">ist ein Relativsatz: </w:t>
      </w:r>
      <w:r w:rsidRPr="006538EF">
        <w:rPr>
          <w:rFonts w:eastAsia="Times New Roman"/>
          <w:b/>
          <w:bCs/>
          <w:rtl/>
          <w:lang w:eastAsia="de-DE"/>
        </w:rPr>
        <w:t>אֲשֶׁר</w:t>
      </w:r>
      <w:r w:rsidRPr="006538EF">
        <w:rPr>
          <w:rFonts w:eastAsia="Times New Roman"/>
          <w:rtl/>
          <w:lang w:eastAsia="de-DE"/>
        </w:rPr>
        <w:t xml:space="preserve"> </w:t>
      </w:r>
      <w:r w:rsidRPr="006538EF">
        <w:rPr>
          <w:rFonts w:eastAsia="Times New Roman"/>
          <w:lang w:eastAsia="de-DE"/>
        </w:rPr>
        <w:t xml:space="preserve">mit </w:t>
      </w:r>
      <w:r w:rsidRPr="006538EF">
        <w:rPr>
          <w:rFonts w:eastAsia="Times New Roman"/>
          <w:b/>
          <w:bCs/>
          <w:rtl/>
          <w:lang w:eastAsia="de-DE"/>
        </w:rPr>
        <w:t>רָאִיתָ</w:t>
      </w:r>
      <w:r w:rsidRPr="006538EF">
        <w:rPr>
          <w:rFonts w:eastAsia="Times New Roman"/>
          <w:rtl/>
          <w:lang w:eastAsia="de-DE"/>
        </w:rPr>
        <w:t xml:space="preserve"> </w:t>
      </w:r>
      <w:r w:rsidRPr="006538EF">
        <w:rPr>
          <w:rFonts w:eastAsia="Times New Roman"/>
          <w:lang w:eastAsia="de-DE"/>
        </w:rPr>
        <w:t xml:space="preserve">(Qal Perfekt, 2. Person maskulin Singular von </w:t>
      </w:r>
      <w:r w:rsidRPr="006538EF">
        <w:rPr>
          <w:rFonts w:eastAsia="Times New Roman"/>
          <w:rtl/>
          <w:lang w:eastAsia="de-DE"/>
        </w:rPr>
        <w:t>ראה</w:t>
      </w:r>
      <w:r w:rsidRPr="006538EF">
        <w:rPr>
          <w:rFonts w:eastAsia="Times New Roman"/>
          <w:lang w:eastAsia="de-DE"/>
        </w:rPr>
        <w:t xml:space="preserve">). Ein zweiter Relativsatz folgt: </w:t>
      </w:r>
      <w:r w:rsidRPr="006538EF">
        <w:rPr>
          <w:rFonts w:eastAsia="Times New Roman"/>
          <w:b/>
          <w:bCs/>
          <w:rtl/>
          <w:lang w:eastAsia="de-DE"/>
        </w:rPr>
        <w:t>אֲשֶׁר נְשָׂאֲךָ יְהוָה אֱלֹהֶיךָ</w:t>
      </w:r>
      <w:r w:rsidRPr="006538EF">
        <w:rPr>
          <w:rFonts w:eastAsia="Times New Roman"/>
          <w:lang w:eastAsia="de-DE"/>
        </w:rPr>
        <w:t xml:space="preserve">, wobei </w:t>
      </w:r>
      <w:r w:rsidRPr="006538EF">
        <w:rPr>
          <w:rFonts w:eastAsia="Times New Roman"/>
          <w:b/>
          <w:bCs/>
          <w:rtl/>
          <w:lang w:eastAsia="de-DE"/>
        </w:rPr>
        <w:t>נְשָׂאֲךָ</w:t>
      </w:r>
      <w:r w:rsidRPr="006538EF">
        <w:rPr>
          <w:rFonts w:eastAsia="Times New Roman"/>
          <w:rtl/>
          <w:lang w:eastAsia="de-DE"/>
        </w:rPr>
        <w:t xml:space="preserve"> </w:t>
      </w:r>
      <w:r w:rsidRPr="006538EF">
        <w:rPr>
          <w:rFonts w:eastAsia="Times New Roman"/>
          <w:lang w:eastAsia="de-DE"/>
        </w:rPr>
        <w:t xml:space="preserve">Qal Perfekt, 3. Person maskulin Singular von </w:t>
      </w:r>
      <w:r w:rsidRPr="006538EF">
        <w:rPr>
          <w:rFonts w:eastAsia="Times New Roman"/>
          <w:rtl/>
          <w:lang w:eastAsia="de-DE"/>
        </w:rPr>
        <w:t>נשׂא</w:t>
      </w:r>
      <w:r w:rsidRPr="006538EF">
        <w:rPr>
          <w:rFonts w:eastAsia="Times New Roman"/>
          <w:lang w:eastAsia="de-DE"/>
        </w:rPr>
        <w:t xml:space="preserve"> („tragen") mit Objektsuffix 2. Person maskulin Singular ist.</w:t>
      </w:r>
    </w:p>
    <w:p w14:paraId="459C5CAB" w14:textId="0B158EA8"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rtl/>
          <w:lang w:eastAsia="de-DE"/>
        </w:rPr>
        <w:t>כַּאֲשֶׁר יִשָּׂא־אִישׁ אֶת־בְּנוֹ</w:t>
      </w:r>
      <w:r w:rsidRPr="006538EF">
        <w:rPr>
          <w:rFonts w:eastAsia="Times New Roman"/>
          <w:rtl/>
          <w:lang w:eastAsia="de-DE"/>
        </w:rPr>
        <w:t xml:space="preserve"> </w:t>
      </w:r>
      <w:r w:rsidRPr="006538EF">
        <w:rPr>
          <w:rFonts w:eastAsia="Times New Roman"/>
          <w:lang w:eastAsia="de-DE"/>
        </w:rPr>
        <w:t xml:space="preserve">ist ein Vergleichssatz: </w:t>
      </w:r>
      <w:r w:rsidRPr="006538EF">
        <w:rPr>
          <w:rFonts w:eastAsia="Times New Roman"/>
          <w:b/>
          <w:bCs/>
          <w:rtl/>
          <w:lang w:eastAsia="de-DE"/>
        </w:rPr>
        <w:t>כַּאֲשֶׁר</w:t>
      </w:r>
      <w:r w:rsidRPr="006538EF">
        <w:rPr>
          <w:rFonts w:eastAsia="Times New Roman"/>
          <w:lang w:eastAsia="de-DE"/>
        </w:rPr>
        <w:t xml:space="preserve">, </w:t>
      </w:r>
      <w:r w:rsidRPr="006538EF">
        <w:rPr>
          <w:rFonts w:eastAsia="Times New Roman"/>
          <w:b/>
          <w:bCs/>
          <w:rtl/>
          <w:lang w:eastAsia="de-DE"/>
        </w:rPr>
        <w:t>יִשָּׂא</w:t>
      </w:r>
      <w:r w:rsidRPr="006538EF">
        <w:rPr>
          <w:rFonts w:eastAsia="Times New Roman"/>
          <w:rtl/>
          <w:lang w:eastAsia="de-DE"/>
        </w:rPr>
        <w:t xml:space="preserve"> </w:t>
      </w:r>
      <w:r w:rsidRPr="006538EF">
        <w:rPr>
          <w:rFonts w:eastAsia="Times New Roman"/>
          <w:lang w:eastAsia="de-DE"/>
        </w:rPr>
        <w:t xml:space="preserve">(Qal Imperfekt, 3. Person maskulin Singular von </w:t>
      </w:r>
      <w:r w:rsidRPr="006538EF">
        <w:rPr>
          <w:rFonts w:eastAsia="Times New Roman"/>
          <w:rtl/>
          <w:lang w:eastAsia="de-DE"/>
        </w:rPr>
        <w:t>נשׂא</w:t>
      </w:r>
      <w:r w:rsidRPr="006538EF">
        <w:rPr>
          <w:rFonts w:eastAsia="Times New Roman"/>
          <w:lang w:eastAsia="de-DE"/>
        </w:rPr>
        <w:t xml:space="preserve">), </w:t>
      </w:r>
      <w:r w:rsidRPr="006538EF">
        <w:rPr>
          <w:rFonts w:eastAsia="Times New Roman"/>
          <w:b/>
          <w:bCs/>
          <w:rtl/>
          <w:lang w:eastAsia="de-DE"/>
        </w:rPr>
        <w:t>אִישׁ</w:t>
      </w:r>
      <w:r w:rsidRPr="006538EF">
        <w:rPr>
          <w:rFonts w:eastAsia="Times New Roman"/>
          <w:rtl/>
          <w:lang w:eastAsia="de-DE"/>
        </w:rPr>
        <w:t xml:space="preserve"> </w:t>
      </w:r>
      <w:r w:rsidRPr="006538EF">
        <w:rPr>
          <w:rFonts w:eastAsia="Times New Roman"/>
          <w:lang w:eastAsia="de-DE"/>
        </w:rPr>
        <w:t xml:space="preserve">als Subjekt, </w:t>
      </w:r>
      <w:r w:rsidRPr="006538EF">
        <w:rPr>
          <w:rFonts w:eastAsia="Times New Roman"/>
          <w:b/>
          <w:bCs/>
          <w:rtl/>
          <w:lang w:eastAsia="de-DE"/>
        </w:rPr>
        <w:t>אֶת־בְּנוֹ</w:t>
      </w:r>
      <w:r w:rsidRPr="006538EF">
        <w:rPr>
          <w:rFonts w:eastAsia="Times New Roman"/>
          <w:rtl/>
          <w:lang w:eastAsia="de-DE"/>
        </w:rPr>
        <w:t xml:space="preserve"> </w:t>
      </w:r>
      <w:r w:rsidRPr="006538EF">
        <w:rPr>
          <w:rFonts w:eastAsia="Times New Roman"/>
          <w:lang w:eastAsia="de-DE"/>
        </w:rPr>
        <w:t>(</w:t>
      </w:r>
      <w:r w:rsidRPr="006538EF">
        <w:rPr>
          <w:rFonts w:eastAsia="Times New Roman"/>
          <w:b/>
          <w:bCs/>
          <w:rtl/>
          <w:lang w:eastAsia="de-DE"/>
        </w:rPr>
        <w:t>בֵּן</w:t>
      </w:r>
      <w:r w:rsidRPr="006538EF">
        <w:rPr>
          <w:rFonts w:eastAsia="Times New Roman"/>
          <w:rtl/>
          <w:lang w:eastAsia="de-DE"/>
        </w:rPr>
        <w:t xml:space="preserve"> </w:t>
      </w:r>
      <w:r w:rsidRPr="006538EF">
        <w:rPr>
          <w:rFonts w:eastAsia="Times New Roman"/>
          <w:lang w:eastAsia="de-DE"/>
        </w:rPr>
        <w:t xml:space="preserve">„Sohn" mit Suffix 3. Person maskulin Singular) als Objekt. </w:t>
      </w:r>
      <w:r w:rsidRPr="006538EF">
        <w:rPr>
          <w:rFonts w:eastAsia="Times New Roman"/>
          <w:b/>
          <w:bCs/>
          <w:rtl/>
          <w:lang w:eastAsia="de-DE"/>
        </w:rPr>
        <w:t>בְּכָל־הַדֶּרֶךְ אֲשֶׁר הֲלַכְתֶּם</w:t>
      </w:r>
      <w:r w:rsidRPr="006538EF">
        <w:rPr>
          <w:rFonts w:eastAsia="Times New Roman"/>
          <w:rtl/>
          <w:lang w:eastAsia="de-DE"/>
        </w:rPr>
        <w:t xml:space="preserve"> </w:t>
      </w:r>
      <w:r w:rsidRPr="006538EF">
        <w:rPr>
          <w:rFonts w:eastAsia="Times New Roman"/>
          <w:lang w:eastAsia="de-DE"/>
        </w:rPr>
        <w:t xml:space="preserve">ist </w:t>
      </w:r>
      <w:r w:rsidRPr="006538EF">
        <w:rPr>
          <w:rFonts w:eastAsia="Times New Roman"/>
          <w:b/>
          <w:bCs/>
          <w:rtl/>
          <w:lang w:eastAsia="de-DE"/>
        </w:rPr>
        <w:t>בְּ</w:t>
      </w:r>
      <w:r w:rsidRPr="006538EF">
        <w:rPr>
          <w:rFonts w:eastAsia="Times New Roman"/>
          <w:rtl/>
          <w:lang w:eastAsia="de-DE"/>
        </w:rPr>
        <w:t xml:space="preserve"> </w:t>
      </w:r>
      <w:r w:rsidRPr="006538EF">
        <w:rPr>
          <w:rFonts w:eastAsia="Times New Roman"/>
          <w:lang w:eastAsia="de-DE"/>
        </w:rPr>
        <w:t xml:space="preserve">mit </w:t>
      </w:r>
      <w:r w:rsidRPr="006538EF">
        <w:rPr>
          <w:rFonts w:eastAsia="Times New Roman"/>
          <w:b/>
          <w:bCs/>
          <w:rtl/>
          <w:lang w:eastAsia="de-DE"/>
        </w:rPr>
        <w:t>כָּל־הַדֶּרֶךְ</w:t>
      </w:r>
      <w:r w:rsidRPr="006538EF">
        <w:rPr>
          <w:rFonts w:eastAsia="Times New Roman"/>
          <w:rtl/>
          <w:lang w:eastAsia="de-DE"/>
        </w:rPr>
        <w:t xml:space="preserve"> </w:t>
      </w:r>
      <w:r w:rsidRPr="006538EF">
        <w:rPr>
          <w:rFonts w:eastAsia="Times New Roman"/>
          <w:lang w:eastAsia="de-DE"/>
        </w:rPr>
        <w:t xml:space="preserve">und Relativsatz mit </w:t>
      </w:r>
      <w:r w:rsidRPr="006538EF">
        <w:rPr>
          <w:rFonts w:eastAsia="Times New Roman"/>
          <w:b/>
          <w:bCs/>
          <w:rtl/>
          <w:lang w:eastAsia="de-DE"/>
        </w:rPr>
        <w:t>הֲלַכְתֶּם</w:t>
      </w:r>
      <w:r w:rsidRPr="006538EF">
        <w:rPr>
          <w:rFonts w:eastAsia="Times New Roman"/>
          <w:rtl/>
          <w:lang w:eastAsia="de-DE"/>
        </w:rPr>
        <w:t xml:space="preserve"> </w:t>
      </w:r>
      <w:r w:rsidRPr="006538EF">
        <w:rPr>
          <w:rFonts w:eastAsia="Times New Roman"/>
          <w:lang w:eastAsia="de-DE"/>
        </w:rPr>
        <w:t xml:space="preserve">(Qal Perfekt, 2. Person maskulin Plural von </w:t>
      </w:r>
      <w:r w:rsidRPr="006538EF">
        <w:rPr>
          <w:rFonts w:eastAsia="Times New Roman"/>
          <w:rtl/>
          <w:lang w:eastAsia="de-DE"/>
        </w:rPr>
        <w:t>הלך</w:t>
      </w:r>
      <w:r w:rsidRPr="006538EF">
        <w:rPr>
          <w:rFonts w:eastAsia="Times New Roman"/>
          <w:lang w:eastAsia="de-DE"/>
        </w:rPr>
        <w:t xml:space="preserve">). </w:t>
      </w:r>
      <w:r w:rsidRPr="006538EF">
        <w:rPr>
          <w:rFonts w:eastAsia="Times New Roman"/>
          <w:b/>
          <w:bCs/>
          <w:rtl/>
          <w:lang w:eastAsia="de-DE"/>
        </w:rPr>
        <w:t>עַד־בֹּאֲכֶם עַד־הַמָּקוֹם הַזֶּה</w:t>
      </w:r>
      <w:r w:rsidRPr="006538EF">
        <w:rPr>
          <w:rFonts w:eastAsia="Times New Roman"/>
          <w:rtl/>
          <w:lang w:eastAsia="de-DE"/>
        </w:rPr>
        <w:t xml:space="preserve"> </w:t>
      </w:r>
      <w:r w:rsidRPr="006538EF">
        <w:rPr>
          <w:rFonts w:eastAsia="Times New Roman"/>
          <w:lang w:eastAsia="de-DE"/>
        </w:rPr>
        <w:t xml:space="preserve">enthält zweimal </w:t>
      </w:r>
      <w:r w:rsidRPr="006538EF">
        <w:rPr>
          <w:rFonts w:eastAsia="Times New Roman"/>
          <w:b/>
          <w:bCs/>
          <w:rtl/>
          <w:lang w:eastAsia="de-DE"/>
        </w:rPr>
        <w:t>עַד</w:t>
      </w:r>
      <w:r w:rsidRPr="006538EF">
        <w:rPr>
          <w:rFonts w:eastAsia="Times New Roman"/>
          <w:lang w:eastAsia="de-DE"/>
        </w:rPr>
        <w:t xml:space="preserve">: </w:t>
      </w:r>
      <w:r w:rsidRPr="006538EF">
        <w:rPr>
          <w:rFonts w:eastAsia="Times New Roman"/>
          <w:b/>
          <w:bCs/>
          <w:rtl/>
          <w:lang w:eastAsia="de-DE"/>
        </w:rPr>
        <w:t>בֹּאֲכֶם</w:t>
      </w:r>
      <w:r w:rsidRPr="006538EF">
        <w:rPr>
          <w:rFonts w:eastAsia="Times New Roman"/>
          <w:rtl/>
          <w:lang w:eastAsia="de-DE"/>
        </w:rPr>
        <w:t xml:space="preserve"> </w:t>
      </w:r>
      <w:r w:rsidRPr="006538EF">
        <w:rPr>
          <w:rFonts w:eastAsia="Times New Roman"/>
          <w:lang w:eastAsia="de-DE"/>
        </w:rPr>
        <w:t xml:space="preserve">ist Qal Infinitiv </w:t>
      </w:r>
      <w:r w:rsidR="0032647F">
        <w:rPr>
          <w:rFonts w:eastAsia="Times New Roman"/>
          <w:lang w:eastAsia="de-DE"/>
        </w:rPr>
        <w:t>Construct</w:t>
      </w:r>
      <w:r w:rsidRPr="006538EF">
        <w:rPr>
          <w:rFonts w:eastAsia="Times New Roman"/>
          <w:lang w:eastAsia="de-DE"/>
        </w:rPr>
        <w:t xml:space="preserve"> von </w:t>
      </w:r>
      <w:r w:rsidRPr="006538EF">
        <w:rPr>
          <w:rFonts w:eastAsia="Times New Roman"/>
          <w:rtl/>
          <w:lang w:eastAsia="de-DE"/>
        </w:rPr>
        <w:t>בוא</w:t>
      </w:r>
      <w:r w:rsidRPr="006538EF">
        <w:rPr>
          <w:rFonts w:eastAsia="Times New Roman"/>
          <w:lang w:eastAsia="de-DE"/>
        </w:rPr>
        <w:t xml:space="preserve"> mit Suffix 2. Person maskulin Plural, </w:t>
      </w:r>
      <w:r w:rsidRPr="006538EF">
        <w:rPr>
          <w:rFonts w:eastAsia="Times New Roman"/>
          <w:b/>
          <w:bCs/>
          <w:rtl/>
          <w:lang w:eastAsia="de-DE"/>
        </w:rPr>
        <w:t>הַמָּקוֹם הַזֶּה</w:t>
      </w:r>
      <w:r w:rsidRPr="006538EF">
        <w:rPr>
          <w:rFonts w:eastAsia="Times New Roman"/>
          <w:rtl/>
          <w:lang w:eastAsia="de-DE"/>
        </w:rPr>
        <w:t xml:space="preserve"> </w:t>
      </w:r>
      <w:r w:rsidRPr="006538EF">
        <w:rPr>
          <w:rFonts w:eastAsia="Times New Roman"/>
          <w:lang w:eastAsia="de-DE"/>
        </w:rPr>
        <w:t xml:space="preserve">ist </w:t>
      </w:r>
      <w:r w:rsidRPr="006538EF">
        <w:rPr>
          <w:rFonts w:eastAsia="Times New Roman"/>
          <w:b/>
          <w:bCs/>
          <w:rtl/>
          <w:lang w:eastAsia="de-DE"/>
        </w:rPr>
        <w:t>מָקוֹם</w:t>
      </w:r>
      <w:r w:rsidRPr="006538EF">
        <w:rPr>
          <w:rFonts w:eastAsia="Times New Roman"/>
          <w:rtl/>
          <w:lang w:eastAsia="de-DE"/>
        </w:rPr>
        <w:t xml:space="preserve"> </w:t>
      </w:r>
      <w:r w:rsidRPr="006538EF">
        <w:rPr>
          <w:rFonts w:eastAsia="Times New Roman"/>
          <w:lang w:eastAsia="de-DE"/>
        </w:rPr>
        <w:t>(„Ort") mit Demonstrativpronomen.</w:t>
      </w:r>
    </w:p>
    <w:p w14:paraId="1A9BE66A" w14:textId="5CFBB3F2"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lang w:eastAsia="de-DE"/>
        </w:rPr>
        <w:t>Die LXX</w:t>
      </w:r>
      <w:r w:rsidRPr="006538EF">
        <w:rPr>
          <w:rFonts w:eastAsia="Times New Roman"/>
          <w:lang w:eastAsia="de-DE"/>
        </w:rPr>
        <w:t xml:space="preserve"> </w:t>
      </w:r>
      <w:r w:rsidR="00D936E2">
        <w:t>übersetzt „</w:t>
      </w:r>
      <w:r w:rsidR="00D936E2">
        <w:rPr>
          <w:rtl/>
        </w:rPr>
        <w:t>נְשָׂאֲךָ יְהוָה אֱלֹהֶיךָ כַּאֲשֶׁר יִשָּׂא־אִישׁ אֶת־בְּנוֹ</w:t>
      </w:r>
      <w:r w:rsidR="00D936E2">
        <w:t>" (der HERR, dein Gott, dich getragen hat, wie ein Mann seinen Sohn trägt) mit „</w:t>
      </w:r>
      <w:proofErr w:type="spellStart"/>
      <w:r w:rsidR="00D936E2">
        <w:t>ἐτροφοφόρησέν</w:t>
      </w:r>
      <w:proofErr w:type="spellEnd"/>
      <w:r w:rsidR="00D936E2">
        <w:t xml:space="preserve"> </w:t>
      </w:r>
      <w:proofErr w:type="spellStart"/>
      <w:r w:rsidR="00D936E2">
        <w:t>σε</w:t>
      </w:r>
      <w:proofErr w:type="spellEnd"/>
      <w:r w:rsidR="00D936E2">
        <w:t xml:space="preserve"> </w:t>
      </w:r>
      <w:proofErr w:type="spellStart"/>
      <w:r w:rsidR="00D936E2">
        <w:t>κύριος</w:t>
      </w:r>
      <w:proofErr w:type="spellEnd"/>
      <w:r w:rsidR="00D936E2">
        <w:t xml:space="preserve"> ὁ </w:t>
      </w:r>
      <w:proofErr w:type="spellStart"/>
      <w:r w:rsidR="00D936E2">
        <w:t>θεός</w:t>
      </w:r>
      <w:proofErr w:type="spellEnd"/>
      <w:r w:rsidR="00D936E2">
        <w:t xml:space="preserve"> </w:t>
      </w:r>
      <w:proofErr w:type="spellStart"/>
      <w:r w:rsidR="00D936E2">
        <w:t>σου</w:t>
      </w:r>
      <w:proofErr w:type="spellEnd"/>
      <w:r w:rsidR="00D936E2">
        <w:t xml:space="preserve">, </w:t>
      </w:r>
      <w:proofErr w:type="spellStart"/>
      <w:r w:rsidR="00D936E2">
        <w:t>ὡς</w:t>
      </w:r>
      <w:proofErr w:type="spellEnd"/>
      <w:r w:rsidR="00D936E2">
        <w:t xml:space="preserve"> </w:t>
      </w:r>
      <w:proofErr w:type="spellStart"/>
      <w:r w:rsidR="00D936E2">
        <w:t>εἴ</w:t>
      </w:r>
      <w:proofErr w:type="spellEnd"/>
      <w:r w:rsidR="00D936E2">
        <w:t xml:space="preserve"> </w:t>
      </w:r>
      <w:proofErr w:type="spellStart"/>
      <w:r w:rsidR="00D936E2">
        <w:t>τις</w:t>
      </w:r>
      <w:proofErr w:type="spellEnd"/>
      <w:r w:rsidR="00D936E2">
        <w:t xml:space="preserve"> </w:t>
      </w:r>
      <w:proofErr w:type="spellStart"/>
      <w:r w:rsidR="00D936E2">
        <w:t>τροφοφορήσ</w:t>
      </w:r>
      <w:proofErr w:type="spellEnd"/>
      <w:r w:rsidR="00D936E2">
        <w:t xml:space="preserve">αι </w:t>
      </w:r>
      <w:proofErr w:type="spellStart"/>
      <w:r w:rsidR="00D936E2">
        <w:t>ἄνθρω</w:t>
      </w:r>
      <w:proofErr w:type="spellEnd"/>
      <w:r w:rsidR="00D936E2">
        <w:t xml:space="preserve">πος </w:t>
      </w:r>
      <w:proofErr w:type="spellStart"/>
      <w:r w:rsidR="00D936E2">
        <w:t>τὸν</w:t>
      </w:r>
      <w:proofErr w:type="spellEnd"/>
      <w:r w:rsidR="00D936E2">
        <w:t xml:space="preserve"> </w:t>
      </w:r>
      <w:proofErr w:type="spellStart"/>
      <w:r w:rsidR="00D936E2">
        <w:t>υἱὸν</w:t>
      </w:r>
      <w:proofErr w:type="spellEnd"/>
      <w:r w:rsidR="00D936E2">
        <w:t xml:space="preserve"> α</w:t>
      </w:r>
      <w:proofErr w:type="spellStart"/>
      <w:r w:rsidR="00D936E2">
        <w:t>ὐτοῦ</w:t>
      </w:r>
      <w:proofErr w:type="spellEnd"/>
      <w:r w:rsidR="00D936E2">
        <w:t>" (der HERR, dein Gott, hat dich genährt/großgezogen, wie jemand seinen Sohn nährt/großzieht), wobei „</w:t>
      </w:r>
      <w:proofErr w:type="spellStart"/>
      <w:r w:rsidR="00D936E2">
        <w:t>τροφοφορέω</w:t>
      </w:r>
      <w:proofErr w:type="spellEnd"/>
      <w:r w:rsidR="00D936E2">
        <w:t>" (nähren/großziehen) statt „tragen" verwendet wird.</w:t>
      </w:r>
    </w:p>
    <w:p w14:paraId="69E31F43"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lang w:eastAsia="de-DE"/>
        </w:rPr>
        <w:t>Die Satzstruktur ist komplex mit mehreren eingebetteten Relativsätzen: (1) Lokale Bestimmung (</w:t>
      </w:r>
      <w:r w:rsidRPr="006538EF">
        <w:rPr>
          <w:rFonts w:eastAsia="Times New Roman"/>
          <w:b/>
          <w:bCs/>
          <w:rtl/>
          <w:lang w:eastAsia="de-DE"/>
        </w:rPr>
        <w:t>וּבַמִּדְבָּר</w:t>
      </w:r>
      <w:r w:rsidRPr="006538EF">
        <w:rPr>
          <w:rFonts w:eastAsia="Times New Roman"/>
          <w:lang w:eastAsia="de-DE"/>
        </w:rPr>
        <w:t>), (2) erster Relativsatz (</w:t>
      </w:r>
      <w:r w:rsidRPr="006538EF">
        <w:rPr>
          <w:rFonts w:eastAsia="Times New Roman"/>
          <w:b/>
          <w:bCs/>
          <w:rtl/>
          <w:lang w:eastAsia="de-DE"/>
        </w:rPr>
        <w:t>אֲשֶׁר רָאִיתָ</w:t>
      </w:r>
      <w:r w:rsidRPr="006538EF">
        <w:rPr>
          <w:rFonts w:eastAsia="Times New Roman"/>
          <w:lang w:eastAsia="de-DE"/>
        </w:rPr>
        <w:t>), (3) zweiter Relativsatz (</w:t>
      </w:r>
      <w:r w:rsidRPr="006538EF">
        <w:rPr>
          <w:rFonts w:eastAsia="Times New Roman"/>
          <w:b/>
          <w:bCs/>
          <w:rtl/>
          <w:lang w:eastAsia="de-DE"/>
        </w:rPr>
        <w:t>אֲשֶׁר נְשָׂאֲךָ יְהוָה אֱלֹהֶיךָ</w:t>
      </w:r>
      <w:r w:rsidRPr="006538EF">
        <w:rPr>
          <w:rFonts w:eastAsia="Times New Roman"/>
          <w:lang w:eastAsia="de-DE"/>
        </w:rPr>
        <w:t>), (4) Vergleichssatz (</w:t>
      </w:r>
      <w:r w:rsidRPr="006538EF">
        <w:rPr>
          <w:rFonts w:eastAsia="Times New Roman"/>
          <w:b/>
          <w:bCs/>
          <w:rtl/>
          <w:lang w:eastAsia="de-DE"/>
        </w:rPr>
        <w:t>כַּאֲשֶׁר יִשָּׂא־אִישׁ אֶת־בְּנוֹ</w:t>
      </w:r>
      <w:r w:rsidRPr="006538EF">
        <w:rPr>
          <w:rFonts w:eastAsia="Times New Roman"/>
          <w:lang w:eastAsia="de-DE"/>
        </w:rPr>
        <w:t>), (5) weitere Bestimmungen mit Relativsatz (</w:t>
      </w:r>
      <w:r w:rsidRPr="006538EF">
        <w:rPr>
          <w:rFonts w:eastAsia="Times New Roman"/>
          <w:b/>
          <w:bCs/>
          <w:rtl/>
          <w:lang w:eastAsia="de-DE"/>
        </w:rPr>
        <w:t>בְּכָל־הַדֶּרֶךְ אֲשֶׁר הֲלַכְתֶּם</w:t>
      </w:r>
      <w:r w:rsidRPr="006538EF">
        <w:rPr>
          <w:rFonts w:eastAsia="Times New Roman"/>
          <w:lang w:eastAsia="de-DE"/>
        </w:rPr>
        <w:t>) und temporaler Phrase (</w:t>
      </w:r>
      <w:r w:rsidRPr="006538EF">
        <w:rPr>
          <w:rFonts w:eastAsia="Times New Roman"/>
          <w:b/>
          <w:bCs/>
          <w:rtl/>
          <w:lang w:eastAsia="de-DE"/>
        </w:rPr>
        <w:t>עַד־בֹּאֲכֶם עַד־הַמָּקוֹם הַזֶּה</w:t>
      </w:r>
      <w:r w:rsidRPr="006538EF">
        <w:rPr>
          <w:rFonts w:eastAsia="Times New Roman"/>
          <w:lang w:eastAsia="de-DE"/>
        </w:rPr>
        <w:t>).</w:t>
      </w:r>
    </w:p>
    <w:p w14:paraId="4933345E"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lang w:eastAsia="de-DE"/>
        </w:rPr>
        <w:t>Der Vers verwendet die rührende Metapher des Vaters, der sein Kind trägt, für JHWHs Fürsorge während der Wüstenwanderung. Dies soll das Vertrauen des Volkes stärken: Wer sie bisher getragen hat, wird sie auch weiterhin führen.</w:t>
      </w:r>
    </w:p>
    <w:p w14:paraId="4C6CCA9F" w14:textId="77777777" w:rsidR="006538EF" w:rsidRPr="006538EF" w:rsidRDefault="006538EF" w:rsidP="006538EF">
      <w:pPr>
        <w:spacing w:before="100" w:beforeAutospacing="1" w:after="100" w:afterAutospacing="1" w:line="240" w:lineRule="auto"/>
        <w:outlineLvl w:val="1"/>
        <w:rPr>
          <w:rFonts w:eastAsia="Times New Roman"/>
          <w:b/>
          <w:bCs/>
          <w:sz w:val="36"/>
          <w:szCs w:val="36"/>
          <w:lang w:eastAsia="de-DE"/>
        </w:rPr>
      </w:pPr>
      <w:r w:rsidRPr="006538EF">
        <w:rPr>
          <w:rFonts w:eastAsia="Times New Roman"/>
          <w:b/>
          <w:bCs/>
          <w:sz w:val="36"/>
          <w:szCs w:val="36"/>
          <w:lang w:eastAsia="de-DE"/>
        </w:rPr>
        <w:t>Deuteronomium 1,32</w:t>
      </w:r>
    </w:p>
    <w:p w14:paraId="04A612C0"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lang w:eastAsia="de-DE"/>
        </w:rPr>
        <w:lastRenderedPageBreak/>
        <w:t>Hebräisch:</w:t>
      </w:r>
      <w:r w:rsidRPr="006538EF">
        <w:rPr>
          <w:rFonts w:eastAsia="Times New Roman"/>
          <w:lang w:eastAsia="de-DE"/>
        </w:rPr>
        <w:t xml:space="preserve"> </w:t>
      </w:r>
      <w:r w:rsidRPr="006538EF">
        <w:rPr>
          <w:rFonts w:eastAsia="Times New Roman"/>
          <w:rtl/>
          <w:lang w:eastAsia="de-DE"/>
        </w:rPr>
        <w:t>וּבַדָּבָ֖ר הַזֶּ֑ה אֵֽינְכֶם֙ מַאֲמִינִ֔ם בַּיהוָ֖ה אֱלֹהֵיכֶֽם׃</w:t>
      </w:r>
    </w:p>
    <w:p w14:paraId="722A132F"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lang w:eastAsia="de-DE"/>
        </w:rPr>
        <w:t>Deutsch:</w:t>
      </w:r>
      <w:r w:rsidRPr="006538EF">
        <w:rPr>
          <w:rFonts w:eastAsia="Times New Roman"/>
          <w:lang w:eastAsia="de-DE"/>
        </w:rPr>
        <w:t xml:space="preserve"> Und in dieser Sache vertraut ihr nicht auf den Ewigen, euren Gott.</w:t>
      </w:r>
    </w:p>
    <w:p w14:paraId="532EDE32" w14:textId="77777777" w:rsidR="006538EF" w:rsidRPr="006538EF" w:rsidRDefault="004F5CEB" w:rsidP="006538EF">
      <w:pPr>
        <w:spacing w:after="0" w:line="240" w:lineRule="auto"/>
        <w:rPr>
          <w:rFonts w:eastAsia="Times New Roman"/>
          <w:lang w:eastAsia="de-DE"/>
        </w:rPr>
      </w:pPr>
      <w:r>
        <w:rPr>
          <w:rFonts w:eastAsia="Times New Roman"/>
          <w:noProof/>
          <w:lang w:eastAsia="de-DE"/>
        </w:rPr>
        <w:pict w14:anchorId="64EBFA12">
          <v:rect id="_x0000_i1056" style="width:0;height:1.5pt" o:hralign="center" o:hrstd="t" o:hr="t" fillcolor="#a0a0a0" stroked="f"/>
        </w:pict>
      </w:r>
    </w:p>
    <w:p w14:paraId="480F0233"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lang w:eastAsia="de-DE"/>
        </w:rPr>
        <w:t>Kommentar:</w:t>
      </w:r>
      <w:r w:rsidRPr="006538EF">
        <w:rPr>
          <w:rFonts w:eastAsia="Times New Roman"/>
          <w:lang w:eastAsia="de-DE"/>
        </w:rPr>
        <w:t xml:space="preserve"> </w:t>
      </w:r>
      <w:r w:rsidRPr="006538EF">
        <w:rPr>
          <w:rFonts w:eastAsia="Times New Roman"/>
          <w:b/>
          <w:bCs/>
          <w:rtl/>
          <w:lang w:eastAsia="de-DE"/>
        </w:rPr>
        <w:t>וּבַדָּבָר הַזֶּה</w:t>
      </w:r>
      <w:r w:rsidRPr="006538EF">
        <w:rPr>
          <w:rFonts w:eastAsia="Times New Roman"/>
          <w:rtl/>
          <w:lang w:eastAsia="de-DE"/>
        </w:rPr>
        <w:t xml:space="preserve"> </w:t>
      </w:r>
      <w:r w:rsidRPr="006538EF">
        <w:rPr>
          <w:rFonts w:eastAsia="Times New Roman"/>
          <w:lang w:eastAsia="de-DE"/>
        </w:rPr>
        <w:t xml:space="preserve">ist </w:t>
      </w:r>
      <w:r w:rsidRPr="006538EF">
        <w:rPr>
          <w:rFonts w:eastAsia="Times New Roman"/>
          <w:b/>
          <w:bCs/>
          <w:rtl/>
          <w:lang w:eastAsia="de-DE"/>
        </w:rPr>
        <w:t>וְ</w:t>
      </w:r>
      <w:r w:rsidRPr="006538EF">
        <w:rPr>
          <w:rFonts w:eastAsia="Times New Roman"/>
          <w:rtl/>
          <w:lang w:eastAsia="de-DE"/>
        </w:rPr>
        <w:t xml:space="preserve"> </w:t>
      </w:r>
      <w:r w:rsidRPr="006538EF">
        <w:rPr>
          <w:rFonts w:eastAsia="Times New Roman"/>
          <w:lang w:eastAsia="de-DE"/>
        </w:rPr>
        <w:t xml:space="preserve">mit </w:t>
      </w:r>
      <w:r w:rsidRPr="006538EF">
        <w:rPr>
          <w:rFonts w:eastAsia="Times New Roman"/>
          <w:b/>
          <w:bCs/>
          <w:rtl/>
          <w:lang w:eastAsia="de-DE"/>
        </w:rPr>
        <w:t>בְּ</w:t>
      </w:r>
      <w:r w:rsidRPr="006538EF">
        <w:rPr>
          <w:rFonts w:eastAsia="Times New Roman"/>
          <w:lang w:eastAsia="de-DE"/>
        </w:rPr>
        <w:t xml:space="preserve">, </w:t>
      </w:r>
      <w:r w:rsidRPr="006538EF">
        <w:rPr>
          <w:rFonts w:eastAsia="Times New Roman"/>
          <w:b/>
          <w:bCs/>
          <w:rtl/>
          <w:lang w:eastAsia="de-DE"/>
        </w:rPr>
        <w:t>דָּבָר</w:t>
      </w:r>
      <w:r w:rsidRPr="006538EF">
        <w:rPr>
          <w:rFonts w:eastAsia="Times New Roman"/>
          <w:rtl/>
          <w:lang w:eastAsia="de-DE"/>
        </w:rPr>
        <w:t xml:space="preserve"> </w:t>
      </w:r>
      <w:r w:rsidRPr="006538EF">
        <w:rPr>
          <w:rFonts w:eastAsia="Times New Roman"/>
          <w:lang w:eastAsia="de-DE"/>
        </w:rPr>
        <w:t xml:space="preserve">(„Sache, Wort"), und </w:t>
      </w:r>
      <w:r w:rsidRPr="006538EF">
        <w:rPr>
          <w:rFonts w:eastAsia="Times New Roman"/>
          <w:b/>
          <w:bCs/>
          <w:rtl/>
          <w:lang w:eastAsia="de-DE"/>
        </w:rPr>
        <w:t>הַזֶּה</w:t>
      </w:r>
      <w:r w:rsidRPr="006538EF">
        <w:rPr>
          <w:rFonts w:eastAsia="Times New Roman"/>
          <w:rtl/>
          <w:lang w:eastAsia="de-DE"/>
        </w:rPr>
        <w:t xml:space="preserve"> </w:t>
      </w:r>
      <w:r w:rsidRPr="006538EF">
        <w:rPr>
          <w:rFonts w:eastAsia="Times New Roman"/>
          <w:lang w:eastAsia="de-DE"/>
        </w:rPr>
        <w:t xml:space="preserve">(Demonstrativpronomen maskulin Singular). </w:t>
      </w:r>
      <w:r w:rsidRPr="006538EF">
        <w:rPr>
          <w:rFonts w:eastAsia="Times New Roman"/>
          <w:b/>
          <w:bCs/>
          <w:rtl/>
          <w:lang w:eastAsia="de-DE"/>
        </w:rPr>
        <w:t>אֵינְכֶם</w:t>
      </w:r>
      <w:r w:rsidRPr="006538EF">
        <w:rPr>
          <w:rFonts w:eastAsia="Times New Roman"/>
          <w:rtl/>
          <w:lang w:eastAsia="de-DE"/>
        </w:rPr>
        <w:t xml:space="preserve"> </w:t>
      </w:r>
      <w:r w:rsidRPr="006538EF">
        <w:rPr>
          <w:rFonts w:eastAsia="Times New Roman"/>
          <w:lang w:eastAsia="de-DE"/>
        </w:rPr>
        <w:t xml:space="preserve">ist die Negationspartikel </w:t>
      </w:r>
      <w:r w:rsidRPr="006538EF">
        <w:rPr>
          <w:rFonts w:eastAsia="Times New Roman"/>
          <w:b/>
          <w:bCs/>
          <w:rtl/>
          <w:lang w:eastAsia="de-DE"/>
        </w:rPr>
        <w:t>אַיִן</w:t>
      </w:r>
      <w:r w:rsidRPr="006538EF">
        <w:rPr>
          <w:rFonts w:eastAsia="Times New Roman"/>
          <w:rtl/>
          <w:lang w:eastAsia="de-DE"/>
        </w:rPr>
        <w:t xml:space="preserve"> </w:t>
      </w:r>
      <w:r w:rsidRPr="006538EF">
        <w:rPr>
          <w:rFonts w:eastAsia="Times New Roman"/>
          <w:lang w:eastAsia="de-DE"/>
        </w:rPr>
        <w:t xml:space="preserve">(„nicht sein") mit Suffix 2. Person maskulin Plural („ihr seid nicht"). </w:t>
      </w:r>
      <w:r w:rsidRPr="006538EF">
        <w:rPr>
          <w:rFonts w:eastAsia="Times New Roman"/>
          <w:b/>
          <w:bCs/>
          <w:rtl/>
          <w:lang w:eastAsia="de-DE"/>
        </w:rPr>
        <w:t>מַאֲמִינִים</w:t>
      </w:r>
      <w:r w:rsidRPr="006538EF">
        <w:rPr>
          <w:rFonts w:eastAsia="Times New Roman"/>
          <w:rtl/>
          <w:lang w:eastAsia="de-DE"/>
        </w:rPr>
        <w:t xml:space="preserve"> </w:t>
      </w:r>
      <w:r w:rsidRPr="006538EF">
        <w:rPr>
          <w:rFonts w:eastAsia="Times New Roman"/>
          <w:lang w:eastAsia="de-DE"/>
        </w:rPr>
        <w:t xml:space="preserve">ist Hif'il Partizip aktiv, maskulin Plural von </w:t>
      </w:r>
      <w:r w:rsidRPr="006538EF">
        <w:rPr>
          <w:rFonts w:eastAsia="Times New Roman"/>
          <w:rtl/>
          <w:lang w:eastAsia="de-DE"/>
        </w:rPr>
        <w:t>אמן</w:t>
      </w:r>
      <w:r w:rsidRPr="006538EF">
        <w:rPr>
          <w:rFonts w:eastAsia="Times New Roman"/>
          <w:lang w:eastAsia="de-DE"/>
        </w:rPr>
        <w:t xml:space="preserve"> („glauben, vertrauen, fest sein"). Die Hif'il-Form bedeutet „glauben, Vertrauen haben". </w:t>
      </w:r>
      <w:r w:rsidRPr="006538EF">
        <w:rPr>
          <w:rFonts w:eastAsia="Times New Roman"/>
          <w:b/>
          <w:bCs/>
          <w:rtl/>
          <w:lang w:eastAsia="de-DE"/>
        </w:rPr>
        <w:t>בַּיהוָה אֱלֹהֵיכֶם</w:t>
      </w:r>
      <w:r w:rsidRPr="006538EF">
        <w:rPr>
          <w:rFonts w:eastAsia="Times New Roman"/>
          <w:rtl/>
          <w:lang w:eastAsia="de-DE"/>
        </w:rPr>
        <w:t xml:space="preserve"> </w:t>
      </w:r>
      <w:r w:rsidRPr="006538EF">
        <w:rPr>
          <w:rFonts w:eastAsia="Times New Roman"/>
          <w:lang w:eastAsia="de-DE"/>
        </w:rPr>
        <w:t xml:space="preserve">ist </w:t>
      </w:r>
      <w:r w:rsidRPr="006538EF">
        <w:rPr>
          <w:rFonts w:eastAsia="Times New Roman"/>
          <w:b/>
          <w:bCs/>
          <w:rtl/>
          <w:lang w:eastAsia="de-DE"/>
        </w:rPr>
        <w:t>בְּ</w:t>
      </w:r>
      <w:r w:rsidRPr="006538EF">
        <w:rPr>
          <w:rFonts w:eastAsia="Times New Roman"/>
          <w:rtl/>
          <w:lang w:eastAsia="de-DE"/>
        </w:rPr>
        <w:t xml:space="preserve"> </w:t>
      </w:r>
      <w:r w:rsidRPr="006538EF">
        <w:rPr>
          <w:rFonts w:eastAsia="Times New Roman"/>
          <w:lang w:eastAsia="de-DE"/>
        </w:rPr>
        <w:t xml:space="preserve">(hier „auf, in") mit </w:t>
      </w:r>
      <w:r w:rsidRPr="006538EF">
        <w:rPr>
          <w:rFonts w:eastAsia="Times New Roman"/>
          <w:b/>
          <w:bCs/>
          <w:rtl/>
          <w:lang w:eastAsia="de-DE"/>
        </w:rPr>
        <w:t>יְהוָה אֱלֹהֵיכֶם</w:t>
      </w:r>
      <w:r w:rsidRPr="006538EF">
        <w:rPr>
          <w:rFonts w:eastAsia="Times New Roman"/>
          <w:lang w:eastAsia="de-DE"/>
        </w:rPr>
        <w:t>.</w:t>
      </w:r>
    </w:p>
    <w:p w14:paraId="02D436CC"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lang w:eastAsia="de-DE"/>
        </w:rPr>
        <w:t>Die LXX</w:t>
      </w:r>
      <w:r w:rsidRPr="006538EF">
        <w:rPr>
          <w:rFonts w:eastAsia="Times New Roman"/>
          <w:lang w:eastAsia="de-DE"/>
        </w:rPr>
        <w:t xml:space="preserve"> übersetzt mit „</w:t>
      </w:r>
      <w:proofErr w:type="spellStart"/>
      <w:r w:rsidRPr="006538EF">
        <w:rPr>
          <w:rFonts w:eastAsia="Times New Roman"/>
          <w:lang w:eastAsia="de-DE"/>
        </w:rPr>
        <w:t>οὐκ</w:t>
      </w:r>
      <w:proofErr w:type="spellEnd"/>
      <w:r w:rsidRPr="006538EF">
        <w:rPr>
          <w:rFonts w:eastAsia="Times New Roman"/>
          <w:lang w:eastAsia="de-DE"/>
        </w:rPr>
        <w:t xml:space="preserve"> ἐπ</w:t>
      </w:r>
      <w:proofErr w:type="spellStart"/>
      <w:r w:rsidRPr="006538EF">
        <w:rPr>
          <w:rFonts w:eastAsia="Times New Roman"/>
          <w:lang w:eastAsia="de-DE"/>
        </w:rPr>
        <w:t>ιστεύσ</w:t>
      </w:r>
      <w:proofErr w:type="spellEnd"/>
      <w:r w:rsidRPr="006538EF">
        <w:rPr>
          <w:rFonts w:eastAsia="Times New Roman"/>
          <w:lang w:eastAsia="de-DE"/>
        </w:rPr>
        <w:t xml:space="preserve">ατε </w:t>
      </w:r>
      <w:proofErr w:type="spellStart"/>
      <w:r w:rsidRPr="006538EF">
        <w:rPr>
          <w:rFonts w:eastAsia="Times New Roman"/>
          <w:lang w:eastAsia="de-DE"/>
        </w:rPr>
        <w:t>κυρίῳ</w:t>
      </w:r>
      <w:proofErr w:type="spellEnd"/>
      <w:r w:rsidRPr="006538EF">
        <w:rPr>
          <w:rFonts w:eastAsia="Times New Roman"/>
          <w:lang w:eastAsia="de-DE"/>
        </w:rPr>
        <w:t xml:space="preserve"> </w:t>
      </w:r>
      <w:proofErr w:type="spellStart"/>
      <w:r w:rsidRPr="006538EF">
        <w:rPr>
          <w:rFonts w:eastAsia="Times New Roman"/>
          <w:lang w:eastAsia="de-DE"/>
        </w:rPr>
        <w:t>τῷ</w:t>
      </w:r>
      <w:proofErr w:type="spellEnd"/>
      <w:r w:rsidRPr="006538EF">
        <w:rPr>
          <w:rFonts w:eastAsia="Times New Roman"/>
          <w:lang w:eastAsia="de-DE"/>
        </w:rPr>
        <w:t xml:space="preserve"> </w:t>
      </w:r>
      <w:proofErr w:type="spellStart"/>
      <w:r w:rsidRPr="006538EF">
        <w:rPr>
          <w:rFonts w:eastAsia="Times New Roman"/>
          <w:lang w:eastAsia="de-DE"/>
        </w:rPr>
        <w:t>θεῷ</w:t>
      </w:r>
      <w:proofErr w:type="spellEnd"/>
      <w:r w:rsidRPr="006538EF">
        <w:rPr>
          <w:rFonts w:eastAsia="Times New Roman"/>
          <w:lang w:eastAsia="de-DE"/>
        </w:rPr>
        <w:t xml:space="preserve"> </w:t>
      </w:r>
      <w:proofErr w:type="spellStart"/>
      <w:r w:rsidRPr="006538EF">
        <w:rPr>
          <w:rFonts w:eastAsia="Times New Roman"/>
          <w:lang w:eastAsia="de-DE"/>
        </w:rPr>
        <w:t>ὑμῶν</w:t>
      </w:r>
      <w:proofErr w:type="spellEnd"/>
      <w:r w:rsidRPr="006538EF">
        <w:rPr>
          <w:rFonts w:eastAsia="Times New Roman"/>
          <w:lang w:eastAsia="de-DE"/>
        </w:rPr>
        <w:t>" („ihr habt nicht geglaubt dem Herrn, eurem Gott").</w:t>
      </w:r>
    </w:p>
    <w:p w14:paraId="2246E28A"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lang w:eastAsia="de-DE"/>
        </w:rPr>
        <w:t>Die Satzstruktur ist ein Nominalsatz mit präpositionaler Bestimmung (</w:t>
      </w:r>
      <w:r w:rsidRPr="006538EF">
        <w:rPr>
          <w:rFonts w:eastAsia="Times New Roman"/>
          <w:b/>
          <w:bCs/>
          <w:rtl/>
          <w:lang w:eastAsia="de-DE"/>
        </w:rPr>
        <w:t>וּבַדָּבָר הַזֶּה</w:t>
      </w:r>
      <w:r w:rsidRPr="006538EF">
        <w:rPr>
          <w:rFonts w:eastAsia="Times New Roman"/>
          <w:lang w:eastAsia="de-DE"/>
        </w:rPr>
        <w:t>), Negation (</w:t>
      </w:r>
      <w:r w:rsidRPr="006538EF">
        <w:rPr>
          <w:rFonts w:eastAsia="Times New Roman"/>
          <w:b/>
          <w:bCs/>
          <w:rtl/>
          <w:lang w:eastAsia="de-DE"/>
        </w:rPr>
        <w:t>אֵינְכֶם</w:t>
      </w:r>
      <w:r w:rsidRPr="006538EF">
        <w:rPr>
          <w:rFonts w:eastAsia="Times New Roman"/>
          <w:lang w:eastAsia="de-DE"/>
        </w:rPr>
        <w:t>), Partizip als Prädikat (</w:t>
      </w:r>
      <w:r w:rsidRPr="006538EF">
        <w:rPr>
          <w:rFonts w:eastAsia="Times New Roman"/>
          <w:b/>
          <w:bCs/>
          <w:rtl/>
          <w:lang w:eastAsia="de-DE"/>
        </w:rPr>
        <w:t>מַאֲמִינִם</w:t>
      </w:r>
      <w:r w:rsidRPr="006538EF">
        <w:rPr>
          <w:rFonts w:eastAsia="Times New Roman"/>
          <w:lang w:eastAsia="de-DE"/>
        </w:rPr>
        <w:t>), und präpositionaler Ergänzung (</w:t>
      </w:r>
      <w:r w:rsidRPr="006538EF">
        <w:rPr>
          <w:rFonts w:eastAsia="Times New Roman"/>
          <w:b/>
          <w:bCs/>
          <w:rtl/>
          <w:lang w:eastAsia="de-DE"/>
        </w:rPr>
        <w:t>בַּיהוָה אֱלֹהֵיכֶם</w:t>
      </w:r>
      <w:r w:rsidRPr="006538EF">
        <w:rPr>
          <w:rFonts w:eastAsia="Times New Roman"/>
          <w:lang w:eastAsia="de-DE"/>
        </w:rPr>
        <w:t>).</w:t>
      </w:r>
    </w:p>
    <w:p w14:paraId="146D84FB"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lang w:eastAsia="de-DE"/>
        </w:rPr>
        <w:t>Der Vers formuliert den Kern der Anklage gegen das Volk: Trotz aller Erfahrungen göttlicher Treue und Fürsorge fehlt ihnen der Glaube. Dies ist der theologische Grund für das kommende Gericht.</w:t>
      </w:r>
    </w:p>
    <w:p w14:paraId="4893482E" w14:textId="77777777" w:rsidR="006538EF" w:rsidRPr="006538EF" w:rsidRDefault="006538EF" w:rsidP="006538EF">
      <w:pPr>
        <w:spacing w:before="100" w:beforeAutospacing="1" w:after="100" w:afterAutospacing="1" w:line="240" w:lineRule="auto"/>
        <w:outlineLvl w:val="1"/>
        <w:rPr>
          <w:rFonts w:eastAsia="Times New Roman"/>
          <w:b/>
          <w:bCs/>
          <w:sz w:val="36"/>
          <w:szCs w:val="36"/>
          <w:lang w:eastAsia="de-DE"/>
        </w:rPr>
      </w:pPr>
      <w:r w:rsidRPr="006538EF">
        <w:rPr>
          <w:rFonts w:eastAsia="Times New Roman"/>
          <w:b/>
          <w:bCs/>
          <w:sz w:val="36"/>
          <w:szCs w:val="36"/>
          <w:lang w:eastAsia="de-DE"/>
        </w:rPr>
        <w:t>Deuteronomium 1,33</w:t>
      </w:r>
    </w:p>
    <w:p w14:paraId="5544F2FD"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lang w:eastAsia="de-DE"/>
        </w:rPr>
        <w:t>Hebräisch:</w:t>
      </w:r>
      <w:r w:rsidRPr="006538EF">
        <w:rPr>
          <w:rFonts w:eastAsia="Times New Roman"/>
          <w:lang w:eastAsia="de-DE"/>
        </w:rPr>
        <w:t xml:space="preserve"> </w:t>
      </w:r>
      <w:r w:rsidRPr="006538EF">
        <w:rPr>
          <w:rFonts w:eastAsia="Times New Roman"/>
          <w:rtl/>
          <w:lang w:eastAsia="de-DE"/>
        </w:rPr>
        <w:t>הַהֹלֵ֨ךְ לִפְנֵיכֶ֜ם בַּדֶּ֗רֶךְ לָת֥וּר לָכֶ֛ם מָק֖וֹם לַֽחֲנֹֽתְכֶ֑ם בָּאֵ֣שׁ׀ לַ֗יְלָה לַרְאֹֽתְכֶם֙ בַּדֶּ֙רֶךְ֙ אֲשֶׁ֣ר תֵּֽלְכוּ־בָ֔הּ וּבֶעָנָ֖ן יוֹמָֽם׃</w:t>
      </w:r>
    </w:p>
    <w:p w14:paraId="512AAB6D"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lang w:eastAsia="de-DE"/>
        </w:rPr>
        <w:t>Deutsch:</w:t>
      </w:r>
      <w:r w:rsidRPr="006538EF">
        <w:rPr>
          <w:rFonts w:eastAsia="Times New Roman"/>
          <w:lang w:eastAsia="de-DE"/>
        </w:rPr>
        <w:t xml:space="preserve"> Vor euch auf dem Weg herziehend, um einen Ort für euer Lager auszusuchen: bei Nacht im Feuer, damit ihr auf dem Weg sehen könnt, auf dem ihr geht, und bei Tag in der Wolke.</w:t>
      </w:r>
    </w:p>
    <w:p w14:paraId="6CFF546E" w14:textId="77777777" w:rsidR="006538EF" w:rsidRPr="006538EF" w:rsidRDefault="004F5CEB" w:rsidP="006538EF">
      <w:pPr>
        <w:spacing w:after="0" w:line="240" w:lineRule="auto"/>
        <w:rPr>
          <w:rFonts w:eastAsia="Times New Roman"/>
          <w:lang w:eastAsia="de-DE"/>
        </w:rPr>
      </w:pPr>
      <w:r>
        <w:rPr>
          <w:rFonts w:eastAsia="Times New Roman"/>
          <w:noProof/>
          <w:lang w:eastAsia="de-DE"/>
        </w:rPr>
        <w:pict w14:anchorId="4BE57049">
          <v:rect id="_x0000_i1057" style="width:0;height:1.5pt" o:hralign="center" o:hrstd="t" o:hr="t" fillcolor="#a0a0a0" stroked="f"/>
        </w:pict>
      </w:r>
    </w:p>
    <w:p w14:paraId="1A56E604" w14:textId="5BA0A853"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lang w:eastAsia="de-DE"/>
        </w:rPr>
        <w:t>Kommentar:</w:t>
      </w:r>
      <w:r w:rsidRPr="006538EF">
        <w:rPr>
          <w:rFonts w:eastAsia="Times New Roman"/>
          <w:lang w:eastAsia="de-DE"/>
        </w:rPr>
        <w:t xml:space="preserve"> </w:t>
      </w:r>
      <w:r w:rsidRPr="006538EF">
        <w:rPr>
          <w:rFonts w:eastAsia="Times New Roman"/>
          <w:b/>
          <w:bCs/>
          <w:rtl/>
          <w:lang w:eastAsia="de-DE"/>
        </w:rPr>
        <w:t>הַהֹלֵךְ לִפְנֵיכֶם בַּדֶּרֶךְ</w:t>
      </w:r>
      <w:r w:rsidRPr="006538EF">
        <w:rPr>
          <w:rFonts w:eastAsia="Times New Roman"/>
          <w:rtl/>
          <w:lang w:eastAsia="de-DE"/>
        </w:rPr>
        <w:t xml:space="preserve"> </w:t>
      </w:r>
      <w:r w:rsidRPr="006538EF">
        <w:rPr>
          <w:rFonts w:eastAsia="Times New Roman"/>
          <w:lang w:eastAsia="de-DE"/>
        </w:rPr>
        <w:t>ist ein Partizip mit Artikel (</w:t>
      </w:r>
      <w:r w:rsidRPr="006538EF">
        <w:rPr>
          <w:rFonts w:eastAsia="Times New Roman"/>
          <w:b/>
          <w:bCs/>
          <w:rtl/>
          <w:lang w:eastAsia="de-DE"/>
        </w:rPr>
        <w:t>הַהֹלֵךְ</w:t>
      </w:r>
      <w:r w:rsidRPr="006538EF">
        <w:rPr>
          <w:rFonts w:eastAsia="Times New Roman"/>
          <w:rtl/>
          <w:lang w:eastAsia="de-DE"/>
        </w:rPr>
        <w:t xml:space="preserve"> </w:t>
      </w:r>
      <w:r w:rsidRPr="006538EF">
        <w:rPr>
          <w:rFonts w:eastAsia="Times New Roman"/>
          <w:lang w:eastAsia="de-DE"/>
        </w:rPr>
        <w:t xml:space="preserve">von </w:t>
      </w:r>
      <w:r w:rsidRPr="006538EF">
        <w:rPr>
          <w:rFonts w:eastAsia="Times New Roman"/>
          <w:rtl/>
          <w:lang w:eastAsia="de-DE"/>
        </w:rPr>
        <w:t>הלך</w:t>
      </w:r>
      <w:r w:rsidRPr="006538EF">
        <w:rPr>
          <w:rFonts w:eastAsia="Times New Roman"/>
          <w:lang w:eastAsia="de-DE"/>
        </w:rPr>
        <w:t xml:space="preserve">) mit zwei präpositionalen Ergänzungen: </w:t>
      </w:r>
      <w:r w:rsidRPr="006538EF">
        <w:rPr>
          <w:rFonts w:eastAsia="Times New Roman"/>
          <w:b/>
          <w:bCs/>
          <w:rtl/>
          <w:lang w:eastAsia="de-DE"/>
        </w:rPr>
        <w:t>לִפְנֵיכֶם</w:t>
      </w:r>
      <w:r w:rsidRPr="006538EF">
        <w:rPr>
          <w:rFonts w:eastAsia="Times New Roman"/>
          <w:rtl/>
          <w:lang w:eastAsia="de-DE"/>
        </w:rPr>
        <w:t xml:space="preserve"> </w:t>
      </w:r>
      <w:r w:rsidRPr="006538EF">
        <w:rPr>
          <w:rFonts w:eastAsia="Times New Roman"/>
          <w:lang w:eastAsia="de-DE"/>
        </w:rPr>
        <w:t xml:space="preserve">und </w:t>
      </w:r>
      <w:r w:rsidRPr="006538EF">
        <w:rPr>
          <w:rFonts w:eastAsia="Times New Roman"/>
          <w:b/>
          <w:bCs/>
          <w:rtl/>
          <w:lang w:eastAsia="de-DE"/>
        </w:rPr>
        <w:t>בַּדֶּרֶךְ</w:t>
      </w:r>
      <w:r w:rsidRPr="006538EF">
        <w:rPr>
          <w:rFonts w:eastAsia="Times New Roman"/>
          <w:lang w:eastAsia="de-DE"/>
        </w:rPr>
        <w:t xml:space="preserve">. </w:t>
      </w:r>
      <w:r w:rsidRPr="006538EF">
        <w:rPr>
          <w:rFonts w:eastAsia="Times New Roman"/>
          <w:b/>
          <w:bCs/>
          <w:rtl/>
          <w:lang w:eastAsia="de-DE"/>
        </w:rPr>
        <w:t>לָתוּר לָכֶם מָקוֹם לַחֲנֹתְכֶם</w:t>
      </w:r>
      <w:r w:rsidRPr="006538EF">
        <w:rPr>
          <w:rFonts w:eastAsia="Times New Roman"/>
          <w:rtl/>
          <w:lang w:eastAsia="de-DE"/>
        </w:rPr>
        <w:t xml:space="preserve"> </w:t>
      </w:r>
      <w:r w:rsidRPr="006538EF">
        <w:rPr>
          <w:rFonts w:eastAsia="Times New Roman"/>
          <w:lang w:eastAsia="de-DE"/>
        </w:rPr>
        <w:t xml:space="preserve">besteht aus dem Qal Infinitiv </w:t>
      </w:r>
      <w:r w:rsidR="0032647F">
        <w:rPr>
          <w:rFonts w:eastAsia="Times New Roman"/>
          <w:lang w:eastAsia="de-DE"/>
        </w:rPr>
        <w:t>Construct</w:t>
      </w:r>
      <w:r w:rsidRPr="006538EF">
        <w:rPr>
          <w:rFonts w:eastAsia="Times New Roman"/>
          <w:lang w:eastAsia="de-DE"/>
        </w:rPr>
        <w:t xml:space="preserve"> </w:t>
      </w:r>
      <w:r w:rsidRPr="006538EF">
        <w:rPr>
          <w:rFonts w:eastAsia="Times New Roman"/>
          <w:b/>
          <w:bCs/>
          <w:rtl/>
          <w:lang w:eastAsia="de-DE"/>
        </w:rPr>
        <w:t>לָתוּר</w:t>
      </w:r>
      <w:r w:rsidRPr="006538EF">
        <w:rPr>
          <w:rFonts w:eastAsia="Times New Roman"/>
          <w:rtl/>
          <w:lang w:eastAsia="de-DE"/>
        </w:rPr>
        <w:t xml:space="preserve"> </w:t>
      </w:r>
      <w:r w:rsidRPr="006538EF">
        <w:rPr>
          <w:rFonts w:eastAsia="Times New Roman"/>
          <w:lang w:eastAsia="de-DE"/>
        </w:rPr>
        <w:t xml:space="preserve">von </w:t>
      </w:r>
      <w:r w:rsidRPr="006538EF">
        <w:rPr>
          <w:rFonts w:eastAsia="Times New Roman"/>
          <w:rtl/>
          <w:lang w:eastAsia="de-DE"/>
        </w:rPr>
        <w:t>תור</w:t>
      </w:r>
      <w:r w:rsidRPr="006538EF">
        <w:rPr>
          <w:rFonts w:eastAsia="Times New Roman"/>
          <w:lang w:eastAsia="de-DE"/>
        </w:rPr>
        <w:t xml:space="preserve"> („auskundschaften, auswählen") mit </w:t>
      </w:r>
      <w:r w:rsidRPr="006538EF">
        <w:rPr>
          <w:rFonts w:eastAsia="Times New Roman"/>
          <w:b/>
          <w:bCs/>
          <w:rtl/>
          <w:lang w:eastAsia="de-DE"/>
        </w:rPr>
        <w:t>לְ</w:t>
      </w:r>
      <w:r w:rsidRPr="006538EF">
        <w:rPr>
          <w:rFonts w:eastAsia="Times New Roman"/>
          <w:lang w:eastAsia="de-DE"/>
        </w:rPr>
        <w:t xml:space="preserve">, dann </w:t>
      </w:r>
      <w:r w:rsidRPr="006538EF">
        <w:rPr>
          <w:rFonts w:eastAsia="Times New Roman"/>
          <w:b/>
          <w:bCs/>
          <w:rtl/>
          <w:lang w:eastAsia="de-DE"/>
        </w:rPr>
        <w:t>לָכֶם</w:t>
      </w:r>
      <w:r w:rsidRPr="006538EF">
        <w:rPr>
          <w:rFonts w:eastAsia="Times New Roman"/>
          <w:rtl/>
          <w:lang w:eastAsia="de-DE"/>
        </w:rPr>
        <w:t xml:space="preserve"> </w:t>
      </w:r>
      <w:r w:rsidRPr="006538EF">
        <w:rPr>
          <w:rFonts w:eastAsia="Times New Roman"/>
          <w:lang w:eastAsia="de-DE"/>
        </w:rPr>
        <w:t xml:space="preserve">als Dativ, </w:t>
      </w:r>
      <w:r w:rsidRPr="006538EF">
        <w:rPr>
          <w:rFonts w:eastAsia="Times New Roman"/>
          <w:b/>
          <w:bCs/>
          <w:rtl/>
          <w:lang w:eastAsia="de-DE"/>
        </w:rPr>
        <w:t>מָקוֹם</w:t>
      </w:r>
      <w:r w:rsidRPr="006538EF">
        <w:rPr>
          <w:rFonts w:eastAsia="Times New Roman"/>
          <w:rtl/>
          <w:lang w:eastAsia="de-DE"/>
        </w:rPr>
        <w:t xml:space="preserve"> </w:t>
      </w:r>
      <w:r w:rsidRPr="006538EF">
        <w:rPr>
          <w:rFonts w:eastAsia="Times New Roman"/>
          <w:lang w:eastAsia="de-DE"/>
        </w:rPr>
        <w:t xml:space="preserve">als Objekt, und </w:t>
      </w:r>
      <w:r w:rsidRPr="006538EF">
        <w:rPr>
          <w:rFonts w:eastAsia="Times New Roman"/>
          <w:b/>
          <w:bCs/>
          <w:rtl/>
          <w:lang w:eastAsia="de-DE"/>
        </w:rPr>
        <w:t>לַחֲנֹתְכֶם</w:t>
      </w:r>
      <w:r w:rsidRPr="006538EF">
        <w:rPr>
          <w:rFonts w:eastAsia="Times New Roman"/>
          <w:rtl/>
          <w:lang w:eastAsia="de-DE"/>
        </w:rPr>
        <w:t xml:space="preserve"> </w:t>
      </w:r>
      <w:r w:rsidRPr="006538EF">
        <w:rPr>
          <w:rFonts w:eastAsia="Times New Roman"/>
          <w:lang w:eastAsia="de-DE"/>
        </w:rPr>
        <w:t>(</w:t>
      </w:r>
      <w:r w:rsidRPr="006538EF">
        <w:rPr>
          <w:rFonts w:eastAsia="Times New Roman"/>
          <w:b/>
          <w:bCs/>
          <w:rtl/>
          <w:lang w:eastAsia="de-DE"/>
        </w:rPr>
        <w:t>לְ</w:t>
      </w:r>
      <w:r w:rsidRPr="006538EF">
        <w:rPr>
          <w:rFonts w:eastAsia="Times New Roman"/>
          <w:rtl/>
          <w:lang w:eastAsia="de-DE"/>
        </w:rPr>
        <w:t xml:space="preserve"> </w:t>
      </w:r>
      <w:r w:rsidRPr="006538EF">
        <w:rPr>
          <w:rFonts w:eastAsia="Times New Roman"/>
          <w:lang w:eastAsia="de-DE"/>
        </w:rPr>
        <w:t xml:space="preserve">mit Qal Infinitiv </w:t>
      </w:r>
      <w:r w:rsidR="0032647F">
        <w:rPr>
          <w:rFonts w:eastAsia="Times New Roman"/>
          <w:lang w:eastAsia="de-DE"/>
        </w:rPr>
        <w:t>Construct</w:t>
      </w:r>
      <w:r w:rsidRPr="006538EF">
        <w:rPr>
          <w:rFonts w:eastAsia="Times New Roman"/>
          <w:lang w:eastAsia="de-DE"/>
        </w:rPr>
        <w:t xml:space="preserve"> von </w:t>
      </w:r>
      <w:r w:rsidRPr="006538EF">
        <w:rPr>
          <w:rFonts w:eastAsia="Times New Roman"/>
          <w:rtl/>
          <w:lang w:eastAsia="de-DE"/>
        </w:rPr>
        <w:t>חנה</w:t>
      </w:r>
      <w:r w:rsidRPr="006538EF">
        <w:rPr>
          <w:rFonts w:eastAsia="Times New Roman"/>
          <w:lang w:eastAsia="de-DE"/>
        </w:rPr>
        <w:t xml:space="preserve"> „lagern" und Suffix 2. Person maskulin Plural „für euer Lagern").</w:t>
      </w:r>
    </w:p>
    <w:p w14:paraId="12C2EA38" w14:textId="18A9775B"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rtl/>
          <w:lang w:eastAsia="de-DE"/>
        </w:rPr>
        <w:t>בָּאֵשׁ לַיְלָה</w:t>
      </w:r>
      <w:r w:rsidRPr="006538EF">
        <w:rPr>
          <w:rFonts w:eastAsia="Times New Roman"/>
          <w:rtl/>
          <w:lang w:eastAsia="de-DE"/>
        </w:rPr>
        <w:t xml:space="preserve"> </w:t>
      </w:r>
      <w:r w:rsidRPr="006538EF">
        <w:rPr>
          <w:rFonts w:eastAsia="Times New Roman"/>
          <w:lang w:eastAsia="de-DE"/>
        </w:rPr>
        <w:t xml:space="preserve">ist </w:t>
      </w:r>
      <w:r w:rsidRPr="006538EF">
        <w:rPr>
          <w:rFonts w:eastAsia="Times New Roman"/>
          <w:b/>
          <w:bCs/>
          <w:rtl/>
          <w:lang w:eastAsia="de-DE"/>
        </w:rPr>
        <w:t>בְּ</w:t>
      </w:r>
      <w:r w:rsidRPr="006538EF">
        <w:rPr>
          <w:rFonts w:eastAsia="Times New Roman"/>
          <w:rtl/>
          <w:lang w:eastAsia="de-DE"/>
        </w:rPr>
        <w:t xml:space="preserve"> </w:t>
      </w:r>
      <w:r w:rsidRPr="006538EF">
        <w:rPr>
          <w:rFonts w:eastAsia="Times New Roman"/>
          <w:lang w:eastAsia="de-DE"/>
        </w:rPr>
        <w:t xml:space="preserve">mit </w:t>
      </w:r>
      <w:r w:rsidRPr="006538EF">
        <w:rPr>
          <w:rFonts w:eastAsia="Times New Roman"/>
          <w:b/>
          <w:bCs/>
          <w:rtl/>
          <w:lang w:eastAsia="de-DE"/>
        </w:rPr>
        <w:t>אֵשׁ</w:t>
      </w:r>
      <w:r w:rsidRPr="006538EF">
        <w:rPr>
          <w:rFonts w:eastAsia="Times New Roman"/>
          <w:rtl/>
          <w:lang w:eastAsia="de-DE"/>
        </w:rPr>
        <w:t xml:space="preserve"> </w:t>
      </w:r>
      <w:r w:rsidRPr="006538EF">
        <w:rPr>
          <w:rFonts w:eastAsia="Times New Roman"/>
          <w:lang w:eastAsia="de-DE"/>
        </w:rPr>
        <w:t xml:space="preserve">(„Feuer") und </w:t>
      </w:r>
      <w:r w:rsidRPr="006538EF">
        <w:rPr>
          <w:rFonts w:eastAsia="Times New Roman"/>
          <w:b/>
          <w:bCs/>
          <w:rtl/>
          <w:lang w:eastAsia="de-DE"/>
        </w:rPr>
        <w:t>לַיְלָה</w:t>
      </w:r>
      <w:r w:rsidRPr="006538EF">
        <w:rPr>
          <w:rFonts w:eastAsia="Times New Roman"/>
          <w:rtl/>
          <w:lang w:eastAsia="de-DE"/>
        </w:rPr>
        <w:t xml:space="preserve"> </w:t>
      </w:r>
      <w:r w:rsidRPr="006538EF">
        <w:rPr>
          <w:rFonts w:eastAsia="Times New Roman"/>
          <w:lang w:eastAsia="de-DE"/>
        </w:rPr>
        <w:t xml:space="preserve">(„Nacht") als temporale Bestimmung. </w:t>
      </w:r>
      <w:r w:rsidRPr="006538EF">
        <w:rPr>
          <w:rFonts w:eastAsia="Times New Roman"/>
          <w:b/>
          <w:bCs/>
          <w:rtl/>
          <w:lang w:eastAsia="de-DE"/>
        </w:rPr>
        <w:t>לַרְאֹתְכֶם בַּדֶּרֶךְ אֲשֶׁר תֵּלְכוּ־בָהּ</w:t>
      </w:r>
      <w:r w:rsidRPr="006538EF">
        <w:rPr>
          <w:rFonts w:eastAsia="Times New Roman"/>
          <w:rtl/>
          <w:lang w:eastAsia="de-DE"/>
        </w:rPr>
        <w:t xml:space="preserve"> </w:t>
      </w:r>
      <w:r w:rsidRPr="006538EF">
        <w:rPr>
          <w:rFonts w:eastAsia="Times New Roman"/>
          <w:lang w:eastAsia="de-DE"/>
        </w:rPr>
        <w:t xml:space="preserve">ist ein finaler Infinitiv: </w:t>
      </w:r>
      <w:r w:rsidRPr="006538EF">
        <w:rPr>
          <w:rFonts w:eastAsia="Times New Roman"/>
          <w:b/>
          <w:bCs/>
          <w:rtl/>
          <w:lang w:eastAsia="de-DE"/>
        </w:rPr>
        <w:t>לְ</w:t>
      </w:r>
      <w:r w:rsidRPr="006538EF">
        <w:rPr>
          <w:rFonts w:eastAsia="Times New Roman"/>
          <w:rtl/>
          <w:lang w:eastAsia="de-DE"/>
        </w:rPr>
        <w:t xml:space="preserve"> </w:t>
      </w:r>
      <w:r w:rsidRPr="006538EF">
        <w:rPr>
          <w:rFonts w:eastAsia="Times New Roman"/>
          <w:lang w:eastAsia="de-DE"/>
        </w:rPr>
        <w:t xml:space="preserve">mit Qal Infinitiv </w:t>
      </w:r>
      <w:r w:rsidR="0032647F">
        <w:rPr>
          <w:rFonts w:eastAsia="Times New Roman"/>
          <w:lang w:eastAsia="de-DE"/>
        </w:rPr>
        <w:t>Construct</w:t>
      </w:r>
      <w:r w:rsidRPr="006538EF">
        <w:rPr>
          <w:rFonts w:eastAsia="Times New Roman"/>
          <w:lang w:eastAsia="de-DE"/>
        </w:rPr>
        <w:t xml:space="preserve"> von </w:t>
      </w:r>
      <w:r w:rsidRPr="006538EF">
        <w:rPr>
          <w:rFonts w:eastAsia="Times New Roman"/>
          <w:rtl/>
          <w:lang w:eastAsia="de-DE"/>
        </w:rPr>
        <w:t>ראה</w:t>
      </w:r>
      <w:r w:rsidRPr="006538EF">
        <w:rPr>
          <w:rFonts w:eastAsia="Times New Roman"/>
          <w:lang w:eastAsia="de-DE"/>
        </w:rPr>
        <w:t xml:space="preserve"> und Suffix 2. Person maskulin Plural, </w:t>
      </w:r>
      <w:r w:rsidRPr="006538EF">
        <w:rPr>
          <w:rFonts w:eastAsia="Times New Roman"/>
          <w:b/>
          <w:bCs/>
          <w:rtl/>
          <w:lang w:eastAsia="de-DE"/>
        </w:rPr>
        <w:t>בַּדֶּרֶךְ</w:t>
      </w:r>
      <w:r w:rsidRPr="006538EF">
        <w:rPr>
          <w:rFonts w:eastAsia="Times New Roman"/>
          <w:rtl/>
          <w:lang w:eastAsia="de-DE"/>
        </w:rPr>
        <w:t xml:space="preserve"> </w:t>
      </w:r>
      <w:r w:rsidRPr="006538EF">
        <w:rPr>
          <w:rFonts w:eastAsia="Times New Roman"/>
          <w:lang w:eastAsia="de-DE"/>
        </w:rPr>
        <w:t xml:space="preserve">als Lokalbestimmung, Relativsatz mit </w:t>
      </w:r>
      <w:r w:rsidRPr="006538EF">
        <w:rPr>
          <w:rFonts w:eastAsia="Times New Roman"/>
          <w:b/>
          <w:bCs/>
          <w:rtl/>
          <w:lang w:eastAsia="de-DE"/>
        </w:rPr>
        <w:t>תֵּלְכוּ</w:t>
      </w:r>
      <w:r w:rsidRPr="006538EF">
        <w:rPr>
          <w:rFonts w:eastAsia="Times New Roman"/>
          <w:rtl/>
          <w:lang w:eastAsia="de-DE"/>
        </w:rPr>
        <w:t xml:space="preserve"> </w:t>
      </w:r>
      <w:r w:rsidRPr="006538EF">
        <w:rPr>
          <w:rFonts w:eastAsia="Times New Roman"/>
          <w:lang w:eastAsia="de-DE"/>
        </w:rPr>
        <w:t xml:space="preserve">(Qal Imperfekt, 2. Person maskulin Plural von </w:t>
      </w:r>
      <w:r w:rsidRPr="006538EF">
        <w:rPr>
          <w:rFonts w:eastAsia="Times New Roman"/>
          <w:rtl/>
          <w:lang w:eastAsia="de-DE"/>
        </w:rPr>
        <w:t>הלך</w:t>
      </w:r>
      <w:r w:rsidRPr="006538EF">
        <w:rPr>
          <w:rFonts w:eastAsia="Times New Roman"/>
          <w:lang w:eastAsia="de-DE"/>
        </w:rPr>
        <w:t xml:space="preserve">) und </w:t>
      </w:r>
      <w:r w:rsidRPr="006538EF">
        <w:rPr>
          <w:rFonts w:eastAsia="Times New Roman"/>
          <w:b/>
          <w:bCs/>
          <w:rtl/>
          <w:lang w:eastAsia="de-DE"/>
        </w:rPr>
        <w:t>בָהּ</w:t>
      </w:r>
      <w:r w:rsidRPr="006538EF">
        <w:rPr>
          <w:rFonts w:eastAsia="Times New Roman"/>
          <w:rtl/>
          <w:lang w:eastAsia="de-DE"/>
        </w:rPr>
        <w:t xml:space="preserve"> </w:t>
      </w:r>
      <w:r w:rsidRPr="006538EF">
        <w:rPr>
          <w:rFonts w:eastAsia="Times New Roman"/>
          <w:lang w:eastAsia="de-DE"/>
        </w:rPr>
        <w:t>(</w:t>
      </w:r>
      <w:r w:rsidRPr="006538EF">
        <w:rPr>
          <w:rFonts w:eastAsia="Times New Roman"/>
          <w:b/>
          <w:bCs/>
          <w:rtl/>
          <w:lang w:eastAsia="de-DE"/>
        </w:rPr>
        <w:t>בְּ</w:t>
      </w:r>
      <w:r w:rsidRPr="006538EF">
        <w:rPr>
          <w:rFonts w:eastAsia="Times New Roman"/>
          <w:rtl/>
          <w:lang w:eastAsia="de-DE"/>
        </w:rPr>
        <w:t xml:space="preserve"> </w:t>
      </w:r>
      <w:r w:rsidRPr="006538EF">
        <w:rPr>
          <w:rFonts w:eastAsia="Times New Roman"/>
          <w:lang w:eastAsia="de-DE"/>
        </w:rPr>
        <w:t xml:space="preserve">mit femininem Suffix bezogen auf </w:t>
      </w:r>
      <w:r w:rsidRPr="006538EF">
        <w:rPr>
          <w:rFonts w:eastAsia="Times New Roman"/>
          <w:b/>
          <w:bCs/>
          <w:rtl/>
          <w:lang w:eastAsia="de-DE"/>
        </w:rPr>
        <w:t>דֶּרֶךְ</w:t>
      </w:r>
      <w:r w:rsidRPr="006538EF">
        <w:rPr>
          <w:rFonts w:eastAsia="Times New Roman"/>
          <w:lang w:eastAsia="de-DE"/>
        </w:rPr>
        <w:t xml:space="preserve">). </w:t>
      </w:r>
      <w:r w:rsidRPr="006538EF">
        <w:rPr>
          <w:rFonts w:eastAsia="Times New Roman"/>
          <w:b/>
          <w:bCs/>
          <w:rtl/>
          <w:lang w:eastAsia="de-DE"/>
        </w:rPr>
        <w:t>וּבֶעָנָן יוֹמָם</w:t>
      </w:r>
      <w:r w:rsidRPr="006538EF">
        <w:rPr>
          <w:rFonts w:eastAsia="Times New Roman"/>
          <w:rtl/>
          <w:lang w:eastAsia="de-DE"/>
        </w:rPr>
        <w:t xml:space="preserve"> </w:t>
      </w:r>
      <w:r w:rsidRPr="006538EF">
        <w:rPr>
          <w:rFonts w:eastAsia="Times New Roman"/>
          <w:lang w:eastAsia="de-DE"/>
        </w:rPr>
        <w:t xml:space="preserve">ist parallel zu </w:t>
      </w:r>
      <w:r w:rsidRPr="006538EF">
        <w:rPr>
          <w:rFonts w:eastAsia="Times New Roman"/>
          <w:b/>
          <w:bCs/>
          <w:rtl/>
          <w:lang w:eastAsia="de-DE"/>
        </w:rPr>
        <w:t>בָּאֵשׁ לַיְלָה</w:t>
      </w:r>
      <w:r w:rsidRPr="006538EF">
        <w:rPr>
          <w:rFonts w:eastAsia="Times New Roman"/>
          <w:lang w:eastAsia="de-DE"/>
        </w:rPr>
        <w:t xml:space="preserve">: </w:t>
      </w:r>
      <w:r w:rsidRPr="006538EF">
        <w:rPr>
          <w:rFonts w:eastAsia="Times New Roman"/>
          <w:b/>
          <w:bCs/>
          <w:rtl/>
          <w:lang w:eastAsia="de-DE"/>
        </w:rPr>
        <w:t>וְ</w:t>
      </w:r>
      <w:r w:rsidRPr="006538EF">
        <w:rPr>
          <w:rFonts w:eastAsia="Times New Roman"/>
          <w:rtl/>
          <w:lang w:eastAsia="de-DE"/>
        </w:rPr>
        <w:t xml:space="preserve"> </w:t>
      </w:r>
      <w:r w:rsidRPr="006538EF">
        <w:rPr>
          <w:rFonts w:eastAsia="Times New Roman"/>
          <w:lang w:eastAsia="de-DE"/>
        </w:rPr>
        <w:t xml:space="preserve">mit </w:t>
      </w:r>
      <w:r w:rsidRPr="006538EF">
        <w:rPr>
          <w:rFonts w:eastAsia="Times New Roman"/>
          <w:b/>
          <w:bCs/>
          <w:rtl/>
          <w:lang w:eastAsia="de-DE"/>
        </w:rPr>
        <w:t>בְּ</w:t>
      </w:r>
      <w:r w:rsidRPr="006538EF">
        <w:rPr>
          <w:rFonts w:eastAsia="Times New Roman"/>
          <w:lang w:eastAsia="de-DE"/>
        </w:rPr>
        <w:t xml:space="preserve">, </w:t>
      </w:r>
      <w:r w:rsidRPr="006538EF">
        <w:rPr>
          <w:rFonts w:eastAsia="Times New Roman"/>
          <w:b/>
          <w:bCs/>
          <w:rtl/>
          <w:lang w:eastAsia="de-DE"/>
        </w:rPr>
        <w:t>עָנָן</w:t>
      </w:r>
      <w:r w:rsidRPr="006538EF">
        <w:rPr>
          <w:rFonts w:eastAsia="Times New Roman"/>
          <w:rtl/>
          <w:lang w:eastAsia="de-DE"/>
        </w:rPr>
        <w:t xml:space="preserve"> </w:t>
      </w:r>
      <w:r w:rsidRPr="006538EF">
        <w:rPr>
          <w:rFonts w:eastAsia="Times New Roman"/>
          <w:lang w:eastAsia="de-DE"/>
        </w:rPr>
        <w:t xml:space="preserve">(„Wolke"), und </w:t>
      </w:r>
      <w:r w:rsidRPr="006538EF">
        <w:rPr>
          <w:rFonts w:eastAsia="Times New Roman"/>
          <w:b/>
          <w:bCs/>
          <w:rtl/>
          <w:lang w:eastAsia="de-DE"/>
        </w:rPr>
        <w:t>יוֹמָם</w:t>
      </w:r>
      <w:r w:rsidRPr="006538EF">
        <w:rPr>
          <w:rFonts w:eastAsia="Times New Roman"/>
          <w:rtl/>
          <w:lang w:eastAsia="de-DE"/>
        </w:rPr>
        <w:t xml:space="preserve"> </w:t>
      </w:r>
      <w:r w:rsidRPr="006538EF">
        <w:rPr>
          <w:rFonts w:eastAsia="Times New Roman"/>
          <w:lang w:eastAsia="de-DE"/>
        </w:rPr>
        <w:t>(„bei Tag, tagsüber").</w:t>
      </w:r>
    </w:p>
    <w:p w14:paraId="5AA013C0" w14:textId="148752B6"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lang w:eastAsia="de-DE"/>
        </w:rPr>
        <w:t>Die LXX</w:t>
      </w:r>
      <w:r w:rsidRPr="006538EF">
        <w:rPr>
          <w:rFonts w:eastAsia="Times New Roman"/>
          <w:lang w:eastAsia="de-DE"/>
        </w:rPr>
        <w:t xml:space="preserve"> </w:t>
      </w:r>
      <w:r w:rsidR="00D936E2">
        <w:t>übersetzt „</w:t>
      </w:r>
      <w:r w:rsidR="00D936E2">
        <w:rPr>
          <w:rtl/>
        </w:rPr>
        <w:t>לָתוּר לָכֶם מָקוֹם</w:t>
      </w:r>
      <w:r w:rsidR="00D936E2">
        <w:t>" (um für euch einen Ort auszukundschaften) mit „</w:t>
      </w:r>
      <w:proofErr w:type="spellStart"/>
      <w:r w:rsidR="00D936E2">
        <w:t>ἐκλέγεσθ</w:t>
      </w:r>
      <w:proofErr w:type="spellEnd"/>
      <w:r w:rsidR="00D936E2">
        <w:t xml:space="preserve">αι </w:t>
      </w:r>
      <w:proofErr w:type="spellStart"/>
      <w:r w:rsidR="00D936E2">
        <w:t>ὑμῖν</w:t>
      </w:r>
      <w:proofErr w:type="spellEnd"/>
      <w:r w:rsidR="00D936E2">
        <w:t xml:space="preserve"> </w:t>
      </w:r>
      <w:proofErr w:type="spellStart"/>
      <w:r w:rsidR="00D936E2">
        <w:t>τό</w:t>
      </w:r>
      <w:proofErr w:type="spellEnd"/>
      <w:r w:rsidR="00D936E2">
        <w:t>πον" (um für euch einen Ort auszuwählen/zu erwählen).</w:t>
      </w:r>
    </w:p>
    <w:p w14:paraId="4A228970"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lang w:eastAsia="de-DE"/>
        </w:rPr>
        <w:lastRenderedPageBreak/>
        <w:t>Die Satzstruktur ist ein attributiver Relativsatz ohne finites Verb, der JHWH als ständigen Führer beschreibt. Das Partizip (</w:t>
      </w:r>
      <w:r w:rsidRPr="006538EF">
        <w:rPr>
          <w:rFonts w:eastAsia="Times New Roman"/>
          <w:b/>
          <w:bCs/>
          <w:rtl/>
          <w:lang w:eastAsia="de-DE"/>
        </w:rPr>
        <w:t>הַהֹלֵךְ</w:t>
      </w:r>
      <w:r w:rsidRPr="006538EF">
        <w:rPr>
          <w:rFonts w:eastAsia="Times New Roman"/>
          <w:lang w:eastAsia="de-DE"/>
        </w:rPr>
        <w:t>) wird durch mehrere Infinitive und präpositionale Phrasen erweitert, die Zweck, Mittel und Zeit spezifizieren.</w:t>
      </w:r>
    </w:p>
    <w:p w14:paraId="29FF5B9D"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lang w:eastAsia="de-DE"/>
        </w:rPr>
        <w:t>Der Vers beschreibt JHWHs kontinuierliche Führung durch Feuer- und Wolkensäule (vgl. Ex 13,21-22), die dem Volk den Weg zeigten und Lagerplätze aussuchten – ein weiterer Beweis göttlicher Fürsorge, der den Unglauben des Volkes umso schwerwiegender macht.</w:t>
      </w:r>
    </w:p>
    <w:p w14:paraId="446A6C47" w14:textId="77777777" w:rsidR="006538EF" w:rsidRPr="006538EF" w:rsidRDefault="006538EF" w:rsidP="006538EF">
      <w:pPr>
        <w:spacing w:before="100" w:beforeAutospacing="1" w:after="100" w:afterAutospacing="1" w:line="240" w:lineRule="auto"/>
        <w:outlineLvl w:val="1"/>
        <w:rPr>
          <w:rFonts w:eastAsia="Times New Roman"/>
          <w:b/>
          <w:bCs/>
          <w:sz w:val="36"/>
          <w:szCs w:val="36"/>
          <w:lang w:eastAsia="de-DE"/>
        </w:rPr>
      </w:pPr>
      <w:r w:rsidRPr="006538EF">
        <w:rPr>
          <w:rFonts w:eastAsia="Times New Roman"/>
          <w:b/>
          <w:bCs/>
          <w:sz w:val="36"/>
          <w:szCs w:val="36"/>
          <w:lang w:eastAsia="de-DE"/>
        </w:rPr>
        <w:t>Deuteronomium 1,34</w:t>
      </w:r>
    </w:p>
    <w:p w14:paraId="41C8BC41"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lang w:eastAsia="de-DE"/>
        </w:rPr>
        <w:t>Hebräisch:</w:t>
      </w:r>
      <w:r w:rsidRPr="006538EF">
        <w:rPr>
          <w:rFonts w:eastAsia="Times New Roman"/>
          <w:lang w:eastAsia="de-DE"/>
        </w:rPr>
        <w:t xml:space="preserve"> </w:t>
      </w:r>
      <w:r w:rsidRPr="006538EF">
        <w:rPr>
          <w:rFonts w:eastAsia="Times New Roman"/>
          <w:rtl/>
          <w:lang w:eastAsia="de-DE"/>
        </w:rPr>
        <w:t>וַיִּשְׁמַ֥ע יְהוָ֖ה אֶת־ק֣וֹל דִּבְרֵיכֶ֑ם וַיִּקְצֹ֖ף וַיִּשָּׁבַ֥ע לֵאמֹֽר׃</w:t>
      </w:r>
    </w:p>
    <w:p w14:paraId="4CEAE8FF"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lang w:eastAsia="de-DE"/>
        </w:rPr>
        <w:t>Deutsch:</w:t>
      </w:r>
      <w:r w:rsidRPr="006538EF">
        <w:rPr>
          <w:rFonts w:eastAsia="Times New Roman"/>
          <w:lang w:eastAsia="de-DE"/>
        </w:rPr>
        <w:t xml:space="preserve"> Und der Ewige hörte die Stimme eurer Worte und wurde zornig und schwur:</w:t>
      </w:r>
    </w:p>
    <w:p w14:paraId="6AF9613D" w14:textId="77777777" w:rsidR="006538EF" w:rsidRPr="006538EF" w:rsidRDefault="004F5CEB" w:rsidP="006538EF">
      <w:pPr>
        <w:spacing w:after="0" w:line="240" w:lineRule="auto"/>
        <w:rPr>
          <w:rFonts w:eastAsia="Times New Roman"/>
          <w:lang w:eastAsia="de-DE"/>
        </w:rPr>
      </w:pPr>
      <w:r>
        <w:rPr>
          <w:rFonts w:eastAsia="Times New Roman"/>
          <w:noProof/>
          <w:lang w:eastAsia="de-DE"/>
        </w:rPr>
        <w:pict w14:anchorId="3C118200">
          <v:rect id="_x0000_i1058" style="width:0;height:1.5pt" o:hralign="center" o:hrstd="t" o:hr="t" fillcolor="#a0a0a0" stroked="f"/>
        </w:pict>
      </w:r>
    </w:p>
    <w:p w14:paraId="7C1462DC" w14:textId="1F34E862"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lang w:eastAsia="de-DE"/>
        </w:rPr>
        <w:t>Kommentar:</w:t>
      </w:r>
      <w:r w:rsidRPr="006538EF">
        <w:rPr>
          <w:rFonts w:eastAsia="Times New Roman"/>
          <w:lang w:eastAsia="de-DE"/>
        </w:rPr>
        <w:t xml:space="preserve"> </w:t>
      </w:r>
      <w:r w:rsidRPr="006538EF">
        <w:rPr>
          <w:rFonts w:eastAsia="Times New Roman"/>
          <w:b/>
          <w:bCs/>
          <w:rtl/>
          <w:lang w:eastAsia="de-DE"/>
        </w:rPr>
        <w:t>וַיִּשְׁמַע</w:t>
      </w:r>
      <w:r w:rsidRPr="006538EF">
        <w:rPr>
          <w:rFonts w:eastAsia="Times New Roman"/>
          <w:rtl/>
          <w:lang w:eastAsia="de-DE"/>
        </w:rPr>
        <w:t xml:space="preserve"> </w:t>
      </w:r>
      <w:r w:rsidRPr="006538EF">
        <w:rPr>
          <w:rFonts w:eastAsia="Times New Roman"/>
          <w:lang w:eastAsia="de-DE"/>
        </w:rPr>
        <w:t xml:space="preserve">ist Qal Imperfekt consecutivum, 3. Person maskulin Singular von </w:t>
      </w:r>
      <w:r w:rsidRPr="006538EF">
        <w:rPr>
          <w:rFonts w:eastAsia="Times New Roman"/>
          <w:rtl/>
          <w:lang w:eastAsia="de-DE"/>
        </w:rPr>
        <w:t>שׁמע</w:t>
      </w:r>
      <w:r w:rsidRPr="006538EF">
        <w:rPr>
          <w:rFonts w:eastAsia="Times New Roman"/>
          <w:lang w:eastAsia="de-DE"/>
        </w:rPr>
        <w:t xml:space="preserve"> („hören") mit Waw. </w:t>
      </w:r>
      <w:r w:rsidRPr="006538EF">
        <w:rPr>
          <w:rFonts w:eastAsia="Times New Roman"/>
          <w:b/>
          <w:bCs/>
          <w:rtl/>
          <w:lang w:eastAsia="de-DE"/>
        </w:rPr>
        <w:t>יְהוָה</w:t>
      </w:r>
      <w:r w:rsidRPr="006538EF">
        <w:rPr>
          <w:rFonts w:eastAsia="Times New Roman"/>
          <w:rtl/>
          <w:lang w:eastAsia="de-DE"/>
        </w:rPr>
        <w:t xml:space="preserve"> </w:t>
      </w:r>
      <w:r w:rsidRPr="006538EF">
        <w:rPr>
          <w:rFonts w:eastAsia="Times New Roman"/>
          <w:lang w:eastAsia="de-DE"/>
        </w:rPr>
        <w:t xml:space="preserve">ist Subjekt. </w:t>
      </w:r>
      <w:r w:rsidRPr="006538EF">
        <w:rPr>
          <w:rFonts w:eastAsia="Times New Roman"/>
          <w:b/>
          <w:bCs/>
          <w:rtl/>
          <w:lang w:eastAsia="de-DE"/>
        </w:rPr>
        <w:t>אֶת־קוֹל דִּבְרֵיכֶם</w:t>
      </w:r>
      <w:r w:rsidRPr="006538EF">
        <w:rPr>
          <w:rFonts w:eastAsia="Times New Roman"/>
          <w:rtl/>
          <w:lang w:eastAsia="de-DE"/>
        </w:rPr>
        <w:t xml:space="preserve"> </w:t>
      </w:r>
      <w:r w:rsidRPr="006538EF">
        <w:rPr>
          <w:rFonts w:eastAsia="Times New Roman"/>
          <w:lang w:eastAsia="de-DE"/>
        </w:rPr>
        <w:t xml:space="preserve">ist die Objektpartikel mit </w:t>
      </w:r>
      <w:r w:rsidRPr="006538EF">
        <w:rPr>
          <w:rFonts w:eastAsia="Times New Roman"/>
          <w:b/>
          <w:bCs/>
          <w:rtl/>
          <w:lang w:eastAsia="de-DE"/>
        </w:rPr>
        <w:t>קוֹל</w:t>
      </w:r>
      <w:r w:rsidRPr="006538EF">
        <w:rPr>
          <w:rFonts w:eastAsia="Times New Roman"/>
          <w:rtl/>
          <w:lang w:eastAsia="de-DE"/>
        </w:rPr>
        <w:t xml:space="preserve"> </w:t>
      </w:r>
      <w:r w:rsidRPr="006538EF">
        <w:rPr>
          <w:rFonts w:eastAsia="Times New Roman"/>
          <w:lang w:eastAsia="de-DE"/>
        </w:rPr>
        <w:t xml:space="preserve">(„Stimme") im </w:t>
      </w:r>
      <w:r w:rsidR="0032647F">
        <w:rPr>
          <w:rFonts w:eastAsia="Times New Roman"/>
          <w:lang w:eastAsia="de-DE"/>
        </w:rPr>
        <w:t>Construct</w:t>
      </w:r>
      <w:r w:rsidRPr="006538EF">
        <w:rPr>
          <w:rFonts w:eastAsia="Times New Roman"/>
          <w:lang w:eastAsia="de-DE"/>
        </w:rPr>
        <w:t xml:space="preserve"> mit </w:t>
      </w:r>
      <w:r w:rsidRPr="006538EF">
        <w:rPr>
          <w:rFonts w:eastAsia="Times New Roman"/>
          <w:b/>
          <w:bCs/>
          <w:rtl/>
          <w:lang w:eastAsia="de-DE"/>
        </w:rPr>
        <w:t>דִּבְרֵיכֶם</w:t>
      </w:r>
      <w:r w:rsidRPr="006538EF">
        <w:rPr>
          <w:rFonts w:eastAsia="Times New Roman"/>
          <w:rtl/>
          <w:lang w:eastAsia="de-DE"/>
        </w:rPr>
        <w:t xml:space="preserve"> </w:t>
      </w:r>
      <w:r w:rsidRPr="006538EF">
        <w:rPr>
          <w:rFonts w:eastAsia="Times New Roman"/>
          <w:lang w:eastAsia="de-DE"/>
        </w:rPr>
        <w:t xml:space="preserve">(Plural von </w:t>
      </w:r>
      <w:r w:rsidRPr="006538EF">
        <w:rPr>
          <w:rFonts w:eastAsia="Times New Roman"/>
          <w:b/>
          <w:bCs/>
          <w:rtl/>
          <w:lang w:eastAsia="de-DE"/>
        </w:rPr>
        <w:t>דָּבָר</w:t>
      </w:r>
      <w:r w:rsidRPr="006538EF">
        <w:rPr>
          <w:rFonts w:eastAsia="Times New Roman"/>
          <w:rtl/>
          <w:lang w:eastAsia="de-DE"/>
        </w:rPr>
        <w:t xml:space="preserve"> </w:t>
      </w:r>
      <w:r w:rsidRPr="006538EF">
        <w:rPr>
          <w:rFonts w:eastAsia="Times New Roman"/>
          <w:lang w:eastAsia="de-DE"/>
        </w:rPr>
        <w:t xml:space="preserve">„Wort" mit Suffix 2. Person maskulin Plural). </w:t>
      </w:r>
      <w:r w:rsidRPr="006538EF">
        <w:rPr>
          <w:rFonts w:eastAsia="Times New Roman"/>
          <w:b/>
          <w:bCs/>
          <w:rtl/>
          <w:lang w:eastAsia="de-DE"/>
        </w:rPr>
        <w:t>וַיִּקְצֹף</w:t>
      </w:r>
      <w:r w:rsidRPr="006538EF">
        <w:rPr>
          <w:rFonts w:eastAsia="Times New Roman"/>
          <w:rtl/>
          <w:lang w:eastAsia="de-DE"/>
        </w:rPr>
        <w:t xml:space="preserve"> </w:t>
      </w:r>
      <w:r w:rsidRPr="006538EF">
        <w:rPr>
          <w:rFonts w:eastAsia="Times New Roman"/>
          <w:lang w:eastAsia="de-DE"/>
        </w:rPr>
        <w:t xml:space="preserve">ist Qal Imperfekt consecutivum, 3. Person maskulin Singular von </w:t>
      </w:r>
      <w:r w:rsidRPr="006538EF">
        <w:rPr>
          <w:rFonts w:eastAsia="Times New Roman"/>
          <w:rtl/>
          <w:lang w:eastAsia="de-DE"/>
        </w:rPr>
        <w:t>קצף</w:t>
      </w:r>
      <w:r w:rsidRPr="006538EF">
        <w:rPr>
          <w:rFonts w:eastAsia="Times New Roman"/>
          <w:lang w:eastAsia="de-DE"/>
        </w:rPr>
        <w:t xml:space="preserve"> („zornig werden, zürnen") mit Waw. </w:t>
      </w:r>
      <w:r w:rsidRPr="006538EF">
        <w:rPr>
          <w:rFonts w:eastAsia="Times New Roman"/>
          <w:b/>
          <w:bCs/>
          <w:rtl/>
          <w:lang w:eastAsia="de-DE"/>
        </w:rPr>
        <w:t>וַיִּשָּׁבַע</w:t>
      </w:r>
      <w:r w:rsidRPr="006538EF">
        <w:rPr>
          <w:rFonts w:eastAsia="Times New Roman"/>
          <w:rtl/>
          <w:lang w:eastAsia="de-DE"/>
        </w:rPr>
        <w:t xml:space="preserve"> </w:t>
      </w:r>
      <w:r w:rsidRPr="006538EF">
        <w:rPr>
          <w:rFonts w:eastAsia="Times New Roman"/>
          <w:lang w:eastAsia="de-DE"/>
        </w:rPr>
        <w:t xml:space="preserve">ist Nif'al Imperfect consecutivum, 3. Person maskulin Singular von </w:t>
      </w:r>
      <w:r w:rsidRPr="006538EF">
        <w:rPr>
          <w:rFonts w:eastAsia="Times New Roman"/>
          <w:rtl/>
          <w:lang w:eastAsia="de-DE"/>
        </w:rPr>
        <w:t>שׁבע</w:t>
      </w:r>
      <w:r w:rsidRPr="006538EF">
        <w:rPr>
          <w:rFonts w:eastAsia="Times New Roman"/>
          <w:lang w:eastAsia="de-DE"/>
        </w:rPr>
        <w:t xml:space="preserve"> („schwören") mit Waw. </w:t>
      </w:r>
      <w:r w:rsidRPr="006538EF">
        <w:rPr>
          <w:rFonts w:eastAsia="Times New Roman"/>
          <w:b/>
          <w:bCs/>
          <w:rtl/>
          <w:lang w:eastAsia="de-DE"/>
        </w:rPr>
        <w:t>לֵאמֹר</w:t>
      </w:r>
      <w:r w:rsidRPr="006538EF">
        <w:rPr>
          <w:rFonts w:eastAsia="Times New Roman"/>
          <w:rtl/>
          <w:lang w:eastAsia="de-DE"/>
        </w:rPr>
        <w:t xml:space="preserve"> </w:t>
      </w:r>
      <w:r w:rsidRPr="006538EF">
        <w:rPr>
          <w:rFonts w:eastAsia="Times New Roman"/>
          <w:lang w:eastAsia="de-DE"/>
        </w:rPr>
        <w:t>leitet den Inhalt des Schwurs ein.</w:t>
      </w:r>
    </w:p>
    <w:p w14:paraId="35217BF2"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lang w:eastAsia="de-DE"/>
        </w:rPr>
        <w:t>Die LXX</w:t>
      </w:r>
      <w:r w:rsidRPr="006538EF">
        <w:rPr>
          <w:rFonts w:eastAsia="Times New Roman"/>
          <w:lang w:eastAsia="de-DE"/>
        </w:rPr>
        <w:t xml:space="preserve"> übersetzt mit „καὶ </w:t>
      </w:r>
      <w:proofErr w:type="spellStart"/>
      <w:r w:rsidRPr="006538EF">
        <w:rPr>
          <w:rFonts w:eastAsia="Times New Roman"/>
          <w:lang w:eastAsia="de-DE"/>
        </w:rPr>
        <w:t>ἤκουσεν</w:t>
      </w:r>
      <w:proofErr w:type="spellEnd"/>
      <w:r w:rsidRPr="006538EF">
        <w:rPr>
          <w:rFonts w:eastAsia="Times New Roman"/>
          <w:lang w:eastAsia="de-DE"/>
        </w:rPr>
        <w:t xml:space="preserve"> </w:t>
      </w:r>
      <w:proofErr w:type="spellStart"/>
      <w:r w:rsidRPr="006538EF">
        <w:rPr>
          <w:rFonts w:eastAsia="Times New Roman"/>
          <w:lang w:eastAsia="de-DE"/>
        </w:rPr>
        <w:t>κύριος</w:t>
      </w:r>
      <w:proofErr w:type="spellEnd"/>
      <w:r w:rsidRPr="006538EF">
        <w:rPr>
          <w:rFonts w:eastAsia="Times New Roman"/>
          <w:lang w:eastAsia="de-DE"/>
        </w:rPr>
        <w:t xml:space="preserve"> τὴν </w:t>
      </w:r>
      <w:proofErr w:type="spellStart"/>
      <w:r w:rsidRPr="006538EF">
        <w:rPr>
          <w:rFonts w:eastAsia="Times New Roman"/>
          <w:lang w:eastAsia="de-DE"/>
        </w:rPr>
        <w:t>φωνὴν</w:t>
      </w:r>
      <w:proofErr w:type="spellEnd"/>
      <w:r w:rsidRPr="006538EF">
        <w:rPr>
          <w:rFonts w:eastAsia="Times New Roman"/>
          <w:lang w:eastAsia="de-DE"/>
        </w:rPr>
        <w:t xml:space="preserve"> </w:t>
      </w:r>
      <w:proofErr w:type="spellStart"/>
      <w:r w:rsidRPr="006538EF">
        <w:rPr>
          <w:rFonts w:eastAsia="Times New Roman"/>
          <w:lang w:eastAsia="de-DE"/>
        </w:rPr>
        <w:t>τῶν</w:t>
      </w:r>
      <w:proofErr w:type="spellEnd"/>
      <w:r w:rsidRPr="006538EF">
        <w:rPr>
          <w:rFonts w:eastAsia="Times New Roman"/>
          <w:lang w:eastAsia="de-DE"/>
        </w:rPr>
        <w:t xml:space="preserve"> </w:t>
      </w:r>
      <w:proofErr w:type="spellStart"/>
      <w:r w:rsidRPr="006538EF">
        <w:rPr>
          <w:rFonts w:eastAsia="Times New Roman"/>
          <w:lang w:eastAsia="de-DE"/>
        </w:rPr>
        <w:t>λόγων</w:t>
      </w:r>
      <w:proofErr w:type="spellEnd"/>
      <w:r w:rsidRPr="006538EF">
        <w:rPr>
          <w:rFonts w:eastAsia="Times New Roman"/>
          <w:lang w:eastAsia="de-DE"/>
        </w:rPr>
        <w:t xml:space="preserve"> </w:t>
      </w:r>
      <w:proofErr w:type="spellStart"/>
      <w:r w:rsidRPr="006538EF">
        <w:rPr>
          <w:rFonts w:eastAsia="Times New Roman"/>
          <w:lang w:eastAsia="de-DE"/>
        </w:rPr>
        <w:t>ὑμῶν</w:t>
      </w:r>
      <w:proofErr w:type="spellEnd"/>
      <w:r w:rsidRPr="006538EF">
        <w:rPr>
          <w:rFonts w:eastAsia="Times New Roman"/>
          <w:lang w:eastAsia="de-DE"/>
        </w:rPr>
        <w:t xml:space="preserve"> καὶ πα</w:t>
      </w:r>
      <w:proofErr w:type="spellStart"/>
      <w:r w:rsidRPr="006538EF">
        <w:rPr>
          <w:rFonts w:eastAsia="Times New Roman"/>
          <w:lang w:eastAsia="de-DE"/>
        </w:rPr>
        <w:t>ρωξύνθη</w:t>
      </w:r>
      <w:proofErr w:type="spellEnd"/>
      <w:r w:rsidRPr="006538EF">
        <w:rPr>
          <w:rFonts w:eastAsia="Times New Roman"/>
          <w:lang w:eastAsia="de-DE"/>
        </w:rPr>
        <w:t xml:space="preserve"> καὶ </w:t>
      </w:r>
      <w:proofErr w:type="spellStart"/>
      <w:r w:rsidRPr="006538EF">
        <w:rPr>
          <w:rFonts w:eastAsia="Times New Roman"/>
          <w:lang w:eastAsia="de-DE"/>
        </w:rPr>
        <w:t>ὤμοσεν</w:t>
      </w:r>
      <w:proofErr w:type="spellEnd"/>
      <w:r w:rsidRPr="006538EF">
        <w:rPr>
          <w:rFonts w:eastAsia="Times New Roman"/>
          <w:lang w:eastAsia="de-DE"/>
        </w:rPr>
        <w:t>" („und der Herr hörte die Stimme eurer Worte und wurde erzürnt und schwor").</w:t>
      </w:r>
    </w:p>
    <w:p w14:paraId="609CCDA7"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lang w:eastAsia="de-DE"/>
        </w:rPr>
        <w:t xml:space="preserve">Die Satzstruktur besteht aus drei koordinierten Verben mit Waw consecutivum: </w:t>
      </w:r>
      <w:r w:rsidRPr="006538EF">
        <w:rPr>
          <w:rFonts w:eastAsia="Times New Roman"/>
          <w:b/>
          <w:bCs/>
          <w:rtl/>
          <w:lang w:eastAsia="de-DE"/>
        </w:rPr>
        <w:t>וַיִּשְׁמַע</w:t>
      </w:r>
      <w:r w:rsidRPr="006538EF">
        <w:rPr>
          <w:rFonts w:eastAsia="Times New Roman"/>
          <w:lang w:eastAsia="de-DE"/>
        </w:rPr>
        <w:t xml:space="preserve">, </w:t>
      </w:r>
      <w:r w:rsidRPr="006538EF">
        <w:rPr>
          <w:rFonts w:eastAsia="Times New Roman"/>
          <w:b/>
          <w:bCs/>
          <w:rtl/>
          <w:lang w:eastAsia="de-DE"/>
        </w:rPr>
        <w:t>וַיִּקְצֹף</w:t>
      </w:r>
      <w:r w:rsidRPr="006538EF">
        <w:rPr>
          <w:rFonts w:eastAsia="Times New Roman"/>
          <w:lang w:eastAsia="de-DE"/>
        </w:rPr>
        <w:t xml:space="preserve">, </w:t>
      </w:r>
      <w:r w:rsidRPr="006538EF">
        <w:rPr>
          <w:rFonts w:eastAsia="Times New Roman"/>
          <w:b/>
          <w:bCs/>
          <w:rtl/>
          <w:lang w:eastAsia="de-DE"/>
        </w:rPr>
        <w:t>וַיִּשָּׁבַע</w:t>
      </w:r>
      <w:r w:rsidRPr="006538EF">
        <w:rPr>
          <w:rFonts w:eastAsia="Times New Roman"/>
          <w:lang w:eastAsia="de-DE"/>
        </w:rPr>
        <w:t xml:space="preserve">, die eine kausale Kette bilden: Hören führt zu Zorn, Zorn führt zu Schwur. Die Einleitungsformel </w:t>
      </w:r>
      <w:r w:rsidRPr="006538EF">
        <w:rPr>
          <w:rFonts w:eastAsia="Times New Roman"/>
          <w:b/>
          <w:bCs/>
          <w:rtl/>
          <w:lang w:eastAsia="de-DE"/>
        </w:rPr>
        <w:t>לֵאמֹר</w:t>
      </w:r>
      <w:r w:rsidRPr="006538EF">
        <w:rPr>
          <w:rFonts w:eastAsia="Times New Roman"/>
          <w:rtl/>
          <w:lang w:eastAsia="de-DE"/>
        </w:rPr>
        <w:t xml:space="preserve"> </w:t>
      </w:r>
      <w:r w:rsidRPr="006538EF">
        <w:rPr>
          <w:rFonts w:eastAsia="Times New Roman"/>
          <w:lang w:eastAsia="de-DE"/>
        </w:rPr>
        <w:t>leitet zum Inhalt des Schwurs über.</w:t>
      </w:r>
    </w:p>
    <w:p w14:paraId="7A8A583B"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lang w:eastAsia="de-DE"/>
        </w:rPr>
        <w:t>Der Vers markiert den dramatischen Wendepunkt: JHWHs Reaktion auf das Murren des Volkes ist Zorn und ein bindender Schwur, der die Katastrophe besiegelt.</w:t>
      </w:r>
    </w:p>
    <w:p w14:paraId="2867C419" w14:textId="77777777" w:rsidR="006538EF" w:rsidRPr="006538EF" w:rsidRDefault="006538EF" w:rsidP="006538EF">
      <w:pPr>
        <w:spacing w:before="100" w:beforeAutospacing="1" w:after="100" w:afterAutospacing="1" w:line="240" w:lineRule="auto"/>
        <w:outlineLvl w:val="1"/>
        <w:rPr>
          <w:rFonts w:eastAsia="Times New Roman"/>
          <w:b/>
          <w:bCs/>
          <w:sz w:val="36"/>
          <w:szCs w:val="36"/>
          <w:lang w:eastAsia="de-DE"/>
        </w:rPr>
      </w:pPr>
      <w:r w:rsidRPr="006538EF">
        <w:rPr>
          <w:rFonts w:eastAsia="Times New Roman"/>
          <w:b/>
          <w:bCs/>
          <w:sz w:val="36"/>
          <w:szCs w:val="36"/>
          <w:lang w:eastAsia="de-DE"/>
        </w:rPr>
        <w:t>Deuteronomium 1,35</w:t>
      </w:r>
    </w:p>
    <w:p w14:paraId="2FDAC5E1"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lang w:eastAsia="de-DE"/>
        </w:rPr>
        <w:t>Hebräisch:</w:t>
      </w:r>
      <w:r w:rsidRPr="006538EF">
        <w:rPr>
          <w:rFonts w:eastAsia="Times New Roman"/>
          <w:lang w:eastAsia="de-DE"/>
        </w:rPr>
        <w:t xml:space="preserve"> </w:t>
      </w:r>
      <w:r w:rsidRPr="006538EF">
        <w:rPr>
          <w:rFonts w:eastAsia="Times New Roman"/>
          <w:rtl/>
          <w:lang w:eastAsia="de-DE"/>
        </w:rPr>
        <w:t>אִם־יִרְאֶ֥ה אִישׁ֙ בָּאֲנָשִׁ֣ים הָאֵ֔לֶּה הַדּ֥וֹר הָרָ֖ע הַזֶּ֑ה אֵ֚ת הָאָ֣רֶץ הַטּוֹבָ֔ה אֲשֶׁ֣ר נִשְׁבַּ֔עְתִּי לָתֵ֖ת לַאֲבֹתֵיכֶֽם׃</w:t>
      </w:r>
    </w:p>
    <w:p w14:paraId="76E6178F"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lang w:eastAsia="de-DE"/>
        </w:rPr>
        <w:t>Deutsch:</w:t>
      </w:r>
      <w:r w:rsidRPr="006538EF">
        <w:rPr>
          <w:rFonts w:eastAsia="Times New Roman"/>
          <w:lang w:eastAsia="de-DE"/>
        </w:rPr>
        <w:t xml:space="preserve"> Wahrlich, kein Mann unter diesen Männern, diesem bösen Geschlecht, soll das gute Land sehen, das ich geschworen habe, euren Vätern zu geben!</w:t>
      </w:r>
    </w:p>
    <w:p w14:paraId="7422CC72" w14:textId="77777777" w:rsidR="006538EF" w:rsidRPr="006538EF" w:rsidRDefault="004F5CEB" w:rsidP="006538EF">
      <w:pPr>
        <w:spacing w:after="0" w:line="240" w:lineRule="auto"/>
        <w:rPr>
          <w:rFonts w:eastAsia="Times New Roman"/>
          <w:lang w:eastAsia="de-DE"/>
        </w:rPr>
      </w:pPr>
      <w:r>
        <w:rPr>
          <w:rFonts w:eastAsia="Times New Roman"/>
          <w:noProof/>
          <w:lang w:eastAsia="de-DE"/>
        </w:rPr>
        <w:pict w14:anchorId="06B51FE8">
          <v:rect id="_x0000_i1059" style="width:0;height:1.5pt" o:hralign="center" o:hrstd="t" o:hr="t" fillcolor="#a0a0a0" stroked="f"/>
        </w:pict>
      </w:r>
    </w:p>
    <w:p w14:paraId="760A2939"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lang w:eastAsia="de-DE"/>
        </w:rPr>
        <w:t>Kommentar:</w:t>
      </w:r>
      <w:r w:rsidRPr="006538EF">
        <w:rPr>
          <w:rFonts w:eastAsia="Times New Roman"/>
          <w:lang w:eastAsia="de-DE"/>
        </w:rPr>
        <w:t xml:space="preserve"> </w:t>
      </w:r>
      <w:r w:rsidRPr="006538EF">
        <w:rPr>
          <w:rFonts w:eastAsia="Times New Roman"/>
          <w:b/>
          <w:bCs/>
          <w:rtl/>
          <w:lang w:eastAsia="de-DE"/>
        </w:rPr>
        <w:t>אִם־יִרְאֶה</w:t>
      </w:r>
      <w:r w:rsidRPr="006538EF">
        <w:rPr>
          <w:rFonts w:eastAsia="Times New Roman"/>
          <w:rtl/>
          <w:lang w:eastAsia="de-DE"/>
        </w:rPr>
        <w:t xml:space="preserve"> </w:t>
      </w:r>
      <w:r w:rsidRPr="006538EF">
        <w:rPr>
          <w:rFonts w:eastAsia="Times New Roman"/>
          <w:lang w:eastAsia="de-DE"/>
        </w:rPr>
        <w:t xml:space="preserve">ist eine Schwurformel: </w:t>
      </w:r>
      <w:r w:rsidRPr="006538EF">
        <w:rPr>
          <w:rFonts w:eastAsia="Times New Roman"/>
          <w:b/>
          <w:bCs/>
          <w:rtl/>
          <w:lang w:eastAsia="de-DE"/>
        </w:rPr>
        <w:t>אִם</w:t>
      </w:r>
      <w:r w:rsidRPr="006538EF">
        <w:rPr>
          <w:rFonts w:eastAsia="Times New Roman"/>
          <w:rtl/>
          <w:lang w:eastAsia="de-DE"/>
        </w:rPr>
        <w:t xml:space="preserve"> </w:t>
      </w:r>
      <w:r w:rsidRPr="006538EF">
        <w:rPr>
          <w:rFonts w:eastAsia="Times New Roman"/>
          <w:lang w:eastAsia="de-DE"/>
        </w:rPr>
        <w:t xml:space="preserve">hier als emphatische Negation („gewiss nicht, wahrlich nicht") im Kontext eines Schwurs, </w:t>
      </w:r>
      <w:r w:rsidRPr="006538EF">
        <w:rPr>
          <w:rFonts w:eastAsia="Times New Roman"/>
          <w:b/>
          <w:bCs/>
          <w:rtl/>
          <w:lang w:eastAsia="de-DE"/>
        </w:rPr>
        <w:t>יִרְאֶה</w:t>
      </w:r>
      <w:r w:rsidRPr="006538EF">
        <w:rPr>
          <w:rFonts w:eastAsia="Times New Roman"/>
          <w:rtl/>
          <w:lang w:eastAsia="de-DE"/>
        </w:rPr>
        <w:t xml:space="preserve"> </w:t>
      </w:r>
      <w:r w:rsidRPr="006538EF">
        <w:rPr>
          <w:rFonts w:eastAsia="Times New Roman"/>
          <w:lang w:eastAsia="de-DE"/>
        </w:rPr>
        <w:t xml:space="preserve">ist Qal Imperfekt, 3. Person maskulin Singular von </w:t>
      </w:r>
      <w:r w:rsidRPr="006538EF">
        <w:rPr>
          <w:rFonts w:eastAsia="Times New Roman"/>
          <w:rtl/>
          <w:lang w:eastAsia="de-DE"/>
        </w:rPr>
        <w:t>ראה</w:t>
      </w:r>
      <w:r w:rsidRPr="006538EF">
        <w:rPr>
          <w:rFonts w:eastAsia="Times New Roman"/>
          <w:lang w:eastAsia="de-DE"/>
        </w:rPr>
        <w:t xml:space="preserve">. </w:t>
      </w:r>
      <w:r w:rsidRPr="006538EF">
        <w:rPr>
          <w:rFonts w:eastAsia="Times New Roman"/>
          <w:b/>
          <w:bCs/>
          <w:rtl/>
          <w:lang w:eastAsia="de-DE"/>
        </w:rPr>
        <w:t>אִישׁ</w:t>
      </w:r>
      <w:r w:rsidRPr="006538EF">
        <w:rPr>
          <w:rFonts w:eastAsia="Times New Roman"/>
          <w:rtl/>
          <w:lang w:eastAsia="de-DE"/>
        </w:rPr>
        <w:t xml:space="preserve"> </w:t>
      </w:r>
      <w:r w:rsidRPr="006538EF">
        <w:rPr>
          <w:rFonts w:eastAsia="Times New Roman"/>
          <w:lang w:eastAsia="de-DE"/>
        </w:rPr>
        <w:t xml:space="preserve">ist Subjekt („ein Mann, jemand"). </w:t>
      </w:r>
      <w:r w:rsidRPr="006538EF">
        <w:rPr>
          <w:rFonts w:eastAsia="Times New Roman"/>
          <w:b/>
          <w:bCs/>
          <w:rtl/>
          <w:lang w:eastAsia="de-DE"/>
        </w:rPr>
        <w:t>בָּאֲנָשִׁים הָאֵלֶּה</w:t>
      </w:r>
      <w:r w:rsidRPr="006538EF">
        <w:rPr>
          <w:rFonts w:eastAsia="Times New Roman"/>
          <w:rtl/>
          <w:lang w:eastAsia="de-DE"/>
        </w:rPr>
        <w:t xml:space="preserve"> </w:t>
      </w:r>
      <w:r w:rsidRPr="006538EF">
        <w:rPr>
          <w:rFonts w:eastAsia="Times New Roman"/>
          <w:lang w:eastAsia="de-DE"/>
        </w:rPr>
        <w:t xml:space="preserve">ist </w:t>
      </w:r>
      <w:r w:rsidRPr="006538EF">
        <w:rPr>
          <w:rFonts w:eastAsia="Times New Roman"/>
          <w:b/>
          <w:bCs/>
          <w:rtl/>
          <w:lang w:eastAsia="de-DE"/>
        </w:rPr>
        <w:t>בְּ</w:t>
      </w:r>
      <w:r w:rsidRPr="006538EF">
        <w:rPr>
          <w:rFonts w:eastAsia="Times New Roman"/>
          <w:rtl/>
          <w:lang w:eastAsia="de-DE"/>
        </w:rPr>
        <w:t xml:space="preserve"> </w:t>
      </w:r>
      <w:r w:rsidRPr="006538EF">
        <w:rPr>
          <w:rFonts w:eastAsia="Times New Roman"/>
          <w:lang w:eastAsia="de-DE"/>
        </w:rPr>
        <w:t xml:space="preserve">(„unter, von") mit </w:t>
      </w:r>
      <w:r w:rsidRPr="006538EF">
        <w:rPr>
          <w:rFonts w:eastAsia="Times New Roman"/>
          <w:b/>
          <w:bCs/>
          <w:rtl/>
          <w:lang w:eastAsia="de-DE"/>
        </w:rPr>
        <w:t>אֲנָשִׁים</w:t>
      </w:r>
      <w:r w:rsidRPr="006538EF">
        <w:rPr>
          <w:rFonts w:eastAsia="Times New Roman"/>
          <w:rtl/>
          <w:lang w:eastAsia="de-DE"/>
        </w:rPr>
        <w:t xml:space="preserve"> </w:t>
      </w:r>
      <w:r w:rsidRPr="006538EF">
        <w:rPr>
          <w:rFonts w:eastAsia="Times New Roman"/>
          <w:lang w:eastAsia="de-DE"/>
        </w:rPr>
        <w:t xml:space="preserve">und </w:t>
      </w:r>
      <w:r w:rsidRPr="006538EF">
        <w:rPr>
          <w:rFonts w:eastAsia="Times New Roman"/>
          <w:b/>
          <w:bCs/>
          <w:rtl/>
          <w:lang w:eastAsia="de-DE"/>
        </w:rPr>
        <w:t>הָאֵלֶּה</w:t>
      </w:r>
      <w:r w:rsidRPr="006538EF">
        <w:rPr>
          <w:rFonts w:eastAsia="Times New Roman"/>
          <w:rtl/>
          <w:lang w:eastAsia="de-DE"/>
        </w:rPr>
        <w:t xml:space="preserve"> </w:t>
      </w:r>
      <w:r w:rsidRPr="006538EF">
        <w:rPr>
          <w:rFonts w:eastAsia="Times New Roman"/>
          <w:lang w:eastAsia="de-DE"/>
        </w:rPr>
        <w:t xml:space="preserve">(Demonstrativpronomen maskulin Plural). </w:t>
      </w:r>
      <w:r w:rsidRPr="006538EF">
        <w:rPr>
          <w:rFonts w:eastAsia="Times New Roman"/>
          <w:b/>
          <w:bCs/>
          <w:rtl/>
          <w:lang w:eastAsia="de-DE"/>
        </w:rPr>
        <w:t>הַדּוֹר הָרָע הַזֶּה</w:t>
      </w:r>
      <w:r w:rsidRPr="006538EF">
        <w:rPr>
          <w:rFonts w:eastAsia="Times New Roman"/>
          <w:rtl/>
          <w:lang w:eastAsia="de-DE"/>
        </w:rPr>
        <w:t xml:space="preserve"> </w:t>
      </w:r>
      <w:r w:rsidRPr="006538EF">
        <w:rPr>
          <w:rFonts w:eastAsia="Times New Roman"/>
          <w:lang w:eastAsia="de-DE"/>
        </w:rPr>
        <w:t xml:space="preserve">ist eine </w:t>
      </w:r>
      <w:r w:rsidRPr="006538EF">
        <w:rPr>
          <w:rFonts w:eastAsia="Times New Roman"/>
          <w:lang w:eastAsia="de-DE"/>
        </w:rPr>
        <w:lastRenderedPageBreak/>
        <w:t xml:space="preserve">appositionelle Phrase: </w:t>
      </w:r>
      <w:r w:rsidRPr="006538EF">
        <w:rPr>
          <w:rFonts w:eastAsia="Times New Roman"/>
          <w:b/>
          <w:bCs/>
          <w:rtl/>
          <w:lang w:eastAsia="de-DE"/>
        </w:rPr>
        <w:t>הַדּוֹר</w:t>
      </w:r>
      <w:r w:rsidRPr="006538EF">
        <w:rPr>
          <w:rFonts w:eastAsia="Times New Roman"/>
          <w:rtl/>
          <w:lang w:eastAsia="de-DE"/>
        </w:rPr>
        <w:t xml:space="preserve"> </w:t>
      </w:r>
      <w:r w:rsidRPr="006538EF">
        <w:rPr>
          <w:rFonts w:eastAsia="Times New Roman"/>
          <w:lang w:eastAsia="de-DE"/>
        </w:rPr>
        <w:t xml:space="preserve">(„die Generation, das Geschlecht"), </w:t>
      </w:r>
      <w:r w:rsidRPr="006538EF">
        <w:rPr>
          <w:rFonts w:eastAsia="Times New Roman"/>
          <w:b/>
          <w:bCs/>
          <w:rtl/>
          <w:lang w:eastAsia="de-DE"/>
        </w:rPr>
        <w:t>הָרָע</w:t>
      </w:r>
      <w:r w:rsidRPr="006538EF">
        <w:rPr>
          <w:rFonts w:eastAsia="Times New Roman"/>
          <w:rtl/>
          <w:lang w:eastAsia="de-DE"/>
        </w:rPr>
        <w:t xml:space="preserve"> </w:t>
      </w:r>
      <w:r w:rsidRPr="006538EF">
        <w:rPr>
          <w:rFonts w:eastAsia="Times New Roman"/>
          <w:lang w:eastAsia="de-DE"/>
        </w:rPr>
        <w:t xml:space="preserve">(maskulin Singular von </w:t>
      </w:r>
      <w:r w:rsidRPr="006538EF">
        <w:rPr>
          <w:rFonts w:eastAsia="Times New Roman"/>
          <w:b/>
          <w:bCs/>
          <w:rtl/>
          <w:lang w:eastAsia="de-DE"/>
        </w:rPr>
        <w:t>רַע</w:t>
      </w:r>
      <w:r w:rsidRPr="006538EF">
        <w:rPr>
          <w:rFonts w:eastAsia="Times New Roman"/>
          <w:rtl/>
          <w:lang w:eastAsia="de-DE"/>
        </w:rPr>
        <w:t xml:space="preserve"> </w:t>
      </w:r>
      <w:r w:rsidRPr="006538EF">
        <w:rPr>
          <w:rFonts w:eastAsia="Times New Roman"/>
          <w:lang w:eastAsia="de-DE"/>
        </w:rPr>
        <w:t xml:space="preserve">„böse, schlecht"), </w:t>
      </w:r>
      <w:r w:rsidRPr="006538EF">
        <w:rPr>
          <w:rFonts w:eastAsia="Times New Roman"/>
          <w:b/>
          <w:bCs/>
          <w:rtl/>
          <w:lang w:eastAsia="de-DE"/>
        </w:rPr>
        <w:t>הַזֶּה</w:t>
      </w:r>
      <w:r w:rsidRPr="006538EF">
        <w:rPr>
          <w:rFonts w:eastAsia="Times New Roman"/>
          <w:rtl/>
          <w:lang w:eastAsia="de-DE"/>
        </w:rPr>
        <w:t xml:space="preserve"> </w:t>
      </w:r>
      <w:r w:rsidRPr="006538EF">
        <w:rPr>
          <w:rFonts w:eastAsia="Times New Roman"/>
          <w:lang w:eastAsia="de-DE"/>
        </w:rPr>
        <w:t>(Demonstrativpronomen).</w:t>
      </w:r>
    </w:p>
    <w:p w14:paraId="7EDC5AA0" w14:textId="14A7613E"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rtl/>
          <w:lang w:eastAsia="de-DE"/>
        </w:rPr>
        <w:t>אֵת הָאָרֶץ הַטּוֹבָה</w:t>
      </w:r>
      <w:r w:rsidRPr="006538EF">
        <w:rPr>
          <w:rFonts w:eastAsia="Times New Roman"/>
          <w:rtl/>
          <w:lang w:eastAsia="de-DE"/>
        </w:rPr>
        <w:t xml:space="preserve"> </w:t>
      </w:r>
      <w:r w:rsidRPr="006538EF">
        <w:rPr>
          <w:rFonts w:eastAsia="Times New Roman"/>
          <w:lang w:eastAsia="de-DE"/>
        </w:rPr>
        <w:t xml:space="preserve">ist die Objektpartikel mit </w:t>
      </w:r>
      <w:r w:rsidRPr="006538EF">
        <w:rPr>
          <w:rFonts w:eastAsia="Times New Roman"/>
          <w:b/>
          <w:bCs/>
          <w:rtl/>
          <w:lang w:eastAsia="de-DE"/>
        </w:rPr>
        <w:t>הָאָרֶץ</w:t>
      </w:r>
      <w:r w:rsidRPr="006538EF">
        <w:rPr>
          <w:rFonts w:eastAsia="Times New Roman"/>
          <w:rtl/>
          <w:lang w:eastAsia="de-DE"/>
        </w:rPr>
        <w:t xml:space="preserve"> </w:t>
      </w:r>
      <w:r w:rsidRPr="006538EF">
        <w:rPr>
          <w:rFonts w:eastAsia="Times New Roman"/>
          <w:lang w:eastAsia="de-DE"/>
        </w:rPr>
        <w:t xml:space="preserve">und Adjektiv </w:t>
      </w:r>
      <w:r w:rsidRPr="006538EF">
        <w:rPr>
          <w:rFonts w:eastAsia="Times New Roman"/>
          <w:b/>
          <w:bCs/>
          <w:rtl/>
          <w:lang w:eastAsia="de-DE"/>
        </w:rPr>
        <w:t>הַטּוֹבָה</w:t>
      </w:r>
      <w:r w:rsidRPr="006538EF">
        <w:rPr>
          <w:rFonts w:eastAsia="Times New Roman"/>
          <w:rtl/>
          <w:lang w:eastAsia="de-DE"/>
        </w:rPr>
        <w:t xml:space="preserve"> </w:t>
      </w:r>
      <w:r w:rsidRPr="006538EF">
        <w:rPr>
          <w:rFonts w:eastAsia="Times New Roman"/>
          <w:lang w:eastAsia="de-DE"/>
        </w:rPr>
        <w:t xml:space="preserve">(feminin Singular von </w:t>
      </w:r>
      <w:r w:rsidRPr="006538EF">
        <w:rPr>
          <w:rFonts w:eastAsia="Times New Roman"/>
          <w:b/>
          <w:bCs/>
          <w:rtl/>
          <w:lang w:eastAsia="de-DE"/>
        </w:rPr>
        <w:t>טוֹב</w:t>
      </w:r>
      <w:r w:rsidRPr="006538EF">
        <w:rPr>
          <w:rFonts w:eastAsia="Times New Roman"/>
          <w:lang w:eastAsia="de-DE"/>
        </w:rPr>
        <w:t xml:space="preserve">). Der Relativsatz </w:t>
      </w:r>
      <w:r w:rsidRPr="006538EF">
        <w:rPr>
          <w:rFonts w:eastAsia="Times New Roman"/>
          <w:b/>
          <w:bCs/>
          <w:rtl/>
          <w:lang w:eastAsia="de-DE"/>
        </w:rPr>
        <w:t>אֲשֶׁר נִשְׁבַּעְתִּי</w:t>
      </w:r>
      <w:r w:rsidRPr="006538EF">
        <w:rPr>
          <w:rFonts w:eastAsia="Times New Roman"/>
          <w:rtl/>
          <w:lang w:eastAsia="de-DE"/>
        </w:rPr>
        <w:t xml:space="preserve"> </w:t>
      </w:r>
      <w:r w:rsidRPr="006538EF">
        <w:rPr>
          <w:rFonts w:eastAsia="Times New Roman"/>
          <w:lang w:eastAsia="de-DE"/>
        </w:rPr>
        <w:t xml:space="preserve">enthält </w:t>
      </w:r>
      <w:r w:rsidRPr="006538EF">
        <w:rPr>
          <w:rFonts w:eastAsia="Times New Roman"/>
          <w:b/>
          <w:bCs/>
          <w:rtl/>
          <w:lang w:eastAsia="de-DE"/>
        </w:rPr>
        <w:t>נִשְׁבַּעְתִּי</w:t>
      </w:r>
      <w:r w:rsidRPr="006538EF">
        <w:rPr>
          <w:rFonts w:eastAsia="Times New Roman"/>
          <w:rtl/>
          <w:lang w:eastAsia="de-DE"/>
        </w:rPr>
        <w:t xml:space="preserve"> </w:t>
      </w:r>
      <w:r w:rsidRPr="006538EF">
        <w:rPr>
          <w:rFonts w:eastAsia="Times New Roman"/>
          <w:lang w:eastAsia="de-DE"/>
        </w:rPr>
        <w:t xml:space="preserve">(Nif'al Perfekt, 1. Person Singular von </w:t>
      </w:r>
      <w:r w:rsidRPr="006538EF">
        <w:rPr>
          <w:rFonts w:eastAsia="Times New Roman"/>
          <w:rtl/>
          <w:lang w:eastAsia="de-DE"/>
        </w:rPr>
        <w:t>שׁבע</w:t>
      </w:r>
      <w:r w:rsidRPr="006538EF">
        <w:rPr>
          <w:rFonts w:eastAsia="Times New Roman"/>
          <w:lang w:eastAsia="de-DE"/>
        </w:rPr>
        <w:t xml:space="preserve"> mit Suffix). </w:t>
      </w:r>
      <w:r w:rsidRPr="006538EF">
        <w:rPr>
          <w:rFonts w:eastAsia="Times New Roman"/>
          <w:b/>
          <w:bCs/>
          <w:rtl/>
          <w:lang w:eastAsia="de-DE"/>
        </w:rPr>
        <w:t>לָתֵת לַאֲבֹתֵיכֶם</w:t>
      </w:r>
      <w:r w:rsidRPr="006538EF">
        <w:rPr>
          <w:rFonts w:eastAsia="Times New Roman"/>
          <w:rtl/>
          <w:lang w:eastAsia="de-DE"/>
        </w:rPr>
        <w:t xml:space="preserve"> </w:t>
      </w:r>
      <w:r w:rsidRPr="006538EF">
        <w:rPr>
          <w:rFonts w:eastAsia="Times New Roman"/>
          <w:lang w:eastAsia="de-DE"/>
        </w:rPr>
        <w:t xml:space="preserve">ist der finale Infinitiv: </w:t>
      </w:r>
      <w:r w:rsidRPr="006538EF">
        <w:rPr>
          <w:rFonts w:eastAsia="Times New Roman"/>
          <w:b/>
          <w:bCs/>
          <w:rtl/>
          <w:lang w:eastAsia="de-DE"/>
        </w:rPr>
        <w:t>לְ</w:t>
      </w:r>
      <w:r w:rsidRPr="006538EF">
        <w:rPr>
          <w:rFonts w:eastAsia="Times New Roman"/>
          <w:rtl/>
          <w:lang w:eastAsia="de-DE"/>
        </w:rPr>
        <w:t xml:space="preserve"> </w:t>
      </w:r>
      <w:r w:rsidRPr="006538EF">
        <w:rPr>
          <w:rFonts w:eastAsia="Times New Roman"/>
          <w:lang w:eastAsia="de-DE"/>
        </w:rPr>
        <w:t xml:space="preserve">mit Qal Infinitiv </w:t>
      </w:r>
      <w:r w:rsidR="0032647F">
        <w:rPr>
          <w:rFonts w:eastAsia="Times New Roman"/>
          <w:lang w:eastAsia="de-DE"/>
        </w:rPr>
        <w:t>Construct</w:t>
      </w:r>
      <w:r w:rsidRPr="006538EF">
        <w:rPr>
          <w:rFonts w:eastAsia="Times New Roman"/>
          <w:lang w:eastAsia="de-DE"/>
        </w:rPr>
        <w:t xml:space="preserve"> von </w:t>
      </w:r>
      <w:r w:rsidRPr="006538EF">
        <w:rPr>
          <w:rFonts w:eastAsia="Times New Roman"/>
          <w:rtl/>
          <w:lang w:eastAsia="de-DE"/>
        </w:rPr>
        <w:t>נתן</w:t>
      </w:r>
      <w:r w:rsidRPr="006538EF">
        <w:rPr>
          <w:rFonts w:eastAsia="Times New Roman"/>
          <w:lang w:eastAsia="de-DE"/>
        </w:rPr>
        <w:t xml:space="preserve">, und </w:t>
      </w:r>
      <w:r w:rsidRPr="006538EF">
        <w:rPr>
          <w:rFonts w:eastAsia="Times New Roman"/>
          <w:b/>
          <w:bCs/>
          <w:rtl/>
          <w:lang w:eastAsia="de-DE"/>
        </w:rPr>
        <w:t>לַאֲבֹתֵיכֶם</w:t>
      </w:r>
      <w:r w:rsidRPr="006538EF">
        <w:rPr>
          <w:rFonts w:eastAsia="Times New Roman"/>
          <w:rtl/>
          <w:lang w:eastAsia="de-DE"/>
        </w:rPr>
        <w:t xml:space="preserve"> </w:t>
      </w:r>
      <w:r w:rsidRPr="006538EF">
        <w:rPr>
          <w:rFonts w:eastAsia="Times New Roman"/>
          <w:lang w:eastAsia="de-DE"/>
        </w:rPr>
        <w:t>(</w:t>
      </w:r>
      <w:r w:rsidRPr="006538EF">
        <w:rPr>
          <w:rFonts w:eastAsia="Times New Roman"/>
          <w:b/>
          <w:bCs/>
          <w:rtl/>
          <w:lang w:eastAsia="de-DE"/>
        </w:rPr>
        <w:t>לְ</w:t>
      </w:r>
      <w:r w:rsidRPr="006538EF">
        <w:rPr>
          <w:rFonts w:eastAsia="Times New Roman"/>
          <w:rtl/>
          <w:lang w:eastAsia="de-DE"/>
        </w:rPr>
        <w:t xml:space="preserve"> </w:t>
      </w:r>
      <w:r w:rsidRPr="006538EF">
        <w:rPr>
          <w:rFonts w:eastAsia="Times New Roman"/>
          <w:lang w:eastAsia="de-DE"/>
        </w:rPr>
        <w:t xml:space="preserve">mit </w:t>
      </w:r>
      <w:r w:rsidRPr="006538EF">
        <w:rPr>
          <w:rFonts w:eastAsia="Times New Roman"/>
          <w:b/>
          <w:bCs/>
          <w:rtl/>
          <w:lang w:eastAsia="de-DE"/>
        </w:rPr>
        <w:t>אָבוֹת</w:t>
      </w:r>
      <w:r w:rsidRPr="006538EF">
        <w:rPr>
          <w:rFonts w:eastAsia="Times New Roman"/>
          <w:rtl/>
          <w:lang w:eastAsia="de-DE"/>
        </w:rPr>
        <w:t xml:space="preserve"> </w:t>
      </w:r>
      <w:r w:rsidRPr="006538EF">
        <w:rPr>
          <w:rFonts w:eastAsia="Times New Roman"/>
          <w:lang w:eastAsia="de-DE"/>
        </w:rPr>
        <w:t xml:space="preserve">im Plural </w:t>
      </w:r>
      <w:r w:rsidR="0032647F">
        <w:rPr>
          <w:rFonts w:eastAsia="Times New Roman"/>
          <w:lang w:eastAsia="de-DE"/>
        </w:rPr>
        <w:t>Construct</w:t>
      </w:r>
      <w:r w:rsidRPr="006538EF">
        <w:rPr>
          <w:rFonts w:eastAsia="Times New Roman"/>
          <w:lang w:eastAsia="de-DE"/>
        </w:rPr>
        <w:t xml:space="preserve"> und Suffix 2. Person maskulin Plural).</w:t>
      </w:r>
    </w:p>
    <w:p w14:paraId="668DB41E"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lang w:eastAsia="de-DE"/>
        </w:rPr>
        <w:t>Die LXX</w:t>
      </w:r>
      <w:r w:rsidRPr="006538EF">
        <w:rPr>
          <w:rFonts w:eastAsia="Times New Roman"/>
          <w:lang w:eastAsia="de-DE"/>
        </w:rPr>
        <w:t xml:space="preserve"> expliziert die Negation und folgt der Struktur des Schwurs.</w:t>
      </w:r>
    </w:p>
    <w:p w14:paraId="6543D6D0"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lang w:eastAsia="de-DE"/>
        </w:rPr>
        <w:t>Die Satzstruktur ist ein Schwursatz mit emphatischer Negation (</w:t>
      </w:r>
      <w:r w:rsidRPr="006538EF">
        <w:rPr>
          <w:rFonts w:eastAsia="Times New Roman"/>
          <w:b/>
          <w:bCs/>
          <w:rtl/>
          <w:lang w:eastAsia="de-DE"/>
        </w:rPr>
        <w:t>אִם־יִרְאֶה</w:t>
      </w:r>
      <w:r w:rsidRPr="006538EF">
        <w:rPr>
          <w:rFonts w:eastAsia="Times New Roman"/>
          <w:lang w:eastAsia="de-DE"/>
        </w:rPr>
        <w:t>), Subjekt (</w:t>
      </w:r>
      <w:r w:rsidRPr="006538EF">
        <w:rPr>
          <w:rFonts w:eastAsia="Times New Roman"/>
          <w:b/>
          <w:bCs/>
          <w:rtl/>
          <w:lang w:eastAsia="de-DE"/>
        </w:rPr>
        <w:t>אִישׁ</w:t>
      </w:r>
      <w:r w:rsidRPr="006538EF">
        <w:rPr>
          <w:rFonts w:eastAsia="Times New Roman"/>
          <w:lang w:eastAsia="de-DE"/>
        </w:rPr>
        <w:t>), zwei präpositionalen Bestimmungen (</w:t>
      </w:r>
      <w:r w:rsidRPr="006538EF">
        <w:rPr>
          <w:rFonts w:eastAsia="Times New Roman"/>
          <w:b/>
          <w:bCs/>
          <w:rtl/>
          <w:lang w:eastAsia="de-DE"/>
        </w:rPr>
        <w:t>בָּאֲנָשִׁים הָאֵלֶּה הַדּוֹר הָרָע הַזֶּה</w:t>
      </w:r>
      <w:r w:rsidRPr="006538EF">
        <w:rPr>
          <w:rFonts w:eastAsia="Times New Roman"/>
          <w:lang w:eastAsia="de-DE"/>
        </w:rPr>
        <w:t>), Objekt (</w:t>
      </w:r>
      <w:r w:rsidRPr="006538EF">
        <w:rPr>
          <w:rFonts w:eastAsia="Times New Roman"/>
          <w:b/>
          <w:bCs/>
          <w:rtl/>
          <w:lang w:eastAsia="de-DE"/>
        </w:rPr>
        <w:t>אֵת הָאָרֶץ הַטּוֹבָה</w:t>
      </w:r>
      <w:r w:rsidRPr="006538EF">
        <w:rPr>
          <w:rFonts w:eastAsia="Times New Roman"/>
          <w:lang w:eastAsia="de-DE"/>
        </w:rPr>
        <w:t>), und Relativsatz mit finalem Infinitiv.</w:t>
      </w:r>
    </w:p>
    <w:p w14:paraId="7694C353"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lang w:eastAsia="de-DE"/>
        </w:rPr>
        <w:t xml:space="preserve">Der Vers verkündet das vernichtende Urteil über die Exodusgeneration: Keiner von ihnen wird das verheißene Land sehen. Die Charakterisierung als </w:t>
      </w:r>
      <w:r w:rsidRPr="006538EF">
        <w:rPr>
          <w:rFonts w:eastAsia="Times New Roman"/>
          <w:b/>
          <w:bCs/>
          <w:rtl/>
          <w:lang w:eastAsia="de-DE"/>
        </w:rPr>
        <w:t>הַדּוֹר הָרָע</w:t>
      </w:r>
      <w:r w:rsidRPr="006538EF">
        <w:rPr>
          <w:rFonts w:eastAsia="Times New Roman"/>
          <w:rtl/>
          <w:lang w:eastAsia="de-DE"/>
        </w:rPr>
        <w:t xml:space="preserve"> </w:t>
      </w:r>
      <w:r w:rsidRPr="006538EF">
        <w:rPr>
          <w:rFonts w:eastAsia="Times New Roman"/>
          <w:lang w:eastAsia="de-DE"/>
        </w:rPr>
        <w:t>unterstreicht die moralische Verwerflichkeit ihres Unglaubens.</w:t>
      </w:r>
    </w:p>
    <w:p w14:paraId="44163838" w14:textId="77777777" w:rsidR="006538EF" w:rsidRPr="006538EF" w:rsidRDefault="006538EF" w:rsidP="006538EF">
      <w:pPr>
        <w:spacing w:before="100" w:beforeAutospacing="1" w:after="100" w:afterAutospacing="1" w:line="240" w:lineRule="auto"/>
        <w:outlineLvl w:val="1"/>
        <w:rPr>
          <w:rFonts w:eastAsia="Times New Roman"/>
          <w:b/>
          <w:bCs/>
          <w:sz w:val="36"/>
          <w:szCs w:val="36"/>
          <w:lang w:eastAsia="de-DE"/>
        </w:rPr>
      </w:pPr>
      <w:r w:rsidRPr="006538EF">
        <w:rPr>
          <w:rFonts w:eastAsia="Times New Roman"/>
          <w:b/>
          <w:bCs/>
          <w:sz w:val="36"/>
          <w:szCs w:val="36"/>
          <w:lang w:eastAsia="de-DE"/>
        </w:rPr>
        <w:t>Deuteronomium 1,36</w:t>
      </w:r>
    </w:p>
    <w:p w14:paraId="237799EE"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lang w:eastAsia="de-DE"/>
        </w:rPr>
        <w:t>Hebräisch:</w:t>
      </w:r>
      <w:r w:rsidRPr="006538EF">
        <w:rPr>
          <w:rFonts w:eastAsia="Times New Roman"/>
          <w:lang w:eastAsia="de-DE"/>
        </w:rPr>
        <w:t xml:space="preserve"> </w:t>
      </w:r>
      <w:r w:rsidRPr="006538EF">
        <w:rPr>
          <w:rFonts w:eastAsia="Times New Roman"/>
          <w:rtl/>
          <w:lang w:eastAsia="de-DE"/>
        </w:rPr>
        <w:t>זֽוּלָתִ֞י כָּלֵ֤ב בֶּן־יְפֻנֶּה֙ ה֣וּא יִרְאֶ֔נָּה וְלוֹֽ־אֶתֵּ֧ן אֶת־הָאָ֛רֶץ אֲשֶׁ֥ר דָּֽרַךְ־בָּ֖הּ וּלְבָנָ֑יו יַ֕עַן אֲשֶׁ֥ר מִלֵּ֖א אַחֲרֵ֥י יְהוָֽה׃</w:t>
      </w:r>
    </w:p>
    <w:p w14:paraId="3E591448"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lang w:eastAsia="de-DE"/>
        </w:rPr>
        <w:t>Deutsch:</w:t>
      </w:r>
      <w:r w:rsidRPr="006538EF">
        <w:rPr>
          <w:rFonts w:eastAsia="Times New Roman"/>
          <w:lang w:eastAsia="de-DE"/>
        </w:rPr>
        <w:t xml:space="preserve"> Außer Kalev, der Sohn Jephunnes; er wird es sehen, und ihm und seinen Kindern werde ich das Land geben, auf das er getreten ist, weil er dem Ewigen völlig nachgefolgt ist.</w:t>
      </w:r>
    </w:p>
    <w:p w14:paraId="7A6BD94E" w14:textId="77777777" w:rsidR="006538EF" w:rsidRPr="006538EF" w:rsidRDefault="004F5CEB" w:rsidP="006538EF">
      <w:pPr>
        <w:spacing w:after="0" w:line="240" w:lineRule="auto"/>
        <w:rPr>
          <w:rFonts w:eastAsia="Times New Roman"/>
          <w:lang w:eastAsia="de-DE"/>
        </w:rPr>
      </w:pPr>
      <w:r>
        <w:rPr>
          <w:rFonts w:eastAsia="Times New Roman"/>
          <w:noProof/>
          <w:lang w:eastAsia="de-DE"/>
        </w:rPr>
        <w:pict w14:anchorId="6D95BBF4">
          <v:rect id="_x0000_i1060" style="width:0;height:1.5pt" o:hralign="center" o:hrstd="t" o:hr="t" fillcolor="#a0a0a0" stroked="f"/>
        </w:pict>
      </w:r>
    </w:p>
    <w:p w14:paraId="167C8CA9"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lang w:eastAsia="de-DE"/>
        </w:rPr>
        <w:t>Kommentar:</w:t>
      </w:r>
      <w:r w:rsidRPr="006538EF">
        <w:rPr>
          <w:rFonts w:eastAsia="Times New Roman"/>
          <w:lang w:eastAsia="de-DE"/>
        </w:rPr>
        <w:t xml:space="preserve"> </w:t>
      </w:r>
      <w:r w:rsidRPr="006538EF">
        <w:rPr>
          <w:rFonts w:eastAsia="Times New Roman"/>
          <w:b/>
          <w:bCs/>
          <w:rtl/>
          <w:lang w:eastAsia="de-DE"/>
        </w:rPr>
        <w:t>זוּלָתִי</w:t>
      </w:r>
      <w:r w:rsidRPr="006538EF">
        <w:rPr>
          <w:rFonts w:eastAsia="Times New Roman"/>
          <w:rtl/>
          <w:lang w:eastAsia="de-DE"/>
        </w:rPr>
        <w:t xml:space="preserve"> </w:t>
      </w:r>
      <w:r w:rsidRPr="006538EF">
        <w:rPr>
          <w:rFonts w:eastAsia="Times New Roman"/>
          <w:lang w:eastAsia="de-DE"/>
        </w:rPr>
        <w:t xml:space="preserve">ist eine Präposition („außer, ausgenommen"). </w:t>
      </w:r>
      <w:r w:rsidRPr="006538EF">
        <w:rPr>
          <w:rFonts w:eastAsia="Times New Roman"/>
          <w:b/>
          <w:bCs/>
          <w:rtl/>
          <w:lang w:eastAsia="de-DE"/>
        </w:rPr>
        <w:t>כָּלֵב בֶּן־יְפֻנֶּה</w:t>
      </w:r>
      <w:r w:rsidRPr="006538EF">
        <w:rPr>
          <w:rFonts w:eastAsia="Times New Roman"/>
          <w:rtl/>
          <w:lang w:eastAsia="de-DE"/>
        </w:rPr>
        <w:t xml:space="preserve"> </w:t>
      </w:r>
      <w:r w:rsidRPr="006538EF">
        <w:rPr>
          <w:rFonts w:eastAsia="Times New Roman"/>
          <w:lang w:eastAsia="de-DE"/>
        </w:rPr>
        <w:t xml:space="preserve">ist Eigenname mit Patronym: </w:t>
      </w:r>
      <w:r w:rsidRPr="006538EF">
        <w:rPr>
          <w:rFonts w:eastAsia="Times New Roman"/>
          <w:b/>
          <w:bCs/>
          <w:rtl/>
          <w:lang w:eastAsia="de-DE"/>
        </w:rPr>
        <w:t>כָּלֵב</w:t>
      </w:r>
      <w:r w:rsidRPr="006538EF">
        <w:rPr>
          <w:rFonts w:eastAsia="Times New Roman"/>
          <w:rtl/>
          <w:lang w:eastAsia="de-DE"/>
        </w:rPr>
        <w:t xml:space="preserve"> </w:t>
      </w:r>
      <w:r w:rsidRPr="006538EF">
        <w:rPr>
          <w:rFonts w:eastAsia="Times New Roman"/>
          <w:lang w:eastAsia="de-DE"/>
        </w:rPr>
        <w:t xml:space="preserve">(„Kaleb") mit </w:t>
      </w:r>
      <w:r w:rsidRPr="006538EF">
        <w:rPr>
          <w:rFonts w:eastAsia="Times New Roman"/>
          <w:b/>
          <w:bCs/>
          <w:rtl/>
          <w:lang w:eastAsia="de-DE"/>
        </w:rPr>
        <w:t>בֶּן־יְפֻנֶּה</w:t>
      </w:r>
      <w:r w:rsidRPr="006538EF">
        <w:rPr>
          <w:rFonts w:eastAsia="Times New Roman"/>
          <w:rtl/>
          <w:lang w:eastAsia="de-DE"/>
        </w:rPr>
        <w:t xml:space="preserve"> </w:t>
      </w:r>
      <w:r w:rsidRPr="006538EF">
        <w:rPr>
          <w:rFonts w:eastAsia="Times New Roman"/>
          <w:lang w:eastAsia="de-DE"/>
        </w:rPr>
        <w:t xml:space="preserve">(„Sohn des Jephunne"). </w:t>
      </w:r>
      <w:r w:rsidRPr="006538EF">
        <w:rPr>
          <w:rFonts w:eastAsia="Times New Roman"/>
          <w:b/>
          <w:bCs/>
          <w:rtl/>
          <w:lang w:eastAsia="de-DE"/>
        </w:rPr>
        <w:t>הוּא</w:t>
      </w:r>
      <w:r w:rsidRPr="006538EF">
        <w:rPr>
          <w:rFonts w:eastAsia="Times New Roman"/>
          <w:rtl/>
          <w:lang w:eastAsia="de-DE"/>
        </w:rPr>
        <w:t xml:space="preserve"> </w:t>
      </w:r>
      <w:r w:rsidRPr="006538EF">
        <w:rPr>
          <w:rFonts w:eastAsia="Times New Roman"/>
          <w:lang w:eastAsia="de-DE"/>
        </w:rPr>
        <w:t xml:space="preserve">ist verstärkendes Pronomen. </w:t>
      </w:r>
      <w:r w:rsidRPr="006538EF">
        <w:rPr>
          <w:rFonts w:eastAsia="Times New Roman"/>
          <w:b/>
          <w:bCs/>
          <w:rtl/>
          <w:lang w:eastAsia="de-DE"/>
        </w:rPr>
        <w:t>יִרְאֶנָּה</w:t>
      </w:r>
      <w:r w:rsidRPr="006538EF">
        <w:rPr>
          <w:rFonts w:eastAsia="Times New Roman"/>
          <w:rtl/>
          <w:lang w:eastAsia="de-DE"/>
        </w:rPr>
        <w:t xml:space="preserve"> </w:t>
      </w:r>
      <w:r w:rsidRPr="006538EF">
        <w:rPr>
          <w:rFonts w:eastAsia="Times New Roman"/>
          <w:lang w:eastAsia="de-DE"/>
        </w:rPr>
        <w:t xml:space="preserve">ist Qal Imperfekt, 3. Person maskulin Singular von </w:t>
      </w:r>
      <w:r w:rsidRPr="006538EF">
        <w:rPr>
          <w:rFonts w:eastAsia="Times New Roman"/>
          <w:rtl/>
          <w:lang w:eastAsia="de-DE"/>
        </w:rPr>
        <w:t>ראה</w:t>
      </w:r>
      <w:r w:rsidRPr="006538EF">
        <w:rPr>
          <w:rFonts w:eastAsia="Times New Roman"/>
          <w:lang w:eastAsia="de-DE"/>
        </w:rPr>
        <w:t xml:space="preserve"> mit Objektsuffix 3. Person feminin Singular </w:t>
      </w:r>
      <w:r w:rsidRPr="006538EF">
        <w:rPr>
          <w:rFonts w:eastAsia="Times New Roman"/>
          <w:b/>
          <w:bCs/>
          <w:rtl/>
          <w:lang w:eastAsia="de-DE"/>
        </w:rPr>
        <w:t>נָּה</w:t>
      </w:r>
      <w:r w:rsidRPr="006538EF">
        <w:rPr>
          <w:rFonts w:eastAsia="Times New Roman"/>
          <w:rtl/>
          <w:lang w:eastAsia="de-DE"/>
        </w:rPr>
        <w:t xml:space="preserve"> </w:t>
      </w:r>
      <w:r w:rsidRPr="006538EF">
        <w:rPr>
          <w:rFonts w:eastAsia="Times New Roman"/>
          <w:lang w:eastAsia="de-DE"/>
        </w:rPr>
        <w:t xml:space="preserve">(bezogen auf </w:t>
      </w:r>
      <w:r w:rsidRPr="006538EF">
        <w:rPr>
          <w:rFonts w:eastAsia="Times New Roman"/>
          <w:b/>
          <w:bCs/>
          <w:rtl/>
          <w:lang w:eastAsia="de-DE"/>
        </w:rPr>
        <w:t>הָאָרֶץ</w:t>
      </w:r>
      <w:r w:rsidRPr="006538EF">
        <w:rPr>
          <w:rFonts w:eastAsia="Times New Roman"/>
          <w:lang w:eastAsia="de-DE"/>
        </w:rPr>
        <w:t>).</w:t>
      </w:r>
    </w:p>
    <w:p w14:paraId="432CE4AB"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rtl/>
          <w:lang w:eastAsia="de-DE"/>
        </w:rPr>
        <w:t>וְלוֹ־אֶתֵּן</w:t>
      </w:r>
      <w:r w:rsidRPr="006538EF">
        <w:rPr>
          <w:rFonts w:eastAsia="Times New Roman"/>
          <w:rtl/>
          <w:lang w:eastAsia="de-DE"/>
        </w:rPr>
        <w:t xml:space="preserve"> </w:t>
      </w:r>
      <w:r w:rsidRPr="006538EF">
        <w:rPr>
          <w:rFonts w:eastAsia="Times New Roman"/>
          <w:lang w:eastAsia="de-DE"/>
        </w:rPr>
        <w:t xml:space="preserve">ist </w:t>
      </w:r>
      <w:r w:rsidRPr="006538EF">
        <w:rPr>
          <w:rFonts w:eastAsia="Times New Roman"/>
          <w:b/>
          <w:bCs/>
          <w:rtl/>
          <w:lang w:eastAsia="de-DE"/>
        </w:rPr>
        <w:t>וְ</w:t>
      </w:r>
      <w:r w:rsidRPr="006538EF">
        <w:rPr>
          <w:rFonts w:eastAsia="Times New Roman"/>
          <w:rtl/>
          <w:lang w:eastAsia="de-DE"/>
        </w:rPr>
        <w:t xml:space="preserve"> </w:t>
      </w:r>
      <w:r w:rsidRPr="006538EF">
        <w:rPr>
          <w:rFonts w:eastAsia="Times New Roman"/>
          <w:lang w:eastAsia="de-DE"/>
        </w:rPr>
        <w:t xml:space="preserve">mit </w:t>
      </w:r>
      <w:r w:rsidRPr="006538EF">
        <w:rPr>
          <w:rFonts w:eastAsia="Times New Roman"/>
          <w:b/>
          <w:bCs/>
          <w:rtl/>
          <w:lang w:eastAsia="de-DE"/>
        </w:rPr>
        <w:t>לְ</w:t>
      </w:r>
      <w:r w:rsidRPr="006538EF">
        <w:rPr>
          <w:rFonts w:eastAsia="Times New Roman"/>
          <w:rtl/>
          <w:lang w:eastAsia="de-DE"/>
        </w:rPr>
        <w:t xml:space="preserve"> </w:t>
      </w:r>
      <w:r w:rsidRPr="006538EF">
        <w:rPr>
          <w:rFonts w:eastAsia="Times New Roman"/>
          <w:lang w:eastAsia="de-DE"/>
        </w:rPr>
        <w:t xml:space="preserve">und Pronominalsuffix 3. Person maskulin Singular („und ihm"), </w:t>
      </w:r>
      <w:r w:rsidRPr="006538EF">
        <w:rPr>
          <w:rFonts w:eastAsia="Times New Roman"/>
          <w:b/>
          <w:bCs/>
          <w:rtl/>
          <w:lang w:eastAsia="de-DE"/>
        </w:rPr>
        <w:t>אֶתֵּן</w:t>
      </w:r>
      <w:r w:rsidRPr="006538EF">
        <w:rPr>
          <w:rFonts w:eastAsia="Times New Roman"/>
          <w:rtl/>
          <w:lang w:eastAsia="de-DE"/>
        </w:rPr>
        <w:t xml:space="preserve"> </w:t>
      </w:r>
      <w:r w:rsidRPr="006538EF">
        <w:rPr>
          <w:rFonts w:eastAsia="Times New Roman"/>
          <w:lang w:eastAsia="de-DE"/>
        </w:rPr>
        <w:t xml:space="preserve">ist Qal Imperfekt, 1. Person Singular von </w:t>
      </w:r>
      <w:r w:rsidRPr="006538EF">
        <w:rPr>
          <w:rFonts w:eastAsia="Times New Roman"/>
          <w:rtl/>
          <w:lang w:eastAsia="de-DE"/>
        </w:rPr>
        <w:t>נתן</w:t>
      </w:r>
      <w:r w:rsidRPr="006538EF">
        <w:rPr>
          <w:rFonts w:eastAsia="Times New Roman"/>
          <w:lang w:eastAsia="de-DE"/>
        </w:rPr>
        <w:t xml:space="preserve">. </w:t>
      </w:r>
      <w:r w:rsidRPr="006538EF">
        <w:rPr>
          <w:rFonts w:eastAsia="Times New Roman"/>
          <w:b/>
          <w:bCs/>
          <w:rtl/>
          <w:lang w:eastAsia="de-DE"/>
        </w:rPr>
        <w:t>אֶת־הָאָרֶץ אֲשֶׁר דָּרַךְ־בָּהּ</w:t>
      </w:r>
      <w:r w:rsidRPr="006538EF">
        <w:rPr>
          <w:rFonts w:eastAsia="Times New Roman"/>
          <w:rtl/>
          <w:lang w:eastAsia="de-DE"/>
        </w:rPr>
        <w:t xml:space="preserve"> </w:t>
      </w:r>
      <w:r w:rsidRPr="006538EF">
        <w:rPr>
          <w:rFonts w:eastAsia="Times New Roman"/>
          <w:lang w:eastAsia="de-DE"/>
        </w:rPr>
        <w:t xml:space="preserve">ist Objektpartikel mit </w:t>
      </w:r>
      <w:r w:rsidRPr="006538EF">
        <w:rPr>
          <w:rFonts w:eastAsia="Times New Roman"/>
          <w:b/>
          <w:bCs/>
          <w:rtl/>
          <w:lang w:eastAsia="de-DE"/>
        </w:rPr>
        <w:t>הָאָרֶץ</w:t>
      </w:r>
      <w:r w:rsidRPr="006538EF">
        <w:rPr>
          <w:rFonts w:eastAsia="Times New Roman"/>
          <w:lang w:eastAsia="de-DE"/>
        </w:rPr>
        <w:t xml:space="preserve">, Relativsatz mit </w:t>
      </w:r>
      <w:r w:rsidRPr="006538EF">
        <w:rPr>
          <w:rFonts w:eastAsia="Times New Roman"/>
          <w:b/>
          <w:bCs/>
          <w:rtl/>
          <w:lang w:eastAsia="de-DE"/>
        </w:rPr>
        <w:t>דָּרַךְ</w:t>
      </w:r>
      <w:r w:rsidRPr="006538EF">
        <w:rPr>
          <w:rFonts w:eastAsia="Times New Roman"/>
          <w:rtl/>
          <w:lang w:eastAsia="de-DE"/>
        </w:rPr>
        <w:t xml:space="preserve"> </w:t>
      </w:r>
      <w:r w:rsidRPr="006538EF">
        <w:rPr>
          <w:rFonts w:eastAsia="Times New Roman"/>
          <w:lang w:eastAsia="de-DE"/>
        </w:rPr>
        <w:t xml:space="preserve">(Qal Perfekt, 3. Person maskulin Singular von </w:t>
      </w:r>
      <w:r w:rsidRPr="006538EF">
        <w:rPr>
          <w:rFonts w:eastAsia="Times New Roman"/>
          <w:rtl/>
          <w:lang w:eastAsia="de-DE"/>
        </w:rPr>
        <w:t>דרך</w:t>
      </w:r>
      <w:r w:rsidRPr="006538EF">
        <w:rPr>
          <w:rFonts w:eastAsia="Times New Roman"/>
          <w:lang w:eastAsia="de-DE"/>
        </w:rPr>
        <w:t xml:space="preserve"> „treten, betreten"), und </w:t>
      </w:r>
      <w:r w:rsidRPr="006538EF">
        <w:rPr>
          <w:rFonts w:eastAsia="Times New Roman"/>
          <w:b/>
          <w:bCs/>
          <w:rtl/>
          <w:lang w:eastAsia="de-DE"/>
        </w:rPr>
        <w:t>בָּהּ</w:t>
      </w:r>
      <w:r w:rsidRPr="006538EF">
        <w:rPr>
          <w:rFonts w:eastAsia="Times New Roman"/>
          <w:rtl/>
          <w:lang w:eastAsia="de-DE"/>
        </w:rPr>
        <w:t xml:space="preserve"> </w:t>
      </w:r>
      <w:r w:rsidRPr="006538EF">
        <w:rPr>
          <w:rFonts w:eastAsia="Times New Roman"/>
          <w:lang w:eastAsia="de-DE"/>
        </w:rPr>
        <w:t xml:space="preserve">(Präposition mit femininem Suffix). </w:t>
      </w:r>
      <w:r w:rsidRPr="006538EF">
        <w:rPr>
          <w:rFonts w:eastAsia="Times New Roman"/>
          <w:b/>
          <w:bCs/>
          <w:rtl/>
          <w:lang w:eastAsia="de-DE"/>
        </w:rPr>
        <w:t>וּלְבָנָיו</w:t>
      </w:r>
      <w:r w:rsidRPr="006538EF">
        <w:rPr>
          <w:rFonts w:eastAsia="Times New Roman"/>
          <w:rtl/>
          <w:lang w:eastAsia="de-DE"/>
        </w:rPr>
        <w:t xml:space="preserve"> </w:t>
      </w:r>
      <w:r w:rsidRPr="006538EF">
        <w:rPr>
          <w:rFonts w:eastAsia="Times New Roman"/>
          <w:lang w:eastAsia="de-DE"/>
        </w:rPr>
        <w:t xml:space="preserve">ist </w:t>
      </w:r>
      <w:r w:rsidRPr="006538EF">
        <w:rPr>
          <w:rFonts w:eastAsia="Times New Roman"/>
          <w:b/>
          <w:bCs/>
          <w:rtl/>
          <w:lang w:eastAsia="de-DE"/>
        </w:rPr>
        <w:t>וְ</w:t>
      </w:r>
      <w:r w:rsidRPr="006538EF">
        <w:rPr>
          <w:rFonts w:eastAsia="Times New Roman"/>
          <w:rtl/>
          <w:lang w:eastAsia="de-DE"/>
        </w:rPr>
        <w:t xml:space="preserve"> </w:t>
      </w:r>
      <w:r w:rsidRPr="006538EF">
        <w:rPr>
          <w:rFonts w:eastAsia="Times New Roman"/>
          <w:lang w:eastAsia="de-DE"/>
        </w:rPr>
        <w:t xml:space="preserve">mit </w:t>
      </w:r>
      <w:r w:rsidRPr="006538EF">
        <w:rPr>
          <w:rFonts w:eastAsia="Times New Roman"/>
          <w:b/>
          <w:bCs/>
          <w:rtl/>
          <w:lang w:eastAsia="de-DE"/>
        </w:rPr>
        <w:t>לְ</w:t>
      </w:r>
      <w:r w:rsidRPr="006538EF">
        <w:rPr>
          <w:rFonts w:eastAsia="Times New Roman"/>
          <w:rtl/>
          <w:lang w:eastAsia="de-DE"/>
        </w:rPr>
        <w:t xml:space="preserve"> </w:t>
      </w:r>
      <w:r w:rsidRPr="006538EF">
        <w:rPr>
          <w:rFonts w:eastAsia="Times New Roman"/>
          <w:lang w:eastAsia="de-DE"/>
        </w:rPr>
        <w:t xml:space="preserve">und </w:t>
      </w:r>
      <w:r w:rsidRPr="006538EF">
        <w:rPr>
          <w:rFonts w:eastAsia="Times New Roman"/>
          <w:b/>
          <w:bCs/>
          <w:rtl/>
          <w:lang w:eastAsia="de-DE"/>
        </w:rPr>
        <w:t>בָּנִים</w:t>
      </w:r>
      <w:r w:rsidRPr="006538EF">
        <w:rPr>
          <w:rFonts w:eastAsia="Times New Roman"/>
          <w:rtl/>
          <w:lang w:eastAsia="de-DE"/>
        </w:rPr>
        <w:t xml:space="preserve"> </w:t>
      </w:r>
      <w:r w:rsidRPr="006538EF">
        <w:rPr>
          <w:rFonts w:eastAsia="Times New Roman"/>
          <w:lang w:eastAsia="de-DE"/>
        </w:rPr>
        <w:t>(„Söhne, Kinder") mit Suffix 3. Person maskulin Singular.</w:t>
      </w:r>
    </w:p>
    <w:p w14:paraId="2C4D5395"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rtl/>
          <w:lang w:eastAsia="de-DE"/>
        </w:rPr>
        <w:t>יַעַן אֲשֶׁר</w:t>
      </w:r>
      <w:r w:rsidRPr="006538EF">
        <w:rPr>
          <w:rFonts w:eastAsia="Times New Roman"/>
          <w:rtl/>
          <w:lang w:eastAsia="de-DE"/>
        </w:rPr>
        <w:t xml:space="preserve"> </w:t>
      </w:r>
      <w:r w:rsidRPr="006538EF">
        <w:rPr>
          <w:rFonts w:eastAsia="Times New Roman"/>
          <w:lang w:eastAsia="de-DE"/>
        </w:rPr>
        <w:t xml:space="preserve">ist eine kausale Konjunktion („weil"). </w:t>
      </w:r>
      <w:r w:rsidRPr="006538EF">
        <w:rPr>
          <w:rFonts w:eastAsia="Times New Roman"/>
          <w:b/>
          <w:bCs/>
          <w:rtl/>
          <w:lang w:eastAsia="de-DE"/>
        </w:rPr>
        <w:t>מִלֵּא אַחֲרֵי יְהוָה</w:t>
      </w:r>
      <w:r w:rsidRPr="006538EF">
        <w:rPr>
          <w:rFonts w:eastAsia="Times New Roman"/>
          <w:rtl/>
          <w:lang w:eastAsia="de-DE"/>
        </w:rPr>
        <w:t xml:space="preserve"> </w:t>
      </w:r>
      <w:r w:rsidRPr="006538EF">
        <w:rPr>
          <w:rFonts w:eastAsia="Times New Roman"/>
          <w:lang w:eastAsia="de-DE"/>
        </w:rPr>
        <w:t xml:space="preserve">besteht aus </w:t>
      </w:r>
      <w:r w:rsidRPr="006538EF">
        <w:rPr>
          <w:rFonts w:eastAsia="Times New Roman"/>
          <w:b/>
          <w:bCs/>
          <w:rtl/>
          <w:lang w:eastAsia="de-DE"/>
        </w:rPr>
        <w:t>מִלֵּא</w:t>
      </w:r>
      <w:r w:rsidRPr="006538EF">
        <w:rPr>
          <w:rFonts w:eastAsia="Times New Roman"/>
          <w:rtl/>
          <w:lang w:eastAsia="de-DE"/>
        </w:rPr>
        <w:t xml:space="preserve"> </w:t>
      </w:r>
      <w:r w:rsidRPr="006538EF">
        <w:rPr>
          <w:rFonts w:eastAsia="Times New Roman"/>
          <w:lang w:eastAsia="de-DE"/>
        </w:rPr>
        <w:t xml:space="preserve">(Piel Perfekt, 3. Person maskulin Singular von </w:t>
      </w:r>
      <w:r w:rsidRPr="006538EF">
        <w:rPr>
          <w:rFonts w:eastAsia="Times New Roman"/>
          <w:rtl/>
          <w:lang w:eastAsia="de-DE"/>
        </w:rPr>
        <w:t>מלא</w:t>
      </w:r>
      <w:r w:rsidRPr="006538EF">
        <w:rPr>
          <w:rFonts w:eastAsia="Times New Roman"/>
          <w:lang w:eastAsia="de-DE"/>
        </w:rPr>
        <w:t xml:space="preserve"> „voll sein, erfüllen"), </w:t>
      </w:r>
      <w:r w:rsidRPr="006538EF">
        <w:rPr>
          <w:rFonts w:eastAsia="Times New Roman"/>
          <w:b/>
          <w:bCs/>
          <w:rtl/>
          <w:lang w:eastAsia="de-DE"/>
        </w:rPr>
        <w:t>אַחֲרֵי</w:t>
      </w:r>
      <w:r w:rsidRPr="006538EF">
        <w:rPr>
          <w:rFonts w:eastAsia="Times New Roman"/>
          <w:rtl/>
          <w:lang w:eastAsia="de-DE"/>
        </w:rPr>
        <w:t xml:space="preserve"> </w:t>
      </w:r>
      <w:r w:rsidRPr="006538EF">
        <w:rPr>
          <w:rFonts w:eastAsia="Times New Roman"/>
          <w:lang w:eastAsia="de-DE"/>
        </w:rPr>
        <w:t xml:space="preserve">(„nach, hinter"), und </w:t>
      </w:r>
      <w:r w:rsidRPr="006538EF">
        <w:rPr>
          <w:rFonts w:eastAsia="Times New Roman"/>
          <w:b/>
          <w:bCs/>
          <w:rtl/>
          <w:lang w:eastAsia="de-DE"/>
        </w:rPr>
        <w:t>יְהוָה</w:t>
      </w:r>
      <w:r w:rsidRPr="006538EF">
        <w:rPr>
          <w:rFonts w:eastAsia="Times New Roman"/>
          <w:lang w:eastAsia="de-DE"/>
        </w:rPr>
        <w:t xml:space="preserve">. Die Phrase </w:t>
      </w:r>
      <w:r w:rsidRPr="006538EF">
        <w:rPr>
          <w:rFonts w:eastAsia="Times New Roman"/>
          <w:b/>
          <w:bCs/>
          <w:rtl/>
          <w:lang w:eastAsia="de-DE"/>
        </w:rPr>
        <w:t>מִלֵּא אַחֲרֵי יְהוָה</w:t>
      </w:r>
      <w:r w:rsidRPr="006538EF">
        <w:rPr>
          <w:rFonts w:eastAsia="Times New Roman"/>
          <w:rtl/>
          <w:lang w:eastAsia="de-DE"/>
        </w:rPr>
        <w:t xml:space="preserve"> </w:t>
      </w:r>
      <w:r w:rsidRPr="006538EF">
        <w:rPr>
          <w:rFonts w:eastAsia="Times New Roman"/>
          <w:lang w:eastAsia="de-DE"/>
        </w:rPr>
        <w:t>ist idiomatisch für „völlig nachfolgen, ganz treu sein".</w:t>
      </w:r>
    </w:p>
    <w:p w14:paraId="2D8C3E57"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lang w:eastAsia="de-DE"/>
        </w:rPr>
        <w:t>Die LXX</w:t>
      </w:r>
      <w:r w:rsidRPr="006538EF">
        <w:rPr>
          <w:rFonts w:eastAsia="Times New Roman"/>
          <w:lang w:eastAsia="de-DE"/>
        </w:rPr>
        <w:t xml:space="preserve"> verwendet „ἐπ</w:t>
      </w:r>
      <w:proofErr w:type="spellStart"/>
      <w:r w:rsidRPr="006538EF">
        <w:rPr>
          <w:rFonts w:eastAsia="Times New Roman"/>
          <w:lang w:eastAsia="de-DE"/>
        </w:rPr>
        <w:t>ληροφόρησεν</w:t>
      </w:r>
      <w:proofErr w:type="spellEnd"/>
      <w:r w:rsidRPr="006538EF">
        <w:rPr>
          <w:rFonts w:eastAsia="Times New Roman"/>
          <w:lang w:eastAsia="de-DE"/>
        </w:rPr>
        <w:t xml:space="preserve"> ὀπ</w:t>
      </w:r>
      <w:proofErr w:type="spellStart"/>
      <w:r w:rsidRPr="006538EF">
        <w:rPr>
          <w:rFonts w:eastAsia="Times New Roman"/>
          <w:lang w:eastAsia="de-DE"/>
        </w:rPr>
        <w:t>ίσω</w:t>
      </w:r>
      <w:proofErr w:type="spellEnd"/>
      <w:r w:rsidRPr="006538EF">
        <w:rPr>
          <w:rFonts w:eastAsia="Times New Roman"/>
          <w:lang w:eastAsia="de-DE"/>
        </w:rPr>
        <w:t xml:space="preserve"> </w:t>
      </w:r>
      <w:proofErr w:type="spellStart"/>
      <w:r w:rsidRPr="006538EF">
        <w:rPr>
          <w:rFonts w:eastAsia="Times New Roman"/>
          <w:lang w:eastAsia="de-DE"/>
        </w:rPr>
        <w:t>κυρίου</w:t>
      </w:r>
      <w:proofErr w:type="spellEnd"/>
      <w:r w:rsidRPr="006538EF">
        <w:rPr>
          <w:rFonts w:eastAsia="Times New Roman"/>
          <w:lang w:eastAsia="de-DE"/>
        </w:rPr>
        <w:t>" („</w:t>
      </w:r>
      <w:proofErr w:type="spellStart"/>
      <w:r w:rsidRPr="006538EF">
        <w:rPr>
          <w:rFonts w:eastAsia="Times New Roman"/>
          <w:lang w:eastAsia="de-DE"/>
        </w:rPr>
        <w:t>er folgte</w:t>
      </w:r>
      <w:proofErr w:type="spellEnd"/>
      <w:r w:rsidRPr="006538EF">
        <w:rPr>
          <w:rFonts w:eastAsia="Times New Roman"/>
          <w:lang w:eastAsia="de-DE"/>
        </w:rPr>
        <w:t xml:space="preserve"> völlig dem Herrn nach").</w:t>
      </w:r>
    </w:p>
    <w:p w14:paraId="784066D2"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lang w:eastAsia="de-DE"/>
        </w:rPr>
        <w:t>Die Satzstruktur besteht aus einer Ausnahme (</w:t>
      </w:r>
      <w:r w:rsidRPr="006538EF">
        <w:rPr>
          <w:rFonts w:eastAsia="Times New Roman"/>
          <w:b/>
          <w:bCs/>
          <w:rtl/>
          <w:lang w:eastAsia="de-DE"/>
        </w:rPr>
        <w:t>זוּלָתִי כָּלֵב</w:t>
      </w:r>
      <w:r w:rsidRPr="006538EF">
        <w:rPr>
          <w:rFonts w:eastAsia="Times New Roman"/>
          <w:lang w:eastAsia="de-DE"/>
        </w:rPr>
        <w:t>), einem Hauptsatz (</w:t>
      </w:r>
      <w:r w:rsidRPr="006538EF">
        <w:rPr>
          <w:rFonts w:eastAsia="Times New Roman"/>
          <w:b/>
          <w:bCs/>
          <w:rtl/>
          <w:lang w:eastAsia="de-DE"/>
        </w:rPr>
        <w:t>הוּא יִרְאֶנָּה</w:t>
      </w:r>
      <w:r w:rsidRPr="006538EF">
        <w:rPr>
          <w:rFonts w:eastAsia="Times New Roman"/>
          <w:lang w:eastAsia="de-DE"/>
        </w:rPr>
        <w:t>), einem koordinierten Satz (</w:t>
      </w:r>
      <w:r w:rsidRPr="006538EF">
        <w:rPr>
          <w:rFonts w:eastAsia="Times New Roman"/>
          <w:b/>
          <w:bCs/>
          <w:rtl/>
          <w:lang w:eastAsia="de-DE"/>
        </w:rPr>
        <w:t>וְלוֹ־אֶתֵּן אֶת־הָאָרֶץ</w:t>
      </w:r>
      <w:r w:rsidRPr="006538EF">
        <w:rPr>
          <w:rFonts w:eastAsia="Times New Roman"/>
          <w:lang w:eastAsia="de-DE"/>
        </w:rPr>
        <w:t>) mit Relativsatz und Erweiterung (</w:t>
      </w:r>
      <w:r w:rsidRPr="006538EF">
        <w:rPr>
          <w:rFonts w:eastAsia="Times New Roman"/>
          <w:b/>
          <w:bCs/>
          <w:rtl/>
          <w:lang w:eastAsia="de-DE"/>
        </w:rPr>
        <w:t>וּלְבָנָיו</w:t>
      </w:r>
      <w:r w:rsidRPr="006538EF">
        <w:rPr>
          <w:rFonts w:eastAsia="Times New Roman"/>
          <w:lang w:eastAsia="de-DE"/>
        </w:rPr>
        <w:t>), und einer kausalen Begründung (</w:t>
      </w:r>
      <w:r w:rsidRPr="006538EF">
        <w:rPr>
          <w:rFonts w:eastAsia="Times New Roman"/>
          <w:b/>
          <w:bCs/>
          <w:rtl/>
          <w:lang w:eastAsia="de-DE"/>
        </w:rPr>
        <w:t>יַעַן אֲשֶׁר מִלֵּא אַחֲרֵי יְהוָה</w:t>
      </w:r>
      <w:r w:rsidRPr="006538EF">
        <w:rPr>
          <w:rFonts w:eastAsia="Times New Roman"/>
          <w:lang w:eastAsia="de-DE"/>
        </w:rPr>
        <w:t>).</w:t>
      </w:r>
    </w:p>
    <w:p w14:paraId="59B5709C"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lang w:eastAsia="de-DE"/>
        </w:rPr>
        <w:lastRenderedPageBreak/>
        <w:t>Der Vers nennt die einzige Ausnahme vom Gerichtsurteil: Kaleb darf wegen seiner völligen Treue zu JHWH das Land betreten. Seine Nachkommen werden es als Erbe erhalten. Dies zeigt, dass individueller Glaube individuelle Rettung bewirken kann.</w:t>
      </w:r>
    </w:p>
    <w:p w14:paraId="20AE0749" w14:textId="77777777" w:rsidR="006538EF" w:rsidRPr="006538EF" w:rsidRDefault="006538EF" w:rsidP="006538EF">
      <w:pPr>
        <w:spacing w:before="100" w:beforeAutospacing="1" w:after="100" w:afterAutospacing="1" w:line="240" w:lineRule="auto"/>
        <w:outlineLvl w:val="1"/>
        <w:rPr>
          <w:rFonts w:eastAsia="Times New Roman"/>
          <w:b/>
          <w:bCs/>
          <w:sz w:val="36"/>
          <w:szCs w:val="36"/>
          <w:lang w:eastAsia="de-DE"/>
        </w:rPr>
      </w:pPr>
      <w:r w:rsidRPr="006538EF">
        <w:rPr>
          <w:rFonts w:eastAsia="Times New Roman"/>
          <w:b/>
          <w:bCs/>
          <w:sz w:val="36"/>
          <w:szCs w:val="36"/>
          <w:lang w:eastAsia="de-DE"/>
        </w:rPr>
        <w:t>Deuteronomium 1,37</w:t>
      </w:r>
    </w:p>
    <w:p w14:paraId="4F5A439A"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lang w:eastAsia="de-DE"/>
        </w:rPr>
        <w:t>Hebräisch:</w:t>
      </w:r>
      <w:r w:rsidRPr="006538EF">
        <w:rPr>
          <w:rFonts w:eastAsia="Times New Roman"/>
          <w:lang w:eastAsia="de-DE"/>
        </w:rPr>
        <w:t xml:space="preserve"> </w:t>
      </w:r>
      <w:r w:rsidRPr="006538EF">
        <w:rPr>
          <w:rFonts w:eastAsia="Times New Roman"/>
          <w:rtl/>
          <w:lang w:eastAsia="de-DE"/>
        </w:rPr>
        <w:t>גַּם־בִּי֙ הִתְאַנַּ֣ף יְהוָ֔ה בִּגְלַלְכֶ֖ם לֵאמֹ֑ר גַּם־אַתָּ֖ה לֹא־תָבֹ֥א שָֽׁם׃</w:t>
      </w:r>
    </w:p>
    <w:p w14:paraId="54E03ABE"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lang w:eastAsia="de-DE"/>
        </w:rPr>
        <w:t>Deutsch:</w:t>
      </w:r>
      <w:r w:rsidRPr="006538EF">
        <w:rPr>
          <w:rFonts w:eastAsia="Times New Roman"/>
          <w:lang w:eastAsia="de-DE"/>
        </w:rPr>
        <w:t xml:space="preserve"> Auch gegen mich erzürnte der Ewige euretwegen und sprach: Auch du wirst nicht dorthin kommen.</w:t>
      </w:r>
    </w:p>
    <w:p w14:paraId="393A7606" w14:textId="77777777" w:rsidR="006538EF" w:rsidRPr="006538EF" w:rsidRDefault="004F5CEB" w:rsidP="006538EF">
      <w:pPr>
        <w:spacing w:after="0" w:line="240" w:lineRule="auto"/>
        <w:rPr>
          <w:rFonts w:eastAsia="Times New Roman"/>
          <w:lang w:eastAsia="de-DE"/>
        </w:rPr>
      </w:pPr>
      <w:r>
        <w:rPr>
          <w:rFonts w:eastAsia="Times New Roman"/>
          <w:noProof/>
          <w:lang w:eastAsia="de-DE"/>
        </w:rPr>
        <w:pict w14:anchorId="24587415">
          <v:rect id="_x0000_i1061" style="width:0;height:1.5pt" o:hralign="center" o:hrstd="t" o:hr="t" fillcolor="#a0a0a0" stroked="f"/>
        </w:pict>
      </w:r>
    </w:p>
    <w:p w14:paraId="12CE8658"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lang w:eastAsia="de-DE"/>
        </w:rPr>
        <w:t>Kommentar:</w:t>
      </w:r>
      <w:r w:rsidRPr="006538EF">
        <w:rPr>
          <w:rFonts w:eastAsia="Times New Roman"/>
          <w:lang w:eastAsia="de-DE"/>
        </w:rPr>
        <w:t xml:space="preserve"> </w:t>
      </w:r>
      <w:r w:rsidRPr="006538EF">
        <w:rPr>
          <w:rFonts w:eastAsia="Times New Roman"/>
          <w:b/>
          <w:bCs/>
          <w:rtl/>
          <w:lang w:eastAsia="de-DE"/>
        </w:rPr>
        <w:t>גַּם־בִּי</w:t>
      </w:r>
      <w:r w:rsidRPr="006538EF">
        <w:rPr>
          <w:rFonts w:eastAsia="Times New Roman"/>
          <w:rtl/>
          <w:lang w:eastAsia="de-DE"/>
        </w:rPr>
        <w:t xml:space="preserve"> </w:t>
      </w:r>
      <w:r w:rsidRPr="006538EF">
        <w:rPr>
          <w:rFonts w:eastAsia="Times New Roman"/>
          <w:lang w:eastAsia="de-DE"/>
        </w:rPr>
        <w:t xml:space="preserve">ist </w:t>
      </w:r>
      <w:r w:rsidRPr="006538EF">
        <w:rPr>
          <w:rFonts w:eastAsia="Times New Roman"/>
          <w:b/>
          <w:bCs/>
          <w:rtl/>
          <w:lang w:eastAsia="de-DE"/>
        </w:rPr>
        <w:t>גַּם</w:t>
      </w:r>
      <w:r w:rsidRPr="006538EF">
        <w:rPr>
          <w:rFonts w:eastAsia="Times New Roman"/>
          <w:rtl/>
          <w:lang w:eastAsia="de-DE"/>
        </w:rPr>
        <w:t xml:space="preserve"> </w:t>
      </w:r>
      <w:r w:rsidRPr="006538EF">
        <w:rPr>
          <w:rFonts w:eastAsia="Times New Roman"/>
          <w:lang w:eastAsia="de-DE"/>
        </w:rPr>
        <w:t xml:space="preserve">(„auch") mit </w:t>
      </w:r>
      <w:r w:rsidRPr="006538EF">
        <w:rPr>
          <w:rFonts w:eastAsia="Times New Roman"/>
          <w:b/>
          <w:bCs/>
          <w:rtl/>
          <w:lang w:eastAsia="de-DE"/>
        </w:rPr>
        <w:t>בְּ</w:t>
      </w:r>
      <w:r w:rsidRPr="006538EF">
        <w:rPr>
          <w:rFonts w:eastAsia="Times New Roman"/>
          <w:rtl/>
          <w:lang w:eastAsia="de-DE"/>
        </w:rPr>
        <w:t xml:space="preserve"> </w:t>
      </w:r>
      <w:r w:rsidRPr="006538EF">
        <w:rPr>
          <w:rFonts w:eastAsia="Times New Roman"/>
          <w:lang w:eastAsia="de-DE"/>
        </w:rPr>
        <w:t xml:space="preserve">und Pronominalsuffix 1. Person Singular („gegen mich, auf mich"). </w:t>
      </w:r>
      <w:r w:rsidRPr="006538EF">
        <w:rPr>
          <w:rFonts w:eastAsia="Times New Roman"/>
          <w:b/>
          <w:bCs/>
          <w:rtl/>
          <w:lang w:eastAsia="de-DE"/>
        </w:rPr>
        <w:t>הִתְאַנַּף</w:t>
      </w:r>
      <w:r w:rsidRPr="006538EF">
        <w:rPr>
          <w:rFonts w:eastAsia="Times New Roman"/>
          <w:rtl/>
          <w:lang w:eastAsia="de-DE"/>
        </w:rPr>
        <w:t xml:space="preserve"> </w:t>
      </w:r>
      <w:r w:rsidRPr="006538EF">
        <w:rPr>
          <w:rFonts w:eastAsia="Times New Roman"/>
          <w:lang w:eastAsia="de-DE"/>
        </w:rPr>
        <w:t xml:space="preserve">ist Hitpa'el Perfekt, 3. Person maskulin Singular von </w:t>
      </w:r>
      <w:r w:rsidRPr="006538EF">
        <w:rPr>
          <w:rFonts w:eastAsia="Times New Roman"/>
          <w:rtl/>
          <w:lang w:eastAsia="de-DE"/>
        </w:rPr>
        <w:t>אנף</w:t>
      </w:r>
      <w:r w:rsidRPr="006538EF">
        <w:rPr>
          <w:rFonts w:eastAsia="Times New Roman"/>
          <w:lang w:eastAsia="de-DE"/>
        </w:rPr>
        <w:t xml:space="preserve"> („zornig werden, zürnen"). Die Hitpa'el-Form intensiviert die reflexive Bedeutung. </w:t>
      </w:r>
      <w:r w:rsidRPr="006538EF">
        <w:rPr>
          <w:rFonts w:eastAsia="Times New Roman"/>
          <w:b/>
          <w:bCs/>
          <w:rtl/>
          <w:lang w:eastAsia="de-DE"/>
        </w:rPr>
        <w:t>יְהוָה</w:t>
      </w:r>
      <w:r w:rsidRPr="006538EF">
        <w:rPr>
          <w:rFonts w:eastAsia="Times New Roman"/>
          <w:rtl/>
          <w:lang w:eastAsia="de-DE"/>
        </w:rPr>
        <w:t xml:space="preserve"> </w:t>
      </w:r>
      <w:r w:rsidRPr="006538EF">
        <w:rPr>
          <w:rFonts w:eastAsia="Times New Roman"/>
          <w:lang w:eastAsia="de-DE"/>
        </w:rPr>
        <w:t xml:space="preserve">ist Subjekt. </w:t>
      </w:r>
      <w:r w:rsidRPr="006538EF">
        <w:rPr>
          <w:rFonts w:eastAsia="Times New Roman"/>
          <w:b/>
          <w:bCs/>
          <w:rtl/>
          <w:lang w:eastAsia="de-DE"/>
        </w:rPr>
        <w:t>בִּגְלַלְכֶם</w:t>
      </w:r>
      <w:r w:rsidRPr="006538EF">
        <w:rPr>
          <w:rFonts w:eastAsia="Times New Roman"/>
          <w:rtl/>
          <w:lang w:eastAsia="de-DE"/>
        </w:rPr>
        <w:t xml:space="preserve"> </w:t>
      </w:r>
      <w:r w:rsidRPr="006538EF">
        <w:rPr>
          <w:rFonts w:eastAsia="Times New Roman"/>
          <w:lang w:eastAsia="de-DE"/>
        </w:rPr>
        <w:t xml:space="preserve">ist </w:t>
      </w:r>
      <w:r w:rsidRPr="006538EF">
        <w:rPr>
          <w:rFonts w:eastAsia="Times New Roman"/>
          <w:b/>
          <w:bCs/>
          <w:rtl/>
          <w:lang w:eastAsia="de-DE"/>
        </w:rPr>
        <w:t>בְּ</w:t>
      </w:r>
      <w:r w:rsidRPr="006538EF">
        <w:rPr>
          <w:rFonts w:eastAsia="Times New Roman"/>
          <w:rtl/>
          <w:lang w:eastAsia="de-DE"/>
        </w:rPr>
        <w:t xml:space="preserve"> </w:t>
      </w:r>
      <w:r w:rsidRPr="006538EF">
        <w:rPr>
          <w:rFonts w:eastAsia="Times New Roman"/>
          <w:lang w:eastAsia="de-DE"/>
        </w:rPr>
        <w:t xml:space="preserve">mit </w:t>
      </w:r>
      <w:r w:rsidRPr="006538EF">
        <w:rPr>
          <w:rFonts w:eastAsia="Times New Roman"/>
          <w:b/>
          <w:bCs/>
          <w:rtl/>
          <w:lang w:eastAsia="de-DE"/>
        </w:rPr>
        <w:t>גְּלַל</w:t>
      </w:r>
      <w:r w:rsidRPr="006538EF">
        <w:rPr>
          <w:rFonts w:eastAsia="Times New Roman"/>
          <w:rtl/>
          <w:lang w:eastAsia="de-DE"/>
        </w:rPr>
        <w:t xml:space="preserve"> </w:t>
      </w:r>
      <w:r w:rsidRPr="006538EF">
        <w:rPr>
          <w:rFonts w:eastAsia="Times New Roman"/>
          <w:lang w:eastAsia="de-DE"/>
        </w:rPr>
        <w:t xml:space="preserve">(„wegen, um...willen") und Suffix 2. Person maskulin Plural („euretwegen"). </w:t>
      </w:r>
      <w:r w:rsidRPr="006538EF">
        <w:rPr>
          <w:rFonts w:eastAsia="Times New Roman"/>
          <w:b/>
          <w:bCs/>
          <w:rtl/>
          <w:lang w:eastAsia="de-DE"/>
        </w:rPr>
        <w:t>לֵאמֹר</w:t>
      </w:r>
      <w:r w:rsidRPr="006538EF">
        <w:rPr>
          <w:rFonts w:eastAsia="Times New Roman"/>
          <w:rtl/>
          <w:lang w:eastAsia="de-DE"/>
        </w:rPr>
        <w:t xml:space="preserve"> </w:t>
      </w:r>
      <w:r w:rsidRPr="006538EF">
        <w:rPr>
          <w:rFonts w:eastAsia="Times New Roman"/>
          <w:lang w:eastAsia="de-DE"/>
        </w:rPr>
        <w:t>leitet die direkte Rede ein.</w:t>
      </w:r>
    </w:p>
    <w:p w14:paraId="1804A05C"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rtl/>
          <w:lang w:eastAsia="de-DE"/>
        </w:rPr>
        <w:t>גַּם־אַתָּה</w:t>
      </w:r>
      <w:r w:rsidRPr="006538EF">
        <w:rPr>
          <w:rFonts w:eastAsia="Times New Roman"/>
          <w:rtl/>
          <w:lang w:eastAsia="de-DE"/>
        </w:rPr>
        <w:t xml:space="preserve"> </w:t>
      </w:r>
      <w:r w:rsidRPr="006538EF">
        <w:rPr>
          <w:rFonts w:eastAsia="Times New Roman"/>
          <w:lang w:eastAsia="de-DE"/>
        </w:rPr>
        <w:t xml:space="preserve">ist </w:t>
      </w:r>
      <w:r w:rsidRPr="006538EF">
        <w:rPr>
          <w:rFonts w:eastAsia="Times New Roman"/>
          <w:b/>
          <w:bCs/>
          <w:rtl/>
          <w:lang w:eastAsia="de-DE"/>
        </w:rPr>
        <w:t>גַּם</w:t>
      </w:r>
      <w:r w:rsidRPr="006538EF">
        <w:rPr>
          <w:rFonts w:eastAsia="Times New Roman"/>
          <w:rtl/>
          <w:lang w:eastAsia="de-DE"/>
        </w:rPr>
        <w:t xml:space="preserve"> </w:t>
      </w:r>
      <w:r w:rsidRPr="006538EF">
        <w:rPr>
          <w:rFonts w:eastAsia="Times New Roman"/>
          <w:lang w:eastAsia="de-DE"/>
        </w:rPr>
        <w:t xml:space="preserve">mit </w:t>
      </w:r>
      <w:r w:rsidRPr="006538EF">
        <w:rPr>
          <w:rFonts w:eastAsia="Times New Roman"/>
          <w:b/>
          <w:bCs/>
          <w:rtl/>
          <w:lang w:eastAsia="de-DE"/>
        </w:rPr>
        <w:t>אַתָּה</w:t>
      </w:r>
      <w:r w:rsidRPr="006538EF">
        <w:rPr>
          <w:rFonts w:eastAsia="Times New Roman"/>
          <w:rtl/>
          <w:lang w:eastAsia="de-DE"/>
        </w:rPr>
        <w:t xml:space="preserve"> </w:t>
      </w:r>
      <w:r w:rsidRPr="006538EF">
        <w:rPr>
          <w:rFonts w:eastAsia="Times New Roman"/>
          <w:lang w:eastAsia="de-DE"/>
        </w:rPr>
        <w:t xml:space="preserve">(„auch du"). </w:t>
      </w:r>
      <w:r w:rsidRPr="006538EF">
        <w:rPr>
          <w:rFonts w:eastAsia="Times New Roman"/>
          <w:b/>
          <w:bCs/>
          <w:rtl/>
          <w:lang w:eastAsia="de-DE"/>
        </w:rPr>
        <w:t>לֹא־תָבֹא</w:t>
      </w:r>
      <w:r w:rsidRPr="006538EF">
        <w:rPr>
          <w:rFonts w:eastAsia="Times New Roman"/>
          <w:rtl/>
          <w:lang w:eastAsia="de-DE"/>
        </w:rPr>
        <w:t xml:space="preserve"> </w:t>
      </w:r>
      <w:r w:rsidRPr="006538EF">
        <w:rPr>
          <w:rFonts w:eastAsia="Times New Roman"/>
          <w:lang w:eastAsia="de-DE"/>
        </w:rPr>
        <w:t xml:space="preserve">ist Negation mit Qal Imperfekt, 2. Person maskulin Singular von </w:t>
      </w:r>
      <w:r w:rsidRPr="006538EF">
        <w:rPr>
          <w:rFonts w:eastAsia="Times New Roman"/>
          <w:rtl/>
          <w:lang w:eastAsia="de-DE"/>
        </w:rPr>
        <w:t>בוא</w:t>
      </w:r>
      <w:r w:rsidRPr="006538EF">
        <w:rPr>
          <w:rFonts w:eastAsia="Times New Roman"/>
          <w:lang w:eastAsia="de-DE"/>
        </w:rPr>
        <w:t xml:space="preserve">. </w:t>
      </w:r>
      <w:r w:rsidRPr="006538EF">
        <w:rPr>
          <w:rFonts w:eastAsia="Times New Roman"/>
          <w:b/>
          <w:bCs/>
          <w:rtl/>
          <w:lang w:eastAsia="de-DE"/>
        </w:rPr>
        <w:t>שָׁם</w:t>
      </w:r>
      <w:r w:rsidRPr="006538EF">
        <w:rPr>
          <w:rFonts w:eastAsia="Times New Roman"/>
          <w:rtl/>
          <w:lang w:eastAsia="de-DE"/>
        </w:rPr>
        <w:t xml:space="preserve"> </w:t>
      </w:r>
      <w:r w:rsidRPr="006538EF">
        <w:rPr>
          <w:rFonts w:eastAsia="Times New Roman"/>
          <w:lang w:eastAsia="de-DE"/>
        </w:rPr>
        <w:t>ist das lokale Adverb („dorthin, dort").</w:t>
      </w:r>
    </w:p>
    <w:p w14:paraId="04889A5B"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b/>
          <w:bCs/>
          <w:lang w:eastAsia="de-DE"/>
        </w:rPr>
        <w:t>Die LXX</w:t>
      </w:r>
      <w:r w:rsidRPr="006538EF">
        <w:rPr>
          <w:rFonts w:eastAsia="Times New Roman"/>
          <w:lang w:eastAsia="de-DE"/>
        </w:rPr>
        <w:t xml:space="preserve"> übersetzt mit „καὶ </w:t>
      </w:r>
      <w:proofErr w:type="spellStart"/>
      <w:r w:rsidRPr="006538EF">
        <w:rPr>
          <w:rFonts w:eastAsia="Times New Roman"/>
          <w:lang w:eastAsia="de-DE"/>
        </w:rPr>
        <w:t>ἐμοὶ</w:t>
      </w:r>
      <w:proofErr w:type="spellEnd"/>
      <w:r w:rsidRPr="006538EF">
        <w:rPr>
          <w:rFonts w:eastAsia="Times New Roman"/>
          <w:lang w:eastAsia="de-DE"/>
        </w:rPr>
        <w:t xml:space="preserve"> </w:t>
      </w:r>
      <w:proofErr w:type="spellStart"/>
      <w:r w:rsidRPr="006538EF">
        <w:rPr>
          <w:rFonts w:eastAsia="Times New Roman"/>
          <w:lang w:eastAsia="de-DE"/>
        </w:rPr>
        <w:t>ἐθυμώθη</w:t>
      </w:r>
      <w:proofErr w:type="spellEnd"/>
      <w:r w:rsidRPr="006538EF">
        <w:rPr>
          <w:rFonts w:eastAsia="Times New Roman"/>
          <w:lang w:eastAsia="de-DE"/>
        </w:rPr>
        <w:t xml:space="preserve"> </w:t>
      </w:r>
      <w:proofErr w:type="spellStart"/>
      <w:r w:rsidRPr="006538EF">
        <w:rPr>
          <w:rFonts w:eastAsia="Times New Roman"/>
          <w:lang w:eastAsia="de-DE"/>
        </w:rPr>
        <w:t>κύριος</w:t>
      </w:r>
      <w:proofErr w:type="spellEnd"/>
      <w:r w:rsidRPr="006538EF">
        <w:rPr>
          <w:rFonts w:eastAsia="Times New Roman"/>
          <w:lang w:eastAsia="de-DE"/>
        </w:rPr>
        <w:t xml:space="preserve"> </w:t>
      </w:r>
      <w:proofErr w:type="spellStart"/>
      <w:r w:rsidRPr="006538EF">
        <w:rPr>
          <w:rFonts w:eastAsia="Times New Roman"/>
          <w:lang w:eastAsia="de-DE"/>
        </w:rPr>
        <w:t>δι</w:t>
      </w:r>
      <w:proofErr w:type="spellEnd"/>
      <w:r w:rsidRPr="006538EF">
        <w:rPr>
          <w:rFonts w:eastAsia="Times New Roman"/>
          <w:lang w:eastAsia="de-DE"/>
        </w:rPr>
        <w:t xml:space="preserve">' </w:t>
      </w:r>
      <w:proofErr w:type="spellStart"/>
      <w:r w:rsidRPr="006538EF">
        <w:rPr>
          <w:rFonts w:eastAsia="Times New Roman"/>
          <w:lang w:eastAsia="de-DE"/>
        </w:rPr>
        <w:t>ὑμᾶς</w:t>
      </w:r>
      <w:proofErr w:type="spellEnd"/>
      <w:r w:rsidRPr="006538EF">
        <w:rPr>
          <w:rFonts w:eastAsia="Times New Roman"/>
          <w:lang w:eastAsia="de-DE"/>
        </w:rPr>
        <w:t>" („und gegen mich zürnte der Herr eurethalben").</w:t>
      </w:r>
    </w:p>
    <w:p w14:paraId="079639A1" w14:textId="77777777"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lang w:eastAsia="de-DE"/>
        </w:rPr>
        <w:t>Die Satzstruktur besteht aus einem Hauptsatz (</w:t>
      </w:r>
      <w:r w:rsidRPr="006538EF">
        <w:rPr>
          <w:rFonts w:eastAsia="Times New Roman"/>
          <w:b/>
          <w:bCs/>
          <w:rtl/>
          <w:lang w:eastAsia="de-DE"/>
        </w:rPr>
        <w:t>גַּם־בִּי הִתְאַנַּף יְהוָה בִּגְלַלְכֶם</w:t>
      </w:r>
      <w:r w:rsidRPr="006538EF">
        <w:rPr>
          <w:rFonts w:eastAsia="Times New Roman"/>
          <w:lang w:eastAsia="de-DE"/>
        </w:rPr>
        <w:t>) mit Einleitungsformel und direkter Rede, die einen negierten Verbalsatz enthält (</w:t>
      </w:r>
      <w:r w:rsidRPr="006538EF">
        <w:rPr>
          <w:rFonts w:eastAsia="Times New Roman"/>
          <w:b/>
          <w:bCs/>
          <w:rtl/>
          <w:lang w:eastAsia="de-DE"/>
        </w:rPr>
        <w:t>גַּם־אַתָּה לֹא־תָבֹא שָׁם</w:t>
      </w:r>
      <w:r w:rsidRPr="006538EF">
        <w:rPr>
          <w:rFonts w:eastAsia="Times New Roman"/>
          <w:lang w:eastAsia="de-DE"/>
        </w:rPr>
        <w:t>).</w:t>
      </w:r>
    </w:p>
    <w:p w14:paraId="292D7B2E" w14:textId="6263221F" w:rsidR="006538EF" w:rsidRPr="006538EF" w:rsidRDefault="006538EF" w:rsidP="006538EF">
      <w:pPr>
        <w:spacing w:before="100" w:beforeAutospacing="1" w:after="100" w:afterAutospacing="1" w:line="240" w:lineRule="auto"/>
        <w:rPr>
          <w:rFonts w:eastAsia="Times New Roman"/>
          <w:lang w:eastAsia="de-DE"/>
        </w:rPr>
      </w:pPr>
      <w:r w:rsidRPr="006538EF">
        <w:rPr>
          <w:rFonts w:eastAsia="Times New Roman"/>
          <w:lang w:eastAsia="de-DE"/>
        </w:rPr>
        <w:t>Der Vers bezieht Moses selbst in das Gerichtsurteil ein: Auch er darf das Land nicht betreten, allerdings „euretwegen", was seine Solidarität mit dem Volk betont. Dies verweist auf das spätere Ereignis bei Meriba (Num 20,12; Dtn 32,51).</w:t>
      </w:r>
      <w:r w:rsidR="00FE3DFE">
        <w:rPr>
          <w:rFonts w:eastAsia="Times New Roman"/>
          <w:lang w:eastAsia="de-DE"/>
        </w:rPr>
        <w:t xml:space="preserve"> </w:t>
      </w:r>
      <w:r w:rsidR="00FE3DFE">
        <w:t>Hier liegt eine andere Tradition vor als in Numeri (dort wegen des Schlagens des Felsens, hier "euretwegen").</w:t>
      </w:r>
    </w:p>
    <w:p w14:paraId="3919F0EF" w14:textId="77777777" w:rsidR="008D099B" w:rsidRPr="008D099B" w:rsidRDefault="008D099B" w:rsidP="008D099B">
      <w:pPr>
        <w:spacing w:before="100" w:beforeAutospacing="1" w:after="100" w:afterAutospacing="1" w:line="240" w:lineRule="auto"/>
        <w:outlineLvl w:val="1"/>
        <w:rPr>
          <w:rFonts w:eastAsia="Times New Roman"/>
          <w:b/>
          <w:bCs/>
          <w:sz w:val="36"/>
          <w:szCs w:val="36"/>
          <w:lang w:eastAsia="de-DE"/>
        </w:rPr>
      </w:pPr>
      <w:r w:rsidRPr="008D099B">
        <w:rPr>
          <w:rFonts w:eastAsia="Times New Roman"/>
          <w:b/>
          <w:bCs/>
          <w:sz w:val="36"/>
          <w:szCs w:val="36"/>
          <w:lang w:eastAsia="de-DE"/>
        </w:rPr>
        <w:t>Deuteronomium 1,38</w:t>
      </w:r>
    </w:p>
    <w:p w14:paraId="333CDD5D"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Hebräisch:</w:t>
      </w:r>
      <w:r w:rsidRPr="008D099B">
        <w:rPr>
          <w:rFonts w:eastAsia="Times New Roman"/>
          <w:lang w:eastAsia="de-DE"/>
        </w:rPr>
        <w:t xml:space="preserve"> </w:t>
      </w:r>
      <w:r w:rsidRPr="008D099B">
        <w:rPr>
          <w:rFonts w:eastAsia="Times New Roman"/>
          <w:rtl/>
          <w:lang w:eastAsia="de-DE"/>
        </w:rPr>
        <w:t>יְהוֹשֻׁ֤עַ בִּן־נוּן֙ הָעֹמֵ֣ד לְפָנֶ֔יךָ ה֖וּא יָ֣בֹא שָׁ֑מָּה אֹתוֹ֣ חַזֵּ֔ק כִּי־ה֖וּא יַנְחִלֶ֥נָּה אֶת־יִשְׂרָאֵֽל׃</w:t>
      </w:r>
    </w:p>
    <w:p w14:paraId="4104F8C6"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Deutsch:</w:t>
      </w:r>
      <w:r w:rsidRPr="008D099B">
        <w:rPr>
          <w:rFonts w:eastAsia="Times New Roman"/>
          <w:lang w:eastAsia="de-DE"/>
        </w:rPr>
        <w:t xml:space="preserve"> Jehoschua, der Sohn Nuns, der vor dir stehend (ist), wird dorthin kommen. Ihn stärke, denn er wird es Jisra'el als Erbe austeilen.</w:t>
      </w:r>
    </w:p>
    <w:p w14:paraId="76C8A269" w14:textId="77777777" w:rsidR="008D099B" w:rsidRPr="008D099B" w:rsidRDefault="004F5CEB" w:rsidP="008D099B">
      <w:pPr>
        <w:spacing w:after="0" w:line="240" w:lineRule="auto"/>
        <w:rPr>
          <w:rFonts w:eastAsia="Times New Roman"/>
          <w:lang w:eastAsia="de-DE"/>
        </w:rPr>
      </w:pPr>
      <w:r>
        <w:rPr>
          <w:rFonts w:eastAsia="Times New Roman"/>
          <w:noProof/>
          <w:lang w:eastAsia="de-DE"/>
        </w:rPr>
        <w:pict w14:anchorId="2720904C">
          <v:rect id="_x0000_i1062" style="width:0;height:1.5pt" o:hralign="center" o:hrstd="t" o:hr="t" fillcolor="#a0a0a0" stroked="f"/>
        </w:pict>
      </w:r>
    </w:p>
    <w:p w14:paraId="0A0B9839" w14:textId="615E42CC"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Kommentar:</w:t>
      </w:r>
      <w:r w:rsidRPr="008D099B">
        <w:rPr>
          <w:rFonts w:eastAsia="Times New Roman"/>
          <w:lang w:eastAsia="de-DE"/>
        </w:rPr>
        <w:t xml:space="preserve"> </w:t>
      </w:r>
      <w:r w:rsidRPr="008D099B">
        <w:rPr>
          <w:rFonts w:eastAsia="Times New Roman"/>
          <w:b/>
          <w:bCs/>
          <w:rtl/>
          <w:lang w:eastAsia="de-DE"/>
        </w:rPr>
        <w:t>יְהוֹשֻׁעַ בִּן־נוּן</w:t>
      </w:r>
      <w:r w:rsidRPr="008D099B">
        <w:rPr>
          <w:rFonts w:eastAsia="Times New Roman"/>
          <w:rtl/>
          <w:lang w:eastAsia="de-DE"/>
        </w:rPr>
        <w:t xml:space="preserve"> </w:t>
      </w:r>
      <w:r w:rsidRPr="008D099B">
        <w:rPr>
          <w:rFonts w:eastAsia="Times New Roman"/>
          <w:lang w:eastAsia="de-DE"/>
        </w:rPr>
        <w:t xml:space="preserve">ist ein Eigenname mit Patronym: </w:t>
      </w:r>
      <w:r w:rsidRPr="008D099B">
        <w:rPr>
          <w:rFonts w:eastAsia="Times New Roman"/>
          <w:b/>
          <w:bCs/>
          <w:rtl/>
          <w:lang w:eastAsia="de-DE"/>
        </w:rPr>
        <w:t>יְהוֹשֻׁעַ</w:t>
      </w:r>
      <w:r w:rsidRPr="008D099B">
        <w:rPr>
          <w:rFonts w:eastAsia="Times New Roman"/>
          <w:rtl/>
          <w:lang w:eastAsia="de-DE"/>
        </w:rPr>
        <w:t xml:space="preserve"> </w:t>
      </w:r>
      <w:r w:rsidRPr="008D099B">
        <w:rPr>
          <w:rFonts w:eastAsia="Times New Roman"/>
          <w:lang w:eastAsia="de-DE"/>
        </w:rPr>
        <w:t xml:space="preserve">(„Josua") mit </w:t>
      </w:r>
      <w:r w:rsidRPr="008D099B">
        <w:rPr>
          <w:rFonts w:eastAsia="Times New Roman"/>
          <w:b/>
          <w:bCs/>
          <w:rtl/>
          <w:lang w:eastAsia="de-DE"/>
        </w:rPr>
        <w:t>בִּן־נוּן</w:t>
      </w:r>
      <w:r w:rsidRPr="008D099B">
        <w:rPr>
          <w:rFonts w:eastAsia="Times New Roman"/>
          <w:rtl/>
          <w:lang w:eastAsia="de-DE"/>
        </w:rPr>
        <w:t xml:space="preserve"> </w:t>
      </w:r>
      <w:r w:rsidRPr="008D099B">
        <w:rPr>
          <w:rFonts w:eastAsia="Times New Roman"/>
          <w:lang w:eastAsia="de-DE"/>
        </w:rPr>
        <w:t xml:space="preserve">(„Sohn Nuns"). Der Name </w:t>
      </w:r>
      <w:r w:rsidRPr="008D099B">
        <w:rPr>
          <w:rFonts w:eastAsia="Times New Roman"/>
          <w:b/>
          <w:bCs/>
          <w:rtl/>
          <w:lang w:eastAsia="de-DE"/>
        </w:rPr>
        <w:t>יְהוֹשֻׁעַ</w:t>
      </w:r>
      <w:r w:rsidRPr="008D099B">
        <w:rPr>
          <w:rFonts w:eastAsia="Times New Roman"/>
          <w:rtl/>
          <w:lang w:eastAsia="de-DE"/>
        </w:rPr>
        <w:t xml:space="preserve"> </w:t>
      </w:r>
      <w:r w:rsidRPr="008D099B">
        <w:rPr>
          <w:rFonts w:eastAsia="Times New Roman"/>
          <w:lang w:eastAsia="de-DE"/>
        </w:rPr>
        <w:t xml:space="preserve">bedeutet „JHWH ist Rettung". </w:t>
      </w:r>
      <w:r w:rsidRPr="008D099B">
        <w:rPr>
          <w:rFonts w:eastAsia="Times New Roman"/>
          <w:b/>
          <w:bCs/>
          <w:rtl/>
          <w:lang w:eastAsia="de-DE"/>
        </w:rPr>
        <w:t>הָעֹמֵד לְפָנֶיךָ</w:t>
      </w:r>
      <w:r w:rsidRPr="008D099B">
        <w:rPr>
          <w:rFonts w:eastAsia="Times New Roman"/>
          <w:rtl/>
          <w:lang w:eastAsia="de-DE"/>
        </w:rPr>
        <w:t xml:space="preserve"> </w:t>
      </w:r>
      <w:r w:rsidRPr="008D099B">
        <w:rPr>
          <w:rFonts w:eastAsia="Times New Roman"/>
          <w:lang w:eastAsia="de-DE"/>
        </w:rPr>
        <w:t xml:space="preserve">ist ein attributives Partizip: </w:t>
      </w:r>
      <w:r w:rsidRPr="008D099B">
        <w:rPr>
          <w:rFonts w:eastAsia="Times New Roman"/>
          <w:b/>
          <w:bCs/>
          <w:rtl/>
          <w:lang w:eastAsia="de-DE"/>
        </w:rPr>
        <w:t>הָעֹמֵד</w:t>
      </w:r>
      <w:r w:rsidRPr="008D099B">
        <w:rPr>
          <w:rFonts w:eastAsia="Times New Roman"/>
          <w:rtl/>
          <w:lang w:eastAsia="de-DE"/>
        </w:rPr>
        <w:t xml:space="preserve"> </w:t>
      </w:r>
      <w:r w:rsidRPr="008D099B">
        <w:rPr>
          <w:rFonts w:eastAsia="Times New Roman"/>
          <w:lang w:eastAsia="de-DE"/>
        </w:rPr>
        <w:t xml:space="preserve">ist Qal Partizip aktiv, maskulin Singular von </w:t>
      </w:r>
      <w:r w:rsidRPr="008D099B">
        <w:rPr>
          <w:rFonts w:eastAsia="Times New Roman"/>
          <w:rtl/>
          <w:lang w:eastAsia="de-DE"/>
        </w:rPr>
        <w:t>עמד</w:t>
      </w:r>
      <w:r w:rsidRPr="008D099B">
        <w:rPr>
          <w:rFonts w:eastAsia="Times New Roman"/>
          <w:lang w:eastAsia="de-DE"/>
        </w:rPr>
        <w:t xml:space="preserve"> („stehen") mit Artikel. Die Phrase </w:t>
      </w:r>
      <w:r w:rsidRPr="008D099B">
        <w:rPr>
          <w:rFonts w:eastAsia="Times New Roman"/>
          <w:b/>
          <w:bCs/>
          <w:rtl/>
          <w:lang w:eastAsia="de-DE"/>
        </w:rPr>
        <w:t>לְפָנֶיךָ</w:t>
      </w:r>
      <w:r w:rsidRPr="008D099B">
        <w:rPr>
          <w:rFonts w:eastAsia="Times New Roman"/>
          <w:rtl/>
          <w:lang w:eastAsia="de-DE"/>
        </w:rPr>
        <w:t xml:space="preserve"> </w:t>
      </w:r>
      <w:r w:rsidRPr="008D099B">
        <w:rPr>
          <w:rFonts w:eastAsia="Times New Roman"/>
          <w:lang w:eastAsia="de-DE"/>
        </w:rPr>
        <w:t xml:space="preserve">besteht aus </w:t>
      </w:r>
      <w:r w:rsidRPr="008D099B">
        <w:rPr>
          <w:rFonts w:eastAsia="Times New Roman"/>
          <w:b/>
          <w:bCs/>
          <w:rtl/>
          <w:lang w:eastAsia="de-DE"/>
        </w:rPr>
        <w:t>לְ</w:t>
      </w:r>
      <w:r w:rsidRPr="008D099B">
        <w:rPr>
          <w:rFonts w:eastAsia="Times New Roman"/>
          <w:rtl/>
          <w:lang w:eastAsia="de-DE"/>
        </w:rPr>
        <w:t xml:space="preserve"> </w:t>
      </w:r>
      <w:r w:rsidRPr="008D099B">
        <w:rPr>
          <w:rFonts w:eastAsia="Times New Roman"/>
          <w:lang w:eastAsia="de-DE"/>
        </w:rPr>
        <w:t xml:space="preserve">mit </w:t>
      </w:r>
      <w:r w:rsidRPr="008D099B">
        <w:rPr>
          <w:rFonts w:eastAsia="Times New Roman"/>
          <w:b/>
          <w:bCs/>
          <w:rtl/>
          <w:lang w:eastAsia="de-DE"/>
        </w:rPr>
        <w:t>פָּנִים</w:t>
      </w:r>
      <w:r w:rsidRPr="008D099B">
        <w:rPr>
          <w:rFonts w:eastAsia="Times New Roman"/>
          <w:rtl/>
          <w:lang w:eastAsia="de-DE"/>
        </w:rPr>
        <w:t xml:space="preserve"> </w:t>
      </w:r>
      <w:r w:rsidRPr="008D099B">
        <w:rPr>
          <w:rFonts w:eastAsia="Times New Roman"/>
          <w:lang w:eastAsia="de-DE"/>
        </w:rPr>
        <w:t xml:space="preserve">(„Angesicht") im Plural </w:t>
      </w:r>
      <w:r w:rsidR="0032647F">
        <w:rPr>
          <w:rFonts w:eastAsia="Times New Roman"/>
          <w:lang w:eastAsia="de-DE"/>
        </w:rPr>
        <w:t>Construct</w:t>
      </w:r>
      <w:r w:rsidRPr="008D099B">
        <w:rPr>
          <w:rFonts w:eastAsia="Times New Roman"/>
          <w:lang w:eastAsia="de-DE"/>
        </w:rPr>
        <w:t xml:space="preserve"> und Suffix 2. Person maskulin Singular („vor dir"). Diese Wendung bezeichnet einen persönlichen Diener oder </w:t>
      </w:r>
      <w:r w:rsidRPr="008D099B">
        <w:rPr>
          <w:rFonts w:eastAsia="Times New Roman"/>
          <w:lang w:eastAsia="de-DE"/>
        </w:rPr>
        <w:lastRenderedPageBreak/>
        <w:t xml:space="preserve">Assistenten. </w:t>
      </w:r>
      <w:r w:rsidRPr="008D099B">
        <w:rPr>
          <w:rFonts w:eastAsia="Times New Roman"/>
          <w:b/>
          <w:bCs/>
          <w:rtl/>
          <w:lang w:eastAsia="de-DE"/>
        </w:rPr>
        <w:t>הוּא</w:t>
      </w:r>
      <w:r w:rsidRPr="008D099B">
        <w:rPr>
          <w:rFonts w:eastAsia="Times New Roman"/>
          <w:rtl/>
          <w:lang w:eastAsia="de-DE"/>
        </w:rPr>
        <w:t xml:space="preserve"> </w:t>
      </w:r>
      <w:r w:rsidRPr="008D099B">
        <w:rPr>
          <w:rFonts w:eastAsia="Times New Roman"/>
          <w:lang w:eastAsia="de-DE"/>
        </w:rPr>
        <w:t xml:space="preserve">ist ein verstärkendes oder wiederaufnehmendes Personalpronomen („er"). </w:t>
      </w:r>
      <w:r w:rsidRPr="008D099B">
        <w:rPr>
          <w:rFonts w:eastAsia="Times New Roman"/>
          <w:b/>
          <w:bCs/>
          <w:rtl/>
          <w:lang w:eastAsia="de-DE"/>
        </w:rPr>
        <w:t>יָבֹא</w:t>
      </w:r>
      <w:r w:rsidRPr="008D099B">
        <w:rPr>
          <w:rFonts w:eastAsia="Times New Roman"/>
          <w:rtl/>
          <w:lang w:eastAsia="de-DE"/>
        </w:rPr>
        <w:t xml:space="preserve"> </w:t>
      </w:r>
      <w:r w:rsidRPr="008D099B">
        <w:rPr>
          <w:rFonts w:eastAsia="Times New Roman"/>
          <w:lang w:eastAsia="de-DE"/>
        </w:rPr>
        <w:t xml:space="preserve">ist Qal Imperfekt, 3. Person maskulin Singular von </w:t>
      </w:r>
      <w:r w:rsidRPr="008D099B">
        <w:rPr>
          <w:rFonts w:eastAsia="Times New Roman"/>
          <w:rtl/>
          <w:lang w:eastAsia="de-DE"/>
        </w:rPr>
        <w:t>בוא</w:t>
      </w:r>
      <w:r w:rsidRPr="008D099B">
        <w:rPr>
          <w:rFonts w:eastAsia="Times New Roman"/>
          <w:lang w:eastAsia="de-DE"/>
        </w:rPr>
        <w:t xml:space="preserve"> („kommen, hineingehen"). </w:t>
      </w:r>
      <w:r w:rsidRPr="008D099B">
        <w:rPr>
          <w:rFonts w:eastAsia="Times New Roman"/>
          <w:b/>
          <w:bCs/>
          <w:rtl/>
          <w:lang w:eastAsia="de-DE"/>
        </w:rPr>
        <w:t>שָׁמָּה</w:t>
      </w:r>
      <w:r w:rsidRPr="008D099B">
        <w:rPr>
          <w:rFonts w:eastAsia="Times New Roman"/>
          <w:rtl/>
          <w:lang w:eastAsia="de-DE"/>
        </w:rPr>
        <w:t xml:space="preserve"> </w:t>
      </w:r>
      <w:r w:rsidRPr="008D099B">
        <w:rPr>
          <w:rFonts w:eastAsia="Times New Roman"/>
          <w:lang w:eastAsia="de-DE"/>
        </w:rPr>
        <w:t>ist ein lokales Adverb („dorthin") mit He locale, das die Richtung betont.</w:t>
      </w:r>
    </w:p>
    <w:p w14:paraId="79DB82C4"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rtl/>
          <w:lang w:eastAsia="de-DE"/>
        </w:rPr>
        <w:t>אֹתוֹ חַזֵּק</w:t>
      </w:r>
      <w:r w:rsidRPr="008D099B">
        <w:rPr>
          <w:rFonts w:eastAsia="Times New Roman"/>
          <w:rtl/>
          <w:lang w:eastAsia="de-DE"/>
        </w:rPr>
        <w:t xml:space="preserve"> </w:t>
      </w:r>
      <w:r w:rsidRPr="008D099B">
        <w:rPr>
          <w:rFonts w:eastAsia="Times New Roman"/>
          <w:lang w:eastAsia="de-DE"/>
        </w:rPr>
        <w:t xml:space="preserve">besteht aus der Objektpartikel </w:t>
      </w:r>
      <w:r w:rsidRPr="008D099B">
        <w:rPr>
          <w:rFonts w:eastAsia="Times New Roman"/>
          <w:b/>
          <w:bCs/>
          <w:rtl/>
          <w:lang w:eastAsia="de-DE"/>
        </w:rPr>
        <w:t>אֵת</w:t>
      </w:r>
      <w:r w:rsidRPr="008D099B">
        <w:rPr>
          <w:rFonts w:eastAsia="Times New Roman"/>
          <w:rtl/>
          <w:lang w:eastAsia="de-DE"/>
        </w:rPr>
        <w:t xml:space="preserve"> </w:t>
      </w:r>
      <w:r w:rsidRPr="008D099B">
        <w:rPr>
          <w:rFonts w:eastAsia="Times New Roman"/>
          <w:lang w:eastAsia="de-DE"/>
        </w:rPr>
        <w:t xml:space="preserve">mit Pronominalsuffix 3. Person maskulin Singular („ihn") und </w:t>
      </w:r>
      <w:r w:rsidRPr="008D099B">
        <w:rPr>
          <w:rFonts w:eastAsia="Times New Roman"/>
          <w:b/>
          <w:bCs/>
          <w:rtl/>
          <w:lang w:eastAsia="de-DE"/>
        </w:rPr>
        <w:t>חַזֵּק</w:t>
      </w:r>
      <w:r w:rsidRPr="008D099B">
        <w:rPr>
          <w:rFonts w:eastAsia="Times New Roman"/>
          <w:lang w:eastAsia="de-DE"/>
        </w:rPr>
        <w:t xml:space="preserve">, einem Piel Imperativ maskulin Singular von </w:t>
      </w:r>
      <w:r w:rsidRPr="008D099B">
        <w:rPr>
          <w:rFonts w:eastAsia="Times New Roman"/>
          <w:rtl/>
          <w:lang w:eastAsia="de-DE"/>
        </w:rPr>
        <w:t>חזק</w:t>
      </w:r>
      <w:r w:rsidRPr="008D099B">
        <w:rPr>
          <w:rFonts w:eastAsia="Times New Roman"/>
          <w:lang w:eastAsia="de-DE"/>
        </w:rPr>
        <w:t xml:space="preserve"> („stark machen, stärken, ermutigen"). Die Piel-Form hat intensive oder kausative Bedeutung. Die Wortstellung mit vorangestelltem Objekt verleiht der Aufforderung besonderen Nachdruck.</w:t>
      </w:r>
    </w:p>
    <w:p w14:paraId="7534A504"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rtl/>
          <w:lang w:eastAsia="de-DE"/>
        </w:rPr>
        <w:t>כִּי־הוּא יַנְחִלֶנָּה אֶת־יִשְׂרָאֵל</w:t>
      </w:r>
      <w:r w:rsidRPr="008D099B">
        <w:rPr>
          <w:rFonts w:eastAsia="Times New Roman"/>
          <w:rtl/>
          <w:lang w:eastAsia="de-DE"/>
        </w:rPr>
        <w:t xml:space="preserve"> </w:t>
      </w:r>
      <w:r w:rsidRPr="008D099B">
        <w:rPr>
          <w:rFonts w:eastAsia="Times New Roman"/>
          <w:lang w:eastAsia="de-DE"/>
        </w:rPr>
        <w:t xml:space="preserve">ist eine kausale Begründung: </w:t>
      </w:r>
      <w:r w:rsidRPr="008D099B">
        <w:rPr>
          <w:rFonts w:eastAsia="Times New Roman"/>
          <w:b/>
          <w:bCs/>
          <w:rtl/>
          <w:lang w:eastAsia="de-DE"/>
        </w:rPr>
        <w:t>כִּי</w:t>
      </w:r>
      <w:r w:rsidRPr="008D099B">
        <w:rPr>
          <w:rFonts w:eastAsia="Times New Roman"/>
          <w:rtl/>
          <w:lang w:eastAsia="de-DE"/>
        </w:rPr>
        <w:t xml:space="preserve"> </w:t>
      </w:r>
      <w:r w:rsidRPr="008D099B">
        <w:rPr>
          <w:rFonts w:eastAsia="Times New Roman"/>
          <w:lang w:eastAsia="de-DE"/>
        </w:rPr>
        <w:t xml:space="preserve">(„denn, weil") leitet die Begründung für den Imperativ ein. </w:t>
      </w:r>
      <w:r w:rsidRPr="008D099B">
        <w:rPr>
          <w:rFonts w:eastAsia="Times New Roman"/>
          <w:b/>
          <w:bCs/>
          <w:rtl/>
          <w:lang w:eastAsia="de-DE"/>
        </w:rPr>
        <w:t>הוּא</w:t>
      </w:r>
      <w:r w:rsidRPr="008D099B">
        <w:rPr>
          <w:rFonts w:eastAsia="Times New Roman"/>
          <w:rtl/>
          <w:lang w:eastAsia="de-DE"/>
        </w:rPr>
        <w:t xml:space="preserve"> </w:t>
      </w:r>
      <w:r w:rsidRPr="008D099B">
        <w:rPr>
          <w:rFonts w:eastAsia="Times New Roman"/>
          <w:lang w:eastAsia="de-DE"/>
        </w:rPr>
        <w:t xml:space="preserve">ist das betonende Subjekt. </w:t>
      </w:r>
      <w:r w:rsidRPr="008D099B">
        <w:rPr>
          <w:rFonts w:eastAsia="Times New Roman"/>
          <w:b/>
          <w:bCs/>
          <w:rtl/>
          <w:lang w:eastAsia="de-DE"/>
        </w:rPr>
        <w:t>יַנְחִלֶנָּה</w:t>
      </w:r>
      <w:r w:rsidRPr="008D099B">
        <w:rPr>
          <w:rFonts w:eastAsia="Times New Roman"/>
          <w:rtl/>
          <w:lang w:eastAsia="de-DE"/>
        </w:rPr>
        <w:t xml:space="preserve"> </w:t>
      </w:r>
      <w:r w:rsidRPr="008D099B">
        <w:rPr>
          <w:rFonts w:eastAsia="Times New Roman"/>
          <w:lang w:eastAsia="de-DE"/>
        </w:rPr>
        <w:t xml:space="preserve">ist Hif'il Imperfekt, 3. Person maskulin Singular von </w:t>
      </w:r>
      <w:r w:rsidRPr="008D099B">
        <w:rPr>
          <w:rFonts w:eastAsia="Times New Roman"/>
          <w:rtl/>
          <w:lang w:eastAsia="de-DE"/>
        </w:rPr>
        <w:t>נחל</w:t>
      </w:r>
      <w:r w:rsidRPr="008D099B">
        <w:rPr>
          <w:rFonts w:eastAsia="Times New Roman"/>
          <w:lang w:eastAsia="de-DE"/>
        </w:rPr>
        <w:t xml:space="preserve"> („als Erbe besitzen" im Qal, „als Erbe geben, austeilen" im Hif'il) mit dem Objektsuffix 3. Person feminin Singular </w:t>
      </w:r>
      <w:r w:rsidRPr="008D099B">
        <w:rPr>
          <w:rFonts w:eastAsia="Times New Roman"/>
          <w:b/>
          <w:bCs/>
          <w:rtl/>
          <w:lang w:eastAsia="de-DE"/>
        </w:rPr>
        <w:t>נָּה</w:t>
      </w:r>
      <w:r w:rsidRPr="008D099B">
        <w:rPr>
          <w:rFonts w:eastAsia="Times New Roman"/>
          <w:rtl/>
          <w:lang w:eastAsia="de-DE"/>
        </w:rPr>
        <w:t xml:space="preserve"> </w:t>
      </w:r>
      <w:r w:rsidRPr="008D099B">
        <w:rPr>
          <w:rFonts w:eastAsia="Times New Roman"/>
          <w:lang w:eastAsia="de-DE"/>
        </w:rPr>
        <w:t xml:space="preserve">(bezogen auf </w:t>
      </w:r>
      <w:r w:rsidRPr="008D099B">
        <w:rPr>
          <w:rFonts w:eastAsia="Times New Roman"/>
          <w:b/>
          <w:bCs/>
          <w:rtl/>
          <w:lang w:eastAsia="de-DE"/>
        </w:rPr>
        <w:t>הָאָרֶץ</w:t>
      </w:r>
      <w:r w:rsidRPr="008D099B">
        <w:rPr>
          <w:rFonts w:eastAsia="Times New Roman"/>
          <w:rtl/>
          <w:lang w:eastAsia="de-DE"/>
        </w:rPr>
        <w:t xml:space="preserve"> </w:t>
      </w:r>
      <w:r w:rsidRPr="008D099B">
        <w:rPr>
          <w:rFonts w:eastAsia="Times New Roman"/>
          <w:lang w:eastAsia="de-DE"/>
        </w:rPr>
        <w:t xml:space="preserve">aus dem Kontext). </w:t>
      </w:r>
      <w:r w:rsidRPr="008D099B">
        <w:rPr>
          <w:rFonts w:eastAsia="Times New Roman"/>
          <w:b/>
          <w:bCs/>
          <w:rtl/>
          <w:lang w:eastAsia="de-DE"/>
        </w:rPr>
        <w:t>אֶת־יִשְׂרָאֵל</w:t>
      </w:r>
      <w:r w:rsidRPr="008D099B">
        <w:rPr>
          <w:rFonts w:eastAsia="Times New Roman"/>
          <w:rtl/>
          <w:lang w:eastAsia="de-DE"/>
        </w:rPr>
        <w:t xml:space="preserve"> </w:t>
      </w:r>
      <w:r w:rsidRPr="008D099B">
        <w:rPr>
          <w:rFonts w:eastAsia="Times New Roman"/>
          <w:lang w:eastAsia="de-DE"/>
        </w:rPr>
        <w:t xml:space="preserve">ist die Objektpartikel mit dem Völkernamen </w:t>
      </w:r>
      <w:r w:rsidRPr="008D099B">
        <w:rPr>
          <w:rFonts w:eastAsia="Times New Roman"/>
          <w:b/>
          <w:bCs/>
          <w:rtl/>
          <w:lang w:eastAsia="de-DE"/>
        </w:rPr>
        <w:t>יִשְׂרָאֵל</w:t>
      </w:r>
      <w:r w:rsidRPr="008D099B">
        <w:rPr>
          <w:rFonts w:eastAsia="Times New Roman"/>
          <w:rtl/>
          <w:lang w:eastAsia="de-DE"/>
        </w:rPr>
        <w:t xml:space="preserve"> </w:t>
      </w:r>
      <w:r w:rsidRPr="008D099B">
        <w:rPr>
          <w:rFonts w:eastAsia="Times New Roman"/>
          <w:lang w:eastAsia="de-DE"/>
        </w:rPr>
        <w:t>als indirektes Objekt oder Dativobjekt: Josua wird das Land Israel als Erbe austeilen.</w:t>
      </w:r>
    </w:p>
    <w:p w14:paraId="7FAB888E"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Die LXX</w:t>
      </w:r>
      <w:r w:rsidRPr="008D099B">
        <w:rPr>
          <w:rFonts w:eastAsia="Times New Roman"/>
          <w:lang w:eastAsia="de-DE"/>
        </w:rPr>
        <w:t xml:space="preserve"> übersetzt „</w:t>
      </w:r>
      <w:proofErr w:type="spellStart"/>
      <w:r w:rsidRPr="008D099B">
        <w:rPr>
          <w:rFonts w:eastAsia="Times New Roman"/>
          <w:lang w:eastAsia="de-DE"/>
        </w:rPr>
        <w:t>Ἰησοῦς</w:t>
      </w:r>
      <w:proofErr w:type="spellEnd"/>
      <w:r w:rsidRPr="008D099B">
        <w:rPr>
          <w:rFonts w:eastAsia="Times New Roman"/>
          <w:lang w:eastAsia="de-DE"/>
        </w:rPr>
        <w:t xml:space="preserve"> </w:t>
      </w:r>
      <w:proofErr w:type="spellStart"/>
      <w:r w:rsidRPr="008D099B">
        <w:rPr>
          <w:rFonts w:eastAsia="Times New Roman"/>
          <w:lang w:eastAsia="de-DE"/>
        </w:rPr>
        <w:t>υἱὸς</w:t>
      </w:r>
      <w:proofErr w:type="spellEnd"/>
      <w:r w:rsidRPr="008D099B">
        <w:rPr>
          <w:rFonts w:eastAsia="Times New Roman"/>
          <w:lang w:eastAsia="de-DE"/>
        </w:rPr>
        <w:t xml:space="preserve"> Να</w:t>
      </w:r>
      <w:proofErr w:type="spellStart"/>
      <w:r w:rsidRPr="008D099B">
        <w:rPr>
          <w:rFonts w:eastAsia="Times New Roman"/>
          <w:lang w:eastAsia="de-DE"/>
        </w:rPr>
        <w:t>υη</w:t>
      </w:r>
      <w:proofErr w:type="spellEnd"/>
      <w:r w:rsidRPr="008D099B">
        <w:rPr>
          <w:rFonts w:eastAsia="Times New Roman"/>
          <w:lang w:eastAsia="de-DE"/>
        </w:rPr>
        <w:t xml:space="preserve"> ὁ πα</w:t>
      </w:r>
      <w:proofErr w:type="spellStart"/>
      <w:r w:rsidRPr="008D099B">
        <w:rPr>
          <w:rFonts w:eastAsia="Times New Roman"/>
          <w:lang w:eastAsia="de-DE"/>
        </w:rPr>
        <w:t>ρεστηκὼς</w:t>
      </w:r>
      <w:proofErr w:type="spellEnd"/>
      <w:r w:rsidRPr="008D099B">
        <w:rPr>
          <w:rFonts w:eastAsia="Times New Roman"/>
          <w:lang w:eastAsia="de-DE"/>
        </w:rPr>
        <w:t xml:space="preserve"> </w:t>
      </w:r>
      <w:proofErr w:type="spellStart"/>
      <w:r w:rsidRPr="008D099B">
        <w:rPr>
          <w:rFonts w:eastAsia="Times New Roman"/>
          <w:lang w:eastAsia="de-DE"/>
        </w:rPr>
        <w:t>σοί</w:t>
      </w:r>
      <w:proofErr w:type="spellEnd"/>
      <w:r w:rsidRPr="008D099B">
        <w:rPr>
          <w:rFonts w:eastAsia="Times New Roman"/>
          <w:lang w:eastAsia="de-DE"/>
        </w:rPr>
        <w:t>, α</w:t>
      </w:r>
      <w:proofErr w:type="spellStart"/>
      <w:r w:rsidRPr="008D099B">
        <w:rPr>
          <w:rFonts w:eastAsia="Times New Roman"/>
          <w:lang w:eastAsia="de-DE"/>
        </w:rPr>
        <w:t>ὐτὸς</w:t>
      </w:r>
      <w:proofErr w:type="spellEnd"/>
      <w:r w:rsidRPr="008D099B">
        <w:rPr>
          <w:rFonts w:eastAsia="Times New Roman"/>
          <w:lang w:eastAsia="de-DE"/>
        </w:rPr>
        <w:t xml:space="preserve"> </w:t>
      </w:r>
      <w:proofErr w:type="spellStart"/>
      <w:r w:rsidRPr="008D099B">
        <w:rPr>
          <w:rFonts w:eastAsia="Times New Roman"/>
          <w:lang w:eastAsia="de-DE"/>
        </w:rPr>
        <w:t>εἰσελεύσετ</w:t>
      </w:r>
      <w:proofErr w:type="spellEnd"/>
      <w:r w:rsidRPr="008D099B">
        <w:rPr>
          <w:rFonts w:eastAsia="Times New Roman"/>
          <w:lang w:eastAsia="de-DE"/>
        </w:rPr>
        <w:t xml:space="preserve">αι </w:t>
      </w:r>
      <w:proofErr w:type="spellStart"/>
      <w:r w:rsidRPr="008D099B">
        <w:rPr>
          <w:rFonts w:eastAsia="Times New Roman"/>
          <w:lang w:eastAsia="de-DE"/>
        </w:rPr>
        <w:t>ἐκεῖ</w:t>
      </w:r>
      <w:proofErr w:type="spellEnd"/>
      <w:r w:rsidRPr="008D099B">
        <w:rPr>
          <w:rFonts w:eastAsia="Times New Roman"/>
          <w:lang w:eastAsia="de-DE"/>
        </w:rPr>
        <w:t>· α</w:t>
      </w:r>
      <w:proofErr w:type="spellStart"/>
      <w:r w:rsidRPr="008D099B">
        <w:rPr>
          <w:rFonts w:eastAsia="Times New Roman"/>
          <w:lang w:eastAsia="de-DE"/>
        </w:rPr>
        <w:t>ὐτὸν</w:t>
      </w:r>
      <w:proofErr w:type="spellEnd"/>
      <w:r w:rsidRPr="008D099B">
        <w:rPr>
          <w:rFonts w:eastAsia="Times New Roman"/>
          <w:lang w:eastAsia="de-DE"/>
        </w:rPr>
        <w:t xml:space="preserve"> κα</w:t>
      </w:r>
      <w:proofErr w:type="spellStart"/>
      <w:r w:rsidRPr="008D099B">
        <w:rPr>
          <w:rFonts w:eastAsia="Times New Roman"/>
          <w:lang w:eastAsia="de-DE"/>
        </w:rPr>
        <w:t>τίσχυσον</w:t>
      </w:r>
      <w:proofErr w:type="spellEnd"/>
      <w:r w:rsidRPr="008D099B">
        <w:rPr>
          <w:rFonts w:eastAsia="Times New Roman"/>
          <w:lang w:eastAsia="de-DE"/>
        </w:rPr>
        <w:t xml:space="preserve">, </w:t>
      </w:r>
      <w:proofErr w:type="spellStart"/>
      <w:r w:rsidRPr="008D099B">
        <w:rPr>
          <w:rFonts w:eastAsia="Times New Roman"/>
          <w:lang w:eastAsia="de-DE"/>
        </w:rPr>
        <w:t>ὅτι</w:t>
      </w:r>
      <w:proofErr w:type="spellEnd"/>
      <w:r w:rsidRPr="008D099B">
        <w:rPr>
          <w:rFonts w:eastAsia="Times New Roman"/>
          <w:lang w:eastAsia="de-DE"/>
        </w:rPr>
        <w:t xml:space="preserve"> α</w:t>
      </w:r>
      <w:proofErr w:type="spellStart"/>
      <w:r w:rsidRPr="008D099B">
        <w:rPr>
          <w:rFonts w:eastAsia="Times New Roman"/>
          <w:lang w:eastAsia="de-DE"/>
        </w:rPr>
        <w:t>ὐτὸς</w:t>
      </w:r>
      <w:proofErr w:type="spellEnd"/>
      <w:r w:rsidRPr="008D099B">
        <w:rPr>
          <w:rFonts w:eastAsia="Times New Roman"/>
          <w:lang w:eastAsia="de-DE"/>
        </w:rPr>
        <w:t xml:space="preserve"> κατα</w:t>
      </w:r>
      <w:proofErr w:type="spellStart"/>
      <w:r w:rsidRPr="008D099B">
        <w:rPr>
          <w:rFonts w:eastAsia="Times New Roman"/>
          <w:lang w:eastAsia="de-DE"/>
        </w:rPr>
        <w:t>κληρονομήσει</w:t>
      </w:r>
      <w:proofErr w:type="spellEnd"/>
      <w:r w:rsidRPr="008D099B">
        <w:rPr>
          <w:rFonts w:eastAsia="Times New Roman"/>
          <w:lang w:eastAsia="de-DE"/>
        </w:rPr>
        <w:t xml:space="preserve"> α</w:t>
      </w:r>
      <w:proofErr w:type="spellStart"/>
      <w:r w:rsidRPr="008D099B">
        <w:rPr>
          <w:rFonts w:eastAsia="Times New Roman"/>
          <w:lang w:eastAsia="de-DE"/>
        </w:rPr>
        <w:t>ὐτὴν</w:t>
      </w:r>
      <w:proofErr w:type="spellEnd"/>
      <w:r w:rsidRPr="008D099B">
        <w:rPr>
          <w:rFonts w:eastAsia="Times New Roman"/>
          <w:lang w:eastAsia="de-DE"/>
        </w:rPr>
        <w:t xml:space="preserve"> </w:t>
      </w:r>
      <w:proofErr w:type="spellStart"/>
      <w:r w:rsidRPr="008D099B">
        <w:rPr>
          <w:rFonts w:eastAsia="Times New Roman"/>
          <w:lang w:eastAsia="de-DE"/>
        </w:rPr>
        <w:t>τῷ</w:t>
      </w:r>
      <w:proofErr w:type="spellEnd"/>
      <w:r w:rsidRPr="008D099B">
        <w:rPr>
          <w:rFonts w:eastAsia="Times New Roman"/>
          <w:lang w:eastAsia="de-DE"/>
        </w:rPr>
        <w:t xml:space="preserve"> </w:t>
      </w:r>
      <w:proofErr w:type="spellStart"/>
      <w:r w:rsidRPr="008D099B">
        <w:rPr>
          <w:rFonts w:eastAsia="Times New Roman"/>
          <w:lang w:eastAsia="de-DE"/>
        </w:rPr>
        <w:t>Ισρ</w:t>
      </w:r>
      <w:proofErr w:type="spellEnd"/>
      <w:r w:rsidRPr="008D099B">
        <w:rPr>
          <w:rFonts w:eastAsia="Times New Roman"/>
          <w:lang w:eastAsia="de-DE"/>
        </w:rPr>
        <w:t xml:space="preserve">αηλ" („Josua, Sohn </w:t>
      </w:r>
      <w:proofErr w:type="spellStart"/>
      <w:r w:rsidRPr="008D099B">
        <w:rPr>
          <w:rFonts w:eastAsia="Times New Roman"/>
          <w:lang w:eastAsia="de-DE"/>
        </w:rPr>
        <w:t>Naves</w:t>
      </w:r>
      <w:proofErr w:type="spellEnd"/>
      <w:r w:rsidRPr="008D099B">
        <w:rPr>
          <w:rFonts w:eastAsia="Times New Roman"/>
          <w:lang w:eastAsia="de-DE"/>
        </w:rPr>
        <w:t xml:space="preserve">, der vor dir steht, er wird dort hineingehen; ihn stärke, denn er wird sie Israel als Erbe zuteilen"). Die LXX verwendet das Perfekt Partizip </w:t>
      </w:r>
      <w:r w:rsidRPr="008D099B">
        <w:rPr>
          <w:rFonts w:eastAsia="Times New Roman"/>
          <w:b/>
          <w:bCs/>
          <w:lang w:eastAsia="de-DE"/>
        </w:rPr>
        <w:t>πα</w:t>
      </w:r>
      <w:proofErr w:type="spellStart"/>
      <w:r w:rsidRPr="008D099B">
        <w:rPr>
          <w:rFonts w:eastAsia="Times New Roman"/>
          <w:b/>
          <w:bCs/>
          <w:lang w:eastAsia="de-DE"/>
        </w:rPr>
        <w:t>ρεστηκώς</w:t>
      </w:r>
      <w:proofErr w:type="spellEnd"/>
      <w:r w:rsidRPr="008D099B">
        <w:rPr>
          <w:rFonts w:eastAsia="Times New Roman"/>
          <w:lang w:eastAsia="de-DE"/>
        </w:rPr>
        <w:t xml:space="preserve"> für </w:t>
      </w:r>
      <w:r w:rsidRPr="008D099B">
        <w:rPr>
          <w:rFonts w:eastAsia="Times New Roman"/>
          <w:b/>
          <w:bCs/>
          <w:rtl/>
          <w:lang w:eastAsia="de-DE"/>
        </w:rPr>
        <w:t>עֹמֵד</w:t>
      </w:r>
      <w:r w:rsidRPr="008D099B">
        <w:rPr>
          <w:rFonts w:eastAsia="Times New Roman"/>
          <w:rtl/>
          <w:lang w:eastAsia="de-DE"/>
        </w:rPr>
        <w:t xml:space="preserve"> </w:t>
      </w:r>
      <w:r w:rsidRPr="008D099B">
        <w:rPr>
          <w:rFonts w:eastAsia="Times New Roman"/>
          <w:lang w:eastAsia="de-DE"/>
        </w:rPr>
        <w:t xml:space="preserve">und das zusammengesetzte Verb </w:t>
      </w:r>
      <w:r w:rsidRPr="008D099B">
        <w:rPr>
          <w:rFonts w:eastAsia="Times New Roman"/>
          <w:b/>
          <w:bCs/>
          <w:lang w:eastAsia="de-DE"/>
        </w:rPr>
        <w:t>κατα</w:t>
      </w:r>
      <w:proofErr w:type="spellStart"/>
      <w:r w:rsidRPr="008D099B">
        <w:rPr>
          <w:rFonts w:eastAsia="Times New Roman"/>
          <w:b/>
          <w:bCs/>
          <w:lang w:eastAsia="de-DE"/>
        </w:rPr>
        <w:t>κληρονομέω</w:t>
      </w:r>
      <w:proofErr w:type="spellEnd"/>
      <w:r w:rsidRPr="008D099B">
        <w:rPr>
          <w:rFonts w:eastAsia="Times New Roman"/>
          <w:lang w:eastAsia="de-DE"/>
        </w:rPr>
        <w:t xml:space="preserve"> („als Erbe zuteilen") für </w:t>
      </w:r>
      <w:r w:rsidRPr="008D099B">
        <w:rPr>
          <w:rFonts w:eastAsia="Times New Roman"/>
          <w:b/>
          <w:bCs/>
          <w:rtl/>
          <w:lang w:eastAsia="de-DE"/>
        </w:rPr>
        <w:t>נחל</w:t>
      </w:r>
      <w:r w:rsidRPr="008D099B">
        <w:rPr>
          <w:rFonts w:eastAsia="Times New Roman"/>
          <w:rtl/>
          <w:lang w:eastAsia="de-DE"/>
        </w:rPr>
        <w:t xml:space="preserve"> </w:t>
      </w:r>
      <w:r w:rsidRPr="008D099B">
        <w:rPr>
          <w:rFonts w:eastAsia="Times New Roman"/>
          <w:lang w:eastAsia="de-DE"/>
        </w:rPr>
        <w:t>im Hif'il. Die Struktur entspricht weitgehend dem hebräischen Text.</w:t>
      </w:r>
    </w:p>
    <w:p w14:paraId="72A2A465"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lang w:eastAsia="de-DE"/>
        </w:rPr>
        <w:t xml:space="preserve">Die Satzstruktur besteht aus einem Nominalsatz mit erweitertem Subjekt: </w:t>
      </w:r>
      <w:r w:rsidRPr="008D099B">
        <w:rPr>
          <w:rFonts w:eastAsia="Times New Roman"/>
          <w:b/>
          <w:bCs/>
          <w:rtl/>
          <w:lang w:eastAsia="de-DE"/>
        </w:rPr>
        <w:t>יְהוֹשֻׁעַ בִּן־נוּן</w:t>
      </w:r>
      <w:r w:rsidRPr="008D099B">
        <w:rPr>
          <w:rFonts w:eastAsia="Times New Roman"/>
          <w:rtl/>
          <w:lang w:eastAsia="de-DE"/>
        </w:rPr>
        <w:t xml:space="preserve"> </w:t>
      </w:r>
      <w:r w:rsidRPr="008D099B">
        <w:rPr>
          <w:rFonts w:eastAsia="Times New Roman"/>
          <w:lang w:eastAsia="de-DE"/>
        </w:rPr>
        <w:t xml:space="preserve">als Hauptsubjekt, erweitert durch das attributive Partizip </w:t>
      </w:r>
      <w:r w:rsidRPr="008D099B">
        <w:rPr>
          <w:rFonts w:eastAsia="Times New Roman"/>
          <w:b/>
          <w:bCs/>
          <w:rtl/>
          <w:lang w:eastAsia="de-DE"/>
        </w:rPr>
        <w:t>הָעֹמֵד לְפָנֶיךָ</w:t>
      </w:r>
      <w:r w:rsidRPr="008D099B">
        <w:rPr>
          <w:rFonts w:eastAsia="Times New Roman"/>
          <w:lang w:eastAsia="de-DE"/>
        </w:rPr>
        <w:t xml:space="preserve">. Das verstärkende Pronomen </w:t>
      </w:r>
      <w:r w:rsidRPr="008D099B">
        <w:rPr>
          <w:rFonts w:eastAsia="Times New Roman"/>
          <w:b/>
          <w:bCs/>
          <w:rtl/>
          <w:lang w:eastAsia="de-DE"/>
        </w:rPr>
        <w:t>הוּא</w:t>
      </w:r>
      <w:r w:rsidRPr="008D099B">
        <w:rPr>
          <w:rFonts w:eastAsia="Times New Roman"/>
          <w:rtl/>
          <w:lang w:eastAsia="de-DE"/>
        </w:rPr>
        <w:t xml:space="preserve"> </w:t>
      </w:r>
      <w:r w:rsidRPr="008D099B">
        <w:rPr>
          <w:rFonts w:eastAsia="Times New Roman"/>
          <w:lang w:eastAsia="de-DE"/>
        </w:rPr>
        <w:t xml:space="preserve">leitet zum Prädikat </w:t>
      </w:r>
      <w:r w:rsidRPr="008D099B">
        <w:rPr>
          <w:rFonts w:eastAsia="Times New Roman"/>
          <w:b/>
          <w:bCs/>
          <w:rtl/>
          <w:lang w:eastAsia="de-DE"/>
        </w:rPr>
        <w:t>יָבֹא שָׁמָּה</w:t>
      </w:r>
      <w:r w:rsidRPr="008D099B">
        <w:rPr>
          <w:rFonts w:eastAsia="Times New Roman"/>
          <w:rtl/>
          <w:lang w:eastAsia="de-DE"/>
        </w:rPr>
        <w:t xml:space="preserve"> </w:t>
      </w:r>
      <w:r w:rsidRPr="008D099B">
        <w:rPr>
          <w:rFonts w:eastAsia="Times New Roman"/>
          <w:lang w:eastAsia="de-DE"/>
        </w:rPr>
        <w:t xml:space="preserve">über. Der zweite Satz ist ein Imperativsatz: </w:t>
      </w:r>
      <w:r w:rsidRPr="008D099B">
        <w:rPr>
          <w:rFonts w:eastAsia="Times New Roman"/>
          <w:b/>
          <w:bCs/>
          <w:rtl/>
          <w:lang w:eastAsia="de-DE"/>
        </w:rPr>
        <w:t>אֹתוֹ חַזֵּק</w:t>
      </w:r>
      <w:r w:rsidRPr="008D099B">
        <w:rPr>
          <w:rFonts w:eastAsia="Times New Roman"/>
          <w:rtl/>
          <w:lang w:eastAsia="de-DE"/>
        </w:rPr>
        <w:t xml:space="preserve"> </w:t>
      </w:r>
      <w:r w:rsidRPr="008D099B">
        <w:rPr>
          <w:rFonts w:eastAsia="Times New Roman"/>
          <w:lang w:eastAsia="de-DE"/>
        </w:rPr>
        <w:t xml:space="preserve">mit vorangestelltem Objekt für Emphase. Der dritte Satz ist ein kausaler Nebensatz mit </w:t>
      </w:r>
      <w:r w:rsidRPr="008D099B">
        <w:rPr>
          <w:rFonts w:eastAsia="Times New Roman"/>
          <w:b/>
          <w:bCs/>
          <w:rtl/>
          <w:lang w:eastAsia="de-DE"/>
        </w:rPr>
        <w:t>כִּי</w:t>
      </w:r>
      <w:r w:rsidRPr="008D099B">
        <w:rPr>
          <w:rFonts w:eastAsia="Times New Roman"/>
          <w:lang w:eastAsia="de-DE"/>
        </w:rPr>
        <w:t xml:space="preserve">, der die Begründung für den Imperativ liefert: </w:t>
      </w:r>
      <w:r w:rsidRPr="008D099B">
        <w:rPr>
          <w:rFonts w:eastAsia="Times New Roman"/>
          <w:b/>
          <w:bCs/>
          <w:rtl/>
          <w:lang w:eastAsia="de-DE"/>
        </w:rPr>
        <w:t>כִּי־הוּא יַנְחִלֶנָּה אֶת־יִשְׂרָאֵל</w:t>
      </w:r>
      <w:r w:rsidRPr="008D099B">
        <w:rPr>
          <w:rFonts w:eastAsia="Times New Roman"/>
          <w:lang w:eastAsia="de-DE"/>
        </w:rPr>
        <w:t>.</w:t>
      </w:r>
    </w:p>
    <w:p w14:paraId="6489BDC9"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lang w:eastAsia="de-DE"/>
        </w:rPr>
        <w:t>Der Vers benennt Josua als Moses Nachfolger, der das Land betreten und unter Israel verteilen wird. Die Aufforderung zur Stärkung Josuas bereitet seine zukünftige Führungsrolle vor und betont die Kontinuität der göttlichen Führung trotz Moses Ausschluss.</w:t>
      </w:r>
    </w:p>
    <w:p w14:paraId="1342B50B" w14:textId="77777777" w:rsidR="008D099B" w:rsidRPr="008D099B" w:rsidRDefault="008D099B" w:rsidP="008D099B">
      <w:pPr>
        <w:spacing w:before="100" w:beforeAutospacing="1" w:after="100" w:afterAutospacing="1" w:line="240" w:lineRule="auto"/>
        <w:outlineLvl w:val="1"/>
        <w:rPr>
          <w:rFonts w:eastAsia="Times New Roman"/>
          <w:b/>
          <w:bCs/>
          <w:sz w:val="36"/>
          <w:szCs w:val="36"/>
          <w:lang w:eastAsia="de-DE"/>
        </w:rPr>
      </w:pPr>
      <w:r w:rsidRPr="008D099B">
        <w:rPr>
          <w:rFonts w:eastAsia="Times New Roman"/>
          <w:b/>
          <w:bCs/>
          <w:sz w:val="36"/>
          <w:szCs w:val="36"/>
          <w:lang w:eastAsia="de-DE"/>
        </w:rPr>
        <w:t>Deuteronomium 1,39</w:t>
      </w:r>
    </w:p>
    <w:p w14:paraId="0128257E"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Hebräisch:</w:t>
      </w:r>
      <w:r w:rsidRPr="008D099B">
        <w:rPr>
          <w:rFonts w:eastAsia="Times New Roman"/>
          <w:lang w:eastAsia="de-DE"/>
        </w:rPr>
        <w:t xml:space="preserve"> </w:t>
      </w:r>
      <w:r w:rsidRPr="008D099B">
        <w:rPr>
          <w:rFonts w:eastAsia="Times New Roman"/>
          <w:rtl/>
          <w:lang w:eastAsia="de-DE"/>
        </w:rPr>
        <w:t>וְטַפְּכֶם֩ אֲשֶׁ֨ר אֲמַרְתֶּ֜ם לָבַ֣ז יִהְיֶ֗ה וּ֠בְנֵיכֶם אֲשֶׁ֨ר לֹא־יָדְע֤וּ הַיּוֹם֙ ט֣וֹב וָרָ֔ע הֵ֖מָּה יָבֹ֣אוּ שָׁ֑מָּה וְלָהֶ֣ם אֶתְּנֶ֔נָּה וְהֵ֖ם יִירָשֽׁוּהָ׃</w:t>
      </w:r>
    </w:p>
    <w:p w14:paraId="7C32F29D"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Deutsch:</w:t>
      </w:r>
      <w:r w:rsidRPr="008D099B">
        <w:rPr>
          <w:rFonts w:eastAsia="Times New Roman"/>
          <w:lang w:eastAsia="de-DE"/>
        </w:rPr>
        <w:t xml:space="preserve"> Und eure kleinen Kinder, von denen ihr sagtet, sie werden zur Beute werden, und eure Söhne, die heute weder Gutes noch Böses kennen, sie werden dorthin kommen, und ihnen werde ich es geben, und sie werden es in Besitz nehmen.</w:t>
      </w:r>
    </w:p>
    <w:p w14:paraId="499278CE" w14:textId="77777777" w:rsidR="008D099B" w:rsidRPr="008D099B" w:rsidRDefault="004F5CEB" w:rsidP="008D099B">
      <w:pPr>
        <w:spacing w:after="0" w:line="240" w:lineRule="auto"/>
        <w:rPr>
          <w:rFonts w:eastAsia="Times New Roman"/>
          <w:lang w:eastAsia="de-DE"/>
        </w:rPr>
      </w:pPr>
      <w:r>
        <w:rPr>
          <w:rFonts w:eastAsia="Times New Roman"/>
          <w:noProof/>
          <w:lang w:eastAsia="de-DE"/>
        </w:rPr>
        <w:pict w14:anchorId="274C765F">
          <v:rect id="_x0000_i1063" style="width:0;height:1.5pt" o:hralign="center" o:hrstd="t" o:hr="t" fillcolor="#a0a0a0" stroked="f"/>
        </w:pict>
      </w:r>
    </w:p>
    <w:p w14:paraId="13316150"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Kommentar:</w:t>
      </w:r>
      <w:r w:rsidRPr="008D099B">
        <w:rPr>
          <w:rFonts w:eastAsia="Times New Roman"/>
          <w:lang w:eastAsia="de-DE"/>
        </w:rPr>
        <w:t xml:space="preserve"> </w:t>
      </w:r>
      <w:r w:rsidRPr="008D099B">
        <w:rPr>
          <w:rFonts w:eastAsia="Times New Roman"/>
          <w:b/>
          <w:bCs/>
          <w:rtl/>
          <w:lang w:eastAsia="de-DE"/>
        </w:rPr>
        <w:t>וְטַפְּכֶם</w:t>
      </w:r>
      <w:r w:rsidRPr="008D099B">
        <w:rPr>
          <w:rFonts w:eastAsia="Times New Roman"/>
          <w:rtl/>
          <w:lang w:eastAsia="de-DE"/>
        </w:rPr>
        <w:t xml:space="preserve"> </w:t>
      </w:r>
      <w:r w:rsidRPr="008D099B">
        <w:rPr>
          <w:rFonts w:eastAsia="Times New Roman"/>
          <w:lang w:eastAsia="de-DE"/>
        </w:rPr>
        <w:t xml:space="preserve">besteht aus der Konjunktion </w:t>
      </w:r>
      <w:r w:rsidRPr="008D099B">
        <w:rPr>
          <w:rFonts w:eastAsia="Times New Roman"/>
          <w:b/>
          <w:bCs/>
          <w:rtl/>
          <w:lang w:eastAsia="de-DE"/>
        </w:rPr>
        <w:t>וְ</w:t>
      </w:r>
      <w:r w:rsidRPr="008D099B">
        <w:rPr>
          <w:rFonts w:eastAsia="Times New Roman"/>
          <w:rtl/>
          <w:lang w:eastAsia="de-DE"/>
        </w:rPr>
        <w:t xml:space="preserve"> </w:t>
      </w:r>
      <w:r w:rsidRPr="008D099B">
        <w:rPr>
          <w:rFonts w:eastAsia="Times New Roman"/>
          <w:lang w:eastAsia="de-DE"/>
        </w:rPr>
        <w:t xml:space="preserve">(„und"), </w:t>
      </w:r>
      <w:r w:rsidRPr="008D099B">
        <w:rPr>
          <w:rFonts w:eastAsia="Times New Roman"/>
          <w:b/>
          <w:bCs/>
          <w:rtl/>
          <w:lang w:eastAsia="de-DE"/>
        </w:rPr>
        <w:t>טַף</w:t>
      </w:r>
      <w:r w:rsidRPr="008D099B">
        <w:rPr>
          <w:rFonts w:eastAsia="Times New Roman"/>
          <w:rtl/>
          <w:lang w:eastAsia="de-DE"/>
        </w:rPr>
        <w:t xml:space="preserve"> </w:t>
      </w:r>
      <w:r w:rsidRPr="008D099B">
        <w:rPr>
          <w:rFonts w:eastAsia="Times New Roman"/>
          <w:lang w:eastAsia="de-DE"/>
        </w:rPr>
        <w:t xml:space="preserve">(„kleine Kinder, Kleinkinder") im Kollektivsingular, und dem Possessivsuffix 2. Person maskulin Plural </w:t>
      </w:r>
      <w:r w:rsidRPr="008D099B">
        <w:rPr>
          <w:rFonts w:eastAsia="Times New Roman"/>
          <w:b/>
          <w:bCs/>
          <w:rtl/>
          <w:lang w:eastAsia="de-DE"/>
        </w:rPr>
        <w:t>כֶם</w:t>
      </w:r>
      <w:r w:rsidRPr="008D099B">
        <w:rPr>
          <w:rFonts w:eastAsia="Times New Roman"/>
          <w:lang w:eastAsia="de-DE"/>
        </w:rPr>
        <w:t xml:space="preserve">. </w:t>
      </w:r>
      <w:r w:rsidRPr="008D099B">
        <w:rPr>
          <w:rFonts w:eastAsia="Times New Roman"/>
          <w:b/>
          <w:bCs/>
          <w:rtl/>
          <w:lang w:eastAsia="de-DE"/>
        </w:rPr>
        <w:t>אֲשֶׁר אֲמַרְתֶּם</w:t>
      </w:r>
      <w:r w:rsidRPr="008D099B">
        <w:rPr>
          <w:rFonts w:eastAsia="Times New Roman"/>
          <w:rtl/>
          <w:lang w:eastAsia="de-DE"/>
        </w:rPr>
        <w:t xml:space="preserve"> </w:t>
      </w:r>
      <w:r w:rsidRPr="008D099B">
        <w:rPr>
          <w:rFonts w:eastAsia="Times New Roman"/>
          <w:lang w:eastAsia="de-DE"/>
        </w:rPr>
        <w:t xml:space="preserve">ist ein Relativsatz: </w:t>
      </w:r>
      <w:r w:rsidRPr="008D099B">
        <w:rPr>
          <w:rFonts w:eastAsia="Times New Roman"/>
          <w:b/>
          <w:bCs/>
          <w:rtl/>
          <w:lang w:eastAsia="de-DE"/>
        </w:rPr>
        <w:t>אֲשֶׁר</w:t>
      </w:r>
      <w:r w:rsidRPr="008D099B">
        <w:rPr>
          <w:rFonts w:eastAsia="Times New Roman"/>
          <w:rtl/>
          <w:lang w:eastAsia="de-DE"/>
        </w:rPr>
        <w:t xml:space="preserve"> </w:t>
      </w:r>
      <w:r w:rsidRPr="008D099B">
        <w:rPr>
          <w:rFonts w:eastAsia="Times New Roman"/>
          <w:lang w:eastAsia="de-DE"/>
        </w:rPr>
        <w:t xml:space="preserve">als Relativpronomen und </w:t>
      </w:r>
      <w:r w:rsidRPr="008D099B">
        <w:rPr>
          <w:rFonts w:eastAsia="Times New Roman"/>
          <w:b/>
          <w:bCs/>
          <w:rtl/>
          <w:lang w:eastAsia="de-DE"/>
        </w:rPr>
        <w:t>אֲמַרְתֶּם</w:t>
      </w:r>
      <w:r w:rsidRPr="008D099B">
        <w:rPr>
          <w:rFonts w:eastAsia="Times New Roman"/>
          <w:rtl/>
          <w:lang w:eastAsia="de-DE"/>
        </w:rPr>
        <w:t xml:space="preserve"> </w:t>
      </w:r>
      <w:r w:rsidRPr="008D099B">
        <w:rPr>
          <w:rFonts w:eastAsia="Times New Roman"/>
          <w:lang w:eastAsia="de-DE"/>
        </w:rPr>
        <w:t xml:space="preserve">als Qal Perfekt, 2. Person maskulin </w:t>
      </w:r>
      <w:r w:rsidRPr="008D099B">
        <w:rPr>
          <w:rFonts w:eastAsia="Times New Roman"/>
          <w:lang w:eastAsia="de-DE"/>
        </w:rPr>
        <w:lastRenderedPageBreak/>
        <w:t xml:space="preserve">Plural von </w:t>
      </w:r>
      <w:r w:rsidRPr="008D099B">
        <w:rPr>
          <w:rFonts w:eastAsia="Times New Roman"/>
          <w:rtl/>
          <w:lang w:eastAsia="de-DE"/>
        </w:rPr>
        <w:t>אמר</w:t>
      </w:r>
      <w:r w:rsidRPr="008D099B">
        <w:rPr>
          <w:rFonts w:eastAsia="Times New Roman"/>
          <w:lang w:eastAsia="de-DE"/>
        </w:rPr>
        <w:t xml:space="preserve"> („sagen"). </w:t>
      </w:r>
      <w:r w:rsidRPr="008D099B">
        <w:rPr>
          <w:rFonts w:eastAsia="Times New Roman"/>
          <w:b/>
          <w:bCs/>
          <w:rtl/>
          <w:lang w:eastAsia="de-DE"/>
        </w:rPr>
        <w:t>לָבַז יִהְיֶה</w:t>
      </w:r>
      <w:r w:rsidRPr="008D099B">
        <w:rPr>
          <w:rFonts w:eastAsia="Times New Roman"/>
          <w:rtl/>
          <w:lang w:eastAsia="de-DE"/>
        </w:rPr>
        <w:t xml:space="preserve"> </w:t>
      </w:r>
      <w:r w:rsidRPr="008D099B">
        <w:rPr>
          <w:rFonts w:eastAsia="Times New Roman"/>
          <w:lang w:eastAsia="de-DE"/>
        </w:rPr>
        <w:t xml:space="preserve">ist ein Nominalsatz in indirekter Rede: </w:t>
      </w:r>
      <w:r w:rsidRPr="008D099B">
        <w:rPr>
          <w:rFonts w:eastAsia="Times New Roman"/>
          <w:b/>
          <w:bCs/>
          <w:rtl/>
          <w:lang w:eastAsia="de-DE"/>
        </w:rPr>
        <w:t>לָבַז</w:t>
      </w:r>
      <w:r w:rsidRPr="008D099B">
        <w:rPr>
          <w:rFonts w:eastAsia="Times New Roman"/>
          <w:rtl/>
          <w:lang w:eastAsia="de-DE"/>
        </w:rPr>
        <w:t xml:space="preserve"> </w:t>
      </w:r>
      <w:r w:rsidRPr="008D099B">
        <w:rPr>
          <w:rFonts w:eastAsia="Times New Roman"/>
          <w:lang w:eastAsia="de-DE"/>
        </w:rPr>
        <w:t xml:space="preserve">besteht aus der Präposition </w:t>
      </w:r>
      <w:r w:rsidRPr="008D099B">
        <w:rPr>
          <w:rFonts w:eastAsia="Times New Roman"/>
          <w:b/>
          <w:bCs/>
          <w:rtl/>
          <w:lang w:eastAsia="de-DE"/>
        </w:rPr>
        <w:t>לְ</w:t>
      </w:r>
      <w:r w:rsidRPr="008D099B">
        <w:rPr>
          <w:rFonts w:eastAsia="Times New Roman"/>
          <w:rtl/>
          <w:lang w:eastAsia="de-DE"/>
        </w:rPr>
        <w:t xml:space="preserve"> </w:t>
      </w:r>
      <w:r w:rsidRPr="008D099B">
        <w:rPr>
          <w:rFonts w:eastAsia="Times New Roman"/>
          <w:lang w:eastAsia="de-DE"/>
        </w:rPr>
        <w:t xml:space="preserve">und </w:t>
      </w:r>
      <w:r w:rsidRPr="008D099B">
        <w:rPr>
          <w:rFonts w:eastAsia="Times New Roman"/>
          <w:b/>
          <w:bCs/>
          <w:rtl/>
          <w:lang w:eastAsia="de-DE"/>
        </w:rPr>
        <w:t>בַּז</w:t>
      </w:r>
      <w:r w:rsidRPr="008D099B">
        <w:rPr>
          <w:rFonts w:eastAsia="Times New Roman"/>
          <w:rtl/>
          <w:lang w:eastAsia="de-DE"/>
        </w:rPr>
        <w:t xml:space="preserve"> </w:t>
      </w:r>
      <w:r w:rsidRPr="008D099B">
        <w:rPr>
          <w:rFonts w:eastAsia="Times New Roman"/>
          <w:lang w:eastAsia="de-DE"/>
        </w:rPr>
        <w:t xml:space="preserve">(„Beute, Raub"), </w:t>
      </w:r>
      <w:r w:rsidRPr="008D099B">
        <w:rPr>
          <w:rFonts w:eastAsia="Times New Roman"/>
          <w:b/>
          <w:bCs/>
          <w:rtl/>
          <w:lang w:eastAsia="de-DE"/>
        </w:rPr>
        <w:t>יִהְיֶה</w:t>
      </w:r>
      <w:r w:rsidRPr="008D099B">
        <w:rPr>
          <w:rFonts w:eastAsia="Times New Roman"/>
          <w:rtl/>
          <w:lang w:eastAsia="de-DE"/>
        </w:rPr>
        <w:t xml:space="preserve"> </w:t>
      </w:r>
      <w:r w:rsidRPr="008D099B">
        <w:rPr>
          <w:rFonts w:eastAsia="Times New Roman"/>
          <w:lang w:eastAsia="de-DE"/>
        </w:rPr>
        <w:t xml:space="preserve">ist Qal Imperfekt, 3. Person maskulin Singular von </w:t>
      </w:r>
      <w:r w:rsidRPr="008D099B">
        <w:rPr>
          <w:rFonts w:eastAsia="Times New Roman"/>
          <w:rtl/>
          <w:lang w:eastAsia="de-DE"/>
        </w:rPr>
        <w:t>היה</w:t>
      </w:r>
      <w:r w:rsidRPr="008D099B">
        <w:rPr>
          <w:rFonts w:eastAsia="Times New Roman"/>
          <w:lang w:eastAsia="de-DE"/>
        </w:rPr>
        <w:t xml:space="preserve"> („sein, werden"). Die Phrase bedeutet „zur Beute werden".</w:t>
      </w:r>
    </w:p>
    <w:p w14:paraId="686EF1CF"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rtl/>
          <w:lang w:eastAsia="de-DE"/>
        </w:rPr>
        <w:t>וּבְנֵיכֶם</w:t>
      </w:r>
      <w:r w:rsidRPr="008D099B">
        <w:rPr>
          <w:rFonts w:eastAsia="Times New Roman"/>
          <w:rtl/>
          <w:lang w:eastAsia="de-DE"/>
        </w:rPr>
        <w:t xml:space="preserve"> </w:t>
      </w:r>
      <w:r w:rsidRPr="008D099B">
        <w:rPr>
          <w:rFonts w:eastAsia="Times New Roman"/>
          <w:lang w:eastAsia="de-DE"/>
        </w:rPr>
        <w:t xml:space="preserve">ist </w:t>
      </w:r>
      <w:r w:rsidRPr="008D099B">
        <w:rPr>
          <w:rFonts w:eastAsia="Times New Roman"/>
          <w:b/>
          <w:bCs/>
          <w:rtl/>
          <w:lang w:eastAsia="de-DE"/>
        </w:rPr>
        <w:t>וְ</w:t>
      </w:r>
      <w:r w:rsidRPr="008D099B">
        <w:rPr>
          <w:rFonts w:eastAsia="Times New Roman"/>
          <w:rtl/>
          <w:lang w:eastAsia="de-DE"/>
        </w:rPr>
        <w:t xml:space="preserve"> </w:t>
      </w:r>
      <w:r w:rsidRPr="008D099B">
        <w:rPr>
          <w:rFonts w:eastAsia="Times New Roman"/>
          <w:lang w:eastAsia="de-DE"/>
        </w:rPr>
        <w:t xml:space="preserve">mit </w:t>
      </w:r>
      <w:r w:rsidRPr="008D099B">
        <w:rPr>
          <w:rFonts w:eastAsia="Times New Roman"/>
          <w:b/>
          <w:bCs/>
          <w:rtl/>
          <w:lang w:eastAsia="de-DE"/>
        </w:rPr>
        <w:t>בְּנֵיכֶם</w:t>
      </w:r>
      <w:r w:rsidRPr="008D099B">
        <w:rPr>
          <w:rFonts w:eastAsia="Times New Roman"/>
          <w:lang w:eastAsia="de-DE"/>
        </w:rPr>
        <w:t xml:space="preserve">, dem Plural von </w:t>
      </w:r>
      <w:r w:rsidRPr="008D099B">
        <w:rPr>
          <w:rFonts w:eastAsia="Times New Roman"/>
          <w:b/>
          <w:bCs/>
          <w:rtl/>
          <w:lang w:eastAsia="de-DE"/>
        </w:rPr>
        <w:t>בֵּן</w:t>
      </w:r>
      <w:r w:rsidRPr="008D099B">
        <w:rPr>
          <w:rFonts w:eastAsia="Times New Roman"/>
          <w:rtl/>
          <w:lang w:eastAsia="de-DE"/>
        </w:rPr>
        <w:t xml:space="preserve"> </w:t>
      </w:r>
      <w:r w:rsidRPr="008D099B">
        <w:rPr>
          <w:rFonts w:eastAsia="Times New Roman"/>
          <w:lang w:eastAsia="de-DE"/>
        </w:rPr>
        <w:t xml:space="preserve">(„Sohn") mit Suffix 2. Person maskulin Plural. </w:t>
      </w:r>
      <w:r w:rsidRPr="008D099B">
        <w:rPr>
          <w:rFonts w:eastAsia="Times New Roman"/>
          <w:b/>
          <w:bCs/>
          <w:rtl/>
          <w:lang w:eastAsia="de-DE"/>
        </w:rPr>
        <w:t>אֲשֶׁר לֹא־יָדְעוּ הַיּוֹם טוֹב וָרָע</w:t>
      </w:r>
      <w:r w:rsidRPr="008D099B">
        <w:rPr>
          <w:rFonts w:eastAsia="Times New Roman"/>
          <w:rtl/>
          <w:lang w:eastAsia="de-DE"/>
        </w:rPr>
        <w:t xml:space="preserve"> </w:t>
      </w:r>
      <w:r w:rsidRPr="008D099B">
        <w:rPr>
          <w:rFonts w:eastAsia="Times New Roman"/>
          <w:lang w:eastAsia="de-DE"/>
        </w:rPr>
        <w:t xml:space="preserve">ist ein erweiterter Relativsatz: </w:t>
      </w:r>
      <w:r w:rsidRPr="008D099B">
        <w:rPr>
          <w:rFonts w:eastAsia="Times New Roman"/>
          <w:b/>
          <w:bCs/>
          <w:rtl/>
          <w:lang w:eastAsia="de-DE"/>
        </w:rPr>
        <w:t>אֲשֶׁר</w:t>
      </w:r>
      <w:r w:rsidRPr="008D099B">
        <w:rPr>
          <w:rFonts w:eastAsia="Times New Roman"/>
          <w:rtl/>
          <w:lang w:eastAsia="de-DE"/>
        </w:rPr>
        <w:t xml:space="preserve"> </w:t>
      </w:r>
      <w:r w:rsidRPr="008D099B">
        <w:rPr>
          <w:rFonts w:eastAsia="Times New Roman"/>
          <w:lang w:eastAsia="de-DE"/>
        </w:rPr>
        <w:t xml:space="preserve">mit </w:t>
      </w:r>
      <w:r w:rsidRPr="008D099B">
        <w:rPr>
          <w:rFonts w:eastAsia="Times New Roman"/>
          <w:b/>
          <w:bCs/>
          <w:rtl/>
          <w:lang w:eastAsia="de-DE"/>
        </w:rPr>
        <w:t>לֹא־יָדְעוּ</w:t>
      </w:r>
      <w:r w:rsidRPr="008D099B">
        <w:rPr>
          <w:rFonts w:eastAsia="Times New Roman"/>
          <w:rtl/>
          <w:lang w:eastAsia="de-DE"/>
        </w:rPr>
        <w:t xml:space="preserve"> </w:t>
      </w:r>
      <w:r w:rsidRPr="008D099B">
        <w:rPr>
          <w:rFonts w:eastAsia="Times New Roman"/>
          <w:lang w:eastAsia="de-DE"/>
        </w:rPr>
        <w:t xml:space="preserve">(Negation </w:t>
      </w:r>
      <w:r w:rsidRPr="008D099B">
        <w:rPr>
          <w:rFonts w:eastAsia="Times New Roman"/>
          <w:b/>
          <w:bCs/>
          <w:rtl/>
          <w:lang w:eastAsia="de-DE"/>
        </w:rPr>
        <w:t>לֹא</w:t>
      </w:r>
      <w:r w:rsidRPr="008D099B">
        <w:rPr>
          <w:rFonts w:eastAsia="Times New Roman"/>
          <w:rtl/>
          <w:lang w:eastAsia="de-DE"/>
        </w:rPr>
        <w:t xml:space="preserve"> </w:t>
      </w:r>
      <w:r w:rsidRPr="008D099B">
        <w:rPr>
          <w:rFonts w:eastAsia="Times New Roman"/>
          <w:lang w:eastAsia="de-DE"/>
        </w:rPr>
        <w:t xml:space="preserve">und Qal Perfekt, 3. Person Plural von </w:t>
      </w:r>
      <w:r w:rsidRPr="008D099B">
        <w:rPr>
          <w:rFonts w:eastAsia="Times New Roman"/>
          <w:rtl/>
          <w:lang w:eastAsia="de-DE"/>
        </w:rPr>
        <w:t>ידע</w:t>
      </w:r>
      <w:r w:rsidRPr="008D099B">
        <w:rPr>
          <w:rFonts w:eastAsia="Times New Roman"/>
          <w:lang w:eastAsia="de-DE"/>
        </w:rPr>
        <w:t xml:space="preserve"> „wissen, kennen"), </w:t>
      </w:r>
      <w:r w:rsidRPr="008D099B">
        <w:rPr>
          <w:rFonts w:eastAsia="Times New Roman"/>
          <w:b/>
          <w:bCs/>
          <w:rtl/>
          <w:lang w:eastAsia="de-DE"/>
        </w:rPr>
        <w:t>הַיּוֹם</w:t>
      </w:r>
      <w:r w:rsidRPr="008D099B">
        <w:rPr>
          <w:rFonts w:eastAsia="Times New Roman"/>
          <w:rtl/>
          <w:lang w:eastAsia="de-DE"/>
        </w:rPr>
        <w:t xml:space="preserve"> </w:t>
      </w:r>
      <w:r w:rsidRPr="008D099B">
        <w:rPr>
          <w:rFonts w:eastAsia="Times New Roman"/>
          <w:lang w:eastAsia="de-DE"/>
        </w:rPr>
        <w:t xml:space="preserve">(„heute") als temporale Bestimmung, </w:t>
      </w:r>
      <w:r w:rsidRPr="008D099B">
        <w:rPr>
          <w:rFonts w:eastAsia="Times New Roman"/>
          <w:b/>
          <w:bCs/>
          <w:rtl/>
          <w:lang w:eastAsia="de-DE"/>
        </w:rPr>
        <w:t>טוֹב וָרָע</w:t>
      </w:r>
      <w:r w:rsidRPr="008D099B">
        <w:rPr>
          <w:rFonts w:eastAsia="Times New Roman"/>
          <w:rtl/>
          <w:lang w:eastAsia="de-DE"/>
        </w:rPr>
        <w:t xml:space="preserve"> </w:t>
      </w:r>
      <w:r w:rsidRPr="008D099B">
        <w:rPr>
          <w:rFonts w:eastAsia="Times New Roman"/>
          <w:lang w:eastAsia="de-DE"/>
        </w:rPr>
        <w:t xml:space="preserve">(„Gut und Böse") als Objekte. Diese Phrase </w:t>
      </w:r>
      <w:r w:rsidRPr="008D099B">
        <w:rPr>
          <w:rFonts w:eastAsia="Times New Roman"/>
          <w:b/>
          <w:bCs/>
          <w:rtl/>
          <w:lang w:eastAsia="de-DE"/>
        </w:rPr>
        <w:t>טוֹב וָרָע</w:t>
      </w:r>
      <w:r w:rsidRPr="008D099B">
        <w:rPr>
          <w:rFonts w:eastAsia="Times New Roman"/>
          <w:rtl/>
          <w:lang w:eastAsia="de-DE"/>
        </w:rPr>
        <w:t xml:space="preserve"> </w:t>
      </w:r>
      <w:r w:rsidRPr="008D099B">
        <w:rPr>
          <w:rFonts w:eastAsia="Times New Roman"/>
          <w:lang w:eastAsia="de-DE"/>
        </w:rPr>
        <w:t>ist ein Merismus, der die gesamte moralische und praktische Erkenntnis umfasst – die Kinder sind noch unmündig.</w:t>
      </w:r>
    </w:p>
    <w:p w14:paraId="033F7170"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rtl/>
          <w:lang w:eastAsia="de-DE"/>
        </w:rPr>
        <w:t>הֵמָּה יָבֹאוּ שָׁמָּה</w:t>
      </w:r>
      <w:r w:rsidRPr="008D099B">
        <w:rPr>
          <w:rFonts w:eastAsia="Times New Roman"/>
          <w:rtl/>
          <w:lang w:eastAsia="de-DE"/>
        </w:rPr>
        <w:t xml:space="preserve"> </w:t>
      </w:r>
      <w:r w:rsidRPr="008D099B">
        <w:rPr>
          <w:rFonts w:eastAsia="Times New Roman"/>
          <w:lang w:eastAsia="de-DE"/>
        </w:rPr>
        <w:t xml:space="preserve">ist ein Nominalsatz: </w:t>
      </w:r>
      <w:r w:rsidRPr="008D099B">
        <w:rPr>
          <w:rFonts w:eastAsia="Times New Roman"/>
          <w:b/>
          <w:bCs/>
          <w:rtl/>
          <w:lang w:eastAsia="de-DE"/>
        </w:rPr>
        <w:t>הֵמָּה</w:t>
      </w:r>
      <w:r w:rsidRPr="008D099B">
        <w:rPr>
          <w:rFonts w:eastAsia="Times New Roman"/>
          <w:rtl/>
          <w:lang w:eastAsia="de-DE"/>
        </w:rPr>
        <w:t xml:space="preserve"> </w:t>
      </w:r>
      <w:r w:rsidRPr="008D099B">
        <w:rPr>
          <w:rFonts w:eastAsia="Times New Roman"/>
          <w:lang w:eastAsia="de-DE"/>
        </w:rPr>
        <w:t xml:space="preserve">ist das Personalpronomen 3. Person maskulin Plural („sie") als betonendes Subjekt, </w:t>
      </w:r>
      <w:r w:rsidRPr="008D099B">
        <w:rPr>
          <w:rFonts w:eastAsia="Times New Roman"/>
          <w:b/>
          <w:bCs/>
          <w:rtl/>
          <w:lang w:eastAsia="de-DE"/>
        </w:rPr>
        <w:t>יָבֹאוּ</w:t>
      </w:r>
      <w:r w:rsidRPr="008D099B">
        <w:rPr>
          <w:rFonts w:eastAsia="Times New Roman"/>
          <w:rtl/>
          <w:lang w:eastAsia="de-DE"/>
        </w:rPr>
        <w:t xml:space="preserve"> </w:t>
      </w:r>
      <w:r w:rsidRPr="008D099B">
        <w:rPr>
          <w:rFonts w:eastAsia="Times New Roman"/>
          <w:lang w:eastAsia="de-DE"/>
        </w:rPr>
        <w:t xml:space="preserve">ist Qal Imperfekt, 3. Person maskulin Plural von </w:t>
      </w:r>
      <w:r w:rsidRPr="008D099B">
        <w:rPr>
          <w:rFonts w:eastAsia="Times New Roman"/>
          <w:rtl/>
          <w:lang w:eastAsia="de-DE"/>
        </w:rPr>
        <w:t>בוא</w:t>
      </w:r>
      <w:r w:rsidRPr="008D099B">
        <w:rPr>
          <w:rFonts w:eastAsia="Times New Roman"/>
          <w:lang w:eastAsia="de-DE"/>
        </w:rPr>
        <w:t xml:space="preserve">, </w:t>
      </w:r>
      <w:r w:rsidRPr="008D099B">
        <w:rPr>
          <w:rFonts w:eastAsia="Times New Roman"/>
          <w:b/>
          <w:bCs/>
          <w:rtl/>
          <w:lang w:eastAsia="de-DE"/>
        </w:rPr>
        <w:t>שָׁמָּה</w:t>
      </w:r>
      <w:r w:rsidRPr="008D099B">
        <w:rPr>
          <w:rFonts w:eastAsia="Times New Roman"/>
          <w:rtl/>
          <w:lang w:eastAsia="de-DE"/>
        </w:rPr>
        <w:t xml:space="preserve"> </w:t>
      </w:r>
      <w:r w:rsidRPr="008D099B">
        <w:rPr>
          <w:rFonts w:eastAsia="Times New Roman"/>
          <w:lang w:eastAsia="de-DE"/>
        </w:rPr>
        <w:t xml:space="preserve">ist das lokale Adverb mit He locale. </w:t>
      </w:r>
      <w:r w:rsidRPr="008D099B">
        <w:rPr>
          <w:rFonts w:eastAsia="Times New Roman"/>
          <w:b/>
          <w:bCs/>
          <w:rtl/>
          <w:lang w:eastAsia="de-DE"/>
        </w:rPr>
        <w:t>וְלָהֶם אֶתְּנֶנָּה</w:t>
      </w:r>
      <w:r w:rsidRPr="008D099B">
        <w:rPr>
          <w:rFonts w:eastAsia="Times New Roman"/>
          <w:rtl/>
          <w:lang w:eastAsia="de-DE"/>
        </w:rPr>
        <w:t xml:space="preserve"> </w:t>
      </w:r>
      <w:r w:rsidRPr="008D099B">
        <w:rPr>
          <w:rFonts w:eastAsia="Times New Roman"/>
          <w:lang w:eastAsia="de-DE"/>
        </w:rPr>
        <w:t xml:space="preserve">besteht aus </w:t>
      </w:r>
      <w:r w:rsidRPr="008D099B">
        <w:rPr>
          <w:rFonts w:eastAsia="Times New Roman"/>
          <w:b/>
          <w:bCs/>
          <w:rtl/>
          <w:lang w:eastAsia="de-DE"/>
        </w:rPr>
        <w:t>וְ</w:t>
      </w:r>
      <w:r w:rsidRPr="008D099B">
        <w:rPr>
          <w:rFonts w:eastAsia="Times New Roman"/>
          <w:lang w:eastAsia="de-DE"/>
        </w:rPr>
        <w:t xml:space="preserve">, der Präposition </w:t>
      </w:r>
      <w:r w:rsidRPr="008D099B">
        <w:rPr>
          <w:rFonts w:eastAsia="Times New Roman"/>
          <w:b/>
          <w:bCs/>
          <w:rtl/>
          <w:lang w:eastAsia="de-DE"/>
        </w:rPr>
        <w:t>לְ</w:t>
      </w:r>
      <w:r w:rsidRPr="008D099B">
        <w:rPr>
          <w:rFonts w:eastAsia="Times New Roman"/>
          <w:rtl/>
          <w:lang w:eastAsia="de-DE"/>
        </w:rPr>
        <w:t xml:space="preserve"> </w:t>
      </w:r>
      <w:r w:rsidRPr="008D099B">
        <w:rPr>
          <w:rFonts w:eastAsia="Times New Roman"/>
          <w:lang w:eastAsia="de-DE"/>
        </w:rPr>
        <w:t xml:space="preserve">mit Pronominalsuffix 3. Person maskulin Plural („ihnen"), und </w:t>
      </w:r>
      <w:r w:rsidRPr="008D099B">
        <w:rPr>
          <w:rFonts w:eastAsia="Times New Roman"/>
          <w:b/>
          <w:bCs/>
          <w:rtl/>
          <w:lang w:eastAsia="de-DE"/>
        </w:rPr>
        <w:t>אֶתְּנֶנָּה</w:t>
      </w:r>
      <w:r w:rsidRPr="008D099B">
        <w:rPr>
          <w:rFonts w:eastAsia="Times New Roman"/>
          <w:rtl/>
          <w:lang w:eastAsia="de-DE"/>
        </w:rPr>
        <w:t xml:space="preserve"> </w:t>
      </w:r>
      <w:r w:rsidRPr="008D099B">
        <w:rPr>
          <w:rFonts w:eastAsia="Times New Roman"/>
          <w:lang w:eastAsia="de-DE"/>
        </w:rPr>
        <w:t xml:space="preserve">(Qal Imperfekt, 1. Person Singular von </w:t>
      </w:r>
      <w:r w:rsidRPr="008D099B">
        <w:rPr>
          <w:rFonts w:eastAsia="Times New Roman"/>
          <w:rtl/>
          <w:lang w:eastAsia="de-DE"/>
        </w:rPr>
        <w:t>נתן</w:t>
      </w:r>
      <w:r w:rsidRPr="008D099B">
        <w:rPr>
          <w:rFonts w:eastAsia="Times New Roman"/>
          <w:lang w:eastAsia="de-DE"/>
        </w:rPr>
        <w:t xml:space="preserve"> mit Objektsuffix 3. Person feminin Singular </w:t>
      </w:r>
      <w:r w:rsidRPr="008D099B">
        <w:rPr>
          <w:rFonts w:eastAsia="Times New Roman"/>
          <w:b/>
          <w:bCs/>
          <w:rtl/>
          <w:lang w:eastAsia="de-DE"/>
        </w:rPr>
        <w:t>נָּה</w:t>
      </w:r>
      <w:r w:rsidRPr="008D099B">
        <w:rPr>
          <w:rFonts w:eastAsia="Times New Roman"/>
          <w:lang w:eastAsia="de-DE"/>
        </w:rPr>
        <w:t xml:space="preserve">, bezogen auf </w:t>
      </w:r>
      <w:r w:rsidRPr="008D099B">
        <w:rPr>
          <w:rFonts w:eastAsia="Times New Roman"/>
          <w:b/>
          <w:bCs/>
          <w:rtl/>
          <w:lang w:eastAsia="de-DE"/>
        </w:rPr>
        <w:t>הָאָרֶץ</w:t>
      </w:r>
      <w:r w:rsidRPr="008D099B">
        <w:rPr>
          <w:rFonts w:eastAsia="Times New Roman"/>
          <w:lang w:eastAsia="de-DE"/>
        </w:rPr>
        <w:t xml:space="preserve">). </w:t>
      </w:r>
      <w:r w:rsidRPr="008D099B">
        <w:rPr>
          <w:rFonts w:eastAsia="Times New Roman"/>
          <w:b/>
          <w:bCs/>
          <w:rtl/>
          <w:lang w:eastAsia="de-DE"/>
        </w:rPr>
        <w:t>וְהֵם יִירָשׁוּהָ</w:t>
      </w:r>
      <w:r w:rsidRPr="008D099B">
        <w:rPr>
          <w:rFonts w:eastAsia="Times New Roman"/>
          <w:rtl/>
          <w:lang w:eastAsia="de-DE"/>
        </w:rPr>
        <w:t xml:space="preserve"> </w:t>
      </w:r>
      <w:r w:rsidRPr="008D099B">
        <w:rPr>
          <w:rFonts w:eastAsia="Times New Roman"/>
          <w:lang w:eastAsia="de-DE"/>
        </w:rPr>
        <w:t xml:space="preserve">ist </w:t>
      </w:r>
      <w:r w:rsidRPr="008D099B">
        <w:rPr>
          <w:rFonts w:eastAsia="Times New Roman"/>
          <w:b/>
          <w:bCs/>
          <w:rtl/>
          <w:lang w:eastAsia="de-DE"/>
        </w:rPr>
        <w:t>וְ</w:t>
      </w:r>
      <w:r w:rsidRPr="008D099B">
        <w:rPr>
          <w:rFonts w:eastAsia="Times New Roman"/>
          <w:rtl/>
          <w:lang w:eastAsia="de-DE"/>
        </w:rPr>
        <w:t xml:space="preserve"> </w:t>
      </w:r>
      <w:r w:rsidRPr="008D099B">
        <w:rPr>
          <w:rFonts w:eastAsia="Times New Roman"/>
          <w:lang w:eastAsia="de-DE"/>
        </w:rPr>
        <w:t xml:space="preserve">mit </w:t>
      </w:r>
      <w:r w:rsidRPr="008D099B">
        <w:rPr>
          <w:rFonts w:eastAsia="Times New Roman"/>
          <w:b/>
          <w:bCs/>
          <w:rtl/>
          <w:lang w:eastAsia="de-DE"/>
        </w:rPr>
        <w:t>הֵם</w:t>
      </w:r>
      <w:r w:rsidRPr="008D099B">
        <w:rPr>
          <w:rFonts w:eastAsia="Times New Roman"/>
          <w:rtl/>
          <w:lang w:eastAsia="de-DE"/>
        </w:rPr>
        <w:t xml:space="preserve"> </w:t>
      </w:r>
      <w:r w:rsidRPr="008D099B">
        <w:rPr>
          <w:rFonts w:eastAsia="Times New Roman"/>
          <w:lang w:eastAsia="de-DE"/>
        </w:rPr>
        <w:t xml:space="preserve">(Personalpronomen 3. Person maskulin Plural), </w:t>
      </w:r>
      <w:r w:rsidRPr="008D099B">
        <w:rPr>
          <w:rFonts w:eastAsia="Times New Roman"/>
          <w:b/>
          <w:bCs/>
          <w:rtl/>
          <w:lang w:eastAsia="de-DE"/>
        </w:rPr>
        <w:t>יִירָשׁוּהָ</w:t>
      </w:r>
      <w:r w:rsidRPr="008D099B">
        <w:rPr>
          <w:rFonts w:eastAsia="Times New Roman"/>
          <w:rtl/>
          <w:lang w:eastAsia="de-DE"/>
        </w:rPr>
        <w:t xml:space="preserve"> </w:t>
      </w:r>
      <w:r w:rsidRPr="008D099B">
        <w:rPr>
          <w:rFonts w:eastAsia="Times New Roman"/>
          <w:lang w:eastAsia="de-DE"/>
        </w:rPr>
        <w:t xml:space="preserve">(Qal Imperfekt, 3. Person maskulin Plural von </w:t>
      </w:r>
      <w:r w:rsidRPr="008D099B">
        <w:rPr>
          <w:rFonts w:eastAsia="Times New Roman"/>
          <w:rtl/>
          <w:lang w:eastAsia="de-DE"/>
        </w:rPr>
        <w:t>ירשׁ</w:t>
      </w:r>
      <w:r w:rsidRPr="008D099B">
        <w:rPr>
          <w:rFonts w:eastAsia="Times New Roman"/>
          <w:lang w:eastAsia="de-DE"/>
        </w:rPr>
        <w:t xml:space="preserve"> „in Besitz nehmen, erben" mit Objektsuffix 3. Person feminin Singular </w:t>
      </w:r>
      <w:r w:rsidRPr="008D099B">
        <w:rPr>
          <w:rFonts w:eastAsia="Times New Roman"/>
          <w:b/>
          <w:bCs/>
          <w:rtl/>
          <w:lang w:eastAsia="de-DE"/>
        </w:rPr>
        <w:t>הָ</w:t>
      </w:r>
      <w:r w:rsidRPr="008D099B">
        <w:rPr>
          <w:rFonts w:eastAsia="Times New Roman"/>
          <w:lang w:eastAsia="de-DE"/>
        </w:rPr>
        <w:t>).</w:t>
      </w:r>
    </w:p>
    <w:p w14:paraId="33EF83FF" w14:textId="1F80B4B1"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Die LXX</w:t>
      </w:r>
      <w:r w:rsidRPr="008D099B">
        <w:rPr>
          <w:rFonts w:eastAsia="Times New Roman"/>
          <w:lang w:eastAsia="de-DE"/>
        </w:rPr>
        <w:t xml:space="preserve"> </w:t>
      </w:r>
      <w:r w:rsidR="00D936E2">
        <w:t>lässt „</w:t>
      </w:r>
      <w:r w:rsidR="00D936E2">
        <w:rPr>
          <w:rtl/>
        </w:rPr>
        <w:t>אֲשֶׁר אֲמַרְתֶּם לָבַז יִהְיֶה</w:t>
      </w:r>
      <w:r w:rsidR="00D936E2">
        <w:t>" (von denen ihr sagtet, sie würden zur Beute werden) aus und hat stattdessen nur „καὶ π</w:t>
      </w:r>
      <w:proofErr w:type="spellStart"/>
      <w:r w:rsidR="00D936E2">
        <w:t>ᾶν</w:t>
      </w:r>
      <w:proofErr w:type="spellEnd"/>
      <w:r w:rsidR="00D936E2">
        <w:t xml:space="preserve"> πα</w:t>
      </w:r>
      <w:proofErr w:type="spellStart"/>
      <w:r w:rsidR="00D936E2">
        <w:t>ιδίον</w:t>
      </w:r>
      <w:proofErr w:type="spellEnd"/>
      <w:r w:rsidR="00D936E2">
        <w:t xml:space="preserve"> </w:t>
      </w:r>
      <w:proofErr w:type="spellStart"/>
      <w:r w:rsidR="00D936E2">
        <w:t>νέον</w:t>
      </w:r>
      <w:proofErr w:type="spellEnd"/>
      <w:r w:rsidR="00D936E2">
        <w:t>" (und jedes junge Kind).</w:t>
      </w:r>
    </w:p>
    <w:p w14:paraId="06A78ADC"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lang w:eastAsia="de-DE"/>
        </w:rPr>
        <w:t xml:space="preserve">Die Satzstruktur ist komplex mit mehreren koordinierten Elementen: (1) Subjekt </w:t>
      </w:r>
      <w:r w:rsidRPr="008D099B">
        <w:rPr>
          <w:rFonts w:eastAsia="Times New Roman"/>
          <w:b/>
          <w:bCs/>
          <w:rtl/>
          <w:lang w:eastAsia="de-DE"/>
        </w:rPr>
        <w:t>וְטַפְּכֶם</w:t>
      </w:r>
      <w:r w:rsidRPr="008D099B">
        <w:rPr>
          <w:rFonts w:eastAsia="Times New Roman"/>
          <w:rtl/>
          <w:lang w:eastAsia="de-DE"/>
        </w:rPr>
        <w:t xml:space="preserve"> </w:t>
      </w:r>
      <w:r w:rsidRPr="008D099B">
        <w:rPr>
          <w:rFonts w:eastAsia="Times New Roman"/>
          <w:lang w:eastAsia="de-DE"/>
        </w:rPr>
        <w:t xml:space="preserve">mit Relativsatz </w:t>
      </w:r>
      <w:r w:rsidRPr="008D099B">
        <w:rPr>
          <w:rFonts w:eastAsia="Times New Roman"/>
          <w:b/>
          <w:bCs/>
          <w:rtl/>
          <w:lang w:eastAsia="de-DE"/>
        </w:rPr>
        <w:t>אֲשֶׁר אֲמַרְתֶּם לָבַז יִהְיֶה</w:t>
      </w:r>
      <w:r w:rsidRPr="008D099B">
        <w:rPr>
          <w:rFonts w:eastAsia="Times New Roman"/>
          <w:lang w:eastAsia="de-DE"/>
        </w:rPr>
        <w:t xml:space="preserve">, (2) paralleles Subjekt </w:t>
      </w:r>
      <w:r w:rsidRPr="008D099B">
        <w:rPr>
          <w:rFonts w:eastAsia="Times New Roman"/>
          <w:b/>
          <w:bCs/>
          <w:rtl/>
          <w:lang w:eastAsia="de-DE"/>
        </w:rPr>
        <w:t>וּבְנֵיכֶם</w:t>
      </w:r>
      <w:r w:rsidRPr="008D099B">
        <w:rPr>
          <w:rFonts w:eastAsia="Times New Roman"/>
          <w:rtl/>
          <w:lang w:eastAsia="de-DE"/>
        </w:rPr>
        <w:t xml:space="preserve"> </w:t>
      </w:r>
      <w:r w:rsidRPr="008D099B">
        <w:rPr>
          <w:rFonts w:eastAsia="Times New Roman"/>
          <w:lang w:eastAsia="de-DE"/>
        </w:rPr>
        <w:t xml:space="preserve">mit erweitertem Relativsatz </w:t>
      </w:r>
      <w:r w:rsidRPr="008D099B">
        <w:rPr>
          <w:rFonts w:eastAsia="Times New Roman"/>
          <w:b/>
          <w:bCs/>
          <w:rtl/>
          <w:lang w:eastAsia="de-DE"/>
        </w:rPr>
        <w:t>אֲשֶׁר לֹא־יָדְעוּ הַיּוֹם טוֹב וָרָע</w:t>
      </w:r>
      <w:r w:rsidRPr="008D099B">
        <w:rPr>
          <w:rFonts w:eastAsia="Times New Roman"/>
          <w:lang w:eastAsia="de-DE"/>
        </w:rPr>
        <w:t xml:space="preserve">, (3) Hauptsatz </w:t>
      </w:r>
      <w:r w:rsidRPr="008D099B">
        <w:rPr>
          <w:rFonts w:eastAsia="Times New Roman"/>
          <w:b/>
          <w:bCs/>
          <w:rtl/>
          <w:lang w:eastAsia="de-DE"/>
        </w:rPr>
        <w:t>הֵמָּה יָבֹאוּ שָׁמָּה</w:t>
      </w:r>
      <w:r w:rsidRPr="008D099B">
        <w:rPr>
          <w:rFonts w:eastAsia="Times New Roman"/>
          <w:rtl/>
          <w:lang w:eastAsia="de-DE"/>
        </w:rPr>
        <w:t xml:space="preserve"> </w:t>
      </w:r>
      <w:r w:rsidRPr="008D099B">
        <w:rPr>
          <w:rFonts w:eastAsia="Times New Roman"/>
          <w:lang w:eastAsia="de-DE"/>
        </w:rPr>
        <w:t xml:space="preserve">mit betonendem Pronomen, (4) zwei koordinierte Verben </w:t>
      </w:r>
      <w:r w:rsidRPr="008D099B">
        <w:rPr>
          <w:rFonts w:eastAsia="Times New Roman"/>
          <w:b/>
          <w:bCs/>
          <w:rtl/>
          <w:lang w:eastAsia="de-DE"/>
        </w:rPr>
        <w:t>וְלָהֶם אֶתְּנֶנָּה</w:t>
      </w:r>
      <w:r w:rsidRPr="008D099B">
        <w:rPr>
          <w:rFonts w:eastAsia="Times New Roman"/>
          <w:rtl/>
          <w:lang w:eastAsia="de-DE"/>
        </w:rPr>
        <w:t xml:space="preserve"> </w:t>
      </w:r>
      <w:r w:rsidRPr="008D099B">
        <w:rPr>
          <w:rFonts w:eastAsia="Times New Roman"/>
          <w:lang w:eastAsia="de-DE"/>
        </w:rPr>
        <w:t xml:space="preserve">und </w:t>
      </w:r>
      <w:r w:rsidRPr="008D099B">
        <w:rPr>
          <w:rFonts w:eastAsia="Times New Roman"/>
          <w:b/>
          <w:bCs/>
          <w:rtl/>
          <w:lang w:eastAsia="de-DE"/>
        </w:rPr>
        <w:t>וְהֵם יִירָשׁוּהָ</w:t>
      </w:r>
      <w:r w:rsidRPr="008D099B">
        <w:rPr>
          <w:rFonts w:eastAsia="Times New Roman"/>
          <w:lang w:eastAsia="de-DE"/>
        </w:rPr>
        <w:t>. Die Struktur betont durch Wiederholung und Parallelismus die Umkehrung des Schicksals der Kinder.</w:t>
      </w:r>
    </w:p>
    <w:p w14:paraId="6486CD65"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lang w:eastAsia="de-DE"/>
        </w:rPr>
        <w:t>Der Vers verkündet die ironische Umkehrung: Die Kinder, die nach Aussage des Volkes zur Beute werden sollten (vgl. Num 14,3.31), werden gerade diejenigen sein, die das Land erben. Ihre Unmündigkeit (</w:t>
      </w:r>
      <w:r w:rsidRPr="008D099B">
        <w:rPr>
          <w:rFonts w:eastAsia="Times New Roman"/>
          <w:b/>
          <w:bCs/>
          <w:rtl/>
          <w:lang w:eastAsia="de-DE"/>
        </w:rPr>
        <w:t>לֹא־יָדְעוּ הַיּוֹם טוֹב וָרָע</w:t>
      </w:r>
      <w:r w:rsidRPr="008D099B">
        <w:rPr>
          <w:rFonts w:eastAsia="Times New Roman"/>
          <w:lang w:eastAsia="de-DE"/>
        </w:rPr>
        <w:t>) macht sie unschuldig an der Rebellion der Eltern und qualifiziert sie für die Verheißung.</w:t>
      </w:r>
    </w:p>
    <w:p w14:paraId="228293BB" w14:textId="77777777" w:rsidR="008D099B" w:rsidRPr="008D099B" w:rsidRDefault="008D099B" w:rsidP="008D099B">
      <w:pPr>
        <w:spacing w:before="100" w:beforeAutospacing="1" w:after="100" w:afterAutospacing="1" w:line="240" w:lineRule="auto"/>
        <w:outlineLvl w:val="1"/>
        <w:rPr>
          <w:rFonts w:eastAsia="Times New Roman"/>
          <w:b/>
          <w:bCs/>
          <w:sz w:val="36"/>
          <w:szCs w:val="36"/>
          <w:lang w:eastAsia="de-DE"/>
        </w:rPr>
      </w:pPr>
      <w:r w:rsidRPr="008D099B">
        <w:rPr>
          <w:rFonts w:eastAsia="Times New Roman"/>
          <w:b/>
          <w:bCs/>
          <w:sz w:val="36"/>
          <w:szCs w:val="36"/>
          <w:lang w:eastAsia="de-DE"/>
        </w:rPr>
        <w:t>Deuteronomium 1,40</w:t>
      </w:r>
    </w:p>
    <w:p w14:paraId="066A1FF7"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Hebräisch:</w:t>
      </w:r>
      <w:r w:rsidRPr="008D099B">
        <w:rPr>
          <w:rFonts w:eastAsia="Times New Roman"/>
          <w:lang w:eastAsia="de-DE"/>
        </w:rPr>
        <w:t xml:space="preserve"> </w:t>
      </w:r>
      <w:r w:rsidRPr="008D099B">
        <w:rPr>
          <w:rFonts w:eastAsia="Times New Roman"/>
          <w:rtl/>
          <w:lang w:eastAsia="de-DE"/>
        </w:rPr>
        <w:t>וְאַתֶּ֖ם פְּנ֣וּ לָכֶ֑ם וּסְע֥וּ הַמִּדְבָּ֖רָה דֶּ֥רֶךְ יַם־סֽוּף׃</w:t>
      </w:r>
    </w:p>
    <w:p w14:paraId="3058EE98"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Deutsch:</w:t>
      </w:r>
      <w:r w:rsidRPr="008D099B">
        <w:rPr>
          <w:rFonts w:eastAsia="Times New Roman"/>
          <w:lang w:eastAsia="de-DE"/>
        </w:rPr>
        <w:t xml:space="preserve"> Ihr aber, wendet euch und brecht auf zur Wüste, auf dem Weg zum Schilfmeer.</w:t>
      </w:r>
    </w:p>
    <w:p w14:paraId="5EC608F8" w14:textId="77777777" w:rsidR="008D099B" w:rsidRPr="008D099B" w:rsidRDefault="004F5CEB" w:rsidP="008D099B">
      <w:pPr>
        <w:spacing w:after="0" w:line="240" w:lineRule="auto"/>
        <w:rPr>
          <w:rFonts w:eastAsia="Times New Roman"/>
          <w:lang w:eastAsia="de-DE"/>
        </w:rPr>
      </w:pPr>
      <w:r>
        <w:rPr>
          <w:rFonts w:eastAsia="Times New Roman"/>
          <w:noProof/>
          <w:lang w:eastAsia="de-DE"/>
        </w:rPr>
        <w:pict w14:anchorId="3B65EE48">
          <v:rect id="_x0000_i1064" style="width:0;height:1.5pt" o:hralign="center" o:hrstd="t" o:hr="t" fillcolor="#a0a0a0" stroked="f"/>
        </w:pict>
      </w:r>
    </w:p>
    <w:p w14:paraId="6E53046F"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Kommentar:</w:t>
      </w:r>
      <w:r w:rsidRPr="008D099B">
        <w:rPr>
          <w:rFonts w:eastAsia="Times New Roman"/>
          <w:lang w:eastAsia="de-DE"/>
        </w:rPr>
        <w:t xml:space="preserve"> </w:t>
      </w:r>
      <w:r w:rsidRPr="008D099B">
        <w:rPr>
          <w:rFonts w:eastAsia="Times New Roman"/>
          <w:b/>
          <w:bCs/>
          <w:rtl/>
          <w:lang w:eastAsia="de-DE"/>
        </w:rPr>
        <w:t>וְאַתֶּם</w:t>
      </w:r>
      <w:r w:rsidRPr="008D099B">
        <w:rPr>
          <w:rFonts w:eastAsia="Times New Roman"/>
          <w:rtl/>
          <w:lang w:eastAsia="de-DE"/>
        </w:rPr>
        <w:t xml:space="preserve"> </w:t>
      </w:r>
      <w:r w:rsidRPr="008D099B">
        <w:rPr>
          <w:rFonts w:eastAsia="Times New Roman"/>
          <w:lang w:eastAsia="de-DE"/>
        </w:rPr>
        <w:t xml:space="preserve">ist die Konjunktion </w:t>
      </w:r>
      <w:r w:rsidRPr="008D099B">
        <w:rPr>
          <w:rFonts w:eastAsia="Times New Roman"/>
          <w:b/>
          <w:bCs/>
          <w:rtl/>
          <w:lang w:eastAsia="de-DE"/>
        </w:rPr>
        <w:t>וְ</w:t>
      </w:r>
      <w:r w:rsidRPr="008D099B">
        <w:rPr>
          <w:rFonts w:eastAsia="Times New Roman"/>
          <w:rtl/>
          <w:lang w:eastAsia="de-DE"/>
        </w:rPr>
        <w:t xml:space="preserve"> </w:t>
      </w:r>
      <w:r w:rsidRPr="008D099B">
        <w:rPr>
          <w:rFonts w:eastAsia="Times New Roman"/>
          <w:lang w:eastAsia="de-DE"/>
        </w:rPr>
        <w:t xml:space="preserve">(„aber") in adversativer Funktion mit dem Personalpronomen 2. Person maskulin Plural </w:t>
      </w:r>
      <w:r w:rsidRPr="008D099B">
        <w:rPr>
          <w:rFonts w:eastAsia="Times New Roman"/>
          <w:b/>
          <w:bCs/>
          <w:rtl/>
          <w:lang w:eastAsia="de-DE"/>
        </w:rPr>
        <w:t>אַתֶּם</w:t>
      </w:r>
      <w:r w:rsidRPr="008D099B">
        <w:rPr>
          <w:rFonts w:eastAsia="Times New Roman"/>
          <w:rtl/>
          <w:lang w:eastAsia="de-DE"/>
        </w:rPr>
        <w:t xml:space="preserve"> </w:t>
      </w:r>
      <w:r w:rsidRPr="008D099B">
        <w:rPr>
          <w:rFonts w:eastAsia="Times New Roman"/>
          <w:lang w:eastAsia="de-DE"/>
        </w:rPr>
        <w:t xml:space="preserve">(„ihr"). Die Voranstellung des Pronomens schafft einen scharfen Kontrast zur vorherigen Aussage über die Kinder. </w:t>
      </w:r>
      <w:r w:rsidRPr="008D099B">
        <w:rPr>
          <w:rFonts w:eastAsia="Times New Roman"/>
          <w:b/>
          <w:bCs/>
          <w:rtl/>
          <w:lang w:eastAsia="de-DE"/>
        </w:rPr>
        <w:t>פְּנוּ</w:t>
      </w:r>
      <w:r w:rsidRPr="008D099B">
        <w:rPr>
          <w:rFonts w:eastAsia="Times New Roman"/>
          <w:rtl/>
          <w:lang w:eastAsia="de-DE"/>
        </w:rPr>
        <w:t xml:space="preserve"> </w:t>
      </w:r>
      <w:r w:rsidRPr="008D099B">
        <w:rPr>
          <w:rFonts w:eastAsia="Times New Roman"/>
          <w:lang w:eastAsia="de-DE"/>
        </w:rPr>
        <w:t xml:space="preserve">ist Qal Imperativ maskulin Plural von </w:t>
      </w:r>
      <w:r w:rsidRPr="008D099B">
        <w:rPr>
          <w:rFonts w:eastAsia="Times New Roman"/>
          <w:rtl/>
          <w:lang w:eastAsia="de-DE"/>
        </w:rPr>
        <w:t>פנה</w:t>
      </w:r>
      <w:r w:rsidRPr="008D099B">
        <w:rPr>
          <w:rFonts w:eastAsia="Times New Roman"/>
          <w:lang w:eastAsia="de-DE"/>
        </w:rPr>
        <w:t xml:space="preserve"> („sich wenden, umkehren"). </w:t>
      </w:r>
      <w:r w:rsidRPr="008D099B">
        <w:rPr>
          <w:rFonts w:eastAsia="Times New Roman"/>
          <w:b/>
          <w:bCs/>
          <w:rtl/>
          <w:lang w:eastAsia="de-DE"/>
        </w:rPr>
        <w:t>לָכֶם</w:t>
      </w:r>
      <w:r w:rsidRPr="008D099B">
        <w:rPr>
          <w:rFonts w:eastAsia="Times New Roman"/>
          <w:rtl/>
          <w:lang w:eastAsia="de-DE"/>
        </w:rPr>
        <w:t xml:space="preserve"> </w:t>
      </w:r>
      <w:r w:rsidRPr="008D099B">
        <w:rPr>
          <w:rFonts w:eastAsia="Times New Roman"/>
          <w:lang w:eastAsia="de-DE"/>
        </w:rPr>
        <w:t xml:space="preserve">ist die Präposition </w:t>
      </w:r>
      <w:r w:rsidRPr="008D099B">
        <w:rPr>
          <w:rFonts w:eastAsia="Times New Roman"/>
          <w:b/>
          <w:bCs/>
          <w:rtl/>
          <w:lang w:eastAsia="de-DE"/>
        </w:rPr>
        <w:t>לְ</w:t>
      </w:r>
      <w:r w:rsidRPr="008D099B">
        <w:rPr>
          <w:rFonts w:eastAsia="Times New Roman"/>
          <w:rtl/>
          <w:lang w:eastAsia="de-DE"/>
        </w:rPr>
        <w:t xml:space="preserve"> </w:t>
      </w:r>
      <w:r w:rsidRPr="008D099B">
        <w:rPr>
          <w:rFonts w:eastAsia="Times New Roman"/>
          <w:lang w:eastAsia="de-DE"/>
        </w:rPr>
        <w:t>mit Suffix 2. Person maskulin Plural, die hier eine ethische oder reflexive Nuance hat („für euch selbst").</w:t>
      </w:r>
    </w:p>
    <w:p w14:paraId="01DDF736" w14:textId="3497A150"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rtl/>
          <w:lang w:eastAsia="de-DE"/>
        </w:rPr>
        <w:lastRenderedPageBreak/>
        <w:t>וּסְעוּ</w:t>
      </w:r>
      <w:r w:rsidRPr="008D099B">
        <w:rPr>
          <w:rFonts w:eastAsia="Times New Roman"/>
          <w:rtl/>
          <w:lang w:eastAsia="de-DE"/>
        </w:rPr>
        <w:t xml:space="preserve"> </w:t>
      </w:r>
      <w:r w:rsidRPr="008D099B">
        <w:rPr>
          <w:rFonts w:eastAsia="Times New Roman"/>
          <w:lang w:eastAsia="de-DE"/>
        </w:rPr>
        <w:t xml:space="preserve">ist </w:t>
      </w:r>
      <w:r w:rsidRPr="008D099B">
        <w:rPr>
          <w:rFonts w:eastAsia="Times New Roman"/>
          <w:b/>
          <w:bCs/>
          <w:rtl/>
          <w:lang w:eastAsia="de-DE"/>
        </w:rPr>
        <w:t>וְ</w:t>
      </w:r>
      <w:r w:rsidRPr="008D099B">
        <w:rPr>
          <w:rFonts w:eastAsia="Times New Roman"/>
          <w:rtl/>
          <w:lang w:eastAsia="de-DE"/>
        </w:rPr>
        <w:t xml:space="preserve"> </w:t>
      </w:r>
      <w:r w:rsidRPr="008D099B">
        <w:rPr>
          <w:rFonts w:eastAsia="Times New Roman"/>
          <w:lang w:eastAsia="de-DE"/>
        </w:rPr>
        <w:t xml:space="preserve">mit Qal Imperativ maskulin Plural von </w:t>
      </w:r>
      <w:r w:rsidRPr="008D099B">
        <w:rPr>
          <w:rFonts w:eastAsia="Times New Roman"/>
          <w:rtl/>
          <w:lang w:eastAsia="de-DE"/>
        </w:rPr>
        <w:t>נסע</w:t>
      </w:r>
      <w:r w:rsidRPr="008D099B">
        <w:rPr>
          <w:rFonts w:eastAsia="Times New Roman"/>
          <w:lang w:eastAsia="de-DE"/>
        </w:rPr>
        <w:t xml:space="preserve"> („aufbrechen, ausziehen"). </w:t>
      </w:r>
      <w:r w:rsidRPr="008D099B">
        <w:rPr>
          <w:rFonts w:eastAsia="Times New Roman"/>
          <w:b/>
          <w:bCs/>
          <w:rtl/>
          <w:lang w:eastAsia="de-DE"/>
        </w:rPr>
        <w:t>הַמִּדְבָּרָה</w:t>
      </w:r>
      <w:r w:rsidRPr="008D099B">
        <w:rPr>
          <w:rFonts w:eastAsia="Times New Roman"/>
          <w:rtl/>
          <w:lang w:eastAsia="de-DE"/>
        </w:rPr>
        <w:t xml:space="preserve"> </w:t>
      </w:r>
      <w:r w:rsidRPr="008D099B">
        <w:rPr>
          <w:rFonts w:eastAsia="Times New Roman"/>
          <w:lang w:eastAsia="de-DE"/>
        </w:rPr>
        <w:t xml:space="preserve">ist </w:t>
      </w:r>
      <w:r w:rsidRPr="008D099B">
        <w:rPr>
          <w:rFonts w:eastAsia="Times New Roman"/>
          <w:b/>
          <w:bCs/>
          <w:rtl/>
          <w:lang w:eastAsia="de-DE"/>
        </w:rPr>
        <w:t>הַמִּדְבָּר</w:t>
      </w:r>
      <w:r w:rsidRPr="008D099B">
        <w:rPr>
          <w:rFonts w:eastAsia="Times New Roman"/>
          <w:rtl/>
          <w:lang w:eastAsia="de-DE"/>
        </w:rPr>
        <w:t xml:space="preserve"> </w:t>
      </w:r>
      <w:r w:rsidRPr="008D099B">
        <w:rPr>
          <w:rFonts w:eastAsia="Times New Roman"/>
          <w:lang w:eastAsia="de-DE"/>
        </w:rPr>
        <w:t xml:space="preserve">(„die Wüste") mit He locale (Richtungsendung </w:t>
      </w:r>
      <w:r w:rsidRPr="008D099B">
        <w:rPr>
          <w:rFonts w:eastAsia="Times New Roman"/>
          <w:b/>
          <w:bCs/>
          <w:rtl/>
          <w:lang w:eastAsia="de-DE"/>
        </w:rPr>
        <w:t>ה</w:t>
      </w:r>
      <w:r w:rsidRPr="008D099B">
        <w:rPr>
          <w:rFonts w:eastAsia="Times New Roman"/>
          <w:lang w:eastAsia="de-DE"/>
        </w:rPr>
        <w:t xml:space="preserve">), was „zur Wüste hin, wüstenwärts" bedeutet. </w:t>
      </w:r>
      <w:r w:rsidRPr="008D099B">
        <w:rPr>
          <w:rFonts w:eastAsia="Times New Roman"/>
          <w:b/>
          <w:bCs/>
          <w:rtl/>
          <w:lang w:eastAsia="de-DE"/>
        </w:rPr>
        <w:t>דֶּרֶךְ יַם־סוּף</w:t>
      </w:r>
      <w:r w:rsidRPr="008D099B">
        <w:rPr>
          <w:rFonts w:eastAsia="Times New Roman"/>
          <w:rtl/>
          <w:lang w:eastAsia="de-DE"/>
        </w:rPr>
        <w:t xml:space="preserve"> </w:t>
      </w:r>
      <w:r w:rsidRPr="008D099B">
        <w:rPr>
          <w:rFonts w:eastAsia="Times New Roman"/>
          <w:lang w:eastAsia="de-DE"/>
        </w:rPr>
        <w:t xml:space="preserve">ist eine akkusativische Wegangabe: </w:t>
      </w:r>
      <w:r w:rsidRPr="008D099B">
        <w:rPr>
          <w:rFonts w:eastAsia="Times New Roman"/>
          <w:b/>
          <w:bCs/>
          <w:rtl/>
          <w:lang w:eastAsia="de-DE"/>
        </w:rPr>
        <w:t>דֶּרֶךְ</w:t>
      </w:r>
      <w:r w:rsidRPr="008D099B">
        <w:rPr>
          <w:rFonts w:eastAsia="Times New Roman"/>
          <w:rtl/>
          <w:lang w:eastAsia="de-DE"/>
        </w:rPr>
        <w:t xml:space="preserve"> </w:t>
      </w:r>
      <w:r w:rsidRPr="008D099B">
        <w:rPr>
          <w:rFonts w:eastAsia="Times New Roman"/>
          <w:lang w:eastAsia="de-DE"/>
        </w:rPr>
        <w:t xml:space="preserve">(„Weg") im </w:t>
      </w:r>
      <w:r w:rsidR="0032647F">
        <w:rPr>
          <w:rFonts w:eastAsia="Times New Roman"/>
          <w:lang w:eastAsia="de-DE"/>
        </w:rPr>
        <w:t>Construct</w:t>
      </w:r>
      <w:r w:rsidRPr="008D099B">
        <w:rPr>
          <w:rFonts w:eastAsia="Times New Roman"/>
          <w:lang w:eastAsia="de-DE"/>
        </w:rPr>
        <w:t xml:space="preserve"> mit </w:t>
      </w:r>
      <w:r w:rsidRPr="008D099B">
        <w:rPr>
          <w:rFonts w:eastAsia="Times New Roman"/>
          <w:b/>
          <w:bCs/>
          <w:rtl/>
          <w:lang w:eastAsia="de-DE"/>
        </w:rPr>
        <w:t>יַם־סוּף</w:t>
      </w:r>
      <w:r w:rsidRPr="008D099B">
        <w:rPr>
          <w:rFonts w:eastAsia="Times New Roman"/>
          <w:rtl/>
          <w:lang w:eastAsia="de-DE"/>
        </w:rPr>
        <w:t xml:space="preserve"> </w:t>
      </w:r>
      <w:r w:rsidRPr="008D099B">
        <w:rPr>
          <w:rFonts w:eastAsia="Times New Roman"/>
          <w:lang w:eastAsia="de-DE"/>
        </w:rPr>
        <w:t>(„Schilfmeer", wörtlich „Meer des Schilfs"), ein zusammengesetzter geographischer Name. Die Phrase gibt die Route an: auf dem Weg, der zum Schilfmeer führt.</w:t>
      </w:r>
    </w:p>
    <w:p w14:paraId="3B6180D9"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Die LXX</w:t>
      </w:r>
      <w:r w:rsidRPr="008D099B">
        <w:rPr>
          <w:rFonts w:eastAsia="Times New Roman"/>
          <w:lang w:eastAsia="de-DE"/>
        </w:rPr>
        <w:t xml:space="preserve"> übersetzt „καὶ </w:t>
      </w:r>
      <w:proofErr w:type="spellStart"/>
      <w:r w:rsidRPr="008D099B">
        <w:rPr>
          <w:rFonts w:eastAsia="Times New Roman"/>
          <w:lang w:eastAsia="de-DE"/>
        </w:rPr>
        <w:t>ὑμεῖς</w:t>
      </w:r>
      <w:proofErr w:type="spellEnd"/>
      <w:r w:rsidRPr="008D099B">
        <w:rPr>
          <w:rFonts w:eastAsia="Times New Roman"/>
          <w:lang w:eastAsia="de-DE"/>
        </w:rPr>
        <w:t xml:space="preserve"> ἐπ</w:t>
      </w:r>
      <w:proofErr w:type="spellStart"/>
      <w:r w:rsidRPr="008D099B">
        <w:rPr>
          <w:rFonts w:eastAsia="Times New Roman"/>
          <w:lang w:eastAsia="de-DE"/>
        </w:rPr>
        <w:t>ιστράφητε</w:t>
      </w:r>
      <w:proofErr w:type="spellEnd"/>
      <w:r w:rsidRPr="008D099B">
        <w:rPr>
          <w:rFonts w:eastAsia="Times New Roman"/>
          <w:lang w:eastAsia="de-DE"/>
        </w:rPr>
        <w:t xml:space="preserve"> καὶ ἀπ</w:t>
      </w:r>
      <w:proofErr w:type="spellStart"/>
      <w:r w:rsidRPr="008D099B">
        <w:rPr>
          <w:rFonts w:eastAsia="Times New Roman"/>
          <w:lang w:eastAsia="de-DE"/>
        </w:rPr>
        <w:t>άρ</w:t>
      </w:r>
      <w:proofErr w:type="spellEnd"/>
      <w:r w:rsidRPr="008D099B">
        <w:rPr>
          <w:rFonts w:eastAsia="Times New Roman"/>
          <w:lang w:eastAsia="de-DE"/>
        </w:rPr>
        <w:t xml:space="preserve">ατε </w:t>
      </w:r>
      <w:proofErr w:type="spellStart"/>
      <w:r w:rsidRPr="008D099B">
        <w:rPr>
          <w:rFonts w:eastAsia="Times New Roman"/>
          <w:lang w:eastAsia="de-DE"/>
        </w:rPr>
        <w:t>εἰς</w:t>
      </w:r>
      <w:proofErr w:type="spellEnd"/>
      <w:r w:rsidRPr="008D099B">
        <w:rPr>
          <w:rFonts w:eastAsia="Times New Roman"/>
          <w:lang w:eastAsia="de-DE"/>
        </w:rPr>
        <w:t xml:space="preserve"> τὴν </w:t>
      </w:r>
      <w:proofErr w:type="spellStart"/>
      <w:r w:rsidRPr="008D099B">
        <w:rPr>
          <w:rFonts w:eastAsia="Times New Roman"/>
          <w:lang w:eastAsia="de-DE"/>
        </w:rPr>
        <w:t>ἔρημον</w:t>
      </w:r>
      <w:proofErr w:type="spellEnd"/>
      <w:r w:rsidRPr="008D099B">
        <w:rPr>
          <w:rFonts w:eastAsia="Times New Roman"/>
          <w:lang w:eastAsia="de-DE"/>
        </w:rPr>
        <w:t xml:space="preserve"> </w:t>
      </w:r>
      <w:proofErr w:type="spellStart"/>
      <w:r w:rsidRPr="008D099B">
        <w:rPr>
          <w:rFonts w:eastAsia="Times New Roman"/>
          <w:lang w:eastAsia="de-DE"/>
        </w:rPr>
        <w:t>ὁδὸν</w:t>
      </w:r>
      <w:proofErr w:type="spellEnd"/>
      <w:r w:rsidRPr="008D099B">
        <w:rPr>
          <w:rFonts w:eastAsia="Times New Roman"/>
          <w:lang w:eastAsia="de-DE"/>
        </w:rPr>
        <w:t xml:space="preserve"> τὴν ἐπὶ τὴν </w:t>
      </w:r>
      <w:proofErr w:type="spellStart"/>
      <w:r w:rsidRPr="008D099B">
        <w:rPr>
          <w:rFonts w:eastAsia="Times New Roman"/>
          <w:lang w:eastAsia="de-DE"/>
        </w:rPr>
        <w:t>ἐρυθρὰν</w:t>
      </w:r>
      <w:proofErr w:type="spellEnd"/>
      <w:r w:rsidRPr="008D099B">
        <w:rPr>
          <w:rFonts w:eastAsia="Times New Roman"/>
          <w:lang w:eastAsia="de-DE"/>
        </w:rPr>
        <w:t xml:space="preserve"> </w:t>
      </w:r>
      <w:proofErr w:type="spellStart"/>
      <w:r w:rsidRPr="008D099B">
        <w:rPr>
          <w:rFonts w:eastAsia="Times New Roman"/>
          <w:lang w:eastAsia="de-DE"/>
        </w:rPr>
        <w:t>θάλ</w:t>
      </w:r>
      <w:proofErr w:type="spellEnd"/>
      <w:r w:rsidRPr="008D099B">
        <w:rPr>
          <w:rFonts w:eastAsia="Times New Roman"/>
          <w:lang w:eastAsia="de-DE"/>
        </w:rPr>
        <w:t xml:space="preserve">ασσαν" („und ihr, kehrt um und brecht auf in die Wüste, den Weg zum Roten Meer"). Die LXX übersetzt </w:t>
      </w:r>
      <w:r w:rsidRPr="008D099B">
        <w:rPr>
          <w:rFonts w:eastAsia="Times New Roman"/>
          <w:b/>
          <w:bCs/>
          <w:rtl/>
          <w:lang w:eastAsia="de-DE"/>
        </w:rPr>
        <w:t>יַם־סוּף</w:t>
      </w:r>
      <w:r w:rsidRPr="008D099B">
        <w:rPr>
          <w:rFonts w:eastAsia="Times New Roman"/>
          <w:rtl/>
          <w:lang w:eastAsia="de-DE"/>
        </w:rPr>
        <w:t xml:space="preserve"> </w:t>
      </w:r>
      <w:r w:rsidRPr="008D099B">
        <w:rPr>
          <w:rFonts w:eastAsia="Times New Roman"/>
          <w:lang w:eastAsia="de-DE"/>
        </w:rPr>
        <w:t>mit „</w:t>
      </w:r>
      <w:proofErr w:type="spellStart"/>
      <w:r w:rsidRPr="008D099B">
        <w:rPr>
          <w:rFonts w:eastAsia="Times New Roman"/>
          <w:lang w:eastAsia="de-DE"/>
        </w:rPr>
        <w:t>ἐρυθρὰ</w:t>
      </w:r>
      <w:proofErr w:type="spellEnd"/>
      <w:r w:rsidRPr="008D099B">
        <w:rPr>
          <w:rFonts w:eastAsia="Times New Roman"/>
          <w:lang w:eastAsia="de-DE"/>
        </w:rPr>
        <w:t xml:space="preserve"> </w:t>
      </w:r>
      <w:proofErr w:type="spellStart"/>
      <w:r w:rsidRPr="008D099B">
        <w:rPr>
          <w:rFonts w:eastAsia="Times New Roman"/>
          <w:lang w:eastAsia="de-DE"/>
        </w:rPr>
        <w:t>θάλ</w:t>
      </w:r>
      <w:proofErr w:type="spellEnd"/>
      <w:r w:rsidRPr="008D099B">
        <w:rPr>
          <w:rFonts w:eastAsia="Times New Roman"/>
          <w:lang w:eastAsia="de-DE"/>
        </w:rPr>
        <w:t>ασσα" („Rotes Meer"), eine interpretative Übersetzung statt einer Transliteration.</w:t>
      </w:r>
    </w:p>
    <w:p w14:paraId="2698E173"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lang w:eastAsia="de-DE"/>
        </w:rPr>
        <w:t>Die Satzstruktur besteht aus einem vorangestellten betonten Subjekt (</w:t>
      </w:r>
      <w:r w:rsidRPr="008D099B">
        <w:rPr>
          <w:rFonts w:eastAsia="Times New Roman"/>
          <w:b/>
          <w:bCs/>
          <w:rtl/>
          <w:lang w:eastAsia="de-DE"/>
        </w:rPr>
        <w:t>וְאַתֶּם</w:t>
      </w:r>
      <w:r w:rsidRPr="008D099B">
        <w:rPr>
          <w:rFonts w:eastAsia="Times New Roman"/>
          <w:lang w:eastAsia="de-DE"/>
        </w:rPr>
        <w:t xml:space="preserve">) und zwei koordinierten Imperativen: </w:t>
      </w:r>
      <w:r w:rsidRPr="008D099B">
        <w:rPr>
          <w:rFonts w:eastAsia="Times New Roman"/>
          <w:b/>
          <w:bCs/>
          <w:rtl/>
          <w:lang w:eastAsia="de-DE"/>
        </w:rPr>
        <w:t>פְּנוּ לָכֶם</w:t>
      </w:r>
      <w:r w:rsidRPr="008D099B">
        <w:rPr>
          <w:rFonts w:eastAsia="Times New Roman"/>
          <w:rtl/>
          <w:lang w:eastAsia="de-DE"/>
        </w:rPr>
        <w:t xml:space="preserve"> </w:t>
      </w:r>
      <w:r w:rsidRPr="008D099B">
        <w:rPr>
          <w:rFonts w:eastAsia="Times New Roman"/>
          <w:lang w:eastAsia="de-DE"/>
        </w:rPr>
        <w:t xml:space="preserve">und </w:t>
      </w:r>
      <w:r w:rsidRPr="008D099B">
        <w:rPr>
          <w:rFonts w:eastAsia="Times New Roman"/>
          <w:b/>
          <w:bCs/>
          <w:rtl/>
          <w:lang w:eastAsia="de-DE"/>
        </w:rPr>
        <w:t>וּסְעוּ הַמִּדְבָּרָה</w:t>
      </w:r>
      <w:r w:rsidRPr="008D099B">
        <w:rPr>
          <w:rFonts w:eastAsia="Times New Roman"/>
          <w:lang w:eastAsia="de-DE"/>
        </w:rPr>
        <w:t xml:space="preserve">, wobei der zweite Imperativ durch die Wegangabe </w:t>
      </w:r>
      <w:r w:rsidRPr="008D099B">
        <w:rPr>
          <w:rFonts w:eastAsia="Times New Roman"/>
          <w:b/>
          <w:bCs/>
          <w:rtl/>
          <w:lang w:eastAsia="de-DE"/>
        </w:rPr>
        <w:t>דֶּרֶךְ יַם־סוּף</w:t>
      </w:r>
      <w:r w:rsidRPr="008D099B">
        <w:rPr>
          <w:rFonts w:eastAsia="Times New Roman"/>
          <w:rtl/>
          <w:lang w:eastAsia="de-DE"/>
        </w:rPr>
        <w:t xml:space="preserve"> </w:t>
      </w:r>
      <w:r w:rsidRPr="008D099B">
        <w:rPr>
          <w:rFonts w:eastAsia="Times New Roman"/>
          <w:lang w:eastAsia="de-DE"/>
        </w:rPr>
        <w:t>erweitert wird.</w:t>
      </w:r>
    </w:p>
    <w:p w14:paraId="520DB060"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lang w:eastAsia="de-DE"/>
        </w:rPr>
        <w:t>Der Vers erteilt der Exodusgeneration den Befehl zur Umkehr: Statt ins verheißene Land hinaufzuziehen, sollen sie zurück in die Wüste ziehen. Dies ist das konkrete Gerichtsurteil – die 40-jährige Wüstenwanderung beginnt. Der Weg zum Schilfmeer führt zurück zur Route des Exodus, ein symbolischer Rückschritt.</w:t>
      </w:r>
    </w:p>
    <w:p w14:paraId="7234242B" w14:textId="77777777" w:rsidR="008D099B" w:rsidRPr="008D099B" w:rsidRDefault="008D099B" w:rsidP="008D099B">
      <w:pPr>
        <w:spacing w:before="100" w:beforeAutospacing="1" w:after="100" w:afterAutospacing="1" w:line="240" w:lineRule="auto"/>
        <w:outlineLvl w:val="1"/>
        <w:rPr>
          <w:rFonts w:eastAsia="Times New Roman"/>
          <w:b/>
          <w:bCs/>
          <w:sz w:val="36"/>
          <w:szCs w:val="36"/>
          <w:lang w:eastAsia="de-DE"/>
        </w:rPr>
      </w:pPr>
      <w:r w:rsidRPr="008D099B">
        <w:rPr>
          <w:rFonts w:eastAsia="Times New Roman"/>
          <w:b/>
          <w:bCs/>
          <w:sz w:val="36"/>
          <w:szCs w:val="36"/>
          <w:lang w:eastAsia="de-DE"/>
        </w:rPr>
        <w:t>Deuteronomium 1,41</w:t>
      </w:r>
    </w:p>
    <w:p w14:paraId="555C88E5"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Hebräisch:</w:t>
      </w:r>
      <w:r w:rsidRPr="008D099B">
        <w:rPr>
          <w:rFonts w:eastAsia="Times New Roman"/>
          <w:lang w:eastAsia="de-DE"/>
        </w:rPr>
        <w:t xml:space="preserve"> </w:t>
      </w:r>
      <w:r w:rsidRPr="008D099B">
        <w:rPr>
          <w:rFonts w:eastAsia="Times New Roman"/>
          <w:rtl/>
          <w:lang w:eastAsia="de-DE"/>
        </w:rPr>
        <w:t>וַֽתַּעֲנ֣וּ׀ וַתֹּאמְר֣וּ אֵלַ֗י חָטָאנוּ֮ לַֽיהוָה֒ אֲנַ֤חְנוּ נַעֲלֶה֙ וְנִלְחַ֔מְנוּ כְּכֹ֥ל אֲשֶׁר־צִוָּ֖נוּ יְהוָ֣ה אֱלֹהֵ֑ינוּ וַֽתַּחְגְּר֗וּ אִ֚ישׁ אֶת־כְּלֵ֣י מִלְחַמְתּוֹ֔ וַתָּהִ֖ינוּ לַעֲלֹ֥ת הָהָֽרָה׃</w:t>
      </w:r>
    </w:p>
    <w:p w14:paraId="59FC9C05"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Deutsch:</w:t>
      </w:r>
      <w:r w:rsidRPr="008D099B">
        <w:rPr>
          <w:rFonts w:eastAsia="Times New Roman"/>
          <w:lang w:eastAsia="de-DE"/>
        </w:rPr>
        <w:t xml:space="preserve"> Da antwortetet ihr und sagtet zu mir: Wir haben gegen den Ewigen gesündigt; wir wollen hinaufziehen und kämpfen, ganz wie der Ewige, unser Gott, uns geboten hat. Und ihr gürtetet, jeder Mann seine Kriegswaffen um und hieltet es für leicht, auf das Gebirge hinaufzuziehen.</w:t>
      </w:r>
    </w:p>
    <w:p w14:paraId="4AFA5C0F" w14:textId="77777777" w:rsidR="008D099B" w:rsidRPr="008D099B" w:rsidRDefault="004F5CEB" w:rsidP="008D099B">
      <w:pPr>
        <w:spacing w:after="0" w:line="240" w:lineRule="auto"/>
        <w:rPr>
          <w:rFonts w:eastAsia="Times New Roman"/>
          <w:lang w:eastAsia="de-DE"/>
        </w:rPr>
      </w:pPr>
      <w:r>
        <w:rPr>
          <w:rFonts w:eastAsia="Times New Roman"/>
          <w:noProof/>
          <w:lang w:eastAsia="de-DE"/>
        </w:rPr>
        <w:pict w14:anchorId="50731CD8">
          <v:rect id="_x0000_i1065" style="width:0;height:1.5pt" o:hralign="center" o:hrstd="t" o:hr="t" fillcolor="#a0a0a0" stroked="f"/>
        </w:pict>
      </w:r>
    </w:p>
    <w:p w14:paraId="01AA890A"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Kommentar:</w:t>
      </w:r>
      <w:r w:rsidRPr="008D099B">
        <w:rPr>
          <w:rFonts w:eastAsia="Times New Roman"/>
          <w:lang w:eastAsia="de-DE"/>
        </w:rPr>
        <w:t xml:space="preserve"> </w:t>
      </w:r>
      <w:r w:rsidRPr="008D099B">
        <w:rPr>
          <w:rFonts w:eastAsia="Times New Roman"/>
          <w:b/>
          <w:bCs/>
          <w:rtl/>
          <w:lang w:eastAsia="de-DE"/>
        </w:rPr>
        <w:t>וַתַּעֲנוּ</w:t>
      </w:r>
      <w:r w:rsidRPr="008D099B">
        <w:rPr>
          <w:rFonts w:eastAsia="Times New Roman"/>
          <w:rtl/>
          <w:lang w:eastAsia="de-DE"/>
        </w:rPr>
        <w:t xml:space="preserve"> </w:t>
      </w:r>
      <w:r w:rsidRPr="008D099B">
        <w:rPr>
          <w:rFonts w:eastAsia="Times New Roman"/>
          <w:lang w:eastAsia="de-DE"/>
        </w:rPr>
        <w:t xml:space="preserve">ist Qal Imperfekt consecutivum, 2. Person maskulin Plural von </w:t>
      </w:r>
      <w:r w:rsidRPr="008D099B">
        <w:rPr>
          <w:rFonts w:eastAsia="Times New Roman"/>
          <w:rtl/>
          <w:lang w:eastAsia="de-DE"/>
        </w:rPr>
        <w:t>ענה</w:t>
      </w:r>
      <w:r w:rsidRPr="008D099B">
        <w:rPr>
          <w:rFonts w:eastAsia="Times New Roman"/>
          <w:lang w:eastAsia="de-DE"/>
        </w:rPr>
        <w:t xml:space="preserve"> („antworten") mit Waw. </w:t>
      </w:r>
      <w:r w:rsidRPr="008D099B">
        <w:rPr>
          <w:rFonts w:eastAsia="Times New Roman"/>
          <w:b/>
          <w:bCs/>
          <w:rtl/>
          <w:lang w:eastAsia="de-DE"/>
        </w:rPr>
        <w:t>וַתֹּאמְרוּ</w:t>
      </w:r>
      <w:r w:rsidRPr="008D099B">
        <w:rPr>
          <w:rFonts w:eastAsia="Times New Roman"/>
          <w:rtl/>
          <w:lang w:eastAsia="de-DE"/>
        </w:rPr>
        <w:t xml:space="preserve"> </w:t>
      </w:r>
      <w:r w:rsidRPr="008D099B">
        <w:rPr>
          <w:rFonts w:eastAsia="Times New Roman"/>
          <w:lang w:eastAsia="de-DE"/>
        </w:rPr>
        <w:t xml:space="preserve">ist Qal Imperfekt consecutivum, 2. Person maskulin Plural von </w:t>
      </w:r>
      <w:r w:rsidRPr="008D099B">
        <w:rPr>
          <w:rFonts w:eastAsia="Times New Roman"/>
          <w:rtl/>
          <w:lang w:eastAsia="de-DE"/>
        </w:rPr>
        <w:t>אמר</w:t>
      </w:r>
      <w:r w:rsidRPr="008D099B">
        <w:rPr>
          <w:rFonts w:eastAsia="Times New Roman"/>
          <w:lang w:eastAsia="de-DE"/>
        </w:rPr>
        <w:t xml:space="preserve"> mit Waw. </w:t>
      </w:r>
      <w:r w:rsidRPr="008D099B">
        <w:rPr>
          <w:rFonts w:eastAsia="Times New Roman"/>
          <w:b/>
          <w:bCs/>
          <w:rtl/>
          <w:lang w:eastAsia="de-DE"/>
        </w:rPr>
        <w:t>אֵלַי</w:t>
      </w:r>
      <w:r w:rsidRPr="008D099B">
        <w:rPr>
          <w:rFonts w:eastAsia="Times New Roman"/>
          <w:rtl/>
          <w:lang w:eastAsia="de-DE"/>
        </w:rPr>
        <w:t xml:space="preserve"> </w:t>
      </w:r>
      <w:r w:rsidRPr="008D099B">
        <w:rPr>
          <w:rFonts w:eastAsia="Times New Roman"/>
          <w:lang w:eastAsia="de-DE"/>
        </w:rPr>
        <w:t xml:space="preserve">ist die Präposition </w:t>
      </w:r>
      <w:r w:rsidRPr="008D099B">
        <w:rPr>
          <w:rFonts w:eastAsia="Times New Roman"/>
          <w:b/>
          <w:bCs/>
          <w:rtl/>
          <w:lang w:eastAsia="de-DE"/>
        </w:rPr>
        <w:t>אֶל</w:t>
      </w:r>
      <w:r w:rsidRPr="008D099B">
        <w:rPr>
          <w:rFonts w:eastAsia="Times New Roman"/>
          <w:rtl/>
          <w:lang w:eastAsia="de-DE"/>
        </w:rPr>
        <w:t xml:space="preserve"> </w:t>
      </w:r>
      <w:r w:rsidRPr="008D099B">
        <w:rPr>
          <w:rFonts w:eastAsia="Times New Roman"/>
          <w:lang w:eastAsia="de-DE"/>
        </w:rPr>
        <w:t xml:space="preserve">mit Suffix 1. Person Singular („zu mir"). </w:t>
      </w:r>
      <w:r w:rsidRPr="008D099B">
        <w:rPr>
          <w:rFonts w:eastAsia="Times New Roman"/>
          <w:b/>
          <w:bCs/>
          <w:rtl/>
          <w:lang w:eastAsia="de-DE"/>
        </w:rPr>
        <w:t>חָטָאנוּ</w:t>
      </w:r>
      <w:r w:rsidRPr="008D099B">
        <w:rPr>
          <w:rFonts w:eastAsia="Times New Roman"/>
          <w:rtl/>
          <w:lang w:eastAsia="de-DE"/>
        </w:rPr>
        <w:t xml:space="preserve"> </w:t>
      </w:r>
      <w:r w:rsidRPr="008D099B">
        <w:rPr>
          <w:rFonts w:eastAsia="Times New Roman"/>
          <w:lang w:eastAsia="de-DE"/>
        </w:rPr>
        <w:t xml:space="preserve">ist Qal Perfekt, 1. Person Plural von </w:t>
      </w:r>
      <w:r w:rsidRPr="008D099B">
        <w:rPr>
          <w:rFonts w:eastAsia="Times New Roman"/>
          <w:rtl/>
          <w:lang w:eastAsia="de-DE"/>
        </w:rPr>
        <w:t>חטא</w:t>
      </w:r>
      <w:r w:rsidRPr="008D099B">
        <w:rPr>
          <w:rFonts w:eastAsia="Times New Roman"/>
          <w:lang w:eastAsia="de-DE"/>
        </w:rPr>
        <w:t xml:space="preserve"> („sündigen") mit Suffix-Nun („wir haben gesündigt"). </w:t>
      </w:r>
      <w:r w:rsidRPr="008D099B">
        <w:rPr>
          <w:rFonts w:eastAsia="Times New Roman"/>
          <w:b/>
          <w:bCs/>
          <w:rtl/>
          <w:lang w:eastAsia="de-DE"/>
        </w:rPr>
        <w:t>לַיהוָה</w:t>
      </w:r>
      <w:r w:rsidRPr="008D099B">
        <w:rPr>
          <w:rFonts w:eastAsia="Times New Roman"/>
          <w:rtl/>
          <w:lang w:eastAsia="de-DE"/>
        </w:rPr>
        <w:t xml:space="preserve"> </w:t>
      </w:r>
      <w:r w:rsidRPr="008D099B">
        <w:rPr>
          <w:rFonts w:eastAsia="Times New Roman"/>
          <w:lang w:eastAsia="de-DE"/>
        </w:rPr>
        <w:t xml:space="preserve">ist die Präposition </w:t>
      </w:r>
      <w:r w:rsidRPr="008D099B">
        <w:rPr>
          <w:rFonts w:eastAsia="Times New Roman"/>
          <w:b/>
          <w:bCs/>
          <w:rtl/>
          <w:lang w:eastAsia="de-DE"/>
        </w:rPr>
        <w:t>לְ</w:t>
      </w:r>
      <w:r w:rsidRPr="008D099B">
        <w:rPr>
          <w:rFonts w:eastAsia="Times New Roman"/>
          <w:rtl/>
          <w:lang w:eastAsia="de-DE"/>
        </w:rPr>
        <w:t xml:space="preserve"> </w:t>
      </w:r>
      <w:r w:rsidRPr="008D099B">
        <w:rPr>
          <w:rFonts w:eastAsia="Times New Roman"/>
          <w:lang w:eastAsia="de-DE"/>
        </w:rPr>
        <w:t xml:space="preserve">(„gegen") mit dem Tetragramm </w:t>
      </w:r>
      <w:r w:rsidRPr="008D099B">
        <w:rPr>
          <w:rFonts w:eastAsia="Times New Roman"/>
          <w:b/>
          <w:bCs/>
          <w:rtl/>
          <w:lang w:eastAsia="de-DE"/>
        </w:rPr>
        <w:t>יְהוָה</w:t>
      </w:r>
      <w:r w:rsidRPr="008D099B">
        <w:rPr>
          <w:rFonts w:eastAsia="Times New Roman"/>
          <w:lang w:eastAsia="de-DE"/>
        </w:rPr>
        <w:t>.</w:t>
      </w:r>
    </w:p>
    <w:p w14:paraId="0657F318"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rtl/>
          <w:lang w:eastAsia="de-DE"/>
        </w:rPr>
        <w:t>אֲנַחְנוּ נַעֲלֶה וְנִלְחַמְנוּ</w:t>
      </w:r>
      <w:r w:rsidRPr="008D099B">
        <w:rPr>
          <w:rFonts w:eastAsia="Times New Roman"/>
          <w:rtl/>
          <w:lang w:eastAsia="de-DE"/>
        </w:rPr>
        <w:t xml:space="preserve"> </w:t>
      </w:r>
      <w:r w:rsidRPr="008D099B">
        <w:rPr>
          <w:rFonts w:eastAsia="Times New Roman"/>
          <w:lang w:eastAsia="de-DE"/>
        </w:rPr>
        <w:t xml:space="preserve">besteht aus dem Personalpronomen 1. Person Plural </w:t>
      </w:r>
      <w:r w:rsidRPr="008D099B">
        <w:rPr>
          <w:rFonts w:eastAsia="Times New Roman"/>
          <w:b/>
          <w:bCs/>
          <w:rtl/>
          <w:lang w:eastAsia="de-DE"/>
        </w:rPr>
        <w:t>אֲנַחְנוּ</w:t>
      </w:r>
      <w:r w:rsidRPr="008D099B">
        <w:rPr>
          <w:rFonts w:eastAsia="Times New Roman"/>
          <w:rtl/>
          <w:lang w:eastAsia="de-DE"/>
        </w:rPr>
        <w:t xml:space="preserve"> </w:t>
      </w:r>
      <w:r w:rsidRPr="008D099B">
        <w:rPr>
          <w:rFonts w:eastAsia="Times New Roman"/>
          <w:lang w:eastAsia="de-DE"/>
        </w:rPr>
        <w:t xml:space="preserve">als betonendes Subjekt, </w:t>
      </w:r>
      <w:r w:rsidRPr="008D099B">
        <w:rPr>
          <w:rFonts w:eastAsia="Times New Roman"/>
          <w:b/>
          <w:bCs/>
          <w:rtl/>
          <w:lang w:eastAsia="de-DE"/>
        </w:rPr>
        <w:t>נַעֲלֶה</w:t>
      </w:r>
      <w:r w:rsidRPr="008D099B">
        <w:rPr>
          <w:rFonts w:eastAsia="Times New Roman"/>
          <w:rtl/>
          <w:lang w:eastAsia="de-DE"/>
        </w:rPr>
        <w:t xml:space="preserve"> </w:t>
      </w:r>
      <w:r w:rsidRPr="008D099B">
        <w:rPr>
          <w:rFonts w:eastAsia="Times New Roman"/>
          <w:lang w:eastAsia="de-DE"/>
        </w:rPr>
        <w:t xml:space="preserve">(Qal Imperfekt, 1. Person Plural von </w:t>
      </w:r>
      <w:r w:rsidRPr="008D099B">
        <w:rPr>
          <w:rFonts w:eastAsia="Times New Roman"/>
          <w:rtl/>
          <w:lang w:eastAsia="de-DE"/>
        </w:rPr>
        <w:t>עלה</w:t>
      </w:r>
      <w:r w:rsidRPr="008D099B">
        <w:rPr>
          <w:rFonts w:eastAsia="Times New Roman"/>
          <w:lang w:eastAsia="de-DE"/>
        </w:rPr>
        <w:t xml:space="preserve"> „hinaufziehen") mit </w:t>
      </w:r>
      <w:proofErr w:type="spellStart"/>
      <w:r w:rsidRPr="008D099B">
        <w:rPr>
          <w:rFonts w:eastAsia="Times New Roman"/>
          <w:lang w:eastAsia="de-DE"/>
        </w:rPr>
        <w:t>kohortativer</w:t>
      </w:r>
      <w:proofErr w:type="spellEnd"/>
      <w:r w:rsidRPr="008D099B">
        <w:rPr>
          <w:rFonts w:eastAsia="Times New Roman"/>
          <w:lang w:eastAsia="de-DE"/>
        </w:rPr>
        <w:t xml:space="preserve"> Funktion, und </w:t>
      </w:r>
      <w:r w:rsidRPr="008D099B">
        <w:rPr>
          <w:rFonts w:eastAsia="Times New Roman"/>
          <w:b/>
          <w:bCs/>
          <w:rtl/>
          <w:lang w:eastAsia="de-DE"/>
        </w:rPr>
        <w:t>וְנִלְחַמְנוּ</w:t>
      </w:r>
      <w:r w:rsidRPr="008D099B">
        <w:rPr>
          <w:rFonts w:eastAsia="Times New Roman"/>
          <w:rtl/>
          <w:lang w:eastAsia="de-DE"/>
        </w:rPr>
        <w:t xml:space="preserve"> </w:t>
      </w:r>
      <w:r w:rsidRPr="008D099B">
        <w:rPr>
          <w:rFonts w:eastAsia="Times New Roman"/>
          <w:lang w:eastAsia="de-DE"/>
        </w:rPr>
        <w:t>(</w:t>
      </w:r>
      <w:r w:rsidRPr="008D099B">
        <w:rPr>
          <w:rFonts w:eastAsia="Times New Roman"/>
          <w:b/>
          <w:bCs/>
          <w:rtl/>
          <w:lang w:eastAsia="de-DE"/>
        </w:rPr>
        <w:t>וְ</w:t>
      </w:r>
      <w:r w:rsidRPr="008D099B">
        <w:rPr>
          <w:rFonts w:eastAsia="Times New Roman"/>
          <w:rtl/>
          <w:lang w:eastAsia="de-DE"/>
        </w:rPr>
        <w:t xml:space="preserve"> </w:t>
      </w:r>
      <w:r w:rsidRPr="008D099B">
        <w:rPr>
          <w:rFonts w:eastAsia="Times New Roman"/>
          <w:lang w:eastAsia="de-DE"/>
        </w:rPr>
        <w:t xml:space="preserve">mit Nif'al Imperfekt, 1. Person Plural von </w:t>
      </w:r>
      <w:r w:rsidRPr="008D099B">
        <w:rPr>
          <w:rFonts w:eastAsia="Times New Roman"/>
          <w:rtl/>
          <w:lang w:eastAsia="de-DE"/>
        </w:rPr>
        <w:t>לחם</w:t>
      </w:r>
      <w:r w:rsidRPr="008D099B">
        <w:rPr>
          <w:rFonts w:eastAsia="Times New Roman"/>
          <w:lang w:eastAsia="de-DE"/>
        </w:rPr>
        <w:t xml:space="preserve"> „kämpfen" mit Kohortativendung </w:t>
      </w:r>
      <w:r w:rsidRPr="008D099B">
        <w:rPr>
          <w:rFonts w:eastAsia="Times New Roman"/>
          <w:b/>
          <w:bCs/>
          <w:rtl/>
          <w:lang w:eastAsia="de-DE"/>
        </w:rPr>
        <w:t>נוּ</w:t>
      </w:r>
      <w:r w:rsidRPr="008D099B">
        <w:rPr>
          <w:rFonts w:eastAsia="Times New Roman"/>
          <w:lang w:eastAsia="de-DE"/>
        </w:rPr>
        <w:t>). Die Kohortative drücken Entschlossenheit oder Absicht aus: „wir wollen hinaufziehen und kämpfen".</w:t>
      </w:r>
    </w:p>
    <w:p w14:paraId="77158482"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rtl/>
          <w:lang w:eastAsia="de-DE"/>
        </w:rPr>
        <w:t>כְּכֹל אֲשֶׁר־צִוָּנוּ יְהוָה אֱלֹהֵינוּ</w:t>
      </w:r>
      <w:r w:rsidRPr="008D099B">
        <w:rPr>
          <w:rFonts w:eastAsia="Times New Roman"/>
          <w:rtl/>
          <w:lang w:eastAsia="de-DE"/>
        </w:rPr>
        <w:t xml:space="preserve"> </w:t>
      </w:r>
      <w:r w:rsidRPr="008D099B">
        <w:rPr>
          <w:rFonts w:eastAsia="Times New Roman"/>
          <w:lang w:eastAsia="de-DE"/>
        </w:rPr>
        <w:t xml:space="preserve">ist ein Vergleichssatz: </w:t>
      </w:r>
      <w:r w:rsidRPr="008D099B">
        <w:rPr>
          <w:rFonts w:eastAsia="Times New Roman"/>
          <w:b/>
          <w:bCs/>
          <w:rtl/>
          <w:lang w:eastAsia="de-DE"/>
        </w:rPr>
        <w:t>כְּכֹל</w:t>
      </w:r>
      <w:r w:rsidRPr="008D099B">
        <w:rPr>
          <w:rFonts w:eastAsia="Times New Roman"/>
          <w:rtl/>
          <w:lang w:eastAsia="de-DE"/>
        </w:rPr>
        <w:t xml:space="preserve"> </w:t>
      </w:r>
      <w:r w:rsidRPr="008D099B">
        <w:rPr>
          <w:rFonts w:eastAsia="Times New Roman"/>
          <w:lang w:eastAsia="de-DE"/>
        </w:rPr>
        <w:t xml:space="preserve">(„gemäß allem, ganz wie"), </w:t>
      </w:r>
      <w:r w:rsidRPr="008D099B">
        <w:rPr>
          <w:rFonts w:eastAsia="Times New Roman"/>
          <w:b/>
          <w:bCs/>
          <w:rtl/>
          <w:lang w:eastAsia="de-DE"/>
        </w:rPr>
        <w:t>אֲשֶׁר</w:t>
      </w:r>
      <w:r w:rsidRPr="008D099B">
        <w:rPr>
          <w:rFonts w:eastAsia="Times New Roman"/>
          <w:rtl/>
          <w:lang w:eastAsia="de-DE"/>
        </w:rPr>
        <w:t xml:space="preserve"> </w:t>
      </w:r>
      <w:r w:rsidRPr="008D099B">
        <w:rPr>
          <w:rFonts w:eastAsia="Times New Roman"/>
          <w:lang w:eastAsia="de-DE"/>
        </w:rPr>
        <w:t xml:space="preserve">als Relativpronomen, </w:t>
      </w:r>
      <w:r w:rsidRPr="008D099B">
        <w:rPr>
          <w:rFonts w:eastAsia="Times New Roman"/>
          <w:b/>
          <w:bCs/>
          <w:rtl/>
          <w:lang w:eastAsia="de-DE"/>
        </w:rPr>
        <w:t>צִוָּנוּ</w:t>
      </w:r>
      <w:r w:rsidRPr="008D099B">
        <w:rPr>
          <w:rFonts w:eastAsia="Times New Roman"/>
          <w:rtl/>
          <w:lang w:eastAsia="de-DE"/>
        </w:rPr>
        <w:t xml:space="preserve"> </w:t>
      </w:r>
      <w:r w:rsidRPr="008D099B">
        <w:rPr>
          <w:rFonts w:eastAsia="Times New Roman"/>
          <w:lang w:eastAsia="de-DE"/>
        </w:rPr>
        <w:t xml:space="preserve">(Piel Perfekt, 3. Person maskulin Singular von </w:t>
      </w:r>
      <w:r w:rsidRPr="008D099B">
        <w:rPr>
          <w:rFonts w:eastAsia="Times New Roman"/>
          <w:rtl/>
          <w:lang w:eastAsia="de-DE"/>
        </w:rPr>
        <w:t>צוה</w:t>
      </w:r>
      <w:r w:rsidRPr="008D099B">
        <w:rPr>
          <w:rFonts w:eastAsia="Times New Roman"/>
          <w:lang w:eastAsia="de-DE"/>
        </w:rPr>
        <w:t xml:space="preserve"> mit Objektsuffix 1. Person Plural </w:t>
      </w:r>
      <w:r w:rsidRPr="008D099B">
        <w:rPr>
          <w:rFonts w:eastAsia="Times New Roman"/>
          <w:b/>
          <w:bCs/>
          <w:rtl/>
          <w:lang w:eastAsia="de-DE"/>
        </w:rPr>
        <w:t>נוּ</w:t>
      </w:r>
      <w:r w:rsidRPr="008D099B">
        <w:rPr>
          <w:rFonts w:eastAsia="Times New Roman"/>
          <w:lang w:eastAsia="de-DE"/>
        </w:rPr>
        <w:t xml:space="preserve">), </w:t>
      </w:r>
      <w:r w:rsidRPr="008D099B">
        <w:rPr>
          <w:rFonts w:eastAsia="Times New Roman"/>
          <w:b/>
          <w:bCs/>
          <w:rtl/>
          <w:lang w:eastAsia="de-DE"/>
        </w:rPr>
        <w:t>יְהוָה אֱלֹהֵינוּ</w:t>
      </w:r>
      <w:r w:rsidRPr="008D099B">
        <w:rPr>
          <w:rFonts w:eastAsia="Times New Roman"/>
          <w:rtl/>
          <w:lang w:eastAsia="de-DE"/>
        </w:rPr>
        <w:t xml:space="preserve"> </w:t>
      </w:r>
      <w:r w:rsidRPr="008D099B">
        <w:rPr>
          <w:rFonts w:eastAsia="Times New Roman"/>
          <w:lang w:eastAsia="de-DE"/>
        </w:rPr>
        <w:t>als Subjekt.</w:t>
      </w:r>
    </w:p>
    <w:p w14:paraId="0F89672E" w14:textId="4FC750A0"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rtl/>
          <w:lang w:eastAsia="de-DE"/>
        </w:rPr>
        <w:lastRenderedPageBreak/>
        <w:t>וַתַּחְגְּרוּ אִישׁ אֶת־כְּלֵי מִלְחַמְתּוֹ</w:t>
      </w:r>
      <w:r w:rsidRPr="008D099B">
        <w:rPr>
          <w:rFonts w:eastAsia="Times New Roman"/>
          <w:rtl/>
          <w:lang w:eastAsia="de-DE"/>
        </w:rPr>
        <w:t xml:space="preserve"> </w:t>
      </w:r>
      <w:r w:rsidRPr="008D099B">
        <w:rPr>
          <w:rFonts w:eastAsia="Times New Roman"/>
          <w:lang w:eastAsia="de-DE"/>
        </w:rPr>
        <w:t xml:space="preserve">besteht aus </w:t>
      </w:r>
      <w:r w:rsidRPr="008D099B">
        <w:rPr>
          <w:rFonts w:eastAsia="Times New Roman"/>
          <w:b/>
          <w:bCs/>
          <w:rtl/>
          <w:lang w:eastAsia="de-DE"/>
        </w:rPr>
        <w:t>וַתַּחְגְּרוּ</w:t>
      </w:r>
      <w:r w:rsidRPr="008D099B">
        <w:rPr>
          <w:rFonts w:eastAsia="Times New Roman"/>
          <w:rtl/>
          <w:lang w:eastAsia="de-DE"/>
        </w:rPr>
        <w:t xml:space="preserve"> </w:t>
      </w:r>
      <w:r w:rsidRPr="008D099B">
        <w:rPr>
          <w:rFonts w:eastAsia="Times New Roman"/>
          <w:lang w:eastAsia="de-DE"/>
        </w:rPr>
        <w:t xml:space="preserve">(Qal Imperfekt consecutivum, 2. Person maskulin Plural von </w:t>
      </w:r>
      <w:r w:rsidRPr="008D099B">
        <w:rPr>
          <w:rFonts w:eastAsia="Times New Roman"/>
          <w:rtl/>
          <w:lang w:eastAsia="de-DE"/>
        </w:rPr>
        <w:t>חגר</w:t>
      </w:r>
      <w:r w:rsidRPr="008D099B">
        <w:rPr>
          <w:rFonts w:eastAsia="Times New Roman"/>
          <w:lang w:eastAsia="de-DE"/>
        </w:rPr>
        <w:t xml:space="preserve"> „gürten, umgürten" mit Waw), </w:t>
      </w:r>
      <w:r w:rsidRPr="008D099B">
        <w:rPr>
          <w:rFonts w:eastAsia="Times New Roman"/>
          <w:b/>
          <w:bCs/>
          <w:rtl/>
          <w:lang w:eastAsia="de-DE"/>
        </w:rPr>
        <w:t>אִישׁ</w:t>
      </w:r>
      <w:r w:rsidRPr="008D099B">
        <w:rPr>
          <w:rFonts w:eastAsia="Times New Roman"/>
          <w:rtl/>
          <w:lang w:eastAsia="de-DE"/>
        </w:rPr>
        <w:t xml:space="preserve"> </w:t>
      </w:r>
      <w:r w:rsidRPr="008D099B">
        <w:rPr>
          <w:rFonts w:eastAsia="Times New Roman"/>
          <w:lang w:eastAsia="de-DE"/>
        </w:rPr>
        <w:t xml:space="preserve">(„Mann, jeder") als distributives Subjekt, </w:t>
      </w:r>
      <w:r w:rsidRPr="008D099B">
        <w:rPr>
          <w:rFonts w:eastAsia="Times New Roman"/>
          <w:b/>
          <w:bCs/>
          <w:rtl/>
          <w:lang w:eastAsia="de-DE"/>
        </w:rPr>
        <w:t>אֶת־כְּלֵי מִלְחַמְתּוֹ</w:t>
      </w:r>
      <w:r w:rsidRPr="008D099B">
        <w:rPr>
          <w:rFonts w:eastAsia="Times New Roman"/>
          <w:rtl/>
          <w:lang w:eastAsia="de-DE"/>
        </w:rPr>
        <w:t xml:space="preserve"> </w:t>
      </w:r>
      <w:r w:rsidRPr="008D099B">
        <w:rPr>
          <w:rFonts w:eastAsia="Times New Roman"/>
          <w:lang w:eastAsia="de-DE"/>
        </w:rPr>
        <w:t xml:space="preserve">(Objektpartikel mit </w:t>
      </w:r>
      <w:r w:rsidRPr="008D099B">
        <w:rPr>
          <w:rFonts w:eastAsia="Times New Roman"/>
          <w:b/>
          <w:bCs/>
          <w:rtl/>
          <w:lang w:eastAsia="de-DE"/>
        </w:rPr>
        <w:t>כְּלֵי</w:t>
      </w:r>
      <w:r w:rsidRPr="008D099B">
        <w:rPr>
          <w:rFonts w:eastAsia="Times New Roman"/>
          <w:rtl/>
          <w:lang w:eastAsia="de-DE"/>
        </w:rPr>
        <w:t xml:space="preserve"> </w:t>
      </w:r>
      <w:r w:rsidRPr="008D099B">
        <w:rPr>
          <w:rFonts w:eastAsia="Times New Roman"/>
          <w:lang w:eastAsia="de-DE"/>
        </w:rPr>
        <w:t xml:space="preserve">„Waffen, Geräte" im Plural </w:t>
      </w:r>
      <w:r w:rsidR="0032647F">
        <w:rPr>
          <w:rFonts w:eastAsia="Times New Roman"/>
          <w:lang w:eastAsia="de-DE"/>
        </w:rPr>
        <w:t>Construct</w:t>
      </w:r>
      <w:r w:rsidRPr="008D099B">
        <w:rPr>
          <w:rFonts w:eastAsia="Times New Roman"/>
          <w:lang w:eastAsia="de-DE"/>
        </w:rPr>
        <w:t xml:space="preserve">, </w:t>
      </w:r>
      <w:r w:rsidRPr="008D099B">
        <w:rPr>
          <w:rFonts w:eastAsia="Times New Roman"/>
          <w:b/>
          <w:bCs/>
          <w:rtl/>
          <w:lang w:eastAsia="de-DE"/>
        </w:rPr>
        <w:t>מִלְחֶמֶת</w:t>
      </w:r>
      <w:r w:rsidRPr="008D099B">
        <w:rPr>
          <w:rFonts w:eastAsia="Times New Roman"/>
          <w:rtl/>
          <w:lang w:eastAsia="de-DE"/>
        </w:rPr>
        <w:t xml:space="preserve"> </w:t>
      </w:r>
      <w:r w:rsidRPr="008D099B">
        <w:rPr>
          <w:rFonts w:eastAsia="Times New Roman"/>
          <w:lang w:eastAsia="de-DE"/>
        </w:rPr>
        <w:t xml:space="preserve">„Krieg" im </w:t>
      </w:r>
      <w:r w:rsidR="0032647F">
        <w:rPr>
          <w:rFonts w:eastAsia="Times New Roman"/>
          <w:lang w:eastAsia="de-DE"/>
        </w:rPr>
        <w:t>Construct</w:t>
      </w:r>
      <w:r w:rsidRPr="008D099B">
        <w:rPr>
          <w:rFonts w:eastAsia="Times New Roman"/>
          <w:lang w:eastAsia="de-DE"/>
        </w:rPr>
        <w:t xml:space="preserve">, und Suffix 3. Person maskulin Singular </w:t>
      </w:r>
      <w:r w:rsidRPr="008D099B">
        <w:rPr>
          <w:rFonts w:eastAsia="Times New Roman"/>
          <w:b/>
          <w:bCs/>
          <w:rtl/>
          <w:lang w:eastAsia="de-DE"/>
        </w:rPr>
        <w:t>וֹ</w:t>
      </w:r>
      <w:r w:rsidRPr="008D099B">
        <w:rPr>
          <w:rFonts w:eastAsia="Times New Roman"/>
          <w:rtl/>
          <w:lang w:eastAsia="de-DE"/>
        </w:rPr>
        <w:t xml:space="preserve"> </w:t>
      </w:r>
      <w:r w:rsidRPr="008D099B">
        <w:rPr>
          <w:rFonts w:eastAsia="Times New Roman"/>
          <w:lang w:eastAsia="de-DE"/>
        </w:rPr>
        <w:t>„seine Kriegswaffen").</w:t>
      </w:r>
    </w:p>
    <w:p w14:paraId="254812EC" w14:textId="51C9EB22"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rtl/>
          <w:lang w:eastAsia="de-DE"/>
        </w:rPr>
        <w:t>וַתָּהִינוּ לַעֲלֹת הָהָרָה</w:t>
      </w:r>
      <w:r w:rsidRPr="008D099B">
        <w:rPr>
          <w:rFonts w:eastAsia="Times New Roman"/>
          <w:rtl/>
          <w:lang w:eastAsia="de-DE"/>
        </w:rPr>
        <w:t xml:space="preserve"> </w:t>
      </w:r>
      <w:r w:rsidRPr="008D099B">
        <w:rPr>
          <w:rFonts w:eastAsia="Times New Roman"/>
          <w:lang w:eastAsia="de-DE"/>
        </w:rPr>
        <w:t xml:space="preserve">ist </w:t>
      </w:r>
      <w:r w:rsidRPr="008D099B">
        <w:rPr>
          <w:rFonts w:eastAsia="Times New Roman"/>
          <w:b/>
          <w:bCs/>
          <w:rtl/>
          <w:lang w:eastAsia="de-DE"/>
        </w:rPr>
        <w:t>וַתָּהִינוּ</w:t>
      </w:r>
      <w:r w:rsidRPr="008D099B">
        <w:rPr>
          <w:rFonts w:eastAsia="Times New Roman"/>
          <w:rtl/>
          <w:lang w:eastAsia="de-DE"/>
        </w:rPr>
        <w:t xml:space="preserve"> </w:t>
      </w:r>
      <w:r w:rsidRPr="008D099B">
        <w:rPr>
          <w:rFonts w:eastAsia="Times New Roman"/>
          <w:lang w:eastAsia="de-DE"/>
        </w:rPr>
        <w:t xml:space="preserve">(Hif'il Imperfekt consecutivum, 2. Person maskulin Plural von </w:t>
      </w:r>
      <w:r w:rsidRPr="008D099B">
        <w:rPr>
          <w:rFonts w:eastAsia="Times New Roman"/>
          <w:rtl/>
          <w:lang w:eastAsia="de-DE"/>
        </w:rPr>
        <w:t>הין</w:t>
      </w:r>
      <w:r w:rsidRPr="008D099B">
        <w:rPr>
          <w:rFonts w:eastAsia="Times New Roman"/>
          <w:lang w:eastAsia="de-DE"/>
        </w:rPr>
        <w:t>, eine seltene Wurzel, die „leicht nehmen, für leicht halten" bedeutet, mit Waw)</w:t>
      </w:r>
      <w:r w:rsidR="005E1580">
        <w:rPr>
          <w:rFonts w:eastAsia="Times New Roman"/>
          <w:lang w:eastAsia="de-DE"/>
        </w:rPr>
        <w:t xml:space="preserve">. </w:t>
      </w:r>
      <w:r w:rsidR="005E1580">
        <w:t xml:space="preserve">Die Wurzel </w:t>
      </w:r>
      <w:r w:rsidR="005E1580">
        <w:rPr>
          <w:rStyle w:val="Fett"/>
          <w:rtl/>
        </w:rPr>
        <w:t>הין</w:t>
      </w:r>
      <w:r w:rsidR="005E1580">
        <w:rPr>
          <w:rtl/>
        </w:rPr>
        <w:t xml:space="preserve"> </w:t>
      </w:r>
      <w:r w:rsidR="005E1580">
        <w:t xml:space="preserve">ist sehr selten. Manche Gelehrte leiten die Form von </w:t>
      </w:r>
      <w:r w:rsidR="005E1580">
        <w:rPr>
          <w:rStyle w:val="Fett"/>
          <w:rtl/>
        </w:rPr>
        <w:t>הון</w:t>
      </w:r>
      <w:r w:rsidR="005E1580">
        <w:rPr>
          <w:rtl/>
        </w:rPr>
        <w:t xml:space="preserve"> </w:t>
      </w:r>
      <w:r w:rsidR="005E1580">
        <w:t>ab.</w:t>
      </w:r>
      <w:r w:rsidRPr="008D099B">
        <w:rPr>
          <w:rFonts w:eastAsia="Times New Roman"/>
          <w:lang w:eastAsia="de-DE"/>
        </w:rPr>
        <w:t xml:space="preserve"> </w:t>
      </w:r>
      <w:r w:rsidRPr="008D099B">
        <w:rPr>
          <w:rFonts w:eastAsia="Times New Roman"/>
          <w:b/>
          <w:bCs/>
          <w:rtl/>
          <w:lang w:eastAsia="de-DE"/>
        </w:rPr>
        <w:t>לַעֲלֹת</w:t>
      </w:r>
      <w:r w:rsidRPr="008D099B">
        <w:rPr>
          <w:rFonts w:eastAsia="Times New Roman"/>
          <w:lang w:eastAsia="de-DE"/>
        </w:rPr>
        <w:t xml:space="preserve">(Präposition </w:t>
      </w:r>
      <w:r w:rsidRPr="008D099B">
        <w:rPr>
          <w:rFonts w:eastAsia="Times New Roman"/>
          <w:b/>
          <w:bCs/>
          <w:rtl/>
          <w:lang w:eastAsia="de-DE"/>
        </w:rPr>
        <w:t>לְ</w:t>
      </w:r>
      <w:r w:rsidRPr="008D099B">
        <w:rPr>
          <w:rFonts w:eastAsia="Times New Roman"/>
          <w:rtl/>
          <w:lang w:eastAsia="de-DE"/>
        </w:rPr>
        <w:t xml:space="preserve"> </w:t>
      </w:r>
      <w:r w:rsidRPr="008D099B">
        <w:rPr>
          <w:rFonts w:eastAsia="Times New Roman"/>
          <w:lang w:eastAsia="de-DE"/>
        </w:rPr>
        <w:t xml:space="preserve">mit Qal Infinitiv </w:t>
      </w:r>
      <w:r w:rsidR="0032647F">
        <w:rPr>
          <w:rFonts w:eastAsia="Times New Roman"/>
          <w:lang w:eastAsia="de-DE"/>
        </w:rPr>
        <w:t>Construct</w:t>
      </w:r>
      <w:r w:rsidRPr="008D099B">
        <w:rPr>
          <w:rFonts w:eastAsia="Times New Roman"/>
          <w:lang w:eastAsia="de-DE"/>
        </w:rPr>
        <w:t xml:space="preserve"> von </w:t>
      </w:r>
      <w:r w:rsidRPr="008D099B">
        <w:rPr>
          <w:rFonts w:eastAsia="Times New Roman"/>
          <w:rtl/>
          <w:lang w:eastAsia="de-DE"/>
        </w:rPr>
        <w:t>עלה</w:t>
      </w:r>
      <w:r w:rsidRPr="008D099B">
        <w:rPr>
          <w:rFonts w:eastAsia="Times New Roman"/>
          <w:lang w:eastAsia="de-DE"/>
        </w:rPr>
        <w:t xml:space="preserve">), und </w:t>
      </w:r>
      <w:r w:rsidRPr="008D099B">
        <w:rPr>
          <w:rFonts w:eastAsia="Times New Roman"/>
          <w:b/>
          <w:bCs/>
          <w:rtl/>
          <w:lang w:eastAsia="de-DE"/>
        </w:rPr>
        <w:t>הָהָרָה</w:t>
      </w:r>
      <w:r w:rsidRPr="008D099B">
        <w:rPr>
          <w:rFonts w:eastAsia="Times New Roman"/>
          <w:rtl/>
          <w:lang w:eastAsia="de-DE"/>
        </w:rPr>
        <w:t xml:space="preserve"> </w:t>
      </w:r>
      <w:r w:rsidRPr="008D099B">
        <w:rPr>
          <w:rFonts w:eastAsia="Times New Roman"/>
          <w:lang w:eastAsia="de-DE"/>
        </w:rPr>
        <w:t>(</w:t>
      </w:r>
      <w:r w:rsidRPr="008D099B">
        <w:rPr>
          <w:rFonts w:eastAsia="Times New Roman"/>
          <w:b/>
          <w:bCs/>
          <w:rtl/>
          <w:lang w:eastAsia="de-DE"/>
        </w:rPr>
        <w:t>הָהָר</w:t>
      </w:r>
      <w:r w:rsidRPr="008D099B">
        <w:rPr>
          <w:rFonts w:eastAsia="Times New Roman"/>
          <w:rtl/>
          <w:lang w:eastAsia="de-DE"/>
        </w:rPr>
        <w:t xml:space="preserve"> </w:t>
      </w:r>
      <w:r w:rsidRPr="008D099B">
        <w:rPr>
          <w:rFonts w:eastAsia="Times New Roman"/>
          <w:lang w:eastAsia="de-DE"/>
        </w:rPr>
        <w:t>„das Gebirge" mit He locale).</w:t>
      </w:r>
    </w:p>
    <w:p w14:paraId="590ABEF3"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Die LXX</w:t>
      </w:r>
      <w:r w:rsidRPr="008D099B">
        <w:rPr>
          <w:rFonts w:eastAsia="Times New Roman"/>
          <w:lang w:eastAsia="de-DE"/>
        </w:rPr>
        <w:t xml:space="preserve"> übersetzt „καὶ ἀπ</w:t>
      </w:r>
      <w:proofErr w:type="spellStart"/>
      <w:r w:rsidRPr="008D099B">
        <w:rPr>
          <w:rFonts w:eastAsia="Times New Roman"/>
          <w:lang w:eastAsia="de-DE"/>
        </w:rPr>
        <w:t>εκρίθητε</w:t>
      </w:r>
      <w:proofErr w:type="spellEnd"/>
      <w:r w:rsidRPr="008D099B">
        <w:rPr>
          <w:rFonts w:eastAsia="Times New Roman"/>
          <w:lang w:eastAsia="de-DE"/>
        </w:rPr>
        <w:t xml:space="preserve"> καὶ </w:t>
      </w:r>
      <w:proofErr w:type="spellStart"/>
      <w:r w:rsidRPr="008D099B">
        <w:rPr>
          <w:rFonts w:eastAsia="Times New Roman"/>
          <w:lang w:eastAsia="de-DE"/>
        </w:rPr>
        <w:t>εἴ</w:t>
      </w:r>
      <w:proofErr w:type="spellEnd"/>
      <w:r w:rsidRPr="008D099B">
        <w:rPr>
          <w:rFonts w:eastAsia="Times New Roman"/>
          <w:lang w:eastAsia="de-DE"/>
        </w:rPr>
        <w:t xml:space="preserve">πατέ </w:t>
      </w:r>
      <w:proofErr w:type="spellStart"/>
      <w:r w:rsidRPr="008D099B">
        <w:rPr>
          <w:rFonts w:eastAsia="Times New Roman"/>
          <w:lang w:eastAsia="de-DE"/>
        </w:rPr>
        <w:t>μοι</w:t>
      </w:r>
      <w:proofErr w:type="spellEnd"/>
      <w:r w:rsidRPr="008D099B">
        <w:rPr>
          <w:rFonts w:eastAsia="Times New Roman"/>
          <w:lang w:eastAsia="de-DE"/>
        </w:rPr>
        <w:t xml:space="preserve"> </w:t>
      </w:r>
      <w:proofErr w:type="spellStart"/>
      <w:r w:rsidRPr="008D099B">
        <w:rPr>
          <w:rFonts w:eastAsia="Times New Roman"/>
          <w:lang w:eastAsia="de-DE"/>
        </w:rPr>
        <w:t>Ἡμάρτομεν</w:t>
      </w:r>
      <w:proofErr w:type="spellEnd"/>
      <w:r w:rsidRPr="008D099B">
        <w:rPr>
          <w:rFonts w:eastAsia="Times New Roman"/>
          <w:lang w:eastAsia="de-DE"/>
        </w:rPr>
        <w:t xml:space="preserve"> </w:t>
      </w:r>
      <w:proofErr w:type="spellStart"/>
      <w:r w:rsidRPr="008D099B">
        <w:rPr>
          <w:rFonts w:eastAsia="Times New Roman"/>
          <w:lang w:eastAsia="de-DE"/>
        </w:rPr>
        <w:t>ἔν</w:t>
      </w:r>
      <w:proofErr w:type="spellEnd"/>
      <w:r w:rsidRPr="008D099B">
        <w:rPr>
          <w:rFonts w:eastAsia="Times New Roman"/>
          <w:lang w:eastAsia="de-DE"/>
        </w:rPr>
        <w:t xml:space="preserve">αντι </w:t>
      </w:r>
      <w:proofErr w:type="spellStart"/>
      <w:r w:rsidRPr="008D099B">
        <w:rPr>
          <w:rFonts w:eastAsia="Times New Roman"/>
          <w:lang w:eastAsia="de-DE"/>
        </w:rPr>
        <w:t>κυρίου</w:t>
      </w:r>
      <w:proofErr w:type="spellEnd"/>
      <w:r w:rsidRPr="008D099B">
        <w:rPr>
          <w:rFonts w:eastAsia="Times New Roman"/>
          <w:lang w:eastAsia="de-DE"/>
        </w:rPr>
        <w:t xml:space="preserve"> </w:t>
      </w:r>
      <w:proofErr w:type="spellStart"/>
      <w:r w:rsidRPr="008D099B">
        <w:rPr>
          <w:rFonts w:eastAsia="Times New Roman"/>
          <w:lang w:eastAsia="de-DE"/>
        </w:rPr>
        <w:t>τοῦ</w:t>
      </w:r>
      <w:proofErr w:type="spellEnd"/>
      <w:r w:rsidRPr="008D099B">
        <w:rPr>
          <w:rFonts w:eastAsia="Times New Roman"/>
          <w:lang w:eastAsia="de-DE"/>
        </w:rPr>
        <w:t xml:space="preserve"> </w:t>
      </w:r>
      <w:proofErr w:type="spellStart"/>
      <w:r w:rsidRPr="008D099B">
        <w:rPr>
          <w:rFonts w:eastAsia="Times New Roman"/>
          <w:lang w:eastAsia="de-DE"/>
        </w:rPr>
        <w:t>θεοῦ</w:t>
      </w:r>
      <w:proofErr w:type="spellEnd"/>
      <w:r w:rsidRPr="008D099B">
        <w:rPr>
          <w:rFonts w:eastAsia="Times New Roman"/>
          <w:lang w:eastAsia="de-DE"/>
        </w:rPr>
        <w:t xml:space="preserve"> </w:t>
      </w:r>
      <w:proofErr w:type="spellStart"/>
      <w:r w:rsidRPr="008D099B">
        <w:rPr>
          <w:rFonts w:eastAsia="Times New Roman"/>
          <w:lang w:eastAsia="de-DE"/>
        </w:rPr>
        <w:t>ἡμῶν</w:t>
      </w:r>
      <w:proofErr w:type="spellEnd"/>
      <w:r w:rsidRPr="008D099B">
        <w:rPr>
          <w:rFonts w:eastAsia="Times New Roman"/>
          <w:lang w:eastAsia="de-DE"/>
        </w:rPr>
        <w:t xml:space="preserve">, </w:t>
      </w:r>
      <w:proofErr w:type="spellStart"/>
      <w:r w:rsidRPr="008D099B">
        <w:rPr>
          <w:rFonts w:eastAsia="Times New Roman"/>
          <w:lang w:eastAsia="de-DE"/>
        </w:rPr>
        <w:t>ἡμεῖς</w:t>
      </w:r>
      <w:proofErr w:type="spellEnd"/>
      <w:r w:rsidRPr="008D099B">
        <w:rPr>
          <w:rFonts w:eastAsia="Times New Roman"/>
          <w:lang w:eastAsia="de-DE"/>
        </w:rPr>
        <w:t xml:space="preserve"> </w:t>
      </w:r>
      <w:proofErr w:type="spellStart"/>
      <w:r w:rsidRPr="008D099B">
        <w:rPr>
          <w:rFonts w:eastAsia="Times New Roman"/>
          <w:lang w:eastAsia="de-DE"/>
        </w:rPr>
        <w:t>ἀν</w:t>
      </w:r>
      <w:proofErr w:type="spellEnd"/>
      <w:r w:rsidRPr="008D099B">
        <w:rPr>
          <w:rFonts w:eastAsia="Times New Roman"/>
          <w:lang w:eastAsia="de-DE"/>
        </w:rPr>
        <w:t>αβάντες π</w:t>
      </w:r>
      <w:proofErr w:type="spellStart"/>
      <w:r w:rsidRPr="008D099B">
        <w:rPr>
          <w:rFonts w:eastAsia="Times New Roman"/>
          <w:lang w:eastAsia="de-DE"/>
        </w:rPr>
        <w:t>ολεμήσομεν</w:t>
      </w:r>
      <w:proofErr w:type="spellEnd"/>
      <w:r w:rsidRPr="008D099B">
        <w:rPr>
          <w:rFonts w:eastAsia="Times New Roman"/>
          <w:lang w:eastAsia="de-DE"/>
        </w:rPr>
        <w:t xml:space="preserve"> κα</w:t>
      </w:r>
      <w:proofErr w:type="spellStart"/>
      <w:r w:rsidRPr="008D099B">
        <w:rPr>
          <w:rFonts w:eastAsia="Times New Roman"/>
          <w:lang w:eastAsia="de-DE"/>
        </w:rPr>
        <w:t>τὰ</w:t>
      </w:r>
      <w:proofErr w:type="spellEnd"/>
      <w:r w:rsidRPr="008D099B">
        <w:rPr>
          <w:rFonts w:eastAsia="Times New Roman"/>
          <w:lang w:eastAsia="de-DE"/>
        </w:rPr>
        <w:t xml:space="preserve"> π</w:t>
      </w:r>
      <w:proofErr w:type="spellStart"/>
      <w:r w:rsidRPr="008D099B">
        <w:rPr>
          <w:rFonts w:eastAsia="Times New Roman"/>
          <w:lang w:eastAsia="de-DE"/>
        </w:rPr>
        <w:t>άντ</w:t>
      </w:r>
      <w:proofErr w:type="spellEnd"/>
      <w:r w:rsidRPr="008D099B">
        <w:rPr>
          <w:rFonts w:eastAsia="Times New Roman"/>
          <w:lang w:eastAsia="de-DE"/>
        </w:rPr>
        <w:t xml:space="preserve">α, </w:t>
      </w:r>
      <w:proofErr w:type="spellStart"/>
      <w:r w:rsidRPr="008D099B">
        <w:rPr>
          <w:rFonts w:eastAsia="Times New Roman"/>
          <w:lang w:eastAsia="de-DE"/>
        </w:rPr>
        <w:t>ὅσ</w:t>
      </w:r>
      <w:proofErr w:type="spellEnd"/>
      <w:r w:rsidRPr="008D099B">
        <w:rPr>
          <w:rFonts w:eastAsia="Times New Roman"/>
          <w:lang w:eastAsia="de-DE"/>
        </w:rPr>
        <w:t xml:space="preserve">α </w:t>
      </w:r>
      <w:proofErr w:type="spellStart"/>
      <w:r w:rsidRPr="008D099B">
        <w:rPr>
          <w:rFonts w:eastAsia="Times New Roman"/>
          <w:lang w:eastAsia="de-DE"/>
        </w:rPr>
        <w:t>ἐνετείλ</w:t>
      </w:r>
      <w:proofErr w:type="spellEnd"/>
      <w:r w:rsidRPr="008D099B">
        <w:rPr>
          <w:rFonts w:eastAsia="Times New Roman"/>
          <w:lang w:eastAsia="de-DE"/>
        </w:rPr>
        <w:t xml:space="preserve">ατο </w:t>
      </w:r>
      <w:proofErr w:type="spellStart"/>
      <w:r w:rsidRPr="008D099B">
        <w:rPr>
          <w:rFonts w:eastAsia="Times New Roman"/>
          <w:lang w:eastAsia="de-DE"/>
        </w:rPr>
        <w:t>κύριος</w:t>
      </w:r>
      <w:proofErr w:type="spellEnd"/>
      <w:r w:rsidRPr="008D099B">
        <w:rPr>
          <w:rFonts w:eastAsia="Times New Roman"/>
          <w:lang w:eastAsia="de-DE"/>
        </w:rPr>
        <w:t xml:space="preserve"> ὁ </w:t>
      </w:r>
      <w:proofErr w:type="spellStart"/>
      <w:r w:rsidRPr="008D099B">
        <w:rPr>
          <w:rFonts w:eastAsia="Times New Roman"/>
          <w:lang w:eastAsia="de-DE"/>
        </w:rPr>
        <w:t>θεὸς</w:t>
      </w:r>
      <w:proofErr w:type="spellEnd"/>
      <w:r w:rsidRPr="008D099B">
        <w:rPr>
          <w:rFonts w:eastAsia="Times New Roman"/>
          <w:lang w:eastAsia="de-DE"/>
        </w:rPr>
        <w:t xml:space="preserve"> </w:t>
      </w:r>
      <w:proofErr w:type="spellStart"/>
      <w:r w:rsidRPr="008D099B">
        <w:rPr>
          <w:rFonts w:eastAsia="Times New Roman"/>
          <w:lang w:eastAsia="de-DE"/>
        </w:rPr>
        <w:t>ἡμῶν</w:t>
      </w:r>
      <w:proofErr w:type="spellEnd"/>
      <w:r w:rsidRPr="008D099B">
        <w:rPr>
          <w:rFonts w:eastAsia="Times New Roman"/>
          <w:lang w:eastAsia="de-DE"/>
        </w:rPr>
        <w:t xml:space="preserve"> </w:t>
      </w:r>
      <w:proofErr w:type="spellStart"/>
      <w:r w:rsidRPr="008D099B">
        <w:rPr>
          <w:rFonts w:eastAsia="Times New Roman"/>
          <w:lang w:eastAsia="de-DE"/>
        </w:rPr>
        <w:t>ἡμῖν</w:t>
      </w:r>
      <w:proofErr w:type="spellEnd"/>
      <w:r w:rsidRPr="008D099B">
        <w:rPr>
          <w:rFonts w:eastAsia="Times New Roman"/>
          <w:lang w:eastAsia="de-DE"/>
        </w:rPr>
        <w:t xml:space="preserve">· καὶ </w:t>
      </w:r>
      <w:proofErr w:type="spellStart"/>
      <w:r w:rsidRPr="008D099B">
        <w:rPr>
          <w:rFonts w:eastAsia="Times New Roman"/>
          <w:lang w:eastAsia="de-DE"/>
        </w:rPr>
        <w:t>ἀν</w:t>
      </w:r>
      <w:proofErr w:type="spellEnd"/>
      <w:r w:rsidRPr="008D099B">
        <w:rPr>
          <w:rFonts w:eastAsia="Times New Roman"/>
          <w:lang w:eastAsia="de-DE"/>
        </w:rPr>
        <w:t xml:space="preserve">αλαβόντες </w:t>
      </w:r>
      <w:proofErr w:type="spellStart"/>
      <w:r w:rsidRPr="008D099B">
        <w:rPr>
          <w:rFonts w:eastAsia="Times New Roman"/>
          <w:lang w:eastAsia="de-DE"/>
        </w:rPr>
        <w:t>ἕκ</w:t>
      </w:r>
      <w:proofErr w:type="spellEnd"/>
      <w:r w:rsidRPr="008D099B">
        <w:rPr>
          <w:rFonts w:eastAsia="Times New Roman"/>
          <w:lang w:eastAsia="de-DE"/>
        </w:rPr>
        <w:t xml:space="preserve">αστος </w:t>
      </w:r>
      <w:proofErr w:type="spellStart"/>
      <w:r w:rsidRPr="008D099B">
        <w:rPr>
          <w:rFonts w:eastAsia="Times New Roman"/>
          <w:lang w:eastAsia="de-DE"/>
        </w:rPr>
        <w:t>τὰ</w:t>
      </w:r>
      <w:proofErr w:type="spellEnd"/>
      <w:r w:rsidRPr="008D099B">
        <w:rPr>
          <w:rFonts w:eastAsia="Times New Roman"/>
          <w:lang w:eastAsia="de-DE"/>
        </w:rPr>
        <w:t xml:space="preserve"> </w:t>
      </w:r>
      <w:proofErr w:type="spellStart"/>
      <w:r w:rsidRPr="008D099B">
        <w:rPr>
          <w:rFonts w:eastAsia="Times New Roman"/>
          <w:lang w:eastAsia="de-DE"/>
        </w:rPr>
        <w:t>σκεύη</w:t>
      </w:r>
      <w:proofErr w:type="spellEnd"/>
      <w:r w:rsidRPr="008D099B">
        <w:rPr>
          <w:rFonts w:eastAsia="Times New Roman"/>
          <w:lang w:eastAsia="de-DE"/>
        </w:rPr>
        <w:t xml:space="preserve"> </w:t>
      </w:r>
      <w:proofErr w:type="spellStart"/>
      <w:r w:rsidRPr="008D099B">
        <w:rPr>
          <w:rFonts w:eastAsia="Times New Roman"/>
          <w:lang w:eastAsia="de-DE"/>
        </w:rPr>
        <w:t>τὰ</w:t>
      </w:r>
      <w:proofErr w:type="spellEnd"/>
      <w:r w:rsidRPr="008D099B">
        <w:rPr>
          <w:rFonts w:eastAsia="Times New Roman"/>
          <w:lang w:eastAsia="de-DE"/>
        </w:rPr>
        <w:t xml:space="preserve"> π</w:t>
      </w:r>
      <w:proofErr w:type="spellStart"/>
      <w:r w:rsidRPr="008D099B">
        <w:rPr>
          <w:rFonts w:eastAsia="Times New Roman"/>
          <w:lang w:eastAsia="de-DE"/>
        </w:rPr>
        <w:t>ολεμικὰ</w:t>
      </w:r>
      <w:proofErr w:type="spellEnd"/>
      <w:r w:rsidRPr="008D099B">
        <w:rPr>
          <w:rFonts w:eastAsia="Times New Roman"/>
          <w:lang w:eastAsia="de-DE"/>
        </w:rPr>
        <w:t xml:space="preserve"> α</w:t>
      </w:r>
      <w:proofErr w:type="spellStart"/>
      <w:r w:rsidRPr="008D099B">
        <w:rPr>
          <w:rFonts w:eastAsia="Times New Roman"/>
          <w:lang w:eastAsia="de-DE"/>
        </w:rPr>
        <w:t>ὐτοῦ</w:t>
      </w:r>
      <w:proofErr w:type="spellEnd"/>
      <w:r w:rsidRPr="008D099B">
        <w:rPr>
          <w:rFonts w:eastAsia="Times New Roman"/>
          <w:lang w:eastAsia="de-DE"/>
        </w:rPr>
        <w:t xml:space="preserve"> καὶ </w:t>
      </w:r>
      <w:proofErr w:type="spellStart"/>
      <w:r w:rsidRPr="008D099B">
        <w:rPr>
          <w:rFonts w:eastAsia="Times New Roman"/>
          <w:lang w:eastAsia="de-DE"/>
        </w:rPr>
        <w:t>συν</w:t>
      </w:r>
      <w:proofErr w:type="spellEnd"/>
      <w:r w:rsidRPr="008D099B">
        <w:rPr>
          <w:rFonts w:eastAsia="Times New Roman"/>
          <w:lang w:eastAsia="de-DE"/>
        </w:rPr>
        <w:t xml:space="preserve">αθροισθέντες </w:t>
      </w:r>
      <w:proofErr w:type="spellStart"/>
      <w:r w:rsidRPr="008D099B">
        <w:rPr>
          <w:rFonts w:eastAsia="Times New Roman"/>
          <w:lang w:eastAsia="de-DE"/>
        </w:rPr>
        <w:t>ἀνε</w:t>
      </w:r>
      <w:proofErr w:type="spellEnd"/>
      <w:r w:rsidRPr="008D099B">
        <w:rPr>
          <w:rFonts w:eastAsia="Times New Roman"/>
          <w:lang w:eastAsia="de-DE"/>
        </w:rPr>
        <w:t xml:space="preserve">βαίνετε </w:t>
      </w:r>
      <w:proofErr w:type="spellStart"/>
      <w:r w:rsidRPr="008D099B">
        <w:rPr>
          <w:rFonts w:eastAsia="Times New Roman"/>
          <w:lang w:eastAsia="de-DE"/>
        </w:rPr>
        <w:t>εἰς</w:t>
      </w:r>
      <w:proofErr w:type="spellEnd"/>
      <w:r w:rsidRPr="008D099B">
        <w:rPr>
          <w:rFonts w:eastAsia="Times New Roman"/>
          <w:lang w:eastAsia="de-DE"/>
        </w:rPr>
        <w:t xml:space="preserve"> </w:t>
      </w:r>
      <w:proofErr w:type="spellStart"/>
      <w:r w:rsidRPr="008D099B">
        <w:rPr>
          <w:rFonts w:eastAsia="Times New Roman"/>
          <w:lang w:eastAsia="de-DE"/>
        </w:rPr>
        <w:t>τὸ</w:t>
      </w:r>
      <w:proofErr w:type="spellEnd"/>
      <w:r w:rsidRPr="008D099B">
        <w:rPr>
          <w:rFonts w:eastAsia="Times New Roman"/>
          <w:lang w:eastAsia="de-DE"/>
        </w:rPr>
        <w:t xml:space="preserve"> </w:t>
      </w:r>
      <w:proofErr w:type="spellStart"/>
      <w:r w:rsidRPr="008D099B">
        <w:rPr>
          <w:rFonts w:eastAsia="Times New Roman"/>
          <w:lang w:eastAsia="de-DE"/>
        </w:rPr>
        <w:t>ὄρος</w:t>
      </w:r>
      <w:proofErr w:type="spellEnd"/>
      <w:r w:rsidRPr="008D099B">
        <w:rPr>
          <w:rFonts w:eastAsia="Times New Roman"/>
          <w:lang w:eastAsia="de-DE"/>
        </w:rPr>
        <w:t xml:space="preserve">" („und ihr antwortetet und sagtet mir: Wir haben gesündigt vor dem Herrn, unserem Gott, wir werden hinaufgehen und kämpfen gemäß allem, was der Herr, unser Gott, uns befohlen hat; und aufnehmend jeder seine Kriegsgeräte und versammelt euch, gingt ihr hinauf auf das Gebirge"). Die LXX interpretiert </w:t>
      </w:r>
      <w:r w:rsidRPr="008D099B">
        <w:rPr>
          <w:rFonts w:eastAsia="Times New Roman"/>
          <w:b/>
          <w:bCs/>
          <w:rtl/>
          <w:lang w:eastAsia="de-DE"/>
        </w:rPr>
        <w:t>וַתָּהִינוּ</w:t>
      </w:r>
      <w:r w:rsidRPr="008D099B">
        <w:rPr>
          <w:rFonts w:eastAsia="Times New Roman"/>
          <w:rtl/>
          <w:lang w:eastAsia="de-DE"/>
        </w:rPr>
        <w:t xml:space="preserve"> </w:t>
      </w:r>
      <w:r w:rsidRPr="008D099B">
        <w:rPr>
          <w:rFonts w:eastAsia="Times New Roman"/>
          <w:lang w:eastAsia="de-DE"/>
        </w:rPr>
        <w:t>anders und übersetzt es als „versammelt euch" (</w:t>
      </w:r>
      <w:proofErr w:type="spellStart"/>
      <w:r w:rsidRPr="008D099B">
        <w:rPr>
          <w:rFonts w:eastAsia="Times New Roman"/>
          <w:b/>
          <w:bCs/>
          <w:lang w:eastAsia="de-DE"/>
        </w:rPr>
        <w:t>συν</w:t>
      </w:r>
      <w:proofErr w:type="spellEnd"/>
      <w:r w:rsidRPr="008D099B">
        <w:rPr>
          <w:rFonts w:eastAsia="Times New Roman"/>
          <w:b/>
          <w:bCs/>
          <w:lang w:eastAsia="de-DE"/>
        </w:rPr>
        <w:t>αθροισθέντες</w:t>
      </w:r>
      <w:r w:rsidRPr="008D099B">
        <w:rPr>
          <w:rFonts w:eastAsia="Times New Roman"/>
          <w:lang w:eastAsia="de-DE"/>
        </w:rPr>
        <w:t>), was auf eine andere Lesart oder Interpretation der seltenen Wurzel hinweist.</w:t>
      </w:r>
    </w:p>
    <w:p w14:paraId="0C4C5A9B"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lang w:eastAsia="de-DE"/>
        </w:rPr>
        <w:t xml:space="preserve">Die Satzstruktur besteht aus mehreren koordinierten Hauptsätzen: (1) </w:t>
      </w:r>
      <w:r w:rsidRPr="008D099B">
        <w:rPr>
          <w:rFonts w:eastAsia="Times New Roman"/>
          <w:b/>
          <w:bCs/>
          <w:rtl/>
          <w:lang w:eastAsia="de-DE"/>
        </w:rPr>
        <w:t>וַתַּעֲנוּ וַתֹּאמְרוּ אֵלַי</w:t>
      </w:r>
      <w:r w:rsidRPr="008D099B">
        <w:rPr>
          <w:rFonts w:eastAsia="Times New Roman"/>
          <w:rtl/>
          <w:lang w:eastAsia="de-DE"/>
        </w:rPr>
        <w:t xml:space="preserve"> </w:t>
      </w:r>
      <w:r w:rsidRPr="008D099B">
        <w:rPr>
          <w:rFonts w:eastAsia="Times New Roman"/>
          <w:lang w:eastAsia="de-DE"/>
        </w:rPr>
        <w:t xml:space="preserve">als Einleitung, (2) direkte Rede mit Sündenbekenntnis </w:t>
      </w:r>
      <w:r w:rsidRPr="008D099B">
        <w:rPr>
          <w:rFonts w:eastAsia="Times New Roman"/>
          <w:b/>
          <w:bCs/>
          <w:rtl/>
          <w:lang w:eastAsia="de-DE"/>
        </w:rPr>
        <w:t>חָטָאנוּ לַיהוָה</w:t>
      </w:r>
      <w:r w:rsidRPr="008D099B">
        <w:rPr>
          <w:rFonts w:eastAsia="Times New Roman"/>
          <w:lang w:eastAsia="de-DE"/>
        </w:rPr>
        <w:t xml:space="preserve">, (3) zwei Kohortative als Absichtserklärung </w:t>
      </w:r>
      <w:r w:rsidRPr="008D099B">
        <w:rPr>
          <w:rFonts w:eastAsia="Times New Roman"/>
          <w:b/>
          <w:bCs/>
          <w:rtl/>
          <w:lang w:eastAsia="de-DE"/>
        </w:rPr>
        <w:t>אֲנַחְנוּ נַעֲלֶה וְנִלְחַמְנוּ</w:t>
      </w:r>
      <w:r w:rsidRPr="008D099B">
        <w:rPr>
          <w:rFonts w:eastAsia="Times New Roman"/>
          <w:rtl/>
          <w:lang w:eastAsia="de-DE"/>
        </w:rPr>
        <w:t xml:space="preserve"> </w:t>
      </w:r>
      <w:r w:rsidRPr="008D099B">
        <w:rPr>
          <w:rFonts w:eastAsia="Times New Roman"/>
          <w:lang w:eastAsia="de-DE"/>
        </w:rPr>
        <w:t xml:space="preserve">mit Vergleichssatz, (4) zwei narrative Verben </w:t>
      </w:r>
      <w:r w:rsidRPr="008D099B">
        <w:rPr>
          <w:rFonts w:eastAsia="Times New Roman"/>
          <w:b/>
          <w:bCs/>
          <w:rtl/>
          <w:lang w:eastAsia="de-DE"/>
        </w:rPr>
        <w:t>וַתַּחְגְּרוּ</w:t>
      </w:r>
      <w:r w:rsidRPr="008D099B">
        <w:rPr>
          <w:rFonts w:eastAsia="Times New Roman"/>
          <w:rtl/>
          <w:lang w:eastAsia="de-DE"/>
        </w:rPr>
        <w:t xml:space="preserve"> </w:t>
      </w:r>
      <w:r w:rsidRPr="008D099B">
        <w:rPr>
          <w:rFonts w:eastAsia="Times New Roman"/>
          <w:lang w:eastAsia="de-DE"/>
        </w:rPr>
        <w:t xml:space="preserve">und </w:t>
      </w:r>
      <w:r w:rsidRPr="008D099B">
        <w:rPr>
          <w:rFonts w:eastAsia="Times New Roman"/>
          <w:b/>
          <w:bCs/>
          <w:rtl/>
          <w:lang w:eastAsia="de-DE"/>
        </w:rPr>
        <w:t>וַתָּהִינוּ</w:t>
      </w:r>
      <w:r w:rsidRPr="008D099B">
        <w:rPr>
          <w:rFonts w:eastAsia="Times New Roman"/>
          <w:lang w:eastAsia="de-DE"/>
        </w:rPr>
        <w:t>, die die konkrete Umsetzung beschreiben.</w:t>
      </w:r>
    </w:p>
    <w:p w14:paraId="683C961E"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lang w:eastAsia="de-DE"/>
        </w:rPr>
        <w:t xml:space="preserve">Der Vers schildert die späte Reue und den vermessenen Versuch des Volkes, doch noch ins Land zu ziehen, nachdem das Gerichtsurteil gesprochen wurde. Das Sündenbekenntnis kommt zu spät, und die militärische Vorbereitung erfolgt gegen den göttlichen Willen. Das Verb </w:t>
      </w:r>
      <w:r w:rsidRPr="008D099B">
        <w:rPr>
          <w:rFonts w:eastAsia="Times New Roman"/>
          <w:b/>
          <w:bCs/>
          <w:rtl/>
          <w:lang w:eastAsia="de-DE"/>
        </w:rPr>
        <w:t>וַתָּהִינוּ</w:t>
      </w:r>
      <w:r w:rsidRPr="008D099B">
        <w:rPr>
          <w:rFonts w:eastAsia="Times New Roman"/>
          <w:rtl/>
          <w:lang w:eastAsia="de-DE"/>
        </w:rPr>
        <w:t xml:space="preserve"> </w:t>
      </w:r>
      <w:r w:rsidRPr="008D099B">
        <w:rPr>
          <w:rFonts w:eastAsia="Times New Roman"/>
          <w:lang w:eastAsia="de-DE"/>
        </w:rPr>
        <w:t>(„ihr hieltet es für leicht") zeigt ihre Selbstüberschätzung und Missachtung der veränderten Situation.</w:t>
      </w:r>
    </w:p>
    <w:p w14:paraId="7757E45F" w14:textId="77777777" w:rsidR="008D099B" w:rsidRPr="008D099B" w:rsidRDefault="008D099B" w:rsidP="008D099B">
      <w:pPr>
        <w:spacing w:before="100" w:beforeAutospacing="1" w:after="100" w:afterAutospacing="1" w:line="240" w:lineRule="auto"/>
        <w:outlineLvl w:val="1"/>
        <w:rPr>
          <w:rFonts w:eastAsia="Times New Roman"/>
          <w:b/>
          <w:bCs/>
          <w:sz w:val="36"/>
          <w:szCs w:val="36"/>
          <w:lang w:eastAsia="de-DE"/>
        </w:rPr>
      </w:pPr>
      <w:r w:rsidRPr="008D099B">
        <w:rPr>
          <w:rFonts w:eastAsia="Times New Roman"/>
          <w:b/>
          <w:bCs/>
          <w:sz w:val="36"/>
          <w:szCs w:val="36"/>
          <w:lang w:eastAsia="de-DE"/>
        </w:rPr>
        <w:t>Deuteronomium 1,42</w:t>
      </w:r>
    </w:p>
    <w:p w14:paraId="01E10ACC"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Hebräisch:</w:t>
      </w:r>
      <w:r w:rsidRPr="008D099B">
        <w:rPr>
          <w:rFonts w:eastAsia="Times New Roman"/>
          <w:lang w:eastAsia="de-DE"/>
        </w:rPr>
        <w:t xml:space="preserve"> </w:t>
      </w:r>
      <w:r w:rsidRPr="008D099B">
        <w:rPr>
          <w:rFonts w:eastAsia="Times New Roman"/>
          <w:rtl/>
          <w:lang w:eastAsia="de-DE"/>
        </w:rPr>
        <w:t>וַיֹּ֨אמֶר יְהוָ֜ה אֵלַ֗י אֱמֹ֤ר לָהֶם֙ לֹ֤א תַֽעֲלוּ֙ וְלֹא־תִלָּ֣חֲמ֔וּ כִּ֥י אֵינֶ֖נִּי בְּקִרְבְּכֶ֑ם וְלֹא֙ תִּנָּֽגְפ֔וּ לִפְנֵ֖י אֹיְבֵיכֶֽם׃</w:t>
      </w:r>
    </w:p>
    <w:p w14:paraId="3167F85F"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Deutsch:</w:t>
      </w:r>
      <w:r w:rsidRPr="008D099B">
        <w:rPr>
          <w:rFonts w:eastAsia="Times New Roman"/>
          <w:lang w:eastAsia="de-DE"/>
        </w:rPr>
        <w:t xml:space="preserve"> Und der Ewige sprach zu mir: Sage ihnen: Zieht nicht hinauf und kämpft nicht, denn ich bin nicht in eurer Mitte; damit ihr nicht vor euren Feinden geschlagen werdet.</w:t>
      </w:r>
    </w:p>
    <w:p w14:paraId="7CB01A32" w14:textId="77777777" w:rsidR="008D099B" w:rsidRPr="008D099B" w:rsidRDefault="004F5CEB" w:rsidP="008D099B">
      <w:pPr>
        <w:spacing w:after="0" w:line="240" w:lineRule="auto"/>
        <w:rPr>
          <w:rFonts w:eastAsia="Times New Roman"/>
          <w:lang w:eastAsia="de-DE"/>
        </w:rPr>
      </w:pPr>
      <w:r>
        <w:rPr>
          <w:rFonts w:eastAsia="Times New Roman"/>
          <w:noProof/>
          <w:lang w:eastAsia="de-DE"/>
        </w:rPr>
        <w:pict w14:anchorId="6B265864">
          <v:rect id="_x0000_i1066" style="width:0;height:1.5pt" o:hralign="center" o:hrstd="t" o:hr="t" fillcolor="#a0a0a0" stroked="f"/>
        </w:pict>
      </w:r>
    </w:p>
    <w:p w14:paraId="0AE9DE2A"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Kommentar:</w:t>
      </w:r>
      <w:r w:rsidRPr="008D099B">
        <w:rPr>
          <w:rFonts w:eastAsia="Times New Roman"/>
          <w:lang w:eastAsia="de-DE"/>
        </w:rPr>
        <w:t xml:space="preserve"> </w:t>
      </w:r>
      <w:r w:rsidRPr="008D099B">
        <w:rPr>
          <w:rFonts w:eastAsia="Times New Roman"/>
          <w:b/>
          <w:bCs/>
          <w:rtl/>
          <w:lang w:eastAsia="de-DE"/>
        </w:rPr>
        <w:t>וַיֹּאמֶר</w:t>
      </w:r>
      <w:r w:rsidRPr="008D099B">
        <w:rPr>
          <w:rFonts w:eastAsia="Times New Roman"/>
          <w:rtl/>
          <w:lang w:eastAsia="de-DE"/>
        </w:rPr>
        <w:t xml:space="preserve"> </w:t>
      </w:r>
      <w:r w:rsidRPr="008D099B">
        <w:rPr>
          <w:rFonts w:eastAsia="Times New Roman"/>
          <w:lang w:eastAsia="de-DE"/>
        </w:rPr>
        <w:t xml:space="preserve">ist Qal Imperfekt consecutivum, 3. Person maskulin Singular von </w:t>
      </w:r>
      <w:r w:rsidRPr="008D099B">
        <w:rPr>
          <w:rFonts w:eastAsia="Times New Roman"/>
          <w:rtl/>
          <w:lang w:eastAsia="de-DE"/>
        </w:rPr>
        <w:t>אמר</w:t>
      </w:r>
      <w:r w:rsidRPr="008D099B">
        <w:rPr>
          <w:rFonts w:eastAsia="Times New Roman"/>
          <w:lang w:eastAsia="de-DE"/>
        </w:rPr>
        <w:t xml:space="preserve"> mit Waw. </w:t>
      </w:r>
      <w:r w:rsidRPr="008D099B">
        <w:rPr>
          <w:rFonts w:eastAsia="Times New Roman"/>
          <w:b/>
          <w:bCs/>
          <w:rtl/>
          <w:lang w:eastAsia="de-DE"/>
        </w:rPr>
        <w:t>יְהוָה</w:t>
      </w:r>
      <w:r w:rsidRPr="008D099B">
        <w:rPr>
          <w:rFonts w:eastAsia="Times New Roman"/>
          <w:rtl/>
          <w:lang w:eastAsia="de-DE"/>
        </w:rPr>
        <w:t xml:space="preserve"> </w:t>
      </w:r>
      <w:r w:rsidRPr="008D099B">
        <w:rPr>
          <w:rFonts w:eastAsia="Times New Roman"/>
          <w:lang w:eastAsia="de-DE"/>
        </w:rPr>
        <w:t xml:space="preserve">ist das Subjekt. </w:t>
      </w:r>
      <w:r w:rsidRPr="008D099B">
        <w:rPr>
          <w:rFonts w:eastAsia="Times New Roman"/>
          <w:b/>
          <w:bCs/>
          <w:rtl/>
          <w:lang w:eastAsia="de-DE"/>
        </w:rPr>
        <w:t>אֵלַי</w:t>
      </w:r>
      <w:r w:rsidRPr="008D099B">
        <w:rPr>
          <w:rFonts w:eastAsia="Times New Roman"/>
          <w:rtl/>
          <w:lang w:eastAsia="de-DE"/>
        </w:rPr>
        <w:t xml:space="preserve"> </w:t>
      </w:r>
      <w:r w:rsidRPr="008D099B">
        <w:rPr>
          <w:rFonts w:eastAsia="Times New Roman"/>
          <w:lang w:eastAsia="de-DE"/>
        </w:rPr>
        <w:t xml:space="preserve">ist </w:t>
      </w:r>
      <w:r w:rsidRPr="008D099B">
        <w:rPr>
          <w:rFonts w:eastAsia="Times New Roman"/>
          <w:b/>
          <w:bCs/>
          <w:rtl/>
          <w:lang w:eastAsia="de-DE"/>
        </w:rPr>
        <w:t>אֶל</w:t>
      </w:r>
      <w:r w:rsidRPr="008D099B">
        <w:rPr>
          <w:rFonts w:eastAsia="Times New Roman"/>
          <w:rtl/>
          <w:lang w:eastAsia="de-DE"/>
        </w:rPr>
        <w:t xml:space="preserve"> </w:t>
      </w:r>
      <w:r w:rsidRPr="008D099B">
        <w:rPr>
          <w:rFonts w:eastAsia="Times New Roman"/>
          <w:lang w:eastAsia="de-DE"/>
        </w:rPr>
        <w:t xml:space="preserve">mit Suffix 1. Person Singular. </w:t>
      </w:r>
      <w:r w:rsidRPr="008D099B">
        <w:rPr>
          <w:rFonts w:eastAsia="Times New Roman"/>
          <w:b/>
          <w:bCs/>
          <w:rtl/>
          <w:lang w:eastAsia="de-DE"/>
        </w:rPr>
        <w:t>אֱמֹר לָהֶם</w:t>
      </w:r>
      <w:r w:rsidRPr="008D099B">
        <w:rPr>
          <w:rFonts w:eastAsia="Times New Roman"/>
          <w:rtl/>
          <w:lang w:eastAsia="de-DE"/>
        </w:rPr>
        <w:t xml:space="preserve"> </w:t>
      </w:r>
      <w:r w:rsidRPr="008D099B">
        <w:rPr>
          <w:rFonts w:eastAsia="Times New Roman"/>
          <w:lang w:eastAsia="de-DE"/>
        </w:rPr>
        <w:t xml:space="preserve">besteht aus </w:t>
      </w:r>
      <w:r w:rsidRPr="008D099B">
        <w:rPr>
          <w:rFonts w:eastAsia="Times New Roman"/>
          <w:b/>
          <w:bCs/>
          <w:rtl/>
          <w:lang w:eastAsia="de-DE"/>
        </w:rPr>
        <w:t>אֱמֹר</w:t>
      </w:r>
      <w:r w:rsidRPr="008D099B">
        <w:rPr>
          <w:rFonts w:eastAsia="Times New Roman"/>
          <w:rtl/>
          <w:lang w:eastAsia="de-DE"/>
        </w:rPr>
        <w:t xml:space="preserve"> </w:t>
      </w:r>
      <w:r w:rsidRPr="008D099B">
        <w:rPr>
          <w:rFonts w:eastAsia="Times New Roman"/>
          <w:lang w:eastAsia="de-DE"/>
        </w:rPr>
        <w:t xml:space="preserve">(Qal Imperativ maskulin Singular von </w:t>
      </w:r>
      <w:r w:rsidRPr="008D099B">
        <w:rPr>
          <w:rFonts w:eastAsia="Times New Roman"/>
          <w:rtl/>
          <w:lang w:eastAsia="de-DE"/>
        </w:rPr>
        <w:t>אמר</w:t>
      </w:r>
      <w:r w:rsidRPr="008D099B">
        <w:rPr>
          <w:rFonts w:eastAsia="Times New Roman"/>
          <w:lang w:eastAsia="de-DE"/>
        </w:rPr>
        <w:t xml:space="preserve">) und </w:t>
      </w:r>
      <w:r w:rsidRPr="008D099B">
        <w:rPr>
          <w:rFonts w:eastAsia="Times New Roman"/>
          <w:b/>
          <w:bCs/>
          <w:rtl/>
          <w:lang w:eastAsia="de-DE"/>
        </w:rPr>
        <w:t>לָהֶם</w:t>
      </w:r>
      <w:r w:rsidRPr="008D099B">
        <w:rPr>
          <w:rFonts w:eastAsia="Times New Roman"/>
          <w:rtl/>
          <w:lang w:eastAsia="de-DE"/>
        </w:rPr>
        <w:t xml:space="preserve"> </w:t>
      </w:r>
      <w:r w:rsidRPr="008D099B">
        <w:rPr>
          <w:rFonts w:eastAsia="Times New Roman"/>
          <w:lang w:eastAsia="de-DE"/>
        </w:rPr>
        <w:t>(</w:t>
      </w:r>
      <w:r w:rsidRPr="008D099B">
        <w:rPr>
          <w:rFonts w:eastAsia="Times New Roman"/>
          <w:b/>
          <w:bCs/>
          <w:rtl/>
          <w:lang w:eastAsia="de-DE"/>
        </w:rPr>
        <w:t>לְ</w:t>
      </w:r>
      <w:r w:rsidRPr="008D099B">
        <w:rPr>
          <w:rFonts w:eastAsia="Times New Roman"/>
          <w:rtl/>
          <w:lang w:eastAsia="de-DE"/>
        </w:rPr>
        <w:t xml:space="preserve"> </w:t>
      </w:r>
      <w:r w:rsidRPr="008D099B">
        <w:rPr>
          <w:rFonts w:eastAsia="Times New Roman"/>
          <w:lang w:eastAsia="de-DE"/>
        </w:rPr>
        <w:t>mit Pronominalsuffix 3. Person maskulin Plural „zu ihnen").</w:t>
      </w:r>
    </w:p>
    <w:p w14:paraId="48FC973F"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rtl/>
          <w:lang w:eastAsia="de-DE"/>
        </w:rPr>
        <w:t>לֹא תַעֲלוּ</w:t>
      </w:r>
      <w:r w:rsidRPr="008D099B">
        <w:rPr>
          <w:rFonts w:eastAsia="Times New Roman"/>
          <w:rtl/>
          <w:lang w:eastAsia="de-DE"/>
        </w:rPr>
        <w:t xml:space="preserve"> </w:t>
      </w:r>
      <w:r w:rsidRPr="008D099B">
        <w:rPr>
          <w:rFonts w:eastAsia="Times New Roman"/>
          <w:lang w:eastAsia="de-DE"/>
        </w:rPr>
        <w:t xml:space="preserve">ist die Negation </w:t>
      </w:r>
      <w:r w:rsidRPr="008D099B">
        <w:rPr>
          <w:rFonts w:eastAsia="Times New Roman"/>
          <w:b/>
          <w:bCs/>
          <w:rtl/>
          <w:lang w:eastAsia="de-DE"/>
        </w:rPr>
        <w:t>לֹא</w:t>
      </w:r>
      <w:r w:rsidRPr="008D099B">
        <w:rPr>
          <w:rFonts w:eastAsia="Times New Roman"/>
          <w:rtl/>
          <w:lang w:eastAsia="de-DE"/>
        </w:rPr>
        <w:t xml:space="preserve"> </w:t>
      </w:r>
      <w:r w:rsidRPr="008D099B">
        <w:rPr>
          <w:rFonts w:eastAsia="Times New Roman"/>
          <w:lang w:eastAsia="de-DE"/>
        </w:rPr>
        <w:t xml:space="preserve">mit Qal Imperfekt (Jussiv), 2. Person maskulin Plural von </w:t>
      </w:r>
      <w:r w:rsidRPr="008D099B">
        <w:rPr>
          <w:rFonts w:eastAsia="Times New Roman"/>
          <w:rtl/>
          <w:lang w:eastAsia="de-DE"/>
        </w:rPr>
        <w:t>עלה</w:t>
      </w:r>
      <w:r w:rsidRPr="008D099B">
        <w:rPr>
          <w:rFonts w:eastAsia="Times New Roman"/>
          <w:lang w:eastAsia="de-DE"/>
        </w:rPr>
        <w:t xml:space="preserve">. </w:t>
      </w:r>
      <w:r w:rsidRPr="008D099B">
        <w:rPr>
          <w:rFonts w:eastAsia="Times New Roman"/>
          <w:b/>
          <w:bCs/>
          <w:rtl/>
          <w:lang w:eastAsia="de-DE"/>
        </w:rPr>
        <w:t>וְלֹא־תִלָּחֲמוּ</w:t>
      </w:r>
      <w:r w:rsidRPr="008D099B">
        <w:rPr>
          <w:rFonts w:eastAsia="Times New Roman"/>
          <w:rtl/>
          <w:lang w:eastAsia="de-DE"/>
        </w:rPr>
        <w:t xml:space="preserve"> </w:t>
      </w:r>
      <w:r w:rsidRPr="008D099B">
        <w:rPr>
          <w:rFonts w:eastAsia="Times New Roman"/>
          <w:lang w:eastAsia="de-DE"/>
        </w:rPr>
        <w:t xml:space="preserve">ist parallel: </w:t>
      </w:r>
      <w:r w:rsidRPr="008D099B">
        <w:rPr>
          <w:rFonts w:eastAsia="Times New Roman"/>
          <w:b/>
          <w:bCs/>
          <w:rtl/>
          <w:lang w:eastAsia="de-DE"/>
        </w:rPr>
        <w:t>וְ</w:t>
      </w:r>
      <w:r w:rsidRPr="008D099B">
        <w:rPr>
          <w:rFonts w:eastAsia="Times New Roman"/>
          <w:rtl/>
          <w:lang w:eastAsia="de-DE"/>
        </w:rPr>
        <w:t xml:space="preserve"> </w:t>
      </w:r>
      <w:r w:rsidRPr="008D099B">
        <w:rPr>
          <w:rFonts w:eastAsia="Times New Roman"/>
          <w:lang w:eastAsia="de-DE"/>
        </w:rPr>
        <w:t xml:space="preserve">mit </w:t>
      </w:r>
      <w:r w:rsidRPr="008D099B">
        <w:rPr>
          <w:rFonts w:eastAsia="Times New Roman"/>
          <w:b/>
          <w:bCs/>
          <w:rtl/>
          <w:lang w:eastAsia="de-DE"/>
        </w:rPr>
        <w:t>לֹא</w:t>
      </w:r>
      <w:r w:rsidRPr="008D099B">
        <w:rPr>
          <w:rFonts w:eastAsia="Times New Roman"/>
          <w:rtl/>
          <w:lang w:eastAsia="de-DE"/>
        </w:rPr>
        <w:t xml:space="preserve"> </w:t>
      </w:r>
      <w:r w:rsidRPr="008D099B">
        <w:rPr>
          <w:rFonts w:eastAsia="Times New Roman"/>
          <w:lang w:eastAsia="de-DE"/>
        </w:rPr>
        <w:t xml:space="preserve">und Nif'al Imperfekt (Jussiv), 2. Person maskulin Plural von </w:t>
      </w:r>
      <w:r w:rsidRPr="008D099B">
        <w:rPr>
          <w:rFonts w:eastAsia="Times New Roman"/>
          <w:rtl/>
          <w:lang w:eastAsia="de-DE"/>
        </w:rPr>
        <w:lastRenderedPageBreak/>
        <w:t>לחם</w:t>
      </w:r>
      <w:r w:rsidRPr="008D099B">
        <w:rPr>
          <w:rFonts w:eastAsia="Times New Roman"/>
          <w:lang w:eastAsia="de-DE"/>
        </w:rPr>
        <w:t>. Die beiden Prohibitive sind eng aufeinander bezogen und warnen vor militärischem Handeln.</w:t>
      </w:r>
    </w:p>
    <w:p w14:paraId="1D432940" w14:textId="29511E7C"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rtl/>
          <w:lang w:eastAsia="de-DE"/>
        </w:rPr>
        <w:t>כִּי אֵינֶנִּי בְּקִרְבְּכֶם</w:t>
      </w:r>
      <w:r w:rsidRPr="008D099B">
        <w:rPr>
          <w:rFonts w:eastAsia="Times New Roman"/>
          <w:rtl/>
          <w:lang w:eastAsia="de-DE"/>
        </w:rPr>
        <w:t xml:space="preserve"> </w:t>
      </w:r>
      <w:r w:rsidRPr="008D099B">
        <w:rPr>
          <w:rFonts w:eastAsia="Times New Roman"/>
          <w:lang w:eastAsia="de-DE"/>
        </w:rPr>
        <w:t xml:space="preserve">ist eine kausale Begründung: </w:t>
      </w:r>
      <w:r w:rsidRPr="008D099B">
        <w:rPr>
          <w:rFonts w:eastAsia="Times New Roman"/>
          <w:b/>
          <w:bCs/>
          <w:rtl/>
          <w:lang w:eastAsia="de-DE"/>
        </w:rPr>
        <w:t>כִּי</w:t>
      </w:r>
      <w:r w:rsidRPr="008D099B">
        <w:rPr>
          <w:rFonts w:eastAsia="Times New Roman"/>
          <w:rtl/>
          <w:lang w:eastAsia="de-DE"/>
        </w:rPr>
        <w:t xml:space="preserve"> </w:t>
      </w:r>
      <w:r w:rsidRPr="008D099B">
        <w:rPr>
          <w:rFonts w:eastAsia="Times New Roman"/>
          <w:lang w:eastAsia="de-DE"/>
        </w:rPr>
        <w:t xml:space="preserve">(„denn"), </w:t>
      </w:r>
      <w:r w:rsidRPr="008D099B">
        <w:rPr>
          <w:rFonts w:eastAsia="Times New Roman"/>
          <w:b/>
          <w:bCs/>
          <w:rtl/>
          <w:lang w:eastAsia="de-DE"/>
        </w:rPr>
        <w:t>אֵינֶנִּי</w:t>
      </w:r>
      <w:r w:rsidRPr="008D099B">
        <w:rPr>
          <w:rFonts w:eastAsia="Times New Roman"/>
          <w:rtl/>
          <w:lang w:eastAsia="de-DE"/>
        </w:rPr>
        <w:t xml:space="preserve"> </w:t>
      </w:r>
      <w:r w:rsidRPr="008D099B">
        <w:rPr>
          <w:rFonts w:eastAsia="Times New Roman"/>
          <w:lang w:eastAsia="de-DE"/>
        </w:rPr>
        <w:t xml:space="preserve">(Negationspartikel </w:t>
      </w:r>
      <w:r w:rsidRPr="008D099B">
        <w:rPr>
          <w:rFonts w:eastAsia="Times New Roman"/>
          <w:b/>
          <w:bCs/>
          <w:rtl/>
          <w:lang w:eastAsia="de-DE"/>
        </w:rPr>
        <w:t>אַיִן</w:t>
      </w:r>
      <w:r w:rsidRPr="008D099B">
        <w:rPr>
          <w:rFonts w:eastAsia="Times New Roman"/>
          <w:rtl/>
          <w:lang w:eastAsia="de-DE"/>
        </w:rPr>
        <w:t xml:space="preserve"> </w:t>
      </w:r>
      <w:r w:rsidRPr="008D099B">
        <w:rPr>
          <w:rFonts w:eastAsia="Times New Roman"/>
          <w:lang w:eastAsia="de-DE"/>
        </w:rPr>
        <w:t xml:space="preserve">„nicht sein" mit Suffix 1. Person Singular </w:t>
      </w:r>
      <w:r w:rsidRPr="008D099B">
        <w:rPr>
          <w:rFonts w:eastAsia="Times New Roman"/>
          <w:b/>
          <w:bCs/>
          <w:rtl/>
          <w:lang w:eastAsia="de-DE"/>
        </w:rPr>
        <w:t>נִי</w:t>
      </w:r>
      <w:r w:rsidRPr="008D099B">
        <w:rPr>
          <w:rFonts w:eastAsia="Times New Roman"/>
          <w:rtl/>
          <w:lang w:eastAsia="de-DE"/>
        </w:rPr>
        <w:t xml:space="preserve"> </w:t>
      </w:r>
      <w:r w:rsidRPr="008D099B">
        <w:rPr>
          <w:rFonts w:eastAsia="Times New Roman"/>
          <w:lang w:eastAsia="de-DE"/>
        </w:rPr>
        <w:t xml:space="preserve">„ich bin nicht"), </w:t>
      </w:r>
      <w:r w:rsidRPr="008D099B">
        <w:rPr>
          <w:rFonts w:eastAsia="Times New Roman"/>
          <w:b/>
          <w:bCs/>
          <w:rtl/>
          <w:lang w:eastAsia="de-DE"/>
        </w:rPr>
        <w:t>בְּקִרְבְּכֶם</w:t>
      </w:r>
      <w:r w:rsidRPr="008D099B">
        <w:rPr>
          <w:rFonts w:eastAsia="Times New Roman"/>
          <w:rtl/>
          <w:lang w:eastAsia="de-DE"/>
        </w:rPr>
        <w:t xml:space="preserve"> </w:t>
      </w:r>
      <w:r w:rsidRPr="008D099B">
        <w:rPr>
          <w:rFonts w:eastAsia="Times New Roman"/>
          <w:lang w:eastAsia="de-DE"/>
        </w:rPr>
        <w:t xml:space="preserve">(Präposition </w:t>
      </w:r>
      <w:r w:rsidRPr="008D099B">
        <w:rPr>
          <w:rFonts w:eastAsia="Times New Roman"/>
          <w:b/>
          <w:bCs/>
          <w:rtl/>
          <w:lang w:eastAsia="de-DE"/>
        </w:rPr>
        <w:t>בְּ</w:t>
      </w:r>
      <w:r w:rsidRPr="008D099B">
        <w:rPr>
          <w:rFonts w:eastAsia="Times New Roman"/>
          <w:rtl/>
          <w:lang w:eastAsia="de-DE"/>
        </w:rPr>
        <w:t xml:space="preserve"> </w:t>
      </w:r>
      <w:r w:rsidRPr="008D099B">
        <w:rPr>
          <w:rFonts w:eastAsia="Times New Roman"/>
          <w:lang w:eastAsia="de-DE"/>
        </w:rPr>
        <w:t xml:space="preserve">„in" mit </w:t>
      </w:r>
      <w:r w:rsidRPr="008D099B">
        <w:rPr>
          <w:rFonts w:eastAsia="Times New Roman"/>
          <w:b/>
          <w:bCs/>
          <w:rtl/>
          <w:lang w:eastAsia="de-DE"/>
        </w:rPr>
        <w:t>קֶרֶב</w:t>
      </w:r>
      <w:r w:rsidRPr="008D099B">
        <w:rPr>
          <w:rFonts w:eastAsia="Times New Roman"/>
          <w:rtl/>
          <w:lang w:eastAsia="de-DE"/>
        </w:rPr>
        <w:t xml:space="preserve"> </w:t>
      </w:r>
      <w:r w:rsidRPr="008D099B">
        <w:rPr>
          <w:rFonts w:eastAsia="Times New Roman"/>
          <w:lang w:eastAsia="de-DE"/>
        </w:rPr>
        <w:t xml:space="preserve">„Mitte, Inneres" im </w:t>
      </w:r>
      <w:r w:rsidR="0032647F">
        <w:rPr>
          <w:rFonts w:eastAsia="Times New Roman"/>
          <w:lang w:eastAsia="de-DE"/>
        </w:rPr>
        <w:t>Construct</w:t>
      </w:r>
      <w:r w:rsidRPr="008D099B">
        <w:rPr>
          <w:rFonts w:eastAsia="Times New Roman"/>
          <w:lang w:eastAsia="de-DE"/>
        </w:rPr>
        <w:t xml:space="preserve"> und Suffix 2. Person maskulin Plural </w:t>
      </w:r>
      <w:r w:rsidRPr="008D099B">
        <w:rPr>
          <w:rFonts w:eastAsia="Times New Roman"/>
          <w:b/>
          <w:bCs/>
          <w:rtl/>
          <w:lang w:eastAsia="de-DE"/>
        </w:rPr>
        <w:t>כֶם</w:t>
      </w:r>
      <w:r w:rsidRPr="008D099B">
        <w:rPr>
          <w:rFonts w:eastAsia="Times New Roman"/>
          <w:lang w:eastAsia="de-DE"/>
        </w:rPr>
        <w:t xml:space="preserve">). Die Phrase </w:t>
      </w:r>
      <w:r w:rsidRPr="008D099B">
        <w:rPr>
          <w:rFonts w:eastAsia="Times New Roman"/>
          <w:b/>
          <w:bCs/>
          <w:rtl/>
          <w:lang w:eastAsia="de-DE"/>
        </w:rPr>
        <w:t>בְּקִרְבְּכֶם</w:t>
      </w:r>
      <w:r w:rsidRPr="008D099B">
        <w:rPr>
          <w:rFonts w:eastAsia="Times New Roman"/>
          <w:rtl/>
          <w:lang w:eastAsia="de-DE"/>
        </w:rPr>
        <w:t xml:space="preserve"> </w:t>
      </w:r>
      <w:r w:rsidRPr="008D099B">
        <w:rPr>
          <w:rFonts w:eastAsia="Times New Roman"/>
          <w:lang w:eastAsia="de-DE"/>
        </w:rPr>
        <w:t>bedeutet „in eurer Mitte, unter euch".</w:t>
      </w:r>
    </w:p>
    <w:p w14:paraId="34923C2A"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rtl/>
          <w:lang w:eastAsia="de-DE"/>
        </w:rPr>
        <w:t>וְלֹא תִּנָּגְפוּ לִפְנֵי אֹיְבֵיכֶם</w:t>
      </w:r>
      <w:r w:rsidRPr="008D099B">
        <w:rPr>
          <w:rFonts w:eastAsia="Times New Roman"/>
          <w:rtl/>
          <w:lang w:eastAsia="de-DE"/>
        </w:rPr>
        <w:t xml:space="preserve"> </w:t>
      </w:r>
      <w:r w:rsidRPr="008D099B">
        <w:rPr>
          <w:rFonts w:eastAsia="Times New Roman"/>
          <w:lang w:eastAsia="de-DE"/>
        </w:rPr>
        <w:t xml:space="preserve">ist ein finaler oder konsekutiver Nebensatz: </w:t>
      </w:r>
      <w:r w:rsidRPr="008D099B">
        <w:rPr>
          <w:rFonts w:eastAsia="Times New Roman"/>
          <w:b/>
          <w:bCs/>
          <w:rtl/>
          <w:lang w:eastAsia="de-DE"/>
        </w:rPr>
        <w:t>וְלֹא</w:t>
      </w:r>
      <w:r w:rsidRPr="008D099B">
        <w:rPr>
          <w:rFonts w:eastAsia="Times New Roman"/>
          <w:rtl/>
          <w:lang w:eastAsia="de-DE"/>
        </w:rPr>
        <w:t xml:space="preserve"> </w:t>
      </w:r>
      <w:r w:rsidRPr="008D099B">
        <w:rPr>
          <w:rFonts w:eastAsia="Times New Roman"/>
          <w:lang w:eastAsia="de-DE"/>
        </w:rPr>
        <w:t xml:space="preserve">mit </w:t>
      </w:r>
      <w:r w:rsidRPr="008D099B">
        <w:rPr>
          <w:rFonts w:eastAsia="Times New Roman"/>
          <w:b/>
          <w:bCs/>
          <w:rtl/>
          <w:lang w:eastAsia="de-DE"/>
        </w:rPr>
        <w:t>תִּנָּגְפוּ</w:t>
      </w:r>
      <w:r w:rsidRPr="008D099B">
        <w:rPr>
          <w:rFonts w:eastAsia="Times New Roman"/>
          <w:rtl/>
          <w:lang w:eastAsia="de-DE"/>
        </w:rPr>
        <w:t xml:space="preserve"> </w:t>
      </w:r>
      <w:r w:rsidRPr="008D099B">
        <w:rPr>
          <w:rFonts w:eastAsia="Times New Roman"/>
          <w:lang w:eastAsia="de-DE"/>
        </w:rPr>
        <w:t xml:space="preserve">(Nif'al Imperfekt, 2. Person maskulin Plural von </w:t>
      </w:r>
      <w:r w:rsidRPr="008D099B">
        <w:rPr>
          <w:rFonts w:eastAsia="Times New Roman"/>
          <w:rtl/>
          <w:lang w:eastAsia="de-DE"/>
        </w:rPr>
        <w:t>נגף</w:t>
      </w:r>
      <w:r w:rsidRPr="008D099B">
        <w:rPr>
          <w:rFonts w:eastAsia="Times New Roman"/>
          <w:lang w:eastAsia="de-DE"/>
        </w:rPr>
        <w:t xml:space="preserve"> „geschlagen werden, eine Niederlage erleiden"). </w:t>
      </w:r>
      <w:r w:rsidRPr="008D099B">
        <w:rPr>
          <w:rFonts w:eastAsia="Times New Roman"/>
          <w:b/>
          <w:bCs/>
          <w:rtl/>
          <w:lang w:eastAsia="de-DE"/>
        </w:rPr>
        <w:t>לִפְנֵי</w:t>
      </w:r>
      <w:r w:rsidRPr="008D099B">
        <w:rPr>
          <w:rFonts w:eastAsia="Times New Roman"/>
          <w:rtl/>
          <w:lang w:eastAsia="de-DE"/>
        </w:rPr>
        <w:t xml:space="preserve"> </w:t>
      </w:r>
      <w:r w:rsidRPr="008D099B">
        <w:rPr>
          <w:rFonts w:eastAsia="Times New Roman"/>
          <w:lang w:eastAsia="de-DE"/>
        </w:rPr>
        <w:t xml:space="preserve">ist die Präposition („vor, angesichts von"). </w:t>
      </w:r>
      <w:r w:rsidRPr="008D099B">
        <w:rPr>
          <w:rFonts w:eastAsia="Times New Roman"/>
          <w:b/>
          <w:bCs/>
          <w:rtl/>
          <w:lang w:eastAsia="de-DE"/>
        </w:rPr>
        <w:t>אֹיְבֵיכֶם</w:t>
      </w:r>
      <w:r w:rsidRPr="008D099B">
        <w:rPr>
          <w:rFonts w:eastAsia="Times New Roman"/>
          <w:rtl/>
          <w:lang w:eastAsia="de-DE"/>
        </w:rPr>
        <w:t xml:space="preserve"> </w:t>
      </w:r>
      <w:r w:rsidRPr="008D099B">
        <w:rPr>
          <w:rFonts w:eastAsia="Times New Roman"/>
          <w:lang w:eastAsia="de-DE"/>
        </w:rPr>
        <w:t xml:space="preserve">ist der Plural von </w:t>
      </w:r>
      <w:r w:rsidRPr="008D099B">
        <w:rPr>
          <w:rFonts w:eastAsia="Times New Roman"/>
          <w:b/>
          <w:bCs/>
          <w:rtl/>
          <w:lang w:eastAsia="de-DE"/>
        </w:rPr>
        <w:t>אֹיֵב</w:t>
      </w:r>
      <w:r w:rsidRPr="008D099B">
        <w:rPr>
          <w:rFonts w:eastAsia="Times New Roman"/>
          <w:rtl/>
          <w:lang w:eastAsia="de-DE"/>
        </w:rPr>
        <w:t xml:space="preserve"> </w:t>
      </w:r>
      <w:r w:rsidRPr="008D099B">
        <w:rPr>
          <w:rFonts w:eastAsia="Times New Roman"/>
          <w:lang w:eastAsia="de-DE"/>
        </w:rPr>
        <w:t>(„Feind") mit Suffix 2. Person maskulin Plural. Der Satz kann negativ final („damit ihr nicht geschlagen werdet") oder als Warnung verstanden werden.</w:t>
      </w:r>
    </w:p>
    <w:p w14:paraId="691AEEC6"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Die LXX</w:t>
      </w:r>
      <w:r w:rsidRPr="008D099B">
        <w:rPr>
          <w:rFonts w:eastAsia="Times New Roman"/>
          <w:lang w:eastAsia="de-DE"/>
        </w:rPr>
        <w:t xml:space="preserve"> übersetzt „καὶ </w:t>
      </w:r>
      <w:proofErr w:type="spellStart"/>
      <w:r w:rsidRPr="008D099B">
        <w:rPr>
          <w:rFonts w:eastAsia="Times New Roman"/>
          <w:lang w:eastAsia="de-DE"/>
        </w:rPr>
        <w:t>εἶ</w:t>
      </w:r>
      <w:proofErr w:type="spellEnd"/>
      <w:r w:rsidRPr="008D099B">
        <w:rPr>
          <w:rFonts w:eastAsia="Times New Roman"/>
          <w:lang w:eastAsia="de-DE"/>
        </w:rPr>
        <w:t xml:space="preserve">πεν </w:t>
      </w:r>
      <w:proofErr w:type="spellStart"/>
      <w:r w:rsidRPr="008D099B">
        <w:rPr>
          <w:rFonts w:eastAsia="Times New Roman"/>
          <w:lang w:eastAsia="de-DE"/>
        </w:rPr>
        <w:t>κύριος</w:t>
      </w:r>
      <w:proofErr w:type="spellEnd"/>
      <w:r w:rsidRPr="008D099B">
        <w:rPr>
          <w:rFonts w:eastAsia="Times New Roman"/>
          <w:lang w:eastAsia="de-DE"/>
        </w:rPr>
        <w:t xml:space="preserve"> π</w:t>
      </w:r>
      <w:proofErr w:type="spellStart"/>
      <w:r w:rsidRPr="008D099B">
        <w:rPr>
          <w:rFonts w:eastAsia="Times New Roman"/>
          <w:lang w:eastAsia="de-DE"/>
        </w:rPr>
        <w:t>ρός</w:t>
      </w:r>
      <w:proofErr w:type="spellEnd"/>
      <w:r w:rsidRPr="008D099B">
        <w:rPr>
          <w:rFonts w:eastAsia="Times New Roman"/>
          <w:lang w:eastAsia="de-DE"/>
        </w:rPr>
        <w:t xml:space="preserve"> </w:t>
      </w:r>
      <w:proofErr w:type="spellStart"/>
      <w:r w:rsidRPr="008D099B">
        <w:rPr>
          <w:rFonts w:eastAsia="Times New Roman"/>
          <w:lang w:eastAsia="de-DE"/>
        </w:rPr>
        <w:t>με</w:t>
      </w:r>
      <w:proofErr w:type="spellEnd"/>
      <w:r w:rsidRPr="008D099B">
        <w:rPr>
          <w:rFonts w:eastAsia="Times New Roman"/>
          <w:lang w:eastAsia="de-DE"/>
        </w:rPr>
        <w:t xml:space="preserve"> </w:t>
      </w:r>
      <w:proofErr w:type="spellStart"/>
      <w:r w:rsidRPr="008D099B">
        <w:rPr>
          <w:rFonts w:eastAsia="Times New Roman"/>
          <w:lang w:eastAsia="de-DE"/>
        </w:rPr>
        <w:t>Εἰ</w:t>
      </w:r>
      <w:proofErr w:type="spellEnd"/>
      <w:r w:rsidRPr="008D099B">
        <w:rPr>
          <w:rFonts w:eastAsia="Times New Roman"/>
          <w:lang w:eastAsia="de-DE"/>
        </w:rPr>
        <w:t>πὸν α</w:t>
      </w:r>
      <w:proofErr w:type="spellStart"/>
      <w:r w:rsidRPr="008D099B">
        <w:rPr>
          <w:rFonts w:eastAsia="Times New Roman"/>
          <w:lang w:eastAsia="de-DE"/>
        </w:rPr>
        <w:t>ὐτοῖς</w:t>
      </w:r>
      <w:proofErr w:type="spellEnd"/>
      <w:r w:rsidRPr="008D099B">
        <w:rPr>
          <w:rFonts w:eastAsia="Times New Roman"/>
          <w:lang w:eastAsia="de-DE"/>
        </w:rPr>
        <w:t xml:space="preserve"> </w:t>
      </w:r>
      <w:proofErr w:type="spellStart"/>
      <w:r w:rsidRPr="008D099B">
        <w:rPr>
          <w:rFonts w:eastAsia="Times New Roman"/>
          <w:lang w:eastAsia="de-DE"/>
        </w:rPr>
        <w:t>Οὐκ</w:t>
      </w:r>
      <w:proofErr w:type="spellEnd"/>
      <w:r w:rsidRPr="008D099B">
        <w:rPr>
          <w:rFonts w:eastAsia="Times New Roman"/>
          <w:lang w:eastAsia="de-DE"/>
        </w:rPr>
        <w:t xml:space="preserve"> </w:t>
      </w:r>
      <w:proofErr w:type="spellStart"/>
      <w:r w:rsidRPr="008D099B">
        <w:rPr>
          <w:rFonts w:eastAsia="Times New Roman"/>
          <w:lang w:eastAsia="de-DE"/>
        </w:rPr>
        <w:t>ἀν</w:t>
      </w:r>
      <w:proofErr w:type="spellEnd"/>
      <w:r w:rsidRPr="008D099B">
        <w:rPr>
          <w:rFonts w:eastAsia="Times New Roman"/>
          <w:lang w:eastAsia="de-DE"/>
        </w:rPr>
        <w:t xml:space="preserve">αβήσεσθε </w:t>
      </w:r>
      <w:proofErr w:type="spellStart"/>
      <w:r w:rsidRPr="008D099B">
        <w:rPr>
          <w:rFonts w:eastAsia="Times New Roman"/>
          <w:lang w:eastAsia="de-DE"/>
        </w:rPr>
        <w:t>οὐδὲ</w:t>
      </w:r>
      <w:proofErr w:type="spellEnd"/>
      <w:r w:rsidRPr="008D099B">
        <w:rPr>
          <w:rFonts w:eastAsia="Times New Roman"/>
          <w:lang w:eastAsia="de-DE"/>
        </w:rPr>
        <w:t xml:space="preserve"> </w:t>
      </w:r>
      <w:proofErr w:type="spellStart"/>
      <w:r w:rsidRPr="008D099B">
        <w:rPr>
          <w:rFonts w:eastAsia="Times New Roman"/>
          <w:lang w:eastAsia="de-DE"/>
        </w:rPr>
        <w:t>μὴ</w:t>
      </w:r>
      <w:proofErr w:type="spellEnd"/>
      <w:r w:rsidRPr="008D099B">
        <w:rPr>
          <w:rFonts w:eastAsia="Times New Roman"/>
          <w:lang w:eastAsia="de-DE"/>
        </w:rPr>
        <w:t xml:space="preserve"> π</w:t>
      </w:r>
      <w:proofErr w:type="spellStart"/>
      <w:r w:rsidRPr="008D099B">
        <w:rPr>
          <w:rFonts w:eastAsia="Times New Roman"/>
          <w:lang w:eastAsia="de-DE"/>
        </w:rPr>
        <w:t>ολεμήσητε</w:t>
      </w:r>
      <w:proofErr w:type="spellEnd"/>
      <w:r w:rsidRPr="008D099B">
        <w:rPr>
          <w:rFonts w:eastAsia="Times New Roman"/>
          <w:lang w:eastAsia="de-DE"/>
        </w:rPr>
        <w:t xml:space="preserve">, </w:t>
      </w:r>
      <w:proofErr w:type="spellStart"/>
      <w:r w:rsidRPr="008D099B">
        <w:rPr>
          <w:rFonts w:eastAsia="Times New Roman"/>
          <w:lang w:eastAsia="de-DE"/>
        </w:rPr>
        <w:t>οὐ</w:t>
      </w:r>
      <w:proofErr w:type="spellEnd"/>
      <w:r w:rsidRPr="008D099B">
        <w:rPr>
          <w:rFonts w:eastAsia="Times New Roman"/>
          <w:lang w:eastAsia="de-DE"/>
        </w:rPr>
        <w:t xml:space="preserve"> </w:t>
      </w:r>
      <w:proofErr w:type="spellStart"/>
      <w:r w:rsidRPr="008D099B">
        <w:rPr>
          <w:rFonts w:eastAsia="Times New Roman"/>
          <w:lang w:eastAsia="de-DE"/>
        </w:rPr>
        <w:t>γάρ</w:t>
      </w:r>
      <w:proofErr w:type="spellEnd"/>
      <w:r w:rsidRPr="008D099B">
        <w:rPr>
          <w:rFonts w:eastAsia="Times New Roman"/>
          <w:lang w:eastAsia="de-DE"/>
        </w:rPr>
        <w:t xml:space="preserve"> </w:t>
      </w:r>
      <w:proofErr w:type="spellStart"/>
      <w:r w:rsidRPr="008D099B">
        <w:rPr>
          <w:rFonts w:eastAsia="Times New Roman"/>
          <w:lang w:eastAsia="de-DE"/>
        </w:rPr>
        <w:t>εἰμι</w:t>
      </w:r>
      <w:proofErr w:type="spellEnd"/>
      <w:r w:rsidRPr="008D099B">
        <w:rPr>
          <w:rFonts w:eastAsia="Times New Roman"/>
          <w:lang w:eastAsia="de-DE"/>
        </w:rPr>
        <w:t xml:space="preserve"> </w:t>
      </w:r>
      <w:proofErr w:type="spellStart"/>
      <w:r w:rsidRPr="008D099B">
        <w:rPr>
          <w:rFonts w:eastAsia="Times New Roman"/>
          <w:lang w:eastAsia="de-DE"/>
        </w:rPr>
        <w:t>μεθ</w:t>
      </w:r>
      <w:proofErr w:type="spellEnd"/>
      <w:r w:rsidRPr="008D099B">
        <w:rPr>
          <w:rFonts w:eastAsia="Times New Roman"/>
          <w:lang w:eastAsia="de-DE"/>
        </w:rPr>
        <w:t xml:space="preserve">' </w:t>
      </w:r>
      <w:proofErr w:type="spellStart"/>
      <w:r w:rsidRPr="008D099B">
        <w:rPr>
          <w:rFonts w:eastAsia="Times New Roman"/>
          <w:lang w:eastAsia="de-DE"/>
        </w:rPr>
        <w:t>ὑμῶν</w:t>
      </w:r>
      <w:proofErr w:type="spellEnd"/>
      <w:r w:rsidRPr="008D099B">
        <w:rPr>
          <w:rFonts w:eastAsia="Times New Roman"/>
          <w:lang w:eastAsia="de-DE"/>
        </w:rPr>
        <w:t xml:space="preserve">, καὶ </w:t>
      </w:r>
      <w:proofErr w:type="spellStart"/>
      <w:r w:rsidRPr="008D099B">
        <w:rPr>
          <w:rFonts w:eastAsia="Times New Roman"/>
          <w:lang w:eastAsia="de-DE"/>
        </w:rPr>
        <w:t>οὐ</w:t>
      </w:r>
      <w:proofErr w:type="spellEnd"/>
      <w:r w:rsidRPr="008D099B">
        <w:rPr>
          <w:rFonts w:eastAsia="Times New Roman"/>
          <w:lang w:eastAsia="de-DE"/>
        </w:rPr>
        <w:t xml:space="preserve"> </w:t>
      </w:r>
      <w:proofErr w:type="spellStart"/>
      <w:r w:rsidRPr="008D099B">
        <w:rPr>
          <w:rFonts w:eastAsia="Times New Roman"/>
          <w:lang w:eastAsia="de-DE"/>
        </w:rPr>
        <w:t>μὴ</w:t>
      </w:r>
      <w:proofErr w:type="spellEnd"/>
      <w:r w:rsidRPr="008D099B">
        <w:rPr>
          <w:rFonts w:eastAsia="Times New Roman"/>
          <w:lang w:eastAsia="de-DE"/>
        </w:rPr>
        <w:t xml:space="preserve"> </w:t>
      </w:r>
      <w:proofErr w:type="spellStart"/>
      <w:r w:rsidRPr="008D099B">
        <w:rPr>
          <w:rFonts w:eastAsia="Times New Roman"/>
          <w:lang w:eastAsia="de-DE"/>
        </w:rPr>
        <w:t>συντρι</w:t>
      </w:r>
      <w:proofErr w:type="spellEnd"/>
      <w:r w:rsidRPr="008D099B">
        <w:rPr>
          <w:rFonts w:eastAsia="Times New Roman"/>
          <w:lang w:eastAsia="de-DE"/>
        </w:rPr>
        <w:t xml:space="preserve">βῆτε </w:t>
      </w:r>
      <w:proofErr w:type="spellStart"/>
      <w:r w:rsidRPr="008D099B">
        <w:rPr>
          <w:rFonts w:eastAsia="Times New Roman"/>
          <w:lang w:eastAsia="de-DE"/>
        </w:rPr>
        <w:t>ἐνώ</w:t>
      </w:r>
      <w:proofErr w:type="spellEnd"/>
      <w:r w:rsidRPr="008D099B">
        <w:rPr>
          <w:rFonts w:eastAsia="Times New Roman"/>
          <w:lang w:eastAsia="de-DE"/>
        </w:rPr>
        <w:t xml:space="preserve">πιον </w:t>
      </w:r>
      <w:proofErr w:type="spellStart"/>
      <w:r w:rsidRPr="008D099B">
        <w:rPr>
          <w:rFonts w:eastAsia="Times New Roman"/>
          <w:lang w:eastAsia="de-DE"/>
        </w:rPr>
        <w:t>τῶν</w:t>
      </w:r>
      <w:proofErr w:type="spellEnd"/>
      <w:r w:rsidRPr="008D099B">
        <w:rPr>
          <w:rFonts w:eastAsia="Times New Roman"/>
          <w:lang w:eastAsia="de-DE"/>
        </w:rPr>
        <w:t xml:space="preserve"> </w:t>
      </w:r>
      <w:proofErr w:type="spellStart"/>
      <w:r w:rsidRPr="008D099B">
        <w:rPr>
          <w:rFonts w:eastAsia="Times New Roman"/>
          <w:lang w:eastAsia="de-DE"/>
        </w:rPr>
        <w:t>ἐχθρῶν</w:t>
      </w:r>
      <w:proofErr w:type="spellEnd"/>
      <w:r w:rsidRPr="008D099B">
        <w:rPr>
          <w:rFonts w:eastAsia="Times New Roman"/>
          <w:lang w:eastAsia="de-DE"/>
        </w:rPr>
        <w:t xml:space="preserve"> </w:t>
      </w:r>
      <w:proofErr w:type="spellStart"/>
      <w:r w:rsidRPr="008D099B">
        <w:rPr>
          <w:rFonts w:eastAsia="Times New Roman"/>
          <w:lang w:eastAsia="de-DE"/>
        </w:rPr>
        <w:t>ὑμῶν</w:t>
      </w:r>
      <w:proofErr w:type="spellEnd"/>
      <w:r w:rsidRPr="008D099B">
        <w:rPr>
          <w:rFonts w:eastAsia="Times New Roman"/>
          <w:lang w:eastAsia="de-DE"/>
        </w:rPr>
        <w:t xml:space="preserve">" („und der Herr sprach zu mir: Sage ihnen: Ihr werdet nicht hinaufgehen und ihr sollt nicht kämpfen, denn ich bin nicht mit euch, und ihr werdet nicht zerschmettert werden vor euren Feinden"). Die LXX verwendet verschiedene Negationsformen und übersetzt </w:t>
      </w:r>
      <w:r w:rsidRPr="008D099B">
        <w:rPr>
          <w:rFonts w:eastAsia="Times New Roman"/>
          <w:b/>
          <w:bCs/>
          <w:rtl/>
          <w:lang w:eastAsia="de-DE"/>
        </w:rPr>
        <w:t>בְּקִרְבְּכֶם</w:t>
      </w:r>
      <w:r w:rsidRPr="008D099B">
        <w:rPr>
          <w:rFonts w:eastAsia="Times New Roman"/>
          <w:rtl/>
          <w:lang w:eastAsia="de-DE"/>
        </w:rPr>
        <w:t xml:space="preserve"> </w:t>
      </w:r>
      <w:r w:rsidRPr="008D099B">
        <w:rPr>
          <w:rFonts w:eastAsia="Times New Roman"/>
          <w:lang w:eastAsia="de-DE"/>
        </w:rPr>
        <w:t>mit „</w:t>
      </w:r>
      <w:proofErr w:type="spellStart"/>
      <w:r w:rsidRPr="008D099B">
        <w:rPr>
          <w:rFonts w:eastAsia="Times New Roman"/>
          <w:lang w:eastAsia="de-DE"/>
        </w:rPr>
        <w:t>μεθ</w:t>
      </w:r>
      <w:proofErr w:type="spellEnd"/>
      <w:r w:rsidRPr="008D099B">
        <w:rPr>
          <w:rFonts w:eastAsia="Times New Roman"/>
          <w:lang w:eastAsia="de-DE"/>
        </w:rPr>
        <w:t xml:space="preserve">' </w:t>
      </w:r>
      <w:proofErr w:type="spellStart"/>
      <w:r w:rsidRPr="008D099B">
        <w:rPr>
          <w:rFonts w:eastAsia="Times New Roman"/>
          <w:lang w:eastAsia="de-DE"/>
        </w:rPr>
        <w:t>ὑμῶν</w:t>
      </w:r>
      <w:proofErr w:type="spellEnd"/>
      <w:r w:rsidRPr="008D099B">
        <w:rPr>
          <w:rFonts w:eastAsia="Times New Roman"/>
          <w:lang w:eastAsia="de-DE"/>
        </w:rPr>
        <w:t>" („mit euch").</w:t>
      </w:r>
    </w:p>
    <w:p w14:paraId="47DCCB99" w14:textId="77777777" w:rsidR="008D099B" w:rsidRDefault="008D099B" w:rsidP="008D099B">
      <w:r w:rsidRPr="008D099B">
        <w:t>Die Satzstruktur besteht aus einem Hauptsatz (</w:t>
      </w:r>
      <w:r w:rsidRPr="008D099B">
        <w:rPr>
          <w:b/>
          <w:bCs/>
          <w:rtl/>
        </w:rPr>
        <w:t>וַיֹּאמֶר יְהוָה אֵלַי</w:t>
      </w:r>
      <w:r w:rsidRPr="008D099B">
        <w:t>), einem Imperativ (</w:t>
      </w:r>
      <w:r w:rsidRPr="008D099B">
        <w:rPr>
          <w:b/>
          <w:bCs/>
          <w:rtl/>
        </w:rPr>
        <w:t>אֱמֹר לָהֶם</w:t>
      </w:r>
      <w:r w:rsidRPr="008D099B">
        <w:t>), und direkter Rede mit zwei Prohibitiven (</w:t>
      </w:r>
      <w:r w:rsidRPr="008D099B">
        <w:rPr>
          <w:b/>
          <w:bCs/>
          <w:rtl/>
        </w:rPr>
        <w:t>לֹא תַעֲלוּ וְלֹא־תִלָּחֲמוּ</w:t>
      </w:r>
      <w:r w:rsidRPr="008D099B">
        <w:t>), einer kausalen Begrün</w:t>
      </w:r>
      <w:r>
        <w:t>dung (</w:t>
      </w:r>
      <w:r>
        <w:rPr>
          <w:rStyle w:val="berschrift3Zchn"/>
          <w:rtl/>
        </w:rPr>
        <w:t>כִּי אֵינֶנִּי בְּקִרְבְּכֶם</w:t>
      </w:r>
      <w:r>
        <w:t>), und einem finalen/konsekutiven Nebensatz (</w:t>
      </w:r>
      <w:r>
        <w:rPr>
          <w:rStyle w:val="berschrift3Zchn"/>
          <w:rtl/>
        </w:rPr>
        <w:t>וְלֹא תִּנָּגְפוּ לִפְנֵי אֹיְבֵיכֶם</w:t>
      </w:r>
      <w:r>
        <w:t>).</w:t>
      </w:r>
    </w:p>
    <w:p w14:paraId="7C7B927B" w14:textId="77777777" w:rsidR="008D099B" w:rsidRDefault="008D099B" w:rsidP="008D099B">
      <w:r>
        <w:t xml:space="preserve">Der Vers gibt JHWHs explizite Warnung wieder: Das Volk soll nicht in den Kampf ziehen, weil JHWH nicht mehr mit ihnen ist. Die göttliche Präsenz </w:t>
      </w:r>
      <w:r>
        <w:rPr>
          <w:rStyle w:val="berschrift3Zchn"/>
          <w:rtl/>
        </w:rPr>
        <w:t>בְּקִרְבְּכֶם</w:t>
      </w:r>
      <w:r>
        <w:rPr>
          <w:rtl/>
        </w:rPr>
        <w:t xml:space="preserve"> </w:t>
      </w:r>
      <w:r>
        <w:t>ist entscheidend für den militärischen Erfolg. Ihr Fehlen garantiert die Niederlage. Dies zeigt, dass wahrer Gehorsam nicht in nachträglicher Aktivität, sondern im rechten Zeitpunkt besteht.</w:t>
      </w:r>
    </w:p>
    <w:p w14:paraId="22DF4E1E" w14:textId="77777777" w:rsidR="008D099B" w:rsidRPr="008D099B" w:rsidRDefault="008D099B" w:rsidP="008D099B">
      <w:pPr>
        <w:spacing w:before="100" w:beforeAutospacing="1" w:after="100" w:afterAutospacing="1" w:line="240" w:lineRule="auto"/>
        <w:outlineLvl w:val="1"/>
        <w:rPr>
          <w:rFonts w:eastAsia="Times New Roman"/>
          <w:b/>
          <w:bCs/>
          <w:sz w:val="36"/>
          <w:szCs w:val="36"/>
          <w:lang w:eastAsia="de-DE"/>
        </w:rPr>
      </w:pPr>
      <w:r w:rsidRPr="008D099B">
        <w:rPr>
          <w:rFonts w:eastAsia="Times New Roman"/>
          <w:b/>
          <w:bCs/>
          <w:sz w:val="36"/>
          <w:szCs w:val="36"/>
          <w:lang w:eastAsia="de-DE"/>
        </w:rPr>
        <w:t>Deuteronomium 1,43</w:t>
      </w:r>
    </w:p>
    <w:p w14:paraId="6BC48AD8"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Hebräisch:</w:t>
      </w:r>
      <w:r w:rsidRPr="008D099B">
        <w:rPr>
          <w:rFonts w:eastAsia="Times New Roman"/>
          <w:lang w:eastAsia="de-DE"/>
        </w:rPr>
        <w:t xml:space="preserve"> </w:t>
      </w:r>
      <w:r w:rsidRPr="008D099B">
        <w:rPr>
          <w:rFonts w:eastAsia="Times New Roman"/>
          <w:rtl/>
          <w:lang w:eastAsia="de-DE"/>
        </w:rPr>
        <w:t>וָאֲדַבֵּ֥ר אֲלֵיכֶ֖ם וְלֹ֣א שְׁמַעְתֶּ֑ם וַתַּמְרוּ֙ אֶת־פִּ֣י יְהוָ֔ה וַתָּזִ֖דוּ וַתַּעֲל֥וּ הָהָֽרָה׃</w:t>
      </w:r>
    </w:p>
    <w:p w14:paraId="6E0F7847"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Deutsch:</w:t>
      </w:r>
      <w:r w:rsidRPr="008D099B">
        <w:rPr>
          <w:rFonts w:eastAsia="Times New Roman"/>
          <w:lang w:eastAsia="de-DE"/>
        </w:rPr>
        <w:t xml:space="preserve"> Und ich redete zu euch, aber ihr hörtet nicht und wart widerspenstig gegen den Befehl des Ewigen und handeltet vermessen und zogt auf das Gebirge hinauf.</w:t>
      </w:r>
    </w:p>
    <w:p w14:paraId="628626B7" w14:textId="77777777" w:rsidR="008D099B" w:rsidRPr="008D099B" w:rsidRDefault="004F5CEB" w:rsidP="008D099B">
      <w:pPr>
        <w:spacing w:after="0" w:line="240" w:lineRule="auto"/>
        <w:rPr>
          <w:rFonts w:eastAsia="Times New Roman"/>
          <w:lang w:eastAsia="de-DE"/>
        </w:rPr>
      </w:pPr>
      <w:r>
        <w:rPr>
          <w:rFonts w:eastAsia="Times New Roman"/>
          <w:noProof/>
          <w:lang w:eastAsia="de-DE"/>
        </w:rPr>
        <w:pict w14:anchorId="7EC3F4FD">
          <v:rect id="_x0000_i1067" style="width:0;height:1.5pt" o:hralign="center" o:hrstd="t" o:hr="t" fillcolor="#a0a0a0" stroked="f"/>
        </w:pict>
      </w:r>
    </w:p>
    <w:p w14:paraId="4F881C1D"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Kommentar:</w:t>
      </w:r>
      <w:r w:rsidRPr="008D099B">
        <w:rPr>
          <w:rFonts w:eastAsia="Times New Roman"/>
          <w:lang w:eastAsia="de-DE"/>
        </w:rPr>
        <w:t xml:space="preserve"> </w:t>
      </w:r>
      <w:r w:rsidRPr="008D099B">
        <w:rPr>
          <w:rFonts w:eastAsia="Times New Roman"/>
          <w:b/>
          <w:bCs/>
          <w:rtl/>
          <w:lang w:eastAsia="de-DE"/>
        </w:rPr>
        <w:t>וָאֲדַבֵּר</w:t>
      </w:r>
      <w:r w:rsidRPr="008D099B">
        <w:rPr>
          <w:rFonts w:eastAsia="Times New Roman"/>
          <w:rtl/>
          <w:lang w:eastAsia="de-DE"/>
        </w:rPr>
        <w:t xml:space="preserve"> </w:t>
      </w:r>
      <w:r w:rsidRPr="008D099B">
        <w:rPr>
          <w:rFonts w:eastAsia="Times New Roman"/>
          <w:lang w:eastAsia="de-DE"/>
        </w:rPr>
        <w:t xml:space="preserve">ist Piel Imperfekt consecutivum, 1. Person Singular von </w:t>
      </w:r>
      <w:r w:rsidRPr="008D099B">
        <w:rPr>
          <w:rFonts w:eastAsia="Times New Roman"/>
          <w:rtl/>
          <w:lang w:eastAsia="de-DE"/>
        </w:rPr>
        <w:t>דבר</w:t>
      </w:r>
      <w:r w:rsidRPr="008D099B">
        <w:rPr>
          <w:rFonts w:eastAsia="Times New Roman"/>
          <w:lang w:eastAsia="de-DE"/>
        </w:rPr>
        <w:t xml:space="preserve"> („reden, sprechen") mit Waw. Die Piel-Form betont die Intensität oder Ausführlichkeit der Rede. </w:t>
      </w:r>
      <w:r w:rsidRPr="008D099B">
        <w:rPr>
          <w:rFonts w:eastAsia="Times New Roman"/>
          <w:b/>
          <w:bCs/>
          <w:rtl/>
          <w:lang w:eastAsia="de-DE"/>
        </w:rPr>
        <w:t>אֲלֵיכֶם</w:t>
      </w:r>
      <w:r w:rsidRPr="008D099B">
        <w:rPr>
          <w:rFonts w:eastAsia="Times New Roman"/>
          <w:rtl/>
          <w:lang w:eastAsia="de-DE"/>
        </w:rPr>
        <w:t xml:space="preserve"> </w:t>
      </w:r>
      <w:r w:rsidRPr="008D099B">
        <w:rPr>
          <w:rFonts w:eastAsia="Times New Roman"/>
          <w:lang w:eastAsia="de-DE"/>
        </w:rPr>
        <w:t xml:space="preserve">ist </w:t>
      </w:r>
      <w:r w:rsidRPr="008D099B">
        <w:rPr>
          <w:rFonts w:eastAsia="Times New Roman"/>
          <w:b/>
          <w:bCs/>
          <w:rtl/>
          <w:lang w:eastAsia="de-DE"/>
        </w:rPr>
        <w:t>אֶל</w:t>
      </w:r>
      <w:r w:rsidRPr="008D099B">
        <w:rPr>
          <w:rFonts w:eastAsia="Times New Roman"/>
          <w:rtl/>
          <w:lang w:eastAsia="de-DE"/>
        </w:rPr>
        <w:t xml:space="preserve"> </w:t>
      </w:r>
      <w:r w:rsidRPr="008D099B">
        <w:rPr>
          <w:rFonts w:eastAsia="Times New Roman"/>
          <w:lang w:eastAsia="de-DE"/>
        </w:rPr>
        <w:t xml:space="preserve">mit Suffix 2. Person maskulin Plural. </w:t>
      </w:r>
      <w:r w:rsidRPr="008D099B">
        <w:rPr>
          <w:rFonts w:eastAsia="Times New Roman"/>
          <w:b/>
          <w:bCs/>
          <w:rtl/>
          <w:lang w:eastAsia="de-DE"/>
        </w:rPr>
        <w:t>וְלֹא שְׁמַעְתֶּם</w:t>
      </w:r>
      <w:r w:rsidRPr="008D099B">
        <w:rPr>
          <w:rFonts w:eastAsia="Times New Roman"/>
          <w:rtl/>
          <w:lang w:eastAsia="de-DE"/>
        </w:rPr>
        <w:t xml:space="preserve"> </w:t>
      </w:r>
      <w:r w:rsidRPr="008D099B">
        <w:rPr>
          <w:rFonts w:eastAsia="Times New Roman"/>
          <w:lang w:eastAsia="de-DE"/>
        </w:rPr>
        <w:t xml:space="preserve">ist </w:t>
      </w:r>
      <w:r w:rsidRPr="008D099B">
        <w:rPr>
          <w:rFonts w:eastAsia="Times New Roman"/>
          <w:b/>
          <w:bCs/>
          <w:rtl/>
          <w:lang w:eastAsia="de-DE"/>
        </w:rPr>
        <w:t>וְ</w:t>
      </w:r>
      <w:r w:rsidRPr="008D099B">
        <w:rPr>
          <w:rFonts w:eastAsia="Times New Roman"/>
          <w:rtl/>
          <w:lang w:eastAsia="de-DE"/>
        </w:rPr>
        <w:t xml:space="preserve"> </w:t>
      </w:r>
      <w:r w:rsidRPr="008D099B">
        <w:rPr>
          <w:rFonts w:eastAsia="Times New Roman"/>
          <w:lang w:eastAsia="de-DE"/>
        </w:rPr>
        <w:t xml:space="preserve">in adversativer Funktion („aber") mit der Negation </w:t>
      </w:r>
      <w:r w:rsidRPr="008D099B">
        <w:rPr>
          <w:rFonts w:eastAsia="Times New Roman"/>
          <w:b/>
          <w:bCs/>
          <w:rtl/>
          <w:lang w:eastAsia="de-DE"/>
        </w:rPr>
        <w:t>לֹא</w:t>
      </w:r>
      <w:r w:rsidRPr="008D099B">
        <w:rPr>
          <w:rFonts w:eastAsia="Times New Roman"/>
          <w:rtl/>
          <w:lang w:eastAsia="de-DE"/>
        </w:rPr>
        <w:t xml:space="preserve"> </w:t>
      </w:r>
      <w:r w:rsidRPr="008D099B">
        <w:rPr>
          <w:rFonts w:eastAsia="Times New Roman"/>
          <w:lang w:eastAsia="de-DE"/>
        </w:rPr>
        <w:t xml:space="preserve">und </w:t>
      </w:r>
      <w:r w:rsidRPr="008D099B">
        <w:rPr>
          <w:rFonts w:eastAsia="Times New Roman"/>
          <w:b/>
          <w:bCs/>
          <w:rtl/>
          <w:lang w:eastAsia="de-DE"/>
        </w:rPr>
        <w:t>שְׁמַעְתֶּם</w:t>
      </w:r>
      <w:r w:rsidRPr="008D099B">
        <w:rPr>
          <w:rFonts w:eastAsia="Times New Roman"/>
          <w:rtl/>
          <w:lang w:eastAsia="de-DE"/>
        </w:rPr>
        <w:t xml:space="preserve"> </w:t>
      </w:r>
      <w:r w:rsidRPr="008D099B">
        <w:rPr>
          <w:rFonts w:eastAsia="Times New Roman"/>
          <w:lang w:eastAsia="de-DE"/>
        </w:rPr>
        <w:t xml:space="preserve">(Qal Perfekt, 2. Person maskulin Plural von </w:t>
      </w:r>
      <w:r w:rsidRPr="008D099B">
        <w:rPr>
          <w:rFonts w:eastAsia="Times New Roman"/>
          <w:rtl/>
          <w:lang w:eastAsia="de-DE"/>
        </w:rPr>
        <w:t>שׁמע</w:t>
      </w:r>
      <w:r w:rsidRPr="008D099B">
        <w:rPr>
          <w:rFonts w:eastAsia="Times New Roman"/>
          <w:lang w:eastAsia="de-DE"/>
        </w:rPr>
        <w:t xml:space="preserve"> „hören, gehorchen").</w:t>
      </w:r>
    </w:p>
    <w:p w14:paraId="33AB5203" w14:textId="55543F2E"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rtl/>
          <w:lang w:eastAsia="de-DE"/>
        </w:rPr>
        <w:lastRenderedPageBreak/>
        <w:t>וַתַּמְרוּ אֶת־פִּי יְהוָה</w:t>
      </w:r>
      <w:r w:rsidRPr="008D099B">
        <w:rPr>
          <w:rFonts w:eastAsia="Times New Roman"/>
          <w:rtl/>
          <w:lang w:eastAsia="de-DE"/>
        </w:rPr>
        <w:t xml:space="preserve"> </w:t>
      </w:r>
      <w:r w:rsidRPr="008D099B">
        <w:rPr>
          <w:rFonts w:eastAsia="Times New Roman"/>
          <w:lang w:eastAsia="de-DE"/>
        </w:rPr>
        <w:t xml:space="preserve">ist </w:t>
      </w:r>
      <w:r w:rsidRPr="008D099B">
        <w:rPr>
          <w:rFonts w:eastAsia="Times New Roman"/>
          <w:b/>
          <w:bCs/>
          <w:rtl/>
          <w:lang w:eastAsia="de-DE"/>
        </w:rPr>
        <w:t>וַתַּמְרוּ</w:t>
      </w:r>
      <w:r w:rsidRPr="008D099B">
        <w:rPr>
          <w:rFonts w:eastAsia="Times New Roman"/>
          <w:rtl/>
          <w:lang w:eastAsia="de-DE"/>
        </w:rPr>
        <w:t xml:space="preserve"> </w:t>
      </w:r>
      <w:r w:rsidRPr="008D099B">
        <w:rPr>
          <w:rFonts w:eastAsia="Times New Roman"/>
          <w:lang w:eastAsia="de-DE"/>
        </w:rPr>
        <w:t xml:space="preserve">(Hif'il Imperfekt consecutivum, 2. Person maskulin Plural von </w:t>
      </w:r>
      <w:r w:rsidRPr="008D099B">
        <w:rPr>
          <w:rFonts w:eastAsia="Times New Roman"/>
          <w:rtl/>
          <w:lang w:eastAsia="de-DE"/>
        </w:rPr>
        <w:t>מרה</w:t>
      </w:r>
      <w:r w:rsidRPr="008D099B">
        <w:rPr>
          <w:rFonts w:eastAsia="Times New Roman"/>
          <w:lang w:eastAsia="de-DE"/>
        </w:rPr>
        <w:t xml:space="preserve"> „widerspenstig sein, sich auflehnen" mit Waw), </w:t>
      </w:r>
      <w:r w:rsidRPr="008D099B">
        <w:rPr>
          <w:rFonts w:eastAsia="Times New Roman"/>
          <w:b/>
          <w:bCs/>
          <w:rtl/>
          <w:lang w:eastAsia="de-DE"/>
        </w:rPr>
        <w:t>אֶת־פִּי יְהוָה</w:t>
      </w:r>
      <w:r w:rsidRPr="008D099B">
        <w:rPr>
          <w:rFonts w:eastAsia="Times New Roman"/>
          <w:rtl/>
          <w:lang w:eastAsia="de-DE"/>
        </w:rPr>
        <w:t xml:space="preserve"> </w:t>
      </w:r>
      <w:r w:rsidRPr="008D099B">
        <w:rPr>
          <w:rFonts w:eastAsia="Times New Roman"/>
          <w:lang w:eastAsia="de-DE"/>
        </w:rPr>
        <w:t xml:space="preserve">(Objektpartikel mit </w:t>
      </w:r>
      <w:r w:rsidRPr="008D099B">
        <w:rPr>
          <w:rFonts w:eastAsia="Times New Roman"/>
          <w:b/>
          <w:bCs/>
          <w:rtl/>
          <w:lang w:eastAsia="de-DE"/>
        </w:rPr>
        <w:t>פֶּה</w:t>
      </w:r>
      <w:r w:rsidRPr="008D099B">
        <w:rPr>
          <w:rFonts w:eastAsia="Times New Roman"/>
          <w:rtl/>
          <w:lang w:eastAsia="de-DE"/>
        </w:rPr>
        <w:t xml:space="preserve"> </w:t>
      </w:r>
      <w:r w:rsidRPr="008D099B">
        <w:rPr>
          <w:rFonts w:eastAsia="Times New Roman"/>
          <w:lang w:eastAsia="de-DE"/>
        </w:rPr>
        <w:t xml:space="preserve">„Mund" im </w:t>
      </w:r>
      <w:r w:rsidR="0032647F">
        <w:rPr>
          <w:rFonts w:eastAsia="Times New Roman"/>
          <w:lang w:eastAsia="de-DE"/>
        </w:rPr>
        <w:t>Construct</w:t>
      </w:r>
      <w:r w:rsidRPr="008D099B">
        <w:rPr>
          <w:rFonts w:eastAsia="Times New Roman"/>
          <w:lang w:eastAsia="de-DE"/>
        </w:rPr>
        <w:t xml:space="preserve"> mit </w:t>
      </w:r>
      <w:r w:rsidRPr="008D099B">
        <w:rPr>
          <w:rFonts w:eastAsia="Times New Roman"/>
          <w:b/>
          <w:bCs/>
          <w:rtl/>
          <w:lang w:eastAsia="de-DE"/>
        </w:rPr>
        <w:t>יְהוָה</w:t>
      </w:r>
      <w:r w:rsidRPr="008D099B">
        <w:rPr>
          <w:rFonts w:eastAsia="Times New Roman"/>
          <w:lang w:eastAsia="de-DE"/>
        </w:rPr>
        <w:t xml:space="preserve">). Die Phrase </w:t>
      </w:r>
      <w:r w:rsidRPr="008D099B">
        <w:rPr>
          <w:rFonts w:eastAsia="Times New Roman"/>
          <w:b/>
          <w:bCs/>
          <w:rtl/>
          <w:lang w:eastAsia="de-DE"/>
        </w:rPr>
        <w:t>פִּי יְהוָה</w:t>
      </w:r>
      <w:r w:rsidRPr="008D099B">
        <w:rPr>
          <w:rFonts w:eastAsia="Times New Roman"/>
          <w:rtl/>
          <w:lang w:eastAsia="de-DE"/>
        </w:rPr>
        <w:t xml:space="preserve"> </w:t>
      </w:r>
      <w:r w:rsidRPr="008D099B">
        <w:rPr>
          <w:rFonts w:eastAsia="Times New Roman"/>
          <w:lang w:eastAsia="de-DE"/>
        </w:rPr>
        <w:t>steht metonymisch für „Befehl, Wort JHWHs".</w:t>
      </w:r>
    </w:p>
    <w:p w14:paraId="4E760FE3"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rtl/>
          <w:lang w:eastAsia="de-DE"/>
        </w:rPr>
        <w:t>וַתָּזִדוּ</w:t>
      </w:r>
      <w:r w:rsidRPr="008D099B">
        <w:rPr>
          <w:rFonts w:eastAsia="Times New Roman"/>
          <w:rtl/>
          <w:lang w:eastAsia="de-DE"/>
        </w:rPr>
        <w:t xml:space="preserve"> </w:t>
      </w:r>
      <w:r w:rsidRPr="008D099B">
        <w:rPr>
          <w:rFonts w:eastAsia="Times New Roman"/>
          <w:lang w:eastAsia="de-DE"/>
        </w:rPr>
        <w:t xml:space="preserve">ist Hif'il Imperfekt consecutivum, 2. Person maskulin Plural von </w:t>
      </w:r>
      <w:r w:rsidRPr="008D099B">
        <w:rPr>
          <w:rFonts w:eastAsia="Times New Roman"/>
          <w:rtl/>
          <w:lang w:eastAsia="de-DE"/>
        </w:rPr>
        <w:t>זיד</w:t>
      </w:r>
      <w:r w:rsidRPr="008D099B">
        <w:rPr>
          <w:rFonts w:eastAsia="Times New Roman"/>
          <w:lang w:eastAsia="de-DE"/>
        </w:rPr>
        <w:t xml:space="preserve"> („vermessen handeln, übermütig sein") mit Waw. Die Wurzel </w:t>
      </w:r>
      <w:r w:rsidRPr="008D099B">
        <w:rPr>
          <w:rFonts w:eastAsia="Times New Roman"/>
          <w:rtl/>
          <w:lang w:eastAsia="de-DE"/>
        </w:rPr>
        <w:t>זיד</w:t>
      </w:r>
      <w:r w:rsidRPr="008D099B">
        <w:rPr>
          <w:rFonts w:eastAsia="Times New Roman"/>
          <w:lang w:eastAsia="de-DE"/>
        </w:rPr>
        <w:t xml:space="preserve"> bezeichnet hochmütiges, rebellisches Verhalten. </w:t>
      </w:r>
      <w:r w:rsidRPr="008D099B">
        <w:rPr>
          <w:rFonts w:eastAsia="Times New Roman"/>
          <w:b/>
          <w:bCs/>
          <w:rtl/>
          <w:lang w:eastAsia="de-DE"/>
        </w:rPr>
        <w:t>וַתַּעֲלוּ</w:t>
      </w:r>
      <w:r w:rsidRPr="008D099B">
        <w:rPr>
          <w:rFonts w:eastAsia="Times New Roman"/>
          <w:rtl/>
          <w:lang w:eastAsia="de-DE"/>
        </w:rPr>
        <w:t xml:space="preserve"> </w:t>
      </w:r>
      <w:r w:rsidRPr="008D099B">
        <w:rPr>
          <w:rFonts w:eastAsia="Times New Roman"/>
          <w:lang w:eastAsia="de-DE"/>
        </w:rPr>
        <w:t xml:space="preserve">ist Qal Imperfekt consecutivum, 2. Person maskulin Plural von </w:t>
      </w:r>
      <w:r w:rsidRPr="008D099B">
        <w:rPr>
          <w:rFonts w:eastAsia="Times New Roman"/>
          <w:rtl/>
          <w:lang w:eastAsia="de-DE"/>
        </w:rPr>
        <w:t>עלה</w:t>
      </w:r>
      <w:r w:rsidRPr="008D099B">
        <w:rPr>
          <w:rFonts w:eastAsia="Times New Roman"/>
          <w:lang w:eastAsia="de-DE"/>
        </w:rPr>
        <w:t xml:space="preserve"> („hinaufziehen") mit Waw. </w:t>
      </w:r>
      <w:r w:rsidRPr="008D099B">
        <w:rPr>
          <w:rFonts w:eastAsia="Times New Roman"/>
          <w:b/>
          <w:bCs/>
          <w:rtl/>
          <w:lang w:eastAsia="de-DE"/>
        </w:rPr>
        <w:t>הָהָרָה</w:t>
      </w:r>
      <w:r w:rsidRPr="008D099B">
        <w:rPr>
          <w:rFonts w:eastAsia="Times New Roman"/>
          <w:rtl/>
          <w:lang w:eastAsia="de-DE"/>
        </w:rPr>
        <w:t xml:space="preserve"> </w:t>
      </w:r>
      <w:r w:rsidRPr="008D099B">
        <w:rPr>
          <w:rFonts w:eastAsia="Times New Roman"/>
          <w:lang w:eastAsia="de-DE"/>
        </w:rPr>
        <w:t xml:space="preserve">ist </w:t>
      </w:r>
      <w:r w:rsidRPr="008D099B">
        <w:rPr>
          <w:rFonts w:eastAsia="Times New Roman"/>
          <w:b/>
          <w:bCs/>
          <w:rtl/>
          <w:lang w:eastAsia="de-DE"/>
        </w:rPr>
        <w:t>הָהָר</w:t>
      </w:r>
      <w:r w:rsidRPr="008D099B">
        <w:rPr>
          <w:rFonts w:eastAsia="Times New Roman"/>
          <w:rtl/>
          <w:lang w:eastAsia="de-DE"/>
        </w:rPr>
        <w:t xml:space="preserve"> </w:t>
      </w:r>
      <w:r w:rsidRPr="008D099B">
        <w:rPr>
          <w:rFonts w:eastAsia="Times New Roman"/>
          <w:lang w:eastAsia="de-DE"/>
        </w:rPr>
        <w:t>(„das Gebirge") mit He locale.</w:t>
      </w:r>
    </w:p>
    <w:p w14:paraId="224C464B"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Die LXX</w:t>
      </w:r>
      <w:r w:rsidRPr="008D099B">
        <w:rPr>
          <w:rFonts w:eastAsia="Times New Roman"/>
          <w:lang w:eastAsia="de-DE"/>
        </w:rPr>
        <w:t xml:space="preserve"> übersetzt „καὶ </w:t>
      </w:r>
      <w:proofErr w:type="spellStart"/>
      <w:r w:rsidRPr="008D099B">
        <w:rPr>
          <w:rFonts w:eastAsia="Times New Roman"/>
          <w:lang w:eastAsia="de-DE"/>
        </w:rPr>
        <w:t>ἐλάλησ</w:t>
      </w:r>
      <w:proofErr w:type="spellEnd"/>
      <w:r w:rsidRPr="008D099B">
        <w:rPr>
          <w:rFonts w:eastAsia="Times New Roman"/>
          <w:lang w:eastAsia="de-DE"/>
        </w:rPr>
        <w:t xml:space="preserve">α </w:t>
      </w:r>
      <w:proofErr w:type="spellStart"/>
      <w:r w:rsidRPr="008D099B">
        <w:rPr>
          <w:rFonts w:eastAsia="Times New Roman"/>
          <w:lang w:eastAsia="de-DE"/>
        </w:rPr>
        <w:t>ὑμῖν</w:t>
      </w:r>
      <w:proofErr w:type="spellEnd"/>
      <w:r w:rsidRPr="008D099B">
        <w:rPr>
          <w:rFonts w:eastAsia="Times New Roman"/>
          <w:lang w:eastAsia="de-DE"/>
        </w:rPr>
        <w:t xml:space="preserve">, καὶ </w:t>
      </w:r>
      <w:proofErr w:type="spellStart"/>
      <w:r w:rsidRPr="008D099B">
        <w:rPr>
          <w:rFonts w:eastAsia="Times New Roman"/>
          <w:lang w:eastAsia="de-DE"/>
        </w:rPr>
        <w:t>οὐκ</w:t>
      </w:r>
      <w:proofErr w:type="spellEnd"/>
      <w:r w:rsidRPr="008D099B">
        <w:rPr>
          <w:rFonts w:eastAsia="Times New Roman"/>
          <w:lang w:eastAsia="de-DE"/>
        </w:rPr>
        <w:t xml:space="preserve"> </w:t>
      </w:r>
      <w:proofErr w:type="spellStart"/>
      <w:r w:rsidRPr="008D099B">
        <w:rPr>
          <w:rFonts w:eastAsia="Times New Roman"/>
          <w:lang w:eastAsia="de-DE"/>
        </w:rPr>
        <w:t>εἰσηκούσ</w:t>
      </w:r>
      <w:proofErr w:type="spellEnd"/>
      <w:r w:rsidRPr="008D099B">
        <w:rPr>
          <w:rFonts w:eastAsia="Times New Roman"/>
          <w:lang w:eastAsia="de-DE"/>
        </w:rPr>
        <w:t xml:space="preserve">ατέ </w:t>
      </w:r>
      <w:proofErr w:type="spellStart"/>
      <w:r w:rsidRPr="008D099B">
        <w:rPr>
          <w:rFonts w:eastAsia="Times New Roman"/>
          <w:lang w:eastAsia="de-DE"/>
        </w:rPr>
        <w:t>μου</w:t>
      </w:r>
      <w:proofErr w:type="spellEnd"/>
      <w:r w:rsidRPr="008D099B">
        <w:rPr>
          <w:rFonts w:eastAsia="Times New Roman"/>
          <w:lang w:eastAsia="de-DE"/>
        </w:rPr>
        <w:t xml:space="preserve"> καὶ πα</w:t>
      </w:r>
      <w:proofErr w:type="spellStart"/>
      <w:r w:rsidRPr="008D099B">
        <w:rPr>
          <w:rFonts w:eastAsia="Times New Roman"/>
          <w:lang w:eastAsia="de-DE"/>
        </w:rPr>
        <w:t>ρέ</w:t>
      </w:r>
      <w:proofErr w:type="spellEnd"/>
      <w:r w:rsidRPr="008D099B">
        <w:rPr>
          <w:rFonts w:eastAsia="Times New Roman"/>
          <w:lang w:eastAsia="de-DE"/>
        </w:rPr>
        <w:t xml:space="preserve">βητε </w:t>
      </w:r>
      <w:proofErr w:type="spellStart"/>
      <w:r w:rsidRPr="008D099B">
        <w:rPr>
          <w:rFonts w:eastAsia="Times New Roman"/>
          <w:lang w:eastAsia="de-DE"/>
        </w:rPr>
        <w:t>τὸ</w:t>
      </w:r>
      <w:proofErr w:type="spellEnd"/>
      <w:r w:rsidRPr="008D099B">
        <w:rPr>
          <w:rFonts w:eastAsia="Times New Roman"/>
          <w:lang w:eastAsia="de-DE"/>
        </w:rPr>
        <w:t xml:space="preserve"> </w:t>
      </w:r>
      <w:proofErr w:type="spellStart"/>
      <w:r w:rsidRPr="008D099B">
        <w:rPr>
          <w:rFonts w:eastAsia="Times New Roman"/>
          <w:lang w:eastAsia="de-DE"/>
        </w:rPr>
        <w:t>ῥῆμ</w:t>
      </w:r>
      <w:proofErr w:type="spellEnd"/>
      <w:r w:rsidRPr="008D099B">
        <w:rPr>
          <w:rFonts w:eastAsia="Times New Roman"/>
          <w:lang w:eastAsia="de-DE"/>
        </w:rPr>
        <w:t xml:space="preserve">α </w:t>
      </w:r>
      <w:proofErr w:type="spellStart"/>
      <w:r w:rsidRPr="008D099B">
        <w:rPr>
          <w:rFonts w:eastAsia="Times New Roman"/>
          <w:lang w:eastAsia="de-DE"/>
        </w:rPr>
        <w:t>κυρίου</w:t>
      </w:r>
      <w:proofErr w:type="spellEnd"/>
      <w:r w:rsidRPr="008D099B">
        <w:rPr>
          <w:rFonts w:eastAsia="Times New Roman"/>
          <w:lang w:eastAsia="de-DE"/>
        </w:rPr>
        <w:t xml:space="preserve"> καὶ παραβια</w:t>
      </w:r>
      <w:proofErr w:type="spellStart"/>
      <w:r w:rsidRPr="008D099B">
        <w:rPr>
          <w:rFonts w:eastAsia="Times New Roman"/>
          <w:lang w:eastAsia="de-DE"/>
        </w:rPr>
        <w:t>σάμενοι</w:t>
      </w:r>
      <w:proofErr w:type="spellEnd"/>
      <w:r w:rsidRPr="008D099B">
        <w:rPr>
          <w:rFonts w:eastAsia="Times New Roman"/>
          <w:lang w:eastAsia="de-DE"/>
        </w:rPr>
        <w:t xml:space="preserve"> </w:t>
      </w:r>
      <w:proofErr w:type="spellStart"/>
      <w:r w:rsidRPr="008D099B">
        <w:rPr>
          <w:rFonts w:eastAsia="Times New Roman"/>
          <w:lang w:eastAsia="de-DE"/>
        </w:rPr>
        <w:t>ἀνέ</w:t>
      </w:r>
      <w:proofErr w:type="spellEnd"/>
      <w:r w:rsidRPr="008D099B">
        <w:rPr>
          <w:rFonts w:eastAsia="Times New Roman"/>
          <w:lang w:eastAsia="de-DE"/>
        </w:rPr>
        <w:t xml:space="preserve">βητε </w:t>
      </w:r>
      <w:proofErr w:type="spellStart"/>
      <w:r w:rsidRPr="008D099B">
        <w:rPr>
          <w:rFonts w:eastAsia="Times New Roman"/>
          <w:lang w:eastAsia="de-DE"/>
        </w:rPr>
        <w:t>εἰς</w:t>
      </w:r>
      <w:proofErr w:type="spellEnd"/>
      <w:r w:rsidRPr="008D099B">
        <w:rPr>
          <w:rFonts w:eastAsia="Times New Roman"/>
          <w:lang w:eastAsia="de-DE"/>
        </w:rPr>
        <w:t xml:space="preserve"> </w:t>
      </w:r>
      <w:proofErr w:type="spellStart"/>
      <w:r w:rsidRPr="008D099B">
        <w:rPr>
          <w:rFonts w:eastAsia="Times New Roman"/>
          <w:lang w:eastAsia="de-DE"/>
        </w:rPr>
        <w:t>τὸ</w:t>
      </w:r>
      <w:proofErr w:type="spellEnd"/>
      <w:r w:rsidRPr="008D099B">
        <w:rPr>
          <w:rFonts w:eastAsia="Times New Roman"/>
          <w:lang w:eastAsia="de-DE"/>
        </w:rPr>
        <w:t xml:space="preserve"> </w:t>
      </w:r>
      <w:proofErr w:type="spellStart"/>
      <w:r w:rsidRPr="008D099B">
        <w:rPr>
          <w:rFonts w:eastAsia="Times New Roman"/>
          <w:lang w:eastAsia="de-DE"/>
        </w:rPr>
        <w:t>ὄρος</w:t>
      </w:r>
      <w:proofErr w:type="spellEnd"/>
      <w:r w:rsidRPr="008D099B">
        <w:rPr>
          <w:rFonts w:eastAsia="Times New Roman"/>
          <w:lang w:eastAsia="de-DE"/>
        </w:rPr>
        <w:t xml:space="preserve">" („und ich redete zu euch, und ihr hörtet nicht auf mich und übertratet das Wort des Herrn und gewaltsam handelnd gingt ihr hinauf auf das Gebirge"). Die LXX übersetzt </w:t>
      </w:r>
      <w:r w:rsidRPr="008D099B">
        <w:rPr>
          <w:rFonts w:eastAsia="Times New Roman"/>
          <w:b/>
          <w:bCs/>
          <w:rtl/>
          <w:lang w:eastAsia="de-DE"/>
        </w:rPr>
        <w:t>וַתָּזִדוּ</w:t>
      </w:r>
      <w:r w:rsidRPr="008D099B">
        <w:rPr>
          <w:rFonts w:eastAsia="Times New Roman"/>
          <w:rtl/>
          <w:lang w:eastAsia="de-DE"/>
        </w:rPr>
        <w:t xml:space="preserve"> </w:t>
      </w:r>
      <w:r w:rsidRPr="008D099B">
        <w:rPr>
          <w:rFonts w:eastAsia="Times New Roman"/>
          <w:lang w:eastAsia="de-DE"/>
        </w:rPr>
        <w:t xml:space="preserve">mit </w:t>
      </w:r>
      <w:r w:rsidRPr="008D099B">
        <w:rPr>
          <w:rFonts w:eastAsia="Times New Roman"/>
          <w:b/>
          <w:bCs/>
          <w:lang w:eastAsia="de-DE"/>
        </w:rPr>
        <w:t>παραβια</w:t>
      </w:r>
      <w:proofErr w:type="spellStart"/>
      <w:r w:rsidRPr="008D099B">
        <w:rPr>
          <w:rFonts w:eastAsia="Times New Roman"/>
          <w:b/>
          <w:bCs/>
          <w:lang w:eastAsia="de-DE"/>
        </w:rPr>
        <w:t>σάμενοι</w:t>
      </w:r>
      <w:proofErr w:type="spellEnd"/>
      <w:r w:rsidRPr="008D099B">
        <w:rPr>
          <w:rFonts w:eastAsia="Times New Roman"/>
          <w:lang w:eastAsia="de-DE"/>
        </w:rPr>
        <w:t xml:space="preserve"> („gewaltsam handelnd, mit Gewalt"), was die Vermessenheit als Gewaltsamkeit interpretiert.</w:t>
      </w:r>
    </w:p>
    <w:p w14:paraId="63316204"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lang w:eastAsia="de-DE"/>
        </w:rPr>
        <w:t xml:space="preserve">Die Satzstruktur besteht aus fünf koordinierten Verben mit Waw: (1) </w:t>
      </w:r>
      <w:r w:rsidRPr="008D099B">
        <w:rPr>
          <w:rFonts w:eastAsia="Times New Roman"/>
          <w:b/>
          <w:bCs/>
          <w:rtl/>
          <w:lang w:eastAsia="de-DE"/>
        </w:rPr>
        <w:t>וָאֲדַבֵּר אֲלֵיכֶם</w:t>
      </w:r>
      <w:r w:rsidRPr="008D099B">
        <w:rPr>
          <w:rFonts w:eastAsia="Times New Roman"/>
          <w:lang w:eastAsia="de-DE"/>
        </w:rPr>
        <w:t xml:space="preserve">, (2) adversatives </w:t>
      </w:r>
      <w:r w:rsidRPr="008D099B">
        <w:rPr>
          <w:rFonts w:eastAsia="Times New Roman"/>
          <w:b/>
          <w:bCs/>
          <w:rtl/>
          <w:lang w:eastAsia="de-DE"/>
        </w:rPr>
        <w:t>וְלֹא שְׁמַעְתֶּם</w:t>
      </w:r>
      <w:r w:rsidRPr="008D099B">
        <w:rPr>
          <w:rFonts w:eastAsia="Times New Roman"/>
          <w:lang w:eastAsia="de-DE"/>
        </w:rPr>
        <w:t xml:space="preserve">, (3) </w:t>
      </w:r>
      <w:r w:rsidRPr="008D099B">
        <w:rPr>
          <w:rFonts w:eastAsia="Times New Roman"/>
          <w:b/>
          <w:bCs/>
          <w:rtl/>
          <w:lang w:eastAsia="de-DE"/>
        </w:rPr>
        <w:t>וַתַּמְרוּ אֶת־פִּי יְהוָה</w:t>
      </w:r>
      <w:r w:rsidRPr="008D099B">
        <w:rPr>
          <w:rFonts w:eastAsia="Times New Roman"/>
          <w:lang w:eastAsia="de-DE"/>
        </w:rPr>
        <w:t xml:space="preserve">, (4) </w:t>
      </w:r>
      <w:r w:rsidRPr="008D099B">
        <w:rPr>
          <w:rFonts w:eastAsia="Times New Roman"/>
          <w:b/>
          <w:bCs/>
          <w:rtl/>
          <w:lang w:eastAsia="de-DE"/>
        </w:rPr>
        <w:t>וַתָּזִדוּ</w:t>
      </w:r>
      <w:r w:rsidRPr="008D099B">
        <w:rPr>
          <w:rFonts w:eastAsia="Times New Roman"/>
          <w:lang w:eastAsia="de-DE"/>
        </w:rPr>
        <w:t xml:space="preserve">, (5) </w:t>
      </w:r>
      <w:r w:rsidRPr="008D099B">
        <w:rPr>
          <w:rFonts w:eastAsia="Times New Roman"/>
          <w:b/>
          <w:bCs/>
          <w:rtl/>
          <w:lang w:eastAsia="de-DE"/>
        </w:rPr>
        <w:t>וַתַּעֲלוּ הָהָרָה</w:t>
      </w:r>
      <w:r w:rsidRPr="008D099B">
        <w:rPr>
          <w:rFonts w:eastAsia="Times New Roman"/>
          <w:lang w:eastAsia="de-DE"/>
        </w:rPr>
        <w:t>. Die Struktur zeigt eine Eskalation: Moses Warnung, Ungehorsam, Rebellion, Vermessenheit, und schließlich die fatale Handlung.</w:t>
      </w:r>
    </w:p>
    <w:p w14:paraId="788A2B2F"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lang w:eastAsia="de-DE"/>
        </w:rPr>
        <w:t>Der Vers beschreibt die dreifache Schuld des Volkes: Sie hörten nicht auf Mose, lehnten sich gegen JHWHs Befehl auf, und handelten in vermessener Weise. Trotz klarer Warnung zogen sie eigenmächtig in den Kampf – ein Beispiel für katastrophalen Ungehorsam.</w:t>
      </w:r>
    </w:p>
    <w:p w14:paraId="67A7B451" w14:textId="77777777" w:rsidR="008D099B" w:rsidRPr="008D099B" w:rsidRDefault="008D099B" w:rsidP="008D099B">
      <w:pPr>
        <w:spacing w:before="100" w:beforeAutospacing="1" w:after="100" w:afterAutospacing="1" w:line="240" w:lineRule="auto"/>
        <w:outlineLvl w:val="1"/>
        <w:rPr>
          <w:rFonts w:eastAsia="Times New Roman"/>
          <w:b/>
          <w:bCs/>
          <w:sz w:val="36"/>
          <w:szCs w:val="36"/>
          <w:lang w:eastAsia="de-DE"/>
        </w:rPr>
      </w:pPr>
      <w:r w:rsidRPr="008D099B">
        <w:rPr>
          <w:rFonts w:eastAsia="Times New Roman"/>
          <w:b/>
          <w:bCs/>
          <w:sz w:val="36"/>
          <w:szCs w:val="36"/>
          <w:lang w:eastAsia="de-DE"/>
        </w:rPr>
        <w:t>Deuteronomium 1,44</w:t>
      </w:r>
    </w:p>
    <w:p w14:paraId="27BD6636"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Hebräisch:</w:t>
      </w:r>
      <w:r w:rsidRPr="008D099B">
        <w:rPr>
          <w:rFonts w:eastAsia="Times New Roman"/>
          <w:lang w:eastAsia="de-DE"/>
        </w:rPr>
        <w:t xml:space="preserve"> </w:t>
      </w:r>
      <w:r w:rsidRPr="008D099B">
        <w:rPr>
          <w:rFonts w:eastAsia="Times New Roman"/>
          <w:rtl/>
          <w:lang w:eastAsia="de-DE"/>
        </w:rPr>
        <w:t>וַיֵּצֵ֨א הָאֱמֹרִ֜י הַיֹּשֵׁ֨ב בָּהָ֤ר הַהוּא֙ לִקְרַאתְכֶ֔ם וַיִּרְדְּפ֣וּ אֶתְכֶ֔ם כַּאֲשֶׁ֥ר תַּעֲשֶׂ֖ינָה הַדְּבֹרִ֑ים וַֽיַּכְּת֥וּ אֶתְכֶ֛ם בְּשֵׂעִ֖יר עַד־חָרְמָֽה׃</w:t>
      </w:r>
    </w:p>
    <w:p w14:paraId="2806F6D7"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Deutsch:</w:t>
      </w:r>
      <w:r w:rsidRPr="008D099B">
        <w:rPr>
          <w:rFonts w:eastAsia="Times New Roman"/>
          <w:lang w:eastAsia="de-DE"/>
        </w:rPr>
        <w:t xml:space="preserve"> Und die Emori, die auf jenem Gebirge wohnten, zogen aus, euch entgegen, und verfolgten euch, wie die Bienen tun, und zersprengten euch in Se'ir bis nach Chorma.</w:t>
      </w:r>
    </w:p>
    <w:p w14:paraId="2E386C0D" w14:textId="77777777" w:rsidR="008D099B" w:rsidRPr="008D099B" w:rsidRDefault="004F5CEB" w:rsidP="008D099B">
      <w:pPr>
        <w:spacing w:after="0" w:line="240" w:lineRule="auto"/>
        <w:rPr>
          <w:rFonts w:eastAsia="Times New Roman"/>
          <w:lang w:eastAsia="de-DE"/>
        </w:rPr>
      </w:pPr>
      <w:r>
        <w:rPr>
          <w:rFonts w:eastAsia="Times New Roman"/>
          <w:noProof/>
          <w:lang w:eastAsia="de-DE"/>
        </w:rPr>
        <w:pict w14:anchorId="3E9A8259">
          <v:rect id="_x0000_i1068" style="width:0;height:1.5pt" o:hralign="center" o:hrstd="t" o:hr="t" fillcolor="#a0a0a0" stroked="f"/>
        </w:pict>
      </w:r>
    </w:p>
    <w:p w14:paraId="4595EF50" w14:textId="63C38F26"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Kommentar:</w:t>
      </w:r>
      <w:r w:rsidRPr="008D099B">
        <w:rPr>
          <w:rFonts w:eastAsia="Times New Roman"/>
          <w:lang w:eastAsia="de-DE"/>
        </w:rPr>
        <w:t xml:space="preserve"> </w:t>
      </w:r>
      <w:r w:rsidRPr="008D099B">
        <w:rPr>
          <w:rFonts w:eastAsia="Times New Roman"/>
          <w:b/>
          <w:bCs/>
          <w:rtl/>
          <w:lang w:eastAsia="de-DE"/>
        </w:rPr>
        <w:t>וַיֵּצֵא</w:t>
      </w:r>
      <w:r w:rsidRPr="008D099B">
        <w:rPr>
          <w:rFonts w:eastAsia="Times New Roman"/>
          <w:rtl/>
          <w:lang w:eastAsia="de-DE"/>
        </w:rPr>
        <w:t xml:space="preserve"> </w:t>
      </w:r>
      <w:r w:rsidRPr="008D099B">
        <w:rPr>
          <w:rFonts w:eastAsia="Times New Roman"/>
          <w:lang w:eastAsia="de-DE"/>
        </w:rPr>
        <w:t xml:space="preserve">ist Qal Imperfekt consecutivum, 3. Person maskulin Singular von </w:t>
      </w:r>
      <w:r w:rsidRPr="008D099B">
        <w:rPr>
          <w:rFonts w:eastAsia="Times New Roman"/>
          <w:rtl/>
          <w:lang w:eastAsia="de-DE"/>
        </w:rPr>
        <w:t>יצא</w:t>
      </w:r>
      <w:r w:rsidRPr="008D099B">
        <w:rPr>
          <w:rFonts w:eastAsia="Times New Roman"/>
          <w:lang w:eastAsia="de-DE"/>
        </w:rPr>
        <w:t xml:space="preserve"> („hinausgehen, ausziehen") mit Waw. </w:t>
      </w:r>
      <w:r w:rsidRPr="008D099B">
        <w:rPr>
          <w:rFonts w:eastAsia="Times New Roman"/>
          <w:b/>
          <w:bCs/>
          <w:rtl/>
          <w:lang w:eastAsia="de-DE"/>
        </w:rPr>
        <w:t>הָאֱמֹרִי</w:t>
      </w:r>
      <w:r w:rsidRPr="008D099B">
        <w:rPr>
          <w:rFonts w:eastAsia="Times New Roman"/>
          <w:rtl/>
          <w:lang w:eastAsia="de-DE"/>
        </w:rPr>
        <w:t xml:space="preserve"> </w:t>
      </w:r>
      <w:r w:rsidRPr="008D099B">
        <w:rPr>
          <w:rFonts w:eastAsia="Times New Roman"/>
          <w:lang w:eastAsia="de-DE"/>
        </w:rPr>
        <w:t xml:space="preserve">ist das </w:t>
      </w:r>
      <w:r w:rsidR="00C13523">
        <w:rPr>
          <w:rFonts w:eastAsia="Times New Roman"/>
          <w:lang w:eastAsia="de-DE"/>
        </w:rPr>
        <w:t>Gentilicum</w:t>
      </w:r>
      <w:r w:rsidRPr="008D099B">
        <w:rPr>
          <w:rFonts w:eastAsia="Times New Roman"/>
          <w:lang w:eastAsia="de-DE"/>
        </w:rPr>
        <w:t xml:space="preserve"> „der Amoriter" als kollektives Subjekt. </w:t>
      </w:r>
      <w:r w:rsidRPr="008D099B">
        <w:rPr>
          <w:rFonts w:eastAsia="Times New Roman"/>
          <w:b/>
          <w:bCs/>
          <w:rtl/>
          <w:lang w:eastAsia="de-DE"/>
        </w:rPr>
        <w:t>הַיֹּשֵׁב בָּהָר הַהוּא</w:t>
      </w:r>
      <w:r w:rsidRPr="008D099B">
        <w:rPr>
          <w:rFonts w:eastAsia="Times New Roman"/>
          <w:rtl/>
          <w:lang w:eastAsia="de-DE"/>
        </w:rPr>
        <w:t xml:space="preserve"> </w:t>
      </w:r>
      <w:r w:rsidRPr="008D099B">
        <w:rPr>
          <w:rFonts w:eastAsia="Times New Roman"/>
          <w:lang w:eastAsia="de-DE"/>
        </w:rPr>
        <w:t xml:space="preserve">ist ein attributives Partizip: </w:t>
      </w:r>
      <w:r w:rsidRPr="008D099B">
        <w:rPr>
          <w:rFonts w:eastAsia="Times New Roman"/>
          <w:b/>
          <w:bCs/>
          <w:rtl/>
          <w:lang w:eastAsia="de-DE"/>
        </w:rPr>
        <w:t>הַיֹּשֵׁב</w:t>
      </w:r>
      <w:r w:rsidRPr="008D099B">
        <w:rPr>
          <w:rFonts w:eastAsia="Times New Roman"/>
          <w:rtl/>
          <w:lang w:eastAsia="de-DE"/>
        </w:rPr>
        <w:t xml:space="preserve"> </w:t>
      </w:r>
      <w:r w:rsidRPr="008D099B">
        <w:rPr>
          <w:rFonts w:eastAsia="Times New Roman"/>
          <w:lang w:eastAsia="de-DE"/>
        </w:rPr>
        <w:t xml:space="preserve">(Qal Partizip aktiv von </w:t>
      </w:r>
      <w:r w:rsidRPr="008D099B">
        <w:rPr>
          <w:rFonts w:eastAsia="Times New Roman"/>
          <w:rtl/>
          <w:lang w:eastAsia="de-DE"/>
        </w:rPr>
        <w:t>ישׁב</w:t>
      </w:r>
      <w:r w:rsidRPr="008D099B">
        <w:rPr>
          <w:rFonts w:eastAsia="Times New Roman"/>
          <w:lang w:eastAsia="de-DE"/>
        </w:rPr>
        <w:t xml:space="preserve"> „wohnen" mit Artikel), </w:t>
      </w:r>
      <w:r w:rsidRPr="008D099B">
        <w:rPr>
          <w:rFonts w:eastAsia="Times New Roman"/>
          <w:b/>
          <w:bCs/>
          <w:rtl/>
          <w:lang w:eastAsia="de-DE"/>
        </w:rPr>
        <w:t>בָּהָר הַהוּא</w:t>
      </w:r>
      <w:r w:rsidRPr="008D099B">
        <w:rPr>
          <w:rFonts w:eastAsia="Times New Roman"/>
          <w:rtl/>
          <w:lang w:eastAsia="de-DE"/>
        </w:rPr>
        <w:t xml:space="preserve"> </w:t>
      </w:r>
      <w:r w:rsidRPr="008D099B">
        <w:rPr>
          <w:rFonts w:eastAsia="Times New Roman"/>
          <w:lang w:eastAsia="de-DE"/>
        </w:rPr>
        <w:t xml:space="preserve">(Präposition </w:t>
      </w:r>
      <w:r w:rsidRPr="008D099B">
        <w:rPr>
          <w:rFonts w:eastAsia="Times New Roman"/>
          <w:b/>
          <w:bCs/>
          <w:rtl/>
          <w:lang w:eastAsia="de-DE"/>
        </w:rPr>
        <w:t>בְּ</w:t>
      </w:r>
      <w:r w:rsidRPr="008D099B">
        <w:rPr>
          <w:rFonts w:eastAsia="Times New Roman"/>
          <w:rtl/>
          <w:lang w:eastAsia="de-DE"/>
        </w:rPr>
        <w:t xml:space="preserve"> </w:t>
      </w:r>
      <w:r w:rsidRPr="008D099B">
        <w:rPr>
          <w:rFonts w:eastAsia="Times New Roman"/>
          <w:lang w:eastAsia="de-DE"/>
        </w:rPr>
        <w:t xml:space="preserve">mit </w:t>
      </w:r>
      <w:r w:rsidRPr="008D099B">
        <w:rPr>
          <w:rFonts w:eastAsia="Times New Roman"/>
          <w:b/>
          <w:bCs/>
          <w:rtl/>
          <w:lang w:eastAsia="de-DE"/>
        </w:rPr>
        <w:t>הָהָר</w:t>
      </w:r>
      <w:r w:rsidRPr="008D099B">
        <w:rPr>
          <w:rFonts w:eastAsia="Times New Roman"/>
          <w:rtl/>
          <w:lang w:eastAsia="de-DE"/>
        </w:rPr>
        <w:t xml:space="preserve"> </w:t>
      </w:r>
      <w:r w:rsidRPr="008D099B">
        <w:rPr>
          <w:rFonts w:eastAsia="Times New Roman"/>
          <w:lang w:eastAsia="de-DE"/>
        </w:rPr>
        <w:t xml:space="preserve">„das Gebirge" und Demonstrativpronomen </w:t>
      </w:r>
      <w:r w:rsidRPr="008D099B">
        <w:rPr>
          <w:rFonts w:eastAsia="Times New Roman"/>
          <w:b/>
          <w:bCs/>
          <w:rtl/>
          <w:lang w:eastAsia="de-DE"/>
        </w:rPr>
        <w:t>הַהוּא</w:t>
      </w:r>
      <w:r w:rsidRPr="008D099B">
        <w:rPr>
          <w:rFonts w:eastAsia="Times New Roman"/>
          <w:rtl/>
          <w:lang w:eastAsia="de-DE"/>
        </w:rPr>
        <w:t xml:space="preserve"> </w:t>
      </w:r>
      <w:r w:rsidRPr="008D099B">
        <w:rPr>
          <w:rFonts w:eastAsia="Times New Roman"/>
          <w:lang w:eastAsia="de-DE"/>
        </w:rPr>
        <w:t xml:space="preserve">„jenes"). </w:t>
      </w:r>
      <w:r w:rsidRPr="008D099B">
        <w:rPr>
          <w:rFonts w:eastAsia="Times New Roman"/>
          <w:b/>
          <w:bCs/>
          <w:rtl/>
          <w:lang w:eastAsia="de-DE"/>
        </w:rPr>
        <w:t>לִקְרַאתְכֶם</w:t>
      </w:r>
      <w:r w:rsidRPr="008D099B">
        <w:rPr>
          <w:rFonts w:eastAsia="Times New Roman"/>
          <w:rtl/>
          <w:lang w:eastAsia="de-DE"/>
        </w:rPr>
        <w:t xml:space="preserve"> </w:t>
      </w:r>
      <w:r w:rsidRPr="008D099B">
        <w:rPr>
          <w:rFonts w:eastAsia="Times New Roman"/>
          <w:lang w:eastAsia="de-DE"/>
        </w:rPr>
        <w:t xml:space="preserve">ist </w:t>
      </w:r>
      <w:r w:rsidRPr="008D099B">
        <w:rPr>
          <w:rFonts w:eastAsia="Times New Roman"/>
          <w:b/>
          <w:bCs/>
          <w:rtl/>
          <w:lang w:eastAsia="de-DE"/>
        </w:rPr>
        <w:t>לְ</w:t>
      </w:r>
      <w:r w:rsidRPr="008D099B">
        <w:rPr>
          <w:rFonts w:eastAsia="Times New Roman"/>
          <w:rtl/>
          <w:lang w:eastAsia="de-DE"/>
        </w:rPr>
        <w:t xml:space="preserve"> </w:t>
      </w:r>
      <w:r w:rsidRPr="008D099B">
        <w:rPr>
          <w:rFonts w:eastAsia="Times New Roman"/>
          <w:lang w:eastAsia="de-DE"/>
        </w:rPr>
        <w:t xml:space="preserve">mit </w:t>
      </w:r>
      <w:r w:rsidRPr="008D099B">
        <w:rPr>
          <w:rFonts w:eastAsia="Times New Roman"/>
          <w:b/>
          <w:bCs/>
          <w:rtl/>
          <w:lang w:eastAsia="de-DE"/>
        </w:rPr>
        <w:t>קִרְאַת</w:t>
      </w:r>
      <w:r w:rsidRPr="008D099B">
        <w:rPr>
          <w:rFonts w:eastAsia="Times New Roman"/>
          <w:rtl/>
          <w:lang w:eastAsia="de-DE"/>
        </w:rPr>
        <w:t xml:space="preserve"> </w:t>
      </w:r>
      <w:r w:rsidRPr="008D099B">
        <w:rPr>
          <w:rFonts w:eastAsia="Times New Roman"/>
          <w:lang w:eastAsia="de-DE"/>
        </w:rPr>
        <w:t xml:space="preserve">(„Begegnung, Entgegenkommen") im </w:t>
      </w:r>
      <w:r w:rsidR="0032647F">
        <w:rPr>
          <w:rFonts w:eastAsia="Times New Roman"/>
          <w:lang w:eastAsia="de-DE"/>
        </w:rPr>
        <w:t>Construct</w:t>
      </w:r>
      <w:r w:rsidRPr="008D099B">
        <w:rPr>
          <w:rFonts w:eastAsia="Times New Roman"/>
          <w:lang w:eastAsia="de-DE"/>
        </w:rPr>
        <w:t xml:space="preserve"> und Suffix 2. Person maskulin Plural („euch entgegen").</w:t>
      </w:r>
    </w:p>
    <w:p w14:paraId="240A9992"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rtl/>
          <w:lang w:eastAsia="de-DE"/>
        </w:rPr>
        <w:t>וַיִּרְדְּפוּ אֶתְכֶם</w:t>
      </w:r>
      <w:r w:rsidRPr="008D099B">
        <w:rPr>
          <w:rFonts w:eastAsia="Times New Roman"/>
          <w:rtl/>
          <w:lang w:eastAsia="de-DE"/>
        </w:rPr>
        <w:t xml:space="preserve"> </w:t>
      </w:r>
      <w:r w:rsidRPr="008D099B">
        <w:rPr>
          <w:rFonts w:eastAsia="Times New Roman"/>
          <w:lang w:eastAsia="de-DE"/>
        </w:rPr>
        <w:t xml:space="preserve">ist </w:t>
      </w:r>
      <w:r w:rsidRPr="008D099B">
        <w:rPr>
          <w:rFonts w:eastAsia="Times New Roman"/>
          <w:b/>
          <w:bCs/>
          <w:rtl/>
          <w:lang w:eastAsia="de-DE"/>
        </w:rPr>
        <w:t>וַיִּרְדְּפוּ</w:t>
      </w:r>
      <w:r w:rsidRPr="008D099B">
        <w:rPr>
          <w:rFonts w:eastAsia="Times New Roman"/>
          <w:rtl/>
          <w:lang w:eastAsia="de-DE"/>
        </w:rPr>
        <w:t xml:space="preserve"> </w:t>
      </w:r>
      <w:r w:rsidRPr="008D099B">
        <w:rPr>
          <w:rFonts w:eastAsia="Times New Roman"/>
          <w:lang w:eastAsia="de-DE"/>
        </w:rPr>
        <w:t xml:space="preserve">(Qal Imperfekt consecutivum, 3. Person maskulin Plural von </w:t>
      </w:r>
      <w:r w:rsidRPr="008D099B">
        <w:rPr>
          <w:rFonts w:eastAsia="Times New Roman"/>
          <w:rtl/>
          <w:lang w:eastAsia="de-DE"/>
        </w:rPr>
        <w:t>רדף</w:t>
      </w:r>
      <w:r w:rsidRPr="008D099B">
        <w:rPr>
          <w:rFonts w:eastAsia="Times New Roman"/>
          <w:lang w:eastAsia="de-DE"/>
        </w:rPr>
        <w:t xml:space="preserve"> „verfolgen, nachjagen" mit Waw) und </w:t>
      </w:r>
      <w:r w:rsidRPr="008D099B">
        <w:rPr>
          <w:rFonts w:eastAsia="Times New Roman"/>
          <w:b/>
          <w:bCs/>
          <w:rtl/>
          <w:lang w:eastAsia="de-DE"/>
        </w:rPr>
        <w:t>אֶתְכֶם</w:t>
      </w:r>
      <w:r w:rsidRPr="008D099B">
        <w:rPr>
          <w:rFonts w:eastAsia="Times New Roman"/>
          <w:rtl/>
          <w:lang w:eastAsia="de-DE"/>
        </w:rPr>
        <w:t xml:space="preserve"> </w:t>
      </w:r>
      <w:r w:rsidRPr="008D099B">
        <w:rPr>
          <w:rFonts w:eastAsia="Times New Roman"/>
          <w:lang w:eastAsia="de-DE"/>
        </w:rPr>
        <w:t>(Objektpartikel mit Suffix 2. Person maskulin Plural „euch").</w:t>
      </w:r>
    </w:p>
    <w:p w14:paraId="45B230C8"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rtl/>
          <w:lang w:eastAsia="de-DE"/>
        </w:rPr>
        <w:t>כַּאֲשֶׁר תַּעֲשֶׂינָה הַדְּבֹרִים</w:t>
      </w:r>
      <w:r w:rsidRPr="008D099B">
        <w:rPr>
          <w:rFonts w:eastAsia="Times New Roman"/>
          <w:rtl/>
          <w:lang w:eastAsia="de-DE"/>
        </w:rPr>
        <w:t xml:space="preserve"> </w:t>
      </w:r>
      <w:r w:rsidRPr="008D099B">
        <w:rPr>
          <w:rFonts w:eastAsia="Times New Roman"/>
          <w:lang w:eastAsia="de-DE"/>
        </w:rPr>
        <w:t xml:space="preserve">ist ein Vergleichssatz: </w:t>
      </w:r>
      <w:r w:rsidRPr="008D099B">
        <w:rPr>
          <w:rFonts w:eastAsia="Times New Roman"/>
          <w:b/>
          <w:bCs/>
          <w:rtl/>
          <w:lang w:eastAsia="de-DE"/>
        </w:rPr>
        <w:t>כַּאֲשֶׁר</w:t>
      </w:r>
      <w:r w:rsidRPr="008D099B">
        <w:rPr>
          <w:rFonts w:eastAsia="Times New Roman"/>
          <w:rtl/>
          <w:lang w:eastAsia="de-DE"/>
        </w:rPr>
        <w:t xml:space="preserve"> </w:t>
      </w:r>
      <w:r w:rsidRPr="008D099B">
        <w:rPr>
          <w:rFonts w:eastAsia="Times New Roman"/>
          <w:lang w:eastAsia="de-DE"/>
        </w:rPr>
        <w:t xml:space="preserve">(„wie"), </w:t>
      </w:r>
      <w:r w:rsidRPr="008D099B">
        <w:rPr>
          <w:rFonts w:eastAsia="Times New Roman"/>
          <w:b/>
          <w:bCs/>
          <w:rtl/>
          <w:lang w:eastAsia="de-DE"/>
        </w:rPr>
        <w:t>תַּעֲשֶׂינָה</w:t>
      </w:r>
      <w:r w:rsidRPr="008D099B">
        <w:rPr>
          <w:rFonts w:eastAsia="Times New Roman"/>
          <w:rtl/>
          <w:lang w:eastAsia="de-DE"/>
        </w:rPr>
        <w:t xml:space="preserve"> </w:t>
      </w:r>
      <w:r w:rsidRPr="008D099B">
        <w:rPr>
          <w:rFonts w:eastAsia="Times New Roman"/>
          <w:lang w:eastAsia="de-DE"/>
        </w:rPr>
        <w:t xml:space="preserve">(Qal Imperfekt, 3. Person feminin Plural von </w:t>
      </w:r>
      <w:r w:rsidRPr="008D099B">
        <w:rPr>
          <w:rFonts w:eastAsia="Times New Roman"/>
          <w:rtl/>
          <w:lang w:eastAsia="de-DE"/>
        </w:rPr>
        <w:t>עשׂה</w:t>
      </w:r>
      <w:r w:rsidRPr="008D099B">
        <w:rPr>
          <w:rFonts w:eastAsia="Times New Roman"/>
          <w:lang w:eastAsia="de-DE"/>
        </w:rPr>
        <w:t xml:space="preserve"> „tun, machen"), </w:t>
      </w:r>
      <w:r w:rsidRPr="008D099B">
        <w:rPr>
          <w:rFonts w:eastAsia="Times New Roman"/>
          <w:b/>
          <w:bCs/>
          <w:rtl/>
          <w:lang w:eastAsia="de-DE"/>
        </w:rPr>
        <w:t>הַדְּבֹרִים</w:t>
      </w:r>
      <w:r w:rsidRPr="008D099B">
        <w:rPr>
          <w:rFonts w:eastAsia="Times New Roman"/>
          <w:rtl/>
          <w:lang w:eastAsia="de-DE"/>
        </w:rPr>
        <w:t xml:space="preserve"> </w:t>
      </w:r>
      <w:r w:rsidRPr="008D099B">
        <w:rPr>
          <w:rFonts w:eastAsia="Times New Roman"/>
          <w:lang w:eastAsia="de-DE"/>
        </w:rPr>
        <w:t xml:space="preserve">(feminin Plural von </w:t>
      </w:r>
      <w:r w:rsidRPr="008D099B">
        <w:rPr>
          <w:rFonts w:eastAsia="Times New Roman"/>
          <w:b/>
          <w:bCs/>
          <w:rtl/>
          <w:lang w:eastAsia="de-DE"/>
        </w:rPr>
        <w:t>דְּבוֹרָה</w:t>
      </w:r>
      <w:r w:rsidRPr="008D099B">
        <w:rPr>
          <w:rFonts w:eastAsia="Times New Roman"/>
          <w:rtl/>
          <w:lang w:eastAsia="de-DE"/>
        </w:rPr>
        <w:t xml:space="preserve"> </w:t>
      </w:r>
      <w:r w:rsidRPr="008D099B">
        <w:rPr>
          <w:rFonts w:eastAsia="Times New Roman"/>
          <w:lang w:eastAsia="de-DE"/>
        </w:rPr>
        <w:t xml:space="preserve">„Biene" mit </w:t>
      </w:r>
      <w:r w:rsidRPr="008D099B">
        <w:rPr>
          <w:rFonts w:eastAsia="Times New Roman"/>
          <w:lang w:eastAsia="de-DE"/>
        </w:rPr>
        <w:lastRenderedPageBreak/>
        <w:t xml:space="preserve">Artikel). Die feminine Pluralform und das entsprechende Verb zeigen grammatische Kongruenz. Der Vergleich mit Bienen illustriert die aggressive, </w:t>
      </w:r>
      <w:proofErr w:type="spellStart"/>
      <w:r w:rsidRPr="008D099B">
        <w:rPr>
          <w:rFonts w:eastAsia="Times New Roman"/>
          <w:lang w:eastAsia="de-DE"/>
        </w:rPr>
        <w:t>schwarmende</w:t>
      </w:r>
      <w:proofErr w:type="spellEnd"/>
      <w:r w:rsidRPr="008D099B">
        <w:rPr>
          <w:rFonts w:eastAsia="Times New Roman"/>
          <w:lang w:eastAsia="de-DE"/>
        </w:rPr>
        <w:t xml:space="preserve"> Verfolgung der Feinde.</w:t>
      </w:r>
    </w:p>
    <w:p w14:paraId="42639008" w14:textId="77777777" w:rsidR="005E1580" w:rsidRDefault="008D099B" w:rsidP="005E1580">
      <w:pPr>
        <w:pStyle w:val="font-claude-response-body"/>
      </w:pPr>
      <w:r w:rsidRPr="008D099B">
        <w:rPr>
          <w:b/>
          <w:bCs/>
          <w:rtl/>
        </w:rPr>
        <w:t>וַיַּכְּתוּ אֶתְכֶם</w:t>
      </w:r>
      <w:r w:rsidRPr="008D099B">
        <w:rPr>
          <w:rtl/>
        </w:rPr>
        <w:t xml:space="preserve"> </w:t>
      </w:r>
      <w:r w:rsidRPr="008D099B">
        <w:t xml:space="preserve">ist </w:t>
      </w:r>
      <w:r w:rsidRPr="008D099B">
        <w:rPr>
          <w:b/>
          <w:bCs/>
          <w:rtl/>
        </w:rPr>
        <w:t>וַיַּכְּתוּ</w:t>
      </w:r>
      <w:r w:rsidRPr="008D099B">
        <w:rPr>
          <w:rtl/>
        </w:rPr>
        <w:t xml:space="preserve"> </w:t>
      </w:r>
      <w:r w:rsidRPr="008D099B">
        <w:t xml:space="preserve">(Hif'il Imperfekt consecutivum, 3. Person maskulin Plural von </w:t>
      </w:r>
      <w:r w:rsidRPr="008D099B">
        <w:rPr>
          <w:rtl/>
        </w:rPr>
        <w:t>כתת</w:t>
      </w:r>
      <w:r w:rsidRPr="008D099B">
        <w:t xml:space="preserve"> „zerschlagen, zerstoßen" mit Waw) und </w:t>
      </w:r>
      <w:r w:rsidRPr="008D099B">
        <w:rPr>
          <w:b/>
          <w:bCs/>
          <w:rtl/>
        </w:rPr>
        <w:t>אֶתְכֶם</w:t>
      </w:r>
      <w:r w:rsidRPr="008D099B">
        <w:rPr>
          <w:rtl/>
        </w:rPr>
        <w:t xml:space="preserve"> </w:t>
      </w:r>
      <w:r w:rsidRPr="008D099B">
        <w:t>als Objekt. Die Hif'il-Form verstärkt die Bedeutung.</w:t>
      </w:r>
      <w:r w:rsidR="005E1580">
        <w:t xml:space="preserve"> </w:t>
      </w:r>
    </w:p>
    <w:p w14:paraId="6A821873" w14:textId="7E290566" w:rsidR="005E1580" w:rsidRDefault="005E1580" w:rsidP="005E1580">
      <w:pPr>
        <w:pStyle w:val="font-claude-response-body"/>
      </w:pPr>
      <w:r>
        <w:rPr>
          <w:rStyle w:val="Fett"/>
          <w:rFonts w:eastAsiaTheme="majorEastAsia"/>
        </w:rPr>
        <w:t>Diskussion</w:t>
      </w:r>
      <w:r>
        <w:t>: Es gibt zwei Möglichkeiten:</w:t>
      </w:r>
    </w:p>
    <w:p w14:paraId="1BF0E1C6" w14:textId="77777777" w:rsidR="005E1580" w:rsidRDefault="005E1580" w:rsidP="005E1580">
      <w:pPr>
        <w:pStyle w:val="whitespace-normal"/>
        <w:numPr>
          <w:ilvl w:val="0"/>
          <w:numId w:val="30"/>
        </w:numPr>
      </w:pPr>
      <w:r>
        <w:rPr>
          <w:rStyle w:val="Fett"/>
          <w:rFonts w:eastAsiaTheme="majorEastAsia"/>
          <w:rtl/>
        </w:rPr>
        <w:t>כתת</w:t>
      </w:r>
      <w:r>
        <w:rPr>
          <w:rtl/>
        </w:rPr>
        <w:t xml:space="preserve"> </w:t>
      </w:r>
      <w:r>
        <w:t>(zerschlagen, zerstoßen) - deine Wahl</w:t>
      </w:r>
    </w:p>
    <w:p w14:paraId="03123549" w14:textId="77777777" w:rsidR="005E1580" w:rsidRDefault="005E1580" w:rsidP="005E1580">
      <w:pPr>
        <w:pStyle w:val="whitespace-normal"/>
        <w:numPr>
          <w:ilvl w:val="0"/>
          <w:numId w:val="30"/>
        </w:numPr>
      </w:pPr>
      <w:r>
        <w:rPr>
          <w:rStyle w:val="Fett"/>
          <w:rFonts w:eastAsiaTheme="majorEastAsia"/>
          <w:rtl/>
        </w:rPr>
        <w:t>כות</w:t>
      </w:r>
      <w:r>
        <w:rPr>
          <w:rtl/>
        </w:rPr>
        <w:t xml:space="preserve"> </w:t>
      </w:r>
      <w:r>
        <w:t xml:space="preserve">(eine Variante von </w:t>
      </w:r>
      <w:r>
        <w:rPr>
          <w:rtl/>
        </w:rPr>
        <w:t>נכה</w:t>
      </w:r>
      <w:r>
        <w:t xml:space="preserve"> "schlagen")</w:t>
      </w:r>
    </w:p>
    <w:p w14:paraId="6C92E884" w14:textId="3E435E02" w:rsidR="005E1580" w:rsidRDefault="005E1580" w:rsidP="005E1580">
      <w:pPr>
        <w:pStyle w:val="font-claude-response-body"/>
      </w:pPr>
      <w:r>
        <w:t xml:space="preserve">Die Form </w:t>
      </w:r>
      <w:r>
        <w:rPr>
          <w:rStyle w:val="Fett"/>
          <w:rFonts w:eastAsiaTheme="majorEastAsia"/>
          <w:rtl/>
        </w:rPr>
        <w:t>וַיַּכְּתוּ</w:t>
      </w:r>
      <w:r>
        <w:rPr>
          <w:rtl/>
        </w:rPr>
        <w:t xml:space="preserve"> </w:t>
      </w:r>
      <w:r>
        <w:t xml:space="preserve">mit </w:t>
      </w:r>
      <w:r w:rsidR="00A51E18">
        <w:t>Dagesch</w:t>
      </w:r>
      <w:r>
        <w:t xml:space="preserve"> forte im Kaf spricht für </w:t>
      </w:r>
      <w:r>
        <w:rPr>
          <w:rtl/>
        </w:rPr>
        <w:t>כתת</w:t>
      </w:r>
      <w:r>
        <w:t>.</w:t>
      </w:r>
    </w:p>
    <w:p w14:paraId="60065214" w14:textId="5AEEF63B"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lang w:eastAsia="de-DE"/>
        </w:rPr>
        <w:t xml:space="preserve"> </w:t>
      </w:r>
      <w:r w:rsidRPr="008D099B">
        <w:rPr>
          <w:rFonts w:eastAsia="Times New Roman"/>
          <w:b/>
          <w:bCs/>
          <w:rtl/>
          <w:lang w:eastAsia="de-DE"/>
        </w:rPr>
        <w:t>בְּשֵׂעִיר</w:t>
      </w:r>
      <w:r w:rsidRPr="008D099B">
        <w:rPr>
          <w:rFonts w:eastAsia="Times New Roman"/>
          <w:rtl/>
          <w:lang w:eastAsia="de-DE"/>
        </w:rPr>
        <w:t xml:space="preserve"> </w:t>
      </w:r>
      <w:r w:rsidRPr="008D099B">
        <w:rPr>
          <w:rFonts w:eastAsia="Times New Roman"/>
          <w:lang w:eastAsia="de-DE"/>
        </w:rPr>
        <w:t xml:space="preserve">ist Präposition </w:t>
      </w:r>
      <w:r w:rsidRPr="008D099B">
        <w:rPr>
          <w:rFonts w:eastAsia="Times New Roman"/>
          <w:b/>
          <w:bCs/>
          <w:rtl/>
          <w:lang w:eastAsia="de-DE"/>
        </w:rPr>
        <w:t>בְּ</w:t>
      </w:r>
      <w:r w:rsidRPr="008D099B">
        <w:rPr>
          <w:rFonts w:eastAsia="Times New Roman"/>
          <w:rtl/>
          <w:lang w:eastAsia="de-DE"/>
        </w:rPr>
        <w:t xml:space="preserve"> </w:t>
      </w:r>
      <w:r w:rsidRPr="008D099B">
        <w:rPr>
          <w:rFonts w:eastAsia="Times New Roman"/>
          <w:lang w:eastAsia="de-DE"/>
        </w:rPr>
        <w:t xml:space="preserve">mit dem Ortsnamen </w:t>
      </w:r>
      <w:r w:rsidRPr="008D099B">
        <w:rPr>
          <w:rFonts w:eastAsia="Times New Roman"/>
          <w:b/>
          <w:bCs/>
          <w:rtl/>
          <w:lang w:eastAsia="de-DE"/>
        </w:rPr>
        <w:t>שֵׂעִיר</w:t>
      </w:r>
      <w:r w:rsidRPr="008D099B">
        <w:rPr>
          <w:rFonts w:eastAsia="Times New Roman"/>
          <w:rtl/>
          <w:lang w:eastAsia="de-DE"/>
        </w:rPr>
        <w:t xml:space="preserve"> </w:t>
      </w:r>
      <w:r w:rsidRPr="008D099B">
        <w:rPr>
          <w:rFonts w:eastAsia="Times New Roman"/>
          <w:lang w:eastAsia="de-DE"/>
        </w:rPr>
        <w:t xml:space="preserve">(„Seir"), einem Gebirge südöstlich des Toten Meeres. </w:t>
      </w:r>
      <w:r w:rsidRPr="008D099B">
        <w:rPr>
          <w:rFonts w:eastAsia="Times New Roman"/>
          <w:b/>
          <w:bCs/>
          <w:rtl/>
          <w:lang w:eastAsia="de-DE"/>
        </w:rPr>
        <w:t>עַד־חָרְמָה</w:t>
      </w:r>
      <w:r w:rsidRPr="008D099B">
        <w:rPr>
          <w:rFonts w:eastAsia="Times New Roman"/>
          <w:rtl/>
          <w:lang w:eastAsia="de-DE"/>
        </w:rPr>
        <w:t xml:space="preserve"> </w:t>
      </w:r>
      <w:r w:rsidRPr="008D099B">
        <w:rPr>
          <w:rFonts w:eastAsia="Times New Roman"/>
          <w:lang w:eastAsia="de-DE"/>
        </w:rPr>
        <w:t xml:space="preserve">ist </w:t>
      </w:r>
      <w:r w:rsidRPr="008D099B">
        <w:rPr>
          <w:rFonts w:eastAsia="Times New Roman"/>
          <w:b/>
          <w:bCs/>
          <w:rtl/>
          <w:lang w:eastAsia="de-DE"/>
        </w:rPr>
        <w:t>עַד</w:t>
      </w:r>
      <w:r w:rsidRPr="008D099B">
        <w:rPr>
          <w:rFonts w:eastAsia="Times New Roman"/>
          <w:rtl/>
          <w:lang w:eastAsia="de-DE"/>
        </w:rPr>
        <w:t xml:space="preserve"> </w:t>
      </w:r>
      <w:r w:rsidRPr="008D099B">
        <w:rPr>
          <w:rFonts w:eastAsia="Times New Roman"/>
          <w:lang w:eastAsia="de-DE"/>
        </w:rPr>
        <w:t xml:space="preserve">(„bis") mit dem Ortsnamen </w:t>
      </w:r>
      <w:r w:rsidRPr="008D099B">
        <w:rPr>
          <w:rFonts w:eastAsia="Times New Roman"/>
          <w:b/>
          <w:bCs/>
          <w:rtl/>
          <w:lang w:eastAsia="de-DE"/>
        </w:rPr>
        <w:t>חָרְמָה</w:t>
      </w:r>
      <w:r w:rsidRPr="008D099B">
        <w:rPr>
          <w:rFonts w:eastAsia="Times New Roman"/>
          <w:rtl/>
          <w:lang w:eastAsia="de-DE"/>
        </w:rPr>
        <w:t xml:space="preserve"> </w:t>
      </w:r>
      <w:r w:rsidRPr="008D099B">
        <w:rPr>
          <w:rFonts w:eastAsia="Times New Roman"/>
          <w:lang w:eastAsia="de-DE"/>
        </w:rPr>
        <w:t>(„Horma"), der die südliche Grenze der Niederlage markiert.</w:t>
      </w:r>
    </w:p>
    <w:p w14:paraId="6D87B8E8" w14:textId="797DA25E"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Die LXX</w:t>
      </w:r>
      <w:r w:rsidRPr="008D099B">
        <w:rPr>
          <w:rFonts w:eastAsia="Times New Roman"/>
          <w:lang w:eastAsia="de-DE"/>
        </w:rPr>
        <w:t xml:space="preserve"> </w:t>
      </w:r>
      <w:r w:rsidR="00D936E2">
        <w:t>übersetzt „</w:t>
      </w:r>
      <w:r w:rsidR="00D936E2">
        <w:rPr>
          <w:rtl/>
        </w:rPr>
        <w:t>כַּאֲשֶׁר תַּעֲשֶׂינָה הַדְּבֹרִים</w:t>
      </w:r>
      <w:r w:rsidR="00D936E2">
        <w:t>" (wie die Bienen es tun) mit „</w:t>
      </w:r>
      <w:proofErr w:type="spellStart"/>
      <w:r w:rsidR="00D936E2">
        <w:t>ὡς</w:t>
      </w:r>
      <w:proofErr w:type="spellEnd"/>
      <w:r w:rsidR="00D936E2">
        <w:t xml:space="preserve"> </w:t>
      </w:r>
      <w:proofErr w:type="spellStart"/>
      <w:r w:rsidR="00D936E2">
        <w:t>εἰ</w:t>
      </w:r>
      <w:proofErr w:type="spellEnd"/>
      <w:r w:rsidR="00D936E2">
        <w:t xml:space="preserve"> π</w:t>
      </w:r>
      <w:proofErr w:type="spellStart"/>
      <w:r w:rsidR="00D936E2">
        <w:t>οιήσ</w:t>
      </w:r>
      <w:proofErr w:type="spellEnd"/>
      <w:r w:rsidR="00D936E2">
        <w:t xml:space="preserve">αισαν αἱ </w:t>
      </w:r>
      <w:proofErr w:type="spellStart"/>
      <w:r w:rsidR="00D936E2">
        <w:t>μέλισσ</w:t>
      </w:r>
      <w:proofErr w:type="spellEnd"/>
      <w:r w:rsidR="00D936E2">
        <w:t>αι" (wie die Bienen es tun würden), und übersetzt „</w:t>
      </w:r>
      <w:r w:rsidR="00D936E2">
        <w:rPr>
          <w:rtl/>
        </w:rPr>
        <w:t>חָרְמָה</w:t>
      </w:r>
      <w:r w:rsidR="00D936E2">
        <w:t>" (Horma) mit „</w:t>
      </w:r>
      <w:proofErr w:type="spellStart"/>
      <w:r w:rsidR="00D936E2">
        <w:t>Ἑρμά</w:t>
      </w:r>
      <w:proofErr w:type="spellEnd"/>
      <w:r w:rsidR="00D936E2">
        <w:t>" (Herma).</w:t>
      </w:r>
    </w:p>
    <w:p w14:paraId="0ACD8EDA"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lang w:eastAsia="de-DE"/>
        </w:rPr>
        <w:t xml:space="preserve">Die Satzstruktur besteht aus vier koordinierten Verben mit Waw consecutivum: (1) </w:t>
      </w:r>
      <w:r w:rsidRPr="008D099B">
        <w:rPr>
          <w:rFonts w:eastAsia="Times New Roman"/>
          <w:b/>
          <w:bCs/>
          <w:rtl/>
          <w:lang w:eastAsia="de-DE"/>
        </w:rPr>
        <w:t>וַיֵּצֵא הָאֱמֹרִי הַיֹּשֵׁב בָּהָר הַהוּא לִקְרַאתְכֶם</w:t>
      </w:r>
      <w:r w:rsidRPr="008D099B">
        <w:rPr>
          <w:rFonts w:eastAsia="Times New Roman"/>
          <w:lang w:eastAsia="de-DE"/>
        </w:rPr>
        <w:t xml:space="preserve">, (2) </w:t>
      </w:r>
      <w:r w:rsidRPr="008D099B">
        <w:rPr>
          <w:rFonts w:eastAsia="Times New Roman"/>
          <w:b/>
          <w:bCs/>
          <w:rtl/>
          <w:lang w:eastAsia="de-DE"/>
        </w:rPr>
        <w:t>וַיִּרְדְּפוּ אֶתְכֶם</w:t>
      </w:r>
      <w:r w:rsidRPr="008D099B">
        <w:rPr>
          <w:rFonts w:eastAsia="Times New Roman"/>
          <w:rtl/>
          <w:lang w:eastAsia="de-DE"/>
        </w:rPr>
        <w:t xml:space="preserve"> </w:t>
      </w:r>
      <w:r w:rsidRPr="008D099B">
        <w:rPr>
          <w:rFonts w:eastAsia="Times New Roman"/>
          <w:lang w:eastAsia="de-DE"/>
        </w:rPr>
        <w:t xml:space="preserve">mit Vergleichssatz </w:t>
      </w:r>
      <w:r w:rsidRPr="008D099B">
        <w:rPr>
          <w:rFonts w:eastAsia="Times New Roman"/>
          <w:b/>
          <w:bCs/>
          <w:rtl/>
          <w:lang w:eastAsia="de-DE"/>
        </w:rPr>
        <w:t>כַּאֲשֶׁר תַּעֲשֶׂינָה הַדְּבֹרִים</w:t>
      </w:r>
      <w:r w:rsidRPr="008D099B">
        <w:rPr>
          <w:rFonts w:eastAsia="Times New Roman"/>
          <w:lang w:eastAsia="de-DE"/>
        </w:rPr>
        <w:t xml:space="preserve">, (3) </w:t>
      </w:r>
      <w:r w:rsidRPr="008D099B">
        <w:rPr>
          <w:rFonts w:eastAsia="Times New Roman"/>
          <w:b/>
          <w:bCs/>
          <w:rtl/>
          <w:lang w:eastAsia="de-DE"/>
        </w:rPr>
        <w:t>וַיַּכְּתוּ אֶתְכֶם</w:t>
      </w:r>
      <w:r w:rsidRPr="008D099B">
        <w:rPr>
          <w:rFonts w:eastAsia="Times New Roman"/>
          <w:rtl/>
          <w:lang w:eastAsia="de-DE"/>
        </w:rPr>
        <w:t xml:space="preserve"> </w:t>
      </w:r>
      <w:r w:rsidRPr="008D099B">
        <w:rPr>
          <w:rFonts w:eastAsia="Times New Roman"/>
          <w:lang w:eastAsia="de-DE"/>
        </w:rPr>
        <w:t xml:space="preserve">mit zwei Ortsangaben </w:t>
      </w:r>
      <w:r w:rsidRPr="008D099B">
        <w:rPr>
          <w:rFonts w:eastAsia="Times New Roman"/>
          <w:b/>
          <w:bCs/>
          <w:rtl/>
          <w:lang w:eastAsia="de-DE"/>
        </w:rPr>
        <w:t>בְּשֵׂעִיר עַד־חָרְמָה</w:t>
      </w:r>
      <w:r w:rsidRPr="008D099B">
        <w:rPr>
          <w:rFonts w:eastAsia="Times New Roman"/>
          <w:lang w:eastAsia="de-DE"/>
        </w:rPr>
        <w:t>. Die narrative Sequenz beschreibt die militärische Katastrophe in dramatischer Weise.</w:t>
      </w:r>
    </w:p>
    <w:p w14:paraId="0AEDEA56"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lang w:eastAsia="de-DE"/>
        </w:rPr>
        <w:t>Der Vers schildert die vernichtende Niederlage der Israeliten. Der Vergleich mit Bienen betont die Wut und Unerbittlichkeit der Verfolgung. Die geografischen Angaben zeigen das Ausmaß der Flucht: von Seir bis Horma, eine erhebliche Distanz. Die Warnung JHWHs hat sich erfüllt.</w:t>
      </w:r>
    </w:p>
    <w:p w14:paraId="64438E00" w14:textId="77777777" w:rsidR="008D099B" w:rsidRPr="008D099B" w:rsidRDefault="008D099B" w:rsidP="008D099B">
      <w:pPr>
        <w:spacing w:before="100" w:beforeAutospacing="1" w:after="100" w:afterAutospacing="1" w:line="240" w:lineRule="auto"/>
        <w:outlineLvl w:val="1"/>
        <w:rPr>
          <w:rFonts w:eastAsia="Times New Roman"/>
          <w:b/>
          <w:bCs/>
          <w:sz w:val="36"/>
          <w:szCs w:val="36"/>
          <w:lang w:eastAsia="de-DE"/>
        </w:rPr>
      </w:pPr>
      <w:r w:rsidRPr="008D099B">
        <w:rPr>
          <w:rFonts w:eastAsia="Times New Roman"/>
          <w:b/>
          <w:bCs/>
          <w:sz w:val="36"/>
          <w:szCs w:val="36"/>
          <w:lang w:eastAsia="de-DE"/>
        </w:rPr>
        <w:t>Deuteronomium 1,45</w:t>
      </w:r>
    </w:p>
    <w:p w14:paraId="0EAB8F03"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Hebräisch:</w:t>
      </w:r>
      <w:r w:rsidRPr="008D099B">
        <w:rPr>
          <w:rFonts w:eastAsia="Times New Roman"/>
          <w:lang w:eastAsia="de-DE"/>
        </w:rPr>
        <w:t xml:space="preserve"> </w:t>
      </w:r>
      <w:r w:rsidRPr="008D099B">
        <w:rPr>
          <w:rFonts w:eastAsia="Times New Roman"/>
          <w:rtl/>
          <w:lang w:eastAsia="de-DE"/>
        </w:rPr>
        <w:t>וַתָּשֻׁ֥בוּ וַתִּבְכּ֖וּ לִפְנֵ֣י יְהוָ֑ה וְלֹֽא־שָׁמַ֤ע יְהוָה֙ בְּקֹ֣לְכֶ֔ם וְלֹ֥א הֶאֱזִ֖ין אֲלֵיכֶֽם׃</w:t>
      </w:r>
    </w:p>
    <w:p w14:paraId="669A26FA"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Deutsch:</w:t>
      </w:r>
      <w:r w:rsidRPr="008D099B">
        <w:rPr>
          <w:rFonts w:eastAsia="Times New Roman"/>
          <w:lang w:eastAsia="de-DE"/>
        </w:rPr>
        <w:t xml:space="preserve"> Und ihr kehrtet zurück und weintet vor dem Ewigen; aber der Ewige hörte nicht auf eure Stimme und neigte sein Ohr nicht zu euch.</w:t>
      </w:r>
    </w:p>
    <w:p w14:paraId="42D62A33" w14:textId="77777777" w:rsidR="008D099B" w:rsidRPr="008D099B" w:rsidRDefault="004F5CEB" w:rsidP="008D099B">
      <w:pPr>
        <w:spacing w:after="0" w:line="240" w:lineRule="auto"/>
        <w:rPr>
          <w:rFonts w:eastAsia="Times New Roman"/>
          <w:lang w:eastAsia="de-DE"/>
        </w:rPr>
      </w:pPr>
      <w:r>
        <w:rPr>
          <w:rFonts w:eastAsia="Times New Roman"/>
          <w:noProof/>
          <w:lang w:eastAsia="de-DE"/>
        </w:rPr>
        <w:pict w14:anchorId="488774A9">
          <v:rect id="_x0000_i1069" style="width:0;height:1.5pt" o:hralign="center" o:hrstd="t" o:hr="t" fillcolor="#a0a0a0" stroked="f"/>
        </w:pict>
      </w:r>
    </w:p>
    <w:p w14:paraId="2D1DB727" w14:textId="0FE60DCF"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Kommentar:</w:t>
      </w:r>
      <w:r w:rsidRPr="008D099B">
        <w:rPr>
          <w:rFonts w:eastAsia="Times New Roman"/>
          <w:lang w:eastAsia="de-DE"/>
        </w:rPr>
        <w:t xml:space="preserve"> </w:t>
      </w:r>
      <w:r w:rsidRPr="008D099B">
        <w:rPr>
          <w:rFonts w:eastAsia="Times New Roman"/>
          <w:b/>
          <w:bCs/>
          <w:rtl/>
          <w:lang w:eastAsia="de-DE"/>
        </w:rPr>
        <w:t>וַתָּשֻׁבוּ</w:t>
      </w:r>
      <w:r w:rsidRPr="008D099B">
        <w:rPr>
          <w:rFonts w:eastAsia="Times New Roman"/>
          <w:rtl/>
          <w:lang w:eastAsia="de-DE"/>
        </w:rPr>
        <w:t xml:space="preserve"> </w:t>
      </w:r>
      <w:r w:rsidRPr="008D099B">
        <w:rPr>
          <w:rFonts w:eastAsia="Times New Roman"/>
          <w:lang w:eastAsia="de-DE"/>
        </w:rPr>
        <w:t xml:space="preserve">ist Qal Imperfekt consecutivum, 2. Person maskulin Plural von </w:t>
      </w:r>
      <w:r w:rsidRPr="008D099B">
        <w:rPr>
          <w:rFonts w:eastAsia="Times New Roman"/>
          <w:rtl/>
          <w:lang w:eastAsia="de-DE"/>
        </w:rPr>
        <w:t>שׁוב</w:t>
      </w:r>
      <w:r w:rsidRPr="008D099B">
        <w:rPr>
          <w:rFonts w:eastAsia="Times New Roman"/>
          <w:lang w:eastAsia="de-DE"/>
        </w:rPr>
        <w:t xml:space="preserve"> („zurückkehren, umkehren") mit Waw. </w:t>
      </w:r>
      <w:r w:rsidRPr="008D099B">
        <w:rPr>
          <w:rFonts w:eastAsia="Times New Roman"/>
          <w:b/>
          <w:bCs/>
          <w:rtl/>
          <w:lang w:eastAsia="de-DE"/>
        </w:rPr>
        <w:t>וַתִּבְכּוּ</w:t>
      </w:r>
      <w:r w:rsidRPr="008D099B">
        <w:rPr>
          <w:rFonts w:eastAsia="Times New Roman"/>
          <w:rtl/>
          <w:lang w:eastAsia="de-DE"/>
        </w:rPr>
        <w:t xml:space="preserve"> </w:t>
      </w:r>
      <w:r w:rsidRPr="008D099B">
        <w:rPr>
          <w:rFonts w:eastAsia="Times New Roman"/>
          <w:lang w:eastAsia="de-DE"/>
        </w:rPr>
        <w:t xml:space="preserve">ist Qal Imperfekt consecutivum, 2. Person maskulin Plural von </w:t>
      </w:r>
      <w:r w:rsidRPr="008D099B">
        <w:rPr>
          <w:rFonts w:eastAsia="Times New Roman"/>
          <w:rtl/>
          <w:lang w:eastAsia="de-DE"/>
        </w:rPr>
        <w:t>בכה</w:t>
      </w:r>
      <w:r w:rsidRPr="008D099B">
        <w:rPr>
          <w:rFonts w:eastAsia="Times New Roman"/>
          <w:lang w:eastAsia="de-DE"/>
        </w:rPr>
        <w:t xml:space="preserve"> („weinen, klagen") mit Waw. </w:t>
      </w:r>
      <w:r w:rsidRPr="008D099B">
        <w:rPr>
          <w:rFonts w:eastAsia="Times New Roman"/>
          <w:b/>
          <w:bCs/>
          <w:rtl/>
          <w:lang w:eastAsia="de-DE"/>
        </w:rPr>
        <w:t>לִפְנֵי יְהוָה</w:t>
      </w:r>
      <w:r w:rsidRPr="008D099B">
        <w:rPr>
          <w:rFonts w:eastAsia="Times New Roman"/>
          <w:rtl/>
          <w:lang w:eastAsia="de-DE"/>
        </w:rPr>
        <w:t xml:space="preserve"> </w:t>
      </w:r>
      <w:r w:rsidRPr="008D099B">
        <w:rPr>
          <w:rFonts w:eastAsia="Times New Roman"/>
          <w:lang w:eastAsia="de-DE"/>
        </w:rPr>
        <w:t xml:space="preserve">ist </w:t>
      </w:r>
      <w:r w:rsidRPr="008D099B">
        <w:rPr>
          <w:rFonts w:eastAsia="Times New Roman"/>
          <w:b/>
          <w:bCs/>
          <w:rtl/>
          <w:lang w:eastAsia="de-DE"/>
        </w:rPr>
        <w:t>לְ</w:t>
      </w:r>
      <w:r w:rsidRPr="008D099B">
        <w:rPr>
          <w:rFonts w:eastAsia="Times New Roman"/>
          <w:rtl/>
          <w:lang w:eastAsia="de-DE"/>
        </w:rPr>
        <w:t xml:space="preserve"> </w:t>
      </w:r>
      <w:r w:rsidRPr="008D099B">
        <w:rPr>
          <w:rFonts w:eastAsia="Times New Roman"/>
          <w:lang w:eastAsia="de-DE"/>
        </w:rPr>
        <w:t xml:space="preserve">mit </w:t>
      </w:r>
      <w:r w:rsidRPr="008D099B">
        <w:rPr>
          <w:rFonts w:eastAsia="Times New Roman"/>
          <w:b/>
          <w:bCs/>
          <w:rtl/>
          <w:lang w:eastAsia="de-DE"/>
        </w:rPr>
        <w:t>פָּנִים</w:t>
      </w:r>
      <w:r w:rsidRPr="008D099B">
        <w:rPr>
          <w:rFonts w:eastAsia="Times New Roman"/>
          <w:rtl/>
          <w:lang w:eastAsia="de-DE"/>
        </w:rPr>
        <w:t xml:space="preserve"> </w:t>
      </w:r>
      <w:r w:rsidRPr="008D099B">
        <w:rPr>
          <w:rFonts w:eastAsia="Times New Roman"/>
          <w:lang w:eastAsia="de-DE"/>
        </w:rPr>
        <w:t xml:space="preserve">(„Angesicht") im Plural </w:t>
      </w:r>
      <w:r w:rsidR="0032647F">
        <w:rPr>
          <w:rFonts w:eastAsia="Times New Roman"/>
          <w:lang w:eastAsia="de-DE"/>
        </w:rPr>
        <w:t>Construct</w:t>
      </w:r>
      <w:r w:rsidRPr="008D099B">
        <w:rPr>
          <w:rFonts w:eastAsia="Times New Roman"/>
          <w:lang w:eastAsia="de-DE"/>
        </w:rPr>
        <w:t xml:space="preserve"> und </w:t>
      </w:r>
      <w:r w:rsidRPr="008D099B">
        <w:rPr>
          <w:rFonts w:eastAsia="Times New Roman"/>
          <w:b/>
          <w:bCs/>
          <w:rtl/>
          <w:lang w:eastAsia="de-DE"/>
        </w:rPr>
        <w:t>יְהוָה</w:t>
      </w:r>
      <w:r w:rsidRPr="008D099B">
        <w:rPr>
          <w:rFonts w:eastAsia="Times New Roman"/>
          <w:rtl/>
          <w:lang w:eastAsia="de-DE"/>
        </w:rPr>
        <w:t xml:space="preserve"> </w:t>
      </w:r>
      <w:r w:rsidRPr="008D099B">
        <w:rPr>
          <w:rFonts w:eastAsia="Times New Roman"/>
          <w:lang w:eastAsia="de-DE"/>
        </w:rPr>
        <w:t>(„vor JHWH, in Gegenwart JHWHs").</w:t>
      </w:r>
    </w:p>
    <w:p w14:paraId="680817BA" w14:textId="7F2CD906"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rtl/>
          <w:lang w:eastAsia="de-DE"/>
        </w:rPr>
        <w:lastRenderedPageBreak/>
        <w:t>וְלֹא־שָׁמַע יְהוָה בְּקֹלְכֶם</w:t>
      </w:r>
      <w:r w:rsidRPr="008D099B">
        <w:rPr>
          <w:rFonts w:eastAsia="Times New Roman"/>
          <w:rtl/>
          <w:lang w:eastAsia="de-DE"/>
        </w:rPr>
        <w:t xml:space="preserve"> </w:t>
      </w:r>
      <w:r w:rsidRPr="008D099B">
        <w:rPr>
          <w:rFonts w:eastAsia="Times New Roman"/>
          <w:lang w:eastAsia="de-DE"/>
        </w:rPr>
        <w:t xml:space="preserve">ist </w:t>
      </w:r>
      <w:r w:rsidRPr="008D099B">
        <w:rPr>
          <w:rFonts w:eastAsia="Times New Roman"/>
          <w:b/>
          <w:bCs/>
          <w:rtl/>
          <w:lang w:eastAsia="de-DE"/>
        </w:rPr>
        <w:t>וְ</w:t>
      </w:r>
      <w:r w:rsidRPr="008D099B">
        <w:rPr>
          <w:rFonts w:eastAsia="Times New Roman"/>
          <w:rtl/>
          <w:lang w:eastAsia="de-DE"/>
        </w:rPr>
        <w:t xml:space="preserve"> </w:t>
      </w:r>
      <w:r w:rsidRPr="008D099B">
        <w:rPr>
          <w:rFonts w:eastAsia="Times New Roman"/>
          <w:lang w:eastAsia="de-DE"/>
        </w:rPr>
        <w:t xml:space="preserve">adversativum („aber"), </w:t>
      </w:r>
      <w:r w:rsidRPr="008D099B">
        <w:rPr>
          <w:rFonts w:eastAsia="Times New Roman"/>
          <w:b/>
          <w:bCs/>
          <w:rtl/>
          <w:lang w:eastAsia="de-DE"/>
        </w:rPr>
        <w:t>לֹא</w:t>
      </w:r>
      <w:r w:rsidRPr="008D099B">
        <w:rPr>
          <w:rFonts w:eastAsia="Times New Roman"/>
          <w:rtl/>
          <w:lang w:eastAsia="de-DE"/>
        </w:rPr>
        <w:t xml:space="preserve"> </w:t>
      </w:r>
      <w:r w:rsidRPr="008D099B">
        <w:rPr>
          <w:rFonts w:eastAsia="Times New Roman"/>
          <w:lang w:eastAsia="de-DE"/>
        </w:rPr>
        <w:t xml:space="preserve">als Negation, </w:t>
      </w:r>
      <w:r w:rsidRPr="008D099B">
        <w:rPr>
          <w:rFonts w:eastAsia="Times New Roman"/>
          <w:b/>
          <w:bCs/>
          <w:rtl/>
          <w:lang w:eastAsia="de-DE"/>
        </w:rPr>
        <w:t>שָׁמַע</w:t>
      </w:r>
      <w:r w:rsidRPr="008D099B">
        <w:rPr>
          <w:rFonts w:eastAsia="Times New Roman"/>
          <w:rtl/>
          <w:lang w:eastAsia="de-DE"/>
        </w:rPr>
        <w:t xml:space="preserve"> </w:t>
      </w:r>
      <w:r w:rsidRPr="008D099B">
        <w:rPr>
          <w:rFonts w:eastAsia="Times New Roman"/>
          <w:lang w:eastAsia="de-DE"/>
        </w:rPr>
        <w:t xml:space="preserve">(Qal Perfekt, 3. Person maskulin Singular von </w:t>
      </w:r>
      <w:r w:rsidRPr="008D099B">
        <w:rPr>
          <w:rFonts w:eastAsia="Times New Roman"/>
          <w:rtl/>
          <w:lang w:eastAsia="de-DE"/>
        </w:rPr>
        <w:t>שׁמע</w:t>
      </w:r>
      <w:r w:rsidRPr="008D099B">
        <w:rPr>
          <w:rFonts w:eastAsia="Times New Roman"/>
          <w:lang w:eastAsia="de-DE"/>
        </w:rPr>
        <w:t xml:space="preserve"> „hören"), </w:t>
      </w:r>
      <w:r w:rsidRPr="008D099B">
        <w:rPr>
          <w:rFonts w:eastAsia="Times New Roman"/>
          <w:b/>
          <w:bCs/>
          <w:rtl/>
          <w:lang w:eastAsia="de-DE"/>
        </w:rPr>
        <w:t>יְהוָה</w:t>
      </w:r>
      <w:r w:rsidRPr="008D099B">
        <w:rPr>
          <w:rFonts w:eastAsia="Times New Roman"/>
          <w:rtl/>
          <w:lang w:eastAsia="de-DE"/>
        </w:rPr>
        <w:t xml:space="preserve"> </w:t>
      </w:r>
      <w:r w:rsidRPr="008D099B">
        <w:rPr>
          <w:rFonts w:eastAsia="Times New Roman"/>
          <w:lang w:eastAsia="de-DE"/>
        </w:rPr>
        <w:t xml:space="preserve">als Subjekt, </w:t>
      </w:r>
      <w:r w:rsidRPr="008D099B">
        <w:rPr>
          <w:rFonts w:eastAsia="Times New Roman"/>
          <w:b/>
          <w:bCs/>
          <w:rtl/>
          <w:lang w:eastAsia="de-DE"/>
        </w:rPr>
        <w:t>בְּקֹלְכֶם</w:t>
      </w:r>
      <w:r w:rsidRPr="008D099B">
        <w:rPr>
          <w:rFonts w:eastAsia="Times New Roman"/>
          <w:rtl/>
          <w:lang w:eastAsia="de-DE"/>
        </w:rPr>
        <w:t xml:space="preserve"> </w:t>
      </w:r>
      <w:r w:rsidRPr="008D099B">
        <w:rPr>
          <w:rFonts w:eastAsia="Times New Roman"/>
          <w:lang w:eastAsia="de-DE"/>
        </w:rPr>
        <w:t xml:space="preserve">(Präposition </w:t>
      </w:r>
      <w:r w:rsidRPr="008D099B">
        <w:rPr>
          <w:rFonts w:eastAsia="Times New Roman"/>
          <w:b/>
          <w:bCs/>
          <w:rtl/>
          <w:lang w:eastAsia="de-DE"/>
        </w:rPr>
        <w:t>בְּ</w:t>
      </w:r>
      <w:r w:rsidRPr="008D099B">
        <w:rPr>
          <w:rFonts w:eastAsia="Times New Roman"/>
          <w:rtl/>
          <w:lang w:eastAsia="de-DE"/>
        </w:rPr>
        <w:t xml:space="preserve"> </w:t>
      </w:r>
      <w:r w:rsidRPr="008D099B">
        <w:rPr>
          <w:rFonts w:eastAsia="Times New Roman"/>
          <w:lang w:eastAsia="de-DE"/>
        </w:rPr>
        <w:t xml:space="preserve">mit </w:t>
      </w:r>
      <w:r w:rsidRPr="008D099B">
        <w:rPr>
          <w:rFonts w:eastAsia="Times New Roman"/>
          <w:b/>
          <w:bCs/>
          <w:rtl/>
          <w:lang w:eastAsia="de-DE"/>
        </w:rPr>
        <w:t>קוֹל</w:t>
      </w:r>
      <w:r w:rsidRPr="008D099B">
        <w:rPr>
          <w:rFonts w:eastAsia="Times New Roman"/>
          <w:rtl/>
          <w:lang w:eastAsia="de-DE"/>
        </w:rPr>
        <w:t xml:space="preserve"> </w:t>
      </w:r>
      <w:r w:rsidRPr="008D099B">
        <w:rPr>
          <w:rFonts w:eastAsia="Times New Roman"/>
          <w:lang w:eastAsia="de-DE"/>
        </w:rPr>
        <w:t xml:space="preserve">„Stimme" im </w:t>
      </w:r>
      <w:r w:rsidR="0032647F">
        <w:rPr>
          <w:rFonts w:eastAsia="Times New Roman"/>
          <w:lang w:eastAsia="de-DE"/>
        </w:rPr>
        <w:t>Construct</w:t>
      </w:r>
      <w:r w:rsidRPr="008D099B">
        <w:rPr>
          <w:rFonts w:eastAsia="Times New Roman"/>
          <w:lang w:eastAsia="de-DE"/>
        </w:rPr>
        <w:t xml:space="preserve"> und Suffix 2. Person maskulin Plural). Die Präposition </w:t>
      </w:r>
      <w:r w:rsidRPr="008D099B">
        <w:rPr>
          <w:rFonts w:eastAsia="Times New Roman"/>
          <w:b/>
          <w:bCs/>
          <w:rtl/>
          <w:lang w:eastAsia="de-DE"/>
        </w:rPr>
        <w:t>בְּ</w:t>
      </w:r>
      <w:r w:rsidRPr="008D099B">
        <w:rPr>
          <w:rFonts w:eastAsia="Times New Roman"/>
          <w:rtl/>
          <w:lang w:eastAsia="de-DE"/>
        </w:rPr>
        <w:t xml:space="preserve"> </w:t>
      </w:r>
      <w:r w:rsidRPr="008D099B">
        <w:rPr>
          <w:rFonts w:eastAsia="Times New Roman"/>
          <w:lang w:eastAsia="de-DE"/>
        </w:rPr>
        <w:t>drückt hier „auf, zu" aus.</w:t>
      </w:r>
    </w:p>
    <w:p w14:paraId="19831C21"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rtl/>
          <w:lang w:eastAsia="de-DE"/>
        </w:rPr>
        <w:t>וְלֹא הֶאֱזִין אֲלֵיכֶם</w:t>
      </w:r>
      <w:r w:rsidRPr="008D099B">
        <w:rPr>
          <w:rFonts w:eastAsia="Times New Roman"/>
          <w:rtl/>
          <w:lang w:eastAsia="de-DE"/>
        </w:rPr>
        <w:t xml:space="preserve"> </w:t>
      </w:r>
      <w:r w:rsidRPr="008D099B">
        <w:rPr>
          <w:rFonts w:eastAsia="Times New Roman"/>
          <w:lang w:eastAsia="de-DE"/>
        </w:rPr>
        <w:t xml:space="preserve">ist parallel strukturiert: </w:t>
      </w:r>
      <w:r w:rsidRPr="008D099B">
        <w:rPr>
          <w:rFonts w:eastAsia="Times New Roman"/>
          <w:b/>
          <w:bCs/>
          <w:rtl/>
          <w:lang w:eastAsia="de-DE"/>
        </w:rPr>
        <w:t>וְלֹא</w:t>
      </w:r>
      <w:r w:rsidRPr="008D099B">
        <w:rPr>
          <w:rFonts w:eastAsia="Times New Roman"/>
          <w:lang w:eastAsia="de-DE"/>
        </w:rPr>
        <w:t xml:space="preserve">, </w:t>
      </w:r>
      <w:r w:rsidRPr="008D099B">
        <w:rPr>
          <w:rFonts w:eastAsia="Times New Roman"/>
          <w:b/>
          <w:bCs/>
          <w:rtl/>
          <w:lang w:eastAsia="de-DE"/>
        </w:rPr>
        <w:t>הֶאֱזִין</w:t>
      </w:r>
      <w:r w:rsidRPr="008D099B">
        <w:rPr>
          <w:rFonts w:eastAsia="Times New Roman"/>
          <w:rtl/>
          <w:lang w:eastAsia="de-DE"/>
        </w:rPr>
        <w:t xml:space="preserve"> </w:t>
      </w:r>
      <w:r w:rsidRPr="008D099B">
        <w:rPr>
          <w:rFonts w:eastAsia="Times New Roman"/>
          <w:lang w:eastAsia="de-DE"/>
        </w:rPr>
        <w:t xml:space="preserve">(Hif'il Perfekt, 3. Person maskulin Singular von </w:t>
      </w:r>
      <w:r w:rsidRPr="008D099B">
        <w:rPr>
          <w:rFonts w:eastAsia="Times New Roman"/>
          <w:rtl/>
          <w:lang w:eastAsia="de-DE"/>
        </w:rPr>
        <w:t>אזן</w:t>
      </w:r>
      <w:r w:rsidRPr="008D099B">
        <w:rPr>
          <w:rFonts w:eastAsia="Times New Roman"/>
          <w:lang w:eastAsia="de-DE"/>
        </w:rPr>
        <w:t xml:space="preserve"> „das Ohr neigen, aufmerksam hören"), </w:t>
      </w:r>
      <w:r w:rsidRPr="008D099B">
        <w:rPr>
          <w:rFonts w:eastAsia="Times New Roman"/>
          <w:b/>
          <w:bCs/>
          <w:rtl/>
          <w:lang w:eastAsia="de-DE"/>
        </w:rPr>
        <w:t>אֲלֵיכֶם</w:t>
      </w:r>
      <w:r w:rsidRPr="008D099B">
        <w:rPr>
          <w:rFonts w:eastAsia="Times New Roman"/>
          <w:rtl/>
          <w:lang w:eastAsia="de-DE"/>
        </w:rPr>
        <w:t xml:space="preserve"> </w:t>
      </w:r>
      <w:r w:rsidRPr="008D099B">
        <w:rPr>
          <w:rFonts w:eastAsia="Times New Roman"/>
          <w:lang w:eastAsia="de-DE"/>
        </w:rPr>
        <w:t>(</w:t>
      </w:r>
      <w:r w:rsidRPr="008D099B">
        <w:rPr>
          <w:rFonts w:eastAsia="Times New Roman"/>
          <w:b/>
          <w:bCs/>
          <w:rtl/>
          <w:lang w:eastAsia="de-DE"/>
        </w:rPr>
        <w:t>אֶל</w:t>
      </w:r>
      <w:r w:rsidRPr="008D099B">
        <w:rPr>
          <w:rFonts w:eastAsia="Times New Roman"/>
          <w:rtl/>
          <w:lang w:eastAsia="de-DE"/>
        </w:rPr>
        <w:t xml:space="preserve"> </w:t>
      </w:r>
      <w:r w:rsidRPr="008D099B">
        <w:rPr>
          <w:rFonts w:eastAsia="Times New Roman"/>
          <w:lang w:eastAsia="de-DE"/>
        </w:rPr>
        <w:t xml:space="preserve">mit Suffix 2. Person maskulin Plural). Die beiden Verben </w:t>
      </w:r>
      <w:r w:rsidRPr="008D099B">
        <w:rPr>
          <w:rFonts w:eastAsia="Times New Roman"/>
          <w:b/>
          <w:bCs/>
          <w:rtl/>
          <w:lang w:eastAsia="de-DE"/>
        </w:rPr>
        <w:t>שָׁמַע</w:t>
      </w:r>
      <w:r w:rsidRPr="008D099B">
        <w:rPr>
          <w:rFonts w:eastAsia="Times New Roman"/>
          <w:rtl/>
          <w:lang w:eastAsia="de-DE"/>
        </w:rPr>
        <w:t xml:space="preserve"> </w:t>
      </w:r>
      <w:r w:rsidRPr="008D099B">
        <w:rPr>
          <w:rFonts w:eastAsia="Times New Roman"/>
          <w:lang w:eastAsia="de-DE"/>
        </w:rPr>
        <w:t xml:space="preserve">und </w:t>
      </w:r>
      <w:r w:rsidRPr="008D099B">
        <w:rPr>
          <w:rFonts w:eastAsia="Times New Roman"/>
          <w:b/>
          <w:bCs/>
          <w:rtl/>
          <w:lang w:eastAsia="de-DE"/>
        </w:rPr>
        <w:t>הֶאֱזִין</w:t>
      </w:r>
      <w:r w:rsidRPr="008D099B">
        <w:rPr>
          <w:rFonts w:eastAsia="Times New Roman"/>
          <w:rtl/>
          <w:lang w:eastAsia="de-DE"/>
        </w:rPr>
        <w:t xml:space="preserve"> </w:t>
      </w:r>
      <w:r w:rsidRPr="008D099B">
        <w:rPr>
          <w:rFonts w:eastAsia="Times New Roman"/>
          <w:lang w:eastAsia="de-DE"/>
        </w:rPr>
        <w:t xml:space="preserve">bilden ein synonymes Paar, wobei </w:t>
      </w:r>
      <w:r w:rsidRPr="008D099B">
        <w:rPr>
          <w:rFonts w:eastAsia="Times New Roman"/>
          <w:b/>
          <w:bCs/>
          <w:rtl/>
          <w:lang w:eastAsia="de-DE"/>
        </w:rPr>
        <w:t>הֶאֱזִין</w:t>
      </w:r>
      <w:r w:rsidRPr="008D099B">
        <w:rPr>
          <w:rFonts w:eastAsia="Times New Roman"/>
          <w:rtl/>
          <w:lang w:eastAsia="de-DE"/>
        </w:rPr>
        <w:t xml:space="preserve"> </w:t>
      </w:r>
      <w:r w:rsidRPr="008D099B">
        <w:rPr>
          <w:rFonts w:eastAsia="Times New Roman"/>
          <w:lang w:eastAsia="de-DE"/>
        </w:rPr>
        <w:t>die aufmerksame, zugewandte Haltung betont.</w:t>
      </w:r>
    </w:p>
    <w:p w14:paraId="55DAE47F"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Die LXX</w:t>
      </w:r>
      <w:r w:rsidRPr="008D099B">
        <w:rPr>
          <w:rFonts w:eastAsia="Times New Roman"/>
          <w:lang w:eastAsia="de-DE"/>
        </w:rPr>
        <w:t xml:space="preserve"> übersetzt „καὶ </w:t>
      </w:r>
      <w:proofErr w:type="spellStart"/>
      <w:r w:rsidRPr="008D099B">
        <w:rPr>
          <w:rFonts w:eastAsia="Times New Roman"/>
          <w:lang w:eastAsia="de-DE"/>
        </w:rPr>
        <w:t>ἀν</w:t>
      </w:r>
      <w:proofErr w:type="spellEnd"/>
      <w:r w:rsidRPr="008D099B">
        <w:rPr>
          <w:rFonts w:eastAsia="Times New Roman"/>
          <w:lang w:eastAsia="de-DE"/>
        </w:rPr>
        <w:t xml:space="preserve">αστρέψαντες </w:t>
      </w:r>
      <w:proofErr w:type="spellStart"/>
      <w:r w:rsidRPr="008D099B">
        <w:rPr>
          <w:rFonts w:eastAsia="Times New Roman"/>
          <w:lang w:eastAsia="de-DE"/>
        </w:rPr>
        <w:t>ἐκλ</w:t>
      </w:r>
      <w:proofErr w:type="spellEnd"/>
      <w:r w:rsidRPr="008D099B">
        <w:rPr>
          <w:rFonts w:eastAsia="Times New Roman"/>
          <w:lang w:eastAsia="de-DE"/>
        </w:rPr>
        <w:t xml:space="preserve">αύσατε </w:t>
      </w:r>
      <w:proofErr w:type="spellStart"/>
      <w:r w:rsidRPr="008D099B">
        <w:rPr>
          <w:rFonts w:eastAsia="Times New Roman"/>
          <w:lang w:eastAsia="de-DE"/>
        </w:rPr>
        <w:t>ἔν</w:t>
      </w:r>
      <w:proofErr w:type="spellEnd"/>
      <w:r w:rsidRPr="008D099B">
        <w:rPr>
          <w:rFonts w:eastAsia="Times New Roman"/>
          <w:lang w:eastAsia="de-DE"/>
        </w:rPr>
        <w:t xml:space="preserve">αντι </w:t>
      </w:r>
      <w:proofErr w:type="spellStart"/>
      <w:r w:rsidRPr="008D099B">
        <w:rPr>
          <w:rFonts w:eastAsia="Times New Roman"/>
          <w:lang w:eastAsia="de-DE"/>
        </w:rPr>
        <w:t>κυρίου</w:t>
      </w:r>
      <w:proofErr w:type="spellEnd"/>
      <w:r w:rsidRPr="008D099B">
        <w:rPr>
          <w:rFonts w:eastAsia="Times New Roman"/>
          <w:lang w:eastAsia="de-DE"/>
        </w:rPr>
        <w:t xml:space="preserve">, καὶ </w:t>
      </w:r>
      <w:proofErr w:type="spellStart"/>
      <w:r w:rsidRPr="008D099B">
        <w:rPr>
          <w:rFonts w:eastAsia="Times New Roman"/>
          <w:lang w:eastAsia="de-DE"/>
        </w:rPr>
        <w:t>οὐκ</w:t>
      </w:r>
      <w:proofErr w:type="spellEnd"/>
      <w:r w:rsidRPr="008D099B">
        <w:rPr>
          <w:rFonts w:eastAsia="Times New Roman"/>
          <w:lang w:eastAsia="de-DE"/>
        </w:rPr>
        <w:t xml:space="preserve"> </w:t>
      </w:r>
      <w:proofErr w:type="spellStart"/>
      <w:r w:rsidRPr="008D099B">
        <w:rPr>
          <w:rFonts w:eastAsia="Times New Roman"/>
          <w:lang w:eastAsia="de-DE"/>
        </w:rPr>
        <w:t>εἰσήκουσεν</w:t>
      </w:r>
      <w:proofErr w:type="spellEnd"/>
      <w:r w:rsidRPr="008D099B">
        <w:rPr>
          <w:rFonts w:eastAsia="Times New Roman"/>
          <w:lang w:eastAsia="de-DE"/>
        </w:rPr>
        <w:t xml:space="preserve"> </w:t>
      </w:r>
      <w:proofErr w:type="spellStart"/>
      <w:r w:rsidRPr="008D099B">
        <w:rPr>
          <w:rFonts w:eastAsia="Times New Roman"/>
          <w:lang w:eastAsia="de-DE"/>
        </w:rPr>
        <w:t>κύριος</w:t>
      </w:r>
      <w:proofErr w:type="spellEnd"/>
      <w:r w:rsidRPr="008D099B">
        <w:rPr>
          <w:rFonts w:eastAsia="Times New Roman"/>
          <w:lang w:eastAsia="de-DE"/>
        </w:rPr>
        <w:t xml:space="preserve"> </w:t>
      </w:r>
      <w:proofErr w:type="spellStart"/>
      <w:r w:rsidRPr="008D099B">
        <w:rPr>
          <w:rFonts w:eastAsia="Times New Roman"/>
          <w:lang w:eastAsia="de-DE"/>
        </w:rPr>
        <w:t>τῆς</w:t>
      </w:r>
      <w:proofErr w:type="spellEnd"/>
      <w:r w:rsidRPr="008D099B">
        <w:rPr>
          <w:rFonts w:eastAsia="Times New Roman"/>
          <w:lang w:eastAsia="de-DE"/>
        </w:rPr>
        <w:t xml:space="preserve"> </w:t>
      </w:r>
      <w:proofErr w:type="spellStart"/>
      <w:r w:rsidRPr="008D099B">
        <w:rPr>
          <w:rFonts w:eastAsia="Times New Roman"/>
          <w:lang w:eastAsia="de-DE"/>
        </w:rPr>
        <w:t>φωνῆς</w:t>
      </w:r>
      <w:proofErr w:type="spellEnd"/>
      <w:r w:rsidRPr="008D099B">
        <w:rPr>
          <w:rFonts w:eastAsia="Times New Roman"/>
          <w:lang w:eastAsia="de-DE"/>
        </w:rPr>
        <w:t xml:space="preserve"> </w:t>
      </w:r>
      <w:proofErr w:type="spellStart"/>
      <w:r w:rsidRPr="008D099B">
        <w:rPr>
          <w:rFonts w:eastAsia="Times New Roman"/>
          <w:lang w:eastAsia="de-DE"/>
        </w:rPr>
        <w:t>ὑμῶν</w:t>
      </w:r>
      <w:proofErr w:type="spellEnd"/>
      <w:r w:rsidRPr="008D099B">
        <w:rPr>
          <w:rFonts w:eastAsia="Times New Roman"/>
          <w:lang w:eastAsia="de-DE"/>
        </w:rPr>
        <w:t xml:space="preserve"> </w:t>
      </w:r>
      <w:proofErr w:type="spellStart"/>
      <w:r w:rsidRPr="008D099B">
        <w:rPr>
          <w:rFonts w:eastAsia="Times New Roman"/>
          <w:lang w:eastAsia="de-DE"/>
        </w:rPr>
        <w:t>οὐδὲ</w:t>
      </w:r>
      <w:proofErr w:type="spellEnd"/>
      <w:r w:rsidRPr="008D099B">
        <w:rPr>
          <w:rFonts w:eastAsia="Times New Roman"/>
          <w:lang w:eastAsia="de-DE"/>
        </w:rPr>
        <w:t xml:space="preserve"> π</w:t>
      </w:r>
      <w:proofErr w:type="spellStart"/>
      <w:r w:rsidRPr="008D099B">
        <w:rPr>
          <w:rFonts w:eastAsia="Times New Roman"/>
          <w:lang w:eastAsia="de-DE"/>
        </w:rPr>
        <w:t>ροσέσχεν</w:t>
      </w:r>
      <w:proofErr w:type="spellEnd"/>
      <w:r w:rsidRPr="008D099B">
        <w:rPr>
          <w:rFonts w:eastAsia="Times New Roman"/>
          <w:lang w:eastAsia="de-DE"/>
        </w:rPr>
        <w:t xml:space="preserve"> </w:t>
      </w:r>
      <w:proofErr w:type="spellStart"/>
      <w:r w:rsidRPr="008D099B">
        <w:rPr>
          <w:rFonts w:eastAsia="Times New Roman"/>
          <w:lang w:eastAsia="de-DE"/>
        </w:rPr>
        <w:t>ὑμῖν</w:t>
      </w:r>
      <w:proofErr w:type="spellEnd"/>
      <w:r w:rsidRPr="008D099B">
        <w:rPr>
          <w:rFonts w:eastAsia="Times New Roman"/>
          <w:lang w:eastAsia="de-DE"/>
        </w:rPr>
        <w:t xml:space="preserve">" („und zurückgekehrt weintet ihr vor dem Herrn, und der Herr hörte nicht auf eure Stimme und achtete nicht auf euch"). Die LXX verwendet </w:t>
      </w:r>
      <w:r w:rsidRPr="008D099B">
        <w:rPr>
          <w:rFonts w:eastAsia="Times New Roman"/>
          <w:b/>
          <w:bCs/>
          <w:lang w:eastAsia="de-DE"/>
        </w:rPr>
        <w:t>π</w:t>
      </w:r>
      <w:proofErr w:type="spellStart"/>
      <w:r w:rsidRPr="008D099B">
        <w:rPr>
          <w:rFonts w:eastAsia="Times New Roman"/>
          <w:b/>
          <w:bCs/>
          <w:lang w:eastAsia="de-DE"/>
        </w:rPr>
        <w:t>ροσέχω</w:t>
      </w:r>
      <w:proofErr w:type="spellEnd"/>
      <w:r w:rsidRPr="008D099B">
        <w:rPr>
          <w:rFonts w:eastAsia="Times New Roman"/>
          <w:lang w:eastAsia="de-DE"/>
        </w:rPr>
        <w:t xml:space="preserve"> („Aufmerksamkeit schenken") für </w:t>
      </w:r>
      <w:r w:rsidRPr="008D099B">
        <w:rPr>
          <w:rFonts w:eastAsia="Times New Roman"/>
          <w:b/>
          <w:bCs/>
          <w:rtl/>
          <w:lang w:eastAsia="de-DE"/>
        </w:rPr>
        <w:t>הֶאֱזִין</w:t>
      </w:r>
      <w:r w:rsidRPr="008D099B">
        <w:rPr>
          <w:rFonts w:eastAsia="Times New Roman"/>
          <w:lang w:eastAsia="de-DE"/>
        </w:rPr>
        <w:t>.</w:t>
      </w:r>
    </w:p>
    <w:p w14:paraId="497CB30E"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lang w:eastAsia="de-DE"/>
        </w:rPr>
        <w:t>Die Satzstruktur besteht aus zwei Teilen: (1) zwei koordinierte Verben mit dem Volk als Subjekt (</w:t>
      </w:r>
      <w:r w:rsidRPr="008D099B">
        <w:rPr>
          <w:rFonts w:eastAsia="Times New Roman"/>
          <w:b/>
          <w:bCs/>
          <w:rtl/>
          <w:lang w:eastAsia="de-DE"/>
        </w:rPr>
        <w:t>וַתָּשֻׁבוּ וַתִּבְכּוּ לִפְנֵי יְהוָה</w:t>
      </w:r>
      <w:r w:rsidRPr="008D099B">
        <w:rPr>
          <w:rFonts w:eastAsia="Times New Roman"/>
          <w:lang w:eastAsia="de-DE"/>
        </w:rPr>
        <w:t>), (2) zwei koordinierte negative Aussagen mit JHWH als Subjekt (</w:t>
      </w:r>
      <w:r w:rsidRPr="008D099B">
        <w:rPr>
          <w:rFonts w:eastAsia="Times New Roman"/>
          <w:b/>
          <w:bCs/>
          <w:rtl/>
          <w:lang w:eastAsia="de-DE"/>
        </w:rPr>
        <w:t>וְלֹא־שָׁמַע יְהוָה בְּקֹלְכֶם וְלֹא הֶאֱזִין אֲלֵיכֶם</w:t>
      </w:r>
      <w:r w:rsidRPr="008D099B">
        <w:rPr>
          <w:rFonts w:eastAsia="Times New Roman"/>
          <w:lang w:eastAsia="de-DE"/>
        </w:rPr>
        <w:t>). Der Kontrast zwischen dem Weinen des Volkes und der göttlichen Nicht-Reaktion ist stark betont.</w:t>
      </w:r>
    </w:p>
    <w:p w14:paraId="4FEDEE89"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lang w:eastAsia="de-DE"/>
        </w:rPr>
        <w:t>Der Vers beschreibt die verzweifelte Reue des geschlagenen Volkes und die harte Antwort JHWHs: Er hört nicht mehr auf ihr Klagen. Dies steht im Gegensatz zu früheren Situationen, wo JHWH auf das Schreien Israels reagierte. Das Gericht ist unumkehrbar geworden – eine Folge ihrer hartnäckigen Rebellion.</w:t>
      </w:r>
    </w:p>
    <w:p w14:paraId="75E4DE6D" w14:textId="77777777" w:rsidR="008D099B" w:rsidRPr="008D099B" w:rsidRDefault="008D099B" w:rsidP="008D099B">
      <w:pPr>
        <w:spacing w:before="100" w:beforeAutospacing="1" w:after="100" w:afterAutospacing="1" w:line="240" w:lineRule="auto"/>
        <w:outlineLvl w:val="1"/>
        <w:rPr>
          <w:rFonts w:eastAsia="Times New Roman"/>
          <w:b/>
          <w:bCs/>
          <w:sz w:val="36"/>
          <w:szCs w:val="36"/>
          <w:lang w:eastAsia="de-DE"/>
        </w:rPr>
      </w:pPr>
      <w:r w:rsidRPr="008D099B">
        <w:rPr>
          <w:rFonts w:eastAsia="Times New Roman"/>
          <w:b/>
          <w:bCs/>
          <w:sz w:val="36"/>
          <w:szCs w:val="36"/>
          <w:lang w:eastAsia="de-DE"/>
        </w:rPr>
        <w:t>Deuteronomium 1,46</w:t>
      </w:r>
    </w:p>
    <w:p w14:paraId="6835E193"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Hebräisch:</w:t>
      </w:r>
      <w:r w:rsidRPr="008D099B">
        <w:rPr>
          <w:rFonts w:eastAsia="Times New Roman"/>
          <w:lang w:eastAsia="de-DE"/>
        </w:rPr>
        <w:t xml:space="preserve"> </w:t>
      </w:r>
      <w:r w:rsidRPr="008D099B">
        <w:rPr>
          <w:rFonts w:eastAsia="Times New Roman"/>
          <w:rtl/>
          <w:lang w:eastAsia="de-DE"/>
        </w:rPr>
        <w:t>וַתֵּשְׁב֥וּ בְקָדֵ֖שׁ יָמִ֣ים רַבִּ֑ים כַּיָּמִ֖ים אֲשֶׁ֥ר יְשַׁבְתֶּֽם׃</w:t>
      </w:r>
    </w:p>
    <w:p w14:paraId="761BA67B"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Deutsch:</w:t>
      </w:r>
      <w:r w:rsidRPr="008D099B">
        <w:rPr>
          <w:rFonts w:eastAsia="Times New Roman"/>
          <w:lang w:eastAsia="de-DE"/>
        </w:rPr>
        <w:t xml:space="preserve"> Und ihr saßt in Kadesch viele Tage, wie die Tage, die ihr saßt.</w:t>
      </w:r>
    </w:p>
    <w:p w14:paraId="1DCEB3F9" w14:textId="77777777" w:rsidR="008D099B" w:rsidRPr="008D099B" w:rsidRDefault="004F5CEB" w:rsidP="008D099B">
      <w:pPr>
        <w:spacing w:after="0" w:line="240" w:lineRule="auto"/>
        <w:rPr>
          <w:rFonts w:eastAsia="Times New Roman"/>
          <w:lang w:eastAsia="de-DE"/>
        </w:rPr>
      </w:pPr>
      <w:r>
        <w:rPr>
          <w:rFonts w:eastAsia="Times New Roman"/>
          <w:noProof/>
          <w:lang w:eastAsia="de-DE"/>
        </w:rPr>
        <w:pict w14:anchorId="0F93598E">
          <v:rect id="_x0000_i1070" style="width:0;height:1.5pt" o:hralign="center" o:hrstd="t" o:hr="t" fillcolor="#a0a0a0" stroked="f"/>
        </w:pict>
      </w:r>
    </w:p>
    <w:p w14:paraId="1DDB1187"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Kommentar:</w:t>
      </w:r>
      <w:r w:rsidRPr="008D099B">
        <w:rPr>
          <w:rFonts w:eastAsia="Times New Roman"/>
          <w:lang w:eastAsia="de-DE"/>
        </w:rPr>
        <w:t xml:space="preserve"> </w:t>
      </w:r>
      <w:r w:rsidRPr="008D099B">
        <w:rPr>
          <w:rFonts w:eastAsia="Times New Roman"/>
          <w:b/>
          <w:bCs/>
          <w:rtl/>
          <w:lang w:eastAsia="de-DE"/>
        </w:rPr>
        <w:t>וַתֵּשְׁבוּ</w:t>
      </w:r>
      <w:r w:rsidRPr="008D099B">
        <w:rPr>
          <w:rFonts w:eastAsia="Times New Roman"/>
          <w:rtl/>
          <w:lang w:eastAsia="de-DE"/>
        </w:rPr>
        <w:t xml:space="preserve"> </w:t>
      </w:r>
      <w:r w:rsidRPr="008D099B">
        <w:rPr>
          <w:rFonts w:eastAsia="Times New Roman"/>
          <w:lang w:eastAsia="de-DE"/>
        </w:rPr>
        <w:t xml:space="preserve">ist Qal Imperfekt consecutivum, 2. Person maskulin Plural von </w:t>
      </w:r>
      <w:r w:rsidRPr="008D099B">
        <w:rPr>
          <w:rFonts w:eastAsia="Times New Roman"/>
          <w:rtl/>
          <w:lang w:eastAsia="de-DE"/>
        </w:rPr>
        <w:t>ישׁב</w:t>
      </w:r>
      <w:r w:rsidRPr="008D099B">
        <w:rPr>
          <w:rFonts w:eastAsia="Times New Roman"/>
          <w:lang w:eastAsia="de-DE"/>
        </w:rPr>
        <w:t xml:space="preserve"> („sitzen, wohnen, bleiben") mit Waw. </w:t>
      </w:r>
      <w:r w:rsidRPr="008D099B">
        <w:rPr>
          <w:rFonts w:eastAsia="Times New Roman"/>
          <w:b/>
          <w:bCs/>
          <w:rtl/>
          <w:lang w:eastAsia="de-DE"/>
        </w:rPr>
        <w:t>בְקָדֵשׁ</w:t>
      </w:r>
      <w:r w:rsidRPr="008D099B">
        <w:rPr>
          <w:rFonts w:eastAsia="Times New Roman"/>
          <w:rtl/>
          <w:lang w:eastAsia="de-DE"/>
        </w:rPr>
        <w:t xml:space="preserve"> </w:t>
      </w:r>
      <w:r w:rsidRPr="008D099B">
        <w:rPr>
          <w:rFonts w:eastAsia="Times New Roman"/>
          <w:lang w:eastAsia="de-DE"/>
        </w:rPr>
        <w:t xml:space="preserve">ist Präposition </w:t>
      </w:r>
      <w:r w:rsidRPr="008D099B">
        <w:rPr>
          <w:rFonts w:eastAsia="Times New Roman"/>
          <w:b/>
          <w:bCs/>
          <w:rtl/>
          <w:lang w:eastAsia="de-DE"/>
        </w:rPr>
        <w:t>בְּ</w:t>
      </w:r>
      <w:r w:rsidRPr="008D099B">
        <w:rPr>
          <w:rFonts w:eastAsia="Times New Roman"/>
          <w:rtl/>
          <w:lang w:eastAsia="de-DE"/>
        </w:rPr>
        <w:t xml:space="preserve"> </w:t>
      </w:r>
      <w:r w:rsidRPr="008D099B">
        <w:rPr>
          <w:rFonts w:eastAsia="Times New Roman"/>
          <w:lang w:eastAsia="de-DE"/>
        </w:rPr>
        <w:t xml:space="preserve">mit dem Ortsnamen </w:t>
      </w:r>
      <w:r w:rsidRPr="008D099B">
        <w:rPr>
          <w:rFonts w:eastAsia="Times New Roman"/>
          <w:b/>
          <w:bCs/>
          <w:rtl/>
          <w:lang w:eastAsia="de-DE"/>
        </w:rPr>
        <w:t>קָדֵשׁ</w:t>
      </w:r>
      <w:r w:rsidRPr="008D099B">
        <w:rPr>
          <w:rFonts w:eastAsia="Times New Roman"/>
          <w:rtl/>
          <w:lang w:eastAsia="de-DE"/>
        </w:rPr>
        <w:t xml:space="preserve"> </w:t>
      </w:r>
      <w:r w:rsidRPr="008D099B">
        <w:rPr>
          <w:rFonts w:eastAsia="Times New Roman"/>
          <w:lang w:eastAsia="de-DE"/>
        </w:rPr>
        <w:t xml:space="preserve">(„Kadesch"), eine Kurzform von </w:t>
      </w:r>
      <w:r w:rsidRPr="008D099B">
        <w:rPr>
          <w:rFonts w:eastAsia="Times New Roman"/>
          <w:b/>
          <w:bCs/>
          <w:rtl/>
          <w:lang w:eastAsia="de-DE"/>
        </w:rPr>
        <w:t>קָדֵשׁ בַּרְנֵעַ</w:t>
      </w:r>
      <w:r w:rsidRPr="008D099B">
        <w:rPr>
          <w:rFonts w:eastAsia="Times New Roman"/>
          <w:rtl/>
          <w:lang w:eastAsia="de-DE"/>
        </w:rPr>
        <w:t xml:space="preserve"> </w:t>
      </w:r>
      <w:r w:rsidRPr="008D099B">
        <w:rPr>
          <w:rFonts w:eastAsia="Times New Roman"/>
          <w:lang w:eastAsia="de-DE"/>
        </w:rPr>
        <w:t xml:space="preserve">aus V. 2 und 19. </w:t>
      </w:r>
      <w:r w:rsidRPr="008D099B">
        <w:rPr>
          <w:rFonts w:eastAsia="Times New Roman"/>
          <w:b/>
          <w:bCs/>
          <w:rtl/>
          <w:lang w:eastAsia="de-DE"/>
        </w:rPr>
        <w:t>יָמִים רַבִּים</w:t>
      </w:r>
      <w:r w:rsidRPr="008D099B">
        <w:rPr>
          <w:rFonts w:eastAsia="Times New Roman"/>
          <w:rtl/>
          <w:lang w:eastAsia="de-DE"/>
        </w:rPr>
        <w:t xml:space="preserve"> </w:t>
      </w:r>
      <w:r w:rsidRPr="008D099B">
        <w:rPr>
          <w:rFonts w:eastAsia="Times New Roman"/>
          <w:lang w:eastAsia="de-DE"/>
        </w:rPr>
        <w:t xml:space="preserve">ist eine temporale Akkusativphrase: </w:t>
      </w:r>
      <w:r w:rsidRPr="008D099B">
        <w:rPr>
          <w:rFonts w:eastAsia="Times New Roman"/>
          <w:b/>
          <w:bCs/>
          <w:rtl/>
          <w:lang w:eastAsia="de-DE"/>
        </w:rPr>
        <w:t>יָמִים</w:t>
      </w:r>
      <w:r w:rsidRPr="008D099B">
        <w:rPr>
          <w:rFonts w:eastAsia="Times New Roman"/>
          <w:rtl/>
          <w:lang w:eastAsia="de-DE"/>
        </w:rPr>
        <w:t xml:space="preserve"> </w:t>
      </w:r>
      <w:r w:rsidRPr="008D099B">
        <w:rPr>
          <w:rFonts w:eastAsia="Times New Roman"/>
          <w:lang w:eastAsia="de-DE"/>
        </w:rPr>
        <w:t xml:space="preserve">(Plural von </w:t>
      </w:r>
      <w:r w:rsidRPr="008D099B">
        <w:rPr>
          <w:rFonts w:eastAsia="Times New Roman"/>
          <w:b/>
          <w:bCs/>
          <w:rtl/>
          <w:lang w:eastAsia="de-DE"/>
        </w:rPr>
        <w:t>יוֹם</w:t>
      </w:r>
      <w:r w:rsidRPr="008D099B">
        <w:rPr>
          <w:rFonts w:eastAsia="Times New Roman"/>
          <w:rtl/>
          <w:lang w:eastAsia="de-DE"/>
        </w:rPr>
        <w:t xml:space="preserve"> </w:t>
      </w:r>
      <w:r w:rsidRPr="008D099B">
        <w:rPr>
          <w:rFonts w:eastAsia="Times New Roman"/>
          <w:lang w:eastAsia="de-DE"/>
        </w:rPr>
        <w:t xml:space="preserve">„Tag") und </w:t>
      </w:r>
      <w:r w:rsidRPr="008D099B">
        <w:rPr>
          <w:rFonts w:eastAsia="Times New Roman"/>
          <w:b/>
          <w:bCs/>
          <w:rtl/>
          <w:lang w:eastAsia="de-DE"/>
        </w:rPr>
        <w:t>רַבִּים</w:t>
      </w:r>
      <w:r w:rsidRPr="008D099B">
        <w:rPr>
          <w:rFonts w:eastAsia="Times New Roman"/>
          <w:rtl/>
          <w:lang w:eastAsia="de-DE"/>
        </w:rPr>
        <w:t xml:space="preserve"> </w:t>
      </w:r>
      <w:r w:rsidRPr="008D099B">
        <w:rPr>
          <w:rFonts w:eastAsia="Times New Roman"/>
          <w:lang w:eastAsia="de-DE"/>
        </w:rPr>
        <w:t xml:space="preserve">(Plural von </w:t>
      </w:r>
      <w:r w:rsidRPr="008D099B">
        <w:rPr>
          <w:rFonts w:eastAsia="Times New Roman"/>
          <w:b/>
          <w:bCs/>
          <w:rtl/>
          <w:lang w:eastAsia="de-DE"/>
        </w:rPr>
        <w:t>רַב</w:t>
      </w:r>
      <w:r w:rsidRPr="008D099B">
        <w:rPr>
          <w:rFonts w:eastAsia="Times New Roman"/>
          <w:rtl/>
          <w:lang w:eastAsia="de-DE"/>
        </w:rPr>
        <w:t xml:space="preserve"> </w:t>
      </w:r>
      <w:r w:rsidRPr="008D099B">
        <w:rPr>
          <w:rFonts w:eastAsia="Times New Roman"/>
          <w:lang w:eastAsia="de-DE"/>
        </w:rPr>
        <w:t>„viel, zahlreich").</w:t>
      </w:r>
    </w:p>
    <w:p w14:paraId="783C391D"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rtl/>
          <w:lang w:eastAsia="de-DE"/>
        </w:rPr>
        <w:t>כַּיָּמִים אֲשֶׁר יְשַׁבְתֶּם</w:t>
      </w:r>
      <w:r w:rsidRPr="008D099B">
        <w:rPr>
          <w:rFonts w:eastAsia="Times New Roman"/>
          <w:rtl/>
          <w:lang w:eastAsia="de-DE"/>
        </w:rPr>
        <w:t xml:space="preserve"> </w:t>
      </w:r>
      <w:r w:rsidRPr="008D099B">
        <w:rPr>
          <w:rFonts w:eastAsia="Times New Roman"/>
          <w:lang w:eastAsia="de-DE"/>
        </w:rPr>
        <w:t xml:space="preserve">ist ein Vergleichssatz: </w:t>
      </w:r>
      <w:r w:rsidRPr="008D099B">
        <w:rPr>
          <w:rFonts w:eastAsia="Times New Roman"/>
          <w:b/>
          <w:bCs/>
          <w:rtl/>
          <w:lang w:eastAsia="de-DE"/>
        </w:rPr>
        <w:t>כְּ</w:t>
      </w:r>
      <w:r w:rsidRPr="008D099B">
        <w:rPr>
          <w:rFonts w:eastAsia="Times New Roman"/>
          <w:rtl/>
          <w:lang w:eastAsia="de-DE"/>
        </w:rPr>
        <w:t xml:space="preserve"> </w:t>
      </w:r>
      <w:r w:rsidRPr="008D099B">
        <w:rPr>
          <w:rFonts w:eastAsia="Times New Roman"/>
          <w:lang w:eastAsia="de-DE"/>
        </w:rPr>
        <w:t xml:space="preserve">(„wie, gemäß") mit </w:t>
      </w:r>
      <w:r w:rsidRPr="008D099B">
        <w:rPr>
          <w:rFonts w:eastAsia="Times New Roman"/>
          <w:b/>
          <w:bCs/>
          <w:rtl/>
          <w:lang w:eastAsia="de-DE"/>
        </w:rPr>
        <w:t>יָמִים</w:t>
      </w:r>
      <w:r w:rsidRPr="008D099B">
        <w:rPr>
          <w:rFonts w:eastAsia="Times New Roman"/>
          <w:rtl/>
          <w:lang w:eastAsia="de-DE"/>
        </w:rPr>
        <w:t xml:space="preserve"> </w:t>
      </w:r>
      <w:r w:rsidRPr="008D099B">
        <w:rPr>
          <w:rFonts w:eastAsia="Times New Roman"/>
          <w:lang w:eastAsia="de-DE"/>
        </w:rPr>
        <w:t xml:space="preserve">(mit Artikel </w:t>
      </w:r>
      <w:r w:rsidRPr="008D099B">
        <w:rPr>
          <w:rFonts w:eastAsia="Times New Roman"/>
          <w:b/>
          <w:bCs/>
          <w:rtl/>
          <w:lang w:eastAsia="de-DE"/>
        </w:rPr>
        <w:t>הַ</w:t>
      </w:r>
      <w:r w:rsidRPr="008D099B">
        <w:rPr>
          <w:rFonts w:eastAsia="Times New Roman"/>
          <w:lang w:eastAsia="de-DE"/>
        </w:rPr>
        <w:t xml:space="preserve">, der zu </w:t>
      </w:r>
      <w:r w:rsidRPr="008D099B">
        <w:rPr>
          <w:rFonts w:eastAsia="Times New Roman"/>
          <w:b/>
          <w:bCs/>
          <w:rtl/>
          <w:lang w:eastAsia="de-DE"/>
        </w:rPr>
        <w:t>כַּ</w:t>
      </w:r>
      <w:r w:rsidRPr="008D099B">
        <w:rPr>
          <w:rFonts w:eastAsia="Times New Roman"/>
          <w:rtl/>
          <w:lang w:eastAsia="de-DE"/>
        </w:rPr>
        <w:t xml:space="preserve"> </w:t>
      </w:r>
      <w:r w:rsidRPr="008D099B">
        <w:rPr>
          <w:rFonts w:eastAsia="Times New Roman"/>
          <w:lang w:eastAsia="de-DE"/>
        </w:rPr>
        <w:t xml:space="preserve">assimiliert ist), Relativsatz mit </w:t>
      </w:r>
      <w:r w:rsidRPr="008D099B">
        <w:rPr>
          <w:rFonts w:eastAsia="Times New Roman"/>
          <w:b/>
          <w:bCs/>
          <w:rtl/>
          <w:lang w:eastAsia="de-DE"/>
        </w:rPr>
        <w:t>אֲשֶׁר</w:t>
      </w:r>
      <w:r w:rsidRPr="008D099B">
        <w:rPr>
          <w:rFonts w:eastAsia="Times New Roman"/>
          <w:rtl/>
          <w:lang w:eastAsia="de-DE"/>
        </w:rPr>
        <w:t xml:space="preserve"> </w:t>
      </w:r>
      <w:r w:rsidRPr="008D099B">
        <w:rPr>
          <w:rFonts w:eastAsia="Times New Roman"/>
          <w:lang w:eastAsia="de-DE"/>
        </w:rPr>
        <w:t xml:space="preserve">und </w:t>
      </w:r>
      <w:r w:rsidRPr="008D099B">
        <w:rPr>
          <w:rFonts w:eastAsia="Times New Roman"/>
          <w:b/>
          <w:bCs/>
          <w:rtl/>
          <w:lang w:eastAsia="de-DE"/>
        </w:rPr>
        <w:t>יְשַׁבְתֶּם</w:t>
      </w:r>
      <w:r w:rsidRPr="008D099B">
        <w:rPr>
          <w:rFonts w:eastAsia="Times New Roman"/>
          <w:rtl/>
          <w:lang w:eastAsia="de-DE"/>
        </w:rPr>
        <w:t xml:space="preserve"> </w:t>
      </w:r>
      <w:r w:rsidRPr="008D099B">
        <w:rPr>
          <w:rFonts w:eastAsia="Times New Roman"/>
          <w:lang w:eastAsia="de-DE"/>
        </w:rPr>
        <w:t xml:space="preserve">(Qal Perfekt, 2. Person maskulin Plural von </w:t>
      </w:r>
      <w:r w:rsidRPr="008D099B">
        <w:rPr>
          <w:rFonts w:eastAsia="Times New Roman"/>
          <w:rtl/>
          <w:lang w:eastAsia="de-DE"/>
        </w:rPr>
        <w:t>ישׁב</w:t>
      </w:r>
      <w:r w:rsidRPr="008D099B">
        <w:rPr>
          <w:rFonts w:eastAsia="Times New Roman"/>
          <w:lang w:eastAsia="de-DE"/>
        </w:rPr>
        <w:t>). Die Phrase ist etwas kryptisch und wird verschieden interpretiert: „wie die Tage, die ihr (dort) gewohnt habt" oder „entsprechend der Anzahl der Tage". Sie betont die lange Dauer des Aufenthalts in Kadesch.</w:t>
      </w:r>
    </w:p>
    <w:p w14:paraId="3967FBE8"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b/>
          <w:bCs/>
          <w:lang w:eastAsia="de-DE"/>
        </w:rPr>
        <w:t>Die LXX</w:t>
      </w:r>
      <w:r w:rsidRPr="008D099B">
        <w:rPr>
          <w:rFonts w:eastAsia="Times New Roman"/>
          <w:lang w:eastAsia="de-DE"/>
        </w:rPr>
        <w:t xml:space="preserve"> übersetzt „καὶ </w:t>
      </w:r>
      <w:proofErr w:type="spellStart"/>
      <w:r w:rsidRPr="008D099B">
        <w:rPr>
          <w:rFonts w:eastAsia="Times New Roman"/>
          <w:lang w:eastAsia="de-DE"/>
        </w:rPr>
        <w:t>ἐνεκ</w:t>
      </w:r>
      <w:proofErr w:type="spellEnd"/>
      <w:r w:rsidRPr="008D099B">
        <w:rPr>
          <w:rFonts w:eastAsia="Times New Roman"/>
          <w:lang w:eastAsia="de-DE"/>
        </w:rPr>
        <w:t xml:space="preserve">αθήσθε </w:t>
      </w:r>
      <w:proofErr w:type="spellStart"/>
      <w:r w:rsidRPr="008D099B">
        <w:rPr>
          <w:rFonts w:eastAsia="Times New Roman"/>
          <w:lang w:eastAsia="de-DE"/>
        </w:rPr>
        <w:t>ἐν</w:t>
      </w:r>
      <w:proofErr w:type="spellEnd"/>
      <w:r w:rsidRPr="008D099B">
        <w:rPr>
          <w:rFonts w:eastAsia="Times New Roman"/>
          <w:lang w:eastAsia="de-DE"/>
        </w:rPr>
        <w:t xml:space="preserve"> Κα</w:t>
      </w:r>
      <w:proofErr w:type="spellStart"/>
      <w:r w:rsidRPr="008D099B">
        <w:rPr>
          <w:rFonts w:eastAsia="Times New Roman"/>
          <w:lang w:eastAsia="de-DE"/>
        </w:rPr>
        <w:t>δης</w:t>
      </w:r>
      <w:proofErr w:type="spellEnd"/>
      <w:r w:rsidRPr="008D099B">
        <w:rPr>
          <w:rFonts w:eastAsia="Times New Roman"/>
          <w:lang w:eastAsia="de-DE"/>
        </w:rPr>
        <w:t xml:space="preserve"> </w:t>
      </w:r>
      <w:proofErr w:type="spellStart"/>
      <w:r w:rsidRPr="008D099B">
        <w:rPr>
          <w:rFonts w:eastAsia="Times New Roman"/>
          <w:lang w:eastAsia="de-DE"/>
        </w:rPr>
        <w:t>ἡμέρ</w:t>
      </w:r>
      <w:proofErr w:type="spellEnd"/>
      <w:r w:rsidRPr="008D099B">
        <w:rPr>
          <w:rFonts w:eastAsia="Times New Roman"/>
          <w:lang w:eastAsia="de-DE"/>
        </w:rPr>
        <w:t>ας π</w:t>
      </w:r>
      <w:proofErr w:type="spellStart"/>
      <w:r w:rsidRPr="008D099B">
        <w:rPr>
          <w:rFonts w:eastAsia="Times New Roman"/>
          <w:lang w:eastAsia="de-DE"/>
        </w:rPr>
        <w:t>ολλάς</w:t>
      </w:r>
      <w:proofErr w:type="spellEnd"/>
      <w:r w:rsidRPr="008D099B">
        <w:rPr>
          <w:rFonts w:eastAsia="Times New Roman"/>
          <w:lang w:eastAsia="de-DE"/>
        </w:rPr>
        <w:t xml:space="preserve">, </w:t>
      </w:r>
      <w:proofErr w:type="spellStart"/>
      <w:r w:rsidRPr="008D099B">
        <w:rPr>
          <w:rFonts w:eastAsia="Times New Roman"/>
          <w:lang w:eastAsia="de-DE"/>
        </w:rPr>
        <w:t>ὅσ</w:t>
      </w:r>
      <w:proofErr w:type="spellEnd"/>
      <w:r w:rsidRPr="008D099B">
        <w:rPr>
          <w:rFonts w:eastAsia="Times New Roman"/>
          <w:lang w:eastAsia="de-DE"/>
        </w:rPr>
        <w:t xml:space="preserve">ας </w:t>
      </w:r>
      <w:proofErr w:type="spellStart"/>
      <w:r w:rsidRPr="008D099B">
        <w:rPr>
          <w:rFonts w:eastAsia="Times New Roman"/>
          <w:lang w:eastAsia="de-DE"/>
        </w:rPr>
        <w:t>ἡμέρ</w:t>
      </w:r>
      <w:proofErr w:type="spellEnd"/>
      <w:r w:rsidRPr="008D099B">
        <w:rPr>
          <w:rFonts w:eastAsia="Times New Roman"/>
          <w:lang w:eastAsia="de-DE"/>
        </w:rPr>
        <w:t xml:space="preserve">ας </w:t>
      </w:r>
      <w:proofErr w:type="spellStart"/>
      <w:r w:rsidRPr="008D099B">
        <w:rPr>
          <w:rFonts w:eastAsia="Times New Roman"/>
          <w:lang w:eastAsia="de-DE"/>
        </w:rPr>
        <w:t>ἐνεκ</w:t>
      </w:r>
      <w:proofErr w:type="spellEnd"/>
      <w:r w:rsidRPr="008D099B">
        <w:rPr>
          <w:rFonts w:eastAsia="Times New Roman"/>
          <w:lang w:eastAsia="de-DE"/>
        </w:rPr>
        <w:t xml:space="preserve">αθήσθε" („und ihr saßet in Kades viele Tage, so viele Tage ihr gesessen seid"). Die LXX macht die zeitliche Entsprechung mit </w:t>
      </w:r>
      <w:proofErr w:type="spellStart"/>
      <w:r w:rsidRPr="008D099B">
        <w:rPr>
          <w:rFonts w:eastAsia="Times New Roman"/>
          <w:b/>
          <w:bCs/>
          <w:lang w:eastAsia="de-DE"/>
        </w:rPr>
        <w:t>ὅσ</w:t>
      </w:r>
      <w:proofErr w:type="spellEnd"/>
      <w:r w:rsidRPr="008D099B">
        <w:rPr>
          <w:rFonts w:eastAsia="Times New Roman"/>
          <w:b/>
          <w:bCs/>
          <w:lang w:eastAsia="de-DE"/>
        </w:rPr>
        <w:t>ας</w:t>
      </w:r>
      <w:r w:rsidRPr="008D099B">
        <w:rPr>
          <w:rFonts w:eastAsia="Times New Roman"/>
          <w:lang w:eastAsia="de-DE"/>
        </w:rPr>
        <w:t xml:space="preserve"> („so viele wie") deutlicher.</w:t>
      </w:r>
    </w:p>
    <w:p w14:paraId="6537BC2F" w14:textId="2A39E976"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lang w:eastAsia="de-DE"/>
        </w:rPr>
        <w:lastRenderedPageBreak/>
        <w:t xml:space="preserve">Die Satzstruktur </w:t>
      </w:r>
      <w:r w:rsidR="00FE3DFE">
        <w:t>ein einfacher Hauptsatz (</w:t>
      </w:r>
      <w:r w:rsidR="00FE3DFE" w:rsidRPr="00FE3DFE">
        <w:rPr>
          <w:b/>
          <w:bCs/>
          <w:rtl/>
        </w:rPr>
        <w:t>וַתֵּשְׁבוּ בְּקָדֵשׁ</w:t>
      </w:r>
      <w:r w:rsidR="00FE3DFE">
        <w:t>) vor, gefolgt von einer temporalen Akkusativbestimmung (</w:t>
      </w:r>
      <w:r w:rsidR="00FE3DFE" w:rsidRPr="00FE3DFE">
        <w:rPr>
          <w:b/>
          <w:bCs/>
          <w:rtl/>
        </w:rPr>
        <w:t>יָמִים רַבִּים</w:t>
      </w:r>
      <w:r w:rsidR="00FE3DFE">
        <w:t>) und einem abschließenden Vergleichssatz (</w:t>
      </w:r>
      <w:r w:rsidR="00FE3DFE" w:rsidRPr="00FE3DFE">
        <w:rPr>
          <w:b/>
          <w:bCs/>
          <w:rtl/>
        </w:rPr>
        <w:t>כַּיָּמִים אֲשֶׁר יְשַׁבְתֶּם</w:t>
      </w:r>
      <w:r w:rsidR="00FE3DFE">
        <w:t>), der die Dauer zusätzlich hervorhebt.</w:t>
      </w:r>
    </w:p>
    <w:p w14:paraId="263B4D2A" w14:textId="77777777" w:rsidR="008D099B" w:rsidRPr="008D099B" w:rsidRDefault="008D099B" w:rsidP="008D099B">
      <w:pPr>
        <w:spacing w:before="100" w:beforeAutospacing="1" w:after="100" w:afterAutospacing="1" w:line="240" w:lineRule="auto"/>
        <w:rPr>
          <w:rFonts w:eastAsia="Times New Roman"/>
          <w:lang w:eastAsia="de-DE"/>
        </w:rPr>
      </w:pPr>
      <w:r w:rsidRPr="008D099B">
        <w:rPr>
          <w:rFonts w:eastAsia="Times New Roman"/>
          <w:lang w:eastAsia="de-DE"/>
        </w:rPr>
        <w:t xml:space="preserve">Der Vers schließt das Kapitel mit dem langen Aufenthalt in Kadesch ab, der den Beginn der 40-jährigen Wüstenwanderung markiert. Die etwas tautologische Formulierung </w:t>
      </w:r>
      <w:r w:rsidRPr="008D099B">
        <w:rPr>
          <w:rFonts w:eastAsia="Times New Roman"/>
          <w:b/>
          <w:bCs/>
          <w:rtl/>
          <w:lang w:eastAsia="de-DE"/>
        </w:rPr>
        <w:t>כַּיָּמִים אֲשֶׁר יְשַׁבְתֶּם</w:t>
      </w:r>
      <w:r w:rsidRPr="008D099B">
        <w:rPr>
          <w:rFonts w:eastAsia="Times New Roman"/>
          <w:rtl/>
          <w:lang w:eastAsia="de-DE"/>
        </w:rPr>
        <w:t xml:space="preserve"> </w:t>
      </w:r>
      <w:r w:rsidRPr="008D099B">
        <w:rPr>
          <w:rFonts w:eastAsia="Times New Roman"/>
          <w:lang w:eastAsia="de-DE"/>
        </w:rPr>
        <w:t>(„wie die Tage, die ihr saßt") betont die Länge der Zeit und möglicherweise auch die Monotonie des Wartens auf das Sterben der Exodusgeneration. Kadesch wird zum Symbol des Stillstands zwischen Verheißung und Erfüllung.</w:t>
      </w:r>
    </w:p>
    <w:p w14:paraId="106C1555" w14:textId="77777777" w:rsidR="00D94821" w:rsidRPr="00D94821" w:rsidRDefault="00D94821" w:rsidP="00D94821">
      <w:pPr>
        <w:spacing w:before="100" w:beforeAutospacing="1" w:after="100" w:afterAutospacing="1" w:line="240" w:lineRule="auto"/>
        <w:outlineLvl w:val="1"/>
        <w:rPr>
          <w:rFonts w:eastAsia="Times New Roman"/>
          <w:b/>
          <w:bCs/>
          <w:sz w:val="36"/>
          <w:szCs w:val="36"/>
          <w:lang w:eastAsia="de-DE"/>
        </w:rPr>
      </w:pPr>
      <w:r w:rsidRPr="00D94821">
        <w:rPr>
          <w:rFonts w:eastAsia="Times New Roman"/>
          <w:b/>
          <w:bCs/>
          <w:sz w:val="36"/>
          <w:szCs w:val="36"/>
          <w:lang w:eastAsia="de-DE"/>
        </w:rPr>
        <w:t>Deuteronomium 2,1</w:t>
      </w:r>
    </w:p>
    <w:p w14:paraId="1D7B2631"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lang w:eastAsia="de-DE"/>
        </w:rPr>
        <w:t>Hebräisch:</w:t>
      </w:r>
      <w:r w:rsidRPr="00D94821">
        <w:rPr>
          <w:rFonts w:eastAsia="Times New Roman"/>
          <w:lang w:eastAsia="de-DE"/>
        </w:rPr>
        <w:t xml:space="preserve"> </w:t>
      </w:r>
      <w:r w:rsidRPr="00D94821">
        <w:rPr>
          <w:rFonts w:eastAsia="Times New Roman"/>
          <w:rtl/>
          <w:lang w:eastAsia="de-DE"/>
        </w:rPr>
        <w:t>וַנֵּ֜פֶן וַנִּסַּ֤ע הַמִּדְבָּ֙רָה֙ דֶּ֣רֶךְ יַם־ס֔וּף כַּאֲשֶׁ֛ר דִּבֶּ֥ר יְהוָ֖ה אֵלָ֑י וַנָּ֥סָב אֶת־הַר־שֵׂעִ֖יר יָמִ֥ים רַבִּֽים׃</w:t>
      </w:r>
    </w:p>
    <w:p w14:paraId="1874D4C9"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lang w:eastAsia="de-DE"/>
        </w:rPr>
        <w:t>Deutsch:</w:t>
      </w:r>
      <w:r w:rsidRPr="00D94821">
        <w:rPr>
          <w:rFonts w:eastAsia="Times New Roman"/>
          <w:lang w:eastAsia="de-DE"/>
        </w:rPr>
        <w:t xml:space="preserve"> Und wir wandten uns und brachen auf zur Wüste, auf dem Weg zum Schilfmeer, wie der Ewige zu mir geredet hatte; und wir umzogen das Gebirge Se'ir viele Tage.</w:t>
      </w:r>
    </w:p>
    <w:p w14:paraId="5513D239" w14:textId="77777777" w:rsidR="00D94821" w:rsidRPr="00D94821" w:rsidRDefault="004F5CEB" w:rsidP="00D94821">
      <w:pPr>
        <w:spacing w:after="0" w:line="240" w:lineRule="auto"/>
        <w:rPr>
          <w:rFonts w:eastAsia="Times New Roman"/>
          <w:lang w:eastAsia="de-DE"/>
        </w:rPr>
      </w:pPr>
      <w:r>
        <w:rPr>
          <w:rFonts w:eastAsia="Times New Roman"/>
          <w:noProof/>
          <w:lang w:eastAsia="de-DE"/>
        </w:rPr>
        <w:pict w14:anchorId="38195DF3">
          <v:rect id="_x0000_i1071" style="width:0;height:1.5pt" o:hralign="center" o:hrstd="t" o:hr="t" fillcolor="#a0a0a0" stroked="f"/>
        </w:pict>
      </w:r>
    </w:p>
    <w:p w14:paraId="7474BF2D" w14:textId="5A9268F9"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lang w:eastAsia="de-DE"/>
        </w:rPr>
        <w:t>Kommentar:</w:t>
      </w:r>
      <w:r w:rsidRPr="00D94821">
        <w:rPr>
          <w:rFonts w:eastAsia="Times New Roman"/>
          <w:lang w:eastAsia="de-DE"/>
        </w:rPr>
        <w:t xml:space="preserve"> </w:t>
      </w:r>
      <w:r w:rsidRPr="00D94821">
        <w:rPr>
          <w:rFonts w:eastAsia="Times New Roman"/>
          <w:b/>
          <w:bCs/>
          <w:rtl/>
          <w:lang w:eastAsia="de-DE"/>
        </w:rPr>
        <w:t>וַנֵּפֶן</w:t>
      </w:r>
      <w:r w:rsidRPr="00D94821">
        <w:rPr>
          <w:rFonts w:eastAsia="Times New Roman"/>
          <w:rtl/>
          <w:lang w:eastAsia="de-DE"/>
        </w:rPr>
        <w:t xml:space="preserve"> </w:t>
      </w:r>
      <w:r w:rsidRPr="00D94821">
        <w:rPr>
          <w:rFonts w:eastAsia="Times New Roman"/>
          <w:lang w:eastAsia="de-DE"/>
        </w:rPr>
        <w:t xml:space="preserve">ist Qal Imperfekt consecutivum, 1. Person Plural von </w:t>
      </w:r>
      <w:r w:rsidRPr="00D94821">
        <w:rPr>
          <w:rFonts w:eastAsia="Times New Roman"/>
          <w:rtl/>
          <w:lang w:eastAsia="de-DE"/>
        </w:rPr>
        <w:t>פנה</w:t>
      </w:r>
      <w:r w:rsidRPr="00D94821">
        <w:rPr>
          <w:rFonts w:eastAsia="Times New Roman"/>
          <w:lang w:eastAsia="de-DE"/>
        </w:rPr>
        <w:t xml:space="preserve"> („sich wenden, umkehren") mit Waw. </w:t>
      </w:r>
      <w:r w:rsidRPr="00D94821">
        <w:rPr>
          <w:rFonts w:eastAsia="Times New Roman"/>
          <w:b/>
          <w:bCs/>
          <w:rtl/>
          <w:lang w:eastAsia="de-DE"/>
        </w:rPr>
        <w:t>וַנִּסַּע</w:t>
      </w:r>
      <w:r w:rsidRPr="00D94821">
        <w:rPr>
          <w:rFonts w:eastAsia="Times New Roman"/>
          <w:rtl/>
          <w:lang w:eastAsia="de-DE"/>
        </w:rPr>
        <w:t xml:space="preserve"> </w:t>
      </w:r>
      <w:r w:rsidRPr="00D94821">
        <w:rPr>
          <w:rFonts w:eastAsia="Times New Roman"/>
          <w:lang w:eastAsia="de-DE"/>
        </w:rPr>
        <w:t xml:space="preserve">ist Qal Imperfekt consecutivum, 1. Person Plural von </w:t>
      </w:r>
      <w:r w:rsidRPr="00D94821">
        <w:rPr>
          <w:rFonts w:eastAsia="Times New Roman"/>
          <w:rtl/>
          <w:lang w:eastAsia="de-DE"/>
        </w:rPr>
        <w:t>נסע</w:t>
      </w:r>
      <w:r w:rsidRPr="00D94821">
        <w:rPr>
          <w:rFonts w:eastAsia="Times New Roman"/>
          <w:lang w:eastAsia="de-DE"/>
        </w:rPr>
        <w:t xml:space="preserve"> („aufbrechen, ausziehen") mit Waw. </w:t>
      </w:r>
      <w:r w:rsidRPr="00D94821">
        <w:rPr>
          <w:rFonts w:eastAsia="Times New Roman"/>
          <w:b/>
          <w:bCs/>
          <w:rtl/>
          <w:lang w:eastAsia="de-DE"/>
        </w:rPr>
        <w:t>הַמִּדְבָּרָה</w:t>
      </w:r>
      <w:r w:rsidRPr="00D94821">
        <w:rPr>
          <w:rFonts w:eastAsia="Times New Roman"/>
          <w:rtl/>
          <w:lang w:eastAsia="de-DE"/>
        </w:rPr>
        <w:t xml:space="preserve"> </w:t>
      </w:r>
      <w:r w:rsidRPr="00D94821">
        <w:rPr>
          <w:rFonts w:eastAsia="Times New Roman"/>
          <w:lang w:eastAsia="de-DE"/>
        </w:rPr>
        <w:t xml:space="preserve">ist </w:t>
      </w:r>
      <w:r w:rsidRPr="00D94821">
        <w:rPr>
          <w:rFonts w:eastAsia="Times New Roman"/>
          <w:b/>
          <w:bCs/>
          <w:rtl/>
          <w:lang w:eastAsia="de-DE"/>
        </w:rPr>
        <w:t>הַמִּדְבָּר</w:t>
      </w:r>
      <w:r w:rsidRPr="00D94821">
        <w:rPr>
          <w:rFonts w:eastAsia="Times New Roman"/>
          <w:rtl/>
          <w:lang w:eastAsia="de-DE"/>
        </w:rPr>
        <w:t xml:space="preserve"> </w:t>
      </w:r>
      <w:r w:rsidRPr="00D94821">
        <w:rPr>
          <w:rFonts w:eastAsia="Times New Roman"/>
          <w:lang w:eastAsia="de-DE"/>
        </w:rPr>
        <w:t xml:space="preserve">(„die Wüste") mit He locale (Richtungsendung </w:t>
      </w:r>
      <w:r w:rsidRPr="00D94821">
        <w:rPr>
          <w:rFonts w:eastAsia="Times New Roman"/>
          <w:b/>
          <w:bCs/>
          <w:rtl/>
          <w:lang w:eastAsia="de-DE"/>
        </w:rPr>
        <w:t>ה</w:t>
      </w:r>
      <w:r w:rsidRPr="00D94821">
        <w:rPr>
          <w:rFonts w:eastAsia="Times New Roman"/>
          <w:lang w:eastAsia="de-DE"/>
        </w:rPr>
        <w:t xml:space="preserve">), was „zur Wüste hin, wüstenwärts" bedeutet. </w:t>
      </w:r>
      <w:r w:rsidRPr="00D94821">
        <w:rPr>
          <w:rFonts w:eastAsia="Times New Roman"/>
          <w:b/>
          <w:bCs/>
          <w:rtl/>
          <w:lang w:eastAsia="de-DE"/>
        </w:rPr>
        <w:t>דֶּרֶךְ יַם־סוּף</w:t>
      </w:r>
      <w:r w:rsidRPr="00D94821">
        <w:rPr>
          <w:rFonts w:eastAsia="Times New Roman"/>
          <w:rtl/>
          <w:lang w:eastAsia="de-DE"/>
        </w:rPr>
        <w:t xml:space="preserve"> </w:t>
      </w:r>
      <w:r w:rsidRPr="00D94821">
        <w:rPr>
          <w:rFonts w:eastAsia="Times New Roman"/>
          <w:lang w:eastAsia="de-DE"/>
        </w:rPr>
        <w:t xml:space="preserve">ist eine akkusativische Wegangabe: </w:t>
      </w:r>
      <w:r w:rsidRPr="00D94821">
        <w:rPr>
          <w:rFonts w:eastAsia="Times New Roman"/>
          <w:b/>
          <w:bCs/>
          <w:rtl/>
          <w:lang w:eastAsia="de-DE"/>
        </w:rPr>
        <w:t>דֶּרֶךְ</w:t>
      </w:r>
      <w:r w:rsidRPr="00D94821">
        <w:rPr>
          <w:rFonts w:eastAsia="Times New Roman"/>
          <w:rtl/>
          <w:lang w:eastAsia="de-DE"/>
        </w:rPr>
        <w:t xml:space="preserve"> </w:t>
      </w:r>
      <w:r w:rsidRPr="00D94821">
        <w:rPr>
          <w:rFonts w:eastAsia="Times New Roman"/>
          <w:lang w:eastAsia="de-DE"/>
        </w:rPr>
        <w:t xml:space="preserve">(„Weg") im </w:t>
      </w:r>
      <w:r w:rsidR="0032647F">
        <w:rPr>
          <w:rFonts w:eastAsia="Times New Roman"/>
          <w:lang w:eastAsia="de-DE"/>
        </w:rPr>
        <w:t>Construct</w:t>
      </w:r>
      <w:r w:rsidRPr="00D94821">
        <w:rPr>
          <w:rFonts w:eastAsia="Times New Roman"/>
          <w:lang w:eastAsia="de-DE"/>
        </w:rPr>
        <w:t xml:space="preserve"> mit </w:t>
      </w:r>
      <w:r w:rsidRPr="00D94821">
        <w:rPr>
          <w:rFonts w:eastAsia="Times New Roman"/>
          <w:b/>
          <w:bCs/>
          <w:rtl/>
          <w:lang w:eastAsia="de-DE"/>
        </w:rPr>
        <w:t>יַם־סוּף</w:t>
      </w:r>
      <w:r w:rsidRPr="00D94821">
        <w:rPr>
          <w:rFonts w:eastAsia="Times New Roman"/>
          <w:rtl/>
          <w:lang w:eastAsia="de-DE"/>
        </w:rPr>
        <w:t xml:space="preserve"> </w:t>
      </w:r>
      <w:r w:rsidRPr="00D94821">
        <w:rPr>
          <w:rFonts w:eastAsia="Times New Roman"/>
          <w:lang w:eastAsia="de-DE"/>
        </w:rPr>
        <w:t>(„Schilfmeer").</w:t>
      </w:r>
    </w:p>
    <w:p w14:paraId="3DD725D2"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rtl/>
          <w:lang w:eastAsia="de-DE"/>
        </w:rPr>
        <w:t>כַּאֲשֶׁר דִּבֶּר יְהוָה אֵלָי</w:t>
      </w:r>
      <w:r w:rsidRPr="00D94821">
        <w:rPr>
          <w:rFonts w:eastAsia="Times New Roman"/>
          <w:rtl/>
          <w:lang w:eastAsia="de-DE"/>
        </w:rPr>
        <w:t xml:space="preserve"> </w:t>
      </w:r>
      <w:r w:rsidRPr="00D94821">
        <w:rPr>
          <w:rFonts w:eastAsia="Times New Roman"/>
          <w:lang w:eastAsia="de-DE"/>
        </w:rPr>
        <w:t xml:space="preserve">ist ein Vergleichssatz: </w:t>
      </w:r>
      <w:r w:rsidRPr="00D94821">
        <w:rPr>
          <w:rFonts w:eastAsia="Times New Roman"/>
          <w:b/>
          <w:bCs/>
          <w:rtl/>
          <w:lang w:eastAsia="de-DE"/>
        </w:rPr>
        <w:t>כַּאֲשֶׁר</w:t>
      </w:r>
      <w:r w:rsidRPr="00D94821">
        <w:rPr>
          <w:rFonts w:eastAsia="Times New Roman"/>
          <w:rtl/>
          <w:lang w:eastAsia="de-DE"/>
        </w:rPr>
        <w:t xml:space="preserve"> </w:t>
      </w:r>
      <w:r w:rsidRPr="00D94821">
        <w:rPr>
          <w:rFonts w:eastAsia="Times New Roman"/>
          <w:lang w:eastAsia="de-DE"/>
        </w:rPr>
        <w:t xml:space="preserve">(„wie, gemäß wie"), </w:t>
      </w:r>
      <w:r w:rsidRPr="00D94821">
        <w:rPr>
          <w:rFonts w:eastAsia="Times New Roman"/>
          <w:b/>
          <w:bCs/>
          <w:rtl/>
          <w:lang w:eastAsia="de-DE"/>
        </w:rPr>
        <w:t>דִּבֶּר</w:t>
      </w:r>
      <w:r w:rsidRPr="00D94821">
        <w:rPr>
          <w:rFonts w:eastAsia="Times New Roman"/>
          <w:rtl/>
          <w:lang w:eastAsia="de-DE"/>
        </w:rPr>
        <w:t xml:space="preserve"> </w:t>
      </w:r>
      <w:r w:rsidRPr="00D94821">
        <w:rPr>
          <w:rFonts w:eastAsia="Times New Roman"/>
          <w:lang w:eastAsia="de-DE"/>
        </w:rPr>
        <w:t xml:space="preserve">(Piel Perfekt, 3. Person maskulin Singular von </w:t>
      </w:r>
      <w:r w:rsidRPr="00D94821">
        <w:rPr>
          <w:rFonts w:eastAsia="Times New Roman"/>
          <w:rtl/>
          <w:lang w:eastAsia="de-DE"/>
        </w:rPr>
        <w:t>דבר</w:t>
      </w:r>
      <w:r w:rsidRPr="00D94821">
        <w:rPr>
          <w:rFonts w:eastAsia="Times New Roman"/>
          <w:lang w:eastAsia="de-DE"/>
        </w:rPr>
        <w:t xml:space="preserve"> „reden"), </w:t>
      </w:r>
      <w:r w:rsidRPr="00D94821">
        <w:rPr>
          <w:rFonts w:eastAsia="Times New Roman"/>
          <w:b/>
          <w:bCs/>
          <w:rtl/>
          <w:lang w:eastAsia="de-DE"/>
        </w:rPr>
        <w:t>יְהוָה</w:t>
      </w:r>
      <w:r w:rsidRPr="00D94821">
        <w:rPr>
          <w:rFonts w:eastAsia="Times New Roman"/>
          <w:rtl/>
          <w:lang w:eastAsia="de-DE"/>
        </w:rPr>
        <w:t xml:space="preserve"> </w:t>
      </w:r>
      <w:r w:rsidRPr="00D94821">
        <w:rPr>
          <w:rFonts w:eastAsia="Times New Roman"/>
          <w:lang w:eastAsia="de-DE"/>
        </w:rPr>
        <w:t xml:space="preserve">als Subjekt, </w:t>
      </w:r>
      <w:r w:rsidRPr="00D94821">
        <w:rPr>
          <w:rFonts w:eastAsia="Times New Roman"/>
          <w:b/>
          <w:bCs/>
          <w:rtl/>
          <w:lang w:eastAsia="de-DE"/>
        </w:rPr>
        <w:t>אֵלָי</w:t>
      </w:r>
      <w:r w:rsidRPr="00D94821">
        <w:rPr>
          <w:rFonts w:eastAsia="Times New Roman"/>
          <w:rtl/>
          <w:lang w:eastAsia="de-DE"/>
        </w:rPr>
        <w:t xml:space="preserve"> </w:t>
      </w:r>
      <w:r w:rsidRPr="00D94821">
        <w:rPr>
          <w:rFonts w:eastAsia="Times New Roman"/>
          <w:lang w:eastAsia="de-DE"/>
        </w:rPr>
        <w:t>(</w:t>
      </w:r>
      <w:r w:rsidRPr="00D94821">
        <w:rPr>
          <w:rFonts w:eastAsia="Times New Roman"/>
          <w:b/>
          <w:bCs/>
          <w:rtl/>
          <w:lang w:eastAsia="de-DE"/>
        </w:rPr>
        <w:t>אֶל</w:t>
      </w:r>
      <w:r w:rsidRPr="00D94821">
        <w:rPr>
          <w:rFonts w:eastAsia="Times New Roman"/>
          <w:rtl/>
          <w:lang w:eastAsia="de-DE"/>
        </w:rPr>
        <w:t xml:space="preserve"> </w:t>
      </w:r>
      <w:r w:rsidRPr="00D94821">
        <w:rPr>
          <w:rFonts w:eastAsia="Times New Roman"/>
          <w:lang w:eastAsia="de-DE"/>
        </w:rPr>
        <w:t>mit Suffix 1. Person Singular „zu mir"). Diese Phrase bezieht sich auf den göttlichen Befehl in 1,40.</w:t>
      </w:r>
    </w:p>
    <w:p w14:paraId="01D2C887"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rtl/>
          <w:lang w:eastAsia="de-DE"/>
        </w:rPr>
        <w:t>וַנָּסָב</w:t>
      </w:r>
      <w:r w:rsidRPr="00D94821">
        <w:rPr>
          <w:rFonts w:eastAsia="Times New Roman"/>
          <w:rtl/>
          <w:lang w:eastAsia="de-DE"/>
        </w:rPr>
        <w:t xml:space="preserve"> </w:t>
      </w:r>
      <w:r w:rsidRPr="00D94821">
        <w:rPr>
          <w:rFonts w:eastAsia="Times New Roman"/>
          <w:lang w:eastAsia="de-DE"/>
        </w:rPr>
        <w:t xml:space="preserve">ist Qal Imperfekt consecutivum, 1. Person Plural von </w:t>
      </w:r>
      <w:r w:rsidRPr="00D94821">
        <w:rPr>
          <w:rFonts w:eastAsia="Times New Roman"/>
          <w:rtl/>
          <w:lang w:eastAsia="de-DE"/>
        </w:rPr>
        <w:t>סבב</w:t>
      </w:r>
      <w:r w:rsidRPr="00D94821">
        <w:rPr>
          <w:rFonts w:eastAsia="Times New Roman"/>
          <w:lang w:eastAsia="de-DE"/>
        </w:rPr>
        <w:t xml:space="preserve"> („umkreisen, umziehen") mit Waw. </w:t>
      </w:r>
      <w:r w:rsidRPr="00D94821">
        <w:rPr>
          <w:rFonts w:eastAsia="Times New Roman"/>
          <w:b/>
          <w:bCs/>
          <w:rtl/>
          <w:lang w:eastAsia="de-DE"/>
        </w:rPr>
        <w:t>אֶת־הַר־שֵׂעִיר</w:t>
      </w:r>
      <w:r w:rsidRPr="00D94821">
        <w:rPr>
          <w:rFonts w:eastAsia="Times New Roman"/>
          <w:rtl/>
          <w:lang w:eastAsia="de-DE"/>
        </w:rPr>
        <w:t xml:space="preserve"> </w:t>
      </w:r>
      <w:r w:rsidRPr="00D94821">
        <w:rPr>
          <w:rFonts w:eastAsia="Times New Roman"/>
          <w:lang w:eastAsia="de-DE"/>
        </w:rPr>
        <w:t xml:space="preserve">ist die Objektpartikel mit der zusammengesetzten Ortsbezeichnung </w:t>
      </w:r>
      <w:r w:rsidRPr="00D94821">
        <w:rPr>
          <w:rFonts w:eastAsia="Times New Roman"/>
          <w:b/>
          <w:bCs/>
          <w:rtl/>
          <w:lang w:eastAsia="de-DE"/>
        </w:rPr>
        <w:t>הַר־שֵׂעִיר</w:t>
      </w:r>
      <w:r w:rsidRPr="00D94821">
        <w:rPr>
          <w:rFonts w:eastAsia="Times New Roman"/>
          <w:rtl/>
          <w:lang w:eastAsia="de-DE"/>
        </w:rPr>
        <w:t xml:space="preserve"> </w:t>
      </w:r>
      <w:r w:rsidRPr="00D94821">
        <w:rPr>
          <w:rFonts w:eastAsia="Times New Roman"/>
          <w:lang w:eastAsia="de-DE"/>
        </w:rPr>
        <w:t xml:space="preserve">(„das Gebirge Seir"). </w:t>
      </w:r>
      <w:r w:rsidRPr="00D94821">
        <w:rPr>
          <w:rFonts w:eastAsia="Times New Roman"/>
          <w:b/>
          <w:bCs/>
          <w:rtl/>
          <w:lang w:eastAsia="de-DE"/>
        </w:rPr>
        <w:t>יָמִים רַבִּים</w:t>
      </w:r>
      <w:r w:rsidRPr="00D94821">
        <w:rPr>
          <w:rFonts w:eastAsia="Times New Roman"/>
          <w:rtl/>
          <w:lang w:eastAsia="de-DE"/>
        </w:rPr>
        <w:t xml:space="preserve"> </w:t>
      </w:r>
      <w:r w:rsidRPr="00D94821">
        <w:rPr>
          <w:rFonts w:eastAsia="Times New Roman"/>
          <w:lang w:eastAsia="de-DE"/>
        </w:rPr>
        <w:t xml:space="preserve">ist eine temporale Akkusativphrase: </w:t>
      </w:r>
      <w:r w:rsidRPr="00D94821">
        <w:rPr>
          <w:rFonts w:eastAsia="Times New Roman"/>
          <w:b/>
          <w:bCs/>
          <w:rtl/>
          <w:lang w:eastAsia="de-DE"/>
        </w:rPr>
        <w:t>יָמִים</w:t>
      </w:r>
      <w:r w:rsidRPr="00D94821">
        <w:rPr>
          <w:rFonts w:eastAsia="Times New Roman"/>
          <w:rtl/>
          <w:lang w:eastAsia="de-DE"/>
        </w:rPr>
        <w:t xml:space="preserve"> </w:t>
      </w:r>
      <w:r w:rsidRPr="00D94821">
        <w:rPr>
          <w:rFonts w:eastAsia="Times New Roman"/>
          <w:lang w:eastAsia="de-DE"/>
        </w:rPr>
        <w:t xml:space="preserve">(Plural von </w:t>
      </w:r>
      <w:r w:rsidRPr="00D94821">
        <w:rPr>
          <w:rFonts w:eastAsia="Times New Roman"/>
          <w:b/>
          <w:bCs/>
          <w:rtl/>
          <w:lang w:eastAsia="de-DE"/>
        </w:rPr>
        <w:t>יוֹם</w:t>
      </w:r>
      <w:r w:rsidRPr="00D94821">
        <w:rPr>
          <w:rFonts w:eastAsia="Times New Roman"/>
          <w:lang w:eastAsia="de-DE"/>
        </w:rPr>
        <w:t xml:space="preserve">) und </w:t>
      </w:r>
      <w:r w:rsidRPr="00D94821">
        <w:rPr>
          <w:rFonts w:eastAsia="Times New Roman"/>
          <w:b/>
          <w:bCs/>
          <w:rtl/>
          <w:lang w:eastAsia="de-DE"/>
        </w:rPr>
        <w:t>רַבִּים</w:t>
      </w:r>
      <w:r w:rsidRPr="00D94821">
        <w:rPr>
          <w:rFonts w:eastAsia="Times New Roman"/>
          <w:rtl/>
          <w:lang w:eastAsia="de-DE"/>
        </w:rPr>
        <w:t xml:space="preserve"> </w:t>
      </w:r>
      <w:r w:rsidRPr="00D94821">
        <w:rPr>
          <w:rFonts w:eastAsia="Times New Roman"/>
          <w:lang w:eastAsia="de-DE"/>
        </w:rPr>
        <w:t xml:space="preserve">(Plural von </w:t>
      </w:r>
      <w:r w:rsidRPr="00D94821">
        <w:rPr>
          <w:rFonts w:eastAsia="Times New Roman"/>
          <w:b/>
          <w:bCs/>
          <w:rtl/>
          <w:lang w:eastAsia="de-DE"/>
        </w:rPr>
        <w:t>רַב</w:t>
      </w:r>
      <w:r w:rsidRPr="00D94821">
        <w:rPr>
          <w:rFonts w:eastAsia="Times New Roman"/>
          <w:rtl/>
          <w:lang w:eastAsia="de-DE"/>
        </w:rPr>
        <w:t xml:space="preserve"> </w:t>
      </w:r>
      <w:r w:rsidRPr="00D94821">
        <w:rPr>
          <w:rFonts w:eastAsia="Times New Roman"/>
          <w:lang w:eastAsia="de-DE"/>
        </w:rPr>
        <w:t>„viel, zahlreich").</w:t>
      </w:r>
    </w:p>
    <w:p w14:paraId="0E63915A"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lang w:eastAsia="de-DE"/>
        </w:rPr>
        <w:t>Die LXX</w:t>
      </w:r>
      <w:r w:rsidRPr="00D94821">
        <w:rPr>
          <w:rFonts w:eastAsia="Times New Roman"/>
          <w:lang w:eastAsia="de-DE"/>
        </w:rPr>
        <w:t xml:space="preserve"> übersetzt „καὶ ἐπ</w:t>
      </w:r>
      <w:proofErr w:type="spellStart"/>
      <w:r w:rsidRPr="00D94821">
        <w:rPr>
          <w:rFonts w:eastAsia="Times New Roman"/>
          <w:lang w:eastAsia="de-DE"/>
        </w:rPr>
        <w:t>ιστρ</w:t>
      </w:r>
      <w:proofErr w:type="spellEnd"/>
      <w:r w:rsidRPr="00D94821">
        <w:rPr>
          <w:rFonts w:eastAsia="Times New Roman"/>
          <w:lang w:eastAsia="de-DE"/>
        </w:rPr>
        <w:t>αφέντες ἀπ</w:t>
      </w:r>
      <w:proofErr w:type="spellStart"/>
      <w:r w:rsidRPr="00D94821">
        <w:rPr>
          <w:rFonts w:eastAsia="Times New Roman"/>
          <w:lang w:eastAsia="de-DE"/>
        </w:rPr>
        <w:t>ήρ</w:t>
      </w:r>
      <w:proofErr w:type="spellEnd"/>
      <w:r w:rsidRPr="00D94821">
        <w:rPr>
          <w:rFonts w:eastAsia="Times New Roman"/>
          <w:lang w:eastAsia="de-DE"/>
        </w:rPr>
        <w:t xml:space="preserve">αμεν </w:t>
      </w:r>
      <w:proofErr w:type="spellStart"/>
      <w:r w:rsidRPr="00D94821">
        <w:rPr>
          <w:rFonts w:eastAsia="Times New Roman"/>
          <w:lang w:eastAsia="de-DE"/>
        </w:rPr>
        <w:t>εἰς</w:t>
      </w:r>
      <w:proofErr w:type="spellEnd"/>
      <w:r w:rsidRPr="00D94821">
        <w:rPr>
          <w:rFonts w:eastAsia="Times New Roman"/>
          <w:lang w:eastAsia="de-DE"/>
        </w:rPr>
        <w:t xml:space="preserve"> τὴν </w:t>
      </w:r>
      <w:proofErr w:type="spellStart"/>
      <w:r w:rsidRPr="00D94821">
        <w:rPr>
          <w:rFonts w:eastAsia="Times New Roman"/>
          <w:lang w:eastAsia="de-DE"/>
        </w:rPr>
        <w:t>ἔρημον</w:t>
      </w:r>
      <w:proofErr w:type="spellEnd"/>
      <w:r w:rsidRPr="00D94821">
        <w:rPr>
          <w:rFonts w:eastAsia="Times New Roman"/>
          <w:lang w:eastAsia="de-DE"/>
        </w:rPr>
        <w:t xml:space="preserve"> </w:t>
      </w:r>
      <w:proofErr w:type="spellStart"/>
      <w:r w:rsidRPr="00D94821">
        <w:rPr>
          <w:rFonts w:eastAsia="Times New Roman"/>
          <w:lang w:eastAsia="de-DE"/>
        </w:rPr>
        <w:t>ὁδὸν</w:t>
      </w:r>
      <w:proofErr w:type="spellEnd"/>
      <w:r w:rsidRPr="00D94821">
        <w:rPr>
          <w:rFonts w:eastAsia="Times New Roman"/>
          <w:lang w:eastAsia="de-DE"/>
        </w:rPr>
        <w:t xml:space="preserve"> τὴν ἐπὶ τὴν </w:t>
      </w:r>
      <w:proofErr w:type="spellStart"/>
      <w:r w:rsidRPr="00D94821">
        <w:rPr>
          <w:rFonts w:eastAsia="Times New Roman"/>
          <w:lang w:eastAsia="de-DE"/>
        </w:rPr>
        <w:t>ἐρυθρὰν</w:t>
      </w:r>
      <w:proofErr w:type="spellEnd"/>
      <w:r w:rsidRPr="00D94821">
        <w:rPr>
          <w:rFonts w:eastAsia="Times New Roman"/>
          <w:lang w:eastAsia="de-DE"/>
        </w:rPr>
        <w:t xml:space="preserve"> </w:t>
      </w:r>
      <w:proofErr w:type="spellStart"/>
      <w:r w:rsidRPr="00D94821">
        <w:rPr>
          <w:rFonts w:eastAsia="Times New Roman"/>
          <w:lang w:eastAsia="de-DE"/>
        </w:rPr>
        <w:t>θάλ</w:t>
      </w:r>
      <w:proofErr w:type="spellEnd"/>
      <w:r w:rsidRPr="00D94821">
        <w:rPr>
          <w:rFonts w:eastAsia="Times New Roman"/>
          <w:lang w:eastAsia="de-DE"/>
        </w:rPr>
        <w:t xml:space="preserve">ασσαν, </w:t>
      </w:r>
      <w:proofErr w:type="spellStart"/>
      <w:r w:rsidRPr="00D94821">
        <w:rPr>
          <w:rFonts w:eastAsia="Times New Roman"/>
          <w:lang w:eastAsia="de-DE"/>
        </w:rPr>
        <w:t>ὃν</w:t>
      </w:r>
      <w:proofErr w:type="spellEnd"/>
      <w:r w:rsidRPr="00D94821">
        <w:rPr>
          <w:rFonts w:eastAsia="Times New Roman"/>
          <w:lang w:eastAsia="de-DE"/>
        </w:rPr>
        <w:t xml:space="preserve"> </w:t>
      </w:r>
      <w:proofErr w:type="spellStart"/>
      <w:r w:rsidRPr="00D94821">
        <w:rPr>
          <w:rFonts w:eastAsia="Times New Roman"/>
          <w:lang w:eastAsia="de-DE"/>
        </w:rPr>
        <w:t>τρό</w:t>
      </w:r>
      <w:proofErr w:type="spellEnd"/>
      <w:r w:rsidRPr="00D94821">
        <w:rPr>
          <w:rFonts w:eastAsia="Times New Roman"/>
          <w:lang w:eastAsia="de-DE"/>
        </w:rPr>
        <w:t xml:space="preserve">πον </w:t>
      </w:r>
      <w:proofErr w:type="spellStart"/>
      <w:r w:rsidRPr="00D94821">
        <w:rPr>
          <w:rFonts w:eastAsia="Times New Roman"/>
          <w:lang w:eastAsia="de-DE"/>
        </w:rPr>
        <w:t>ἐλάλησεν</w:t>
      </w:r>
      <w:proofErr w:type="spellEnd"/>
      <w:r w:rsidRPr="00D94821">
        <w:rPr>
          <w:rFonts w:eastAsia="Times New Roman"/>
          <w:lang w:eastAsia="de-DE"/>
        </w:rPr>
        <w:t xml:space="preserve"> </w:t>
      </w:r>
      <w:proofErr w:type="spellStart"/>
      <w:r w:rsidRPr="00D94821">
        <w:rPr>
          <w:rFonts w:eastAsia="Times New Roman"/>
          <w:lang w:eastAsia="de-DE"/>
        </w:rPr>
        <w:t>κύριος</w:t>
      </w:r>
      <w:proofErr w:type="spellEnd"/>
      <w:r w:rsidRPr="00D94821">
        <w:rPr>
          <w:rFonts w:eastAsia="Times New Roman"/>
          <w:lang w:eastAsia="de-DE"/>
        </w:rPr>
        <w:t xml:space="preserve"> π</w:t>
      </w:r>
      <w:proofErr w:type="spellStart"/>
      <w:r w:rsidRPr="00D94821">
        <w:rPr>
          <w:rFonts w:eastAsia="Times New Roman"/>
          <w:lang w:eastAsia="de-DE"/>
        </w:rPr>
        <w:t>ρός</w:t>
      </w:r>
      <w:proofErr w:type="spellEnd"/>
      <w:r w:rsidRPr="00D94821">
        <w:rPr>
          <w:rFonts w:eastAsia="Times New Roman"/>
          <w:lang w:eastAsia="de-DE"/>
        </w:rPr>
        <w:t xml:space="preserve"> </w:t>
      </w:r>
      <w:proofErr w:type="spellStart"/>
      <w:r w:rsidRPr="00D94821">
        <w:rPr>
          <w:rFonts w:eastAsia="Times New Roman"/>
          <w:lang w:eastAsia="de-DE"/>
        </w:rPr>
        <w:t>με</w:t>
      </w:r>
      <w:proofErr w:type="spellEnd"/>
      <w:r w:rsidRPr="00D94821">
        <w:rPr>
          <w:rFonts w:eastAsia="Times New Roman"/>
          <w:lang w:eastAsia="de-DE"/>
        </w:rPr>
        <w:t xml:space="preserve">, καὶ </w:t>
      </w:r>
      <w:proofErr w:type="spellStart"/>
      <w:r w:rsidRPr="00D94821">
        <w:rPr>
          <w:rFonts w:eastAsia="Times New Roman"/>
          <w:lang w:eastAsia="de-DE"/>
        </w:rPr>
        <w:t>ἐκυκλώσ</w:t>
      </w:r>
      <w:proofErr w:type="spellEnd"/>
      <w:r w:rsidRPr="00D94821">
        <w:rPr>
          <w:rFonts w:eastAsia="Times New Roman"/>
          <w:lang w:eastAsia="de-DE"/>
        </w:rPr>
        <w:t xml:space="preserve">αμεν </w:t>
      </w:r>
      <w:proofErr w:type="spellStart"/>
      <w:r w:rsidRPr="00D94821">
        <w:rPr>
          <w:rFonts w:eastAsia="Times New Roman"/>
          <w:lang w:eastAsia="de-DE"/>
        </w:rPr>
        <w:t>τὸ</w:t>
      </w:r>
      <w:proofErr w:type="spellEnd"/>
      <w:r w:rsidRPr="00D94821">
        <w:rPr>
          <w:rFonts w:eastAsia="Times New Roman"/>
          <w:lang w:eastAsia="de-DE"/>
        </w:rPr>
        <w:t xml:space="preserve"> </w:t>
      </w:r>
      <w:proofErr w:type="spellStart"/>
      <w:r w:rsidRPr="00D94821">
        <w:rPr>
          <w:rFonts w:eastAsia="Times New Roman"/>
          <w:lang w:eastAsia="de-DE"/>
        </w:rPr>
        <w:t>ὄρος</w:t>
      </w:r>
      <w:proofErr w:type="spellEnd"/>
      <w:r w:rsidRPr="00D94821">
        <w:rPr>
          <w:rFonts w:eastAsia="Times New Roman"/>
          <w:lang w:eastAsia="de-DE"/>
        </w:rPr>
        <w:t xml:space="preserve"> </w:t>
      </w:r>
      <w:proofErr w:type="spellStart"/>
      <w:r w:rsidRPr="00D94821">
        <w:rPr>
          <w:rFonts w:eastAsia="Times New Roman"/>
          <w:lang w:eastAsia="de-DE"/>
        </w:rPr>
        <w:t>τὸ</w:t>
      </w:r>
      <w:proofErr w:type="spellEnd"/>
      <w:r w:rsidRPr="00D94821">
        <w:rPr>
          <w:rFonts w:eastAsia="Times New Roman"/>
          <w:lang w:eastAsia="de-DE"/>
        </w:rPr>
        <w:t xml:space="preserve"> </w:t>
      </w:r>
      <w:proofErr w:type="spellStart"/>
      <w:r w:rsidRPr="00D94821">
        <w:rPr>
          <w:rFonts w:eastAsia="Times New Roman"/>
          <w:lang w:eastAsia="de-DE"/>
        </w:rPr>
        <w:t>Σηιρ</w:t>
      </w:r>
      <w:proofErr w:type="spellEnd"/>
      <w:r w:rsidRPr="00D94821">
        <w:rPr>
          <w:rFonts w:eastAsia="Times New Roman"/>
          <w:lang w:eastAsia="de-DE"/>
        </w:rPr>
        <w:t xml:space="preserve"> </w:t>
      </w:r>
      <w:proofErr w:type="spellStart"/>
      <w:r w:rsidRPr="00D94821">
        <w:rPr>
          <w:rFonts w:eastAsia="Times New Roman"/>
          <w:lang w:eastAsia="de-DE"/>
        </w:rPr>
        <w:t>ἡμέρ</w:t>
      </w:r>
      <w:proofErr w:type="spellEnd"/>
      <w:r w:rsidRPr="00D94821">
        <w:rPr>
          <w:rFonts w:eastAsia="Times New Roman"/>
          <w:lang w:eastAsia="de-DE"/>
        </w:rPr>
        <w:t>ας π</w:t>
      </w:r>
      <w:proofErr w:type="spellStart"/>
      <w:r w:rsidRPr="00D94821">
        <w:rPr>
          <w:rFonts w:eastAsia="Times New Roman"/>
          <w:lang w:eastAsia="de-DE"/>
        </w:rPr>
        <w:t>ολλάς</w:t>
      </w:r>
      <w:proofErr w:type="spellEnd"/>
      <w:r w:rsidRPr="00D94821">
        <w:rPr>
          <w:rFonts w:eastAsia="Times New Roman"/>
          <w:lang w:eastAsia="de-DE"/>
        </w:rPr>
        <w:t xml:space="preserve">" („und uns wendend brachen wir auf in die Wüste, den Weg zum Roten Meer, auf welche Weise der Herr zu mir geredet hatte, und wir umkreisten das Gebirge Seir viele Tage"). Die LXX übersetzt </w:t>
      </w:r>
      <w:r w:rsidRPr="00D94821">
        <w:rPr>
          <w:rFonts w:eastAsia="Times New Roman"/>
          <w:b/>
          <w:bCs/>
          <w:rtl/>
          <w:lang w:eastAsia="de-DE"/>
        </w:rPr>
        <w:t>יַם־סוּף</w:t>
      </w:r>
      <w:r w:rsidRPr="00D94821">
        <w:rPr>
          <w:rFonts w:eastAsia="Times New Roman"/>
          <w:rtl/>
          <w:lang w:eastAsia="de-DE"/>
        </w:rPr>
        <w:t xml:space="preserve"> </w:t>
      </w:r>
      <w:r w:rsidRPr="00D94821">
        <w:rPr>
          <w:rFonts w:eastAsia="Times New Roman"/>
          <w:lang w:eastAsia="de-DE"/>
        </w:rPr>
        <w:t>wieder mit „</w:t>
      </w:r>
      <w:proofErr w:type="spellStart"/>
      <w:r w:rsidRPr="00D94821">
        <w:rPr>
          <w:rFonts w:eastAsia="Times New Roman"/>
          <w:lang w:eastAsia="de-DE"/>
        </w:rPr>
        <w:t>ἐρυθρὰ</w:t>
      </w:r>
      <w:proofErr w:type="spellEnd"/>
      <w:r w:rsidRPr="00D94821">
        <w:rPr>
          <w:rFonts w:eastAsia="Times New Roman"/>
          <w:lang w:eastAsia="de-DE"/>
        </w:rPr>
        <w:t xml:space="preserve"> </w:t>
      </w:r>
      <w:proofErr w:type="spellStart"/>
      <w:r w:rsidRPr="00D94821">
        <w:rPr>
          <w:rFonts w:eastAsia="Times New Roman"/>
          <w:lang w:eastAsia="de-DE"/>
        </w:rPr>
        <w:t>θάλ</w:t>
      </w:r>
      <w:proofErr w:type="spellEnd"/>
      <w:r w:rsidRPr="00D94821">
        <w:rPr>
          <w:rFonts w:eastAsia="Times New Roman"/>
          <w:lang w:eastAsia="de-DE"/>
        </w:rPr>
        <w:t>ασσα" („Rotes Meer").</w:t>
      </w:r>
    </w:p>
    <w:p w14:paraId="1CCBE6EB"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lang w:eastAsia="de-DE"/>
        </w:rPr>
        <w:t xml:space="preserve">Die Satzstruktur besteht aus vier koordinierten Hauptsätzen mit Waw consecutivum: (1) </w:t>
      </w:r>
      <w:r w:rsidRPr="00D94821">
        <w:rPr>
          <w:rFonts w:eastAsia="Times New Roman"/>
          <w:b/>
          <w:bCs/>
          <w:rtl/>
          <w:lang w:eastAsia="de-DE"/>
        </w:rPr>
        <w:t>וַנֵּפֶן</w:t>
      </w:r>
      <w:r w:rsidRPr="00D94821">
        <w:rPr>
          <w:rFonts w:eastAsia="Times New Roman"/>
          <w:lang w:eastAsia="de-DE"/>
        </w:rPr>
        <w:t xml:space="preserve">, (2) </w:t>
      </w:r>
      <w:r w:rsidRPr="00D94821">
        <w:rPr>
          <w:rFonts w:eastAsia="Times New Roman"/>
          <w:b/>
          <w:bCs/>
          <w:rtl/>
          <w:lang w:eastAsia="de-DE"/>
        </w:rPr>
        <w:t>וַנִּסַּע הַמִּדְבָּרָה</w:t>
      </w:r>
      <w:r w:rsidRPr="00D94821">
        <w:rPr>
          <w:rFonts w:eastAsia="Times New Roman"/>
          <w:rtl/>
          <w:lang w:eastAsia="de-DE"/>
        </w:rPr>
        <w:t xml:space="preserve"> </w:t>
      </w:r>
      <w:r w:rsidRPr="00D94821">
        <w:rPr>
          <w:rFonts w:eastAsia="Times New Roman"/>
          <w:lang w:eastAsia="de-DE"/>
        </w:rPr>
        <w:t xml:space="preserve">mit Wegangabe </w:t>
      </w:r>
      <w:r w:rsidRPr="00D94821">
        <w:rPr>
          <w:rFonts w:eastAsia="Times New Roman"/>
          <w:b/>
          <w:bCs/>
          <w:rtl/>
          <w:lang w:eastAsia="de-DE"/>
        </w:rPr>
        <w:t>דֶּרֶךְ יַם־סוּף</w:t>
      </w:r>
      <w:r w:rsidRPr="00D94821">
        <w:rPr>
          <w:rFonts w:eastAsia="Times New Roman"/>
          <w:rtl/>
          <w:lang w:eastAsia="de-DE"/>
        </w:rPr>
        <w:t xml:space="preserve"> </w:t>
      </w:r>
      <w:r w:rsidRPr="00D94821">
        <w:rPr>
          <w:rFonts w:eastAsia="Times New Roman"/>
          <w:lang w:eastAsia="de-DE"/>
        </w:rPr>
        <w:t xml:space="preserve">und Vergleichssatz </w:t>
      </w:r>
      <w:r w:rsidRPr="00D94821">
        <w:rPr>
          <w:rFonts w:eastAsia="Times New Roman"/>
          <w:b/>
          <w:bCs/>
          <w:rtl/>
          <w:lang w:eastAsia="de-DE"/>
        </w:rPr>
        <w:t>כַּאֲשֶׁר דִּבֶּר יְהוָה אֵלָי</w:t>
      </w:r>
      <w:r w:rsidRPr="00D94821">
        <w:rPr>
          <w:rFonts w:eastAsia="Times New Roman"/>
          <w:lang w:eastAsia="de-DE"/>
        </w:rPr>
        <w:t xml:space="preserve">, (3) </w:t>
      </w:r>
      <w:r w:rsidRPr="00D94821">
        <w:rPr>
          <w:rFonts w:eastAsia="Times New Roman"/>
          <w:b/>
          <w:bCs/>
          <w:rtl/>
          <w:lang w:eastAsia="de-DE"/>
        </w:rPr>
        <w:t>וַנָּסָב אֶת־הַר־שֵׂעִיר</w:t>
      </w:r>
      <w:r w:rsidRPr="00D94821">
        <w:rPr>
          <w:rFonts w:eastAsia="Times New Roman"/>
          <w:rtl/>
          <w:lang w:eastAsia="de-DE"/>
        </w:rPr>
        <w:t xml:space="preserve"> </w:t>
      </w:r>
      <w:r w:rsidRPr="00D94821">
        <w:rPr>
          <w:rFonts w:eastAsia="Times New Roman"/>
          <w:lang w:eastAsia="de-DE"/>
        </w:rPr>
        <w:t xml:space="preserve">mit temporaler Bestimmung </w:t>
      </w:r>
      <w:r w:rsidRPr="00D94821">
        <w:rPr>
          <w:rFonts w:eastAsia="Times New Roman"/>
          <w:b/>
          <w:bCs/>
          <w:rtl/>
          <w:lang w:eastAsia="de-DE"/>
        </w:rPr>
        <w:t>יָמִים רַבִּים</w:t>
      </w:r>
      <w:r w:rsidRPr="00D94821">
        <w:rPr>
          <w:rFonts w:eastAsia="Times New Roman"/>
          <w:lang w:eastAsia="de-DE"/>
        </w:rPr>
        <w:t>.</w:t>
      </w:r>
    </w:p>
    <w:p w14:paraId="556678D9"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lang w:eastAsia="de-DE"/>
        </w:rPr>
        <w:t xml:space="preserve">Der Vers beschreibt den Beginn der 40-jährigen Wüstenwanderung: Die Umkehr von Kadesch, der Aufbruch zur Wüste auf dem Weg zum Schilfmeer (wie in 1,40 befohlen), und </w:t>
      </w:r>
      <w:r w:rsidRPr="00D94821">
        <w:rPr>
          <w:rFonts w:eastAsia="Times New Roman"/>
          <w:lang w:eastAsia="de-DE"/>
        </w:rPr>
        <w:lastRenderedPageBreak/>
        <w:t xml:space="preserve">das lange Umkreisen des Gebirges Seir. Die Wiederholung von </w:t>
      </w:r>
      <w:r w:rsidRPr="00D94821">
        <w:rPr>
          <w:rFonts w:eastAsia="Times New Roman"/>
          <w:b/>
          <w:bCs/>
          <w:rtl/>
          <w:lang w:eastAsia="de-DE"/>
        </w:rPr>
        <w:t>יָמִים רַבִּים</w:t>
      </w:r>
      <w:r w:rsidRPr="00D94821">
        <w:rPr>
          <w:rFonts w:eastAsia="Times New Roman"/>
          <w:rtl/>
          <w:lang w:eastAsia="de-DE"/>
        </w:rPr>
        <w:t xml:space="preserve"> </w:t>
      </w:r>
      <w:r w:rsidRPr="00D94821">
        <w:rPr>
          <w:rFonts w:eastAsia="Times New Roman"/>
          <w:lang w:eastAsia="de-DE"/>
        </w:rPr>
        <w:t>(„viele Tage") aus 1,46 betont die lange Zeitspanne der Strafe.</w:t>
      </w:r>
    </w:p>
    <w:p w14:paraId="5736EE81" w14:textId="77777777" w:rsidR="00D94821" w:rsidRPr="00D94821" w:rsidRDefault="00D94821" w:rsidP="00D94821">
      <w:pPr>
        <w:spacing w:before="100" w:beforeAutospacing="1" w:after="100" w:afterAutospacing="1" w:line="240" w:lineRule="auto"/>
        <w:outlineLvl w:val="1"/>
        <w:rPr>
          <w:rFonts w:eastAsia="Times New Roman"/>
          <w:b/>
          <w:bCs/>
          <w:sz w:val="36"/>
          <w:szCs w:val="36"/>
          <w:lang w:eastAsia="de-DE"/>
        </w:rPr>
      </w:pPr>
      <w:r w:rsidRPr="00D94821">
        <w:rPr>
          <w:rFonts w:eastAsia="Times New Roman"/>
          <w:b/>
          <w:bCs/>
          <w:sz w:val="36"/>
          <w:szCs w:val="36"/>
          <w:lang w:eastAsia="de-DE"/>
        </w:rPr>
        <w:t>Deuteronomium 2,2</w:t>
      </w:r>
    </w:p>
    <w:p w14:paraId="7168A440"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lang w:eastAsia="de-DE"/>
        </w:rPr>
        <w:t>Hebräisch:</w:t>
      </w:r>
      <w:r w:rsidRPr="00D94821">
        <w:rPr>
          <w:rFonts w:eastAsia="Times New Roman"/>
          <w:lang w:eastAsia="de-DE"/>
        </w:rPr>
        <w:t xml:space="preserve"> </w:t>
      </w:r>
      <w:r w:rsidRPr="00D94821">
        <w:rPr>
          <w:rFonts w:eastAsia="Times New Roman"/>
          <w:rtl/>
          <w:lang w:eastAsia="de-DE"/>
        </w:rPr>
        <w:t>וַיֹּ֥אמֶר יְהוָ֖ה אֵלַ֥י לֵאמֹֽר׃</w:t>
      </w:r>
    </w:p>
    <w:p w14:paraId="56721FD6"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lang w:eastAsia="de-DE"/>
        </w:rPr>
        <w:t>Deutsch:</w:t>
      </w:r>
      <w:r w:rsidRPr="00D94821">
        <w:rPr>
          <w:rFonts w:eastAsia="Times New Roman"/>
          <w:lang w:eastAsia="de-DE"/>
        </w:rPr>
        <w:t xml:space="preserve"> Und der Ewige redete zu mir, sagend:</w:t>
      </w:r>
    </w:p>
    <w:p w14:paraId="733C46DB" w14:textId="77777777" w:rsidR="00D94821" w:rsidRPr="00D94821" w:rsidRDefault="004F5CEB" w:rsidP="00D94821">
      <w:pPr>
        <w:spacing w:after="0" w:line="240" w:lineRule="auto"/>
        <w:rPr>
          <w:rFonts w:eastAsia="Times New Roman"/>
          <w:lang w:eastAsia="de-DE"/>
        </w:rPr>
      </w:pPr>
      <w:r>
        <w:rPr>
          <w:rFonts w:eastAsia="Times New Roman"/>
          <w:noProof/>
          <w:lang w:eastAsia="de-DE"/>
        </w:rPr>
        <w:pict w14:anchorId="4035FB5C">
          <v:rect id="_x0000_i1072" style="width:0;height:1.5pt" o:hralign="center" o:hrstd="t" o:hr="t" fillcolor="#a0a0a0" stroked="f"/>
        </w:pict>
      </w:r>
    </w:p>
    <w:p w14:paraId="6A7731E6" w14:textId="3D347DA8"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lang w:eastAsia="de-DE"/>
        </w:rPr>
        <w:t>Kommentar:</w:t>
      </w:r>
      <w:r w:rsidRPr="00D94821">
        <w:rPr>
          <w:rFonts w:eastAsia="Times New Roman"/>
          <w:lang w:eastAsia="de-DE"/>
        </w:rPr>
        <w:t xml:space="preserve"> </w:t>
      </w:r>
      <w:r w:rsidRPr="00D94821">
        <w:rPr>
          <w:rFonts w:eastAsia="Times New Roman"/>
          <w:b/>
          <w:bCs/>
          <w:rtl/>
          <w:lang w:eastAsia="de-DE"/>
        </w:rPr>
        <w:t>וַיֹּאמֶר</w:t>
      </w:r>
      <w:r w:rsidRPr="00D94821">
        <w:rPr>
          <w:rFonts w:eastAsia="Times New Roman"/>
          <w:rtl/>
          <w:lang w:eastAsia="de-DE"/>
        </w:rPr>
        <w:t xml:space="preserve"> </w:t>
      </w:r>
      <w:r w:rsidRPr="00D94821">
        <w:rPr>
          <w:rFonts w:eastAsia="Times New Roman"/>
          <w:lang w:eastAsia="de-DE"/>
        </w:rPr>
        <w:t xml:space="preserve">ist Qal Imperfekt consecutivum, 3. Person maskulin Singular von </w:t>
      </w:r>
      <w:r w:rsidRPr="00D94821">
        <w:rPr>
          <w:rFonts w:eastAsia="Times New Roman"/>
          <w:rtl/>
          <w:lang w:eastAsia="de-DE"/>
        </w:rPr>
        <w:t>אמר</w:t>
      </w:r>
      <w:r w:rsidRPr="00D94821">
        <w:rPr>
          <w:rFonts w:eastAsia="Times New Roman"/>
          <w:lang w:eastAsia="de-DE"/>
        </w:rPr>
        <w:t xml:space="preserve"> („sagen, reden") mit Waw. </w:t>
      </w:r>
      <w:r w:rsidRPr="00D94821">
        <w:rPr>
          <w:rFonts w:eastAsia="Times New Roman"/>
          <w:b/>
          <w:bCs/>
          <w:rtl/>
          <w:lang w:eastAsia="de-DE"/>
        </w:rPr>
        <w:t>יְהוָה</w:t>
      </w:r>
      <w:r w:rsidRPr="00D94821">
        <w:rPr>
          <w:rFonts w:eastAsia="Times New Roman"/>
          <w:rtl/>
          <w:lang w:eastAsia="de-DE"/>
        </w:rPr>
        <w:t xml:space="preserve"> </w:t>
      </w:r>
      <w:r w:rsidRPr="00D94821">
        <w:rPr>
          <w:rFonts w:eastAsia="Times New Roman"/>
          <w:lang w:eastAsia="de-DE"/>
        </w:rPr>
        <w:t xml:space="preserve">ist das Subjekt. </w:t>
      </w:r>
      <w:r w:rsidRPr="00D94821">
        <w:rPr>
          <w:rFonts w:eastAsia="Times New Roman"/>
          <w:b/>
          <w:bCs/>
          <w:rtl/>
          <w:lang w:eastAsia="de-DE"/>
        </w:rPr>
        <w:t>אֵלַי</w:t>
      </w:r>
      <w:r w:rsidRPr="00D94821">
        <w:rPr>
          <w:rFonts w:eastAsia="Times New Roman"/>
          <w:rtl/>
          <w:lang w:eastAsia="de-DE"/>
        </w:rPr>
        <w:t xml:space="preserve"> </w:t>
      </w:r>
      <w:r w:rsidRPr="00D94821">
        <w:rPr>
          <w:rFonts w:eastAsia="Times New Roman"/>
          <w:lang w:eastAsia="de-DE"/>
        </w:rPr>
        <w:t xml:space="preserve">ist </w:t>
      </w:r>
      <w:r w:rsidRPr="00D94821">
        <w:rPr>
          <w:rFonts w:eastAsia="Times New Roman"/>
          <w:b/>
          <w:bCs/>
          <w:rtl/>
          <w:lang w:eastAsia="de-DE"/>
        </w:rPr>
        <w:t>אֶל</w:t>
      </w:r>
      <w:r w:rsidRPr="00D94821">
        <w:rPr>
          <w:rFonts w:eastAsia="Times New Roman"/>
          <w:rtl/>
          <w:lang w:eastAsia="de-DE"/>
        </w:rPr>
        <w:t xml:space="preserve"> </w:t>
      </w:r>
      <w:r w:rsidRPr="00D94821">
        <w:rPr>
          <w:rFonts w:eastAsia="Times New Roman"/>
          <w:lang w:eastAsia="de-DE"/>
        </w:rPr>
        <w:t xml:space="preserve">mit Suffix 1. Person Singular („zu mir"). </w:t>
      </w:r>
      <w:r w:rsidRPr="00D94821">
        <w:rPr>
          <w:rFonts w:eastAsia="Times New Roman"/>
          <w:b/>
          <w:bCs/>
          <w:rtl/>
          <w:lang w:eastAsia="de-DE"/>
        </w:rPr>
        <w:t>לֵאמֹר</w:t>
      </w:r>
      <w:r w:rsidRPr="00D94821">
        <w:rPr>
          <w:rFonts w:eastAsia="Times New Roman"/>
          <w:rtl/>
          <w:lang w:eastAsia="de-DE"/>
        </w:rPr>
        <w:t xml:space="preserve"> </w:t>
      </w:r>
      <w:r w:rsidRPr="00D94821">
        <w:rPr>
          <w:rFonts w:eastAsia="Times New Roman"/>
          <w:lang w:eastAsia="de-DE"/>
        </w:rPr>
        <w:t xml:space="preserve">ist die häufige Einleitungsformel für direkte Rede: </w:t>
      </w:r>
      <w:r w:rsidRPr="00D94821">
        <w:rPr>
          <w:rFonts w:eastAsia="Times New Roman"/>
          <w:b/>
          <w:bCs/>
          <w:rtl/>
          <w:lang w:eastAsia="de-DE"/>
        </w:rPr>
        <w:t>לְ</w:t>
      </w:r>
      <w:r w:rsidRPr="00D94821">
        <w:rPr>
          <w:rFonts w:eastAsia="Times New Roman"/>
          <w:rtl/>
          <w:lang w:eastAsia="de-DE"/>
        </w:rPr>
        <w:t xml:space="preserve"> </w:t>
      </w:r>
      <w:r w:rsidRPr="00D94821">
        <w:rPr>
          <w:rFonts w:eastAsia="Times New Roman"/>
          <w:lang w:eastAsia="de-DE"/>
        </w:rPr>
        <w:t xml:space="preserve">mit Qal Infinitiv </w:t>
      </w:r>
      <w:r w:rsidR="0032647F">
        <w:rPr>
          <w:rFonts w:eastAsia="Times New Roman"/>
          <w:lang w:eastAsia="de-DE"/>
        </w:rPr>
        <w:t>Construct</w:t>
      </w:r>
      <w:r w:rsidRPr="00D94821">
        <w:rPr>
          <w:rFonts w:eastAsia="Times New Roman"/>
          <w:lang w:eastAsia="de-DE"/>
        </w:rPr>
        <w:t xml:space="preserve"> von </w:t>
      </w:r>
      <w:r w:rsidRPr="00D94821">
        <w:rPr>
          <w:rFonts w:eastAsia="Times New Roman"/>
          <w:rtl/>
          <w:lang w:eastAsia="de-DE"/>
        </w:rPr>
        <w:t>אמר</w:t>
      </w:r>
      <w:r w:rsidRPr="00D94821">
        <w:rPr>
          <w:rFonts w:eastAsia="Times New Roman"/>
          <w:lang w:eastAsia="de-DE"/>
        </w:rPr>
        <w:t xml:space="preserve"> („sagend").</w:t>
      </w:r>
    </w:p>
    <w:p w14:paraId="79C22595"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lang w:eastAsia="de-DE"/>
        </w:rPr>
        <w:t>Die LXX</w:t>
      </w:r>
      <w:r w:rsidRPr="00D94821">
        <w:rPr>
          <w:rFonts w:eastAsia="Times New Roman"/>
          <w:lang w:eastAsia="de-DE"/>
        </w:rPr>
        <w:t xml:space="preserve"> übersetzt „καὶ </w:t>
      </w:r>
      <w:proofErr w:type="spellStart"/>
      <w:r w:rsidRPr="00D94821">
        <w:rPr>
          <w:rFonts w:eastAsia="Times New Roman"/>
          <w:lang w:eastAsia="de-DE"/>
        </w:rPr>
        <w:t>εἶ</w:t>
      </w:r>
      <w:proofErr w:type="spellEnd"/>
      <w:r w:rsidRPr="00D94821">
        <w:rPr>
          <w:rFonts w:eastAsia="Times New Roman"/>
          <w:lang w:eastAsia="de-DE"/>
        </w:rPr>
        <w:t xml:space="preserve">πεν </w:t>
      </w:r>
      <w:proofErr w:type="spellStart"/>
      <w:r w:rsidRPr="00D94821">
        <w:rPr>
          <w:rFonts w:eastAsia="Times New Roman"/>
          <w:lang w:eastAsia="de-DE"/>
        </w:rPr>
        <w:t>κύριος</w:t>
      </w:r>
      <w:proofErr w:type="spellEnd"/>
      <w:r w:rsidRPr="00D94821">
        <w:rPr>
          <w:rFonts w:eastAsia="Times New Roman"/>
          <w:lang w:eastAsia="de-DE"/>
        </w:rPr>
        <w:t xml:space="preserve"> π</w:t>
      </w:r>
      <w:proofErr w:type="spellStart"/>
      <w:r w:rsidRPr="00D94821">
        <w:rPr>
          <w:rFonts w:eastAsia="Times New Roman"/>
          <w:lang w:eastAsia="de-DE"/>
        </w:rPr>
        <w:t>ρός</w:t>
      </w:r>
      <w:proofErr w:type="spellEnd"/>
      <w:r w:rsidRPr="00D94821">
        <w:rPr>
          <w:rFonts w:eastAsia="Times New Roman"/>
          <w:lang w:eastAsia="de-DE"/>
        </w:rPr>
        <w:t xml:space="preserve"> </w:t>
      </w:r>
      <w:proofErr w:type="spellStart"/>
      <w:r w:rsidRPr="00D94821">
        <w:rPr>
          <w:rFonts w:eastAsia="Times New Roman"/>
          <w:lang w:eastAsia="de-DE"/>
        </w:rPr>
        <w:t>με</w:t>
      </w:r>
      <w:proofErr w:type="spellEnd"/>
      <w:r w:rsidRPr="00D94821">
        <w:rPr>
          <w:rFonts w:eastAsia="Times New Roman"/>
          <w:lang w:eastAsia="de-DE"/>
        </w:rPr>
        <w:t xml:space="preserve"> </w:t>
      </w:r>
      <w:proofErr w:type="spellStart"/>
      <w:r w:rsidRPr="00D94821">
        <w:rPr>
          <w:rFonts w:eastAsia="Times New Roman"/>
          <w:lang w:eastAsia="de-DE"/>
        </w:rPr>
        <w:t>λέγων</w:t>
      </w:r>
      <w:proofErr w:type="spellEnd"/>
      <w:r w:rsidRPr="00D94821">
        <w:rPr>
          <w:rFonts w:eastAsia="Times New Roman"/>
          <w:lang w:eastAsia="de-DE"/>
        </w:rPr>
        <w:t>" („und der Herr sprach zu mir, sagend").</w:t>
      </w:r>
    </w:p>
    <w:p w14:paraId="2828CDF3"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lang w:eastAsia="de-DE"/>
        </w:rPr>
        <w:t>Die Satzstruktur ist ein einfacher Redeeinleitungssatz mit Verb, Subjekt, präpositionaler Ergänzung und Einleitungsformel.</w:t>
      </w:r>
    </w:p>
    <w:p w14:paraId="4071B0D4"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lang w:eastAsia="de-DE"/>
        </w:rPr>
        <w:t>Der Vers dient als formelle Einleitung für JHWHs neue Anweisung, die das Ende der Wanderung um das Gebirge Seir markiert.</w:t>
      </w:r>
    </w:p>
    <w:p w14:paraId="64998EC7" w14:textId="77777777" w:rsidR="00D94821" w:rsidRPr="00D94821" w:rsidRDefault="00D94821" w:rsidP="00D94821">
      <w:pPr>
        <w:spacing w:before="100" w:beforeAutospacing="1" w:after="100" w:afterAutospacing="1" w:line="240" w:lineRule="auto"/>
        <w:outlineLvl w:val="1"/>
        <w:rPr>
          <w:rFonts w:eastAsia="Times New Roman"/>
          <w:b/>
          <w:bCs/>
          <w:sz w:val="36"/>
          <w:szCs w:val="36"/>
          <w:lang w:eastAsia="de-DE"/>
        </w:rPr>
      </w:pPr>
      <w:r w:rsidRPr="00D94821">
        <w:rPr>
          <w:rFonts w:eastAsia="Times New Roman"/>
          <w:b/>
          <w:bCs/>
          <w:sz w:val="36"/>
          <w:szCs w:val="36"/>
          <w:lang w:eastAsia="de-DE"/>
        </w:rPr>
        <w:t>Deuteronomium 2,3</w:t>
      </w:r>
    </w:p>
    <w:p w14:paraId="7207595B"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lang w:eastAsia="de-DE"/>
        </w:rPr>
        <w:t>Hebräisch:</w:t>
      </w:r>
      <w:r w:rsidRPr="00D94821">
        <w:rPr>
          <w:rFonts w:eastAsia="Times New Roman"/>
          <w:lang w:eastAsia="de-DE"/>
        </w:rPr>
        <w:t xml:space="preserve"> </w:t>
      </w:r>
      <w:r w:rsidRPr="00D94821">
        <w:rPr>
          <w:rFonts w:eastAsia="Times New Roman"/>
          <w:rtl/>
          <w:lang w:eastAsia="de-DE"/>
        </w:rPr>
        <w:t>רַב־לָכֶ֕ם סֹ֖ב אֶת־הָהָ֣ר הַזֶּ֑ה פְּנ֥וּ לָכֶ֖ם צָפֹֽנָה׃</w:t>
      </w:r>
    </w:p>
    <w:p w14:paraId="1EFBFBEF"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lang w:eastAsia="de-DE"/>
        </w:rPr>
        <w:t>Deutsch:</w:t>
      </w:r>
      <w:r w:rsidRPr="00D94821">
        <w:rPr>
          <w:rFonts w:eastAsia="Times New Roman"/>
          <w:lang w:eastAsia="de-DE"/>
        </w:rPr>
        <w:t xml:space="preserve"> Lange genug habt ihr dieses Gebirge umzogen; wendet euch nach Norden.</w:t>
      </w:r>
    </w:p>
    <w:p w14:paraId="43FCCDAD" w14:textId="77777777" w:rsidR="00D94821" w:rsidRPr="00D94821" w:rsidRDefault="004F5CEB" w:rsidP="00D94821">
      <w:pPr>
        <w:spacing w:after="0" w:line="240" w:lineRule="auto"/>
        <w:rPr>
          <w:rFonts w:eastAsia="Times New Roman"/>
          <w:lang w:eastAsia="de-DE"/>
        </w:rPr>
      </w:pPr>
      <w:r>
        <w:rPr>
          <w:rFonts w:eastAsia="Times New Roman"/>
          <w:noProof/>
          <w:lang w:eastAsia="de-DE"/>
        </w:rPr>
        <w:pict w14:anchorId="71F8C838">
          <v:rect id="_x0000_i1073" style="width:0;height:1.5pt" o:hralign="center" o:hrstd="t" o:hr="t" fillcolor="#a0a0a0" stroked="f"/>
        </w:pict>
      </w:r>
    </w:p>
    <w:p w14:paraId="546B351F" w14:textId="2D6E99D3"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lang w:eastAsia="de-DE"/>
        </w:rPr>
        <w:t>Kommentar:</w:t>
      </w:r>
      <w:r w:rsidRPr="00D94821">
        <w:rPr>
          <w:rFonts w:eastAsia="Times New Roman"/>
          <w:lang w:eastAsia="de-DE"/>
        </w:rPr>
        <w:t xml:space="preserve"> </w:t>
      </w:r>
      <w:r w:rsidRPr="00D94821">
        <w:rPr>
          <w:rFonts w:eastAsia="Times New Roman"/>
          <w:b/>
          <w:bCs/>
          <w:rtl/>
          <w:lang w:eastAsia="de-DE"/>
        </w:rPr>
        <w:t>רַב־לָכֶם</w:t>
      </w:r>
      <w:r w:rsidRPr="00D94821">
        <w:rPr>
          <w:rFonts w:eastAsia="Times New Roman"/>
          <w:rtl/>
          <w:lang w:eastAsia="de-DE"/>
        </w:rPr>
        <w:t xml:space="preserve"> </w:t>
      </w:r>
      <w:r w:rsidRPr="00D94821">
        <w:rPr>
          <w:rFonts w:eastAsia="Times New Roman"/>
          <w:lang w:eastAsia="de-DE"/>
        </w:rPr>
        <w:t xml:space="preserve">ist eine elliptische </w:t>
      </w:r>
      <w:r w:rsidR="00FF2B82">
        <w:rPr>
          <w:rFonts w:eastAsia="Times New Roman"/>
          <w:lang w:eastAsia="de-DE"/>
        </w:rPr>
        <w:t>Konstruktion</w:t>
      </w:r>
      <w:r w:rsidRPr="00D94821">
        <w:rPr>
          <w:rFonts w:eastAsia="Times New Roman"/>
          <w:lang w:eastAsia="de-DE"/>
        </w:rPr>
        <w:t xml:space="preserve">: </w:t>
      </w:r>
      <w:r w:rsidRPr="00D94821">
        <w:rPr>
          <w:rFonts w:eastAsia="Times New Roman"/>
          <w:b/>
          <w:bCs/>
          <w:rtl/>
          <w:lang w:eastAsia="de-DE"/>
        </w:rPr>
        <w:t>רַב</w:t>
      </w:r>
      <w:r w:rsidRPr="00D94821">
        <w:rPr>
          <w:rFonts w:eastAsia="Times New Roman"/>
          <w:rtl/>
          <w:lang w:eastAsia="de-DE"/>
        </w:rPr>
        <w:t xml:space="preserve"> </w:t>
      </w:r>
      <w:r w:rsidRPr="00D94821">
        <w:rPr>
          <w:rFonts w:eastAsia="Times New Roman"/>
          <w:lang w:eastAsia="de-DE"/>
        </w:rPr>
        <w:t xml:space="preserve">(„viel, genug") als Prädikat mit </w:t>
      </w:r>
      <w:r w:rsidRPr="00D94821">
        <w:rPr>
          <w:rFonts w:eastAsia="Times New Roman"/>
          <w:b/>
          <w:bCs/>
          <w:rtl/>
          <w:lang w:eastAsia="de-DE"/>
        </w:rPr>
        <w:t>לָכֶם</w:t>
      </w:r>
      <w:r w:rsidRPr="00D94821">
        <w:rPr>
          <w:rFonts w:eastAsia="Times New Roman"/>
          <w:rtl/>
          <w:lang w:eastAsia="de-DE"/>
        </w:rPr>
        <w:t xml:space="preserve"> </w:t>
      </w:r>
      <w:r w:rsidRPr="00D94821">
        <w:rPr>
          <w:rFonts w:eastAsia="Times New Roman"/>
          <w:lang w:eastAsia="de-DE"/>
        </w:rPr>
        <w:t>(</w:t>
      </w:r>
      <w:r w:rsidRPr="00D94821">
        <w:rPr>
          <w:rFonts w:eastAsia="Times New Roman"/>
          <w:b/>
          <w:bCs/>
          <w:rtl/>
          <w:lang w:eastAsia="de-DE"/>
        </w:rPr>
        <w:t>לְ</w:t>
      </w:r>
      <w:r w:rsidRPr="00D94821">
        <w:rPr>
          <w:rFonts w:eastAsia="Times New Roman"/>
          <w:rtl/>
          <w:lang w:eastAsia="de-DE"/>
        </w:rPr>
        <w:t xml:space="preserve"> </w:t>
      </w:r>
      <w:r w:rsidRPr="00D94821">
        <w:rPr>
          <w:rFonts w:eastAsia="Times New Roman"/>
          <w:lang w:eastAsia="de-DE"/>
        </w:rPr>
        <w:t xml:space="preserve">mit Suffix 2. Person maskulin Plural „für euch"). Die Phrase bedeutet „Es ist genug für euch" oder „Ihr habt genug", identisch mit der </w:t>
      </w:r>
      <w:r w:rsidR="00FF2B82">
        <w:rPr>
          <w:rFonts w:eastAsia="Times New Roman"/>
          <w:lang w:eastAsia="de-DE"/>
        </w:rPr>
        <w:t>Konstruktion</w:t>
      </w:r>
      <w:r w:rsidRPr="00D94821">
        <w:rPr>
          <w:rFonts w:eastAsia="Times New Roman"/>
          <w:lang w:eastAsia="de-DE"/>
        </w:rPr>
        <w:t xml:space="preserve"> in 1,6. </w:t>
      </w:r>
      <w:r w:rsidRPr="00D94821">
        <w:rPr>
          <w:rFonts w:eastAsia="Times New Roman"/>
          <w:b/>
          <w:bCs/>
          <w:rtl/>
          <w:lang w:eastAsia="de-DE"/>
        </w:rPr>
        <w:t>סֹב</w:t>
      </w:r>
      <w:r w:rsidRPr="00D94821">
        <w:rPr>
          <w:rFonts w:eastAsia="Times New Roman"/>
          <w:rtl/>
          <w:lang w:eastAsia="de-DE"/>
        </w:rPr>
        <w:t xml:space="preserve"> </w:t>
      </w:r>
      <w:r w:rsidRPr="00D94821">
        <w:rPr>
          <w:rFonts w:eastAsia="Times New Roman"/>
          <w:lang w:eastAsia="de-DE"/>
        </w:rPr>
        <w:t xml:space="preserve">ist Qal Infinitiv Absolut von </w:t>
      </w:r>
      <w:r w:rsidRPr="00D94821">
        <w:rPr>
          <w:rFonts w:eastAsia="Times New Roman"/>
          <w:rtl/>
          <w:lang w:eastAsia="de-DE"/>
        </w:rPr>
        <w:t>סבב</w:t>
      </w:r>
      <w:r w:rsidRPr="00D94821">
        <w:rPr>
          <w:rFonts w:eastAsia="Times New Roman"/>
          <w:lang w:eastAsia="de-DE"/>
        </w:rPr>
        <w:t xml:space="preserve"> („umkreisen"), der hier als Subjekt des Nominalsatzes fungiert oder das finite Verb vertritt. </w:t>
      </w:r>
      <w:r w:rsidRPr="00D94821">
        <w:rPr>
          <w:rFonts w:eastAsia="Times New Roman"/>
          <w:b/>
          <w:bCs/>
          <w:rtl/>
          <w:lang w:eastAsia="de-DE"/>
        </w:rPr>
        <w:t>אֶת־הָהָר הַזֶּה</w:t>
      </w:r>
      <w:r w:rsidRPr="00D94821">
        <w:rPr>
          <w:rFonts w:eastAsia="Times New Roman"/>
          <w:rtl/>
          <w:lang w:eastAsia="de-DE"/>
        </w:rPr>
        <w:t xml:space="preserve"> </w:t>
      </w:r>
      <w:r w:rsidRPr="00D94821">
        <w:rPr>
          <w:rFonts w:eastAsia="Times New Roman"/>
          <w:lang w:eastAsia="de-DE"/>
        </w:rPr>
        <w:t xml:space="preserve">ist die Objektpartikel mit </w:t>
      </w:r>
      <w:r w:rsidRPr="00D94821">
        <w:rPr>
          <w:rFonts w:eastAsia="Times New Roman"/>
          <w:b/>
          <w:bCs/>
          <w:rtl/>
          <w:lang w:eastAsia="de-DE"/>
        </w:rPr>
        <w:t>הָהָר</w:t>
      </w:r>
      <w:r w:rsidRPr="00D94821">
        <w:rPr>
          <w:rFonts w:eastAsia="Times New Roman"/>
          <w:rtl/>
          <w:lang w:eastAsia="de-DE"/>
        </w:rPr>
        <w:t xml:space="preserve"> </w:t>
      </w:r>
      <w:r w:rsidRPr="00D94821">
        <w:rPr>
          <w:rFonts w:eastAsia="Times New Roman"/>
          <w:lang w:eastAsia="de-DE"/>
        </w:rPr>
        <w:t xml:space="preserve">(„das Gebirge") und Demonstrativpronomen </w:t>
      </w:r>
      <w:r w:rsidRPr="00D94821">
        <w:rPr>
          <w:rFonts w:eastAsia="Times New Roman"/>
          <w:b/>
          <w:bCs/>
          <w:rtl/>
          <w:lang w:eastAsia="de-DE"/>
        </w:rPr>
        <w:t>הַזֶּה</w:t>
      </w:r>
      <w:r w:rsidRPr="00D94821">
        <w:rPr>
          <w:rFonts w:eastAsia="Times New Roman"/>
          <w:rtl/>
          <w:lang w:eastAsia="de-DE"/>
        </w:rPr>
        <w:t xml:space="preserve"> </w:t>
      </w:r>
      <w:r w:rsidRPr="00D94821">
        <w:rPr>
          <w:rFonts w:eastAsia="Times New Roman"/>
          <w:lang w:eastAsia="de-DE"/>
        </w:rPr>
        <w:t>(„dieses").</w:t>
      </w:r>
    </w:p>
    <w:p w14:paraId="2FE1C6D8"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rtl/>
          <w:lang w:eastAsia="de-DE"/>
        </w:rPr>
        <w:t>פְּנוּ לָכֶם</w:t>
      </w:r>
      <w:r w:rsidRPr="00D94821">
        <w:rPr>
          <w:rFonts w:eastAsia="Times New Roman"/>
          <w:rtl/>
          <w:lang w:eastAsia="de-DE"/>
        </w:rPr>
        <w:t xml:space="preserve"> </w:t>
      </w:r>
      <w:r w:rsidRPr="00D94821">
        <w:rPr>
          <w:rFonts w:eastAsia="Times New Roman"/>
          <w:lang w:eastAsia="de-DE"/>
        </w:rPr>
        <w:t xml:space="preserve">besteht aus </w:t>
      </w:r>
      <w:r w:rsidRPr="00D94821">
        <w:rPr>
          <w:rFonts w:eastAsia="Times New Roman"/>
          <w:b/>
          <w:bCs/>
          <w:rtl/>
          <w:lang w:eastAsia="de-DE"/>
        </w:rPr>
        <w:t>פְּנוּ</w:t>
      </w:r>
      <w:r w:rsidRPr="00D94821">
        <w:rPr>
          <w:rFonts w:eastAsia="Times New Roman"/>
          <w:rtl/>
          <w:lang w:eastAsia="de-DE"/>
        </w:rPr>
        <w:t xml:space="preserve"> </w:t>
      </w:r>
      <w:r w:rsidRPr="00D94821">
        <w:rPr>
          <w:rFonts w:eastAsia="Times New Roman"/>
          <w:lang w:eastAsia="de-DE"/>
        </w:rPr>
        <w:t xml:space="preserve">(Qal Imperativ maskulin Plural von </w:t>
      </w:r>
      <w:r w:rsidRPr="00D94821">
        <w:rPr>
          <w:rFonts w:eastAsia="Times New Roman"/>
          <w:rtl/>
          <w:lang w:eastAsia="de-DE"/>
        </w:rPr>
        <w:t>פנה</w:t>
      </w:r>
      <w:r w:rsidRPr="00D94821">
        <w:rPr>
          <w:rFonts w:eastAsia="Times New Roman"/>
          <w:lang w:eastAsia="de-DE"/>
        </w:rPr>
        <w:t xml:space="preserve"> „sich wenden") und </w:t>
      </w:r>
      <w:r w:rsidRPr="00D94821">
        <w:rPr>
          <w:rFonts w:eastAsia="Times New Roman"/>
          <w:b/>
          <w:bCs/>
          <w:rtl/>
          <w:lang w:eastAsia="de-DE"/>
        </w:rPr>
        <w:t>לָכֶם</w:t>
      </w:r>
      <w:r w:rsidRPr="00D94821">
        <w:rPr>
          <w:rFonts w:eastAsia="Times New Roman"/>
          <w:rtl/>
          <w:lang w:eastAsia="de-DE"/>
        </w:rPr>
        <w:t xml:space="preserve"> </w:t>
      </w:r>
      <w:r w:rsidRPr="00D94821">
        <w:rPr>
          <w:rFonts w:eastAsia="Times New Roman"/>
          <w:lang w:eastAsia="de-DE"/>
        </w:rPr>
        <w:t xml:space="preserve">mit reflexiver oder ethischer Nuance. </w:t>
      </w:r>
      <w:r w:rsidRPr="00D94821">
        <w:rPr>
          <w:rFonts w:eastAsia="Times New Roman"/>
          <w:b/>
          <w:bCs/>
          <w:rtl/>
          <w:lang w:eastAsia="de-DE"/>
        </w:rPr>
        <w:t>צָפֹנָה</w:t>
      </w:r>
      <w:r w:rsidRPr="00D94821">
        <w:rPr>
          <w:rFonts w:eastAsia="Times New Roman"/>
          <w:rtl/>
          <w:lang w:eastAsia="de-DE"/>
        </w:rPr>
        <w:t xml:space="preserve"> </w:t>
      </w:r>
      <w:r w:rsidRPr="00D94821">
        <w:rPr>
          <w:rFonts w:eastAsia="Times New Roman"/>
          <w:lang w:eastAsia="de-DE"/>
        </w:rPr>
        <w:t xml:space="preserve">ist ein Richtungsadverb „nach Norden", gebildet aus </w:t>
      </w:r>
      <w:r w:rsidRPr="00D94821">
        <w:rPr>
          <w:rFonts w:eastAsia="Times New Roman"/>
          <w:b/>
          <w:bCs/>
          <w:rtl/>
          <w:lang w:eastAsia="de-DE"/>
        </w:rPr>
        <w:t>צָפוֹן</w:t>
      </w:r>
      <w:r w:rsidRPr="00D94821">
        <w:rPr>
          <w:rFonts w:eastAsia="Times New Roman"/>
          <w:rtl/>
          <w:lang w:eastAsia="de-DE"/>
        </w:rPr>
        <w:t xml:space="preserve"> </w:t>
      </w:r>
      <w:r w:rsidRPr="00D94821">
        <w:rPr>
          <w:rFonts w:eastAsia="Times New Roman"/>
          <w:lang w:eastAsia="de-DE"/>
        </w:rPr>
        <w:t>(„Norden") mit He locale.</w:t>
      </w:r>
    </w:p>
    <w:p w14:paraId="03962B7B"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lang w:eastAsia="de-DE"/>
        </w:rPr>
        <w:t>Die LXX</w:t>
      </w:r>
      <w:r w:rsidRPr="00D94821">
        <w:rPr>
          <w:rFonts w:eastAsia="Times New Roman"/>
          <w:lang w:eastAsia="de-DE"/>
        </w:rPr>
        <w:t xml:space="preserve"> übersetzt „</w:t>
      </w:r>
      <w:proofErr w:type="spellStart"/>
      <w:r w:rsidRPr="00D94821">
        <w:rPr>
          <w:rFonts w:eastAsia="Times New Roman"/>
          <w:lang w:eastAsia="de-DE"/>
        </w:rPr>
        <w:t>ἱκ</w:t>
      </w:r>
      <w:proofErr w:type="spellEnd"/>
      <w:r w:rsidRPr="00D94821">
        <w:rPr>
          <w:rFonts w:eastAsia="Times New Roman"/>
          <w:lang w:eastAsia="de-DE"/>
        </w:rPr>
        <w:t xml:space="preserve">ανούσθω </w:t>
      </w:r>
      <w:proofErr w:type="spellStart"/>
      <w:r w:rsidRPr="00D94821">
        <w:rPr>
          <w:rFonts w:eastAsia="Times New Roman"/>
          <w:lang w:eastAsia="de-DE"/>
        </w:rPr>
        <w:t>ὑμῖν</w:t>
      </w:r>
      <w:proofErr w:type="spellEnd"/>
      <w:r w:rsidRPr="00D94821">
        <w:rPr>
          <w:rFonts w:eastAsia="Times New Roman"/>
          <w:lang w:eastAsia="de-DE"/>
        </w:rPr>
        <w:t xml:space="preserve"> </w:t>
      </w:r>
      <w:proofErr w:type="spellStart"/>
      <w:r w:rsidRPr="00D94821">
        <w:rPr>
          <w:rFonts w:eastAsia="Times New Roman"/>
          <w:lang w:eastAsia="de-DE"/>
        </w:rPr>
        <w:t>κυκλοῦν</w:t>
      </w:r>
      <w:proofErr w:type="spellEnd"/>
      <w:r w:rsidRPr="00D94821">
        <w:rPr>
          <w:rFonts w:eastAsia="Times New Roman"/>
          <w:lang w:eastAsia="de-DE"/>
        </w:rPr>
        <w:t xml:space="preserve"> </w:t>
      </w:r>
      <w:proofErr w:type="spellStart"/>
      <w:r w:rsidRPr="00D94821">
        <w:rPr>
          <w:rFonts w:eastAsia="Times New Roman"/>
          <w:lang w:eastAsia="de-DE"/>
        </w:rPr>
        <w:t>τὸ</w:t>
      </w:r>
      <w:proofErr w:type="spellEnd"/>
      <w:r w:rsidRPr="00D94821">
        <w:rPr>
          <w:rFonts w:eastAsia="Times New Roman"/>
          <w:lang w:eastAsia="de-DE"/>
        </w:rPr>
        <w:t xml:space="preserve"> </w:t>
      </w:r>
      <w:proofErr w:type="spellStart"/>
      <w:r w:rsidRPr="00D94821">
        <w:rPr>
          <w:rFonts w:eastAsia="Times New Roman"/>
          <w:lang w:eastAsia="de-DE"/>
        </w:rPr>
        <w:t>ὄρος</w:t>
      </w:r>
      <w:proofErr w:type="spellEnd"/>
      <w:r w:rsidRPr="00D94821">
        <w:rPr>
          <w:rFonts w:eastAsia="Times New Roman"/>
          <w:lang w:eastAsia="de-DE"/>
        </w:rPr>
        <w:t xml:space="preserve"> </w:t>
      </w:r>
      <w:proofErr w:type="spellStart"/>
      <w:r w:rsidRPr="00D94821">
        <w:rPr>
          <w:rFonts w:eastAsia="Times New Roman"/>
          <w:lang w:eastAsia="de-DE"/>
        </w:rPr>
        <w:t>τοῦτο</w:t>
      </w:r>
      <w:proofErr w:type="spellEnd"/>
      <w:r w:rsidRPr="00D94821">
        <w:rPr>
          <w:rFonts w:eastAsia="Times New Roman"/>
          <w:lang w:eastAsia="de-DE"/>
        </w:rPr>
        <w:t>· ἐπ</w:t>
      </w:r>
      <w:proofErr w:type="spellStart"/>
      <w:r w:rsidRPr="00D94821">
        <w:rPr>
          <w:rFonts w:eastAsia="Times New Roman"/>
          <w:lang w:eastAsia="de-DE"/>
        </w:rPr>
        <w:t>ιστράφητε</w:t>
      </w:r>
      <w:proofErr w:type="spellEnd"/>
      <w:r w:rsidRPr="00D94821">
        <w:rPr>
          <w:rFonts w:eastAsia="Times New Roman"/>
          <w:lang w:eastAsia="de-DE"/>
        </w:rPr>
        <w:t xml:space="preserve"> </w:t>
      </w:r>
      <w:proofErr w:type="spellStart"/>
      <w:r w:rsidRPr="00D94821">
        <w:rPr>
          <w:rFonts w:eastAsia="Times New Roman"/>
          <w:lang w:eastAsia="de-DE"/>
        </w:rPr>
        <w:t>οὖν</w:t>
      </w:r>
      <w:proofErr w:type="spellEnd"/>
      <w:r w:rsidRPr="00D94821">
        <w:rPr>
          <w:rFonts w:eastAsia="Times New Roman"/>
          <w:lang w:eastAsia="de-DE"/>
        </w:rPr>
        <w:t xml:space="preserve"> ἐπὶ β</w:t>
      </w:r>
      <w:proofErr w:type="spellStart"/>
      <w:r w:rsidRPr="00D94821">
        <w:rPr>
          <w:rFonts w:eastAsia="Times New Roman"/>
          <w:lang w:eastAsia="de-DE"/>
        </w:rPr>
        <w:t>ορρᾶν</w:t>
      </w:r>
      <w:proofErr w:type="spellEnd"/>
      <w:r w:rsidRPr="00D94821">
        <w:rPr>
          <w:rFonts w:eastAsia="Times New Roman"/>
          <w:lang w:eastAsia="de-DE"/>
        </w:rPr>
        <w:t>" („Es soll euch genügen, dieses Gebirge zu umkreisen; wendet euch nun nach Norden"). Die LXX expliziert die elliptische Struktur mit einem finiten Verb im Imperativ.</w:t>
      </w:r>
    </w:p>
    <w:p w14:paraId="330ECD73"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lang w:eastAsia="de-DE"/>
        </w:rPr>
        <w:lastRenderedPageBreak/>
        <w:t xml:space="preserve">Die Satzstruktur besteht aus zwei koordinierten Sätzen: (1) ein Nominalsatz mit elliptischem Prädikat </w:t>
      </w:r>
      <w:r w:rsidRPr="00D94821">
        <w:rPr>
          <w:rFonts w:eastAsia="Times New Roman"/>
          <w:b/>
          <w:bCs/>
          <w:rtl/>
          <w:lang w:eastAsia="de-DE"/>
        </w:rPr>
        <w:t>רַב־לָכֶם</w:t>
      </w:r>
      <w:r w:rsidRPr="00D94821">
        <w:rPr>
          <w:rFonts w:eastAsia="Times New Roman"/>
          <w:lang w:eastAsia="de-DE"/>
        </w:rPr>
        <w:t xml:space="preserve">, Subjekt (Infinitiv Absolut </w:t>
      </w:r>
      <w:r w:rsidRPr="00D94821">
        <w:rPr>
          <w:rFonts w:eastAsia="Times New Roman"/>
          <w:b/>
          <w:bCs/>
          <w:rtl/>
          <w:lang w:eastAsia="de-DE"/>
        </w:rPr>
        <w:t>סֹב</w:t>
      </w:r>
      <w:r w:rsidRPr="00D94821">
        <w:rPr>
          <w:rFonts w:eastAsia="Times New Roman"/>
          <w:lang w:eastAsia="de-DE"/>
        </w:rPr>
        <w:t xml:space="preserve">) mit Objekt </w:t>
      </w:r>
      <w:r w:rsidRPr="00D94821">
        <w:rPr>
          <w:rFonts w:eastAsia="Times New Roman"/>
          <w:b/>
          <w:bCs/>
          <w:rtl/>
          <w:lang w:eastAsia="de-DE"/>
        </w:rPr>
        <w:t>אֶת־הָהָר הַזֶּה</w:t>
      </w:r>
      <w:r w:rsidRPr="00D94821">
        <w:rPr>
          <w:rFonts w:eastAsia="Times New Roman"/>
          <w:lang w:eastAsia="de-DE"/>
        </w:rPr>
        <w:t xml:space="preserve">, (2) ein Imperativsatz </w:t>
      </w:r>
      <w:r w:rsidRPr="00D94821">
        <w:rPr>
          <w:rFonts w:eastAsia="Times New Roman"/>
          <w:b/>
          <w:bCs/>
          <w:rtl/>
          <w:lang w:eastAsia="de-DE"/>
        </w:rPr>
        <w:t>פְּנוּ לָכֶם צָפֹנָה</w:t>
      </w:r>
      <w:r w:rsidRPr="00D94821">
        <w:rPr>
          <w:rFonts w:eastAsia="Times New Roman"/>
          <w:lang w:eastAsia="de-DE"/>
        </w:rPr>
        <w:t>.</w:t>
      </w:r>
    </w:p>
    <w:p w14:paraId="59EC7E5B"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lang w:eastAsia="de-DE"/>
        </w:rPr>
        <w:t>Der Vers markiert das Ende der Strafe: Das sinnlose Umkreisen des Gebirges Seir ist vorbei, und Israel erhält die Erlaubnis, nach Norden vorzurücken – der erste Schritt in Richtung verheißenes Land nach fast 38 Jahren.</w:t>
      </w:r>
    </w:p>
    <w:p w14:paraId="60B85122" w14:textId="77777777" w:rsidR="00D94821" w:rsidRPr="00D94821" w:rsidRDefault="00D94821" w:rsidP="00D94821">
      <w:pPr>
        <w:spacing w:before="100" w:beforeAutospacing="1" w:after="100" w:afterAutospacing="1" w:line="240" w:lineRule="auto"/>
        <w:outlineLvl w:val="1"/>
        <w:rPr>
          <w:rFonts w:eastAsia="Times New Roman"/>
          <w:b/>
          <w:bCs/>
          <w:sz w:val="36"/>
          <w:szCs w:val="36"/>
          <w:lang w:eastAsia="de-DE"/>
        </w:rPr>
      </w:pPr>
      <w:r w:rsidRPr="00D94821">
        <w:rPr>
          <w:rFonts w:eastAsia="Times New Roman"/>
          <w:b/>
          <w:bCs/>
          <w:sz w:val="36"/>
          <w:szCs w:val="36"/>
          <w:lang w:eastAsia="de-DE"/>
        </w:rPr>
        <w:t>Deuteronomium 2,4</w:t>
      </w:r>
    </w:p>
    <w:p w14:paraId="1A0D6AA8"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lang w:eastAsia="de-DE"/>
        </w:rPr>
        <w:t>Hebräisch:</w:t>
      </w:r>
      <w:r w:rsidRPr="00D94821">
        <w:rPr>
          <w:rFonts w:eastAsia="Times New Roman"/>
          <w:lang w:eastAsia="de-DE"/>
        </w:rPr>
        <w:t xml:space="preserve"> </w:t>
      </w:r>
      <w:r w:rsidRPr="00D94821">
        <w:rPr>
          <w:rFonts w:eastAsia="Times New Roman"/>
          <w:rtl/>
          <w:lang w:eastAsia="de-DE"/>
        </w:rPr>
        <w:t>וְאֶת־הָעָם֮ צַו֮ לֵאמֹר֒ אַתֶּ֣ם עֹֽבְרִ֗ים בִּגְבוּל֙ אֲחֵיכֶ֣ם בְּנֵי־עֵשָׂ֔ו הַיֹּשְׁבִ֖ים בְּשֵׂעִ֑יר וְיִֽירְא֣וּ מִכֶּ֔ם וְנִשְׁמַרְתֶּ֖ם מְאֹֽד׃</w:t>
      </w:r>
    </w:p>
    <w:p w14:paraId="0FC178B0"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lang w:eastAsia="de-DE"/>
        </w:rPr>
        <w:t>Deutsch:</w:t>
      </w:r>
      <w:r w:rsidRPr="00D94821">
        <w:rPr>
          <w:rFonts w:eastAsia="Times New Roman"/>
          <w:lang w:eastAsia="de-DE"/>
        </w:rPr>
        <w:t xml:space="preserve"> Und dem Volk gebiete, sagend: Ihr seid vorüberziehend an der Grenze eurer Brüder, der Söhne 'Esav, die in Se'ir wohnen, und sie werden sich vor euch fürchten; so hütet euch sehr!</w:t>
      </w:r>
    </w:p>
    <w:p w14:paraId="0C3FC09F" w14:textId="77777777" w:rsidR="00D94821" w:rsidRPr="00D94821" w:rsidRDefault="004F5CEB" w:rsidP="00D94821">
      <w:pPr>
        <w:spacing w:after="0" w:line="240" w:lineRule="auto"/>
        <w:rPr>
          <w:rFonts w:eastAsia="Times New Roman"/>
          <w:lang w:eastAsia="de-DE"/>
        </w:rPr>
      </w:pPr>
      <w:r>
        <w:rPr>
          <w:rFonts w:eastAsia="Times New Roman"/>
          <w:noProof/>
          <w:lang w:eastAsia="de-DE"/>
        </w:rPr>
        <w:pict w14:anchorId="7025F757">
          <v:rect id="_x0000_i1074" style="width:0;height:1.5pt" o:hralign="center" o:hrstd="t" o:hr="t" fillcolor="#a0a0a0" stroked="f"/>
        </w:pict>
      </w:r>
    </w:p>
    <w:p w14:paraId="04CD4E96"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lang w:eastAsia="de-DE"/>
        </w:rPr>
        <w:t>Kommentar:</w:t>
      </w:r>
      <w:r w:rsidRPr="00D94821">
        <w:rPr>
          <w:rFonts w:eastAsia="Times New Roman"/>
          <w:lang w:eastAsia="de-DE"/>
        </w:rPr>
        <w:t xml:space="preserve"> </w:t>
      </w:r>
      <w:r w:rsidRPr="00D94821">
        <w:rPr>
          <w:rFonts w:eastAsia="Times New Roman"/>
          <w:b/>
          <w:bCs/>
          <w:rtl/>
          <w:lang w:eastAsia="de-DE"/>
        </w:rPr>
        <w:t>וְאֶת־הָעָם צַו</w:t>
      </w:r>
      <w:r w:rsidRPr="00D94821">
        <w:rPr>
          <w:rFonts w:eastAsia="Times New Roman"/>
          <w:rtl/>
          <w:lang w:eastAsia="de-DE"/>
        </w:rPr>
        <w:t xml:space="preserve"> </w:t>
      </w:r>
      <w:r w:rsidRPr="00D94821">
        <w:rPr>
          <w:rFonts w:eastAsia="Times New Roman"/>
          <w:lang w:eastAsia="de-DE"/>
        </w:rPr>
        <w:t xml:space="preserve">besteht aus </w:t>
      </w:r>
      <w:r w:rsidRPr="00D94821">
        <w:rPr>
          <w:rFonts w:eastAsia="Times New Roman"/>
          <w:b/>
          <w:bCs/>
          <w:rtl/>
          <w:lang w:eastAsia="de-DE"/>
        </w:rPr>
        <w:t>וְ</w:t>
      </w:r>
      <w:r w:rsidRPr="00D94821">
        <w:rPr>
          <w:rFonts w:eastAsia="Times New Roman"/>
          <w:lang w:eastAsia="de-DE"/>
        </w:rPr>
        <w:t xml:space="preserve">, der Objektpartikel </w:t>
      </w:r>
      <w:r w:rsidRPr="00D94821">
        <w:rPr>
          <w:rFonts w:eastAsia="Times New Roman"/>
          <w:b/>
          <w:bCs/>
          <w:rtl/>
          <w:lang w:eastAsia="de-DE"/>
        </w:rPr>
        <w:t>אֵת</w:t>
      </w:r>
      <w:r w:rsidRPr="00D94821">
        <w:rPr>
          <w:rFonts w:eastAsia="Times New Roman"/>
          <w:rtl/>
          <w:lang w:eastAsia="de-DE"/>
        </w:rPr>
        <w:t xml:space="preserve"> </w:t>
      </w:r>
      <w:r w:rsidRPr="00D94821">
        <w:rPr>
          <w:rFonts w:eastAsia="Times New Roman"/>
          <w:lang w:eastAsia="de-DE"/>
        </w:rPr>
        <w:t xml:space="preserve">mit </w:t>
      </w:r>
      <w:r w:rsidRPr="00D94821">
        <w:rPr>
          <w:rFonts w:eastAsia="Times New Roman"/>
          <w:b/>
          <w:bCs/>
          <w:rtl/>
          <w:lang w:eastAsia="de-DE"/>
        </w:rPr>
        <w:t>הָעָם</w:t>
      </w:r>
      <w:r w:rsidRPr="00D94821">
        <w:rPr>
          <w:rFonts w:eastAsia="Times New Roman"/>
          <w:rtl/>
          <w:lang w:eastAsia="de-DE"/>
        </w:rPr>
        <w:t xml:space="preserve"> </w:t>
      </w:r>
      <w:r w:rsidRPr="00D94821">
        <w:rPr>
          <w:rFonts w:eastAsia="Times New Roman"/>
          <w:lang w:eastAsia="de-DE"/>
        </w:rPr>
        <w:t xml:space="preserve">(„das Volk"), und </w:t>
      </w:r>
      <w:r w:rsidRPr="00D94821">
        <w:rPr>
          <w:rFonts w:eastAsia="Times New Roman"/>
          <w:b/>
          <w:bCs/>
          <w:rtl/>
          <w:lang w:eastAsia="de-DE"/>
        </w:rPr>
        <w:t>צַו</w:t>
      </w:r>
      <w:r w:rsidRPr="00D94821">
        <w:rPr>
          <w:rFonts w:eastAsia="Times New Roman"/>
          <w:rtl/>
          <w:lang w:eastAsia="de-DE"/>
        </w:rPr>
        <w:t xml:space="preserve"> </w:t>
      </w:r>
      <w:r w:rsidRPr="00D94821">
        <w:rPr>
          <w:rFonts w:eastAsia="Times New Roman"/>
          <w:lang w:eastAsia="de-DE"/>
        </w:rPr>
        <w:t xml:space="preserve">(Piel Imperativ maskulin Singular von </w:t>
      </w:r>
      <w:r w:rsidRPr="00D94821">
        <w:rPr>
          <w:rFonts w:eastAsia="Times New Roman"/>
          <w:rtl/>
          <w:lang w:eastAsia="de-DE"/>
        </w:rPr>
        <w:t>צוה</w:t>
      </w:r>
      <w:r w:rsidRPr="00D94821">
        <w:rPr>
          <w:rFonts w:eastAsia="Times New Roman"/>
          <w:lang w:eastAsia="de-DE"/>
        </w:rPr>
        <w:t xml:space="preserve"> „befehlen, gebieten"). Die Voranstellung des Objekts verleiht Nachdruck. </w:t>
      </w:r>
      <w:r w:rsidRPr="00D94821">
        <w:rPr>
          <w:rFonts w:eastAsia="Times New Roman"/>
          <w:b/>
          <w:bCs/>
          <w:rtl/>
          <w:lang w:eastAsia="de-DE"/>
        </w:rPr>
        <w:t>לֵאמֹר</w:t>
      </w:r>
      <w:r w:rsidRPr="00D94821">
        <w:rPr>
          <w:rFonts w:eastAsia="Times New Roman"/>
          <w:rtl/>
          <w:lang w:eastAsia="de-DE"/>
        </w:rPr>
        <w:t xml:space="preserve"> </w:t>
      </w:r>
      <w:r w:rsidRPr="00D94821">
        <w:rPr>
          <w:rFonts w:eastAsia="Times New Roman"/>
          <w:lang w:eastAsia="de-DE"/>
        </w:rPr>
        <w:t>leitet die direkte Rede ein.</w:t>
      </w:r>
    </w:p>
    <w:p w14:paraId="534C7428" w14:textId="43DA21A6"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rtl/>
          <w:lang w:eastAsia="de-DE"/>
        </w:rPr>
        <w:t>אַתֶּם עֹבְרִים</w:t>
      </w:r>
      <w:r w:rsidRPr="00D94821">
        <w:rPr>
          <w:rFonts w:eastAsia="Times New Roman"/>
          <w:rtl/>
          <w:lang w:eastAsia="de-DE"/>
        </w:rPr>
        <w:t xml:space="preserve"> </w:t>
      </w:r>
      <w:r w:rsidRPr="00D94821">
        <w:rPr>
          <w:rFonts w:eastAsia="Times New Roman"/>
          <w:lang w:eastAsia="de-DE"/>
        </w:rPr>
        <w:t xml:space="preserve">ist </w:t>
      </w:r>
      <w:r w:rsidRPr="00D94821">
        <w:rPr>
          <w:rFonts w:eastAsia="Times New Roman"/>
          <w:b/>
          <w:bCs/>
          <w:rtl/>
          <w:lang w:eastAsia="de-DE"/>
        </w:rPr>
        <w:t>אַתֶּם</w:t>
      </w:r>
      <w:r w:rsidRPr="00D94821">
        <w:rPr>
          <w:rFonts w:eastAsia="Times New Roman"/>
          <w:rtl/>
          <w:lang w:eastAsia="de-DE"/>
        </w:rPr>
        <w:t xml:space="preserve"> </w:t>
      </w:r>
      <w:r w:rsidRPr="00D94821">
        <w:rPr>
          <w:rFonts w:eastAsia="Times New Roman"/>
          <w:lang w:eastAsia="de-DE"/>
        </w:rPr>
        <w:t xml:space="preserve">(Personalpronomen 2. Person maskulin Plural) als betonendes Subjekt und </w:t>
      </w:r>
      <w:r w:rsidRPr="00D94821">
        <w:rPr>
          <w:rFonts w:eastAsia="Times New Roman"/>
          <w:b/>
          <w:bCs/>
          <w:rtl/>
          <w:lang w:eastAsia="de-DE"/>
        </w:rPr>
        <w:t>עֹבְרִים</w:t>
      </w:r>
      <w:r w:rsidRPr="00D94821">
        <w:rPr>
          <w:rFonts w:eastAsia="Times New Roman"/>
          <w:rtl/>
          <w:lang w:eastAsia="de-DE"/>
        </w:rPr>
        <w:t xml:space="preserve"> </w:t>
      </w:r>
      <w:r w:rsidRPr="00D94821">
        <w:rPr>
          <w:rFonts w:eastAsia="Times New Roman"/>
          <w:lang w:eastAsia="de-DE"/>
        </w:rPr>
        <w:t xml:space="preserve">(Qal Partizip aktiv, maskulin Plural von </w:t>
      </w:r>
      <w:r w:rsidRPr="00D94821">
        <w:rPr>
          <w:rFonts w:eastAsia="Times New Roman"/>
          <w:rtl/>
          <w:lang w:eastAsia="de-DE"/>
        </w:rPr>
        <w:t>עבר</w:t>
      </w:r>
      <w:r w:rsidRPr="00D94821">
        <w:rPr>
          <w:rFonts w:eastAsia="Times New Roman"/>
          <w:lang w:eastAsia="de-DE"/>
        </w:rPr>
        <w:t xml:space="preserve"> „vorüberziehen, durchziehen"). </w:t>
      </w:r>
      <w:r w:rsidRPr="00D94821">
        <w:rPr>
          <w:rFonts w:eastAsia="Times New Roman"/>
          <w:b/>
          <w:bCs/>
          <w:rtl/>
          <w:lang w:eastAsia="de-DE"/>
        </w:rPr>
        <w:t>בִּגְבוּל אֲחֵיכֶם בְּנֵי־עֵשָׂו</w:t>
      </w:r>
      <w:r w:rsidRPr="00D94821">
        <w:rPr>
          <w:rFonts w:eastAsia="Times New Roman"/>
          <w:rtl/>
          <w:lang w:eastAsia="de-DE"/>
        </w:rPr>
        <w:t xml:space="preserve"> </w:t>
      </w:r>
      <w:r w:rsidRPr="00D94821">
        <w:rPr>
          <w:rFonts w:eastAsia="Times New Roman"/>
          <w:lang w:eastAsia="de-DE"/>
        </w:rPr>
        <w:t xml:space="preserve">ist </w:t>
      </w:r>
      <w:r w:rsidRPr="00D94821">
        <w:rPr>
          <w:rFonts w:eastAsia="Times New Roman"/>
          <w:b/>
          <w:bCs/>
          <w:rtl/>
          <w:lang w:eastAsia="de-DE"/>
        </w:rPr>
        <w:t>בְּ</w:t>
      </w:r>
      <w:r w:rsidRPr="00D94821">
        <w:rPr>
          <w:rFonts w:eastAsia="Times New Roman"/>
          <w:rtl/>
          <w:lang w:eastAsia="de-DE"/>
        </w:rPr>
        <w:t xml:space="preserve"> </w:t>
      </w:r>
      <w:r w:rsidRPr="00D94821">
        <w:rPr>
          <w:rFonts w:eastAsia="Times New Roman"/>
          <w:lang w:eastAsia="de-DE"/>
        </w:rPr>
        <w:t xml:space="preserve">mit </w:t>
      </w:r>
      <w:r w:rsidRPr="00D94821">
        <w:rPr>
          <w:rFonts w:eastAsia="Times New Roman"/>
          <w:b/>
          <w:bCs/>
          <w:rtl/>
          <w:lang w:eastAsia="de-DE"/>
        </w:rPr>
        <w:t>גְּבוּל</w:t>
      </w:r>
      <w:r w:rsidRPr="00D94821">
        <w:rPr>
          <w:rFonts w:eastAsia="Times New Roman"/>
          <w:rtl/>
          <w:lang w:eastAsia="de-DE"/>
        </w:rPr>
        <w:t xml:space="preserve"> </w:t>
      </w:r>
      <w:r w:rsidRPr="00D94821">
        <w:rPr>
          <w:rFonts w:eastAsia="Times New Roman"/>
          <w:lang w:eastAsia="de-DE"/>
        </w:rPr>
        <w:t xml:space="preserve">(„Grenze, Gebiet"), </w:t>
      </w:r>
      <w:r w:rsidRPr="00D94821">
        <w:rPr>
          <w:rFonts w:eastAsia="Times New Roman"/>
          <w:b/>
          <w:bCs/>
          <w:rtl/>
          <w:lang w:eastAsia="de-DE"/>
        </w:rPr>
        <w:t>אֲחֵיכֶם</w:t>
      </w:r>
      <w:r w:rsidRPr="00D94821">
        <w:rPr>
          <w:rFonts w:eastAsia="Times New Roman"/>
          <w:rtl/>
          <w:lang w:eastAsia="de-DE"/>
        </w:rPr>
        <w:t xml:space="preserve"> </w:t>
      </w:r>
      <w:r w:rsidRPr="00D94821">
        <w:rPr>
          <w:rFonts w:eastAsia="Times New Roman"/>
          <w:lang w:eastAsia="de-DE"/>
        </w:rPr>
        <w:t xml:space="preserve">(Plural von </w:t>
      </w:r>
      <w:r w:rsidRPr="00D94821">
        <w:rPr>
          <w:rFonts w:eastAsia="Times New Roman"/>
          <w:b/>
          <w:bCs/>
          <w:rtl/>
          <w:lang w:eastAsia="de-DE"/>
        </w:rPr>
        <w:t>אָח</w:t>
      </w:r>
      <w:r w:rsidRPr="00D94821">
        <w:rPr>
          <w:rFonts w:eastAsia="Times New Roman"/>
          <w:rtl/>
          <w:lang w:eastAsia="de-DE"/>
        </w:rPr>
        <w:t xml:space="preserve"> </w:t>
      </w:r>
      <w:r w:rsidRPr="00D94821">
        <w:rPr>
          <w:rFonts w:eastAsia="Times New Roman"/>
          <w:lang w:eastAsia="de-DE"/>
        </w:rPr>
        <w:t xml:space="preserve">„Bruder" mit Suffix 2. Person maskulin Plural), in Apposition </w:t>
      </w:r>
      <w:r w:rsidRPr="00D94821">
        <w:rPr>
          <w:rFonts w:eastAsia="Times New Roman"/>
          <w:b/>
          <w:bCs/>
          <w:rtl/>
          <w:lang w:eastAsia="de-DE"/>
        </w:rPr>
        <w:t>בְּנֵי־עֵשָׂו</w:t>
      </w:r>
      <w:r w:rsidRPr="00D94821">
        <w:rPr>
          <w:rFonts w:eastAsia="Times New Roman"/>
          <w:rtl/>
          <w:lang w:eastAsia="de-DE"/>
        </w:rPr>
        <w:t xml:space="preserve"> </w:t>
      </w:r>
      <w:r w:rsidRPr="00D94821">
        <w:rPr>
          <w:rFonts w:eastAsia="Times New Roman"/>
          <w:lang w:eastAsia="de-DE"/>
        </w:rPr>
        <w:t>(</w:t>
      </w:r>
      <w:r w:rsidR="0032647F">
        <w:rPr>
          <w:rFonts w:eastAsia="Times New Roman"/>
          <w:lang w:eastAsia="de-DE"/>
        </w:rPr>
        <w:t>Construct</w:t>
      </w:r>
      <w:r w:rsidRPr="00D94821">
        <w:rPr>
          <w:rFonts w:eastAsia="Times New Roman"/>
          <w:lang w:eastAsia="de-DE"/>
        </w:rPr>
        <w:t xml:space="preserve">usverbindung „Söhne Esaus"). </w:t>
      </w:r>
      <w:r w:rsidRPr="00D94821">
        <w:rPr>
          <w:rFonts w:eastAsia="Times New Roman"/>
          <w:b/>
          <w:bCs/>
          <w:rtl/>
          <w:lang w:eastAsia="de-DE"/>
        </w:rPr>
        <w:t>הַיֹּשְׁבִים בְּשֵׂעִיר</w:t>
      </w:r>
      <w:r w:rsidRPr="00D94821">
        <w:rPr>
          <w:rFonts w:eastAsia="Times New Roman"/>
          <w:rtl/>
          <w:lang w:eastAsia="de-DE"/>
        </w:rPr>
        <w:t xml:space="preserve"> </w:t>
      </w:r>
      <w:r w:rsidRPr="00D94821">
        <w:rPr>
          <w:rFonts w:eastAsia="Times New Roman"/>
          <w:lang w:eastAsia="de-DE"/>
        </w:rPr>
        <w:t xml:space="preserve">ist ein attributives Partizip: </w:t>
      </w:r>
      <w:r w:rsidRPr="00D94821">
        <w:rPr>
          <w:rFonts w:eastAsia="Times New Roman"/>
          <w:b/>
          <w:bCs/>
          <w:rtl/>
          <w:lang w:eastAsia="de-DE"/>
        </w:rPr>
        <w:t>הַיֹּשְׁבִים</w:t>
      </w:r>
      <w:r w:rsidRPr="00D94821">
        <w:rPr>
          <w:rFonts w:eastAsia="Times New Roman"/>
          <w:rtl/>
          <w:lang w:eastAsia="de-DE"/>
        </w:rPr>
        <w:t xml:space="preserve"> </w:t>
      </w:r>
      <w:r w:rsidRPr="00D94821">
        <w:rPr>
          <w:rFonts w:eastAsia="Times New Roman"/>
          <w:lang w:eastAsia="de-DE"/>
        </w:rPr>
        <w:t xml:space="preserve">(Qal Partizip aktiv, maskulin Plural von </w:t>
      </w:r>
      <w:r w:rsidRPr="00D94821">
        <w:rPr>
          <w:rFonts w:eastAsia="Times New Roman"/>
          <w:rtl/>
          <w:lang w:eastAsia="de-DE"/>
        </w:rPr>
        <w:t>ישׁב</w:t>
      </w:r>
      <w:r w:rsidRPr="00D94821">
        <w:rPr>
          <w:rFonts w:eastAsia="Times New Roman"/>
          <w:lang w:eastAsia="de-DE"/>
        </w:rPr>
        <w:t xml:space="preserve"> mit Artikel) und </w:t>
      </w:r>
      <w:r w:rsidRPr="00D94821">
        <w:rPr>
          <w:rFonts w:eastAsia="Times New Roman"/>
          <w:b/>
          <w:bCs/>
          <w:rtl/>
          <w:lang w:eastAsia="de-DE"/>
        </w:rPr>
        <w:t>בְּשֵׂעִיר</w:t>
      </w:r>
      <w:r w:rsidRPr="00D94821">
        <w:rPr>
          <w:rFonts w:eastAsia="Times New Roman"/>
          <w:rtl/>
          <w:lang w:eastAsia="de-DE"/>
        </w:rPr>
        <w:t xml:space="preserve"> </w:t>
      </w:r>
      <w:r w:rsidRPr="00D94821">
        <w:rPr>
          <w:rFonts w:eastAsia="Times New Roman"/>
          <w:lang w:eastAsia="de-DE"/>
        </w:rPr>
        <w:t>(</w:t>
      </w:r>
      <w:r w:rsidRPr="00D94821">
        <w:rPr>
          <w:rFonts w:eastAsia="Times New Roman"/>
          <w:b/>
          <w:bCs/>
          <w:rtl/>
          <w:lang w:eastAsia="de-DE"/>
        </w:rPr>
        <w:t>בְּ</w:t>
      </w:r>
      <w:r w:rsidRPr="00D94821">
        <w:rPr>
          <w:rFonts w:eastAsia="Times New Roman"/>
          <w:rtl/>
          <w:lang w:eastAsia="de-DE"/>
        </w:rPr>
        <w:t xml:space="preserve"> </w:t>
      </w:r>
      <w:r w:rsidRPr="00D94821">
        <w:rPr>
          <w:rFonts w:eastAsia="Times New Roman"/>
          <w:lang w:eastAsia="de-DE"/>
        </w:rPr>
        <w:t xml:space="preserve">mit Ortsname </w:t>
      </w:r>
      <w:r w:rsidRPr="00D94821">
        <w:rPr>
          <w:rFonts w:eastAsia="Times New Roman"/>
          <w:b/>
          <w:bCs/>
          <w:rtl/>
          <w:lang w:eastAsia="de-DE"/>
        </w:rPr>
        <w:t>שֵׂעִיר</w:t>
      </w:r>
      <w:r w:rsidRPr="00D94821">
        <w:rPr>
          <w:rFonts w:eastAsia="Times New Roman"/>
          <w:lang w:eastAsia="de-DE"/>
        </w:rPr>
        <w:t>).</w:t>
      </w:r>
    </w:p>
    <w:p w14:paraId="37110E0E"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rtl/>
          <w:lang w:eastAsia="de-DE"/>
        </w:rPr>
        <w:t>וְיִירְאוּ מִכֶּם</w:t>
      </w:r>
      <w:r w:rsidRPr="00D94821">
        <w:rPr>
          <w:rFonts w:eastAsia="Times New Roman"/>
          <w:rtl/>
          <w:lang w:eastAsia="de-DE"/>
        </w:rPr>
        <w:t xml:space="preserve"> </w:t>
      </w:r>
      <w:r w:rsidRPr="00D94821">
        <w:rPr>
          <w:rFonts w:eastAsia="Times New Roman"/>
          <w:lang w:eastAsia="de-DE"/>
        </w:rPr>
        <w:t xml:space="preserve">ist </w:t>
      </w:r>
      <w:r w:rsidRPr="00D94821">
        <w:rPr>
          <w:rFonts w:eastAsia="Times New Roman"/>
          <w:b/>
          <w:bCs/>
          <w:rtl/>
          <w:lang w:eastAsia="de-DE"/>
        </w:rPr>
        <w:t>וְ</w:t>
      </w:r>
      <w:r w:rsidRPr="00D94821">
        <w:rPr>
          <w:rFonts w:eastAsia="Times New Roman"/>
          <w:rtl/>
          <w:lang w:eastAsia="de-DE"/>
        </w:rPr>
        <w:t xml:space="preserve"> </w:t>
      </w:r>
      <w:r w:rsidRPr="00D94821">
        <w:rPr>
          <w:rFonts w:eastAsia="Times New Roman"/>
          <w:lang w:eastAsia="de-DE"/>
        </w:rPr>
        <w:t xml:space="preserve">mit </w:t>
      </w:r>
      <w:r w:rsidRPr="00D94821">
        <w:rPr>
          <w:rFonts w:eastAsia="Times New Roman"/>
          <w:b/>
          <w:bCs/>
          <w:rtl/>
          <w:lang w:eastAsia="de-DE"/>
        </w:rPr>
        <w:t>יִירְאוּ</w:t>
      </w:r>
      <w:r w:rsidRPr="00D94821">
        <w:rPr>
          <w:rFonts w:eastAsia="Times New Roman"/>
          <w:rtl/>
          <w:lang w:eastAsia="de-DE"/>
        </w:rPr>
        <w:t xml:space="preserve"> </w:t>
      </w:r>
      <w:r w:rsidRPr="00D94821">
        <w:rPr>
          <w:rFonts w:eastAsia="Times New Roman"/>
          <w:lang w:eastAsia="de-DE"/>
        </w:rPr>
        <w:t xml:space="preserve">(Qal Imperfekt, 3. Person maskulin Plural von </w:t>
      </w:r>
      <w:r w:rsidRPr="00D94821">
        <w:rPr>
          <w:rFonts w:eastAsia="Times New Roman"/>
          <w:rtl/>
          <w:lang w:eastAsia="de-DE"/>
        </w:rPr>
        <w:t>ירא</w:t>
      </w:r>
      <w:r w:rsidRPr="00D94821">
        <w:rPr>
          <w:rFonts w:eastAsia="Times New Roman"/>
          <w:lang w:eastAsia="de-DE"/>
        </w:rPr>
        <w:t xml:space="preserve"> „sich fürchten"), </w:t>
      </w:r>
      <w:r w:rsidRPr="00D94821">
        <w:rPr>
          <w:rFonts w:eastAsia="Times New Roman"/>
          <w:b/>
          <w:bCs/>
          <w:rtl/>
          <w:lang w:eastAsia="de-DE"/>
        </w:rPr>
        <w:t>מִכֶּם</w:t>
      </w:r>
      <w:r w:rsidRPr="00D94821">
        <w:rPr>
          <w:rFonts w:eastAsia="Times New Roman"/>
          <w:rtl/>
          <w:lang w:eastAsia="de-DE"/>
        </w:rPr>
        <w:t xml:space="preserve"> </w:t>
      </w:r>
      <w:r w:rsidRPr="00D94821">
        <w:rPr>
          <w:rFonts w:eastAsia="Times New Roman"/>
          <w:lang w:eastAsia="de-DE"/>
        </w:rPr>
        <w:t>(</w:t>
      </w:r>
      <w:r w:rsidRPr="00D94821">
        <w:rPr>
          <w:rFonts w:eastAsia="Times New Roman"/>
          <w:b/>
          <w:bCs/>
          <w:rtl/>
          <w:lang w:eastAsia="de-DE"/>
        </w:rPr>
        <w:t>מִן</w:t>
      </w:r>
      <w:r w:rsidRPr="00D94821">
        <w:rPr>
          <w:rFonts w:eastAsia="Times New Roman"/>
          <w:rtl/>
          <w:lang w:eastAsia="de-DE"/>
        </w:rPr>
        <w:t xml:space="preserve"> </w:t>
      </w:r>
      <w:r w:rsidRPr="00D94821">
        <w:rPr>
          <w:rFonts w:eastAsia="Times New Roman"/>
          <w:lang w:eastAsia="de-DE"/>
        </w:rPr>
        <w:t xml:space="preserve">„vor" mit Suffix 2. Person maskulin Plural). </w:t>
      </w:r>
      <w:r w:rsidRPr="00D94821">
        <w:rPr>
          <w:rFonts w:eastAsia="Times New Roman"/>
          <w:b/>
          <w:bCs/>
          <w:rtl/>
          <w:lang w:eastAsia="de-DE"/>
        </w:rPr>
        <w:t>וְנִשְׁמַרְתֶּם מְאֹד</w:t>
      </w:r>
      <w:r w:rsidRPr="00D94821">
        <w:rPr>
          <w:rFonts w:eastAsia="Times New Roman"/>
          <w:rtl/>
          <w:lang w:eastAsia="de-DE"/>
        </w:rPr>
        <w:t xml:space="preserve"> </w:t>
      </w:r>
      <w:r w:rsidRPr="00D94821">
        <w:rPr>
          <w:rFonts w:eastAsia="Times New Roman"/>
          <w:lang w:eastAsia="de-DE"/>
        </w:rPr>
        <w:t xml:space="preserve">ist </w:t>
      </w:r>
      <w:r w:rsidRPr="00D94821">
        <w:rPr>
          <w:rFonts w:eastAsia="Times New Roman"/>
          <w:b/>
          <w:bCs/>
          <w:rtl/>
          <w:lang w:eastAsia="de-DE"/>
        </w:rPr>
        <w:t>וְ</w:t>
      </w:r>
      <w:r w:rsidRPr="00D94821">
        <w:rPr>
          <w:rFonts w:eastAsia="Times New Roman"/>
          <w:rtl/>
          <w:lang w:eastAsia="de-DE"/>
        </w:rPr>
        <w:t xml:space="preserve"> </w:t>
      </w:r>
      <w:r w:rsidRPr="00D94821">
        <w:rPr>
          <w:rFonts w:eastAsia="Times New Roman"/>
          <w:lang w:eastAsia="de-DE"/>
        </w:rPr>
        <w:t xml:space="preserve">mit </w:t>
      </w:r>
      <w:r w:rsidRPr="00D94821">
        <w:rPr>
          <w:rFonts w:eastAsia="Times New Roman"/>
          <w:b/>
          <w:bCs/>
          <w:rtl/>
          <w:lang w:eastAsia="de-DE"/>
        </w:rPr>
        <w:t>נִשְׁמַרְתֶּם</w:t>
      </w:r>
      <w:r w:rsidRPr="00D94821">
        <w:rPr>
          <w:rFonts w:eastAsia="Times New Roman"/>
          <w:rtl/>
          <w:lang w:eastAsia="de-DE"/>
        </w:rPr>
        <w:t xml:space="preserve"> </w:t>
      </w:r>
      <w:r w:rsidRPr="00D94821">
        <w:rPr>
          <w:rFonts w:eastAsia="Times New Roman"/>
          <w:lang w:eastAsia="de-DE"/>
        </w:rPr>
        <w:t xml:space="preserve">(Nif'al Perfekt, 2. Person maskulin Plural von </w:t>
      </w:r>
      <w:r w:rsidRPr="00D94821">
        <w:rPr>
          <w:rFonts w:eastAsia="Times New Roman"/>
          <w:rtl/>
          <w:lang w:eastAsia="de-DE"/>
        </w:rPr>
        <w:t>שׁמר</w:t>
      </w:r>
      <w:r w:rsidRPr="00D94821">
        <w:rPr>
          <w:rFonts w:eastAsia="Times New Roman"/>
          <w:lang w:eastAsia="de-DE"/>
        </w:rPr>
        <w:t xml:space="preserve"> „hüten, sich hüten"), das hier imperative Funktion hat, und </w:t>
      </w:r>
      <w:r w:rsidRPr="00D94821">
        <w:rPr>
          <w:rFonts w:eastAsia="Times New Roman"/>
          <w:b/>
          <w:bCs/>
          <w:rtl/>
          <w:lang w:eastAsia="de-DE"/>
        </w:rPr>
        <w:t>מְאֹד</w:t>
      </w:r>
      <w:r w:rsidRPr="00D94821">
        <w:rPr>
          <w:rFonts w:eastAsia="Times New Roman"/>
          <w:rtl/>
          <w:lang w:eastAsia="de-DE"/>
        </w:rPr>
        <w:t xml:space="preserve"> </w:t>
      </w:r>
      <w:r w:rsidRPr="00D94821">
        <w:rPr>
          <w:rFonts w:eastAsia="Times New Roman"/>
          <w:lang w:eastAsia="de-DE"/>
        </w:rPr>
        <w:t>(„sehr") als adverbiale Verstärkung. Die Nif'al-Form ist reflexiv: „hütet euch selbst".</w:t>
      </w:r>
    </w:p>
    <w:p w14:paraId="2454FBAA"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lang w:eastAsia="de-DE"/>
        </w:rPr>
        <w:t>Die LXX</w:t>
      </w:r>
      <w:r w:rsidRPr="00D94821">
        <w:rPr>
          <w:rFonts w:eastAsia="Times New Roman"/>
          <w:lang w:eastAsia="de-DE"/>
        </w:rPr>
        <w:t xml:space="preserve"> übersetzt „καὶ </w:t>
      </w:r>
      <w:proofErr w:type="spellStart"/>
      <w:r w:rsidRPr="00D94821">
        <w:rPr>
          <w:rFonts w:eastAsia="Times New Roman"/>
          <w:lang w:eastAsia="de-DE"/>
        </w:rPr>
        <w:t>τῷ</w:t>
      </w:r>
      <w:proofErr w:type="spellEnd"/>
      <w:r w:rsidRPr="00D94821">
        <w:rPr>
          <w:rFonts w:eastAsia="Times New Roman"/>
          <w:lang w:eastAsia="de-DE"/>
        </w:rPr>
        <w:t xml:space="preserve"> λαῷ </w:t>
      </w:r>
      <w:proofErr w:type="spellStart"/>
      <w:r w:rsidRPr="00D94821">
        <w:rPr>
          <w:rFonts w:eastAsia="Times New Roman"/>
          <w:lang w:eastAsia="de-DE"/>
        </w:rPr>
        <w:t>ἔντειλ</w:t>
      </w:r>
      <w:proofErr w:type="spellEnd"/>
      <w:r w:rsidRPr="00D94821">
        <w:rPr>
          <w:rFonts w:eastAsia="Times New Roman"/>
          <w:lang w:eastAsia="de-DE"/>
        </w:rPr>
        <w:t xml:space="preserve">αι </w:t>
      </w:r>
      <w:proofErr w:type="spellStart"/>
      <w:r w:rsidRPr="00D94821">
        <w:rPr>
          <w:rFonts w:eastAsia="Times New Roman"/>
          <w:lang w:eastAsia="de-DE"/>
        </w:rPr>
        <w:t>λέγων</w:t>
      </w:r>
      <w:proofErr w:type="spellEnd"/>
      <w:r w:rsidRPr="00D94821">
        <w:rPr>
          <w:rFonts w:eastAsia="Times New Roman"/>
          <w:lang w:eastAsia="de-DE"/>
        </w:rPr>
        <w:t xml:space="preserve"> </w:t>
      </w:r>
      <w:proofErr w:type="spellStart"/>
      <w:r w:rsidRPr="00D94821">
        <w:rPr>
          <w:rFonts w:eastAsia="Times New Roman"/>
          <w:lang w:eastAsia="de-DE"/>
        </w:rPr>
        <w:t>Ὑμεῖς</w:t>
      </w:r>
      <w:proofErr w:type="spellEnd"/>
      <w:r w:rsidRPr="00D94821">
        <w:rPr>
          <w:rFonts w:eastAsia="Times New Roman"/>
          <w:lang w:eastAsia="de-DE"/>
        </w:rPr>
        <w:t xml:space="preserve"> παραπ</w:t>
      </w:r>
      <w:proofErr w:type="spellStart"/>
      <w:r w:rsidRPr="00D94821">
        <w:rPr>
          <w:rFonts w:eastAsia="Times New Roman"/>
          <w:lang w:eastAsia="de-DE"/>
        </w:rPr>
        <w:t>ορεύεσθε</w:t>
      </w:r>
      <w:proofErr w:type="spellEnd"/>
      <w:r w:rsidRPr="00D94821">
        <w:rPr>
          <w:rFonts w:eastAsia="Times New Roman"/>
          <w:lang w:eastAsia="de-DE"/>
        </w:rPr>
        <w:t xml:space="preserve"> </w:t>
      </w:r>
      <w:proofErr w:type="spellStart"/>
      <w:r w:rsidRPr="00D94821">
        <w:rPr>
          <w:rFonts w:eastAsia="Times New Roman"/>
          <w:lang w:eastAsia="de-DE"/>
        </w:rPr>
        <w:t>διὰ</w:t>
      </w:r>
      <w:proofErr w:type="spellEnd"/>
      <w:r w:rsidRPr="00D94821">
        <w:rPr>
          <w:rFonts w:eastAsia="Times New Roman"/>
          <w:lang w:eastAsia="de-DE"/>
        </w:rPr>
        <w:t xml:space="preserve"> </w:t>
      </w:r>
      <w:proofErr w:type="spellStart"/>
      <w:r w:rsidRPr="00D94821">
        <w:rPr>
          <w:rFonts w:eastAsia="Times New Roman"/>
          <w:lang w:eastAsia="de-DE"/>
        </w:rPr>
        <w:t>τῶν</w:t>
      </w:r>
      <w:proofErr w:type="spellEnd"/>
      <w:r w:rsidRPr="00D94821">
        <w:rPr>
          <w:rFonts w:eastAsia="Times New Roman"/>
          <w:lang w:eastAsia="de-DE"/>
        </w:rPr>
        <w:t xml:space="preserve"> </w:t>
      </w:r>
      <w:proofErr w:type="spellStart"/>
      <w:r w:rsidRPr="00D94821">
        <w:rPr>
          <w:rFonts w:eastAsia="Times New Roman"/>
          <w:lang w:eastAsia="de-DE"/>
        </w:rPr>
        <w:t>ὁρίων</w:t>
      </w:r>
      <w:proofErr w:type="spellEnd"/>
      <w:r w:rsidRPr="00D94821">
        <w:rPr>
          <w:rFonts w:eastAsia="Times New Roman"/>
          <w:lang w:eastAsia="de-DE"/>
        </w:rPr>
        <w:t xml:space="preserve"> </w:t>
      </w:r>
      <w:proofErr w:type="spellStart"/>
      <w:r w:rsidRPr="00D94821">
        <w:rPr>
          <w:rFonts w:eastAsia="Times New Roman"/>
          <w:lang w:eastAsia="de-DE"/>
        </w:rPr>
        <w:t>τῶν</w:t>
      </w:r>
      <w:proofErr w:type="spellEnd"/>
      <w:r w:rsidRPr="00D94821">
        <w:rPr>
          <w:rFonts w:eastAsia="Times New Roman"/>
          <w:lang w:eastAsia="de-DE"/>
        </w:rPr>
        <w:t xml:space="preserve"> </w:t>
      </w:r>
      <w:proofErr w:type="spellStart"/>
      <w:r w:rsidRPr="00D94821">
        <w:rPr>
          <w:rFonts w:eastAsia="Times New Roman"/>
          <w:lang w:eastAsia="de-DE"/>
        </w:rPr>
        <w:t>ἀδελφῶν</w:t>
      </w:r>
      <w:proofErr w:type="spellEnd"/>
      <w:r w:rsidRPr="00D94821">
        <w:rPr>
          <w:rFonts w:eastAsia="Times New Roman"/>
          <w:lang w:eastAsia="de-DE"/>
        </w:rPr>
        <w:t xml:space="preserve"> </w:t>
      </w:r>
      <w:proofErr w:type="spellStart"/>
      <w:r w:rsidRPr="00D94821">
        <w:rPr>
          <w:rFonts w:eastAsia="Times New Roman"/>
          <w:lang w:eastAsia="de-DE"/>
        </w:rPr>
        <w:t>ὑμῶν</w:t>
      </w:r>
      <w:proofErr w:type="spellEnd"/>
      <w:r w:rsidRPr="00D94821">
        <w:rPr>
          <w:rFonts w:eastAsia="Times New Roman"/>
          <w:lang w:eastAsia="de-DE"/>
        </w:rPr>
        <w:t xml:space="preserve"> </w:t>
      </w:r>
      <w:proofErr w:type="spellStart"/>
      <w:r w:rsidRPr="00D94821">
        <w:rPr>
          <w:rFonts w:eastAsia="Times New Roman"/>
          <w:lang w:eastAsia="de-DE"/>
        </w:rPr>
        <w:t>υἱῶν</w:t>
      </w:r>
      <w:proofErr w:type="spellEnd"/>
      <w:r w:rsidRPr="00D94821">
        <w:rPr>
          <w:rFonts w:eastAsia="Times New Roman"/>
          <w:lang w:eastAsia="de-DE"/>
        </w:rPr>
        <w:t xml:space="preserve"> </w:t>
      </w:r>
      <w:proofErr w:type="spellStart"/>
      <w:r w:rsidRPr="00D94821">
        <w:rPr>
          <w:rFonts w:eastAsia="Times New Roman"/>
          <w:lang w:eastAsia="de-DE"/>
        </w:rPr>
        <w:t>Ησ</w:t>
      </w:r>
      <w:proofErr w:type="spellEnd"/>
      <w:r w:rsidRPr="00D94821">
        <w:rPr>
          <w:rFonts w:eastAsia="Times New Roman"/>
          <w:lang w:eastAsia="de-DE"/>
        </w:rPr>
        <w:t xml:space="preserve">αυ, </w:t>
      </w:r>
      <w:proofErr w:type="spellStart"/>
      <w:r w:rsidRPr="00D94821">
        <w:rPr>
          <w:rFonts w:eastAsia="Times New Roman"/>
          <w:lang w:eastAsia="de-DE"/>
        </w:rPr>
        <w:t>οἳ</w:t>
      </w:r>
      <w:proofErr w:type="spellEnd"/>
      <w:r w:rsidRPr="00D94821">
        <w:rPr>
          <w:rFonts w:eastAsia="Times New Roman"/>
          <w:lang w:eastAsia="de-DE"/>
        </w:rPr>
        <w:t xml:space="preserve"> κα</w:t>
      </w:r>
      <w:proofErr w:type="spellStart"/>
      <w:r w:rsidRPr="00D94821">
        <w:rPr>
          <w:rFonts w:eastAsia="Times New Roman"/>
          <w:lang w:eastAsia="de-DE"/>
        </w:rPr>
        <w:t>τοικοῦσιν</w:t>
      </w:r>
      <w:proofErr w:type="spellEnd"/>
      <w:r w:rsidRPr="00D94821">
        <w:rPr>
          <w:rFonts w:eastAsia="Times New Roman"/>
          <w:lang w:eastAsia="de-DE"/>
        </w:rPr>
        <w:t xml:space="preserve"> </w:t>
      </w:r>
      <w:proofErr w:type="spellStart"/>
      <w:r w:rsidRPr="00D94821">
        <w:rPr>
          <w:rFonts w:eastAsia="Times New Roman"/>
          <w:lang w:eastAsia="de-DE"/>
        </w:rPr>
        <w:t>ἐν</w:t>
      </w:r>
      <w:proofErr w:type="spellEnd"/>
      <w:r w:rsidRPr="00D94821">
        <w:rPr>
          <w:rFonts w:eastAsia="Times New Roman"/>
          <w:lang w:eastAsia="de-DE"/>
        </w:rPr>
        <w:t xml:space="preserve"> </w:t>
      </w:r>
      <w:proofErr w:type="spellStart"/>
      <w:r w:rsidRPr="00D94821">
        <w:rPr>
          <w:rFonts w:eastAsia="Times New Roman"/>
          <w:lang w:eastAsia="de-DE"/>
        </w:rPr>
        <w:t>Σηιρ</w:t>
      </w:r>
      <w:proofErr w:type="spellEnd"/>
      <w:r w:rsidRPr="00D94821">
        <w:rPr>
          <w:rFonts w:eastAsia="Times New Roman"/>
          <w:lang w:eastAsia="de-DE"/>
        </w:rPr>
        <w:t xml:space="preserve">, καὶ </w:t>
      </w:r>
      <w:proofErr w:type="spellStart"/>
      <w:r w:rsidRPr="00D94821">
        <w:rPr>
          <w:rFonts w:eastAsia="Times New Roman"/>
          <w:lang w:eastAsia="de-DE"/>
        </w:rPr>
        <w:t>φο</w:t>
      </w:r>
      <w:proofErr w:type="spellEnd"/>
      <w:r w:rsidRPr="00D94821">
        <w:rPr>
          <w:rFonts w:eastAsia="Times New Roman"/>
          <w:lang w:eastAsia="de-DE"/>
        </w:rPr>
        <w:t xml:space="preserve">βηθήσονται </w:t>
      </w:r>
      <w:proofErr w:type="spellStart"/>
      <w:r w:rsidRPr="00D94821">
        <w:rPr>
          <w:rFonts w:eastAsia="Times New Roman"/>
          <w:lang w:eastAsia="de-DE"/>
        </w:rPr>
        <w:t>ὑμᾶς</w:t>
      </w:r>
      <w:proofErr w:type="spellEnd"/>
      <w:r w:rsidRPr="00D94821">
        <w:rPr>
          <w:rFonts w:eastAsia="Times New Roman"/>
          <w:lang w:eastAsia="de-DE"/>
        </w:rPr>
        <w:t xml:space="preserve"> καὶ </w:t>
      </w:r>
      <w:proofErr w:type="spellStart"/>
      <w:r w:rsidRPr="00D94821">
        <w:rPr>
          <w:rFonts w:eastAsia="Times New Roman"/>
          <w:lang w:eastAsia="de-DE"/>
        </w:rPr>
        <w:t>εὐλ</w:t>
      </w:r>
      <w:proofErr w:type="spellEnd"/>
      <w:r w:rsidRPr="00D94821">
        <w:rPr>
          <w:rFonts w:eastAsia="Times New Roman"/>
          <w:lang w:eastAsia="de-DE"/>
        </w:rPr>
        <w:t xml:space="preserve">αβηθήσεσθε </w:t>
      </w:r>
      <w:proofErr w:type="spellStart"/>
      <w:r w:rsidRPr="00D94821">
        <w:rPr>
          <w:rFonts w:eastAsia="Times New Roman"/>
          <w:lang w:eastAsia="de-DE"/>
        </w:rPr>
        <w:t>σφόδρ</w:t>
      </w:r>
      <w:proofErr w:type="spellEnd"/>
      <w:r w:rsidRPr="00D94821">
        <w:rPr>
          <w:rFonts w:eastAsia="Times New Roman"/>
          <w:lang w:eastAsia="de-DE"/>
        </w:rPr>
        <w:t>α" („und dem Volk befiehl, sagend: Ihr zieht vorbei durch die Grenzen eurer Brüder, der Söhne Esaus, die in Seir wohnen, und sie werden sich vor euch fürchten, und ihr werdet euch sehr in Acht nehmen").</w:t>
      </w:r>
    </w:p>
    <w:p w14:paraId="6B4774A8"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lang w:eastAsia="de-DE"/>
        </w:rPr>
        <w:t>Die Satzstruktur besteht aus einem Imperativ (</w:t>
      </w:r>
      <w:r w:rsidRPr="00D94821">
        <w:rPr>
          <w:rFonts w:eastAsia="Times New Roman"/>
          <w:b/>
          <w:bCs/>
          <w:rtl/>
          <w:lang w:eastAsia="de-DE"/>
        </w:rPr>
        <w:t>וְאֶת־הָעָם צַו לֵאמֹר</w:t>
      </w:r>
      <w:r w:rsidRPr="00D94821">
        <w:rPr>
          <w:rFonts w:eastAsia="Times New Roman"/>
          <w:lang w:eastAsia="de-DE"/>
        </w:rPr>
        <w:t xml:space="preserve">) mit direkter Rede, die drei Elemente enthält: (1) Partizipialsatz </w:t>
      </w:r>
      <w:r w:rsidRPr="00D94821">
        <w:rPr>
          <w:rFonts w:eastAsia="Times New Roman"/>
          <w:b/>
          <w:bCs/>
          <w:rtl/>
          <w:lang w:eastAsia="de-DE"/>
        </w:rPr>
        <w:t>אַתֶּם עֹבְרִים בִּגְבוּל אֲחֵיכֶם בְּנֵי־עֵשָׂו הַיֹּשְׁבִים בְּשֵׂעִיר</w:t>
      </w:r>
      <w:r w:rsidRPr="00D94821">
        <w:rPr>
          <w:rFonts w:eastAsia="Times New Roman"/>
          <w:lang w:eastAsia="de-DE"/>
        </w:rPr>
        <w:t xml:space="preserve">, (2) koordinierter Verbalsatz </w:t>
      </w:r>
      <w:r w:rsidRPr="00D94821">
        <w:rPr>
          <w:rFonts w:eastAsia="Times New Roman"/>
          <w:b/>
          <w:bCs/>
          <w:rtl/>
          <w:lang w:eastAsia="de-DE"/>
        </w:rPr>
        <w:t>וְיִירְאוּ מִכֶּם</w:t>
      </w:r>
      <w:r w:rsidRPr="00D94821">
        <w:rPr>
          <w:rFonts w:eastAsia="Times New Roman"/>
          <w:lang w:eastAsia="de-DE"/>
        </w:rPr>
        <w:t xml:space="preserve">, (3) imperativer Verbalsatz </w:t>
      </w:r>
      <w:r w:rsidRPr="00D94821">
        <w:rPr>
          <w:rFonts w:eastAsia="Times New Roman"/>
          <w:b/>
          <w:bCs/>
          <w:rtl/>
          <w:lang w:eastAsia="de-DE"/>
        </w:rPr>
        <w:t>וְנִשְׁמַרְתֶּם מְאֹד</w:t>
      </w:r>
      <w:r w:rsidRPr="00D94821">
        <w:rPr>
          <w:rFonts w:eastAsia="Times New Roman"/>
          <w:lang w:eastAsia="de-DE"/>
        </w:rPr>
        <w:t>.</w:t>
      </w:r>
    </w:p>
    <w:p w14:paraId="2F53514F"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lang w:eastAsia="de-DE"/>
        </w:rPr>
        <w:t xml:space="preserve">Der Vers gibt Moses Auftrag, das Volk über die bevorstehende Begegnung mit Edom zu instruieren. Die Bezeichnung </w:t>
      </w:r>
      <w:r w:rsidRPr="00D94821">
        <w:rPr>
          <w:rFonts w:eastAsia="Times New Roman"/>
          <w:b/>
          <w:bCs/>
          <w:rtl/>
          <w:lang w:eastAsia="de-DE"/>
        </w:rPr>
        <w:t>אֲחֵיכֶם בְּנֵי־עֵשָׂו</w:t>
      </w:r>
      <w:r w:rsidRPr="00D94821">
        <w:rPr>
          <w:rFonts w:eastAsia="Times New Roman"/>
          <w:rtl/>
          <w:lang w:eastAsia="de-DE"/>
        </w:rPr>
        <w:t xml:space="preserve"> </w:t>
      </w:r>
      <w:r w:rsidRPr="00D94821">
        <w:rPr>
          <w:rFonts w:eastAsia="Times New Roman"/>
          <w:lang w:eastAsia="de-DE"/>
        </w:rPr>
        <w:t xml:space="preserve">betont die verwandtschaftliche Beziehung </w:t>
      </w:r>
      <w:r w:rsidRPr="00D94821">
        <w:rPr>
          <w:rFonts w:eastAsia="Times New Roman"/>
          <w:lang w:eastAsia="de-DE"/>
        </w:rPr>
        <w:lastRenderedPageBreak/>
        <w:t>zwischen Israel und Edom. Die Furcht der Edomiter vor Israel und die Warnung zur Vorsicht bereiten die Anweisung vor, Konflikte zu vermeiden.</w:t>
      </w:r>
    </w:p>
    <w:p w14:paraId="2A631C57" w14:textId="77777777" w:rsidR="00D94821" w:rsidRPr="00D94821" w:rsidRDefault="00D94821" w:rsidP="00D94821">
      <w:pPr>
        <w:spacing w:before="100" w:beforeAutospacing="1" w:after="100" w:afterAutospacing="1" w:line="240" w:lineRule="auto"/>
        <w:outlineLvl w:val="1"/>
        <w:rPr>
          <w:rFonts w:eastAsia="Times New Roman"/>
          <w:b/>
          <w:bCs/>
          <w:sz w:val="36"/>
          <w:szCs w:val="36"/>
          <w:lang w:eastAsia="de-DE"/>
        </w:rPr>
      </w:pPr>
      <w:r w:rsidRPr="00D94821">
        <w:rPr>
          <w:rFonts w:eastAsia="Times New Roman"/>
          <w:b/>
          <w:bCs/>
          <w:sz w:val="36"/>
          <w:szCs w:val="36"/>
          <w:lang w:eastAsia="de-DE"/>
        </w:rPr>
        <w:t>Deuteronomium 2,5</w:t>
      </w:r>
    </w:p>
    <w:p w14:paraId="37430AE0"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lang w:eastAsia="de-DE"/>
        </w:rPr>
        <w:t>Hebräisch:</w:t>
      </w:r>
      <w:r w:rsidRPr="00D94821">
        <w:rPr>
          <w:rFonts w:eastAsia="Times New Roman"/>
          <w:lang w:eastAsia="de-DE"/>
        </w:rPr>
        <w:t xml:space="preserve"> </w:t>
      </w:r>
      <w:r w:rsidRPr="00D94821">
        <w:rPr>
          <w:rFonts w:eastAsia="Times New Roman"/>
          <w:rtl/>
          <w:lang w:eastAsia="de-DE"/>
        </w:rPr>
        <w:t>אַל־תִּתְגָּר֣וּ בָ֔ם כִּ֠י לֹֽא־אֶתֵּ֤ן לָכֶם֙ מֵֽאַרְצָ֔ם עַ֖ד מִדְרַ֣ךְ כַּף־רָ֑גֶל כִּֽי־יְרֻשָּׁ֣ה לְעֵשָׂ֔ו נָתַ֖תִּי אֶת־הַ֥ר שֵׂעִֽיר׃</w:t>
      </w:r>
    </w:p>
    <w:p w14:paraId="220501FA"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lang w:eastAsia="de-DE"/>
        </w:rPr>
        <w:t>Deutsch:</w:t>
      </w:r>
      <w:r w:rsidRPr="00D94821">
        <w:rPr>
          <w:rFonts w:eastAsia="Times New Roman"/>
          <w:lang w:eastAsia="de-DE"/>
        </w:rPr>
        <w:t xml:space="preserve"> Lasst euch nicht in Kampf mit ihnen ein, denn ich werde euch von ihrem Land auch nicht einen Fußtritt geben; denn das Gebirge Se'ir habe ich 'Esav zum Besitz gegeben.</w:t>
      </w:r>
    </w:p>
    <w:p w14:paraId="35299C0D" w14:textId="77777777" w:rsidR="00D94821" w:rsidRPr="00D94821" w:rsidRDefault="004F5CEB" w:rsidP="00D94821">
      <w:pPr>
        <w:spacing w:after="0" w:line="240" w:lineRule="auto"/>
        <w:rPr>
          <w:rFonts w:eastAsia="Times New Roman"/>
          <w:lang w:eastAsia="de-DE"/>
        </w:rPr>
      </w:pPr>
      <w:r>
        <w:rPr>
          <w:rFonts w:eastAsia="Times New Roman"/>
          <w:noProof/>
          <w:lang w:eastAsia="de-DE"/>
        </w:rPr>
        <w:pict w14:anchorId="7B8EAD21">
          <v:rect id="_x0000_i1075" style="width:0;height:1.5pt" o:hralign="center" o:hrstd="t" o:hr="t" fillcolor="#a0a0a0" stroked="f"/>
        </w:pict>
      </w:r>
    </w:p>
    <w:p w14:paraId="18547C76"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lang w:eastAsia="de-DE"/>
        </w:rPr>
        <w:t>Kommentar:</w:t>
      </w:r>
      <w:r w:rsidRPr="00D94821">
        <w:rPr>
          <w:rFonts w:eastAsia="Times New Roman"/>
          <w:lang w:eastAsia="de-DE"/>
        </w:rPr>
        <w:t xml:space="preserve"> </w:t>
      </w:r>
      <w:r w:rsidRPr="00D94821">
        <w:rPr>
          <w:rFonts w:eastAsia="Times New Roman"/>
          <w:b/>
          <w:bCs/>
          <w:rtl/>
          <w:lang w:eastAsia="de-DE"/>
        </w:rPr>
        <w:t>אַל־תִּתְגָּרוּ בָם</w:t>
      </w:r>
      <w:r w:rsidRPr="00D94821">
        <w:rPr>
          <w:rFonts w:eastAsia="Times New Roman"/>
          <w:rtl/>
          <w:lang w:eastAsia="de-DE"/>
        </w:rPr>
        <w:t xml:space="preserve"> </w:t>
      </w:r>
      <w:r w:rsidRPr="00D94821">
        <w:rPr>
          <w:rFonts w:eastAsia="Times New Roman"/>
          <w:lang w:eastAsia="de-DE"/>
        </w:rPr>
        <w:t xml:space="preserve">ist die prohibitive Negation </w:t>
      </w:r>
      <w:r w:rsidRPr="00D94821">
        <w:rPr>
          <w:rFonts w:eastAsia="Times New Roman"/>
          <w:b/>
          <w:bCs/>
          <w:rtl/>
          <w:lang w:eastAsia="de-DE"/>
        </w:rPr>
        <w:t>אַל</w:t>
      </w:r>
      <w:r w:rsidRPr="00D94821">
        <w:rPr>
          <w:rFonts w:eastAsia="Times New Roman"/>
          <w:rtl/>
          <w:lang w:eastAsia="de-DE"/>
        </w:rPr>
        <w:t xml:space="preserve"> </w:t>
      </w:r>
      <w:r w:rsidRPr="00D94821">
        <w:rPr>
          <w:rFonts w:eastAsia="Times New Roman"/>
          <w:lang w:eastAsia="de-DE"/>
        </w:rPr>
        <w:t xml:space="preserve">mit </w:t>
      </w:r>
      <w:r w:rsidRPr="00D94821">
        <w:rPr>
          <w:rFonts w:eastAsia="Times New Roman"/>
          <w:b/>
          <w:bCs/>
          <w:rtl/>
          <w:lang w:eastAsia="de-DE"/>
        </w:rPr>
        <w:t>תִּתְגָּרוּ</w:t>
      </w:r>
      <w:r w:rsidRPr="00D94821">
        <w:rPr>
          <w:rFonts w:eastAsia="Times New Roman"/>
          <w:rtl/>
          <w:lang w:eastAsia="de-DE"/>
        </w:rPr>
        <w:t xml:space="preserve"> </w:t>
      </w:r>
      <w:r w:rsidRPr="00D94821">
        <w:rPr>
          <w:rFonts w:eastAsia="Times New Roman"/>
          <w:lang w:eastAsia="de-DE"/>
        </w:rPr>
        <w:t xml:space="preserve">(Hitpa'el Imperfekt, 2. Person maskulin Plural von </w:t>
      </w:r>
      <w:r w:rsidRPr="00D94821">
        <w:rPr>
          <w:rFonts w:eastAsia="Times New Roman"/>
          <w:rtl/>
          <w:lang w:eastAsia="de-DE"/>
        </w:rPr>
        <w:t>גרה</w:t>
      </w:r>
      <w:r w:rsidRPr="00D94821">
        <w:rPr>
          <w:rFonts w:eastAsia="Times New Roman"/>
          <w:lang w:eastAsia="de-DE"/>
        </w:rPr>
        <w:t xml:space="preserve"> „sich einlassen auf Streit, Kampf provozieren"), </w:t>
      </w:r>
      <w:r w:rsidRPr="00D94821">
        <w:rPr>
          <w:rFonts w:eastAsia="Times New Roman"/>
          <w:b/>
          <w:bCs/>
          <w:rtl/>
          <w:lang w:eastAsia="de-DE"/>
        </w:rPr>
        <w:t>בָם</w:t>
      </w:r>
      <w:r w:rsidRPr="00D94821">
        <w:rPr>
          <w:rFonts w:eastAsia="Times New Roman"/>
          <w:rtl/>
          <w:lang w:eastAsia="de-DE"/>
        </w:rPr>
        <w:t xml:space="preserve"> </w:t>
      </w:r>
      <w:r w:rsidRPr="00D94821">
        <w:rPr>
          <w:rFonts w:eastAsia="Times New Roman"/>
          <w:lang w:eastAsia="de-DE"/>
        </w:rPr>
        <w:t>(</w:t>
      </w:r>
      <w:r w:rsidRPr="00D94821">
        <w:rPr>
          <w:rFonts w:eastAsia="Times New Roman"/>
          <w:b/>
          <w:bCs/>
          <w:rtl/>
          <w:lang w:eastAsia="de-DE"/>
        </w:rPr>
        <w:t>בְּ</w:t>
      </w:r>
      <w:r w:rsidRPr="00D94821">
        <w:rPr>
          <w:rFonts w:eastAsia="Times New Roman"/>
          <w:rtl/>
          <w:lang w:eastAsia="de-DE"/>
        </w:rPr>
        <w:t xml:space="preserve"> </w:t>
      </w:r>
      <w:r w:rsidRPr="00D94821">
        <w:rPr>
          <w:rFonts w:eastAsia="Times New Roman"/>
          <w:lang w:eastAsia="de-DE"/>
        </w:rPr>
        <w:t>mit Pronominalsuffix 3. Person maskulin Plural „mit ihnen"). Die Hitpa'el-Form ist reflexiv-reziprok.</w:t>
      </w:r>
    </w:p>
    <w:p w14:paraId="7C377742" w14:textId="2AA9DECD"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rtl/>
          <w:lang w:eastAsia="de-DE"/>
        </w:rPr>
        <w:t>כִּי לֹא־אֶתֵּן לָכֶם מֵאַרְצָם עַד מִדְרַךְ כַּף־רָגֶל</w:t>
      </w:r>
      <w:r w:rsidRPr="00D94821">
        <w:rPr>
          <w:rFonts w:eastAsia="Times New Roman"/>
          <w:rtl/>
          <w:lang w:eastAsia="de-DE"/>
        </w:rPr>
        <w:t xml:space="preserve"> </w:t>
      </w:r>
      <w:r w:rsidRPr="00D94821">
        <w:rPr>
          <w:rFonts w:eastAsia="Times New Roman"/>
          <w:lang w:eastAsia="de-DE"/>
        </w:rPr>
        <w:t xml:space="preserve">ist eine kausale Begründung: </w:t>
      </w:r>
      <w:r w:rsidRPr="00D94821">
        <w:rPr>
          <w:rFonts w:eastAsia="Times New Roman"/>
          <w:b/>
          <w:bCs/>
          <w:rtl/>
          <w:lang w:eastAsia="de-DE"/>
        </w:rPr>
        <w:t>כִּי</w:t>
      </w:r>
      <w:r w:rsidRPr="00D94821">
        <w:rPr>
          <w:rFonts w:eastAsia="Times New Roman"/>
          <w:rtl/>
          <w:lang w:eastAsia="de-DE"/>
        </w:rPr>
        <w:t xml:space="preserve"> </w:t>
      </w:r>
      <w:r w:rsidRPr="00D94821">
        <w:rPr>
          <w:rFonts w:eastAsia="Times New Roman"/>
          <w:lang w:eastAsia="de-DE"/>
        </w:rPr>
        <w:t xml:space="preserve">(„denn"), </w:t>
      </w:r>
      <w:r w:rsidRPr="00D94821">
        <w:rPr>
          <w:rFonts w:eastAsia="Times New Roman"/>
          <w:b/>
          <w:bCs/>
          <w:rtl/>
          <w:lang w:eastAsia="de-DE"/>
        </w:rPr>
        <w:t>לֹא</w:t>
      </w:r>
      <w:r w:rsidRPr="00D94821">
        <w:rPr>
          <w:rFonts w:eastAsia="Times New Roman"/>
          <w:rtl/>
          <w:lang w:eastAsia="de-DE"/>
        </w:rPr>
        <w:t xml:space="preserve"> </w:t>
      </w:r>
      <w:r w:rsidRPr="00D94821">
        <w:rPr>
          <w:rFonts w:eastAsia="Times New Roman"/>
          <w:lang w:eastAsia="de-DE"/>
        </w:rPr>
        <w:t xml:space="preserve">als Negation, </w:t>
      </w:r>
      <w:r w:rsidRPr="00D94821">
        <w:rPr>
          <w:rFonts w:eastAsia="Times New Roman"/>
          <w:b/>
          <w:bCs/>
          <w:rtl/>
          <w:lang w:eastAsia="de-DE"/>
        </w:rPr>
        <w:t>אֶתֵּן</w:t>
      </w:r>
      <w:r w:rsidRPr="00D94821">
        <w:rPr>
          <w:rFonts w:eastAsia="Times New Roman"/>
          <w:rtl/>
          <w:lang w:eastAsia="de-DE"/>
        </w:rPr>
        <w:t xml:space="preserve"> </w:t>
      </w:r>
      <w:r w:rsidRPr="00D94821">
        <w:rPr>
          <w:rFonts w:eastAsia="Times New Roman"/>
          <w:lang w:eastAsia="de-DE"/>
        </w:rPr>
        <w:t xml:space="preserve">(Qal Imperfekt, 1. Person Singular von </w:t>
      </w:r>
      <w:r w:rsidRPr="00D94821">
        <w:rPr>
          <w:rFonts w:eastAsia="Times New Roman"/>
          <w:rtl/>
          <w:lang w:eastAsia="de-DE"/>
        </w:rPr>
        <w:t>נתן</w:t>
      </w:r>
      <w:r w:rsidRPr="00D94821">
        <w:rPr>
          <w:rFonts w:eastAsia="Times New Roman"/>
          <w:lang w:eastAsia="de-DE"/>
        </w:rPr>
        <w:t xml:space="preserve"> „geben"), </w:t>
      </w:r>
      <w:r w:rsidRPr="00D94821">
        <w:rPr>
          <w:rFonts w:eastAsia="Times New Roman"/>
          <w:b/>
          <w:bCs/>
          <w:rtl/>
          <w:lang w:eastAsia="de-DE"/>
        </w:rPr>
        <w:t>לָכֶם</w:t>
      </w:r>
      <w:r w:rsidRPr="00D94821">
        <w:rPr>
          <w:rFonts w:eastAsia="Times New Roman"/>
          <w:rtl/>
          <w:lang w:eastAsia="de-DE"/>
        </w:rPr>
        <w:t xml:space="preserve"> </w:t>
      </w:r>
      <w:r w:rsidRPr="00D94821">
        <w:rPr>
          <w:rFonts w:eastAsia="Times New Roman"/>
          <w:lang w:eastAsia="de-DE"/>
        </w:rPr>
        <w:t xml:space="preserve">als Dativ, </w:t>
      </w:r>
      <w:r w:rsidRPr="00D94821">
        <w:rPr>
          <w:rFonts w:eastAsia="Times New Roman"/>
          <w:b/>
          <w:bCs/>
          <w:rtl/>
          <w:lang w:eastAsia="de-DE"/>
        </w:rPr>
        <w:t>מֵאַרְצָם</w:t>
      </w:r>
      <w:r w:rsidRPr="00D94821">
        <w:rPr>
          <w:rFonts w:eastAsia="Times New Roman"/>
          <w:rtl/>
          <w:lang w:eastAsia="de-DE"/>
        </w:rPr>
        <w:t xml:space="preserve"> </w:t>
      </w:r>
      <w:r w:rsidRPr="00D94821">
        <w:rPr>
          <w:rFonts w:eastAsia="Times New Roman"/>
          <w:lang w:eastAsia="de-DE"/>
        </w:rPr>
        <w:t>(</w:t>
      </w:r>
      <w:r w:rsidRPr="00D94821">
        <w:rPr>
          <w:rFonts w:eastAsia="Times New Roman"/>
          <w:b/>
          <w:bCs/>
          <w:rtl/>
          <w:lang w:eastAsia="de-DE"/>
        </w:rPr>
        <w:t>מִן</w:t>
      </w:r>
      <w:r w:rsidRPr="00D94821">
        <w:rPr>
          <w:rFonts w:eastAsia="Times New Roman"/>
          <w:rtl/>
          <w:lang w:eastAsia="de-DE"/>
        </w:rPr>
        <w:t xml:space="preserve"> </w:t>
      </w:r>
      <w:r w:rsidRPr="00D94821">
        <w:rPr>
          <w:rFonts w:eastAsia="Times New Roman"/>
          <w:lang w:eastAsia="de-DE"/>
        </w:rPr>
        <w:t xml:space="preserve">„von" mit </w:t>
      </w:r>
      <w:r w:rsidRPr="00D94821">
        <w:rPr>
          <w:rFonts w:eastAsia="Times New Roman"/>
          <w:b/>
          <w:bCs/>
          <w:rtl/>
          <w:lang w:eastAsia="de-DE"/>
        </w:rPr>
        <w:t>אֶרֶץ</w:t>
      </w:r>
      <w:r w:rsidRPr="00D94821">
        <w:rPr>
          <w:rFonts w:eastAsia="Times New Roman"/>
          <w:rtl/>
          <w:lang w:eastAsia="de-DE"/>
        </w:rPr>
        <w:t xml:space="preserve"> </w:t>
      </w:r>
      <w:r w:rsidRPr="00D94821">
        <w:rPr>
          <w:rFonts w:eastAsia="Times New Roman"/>
          <w:lang w:eastAsia="de-DE"/>
        </w:rPr>
        <w:t xml:space="preserve">„Land" im </w:t>
      </w:r>
      <w:r w:rsidR="0032647F">
        <w:rPr>
          <w:rFonts w:eastAsia="Times New Roman"/>
          <w:lang w:eastAsia="de-DE"/>
        </w:rPr>
        <w:t>Construct</w:t>
      </w:r>
      <w:r w:rsidRPr="00D94821">
        <w:rPr>
          <w:rFonts w:eastAsia="Times New Roman"/>
          <w:lang w:eastAsia="de-DE"/>
        </w:rPr>
        <w:t xml:space="preserve"> und Suffix 3. Person maskulin Plural), </w:t>
      </w:r>
      <w:r w:rsidRPr="00D94821">
        <w:rPr>
          <w:rFonts w:eastAsia="Times New Roman"/>
          <w:b/>
          <w:bCs/>
          <w:rtl/>
          <w:lang w:eastAsia="de-DE"/>
        </w:rPr>
        <w:t>עַד מִדְרַךְ כַּף־רָגֶל</w:t>
      </w:r>
      <w:r w:rsidRPr="00D94821">
        <w:rPr>
          <w:rFonts w:eastAsia="Times New Roman"/>
          <w:rtl/>
          <w:lang w:eastAsia="de-DE"/>
        </w:rPr>
        <w:t xml:space="preserve"> </w:t>
      </w:r>
      <w:r w:rsidRPr="00D94821">
        <w:rPr>
          <w:rFonts w:eastAsia="Times New Roman"/>
          <w:lang w:eastAsia="de-DE"/>
        </w:rPr>
        <w:t xml:space="preserve">ist eine idiomatische Phrase: </w:t>
      </w:r>
      <w:r w:rsidRPr="00D94821">
        <w:rPr>
          <w:rFonts w:eastAsia="Times New Roman"/>
          <w:b/>
          <w:bCs/>
          <w:rtl/>
          <w:lang w:eastAsia="de-DE"/>
        </w:rPr>
        <w:t>עַד</w:t>
      </w:r>
      <w:r w:rsidRPr="00D94821">
        <w:rPr>
          <w:rFonts w:eastAsia="Times New Roman"/>
          <w:rtl/>
          <w:lang w:eastAsia="de-DE"/>
        </w:rPr>
        <w:t xml:space="preserve"> </w:t>
      </w:r>
      <w:r w:rsidRPr="00D94821">
        <w:rPr>
          <w:rFonts w:eastAsia="Times New Roman"/>
          <w:lang w:eastAsia="de-DE"/>
        </w:rPr>
        <w:t xml:space="preserve">(„bis, auch nicht"), </w:t>
      </w:r>
      <w:r w:rsidRPr="00D94821">
        <w:rPr>
          <w:rFonts w:eastAsia="Times New Roman"/>
          <w:b/>
          <w:bCs/>
          <w:rtl/>
          <w:lang w:eastAsia="de-DE"/>
        </w:rPr>
        <w:t>מִדְרַךְ</w:t>
      </w:r>
      <w:r w:rsidRPr="00D94821">
        <w:rPr>
          <w:rFonts w:eastAsia="Times New Roman"/>
          <w:rtl/>
          <w:lang w:eastAsia="de-DE"/>
        </w:rPr>
        <w:t xml:space="preserve"> </w:t>
      </w:r>
      <w:r w:rsidRPr="00D94821">
        <w:rPr>
          <w:rFonts w:eastAsia="Times New Roman"/>
          <w:lang w:eastAsia="de-DE"/>
        </w:rPr>
        <w:t xml:space="preserve">(„Tritt, Treten"), </w:t>
      </w:r>
      <w:r w:rsidRPr="00D94821">
        <w:rPr>
          <w:rFonts w:eastAsia="Times New Roman"/>
          <w:b/>
          <w:bCs/>
          <w:rtl/>
          <w:lang w:eastAsia="de-DE"/>
        </w:rPr>
        <w:t>כַּף־רֶגֶל</w:t>
      </w:r>
      <w:r w:rsidRPr="00D94821">
        <w:rPr>
          <w:rFonts w:eastAsia="Times New Roman"/>
          <w:rtl/>
          <w:lang w:eastAsia="de-DE"/>
        </w:rPr>
        <w:t xml:space="preserve"> </w:t>
      </w:r>
      <w:r w:rsidRPr="00D94821">
        <w:rPr>
          <w:rFonts w:eastAsia="Times New Roman"/>
          <w:lang w:eastAsia="de-DE"/>
        </w:rPr>
        <w:t>(</w:t>
      </w:r>
      <w:r w:rsidR="0032647F">
        <w:rPr>
          <w:rFonts w:eastAsia="Times New Roman"/>
          <w:lang w:eastAsia="de-DE"/>
        </w:rPr>
        <w:t>Construct</w:t>
      </w:r>
      <w:r w:rsidRPr="00D94821">
        <w:rPr>
          <w:rFonts w:eastAsia="Times New Roman"/>
          <w:lang w:eastAsia="de-DE"/>
        </w:rPr>
        <w:t>usverbindung „Fußsohle", wörtlich „Handfläche des Fußes"). Die gesamte Phrase bedeutet „nicht einmal einen Fußtritt breit".</w:t>
      </w:r>
      <w:r w:rsidR="00FE3DFE">
        <w:rPr>
          <w:rFonts w:eastAsia="Times New Roman"/>
          <w:lang w:eastAsia="de-DE"/>
        </w:rPr>
        <w:t xml:space="preserve"> Hier ist </w:t>
      </w:r>
      <w:r w:rsidR="00FE3DFE">
        <w:t>"Fußsohle" (</w:t>
      </w:r>
      <w:r w:rsidR="00FE3DFE">
        <w:rPr>
          <w:rtl/>
        </w:rPr>
        <w:t>כַּף־רֶגֶל</w:t>
      </w:r>
      <w:r w:rsidR="00FE3DFE">
        <w:t xml:space="preserve">) eine Parallelbildung zu </w:t>
      </w:r>
      <w:r w:rsidR="00FE3DFE">
        <w:rPr>
          <w:rtl/>
        </w:rPr>
        <w:t>כַּף־יָד</w:t>
      </w:r>
      <w:r w:rsidR="00FE3DFE">
        <w:t xml:space="preserve"> ("Handfläche")</w:t>
      </w:r>
    </w:p>
    <w:p w14:paraId="76E7083F"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rtl/>
          <w:lang w:eastAsia="de-DE"/>
        </w:rPr>
        <w:t>כִּי־יְרֻשָּׁה לְעֵשָׂו נָתַתִּי אֶת־הַר שֵׂעִיר</w:t>
      </w:r>
      <w:r w:rsidRPr="00D94821">
        <w:rPr>
          <w:rFonts w:eastAsia="Times New Roman"/>
          <w:rtl/>
          <w:lang w:eastAsia="de-DE"/>
        </w:rPr>
        <w:t xml:space="preserve"> </w:t>
      </w:r>
      <w:r w:rsidRPr="00D94821">
        <w:rPr>
          <w:rFonts w:eastAsia="Times New Roman"/>
          <w:lang w:eastAsia="de-DE"/>
        </w:rPr>
        <w:t xml:space="preserve">ist eine weitere kausale Begründung: </w:t>
      </w:r>
      <w:r w:rsidRPr="00D94821">
        <w:rPr>
          <w:rFonts w:eastAsia="Times New Roman"/>
          <w:b/>
          <w:bCs/>
          <w:rtl/>
          <w:lang w:eastAsia="de-DE"/>
        </w:rPr>
        <w:t>כִּי</w:t>
      </w:r>
      <w:r w:rsidRPr="00D94821">
        <w:rPr>
          <w:rFonts w:eastAsia="Times New Roman"/>
          <w:lang w:eastAsia="de-DE"/>
        </w:rPr>
        <w:t xml:space="preserve">, </w:t>
      </w:r>
      <w:r w:rsidRPr="00D94821">
        <w:rPr>
          <w:rFonts w:eastAsia="Times New Roman"/>
          <w:b/>
          <w:bCs/>
          <w:rtl/>
          <w:lang w:eastAsia="de-DE"/>
        </w:rPr>
        <w:t>יְרֻשָּׁה</w:t>
      </w:r>
      <w:r w:rsidRPr="00D94821">
        <w:rPr>
          <w:rFonts w:eastAsia="Times New Roman"/>
          <w:rtl/>
          <w:lang w:eastAsia="de-DE"/>
        </w:rPr>
        <w:t xml:space="preserve"> </w:t>
      </w:r>
      <w:r w:rsidRPr="00D94821">
        <w:rPr>
          <w:rFonts w:eastAsia="Times New Roman"/>
          <w:lang w:eastAsia="de-DE"/>
        </w:rPr>
        <w:t xml:space="preserve">(Substantiv „Besitz, Erbe"), </w:t>
      </w:r>
      <w:r w:rsidRPr="00D94821">
        <w:rPr>
          <w:rFonts w:eastAsia="Times New Roman"/>
          <w:b/>
          <w:bCs/>
          <w:rtl/>
          <w:lang w:eastAsia="de-DE"/>
        </w:rPr>
        <w:t>לְעֵשָׂו</w:t>
      </w:r>
      <w:r w:rsidRPr="00D94821">
        <w:rPr>
          <w:rFonts w:eastAsia="Times New Roman"/>
          <w:rtl/>
          <w:lang w:eastAsia="de-DE"/>
        </w:rPr>
        <w:t xml:space="preserve"> </w:t>
      </w:r>
      <w:r w:rsidRPr="00D94821">
        <w:rPr>
          <w:rFonts w:eastAsia="Times New Roman"/>
          <w:lang w:eastAsia="de-DE"/>
        </w:rPr>
        <w:t>(</w:t>
      </w:r>
      <w:r w:rsidRPr="00D94821">
        <w:rPr>
          <w:rFonts w:eastAsia="Times New Roman"/>
          <w:b/>
          <w:bCs/>
          <w:rtl/>
          <w:lang w:eastAsia="de-DE"/>
        </w:rPr>
        <w:t>לְ</w:t>
      </w:r>
      <w:r w:rsidRPr="00D94821">
        <w:rPr>
          <w:rFonts w:eastAsia="Times New Roman"/>
          <w:rtl/>
          <w:lang w:eastAsia="de-DE"/>
        </w:rPr>
        <w:t xml:space="preserve"> </w:t>
      </w:r>
      <w:r w:rsidRPr="00D94821">
        <w:rPr>
          <w:rFonts w:eastAsia="Times New Roman"/>
          <w:lang w:eastAsia="de-DE"/>
        </w:rPr>
        <w:t xml:space="preserve">mit dem Eigennamen </w:t>
      </w:r>
      <w:r w:rsidRPr="00D94821">
        <w:rPr>
          <w:rFonts w:eastAsia="Times New Roman"/>
          <w:b/>
          <w:bCs/>
          <w:rtl/>
          <w:lang w:eastAsia="de-DE"/>
        </w:rPr>
        <w:t>עֵשָׂו</w:t>
      </w:r>
      <w:r w:rsidRPr="00D94821">
        <w:rPr>
          <w:rFonts w:eastAsia="Times New Roman"/>
          <w:rtl/>
          <w:lang w:eastAsia="de-DE"/>
        </w:rPr>
        <w:t xml:space="preserve"> </w:t>
      </w:r>
      <w:r w:rsidRPr="00D94821">
        <w:rPr>
          <w:rFonts w:eastAsia="Times New Roman"/>
          <w:lang w:eastAsia="de-DE"/>
        </w:rPr>
        <w:t xml:space="preserve">„Esau"), </w:t>
      </w:r>
      <w:r w:rsidRPr="00D94821">
        <w:rPr>
          <w:rFonts w:eastAsia="Times New Roman"/>
          <w:b/>
          <w:bCs/>
          <w:rtl/>
          <w:lang w:eastAsia="de-DE"/>
        </w:rPr>
        <w:t>נָתַתִּי</w:t>
      </w:r>
      <w:r w:rsidRPr="00D94821">
        <w:rPr>
          <w:rFonts w:eastAsia="Times New Roman"/>
          <w:rtl/>
          <w:lang w:eastAsia="de-DE"/>
        </w:rPr>
        <w:t xml:space="preserve"> </w:t>
      </w:r>
      <w:r w:rsidRPr="00D94821">
        <w:rPr>
          <w:rFonts w:eastAsia="Times New Roman"/>
          <w:lang w:eastAsia="de-DE"/>
        </w:rPr>
        <w:t xml:space="preserve">(Qal Perfekt, 1. Person Singular von </w:t>
      </w:r>
      <w:r w:rsidRPr="00D94821">
        <w:rPr>
          <w:rFonts w:eastAsia="Times New Roman"/>
          <w:rtl/>
          <w:lang w:eastAsia="de-DE"/>
        </w:rPr>
        <w:t>נתן</w:t>
      </w:r>
      <w:r w:rsidRPr="00D94821">
        <w:rPr>
          <w:rFonts w:eastAsia="Times New Roman"/>
          <w:lang w:eastAsia="de-DE"/>
        </w:rPr>
        <w:t xml:space="preserve">), </w:t>
      </w:r>
      <w:r w:rsidRPr="00D94821">
        <w:rPr>
          <w:rFonts w:eastAsia="Times New Roman"/>
          <w:b/>
          <w:bCs/>
          <w:rtl/>
          <w:lang w:eastAsia="de-DE"/>
        </w:rPr>
        <w:t>אֶת־הַר שֵׂעִיר</w:t>
      </w:r>
      <w:r w:rsidRPr="00D94821">
        <w:rPr>
          <w:rFonts w:eastAsia="Times New Roman"/>
          <w:rtl/>
          <w:lang w:eastAsia="de-DE"/>
        </w:rPr>
        <w:t xml:space="preserve"> </w:t>
      </w:r>
      <w:r w:rsidRPr="00D94821">
        <w:rPr>
          <w:rFonts w:eastAsia="Times New Roman"/>
          <w:lang w:eastAsia="de-DE"/>
        </w:rPr>
        <w:t xml:space="preserve">(Objektpartikel mit </w:t>
      </w:r>
      <w:r w:rsidRPr="00D94821">
        <w:rPr>
          <w:rFonts w:eastAsia="Times New Roman"/>
          <w:b/>
          <w:bCs/>
          <w:rtl/>
          <w:lang w:eastAsia="de-DE"/>
        </w:rPr>
        <w:t>הַר שֵׂעִיר</w:t>
      </w:r>
      <w:r w:rsidRPr="00D94821">
        <w:rPr>
          <w:rFonts w:eastAsia="Times New Roman"/>
          <w:lang w:eastAsia="de-DE"/>
        </w:rPr>
        <w:t xml:space="preserve">). Die Wortstellung </w:t>
      </w:r>
      <w:r w:rsidRPr="00D94821">
        <w:rPr>
          <w:rFonts w:eastAsia="Times New Roman"/>
          <w:b/>
          <w:bCs/>
          <w:rtl/>
          <w:lang w:eastAsia="de-DE"/>
        </w:rPr>
        <w:t>יְרֻשָּׁה לְעֵשָׂו</w:t>
      </w:r>
      <w:r w:rsidRPr="00D94821">
        <w:rPr>
          <w:rFonts w:eastAsia="Times New Roman"/>
          <w:rtl/>
          <w:lang w:eastAsia="de-DE"/>
        </w:rPr>
        <w:t xml:space="preserve"> </w:t>
      </w:r>
      <w:r w:rsidRPr="00D94821">
        <w:rPr>
          <w:rFonts w:eastAsia="Times New Roman"/>
          <w:lang w:eastAsia="de-DE"/>
        </w:rPr>
        <w:t>ist emphatisch vorangestellt.</w:t>
      </w:r>
    </w:p>
    <w:p w14:paraId="18346109"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lang w:eastAsia="de-DE"/>
        </w:rPr>
        <w:t>Die LXX</w:t>
      </w:r>
      <w:r w:rsidRPr="00D94821">
        <w:rPr>
          <w:rFonts w:eastAsia="Times New Roman"/>
          <w:lang w:eastAsia="de-DE"/>
        </w:rPr>
        <w:t xml:space="preserve"> übersetzt „</w:t>
      </w:r>
      <w:proofErr w:type="spellStart"/>
      <w:r w:rsidRPr="00D94821">
        <w:rPr>
          <w:rFonts w:eastAsia="Times New Roman"/>
          <w:lang w:eastAsia="de-DE"/>
        </w:rPr>
        <w:t>μὴ</w:t>
      </w:r>
      <w:proofErr w:type="spellEnd"/>
      <w:r w:rsidRPr="00D94821">
        <w:rPr>
          <w:rFonts w:eastAsia="Times New Roman"/>
          <w:lang w:eastAsia="de-DE"/>
        </w:rPr>
        <w:t xml:space="preserve"> </w:t>
      </w:r>
      <w:proofErr w:type="spellStart"/>
      <w:r w:rsidRPr="00D94821">
        <w:rPr>
          <w:rFonts w:eastAsia="Times New Roman"/>
          <w:lang w:eastAsia="de-DE"/>
        </w:rPr>
        <w:t>συνάψητε</w:t>
      </w:r>
      <w:proofErr w:type="spellEnd"/>
      <w:r w:rsidRPr="00D94821">
        <w:rPr>
          <w:rFonts w:eastAsia="Times New Roman"/>
          <w:lang w:eastAsia="de-DE"/>
        </w:rPr>
        <w:t xml:space="preserve"> π</w:t>
      </w:r>
      <w:proofErr w:type="spellStart"/>
      <w:r w:rsidRPr="00D94821">
        <w:rPr>
          <w:rFonts w:eastAsia="Times New Roman"/>
          <w:lang w:eastAsia="de-DE"/>
        </w:rPr>
        <w:t>ρὸς</w:t>
      </w:r>
      <w:proofErr w:type="spellEnd"/>
      <w:r w:rsidRPr="00D94821">
        <w:rPr>
          <w:rFonts w:eastAsia="Times New Roman"/>
          <w:lang w:eastAsia="de-DE"/>
        </w:rPr>
        <w:t xml:space="preserve"> α</w:t>
      </w:r>
      <w:proofErr w:type="spellStart"/>
      <w:r w:rsidRPr="00D94821">
        <w:rPr>
          <w:rFonts w:eastAsia="Times New Roman"/>
          <w:lang w:eastAsia="de-DE"/>
        </w:rPr>
        <w:t>ὐτοὺς</w:t>
      </w:r>
      <w:proofErr w:type="spellEnd"/>
      <w:r w:rsidRPr="00D94821">
        <w:rPr>
          <w:rFonts w:eastAsia="Times New Roman"/>
          <w:lang w:eastAsia="de-DE"/>
        </w:rPr>
        <w:t xml:space="preserve"> π</w:t>
      </w:r>
      <w:proofErr w:type="spellStart"/>
      <w:r w:rsidRPr="00D94821">
        <w:rPr>
          <w:rFonts w:eastAsia="Times New Roman"/>
          <w:lang w:eastAsia="de-DE"/>
        </w:rPr>
        <w:t>όλεμον</w:t>
      </w:r>
      <w:proofErr w:type="spellEnd"/>
      <w:r w:rsidRPr="00D94821">
        <w:rPr>
          <w:rFonts w:eastAsia="Times New Roman"/>
          <w:lang w:eastAsia="de-DE"/>
        </w:rPr>
        <w:t xml:space="preserve">, </w:t>
      </w:r>
      <w:proofErr w:type="spellStart"/>
      <w:r w:rsidRPr="00D94821">
        <w:rPr>
          <w:rFonts w:eastAsia="Times New Roman"/>
          <w:lang w:eastAsia="de-DE"/>
        </w:rPr>
        <w:t>οὐ</w:t>
      </w:r>
      <w:proofErr w:type="spellEnd"/>
      <w:r w:rsidRPr="00D94821">
        <w:rPr>
          <w:rFonts w:eastAsia="Times New Roman"/>
          <w:lang w:eastAsia="de-DE"/>
        </w:rPr>
        <w:t xml:space="preserve"> </w:t>
      </w:r>
      <w:proofErr w:type="spellStart"/>
      <w:r w:rsidRPr="00D94821">
        <w:rPr>
          <w:rFonts w:eastAsia="Times New Roman"/>
          <w:lang w:eastAsia="de-DE"/>
        </w:rPr>
        <w:t>γὰρ</w:t>
      </w:r>
      <w:proofErr w:type="spellEnd"/>
      <w:r w:rsidRPr="00D94821">
        <w:rPr>
          <w:rFonts w:eastAsia="Times New Roman"/>
          <w:lang w:eastAsia="de-DE"/>
        </w:rPr>
        <w:t xml:space="preserve"> </w:t>
      </w:r>
      <w:proofErr w:type="spellStart"/>
      <w:r w:rsidRPr="00D94821">
        <w:rPr>
          <w:rFonts w:eastAsia="Times New Roman"/>
          <w:lang w:eastAsia="de-DE"/>
        </w:rPr>
        <w:t>μὴ</w:t>
      </w:r>
      <w:proofErr w:type="spellEnd"/>
      <w:r w:rsidRPr="00D94821">
        <w:rPr>
          <w:rFonts w:eastAsia="Times New Roman"/>
          <w:lang w:eastAsia="de-DE"/>
        </w:rPr>
        <w:t xml:space="preserve"> </w:t>
      </w:r>
      <w:proofErr w:type="spellStart"/>
      <w:r w:rsidRPr="00D94821">
        <w:rPr>
          <w:rFonts w:eastAsia="Times New Roman"/>
          <w:lang w:eastAsia="de-DE"/>
        </w:rPr>
        <w:t>δῶ</w:t>
      </w:r>
      <w:proofErr w:type="spellEnd"/>
      <w:r w:rsidRPr="00D94821">
        <w:rPr>
          <w:rFonts w:eastAsia="Times New Roman"/>
          <w:lang w:eastAsia="de-DE"/>
        </w:rPr>
        <w:t xml:space="preserve"> </w:t>
      </w:r>
      <w:proofErr w:type="spellStart"/>
      <w:r w:rsidRPr="00D94821">
        <w:rPr>
          <w:rFonts w:eastAsia="Times New Roman"/>
          <w:lang w:eastAsia="de-DE"/>
        </w:rPr>
        <w:t>ὑμῖν</w:t>
      </w:r>
      <w:proofErr w:type="spellEnd"/>
      <w:r w:rsidRPr="00D94821">
        <w:rPr>
          <w:rFonts w:eastAsia="Times New Roman"/>
          <w:lang w:eastAsia="de-DE"/>
        </w:rPr>
        <w:t xml:space="preserve"> ἀπὸ </w:t>
      </w:r>
      <w:proofErr w:type="spellStart"/>
      <w:r w:rsidRPr="00D94821">
        <w:rPr>
          <w:rFonts w:eastAsia="Times New Roman"/>
          <w:lang w:eastAsia="de-DE"/>
        </w:rPr>
        <w:t>τῆς</w:t>
      </w:r>
      <w:proofErr w:type="spellEnd"/>
      <w:r w:rsidRPr="00D94821">
        <w:rPr>
          <w:rFonts w:eastAsia="Times New Roman"/>
          <w:lang w:eastAsia="de-DE"/>
        </w:rPr>
        <w:t xml:space="preserve"> </w:t>
      </w:r>
      <w:proofErr w:type="spellStart"/>
      <w:r w:rsidRPr="00D94821">
        <w:rPr>
          <w:rFonts w:eastAsia="Times New Roman"/>
          <w:lang w:eastAsia="de-DE"/>
        </w:rPr>
        <w:t>γῆς</w:t>
      </w:r>
      <w:proofErr w:type="spellEnd"/>
      <w:r w:rsidRPr="00D94821">
        <w:rPr>
          <w:rFonts w:eastAsia="Times New Roman"/>
          <w:lang w:eastAsia="de-DE"/>
        </w:rPr>
        <w:t xml:space="preserve"> α</w:t>
      </w:r>
      <w:proofErr w:type="spellStart"/>
      <w:r w:rsidRPr="00D94821">
        <w:rPr>
          <w:rFonts w:eastAsia="Times New Roman"/>
          <w:lang w:eastAsia="de-DE"/>
        </w:rPr>
        <w:t>ὐτῶν</w:t>
      </w:r>
      <w:proofErr w:type="spellEnd"/>
      <w:r w:rsidRPr="00D94821">
        <w:rPr>
          <w:rFonts w:eastAsia="Times New Roman"/>
          <w:lang w:eastAsia="de-DE"/>
        </w:rPr>
        <w:t xml:space="preserve"> </w:t>
      </w:r>
      <w:proofErr w:type="spellStart"/>
      <w:r w:rsidRPr="00D94821">
        <w:rPr>
          <w:rFonts w:eastAsia="Times New Roman"/>
          <w:lang w:eastAsia="de-DE"/>
        </w:rPr>
        <w:t>οὐδὲ</w:t>
      </w:r>
      <w:proofErr w:type="spellEnd"/>
      <w:r w:rsidRPr="00D94821">
        <w:rPr>
          <w:rFonts w:eastAsia="Times New Roman"/>
          <w:lang w:eastAsia="de-DE"/>
        </w:rPr>
        <w:t xml:space="preserve"> β</w:t>
      </w:r>
      <w:proofErr w:type="spellStart"/>
      <w:r w:rsidRPr="00D94821">
        <w:rPr>
          <w:rFonts w:eastAsia="Times New Roman"/>
          <w:lang w:eastAsia="de-DE"/>
        </w:rPr>
        <w:t>ῆμ</w:t>
      </w:r>
      <w:proofErr w:type="spellEnd"/>
      <w:r w:rsidRPr="00D94821">
        <w:rPr>
          <w:rFonts w:eastAsia="Times New Roman"/>
          <w:lang w:eastAsia="de-DE"/>
        </w:rPr>
        <w:t>α π</w:t>
      </w:r>
      <w:proofErr w:type="spellStart"/>
      <w:r w:rsidRPr="00D94821">
        <w:rPr>
          <w:rFonts w:eastAsia="Times New Roman"/>
          <w:lang w:eastAsia="de-DE"/>
        </w:rPr>
        <w:t>οδός</w:t>
      </w:r>
      <w:proofErr w:type="spellEnd"/>
      <w:r w:rsidRPr="00D94821">
        <w:rPr>
          <w:rFonts w:eastAsia="Times New Roman"/>
          <w:lang w:eastAsia="de-DE"/>
        </w:rPr>
        <w:t xml:space="preserve">, </w:t>
      </w:r>
      <w:proofErr w:type="spellStart"/>
      <w:r w:rsidRPr="00D94821">
        <w:rPr>
          <w:rFonts w:eastAsia="Times New Roman"/>
          <w:lang w:eastAsia="de-DE"/>
        </w:rPr>
        <w:t>ὅτι</w:t>
      </w:r>
      <w:proofErr w:type="spellEnd"/>
      <w:r w:rsidRPr="00D94821">
        <w:rPr>
          <w:rFonts w:eastAsia="Times New Roman"/>
          <w:lang w:eastAsia="de-DE"/>
        </w:rPr>
        <w:t xml:space="preserve"> </w:t>
      </w:r>
      <w:proofErr w:type="spellStart"/>
      <w:r w:rsidRPr="00D94821">
        <w:rPr>
          <w:rFonts w:eastAsia="Times New Roman"/>
          <w:lang w:eastAsia="de-DE"/>
        </w:rPr>
        <w:t>ἐν</w:t>
      </w:r>
      <w:proofErr w:type="spellEnd"/>
      <w:r w:rsidRPr="00D94821">
        <w:rPr>
          <w:rFonts w:eastAsia="Times New Roman"/>
          <w:lang w:eastAsia="de-DE"/>
        </w:rPr>
        <w:t xml:space="preserve"> </w:t>
      </w:r>
      <w:proofErr w:type="spellStart"/>
      <w:r w:rsidRPr="00D94821">
        <w:rPr>
          <w:rFonts w:eastAsia="Times New Roman"/>
          <w:lang w:eastAsia="de-DE"/>
        </w:rPr>
        <w:t>κληρονομίᾳ</w:t>
      </w:r>
      <w:proofErr w:type="spellEnd"/>
      <w:r w:rsidRPr="00D94821">
        <w:rPr>
          <w:rFonts w:eastAsia="Times New Roman"/>
          <w:lang w:eastAsia="de-DE"/>
        </w:rPr>
        <w:t xml:space="preserve"> </w:t>
      </w:r>
      <w:proofErr w:type="spellStart"/>
      <w:r w:rsidRPr="00D94821">
        <w:rPr>
          <w:rFonts w:eastAsia="Times New Roman"/>
          <w:lang w:eastAsia="de-DE"/>
        </w:rPr>
        <w:t>τοῖς</w:t>
      </w:r>
      <w:proofErr w:type="spellEnd"/>
      <w:r w:rsidRPr="00D94821">
        <w:rPr>
          <w:rFonts w:eastAsia="Times New Roman"/>
          <w:lang w:eastAsia="de-DE"/>
        </w:rPr>
        <w:t xml:space="preserve"> </w:t>
      </w:r>
      <w:proofErr w:type="spellStart"/>
      <w:r w:rsidRPr="00D94821">
        <w:rPr>
          <w:rFonts w:eastAsia="Times New Roman"/>
          <w:lang w:eastAsia="de-DE"/>
        </w:rPr>
        <w:t>υἱοῖς</w:t>
      </w:r>
      <w:proofErr w:type="spellEnd"/>
      <w:r w:rsidRPr="00D94821">
        <w:rPr>
          <w:rFonts w:eastAsia="Times New Roman"/>
          <w:lang w:eastAsia="de-DE"/>
        </w:rPr>
        <w:t xml:space="preserve"> </w:t>
      </w:r>
      <w:proofErr w:type="spellStart"/>
      <w:r w:rsidRPr="00D94821">
        <w:rPr>
          <w:rFonts w:eastAsia="Times New Roman"/>
          <w:lang w:eastAsia="de-DE"/>
        </w:rPr>
        <w:t>Ησ</w:t>
      </w:r>
      <w:proofErr w:type="spellEnd"/>
      <w:r w:rsidRPr="00D94821">
        <w:rPr>
          <w:rFonts w:eastAsia="Times New Roman"/>
          <w:lang w:eastAsia="de-DE"/>
        </w:rPr>
        <w:t xml:space="preserve">αυ </w:t>
      </w:r>
      <w:proofErr w:type="spellStart"/>
      <w:r w:rsidRPr="00D94821">
        <w:rPr>
          <w:rFonts w:eastAsia="Times New Roman"/>
          <w:lang w:eastAsia="de-DE"/>
        </w:rPr>
        <w:t>δέδωκ</w:t>
      </w:r>
      <w:proofErr w:type="spellEnd"/>
      <w:r w:rsidRPr="00D94821">
        <w:rPr>
          <w:rFonts w:eastAsia="Times New Roman"/>
          <w:lang w:eastAsia="de-DE"/>
        </w:rPr>
        <w:t xml:space="preserve">α </w:t>
      </w:r>
      <w:proofErr w:type="spellStart"/>
      <w:r w:rsidRPr="00D94821">
        <w:rPr>
          <w:rFonts w:eastAsia="Times New Roman"/>
          <w:lang w:eastAsia="de-DE"/>
        </w:rPr>
        <w:t>τὸ</w:t>
      </w:r>
      <w:proofErr w:type="spellEnd"/>
      <w:r w:rsidRPr="00D94821">
        <w:rPr>
          <w:rFonts w:eastAsia="Times New Roman"/>
          <w:lang w:eastAsia="de-DE"/>
        </w:rPr>
        <w:t xml:space="preserve"> </w:t>
      </w:r>
      <w:proofErr w:type="spellStart"/>
      <w:r w:rsidRPr="00D94821">
        <w:rPr>
          <w:rFonts w:eastAsia="Times New Roman"/>
          <w:lang w:eastAsia="de-DE"/>
        </w:rPr>
        <w:t>ὄρος</w:t>
      </w:r>
      <w:proofErr w:type="spellEnd"/>
      <w:r w:rsidRPr="00D94821">
        <w:rPr>
          <w:rFonts w:eastAsia="Times New Roman"/>
          <w:lang w:eastAsia="de-DE"/>
        </w:rPr>
        <w:t xml:space="preserve"> </w:t>
      </w:r>
      <w:proofErr w:type="spellStart"/>
      <w:r w:rsidRPr="00D94821">
        <w:rPr>
          <w:rFonts w:eastAsia="Times New Roman"/>
          <w:lang w:eastAsia="de-DE"/>
        </w:rPr>
        <w:t>τὸ</w:t>
      </w:r>
      <w:proofErr w:type="spellEnd"/>
      <w:r w:rsidRPr="00D94821">
        <w:rPr>
          <w:rFonts w:eastAsia="Times New Roman"/>
          <w:lang w:eastAsia="de-DE"/>
        </w:rPr>
        <w:t xml:space="preserve"> </w:t>
      </w:r>
      <w:proofErr w:type="spellStart"/>
      <w:r w:rsidRPr="00D94821">
        <w:rPr>
          <w:rFonts w:eastAsia="Times New Roman"/>
          <w:lang w:eastAsia="de-DE"/>
        </w:rPr>
        <w:t>Σηιρ</w:t>
      </w:r>
      <w:proofErr w:type="spellEnd"/>
      <w:r w:rsidRPr="00D94821">
        <w:rPr>
          <w:rFonts w:eastAsia="Times New Roman"/>
          <w:lang w:eastAsia="de-DE"/>
        </w:rPr>
        <w:t>" („Beginnt nicht mit ihnen Krieg, denn ich werde euch von ihrem Land nicht einmal einen Fußtritt geben, weil ich als Erbe den Söhnen Esaus das Gebirge Seir gegeben habe").</w:t>
      </w:r>
    </w:p>
    <w:p w14:paraId="2C7B4B65"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lang w:eastAsia="de-DE"/>
        </w:rPr>
        <w:t>Die Satzstruktur besteht aus einem Prohibitiv (</w:t>
      </w:r>
      <w:r w:rsidRPr="00D94821">
        <w:rPr>
          <w:rFonts w:eastAsia="Times New Roman"/>
          <w:b/>
          <w:bCs/>
          <w:rtl/>
          <w:lang w:eastAsia="de-DE"/>
        </w:rPr>
        <w:t>אַל־תִּתְגָּרוּ בָם</w:t>
      </w:r>
      <w:r w:rsidRPr="00D94821">
        <w:rPr>
          <w:rFonts w:eastAsia="Times New Roman"/>
          <w:lang w:eastAsia="de-DE"/>
        </w:rPr>
        <w:t xml:space="preserve">) mit zwei kausalen Begründungen: (1) </w:t>
      </w:r>
      <w:r w:rsidRPr="00D94821">
        <w:rPr>
          <w:rFonts w:eastAsia="Times New Roman"/>
          <w:b/>
          <w:bCs/>
          <w:rtl/>
          <w:lang w:eastAsia="de-DE"/>
        </w:rPr>
        <w:t>כִּי לֹא־אֶתֵּן לָכֶם מֵאַרְצָם עַד מִדְרַךְ כַּף־רָגֶל</w:t>
      </w:r>
      <w:r w:rsidRPr="00D94821">
        <w:rPr>
          <w:rFonts w:eastAsia="Times New Roman"/>
          <w:lang w:eastAsia="de-DE"/>
        </w:rPr>
        <w:t xml:space="preserve">, (2) </w:t>
      </w:r>
      <w:r w:rsidRPr="00D94821">
        <w:rPr>
          <w:rFonts w:eastAsia="Times New Roman"/>
          <w:b/>
          <w:bCs/>
          <w:rtl/>
          <w:lang w:eastAsia="de-DE"/>
        </w:rPr>
        <w:t>כִּי־יְרֻשָּׁה לְעֵשָׂו נָתַתִּי אֶת־הַר שֵׂעִיר</w:t>
      </w:r>
      <w:r w:rsidRPr="00D94821">
        <w:rPr>
          <w:rFonts w:eastAsia="Times New Roman"/>
          <w:lang w:eastAsia="de-DE"/>
        </w:rPr>
        <w:t>.</w:t>
      </w:r>
    </w:p>
    <w:p w14:paraId="11083337"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lang w:eastAsia="de-DE"/>
        </w:rPr>
        <w:t>Der Vers verbietet jeglichen Konflikt mit Edom und begründet dies theologisch: JHWH selbst hat Edom (den Nachkommen Esaus) das Gebirge Seir als Besitz gegeben. Israel hat keinerlei Anspruch auf dieses Gebiet – nicht einmal auf die Fläche eines Fußtritts. Dies zeigt JHWHs souveräne Landverteilung an verschiedene Völker.</w:t>
      </w:r>
    </w:p>
    <w:p w14:paraId="02A19070" w14:textId="77777777" w:rsidR="00D94821" w:rsidRPr="00D94821" w:rsidRDefault="00D94821" w:rsidP="00D94821">
      <w:pPr>
        <w:spacing w:before="100" w:beforeAutospacing="1" w:after="100" w:afterAutospacing="1" w:line="240" w:lineRule="auto"/>
        <w:outlineLvl w:val="1"/>
        <w:rPr>
          <w:rFonts w:eastAsia="Times New Roman"/>
          <w:b/>
          <w:bCs/>
          <w:sz w:val="36"/>
          <w:szCs w:val="36"/>
          <w:lang w:eastAsia="de-DE"/>
        </w:rPr>
      </w:pPr>
      <w:r w:rsidRPr="00D94821">
        <w:rPr>
          <w:rFonts w:eastAsia="Times New Roman"/>
          <w:b/>
          <w:bCs/>
          <w:sz w:val="36"/>
          <w:szCs w:val="36"/>
          <w:lang w:eastAsia="de-DE"/>
        </w:rPr>
        <w:t>Deuteronomium 2,6</w:t>
      </w:r>
    </w:p>
    <w:p w14:paraId="0B2EC8CC"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lang w:eastAsia="de-DE"/>
        </w:rPr>
        <w:t>Hebräisch:</w:t>
      </w:r>
      <w:r w:rsidRPr="00D94821">
        <w:rPr>
          <w:rFonts w:eastAsia="Times New Roman"/>
          <w:lang w:eastAsia="de-DE"/>
        </w:rPr>
        <w:t xml:space="preserve"> </w:t>
      </w:r>
      <w:r w:rsidRPr="00D94821">
        <w:rPr>
          <w:rFonts w:eastAsia="Times New Roman"/>
          <w:rtl/>
          <w:lang w:eastAsia="de-DE"/>
        </w:rPr>
        <w:t>אֹ֣כֶל תִּשְׁבְּר֧וּ מֵֽאִתָּ֛ם בַּכֶּ֖סֶף וַאֲכַלְתֶּ֑ם וְגַם־מַ֜יִם תִּכְר֧וּ מֵאִתָּ֛ם בַּכֶּ֖סֶף וּשְׁתִיתֶֽם׃</w:t>
      </w:r>
    </w:p>
    <w:p w14:paraId="1CD9DEC1"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lang w:eastAsia="de-DE"/>
        </w:rPr>
        <w:lastRenderedPageBreak/>
        <w:t>Deutsch:</w:t>
      </w:r>
      <w:r w:rsidRPr="00D94821">
        <w:rPr>
          <w:rFonts w:eastAsia="Times New Roman"/>
          <w:lang w:eastAsia="de-DE"/>
        </w:rPr>
        <w:t xml:space="preserve"> Speise sollt ihr für Geld von ihnen kaufen, dass ihr esst, und auch Wasser sollt ihr für Geld von ihnen graben, dass ihr trinkt.</w:t>
      </w:r>
    </w:p>
    <w:p w14:paraId="6D4355C3" w14:textId="77777777" w:rsidR="00D94821" w:rsidRPr="00D94821" w:rsidRDefault="004F5CEB" w:rsidP="00D94821">
      <w:pPr>
        <w:spacing w:after="0" w:line="240" w:lineRule="auto"/>
        <w:rPr>
          <w:rFonts w:eastAsia="Times New Roman"/>
          <w:lang w:eastAsia="de-DE"/>
        </w:rPr>
      </w:pPr>
      <w:r>
        <w:rPr>
          <w:rFonts w:eastAsia="Times New Roman"/>
          <w:noProof/>
          <w:lang w:eastAsia="de-DE"/>
        </w:rPr>
        <w:pict w14:anchorId="2B94B3D1">
          <v:rect id="_x0000_i1076" style="width:0;height:1.5pt" o:hralign="center" o:hrstd="t" o:hr="t" fillcolor="#a0a0a0" stroked="f"/>
        </w:pict>
      </w:r>
    </w:p>
    <w:p w14:paraId="4B3E0B9E" w14:textId="554A12DA"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lang w:eastAsia="de-DE"/>
        </w:rPr>
        <w:t>Kommentar:</w:t>
      </w:r>
      <w:r w:rsidRPr="00D94821">
        <w:rPr>
          <w:rFonts w:eastAsia="Times New Roman"/>
          <w:lang w:eastAsia="de-DE"/>
        </w:rPr>
        <w:t xml:space="preserve"> </w:t>
      </w:r>
      <w:r w:rsidRPr="00D94821">
        <w:rPr>
          <w:rFonts w:eastAsia="Times New Roman"/>
          <w:b/>
          <w:bCs/>
          <w:rtl/>
          <w:lang w:eastAsia="de-DE"/>
        </w:rPr>
        <w:t>אֹכֶל</w:t>
      </w:r>
      <w:r w:rsidRPr="00D94821">
        <w:rPr>
          <w:rFonts w:eastAsia="Times New Roman"/>
          <w:rtl/>
          <w:lang w:eastAsia="de-DE"/>
        </w:rPr>
        <w:t xml:space="preserve"> </w:t>
      </w:r>
      <w:r w:rsidRPr="00D94821">
        <w:rPr>
          <w:rFonts w:eastAsia="Times New Roman"/>
          <w:lang w:eastAsia="de-DE"/>
        </w:rPr>
        <w:t xml:space="preserve">ist ein Substantiv („Speise, Nahrung") im Akkusativ als vorangestelltes Objekt. </w:t>
      </w:r>
      <w:r w:rsidRPr="00D94821">
        <w:rPr>
          <w:rFonts w:eastAsia="Times New Roman"/>
          <w:b/>
          <w:bCs/>
          <w:rtl/>
          <w:lang w:eastAsia="de-DE"/>
        </w:rPr>
        <w:t>תִּשְׁבְּרוּ</w:t>
      </w:r>
      <w:r w:rsidRPr="00D94821">
        <w:rPr>
          <w:rFonts w:eastAsia="Times New Roman"/>
          <w:rtl/>
          <w:lang w:eastAsia="de-DE"/>
        </w:rPr>
        <w:t xml:space="preserve"> </w:t>
      </w:r>
      <w:r w:rsidRPr="00D94821">
        <w:rPr>
          <w:rFonts w:eastAsia="Times New Roman"/>
          <w:lang w:eastAsia="de-DE"/>
        </w:rPr>
        <w:t xml:space="preserve">ist Qal Imperfekt, 2. Person maskulin Plural von </w:t>
      </w:r>
      <w:r w:rsidRPr="00D94821">
        <w:rPr>
          <w:rFonts w:eastAsia="Times New Roman"/>
          <w:rtl/>
          <w:lang w:eastAsia="de-DE"/>
        </w:rPr>
        <w:t>שׁבר</w:t>
      </w:r>
      <w:r w:rsidRPr="00D94821">
        <w:rPr>
          <w:rFonts w:eastAsia="Times New Roman"/>
          <w:lang w:eastAsia="de-DE"/>
        </w:rPr>
        <w:t xml:space="preserve"> („kaufen", ursprünglich „brechen", dann „Getreide brechen/kaufen"). </w:t>
      </w:r>
      <w:r w:rsidRPr="00D94821">
        <w:rPr>
          <w:rFonts w:eastAsia="Times New Roman"/>
          <w:b/>
          <w:bCs/>
          <w:rtl/>
          <w:lang w:eastAsia="de-DE"/>
        </w:rPr>
        <w:t>מֵאִתָּם</w:t>
      </w:r>
      <w:r w:rsidRPr="00D94821">
        <w:rPr>
          <w:rFonts w:eastAsia="Times New Roman"/>
          <w:rtl/>
          <w:lang w:eastAsia="de-DE"/>
        </w:rPr>
        <w:t xml:space="preserve"> </w:t>
      </w:r>
      <w:r w:rsidRPr="00D94821">
        <w:rPr>
          <w:rFonts w:eastAsia="Times New Roman"/>
          <w:lang w:eastAsia="de-DE"/>
        </w:rPr>
        <w:t xml:space="preserve">ist </w:t>
      </w:r>
      <w:r w:rsidRPr="00D94821">
        <w:rPr>
          <w:rFonts w:eastAsia="Times New Roman"/>
          <w:b/>
          <w:bCs/>
          <w:rtl/>
          <w:lang w:eastAsia="de-DE"/>
        </w:rPr>
        <w:t>מֵאֵת</w:t>
      </w:r>
      <w:r w:rsidRPr="00D94821">
        <w:rPr>
          <w:rFonts w:eastAsia="Times New Roman"/>
          <w:rtl/>
          <w:lang w:eastAsia="de-DE"/>
        </w:rPr>
        <w:t xml:space="preserve"> </w:t>
      </w:r>
      <w:r w:rsidRPr="00D94821">
        <w:rPr>
          <w:rFonts w:eastAsia="Times New Roman"/>
          <w:lang w:eastAsia="de-DE"/>
        </w:rPr>
        <w:t xml:space="preserve">(„von, bei") mit Pronominalsuffix 3. Person maskulin Plural. </w:t>
      </w:r>
      <w:r w:rsidRPr="00D94821">
        <w:rPr>
          <w:rFonts w:eastAsia="Times New Roman"/>
          <w:b/>
          <w:bCs/>
          <w:rtl/>
          <w:lang w:eastAsia="de-DE"/>
        </w:rPr>
        <w:t>בַּכֶּסֶף</w:t>
      </w:r>
      <w:r w:rsidRPr="00D94821">
        <w:rPr>
          <w:rFonts w:eastAsia="Times New Roman"/>
          <w:rtl/>
          <w:lang w:eastAsia="de-DE"/>
        </w:rPr>
        <w:t xml:space="preserve"> </w:t>
      </w:r>
      <w:r w:rsidRPr="00D94821">
        <w:rPr>
          <w:rFonts w:eastAsia="Times New Roman"/>
          <w:lang w:eastAsia="de-DE"/>
        </w:rPr>
        <w:t xml:space="preserve">ist </w:t>
      </w:r>
      <w:r w:rsidRPr="00D94821">
        <w:rPr>
          <w:rFonts w:eastAsia="Times New Roman"/>
          <w:b/>
          <w:bCs/>
          <w:rtl/>
          <w:lang w:eastAsia="de-DE"/>
        </w:rPr>
        <w:t>בְּ</w:t>
      </w:r>
      <w:r w:rsidRPr="00D94821">
        <w:rPr>
          <w:rFonts w:eastAsia="Times New Roman"/>
          <w:rtl/>
          <w:lang w:eastAsia="de-DE"/>
        </w:rPr>
        <w:t xml:space="preserve"> </w:t>
      </w:r>
      <w:r w:rsidRPr="00D94821">
        <w:rPr>
          <w:rFonts w:eastAsia="Times New Roman"/>
          <w:lang w:eastAsia="de-DE"/>
        </w:rPr>
        <w:t xml:space="preserve">(instrumentales „für, mit") mit </w:t>
      </w:r>
      <w:r w:rsidRPr="00D94821">
        <w:rPr>
          <w:rFonts w:eastAsia="Times New Roman"/>
          <w:b/>
          <w:bCs/>
          <w:rtl/>
          <w:lang w:eastAsia="de-DE"/>
        </w:rPr>
        <w:t>כֶּסֶף</w:t>
      </w:r>
      <w:r w:rsidRPr="00D94821">
        <w:rPr>
          <w:rFonts w:eastAsia="Times New Roman"/>
          <w:rtl/>
          <w:lang w:eastAsia="de-DE"/>
        </w:rPr>
        <w:t xml:space="preserve"> </w:t>
      </w:r>
      <w:r w:rsidRPr="00D94821">
        <w:rPr>
          <w:rFonts w:eastAsia="Times New Roman"/>
          <w:lang w:eastAsia="de-DE"/>
        </w:rPr>
        <w:t xml:space="preserve">(„Silber, Geld"). </w:t>
      </w:r>
      <w:r w:rsidR="00E01E90">
        <w:rPr>
          <w:rFonts w:eastAsia="Times New Roman"/>
          <w:lang w:eastAsia="de-DE"/>
        </w:rPr>
        <w:t xml:space="preserve">Es </w:t>
      </w:r>
      <w:r w:rsidR="00E01E90">
        <w:t xml:space="preserve">könnte aber auch als </w:t>
      </w:r>
      <w:r w:rsidR="00E01E90">
        <w:rPr>
          <w:rStyle w:val="Fett"/>
        </w:rPr>
        <w:t>Preis-Beth</w:t>
      </w:r>
      <w:r w:rsidR="00E01E90">
        <w:t xml:space="preserve"> ("für Geld") kategorisiert werde</w:t>
      </w:r>
      <w:r w:rsidR="00A51E18">
        <w:t>n.</w:t>
      </w:r>
      <w:r w:rsidR="00A51E18" w:rsidRPr="00D94821">
        <w:rPr>
          <w:rFonts w:eastAsia="Times New Roman"/>
          <w:b/>
          <w:bCs/>
          <w:rtl/>
          <w:lang w:eastAsia="de-DE"/>
        </w:rPr>
        <w:t xml:space="preserve"> </w:t>
      </w:r>
      <w:r w:rsidRPr="00D94821">
        <w:rPr>
          <w:rFonts w:eastAsia="Times New Roman"/>
          <w:b/>
          <w:bCs/>
          <w:rtl/>
          <w:lang w:eastAsia="de-DE"/>
        </w:rPr>
        <w:t>וַאֲכַלְתֶּם</w:t>
      </w:r>
      <w:r w:rsidRPr="00D94821">
        <w:rPr>
          <w:rFonts w:eastAsia="Times New Roman"/>
          <w:rtl/>
          <w:lang w:eastAsia="de-DE"/>
        </w:rPr>
        <w:t xml:space="preserve"> </w:t>
      </w:r>
      <w:r w:rsidRPr="00D94821">
        <w:rPr>
          <w:rFonts w:eastAsia="Times New Roman"/>
          <w:lang w:eastAsia="de-DE"/>
        </w:rPr>
        <w:t xml:space="preserve">ist Qal Perfekt, 2. Person maskulin Plural von </w:t>
      </w:r>
      <w:r w:rsidRPr="00D94821">
        <w:rPr>
          <w:rFonts w:eastAsia="Times New Roman"/>
          <w:rtl/>
          <w:lang w:eastAsia="de-DE"/>
        </w:rPr>
        <w:t>אכל</w:t>
      </w:r>
      <w:r w:rsidRPr="00D94821">
        <w:rPr>
          <w:rFonts w:eastAsia="Times New Roman"/>
          <w:lang w:eastAsia="de-DE"/>
        </w:rPr>
        <w:t xml:space="preserve"> („essen") mit Waw consecutivum, das hier konsekutive oder finale Bedeutung hat („damit ihr esst").</w:t>
      </w:r>
    </w:p>
    <w:p w14:paraId="265092AD"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rtl/>
          <w:lang w:eastAsia="de-DE"/>
        </w:rPr>
        <w:t>וְגַם־מַיִם תִּכְרוּ מֵאִתָּם בַּכֶּסֶף וּשְׁתִיתֶם</w:t>
      </w:r>
      <w:r w:rsidRPr="00D94821">
        <w:rPr>
          <w:rFonts w:eastAsia="Times New Roman"/>
          <w:rtl/>
          <w:lang w:eastAsia="de-DE"/>
        </w:rPr>
        <w:t xml:space="preserve"> </w:t>
      </w:r>
      <w:r w:rsidRPr="00D94821">
        <w:rPr>
          <w:rFonts w:eastAsia="Times New Roman"/>
          <w:lang w:eastAsia="de-DE"/>
        </w:rPr>
        <w:t xml:space="preserve">ist parallel strukturiert: </w:t>
      </w:r>
      <w:r w:rsidRPr="00D94821">
        <w:rPr>
          <w:rFonts w:eastAsia="Times New Roman"/>
          <w:b/>
          <w:bCs/>
          <w:rtl/>
          <w:lang w:eastAsia="de-DE"/>
        </w:rPr>
        <w:t>וְגַם</w:t>
      </w:r>
      <w:r w:rsidRPr="00D94821">
        <w:rPr>
          <w:rFonts w:eastAsia="Times New Roman"/>
          <w:rtl/>
          <w:lang w:eastAsia="de-DE"/>
        </w:rPr>
        <w:t xml:space="preserve"> </w:t>
      </w:r>
      <w:r w:rsidRPr="00D94821">
        <w:rPr>
          <w:rFonts w:eastAsia="Times New Roman"/>
          <w:lang w:eastAsia="de-DE"/>
        </w:rPr>
        <w:t xml:space="preserve">(„und auch"), </w:t>
      </w:r>
      <w:r w:rsidRPr="00D94821">
        <w:rPr>
          <w:rFonts w:eastAsia="Times New Roman"/>
          <w:b/>
          <w:bCs/>
          <w:rtl/>
          <w:lang w:eastAsia="de-DE"/>
        </w:rPr>
        <w:t>מַיִם</w:t>
      </w:r>
      <w:r w:rsidRPr="00D94821">
        <w:rPr>
          <w:rFonts w:eastAsia="Times New Roman"/>
          <w:rtl/>
          <w:lang w:eastAsia="de-DE"/>
        </w:rPr>
        <w:t xml:space="preserve"> </w:t>
      </w:r>
      <w:r w:rsidRPr="00D94821">
        <w:rPr>
          <w:rFonts w:eastAsia="Times New Roman"/>
          <w:lang w:eastAsia="de-DE"/>
        </w:rPr>
        <w:t xml:space="preserve">(Plural „Wasser") als vorangestelltes Objekt, </w:t>
      </w:r>
      <w:r w:rsidRPr="00D94821">
        <w:rPr>
          <w:rFonts w:eastAsia="Times New Roman"/>
          <w:b/>
          <w:bCs/>
          <w:rtl/>
          <w:lang w:eastAsia="de-DE"/>
        </w:rPr>
        <w:t>תִּכְרוּ</w:t>
      </w:r>
      <w:r w:rsidRPr="00D94821">
        <w:rPr>
          <w:rFonts w:eastAsia="Times New Roman"/>
          <w:rtl/>
          <w:lang w:eastAsia="de-DE"/>
        </w:rPr>
        <w:t xml:space="preserve"> </w:t>
      </w:r>
      <w:r w:rsidRPr="00D94821">
        <w:rPr>
          <w:rFonts w:eastAsia="Times New Roman"/>
          <w:lang w:eastAsia="de-DE"/>
        </w:rPr>
        <w:t xml:space="preserve">(Qal Imperfekt, 2. Person maskulin Plural von </w:t>
      </w:r>
      <w:r w:rsidRPr="00D94821">
        <w:rPr>
          <w:rFonts w:eastAsia="Times New Roman"/>
          <w:rtl/>
          <w:lang w:eastAsia="de-DE"/>
        </w:rPr>
        <w:t>כרה</w:t>
      </w:r>
      <w:r w:rsidRPr="00D94821">
        <w:rPr>
          <w:rFonts w:eastAsia="Times New Roman"/>
          <w:lang w:eastAsia="de-DE"/>
        </w:rPr>
        <w:t xml:space="preserve"> „graben", hier im Sinne von „erwerben, kaufen" für Wasser), </w:t>
      </w:r>
      <w:r w:rsidRPr="00D94821">
        <w:rPr>
          <w:rFonts w:eastAsia="Times New Roman"/>
          <w:b/>
          <w:bCs/>
          <w:rtl/>
          <w:lang w:eastAsia="de-DE"/>
        </w:rPr>
        <w:t>מֵאִתָּם בַּכֶּסֶף</w:t>
      </w:r>
      <w:r w:rsidRPr="00D94821">
        <w:rPr>
          <w:rFonts w:eastAsia="Times New Roman"/>
          <w:rtl/>
          <w:lang w:eastAsia="de-DE"/>
        </w:rPr>
        <w:t xml:space="preserve"> </w:t>
      </w:r>
      <w:r w:rsidRPr="00D94821">
        <w:rPr>
          <w:rFonts w:eastAsia="Times New Roman"/>
          <w:lang w:eastAsia="de-DE"/>
        </w:rPr>
        <w:t xml:space="preserve">identisch wie zuvor, </w:t>
      </w:r>
      <w:r w:rsidRPr="00D94821">
        <w:rPr>
          <w:rFonts w:eastAsia="Times New Roman"/>
          <w:b/>
          <w:bCs/>
          <w:rtl/>
          <w:lang w:eastAsia="de-DE"/>
        </w:rPr>
        <w:t>וּשְׁתִיתֶם</w:t>
      </w:r>
      <w:r w:rsidRPr="00D94821">
        <w:rPr>
          <w:rFonts w:eastAsia="Times New Roman"/>
          <w:rtl/>
          <w:lang w:eastAsia="de-DE"/>
        </w:rPr>
        <w:t xml:space="preserve"> </w:t>
      </w:r>
      <w:r w:rsidRPr="00D94821">
        <w:rPr>
          <w:rFonts w:eastAsia="Times New Roman"/>
          <w:lang w:eastAsia="de-DE"/>
        </w:rPr>
        <w:t xml:space="preserve">(Qal Perfekt, 2. Person maskulin Plural von </w:t>
      </w:r>
      <w:r w:rsidRPr="00D94821">
        <w:rPr>
          <w:rFonts w:eastAsia="Times New Roman"/>
          <w:rtl/>
          <w:lang w:eastAsia="de-DE"/>
        </w:rPr>
        <w:t>שׁתה</w:t>
      </w:r>
      <w:r w:rsidRPr="00D94821">
        <w:rPr>
          <w:rFonts w:eastAsia="Times New Roman"/>
          <w:lang w:eastAsia="de-DE"/>
        </w:rPr>
        <w:t xml:space="preserve"> „trinken" mit Waw consecutivum).</w:t>
      </w:r>
    </w:p>
    <w:p w14:paraId="7C17CE5C"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lang w:eastAsia="de-DE"/>
        </w:rPr>
        <w:t>Die LXX</w:t>
      </w:r>
      <w:r w:rsidRPr="00D94821">
        <w:rPr>
          <w:rFonts w:eastAsia="Times New Roman"/>
          <w:lang w:eastAsia="de-DE"/>
        </w:rPr>
        <w:t xml:space="preserve"> übersetzt „β</w:t>
      </w:r>
      <w:proofErr w:type="spellStart"/>
      <w:r w:rsidRPr="00D94821">
        <w:rPr>
          <w:rFonts w:eastAsia="Times New Roman"/>
          <w:lang w:eastAsia="de-DE"/>
        </w:rPr>
        <w:t>ρώμ</w:t>
      </w:r>
      <w:proofErr w:type="spellEnd"/>
      <w:r w:rsidRPr="00D94821">
        <w:rPr>
          <w:rFonts w:eastAsia="Times New Roman"/>
          <w:lang w:eastAsia="de-DE"/>
        </w:rPr>
        <w:t xml:space="preserve">ατα </w:t>
      </w:r>
      <w:proofErr w:type="spellStart"/>
      <w:r w:rsidRPr="00D94821">
        <w:rPr>
          <w:rFonts w:eastAsia="Times New Roman"/>
          <w:lang w:eastAsia="de-DE"/>
        </w:rPr>
        <w:t>ἀργυρίου</w:t>
      </w:r>
      <w:proofErr w:type="spellEnd"/>
      <w:r w:rsidRPr="00D94821">
        <w:rPr>
          <w:rFonts w:eastAsia="Times New Roman"/>
          <w:lang w:eastAsia="de-DE"/>
        </w:rPr>
        <w:t xml:space="preserve"> </w:t>
      </w:r>
      <w:proofErr w:type="spellStart"/>
      <w:r w:rsidRPr="00D94821">
        <w:rPr>
          <w:rFonts w:eastAsia="Times New Roman"/>
          <w:lang w:eastAsia="de-DE"/>
        </w:rPr>
        <w:t>ἀγοράσ</w:t>
      </w:r>
      <w:proofErr w:type="spellEnd"/>
      <w:r w:rsidRPr="00D94821">
        <w:rPr>
          <w:rFonts w:eastAsia="Times New Roman"/>
          <w:lang w:eastAsia="de-DE"/>
        </w:rPr>
        <w:t>ατε παρ' α</w:t>
      </w:r>
      <w:proofErr w:type="spellStart"/>
      <w:r w:rsidRPr="00D94821">
        <w:rPr>
          <w:rFonts w:eastAsia="Times New Roman"/>
          <w:lang w:eastAsia="de-DE"/>
        </w:rPr>
        <w:t>ὐτῶν</w:t>
      </w:r>
      <w:proofErr w:type="spellEnd"/>
      <w:r w:rsidRPr="00D94821">
        <w:rPr>
          <w:rFonts w:eastAsia="Times New Roman"/>
          <w:lang w:eastAsia="de-DE"/>
        </w:rPr>
        <w:t xml:space="preserve"> καὶ </w:t>
      </w:r>
      <w:proofErr w:type="spellStart"/>
      <w:r w:rsidRPr="00D94821">
        <w:rPr>
          <w:rFonts w:eastAsia="Times New Roman"/>
          <w:lang w:eastAsia="de-DE"/>
        </w:rPr>
        <w:t>φάγεσθε</w:t>
      </w:r>
      <w:proofErr w:type="spellEnd"/>
      <w:r w:rsidRPr="00D94821">
        <w:rPr>
          <w:rFonts w:eastAsia="Times New Roman"/>
          <w:lang w:eastAsia="de-DE"/>
        </w:rPr>
        <w:t xml:space="preserve">, καὶ </w:t>
      </w:r>
      <w:proofErr w:type="spellStart"/>
      <w:r w:rsidRPr="00D94821">
        <w:rPr>
          <w:rFonts w:eastAsia="Times New Roman"/>
          <w:lang w:eastAsia="de-DE"/>
        </w:rPr>
        <w:t>ὕδωρ</w:t>
      </w:r>
      <w:proofErr w:type="spellEnd"/>
      <w:r w:rsidRPr="00D94821">
        <w:rPr>
          <w:rFonts w:eastAsia="Times New Roman"/>
          <w:lang w:eastAsia="de-DE"/>
        </w:rPr>
        <w:t xml:space="preserve"> </w:t>
      </w:r>
      <w:proofErr w:type="spellStart"/>
      <w:r w:rsidRPr="00D94821">
        <w:rPr>
          <w:rFonts w:eastAsia="Times New Roman"/>
          <w:lang w:eastAsia="de-DE"/>
        </w:rPr>
        <w:t>μέτρῳ</w:t>
      </w:r>
      <w:proofErr w:type="spellEnd"/>
      <w:r w:rsidRPr="00D94821">
        <w:rPr>
          <w:rFonts w:eastAsia="Times New Roman"/>
          <w:lang w:eastAsia="de-DE"/>
        </w:rPr>
        <w:t xml:space="preserve"> </w:t>
      </w:r>
      <w:proofErr w:type="spellStart"/>
      <w:r w:rsidRPr="00D94821">
        <w:rPr>
          <w:rFonts w:eastAsia="Times New Roman"/>
          <w:lang w:eastAsia="de-DE"/>
        </w:rPr>
        <w:t>λήμψεσθε</w:t>
      </w:r>
      <w:proofErr w:type="spellEnd"/>
      <w:r w:rsidRPr="00D94821">
        <w:rPr>
          <w:rFonts w:eastAsia="Times New Roman"/>
          <w:lang w:eastAsia="de-DE"/>
        </w:rPr>
        <w:t xml:space="preserve"> παρ' α</w:t>
      </w:r>
      <w:proofErr w:type="spellStart"/>
      <w:r w:rsidRPr="00D94821">
        <w:rPr>
          <w:rFonts w:eastAsia="Times New Roman"/>
          <w:lang w:eastAsia="de-DE"/>
        </w:rPr>
        <w:t>ὐτῶν</w:t>
      </w:r>
      <w:proofErr w:type="spellEnd"/>
      <w:r w:rsidRPr="00D94821">
        <w:rPr>
          <w:rFonts w:eastAsia="Times New Roman"/>
          <w:lang w:eastAsia="de-DE"/>
        </w:rPr>
        <w:t xml:space="preserve"> </w:t>
      </w:r>
      <w:proofErr w:type="spellStart"/>
      <w:r w:rsidRPr="00D94821">
        <w:rPr>
          <w:rFonts w:eastAsia="Times New Roman"/>
          <w:lang w:eastAsia="de-DE"/>
        </w:rPr>
        <w:t>ἀργυρίου</w:t>
      </w:r>
      <w:proofErr w:type="spellEnd"/>
      <w:r w:rsidRPr="00D94821">
        <w:rPr>
          <w:rFonts w:eastAsia="Times New Roman"/>
          <w:lang w:eastAsia="de-DE"/>
        </w:rPr>
        <w:t xml:space="preserve"> καὶ π</w:t>
      </w:r>
      <w:proofErr w:type="spellStart"/>
      <w:r w:rsidRPr="00D94821">
        <w:rPr>
          <w:rFonts w:eastAsia="Times New Roman"/>
          <w:lang w:eastAsia="de-DE"/>
        </w:rPr>
        <w:t>ίεσθε</w:t>
      </w:r>
      <w:proofErr w:type="spellEnd"/>
      <w:r w:rsidRPr="00D94821">
        <w:rPr>
          <w:rFonts w:eastAsia="Times New Roman"/>
          <w:lang w:eastAsia="de-DE"/>
        </w:rPr>
        <w:t xml:space="preserve">" („Nahrung für Geld kauft von ihnen und esst, und Wasser mit Maß werdet ihr nehmen von ihnen für Geld und trinken"). Die LXX übersetzt </w:t>
      </w:r>
      <w:r w:rsidRPr="00D94821">
        <w:rPr>
          <w:rFonts w:eastAsia="Times New Roman"/>
          <w:b/>
          <w:bCs/>
          <w:rtl/>
          <w:lang w:eastAsia="de-DE"/>
        </w:rPr>
        <w:t>כרה</w:t>
      </w:r>
      <w:r w:rsidRPr="00D94821">
        <w:rPr>
          <w:rFonts w:eastAsia="Times New Roman"/>
          <w:rtl/>
          <w:lang w:eastAsia="de-DE"/>
        </w:rPr>
        <w:t xml:space="preserve"> </w:t>
      </w:r>
      <w:r w:rsidRPr="00D94821">
        <w:rPr>
          <w:rFonts w:eastAsia="Times New Roman"/>
          <w:lang w:eastAsia="de-DE"/>
        </w:rPr>
        <w:t xml:space="preserve">mit </w:t>
      </w:r>
      <w:r w:rsidRPr="00D94821">
        <w:rPr>
          <w:rFonts w:eastAsia="Times New Roman"/>
          <w:b/>
          <w:bCs/>
          <w:lang w:eastAsia="de-DE"/>
        </w:rPr>
        <w:t>λαμβ</w:t>
      </w:r>
      <w:proofErr w:type="spellStart"/>
      <w:r w:rsidRPr="00D94821">
        <w:rPr>
          <w:rFonts w:eastAsia="Times New Roman"/>
          <w:b/>
          <w:bCs/>
          <w:lang w:eastAsia="de-DE"/>
        </w:rPr>
        <w:t>άνω</w:t>
      </w:r>
      <w:proofErr w:type="spellEnd"/>
      <w:r w:rsidRPr="00D94821">
        <w:rPr>
          <w:rFonts w:eastAsia="Times New Roman"/>
          <w:lang w:eastAsia="de-DE"/>
        </w:rPr>
        <w:t xml:space="preserve"> („nehmen") und fügt </w:t>
      </w:r>
      <w:proofErr w:type="spellStart"/>
      <w:r w:rsidRPr="00D94821">
        <w:rPr>
          <w:rFonts w:eastAsia="Times New Roman"/>
          <w:b/>
          <w:bCs/>
          <w:lang w:eastAsia="de-DE"/>
        </w:rPr>
        <w:t>μέτρῳ</w:t>
      </w:r>
      <w:proofErr w:type="spellEnd"/>
      <w:r w:rsidRPr="00D94821">
        <w:rPr>
          <w:rFonts w:eastAsia="Times New Roman"/>
          <w:lang w:eastAsia="de-DE"/>
        </w:rPr>
        <w:t xml:space="preserve"> („mit Maß") hinzu.</w:t>
      </w:r>
    </w:p>
    <w:p w14:paraId="3854A59F"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lang w:eastAsia="de-DE"/>
        </w:rPr>
        <w:t xml:space="preserve">Die Satzstruktur besteht aus zwei parallelen Satzpaaren: (1) </w:t>
      </w:r>
      <w:r w:rsidRPr="00D94821">
        <w:rPr>
          <w:rFonts w:eastAsia="Times New Roman"/>
          <w:b/>
          <w:bCs/>
          <w:rtl/>
          <w:lang w:eastAsia="de-DE"/>
        </w:rPr>
        <w:t>אֹכֶל תִּשְׁבְּרוּ מֵאִתָּם בַּכֶּסֶף וַאֲכַלְתֶּם</w:t>
      </w:r>
      <w:r w:rsidRPr="00D94821">
        <w:rPr>
          <w:rFonts w:eastAsia="Times New Roman"/>
          <w:lang w:eastAsia="de-DE"/>
        </w:rPr>
        <w:t xml:space="preserve">, (2) </w:t>
      </w:r>
      <w:r w:rsidRPr="00D94821">
        <w:rPr>
          <w:rFonts w:eastAsia="Times New Roman"/>
          <w:b/>
          <w:bCs/>
          <w:rtl/>
          <w:lang w:eastAsia="de-DE"/>
        </w:rPr>
        <w:t>וְגַם־מַיִם תִּכְרוּ מֵאִתָּם בַּכֶּסֶף וּשְׁתִיתֶם</w:t>
      </w:r>
      <w:r w:rsidRPr="00D94821">
        <w:rPr>
          <w:rFonts w:eastAsia="Times New Roman"/>
          <w:lang w:eastAsia="de-DE"/>
        </w:rPr>
        <w:t>. Die Voranstellung der Objekte (</w:t>
      </w:r>
      <w:r w:rsidRPr="00D94821">
        <w:rPr>
          <w:rFonts w:eastAsia="Times New Roman"/>
          <w:b/>
          <w:bCs/>
          <w:rtl/>
          <w:lang w:eastAsia="de-DE"/>
        </w:rPr>
        <w:t>אֹכֶל</w:t>
      </w:r>
      <w:r w:rsidRPr="00D94821">
        <w:rPr>
          <w:rFonts w:eastAsia="Times New Roman"/>
          <w:rtl/>
          <w:lang w:eastAsia="de-DE"/>
        </w:rPr>
        <w:t xml:space="preserve"> </w:t>
      </w:r>
      <w:r w:rsidRPr="00D94821">
        <w:rPr>
          <w:rFonts w:eastAsia="Times New Roman"/>
          <w:lang w:eastAsia="de-DE"/>
        </w:rPr>
        <w:t xml:space="preserve">und </w:t>
      </w:r>
      <w:r w:rsidRPr="00D94821">
        <w:rPr>
          <w:rFonts w:eastAsia="Times New Roman"/>
          <w:b/>
          <w:bCs/>
          <w:rtl/>
          <w:lang w:eastAsia="de-DE"/>
        </w:rPr>
        <w:t>מַיִם</w:t>
      </w:r>
      <w:r w:rsidRPr="00D94821">
        <w:rPr>
          <w:rFonts w:eastAsia="Times New Roman"/>
          <w:lang w:eastAsia="de-DE"/>
        </w:rPr>
        <w:t>) schafft Emphase.</w:t>
      </w:r>
    </w:p>
    <w:p w14:paraId="22628487"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lang w:eastAsia="de-DE"/>
        </w:rPr>
        <w:t>Der Vers gibt konkrete Anweisungen für den friedlichen Durchzug durch Edom: Israel soll Nahrung und Wasser kaufen, nicht rauben oder requirieren. Dies zeigt Respekt für Edoms Souveränität und verhindert Konflikte. Die Betonung des Bezahlens unterstreicht, dass Israel nicht als Eroberer, sondern als friedliche Durchreisende auftreten soll.</w:t>
      </w:r>
    </w:p>
    <w:p w14:paraId="3882F8A0" w14:textId="77777777" w:rsidR="00D94821" w:rsidRPr="00D94821" w:rsidRDefault="00D94821" w:rsidP="00D94821">
      <w:pPr>
        <w:spacing w:before="100" w:beforeAutospacing="1" w:after="100" w:afterAutospacing="1" w:line="240" w:lineRule="auto"/>
        <w:outlineLvl w:val="1"/>
        <w:rPr>
          <w:rFonts w:eastAsia="Times New Roman"/>
          <w:b/>
          <w:bCs/>
          <w:sz w:val="36"/>
          <w:szCs w:val="36"/>
          <w:lang w:eastAsia="de-DE"/>
        </w:rPr>
      </w:pPr>
      <w:r w:rsidRPr="00D94821">
        <w:rPr>
          <w:rFonts w:eastAsia="Times New Roman"/>
          <w:b/>
          <w:bCs/>
          <w:sz w:val="36"/>
          <w:szCs w:val="36"/>
          <w:lang w:eastAsia="de-DE"/>
        </w:rPr>
        <w:t>Deuteronomium 2,7</w:t>
      </w:r>
    </w:p>
    <w:p w14:paraId="1388D3D7"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lang w:eastAsia="de-DE"/>
        </w:rPr>
        <w:t>Hebräisch:</w:t>
      </w:r>
      <w:r w:rsidRPr="00D94821">
        <w:rPr>
          <w:rFonts w:eastAsia="Times New Roman"/>
          <w:lang w:eastAsia="de-DE"/>
        </w:rPr>
        <w:t xml:space="preserve"> </w:t>
      </w:r>
      <w:r w:rsidRPr="00D94821">
        <w:rPr>
          <w:rFonts w:eastAsia="Times New Roman"/>
          <w:rtl/>
          <w:lang w:eastAsia="de-DE"/>
        </w:rPr>
        <w:t>כִּי֩ יְהוָ֨ה אֱלֹהֶ֜יךָ בֵּֽרַכְךָ֗ בְּכֹל֙ מַעֲשֵׂ֣ה יָדֶ֔ךָ יָדַ֣ע לֶכְתְּךָ֔ אֶת־הַמִּדְבָּ֥ר הַגָּדֹ֖ל הַזֶּ֑ה זֶ֣ה׀ אַרְבָּעִ֣ים שָׁנָ֗ה יְהוָ֤ה אֱלֹהֶ֙יךָ֙ עִמָּ֔ךְ לֹ֥א חָסַ֖רְתָּ דָּבָֽר׃</w:t>
      </w:r>
    </w:p>
    <w:p w14:paraId="03339E0D"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lang w:eastAsia="de-DE"/>
        </w:rPr>
        <w:t>Deutsch:</w:t>
      </w:r>
      <w:r w:rsidRPr="00D94821">
        <w:rPr>
          <w:rFonts w:eastAsia="Times New Roman"/>
          <w:lang w:eastAsia="de-DE"/>
        </w:rPr>
        <w:t xml:space="preserve"> Denn der Ewige, dein Gott, hat dich gesegnet in allem Werk deiner Hand. Er hat erkannt dein Ziehen durch diese große Wüste: Diese 40 Jahre ist der Ewige, dein Gott, mit dir gewesen; es hat dir an nichts gemangelt.</w:t>
      </w:r>
    </w:p>
    <w:p w14:paraId="6E42FC03" w14:textId="77777777" w:rsidR="00D94821" w:rsidRPr="00D94821" w:rsidRDefault="004F5CEB" w:rsidP="00D94821">
      <w:pPr>
        <w:spacing w:after="0" w:line="240" w:lineRule="auto"/>
        <w:rPr>
          <w:rFonts w:eastAsia="Times New Roman"/>
          <w:lang w:eastAsia="de-DE"/>
        </w:rPr>
      </w:pPr>
      <w:r>
        <w:rPr>
          <w:rFonts w:eastAsia="Times New Roman"/>
          <w:noProof/>
          <w:lang w:eastAsia="de-DE"/>
        </w:rPr>
        <w:pict w14:anchorId="02C310E7">
          <v:rect id="_x0000_i1077" style="width:0;height:1.5pt" o:hralign="center" o:hrstd="t" o:hr="t" fillcolor="#a0a0a0" stroked="f"/>
        </w:pict>
      </w:r>
    </w:p>
    <w:p w14:paraId="1ACAEE23" w14:textId="663DD1F9"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lang w:eastAsia="de-DE"/>
        </w:rPr>
        <w:t>Kommentar:</w:t>
      </w:r>
      <w:r w:rsidRPr="00D94821">
        <w:rPr>
          <w:rFonts w:eastAsia="Times New Roman"/>
          <w:lang w:eastAsia="de-DE"/>
        </w:rPr>
        <w:t xml:space="preserve"> </w:t>
      </w:r>
      <w:r w:rsidRPr="00D94821">
        <w:rPr>
          <w:rFonts w:eastAsia="Times New Roman"/>
          <w:b/>
          <w:bCs/>
          <w:rtl/>
          <w:lang w:eastAsia="de-DE"/>
        </w:rPr>
        <w:t>כִּי</w:t>
      </w:r>
      <w:r w:rsidRPr="00D94821">
        <w:rPr>
          <w:rFonts w:eastAsia="Times New Roman"/>
          <w:rtl/>
          <w:lang w:eastAsia="de-DE"/>
        </w:rPr>
        <w:t xml:space="preserve"> </w:t>
      </w:r>
      <w:r w:rsidRPr="00D94821">
        <w:rPr>
          <w:rFonts w:eastAsia="Times New Roman"/>
          <w:lang w:eastAsia="de-DE"/>
        </w:rPr>
        <w:t xml:space="preserve">leitet eine kausale Begründung ein („denn"). </w:t>
      </w:r>
      <w:r w:rsidRPr="00D94821">
        <w:rPr>
          <w:rFonts w:eastAsia="Times New Roman"/>
          <w:b/>
          <w:bCs/>
          <w:rtl/>
          <w:lang w:eastAsia="de-DE"/>
        </w:rPr>
        <w:t>יְהוָה אֱלֹהֶיךָ</w:t>
      </w:r>
      <w:r w:rsidRPr="00D94821">
        <w:rPr>
          <w:rFonts w:eastAsia="Times New Roman"/>
          <w:rtl/>
          <w:lang w:eastAsia="de-DE"/>
        </w:rPr>
        <w:t xml:space="preserve"> </w:t>
      </w:r>
      <w:r w:rsidRPr="00D94821">
        <w:rPr>
          <w:rFonts w:eastAsia="Times New Roman"/>
          <w:lang w:eastAsia="de-DE"/>
        </w:rPr>
        <w:t xml:space="preserve">ist Subjekt mit </w:t>
      </w:r>
      <w:r w:rsidRPr="00D94821">
        <w:rPr>
          <w:rFonts w:eastAsia="Times New Roman"/>
          <w:b/>
          <w:bCs/>
          <w:rtl/>
          <w:lang w:eastAsia="de-DE"/>
        </w:rPr>
        <w:t>אֱלֹהֶיךָ</w:t>
      </w:r>
      <w:r w:rsidRPr="00D94821">
        <w:rPr>
          <w:rFonts w:eastAsia="Times New Roman"/>
          <w:rtl/>
          <w:lang w:eastAsia="de-DE"/>
        </w:rPr>
        <w:t xml:space="preserve"> </w:t>
      </w:r>
      <w:r w:rsidRPr="00D94821">
        <w:rPr>
          <w:rFonts w:eastAsia="Times New Roman"/>
          <w:lang w:eastAsia="de-DE"/>
        </w:rPr>
        <w:t>(</w:t>
      </w:r>
      <w:r w:rsidRPr="00D94821">
        <w:rPr>
          <w:rFonts w:eastAsia="Times New Roman"/>
          <w:b/>
          <w:bCs/>
          <w:rtl/>
          <w:lang w:eastAsia="de-DE"/>
        </w:rPr>
        <w:t>אֱלֹהִים</w:t>
      </w:r>
      <w:r w:rsidRPr="00D94821">
        <w:rPr>
          <w:rFonts w:eastAsia="Times New Roman"/>
          <w:rtl/>
          <w:lang w:eastAsia="de-DE"/>
        </w:rPr>
        <w:t xml:space="preserve"> </w:t>
      </w:r>
      <w:r w:rsidRPr="00D94821">
        <w:rPr>
          <w:rFonts w:eastAsia="Times New Roman"/>
          <w:lang w:eastAsia="de-DE"/>
        </w:rPr>
        <w:t xml:space="preserve">mit Suffix 2. Person maskulin Singular). </w:t>
      </w:r>
      <w:r w:rsidRPr="00D94821">
        <w:rPr>
          <w:rFonts w:eastAsia="Times New Roman"/>
          <w:b/>
          <w:bCs/>
          <w:rtl/>
          <w:lang w:eastAsia="de-DE"/>
        </w:rPr>
        <w:t>בֵּרַכְךָ</w:t>
      </w:r>
      <w:r w:rsidRPr="00D94821">
        <w:rPr>
          <w:rFonts w:eastAsia="Times New Roman"/>
          <w:rtl/>
          <w:lang w:eastAsia="de-DE"/>
        </w:rPr>
        <w:t xml:space="preserve"> </w:t>
      </w:r>
      <w:r w:rsidRPr="00D94821">
        <w:rPr>
          <w:rFonts w:eastAsia="Times New Roman"/>
          <w:lang w:eastAsia="de-DE"/>
        </w:rPr>
        <w:t xml:space="preserve">ist Piel Perfekt, 3. Person maskulin Singular von </w:t>
      </w:r>
      <w:r w:rsidRPr="00D94821">
        <w:rPr>
          <w:rFonts w:eastAsia="Times New Roman"/>
          <w:rtl/>
          <w:lang w:eastAsia="de-DE"/>
        </w:rPr>
        <w:t>ברך</w:t>
      </w:r>
      <w:r w:rsidRPr="00D94821">
        <w:rPr>
          <w:rFonts w:eastAsia="Times New Roman"/>
          <w:lang w:eastAsia="de-DE"/>
        </w:rPr>
        <w:t xml:space="preserve"> („segnen") mit Objektsuffix 2. Person maskulin Singular </w:t>
      </w:r>
      <w:r w:rsidRPr="00D94821">
        <w:rPr>
          <w:rFonts w:eastAsia="Times New Roman"/>
          <w:b/>
          <w:bCs/>
          <w:rtl/>
          <w:lang w:eastAsia="de-DE"/>
        </w:rPr>
        <w:t>ךָ</w:t>
      </w:r>
      <w:r w:rsidRPr="00D94821">
        <w:rPr>
          <w:rFonts w:eastAsia="Times New Roman"/>
          <w:lang w:eastAsia="de-DE"/>
        </w:rPr>
        <w:t xml:space="preserve">. </w:t>
      </w:r>
      <w:r w:rsidRPr="00D94821">
        <w:rPr>
          <w:rFonts w:eastAsia="Times New Roman"/>
          <w:b/>
          <w:bCs/>
          <w:rtl/>
          <w:lang w:eastAsia="de-DE"/>
        </w:rPr>
        <w:t>בְּכֹל מַעֲשֵׂה יָדֶךָ</w:t>
      </w:r>
      <w:r w:rsidRPr="00D94821">
        <w:rPr>
          <w:rFonts w:eastAsia="Times New Roman"/>
          <w:rtl/>
          <w:lang w:eastAsia="de-DE"/>
        </w:rPr>
        <w:t xml:space="preserve"> </w:t>
      </w:r>
      <w:r w:rsidRPr="00D94821">
        <w:rPr>
          <w:rFonts w:eastAsia="Times New Roman"/>
          <w:lang w:eastAsia="de-DE"/>
        </w:rPr>
        <w:t xml:space="preserve">ist </w:t>
      </w:r>
      <w:r w:rsidRPr="00D94821">
        <w:rPr>
          <w:rFonts w:eastAsia="Times New Roman"/>
          <w:b/>
          <w:bCs/>
          <w:rtl/>
          <w:lang w:eastAsia="de-DE"/>
        </w:rPr>
        <w:t>בְּ</w:t>
      </w:r>
      <w:r w:rsidRPr="00D94821">
        <w:rPr>
          <w:rFonts w:eastAsia="Times New Roman"/>
          <w:rtl/>
          <w:lang w:eastAsia="de-DE"/>
        </w:rPr>
        <w:t xml:space="preserve"> </w:t>
      </w:r>
      <w:r w:rsidRPr="00D94821">
        <w:rPr>
          <w:rFonts w:eastAsia="Times New Roman"/>
          <w:lang w:eastAsia="de-DE"/>
        </w:rPr>
        <w:t xml:space="preserve">mit </w:t>
      </w:r>
      <w:r w:rsidRPr="00D94821">
        <w:rPr>
          <w:rFonts w:eastAsia="Times New Roman"/>
          <w:b/>
          <w:bCs/>
          <w:rtl/>
          <w:lang w:eastAsia="de-DE"/>
        </w:rPr>
        <w:t>כֹּל</w:t>
      </w:r>
      <w:r w:rsidRPr="00D94821">
        <w:rPr>
          <w:rFonts w:eastAsia="Times New Roman"/>
          <w:rtl/>
          <w:lang w:eastAsia="de-DE"/>
        </w:rPr>
        <w:t xml:space="preserve"> </w:t>
      </w:r>
      <w:r w:rsidRPr="00D94821">
        <w:rPr>
          <w:rFonts w:eastAsia="Times New Roman"/>
          <w:lang w:eastAsia="de-DE"/>
        </w:rPr>
        <w:t xml:space="preserve">im </w:t>
      </w:r>
      <w:r w:rsidR="0032647F">
        <w:rPr>
          <w:rFonts w:eastAsia="Times New Roman"/>
          <w:lang w:eastAsia="de-DE"/>
        </w:rPr>
        <w:t>Construct</w:t>
      </w:r>
      <w:r w:rsidRPr="00D94821">
        <w:rPr>
          <w:rFonts w:eastAsia="Times New Roman"/>
          <w:lang w:eastAsia="de-DE"/>
        </w:rPr>
        <w:t xml:space="preserve">, </w:t>
      </w:r>
      <w:r w:rsidRPr="00D94821">
        <w:rPr>
          <w:rFonts w:eastAsia="Times New Roman"/>
          <w:b/>
          <w:bCs/>
          <w:rtl/>
          <w:lang w:eastAsia="de-DE"/>
        </w:rPr>
        <w:t>מַעֲשֵׂה</w:t>
      </w:r>
      <w:r w:rsidRPr="00D94821">
        <w:rPr>
          <w:rFonts w:eastAsia="Times New Roman"/>
          <w:rtl/>
          <w:lang w:eastAsia="de-DE"/>
        </w:rPr>
        <w:t xml:space="preserve"> </w:t>
      </w:r>
      <w:r w:rsidRPr="00D94821">
        <w:rPr>
          <w:rFonts w:eastAsia="Times New Roman"/>
          <w:lang w:eastAsia="de-DE"/>
        </w:rPr>
        <w:t xml:space="preserve">(„Werk, Tat") im </w:t>
      </w:r>
      <w:r w:rsidR="0032647F">
        <w:rPr>
          <w:rFonts w:eastAsia="Times New Roman"/>
          <w:lang w:eastAsia="de-DE"/>
        </w:rPr>
        <w:t>Construct</w:t>
      </w:r>
      <w:r w:rsidRPr="00D94821">
        <w:rPr>
          <w:rFonts w:eastAsia="Times New Roman"/>
          <w:lang w:eastAsia="de-DE"/>
        </w:rPr>
        <w:t xml:space="preserve">, </w:t>
      </w:r>
      <w:r w:rsidRPr="00D94821">
        <w:rPr>
          <w:rFonts w:eastAsia="Times New Roman"/>
          <w:b/>
          <w:bCs/>
          <w:rtl/>
          <w:lang w:eastAsia="de-DE"/>
        </w:rPr>
        <w:t>יָד</w:t>
      </w:r>
      <w:r w:rsidRPr="00D94821">
        <w:rPr>
          <w:rFonts w:eastAsia="Times New Roman"/>
          <w:rtl/>
          <w:lang w:eastAsia="de-DE"/>
        </w:rPr>
        <w:t xml:space="preserve"> </w:t>
      </w:r>
      <w:r w:rsidRPr="00D94821">
        <w:rPr>
          <w:rFonts w:eastAsia="Times New Roman"/>
          <w:lang w:eastAsia="de-DE"/>
        </w:rPr>
        <w:t xml:space="preserve">(„Hand") im </w:t>
      </w:r>
      <w:r w:rsidR="0032647F">
        <w:rPr>
          <w:rFonts w:eastAsia="Times New Roman"/>
          <w:lang w:eastAsia="de-DE"/>
        </w:rPr>
        <w:lastRenderedPageBreak/>
        <w:t>Construct</w:t>
      </w:r>
      <w:r w:rsidRPr="00D94821">
        <w:rPr>
          <w:rFonts w:eastAsia="Times New Roman"/>
          <w:lang w:eastAsia="de-DE"/>
        </w:rPr>
        <w:t>, und Suffix 2. Person maskulin Singular. Die Phrase „Werk deiner Hand" steht für alle Tätigkeiten und Unternehmungen.</w:t>
      </w:r>
    </w:p>
    <w:p w14:paraId="761E869C" w14:textId="488E82D5"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rtl/>
          <w:lang w:eastAsia="de-DE"/>
        </w:rPr>
        <w:t>יָדַע לֶכְתְּךָ אֶת־הַמִּדְבָּר הַגָּדֹל הַזֶּה</w:t>
      </w:r>
      <w:r w:rsidRPr="00D94821">
        <w:rPr>
          <w:rFonts w:eastAsia="Times New Roman"/>
          <w:rtl/>
          <w:lang w:eastAsia="de-DE"/>
        </w:rPr>
        <w:t xml:space="preserve"> </w:t>
      </w:r>
      <w:r w:rsidRPr="00D94821">
        <w:rPr>
          <w:rFonts w:eastAsia="Times New Roman"/>
          <w:lang w:eastAsia="de-DE"/>
        </w:rPr>
        <w:t xml:space="preserve">besteht aus </w:t>
      </w:r>
      <w:r w:rsidRPr="00D94821">
        <w:rPr>
          <w:rFonts w:eastAsia="Times New Roman"/>
          <w:b/>
          <w:bCs/>
          <w:rtl/>
          <w:lang w:eastAsia="de-DE"/>
        </w:rPr>
        <w:t>יָדַע</w:t>
      </w:r>
      <w:r w:rsidRPr="00D94821">
        <w:rPr>
          <w:rFonts w:eastAsia="Times New Roman"/>
          <w:rtl/>
          <w:lang w:eastAsia="de-DE"/>
        </w:rPr>
        <w:t xml:space="preserve"> </w:t>
      </w:r>
      <w:r w:rsidRPr="00D94821">
        <w:rPr>
          <w:rFonts w:eastAsia="Times New Roman"/>
          <w:lang w:eastAsia="de-DE"/>
        </w:rPr>
        <w:t xml:space="preserve">(Qal Perfekt, 3. Person maskulin Singular von </w:t>
      </w:r>
      <w:r w:rsidRPr="00D94821">
        <w:rPr>
          <w:rFonts w:eastAsia="Times New Roman"/>
          <w:rtl/>
          <w:lang w:eastAsia="de-DE"/>
        </w:rPr>
        <w:t>ידע</w:t>
      </w:r>
      <w:r w:rsidRPr="00D94821">
        <w:rPr>
          <w:rFonts w:eastAsia="Times New Roman"/>
          <w:lang w:eastAsia="de-DE"/>
        </w:rPr>
        <w:t xml:space="preserve"> „wissen, kennen, erkennen"), </w:t>
      </w:r>
      <w:r w:rsidRPr="00D94821">
        <w:rPr>
          <w:rFonts w:eastAsia="Times New Roman"/>
          <w:b/>
          <w:bCs/>
          <w:rtl/>
          <w:lang w:eastAsia="de-DE"/>
        </w:rPr>
        <w:t>לֶכְתְּךָ</w:t>
      </w:r>
      <w:r w:rsidRPr="00D94821">
        <w:rPr>
          <w:rFonts w:eastAsia="Times New Roman"/>
          <w:rtl/>
          <w:lang w:eastAsia="de-DE"/>
        </w:rPr>
        <w:t xml:space="preserve"> </w:t>
      </w:r>
      <w:r w:rsidRPr="00D94821">
        <w:rPr>
          <w:rFonts w:eastAsia="Times New Roman"/>
          <w:lang w:eastAsia="de-DE"/>
        </w:rPr>
        <w:t xml:space="preserve">(Qal Infinitiv </w:t>
      </w:r>
      <w:r w:rsidR="0032647F">
        <w:rPr>
          <w:rFonts w:eastAsia="Times New Roman"/>
          <w:lang w:eastAsia="de-DE"/>
        </w:rPr>
        <w:t>Construct</w:t>
      </w:r>
      <w:r w:rsidRPr="00D94821">
        <w:rPr>
          <w:rFonts w:eastAsia="Times New Roman"/>
          <w:lang w:eastAsia="de-DE"/>
        </w:rPr>
        <w:t xml:space="preserve"> von </w:t>
      </w:r>
      <w:r w:rsidRPr="00D94821">
        <w:rPr>
          <w:rFonts w:eastAsia="Times New Roman"/>
          <w:rtl/>
          <w:lang w:eastAsia="de-DE"/>
        </w:rPr>
        <w:t>הלך</w:t>
      </w:r>
      <w:r w:rsidRPr="00D94821">
        <w:rPr>
          <w:rFonts w:eastAsia="Times New Roman"/>
          <w:lang w:eastAsia="de-DE"/>
        </w:rPr>
        <w:t xml:space="preserve"> „gehen" mit Suffix 2. Person maskulin Singular „dein Gehen"), </w:t>
      </w:r>
      <w:r w:rsidRPr="00D94821">
        <w:rPr>
          <w:rFonts w:eastAsia="Times New Roman"/>
          <w:b/>
          <w:bCs/>
          <w:rtl/>
          <w:lang w:eastAsia="de-DE"/>
        </w:rPr>
        <w:t>אֶת־הַמִּדְבָּר הַגָּדֹל הַזֶּה</w:t>
      </w:r>
      <w:r w:rsidRPr="00D94821">
        <w:rPr>
          <w:rFonts w:eastAsia="Times New Roman"/>
          <w:rtl/>
          <w:lang w:eastAsia="de-DE"/>
        </w:rPr>
        <w:t xml:space="preserve"> </w:t>
      </w:r>
      <w:r w:rsidRPr="00D94821">
        <w:rPr>
          <w:rFonts w:eastAsia="Times New Roman"/>
          <w:lang w:eastAsia="de-DE"/>
        </w:rPr>
        <w:t xml:space="preserve">(Objektpartikel mit </w:t>
      </w:r>
      <w:r w:rsidRPr="00D94821">
        <w:rPr>
          <w:rFonts w:eastAsia="Times New Roman"/>
          <w:b/>
          <w:bCs/>
          <w:rtl/>
          <w:lang w:eastAsia="de-DE"/>
        </w:rPr>
        <w:t>הַמִּדְבָּר</w:t>
      </w:r>
      <w:r w:rsidRPr="00D94821">
        <w:rPr>
          <w:rFonts w:eastAsia="Times New Roman"/>
          <w:lang w:eastAsia="de-DE"/>
        </w:rPr>
        <w:t xml:space="preserve">, Adjektiv </w:t>
      </w:r>
      <w:r w:rsidRPr="00D94821">
        <w:rPr>
          <w:rFonts w:eastAsia="Times New Roman"/>
          <w:b/>
          <w:bCs/>
          <w:rtl/>
          <w:lang w:eastAsia="de-DE"/>
        </w:rPr>
        <w:t>הַגָּדֹל</w:t>
      </w:r>
      <w:r w:rsidRPr="00D94821">
        <w:rPr>
          <w:rFonts w:eastAsia="Times New Roman"/>
          <w:lang w:eastAsia="de-DE"/>
        </w:rPr>
        <w:t xml:space="preserve">, und Demonstrativpronomen </w:t>
      </w:r>
      <w:r w:rsidRPr="00D94821">
        <w:rPr>
          <w:rFonts w:eastAsia="Times New Roman"/>
          <w:b/>
          <w:bCs/>
          <w:rtl/>
          <w:lang w:eastAsia="de-DE"/>
        </w:rPr>
        <w:t>הַזֶּה</w:t>
      </w:r>
      <w:r w:rsidRPr="00D94821">
        <w:rPr>
          <w:rFonts w:eastAsia="Times New Roman"/>
          <w:lang w:eastAsia="de-DE"/>
        </w:rPr>
        <w:t xml:space="preserve">). Das Verb </w:t>
      </w:r>
      <w:r w:rsidRPr="00D94821">
        <w:rPr>
          <w:rFonts w:eastAsia="Times New Roman"/>
          <w:b/>
          <w:bCs/>
          <w:rtl/>
          <w:lang w:eastAsia="de-DE"/>
        </w:rPr>
        <w:t>יָדַע</w:t>
      </w:r>
      <w:r w:rsidRPr="00D94821">
        <w:rPr>
          <w:rFonts w:eastAsia="Times New Roman"/>
          <w:rtl/>
          <w:lang w:eastAsia="de-DE"/>
        </w:rPr>
        <w:t xml:space="preserve"> </w:t>
      </w:r>
      <w:r w:rsidRPr="00D94821">
        <w:rPr>
          <w:rFonts w:eastAsia="Times New Roman"/>
          <w:lang w:eastAsia="de-DE"/>
        </w:rPr>
        <w:t>bedeutet hier nicht nur kognitives Wissen, sondern persönliche Kenntnis und Fürsorge.</w:t>
      </w:r>
    </w:p>
    <w:p w14:paraId="0C1EFCF8" w14:textId="77777777" w:rsidR="00D94821" w:rsidRPr="00D94821" w:rsidRDefault="00D94821" w:rsidP="00D94821">
      <w:pPr>
        <w:spacing w:before="100" w:beforeAutospacing="1" w:after="100" w:afterAutospacing="1" w:line="240" w:lineRule="auto"/>
        <w:rPr>
          <w:rFonts w:eastAsia="Times New Roman"/>
          <w:lang w:eastAsia="de-DE"/>
        </w:rPr>
      </w:pPr>
      <w:r w:rsidRPr="00D94821">
        <w:rPr>
          <w:rFonts w:eastAsia="Times New Roman"/>
          <w:b/>
          <w:bCs/>
          <w:rtl/>
          <w:lang w:eastAsia="de-DE"/>
        </w:rPr>
        <w:t>זֶה אַרְבָּעִים שָׁנָה</w:t>
      </w:r>
      <w:r w:rsidRPr="00D94821">
        <w:rPr>
          <w:rFonts w:eastAsia="Times New Roman"/>
          <w:rtl/>
          <w:lang w:eastAsia="de-DE"/>
        </w:rPr>
        <w:t xml:space="preserve"> </w:t>
      </w:r>
      <w:r w:rsidRPr="00D94821">
        <w:rPr>
          <w:rFonts w:eastAsia="Times New Roman"/>
          <w:lang w:eastAsia="de-DE"/>
        </w:rPr>
        <w:t xml:space="preserve">ist eine temporale Phrase: </w:t>
      </w:r>
      <w:r w:rsidRPr="00D94821">
        <w:rPr>
          <w:rFonts w:eastAsia="Times New Roman"/>
          <w:b/>
          <w:bCs/>
          <w:rtl/>
          <w:lang w:eastAsia="de-DE"/>
        </w:rPr>
        <w:t>זֶה</w:t>
      </w:r>
      <w:r w:rsidRPr="00D94821">
        <w:rPr>
          <w:rFonts w:eastAsia="Times New Roman"/>
          <w:rtl/>
          <w:lang w:eastAsia="de-DE"/>
        </w:rPr>
        <w:t xml:space="preserve"> </w:t>
      </w:r>
      <w:r w:rsidRPr="00D94821">
        <w:rPr>
          <w:rFonts w:eastAsia="Times New Roman"/>
          <w:lang w:eastAsia="de-DE"/>
        </w:rPr>
        <w:t xml:space="preserve">(„dies", hier „diese") mit </w:t>
      </w:r>
      <w:r w:rsidRPr="00D94821">
        <w:rPr>
          <w:rFonts w:eastAsia="Times New Roman"/>
          <w:b/>
          <w:bCs/>
          <w:rtl/>
          <w:lang w:eastAsia="de-DE"/>
        </w:rPr>
        <w:t>אַרְבָּעִים שָׁנָה</w:t>
      </w:r>
      <w:r w:rsidRPr="00D94821">
        <w:rPr>
          <w:rFonts w:eastAsia="Times New Roman"/>
          <w:rtl/>
          <w:lang w:eastAsia="de-DE"/>
        </w:rPr>
        <w:t xml:space="preserve"> </w:t>
      </w:r>
      <w:r w:rsidRPr="00D94821">
        <w:rPr>
          <w:rFonts w:eastAsia="Times New Roman"/>
          <w:lang w:eastAsia="de-DE"/>
        </w:rPr>
        <w:t xml:space="preserve">(„vierzig Jahre"). </w:t>
      </w:r>
      <w:r w:rsidRPr="00D94821">
        <w:rPr>
          <w:rFonts w:eastAsia="Times New Roman"/>
          <w:b/>
          <w:bCs/>
          <w:rtl/>
          <w:lang w:eastAsia="de-DE"/>
        </w:rPr>
        <w:t>יְהוָה אֱלֹהֶיךָ עִמָּךְ</w:t>
      </w:r>
      <w:r w:rsidRPr="00D94821">
        <w:rPr>
          <w:rFonts w:eastAsia="Times New Roman"/>
          <w:rtl/>
          <w:lang w:eastAsia="de-DE"/>
        </w:rPr>
        <w:t xml:space="preserve"> </w:t>
      </w:r>
      <w:r w:rsidRPr="00D94821">
        <w:rPr>
          <w:rFonts w:eastAsia="Times New Roman"/>
          <w:lang w:eastAsia="de-DE"/>
        </w:rPr>
        <w:t xml:space="preserve">ist ein Nominalsatz: </w:t>
      </w:r>
      <w:r w:rsidRPr="00D94821">
        <w:rPr>
          <w:rFonts w:eastAsia="Times New Roman"/>
          <w:b/>
          <w:bCs/>
          <w:rtl/>
          <w:lang w:eastAsia="de-DE"/>
        </w:rPr>
        <w:t>יְהוָה אֱלֹהֶיךָ</w:t>
      </w:r>
      <w:r w:rsidRPr="00D94821">
        <w:rPr>
          <w:rFonts w:eastAsia="Times New Roman"/>
          <w:rtl/>
          <w:lang w:eastAsia="de-DE"/>
        </w:rPr>
        <w:t xml:space="preserve"> </w:t>
      </w:r>
      <w:r w:rsidRPr="00D94821">
        <w:rPr>
          <w:rFonts w:eastAsia="Times New Roman"/>
          <w:lang w:eastAsia="de-DE"/>
        </w:rPr>
        <w:t xml:space="preserve">als Subjekt, </w:t>
      </w:r>
      <w:r w:rsidRPr="00D94821">
        <w:rPr>
          <w:rFonts w:eastAsia="Times New Roman"/>
          <w:b/>
          <w:bCs/>
          <w:rtl/>
          <w:lang w:eastAsia="de-DE"/>
        </w:rPr>
        <w:t>עִמָּךְ</w:t>
      </w:r>
      <w:r w:rsidRPr="00D94821">
        <w:rPr>
          <w:rFonts w:eastAsia="Times New Roman"/>
          <w:rtl/>
          <w:lang w:eastAsia="de-DE"/>
        </w:rPr>
        <w:t xml:space="preserve"> </w:t>
      </w:r>
      <w:r w:rsidRPr="00D94821">
        <w:rPr>
          <w:rFonts w:eastAsia="Times New Roman"/>
          <w:lang w:eastAsia="de-DE"/>
        </w:rPr>
        <w:t>(</w:t>
      </w:r>
      <w:r w:rsidRPr="00D94821">
        <w:rPr>
          <w:rFonts w:eastAsia="Times New Roman"/>
          <w:b/>
          <w:bCs/>
          <w:rtl/>
          <w:lang w:eastAsia="de-DE"/>
        </w:rPr>
        <w:t>עִם</w:t>
      </w:r>
      <w:r w:rsidRPr="00D94821">
        <w:rPr>
          <w:rFonts w:eastAsia="Times New Roman"/>
          <w:rtl/>
          <w:lang w:eastAsia="de-DE"/>
        </w:rPr>
        <w:t xml:space="preserve"> </w:t>
      </w:r>
      <w:r w:rsidRPr="00D94821">
        <w:rPr>
          <w:rFonts w:eastAsia="Times New Roman"/>
          <w:lang w:eastAsia="de-DE"/>
        </w:rPr>
        <w:t xml:space="preserve">„mit" mit Suffix 2. Person maskulin Singular) als präpositionales Prädikat. </w:t>
      </w:r>
      <w:r w:rsidRPr="00D94821">
        <w:rPr>
          <w:rFonts w:eastAsia="Times New Roman"/>
          <w:b/>
          <w:bCs/>
          <w:rtl/>
          <w:lang w:eastAsia="de-DE"/>
        </w:rPr>
        <w:t>לֹא חָסַרְתָּ דָּבָר</w:t>
      </w:r>
      <w:r w:rsidRPr="00D94821">
        <w:rPr>
          <w:rFonts w:eastAsia="Times New Roman"/>
          <w:rtl/>
          <w:lang w:eastAsia="de-DE"/>
        </w:rPr>
        <w:t xml:space="preserve"> </w:t>
      </w:r>
      <w:r w:rsidRPr="00D94821">
        <w:rPr>
          <w:rFonts w:eastAsia="Times New Roman"/>
          <w:lang w:eastAsia="de-DE"/>
        </w:rPr>
        <w:t xml:space="preserve">ist </w:t>
      </w:r>
      <w:r w:rsidRPr="00D94821">
        <w:rPr>
          <w:rFonts w:eastAsia="Times New Roman"/>
          <w:b/>
          <w:bCs/>
          <w:rtl/>
          <w:lang w:eastAsia="de-DE"/>
        </w:rPr>
        <w:t>לֹא</w:t>
      </w:r>
      <w:r w:rsidRPr="00D94821">
        <w:rPr>
          <w:rFonts w:eastAsia="Times New Roman"/>
          <w:rtl/>
          <w:lang w:eastAsia="de-DE"/>
        </w:rPr>
        <w:t xml:space="preserve"> </w:t>
      </w:r>
      <w:r w:rsidRPr="00D94821">
        <w:rPr>
          <w:rFonts w:eastAsia="Times New Roman"/>
          <w:lang w:eastAsia="de-DE"/>
        </w:rPr>
        <w:t xml:space="preserve">als Negation, </w:t>
      </w:r>
      <w:r w:rsidRPr="00D94821">
        <w:rPr>
          <w:rFonts w:eastAsia="Times New Roman"/>
          <w:b/>
          <w:bCs/>
          <w:rtl/>
          <w:lang w:eastAsia="de-DE"/>
        </w:rPr>
        <w:t>חָסַרְתָּ</w:t>
      </w:r>
      <w:r w:rsidRPr="00D94821">
        <w:rPr>
          <w:rFonts w:eastAsia="Times New Roman"/>
          <w:rtl/>
          <w:lang w:eastAsia="de-DE"/>
        </w:rPr>
        <w:t xml:space="preserve"> </w:t>
      </w:r>
      <w:r w:rsidRPr="00D94821">
        <w:rPr>
          <w:rFonts w:eastAsia="Times New Roman"/>
          <w:lang w:eastAsia="de-DE"/>
        </w:rPr>
        <w:t xml:space="preserve">(Qal Perfekt, 2. Person maskulin Singular von </w:t>
      </w:r>
      <w:r w:rsidRPr="00D94821">
        <w:rPr>
          <w:rFonts w:eastAsia="Times New Roman"/>
          <w:rtl/>
          <w:lang w:eastAsia="de-DE"/>
        </w:rPr>
        <w:t>חסר</w:t>
      </w:r>
      <w:r w:rsidRPr="00D94821">
        <w:rPr>
          <w:rFonts w:eastAsia="Times New Roman"/>
          <w:lang w:eastAsia="de-DE"/>
        </w:rPr>
        <w:t xml:space="preserve"> „mangeln, fehlen"), </w:t>
      </w:r>
      <w:r w:rsidRPr="00D94821">
        <w:rPr>
          <w:rFonts w:eastAsia="Times New Roman"/>
          <w:b/>
          <w:bCs/>
          <w:rtl/>
          <w:lang w:eastAsia="de-DE"/>
        </w:rPr>
        <w:t>דָּבָר</w:t>
      </w:r>
      <w:r w:rsidRPr="00D94821">
        <w:rPr>
          <w:rFonts w:eastAsia="Times New Roman"/>
          <w:rtl/>
          <w:lang w:eastAsia="de-DE"/>
        </w:rPr>
        <w:t xml:space="preserve"> </w:t>
      </w:r>
      <w:r w:rsidRPr="00D94821">
        <w:rPr>
          <w:rFonts w:eastAsia="Times New Roman"/>
          <w:lang w:eastAsia="de-DE"/>
        </w:rPr>
        <w:t>(„Ding, Sache") als Akkusativobjekt oder Subjekt (bei intransitiver Lesart).</w:t>
      </w:r>
    </w:p>
    <w:p w14:paraId="5038A6D8" w14:textId="19C18230" w:rsidR="00D94821" w:rsidRDefault="00D94821" w:rsidP="00D94821">
      <w:r w:rsidRPr="00D94821">
        <w:rPr>
          <w:b/>
          <w:bCs/>
        </w:rPr>
        <w:t>Die LXX</w:t>
      </w:r>
      <w:r w:rsidRPr="00D94821">
        <w:t xml:space="preserve"> </w:t>
      </w:r>
      <w:r w:rsidR="009B686A">
        <w:t>übersetzt „</w:t>
      </w:r>
      <w:r w:rsidR="009B686A">
        <w:rPr>
          <w:rtl/>
        </w:rPr>
        <w:t>יָדַע לֶכְתְּךָ אֶת־הַמִּדְבָּר הַגָּדוֹל הַזֶּה</w:t>
      </w:r>
      <w:r w:rsidR="009B686A">
        <w:t>" (er kannte deinen Gang durch diese große Wüste) mit „</w:t>
      </w:r>
      <w:proofErr w:type="spellStart"/>
      <w:r w:rsidR="009B686A">
        <w:t>διάγνωθι</w:t>
      </w:r>
      <w:proofErr w:type="spellEnd"/>
      <w:r w:rsidR="009B686A">
        <w:t xml:space="preserve"> π</w:t>
      </w:r>
      <w:proofErr w:type="spellStart"/>
      <w:r w:rsidR="009B686A">
        <w:t>ῶς</w:t>
      </w:r>
      <w:proofErr w:type="spellEnd"/>
      <w:r w:rsidR="009B686A">
        <w:t xml:space="preserve"> </w:t>
      </w:r>
      <w:proofErr w:type="spellStart"/>
      <w:r w:rsidR="009B686A">
        <w:t>διῆλθες</w:t>
      </w:r>
      <w:proofErr w:type="spellEnd"/>
      <w:r w:rsidR="009B686A">
        <w:t xml:space="preserve"> τὴν </w:t>
      </w:r>
      <w:proofErr w:type="spellStart"/>
      <w:r w:rsidR="009B686A">
        <w:t>ἔρημον</w:t>
      </w:r>
      <w:proofErr w:type="spellEnd"/>
      <w:r w:rsidR="009B686A">
        <w:t xml:space="preserve"> τὴν </w:t>
      </w:r>
      <w:proofErr w:type="spellStart"/>
      <w:r w:rsidR="009B686A">
        <w:t>μεγάλην</w:t>
      </w:r>
      <w:proofErr w:type="spellEnd"/>
      <w:r w:rsidR="009B686A">
        <w:t xml:space="preserve"> καὶ τὴν </w:t>
      </w:r>
      <w:proofErr w:type="spellStart"/>
      <w:r w:rsidR="009B686A">
        <w:t>φο</w:t>
      </w:r>
      <w:proofErr w:type="spellEnd"/>
      <w:r w:rsidR="009B686A">
        <w:t>βερὰν τα</w:t>
      </w:r>
      <w:proofErr w:type="spellStart"/>
      <w:r w:rsidR="009B686A">
        <w:t>ύτην</w:t>
      </w:r>
      <w:proofErr w:type="spellEnd"/>
      <w:r w:rsidR="009B686A">
        <w:t>" (erkenne, wie du diese große und furchtbare Wüste durchzogen hast), wobei „</w:t>
      </w:r>
      <w:proofErr w:type="spellStart"/>
      <w:r w:rsidR="009B686A">
        <w:t>φο</w:t>
      </w:r>
      <w:proofErr w:type="spellEnd"/>
      <w:r w:rsidR="009B686A">
        <w:t>βεράν" (furchtbar) hinzugefügt wird, und „ἐπ</w:t>
      </w:r>
      <w:proofErr w:type="spellStart"/>
      <w:r w:rsidR="009B686A">
        <w:t>εδεήθης</w:t>
      </w:r>
      <w:proofErr w:type="spellEnd"/>
      <w:r w:rsidR="009B686A">
        <w:t>" (du hast gefehlt/gebraucht) statt „</w:t>
      </w:r>
      <w:r w:rsidR="009B686A">
        <w:rPr>
          <w:rtl/>
        </w:rPr>
        <w:t>חָסַרְתָּ</w:t>
      </w:r>
      <w:r w:rsidR="009B686A">
        <w:t>" (du hattest Mangel).</w:t>
      </w:r>
    </w:p>
    <w:p w14:paraId="28657AB2" w14:textId="77777777" w:rsidR="00D94821" w:rsidRDefault="00D94821" w:rsidP="00D94821">
      <w:r>
        <w:t xml:space="preserve">Die Satzstruktur besteht aus mehreren koordinierten Sätzen: (1) kausaler Nebensatz </w:t>
      </w:r>
      <w:r>
        <w:rPr>
          <w:rStyle w:val="berschrift3Zchn"/>
          <w:rtl/>
        </w:rPr>
        <w:t>כִּי יְהוָה אֱלֹהֶיךָ בֵּרַכְךָ בְּכֹל מַעֲשֵׂה יָדֶךָ</w:t>
      </w:r>
      <w:r>
        <w:t xml:space="preserve">, (2) </w:t>
      </w:r>
      <w:r>
        <w:rPr>
          <w:rStyle w:val="berschrift3Zchn"/>
          <w:rtl/>
        </w:rPr>
        <w:t>יָדַע לֶכְתְּךָ אֶת־הַמִּדְבָּר הַגָּדֹל הַזֶּה</w:t>
      </w:r>
      <w:r>
        <w:t xml:space="preserve">, (3) temporale Phrase </w:t>
      </w:r>
      <w:r>
        <w:rPr>
          <w:rStyle w:val="berschrift3Zchn"/>
          <w:rtl/>
        </w:rPr>
        <w:t>זֶה אַרְבָּעִים שָׁנָה</w:t>
      </w:r>
      <w:r>
        <w:rPr>
          <w:rtl/>
        </w:rPr>
        <w:t xml:space="preserve"> </w:t>
      </w:r>
      <w:r>
        <w:t xml:space="preserve">mit Nominalsatz </w:t>
      </w:r>
      <w:r>
        <w:rPr>
          <w:rStyle w:val="berschrift3Zchn"/>
          <w:rtl/>
        </w:rPr>
        <w:t>יְהוָה אֱלֹהֶיךָ עִמָּךְ</w:t>
      </w:r>
      <w:r>
        <w:t xml:space="preserve">, (4) abschließender Verbalsatz </w:t>
      </w:r>
      <w:r>
        <w:rPr>
          <w:rStyle w:val="berschrift3Zchn"/>
          <w:rtl/>
        </w:rPr>
        <w:t>לֹא חָסַרְתָּ דָּבָר</w:t>
      </w:r>
      <w:r>
        <w:t>.</w:t>
      </w:r>
    </w:p>
    <w:p w14:paraId="5820CA6A" w14:textId="77777777" w:rsidR="00D94821" w:rsidRDefault="00D94821" w:rsidP="00D94821">
      <w:r>
        <w:t>Der Vers begründet die Anweisung zum Kaufen (V. 6): Israel kann bezahlen, weil JHWH sie während der 40-jährigen Wüstenwanderung gesegnet und versorgt hat. Die göttliche Fürsorge wird betont durch die Aussage, dass JHWH ihr Ziehen durch die Wüste „erkannt" (begleitet, beaufsichtigt) hat und dass ihnen nichts gemangelt hat. Dies ist eine positive Würdigung der Wüstenzeit trotz ihres Strafcharakters.</w:t>
      </w:r>
    </w:p>
    <w:p w14:paraId="1F48B13E" w14:textId="77777777" w:rsidR="00355406" w:rsidRPr="00355406" w:rsidRDefault="00355406" w:rsidP="00355406">
      <w:pPr>
        <w:spacing w:before="100" w:beforeAutospacing="1" w:after="100" w:afterAutospacing="1" w:line="240" w:lineRule="auto"/>
        <w:outlineLvl w:val="1"/>
        <w:rPr>
          <w:rFonts w:eastAsia="Times New Roman"/>
          <w:b/>
          <w:bCs/>
          <w:sz w:val="36"/>
          <w:szCs w:val="36"/>
          <w:lang w:eastAsia="de-DE"/>
        </w:rPr>
      </w:pPr>
      <w:r w:rsidRPr="00355406">
        <w:rPr>
          <w:rFonts w:eastAsia="Times New Roman"/>
          <w:b/>
          <w:bCs/>
          <w:sz w:val="36"/>
          <w:szCs w:val="36"/>
          <w:lang w:eastAsia="de-DE"/>
        </w:rPr>
        <w:t>Deuteronomium 2,8</w:t>
      </w:r>
    </w:p>
    <w:p w14:paraId="42C44D52" w14:textId="77777777"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b/>
          <w:bCs/>
          <w:lang w:eastAsia="de-DE"/>
        </w:rPr>
        <w:t>Hebräisch:</w:t>
      </w:r>
      <w:r w:rsidRPr="00355406">
        <w:rPr>
          <w:rFonts w:eastAsia="Times New Roman"/>
          <w:lang w:eastAsia="de-DE"/>
        </w:rPr>
        <w:t xml:space="preserve"> </w:t>
      </w:r>
      <w:r w:rsidRPr="00355406">
        <w:rPr>
          <w:rFonts w:eastAsia="Times New Roman"/>
          <w:rtl/>
          <w:lang w:eastAsia="de-DE"/>
        </w:rPr>
        <w:t>וַֽנַּעֲבֹ֞ר מֵאֵ֧ת אַחֵ֣ינוּ בְנֵי־עֵשָׂ֗ו הַיֹּֽשְׁבִים֙ בְּשֵׂעִ֔יר מִדֶּ֙רֶךְ֙ הָֽעֲרָבָ֔ה מֵאֵילַ֖ת וּמֵעֶצְיֹ֣ן גָּ֑בֶר וַנֵּ֙פֶן֙ וַֽנַּעֲבֹ֔ר דֶּ֖רֶךְ מִדְבַּ֥ר מֹואָֽב׃</w:t>
      </w:r>
    </w:p>
    <w:p w14:paraId="7FD72CA9" w14:textId="77777777"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b/>
          <w:bCs/>
          <w:lang w:eastAsia="de-DE"/>
        </w:rPr>
        <w:t>Deutsch:</w:t>
      </w:r>
      <w:r w:rsidRPr="00355406">
        <w:rPr>
          <w:rFonts w:eastAsia="Times New Roman"/>
          <w:lang w:eastAsia="de-DE"/>
        </w:rPr>
        <w:t xml:space="preserve"> Und wir zogen vorbei von unseren Brüdern, den Söhnen 'Esav, die in Se'ir wohnen, von dem Weg der Arava, von Elat und von Esjon-Gever. Und wir wandten uns und zogen den Weg zur Wüste Mo'av.</w:t>
      </w:r>
    </w:p>
    <w:p w14:paraId="7CD9427B" w14:textId="77777777" w:rsidR="00355406" w:rsidRPr="00355406" w:rsidRDefault="004F5CEB" w:rsidP="00355406">
      <w:pPr>
        <w:spacing w:after="0" w:line="240" w:lineRule="auto"/>
        <w:rPr>
          <w:rFonts w:eastAsia="Times New Roman"/>
          <w:lang w:eastAsia="de-DE"/>
        </w:rPr>
      </w:pPr>
      <w:r>
        <w:rPr>
          <w:rFonts w:eastAsia="Times New Roman"/>
          <w:noProof/>
          <w:lang w:eastAsia="de-DE"/>
        </w:rPr>
        <w:pict w14:anchorId="7AA81EBB">
          <v:rect id="_x0000_i1078" style="width:0;height:1.5pt" o:hralign="center" o:hrstd="t" o:hr="t" fillcolor="#a0a0a0" stroked="f"/>
        </w:pict>
      </w:r>
    </w:p>
    <w:p w14:paraId="35D868E3" w14:textId="77777777"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b/>
          <w:bCs/>
          <w:lang w:eastAsia="de-DE"/>
        </w:rPr>
        <w:t>Kommentar:</w:t>
      </w:r>
      <w:r w:rsidRPr="00355406">
        <w:rPr>
          <w:rFonts w:eastAsia="Times New Roman"/>
          <w:lang w:eastAsia="de-DE"/>
        </w:rPr>
        <w:t xml:space="preserve"> </w:t>
      </w:r>
      <w:r w:rsidRPr="00355406">
        <w:rPr>
          <w:rFonts w:eastAsia="Times New Roman"/>
          <w:b/>
          <w:bCs/>
          <w:rtl/>
          <w:lang w:eastAsia="de-DE"/>
        </w:rPr>
        <w:t>וַנַּעֲבֹר</w:t>
      </w:r>
      <w:r w:rsidRPr="00355406">
        <w:rPr>
          <w:rFonts w:eastAsia="Times New Roman"/>
          <w:rtl/>
          <w:lang w:eastAsia="de-DE"/>
        </w:rPr>
        <w:t xml:space="preserve"> </w:t>
      </w:r>
      <w:r w:rsidRPr="00355406">
        <w:rPr>
          <w:rFonts w:eastAsia="Times New Roman"/>
          <w:lang w:eastAsia="de-DE"/>
        </w:rPr>
        <w:t xml:space="preserve">ist Qal Imperfekt consecutivum, 1. Person Plural von </w:t>
      </w:r>
      <w:r w:rsidRPr="00355406">
        <w:rPr>
          <w:rFonts w:eastAsia="Times New Roman"/>
          <w:rtl/>
          <w:lang w:eastAsia="de-DE"/>
        </w:rPr>
        <w:t>עבר</w:t>
      </w:r>
      <w:r w:rsidRPr="00355406">
        <w:rPr>
          <w:rFonts w:eastAsia="Times New Roman"/>
          <w:lang w:eastAsia="de-DE"/>
        </w:rPr>
        <w:t xml:space="preserve"> („vorüberziehen, durchziehen") mit Waw. </w:t>
      </w:r>
      <w:r w:rsidRPr="00355406">
        <w:rPr>
          <w:rFonts w:eastAsia="Times New Roman"/>
          <w:b/>
          <w:bCs/>
          <w:rtl/>
          <w:lang w:eastAsia="de-DE"/>
        </w:rPr>
        <w:t>מֵאֵת אַחֵינוּ בְנֵי־עֵשָׂו הַיֹּשְׁבִים בְּשֵׂעִיר</w:t>
      </w:r>
      <w:r w:rsidRPr="00355406">
        <w:rPr>
          <w:rFonts w:eastAsia="Times New Roman"/>
          <w:rtl/>
          <w:lang w:eastAsia="de-DE"/>
        </w:rPr>
        <w:t xml:space="preserve"> </w:t>
      </w:r>
      <w:r w:rsidRPr="00355406">
        <w:rPr>
          <w:rFonts w:eastAsia="Times New Roman"/>
          <w:lang w:eastAsia="de-DE"/>
        </w:rPr>
        <w:t xml:space="preserve">besteht aus </w:t>
      </w:r>
      <w:r w:rsidRPr="00355406">
        <w:rPr>
          <w:rFonts w:eastAsia="Times New Roman"/>
          <w:b/>
          <w:bCs/>
          <w:rtl/>
          <w:lang w:eastAsia="de-DE"/>
        </w:rPr>
        <w:t>מֵאֵת</w:t>
      </w:r>
      <w:r w:rsidRPr="00355406">
        <w:rPr>
          <w:rFonts w:eastAsia="Times New Roman"/>
          <w:rtl/>
          <w:lang w:eastAsia="de-DE"/>
        </w:rPr>
        <w:t xml:space="preserve"> </w:t>
      </w:r>
      <w:r w:rsidRPr="00355406">
        <w:rPr>
          <w:rFonts w:eastAsia="Times New Roman"/>
          <w:lang w:eastAsia="de-DE"/>
        </w:rPr>
        <w:t xml:space="preserve">(„von, bei"), </w:t>
      </w:r>
      <w:r w:rsidRPr="00355406">
        <w:rPr>
          <w:rFonts w:eastAsia="Times New Roman"/>
          <w:b/>
          <w:bCs/>
          <w:rtl/>
          <w:lang w:eastAsia="de-DE"/>
        </w:rPr>
        <w:t>אַחֵינוּ</w:t>
      </w:r>
      <w:r w:rsidRPr="00355406">
        <w:rPr>
          <w:rFonts w:eastAsia="Times New Roman"/>
          <w:rtl/>
          <w:lang w:eastAsia="de-DE"/>
        </w:rPr>
        <w:t xml:space="preserve"> </w:t>
      </w:r>
      <w:r w:rsidRPr="00355406">
        <w:rPr>
          <w:rFonts w:eastAsia="Times New Roman"/>
          <w:lang w:eastAsia="de-DE"/>
        </w:rPr>
        <w:t xml:space="preserve">(Plural von </w:t>
      </w:r>
      <w:r w:rsidRPr="00355406">
        <w:rPr>
          <w:rFonts w:eastAsia="Times New Roman"/>
          <w:b/>
          <w:bCs/>
          <w:rtl/>
          <w:lang w:eastAsia="de-DE"/>
        </w:rPr>
        <w:t>אָח</w:t>
      </w:r>
      <w:r w:rsidRPr="00355406">
        <w:rPr>
          <w:rFonts w:eastAsia="Times New Roman"/>
          <w:rtl/>
          <w:lang w:eastAsia="de-DE"/>
        </w:rPr>
        <w:t xml:space="preserve"> </w:t>
      </w:r>
      <w:r w:rsidRPr="00355406">
        <w:rPr>
          <w:rFonts w:eastAsia="Times New Roman"/>
          <w:lang w:eastAsia="de-DE"/>
        </w:rPr>
        <w:t xml:space="preserve">mit Suffix 1. Person Plural), der Apposition </w:t>
      </w:r>
      <w:r w:rsidRPr="00355406">
        <w:rPr>
          <w:rFonts w:eastAsia="Times New Roman"/>
          <w:b/>
          <w:bCs/>
          <w:rtl/>
          <w:lang w:eastAsia="de-DE"/>
        </w:rPr>
        <w:t>בְנֵי־עֵשָׂו</w:t>
      </w:r>
      <w:r w:rsidRPr="00355406">
        <w:rPr>
          <w:rFonts w:eastAsia="Times New Roman"/>
          <w:lang w:eastAsia="de-DE"/>
        </w:rPr>
        <w:t xml:space="preserve">, und dem attributiven Partizip </w:t>
      </w:r>
      <w:r w:rsidRPr="00355406">
        <w:rPr>
          <w:rFonts w:eastAsia="Times New Roman"/>
          <w:b/>
          <w:bCs/>
          <w:rtl/>
          <w:lang w:eastAsia="de-DE"/>
        </w:rPr>
        <w:t>הַיֹּשְׁבִים בְּשֵׂעִיר</w:t>
      </w:r>
      <w:r w:rsidRPr="00355406">
        <w:rPr>
          <w:rFonts w:eastAsia="Times New Roman"/>
          <w:rtl/>
          <w:lang w:eastAsia="de-DE"/>
        </w:rPr>
        <w:t xml:space="preserve"> </w:t>
      </w:r>
      <w:r w:rsidRPr="00355406">
        <w:rPr>
          <w:rFonts w:eastAsia="Times New Roman"/>
          <w:lang w:eastAsia="de-DE"/>
        </w:rPr>
        <w:t xml:space="preserve">(Qal Partizip Plural von </w:t>
      </w:r>
      <w:r w:rsidRPr="00355406">
        <w:rPr>
          <w:rFonts w:eastAsia="Times New Roman"/>
          <w:rtl/>
          <w:lang w:eastAsia="de-DE"/>
        </w:rPr>
        <w:t>ישׁב</w:t>
      </w:r>
      <w:r w:rsidRPr="00355406">
        <w:rPr>
          <w:rFonts w:eastAsia="Times New Roman"/>
          <w:lang w:eastAsia="de-DE"/>
        </w:rPr>
        <w:t xml:space="preserve"> mit Artikel und Ortsangabe).</w:t>
      </w:r>
    </w:p>
    <w:p w14:paraId="4A3C9E36" w14:textId="4A6C64EA"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b/>
          <w:bCs/>
          <w:rtl/>
          <w:lang w:eastAsia="de-DE"/>
        </w:rPr>
        <w:lastRenderedPageBreak/>
        <w:t>מִדֶּרֶךְ הָעֲרָבָה</w:t>
      </w:r>
      <w:r w:rsidRPr="00355406">
        <w:rPr>
          <w:rFonts w:eastAsia="Times New Roman"/>
          <w:rtl/>
          <w:lang w:eastAsia="de-DE"/>
        </w:rPr>
        <w:t xml:space="preserve"> </w:t>
      </w:r>
      <w:r w:rsidRPr="00355406">
        <w:rPr>
          <w:rFonts w:eastAsia="Times New Roman"/>
          <w:lang w:eastAsia="de-DE"/>
        </w:rPr>
        <w:t xml:space="preserve">ist </w:t>
      </w:r>
      <w:r w:rsidRPr="00355406">
        <w:rPr>
          <w:rFonts w:eastAsia="Times New Roman"/>
          <w:b/>
          <w:bCs/>
          <w:rtl/>
          <w:lang w:eastAsia="de-DE"/>
        </w:rPr>
        <w:t>מִן</w:t>
      </w:r>
      <w:r w:rsidRPr="00355406">
        <w:rPr>
          <w:rFonts w:eastAsia="Times New Roman"/>
          <w:rtl/>
          <w:lang w:eastAsia="de-DE"/>
        </w:rPr>
        <w:t xml:space="preserve"> </w:t>
      </w:r>
      <w:r w:rsidRPr="00355406">
        <w:rPr>
          <w:rFonts w:eastAsia="Times New Roman"/>
          <w:lang w:eastAsia="de-DE"/>
        </w:rPr>
        <w:t xml:space="preserve">(„von, weg von") mit </w:t>
      </w:r>
      <w:r w:rsidRPr="00355406">
        <w:rPr>
          <w:rFonts w:eastAsia="Times New Roman"/>
          <w:b/>
          <w:bCs/>
          <w:rtl/>
          <w:lang w:eastAsia="de-DE"/>
        </w:rPr>
        <w:t>דֶּרֶךְ</w:t>
      </w:r>
      <w:r w:rsidRPr="00355406">
        <w:rPr>
          <w:rFonts w:eastAsia="Times New Roman"/>
          <w:rtl/>
          <w:lang w:eastAsia="de-DE"/>
        </w:rPr>
        <w:t xml:space="preserve"> </w:t>
      </w:r>
      <w:r w:rsidRPr="00355406">
        <w:rPr>
          <w:rFonts w:eastAsia="Times New Roman"/>
          <w:lang w:eastAsia="de-DE"/>
        </w:rPr>
        <w:t xml:space="preserve">(„Weg") im </w:t>
      </w:r>
      <w:r w:rsidR="0032647F">
        <w:rPr>
          <w:rFonts w:eastAsia="Times New Roman"/>
          <w:lang w:eastAsia="de-DE"/>
        </w:rPr>
        <w:t>Construct</w:t>
      </w:r>
      <w:r w:rsidRPr="00355406">
        <w:rPr>
          <w:rFonts w:eastAsia="Times New Roman"/>
          <w:lang w:eastAsia="de-DE"/>
        </w:rPr>
        <w:t xml:space="preserve"> und </w:t>
      </w:r>
      <w:r w:rsidRPr="00355406">
        <w:rPr>
          <w:rFonts w:eastAsia="Times New Roman"/>
          <w:b/>
          <w:bCs/>
          <w:rtl/>
          <w:lang w:eastAsia="de-DE"/>
        </w:rPr>
        <w:t>הָעֲרָבָה</w:t>
      </w:r>
      <w:r w:rsidRPr="00355406">
        <w:rPr>
          <w:rFonts w:eastAsia="Times New Roman"/>
          <w:rtl/>
          <w:lang w:eastAsia="de-DE"/>
        </w:rPr>
        <w:t xml:space="preserve"> </w:t>
      </w:r>
      <w:r w:rsidRPr="00355406">
        <w:rPr>
          <w:rFonts w:eastAsia="Times New Roman"/>
          <w:lang w:eastAsia="de-DE"/>
        </w:rPr>
        <w:t xml:space="preserve">(„die Araba", die Steppenregion südlich des Toten Meeres). </w:t>
      </w:r>
      <w:r w:rsidRPr="00355406">
        <w:rPr>
          <w:rFonts w:eastAsia="Times New Roman"/>
          <w:b/>
          <w:bCs/>
          <w:rtl/>
          <w:lang w:eastAsia="de-DE"/>
        </w:rPr>
        <w:t>מֵאֵילַת וּמֵעֶצְיֹן גָּבֶר</w:t>
      </w:r>
      <w:r w:rsidRPr="00355406">
        <w:rPr>
          <w:rFonts w:eastAsia="Times New Roman"/>
          <w:rtl/>
          <w:lang w:eastAsia="de-DE"/>
        </w:rPr>
        <w:t xml:space="preserve"> </w:t>
      </w:r>
      <w:r w:rsidRPr="00355406">
        <w:rPr>
          <w:rFonts w:eastAsia="Times New Roman"/>
          <w:lang w:eastAsia="de-DE"/>
        </w:rPr>
        <w:t xml:space="preserve">sind zwei Ortsangaben mit </w:t>
      </w:r>
      <w:r w:rsidRPr="00355406">
        <w:rPr>
          <w:rFonts w:eastAsia="Times New Roman"/>
          <w:b/>
          <w:bCs/>
          <w:rtl/>
          <w:lang w:eastAsia="de-DE"/>
        </w:rPr>
        <w:t>מִן</w:t>
      </w:r>
      <w:r w:rsidRPr="00355406">
        <w:rPr>
          <w:rFonts w:eastAsia="Times New Roman"/>
          <w:lang w:eastAsia="de-DE"/>
        </w:rPr>
        <w:t xml:space="preserve">: </w:t>
      </w:r>
      <w:r w:rsidRPr="00355406">
        <w:rPr>
          <w:rFonts w:eastAsia="Times New Roman"/>
          <w:b/>
          <w:bCs/>
          <w:rtl/>
          <w:lang w:eastAsia="de-DE"/>
        </w:rPr>
        <w:t>אֵילַת</w:t>
      </w:r>
      <w:r w:rsidRPr="00355406">
        <w:rPr>
          <w:rFonts w:eastAsia="Times New Roman"/>
          <w:rtl/>
          <w:lang w:eastAsia="de-DE"/>
        </w:rPr>
        <w:t xml:space="preserve"> </w:t>
      </w:r>
      <w:r w:rsidRPr="00355406">
        <w:rPr>
          <w:rFonts w:eastAsia="Times New Roman"/>
          <w:lang w:eastAsia="de-DE"/>
        </w:rPr>
        <w:t xml:space="preserve">(„Elat") und </w:t>
      </w:r>
      <w:r w:rsidRPr="00355406">
        <w:rPr>
          <w:rFonts w:eastAsia="Times New Roman"/>
          <w:b/>
          <w:bCs/>
          <w:rtl/>
          <w:lang w:eastAsia="de-DE"/>
        </w:rPr>
        <w:t>עֶצְיוֹן גָּבֶר</w:t>
      </w:r>
      <w:r w:rsidRPr="00355406">
        <w:rPr>
          <w:rFonts w:eastAsia="Times New Roman"/>
          <w:rtl/>
          <w:lang w:eastAsia="de-DE"/>
        </w:rPr>
        <w:t xml:space="preserve"> </w:t>
      </w:r>
      <w:r w:rsidRPr="00355406">
        <w:rPr>
          <w:rFonts w:eastAsia="Times New Roman"/>
          <w:lang w:eastAsia="de-DE"/>
        </w:rPr>
        <w:t xml:space="preserve">(„Ezjon-Geber"), beides Hafenstädte am nördlichen Ende des Golfs von Akaba. Die wiederholte Präposition </w:t>
      </w:r>
      <w:r w:rsidRPr="00355406">
        <w:rPr>
          <w:rFonts w:eastAsia="Times New Roman"/>
          <w:b/>
          <w:bCs/>
          <w:rtl/>
          <w:lang w:eastAsia="de-DE"/>
        </w:rPr>
        <w:t>מִן</w:t>
      </w:r>
      <w:r w:rsidRPr="00355406">
        <w:rPr>
          <w:rFonts w:eastAsia="Times New Roman"/>
          <w:rtl/>
          <w:lang w:eastAsia="de-DE"/>
        </w:rPr>
        <w:t xml:space="preserve"> </w:t>
      </w:r>
      <w:r w:rsidRPr="00355406">
        <w:rPr>
          <w:rFonts w:eastAsia="Times New Roman"/>
          <w:lang w:eastAsia="de-DE"/>
        </w:rPr>
        <w:t>betont die verschiedenen Ausgangspunkte.</w:t>
      </w:r>
    </w:p>
    <w:p w14:paraId="128E5DFA" w14:textId="2882250B"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b/>
          <w:bCs/>
          <w:rtl/>
          <w:lang w:eastAsia="de-DE"/>
        </w:rPr>
        <w:t>וַנֵּפֶן וַנַּעֲבֹר</w:t>
      </w:r>
      <w:r w:rsidRPr="00355406">
        <w:rPr>
          <w:rFonts w:eastAsia="Times New Roman"/>
          <w:rtl/>
          <w:lang w:eastAsia="de-DE"/>
        </w:rPr>
        <w:t xml:space="preserve"> </w:t>
      </w:r>
      <w:r w:rsidRPr="00355406">
        <w:rPr>
          <w:rFonts w:eastAsia="Times New Roman"/>
          <w:lang w:eastAsia="de-DE"/>
        </w:rPr>
        <w:t xml:space="preserve">sind zwei koordinierte Verben: </w:t>
      </w:r>
      <w:r w:rsidRPr="00355406">
        <w:rPr>
          <w:rFonts w:eastAsia="Times New Roman"/>
          <w:b/>
          <w:bCs/>
          <w:rtl/>
          <w:lang w:eastAsia="de-DE"/>
        </w:rPr>
        <w:t>וַנֵּפֶן</w:t>
      </w:r>
      <w:r w:rsidRPr="00355406">
        <w:rPr>
          <w:rFonts w:eastAsia="Times New Roman"/>
          <w:rtl/>
          <w:lang w:eastAsia="de-DE"/>
        </w:rPr>
        <w:t xml:space="preserve"> </w:t>
      </w:r>
      <w:r w:rsidRPr="00355406">
        <w:rPr>
          <w:rFonts w:eastAsia="Times New Roman"/>
          <w:lang w:eastAsia="de-DE"/>
        </w:rPr>
        <w:t xml:space="preserve">(Qal Imperfect consecutivum, 1. Person Plural von </w:t>
      </w:r>
      <w:r w:rsidRPr="00355406">
        <w:rPr>
          <w:rFonts w:eastAsia="Times New Roman"/>
          <w:rtl/>
          <w:lang w:eastAsia="de-DE"/>
        </w:rPr>
        <w:t>פנה</w:t>
      </w:r>
      <w:r w:rsidRPr="00355406">
        <w:rPr>
          <w:rFonts w:eastAsia="Times New Roman"/>
          <w:lang w:eastAsia="de-DE"/>
        </w:rPr>
        <w:t xml:space="preserve">) und </w:t>
      </w:r>
      <w:r w:rsidRPr="00355406">
        <w:rPr>
          <w:rFonts w:eastAsia="Times New Roman"/>
          <w:b/>
          <w:bCs/>
          <w:rtl/>
          <w:lang w:eastAsia="de-DE"/>
        </w:rPr>
        <w:t>וַנַּעֲבֹר</w:t>
      </w:r>
      <w:r w:rsidRPr="00355406">
        <w:rPr>
          <w:rFonts w:eastAsia="Times New Roman"/>
          <w:rtl/>
          <w:lang w:eastAsia="de-DE"/>
        </w:rPr>
        <w:t xml:space="preserve"> </w:t>
      </w:r>
      <w:r w:rsidRPr="00355406">
        <w:rPr>
          <w:rFonts w:eastAsia="Times New Roman"/>
          <w:lang w:eastAsia="de-DE"/>
        </w:rPr>
        <w:t xml:space="preserve">(Qal Imperfekt consecutivum, 1. Person Plural von </w:t>
      </w:r>
      <w:r w:rsidRPr="00355406">
        <w:rPr>
          <w:rFonts w:eastAsia="Times New Roman"/>
          <w:rtl/>
          <w:lang w:eastAsia="de-DE"/>
        </w:rPr>
        <w:t>עבר</w:t>
      </w:r>
      <w:r w:rsidRPr="00355406">
        <w:rPr>
          <w:rFonts w:eastAsia="Times New Roman"/>
          <w:lang w:eastAsia="de-DE"/>
        </w:rPr>
        <w:t xml:space="preserve">). </w:t>
      </w:r>
      <w:r w:rsidRPr="00355406">
        <w:rPr>
          <w:rFonts w:eastAsia="Times New Roman"/>
          <w:b/>
          <w:bCs/>
          <w:rtl/>
          <w:lang w:eastAsia="de-DE"/>
        </w:rPr>
        <w:t>דֶּרֶךְ מִדְבַּר מוֹאָב</w:t>
      </w:r>
      <w:r w:rsidRPr="00355406">
        <w:rPr>
          <w:rFonts w:eastAsia="Times New Roman"/>
          <w:rtl/>
          <w:lang w:eastAsia="de-DE"/>
        </w:rPr>
        <w:t xml:space="preserve"> </w:t>
      </w:r>
      <w:r w:rsidRPr="00355406">
        <w:rPr>
          <w:rFonts w:eastAsia="Times New Roman"/>
          <w:lang w:eastAsia="de-DE"/>
        </w:rPr>
        <w:t xml:space="preserve">ist eine akkusativische Wegangabe: </w:t>
      </w:r>
      <w:r w:rsidRPr="00355406">
        <w:rPr>
          <w:rFonts w:eastAsia="Times New Roman"/>
          <w:b/>
          <w:bCs/>
          <w:rtl/>
          <w:lang w:eastAsia="de-DE"/>
        </w:rPr>
        <w:t>דֶּרֶךְ</w:t>
      </w:r>
      <w:r w:rsidRPr="00355406">
        <w:rPr>
          <w:rFonts w:eastAsia="Times New Roman"/>
          <w:rtl/>
          <w:lang w:eastAsia="de-DE"/>
        </w:rPr>
        <w:t xml:space="preserve"> </w:t>
      </w:r>
      <w:r w:rsidRPr="00355406">
        <w:rPr>
          <w:rFonts w:eastAsia="Times New Roman"/>
          <w:lang w:eastAsia="de-DE"/>
        </w:rPr>
        <w:t xml:space="preserve">im </w:t>
      </w:r>
      <w:r w:rsidR="0032647F">
        <w:rPr>
          <w:rFonts w:eastAsia="Times New Roman"/>
          <w:lang w:eastAsia="de-DE"/>
        </w:rPr>
        <w:t>Construct</w:t>
      </w:r>
      <w:r w:rsidRPr="00355406">
        <w:rPr>
          <w:rFonts w:eastAsia="Times New Roman"/>
          <w:lang w:eastAsia="de-DE"/>
        </w:rPr>
        <w:t xml:space="preserve"> mit </w:t>
      </w:r>
      <w:r w:rsidRPr="00355406">
        <w:rPr>
          <w:rFonts w:eastAsia="Times New Roman"/>
          <w:b/>
          <w:bCs/>
          <w:rtl/>
          <w:lang w:eastAsia="de-DE"/>
        </w:rPr>
        <w:t>מִדְבַּר מוֹאָב</w:t>
      </w:r>
      <w:r w:rsidRPr="00355406">
        <w:rPr>
          <w:rFonts w:eastAsia="Times New Roman"/>
          <w:rtl/>
          <w:lang w:eastAsia="de-DE"/>
        </w:rPr>
        <w:t xml:space="preserve"> </w:t>
      </w:r>
      <w:r w:rsidRPr="00355406">
        <w:rPr>
          <w:rFonts w:eastAsia="Times New Roman"/>
          <w:lang w:eastAsia="de-DE"/>
        </w:rPr>
        <w:t>(„Wüste Moabs").</w:t>
      </w:r>
    </w:p>
    <w:p w14:paraId="7AB809EC" w14:textId="396A5615"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b/>
          <w:bCs/>
          <w:lang w:eastAsia="de-DE"/>
        </w:rPr>
        <w:t>Die LXX</w:t>
      </w:r>
      <w:r w:rsidRPr="00355406">
        <w:rPr>
          <w:rFonts w:eastAsia="Times New Roman"/>
          <w:lang w:eastAsia="de-DE"/>
        </w:rPr>
        <w:t xml:space="preserve"> </w:t>
      </w:r>
      <w:r w:rsidR="009B686A">
        <w:t>übersetzt „</w:t>
      </w:r>
      <w:r w:rsidR="009B686A">
        <w:rPr>
          <w:rtl/>
        </w:rPr>
        <w:t>עֶצְיֹן גָּבֶר</w:t>
      </w:r>
      <w:r w:rsidR="009B686A">
        <w:t>" (Ezjon-Geber) mit „Γα</w:t>
      </w:r>
      <w:proofErr w:type="spellStart"/>
      <w:r w:rsidR="009B686A">
        <w:t>σιὼν</w:t>
      </w:r>
      <w:proofErr w:type="spellEnd"/>
      <w:r w:rsidR="009B686A">
        <w:t xml:space="preserve"> </w:t>
      </w:r>
      <w:proofErr w:type="spellStart"/>
      <w:r w:rsidR="009B686A">
        <w:t>Γά</w:t>
      </w:r>
      <w:proofErr w:type="spellEnd"/>
      <w:r w:rsidR="009B686A">
        <w:t>βερ" (Gasion Gaber).</w:t>
      </w:r>
    </w:p>
    <w:p w14:paraId="0161953B" w14:textId="77777777"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lang w:eastAsia="de-DE"/>
        </w:rPr>
        <w:t xml:space="preserve">Die Satzstruktur besteht aus drei koordinierten Hauptsätzen: (1) </w:t>
      </w:r>
      <w:r w:rsidRPr="00355406">
        <w:rPr>
          <w:rFonts w:eastAsia="Times New Roman"/>
          <w:b/>
          <w:bCs/>
          <w:rtl/>
          <w:lang w:eastAsia="de-DE"/>
        </w:rPr>
        <w:t>וַנַּעֲבֹר מֵאֵת אַחֵינוּ בְנֵי־עֵשָׂו הַיֹּשְׁבִים בְּשֵׂעִיר מִדֶּרֶךְ הָעֲרָבָה מֵאֵילַת וּמֵעֶצְיֹן גָּבֶר</w:t>
      </w:r>
      <w:r w:rsidRPr="00355406">
        <w:rPr>
          <w:rFonts w:eastAsia="Times New Roman"/>
          <w:lang w:eastAsia="de-DE"/>
        </w:rPr>
        <w:t xml:space="preserve">, (2) </w:t>
      </w:r>
      <w:r w:rsidRPr="00355406">
        <w:rPr>
          <w:rFonts w:eastAsia="Times New Roman"/>
          <w:b/>
          <w:bCs/>
          <w:rtl/>
          <w:lang w:eastAsia="de-DE"/>
        </w:rPr>
        <w:t>וַנֵּפֶן</w:t>
      </w:r>
      <w:r w:rsidRPr="00355406">
        <w:rPr>
          <w:rFonts w:eastAsia="Times New Roman"/>
          <w:lang w:eastAsia="de-DE"/>
        </w:rPr>
        <w:t xml:space="preserve">, (3) </w:t>
      </w:r>
      <w:r w:rsidRPr="00355406">
        <w:rPr>
          <w:rFonts w:eastAsia="Times New Roman"/>
          <w:b/>
          <w:bCs/>
          <w:rtl/>
          <w:lang w:eastAsia="de-DE"/>
        </w:rPr>
        <w:t>וַנַּעֲבֹר דֶּרֶךְ מִדְבַּר מוֹאָב</w:t>
      </w:r>
      <w:r w:rsidRPr="00355406">
        <w:rPr>
          <w:rFonts w:eastAsia="Times New Roman"/>
          <w:lang w:eastAsia="de-DE"/>
        </w:rPr>
        <w:t>. Die ausführlichen geografischen Angaben im ersten Satz lokalisieren die Route präzise.</w:t>
      </w:r>
    </w:p>
    <w:p w14:paraId="17A69A87" w14:textId="77777777"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lang w:eastAsia="de-DE"/>
        </w:rPr>
        <w:t>Der Vers beschreibt die friedliche Passage an Edom vorbei auf dem Weg durch die Araba, vorbei an den südlichen Hafenstädten Elat und Ezjon-Geber, und dann die Wendung nach Norden in Richtung Moab. Die Route zeigt, dass Israel das edomitische Kernland umging und nicht durchquerte.</w:t>
      </w:r>
    </w:p>
    <w:p w14:paraId="6D82F952" w14:textId="77777777" w:rsidR="00355406" w:rsidRPr="00355406" w:rsidRDefault="00355406" w:rsidP="00355406">
      <w:pPr>
        <w:spacing w:before="100" w:beforeAutospacing="1" w:after="100" w:afterAutospacing="1" w:line="240" w:lineRule="auto"/>
        <w:outlineLvl w:val="1"/>
        <w:rPr>
          <w:rFonts w:eastAsia="Times New Roman"/>
          <w:b/>
          <w:bCs/>
          <w:sz w:val="36"/>
          <w:szCs w:val="36"/>
          <w:lang w:eastAsia="de-DE"/>
        </w:rPr>
      </w:pPr>
      <w:r w:rsidRPr="00355406">
        <w:rPr>
          <w:rFonts w:eastAsia="Times New Roman"/>
          <w:b/>
          <w:bCs/>
          <w:sz w:val="36"/>
          <w:szCs w:val="36"/>
          <w:lang w:eastAsia="de-DE"/>
        </w:rPr>
        <w:t>Deuteronomium 2,9</w:t>
      </w:r>
    </w:p>
    <w:p w14:paraId="54A3A0AF" w14:textId="77777777"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b/>
          <w:bCs/>
          <w:lang w:eastAsia="de-DE"/>
        </w:rPr>
        <w:t>Hebräisch:</w:t>
      </w:r>
      <w:r w:rsidRPr="00355406">
        <w:rPr>
          <w:rFonts w:eastAsia="Times New Roman"/>
          <w:lang w:eastAsia="de-DE"/>
        </w:rPr>
        <w:t xml:space="preserve"> </w:t>
      </w:r>
      <w:r w:rsidRPr="00355406">
        <w:rPr>
          <w:rFonts w:eastAsia="Times New Roman"/>
          <w:rtl/>
          <w:lang w:eastAsia="de-DE"/>
        </w:rPr>
        <w:t>וַיֹּ֨אמֶר יְהוָ֜ה אֵלַ֗י אַל־תָּ֙צַר֙ אֶת־מֹואָ֔ב וְאַל־תִּתְגָּ֥ר בָּ֖ם מִלְחָמָ֑ה כִּ֠י לֹֽא־אֶתֵּ֨ן לְךָ֤ מֵֽאַרְצוֹ֙ יְרֻשָּׁ֔ה כִּ֣י לִבְנֵי־לֹ֔וט נָתַ֥תִּי אֶת־עָ֖ר יְרֻשָּׁה׃</w:t>
      </w:r>
    </w:p>
    <w:p w14:paraId="24582C5F" w14:textId="77777777"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b/>
          <w:bCs/>
          <w:lang w:eastAsia="de-DE"/>
        </w:rPr>
        <w:t>Deutsch:</w:t>
      </w:r>
      <w:r w:rsidRPr="00355406">
        <w:rPr>
          <w:rFonts w:eastAsia="Times New Roman"/>
          <w:lang w:eastAsia="de-DE"/>
        </w:rPr>
        <w:t xml:space="preserve"> Und der Ewige sprach zu mir: Bedränge Mo'av nicht und errege nicht Kampf mit ihnen, denn ich werde dir von seinem Land keinen Besitz geben; denn den Söhnen Lot habe ich Ar zum Besitz gegeben.</w:t>
      </w:r>
    </w:p>
    <w:p w14:paraId="65AB0756" w14:textId="77777777" w:rsidR="00355406" w:rsidRPr="00355406" w:rsidRDefault="004F5CEB" w:rsidP="00355406">
      <w:pPr>
        <w:spacing w:after="0" w:line="240" w:lineRule="auto"/>
        <w:rPr>
          <w:rFonts w:eastAsia="Times New Roman"/>
          <w:lang w:eastAsia="de-DE"/>
        </w:rPr>
      </w:pPr>
      <w:r>
        <w:rPr>
          <w:rFonts w:eastAsia="Times New Roman"/>
          <w:noProof/>
          <w:lang w:eastAsia="de-DE"/>
        </w:rPr>
        <w:pict w14:anchorId="1EAFEC10">
          <v:rect id="_x0000_i1079" style="width:0;height:1.5pt" o:hralign="center" o:hrstd="t" o:hr="t" fillcolor="#a0a0a0" stroked="f"/>
        </w:pict>
      </w:r>
    </w:p>
    <w:p w14:paraId="6D454B60" w14:textId="77777777"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b/>
          <w:bCs/>
          <w:lang w:eastAsia="de-DE"/>
        </w:rPr>
        <w:t>Kommentar:</w:t>
      </w:r>
      <w:r w:rsidRPr="00355406">
        <w:rPr>
          <w:rFonts w:eastAsia="Times New Roman"/>
          <w:lang w:eastAsia="de-DE"/>
        </w:rPr>
        <w:t xml:space="preserve"> </w:t>
      </w:r>
      <w:r w:rsidRPr="00355406">
        <w:rPr>
          <w:rFonts w:eastAsia="Times New Roman"/>
          <w:b/>
          <w:bCs/>
          <w:rtl/>
          <w:lang w:eastAsia="de-DE"/>
        </w:rPr>
        <w:t>וַיֹּאמֶר יְהוָה אֵלַי</w:t>
      </w:r>
      <w:r w:rsidRPr="00355406">
        <w:rPr>
          <w:rFonts w:eastAsia="Times New Roman"/>
          <w:rtl/>
          <w:lang w:eastAsia="de-DE"/>
        </w:rPr>
        <w:t xml:space="preserve"> </w:t>
      </w:r>
      <w:r w:rsidRPr="00355406">
        <w:rPr>
          <w:rFonts w:eastAsia="Times New Roman"/>
          <w:lang w:eastAsia="de-DE"/>
        </w:rPr>
        <w:t xml:space="preserve">ist die vertraute Redeeinleitungsformel. </w:t>
      </w:r>
      <w:r w:rsidRPr="00355406">
        <w:rPr>
          <w:rFonts w:eastAsia="Times New Roman"/>
          <w:b/>
          <w:bCs/>
          <w:rtl/>
          <w:lang w:eastAsia="de-DE"/>
        </w:rPr>
        <w:t>אַל־תָּצַר</w:t>
      </w:r>
      <w:r w:rsidRPr="00355406">
        <w:rPr>
          <w:rFonts w:eastAsia="Times New Roman"/>
          <w:rtl/>
          <w:lang w:eastAsia="de-DE"/>
        </w:rPr>
        <w:t xml:space="preserve"> </w:t>
      </w:r>
      <w:r w:rsidRPr="00355406">
        <w:rPr>
          <w:rFonts w:eastAsia="Times New Roman"/>
          <w:lang w:eastAsia="de-DE"/>
        </w:rPr>
        <w:t xml:space="preserve">ist die prohibitive Negation </w:t>
      </w:r>
      <w:r w:rsidRPr="00355406">
        <w:rPr>
          <w:rFonts w:eastAsia="Times New Roman"/>
          <w:b/>
          <w:bCs/>
          <w:rtl/>
          <w:lang w:eastAsia="de-DE"/>
        </w:rPr>
        <w:t>אַל</w:t>
      </w:r>
      <w:r w:rsidRPr="00355406">
        <w:rPr>
          <w:rFonts w:eastAsia="Times New Roman"/>
          <w:rtl/>
          <w:lang w:eastAsia="de-DE"/>
        </w:rPr>
        <w:t xml:space="preserve"> </w:t>
      </w:r>
      <w:r w:rsidRPr="00355406">
        <w:rPr>
          <w:rFonts w:eastAsia="Times New Roman"/>
          <w:lang w:eastAsia="de-DE"/>
        </w:rPr>
        <w:t xml:space="preserve">mit </w:t>
      </w:r>
      <w:r w:rsidRPr="00355406">
        <w:rPr>
          <w:rFonts w:eastAsia="Times New Roman"/>
          <w:b/>
          <w:bCs/>
          <w:rtl/>
          <w:lang w:eastAsia="de-DE"/>
        </w:rPr>
        <w:t>תָּצַר</w:t>
      </w:r>
      <w:r w:rsidRPr="00355406">
        <w:rPr>
          <w:rFonts w:eastAsia="Times New Roman"/>
          <w:rtl/>
          <w:lang w:eastAsia="de-DE"/>
        </w:rPr>
        <w:t xml:space="preserve"> </w:t>
      </w:r>
      <w:r w:rsidRPr="00355406">
        <w:rPr>
          <w:rFonts w:eastAsia="Times New Roman"/>
          <w:lang w:eastAsia="de-DE"/>
        </w:rPr>
        <w:t xml:space="preserve">(Qal Imperfekt/Jussiv, 2. Person maskulin Singular von </w:t>
      </w:r>
      <w:r w:rsidRPr="00355406">
        <w:rPr>
          <w:rFonts w:eastAsia="Times New Roman"/>
          <w:rtl/>
          <w:lang w:eastAsia="de-DE"/>
        </w:rPr>
        <w:t>צור</w:t>
      </w:r>
      <w:r w:rsidRPr="00355406">
        <w:rPr>
          <w:rFonts w:eastAsia="Times New Roman"/>
          <w:lang w:eastAsia="de-DE"/>
        </w:rPr>
        <w:t xml:space="preserve"> II „bedrängen, angreifen"). </w:t>
      </w:r>
      <w:r w:rsidRPr="00355406">
        <w:rPr>
          <w:rFonts w:eastAsia="Times New Roman"/>
          <w:b/>
          <w:bCs/>
          <w:rtl/>
          <w:lang w:eastAsia="de-DE"/>
        </w:rPr>
        <w:t>אֶת־מוֹאָב</w:t>
      </w:r>
      <w:r w:rsidRPr="00355406">
        <w:rPr>
          <w:rFonts w:eastAsia="Times New Roman"/>
          <w:rtl/>
          <w:lang w:eastAsia="de-DE"/>
        </w:rPr>
        <w:t xml:space="preserve"> </w:t>
      </w:r>
      <w:r w:rsidRPr="00355406">
        <w:rPr>
          <w:rFonts w:eastAsia="Times New Roman"/>
          <w:lang w:eastAsia="de-DE"/>
        </w:rPr>
        <w:t xml:space="preserve">ist die Objektpartikel mit dem Völkernamen </w:t>
      </w:r>
      <w:r w:rsidRPr="00355406">
        <w:rPr>
          <w:rFonts w:eastAsia="Times New Roman"/>
          <w:b/>
          <w:bCs/>
          <w:rtl/>
          <w:lang w:eastAsia="de-DE"/>
        </w:rPr>
        <w:t>מוֹאָב</w:t>
      </w:r>
      <w:r w:rsidRPr="00355406">
        <w:rPr>
          <w:rFonts w:eastAsia="Times New Roman"/>
          <w:rtl/>
          <w:lang w:eastAsia="de-DE"/>
        </w:rPr>
        <w:t xml:space="preserve"> </w:t>
      </w:r>
      <w:r w:rsidRPr="00355406">
        <w:rPr>
          <w:rFonts w:eastAsia="Times New Roman"/>
          <w:lang w:eastAsia="de-DE"/>
        </w:rPr>
        <w:t>(„Moab").</w:t>
      </w:r>
    </w:p>
    <w:p w14:paraId="1669999D" w14:textId="77777777"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b/>
          <w:bCs/>
          <w:rtl/>
          <w:lang w:eastAsia="de-DE"/>
        </w:rPr>
        <w:t>וְאַל־תִּתְגָּר בָּם מִלְחָמָה</w:t>
      </w:r>
      <w:r w:rsidRPr="00355406">
        <w:rPr>
          <w:rFonts w:eastAsia="Times New Roman"/>
          <w:rtl/>
          <w:lang w:eastAsia="de-DE"/>
        </w:rPr>
        <w:t xml:space="preserve"> </w:t>
      </w:r>
      <w:r w:rsidRPr="00355406">
        <w:rPr>
          <w:rFonts w:eastAsia="Times New Roman"/>
          <w:lang w:eastAsia="de-DE"/>
        </w:rPr>
        <w:t xml:space="preserve">ist parallel: </w:t>
      </w:r>
      <w:r w:rsidRPr="00355406">
        <w:rPr>
          <w:rFonts w:eastAsia="Times New Roman"/>
          <w:b/>
          <w:bCs/>
          <w:rtl/>
          <w:lang w:eastAsia="de-DE"/>
        </w:rPr>
        <w:t>וְאַל</w:t>
      </w:r>
      <w:r w:rsidRPr="00355406">
        <w:rPr>
          <w:rFonts w:eastAsia="Times New Roman"/>
          <w:rtl/>
          <w:lang w:eastAsia="de-DE"/>
        </w:rPr>
        <w:t xml:space="preserve"> </w:t>
      </w:r>
      <w:r w:rsidRPr="00355406">
        <w:rPr>
          <w:rFonts w:eastAsia="Times New Roman"/>
          <w:lang w:eastAsia="de-DE"/>
        </w:rPr>
        <w:t xml:space="preserve">mit </w:t>
      </w:r>
      <w:r w:rsidRPr="00355406">
        <w:rPr>
          <w:rFonts w:eastAsia="Times New Roman"/>
          <w:b/>
          <w:bCs/>
          <w:rtl/>
          <w:lang w:eastAsia="de-DE"/>
        </w:rPr>
        <w:t>תִּתְגָּר</w:t>
      </w:r>
      <w:r w:rsidRPr="00355406">
        <w:rPr>
          <w:rFonts w:eastAsia="Times New Roman"/>
          <w:rtl/>
          <w:lang w:eastAsia="de-DE"/>
        </w:rPr>
        <w:t xml:space="preserve"> </w:t>
      </w:r>
      <w:r w:rsidRPr="00355406">
        <w:rPr>
          <w:rFonts w:eastAsia="Times New Roman"/>
          <w:lang w:eastAsia="de-DE"/>
        </w:rPr>
        <w:t xml:space="preserve">(Hitpa'el Imperfekt/Jussiv, 2. Person maskulin Singular von </w:t>
      </w:r>
      <w:r w:rsidRPr="00355406">
        <w:rPr>
          <w:rFonts w:eastAsia="Times New Roman"/>
          <w:rtl/>
          <w:lang w:eastAsia="de-DE"/>
        </w:rPr>
        <w:t>גרה</w:t>
      </w:r>
      <w:r w:rsidRPr="00355406">
        <w:rPr>
          <w:rFonts w:eastAsia="Times New Roman"/>
          <w:lang w:eastAsia="de-DE"/>
        </w:rPr>
        <w:t xml:space="preserve">, identisch mit V. 5), </w:t>
      </w:r>
      <w:r w:rsidRPr="00355406">
        <w:rPr>
          <w:rFonts w:eastAsia="Times New Roman"/>
          <w:b/>
          <w:bCs/>
          <w:rtl/>
          <w:lang w:eastAsia="de-DE"/>
        </w:rPr>
        <w:t>בָּם</w:t>
      </w:r>
      <w:r w:rsidRPr="00355406">
        <w:rPr>
          <w:rFonts w:eastAsia="Times New Roman"/>
          <w:rtl/>
          <w:lang w:eastAsia="de-DE"/>
        </w:rPr>
        <w:t xml:space="preserve"> </w:t>
      </w:r>
      <w:r w:rsidRPr="00355406">
        <w:rPr>
          <w:rFonts w:eastAsia="Times New Roman"/>
          <w:lang w:eastAsia="de-DE"/>
        </w:rPr>
        <w:t>(</w:t>
      </w:r>
      <w:r w:rsidRPr="00355406">
        <w:rPr>
          <w:rFonts w:eastAsia="Times New Roman"/>
          <w:b/>
          <w:bCs/>
          <w:rtl/>
          <w:lang w:eastAsia="de-DE"/>
        </w:rPr>
        <w:t>בְּ</w:t>
      </w:r>
      <w:r w:rsidRPr="00355406">
        <w:rPr>
          <w:rFonts w:eastAsia="Times New Roman"/>
          <w:rtl/>
          <w:lang w:eastAsia="de-DE"/>
        </w:rPr>
        <w:t xml:space="preserve"> </w:t>
      </w:r>
      <w:r w:rsidRPr="00355406">
        <w:rPr>
          <w:rFonts w:eastAsia="Times New Roman"/>
          <w:lang w:eastAsia="de-DE"/>
        </w:rPr>
        <w:t xml:space="preserve">mit Suffix 3. Person maskulin Plural), </w:t>
      </w:r>
      <w:r w:rsidRPr="00355406">
        <w:rPr>
          <w:rFonts w:eastAsia="Times New Roman"/>
          <w:b/>
          <w:bCs/>
          <w:rtl/>
          <w:lang w:eastAsia="de-DE"/>
        </w:rPr>
        <w:t>מִלְחָמָה</w:t>
      </w:r>
      <w:r w:rsidRPr="00355406">
        <w:rPr>
          <w:rFonts w:eastAsia="Times New Roman"/>
          <w:rtl/>
          <w:lang w:eastAsia="de-DE"/>
        </w:rPr>
        <w:t xml:space="preserve"> </w:t>
      </w:r>
      <w:r w:rsidRPr="00355406">
        <w:rPr>
          <w:rFonts w:eastAsia="Times New Roman"/>
          <w:lang w:eastAsia="de-DE"/>
        </w:rPr>
        <w:t>(„Krieg, Kampf") als Akkusativobjekt oder nähere Bestimmung.</w:t>
      </w:r>
    </w:p>
    <w:p w14:paraId="6C36D9B3" w14:textId="0F7E5076"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b/>
          <w:bCs/>
          <w:rtl/>
          <w:lang w:eastAsia="de-DE"/>
        </w:rPr>
        <w:t>כִּי לֹא־אֶתֵּן לְךָ מֵאַרְצוֹ יְרֻשָּׁה</w:t>
      </w:r>
      <w:r w:rsidRPr="00355406">
        <w:rPr>
          <w:rFonts w:eastAsia="Times New Roman"/>
          <w:rtl/>
          <w:lang w:eastAsia="de-DE"/>
        </w:rPr>
        <w:t xml:space="preserve"> </w:t>
      </w:r>
      <w:r w:rsidRPr="00355406">
        <w:rPr>
          <w:rFonts w:eastAsia="Times New Roman"/>
          <w:lang w:eastAsia="de-DE"/>
        </w:rPr>
        <w:t xml:space="preserve">ist eine kausale Begründung: </w:t>
      </w:r>
      <w:r w:rsidRPr="00355406">
        <w:rPr>
          <w:rFonts w:eastAsia="Times New Roman"/>
          <w:b/>
          <w:bCs/>
          <w:rtl/>
          <w:lang w:eastAsia="de-DE"/>
        </w:rPr>
        <w:t>כִּי</w:t>
      </w:r>
      <w:r w:rsidRPr="00355406">
        <w:rPr>
          <w:rFonts w:eastAsia="Times New Roman"/>
          <w:lang w:eastAsia="de-DE"/>
        </w:rPr>
        <w:t xml:space="preserve">, </w:t>
      </w:r>
      <w:r w:rsidRPr="00355406">
        <w:rPr>
          <w:rFonts w:eastAsia="Times New Roman"/>
          <w:b/>
          <w:bCs/>
          <w:rtl/>
          <w:lang w:eastAsia="de-DE"/>
        </w:rPr>
        <w:t>לֹא</w:t>
      </w:r>
      <w:r w:rsidRPr="00355406">
        <w:rPr>
          <w:rFonts w:eastAsia="Times New Roman"/>
          <w:lang w:eastAsia="de-DE"/>
        </w:rPr>
        <w:t xml:space="preserve">, </w:t>
      </w:r>
      <w:r w:rsidRPr="00355406">
        <w:rPr>
          <w:rFonts w:eastAsia="Times New Roman"/>
          <w:b/>
          <w:bCs/>
          <w:rtl/>
          <w:lang w:eastAsia="de-DE"/>
        </w:rPr>
        <w:t>אֶתֵּן</w:t>
      </w:r>
      <w:r w:rsidRPr="00355406">
        <w:rPr>
          <w:rFonts w:eastAsia="Times New Roman"/>
          <w:rtl/>
          <w:lang w:eastAsia="de-DE"/>
        </w:rPr>
        <w:t xml:space="preserve"> </w:t>
      </w:r>
      <w:r w:rsidRPr="00355406">
        <w:rPr>
          <w:rFonts w:eastAsia="Times New Roman"/>
          <w:lang w:eastAsia="de-DE"/>
        </w:rPr>
        <w:t xml:space="preserve">(Qal Imperfekt, 1. Person Singular von </w:t>
      </w:r>
      <w:r w:rsidRPr="00355406">
        <w:rPr>
          <w:rFonts w:eastAsia="Times New Roman"/>
          <w:rtl/>
          <w:lang w:eastAsia="de-DE"/>
        </w:rPr>
        <w:t>נתן</w:t>
      </w:r>
      <w:r w:rsidRPr="00355406">
        <w:rPr>
          <w:rFonts w:eastAsia="Times New Roman"/>
          <w:lang w:eastAsia="de-DE"/>
        </w:rPr>
        <w:t xml:space="preserve">), </w:t>
      </w:r>
      <w:r w:rsidRPr="00355406">
        <w:rPr>
          <w:rFonts w:eastAsia="Times New Roman"/>
          <w:b/>
          <w:bCs/>
          <w:rtl/>
          <w:lang w:eastAsia="de-DE"/>
        </w:rPr>
        <w:t>לְךָ</w:t>
      </w:r>
      <w:r w:rsidRPr="00355406">
        <w:rPr>
          <w:rFonts w:eastAsia="Times New Roman"/>
          <w:rtl/>
          <w:lang w:eastAsia="de-DE"/>
        </w:rPr>
        <w:t xml:space="preserve"> </w:t>
      </w:r>
      <w:r w:rsidRPr="00355406">
        <w:rPr>
          <w:rFonts w:eastAsia="Times New Roman"/>
          <w:lang w:eastAsia="de-DE"/>
        </w:rPr>
        <w:t xml:space="preserve">als Dativ, </w:t>
      </w:r>
      <w:r w:rsidRPr="00355406">
        <w:rPr>
          <w:rFonts w:eastAsia="Times New Roman"/>
          <w:b/>
          <w:bCs/>
          <w:rtl/>
          <w:lang w:eastAsia="de-DE"/>
        </w:rPr>
        <w:t>מֵאַרְצוֹ</w:t>
      </w:r>
      <w:r w:rsidRPr="00355406">
        <w:rPr>
          <w:rFonts w:eastAsia="Times New Roman"/>
          <w:rtl/>
          <w:lang w:eastAsia="de-DE"/>
        </w:rPr>
        <w:t xml:space="preserve"> </w:t>
      </w:r>
      <w:r w:rsidRPr="00355406">
        <w:rPr>
          <w:rFonts w:eastAsia="Times New Roman"/>
          <w:lang w:eastAsia="de-DE"/>
        </w:rPr>
        <w:t>(</w:t>
      </w:r>
      <w:r w:rsidRPr="00355406">
        <w:rPr>
          <w:rFonts w:eastAsia="Times New Roman"/>
          <w:b/>
          <w:bCs/>
          <w:rtl/>
          <w:lang w:eastAsia="de-DE"/>
        </w:rPr>
        <w:t>מִן</w:t>
      </w:r>
      <w:r w:rsidRPr="00355406">
        <w:rPr>
          <w:rFonts w:eastAsia="Times New Roman"/>
          <w:rtl/>
          <w:lang w:eastAsia="de-DE"/>
        </w:rPr>
        <w:t xml:space="preserve"> </w:t>
      </w:r>
      <w:r w:rsidRPr="00355406">
        <w:rPr>
          <w:rFonts w:eastAsia="Times New Roman"/>
          <w:lang w:eastAsia="de-DE"/>
        </w:rPr>
        <w:t xml:space="preserve">mit </w:t>
      </w:r>
      <w:r w:rsidRPr="00355406">
        <w:rPr>
          <w:rFonts w:eastAsia="Times New Roman"/>
          <w:b/>
          <w:bCs/>
          <w:rtl/>
          <w:lang w:eastAsia="de-DE"/>
        </w:rPr>
        <w:t>אֶרֶץ</w:t>
      </w:r>
      <w:r w:rsidRPr="00355406">
        <w:rPr>
          <w:rFonts w:eastAsia="Times New Roman"/>
          <w:rtl/>
          <w:lang w:eastAsia="de-DE"/>
        </w:rPr>
        <w:t xml:space="preserve"> </w:t>
      </w:r>
      <w:r w:rsidRPr="00355406">
        <w:rPr>
          <w:rFonts w:eastAsia="Times New Roman"/>
          <w:lang w:eastAsia="de-DE"/>
        </w:rPr>
        <w:t xml:space="preserve">im </w:t>
      </w:r>
      <w:r w:rsidR="0032647F">
        <w:rPr>
          <w:rFonts w:eastAsia="Times New Roman"/>
          <w:lang w:eastAsia="de-DE"/>
        </w:rPr>
        <w:t>Construct</w:t>
      </w:r>
      <w:r w:rsidRPr="00355406">
        <w:rPr>
          <w:rFonts w:eastAsia="Times New Roman"/>
          <w:lang w:eastAsia="de-DE"/>
        </w:rPr>
        <w:t xml:space="preserve"> und Suffix 3. Person maskulin Singular „von seinem Land"), </w:t>
      </w:r>
      <w:r w:rsidRPr="00355406">
        <w:rPr>
          <w:rFonts w:eastAsia="Times New Roman"/>
          <w:b/>
          <w:bCs/>
          <w:rtl/>
          <w:lang w:eastAsia="de-DE"/>
        </w:rPr>
        <w:t>יְרֻשָּׁה</w:t>
      </w:r>
      <w:r w:rsidRPr="00355406">
        <w:rPr>
          <w:rFonts w:eastAsia="Times New Roman"/>
          <w:rtl/>
          <w:lang w:eastAsia="de-DE"/>
        </w:rPr>
        <w:t xml:space="preserve"> </w:t>
      </w:r>
      <w:r w:rsidRPr="00355406">
        <w:rPr>
          <w:rFonts w:eastAsia="Times New Roman"/>
          <w:lang w:eastAsia="de-DE"/>
        </w:rPr>
        <w:t>(„Besitz, Erbe") als Akkusativobjekt.</w:t>
      </w:r>
    </w:p>
    <w:p w14:paraId="0F4A94AD" w14:textId="11264014"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b/>
          <w:bCs/>
          <w:rtl/>
          <w:lang w:eastAsia="de-DE"/>
        </w:rPr>
        <w:t>כִּי לִבְנֵי־לוֹט נָתַתִּי אֶת־עָר יְרֻשָּׁה</w:t>
      </w:r>
      <w:r w:rsidRPr="00355406">
        <w:rPr>
          <w:rFonts w:eastAsia="Times New Roman"/>
          <w:rtl/>
          <w:lang w:eastAsia="de-DE"/>
        </w:rPr>
        <w:t xml:space="preserve"> </w:t>
      </w:r>
      <w:r w:rsidRPr="00355406">
        <w:rPr>
          <w:rFonts w:eastAsia="Times New Roman"/>
          <w:lang w:eastAsia="de-DE"/>
        </w:rPr>
        <w:t xml:space="preserve">ist eine weitere kausale Begründung: </w:t>
      </w:r>
      <w:r w:rsidRPr="00355406">
        <w:rPr>
          <w:rFonts w:eastAsia="Times New Roman"/>
          <w:b/>
          <w:bCs/>
          <w:rtl/>
          <w:lang w:eastAsia="de-DE"/>
        </w:rPr>
        <w:t>כִּי</w:t>
      </w:r>
      <w:r w:rsidRPr="00355406">
        <w:rPr>
          <w:rFonts w:eastAsia="Times New Roman"/>
          <w:lang w:eastAsia="de-DE"/>
        </w:rPr>
        <w:t xml:space="preserve">, </w:t>
      </w:r>
      <w:r w:rsidRPr="00355406">
        <w:rPr>
          <w:rFonts w:eastAsia="Times New Roman"/>
          <w:b/>
          <w:bCs/>
          <w:rtl/>
          <w:lang w:eastAsia="de-DE"/>
        </w:rPr>
        <w:t>לִבְנֵי־לוֹט</w:t>
      </w:r>
      <w:r w:rsidRPr="00355406">
        <w:rPr>
          <w:rFonts w:eastAsia="Times New Roman"/>
          <w:rtl/>
          <w:lang w:eastAsia="de-DE"/>
        </w:rPr>
        <w:t xml:space="preserve"> </w:t>
      </w:r>
      <w:r w:rsidRPr="00355406">
        <w:rPr>
          <w:rFonts w:eastAsia="Times New Roman"/>
          <w:lang w:eastAsia="de-DE"/>
        </w:rPr>
        <w:t>(</w:t>
      </w:r>
      <w:r w:rsidRPr="00355406">
        <w:rPr>
          <w:rFonts w:eastAsia="Times New Roman"/>
          <w:b/>
          <w:bCs/>
          <w:rtl/>
          <w:lang w:eastAsia="de-DE"/>
        </w:rPr>
        <w:t>לְ</w:t>
      </w:r>
      <w:r w:rsidRPr="00355406">
        <w:rPr>
          <w:rFonts w:eastAsia="Times New Roman"/>
          <w:rtl/>
          <w:lang w:eastAsia="de-DE"/>
        </w:rPr>
        <w:t xml:space="preserve"> </w:t>
      </w:r>
      <w:r w:rsidRPr="00355406">
        <w:rPr>
          <w:rFonts w:eastAsia="Times New Roman"/>
          <w:lang w:eastAsia="de-DE"/>
        </w:rPr>
        <w:t xml:space="preserve">mit </w:t>
      </w:r>
      <w:r w:rsidRPr="00355406">
        <w:rPr>
          <w:rFonts w:eastAsia="Times New Roman"/>
          <w:b/>
          <w:bCs/>
          <w:rtl/>
          <w:lang w:eastAsia="de-DE"/>
        </w:rPr>
        <w:t>בְּנֵי־לוֹט</w:t>
      </w:r>
      <w:r w:rsidRPr="00355406">
        <w:rPr>
          <w:rFonts w:eastAsia="Times New Roman"/>
          <w:rtl/>
          <w:lang w:eastAsia="de-DE"/>
        </w:rPr>
        <w:t xml:space="preserve"> </w:t>
      </w:r>
      <w:r w:rsidRPr="00355406">
        <w:rPr>
          <w:rFonts w:eastAsia="Times New Roman"/>
          <w:lang w:eastAsia="de-DE"/>
        </w:rPr>
        <w:t xml:space="preserve">„Söhne Lots", </w:t>
      </w:r>
      <w:r w:rsidR="0032647F">
        <w:rPr>
          <w:rFonts w:eastAsia="Times New Roman"/>
          <w:lang w:eastAsia="de-DE"/>
        </w:rPr>
        <w:t>Construct</w:t>
      </w:r>
      <w:r w:rsidRPr="00355406">
        <w:rPr>
          <w:rFonts w:eastAsia="Times New Roman"/>
          <w:lang w:eastAsia="de-DE"/>
        </w:rPr>
        <w:t xml:space="preserve">usverbindung mit dem Eigennamen </w:t>
      </w:r>
      <w:r w:rsidRPr="00355406">
        <w:rPr>
          <w:rFonts w:eastAsia="Times New Roman"/>
          <w:b/>
          <w:bCs/>
          <w:rtl/>
          <w:lang w:eastAsia="de-DE"/>
        </w:rPr>
        <w:t>לוֹט</w:t>
      </w:r>
      <w:r w:rsidRPr="00355406">
        <w:rPr>
          <w:rFonts w:eastAsia="Times New Roman"/>
          <w:lang w:eastAsia="de-DE"/>
        </w:rPr>
        <w:t xml:space="preserve">), </w:t>
      </w:r>
      <w:r w:rsidRPr="00355406">
        <w:rPr>
          <w:rFonts w:eastAsia="Times New Roman"/>
          <w:b/>
          <w:bCs/>
          <w:rtl/>
          <w:lang w:eastAsia="de-DE"/>
        </w:rPr>
        <w:t>נָתַתִּי</w:t>
      </w:r>
      <w:r w:rsidRPr="00355406">
        <w:rPr>
          <w:rFonts w:eastAsia="Times New Roman"/>
          <w:rtl/>
          <w:lang w:eastAsia="de-DE"/>
        </w:rPr>
        <w:t xml:space="preserve"> </w:t>
      </w:r>
      <w:r w:rsidRPr="00355406">
        <w:rPr>
          <w:rFonts w:eastAsia="Times New Roman"/>
          <w:lang w:eastAsia="de-DE"/>
        </w:rPr>
        <w:t xml:space="preserve">(Qal Perfekt, 1. Person Singular von </w:t>
      </w:r>
      <w:r w:rsidRPr="00355406">
        <w:rPr>
          <w:rFonts w:eastAsia="Times New Roman"/>
          <w:rtl/>
          <w:lang w:eastAsia="de-DE"/>
        </w:rPr>
        <w:t>נתן</w:t>
      </w:r>
      <w:r w:rsidRPr="00355406">
        <w:rPr>
          <w:rFonts w:eastAsia="Times New Roman"/>
          <w:lang w:eastAsia="de-DE"/>
        </w:rPr>
        <w:t xml:space="preserve">), </w:t>
      </w:r>
      <w:r w:rsidRPr="00355406">
        <w:rPr>
          <w:rFonts w:eastAsia="Times New Roman"/>
          <w:b/>
          <w:bCs/>
          <w:rtl/>
          <w:lang w:eastAsia="de-DE"/>
        </w:rPr>
        <w:t>אֶת־עָר</w:t>
      </w:r>
      <w:r w:rsidRPr="00355406">
        <w:rPr>
          <w:rFonts w:eastAsia="Times New Roman"/>
          <w:rtl/>
          <w:lang w:eastAsia="de-DE"/>
        </w:rPr>
        <w:t xml:space="preserve"> </w:t>
      </w:r>
      <w:r w:rsidRPr="00355406">
        <w:rPr>
          <w:rFonts w:eastAsia="Times New Roman"/>
          <w:lang w:eastAsia="de-DE"/>
        </w:rPr>
        <w:t xml:space="preserve">(Objektpartikel mit </w:t>
      </w:r>
      <w:r w:rsidRPr="00355406">
        <w:rPr>
          <w:rFonts w:eastAsia="Times New Roman"/>
          <w:b/>
          <w:bCs/>
          <w:rtl/>
          <w:lang w:eastAsia="de-DE"/>
        </w:rPr>
        <w:t>עָר</w:t>
      </w:r>
      <w:r w:rsidRPr="00355406">
        <w:rPr>
          <w:rFonts w:eastAsia="Times New Roman"/>
          <w:rtl/>
          <w:lang w:eastAsia="de-DE"/>
        </w:rPr>
        <w:t xml:space="preserve"> </w:t>
      </w:r>
      <w:r w:rsidRPr="00355406">
        <w:rPr>
          <w:rFonts w:eastAsia="Times New Roman"/>
          <w:lang w:eastAsia="de-DE"/>
        </w:rPr>
        <w:t xml:space="preserve">„Ar", einem moabitischen Ort oder Gebiet), </w:t>
      </w:r>
      <w:r w:rsidRPr="00355406">
        <w:rPr>
          <w:rFonts w:eastAsia="Times New Roman"/>
          <w:b/>
          <w:bCs/>
          <w:rtl/>
          <w:lang w:eastAsia="de-DE"/>
        </w:rPr>
        <w:t>יְרֻשָּׁה</w:t>
      </w:r>
      <w:r w:rsidRPr="00355406">
        <w:rPr>
          <w:rFonts w:eastAsia="Times New Roman"/>
          <w:rtl/>
          <w:lang w:eastAsia="de-DE"/>
        </w:rPr>
        <w:t xml:space="preserve"> </w:t>
      </w:r>
      <w:r w:rsidRPr="00355406">
        <w:rPr>
          <w:rFonts w:eastAsia="Times New Roman"/>
          <w:lang w:eastAsia="de-DE"/>
        </w:rPr>
        <w:t>wiederum als nähere Bestimmung.</w:t>
      </w:r>
    </w:p>
    <w:p w14:paraId="3B367303" w14:textId="3961048D"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b/>
          <w:bCs/>
          <w:lang w:eastAsia="de-DE"/>
        </w:rPr>
        <w:lastRenderedPageBreak/>
        <w:t>Die LXX</w:t>
      </w:r>
      <w:r w:rsidRPr="00355406">
        <w:rPr>
          <w:rFonts w:eastAsia="Times New Roman"/>
          <w:lang w:eastAsia="de-DE"/>
        </w:rPr>
        <w:t xml:space="preserve"> </w:t>
      </w:r>
      <w:r w:rsidR="009B686A">
        <w:t>übersetzt „</w:t>
      </w:r>
      <w:r w:rsidR="009B686A">
        <w:rPr>
          <w:rtl/>
        </w:rPr>
        <w:t>עָר</w:t>
      </w:r>
      <w:r w:rsidR="009B686A">
        <w:t>" (Ar) mit „</w:t>
      </w:r>
      <w:proofErr w:type="spellStart"/>
      <w:r w:rsidR="009B686A">
        <w:t>Ἀροήρ</w:t>
      </w:r>
      <w:proofErr w:type="spellEnd"/>
      <w:r w:rsidR="009B686A">
        <w:t>" (Aroer), was eine andere Stadt ist (Aroer liegt am Arnon, während Ar eine moabitische Stadt ist).</w:t>
      </w:r>
    </w:p>
    <w:p w14:paraId="32E6FC7A" w14:textId="77777777"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lang w:eastAsia="de-DE"/>
        </w:rPr>
        <w:t>Die Satzstruktur besteht aus einer Redeeinleitung (</w:t>
      </w:r>
      <w:r w:rsidRPr="00355406">
        <w:rPr>
          <w:rFonts w:eastAsia="Times New Roman"/>
          <w:b/>
          <w:bCs/>
          <w:rtl/>
          <w:lang w:eastAsia="de-DE"/>
        </w:rPr>
        <w:t>וַיֹּאמֶר יְהוָה אֵלַי</w:t>
      </w:r>
      <w:r w:rsidRPr="00355406">
        <w:rPr>
          <w:rFonts w:eastAsia="Times New Roman"/>
          <w:lang w:eastAsia="de-DE"/>
        </w:rPr>
        <w:t>) mit direkter Rede, die zwei Prohibitive (</w:t>
      </w:r>
      <w:r w:rsidRPr="00355406">
        <w:rPr>
          <w:rFonts w:eastAsia="Times New Roman"/>
          <w:b/>
          <w:bCs/>
          <w:rtl/>
          <w:lang w:eastAsia="de-DE"/>
        </w:rPr>
        <w:t>אַל־תָּצַר אֶת־מוֹאָב</w:t>
      </w:r>
      <w:r w:rsidRPr="00355406">
        <w:rPr>
          <w:rFonts w:eastAsia="Times New Roman"/>
          <w:rtl/>
          <w:lang w:eastAsia="de-DE"/>
        </w:rPr>
        <w:t xml:space="preserve"> </w:t>
      </w:r>
      <w:r w:rsidRPr="00355406">
        <w:rPr>
          <w:rFonts w:eastAsia="Times New Roman"/>
          <w:lang w:eastAsia="de-DE"/>
        </w:rPr>
        <w:t xml:space="preserve">und </w:t>
      </w:r>
      <w:r w:rsidRPr="00355406">
        <w:rPr>
          <w:rFonts w:eastAsia="Times New Roman"/>
          <w:b/>
          <w:bCs/>
          <w:rtl/>
          <w:lang w:eastAsia="de-DE"/>
        </w:rPr>
        <w:t>וְאַל־תִּתְגָּר בָּם מִלְחָמָה</w:t>
      </w:r>
      <w:r w:rsidRPr="00355406">
        <w:rPr>
          <w:rFonts w:eastAsia="Times New Roman"/>
          <w:lang w:eastAsia="de-DE"/>
        </w:rPr>
        <w:t>) und zwei kausale Begründungen enthält (</w:t>
      </w:r>
      <w:r w:rsidRPr="00355406">
        <w:rPr>
          <w:rFonts w:eastAsia="Times New Roman"/>
          <w:b/>
          <w:bCs/>
          <w:rtl/>
          <w:lang w:eastAsia="de-DE"/>
        </w:rPr>
        <w:t>כִּי לֹא־אֶתֵּן לְךָ מֵאַרְצוֹ יְרֻשָּׁה</w:t>
      </w:r>
      <w:r w:rsidRPr="00355406">
        <w:rPr>
          <w:rFonts w:eastAsia="Times New Roman"/>
          <w:rtl/>
          <w:lang w:eastAsia="de-DE"/>
        </w:rPr>
        <w:t xml:space="preserve"> </w:t>
      </w:r>
      <w:r w:rsidRPr="00355406">
        <w:rPr>
          <w:rFonts w:eastAsia="Times New Roman"/>
          <w:lang w:eastAsia="de-DE"/>
        </w:rPr>
        <w:t xml:space="preserve">und </w:t>
      </w:r>
      <w:r w:rsidRPr="00355406">
        <w:rPr>
          <w:rFonts w:eastAsia="Times New Roman"/>
          <w:b/>
          <w:bCs/>
          <w:rtl/>
          <w:lang w:eastAsia="de-DE"/>
        </w:rPr>
        <w:t>כִּי לִבְנֵי־לוֹט נָתַתִּי אֶת־עָר יְרֻשָּׁה</w:t>
      </w:r>
      <w:r w:rsidRPr="00355406">
        <w:rPr>
          <w:rFonts w:eastAsia="Times New Roman"/>
          <w:lang w:eastAsia="de-DE"/>
        </w:rPr>
        <w:t>).</w:t>
      </w:r>
    </w:p>
    <w:p w14:paraId="6270AB9C" w14:textId="77777777"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lang w:eastAsia="de-DE"/>
        </w:rPr>
        <w:t>Der Vers gibt eine ähnliche Anweisung wie für Edom (V. 4-5), nun aber für Moab: Kein Angriff, keine Landnahme, weil JHWH Moab den Nachkommen Lots (vgl. Gen 19,37) als Erbe gegeben hat. Dies zeigt JHWHs souveräne Landverteilung auch an nicht-israelitische Völker und die verwandtschaftliche Beziehung zwischen Israel und Moab über Abraham/Lot.</w:t>
      </w:r>
    </w:p>
    <w:p w14:paraId="177470F7" w14:textId="77777777" w:rsidR="00355406" w:rsidRPr="00355406" w:rsidRDefault="00355406" w:rsidP="00355406">
      <w:pPr>
        <w:spacing w:before="100" w:beforeAutospacing="1" w:after="100" w:afterAutospacing="1" w:line="240" w:lineRule="auto"/>
        <w:outlineLvl w:val="1"/>
        <w:rPr>
          <w:rFonts w:eastAsia="Times New Roman"/>
          <w:b/>
          <w:bCs/>
          <w:sz w:val="36"/>
          <w:szCs w:val="36"/>
          <w:lang w:eastAsia="de-DE"/>
        </w:rPr>
      </w:pPr>
      <w:r w:rsidRPr="00355406">
        <w:rPr>
          <w:rFonts w:eastAsia="Times New Roman"/>
          <w:b/>
          <w:bCs/>
          <w:sz w:val="36"/>
          <w:szCs w:val="36"/>
          <w:lang w:eastAsia="de-DE"/>
        </w:rPr>
        <w:t>Deuteronomium 2,10</w:t>
      </w:r>
    </w:p>
    <w:p w14:paraId="691E7FC8" w14:textId="77777777"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b/>
          <w:bCs/>
          <w:lang w:eastAsia="de-DE"/>
        </w:rPr>
        <w:t>Hebräisch:</w:t>
      </w:r>
      <w:r w:rsidRPr="00355406">
        <w:rPr>
          <w:rFonts w:eastAsia="Times New Roman"/>
          <w:lang w:eastAsia="de-DE"/>
        </w:rPr>
        <w:t xml:space="preserve"> </w:t>
      </w:r>
      <w:r w:rsidRPr="00355406">
        <w:rPr>
          <w:rFonts w:eastAsia="Times New Roman"/>
          <w:rtl/>
          <w:lang w:eastAsia="de-DE"/>
        </w:rPr>
        <w:t>הָאֵמִ֥ים לְפָנִ֖ים יָ֣שְׁבוּ בָ֑הּ עַ֣ם גָּדֹ֥ול וְרַ֛ב וָרָ֖ם כָּעֲנָקִֽים׃</w:t>
      </w:r>
    </w:p>
    <w:p w14:paraId="52190382" w14:textId="77777777"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b/>
          <w:bCs/>
          <w:lang w:eastAsia="de-DE"/>
        </w:rPr>
        <w:t>Deutsch:</w:t>
      </w:r>
      <w:r w:rsidRPr="00355406">
        <w:rPr>
          <w:rFonts w:eastAsia="Times New Roman"/>
          <w:lang w:eastAsia="de-DE"/>
        </w:rPr>
        <w:t xml:space="preserve"> Die Emim wohnten vorher darin, ein großes und zahlreiches und hohes Volk, wie die Anakim.</w:t>
      </w:r>
    </w:p>
    <w:p w14:paraId="24A862A0" w14:textId="77777777" w:rsidR="00355406" w:rsidRPr="00355406" w:rsidRDefault="004F5CEB" w:rsidP="00355406">
      <w:pPr>
        <w:spacing w:after="0" w:line="240" w:lineRule="auto"/>
        <w:rPr>
          <w:rFonts w:eastAsia="Times New Roman"/>
          <w:lang w:eastAsia="de-DE"/>
        </w:rPr>
      </w:pPr>
      <w:r>
        <w:rPr>
          <w:rFonts w:eastAsia="Times New Roman"/>
          <w:noProof/>
          <w:lang w:eastAsia="de-DE"/>
        </w:rPr>
        <w:pict w14:anchorId="5DFFECAA">
          <v:rect id="_x0000_i1080" style="width:0;height:1.5pt" o:hralign="center" o:hrstd="t" o:hr="t" fillcolor="#a0a0a0" stroked="f"/>
        </w:pict>
      </w:r>
    </w:p>
    <w:p w14:paraId="6ADC6A24" w14:textId="77777777"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b/>
          <w:bCs/>
          <w:lang w:eastAsia="de-DE"/>
        </w:rPr>
        <w:t>Kommentar:</w:t>
      </w:r>
      <w:r w:rsidRPr="00355406">
        <w:rPr>
          <w:rFonts w:eastAsia="Times New Roman"/>
          <w:lang w:eastAsia="de-DE"/>
        </w:rPr>
        <w:t xml:space="preserve"> </w:t>
      </w:r>
      <w:r w:rsidRPr="00355406">
        <w:rPr>
          <w:rFonts w:eastAsia="Times New Roman"/>
          <w:b/>
          <w:bCs/>
          <w:rtl/>
          <w:lang w:eastAsia="de-DE"/>
        </w:rPr>
        <w:t>הָאֵמִים</w:t>
      </w:r>
      <w:r w:rsidRPr="00355406">
        <w:rPr>
          <w:rFonts w:eastAsia="Times New Roman"/>
          <w:rtl/>
          <w:lang w:eastAsia="de-DE"/>
        </w:rPr>
        <w:t xml:space="preserve"> </w:t>
      </w:r>
      <w:r w:rsidRPr="00355406">
        <w:rPr>
          <w:rFonts w:eastAsia="Times New Roman"/>
          <w:lang w:eastAsia="de-DE"/>
        </w:rPr>
        <w:t xml:space="preserve">ist der Plural von </w:t>
      </w:r>
      <w:r w:rsidRPr="00355406">
        <w:rPr>
          <w:rFonts w:eastAsia="Times New Roman"/>
          <w:b/>
          <w:bCs/>
          <w:rtl/>
          <w:lang w:eastAsia="de-DE"/>
        </w:rPr>
        <w:t>אֵימִים</w:t>
      </w:r>
      <w:r w:rsidRPr="00355406">
        <w:rPr>
          <w:rFonts w:eastAsia="Times New Roman"/>
          <w:rtl/>
          <w:lang w:eastAsia="de-DE"/>
        </w:rPr>
        <w:t xml:space="preserve"> </w:t>
      </w:r>
      <w:r w:rsidRPr="00355406">
        <w:rPr>
          <w:rFonts w:eastAsia="Times New Roman"/>
          <w:lang w:eastAsia="de-DE"/>
        </w:rPr>
        <w:t xml:space="preserve">(„Emim") mit Artikel, ein Völkername. </w:t>
      </w:r>
      <w:r w:rsidRPr="00355406">
        <w:rPr>
          <w:rFonts w:eastAsia="Times New Roman"/>
          <w:b/>
          <w:bCs/>
          <w:rtl/>
          <w:lang w:eastAsia="de-DE"/>
        </w:rPr>
        <w:t>לְפָנִים</w:t>
      </w:r>
      <w:r w:rsidRPr="00355406">
        <w:rPr>
          <w:rFonts w:eastAsia="Times New Roman"/>
          <w:rtl/>
          <w:lang w:eastAsia="de-DE"/>
        </w:rPr>
        <w:t xml:space="preserve"> </w:t>
      </w:r>
      <w:r w:rsidRPr="00355406">
        <w:rPr>
          <w:rFonts w:eastAsia="Times New Roman"/>
          <w:lang w:eastAsia="de-DE"/>
        </w:rPr>
        <w:t xml:space="preserve">ist ein temporales Adverb („vorher, früher"), gebildet aus </w:t>
      </w:r>
      <w:r w:rsidRPr="00355406">
        <w:rPr>
          <w:rFonts w:eastAsia="Times New Roman"/>
          <w:b/>
          <w:bCs/>
          <w:rtl/>
          <w:lang w:eastAsia="de-DE"/>
        </w:rPr>
        <w:t>לְ</w:t>
      </w:r>
      <w:r w:rsidRPr="00355406">
        <w:rPr>
          <w:rFonts w:eastAsia="Times New Roman"/>
          <w:rtl/>
          <w:lang w:eastAsia="de-DE"/>
        </w:rPr>
        <w:t xml:space="preserve"> </w:t>
      </w:r>
      <w:r w:rsidRPr="00355406">
        <w:rPr>
          <w:rFonts w:eastAsia="Times New Roman"/>
          <w:lang w:eastAsia="de-DE"/>
        </w:rPr>
        <w:t xml:space="preserve">und dem Plural von </w:t>
      </w:r>
      <w:r w:rsidRPr="00355406">
        <w:rPr>
          <w:rFonts w:eastAsia="Times New Roman"/>
          <w:b/>
          <w:bCs/>
          <w:rtl/>
          <w:lang w:eastAsia="de-DE"/>
        </w:rPr>
        <w:t>פָּנִים</w:t>
      </w:r>
      <w:r w:rsidRPr="00355406">
        <w:rPr>
          <w:rFonts w:eastAsia="Times New Roman"/>
          <w:rtl/>
          <w:lang w:eastAsia="de-DE"/>
        </w:rPr>
        <w:t xml:space="preserve"> </w:t>
      </w:r>
      <w:r w:rsidRPr="00355406">
        <w:rPr>
          <w:rFonts w:eastAsia="Times New Roman"/>
          <w:lang w:eastAsia="de-DE"/>
        </w:rPr>
        <w:t xml:space="preserve">(„Angesicht"). </w:t>
      </w:r>
      <w:r w:rsidRPr="00355406">
        <w:rPr>
          <w:rFonts w:eastAsia="Times New Roman"/>
          <w:b/>
          <w:bCs/>
          <w:rtl/>
          <w:lang w:eastAsia="de-DE"/>
        </w:rPr>
        <w:t>יָשְׁבוּ</w:t>
      </w:r>
      <w:r w:rsidRPr="00355406">
        <w:rPr>
          <w:rFonts w:eastAsia="Times New Roman"/>
          <w:rtl/>
          <w:lang w:eastAsia="de-DE"/>
        </w:rPr>
        <w:t xml:space="preserve"> </w:t>
      </w:r>
      <w:r w:rsidRPr="00355406">
        <w:rPr>
          <w:rFonts w:eastAsia="Times New Roman"/>
          <w:lang w:eastAsia="de-DE"/>
        </w:rPr>
        <w:t xml:space="preserve">ist Qal Perfekt, 3. Person Plural von </w:t>
      </w:r>
      <w:r w:rsidRPr="00355406">
        <w:rPr>
          <w:rFonts w:eastAsia="Times New Roman"/>
          <w:rtl/>
          <w:lang w:eastAsia="de-DE"/>
        </w:rPr>
        <w:t>ישׁב</w:t>
      </w:r>
      <w:r w:rsidRPr="00355406">
        <w:rPr>
          <w:rFonts w:eastAsia="Times New Roman"/>
          <w:lang w:eastAsia="de-DE"/>
        </w:rPr>
        <w:t xml:space="preserve"> („wohnen"). </w:t>
      </w:r>
      <w:r w:rsidRPr="00355406">
        <w:rPr>
          <w:rFonts w:eastAsia="Times New Roman"/>
          <w:b/>
          <w:bCs/>
          <w:rtl/>
          <w:lang w:eastAsia="de-DE"/>
        </w:rPr>
        <w:t>בָהּ</w:t>
      </w:r>
      <w:r w:rsidRPr="00355406">
        <w:rPr>
          <w:rFonts w:eastAsia="Times New Roman"/>
          <w:rtl/>
          <w:lang w:eastAsia="de-DE"/>
        </w:rPr>
        <w:t xml:space="preserve"> </w:t>
      </w:r>
      <w:r w:rsidRPr="00355406">
        <w:rPr>
          <w:rFonts w:eastAsia="Times New Roman"/>
          <w:lang w:eastAsia="de-DE"/>
        </w:rPr>
        <w:t xml:space="preserve">ist </w:t>
      </w:r>
      <w:r w:rsidRPr="00355406">
        <w:rPr>
          <w:rFonts w:eastAsia="Times New Roman"/>
          <w:b/>
          <w:bCs/>
          <w:rtl/>
          <w:lang w:eastAsia="de-DE"/>
        </w:rPr>
        <w:t>בְּ</w:t>
      </w:r>
      <w:r w:rsidRPr="00355406">
        <w:rPr>
          <w:rFonts w:eastAsia="Times New Roman"/>
          <w:rtl/>
          <w:lang w:eastAsia="de-DE"/>
        </w:rPr>
        <w:t xml:space="preserve"> </w:t>
      </w:r>
      <w:r w:rsidRPr="00355406">
        <w:rPr>
          <w:rFonts w:eastAsia="Times New Roman"/>
          <w:lang w:eastAsia="de-DE"/>
        </w:rPr>
        <w:t xml:space="preserve">mit femininem Suffix 3. Person Singular, bezogen auf </w:t>
      </w:r>
      <w:r w:rsidRPr="00355406">
        <w:rPr>
          <w:rFonts w:eastAsia="Times New Roman"/>
          <w:b/>
          <w:bCs/>
          <w:rtl/>
          <w:lang w:eastAsia="de-DE"/>
        </w:rPr>
        <w:t>אֶרֶץ</w:t>
      </w:r>
      <w:r w:rsidRPr="00355406">
        <w:rPr>
          <w:rFonts w:eastAsia="Times New Roman"/>
          <w:rtl/>
          <w:lang w:eastAsia="de-DE"/>
        </w:rPr>
        <w:t xml:space="preserve"> </w:t>
      </w:r>
      <w:r w:rsidRPr="00355406">
        <w:rPr>
          <w:rFonts w:eastAsia="Times New Roman"/>
          <w:lang w:eastAsia="de-DE"/>
        </w:rPr>
        <w:t>aus dem Kontext.</w:t>
      </w:r>
    </w:p>
    <w:p w14:paraId="24E0D500" w14:textId="77777777"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b/>
          <w:bCs/>
          <w:rtl/>
          <w:lang w:eastAsia="de-DE"/>
        </w:rPr>
        <w:t>עַם גָּדוֹל וְרַב וָרָם כָּעֲנָקִים</w:t>
      </w:r>
      <w:r w:rsidRPr="00355406">
        <w:rPr>
          <w:rFonts w:eastAsia="Times New Roman"/>
          <w:rtl/>
          <w:lang w:eastAsia="de-DE"/>
        </w:rPr>
        <w:t xml:space="preserve"> </w:t>
      </w:r>
      <w:r w:rsidRPr="00355406">
        <w:rPr>
          <w:rFonts w:eastAsia="Times New Roman"/>
          <w:lang w:eastAsia="de-DE"/>
        </w:rPr>
        <w:t xml:space="preserve">ist eine appositionelle Beschreibung: </w:t>
      </w:r>
      <w:r w:rsidRPr="00355406">
        <w:rPr>
          <w:rFonts w:eastAsia="Times New Roman"/>
          <w:b/>
          <w:bCs/>
          <w:rtl/>
          <w:lang w:eastAsia="de-DE"/>
        </w:rPr>
        <w:t>עַם</w:t>
      </w:r>
      <w:r w:rsidRPr="00355406">
        <w:rPr>
          <w:rFonts w:eastAsia="Times New Roman"/>
          <w:rtl/>
          <w:lang w:eastAsia="de-DE"/>
        </w:rPr>
        <w:t xml:space="preserve"> </w:t>
      </w:r>
      <w:r w:rsidRPr="00355406">
        <w:rPr>
          <w:rFonts w:eastAsia="Times New Roman"/>
          <w:lang w:eastAsia="de-DE"/>
        </w:rPr>
        <w:t xml:space="preserve">(„Volk") mit drei koordinierten Adjektiven </w:t>
      </w:r>
      <w:r w:rsidRPr="00355406">
        <w:rPr>
          <w:rFonts w:eastAsia="Times New Roman"/>
          <w:b/>
          <w:bCs/>
          <w:rtl/>
          <w:lang w:eastAsia="de-DE"/>
        </w:rPr>
        <w:t>גָּדוֹל</w:t>
      </w:r>
      <w:r w:rsidRPr="00355406">
        <w:rPr>
          <w:rFonts w:eastAsia="Times New Roman"/>
          <w:rtl/>
          <w:lang w:eastAsia="de-DE"/>
        </w:rPr>
        <w:t xml:space="preserve"> </w:t>
      </w:r>
      <w:r w:rsidRPr="00355406">
        <w:rPr>
          <w:rFonts w:eastAsia="Times New Roman"/>
          <w:lang w:eastAsia="de-DE"/>
        </w:rPr>
        <w:t xml:space="preserve">(„groß"), </w:t>
      </w:r>
      <w:r w:rsidRPr="00355406">
        <w:rPr>
          <w:rFonts w:eastAsia="Times New Roman"/>
          <w:b/>
          <w:bCs/>
          <w:rtl/>
          <w:lang w:eastAsia="de-DE"/>
        </w:rPr>
        <w:t>רַב</w:t>
      </w:r>
      <w:r w:rsidRPr="00355406">
        <w:rPr>
          <w:rFonts w:eastAsia="Times New Roman"/>
          <w:rtl/>
          <w:lang w:eastAsia="de-DE"/>
        </w:rPr>
        <w:t xml:space="preserve"> </w:t>
      </w:r>
      <w:r w:rsidRPr="00355406">
        <w:rPr>
          <w:rFonts w:eastAsia="Times New Roman"/>
          <w:lang w:eastAsia="de-DE"/>
        </w:rPr>
        <w:t xml:space="preserve">(„zahlreich, viel"), und </w:t>
      </w:r>
      <w:r w:rsidRPr="00355406">
        <w:rPr>
          <w:rFonts w:eastAsia="Times New Roman"/>
          <w:b/>
          <w:bCs/>
          <w:rtl/>
          <w:lang w:eastAsia="de-DE"/>
        </w:rPr>
        <w:t>רָם</w:t>
      </w:r>
      <w:r w:rsidRPr="00355406">
        <w:rPr>
          <w:rFonts w:eastAsia="Times New Roman"/>
          <w:rtl/>
          <w:lang w:eastAsia="de-DE"/>
        </w:rPr>
        <w:t xml:space="preserve"> </w:t>
      </w:r>
      <w:r w:rsidRPr="00355406">
        <w:rPr>
          <w:rFonts w:eastAsia="Times New Roman"/>
          <w:lang w:eastAsia="de-DE"/>
        </w:rPr>
        <w:t xml:space="preserve">(„hoch, erhaben"), gefolgt von einem Vergleich </w:t>
      </w:r>
      <w:r w:rsidRPr="00355406">
        <w:rPr>
          <w:rFonts w:eastAsia="Times New Roman"/>
          <w:b/>
          <w:bCs/>
          <w:rtl/>
          <w:lang w:eastAsia="de-DE"/>
        </w:rPr>
        <w:t>כָּעֲנָקִים</w:t>
      </w:r>
      <w:r w:rsidRPr="00355406">
        <w:rPr>
          <w:rFonts w:eastAsia="Times New Roman"/>
          <w:rtl/>
          <w:lang w:eastAsia="de-DE"/>
        </w:rPr>
        <w:t xml:space="preserve"> </w:t>
      </w:r>
      <w:r w:rsidRPr="00355406">
        <w:rPr>
          <w:rFonts w:eastAsia="Times New Roman"/>
          <w:lang w:eastAsia="de-DE"/>
        </w:rPr>
        <w:t>(</w:t>
      </w:r>
      <w:r w:rsidRPr="00355406">
        <w:rPr>
          <w:rFonts w:eastAsia="Times New Roman"/>
          <w:b/>
          <w:bCs/>
          <w:rtl/>
          <w:lang w:eastAsia="de-DE"/>
        </w:rPr>
        <w:t>כְּ</w:t>
      </w:r>
      <w:r w:rsidRPr="00355406">
        <w:rPr>
          <w:rFonts w:eastAsia="Times New Roman"/>
          <w:rtl/>
          <w:lang w:eastAsia="de-DE"/>
        </w:rPr>
        <w:t xml:space="preserve"> </w:t>
      </w:r>
      <w:r w:rsidRPr="00355406">
        <w:rPr>
          <w:rFonts w:eastAsia="Times New Roman"/>
          <w:lang w:eastAsia="de-DE"/>
        </w:rPr>
        <w:t xml:space="preserve">„wie" mit </w:t>
      </w:r>
      <w:r w:rsidRPr="00355406">
        <w:rPr>
          <w:rFonts w:eastAsia="Times New Roman"/>
          <w:b/>
          <w:bCs/>
          <w:rtl/>
          <w:lang w:eastAsia="de-DE"/>
        </w:rPr>
        <w:t>עֲנָקִים</w:t>
      </w:r>
      <w:r w:rsidRPr="00355406">
        <w:rPr>
          <w:rFonts w:eastAsia="Times New Roman"/>
          <w:lang w:eastAsia="de-DE"/>
        </w:rPr>
        <w:t xml:space="preserve">, Plural von </w:t>
      </w:r>
      <w:r w:rsidRPr="00355406">
        <w:rPr>
          <w:rFonts w:eastAsia="Times New Roman"/>
          <w:b/>
          <w:bCs/>
          <w:rtl/>
          <w:lang w:eastAsia="de-DE"/>
        </w:rPr>
        <w:t>עֲנָק</w:t>
      </w:r>
      <w:r w:rsidRPr="00355406">
        <w:rPr>
          <w:rFonts w:eastAsia="Times New Roman"/>
          <w:lang w:eastAsia="de-DE"/>
        </w:rPr>
        <w:t>, dem Riesenvolk der Anakiter). Diese dreigliedrige Beschreibung ist identisch mit 1,28.</w:t>
      </w:r>
    </w:p>
    <w:p w14:paraId="60582675" w14:textId="6B1CF905"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b/>
          <w:bCs/>
          <w:lang w:eastAsia="de-DE"/>
        </w:rPr>
        <w:t>Die LXX</w:t>
      </w:r>
      <w:r w:rsidRPr="00355406">
        <w:rPr>
          <w:rFonts w:eastAsia="Times New Roman"/>
          <w:lang w:eastAsia="de-DE"/>
        </w:rPr>
        <w:t xml:space="preserve"> </w:t>
      </w:r>
      <w:r w:rsidR="009B686A">
        <w:t>hat „</w:t>
      </w:r>
      <w:proofErr w:type="spellStart"/>
      <w:r w:rsidR="009B686A">
        <w:t>Ὀμμίν</w:t>
      </w:r>
      <w:proofErr w:type="spellEnd"/>
      <w:r w:rsidR="009B686A">
        <w:t>" (</w:t>
      </w:r>
      <w:proofErr w:type="spellStart"/>
      <w:r w:rsidR="009B686A">
        <w:t>Ommin</w:t>
      </w:r>
      <w:proofErr w:type="spellEnd"/>
      <w:r w:rsidR="009B686A">
        <w:t>) für „</w:t>
      </w:r>
      <w:r w:rsidR="009B686A">
        <w:rPr>
          <w:rtl/>
        </w:rPr>
        <w:t>אֵמִים</w:t>
      </w:r>
      <w:r w:rsidR="009B686A">
        <w:t>" (Emim), eine Namensvariante. So auch in Vers 11</w:t>
      </w:r>
    </w:p>
    <w:p w14:paraId="30C83EF5" w14:textId="77777777"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lang w:eastAsia="de-DE"/>
        </w:rPr>
        <w:t xml:space="preserve">Die Satzstruktur ist ein einfacher Verbalsatz: </w:t>
      </w:r>
      <w:r w:rsidRPr="00355406">
        <w:rPr>
          <w:rFonts w:eastAsia="Times New Roman"/>
          <w:b/>
          <w:bCs/>
          <w:rtl/>
          <w:lang w:eastAsia="de-DE"/>
        </w:rPr>
        <w:t>הָאֵמִים</w:t>
      </w:r>
      <w:r w:rsidRPr="00355406">
        <w:rPr>
          <w:rFonts w:eastAsia="Times New Roman"/>
          <w:rtl/>
          <w:lang w:eastAsia="de-DE"/>
        </w:rPr>
        <w:t xml:space="preserve"> </w:t>
      </w:r>
      <w:r w:rsidRPr="00355406">
        <w:rPr>
          <w:rFonts w:eastAsia="Times New Roman"/>
          <w:lang w:eastAsia="de-DE"/>
        </w:rPr>
        <w:t xml:space="preserve">als Subjekt, </w:t>
      </w:r>
      <w:r w:rsidRPr="00355406">
        <w:rPr>
          <w:rFonts w:eastAsia="Times New Roman"/>
          <w:b/>
          <w:bCs/>
          <w:rtl/>
          <w:lang w:eastAsia="de-DE"/>
        </w:rPr>
        <w:t>לְפָנִים</w:t>
      </w:r>
      <w:r w:rsidRPr="00355406">
        <w:rPr>
          <w:rFonts w:eastAsia="Times New Roman"/>
          <w:rtl/>
          <w:lang w:eastAsia="de-DE"/>
        </w:rPr>
        <w:t xml:space="preserve"> </w:t>
      </w:r>
      <w:r w:rsidRPr="00355406">
        <w:rPr>
          <w:rFonts w:eastAsia="Times New Roman"/>
          <w:lang w:eastAsia="de-DE"/>
        </w:rPr>
        <w:t xml:space="preserve">als temporales Adverb, </w:t>
      </w:r>
      <w:r w:rsidRPr="00355406">
        <w:rPr>
          <w:rFonts w:eastAsia="Times New Roman"/>
          <w:b/>
          <w:bCs/>
          <w:rtl/>
          <w:lang w:eastAsia="de-DE"/>
        </w:rPr>
        <w:t>יָשְׁבוּ בָהּ</w:t>
      </w:r>
      <w:r w:rsidRPr="00355406">
        <w:rPr>
          <w:rFonts w:eastAsia="Times New Roman"/>
          <w:rtl/>
          <w:lang w:eastAsia="de-DE"/>
        </w:rPr>
        <w:t xml:space="preserve"> </w:t>
      </w:r>
      <w:r w:rsidRPr="00355406">
        <w:rPr>
          <w:rFonts w:eastAsia="Times New Roman"/>
          <w:lang w:eastAsia="de-DE"/>
        </w:rPr>
        <w:t xml:space="preserve">als Prädikat, und </w:t>
      </w:r>
      <w:r w:rsidRPr="00355406">
        <w:rPr>
          <w:rFonts w:eastAsia="Times New Roman"/>
          <w:b/>
          <w:bCs/>
          <w:rtl/>
          <w:lang w:eastAsia="de-DE"/>
        </w:rPr>
        <w:t>עַם גָּדוֹל וְרַב וָרָם כָּעֲנָקִים</w:t>
      </w:r>
      <w:r w:rsidRPr="00355406">
        <w:rPr>
          <w:rFonts w:eastAsia="Times New Roman"/>
          <w:rtl/>
          <w:lang w:eastAsia="de-DE"/>
        </w:rPr>
        <w:t xml:space="preserve"> </w:t>
      </w:r>
      <w:r w:rsidRPr="00355406">
        <w:rPr>
          <w:rFonts w:eastAsia="Times New Roman"/>
          <w:lang w:eastAsia="de-DE"/>
        </w:rPr>
        <w:t>als appositionelle Erweiterung des Subjekts.</w:t>
      </w:r>
    </w:p>
    <w:p w14:paraId="0D23F86D" w14:textId="77777777"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lang w:eastAsia="de-DE"/>
        </w:rPr>
        <w:t>Der Vers beginnt eine historische Notiz über frühere Bewohner Moabs. Die Emim waren ein Riesenvolk ähnlich den Anakitern, die Israel in 1,28 in Furcht versetzt hatten. Diese Information bereitet die folgende Erklärung vor, wie die kleineren Moabiter das Land von den mächtigen Emim übernehmen konnten.</w:t>
      </w:r>
    </w:p>
    <w:p w14:paraId="37FE22A6" w14:textId="77777777" w:rsidR="00355406" w:rsidRPr="00355406" w:rsidRDefault="00355406" w:rsidP="00355406">
      <w:pPr>
        <w:spacing w:before="100" w:beforeAutospacing="1" w:after="100" w:afterAutospacing="1" w:line="240" w:lineRule="auto"/>
        <w:outlineLvl w:val="1"/>
        <w:rPr>
          <w:rFonts w:eastAsia="Times New Roman"/>
          <w:b/>
          <w:bCs/>
          <w:sz w:val="36"/>
          <w:szCs w:val="36"/>
          <w:lang w:eastAsia="de-DE"/>
        </w:rPr>
      </w:pPr>
      <w:r w:rsidRPr="00355406">
        <w:rPr>
          <w:rFonts w:eastAsia="Times New Roman"/>
          <w:b/>
          <w:bCs/>
          <w:sz w:val="36"/>
          <w:szCs w:val="36"/>
          <w:lang w:eastAsia="de-DE"/>
        </w:rPr>
        <w:t>Deuteronomium 2,11</w:t>
      </w:r>
    </w:p>
    <w:p w14:paraId="2B8404DC" w14:textId="77777777"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b/>
          <w:bCs/>
          <w:lang w:eastAsia="de-DE"/>
        </w:rPr>
        <w:t>Hebräisch:</w:t>
      </w:r>
      <w:r w:rsidRPr="00355406">
        <w:rPr>
          <w:rFonts w:eastAsia="Times New Roman"/>
          <w:lang w:eastAsia="de-DE"/>
        </w:rPr>
        <w:t xml:space="preserve"> </w:t>
      </w:r>
      <w:r w:rsidRPr="00355406">
        <w:rPr>
          <w:rFonts w:eastAsia="Times New Roman"/>
          <w:rtl/>
          <w:lang w:eastAsia="de-DE"/>
        </w:rPr>
        <w:t>רְפָאִ֛ים יֵחָשְׁב֥וּ אַף־הֵ֖ם כָּעֲנָקִ֑ים וְהַמֹּ֣אָבִ֔ים יִקְרְא֥וּ לָהֶ֖ם אֵמִֽים׃</w:t>
      </w:r>
    </w:p>
    <w:p w14:paraId="02BB3B80" w14:textId="40EB752E"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b/>
          <w:bCs/>
          <w:lang w:eastAsia="de-DE"/>
        </w:rPr>
        <w:t>Deutsch:</w:t>
      </w:r>
      <w:r w:rsidRPr="00355406">
        <w:rPr>
          <w:rFonts w:eastAsia="Times New Roman"/>
          <w:lang w:eastAsia="de-DE"/>
        </w:rPr>
        <w:t xml:space="preserve"> Auch sie werden für </w:t>
      </w:r>
      <w:r w:rsidR="00743283">
        <w:rPr>
          <w:rFonts w:eastAsia="Times New Roman"/>
          <w:lang w:eastAsia="de-DE"/>
        </w:rPr>
        <w:t>Eph</w:t>
      </w:r>
      <w:r w:rsidR="00D91A0B">
        <w:rPr>
          <w:rFonts w:eastAsia="Times New Roman"/>
          <w:lang w:eastAsia="de-DE"/>
        </w:rPr>
        <w:t>r</w:t>
      </w:r>
      <w:r w:rsidR="00743283">
        <w:rPr>
          <w:rFonts w:eastAsia="Times New Roman"/>
          <w:lang w:eastAsia="de-DE"/>
        </w:rPr>
        <w:t>a</w:t>
      </w:r>
      <w:r w:rsidRPr="00355406">
        <w:rPr>
          <w:rFonts w:eastAsia="Times New Roman"/>
          <w:lang w:eastAsia="de-DE"/>
        </w:rPr>
        <w:t>'im gehalten wie die Anakim; und die Mo'avim nennen sie Emim.</w:t>
      </w:r>
    </w:p>
    <w:p w14:paraId="63E64D3A" w14:textId="77777777" w:rsidR="00355406" w:rsidRPr="00355406" w:rsidRDefault="004F5CEB" w:rsidP="00355406">
      <w:pPr>
        <w:spacing w:after="0" w:line="240" w:lineRule="auto"/>
        <w:rPr>
          <w:rFonts w:eastAsia="Times New Roman"/>
          <w:lang w:eastAsia="de-DE"/>
        </w:rPr>
      </w:pPr>
      <w:r>
        <w:rPr>
          <w:rFonts w:eastAsia="Times New Roman"/>
          <w:noProof/>
          <w:lang w:eastAsia="de-DE"/>
        </w:rPr>
        <w:lastRenderedPageBreak/>
        <w:pict w14:anchorId="3E272135">
          <v:rect id="_x0000_i1081" style="width:0;height:1.5pt" o:hralign="center" o:hrstd="t" o:hr="t" fillcolor="#a0a0a0" stroked="f"/>
        </w:pict>
      </w:r>
    </w:p>
    <w:p w14:paraId="152D9EF7" w14:textId="76777046"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b/>
          <w:bCs/>
          <w:lang w:eastAsia="de-DE"/>
        </w:rPr>
        <w:t>Kommentar:</w:t>
      </w:r>
      <w:r w:rsidRPr="00355406">
        <w:rPr>
          <w:rFonts w:eastAsia="Times New Roman"/>
          <w:lang w:eastAsia="de-DE"/>
        </w:rPr>
        <w:t xml:space="preserve"> </w:t>
      </w:r>
      <w:r w:rsidRPr="00355406">
        <w:rPr>
          <w:rFonts w:eastAsia="Times New Roman"/>
          <w:b/>
          <w:bCs/>
          <w:rtl/>
          <w:lang w:eastAsia="de-DE"/>
        </w:rPr>
        <w:t>רְפָאִים יֵחָשְׁבוּ</w:t>
      </w:r>
      <w:r w:rsidRPr="00355406">
        <w:rPr>
          <w:rFonts w:eastAsia="Times New Roman"/>
          <w:rtl/>
          <w:lang w:eastAsia="de-DE"/>
        </w:rPr>
        <w:t xml:space="preserve"> </w:t>
      </w:r>
      <w:r w:rsidRPr="00355406">
        <w:rPr>
          <w:rFonts w:eastAsia="Times New Roman"/>
          <w:lang w:eastAsia="de-DE"/>
        </w:rPr>
        <w:t xml:space="preserve">besteht aus </w:t>
      </w:r>
      <w:r w:rsidRPr="00355406">
        <w:rPr>
          <w:rFonts w:eastAsia="Times New Roman"/>
          <w:b/>
          <w:bCs/>
          <w:rtl/>
          <w:lang w:eastAsia="de-DE"/>
        </w:rPr>
        <w:t>רְפָאִים</w:t>
      </w:r>
      <w:r w:rsidRPr="00355406">
        <w:rPr>
          <w:rFonts w:eastAsia="Times New Roman"/>
          <w:rtl/>
          <w:lang w:eastAsia="de-DE"/>
        </w:rPr>
        <w:t xml:space="preserve"> </w:t>
      </w:r>
      <w:r w:rsidRPr="00355406">
        <w:rPr>
          <w:rFonts w:eastAsia="Times New Roman"/>
          <w:lang w:eastAsia="de-DE"/>
        </w:rPr>
        <w:t>(Plural „</w:t>
      </w:r>
      <w:r w:rsidR="00D91A0B">
        <w:rPr>
          <w:rFonts w:eastAsia="Times New Roman"/>
          <w:lang w:eastAsia="de-DE"/>
        </w:rPr>
        <w:t>Ephraim</w:t>
      </w:r>
      <w:r w:rsidRPr="00355406">
        <w:rPr>
          <w:rFonts w:eastAsia="Times New Roman"/>
          <w:lang w:eastAsia="de-DE"/>
        </w:rPr>
        <w:t xml:space="preserve">", ein legendäres Riesenvolk) als Prädikatsnomen vorangestellt, </w:t>
      </w:r>
      <w:r w:rsidRPr="00355406">
        <w:rPr>
          <w:rFonts w:eastAsia="Times New Roman"/>
          <w:b/>
          <w:bCs/>
          <w:rtl/>
          <w:lang w:eastAsia="de-DE"/>
        </w:rPr>
        <w:t>יֵחָשְׁבוּ</w:t>
      </w:r>
      <w:r w:rsidRPr="00355406">
        <w:rPr>
          <w:rFonts w:eastAsia="Times New Roman"/>
          <w:rtl/>
          <w:lang w:eastAsia="de-DE"/>
        </w:rPr>
        <w:t xml:space="preserve"> </w:t>
      </w:r>
      <w:r w:rsidRPr="00355406">
        <w:rPr>
          <w:rFonts w:eastAsia="Times New Roman"/>
          <w:lang w:eastAsia="de-DE"/>
        </w:rPr>
        <w:t xml:space="preserve">(Nif'al Imperfekt, 3. Person Plural von </w:t>
      </w:r>
      <w:r w:rsidRPr="00355406">
        <w:rPr>
          <w:rFonts w:eastAsia="Times New Roman"/>
          <w:rtl/>
          <w:lang w:eastAsia="de-DE"/>
        </w:rPr>
        <w:t>חשׁב</w:t>
      </w:r>
      <w:r w:rsidRPr="00355406">
        <w:rPr>
          <w:rFonts w:eastAsia="Times New Roman"/>
          <w:lang w:eastAsia="de-DE"/>
        </w:rPr>
        <w:t xml:space="preserve"> „rechnen, halten für, gelten als"). Die Nif'al-Form ist passivisch: „sie werden gerechnet/gehalten für". </w:t>
      </w:r>
      <w:r w:rsidRPr="00355406">
        <w:rPr>
          <w:rFonts w:eastAsia="Times New Roman"/>
          <w:b/>
          <w:bCs/>
          <w:rtl/>
          <w:lang w:eastAsia="de-DE"/>
        </w:rPr>
        <w:t>אַף־הֵם</w:t>
      </w:r>
      <w:r w:rsidRPr="00355406">
        <w:rPr>
          <w:rFonts w:eastAsia="Times New Roman"/>
          <w:rtl/>
          <w:lang w:eastAsia="de-DE"/>
        </w:rPr>
        <w:t xml:space="preserve"> </w:t>
      </w:r>
      <w:r w:rsidRPr="00355406">
        <w:rPr>
          <w:rFonts w:eastAsia="Times New Roman"/>
          <w:lang w:eastAsia="de-DE"/>
        </w:rPr>
        <w:t xml:space="preserve">ist </w:t>
      </w:r>
      <w:r w:rsidRPr="00355406">
        <w:rPr>
          <w:rFonts w:eastAsia="Times New Roman"/>
          <w:b/>
          <w:bCs/>
          <w:rtl/>
          <w:lang w:eastAsia="de-DE"/>
        </w:rPr>
        <w:t>אַף</w:t>
      </w:r>
      <w:r w:rsidRPr="00355406">
        <w:rPr>
          <w:rFonts w:eastAsia="Times New Roman"/>
          <w:rtl/>
          <w:lang w:eastAsia="de-DE"/>
        </w:rPr>
        <w:t xml:space="preserve"> </w:t>
      </w:r>
      <w:r w:rsidRPr="00355406">
        <w:rPr>
          <w:rFonts w:eastAsia="Times New Roman"/>
          <w:lang w:eastAsia="de-DE"/>
        </w:rPr>
        <w:t xml:space="preserve">(„auch") mit dem Personalpronomen 3. Person Plural </w:t>
      </w:r>
      <w:r w:rsidRPr="00355406">
        <w:rPr>
          <w:rFonts w:eastAsia="Times New Roman"/>
          <w:b/>
          <w:bCs/>
          <w:rtl/>
          <w:lang w:eastAsia="de-DE"/>
        </w:rPr>
        <w:t>הֵם</w:t>
      </w:r>
      <w:r w:rsidRPr="00355406">
        <w:rPr>
          <w:rFonts w:eastAsia="Times New Roman"/>
          <w:rtl/>
          <w:lang w:eastAsia="de-DE"/>
        </w:rPr>
        <w:t xml:space="preserve"> </w:t>
      </w:r>
      <w:r w:rsidRPr="00355406">
        <w:rPr>
          <w:rFonts w:eastAsia="Times New Roman"/>
          <w:lang w:eastAsia="de-DE"/>
        </w:rPr>
        <w:t xml:space="preserve">als betonendes Subjekt. </w:t>
      </w:r>
      <w:r w:rsidRPr="00355406">
        <w:rPr>
          <w:rFonts w:eastAsia="Times New Roman"/>
          <w:b/>
          <w:bCs/>
          <w:rtl/>
          <w:lang w:eastAsia="de-DE"/>
        </w:rPr>
        <w:t>כָּעֲנָקִים</w:t>
      </w:r>
      <w:r w:rsidRPr="00355406">
        <w:rPr>
          <w:rFonts w:eastAsia="Times New Roman"/>
          <w:rtl/>
          <w:lang w:eastAsia="de-DE"/>
        </w:rPr>
        <w:t xml:space="preserve"> </w:t>
      </w:r>
      <w:r w:rsidRPr="00355406">
        <w:rPr>
          <w:rFonts w:eastAsia="Times New Roman"/>
          <w:lang w:eastAsia="de-DE"/>
        </w:rPr>
        <w:t xml:space="preserve">ist </w:t>
      </w:r>
      <w:r w:rsidRPr="00355406">
        <w:rPr>
          <w:rFonts w:eastAsia="Times New Roman"/>
          <w:b/>
          <w:bCs/>
          <w:rtl/>
          <w:lang w:eastAsia="de-DE"/>
        </w:rPr>
        <w:t>כְּ</w:t>
      </w:r>
      <w:r w:rsidRPr="00355406">
        <w:rPr>
          <w:rFonts w:eastAsia="Times New Roman"/>
          <w:rtl/>
          <w:lang w:eastAsia="de-DE"/>
        </w:rPr>
        <w:t xml:space="preserve"> </w:t>
      </w:r>
      <w:r w:rsidRPr="00355406">
        <w:rPr>
          <w:rFonts w:eastAsia="Times New Roman"/>
          <w:lang w:eastAsia="de-DE"/>
        </w:rPr>
        <w:t xml:space="preserve">mit </w:t>
      </w:r>
      <w:r w:rsidRPr="00355406">
        <w:rPr>
          <w:rFonts w:eastAsia="Times New Roman"/>
          <w:b/>
          <w:bCs/>
          <w:rtl/>
          <w:lang w:eastAsia="de-DE"/>
        </w:rPr>
        <w:t>עֲנָקִים</w:t>
      </w:r>
      <w:r w:rsidRPr="00355406">
        <w:rPr>
          <w:rFonts w:eastAsia="Times New Roman"/>
          <w:rtl/>
          <w:lang w:eastAsia="de-DE"/>
        </w:rPr>
        <w:t xml:space="preserve"> </w:t>
      </w:r>
      <w:r w:rsidRPr="00355406">
        <w:rPr>
          <w:rFonts w:eastAsia="Times New Roman"/>
          <w:lang w:eastAsia="de-DE"/>
        </w:rPr>
        <w:t>(„wie die Anakiter").</w:t>
      </w:r>
    </w:p>
    <w:p w14:paraId="12381BA3" w14:textId="1A3773DF"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b/>
          <w:bCs/>
          <w:rtl/>
          <w:lang w:eastAsia="de-DE"/>
        </w:rPr>
        <w:t>וְהַמֹּאָבִים יִקְרְאוּ לָהֶם אֵמִים</w:t>
      </w:r>
      <w:r w:rsidRPr="00355406">
        <w:rPr>
          <w:rFonts w:eastAsia="Times New Roman"/>
          <w:rtl/>
          <w:lang w:eastAsia="de-DE"/>
        </w:rPr>
        <w:t xml:space="preserve"> </w:t>
      </w:r>
      <w:r w:rsidRPr="00355406">
        <w:rPr>
          <w:rFonts w:eastAsia="Times New Roman"/>
          <w:lang w:eastAsia="de-DE"/>
        </w:rPr>
        <w:t xml:space="preserve">ist </w:t>
      </w:r>
      <w:r w:rsidRPr="00355406">
        <w:rPr>
          <w:rFonts w:eastAsia="Times New Roman"/>
          <w:b/>
          <w:bCs/>
          <w:rtl/>
          <w:lang w:eastAsia="de-DE"/>
        </w:rPr>
        <w:t>וְ</w:t>
      </w:r>
      <w:r w:rsidRPr="00355406">
        <w:rPr>
          <w:rFonts w:eastAsia="Times New Roman"/>
          <w:rtl/>
          <w:lang w:eastAsia="de-DE"/>
        </w:rPr>
        <w:t xml:space="preserve"> </w:t>
      </w:r>
      <w:r w:rsidRPr="00355406">
        <w:rPr>
          <w:rFonts w:eastAsia="Times New Roman"/>
          <w:lang w:eastAsia="de-DE"/>
        </w:rPr>
        <w:t xml:space="preserve">mit </w:t>
      </w:r>
      <w:r w:rsidRPr="00355406">
        <w:rPr>
          <w:rFonts w:eastAsia="Times New Roman"/>
          <w:b/>
          <w:bCs/>
          <w:rtl/>
          <w:lang w:eastAsia="de-DE"/>
        </w:rPr>
        <w:t>הַמֹּאָבִים</w:t>
      </w:r>
      <w:r w:rsidRPr="00355406">
        <w:rPr>
          <w:rFonts w:eastAsia="Times New Roman"/>
          <w:rtl/>
          <w:lang w:eastAsia="de-DE"/>
        </w:rPr>
        <w:t xml:space="preserve"> </w:t>
      </w:r>
      <w:r w:rsidRPr="00355406">
        <w:rPr>
          <w:rFonts w:eastAsia="Times New Roman"/>
          <w:lang w:eastAsia="de-DE"/>
        </w:rPr>
        <w:t>(</w:t>
      </w:r>
      <w:r w:rsidR="00C13523">
        <w:rPr>
          <w:rFonts w:eastAsia="Times New Roman"/>
          <w:lang w:eastAsia="de-DE"/>
        </w:rPr>
        <w:t>Gentilicum</w:t>
      </w:r>
      <w:r w:rsidRPr="00355406">
        <w:rPr>
          <w:rFonts w:eastAsia="Times New Roman"/>
          <w:lang w:eastAsia="de-DE"/>
        </w:rPr>
        <w:t xml:space="preserve"> „die Moabiter" mit Artikel) als Subjekt, </w:t>
      </w:r>
      <w:r w:rsidRPr="00355406">
        <w:rPr>
          <w:rFonts w:eastAsia="Times New Roman"/>
          <w:b/>
          <w:bCs/>
          <w:rtl/>
          <w:lang w:eastAsia="de-DE"/>
        </w:rPr>
        <w:t>יִקְרְאוּ</w:t>
      </w:r>
      <w:r w:rsidRPr="00355406">
        <w:rPr>
          <w:rFonts w:eastAsia="Times New Roman"/>
          <w:rtl/>
          <w:lang w:eastAsia="de-DE"/>
        </w:rPr>
        <w:t xml:space="preserve"> </w:t>
      </w:r>
      <w:r w:rsidRPr="00355406">
        <w:rPr>
          <w:rFonts w:eastAsia="Times New Roman"/>
          <w:lang w:eastAsia="de-DE"/>
        </w:rPr>
        <w:t xml:space="preserve">(Qal Imperfekt, 3. Person Plural von </w:t>
      </w:r>
      <w:r w:rsidRPr="00355406">
        <w:rPr>
          <w:rFonts w:eastAsia="Times New Roman"/>
          <w:rtl/>
          <w:lang w:eastAsia="de-DE"/>
        </w:rPr>
        <w:t>קרא</w:t>
      </w:r>
      <w:r w:rsidRPr="00355406">
        <w:rPr>
          <w:rFonts w:eastAsia="Times New Roman"/>
          <w:lang w:eastAsia="de-DE"/>
        </w:rPr>
        <w:t xml:space="preserve"> „rufen, nennen"), </w:t>
      </w:r>
      <w:r w:rsidRPr="00355406">
        <w:rPr>
          <w:rFonts w:eastAsia="Times New Roman"/>
          <w:b/>
          <w:bCs/>
          <w:rtl/>
          <w:lang w:eastAsia="de-DE"/>
        </w:rPr>
        <w:t>לָהֶם</w:t>
      </w:r>
      <w:r w:rsidRPr="00355406">
        <w:rPr>
          <w:rFonts w:eastAsia="Times New Roman"/>
          <w:rtl/>
          <w:lang w:eastAsia="de-DE"/>
        </w:rPr>
        <w:t xml:space="preserve"> </w:t>
      </w:r>
      <w:r w:rsidRPr="00355406">
        <w:rPr>
          <w:rFonts w:eastAsia="Times New Roman"/>
          <w:lang w:eastAsia="de-DE"/>
        </w:rPr>
        <w:t>(</w:t>
      </w:r>
      <w:r w:rsidRPr="00355406">
        <w:rPr>
          <w:rFonts w:eastAsia="Times New Roman"/>
          <w:b/>
          <w:bCs/>
          <w:rtl/>
          <w:lang w:eastAsia="de-DE"/>
        </w:rPr>
        <w:t>לְ</w:t>
      </w:r>
      <w:r w:rsidRPr="00355406">
        <w:rPr>
          <w:rFonts w:eastAsia="Times New Roman"/>
          <w:rtl/>
          <w:lang w:eastAsia="de-DE"/>
        </w:rPr>
        <w:t xml:space="preserve"> </w:t>
      </w:r>
      <w:r w:rsidRPr="00355406">
        <w:rPr>
          <w:rFonts w:eastAsia="Times New Roman"/>
          <w:lang w:eastAsia="de-DE"/>
        </w:rPr>
        <w:t xml:space="preserve">mit Suffix 3. Person maskulin Plural „sie, ihnen"), </w:t>
      </w:r>
      <w:r w:rsidRPr="00355406">
        <w:rPr>
          <w:rFonts w:eastAsia="Times New Roman"/>
          <w:b/>
          <w:bCs/>
          <w:rtl/>
          <w:lang w:eastAsia="de-DE"/>
        </w:rPr>
        <w:t>אֵמִים</w:t>
      </w:r>
      <w:r w:rsidRPr="00355406">
        <w:rPr>
          <w:rFonts w:eastAsia="Times New Roman"/>
          <w:rtl/>
          <w:lang w:eastAsia="de-DE"/>
        </w:rPr>
        <w:t xml:space="preserve"> </w:t>
      </w:r>
      <w:r w:rsidRPr="00355406">
        <w:rPr>
          <w:rFonts w:eastAsia="Times New Roman"/>
          <w:lang w:eastAsia="de-DE"/>
        </w:rPr>
        <w:t>als Akkusativobjekt (der Name, den die Moabiter ihnen geben).</w:t>
      </w:r>
    </w:p>
    <w:p w14:paraId="0D88EEA5" w14:textId="77777777"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b/>
          <w:bCs/>
          <w:lang w:eastAsia="de-DE"/>
        </w:rPr>
        <w:t>Die LXX</w:t>
      </w:r>
      <w:r w:rsidRPr="00355406">
        <w:rPr>
          <w:rFonts w:eastAsia="Times New Roman"/>
          <w:lang w:eastAsia="de-DE"/>
        </w:rPr>
        <w:t xml:space="preserve"> übersetzt „Ραφα</w:t>
      </w:r>
      <w:proofErr w:type="spellStart"/>
      <w:r w:rsidRPr="00355406">
        <w:rPr>
          <w:rFonts w:eastAsia="Times New Roman"/>
          <w:lang w:eastAsia="de-DE"/>
        </w:rPr>
        <w:t>ϊν</w:t>
      </w:r>
      <w:proofErr w:type="spellEnd"/>
      <w:r w:rsidRPr="00355406">
        <w:rPr>
          <w:rFonts w:eastAsia="Times New Roman"/>
          <w:lang w:eastAsia="de-DE"/>
        </w:rPr>
        <w:t xml:space="preserve"> </w:t>
      </w:r>
      <w:proofErr w:type="spellStart"/>
      <w:r w:rsidRPr="00355406">
        <w:rPr>
          <w:rFonts w:eastAsia="Times New Roman"/>
          <w:lang w:eastAsia="de-DE"/>
        </w:rPr>
        <w:t>λογισθήσοντ</w:t>
      </w:r>
      <w:proofErr w:type="spellEnd"/>
      <w:r w:rsidRPr="00355406">
        <w:rPr>
          <w:rFonts w:eastAsia="Times New Roman"/>
          <w:lang w:eastAsia="de-DE"/>
        </w:rPr>
        <w:t xml:space="preserve">αι καὶ </w:t>
      </w:r>
      <w:proofErr w:type="spellStart"/>
      <w:r w:rsidRPr="00355406">
        <w:rPr>
          <w:rFonts w:eastAsia="Times New Roman"/>
          <w:lang w:eastAsia="de-DE"/>
        </w:rPr>
        <w:t>οὗτοι</w:t>
      </w:r>
      <w:proofErr w:type="spellEnd"/>
      <w:r w:rsidRPr="00355406">
        <w:rPr>
          <w:rFonts w:eastAsia="Times New Roman"/>
          <w:lang w:eastAsia="de-DE"/>
        </w:rPr>
        <w:t xml:space="preserve"> </w:t>
      </w:r>
      <w:proofErr w:type="spellStart"/>
      <w:r w:rsidRPr="00355406">
        <w:rPr>
          <w:rFonts w:eastAsia="Times New Roman"/>
          <w:lang w:eastAsia="de-DE"/>
        </w:rPr>
        <w:t>ὥσ</w:t>
      </w:r>
      <w:proofErr w:type="spellEnd"/>
      <w:r w:rsidRPr="00355406">
        <w:rPr>
          <w:rFonts w:eastAsia="Times New Roman"/>
          <w:lang w:eastAsia="de-DE"/>
        </w:rPr>
        <w:t xml:space="preserve">περ </w:t>
      </w:r>
      <w:proofErr w:type="spellStart"/>
      <w:r w:rsidRPr="00355406">
        <w:rPr>
          <w:rFonts w:eastAsia="Times New Roman"/>
          <w:lang w:eastAsia="de-DE"/>
        </w:rPr>
        <w:t>οἱ</w:t>
      </w:r>
      <w:proofErr w:type="spellEnd"/>
      <w:r w:rsidRPr="00355406">
        <w:rPr>
          <w:rFonts w:eastAsia="Times New Roman"/>
          <w:lang w:eastAsia="de-DE"/>
        </w:rPr>
        <w:t xml:space="preserve"> </w:t>
      </w:r>
      <w:proofErr w:type="spellStart"/>
      <w:r w:rsidRPr="00355406">
        <w:rPr>
          <w:rFonts w:eastAsia="Times New Roman"/>
          <w:lang w:eastAsia="de-DE"/>
        </w:rPr>
        <w:t>Εν</w:t>
      </w:r>
      <w:proofErr w:type="spellEnd"/>
      <w:r w:rsidRPr="00355406">
        <w:rPr>
          <w:rFonts w:eastAsia="Times New Roman"/>
          <w:lang w:eastAsia="de-DE"/>
        </w:rPr>
        <w:t xml:space="preserve">ακιμ, καὶ </w:t>
      </w:r>
      <w:proofErr w:type="spellStart"/>
      <w:r w:rsidRPr="00355406">
        <w:rPr>
          <w:rFonts w:eastAsia="Times New Roman"/>
          <w:lang w:eastAsia="de-DE"/>
        </w:rPr>
        <w:t>οἱ</w:t>
      </w:r>
      <w:proofErr w:type="spellEnd"/>
      <w:r w:rsidRPr="00355406">
        <w:rPr>
          <w:rFonts w:eastAsia="Times New Roman"/>
          <w:lang w:eastAsia="de-DE"/>
        </w:rPr>
        <w:t xml:space="preserve"> </w:t>
      </w:r>
      <w:proofErr w:type="spellStart"/>
      <w:r w:rsidRPr="00355406">
        <w:rPr>
          <w:rFonts w:eastAsia="Times New Roman"/>
          <w:lang w:eastAsia="de-DE"/>
        </w:rPr>
        <w:t>Μω</w:t>
      </w:r>
      <w:proofErr w:type="spellEnd"/>
      <w:r w:rsidRPr="00355406">
        <w:rPr>
          <w:rFonts w:eastAsia="Times New Roman"/>
          <w:lang w:eastAsia="de-DE"/>
        </w:rPr>
        <w:t>αβῖται ἐπ</w:t>
      </w:r>
      <w:proofErr w:type="spellStart"/>
      <w:r w:rsidRPr="00355406">
        <w:rPr>
          <w:rFonts w:eastAsia="Times New Roman"/>
          <w:lang w:eastAsia="de-DE"/>
        </w:rPr>
        <w:t>ονομάζουσιν</w:t>
      </w:r>
      <w:proofErr w:type="spellEnd"/>
      <w:r w:rsidRPr="00355406">
        <w:rPr>
          <w:rFonts w:eastAsia="Times New Roman"/>
          <w:lang w:eastAsia="de-DE"/>
        </w:rPr>
        <w:t xml:space="preserve"> α</w:t>
      </w:r>
      <w:proofErr w:type="spellStart"/>
      <w:r w:rsidRPr="00355406">
        <w:rPr>
          <w:rFonts w:eastAsia="Times New Roman"/>
          <w:lang w:eastAsia="de-DE"/>
        </w:rPr>
        <w:t>ὐτοὺς</w:t>
      </w:r>
      <w:proofErr w:type="spellEnd"/>
      <w:r w:rsidRPr="00355406">
        <w:rPr>
          <w:rFonts w:eastAsia="Times New Roman"/>
          <w:lang w:eastAsia="de-DE"/>
        </w:rPr>
        <w:t xml:space="preserve"> </w:t>
      </w:r>
      <w:proofErr w:type="spellStart"/>
      <w:r w:rsidRPr="00355406">
        <w:rPr>
          <w:rFonts w:eastAsia="Times New Roman"/>
          <w:lang w:eastAsia="de-DE"/>
        </w:rPr>
        <w:t>Ομμιν</w:t>
      </w:r>
      <w:proofErr w:type="spellEnd"/>
      <w:r w:rsidRPr="00355406">
        <w:rPr>
          <w:rFonts w:eastAsia="Times New Roman"/>
          <w:lang w:eastAsia="de-DE"/>
        </w:rPr>
        <w:t xml:space="preserve">" („Für </w:t>
      </w:r>
      <w:proofErr w:type="spellStart"/>
      <w:r w:rsidRPr="00355406">
        <w:rPr>
          <w:rFonts w:eastAsia="Times New Roman"/>
          <w:lang w:eastAsia="de-DE"/>
        </w:rPr>
        <w:t>Rafain</w:t>
      </w:r>
      <w:proofErr w:type="spellEnd"/>
      <w:r w:rsidRPr="00355406">
        <w:rPr>
          <w:rFonts w:eastAsia="Times New Roman"/>
          <w:lang w:eastAsia="de-DE"/>
        </w:rPr>
        <w:t xml:space="preserve"> werden auch diese gerechnet wie die Enakim, und die Moabiter nennen sie </w:t>
      </w:r>
      <w:proofErr w:type="spellStart"/>
      <w:r w:rsidRPr="00355406">
        <w:rPr>
          <w:rFonts w:eastAsia="Times New Roman"/>
          <w:lang w:eastAsia="de-DE"/>
        </w:rPr>
        <w:t>Ommin</w:t>
      </w:r>
      <w:proofErr w:type="spellEnd"/>
      <w:r w:rsidRPr="00355406">
        <w:rPr>
          <w:rFonts w:eastAsia="Times New Roman"/>
          <w:lang w:eastAsia="de-DE"/>
        </w:rPr>
        <w:t>").</w:t>
      </w:r>
    </w:p>
    <w:p w14:paraId="5937ECC8" w14:textId="77777777"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lang w:eastAsia="de-DE"/>
        </w:rPr>
        <w:t xml:space="preserve">Die Satzstruktur besteht aus zwei koordinierten Hauptsätzen: (1) </w:t>
      </w:r>
      <w:r w:rsidRPr="00355406">
        <w:rPr>
          <w:rFonts w:eastAsia="Times New Roman"/>
          <w:b/>
          <w:bCs/>
          <w:rtl/>
          <w:lang w:eastAsia="de-DE"/>
        </w:rPr>
        <w:t>רְפָאִים יֵחָשְׁבוּ אַף־הֵם כָּעֲנָקִים</w:t>
      </w:r>
      <w:r w:rsidRPr="00355406">
        <w:rPr>
          <w:rFonts w:eastAsia="Times New Roman"/>
          <w:rtl/>
          <w:lang w:eastAsia="de-DE"/>
        </w:rPr>
        <w:t xml:space="preserve"> </w:t>
      </w:r>
      <w:r w:rsidRPr="00355406">
        <w:rPr>
          <w:rFonts w:eastAsia="Times New Roman"/>
          <w:lang w:eastAsia="de-DE"/>
        </w:rPr>
        <w:t xml:space="preserve">mit vorangestelltem Prädikatsnomen und betontem Subjekt, (2) </w:t>
      </w:r>
      <w:r w:rsidRPr="00355406">
        <w:rPr>
          <w:rFonts w:eastAsia="Times New Roman"/>
          <w:b/>
          <w:bCs/>
          <w:rtl/>
          <w:lang w:eastAsia="de-DE"/>
        </w:rPr>
        <w:t>וְהַמֹּאָבִים יִקְרְאוּ לָהֶם אֵמִים</w:t>
      </w:r>
      <w:r w:rsidRPr="00355406">
        <w:rPr>
          <w:rFonts w:eastAsia="Times New Roman"/>
          <w:rtl/>
          <w:lang w:eastAsia="de-DE"/>
        </w:rPr>
        <w:t xml:space="preserve"> </w:t>
      </w:r>
      <w:r w:rsidRPr="00355406">
        <w:rPr>
          <w:rFonts w:eastAsia="Times New Roman"/>
          <w:lang w:eastAsia="de-DE"/>
        </w:rPr>
        <w:t>als kontrastierende Erklärung der lokalen Nomenklatur.</w:t>
      </w:r>
    </w:p>
    <w:p w14:paraId="5183A160" w14:textId="6B406F84"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lang w:eastAsia="de-DE"/>
        </w:rPr>
        <w:t xml:space="preserve">Der Vers erklärt die Klassifizierung der Emim: Sie gehören zur legendären Gruppe der </w:t>
      </w:r>
      <w:r w:rsidR="00D91A0B">
        <w:rPr>
          <w:rFonts w:eastAsia="Times New Roman"/>
          <w:lang w:eastAsia="de-DE"/>
        </w:rPr>
        <w:t>Ephraim</w:t>
      </w:r>
      <w:r w:rsidRPr="00355406">
        <w:rPr>
          <w:rFonts w:eastAsia="Times New Roman"/>
          <w:lang w:eastAsia="de-DE"/>
        </w:rPr>
        <w:t xml:space="preserve"> (Riesen) und werden wie die Anakiter eingeschätzt. Der zweite Satz erklärt, dass „Emim" der moabitische Lokalname für diese </w:t>
      </w:r>
      <w:r w:rsidR="00D91A0B">
        <w:rPr>
          <w:rFonts w:eastAsia="Times New Roman"/>
          <w:lang w:eastAsia="de-DE"/>
        </w:rPr>
        <w:t>Ephraim</w:t>
      </w:r>
      <w:r w:rsidRPr="00355406">
        <w:rPr>
          <w:rFonts w:eastAsia="Times New Roman"/>
          <w:lang w:eastAsia="de-DE"/>
        </w:rPr>
        <w:t xml:space="preserve"> ist. Dies zeigt das Interesse an ethnographischen und historischen Erklärungen.</w:t>
      </w:r>
    </w:p>
    <w:p w14:paraId="41D2CF38" w14:textId="77777777" w:rsidR="00355406" w:rsidRPr="00355406" w:rsidRDefault="00355406" w:rsidP="00355406">
      <w:pPr>
        <w:spacing w:before="100" w:beforeAutospacing="1" w:after="100" w:afterAutospacing="1" w:line="240" w:lineRule="auto"/>
        <w:outlineLvl w:val="1"/>
        <w:rPr>
          <w:rFonts w:eastAsia="Times New Roman"/>
          <w:b/>
          <w:bCs/>
          <w:sz w:val="36"/>
          <w:szCs w:val="36"/>
          <w:lang w:eastAsia="de-DE"/>
        </w:rPr>
      </w:pPr>
      <w:r w:rsidRPr="00355406">
        <w:rPr>
          <w:rFonts w:eastAsia="Times New Roman"/>
          <w:b/>
          <w:bCs/>
          <w:sz w:val="36"/>
          <w:szCs w:val="36"/>
          <w:lang w:eastAsia="de-DE"/>
        </w:rPr>
        <w:t>Deuteronomium 2,12</w:t>
      </w:r>
    </w:p>
    <w:p w14:paraId="4F646E09" w14:textId="77777777"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b/>
          <w:bCs/>
          <w:lang w:eastAsia="de-DE"/>
        </w:rPr>
        <w:t>Hebräisch:</w:t>
      </w:r>
      <w:r w:rsidRPr="00355406">
        <w:rPr>
          <w:rFonts w:eastAsia="Times New Roman"/>
          <w:lang w:eastAsia="de-DE"/>
        </w:rPr>
        <w:t xml:space="preserve"> </w:t>
      </w:r>
      <w:r w:rsidRPr="00355406">
        <w:rPr>
          <w:rFonts w:eastAsia="Times New Roman"/>
          <w:rtl/>
          <w:lang w:eastAsia="de-DE"/>
        </w:rPr>
        <w:t>וּבְשֵׂעִ֞יר יָשְׁב֣וּ הַחֹרִים֮ לְפָנִים֒ וּבְנֵ֧י עֵשָׂ֣ו יִֽירָשׁ֗וּם וַיַּשְׁמִידוּם֙ מִפְּנֵיהֶ֔ם וַיֵּשְׁב֖וּ תַּחְתָּ֑ם כַּאֲשֶׁ֧ר עָשָׂ֣ה יִשְׂרָאֵ֗ל לְאֶ֙רֶץ֙ יְרֻשָּׁתֹ֔ו אֲשֶׁר־נָתַ֥ן יְהוָ֖ה לָהֶֽם׃</w:t>
      </w:r>
    </w:p>
    <w:p w14:paraId="5ADE2F2D" w14:textId="77777777"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b/>
          <w:bCs/>
          <w:lang w:eastAsia="de-DE"/>
        </w:rPr>
        <w:t>Deutsch:</w:t>
      </w:r>
      <w:r w:rsidRPr="00355406">
        <w:rPr>
          <w:rFonts w:eastAsia="Times New Roman"/>
          <w:lang w:eastAsia="de-DE"/>
        </w:rPr>
        <w:t xml:space="preserve"> Und in Se'ir wohnten vorher die Chorim; aber die Söhne 'Esavs vertrieben sie und vernichteten sie vor sich und wohnten an ihrer Stelle, so wie Jisra'el mit dem Land seines Besitzes getan hat, das der Ewige ihnen gegeben hat.</w:t>
      </w:r>
    </w:p>
    <w:p w14:paraId="18C4BE5F" w14:textId="77777777" w:rsidR="00355406" w:rsidRPr="00355406" w:rsidRDefault="004F5CEB" w:rsidP="00355406">
      <w:pPr>
        <w:spacing w:after="0" w:line="240" w:lineRule="auto"/>
        <w:rPr>
          <w:rFonts w:eastAsia="Times New Roman"/>
          <w:lang w:eastAsia="de-DE"/>
        </w:rPr>
      </w:pPr>
      <w:r>
        <w:rPr>
          <w:rFonts w:eastAsia="Times New Roman"/>
          <w:noProof/>
          <w:lang w:eastAsia="de-DE"/>
        </w:rPr>
        <w:pict w14:anchorId="7E31B3DC">
          <v:rect id="_x0000_i1082" style="width:0;height:1.5pt" o:hralign="center" o:hrstd="t" o:hr="t" fillcolor="#a0a0a0" stroked="f"/>
        </w:pict>
      </w:r>
    </w:p>
    <w:p w14:paraId="4EC80100" w14:textId="77777777"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b/>
          <w:bCs/>
          <w:lang w:eastAsia="de-DE"/>
        </w:rPr>
        <w:t>Kommentar:</w:t>
      </w:r>
      <w:r w:rsidRPr="00355406">
        <w:rPr>
          <w:rFonts w:eastAsia="Times New Roman"/>
          <w:lang w:eastAsia="de-DE"/>
        </w:rPr>
        <w:t xml:space="preserve"> </w:t>
      </w:r>
      <w:r w:rsidRPr="00355406">
        <w:rPr>
          <w:rFonts w:eastAsia="Times New Roman"/>
          <w:b/>
          <w:bCs/>
          <w:rtl/>
          <w:lang w:eastAsia="de-DE"/>
        </w:rPr>
        <w:t>וּבְשֵׂעִיר</w:t>
      </w:r>
      <w:r w:rsidRPr="00355406">
        <w:rPr>
          <w:rFonts w:eastAsia="Times New Roman"/>
          <w:rtl/>
          <w:lang w:eastAsia="de-DE"/>
        </w:rPr>
        <w:t xml:space="preserve"> </w:t>
      </w:r>
      <w:r w:rsidRPr="00355406">
        <w:rPr>
          <w:rFonts w:eastAsia="Times New Roman"/>
          <w:lang w:eastAsia="de-DE"/>
        </w:rPr>
        <w:t xml:space="preserve">ist </w:t>
      </w:r>
      <w:r w:rsidRPr="00355406">
        <w:rPr>
          <w:rFonts w:eastAsia="Times New Roman"/>
          <w:b/>
          <w:bCs/>
          <w:rtl/>
          <w:lang w:eastAsia="de-DE"/>
        </w:rPr>
        <w:t>וְ</w:t>
      </w:r>
      <w:r w:rsidRPr="00355406">
        <w:rPr>
          <w:rFonts w:eastAsia="Times New Roman"/>
          <w:rtl/>
          <w:lang w:eastAsia="de-DE"/>
        </w:rPr>
        <w:t xml:space="preserve"> </w:t>
      </w:r>
      <w:r w:rsidRPr="00355406">
        <w:rPr>
          <w:rFonts w:eastAsia="Times New Roman"/>
          <w:lang w:eastAsia="de-DE"/>
        </w:rPr>
        <w:t xml:space="preserve">mit </w:t>
      </w:r>
      <w:r w:rsidRPr="00355406">
        <w:rPr>
          <w:rFonts w:eastAsia="Times New Roman"/>
          <w:b/>
          <w:bCs/>
          <w:rtl/>
          <w:lang w:eastAsia="de-DE"/>
        </w:rPr>
        <w:t>בְּ</w:t>
      </w:r>
      <w:r w:rsidRPr="00355406">
        <w:rPr>
          <w:rFonts w:eastAsia="Times New Roman"/>
          <w:rtl/>
          <w:lang w:eastAsia="de-DE"/>
        </w:rPr>
        <w:t xml:space="preserve"> </w:t>
      </w:r>
      <w:r w:rsidRPr="00355406">
        <w:rPr>
          <w:rFonts w:eastAsia="Times New Roman"/>
          <w:lang w:eastAsia="de-DE"/>
        </w:rPr>
        <w:t xml:space="preserve">und dem Ortsnamen </w:t>
      </w:r>
      <w:r w:rsidRPr="00355406">
        <w:rPr>
          <w:rFonts w:eastAsia="Times New Roman"/>
          <w:b/>
          <w:bCs/>
          <w:rtl/>
          <w:lang w:eastAsia="de-DE"/>
        </w:rPr>
        <w:t>שֵׂעִיר</w:t>
      </w:r>
      <w:r w:rsidRPr="00355406">
        <w:rPr>
          <w:rFonts w:eastAsia="Times New Roman"/>
          <w:lang w:eastAsia="de-DE"/>
        </w:rPr>
        <w:t xml:space="preserve">. </w:t>
      </w:r>
      <w:r w:rsidRPr="00355406">
        <w:rPr>
          <w:rFonts w:eastAsia="Times New Roman"/>
          <w:b/>
          <w:bCs/>
          <w:rtl/>
          <w:lang w:eastAsia="de-DE"/>
        </w:rPr>
        <w:t>יָשְׁבוּ</w:t>
      </w:r>
      <w:r w:rsidRPr="00355406">
        <w:rPr>
          <w:rFonts w:eastAsia="Times New Roman"/>
          <w:rtl/>
          <w:lang w:eastAsia="de-DE"/>
        </w:rPr>
        <w:t xml:space="preserve"> </w:t>
      </w:r>
      <w:r w:rsidRPr="00355406">
        <w:rPr>
          <w:rFonts w:eastAsia="Times New Roman"/>
          <w:lang w:eastAsia="de-DE"/>
        </w:rPr>
        <w:t xml:space="preserve">ist Qal Perfekt, 3. Person Plural von </w:t>
      </w:r>
      <w:r w:rsidRPr="00355406">
        <w:rPr>
          <w:rFonts w:eastAsia="Times New Roman"/>
          <w:rtl/>
          <w:lang w:eastAsia="de-DE"/>
        </w:rPr>
        <w:t>ישׁב</w:t>
      </w:r>
      <w:r w:rsidRPr="00355406">
        <w:rPr>
          <w:rFonts w:eastAsia="Times New Roman"/>
          <w:lang w:eastAsia="de-DE"/>
        </w:rPr>
        <w:t xml:space="preserve">. </w:t>
      </w:r>
      <w:r w:rsidRPr="00355406">
        <w:rPr>
          <w:rFonts w:eastAsia="Times New Roman"/>
          <w:b/>
          <w:bCs/>
          <w:rtl/>
          <w:lang w:eastAsia="de-DE"/>
        </w:rPr>
        <w:t>הַחֹרִים</w:t>
      </w:r>
      <w:r w:rsidRPr="00355406">
        <w:rPr>
          <w:rFonts w:eastAsia="Times New Roman"/>
          <w:rtl/>
          <w:lang w:eastAsia="de-DE"/>
        </w:rPr>
        <w:t xml:space="preserve"> </w:t>
      </w:r>
      <w:r w:rsidRPr="00355406">
        <w:rPr>
          <w:rFonts w:eastAsia="Times New Roman"/>
          <w:lang w:eastAsia="de-DE"/>
        </w:rPr>
        <w:t xml:space="preserve">ist der Plural von </w:t>
      </w:r>
      <w:r w:rsidRPr="00355406">
        <w:rPr>
          <w:rFonts w:eastAsia="Times New Roman"/>
          <w:b/>
          <w:bCs/>
          <w:rtl/>
          <w:lang w:eastAsia="de-DE"/>
        </w:rPr>
        <w:t>חֹרִי</w:t>
      </w:r>
      <w:r w:rsidRPr="00355406">
        <w:rPr>
          <w:rFonts w:eastAsia="Times New Roman"/>
          <w:rtl/>
          <w:lang w:eastAsia="de-DE"/>
        </w:rPr>
        <w:t xml:space="preserve"> </w:t>
      </w:r>
      <w:r w:rsidRPr="00355406">
        <w:rPr>
          <w:rFonts w:eastAsia="Times New Roman"/>
          <w:lang w:eastAsia="de-DE"/>
        </w:rPr>
        <w:t xml:space="preserve">(„Horiter") mit Artikel, ein Völkername. </w:t>
      </w:r>
      <w:r w:rsidRPr="00355406">
        <w:rPr>
          <w:rFonts w:eastAsia="Times New Roman"/>
          <w:b/>
          <w:bCs/>
          <w:rtl/>
          <w:lang w:eastAsia="de-DE"/>
        </w:rPr>
        <w:t>לְפָנִים</w:t>
      </w:r>
      <w:r w:rsidRPr="00355406">
        <w:rPr>
          <w:rFonts w:eastAsia="Times New Roman"/>
          <w:rtl/>
          <w:lang w:eastAsia="de-DE"/>
        </w:rPr>
        <w:t xml:space="preserve"> </w:t>
      </w:r>
      <w:r w:rsidRPr="00355406">
        <w:rPr>
          <w:rFonts w:eastAsia="Times New Roman"/>
          <w:lang w:eastAsia="de-DE"/>
        </w:rPr>
        <w:t>ist das temporale Adverb „vorher" wie in V. 10.</w:t>
      </w:r>
    </w:p>
    <w:p w14:paraId="69DB4992" w14:textId="3857B748"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b/>
          <w:bCs/>
          <w:rtl/>
          <w:lang w:eastAsia="de-DE"/>
        </w:rPr>
        <w:t>וּבְנֵי עֵשָׂו יִירָשׁוּם</w:t>
      </w:r>
      <w:r w:rsidRPr="00355406">
        <w:rPr>
          <w:rFonts w:eastAsia="Times New Roman"/>
          <w:rtl/>
          <w:lang w:eastAsia="de-DE"/>
        </w:rPr>
        <w:t xml:space="preserve"> </w:t>
      </w:r>
      <w:r w:rsidRPr="00355406">
        <w:rPr>
          <w:rFonts w:eastAsia="Times New Roman"/>
          <w:lang w:eastAsia="de-DE"/>
        </w:rPr>
        <w:t xml:space="preserve">ist </w:t>
      </w:r>
      <w:r w:rsidRPr="00355406">
        <w:rPr>
          <w:rFonts w:eastAsia="Times New Roman"/>
          <w:b/>
          <w:bCs/>
          <w:rtl/>
          <w:lang w:eastAsia="de-DE"/>
        </w:rPr>
        <w:t>וְ</w:t>
      </w:r>
      <w:r w:rsidRPr="00355406">
        <w:rPr>
          <w:rFonts w:eastAsia="Times New Roman"/>
          <w:rtl/>
          <w:lang w:eastAsia="de-DE"/>
        </w:rPr>
        <w:t xml:space="preserve"> </w:t>
      </w:r>
      <w:r w:rsidRPr="00355406">
        <w:rPr>
          <w:rFonts w:eastAsia="Times New Roman"/>
          <w:lang w:eastAsia="de-DE"/>
        </w:rPr>
        <w:t xml:space="preserve">mit </w:t>
      </w:r>
      <w:r w:rsidRPr="00355406">
        <w:rPr>
          <w:rFonts w:eastAsia="Times New Roman"/>
          <w:b/>
          <w:bCs/>
          <w:rtl/>
          <w:lang w:eastAsia="de-DE"/>
        </w:rPr>
        <w:t>בְּנֵי עֵשָׂו</w:t>
      </w:r>
      <w:r w:rsidRPr="00355406">
        <w:rPr>
          <w:rFonts w:eastAsia="Times New Roman"/>
          <w:rtl/>
          <w:lang w:eastAsia="de-DE"/>
        </w:rPr>
        <w:t xml:space="preserve"> </w:t>
      </w:r>
      <w:r w:rsidRPr="00355406">
        <w:rPr>
          <w:rFonts w:eastAsia="Times New Roman"/>
          <w:lang w:eastAsia="de-DE"/>
        </w:rPr>
        <w:t xml:space="preserve">(„Söhne Esaus") als Subjekt, </w:t>
      </w:r>
      <w:r w:rsidRPr="00355406">
        <w:rPr>
          <w:rFonts w:eastAsia="Times New Roman"/>
          <w:b/>
          <w:bCs/>
          <w:rtl/>
          <w:lang w:eastAsia="de-DE"/>
        </w:rPr>
        <w:t>יִירָשׁוּם</w:t>
      </w:r>
      <w:r w:rsidRPr="00355406">
        <w:rPr>
          <w:rFonts w:eastAsia="Times New Roman"/>
          <w:rtl/>
          <w:lang w:eastAsia="de-DE"/>
        </w:rPr>
        <w:t xml:space="preserve"> </w:t>
      </w:r>
      <w:r w:rsidRPr="00355406">
        <w:rPr>
          <w:rFonts w:eastAsia="Times New Roman"/>
          <w:lang w:eastAsia="de-DE"/>
        </w:rPr>
        <w:t xml:space="preserve">(Qal Imperfekt, 3. Person Plural von </w:t>
      </w:r>
      <w:r w:rsidRPr="00355406">
        <w:rPr>
          <w:rFonts w:eastAsia="Times New Roman"/>
          <w:rtl/>
          <w:lang w:eastAsia="de-DE"/>
        </w:rPr>
        <w:t>ירשׁ</w:t>
      </w:r>
      <w:r w:rsidRPr="00355406">
        <w:rPr>
          <w:rFonts w:eastAsia="Times New Roman"/>
          <w:lang w:eastAsia="de-DE"/>
        </w:rPr>
        <w:t xml:space="preserve"> „vertreiben, enteignen" mit Objektsuffix 3. Person maskulin Plural </w:t>
      </w:r>
      <w:r w:rsidRPr="00355406">
        <w:rPr>
          <w:rFonts w:eastAsia="Times New Roman"/>
          <w:b/>
          <w:bCs/>
          <w:rtl/>
          <w:lang w:eastAsia="de-DE"/>
        </w:rPr>
        <w:t>וּם</w:t>
      </w:r>
      <w:r w:rsidRPr="00355406">
        <w:rPr>
          <w:rFonts w:eastAsia="Times New Roman"/>
          <w:lang w:eastAsia="de-DE"/>
        </w:rPr>
        <w:t xml:space="preserve">). </w:t>
      </w:r>
      <w:r w:rsidRPr="00355406">
        <w:rPr>
          <w:rFonts w:eastAsia="Times New Roman"/>
          <w:b/>
          <w:bCs/>
          <w:rtl/>
          <w:lang w:eastAsia="de-DE"/>
        </w:rPr>
        <w:t>וַיַּשְׁמִידוּם</w:t>
      </w:r>
      <w:r w:rsidRPr="00355406">
        <w:rPr>
          <w:rFonts w:eastAsia="Times New Roman"/>
          <w:rtl/>
          <w:lang w:eastAsia="de-DE"/>
        </w:rPr>
        <w:t xml:space="preserve"> </w:t>
      </w:r>
      <w:r w:rsidRPr="00355406">
        <w:rPr>
          <w:rFonts w:eastAsia="Times New Roman"/>
          <w:lang w:eastAsia="de-DE"/>
        </w:rPr>
        <w:t xml:space="preserve">ist Hif'il Imperfekt consecutivum, 3. Person Plural von </w:t>
      </w:r>
      <w:r w:rsidRPr="00355406">
        <w:rPr>
          <w:rFonts w:eastAsia="Times New Roman"/>
          <w:rtl/>
          <w:lang w:eastAsia="de-DE"/>
        </w:rPr>
        <w:t>שׁמד</w:t>
      </w:r>
      <w:r w:rsidRPr="00355406">
        <w:rPr>
          <w:rFonts w:eastAsia="Times New Roman"/>
          <w:lang w:eastAsia="de-DE"/>
        </w:rPr>
        <w:t xml:space="preserve"> („vernichten") mit Waw und Objektsuffix. </w:t>
      </w:r>
      <w:r w:rsidRPr="00355406">
        <w:rPr>
          <w:rFonts w:eastAsia="Times New Roman"/>
          <w:b/>
          <w:bCs/>
          <w:rtl/>
          <w:lang w:eastAsia="de-DE"/>
        </w:rPr>
        <w:t>מִפְּנֵיהֶם</w:t>
      </w:r>
      <w:r w:rsidRPr="00355406">
        <w:rPr>
          <w:rFonts w:eastAsia="Times New Roman"/>
          <w:rtl/>
          <w:lang w:eastAsia="de-DE"/>
        </w:rPr>
        <w:t xml:space="preserve"> </w:t>
      </w:r>
      <w:r w:rsidRPr="00355406">
        <w:rPr>
          <w:rFonts w:eastAsia="Times New Roman"/>
          <w:lang w:eastAsia="de-DE"/>
        </w:rPr>
        <w:t xml:space="preserve">ist </w:t>
      </w:r>
      <w:r w:rsidRPr="00355406">
        <w:rPr>
          <w:rFonts w:eastAsia="Times New Roman"/>
          <w:b/>
          <w:bCs/>
          <w:rtl/>
          <w:lang w:eastAsia="de-DE"/>
        </w:rPr>
        <w:t>מִן</w:t>
      </w:r>
      <w:r w:rsidRPr="00355406">
        <w:rPr>
          <w:rFonts w:eastAsia="Times New Roman"/>
          <w:rtl/>
          <w:lang w:eastAsia="de-DE"/>
        </w:rPr>
        <w:t xml:space="preserve"> </w:t>
      </w:r>
      <w:r w:rsidRPr="00355406">
        <w:rPr>
          <w:rFonts w:eastAsia="Times New Roman"/>
          <w:lang w:eastAsia="de-DE"/>
        </w:rPr>
        <w:t xml:space="preserve">„vor" mit </w:t>
      </w:r>
      <w:r w:rsidRPr="00355406">
        <w:rPr>
          <w:rFonts w:eastAsia="Times New Roman"/>
          <w:b/>
          <w:bCs/>
          <w:rtl/>
          <w:lang w:eastAsia="de-DE"/>
        </w:rPr>
        <w:t>פָּנִים</w:t>
      </w:r>
      <w:r w:rsidRPr="00355406">
        <w:rPr>
          <w:rFonts w:eastAsia="Times New Roman"/>
          <w:rtl/>
          <w:lang w:eastAsia="de-DE"/>
        </w:rPr>
        <w:t xml:space="preserve"> </w:t>
      </w:r>
      <w:r w:rsidRPr="00355406">
        <w:rPr>
          <w:rFonts w:eastAsia="Times New Roman"/>
          <w:lang w:eastAsia="de-DE"/>
        </w:rPr>
        <w:t xml:space="preserve">im Plural </w:t>
      </w:r>
      <w:r w:rsidR="0032647F">
        <w:rPr>
          <w:rFonts w:eastAsia="Times New Roman"/>
          <w:lang w:eastAsia="de-DE"/>
        </w:rPr>
        <w:t>Construct</w:t>
      </w:r>
      <w:r w:rsidRPr="00355406">
        <w:rPr>
          <w:rFonts w:eastAsia="Times New Roman"/>
          <w:lang w:eastAsia="de-DE"/>
        </w:rPr>
        <w:t xml:space="preserve"> und Suffix 3. Person Plural.</w:t>
      </w:r>
    </w:p>
    <w:p w14:paraId="1CA24773" w14:textId="77777777"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b/>
          <w:bCs/>
          <w:rtl/>
          <w:lang w:eastAsia="de-DE"/>
        </w:rPr>
        <w:lastRenderedPageBreak/>
        <w:t>וַיֵּשְׁבוּ תַּחְתָּם</w:t>
      </w:r>
      <w:r w:rsidRPr="00355406">
        <w:rPr>
          <w:rFonts w:eastAsia="Times New Roman"/>
          <w:rtl/>
          <w:lang w:eastAsia="de-DE"/>
        </w:rPr>
        <w:t xml:space="preserve"> </w:t>
      </w:r>
      <w:r w:rsidRPr="00355406">
        <w:rPr>
          <w:rFonts w:eastAsia="Times New Roman"/>
          <w:lang w:eastAsia="de-DE"/>
        </w:rPr>
        <w:t xml:space="preserve">ist Qal Imperfekt consecutivum, 3. Person Plural von </w:t>
      </w:r>
      <w:r w:rsidRPr="00355406">
        <w:rPr>
          <w:rFonts w:eastAsia="Times New Roman"/>
          <w:rtl/>
          <w:lang w:eastAsia="de-DE"/>
        </w:rPr>
        <w:t>ישׁב</w:t>
      </w:r>
      <w:r w:rsidRPr="00355406">
        <w:rPr>
          <w:rFonts w:eastAsia="Times New Roman"/>
          <w:lang w:eastAsia="de-DE"/>
        </w:rPr>
        <w:t xml:space="preserve"> mit Waw, </w:t>
      </w:r>
      <w:r w:rsidRPr="00355406">
        <w:rPr>
          <w:rFonts w:eastAsia="Times New Roman"/>
          <w:b/>
          <w:bCs/>
          <w:rtl/>
          <w:lang w:eastAsia="de-DE"/>
        </w:rPr>
        <w:t>תַּחְתָּם</w:t>
      </w:r>
      <w:r w:rsidRPr="00355406">
        <w:rPr>
          <w:rFonts w:eastAsia="Times New Roman"/>
          <w:rtl/>
          <w:lang w:eastAsia="de-DE"/>
        </w:rPr>
        <w:t xml:space="preserve"> </w:t>
      </w:r>
      <w:r w:rsidRPr="00355406">
        <w:rPr>
          <w:rFonts w:eastAsia="Times New Roman"/>
          <w:lang w:eastAsia="de-DE"/>
        </w:rPr>
        <w:t xml:space="preserve">ist </w:t>
      </w:r>
      <w:r w:rsidRPr="00355406">
        <w:rPr>
          <w:rFonts w:eastAsia="Times New Roman"/>
          <w:b/>
          <w:bCs/>
          <w:rtl/>
          <w:lang w:eastAsia="de-DE"/>
        </w:rPr>
        <w:t>תַּחַת</w:t>
      </w:r>
      <w:r w:rsidRPr="00355406">
        <w:rPr>
          <w:rFonts w:eastAsia="Times New Roman"/>
          <w:rtl/>
          <w:lang w:eastAsia="de-DE"/>
        </w:rPr>
        <w:t xml:space="preserve"> </w:t>
      </w:r>
      <w:r w:rsidRPr="00355406">
        <w:rPr>
          <w:rFonts w:eastAsia="Times New Roman"/>
          <w:lang w:eastAsia="de-DE"/>
        </w:rPr>
        <w:t>(„unter, an Stelle von") mit Suffix 3. Person Plural („an ihrer Stelle").</w:t>
      </w:r>
    </w:p>
    <w:p w14:paraId="14F29E77" w14:textId="77777777" w:rsidR="007E7473" w:rsidRDefault="00355406" w:rsidP="007E7473">
      <w:pPr>
        <w:pStyle w:val="KeinLeerraum"/>
        <w:rPr>
          <w:rStyle w:val="berschrift2Zchn"/>
          <w:rFonts w:eastAsiaTheme="majorEastAsia"/>
        </w:rPr>
      </w:pPr>
      <w:r w:rsidRPr="00355406">
        <w:rPr>
          <w:b/>
          <w:bCs/>
          <w:rtl/>
        </w:rPr>
        <w:t>כַּאֲשֶׁר עָשָׂה יִשְׂרָאֵל לְאֶרֶץ יְרֻשָּׁתוֹ אֲשֶׁר־נָתַן יְהוָה לָהֶם</w:t>
      </w:r>
      <w:r w:rsidRPr="00355406">
        <w:rPr>
          <w:rtl/>
        </w:rPr>
        <w:t xml:space="preserve"> </w:t>
      </w:r>
      <w:r w:rsidRPr="00355406">
        <w:t xml:space="preserve">ist ein Vergleichssatz: </w:t>
      </w:r>
      <w:r w:rsidRPr="00355406">
        <w:rPr>
          <w:b/>
          <w:bCs/>
          <w:rtl/>
        </w:rPr>
        <w:t>כַּאֲשֶׁר</w:t>
      </w:r>
      <w:r w:rsidRPr="00355406">
        <w:t xml:space="preserve">, </w:t>
      </w:r>
      <w:r w:rsidRPr="00355406">
        <w:rPr>
          <w:b/>
          <w:bCs/>
          <w:rtl/>
        </w:rPr>
        <w:t>עָשָׂה</w:t>
      </w:r>
      <w:r w:rsidRPr="00355406">
        <w:rPr>
          <w:rtl/>
        </w:rPr>
        <w:t xml:space="preserve"> </w:t>
      </w:r>
      <w:r w:rsidRPr="00355406">
        <w:t xml:space="preserve">(Qal Perfekt, 3. Person maskulin Singular von </w:t>
      </w:r>
      <w:r w:rsidRPr="00355406">
        <w:rPr>
          <w:rtl/>
        </w:rPr>
        <w:t>עשׂה</w:t>
      </w:r>
      <w:r w:rsidRPr="00355406">
        <w:t xml:space="preserve">), </w:t>
      </w:r>
      <w:r w:rsidRPr="00355406">
        <w:rPr>
          <w:b/>
          <w:bCs/>
          <w:rtl/>
        </w:rPr>
        <w:t>יִשְׂרָאֵל</w:t>
      </w:r>
      <w:r w:rsidRPr="00355406">
        <w:rPr>
          <w:rtl/>
        </w:rPr>
        <w:t xml:space="preserve"> </w:t>
      </w:r>
      <w:r w:rsidRPr="00355406">
        <w:t xml:space="preserve">als Subjekt, </w:t>
      </w:r>
      <w:r w:rsidRPr="00355406">
        <w:rPr>
          <w:b/>
          <w:bCs/>
          <w:rtl/>
        </w:rPr>
        <w:t>לְאֶרֶץ יְרֻשָּׁתוֹ</w:t>
      </w:r>
      <w:r w:rsidRPr="00355406">
        <w:rPr>
          <w:rtl/>
        </w:rPr>
        <w:t xml:space="preserve"> </w:t>
      </w:r>
      <w:r w:rsidRPr="00355406">
        <w:t>(</w:t>
      </w:r>
      <w:r w:rsidRPr="00355406">
        <w:rPr>
          <w:b/>
          <w:bCs/>
          <w:rtl/>
        </w:rPr>
        <w:t>לְ</w:t>
      </w:r>
      <w:r w:rsidRPr="00355406">
        <w:rPr>
          <w:rtl/>
        </w:rPr>
        <w:t xml:space="preserve"> </w:t>
      </w:r>
      <w:r w:rsidRPr="00355406">
        <w:t xml:space="preserve">mit </w:t>
      </w:r>
      <w:r w:rsidRPr="00355406">
        <w:rPr>
          <w:b/>
          <w:bCs/>
          <w:rtl/>
        </w:rPr>
        <w:t>אֶרֶץ</w:t>
      </w:r>
      <w:r w:rsidRPr="00355406">
        <w:rPr>
          <w:rtl/>
        </w:rPr>
        <w:t xml:space="preserve"> </w:t>
      </w:r>
      <w:r w:rsidRPr="00355406">
        <w:t xml:space="preserve">im </w:t>
      </w:r>
      <w:r w:rsidR="0032647F">
        <w:t>Construct</w:t>
      </w:r>
      <w:r w:rsidRPr="00355406">
        <w:t xml:space="preserve">, </w:t>
      </w:r>
      <w:r w:rsidRPr="00355406">
        <w:rPr>
          <w:b/>
          <w:bCs/>
          <w:rtl/>
        </w:rPr>
        <w:t>יְרֻשָּׁה</w:t>
      </w:r>
      <w:r w:rsidRPr="00355406">
        <w:rPr>
          <w:rtl/>
        </w:rPr>
        <w:t xml:space="preserve"> </w:t>
      </w:r>
      <w:r w:rsidRPr="00355406">
        <w:t xml:space="preserve">„Besitz" im </w:t>
      </w:r>
      <w:r w:rsidR="0032647F">
        <w:t>Construct</w:t>
      </w:r>
      <w:r w:rsidRPr="00355406">
        <w:t xml:space="preserve">, und Suffix 3. Person maskulin Singular „dem Land seines Besitzes"), Relativsatz </w:t>
      </w:r>
      <w:r w:rsidRPr="00355406">
        <w:rPr>
          <w:b/>
          <w:bCs/>
          <w:rtl/>
        </w:rPr>
        <w:t>אֲשֶׁר־נָתַן יְהוָה לָהֶם</w:t>
      </w:r>
      <w:r w:rsidRPr="00355406">
        <w:rPr>
          <w:rtl/>
        </w:rPr>
        <w:t xml:space="preserve"> </w:t>
      </w:r>
      <w:r w:rsidRPr="00355406">
        <w:t xml:space="preserve">mit </w:t>
      </w:r>
      <w:r w:rsidRPr="00355406">
        <w:rPr>
          <w:b/>
          <w:bCs/>
          <w:rtl/>
        </w:rPr>
        <w:t>נָתַן</w:t>
      </w:r>
      <w:r w:rsidRPr="00355406">
        <w:rPr>
          <w:rtl/>
        </w:rPr>
        <w:t xml:space="preserve"> </w:t>
      </w:r>
      <w:r w:rsidRPr="00355406">
        <w:t xml:space="preserve">(Qal Perfekt, 3. Person maskulin Singular von </w:t>
      </w:r>
      <w:r w:rsidRPr="00355406">
        <w:rPr>
          <w:rtl/>
        </w:rPr>
        <w:t>נתן</w:t>
      </w:r>
      <w:r w:rsidRPr="00355406">
        <w:t xml:space="preserve">), </w:t>
      </w:r>
      <w:r w:rsidRPr="00355406">
        <w:rPr>
          <w:b/>
          <w:bCs/>
          <w:rtl/>
        </w:rPr>
        <w:t>יְהוָה</w:t>
      </w:r>
      <w:r w:rsidRPr="00355406">
        <w:rPr>
          <w:rtl/>
        </w:rPr>
        <w:t xml:space="preserve"> </w:t>
      </w:r>
      <w:r w:rsidRPr="00355406">
        <w:t xml:space="preserve">als Subjekt, </w:t>
      </w:r>
      <w:r w:rsidRPr="00355406">
        <w:rPr>
          <w:b/>
          <w:bCs/>
          <w:rtl/>
        </w:rPr>
        <w:t>לָהֶם</w:t>
      </w:r>
      <w:r w:rsidRPr="00355406">
        <w:rPr>
          <w:rtl/>
        </w:rPr>
        <w:t xml:space="preserve"> </w:t>
      </w:r>
      <w:r w:rsidRPr="00355406">
        <w:t>als Dativ.</w:t>
      </w:r>
      <w:r w:rsidR="007E7473" w:rsidRPr="007E7473">
        <w:rPr>
          <w:rStyle w:val="berschrift2Zchn"/>
          <w:rFonts w:eastAsiaTheme="majorEastAsia"/>
        </w:rPr>
        <w:t xml:space="preserve"> </w:t>
      </w:r>
    </w:p>
    <w:p w14:paraId="0A57C9A9" w14:textId="15CDD860" w:rsidR="007E7473" w:rsidRDefault="007E7473" w:rsidP="007E7473">
      <w:pPr>
        <w:pStyle w:val="KeinLeerraum"/>
      </w:pPr>
      <w:r>
        <w:rPr>
          <w:rStyle w:val="Fett"/>
        </w:rPr>
        <w:t>Kritische Anmerkung:</w:t>
      </w:r>
      <w:r>
        <w:br/>
        <w:t>Der Vergleich „</w:t>
      </w:r>
      <w:r w:rsidRPr="007E7473">
        <w:rPr>
          <w:b/>
          <w:bCs/>
          <w:rtl/>
        </w:rPr>
        <w:t>כַּאֲשֶׁר עָשָׂה יִשְׂרָאֵל לְאֶרֶץ יְרֻשָּׁתוֹ</w:t>
      </w:r>
      <w:r>
        <w:t xml:space="preserve">“ ist besonders auffällig, weil er </w:t>
      </w:r>
      <w:r>
        <w:rPr>
          <w:rStyle w:val="Fett"/>
        </w:rPr>
        <w:t>nicht</w:t>
      </w:r>
      <w:r>
        <w:t xml:space="preserve"> auf eine bereits erfolgte Landnahme zurückblickt, sondern </w:t>
      </w:r>
      <w:r>
        <w:rPr>
          <w:rStyle w:val="Fett"/>
        </w:rPr>
        <w:t>prospektiv</w:t>
      </w:r>
      <w:r>
        <w:t xml:space="preserve"> auf eine erst kommende Handlung Israels verweist. Damit wird die Aussage zu mehr als einer simplen Analogie:</w:t>
      </w:r>
    </w:p>
    <w:p w14:paraId="64E0031A" w14:textId="77777777" w:rsidR="007E7473" w:rsidRDefault="007E7473" w:rsidP="007E7473">
      <w:pPr>
        <w:pStyle w:val="StandardWeb"/>
      </w:pPr>
      <w:r>
        <w:t xml:space="preserve">Sie </w:t>
      </w:r>
      <w:r>
        <w:rPr>
          <w:rStyle w:val="Fett"/>
          <w:rFonts w:eastAsiaTheme="majorEastAsia"/>
        </w:rPr>
        <w:t>antizipiert</w:t>
      </w:r>
      <w:r>
        <w:t xml:space="preserve"> Israels zukünftiges Vorgehen im verheißenen Land und setzt es schon </w:t>
      </w:r>
      <w:r>
        <w:rPr>
          <w:rStyle w:val="Fett"/>
          <w:rFonts w:eastAsiaTheme="majorEastAsia"/>
        </w:rPr>
        <w:t>jetzt</w:t>
      </w:r>
      <w:r>
        <w:t>, vor seiner Erfüllung, als normativen Vergleichspunkt ein.</w:t>
      </w:r>
    </w:p>
    <w:p w14:paraId="189BBF5A" w14:textId="1E27CA5B" w:rsidR="00355406" w:rsidRPr="00355406" w:rsidRDefault="007E7473" w:rsidP="007E7473">
      <w:pPr>
        <w:pStyle w:val="StandardWeb"/>
      </w:pPr>
      <w:r>
        <w:t xml:space="preserve">Gerade dadurch gewinnt der Satz eine starke </w:t>
      </w:r>
      <w:r>
        <w:rPr>
          <w:rStyle w:val="Fett"/>
          <w:rFonts w:eastAsiaTheme="majorEastAsia"/>
        </w:rPr>
        <w:t>legitimierende Funktion</w:t>
      </w:r>
      <w:r>
        <w:t xml:space="preserve">: Die noch bevorstehende Landnahme wird wie selbstverständlich als feststehende Realität vorausgesetzt und dient zugleich als </w:t>
      </w:r>
      <w:r>
        <w:rPr>
          <w:rStyle w:val="Fett"/>
          <w:rFonts w:eastAsiaTheme="majorEastAsia"/>
        </w:rPr>
        <w:t>maßgeblicher Referenzrahmen</w:t>
      </w:r>
      <w:r>
        <w:t>, an dem das gegenwärtige Handeln analog ausgerichtet wird.</w:t>
      </w:r>
    </w:p>
    <w:p w14:paraId="32D97BE5" w14:textId="6287DC95" w:rsidR="00516967" w:rsidRPr="00A924F1" w:rsidRDefault="00355406" w:rsidP="00A924F1">
      <w:pPr>
        <w:spacing w:before="100" w:beforeAutospacing="1" w:after="100" w:afterAutospacing="1" w:line="240" w:lineRule="auto"/>
      </w:pPr>
      <w:r w:rsidRPr="00355406">
        <w:rPr>
          <w:rFonts w:eastAsia="Times New Roman"/>
          <w:b/>
          <w:bCs/>
          <w:lang w:eastAsia="de-DE"/>
        </w:rPr>
        <w:t>Die LXX</w:t>
      </w:r>
      <w:r w:rsidRPr="00355406">
        <w:rPr>
          <w:rFonts w:eastAsia="Times New Roman"/>
          <w:lang w:eastAsia="de-DE"/>
        </w:rPr>
        <w:t xml:space="preserve"> </w:t>
      </w:r>
      <w:r w:rsidR="009B686A">
        <w:t>übersetzt „</w:t>
      </w:r>
      <w:r w:rsidR="009B686A">
        <w:rPr>
          <w:rtl/>
        </w:rPr>
        <w:t>הַחֹרִים</w:t>
      </w:r>
      <w:r w:rsidR="009B686A">
        <w:t xml:space="preserve">" (die Horiter) mit „ὁ </w:t>
      </w:r>
      <w:proofErr w:type="spellStart"/>
      <w:r w:rsidR="009B686A">
        <w:t>Χορρ</w:t>
      </w:r>
      <w:proofErr w:type="spellEnd"/>
      <w:r w:rsidR="009B686A">
        <w:t xml:space="preserve">αῖος" (der </w:t>
      </w:r>
      <w:proofErr w:type="spellStart"/>
      <w:r w:rsidR="009B686A">
        <w:t>Chorräer</w:t>
      </w:r>
      <w:proofErr w:type="spellEnd"/>
      <w:r w:rsidR="009B686A">
        <w:t>) im Singular.</w:t>
      </w:r>
    </w:p>
    <w:p w14:paraId="26CEE77A" w14:textId="77777777"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lang w:eastAsia="de-DE"/>
        </w:rPr>
        <w:t xml:space="preserve">Die Satzstruktur ist komplex mit mehreren koordinierten Verben: (1) </w:t>
      </w:r>
      <w:r w:rsidRPr="00355406">
        <w:rPr>
          <w:rFonts w:eastAsia="Times New Roman"/>
          <w:b/>
          <w:bCs/>
          <w:rtl/>
          <w:lang w:eastAsia="de-DE"/>
        </w:rPr>
        <w:t>וּבְשֵׂעִיר יָשְׁבוּ הַחֹרִים לְפָנִים</w:t>
      </w:r>
      <w:r w:rsidRPr="00355406">
        <w:rPr>
          <w:rFonts w:eastAsia="Times New Roman"/>
          <w:lang w:eastAsia="de-DE"/>
        </w:rPr>
        <w:t xml:space="preserve">, (2-4) drei koordinierte Verben </w:t>
      </w:r>
      <w:r w:rsidRPr="00355406">
        <w:rPr>
          <w:rFonts w:eastAsia="Times New Roman"/>
          <w:b/>
          <w:bCs/>
          <w:rtl/>
          <w:lang w:eastAsia="de-DE"/>
        </w:rPr>
        <w:t>וּבְנֵי עֵשָׂו יִירָשׁוּם</w:t>
      </w:r>
      <w:r w:rsidRPr="00355406">
        <w:rPr>
          <w:rFonts w:eastAsia="Times New Roman"/>
          <w:lang w:eastAsia="de-DE"/>
        </w:rPr>
        <w:t xml:space="preserve">, </w:t>
      </w:r>
      <w:r w:rsidRPr="00355406">
        <w:rPr>
          <w:rFonts w:eastAsia="Times New Roman"/>
          <w:b/>
          <w:bCs/>
          <w:rtl/>
          <w:lang w:eastAsia="de-DE"/>
        </w:rPr>
        <w:t>וַיַּשְׁמִידוּם מִפְּנֵיהֶם</w:t>
      </w:r>
      <w:r w:rsidRPr="00355406">
        <w:rPr>
          <w:rFonts w:eastAsia="Times New Roman"/>
          <w:lang w:eastAsia="de-DE"/>
        </w:rPr>
        <w:t xml:space="preserve">, </w:t>
      </w:r>
      <w:r w:rsidRPr="00355406">
        <w:rPr>
          <w:rFonts w:eastAsia="Times New Roman"/>
          <w:b/>
          <w:bCs/>
          <w:rtl/>
          <w:lang w:eastAsia="de-DE"/>
        </w:rPr>
        <w:t>וַיֵּשְׁבוּ תַּחְתָּם</w:t>
      </w:r>
      <w:r w:rsidRPr="00355406">
        <w:rPr>
          <w:rFonts w:eastAsia="Times New Roman"/>
          <w:lang w:eastAsia="de-DE"/>
        </w:rPr>
        <w:t xml:space="preserve">, (5) abschließender Vergleichssatz </w:t>
      </w:r>
      <w:r w:rsidRPr="00355406">
        <w:rPr>
          <w:rFonts w:eastAsia="Times New Roman"/>
          <w:b/>
          <w:bCs/>
          <w:rtl/>
          <w:lang w:eastAsia="de-DE"/>
        </w:rPr>
        <w:t>כַּאֲשֶׁר עָשָׂה יִשְׂרָאֵל</w:t>
      </w:r>
      <w:r w:rsidRPr="00355406">
        <w:rPr>
          <w:rFonts w:eastAsia="Times New Roman"/>
          <w:rtl/>
          <w:lang w:eastAsia="de-DE"/>
        </w:rPr>
        <w:t xml:space="preserve"> </w:t>
      </w:r>
      <w:r w:rsidRPr="00355406">
        <w:rPr>
          <w:rFonts w:eastAsia="Times New Roman"/>
          <w:lang w:eastAsia="de-DE"/>
        </w:rPr>
        <w:t>mit Relativsatz.</w:t>
      </w:r>
    </w:p>
    <w:p w14:paraId="6A92F4A8" w14:textId="77777777"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lang w:eastAsia="de-DE"/>
        </w:rPr>
        <w:t>Der Vers gibt eine parallele historische Notiz zu Edom: Die Horiter waren die ursprünglichen Bewohner Seirs, wurden aber von den Nachkommen Esaus vertrieben und vernichtet. Der Vergleich mit Israel ist bemerkenswert: Wie Edom sein Land durch Verdrängung der Vorbewohner erhielt, so wird auch Israel sein Land erhalten. Dies legitimiert Israels künftige Landnahme durch den Verweis auf ein analoges göttlich sanktioniertes Vorgehen bei verwandten Völkern.</w:t>
      </w:r>
    </w:p>
    <w:p w14:paraId="22C0B9DC" w14:textId="77777777" w:rsidR="00355406" w:rsidRPr="00355406" w:rsidRDefault="00355406" w:rsidP="00355406">
      <w:pPr>
        <w:spacing w:before="100" w:beforeAutospacing="1" w:after="100" w:afterAutospacing="1" w:line="240" w:lineRule="auto"/>
        <w:outlineLvl w:val="1"/>
        <w:rPr>
          <w:rFonts w:eastAsia="Times New Roman"/>
          <w:b/>
          <w:bCs/>
          <w:sz w:val="36"/>
          <w:szCs w:val="36"/>
          <w:lang w:eastAsia="de-DE"/>
        </w:rPr>
      </w:pPr>
      <w:r w:rsidRPr="00355406">
        <w:rPr>
          <w:rFonts w:eastAsia="Times New Roman"/>
          <w:b/>
          <w:bCs/>
          <w:sz w:val="36"/>
          <w:szCs w:val="36"/>
          <w:lang w:eastAsia="de-DE"/>
        </w:rPr>
        <w:t>Deuteronomium 2,13</w:t>
      </w:r>
    </w:p>
    <w:p w14:paraId="56A6E4D1" w14:textId="77777777"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b/>
          <w:bCs/>
          <w:lang w:eastAsia="de-DE"/>
        </w:rPr>
        <w:t>Hebräisch:</w:t>
      </w:r>
      <w:r w:rsidRPr="00355406">
        <w:rPr>
          <w:rFonts w:eastAsia="Times New Roman"/>
          <w:lang w:eastAsia="de-DE"/>
        </w:rPr>
        <w:t xml:space="preserve"> </w:t>
      </w:r>
      <w:r w:rsidRPr="00355406">
        <w:rPr>
          <w:rFonts w:eastAsia="Times New Roman"/>
          <w:rtl/>
          <w:lang w:eastAsia="de-DE"/>
        </w:rPr>
        <w:t>עַתָּ֗ה קֻ֛מוּ וְעִבְר֥וּ לָכֶ֖ם אֶת־נַ֣חַל זָ֑רֶד וַֽנַּעֲבֹ֖ר אֶת־נַ֥חַל זָֽרֶד׃</w:t>
      </w:r>
    </w:p>
    <w:p w14:paraId="5BA51318" w14:textId="77777777"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b/>
          <w:bCs/>
          <w:lang w:eastAsia="de-DE"/>
        </w:rPr>
        <w:t>Deutsch:</w:t>
      </w:r>
      <w:r w:rsidRPr="00355406">
        <w:rPr>
          <w:rFonts w:eastAsia="Times New Roman"/>
          <w:lang w:eastAsia="de-DE"/>
        </w:rPr>
        <w:t xml:space="preserve"> Nun macht euch auf und zieht über den Bach Sered. Und wir zogen über den Bach Sered.</w:t>
      </w:r>
    </w:p>
    <w:p w14:paraId="66DA7282" w14:textId="77777777" w:rsidR="00355406" w:rsidRPr="00355406" w:rsidRDefault="004F5CEB" w:rsidP="00355406">
      <w:pPr>
        <w:spacing w:after="0" w:line="240" w:lineRule="auto"/>
        <w:rPr>
          <w:rFonts w:eastAsia="Times New Roman"/>
          <w:lang w:eastAsia="de-DE"/>
        </w:rPr>
      </w:pPr>
      <w:r>
        <w:rPr>
          <w:rFonts w:eastAsia="Times New Roman"/>
          <w:noProof/>
          <w:lang w:eastAsia="de-DE"/>
        </w:rPr>
        <w:pict w14:anchorId="53CDF54F">
          <v:rect id="_x0000_i1083" style="width:0;height:1.5pt" o:hralign="center" o:hrstd="t" o:hr="t" fillcolor="#a0a0a0" stroked="f"/>
        </w:pict>
      </w:r>
    </w:p>
    <w:p w14:paraId="6567C98E" w14:textId="177DB76B" w:rsidR="00355406" w:rsidRPr="00355406" w:rsidRDefault="00355406" w:rsidP="00355406">
      <w:pPr>
        <w:spacing w:before="100" w:beforeAutospacing="1" w:after="100" w:afterAutospacing="1" w:line="240" w:lineRule="auto"/>
        <w:rPr>
          <w:rFonts w:eastAsia="Times New Roman"/>
          <w:lang w:eastAsia="de-DE"/>
        </w:rPr>
      </w:pPr>
      <w:r w:rsidRPr="00355406">
        <w:rPr>
          <w:rFonts w:eastAsia="Times New Roman"/>
          <w:b/>
          <w:bCs/>
          <w:lang w:eastAsia="de-DE"/>
        </w:rPr>
        <w:t>Kommentar:</w:t>
      </w:r>
      <w:r w:rsidRPr="00355406">
        <w:rPr>
          <w:rFonts w:eastAsia="Times New Roman"/>
          <w:lang w:eastAsia="de-DE"/>
        </w:rPr>
        <w:t xml:space="preserve"> </w:t>
      </w:r>
      <w:r w:rsidRPr="00355406">
        <w:rPr>
          <w:rFonts w:eastAsia="Times New Roman"/>
          <w:b/>
          <w:bCs/>
          <w:rtl/>
          <w:lang w:eastAsia="de-DE"/>
        </w:rPr>
        <w:t>עַתָּה</w:t>
      </w:r>
      <w:r w:rsidRPr="00355406">
        <w:rPr>
          <w:rFonts w:eastAsia="Times New Roman"/>
          <w:rtl/>
          <w:lang w:eastAsia="de-DE"/>
        </w:rPr>
        <w:t xml:space="preserve"> </w:t>
      </w:r>
      <w:r w:rsidRPr="00355406">
        <w:rPr>
          <w:rFonts w:eastAsia="Times New Roman"/>
          <w:lang w:eastAsia="de-DE"/>
        </w:rPr>
        <w:t xml:space="preserve">ist ein temporales Adverb („nun, jetzt"). </w:t>
      </w:r>
      <w:r w:rsidRPr="00355406">
        <w:rPr>
          <w:rFonts w:eastAsia="Times New Roman"/>
          <w:b/>
          <w:bCs/>
          <w:rtl/>
          <w:lang w:eastAsia="de-DE"/>
        </w:rPr>
        <w:t>קֻמוּ</w:t>
      </w:r>
      <w:r w:rsidRPr="00355406">
        <w:rPr>
          <w:rFonts w:eastAsia="Times New Roman"/>
          <w:rtl/>
          <w:lang w:eastAsia="de-DE"/>
        </w:rPr>
        <w:t xml:space="preserve"> </w:t>
      </w:r>
      <w:r w:rsidRPr="00355406">
        <w:rPr>
          <w:rFonts w:eastAsia="Times New Roman"/>
          <w:lang w:eastAsia="de-DE"/>
        </w:rPr>
        <w:t xml:space="preserve">ist Qal Imperativ maskulin Plural von </w:t>
      </w:r>
      <w:r w:rsidRPr="00355406">
        <w:rPr>
          <w:rFonts w:eastAsia="Times New Roman"/>
          <w:rtl/>
          <w:lang w:eastAsia="de-DE"/>
        </w:rPr>
        <w:t>קום</w:t>
      </w:r>
      <w:r w:rsidRPr="00355406">
        <w:rPr>
          <w:rFonts w:eastAsia="Times New Roman"/>
          <w:lang w:eastAsia="de-DE"/>
        </w:rPr>
        <w:t xml:space="preserve"> („aufstehen, sich aufmachen"). </w:t>
      </w:r>
      <w:r w:rsidRPr="00355406">
        <w:rPr>
          <w:rFonts w:eastAsia="Times New Roman"/>
          <w:b/>
          <w:bCs/>
          <w:rtl/>
          <w:lang w:eastAsia="de-DE"/>
        </w:rPr>
        <w:t>וְעִבְרוּ לָכֶם</w:t>
      </w:r>
      <w:r w:rsidRPr="00355406">
        <w:rPr>
          <w:rFonts w:eastAsia="Times New Roman"/>
          <w:rtl/>
          <w:lang w:eastAsia="de-DE"/>
        </w:rPr>
        <w:t xml:space="preserve"> </w:t>
      </w:r>
      <w:r w:rsidRPr="00355406">
        <w:rPr>
          <w:rFonts w:eastAsia="Times New Roman"/>
          <w:lang w:eastAsia="de-DE"/>
        </w:rPr>
        <w:t xml:space="preserve">ist </w:t>
      </w:r>
      <w:r w:rsidRPr="00355406">
        <w:rPr>
          <w:rFonts w:eastAsia="Times New Roman"/>
          <w:b/>
          <w:bCs/>
          <w:rtl/>
          <w:lang w:eastAsia="de-DE"/>
        </w:rPr>
        <w:t>וְ</w:t>
      </w:r>
      <w:r w:rsidRPr="00355406">
        <w:rPr>
          <w:rFonts w:eastAsia="Times New Roman"/>
          <w:rtl/>
          <w:lang w:eastAsia="de-DE"/>
        </w:rPr>
        <w:t xml:space="preserve"> </w:t>
      </w:r>
      <w:r w:rsidRPr="00355406">
        <w:rPr>
          <w:rFonts w:eastAsia="Times New Roman"/>
          <w:lang w:eastAsia="de-DE"/>
        </w:rPr>
        <w:t xml:space="preserve">mit </w:t>
      </w:r>
      <w:r w:rsidRPr="00355406">
        <w:rPr>
          <w:rFonts w:eastAsia="Times New Roman"/>
          <w:b/>
          <w:bCs/>
          <w:rtl/>
          <w:lang w:eastAsia="de-DE"/>
        </w:rPr>
        <w:t>עִבְרוּ</w:t>
      </w:r>
      <w:r w:rsidRPr="00355406">
        <w:rPr>
          <w:rFonts w:eastAsia="Times New Roman"/>
          <w:rtl/>
          <w:lang w:eastAsia="de-DE"/>
        </w:rPr>
        <w:t xml:space="preserve"> </w:t>
      </w:r>
      <w:r w:rsidRPr="00355406">
        <w:rPr>
          <w:rFonts w:eastAsia="Times New Roman"/>
          <w:lang w:eastAsia="de-DE"/>
        </w:rPr>
        <w:t xml:space="preserve">(Qal Imperativ maskulin Plural von </w:t>
      </w:r>
      <w:r w:rsidRPr="00355406">
        <w:rPr>
          <w:rFonts w:eastAsia="Times New Roman"/>
          <w:rtl/>
          <w:lang w:eastAsia="de-DE"/>
        </w:rPr>
        <w:t>עבר</w:t>
      </w:r>
      <w:r w:rsidRPr="00355406">
        <w:rPr>
          <w:rFonts w:eastAsia="Times New Roman"/>
          <w:lang w:eastAsia="de-DE"/>
        </w:rPr>
        <w:t xml:space="preserve"> „hinüberziehen, überqueren") und </w:t>
      </w:r>
      <w:r w:rsidRPr="00355406">
        <w:rPr>
          <w:rFonts w:eastAsia="Times New Roman"/>
          <w:b/>
          <w:bCs/>
          <w:rtl/>
          <w:lang w:eastAsia="de-DE"/>
        </w:rPr>
        <w:t>לָכֶם</w:t>
      </w:r>
      <w:r w:rsidRPr="00355406">
        <w:rPr>
          <w:rFonts w:eastAsia="Times New Roman"/>
          <w:rtl/>
          <w:lang w:eastAsia="de-DE"/>
        </w:rPr>
        <w:t xml:space="preserve"> </w:t>
      </w:r>
      <w:r w:rsidRPr="00355406">
        <w:rPr>
          <w:rFonts w:eastAsia="Times New Roman"/>
          <w:lang w:eastAsia="de-DE"/>
        </w:rPr>
        <w:t xml:space="preserve">mit ethischer oder reflexiver Nuance. </w:t>
      </w:r>
      <w:r w:rsidRPr="00355406">
        <w:rPr>
          <w:rFonts w:eastAsia="Times New Roman"/>
          <w:b/>
          <w:bCs/>
          <w:rtl/>
          <w:lang w:eastAsia="de-DE"/>
        </w:rPr>
        <w:lastRenderedPageBreak/>
        <w:t>אֶת־נַחַל זָרֶד</w:t>
      </w:r>
      <w:r w:rsidRPr="00355406">
        <w:rPr>
          <w:rFonts w:eastAsia="Times New Roman"/>
          <w:rtl/>
          <w:lang w:eastAsia="de-DE"/>
        </w:rPr>
        <w:t xml:space="preserve"> </w:t>
      </w:r>
      <w:r w:rsidRPr="00355406">
        <w:rPr>
          <w:rFonts w:eastAsia="Times New Roman"/>
          <w:lang w:eastAsia="de-DE"/>
        </w:rPr>
        <w:t xml:space="preserve">ist die Objektpartikel mit </w:t>
      </w:r>
      <w:r w:rsidRPr="00355406">
        <w:rPr>
          <w:rFonts w:eastAsia="Times New Roman"/>
          <w:b/>
          <w:bCs/>
          <w:rtl/>
          <w:lang w:eastAsia="de-DE"/>
        </w:rPr>
        <w:t>נַחַל</w:t>
      </w:r>
      <w:r w:rsidRPr="00355406">
        <w:rPr>
          <w:rFonts w:eastAsia="Times New Roman"/>
          <w:rtl/>
          <w:lang w:eastAsia="de-DE"/>
        </w:rPr>
        <w:t xml:space="preserve"> </w:t>
      </w:r>
      <w:r w:rsidRPr="00355406">
        <w:rPr>
          <w:rFonts w:eastAsia="Times New Roman"/>
          <w:lang w:eastAsia="de-DE"/>
        </w:rPr>
        <w:t xml:space="preserve">(„Bach, Tal") im </w:t>
      </w:r>
      <w:r w:rsidR="0032647F">
        <w:rPr>
          <w:rFonts w:eastAsia="Times New Roman"/>
          <w:lang w:eastAsia="de-DE"/>
        </w:rPr>
        <w:t>Construct</w:t>
      </w:r>
      <w:r w:rsidRPr="00355406">
        <w:rPr>
          <w:rFonts w:eastAsia="Times New Roman"/>
          <w:lang w:eastAsia="de-DE"/>
        </w:rPr>
        <w:t xml:space="preserve"> und </w:t>
      </w:r>
      <w:r w:rsidRPr="00355406">
        <w:rPr>
          <w:rFonts w:eastAsia="Times New Roman"/>
          <w:b/>
          <w:bCs/>
          <w:rtl/>
          <w:lang w:eastAsia="de-DE"/>
        </w:rPr>
        <w:t>זֶרֶד</w:t>
      </w:r>
      <w:r w:rsidRPr="00355406">
        <w:rPr>
          <w:rFonts w:eastAsia="Times New Roman"/>
          <w:rtl/>
          <w:lang w:eastAsia="de-DE"/>
        </w:rPr>
        <w:t xml:space="preserve"> </w:t>
      </w:r>
      <w:r w:rsidRPr="00355406">
        <w:rPr>
          <w:rFonts w:eastAsia="Times New Roman"/>
          <w:lang w:eastAsia="de-DE"/>
        </w:rPr>
        <w:t>(„Sered"), einem Flusstal, das die Südgrenze Moabs bildete.</w:t>
      </w:r>
    </w:p>
    <w:p w14:paraId="018E5299" w14:textId="58B0D1C7" w:rsidR="00A330A9" w:rsidRPr="00A330A9" w:rsidRDefault="00355406" w:rsidP="00A330A9">
      <w:r w:rsidRPr="00355406">
        <w:rPr>
          <w:b/>
          <w:bCs/>
          <w:rtl/>
        </w:rPr>
        <w:t>וַנַּעֲבֹר אֶת־נַחַל זָרֶד</w:t>
      </w:r>
      <w:r w:rsidRPr="00355406">
        <w:rPr>
          <w:rtl/>
        </w:rPr>
        <w:t xml:space="preserve"> </w:t>
      </w:r>
      <w:r w:rsidRPr="00355406">
        <w:t>ist</w:t>
      </w:r>
      <w:r w:rsidR="00A330A9" w:rsidRPr="00A330A9">
        <w:rPr>
          <w:rStyle w:val="berschrift3Zchn"/>
          <w:rtl/>
        </w:rPr>
        <w:t xml:space="preserve"> </w:t>
      </w:r>
      <w:r w:rsidR="00A330A9" w:rsidRPr="00A330A9">
        <w:rPr>
          <w:b/>
          <w:bCs/>
          <w:rtl/>
        </w:rPr>
        <w:t>וַנַּעֲבֹר</w:t>
      </w:r>
      <w:r w:rsidR="00A330A9" w:rsidRPr="00A330A9">
        <w:rPr>
          <w:rtl/>
        </w:rPr>
        <w:t xml:space="preserve"> </w:t>
      </w:r>
      <w:r w:rsidR="00A330A9" w:rsidRPr="00A330A9">
        <w:t xml:space="preserve">(Qal Imperfekt consecutivum, 1. Person Plural von </w:t>
      </w:r>
      <w:r w:rsidR="00A330A9" w:rsidRPr="00A330A9">
        <w:rPr>
          <w:rtl/>
        </w:rPr>
        <w:t>עבר</w:t>
      </w:r>
      <w:r w:rsidR="00A330A9" w:rsidRPr="00A330A9">
        <w:t xml:space="preserve"> mit Waw) und </w:t>
      </w:r>
      <w:r w:rsidR="00A330A9" w:rsidRPr="00A330A9">
        <w:rPr>
          <w:b/>
          <w:bCs/>
          <w:rtl/>
        </w:rPr>
        <w:t>אֶת־נַחַל זָרֶד</w:t>
      </w:r>
      <w:r w:rsidR="00A330A9" w:rsidRPr="00A330A9">
        <w:t>, identisch mit dem vorherigen Objekt. Die sofortige Ausführung des Befehls wird durch die narrative Fortsetzung betont.</w:t>
      </w:r>
    </w:p>
    <w:p w14:paraId="4C03581A"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Die LXX</w:t>
      </w:r>
      <w:r w:rsidRPr="00A330A9">
        <w:rPr>
          <w:rFonts w:eastAsia="Times New Roman"/>
          <w:lang w:eastAsia="de-DE"/>
        </w:rPr>
        <w:t xml:space="preserve"> übersetzt „</w:t>
      </w:r>
      <w:proofErr w:type="spellStart"/>
      <w:r w:rsidRPr="00A330A9">
        <w:rPr>
          <w:rFonts w:eastAsia="Times New Roman"/>
          <w:lang w:eastAsia="de-DE"/>
        </w:rPr>
        <w:t>νῦν</w:t>
      </w:r>
      <w:proofErr w:type="spellEnd"/>
      <w:r w:rsidRPr="00A330A9">
        <w:rPr>
          <w:rFonts w:eastAsia="Times New Roman"/>
          <w:lang w:eastAsia="de-DE"/>
        </w:rPr>
        <w:t xml:space="preserve"> </w:t>
      </w:r>
      <w:proofErr w:type="spellStart"/>
      <w:r w:rsidRPr="00A330A9">
        <w:rPr>
          <w:rFonts w:eastAsia="Times New Roman"/>
          <w:lang w:eastAsia="de-DE"/>
        </w:rPr>
        <w:t>οὖν</w:t>
      </w:r>
      <w:proofErr w:type="spellEnd"/>
      <w:r w:rsidRPr="00A330A9">
        <w:rPr>
          <w:rFonts w:eastAsia="Times New Roman"/>
          <w:lang w:eastAsia="de-DE"/>
        </w:rPr>
        <w:t xml:space="preserve"> </w:t>
      </w:r>
      <w:proofErr w:type="spellStart"/>
      <w:r w:rsidRPr="00A330A9">
        <w:rPr>
          <w:rFonts w:eastAsia="Times New Roman"/>
          <w:lang w:eastAsia="de-DE"/>
        </w:rPr>
        <w:t>ἀνάστητε</w:t>
      </w:r>
      <w:proofErr w:type="spellEnd"/>
      <w:r w:rsidRPr="00A330A9">
        <w:rPr>
          <w:rFonts w:eastAsia="Times New Roman"/>
          <w:lang w:eastAsia="de-DE"/>
        </w:rPr>
        <w:t xml:space="preserve"> καὶ ἀπ</w:t>
      </w:r>
      <w:proofErr w:type="spellStart"/>
      <w:r w:rsidRPr="00A330A9">
        <w:rPr>
          <w:rFonts w:eastAsia="Times New Roman"/>
          <w:lang w:eastAsia="de-DE"/>
        </w:rPr>
        <w:t>άρ</w:t>
      </w:r>
      <w:proofErr w:type="spellEnd"/>
      <w:r w:rsidRPr="00A330A9">
        <w:rPr>
          <w:rFonts w:eastAsia="Times New Roman"/>
          <w:lang w:eastAsia="de-DE"/>
        </w:rPr>
        <w:t xml:space="preserve">ατε </w:t>
      </w:r>
      <w:proofErr w:type="spellStart"/>
      <w:r w:rsidRPr="00A330A9">
        <w:rPr>
          <w:rFonts w:eastAsia="Times New Roman"/>
          <w:lang w:eastAsia="de-DE"/>
        </w:rPr>
        <w:t>ὑμεῖς</w:t>
      </w:r>
      <w:proofErr w:type="spellEnd"/>
      <w:r w:rsidRPr="00A330A9">
        <w:rPr>
          <w:rFonts w:eastAsia="Times New Roman"/>
          <w:lang w:eastAsia="de-DE"/>
        </w:rPr>
        <w:t xml:space="preserve"> καὶ </w:t>
      </w:r>
      <w:proofErr w:type="spellStart"/>
      <w:r w:rsidRPr="00A330A9">
        <w:rPr>
          <w:rFonts w:eastAsia="Times New Roman"/>
          <w:lang w:eastAsia="de-DE"/>
        </w:rPr>
        <w:t>διά</w:t>
      </w:r>
      <w:proofErr w:type="spellEnd"/>
      <w:r w:rsidRPr="00A330A9">
        <w:rPr>
          <w:rFonts w:eastAsia="Times New Roman"/>
          <w:lang w:eastAsia="de-DE"/>
        </w:rPr>
        <w:t xml:space="preserve">βητε τὴν </w:t>
      </w:r>
      <w:proofErr w:type="spellStart"/>
      <w:r w:rsidRPr="00A330A9">
        <w:rPr>
          <w:rFonts w:eastAsia="Times New Roman"/>
          <w:lang w:eastAsia="de-DE"/>
        </w:rPr>
        <w:t>φάρ</w:t>
      </w:r>
      <w:proofErr w:type="spellEnd"/>
      <w:r w:rsidRPr="00A330A9">
        <w:rPr>
          <w:rFonts w:eastAsia="Times New Roman"/>
          <w:lang w:eastAsia="de-DE"/>
        </w:rPr>
        <w:t>αγγα Ζα</w:t>
      </w:r>
      <w:proofErr w:type="spellStart"/>
      <w:r w:rsidRPr="00A330A9">
        <w:rPr>
          <w:rFonts w:eastAsia="Times New Roman"/>
          <w:lang w:eastAsia="de-DE"/>
        </w:rPr>
        <w:t>ρετ</w:t>
      </w:r>
      <w:proofErr w:type="spellEnd"/>
      <w:r w:rsidRPr="00A330A9">
        <w:rPr>
          <w:rFonts w:eastAsia="Times New Roman"/>
          <w:lang w:eastAsia="de-DE"/>
        </w:rPr>
        <w:t xml:space="preserve">, καὶ </w:t>
      </w:r>
      <w:proofErr w:type="spellStart"/>
      <w:r w:rsidRPr="00A330A9">
        <w:rPr>
          <w:rFonts w:eastAsia="Times New Roman"/>
          <w:lang w:eastAsia="de-DE"/>
        </w:rPr>
        <w:t>διέ</w:t>
      </w:r>
      <w:proofErr w:type="spellEnd"/>
      <w:r w:rsidRPr="00A330A9">
        <w:rPr>
          <w:rFonts w:eastAsia="Times New Roman"/>
          <w:lang w:eastAsia="de-DE"/>
        </w:rPr>
        <w:t xml:space="preserve">βημεν τὴν </w:t>
      </w:r>
      <w:proofErr w:type="spellStart"/>
      <w:r w:rsidRPr="00A330A9">
        <w:rPr>
          <w:rFonts w:eastAsia="Times New Roman"/>
          <w:lang w:eastAsia="de-DE"/>
        </w:rPr>
        <w:t>φάρ</w:t>
      </w:r>
      <w:proofErr w:type="spellEnd"/>
      <w:r w:rsidRPr="00A330A9">
        <w:rPr>
          <w:rFonts w:eastAsia="Times New Roman"/>
          <w:lang w:eastAsia="de-DE"/>
        </w:rPr>
        <w:t>αγγα Ζα</w:t>
      </w:r>
      <w:proofErr w:type="spellStart"/>
      <w:r w:rsidRPr="00A330A9">
        <w:rPr>
          <w:rFonts w:eastAsia="Times New Roman"/>
          <w:lang w:eastAsia="de-DE"/>
        </w:rPr>
        <w:t>ρετ</w:t>
      </w:r>
      <w:proofErr w:type="spellEnd"/>
      <w:r w:rsidRPr="00A330A9">
        <w:rPr>
          <w:rFonts w:eastAsia="Times New Roman"/>
          <w:lang w:eastAsia="de-DE"/>
        </w:rPr>
        <w:t xml:space="preserve">" („nun also steht auf und brecht auf ihr und überquert die Schlucht </w:t>
      </w:r>
      <w:proofErr w:type="spellStart"/>
      <w:r w:rsidRPr="00A330A9">
        <w:rPr>
          <w:rFonts w:eastAsia="Times New Roman"/>
          <w:lang w:eastAsia="de-DE"/>
        </w:rPr>
        <w:t>Zaret</w:t>
      </w:r>
      <w:proofErr w:type="spellEnd"/>
      <w:r w:rsidRPr="00A330A9">
        <w:rPr>
          <w:rFonts w:eastAsia="Times New Roman"/>
          <w:lang w:eastAsia="de-DE"/>
        </w:rPr>
        <w:t xml:space="preserve">, und wir überquerten die Schlucht </w:t>
      </w:r>
      <w:proofErr w:type="spellStart"/>
      <w:r w:rsidRPr="00A330A9">
        <w:rPr>
          <w:rFonts w:eastAsia="Times New Roman"/>
          <w:lang w:eastAsia="de-DE"/>
        </w:rPr>
        <w:t>Zaret</w:t>
      </w:r>
      <w:proofErr w:type="spellEnd"/>
      <w:r w:rsidRPr="00A330A9">
        <w:rPr>
          <w:rFonts w:eastAsia="Times New Roman"/>
          <w:lang w:eastAsia="de-DE"/>
        </w:rPr>
        <w:t xml:space="preserve">"). Die LXX übersetzt </w:t>
      </w:r>
      <w:r w:rsidRPr="00A330A9">
        <w:rPr>
          <w:rFonts w:eastAsia="Times New Roman"/>
          <w:b/>
          <w:bCs/>
          <w:rtl/>
          <w:lang w:eastAsia="de-DE"/>
        </w:rPr>
        <w:t>נַחַל</w:t>
      </w:r>
      <w:r w:rsidRPr="00A330A9">
        <w:rPr>
          <w:rFonts w:eastAsia="Times New Roman"/>
          <w:rtl/>
          <w:lang w:eastAsia="de-DE"/>
        </w:rPr>
        <w:t xml:space="preserve"> </w:t>
      </w:r>
      <w:r w:rsidRPr="00A330A9">
        <w:rPr>
          <w:rFonts w:eastAsia="Times New Roman"/>
          <w:lang w:eastAsia="de-DE"/>
        </w:rPr>
        <w:t xml:space="preserve">mit </w:t>
      </w:r>
      <w:proofErr w:type="spellStart"/>
      <w:r w:rsidRPr="00A330A9">
        <w:rPr>
          <w:rFonts w:eastAsia="Times New Roman"/>
          <w:b/>
          <w:bCs/>
          <w:lang w:eastAsia="de-DE"/>
        </w:rPr>
        <w:t>φάρ</w:t>
      </w:r>
      <w:proofErr w:type="spellEnd"/>
      <w:r w:rsidRPr="00A330A9">
        <w:rPr>
          <w:rFonts w:eastAsia="Times New Roman"/>
          <w:b/>
          <w:bCs/>
          <w:lang w:eastAsia="de-DE"/>
        </w:rPr>
        <w:t>αγξ</w:t>
      </w:r>
      <w:r w:rsidRPr="00A330A9">
        <w:rPr>
          <w:rFonts w:eastAsia="Times New Roman"/>
          <w:lang w:eastAsia="de-DE"/>
        </w:rPr>
        <w:t xml:space="preserve"> („Schlucht, Bachtal").</w:t>
      </w:r>
    </w:p>
    <w:p w14:paraId="3757B0D8"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lang w:eastAsia="de-DE"/>
        </w:rPr>
        <w:t xml:space="preserve">Die Satzstruktur besteht aus zwei Teilen: (1) Befehlssatz mit temporalem Adverb </w:t>
      </w:r>
      <w:r w:rsidRPr="00A330A9">
        <w:rPr>
          <w:rFonts w:eastAsia="Times New Roman"/>
          <w:b/>
          <w:bCs/>
          <w:rtl/>
          <w:lang w:eastAsia="de-DE"/>
        </w:rPr>
        <w:t>עַתָּה</w:t>
      </w:r>
      <w:r w:rsidRPr="00A330A9">
        <w:rPr>
          <w:rFonts w:eastAsia="Times New Roman"/>
          <w:lang w:eastAsia="de-DE"/>
        </w:rPr>
        <w:t xml:space="preserve">, zwei koordinierten Imperativen </w:t>
      </w:r>
      <w:r w:rsidRPr="00A330A9">
        <w:rPr>
          <w:rFonts w:eastAsia="Times New Roman"/>
          <w:b/>
          <w:bCs/>
          <w:rtl/>
          <w:lang w:eastAsia="de-DE"/>
        </w:rPr>
        <w:t>קֻמוּ וְעִבְרוּ לָכֶם</w:t>
      </w:r>
      <w:r w:rsidRPr="00A330A9">
        <w:rPr>
          <w:rFonts w:eastAsia="Times New Roman"/>
          <w:lang w:eastAsia="de-DE"/>
        </w:rPr>
        <w:t xml:space="preserve">, und Objekt </w:t>
      </w:r>
      <w:r w:rsidRPr="00A330A9">
        <w:rPr>
          <w:rFonts w:eastAsia="Times New Roman"/>
          <w:b/>
          <w:bCs/>
          <w:rtl/>
          <w:lang w:eastAsia="de-DE"/>
        </w:rPr>
        <w:t>אֶת־נַחַל זָרֶד</w:t>
      </w:r>
      <w:r w:rsidRPr="00A330A9">
        <w:rPr>
          <w:rFonts w:eastAsia="Times New Roman"/>
          <w:lang w:eastAsia="de-DE"/>
        </w:rPr>
        <w:t xml:space="preserve">, (2) narrativer Ausführungssatz </w:t>
      </w:r>
      <w:r w:rsidRPr="00A330A9">
        <w:rPr>
          <w:rFonts w:eastAsia="Times New Roman"/>
          <w:b/>
          <w:bCs/>
          <w:rtl/>
          <w:lang w:eastAsia="de-DE"/>
        </w:rPr>
        <w:t>וַנַּעֲבֹר אֶת־נַחַל זָרֶד</w:t>
      </w:r>
      <w:r w:rsidRPr="00A330A9">
        <w:rPr>
          <w:rFonts w:eastAsia="Times New Roman"/>
          <w:lang w:eastAsia="de-DE"/>
        </w:rPr>
        <w:t>.</w:t>
      </w:r>
    </w:p>
    <w:p w14:paraId="3A2813C7"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lang w:eastAsia="de-DE"/>
        </w:rPr>
        <w:t>Der Vers markiert einen entscheidenden Moment: die Überquerung des Baches Sered, der die Grenze zwischen dem Gebiet Edoms/Moabs und dem transjordanischen Land bildet, das Israel erobern wird. Die Wiederholung des Ortsnamens in Befehl und Ausführung betont die Bedeutung dieses Schritts.</w:t>
      </w:r>
    </w:p>
    <w:p w14:paraId="2E8B93CF" w14:textId="77777777" w:rsidR="00A330A9" w:rsidRPr="00A330A9" w:rsidRDefault="00A330A9" w:rsidP="00A330A9">
      <w:pPr>
        <w:spacing w:before="100" w:beforeAutospacing="1" w:after="100" w:afterAutospacing="1" w:line="240" w:lineRule="auto"/>
        <w:outlineLvl w:val="1"/>
        <w:rPr>
          <w:rFonts w:eastAsia="Times New Roman"/>
          <w:b/>
          <w:bCs/>
          <w:sz w:val="36"/>
          <w:szCs w:val="36"/>
          <w:lang w:eastAsia="de-DE"/>
        </w:rPr>
      </w:pPr>
      <w:r w:rsidRPr="00A330A9">
        <w:rPr>
          <w:rFonts w:eastAsia="Times New Roman"/>
          <w:b/>
          <w:bCs/>
          <w:sz w:val="36"/>
          <w:szCs w:val="36"/>
          <w:lang w:eastAsia="de-DE"/>
        </w:rPr>
        <w:t>Deuteronomium 2,14</w:t>
      </w:r>
    </w:p>
    <w:p w14:paraId="3BB22FDC"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Hebräisch:</w:t>
      </w:r>
      <w:r w:rsidRPr="00A330A9">
        <w:rPr>
          <w:rFonts w:eastAsia="Times New Roman"/>
          <w:lang w:eastAsia="de-DE"/>
        </w:rPr>
        <w:t xml:space="preserve"> </w:t>
      </w:r>
      <w:r w:rsidRPr="00A330A9">
        <w:rPr>
          <w:rFonts w:eastAsia="Times New Roman"/>
          <w:rtl/>
          <w:lang w:eastAsia="de-DE"/>
        </w:rPr>
        <w:t>וְהַיָּמִ֞ים אֲשֶׁר־הָלַ֣כְנוּ׀ מִקָּדֵ֣שׁ בַּרְנֵ֗עַ עַ֤ד אֲשֶׁר־עָבַ֙רְנוּ֙ אֶת־נַ֣חַל זֶ֔רֶד שְׁלֹשִׁ֥ים וּשְׁמֹנֶ֖ה שָׁנָ֑ה עַד־תֹּ֨ם כָּל־הַדּ֜וֹר אַנְשֵׁ֤י הַמִּלְחָמָה֙ מִקֶּ֣רֶב הַֽמַּחֲנֶ֔ה כַּאֲשֶׁ֛ר נִשְׁבַּ֥ע יְהוָ֖ה לָהֶֽם׃</w:t>
      </w:r>
    </w:p>
    <w:p w14:paraId="3DE2E596"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Deutsch:</w:t>
      </w:r>
      <w:r w:rsidRPr="00A330A9">
        <w:rPr>
          <w:rFonts w:eastAsia="Times New Roman"/>
          <w:lang w:eastAsia="de-DE"/>
        </w:rPr>
        <w:t xml:space="preserve"> Und die Tage, die wir von Kadesch-Barnea gingen, bis wir über den Bach Sered zogen, waren 38 Jahre, bis die ganze Generation der Männer des Krieges aus dem Inneren des Lagers aufgerieben war, wie der Ewige ihnen geschworen hatte.</w:t>
      </w:r>
    </w:p>
    <w:p w14:paraId="448E7D17" w14:textId="77777777" w:rsidR="00A330A9" w:rsidRPr="00A330A9" w:rsidRDefault="004F5CEB" w:rsidP="00A330A9">
      <w:pPr>
        <w:spacing w:after="0" w:line="240" w:lineRule="auto"/>
        <w:rPr>
          <w:rFonts w:eastAsia="Times New Roman"/>
          <w:lang w:eastAsia="de-DE"/>
        </w:rPr>
      </w:pPr>
      <w:r>
        <w:rPr>
          <w:rFonts w:eastAsia="Times New Roman"/>
          <w:noProof/>
          <w:lang w:eastAsia="de-DE"/>
        </w:rPr>
        <w:pict w14:anchorId="03041C92">
          <v:rect id="_x0000_i1084" style="width:0;height:1.5pt" o:hralign="center" o:hrstd="t" o:hr="t" fillcolor="#a0a0a0" stroked="f"/>
        </w:pict>
      </w:r>
    </w:p>
    <w:p w14:paraId="2961ADC7"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Kommentar:</w:t>
      </w:r>
      <w:r w:rsidRPr="00A330A9">
        <w:rPr>
          <w:rFonts w:eastAsia="Times New Roman"/>
          <w:lang w:eastAsia="de-DE"/>
        </w:rPr>
        <w:t xml:space="preserve"> </w:t>
      </w:r>
      <w:r w:rsidRPr="00A330A9">
        <w:rPr>
          <w:rFonts w:eastAsia="Times New Roman"/>
          <w:b/>
          <w:bCs/>
          <w:rtl/>
          <w:lang w:eastAsia="de-DE"/>
        </w:rPr>
        <w:t>וְהַיָּמִים אֲשֶׁר־הָלַכְנוּ מִקָּדֵשׁ בַּרְנֵעַ עַד אֲשֶׁר־עָבַרְנוּ אֶת־נַחַל זֶרֶד</w:t>
      </w:r>
      <w:r w:rsidRPr="00A330A9">
        <w:rPr>
          <w:rFonts w:eastAsia="Times New Roman"/>
          <w:rtl/>
          <w:lang w:eastAsia="de-DE"/>
        </w:rPr>
        <w:t xml:space="preserve"> </w:t>
      </w:r>
      <w:r w:rsidRPr="00A330A9">
        <w:rPr>
          <w:rFonts w:eastAsia="Times New Roman"/>
          <w:lang w:eastAsia="de-DE"/>
        </w:rPr>
        <w:t xml:space="preserve">ist ein komplexes Subjekt: </w:t>
      </w:r>
      <w:r w:rsidRPr="00A330A9">
        <w:rPr>
          <w:rFonts w:eastAsia="Times New Roman"/>
          <w:b/>
          <w:bCs/>
          <w:rtl/>
          <w:lang w:eastAsia="de-DE"/>
        </w:rPr>
        <w:t>וְהַיָּמִים</w:t>
      </w:r>
      <w:r w:rsidRPr="00A330A9">
        <w:rPr>
          <w:rFonts w:eastAsia="Times New Roman"/>
          <w:rtl/>
          <w:lang w:eastAsia="de-DE"/>
        </w:rPr>
        <w:t xml:space="preserve"> </w:t>
      </w:r>
      <w:r w:rsidRPr="00A330A9">
        <w:rPr>
          <w:rFonts w:eastAsia="Times New Roman"/>
          <w:lang w:eastAsia="de-DE"/>
        </w:rPr>
        <w:t xml:space="preserve">(„und die Tage") als Hauptsubjekt, erweiterter Relativsatz </w:t>
      </w:r>
      <w:r w:rsidRPr="00A330A9">
        <w:rPr>
          <w:rFonts w:eastAsia="Times New Roman"/>
          <w:b/>
          <w:bCs/>
          <w:rtl/>
          <w:lang w:eastAsia="de-DE"/>
        </w:rPr>
        <w:t>אֲשֶׁר־הָלַכְנוּ</w:t>
      </w:r>
      <w:r w:rsidRPr="00A330A9">
        <w:rPr>
          <w:rFonts w:eastAsia="Times New Roman"/>
          <w:rtl/>
          <w:lang w:eastAsia="de-DE"/>
        </w:rPr>
        <w:t xml:space="preserve"> </w:t>
      </w:r>
      <w:r w:rsidRPr="00A330A9">
        <w:rPr>
          <w:rFonts w:eastAsia="Times New Roman"/>
          <w:lang w:eastAsia="de-DE"/>
        </w:rPr>
        <w:t xml:space="preserve">(Qal Perfekt, 1. Person Plural von </w:t>
      </w:r>
      <w:r w:rsidRPr="00A330A9">
        <w:rPr>
          <w:rFonts w:eastAsia="Times New Roman"/>
          <w:rtl/>
          <w:lang w:eastAsia="de-DE"/>
        </w:rPr>
        <w:t>הלך</w:t>
      </w:r>
      <w:r w:rsidRPr="00A330A9">
        <w:rPr>
          <w:rFonts w:eastAsia="Times New Roman"/>
          <w:lang w:eastAsia="de-DE"/>
        </w:rPr>
        <w:t xml:space="preserve">), </w:t>
      </w:r>
      <w:r w:rsidRPr="00A330A9">
        <w:rPr>
          <w:rFonts w:eastAsia="Times New Roman"/>
          <w:b/>
          <w:bCs/>
          <w:rtl/>
          <w:lang w:eastAsia="de-DE"/>
        </w:rPr>
        <w:t>מִקָּדֵשׁ בַּרְנֵעַ</w:t>
      </w:r>
      <w:r w:rsidRPr="00A330A9">
        <w:rPr>
          <w:rFonts w:eastAsia="Times New Roman"/>
          <w:rtl/>
          <w:lang w:eastAsia="de-DE"/>
        </w:rPr>
        <w:t xml:space="preserve"> </w:t>
      </w:r>
      <w:r w:rsidRPr="00A330A9">
        <w:rPr>
          <w:rFonts w:eastAsia="Times New Roman"/>
          <w:lang w:eastAsia="de-DE"/>
        </w:rPr>
        <w:t>(</w:t>
      </w:r>
      <w:r w:rsidRPr="00A330A9">
        <w:rPr>
          <w:rFonts w:eastAsia="Times New Roman"/>
          <w:b/>
          <w:bCs/>
          <w:rtl/>
          <w:lang w:eastAsia="de-DE"/>
        </w:rPr>
        <w:t>מִן</w:t>
      </w:r>
      <w:r w:rsidRPr="00A330A9">
        <w:rPr>
          <w:rFonts w:eastAsia="Times New Roman"/>
          <w:rtl/>
          <w:lang w:eastAsia="de-DE"/>
        </w:rPr>
        <w:t xml:space="preserve"> </w:t>
      </w:r>
      <w:r w:rsidRPr="00A330A9">
        <w:rPr>
          <w:rFonts w:eastAsia="Times New Roman"/>
          <w:lang w:eastAsia="de-DE"/>
        </w:rPr>
        <w:t xml:space="preserve">mit </w:t>
      </w:r>
      <w:r w:rsidRPr="00A330A9">
        <w:rPr>
          <w:rFonts w:eastAsia="Times New Roman"/>
          <w:b/>
          <w:bCs/>
          <w:rtl/>
          <w:lang w:eastAsia="de-DE"/>
        </w:rPr>
        <w:t>קָדֵשׁ בַּרְנֵעַ</w:t>
      </w:r>
      <w:r w:rsidRPr="00A330A9">
        <w:rPr>
          <w:rFonts w:eastAsia="Times New Roman"/>
          <w:lang w:eastAsia="de-DE"/>
        </w:rPr>
        <w:t xml:space="preserve">), temporaler Nebensatz </w:t>
      </w:r>
      <w:r w:rsidRPr="00A330A9">
        <w:rPr>
          <w:rFonts w:eastAsia="Times New Roman"/>
          <w:b/>
          <w:bCs/>
          <w:rtl/>
          <w:lang w:eastAsia="de-DE"/>
        </w:rPr>
        <w:t>עַד אֲשֶׁר־עָבַרְנוּ אֶת־נַחַל זֶרֶד</w:t>
      </w:r>
      <w:r w:rsidRPr="00A330A9">
        <w:rPr>
          <w:rFonts w:eastAsia="Times New Roman"/>
          <w:rtl/>
          <w:lang w:eastAsia="de-DE"/>
        </w:rPr>
        <w:t xml:space="preserve"> </w:t>
      </w:r>
      <w:r w:rsidRPr="00A330A9">
        <w:rPr>
          <w:rFonts w:eastAsia="Times New Roman"/>
          <w:lang w:eastAsia="de-DE"/>
        </w:rPr>
        <w:t xml:space="preserve">mit </w:t>
      </w:r>
      <w:r w:rsidRPr="00A330A9">
        <w:rPr>
          <w:rFonts w:eastAsia="Times New Roman"/>
          <w:b/>
          <w:bCs/>
          <w:rtl/>
          <w:lang w:eastAsia="de-DE"/>
        </w:rPr>
        <w:t>עַד</w:t>
      </w:r>
      <w:r w:rsidRPr="00A330A9">
        <w:rPr>
          <w:rFonts w:eastAsia="Times New Roman"/>
          <w:rtl/>
          <w:lang w:eastAsia="de-DE"/>
        </w:rPr>
        <w:t xml:space="preserve"> </w:t>
      </w:r>
      <w:r w:rsidRPr="00A330A9">
        <w:rPr>
          <w:rFonts w:eastAsia="Times New Roman"/>
          <w:lang w:eastAsia="de-DE"/>
        </w:rPr>
        <w:t xml:space="preserve">(„bis") und </w:t>
      </w:r>
      <w:r w:rsidRPr="00A330A9">
        <w:rPr>
          <w:rFonts w:eastAsia="Times New Roman"/>
          <w:b/>
          <w:bCs/>
          <w:rtl/>
          <w:lang w:eastAsia="de-DE"/>
        </w:rPr>
        <w:t>אֲשֶׁר</w:t>
      </w:r>
      <w:r w:rsidRPr="00A330A9">
        <w:rPr>
          <w:rFonts w:eastAsia="Times New Roman"/>
          <w:lang w:eastAsia="de-DE"/>
        </w:rPr>
        <w:t xml:space="preserve">, </w:t>
      </w:r>
      <w:r w:rsidRPr="00A330A9">
        <w:rPr>
          <w:rFonts w:eastAsia="Times New Roman"/>
          <w:b/>
          <w:bCs/>
          <w:rtl/>
          <w:lang w:eastAsia="de-DE"/>
        </w:rPr>
        <w:t>עָבַרְנוּ</w:t>
      </w:r>
      <w:r w:rsidRPr="00A330A9">
        <w:rPr>
          <w:rFonts w:eastAsia="Times New Roman"/>
          <w:rtl/>
          <w:lang w:eastAsia="de-DE"/>
        </w:rPr>
        <w:t xml:space="preserve"> </w:t>
      </w:r>
      <w:r w:rsidRPr="00A330A9">
        <w:rPr>
          <w:rFonts w:eastAsia="Times New Roman"/>
          <w:lang w:eastAsia="de-DE"/>
        </w:rPr>
        <w:t xml:space="preserve">(Qal Perfekt, 1. Person Plural von </w:t>
      </w:r>
      <w:r w:rsidRPr="00A330A9">
        <w:rPr>
          <w:rFonts w:eastAsia="Times New Roman"/>
          <w:rtl/>
          <w:lang w:eastAsia="de-DE"/>
        </w:rPr>
        <w:t>עבר</w:t>
      </w:r>
      <w:r w:rsidRPr="00A330A9">
        <w:rPr>
          <w:rFonts w:eastAsia="Times New Roman"/>
          <w:lang w:eastAsia="de-DE"/>
        </w:rPr>
        <w:t>).</w:t>
      </w:r>
    </w:p>
    <w:p w14:paraId="23547DA4" w14:textId="35F0B4D8"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rtl/>
          <w:lang w:eastAsia="de-DE"/>
        </w:rPr>
        <w:t>שְׁלֹשִׁים וּשְׁמֹנֶה שָׁנָה</w:t>
      </w:r>
      <w:r w:rsidRPr="00A330A9">
        <w:rPr>
          <w:rFonts w:eastAsia="Times New Roman"/>
          <w:rtl/>
          <w:lang w:eastAsia="de-DE"/>
        </w:rPr>
        <w:t xml:space="preserve"> </w:t>
      </w:r>
      <w:r w:rsidRPr="00A330A9">
        <w:rPr>
          <w:rFonts w:eastAsia="Times New Roman"/>
          <w:lang w:eastAsia="de-DE"/>
        </w:rPr>
        <w:t xml:space="preserve">ist das Prädikat: die Kardinalzahl „38" (zusammengesetzt aus </w:t>
      </w:r>
      <w:r w:rsidRPr="00A330A9">
        <w:rPr>
          <w:rFonts w:eastAsia="Times New Roman"/>
          <w:b/>
          <w:bCs/>
          <w:rtl/>
          <w:lang w:eastAsia="de-DE"/>
        </w:rPr>
        <w:t>שְׁלֹשִׁים</w:t>
      </w:r>
      <w:r w:rsidRPr="00A330A9">
        <w:rPr>
          <w:rFonts w:eastAsia="Times New Roman"/>
          <w:rtl/>
          <w:lang w:eastAsia="de-DE"/>
        </w:rPr>
        <w:t xml:space="preserve"> </w:t>
      </w:r>
      <w:r w:rsidRPr="00A330A9">
        <w:rPr>
          <w:rFonts w:eastAsia="Times New Roman"/>
          <w:lang w:eastAsia="de-DE"/>
        </w:rPr>
        <w:t xml:space="preserve">„dreißig" und </w:t>
      </w:r>
      <w:r w:rsidRPr="00A330A9">
        <w:rPr>
          <w:rFonts w:eastAsia="Times New Roman"/>
          <w:b/>
          <w:bCs/>
          <w:rtl/>
          <w:lang w:eastAsia="de-DE"/>
        </w:rPr>
        <w:t>שְׁמֹנֶה</w:t>
      </w:r>
      <w:r w:rsidRPr="00A330A9">
        <w:rPr>
          <w:rFonts w:eastAsia="Times New Roman"/>
          <w:rtl/>
          <w:lang w:eastAsia="de-DE"/>
        </w:rPr>
        <w:t xml:space="preserve"> </w:t>
      </w:r>
      <w:r w:rsidRPr="00A330A9">
        <w:rPr>
          <w:rFonts w:eastAsia="Times New Roman"/>
          <w:lang w:eastAsia="de-DE"/>
        </w:rPr>
        <w:t xml:space="preserve">„acht") mit </w:t>
      </w:r>
      <w:r w:rsidRPr="00A330A9">
        <w:rPr>
          <w:rFonts w:eastAsia="Times New Roman"/>
          <w:b/>
          <w:bCs/>
          <w:rtl/>
          <w:lang w:eastAsia="de-DE"/>
        </w:rPr>
        <w:t>שָׁנָה</w:t>
      </w:r>
      <w:r w:rsidRPr="00A330A9">
        <w:rPr>
          <w:rFonts w:eastAsia="Times New Roman"/>
          <w:rtl/>
          <w:lang w:eastAsia="de-DE"/>
        </w:rPr>
        <w:t xml:space="preserve"> </w:t>
      </w:r>
      <w:r w:rsidRPr="00A330A9">
        <w:rPr>
          <w:rFonts w:eastAsia="Times New Roman"/>
          <w:lang w:eastAsia="de-DE"/>
        </w:rPr>
        <w:t xml:space="preserve">(„Jahr"). </w:t>
      </w:r>
      <w:r w:rsidRPr="00A330A9">
        <w:rPr>
          <w:rFonts w:eastAsia="Times New Roman"/>
          <w:b/>
          <w:bCs/>
          <w:rtl/>
          <w:lang w:eastAsia="de-DE"/>
        </w:rPr>
        <w:t>עַד־תֹּם כָּל־הַדּוֹר אַנְשֵׁי הַמִּלְחָמָה מִקֶּרֶב הַמַּחֲנֶה</w:t>
      </w:r>
      <w:r w:rsidRPr="00A330A9">
        <w:rPr>
          <w:rFonts w:eastAsia="Times New Roman"/>
          <w:rtl/>
          <w:lang w:eastAsia="de-DE"/>
        </w:rPr>
        <w:t xml:space="preserve"> </w:t>
      </w:r>
      <w:r w:rsidRPr="00A330A9">
        <w:rPr>
          <w:rFonts w:eastAsia="Times New Roman"/>
          <w:lang w:eastAsia="de-DE"/>
        </w:rPr>
        <w:t xml:space="preserve">ist eine weitere temporale Bestimmung: </w:t>
      </w:r>
      <w:r w:rsidRPr="00A330A9">
        <w:rPr>
          <w:rFonts w:eastAsia="Times New Roman"/>
          <w:b/>
          <w:bCs/>
          <w:rtl/>
          <w:lang w:eastAsia="de-DE"/>
        </w:rPr>
        <w:t>עַד</w:t>
      </w:r>
      <w:r w:rsidRPr="00A330A9">
        <w:rPr>
          <w:rFonts w:eastAsia="Times New Roman"/>
          <w:rtl/>
          <w:lang w:eastAsia="de-DE"/>
        </w:rPr>
        <w:t xml:space="preserve"> </w:t>
      </w:r>
      <w:r w:rsidRPr="00A330A9">
        <w:rPr>
          <w:rFonts w:eastAsia="Times New Roman"/>
          <w:lang w:eastAsia="de-DE"/>
        </w:rPr>
        <w:t xml:space="preserve">mit </w:t>
      </w:r>
      <w:r w:rsidRPr="00A330A9">
        <w:rPr>
          <w:rFonts w:eastAsia="Times New Roman"/>
          <w:b/>
          <w:bCs/>
          <w:rtl/>
          <w:lang w:eastAsia="de-DE"/>
        </w:rPr>
        <w:t>תֹּם</w:t>
      </w:r>
      <w:r w:rsidRPr="00A330A9">
        <w:rPr>
          <w:rFonts w:eastAsia="Times New Roman"/>
          <w:rtl/>
          <w:lang w:eastAsia="de-DE"/>
        </w:rPr>
        <w:t xml:space="preserve"> </w:t>
      </w:r>
      <w:r w:rsidRPr="00A330A9">
        <w:rPr>
          <w:rFonts w:eastAsia="Times New Roman"/>
          <w:lang w:eastAsia="de-DE"/>
        </w:rPr>
        <w:t xml:space="preserve">(Qal Infinitiv </w:t>
      </w:r>
      <w:r w:rsidR="0032647F">
        <w:rPr>
          <w:rFonts w:eastAsia="Times New Roman"/>
          <w:lang w:eastAsia="de-DE"/>
        </w:rPr>
        <w:t>Construct</w:t>
      </w:r>
      <w:r w:rsidRPr="00A330A9">
        <w:rPr>
          <w:rFonts w:eastAsia="Times New Roman"/>
          <w:lang w:eastAsia="de-DE"/>
        </w:rPr>
        <w:t xml:space="preserve"> von </w:t>
      </w:r>
      <w:r w:rsidRPr="00A330A9">
        <w:rPr>
          <w:rFonts w:eastAsia="Times New Roman"/>
          <w:rtl/>
          <w:lang w:eastAsia="de-DE"/>
        </w:rPr>
        <w:t>תמם</w:t>
      </w:r>
      <w:r w:rsidRPr="00A330A9">
        <w:rPr>
          <w:rFonts w:eastAsia="Times New Roman"/>
          <w:lang w:eastAsia="de-DE"/>
        </w:rPr>
        <w:t xml:space="preserve"> „vollständig sein, zu Ende sein"), </w:t>
      </w:r>
      <w:r w:rsidRPr="00A330A9">
        <w:rPr>
          <w:rFonts w:eastAsia="Times New Roman"/>
          <w:b/>
          <w:bCs/>
          <w:rtl/>
          <w:lang w:eastAsia="de-DE"/>
        </w:rPr>
        <w:t>כָּל־הַדּוֹר</w:t>
      </w:r>
      <w:r w:rsidRPr="00A330A9">
        <w:rPr>
          <w:rFonts w:eastAsia="Times New Roman"/>
          <w:rtl/>
          <w:lang w:eastAsia="de-DE"/>
        </w:rPr>
        <w:t xml:space="preserve"> </w:t>
      </w:r>
      <w:r w:rsidRPr="00A330A9">
        <w:rPr>
          <w:rFonts w:eastAsia="Times New Roman"/>
          <w:lang w:eastAsia="de-DE"/>
        </w:rPr>
        <w:t>(</w:t>
      </w:r>
      <w:r w:rsidRPr="00A330A9">
        <w:rPr>
          <w:rFonts w:eastAsia="Times New Roman"/>
          <w:b/>
          <w:bCs/>
          <w:rtl/>
          <w:lang w:eastAsia="de-DE"/>
        </w:rPr>
        <w:t>כֹּל</w:t>
      </w:r>
      <w:r w:rsidRPr="00A330A9">
        <w:rPr>
          <w:rFonts w:eastAsia="Times New Roman"/>
          <w:rtl/>
          <w:lang w:eastAsia="de-DE"/>
        </w:rPr>
        <w:t xml:space="preserve"> </w:t>
      </w:r>
      <w:r w:rsidRPr="00A330A9">
        <w:rPr>
          <w:rFonts w:eastAsia="Times New Roman"/>
          <w:lang w:eastAsia="de-DE"/>
        </w:rPr>
        <w:t xml:space="preserve">im </w:t>
      </w:r>
      <w:r w:rsidR="0032647F">
        <w:rPr>
          <w:rFonts w:eastAsia="Times New Roman"/>
          <w:lang w:eastAsia="de-DE"/>
        </w:rPr>
        <w:t>Construct</w:t>
      </w:r>
      <w:r w:rsidRPr="00A330A9">
        <w:rPr>
          <w:rFonts w:eastAsia="Times New Roman"/>
          <w:lang w:eastAsia="de-DE"/>
        </w:rPr>
        <w:t xml:space="preserve"> mit </w:t>
      </w:r>
      <w:r w:rsidRPr="00A330A9">
        <w:rPr>
          <w:rFonts w:eastAsia="Times New Roman"/>
          <w:b/>
          <w:bCs/>
          <w:rtl/>
          <w:lang w:eastAsia="de-DE"/>
        </w:rPr>
        <w:t>הַדּוֹר</w:t>
      </w:r>
      <w:r w:rsidRPr="00A330A9">
        <w:rPr>
          <w:rFonts w:eastAsia="Times New Roman"/>
          <w:rtl/>
          <w:lang w:eastAsia="de-DE"/>
        </w:rPr>
        <w:t xml:space="preserve"> </w:t>
      </w:r>
      <w:r w:rsidRPr="00A330A9">
        <w:rPr>
          <w:rFonts w:eastAsia="Times New Roman"/>
          <w:lang w:eastAsia="de-DE"/>
        </w:rPr>
        <w:t xml:space="preserve">„die Generation"), </w:t>
      </w:r>
      <w:r w:rsidRPr="00A330A9">
        <w:rPr>
          <w:rFonts w:eastAsia="Times New Roman"/>
          <w:b/>
          <w:bCs/>
          <w:rtl/>
          <w:lang w:eastAsia="de-DE"/>
        </w:rPr>
        <w:t>אַנְשֵׁי הַמִּלְחָמָה</w:t>
      </w:r>
      <w:r w:rsidRPr="00A330A9">
        <w:rPr>
          <w:rFonts w:eastAsia="Times New Roman"/>
          <w:rtl/>
          <w:lang w:eastAsia="de-DE"/>
        </w:rPr>
        <w:t xml:space="preserve"> </w:t>
      </w:r>
      <w:r w:rsidRPr="00A330A9">
        <w:rPr>
          <w:rFonts w:eastAsia="Times New Roman"/>
          <w:lang w:eastAsia="de-DE"/>
        </w:rPr>
        <w:t>(</w:t>
      </w:r>
      <w:r w:rsidR="0032647F">
        <w:rPr>
          <w:rFonts w:eastAsia="Times New Roman"/>
          <w:lang w:eastAsia="de-DE"/>
        </w:rPr>
        <w:t>Construct</w:t>
      </w:r>
      <w:r w:rsidRPr="00A330A9">
        <w:rPr>
          <w:rFonts w:eastAsia="Times New Roman"/>
          <w:lang w:eastAsia="de-DE"/>
        </w:rPr>
        <w:t xml:space="preserve">usverbindung „Männer des Krieges", d.h. wehrfähige Männer) als Apposition, </w:t>
      </w:r>
      <w:r w:rsidRPr="00A330A9">
        <w:rPr>
          <w:rFonts w:eastAsia="Times New Roman"/>
          <w:b/>
          <w:bCs/>
          <w:rtl/>
          <w:lang w:eastAsia="de-DE"/>
        </w:rPr>
        <w:t>מִקֶּרֶב הַמַּחֲנֶה</w:t>
      </w:r>
      <w:r w:rsidRPr="00A330A9">
        <w:rPr>
          <w:rFonts w:eastAsia="Times New Roman"/>
          <w:rtl/>
          <w:lang w:eastAsia="de-DE"/>
        </w:rPr>
        <w:t xml:space="preserve"> </w:t>
      </w:r>
      <w:r w:rsidRPr="00A330A9">
        <w:rPr>
          <w:rFonts w:eastAsia="Times New Roman"/>
          <w:lang w:eastAsia="de-DE"/>
        </w:rPr>
        <w:t>(</w:t>
      </w:r>
      <w:r w:rsidRPr="00A330A9">
        <w:rPr>
          <w:rFonts w:eastAsia="Times New Roman"/>
          <w:b/>
          <w:bCs/>
          <w:rtl/>
          <w:lang w:eastAsia="de-DE"/>
        </w:rPr>
        <w:t>מִן</w:t>
      </w:r>
      <w:r w:rsidRPr="00A330A9">
        <w:rPr>
          <w:rFonts w:eastAsia="Times New Roman"/>
          <w:rtl/>
          <w:lang w:eastAsia="de-DE"/>
        </w:rPr>
        <w:t xml:space="preserve"> </w:t>
      </w:r>
      <w:r w:rsidRPr="00A330A9">
        <w:rPr>
          <w:rFonts w:eastAsia="Times New Roman"/>
          <w:lang w:eastAsia="de-DE"/>
        </w:rPr>
        <w:t xml:space="preserve">mit </w:t>
      </w:r>
      <w:r w:rsidRPr="00A330A9">
        <w:rPr>
          <w:rFonts w:eastAsia="Times New Roman"/>
          <w:b/>
          <w:bCs/>
          <w:rtl/>
          <w:lang w:eastAsia="de-DE"/>
        </w:rPr>
        <w:t>קֶרֶב</w:t>
      </w:r>
      <w:r w:rsidRPr="00A330A9">
        <w:rPr>
          <w:rFonts w:eastAsia="Times New Roman"/>
          <w:rtl/>
          <w:lang w:eastAsia="de-DE"/>
        </w:rPr>
        <w:t xml:space="preserve"> </w:t>
      </w:r>
      <w:r w:rsidRPr="00A330A9">
        <w:rPr>
          <w:rFonts w:eastAsia="Times New Roman"/>
          <w:lang w:eastAsia="de-DE"/>
        </w:rPr>
        <w:t xml:space="preserve">„Mitte, Inneres" im </w:t>
      </w:r>
      <w:r w:rsidR="0032647F">
        <w:rPr>
          <w:rFonts w:eastAsia="Times New Roman"/>
          <w:lang w:eastAsia="de-DE"/>
        </w:rPr>
        <w:t>Construct</w:t>
      </w:r>
      <w:r w:rsidRPr="00A330A9">
        <w:rPr>
          <w:rFonts w:eastAsia="Times New Roman"/>
          <w:lang w:eastAsia="de-DE"/>
        </w:rPr>
        <w:t xml:space="preserve"> und </w:t>
      </w:r>
      <w:r w:rsidRPr="00A330A9">
        <w:rPr>
          <w:rFonts w:eastAsia="Times New Roman"/>
          <w:b/>
          <w:bCs/>
          <w:rtl/>
          <w:lang w:eastAsia="de-DE"/>
        </w:rPr>
        <w:t>הַמַּחֲנֶה</w:t>
      </w:r>
      <w:r w:rsidRPr="00A330A9">
        <w:rPr>
          <w:rFonts w:eastAsia="Times New Roman"/>
          <w:rtl/>
          <w:lang w:eastAsia="de-DE"/>
        </w:rPr>
        <w:t xml:space="preserve"> </w:t>
      </w:r>
      <w:r w:rsidRPr="00A330A9">
        <w:rPr>
          <w:rFonts w:eastAsia="Times New Roman"/>
          <w:lang w:eastAsia="de-DE"/>
        </w:rPr>
        <w:t>„das Lager").</w:t>
      </w:r>
      <w:r w:rsidR="007E7473">
        <w:rPr>
          <w:rFonts w:eastAsia="Times New Roman"/>
          <w:lang w:eastAsia="de-DE"/>
        </w:rPr>
        <w:t xml:space="preserve"> </w:t>
      </w:r>
      <w:r w:rsidR="007E7473">
        <w:t>Die Formulierung "</w:t>
      </w:r>
      <w:r w:rsidR="007E7473" w:rsidRPr="007E7473">
        <w:rPr>
          <w:b/>
          <w:bCs/>
          <w:rtl/>
        </w:rPr>
        <w:t>אַנְשֵׁי הַמִּלְחָמָה מִקֶּרֶב הַמַּחֲנֶה</w:t>
      </w:r>
      <w:r w:rsidR="007E7473">
        <w:t>" - die Präzision "aus dem Inneren des Lagers" könnte auch als "aus der Mitte der Gemeinschaft" interpretiert werden (nicht nur geografisch, sondern auch sozial).</w:t>
      </w:r>
    </w:p>
    <w:p w14:paraId="7B64C7F4"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rtl/>
          <w:lang w:eastAsia="de-DE"/>
        </w:rPr>
        <w:lastRenderedPageBreak/>
        <w:t>כַּאֲשֶׁר נִשְׁבַּע יְהוָה לָהֶם</w:t>
      </w:r>
      <w:r w:rsidRPr="00A330A9">
        <w:rPr>
          <w:rFonts w:eastAsia="Times New Roman"/>
          <w:rtl/>
          <w:lang w:eastAsia="de-DE"/>
        </w:rPr>
        <w:t xml:space="preserve"> </w:t>
      </w:r>
      <w:r w:rsidRPr="00A330A9">
        <w:rPr>
          <w:rFonts w:eastAsia="Times New Roman"/>
          <w:lang w:eastAsia="de-DE"/>
        </w:rPr>
        <w:t xml:space="preserve">ist ein Vergleichssatz: </w:t>
      </w:r>
      <w:r w:rsidRPr="00A330A9">
        <w:rPr>
          <w:rFonts w:eastAsia="Times New Roman"/>
          <w:b/>
          <w:bCs/>
          <w:rtl/>
          <w:lang w:eastAsia="de-DE"/>
        </w:rPr>
        <w:t>כַּאֲשֶׁר</w:t>
      </w:r>
      <w:r w:rsidRPr="00A330A9">
        <w:rPr>
          <w:rFonts w:eastAsia="Times New Roman"/>
          <w:lang w:eastAsia="de-DE"/>
        </w:rPr>
        <w:t xml:space="preserve">, </w:t>
      </w:r>
      <w:r w:rsidRPr="00A330A9">
        <w:rPr>
          <w:rFonts w:eastAsia="Times New Roman"/>
          <w:b/>
          <w:bCs/>
          <w:rtl/>
          <w:lang w:eastAsia="de-DE"/>
        </w:rPr>
        <w:t>נִשְׁבַּע</w:t>
      </w:r>
      <w:r w:rsidRPr="00A330A9">
        <w:rPr>
          <w:rFonts w:eastAsia="Times New Roman"/>
          <w:rtl/>
          <w:lang w:eastAsia="de-DE"/>
        </w:rPr>
        <w:t xml:space="preserve"> </w:t>
      </w:r>
      <w:r w:rsidRPr="00A330A9">
        <w:rPr>
          <w:rFonts w:eastAsia="Times New Roman"/>
          <w:lang w:eastAsia="de-DE"/>
        </w:rPr>
        <w:t xml:space="preserve">(Nif'al Perfekt, 3. Person maskulin Singular von </w:t>
      </w:r>
      <w:r w:rsidRPr="00A330A9">
        <w:rPr>
          <w:rFonts w:eastAsia="Times New Roman"/>
          <w:rtl/>
          <w:lang w:eastAsia="de-DE"/>
        </w:rPr>
        <w:t>שׁבע</w:t>
      </w:r>
      <w:r w:rsidRPr="00A330A9">
        <w:rPr>
          <w:rFonts w:eastAsia="Times New Roman"/>
          <w:lang w:eastAsia="de-DE"/>
        </w:rPr>
        <w:t xml:space="preserve"> „schwören"), </w:t>
      </w:r>
      <w:r w:rsidRPr="00A330A9">
        <w:rPr>
          <w:rFonts w:eastAsia="Times New Roman"/>
          <w:b/>
          <w:bCs/>
          <w:rtl/>
          <w:lang w:eastAsia="de-DE"/>
        </w:rPr>
        <w:t>יְהוָה</w:t>
      </w:r>
      <w:r w:rsidRPr="00A330A9">
        <w:rPr>
          <w:rFonts w:eastAsia="Times New Roman"/>
          <w:rtl/>
          <w:lang w:eastAsia="de-DE"/>
        </w:rPr>
        <w:t xml:space="preserve"> </w:t>
      </w:r>
      <w:r w:rsidRPr="00A330A9">
        <w:rPr>
          <w:rFonts w:eastAsia="Times New Roman"/>
          <w:lang w:eastAsia="de-DE"/>
        </w:rPr>
        <w:t xml:space="preserve">als Subjekt, </w:t>
      </w:r>
      <w:r w:rsidRPr="00A330A9">
        <w:rPr>
          <w:rFonts w:eastAsia="Times New Roman"/>
          <w:b/>
          <w:bCs/>
          <w:rtl/>
          <w:lang w:eastAsia="de-DE"/>
        </w:rPr>
        <w:t>לָהֶם</w:t>
      </w:r>
      <w:r w:rsidRPr="00A330A9">
        <w:rPr>
          <w:rFonts w:eastAsia="Times New Roman"/>
          <w:rtl/>
          <w:lang w:eastAsia="de-DE"/>
        </w:rPr>
        <w:t xml:space="preserve"> </w:t>
      </w:r>
      <w:r w:rsidRPr="00A330A9">
        <w:rPr>
          <w:rFonts w:eastAsia="Times New Roman"/>
          <w:lang w:eastAsia="de-DE"/>
        </w:rPr>
        <w:t>als indirektes Objekt, verweisend auf das Gerichtsurteil in 1,34-35.</w:t>
      </w:r>
    </w:p>
    <w:p w14:paraId="6457D180"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Die LXX</w:t>
      </w:r>
      <w:r w:rsidRPr="00A330A9">
        <w:rPr>
          <w:rFonts w:eastAsia="Times New Roman"/>
          <w:lang w:eastAsia="de-DE"/>
        </w:rPr>
        <w:t xml:space="preserve"> übersetzt „καὶ αἱ </w:t>
      </w:r>
      <w:proofErr w:type="spellStart"/>
      <w:r w:rsidRPr="00A330A9">
        <w:rPr>
          <w:rFonts w:eastAsia="Times New Roman"/>
          <w:lang w:eastAsia="de-DE"/>
        </w:rPr>
        <w:t>ἡμέρ</w:t>
      </w:r>
      <w:proofErr w:type="spellEnd"/>
      <w:r w:rsidRPr="00A330A9">
        <w:rPr>
          <w:rFonts w:eastAsia="Times New Roman"/>
          <w:lang w:eastAsia="de-DE"/>
        </w:rPr>
        <w:t xml:space="preserve">αι, </w:t>
      </w:r>
      <w:proofErr w:type="spellStart"/>
      <w:r w:rsidRPr="00A330A9">
        <w:rPr>
          <w:rFonts w:eastAsia="Times New Roman"/>
          <w:lang w:eastAsia="de-DE"/>
        </w:rPr>
        <w:t>ἃς</w:t>
      </w:r>
      <w:proofErr w:type="spellEnd"/>
      <w:r w:rsidRPr="00A330A9">
        <w:rPr>
          <w:rFonts w:eastAsia="Times New Roman"/>
          <w:lang w:eastAsia="de-DE"/>
        </w:rPr>
        <w:t xml:space="preserve"> πα</w:t>
      </w:r>
      <w:proofErr w:type="spellStart"/>
      <w:r w:rsidRPr="00A330A9">
        <w:rPr>
          <w:rFonts w:eastAsia="Times New Roman"/>
          <w:lang w:eastAsia="de-DE"/>
        </w:rPr>
        <w:t>ρε</w:t>
      </w:r>
      <w:proofErr w:type="spellEnd"/>
      <w:r w:rsidRPr="00A330A9">
        <w:rPr>
          <w:rFonts w:eastAsia="Times New Roman"/>
          <w:lang w:eastAsia="de-DE"/>
        </w:rPr>
        <w:t>πορεύθημεν ἀπὸ Κα</w:t>
      </w:r>
      <w:proofErr w:type="spellStart"/>
      <w:r w:rsidRPr="00A330A9">
        <w:rPr>
          <w:rFonts w:eastAsia="Times New Roman"/>
          <w:lang w:eastAsia="de-DE"/>
        </w:rPr>
        <w:t>δης</w:t>
      </w:r>
      <w:proofErr w:type="spellEnd"/>
      <w:r w:rsidRPr="00A330A9">
        <w:rPr>
          <w:rFonts w:eastAsia="Times New Roman"/>
          <w:lang w:eastAsia="de-DE"/>
        </w:rPr>
        <w:t xml:space="preserve"> Βα</w:t>
      </w:r>
      <w:proofErr w:type="spellStart"/>
      <w:r w:rsidRPr="00A330A9">
        <w:rPr>
          <w:rFonts w:eastAsia="Times New Roman"/>
          <w:lang w:eastAsia="de-DE"/>
        </w:rPr>
        <w:t>ρνη</w:t>
      </w:r>
      <w:proofErr w:type="spellEnd"/>
      <w:r w:rsidRPr="00A330A9">
        <w:rPr>
          <w:rFonts w:eastAsia="Times New Roman"/>
          <w:lang w:eastAsia="de-DE"/>
        </w:rPr>
        <w:t xml:space="preserve"> </w:t>
      </w:r>
      <w:proofErr w:type="spellStart"/>
      <w:r w:rsidRPr="00A330A9">
        <w:rPr>
          <w:rFonts w:eastAsia="Times New Roman"/>
          <w:lang w:eastAsia="de-DE"/>
        </w:rPr>
        <w:t>ἕως</w:t>
      </w:r>
      <w:proofErr w:type="spellEnd"/>
      <w:r w:rsidRPr="00A330A9">
        <w:rPr>
          <w:rFonts w:eastAsia="Times New Roman"/>
          <w:lang w:eastAsia="de-DE"/>
        </w:rPr>
        <w:t xml:space="preserve"> </w:t>
      </w:r>
      <w:proofErr w:type="spellStart"/>
      <w:r w:rsidRPr="00A330A9">
        <w:rPr>
          <w:rFonts w:eastAsia="Times New Roman"/>
          <w:lang w:eastAsia="de-DE"/>
        </w:rPr>
        <w:t>οὗ</w:t>
      </w:r>
      <w:proofErr w:type="spellEnd"/>
      <w:r w:rsidRPr="00A330A9">
        <w:rPr>
          <w:rFonts w:eastAsia="Times New Roman"/>
          <w:lang w:eastAsia="de-DE"/>
        </w:rPr>
        <w:t xml:space="preserve"> πα</w:t>
      </w:r>
      <w:proofErr w:type="spellStart"/>
      <w:r w:rsidRPr="00A330A9">
        <w:rPr>
          <w:rFonts w:eastAsia="Times New Roman"/>
          <w:lang w:eastAsia="de-DE"/>
        </w:rPr>
        <w:t>ρήλθομεν</w:t>
      </w:r>
      <w:proofErr w:type="spellEnd"/>
      <w:r w:rsidRPr="00A330A9">
        <w:rPr>
          <w:rFonts w:eastAsia="Times New Roman"/>
          <w:lang w:eastAsia="de-DE"/>
        </w:rPr>
        <w:t xml:space="preserve"> τὴν </w:t>
      </w:r>
      <w:proofErr w:type="spellStart"/>
      <w:r w:rsidRPr="00A330A9">
        <w:rPr>
          <w:rFonts w:eastAsia="Times New Roman"/>
          <w:lang w:eastAsia="de-DE"/>
        </w:rPr>
        <w:t>φάρ</w:t>
      </w:r>
      <w:proofErr w:type="spellEnd"/>
      <w:r w:rsidRPr="00A330A9">
        <w:rPr>
          <w:rFonts w:eastAsia="Times New Roman"/>
          <w:lang w:eastAsia="de-DE"/>
        </w:rPr>
        <w:t>αγγα Ζα</w:t>
      </w:r>
      <w:proofErr w:type="spellStart"/>
      <w:r w:rsidRPr="00A330A9">
        <w:rPr>
          <w:rFonts w:eastAsia="Times New Roman"/>
          <w:lang w:eastAsia="de-DE"/>
        </w:rPr>
        <w:t>ρετ</w:t>
      </w:r>
      <w:proofErr w:type="spellEnd"/>
      <w:r w:rsidRPr="00A330A9">
        <w:rPr>
          <w:rFonts w:eastAsia="Times New Roman"/>
          <w:lang w:eastAsia="de-DE"/>
        </w:rPr>
        <w:t xml:space="preserve">, </w:t>
      </w:r>
      <w:proofErr w:type="spellStart"/>
      <w:r w:rsidRPr="00A330A9">
        <w:rPr>
          <w:rFonts w:eastAsia="Times New Roman"/>
          <w:lang w:eastAsia="de-DE"/>
        </w:rPr>
        <w:t>τριάκοντ</w:t>
      </w:r>
      <w:proofErr w:type="spellEnd"/>
      <w:r w:rsidRPr="00A330A9">
        <w:rPr>
          <w:rFonts w:eastAsia="Times New Roman"/>
          <w:lang w:eastAsia="de-DE"/>
        </w:rPr>
        <w:t xml:space="preserve">α καὶ </w:t>
      </w:r>
      <w:proofErr w:type="spellStart"/>
      <w:r w:rsidRPr="00A330A9">
        <w:rPr>
          <w:rFonts w:eastAsia="Times New Roman"/>
          <w:lang w:eastAsia="de-DE"/>
        </w:rPr>
        <w:t>ὀκτὼ</w:t>
      </w:r>
      <w:proofErr w:type="spellEnd"/>
      <w:r w:rsidRPr="00A330A9">
        <w:rPr>
          <w:rFonts w:eastAsia="Times New Roman"/>
          <w:lang w:eastAsia="de-DE"/>
        </w:rPr>
        <w:t xml:space="preserve"> </w:t>
      </w:r>
      <w:proofErr w:type="spellStart"/>
      <w:r w:rsidRPr="00A330A9">
        <w:rPr>
          <w:rFonts w:eastAsia="Times New Roman"/>
          <w:lang w:eastAsia="de-DE"/>
        </w:rPr>
        <w:t>ἔτη</w:t>
      </w:r>
      <w:proofErr w:type="spellEnd"/>
      <w:r w:rsidRPr="00A330A9">
        <w:rPr>
          <w:rFonts w:eastAsia="Times New Roman"/>
          <w:lang w:eastAsia="de-DE"/>
        </w:rPr>
        <w:t xml:space="preserve">, </w:t>
      </w:r>
      <w:proofErr w:type="spellStart"/>
      <w:r w:rsidRPr="00A330A9">
        <w:rPr>
          <w:rFonts w:eastAsia="Times New Roman"/>
          <w:lang w:eastAsia="de-DE"/>
        </w:rPr>
        <w:t>ἕως</w:t>
      </w:r>
      <w:proofErr w:type="spellEnd"/>
      <w:r w:rsidRPr="00A330A9">
        <w:rPr>
          <w:rFonts w:eastAsia="Times New Roman"/>
          <w:lang w:eastAsia="de-DE"/>
        </w:rPr>
        <w:t xml:space="preserve"> </w:t>
      </w:r>
      <w:proofErr w:type="spellStart"/>
      <w:r w:rsidRPr="00A330A9">
        <w:rPr>
          <w:rFonts w:eastAsia="Times New Roman"/>
          <w:lang w:eastAsia="de-DE"/>
        </w:rPr>
        <w:t>οὗ</w:t>
      </w:r>
      <w:proofErr w:type="spellEnd"/>
      <w:r w:rsidRPr="00A330A9">
        <w:rPr>
          <w:rFonts w:eastAsia="Times New Roman"/>
          <w:lang w:eastAsia="de-DE"/>
        </w:rPr>
        <w:t xml:space="preserve"> </w:t>
      </w:r>
      <w:proofErr w:type="spellStart"/>
      <w:r w:rsidRPr="00A330A9">
        <w:rPr>
          <w:rFonts w:eastAsia="Times New Roman"/>
          <w:lang w:eastAsia="de-DE"/>
        </w:rPr>
        <w:t>διέ</w:t>
      </w:r>
      <w:proofErr w:type="spellEnd"/>
      <w:r w:rsidRPr="00A330A9">
        <w:rPr>
          <w:rFonts w:eastAsia="Times New Roman"/>
          <w:lang w:eastAsia="de-DE"/>
        </w:rPr>
        <w:t>πεσεν π</w:t>
      </w:r>
      <w:proofErr w:type="spellStart"/>
      <w:r w:rsidRPr="00A330A9">
        <w:rPr>
          <w:rFonts w:eastAsia="Times New Roman"/>
          <w:lang w:eastAsia="de-DE"/>
        </w:rPr>
        <w:t>ᾶσ</w:t>
      </w:r>
      <w:proofErr w:type="spellEnd"/>
      <w:r w:rsidRPr="00A330A9">
        <w:rPr>
          <w:rFonts w:eastAsia="Times New Roman"/>
          <w:lang w:eastAsia="de-DE"/>
        </w:rPr>
        <w:t xml:space="preserve">α </w:t>
      </w:r>
      <w:proofErr w:type="spellStart"/>
      <w:r w:rsidRPr="00A330A9">
        <w:rPr>
          <w:rFonts w:eastAsia="Times New Roman"/>
          <w:lang w:eastAsia="de-DE"/>
        </w:rPr>
        <w:t>γενεὰ</w:t>
      </w:r>
      <w:proofErr w:type="spellEnd"/>
      <w:r w:rsidRPr="00A330A9">
        <w:rPr>
          <w:rFonts w:eastAsia="Times New Roman"/>
          <w:lang w:eastAsia="de-DE"/>
        </w:rPr>
        <w:t xml:space="preserve"> </w:t>
      </w:r>
      <w:proofErr w:type="spellStart"/>
      <w:r w:rsidRPr="00A330A9">
        <w:rPr>
          <w:rFonts w:eastAsia="Times New Roman"/>
          <w:lang w:eastAsia="de-DE"/>
        </w:rPr>
        <w:t>ἀνδρῶν</w:t>
      </w:r>
      <w:proofErr w:type="spellEnd"/>
      <w:r w:rsidRPr="00A330A9">
        <w:rPr>
          <w:rFonts w:eastAsia="Times New Roman"/>
          <w:lang w:eastAsia="de-DE"/>
        </w:rPr>
        <w:t xml:space="preserve"> π</w:t>
      </w:r>
      <w:proofErr w:type="spellStart"/>
      <w:r w:rsidRPr="00A330A9">
        <w:rPr>
          <w:rFonts w:eastAsia="Times New Roman"/>
          <w:lang w:eastAsia="de-DE"/>
        </w:rPr>
        <w:t>ολεμιστῶν</w:t>
      </w:r>
      <w:proofErr w:type="spellEnd"/>
      <w:r w:rsidRPr="00A330A9">
        <w:rPr>
          <w:rFonts w:eastAsia="Times New Roman"/>
          <w:lang w:eastAsia="de-DE"/>
        </w:rPr>
        <w:t xml:space="preserve"> ἀπ</w:t>
      </w:r>
      <w:proofErr w:type="spellStart"/>
      <w:r w:rsidRPr="00A330A9">
        <w:rPr>
          <w:rFonts w:eastAsia="Times New Roman"/>
          <w:lang w:eastAsia="de-DE"/>
        </w:rPr>
        <w:t>οθνῄσκοντες</w:t>
      </w:r>
      <w:proofErr w:type="spellEnd"/>
      <w:r w:rsidRPr="00A330A9">
        <w:rPr>
          <w:rFonts w:eastAsia="Times New Roman"/>
          <w:lang w:eastAsia="de-DE"/>
        </w:rPr>
        <w:t xml:space="preserve"> </w:t>
      </w:r>
      <w:proofErr w:type="spellStart"/>
      <w:r w:rsidRPr="00A330A9">
        <w:rPr>
          <w:rFonts w:eastAsia="Times New Roman"/>
          <w:lang w:eastAsia="de-DE"/>
        </w:rPr>
        <w:t>ἐκ</w:t>
      </w:r>
      <w:proofErr w:type="spellEnd"/>
      <w:r w:rsidRPr="00A330A9">
        <w:rPr>
          <w:rFonts w:eastAsia="Times New Roman"/>
          <w:lang w:eastAsia="de-DE"/>
        </w:rPr>
        <w:t xml:space="preserve"> </w:t>
      </w:r>
      <w:proofErr w:type="spellStart"/>
      <w:r w:rsidRPr="00A330A9">
        <w:rPr>
          <w:rFonts w:eastAsia="Times New Roman"/>
          <w:lang w:eastAsia="de-DE"/>
        </w:rPr>
        <w:t>τῆς</w:t>
      </w:r>
      <w:proofErr w:type="spellEnd"/>
      <w:r w:rsidRPr="00A330A9">
        <w:rPr>
          <w:rFonts w:eastAsia="Times New Roman"/>
          <w:lang w:eastAsia="de-DE"/>
        </w:rPr>
        <w:t xml:space="preserve"> πα</w:t>
      </w:r>
      <w:proofErr w:type="spellStart"/>
      <w:r w:rsidRPr="00A330A9">
        <w:rPr>
          <w:rFonts w:eastAsia="Times New Roman"/>
          <w:lang w:eastAsia="de-DE"/>
        </w:rPr>
        <w:t>ρεμ</w:t>
      </w:r>
      <w:proofErr w:type="spellEnd"/>
      <w:r w:rsidRPr="00A330A9">
        <w:rPr>
          <w:rFonts w:eastAsia="Times New Roman"/>
          <w:lang w:eastAsia="de-DE"/>
        </w:rPr>
        <w:t>βολῆς, κα</w:t>
      </w:r>
      <w:proofErr w:type="spellStart"/>
      <w:r w:rsidRPr="00A330A9">
        <w:rPr>
          <w:rFonts w:eastAsia="Times New Roman"/>
          <w:lang w:eastAsia="de-DE"/>
        </w:rPr>
        <w:t>θὰ</w:t>
      </w:r>
      <w:proofErr w:type="spellEnd"/>
      <w:r w:rsidRPr="00A330A9">
        <w:rPr>
          <w:rFonts w:eastAsia="Times New Roman"/>
          <w:lang w:eastAsia="de-DE"/>
        </w:rPr>
        <w:t xml:space="preserve"> </w:t>
      </w:r>
      <w:proofErr w:type="spellStart"/>
      <w:r w:rsidRPr="00A330A9">
        <w:rPr>
          <w:rFonts w:eastAsia="Times New Roman"/>
          <w:lang w:eastAsia="de-DE"/>
        </w:rPr>
        <w:t>ὤμοσεν</w:t>
      </w:r>
      <w:proofErr w:type="spellEnd"/>
      <w:r w:rsidRPr="00A330A9">
        <w:rPr>
          <w:rFonts w:eastAsia="Times New Roman"/>
          <w:lang w:eastAsia="de-DE"/>
        </w:rPr>
        <w:t xml:space="preserve"> α</w:t>
      </w:r>
      <w:proofErr w:type="spellStart"/>
      <w:r w:rsidRPr="00A330A9">
        <w:rPr>
          <w:rFonts w:eastAsia="Times New Roman"/>
          <w:lang w:eastAsia="de-DE"/>
        </w:rPr>
        <w:t>ὐτοῖς</w:t>
      </w:r>
      <w:proofErr w:type="spellEnd"/>
      <w:r w:rsidRPr="00A330A9">
        <w:rPr>
          <w:rFonts w:eastAsia="Times New Roman"/>
          <w:lang w:eastAsia="de-DE"/>
        </w:rPr>
        <w:t xml:space="preserve"> ὁ </w:t>
      </w:r>
      <w:proofErr w:type="spellStart"/>
      <w:r w:rsidRPr="00A330A9">
        <w:rPr>
          <w:rFonts w:eastAsia="Times New Roman"/>
          <w:lang w:eastAsia="de-DE"/>
        </w:rPr>
        <w:t>θεός</w:t>
      </w:r>
      <w:proofErr w:type="spellEnd"/>
      <w:r w:rsidRPr="00A330A9">
        <w:rPr>
          <w:rFonts w:eastAsia="Times New Roman"/>
          <w:lang w:eastAsia="de-DE"/>
        </w:rPr>
        <w:t xml:space="preserve">" („und die Tage, die wir von Kades </w:t>
      </w:r>
      <w:proofErr w:type="spellStart"/>
      <w:r w:rsidRPr="00A330A9">
        <w:rPr>
          <w:rFonts w:eastAsia="Times New Roman"/>
          <w:lang w:eastAsia="de-DE"/>
        </w:rPr>
        <w:t>Barne</w:t>
      </w:r>
      <w:proofErr w:type="spellEnd"/>
      <w:r w:rsidRPr="00A330A9">
        <w:rPr>
          <w:rFonts w:eastAsia="Times New Roman"/>
          <w:lang w:eastAsia="de-DE"/>
        </w:rPr>
        <w:t xml:space="preserve"> zogen, bis wir die Schlucht </w:t>
      </w:r>
      <w:proofErr w:type="spellStart"/>
      <w:r w:rsidRPr="00A330A9">
        <w:rPr>
          <w:rFonts w:eastAsia="Times New Roman"/>
          <w:lang w:eastAsia="de-DE"/>
        </w:rPr>
        <w:t>Zaret</w:t>
      </w:r>
      <w:proofErr w:type="spellEnd"/>
      <w:r w:rsidRPr="00A330A9">
        <w:rPr>
          <w:rFonts w:eastAsia="Times New Roman"/>
          <w:lang w:eastAsia="de-DE"/>
        </w:rPr>
        <w:t xml:space="preserve"> überquerten, waren 38 Jahre, bis die ganze Generation von Kriegsmännern weggestorben war aus dem Lager, wie Gott ihnen geschworen hatte"). Die LXX expliziert das Sterben mit dem Partizip </w:t>
      </w:r>
      <w:r w:rsidRPr="00A330A9">
        <w:rPr>
          <w:rFonts w:eastAsia="Times New Roman"/>
          <w:b/>
          <w:bCs/>
          <w:lang w:eastAsia="de-DE"/>
        </w:rPr>
        <w:t>ἀπ</w:t>
      </w:r>
      <w:proofErr w:type="spellStart"/>
      <w:r w:rsidRPr="00A330A9">
        <w:rPr>
          <w:rFonts w:eastAsia="Times New Roman"/>
          <w:b/>
          <w:bCs/>
          <w:lang w:eastAsia="de-DE"/>
        </w:rPr>
        <w:t>οθνῄσκοντες</w:t>
      </w:r>
      <w:proofErr w:type="spellEnd"/>
      <w:r w:rsidRPr="00A330A9">
        <w:rPr>
          <w:rFonts w:eastAsia="Times New Roman"/>
          <w:lang w:eastAsia="de-DE"/>
        </w:rPr>
        <w:t xml:space="preserve"> („sterbend").</w:t>
      </w:r>
    </w:p>
    <w:p w14:paraId="180D1111"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lang w:eastAsia="de-DE"/>
        </w:rPr>
        <w:t>Die Satzstruktur ist ein komplexer Nominalsatz: ein ausführliches Subjekt (</w:t>
      </w:r>
      <w:r w:rsidRPr="00A330A9">
        <w:rPr>
          <w:rFonts w:eastAsia="Times New Roman"/>
          <w:b/>
          <w:bCs/>
          <w:rtl/>
          <w:lang w:eastAsia="de-DE"/>
        </w:rPr>
        <w:t>וְהַיָּמִים</w:t>
      </w:r>
      <w:r w:rsidRPr="00A330A9">
        <w:rPr>
          <w:rFonts w:eastAsia="Times New Roman"/>
          <w:rtl/>
          <w:lang w:eastAsia="de-DE"/>
        </w:rPr>
        <w:t xml:space="preserve"> </w:t>
      </w:r>
      <w:r w:rsidRPr="00A330A9">
        <w:rPr>
          <w:rFonts w:eastAsia="Times New Roman"/>
          <w:lang w:eastAsia="de-DE"/>
        </w:rPr>
        <w:t>mit doppeltem Relativsatz), numerisches Prädikat (</w:t>
      </w:r>
      <w:r w:rsidRPr="00A330A9">
        <w:rPr>
          <w:rFonts w:eastAsia="Times New Roman"/>
          <w:b/>
          <w:bCs/>
          <w:rtl/>
          <w:lang w:eastAsia="de-DE"/>
        </w:rPr>
        <w:t>שְׁלֹשִׁים וּשְׁמֹנֶה שָׁנָה</w:t>
      </w:r>
      <w:r w:rsidRPr="00A330A9">
        <w:rPr>
          <w:rFonts w:eastAsia="Times New Roman"/>
          <w:lang w:eastAsia="de-DE"/>
        </w:rPr>
        <w:t>), erweitert durch einen temporalen Infinitiv (</w:t>
      </w:r>
      <w:r w:rsidRPr="00A330A9">
        <w:rPr>
          <w:rFonts w:eastAsia="Times New Roman"/>
          <w:b/>
          <w:bCs/>
          <w:rtl/>
          <w:lang w:eastAsia="de-DE"/>
        </w:rPr>
        <w:t>עַד־תֹּם</w:t>
      </w:r>
      <w:r w:rsidRPr="00A330A9">
        <w:rPr>
          <w:rFonts w:eastAsia="Times New Roman"/>
          <w:lang w:eastAsia="de-DE"/>
        </w:rPr>
        <w:t>) mit Subjekt und Apposition, abgeschlossen durch einen Vergleichssatz (</w:t>
      </w:r>
      <w:r w:rsidRPr="00A330A9">
        <w:rPr>
          <w:rFonts w:eastAsia="Times New Roman"/>
          <w:b/>
          <w:bCs/>
          <w:rtl/>
          <w:lang w:eastAsia="de-DE"/>
        </w:rPr>
        <w:t>כַּאֲשֶׁר נִשְׁבַּע יְהוָה לָהֶם</w:t>
      </w:r>
      <w:r w:rsidRPr="00A330A9">
        <w:rPr>
          <w:rFonts w:eastAsia="Times New Roman"/>
          <w:lang w:eastAsia="de-DE"/>
        </w:rPr>
        <w:t>).</w:t>
      </w:r>
    </w:p>
    <w:p w14:paraId="48546C6D"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lang w:eastAsia="de-DE"/>
        </w:rPr>
        <w:t>Der Vers gibt die präzise Zeitangabe: 38 Jahre zwischen dem Aufbruch von Kadesch-Barnea (nach der Rebellion in Dtn 1) und der Überquerung des Baches Sered. Diese entspricht den 40 Jahren Wüstenwanderung minus etwa 2 Jahre für die Ereignisse von Exodus bis Kadesch. Die Zeitspanne ist definiert durch das vollständige Sterben der Exodusgeneration, das strafweise Gericht JHWHs.</w:t>
      </w:r>
    </w:p>
    <w:p w14:paraId="69D074BA" w14:textId="77777777" w:rsidR="00A330A9" w:rsidRPr="00A330A9" w:rsidRDefault="00A330A9" w:rsidP="00A330A9">
      <w:pPr>
        <w:spacing w:before="100" w:beforeAutospacing="1" w:after="100" w:afterAutospacing="1" w:line="240" w:lineRule="auto"/>
        <w:outlineLvl w:val="1"/>
        <w:rPr>
          <w:rFonts w:eastAsia="Times New Roman"/>
          <w:b/>
          <w:bCs/>
          <w:sz w:val="36"/>
          <w:szCs w:val="36"/>
          <w:lang w:eastAsia="de-DE"/>
        </w:rPr>
      </w:pPr>
      <w:r w:rsidRPr="00A330A9">
        <w:rPr>
          <w:rFonts w:eastAsia="Times New Roman"/>
          <w:b/>
          <w:bCs/>
          <w:sz w:val="36"/>
          <w:szCs w:val="36"/>
          <w:lang w:eastAsia="de-DE"/>
        </w:rPr>
        <w:t>Deuteronomium 2,15</w:t>
      </w:r>
    </w:p>
    <w:p w14:paraId="7D1AE952"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Hebräisch:</w:t>
      </w:r>
      <w:r w:rsidRPr="00A330A9">
        <w:rPr>
          <w:rFonts w:eastAsia="Times New Roman"/>
          <w:lang w:eastAsia="de-DE"/>
        </w:rPr>
        <w:t xml:space="preserve"> </w:t>
      </w:r>
      <w:r w:rsidRPr="00A330A9">
        <w:rPr>
          <w:rFonts w:eastAsia="Times New Roman"/>
          <w:rtl/>
          <w:lang w:eastAsia="de-DE"/>
        </w:rPr>
        <w:t>וְגַ֤ם יַד־יְהוָה֙ הָ֣יְתָה בָּ֔ם לְהֻמָּ֖ם מִקֶּ֣רֶב הַֽמַּחֲנֶ֑ה עַ֖ד תֻּמָּֽם׃</w:t>
      </w:r>
    </w:p>
    <w:p w14:paraId="0C75E242"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Deutsch:</w:t>
      </w:r>
      <w:r w:rsidRPr="00A330A9">
        <w:rPr>
          <w:rFonts w:eastAsia="Times New Roman"/>
          <w:lang w:eastAsia="de-DE"/>
        </w:rPr>
        <w:t xml:space="preserve"> Und auch die Hand des Ewigen war gegen sie, um sie aus dem Inneren des Lagers zu vertilgen, bis sie aufgerieben waren.</w:t>
      </w:r>
    </w:p>
    <w:p w14:paraId="2175AE02" w14:textId="77777777" w:rsidR="00A330A9" w:rsidRPr="00A330A9" w:rsidRDefault="004F5CEB" w:rsidP="00A330A9">
      <w:pPr>
        <w:spacing w:after="0" w:line="240" w:lineRule="auto"/>
        <w:rPr>
          <w:rFonts w:eastAsia="Times New Roman"/>
          <w:lang w:eastAsia="de-DE"/>
        </w:rPr>
      </w:pPr>
      <w:r>
        <w:rPr>
          <w:rFonts w:eastAsia="Times New Roman"/>
          <w:noProof/>
          <w:lang w:eastAsia="de-DE"/>
        </w:rPr>
        <w:pict w14:anchorId="4FC8C6F5">
          <v:rect id="_x0000_i1085" style="width:0;height:1.5pt" o:hralign="center" o:hrstd="t" o:hr="t" fillcolor="#a0a0a0" stroked="f"/>
        </w:pict>
      </w:r>
    </w:p>
    <w:p w14:paraId="3AA146C3" w14:textId="31DF72A8"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Kommentar:</w:t>
      </w:r>
      <w:r w:rsidRPr="00A330A9">
        <w:rPr>
          <w:rFonts w:eastAsia="Times New Roman"/>
          <w:lang w:eastAsia="de-DE"/>
        </w:rPr>
        <w:t xml:space="preserve"> </w:t>
      </w:r>
      <w:r w:rsidRPr="00A330A9">
        <w:rPr>
          <w:rFonts w:eastAsia="Times New Roman"/>
          <w:b/>
          <w:bCs/>
          <w:rtl/>
          <w:lang w:eastAsia="de-DE"/>
        </w:rPr>
        <w:t>וְגַם</w:t>
      </w:r>
      <w:r w:rsidRPr="00A330A9">
        <w:rPr>
          <w:rFonts w:eastAsia="Times New Roman"/>
          <w:rtl/>
          <w:lang w:eastAsia="de-DE"/>
        </w:rPr>
        <w:t xml:space="preserve"> </w:t>
      </w:r>
      <w:r w:rsidRPr="00A330A9">
        <w:rPr>
          <w:rFonts w:eastAsia="Times New Roman"/>
          <w:lang w:eastAsia="de-DE"/>
        </w:rPr>
        <w:t xml:space="preserve">ist </w:t>
      </w:r>
      <w:r w:rsidRPr="00A330A9">
        <w:rPr>
          <w:rFonts w:eastAsia="Times New Roman"/>
          <w:b/>
          <w:bCs/>
          <w:rtl/>
          <w:lang w:eastAsia="de-DE"/>
        </w:rPr>
        <w:t>וְ</w:t>
      </w:r>
      <w:r w:rsidRPr="00A330A9">
        <w:rPr>
          <w:rFonts w:eastAsia="Times New Roman"/>
          <w:rtl/>
          <w:lang w:eastAsia="de-DE"/>
        </w:rPr>
        <w:t xml:space="preserve"> </w:t>
      </w:r>
      <w:r w:rsidRPr="00A330A9">
        <w:rPr>
          <w:rFonts w:eastAsia="Times New Roman"/>
          <w:lang w:eastAsia="de-DE"/>
        </w:rPr>
        <w:t xml:space="preserve">mit der Partikel </w:t>
      </w:r>
      <w:r w:rsidRPr="00A330A9">
        <w:rPr>
          <w:rFonts w:eastAsia="Times New Roman"/>
          <w:b/>
          <w:bCs/>
          <w:rtl/>
          <w:lang w:eastAsia="de-DE"/>
        </w:rPr>
        <w:t>גַּם</w:t>
      </w:r>
      <w:r w:rsidRPr="00A330A9">
        <w:rPr>
          <w:rFonts w:eastAsia="Times New Roman"/>
          <w:rtl/>
          <w:lang w:eastAsia="de-DE"/>
        </w:rPr>
        <w:t xml:space="preserve"> </w:t>
      </w:r>
      <w:r w:rsidRPr="00A330A9">
        <w:rPr>
          <w:rFonts w:eastAsia="Times New Roman"/>
          <w:lang w:eastAsia="de-DE"/>
        </w:rPr>
        <w:t xml:space="preserve">(„auch"). </w:t>
      </w:r>
      <w:r w:rsidRPr="00A330A9">
        <w:rPr>
          <w:rFonts w:eastAsia="Times New Roman"/>
          <w:b/>
          <w:bCs/>
          <w:rtl/>
          <w:lang w:eastAsia="de-DE"/>
        </w:rPr>
        <w:t>יַד־יְהוָה</w:t>
      </w:r>
      <w:r w:rsidRPr="00A330A9">
        <w:rPr>
          <w:rFonts w:eastAsia="Times New Roman"/>
          <w:rtl/>
          <w:lang w:eastAsia="de-DE"/>
        </w:rPr>
        <w:t xml:space="preserve"> </w:t>
      </w:r>
      <w:r w:rsidRPr="00A330A9">
        <w:rPr>
          <w:rFonts w:eastAsia="Times New Roman"/>
          <w:lang w:eastAsia="de-DE"/>
        </w:rPr>
        <w:t xml:space="preserve">ist eine </w:t>
      </w:r>
      <w:r w:rsidR="0032647F">
        <w:rPr>
          <w:rFonts w:eastAsia="Times New Roman"/>
          <w:lang w:eastAsia="de-DE"/>
        </w:rPr>
        <w:t>Construct</w:t>
      </w:r>
      <w:r w:rsidRPr="00A330A9">
        <w:rPr>
          <w:rFonts w:eastAsia="Times New Roman"/>
          <w:lang w:eastAsia="de-DE"/>
        </w:rPr>
        <w:t xml:space="preserve">usverbindung: </w:t>
      </w:r>
      <w:r w:rsidRPr="00A330A9">
        <w:rPr>
          <w:rFonts w:eastAsia="Times New Roman"/>
          <w:b/>
          <w:bCs/>
          <w:rtl/>
          <w:lang w:eastAsia="de-DE"/>
        </w:rPr>
        <w:t>יָד</w:t>
      </w:r>
      <w:r w:rsidRPr="00A330A9">
        <w:rPr>
          <w:rFonts w:eastAsia="Times New Roman"/>
          <w:rtl/>
          <w:lang w:eastAsia="de-DE"/>
        </w:rPr>
        <w:t xml:space="preserve"> </w:t>
      </w:r>
      <w:r w:rsidRPr="00A330A9">
        <w:rPr>
          <w:rFonts w:eastAsia="Times New Roman"/>
          <w:lang w:eastAsia="de-DE"/>
        </w:rPr>
        <w:t xml:space="preserve">(„Hand") mit </w:t>
      </w:r>
      <w:r w:rsidRPr="00A330A9">
        <w:rPr>
          <w:rFonts w:eastAsia="Times New Roman"/>
          <w:b/>
          <w:bCs/>
          <w:rtl/>
          <w:lang w:eastAsia="de-DE"/>
        </w:rPr>
        <w:t>יְהוָה</w:t>
      </w:r>
      <w:r w:rsidRPr="00A330A9">
        <w:rPr>
          <w:rFonts w:eastAsia="Times New Roman"/>
          <w:lang w:eastAsia="de-DE"/>
        </w:rPr>
        <w:t xml:space="preserve">. Die Phrase </w:t>
      </w:r>
      <w:r w:rsidRPr="00A330A9">
        <w:rPr>
          <w:rFonts w:eastAsia="Times New Roman"/>
          <w:b/>
          <w:bCs/>
          <w:rtl/>
          <w:lang w:eastAsia="de-DE"/>
        </w:rPr>
        <w:t>יַד־יְהוָה</w:t>
      </w:r>
      <w:r w:rsidRPr="00A330A9">
        <w:rPr>
          <w:rFonts w:eastAsia="Times New Roman"/>
          <w:rtl/>
          <w:lang w:eastAsia="de-DE"/>
        </w:rPr>
        <w:t xml:space="preserve"> </w:t>
      </w:r>
      <w:r w:rsidRPr="00A330A9">
        <w:rPr>
          <w:rFonts w:eastAsia="Times New Roman"/>
          <w:lang w:eastAsia="de-DE"/>
        </w:rPr>
        <w:t xml:space="preserve">ist eine Metapher für göttliches Handeln, oft im Sinne von Gericht oder Strafe. </w:t>
      </w:r>
      <w:r w:rsidRPr="00A330A9">
        <w:rPr>
          <w:rFonts w:eastAsia="Times New Roman"/>
          <w:b/>
          <w:bCs/>
          <w:rtl/>
          <w:lang w:eastAsia="de-DE"/>
        </w:rPr>
        <w:t>הָיְתָה</w:t>
      </w:r>
      <w:r w:rsidRPr="00A330A9">
        <w:rPr>
          <w:rFonts w:eastAsia="Times New Roman"/>
          <w:rtl/>
          <w:lang w:eastAsia="de-DE"/>
        </w:rPr>
        <w:t xml:space="preserve"> </w:t>
      </w:r>
      <w:r w:rsidRPr="00A330A9">
        <w:rPr>
          <w:rFonts w:eastAsia="Times New Roman"/>
          <w:lang w:eastAsia="de-DE"/>
        </w:rPr>
        <w:t xml:space="preserve">ist Qal Perfekt, 3. Person feminin Singular von </w:t>
      </w:r>
      <w:r w:rsidRPr="00A330A9">
        <w:rPr>
          <w:rFonts w:eastAsia="Times New Roman"/>
          <w:rtl/>
          <w:lang w:eastAsia="de-DE"/>
        </w:rPr>
        <w:t>היה</w:t>
      </w:r>
      <w:r w:rsidRPr="00A330A9">
        <w:rPr>
          <w:rFonts w:eastAsia="Times New Roman"/>
          <w:lang w:eastAsia="de-DE"/>
        </w:rPr>
        <w:t xml:space="preserve"> („sein"), kongruent mit dem femininen </w:t>
      </w:r>
      <w:r w:rsidRPr="00A330A9">
        <w:rPr>
          <w:rFonts w:eastAsia="Times New Roman"/>
          <w:b/>
          <w:bCs/>
          <w:rtl/>
          <w:lang w:eastAsia="de-DE"/>
        </w:rPr>
        <w:t>יָד</w:t>
      </w:r>
      <w:r w:rsidRPr="00A330A9">
        <w:rPr>
          <w:rFonts w:eastAsia="Times New Roman"/>
          <w:lang w:eastAsia="de-DE"/>
        </w:rPr>
        <w:t xml:space="preserve">. </w:t>
      </w:r>
      <w:r w:rsidRPr="00A330A9">
        <w:rPr>
          <w:rFonts w:eastAsia="Times New Roman"/>
          <w:b/>
          <w:bCs/>
          <w:rtl/>
          <w:lang w:eastAsia="de-DE"/>
        </w:rPr>
        <w:t>בָּם</w:t>
      </w:r>
      <w:r w:rsidRPr="00A330A9">
        <w:rPr>
          <w:rFonts w:eastAsia="Times New Roman"/>
          <w:rtl/>
          <w:lang w:eastAsia="de-DE"/>
        </w:rPr>
        <w:t xml:space="preserve"> </w:t>
      </w:r>
      <w:r w:rsidRPr="00A330A9">
        <w:rPr>
          <w:rFonts w:eastAsia="Times New Roman"/>
          <w:lang w:eastAsia="de-DE"/>
        </w:rPr>
        <w:t xml:space="preserve">ist </w:t>
      </w:r>
      <w:r w:rsidRPr="00A330A9">
        <w:rPr>
          <w:rFonts w:eastAsia="Times New Roman"/>
          <w:b/>
          <w:bCs/>
          <w:rtl/>
          <w:lang w:eastAsia="de-DE"/>
        </w:rPr>
        <w:t>בְּ</w:t>
      </w:r>
      <w:r w:rsidRPr="00A330A9">
        <w:rPr>
          <w:rFonts w:eastAsia="Times New Roman"/>
          <w:rtl/>
          <w:lang w:eastAsia="de-DE"/>
        </w:rPr>
        <w:t xml:space="preserve"> </w:t>
      </w:r>
      <w:r w:rsidRPr="00A330A9">
        <w:rPr>
          <w:rFonts w:eastAsia="Times New Roman"/>
          <w:lang w:eastAsia="de-DE"/>
        </w:rPr>
        <w:t>(„gegen, unter") mit Pronominalsuffix 3. Person maskulin Plural.</w:t>
      </w:r>
    </w:p>
    <w:p w14:paraId="58247DFB" w14:textId="4A29906F"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rtl/>
          <w:lang w:eastAsia="de-DE"/>
        </w:rPr>
        <w:t>לְהֻמָּם</w:t>
      </w:r>
      <w:r w:rsidRPr="00A330A9">
        <w:rPr>
          <w:rFonts w:eastAsia="Times New Roman"/>
          <w:rtl/>
          <w:lang w:eastAsia="de-DE"/>
        </w:rPr>
        <w:t xml:space="preserve"> </w:t>
      </w:r>
      <w:r w:rsidRPr="00A330A9">
        <w:rPr>
          <w:rFonts w:eastAsia="Times New Roman"/>
          <w:lang w:eastAsia="de-DE"/>
        </w:rPr>
        <w:t xml:space="preserve">ist </w:t>
      </w:r>
      <w:r w:rsidRPr="00A330A9">
        <w:rPr>
          <w:rFonts w:eastAsia="Times New Roman"/>
          <w:b/>
          <w:bCs/>
          <w:rtl/>
          <w:lang w:eastAsia="de-DE"/>
        </w:rPr>
        <w:t>לְ</w:t>
      </w:r>
      <w:r w:rsidRPr="00A330A9">
        <w:rPr>
          <w:rFonts w:eastAsia="Times New Roman"/>
          <w:rtl/>
          <w:lang w:eastAsia="de-DE"/>
        </w:rPr>
        <w:t xml:space="preserve"> </w:t>
      </w:r>
      <w:r w:rsidRPr="00A330A9">
        <w:rPr>
          <w:rFonts w:eastAsia="Times New Roman"/>
          <w:lang w:eastAsia="de-DE"/>
        </w:rPr>
        <w:t xml:space="preserve">mit Qal Infinitiv </w:t>
      </w:r>
      <w:r w:rsidR="0032647F">
        <w:rPr>
          <w:rFonts w:eastAsia="Times New Roman"/>
          <w:lang w:eastAsia="de-DE"/>
        </w:rPr>
        <w:t>Construct</w:t>
      </w:r>
      <w:r w:rsidRPr="00A330A9">
        <w:rPr>
          <w:rFonts w:eastAsia="Times New Roman"/>
          <w:lang w:eastAsia="de-DE"/>
        </w:rPr>
        <w:t xml:space="preserve"> von </w:t>
      </w:r>
      <w:r w:rsidRPr="00A330A9">
        <w:rPr>
          <w:rFonts w:eastAsia="Times New Roman"/>
          <w:rtl/>
          <w:lang w:eastAsia="de-DE"/>
        </w:rPr>
        <w:t>המם</w:t>
      </w:r>
      <w:r w:rsidRPr="00A330A9">
        <w:rPr>
          <w:rFonts w:eastAsia="Times New Roman"/>
          <w:lang w:eastAsia="de-DE"/>
        </w:rPr>
        <w:t xml:space="preserve"> („verwirren, in Verwirrung bringen, vertilgen") und Suffix 3. Person maskulin Plural </w:t>
      </w:r>
      <w:r w:rsidRPr="00A330A9">
        <w:rPr>
          <w:rFonts w:eastAsia="Times New Roman"/>
          <w:b/>
          <w:bCs/>
          <w:rtl/>
          <w:lang w:eastAsia="de-DE"/>
        </w:rPr>
        <w:t>ם</w:t>
      </w:r>
      <w:r w:rsidRPr="00A330A9">
        <w:rPr>
          <w:rFonts w:eastAsia="Times New Roman"/>
          <w:rtl/>
          <w:lang w:eastAsia="de-DE"/>
        </w:rPr>
        <w:t xml:space="preserve"> </w:t>
      </w:r>
      <w:r w:rsidRPr="00A330A9">
        <w:rPr>
          <w:rFonts w:eastAsia="Times New Roman"/>
          <w:lang w:eastAsia="de-DE"/>
        </w:rPr>
        <w:t xml:space="preserve">als Objekt. Die Wurzel </w:t>
      </w:r>
      <w:r w:rsidRPr="00A330A9">
        <w:rPr>
          <w:rFonts w:eastAsia="Times New Roman"/>
          <w:rtl/>
          <w:lang w:eastAsia="de-DE"/>
        </w:rPr>
        <w:t>המם</w:t>
      </w:r>
      <w:r w:rsidRPr="00A330A9">
        <w:rPr>
          <w:rFonts w:eastAsia="Times New Roman"/>
          <w:lang w:eastAsia="de-DE"/>
        </w:rPr>
        <w:t xml:space="preserve"> beschreibt göttliches Eingreifen durch Verwirrung und Panik. </w:t>
      </w:r>
      <w:r w:rsidRPr="00A330A9">
        <w:rPr>
          <w:rFonts w:eastAsia="Times New Roman"/>
          <w:b/>
          <w:bCs/>
          <w:rtl/>
          <w:lang w:eastAsia="de-DE"/>
        </w:rPr>
        <w:t>מִקֶּרֶב הַמַּחֲנֶה</w:t>
      </w:r>
      <w:r w:rsidRPr="00A330A9">
        <w:rPr>
          <w:rFonts w:eastAsia="Times New Roman"/>
          <w:rtl/>
          <w:lang w:eastAsia="de-DE"/>
        </w:rPr>
        <w:t xml:space="preserve"> </w:t>
      </w:r>
      <w:r w:rsidRPr="00A330A9">
        <w:rPr>
          <w:rFonts w:eastAsia="Times New Roman"/>
          <w:lang w:eastAsia="de-DE"/>
        </w:rPr>
        <w:t xml:space="preserve">ist identisch mit V. 14: </w:t>
      </w:r>
      <w:r w:rsidRPr="00A330A9">
        <w:rPr>
          <w:rFonts w:eastAsia="Times New Roman"/>
          <w:b/>
          <w:bCs/>
          <w:rtl/>
          <w:lang w:eastAsia="de-DE"/>
        </w:rPr>
        <w:t>מִן</w:t>
      </w:r>
      <w:r w:rsidRPr="00A330A9">
        <w:rPr>
          <w:rFonts w:eastAsia="Times New Roman"/>
          <w:rtl/>
          <w:lang w:eastAsia="de-DE"/>
        </w:rPr>
        <w:t xml:space="preserve"> </w:t>
      </w:r>
      <w:r w:rsidRPr="00A330A9">
        <w:rPr>
          <w:rFonts w:eastAsia="Times New Roman"/>
          <w:lang w:eastAsia="de-DE"/>
        </w:rPr>
        <w:t xml:space="preserve">mit </w:t>
      </w:r>
      <w:r w:rsidRPr="00A330A9">
        <w:rPr>
          <w:rFonts w:eastAsia="Times New Roman"/>
          <w:b/>
          <w:bCs/>
          <w:rtl/>
          <w:lang w:eastAsia="de-DE"/>
        </w:rPr>
        <w:t>קֶרֶב הַמַּחֲנֶה</w:t>
      </w:r>
      <w:r w:rsidRPr="00A330A9">
        <w:rPr>
          <w:rFonts w:eastAsia="Times New Roman"/>
          <w:lang w:eastAsia="de-DE"/>
        </w:rPr>
        <w:t>.</w:t>
      </w:r>
    </w:p>
    <w:p w14:paraId="0B01E98B" w14:textId="41E112E5"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rtl/>
          <w:lang w:eastAsia="de-DE"/>
        </w:rPr>
        <w:t>עַד תֻּמָּם</w:t>
      </w:r>
      <w:r w:rsidRPr="00A330A9">
        <w:rPr>
          <w:rFonts w:eastAsia="Times New Roman"/>
          <w:rtl/>
          <w:lang w:eastAsia="de-DE"/>
        </w:rPr>
        <w:t xml:space="preserve"> </w:t>
      </w:r>
      <w:r w:rsidRPr="00A330A9">
        <w:rPr>
          <w:rFonts w:eastAsia="Times New Roman"/>
          <w:lang w:eastAsia="de-DE"/>
        </w:rPr>
        <w:t xml:space="preserve">ist </w:t>
      </w:r>
      <w:r w:rsidRPr="00A330A9">
        <w:rPr>
          <w:rFonts w:eastAsia="Times New Roman"/>
          <w:b/>
          <w:bCs/>
          <w:rtl/>
          <w:lang w:eastAsia="de-DE"/>
        </w:rPr>
        <w:t>עַד</w:t>
      </w:r>
      <w:r w:rsidRPr="00A330A9">
        <w:rPr>
          <w:rFonts w:eastAsia="Times New Roman"/>
          <w:rtl/>
          <w:lang w:eastAsia="de-DE"/>
        </w:rPr>
        <w:t xml:space="preserve"> </w:t>
      </w:r>
      <w:r w:rsidRPr="00A330A9">
        <w:rPr>
          <w:rFonts w:eastAsia="Times New Roman"/>
          <w:lang w:eastAsia="de-DE"/>
        </w:rPr>
        <w:t xml:space="preserve">(„bis") mit </w:t>
      </w:r>
      <w:r w:rsidRPr="00A330A9">
        <w:rPr>
          <w:rFonts w:eastAsia="Times New Roman"/>
          <w:b/>
          <w:bCs/>
          <w:rtl/>
          <w:lang w:eastAsia="de-DE"/>
        </w:rPr>
        <w:t>תֻּמָּם</w:t>
      </w:r>
      <w:r w:rsidRPr="00A330A9">
        <w:rPr>
          <w:rFonts w:eastAsia="Times New Roman"/>
          <w:lang w:eastAsia="de-DE"/>
        </w:rPr>
        <w:t xml:space="preserve">, dem Qal Infinitiv </w:t>
      </w:r>
      <w:r w:rsidR="0032647F">
        <w:rPr>
          <w:rFonts w:eastAsia="Times New Roman"/>
          <w:lang w:eastAsia="de-DE"/>
        </w:rPr>
        <w:t>Construct</w:t>
      </w:r>
      <w:r w:rsidRPr="00A330A9">
        <w:rPr>
          <w:rFonts w:eastAsia="Times New Roman"/>
          <w:lang w:eastAsia="de-DE"/>
        </w:rPr>
        <w:t xml:space="preserve"> von </w:t>
      </w:r>
      <w:r w:rsidRPr="00A330A9">
        <w:rPr>
          <w:rFonts w:eastAsia="Times New Roman"/>
          <w:rtl/>
          <w:lang w:eastAsia="de-DE"/>
        </w:rPr>
        <w:t>תמם</w:t>
      </w:r>
      <w:r w:rsidRPr="00A330A9">
        <w:rPr>
          <w:rFonts w:eastAsia="Times New Roman"/>
          <w:lang w:eastAsia="de-DE"/>
        </w:rPr>
        <w:t xml:space="preserve"> mit Suffix 3. Person maskulin Plural („bis ihr </w:t>
      </w:r>
      <w:proofErr w:type="spellStart"/>
      <w:r w:rsidRPr="00A330A9">
        <w:rPr>
          <w:rFonts w:eastAsia="Times New Roman"/>
          <w:lang w:eastAsia="de-DE"/>
        </w:rPr>
        <w:t>Zuendesein</w:t>
      </w:r>
      <w:proofErr w:type="spellEnd"/>
      <w:r w:rsidRPr="00A330A9">
        <w:rPr>
          <w:rFonts w:eastAsia="Times New Roman"/>
          <w:lang w:eastAsia="de-DE"/>
        </w:rPr>
        <w:t>, bis sie aufgerieben waren").</w:t>
      </w:r>
    </w:p>
    <w:p w14:paraId="6369276D" w14:textId="0B945D0F"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Die LXX</w:t>
      </w:r>
      <w:r w:rsidRPr="00A330A9">
        <w:rPr>
          <w:rFonts w:eastAsia="Times New Roman"/>
          <w:lang w:eastAsia="de-DE"/>
        </w:rPr>
        <w:t xml:space="preserve"> </w:t>
      </w:r>
      <w:r w:rsidR="00516967">
        <w:t xml:space="preserve">hat „ἡ </w:t>
      </w:r>
      <w:proofErr w:type="spellStart"/>
      <w:r w:rsidR="00516967">
        <w:t>χεὶρ</w:t>
      </w:r>
      <w:proofErr w:type="spellEnd"/>
      <w:r w:rsidR="00516967">
        <w:t xml:space="preserve"> </w:t>
      </w:r>
      <w:proofErr w:type="spellStart"/>
      <w:r w:rsidR="00516967">
        <w:t>τοῦ</w:t>
      </w:r>
      <w:proofErr w:type="spellEnd"/>
      <w:r w:rsidR="00516967">
        <w:t xml:space="preserve"> </w:t>
      </w:r>
      <w:proofErr w:type="spellStart"/>
      <w:r w:rsidR="00516967">
        <w:t>θεοῦ</w:t>
      </w:r>
      <w:proofErr w:type="spellEnd"/>
      <w:r w:rsidR="00516967">
        <w:t>" (die Hand Gottes) statt „</w:t>
      </w:r>
      <w:r w:rsidR="00516967">
        <w:rPr>
          <w:rtl/>
        </w:rPr>
        <w:t>יַד־יְהוָה</w:t>
      </w:r>
      <w:r w:rsidR="00516967">
        <w:t>" (die Hand des HERRN).</w:t>
      </w:r>
    </w:p>
    <w:p w14:paraId="541A67B3"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lang w:eastAsia="de-DE"/>
        </w:rPr>
        <w:lastRenderedPageBreak/>
        <w:t xml:space="preserve">Die Satzstruktur ist ein Nominalsatz: </w:t>
      </w:r>
      <w:r w:rsidRPr="00A330A9">
        <w:rPr>
          <w:rFonts w:eastAsia="Times New Roman"/>
          <w:b/>
          <w:bCs/>
          <w:rtl/>
          <w:lang w:eastAsia="de-DE"/>
        </w:rPr>
        <w:t>וְגַם יַד־יְהוָה</w:t>
      </w:r>
      <w:r w:rsidRPr="00A330A9">
        <w:rPr>
          <w:rFonts w:eastAsia="Times New Roman"/>
          <w:rtl/>
          <w:lang w:eastAsia="de-DE"/>
        </w:rPr>
        <w:t xml:space="preserve"> </w:t>
      </w:r>
      <w:r w:rsidRPr="00A330A9">
        <w:rPr>
          <w:rFonts w:eastAsia="Times New Roman"/>
          <w:lang w:eastAsia="de-DE"/>
        </w:rPr>
        <w:t xml:space="preserve">als Subjekt, </w:t>
      </w:r>
      <w:r w:rsidRPr="00A330A9">
        <w:rPr>
          <w:rFonts w:eastAsia="Times New Roman"/>
          <w:b/>
          <w:bCs/>
          <w:rtl/>
          <w:lang w:eastAsia="de-DE"/>
        </w:rPr>
        <w:t>הָיְתָה בָּם</w:t>
      </w:r>
      <w:r w:rsidRPr="00A330A9">
        <w:rPr>
          <w:rFonts w:eastAsia="Times New Roman"/>
          <w:rtl/>
          <w:lang w:eastAsia="de-DE"/>
        </w:rPr>
        <w:t xml:space="preserve"> </w:t>
      </w:r>
      <w:r w:rsidRPr="00A330A9">
        <w:rPr>
          <w:rFonts w:eastAsia="Times New Roman"/>
          <w:lang w:eastAsia="de-DE"/>
        </w:rPr>
        <w:t xml:space="preserve">als Prädikat, </w:t>
      </w:r>
      <w:r w:rsidRPr="00A330A9">
        <w:rPr>
          <w:rFonts w:eastAsia="Times New Roman"/>
          <w:b/>
          <w:bCs/>
          <w:rtl/>
          <w:lang w:eastAsia="de-DE"/>
        </w:rPr>
        <w:t>לְהֻמָּם מִקֶּרֶב הַמַּחֲנֶה</w:t>
      </w:r>
      <w:r w:rsidRPr="00A330A9">
        <w:rPr>
          <w:rFonts w:eastAsia="Times New Roman"/>
          <w:rtl/>
          <w:lang w:eastAsia="de-DE"/>
        </w:rPr>
        <w:t xml:space="preserve"> </w:t>
      </w:r>
      <w:r w:rsidRPr="00A330A9">
        <w:rPr>
          <w:rFonts w:eastAsia="Times New Roman"/>
          <w:lang w:eastAsia="de-DE"/>
        </w:rPr>
        <w:t xml:space="preserve">als finaler Infinitiv mit Ortsangabe, </w:t>
      </w:r>
      <w:r w:rsidRPr="00A330A9">
        <w:rPr>
          <w:rFonts w:eastAsia="Times New Roman"/>
          <w:b/>
          <w:bCs/>
          <w:rtl/>
          <w:lang w:eastAsia="de-DE"/>
        </w:rPr>
        <w:t>עַד תֻּמָּם</w:t>
      </w:r>
      <w:r w:rsidRPr="00A330A9">
        <w:rPr>
          <w:rFonts w:eastAsia="Times New Roman"/>
          <w:rtl/>
          <w:lang w:eastAsia="de-DE"/>
        </w:rPr>
        <w:t xml:space="preserve"> </w:t>
      </w:r>
      <w:r w:rsidRPr="00A330A9">
        <w:rPr>
          <w:rFonts w:eastAsia="Times New Roman"/>
          <w:lang w:eastAsia="de-DE"/>
        </w:rPr>
        <w:t>als temporale Grenze.</w:t>
      </w:r>
    </w:p>
    <w:p w14:paraId="14091579"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lang w:eastAsia="de-DE"/>
        </w:rPr>
        <w:t>Der Vers betont, dass das Sterben der Exodusgeneration nicht nur natürlicher Ablauf war, sondern aktives göttliches Gericht: JHWHs Hand war gegen sie, um sie zu vertilgen. Dies unterstreicht die Schwere der Strafe für die Rebellion in Kadesch.</w:t>
      </w:r>
    </w:p>
    <w:p w14:paraId="3B897576" w14:textId="77777777" w:rsidR="00A330A9" w:rsidRPr="00A330A9" w:rsidRDefault="00A330A9" w:rsidP="00A330A9">
      <w:pPr>
        <w:spacing w:before="100" w:beforeAutospacing="1" w:after="100" w:afterAutospacing="1" w:line="240" w:lineRule="auto"/>
        <w:outlineLvl w:val="1"/>
        <w:rPr>
          <w:rFonts w:eastAsia="Times New Roman"/>
          <w:b/>
          <w:bCs/>
          <w:sz w:val="36"/>
          <w:szCs w:val="36"/>
          <w:lang w:eastAsia="de-DE"/>
        </w:rPr>
      </w:pPr>
      <w:r w:rsidRPr="00A330A9">
        <w:rPr>
          <w:rFonts w:eastAsia="Times New Roman"/>
          <w:b/>
          <w:bCs/>
          <w:sz w:val="36"/>
          <w:szCs w:val="36"/>
          <w:lang w:eastAsia="de-DE"/>
        </w:rPr>
        <w:t>Deuteronomium 2,16</w:t>
      </w:r>
    </w:p>
    <w:p w14:paraId="236BF3AE"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Hebräisch:</w:t>
      </w:r>
      <w:r w:rsidRPr="00A330A9">
        <w:rPr>
          <w:rFonts w:eastAsia="Times New Roman"/>
          <w:lang w:eastAsia="de-DE"/>
        </w:rPr>
        <w:t xml:space="preserve"> </w:t>
      </w:r>
      <w:r w:rsidRPr="00A330A9">
        <w:rPr>
          <w:rFonts w:eastAsia="Times New Roman"/>
          <w:rtl/>
          <w:lang w:eastAsia="de-DE"/>
        </w:rPr>
        <w:t>וַיְהִ֨י כַאֲשֶׁר־תַּ֜מּוּ כָּל־אַנְשֵׁ֧י הַמִּלְחָמָ֛ה לָמ֖וּת מִקֶּ֥רֶב הָעָֽם׃</w:t>
      </w:r>
    </w:p>
    <w:p w14:paraId="7F701C72"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Deutsch:</w:t>
      </w:r>
      <w:r w:rsidRPr="00A330A9">
        <w:rPr>
          <w:rFonts w:eastAsia="Times New Roman"/>
          <w:lang w:eastAsia="de-DE"/>
        </w:rPr>
        <w:t xml:space="preserve"> Und es geschah, als alle Kriegsmänner vollständig aus der Mitte des Volkes weggestorben waren.</w:t>
      </w:r>
    </w:p>
    <w:p w14:paraId="0B003123" w14:textId="77777777" w:rsidR="00A330A9" w:rsidRPr="00A330A9" w:rsidRDefault="004F5CEB" w:rsidP="00A330A9">
      <w:pPr>
        <w:spacing w:after="0" w:line="240" w:lineRule="auto"/>
        <w:rPr>
          <w:rFonts w:eastAsia="Times New Roman"/>
          <w:lang w:eastAsia="de-DE"/>
        </w:rPr>
      </w:pPr>
      <w:r>
        <w:rPr>
          <w:rFonts w:eastAsia="Times New Roman"/>
          <w:noProof/>
          <w:lang w:eastAsia="de-DE"/>
        </w:rPr>
        <w:pict w14:anchorId="64858E81">
          <v:rect id="_x0000_i1086" style="width:0;height:1.5pt" o:hralign="center" o:hrstd="t" o:hr="t" fillcolor="#a0a0a0" stroked="f"/>
        </w:pict>
      </w:r>
    </w:p>
    <w:p w14:paraId="2169B899" w14:textId="290AA32B"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Kommentar:</w:t>
      </w:r>
      <w:r w:rsidRPr="00A330A9">
        <w:rPr>
          <w:rFonts w:eastAsia="Times New Roman"/>
          <w:lang w:eastAsia="de-DE"/>
        </w:rPr>
        <w:t xml:space="preserve"> </w:t>
      </w:r>
      <w:r w:rsidRPr="00A330A9">
        <w:rPr>
          <w:rFonts w:eastAsia="Times New Roman"/>
          <w:b/>
          <w:bCs/>
          <w:rtl/>
          <w:lang w:eastAsia="de-DE"/>
        </w:rPr>
        <w:t>וַיְהִי</w:t>
      </w:r>
      <w:r w:rsidRPr="00A330A9">
        <w:rPr>
          <w:rFonts w:eastAsia="Times New Roman"/>
          <w:rtl/>
          <w:lang w:eastAsia="de-DE"/>
        </w:rPr>
        <w:t xml:space="preserve"> </w:t>
      </w:r>
      <w:r w:rsidRPr="00A330A9">
        <w:rPr>
          <w:rFonts w:eastAsia="Times New Roman"/>
          <w:lang w:eastAsia="de-DE"/>
        </w:rPr>
        <w:t xml:space="preserve">ist die Einleitungsformel Qal Imperfekt consecutivum, 3. Person maskulin Singular von </w:t>
      </w:r>
      <w:r w:rsidRPr="00A330A9">
        <w:rPr>
          <w:rFonts w:eastAsia="Times New Roman"/>
          <w:rtl/>
          <w:lang w:eastAsia="de-DE"/>
        </w:rPr>
        <w:t>היה</w:t>
      </w:r>
      <w:r w:rsidRPr="00A330A9">
        <w:rPr>
          <w:rFonts w:eastAsia="Times New Roman"/>
          <w:lang w:eastAsia="de-DE"/>
        </w:rPr>
        <w:t xml:space="preserve"> mit Waw, die typischerweise narrative Abschnitte einleitet („und es geschah"). </w:t>
      </w:r>
      <w:r w:rsidRPr="00A330A9">
        <w:rPr>
          <w:rFonts w:eastAsia="Times New Roman"/>
          <w:b/>
          <w:bCs/>
          <w:rtl/>
          <w:lang w:eastAsia="de-DE"/>
        </w:rPr>
        <w:t>כַאֲשֶׁר־תַּמּוּ</w:t>
      </w:r>
      <w:r w:rsidRPr="00A330A9">
        <w:rPr>
          <w:rFonts w:eastAsia="Times New Roman"/>
          <w:rtl/>
          <w:lang w:eastAsia="de-DE"/>
        </w:rPr>
        <w:t xml:space="preserve"> </w:t>
      </w:r>
      <w:r w:rsidRPr="00A330A9">
        <w:rPr>
          <w:rFonts w:eastAsia="Times New Roman"/>
          <w:lang w:eastAsia="de-DE"/>
        </w:rPr>
        <w:t xml:space="preserve">ist ein temporaler Nebensatz: </w:t>
      </w:r>
      <w:r w:rsidRPr="00A330A9">
        <w:rPr>
          <w:rFonts w:eastAsia="Times New Roman"/>
          <w:b/>
          <w:bCs/>
          <w:rtl/>
          <w:lang w:eastAsia="de-DE"/>
        </w:rPr>
        <w:t>כַּאֲשֶׁר</w:t>
      </w:r>
      <w:r w:rsidRPr="00A330A9">
        <w:rPr>
          <w:rFonts w:eastAsia="Times New Roman"/>
          <w:rtl/>
          <w:lang w:eastAsia="de-DE"/>
        </w:rPr>
        <w:t xml:space="preserve"> </w:t>
      </w:r>
      <w:r w:rsidRPr="00A330A9">
        <w:rPr>
          <w:rFonts w:eastAsia="Times New Roman"/>
          <w:lang w:eastAsia="de-DE"/>
        </w:rPr>
        <w:t xml:space="preserve">(„als, nachdem"), </w:t>
      </w:r>
      <w:r w:rsidRPr="00A330A9">
        <w:rPr>
          <w:rFonts w:eastAsia="Times New Roman"/>
          <w:b/>
          <w:bCs/>
          <w:rtl/>
          <w:lang w:eastAsia="de-DE"/>
        </w:rPr>
        <w:t>תַּמּוּ</w:t>
      </w:r>
      <w:r w:rsidRPr="00A330A9">
        <w:rPr>
          <w:rFonts w:eastAsia="Times New Roman"/>
          <w:rtl/>
          <w:lang w:eastAsia="de-DE"/>
        </w:rPr>
        <w:t xml:space="preserve"> </w:t>
      </w:r>
      <w:r w:rsidRPr="00A330A9">
        <w:rPr>
          <w:rFonts w:eastAsia="Times New Roman"/>
          <w:lang w:eastAsia="de-DE"/>
        </w:rPr>
        <w:t xml:space="preserve">(Qal Perfekt, 3. Person Plural von </w:t>
      </w:r>
      <w:r w:rsidRPr="00A330A9">
        <w:rPr>
          <w:rFonts w:eastAsia="Times New Roman"/>
          <w:rtl/>
          <w:lang w:eastAsia="de-DE"/>
        </w:rPr>
        <w:t>תמם</w:t>
      </w:r>
      <w:r w:rsidRPr="00A330A9">
        <w:rPr>
          <w:rFonts w:eastAsia="Times New Roman"/>
          <w:lang w:eastAsia="de-DE"/>
        </w:rPr>
        <w:t xml:space="preserve"> „vollständig sein, zu Ende sein"). </w:t>
      </w:r>
      <w:r w:rsidRPr="00A330A9">
        <w:rPr>
          <w:rFonts w:eastAsia="Times New Roman"/>
          <w:b/>
          <w:bCs/>
          <w:rtl/>
          <w:lang w:eastAsia="de-DE"/>
        </w:rPr>
        <w:t>כָּל־אַנְשֵׁי הַמִּלְחָמָה</w:t>
      </w:r>
      <w:r w:rsidRPr="00A330A9">
        <w:rPr>
          <w:rFonts w:eastAsia="Times New Roman"/>
          <w:rtl/>
          <w:lang w:eastAsia="de-DE"/>
        </w:rPr>
        <w:t xml:space="preserve"> </w:t>
      </w:r>
      <w:r w:rsidRPr="00A330A9">
        <w:rPr>
          <w:rFonts w:eastAsia="Times New Roman"/>
          <w:lang w:eastAsia="de-DE"/>
        </w:rPr>
        <w:t xml:space="preserve">ist </w:t>
      </w:r>
      <w:r w:rsidRPr="00A330A9">
        <w:rPr>
          <w:rFonts w:eastAsia="Times New Roman"/>
          <w:b/>
          <w:bCs/>
          <w:rtl/>
          <w:lang w:eastAsia="de-DE"/>
        </w:rPr>
        <w:t>כֹּל</w:t>
      </w:r>
      <w:r w:rsidRPr="00A330A9">
        <w:rPr>
          <w:rFonts w:eastAsia="Times New Roman"/>
          <w:rtl/>
          <w:lang w:eastAsia="de-DE"/>
        </w:rPr>
        <w:t xml:space="preserve"> </w:t>
      </w:r>
      <w:r w:rsidRPr="00A330A9">
        <w:rPr>
          <w:rFonts w:eastAsia="Times New Roman"/>
          <w:lang w:eastAsia="de-DE"/>
        </w:rPr>
        <w:t xml:space="preserve">im </w:t>
      </w:r>
      <w:r w:rsidR="0032647F">
        <w:rPr>
          <w:rFonts w:eastAsia="Times New Roman"/>
          <w:lang w:eastAsia="de-DE"/>
        </w:rPr>
        <w:t>Construct</w:t>
      </w:r>
      <w:r w:rsidRPr="00A330A9">
        <w:rPr>
          <w:rFonts w:eastAsia="Times New Roman"/>
          <w:lang w:eastAsia="de-DE"/>
        </w:rPr>
        <w:t xml:space="preserve"> mit </w:t>
      </w:r>
      <w:r w:rsidRPr="00A330A9">
        <w:rPr>
          <w:rFonts w:eastAsia="Times New Roman"/>
          <w:b/>
          <w:bCs/>
          <w:rtl/>
          <w:lang w:eastAsia="de-DE"/>
        </w:rPr>
        <w:t>אַנְשֵׁי הַמִּלְחָמָה</w:t>
      </w:r>
      <w:r w:rsidRPr="00A330A9">
        <w:rPr>
          <w:rFonts w:eastAsia="Times New Roman"/>
          <w:rtl/>
          <w:lang w:eastAsia="de-DE"/>
        </w:rPr>
        <w:t xml:space="preserve"> </w:t>
      </w:r>
      <w:r w:rsidRPr="00A330A9">
        <w:rPr>
          <w:rFonts w:eastAsia="Times New Roman"/>
          <w:lang w:eastAsia="de-DE"/>
        </w:rPr>
        <w:t>(„alle Kriegsmänner"), identisch mit V. 14.</w:t>
      </w:r>
    </w:p>
    <w:p w14:paraId="6FDB97DA" w14:textId="4B8EAFED"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rtl/>
          <w:lang w:eastAsia="de-DE"/>
        </w:rPr>
        <w:t>לָמוּת</w:t>
      </w:r>
      <w:r w:rsidRPr="00A330A9">
        <w:rPr>
          <w:rFonts w:eastAsia="Times New Roman"/>
          <w:rtl/>
          <w:lang w:eastAsia="de-DE"/>
        </w:rPr>
        <w:t xml:space="preserve"> </w:t>
      </w:r>
      <w:r w:rsidRPr="00A330A9">
        <w:rPr>
          <w:rFonts w:eastAsia="Times New Roman"/>
          <w:lang w:eastAsia="de-DE"/>
        </w:rPr>
        <w:t xml:space="preserve">ist </w:t>
      </w:r>
      <w:r w:rsidRPr="00A330A9">
        <w:rPr>
          <w:rFonts w:eastAsia="Times New Roman"/>
          <w:b/>
          <w:bCs/>
          <w:rtl/>
          <w:lang w:eastAsia="de-DE"/>
        </w:rPr>
        <w:t>לְ</w:t>
      </w:r>
      <w:r w:rsidRPr="00A330A9">
        <w:rPr>
          <w:rFonts w:eastAsia="Times New Roman"/>
          <w:rtl/>
          <w:lang w:eastAsia="de-DE"/>
        </w:rPr>
        <w:t xml:space="preserve"> </w:t>
      </w:r>
      <w:r w:rsidRPr="00A330A9">
        <w:rPr>
          <w:rFonts w:eastAsia="Times New Roman"/>
          <w:lang w:eastAsia="de-DE"/>
        </w:rPr>
        <w:t xml:space="preserve">mit Qal Infinitiv </w:t>
      </w:r>
      <w:r w:rsidR="0032647F">
        <w:rPr>
          <w:rFonts w:eastAsia="Times New Roman"/>
          <w:lang w:eastAsia="de-DE"/>
        </w:rPr>
        <w:t>Construct</w:t>
      </w:r>
      <w:r w:rsidRPr="00A330A9">
        <w:rPr>
          <w:rFonts w:eastAsia="Times New Roman"/>
          <w:lang w:eastAsia="de-DE"/>
        </w:rPr>
        <w:t xml:space="preserve"> von </w:t>
      </w:r>
      <w:r w:rsidRPr="00A330A9">
        <w:rPr>
          <w:rFonts w:eastAsia="Times New Roman"/>
          <w:rtl/>
          <w:lang w:eastAsia="de-DE"/>
        </w:rPr>
        <w:t>מות</w:t>
      </w:r>
      <w:r w:rsidRPr="00A330A9">
        <w:rPr>
          <w:rFonts w:eastAsia="Times New Roman"/>
          <w:lang w:eastAsia="de-DE"/>
        </w:rPr>
        <w:t xml:space="preserve"> („sterben"). Der Infinitiv gibt hier die Art und Weise des </w:t>
      </w:r>
      <w:proofErr w:type="spellStart"/>
      <w:r w:rsidRPr="00A330A9">
        <w:rPr>
          <w:rFonts w:eastAsia="Times New Roman"/>
          <w:lang w:eastAsia="de-DE"/>
        </w:rPr>
        <w:t>Zuendeseins</w:t>
      </w:r>
      <w:proofErr w:type="spellEnd"/>
      <w:r w:rsidRPr="00A330A9">
        <w:rPr>
          <w:rFonts w:eastAsia="Times New Roman"/>
          <w:lang w:eastAsia="de-DE"/>
        </w:rPr>
        <w:t xml:space="preserve"> an: „zu Ende sein durch Sterben, wegsterben". </w:t>
      </w:r>
      <w:r w:rsidRPr="00A330A9">
        <w:rPr>
          <w:rFonts w:eastAsia="Times New Roman"/>
          <w:b/>
          <w:bCs/>
          <w:rtl/>
          <w:lang w:eastAsia="de-DE"/>
        </w:rPr>
        <w:t>מִקֶּרֶב הָעָם</w:t>
      </w:r>
      <w:r w:rsidRPr="00A330A9">
        <w:rPr>
          <w:rFonts w:eastAsia="Times New Roman"/>
          <w:rtl/>
          <w:lang w:eastAsia="de-DE"/>
        </w:rPr>
        <w:t xml:space="preserve"> </w:t>
      </w:r>
      <w:r w:rsidRPr="00A330A9">
        <w:rPr>
          <w:rFonts w:eastAsia="Times New Roman"/>
          <w:lang w:eastAsia="de-DE"/>
        </w:rPr>
        <w:t xml:space="preserve">ist </w:t>
      </w:r>
      <w:r w:rsidRPr="00A330A9">
        <w:rPr>
          <w:rFonts w:eastAsia="Times New Roman"/>
          <w:b/>
          <w:bCs/>
          <w:rtl/>
          <w:lang w:eastAsia="de-DE"/>
        </w:rPr>
        <w:t>מִן</w:t>
      </w:r>
      <w:r w:rsidRPr="00A330A9">
        <w:rPr>
          <w:rFonts w:eastAsia="Times New Roman"/>
          <w:rtl/>
          <w:lang w:eastAsia="de-DE"/>
        </w:rPr>
        <w:t xml:space="preserve"> </w:t>
      </w:r>
      <w:r w:rsidRPr="00A330A9">
        <w:rPr>
          <w:rFonts w:eastAsia="Times New Roman"/>
          <w:lang w:eastAsia="de-DE"/>
        </w:rPr>
        <w:t xml:space="preserve">mit </w:t>
      </w:r>
      <w:r w:rsidRPr="00A330A9">
        <w:rPr>
          <w:rFonts w:eastAsia="Times New Roman"/>
          <w:b/>
          <w:bCs/>
          <w:rtl/>
          <w:lang w:eastAsia="de-DE"/>
        </w:rPr>
        <w:t>קֶרֶב</w:t>
      </w:r>
      <w:r w:rsidRPr="00A330A9">
        <w:rPr>
          <w:rFonts w:eastAsia="Times New Roman"/>
          <w:rtl/>
          <w:lang w:eastAsia="de-DE"/>
        </w:rPr>
        <w:t xml:space="preserve"> </w:t>
      </w:r>
      <w:r w:rsidRPr="00A330A9">
        <w:rPr>
          <w:rFonts w:eastAsia="Times New Roman"/>
          <w:lang w:eastAsia="de-DE"/>
        </w:rPr>
        <w:t xml:space="preserve">(„Mitte") im </w:t>
      </w:r>
      <w:r w:rsidR="0032647F">
        <w:rPr>
          <w:rFonts w:eastAsia="Times New Roman"/>
          <w:lang w:eastAsia="de-DE"/>
        </w:rPr>
        <w:t>Construct</w:t>
      </w:r>
      <w:r w:rsidRPr="00A330A9">
        <w:rPr>
          <w:rFonts w:eastAsia="Times New Roman"/>
          <w:lang w:eastAsia="de-DE"/>
        </w:rPr>
        <w:t xml:space="preserve"> und </w:t>
      </w:r>
      <w:r w:rsidRPr="00A330A9">
        <w:rPr>
          <w:rFonts w:eastAsia="Times New Roman"/>
          <w:b/>
          <w:bCs/>
          <w:rtl/>
          <w:lang w:eastAsia="de-DE"/>
        </w:rPr>
        <w:t>הָעָם</w:t>
      </w:r>
      <w:r w:rsidRPr="00A330A9">
        <w:rPr>
          <w:rFonts w:eastAsia="Times New Roman"/>
          <w:rtl/>
          <w:lang w:eastAsia="de-DE"/>
        </w:rPr>
        <w:t xml:space="preserve"> </w:t>
      </w:r>
      <w:r w:rsidRPr="00A330A9">
        <w:rPr>
          <w:rFonts w:eastAsia="Times New Roman"/>
          <w:lang w:eastAsia="de-DE"/>
        </w:rPr>
        <w:t xml:space="preserve">(„das Volk"). Im Gegensatz zu V. 14-15, wo </w:t>
      </w:r>
      <w:r w:rsidRPr="00A330A9">
        <w:rPr>
          <w:rFonts w:eastAsia="Times New Roman"/>
          <w:b/>
          <w:bCs/>
          <w:rtl/>
          <w:lang w:eastAsia="de-DE"/>
        </w:rPr>
        <w:t>מִקֶּרֶב הַמַּחֲנֶה</w:t>
      </w:r>
      <w:r w:rsidRPr="00A330A9">
        <w:rPr>
          <w:rFonts w:eastAsia="Times New Roman"/>
          <w:rtl/>
          <w:lang w:eastAsia="de-DE"/>
        </w:rPr>
        <w:t xml:space="preserve"> </w:t>
      </w:r>
      <w:r w:rsidRPr="00A330A9">
        <w:rPr>
          <w:rFonts w:eastAsia="Times New Roman"/>
          <w:lang w:eastAsia="de-DE"/>
        </w:rPr>
        <w:t xml:space="preserve">(„aus dem Lager") steht, verwendet dieser Vers </w:t>
      </w:r>
      <w:r w:rsidRPr="00A330A9">
        <w:rPr>
          <w:rFonts w:eastAsia="Times New Roman"/>
          <w:b/>
          <w:bCs/>
          <w:rtl/>
          <w:lang w:eastAsia="de-DE"/>
        </w:rPr>
        <w:t>מִקֶּרֶב הָעָם</w:t>
      </w:r>
      <w:r w:rsidRPr="00A330A9">
        <w:rPr>
          <w:rFonts w:eastAsia="Times New Roman"/>
          <w:rtl/>
          <w:lang w:eastAsia="de-DE"/>
        </w:rPr>
        <w:t xml:space="preserve"> </w:t>
      </w:r>
      <w:r w:rsidRPr="00A330A9">
        <w:rPr>
          <w:rFonts w:eastAsia="Times New Roman"/>
          <w:lang w:eastAsia="de-DE"/>
        </w:rPr>
        <w:t>(„aus dem Volk").</w:t>
      </w:r>
    </w:p>
    <w:p w14:paraId="565D70F8"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Die LXX</w:t>
      </w:r>
      <w:r w:rsidRPr="00A330A9">
        <w:rPr>
          <w:rFonts w:eastAsia="Times New Roman"/>
          <w:lang w:eastAsia="de-DE"/>
        </w:rPr>
        <w:t xml:space="preserve"> übersetzt „καὶ </w:t>
      </w:r>
      <w:proofErr w:type="spellStart"/>
      <w:r w:rsidRPr="00A330A9">
        <w:rPr>
          <w:rFonts w:eastAsia="Times New Roman"/>
          <w:lang w:eastAsia="de-DE"/>
        </w:rPr>
        <w:t>ἐγένετο</w:t>
      </w:r>
      <w:proofErr w:type="spellEnd"/>
      <w:r w:rsidRPr="00A330A9">
        <w:rPr>
          <w:rFonts w:eastAsia="Times New Roman"/>
          <w:lang w:eastAsia="de-DE"/>
        </w:rPr>
        <w:t xml:space="preserve"> ἐπ</w:t>
      </w:r>
      <w:proofErr w:type="spellStart"/>
      <w:r w:rsidRPr="00A330A9">
        <w:rPr>
          <w:rFonts w:eastAsia="Times New Roman"/>
          <w:lang w:eastAsia="de-DE"/>
        </w:rPr>
        <w:t>εὶ</w:t>
      </w:r>
      <w:proofErr w:type="spellEnd"/>
      <w:r w:rsidRPr="00A330A9">
        <w:rPr>
          <w:rFonts w:eastAsia="Times New Roman"/>
          <w:lang w:eastAsia="de-DE"/>
        </w:rPr>
        <w:t xml:space="preserve"> </w:t>
      </w:r>
      <w:proofErr w:type="spellStart"/>
      <w:r w:rsidRPr="00A330A9">
        <w:rPr>
          <w:rFonts w:eastAsia="Times New Roman"/>
          <w:lang w:eastAsia="de-DE"/>
        </w:rPr>
        <w:t>ἐξέλι</w:t>
      </w:r>
      <w:proofErr w:type="spellEnd"/>
      <w:r w:rsidRPr="00A330A9">
        <w:rPr>
          <w:rFonts w:eastAsia="Times New Roman"/>
          <w:lang w:eastAsia="de-DE"/>
        </w:rPr>
        <w:t>πον π</w:t>
      </w:r>
      <w:proofErr w:type="spellStart"/>
      <w:r w:rsidRPr="00A330A9">
        <w:rPr>
          <w:rFonts w:eastAsia="Times New Roman"/>
          <w:lang w:eastAsia="de-DE"/>
        </w:rPr>
        <w:t>άντες</w:t>
      </w:r>
      <w:proofErr w:type="spellEnd"/>
      <w:r w:rsidRPr="00A330A9">
        <w:rPr>
          <w:rFonts w:eastAsia="Times New Roman"/>
          <w:lang w:eastAsia="de-DE"/>
        </w:rPr>
        <w:t xml:space="preserve"> </w:t>
      </w:r>
      <w:proofErr w:type="spellStart"/>
      <w:r w:rsidRPr="00A330A9">
        <w:rPr>
          <w:rFonts w:eastAsia="Times New Roman"/>
          <w:lang w:eastAsia="de-DE"/>
        </w:rPr>
        <w:t>οἱ</w:t>
      </w:r>
      <w:proofErr w:type="spellEnd"/>
      <w:r w:rsidRPr="00A330A9">
        <w:rPr>
          <w:rFonts w:eastAsia="Times New Roman"/>
          <w:lang w:eastAsia="de-DE"/>
        </w:rPr>
        <w:t xml:space="preserve"> </w:t>
      </w:r>
      <w:proofErr w:type="spellStart"/>
      <w:r w:rsidRPr="00A330A9">
        <w:rPr>
          <w:rFonts w:eastAsia="Times New Roman"/>
          <w:lang w:eastAsia="de-DE"/>
        </w:rPr>
        <w:t>ἄνδρες</w:t>
      </w:r>
      <w:proofErr w:type="spellEnd"/>
      <w:r w:rsidRPr="00A330A9">
        <w:rPr>
          <w:rFonts w:eastAsia="Times New Roman"/>
          <w:lang w:eastAsia="de-DE"/>
        </w:rPr>
        <w:t xml:space="preserve"> </w:t>
      </w:r>
      <w:proofErr w:type="spellStart"/>
      <w:r w:rsidRPr="00A330A9">
        <w:rPr>
          <w:rFonts w:eastAsia="Times New Roman"/>
          <w:lang w:eastAsia="de-DE"/>
        </w:rPr>
        <w:t>οἱ</w:t>
      </w:r>
      <w:proofErr w:type="spellEnd"/>
      <w:r w:rsidRPr="00A330A9">
        <w:rPr>
          <w:rFonts w:eastAsia="Times New Roman"/>
          <w:lang w:eastAsia="de-DE"/>
        </w:rPr>
        <w:t xml:space="preserve"> π</w:t>
      </w:r>
      <w:proofErr w:type="spellStart"/>
      <w:r w:rsidRPr="00A330A9">
        <w:rPr>
          <w:rFonts w:eastAsia="Times New Roman"/>
          <w:lang w:eastAsia="de-DE"/>
        </w:rPr>
        <w:t>ολεμιστ</w:t>
      </w:r>
      <w:proofErr w:type="spellEnd"/>
      <w:r w:rsidRPr="00A330A9">
        <w:rPr>
          <w:rFonts w:eastAsia="Times New Roman"/>
          <w:lang w:eastAsia="de-DE"/>
        </w:rPr>
        <w:t>αὶ ἀπ</w:t>
      </w:r>
      <w:proofErr w:type="spellStart"/>
      <w:r w:rsidRPr="00A330A9">
        <w:rPr>
          <w:rFonts w:eastAsia="Times New Roman"/>
          <w:lang w:eastAsia="de-DE"/>
        </w:rPr>
        <w:t>οθνῄσκοντες</w:t>
      </w:r>
      <w:proofErr w:type="spellEnd"/>
      <w:r w:rsidRPr="00A330A9">
        <w:rPr>
          <w:rFonts w:eastAsia="Times New Roman"/>
          <w:lang w:eastAsia="de-DE"/>
        </w:rPr>
        <w:t xml:space="preserve"> </w:t>
      </w:r>
      <w:proofErr w:type="spellStart"/>
      <w:r w:rsidRPr="00A330A9">
        <w:rPr>
          <w:rFonts w:eastAsia="Times New Roman"/>
          <w:lang w:eastAsia="de-DE"/>
        </w:rPr>
        <w:t>ἐκ</w:t>
      </w:r>
      <w:proofErr w:type="spellEnd"/>
      <w:r w:rsidRPr="00A330A9">
        <w:rPr>
          <w:rFonts w:eastAsia="Times New Roman"/>
          <w:lang w:eastAsia="de-DE"/>
        </w:rPr>
        <w:t xml:space="preserve"> </w:t>
      </w:r>
      <w:proofErr w:type="spellStart"/>
      <w:r w:rsidRPr="00A330A9">
        <w:rPr>
          <w:rFonts w:eastAsia="Times New Roman"/>
          <w:lang w:eastAsia="de-DE"/>
        </w:rPr>
        <w:t>μέσου</w:t>
      </w:r>
      <w:proofErr w:type="spellEnd"/>
      <w:r w:rsidRPr="00A330A9">
        <w:rPr>
          <w:rFonts w:eastAsia="Times New Roman"/>
          <w:lang w:eastAsia="de-DE"/>
        </w:rPr>
        <w:t xml:space="preserve"> </w:t>
      </w:r>
      <w:proofErr w:type="spellStart"/>
      <w:r w:rsidRPr="00A330A9">
        <w:rPr>
          <w:rFonts w:eastAsia="Times New Roman"/>
          <w:lang w:eastAsia="de-DE"/>
        </w:rPr>
        <w:t>τοῦ</w:t>
      </w:r>
      <w:proofErr w:type="spellEnd"/>
      <w:r w:rsidRPr="00A330A9">
        <w:rPr>
          <w:rFonts w:eastAsia="Times New Roman"/>
          <w:lang w:eastAsia="de-DE"/>
        </w:rPr>
        <w:t xml:space="preserve"> λα</w:t>
      </w:r>
      <w:proofErr w:type="spellStart"/>
      <w:r w:rsidRPr="00A330A9">
        <w:rPr>
          <w:rFonts w:eastAsia="Times New Roman"/>
          <w:lang w:eastAsia="de-DE"/>
        </w:rPr>
        <w:t>οῦ</w:t>
      </w:r>
      <w:proofErr w:type="spellEnd"/>
      <w:r w:rsidRPr="00A330A9">
        <w:rPr>
          <w:rFonts w:eastAsia="Times New Roman"/>
          <w:lang w:eastAsia="de-DE"/>
        </w:rPr>
        <w:t xml:space="preserve">" („und es geschah, als alle Männer, die Krieger, sterbend vergangen waren aus der Mitte des Volkes"). Die LXX expliziert wieder das Sterben mit dem Partizip </w:t>
      </w:r>
      <w:r w:rsidRPr="00A330A9">
        <w:rPr>
          <w:rFonts w:eastAsia="Times New Roman"/>
          <w:b/>
          <w:bCs/>
          <w:lang w:eastAsia="de-DE"/>
        </w:rPr>
        <w:t>ἀπ</w:t>
      </w:r>
      <w:proofErr w:type="spellStart"/>
      <w:r w:rsidRPr="00A330A9">
        <w:rPr>
          <w:rFonts w:eastAsia="Times New Roman"/>
          <w:b/>
          <w:bCs/>
          <w:lang w:eastAsia="de-DE"/>
        </w:rPr>
        <w:t>οθνῄσκοντες</w:t>
      </w:r>
      <w:proofErr w:type="spellEnd"/>
      <w:r w:rsidRPr="00A330A9">
        <w:rPr>
          <w:rFonts w:eastAsia="Times New Roman"/>
          <w:lang w:eastAsia="de-DE"/>
        </w:rPr>
        <w:t>.</w:t>
      </w:r>
    </w:p>
    <w:p w14:paraId="59C3ADCA" w14:textId="0A7B73A2"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lang w:eastAsia="de-DE"/>
        </w:rPr>
        <w:t xml:space="preserve">Die Satzstruktur ist ein einleitender Satz mit </w:t>
      </w:r>
      <w:r w:rsidRPr="00A330A9">
        <w:rPr>
          <w:rFonts w:eastAsia="Times New Roman"/>
          <w:b/>
          <w:bCs/>
          <w:rtl/>
          <w:lang w:eastAsia="de-DE"/>
        </w:rPr>
        <w:t>וַיְהִי</w:t>
      </w:r>
      <w:r w:rsidRPr="00A330A9">
        <w:rPr>
          <w:rFonts w:eastAsia="Times New Roman"/>
          <w:rtl/>
          <w:lang w:eastAsia="de-DE"/>
        </w:rPr>
        <w:t xml:space="preserve"> </w:t>
      </w:r>
      <w:r w:rsidRPr="00A330A9">
        <w:rPr>
          <w:rFonts w:eastAsia="Times New Roman"/>
          <w:lang w:eastAsia="de-DE"/>
        </w:rPr>
        <w:t xml:space="preserve">und einem temporalen </w:t>
      </w:r>
      <w:r w:rsidRPr="00A330A9">
        <w:rPr>
          <w:rFonts w:eastAsia="Times New Roman"/>
          <w:b/>
          <w:bCs/>
          <w:rtl/>
          <w:lang w:eastAsia="de-DE"/>
        </w:rPr>
        <w:t>כַאֲשֶׁר</w:t>
      </w:r>
      <w:r w:rsidRPr="00A330A9">
        <w:rPr>
          <w:rFonts w:eastAsia="Times New Roman"/>
          <w:lang w:eastAsia="de-DE"/>
        </w:rPr>
        <w:t xml:space="preserve">-Nebensatz, der unvollständig ist und auf einen Hauptsatz in V. 17 wartet. Die </w:t>
      </w:r>
      <w:r w:rsidRPr="00A330A9">
        <w:rPr>
          <w:rFonts w:eastAsia="Times New Roman"/>
          <w:b/>
          <w:bCs/>
          <w:rtl/>
          <w:lang w:eastAsia="de-DE"/>
        </w:rPr>
        <w:t>וַיְהִי כַאֲשֶׁר</w:t>
      </w:r>
      <w:r w:rsidRPr="00A330A9">
        <w:rPr>
          <w:rFonts w:eastAsia="Times New Roman"/>
          <w:lang w:eastAsia="de-DE"/>
        </w:rPr>
        <w:t>-</w:t>
      </w:r>
      <w:r w:rsidR="00FF2B82">
        <w:rPr>
          <w:rFonts w:eastAsia="Times New Roman"/>
          <w:lang w:eastAsia="de-DE"/>
        </w:rPr>
        <w:t>Konstruktion</w:t>
      </w:r>
      <w:r w:rsidRPr="00A330A9">
        <w:rPr>
          <w:rFonts w:eastAsia="Times New Roman"/>
          <w:lang w:eastAsia="de-DE"/>
        </w:rPr>
        <w:t xml:space="preserve"> schafft Spannung und markiert einen wichtigen Wendepunkt.</w:t>
      </w:r>
    </w:p>
    <w:p w14:paraId="42EEF41A"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lang w:eastAsia="de-DE"/>
        </w:rPr>
        <w:t>Der Vers markiert das Ende der Strafzeit: Alle wehrfähigen Männer der Exodusgeneration sind gestorben. Dies bereitet den Neuanfang vor – nun kann Israel unter neuer Führung und neuer Generation in Richtung verheißenes Land ziehen.</w:t>
      </w:r>
    </w:p>
    <w:p w14:paraId="64175B7D" w14:textId="77777777" w:rsidR="00A330A9" w:rsidRPr="00A330A9" w:rsidRDefault="00A330A9" w:rsidP="00A330A9">
      <w:pPr>
        <w:spacing w:before="100" w:beforeAutospacing="1" w:after="100" w:afterAutospacing="1" w:line="240" w:lineRule="auto"/>
        <w:outlineLvl w:val="1"/>
        <w:rPr>
          <w:rFonts w:eastAsia="Times New Roman"/>
          <w:b/>
          <w:bCs/>
          <w:sz w:val="36"/>
          <w:szCs w:val="36"/>
          <w:lang w:eastAsia="de-DE"/>
        </w:rPr>
      </w:pPr>
      <w:r w:rsidRPr="00A330A9">
        <w:rPr>
          <w:rFonts w:eastAsia="Times New Roman"/>
          <w:b/>
          <w:bCs/>
          <w:sz w:val="36"/>
          <w:szCs w:val="36"/>
          <w:lang w:eastAsia="de-DE"/>
        </w:rPr>
        <w:t>Deuteronomium 2,17</w:t>
      </w:r>
    </w:p>
    <w:p w14:paraId="6F1DC6A4"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Hebräisch:</w:t>
      </w:r>
      <w:r w:rsidRPr="00A330A9">
        <w:rPr>
          <w:rFonts w:eastAsia="Times New Roman"/>
          <w:lang w:eastAsia="de-DE"/>
        </w:rPr>
        <w:t xml:space="preserve"> </w:t>
      </w:r>
      <w:r w:rsidRPr="00A330A9">
        <w:rPr>
          <w:rFonts w:eastAsia="Times New Roman"/>
          <w:rtl/>
          <w:lang w:eastAsia="de-DE"/>
        </w:rPr>
        <w:t>וַיְדַבֵּ֥ר יְהוָ֖ה אֵלַ֥י לֵאמֹֽר׃</w:t>
      </w:r>
    </w:p>
    <w:p w14:paraId="645A618F"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Deutsch:</w:t>
      </w:r>
      <w:r w:rsidRPr="00A330A9">
        <w:rPr>
          <w:rFonts w:eastAsia="Times New Roman"/>
          <w:lang w:eastAsia="de-DE"/>
        </w:rPr>
        <w:t xml:space="preserve"> Da redete der Ewige zu mir, sagend:</w:t>
      </w:r>
    </w:p>
    <w:p w14:paraId="7A5D9F03" w14:textId="77777777" w:rsidR="00A330A9" w:rsidRPr="00A330A9" w:rsidRDefault="004F5CEB" w:rsidP="00A330A9">
      <w:pPr>
        <w:spacing w:after="0" w:line="240" w:lineRule="auto"/>
        <w:rPr>
          <w:rFonts w:eastAsia="Times New Roman"/>
          <w:lang w:eastAsia="de-DE"/>
        </w:rPr>
      </w:pPr>
      <w:r>
        <w:rPr>
          <w:rFonts w:eastAsia="Times New Roman"/>
          <w:noProof/>
          <w:lang w:eastAsia="de-DE"/>
        </w:rPr>
        <w:pict w14:anchorId="72B8D21D">
          <v:rect id="_x0000_i1087" style="width:0;height:1.5pt" o:hralign="center" o:hrstd="t" o:hr="t" fillcolor="#a0a0a0" stroked="f"/>
        </w:pict>
      </w:r>
    </w:p>
    <w:p w14:paraId="74AA1DCA"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lastRenderedPageBreak/>
        <w:t>Kommentar:</w:t>
      </w:r>
      <w:r w:rsidRPr="00A330A9">
        <w:rPr>
          <w:rFonts w:eastAsia="Times New Roman"/>
          <w:lang w:eastAsia="de-DE"/>
        </w:rPr>
        <w:t xml:space="preserve"> </w:t>
      </w:r>
      <w:r w:rsidRPr="00A330A9">
        <w:rPr>
          <w:rFonts w:eastAsia="Times New Roman"/>
          <w:b/>
          <w:bCs/>
          <w:rtl/>
          <w:lang w:eastAsia="de-DE"/>
        </w:rPr>
        <w:t>וַיְדַבֵּר</w:t>
      </w:r>
      <w:r w:rsidRPr="00A330A9">
        <w:rPr>
          <w:rFonts w:eastAsia="Times New Roman"/>
          <w:rtl/>
          <w:lang w:eastAsia="de-DE"/>
        </w:rPr>
        <w:t xml:space="preserve"> </w:t>
      </w:r>
      <w:r w:rsidRPr="00A330A9">
        <w:rPr>
          <w:rFonts w:eastAsia="Times New Roman"/>
          <w:lang w:eastAsia="de-DE"/>
        </w:rPr>
        <w:t xml:space="preserve">ist Piel Imperfekt consecutivum, 3. Person maskulin Singular von </w:t>
      </w:r>
      <w:r w:rsidRPr="00A330A9">
        <w:rPr>
          <w:rFonts w:eastAsia="Times New Roman"/>
          <w:rtl/>
          <w:lang w:eastAsia="de-DE"/>
        </w:rPr>
        <w:t>דבר</w:t>
      </w:r>
      <w:r w:rsidRPr="00A330A9">
        <w:rPr>
          <w:rFonts w:eastAsia="Times New Roman"/>
          <w:lang w:eastAsia="de-DE"/>
        </w:rPr>
        <w:t xml:space="preserve"> („reden") mit Waw. </w:t>
      </w:r>
      <w:r w:rsidRPr="00A330A9">
        <w:rPr>
          <w:rFonts w:eastAsia="Times New Roman"/>
          <w:b/>
          <w:bCs/>
          <w:rtl/>
          <w:lang w:eastAsia="de-DE"/>
        </w:rPr>
        <w:t>יְהוָה</w:t>
      </w:r>
      <w:r w:rsidRPr="00A330A9">
        <w:rPr>
          <w:rFonts w:eastAsia="Times New Roman"/>
          <w:rtl/>
          <w:lang w:eastAsia="de-DE"/>
        </w:rPr>
        <w:t xml:space="preserve"> </w:t>
      </w:r>
      <w:r w:rsidRPr="00A330A9">
        <w:rPr>
          <w:rFonts w:eastAsia="Times New Roman"/>
          <w:lang w:eastAsia="de-DE"/>
        </w:rPr>
        <w:t xml:space="preserve">ist Subjekt. </w:t>
      </w:r>
      <w:r w:rsidRPr="00A330A9">
        <w:rPr>
          <w:rFonts w:eastAsia="Times New Roman"/>
          <w:b/>
          <w:bCs/>
          <w:rtl/>
          <w:lang w:eastAsia="de-DE"/>
        </w:rPr>
        <w:t>אֵלַי</w:t>
      </w:r>
      <w:r w:rsidRPr="00A330A9">
        <w:rPr>
          <w:rFonts w:eastAsia="Times New Roman"/>
          <w:rtl/>
          <w:lang w:eastAsia="de-DE"/>
        </w:rPr>
        <w:t xml:space="preserve"> </w:t>
      </w:r>
      <w:r w:rsidRPr="00A330A9">
        <w:rPr>
          <w:rFonts w:eastAsia="Times New Roman"/>
          <w:lang w:eastAsia="de-DE"/>
        </w:rPr>
        <w:t xml:space="preserve">ist </w:t>
      </w:r>
      <w:r w:rsidRPr="00A330A9">
        <w:rPr>
          <w:rFonts w:eastAsia="Times New Roman"/>
          <w:b/>
          <w:bCs/>
          <w:rtl/>
          <w:lang w:eastAsia="de-DE"/>
        </w:rPr>
        <w:t>אֶל</w:t>
      </w:r>
      <w:r w:rsidRPr="00A330A9">
        <w:rPr>
          <w:rFonts w:eastAsia="Times New Roman"/>
          <w:rtl/>
          <w:lang w:eastAsia="de-DE"/>
        </w:rPr>
        <w:t xml:space="preserve"> </w:t>
      </w:r>
      <w:r w:rsidRPr="00A330A9">
        <w:rPr>
          <w:rFonts w:eastAsia="Times New Roman"/>
          <w:lang w:eastAsia="de-DE"/>
        </w:rPr>
        <w:t xml:space="preserve">mit Suffix 1. Person Singular. </w:t>
      </w:r>
      <w:r w:rsidRPr="00A330A9">
        <w:rPr>
          <w:rFonts w:eastAsia="Times New Roman"/>
          <w:b/>
          <w:bCs/>
          <w:rtl/>
          <w:lang w:eastAsia="de-DE"/>
        </w:rPr>
        <w:t>לֵאמֹר</w:t>
      </w:r>
      <w:r w:rsidRPr="00A330A9">
        <w:rPr>
          <w:rFonts w:eastAsia="Times New Roman"/>
          <w:rtl/>
          <w:lang w:eastAsia="de-DE"/>
        </w:rPr>
        <w:t xml:space="preserve"> </w:t>
      </w:r>
      <w:r w:rsidRPr="00A330A9">
        <w:rPr>
          <w:rFonts w:eastAsia="Times New Roman"/>
          <w:lang w:eastAsia="de-DE"/>
        </w:rPr>
        <w:t>ist die Einleitungsformel für direkte Rede.</w:t>
      </w:r>
    </w:p>
    <w:p w14:paraId="3D45B735"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Die LXX</w:t>
      </w:r>
      <w:r w:rsidRPr="00A330A9">
        <w:rPr>
          <w:rFonts w:eastAsia="Times New Roman"/>
          <w:lang w:eastAsia="de-DE"/>
        </w:rPr>
        <w:t xml:space="preserve"> übersetzt „καὶ </w:t>
      </w:r>
      <w:proofErr w:type="spellStart"/>
      <w:r w:rsidRPr="00A330A9">
        <w:rPr>
          <w:rFonts w:eastAsia="Times New Roman"/>
          <w:lang w:eastAsia="de-DE"/>
        </w:rPr>
        <w:t>ἐλάλησεν</w:t>
      </w:r>
      <w:proofErr w:type="spellEnd"/>
      <w:r w:rsidRPr="00A330A9">
        <w:rPr>
          <w:rFonts w:eastAsia="Times New Roman"/>
          <w:lang w:eastAsia="de-DE"/>
        </w:rPr>
        <w:t xml:space="preserve"> </w:t>
      </w:r>
      <w:proofErr w:type="spellStart"/>
      <w:r w:rsidRPr="00A330A9">
        <w:rPr>
          <w:rFonts w:eastAsia="Times New Roman"/>
          <w:lang w:eastAsia="de-DE"/>
        </w:rPr>
        <w:t>κύριος</w:t>
      </w:r>
      <w:proofErr w:type="spellEnd"/>
      <w:r w:rsidRPr="00A330A9">
        <w:rPr>
          <w:rFonts w:eastAsia="Times New Roman"/>
          <w:lang w:eastAsia="de-DE"/>
        </w:rPr>
        <w:t xml:space="preserve"> π</w:t>
      </w:r>
      <w:proofErr w:type="spellStart"/>
      <w:r w:rsidRPr="00A330A9">
        <w:rPr>
          <w:rFonts w:eastAsia="Times New Roman"/>
          <w:lang w:eastAsia="de-DE"/>
        </w:rPr>
        <w:t>ρός</w:t>
      </w:r>
      <w:proofErr w:type="spellEnd"/>
      <w:r w:rsidRPr="00A330A9">
        <w:rPr>
          <w:rFonts w:eastAsia="Times New Roman"/>
          <w:lang w:eastAsia="de-DE"/>
        </w:rPr>
        <w:t xml:space="preserve"> </w:t>
      </w:r>
      <w:proofErr w:type="spellStart"/>
      <w:r w:rsidRPr="00A330A9">
        <w:rPr>
          <w:rFonts w:eastAsia="Times New Roman"/>
          <w:lang w:eastAsia="de-DE"/>
        </w:rPr>
        <w:t>με</w:t>
      </w:r>
      <w:proofErr w:type="spellEnd"/>
      <w:r w:rsidRPr="00A330A9">
        <w:rPr>
          <w:rFonts w:eastAsia="Times New Roman"/>
          <w:lang w:eastAsia="de-DE"/>
        </w:rPr>
        <w:t xml:space="preserve"> </w:t>
      </w:r>
      <w:proofErr w:type="spellStart"/>
      <w:r w:rsidRPr="00A330A9">
        <w:rPr>
          <w:rFonts w:eastAsia="Times New Roman"/>
          <w:lang w:eastAsia="de-DE"/>
        </w:rPr>
        <w:t>λέγων</w:t>
      </w:r>
      <w:proofErr w:type="spellEnd"/>
      <w:r w:rsidRPr="00A330A9">
        <w:rPr>
          <w:rFonts w:eastAsia="Times New Roman"/>
          <w:lang w:eastAsia="de-DE"/>
        </w:rPr>
        <w:t>" („und der Herr redete zu mir, sagend").</w:t>
      </w:r>
    </w:p>
    <w:p w14:paraId="36924A97" w14:textId="238F01A0"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lang w:eastAsia="de-DE"/>
        </w:rPr>
        <w:t xml:space="preserve">Die Satzstruktur ist ein einfacher Redeeinleitungssatz, der den Hauptsatz zur </w:t>
      </w:r>
      <w:r w:rsidRPr="00A330A9">
        <w:rPr>
          <w:rFonts w:eastAsia="Times New Roman"/>
          <w:b/>
          <w:bCs/>
          <w:rtl/>
          <w:lang w:eastAsia="de-DE"/>
        </w:rPr>
        <w:t>וַיְהִי כַאֲשֶׁר</w:t>
      </w:r>
      <w:r w:rsidRPr="00A330A9">
        <w:rPr>
          <w:rFonts w:eastAsia="Times New Roman"/>
          <w:lang w:eastAsia="de-DE"/>
        </w:rPr>
        <w:t>-</w:t>
      </w:r>
      <w:r w:rsidR="00FF2B82">
        <w:rPr>
          <w:rFonts w:eastAsia="Times New Roman"/>
          <w:lang w:eastAsia="de-DE"/>
        </w:rPr>
        <w:t>Konstruktion</w:t>
      </w:r>
      <w:r w:rsidRPr="00A330A9">
        <w:rPr>
          <w:rFonts w:eastAsia="Times New Roman"/>
          <w:lang w:eastAsia="de-DE"/>
        </w:rPr>
        <w:t xml:space="preserve"> aus V. 16 bildet.</w:t>
      </w:r>
    </w:p>
    <w:p w14:paraId="254450A2"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lang w:eastAsia="de-DE"/>
        </w:rPr>
        <w:t>Der Vers vervollständigt den Satz aus V. 16 und leitet JHWHs neue Anweisung ein. Nach dem Tod der Exodusgeneration erfolgt ein neuer göttlicher Befehl – ein Neuanfang für Israel.</w:t>
      </w:r>
    </w:p>
    <w:p w14:paraId="48D61F28" w14:textId="77777777" w:rsidR="00A330A9" w:rsidRPr="00A330A9" w:rsidRDefault="00A330A9" w:rsidP="00A330A9">
      <w:pPr>
        <w:spacing w:before="100" w:beforeAutospacing="1" w:after="100" w:afterAutospacing="1" w:line="240" w:lineRule="auto"/>
        <w:outlineLvl w:val="1"/>
        <w:rPr>
          <w:rFonts w:eastAsia="Times New Roman"/>
          <w:b/>
          <w:bCs/>
          <w:sz w:val="36"/>
          <w:szCs w:val="36"/>
          <w:lang w:eastAsia="de-DE"/>
        </w:rPr>
      </w:pPr>
      <w:r w:rsidRPr="00A330A9">
        <w:rPr>
          <w:rFonts w:eastAsia="Times New Roman"/>
          <w:b/>
          <w:bCs/>
          <w:sz w:val="36"/>
          <w:szCs w:val="36"/>
          <w:lang w:eastAsia="de-DE"/>
        </w:rPr>
        <w:t>Deuteronomium 2,18</w:t>
      </w:r>
    </w:p>
    <w:p w14:paraId="5976263C"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Hebräisch:</w:t>
      </w:r>
      <w:r w:rsidRPr="00A330A9">
        <w:rPr>
          <w:rFonts w:eastAsia="Times New Roman"/>
          <w:lang w:eastAsia="de-DE"/>
        </w:rPr>
        <w:t xml:space="preserve"> </w:t>
      </w:r>
      <w:r w:rsidRPr="00A330A9">
        <w:rPr>
          <w:rFonts w:eastAsia="Times New Roman"/>
          <w:rtl/>
          <w:lang w:eastAsia="de-DE"/>
        </w:rPr>
        <w:t>אַתָּ֨ה עֹבֵ֥ר הַיֹּ֛ום אֶת־גְּב֥וּל מֹואָ֖ב אֶת־עָֽר׃</w:t>
      </w:r>
    </w:p>
    <w:p w14:paraId="24A5AA6F"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Deutsch:</w:t>
      </w:r>
      <w:r w:rsidRPr="00A330A9">
        <w:rPr>
          <w:rFonts w:eastAsia="Times New Roman"/>
          <w:lang w:eastAsia="de-DE"/>
        </w:rPr>
        <w:t xml:space="preserve"> Du bist heute vorüberziehend an der Grenze von Mo'av, an Ar.</w:t>
      </w:r>
    </w:p>
    <w:p w14:paraId="0288279D" w14:textId="77777777" w:rsidR="00A330A9" w:rsidRPr="00A330A9" w:rsidRDefault="004F5CEB" w:rsidP="00A330A9">
      <w:pPr>
        <w:spacing w:after="0" w:line="240" w:lineRule="auto"/>
        <w:rPr>
          <w:rFonts w:eastAsia="Times New Roman"/>
          <w:lang w:eastAsia="de-DE"/>
        </w:rPr>
      </w:pPr>
      <w:r>
        <w:rPr>
          <w:rFonts w:eastAsia="Times New Roman"/>
          <w:noProof/>
          <w:lang w:eastAsia="de-DE"/>
        </w:rPr>
        <w:pict w14:anchorId="376187EA">
          <v:rect id="_x0000_i1088" style="width:0;height:1.5pt" o:hralign="center" o:hrstd="t" o:hr="t" fillcolor="#a0a0a0" stroked="f"/>
        </w:pict>
      </w:r>
    </w:p>
    <w:p w14:paraId="3C6469DB" w14:textId="78FD8C06"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Kommentar:</w:t>
      </w:r>
      <w:r w:rsidRPr="00A330A9">
        <w:rPr>
          <w:rFonts w:eastAsia="Times New Roman"/>
          <w:lang w:eastAsia="de-DE"/>
        </w:rPr>
        <w:t xml:space="preserve"> </w:t>
      </w:r>
      <w:r w:rsidRPr="00A330A9">
        <w:rPr>
          <w:rFonts w:eastAsia="Times New Roman"/>
          <w:b/>
          <w:bCs/>
          <w:rtl/>
          <w:lang w:eastAsia="de-DE"/>
        </w:rPr>
        <w:t>אַתָּה</w:t>
      </w:r>
      <w:r w:rsidRPr="00A330A9">
        <w:rPr>
          <w:rFonts w:eastAsia="Times New Roman"/>
          <w:rtl/>
          <w:lang w:eastAsia="de-DE"/>
        </w:rPr>
        <w:t xml:space="preserve"> </w:t>
      </w:r>
      <w:r w:rsidRPr="00A330A9">
        <w:rPr>
          <w:rFonts w:eastAsia="Times New Roman"/>
          <w:lang w:eastAsia="de-DE"/>
        </w:rPr>
        <w:t xml:space="preserve">ist das Personalpronomen 2. Person maskulin Singular („du") als betonendes Subjekt. </w:t>
      </w:r>
      <w:r w:rsidRPr="00A330A9">
        <w:rPr>
          <w:rFonts w:eastAsia="Times New Roman"/>
          <w:b/>
          <w:bCs/>
          <w:rtl/>
          <w:lang w:eastAsia="de-DE"/>
        </w:rPr>
        <w:t>עֹבֵר</w:t>
      </w:r>
      <w:r w:rsidRPr="00A330A9">
        <w:rPr>
          <w:rFonts w:eastAsia="Times New Roman"/>
          <w:rtl/>
          <w:lang w:eastAsia="de-DE"/>
        </w:rPr>
        <w:t xml:space="preserve"> </w:t>
      </w:r>
      <w:r w:rsidRPr="00A330A9">
        <w:rPr>
          <w:rFonts w:eastAsia="Times New Roman"/>
          <w:lang w:eastAsia="de-DE"/>
        </w:rPr>
        <w:t xml:space="preserve">ist Qal Partizip aktiv, maskulin Singular von </w:t>
      </w:r>
      <w:r w:rsidRPr="00A330A9">
        <w:rPr>
          <w:rFonts w:eastAsia="Times New Roman"/>
          <w:rtl/>
          <w:lang w:eastAsia="de-DE"/>
        </w:rPr>
        <w:t>עבר</w:t>
      </w:r>
      <w:r w:rsidRPr="00A330A9">
        <w:rPr>
          <w:rFonts w:eastAsia="Times New Roman"/>
          <w:lang w:eastAsia="de-DE"/>
        </w:rPr>
        <w:t xml:space="preserve"> („vorüberziehend, durchziehend"). </w:t>
      </w:r>
      <w:r w:rsidRPr="00A330A9">
        <w:rPr>
          <w:rFonts w:eastAsia="Times New Roman"/>
          <w:b/>
          <w:bCs/>
          <w:rtl/>
          <w:lang w:eastAsia="de-DE"/>
        </w:rPr>
        <w:t>הַיּוֹם</w:t>
      </w:r>
      <w:r w:rsidRPr="00A330A9">
        <w:rPr>
          <w:rFonts w:eastAsia="Times New Roman"/>
          <w:rtl/>
          <w:lang w:eastAsia="de-DE"/>
        </w:rPr>
        <w:t xml:space="preserve"> </w:t>
      </w:r>
      <w:r w:rsidRPr="00A330A9">
        <w:rPr>
          <w:rFonts w:eastAsia="Times New Roman"/>
          <w:lang w:eastAsia="de-DE"/>
        </w:rPr>
        <w:t xml:space="preserve">ist das temporale Adverb („heute") mit Artikel für Emphase. </w:t>
      </w:r>
      <w:r w:rsidRPr="00A330A9">
        <w:rPr>
          <w:rFonts w:eastAsia="Times New Roman"/>
          <w:b/>
          <w:bCs/>
          <w:rtl/>
          <w:lang w:eastAsia="de-DE"/>
        </w:rPr>
        <w:t>אֶת־גְּבוּל מוֹאָב</w:t>
      </w:r>
      <w:r w:rsidRPr="00A330A9">
        <w:rPr>
          <w:rFonts w:eastAsia="Times New Roman"/>
          <w:rtl/>
          <w:lang w:eastAsia="de-DE"/>
        </w:rPr>
        <w:t xml:space="preserve"> </w:t>
      </w:r>
      <w:r w:rsidRPr="00A330A9">
        <w:rPr>
          <w:rFonts w:eastAsia="Times New Roman"/>
          <w:lang w:eastAsia="de-DE"/>
        </w:rPr>
        <w:t xml:space="preserve">ist die Objektpartikel mit </w:t>
      </w:r>
      <w:r w:rsidRPr="00A330A9">
        <w:rPr>
          <w:rFonts w:eastAsia="Times New Roman"/>
          <w:b/>
          <w:bCs/>
          <w:rtl/>
          <w:lang w:eastAsia="de-DE"/>
        </w:rPr>
        <w:t>גְּבוּל</w:t>
      </w:r>
      <w:r w:rsidRPr="00A330A9">
        <w:rPr>
          <w:rFonts w:eastAsia="Times New Roman"/>
          <w:rtl/>
          <w:lang w:eastAsia="de-DE"/>
        </w:rPr>
        <w:t xml:space="preserve"> </w:t>
      </w:r>
      <w:r w:rsidRPr="00A330A9">
        <w:rPr>
          <w:rFonts w:eastAsia="Times New Roman"/>
          <w:lang w:eastAsia="de-DE"/>
        </w:rPr>
        <w:t xml:space="preserve">(„Grenze") im </w:t>
      </w:r>
      <w:r w:rsidR="0032647F">
        <w:rPr>
          <w:rFonts w:eastAsia="Times New Roman"/>
          <w:lang w:eastAsia="de-DE"/>
        </w:rPr>
        <w:t>Construct</w:t>
      </w:r>
      <w:r w:rsidRPr="00A330A9">
        <w:rPr>
          <w:rFonts w:eastAsia="Times New Roman"/>
          <w:lang w:eastAsia="de-DE"/>
        </w:rPr>
        <w:t xml:space="preserve"> und </w:t>
      </w:r>
      <w:r w:rsidRPr="00A330A9">
        <w:rPr>
          <w:rFonts w:eastAsia="Times New Roman"/>
          <w:b/>
          <w:bCs/>
          <w:rtl/>
          <w:lang w:eastAsia="de-DE"/>
        </w:rPr>
        <w:t>מוֹאָב</w:t>
      </w:r>
      <w:r w:rsidRPr="00A330A9">
        <w:rPr>
          <w:rFonts w:eastAsia="Times New Roman"/>
          <w:lang w:eastAsia="de-DE"/>
        </w:rPr>
        <w:t xml:space="preserve">. </w:t>
      </w:r>
      <w:r w:rsidRPr="00A330A9">
        <w:rPr>
          <w:rFonts w:eastAsia="Times New Roman"/>
          <w:b/>
          <w:bCs/>
          <w:rtl/>
          <w:lang w:eastAsia="de-DE"/>
        </w:rPr>
        <w:t>אֶת־עָר</w:t>
      </w:r>
      <w:r w:rsidRPr="00A330A9">
        <w:rPr>
          <w:rFonts w:eastAsia="Times New Roman"/>
          <w:rtl/>
          <w:lang w:eastAsia="de-DE"/>
        </w:rPr>
        <w:t xml:space="preserve"> </w:t>
      </w:r>
      <w:r w:rsidRPr="00A330A9">
        <w:rPr>
          <w:rFonts w:eastAsia="Times New Roman"/>
          <w:lang w:eastAsia="de-DE"/>
        </w:rPr>
        <w:t xml:space="preserve">ist die Objektpartikel mit </w:t>
      </w:r>
      <w:r w:rsidRPr="00A330A9">
        <w:rPr>
          <w:rFonts w:eastAsia="Times New Roman"/>
          <w:b/>
          <w:bCs/>
          <w:rtl/>
          <w:lang w:eastAsia="de-DE"/>
        </w:rPr>
        <w:t>עָר</w:t>
      </w:r>
      <w:r w:rsidRPr="00A330A9">
        <w:rPr>
          <w:rFonts w:eastAsia="Times New Roman"/>
          <w:rtl/>
          <w:lang w:eastAsia="de-DE"/>
        </w:rPr>
        <w:t xml:space="preserve"> </w:t>
      </w:r>
      <w:r w:rsidRPr="00A330A9">
        <w:rPr>
          <w:rFonts w:eastAsia="Times New Roman"/>
          <w:lang w:eastAsia="de-DE"/>
        </w:rPr>
        <w:t>(„Ar"), dem moabitischen Ort oder Gebiet, das in V. 9 erwähnt wurde.</w:t>
      </w:r>
    </w:p>
    <w:p w14:paraId="733DDCC3" w14:textId="7CC542CD"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Die LXX</w:t>
      </w:r>
      <w:r w:rsidRPr="00A330A9">
        <w:rPr>
          <w:rFonts w:eastAsia="Times New Roman"/>
          <w:lang w:eastAsia="de-DE"/>
        </w:rPr>
        <w:t xml:space="preserve"> übersetzt „</w:t>
      </w:r>
      <w:proofErr w:type="spellStart"/>
      <w:r w:rsidRPr="00A330A9">
        <w:rPr>
          <w:rFonts w:eastAsia="Times New Roman"/>
          <w:lang w:eastAsia="de-DE"/>
        </w:rPr>
        <w:t>ὑμεῖς</w:t>
      </w:r>
      <w:proofErr w:type="spellEnd"/>
      <w:r w:rsidRPr="00A330A9">
        <w:rPr>
          <w:rFonts w:eastAsia="Times New Roman"/>
          <w:lang w:eastAsia="de-DE"/>
        </w:rPr>
        <w:t xml:space="preserve"> παραπ</w:t>
      </w:r>
      <w:proofErr w:type="spellStart"/>
      <w:r w:rsidRPr="00A330A9">
        <w:rPr>
          <w:rFonts w:eastAsia="Times New Roman"/>
          <w:lang w:eastAsia="de-DE"/>
        </w:rPr>
        <w:t>ορεύεσθε</w:t>
      </w:r>
      <w:proofErr w:type="spellEnd"/>
      <w:r w:rsidRPr="00A330A9">
        <w:rPr>
          <w:rFonts w:eastAsia="Times New Roman"/>
          <w:lang w:eastAsia="de-DE"/>
        </w:rPr>
        <w:t xml:space="preserve"> </w:t>
      </w:r>
      <w:proofErr w:type="spellStart"/>
      <w:r w:rsidRPr="00A330A9">
        <w:rPr>
          <w:rFonts w:eastAsia="Times New Roman"/>
          <w:lang w:eastAsia="de-DE"/>
        </w:rPr>
        <w:t>σήμερον</w:t>
      </w:r>
      <w:proofErr w:type="spellEnd"/>
      <w:r w:rsidRPr="00A330A9">
        <w:rPr>
          <w:rFonts w:eastAsia="Times New Roman"/>
          <w:lang w:eastAsia="de-DE"/>
        </w:rPr>
        <w:t xml:space="preserve"> </w:t>
      </w:r>
      <w:proofErr w:type="spellStart"/>
      <w:r w:rsidRPr="00A330A9">
        <w:rPr>
          <w:rFonts w:eastAsia="Times New Roman"/>
          <w:lang w:eastAsia="de-DE"/>
        </w:rPr>
        <w:t>τὰ</w:t>
      </w:r>
      <w:proofErr w:type="spellEnd"/>
      <w:r w:rsidRPr="00A330A9">
        <w:rPr>
          <w:rFonts w:eastAsia="Times New Roman"/>
          <w:lang w:eastAsia="de-DE"/>
        </w:rPr>
        <w:t xml:space="preserve"> </w:t>
      </w:r>
      <w:proofErr w:type="spellStart"/>
      <w:r w:rsidRPr="00A330A9">
        <w:rPr>
          <w:rFonts w:eastAsia="Times New Roman"/>
          <w:lang w:eastAsia="de-DE"/>
        </w:rPr>
        <w:t>ὅρι</w:t>
      </w:r>
      <w:proofErr w:type="spellEnd"/>
      <w:r w:rsidRPr="00A330A9">
        <w:rPr>
          <w:rFonts w:eastAsia="Times New Roman"/>
          <w:lang w:eastAsia="de-DE"/>
        </w:rPr>
        <w:t xml:space="preserve">α </w:t>
      </w:r>
      <w:proofErr w:type="spellStart"/>
      <w:r w:rsidRPr="00A330A9">
        <w:rPr>
          <w:rFonts w:eastAsia="Times New Roman"/>
          <w:lang w:eastAsia="de-DE"/>
        </w:rPr>
        <w:t>Μω</w:t>
      </w:r>
      <w:proofErr w:type="spellEnd"/>
      <w:r w:rsidRPr="00A330A9">
        <w:rPr>
          <w:rFonts w:eastAsia="Times New Roman"/>
          <w:lang w:eastAsia="de-DE"/>
        </w:rPr>
        <w:t xml:space="preserve">αβ τὴν </w:t>
      </w:r>
      <w:proofErr w:type="spellStart"/>
      <w:r w:rsidRPr="00A330A9">
        <w:rPr>
          <w:rFonts w:eastAsia="Times New Roman"/>
          <w:lang w:eastAsia="de-DE"/>
        </w:rPr>
        <w:t>Σηιρ</w:t>
      </w:r>
      <w:proofErr w:type="spellEnd"/>
      <w:r w:rsidRPr="00A330A9">
        <w:rPr>
          <w:rFonts w:eastAsia="Times New Roman"/>
          <w:lang w:eastAsia="de-DE"/>
        </w:rPr>
        <w:t xml:space="preserve">" („ihr zieht heute vorbei an den Grenzen Moabs, Seir"). Die LXX hat textkritische Abweichungen: Plural statt Singular und </w:t>
      </w:r>
      <w:proofErr w:type="spellStart"/>
      <w:r w:rsidRPr="00A330A9">
        <w:rPr>
          <w:rFonts w:eastAsia="Times New Roman"/>
          <w:b/>
          <w:bCs/>
          <w:lang w:eastAsia="de-DE"/>
        </w:rPr>
        <w:t>Σηιρ</w:t>
      </w:r>
      <w:proofErr w:type="spellEnd"/>
      <w:r w:rsidRPr="00A330A9">
        <w:rPr>
          <w:rFonts w:eastAsia="Times New Roman"/>
          <w:lang w:eastAsia="de-DE"/>
        </w:rPr>
        <w:t xml:space="preserve"> („Seir") statt </w:t>
      </w:r>
      <w:r w:rsidRPr="00A330A9">
        <w:rPr>
          <w:rFonts w:eastAsia="Times New Roman"/>
          <w:b/>
          <w:bCs/>
          <w:rtl/>
          <w:lang w:eastAsia="de-DE"/>
        </w:rPr>
        <w:t>עָר</w:t>
      </w:r>
      <w:r w:rsidRPr="00A330A9">
        <w:rPr>
          <w:rFonts w:eastAsia="Times New Roman"/>
          <w:rtl/>
          <w:lang w:eastAsia="de-DE"/>
        </w:rPr>
        <w:t xml:space="preserve"> </w:t>
      </w:r>
      <w:r w:rsidRPr="00A330A9">
        <w:rPr>
          <w:rFonts w:eastAsia="Times New Roman"/>
          <w:lang w:eastAsia="de-DE"/>
        </w:rPr>
        <w:t>(„Ar"), möglicherweise eine Verwechslung.</w:t>
      </w:r>
      <w:r w:rsidR="00516967">
        <w:rPr>
          <w:rFonts w:eastAsia="Times New Roman"/>
          <w:lang w:eastAsia="de-DE"/>
        </w:rPr>
        <w:t xml:space="preserve"> </w:t>
      </w:r>
      <w:r w:rsidR="00516967" w:rsidRPr="00516967">
        <w:rPr>
          <w:rStyle w:val="berschrift3Zchn"/>
        </w:rPr>
        <w:t>Übersetzt</w:t>
      </w:r>
      <w:r w:rsidR="00516967">
        <w:t xml:space="preserve"> „</w:t>
      </w:r>
      <w:r w:rsidR="00516967">
        <w:rPr>
          <w:rtl/>
        </w:rPr>
        <w:t>עָר</w:t>
      </w:r>
      <w:r w:rsidR="00516967">
        <w:t>" erneut mit „</w:t>
      </w:r>
      <w:proofErr w:type="spellStart"/>
      <w:r w:rsidR="00516967">
        <w:t>Ἀροήρ</w:t>
      </w:r>
      <w:proofErr w:type="spellEnd"/>
      <w:r w:rsidR="00516967">
        <w:t>" (Aroer).</w:t>
      </w:r>
    </w:p>
    <w:p w14:paraId="274B0C65"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lang w:eastAsia="de-DE"/>
        </w:rPr>
        <w:t xml:space="preserve">Die Satzstruktur ist ein Partizipialsatz: </w:t>
      </w:r>
      <w:r w:rsidRPr="00A330A9">
        <w:rPr>
          <w:rFonts w:eastAsia="Times New Roman"/>
          <w:b/>
          <w:bCs/>
          <w:rtl/>
          <w:lang w:eastAsia="de-DE"/>
        </w:rPr>
        <w:t>אַתָּה</w:t>
      </w:r>
      <w:r w:rsidRPr="00A330A9">
        <w:rPr>
          <w:rFonts w:eastAsia="Times New Roman"/>
          <w:rtl/>
          <w:lang w:eastAsia="de-DE"/>
        </w:rPr>
        <w:t xml:space="preserve"> </w:t>
      </w:r>
      <w:r w:rsidRPr="00A330A9">
        <w:rPr>
          <w:rFonts w:eastAsia="Times New Roman"/>
          <w:lang w:eastAsia="de-DE"/>
        </w:rPr>
        <w:t xml:space="preserve">als Subjekt, </w:t>
      </w:r>
      <w:r w:rsidRPr="00A330A9">
        <w:rPr>
          <w:rFonts w:eastAsia="Times New Roman"/>
          <w:b/>
          <w:bCs/>
          <w:rtl/>
          <w:lang w:eastAsia="de-DE"/>
        </w:rPr>
        <w:t>עֹבֵר</w:t>
      </w:r>
      <w:r w:rsidRPr="00A330A9">
        <w:rPr>
          <w:rFonts w:eastAsia="Times New Roman"/>
          <w:rtl/>
          <w:lang w:eastAsia="de-DE"/>
        </w:rPr>
        <w:t xml:space="preserve"> </w:t>
      </w:r>
      <w:r w:rsidRPr="00A330A9">
        <w:rPr>
          <w:rFonts w:eastAsia="Times New Roman"/>
          <w:lang w:eastAsia="de-DE"/>
        </w:rPr>
        <w:t xml:space="preserve">als Prädikat, </w:t>
      </w:r>
      <w:r w:rsidRPr="00A330A9">
        <w:rPr>
          <w:rFonts w:eastAsia="Times New Roman"/>
          <w:b/>
          <w:bCs/>
          <w:rtl/>
          <w:lang w:eastAsia="de-DE"/>
        </w:rPr>
        <w:t>הַיּוֹם</w:t>
      </w:r>
      <w:r w:rsidRPr="00A330A9">
        <w:rPr>
          <w:rFonts w:eastAsia="Times New Roman"/>
          <w:rtl/>
          <w:lang w:eastAsia="de-DE"/>
        </w:rPr>
        <w:t xml:space="preserve"> </w:t>
      </w:r>
      <w:r w:rsidRPr="00A330A9">
        <w:rPr>
          <w:rFonts w:eastAsia="Times New Roman"/>
          <w:lang w:eastAsia="de-DE"/>
        </w:rPr>
        <w:t xml:space="preserve">als temporale Bestimmung, </w:t>
      </w:r>
      <w:r w:rsidRPr="00A330A9">
        <w:rPr>
          <w:rFonts w:eastAsia="Times New Roman"/>
          <w:b/>
          <w:bCs/>
          <w:rtl/>
          <w:lang w:eastAsia="de-DE"/>
        </w:rPr>
        <w:t>אֶת־גְּבוּל מוֹאָב אֶת־עָר</w:t>
      </w:r>
      <w:r w:rsidRPr="00A330A9">
        <w:rPr>
          <w:rFonts w:eastAsia="Times New Roman"/>
          <w:rtl/>
          <w:lang w:eastAsia="de-DE"/>
        </w:rPr>
        <w:t xml:space="preserve"> </w:t>
      </w:r>
      <w:r w:rsidRPr="00A330A9">
        <w:rPr>
          <w:rFonts w:eastAsia="Times New Roman"/>
          <w:lang w:eastAsia="de-DE"/>
        </w:rPr>
        <w:t>als Objekt mit Apposition oder präzisierender Angabe.</w:t>
      </w:r>
    </w:p>
    <w:p w14:paraId="0527335F"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lang w:eastAsia="de-DE"/>
        </w:rPr>
        <w:t>Der Vers gibt Mose die Information, dass Israel nun die Grenze Moabs bei Ar passiert – ein Moment von geografischer und historischer Bedeutung, der den Übergang zum eroberbaren Gebiet markiert.</w:t>
      </w:r>
    </w:p>
    <w:p w14:paraId="4BEA6B39" w14:textId="77777777" w:rsidR="00A330A9" w:rsidRPr="00A330A9" w:rsidRDefault="00A330A9" w:rsidP="00A330A9">
      <w:pPr>
        <w:spacing w:before="100" w:beforeAutospacing="1" w:after="100" w:afterAutospacing="1" w:line="240" w:lineRule="auto"/>
        <w:outlineLvl w:val="1"/>
        <w:rPr>
          <w:rFonts w:eastAsia="Times New Roman"/>
          <w:b/>
          <w:bCs/>
          <w:sz w:val="36"/>
          <w:szCs w:val="36"/>
          <w:lang w:eastAsia="de-DE"/>
        </w:rPr>
      </w:pPr>
      <w:r w:rsidRPr="00A330A9">
        <w:rPr>
          <w:rFonts w:eastAsia="Times New Roman"/>
          <w:b/>
          <w:bCs/>
          <w:sz w:val="36"/>
          <w:szCs w:val="36"/>
          <w:lang w:eastAsia="de-DE"/>
        </w:rPr>
        <w:t>Deuteronomium 2,19</w:t>
      </w:r>
    </w:p>
    <w:p w14:paraId="7B204DE2"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Hebräisch:</w:t>
      </w:r>
      <w:r w:rsidRPr="00A330A9">
        <w:rPr>
          <w:rFonts w:eastAsia="Times New Roman"/>
          <w:lang w:eastAsia="de-DE"/>
        </w:rPr>
        <w:t xml:space="preserve"> </w:t>
      </w:r>
      <w:r w:rsidRPr="00A330A9">
        <w:rPr>
          <w:rFonts w:eastAsia="Times New Roman"/>
          <w:rtl/>
          <w:lang w:eastAsia="de-DE"/>
        </w:rPr>
        <w:t>וְקָרַבְתָּ֗ מ֚וּל בְּנֵ֣י עַמֹּ֔ון אַל־תְּצֻרֵ֖ם וְאַל־תִּתְגָּ֣ר בָּ֑ם כִּ֣י לֹֽא־אֶ֠תֵּן מֵאֶ֨רֶץ בְּנֵי־עַמֹּ֤ון לְךָ֙ יְרֻשָּׁ֔ה כִּ֥י לִבְנֵי־לֹ֖וט נְתַתִּ֥יהָ יְרֻשָּֽׁה׃</w:t>
      </w:r>
    </w:p>
    <w:p w14:paraId="2158D1B0"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Deutsch:</w:t>
      </w:r>
      <w:r w:rsidRPr="00A330A9">
        <w:rPr>
          <w:rFonts w:eastAsia="Times New Roman"/>
          <w:lang w:eastAsia="de-DE"/>
        </w:rPr>
        <w:t xml:space="preserve"> Und du wirst in die Nähe gegenüber den Söhnen Ammons kommen; bedränge sie nicht und errege dich nicht in Kampf mit ihnen, denn ich werde dir vom Land der Söhne Ammons keinen Besitz geben; denn ich habe es den Söhnen Lot zum Besitz gegeben.</w:t>
      </w:r>
    </w:p>
    <w:p w14:paraId="677106B5" w14:textId="77777777" w:rsidR="00A330A9" w:rsidRPr="00A330A9" w:rsidRDefault="004F5CEB" w:rsidP="00A330A9">
      <w:pPr>
        <w:spacing w:after="0" w:line="240" w:lineRule="auto"/>
        <w:rPr>
          <w:rFonts w:eastAsia="Times New Roman"/>
          <w:lang w:eastAsia="de-DE"/>
        </w:rPr>
      </w:pPr>
      <w:r>
        <w:rPr>
          <w:rFonts w:eastAsia="Times New Roman"/>
          <w:noProof/>
          <w:lang w:eastAsia="de-DE"/>
        </w:rPr>
        <w:lastRenderedPageBreak/>
        <w:pict w14:anchorId="33A7ECB5">
          <v:rect id="_x0000_i1089" style="width:0;height:1.5pt" o:hralign="center" o:hrstd="t" o:hr="t" fillcolor="#a0a0a0" stroked="f"/>
        </w:pict>
      </w:r>
    </w:p>
    <w:p w14:paraId="761B2950" w14:textId="23C64F40"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Kommentar:</w:t>
      </w:r>
      <w:r w:rsidRPr="00A330A9">
        <w:rPr>
          <w:rFonts w:eastAsia="Times New Roman"/>
          <w:lang w:eastAsia="de-DE"/>
        </w:rPr>
        <w:t xml:space="preserve"> </w:t>
      </w:r>
      <w:r w:rsidRPr="00A330A9">
        <w:rPr>
          <w:rFonts w:eastAsia="Times New Roman"/>
          <w:b/>
          <w:bCs/>
          <w:rtl/>
          <w:lang w:eastAsia="de-DE"/>
        </w:rPr>
        <w:t>וְקָרַבְתָּ</w:t>
      </w:r>
      <w:r w:rsidRPr="00A330A9">
        <w:rPr>
          <w:rFonts w:eastAsia="Times New Roman"/>
          <w:rtl/>
          <w:lang w:eastAsia="de-DE"/>
        </w:rPr>
        <w:t xml:space="preserve"> </w:t>
      </w:r>
      <w:r w:rsidRPr="00A330A9">
        <w:rPr>
          <w:rFonts w:eastAsia="Times New Roman"/>
          <w:lang w:eastAsia="de-DE"/>
        </w:rPr>
        <w:t xml:space="preserve">ist Qal Perfekt, 2. Person maskulin Singular von </w:t>
      </w:r>
      <w:r w:rsidRPr="00A330A9">
        <w:rPr>
          <w:rFonts w:eastAsia="Times New Roman"/>
          <w:rtl/>
          <w:lang w:eastAsia="de-DE"/>
        </w:rPr>
        <w:t>קרב</w:t>
      </w:r>
      <w:r w:rsidRPr="00A330A9">
        <w:rPr>
          <w:rFonts w:eastAsia="Times New Roman"/>
          <w:lang w:eastAsia="de-DE"/>
        </w:rPr>
        <w:t xml:space="preserve"> („nahen, sich nähern") mit Waw, das hier konsekutive oder futurische Bedeutung hat. </w:t>
      </w:r>
      <w:r w:rsidRPr="00A330A9">
        <w:rPr>
          <w:rFonts w:eastAsia="Times New Roman"/>
          <w:b/>
          <w:bCs/>
          <w:rtl/>
          <w:lang w:eastAsia="de-DE"/>
        </w:rPr>
        <w:t>מוּל בְּנֵי עַמּוֹן</w:t>
      </w:r>
      <w:r w:rsidRPr="00A330A9">
        <w:rPr>
          <w:rFonts w:eastAsia="Times New Roman"/>
          <w:rtl/>
          <w:lang w:eastAsia="de-DE"/>
        </w:rPr>
        <w:t xml:space="preserve"> </w:t>
      </w:r>
      <w:r w:rsidRPr="00A330A9">
        <w:rPr>
          <w:rFonts w:eastAsia="Times New Roman"/>
          <w:lang w:eastAsia="de-DE"/>
        </w:rPr>
        <w:t xml:space="preserve">ist </w:t>
      </w:r>
      <w:r w:rsidRPr="00A330A9">
        <w:rPr>
          <w:rFonts w:eastAsia="Times New Roman"/>
          <w:b/>
          <w:bCs/>
          <w:rtl/>
          <w:lang w:eastAsia="de-DE"/>
        </w:rPr>
        <w:t>מוּל</w:t>
      </w:r>
      <w:r w:rsidRPr="00A330A9">
        <w:rPr>
          <w:rFonts w:eastAsia="Times New Roman"/>
          <w:rtl/>
          <w:lang w:eastAsia="de-DE"/>
        </w:rPr>
        <w:t xml:space="preserve"> </w:t>
      </w:r>
      <w:r w:rsidRPr="00A330A9">
        <w:rPr>
          <w:rFonts w:eastAsia="Times New Roman"/>
          <w:lang w:eastAsia="de-DE"/>
        </w:rPr>
        <w:t xml:space="preserve">(„gegenüber, in der Nähe von") mit </w:t>
      </w:r>
      <w:r w:rsidRPr="00A330A9">
        <w:rPr>
          <w:rFonts w:eastAsia="Times New Roman"/>
          <w:b/>
          <w:bCs/>
          <w:rtl/>
          <w:lang w:eastAsia="de-DE"/>
        </w:rPr>
        <w:t>בְּנֵי עַמּוֹן</w:t>
      </w:r>
      <w:r w:rsidRPr="00A330A9">
        <w:rPr>
          <w:rFonts w:eastAsia="Times New Roman"/>
          <w:rtl/>
          <w:lang w:eastAsia="de-DE"/>
        </w:rPr>
        <w:t xml:space="preserve"> </w:t>
      </w:r>
      <w:r w:rsidRPr="00A330A9">
        <w:rPr>
          <w:rFonts w:eastAsia="Times New Roman"/>
          <w:lang w:eastAsia="de-DE"/>
        </w:rPr>
        <w:t xml:space="preserve">(„Söhne Ammons"), </w:t>
      </w:r>
      <w:r w:rsidR="0032647F">
        <w:rPr>
          <w:rFonts w:eastAsia="Times New Roman"/>
          <w:lang w:eastAsia="de-DE"/>
        </w:rPr>
        <w:t>Construct</w:t>
      </w:r>
      <w:r w:rsidRPr="00A330A9">
        <w:rPr>
          <w:rFonts w:eastAsia="Times New Roman"/>
          <w:lang w:eastAsia="de-DE"/>
        </w:rPr>
        <w:t xml:space="preserve">usverbindung mit dem Völkernamen </w:t>
      </w:r>
      <w:r w:rsidRPr="00A330A9">
        <w:rPr>
          <w:rFonts w:eastAsia="Times New Roman"/>
          <w:b/>
          <w:bCs/>
          <w:rtl/>
          <w:lang w:eastAsia="de-DE"/>
        </w:rPr>
        <w:t>עַמּוֹן</w:t>
      </w:r>
      <w:r w:rsidRPr="00A330A9">
        <w:rPr>
          <w:rFonts w:eastAsia="Times New Roman"/>
          <w:rtl/>
          <w:lang w:eastAsia="de-DE"/>
        </w:rPr>
        <w:t xml:space="preserve"> </w:t>
      </w:r>
      <w:r w:rsidRPr="00A330A9">
        <w:rPr>
          <w:rFonts w:eastAsia="Times New Roman"/>
          <w:lang w:eastAsia="de-DE"/>
        </w:rPr>
        <w:t>(„Ammon").</w:t>
      </w:r>
    </w:p>
    <w:p w14:paraId="0B0CE0EB"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rtl/>
          <w:lang w:eastAsia="de-DE"/>
        </w:rPr>
        <w:t>אַל־תְּצֻרֵם</w:t>
      </w:r>
      <w:r w:rsidRPr="00A330A9">
        <w:rPr>
          <w:rFonts w:eastAsia="Times New Roman"/>
          <w:rtl/>
          <w:lang w:eastAsia="de-DE"/>
        </w:rPr>
        <w:t xml:space="preserve"> </w:t>
      </w:r>
      <w:r w:rsidRPr="00A330A9">
        <w:rPr>
          <w:rFonts w:eastAsia="Times New Roman"/>
          <w:lang w:eastAsia="de-DE"/>
        </w:rPr>
        <w:t xml:space="preserve">ist </w:t>
      </w:r>
      <w:r w:rsidRPr="00A330A9">
        <w:rPr>
          <w:rFonts w:eastAsia="Times New Roman"/>
          <w:b/>
          <w:bCs/>
          <w:rtl/>
          <w:lang w:eastAsia="de-DE"/>
        </w:rPr>
        <w:t>אַל</w:t>
      </w:r>
      <w:r w:rsidRPr="00A330A9">
        <w:rPr>
          <w:rFonts w:eastAsia="Times New Roman"/>
          <w:rtl/>
          <w:lang w:eastAsia="de-DE"/>
        </w:rPr>
        <w:t xml:space="preserve"> </w:t>
      </w:r>
      <w:r w:rsidRPr="00A330A9">
        <w:rPr>
          <w:rFonts w:eastAsia="Times New Roman"/>
          <w:lang w:eastAsia="de-DE"/>
        </w:rPr>
        <w:t xml:space="preserve">mit </w:t>
      </w:r>
      <w:r w:rsidRPr="00A330A9">
        <w:rPr>
          <w:rFonts w:eastAsia="Times New Roman"/>
          <w:b/>
          <w:bCs/>
          <w:rtl/>
          <w:lang w:eastAsia="de-DE"/>
        </w:rPr>
        <w:t>תְּצֻרֵם</w:t>
      </w:r>
      <w:r w:rsidRPr="00A330A9">
        <w:rPr>
          <w:rFonts w:eastAsia="Times New Roman"/>
          <w:rtl/>
          <w:lang w:eastAsia="de-DE"/>
        </w:rPr>
        <w:t xml:space="preserve"> </w:t>
      </w:r>
      <w:r w:rsidRPr="00A330A9">
        <w:rPr>
          <w:rFonts w:eastAsia="Times New Roman"/>
          <w:lang w:eastAsia="de-DE"/>
        </w:rPr>
        <w:t xml:space="preserve">(Qal Imperfekt/Jussiv, 2. Person maskulin Singular von </w:t>
      </w:r>
      <w:r w:rsidRPr="00A330A9">
        <w:rPr>
          <w:rFonts w:eastAsia="Times New Roman"/>
          <w:rtl/>
          <w:lang w:eastAsia="de-DE"/>
        </w:rPr>
        <w:t>צור</w:t>
      </w:r>
      <w:r w:rsidRPr="00A330A9">
        <w:rPr>
          <w:rFonts w:eastAsia="Times New Roman"/>
          <w:lang w:eastAsia="de-DE"/>
        </w:rPr>
        <w:t xml:space="preserve"> II „bedrängen" mit Objektsuffix 3. Person maskulin Plural </w:t>
      </w:r>
      <w:r w:rsidRPr="00A330A9">
        <w:rPr>
          <w:rFonts w:eastAsia="Times New Roman"/>
          <w:b/>
          <w:bCs/>
          <w:rtl/>
          <w:lang w:eastAsia="de-DE"/>
        </w:rPr>
        <w:t>ם</w:t>
      </w:r>
      <w:r w:rsidRPr="00A330A9">
        <w:rPr>
          <w:rFonts w:eastAsia="Times New Roman"/>
          <w:lang w:eastAsia="de-DE"/>
        </w:rPr>
        <w:t xml:space="preserve">). </w:t>
      </w:r>
      <w:r w:rsidRPr="00A330A9">
        <w:rPr>
          <w:rFonts w:eastAsia="Times New Roman"/>
          <w:b/>
          <w:bCs/>
          <w:rtl/>
          <w:lang w:eastAsia="de-DE"/>
        </w:rPr>
        <w:t>וְאַל־תִּתְגָּר בָּם</w:t>
      </w:r>
      <w:r w:rsidRPr="00A330A9">
        <w:rPr>
          <w:rFonts w:eastAsia="Times New Roman"/>
          <w:rtl/>
          <w:lang w:eastAsia="de-DE"/>
        </w:rPr>
        <w:t xml:space="preserve"> </w:t>
      </w:r>
      <w:r w:rsidRPr="00A330A9">
        <w:rPr>
          <w:rFonts w:eastAsia="Times New Roman"/>
          <w:lang w:eastAsia="de-DE"/>
        </w:rPr>
        <w:t xml:space="preserve">ist parallel: </w:t>
      </w:r>
      <w:r w:rsidRPr="00A330A9">
        <w:rPr>
          <w:rFonts w:eastAsia="Times New Roman"/>
          <w:b/>
          <w:bCs/>
          <w:rtl/>
          <w:lang w:eastAsia="de-DE"/>
        </w:rPr>
        <w:t>וְאַל</w:t>
      </w:r>
      <w:r w:rsidRPr="00A330A9">
        <w:rPr>
          <w:rFonts w:eastAsia="Times New Roman"/>
          <w:rtl/>
          <w:lang w:eastAsia="de-DE"/>
        </w:rPr>
        <w:t xml:space="preserve"> </w:t>
      </w:r>
      <w:r w:rsidRPr="00A330A9">
        <w:rPr>
          <w:rFonts w:eastAsia="Times New Roman"/>
          <w:lang w:eastAsia="de-DE"/>
        </w:rPr>
        <w:t xml:space="preserve">mit </w:t>
      </w:r>
      <w:r w:rsidRPr="00A330A9">
        <w:rPr>
          <w:rFonts w:eastAsia="Times New Roman"/>
          <w:b/>
          <w:bCs/>
          <w:rtl/>
          <w:lang w:eastAsia="de-DE"/>
        </w:rPr>
        <w:t>תִּתְגָּר</w:t>
      </w:r>
      <w:r w:rsidRPr="00A330A9">
        <w:rPr>
          <w:rFonts w:eastAsia="Times New Roman"/>
          <w:rtl/>
          <w:lang w:eastAsia="de-DE"/>
        </w:rPr>
        <w:t xml:space="preserve"> </w:t>
      </w:r>
      <w:r w:rsidRPr="00A330A9">
        <w:rPr>
          <w:rFonts w:eastAsia="Times New Roman"/>
          <w:lang w:eastAsia="de-DE"/>
        </w:rPr>
        <w:t xml:space="preserve">(Hitpa'el Imperfekt/Jussiv, 2. Person maskulin Singular von </w:t>
      </w:r>
      <w:r w:rsidRPr="00A330A9">
        <w:rPr>
          <w:rFonts w:eastAsia="Times New Roman"/>
          <w:rtl/>
          <w:lang w:eastAsia="de-DE"/>
        </w:rPr>
        <w:t>גרה</w:t>
      </w:r>
      <w:r w:rsidRPr="00A330A9">
        <w:rPr>
          <w:rFonts w:eastAsia="Times New Roman"/>
          <w:lang w:eastAsia="de-DE"/>
        </w:rPr>
        <w:t xml:space="preserve">) und </w:t>
      </w:r>
      <w:r w:rsidRPr="00A330A9">
        <w:rPr>
          <w:rFonts w:eastAsia="Times New Roman"/>
          <w:b/>
          <w:bCs/>
          <w:rtl/>
          <w:lang w:eastAsia="de-DE"/>
        </w:rPr>
        <w:t>בָּם</w:t>
      </w:r>
      <w:r w:rsidRPr="00A330A9">
        <w:rPr>
          <w:rFonts w:eastAsia="Times New Roman"/>
          <w:lang w:eastAsia="de-DE"/>
        </w:rPr>
        <w:t>.</w:t>
      </w:r>
    </w:p>
    <w:p w14:paraId="081D5EC8" w14:textId="3141BA5F"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rtl/>
          <w:lang w:eastAsia="de-DE"/>
        </w:rPr>
        <w:t>כִּי לֹא־אֶתֵּן מֵאֶרֶץ בְּנֵי־עַמּוֹן לְךָ יְרֻשָּׁה</w:t>
      </w:r>
      <w:r w:rsidRPr="00A330A9">
        <w:rPr>
          <w:rFonts w:eastAsia="Times New Roman"/>
          <w:rtl/>
          <w:lang w:eastAsia="de-DE"/>
        </w:rPr>
        <w:t xml:space="preserve"> </w:t>
      </w:r>
      <w:r w:rsidRPr="00A330A9">
        <w:rPr>
          <w:rFonts w:eastAsia="Times New Roman"/>
          <w:lang w:eastAsia="de-DE"/>
        </w:rPr>
        <w:t xml:space="preserve">ist eine kausale Begründung: </w:t>
      </w:r>
      <w:r w:rsidRPr="00A330A9">
        <w:rPr>
          <w:rFonts w:eastAsia="Times New Roman"/>
          <w:b/>
          <w:bCs/>
          <w:rtl/>
          <w:lang w:eastAsia="de-DE"/>
        </w:rPr>
        <w:t>כִּי</w:t>
      </w:r>
      <w:r w:rsidRPr="00A330A9">
        <w:rPr>
          <w:rFonts w:eastAsia="Times New Roman"/>
          <w:lang w:eastAsia="de-DE"/>
        </w:rPr>
        <w:t xml:space="preserve">, </w:t>
      </w:r>
      <w:r w:rsidRPr="00A330A9">
        <w:rPr>
          <w:rFonts w:eastAsia="Times New Roman"/>
          <w:b/>
          <w:bCs/>
          <w:rtl/>
          <w:lang w:eastAsia="de-DE"/>
        </w:rPr>
        <w:t>לֹא</w:t>
      </w:r>
      <w:r w:rsidRPr="00A330A9">
        <w:rPr>
          <w:rFonts w:eastAsia="Times New Roman"/>
          <w:lang w:eastAsia="de-DE"/>
        </w:rPr>
        <w:t xml:space="preserve">, </w:t>
      </w:r>
      <w:r w:rsidRPr="00A330A9">
        <w:rPr>
          <w:rFonts w:eastAsia="Times New Roman"/>
          <w:b/>
          <w:bCs/>
          <w:rtl/>
          <w:lang w:eastAsia="de-DE"/>
        </w:rPr>
        <w:t>אֶתֵּן</w:t>
      </w:r>
      <w:r w:rsidRPr="00A330A9">
        <w:rPr>
          <w:rFonts w:eastAsia="Times New Roman"/>
          <w:rtl/>
          <w:lang w:eastAsia="de-DE"/>
        </w:rPr>
        <w:t xml:space="preserve"> </w:t>
      </w:r>
      <w:r w:rsidRPr="00A330A9">
        <w:rPr>
          <w:rFonts w:eastAsia="Times New Roman"/>
          <w:lang w:eastAsia="de-DE"/>
        </w:rPr>
        <w:t xml:space="preserve">(Qal Imperfekt, 1. Person Singular von </w:t>
      </w:r>
      <w:r w:rsidRPr="00A330A9">
        <w:rPr>
          <w:rFonts w:eastAsia="Times New Roman"/>
          <w:rtl/>
          <w:lang w:eastAsia="de-DE"/>
        </w:rPr>
        <w:t>נתן</w:t>
      </w:r>
      <w:r w:rsidRPr="00A330A9">
        <w:rPr>
          <w:rFonts w:eastAsia="Times New Roman"/>
          <w:lang w:eastAsia="de-DE"/>
        </w:rPr>
        <w:t xml:space="preserve">), </w:t>
      </w:r>
      <w:r w:rsidRPr="00A330A9">
        <w:rPr>
          <w:rFonts w:eastAsia="Times New Roman"/>
          <w:b/>
          <w:bCs/>
          <w:rtl/>
          <w:lang w:eastAsia="de-DE"/>
        </w:rPr>
        <w:t>מֵאֶרֶץ בְּנֵי־עַמּוֹן</w:t>
      </w:r>
      <w:r w:rsidRPr="00A330A9">
        <w:rPr>
          <w:rFonts w:eastAsia="Times New Roman"/>
          <w:rtl/>
          <w:lang w:eastAsia="de-DE"/>
        </w:rPr>
        <w:t xml:space="preserve"> </w:t>
      </w:r>
      <w:r w:rsidRPr="00A330A9">
        <w:rPr>
          <w:rFonts w:eastAsia="Times New Roman"/>
          <w:lang w:eastAsia="de-DE"/>
        </w:rPr>
        <w:t>(</w:t>
      </w:r>
      <w:r w:rsidRPr="00A330A9">
        <w:rPr>
          <w:rFonts w:eastAsia="Times New Roman"/>
          <w:b/>
          <w:bCs/>
          <w:rtl/>
          <w:lang w:eastAsia="de-DE"/>
        </w:rPr>
        <w:t>מִן</w:t>
      </w:r>
      <w:r w:rsidRPr="00A330A9">
        <w:rPr>
          <w:rFonts w:eastAsia="Times New Roman"/>
          <w:rtl/>
          <w:lang w:eastAsia="de-DE"/>
        </w:rPr>
        <w:t xml:space="preserve"> </w:t>
      </w:r>
      <w:r w:rsidRPr="00A330A9">
        <w:rPr>
          <w:rFonts w:eastAsia="Times New Roman"/>
          <w:lang w:eastAsia="de-DE"/>
        </w:rPr>
        <w:t xml:space="preserve">mit </w:t>
      </w:r>
      <w:r w:rsidRPr="00A330A9">
        <w:rPr>
          <w:rFonts w:eastAsia="Times New Roman"/>
          <w:b/>
          <w:bCs/>
          <w:rtl/>
          <w:lang w:eastAsia="de-DE"/>
        </w:rPr>
        <w:t>אֶרֶץ</w:t>
      </w:r>
      <w:r w:rsidRPr="00A330A9">
        <w:rPr>
          <w:rFonts w:eastAsia="Times New Roman"/>
          <w:rtl/>
          <w:lang w:eastAsia="de-DE"/>
        </w:rPr>
        <w:t xml:space="preserve"> </w:t>
      </w:r>
      <w:r w:rsidRPr="00A330A9">
        <w:rPr>
          <w:rFonts w:eastAsia="Times New Roman"/>
          <w:lang w:eastAsia="de-DE"/>
        </w:rPr>
        <w:t xml:space="preserve">im </w:t>
      </w:r>
      <w:r w:rsidR="0032647F">
        <w:rPr>
          <w:rFonts w:eastAsia="Times New Roman"/>
          <w:lang w:eastAsia="de-DE"/>
        </w:rPr>
        <w:t>Construct</w:t>
      </w:r>
      <w:r w:rsidRPr="00A330A9">
        <w:rPr>
          <w:rFonts w:eastAsia="Times New Roman"/>
          <w:lang w:eastAsia="de-DE"/>
        </w:rPr>
        <w:t xml:space="preserve"> und </w:t>
      </w:r>
      <w:r w:rsidRPr="00A330A9">
        <w:rPr>
          <w:rFonts w:eastAsia="Times New Roman"/>
          <w:b/>
          <w:bCs/>
          <w:rtl/>
          <w:lang w:eastAsia="de-DE"/>
        </w:rPr>
        <w:t>בְּנֵי־עַמּוֹן</w:t>
      </w:r>
      <w:r w:rsidRPr="00A330A9">
        <w:rPr>
          <w:rFonts w:eastAsia="Times New Roman"/>
          <w:lang w:eastAsia="de-DE"/>
        </w:rPr>
        <w:t xml:space="preserve">), </w:t>
      </w:r>
      <w:r w:rsidRPr="00A330A9">
        <w:rPr>
          <w:rFonts w:eastAsia="Times New Roman"/>
          <w:b/>
          <w:bCs/>
          <w:rtl/>
          <w:lang w:eastAsia="de-DE"/>
        </w:rPr>
        <w:t>לְךָ</w:t>
      </w:r>
      <w:r w:rsidRPr="00A330A9">
        <w:rPr>
          <w:rFonts w:eastAsia="Times New Roman"/>
          <w:rtl/>
          <w:lang w:eastAsia="de-DE"/>
        </w:rPr>
        <w:t xml:space="preserve"> </w:t>
      </w:r>
      <w:r w:rsidRPr="00A330A9">
        <w:rPr>
          <w:rFonts w:eastAsia="Times New Roman"/>
          <w:lang w:eastAsia="de-DE"/>
        </w:rPr>
        <w:t xml:space="preserve">als Dativ, </w:t>
      </w:r>
      <w:r w:rsidRPr="00A330A9">
        <w:rPr>
          <w:rFonts w:eastAsia="Times New Roman"/>
          <w:b/>
          <w:bCs/>
          <w:rtl/>
          <w:lang w:eastAsia="de-DE"/>
        </w:rPr>
        <w:t>יְרֻשָּׁה</w:t>
      </w:r>
      <w:r w:rsidRPr="00A330A9">
        <w:rPr>
          <w:rFonts w:eastAsia="Times New Roman"/>
          <w:rtl/>
          <w:lang w:eastAsia="de-DE"/>
        </w:rPr>
        <w:t xml:space="preserve"> </w:t>
      </w:r>
      <w:r w:rsidRPr="00A330A9">
        <w:rPr>
          <w:rFonts w:eastAsia="Times New Roman"/>
          <w:lang w:eastAsia="de-DE"/>
        </w:rPr>
        <w:t>als Akkusativobjekt.</w:t>
      </w:r>
    </w:p>
    <w:p w14:paraId="69C9D61A"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rtl/>
          <w:lang w:eastAsia="de-DE"/>
        </w:rPr>
        <w:t>כִּי לִבְנֵי־לוֹט נְתַתִּיהָ יְרֻשָּׁה</w:t>
      </w:r>
      <w:r w:rsidRPr="00A330A9">
        <w:rPr>
          <w:rFonts w:eastAsia="Times New Roman"/>
          <w:rtl/>
          <w:lang w:eastAsia="de-DE"/>
        </w:rPr>
        <w:t xml:space="preserve"> </w:t>
      </w:r>
      <w:r w:rsidRPr="00A330A9">
        <w:rPr>
          <w:rFonts w:eastAsia="Times New Roman"/>
          <w:lang w:eastAsia="de-DE"/>
        </w:rPr>
        <w:t xml:space="preserve">ist eine weitere kausale Begründung, parallel zu V. 9: </w:t>
      </w:r>
      <w:r w:rsidRPr="00A330A9">
        <w:rPr>
          <w:rFonts w:eastAsia="Times New Roman"/>
          <w:b/>
          <w:bCs/>
          <w:rtl/>
          <w:lang w:eastAsia="de-DE"/>
        </w:rPr>
        <w:t>כִּי</w:t>
      </w:r>
      <w:r w:rsidRPr="00A330A9">
        <w:rPr>
          <w:rFonts w:eastAsia="Times New Roman"/>
          <w:lang w:eastAsia="de-DE"/>
        </w:rPr>
        <w:t xml:space="preserve">, </w:t>
      </w:r>
      <w:r w:rsidRPr="00A330A9">
        <w:rPr>
          <w:rFonts w:eastAsia="Times New Roman"/>
          <w:b/>
          <w:bCs/>
          <w:rtl/>
          <w:lang w:eastAsia="de-DE"/>
        </w:rPr>
        <w:t>לִבְנֵי־לוֹט</w:t>
      </w:r>
      <w:r w:rsidRPr="00A330A9">
        <w:rPr>
          <w:rFonts w:eastAsia="Times New Roman"/>
          <w:rtl/>
          <w:lang w:eastAsia="de-DE"/>
        </w:rPr>
        <w:t xml:space="preserve"> </w:t>
      </w:r>
      <w:r w:rsidRPr="00A330A9">
        <w:rPr>
          <w:rFonts w:eastAsia="Times New Roman"/>
          <w:lang w:eastAsia="de-DE"/>
        </w:rPr>
        <w:t>(</w:t>
      </w:r>
      <w:r w:rsidRPr="00A330A9">
        <w:rPr>
          <w:rFonts w:eastAsia="Times New Roman"/>
          <w:b/>
          <w:bCs/>
          <w:rtl/>
          <w:lang w:eastAsia="de-DE"/>
        </w:rPr>
        <w:t>לְ</w:t>
      </w:r>
      <w:r w:rsidRPr="00A330A9">
        <w:rPr>
          <w:rFonts w:eastAsia="Times New Roman"/>
          <w:rtl/>
          <w:lang w:eastAsia="de-DE"/>
        </w:rPr>
        <w:t xml:space="preserve"> </w:t>
      </w:r>
      <w:r w:rsidRPr="00A330A9">
        <w:rPr>
          <w:rFonts w:eastAsia="Times New Roman"/>
          <w:lang w:eastAsia="de-DE"/>
        </w:rPr>
        <w:t xml:space="preserve">mit </w:t>
      </w:r>
      <w:r w:rsidRPr="00A330A9">
        <w:rPr>
          <w:rFonts w:eastAsia="Times New Roman"/>
          <w:b/>
          <w:bCs/>
          <w:rtl/>
          <w:lang w:eastAsia="de-DE"/>
        </w:rPr>
        <w:t>בְּנֵי־לוֹט</w:t>
      </w:r>
      <w:r w:rsidRPr="00A330A9">
        <w:rPr>
          <w:rFonts w:eastAsia="Times New Roman"/>
          <w:lang w:eastAsia="de-DE"/>
        </w:rPr>
        <w:t xml:space="preserve">), </w:t>
      </w:r>
      <w:r w:rsidRPr="00A330A9">
        <w:rPr>
          <w:rFonts w:eastAsia="Times New Roman"/>
          <w:b/>
          <w:bCs/>
          <w:rtl/>
          <w:lang w:eastAsia="de-DE"/>
        </w:rPr>
        <w:t>נְתַתִּיהָ</w:t>
      </w:r>
      <w:r w:rsidRPr="00A330A9">
        <w:rPr>
          <w:rFonts w:eastAsia="Times New Roman"/>
          <w:rtl/>
          <w:lang w:eastAsia="de-DE"/>
        </w:rPr>
        <w:t xml:space="preserve"> </w:t>
      </w:r>
      <w:r w:rsidRPr="00A330A9">
        <w:rPr>
          <w:rFonts w:eastAsia="Times New Roman"/>
          <w:lang w:eastAsia="de-DE"/>
        </w:rPr>
        <w:t xml:space="preserve">(Qal Perfekt, 1. Person Singular von </w:t>
      </w:r>
      <w:r w:rsidRPr="00A330A9">
        <w:rPr>
          <w:rFonts w:eastAsia="Times New Roman"/>
          <w:rtl/>
          <w:lang w:eastAsia="de-DE"/>
        </w:rPr>
        <w:t>נתן</w:t>
      </w:r>
      <w:r w:rsidRPr="00A330A9">
        <w:rPr>
          <w:rFonts w:eastAsia="Times New Roman"/>
          <w:lang w:eastAsia="de-DE"/>
        </w:rPr>
        <w:t xml:space="preserve"> mit Objektsuffix 3. Person feminin Singular </w:t>
      </w:r>
      <w:r w:rsidRPr="00A330A9">
        <w:rPr>
          <w:rFonts w:eastAsia="Times New Roman"/>
          <w:b/>
          <w:bCs/>
          <w:rtl/>
          <w:lang w:eastAsia="de-DE"/>
        </w:rPr>
        <w:t>הָ</w:t>
      </w:r>
      <w:r w:rsidRPr="00A330A9">
        <w:rPr>
          <w:rFonts w:eastAsia="Times New Roman"/>
          <w:lang w:eastAsia="de-DE"/>
        </w:rPr>
        <w:t xml:space="preserve">, bezogen auf </w:t>
      </w:r>
      <w:r w:rsidRPr="00A330A9">
        <w:rPr>
          <w:rFonts w:eastAsia="Times New Roman"/>
          <w:b/>
          <w:bCs/>
          <w:rtl/>
          <w:lang w:eastAsia="de-DE"/>
        </w:rPr>
        <w:t>אֶרֶץ</w:t>
      </w:r>
      <w:r w:rsidRPr="00A330A9">
        <w:rPr>
          <w:rFonts w:eastAsia="Times New Roman"/>
          <w:lang w:eastAsia="de-DE"/>
        </w:rPr>
        <w:t xml:space="preserve">), </w:t>
      </w:r>
      <w:r w:rsidRPr="00A330A9">
        <w:rPr>
          <w:rFonts w:eastAsia="Times New Roman"/>
          <w:b/>
          <w:bCs/>
          <w:rtl/>
          <w:lang w:eastAsia="de-DE"/>
        </w:rPr>
        <w:t>יְרֻשָּׁה</w:t>
      </w:r>
      <w:r w:rsidRPr="00A330A9">
        <w:rPr>
          <w:rFonts w:eastAsia="Times New Roman"/>
          <w:rtl/>
          <w:lang w:eastAsia="de-DE"/>
        </w:rPr>
        <w:t xml:space="preserve"> </w:t>
      </w:r>
      <w:r w:rsidRPr="00A330A9">
        <w:rPr>
          <w:rFonts w:eastAsia="Times New Roman"/>
          <w:lang w:eastAsia="de-DE"/>
        </w:rPr>
        <w:t>als nähere Bestimmung.</w:t>
      </w:r>
    </w:p>
    <w:p w14:paraId="7F278D2A"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Die LXX</w:t>
      </w:r>
      <w:r w:rsidRPr="00A330A9">
        <w:rPr>
          <w:rFonts w:eastAsia="Times New Roman"/>
          <w:lang w:eastAsia="de-DE"/>
        </w:rPr>
        <w:t xml:space="preserve"> übersetzt „καὶ π</w:t>
      </w:r>
      <w:proofErr w:type="spellStart"/>
      <w:r w:rsidRPr="00A330A9">
        <w:rPr>
          <w:rFonts w:eastAsia="Times New Roman"/>
          <w:lang w:eastAsia="de-DE"/>
        </w:rPr>
        <w:t>ροσάξετε</w:t>
      </w:r>
      <w:proofErr w:type="spellEnd"/>
      <w:r w:rsidRPr="00A330A9">
        <w:rPr>
          <w:rFonts w:eastAsia="Times New Roman"/>
          <w:lang w:eastAsia="de-DE"/>
        </w:rPr>
        <w:t xml:space="preserve"> </w:t>
      </w:r>
      <w:proofErr w:type="spellStart"/>
      <w:r w:rsidRPr="00A330A9">
        <w:rPr>
          <w:rFonts w:eastAsia="Times New Roman"/>
          <w:lang w:eastAsia="de-DE"/>
        </w:rPr>
        <w:t>ἐγγὺς</w:t>
      </w:r>
      <w:proofErr w:type="spellEnd"/>
      <w:r w:rsidRPr="00A330A9">
        <w:rPr>
          <w:rFonts w:eastAsia="Times New Roman"/>
          <w:lang w:eastAsia="de-DE"/>
        </w:rPr>
        <w:t xml:space="preserve"> </w:t>
      </w:r>
      <w:proofErr w:type="spellStart"/>
      <w:r w:rsidRPr="00A330A9">
        <w:rPr>
          <w:rFonts w:eastAsia="Times New Roman"/>
          <w:lang w:eastAsia="de-DE"/>
        </w:rPr>
        <w:t>υἱῶν</w:t>
      </w:r>
      <w:proofErr w:type="spellEnd"/>
      <w:r w:rsidRPr="00A330A9">
        <w:rPr>
          <w:rFonts w:eastAsia="Times New Roman"/>
          <w:lang w:eastAsia="de-DE"/>
        </w:rPr>
        <w:t xml:space="preserve"> </w:t>
      </w:r>
      <w:proofErr w:type="spellStart"/>
      <w:r w:rsidRPr="00A330A9">
        <w:rPr>
          <w:rFonts w:eastAsia="Times New Roman"/>
          <w:lang w:eastAsia="de-DE"/>
        </w:rPr>
        <w:t>Αμμ</w:t>
      </w:r>
      <w:proofErr w:type="spellEnd"/>
      <w:r w:rsidRPr="00A330A9">
        <w:rPr>
          <w:rFonts w:eastAsia="Times New Roman"/>
          <w:lang w:eastAsia="de-DE"/>
        </w:rPr>
        <w:t xml:space="preserve">αν, </w:t>
      </w:r>
      <w:proofErr w:type="spellStart"/>
      <w:r w:rsidRPr="00A330A9">
        <w:rPr>
          <w:rFonts w:eastAsia="Times New Roman"/>
          <w:lang w:eastAsia="de-DE"/>
        </w:rPr>
        <w:t>μὴ</w:t>
      </w:r>
      <w:proofErr w:type="spellEnd"/>
      <w:r w:rsidRPr="00A330A9">
        <w:rPr>
          <w:rFonts w:eastAsia="Times New Roman"/>
          <w:lang w:eastAsia="de-DE"/>
        </w:rPr>
        <w:t xml:space="preserve"> </w:t>
      </w:r>
      <w:proofErr w:type="spellStart"/>
      <w:r w:rsidRPr="00A330A9">
        <w:rPr>
          <w:rFonts w:eastAsia="Times New Roman"/>
          <w:lang w:eastAsia="de-DE"/>
        </w:rPr>
        <w:t>ἐχθρ</w:t>
      </w:r>
      <w:proofErr w:type="spellEnd"/>
      <w:r w:rsidRPr="00A330A9">
        <w:rPr>
          <w:rFonts w:eastAsia="Times New Roman"/>
          <w:lang w:eastAsia="de-DE"/>
        </w:rPr>
        <w:t>αίνετε α</w:t>
      </w:r>
      <w:proofErr w:type="spellStart"/>
      <w:r w:rsidRPr="00A330A9">
        <w:rPr>
          <w:rFonts w:eastAsia="Times New Roman"/>
          <w:lang w:eastAsia="de-DE"/>
        </w:rPr>
        <w:t>ὐτοῖς</w:t>
      </w:r>
      <w:proofErr w:type="spellEnd"/>
      <w:r w:rsidRPr="00A330A9">
        <w:rPr>
          <w:rFonts w:eastAsia="Times New Roman"/>
          <w:lang w:eastAsia="de-DE"/>
        </w:rPr>
        <w:t xml:space="preserve"> καὶ </w:t>
      </w:r>
      <w:proofErr w:type="spellStart"/>
      <w:r w:rsidRPr="00A330A9">
        <w:rPr>
          <w:rFonts w:eastAsia="Times New Roman"/>
          <w:lang w:eastAsia="de-DE"/>
        </w:rPr>
        <w:t>μὴ</w:t>
      </w:r>
      <w:proofErr w:type="spellEnd"/>
      <w:r w:rsidRPr="00A330A9">
        <w:rPr>
          <w:rFonts w:eastAsia="Times New Roman"/>
          <w:lang w:eastAsia="de-DE"/>
        </w:rPr>
        <w:t xml:space="preserve"> </w:t>
      </w:r>
      <w:proofErr w:type="spellStart"/>
      <w:r w:rsidRPr="00A330A9">
        <w:rPr>
          <w:rFonts w:eastAsia="Times New Roman"/>
          <w:lang w:eastAsia="de-DE"/>
        </w:rPr>
        <w:t>συνάψητε</w:t>
      </w:r>
      <w:proofErr w:type="spellEnd"/>
      <w:r w:rsidRPr="00A330A9">
        <w:rPr>
          <w:rFonts w:eastAsia="Times New Roman"/>
          <w:lang w:eastAsia="de-DE"/>
        </w:rPr>
        <w:t xml:space="preserve"> α</w:t>
      </w:r>
      <w:proofErr w:type="spellStart"/>
      <w:r w:rsidRPr="00A330A9">
        <w:rPr>
          <w:rFonts w:eastAsia="Times New Roman"/>
          <w:lang w:eastAsia="de-DE"/>
        </w:rPr>
        <w:t>ὐτοῖς</w:t>
      </w:r>
      <w:proofErr w:type="spellEnd"/>
      <w:r w:rsidRPr="00A330A9">
        <w:rPr>
          <w:rFonts w:eastAsia="Times New Roman"/>
          <w:lang w:eastAsia="de-DE"/>
        </w:rPr>
        <w:t xml:space="preserve"> </w:t>
      </w:r>
      <w:proofErr w:type="spellStart"/>
      <w:r w:rsidRPr="00A330A9">
        <w:rPr>
          <w:rFonts w:eastAsia="Times New Roman"/>
          <w:lang w:eastAsia="de-DE"/>
        </w:rPr>
        <w:t>εἰς</w:t>
      </w:r>
      <w:proofErr w:type="spellEnd"/>
      <w:r w:rsidRPr="00A330A9">
        <w:rPr>
          <w:rFonts w:eastAsia="Times New Roman"/>
          <w:lang w:eastAsia="de-DE"/>
        </w:rPr>
        <w:t xml:space="preserve"> π</w:t>
      </w:r>
      <w:proofErr w:type="spellStart"/>
      <w:r w:rsidRPr="00A330A9">
        <w:rPr>
          <w:rFonts w:eastAsia="Times New Roman"/>
          <w:lang w:eastAsia="de-DE"/>
        </w:rPr>
        <w:t>όλεμον</w:t>
      </w:r>
      <w:proofErr w:type="spellEnd"/>
      <w:r w:rsidRPr="00A330A9">
        <w:rPr>
          <w:rFonts w:eastAsia="Times New Roman"/>
          <w:lang w:eastAsia="de-DE"/>
        </w:rPr>
        <w:t xml:space="preserve">, </w:t>
      </w:r>
      <w:proofErr w:type="spellStart"/>
      <w:r w:rsidRPr="00A330A9">
        <w:rPr>
          <w:rFonts w:eastAsia="Times New Roman"/>
          <w:lang w:eastAsia="de-DE"/>
        </w:rPr>
        <w:t>οὐ</w:t>
      </w:r>
      <w:proofErr w:type="spellEnd"/>
      <w:r w:rsidRPr="00A330A9">
        <w:rPr>
          <w:rFonts w:eastAsia="Times New Roman"/>
          <w:lang w:eastAsia="de-DE"/>
        </w:rPr>
        <w:t xml:space="preserve"> </w:t>
      </w:r>
      <w:proofErr w:type="spellStart"/>
      <w:r w:rsidRPr="00A330A9">
        <w:rPr>
          <w:rFonts w:eastAsia="Times New Roman"/>
          <w:lang w:eastAsia="de-DE"/>
        </w:rPr>
        <w:t>γὰρ</w:t>
      </w:r>
      <w:proofErr w:type="spellEnd"/>
      <w:r w:rsidRPr="00A330A9">
        <w:rPr>
          <w:rFonts w:eastAsia="Times New Roman"/>
          <w:lang w:eastAsia="de-DE"/>
        </w:rPr>
        <w:t xml:space="preserve"> </w:t>
      </w:r>
      <w:proofErr w:type="spellStart"/>
      <w:r w:rsidRPr="00A330A9">
        <w:rPr>
          <w:rFonts w:eastAsia="Times New Roman"/>
          <w:lang w:eastAsia="de-DE"/>
        </w:rPr>
        <w:t>μὴ</w:t>
      </w:r>
      <w:proofErr w:type="spellEnd"/>
      <w:r w:rsidRPr="00A330A9">
        <w:rPr>
          <w:rFonts w:eastAsia="Times New Roman"/>
          <w:lang w:eastAsia="de-DE"/>
        </w:rPr>
        <w:t xml:space="preserve"> </w:t>
      </w:r>
      <w:proofErr w:type="spellStart"/>
      <w:r w:rsidRPr="00A330A9">
        <w:rPr>
          <w:rFonts w:eastAsia="Times New Roman"/>
          <w:lang w:eastAsia="de-DE"/>
        </w:rPr>
        <w:t>δῶ</w:t>
      </w:r>
      <w:proofErr w:type="spellEnd"/>
      <w:r w:rsidRPr="00A330A9">
        <w:rPr>
          <w:rFonts w:eastAsia="Times New Roman"/>
          <w:lang w:eastAsia="de-DE"/>
        </w:rPr>
        <w:t xml:space="preserve"> ἀπὸ </w:t>
      </w:r>
      <w:proofErr w:type="spellStart"/>
      <w:r w:rsidRPr="00A330A9">
        <w:rPr>
          <w:rFonts w:eastAsia="Times New Roman"/>
          <w:lang w:eastAsia="de-DE"/>
        </w:rPr>
        <w:t>τῆς</w:t>
      </w:r>
      <w:proofErr w:type="spellEnd"/>
      <w:r w:rsidRPr="00A330A9">
        <w:rPr>
          <w:rFonts w:eastAsia="Times New Roman"/>
          <w:lang w:eastAsia="de-DE"/>
        </w:rPr>
        <w:t xml:space="preserve"> </w:t>
      </w:r>
      <w:proofErr w:type="spellStart"/>
      <w:r w:rsidRPr="00A330A9">
        <w:rPr>
          <w:rFonts w:eastAsia="Times New Roman"/>
          <w:lang w:eastAsia="de-DE"/>
        </w:rPr>
        <w:t>γῆς</w:t>
      </w:r>
      <w:proofErr w:type="spellEnd"/>
      <w:r w:rsidRPr="00A330A9">
        <w:rPr>
          <w:rFonts w:eastAsia="Times New Roman"/>
          <w:lang w:eastAsia="de-DE"/>
        </w:rPr>
        <w:t xml:space="preserve"> </w:t>
      </w:r>
      <w:proofErr w:type="spellStart"/>
      <w:r w:rsidRPr="00A330A9">
        <w:rPr>
          <w:rFonts w:eastAsia="Times New Roman"/>
          <w:lang w:eastAsia="de-DE"/>
        </w:rPr>
        <w:t>υἱῶν</w:t>
      </w:r>
      <w:proofErr w:type="spellEnd"/>
      <w:r w:rsidRPr="00A330A9">
        <w:rPr>
          <w:rFonts w:eastAsia="Times New Roman"/>
          <w:lang w:eastAsia="de-DE"/>
        </w:rPr>
        <w:t xml:space="preserve"> </w:t>
      </w:r>
      <w:proofErr w:type="spellStart"/>
      <w:r w:rsidRPr="00A330A9">
        <w:rPr>
          <w:rFonts w:eastAsia="Times New Roman"/>
          <w:lang w:eastAsia="de-DE"/>
        </w:rPr>
        <w:t>Αμμ</w:t>
      </w:r>
      <w:proofErr w:type="spellEnd"/>
      <w:r w:rsidRPr="00A330A9">
        <w:rPr>
          <w:rFonts w:eastAsia="Times New Roman"/>
          <w:lang w:eastAsia="de-DE"/>
        </w:rPr>
        <w:t xml:space="preserve">αν </w:t>
      </w:r>
      <w:proofErr w:type="spellStart"/>
      <w:r w:rsidRPr="00A330A9">
        <w:rPr>
          <w:rFonts w:eastAsia="Times New Roman"/>
          <w:lang w:eastAsia="de-DE"/>
        </w:rPr>
        <w:t>σοι</w:t>
      </w:r>
      <w:proofErr w:type="spellEnd"/>
      <w:r w:rsidRPr="00A330A9">
        <w:rPr>
          <w:rFonts w:eastAsia="Times New Roman"/>
          <w:lang w:eastAsia="de-DE"/>
        </w:rPr>
        <w:t xml:space="preserve"> </w:t>
      </w:r>
      <w:proofErr w:type="spellStart"/>
      <w:r w:rsidRPr="00A330A9">
        <w:rPr>
          <w:rFonts w:eastAsia="Times New Roman"/>
          <w:lang w:eastAsia="de-DE"/>
        </w:rPr>
        <w:t>ἐν</w:t>
      </w:r>
      <w:proofErr w:type="spellEnd"/>
      <w:r w:rsidRPr="00A330A9">
        <w:rPr>
          <w:rFonts w:eastAsia="Times New Roman"/>
          <w:lang w:eastAsia="de-DE"/>
        </w:rPr>
        <w:t xml:space="preserve"> </w:t>
      </w:r>
      <w:proofErr w:type="spellStart"/>
      <w:r w:rsidRPr="00A330A9">
        <w:rPr>
          <w:rFonts w:eastAsia="Times New Roman"/>
          <w:lang w:eastAsia="de-DE"/>
        </w:rPr>
        <w:t>κληρονομίᾳ</w:t>
      </w:r>
      <w:proofErr w:type="spellEnd"/>
      <w:r w:rsidRPr="00A330A9">
        <w:rPr>
          <w:rFonts w:eastAsia="Times New Roman"/>
          <w:lang w:eastAsia="de-DE"/>
        </w:rPr>
        <w:t xml:space="preserve">, </w:t>
      </w:r>
      <w:proofErr w:type="spellStart"/>
      <w:r w:rsidRPr="00A330A9">
        <w:rPr>
          <w:rFonts w:eastAsia="Times New Roman"/>
          <w:lang w:eastAsia="de-DE"/>
        </w:rPr>
        <w:t>ὅτι</w:t>
      </w:r>
      <w:proofErr w:type="spellEnd"/>
      <w:r w:rsidRPr="00A330A9">
        <w:rPr>
          <w:rFonts w:eastAsia="Times New Roman"/>
          <w:lang w:eastAsia="de-DE"/>
        </w:rPr>
        <w:t xml:space="preserve"> </w:t>
      </w:r>
      <w:proofErr w:type="spellStart"/>
      <w:r w:rsidRPr="00A330A9">
        <w:rPr>
          <w:rFonts w:eastAsia="Times New Roman"/>
          <w:lang w:eastAsia="de-DE"/>
        </w:rPr>
        <w:t>τοῖς</w:t>
      </w:r>
      <w:proofErr w:type="spellEnd"/>
      <w:r w:rsidRPr="00A330A9">
        <w:rPr>
          <w:rFonts w:eastAsia="Times New Roman"/>
          <w:lang w:eastAsia="de-DE"/>
        </w:rPr>
        <w:t xml:space="preserve"> </w:t>
      </w:r>
      <w:proofErr w:type="spellStart"/>
      <w:r w:rsidRPr="00A330A9">
        <w:rPr>
          <w:rFonts w:eastAsia="Times New Roman"/>
          <w:lang w:eastAsia="de-DE"/>
        </w:rPr>
        <w:t>υἱοῖς</w:t>
      </w:r>
      <w:proofErr w:type="spellEnd"/>
      <w:r w:rsidRPr="00A330A9">
        <w:rPr>
          <w:rFonts w:eastAsia="Times New Roman"/>
          <w:lang w:eastAsia="de-DE"/>
        </w:rPr>
        <w:t xml:space="preserve"> </w:t>
      </w:r>
      <w:proofErr w:type="spellStart"/>
      <w:r w:rsidRPr="00A330A9">
        <w:rPr>
          <w:rFonts w:eastAsia="Times New Roman"/>
          <w:lang w:eastAsia="de-DE"/>
        </w:rPr>
        <w:t>Λωτ</w:t>
      </w:r>
      <w:proofErr w:type="spellEnd"/>
      <w:r w:rsidRPr="00A330A9">
        <w:rPr>
          <w:rFonts w:eastAsia="Times New Roman"/>
          <w:lang w:eastAsia="de-DE"/>
        </w:rPr>
        <w:t xml:space="preserve"> </w:t>
      </w:r>
      <w:proofErr w:type="spellStart"/>
      <w:r w:rsidRPr="00A330A9">
        <w:rPr>
          <w:rFonts w:eastAsia="Times New Roman"/>
          <w:lang w:eastAsia="de-DE"/>
        </w:rPr>
        <w:t>δέδωκ</w:t>
      </w:r>
      <w:proofErr w:type="spellEnd"/>
      <w:r w:rsidRPr="00A330A9">
        <w:rPr>
          <w:rFonts w:eastAsia="Times New Roman"/>
          <w:lang w:eastAsia="de-DE"/>
        </w:rPr>
        <w:t>α α</w:t>
      </w:r>
      <w:proofErr w:type="spellStart"/>
      <w:r w:rsidRPr="00A330A9">
        <w:rPr>
          <w:rFonts w:eastAsia="Times New Roman"/>
          <w:lang w:eastAsia="de-DE"/>
        </w:rPr>
        <w:t>ὐτὴν</w:t>
      </w:r>
      <w:proofErr w:type="spellEnd"/>
      <w:r w:rsidRPr="00A330A9">
        <w:rPr>
          <w:rFonts w:eastAsia="Times New Roman"/>
          <w:lang w:eastAsia="de-DE"/>
        </w:rPr>
        <w:t xml:space="preserve"> </w:t>
      </w:r>
      <w:proofErr w:type="spellStart"/>
      <w:r w:rsidRPr="00A330A9">
        <w:rPr>
          <w:rFonts w:eastAsia="Times New Roman"/>
          <w:lang w:eastAsia="de-DE"/>
        </w:rPr>
        <w:t>ἐν</w:t>
      </w:r>
      <w:proofErr w:type="spellEnd"/>
      <w:r w:rsidRPr="00A330A9">
        <w:rPr>
          <w:rFonts w:eastAsia="Times New Roman"/>
          <w:lang w:eastAsia="de-DE"/>
        </w:rPr>
        <w:t xml:space="preserve"> </w:t>
      </w:r>
      <w:proofErr w:type="spellStart"/>
      <w:r w:rsidRPr="00A330A9">
        <w:rPr>
          <w:rFonts w:eastAsia="Times New Roman"/>
          <w:lang w:eastAsia="de-DE"/>
        </w:rPr>
        <w:t>κληρονομίᾳ</w:t>
      </w:r>
      <w:proofErr w:type="spellEnd"/>
      <w:r w:rsidRPr="00A330A9">
        <w:rPr>
          <w:rFonts w:eastAsia="Times New Roman"/>
          <w:lang w:eastAsia="de-DE"/>
        </w:rPr>
        <w:t>" („und ihr werdet nahe kommen den Söhnen Ammons, befeindet sie nicht und beginnt nicht mit ihnen Krieg, denn ich werde nicht geben von dem Land der Söhne Ammons dir als Erbe, weil ich es den Söhnen Lots als Erbe gegeben habe").</w:t>
      </w:r>
    </w:p>
    <w:p w14:paraId="2B5F8FC7"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lang w:eastAsia="de-DE"/>
        </w:rPr>
        <w:t>Die Satzstruktur besteht aus einem Hauptsatz (</w:t>
      </w:r>
      <w:r w:rsidRPr="00A330A9">
        <w:rPr>
          <w:rFonts w:eastAsia="Times New Roman"/>
          <w:b/>
          <w:bCs/>
          <w:rtl/>
          <w:lang w:eastAsia="de-DE"/>
        </w:rPr>
        <w:t>וְקָרַבְתָּ מוּל בְּנֵי עַמּוֹן</w:t>
      </w:r>
      <w:r w:rsidRPr="00A330A9">
        <w:rPr>
          <w:rFonts w:eastAsia="Times New Roman"/>
          <w:lang w:eastAsia="de-DE"/>
        </w:rPr>
        <w:t>), zwei Prohibitiven (</w:t>
      </w:r>
      <w:r w:rsidRPr="00A330A9">
        <w:rPr>
          <w:rFonts w:eastAsia="Times New Roman"/>
          <w:b/>
          <w:bCs/>
          <w:rtl/>
          <w:lang w:eastAsia="de-DE"/>
        </w:rPr>
        <w:t>אַל־תְּצֻרֵם וְאַל־תִּתְגָּר בָּם</w:t>
      </w:r>
      <w:r w:rsidRPr="00A330A9">
        <w:rPr>
          <w:rFonts w:eastAsia="Times New Roman"/>
          <w:lang w:eastAsia="de-DE"/>
        </w:rPr>
        <w:t>), und zwei kausalen Begründungen (</w:t>
      </w:r>
      <w:r w:rsidRPr="00A330A9">
        <w:rPr>
          <w:rFonts w:eastAsia="Times New Roman"/>
          <w:b/>
          <w:bCs/>
          <w:rtl/>
          <w:lang w:eastAsia="de-DE"/>
        </w:rPr>
        <w:t>כִּי לֹא־אֶתֵּן</w:t>
      </w:r>
      <w:r w:rsidRPr="00A330A9">
        <w:rPr>
          <w:rFonts w:eastAsia="Times New Roman"/>
          <w:b/>
          <w:bCs/>
          <w:lang w:eastAsia="de-DE"/>
        </w:rPr>
        <w:t>...</w:t>
      </w:r>
      <w:r w:rsidRPr="00A330A9">
        <w:rPr>
          <w:rFonts w:eastAsia="Times New Roman"/>
          <w:lang w:eastAsia="de-DE"/>
        </w:rPr>
        <w:t xml:space="preserve"> und </w:t>
      </w:r>
      <w:r w:rsidRPr="00A330A9">
        <w:rPr>
          <w:rFonts w:eastAsia="Times New Roman"/>
          <w:b/>
          <w:bCs/>
          <w:rtl/>
          <w:lang w:eastAsia="de-DE"/>
        </w:rPr>
        <w:t>כִּי לִבְנֵי־לוֹט נְתַתִּיהָ יְרֻשָּׁה</w:t>
      </w:r>
      <w:r w:rsidRPr="00A330A9">
        <w:rPr>
          <w:rFonts w:eastAsia="Times New Roman"/>
          <w:lang w:eastAsia="de-DE"/>
        </w:rPr>
        <w:t>).</w:t>
      </w:r>
    </w:p>
    <w:p w14:paraId="0C1B812A"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lang w:eastAsia="de-DE"/>
        </w:rPr>
        <w:t>Der Vers gibt eine dritte Schutzanweisung, nun für Ammon (nach Edom in V. 4-5 und Moab in V. 9). Die Ammoniter sind ebenfalls Nachkommen Lots (Gen 19,38) und haben daher ein von JHWH garantiertes Landrecht. Israel darf sie weder bedrängen noch angreifen. Dies zeigt erneut JHWHs souveräne Landverteilung an verschiedene Völker.</w:t>
      </w:r>
    </w:p>
    <w:p w14:paraId="1636E0C2" w14:textId="77777777" w:rsidR="00A330A9" w:rsidRPr="00A330A9" w:rsidRDefault="00A330A9" w:rsidP="00A330A9">
      <w:pPr>
        <w:spacing w:before="100" w:beforeAutospacing="1" w:after="100" w:afterAutospacing="1" w:line="240" w:lineRule="auto"/>
        <w:outlineLvl w:val="1"/>
        <w:rPr>
          <w:rFonts w:eastAsia="Times New Roman"/>
          <w:b/>
          <w:bCs/>
          <w:sz w:val="36"/>
          <w:szCs w:val="36"/>
          <w:lang w:eastAsia="de-DE"/>
        </w:rPr>
      </w:pPr>
      <w:r w:rsidRPr="00A330A9">
        <w:rPr>
          <w:rFonts w:eastAsia="Times New Roman"/>
          <w:b/>
          <w:bCs/>
          <w:sz w:val="36"/>
          <w:szCs w:val="36"/>
          <w:lang w:eastAsia="de-DE"/>
        </w:rPr>
        <w:t>Deuteronomium 2,20</w:t>
      </w:r>
    </w:p>
    <w:p w14:paraId="5259244E"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Hebräisch:</w:t>
      </w:r>
      <w:r w:rsidRPr="00A330A9">
        <w:rPr>
          <w:rFonts w:eastAsia="Times New Roman"/>
          <w:lang w:eastAsia="de-DE"/>
        </w:rPr>
        <w:t xml:space="preserve"> </w:t>
      </w:r>
      <w:r w:rsidRPr="00A330A9">
        <w:rPr>
          <w:rFonts w:eastAsia="Times New Roman"/>
          <w:rtl/>
          <w:lang w:eastAsia="de-DE"/>
        </w:rPr>
        <w:t>אֶֽרֶץ־רְפָאִ֥ים תֵּחָשֵׁ֖ב אַף־הִ֑וא רְפָאִ֤ים יָֽשְׁבוּ־בָהּ֙ לְפָנִ֔ים וְהָֽעַמֹּנִ֔ים יִקְרְא֥וּ לָהֶ֖ם זַמְזֻמִּֽים׃</w:t>
      </w:r>
    </w:p>
    <w:p w14:paraId="40D29628" w14:textId="2471C8C1"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Deutsch:</w:t>
      </w:r>
      <w:r w:rsidRPr="00A330A9">
        <w:rPr>
          <w:rFonts w:eastAsia="Times New Roman"/>
          <w:lang w:eastAsia="de-DE"/>
        </w:rPr>
        <w:t xml:space="preserve"> Auch dieses wird für ein Land der </w:t>
      </w:r>
      <w:r w:rsidR="00D91A0B">
        <w:rPr>
          <w:rFonts w:eastAsia="Times New Roman"/>
          <w:lang w:eastAsia="de-DE"/>
        </w:rPr>
        <w:t>Ephraim</w:t>
      </w:r>
      <w:r w:rsidRPr="00A330A9">
        <w:rPr>
          <w:rFonts w:eastAsia="Times New Roman"/>
          <w:lang w:eastAsia="de-DE"/>
        </w:rPr>
        <w:t xml:space="preserve"> gehalten; </w:t>
      </w:r>
      <w:r w:rsidR="00D91A0B">
        <w:rPr>
          <w:rFonts w:eastAsia="Times New Roman"/>
          <w:lang w:eastAsia="de-DE"/>
        </w:rPr>
        <w:t>Ephraim</w:t>
      </w:r>
      <w:r w:rsidRPr="00A330A9">
        <w:rPr>
          <w:rFonts w:eastAsia="Times New Roman"/>
          <w:lang w:eastAsia="de-DE"/>
        </w:rPr>
        <w:t xml:space="preserve"> wohnten vorher darin, und die Ammonim nennen sie Samsumim.</w:t>
      </w:r>
    </w:p>
    <w:p w14:paraId="69D763DB" w14:textId="77777777" w:rsidR="00A330A9" w:rsidRPr="00A330A9" w:rsidRDefault="004F5CEB" w:rsidP="00A330A9">
      <w:pPr>
        <w:spacing w:after="0" w:line="240" w:lineRule="auto"/>
        <w:rPr>
          <w:rFonts w:eastAsia="Times New Roman"/>
          <w:lang w:eastAsia="de-DE"/>
        </w:rPr>
      </w:pPr>
      <w:r>
        <w:rPr>
          <w:rFonts w:eastAsia="Times New Roman"/>
          <w:noProof/>
          <w:lang w:eastAsia="de-DE"/>
        </w:rPr>
        <w:pict w14:anchorId="4C30A748">
          <v:rect id="_x0000_i1090" style="width:0;height:1.5pt" o:hralign="center" o:hrstd="t" o:hr="t" fillcolor="#a0a0a0" stroked="f"/>
        </w:pict>
      </w:r>
    </w:p>
    <w:p w14:paraId="071EB4E9" w14:textId="67CBF22D"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Kommentar:</w:t>
      </w:r>
      <w:r w:rsidRPr="00A330A9">
        <w:rPr>
          <w:rFonts w:eastAsia="Times New Roman"/>
          <w:lang w:eastAsia="de-DE"/>
        </w:rPr>
        <w:t xml:space="preserve"> </w:t>
      </w:r>
      <w:r w:rsidRPr="00A330A9">
        <w:rPr>
          <w:rFonts w:eastAsia="Times New Roman"/>
          <w:b/>
          <w:bCs/>
          <w:rtl/>
          <w:lang w:eastAsia="de-DE"/>
        </w:rPr>
        <w:t>אֶרֶץ־רְפָאִים תֵּחָשֵׁב אַף־הִוא</w:t>
      </w:r>
      <w:r w:rsidRPr="00A330A9">
        <w:rPr>
          <w:rFonts w:eastAsia="Times New Roman"/>
          <w:rtl/>
          <w:lang w:eastAsia="de-DE"/>
        </w:rPr>
        <w:t xml:space="preserve"> </w:t>
      </w:r>
      <w:r w:rsidRPr="00A330A9">
        <w:rPr>
          <w:rFonts w:eastAsia="Times New Roman"/>
          <w:lang w:eastAsia="de-DE"/>
        </w:rPr>
        <w:t xml:space="preserve">ist ein Nominalsatz: </w:t>
      </w:r>
      <w:r w:rsidRPr="00A330A9">
        <w:rPr>
          <w:rFonts w:eastAsia="Times New Roman"/>
          <w:b/>
          <w:bCs/>
          <w:rtl/>
          <w:lang w:eastAsia="de-DE"/>
        </w:rPr>
        <w:t>אֶרֶץ־רְפָאִים</w:t>
      </w:r>
      <w:r w:rsidRPr="00A330A9">
        <w:rPr>
          <w:rFonts w:eastAsia="Times New Roman"/>
          <w:rtl/>
          <w:lang w:eastAsia="de-DE"/>
        </w:rPr>
        <w:t xml:space="preserve"> </w:t>
      </w:r>
      <w:r w:rsidRPr="00A330A9">
        <w:rPr>
          <w:rFonts w:eastAsia="Times New Roman"/>
          <w:lang w:eastAsia="de-DE"/>
        </w:rPr>
        <w:t>(</w:t>
      </w:r>
      <w:r w:rsidR="0032647F">
        <w:rPr>
          <w:rFonts w:eastAsia="Times New Roman"/>
          <w:lang w:eastAsia="de-DE"/>
        </w:rPr>
        <w:t>Construct</w:t>
      </w:r>
      <w:r w:rsidRPr="00A330A9">
        <w:rPr>
          <w:rFonts w:eastAsia="Times New Roman"/>
          <w:lang w:eastAsia="de-DE"/>
        </w:rPr>
        <w:t xml:space="preserve">usverbindung „Land der </w:t>
      </w:r>
      <w:r w:rsidR="00D91A0B">
        <w:rPr>
          <w:rFonts w:eastAsia="Times New Roman"/>
          <w:lang w:eastAsia="de-DE"/>
        </w:rPr>
        <w:t>Ephraim</w:t>
      </w:r>
      <w:r w:rsidRPr="00A330A9">
        <w:rPr>
          <w:rFonts w:eastAsia="Times New Roman"/>
          <w:lang w:eastAsia="de-DE"/>
        </w:rPr>
        <w:t xml:space="preserve">") als vorangestelltes Prädikatsnomen, </w:t>
      </w:r>
      <w:r w:rsidRPr="00A330A9">
        <w:rPr>
          <w:rFonts w:eastAsia="Times New Roman"/>
          <w:b/>
          <w:bCs/>
          <w:rtl/>
          <w:lang w:eastAsia="de-DE"/>
        </w:rPr>
        <w:t>תֵּחָשֵׁב</w:t>
      </w:r>
      <w:r w:rsidRPr="00A330A9">
        <w:rPr>
          <w:rFonts w:eastAsia="Times New Roman"/>
          <w:rtl/>
          <w:lang w:eastAsia="de-DE"/>
        </w:rPr>
        <w:t xml:space="preserve"> </w:t>
      </w:r>
      <w:r w:rsidRPr="00A330A9">
        <w:rPr>
          <w:rFonts w:eastAsia="Times New Roman"/>
          <w:lang w:eastAsia="de-DE"/>
        </w:rPr>
        <w:t xml:space="preserve">(Nif'al Imperfekt, 3. Person feminin Singular von </w:t>
      </w:r>
      <w:r w:rsidRPr="00A330A9">
        <w:rPr>
          <w:rFonts w:eastAsia="Times New Roman"/>
          <w:rtl/>
          <w:lang w:eastAsia="de-DE"/>
        </w:rPr>
        <w:t>חשׁב</w:t>
      </w:r>
      <w:r w:rsidRPr="00A330A9">
        <w:rPr>
          <w:rFonts w:eastAsia="Times New Roman"/>
          <w:lang w:eastAsia="de-DE"/>
        </w:rPr>
        <w:t xml:space="preserve"> „gerechnet werden, gelten als"), </w:t>
      </w:r>
      <w:r w:rsidRPr="00A330A9">
        <w:rPr>
          <w:rFonts w:eastAsia="Times New Roman"/>
          <w:b/>
          <w:bCs/>
          <w:rtl/>
          <w:lang w:eastAsia="de-DE"/>
        </w:rPr>
        <w:t>אַף־הִוא</w:t>
      </w:r>
      <w:r w:rsidRPr="00A330A9">
        <w:rPr>
          <w:rFonts w:eastAsia="Times New Roman"/>
          <w:rtl/>
          <w:lang w:eastAsia="de-DE"/>
        </w:rPr>
        <w:t xml:space="preserve"> </w:t>
      </w:r>
      <w:r w:rsidRPr="00A330A9">
        <w:rPr>
          <w:rFonts w:eastAsia="Times New Roman"/>
          <w:lang w:eastAsia="de-DE"/>
        </w:rPr>
        <w:t>(</w:t>
      </w:r>
      <w:r w:rsidRPr="00A330A9">
        <w:rPr>
          <w:rFonts w:eastAsia="Times New Roman"/>
          <w:b/>
          <w:bCs/>
          <w:rtl/>
          <w:lang w:eastAsia="de-DE"/>
        </w:rPr>
        <w:t>אַף</w:t>
      </w:r>
      <w:r w:rsidRPr="00A330A9">
        <w:rPr>
          <w:rFonts w:eastAsia="Times New Roman"/>
          <w:rtl/>
          <w:lang w:eastAsia="de-DE"/>
        </w:rPr>
        <w:t xml:space="preserve"> </w:t>
      </w:r>
      <w:r w:rsidRPr="00A330A9">
        <w:rPr>
          <w:rFonts w:eastAsia="Times New Roman"/>
          <w:lang w:eastAsia="de-DE"/>
        </w:rPr>
        <w:t xml:space="preserve">„auch" mit Personalpronomen 3. Person maskulin Singular </w:t>
      </w:r>
      <w:r w:rsidRPr="00A330A9">
        <w:rPr>
          <w:rFonts w:eastAsia="Times New Roman"/>
          <w:b/>
          <w:bCs/>
          <w:rtl/>
          <w:lang w:eastAsia="de-DE"/>
        </w:rPr>
        <w:t>הוּא</w:t>
      </w:r>
      <w:r w:rsidRPr="00A330A9">
        <w:rPr>
          <w:rFonts w:eastAsia="Times New Roman"/>
          <w:lang w:eastAsia="de-DE"/>
        </w:rPr>
        <w:t xml:space="preserve">, bezogen auf das Land </w:t>
      </w:r>
      <w:r w:rsidRPr="00A330A9">
        <w:rPr>
          <w:rFonts w:eastAsia="Times New Roman"/>
          <w:lang w:eastAsia="de-DE"/>
        </w:rPr>
        <w:lastRenderedPageBreak/>
        <w:t xml:space="preserve">Ammons). Die feminine Form des Verbs kongruiert mit dem impliziten femininen Subjekt </w:t>
      </w:r>
      <w:r w:rsidRPr="00A330A9">
        <w:rPr>
          <w:rFonts w:eastAsia="Times New Roman"/>
          <w:b/>
          <w:bCs/>
          <w:rtl/>
          <w:lang w:eastAsia="de-DE"/>
        </w:rPr>
        <w:t>אֶרֶץ</w:t>
      </w:r>
      <w:r w:rsidRPr="00A330A9">
        <w:rPr>
          <w:rFonts w:eastAsia="Times New Roman"/>
          <w:lang w:eastAsia="de-DE"/>
        </w:rPr>
        <w:t>.</w:t>
      </w:r>
    </w:p>
    <w:p w14:paraId="400EF4C9"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rtl/>
          <w:lang w:eastAsia="de-DE"/>
        </w:rPr>
        <w:t>רְפָאִים יָשְׁבוּ־בָהּ לְפָנִים</w:t>
      </w:r>
      <w:r w:rsidRPr="00A330A9">
        <w:rPr>
          <w:rFonts w:eastAsia="Times New Roman"/>
          <w:rtl/>
          <w:lang w:eastAsia="de-DE"/>
        </w:rPr>
        <w:t xml:space="preserve"> </w:t>
      </w:r>
      <w:r w:rsidRPr="00A330A9">
        <w:rPr>
          <w:rFonts w:eastAsia="Times New Roman"/>
          <w:lang w:eastAsia="de-DE"/>
        </w:rPr>
        <w:t xml:space="preserve">ist parallel zu V. 10-11: </w:t>
      </w:r>
      <w:r w:rsidRPr="00A330A9">
        <w:rPr>
          <w:rFonts w:eastAsia="Times New Roman"/>
          <w:b/>
          <w:bCs/>
          <w:rtl/>
          <w:lang w:eastAsia="de-DE"/>
        </w:rPr>
        <w:t>רְפָאִים</w:t>
      </w:r>
      <w:r w:rsidRPr="00A330A9">
        <w:rPr>
          <w:rFonts w:eastAsia="Times New Roman"/>
          <w:rtl/>
          <w:lang w:eastAsia="de-DE"/>
        </w:rPr>
        <w:t xml:space="preserve"> </w:t>
      </w:r>
      <w:r w:rsidRPr="00A330A9">
        <w:rPr>
          <w:rFonts w:eastAsia="Times New Roman"/>
          <w:lang w:eastAsia="de-DE"/>
        </w:rPr>
        <w:t xml:space="preserve">als Subjekt, </w:t>
      </w:r>
      <w:r w:rsidRPr="00A330A9">
        <w:rPr>
          <w:rFonts w:eastAsia="Times New Roman"/>
          <w:b/>
          <w:bCs/>
          <w:rtl/>
          <w:lang w:eastAsia="de-DE"/>
        </w:rPr>
        <w:t>יָשְׁבוּ</w:t>
      </w:r>
      <w:r w:rsidRPr="00A330A9">
        <w:rPr>
          <w:rFonts w:eastAsia="Times New Roman"/>
          <w:rtl/>
          <w:lang w:eastAsia="de-DE"/>
        </w:rPr>
        <w:t xml:space="preserve"> </w:t>
      </w:r>
      <w:r w:rsidRPr="00A330A9">
        <w:rPr>
          <w:rFonts w:eastAsia="Times New Roman"/>
          <w:lang w:eastAsia="de-DE"/>
        </w:rPr>
        <w:t xml:space="preserve">(Qal Perfekt, 3. Person Plural von </w:t>
      </w:r>
      <w:r w:rsidRPr="00A330A9">
        <w:rPr>
          <w:rFonts w:eastAsia="Times New Roman"/>
          <w:rtl/>
          <w:lang w:eastAsia="de-DE"/>
        </w:rPr>
        <w:t>ישׁב</w:t>
      </w:r>
      <w:r w:rsidRPr="00A330A9">
        <w:rPr>
          <w:rFonts w:eastAsia="Times New Roman"/>
          <w:lang w:eastAsia="de-DE"/>
        </w:rPr>
        <w:t xml:space="preserve">), </w:t>
      </w:r>
      <w:r w:rsidRPr="00A330A9">
        <w:rPr>
          <w:rFonts w:eastAsia="Times New Roman"/>
          <w:b/>
          <w:bCs/>
          <w:rtl/>
          <w:lang w:eastAsia="de-DE"/>
        </w:rPr>
        <w:t>בָהּ</w:t>
      </w:r>
      <w:r w:rsidRPr="00A330A9">
        <w:rPr>
          <w:rFonts w:eastAsia="Times New Roman"/>
          <w:rtl/>
          <w:lang w:eastAsia="de-DE"/>
        </w:rPr>
        <w:t xml:space="preserve"> </w:t>
      </w:r>
      <w:r w:rsidRPr="00A330A9">
        <w:rPr>
          <w:rFonts w:eastAsia="Times New Roman"/>
          <w:lang w:eastAsia="de-DE"/>
        </w:rPr>
        <w:t>(</w:t>
      </w:r>
      <w:r w:rsidRPr="00A330A9">
        <w:rPr>
          <w:rFonts w:eastAsia="Times New Roman"/>
          <w:b/>
          <w:bCs/>
          <w:rtl/>
          <w:lang w:eastAsia="de-DE"/>
        </w:rPr>
        <w:t>בְּ</w:t>
      </w:r>
      <w:r w:rsidRPr="00A330A9">
        <w:rPr>
          <w:rFonts w:eastAsia="Times New Roman"/>
          <w:rtl/>
          <w:lang w:eastAsia="de-DE"/>
        </w:rPr>
        <w:t xml:space="preserve"> </w:t>
      </w:r>
      <w:r w:rsidRPr="00A330A9">
        <w:rPr>
          <w:rFonts w:eastAsia="Times New Roman"/>
          <w:lang w:eastAsia="de-DE"/>
        </w:rPr>
        <w:t xml:space="preserve">mit femininem Suffix bezogen auf </w:t>
      </w:r>
      <w:r w:rsidRPr="00A330A9">
        <w:rPr>
          <w:rFonts w:eastAsia="Times New Roman"/>
          <w:b/>
          <w:bCs/>
          <w:rtl/>
          <w:lang w:eastAsia="de-DE"/>
        </w:rPr>
        <w:t>אֶרֶץ</w:t>
      </w:r>
      <w:r w:rsidRPr="00A330A9">
        <w:rPr>
          <w:rFonts w:eastAsia="Times New Roman"/>
          <w:lang w:eastAsia="de-DE"/>
        </w:rPr>
        <w:t xml:space="preserve">), </w:t>
      </w:r>
      <w:r w:rsidRPr="00A330A9">
        <w:rPr>
          <w:rFonts w:eastAsia="Times New Roman"/>
          <w:b/>
          <w:bCs/>
          <w:rtl/>
          <w:lang w:eastAsia="de-DE"/>
        </w:rPr>
        <w:t>לְפָנִים</w:t>
      </w:r>
      <w:r w:rsidRPr="00A330A9">
        <w:rPr>
          <w:rFonts w:eastAsia="Times New Roman"/>
          <w:rtl/>
          <w:lang w:eastAsia="de-DE"/>
        </w:rPr>
        <w:t xml:space="preserve"> </w:t>
      </w:r>
      <w:r w:rsidRPr="00A330A9">
        <w:rPr>
          <w:rFonts w:eastAsia="Times New Roman"/>
          <w:lang w:eastAsia="de-DE"/>
        </w:rPr>
        <w:t>(„vorher").</w:t>
      </w:r>
    </w:p>
    <w:p w14:paraId="18D187F5" w14:textId="7BD1B779"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rtl/>
          <w:lang w:eastAsia="de-DE"/>
        </w:rPr>
        <w:t>וְהָעַמֹּנִים יִקְרְאוּ לָהֶם זַמְזֻמִּים</w:t>
      </w:r>
      <w:r w:rsidRPr="00A330A9">
        <w:rPr>
          <w:rFonts w:eastAsia="Times New Roman"/>
          <w:rtl/>
          <w:lang w:eastAsia="de-DE"/>
        </w:rPr>
        <w:t xml:space="preserve"> </w:t>
      </w:r>
      <w:r w:rsidRPr="00A330A9">
        <w:rPr>
          <w:rFonts w:eastAsia="Times New Roman"/>
          <w:lang w:eastAsia="de-DE"/>
        </w:rPr>
        <w:t xml:space="preserve">ist parallel zu V. 11: </w:t>
      </w:r>
      <w:r w:rsidRPr="00A330A9">
        <w:rPr>
          <w:rFonts w:eastAsia="Times New Roman"/>
          <w:b/>
          <w:bCs/>
          <w:rtl/>
          <w:lang w:eastAsia="de-DE"/>
        </w:rPr>
        <w:t>וְהָעַמֹּנִים</w:t>
      </w:r>
      <w:r w:rsidRPr="00A330A9">
        <w:rPr>
          <w:rFonts w:eastAsia="Times New Roman"/>
          <w:rtl/>
          <w:lang w:eastAsia="de-DE"/>
        </w:rPr>
        <w:t xml:space="preserve"> </w:t>
      </w:r>
      <w:r w:rsidRPr="00A330A9">
        <w:rPr>
          <w:rFonts w:eastAsia="Times New Roman"/>
          <w:lang w:eastAsia="de-DE"/>
        </w:rPr>
        <w:t>(</w:t>
      </w:r>
      <w:r w:rsidR="00C13523">
        <w:rPr>
          <w:rFonts w:eastAsia="Times New Roman"/>
          <w:lang w:eastAsia="de-DE"/>
        </w:rPr>
        <w:t>Gentilicum</w:t>
      </w:r>
      <w:r w:rsidRPr="00A330A9">
        <w:rPr>
          <w:rFonts w:eastAsia="Times New Roman"/>
          <w:lang w:eastAsia="de-DE"/>
        </w:rPr>
        <w:t xml:space="preserve"> „die Ammoniter" mit Artikel), </w:t>
      </w:r>
      <w:r w:rsidRPr="00A330A9">
        <w:rPr>
          <w:rFonts w:eastAsia="Times New Roman"/>
          <w:b/>
          <w:bCs/>
          <w:rtl/>
          <w:lang w:eastAsia="de-DE"/>
        </w:rPr>
        <w:t>יִקְרְאוּ לָהֶם</w:t>
      </w:r>
      <w:r w:rsidRPr="00A330A9">
        <w:rPr>
          <w:rFonts w:eastAsia="Times New Roman"/>
          <w:rtl/>
          <w:lang w:eastAsia="de-DE"/>
        </w:rPr>
        <w:t xml:space="preserve"> </w:t>
      </w:r>
      <w:r w:rsidRPr="00A330A9">
        <w:rPr>
          <w:rFonts w:eastAsia="Times New Roman"/>
          <w:lang w:eastAsia="de-DE"/>
        </w:rPr>
        <w:t xml:space="preserve">(Qal Imperfekt, 3. Person Plural von </w:t>
      </w:r>
      <w:r w:rsidRPr="00A330A9">
        <w:rPr>
          <w:rFonts w:eastAsia="Times New Roman"/>
          <w:rtl/>
          <w:lang w:eastAsia="de-DE"/>
        </w:rPr>
        <w:t>קרא</w:t>
      </w:r>
      <w:r w:rsidRPr="00A330A9">
        <w:rPr>
          <w:rFonts w:eastAsia="Times New Roman"/>
          <w:lang w:eastAsia="de-DE"/>
        </w:rPr>
        <w:t xml:space="preserve"> mit </w:t>
      </w:r>
      <w:r w:rsidRPr="00A330A9">
        <w:rPr>
          <w:rFonts w:eastAsia="Times New Roman"/>
          <w:b/>
          <w:bCs/>
          <w:rtl/>
          <w:lang w:eastAsia="de-DE"/>
        </w:rPr>
        <w:t>לְ</w:t>
      </w:r>
      <w:r w:rsidRPr="00A330A9">
        <w:rPr>
          <w:rFonts w:eastAsia="Times New Roman"/>
          <w:rtl/>
          <w:lang w:eastAsia="de-DE"/>
        </w:rPr>
        <w:t xml:space="preserve"> </w:t>
      </w:r>
      <w:r w:rsidRPr="00A330A9">
        <w:rPr>
          <w:rFonts w:eastAsia="Times New Roman"/>
          <w:lang w:eastAsia="de-DE"/>
        </w:rPr>
        <w:t xml:space="preserve">und Suffix 3. Person Plural), </w:t>
      </w:r>
      <w:r w:rsidRPr="00A330A9">
        <w:rPr>
          <w:rFonts w:eastAsia="Times New Roman"/>
          <w:b/>
          <w:bCs/>
          <w:rtl/>
          <w:lang w:eastAsia="de-DE"/>
        </w:rPr>
        <w:t>זַמְזֻמִּים</w:t>
      </w:r>
      <w:r w:rsidRPr="00A330A9">
        <w:rPr>
          <w:rFonts w:eastAsia="Times New Roman"/>
          <w:rtl/>
          <w:lang w:eastAsia="de-DE"/>
        </w:rPr>
        <w:t xml:space="preserve"> </w:t>
      </w:r>
      <w:r w:rsidRPr="00A330A9">
        <w:rPr>
          <w:rFonts w:eastAsia="Times New Roman"/>
          <w:lang w:eastAsia="de-DE"/>
        </w:rPr>
        <w:t xml:space="preserve">(Plural, Völkername „Samsummim"), der ammonitische Lokalname für die </w:t>
      </w:r>
      <w:r w:rsidR="00D91A0B">
        <w:rPr>
          <w:rFonts w:eastAsia="Times New Roman"/>
          <w:lang w:eastAsia="de-DE"/>
        </w:rPr>
        <w:t>Ephraim</w:t>
      </w:r>
      <w:r w:rsidRPr="00A330A9">
        <w:rPr>
          <w:rFonts w:eastAsia="Times New Roman"/>
          <w:lang w:eastAsia="de-DE"/>
        </w:rPr>
        <w:t>.</w:t>
      </w:r>
    </w:p>
    <w:p w14:paraId="395979AD"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Die LXX</w:t>
      </w:r>
      <w:r w:rsidRPr="00A330A9">
        <w:rPr>
          <w:rFonts w:eastAsia="Times New Roman"/>
          <w:lang w:eastAsia="de-DE"/>
        </w:rPr>
        <w:t xml:space="preserve"> übersetzt „</w:t>
      </w:r>
      <w:proofErr w:type="spellStart"/>
      <w:r w:rsidRPr="00A330A9">
        <w:rPr>
          <w:rFonts w:eastAsia="Times New Roman"/>
          <w:lang w:eastAsia="de-DE"/>
        </w:rPr>
        <w:t>γῆ</w:t>
      </w:r>
      <w:proofErr w:type="spellEnd"/>
      <w:r w:rsidRPr="00A330A9">
        <w:rPr>
          <w:rFonts w:eastAsia="Times New Roman"/>
          <w:lang w:eastAsia="de-DE"/>
        </w:rPr>
        <w:t xml:space="preserve"> Ραφα</w:t>
      </w:r>
      <w:proofErr w:type="spellStart"/>
      <w:r w:rsidRPr="00A330A9">
        <w:rPr>
          <w:rFonts w:eastAsia="Times New Roman"/>
          <w:lang w:eastAsia="de-DE"/>
        </w:rPr>
        <w:t>ϊν</w:t>
      </w:r>
      <w:proofErr w:type="spellEnd"/>
      <w:r w:rsidRPr="00A330A9">
        <w:rPr>
          <w:rFonts w:eastAsia="Times New Roman"/>
          <w:lang w:eastAsia="de-DE"/>
        </w:rPr>
        <w:t xml:space="preserve"> </w:t>
      </w:r>
      <w:proofErr w:type="spellStart"/>
      <w:r w:rsidRPr="00A330A9">
        <w:rPr>
          <w:rFonts w:eastAsia="Times New Roman"/>
          <w:lang w:eastAsia="de-DE"/>
        </w:rPr>
        <w:t>λογισθήσετ</w:t>
      </w:r>
      <w:proofErr w:type="spellEnd"/>
      <w:r w:rsidRPr="00A330A9">
        <w:rPr>
          <w:rFonts w:eastAsia="Times New Roman"/>
          <w:lang w:eastAsia="de-DE"/>
        </w:rPr>
        <w:t xml:space="preserve">αι καὶ </w:t>
      </w:r>
      <w:proofErr w:type="spellStart"/>
      <w:r w:rsidRPr="00A330A9">
        <w:rPr>
          <w:rFonts w:eastAsia="Times New Roman"/>
          <w:lang w:eastAsia="de-DE"/>
        </w:rPr>
        <w:t>γὰρ</w:t>
      </w:r>
      <w:proofErr w:type="spellEnd"/>
      <w:r w:rsidRPr="00A330A9">
        <w:rPr>
          <w:rFonts w:eastAsia="Times New Roman"/>
          <w:lang w:eastAsia="de-DE"/>
        </w:rPr>
        <w:t xml:space="preserve"> ἐπ' α</w:t>
      </w:r>
      <w:proofErr w:type="spellStart"/>
      <w:r w:rsidRPr="00A330A9">
        <w:rPr>
          <w:rFonts w:eastAsia="Times New Roman"/>
          <w:lang w:eastAsia="de-DE"/>
        </w:rPr>
        <w:t>ὐτῆς</w:t>
      </w:r>
      <w:proofErr w:type="spellEnd"/>
      <w:r w:rsidRPr="00A330A9">
        <w:rPr>
          <w:rFonts w:eastAsia="Times New Roman"/>
          <w:lang w:eastAsia="de-DE"/>
        </w:rPr>
        <w:t xml:space="preserve"> κα</w:t>
      </w:r>
      <w:proofErr w:type="spellStart"/>
      <w:r w:rsidRPr="00A330A9">
        <w:rPr>
          <w:rFonts w:eastAsia="Times New Roman"/>
          <w:lang w:eastAsia="de-DE"/>
        </w:rPr>
        <w:t>τῴκουν</w:t>
      </w:r>
      <w:proofErr w:type="spellEnd"/>
      <w:r w:rsidRPr="00A330A9">
        <w:rPr>
          <w:rFonts w:eastAsia="Times New Roman"/>
          <w:lang w:eastAsia="de-DE"/>
        </w:rPr>
        <w:t xml:space="preserve"> </w:t>
      </w:r>
      <w:proofErr w:type="spellStart"/>
      <w:r w:rsidRPr="00A330A9">
        <w:rPr>
          <w:rFonts w:eastAsia="Times New Roman"/>
          <w:lang w:eastAsia="de-DE"/>
        </w:rPr>
        <w:t>οἱ</w:t>
      </w:r>
      <w:proofErr w:type="spellEnd"/>
      <w:r w:rsidRPr="00A330A9">
        <w:rPr>
          <w:rFonts w:eastAsia="Times New Roman"/>
          <w:lang w:eastAsia="de-DE"/>
        </w:rPr>
        <w:t xml:space="preserve"> Ραφα</w:t>
      </w:r>
      <w:proofErr w:type="spellStart"/>
      <w:r w:rsidRPr="00A330A9">
        <w:rPr>
          <w:rFonts w:eastAsia="Times New Roman"/>
          <w:lang w:eastAsia="de-DE"/>
        </w:rPr>
        <w:t>ϊν</w:t>
      </w:r>
      <w:proofErr w:type="spellEnd"/>
      <w:r w:rsidRPr="00A330A9">
        <w:rPr>
          <w:rFonts w:eastAsia="Times New Roman"/>
          <w:lang w:eastAsia="de-DE"/>
        </w:rPr>
        <w:t xml:space="preserve"> </w:t>
      </w:r>
      <w:proofErr w:type="spellStart"/>
      <w:r w:rsidRPr="00A330A9">
        <w:rPr>
          <w:rFonts w:eastAsia="Times New Roman"/>
          <w:lang w:eastAsia="de-DE"/>
        </w:rPr>
        <w:t>τὸ</w:t>
      </w:r>
      <w:proofErr w:type="spellEnd"/>
      <w:r w:rsidRPr="00A330A9">
        <w:rPr>
          <w:rFonts w:eastAsia="Times New Roman"/>
          <w:lang w:eastAsia="de-DE"/>
        </w:rPr>
        <w:t xml:space="preserve"> π</w:t>
      </w:r>
      <w:proofErr w:type="spellStart"/>
      <w:r w:rsidRPr="00A330A9">
        <w:rPr>
          <w:rFonts w:eastAsia="Times New Roman"/>
          <w:lang w:eastAsia="de-DE"/>
        </w:rPr>
        <w:t>ρότερον</w:t>
      </w:r>
      <w:proofErr w:type="spellEnd"/>
      <w:r w:rsidRPr="00A330A9">
        <w:rPr>
          <w:rFonts w:eastAsia="Times New Roman"/>
          <w:lang w:eastAsia="de-DE"/>
        </w:rPr>
        <w:t xml:space="preserve">, καὶ </w:t>
      </w:r>
      <w:proofErr w:type="spellStart"/>
      <w:r w:rsidRPr="00A330A9">
        <w:rPr>
          <w:rFonts w:eastAsia="Times New Roman"/>
          <w:lang w:eastAsia="de-DE"/>
        </w:rPr>
        <w:t>οἱ</w:t>
      </w:r>
      <w:proofErr w:type="spellEnd"/>
      <w:r w:rsidRPr="00A330A9">
        <w:rPr>
          <w:rFonts w:eastAsia="Times New Roman"/>
          <w:lang w:eastAsia="de-DE"/>
        </w:rPr>
        <w:t xml:space="preserve"> </w:t>
      </w:r>
      <w:proofErr w:type="spellStart"/>
      <w:r w:rsidRPr="00A330A9">
        <w:rPr>
          <w:rFonts w:eastAsia="Times New Roman"/>
          <w:lang w:eastAsia="de-DE"/>
        </w:rPr>
        <w:t>Αμμ</w:t>
      </w:r>
      <w:proofErr w:type="spellEnd"/>
      <w:r w:rsidRPr="00A330A9">
        <w:rPr>
          <w:rFonts w:eastAsia="Times New Roman"/>
          <w:lang w:eastAsia="de-DE"/>
        </w:rPr>
        <w:t>ανῖται κα</w:t>
      </w:r>
      <w:proofErr w:type="spellStart"/>
      <w:r w:rsidRPr="00A330A9">
        <w:rPr>
          <w:rFonts w:eastAsia="Times New Roman"/>
          <w:lang w:eastAsia="de-DE"/>
        </w:rPr>
        <w:t>λοῦσιν</w:t>
      </w:r>
      <w:proofErr w:type="spellEnd"/>
      <w:r w:rsidRPr="00A330A9">
        <w:rPr>
          <w:rFonts w:eastAsia="Times New Roman"/>
          <w:lang w:eastAsia="de-DE"/>
        </w:rPr>
        <w:t xml:space="preserve"> α</w:t>
      </w:r>
      <w:proofErr w:type="spellStart"/>
      <w:r w:rsidRPr="00A330A9">
        <w:rPr>
          <w:rFonts w:eastAsia="Times New Roman"/>
          <w:lang w:eastAsia="de-DE"/>
        </w:rPr>
        <w:t>ὐτοὺς</w:t>
      </w:r>
      <w:proofErr w:type="spellEnd"/>
      <w:r w:rsidRPr="00A330A9">
        <w:rPr>
          <w:rFonts w:eastAsia="Times New Roman"/>
          <w:lang w:eastAsia="de-DE"/>
        </w:rPr>
        <w:t xml:space="preserve"> </w:t>
      </w:r>
      <w:proofErr w:type="spellStart"/>
      <w:r w:rsidRPr="00A330A9">
        <w:rPr>
          <w:rFonts w:eastAsia="Times New Roman"/>
          <w:lang w:eastAsia="de-DE"/>
        </w:rPr>
        <w:t>Ζομζομμιν</w:t>
      </w:r>
      <w:proofErr w:type="spellEnd"/>
      <w:r w:rsidRPr="00A330A9">
        <w:rPr>
          <w:rFonts w:eastAsia="Times New Roman"/>
          <w:lang w:eastAsia="de-DE"/>
        </w:rPr>
        <w:t xml:space="preserve">" („Für Land der </w:t>
      </w:r>
      <w:proofErr w:type="spellStart"/>
      <w:r w:rsidRPr="00A330A9">
        <w:rPr>
          <w:rFonts w:eastAsia="Times New Roman"/>
          <w:lang w:eastAsia="de-DE"/>
        </w:rPr>
        <w:t>Rafain</w:t>
      </w:r>
      <w:proofErr w:type="spellEnd"/>
      <w:r w:rsidRPr="00A330A9">
        <w:rPr>
          <w:rFonts w:eastAsia="Times New Roman"/>
          <w:lang w:eastAsia="de-DE"/>
        </w:rPr>
        <w:t xml:space="preserve"> wird es gerechnet, denn auch auf ihr wohnten die </w:t>
      </w:r>
      <w:proofErr w:type="spellStart"/>
      <w:r w:rsidRPr="00A330A9">
        <w:rPr>
          <w:rFonts w:eastAsia="Times New Roman"/>
          <w:lang w:eastAsia="de-DE"/>
        </w:rPr>
        <w:t>Rafain</w:t>
      </w:r>
      <w:proofErr w:type="spellEnd"/>
      <w:r w:rsidRPr="00A330A9">
        <w:rPr>
          <w:rFonts w:eastAsia="Times New Roman"/>
          <w:lang w:eastAsia="de-DE"/>
        </w:rPr>
        <w:t xml:space="preserve"> früher, und die </w:t>
      </w:r>
      <w:proofErr w:type="spellStart"/>
      <w:r w:rsidRPr="00A330A9">
        <w:rPr>
          <w:rFonts w:eastAsia="Times New Roman"/>
          <w:lang w:eastAsia="de-DE"/>
        </w:rPr>
        <w:t>Ammaniter</w:t>
      </w:r>
      <w:proofErr w:type="spellEnd"/>
      <w:r w:rsidRPr="00A330A9">
        <w:rPr>
          <w:rFonts w:eastAsia="Times New Roman"/>
          <w:lang w:eastAsia="de-DE"/>
        </w:rPr>
        <w:t xml:space="preserve"> nennen sie </w:t>
      </w:r>
      <w:proofErr w:type="spellStart"/>
      <w:r w:rsidRPr="00A330A9">
        <w:rPr>
          <w:rFonts w:eastAsia="Times New Roman"/>
          <w:lang w:eastAsia="de-DE"/>
        </w:rPr>
        <w:t>Zomzommin</w:t>
      </w:r>
      <w:proofErr w:type="spellEnd"/>
      <w:r w:rsidRPr="00A330A9">
        <w:rPr>
          <w:rFonts w:eastAsia="Times New Roman"/>
          <w:lang w:eastAsia="de-DE"/>
        </w:rPr>
        <w:t>").</w:t>
      </w:r>
    </w:p>
    <w:p w14:paraId="389DBA1D"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lang w:eastAsia="de-DE"/>
        </w:rPr>
        <w:t xml:space="preserve">Die Satzstruktur besteht aus drei koordinierten Sätzen: (1) Nominalsatz </w:t>
      </w:r>
      <w:r w:rsidRPr="00A330A9">
        <w:rPr>
          <w:rFonts w:eastAsia="Times New Roman"/>
          <w:b/>
          <w:bCs/>
          <w:rtl/>
          <w:lang w:eastAsia="de-DE"/>
        </w:rPr>
        <w:t>אֶרֶץ־רְפָאִים תֵּחָשֵׁב אַף־הִוא</w:t>
      </w:r>
      <w:r w:rsidRPr="00A330A9">
        <w:rPr>
          <w:rFonts w:eastAsia="Times New Roman"/>
          <w:lang w:eastAsia="de-DE"/>
        </w:rPr>
        <w:t xml:space="preserve">, (2) Verbalsatz </w:t>
      </w:r>
      <w:r w:rsidRPr="00A330A9">
        <w:rPr>
          <w:rFonts w:eastAsia="Times New Roman"/>
          <w:b/>
          <w:bCs/>
          <w:rtl/>
          <w:lang w:eastAsia="de-DE"/>
        </w:rPr>
        <w:t>רְפָאִים יָשְׁבוּ־בָהּ לְפָנִים</w:t>
      </w:r>
      <w:r w:rsidRPr="00A330A9">
        <w:rPr>
          <w:rFonts w:eastAsia="Times New Roman"/>
          <w:lang w:eastAsia="de-DE"/>
        </w:rPr>
        <w:t xml:space="preserve">, (3) Verbalsatz </w:t>
      </w:r>
      <w:r w:rsidRPr="00A330A9">
        <w:rPr>
          <w:rFonts w:eastAsia="Times New Roman"/>
          <w:b/>
          <w:bCs/>
          <w:rtl/>
          <w:lang w:eastAsia="de-DE"/>
        </w:rPr>
        <w:t>וְהָעַמֹּנִים יִקְרְאוּ לָהֶם זַמְזֻמִּים</w:t>
      </w:r>
      <w:r w:rsidRPr="00A330A9">
        <w:rPr>
          <w:rFonts w:eastAsia="Times New Roman"/>
          <w:lang w:eastAsia="de-DE"/>
        </w:rPr>
        <w:t>.</w:t>
      </w:r>
    </w:p>
    <w:p w14:paraId="15F9C354" w14:textId="27A2718B"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lang w:eastAsia="de-DE"/>
        </w:rPr>
        <w:t>Der</w:t>
      </w:r>
      <w:r>
        <w:rPr>
          <w:rFonts w:eastAsia="Times New Roman"/>
          <w:lang w:eastAsia="de-DE"/>
        </w:rPr>
        <w:t xml:space="preserve"> </w:t>
      </w:r>
      <w:r>
        <w:t xml:space="preserve">Vers gibt eine historische und ethnographische Notiz parallel zu V. 10-11 über Moab: Auch das ammonitische Gebiet war einst von </w:t>
      </w:r>
      <w:r w:rsidR="00D91A0B">
        <w:t>Ephraim</w:t>
      </w:r>
      <w:r>
        <w:t xml:space="preserve"> (Riesen) bewohnt, die bei den Ammonitern unter dem Lokalnamen „Samsummim" bekannt waren. Diese Informationen zeigen das Interesse an der Vorgeschichte der Region und erklären, wie auch die Ammoniter ihr Land von mächtigeren Vorbewohnern übernommen hatten.</w:t>
      </w:r>
    </w:p>
    <w:p w14:paraId="70496511" w14:textId="77777777" w:rsidR="00A330A9" w:rsidRPr="00A330A9" w:rsidRDefault="00A330A9" w:rsidP="00A330A9">
      <w:pPr>
        <w:spacing w:before="100" w:beforeAutospacing="1" w:after="100" w:afterAutospacing="1" w:line="240" w:lineRule="auto"/>
        <w:outlineLvl w:val="1"/>
        <w:rPr>
          <w:rFonts w:eastAsia="Times New Roman"/>
          <w:b/>
          <w:bCs/>
          <w:sz w:val="36"/>
          <w:szCs w:val="36"/>
          <w:lang w:eastAsia="de-DE"/>
        </w:rPr>
      </w:pPr>
      <w:r w:rsidRPr="00A330A9">
        <w:rPr>
          <w:rFonts w:eastAsia="Times New Roman"/>
          <w:b/>
          <w:bCs/>
          <w:sz w:val="36"/>
          <w:szCs w:val="36"/>
          <w:lang w:eastAsia="de-DE"/>
        </w:rPr>
        <w:t>Deuteronomium 2,21</w:t>
      </w:r>
    </w:p>
    <w:p w14:paraId="4AB72EC4"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Hebräisch:</w:t>
      </w:r>
      <w:r w:rsidRPr="00A330A9">
        <w:rPr>
          <w:rFonts w:eastAsia="Times New Roman"/>
          <w:lang w:eastAsia="de-DE"/>
        </w:rPr>
        <w:t xml:space="preserve"> </w:t>
      </w:r>
      <w:r w:rsidRPr="00A330A9">
        <w:rPr>
          <w:rFonts w:eastAsia="Times New Roman"/>
          <w:rtl/>
          <w:lang w:eastAsia="de-DE"/>
        </w:rPr>
        <w:t>עַ֣ם גָּדֹ֥ול וְרַ֛ב וָרָ֖ם כָּעֲנָקִ֑ים וַיַּשְׁמִידֵ֤ם יְהוָה֙ מִפְּנֵיהֶ֔ם וַיִּירָשֻׁ֖ם וַיֵּשְׁב֥וּ תַחְתָּֽם׃</w:t>
      </w:r>
    </w:p>
    <w:p w14:paraId="7089FD20"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Deutsch:</w:t>
      </w:r>
      <w:r w:rsidRPr="00A330A9">
        <w:rPr>
          <w:rFonts w:eastAsia="Times New Roman"/>
          <w:lang w:eastAsia="de-DE"/>
        </w:rPr>
        <w:t xml:space="preserve"> Ein großes und zahlreiches und hohes Volk, wie die Anakim; und der Ewige vernichtete sie vor ihnen, und sie vertrieben sie und wohnten an ihrer Stelle.</w:t>
      </w:r>
    </w:p>
    <w:p w14:paraId="78C0B25A" w14:textId="77777777" w:rsidR="00A330A9" w:rsidRPr="00A330A9" w:rsidRDefault="004F5CEB" w:rsidP="00A330A9">
      <w:pPr>
        <w:spacing w:after="0" w:line="240" w:lineRule="auto"/>
        <w:rPr>
          <w:rFonts w:eastAsia="Times New Roman"/>
          <w:lang w:eastAsia="de-DE"/>
        </w:rPr>
      </w:pPr>
      <w:r>
        <w:rPr>
          <w:rFonts w:eastAsia="Times New Roman"/>
          <w:noProof/>
          <w:lang w:eastAsia="de-DE"/>
        </w:rPr>
        <w:pict w14:anchorId="6DDFF6E9">
          <v:rect id="_x0000_i1091" style="width:0;height:1.5pt" o:hralign="center" o:hrstd="t" o:hr="t" fillcolor="#a0a0a0" stroked="f"/>
        </w:pict>
      </w:r>
    </w:p>
    <w:p w14:paraId="13871F1C" w14:textId="50ABC93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Kommentar:</w:t>
      </w:r>
      <w:r w:rsidRPr="00A330A9">
        <w:rPr>
          <w:rFonts w:eastAsia="Times New Roman"/>
          <w:lang w:eastAsia="de-DE"/>
        </w:rPr>
        <w:t xml:space="preserve"> </w:t>
      </w:r>
      <w:r w:rsidRPr="00A330A9">
        <w:rPr>
          <w:rFonts w:eastAsia="Times New Roman"/>
          <w:b/>
          <w:bCs/>
          <w:rtl/>
          <w:lang w:eastAsia="de-DE"/>
        </w:rPr>
        <w:t>עַם גָּדוֹל וְרַב וָרָם כָּעֲנָקִים</w:t>
      </w:r>
      <w:r w:rsidRPr="00A330A9">
        <w:rPr>
          <w:rFonts w:eastAsia="Times New Roman"/>
          <w:rtl/>
          <w:lang w:eastAsia="de-DE"/>
        </w:rPr>
        <w:t xml:space="preserve"> </w:t>
      </w:r>
      <w:r w:rsidRPr="00A330A9">
        <w:rPr>
          <w:rFonts w:eastAsia="Times New Roman"/>
          <w:lang w:eastAsia="de-DE"/>
        </w:rPr>
        <w:t>ist eine appositionelle Beschreibung der Samsummim/</w:t>
      </w:r>
      <w:r w:rsidR="00D91A0B">
        <w:rPr>
          <w:rFonts w:eastAsia="Times New Roman"/>
          <w:lang w:eastAsia="de-DE"/>
        </w:rPr>
        <w:t>Ephraim</w:t>
      </w:r>
      <w:r w:rsidRPr="00A330A9">
        <w:rPr>
          <w:rFonts w:eastAsia="Times New Roman"/>
          <w:lang w:eastAsia="de-DE"/>
        </w:rPr>
        <w:t xml:space="preserve"> aus V. 20, identisch mit der Formulierung in V. 10: </w:t>
      </w:r>
      <w:r w:rsidRPr="00A330A9">
        <w:rPr>
          <w:rFonts w:eastAsia="Times New Roman"/>
          <w:b/>
          <w:bCs/>
          <w:rtl/>
          <w:lang w:eastAsia="de-DE"/>
        </w:rPr>
        <w:t>עַם</w:t>
      </w:r>
      <w:r w:rsidRPr="00A330A9">
        <w:rPr>
          <w:rFonts w:eastAsia="Times New Roman"/>
          <w:rtl/>
          <w:lang w:eastAsia="de-DE"/>
        </w:rPr>
        <w:t xml:space="preserve"> </w:t>
      </w:r>
      <w:r w:rsidRPr="00A330A9">
        <w:rPr>
          <w:rFonts w:eastAsia="Times New Roman"/>
          <w:lang w:eastAsia="de-DE"/>
        </w:rPr>
        <w:t xml:space="preserve">mit drei koordinierten Adjektiven </w:t>
      </w:r>
      <w:r w:rsidRPr="00A330A9">
        <w:rPr>
          <w:rFonts w:eastAsia="Times New Roman"/>
          <w:b/>
          <w:bCs/>
          <w:rtl/>
          <w:lang w:eastAsia="de-DE"/>
        </w:rPr>
        <w:t>גָּדוֹל</w:t>
      </w:r>
      <w:r w:rsidRPr="00A330A9">
        <w:rPr>
          <w:rFonts w:eastAsia="Times New Roman"/>
          <w:lang w:eastAsia="de-DE"/>
        </w:rPr>
        <w:t xml:space="preserve">, </w:t>
      </w:r>
      <w:r w:rsidRPr="00A330A9">
        <w:rPr>
          <w:rFonts w:eastAsia="Times New Roman"/>
          <w:b/>
          <w:bCs/>
          <w:rtl/>
          <w:lang w:eastAsia="de-DE"/>
        </w:rPr>
        <w:t>רַב</w:t>
      </w:r>
      <w:r w:rsidRPr="00A330A9">
        <w:rPr>
          <w:rFonts w:eastAsia="Times New Roman"/>
          <w:lang w:eastAsia="de-DE"/>
        </w:rPr>
        <w:t xml:space="preserve">, </w:t>
      </w:r>
      <w:r w:rsidRPr="00A330A9">
        <w:rPr>
          <w:rFonts w:eastAsia="Times New Roman"/>
          <w:b/>
          <w:bCs/>
          <w:rtl/>
          <w:lang w:eastAsia="de-DE"/>
        </w:rPr>
        <w:t>וָרָם</w:t>
      </w:r>
      <w:r w:rsidRPr="00A330A9">
        <w:rPr>
          <w:rFonts w:eastAsia="Times New Roman"/>
          <w:lang w:eastAsia="de-DE"/>
        </w:rPr>
        <w:t xml:space="preserve">, und Vergleich </w:t>
      </w:r>
      <w:r w:rsidRPr="00A330A9">
        <w:rPr>
          <w:rFonts w:eastAsia="Times New Roman"/>
          <w:b/>
          <w:bCs/>
          <w:rtl/>
          <w:lang w:eastAsia="de-DE"/>
        </w:rPr>
        <w:t>כָּעֲנָקִים</w:t>
      </w:r>
      <w:r w:rsidRPr="00A330A9">
        <w:rPr>
          <w:rFonts w:eastAsia="Times New Roman"/>
          <w:lang w:eastAsia="de-DE"/>
        </w:rPr>
        <w:t>.</w:t>
      </w:r>
    </w:p>
    <w:p w14:paraId="41C124C0" w14:textId="35732F72"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rtl/>
          <w:lang w:eastAsia="de-DE"/>
        </w:rPr>
        <w:t>וַיַּשְׁמִידֵם יְהוָה מִפְּנֵיהֶם</w:t>
      </w:r>
      <w:r w:rsidRPr="00A330A9">
        <w:rPr>
          <w:rFonts w:eastAsia="Times New Roman"/>
          <w:rtl/>
          <w:lang w:eastAsia="de-DE"/>
        </w:rPr>
        <w:t xml:space="preserve"> </w:t>
      </w:r>
      <w:r w:rsidRPr="00A330A9">
        <w:rPr>
          <w:rFonts w:eastAsia="Times New Roman"/>
          <w:lang w:eastAsia="de-DE"/>
        </w:rPr>
        <w:t xml:space="preserve">ist </w:t>
      </w:r>
      <w:r w:rsidRPr="00A330A9">
        <w:rPr>
          <w:rFonts w:eastAsia="Times New Roman"/>
          <w:b/>
          <w:bCs/>
          <w:rtl/>
          <w:lang w:eastAsia="de-DE"/>
        </w:rPr>
        <w:t>וַיַּשְׁמִידֵם</w:t>
      </w:r>
      <w:r w:rsidRPr="00A330A9">
        <w:rPr>
          <w:rFonts w:eastAsia="Times New Roman"/>
          <w:rtl/>
          <w:lang w:eastAsia="de-DE"/>
        </w:rPr>
        <w:t xml:space="preserve"> </w:t>
      </w:r>
      <w:r w:rsidRPr="00A330A9">
        <w:rPr>
          <w:rFonts w:eastAsia="Times New Roman"/>
          <w:lang w:eastAsia="de-DE"/>
        </w:rPr>
        <w:t xml:space="preserve">(Hif'il Imperfekt consecutivum, 3. Person maskulin Singular von </w:t>
      </w:r>
      <w:r w:rsidRPr="00A330A9">
        <w:rPr>
          <w:rFonts w:eastAsia="Times New Roman"/>
          <w:rtl/>
          <w:lang w:eastAsia="de-DE"/>
        </w:rPr>
        <w:t>שׁמד</w:t>
      </w:r>
      <w:r w:rsidRPr="00A330A9">
        <w:rPr>
          <w:rFonts w:eastAsia="Times New Roman"/>
          <w:lang w:eastAsia="de-DE"/>
        </w:rPr>
        <w:t xml:space="preserve"> „vernichten" mit Waw und Objektsuffix 3. Person maskulin Plural </w:t>
      </w:r>
      <w:r w:rsidRPr="00A330A9">
        <w:rPr>
          <w:rFonts w:eastAsia="Times New Roman"/>
          <w:b/>
          <w:bCs/>
          <w:rtl/>
          <w:lang w:eastAsia="de-DE"/>
        </w:rPr>
        <w:t>ם</w:t>
      </w:r>
      <w:r w:rsidRPr="00A330A9">
        <w:rPr>
          <w:rFonts w:eastAsia="Times New Roman"/>
          <w:lang w:eastAsia="de-DE"/>
        </w:rPr>
        <w:t xml:space="preserve">), </w:t>
      </w:r>
      <w:r w:rsidRPr="00A330A9">
        <w:rPr>
          <w:rFonts w:eastAsia="Times New Roman"/>
          <w:b/>
          <w:bCs/>
          <w:rtl/>
          <w:lang w:eastAsia="de-DE"/>
        </w:rPr>
        <w:t>יְהוָה</w:t>
      </w:r>
      <w:r w:rsidRPr="00A330A9">
        <w:rPr>
          <w:rFonts w:eastAsia="Times New Roman"/>
          <w:rtl/>
          <w:lang w:eastAsia="de-DE"/>
        </w:rPr>
        <w:t xml:space="preserve"> </w:t>
      </w:r>
      <w:r w:rsidRPr="00A330A9">
        <w:rPr>
          <w:rFonts w:eastAsia="Times New Roman"/>
          <w:lang w:eastAsia="de-DE"/>
        </w:rPr>
        <w:t xml:space="preserve">als betontes nachgestelltes Subjekt, </w:t>
      </w:r>
      <w:r w:rsidRPr="00A330A9">
        <w:rPr>
          <w:rFonts w:eastAsia="Times New Roman"/>
          <w:b/>
          <w:bCs/>
          <w:rtl/>
          <w:lang w:eastAsia="de-DE"/>
        </w:rPr>
        <w:t>מִפְּנֵיהֶם</w:t>
      </w:r>
      <w:r w:rsidRPr="00A330A9">
        <w:rPr>
          <w:rFonts w:eastAsia="Times New Roman"/>
          <w:rtl/>
          <w:lang w:eastAsia="de-DE"/>
        </w:rPr>
        <w:t xml:space="preserve"> </w:t>
      </w:r>
      <w:r w:rsidRPr="00A330A9">
        <w:rPr>
          <w:rFonts w:eastAsia="Times New Roman"/>
          <w:lang w:eastAsia="de-DE"/>
        </w:rPr>
        <w:t>(</w:t>
      </w:r>
      <w:r w:rsidRPr="00A330A9">
        <w:rPr>
          <w:rFonts w:eastAsia="Times New Roman"/>
          <w:b/>
          <w:bCs/>
          <w:rtl/>
          <w:lang w:eastAsia="de-DE"/>
        </w:rPr>
        <w:t>מִן</w:t>
      </w:r>
      <w:r w:rsidRPr="00A330A9">
        <w:rPr>
          <w:rFonts w:eastAsia="Times New Roman"/>
          <w:rtl/>
          <w:lang w:eastAsia="de-DE"/>
        </w:rPr>
        <w:t xml:space="preserve"> </w:t>
      </w:r>
      <w:r w:rsidRPr="00A330A9">
        <w:rPr>
          <w:rFonts w:eastAsia="Times New Roman"/>
          <w:lang w:eastAsia="de-DE"/>
        </w:rPr>
        <w:t xml:space="preserve">„vor" mit </w:t>
      </w:r>
      <w:r w:rsidRPr="00A330A9">
        <w:rPr>
          <w:rFonts w:eastAsia="Times New Roman"/>
          <w:b/>
          <w:bCs/>
          <w:rtl/>
          <w:lang w:eastAsia="de-DE"/>
        </w:rPr>
        <w:t>פָּנִים</w:t>
      </w:r>
      <w:r w:rsidRPr="00A330A9">
        <w:rPr>
          <w:rFonts w:eastAsia="Times New Roman"/>
          <w:rtl/>
          <w:lang w:eastAsia="de-DE"/>
        </w:rPr>
        <w:t xml:space="preserve"> </w:t>
      </w:r>
      <w:r w:rsidRPr="00A330A9">
        <w:rPr>
          <w:rFonts w:eastAsia="Times New Roman"/>
          <w:lang w:eastAsia="de-DE"/>
        </w:rPr>
        <w:t xml:space="preserve">im Plural </w:t>
      </w:r>
      <w:r w:rsidR="0032647F">
        <w:rPr>
          <w:rFonts w:eastAsia="Times New Roman"/>
          <w:lang w:eastAsia="de-DE"/>
        </w:rPr>
        <w:t>Construct</w:t>
      </w:r>
      <w:r w:rsidRPr="00A330A9">
        <w:rPr>
          <w:rFonts w:eastAsia="Times New Roman"/>
          <w:lang w:eastAsia="de-DE"/>
        </w:rPr>
        <w:t xml:space="preserve"> und Suffix 3. Person maskulin Plural, bezogen auf die Ammoniter).</w:t>
      </w:r>
    </w:p>
    <w:p w14:paraId="29ABC0B4"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rtl/>
          <w:lang w:eastAsia="de-DE"/>
        </w:rPr>
        <w:t>וַיִּירָשׁוּם וַיֵּשְׁבוּ תַחְתָּם</w:t>
      </w:r>
      <w:r w:rsidRPr="00A330A9">
        <w:rPr>
          <w:rFonts w:eastAsia="Times New Roman"/>
          <w:rtl/>
          <w:lang w:eastAsia="de-DE"/>
        </w:rPr>
        <w:t xml:space="preserve"> </w:t>
      </w:r>
      <w:r w:rsidRPr="00A330A9">
        <w:rPr>
          <w:rFonts w:eastAsia="Times New Roman"/>
          <w:lang w:eastAsia="de-DE"/>
        </w:rPr>
        <w:t xml:space="preserve">sind zwei koordinierte Verben: </w:t>
      </w:r>
      <w:r w:rsidRPr="00A330A9">
        <w:rPr>
          <w:rFonts w:eastAsia="Times New Roman"/>
          <w:b/>
          <w:bCs/>
          <w:rtl/>
          <w:lang w:eastAsia="de-DE"/>
        </w:rPr>
        <w:t>וַיִּירָשׁוּם</w:t>
      </w:r>
      <w:r w:rsidRPr="00A330A9">
        <w:rPr>
          <w:rFonts w:eastAsia="Times New Roman"/>
          <w:rtl/>
          <w:lang w:eastAsia="de-DE"/>
        </w:rPr>
        <w:t xml:space="preserve"> </w:t>
      </w:r>
      <w:r w:rsidRPr="00A330A9">
        <w:rPr>
          <w:rFonts w:eastAsia="Times New Roman"/>
          <w:lang w:eastAsia="de-DE"/>
        </w:rPr>
        <w:t xml:space="preserve">(Qal Imperfekt consecutivum, 3. Person maskulin Plural von </w:t>
      </w:r>
      <w:r w:rsidRPr="00A330A9">
        <w:rPr>
          <w:rFonts w:eastAsia="Times New Roman"/>
          <w:rtl/>
          <w:lang w:eastAsia="de-DE"/>
        </w:rPr>
        <w:t>ירשׁ</w:t>
      </w:r>
      <w:r w:rsidRPr="00A330A9">
        <w:rPr>
          <w:rFonts w:eastAsia="Times New Roman"/>
          <w:lang w:eastAsia="de-DE"/>
        </w:rPr>
        <w:t xml:space="preserve"> „vertreiben, enteignen" mit Waw und Objektsuffix </w:t>
      </w:r>
      <w:r w:rsidRPr="00A330A9">
        <w:rPr>
          <w:rFonts w:eastAsia="Times New Roman"/>
          <w:b/>
          <w:bCs/>
          <w:rtl/>
          <w:lang w:eastAsia="de-DE"/>
        </w:rPr>
        <w:t>וּם</w:t>
      </w:r>
      <w:r w:rsidRPr="00A330A9">
        <w:rPr>
          <w:rFonts w:eastAsia="Times New Roman"/>
          <w:lang w:eastAsia="de-DE"/>
        </w:rPr>
        <w:t xml:space="preserve">), </w:t>
      </w:r>
      <w:r w:rsidRPr="00A330A9">
        <w:rPr>
          <w:rFonts w:eastAsia="Times New Roman"/>
          <w:b/>
          <w:bCs/>
          <w:rtl/>
          <w:lang w:eastAsia="de-DE"/>
        </w:rPr>
        <w:t>וַיֵּשְׁבוּ תַחְתָּם</w:t>
      </w:r>
      <w:r w:rsidRPr="00A330A9">
        <w:rPr>
          <w:rFonts w:eastAsia="Times New Roman"/>
          <w:rtl/>
          <w:lang w:eastAsia="de-DE"/>
        </w:rPr>
        <w:t xml:space="preserve"> </w:t>
      </w:r>
      <w:r w:rsidRPr="00A330A9">
        <w:rPr>
          <w:rFonts w:eastAsia="Times New Roman"/>
          <w:lang w:eastAsia="de-DE"/>
        </w:rPr>
        <w:t xml:space="preserve">(Qal Imperfekt consecutivum, 3. Person maskulin Plural von </w:t>
      </w:r>
      <w:r w:rsidRPr="00A330A9">
        <w:rPr>
          <w:rFonts w:eastAsia="Times New Roman"/>
          <w:rtl/>
          <w:lang w:eastAsia="de-DE"/>
        </w:rPr>
        <w:t>ישׁב</w:t>
      </w:r>
      <w:r w:rsidRPr="00A330A9">
        <w:rPr>
          <w:rFonts w:eastAsia="Times New Roman"/>
          <w:lang w:eastAsia="de-DE"/>
        </w:rPr>
        <w:t xml:space="preserve"> mit Waw und </w:t>
      </w:r>
      <w:r w:rsidRPr="00A330A9">
        <w:rPr>
          <w:rFonts w:eastAsia="Times New Roman"/>
          <w:b/>
          <w:bCs/>
          <w:rtl/>
          <w:lang w:eastAsia="de-DE"/>
        </w:rPr>
        <w:t>תַּחַת</w:t>
      </w:r>
      <w:r w:rsidRPr="00A330A9">
        <w:rPr>
          <w:rFonts w:eastAsia="Times New Roman"/>
          <w:rtl/>
          <w:lang w:eastAsia="de-DE"/>
        </w:rPr>
        <w:t xml:space="preserve"> </w:t>
      </w:r>
      <w:r w:rsidRPr="00A330A9">
        <w:rPr>
          <w:rFonts w:eastAsia="Times New Roman"/>
          <w:lang w:eastAsia="de-DE"/>
        </w:rPr>
        <w:t>mit Suffix 3. Person Plural), identisch mit V. 12.</w:t>
      </w:r>
    </w:p>
    <w:p w14:paraId="3D0C82E5" w14:textId="452289EC"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lastRenderedPageBreak/>
        <w:t>Die LXX</w:t>
      </w:r>
      <w:r w:rsidRPr="00A330A9">
        <w:rPr>
          <w:rFonts w:eastAsia="Times New Roman"/>
          <w:lang w:eastAsia="de-DE"/>
        </w:rPr>
        <w:t xml:space="preserve"> </w:t>
      </w:r>
      <w:r w:rsidR="00516967">
        <w:t xml:space="preserve">fügt hinzu „καὶ </w:t>
      </w:r>
      <w:proofErr w:type="spellStart"/>
      <w:r w:rsidR="00516967">
        <w:t>δυν</w:t>
      </w:r>
      <w:proofErr w:type="spellEnd"/>
      <w:r w:rsidR="00516967">
        <w:t>ατώτερον" (und mächtiger) nach „π</w:t>
      </w:r>
      <w:proofErr w:type="spellStart"/>
      <w:r w:rsidR="00516967">
        <w:t>ολύ</w:t>
      </w:r>
      <w:proofErr w:type="spellEnd"/>
      <w:r w:rsidR="00516967">
        <w:t>" (zahlreich), was im MT nicht erscheint.</w:t>
      </w:r>
    </w:p>
    <w:p w14:paraId="24066C4D"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lang w:eastAsia="de-DE"/>
        </w:rPr>
        <w:t>Die Satzstruktur besteht aus einer appositionellen Phrase (</w:t>
      </w:r>
      <w:r w:rsidRPr="00A330A9">
        <w:rPr>
          <w:rFonts w:eastAsia="Times New Roman"/>
          <w:b/>
          <w:bCs/>
          <w:rtl/>
          <w:lang w:eastAsia="de-DE"/>
        </w:rPr>
        <w:t>עַם גָּדוֹל וְרַב וָרָם כָּעֲנָקִים</w:t>
      </w:r>
      <w:r w:rsidRPr="00A330A9">
        <w:rPr>
          <w:rFonts w:eastAsia="Times New Roman"/>
          <w:lang w:eastAsia="de-DE"/>
        </w:rPr>
        <w:t>) und drei koordinierten Verben (</w:t>
      </w:r>
      <w:r w:rsidRPr="00A330A9">
        <w:rPr>
          <w:rFonts w:eastAsia="Times New Roman"/>
          <w:b/>
          <w:bCs/>
          <w:rtl/>
          <w:lang w:eastAsia="de-DE"/>
        </w:rPr>
        <w:t>וַיַּשְׁמִידֵם יְהוָה מִפְּנֵיהֶם</w:t>
      </w:r>
      <w:r w:rsidRPr="00A330A9">
        <w:rPr>
          <w:rFonts w:eastAsia="Times New Roman"/>
          <w:lang w:eastAsia="de-DE"/>
        </w:rPr>
        <w:t xml:space="preserve">, </w:t>
      </w:r>
      <w:r w:rsidRPr="00A330A9">
        <w:rPr>
          <w:rFonts w:eastAsia="Times New Roman"/>
          <w:b/>
          <w:bCs/>
          <w:rtl/>
          <w:lang w:eastAsia="de-DE"/>
        </w:rPr>
        <w:t>וַיִּירָשׁוּם</w:t>
      </w:r>
      <w:r w:rsidRPr="00A330A9">
        <w:rPr>
          <w:rFonts w:eastAsia="Times New Roman"/>
          <w:lang w:eastAsia="de-DE"/>
        </w:rPr>
        <w:t xml:space="preserve">, </w:t>
      </w:r>
      <w:r w:rsidRPr="00A330A9">
        <w:rPr>
          <w:rFonts w:eastAsia="Times New Roman"/>
          <w:b/>
          <w:bCs/>
          <w:rtl/>
          <w:lang w:eastAsia="de-DE"/>
        </w:rPr>
        <w:t>וַיֵּשְׁבוּ תַחְתָּם</w:t>
      </w:r>
      <w:r w:rsidRPr="00A330A9">
        <w:rPr>
          <w:rFonts w:eastAsia="Times New Roman"/>
          <w:lang w:eastAsia="de-DE"/>
        </w:rPr>
        <w:t>).</w:t>
      </w:r>
    </w:p>
    <w:p w14:paraId="25758909" w14:textId="36C73BF8"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lang w:eastAsia="de-DE"/>
        </w:rPr>
        <w:t xml:space="preserve">Der Vers beschreibt, wie die Ammoniter trotz der Größe und Stärke der </w:t>
      </w:r>
      <w:r w:rsidR="00D91A0B">
        <w:rPr>
          <w:rFonts w:eastAsia="Times New Roman"/>
          <w:lang w:eastAsia="de-DE"/>
        </w:rPr>
        <w:t>Ephraim</w:t>
      </w:r>
      <w:r w:rsidRPr="00A330A9">
        <w:rPr>
          <w:rFonts w:eastAsia="Times New Roman"/>
          <w:lang w:eastAsia="de-DE"/>
        </w:rPr>
        <w:t>/Samsummim ihr Land erhielten: JHWH selbst vernichtete die Vorbewohner vor ihnen. Dies ist ein entscheidender Punkt – nicht menschliche Kraft, sondern göttliches Eingreifen ermöglichte die Landnahme. Die Parallele zu Israels zukünftiger Landnahme ist implizit.</w:t>
      </w:r>
    </w:p>
    <w:p w14:paraId="2916E78D" w14:textId="77777777" w:rsidR="00A330A9" w:rsidRPr="00A330A9" w:rsidRDefault="00A330A9" w:rsidP="00A330A9">
      <w:pPr>
        <w:spacing w:before="100" w:beforeAutospacing="1" w:after="100" w:afterAutospacing="1" w:line="240" w:lineRule="auto"/>
        <w:outlineLvl w:val="1"/>
        <w:rPr>
          <w:rFonts w:eastAsia="Times New Roman"/>
          <w:b/>
          <w:bCs/>
          <w:sz w:val="36"/>
          <w:szCs w:val="36"/>
          <w:lang w:eastAsia="de-DE"/>
        </w:rPr>
      </w:pPr>
      <w:r w:rsidRPr="00A330A9">
        <w:rPr>
          <w:rFonts w:eastAsia="Times New Roman"/>
          <w:b/>
          <w:bCs/>
          <w:sz w:val="36"/>
          <w:szCs w:val="36"/>
          <w:lang w:eastAsia="de-DE"/>
        </w:rPr>
        <w:t>Deuteronomium 2,22</w:t>
      </w:r>
    </w:p>
    <w:p w14:paraId="6EBDD86C"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Hebräisch:</w:t>
      </w:r>
      <w:r w:rsidRPr="00A330A9">
        <w:rPr>
          <w:rFonts w:eastAsia="Times New Roman"/>
          <w:lang w:eastAsia="de-DE"/>
        </w:rPr>
        <w:t xml:space="preserve"> </w:t>
      </w:r>
      <w:r w:rsidRPr="00A330A9">
        <w:rPr>
          <w:rFonts w:eastAsia="Times New Roman"/>
          <w:rtl/>
          <w:lang w:eastAsia="de-DE"/>
        </w:rPr>
        <w:t>כַּאֲשֶׁ֤ר עָשָׂה֙ לִבְנֵ֣י עֵשָׂ֔ו הַיֹּשְׁבִ֖ים בְּשֵׂעִ֑יר אֲשֶׁ֨ר הִשְׁמִ֤יד אֶת־הַחֹרִי֙ מִפְּנֵיהֶ֔ם וַיִּֽירָשֻׁם֙ וַיֵּשְׁב֣וּ תַחְתָּ֔ם עַ֖ד הַיֹּ֥ום הַזֶּֽה׃</w:t>
      </w:r>
    </w:p>
    <w:p w14:paraId="04249D07"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Deutsch:</w:t>
      </w:r>
      <w:r w:rsidRPr="00A330A9">
        <w:rPr>
          <w:rFonts w:eastAsia="Times New Roman"/>
          <w:lang w:eastAsia="de-DE"/>
        </w:rPr>
        <w:t xml:space="preserve"> So wie er für die Söhne 'Esav getan hat, die in Se'ir wohnen, vor denen er den Chori vernichtete, so dass sie ihn vertrieben und an seiner Stelle wohnten bis auf diesen Tag.</w:t>
      </w:r>
    </w:p>
    <w:p w14:paraId="0BA8B757" w14:textId="77777777" w:rsidR="00A330A9" w:rsidRPr="00A330A9" w:rsidRDefault="004F5CEB" w:rsidP="00A330A9">
      <w:pPr>
        <w:spacing w:after="0" w:line="240" w:lineRule="auto"/>
        <w:rPr>
          <w:rFonts w:eastAsia="Times New Roman"/>
          <w:lang w:eastAsia="de-DE"/>
        </w:rPr>
      </w:pPr>
      <w:r>
        <w:rPr>
          <w:rFonts w:eastAsia="Times New Roman"/>
          <w:noProof/>
          <w:lang w:eastAsia="de-DE"/>
        </w:rPr>
        <w:pict w14:anchorId="44104434">
          <v:rect id="_x0000_i1092" style="width:0;height:1.5pt" o:hralign="center" o:hrstd="t" o:hr="t" fillcolor="#a0a0a0" stroked="f"/>
        </w:pict>
      </w:r>
    </w:p>
    <w:p w14:paraId="628E3502" w14:textId="4F01C658"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Kommentar:</w:t>
      </w:r>
      <w:r w:rsidRPr="00A330A9">
        <w:rPr>
          <w:rFonts w:eastAsia="Times New Roman"/>
          <w:lang w:eastAsia="de-DE"/>
        </w:rPr>
        <w:t xml:space="preserve"> </w:t>
      </w:r>
      <w:r w:rsidRPr="00A330A9">
        <w:rPr>
          <w:rFonts w:eastAsia="Times New Roman"/>
          <w:b/>
          <w:bCs/>
          <w:rtl/>
          <w:lang w:eastAsia="de-DE"/>
        </w:rPr>
        <w:t>כַּאֲשֶׁר עָשָׂה לִבְנֵי עֵשָׂו הַיֹּשְׁבִים בְּשֵׂעִיר</w:t>
      </w:r>
      <w:r w:rsidRPr="00A330A9">
        <w:rPr>
          <w:rFonts w:eastAsia="Times New Roman"/>
          <w:rtl/>
          <w:lang w:eastAsia="de-DE"/>
        </w:rPr>
        <w:t xml:space="preserve"> </w:t>
      </w:r>
      <w:r w:rsidRPr="00A330A9">
        <w:rPr>
          <w:rFonts w:eastAsia="Times New Roman"/>
          <w:lang w:eastAsia="de-DE"/>
        </w:rPr>
        <w:t xml:space="preserve">ist ein Vergleichssatz: </w:t>
      </w:r>
      <w:r w:rsidRPr="00A330A9">
        <w:rPr>
          <w:rFonts w:eastAsia="Times New Roman"/>
          <w:b/>
          <w:bCs/>
          <w:rtl/>
          <w:lang w:eastAsia="de-DE"/>
        </w:rPr>
        <w:t>כַּאֲשֶׁר</w:t>
      </w:r>
      <w:r w:rsidRPr="00A330A9">
        <w:rPr>
          <w:rFonts w:eastAsia="Times New Roman"/>
          <w:rtl/>
          <w:lang w:eastAsia="de-DE"/>
        </w:rPr>
        <w:t xml:space="preserve"> </w:t>
      </w:r>
      <w:r w:rsidRPr="00A330A9">
        <w:rPr>
          <w:rFonts w:eastAsia="Times New Roman"/>
          <w:lang w:eastAsia="de-DE"/>
        </w:rPr>
        <w:t>(„</w:t>
      </w:r>
      <w:r w:rsidR="003D657E">
        <w:rPr>
          <w:rFonts w:eastAsia="Times New Roman"/>
          <w:lang w:eastAsia="de-DE"/>
        </w:rPr>
        <w:t>sowie</w:t>
      </w:r>
      <w:r w:rsidRPr="00A330A9">
        <w:rPr>
          <w:rFonts w:eastAsia="Times New Roman"/>
          <w:lang w:eastAsia="de-DE"/>
        </w:rPr>
        <w:t xml:space="preserve">"), </w:t>
      </w:r>
      <w:r w:rsidRPr="00A330A9">
        <w:rPr>
          <w:rFonts w:eastAsia="Times New Roman"/>
          <w:b/>
          <w:bCs/>
          <w:rtl/>
          <w:lang w:eastAsia="de-DE"/>
        </w:rPr>
        <w:t>עָשָׂה</w:t>
      </w:r>
      <w:r w:rsidRPr="00A330A9">
        <w:rPr>
          <w:rFonts w:eastAsia="Times New Roman"/>
          <w:rtl/>
          <w:lang w:eastAsia="de-DE"/>
        </w:rPr>
        <w:t xml:space="preserve"> </w:t>
      </w:r>
      <w:r w:rsidRPr="00A330A9">
        <w:rPr>
          <w:rFonts w:eastAsia="Times New Roman"/>
          <w:lang w:eastAsia="de-DE"/>
        </w:rPr>
        <w:t xml:space="preserve">(Qal Perfekt, 3. Person maskulin Singular von </w:t>
      </w:r>
      <w:r w:rsidRPr="00A330A9">
        <w:rPr>
          <w:rFonts w:eastAsia="Times New Roman"/>
          <w:rtl/>
          <w:lang w:eastAsia="de-DE"/>
        </w:rPr>
        <w:t>עשׂה</w:t>
      </w:r>
      <w:r w:rsidRPr="00A330A9">
        <w:rPr>
          <w:rFonts w:eastAsia="Times New Roman"/>
          <w:lang w:eastAsia="de-DE"/>
        </w:rPr>
        <w:t xml:space="preserve"> „tun"), </w:t>
      </w:r>
      <w:r w:rsidRPr="00A330A9">
        <w:rPr>
          <w:rFonts w:eastAsia="Times New Roman"/>
          <w:b/>
          <w:bCs/>
          <w:rtl/>
          <w:lang w:eastAsia="de-DE"/>
        </w:rPr>
        <w:t>לִבְנֵי עֵשָׂו</w:t>
      </w:r>
      <w:r w:rsidRPr="00A330A9">
        <w:rPr>
          <w:rFonts w:eastAsia="Times New Roman"/>
          <w:rtl/>
          <w:lang w:eastAsia="de-DE"/>
        </w:rPr>
        <w:t xml:space="preserve"> </w:t>
      </w:r>
      <w:r w:rsidRPr="00A330A9">
        <w:rPr>
          <w:rFonts w:eastAsia="Times New Roman"/>
          <w:lang w:eastAsia="de-DE"/>
        </w:rPr>
        <w:t>(</w:t>
      </w:r>
      <w:r w:rsidRPr="00A330A9">
        <w:rPr>
          <w:rFonts w:eastAsia="Times New Roman"/>
          <w:b/>
          <w:bCs/>
          <w:rtl/>
          <w:lang w:eastAsia="de-DE"/>
        </w:rPr>
        <w:t>לְ</w:t>
      </w:r>
      <w:r w:rsidRPr="00A330A9">
        <w:rPr>
          <w:rFonts w:eastAsia="Times New Roman"/>
          <w:rtl/>
          <w:lang w:eastAsia="de-DE"/>
        </w:rPr>
        <w:t xml:space="preserve"> </w:t>
      </w:r>
      <w:r w:rsidRPr="00A330A9">
        <w:rPr>
          <w:rFonts w:eastAsia="Times New Roman"/>
          <w:lang w:eastAsia="de-DE"/>
        </w:rPr>
        <w:t xml:space="preserve">„für" mit </w:t>
      </w:r>
      <w:r w:rsidRPr="00A330A9">
        <w:rPr>
          <w:rFonts w:eastAsia="Times New Roman"/>
          <w:b/>
          <w:bCs/>
          <w:rtl/>
          <w:lang w:eastAsia="de-DE"/>
        </w:rPr>
        <w:t>בְּנֵי עֵשָׂו</w:t>
      </w:r>
      <w:r w:rsidRPr="00A330A9">
        <w:rPr>
          <w:rFonts w:eastAsia="Times New Roman"/>
          <w:lang w:eastAsia="de-DE"/>
        </w:rPr>
        <w:t xml:space="preserve">), </w:t>
      </w:r>
      <w:r w:rsidRPr="00A330A9">
        <w:rPr>
          <w:rFonts w:eastAsia="Times New Roman"/>
          <w:b/>
          <w:bCs/>
          <w:rtl/>
          <w:lang w:eastAsia="de-DE"/>
        </w:rPr>
        <w:t>הַיֹּשְׁבִים בְּשֵׂעִיר</w:t>
      </w:r>
      <w:r w:rsidRPr="00A330A9">
        <w:rPr>
          <w:rFonts w:eastAsia="Times New Roman"/>
          <w:rtl/>
          <w:lang w:eastAsia="de-DE"/>
        </w:rPr>
        <w:t xml:space="preserve"> </w:t>
      </w:r>
      <w:r w:rsidRPr="00A330A9">
        <w:rPr>
          <w:rFonts w:eastAsia="Times New Roman"/>
          <w:lang w:eastAsia="de-DE"/>
        </w:rPr>
        <w:t>als attributives Partizip.</w:t>
      </w:r>
    </w:p>
    <w:p w14:paraId="0494749B"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rtl/>
          <w:lang w:eastAsia="de-DE"/>
        </w:rPr>
        <w:t>אֲשֶׁר הִשְׁמִיד אֶת־הַחֹרִי מִפְּנֵיהֶם</w:t>
      </w:r>
      <w:r w:rsidRPr="00A330A9">
        <w:rPr>
          <w:rFonts w:eastAsia="Times New Roman"/>
          <w:rtl/>
          <w:lang w:eastAsia="de-DE"/>
        </w:rPr>
        <w:t xml:space="preserve"> </w:t>
      </w:r>
      <w:r w:rsidRPr="00A330A9">
        <w:rPr>
          <w:rFonts w:eastAsia="Times New Roman"/>
          <w:lang w:eastAsia="de-DE"/>
        </w:rPr>
        <w:t xml:space="preserve">ist ein Relativsatz: </w:t>
      </w:r>
      <w:r w:rsidRPr="00A330A9">
        <w:rPr>
          <w:rFonts w:eastAsia="Times New Roman"/>
          <w:b/>
          <w:bCs/>
          <w:rtl/>
          <w:lang w:eastAsia="de-DE"/>
        </w:rPr>
        <w:t>אֲשֶׁר</w:t>
      </w:r>
      <w:r w:rsidRPr="00A330A9">
        <w:rPr>
          <w:rFonts w:eastAsia="Times New Roman"/>
          <w:lang w:eastAsia="de-DE"/>
        </w:rPr>
        <w:t xml:space="preserve">, </w:t>
      </w:r>
      <w:r w:rsidRPr="00A330A9">
        <w:rPr>
          <w:rFonts w:eastAsia="Times New Roman"/>
          <w:b/>
          <w:bCs/>
          <w:rtl/>
          <w:lang w:eastAsia="de-DE"/>
        </w:rPr>
        <w:t>הִשְׁמִיד</w:t>
      </w:r>
      <w:r w:rsidRPr="00A330A9">
        <w:rPr>
          <w:rFonts w:eastAsia="Times New Roman"/>
          <w:rtl/>
          <w:lang w:eastAsia="de-DE"/>
        </w:rPr>
        <w:t xml:space="preserve"> </w:t>
      </w:r>
      <w:r w:rsidRPr="00A330A9">
        <w:rPr>
          <w:rFonts w:eastAsia="Times New Roman"/>
          <w:lang w:eastAsia="de-DE"/>
        </w:rPr>
        <w:t xml:space="preserve">(Hif'il Perfekt, 3. Person maskulin Singular von </w:t>
      </w:r>
      <w:r w:rsidRPr="00A330A9">
        <w:rPr>
          <w:rFonts w:eastAsia="Times New Roman"/>
          <w:rtl/>
          <w:lang w:eastAsia="de-DE"/>
        </w:rPr>
        <w:t>שׁמד</w:t>
      </w:r>
      <w:r w:rsidRPr="00A330A9">
        <w:rPr>
          <w:rFonts w:eastAsia="Times New Roman"/>
          <w:lang w:eastAsia="de-DE"/>
        </w:rPr>
        <w:t xml:space="preserve"> „vernichten"), </w:t>
      </w:r>
      <w:r w:rsidRPr="00A330A9">
        <w:rPr>
          <w:rFonts w:eastAsia="Times New Roman"/>
          <w:b/>
          <w:bCs/>
          <w:rtl/>
          <w:lang w:eastAsia="de-DE"/>
        </w:rPr>
        <w:t>אֶת־הַחֹרִי</w:t>
      </w:r>
      <w:r w:rsidRPr="00A330A9">
        <w:rPr>
          <w:rFonts w:eastAsia="Times New Roman"/>
          <w:rtl/>
          <w:lang w:eastAsia="de-DE"/>
        </w:rPr>
        <w:t xml:space="preserve"> </w:t>
      </w:r>
      <w:r w:rsidRPr="00A330A9">
        <w:rPr>
          <w:rFonts w:eastAsia="Times New Roman"/>
          <w:lang w:eastAsia="de-DE"/>
        </w:rPr>
        <w:t xml:space="preserve">(Objektpartikel mit </w:t>
      </w:r>
      <w:r w:rsidRPr="00A330A9">
        <w:rPr>
          <w:rFonts w:eastAsia="Times New Roman"/>
          <w:b/>
          <w:bCs/>
          <w:rtl/>
          <w:lang w:eastAsia="de-DE"/>
        </w:rPr>
        <w:t>הַחֹרִי</w:t>
      </w:r>
      <w:r w:rsidRPr="00A330A9">
        <w:rPr>
          <w:rFonts w:eastAsia="Times New Roman"/>
          <w:lang w:eastAsia="de-DE"/>
        </w:rPr>
        <w:t xml:space="preserve">, Kollektivsingular „der Horiter" mit Artikel), </w:t>
      </w:r>
      <w:r w:rsidRPr="00A330A9">
        <w:rPr>
          <w:rFonts w:eastAsia="Times New Roman"/>
          <w:b/>
          <w:bCs/>
          <w:rtl/>
          <w:lang w:eastAsia="de-DE"/>
        </w:rPr>
        <w:t>מִפְּנֵיהֶם</w:t>
      </w:r>
      <w:r w:rsidRPr="00A330A9">
        <w:rPr>
          <w:rFonts w:eastAsia="Times New Roman"/>
          <w:rtl/>
          <w:lang w:eastAsia="de-DE"/>
        </w:rPr>
        <w:t xml:space="preserve"> </w:t>
      </w:r>
      <w:r w:rsidRPr="00A330A9">
        <w:rPr>
          <w:rFonts w:eastAsia="Times New Roman"/>
          <w:lang w:eastAsia="de-DE"/>
        </w:rPr>
        <w:t>(</w:t>
      </w:r>
      <w:r w:rsidRPr="00A330A9">
        <w:rPr>
          <w:rFonts w:eastAsia="Times New Roman"/>
          <w:b/>
          <w:bCs/>
          <w:rtl/>
          <w:lang w:eastAsia="de-DE"/>
        </w:rPr>
        <w:t>מִן</w:t>
      </w:r>
      <w:r w:rsidRPr="00A330A9">
        <w:rPr>
          <w:rFonts w:eastAsia="Times New Roman"/>
          <w:rtl/>
          <w:lang w:eastAsia="de-DE"/>
        </w:rPr>
        <w:t xml:space="preserve"> </w:t>
      </w:r>
      <w:r w:rsidRPr="00A330A9">
        <w:rPr>
          <w:rFonts w:eastAsia="Times New Roman"/>
          <w:lang w:eastAsia="de-DE"/>
        </w:rPr>
        <w:t xml:space="preserve">„vor" mit </w:t>
      </w:r>
      <w:r w:rsidRPr="00A330A9">
        <w:rPr>
          <w:rFonts w:eastAsia="Times New Roman"/>
          <w:b/>
          <w:bCs/>
          <w:rtl/>
          <w:lang w:eastAsia="de-DE"/>
        </w:rPr>
        <w:t>פָּנִים</w:t>
      </w:r>
      <w:r w:rsidRPr="00A330A9">
        <w:rPr>
          <w:rFonts w:eastAsia="Times New Roman"/>
          <w:rtl/>
          <w:lang w:eastAsia="de-DE"/>
        </w:rPr>
        <w:t xml:space="preserve"> </w:t>
      </w:r>
      <w:r w:rsidRPr="00A330A9">
        <w:rPr>
          <w:rFonts w:eastAsia="Times New Roman"/>
          <w:lang w:eastAsia="de-DE"/>
        </w:rPr>
        <w:t>und Suffix 3. Person Plural).</w:t>
      </w:r>
    </w:p>
    <w:p w14:paraId="4E4A20D8"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rtl/>
          <w:lang w:eastAsia="de-DE"/>
        </w:rPr>
        <w:t>וַיִּירָשֻׁם וַיֵּשְׁבוּ תַחְתָּם</w:t>
      </w:r>
      <w:r w:rsidRPr="00A330A9">
        <w:rPr>
          <w:rFonts w:eastAsia="Times New Roman"/>
          <w:rtl/>
          <w:lang w:eastAsia="de-DE"/>
        </w:rPr>
        <w:t xml:space="preserve"> </w:t>
      </w:r>
      <w:r w:rsidRPr="00A330A9">
        <w:rPr>
          <w:rFonts w:eastAsia="Times New Roman"/>
          <w:lang w:eastAsia="de-DE"/>
        </w:rPr>
        <w:t xml:space="preserve">ist identisch mit V. 21, nun mit den Edomitern als Subjekt. </w:t>
      </w:r>
      <w:r w:rsidRPr="00A330A9">
        <w:rPr>
          <w:rFonts w:eastAsia="Times New Roman"/>
          <w:b/>
          <w:bCs/>
          <w:rtl/>
          <w:lang w:eastAsia="de-DE"/>
        </w:rPr>
        <w:t>עַד הַיּוֹם הַזֶּה</w:t>
      </w:r>
      <w:r w:rsidRPr="00A330A9">
        <w:rPr>
          <w:rFonts w:eastAsia="Times New Roman"/>
          <w:rtl/>
          <w:lang w:eastAsia="de-DE"/>
        </w:rPr>
        <w:t xml:space="preserve"> </w:t>
      </w:r>
      <w:r w:rsidRPr="00A330A9">
        <w:rPr>
          <w:rFonts w:eastAsia="Times New Roman"/>
          <w:lang w:eastAsia="de-DE"/>
        </w:rPr>
        <w:t xml:space="preserve">ist eine temporale Phrase: </w:t>
      </w:r>
      <w:r w:rsidRPr="00A330A9">
        <w:rPr>
          <w:rFonts w:eastAsia="Times New Roman"/>
          <w:b/>
          <w:bCs/>
          <w:rtl/>
          <w:lang w:eastAsia="de-DE"/>
        </w:rPr>
        <w:t>עַד</w:t>
      </w:r>
      <w:r w:rsidRPr="00A330A9">
        <w:rPr>
          <w:rFonts w:eastAsia="Times New Roman"/>
          <w:rtl/>
          <w:lang w:eastAsia="de-DE"/>
        </w:rPr>
        <w:t xml:space="preserve"> </w:t>
      </w:r>
      <w:r w:rsidRPr="00A330A9">
        <w:rPr>
          <w:rFonts w:eastAsia="Times New Roman"/>
          <w:lang w:eastAsia="de-DE"/>
        </w:rPr>
        <w:t xml:space="preserve">(„bis"), </w:t>
      </w:r>
      <w:r w:rsidRPr="00A330A9">
        <w:rPr>
          <w:rFonts w:eastAsia="Times New Roman"/>
          <w:b/>
          <w:bCs/>
          <w:rtl/>
          <w:lang w:eastAsia="de-DE"/>
        </w:rPr>
        <w:t>הַיּוֹם הַזֶּה</w:t>
      </w:r>
      <w:r w:rsidRPr="00A330A9">
        <w:rPr>
          <w:rFonts w:eastAsia="Times New Roman"/>
          <w:rtl/>
          <w:lang w:eastAsia="de-DE"/>
        </w:rPr>
        <w:t xml:space="preserve"> </w:t>
      </w:r>
      <w:r w:rsidRPr="00A330A9">
        <w:rPr>
          <w:rFonts w:eastAsia="Times New Roman"/>
          <w:lang w:eastAsia="de-DE"/>
        </w:rPr>
        <w:t>(„dieser Tag"), eine häufige Formel, die bis zur Gegenwart des Erzählers reicht.</w:t>
      </w:r>
    </w:p>
    <w:p w14:paraId="0CDAE3B3"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Die LXX</w:t>
      </w:r>
      <w:r w:rsidRPr="00A330A9">
        <w:rPr>
          <w:rFonts w:eastAsia="Times New Roman"/>
          <w:lang w:eastAsia="de-DE"/>
        </w:rPr>
        <w:t xml:space="preserve"> übersetzt „</w:t>
      </w:r>
      <w:proofErr w:type="spellStart"/>
      <w:r w:rsidRPr="00A330A9">
        <w:rPr>
          <w:rFonts w:eastAsia="Times New Roman"/>
          <w:lang w:eastAsia="de-DE"/>
        </w:rPr>
        <w:t>ὃν</w:t>
      </w:r>
      <w:proofErr w:type="spellEnd"/>
      <w:r w:rsidRPr="00A330A9">
        <w:rPr>
          <w:rFonts w:eastAsia="Times New Roman"/>
          <w:lang w:eastAsia="de-DE"/>
        </w:rPr>
        <w:t xml:space="preserve"> </w:t>
      </w:r>
      <w:proofErr w:type="spellStart"/>
      <w:r w:rsidRPr="00A330A9">
        <w:rPr>
          <w:rFonts w:eastAsia="Times New Roman"/>
          <w:lang w:eastAsia="de-DE"/>
        </w:rPr>
        <w:t>τρό</w:t>
      </w:r>
      <w:proofErr w:type="spellEnd"/>
      <w:r w:rsidRPr="00A330A9">
        <w:rPr>
          <w:rFonts w:eastAsia="Times New Roman"/>
          <w:lang w:eastAsia="de-DE"/>
        </w:rPr>
        <w:t>πον ἐπ</w:t>
      </w:r>
      <w:proofErr w:type="spellStart"/>
      <w:r w:rsidRPr="00A330A9">
        <w:rPr>
          <w:rFonts w:eastAsia="Times New Roman"/>
          <w:lang w:eastAsia="de-DE"/>
        </w:rPr>
        <w:t>οίησ</w:t>
      </w:r>
      <w:proofErr w:type="spellEnd"/>
      <w:r w:rsidRPr="00A330A9">
        <w:rPr>
          <w:rFonts w:eastAsia="Times New Roman"/>
          <w:lang w:eastAsia="de-DE"/>
        </w:rPr>
        <w:t xml:space="preserve">αν </w:t>
      </w:r>
      <w:proofErr w:type="spellStart"/>
      <w:r w:rsidRPr="00A330A9">
        <w:rPr>
          <w:rFonts w:eastAsia="Times New Roman"/>
          <w:lang w:eastAsia="de-DE"/>
        </w:rPr>
        <w:t>υἱοὶ</w:t>
      </w:r>
      <w:proofErr w:type="spellEnd"/>
      <w:r w:rsidRPr="00A330A9">
        <w:rPr>
          <w:rFonts w:eastAsia="Times New Roman"/>
          <w:lang w:eastAsia="de-DE"/>
        </w:rPr>
        <w:t xml:space="preserve"> </w:t>
      </w:r>
      <w:proofErr w:type="spellStart"/>
      <w:r w:rsidRPr="00A330A9">
        <w:rPr>
          <w:rFonts w:eastAsia="Times New Roman"/>
          <w:lang w:eastAsia="de-DE"/>
        </w:rPr>
        <w:t>Ησ</w:t>
      </w:r>
      <w:proofErr w:type="spellEnd"/>
      <w:r w:rsidRPr="00A330A9">
        <w:rPr>
          <w:rFonts w:eastAsia="Times New Roman"/>
          <w:lang w:eastAsia="de-DE"/>
        </w:rPr>
        <w:t xml:space="preserve">αυ </w:t>
      </w:r>
      <w:proofErr w:type="spellStart"/>
      <w:r w:rsidRPr="00A330A9">
        <w:rPr>
          <w:rFonts w:eastAsia="Times New Roman"/>
          <w:lang w:eastAsia="de-DE"/>
        </w:rPr>
        <w:t>τοῖς</w:t>
      </w:r>
      <w:proofErr w:type="spellEnd"/>
      <w:r w:rsidRPr="00A330A9">
        <w:rPr>
          <w:rFonts w:eastAsia="Times New Roman"/>
          <w:lang w:eastAsia="de-DE"/>
        </w:rPr>
        <w:t xml:space="preserve"> κα</w:t>
      </w:r>
      <w:proofErr w:type="spellStart"/>
      <w:r w:rsidRPr="00A330A9">
        <w:rPr>
          <w:rFonts w:eastAsia="Times New Roman"/>
          <w:lang w:eastAsia="de-DE"/>
        </w:rPr>
        <w:t>τοικοῦσιν</w:t>
      </w:r>
      <w:proofErr w:type="spellEnd"/>
      <w:r w:rsidRPr="00A330A9">
        <w:rPr>
          <w:rFonts w:eastAsia="Times New Roman"/>
          <w:lang w:eastAsia="de-DE"/>
        </w:rPr>
        <w:t xml:space="preserve"> </w:t>
      </w:r>
      <w:proofErr w:type="spellStart"/>
      <w:r w:rsidRPr="00A330A9">
        <w:rPr>
          <w:rFonts w:eastAsia="Times New Roman"/>
          <w:lang w:eastAsia="de-DE"/>
        </w:rPr>
        <w:t>ἐν</w:t>
      </w:r>
      <w:proofErr w:type="spellEnd"/>
      <w:r w:rsidRPr="00A330A9">
        <w:rPr>
          <w:rFonts w:eastAsia="Times New Roman"/>
          <w:lang w:eastAsia="de-DE"/>
        </w:rPr>
        <w:t xml:space="preserve"> </w:t>
      </w:r>
      <w:proofErr w:type="spellStart"/>
      <w:r w:rsidRPr="00A330A9">
        <w:rPr>
          <w:rFonts w:eastAsia="Times New Roman"/>
          <w:lang w:eastAsia="de-DE"/>
        </w:rPr>
        <w:t>Σηιρ</w:t>
      </w:r>
      <w:proofErr w:type="spellEnd"/>
      <w:r w:rsidRPr="00A330A9">
        <w:rPr>
          <w:rFonts w:eastAsia="Times New Roman"/>
          <w:lang w:eastAsia="de-DE"/>
        </w:rPr>
        <w:t xml:space="preserve">, </w:t>
      </w:r>
      <w:proofErr w:type="spellStart"/>
      <w:r w:rsidRPr="00A330A9">
        <w:rPr>
          <w:rFonts w:eastAsia="Times New Roman"/>
          <w:lang w:eastAsia="de-DE"/>
        </w:rPr>
        <w:t>ὃν</w:t>
      </w:r>
      <w:proofErr w:type="spellEnd"/>
      <w:r w:rsidRPr="00A330A9">
        <w:rPr>
          <w:rFonts w:eastAsia="Times New Roman"/>
          <w:lang w:eastAsia="de-DE"/>
        </w:rPr>
        <w:t xml:space="preserve"> </w:t>
      </w:r>
      <w:proofErr w:type="spellStart"/>
      <w:r w:rsidRPr="00A330A9">
        <w:rPr>
          <w:rFonts w:eastAsia="Times New Roman"/>
          <w:lang w:eastAsia="de-DE"/>
        </w:rPr>
        <w:t>τρό</w:t>
      </w:r>
      <w:proofErr w:type="spellEnd"/>
      <w:r w:rsidRPr="00A330A9">
        <w:rPr>
          <w:rFonts w:eastAsia="Times New Roman"/>
          <w:lang w:eastAsia="de-DE"/>
        </w:rPr>
        <w:t xml:space="preserve">πον </w:t>
      </w:r>
      <w:proofErr w:type="spellStart"/>
      <w:r w:rsidRPr="00A330A9">
        <w:rPr>
          <w:rFonts w:eastAsia="Times New Roman"/>
          <w:lang w:eastAsia="de-DE"/>
        </w:rPr>
        <w:t>ἐξέτριψ</w:t>
      </w:r>
      <w:proofErr w:type="spellEnd"/>
      <w:r w:rsidRPr="00A330A9">
        <w:rPr>
          <w:rFonts w:eastAsia="Times New Roman"/>
          <w:lang w:eastAsia="de-DE"/>
        </w:rPr>
        <w:t xml:space="preserve">αν </w:t>
      </w:r>
      <w:proofErr w:type="spellStart"/>
      <w:r w:rsidRPr="00A330A9">
        <w:rPr>
          <w:rFonts w:eastAsia="Times New Roman"/>
          <w:lang w:eastAsia="de-DE"/>
        </w:rPr>
        <w:t>τὸν</w:t>
      </w:r>
      <w:proofErr w:type="spellEnd"/>
      <w:r w:rsidRPr="00A330A9">
        <w:rPr>
          <w:rFonts w:eastAsia="Times New Roman"/>
          <w:lang w:eastAsia="de-DE"/>
        </w:rPr>
        <w:t xml:space="preserve"> </w:t>
      </w:r>
      <w:proofErr w:type="spellStart"/>
      <w:r w:rsidRPr="00A330A9">
        <w:rPr>
          <w:rFonts w:eastAsia="Times New Roman"/>
          <w:lang w:eastAsia="de-DE"/>
        </w:rPr>
        <w:t>Χορρ</w:t>
      </w:r>
      <w:proofErr w:type="spellEnd"/>
      <w:r w:rsidRPr="00A330A9">
        <w:rPr>
          <w:rFonts w:eastAsia="Times New Roman"/>
          <w:lang w:eastAsia="de-DE"/>
        </w:rPr>
        <w:t>αῖον ἀπὸ π</w:t>
      </w:r>
      <w:proofErr w:type="spellStart"/>
      <w:r w:rsidRPr="00A330A9">
        <w:rPr>
          <w:rFonts w:eastAsia="Times New Roman"/>
          <w:lang w:eastAsia="de-DE"/>
        </w:rPr>
        <w:t>ροσώ</w:t>
      </w:r>
      <w:proofErr w:type="spellEnd"/>
      <w:r w:rsidRPr="00A330A9">
        <w:rPr>
          <w:rFonts w:eastAsia="Times New Roman"/>
          <w:lang w:eastAsia="de-DE"/>
        </w:rPr>
        <w:t>που α</w:t>
      </w:r>
      <w:proofErr w:type="spellStart"/>
      <w:r w:rsidRPr="00A330A9">
        <w:rPr>
          <w:rFonts w:eastAsia="Times New Roman"/>
          <w:lang w:eastAsia="de-DE"/>
        </w:rPr>
        <w:t>ὐτῶν</w:t>
      </w:r>
      <w:proofErr w:type="spellEnd"/>
      <w:r w:rsidRPr="00A330A9">
        <w:rPr>
          <w:rFonts w:eastAsia="Times New Roman"/>
          <w:lang w:eastAsia="de-DE"/>
        </w:rPr>
        <w:t xml:space="preserve"> καὶ κα</w:t>
      </w:r>
      <w:proofErr w:type="spellStart"/>
      <w:r w:rsidRPr="00A330A9">
        <w:rPr>
          <w:rFonts w:eastAsia="Times New Roman"/>
          <w:lang w:eastAsia="de-DE"/>
        </w:rPr>
        <w:t>τεκληρονόμησ</w:t>
      </w:r>
      <w:proofErr w:type="spellEnd"/>
      <w:r w:rsidRPr="00A330A9">
        <w:rPr>
          <w:rFonts w:eastAsia="Times New Roman"/>
          <w:lang w:eastAsia="de-DE"/>
        </w:rPr>
        <w:t>αν καὶ κα</w:t>
      </w:r>
      <w:proofErr w:type="spellStart"/>
      <w:r w:rsidRPr="00A330A9">
        <w:rPr>
          <w:rFonts w:eastAsia="Times New Roman"/>
          <w:lang w:eastAsia="de-DE"/>
        </w:rPr>
        <w:t>τῳκίσθησ</w:t>
      </w:r>
      <w:proofErr w:type="spellEnd"/>
      <w:r w:rsidRPr="00A330A9">
        <w:rPr>
          <w:rFonts w:eastAsia="Times New Roman"/>
          <w:lang w:eastAsia="de-DE"/>
        </w:rPr>
        <w:t xml:space="preserve">αν </w:t>
      </w:r>
      <w:proofErr w:type="spellStart"/>
      <w:r w:rsidRPr="00A330A9">
        <w:rPr>
          <w:rFonts w:eastAsia="Times New Roman"/>
          <w:lang w:eastAsia="de-DE"/>
        </w:rPr>
        <w:t>ἀντ</w:t>
      </w:r>
      <w:proofErr w:type="spellEnd"/>
      <w:r w:rsidRPr="00A330A9">
        <w:rPr>
          <w:rFonts w:eastAsia="Times New Roman"/>
          <w:lang w:eastAsia="de-DE"/>
        </w:rPr>
        <w:t>' α</w:t>
      </w:r>
      <w:proofErr w:type="spellStart"/>
      <w:r w:rsidRPr="00A330A9">
        <w:rPr>
          <w:rFonts w:eastAsia="Times New Roman"/>
          <w:lang w:eastAsia="de-DE"/>
        </w:rPr>
        <w:t>ὐτῶν</w:t>
      </w:r>
      <w:proofErr w:type="spellEnd"/>
      <w:r w:rsidRPr="00A330A9">
        <w:rPr>
          <w:rFonts w:eastAsia="Times New Roman"/>
          <w:lang w:eastAsia="de-DE"/>
        </w:rPr>
        <w:t xml:space="preserve"> </w:t>
      </w:r>
      <w:proofErr w:type="spellStart"/>
      <w:r w:rsidRPr="00A330A9">
        <w:rPr>
          <w:rFonts w:eastAsia="Times New Roman"/>
          <w:lang w:eastAsia="de-DE"/>
        </w:rPr>
        <w:t>ἕως</w:t>
      </w:r>
      <w:proofErr w:type="spellEnd"/>
      <w:r w:rsidRPr="00A330A9">
        <w:rPr>
          <w:rFonts w:eastAsia="Times New Roman"/>
          <w:lang w:eastAsia="de-DE"/>
        </w:rPr>
        <w:t xml:space="preserve"> </w:t>
      </w:r>
      <w:proofErr w:type="spellStart"/>
      <w:r w:rsidRPr="00A330A9">
        <w:rPr>
          <w:rFonts w:eastAsia="Times New Roman"/>
          <w:lang w:eastAsia="de-DE"/>
        </w:rPr>
        <w:t>τῆς</w:t>
      </w:r>
      <w:proofErr w:type="spellEnd"/>
      <w:r w:rsidRPr="00A330A9">
        <w:rPr>
          <w:rFonts w:eastAsia="Times New Roman"/>
          <w:lang w:eastAsia="de-DE"/>
        </w:rPr>
        <w:t xml:space="preserve"> </w:t>
      </w:r>
      <w:proofErr w:type="spellStart"/>
      <w:r w:rsidRPr="00A330A9">
        <w:rPr>
          <w:rFonts w:eastAsia="Times New Roman"/>
          <w:lang w:eastAsia="de-DE"/>
        </w:rPr>
        <w:t>ἡμέρ</w:t>
      </w:r>
      <w:proofErr w:type="spellEnd"/>
      <w:r w:rsidRPr="00A330A9">
        <w:rPr>
          <w:rFonts w:eastAsia="Times New Roman"/>
          <w:lang w:eastAsia="de-DE"/>
        </w:rPr>
        <w:t>ας τα</w:t>
      </w:r>
      <w:proofErr w:type="spellStart"/>
      <w:r w:rsidRPr="00A330A9">
        <w:rPr>
          <w:rFonts w:eastAsia="Times New Roman"/>
          <w:lang w:eastAsia="de-DE"/>
        </w:rPr>
        <w:t>ύτης</w:t>
      </w:r>
      <w:proofErr w:type="spellEnd"/>
      <w:r w:rsidRPr="00A330A9">
        <w:rPr>
          <w:rFonts w:eastAsia="Times New Roman"/>
          <w:lang w:eastAsia="de-DE"/>
        </w:rPr>
        <w:t xml:space="preserve">" („auf welche Weise die Söhne Esaus getan haben denen, die in Seir wohnen, auf welche Weise sie den </w:t>
      </w:r>
      <w:proofErr w:type="spellStart"/>
      <w:r w:rsidRPr="00A330A9">
        <w:rPr>
          <w:rFonts w:eastAsia="Times New Roman"/>
          <w:lang w:eastAsia="de-DE"/>
        </w:rPr>
        <w:t>Horräer</w:t>
      </w:r>
      <w:proofErr w:type="spellEnd"/>
      <w:r w:rsidRPr="00A330A9">
        <w:rPr>
          <w:rFonts w:eastAsia="Times New Roman"/>
          <w:lang w:eastAsia="de-DE"/>
        </w:rPr>
        <w:t xml:space="preserve"> von ihrem Angesicht vertilgten und erbten und sich niederließen an ihrer Stelle bis zu diesem Tag").</w:t>
      </w:r>
    </w:p>
    <w:p w14:paraId="445E0CB7"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lang w:eastAsia="de-DE"/>
        </w:rPr>
        <w:t>Die Satzstruktur ist ein Vergleichssatz (</w:t>
      </w:r>
      <w:r w:rsidRPr="00A330A9">
        <w:rPr>
          <w:rFonts w:eastAsia="Times New Roman"/>
          <w:b/>
          <w:bCs/>
          <w:rtl/>
          <w:lang w:eastAsia="de-DE"/>
        </w:rPr>
        <w:t>כַּאֲשֶׁר עָשָׂה לִבְנֵי עֵשָׂו הַיֹּשְׁבִים בְּשֵׂעִיר</w:t>
      </w:r>
      <w:r w:rsidRPr="00A330A9">
        <w:rPr>
          <w:rFonts w:eastAsia="Times New Roman"/>
          <w:lang w:eastAsia="de-DE"/>
        </w:rPr>
        <w:t>) mit erweitertem Relativsatz (</w:t>
      </w:r>
      <w:r w:rsidRPr="00A330A9">
        <w:rPr>
          <w:rFonts w:eastAsia="Times New Roman"/>
          <w:b/>
          <w:bCs/>
          <w:rtl/>
          <w:lang w:eastAsia="de-DE"/>
        </w:rPr>
        <w:t>אֲשֶׁר הִשְׁמִיד אֶת־הַחֹרִי מִפְּנֵיהֶם</w:t>
      </w:r>
      <w:r w:rsidRPr="00A330A9">
        <w:rPr>
          <w:rFonts w:eastAsia="Times New Roman"/>
          <w:lang w:eastAsia="de-DE"/>
        </w:rPr>
        <w:t>), gefolgt von zwei koordinierten Verben (</w:t>
      </w:r>
      <w:r w:rsidRPr="00A330A9">
        <w:rPr>
          <w:rFonts w:eastAsia="Times New Roman"/>
          <w:b/>
          <w:bCs/>
          <w:rtl/>
          <w:lang w:eastAsia="de-DE"/>
        </w:rPr>
        <w:t>וַיִּירָשֻׁם וַיֵּשְׁבוּ תַחְתָּם</w:t>
      </w:r>
      <w:r w:rsidRPr="00A330A9">
        <w:rPr>
          <w:rFonts w:eastAsia="Times New Roman"/>
          <w:lang w:eastAsia="de-DE"/>
        </w:rPr>
        <w:t>) und temporaler Erweiterung (</w:t>
      </w:r>
      <w:r w:rsidRPr="00A330A9">
        <w:rPr>
          <w:rFonts w:eastAsia="Times New Roman"/>
          <w:b/>
          <w:bCs/>
          <w:rtl/>
          <w:lang w:eastAsia="de-DE"/>
        </w:rPr>
        <w:t>עַד הַיּוֹם הַזֶּה</w:t>
      </w:r>
      <w:r w:rsidRPr="00A330A9">
        <w:rPr>
          <w:rFonts w:eastAsia="Times New Roman"/>
          <w:lang w:eastAsia="de-DE"/>
        </w:rPr>
        <w:t>).</w:t>
      </w:r>
    </w:p>
    <w:p w14:paraId="671A9548" w14:textId="0351D476"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lang w:eastAsia="de-DE"/>
        </w:rPr>
        <w:t xml:space="preserve">Der Vers zieht eine explizite Parallele zwischen JHWHs Handeln für Edom (bereits in V. 12 erwähnt) und seinem Handeln für Ammon: In beiden Fällen vernichtete JHWH die Vorbewohner (Horiter bzw. </w:t>
      </w:r>
      <w:r w:rsidR="00D91A0B">
        <w:rPr>
          <w:rFonts w:eastAsia="Times New Roman"/>
          <w:lang w:eastAsia="de-DE"/>
        </w:rPr>
        <w:t>Ephraim</w:t>
      </w:r>
      <w:r w:rsidRPr="00A330A9">
        <w:rPr>
          <w:rFonts w:eastAsia="Times New Roman"/>
          <w:lang w:eastAsia="de-DE"/>
        </w:rPr>
        <w:t xml:space="preserve">/Samsummim), damit die von ihm bestimmten Völker </w:t>
      </w:r>
      <w:r w:rsidRPr="00A330A9">
        <w:rPr>
          <w:rFonts w:eastAsia="Times New Roman"/>
          <w:lang w:eastAsia="de-DE"/>
        </w:rPr>
        <w:lastRenderedPageBreak/>
        <w:t xml:space="preserve">das Land in Besitz nehmen konnten. Die Formel </w:t>
      </w:r>
      <w:r w:rsidRPr="00A330A9">
        <w:rPr>
          <w:rFonts w:eastAsia="Times New Roman"/>
          <w:b/>
          <w:bCs/>
          <w:rtl/>
          <w:lang w:eastAsia="de-DE"/>
        </w:rPr>
        <w:t>עַד הַיּוֹם הַזֶּה</w:t>
      </w:r>
      <w:r w:rsidRPr="00A330A9">
        <w:rPr>
          <w:rFonts w:eastAsia="Times New Roman"/>
          <w:rtl/>
          <w:lang w:eastAsia="de-DE"/>
        </w:rPr>
        <w:t xml:space="preserve"> </w:t>
      </w:r>
      <w:r w:rsidRPr="00A330A9">
        <w:rPr>
          <w:rFonts w:eastAsia="Times New Roman"/>
          <w:lang w:eastAsia="de-DE"/>
        </w:rPr>
        <w:t>unterstreicht die dauerhafte Gültigkeit dieser Landverteilung.</w:t>
      </w:r>
    </w:p>
    <w:p w14:paraId="01DDCBF8" w14:textId="77777777" w:rsidR="00A330A9" w:rsidRPr="00A330A9" w:rsidRDefault="00A330A9" w:rsidP="00A330A9">
      <w:pPr>
        <w:spacing w:before="100" w:beforeAutospacing="1" w:after="100" w:afterAutospacing="1" w:line="240" w:lineRule="auto"/>
        <w:outlineLvl w:val="1"/>
        <w:rPr>
          <w:rFonts w:eastAsia="Times New Roman"/>
          <w:b/>
          <w:bCs/>
          <w:sz w:val="36"/>
          <w:szCs w:val="36"/>
          <w:lang w:eastAsia="de-DE"/>
        </w:rPr>
      </w:pPr>
      <w:r w:rsidRPr="00A330A9">
        <w:rPr>
          <w:rFonts w:eastAsia="Times New Roman"/>
          <w:b/>
          <w:bCs/>
          <w:sz w:val="36"/>
          <w:szCs w:val="36"/>
          <w:lang w:eastAsia="de-DE"/>
        </w:rPr>
        <w:t>Deuteronomium 2,23</w:t>
      </w:r>
    </w:p>
    <w:p w14:paraId="34E69048"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Hebräisch:</w:t>
      </w:r>
      <w:r w:rsidRPr="00A330A9">
        <w:rPr>
          <w:rFonts w:eastAsia="Times New Roman"/>
          <w:lang w:eastAsia="de-DE"/>
        </w:rPr>
        <w:t xml:space="preserve"> </w:t>
      </w:r>
      <w:r w:rsidRPr="00A330A9">
        <w:rPr>
          <w:rFonts w:eastAsia="Times New Roman"/>
          <w:rtl/>
          <w:lang w:eastAsia="de-DE"/>
        </w:rPr>
        <w:t>וְהָֽעַוִּ֛ים הַיֹּשְׁבִ֥ים בַּחֲצֵרִ֖ים עַד־עַזָּ֑ה כַּפְתֹּרִים֙ הַיֹּצְאִ֣ים מִכַּפְתֹּ֔ור הִשְׁמִידֻ֖ם וַיֵּשְׁב֥וּ תַחְתָּֽם׃</w:t>
      </w:r>
    </w:p>
    <w:p w14:paraId="0C39F3ED"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Deutsch:</w:t>
      </w:r>
      <w:r w:rsidRPr="00A330A9">
        <w:rPr>
          <w:rFonts w:eastAsia="Times New Roman"/>
          <w:lang w:eastAsia="de-DE"/>
        </w:rPr>
        <w:t xml:space="preserve"> Und die Avim, die in Chaserim bis Asa wohnten – die Kaphtorim, die aus Kaphtor kamen, vernichteten sie und wohnten an ihrer Stelle.</w:t>
      </w:r>
    </w:p>
    <w:p w14:paraId="264F8671" w14:textId="77777777" w:rsidR="00A330A9" w:rsidRPr="00A330A9" w:rsidRDefault="004F5CEB" w:rsidP="00A330A9">
      <w:pPr>
        <w:spacing w:after="0" w:line="240" w:lineRule="auto"/>
        <w:rPr>
          <w:rFonts w:eastAsia="Times New Roman"/>
          <w:lang w:eastAsia="de-DE"/>
        </w:rPr>
      </w:pPr>
      <w:r>
        <w:rPr>
          <w:rFonts w:eastAsia="Times New Roman"/>
          <w:noProof/>
          <w:lang w:eastAsia="de-DE"/>
        </w:rPr>
        <w:pict w14:anchorId="3F154699">
          <v:rect id="_x0000_i1093" style="width:0;height:1.5pt" o:hralign="center" o:hrstd="t" o:hr="t" fillcolor="#a0a0a0" stroked="f"/>
        </w:pict>
      </w:r>
    </w:p>
    <w:p w14:paraId="53E5717E" w14:textId="54637C3D"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Kommentar:</w:t>
      </w:r>
      <w:r w:rsidRPr="00A330A9">
        <w:rPr>
          <w:rFonts w:eastAsia="Times New Roman"/>
          <w:lang w:eastAsia="de-DE"/>
        </w:rPr>
        <w:t xml:space="preserve"> </w:t>
      </w:r>
      <w:r w:rsidRPr="00A330A9">
        <w:rPr>
          <w:rFonts w:eastAsia="Times New Roman"/>
          <w:b/>
          <w:bCs/>
          <w:rtl/>
          <w:lang w:eastAsia="de-DE"/>
        </w:rPr>
        <w:t>וְהָעַוִּים הַיֹּשְׁבִים בַּחֲצֵרִים עַד־עַזָּה</w:t>
      </w:r>
      <w:r w:rsidRPr="00A330A9">
        <w:rPr>
          <w:rFonts w:eastAsia="Times New Roman"/>
          <w:rtl/>
          <w:lang w:eastAsia="de-DE"/>
        </w:rPr>
        <w:t xml:space="preserve"> </w:t>
      </w:r>
      <w:r w:rsidRPr="00A330A9">
        <w:rPr>
          <w:rFonts w:eastAsia="Times New Roman"/>
          <w:lang w:eastAsia="de-DE"/>
        </w:rPr>
        <w:t xml:space="preserve">ist das Subjekt: </w:t>
      </w:r>
      <w:r w:rsidRPr="00A330A9">
        <w:rPr>
          <w:rFonts w:eastAsia="Times New Roman"/>
          <w:b/>
          <w:bCs/>
          <w:rtl/>
          <w:lang w:eastAsia="de-DE"/>
        </w:rPr>
        <w:t>וְהָעַוִּים</w:t>
      </w:r>
      <w:r w:rsidRPr="00A330A9">
        <w:rPr>
          <w:rFonts w:eastAsia="Times New Roman"/>
          <w:rtl/>
          <w:lang w:eastAsia="de-DE"/>
        </w:rPr>
        <w:t xml:space="preserve"> </w:t>
      </w:r>
      <w:r w:rsidRPr="00A330A9">
        <w:rPr>
          <w:rFonts w:eastAsia="Times New Roman"/>
          <w:lang w:eastAsia="de-DE"/>
        </w:rPr>
        <w:t>(</w:t>
      </w:r>
      <w:r w:rsidR="00C13523">
        <w:rPr>
          <w:rFonts w:eastAsia="Times New Roman"/>
          <w:lang w:eastAsia="de-DE"/>
        </w:rPr>
        <w:t>Gentilicum</w:t>
      </w:r>
      <w:r w:rsidRPr="00A330A9">
        <w:rPr>
          <w:rFonts w:eastAsia="Times New Roman"/>
          <w:lang w:eastAsia="de-DE"/>
        </w:rPr>
        <w:t xml:space="preserve"> „die </w:t>
      </w:r>
      <w:proofErr w:type="spellStart"/>
      <w:r w:rsidRPr="00A330A9">
        <w:rPr>
          <w:rFonts w:eastAsia="Times New Roman"/>
          <w:lang w:eastAsia="de-DE"/>
        </w:rPr>
        <w:t>Awwiter</w:t>
      </w:r>
      <w:proofErr w:type="spellEnd"/>
      <w:r w:rsidRPr="00A330A9">
        <w:rPr>
          <w:rFonts w:eastAsia="Times New Roman"/>
          <w:lang w:eastAsia="de-DE"/>
        </w:rPr>
        <w:t xml:space="preserve">" mit Artikel), </w:t>
      </w:r>
      <w:r w:rsidRPr="00A330A9">
        <w:rPr>
          <w:rFonts w:eastAsia="Times New Roman"/>
          <w:b/>
          <w:bCs/>
          <w:rtl/>
          <w:lang w:eastAsia="de-DE"/>
        </w:rPr>
        <w:t>הַיֹּשְׁבִים</w:t>
      </w:r>
      <w:r w:rsidRPr="00A330A9">
        <w:rPr>
          <w:rFonts w:eastAsia="Times New Roman"/>
          <w:rtl/>
          <w:lang w:eastAsia="de-DE"/>
        </w:rPr>
        <w:t xml:space="preserve"> </w:t>
      </w:r>
      <w:r w:rsidRPr="00A330A9">
        <w:rPr>
          <w:rFonts w:eastAsia="Times New Roman"/>
          <w:lang w:eastAsia="de-DE"/>
        </w:rPr>
        <w:t xml:space="preserve">(Qal Partizip Plural von </w:t>
      </w:r>
      <w:r w:rsidRPr="00A330A9">
        <w:rPr>
          <w:rFonts w:eastAsia="Times New Roman"/>
          <w:rtl/>
          <w:lang w:eastAsia="de-DE"/>
        </w:rPr>
        <w:t>ישׁב</w:t>
      </w:r>
      <w:r w:rsidRPr="00A330A9">
        <w:rPr>
          <w:rFonts w:eastAsia="Times New Roman"/>
          <w:lang w:eastAsia="de-DE"/>
        </w:rPr>
        <w:t xml:space="preserve"> mit Artikel), </w:t>
      </w:r>
      <w:r w:rsidRPr="00A330A9">
        <w:rPr>
          <w:rFonts w:eastAsia="Times New Roman"/>
          <w:b/>
          <w:bCs/>
          <w:rtl/>
          <w:lang w:eastAsia="de-DE"/>
        </w:rPr>
        <w:t>בַּחֲצֵרִים</w:t>
      </w:r>
      <w:r w:rsidRPr="00A330A9">
        <w:rPr>
          <w:rFonts w:eastAsia="Times New Roman"/>
          <w:rtl/>
          <w:lang w:eastAsia="de-DE"/>
        </w:rPr>
        <w:t xml:space="preserve"> </w:t>
      </w:r>
      <w:r w:rsidRPr="00A330A9">
        <w:rPr>
          <w:rFonts w:eastAsia="Times New Roman"/>
          <w:lang w:eastAsia="de-DE"/>
        </w:rPr>
        <w:t>(</w:t>
      </w:r>
      <w:r w:rsidRPr="00A330A9">
        <w:rPr>
          <w:rFonts w:eastAsia="Times New Roman"/>
          <w:b/>
          <w:bCs/>
          <w:rtl/>
          <w:lang w:eastAsia="de-DE"/>
        </w:rPr>
        <w:t>בְּ</w:t>
      </w:r>
      <w:r w:rsidRPr="00A330A9">
        <w:rPr>
          <w:rFonts w:eastAsia="Times New Roman"/>
          <w:rtl/>
          <w:lang w:eastAsia="de-DE"/>
        </w:rPr>
        <w:t xml:space="preserve"> </w:t>
      </w:r>
      <w:r w:rsidRPr="00A330A9">
        <w:rPr>
          <w:rFonts w:eastAsia="Times New Roman"/>
          <w:lang w:eastAsia="de-DE"/>
        </w:rPr>
        <w:t xml:space="preserve">mit </w:t>
      </w:r>
      <w:r w:rsidRPr="00A330A9">
        <w:rPr>
          <w:rFonts w:eastAsia="Times New Roman"/>
          <w:b/>
          <w:bCs/>
          <w:rtl/>
          <w:lang w:eastAsia="de-DE"/>
        </w:rPr>
        <w:t>חֲצֵרִים</w:t>
      </w:r>
      <w:r w:rsidRPr="00A330A9">
        <w:rPr>
          <w:rFonts w:eastAsia="Times New Roman"/>
          <w:lang w:eastAsia="de-DE"/>
        </w:rPr>
        <w:t xml:space="preserve">, Plural von </w:t>
      </w:r>
      <w:r w:rsidRPr="00A330A9">
        <w:rPr>
          <w:rFonts w:eastAsia="Times New Roman"/>
          <w:b/>
          <w:bCs/>
          <w:rtl/>
          <w:lang w:eastAsia="de-DE"/>
        </w:rPr>
        <w:t>חָצֵר</w:t>
      </w:r>
      <w:r w:rsidRPr="00A330A9">
        <w:rPr>
          <w:rFonts w:eastAsia="Times New Roman"/>
          <w:rtl/>
          <w:lang w:eastAsia="de-DE"/>
        </w:rPr>
        <w:t xml:space="preserve"> </w:t>
      </w:r>
      <w:r w:rsidRPr="00A330A9">
        <w:rPr>
          <w:rFonts w:eastAsia="Times New Roman"/>
          <w:lang w:eastAsia="de-DE"/>
        </w:rPr>
        <w:t xml:space="preserve">„Gehöft, Dorf"), </w:t>
      </w:r>
      <w:r w:rsidRPr="00A330A9">
        <w:rPr>
          <w:rFonts w:eastAsia="Times New Roman"/>
          <w:b/>
          <w:bCs/>
          <w:rtl/>
          <w:lang w:eastAsia="de-DE"/>
        </w:rPr>
        <w:t>עַד־עַזָּה</w:t>
      </w:r>
      <w:r w:rsidRPr="00A330A9">
        <w:rPr>
          <w:rFonts w:eastAsia="Times New Roman"/>
          <w:rtl/>
          <w:lang w:eastAsia="de-DE"/>
        </w:rPr>
        <w:t xml:space="preserve"> </w:t>
      </w:r>
      <w:r w:rsidRPr="00A330A9">
        <w:rPr>
          <w:rFonts w:eastAsia="Times New Roman"/>
          <w:lang w:eastAsia="de-DE"/>
        </w:rPr>
        <w:t>(</w:t>
      </w:r>
      <w:r w:rsidRPr="00A330A9">
        <w:rPr>
          <w:rFonts w:eastAsia="Times New Roman"/>
          <w:b/>
          <w:bCs/>
          <w:rtl/>
          <w:lang w:eastAsia="de-DE"/>
        </w:rPr>
        <w:t>עַד</w:t>
      </w:r>
      <w:r w:rsidRPr="00A330A9">
        <w:rPr>
          <w:rFonts w:eastAsia="Times New Roman"/>
          <w:rtl/>
          <w:lang w:eastAsia="de-DE"/>
        </w:rPr>
        <w:t xml:space="preserve"> </w:t>
      </w:r>
      <w:r w:rsidRPr="00A330A9">
        <w:rPr>
          <w:rFonts w:eastAsia="Times New Roman"/>
          <w:lang w:eastAsia="de-DE"/>
        </w:rPr>
        <w:t xml:space="preserve">„bis" mit </w:t>
      </w:r>
      <w:r w:rsidRPr="00A330A9">
        <w:rPr>
          <w:rFonts w:eastAsia="Times New Roman"/>
          <w:b/>
          <w:bCs/>
          <w:rtl/>
          <w:lang w:eastAsia="de-DE"/>
        </w:rPr>
        <w:t>עַזָּה</w:t>
      </w:r>
      <w:r w:rsidRPr="00A330A9">
        <w:rPr>
          <w:rFonts w:eastAsia="Times New Roman"/>
          <w:rtl/>
          <w:lang w:eastAsia="de-DE"/>
        </w:rPr>
        <w:t xml:space="preserve"> </w:t>
      </w:r>
      <w:r w:rsidRPr="00A330A9">
        <w:rPr>
          <w:rFonts w:eastAsia="Times New Roman"/>
          <w:lang w:eastAsia="de-DE"/>
        </w:rPr>
        <w:t>„Gaza", eine philistäische Stadt).</w:t>
      </w:r>
    </w:p>
    <w:p w14:paraId="243FE3D0" w14:textId="70C7D841"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rtl/>
          <w:lang w:eastAsia="de-DE"/>
        </w:rPr>
        <w:t>כַּפְתֹּרִים הַיֹּצְאִים מִכַּפְתּוֹר</w:t>
      </w:r>
      <w:r w:rsidRPr="00A330A9">
        <w:rPr>
          <w:rFonts w:eastAsia="Times New Roman"/>
          <w:rtl/>
          <w:lang w:eastAsia="de-DE"/>
        </w:rPr>
        <w:t xml:space="preserve"> </w:t>
      </w:r>
      <w:r w:rsidRPr="00A330A9">
        <w:rPr>
          <w:rFonts w:eastAsia="Times New Roman"/>
          <w:lang w:eastAsia="de-DE"/>
        </w:rPr>
        <w:t xml:space="preserve">ist ein zweites Subjekt (die Handelnden): </w:t>
      </w:r>
      <w:r w:rsidRPr="00A330A9">
        <w:rPr>
          <w:rFonts w:eastAsia="Times New Roman"/>
          <w:b/>
          <w:bCs/>
          <w:rtl/>
          <w:lang w:eastAsia="de-DE"/>
        </w:rPr>
        <w:t>כַּפְתֹּרִים</w:t>
      </w:r>
      <w:r w:rsidRPr="00A330A9">
        <w:rPr>
          <w:rFonts w:eastAsia="Times New Roman"/>
          <w:rtl/>
          <w:lang w:eastAsia="de-DE"/>
        </w:rPr>
        <w:t xml:space="preserve"> </w:t>
      </w:r>
      <w:r w:rsidRPr="00A330A9">
        <w:rPr>
          <w:rFonts w:eastAsia="Times New Roman"/>
          <w:lang w:eastAsia="de-DE"/>
        </w:rPr>
        <w:t>(</w:t>
      </w:r>
      <w:r w:rsidR="00C13523">
        <w:rPr>
          <w:rFonts w:eastAsia="Times New Roman"/>
          <w:lang w:eastAsia="de-DE"/>
        </w:rPr>
        <w:t>Gentilicum</w:t>
      </w:r>
      <w:r w:rsidRPr="00A330A9">
        <w:rPr>
          <w:rFonts w:eastAsia="Times New Roman"/>
          <w:lang w:eastAsia="de-DE"/>
        </w:rPr>
        <w:t xml:space="preserve"> „</w:t>
      </w:r>
      <w:proofErr w:type="spellStart"/>
      <w:r w:rsidRPr="00A330A9">
        <w:rPr>
          <w:rFonts w:eastAsia="Times New Roman"/>
          <w:lang w:eastAsia="de-DE"/>
        </w:rPr>
        <w:t>Kaftoriter</w:t>
      </w:r>
      <w:proofErr w:type="spellEnd"/>
      <w:r w:rsidRPr="00A330A9">
        <w:rPr>
          <w:rFonts w:eastAsia="Times New Roman"/>
          <w:lang w:eastAsia="de-DE"/>
        </w:rPr>
        <w:t xml:space="preserve">"), </w:t>
      </w:r>
      <w:r w:rsidRPr="00A330A9">
        <w:rPr>
          <w:rFonts w:eastAsia="Times New Roman"/>
          <w:b/>
          <w:bCs/>
          <w:rtl/>
          <w:lang w:eastAsia="de-DE"/>
        </w:rPr>
        <w:t>הַיֹּצְאִים</w:t>
      </w:r>
      <w:r w:rsidRPr="00A330A9">
        <w:rPr>
          <w:rFonts w:eastAsia="Times New Roman"/>
          <w:rtl/>
          <w:lang w:eastAsia="de-DE"/>
        </w:rPr>
        <w:t xml:space="preserve"> </w:t>
      </w:r>
      <w:r w:rsidRPr="00A330A9">
        <w:rPr>
          <w:rFonts w:eastAsia="Times New Roman"/>
          <w:lang w:eastAsia="de-DE"/>
        </w:rPr>
        <w:t xml:space="preserve">(Qal Partizip Plural von </w:t>
      </w:r>
      <w:r w:rsidRPr="00A330A9">
        <w:rPr>
          <w:rFonts w:eastAsia="Times New Roman"/>
          <w:rtl/>
          <w:lang w:eastAsia="de-DE"/>
        </w:rPr>
        <w:t>יצא</w:t>
      </w:r>
      <w:r w:rsidRPr="00A330A9">
        <w:rPr>
          <w:rFonts w:eastAsia="Times New Roman"/>
          <w:lang w:eastAsia="de-DE"/>
        </w:rPr>
        <w:t xml:space="preserve"> „hinausgehen, herauskommen" mit Artikel), </w:t>
      </w:r>
      <w:r w:rsidRPr="00A330A9">
        <w:rPr>
          <w:rFonts w:eastAsia="Times New Roman"/>
          <w:b/>
          <w:bCs/>
          <w:rtl/>
          <w:lang w:eastAsia="de-DE"/>
        </w:rPr>
        <w:t>מִכַּפְתּוֹר</w:t>
      </w:r>
      <w:r w:rsidRPr="00A330A9">
        <w:rPr>
          <w:rFonts w:eastAsia="Times New Roman"/>
          <w:rtl/>
          <w:lang w:eastAsia="de-DE"/>
        </w:rPr>
        <w:t xml:space="preserve"> </w:t>
      </w:r>
      <w:r w:rsidRPr="00A330A9">
        <w:rPr>
          <w:rFonts w:eastAsia="Times New Roman"/>
          <w:lang w:eastAsia="de-DE"/>
        </w:rPr>
        <w:t>(</w:t>
      </w:r>
      <w:r w:rsidRPr="00A330A9">
        <w:rPr>
          <w:rFonts w:eastAsia="Times New Roman"/>
          <w:b/>
          <w:bCs/>
          <w:rtl/>
          <w:lang w:eastAsia="de-DE"/>
        </w:rPr>
        <w:t>מִן</w:t>
      </w:r>
      <w:r w:rsidRPr="00A330A9">
        <w:rPr>
          <w:rFonts w:eastAsia="Times New Roman"/>
          <w:rtl/>
          <w:lang w:eastAsia="de-DE"/>
        </w:rPr>
        <w:t xml:space="preserve"> </w:t>
      </w:r>
      <w:r w:rsidRPr="00A330A9">
        <w:rPr>
          <w:rFonts w:eastAsia="Times New Roman"/>
          <w:lang w:eastAsia="de-DE"/>
        </w:rPr>
        <w:t xml:space="preserve">mit </w:t>
      </w:r>
      <w:r w:rsidRPr="00A330A9">
        <w:rPr>
          <w:rFonts w:eastAsia="Times New Roman"/>
          <w:b/>
          <w:bCs/>
          <w:rtl/>
          <w:lang w:eastAsia="de-DE"/>
        </w:rPr>
        <w:t>כַּפְתּוֹר</w:t>
      </w:r>
      <w:r w:rsidRPr="00A330A9">
        <w:rPr>
          <w:rFonts w:eastAsia="Times New Roman"/>
          <w:rtl/>
          <w:lang w:eastAsia="de-DE"/>
        </w:rPr>
        <w:t xml:space="preserve"> </w:t>
      </w:r>
      <w:r w:rsidRPr="00A330A9">
        <w:rPr>
          <w:rFonts w:eastAsia="Times New Roman"/>
          <w:lang w:eastAsia="de-DE"/>
        </w:rPr>
        <w:t>„Kaftor", wahrscheinlich Kreta oder eine andere ägäische Region, die Heimat der Philister).</w:t>
      </w:r>
    </w:p>
    <w:p w14:paraId="421371C3"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rtl/>
          <w:lang w:eastAsia="de-DE"/>
        </w:rPr>
        <w:t>הִשְׁמִידוּם וַיֵּשְׁבוּ תַחְתָּם</w:t>
      </w:r>
      <w:r w:rsidRPr="00A330A9">
        <w:rPr>
          <w:rFonts w:eastAsia="Times New Roman"/>
          <w:rtl/>
          <w:lang w:eastAsia="de-DE"/>
        </w:rPr>
        <w:t xml:space="preserve"> </w:t>
      </w:r>
      <w:r w:rsidRPr="00A330A9">
        <w:rPr>
          <w:rFonts w:eastAsia="Times New Roman"/>
          <w:lang w:eastAsia="de-DE"/>
        </w:rPr>
        <w:t xml:space="preserve">sind zwei koordinierte Verben: </w:t>
      </w:r>
      <w:r w:rsidRPr="00A330A9">
        <w:rPr>
          <w:rFonts w:eastAsia="Times New Roman"/>
          <w:b/>
          <w:bCs/>
          <w:rtl/>
          <w:lang w:eastAsia="de-DE"/>
        </w:rPr>
        <w:t>הִשְׁמִידוּם</w:t>
      </w:r>
      <w:r w:rsidRPr="00A330A9">
        <w:rPr>
          <w:rFonts w:eastAsia="Times New Roman"/>
          <w:rtl/>
          <w:lang w:eastAsia="de-DE"/>
        </w:rPr>
        <w:t xml:space="preserve"> </w:t>
      </w:r>
      <w:r w:rsidRPr="00A330A9">
        <w:rPr>
          <w:rFonts w:eastAsia="Times New Roman"/>
          <w:lang w:eastAsia="de-DE"/>
        </w:rPr>
        <w:t xml:space="preserve">(Hif'il Perfekt, 3. Person Plural von </w:t>
      </w:r>
      <w:r w:rsidRPr="00A330A9">
        <w:rPr>
          <w:rFonts w:eastAsia="Times New Roman"/>
          <w:rtl/>
          <w:lang w:eastAsia="de-DE"/>
        </w:rPr>
        <w:t>שׁמד</w:t>
      </w:r>
      <w:r w:rsidRPr="00A330A9">
        <w:rPr>
          <w:rFonts w:eastAsia="Times New Roman"/>
          <w:lang w:eastAsia="de-DE"/>
        </w:rPr>
        <w:t xml:space="preserve"> mit Objektsuffix 3. Person Plural </w:t>
      </w:r>
      <w:r w:rsidRPr="00A330A9">
        <w:rPr>
          <w:rFonts w:eastAsia="Times New Roman"/>
          <w:b/>
          <w:bCs/>
          <w:rtl/>
          <w:lang w:eastAsia="de-DE"/>
        </w:rPr>
        <w:t>ם</w:t>
      </w:r>
      <w:r w:rsidRPr="00A330A9">
        <w:rPr>
          <w:rFonts w:eastAsia="Times New Roman"/>
          <w:lang w:eastAsia="de-DE"/>
        </w:rPr>
        <w:t xml:space="preserve">, bezogen auf die </w:t>
      </w:r>
      <w:proofErr w:type="spellStart"/>
      <w:r w:rsidRPr="00A330A9">
        <w:rPr>
          <w:rFonts w:eastAsia="Times New Roman"/>
          <w:lang w:eastAsia="de-DE"/>
        </w:rPr>
        <w:t>Awwiter</w:t>
      </w:r>
      <w:proofErr w:type="spellEnd"/>
      <w:r w:rsidRPr="00A330A9">
        <w:rPr>
          <w:rFonts w:eastAsia="Times New Roman"/>
          <w:lang w:eastAsia="de-DE"/>
        </w:rPr>
        <w:t xml:space="preserve">), </w:t>
      </w:r>
      <w:r w:rsidRPr="00A330A9">
        <w:rPr>
          <w:rFonts w:eastAsia="Times New Roman"/>
          <w:b/>
          <w:bCs/>
          <w:rtl/>
          <w:lang w:eastAsia="de-DE"/>
        </w:rPr>
        <w:t>וַיֵּשְׁבוּ תַחְתָּם</w:t>
      </w:r>
      <w:r w:rsidRPr="00A330A9">
        <w:rPr>
          <w:rFonts w:eastAsia="Times New Roman"/>
          <w:rtl/>
          <w:lang w:eastAsia="de-DE"/>
        </w:rPr>
        <w:t xml:space="preserve"> </w:t>
      </w:r>
      <w:r w:rsidRPr="00A330A9">
        <w:rPr>
          <w:rFonts w:eastAsia="Times New Roman"/>
          <w:lang w:eastAsia="de-DE"/>
        </w:rPr>
        <w:t xml:space="preserve">(Qal Imperfekt consecutivum, 3. Person Plural von </w:t>
      </w:r>
      <w:r w:rsidRPr="00A330A9">
        <w:rPr>
          <w:rFonts w:eastAsia="Times New Roman"/>
          <w:rtl/>
          <w:lang w:eastAsia="de-DE"/>
        </w:rPr>
        <w:t>ישׁב</w:t>
      </w:r>
      <w:r w:rsidRPr="00A330A9">
        <w:rPr>
          <w:rFonts w:eastAsia="Times New Roman"/>
          <w:lang w:eastAsia="de-DE"/>
        </w:rPr>
        <w:t xml:space="preserve"> mit Waw und </w:t>
      </w:r>
      <w:r w:rsidRPr="00A330A9">
        <w:rPr>
          <w:rFonts w:eastAsia="Times New Roman"/>
          <w:b/>
          <w:bCs/>
          <w:rtl/>
          <w:lang w:eastAsia="de-DE"/>
        </w:rPr>
        <w:t>תַּחַת</w:t>
      </w:r>
      <w:r w:rsidRPr="00A330A9">
        <w:rPr>
          <w:rFonts w:eastAsia="Times New Roman"/>
          <w:rtl/>
          <w:lang w:eastAsia="de-DE"/>
        </w:rPr>
        <w:t xml:space="preserve"> </w:t>
      </w:r>
      <w:r w:rsidRPr="00A330A9">
        <w:rPr>
          <w:rFonts w:eastAsia="Times New Roman"/>
          <w:lang w:eastAsia="de-DE"/>
        </w:rPr>
        <w:t>mit Suffix).</w:t>
      </w:r>
    </w:p>
    <w:p w14:paraId="7F001F73" w14:textId="504C370D"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Die LXX</w:t>
      </w:r>
      <w:r w:rsidRPr="00A330A9">
        <w:rPr>
          <w:rFonts w:eastAsia="Times New Roman"/>
          <w:lang w:eastAsia="de-DE"/>
        </w:rPr>
        <w:t xml:space="preserve"> </w:t>
      </w:r>
      <w:r w:rsidR="00516967">
        <w:t>übersetzt „</w:t>
      </w:r>
      <w:r w:rsidR="00516967">
        <w:rPr>
          <w:rtl/>
        </w:rPr>
        <w:t>הָעַוִּים</w:t>
      </w:r>
      <w:r w:rsidR="00516967">
        <w:t xml:space="preserve">" (die </w:t>
      </w:r>
      <w:proofErr w:type="spellStart"/>
      <w:r w:rsidR="00516967">
        <w:t>Awwiter</w:t>
      </w:r>
      <w:proofErr w:type="spellEnd"/>
      <w:r w:rsidR="00516967">
        <w:t>) mit „</w:t>
      </w:r>
      <w:proofErr w:type="spellStart"/>
      <w:r w:rsidR="00516967">
        <w:t>οἱ</w:t>
      </w:r>
      <w:proofErr w:type="spellEnd"/>
      <w:r w:rsidR="00516967">
        <w:t xml:space="preserve"> </w:t>
      </w:r>
      <w:proofErr w:type="spellStart"/>
      <w:r w:rsidR="00516967">
        <w:t>Εὑ</w:t>
      </w:r>
      <w:proofErr w:type="spellEnd"/>
      <w:r w:rsidR="00516967">
        <w:t xml:space="preserve">αῖοι" (die </w:t>
      </w:r>
      <w:proofErr w:type="spellStart"/>
      <w:r w:rsidR="00516967">
        <w:t>Euäer</w:t>
      </w:r>
      <w:proofErr w:type="spellEnd"/>
      <w:r w:rsidR="00516967">
        <w:t>/Hiwiter), „</w:t>
      </w:r>
      <w:r w:rsidR="00516967">
        <w:rPr>
          <w:rtl/>
        </w:rPr>
        <w:t>בַּחֲצֵרִים</w:t>
      </w:r>
      <w:r w:rsidR="00516967">
        <w:t xml:space="preserve">" (in </w:t>
      </w:r>
      <w:proofErr w:type="spellStart"/>
      <w:r w:rsidR="00516967">
        <w:t>Hazerim</w:t>
      </w:r>
      <w:proofErr w:type="spellEnd"/>
      <w:r w:rsidR="00516967">
        <w:t>/in den Dörfern) mit „</w:t>
      </w:r>
      <w:proofErr w:type="spellStart"/>
      <w:r w:rsidR="00516967">
        <w:t>ἐν</w:t>
      </w:r>
      <w:proofErr w:type="spellEnd"/>
      <w:r w:rsidR="00516967">
        <w:t xml:space="preserve"> </w:t>
      </w:r>
      <w:proofErr w:type="spellStart"/>
      <w:r w:rsidR="00516967">
        <w:t>Ἁσηρώθ</w:t>
      </w:r>
      <w:proofErr w:type="spellEnd"/>
      <w:r w:rsidR="00516967">
        <w:t xml:space="preserve">" (in </w:t>
      </w:r>
      <w:proofErr w:type="spellStart"/>
      <w:r w:rsidR="00516967">
        <w:t>Aseroth</w:t>
      </w:r>
      <w:proofErr w:type="spellEnd"/>
      <w:r w:rsidR="00516967">
        <w:t>), und „</w:t>
      </w:r>
      <w:r w:rsidR="00516967">
        <w:rPr>
          <w:rtl/>
        </w:rPr>
        <w:t>כַּפְתֹּרִים</w:t>
      </w:r>
      <w:r w:rsidR="00516967">
        <w:t>" (</w:t>
      </w:r>
      <w:proofErr w:type="spellStart"/>
      <w:r w:rsidR="00516967">
        <w:t>Kaftoriter</w:t>
      </w:r>
      <w:proofErr w:type="spellEnd"/>
      <w:r w:rsidR="00516967">
        <w:t>) mit „</w:t>
      </w:r>
      <w:proofErr w:type="spellStart"/>
      <w:r w:rsidR="00516967">
        <w:t>οἱ</w:t>
      </w:r>
      <w:proofErr w:type="spellEnd"/>
      <w:r w:rsidR="00516967">
        <w:t xml:space="preserve"> Καππ</w:t>
      </w:r>
      <w:proofErr w:type="spellStart"/>
      <w:r w:rsidR="00516967">
        <w:t>άδοκες</w:t>
      </w:r>
      <w:proofErr w:type="spellEnd"/>
      <w:r w:rsidR="00516967">
        <w:t>" (die Kappadokier), wobei „Καππα</w:t>
      </w:r>
      <w:proofErr w:type="spellStart"/>
      <w:r w:rsidR="00516967">
        <w:t>δοκί</w:t>
      </w:r>
      <w:proofErr w:type="spellEnd"/>
      <w:r w:rsidR="00516967">
        <w:t>ας" (Kappadokien) für „</w:t>
      </w:r>
      <w:r w:rsidR="00516967">
        <w:rPr>
          <w:rtl/>
        </w:rPr>
        <w:t>כַּפְתּוֹר</w:t>
      </w:r>
      <w:r w:rsidR="00516967">
        <w:t>" (Kaftor) verwendet wird - eine drastische geografische Verschiebung von der Ägäis/Kreta nach Anatolien.</w:t>
      </w:r>
    </w:p>
    <w:p w14:paraId="42C38845"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lang w:eastAsia="de-DE"/>
        </w:rPr>
        <w:t xml:space="preserve">Die Satzstruktur besteht aus zwei Subjekten: (1) </w:t>
      </w:r>
      <w:r w:rsidRPr="00A330A9">
        <w:rPr>
          <w:rFonts w:eastAsia="Times New Roman"/>
          <w:b/>
          <w:bCs/>
          <w:rtl/>
          <w:lang w:eastAsia="de-DE"/>
        </w:rPr>
        <w:t>וְהָעַוִּים הַיֹּשְׁבִים בַּחֲצֵרִים עַד־עַזָּה</w:t>
      </w:r>
      <w:r w:rsidRPr="00A330A9">
        <w:rPr>
          <w:rFonts w:eastAsia="Times New Roman"/>
          <w:rtl/>
          <w:lang w:eastAsia="de-DE"/>
        </w:rPr>
        <w:t xml:space="preserve"> </w:t>
      </w:r>
      <w:r w:rsidRPr="00A330A9">
        <w:rPr>
          <w:rFonts w:eastAsia="Times New Roman"/>
          <w:lang w:eastAsia="de-DE"/>
        </w:rPr>
        <w:t xml:space="preserve">als Objekt der Handlung, (2) </w:t>
      </w:r>
      <w:r w:rsidRPr="00A330A9">
        <w:rPr>
          <w:rFonts w:eastAsia="Times New Roman"/>
          <w:b/>
          <w:bCs/>
          <w:rtl/>
          <w:lang w:eastAsia="de-DE"/>
        </w:rPr>
        <w:t>כַּפְתֹּרִים הַיֹּצְאִים מִכַּפְתּוֹר</w:t>
      </w:r>
      <w:r w:rsidRPr="00A330A9">
        <w:rPr>
          <w:rFonts w:eastAsia="Times New Roman"/>
          <w:rtl/>
          <w:lang w:eastAsia="de-DE"/>
        </w:rPr>
        <w:t xml:space="preserve"> </w:t>
      </w:r>
      <w:r w:rsidRPr="00A330A9">
        <w:rPr>
          <w:rFonts w:eastAsia="Times New Roman"/>
          <w:lang w:eastAsia="de-DE"/>
        </w:rPr>
        <w:t xml:space="preserve">als handelndes Subjekt, gefolgt von zwei Prädikaten </w:t>
      </w:r>
      <w:r w:rsidRPr="00A330A9">
        <w:rPr>
          <w:rFonts w:eastAsia="Times New Roman"/>
          <w:b/>
          <w:bCs/>
          <w:rtl/>
          <w:lang w:eastAsia="de-DE"/>
        </w:rPr>
        <w:t>הִשְׁמִידוּם וַיֵּשְׁבוּ תַחְתָּם</w:t>
      </w:r>
      <w:r w:rsidRPr="00A330A9">
        <w:rPr>
          <w:rFonts w:eastAsia="Times New Roman"/>
          <w:lang w:eastAsia="de-DE"/>
        </w:rPr>
        <w:t>.</w:t>
      </w:r>
    </w:p>
    <w:p w14:paraId="624FA4E4"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lang w:eastAsia="de-DE"/>
        </w:rPr>
        <w:t>Der Vers fügt eine weitere historische Notiz hinzu, diesmal über das Gebiet der Philister: Die ursprünglichen Bewohner (</w:t>
      </w:r>
      <w:proofErr w:type="spellStart"/>
      <w:r w:rsidRPr="00A330A9">
        <w:rPr>
          <w:rFonts w:eastAsia="Times New Roman"/>
          <w:lang w:eastAsia="de-DE"/>
        </w:rPr>
        <w:t>Awwiter</w:t>
      </w:r>
      <w:proofErr w:type="spellEnd"/>
      <w:r w:rsidRPr="00A330A9">
        <w:rPr>
          <w:rFonts w:eastAsia="Times New Roman"/>
          <w:lang w:eastAsia="de-DE"/>
        </w:rPr>
        <w:t xml:space="preserve">) der Küstenregion bis Gaza wurden von den aus Kaftor kommenden </w:t>
      </w:r>
      <w:proofErr w:type="spellStart"/>
      <w:r w:rsidRPr="00A330A9">
        <w:rPr>
          <w:rFonts w:eastAsia="Times New Roman"/>
          <w:lang w:eastAsia="de-DE"/>
        </w:rPr>
        <w:t>Kaftoritern</w:t>
      </w:r>
      <w:proofErr w:type="spellEnd"/>
      <w:r w:rsidRPr="00A330A9">
        <w:rPr>
          <w:rFonts w:eastAsia="Times New Roman"/>
          <w:lang w:eastAsia="de-DE"/>
        </w:rPr>
        <w:t xml:space="preserve"> (den späteren Philistern) verdrängt. Auch hier zeigt sich das Muster der Völkerwanderung und Verdrängung – ein weiteres Beispiel dafür, dass Landnahme durch Verdrängung früherer Bewohner in der Region ein verbreitetes Phänomen war.</w:t>
      </w:r>
    </w:p>
    <w:p w14:paraId="2475B943" w14:textId="77777777" w:rsidR="00A330A9" w:rsidRPr="00A330A9" w:rsidRDefault="00A330A9" w:rsidP="00A330A9">
      <w:pPr>
        <w:spacing w:before="100" w:beforeAutospacing="1" w:after="100" w:afterAutospacing="1" w:line="240" w:lineRule="auto"/>
        <w:outlineLvl w:val="1"/>
        <w:rPr>
          <w:rFonts w:eastAsia="Times New Roman"/>
          <w:b/>
          <w:bCs/>
          <w:sz w:val="36"/>
          <w:szCs w:val="36"/>
          <w:lang w:eastAsia="de-DE"/>
        </w:rPr>
      </w:pPr>
      <w:r w:rsidRPr="00A330A9">
        <w:rPr>
          <w:rFonts w:eastAsia="Times New Roman"/>
          <w:b/>
          <w:bCs/>
          <w:sz w:val="36"/>
          <w:szCs w:val="36"/>
          <w:lang w:eastAsia="de-DE"/>
        </w:rPr>
        <w:t>Deuteronomium 2,24</w:t>
      </w:r>
    </w:p>
    <w:p w14:paraId="53511189"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Hebräisch:</w:t>
      </w:r>
      <w:r w:rsidRPr="00A330A9">
        <w:rPr>
          <w:rFonts w:eastAsia="Times New Roman"/>
          <w:lang w:eastAsia="de-DE"/>
        </w:rPr>
        <w:t xml:space="preserve"> </w:t>
      </w:r>
      <w:r w:rsidRPr="00A330A9">
        <w:rPr>
          <w:rFonts w:eastAsia="Times New Roman"/>
          <w:rtl/>
          <w:lang w:eastAsia="de-DE"/>
        </w:rPr>
        <w:t>קֻ֣מוּ סְּע֗וּ וְעִבְרוּ֮ אֶת־נַ֣חַל אַרְנֹן֒ רְאֵ֣ה נָתַ֣תִּי בְ֠יָדְךָ אֶת־סִיחֹ֨ן מֶֽלֶךְ־חֶשְׁבּ֧וֹן הָֽאֱמֹרִ֛י וְאֶת־אַרְצֹ֖ו הָחֵ֣ל רָ֑שׁ וְהִתְגָּ֥ר בּ֖וֹ מִלְחָמָֽה׃</w:t>
      </w:r>
    </w:p>
    <w:p w14:paraId="681A9892"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lastRenderedPageBreak/>
        <w:t>Deutsch:</w:t>
      </w:r>
      <w:r w:rsidRPr="00A330A9">
        <w:rPr>
          <w:rFonts w:eastAsia="Times New Roman"/>
          <w:lang w:eastAsia="de-DE"/>
        </w:rPr>
        <w:t xml:space="preserve"> Macht euch auf, brecht auf und überschreitet den Bach Arnon. Siehe, ich habe in deine Hand gegeben Sichon, den König von Cheschbon, den Emori, und sein Land. Fang an, es in Besitz zu nehmen, und errege dich in Kampf mit ihm.</w:t>
      </w:r>
    </w:p>
    <w:p w14:paraId="5F5C1724" w14:textId="77777777" w:rsidR="00A330A9" w:rsidRPr="00A330A9" w:rsidRDefault="004F5CEB" w:rsidP="00A330A9">
      <w:pPr>
        <w:spacing w:after="0" w:line="240" w:lineRule="auto"/>
        <w:rPr>
          <w:rFonts w:eastAsia="Times New Roman"/>
          <w:lang w:eastAsia="de-DE"/>
        </w:rPr>
      </w:pPr>
      <w:r>
        <w:rPr>
          <w:rFonts w:eastAsia="Times New Roman"/>
          <w:noProof/>
          <w:lang w:eastAsia="de-DE"/>
        </w:rPr>
        <w:pict w14:anchorId="2E422EE7">
          <v:rect id="_x0000_i1094" style="width:0;height:1.5pt" o:hralign="center" o:hrstd="t" o:hr="t" fillcolor="#a0a0a0" stroked="f"/>
        </w:pict>
      </w:r>
    </w:p>
    <w:p w14:paraId="6AF0B4D0" w14:textId="75B08A85"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Kommentar:</w:t>
      </w:r>
      <w:r w:rsidRPr="00A330A9">
        <w:rPr>
          <w:rFonts w:eastAsia="Times New Roman"/>
          <w:lang w:eastAsia="de-DE"/>
        </w:rPr>
        <w:t xml:space="preserve"> </w:t>
      </w:r>
      <w:r w:rsidRPr="00A330A9">
        <w:rPr>
          <w:rFonts w:eastAsia="Times New Roman"/>
          <w:b/>
          <w:bCs/>
          <w:rtl/>
          <w:lang w:eastAsia="de-DE"/>
        </w:rPr>
        <w:t>קֻמוּ סְּעוּ וְעִבְרוּ</w:t>
      </w:r>
      <w:r w:rsidRPr="00A330A9">
        <w:rPr>
          <w:rFonts w:eastAsia="Times New Roman"/>
          <w:rtl/>
          <w:lang w:eastAsia="de-DE"/>
        </w:rPr>
        <w:t xml:space="preserve"> </w:t>
      </w:r>
      <w:r w:rsidRPr="00A330A9">
        <w:rPr>
          <w:rFonts w:eastAsia="Times New Roman"/>
          <w:lang w:eastAsia="de-DE"/>
        </w:rPr>
        <w:t xml:space="preserve">sind drei koordinierte Imperative: </w:t>
      </w:r>
      <w:r w:rsidRPr="00A330A9">
        <w:rPr>
          <w:rFonts w:eastAsia="Times New Roman"/>
          <w:b/>
          <w:bCs/>
          <w:rtl/>
          <w:lang w:eastAsia="de-DE"/>
        </w:rPr>
        <w:t>קֻמוּ</w:t>
      </w:r>
      <w:r w:rsidRPr="00A330A9">
        <w:rPr>
          <w:rFonts w:eastAsia="Times New Roman"/>
          <w:rtl/>
          <w:lang w:eastAsia="de-DE"/>
        </w:rPr>
        <w:t xml:space="preserve"> </w:t>
      </w:r>
      <w:r w:rsidRPr="00A330A9">
        <w:rPr>
          <w:rFonts w:eastAsia="Times New Roman"/>
          <w:lang w:eastAsia="de-DE"/>
        </w:rPr>
        <w:t xml:space="preserve">(Qal Imperativ Plural von </w:t>
      </w:r>
      <w:r w:rsidRPr="00A330A9">
        <w:rPr>
          <w:rFonts w:eastAsia="Times New Roman"/>
          <w:rtl/>
          <w:lang w:eastAsia="de-DE"/>
        </w:rPr>
        <w:t>קום</w:t>
      </w:r>
      <w:r w:rsidRPr="00A330A9">
        <w:rPr>
          <w:rFonts w:eastAsia="Times New Roman"/>
          <w:lang w:eastAsia="de-DE"/>
        </w:rPr>
        <w:t xml:space="preserve"> „aufstehen, sich aufmachen"), </w:t>
      </w:r>
      <w:r w:rsidRPr="00A330A9">
        <w:rPr>
          <w:rFonts w:eastAsia="Times New Roman"/>
          <w:b/>
          <w:bCs/>
          <w:rtl/>
          <w:lang w:eastAsia="de-DE"/>
        </w:rPr>
        <w:t>סְּעוּ</w:t>
      </w:r>
      <w:r w:rsidRPr="00A330A9">
        <w:rPr>
          <w:rFonts w:eastAsia="Times New Roman"/>
          <w:rtl/>
          <w:lang w:eastAsia="de-DE"/>
        </w:rPr>
        <w:t xml:space="preserve"> </w:t>
      </w:r>
      <w:r w:rsidRPr="00A330A9">
        <w:rPr>
          <w:rFonts w:eastAsia="Times New Roman"/>
          <w:lang w:eastAsia="de-DE"/>
        </w:rPr>
        <w:t xml:space="preserve">(Qal Imperativ Plural von </w:t>
      </w:r>
      <w:r w:rsidRPr="00A330A9">
        <w:rPr>
          <w:rFonts w:eastAsia="Times New Roman"/>
          <w:rtl/>
          <w:lang w:eastAsia="de-DE"/>
        </w:rPr>
        <w:t>נסע</w:t>
      </w:r>
      <w:r w:rsidRPr="00A330A9">
        <w:rPr>
          <w:rFonts w:eastAsia="Times New Roman"/>
          <w:lang w:eastAsia="de-DE"/>
        </w:rPr>
        <w:t xml:space="preserve"> „aufbrechen"), </w:t>
      </w:r>
      <w:r w:rsidRPr="00A330A9">
        <w:rPr>
          <w:rFonts w:eastAsia="Times New Roman"/>
          <w:b/>
          <w:bCs/>
          <w:rtl/>
          <w:lang w:eastAsia="de-DE"/>
        </w:rPr>
        <w:t>וְעִבְרוּ</w:t>
      </w:r>
      <w:r w:rsidRPr="00A330A9">
        <w:rPr>
          <w:rFonts w:eastAsia="Times New Roman"/>
          <w:rtl/>
          <w:lang w:eastAsia="de-DE"/>
        </w:rPr>
        <w:t xml:space="preserve"> </w:t>
      </w:r>
      <w:r w:rsidRPr="00A330A9">
        <w:rPr>
          <w:rFonts w:eastAsia="Times New Roman"/>
          <w:lang w:eastAsia="de-DE"/>
        </w:rPr>
        <w:t xml:space="preserve">(Qal Imperativ Plural von </w:t>
      </w:r>
      <w:r w:rsidRPr="00A330A9">
        <w:rPr>
          <w:rFonts w:eastAsia="Times New Roman"/>
          <w:rtl/>
          <w:lang w:eastAsia="de-DE"/>
        </w:rPr>
        <w:t>עבר</w:t>
      </w:r>
      <w:r w:rsidRPr="00A330A9">
        <w:rPr>
          <w:rFonts w:eastAsia="Times New Roman"/>
          <w:lang w:eastAsia="de-DE"/>
        </w:rPr>
        <w:t xml:space="preserve"> „hinüberziehen" mit Waw). </w:t>
      </w:r>
      <w:r w:rsidRPr="00A330A9">
        <w:rPr>
          <w:rFonts w:eastAsia="Times New Roman"/>
          <w:b/>
          <w:bCs/>
          <w:rtl/>
          <w:lang w:eastAsia="de-DE"/>
        </w:rPr>
        <w:t>אֶת־נַחַל אַרְנוֹן</w:t>
      </w:r>
      <w:r w:rsidRPr="00A330A9">
        <w:rPr>
          <w:rFonts w:eastAsia="Times New Roman"/>
          <w:rtl/>
          <w:lang w:eastAsia="de-DE"/>
        </w:rPr>
        <w:t xml:space="preserve"> </w:t>
      </w:r>
      <w:r w:rsidRPr="00A330A9">
        <w:rPr>
          <w:rFonts w:eastAsia="Times New Roman"/>
          <w:lang w:eastAsia="de-DE"/>
        </w:rPr>
        <w:t xml:space="preserve">ist die Objektpartikel mit </w:t>
      </w:r>
      <w:r w:rsidRPr="00A330A9">
        <w:rPr>
          <w:rFonts w:eastAsia="Times New Roman"/>
          <w:b/>
          <w:bCs/>
          <w:rtl/>
          <w:lang w:eastAsia="de-DE"/>
        </w:rPr>
        <w:t>נַחַל</w:t>
      </w:r>
      <w:r w:rsidRPr="00A330A9">
        <w:rPr>
          <w:rFonts w:eastAsia="Times New Roman"/>
          <w:rtl/>
          <w:lang w:eastAsia="de-DE"/>
        </w:rPr>
        <w:t xml:space="preserve"> </w:t>
      </w:r>
      <w:r w:rsidRPr="00A330A9">
        <w:rPr>
          <w:rFonts w:eastAsia="Times New Roman"/>
          <w:lang w:eastAsia="de-DE"/>
        </w:rPr>
        <w:t xml:space="preserve">im </w:t>
      </w:r>
      <w:r w:rsidR="0032647F">
        <w:rPr>
          <w:rFonts w:eastAsia="Times New Roman"/>
          <w:lang w:eastAsia="de-DE"/>
        </w:rPr>
        <w:t>Construct</w:t>
      </w:r>
      <w:r w:rsidRPr="00A330A9">
        <w:rPr>
          <w:rFonts w:eastAsia="Times New Roman"/>
          <w:lang w:eastAsia="de-DE"/>
        </w:rPr>
        <w:t xml:space="preserve"> und </w:t>
      </w:r>
      <w:r w:rsidRPr="00A330A9">
        <w:rPr>
          <w:rFonts w:eastAsia="Times New Roman"/>
          <w:b/>
          <w:bCs/>
          <w:rtl/>
          <w:lang w:eastAsia="de-DE"/>
        </w:rPr>
        <w:t>אַרְנוֹן</w:t>
      </w:r>
      <w:r w:rsidRPr="00A330A9">
        <w:rPr>
          <w:rFonts w:eastAsia="Times New Roman"/>
          <w:rtl/>
          <w:lang w:eastAsia="de-DE"/>
        </w:rPr>
        <w:t xml:space="preserve"> </w:t>
      </w:r>
      <w:r w:rsidRPr="00A330A9">
        <w:rPr>
          <w:rFonts w:eastAsia="Times New Roman"/>
          <w:lang w:eastAsia="de-DE"/>
        </w:rPr>
        <w:t>(„Arnon"), ein wichtiger Fluss, der die Nordgrenze Moabs und die Südgrenze des amoritischen Gebiets bildete.</w:t>
      </w:r>
    </w:p>
    <w:p w14:paraId="2F558F9E" w14:textId="0D59D8AA"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rtl/>
          <w:lang w:eastAsia="de-DE"/>
        </w:rPr>
        <w:t>רְאֵה נָתַתִּי בְיָדְךָ</w:t>
      </w:r>
      <w:r w:rsidRPr="00A330A9">
        <w:rPr>
          <w:rFonts w:eastAsia="Times New Roman"/>
          <w:rtl/>
          <w:lang w:eastAsia="de-DE"/>
        </w:rPr>
        <w:t xml:space="preserve"> </w:t>
      </w:r>
      <w:r w:rsidRPr="00A330A9">
        <w:rPr>
          <w:rFonts w:eastAsia="Times New Roman"/>
          <w:lang w:eastAsia="de-DE"/>
        </w:rPr>
        <w:t xml:space="preserve">ist </w:t>
      </w:r>
      <w:r w:rsidRPr="00A330A9">
        <w:rPr>
          <w:rFonts w:eastAsia="Times New Roman"/>
          <w:b/>
          <w:bCs/>
          <w:rtl/>
          <w:lang w:eastAsia="de-DE"/>
        </w:rPr>
        <w:t>רְאֵה</w:t>
      </w:r>
      <w:r w:rsidRPr="00A330A9">
        <w:rPr>
          <w:rFonts w:eastAsia="Times New Roman"/>
          <w:rtl/>
          <w:lang w:eastAsia="de-DE"/>
        </w:rPr>
        <w:t xml:space="preserve"> </w:t>
      </w:r>
      <w:r w:rsidRPr="00A330A9">
        <w:rPr>
          <w:rFonts w:eastAsia="Times New Roman"/>
          <w:lang w:eastAsia="de-DE"/>
        </w:rPr>
        <w:t xml:space="preserve">(Qal Imperativ Singular von </w:t>
      </w:r>
      <w:r w:rsidRPr="00A330A9">
        <w:rPr>
          <w:rFonts w:eastAsia="Times New Roman"/>
          <w:rtl/>
          <w:lang w:eastAsia="de-DE"/>
        </w:rPr>
        <w:t>ראה</w:t>
      </w:r>
      <w:r w:rsidRPr="00A330A9">
        <w:rPr>
          <w:rFonts w:eastAsia="Times New Roman"/>
          <w:lang w:eastAsia="de-DE"/>
        </w:rPr>
        <w:t xml:space="preserve"> als Aufmerksamkeitspartikel „siehe"), </w:t>
      </w:r>
      <w:r w:rsidRPr="00A330A9">
        <w:rPr>
          <w:rFonts w:eastAsia="Times New Roman"/>
          <w:b/>
          <w:bCs/>
          <w:rtl/>
          <w:lang w:eastAsia="de-DE"/>
        </w:rPr>
        <w:t>נָתַתִּי</w:t>
      </w:r>
      <w:r w:rsidRPr="00A330A9">
        <w:rPr>
          <w:rFonts w:eastAsia="Times New Roman"/>
          <w:rtl/>
          <w:lang w:eastAsia="de-DE"/>
        </w:rPr>
        <w:t xml:space="preserve"> </w:t>
      </w:r>
      <w:r w:rsidRPr="00A330A9">
        <w:rPr>
          <w:rFonts w:eastAsia="Times New Roman"/>
          <w:lang w:eastAsia="de-DE"/>
        </w:rPr>
        <w:t xml:space="preserve">(Qal Perfekt, 1. Person Singular von </w:t>
      </w:r>
      <w:r w:rsidRPr="00A330A9">
        <w:rPr>
          <w:rFonts w:eastAsia="Times New Roman"/>
          <w:rtl/>
          <w:lang w:eastAsia="de-DE"/>
        </w:rPr>
        <w:t>נתן</w:t>
      </w:r>
      <w:r w:rsidRPr="00A330A9">
        <w:rPr>
          <w:rFonts w:eastAsia="Times New Roman"/>
          <w:lang w:eastAsia="de-DE"/>
        </w:rPr>
        <w:t xml:space="preserve">), </w:t>
      </w:r>
      <w:r w:rsidRPr="00A330A9">
        <w:rPr>
          <w:rFonts w:eastAsia="Times New Roman"/>
          <w:b/>
          <w:bCs/>
          <w:rtl/>
          <w:lang w:eastAsia="de-DE"/>
        </w:rPr>
        <w:t>בְיָדְךָ</w:t>
      </w:r>
      <w:r w:rsidRPr="00A330A9">
        <w:rPr>
          <w:rFonts w:eastAsia="Times New Roman"/>
          <w:rtl/>
          <w:lang w:eastAsia="de-DE"/>
        </w:rPr>
        <w:t xml:space="preserve"> </w:t>
      </w:r>
      <w:r w:rsidRPr="00A330A9">
        <w:rPr>
          <w:rFonts w:eastAsia="Times New Roman"/>
          <w:lang w:eastAsia="de-DE"/>
        </w:rPr>
        <w:t>(</w:t>
      </w:r>
      <w:r w:rsidRPr="00A330A9">
        <w:rPr>
          <w:rFonts w:eastAsia="Times New Roman"/>
          <w:b/>
          <w:bCs/>
          <w:rtl/>
          <w:lang w:eastAsia="de-DE"/>
        </w:rPr>
        <w:t>בְּ</w:t>
      </w:r>
      <w:r w:rsidRPr="00A330A9">
        <w:rPr>
          <w:rFonts w:eastAsia="Times New Roman"/>
          <w:rtl/>
          <w:lang w:eastAsia="de-DE"/>
        </w:rPr>
        <w:t xml:space="preserve"> </w:t>
      </w:r>
      <w:r w:rsidRPr="00A330A9">
        <w:rPr>
          <w:rFonts w:eastAsia="Times New Roman"/>
          <w:lang w:eastAsia="de-DE"/>
        </w:rPr>
        <w:t xml:space="preserve">mit </w:t>
      </w:r>
      <w:r w:rsidRPr="00A330A9">
        <w:rPr>
          <w:rFonts w:eastAsia="Times New Roman"/>
          <w:b/>
          <w:bCs/>
          <w:rtl/>
          <w:lang w:eastAsia="de-DE"/>
        </w:rPr>
        <w:t>יָד</w:t>
      </w:r>
      <w:r w:rsidRPr="00A330A9">
        <w:rPr>
          <w:rFonts w:eastAsia="Times New Roman"/>
          <w:rtl/>
          <w:lang w:eastAsia="de-DE"/>
        </w:rPr>
        <w:t xml:space="preserve"> </w:t>
      </w:r>
      <w:r w:rsidRPr="00A330A9">
        <w:rPr>
          <w:rFonts w:eastAsia="Times New Roman"/>
          <w:lang w:eastAsia="de-DE"/>
        </w:rPr>
        <w:t xml:space="preserve">im </w:t>
      </w:r>
      <w:r w:rsidR="0032647F">
        <w:rPr>
          <w:rFonts w:eastAsia="Times New Roman"/>
          <w:lang w:eastAsia="de-DE"/>
        </w:rPr>
        <w:t>Construct</w:t>
      </w:r>
      <w:r w:rsidRPr="00A330A9">
        <w:rPr>
          <w:rFonts w:eastAsia="Times New Roman"/>
          <w:lang w:eastAsia="de-DE"/>
        </w:rPr>
        <w:t xml:space="preserve"> und Suffix 2. Person Singular „in deine Hand"). </w:t>
      </w:r>
      <w:r w:rsidRPr="00A330A9">
        <w:rPr>
          <w:rFonts w:eastAsia="Times New Roman"/>
          <w:b/>
          <w:bCs/>
          <w:rtl/>
          <w:lang w:eastAsia="de-DE"/>
        </w:rPr>
        <w:t>אֶת־סִיחֹן מֶלֶךְ־חֶשְׁבּוֹן הָאֱמֹרִי וְאֶת־אַרְצוֹ</w:t>
      </w:r>
      <w:r w:rsidRPr="00A330A9">
        <w:rPr>
          <w:rFonts w:eastAsia="Times New Roman"/>
          <w:rtl/>
          <w:lang w:eastAsia="de-DE"/>
        </w:rPr>
        <w:t xml:space="preserve"> </w:t>
      </w:r>
      <w:r w:rsidRPr="00A330A9">
        <w:rPr>
          <w:rFonts w:eastAsia="Times New Roman"/>
          <w:lang w:eastAsia="de-DE"/>
        </w:rPr>
        <w:t xml:space="preserve">ist eine erweiterte Objektphrase: </w:t>
      </w:r>
      <w:r w:rsidRPr="00A330A9">
        <w:rPr>
          <w:rFonts w:eastAsia="Times New Roman"/>
          <w:b/>
          <w:bCs/>
          <w:rtl/>
          <w:lang w:eastAsia="de-DE"/>
        </w:rPr>
        <w:t>אֵת</w:t>
      </w:r>
      <w:r w:rsidRPr="00A330A9">
        <w:rPr>
          <w:rFonts w:eastAsia="Times New Roman"/>
          <w:rtl/>
          <w:lang w:eastAsia="de-DE"/>
        </w:rPr>
        <w:t xml:space="preserve"> </w:t>
      </w:r>
      <w:r w:rsidRPr="00A330A9">
        <w:rPr>
          <w:rFonts w:eastAsia="Times New Roman"/>
          <w:lang w:eastAsia="de-DE"/>
        </w:rPr>
        <w:t xml:space="preserve">mit </w:t>
      </w:r>
      <w:r w:rsidRPr="00A330A9">
        <w:rPr>
          <w:rFonts w:eastAsia="Times New Roman"/>
          <w:b/>
          <w:bCs/>
          <w:rtl/>
          <w:lang w:eastAsia="de-DE"/>
        </w:rPr>
        <w:t>סִיחֹן</w:t>
      </w:r>
      <w:r w:rsidRPr="00A330A9">
        <w:rPr>
          <w:rFonts w:eastAsia="Times New Roman"/>
          <w:rtl/>
          <w:lang w:eastAsia="de-DE"/>
        </w:rPr>
        <w:t xml:space="preserve"> </w:t>
      </w:r>
      <w:r w:rsidRPr="00A330A9">
        <w:rPr>
          <w:rFonts w:eastAsia="Times New Roman"/>
          <w:lang w:eastAsia="de-DE"/>
        </w:rPr>
        <w:t xml:space="preserve">(Eigenname „Sihon"), </w:t>
      </w:r>
      <w:r w:rsidRPr="00A330A9">
        <w:rPr>
          <w:rFonts w:eastAsia="Times New Roman"/>
          <w:b/>
          <w:bCs/>
          <w:rtl/>
          <w:lang w:eastAsia="de-DE"/>
        </w:rPr>
        <w:t>מֶלֶךְ־חֶשְׁבּוֹן</w:t>
      </w:r>
      <w:r w:rsidRPr="00A330A9">
        <w:rPr>
          <w:rFonts w:eastAsia="Times New Roman"/>
          <w:rtl/>
          <w:lang w:eastAsia="de-DE"/>
        </w:rPr>
        <w:t xml:space="preserve"> </w:t>
      </w:r>
      <w:r w:rsidRPr="00A330A9">
        <w:rPr>
          <w:rFonts w:eastAsia="Times New Roman"/>
          <w:lang w:eastAsia="de-DE"/>
        </w:rPr>
        <w:t>(</w:t>
      </w:r>
      <w:r w:rsidR="0032647F">
        <w:rPr>
          <w:rFonts w:eastAsia="Times New Roman"/>
          <w:lang w:eastAsia="de-DE"/>
        </w:rPr>
        <w:t>Construct</w:t>
      </w:r>
      <w:r w:rsidRPr="00A330A9">
        <w:rPr>
          <w:rFonts w:eastAsia="Times New Roman"/>
          <w:lang w:eastAsia="de-DE"/>
        </w:rPr>
        <w:t xml:space="preserve">usverbindung „König von Heschbon") als Apposition, </w:t>
      </w:r>
      <w:r w:rsidRPr="00A330A9">
        <w:rPr>
          <w:rFonts w:eastAsia="Times New Roman"/>
          <w:b/>
          <w:bCs/>
          <w:rtl/>
          <w:lang w:eastAsia="de-DE"/>
        </w:rPr>
        <w:t>הָאֱמֹרִי</w:t>
      </w:r>
      <w:r w:rsidRPr="00A330A9">
        <w:rPr>
          <w:rFonts w:eastAsia="Times New Roman"/>
          <w:rtl/>
          <w:lang w:eastAsia="de-DE"/>
        </w:rPr>
        <w:t xml:space="preserve"> </w:t>
      </w:r>
      <w:r w:rsidRPr="00A330A9">
        <w:rPr>
          <w:rFonts w:eastAsia="Times New Roman"/>
          <w:lang w:eastAsia="de-DE"/>
        </w:rPr>
        <w:t>(</w:t>
      </w:r>
      <w:r w:rsidR="00C13523">
        <w:rPr>
          <w:rFonts w:eastAsia="Times New Roman"/>
          <w:lang w:eastAsia="de-DE"/>
        </w:rPr>
        <w:t>Gentilicum</w:t>
      </w:r>
      <w:r w:rsidRPr="00A330A9">
        <w:rPr>
          <w:rFonts w:eastAsia="Times New Roman"/>
          <w:lang w:eastAsia="de-DE"/>
        </w:rPr>
        <w:t xml:space="preserve"> „der Amoriter") als weitere Apposition, </w:t>
      </w:r>
      <w:r w:rsidRPr="00A330A9">
        <w:rPr>
          <w:rFonts w:eastAsia="Times New Roman"/>
          <w:b/>
          <w:bCs/>
          <w:rtl/>
          <w:lang w:eastAsia="de-DE"/>
        </w:rPr>
        <w:t>וְאֶת־אַרְצוֹ</w:t>
      </w:r>
      <w:r w:rsidRPr="00A330A9">
        <w:rPr>
          <w:rFonts w:eastAsia="Times New Roman"/>
          <w:rtl/>
          <w:lang w:eastAsia="de-DE"/>
        </w:rPr>
        <w:t xml:space="preserve"> </w:t>
      </w:r>
      <w:r w:rsidRPr="00A330A9">
        <w:rPr>
          <w:rFonts w:eastAsia="Times New Roman"/>
          <w:lang w:eastAsia="de-DE"/>
        </w:rPr>
        <w:t>(</w:t>
      </w:r>
      <w:r w:rsidRPr="00A330A9">
        <w:rPr>
          <w:rFonts w:eastAsia="Times New Roman"/>
          <w:b/>
          <w:bCs/>
          <w:rtl/>
          <w:lang w:eastAsia="de-DE"/>
        </w:rPr>
        <w:t>וְ</w:t>
      </w:r>
      <w:r w:rsidRPr="00A330A9">
        <w:rPr>
          <w:rFonts w:eastAsia="Times New Roman"/>
          <w:rtl/>
          <w:lang w:eastAsia="de-DE"/>
        </w:rPr>
        <w:t xml:space="preserve"> </w:t>
      </w:r>
      <w:r w:rsidRPr="00A330A9">
        <w:rPr>
          <w:rFonts w:eastAsia="Times New Roman"/>
          <w:lang w:eastAsia="de-DE"/>
        </w:rPr>
        <w:t xml:space="preserve">mit Objektpartikel und </w:t>
      </w:r>
      <w:r w:rsidRPr="00A330A9">
        <w:rPr>
          <w:rFonts w:eastAsia="Times New Roman"/>
          <w:b/>
          <w:bCs/>
          <w:rtl/>
          <w:lang w:eastAsia="de-DE"/>
        </w:rPr>
        <w:t>אֶרֶץ</w:t>
      </w:r>
      <w:r w:rsidRPr="00A330A9">
        <w:rPr>
          <w:rFonts w:eastAsia="Times New Roman"/>
          <w:rtl/>
          <w:lang w:eastAsia="de-DE"/>
        </w:rPr>
        <w:t xml:space="preserve"> </w:t>
      </w:r>
      <w:r w:rsidRPr="00A330A9">
        <w:rPr>
          <w:rFonts w:eastAsia="Times New Roman"/>
          <w:lang w:eastAsia="de-DE"/>
        </w:rPr>
        <w:t>„Land" mit Suffix 3. Person Singular).</w:t>
      </w:r>
    </w:p>
    <w:p w14:paraId="00736436" w14:textId="4BF5D833"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rtl/>
          <w:lang w:eastAsia="de-DE"/>
        </w:rPr>
        <w:t>הָחֵל רָשׁ</w:t>
      </w:r>
      <w:r w:rsidRPr="00A330A9">
        <w:rPr>
          <w:rFonts w:eastAsia="Times New Roman"/>
          <w:rtl/>
          <w:lang w:eastAsia="de-DE"/>
        </w:rPr>
        <w:t xml:space="preserve"> </w:t>
      </w:r>
      <w:r w:rsidRPr="00A330A9">
        <w:rPr>
          <w:rFonts w:eastAsia="Times New Roman"/>
          <w:lang w:eastAsia="de-DE"/>
        </w:rPr>
        <w:t>ist eine emphatische Imperativ</w:t>
      </w:r>
      <w:r w:rsidR="00003E41">
        <w:rPr>
          <w:rFonts w:eastAsia="Times New Roman"/>
          <w:lang w:eastAsia="de-DE"/>
        </w:rPr>
        <w:t>-</w:t>
      </w:r>
      <w:r w:rsidR="00FF2B82">
        <w:rPr>
          <w:rFonts w:eastAsia="Times New Roman"/>
          <w:lang w:eastAsia="de-DE"/>
        </w:rPr>
        <w:t>Konstruktion</w:t>
      </w:r>
      <w:r w:rsidRPr="00A330A9">
        <w:rPr>
          <w:rFonts w:eastAsia="Times New Roman"/>
          <w:lang w:eastAsia="de-DE"/>
        </w:rPr>
        <w:t xml:space="preserve">: </w:t>
      </w:r>
      <w:r w:rsidRPr="00A330A9">
        <w:rPr>
          <w:rFonts w:eastAsia="Times New Roman"/>
          <w:b/>
          <w:bCs/>
          <w:rtl/>
          <w:lang w:eastAsia="de-DE"/>
        </w:rPr>
        <w:t>הָחֵל</w:t>
      </w:r>
      <w:r w:rsidRPr="00A330A9">
        <w:rPr>
          <w:rFonts w:eastAsia="Times New Roman"/>
          <w:rtl/>
          <w:lang w:eastAsia="de-DE"/>
        </w:rPr>
        <w:t xml:space="preserve"> </w:t>
      </w:r>
      <w:r w:rsidRPr="00A330A9">
        <w:rPr>
          <w:rFonts w:eastAsia="Times New Roman"/>
          <w:lang w:eastAsia="de-DE"/>
        </w:rPr>
        <w:t xml:space="preserve">(Hif'il Imperativ Singular von </w:t>
      </w:r>
      <w:r w:rsidRPr="00A330A9">
        <w:rPr>
          <w:rFonts w:eastAsia="Times New Roman"/>
          <w:rtl/>
          <w:lang w:eastAsia="de-DE"/>
        </w:rPr>
        <w:t>חלל</w:t>
      </w:r>
      <w:r w:rsidRPr="00A330A9">
        <w:rPr>
          <w:rFonts w:eastAsia="Times New Roman"/>
          <w:lang w:eastAsia="de-DE"/>
        </w:rPr>
        <w:t xml:space="preserve"> „beginnen, anfangen") und </w:t>
      </w:r>
      <w:r w:rsidRPr="00A330A9">
        <w:rPr>
          <w:rFonts w:eastAsia="Times New Roman"/>
          <w:b/>
          <w:bCs/>
          <w:rtl/>
          <w:lang w:eastAsia="de-DE"/>
        </w:rPr>
        <w:t>רָשׁ</w:t>
      </w:r>
      <w:r w:rsidRPr="00A330A9">
        <w:rPr>
          <w:rFonts w:eastAsia="Times New Roman"/>
          <w:rtl/>
          <w:lang w:eastAsia="de-DE"/>
        </w:rPr>
        <w:t xml:space="preserve"> </w:t>
      </w:r>
      <w:r w:rsidRPr="00A330A9">
        <w:rPr>
          <w:rFonts w:eastAsia="Times New Roman"/>
          <w:lang w:eastAsia="de-DE"/>
        </w:rPr>
        <w:t xml:space="preserve">(Qal Imperativ Singular von </w:t>
      </w:r>
      <w:r w:rsidRPr="00A330A9">
        <w:rPr>
          <w:rFonts w:eastAsia="Times New Roman"/>
          <w:rtl/>
          <w:lang w:eastAsia="de-DE"/>
        </w:rPr>
        <w:t>ירשׁ</w:t>
      </w:r>
      <w:r w:rsidRPr="00A330A9">
        <w:rPr>
          <w:rFonts w:eastAsia="Times New Roman"/>
          <w:lang w:eastAsia="de-DE"/>
        </w:rPr>
        <w:t xml:space="preserve"> „in Besitz nehmen"). Die doppelte Imperativform </w:t>
      </w:r>
      <w:r w:rsidRPr="00A330A9">
        <w:rPr>
          <w:rFonts w:eastAsia="Times New Roman"/>
          <w:b/>
          <w:bCs/>
          <w:rtl/>
          <w:lang w:eastAsia="de-DE"/>
        </w:rPr>
        <w:t>הָחֵל</w:t>
      </w:r>
      <w:r w:rsidRPr="00A330A9">
        <w:rPr>
          <w:rFonts w:eastAsia="Times New Roman"/>
          <w:rtl/>
          <w:lang w:eastAsia="de-DE"/>
        </w:rPr>
        <w:t xml:space="preserve"> </w:t>
      </w:r>
      <w:r w:rsidRPr="00A330A9">
        <w:rPr>
          <w:rFonts w:eastAsia="Times New Roman"/>
          <w:lang w:eastAsia="de-DE"/>
        </w:rPr>
        <w:t xml:space="preserve">plus Infinitiv </w:t>
      </w:r>
      <w:proofErr w:type="spellStart"/>
      <w:r w:rsidRPr="00A330A9">
        <w:rPr>
          <w:rFonts w:eastAsia="Times New Roman"/>
          <w:lang w:eastAsia="de-DE"/>
        </w:rPr>
        <w:t>Absoluto</w:t>
      </w:r>
      <w:proofErr w:type="spellEnd"/>
      <w:r w:rsidR="00D91A0B">
        <w:rPr>
          <w:rFonts w:eastAsia="Times New Roman"/>
          <w:lang w:eastAsia="de-DE"/>
        </w:rPr>
        <w:t xml:space="preserve"> </w:t>
      </w:r>
      <w:r w:rsidRPr="00A330A9">
        <w:rPr>
          <w:rFonts w:eastAsia="Times New Roman"/>
          <w:lang w:eastAsia="de-DE"/>
        </w:rPr>
        <w:t xml:space="preserve">der zweite Imperativ intensiviert die Aufforderung: „Fang an zu erobern!" oder „Beginne wirklich!". </w:t>
      </w:r>
      <w:r w:rsidRPr="00A330A9">
        <w:rPr>
          <w:rFonts w:eastAsia="Times New Roman"/>
          <w:b/>
          <w:bCs/>
          <w:rtl/>
          <w:lang w:eastAsia="de-DE"/>
        </w:rPr>
        <w:t>וְהִתְגָּר בּוֹ מִלְחָמָה</w:t>
      </w:r>
      <w:r w:rsidRPr="00A330A9">
        <w:rPr>
          <w:rFonts w:eastAsia="Times New Roman"/>
          <w:rtl/>
          <w:lang w:eastAsia="de-DE"/>
        </w:rPr>
        <w:t xml:space="preserve"> </w:t>
      </w:r>
      <w:r w:rsidRPr="00A330A9">
        <w:rPr>
          <w:rFonts w:eastAsia="Times New Roman"/>
          <w:lang w:eastAsia="de-DE"/>
        </w:rPr>
        <w:t xml:space="preserve">ist </w:t>
      </w:r>
      <w:r w:rsidRPr="00A330A9">
        <w:rPr>
          <w:rFonts w:eastAsia="Times New Roman"/>
          <w:b/>
          <w:bCs/>
          <w:rtl/>
          <w:lang w:eastAsia="de-DE"/>
        </w:rPr>
        <w:t>וְ</w:t>
      </w:r>
      <w:r w:rsidRPr="00A330A9">
        <w:rPr>
          <w:rFonts w:eastAsia="Times New Roman"/>
          <w:rtl/>
          <w:lang w:eastAsia="de-DE"/>
        </w:rPr>
        <w:t xml:space="preserve"> </w:t>
      </w:r>
      <w:r w:rsidRPr="00A330A9">
        <w:rPr>
          <w:rFonts w:eastAsia="Times New Roman"/>
          <w:lang w:eastAsia="de-DE"/>
        </w:rPr>
        <w:t xml:space="preserve">mit </w:t>
      </w:r>
      <w:r w:rsidRPr="00A330A9">
        <w:rPr>
          <w:rFonts w:eastAsia="Times New Roman"/>
          <w:b/>
          <w:bCs/>
          <w:rtl/>
          <w:lang w:eastAsia="de-DE"/>
        </w:rPr>
        <w:t>הִתְגָּר</w:t>
      </w:r>
      <w:r w:rsidRPr="00A330A9">
        <w:rPr>
          <w:rFonts w:eastAsia="Times New Roman"/>
          <w:rtl/>
          <w:lang w:eastAsia="de-DE"/>
        </w:rPr>
        <w:t xml:space="preserve"> </w:t>
      </w:r>
      <w:r w:rsidRPr="00A330A9">
        <w:rPr>
          <w:rFonts w:eastAsia="Times New Roman"/>
          <w:lang w:eastAsia="de-DE"/>
        </w:rPr>
        <w:t xml:space="preserve">(Hitpa'el Imperativ Singular von </w:t>
      </w:r>
      <w:r w:rsidRPr="00A330A9">
        <w:rPr>
          <w:rFonts w:eastAsia="Times New Roman"/>
          <w:rtl/>
          <w:lang w:eastAsia="de-DE"/>
        </w:rPr>
        <w:t>גרה</w:t>
      </w:r>
      <w:r w:rsidRPr="00A330A9">
        <w:rPr>
          <w:rFonts w:eastAsia="Times New Roman"/>
          <w:lang w:eastAsia="de-DE"/>
        </w:rPr>
        <w:t xml:space="preserve">), </w:t>
      </w:r>
      <w:r w:rsidRPr="00A330A9">
        <w:rPr>
          <w:rFonts w:eastAsia="Times New Roman"/>
          <w:b/>
          <w:bCs/>
          <w:rtl/>
          <w:lang w:eastAsia="de-DE"/>
        </w:rPr>
        <w:t>בּוֹ</w:t>
      </w:r>
      <w:r w:rsidRPr="00A330A9">
        <w:rPr>
          <w:rFonts w:eastAsia="Times New Roman"/>
          <w:rtl/>
          <w:lang w:eastAsia="de-DE"/>
        </w:rPr>
        <w:t xml:space="preserve"> </w:t>
      </w:r>
      <w:r w:rsidRPr="00A330A9">
        <w:rPr>
          <w:rFonts w:eastAsia="Times New Roman"/>
          <w:lang w:eastAsia="de-DE"/>
        </w:rPr>
        <w:t>(</w:t>
      </w:r>
      <w:r w:rsidRPr="00A330A9">
        <w:rPr>
          <w:rFonts w:eastAsia="Times New Roman"/>
          <w:b/>
          <w:bCs/>
          <w:rtl/>
          <w:lang w:eastAsia="de-DE"/>
        </w:rPr>
        <w:t>בְּ</w:t>
      </w:r>
      <w:r w:rsidRPr="00A330A9">
        <w:rPr>
          <w:rFonts w:eastAsia="Times New Roman"/>
          <w:rtl/>
          <w:lang w:eastAsia="de-DE"/>
        </w:rPr>
        <w:t xml:space="preserve"> </w:t>
      </w:r>
      <w:r w:rsidRPr="00A330A9">
        <w:rPr>
          <w:rFonts w:eastAsia="Times New Roman"/>
          <w:lang w:eastAsia="de-DE"/>
        </w:rPr>
        <w:t xml:space="preserve">mit Suffix 3. Person Singular „mit ihm"), </w:t>
      </w:r>
      <w:r w:rsidRPr="00A330A9">
        <w:rPr>
          <w:rFonts w:eastAsia="Times New Roman"/>
          <w:b/>
          <w:bCs/>
          <w:rtl/>
          <w:lang w:eastAsia="de-DE"/>
        </w:rPr>
        <w:t>מִלְחָמָה</w:t>
      </w:r>
      <w:r w:rsidRPr="00A330A9">
        <w:rPr>
          <w:rFonts w:eastAsia="Times New Roman"/>
          <w:rtl/>
          <w:lang w:eastAsia="de-DE"/>
        </w:rPr>
        <w:t xml:space="preserve"> </w:t>
      </w:r>
      <w:r w:rsidRPr="00A330A9">
        <w:rPr>
          <w:rFonts w:eastAsia="Times New Roman"/>
          <w:lang w:eastAsia="de-DE"/>
        </w:rPr>
        <w:t>als Akkusativobjekt oder nähere Bestimmung.</w:t>
      </w:r>
    </w:p>
    <w:p w14:paraId="65D82DDA"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Die LXX</w:t>
      </w:r>
      <w:r w:rsidRPr="00A330A9">
        <w:rPr>
          <w:rFonts w:eastAsia="Times New Roman"/>
          <w:lang w:eastAsia="de-DE"/>
        </w:rPr>
        <w:t xml:space="preserve"> übersetzt „</w:t>
      </w:r>
      <w:proofErr w:type="spellStart"/>
      <w:r w:rsidRPr="00A330A9">
        <w:rPr>
          <w:rFonts w:eastAsia="Times New Roman"/>
          <w:lang w:eastAsia="de-DE"/>
        </w:rPr>
        <w:t>ἀνάστητε</w:t>
      </w:r>
      <w:proofErr w:type="spellEnd"/>
      <w:r w:rsidRPr="00A330A9">
        <w:rPr>
          <w:rFonts w:eastAsia="Times New Roman"/>
          <w:lang w:eastAsia="de-DE"/>
        </w:rPr>
        <w:t xml:space="preserve"> ἀπ</w:t>
      </w:r>
      <w:proofErr w:type="spellStart"/>
      <w:r w:rsidRPr="00A330A9">
        <w:rPr>
          <w:rFonts w:eastAsia="Times New Roman"/>
          <w:lang w:eastAsia="de-DE"/>
        </w:rPr>
        <w:t>άρ</w:t>
      </w:r>
      <w:proofErr w:type="spellEnd"/>
      <w:r w:rsidRPr="00A330A9">
        <w:rPr>
          <w:rFonts w:eastAsia="Times New Roman"/>
          <w:lang w:eastAsia="de-DE"/>
        </w:rPr>
        <w:t>ατε καὶ πα</w:t>
      </w:r>
      <w:proofErr w:type="spellStart"/>
      <w:r w:rsidRPr="00A330A9">
        <w:rPr>
          <w:rFonts w:eastAsia="Times New Roman"/>
          <w:lang w:eastAsia="de-DE"/>
        </w:rPr>
        <w:t>ρά</w:t>
      </w:r>
      <w:proofErr w:type="spellEnd"/>
      <w:r w:rsidRPr="00A330A9">
        <w:rPr>
          <w:rFonts w:eastAsia="Times New Roman"/>
          <w:lang w:eastAsia="de-DE"/>
        </w:rPr>
        <w:t xml:space="preserve">βητε </w:t>
      </w:r>
      <w:proofErr w:type="spellStart"/>
      <w:r w:rsidRPr="00A330A9">
        <w:rPr>
          <w:rFonts w:eastAsia="Times New Roman"/>
          <w:lang w:eastAsia="de-DE"/>
        </w:rPr>
        <w:t>ὑμεῖς</w:t>
      </w:r>
      <w:proofErr w:type="spellEnd"/>
      <w:r w:rsidRPr="00A330A9">
        <w:rPr>
          <w:rFonts w:eastAsia="Times New Roman"/>
          <w:lang w:eastAsia="de-DE"/>
        </w:rPr>
        <w:t xml:space="preserve"> τὴν </w:t>
      </w:r>
      <w:proofErr w:type="spellStart"/>
      <w:r w:rsidRPr="00A330A9">
        <w:rPr>
          <w:rFonts w:eastAsia="Times New Roman"/>
          <w:lang w:eastAsia="de-DE"/>
        </w:rPr>
        <w:t>φάρ</w:t>
      </w:r>
      <w:proofErr w:type="spellEnd"/>
      <w:r w:rsidRPr="00A330A9">
        <w:rPr>
          <w:rFonts w:eastAsia="Times New Roman"/>
          <w:lang w:eastAsia="de-DE"/>
        </w:rPr>
        <w:t xml:space="preserve">αγγα </w:t>
      </w:r>
      <w:proofErr w:type="spellStart"/>
      <w:r w:rsidRPr="00A330A9">
        <w:rPr>
          <w:rFonts w:eastAsia="Times New Roman"/>
          <w:lang w:eastAsia="de-DE"/>
        </w:rPr>
        <w:t>Αρνων</w:t>
      </w:r>
      <w:proofErr w:type="spellEnd"/>
      <w:r w:rsidRPr="00A330A9">
        <w:rPr>
          <w:rFonts w:eastAsia="Times New Roman"/>
          <w:lang w:eastAsia="de-DE"/>
        </w:rPr>
        <w:t xml:space="preserve">· </w:t>
      </w:r>
      <w:proofErr w:type="spellStart"/>
      <w:r w:rsidRPr="00A330A9">
        <w:rPr>
          <w:rFonts w:eastAsia="Times New Roman"/>
          <w:lang w:eastAsia="de-DE"/>
        </w:rPr>
        <w:t>ἰδοὺ</w:t>
      </w:r>
      <w:proofErr w:type="spellEnd"/>
      <w:r w:rsidRPr="00A330A9">
        <w:rPr>
          <w:rFonts w:eastAsia="Times New Roman"/>
          <w:lang w:eastAsia="de-DE"/>
        </w:rPr>
        <w:t xml:space="preserve"> παρα</w:t>
      </w:r>
      <w:proofErr w:type="spellStart"/>
      <w:r w:rsidRPr="00A330A9">
        <w:rPr>
          <w:rFonts w:eastAsia="Times New Roman"/>
          <w:lang w:eastAsia="de-DE"/>
        </w:rPr>
        <w:t>δέδωκ</w:t>
      </w:r>
      <w:proofErr w:type="spellEnd"/>
      <w:r w:rsidRPr="00A330A9">
        <w:rPr>
          <w:rFonts w:eastAsia="Times New Roman"/>
          <w:lang w:eastAsia="de-DE"/>
        </w:rPr>
        <w:t xml:space="preserve">α </w:t>
      </w:r>
      <w:proofErr w:type="spellStart"/>
      <w:r w:rsidRPr="00A330A9">
        <w:rPr>
          <w:rFonts w:eastAsia="Times New Roman"/>
          <w:lang w:eastAsia="de-DE"/>
        </w:rPr>
        <w:t>εἰς</w:t>
      </w:r>
      <w:proofErr w:type="spellEnd"/>
      <w:r w:rsidRPr="00A330A9">
        <w:rPr>
          <w:rFonts w:eastAsia="Times New Roman"/>
          <w:lang w:eastAsia="de-DE"/>
        </w:rPr>
        <w:t xml:space="preserve"> </w:t>
      </w:r>
      <w:proofErr w:type="spellStart"/>
      <w:r w:rsidRPr="00A330A9">
        <w:rPr>
          <w:rFonts w:eastAsia="Times New Roman"/>
          <w:lang w:eastAsia="de-DE"/>
        </w:rPr>
        <w:t>τὰς</w:t>
      </w:r>
      <w:proofErr w:type="spellEnd"/>
      <w:r w:rsidRPr="00A330A9">
        <w:rPr>
          <w:rFonts w:eastAsia="Times New Roman"/>
          <w:lang w:eastAsia="de-DE"/>
        </w:rPr>
        <w:t xml:space="preserve"> </w:t>
      </w:r>
      <w:proofErr w:type="spellStart"/>
      <w:r w:rsidRPr="00A330A9">
        <w:rPr>
          <w:rFonts w:eastAsia="Times New Roman"/>
          <w:lang w:eastAsia="de-DE"/>
        </w:rPr>
        <w:t>χεῖράς</w:t>
      </w:r>
      <w:proofErr w:type="spellEnd"/>
      <w:r w:rsidRPr="00A330A9">
        <w:rPr>
          <w:rFonts w:eastAsia="Times New Roman"/>
          <w:lang w:eastAsia="de-DE"/>
        </w:rPr>
        <w:t xml:space="preserve"> </w:t>
      </w:r>
      <w:proofErr w:type="spellStart"/>
      <w:r w:rsidRPr="00A330A9">
        <w:rPr>
          <w:rFonts w:eastAsia="Times New Roman"/>
          <w:lang w:eastAsia="de-DE"/>
        </w:rPr>
        <w:t>σου</w:t>
      </w:r>
      <w:proofErr w:type="spellEnd"/>
      <w:r w:rsidRPr="00A330A9">
        <w:rPr>
          <w:rFonts w:eastAsia="Times New Roman"/>
          <w:lang w:eastAsia="de-DE"/>
        </w:rPr>
        <w:t xml:space="preserve"> </w:t>
      </w:r>
      <w:proofErr w:type="spellStart"/>
      <w:r w:rsidRPr="00A330A9">
        <w:rPr>
          <w:rFonts w:eastAsia="Times New Roman"/>
          <w:lang w:eastAsia="de-DE"/>
        </w:rPr>
        <w:t>τὸν</w:t>
      </w:r>
      <w:proofErr w:type="spellEnd"/>
      <w:r w:rsidRPr="00A330A9">
        <w:rPr>
          <w:rFonts w:eastAsia="Times New Roman"/>
          <w:lang w:eastAsia="de-DE"/>
        </w:rPr>
        <w:t xml:space="preserve"> </w:t>
      </w:r>
      <w:proofErr w:type="spellStart"/>
      <w:r w:rsidRPr="00A330A9">
        <w:rPr>
          <w:rFonts w:eastAsia="Times New Roman"/>
          <w:lang w:eastAsia="de-DE"/>
        </w:rPr>
        <w:t>Σηων</w:t>
      </w:r>
      <w:proofErr w:type="spellEnd"/>
      <w:r w:rsidRPr="00A330A9">
        <w:rPr>
          <w:rFonts w:eastAsia="Times New Roman"/>
          <w:lang w:eastAsia="de-DE"/>
        </w:rPr>
        <w:t xml:space="preserve"> βα</w:t>
      </w:r>
      <w:proofErr w:type="spellStart"/>
      <w:r w:rsidRPr="00A330A9">
        <w:rPr>
          <w:rFonts w:eastAsia="Times New Roman"/>
          <w:lang w:eastAsia="de-DE"/>
        </w:rPr>
        <w:t>σιλέ</w:t>
      </w:r>
      <w:proofErr w:type="spellEnd"/>
      <w:r w:rsidRPr="00A330A9">
        <w:rPr>
          <w:rFonts w:eastAsia="Times New Roman"/>
          <w:lang w:eastAsia="de-DE"/>
        </w:rPr>
        <w:t xml:space="preserve">α </w:t>
      </w:r>
      <w:proofErr w:type="spellStart"/>
      <w:r w:rsidRPr="00A330A9">
        <w:rPr>
          <w:rFonts w:eastAsia="Times New Roman"/>
          <w:lang w:eastAsia="de-DE"/>
        </w:rPr>
        <w:t>Εσε</w:t>
      </w:r>
      <w:proofErr w:type="spellEnd"/>
      <w:r w:rsidRPr="00A330A9">
        <w:rPr>
          <w:rFonts w:eastAsia="Times New Roman"/>
          <w:lang w:eastAsia="de-DE"/>
        </w:rPr>
        <w:t xml:space="preserve">βων </w:t>
      </w:r>
      <w:proofErr w:type="spellStart"/>
      <w:r w:rsidRPr="00A330A9">
        <w:rPr>
          <w:rFonts w:eastAsia="Times New Roman"/>
          <w:lang w:eastAsia="de-DE"/>
        </w:rPr>
        <w:t>τὸν</w:t>
      </w:r>
      <w:proofErr w:type="spellEnd"/>
      <w:r w:rsidRPr="00A330A9">
        <w:rPr>
          <w:rFonts w:eastAsia="Times New Roman"/>
          <w:lang w:eastAsia="de-DE"/>
        </w:rPr>
        <w:t xml:space="preserve"> </w:t>
      </w:r>
      <w:proofErr w:type="spellStart"/>
      <w:r w:rsidRPr="00A330A9">
        <w:rPr>
          <w:rFonts w:eastAsia="Times New Roman"/>
          <w:lang w:eastAsia="de-DE"/>
        </w:rPr>
        <w:t>Αμορρ</w:t>
      </w:r>
      <w:proofErr w:type="spellEnd"/>
      <w:r w:rsidRPr="00A330A9">
        <w:rPr>
          <w:rFonts w:eastAsia="Times New Roman"/>
          <w:lang w:eastAsia="de-DE"/>
        </w:rPr>
        <w:t xml:space="preserve">αῖον καὶ τὴν </w:t>
      </w:r>
      <w:proofErr w:type="spellStart"/>
      <w:r w:rsidRPr="00A330A9">
        <w:rPr>
          <w:rFonts w:eastAsia="Times New Roman"/>
          <w:lang w:eastAsia="de-DE"/>
        </w:rPr>
        <w:t>γῆν</w:t>
      </w:r>
      <w:proofErr w:type="spellEnd"/>
      <w:r w:rsidRPr="00A330A9">
        <w:rPr>
          <w:rFonts w:eastAsia="Times New Roman"/>
          <w:lang w:eastAsia="de-DE"/>
        </w:rPr>
        <w:t xml:space="preserve"> α</w:t>
      </w:r>
      <w:proofErr w:type="spellStart"/>
      <w:r w:rsidRPr="00A330A9">
        <w:rPr>
          <w:rFonts w:eastAsia="Times New Roman"/>
          <w:lang w:eastAsia="de-DE"/>
        </w:rPr>
        <w:t>ὐτοῦ</w:t>
      </w:r>
      <w:proofErr w:type="spellEnd"/>
      <w:r w:rsidRPr="00A330A9">
        <w:rPr>
          <w:rFonts w:eastAsia="Times New Roman"/>
          <w:lang w:eastAsia="de-DE"/>
        </w:rPr>
        <w:t xml:space="preserve">· </w:t>
      </w:r>
      <w:proofErr w:type="spellStart"/>
      <w:r w:rsidRPr="00A330A9">
        <w:rPr>
          <w:rFonts w:eastAsia="Times New Roman"/>
          <w:lang w:eastAsia="de-DE"/>
        </w:rPr>
        <w:t>ἐνάρχου</w:t>
      </w:r>
      <w:proofErr w:type="spellEnd"/>
      <w:r w:rsidRPr="00A330A9">
        <w:rPr>
          <w:rFonts w:eastAsia="Times New Roman"/>
          <w:lang w:eastAsia="de-DE"/>
        </w:rPr>
        <w:t xml:space="preserve"> </w:t>
      </w:r>
      <w:proofErr w:type="spellStart"/>
      <w:r w:rsidRPr="00A330A9">
        <w:rPr>
          <w:rFonts w:eastAsia="Times New Roman"/>
          <w:lang w:eastAsia="de-DE"/>
        </w:rPr>
        <w:t>κληρονομεῖν</w:t>
      </w:r>
      <w:proofErr w:type="spellEnd"/>
      <w:r w:rsidRPr="00A330A9">
        <w:rPr>
          <w:rFonts w:eastAsia="Times New Roman"/>
          <w:lang w:eastAsia="de-DE"/>
        </w:rPr>
        <w:t xml:space="preserve">, </w:t>
      </w:r>
      <w:proofErr w:type="spellStart"/>
      <w:r w:rsidRPr="00A330A9">
        <w:rPr>
          <w:rFonts w:eastAsia="Times New Roman"/>
          <w:lang w:eastAsia="de-DE"/>
        </w:rPr>
        <w:t>σύν</w:t>
      </w:r>
      <w:proofErr w:type="spellEnd"/>
      <w:r w:rsidRPr="00A330A9">
        <w:rPr>
          <w:rFonts w:eastAsia="Times New Roman"/>
          <w:lang w:eastAsia="de-DE"/>
        </w:rPr>
        <w:t>απτε π</w:t>
      </w:r>
      <w:proofErr w:type="spellStart"/>
      <w:r w:rsidRPr="00A330A9">
        <w:rPr>
          <w:rFonts w:eastAsia="Times New Roman"/>
          <w:lang w:eastAsia="de-DE"/>
        </w:rPr>
        <w:t>ρὸς</w:t>
      </w:r>
      <w:proofErr w:type="spellEnd"/>
      <w:r w:rsidRPr="00A330A9">
        <w:rPr>
          <w:rFonts w:eastAsia="Times New Roman"/>
          <w:lang w:eastAsia="de-DE"/>
        </w:rPr>
        <w:t xml:space="preserve"> α</w:t>
      </w:r>
      <w:proofErr w:type="spellStart"/>
      <w:r w:rsidRPr="00A330A9">
        <w:rPr>
          <w:rFonts w:eastAsia="Times New Roman"/>
          <w:lang w:eastAsia="de-DE"/>
        </w:rPr>
        <w:t>ὐτὸν</w:t>
      </w:r>
      <w:proofErr w:type="spellEnd"/>
      <w:r w:rsidRPr="00A330A9">
        <w:rPr>
          <w:rFonts w:eastAsia="Times New Roman"/>
          <w:lang w:eastAsia="de-DE"/>
        </w:rPr>
        <w:t xml:space="preserve"> π</w:t>
      </w:r>
      <w:proofErr w:type="spellStart"/>
      <w:r w:rsidRPr="00A330A9">
        <w:rPr>
          <w:rFonts w:eastAsia="Times New Roman"/>
          <w:lang w:eastAsia="de-DE"/>
        </w:rPr>
        <w:t>όλεμον</w:t>
      </w:r>
      <w:proofErr w:type="spellEnd"/>
      <w:r w:rsidRPr="00A330A9">
        <w:rPr>
          <w:rFonts w:eastAsia="Times New Roman"/>
          <w:lang w:eastAsia="de-DE"/>
        </w:rPr>
        <w:t xml:space="preserve">" („Steht auf, brecht auf und überquert ihr die Schlucht Arnon; siehe, ich habe übergeben in deine Hände </w:t>
      </w:r>
      <w:proofErr w:type="spellStart"/>
      <w:r w:rsidRPr="00A330A9">
        <w:rPr>
          <w:rFonts w:eastAsia="Times New Roman"/>
          <w:lang w:eastAsia="de-DE"/>
        </w:rPr>
        <w:t>Seon</w:t>
      </w:r>
      <w:proofErr w:type="spellEnd"/>
      <w:r w:rsidRPr="00A330A9">
        <w:rPr>
          <w:rFonts w:eastAsia="Times New Roman"/>
          <w:lang w:eastAsia="de-DE"/>
        </w:rPr>
        <w:t xml:space="preserve">, den König von </w:t>
      </w:r>
      <w:proofErr w:type="spellStart"/>
      <w:r w:rsidRPr="00A330A9">
        <w:rPr>
          <w:rFonts w:eastAsia="Times New Roman"/>
          <w:lang w:eastAsia="de-DE"/>
        </w:rPr>
        <w:t>Esebon</w:t>
      </w:r>
      <w:proofErr w:type="spellEnd"/>
      <w:r w:rsidRPr="00A330A9">
        <w:rPr>
          <w:rFonts w:eastAsia="Times New Roman"/>
          <w:lang w:eastAsia="de-DE"/>
        </w:rPr>
        <w:t xml:space="preserve">, den </w:t>
      </w:r>
      <w:proofErr w:type="spellStart"/>
      <w:r w:rsidRPr="00A330A9">
        <w:rPr>
          <w:rFonts w:eastAsia="Times New Roman"/>
          <w:lang w:eastAsia="de-DE"/>
        </w:rPr>
        <w:t>Amorräer</w:t>
      </w:r>
      <w:proofErr w:type="spellEnd"/>
      <w:r w:rsidRPr="00A330A9">
        <w:rPr>
          <w:rFonts w:eastAsia="Times New Roman"/>
          <w:lang w:eastAsia="de-DE"/>
        </w:rPr>
        <w:t>, und sein Land; beginne zu erben, schließe mit ihm Krieg").</w:t>
      </w:r>
    </w:p>
    <w:p w14:paraId="3163F3EA"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lang w:eastAsia="de-DE"/>
        </w:rPr>
        <w:t xml:space="preserve">Die Satzstruktur besteht aus drei Teilen: (1) drei koordinierte Imperative </w:t>
      </w:r>
      <w:r w:rsidRPr="00A330A9">
        <w:rPr>
          <w:rFonts w:eastAsia="Times New Roman"/>
          <w:b/>
          <w:bCs/>
          <w:rtl/>
          <w:lang w:eastAsia="de-DE"/>
        </w:rPr>
        <w:t>קֻמוּ סְּעוּ וְעִבְרוּ אֶת־נַחַל אַרְנוֹן</w:t>
      </w:r>
      <w:r w:rsidRPr="00A330A9">
        <w:rPr>
          <w:rFonts w:eastAsia="Times New Roman"/>
          <w:lang w:eastAsia="de-DE"/>
        </w:rPr>
        <w:t xml:space="preserve">, (2) Deklaration mit Aufmerksamkeitspartikel </w:t>
      </w:r>
      <w:r w:rsidRPr="00A330A9">
        <w:rPr>
          <w:rFonts w:eastAsia="Times New Roman"/>
          <w:b/>
          <w:bCs/>
          <w:rtl/>
          <w:lang w:eastAsia="de-DE"/>
        </w:rPr>
        <w:t>רְאֵה נָתַתִּי בְיָדְךָ</w:t>
      </w:r>
      <w:r w:rsidRPr="00A330A9">
        <w:rPr>
          <w:rFonts w:eastAsia="Times New Roman"/>
          <w:rtl/>
          <w:lang w:eastAsia="de-DE"/>
        </w:rPr>
        <w:t xml:space="preserve"> </w:t>
      </w:r>
      <w:r w:rsidRPr="00A330A9">
        <w:rPr>
          <w:rFonts w:eastAsia="Times New Roman"/>
          <w:lang w:eastAsia="de-DE"/>
        </w:rPr>
        <w:t xml:space="preserve">mit doppeltem Objekt, (3) zwei koordinierte Imperative </w:t>
      </w:r>
      <w:r w:rsidRPr="00A330A9">
        <w:rPr>
          <w:rFonts w:eastAsia="Times New Roman"/>
          <w:b/>
          <w:bCs/>
          <w:rtl/>
          <w:lang w:eastAsia="de-DE"/>
        </w:rPr>
        <w:t>הָחֵל רָשׁ וְהִתְגָּר בּוֹ מִלְחָמָה</w:t>
      </w:r>
      <w:r w:rsidRPr="00A330A9">
        <w:rPr>
          <w:rFonts w:eastAsia="Times New Roman"/>
          <w:lang w:eastAsia="de-DE"/>
        </w:rPr>
        <w:t>.</w:t>
      </w:r>
    </w:p>
    <w:p w14:paraId="629136A4"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lang w:eastAsia="de-DE"/>
        </w:rPr>
        <w:t>Der Vers markiert den entscheidenden Wendepunkt: Nach den Verboten, Edom, Moab und Ammon anzugreifen, kommt nun der Befehl zur Eroberung. Die Überquerung des Arnon führt in eroberbares Gebiet. JHWH hat Sihon und sein Land bereits „in Moses Hand gegeben" (prophetisches Perfekt) – der Sieg ist garantiert. Dies ist der Beginn der transjordanischen Eroberungen.</w:t>
      </w:r>
    </w:p>
    <w:p w14:paraId="77EA1B39" w14:textId="77777777" w:rsidR="00A330A9" w:rsidRPr="00A330A9" w:rsidRDefault="00A330A9" w:rsidP="00A330A9">
      <w:pPr>
        <w:spacing w:before="100" w:beforeAutospacing="1" w:after="100" w:afterAutospacing="1" w:line="240" w:lineRule="auto"/>
        <w:outlineLvl w:val="1"/>
        <w:rPr>
          <w:rFonts w:eastAsia="Times New Roman"/>
          <w:b/>
          <w:bCs/>
          <w:sz w:val="36"/>
          <w:szCs w:val="36"/>
          <w:lang w:eastAsia="de-DE"/>
        </w:rPr>
      </w:pPr>
      <w:r w:rsidRPr="00A330A9">
        <w:rPr>
          <w:rFonts w:eastAsia="Times New Roman"/>
          <w:b/>
          <w:bCs/>
          <w:sz w:val="36"/>
          <w:szCs w:val="36"/>
          <w:lang w:eastAsia="de-DE"/>
        </w:rPr>
        <w:t>Deuteronomium 2,25</w:t>
      </w:r>
    </w:p>
    <w:p w14:paraId="6B235E41"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Hebräisch:</w:t>
      </w:r>
      <w:r w:rsidRPr="00A330A9">
        <w:rPr>
          <w:rFonts w:eastAsia="Times New Roman"/>
          <w:lang w:eastAsia="de-DE"/>
        </w:rPr>
        <w:t xml:space="preserve"> </w:t>
      </w:r>
      <w:r w:rsidRPr="00A330A9">
        <w:rPr>
          <w:rFonts w:eastAsia="Times New Roman"/>
          <w:rtl/>
          <w:lang w:eastAsia="de-DE"/>
        </w:rPr>
        <w:t>הַיֹּ֣ום הַזֶּ֗ה אָחֵל֙ תֵּ֤ת פַּחְדְּךָ֙ וְיִרְאָ֣תְךָ֔ עַל־פְּנֵי֙ הָֽעַמִּ֔ים תַּ֖חַת כָּל־הַשָּׁמָ֑יִם אֲשֶׁ֤ר יִשְׁמְעוּן֙ שִׁמְעֲךָ֔ וְרָגְז֥וּ וְחָל֖וּ מִפָּנֶֽיךָ׃</w:t>
      </w:r>
    </w:p>
    <w:p w14:paraId="46E3C9E4"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lastRenderedPageBreak/>
        <w:t>Deutsch:</w:t>
      </w:r>
      <w:r w:rsidRPr="00A330A9">
        <w:rPr>
          <w:rFonts w:eastAsia="Times New Roman"/>
          <w:lang w:eastAsia="de-DE"/>
        </w:rPr>
        <w:t xml:space="preserve"> An diesem Tag werde ich beginnen, deinen Schrecken und deine Furcht auf die Völker unter dem ganzen Himmel zu legen, die die Kunde von dir hören werden und vor dir zittern und beben werden.</w:t>
      </w:r>
    </w:p>
    <w:p w14:paraId="2BC5076C" w14:textId="77777777" w:rsidR="00A330A9" w:rsidRPr="00A330A9" w:rsidRDefault="004F5CEB" w:rsidP="00A330A9">
      <w:pPr>
        <w:spacing w:after="0" w:line="240" w:lineRule="auto"/>
        <w:rPr>
          <w:rFonts w:eastAsia="Times New Roman"/>
          <w:lang w:eastAsia="de-DE"/>
        </w:rPr>
      </w:pPr>
      <w:r>
        <w:rPr>
          <w:rFonts w:eastAsia="Times New Roman"/>
          <w:noProof/>
          <w:lang w:eastAsia="de-DE"/>
        </w:rPr>
        <w:pict w14:anchorId="3C0E2D28">
          <v:rect id="_x0000_i1095" style="width:0;height:1.5pt" o:hralign="center" o:hrstd="t" o:hr="t" fillcolor="#a0a0a0" stroked="f"/>
        </w:pict>
      </w:r>
    </w:p>
    <w:p w14:paraId="40BA7AAC" w14:textId="0D88C03D"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Kommentar:</w:t>
      </w:r>
      <w:r w:rsidRPr="00A330A9">
        <w:rPr>
          <w:rFonts w:eastAsia="Times New Roman"/>
          <w:lang w:eastAsia="de-DE"/>
        </w:rPr>
        <w:t xml:space="preserve"> </w:t>
      </w:r>
      <w:r w:rsidRPr="00A330A9">
        <w:rPr>
          <w:rFonts w:eastAsia="Times New Roman"/>
          <w:b/>
          <w:bCs/>
          <w:rtl/>
          <w:lang w:eastAsia="de-DE"/>
        </w:rPr>
        <w:t>הַיּוֹם הַזֶּה</w:t>
      </w:r>
      <w:r w:rsidRPr="00A330A9">
        <w:rPr>
          <w:rFonts w:eastAsia="Times New Roman"/>
          <w:rtl/>
          <w:lang w:eastAsia="de-DE"/>
        </w:rPr>
        <w:t xml:space="preserve"> </w:t>
      </w:r>
      <w:r w:rsidRPr="00A330A9">
        <w:rPr>
          <w:rFonts w:eastAsia="Times New Roman"/>
          <w:lang w:eastAsia="de-DE"/>
        </w:rPr>
        <w:t xml:space="preserve">ist die temporale Phrase „an diesem Tag" mit Artikel bei beiden Wörtern für Emphase. </w:t>
      </w:r>
      <w:r w:rsidRPr="00A330A9">
        <w:rPr>
          <w:rFonts w:eastAsia="Times New Roman"/>
          <w:b/>
          <w:bCs/>
          <w:rtl/>
          <w:lang w:eastAsia="de-DE"/>
        </w:rPr>
        <w:t>אָחֵל</w:t>
      </w:r>
      <w:r w:rsidRPr="00A330A9">
        <w:rPr>
          <w:rFonts w:eastAsia="Times New Roman"/>
          <w:rtl/>
          <w:lang w:eastAsia="de-DE"/>
        </w:rPr>
        <w:t xml:space="preserve"> </w:t>
      </w:r>
      <w:r w:rsidRPr="00A330A9">
        <w:rPr>
          <w:rFonts w:eastAsia="Times New Roman"/>
          <w:lang w:eastAsia="de-DE"/>
        </w:rPr>
        <w:t xml:space="preserve">ist Hif'il Imperfekt, 1. Person Singular von </w:t>
      </w:r>
      <w:r w:rsidRPr="00A330A9">
        <w:rPr>
          <w:rFonts w:eastAsia="Times New Roman"/>
          <w:rtl/>
          <w:lang w:eastAsia="de-DE"/>
        </w:rPr>
        <w:t>חלל</w:t>
      </w:r>
      <w:r w:rsidRPr="00A330A9">
        <w:rPr>
          <w:rFonts w:eastAsia="Times New Roman"/>
          <w:lang w:eastAsia="de-DE"/>
        </w:rPr>
        <w:t xml:space="preserve"> („beginnen, anfangen"). </w:t>
      </w:r>
      <w:r w:rsidRPr="00A330A9">
        <w:rPr>
          <w:rFonts w:eastAsia="Times New Roman"/>
          <w:b/>
          <w:bCs/>
          <w:rtl/>
          <w:lang w:eastAsia="de-DE"/>
        </w:rPr>
        <w:t>תֵּת</w:t>
      </w:r>
      <w:r w:rsidRPr="00A330A9">
        <w:rPr>
          <w:rFonts w:eastAsia="Times New Roman"/>
          <w:rtl/>
          <w:lang w:eastAsia="de-DE"/>
        </w:rPr>
        <w:t xml:space="preserve"> </w:t>
      </w:r>
      <w:r w:rsidRPr="00A330A9">
        <w:rPr>
          <w:rFonts w:eastAsia="Times New Roman"/>
          <w:lang w:eastAsia="de-DE"/>
        </w:rPr>
        <w:t xml:space="preserve">ist Qal Infinitiv </w:t>
      </w:r>
      <w:r w:rsidR="0032647F">
        <w:rPr>
          <w:rFonts w:eastAsia="Times New Roman"/>
          <w:lang w:eastAsia="de-DE"/>
        </w:rPr>
        <w:t>Construct</w:t>
      </w:r>
      <w:r w:rsidRPr="00A330A9">
        <w:rPr>
          <w:rFonts w:eastAsia="Times New Roman"/>
          <w:lang w:eastAsia="de-DE"/>
        </w:rPr>
        <w:t xml:space="preserve"> von </w:t>
      </w:r>
      <w:r w:rsidRPr="00A330A9">
        <w:rPr>
          <w:rFonts w:eastAsia="Times New Roman"/>
          <w:rtl/>
          <w:lang w:eastAsia="de-DE"/>
        </w:rPr>
        <w:t>נתן</w:t>
      </w:r>
      <w:r w:rsidRPr="00A330A9">
        <w:rPr>
          <w:rFonts w:eastAsia="Times New Roman"/>
          <w:lang w:eastAsia="de-DE"/>
        </w:rPr>
        <w:t xml:space="preserve"> („geben, legen"). </w:t>
      </w:r>
      <w:r w:rsidRPr="00A330A9">
        <w:rPr>
          <w:rFonts w:eastAsia="Times New Roman"/>
          <w:b/>
          <w:bCs/>
          <w:rtl/>
          <w:lang w:eastAsia="de-DE"/>
        </w:rPr>
        <w:t>פַּחְדְּךָ וְיִרְאָתְךָ</w:t>
      </w:r>
      <w:r w:rsidRPr="00A330A9">
        <w:rPr>
          <w:rFonts w:eastAsia="Times New Roman"/>
          <w:rtl/>
          <w:lang w:eastAsia="de-DE"/>
        </w:rPr>
        <w:t xml:space="preserve"> </w:t>
      </w:r>
      <w:r w:rsidRPr="00A330A9">
        <w:rPr>
          <w:rFonts w:eastAsia="Times New Roman"/>
          <w:lang w:eastAsia="de-DE"/>
        </w:rPr>
        <w:t xml:space="preserve">sind zwei koordinierte Objekte: </w:t>
      </w:r>
      <w:r w:rsidRPr="00A330A9">
        <w:rPr>
          <w:rFonts w:eastAsia="Times New Roman"/>
          <w:b/>
          <w:bCs/>
          <w:rtl/>
          <w:lang w:eastAsia="de-DE"/>
        </w:rPr>
        <w:t>פַּחַד</w:t>
      </w:r>
      <w:r w:rsidRPr="00A330A9">
        <w:rPr>
          <w:rFonts w:eastAsia="Times New Roman"/>
          <w:rtl/>
          <w:lang w:eastAsia="de-DE"/>
        </w:rPr>
        <w:t xml:space="preserve"> </w:t>
      </w:r>
      <w:r w:rsidRPr="00A330A9">
        <w:rPr>
          <w:rFonts w:eastAsia="Times New Roman"/>
          <w:lang w:eastAsia="de-DE"/>
        </w:rPr>
        <w:t xml:space="preserve">(„Schrecken, Furcht") mit Suffix 2. Person Singular und </w:t>
      </w:r>
      <w:r w:rsidRPr="00A330A9">
        <w:rPr>
          <w:rFonts w:eastAsia="Times New Roman"/>
          <w:b/>
          <w:bCs/>
          <w:rtl/>
          <w:lang w:eastAsia="de-DE"/>
        </w:rPr>
        <w:t>יִרְאָה</w:t>
      </w:r>
      <w:r w:rsidRPr="00A330A9">
        <w:rPr>
          <w:rFonts w:eastAsia="Times New Roman"/>
          <w:rtl/>
          <w:lang w:eastAsia="de-DE"/>
        </w:rPr>
        <w:t xml:space="preserve"> </w:t>
      </w:r>
      <w:r w:rsidRPr="00A330A9">
        <w:rPr>
          <w:rFonts w:eastAsia="Times New Roman"/>
          <w:lang w:eastAsia="de-DE"/>
        </w:rPr>
        <w:t>(„Furcht, Ehrfurcht") mit Suffix 2. Person Singular.</w:t>
      </w:r>
    </w:p>
    <w:p w14:paraId="4D00FA6A" w14:textId="0B9B44E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rtl/>
          <w:lang w:eastAsia="de-DE"/>
        </w:rPr>
        <w:t>עַל־פְּנֵי הָעַמִּים תַּחַת כָּל־הַשָּׁמָיִם</w:t>
      </w:r>
      <w:r w:rsidRPr="00A330A9">
        <w:rPr>
          <w:rFonts w:eastAsia="Times New Roman"/>
          <w:rtl/>
          <w:lang w:eastAsia="de-DE"/>
        </w:rPr>
        <w:t xml:space="preserve"> </w:t>
      </w:r>
      <w:r w:rsidRPr="00A330A9">
        <w:rPr>
          <w:rFonts w:eastAsia="Times New Roman"/>
          <w:lang w:eastAsia="de-DE"/>
        </w:rPr>
        <w:t xml:space="preserve">ist eine erweiterte Lokalbestimmung: </w:t>
      </w:r>
      <w:r w:rsidRPr="00A330A9">
        <w:rPr>
          <w:rFonts w:eastAsia="Times New Roman"/>
          <w:b/>
          <w:bCs/>
          <w:rtl/>
          <w:lang w:eastAsia="de-DE"/>
        </w:rPr>
        <w:t>עַל־פְּנֵי</w:t>
      </w:r>
      <w:r w:rsidRPr="00A330A9">
        <w:rPr>
          <w:rFonts w:eastAsia="Times New Roman"/>
          <w:rtl/>
          <w:lang w:eastAsia="de-DE"/>
        </w:rPr>
        <w:t xml:space="preserve"> </w:t>
      </w:r>
      <w:r w:rsidRPr="00A330A9">
        <w:rPr>
          <w:rFonts w:eastAsia="Times New Roman"/>
          <w:lang w:eastAsia="de-DE"/>
        </w:rPr>
        <w:t>(</w:t>
      </w:r>
      <w:r w:rsidRPr="00A330A9">
        <w:rPr>
          <w:rFonts w:eastAsia="Times New Roman"/>
          <w:b/>
          <w:bCs/>
          <w:rtl/>
          <w:lang w:eastAsia="de-DE"/>
        </w:rPr>
        <w:t>עַל</w:t>
      </w:r>
      <w:r w:rsidRPr="00A330A9">
        <w:rPr>
          <w:rFonts w:eastAsia="Times New Roman"/>
          <w:rtl/>
          <w:lang w:eastAsia="de-DE"/>
        </w:rPr>
        <w:t xml:space="preserve"> </w:t>
      </w:r>
      <w:r w:rsidRPr="00A330A9">
        <w:rPr>
          <w:rFonts w:eastAsia="Times New Roman"/>
          <w:lang w:eastAsia="de-DE"/>
        </w:rPr>
        <w:t xml:space="preserve">„auf" mit </w:t>
      </w:r>
      <w:r w:rsidRPr="00A330A9">
        <w:rPr>
          <w:rFonts w:eastAsia="Times New Roman"/>
          <w:b/>
          <w:bCs/>
          <w:rtl/>
          <w:lang w:eastAsia="de-DE"/>
        </w:rPr>
        <w:t>פָּנִים</w:t>
      </w:r>
      <w:r w:rsidRPr="00A330A9">
        <w:rPr>
          <w:rFonts w:eastAsia="Times New Roman"/>
          <w:rtl/>
          <w:lang w:eastAsia="de-DE"/>
        </w:rPr>
        <w:t xml:space="preserve"> </w:t>
      </w:r>
      <w:r w:rsidRPr="00A330A9">
        <w:rPr>
          <w:rFonts w:eastAsia="Times New Roman"/>
          <w:lang w:eastAsia="de-DE"/>
        </w:rPr>
        <w:t xml:space="preserve">„Angesicht" im Plural </w:t>
      </w:r>
      <w:r w:rsidR="0032647F">
        <w:rPr>
          <w:rFonts w:eastAsia="Times New Roman"/>
          <w:lang w:eastAsia="de-DE"/>
        </w:rPr>
        <w:t>Construct</w:t>
      </w:r>
      <w:r w:rsidRPr="00A330A9">
        <w:rPr>
          <w:rFonts w:eastAsia="Times New Roman"/>
          <w:lang w:eastAsia="de-DE"/>
        </w:rPr>
        <w:t xml:space="preserve">), </w:t>
      </w:r>
      <w:r w:rsidRPr="00A330A9">
        <w:rPr>
          <w:rFonts w:eastAsia="Times New Roman"/>
          <w:b/>
          <w:bCs/>
          <w:rtl/>
          <w:lang w:eastAsia="de-DE"/>
        </w:rPr>
        <w:t>הָעַמִּים</w:t>
      </w:r>
      <w:r w:rsidRPr="00A330A9">
        <w:rPr>
          <w:rFonts w:eastAsia="Times New Roman"/>
          <w:rtl/>
          <w:lang w:eastAsia="de-DE"/>
        </w:rPr>
        <w:t xml:space="preserve"> </w:t>
      </w:r>
      <w:r w:rsidRPr="00A330A9">
        <w:rPr>
          <w:rFonts w:eastAsia="Times New Roman"/>
          <w:lang w:eastAsia="de-DE"/>
        </w:rPr>
        <w:t xml:space="preserve">(„die Völker"), </w:t>
      </w:r>
      <w:r w:rsidRPr="00A330A9">
        <w:rPr>
          <w:rFonts w:eastAsia="Times New Roman"/>
          <w:b/>
          <w:bCs/>
          <w:rtl/>
          <w:lang w:eastAsia="de-DE"/>
        </w:rPr>
        <w:t>תַּחַת כָּל־הַשָּׁמָיִם</w:t>
      </w:r>
      <w:r w:rsidRPr="00A330A9">
        <w:rPr>
          <w:rFonts w:eastAsia="Times New Roman"/>
          <w:rtl/>
          <w:lang w:eastAsia="de-DE"/>
        </w:rPr>
        <w:t xml:space="preserve"> </w:t>
      </w:r>
      <w:r w:rsidRPr="00A330A9">
        <w:rPr>
          <w:rFonts w:eastAsia="Times New Roman"/>
          <w:lang w:eastAsia="de-DE"/>
        </w:rPr>
        <w:t>(</w:t>
      </w:r>
      <w:r w:rsidRPr="00A330A9">
        <w:rPr>
          <w:rFonts w:eastAsia="Times New Roman"/>
          <w:b/>
          <w:bCs/>
          <w:rtl/>
          <w:lang w:eastAsia="de-DE"/>
        </w:rPr>
        <w:t>תַּחַת</w:t>
      </w:r>
      <w:r w:rsidRPr="00A330A9">
        <w:rPr>
          <w:rFonts w:eastAsia="Times New Roman"/>
          <w:rtl/>
          <w:lang w:eastAsia="de-DE"/>
        </w:rPr>
        <w:t xml:space="preserve"> </w:t>
      </w:r>
      <w:r w:rsidRPr="00A330A9">
        <w:rPr>
          <w:rFonts w:eastAsia="Times New Roman"/>
          <w:lang w:eastAsia="de-DE"/>
        </w:rPr>
        <w:t xml:space="preserve">„unter" mit </w:t>
      </w:r>
      <w:r w:rsidRPr="00A330A9">
        <w:rPr>
          <w:rFonts w:eastAsia="Times New Roman"/>
          <w:b/>
          <w:bCs/>
          <w:rtl/>
          <w:lang w:eastAsia="de-DE"/>
        </w:rPr>
        <w:t>כֹּל</w:t>
      </w:r>
      <w:r w:rsidRPr="00A330A9">
        <w:rPr>
          <w:rFonts w:eastAsia="Times New Roman"/>
          <w:rtl/>
          <w:lang w:eastAsia="de-DE"/>
        </w:rPr>
        <w:t xml:space="preserve"> </w:t>
      </w:r>
      <w:r w:rsidRPr="00A330A9">
        <w:rPr>
          <w:rFonts w:eastAsia="Times New Roman"/>
          <w:lang w:eastAsia="de-DE"/>
        </w:rPr>
        <w:t xml:space="preserve">im </w:t>
      </w:r>
      <w:r w:rsidR="0032647F">
        <w:rPr>
          <w:rFonts w:eastAsia="Times New Roman"/>
          <w:lang w:eastAsia="de-DE"/>
        </w:rPr>
        <w:t>Construct</w:t>
      </w:r>
      <w:r w:rsidRPr="00A330A9">
        <w:rPr>
          <w:rFonts w:eastAsia="Times New Roman"/>
          <w:lang w:eastAsia="de-DE"/>
        </w:rPr>
        <w:t xml:space="preserve"> und </w:t>
      </w:r>
      <w:r w:rsidRPr="00A330A9">
        <w:rPr>
          <w:rFonts w:eastAsia="Times New Roman"/>
          <w:b/>
          <w:bCs/>
          <w:rtl/>
          <w:lang w:eastAsia="de-DE"/>
        </w:rPr>
        <w:t>הַשָּׁמָיִם</w:t>
      </w:r>
      <w:r w:rsidRPr="00A330A9">
        <w:rPr>
          <w:rFonts w:eastAsia="Times New Roman"/>
          <w:rtl/>
          <w:lang w:eastAsia="de-DE"/>
        </w:rPr>
        <w:t xml:space="preserve"> </w:t>
      </w:r>
      <w:r w:rsidRPr="00A330A9">
        <w:rPr>
          <w:rFonts w:eastAsia="Times New Roman"/>
          <w:lang w:eastAsia="de-DE"/>
        </w:rPr>
        <w:t>„die Himmel"). Die Phrase „unter dem ganzen Himmel" ist eine idiomatische Wendung für „überall auf der Erde".</w:t>
      </w:r>
    </w:p>
    <w:p w14:paraId="39939DDC"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rtl/>
          <w:lang w:eastAsia="de-DE"/>
        </w:rPr>
        <w:t>אֲשֶׁר יִשְׁמְעוּן שִׁמְעֲךָ</w:t>
      </w:r>
      <w:r w:rsidRPr="00A330A9">
        <w:rPr>
          <w:rFonts w:eastAsia="Times New Roman"/>
          <w:rtl/>
          <w:lang w:eastAsia="de-DE"/>
        </w:rPr>
        <w:t xml:space="preserve"> </w:t>
      </w:r>
      <w:r w:rsidRPr="00A330A9">
        <w:rPr>
          <w:rFonts w:eastAsia="Times New Roman"/>
          <w:lang w:eastAsia="de-DE"/>
        </w:rPr>
        <w:t xml:space="preserve">ist ein Relativsatz: </w:t>
      </w:r>
      <w:r w:rsidRPr="00A330A9">
        <w:rPr>
          <w:rFonts w:eastAsia="Times New Roman"/>
          <w:b/>
          <w:bCs/>
          <w:rtl/>
          <w:lang w:eastAsia="de-DE"/>
        </w:rPr>
        <w:t>אֲשֶׁר</w:t>
      </w:r>
      <w:r w:rsidRPr="00A330A9">
        <w:rPr>
          <w:rFonts w:eastAsia="Times New Roman"/>
          <w:lang w:eastAsia="de-DE"/>
        </w:rPr>
        <w:t xml:space="preserve">, </w:t>
      </w:r>
      <w:r w:rsidRPr="00A330A9">
        <w:rPr>
          <w:rFonts w:eastAsia="Times New Roman"/>
          <w:b/>
          <w:bCs/>
          <w:rtl/>
          <w:lang w:eastAsia="de-DE"/>
        </w:rPr>
        <w:t>יִשְׁמְעוּן</w:t>
      </w:r>
      <w:r w:rsidRPr="00A330A9">
        <w:rPr>
          <w:rFonts w:eastAsia="Times New Roman"/>
          <w:rtl/>
          <w:lang w:eastAsia="de-DE"/>
        </w:rPr>
        <w:t xml:space="preserve"> </w:t>
      </w:r>
      <w:r w:rsidRPr="00A330A9">
        <w:rPr>
          <w:rFonts w:eastAsia="Times New Roman"/>
          <w:lang w:eastAsia="de-DE"/>
        </w:rPr>
        <w:t xml:space="preserve">(Qal Imperfekt, 3. Person Plural von </w:t>
      </w:r>
      <w:r w:rsidRPr="00A330A9">
        <w:rPr>
          <w:rFonts w:eastAsia="Times New Roman"/>
          <w:rtl/>
          <w:lang w:eastAsia="de-DE"/>
        </w:rPr>
        <w:t>שׁמע</w:t>
      </w:r>
      <w:r w:rsidRPr="00A330A9">
        <w:rPr>
          <w:rFonts w:eastAsia="Times New Roman"/>
          <w:lang w:eastAsia="de-DE"/>
        </w:rPr>
        <w:t xml:space="preserve"> „hören" mit Nun paragogicum), </w:t>
      </w:r>
      <w:r w:rsidRPr="00A330A9">
        <w:rPr>
          <w:rFonts w:eastAsia="Times New Roman"/>
          <w:b/>
          <w:bCs/>
          <w:rtl/>
          <w:lang w:eastAsia="de-DE"/>
        </w:rPr>
        <w:t>שִׁמְעֲךָ</w:t>
      </w:r>
      <w:r w:rsidRPr="00A330A9">
        <w:rPr>
          <w:rFonts w:eastAsia="Times New Roman"/>
          <w:rtl/>
          <w:lang w:eastAsia="de-DE"/>
        </w:rPr>
        <w:t xml:space="preserve"> </w:t>
      </w:r>
      <w:r w:rsidRPr="00A330A9">
        <w:rPr>
          <w:rFonts w:eastAsia="Times New Roman"/>
          <w:lang w:eastAsia="de-DE"/>
        </w:rPr>
        <w:t xml:space="preserve">ist ein Substantiv („Kunde, Bericht, Nachricht") von </w:t>
      </w:r>
      <w:r w:rsidRPr="00A330A9">
        <w:rPr>
          <w:rFonts w:eastAsia="Times New Roman"/>
          <w:rtl/>
          <w:lang w:eastAsia="de-DE"/>
        </w:rPr>
        <w:t>שׁמע</w:t>
      </w:r>
      <w:r w:rsidRPr="00A330A9">
        <w:rPr>
          <w:rFonts w:eastAsia="Times New Roman"/>
          <w:lang w:eastAsia="de-DE"/>
        </w:rPr>
        <w:t xml:space="preserve"> mit Suffix 2. Person Singular. </w:t>
      </w:r>
      <w:r w:rsidRPr="00A330A9">
        <w:rPr>
          <w:rFonts w:eastAsia="Times New Roman"/>
          <w:b/>
          <w:bCs/>
          <w:rtl/>
          <w:lang w:eastAsia="de-DE"/>
        </w:rPr>
        <w:t>וְרָגְזוּ וְחָלוּ מִפָּנֶיךָ</w:t>
      </w:r>
      <w:r w:rsidRPr="00A330A9">
        <w:rPr>
          <w:rFonts w:eastAsia="Times New Roman"/>
          <w:rtl/>
          <w:lang w:eastAsia="de-DE"/>
        </w:rPr>
        <w:t xml:space="preserve"> </w:t>
      </w:r>
      <w:r w:rsidRPr="00A330A9">
        <w:rPr>
          <w:rFonts w:eastAsia="Times New Roman"/>
          <w:lang w:eastAsia="de-DE"/>
        </w:rPr>
        <w:t xml:space="preserve">sind zwei koordinierte Verben: </w:t>
      </w:r>
      <w:r w:rsidRPr="00A330A9">
        <w:rPr>
          <w:rFonts w:eastAsia="Times New Roman"/>
          <w:b/>
          <w:bCs/>
          <w:rtl/>
          <w:lang w:eastAsia="de-DE"/>
        </w:rPr>
        <w:t>וְרָגְזוּ</w:t>
      </w:r>
      <w:r w:rsidRPr="00A330A9">
        <w:rPr>
          <w:rFonts w:eastAsia="Times New Roman"/>
          <w:rtl/>
          <w:lang w:eastAsia="de-DE"/>
        </w:rPr>
        <w:t xml:space="preserve"> </w:t>
      </w:r>
      <w:r w:rsidRPr="00A330A9">
        <w:rPr>
          <w:rFonts w:eastAsia="Times New Roman"/>
          <w:lang w:eastAsia="de-DE"/>
        </w:rPr>
        <w:t xml:space="preserve">(Qal Perfekt, 3. Person Plural von </w:t>
      </w:r>
      <w:r w:rsidRPr="00A330A9">
        <w:rPr>
          <w:rFonts w:eastAsia="Times New Roman"/>
          <w:rtl/>
          <w:lang w:eastAsia="de-DE"/>
        </w:rPr>
        <w:t>רגז</w:t>
      </w:r>
      <w:r w:rsidRPr="00A330A9">
        <w:rPr>
          <w:rFonts w:eastAsia="Times New Roman"/>
          <w:lang w:eastAsia="de-DE"/>
        </w:rPr>
        <w:t xml:space="preserve"> „zittern, beben" mit Waw consecutivum), </w:t>
      </w:r>
      <w:r w:rsidRPr="00A330A9">
        <w:rPr>
          <w:rFonts w:eastAsia="Times New Roman"/>
          <w:b/>
          <w:bCs/>
          <w:rtl/>
          <w:lang w:eastAsia="de-DE"/>
        </w:rPr>
        <w:t>וְחָלוּ</w:t>
      </w:r>
      <w:r w:rsidRPr="00A330A9">
        <w:rPr>
          <w:rFonts w:eastAsia="Times New Roman"/>
          <w:rtl/>
          <w:lang w:eastAsia="de-DE"/>
        </w:rPr>
        <w:t xml:space="preserve"> </w:t>
      </w:r>
      <w:r w:rsidRPr="00A330A9">
        <w:rPr>
          <w:rFonts w:eastAsia="Times New Roman"/>
          <w:lang w:eastAsia="de-DE"/>
        </w:rPr>
        <w:t xml:space="preserve">(Qal Perfekt, 3. Person Plural von </w:t>
      </w:r>
      <w:r w:rsidRPr="00A330A9">
        <w:rPr>
          <w:rFonts w:eastAsia="Times New Roman"/>
          <w:rtl/>
          <w:lang w:eastAsia="de-DE"/>
        </w:rPr>
        <w:t>חיל/חול</w:t>
      </w:r>
      <w:r w:rsidRPr="00A330A9">
        <w:rPr>
          <w:rFonts w:eastAsia="Times New Roman"/>
          <w:lang w:eastAsia="de-DE"/>
        </w:rPr>
        <w:t xml:space="preserve"> „beben, in Angst geraten" mit Waw), </w:t>
      </w:r>
      <w:r w:rsidRPr="00A330A9">
        <w:rPr>
          <w:rFonts w:eastAsia="Times New Roman"/>
          <w:b/>
          <w:bCs/>
          <w:rtl/>
          <w:lang w:eastAsia="de-DE"/>
        </w:rPr>
        <w:t>מִפָּנֶיךָ</w:t>
      </w:r>
      <w:r w:rsidRPr="00A330A9">
        <w:rPr>
          <w:rFonts w:eastAsia="Times New Roman"/>
          <w:rtl/>
          <w:lang w:eastAsia="de-DE"/>
        </w:rPr>
        <w:t xml:space="preserve"> </w:t>
      </w:r>
      <w:r w:rsidRPr="00A330A9">
        <w:rPr>
          <w:rFonts w:eastAsia="Times New Roman"/>
          <w:lang w:eastAsia="de-DE"/>
        </w:rPr>
        <w:t>(</w:t>
      </w:r>
      <w:r w:rsidRPr="00A330A9">
        <w:rPr>
          <w:rFonts w:eastAsia="Times New Roman"/>
          <w:b/>
          <w:bCs/>
          <w:rtl/>
          <w:lang w:eastAsia="de-DE"/>
        </w:rPr>
        <w:t>מִן</w:t>
      </w:r>
      <w:r w:rsidRPr="00A330A9">
        <w:rPr>
          <w:rFonts w:eastAsia="Times New Roman"/>
          <w:rtl/>
          <w:lang w:eastAsia="de-DE"/>
        </w:rPr>
        <w:t xml:space="preserve"> </w:t>
      </w:r>
      <w:r w:rsidRPr="00A330A9">
        <w:rPr>
          <w:rFonts w:eastAsia="Times New Roman"/>
          <w:lang w:eastAsia="de-DE"/>
        </w:rPr>
        <w:t xml:space="preserve">„vor" mit </w:t>
      </w:r>
      <w:r w:rsidRPr="00A330A9">
        <w:rPr>
          <w:rFonts w:eastAsia="Times New Roman"/>
          <w:b/>
          <w:bCs/>
          <w:rtl/>
          <w:lang w:eastAsia="de-DE"/>
        </w:rPr>
        <w:t>פָּנִים</w:t>
      </w:r>
      <w:r w:rsidRPr="00A330A9">
        <w:rPr>
          <w:rFonts w:eastAsia="Times New Roman"/>
          <w:rtl/>
          <w:lang w:eastAsia="de-DE"/>
        </w:rPr>
        <w:t xml:space="preserve"> </w:t>
      </w:r>
      <w:r w:rsidRPr="00A330A9">
        <w:rPr>
          <w:rFonts w:eastAsia="Times New Roman"/>
          <w:lang w:eastAsia="de-DE"/>
        </w:rPr>
        <w:t>und Suffix 2. Person Singular).</w:t>
      </w:r>
    </w:p>
    <w:p w14:paraId="5E9C2EF8" w14:textId="77777777" w:rsidR="00516967" w:rsidRDefault="00A330A9" w:rsidP="00516967">
      <w:pPr>
        <w:spacing w:before="100" w:beforeAutospacing="1" w:after="100" w:afterAutospacing="1" w:line="240" w:lineRule="auto"/>
      </w:pPr>
      <w:r w:rsidRPr="00A330A9">
        <w:rPr>
          <w:rFonts w:eastAsia="Times New Roman"/>
          <w:b/>
          <w:bCs/>
          <w:lang w:eastAsia="de-DE"/>
        </w:rPr>
        <w:t>Die LXX</w:t>
      </w:r>
      <w:r w:rsidRPr="00A330A9">
        <w:rPr>
          <w:rFonts w:eastAsia="Times New Roman"/>
          <w:lang w:eastAsia="de-DE"/>
        </w:rPr>
        <w:t xml:space="preserve"> </w:t>
      </w:r>
      <w:r w:rsidR="00516967">
        <w:t>übersetzt „</w:t>
      </w:r>
      <w:r w:rsidR="00516967">
        <w:rPr>
          <w:rtl/>
        </w:rPr>
        <w:t>שִׁמְעֲךָ</w:t>
      </w:r>
      <w:r w:rsidR="00516967">
        <w:t>" (dein Gerücht/die Kunde von dir) mit „</w:t>
      </w:r>
      <w:proofErr w:type="spellStart"/>
      <w:r w:rsidR="00516967">
        <w:t>τὸ</w:t>
      </w:r>
      <w:proofErr w:type="spellEnd"/>
      <w:r w:rsidR="00516967">
        <w:t xml:space="preserve"> </w:t>
      </w:r>
      <w:proofErr w:type="spellStart"/>
      <w:r w:rsidR="00516967">
        <w:t>ὄνομά</w:t>
      </w:r>
      <w:proofErr w:type="spellEnd"/>
      <w:r w:rsidR="00516967">
        <w:t xml:space="preserve"> </w:t>
      </w:r>
      <w:proofErr w:type="spellStart"/>
      <w:r w:rsidR="00516967">
        <w:t>σου</w:t>
      </w:r>
      <w:proofErr w:type="spellEnd"/>
      <w:r w:rsidR="00516967">
        <w:t>" (deinen Namen), und „</w:t>
      </w:r>
      <w:r w:rsidR="00516967">
        <w:rPr>
          <w:rtl/>
        </w:rPr>
        <w:t>וְחָלוּ</w:t>
      </w:r>
      <w:r w:rsidR="00516967">
        <w:t xml:space="preserve">" (und beben/zittern) mit „καὶ </w:t>
      </w:r>
      <w:proofErr w:type="spellStart"/>
      <w:r w:rsidR="00516967">
        <w:t>ὠδῖν</w:t>
      </w:r>
      <w:proofErr w:type="spellEnd"/>
      <w:r w:rsidR="00516967">
        <w:t xml:space="preserve">ας </w:t>
      </w:r>
      <w:proofErr w:type="spellStart"/>
      <w:r w:rsidR="00516967">
        <w:t>ἕξουσιν</w:t>
      </w:r>
      <w:proofErr w:type="spellEnd"/>
      <w:r w:rsidR="00516967">
        <w:t>" (und sie werden Wehen haben), was eine drastischere Bildsprache verwendet.</w:t>
      </w:r>
    </w:p>
    <w:p w14:paraId="171DA51F" w14:textId="76240336" w:rsidR="00A330A9" w:rsidRPr="00A330A9" w:rsidRDefault="00A330A9" w:rsidP="00516967">
      <w:pPr>
        <w:spacing w:before="100" w:beforeAutospacing="1" w:after="100" w:afterAutospacing="1" w:line="240" w:lineRule="auto"/>
        <w:rPr>
          <w:rFonts w:eastAsia="Times New Roman"/>
          <w:lang w:eastAsia="de-DE"/>
        </w:rPr>
      </w:pPr>
      <w:r w:rsidRPr="00A330A9">
        <w:rPr>
          <w:rFonts w:eastAsia="Times New Roman"/>
          <w:lang w:eastAsia="de-DE"/>
        </w:rPr>
        <w:t>Die Satzstruktur besteht aus einem Hauptsatz mit temporaler Bestimmung (</w:t>
      </w:r>
      <w:r w:rsidRPr="00A330A9">
        <w:rPr>
          <w:rFonts w:eastAsia="Times New Roman"/>
          <w:b/>
          <w:bCs/>
          <w:rtl/>
          <w:lang w:eastAsia="de-DE"/>
        </w:rPr>
        <w:t>הַיּוֹם הַזֶּה</w:t>
      </w:r>
      <w:r w:rsidRPr="00A330A9">
        <w:rPr>
          <w:rFonts w:eastAsia="Times New Roman"/>
          <w:lang w:eastAsia="de-DE"/>
        </w:rPr>
        <w:t>), Prädikat (</w:t>
      </w:r>
      <w:r w:rsidRPr="00A330A9">
        <w:rPr>
          <w:rFonts w:eastAsia="Times New Roman"/>
          <w:b/>
          <w:bCs/>
          <w:rtl/>
          <w:lang w:eastAsia="de-DE"/>
        </w:rPr>
        <w:t>אָחֵל תֵּת</w:t>
      </w:r>
      <w:r w:rsidRPr="00A330A9">
        <w:rPr>
          <w:rFonts w:eastAsia="Times New Roman"/>
          <w:lang w:eastAsia="de-DE"/>
        </w:rPr>
        <w:t>), Objekten (</w:t>
      </w:r>
      <w:r w:rsidRPr="00A330A9">
        <w:rPr>
          <w:rFonts w:eastAsia="Times New Roman"/>
          <w:b/>
          <w:bCs/>
          <w:rtl/>
          <w:lang w:eastAsia="de-DE"/>
        </w:rPr>
        <w:t>פַּחְדְּךָ וְיִרְאָתְךָ</w:t>
      </w:r>
      <w:r w:rsidRPr="00A330A9">
        <w:rPr>
          <w:rFonts w:eastAsia="Times New Roman"/>
          <w:lang w:eastAsia="de-DE"/>
        </w:rPr>
        <w:t>), Lokalbestimmung (</w:t>
      </w:r>
      <w:r w:rsidRPr="00A330A9">
        <w:rPr>
          <w:rFonts w:eastAsia="Times New Roman"/>
          <w:b/>
          <w:bCs/>
          <w:rtl/>
          <w:lang w:eastAsia="de-DE"/>
        </w:rPr>
        <w:t>עַל־פְּנֵי הָעַמִּים תַּחַת כָּל־הַשָּׁמָיִם</w:t>
      </w:r>
      <w:r w:rsidRPr="00A330A9">
        <w:rPr>
          <w:rFonts w:eastAsia="Times New Roman"/>
          <w:lang w:eastAsia="de-DE"/>
        </w:rPr>
        <w:t>), einem Relativsatz (</w:t>
      </w:r>
      <w:r w:rsidRPr="00A330A9">
        <w:rPr>
          <w:rFonts w:eastAsia="Times New Roman"/>
          <w:b/>
          <w:bCs/>
          <w:rtl/>
          <w:lang w:eastAsia="de-DE"/>
        </w:rPr>
        <w:t>אֲשֶׁר יִשְׁמְעוּן שִׁמְעֲךָ</w:t>
      </w:r>
      <w:r w:rsidRPr="00A330A9">
        <w:rPr>
          <w:rFonts w:eastAsia="Times New Roman"/>
          <w:lang w:eastAsia="de-DE"/>
        </w:rPr>
        <w:t>), und zwei koordinierten Verben als Folge (</w:t>
      </w:r>
      <w:r w:rsidRPr="00A330A9">
        <w:rPr>
          <w:rFonts w:eastAsia="Times New Roman"/>
          <w:b/>
          <w:bCs/>
          <w:rtl/>
          <w:lang w:eastAsia="de-DE"/>
        </w:rPr>
        <w:t>וְרָגְזוּ וְחָלוּ מִפָּנֶיךָ</w:t>
      </w:r>
      <w:r w:rsidRPr="00A330A9">
        <w:rPr>
          <w:rFonts w:eastAsia="Times New Roman"/>
          <w:lang w:eastAsia="de-DE"/>
        </w:rPr>
        <w:t>).</w:t>
      </w:r>
    </w:p>
    <w:p w14:paraId="6754654F"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lang w:eastAsia="de-DE"/>
        </w:rPr>
        <w:t>Der Vers verkündet JHWHs Absicht, von diesem Tag an Furcht vor Israel unter allen Völkern zu verbreiten. Dies ist eine Erfüllung der Verheißung aus Ex 15,14-16 und 23,27. Der bloße Bericht über Israels Taten wird Schrecken auslösen – ein psychologischer Vorteil im bevorstehenden Konflikt. Auch Rahabs Worte in Jos 2,9-11 werden diese Prophezeiung bestätigen.</w:t>
      </w:r>
    </w:p>
    <w:p w14:paraId="2BBF79BE" w14:textId="77777777" w:rsidR="00A330A9" w:rsidRPr="00A330A9" w:rsidRDefault="00A330A9" w:rsidP="00A330A9">
      <w:pPr>
        <w:spacing w:before="100" w:beforeAutospacing="1" w:after="100" w:afterAutospacing="1" w:line="240" w:lineRule="auto"/>
        <w:outlineLvl w:val="1"/>
        <w:rPr>
          <w:rFonts w:eastAsia="Times New Roman"/>
          <w:b/>
          <w:bCs/>
          <w:sz w:val="36"/>
          <w:szCs w:val="36"/>
          <w:lang w:eastAsia="de-DE"/>
        </w:rPr>
      </w:pPr>
      <w:r w:rsidRPr="00A330A9">
        <w:rPr>
          <w:rFonts w:eastAsia="Times New Roman"/>
          <w:b/>
          <w:bCs/>
          <w:sz w:val="36"/>
          <w:szCs w:val="36"/>
          <w:lang w:eastAsia="de-DE"/>
        </w:rPr>
        <w:t>Deuteronomium 2,26</w:t>
      </w:r>
    </w:p>
    <w:p w14:paraId="6BAE3308"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Hebräisch:</w:t>
      </w:r>
      <w:r w:rsidRPr="00A330A9">
        <w:rPr>
          <w:rFonts w:eastAsia="Times New Roman"/>
          <w:lang w:eastAsia="de-DE"/>
        </w:rPr>
        <w:t xml:space="preserve"> </w:t>
      </w:r>
      <w:r w:rsidRPr="00A330A9">
        <w:rPr>
          <w:rFonts w:eastAsia="Times New Roman"/>
          <w:rtl/>
          <w:lang w:eastAsia="de-DE"/>
        </w:rPr>
        <w:t>וָאֶשְׁלַ֤ח מַלְאָכִים֙ מִמִּדְבַּ֣ר קְדֵמֹ֔ות אֶל־סִיחֹ֖ון מֶ֣לֶךְ חֶשְׁבֹּ֑ון דִּבְרֵ֥י שָׁלֹ֖ום לֵאמֹֽר׃</w:t>
      </w:r>
    </w:p>
    <w:p w14:paraId="14E89EEA"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Deutsch:</w:t>
      </w:r>
      <w:r w:rsidRPr="00A330A9">
        <w:rPr>
          <w:rFonts w:eastAsia="Times New Roman"/>
          <w:lang w:eastAsia="de-DE"/>
        </w:rPr>
        <w:t xml:space="preserve"> Und ich sandte Boten aus der Wüste Kedemot zu Sichon, dem König von Cheschbon, mit Worten des Friedens, sagend:</w:t>
      </w:r>
    </w:p>
    <w:p w14:paraId="3B2524CA" w14:textId="77777777" w:rsidR="00A330A9" w:rsidRPr="00A330A9" w:rsidRDefault="004F5CEB" w:rsidP="00A330A9">
      <w:pPr>
        <w:spacing w:after="0" w:line="240" w:lineRule="auto"/>
        <w:rPr>
          <w:rFonts w:eastAsia="Times New Roman"/>
          <w:lang w:eastAsia="de-DE"/>
        </w:rPr>
      </w:pPr>
      <w:r>
        <w:rPr>
          <w:rFonts w:eastAsia="Times New Roman"/>
          <w:noProof/>
          <w:lang w:eastAsia="de-DE"/>
        </w:rPr>
        <w:pict w14:anchorId="06E73E30">
          <v:rect id="_x0000_i1096" style="width:0;height:1.5pt" o:hralign="center" o:hrstd="t" o:hr="t" fillcolor="#a0a0a0" stroked="f"/>
        </w:pict>
      </w:r>
    </w:p>
    <w:p w14:paraId="1B01328D" w14:textId="7BF01F8A"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lastRenderedPageBreak/>
        <w:t>Kommentar:</w:t>
      </w:r>
      <w:r w:rsidRPr="00A330A9">
        <w:rPr>
          <w:rFonts w:eastAsia="Times New Roman"/>
          <w:lang w:eastAsia="de-DE"/>
        </w:rPr>
        <w:t xml:space="preserve"> </w:t>
      </w:r>
      <w:r w:rsidRPr="00A330A9">
        <w:rPr>
          <w:rFonts w:eastAsia="Times New Roman"/>
          <w:b/>
          <w:bCs/>
          <w:rtl/>
          <w:lang w:eastAsia="de-DE"/>
        </w:rPr>
        <w:t>וָאֶשְׁלַח</w:t>
      </w:r>
      <w:r w:rsidRPr="00A330A9">
        <w:rPr>
          <w:rFonts w:eastAsia="Times New Roman"/>
          <w:rtl/>
          <w:lang w:eastAsia="de-DE"/>
        </w:rPr>
        <w:t xml:space="preserve"> </w:t>
      </w:r>
      <w:r w:rsidRPr="00A330A9">
        <w:rPr>
          <w:rFonts w:eastAsia="Times New Roman"/>
          <w:lang w:eastAsia="de-DE"/>
        </w:rPr>
        <w:t xml:space="preserve">ist Qal Imperfekt consecutivum, 1. Person Singular von </w:t>
      </w:r>
      <w:r w:rsidRPr="00A330A9">
        <w:rPr>
          <w:rFonts w:eastAsia="Times New Roman"/>
          <w:rtl/>
          <w:lang w:eastAsia="de-DE"/>
        </w:rPr>
        <w:t>שׁלח</w:t>
      </w:r>
      <w:r w:rsidRPr="00A330A9">
        <w:rPr>
          <w:rFonts w:eastAsia="Times New Roman"/>
          <w:lang w:eastAsia="de-DE"/>
        </w:rPr>
        <w:t xml:space="preserve"> („senden") mit Waw. </w:t>
      </w:r>
      <w:r w:rsidRPr="00A330A9">
        <w:rPr>
          <w:rFonts w:eastAsia="Times New Roman"/>
          <w:b/>
          <w:bCs/>
          <w:rtl/>
          <w:lang w:eastAsia="de-DE"/>
        </w:rPr>
        <w:t>מַלְאָכִים</w:t>
      </w:r>
      <w:r w:rsidRPr="00A330A9">
        <w:rPr>
          <w:rFonts w:eastAsia="Times New Roman"/>
          <w:rtl/>
          <w:lang w:eastAsia="de-DE"/>
        </w:rPr>
        <w:t xml:space="preserve"> </w:t>
      </w:r>
      <w:r w:rsidRPr="00A330A9">
        <w:rPr>
          <w:rFonts w:eastAsia="Times New Roman"/>
          <w:lang w:eastAsia="de-DE"/>
        </w:rPr>
        <w:t xml:space="preserve">ist der Plural von </w:t>
      </w:r>
      <w:r w:rsidRPr="00A330A9">
        <w:rPr>
          <w:rFonts w:eastAsia="Times New Roman"/>
          <w:b/>
          <w:bCs/>
          <w:rtl/>
          <w:lang w:eastAsia="de-DE"/>
        </w:rPr>
        <w:t>מַלְאָךְ</w:t>
      </w:r>
      <w:r w:rsidRPr="00A330A9">
        <w:rPr>
          <w:rFonts w:eastAsia="Times New Roman"/>
          <w:rtl/>
          <w:lang w:eastAsia="de-DE"/>
        </w:rPr>
        <w:t xml:space="preserve"> </w:t>
      </w:r>
      <w:r w:rsidRPr="00A330A9">
        <w:rPr>
          <w:rFonts w:eastAsia="Times New Roman"/>
          <w:lang w:eastAsia="de-DE"/>
        </w:rPr>
        <w:t xml:space="preserve">(„Bote, Gesandter"). </w:t>
      </w:r>
      <w:r w:rsidRPr="00A330A9">
        <w:rPr>
          <w:rFonts w:eastAsia="Times New Roman"/>
          <w:b/>
          <w:bCs/>
          <w:rtl/>
          <w:lang w:eastAsia="de-DE"/>
        </w:rPr>
        <w:t>מִמִּדְבַּר קְדֵמוֹת</w:t>
      </w:r>
      <w:r w:rsidRPr="00A330A9">
        <w:rPr>
          <w:rFonts w:eastAsia="Times New Roman"/>
          <w:rtl/>
          <w:lang w:eastAsia="de-DE"/>
        </w:rPr>
        <w:t xml:space="preserve"> </w:t>
      </w:r>
      <w:r w:rsidRPr="00A330A9">
        <w:rPr>
          <w:rFonts w:eastAsia="Times New Roman"/>
          <w:lang w:eastAsia="de-DE"/>
        </w:rPr>
        <w:t xml:space="preserve">ist </w:t>
      </w:r>
      <w:r w:rsidRPr="00A330A9">
        <w:rPr>
          <w:rFonts w:eastAsia="Times New Roman"/>
          <w:b/>
          <w:bCs/>
          <w:rtl/>
          <w:lang w:eastAsia="de-DE"/>
        </w:rPr>
        <w:t>מִן</w:t>
      </w:r>
      <w:r w:rsidRPr="00A330A9">
        <w:rPr>
          <w:rFonts w:eastAsia="Times New Roman"/>
          <w:rtl/>
          <w:lang w:eastAsia="de-DE"/>
        </w:rPr>
        <w:t xml:space="preserve"> </w:t>
      </w:r>
      <w:r w:rsidRPr="00A330A9">
        <w:rPr>
          <w:rFonts w:eastAsia="Times New Roman"/>
          <w:lang w:eastAsia="de-DE"/>
        </w:rPr>
        <w:t xml:space="preserve">(„aus") mit </w:t>
      </w:r>
      <w:r w:rsidRPr="00A330A9">
        <w:rPr>
          <w:rFonts w:eastAsia="Times New Roman"/>
          <w:b/>
          <w:bCs/>
          <w:rtl/>
          <w:lang w:eastAsia="de-DE"/>
        </w:rPr>
        <w:t>מִדְבַּר</w:t>
      </w:r>
      <w:r w:rsidRPr="00A330A9">
        <w:rPr>
          <w:rFonts w:eastAsia="Times New Roman"/>
          <w:rtl/>
          <w:lang w:eastAsia="de-DE"/>
        </w:rPr>
        <w:t xml:space="preserve"> </w:t>
      </w:r>
      <w:r w:rsidRPr="00A330A9">
        <w:rPr>
          <w:rFonts w:eastAsia="Times New Roman"/>
          <w:lang w:eastAsia="de-DE"/>
        </w:rPr>
        <w:t xml:space="preserve">im </w:t>
      </w:r>
      <w:r w:rsidR="0032647F">
        <w:rPr>
          <w:rFonts w:eastAsia="Times New Roman"/>
          <w:lang w:eastAsia="de-DE"/>
        </w:rPr>
        <w:t>Construct</w:t>
      </w:r>
      <w:r w:rsidRPr="00A330A9">
        <w:rPr>
          <w:rFonts w:eastAsia="Times New Roman"/>
          <w:lang w:eastAsia="de-DE"/>
        </w:rPr>
        <w:t xml:space="preserve"> und </w:t>
      </w:r>
      <w:r w:rsidRPr="00A330A9">
        <w:rPr>
          <w:rFonts w:eastAsia="Times New Roman"/>
          <w:b/>
          <w:bCs/>
          <w:rtl/>
          <w:lang w:eastAsia="de-DE"/>
        </w:rPr>
        <w:t>קְדֵמוֹת</w:t>
      </w:r>
      <w:r w:rsidRPr="00A330A9">
        <w:rPr>
          <w:rFonts w:eastAsia="Times New Roman"/>
          <w:rtl/>
          <w:lang w:eastAsia="de-DE"/>
        </w:rPr>
        <w:t xml:space="preserve"> </w:t>
      </w:r>
      <w:r w:rsidRPr="00A330A9">
        <w:rPr>
          <w:rFonts w:eastAsia="Times New Roman"/>
          <w:lang w:eastAsia="de-DE"/>
        </w:rPr>
        <w:t xml:space="preserve">(„Kedemot"), einem Ortsnamen in der Wüste. </w:t>
      </w:r>
      <w:r w:rsidRPr="00A330A9">
        <w:rPr>
          <w:rFonts w:eastAsia="Times New Roman"/>
          <w:b/>
          <w:bCs/>
          <w:rtl/>
          <w:lang w:eastAsia="de-DE"/>
        </w:rPr>
        <w:t>אֶל־סִיחוֹן מֶלֶךְ חֶשְׁבּוֹן</w:t>
      </w:r>
      <w:r w:rsidRPr="00A330A9">
        <w:rPr>
          <w:rFonts w:eastAsia="Times New Roman"/>
          <w:rtl/>
          <w:lang w:eastAsia="de-DE"/>
        </w:rPr>
        <w:t xml:space="preserve"> </w:t>
      </w:r>
      <w:r w:rsidRPr="00A330A9">
        <w:rPr>
          <w:rFonts w:eastAsia="Times New Roman"/>
          <w:lang w:eastAsia="de-DE"/>
        </w:rPr>
        <w:t xml:space="preserve">ist </w:t>
      </w:r>
      <w:r w:rsidRPr="00A330A9">
        <w:rPr>
          <w:rFonts w:eastAsia="Times New Roman"/>
          <w:b/>
          <w:bCs/>
          <w:rtl/>
          <w:lang w:eastAsia="de-DE"/>
        </w:rPr>
        <w:t>אֶל</w:t>
      </w:r>
      <w:r w:rsidRPr="00A330A9">
        <w:rPr>
          <w:rFonts w:eastAsia="Times New Roman"/>
          <w:rtl/>
          <w:lang w:eastAsia="de-DE"/>
        </w:rPr>
        <w:t xml:space="preserve"> </w:t>
      </w:r>
      <w:r w:rsidRPr="00A330A9">
        <w:rPr>
          <w:rFonts w:eastAsia="Times New Roman"/>
          <w:lang w:eastAsia="de-DE"/>
        </w:rPr>
        <w:t xml:space="preserve">mit </w:t>
      </w:r>
      <w:r w:rsidRPr="00A330A9">
        <w:rPr>
          <w:rFonts w:eastAsia="Times New Roman"/>
          <w:b/>
          <w:bCs/>
          <w:rtl/>
          <w:lang w:eastAsia="de-DE"/>
        </w:rPr>
        <w:t>סִיחוֹן</w:t>
      </w:r>
      <w:r w:rsidRPr="00A330A9">
        <w:rPr>
          <w:rFonts w:eastAsia="Times New Roman"/>
          <w:rtl/>
          <w:lang w:eastAsia="de-DE"/>
        </w:rPr>
        <w:t xml:space="preserve"> </w:t>
      </w:r>
      <w:r w:rsidRPr="00A330A9">
        <w:rPr>
          <w:rFonts w:eastAsia="Times New Roman"/>
          <w:lang w:eastAsia="de-DE"/>
        </w:rPr>
        <w:t xml:space="preserve">und der Apposition </w:t>
      </w:r>
      <w:r w:rsidRPr="00A330A9">
        <w:rPr>
          <w:rFonts w:eastAsia="Times New Roman"/>
          <w:b/>
          <w:bCs/>
          <w:rtl/>
          <w:lang w:eastAsia="de-DE"/>
        </w:rPr>
        <w:t>מֶלֶךְ חֶשְׁבּוֹן</w:t>
      </w:r>
      <w:r w:rsidRPr="00A330A9">
        <w:rPr>
          <w:rFonts w:eastAsia="Times New Roman"/>
          <w:lang w:eastAsia="de-DE"/>
        </w:rPr>
        <w:t>.</w:t>
      </w:r>
    </w:p>
    <w:p w14:paraId="17FD048C" w14:textId="7386B614"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rtl/>
          <w:lang w:eastAsia="de-DE"/>
        </w:rPr>
        <w:t>דִּבְרֵי שָׁלוֹם</w:t>
      </w:r>
      <w:r w:rsidRPr="00A330A9">
        <w:rPr>
          <w:rFonts w:eastAsia="Times New Roman"/>
          <w:rtl/>
          <w:lang w:eastAsia="de-DE"/>
        </w:rPr>
        <w:t xml:space="preserve"> </w:t>
      </w:r>
      <w:r w:rsidRPr="00A330A9">
        <w:rPr>
          <w:rFonts w:eastAsia="Times New Roman"/>
          <w:lang w:eastAsia="de-DE"/>
        </w:rPr>
        <w:t xml:space="preserve">ist eine </w:t>
      </w:r>
      <w:r w:rsidR="0032647F">
        <w:rPr>
          <w:rFonts w:eastAsia="Times New Roman"/>
          <w:lang w:eastAsia="de-DE"/>
        </w:rPr>
        <w:t>Construct</w:t>
      </w:r>
      <w:r w:rsidRPr="00A330A9">
        <w:rPr>
          <w:rFonts w:eastAsia="Times New Roman"/>
          <w:lang w:eastAsia="de-DE"/>
        </w:rPr>
        <w:t xml:space="preserve">usverbindung: </w:t>
      </w:r>
      <w:r>
        <w:rPr>
          <w:rtl/>
        </w:rPr>
        <w:t xml:space="preserve">דִּבְרֵי </w:t>
      </w:r>
      <w:r>
        <w:t xml:space="preserve">(Plural </w:t>
      </w:r>
      <w:r w:rsidR="0032647F">
        <w:t>Construct</w:t>
      </w:r>
      <w:r>
        <w:t xml:space="preserve"> von </w:t>
      </w:r>
      <w:r>
        <w:rPr>
          <w:rStyle w:val="berschrift3Zchn"/>
          <w:rtl/>
        </w:rPr>
        <w:t>דָּבָר</w:t>
      </w:r>
      <w:r>
        <w:rPr>
          <w:rtl/>
        </w:rPr>
        <w:t xml:space="preserve"> </w:t>
      </w:r>
      <w:r>
        <w:t xml:space="preserve">„Wort") mit </w:t>
      </w:r>
      <w:r>
        <w:rPr>
          <w:rStyle w:val="berschrift3Zchn"/>
          <w:rtl/>
        </w:rPr>
        <w:t>שָׁלוֹם</w:t>
      </w:r>
      <w:r>
        <w:rPr>
          <w:rtl/>
        </w:rPr>
        <w:t xml:space="preserve"> </w:t>
      </w:r>
      <w:r>
        <w:t xml:space="preserve">(„Friede"). Die Phrase bedeutet „Worte des Friedens" oder „friedliche Worte, Friedensangebot". </w:t>
      </w:r>
      <w:r>
        <w:rPr>
          <w:rStyle w:val="berschrift3Zchn"/>
          <w:rtl/>
        </w:rPr>
        <w:t>לֵאמֹר</w:t>
      </w:r>
      <w:r>
        <w:rPr>
          <w:rtl/>
        </w:rPr>
        <w:t xml:space="preserve"> </w:t>
      </w:r>
      <w:r>
        <w:t>leitet die direkte Rede ein.</w:t>
      </w:r>
      <w:r w:rsidRPr="00A330A9">
        <w:rPr>
          <w:rFonts w:eastAsia="Times New Roman"/>
          <w:rtl/>
          <w:lang w:eastAsia="de-DE"/>
        </w:rPr>
        <w:t>דִּבְרֵ</w:t>
      </w:r>
    </w:p>
    <w:p w14:paraId="459940A2" w14:textId="77777777" w:rsidR="00A330A9" w:rsidRDefault="00A330A9" w:rsidP="00A330A9">
      <w:r>
        <w:rPr>
          <w:rStyle w:val="berschrift3Zchn"/>
        </w:rPr>
        <w:t>Die LXX</w:t>
      </w:r>
      <w:r>
        <w:t xml:space="preserve"> übersetzt „καὶ ἀπ</w:t>
      </w:r>
      <w:proofErr w:type="spellStart"/>
      <w:r>
        <w:t>έστειλ</w:t>
      </w:r>
      <w:proofErr w:type="spellEnd"/>
      <w:r>
        <w:t>α π</w:t>
      </w:r>
      <w:proofErr w:type="spellStart"/>
      <w:r>
        <w:t>ρέσ</w:t>
      </w:r>
      <w:proofErr w:type="spellEnd"/>
      <w:r>
        <w:t xml:space="preserve">βεις </w:t>
      </w:r>
      <w:proofErr w:type="spellStart"/>
      <w:r>
        <w:t>ἐκ</w:t>
      </w:r>
      <w:proofErr w:type="spellEnd"/>
      <w:r>
        <w:t xml:space="preserve"> </w:t>
      </w:r>
      <w:proofErr w:type="spellStart"/>
      <w:r>
        <w:t>τῆς</w:t>
      </w:r>
      <w:proofErr w:type="spellEnd"/>
      <w:r>
        <w:t xml:space="preserve"> </w:t>
      </w:r>
      <w:proofErr w:type="spellStart"/>
      <w:r>
        <w:t>ἐρήμου</w:t>
      </w:r>
      <w:proofErr w:type="spellEnd"/>
      <w:r>
        <w:t xml:space="preserve"> </w:t>
      </w:r>
      <w:proofErr w:type="spellStart"/>
      <w:r>
        <w:t>Κεδ</w:t>
      </w:r>
      <w:proofErr w:type="spellEnd"/>
      <w:r>
        <w:t>αμωθ π</w:t>
      </w:r>
      <w:proofErr w:type="spellStart"/>
      <w:r>
        <w:t>ρὸς</w:t>
      </w:r>
      <w:proofErr w:type="spellEnd"/>
      <w:r>
        <w:t xml:space="preserve"> </w:t>
      </w:r>
      <w:proofErr w:type="spellStart"/>
      <w:r>
        <w:t>Σηων</w:t>
      </w:r>
      <w:proofErr w:type="spellEnd"/>
      <w:r>
        <w:t xml:space="preserve"> βα</w:t>
      </w:r>
      <w:proofErr w:type="spellStart"/>
      <w:r>
        <w:t>σιλέ</w:t>
      </w:r>
      <w:proofErr w:type="spellEnd"/>
      <w:r>
        <w:t xml:space="preserve">α </w:t>
      </w:r>
      <w:proofErr w:type="spellStart"/>
      <w:r>
        <w:t>Εσε</w:t>
      </w:r>
      <w:proofErr w:type="spellEnd"/>
      <w:r>
        <w:t xml:space="preserve">βων </w:t>
      </w:r>
      <w:proofErr w:type="spellStart"/>
      <w:r>
        <w:t>λόγοις</w:t>
      </w:r>
      <w:proofErr w:type="spellEnd"/>
      <w:r>
        <w:t xml:space="preserve"> </w:t>
      </w:r>
      <w:proofErr w:type="spellStart"/>
      <w:r>
        <w:t>εἰρηνικοῖς</w:t>
      </w:r>
      <w:proofErr w:type="spellEnd"/>
      <w:r>
        <w:t xml:space="preserve"> </w:t>
      </w:r>
      <w:proofErr w:type="spellStart"/>
      <w:r>
        <w:t>λέγων</w:t>
      </w:r>
      <w:proofErr w:type="spellEnd"/>
      <w:r>
        <w:t xml:space="preserve">" („und ich sandte Gesandte aus der Wüste </w:t>
      </w:r>
      <w:proofErr w:type="spellStart"/>
      <w:r>
        <w:t>Kedamoth</w:t>
      </w:r>
      <w:proofErr w:type="spellEnd"/>
      <w:r>
        <w:t xml:space="preserve"> zu </w:t>
      </w:r>
      <w:proofErr w:type="spellStart"/>
      <w:r>
        <w:t>Seon</w:t>
      </w:r>
      <w:proofErr w:type="spellEnd"/>
      <w:r>
        <w:t xml:space="preserve">, dem König von </w:t>
      </w:r>
      <w:proofErr w:type="spellStart"/>
      <w:r>
        <w:t>Esebon</w:t>
      </w:r>
      <w:proofErr w:type="spellEnd"/>
      <w:r>
        <w:t>, mit friedlichen Worten, sagend").</w:t>
      </w:r>
    </w:p>
    <w:p w14:paraId="23515EF8" w14:textId="77777777" w:rsidR="00A330A9" w:rsidRDefault="00A330A9" w:rsidP="00A330A9">
      <w:r>
        <w:t xml:space="preserve">Die Satzstruktur ist ein einfacher Verbalsatz: </w:t>
      </w:r>
      <w:r>
        <w:rPr>
          <w:rStyle w:val="berschrift3Zchn"/>
          <w:rtl/>
        </w:rPr>
        <w:t>וָאֶשְׁלַח</w:t>
      </w:r>
      <w:r>
        <w:rPr>
          <w:rtl/>
        </w:rPr>
        <w:t xml:space="preserve"> </w:t>
      </w:r>
      <w:r>
        <w:t xml:space="preserve">als Prädikat, </w:t>
      </w:r>
      <w:r>
        <w:rPr>
          <w:rStyle w:val="berschrift3Zchn"/>
          <w:rtl/>
        </w:rPr>
        <w:t>מַלְאָכִים</w:t>
      </w:r>
      <w:r>
        <w:rPr>
          <w:rtl/>
        </w:rPr>
        <w:t xml:space="preserve"> </w:t>
      </w:r>
      <w:r>
        <w:t xml:space="preserve">als Objekt, </w:t>
      </w:r>
      <w:r>
        <w:rPr>
          <w:rStyle w:val="berschrift3Zchn"/>
          <w:rtl/>
        </w:rPr>
        <w:t>מִמִּדְבַּר קְדֵמוֹת</w:t>
      </w:r>
      <w:r>
        <w:rPr>
          <w:rtl/>
        </w:rPr>
        <w:t xml:space="preserve"> </w:t>
      </w:r>
      <w:r>
        <w:t xml:space="preserve">als Herkunftsangabe, </w:t>
      </w:r>
      <w:r>
        <w:rPr>
          <w:rStyle w:val="berschrift3Zchn"/>
          <w:rtl/>
        </w:rPr>
        <w:t>אֶל־סִיחוֹן מֶלֶךְ חֶשְׁבּוֹן</w:t>
      </w:r>
      <w:r>
        <w:rPr>
          <w:rtl/>
        </w:rPr>
        <w:t xml:space="preserve"> </w:t>
      </w:r>
      <w:r>
        <w:t xml:space="preserve">als Zielangabe, </w:t>
      </w:r>
      <w:r>
        <w:rPr>
          <w:rStyle w:val="berschrift3Zchn"/>
          <w:rtl/>
        </w:rPr>
        <w:t>דִּבְרֵי שָׁלוֹם</w:t>
      </w:r>
      <w:r>
        <w:rPr>
          <w:rtl/>
        </w:rPr>
        <w:t xml:space="preserve"> </w:t>
      </w:r>
      <w:r>
        <w:t xml:space="preserve">als nähere Bestimmung der Mission, und </w:t>
      </w:r>
      <w:r>
        <w:rPr>
          <w:rStyle w:val="berschrift3Zchn"/>
          <w:rtl/>
        </w:rPr>
        <w:t>לֵאמֹר</w:t>
      </w:r>
      <w:r>
        <w:rPr>
          <w:rtl/>
        </w:rPr>
        <w:t xml:space="preserve"> </w:t>
      </w:r>
      <w:r>
        <w:t>als Einleitungsformel.</w:t>
      </w:r>
    </w:p>
    <w:p w14:paraId="03B51AF3" w14:textId="77777777" w:rsidR="00A330A9" w:rsidRDefault="00A330A9" w:rsidP="00A330A9">
      <w:r>
        <w:t>Der Vers zeigt, dass Mose trotz des göttlichen Befehls zum Kampf (V. 24) zunächst ein Friedensangebot machte und friedlichen Durchzug erbat. Dies entspricht dem Gebot in Dtn 20,10, vor einem Angriff Frieden anzubieten. Moses Initiative zeigt diplomatisches Vorgehen und gibt Sihon die Möglichkeit, Konflikt zu vermeiden.</w:t>
      </w:r>
    </w:p>
    <w:p w14:paraId="6ADDA403" w14:textId="77777777" w:rsidR="00A330A9" w:rsidRPr="00A330A9" w:rsidRDefault="00A330A9" w:rsidP="00A330A9">
      <w:pPr>
        <w:spacing w:before="100" w:beforeAutospacing="1" w:after="100" w:afterAutospacing="1" w:line="240" w:lineRule="auto"/>
        <w:outlineLvl w:val="1"/>
        <w:rPr>
          <w:rFonts w:eastAsia="Times New Roman"/>
          <w:b/>
          <w:bCs/>
          <w:sz w:val="36"/>
          <w:szCs w:val="36"/>
          <w:lang w:eastAsia="de-DE"/>
        </w:rPr>
      </w:pPr>
      <w:r w:rsidRPr="00A330A9">
        <w:rPr>
          <w:rFonts w:eastAsia="Times New Roman"/>
          <w:b/>
          <w:bCs/>
          <w:sz w:val="36"/>
          <w:szCs w:val="36"/>
          <w:lang w:eastAsia="de-DE"/>
        </w:rPr>
        <w:t>Deuteronomium 2,27</w:t>
      </w:r>
    </w:p>
    <w:p w14:paraId="53E9EB1E"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Hebräisch:</w:t>
      </w:r>
      <w:r w:rsidRPr="00A330A9">
        <w:rPr>
          <w:rFonts w:eastAsia="Times New Roman"/>
          <w:lang w:eastAsia="de-DE"/>
        </w:rPr>
        <w:t xml:space="preserve"> </w:t>
      </w:r>
      <w:r w:rsidRPr="00A330A9">
        <w:rPr>
          <w:rFonts w:eastAsia="Times New Roman"/>
          <w:rtl/>
          <w:lang w:eastAsia="de-DE"/>
        </w:rPr>
        <w:t>אֶעְבְּרָ֣ה בְאַרְצֶ֔ךָ בַּדֶּ֥רֶךְ בַּדֶּ֖רֶךְ אֵלֵ֑ךְ לֹ֥א אָס֖וּר יָמִ֥ין וּשְׂמֹֽאול׃</w:t>
      </w:r>
    </w:p>
    <w:p w14:paraId="4FEDCA9E"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Deutsch:</w:t>
      </w:r>
      <w:r w:rsidRPr="00A330A9">
        <w:rPr>
          <w:rFonts w:eastAsia="Times New Roman"/>
          <w:lang w:eastAsia="de-DE"/>
        </w:rPr>
        <w:t xml:space="preserve"> Ich möchte durch dein Land ziehen; nur auf der Straße werde ich gehen, ich werde weder zur Rechten noch zur Linken abweichen.</w:t>
      </w:r>
    </w:p>
    <w:p w14:paraId="7082FEBD" w14:textId="77777777" w:rsidR="00A330A9" w:rsidRPr="00A330A9" w:rsidRDefault="004F5CEB" w:rsidP="00A330A9">
      <w:pPr>
        <w:spacing w:after="0" w:line="240" w:lineRule="auto"/>
        <w:rPr>
          <w:rFonts w:eastAsia="Times New Roman"/>
          <w:lang w:eastAsia="de-DE"/>
        </w:rPr>
      </w:pPr>
      <w:r>
        <w:rPr>
          <w:rFonts w:eastAsia="Times New Roman"/>
          <w:noProof/>
          <w:lang w:eastAsia="de-DE"/>
        </w:rPr>
        <w:pict w14:anchorId="3C593566">
          <v:rect id="_x0000_i1097" style="width:0;height:1.5pt" o:hralign="center" o:hrstd="t" o:hr="t" fillcolor="#a0a0a0" stroked="f"/>
        </w:pict>
      </w:r>
    </w:p>
    <w:p w14:paraId="6C7395B7" w14:textId="3F78DDF8"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Kommentar:</w:t>
      </w:r>
      <w:r w:rsidRPr="00A330A9">
        <w:rPr>
          <w:rFonts w:eastAsia="Times New Roman"/>
          <w:lang w:eastAsia="de-DE"/>
        </w:rPr>
        <w:t xml:space="preserve"> </w:t>
      </w:r>
      <w:r w:rsidRPr="00A330A9">
        <w:rPr>
          <w:rFonts w:eastAsia="Times New Roman"/>
          <w:b/>
          <w:bCs/>
          <w:rtl/>
          <w:lang w:eastAsia="de-DE"/>
        </w:rPr>
        <w:t>אֶעְבְּרָה</w:t>
      </w:r>
      <w:r w:rsidRPr="00A330A9">
        <w:rPr>
          <w:rFonts w:eastAsia="Times New Roman"/>
          <w:rtl/>
          <w:lang w:eastAsia="de-DE"/>
        </w:rPr>
        <w:t xml:space="preserve"> </w:t>
      </w:r>
      <w:r w:rsidRPr="00A330A9">
        <w:rPr>
          <w:rFonts w:eastAsia="Times New Roman"/>
          <w:lang w:eastAsia="de-DE"/>
        </w:rPr>
        <w:t xml:space="preserve">ist Qal Imperfekt Kohortativ, 1. Person Singular von </w:t>
      </w:r>
      <w:r w:rsidRPr="00A330A9">
        <w:rPr>
          <w:rFonts w:eastAsia="Times New Roman"/>
          <w:rtl/>
          <w:lang w:eastAsia="de-DE"/>
        </w:rPr>
        <w:t>עבר</w:t>
      </w:r>
      <w:r w:rsidRPr="00A330A9">
        <w:rPr>
          <w:rFonts w:eastAsia="Times New Roman"/>
          <w:lang w:eastAsia="de-DE"/>
        </w:rPr>
        <w:t xml:space="preserve"> („durchziehen") mit He-Endung, die den Wunsch oder die Bitte ausdrückt („ich möchte durchziehen"). </w:t>
      </w:r>
      <w:r w:rsidRPr="00A330A9">
        <w:rPr>
          <w:rFonts w:eastAsia="Times New Roman"/>
          <w:b/>
          <w:bCs/>
          <w:rtl/>
          <w:lang w:eastAsia="de-DE"/>
        </w:rPr>
        <w:t>בְאַרְצֶךָ</w:t>
      </w:r>
      <w:r w:rsidRPr="00A330A9">
        <w:rPr>
          <w:rFonts w:eastAsia="Times New Roman"/>
          <w:rtl/>
          <w:lang w:eastAsia="de-DE"/>
        </w:rPr>
        <w:t xml:space="preserve"> </w:t>
      </w:r>
      <w:r w:rsidRPr="00A330A9">
        <w:rPr>
          <w:rFonts w:eastAsia="Times New Roman"/>
          <w:lang w:eastAsia="de-DE"/>
        </w:rPr>
        <w:t xml:space="preserve">ist </w:t>
      </w:r>
      <w:r w:rsidRPr="00A330A9">
        <w:rPr>
          <w:rFonts w:eastAsia="Times New Roman"/>
          <w:b/>
          <w:bCs/>
          <w:rtl/>
          <w:lang w:eastAsia="de-DE"/>
        </w:rPr>
        <w:t>בְּ</w:t>
      </w:r>
      <w:r w:rsidRPr="00A330A9">
        <w:rPr>
          <w:rFonts w:eastAsia="Times New Roman"/>
          <w:rtl/>
          <w:lang w:eastAsia="de-DE"/>
        </w:rPr>
        <w:t xml:space="preserve"> </w:t>
      </w:r>
      <w:r w:rsidRPr="00A330A9">
        <w:rPr>
          <w:rFonts w:eastAsia="Times New Roman"/>
          <w:lang w:eastAsia="de-DE"/>
        </w:rPr>
        <w:t xml:space="preserve">mit </w:t>
      </w:r>
      <w:r w:rsidRPr="00A330A9">
        <w:rPr>
          <w:rFonts w:eastAsia="Times New Roman"/>
          <w:b/>
          <w:bCs/>
          <w:rtl/>
          <w:lang w:eastAsia="de-DE"/>
        </w:rPr>
        <w:t>אֶרֶץ</w:t>
      </w:r>
      <w:r w:rsidRPr="00A330A9">
        <w:rPr>
          <w:rFonts w:eastAsia="Times New Roman"/>
          <w:rtl/>
          <w:lang w:eastAsia="de-DE"/>
        </w:rPr>
        <w:t xml:space="preserve"> </w:t>
      </w:r>
      <w:r w:rsidRPr="00A330A9">
        <w:rPr>
          <w:rFonts w:eastAsia="Times New Roman"/>
          <w:lang w:eastAsia="de-DE"/>
        </w:rPr>
        <w:t xml:space="preserve">im </w:t>
      </w:r>
      <w:r w:rsidR="0032647F">
        <w:rPr>
          <w:rFonts w:eastAsia="Times New Roman"/>
          <w:lang w:eastAsia="de-DE"/>
        </w:rPr>
        <w:t>Construct</w:t>
      </w:r>
      <w:r w:rsidRPr="00A330A9">
        <w:rPr>
          <w:rFonts w:eastAsia="Times New Roman"/>
          <w:lang w:eastAsia="de-DE"/>
        </w:rPr>
        <w:t xml:space="preserve"> und Suffix 2. Person maskulin Singular („durch dein Land").</w:t>
      </w:r>
    </w:p>
    <w:p w14:paraId="29436D77" w14:textId="77DD7F0A"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rtl/>
          <w:lang w:eastAsia="de-DE"/>
        </w:rPr>
        <w:t>בַּדֶּרֶךְ בַּדֶּרֶךְ אֵלֵךְ</w:t>
      </w:r>
      <w:r w:rsidRPr="00A330A9">
        <w:rPr>
          <w:rFonts w:eastAsia="Times New Roman"/>
          <w:rtl/>
          <w:lang w:eastAsia="de-DE"/>
        </w:rPr>
        <w:t xml:space="preserve"> </w:t>
      </w:r>
      <w:r w:rsidRPr="00A330A9">
        <w:rPr>
          <w:rFonts w:eastAsia="Times New Roman"/>
          <w:lang w:eastAsia="de-DE"/>
        </w:rPr>
        <w:t xml:space="preserve">ist eine emphatische </w:t>
      </w:r>
      <w:r w:rsidR="00FF2B82">
        <w:rPr>
          <w:rFonts w:eastAsia="Times New Roman"/>
          <w:lang w:eastAsia="de-DE"/>
        </w:rPr>
        <w:t>Konstruktion</w:t>
      </w:r>
      <w:r w:rsidRPr="00A330A9">
        <w:rPr>
          <w:rFonts w:eastAsia="Times New Roman"/>
          <w:lang w:eastAsia="de-DE"/>
        </w:rPr>
        <w:t xml:space="preserve">: </w:t>
      </w:r>
      <w:r w:rsidRPr="00A330A9">
        <w:rPr>
          <w:rFonts w:eastAsia="Times New Roman"/>
          <w:b/>
          <w:bCs/>
          <w:rtl/>
          <w:lang w:eastAsia="de-DE"/>
        </w:rPr>
        <w:t>בַּדֶּרֶךְ</w:t>
      </w:r>
      <w:r w:rsidRPr="00A330A9">
        <w:rPr>
          <w:rFonts w:eastAsia="Times New Roman"/>
          <w:rtl/>
          <w:lang w:eastAsia="de-DE"/>
        </w:rPr>
        <w:t xml:space="preserve"> </w:t>
      </w:r>
      <w:r w:rsidRPr="00A330A9">
        <w:rPr>
          <w:rFonts w:eastAsia="Times New Roman"/>
          <w:lang w:eastAsia="de-DE"/>
        </w:rPr>
        <w:t xml:space="preserve">(„auf dem Weg") wird wiederholt zur Verstärkung („nur auf dem Weg, auf dem Weg allein"), </w:t>
      </w:r>
      <w:r w:rsidRPr="00A330A9">
        <w:rPr>
          <w:rFonts w:eastAsia="Times New Roman"/>
          <w:b/>
          <w:bCs/>
          <w:rtl/>
          <w:lang w:eastAsia="de-DE"/>
        </w:rPr>
        <w:t>אֵלֵךְ</w:t>
      </w:r>
      <w:r w:rsidRPr="00A330A9">
        <w:rPr>
          <w:rFonts w:eastAsia="Times New Roman"/>
          <w:rtl/>
          <w:lang w:eastAsia="de-DE"/>
        </w:rPr>
        <w:t xml:space="preserve"> </w:t>
      </w:r>
      <w:r w:rsidRPr="00A330A9">
        <w:rPr>
          <w:rFonts w:eastAsia="Times New Roman"/>
          <w:lang w:eastAsia="de-DE"/>
        </w:rPr>
        <w:t xml:space="preserve">ist Qal Imperfekt, 1. Person Singular von </w:t>
      </w:r>
      <w:r w:rsidRPr="00A330A9">
        <w:rPr>
          <w:rFonts w:eastAsia="Times New Roman"/>
          <w:rtl/>
          <w:lang w:eastAsia="de-DE"/>
        </w:rPr>
        <w:t>הלך</w:t>
      </w:r>
      <w:r w:rsidRPr="00A330A9">
        <w:rPr>
          <w:rFonts w:eastAsia="Times New Roman"/>
          <w:lang w:eastAsia="de-DE"/>
        </w:rPr>
        <w:t xml:space="preserve"> („gehen"). Die Wiederholung betont die strikte Beschränkung auf die Straße.</w:t>
      </w:r>
    </w:p>
    <w:p w14:paraId="1ACB3BEF"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rtl/>
          <w:lang w:eastAsia="de-DE"/>
        </w:rPr>
        <w:t>לֹא אָסוּר יָמִין וּשְׂמֹאול</w:t>
      </w:r>
      <w:r w:rsidRPr="00A330A9">
        <w:rPr>
          <w:rFonts w:eastAsia="Times New Roman"/>
          <w:rtl/>
          <w:lang w:eastAsia="de-DE"/>
        </w:rPr>
        <w:t xml:space="preserve"> </w:t>
      </w:r>
      <w:r w:rsidRPr="00A330A9">
        <w:rPr>
          <w:rFonts w:eastAsia="Times New Roman"/>
          <w:lang w:eastAsia="de-DE"/>
        </w:rPr>
        <w:t xml:space="preserve">ist </w:t>
      </w:r>
      <w:r w:rsidRPr="00A330A9">
        <w:rPr>
          <w:rFonts w:eastAsia="Times New Roman"/>
          <w:b/>
          <w:bCs/>
          <w:rtl/>
          <w:lang w:eastAsia="de-DE"/>
        </w:rPr>
        <w:t>לֹא</w:t>
      </w:r>
      <w:r w:rsidRPr="00A330A9">
        <w:rPr>
          <w:rFonts w:eastAsia="Times New Roman"/>
          <w:rtl/>
          <w:lang w:eastAsia="de-DE"/>
        </w:rPr>
        <w:t xml:space="preserve"> </w:t>
      </w:r>
      <w:r w:rsidRPr="00A330A9">
        <w:rPr>
          <w:rFonts w:eastAsia="Times New Roman"/>
          <w:lang w:eastAsia="de-DE"/>
        </w:rPr>
        <w:t xml:space="preserve">als Negation, </w:t>
      </w:r>
      <w:r w:rsidRPr="00A330A9">
        <w:rPr>
          <w:rFonts w:eastAsia="Times New Roman"/>
          <w:b/>
          <w:bCs/>
          <w:rtl/>
          <w:lang w:eastAsia="de-DE"/>
        </w:rPr>
        <w:t>אָסוּר</w:t>
      </w:r>
      <w:r w:rsidRPr="00A330A9">
        <w:rPr>
          <w:rFonts w:eastAsia="Times New Roman"/>
          <w:rtl/>
          <w:lang w:eastAsia="de-DE"/>
        </w:rPr>
        <w:t xml:space="preserve"> </w:t>
      </w:r>
      <w:r w:rsidRPr="00A330A9">
        <w:rPr>
          <w:rFonts w:eastAsia="Times New Roman"/>
          <w:lang w:eastAsia="de-DE"/>
        </w:rPr>
        <w:t xml:space="preserve">(Qal Imperfekt, 1. Person Singular von </w:t>
      </w:r>
      <w:r w:rsidRPr="00A330A9">
        <w:rPr>
          <w:rFonts w:eastAsia="Times New Roman"/>
          <w:rtl/>
          <w:lang w:eastAsia="de-DE"/>
        </w:rPr>
        <w:t>סור</w:t>
      </w:r>
      <w:r w:rsidRPr="00A330A9">
        <w:rPr>
          <w:rFonts w:eastAsia="Times New Roman"/>
          <w:lang w:eastAsia="de-DE"/>
        </w:rPr>
        <w:t xml:space="preserve"> „abweichen, sich abwenden"), </w:t>
      </w:r>
      <w:r w:rsidRPr="00A330A9">
        <w:rPr>
          <w:rFonts w:eastAsia="Times New Roman"/>
          <w:b/>
          <w:bCs/>
          <w:rtl/>
          <w:lang w:eastAsia="de-DE"/>
        </w:rPr>
        <w:t>יָמִין וּשְׂמֹאול</w:t>
      </w:r>
      <w:r w:rsidRPr="00A330A9">
        <w:rPr>
          <w:rFonts w:eastAsia="Times New Roman"/>
          <w:rtl/>
          <w:lang w:eastAsia="de-DE"/>
        </w:rPr>
        <w:t xml:space="preserve"> </w:t>
      </w:r>
      <w:r w:rsidRPr="00A330A9">
        <w:rPr>
          <w:rFonts w:eastAsia="Times New Roman"/>
          <w:lang w:eastAsia="de-DE"/>
        </w:rPr>
        <w:t>(„rechts und links", eine Hendiadys für „in keine Richtung"). Die Phrase versichert, dass Israel nicht vom Weg abweichen und kein Land beanspruchen wird.</w:t>
      </w:r>
    </w:p>
    <w:p w14:paraId="01C7012A"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Die LXX</w:t>
      </w:r>
      <w:r w:rsidRPr="00A330A9">
        <w:rPr>
          <w:rFonts w:eastAsia="Times New Roman"/>
          <w:lang w:eastAsia="de-DE"/>
        </w:rPr>
        <w:t xml:space="preserve"> übersetzt „</w:t>
      </w:r>
      <w:proofErr w:type="spellStart"/>
      <w:r w:rsidRPr="00A330A9">
        <w:rPr>
          <w:rFonts w:eastAsia="Times New Roman"/>
          <w:lang w:eastAsia="de-DE"/>
        </w:rPr>
        <w:t>διὰ</w:t>
      </w:r>
      <w:proofErr w:type="spellEnd"/>
      <w:r w:rsidRPr="00A330A9">
        <w:rPr>
          <w:rFonts w:eastAsia="Times New Roman"/>
          <w:lang w:eastAsia="de-DE"/>
        </w:rPr>
        <w:t xml:space="preserve"> </w:t>
      </w:r>
      <w:proofErr w:type="spellStart"/>
      <w:r w:rsidRPr="00A330A9">
        <w:rPr>
          <w:rFonts w:eastAsia="Times New Roman"/>
          <w:lang w:eastAsia="de-DE"/>
        </w:rPr>
        <w:t>τῆς</w:t>
      </w:r>
      <w:proofErr w:type="spellEnd"/>
      <w:r w:rsidRPr="00A330A9">
        <w:rPr>
          <w:rFonts w:eastAsia="Times New Roman"/>
          <w:lang w:eastAsia="de-DE"/>
        </w:rPr>
        <w:t xml:space="preserve"> </w:t>
      </w:r>
      <w:proofErr w:type="spellStart"/>
      <w:r w:rsidRPr="00A330A9">
        <w:rPr>
          <w:rFonts w:eastAsia="Times New Roman"/>
          <w:lang w:eastAsia="de-DE"/>
        </w:rPr>
        <w:t>γῆς</w:t>
      </w:r>
      <w:proofErr w:type="spellEnd"/>
      <w:r w:rsidRPr="00A330A9">
        <w:rPr>
          <w:rFonts w:eastAsia="Times New Roman"/>
          <w:lang w:eastAsia="de-DE"/>
        </w:rPr>
        <w:t xml:space="preserve"> </w:t>
      </w:r>
      <w:proofErr w:type="spellStart"/>
      <w:r w:rsidRPr="00A330A9">
        <w:rPr>
          <w:rFonts w:eastAsia="Times New Roman"/>
          <w:lang w:eastAsia="de-DE"/>
        </w:rPr>
        <w:t>σου</w:t>
      </w:r>
      <w:proofErr w:type="spellEnd"/>
      <w:r w:rsidRPr="00A330A9">
        <w:rPr>
          <w:rFonts w:eastAsia="Times New Roman"/>
          <w:lang w:eastAsia="de-DE"/>
        </w:rPr>
        <w:t xml:space="preserve"> πα</w:t>
      </w:r>
      <w:proofErr w:type="spellStart"/>
      <w:r w:rsidRPr="00A330A9">
        <w:rPr>
          <w:rFonts w:eastAsia="Times New Roman"/>
          <w:lang w:eastAsia="de-DE"/>
        </w:rPr>
        <w:t>ρελεύσομ</w:t>
      </w:r>
      <w:proofErr w:type="spellEnd"/>
      <w:r w:rsidRPr="00A330A9">
        <w:rPr>
          <w:rFonts w:eastAsia="Times New Roman"/>
          <w:lang w:eastAsia="de-DE"/>
        </w:rPr>
        <w:t xml:space="preserve">αι, </w:t>
      </w:r>
      <w:proofErr w:type="spellStart"/>
      <w:r w:rsidRPr="00A330A9">
        <w:rPr>
          <w:rFonts w:eastAsia="Times New Roman"/>
          <w:lang w:eastAsia="de-DE"/>
        </w:rPr>
        <w:t>ἐν</w:t>
      </w:r>
      <w:proofErr w:type="spellEnd"/>
      <w:r w:rsidRPr="00A330A9">
        <w:rPr>
          <w:rFonts w:eastAsia="Times New Roman"/>
          <w:lang w:eastAsia="de-DE"/>
        </w:rPr>
        <w:t xml:space="preserve"> </w:t>
      </w:r>
      <w:proofErr w:type="spellStart"/>
      <w:r w:rsidRPr="00A330A9">
        <w:rPr>
          <w:rFonts w:eastAsia="Times New Roman"/>
          <w:lang w:eastAsia="de-DE"/>
        </w:rPr>
        <w:t>τῇ</w:t>
      </w:r>
      <w:proofErr w:type="spellEnd"/>
      <w:r w:rsidRPr="00A330A9">
        <w:rPr>
          <w:rFonts w:eastAsia="Times New Roman"/>
          <w:lang w:eastAsia="de-DE"/>
        </w:rPr>
        <w:t xml:space="preserve"> </w:t>
      </w:r>
      <w:proofErr w:type="spellStart"/>
      <w:r w:rsidRPr="00A330A9">
        <w:rPr>
          <w:rFonts w:eastAsia="Times New Roman"/>
          <w:lang w:eastAsia="de-DE"/>
        </w:rPr>
        <w:t>ὁδῷ</w:t>
      </w:r>
      <w:proofErr w:type="spellEnd"/>
      <w:r w:rsidRPr="00A330A9">
        <w:rPr>
          <w:rFonts w:eastAsia="Times New Roman"/>
          <w:lang w:eastAsia="de-DE"/>
        </w:rPr>
        <w:t xml:space="preserve"> π</w:t>
      </w:r>
      <w:proofErr w:type="spellStart"/>
      <w:r w:rsidRPr="00A330A9">
        <w:rPr>
          <w:rFonts w:eastAsia="Times New Roman"/>
          <w:lang w:eastAsia="de-DE"/>
        </w:rPr>
        <w:t>ορεύσομ</w:t>
      </w:r>
      <w:proofErr w:type="spellEnd"/>
      <w:r w:rsidRPr="00A330A9">
        <w:rPr>
          <w:rFonts w:eastAsia="Times New Roman"/>
          <w:lang w:eastAsia="de-DE"/>
        </w:rPr>
        <w:t xml:space="preserve">αι, </w:t>
      </w:r>
      <w:proofErr w:type="spellStart"/>
      <w:r w:rsidRPr="00A330A9">
        <w:rPr>
          <w:rFonts w:eastAsia="Times New Roman"/>
          <w:lang w:eastAsia="de-DE"/>
        </w:rPr>
        <w:t>οὐκ</w:t>
      </w:r>
      <w:proofErr w:type="spellEnd"/>
      <w:r w:rsidRPr="00A330A9">
        <w:rPr>
          <w:rFonts w:eastAsia="Times New Roman"/>
          <w:lang w:eastAsia="de-DE"/>
        </w:rPr>
        <w:t xml:space="preserve"> </w:t>
      </w:r>
      <w:proofErr w:type="spellStart"/>
      <w:r w:rsidRPr="00A330A9">
        <w:rPr>
          <w:rFonts w:eastAsia="Times New Roman"/>
          <w:lang w:eastAsia="de-DE"/>
        </w:rPr>
        <w:t>ἐκκλινῶ</w:t>
      </w:r>
      <w:proofErr w:type="spellEnd"/>
      <w:r w:rsidRPr="00A330A9">
        <w:rPr>
          <w:rFonts w:eastAsia="Times New Roman"/>
          <w:lang w:eastAsia="de-DE"/>
        </w:rPr>
        <w:t xml:space="preserve"> </w:t>
      </w:r>
      <w:proofErr w:type="spellStart"/>
      <w:r w:rsidRPr="00A330A9">
        <w:rPr>
          <w:rFonts w:eastAsia="Times New Roman"/>
          <w:lang w:eastAsia="de-DE"/>
        </w:rPr>
        <w:t>δεξιὰ</w:t>
      </w:r>
      <w:proofErr w:type="spellEnd"/>
      <w:r w:rsidRPr="00A330A9">
        <w:rPr>
          <w:rFonts w:eastAsia="Times New Roman"/>
          <w:lang w:eastAsia="de-DE"/>
        </w:rPr>
        <w:t xml:space="preserve"> </w:t>
      </w:r>
      <w:proofErr w:type="spellStart"/>
      <w:r w:rsidRPr="00A330A9">
        <w:rPr>
          <w:rFonts w:eastAsia="Times New Roman"/>
          <w:lang w:eastAsia="de-DE"/>
        </w:rPr>
        <w:t>οὐδὲ</w:t>
      </w:r>
      <w:proofErr w:type="spellEnd"/>
      <w:r w:rsidRPr="00A330A9">
        <w:rPr>
          <w:rFonts w:eastAsia="Times New Roman"/>
          <w:lang w:eastAsia="de-DE"/>
        </w:rPr>
        <w:t xml:space="preserve"> </w:t>
      </w:r>
      <w:proofErr w:type="spellStart"/>
      <w:r w:rsidRPr="00A330A9">
        <w:rPr>
          <w:rFonts w:eastAsia="Times New Roman"/>
          <w:lang w:eastAsia="de-DE"/>
        </w:rPr>
        <w:t>ἀριστερά</w:t>
      </w:r>
      <w:proofErr w:type="spellEnd"/>
      <w:r w:rsidRPr="00A330A9">
        <w:rPr>
          <w:rFonts w:eastAsia="Times New Roman"/>
          <w:lang w:eastAsia="de-DE"/>
        </w:rPr>
        <w:t xml:space="preserve">" („durch dein Land werde ich vorbeiziehen, auf dem Weg werde ich </w:t>
      </w:r>
      <w:r w:rsidRPr="00A330A9">
        <w:rPr>
          <w:rFonts w:eastAsia="Times New Roman"/>
          <w:lang w:eastAsia="de-DE"/>
        </w:rPr>
        <w:lastRenderedPageBreak/>
        <w:t xml:space="preserve">gehen, ich werde nicht abweichen nach rechts noch nach links"). Die LXX gibt die wiederholte Phrase </w:t>
      </w:r>
      <w:r w:rsidRPr="00A330A9">
        <w:rPr>
          <w:rFonts w:eastAsia="Times New Roman"/>
          <w:b/>
          <w:bCs/>
          <w:rtl/>
          <w:lang w:eastAsia="de-DE"/>
        </w:rPr>
        <w:t>בַּדֶּרֶךְ בַּדֶּרֶךְ</w:t>
      </w:r>
      <w:r w:rsidRPr="00A330A9">
        <w:rPr>
          <w:rFonts w:eastAsia="Times New Roman"/>
          <w:rtl/>
          <w:lang w:eastAsia="de-DE"/>
        </w:rPr>
        <w:t xml:space="preserve"> </w:t>
      </w:r>
      <w:r w:rsidRPr="00A330A9">
        <w:rPr>
          <w:rFonts w:eastAsia="Times New Roman"/>
          <w:lang w:eastAsia="de-DE"/>
        </w:rPr>
        <w:t>mit einfachem „</w:t>
      </w:r>
      <w:proofErr w:type="spellStart"/>
      <w:r w:rsidRPr="00A330A9">
        <w:rPr>
          <w:rFonts w:eastAsia="Times New Roman"/>
          <w:lang w:eastAsia="de-DE"/>
        </w:rPr>
        <w:t>ἐν</w:t>
      </w:r>
      <w:proofErr w:type="spellEnd"/>
      <w:r w:rsidRPr="00A330A9">
        <w:rPr>
          <w:rFonts w:eastAsia="Times New Roman"/>
          <w:lang w:eastAsia="de-DE"/>
        </w:rPr>
        <w:t xml:space="preserve"> </w:t>
      </w:r>
      <w:proofErr w:type="spellStart"/>
      <w:r w:rsidRPr="00A330A9">
        <w:rPr>
          <w:rFonts w:eastAsia="Times New Roman"/>
          <w:lang w:eastAsia="de-DE"/>
        </w:rPr>
        <w:t>τῇ</w:t>
      </w:r>
      <w:proofErr w:type="spellEnd"/>
      <w:r w:rsidRPr="00A330A9">
        <w:rPr>
          <w:rFonts w:eastAsia="Times New Roman"/>
          <w:lang w:eastAsia="de-DE"/>
        </w:rPr>
        <w:t xml:space="preserve"> </w:t>
      </w:r>
      <w:proofErr w:type="spellStart"/>
      <w:r w:rsidRPr="00A330A9">
        <w:rPr>
          <w:rFonts w:eastAsia="Times New Roman"/>
          <w:lang w:eastAsia="de-DE"/>
        </w:rPr>
        <w:t>ὁδῷ</w:t>
      </w:r>
      <w:proofErr w:type="spellEnd"/>
      <w:r w:rsidRPr="00A330A9">
        <w:rPr>
          <w:rFonts w:eastAsia="Times New Roman"/>
          <w:lang w:eastAsia="de-DE"/>
        </w:rPr>
        <w:t>" wieder.</w:t>
      </w:r>
    </w:p>
    <w:p w14:paraId="4A846AB8"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lang w:eastAsia="de-DE"/>
        </w:rPr>
        <w:t xml:space="preserve">Die Satzstruktur besteht aus drei koordinierten Aussagen: (1) Kohortativ </w:t>
      </w:r>
      <w:r w:rsidRPr="00A330A9">
        <w:rPr>
          <w:rFonts w:eastAsia="Times New Roman"/>
          <w:b/>
          <w:bCs/>
          <w:rtl/>
          <w:lang w:eastAsia="de-DE"/>
        </w:rPr>
        <w:t>אֶעְבְּרָה בְאַרְצֶךָ</w:t>
      </w:r>
      <w:r w:rsidRPr="00A330A9">
        <w:rPr>
          <w:rFonts w:eastAsia="Times New Roman"/>
          <w:lang w:eastAsia="de-DE"/>
        </w:rPr>
        <w:t xml:space="preserve">, (2) emphatische Phrase </w:t>
      </w:r>
      <w:r w:rsidRPr="00A330A9">
        <w:rPr>
          <w:rFonts w:eastAsia="Times New Roman"/>
          <w:b/>
          <w:bCs/>
          <w:rtl/>
          <w:lang w:eastAsia="de-DE"/>
        </w:rPr>
        <w:t>בַּדֶּרֶךְ בַּדֶּרֶךְ אֵלֵךְ</w:t>
      </w:r>
      <w:r w:rsidRPr="00A330A9">
        <w:rPr>
          <w:rFonts w:eastAsia="Times New Roman"/>
          <w:lang w:eastAsia="de-DE"/>
        </w:rPr>
        <w:t xml:space="preserve">, (3) negierte Aussage </w:t>
      </w:r>
      <w:r w:rsidRPr="00A330A9">
        <w:rPr>
          <w:rFonts w:eastAsia="Times New Roman"/>
          <w:b/>
          <w:bCs/>
          <w:rtl/>
          <w:lang w:eastAsia="de-DE"/>
        </w:rPr>
        <w:t>לֹא אָסוּר יָמִין וּשְׂמֹאול</w:t>
      </w:r>
      <w:r w:rsidRPr="00A330A9">
        <w:rPr>
          <w:rFonts w:eastAsia="Times New Roman"/>
          <w:lang w:eastAsia="de-DE"/>
        </w:rPr>
        <w:t>.</w:t>
      </w:r>
    </w:p>
    <w:p w14:paraId="54FEF31B"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lang w:eastAsia="de-DE"/>
        </w:rPr>
        <w:t>Der Vers formuliert Moses Bitte um friedlichen Durchzug: Israel will nur die Hauptstraße benutzen, ohne ins Land einzudringen oder es zu beanspruchen. Dies ist eine bescheidene, nicht-aggressive Anfrage, ähnlich der Bitte an Edom in Num 20,17.</w:t>
      </w:r>
    </w:p>
    <w:p w14:paraId="53C1309E" w14:textId="77777777" w:rsidR="00A330A9" w:rsidRPr="00A330A9" w:rsidRDefault="00A330A9" w:rsidP="00A330A9">
      <w:pPr>
        <w:spacing w:before="100" w:beforeAutospacing="1" w:after="100" w:afterAutospacing="1" w:line="240" w:lineRule="auto"/>
        <w:outlineLvl w:val="1"/>
        <w:rPr>
          <w:rFonts w:eastAsia="Times New Roman"/>
          <w:b/>
          <w:bCs/>
          <w:sz w:val="36"/>
          <w:szCs w:val="36"/>
          <w:lang w:eastAsia="de-DE"/>
        </w:rPr>
      </w:pPr>
      <w:r w:rsidRPr="00A330A9">
        <w:rPr>
          <w:rFonts w:eastAsia="Times New Roman"/>
          <w:b/>
          <w:bCs/>
          <w:sz w:val="36"/>
          <w:szCs w:val="36"/>
          <w:lang w:eastAsia="de-DE"/>
        </w:rPr>
        <w:t>Deuteronomium 2,28</w:t>
      </w:r>
    </w:p>
    <w:p w14:paraId="35730720"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Hebräisch:</w:t>
      </w:r>
      <w:r w:rsidRPr="00A330A9">
        <w:rPr>
          <w:rFonts w:eastAsia="Times New Roman"/>
          <w:lang w:eastAsia="de-DE"/>
        </w:rPr>
        <w:t xml:space="preserve"> </w:t>
      </w:r>
      <w:r w:rsidRPr="00A330A9">
        <w:rPr>
          <w:rFonts w:eastAsia="Times New Roman"/>
          <w:rtl/>
          <w:lang w:eastAsia="de-DE"/>
        </w:rPr>
        <w:t>אֹ֣כֶל בַּכֶּ֤סֶף תַּשְׁבִּרֵ֙נִי֙ וְאָכַ֔לְתִּי וּמַ֛יִם בַּכֶּ֥סֶף תִּתֶּן־לִ֖י וְשָׁתִ֑יתִי רַ֖ק אֶעְבְּרָ֥ה בְרַגְלָֽי׃</w:t>
      </w:r>
    </w:p>
    <w:p w14:paraId="18E5156B"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Deutsch:</w:t>
      </w:r>
      <w:r w:rsidRPr="00A330A9">
        <w:rPr>
          <w:rFonts w:eastAsia="Times New Roman"/>
          <w:lang w:eastAsia="de-DE"/>
        </w:rPr>
        <w:t xml:space="preserve"> Speise für Geld sollst du mir verkaufen, dass ich esse, und Wasser für Geld sollst du mir geben, dass ich trinke. Ich will nur mit meinen Füßen hindurchziehen.</w:t>
      </w:r>
    </w:p>
    <w:p w14:paraId="27736597" w14:textId="77777777" w:rsidR="00A330A9" w:rsidRPr="00A330A9" w:rsidRDefault="004F5CEB" w:rsidP="00A330A9">
      <w:pPr>
        <w:spacing w:after="0" w:line="240" w:lineRule="auto"/>
        <w:rPr>
          <w:rFonts w:eastAsia="Times New Roman"/>
          <w:lang w:eastAsia="de-DE"/>
        </w:rPr>
      </w:pPr>
      <w:r>
        <w:rPr>
          <w:rFonts w:eastAsia="Times New Roman"/>
          <w:noProof/>
          <w:lang w:eastAsia="de-DE"/>
        </w:rPr>
        <w:pict w14:anchorId="45625CDA">
          <v:rect id="_x0000_i1098" style="width:0;height:1.5pt" o:hralign="center" o:hrstd="t" o:hr="t" fillcolor="#a0a0a0" stroked="f"/>
        </w:pict>
      </w:r>
    </w:p>
    <w:p w14:paraId="110D22C8"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Kommentar:</w:t>
      </w:r>
      <w:r w:rsidRPr="00A330A9">
        <w:rPr>
          <w:rFonts w:eastAsia="Times New Roman"/>
          <w:lang w:eastAsia="de-DE"/>
        </w:rPr>
        <w:t xml:space="preserve"> </w:t>
      </w:r>
      <w:r w:rsidRPr="00A330A9">
        <w:rPr>
          <w:rFonts w:eastAsia="Times New Roman"/>
          <w:b/>
          <w:bCs/>
          <w:rtl/>
          <w:lang w:eastAsia="de-DE"/>
        </w:rPr>
        <w:t>אֹכֶל בַּכֶּסֶף תַּשְׁבִּרֵנִי וְאָכַלְתִּי</w:t>
      </w:r>
      <w:r w:rsidRPr="00A330A9">
        <w:rPr>
          <w:rFonts w:eastAsia="Times New Roman"/>
          <w:rtl/>
          <w:lang w:eastAsia="de-DE"/>
        </w:rPr>
        <w:t xml:space="preserve"> </w:t>
      </w:r>
      <w:r w:rsidRPr="00A330A9">
        <w:rPr>
          <w:rFonts w:eastAsia="Times New Roman"/>
          <w:lang w:eastAsia="de-DE"/>
        </w:rPr>
        <w:t xml:space="preserve">ist parallel zu 2,6: </w:t>
      </w:r>
      <w:r w:rsidRPr="00A330A9">
        <w:rPr>
          <w:rFonts w:eastAsia="Times New Roman"/>
          <w:b/>
          <w:bCs/>
          <w:rtl/>
          <w:lang w:eastAsia="de-DE"/>
        </w:rPr>
        <w:t>אֹכֶל</w:t>
      </w:r>
      <w:r w:rsidRPr="00A330A9">
        <w:rPr>
          <w:rFonts w:eastAsia="Times New Roman"/>
          <w:rtl/>
          <w:lang w:eastAsia="de-DE"/>
        </w:rPr>
        <w:t xml:space="preserve"> </w:t>
      </w:r>
      <w:r w:rsidRPr="00A330A9">
        <w:rPr>
          <w:rFonts w:eastAsia="Times New Roman"/>
          <w:lang w:eastAsia="de-DE"/>
        </w:rPr>
        <w:t xml:space="preserve">(„Speise") als vorangestelltes Objekt, </w:t>
      </w:r>
      <w:r w:rsidRPr="00A330A9">
        <w:rPr>
          <w:rFonts w:eastAsia="Times New Roman"/>
          <w:b/>
          <w:bCs/>
          <w:rtl/>
          <w:lang w:eastAsia="de-DE"/>
        </w:rPr>
        <w:t>בַּכֶּסֶף</w:t>
      </w:r>
      <w:r w:rsidRPr="00A330A9">
        <w:rPr>
          <w:rFonts w:eastAsia="Times New Roman"/>
          <w:rtl/>
          <w:lang w:eastAsia="de-DE"/>
        </w:rPr>
        <w:t xml:space="preserve"> </w:t>
      </w:r>
      <w:r w:rsidRPr="00A330A9">
        <w:rPr>
          <w:rFonts w:eastAsia="Times New Roman"/>
          <w:lang w:eastAsia="de-DE"/>
        </w:rPr>
        <w:t>(</w:t>
      </w:r>
      <w:r w:rsidRPr="00A330A9">
        <w:rPr>
          <w:rFonts w:eastAsia="Times New Roman"/>
          <w:b/>
          <w:bCs/>
          <w:rtl/>
          <w:lang w:eastAsia="de-DE"/>
        </w:rPr>
        <w:t>בְּ</w:t>
      </w:r>
      <w:r w:rsidRPr="00A330A9">
        <w:rPr>
          <w:rFonts w:eastAsia="Times New Roman"/>
          <w:rtl/>
          <w:lang w:eastAsia="de-DE"/>
        </w:rPr>
        <w:t xml:space="preserve"> </w:t>
      </w:r>
      <w:r w:rsidRPr="00A330A9">
        <w:rPr>
          <w:rFonts w:eastAsia="Times New Roman"/>
          <w:lang w:eastAsia="de-DE"/>
        </w:rPr>
        <w:t xml:space="preserve">„für" mit </w:t>
      </w:r>
      <w:r w:rsidRPr="00A330A9">
        <w:rPr>
          <w:rFonts w:eastAsia="Times New Roman"/>
          <w:b/>
          <w:bCs/>
          <w:rtl/>
          <w:lang w:eastAsia="de-DE"/>
        </w:rPr>
        <w:t>כֶּסֶף</w:t>
      </w:r>
      <w:r w:rsidRPr="00A330A9">
        <w:rPr>
          <w:rFonts w:eastAsia="Times New Roman"/>
          <w:lang w:eastAsia="de-DE"/>
        </w:rPr>
        <w:t xml:space="preserve">), </w:t>
      </w:r>
      <w:r w:rsidRPr="00A330A9">
        <w:rPr>
          <w:rFonts w:eastAsia="Times New Roman"/>
          <w:b/>
          <w:bCs/>
          <w:rtl/>
          <w:lang w:eastAsia="de-DE"/>
        </w:rPr>
        <w:t>תַּשְׁבִּרֵנִי</w:t>
      </w:r>
      <w:r w:rsidRPr="00A330A9">
        <w:rPr>
          <w:rFonts w:eastAsia="Times New Roman"/>
          <w:rtl/>
          <w:lang w:eastAsia="de-DE"/>
        </w:rPr>
        <w:t xml:space="preserve"> </w:t>
      </w:r>
      <w:r w:rsidRPr="00A330A9">
        <w:rPr>
          <w:rFonts w:eastAsia="Times New Roman"/>
          <w:lang w:eastAsia="de-DE"/>
        </w:rPr>
        <w:t xml:space="preserve">(Qal Imperfekt, 2. Person maskulin Singular von </w:t>
      </w:r>
      <w:r w:rsidRPr="00A330A9">
        <w:rPr>
          <w:rFonts w:eastAsia="Times New Roman"/>
          <w:rtl/>
          <w:lang w:eastAsia="de-DE"/>
        </w:rPr>
        <w:t>שׁבר</w:t>
      </w:r>
      <w:r w:rsidRPr="00A330A9">
        <w:rPr>
          <w:rFonts w:eastAsia="Times New Roman"/>
          <w:lang w:eastAsia="de-DE"/>
        </w:rPr>
        <w:t xml:space="preserve"> „verkaufen" mit Objektsuffix 1. Person Singular </w:t>
      </w:r>
      <w:r w:rsidRPr="00A330A9">
        <w:rPr>
          <w:rFonts w:eastAsia="Times New Roman"/>
          <w:b/>
          <w:bCs/>
          <w:rtl/>
          <w:lang w:eastAsia="de-DE"/>
        </w:rPr>
        <w:t>נִי</w:t>
      </w:r>
      <w:r w:rsidRPr="00A330A9">
        <w:rPr>
          <w:rFonts w:eastAsia="Times New Roman"/>
          <w:rtl/>
          <w:lang w:eastAsia="de-DE"/>
        </w:rPr>
        <w:t xml:space="preserve"> </w:t>
      </w:r>
      <w:r w:rsidRPr="00A330A9">
        <w:rPr>
          <w:rFonts w:eastAsia="Times New Roman"/>
          <w:lang w:eastAsia="de-DE"/>
        </w:rPr>
        <w:t xml:space="preserve">„mich/mir"), </w:t>
      </w:r>
      <w:r w:rsidRPr="00A330A9">
        <w:rPr>
          <w:rFonts w:eastAsia="Times New Roman"/>
          <w:b/>
          <w:bCs/>
          <w:rtl/>
          <w:lang w:eastAsia="de-DE"/>
        </w:rPr>
        <w:t>וְאָכַלְתִּי</w:t>
      </w:r>
      <w:r w:rsidRPr="00A330A9">
        <w:rPr>
          <w:rFonts w:eastAsia="Times New Roman"/>
          <w:rtl/>
          <w:lang w:eastAsia="de-DE"/>
        </w:rPr>
        <w:t xml:space="preserve"> </w:t>
      </w:r>
      <w:r w:rsidRPr="00A330A9">
        <w:rPr>
          <w:rFonts w:eastAsia="Times New Roman"/>
          <w:lang w:eastAsia="de-DE"/>
        </w:rPr>
        <w:t xml:space="preserve">(Qal Perfekt, 1. Person Singular von </w:t>
      </w:r>
      <w:r w:rsidRPr="00A330A9">
        <w:rPr>
          <w:rFonts w:eastAsia="Times New Roman"/>
          <w:rtl/>
          <w:lang w:eastAsia="de-DE"/>
        </w:rPr>
        <w:t>אכל</w:t>
      </w:r>
      <w:r w:rsidRPr="00A330A9">
        <w:rPr>
          <w:rFonts w:eastAsia="Times New Roman"/>
          <w:lang w:eastAsia="de-DE"/>
        </w:rPr>
        <w:t xml:space="preserve"> mit Waw consecutivum „dass ich esse").</w:t>
      </w:r>
    </w:p>
    <w:p w14:paraId="3FFC0CBA"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rtl/>
          <w:lang w:eastAsia="de-DE"/>
        </w:rPr>
        <w:t>וּמַיִם בַּכֶּסֶף תִּתֶּן־לִי וְשָׁתִיתִי</w:t>
      </w:r>
      <w:r w:rsidRPr="00A330A9">
        <w:rPr>
          <w:rFonts w:eastAsia="Times New Roman"/>
          <w:rtl/>
          <w:lang w:eastAsia="de-DE"/>
        </w:rPr>
        <w:t xml:space="preserve"> </w:t>
      </w:r>
      <w:r w:rsidRPr="00A330A9">
        <w:rPr>
          <w:rFonts w:eastAsia="Times New Roman"/>
          <w:lang w:eastAsia="de-DE"/>
        </w:rPr>
        <w:t xml:space="preserve">ist parallel strukturiert: </w:t>
      </w:r>
      <w:r w:rsidRPr="00A330A9">
        <w:rPr>
          <w:rFonts w:eastAsia="Times New Roman"/>
          <w:b/>
          <w:bCs/>
          <w:rtl/>
          <w:lang w:eastAsia="de-DE"/>
        </w:rPr>
        <w:t>וּמַיִם</w:t>
      </w:r>
      <w:r w:rsidRPr="00A330A9">
        <w:rPr>
          <w:rFonts w:eastAsia="Times New Roman"/>
          <w:rtl/>
          <w:lang w:eastAsia="de-DE"/>
        </w:rPr>
        <w:t xml:space="preserve"> </w:t>
      </w:r>
      <w:r w:rsidRPr="00A330A9">
        <w:rPr>
          <w:rFonts w:eastAsia="Times New Roman"/>
          <w:lang w:eastAsia="de-DE"/>
        </w:rPr>
        <w:t xml:space="preserve">als Objekt, </w:t>
      </w:r>
      <w:r w:rsidRPr="00A330A9">
        <w:rPr>
          <w:rFonts w:eastAsia="Times New Roman"/>
          <w:b/>
          <w:bCs/>
          <w:rtl/>
          <w:lang w:eastAsia="de-DE"/>
        </w:rPr>
        <w:t>בַּכֶּסֶף</w:t>
      </w:r>
      <w:r w:rsidRPr="00A330A9">
        <w:rPr>
          <w:rFonts w:eastAsia="Times New Roman"/>
          <w:lang w:eastAsia="de-DE"/>
        </w:rPr>
        <w:t xml:space="preserve">, </w:t>
      </w:r>
      <w:r w:rsidRPr="00A330A9">
        <w:rPr>
          <w:rFonts w:eastAsia="Times New Roman"/>
          <w:b/>
          <w:bCs/>
          <w:rtl/>
          <w:lang w:eastAsia="de-DE"/>
        </w:rPr>
        <w:t>תִּתֶּן־לִי</w:t>
      </w:r>
      <w:r w:rsidRPr="00A330A9">
        <w:rPr>
          <w:rFonts w:eastAsia="Times New Roman"/>
          <w:rtl/>
          <w:lang w:eastAsia="de-DE"/>
        </w:rPr>
        <w:t xml:space="preserve"> </w:t>
      </w:r>
      <w:r w:rsidRPr="00A330A9">
        <w:rPr>
          <w:rFonts w:eastAsia="Times New Roman"/>
          <w:lang w:eastAsia="de-DE"/>
        </w:rPr>
        <w:t xml:space="preserve">(Qal Imperfekt, 2. Person maskulin Singular von </w:t>
      </w:r>
      <w:r w:rsidRPr="00A330A9">
        <w:rPr>
          <w:rFonts w:eastAsia="Times New Roman"/>
          <w:rtl/>
          <w:lang w:eastAsia="de-DE"/>
        </w:rPr>
        <w:t>נתן</w:t>
      </w:r>
      <w:r w:rsidRPr="00A330A9">
        <w:rPr>
          <w:rFonts w:eastAsia="Times New Roman"/>
          <w:lang w:eastAsia="de-DE"/>
        </w:rPr>
        <w:t xml:space="preserve"> mit </w:t>
      </w:r>
      <w:r w:rsidRPr="00A330A9">
        <w:rPr>
          <w:rFonts w:eastAsia="Times New Roman"/>
          <w:b/>
          <w:bCs/>
          <w:rtl/>
          <w:lang w:eastAsia="de-DE"/>
        </w:rPr>
        <w:t>לִי</w:t>
      </w:r>
      <w:r w:rsidRPr="00A330A9">
        <w:rPr>
          <w:rFonts w:eastAsia="Times New Roman"/>
          <w:rtl/>
          <w:lang w:eastAsia="de-DE"/>
        </w:rPr>
        <w:t xml:space="preserve"> </w:t>
      </w:r>
      <w:r w:rsidRPr="00A330A9">
        <w:rPr>
          <w:rFonts w:eastAsia="Times New Roman"/>
          <w:lang w:eastAsia="de-DE"/>
        </w:rPr>
        <w:t xml:space="preserve">„mir"), </w:t>
      </w:r>
      <w:r w:rsidRPr="00A330A9">
        <w:rPr>
          <w:rFonts w:eastAsia="Times New Roman"/>
          <w:b/>
          <w:bCs/>
          <w:rtl/>
          <w:lang w:eastAsia="de-DE"/>
        </w:rPr>
        <w:t>וְשָׁתִיתִי</w:t>
      </w:r>
      <w:r w:rsidRPr="00A330A9">
        <w:rPr>
          <w:rFonts w:eastAsia="Times New Roman"/>
          <w:rtl/>
          <w:lang w:eastAsia="de-DE"/>
        </w:rPr>
        <w:t xml:space="preserve"> </w:t>
      </w:r>
      <w:r w:rsidRPr="00A330A9">
        <w:rPr>
          <w:rFonts w:eastAsia="Times New Roman"/>
          <w:lang w:eastAsia="de-DE"/>
        </w:rPr>
        <w:t xml:space="preserve">(Qal Perfekt, 1. Person Singular von </w:t>
      </w:r>
      <w:r w:rsidRPr="00A330A9">
        <w:rPr>
          <w:rFonts w:eastAsia="Times New Roman"/>
          <w:rtl/>
          <w:lang w:eastAsia="de-DE"/>
        </w:rPr>
        <w:t>שׁתה</w:t>
      </w:r>
      <w:r w:rsidRPr="00A330A9">
        <w:rPr>
          <w:rFonts w:eastAsia="Times New Roman"/>
          <w:lang w:eastAsia="de-DE"/>
        </w:rPr>
        <w:t xml:space="preserve"> mit Waw consecutivum).</w:t>
      </w:r>
    </w:p>
    <w:p w14:paraId="43810CA5"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rtl/>
          <w:lang w:eastAsia="de-DE"/>
        </w:rPr>
        <w:t>רַק אֶעְבְּרָה בְרַגְלָי</w:t>
      </w:r>
      <w:r w:rsidRPr="00A330A9">
        <w:rPr>
          <w:rFonts w:eastAsia="Times New Roman"/>
          <w:rtl/>
          <w:lang w:eastAsia="de-DE"/>
        </w:rPr>
        <w:t xml:space="preserve"> </w:t>
      </w:r>
      <w:r w:rsidRPr="00A330A9">
        <w:rPr>
          <w:rFonts w:eastAsia="Times New Roman"/>
          <w:lang w:eastAsia="de-DE"/>
        </w:rPr>
        <w:t xml:space="preserve">ist </w:t>
      </w:r>
      <w:r w:rsidRPr="00A330A9">
        <w:rPr>
          <w:rFonts w:eastAsia="Times New Roman"/>
          <w:b/>
          <w:bCs/>
          <w:rtl/>
          <w:lang w:eastAsia="de-DE"/>
        </w:rPr>
        <w:t>רַק</w:t>
      </w:r>
      <w:r w:rsidRPr="00A330A9">
        <w:rPr>
          <w:rFonts w:eastAsia="Times New Roman"/>
          <w:rtl/>
          <w:lang w:eastAsia="de-DE"/>
        </w:rPr>
        <w:t xml:space="preserve"> </w:t>
      </w:r>
      <w:r w:rsidRPr="00A330A9">
        <w:rPr>
          <w:rFonts w:eastAsia="Times New Roman"/>
          <w:lang w:eastAsia="de-DE"/>
        </w:rPr>
        <w:t xml:space="preserve">(„nur, lediglich") als einschränkende Partikel, </w:t>
      </w:r>
      <w:r w:rsidRPr="00A330A9">
        <w:rPr>
          <w:rFonts w:eastAsia="Times New Roman"/>
          <w:b/>
          <w:bCs/>
          <w:rtl/>
          <w:lang w:eastAsia="de-DE"/>
        </w:rPr>
        <w:t>אֶעְבְּרָה</w:t>
      </w:r>
      <w:r w:rsidRPr="00A330A9">
        <w:rPr>
          <w:rFonts w:eastAsia="Times New Roman"/>
          <w:rtl/>
          <w:lang w:eastAsia="de-DE"/>
        </w:rPr>
        <w:t xml:space="preserve"> </w:t>
      </w:r>
      <w:r w:rsidRPr="00A330A9">
        <w:rPr>
          <w:rFonts w:eastAsia="Times New Roman"/>
          <w:lang w:eastAsia="de-DE"/>
        </w:rPr>
        <w:t xml:space="preserve">(Qal Imperfekt Kohortativ, 1. Person Singular von </w:t>
      </w:r>
      <w:r w:rsidRPr="00A330A9">
        <w:rPr>
          <w:rFonts w:eastAsia="Times New Roman"/>
          <w:rtl/>
          <w:lang w:eastAsia="de-DE"/>
        </w:rPr>
        <w:t>עבר</w:t>
      </w:r>
      <w:r w:rsidRPr="00A330A9">
        <w:rPr>
          <w:rFonts w:eastAsia="Times New Roman"/>
          <w:lang w:eastAsia="de-DE"/>
        </w:rPr>
        <w:t xml:space="preserve">), </w:t>
      </w:r>
      <w:r w:rsidRPr="00A330A9">
        <w:rPr>
          <w:rFonts w:eastAsia="Times New Roman"/>
          <w:b/>
          <w:bCs/>
          <w:rtl/>
          <w:lang w:eastAsia="de-DE"/>
        </w:rPr>
        <w:t>בְרַגְלָי</w:t>
      </w:r>
      <w:r w:rsidRPr="00A330A9">
        <w:rPr>
          <w:rFonts w:eastAsia="Times New Roman"/>
          <w:rtl/>
          <w:lang w:eastAsia="de-DE"/>
        </w:rPr>
        <w:t xml:space="preserve"> </w:t>
      </w:r>
      <w:r w:rsidRPr="00A330A9">
        <w:rPr>
          <w:rFonts w:eastAsia="Times New Roman"/>
          <w:lang w:eastAsia="de-DE"/>
        </w:rPr>
        <w:t>(</w:t>
      </w:r>
      <w:r w:rsidRPr="00A330A9">
        <w:rPr>
          <w:rFonts w:eastAsia="Times New Roman"/>
          <w:b/>
          <w:bCs/>
          <w:rtl/>
          <w:lang w:eastAsia="de-DE"/>
        </w:rPr>
        <w:t>בְּ</w:t>
      </w:r>
      <w:r w:rsidRPr="00A330A9">
        <w:rPr>
          <w:rFonts w:eastAsia="Times New Roman"/>
          <w:rtl/>
          <w:lang w:eastAsia="de-DE"/>
        </w:rPr>
        <w:t xml:space="preserve"> </w:t>
      </w:r>
      <w:r w:rsidRPr="00A330A9">
        <w:rPr>
          <w:rFonts w:eastAsia="Times New Roman"/>
          <w:lang w:eastAsia="de-DE"/>
        </w:rPr>
        <w:t xml:space="preserve">„mit, durch" mit </w:t>
      </w:r>
      <w:r w:rsidRPr="00A330A9">
        <w:rPr>
          <w:rFonts w:eastAsia="Times New Roman"/>
          <w:b/>
          <w:bCs/>
          <w:rtl/>
          <w:lang w:eastAsia="de-DE"/>
        </w:rPr>
        <w:t>רֶגֶל</w:t>
      </w:r>
      <w:r w:rsidRPr="00A330A9">
        <w:rPr>
          <w:rFonts w:eastAsia="Times New Roman"/>
          <w:rtl/>
          <w:lang w:eastAsia="de-DE"/>
        </w:rPr>
        <w:t xml:space="preserve"> </w:t>
      </w:r>
      <w:r w:rsidRPr="00A330A9">
        <w:rPr>
          <w:rFonts w:eastAsia="Times New Roman"/>
          <w:lang w:eastAsia="de-DE"/>
        </w:rPr>
        <w:t xml:space="preserve">„Fuß" im Dual oder Plural und Suffix 1. Person Singular „mit meinen Füßen"). Die Phrase </w:t>
      </w:r>
      <w:r w:rsidRPr="00A330A9">
        <w:rPr>
          <w:rFonts w:eastAsia="Times New Roman"/>
          <w:b/>
          <w:bCs/>
          <w:rtl/>
          <w:lang w:eastAsia="de-DE"/>
        </w:rPr>
        <w:t>בְרַגְלָי</w:t>
      </w:r>
      <w:r w:rsidRPr="00A330A9">
        <w:rPr>
          <w:rFonts w:eastAsia="Times New Roman"/>
          <w:rtl/>
          <w:lang w:eastAsia="de-DE"/>
        </w:rPr>
        <w:t xml:space="preserve"> </w:t>
      </w:r>
      <w:r w:rsidRPr="00A330A9">
        <w:rPr>
          <w:rFonts w:eastAsia="Times New Roman"/>
          <w:lang w:eastAsia="de-DE"/>
        </w:rPr>
        <w:t>bedeutet „zu Fuß, ohne Umwege", d.h. direkt durchziehend.</w:t>
      </w:r>
    </w:p>
    <w:p w14:paraId="48CEDDF3"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Die LXX</w:t>
      </w:r>
      <w:r w:rsidRPr="00A330A9">
        <w:rPr>
          <w:rFonts w:eastAsia="Times New Roman"/>
          <w:lang w:eastAsia="de-DE"/>
        </w:rPr>
        <w:t xml:space="preserve"> übersetzt „β</w:t>
      </w:r>
      <w:proofErr w:type="spellStart"/>
      <w:r w:rsidRPr="00A330A9">
        <w:rPr>
          <w:rFonts w:eastAsia="Times New Roman"/>
          <w:lang w:eastAsia="de-DE"/>
        </w:rPr>
        <w:t>ρώμ</w:t>
      </w:r>
      <w:proofErr w:type="spellEnd"/>
      <w:r w:rsidRPr="00A330A9">
        <w:rPr>
          <w:rFonts w:eastAsia="Times New Roman"/>
          <w:lang w:eastAsia="de-DE"/>
        </w:rPr>
        <w:t xml:space="preserve">ατα </w:t>
      </w:r>
      <w:proofErr w:type="spellStart"/>
      <w:r w:rsidRPr="00A330A9">
        <w:rPr>
          <w:rFonts w:eastAsia="Times New Roman"/>
          <w:lang w:eastAsia="de-DE"/>
        </w:rPr>
        <w:t>ἀργυρίου</w:t>
      </w:r>
      <w:proofErr w:type="spellEnd"/>
      <w:r w:rsidRPr="00A330A9">
        <w:rPr>
          <w:rFonts w:eastAsia="Times New Roman"/>
          <w:lang w:eastAsia="de-DE"/>
        </w:rPr>
        <w:t xml:space="preserve"> </w:t>
      </w:r>
      <w:proofErr w:type="spellStart"/>
      <w:r w:rsidRPr="00A330A9">
        <w:rPr>
          <w:rFonts w:eastAsia="Times New Roman"/>
          <w:lang w:eastAsia="de-DE"/>
        </w:rPr>
        <w:t>δός</w:t>
      </w:r>
      <w:proofErr w:type="spellEnd"/>
      <w:r w:rsidRPr="00A330A9">
        <w:rPr>
          <w:rFonts w:eastAsia="Times New Roman"/>
          <w:lang w:eastAsia="de-DE"/>
        </w:rPr>
        <w:t xml:space="preserve"> </w:t>
      </w:r>
      <w:proofErr w:type="spellStart"/>
      <w:r w:rsidRPr="00A330A9">
        <w:rPr>
          <w:rFonts w:eastAsia="Times New Roman"/>
          <w:lang w:eastAsia="de-DE"/>
        </w:rPr>
        <w:t>μοι</w:t>
      </w:r>
      <w:proofErr w:type="spellEnd"/>
      <w:r w:rsidRPr="00A330A9">
        <w:rPr>
          <w:rFonts w:eastAsia="Times New Roman"/>
          <w:lang w:eastAsia="de-DE"/>
        </w:rPr>
        <w:t xml:space="preserve"> καὶ </w:t>
      </w:r>
      <w:proofErr w:type="spellStart"/>
      <w:r w:rsidRPr="00A330A9">
        <w:rPr>
          <w:rFonts w:eastAsia="Times New Roman"/>
          <w:lang w:eastAsia="de-DE"/>
        </w:rPr>
        <w:t>φάγομ</w:t>
      </w:r>
      <w:proofErr w:type="spellEnd"/>
      <w:r w:rsidRPr="00A330A9">
        <w:rPr>
          <w:rFonts w:eastAsia="Times New Roman"/>
          <w:lang w:eastAsia="de-DE"/>
        </w:rPr>
        <w:t xml:space="preserve">αι, καὶ </w:t>
      </w:r>
      <w:proofErr w:type="spellStart"/>
      <w:r w:rsidRPr="00A330A9">
        <w:rPr>
          <w:rFonts w:eastAsia="Times New Roman"/>
          <w:lang w:eastAsia="de-DE"/>
        </w:rPr>
        <w:t>ὕδωρ</w:t>
      </w:r>
      <w:proofErr w:type="spellEnd"/>
      <w:r w:rsidRPr="00A330A9">
        <w:rPr>
          <w:rFonts w:eastAsia="Times New Roman"/>
          <w:lang w:eastAsia="de-DE"/>
        </w:rPr>
        <w:t xml:space="preserve"> </w:t>
      </w:r>
      <w:proofErr w:type="spellStart"/>
      <w:r w:rsidRPr="00A330A9">
        <w:rPr>
          <w:rFonts w:eastAsia="Times New Roman"/>
          <w:lang w:eastAsia="de-DE"/>
        </w:rPr>
        <w:t>ἀργυρίου</w:t>
      </w:r>
      <w:proofErr w:type="spellEnd"/>
      <w:r w:rsidRPr="00A330A9">
        <w:rPr>
          <w:rFonts w:eastAsia="Times New Roman"/>
          <w:lang w:eastAsia="de-DE"/>
        </w:rPr>
        <w:t xml:space="preserve"> </w:t>
      </w:r>
      <w:proofErr w:type="spellStart"/>
      <w:r w:rsidRPr="00A330A9">
        <w:rPr>
          <w:rFonts w:eastAsia="Times New Roman"/>
          <w:lang w:eastAsia="de-DE"/>
        </w:rPr>
        <w:t>δός</w:t>
      </w:r>
      <w:proofErr w:type="spellEnd"/>
      <w:r w:rsidRPr="00A330A9">
        <w:rPr>
          <w:rFonts w:eastAsia="Times New Roman"/>
          <w:lang w:eastAsia="de-DE"/>
        </w:rPr>
        <w:t xml:space="preserve"> </w:t>
      </w:r>
      <w:proofErr w:type="spellStart"/>
      <w:r w:rsidRPr="00A330A9">
        <w:rPr>
          <w:rFonts w:eastAsia="Times New Roman"/>
          <w:lang w:eastAsia="de-DE"/>
        </w:rPr>
        <w:t>μοι</w:t>
      </w:r>
      <w:proofErr w:type="spellEnd"/>
      <w:r w:rsidRPr="00A330A9">
        <w:rPr>
          <w:rFonts w:eastAsia="Times New Roman"/>
          <w:lang w:eastAsia="de-DE"/>
        </w:rPr>
        <w:t xml:space="preserve"> καὶ π</w:t>
      </w:r>
      <w:proofErr w:type="spellStart"/>
      <w:r w:rsidRPr="00A330A9">
        <w:rPr>
          <w:rFonts w:eastAsia="Times New Roman"/>
          <w:lang w:eastAsia="de-DE"/>
        </w:rPr>
        <w:t>ίομ</w:t>
      </w:r>
      <w:proofErr w:type="spellEnd"/>
      <w:r w:rsidRPr="00A330A9">
        <w:rPr>
          <w:rFonts w:eastAsia="Times New Roman"/>
          <w:lang w:eastAsia="de-DE"/>
        </w:rPr>
        <w:t>αι· π</w:t>
      </w:r>
      <w:proofErr w:type="spellStart"/>
      <w:r w:rsidRPr="00A330A9">
        <w:rPr>
          <w:rFonts w:eastAsia="Times New Roman"/>
          <w:lang w:eastAsia="de-DE"/>
        </w:rPr>
        <w:t>λὴν</w:t>
      </w:r>
      <w:proofErr w:type="spellEnd"/>
      <w:r w:rsidRPr="00A330A9">
        <w:rPr>
          <w:rFonts w:eastAsia="Times New Roman"/>
          <w:lang w:eastAsia="de-DE"/>
        </w:rPr>
        <w:t xml:space="preserve"> </w:t>
      </w:r>
      <w:proofErr w:type="spellStart"/>
      <w:r w:rsidRPr="00A330A9">
        <w:rPr>
          <w:rFonts w:eastAsia="Times New Roman"/>
          <w:lang w:eastAsia="de-DE"/>
        </w:rPr>
        <w:t>ὅτι</w:t>
      </w:r>
      <w:proofErr w:type="spellEnd"/>
      <w:r w:rsidRPr="00A330A9">
        <w:rPr>
          <w:rFonts w:eastAsia="Times New Roman"/>
          <w:lang w:eastAsia="de-DE"/>
        </w:rPr>
        <w:t xml:space="preserve"> πα</w:t>
      </w:r>
      <w:proofErr w:type="spellStart"/>
      <w:r w:rsidRPr="00A330A9">
        <w:rPr>
          <w:rFonts w:eastAsia="Times New Roman"/>
          <w:lang w:eastAsia="de-DE"/>
        </w:rPr>
        <w:t>ρελεύσομ</w:t>
      </w:r>
      <w:proofErr w:type="spellEnd"/>
      <w:r w:rsidRPr="00A330A9">
        <w:rPr>
          <w:rFonts w:eastAsia="Times New Roman"/>
          <w:lang w:eastAsia="de-DE"/>
        </w:rPr>
        <w:t xml:space="preserve">αι </w:t>
      </w:r>
      <w:proofErr w:type="spellStart"/>
      <w:r w:rsidRPr="00A330A9">
        <w:rPr>
          <w:rFonts w:eastAsia="Times New Roman"/>
          <w:lang w:eastAsia="de-DE"/>
        </w:rPr>
        <w:t>τοῖς</w:t>
      </w:r>
      <w:proofErr w:type="spellEnd"/>
      <w:r w:rsidRPr="00A330A9">
        <w:rPr>
          <w:rFonts w:eastAsia="Times New Roman"/>
          <w:lang w:eastAsia="de-DE"/>
        </w:rPr>
        <w:t xml:space="preserve"> π</w:t>
      </w:r>
      <w:proofErr w:type="spellStart"/>
      <w:r w:rsidRPr="00A330A9">
        <w:rPr>
          <w:rFonts w:eastAsia="Times New Roman"/>
          <w:lang w:eastAsia="de-DE"/>
        </w:rPr>
        <w:t>οσίν</w:t>
      </w:r>
      <w:proofErr w:type="spellEnd"/>
      <w:r w:rsidRPr="00A330A9">
        <w:rPr>
          <w:rFonts w:eastAsia="Times New Roman"/>
          <w:lang w:eastAsia="de-DE"/>
        </w:rPr>
        <w:t>" („Nahrung für Geld gib mir und ich werde essen, und Wasser für Geld gib mir und ich werde trinken; außer dass ich vorbeigehen werde mit den Füßen").</w:t>
      </w:r>
    </w:p>
    <w:p w14:paraId="43257C1C"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lang w:eastAsia="de-DE"/>
        </w:rPr>
        <w:t xml:space="preserve">Die Satzstruktur besteht aus zwei parallelen Satzpaaren für Nahrung und Wasser, gefolgt von einer einschränkenden Aussage mit </w:t>
      </w:r>
      <w:r w:rsidRPr="00A330A9">
        <w:rPr>
          <w:rFonts w:eastAsia="Times New Roman"/>
          <w:b/>
          <w:bCs/>
          <w:rtl/>
          <w:lang w:eastAsia="de-DE"/>
        </w:rPr>
        <w:t>רַק</w:t>
      </w:r>
      <w:r w:rsidRPr="00A330A9">
        <w:rPr>
          <w:rFonts w:eastAsia="Times New Roman"/>
          <w:lang w:eastAsia="de-DE"/>
        </w:rPr>
        <w:t>.</w:t>
      </w:r>
    </w:p>
    <w:p w14:paraId="101706EE"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lang w:eastAsia="de-DE"/>
        </w:rPr>
        <w:t>Der Vers konkretisiert die Bitte: Israel ist bereit zu zahlen für Nahrung und Wasser und will nur schnell durchziehen, ohne Aufenthalt oder Abweichung. Dies zeigt maximalen Respekt für Sihons Souveränität und minimale Anforderungen – eine sehr gemäßigte Bitte.</w:t>
      </w:r>
    </w:p>
    <w:p w14:paraId="5E719A3F" w14:textId="77777777" w:rsidR="00A330A9" w:rsidRPr="00A330A9" w:rsidRDefault="00A330A9" w:rsidP="00A330A9">
      <w:pPr>
        <w:spacing w:before="100" w:beforeAutospacing="1" w:after="100" w:afterAutospacing="1" w:line="240" w:lineRule="auto"/>
        <w:outlineLvl w:val="1"/>
        <w:rPr>
          <w:rFonts w:eastAsia="Times New Roman"/>
          <w:b/>
          <w:bCs/>
          <w:sz w:val="36"/>
          <w:szCs w:val="36"/>
          <w:lang w:eastAsia="de-DE"/>
        </w:rPr>
      </w:pPr>
      <w:r w:rsidRPr="00A330A9">
        <w:rPr>
          <w:rFonts w:eastAsia="Times New Roman"/>
          <w:b/>
          <w:bCs/>
          <w:sz w:val="36"/>
          <w:szCs w:val="36"/>
          <w:lang w:eastAsia="de-DE"/>
        </w:rPr>
        <w:t>Deuteronomium 2,29</w:t>
      </w:r>
    </w:p>
    <w:p w14:paraId="47374F28"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lastRenderedPageBreak/>
        <w:t>Hebräisch:</w:t>
      </w:r>
      <w:r w:rsidRPr="00A330A9">
        <w:rPr>
          <w:rFonts w:eastAsia="Times New Roman"/>
          <w:lang w:eastAsia="de-DE"/>
        </w:rPr>
        <w:t xml:space="preserve"> </w:t>
      </w:r>
      <w:r w:rsidRPr="00A330A9">
        <w:rPr>
          <w:rFonts w:eastAsia="Times New Roman"/>
          <w:rtl/>
          <w:lang w:eastAsia="de-DE"/>
        </w:rPr>
        <w:t>כַּאֲשֶׁ֨ר עָֽשׂוּ־לִ֜י בְּנֵ֣י עֵשָׂ֗ו הַיֹּֽשְׁבִים֙ בְּשֵׂעִ֔יר וְהַמֹּ֣ואָבִ֔ים הַיֹּשְׁבִ֖ים בְּעָ֑ר עַ֤ד אֲשֶֽׁר־אֶֽעֱבֹר֙ אֶת־הַיַּרְדֵּ֔ן אֶל־הָאָ֕רֶץ אֲשֶׁר־יְהוָ֥ה אֱלֹהֵ֖ינוּ נֹתֵ֥ן לָֽנוּ׃</w:t>
      </w:r>
    </w:p>
    <w:p w14:paraId="2FE49D6E"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Deutsch:</w:t>
      </w:r>
      <w:r w:rsidRPr="00A330A9">
        <w:rPr>
          <w:rFonts w:eastAsia="Times New Roman"/>
          <w:lang w:eastAsia="de-DE"/>
        </w:rPr>
        <w:t xml:space="preserve"> Wie mir die Söhne 'Esav getan haben, die in Se'ir wohnen, und die Mo'avim, die in Ar wohnen – bis ich über den Jarden in das Land komme, das der Ewige, unser Gott, uns gibt.</w:t>
      </w:r>
    </w:p>
    <w:p w14:paraId="70784E03" w14:textId="77777777" w:rsidR="00A330A9" w:rsidRPr="00A330A9" w:rsidRDefault="004F5CEB" w:rsidP="00A330A9">
      <w:pPr>
        <w:spacing w:after="0" w:line="240" w:lineRule="auto"/>
        <w:rPr>
          <w:rFonts w:eastAsia="Times New Roman"/>
          <w:lang w:eastAsia="de-DE"/>
        </w:rPr>
      </w:pPr>
      <w:r>
        <w:rPr>
          <w:rFonts w:eastAsia="Times New Roman"/>
          <w:noProof/>
          <w:lang w:eastAsia="de-DE"/>
        </w:rPr>
        <w:pict w14:anchorId="6990E605">
          <v:rect id="_x0000_i1099" style="width:0;height:1.5pt" o:hralign="center" o:hrstd="t" o:hr="t" fillcolor="#a0a0a0" stroked="f"/>
        </w:pict>
      </w:r>
    </w:p>
    <w:p w14:paraId="5255CD1D" w14:textId="095F5F76"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Kommentar:</w:t>
      </w:r>
      <w:r w:rsidRPr="00A330A9">
        <w:rPr>
          <w:rFonts w:eastAsia="Times New Roman"/>
          <w:lang w:eastAsia="de-DE"/>
        </w:rPr>
        <w:t xml:space="preserve"> </w:t>
      </w:r>
      <w:r w:rsidRPr="00A330A9">
        <w:rPr>
          <w:rFonts w:eastAsia="Times New Roman"/>
          <w:b/>
          <w:bCs/>
          <w:rtl/>
          <w:lang w:eastAsia="de-DE"/>
        </w:rPr>
        <w:t>כַּאֲשֶׁר עָשׂוּ־לִי בְּנֵי עֵשָׂו הַיֹּשְׁבִים בְּשֵׂעִיר</w:t>
      </w:r>
      <w:r w:rsidRPr="00A330A9">
        <w:rPr>
          <w:rFonts w:eastAsia="Times New Roman"/>
          <w:rtl/>
          <w:lang w:eastAsia="de-DE"/>
        </w:rPr>
        <w:t xml:space="preserve"> </w:t>
      </w:r>
      <w:r w:rsidRPr="00A330A9">
        <w:rPr>
          <w:rFonts w:eastAsia="Times New Roman"/>
          <w:lang w:eastAsia="de-DE"/>
        </w:rPr>
        <w:t xml:space="preserve">ist ein Vergleichssatz: </w:t>
      </w:r>
      <w:r w:rsidRPr="00A330A9">
        <w:rPr>
          <w:rFonts w:eastAsia="Times New Roman"/>
          <w:b/>
          <w:bCs/>
          <w:rtl/>
          <w:lang w:eastAsia="de-DE"/>
        </w:rPr>
        <w:t>כַּאֲשֶׁר</w:t>
      </w:r>
      <w:r w:rsidRPr="00A330A9">
        <w:rPr>
          <w:rFonts w:eastAsia="Times New Roman"/>
          <w:rtl/>
          <w:lang w:eastAsia="de-DE"/>
        </w:rPr>
        <w:t xml:space="preserve"> </w:t>
      </w:r>
      <w:r w:rsidR="00D84597">
        <w:rPr>
          <w:rFonts w:eastAsia="Times New Roman"/>
          <w:lang w:eastAsia="de-DE"/>
        </w:rPr>
        <w:t>(„wie, sowie“)</w:t>
      </w:r>
      <w:r w:rsidRPr="00A330A9">
        <w:rPr>
          <w:rFonts w:eastAsia="Times New Roman"/>
          <w:lang w:eastAsia="de-DE"/>
        </w:rPr>
        <w:t xml:space="preserve">, </w:t>
      </w:r>
      <w:r w:rsidRPr="00A330A9">
        <w:rPr>
          <w:rFonts w:eastAsia="Times New Roman"/>
          <w:b/>
          <w:bCs/>
          <w:rtl/>
          <w:lang w:eastAsia="de-DE"/>
        </w:rPr>
        <w:t>עָשׂוּ</w:t>
      </w:r>
      <w:r w:rsidRPr="00A330A9">
        <w:rPr>
          <w:rFonts w:eastAsia="Times New Roman"/>
          <w:rtl/>
          <w:lang w:eastAsia="de-DE"/>
        </w:rPr>
        <w:t xml:space="preserve"> </w:t>
      </w:r>
      <w:r w:rsidRPr="00A330A9">
        <w:rPr>
          <w:rFonts w:eastAsia="Times New Roman"/>
          <w:lang w:eastAsia="de-DE"/>
        </w:rPr>
        <w:t xml:space="preserve">(Qal Perfekt, 3. Person Plural von </w:t>
      </w:r>
      <w:r w:rsidRPr="00A330A9">
        <w:rPr>
          <w:rFonts w:eastAsia="Times New Roman"/>
          <w:rtl/>
          <w:lang w:eastAsia="de-DE"/>
        </w:rPr>
        <w:t>עשׂה</w:t>
      </w:r>
      <w:r w:rsidRPr="00A330A9">
        <w:rPr>
          <w:rFonts w:eastAsia="Times New Roman"/>
          <w:lang w:eastAsia="de-DE"/>
        </w:rPr>
        <w:t xml:space="preserve">), </w:t>
      </w:r>
      <w:r w:rsidRPr="00A330A9">
        <w:rPr>
          <w:rFonts w:eastAsia="Times New Roman"/>
          <w:b/>
          <w:bCs/>
          <w:rtl/>
          <w:lang w:eastAsia="de-DE"/>
        </w:rPr>
        <w:t>לִי</w:t>
      </w:r>
      <w:r w:rsidRPr="00A330A9">
        <w:rPr>
          <w:rFonts w:eastAsia="Times New Roman"/>
          <w:rtl/>
          <w:lang w:eastAsia="de-DE"/>
        </w:rPr>
        <w:t xml:space="preserve"> </w:t>
      </w:r>
      <w:r w:rsidRPr="00A330A9">
        <w:rPr>
          <w:rFonts w:eastAsia="Times New Roman"/>
          <w:lang w:eastAsia="de-DE"/>
        </w:rPr>
        <w:t>(</w:t>
      </w:r>
      <w:r w:rsidRPr="00A330A9">
        <w:rPr>
          <w:rFonts w:eastAsia="Times New Roman"/>
          <w:b/>
          <w:bCs/>
          <w:rtl/>
          <w:lang w:eastAsia="de-DE"/>
        </w:rPr>
        <w:t>לְ</w:t>
      </w:r>
      <w:r w:rsidRPr="00A330A9">
        <w:rPr>
          <w:rFonts w:eastAsia="Times New Roman"/>
          <w:rtl/>
          <w:lang w:eastAsia="de-DE"/>
        </w:rPr>
        <w:t xml:space="preserve"> </w:t>
      </w:r>
      <w:r w:rsidRPr="00A330A9">
        <w:rPr>
          <w:rFonts w:eastAsia="Times New Roman"/>
          <w:lang w:eastAsia="de-DE"/>
        </w:rPr>
        <w:t xml:space="preserve">mit Suffix 1. Person Singular „mir, für mich"), </w:t>
      </w:r>
      <w:r w:rsidRPr="00A330A9">
        <w:rPr>
          <w:rFonts w:eastAsia="Times New Roman"/>
          <w:b/>
          <w:bCs/>
          <w:rtl/>
          <w:lang w:eastAsia="de-DE"/>
        </w:rPr>
        <w:t>בְּנֵי עֵשָׂו</w:t>
      </w:r>
      <w:r w:rsidRPr="00A330A9">
        <w:rPr>
          <w:rFonts w:eastAsia="Times New Roman"/>
          <w:rtl/>
          <w:lang w:eastAsia="de-DE"/>
        </w:rPr>
        <w:t xml:space="preserve"> </w:t>
      </w:r>
      <w:r w:rsidRPr="00A330A9">
        <w:rPr>
          <w:rFonts w:eastAsia="Times New Roman"/>
          <w:lang w:eastAsia="de-DE"/>
        </w:rPr>
        <w:t xml:space="preserve">als Subjekt, </w:t>
      </w:r>
      <w:r w:rsidRPr="00A330A9">
        <w:rPr>
          <w:rFonts w:eastAsia="Times New Roman"/>
          <w:b/>
          <w:bCs/>
          <w:rtl/>
          <w:lang w:eastAsia="de-DE"/>
        </w:rPr>
        <w:t>הַיֹּשְׁבִים בְּשֵׂעִיר</w:t>
      </w:r>
      <w:r w:rsidRPr="00A330A9">
        <w:rPr>
          <w:rFonts w:eastAsia="Times New Roman"/>
          <w:rtl/>
          <w:lang w:eastAsia="de-DE"/>
        </w:rPr>
        <w:t xml:space="preserve"> </w:t>
      </w:r>
      <w:r w:rsidRPr="00A330A9">
        <w:rPr>
          <w:rFonts w:eastAsia="Times New Roman"/>
          <w:lang w:eastAsia="de-DE"/>
        </w:rPr>
        <w:t>als attributives Partizip.</w:t>
      </w:r>
    </w:p>
    <w:p w14:paraId="4A8592F9" w14:textId="1CAD0910" w:rsidR="007E7473" w:rsidRDefault="00A330A9" w:rsidP="007E7473">
      <w:pPr>
        <w:pStyle w:val="KeinLeerraum"/>
        <w:rPr>
          <w:lang w:eastAsia="de-DE"/>
        </w:rPr>
      </w:pPr>
      <w:r w:rsidRPr="00A330A9">
        <w:rPr>
          <w:b/>
          <w:bCs/>
          <w:rtl/>
          <w:lang w:eastAsia="de-DE"/>
        </w:rPr>
        <w:t>וְהַמֹּאָבִים הַיֹּשְׁבִים בְּעָר</w:t>
      </w:r>
      <w:r w:rsidRPr="00A330A9">
        <w:rPr>
          <w:rtl/>
          <w:lang w:eastAsia="de-DE"/>
        </w:rPr>
        <w:t xml:space="preserve"> </w:t>
      </w:r>
      <w:r w:rsidRPr="00A330A9">
        <w:rPr>
          <w:lang w:eastAsia="de-DE"/>
        </w:rPr>
        <w:t xml:space="preserve">ist parallel: </w:t>
      </w:r>
      <w:r w:rsidRPr="00A330A9">
        <w:rPr>
          <w:b/>
          <w:bCs/>
          <w:rtl/>
          <w:lang w:eastAsia="de-DE"/>
        </w:rPr>
        <w:t>וְהַמֹּאָבִים</w:t>
      </w:r>
      <w:r w:rsidRPr="00A330A9">
        <w:rPr>
          <w:rtl/>
          <w:lang w:eastAsia="de-DE"/>
        </w:rPr>
        <w:t xml:space="preserve"> </w:t>
      </w:r>
      <w:r w:rsidRPr="00A330A9">
        <w:rPr>
          <w:lang w:eastAsia="de-DE"/>
        </w:rPr>
        <w:t>(</w:t>
      </w:r>
      <w:r w:rsidR="00C13523">
        <w:rPr>
          <w:lang w:eastAsia="de-DE"/>
        </w:rPr>
        <w:t>Gentilicum</w:t>
      </w:r>
      <w:r w:rsidRPr="00A330A9">
        <w:rPr>
          <w:lang w:eastAsia="de-DE"/>
        </w:rPr>
        <w:t xml:space="preserve"> mit Artikel) als zweites Subjekt, </w:t>
      </w:r>
      <w:r w:rsidRPr="00A330A9">
        <w:rPr>
          <w:b/>
          <w:bCs/>
          <w:rtl/>
          <w:lang w:eastAsia="de-DE"/>
        </w:rPr>
        <w:t>הַיֹּשְׁבִים בְּעָר</w:t>
      </w:r>
      <w:r w:rsidRPr="00A330A9">
        <w:rPr>
          <w:rtl/>
          <w:lang w:eastAsia="de-DE"/>
        </w:rPr>
        <w:t xml:space="preserve"> </w:t>
      </w:r>
      <w:r w:rsidRPr="00A330A9">
        <w:rPr>
          <w:lang w:eastAsia="de-DE"/>
        </w:rPr>
        <w:t>als Partizip. Diese Aussage ist historisch interessant, da sie impliziert, dass Edom und Moab den Durchzug gewährten, obwohl Num 20,14-21 berichtet, dass Edom den Durchzug verweigerte.</w:t>
      </w:r>
      <w:r w:rsidR="007E7473">
        <w:rPr>
          <w:lang w:eastAsia="de-DE"/>
        </w:rPr>
        <w:t xml:space="preserve"> </w:t>
      </w:r>
    </w:p>
    <w:p w14:paraId="40AAAD79" w14:textId="32562DB0" w:rsidR="00A330A9" w:rsidRDefault="007E7473" w:rsidP="007E7473">
      <w:pPr>
        <w:pStyle w:val="KeinLeerraum"/>
        <w:rPr>
          <w:lang w:eastAsia="de-DE"/>
        </w:rPr>
      </w:pPr>
      <w:r>
        <w:rPr>
          <w:lang w:eastAsia="de-DE"/>
        </w:rPr>
        <w:t>Mögliche Erklärungen:</w:t>
      </w:r>
    </w:p>
    <w:p w14:paraId="2F2377E1" w14:textId="5B9CF7C2" w:rsidR="007E7473" w:rsidRDefault="007E7473" w:rsidP="007E7473">
      <w:pPr>
        <w:pStyle w:val="KeinLeerraum"/>
        <w:numPr>
          <w:ilvl w:val="0"/>
          <w:numId w:val="27"/>
        </w:numPr>
        <w:rPr>
          <w:lang w:eastAsia="de-DE"/>
        </w:rPr>
      </w:pPr>
      <w:r>
        <w:t>Verschiedene Routen oder Traditionen</w:t>
      </w:r>
    </w:p>
    <w:p w14:paraId="2FD9BD32" w14:textId="30D3E357" w:rsidR="007E7473" w:rsidRPr="00A330A9" w:rsidRDefault="007E7473" w:rsidP="007E7473">
      <w:pPr>
        <w:pStyle w:val="KeinLeerraum"/>
        <w:numPr>
          <w:ilvl w:val="0"/>
          <w:numId w:val="27"/>
        </w:numPr>
        <w:rPr>
          <w:lang w:eastAsia="de-DE"/>
        </w:rPr>
      </w:pPr>
      <w:r>
        <w:t>Moab gewährte Durchzug, Edom nicht, aber beide werden hier genannt</w:t>
      </w:r>
    </w:p>
    <w:p w14:paraId="6ECDCFEC"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rtl/>
          <w:lang w:eastAsia="de-DE"/>
        </w:rPr>
        <w:t>עַד אֲשֶׁר־אֶעֱבֹר אֶת־הַיַּרְדֵּן</w:t>
      </w:r>
      <w:r w:rsidRPr="00A330A9">
        <w:rPr>
          <w:rFonts w:eastAsia="Times New Roman"/>
          <w:rtl/>
          <w:lang w:eastAsia="de-DE"/>
        </w:rPr>
        <w:t xml:space="preserve"> </w:t>
      </w:r>
      <w:r w:rsidRPr="00A330A9">
        <w:rPr>
          <w:rFonts w:eastAsia="Times New Roman"/>
          <w:lang w:eastAsia="de-DE"/>
        </w:rPr>
        <w:t xml:space="preserve">ist ein temporaler Nebensatz: </w:t>
      </w:r>
      <w:r w:rsidRPr="00A330A9">
        <w:rPr>
          <w:rFonts w:eastAsia="Times New Roman"/>
          <w:b/>
          <w:bCs/>
          <w:rtl/>
          <w:lang w:eastAsia="de-DE"/>
        </w:rPr>
        <w:t>עַד אֲשֶׁר</w:t>
      </w:r>
      <w:r w:rsidRPr="00A330A9">
        <w:rPr>
          <w:rFonts w:eastAsia="Times New Roman"/>
          <w:rtl/>
          <w:lang w:eastAsia="de-DE"/>
        </w:rPr>
        <w:t xml:space="preserve"> </w:t>
      </w:r>
      <w:r w:rsidRPr="00A330A9">
        <w:rPr>
          <w:rFonts w:eastAsia="Times New Roman"/>
          <w:lang w:eastAsia="de-DE"/>
        </w:rPr>
        <w:t xml:space="preserve">(„bis"), </w:t>
      </w:r>
      <w:r w:rsidRPr="00A330A9">
        <w:rPr>
          <w:rFonts w:eastAsia="Times New Roman"/>
          <w:b/>
          <w:bCs/>
          <w:rtl/>
          <w:lang w:eastAsia="de-DE"/>
        </w:rPr>
        <w:t>אֶעֱבֹר</w:t>
      </w:r>
      <w:r w:rsidRPr="00A330A9">
        <w:rPr>
          <w:rFonts w:eastAsia="Times New Roman"/>
          <w:rtl/>
          <w:lang w:eastAsia="de-DE"/>
        </w:rPr>
        <w:t xml:space="preserve"> </w:t>
      </w:r>
      <w:r w:rsidRPr="00A330A9">
        <w:rPr>
          <w:rFonts w:eastAsia="Times New Roman"/>
          <w:lang w:eastAsia="de-DE"/>
        </w:rPr>
        <w:t xml:space="preserve">(Qal Imperfekt, 1. Person Singular von </w:t>
      </w:r>
      <w:r w:rsidRPr="00A330A9">
        <w:rPr>
          <w:rFonts w:eastAsia="Times New Roman"/>
          <w:rtl/>
          <w:lang w:eastAsia="de-DE"/>
        </w:rPr>
        <w:t>עבר</w:t>
      </w:r>
      <w:r w:rsidRPr="00A330A9">
        <w:rPr>
          <w:rFonts w:eastAsia="Times New Roman"/>
          <w:lang w:eastAsia="de-DE"/>
        </w:rPr>
        <w:t xml:space="preserve">), </w:t>
      </w:r>
      <w:r w:rsidRPr="00A330A9">
        <w:rPr>
          <w:rFonts w:eastAsia="Times New Roman"/>
          <w:b/>
          <w:bCs/>
          <w:rtl/>
          <w:lang w:eastAsia="de-DE"/>
        </w:rPr>
        <w:t>אֶת־הַיַּרְדֵּן</w:t>
      </w:r>
      <w:r w:rsidRPr="00A330A9">
        <w:rPr>
          <w:rFonts w:eastAsia="Times New Roman"/>
          <w:rtl/>
          <w:lang w:eastAsia="de-DE"/>
        </w:rPr>
        <w:t xml:space="preserve"> </w:t>
      </w:r>
      <w:r w:rsidRPr="00A330A9">
        <w:rPr>
          <w:rFonts w:eastAsia="Times New Roman"/>
          <w:lang w:eastAsia="de-DE"/>
        </w:rPr>
        <w:t xml:space="preserve">(Objektpartikel mit </w:t>
      </w:r>
      <w:r w:rsidRPr="00A330A9">
        <w:rPr>
          <w:rFonts w:eastAsia="Times New Roman"/>
          <w:b/>
          <w:bCs/>
          <w:rtl/>
          <w:lang w:eastAsia="de-DE"/>
        </w:rPr>
        <w:t>הַיַּרְדֵּן</w:t>
      </w:r>
      <w:r w:rsidRPr="00A330A9">
        <w:rPr>
          <w:rFonts w:eastAsia="Times New Roman"/>
          <w:rtl/>
          <w:lang w:eastAsia="de-DE"/>
        </w:rPr>
        <w:t xml:space="preserve"> </w:t>
      </w:r>
      <w:r w:rsidRPr="00A330A9">
        <w:rPr>
          <w:rFonts w:eastAsia="Times New Roman"/>
          <w:lang w:eastAsia="de-DE"/>
        </w:rPr>
        <w:t xml:space="preserve">„der Jordan"). </w:t>
      </w:r>
      <w:r w:rsidRPr="00A330A9">
        <w:rPr>
          <w:rFonts w:eastAsia="Times New Roman"/>
          <w:b/>
          <w:bCs/>
          <w:rtl/>
          <w:lang w:eastAsia="de-DE"/>
        </w:rPr>
        <w:t>אֶל־הָאָרֶץ אֲשֶׁר־יְהוָה אֱלֹהֵינוּ נֹתֵן לָנוּ</w:t>
      </w:r>
      <w:r w:rsidRPr="00A330A9">
        <w:rPr>
          <w:rFonts w:eastAsia="Times New Roman"/>
          <w:rtl/>
          <w:lang w:eastAsia="de-DE"/>
        </w:rPr>
        <w:t xml:space="preserve"> </w:t>
      </w:r>
      <w:r w:rsidRPr="00A330A9">
        <w:rPr>
          <w:rFonts w:eastAsia="Times New Roman"/>
          <w:lang w:eastAsia="de-DE"/>
        </w:rPr>
        <w:t xml:space="preserve">ist eine Zielangabe: </w:t>
      </w:r>
      <w:r w:rsidRPr="00A330A9">
        <w:rPr>
          <w:rFonts w:eastAsia="Times New Roman"/>
          <w:b/>
          <w:bCs/>
          <w:rtl/>
          <w:lang w:eastAsia="de-DE"/>
        </w:rPr>
        <w:t>אֶל־הָאָרֶץ</w:t>
      </w:r>
      <w:r w:rsidRPr="00A330A9">
        <w:rPr>
          <w:rFonts w:eastAsia="Times New Roman"/>
          <w:rtl/>
          <w:lang w:eastAsia="de-DE"/>
        </w:rPr>
        <w:t xml:space="preserve"> </w:t>
      </w:r>
      <w:r w:rsidRPr="00A330A9">
        <w:rPr>
          <w:rFonts w:eastAsia="Times New Roman"/>
          <w:lang w:eastAsia="de-DE"/>
        </w:rPr>
        <w:t xml:space="preserve">mit Relativsatz </w:t>
      </w:r>
      <w:r w:rsidRPr="00A330A9">
        <w:rPr>
          <w:rFonts w:eastAsia="Times New Roman"/>
          <w:b/>
          <w:bCs/>
          <w:rtl/>
          <w:lang w:eastAsia="de-DE"/>
        </w:rPr>
        <w:t>אֲשֶׁר־יְהוָה אֱלֹהֵינוּ נֹתֵן לָנוּ</w:t>
      </w:r>
      <w:r w:rsidRPr="00A330A9">
        <w:rPr>
          <w:rFonts w:eastAsia="Times New Roman"/>
          <w:lang w:eastAsia="de-DE"/>
        </w:rPr>
        <w:t xml:space="preserve">, wobei </w:t>
      </w:r>
      <w:r w:rsidRPr="00A330A9">
        <w:rPr>
          <w:rFonts w:eastAsia="Times New Roman"/>
          <w:b/>
          <w:bCs/>
          <w:rtl/>
          <w:lang w:eastAsia="de-DE"/>
        </w:rPr>
        <w:t>נֹתֵן</w:t>
      </w:r>
      <w:r w:rsidRPr="00A330A9">
        <w:rPr>
          <w:rFonts w:eastAsia="Times New Roman"/>
          <w:rtl/>
          <w:lang w:eastAsia="de-DE"/>
        </w:rPr>
        <w:t xml:space="preserve"> </w:t>
      </w:r>
      <w:r w:rsidRPr="00A330A9">
        <w:rPr>
          <w:rFonts w:eastAsia="Times New Roman"/>
          <w:lang w:eastAsia="de-DE"/>
        </w:rPr>
        <w:t xml:space="preserve">ein Qal Partizip von </w:t>
      </w:r>
      <w:r w:rsidRPr="00A330A9">
        <w:rPr>
          <w:rFonts w:eastAsia="Times New Roman"/>
          <w:rtl/>
          <w:lang w:eastAsia="de-DE"/>
        </w:rPr>
        <w:t>נתן</w:t>
      </w:r>
      <w:r w:rsidRPr="00A330A9">
        <w:rPr>
          <w:rFonts w:eastAsia="Times New Roman"/>
          <w:lang w:eastAsia="de-DE"/>
        </w:rPr>
        <w:t xml:space="preserve"> ist, das die gegenwärtige oder bevorstehende Handlung ausdrückt.</w:t>
      </w:r>
    </w:p>
    <w:p w14:paraId="68AE902F" w14:textId="6690DF03"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Die LXX</w:t>
      </w:r>
      <w:r w:rsidRPr="00A330A9">
        <w:rPr>
          <w:rFonts w:eastAsia="Times New Roman"/>
          <w:lang w:eastAsia="de-DE"/>
        </w:rPr>
        <w:t xml:space="preserve"> </w:t>
      </w:r>
      <w:r w:rsidR="00516967">
        <w:t>übersetzt „</w:t>
      </w:r>
      <w:r w:rsidR="00516967">
        <w:rPr>
          <w:rtl/>
        </w:rPr>
        <w:t>בְּעָר</w:t>
      </w:r>
      <w:r w:rsidR="00516967">
        <w:t>" (in Ar) mit „</w:t>
      </w:r>
      <w:proofErr w:type="spellStart"/>
      <w:r w:rsidR="00516967">
        <w:t>ἐν</w:t>
      </w:r>
      <w:proofErr w:type="spellEnd"/>
      <w:r w:rsidR="00516967">
        <w:t xml:space="preserve"> </w:t>
      </w:r>
      <w:proofErr w:type="spellStart"/>
      <w:r w:rsidR="00516967">
        <w:t>Ἀροήρ</w:t>
      </w:r>
      <w:proofErr w:type="spellEnd"/>
      <w:r w:rsidR="00516967">
        <w:t>" (in Aroer), erneut die gleiche Verwechslung wie in Vers 9.</w:t>
      </w:r>
    </w:p>
    <w:p w14:paraId="0BDE5A3B"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lang w:eastAsia="de-DE"/>
        </w:rPr>
        <w:t>Die Satzstruktur besteht aus einem Vergleichssatz (</w:t>
      </w:r>
      <w:r w:rsidRPr="00A330A9">
        <w:rPr>
          <w:rFonts w:eastAsia="Times New Roman"/>
          <w:b/>
          <w:bCs/>
          <w:rtl/>
          <w:lang w:eastAsia="de-DE"/>
        </w:rPr>
        <w:t>כַּאֲשֶׁר עָשׂוּ־לִי בְּנֵי עֵשָׂו... וְהַמֹּאָבִים</w:t>
      </w:r>
      <w:r w:rsidRPr="00A330A9">
        <w:rPr>
          <w:rFonts w:eastAsia="Times New Roman"/>
          <w:lang w:eastAsia="de-DE"/>
        </w:rPr>
        <w:t>) und einem temporalen Nebensatz (</w:t>
      </w:r>
      <w:r w:rsidRPr="00A330A9">
        <w:rPr>
          <w:rFonts w:eastAsia="Times New Roman"/>
          <w:b/>
          <w:bCs/>
          <w:rtl/>
          <w:lang w:eastAsia="de-DE"/>
        </w:rPr>
        <w:t>עַד אֲשֶׁר־אֶעֱבֹר אֶת־הַיַּרְדֵּן אֶל־הָאָרֶץ</w:t>
      </w:r>
      <w:r w:rsidRPr="00A330A9">
        <w:rPr>
          <w:rFonts w:eastAsia="Times New Roman"/>
          <w:lang w:eastAsia="de-DE"/>
        </w:rPr>
        <w:t>) mit Relativsatz.</w:t>
      </w:r>
    </w:p>
    <w:p w14:paraId="6C384646"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lang w:eastAsia="de-DE"/>
        </w:rPr>
        <w:t>Der Vers verweist auf die Präzedenzfälle Edom und Moab als Beispiele für friedlichen Durchzug und erklärt das Endziel: die Überquerung des Jordan ins verheißene Land. Dies zeigt, dass Sihons Gebiet nur Durchgangsstation ist, nicht Israels Ziel. Die Erwähnung von JHWHs Landgabe macht deutlich, dass Israel seine Bestimmung verfolgt.</w:t>
      </w:r>
    </w:p>
    <w:p w14:paraId="45ECD827" w14:textId="77777777" w:rsidR="00A330A9" w:rsidRPr="00A330A9" w:rsidRDefault="00A330A9" w:rsidP="00A330A9">
      <w:pPr>
        <w:spacing w:before="100" w:beforeAutospacing="1" w:after="100" w:afterAutospacing="1" w:line="240" w:lineRule="auto"/>
        <w:outlineLvl w:val="1"/>
        <w:rPr>
          <w:rFonts w:eastAsia="Times New Roman"/>
          <w:b/>
          <w:bCs/>
          <w:sz w:val="36"/>
          <w:szCs w:val="36"/>
          <w:lang w:eastAsia="de-DE"/>
        </w:rPr>
      </w:pPr>
      <w:r w:rsidRPr="00A330A9">
        <w:rPr>
          <w:rFonts w:eastAsia="Times New Roman"/>
          <w:b/>
          <w:bCs/>
          <w:sz w:val="36"/>
          <w:szCs w:val="36"/>
          <w:lang w:eastAsia="de-DE"/>
        </w:rPr>
        <w:t>Deuteronomium 2,30</w:t>
      </w:r>
    </w:p>
    <w:p w14:paraId="2A2D193A"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Hebräisch:</w:t>
      </w:r>
      <w:r w:rsidRPr="00A330A9">
        <w:rPr>
          <w:rFonts w:eastAsia="Times New Roman"/>
          <w:lang w:eastAsia="de-DE"/>
        </w:rPr>
        <w:t xml:space="preserve"> </w:t>
      </w:r>
      <w:r w:rsidRPr="00A330A9">
        <w:rPr>
          <w:rFonts w:eastAsia="Times New Roman"/>
          <w:rtl/>
          <w:lang w:eastAsia="de-DE"/>
        </w:rPr>
        <w:t>וְלֹ֣א אָבָ֗ה סִיחֹן֙ מֶ֣לֶךְ חֶשְׁבֹּ֔ון הַעֲבִרֵ֖נוּ בּ֑וֹ כִּֽי־הִקְשָׁה֩ יְהוָ֨ה אֱלֹהֶ֜יךָ אֶת־רוּחֹ֗ו וְאִמֵּץ֙ אֶת־לְבָבֹ֔ו לְמַ֛עַן תִּתֹּ֥ו בְיָדְךָ֖ כַּיֹּ֥ום הַזֶּֽה׃</w:t>
      </w:r>
    </w:p>
    <w:p w14:paraId="1F2D7D5F"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Deutsch:</w:t>
      </w:r>
      <w:r w:rsidRPr="00A330A9">
        <w:rPr>
          <w:rFonts w:eastAsia="Times New Roman"/>
          <w:lang w:eastAsia="de-DE"/>
        </w:rPr>
        <w:t xml:space="preserve"> Aber Sichon, der König von Cheschbon, wollte uns nicht bei sich durchziehen lassen, denn der Ewige, dein Gott, hatte seinen Geist verhärtet und sein Herz verstockt, damit er ihn in deine Hand gäbe, wie es an diesem Tag ist.</w:t>
      </w:r>
    </w:p>
    <w:p w14:paraId="2F2F5AF0" w14:textId="77777777" w:rsidR="00A330A9" w:rsidRPr="00A330A9" w:rsidRDefault="004F5CEB" w:rsidP="00A330A9">
      <w:pPr>
        <w:spacing w:after="0" w:line="240" w:lineRule="auto"/>
        <w:rPr>
          <w:rFonts w:eastAsia="Times New Roman"/>
          <w:lang w:eastAsia="de-DE"/>
        </w:rPr>
      </w:pPr>
      <w:r>
        <w:rPr>
          <w:rFonts w:eastAsia="Times New Roman"/>
          <w:noProof/>
          <w:lang w:eastAsia="de-DE"/>
        </w:rPr>
        <w:pict w14:anchorId="76D52AF3">
          <v:rect id="_x0000_i1100" style="width:0;height:1.5pt" o:hralign="center" o:hrstd="t" o:hr="t" fillcolor="#a0a0a0" stroked="f"/>
        </w:pict>
      </w:r>
    </w:p>
    <w:p w14:paraId="46C07038" w14:textId="3DBD20D2"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lastRenderedPageBreak/>
        <w:t>Kommentar:</w:t>
      </w:r>
      <w:r w:rsidRPr="00A330A9">
        <w:rPr>
          <w:rFonts w:eastAsia="Times New Roman"/>
          <w:lang w:eastAsia="de-DE"/>
        </w:rPr>
        <w:t xml:space="preserve"> </w:t>
      </w:r>
      <w:r w:rsidRPr="00A330A9">
        <w:rPr>
          <w:rFonts w:eastAsia="Times New Roman"/>
          <w:b/>
          <w:bCs/>
          <w:rtl/>
          <w:lang w:eastAsia="de-DE"/>
        </w:rPr>
        <w:t>וְלֹא אָבָה סִיחֹן מֶלֶךְ חֶשְׁבּוֹן הַעֲבִרֵנוּ בּוֹ</w:t>
      </w:r>
      <w:r w:rsidRPr="00A330A9">
        <w:rPr>
          <w:rFonts w:eastAsia="Times New Roman"/>
          <w:rtl/>
          <w:lang w:eastAsia="de-DE"/>
        </w:rPr>
        <w:t xml:space="preserve"> </w:t>
      </w:r>
      <w:r w:rsidRPr="00A330A9">
        <w:rPr>
          <w:rFonts w:eastAsia="Times New Roman"/>
          <w:lang w:eastAsia="de-DE"/>
        </w:rPr>
        <w:t xml:space="preserve">ist </w:t>
      </w:r>
      <w:r w:rsidRPr="00A330A9">
        <w:rPr>
          <w:rFonts w:eastAsia="Times New Roman"/>
          <w:b/>
          <w:bCs/>
          <w:rtl/>
          <w:lang w:eastAsia="de-DE"/>
        </w:rPr>
        <w:t>וְלֹא</w:t>
      </w:r>
      <w:r w:rsidRPr="00A330A9">
        <w:rPr>
          <w:rFonts w:eastAsia="Times New Roman"/>
          <w:rtl/>
          <w:lang w:eastAsia="de-DE"/>
        </w:rPr>
        <w:t xml:space="preserve"> </w:t>
      </w:r>
      <w:r w:rsidRPr="00A330A9">
        <w:rPr>
          <w:rFonts w:eastAsia="Times New Roman"/>
          <w:lang w:eastAsia="de-DE"/>
        </w:rPr>
        <w:t xml:space="preserve">adversativ („aber nicht"), </w:t>
      </w:r>
      <w:r w:rsidRPr="00A330A9">
        <w:rPr>
          <w:rFonts w:eastAsia="Times New Roman"/>
          <w:b/>
          <w:bCs/>
          <w:rtl/>
          <w:lang w:eastAsia="de-DE"/>
        </w:rPr>
        <w:t>אָבָה</w:t>
      </w:r>
      <w:r w:rsidRPr="00A330A9">
        <w:rPr>
          <w:rFonts w:eastAsia="Times New Roman"/>
          <w:rtl/>
          <w:lang w:eastAsia="de-DE"/>
        </w:rPr>
        <w:t xml:space="preserve"> </w:t>
      </w:r>
      <w:r w:rsidRPr="00A330A9">
        <w:rPr>
          <w:rFonts w:eastAsia="Times New Roman"/>
          <w:lang w:eastAsia="de-DE"/>
        </w:rPr>
        <w:t xml:space="preserve">(Qal Perfekt, 3. Person maskulin Singular von </w:t>
      </w:r>
      <w:r w:rsidRPr="00A330A9">
        <w:rPr>
          <w:rFonts w:eastAsia="Times New Roman"/>
          <w:rtl/>
          <w:lang w:eastAsia="de-DE"/>
        </w:rPr>
        <w:t>אבה</w:t>
      </w:r>
      <w:r w:rsidRPr="00A330A9">
        <w:rPr>
          <w:rFonts w:eastAsia="Times New Roman"/>
          <w:lang w:eastAsia="de-DE"/>
        </w:rPr>
        <w:t xml:space="preserve"> „willens sein, wollen"), </w:t>
      </w:r>
      <w:r w:rsidRPr="00A330A9">
        <w:rPr>
          <w:rFonts w:eastAsia="Times New Roman"/>
          <w:b/>
          <w:bCs/>
          <w:rtl/>
          <w:lang w:eastAsia="de-DE"/>
        </w:rPr>
        <w:t>סִיחֹן מֶלֶךְ חֶשְׁבּוֹן</w:t>
      </w:r>
      <w:r w:rsidRPr="00A330A9">
        <w:rPr>
          <w:rFonts w:eastAsia="Times New Roman"/>
          <w:rtl/>
          <w:lang w:eastAsia="de-DE"/>
        </w:rPr>
        <w:t xml:space="preserve"> </w:t>
      </w:r>
      <w:r w:rsidRPr="00A330A9">
        <w:rPr>
          <w:rFonts w:eastAsia="Times New Roman"/>
          <w:lang w:eastAsia="de-DE"/>
        </w:rPr>
        <w:t xml:space="preserve">als Subjekt, </w:t>
      </w:r>
      <w:r w:rsidRPr="00A330A9">
        <w:rPr>
          <w:rFonts w:eastAsia="Times New Roman"/>
          <w:b/>
          <w:bCs/>
          <w:rtl/>
          <w:lang w:eastAsia="de-DE"/>
        </w:rPr>
        <w:t>הַעֲבִרֵנוּ</w:t>
      </w:r>
      <w:r w:rsidRPr="00A330A9">
        <w:rPr>
          <w:rFonts w:eastAsia="Times New Roman"/>
          <w:rtl/>
          <w:lang w:eastAsia="de-DE"/>
        </w:rPr>
        <w:t xml:space="preserve"> </w:t>
      </w:r>
      <w:r w:rsidRPr="00A330A9">
        <w:rPr>
          <w:rFonts w:eastAsia="Times New Roman"/>
          <w:lang w:eastAsia="de-DE"/>
        </w:rPr>
        <w:t xml:space="preserve">(Hif'il Infinitiv </w:t>
      </w:r>
      <w:r w:rsidR="0032647F">
        <w:rPr>
          <w:rFonts w:eastAsia="Times New Roman"/>
          <w:lang w:eastAsia="de-DE"/>
        </w:rPr>
        <w:t>Construct</w:t>
      </w:r>
      <w:r w:rsidRPr="00A330A9">
        <w:rPr>
          <w:rFonts w:eastAsia="Times New Roman"/>
          <w:lang w:eastAsia="de-DE"/>
        </w:rPr>
        <w:t xml:space="preserve"> von </w:t>
      </w:r>
      <w:r w:rsidRPr="00A330A9">
        <w:rPr>
          <w:rFonts w:eastAsia="Times New Roman"/>
          <w:rtl/>
          <w:lang w:eastAsia="de-DE"/>
        </w:rPr>
        <w:t>עבר</w:t>
      </w:r>
      <w:r w:rsidRPr="00A330A9">
        <w:rPr>
          <w:rFonts w:eastAsia="Times New Roman"/>
          <w:lang w:eastAsia="de-DE"/>
        </w:rPr>
        <w:t xml:space="preserve"> „durchziehen lassen" mit Objektsuffix 1. Person Plural </w:t>
      </w:r>
      <w:r w:rsidRPr="00A330A9">
        <w:rPr>
          <w:rFonts w:eastAsia="Times New Roman"/>
          <w:b/>
          <w:bCs/>
          <w:rtl/>
          <w:lang w:eastAsia="de-DE"/>
        </w:rPr>
        <w:t>נוּ</w:t>
      </w:r>
      <w:r w:rsidRPr="00A330A9">
        <w:rPr>
          <w:rFonts w:eastAsia="Times New Roman"/>
          <w:rtl/>
          <w:lang w:eastAsia="de-DE"/>
        </w:rPr>
        <w:t xml:space="preserve"> </w:t>
      </w:r>
      <w:r w:rsidRPr="00A330A9">
        <w:rPr>
          <w:rFonts w:eastAsia="Times New Roman"/>
          <w:lang w:eastAsia="de-DE"/>
        </w:rPr>
        <w:t xml:space="preserve">„uns"), </w:t>
      </w:r>
      <w:r w:rsidRPr="00A330A9">
        <w:rPr>
          <w:rFonts w:eastAsia="Times New Roman"/>
          <w:b/>
          <w:bCs/>
          <w:rtl/>
          <w:lang w:eastAsia="de-DE"/>
        </w:rPr>
        <w:t>בּוֹ</w:t>
      </w:r>
      <w:r w:rsidRPr="00A330A9">
        <w:rPr>
          <w:rFonts w:eastAsia="Times New Roman"/>
          <w:rtl/>
          <w:lang w:eastAsia="de-DE"/>
        </w:rPr>
        <w:t xml:space="preserve"> </w:t>
      </w:r>
      <w:r w:rsidRPr="00A330A9">
        <w:rPr>
          <w:rFonts w:eastAsia="Times New Roman"/>
          <w:lang w:eastAsia="de-DE"/>
        </w:rPr>
        <w:t>(</w:t>
      </w:r>
      <w:r w:rsidRPr="00A330A9">
        <w:rPr>
          <w:rFonts w:eastAsia="Times New Roman"/>
          <w:b/>
          <w:bCs/>
          <w:rtl/>
          <w:lang w:eastAsia="de-DE"/>
        </w:rPr>
        <w:t>בְּ</w:t>
      </w:r>
      <w:r w:rsidRPr="00A330A9">
        <w:rPr>
          <w:rFonts w:eastAsia="Times New Roman"/>
          <w:rtl/>
          <w:lang w:eastAsia="de-DE"/>
        </w:rPr>
        <w:t xml:space="preserve"> </w:t>
      </w:r>
      <w:r w:rsidRPr="00A330A9">
        <w:rPr>
          <w:rFonts w:eastAsia="Times New Roman"/>
          <w:lang w:eastAsia="de-DE"/>
        </w:rPr>
        <w:t>mit Suffix 3. Person maskulin Singular, bezogen auf Sihons Gebiet „durch es/bei ihm").</w:t>
      </w:r>
    </w:p>
    <w:p w14:paraId="5F9DF5AD" w14:textId="77777777"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rtl/>
          <w:lang w:eastAsia="de-DE"/>
        </w:rPr>
        <w:t>כִּי־הִקְשָׁה יְהוָה אֱלֹהֶיךָ אֶת־רוּחוֹ</w:t>
      </w:r>
      <w:r w:rsidRPr="00A330A9">
        <w:rPr>
          <w:rFonts w:eastAsia="Times New Roman"/>
          <w:rtl/>
          <w:lang w:eastAsia="de-DE"/>
        </w:rPr>
        <w:t xml:space="preserve"> </w:t>
      </w:r>
      <w:r w:rsidRPr="00A330A9">
        <w:rPr>
          <w:rFonts w:eastAsia="Times New Roman"/>
          <w:lang w:eastAsia="de-DE"/>
        </w:rPr>
        <w:t xml:space="preserve">ist eine kausale Begründung: </w:t>
      </w:r>
      <w:r w:rsidRPr="00A330A9">
        <w:rPr>
          <w:rFonts w:eastAsia="Times New Roman"/>
          <w:b/>
          <w:bCs/>
          <w:rtl/>
          <w:lang w:eastAsia="de-DE"/>
        </w:rPr>
        <w:t>כִּי</w:t>
      </w:r>
      <w:r w:rsidRPr="00A330A9">
        <w:rPr>
          <w:rFonts w:eastAsia="Times New Roman"/>
          <w:lang w:eastAsia="de-DE"/>
        </w:rPr>
        <w:t xml:space="preserve">, </w:t>
      </w:r>
      <w:r w:rsidRPr="00A330A9">
        <w:rPr>
          <w:rFonts w:eastAsia="Times New Roman"/>
          <w:b/>
          <w:bCs/>
          <w:rtl/>
          <w:lang w:eastAsia="de-DE"/>
        </w:rPr>
        <w:t>הִקְשָׁה</w:t>
      </w:r>
      <w:r w:rsidRPr="00A330A9">
        <w:rPr>
          <w:rFonts w:eastAsia="Times New Roman"/>
          <w:rtl/>
          <w:lang w:eastAsia="de-DE"/>
        </w:rPr>
        <w:t xml:space="preserve"> </w:t>
      </w:r>
      <w:r w:rsidRPr="00A330A9">
        <w:rPr>
          <w:rFonts w:eastAsia="Times New Roman"/>
          <w:lang w:eastAsia="de-DE"/>
        </w:rPr>
        <w:t xml:space="preserve">(Hif'il Perfekt, 3. Person maskulin Singular von </w:t>
      </w:r>
      <w:r w:rsidRPr="00A330A9">
        <w:rPr>
          <w:rFonts w:eastAsia="Times New Roman"/>
          <w:rtl/>
          <w:lang w:eastAsia="de-DE"/>
        </w:rPr>
        <w:t>קשׁה</w:t>
      </w:r>
      <w:r w:rsidRPr="00A330A9">
        <w:rPr>
          <w:rFonts w:eastAsia="Times New Roman"/>
          <w:lang w:eastAsia="de-DE"/>
        </w:rPr>
        <w:t xml:space="preserve"> „hart machen, verhärten"), </w:t>
      </w:r>
      <w:r w:rsidRPr="00A330A9">
        <w:rPr>
          <w:rFonts w:eastAsia="Times New Roman"/>
          <w:b/>
          <w:bCs/>
          <w:rtl/>
          <w:lang w:eastAsia="de-DE"/>
        </w:rPr>
        <w:t>יְהוָה אֱלֹהֶיךָ</w:t>
      </w:r>
      <w:r w:rsidRPr="00A330A9">
        <w:rPr>
          <w:rFonts w:eastAsia="Times New Roman"/>
          <w:rtl/>
          <w:lang w:eastAsia="de-DE"/>
        </w:rPr>
        <w:t xml:space="preserve"> </w:t>
      </w:r>
      <w:r w:rsidRPr="00A330A9">
        <w:rPr>
          <w:rFonts w:eastAsia="Times New Roman"/>
          <w:lang w:eastAsia="de-DE"/>
        </w:rPr>
        <w:t xml:space="preserve">als Subjekt, </w:t>
      </w:r>
      <w:r w:rsidRPr="00A330A9">
        <w:rPr>
          <w:rFonts w:eastAsia="Times New Roman"/>
          <w:b/>
          <w:bCs/>
          <w:rtl/>
          <w:lang w:eastAsia="de-DE"/>
        </w:rPr>
        <w:t>אֶת־רוּחוֹ</w:t>
      </w:r>
      <w:r w:rsidRPr="00A330A9">
        <w:rPr>
          <w:rFonts w:eastAsia="Times New Roman"/>
          <w:rtl/>
          <w:lang w:eastAsia="de-DE"/>
        </w:rPr>
        <w:t xml:space="preserve"> </w:t>
      </w:r>
      <w:r w:rsidRPr="00A330A9">
        <w:rPr>
          <w:rFonts w:eastAsia="Times New Roman"/>
          <w:lang w:eastAsia="de-DE"/>
        </w:rPr>
        <w:t xml:space="preserve">(Objektpartikel mit </w:t>
      </w:r>
      <w:r w:rsidRPr="00A330A9">
        <w:rPr>
          <w:rFonts w:eastAsia="Times New Roman"/>
          <w:b/>
          <w:bCs/>
          <w:rtl/>
          <w:lang w:eastAsia="de-DE"/>
        </w:rPr>
        <w:t>רוּחַ</w:t>
      </w:r>
      <w:r w:rsidRPr="00A330A9">
        <w:rPr>
          <w:rFonts w:eastAsia="Times New Roman"/>
          <w:rtl/>
          <w:lang w:eastAsia="de-DE"/>
        </w:rPr>
        <w:t xml:space="preserve"> </w:t>
      </w:r>
      <w:r w:rsidRPr="00A330A9">
        <w:rPr>
          <w:rFonts w:eastAsia="Times New Roman"/>
          <w:lang w:eastAsia="de-DE"/>
        </w:rPr>
        <w:t xml:space="preserve">„Geist" und Suffix 3. Person maskulin Singular „seinen Geist"). </w:t>
      </w:r>
      <w:r w:rsidRPr="00A330A9">
        <w:rPr>
          <w:rFonts w:eastAsia="Times New Roman"/>
          <w:b/>
          <w:bCs/>
          <w:rtl/>
          <w:lang w:eastAsia="de-DE"/>
        </w:rPr>
        <w:t>וְאִמֵּץ אֶת־לְבָבוֹ</w:t>
      </w:r>
      <w:r w:rsidRPr="00A330A9">
        <w:rPr>
          <w:rFonts w:eastAsia="Times New Roman"/>
          <w:rtl/>
          <w:lang w:eastAsia="de-DE"/>
        </w:rPr>
        <w:t xml:space="preserve"> </w:t>
      </w:r>
      <w:r w:rsidRPr="00A330A9">
        <w:rPr>
          <w:rFonts w:eastAsia="Times New Roman"/>
          <w:lang w:eastAsia="de-DE"/>
        </w:rPr>
        <w:t xml:space="preserve">ist parallel: </w:t>
      </w:r>
      <w:r w:rsidRPr="00A330A9">
        <w:rPr>
          <w:rFonts w:eastAsia="Times New Roman"/>
          <w:b/>
          <w:bCs/>
          <w:rtl/>
          <w:lang w:eastAsia="de-DE"/>
        </w:rPr>
        <w:t>וְאִמֵּץ</w:t>
      </w:r>
      <w:r w:rsidRPr="00A330A9">
        <w:rPr>
          <w:rFonts w:eastAsia="Times New Roman"/>
          <w:rtl/>
          <w:lang w:eastAsia="de-DE"/>
        </w:rPr>
        <w:t xml:space="preserve"> </w:t>
      </w:r>
      <w:r w:rsidRPr="00A330A9">
        <w:rPr>
          <w:rFonts w:eastAsia="Times New Roman"/>
          <w:lang w:eastAsia="de-DE"/>
        </w:rPr>
        <w:t xml:space="preserve">(Piel Perfekt, 3. Person maskulin Singular von </w:t>
      </w:r>
      <w:r w:rsidRPr="00A330A9">
        <w:rPr>
          <w:rFonts w:eastAsia="Times New Roman"/>
          <w:rtl/>
          <w:lang w:eastAsia="de-DE"/>
        </w:rPr>
        <w:t>אמץ</w:t>
      </w:r>
      <w:r w:rsidRPr="00A330A9">
        <w:rPr>
          <w:rFonts w:eastAsia="Times New Roman"/>
          <w:lang w:eastAsia="de-DE"/>
        </w:rPr>
        <w:t xml:space="preserve"> „stark machen, verstocken" mit Waw), </w:t>
      </w:r>
      <w:r w:rsidRPr="00A330A9">
        <w:rPr>
          <w:rFonts w:eastAsia="Times New Roman"/>
          <w:b/>
          <w:bCs/>
          <w:rtl/>
          <w:lang w:eastAsia="de-DE"/>
        </w:rPr>
        <w:t>אֶת־לְבָבוֹ</w:t>
      </w:r>
      <w:r w:rsidRPr="00A330A9">
        <w:rPr>
          <w:rFonts w:eastAsia="Times New Roman"/>
          <w:rtl/>
          <w:lang w:eastAsia="de-DE"/>
        </w:rPr>
        <w:t xml:space="preserve"> </w:t>
      </w:r>
      <w:r w:rsidRPr="00A330A9">
        <w:rPr>
          <w:rFonts w:eastAsia="Times New Roman"/>
          <w:lang w:eastAsia="de-DE"/>
        </w:rPr>
        <w:t xml:space="preserve">(Objektpartikel mit </w:t>
      </w:r>
      <w:r w:rsidRPr="00A330A9">
        <w:rPr>
          <w:rFonts w:eastAsia="Times New Roman"/>
          <w:b/>
          <w:bCs/>
          <w:rtl/>
          <w:lang w:eastAsia="de-DE"/>
        </w:rPr>
        <w:t>לֵבָב</w:t>
      </w:r>
      <w:r w:rsidRPr="00A330A9">
        <w:rPr>
          <w:rFonts w:eastAsia="Times New Roman"/>
          <w:rtl/>
          <w:lang w:eastAsia="de-DE"/>
        </w:rPr>
        <w:t xml:space="preserve"> </w:t>
      </w:r>
      <w:r w:rsidRPr="00A330A9">
        <w:rPr>
          <w:rFonts w:eastAsia="Times New Roman"/>
          <w:lang w:eastAsia="de-DE"/>
        </w:rPr>
        <w:t>„Herz" und Suffix „sein Herz").</w:t>
      </w:r>
    </w:p>
    <w:p w14:paraId="49E6C5D0" w14:textId="099240DC"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rtl/>
          <w:lang w:eastAsia="de-DE"/>
        </w:rPr>
        <w:t>לְמַעַן תִּתּוֹ בְיָדְךָ כַּיּוֹם הַזֶּה</w:t>
      </w:r>
      <w:r w:rsidRPr="00A330A9">
        <w:rPr>
          <w:rFonts w:eastAsia="Times New Roman"/>
          <w:rtl/>
          <w:lang w:eastAsia="de-DE"/>
        </w:rPr>
        <w:t xml:space="preserve"> </w:t>
      </w:r>
      <w:r w:rsidRPr="00A330A9">
        <w:rPr>
          <w:rFonts w:eastAsia="Times New Roman"/>
          <w:lang w:eastAsia="de-DE"/>
        </w:rPr>
        <w:t xml:space="preserve">ist eine finale Begründung: </w:t>
      </w:r>
      <w:r w:rsidRPr="00A330A9">
        <w:rPr>
          <w:rFonts w:eastAsia="Times New Roman"/>
          <w:b/>
          <w:bCs/>
          <w:rtl/>
          <w:lang w:eastAsia="de-DE"/>
        </w:rPr>
        <w:t>לְמַעַן</w:t>
      </w:r>
      <w:r w:rsidRPr="00A330A9">
        <w:rPr>
          <w:rFonts w:eastAsia="Times New Roman"/>
          <w:rtl/>
          <w:lang w:eastAsia="de-DE"/>
        </w:rPr>
        <w:t xml:space="preserve"> </w:t>
      </w:r>
      <w:r w:rsidRPr="00A330A9">
        <w:rPr>
          <w:rFonts w:eastAsia="Times New Roman"/>
          <w:lang w:eastAsia="de-DE"/>
        </w:rPr>
        <w:t xml:space="preserve">(„damit, auf dass"), </w:t>
      </w:r>
      <w:r w:rsidRPr="00A330A9">
        <w:rPr>
          <w:rFonts w:eastAsia="Times New Roman"/>
          <w:b/>
          <w:bCs/>
          <w:rtl/>
          <w:lang w:eastAsia="de-DE"/>
        </w:rPr>
        <w:t>תִּתּוֹ</w:t>
      </w:r>
      <w:r w:rsidRPr="00A330A9">
        <w:rPr>
          <w:rFonts w:eastAsia="Times New Roman"/>
          <w:rtl/>
          <w:lang w:eastAsia="de-DE"/>
        </w:rPr>
        <w:t xml:space="preserve"> </w:t>
      </w:r>
      <w:r w:rsidRPr="00A330A9">
        <w:rPr>
          <w:rFonts w:eastAsia="Times New Roman"/>
          <w:lang w:eastAsia="de-DE"/>
        </w:rPr>
        <w:t xml:space="preserve">(Qal Infinitiv </w:t>
      </w:r>
      <w:r w:rsidR="0032647F">
        <w:rPr>
          <w:rFonts w:eastAsia="Times New Roman"/>
          <w:lang w:eastAsia="de-DE"/>
        </w:rPr>
        <w:t>Construct</w:t>
      </w:r>
      <w:r w:rsidRPr="00A330A9">
        <w:rPr>
          <w:rFonts w:eastAsia="Times New Roman"/>
          <w:lang w:eastAsia="de-DE"/>
        </w:rPr>
        <w:t xml:space="preserve"> von </w:t>
      </w:r>
      <w:r w:rsidRPr="00A330A9">
        <w:rPr>
          <w:rFonts w:eastAsia="Times New Roman"/>
          <w:rtl/>
          <w:lang w:eastAsia="de-DE"/>
        </w:rPr>
        <w:t>נתן</w:t>
      </w:r>
      <w:r w:rsidRPr="00A330A9">
        <w:rPr>
          <w:rFonts w:eastAsia="Times New Roman"/>
          <w:lang w:eastAsia="de-DE"/>
        </w:rPr>
        <w:t xml:space="preserve"> „geben" mit Objektsuffix 3. Person maskulin Singular </w:t>
      </w:r>
      <w:r w:rsidRPr="00A330A9">
        <w:rPr>
          <w:rFonts w:eastAsia="Times New Roman"/>
          <w:b/>
          <w:bCs/>
          <w:rtl/>
          <w:lang w:eastAsia="de-DE"/>
        </w:rPr>
        <w:t>וֹ</w:t>
      </w:r>
      <w:r w:rsidRPr="00A330A9">
        <w:rPr>
          <w:rFonts w:eastAsia="Times New Roman"/>
          <w:rtl/>
          <w:lang w:eastAsia="de-DE"/>
        </w:rPr>
        <w:t xml:space="preserve"> </w:t>
      </w:r>
      <w:r w:rsidRPr="00A330A9">
        <w:rPr>
          <w:rFonts w:eastAsia="Times New Roman"/>
          <w:lang w:eastAsia="de-DE"/>
        </w:rPr>
        <w:t xml:space="preserve">„ihn"), </w:t>
      </w:r>
      <w:r w:rsidRPr="00A330A9">
        <w:rPr>
          <w:rFonts w:eastAsia="Times New Roman"/>
          <w:b/>
          <w:bCs/>
          <w:rtl/>
          <w:lang w:eastAsia="de-DE"/>
        </w:rPr>
        <w:t>בְיָדְךָ</w:t>
      </w:r>
      <w:r w:rsidRPr="00A330A9">
        <w:rPr>
          <w:rFonts w:eastAsia="Times New Roman"/>
          <w:rtl/>
          <w:lang w:eastAsia="de-DE"/>
        </w:rPr>
        <w:t xml:space="preserve"> </w:t>
      </w:r>
      <w:r w:rsidRPr="00A330A9">
        <w:rPr>
          <w:rFonts w:eastAsia="Times New Roman"/>
          <w:lang w:eastAsia="de-DE"/>
        </w:rPr>
        <w:t>(</w:t>
      </w:r>
      <w:r w:rsidRPr="00A330A9">
        <w:rPr>
          <w:rFonts w:eastAsia="Times New Roman"/>
          <w:b/>
          <w:bCs/>
          <w:rtl/>
          <w:lang w:eastAsia="de-DE"/>
        </w:rPr>
        <w:t>בְּ</w:t>
      </w:r>
      <w:r w:rsidRPr="00A330A9">
        <w:rPr>
          <w:rFonts w:eastAsia="Times New Roman"/>
          <w:rtl/>
          <w:lang w:eastAsia="de-DE"/>
        </w:rPr>
        <w:t xml:space="preserve"> </w:t>
      </w:r>
      <w:r w:rsidRPr="00A330A9">
        <w:rPr>
          <w:rFonts w:eastAsia="Times New Roman"/>
          <w:lang w:eastAsia="de-DE"/>
        </w:rPr>
        <w:t xml:space="preserve">mit </w:t>
      </w:r>
      <w:r w:rsidRPr="00A330A9">
        <w:rPr>
          <w:rFonts w:eastAsia="Times New Roman"/>
          <w:b/>
          <w:bCs/>
          <w:rtl/>
          <w:lang w:eastAsia="de-DE"/>
        </w:rPr>
        <w:t>יָד</w:t>
      </w:r>
      <w:r w:rsidRPr="00A330A9">
        <w:rPr>
          <w:rFonts w:eastAsia="Times New Roman"/>
          <w:rtl/>
          <w:lang w:eastAsia="de-DE"/>
        </w:rPr>
        <w:t xml:space="preserve"> </w:t>
      </w:r>
      <w:r w:rsidRPr="00A330A9">
        <w:rPr>
          <w:rFonts w:eastAsia="Times New Roman"/>
          <w:lang w:eastAsia="de-DE"/>
        </w:rPr>
        <w:t xml:space="preserve">und Suffix 2. Person Singular „in deine Hand"), </w:t>
      </w:r>
      <w:r w:rsidRPr="00A330A9">
        <w:rPr>
          <w:rFonts w:eastAsia="Times New Roman"/>
          <w:b/>
          <w:bCs/>
          <w:rtl/>
          <w:lang w:eastAsia="de-DE"/>
        </w:rPr>
        <w:t>כַּיּוֹם הַזֶּה</w:t>
      </w:r>
      <w:r w:rsidRPr="00A330A9">
        <w:rPr>
          <w:rFonts w:eastAsia="Times New Roman"/>
          <w:rtl/>
          <w:lang w:eastAsia="de-DE"/>
        </w:rPr>
        <w:t xml:space="preserve"> </w:t>
      </w:r>
      <w:r w:rsidRPr="00A330A9">
        <w:rPr>
          <w:rFonts w:eastAsia="Times New Roman"/>
          <w:lang w:eastAsia="de-DE"/>
        </w:rPr>
        <w:t>(</w:t>
      </w:r>
      <w:r w:rsidRPr="00A330A9">
        <w:rPr>
          <w:rFonts w:eastAsia="Times New Roman"/>
          <w:b/>
          <w:bCs/>
          <w:rtl/>
          <w:lang w:eastAsia="de-DE"/>
        </w:rPr>
        <w:t>כְּ</w:t>
      </w:r>
      <w:r w:rsidRPr="00A330A9">
        <w:rPr>
          <w:rFonts w:eastAsia="Times New Roman"/>
          <w:rtl/>
          <w:lang w:eastAsia="de-DE"/>
        </w:rPr>
        <w:t xml:space="preserve"> </w:t>
      </w:r>
      <w:r w:rsidRPr="00A330A9">
        <w:rPr>
          <w:rFonts w:eastAsia="Times New Roman"/>
          <w:lang w:eastAsia="de-DE"/>
        </w:rPr>
        <w:t xml:space="preserve">„wie" mit </w:t>
      </w:r>
      <w:r w:rsidRPr="00A330A9">
        <w:rPr>
          <w:rFonts w:eastAsia="Times New Roman"/>
          <w:b/>
          <w:bCs/>
          <w:rtl/>
          <w:lang w:eastAsia="de-DE"/>
        </w:rPr>
        <w:t>הַיּוֹם הַזֶּה</w:t>
      </w:r>
      <w:r w:rsidRPr="00A330A9">
        <w:rPr>
          <w:rFonts w:eastAsia="Times New Roman"/>
          <w:rtl/>
          <w:lang w:eastAsia="de-DE"/>
        </w:rPr>
        <w:t xml:space="preserve"> </w:t>
      </w:r>
      <w:r w:rsidRPr="00A330A9">
        <w:rPr>
          <w:rFonts w:eastAsia="Times New Roman"/>
          <w:lang w:eastAsia="de-DE"/>
        </w:rPr>
        <w:t>„dieser Tag"), eine Formel, die auf die gegenwärtige Erfüllung hinweist.</w:t>
      </w:r>
    </w:p>
    <w:p w14:paraId="353F9FD8" w14:textId="5D53FD86"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b/>
          <w:bCs/>
          <w:lang w:eastAsia="de-DE"/>
        </w:rPr>
        <w:t>Die LXX</w:t>
      </w:r>
      <w:r w:rsidRPr="00A330A9">
        <w:rPr>
          <w:rFonts w:eastAsia="Times New Roman"/>
          <w:lang w:eastAsia="de-DE"/>
        </w:rPr>
        <w:t xml:space="preserve"> </w:t>
      </w:r>
      <w:r w:rsidR="00516967">
        <w:t>übersetzt „</w:t>
      </w:r>
      <w:r w:rsidR="00516967">
        <w:rPr>
          <w:rtl/>
        </w:rPr>
        <w:t>הִקְשָׁה יְהוָה אֱלֹהֶיךָ</w:t>
      </w:r>
      <w:r w:rsidR="00516967">
        <w:t>" (der HERR, dein Gott, verstockte) mit „</w:t>
      </w:r>
      <w:proofErr w:type="spellStart"/>
      <w:r w:rsidR="00516967">
        <w:t>ἐσκλήρυνεν</w:t>
      </w:r>
      <w:proofErr w:type="spellEnd"/>
      <w:r w:rsidR="00516967">
        <w:t xml:space="preserve"> </w:t>
      </w:r>
      <w:proofErr w:type="spellStart"/>
      <w:r w:rsidR="00516967">
        <w:t>κύριος</w:t>
      </w:r>
      <w:proofErr w:type="spellEnd"/>
      <w:r w:rsidR="00516967">
        <w:t xml:space="preserve"> ὁ </w:t>
      </w:r>
      <w:proofErr w:type="spellStart"/>
      <w:r w:rsidR="00516967">
        <w:t>θεὸς</w:t>
      </w:r>
      <w:proofErr w:type="spellEnd"/>
      <w:r w:rsidR="00516967">
        <w:t xml:space="preserve"> </w:t>
      </w:r>
      <w:proofErr w:type="spellStart"/>
      <w:r w:rsidR="00516967">
        <w:t>ἡμῶν</w:t>
      </w:r>
      <w:proofErr w:type="spellEnd"/>
      <w:r w:rsidR="00516967">
        <w:t>" (der HERR, unser Gott, verhärtete), wobei die zweite Person Singular zu erster Person Plural wechselt.</w:t>
      </w:r>
    </w:p>
    <w:p w14:paraId="64E3EECB" w14:textId="177CC9EB"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lang w:eastAsia="de-DE"/>
        </w:rPr>
        <w:t>Die Satzstruktur besteht aus einem Hauptsatz einer kausalen Begründung mit zwei parallelen Verben und einer finalen Begründung.</w:t>
      </w:r>
    </w:p>
    <w:p w14:paraId="174CCCF9" w14:textId="148FF711" w:rsidR="00A330A9" w:rsidRPr="00A330A9" w:rsidRDefault="00A330A9" w:rsidP="00A330A9">
      <w:pPr>
        <w:spacing w:before="100" w:beforeAutospacing="1" w:after="100" w:afterAutospacing="1" w:line="240" w:lineRule="auto"/>
        <w:rPr>
          <w:rFonts w:eastAsia="Times New Roman"/>
          <w:lang w:eastAsia="de-DE"/>
        </w:rPr>
      </w:pPr>
      <w:r w:rsidRPr="00A330A9">
        <w:rPr>
          <w:rFonts w:eastAsia="Times New Roman"/>
          <w:lang w:eastAsia="de-DE"/>
        </w:rPr>
        <w:t xml:space="preserve">Der Vers erklärt Sihons Ablehnung theologisch: JHWH selbst verhärtete Sihons Geist und Herz, damit der Konflikt stattfände und Sihon in Israels Hand gegeben würde. Dies erinnert an die Verhärtung </w:t>
      </w:r>
      <w:r w:rsidR="003F0E7B">
        <w:rPr>
          <w:rFonts w:eastAsia="Times New Roman"/>
          <w:lang w:eastAsia="de-DE"/>
        </w:rPr>
        <w:t>Par’o</w:t>
      </w:r>
      <w:r w:rsidRPr="00A330A9">
        <w:rPr>
          <w:rFonts w:eastAsia="Times New Roman"/>
          <w:lang w:eastAsia="de-DE"/>
        </w:rPr>
        <w:t xml:space="preserve">s (Ex 4,21; 7,3) und zeigt die göttliche Souveränität über menschliche Entscheidungen. Die Ablehnung des Friedensangebots war Teil von JHWHs Plan, Israel das Ostjordanland zu geben. Die Formel </w:t>
      </w:r>
      <w:r w:rsidRPr="00A330A9">
        <w:rPr>
          <w:rFonts w:eastAsia="Times New Roman"/>
          <w:b/>
          <w:bCs/>
          <w:rtl/>
          <w:lang w:eastAsia="de-DE"/>
        </w:rPr>
        <w:t>כַּיּוֹם הַזֶּה</w:t>
      </w:r>
      <w:r w:rsidRPr="00A330A9">
        <w:rPr>
          <w:rFonts w:eastAsia="Times New Roman"/>
          <w:rtl/>
          <w:lang w:eastAsia="de-DE"/>
        </w:rPr>
        <w:t xml:space="preserve"> </w:t>
      </w:r>
      <w:r w:rsidRPr="00A330A9">
        <w:rPr>
          <w:rFonts w:eastAsia="Times New Roman"/>
          <w:lang w:eastAsia="de-DE"/>
        </w:rPr>
        <w:t>bestätigt, dass dies tatsächlich eingetreten ist.</w:t>
      </w:r>
    </w:p>
    <w:p w14:paraId="79528095" w14:textId="77777777" w:rsidR="00C111E7" w:rsidRPr="00C111E7" w:rsidRDefault="00C111E7" w:rsidP="00C111E7">
      <w:pPr>
        <w:spacing w:before="100" w:beforeAutospacing="1" w:after="100" w:afterAutospacing="1" w:line="240" w:lineRule="auto"/>
        <w:outlineLvl w:val="1"/>
        <w:rPr>
          <w:rFonts w:eastAsia="Times New Roman"/>
          <w:b/>
          <w:bCs/>
          <w:sz w:val="36"/>
          <w:szCs w:val="36"/>
          <w:lang w:eastAsia="de-DE"/>
        </w:rPr>
      </w:pPr>
      <w:r w:rsidRPr="00C111E7">
        <w:rPr>
          <w:rFonts w:eastAsia="Times New Roman"/>
          <w:b/>
          <w:bCs/>
          <w:sz w:val="36"/>
          <w:szCs w:val="36"/>
          <w:lang w:eastAsia="de-DE"/>
        </w:rPr>
        <w:t>Deuteronomium 2,31</w:t>
      </w:r>
    </w:p>
    <w:p w14:paraId="6D1BCF62"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lang w:eastAsia="de-DE"/>
        </w:rPr>
        <w:t>Hebräisch:</w:t>
      </w:r>
      <w:r w:rsidRPr="00C111E7">
        <w:rPr>
          <w:rFonts w:eastAsia="Times New Roman"/>
          <w:lang w:eastAsia="de-DE"/>
        </w:rPr>
        <w:t xml:space="preserve"> </w:t>
      </w:r>
      <w:r w:rsidRPr="00C111E7">
        <w:rPr>
          <w:rFonts w:eastAsia="Times New Roman"/>
          <w:rtl/>
          <w:lang w:eastAsia="de-DE"/>
        </w:rPr>
        <w:t>וַיֹּ֤אמֶר יְהוָה֙ אֵלַ֔י רְאֵ֗ה הַֽחִלֹּ֙תִי֙ תֵּ֣ת לְפָנֶ֔יךָ אֶת־סִיחֹ֖ן וְאֶת־אַרְצֹ֑ו הָחֵ֣ל רָ֔שׁ לָרֶ֖שֶׁת אֶת־אַרְצֹֽו׃</w:t>
      </w:r>
    </w:p>
    <w:p w14:paraId="5EEFDB29"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lang w:eastAsia="de-DE"/>
        </w:rPr>
        <w:t>Deutsch:</w:t>
      </w:r>
      <w:r w:rsidRPr="00C111E7">
        <w:rPr>
          <w:rFonts w:eastAsia="Times New Roman"/>
          <w:lang w:eastAsia="de-DE"/>
        </w:rPr>
        <w:t xml:space="preserve"> Und der Ewige sprach zu mir: Siehe, ich habe begonnen, Sichon und sein Land vor dich zu geben. Fange an, es in Besitz zu nehmen, um sein Land zu besitzen.</w:t>
      </w:r>
    </w:p>
    <w:p w14:paraId="32B797C6" w14:textId="77777777" w:rsidR="00C111E7" w:rsidRPr="00C111E7" w:rsidRDefault="004F5CEB" w:rsidP="00C111E7">
      <w:pPr>
        <w:spacing w:after="0" w:line="240" w:lineRule="auto"/>
        <w:rPr>
          <w:rFonts w:eastAsia="Times New Roman"/>
          <w:lang w:eastAsia="de-DE"/>
        </w:rPr>
      </w:pPr>
      <w:r>
        <w:rPr>
          <w:rFonts w:eastAsia="Times New Roman"/>
          <w:noProof/>
          <w:lang w:eastAsia="de-DE"/>
        </w:rPr>
        <w:pict w14:anchorId="0919F54E">
          <v:rect id="_x0000_i1101" style="width:0;height:1.5pt" o:hralign="center" o:hrstd="t" o:hr="t" fillcolor="#a0a0a0" stroked="f"/>
        </w:pict>
      </w:r>
    </w:p>
    <w:p w14:paraId="484665A4" w14:textId="1626394C"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lang w:eastAsia="de-DE"/>
        </w:rPr>
        <w:t>Kommentar:</w:t>
      </w:r>
      <w:r w:rsidRPr="00C111E7">
        <w:rPr>
          <w:rFonts w:eastAsia="Times New Roman"/>
          <w:lang w:eastAsia="de-DE"/>
        </w:rPr>
        <w:t xml:space="preserve"> </w:t>
      </w:r>
      <w:r w:rsidRPr="00C111E7">
        <w:rPr>
          <w:rFonts w:eastAsia="Times New Roman"/>
          <w:b/>
          <w:bCs/>
          <w:rtl/>
          <w:lang w:eastAsia="de-DE"/>
        </w:rPr>
        <w:t>וַיֹּאמֶר יְהוָה אֵלַי</w:t>
      </w:r>
      <w:r w:rsidRPr="00C111E7">
        <w:rPr>
          <w:rFonts w:eastAsia="Times New Roman"/>
          <w:rtl/>
          <w:lang w:eastAsia="de-DE"/>
        </w:rPr>
        <w:t xml:space="preserve"> </w:t>
      </w:r>
      <w:r w:rsidRPr="00C111E7">
        <w:rPr>
          <w:rFonts w:eastAsia="Times New Roman"/>
          <w:lang w:eastAsia="de-DE"/>
        </w:rPr>
        <w:t xml:space="preserve">ist die vertraute Redeeinleitungsformel. </w:t>
      </w:r>
      <w:r w:rsidRPr="00C111E7">
        <w:rPr>
          <w:rFonts w:eastAsia="Times New Roman"/>
          <w:b/>
          <w:bCs/>
          <w:rtl/>
          <w:lang w:eastAsia="de-DE"/>
        </w:rPr>
        <w:t>רְאֵה</w:t>
      </w:r>
      <w:r w:rsidRPr="00C111E7">
        <w:rPr>
          <w:rFonts w:eastAsia="Times New Roman"/>
          <w:rtl/>
          <w:lang w:eastAsia="de-DE"/>
        </w:rPr>
        <w:t xml:space="preserve"> </w:t>
      </w:r>
      <w:r w:rsidRPr="00C111E7">
        <w:rPr>
          <w:rFonts w:eastAsia="Times New Roman"/>
          <w:lang w:eastAsia="de-DE"/>
        </w:rPr>
        <w:t xml:space="preserve">ist Qal Imperativ Singular von </w:t>
      </w:r>
      <w:r w:rsidRPr="00C111E7">
        <w:rPr>
          <w:rFonts w:eastAsia="Times New Roman"/>
          <w:rtl/>
          <w:lang w:eastAsia="de-DE"/>
        </w:rPr>
        <w:t>ראה</w:t>
      </w:r>
      <w:r w:rsidRPr="00C111E7">
        <w:rPr>
          <w:rFonts w:eastAsia="Times New Roman"/>
          <w:lang w:eastAsia="de-DE"/>
        </w:rPr>
        <w:t xml:space="preserve"> als Aufmerksamkeitspartikel. </w:t>
      </w:r>
      <w:r w:rsidRPr="00C111E7">
        <w:rPr>
          <w:rFonts w:eastAsia="Times New Roman"/>
          <w:b/>
          <w:bCs/>
          <w:rtl/>
          <w:lang w:eastAsia="de-DE"/>
        </w:rPr>
        <w:t>הַחִלֹּתִי</w:t>
      </w:r>
      <w:r w:rsidRPr="00C111E7">
        <w:rPr>
          <w:rFonts w:eastAsia="Times New Roman"/>
          <w:rtl/>
          <w:lang w:eastAsia="de-DE"/>
        </w:rPr>
        <w:t xml:space="preserve"> </w:t>
      </w:r>
      <w:r w:rsidRPr="00C111E7">
        <w:rPr>
          <w:rFonts w:eastAsia="Times New Roman"/>
          <w:lang w:eastAsia="de-DE"/>
        </w:rPr>
        <w:t xml:space="preserve">ist Hif'il Perfekt, 1. Person Singular von </w:t>
      </w:r>
      <w:r w:rsidRPr="00C111E7">
        <w:rPr>
          <w:rFonts w:eastAsia="Times New Roman"/>
          <w:rtl/>
          <w:lang w:eastAsia="de-DE"/>
        </w:rPr>
        <w:t>חלל</w:t>
      </w:r>
      <w:r w:rsidRPr="00C111E7">
        <w:rPr>
          <w:rFonts w:eastAsia="Times New Roman"/>
          <w:lang w:eastAsia="de-DE"/>
        </w:rPr>
        <w:t xml:space="preserve"> („beginnen") mit Suffix. </w:t>
      </w:r>
      <w:r w:rsidRPr="00C111E7">
        <w:rPr>
          <w:rFonts w:eastAsia="Times New Roman"/>
          <w:b/>
          <w:bCs/>
          <w:rtl/>
          <w:lang w:eastAsia="de-DE"/>
        </w:rPr>
        <w:t>תֵּת</w:t>
      </w:r>
      <w:r w:rsidRPr="00C111E7">
        <w:rPr>
          <w:rFonts w:eastAsia="Times New Roman"/>
          <w:rtl/>
          <w:lang w:eastAsia="de-DE"/>
        </w:rPr>
        <w:t xml:space="preserve"> </w:t>
      </w:r>
      <w:r w:rsidRPr="00C111E7">
        <w:rPr>
          <w:rFonts w:eastAsia="Times New Roman"/>
          <w:lang w:eastAsia="de-DE"/>
        </w:rPr>
        <w:t xml:space="preserve">ist Qal Infinitiv </w:t>
      </w:r>
      <w:r w:rsidR="0032647F">
        <w:rPr>
          <w:rFonts w:eastAsia="Times New Roman"/>
          <w:lang w:eastAsia="de-DE"/>
        </w:rPr>
        <w:t>Construct</w:t>
      </w:r>
      <w:r w:rsidRPr="00C111E7">
        <w:rPr>
          <w:rFonts w:eastAsia="Times New Roman"/>
          <w:lang w:eastAsia="de-DE"/>
        </w:rPr>
        <w:t xml:space="preserve"> von </w:t>
      </w:r>
      <w:r w:rsidRPr="00C111E7">
        <w:rPr>
          <w:rFonts w:eastAsia="Times New Roman"/>
          <w:rtl/>
          <w:lang w:eastAsia="de-DE"/>
        </w:rPr>
        <w:t>נתן</w:t>
      </w:r>
      <w:r w:rsidRPr="00C111E7">
        <w:rPr>
          <w:rFonts w:eastAsia="Times New Roman"/>
          <w:lang w:eastAsia="de-DE"/>
        </w:rPr>
        <w:t xml:space="preserve"> („geben"). </w:t>
      </w:r>
      <w:r w:rsidRPr="00C111E7">
        <w:rPr>
          <w:rFonts w:eastAsia="Times New Roman"/>
          <w:b/>
          <w:bCs/>
          <w:rtl/>
          <w:lang w:eastAsia="de-DE"/>
        </w:rPr>
        <w:t>לְפָנֶיךָ</w:t>
      </w:r>
      <w:r w:rsidRPr="00C111E7">
        <w:rPr>
          <w:rFonts w:eastAsia="Times New Roman"/>
          <w:rtl/>
          <w:lang w:eastAsia="de-DE"/>
        </w:rPr>
        <w:t xml:space="preserve"> </w:t>
      </w:r>
      <w:r w:rsidRPr="00C111E7">
        <w:rPr>
          <w:rFonts w:eastAsia="Times New Roman"/>
          <w:lang w:eastAsia="de-DE"/>
        </w:rPr>
        <w:t xml:space="preserve">ist </w:t>
      </w:r>
      <w:r w:rsidRPr="00C111E7">
        <w:rPr>
          <w:rFonts w:eastAsia="Times New Roman"/>
          <w:b/>
          <w:bCs/>
          <w:rtl/>
          <w:lang w:eastAsia="de-DE"/>
        </w:rPr>
        <w:t>לְ</w:t>
      </w:r>
      <w:r w:rsidRPr="00C111E7">
        <w:rPr>
          <w:rFonts w:eastAsia="Times New Roman"/>
          <w:rtl/>
          <w:lang w:eastAsia="de-DE"/>
        </w:rPr>
        <w:t xml:space="preserve"> </w:t>
      </w:r>
      <w:r w:rsidRPr="00C111E7">
        <w:rPr>
          <w:rFonts w:eastAsia="Times New Roman"/>
          <w:lang w:eastAsia="de-DE"/>
        </w:rPr>
        <w:t xml:space="preserve">mit </w:t>
      </w:r>
      <w:r w:rsidRPr="00C111E7">
        <w:rPr>
          <w:rFonts w:eastAsia="Times New Roman"/>
          <w:b/>
          <w:bCs/>
          <w:rtl/>
          <w:lang w:eastAsia="de-DE"/>
        </w:rPr>
        <w:t>פָּנִים</w:t>
      </w:r>
      <w:r w:rsidRPr="00C111E7">
        <w:rPr>
          <w:rFonts w:eastAsia="Times New Roman"/>
          <w:rtl/>
          <w:lang w:eastAsia="de-DE"/>
        </w:rPr>
        <w:t xml:space="preserve"> </w:t>
      </w:r>
      <w:r w:rsidRPr="00C111E7">
        <w:rPr>
          <w:rFonts w:eastAsia="Times New Roman"/>
          <w:lang w:eastAsia="de-DE"/>
        </w:rPr>
        <w:t xml:space="preserve">im Plural </w:t>
      </w:r>
      <w:r w:rsidR="0032647F">
        <w:rPr>
          <w:rFonts w:eastAsia="Times New Roman"/>
          <w:lang w:eastAsia="de-DE"/>
        </w:rPr>
        <w:t>Construct</w:t>
      </w:r>
      <w:r w:rsidRPr="00C111E7">
        <w:rPr>
          <w:rFonts w:eastAsia="Times New Roman"/>
          <w:lang w:eastAsia="de-DE"/>
        </w:rPr>
        <w:t xml:space="preserve"> und Suffix 2. Person Singular („vor dich"). </w:t>
      </w:r>
      <w:r w:rsidRPr="00C111E7">
        <w:rPr>
          <w:rFonts w:eastAsia="Times New Roman"/>
          <w:b/>
          <w:bCs/>
          <w:rtl/>
          <w:lang w:eastAsia="de-DE"/>
        </w:rPr>
        <w:t>אֶת־סִיחֹן וְאֶת־אַרְצוֹ</w:t>
      </w:r>
      <w:r w:rsidRPr="00C111E7">
        <w:rPr>
          <w:rFonts w:eastAsia="Times New Roman"/>
          <w:rtl/>
          <w:lang w:eastAsia="de-DE"/>
        </w:rPr>
        <w:t xml:space="preserve"> </w:t>
      </w:r>
      <w:r w:rsidRPr="00C111E7">
        <w:rPr>
          <w:rFonts w:eastAsia="Times New Roman"/>
          <w:lang w:eastAsia="de-DE"/>
        </w:rPr>
        <w:t xml:space="preserve">ist die Objektpartikel mit </w:t>
      </w:r>
      <w:r w:rsidRPr="00C111E7">
        <w:rPr>
          <w:rFonts w:eastAsia="Times New Roman"/>
          <w:b/>
          <w:bCs/>
          <w:rtl/>
          <w:lang w:eastAsia="de-DE"/>
        </w:rPr>
        <w:t>סִיחֹן</w:t>
      </w:r>
      <w:r w:rsidRPr="00C111E7">
        <w:rPr>
          <w:rFonts w:eastAsia="Times New Roman"/>
          <w:rtl/>
          <w:lang w:eastAsia="de-DE"/>
        </w:rPr>
        <w:t xml:space="preserve"> </w:t>
      </w:r>
      <w:r w:rsidRPr="00C111E7">
        <w:rPr>
          <w:rFonts w:eastAsia="Times New Roman"/>
          <w:lang w:eastAsia="de-DE"/>
        </w:rPr>
        <w:t xml:space="preserve">und koordiniert </w:t>
      </w:r>
      <w:r w:rsidRPr="00C111E7">
        <w:rPr>
          <w:rFonts w:eastAsia="Times New Roman"/>
          <w:b/>
          <w:bCs/>
          <w:rtl/>
          <w:lang w:eastAsia="de-DE"/>
        </w:rPr>
        <w:t>וְאֶת־אַרְצוֹ</w:t>
      </w:r>
      <w:r w:rsidRPr="00C111E7">
        <w:rPr>
          <w:rFonts w:eastAsia="Times New Roman"/>
          <w:rtl/>
          <w:lang w:eastAsia="de-DE"/>
        </w:rPr>
        <w:t xml:space="preserve"> </w:t>
      </w:r>
      <w:r w:rsidRPr="00C111E7">
        <w:rPr>
          <w:rFonts w:eastAsia="Times New Roman"/>
          <w:lang w:eastAsia="de-DE"/>
        </w:rPr>
        <w:t>(</w:t>
      </w:r>
      <w:r w:rsidRPr="00C111E7">
        <w:rPr>
          <w:rFonts w:eastAsia="Times New Roman"/>
          <w:b/>
          <w:bCs/>
          <w:rtl/>
          <w:lang w:eastAsia="de-DE"/>
        </w:rPr>
        <w:t>אֶרֶץ</w:t>
      </w:r>
      <w:r w:rsidRPr="00C111E7">
        <w:rPr>
          <w:rFonts w:eastAsia="Times New Roman"/>
          <w:rtl/>
          <w:lang w:eastAsia="de-DE"/>
        </w:rPr>
        <w:t xml:space="preserve"> </w:t>
      </w:r>
      <w:r w:rsidRPr="00C111E7">
        <w:rPr>
          <w:rFonts w:eastAsia="Times New Roman"/>
          <w:lang w:eastAsia="de-DE"/>
        </w:rPr>
        <w:t>mit Suffix 3. Person Singular „und sein Land").</w:t>
      </w:r>
    </w:p>
    <w:p w14:paraId="4FB60ED5" w14:textId="3174080D"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rtl/>
          <w:lang w:eastAsia="de-DE"/>
        </w:rPr>
        <w:lastRenderedPageBreak/>
        <w:t>הָחֵל רָשׁ</w:t>
      </w:r>
      <w:r w:rsidRPr="00C111E7">
        <w:rPr>
          <w:rFonts w:eastAsia="Times New Roman"/>
          <w:rtl/>
          <w:lang w:eastAsia="de-DE"/>
        </w:rPr>
        <w:t xml:space="preserve"> </w:t>
      </w:r>
      <w:r w:rsidRPr="00C111E7">
        <w:rPr>
          <w:rFonts w:eastAsia="Times New Roman"/>
          <w:lang w:eastAsia="de-DE"/>
        </w:rPr>
        <w:t>ist die emphatische Imperativ</w:t>
      </w:r>
      <w:r w:rsidR="00D91A0B">
        <w:rPr>
          <w:rFonts w:eastAsia="Times New Roman"/>
          <w:lang w:eastAsia="de-DE"/>
        </w:rPr>
        <w:t>-</w:t>
      </w:r>
      <w:r w:rsidR="00FF2B82">
        <w:rPr>
          <w:rFonts w:eastAsia="Times New Roman"/>
          <w:lang w:eastAsia="de-DE"/>
        </w:rPr>
        <w:t>Konstruktion</w:t>
      </w:r>
      <w:r w:rsidRPr="00C111E7">
        <w:rPr>
          <w:rFonts w:eastAsia="Times New Roman"/>
          <w:lang w:eastAsia="de-DE"/>
        </w:rPr>
        <w:t xml:space="preserve"> wie in V. 24: </w:t>
      </w:r>
      <w:r w:rsidRPr="00C111E7">
        <w:rPr>
          <w:rFonts w:eastAsia="Times New Roman"/>
          <w:b/>
          <w:bCs/>
          <w:rtl/>
          <w:lang w:eastAsia="de-DE"/>
        </w:rPr>
        <w:t>הָחֵל</w:t>
      </w:r>
      <w:r w:rsidRPr="00C111E7">
        <w:rPr>
          <w:rFonts w:eastAsia="Times New Roman"/>
          <w:rtl/>
          <w:lang w:eastAsia="de-DE"/>
        </w:rPr>
        <w:t xml:space="preserve"> </w:t>
      </w:r>
      <w:r w:rsidRPr="00C111E7">
        <w:rPr>
          <w:rFonts w:eastAsia="Times New Roman"/>
          <w:lang w:eastAsia="de-DE"/>
        </w:rPr>
        <w:t xml:space="preserve">(Hif'il Imperativ Singular von </w:t>
      </w:r>
      <w:r w:rsidRPr="00C111E7">
        <w:rPr>
          <w:rFonts w:eastAsia="Times New Roman"/>
          <w:rtl/>
          <w:lang w:eastAsia="de-DE"/>
        </w:rPr>
        <w:t>חלל</w:t>
      </w:r>
      <w:r w:rsidRPr="00C111E7">
        <w:rPr>
          <w:rFonts w:eastAsia="Times New Roman"/>
          <w:lang w:eastAsia="de-DE"/>
        </w:rPr>
        <w:t xml:space="preserve">) und </w:t>
      </w:r>
      <w:r w:rsidRPr="00C111E7">
        <w:rPr>
          <w:rFonts w:eastAsia="Times New Roman"/>
          <w:b/>
          <w:bCs/>
          <w:rtl/>
          <w:lang w:eastAsia="de-DE"/>
        </w:rPr>
        <w:t>רָשׁ</w:t>
      </w:r>
      <w:r w:rsidRPr="00C111E7">
        <w:rPr>
          <w:rFonts w:eastAsia="Times New Roman"/>
          <w:rtl/>
          <w:lang w:eastAsia="de-DE"/>
        </w:rPr>
        <w:t xml:space="preserve"> </w:t>
      </w:r>
      <w:r w:rsidRPr="00C111E7">
        <w:rPr>
          <w:rFonts w:eastAsia="Times New Roman"/>
          <w:lang w:eastAsia="de-DE"/>
        </w:rPr>
        <w:t xml:space="preserve">(Qal Imperativ Singular von </w:t>
      </w:r>
      <w:r w:rsidRPr="00C111E7">
        <w:rPr>
          <w:rFonts w:eastAsia="Times New Roman"/>
          <w:rtl/>
          <w:lang w:eastAsia="de-DE"/>
        </w:rPr>
        <w:t>ירשׁ</w:t>
      </w:r>
      <w:r w:rsidRPr="00C111E7">
        <w:rPr>
          <w:rFonts w:eastAsia="Times New Roman"/>
          <w:lang w:eastAsia="de-DE"/>
        </w:rPr>
        <w:t xml:space="preserve"> „in Besitz nehmen"). </w:t>
      </w:r>
      <w:r w:rsidRPr="00C111E7">
        <w:rPr>
          <w:rFonts w:eastAsia="Times New Roman"/>
          <w:b/>
          <w:bCs/>
          <w:rtl/>
          <w:lang w:eastAsia="de-DE"/>
        </w:rPr>
        <w:t>לָרֶשֶׁת אֶת־אַרְצוֹ</w:t>
      </w:r>
      <w:r w:rsidRPr="00C111E7">
        <w:rPr>
          <w:rFonts w:eastAsia="Times New Roman"/>
          <w:rtl/>
          <w:lang w:eastAsia="de-DE"/>
        </w:rPr>
        <w:t xml:space="preserve"> </w:t>
      </w:r>
      <w:r w:rsidRPr="00C111E7">
        <w:rPr>
          <w:rFonts w:eastAsia="Times New Roman"/>
          <w:lang w:eastAsia="de-DE"/>
        </w:rPr>
        <w:t xml:space="preserve">ist </w:t>
      </w:r>
      <w:r w:rsidRPr="00C111E7">
        <w:rPr>
          <w:rFonts w:eastAsia="Times New Roman"/>
          <w:b/>
          <w:bCs/>
          <w:rtl/>
          <w:lang w:eastAsia="de-DE"/>
        </w:rPr>
        <w:t>לְ</w:t>
      </w:r>
      <w:r w:rsidRPr="00C111E7">
        <w:rPr>
          <w:rFonts w:eastAsia="Times New Roman"/>
          <w:rtl/>
          <w:lang w:eastAsia="de-DE"/>
        </w:rPr>
        <w:t xml:space="preserve"> </w:t>
      </w:r>
      <w:r w:rsidRPr="00C111E7">
        <w:rPr>
          <w:rFonts w:eastAsia="Times New Roman"/>
          <w:lang w:eastAsia="de-DE"/>
        </w:rPr>
        <w:t xml:space="preserve">mit Qal Infinitiv </w:t>
      </w:r>
      <w:r w:rsidR="0032647F">
        <w:rPr>
          <w:rFonts w:eastAsia="Times New Roman"/>
          <w:lang w:eastAsia="de-DE"/>
        </w:rPr>
        <w:t>Construct</w:t>
      </w:r>
      <w:r w:rsidRPr="00C111E7">
        <w:rPr>
          <w:rFonts w:eastAsia="Times New Roman"/>
          <w:lang w:eastAsia="de-DE"/>
        </w:rPr>
        <w:t xml:space="preserve"> von </w:t>
      </w:r>
      <w:r w:rsidRPr="00C111E7">
        <w:rPr>
          <w:rFonts w:eastAsia="Times New Roman"/>
          <w:rtl/>
          <w:lang w:eastAsia="de-DE"/>
        </w:rPr>
        <w:t>ירשׁ</w:t>
      </w:r>
      <w:r w:rsidRPr="00C111E7">
        <w:rPr>
          <w:rFonts w:eastAsia="Times New Roman"/>
          <w:lang w:eastAsia="de-DE"/>
        </w:rPr>
        <w:t xml:space="preserve"> und </w:t>
      </w:r>
      <w:r w:rsidRPr="00C111E7">
        <w:rPr>
          <w:rFonts w:eastAsia="Times New Roman"/>
          <w:b/>
          <w:bCs/>
          <w:rtl/>
          <w:lang w:eastAsia="de-DE"/>
        </w:rPr>
        <w:t>אֶת־אַרְצוֹ</w:t>
      </w:r>
      <w:r w:rsidRPr="00C111E7">
        <w:rPr>
          <w:rFonts w:eastAsia="Times New Roman"/>
          <w:rtl/>
          <w:lang w:eastAsia="de-DE"/>
        </w:rPr>
        <w:t xml:space="preserve"> </w:t>
      </w:r>
      <w:r w:rsidRPr="00C111E7">
        <w:rPr>
          <w:rFonts w:eastAsia="Times New Roman"/>
          <w:lang w:eastAsia="de-DE"/>
        </w:rPr>
        <w:t>als Objekt. Der Infinitiv drückt den Zweck aus: „um sein Land in Besitz zu nehmen".</w:t>
      </w:r>
    </w:p>
    <w:p w14:paraId="1663DB72" w14:textId="15D000E1"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lang w:eastAsia="de-DE"/>
        </w:rPr>
        <w:t>Die LXX</w:t>
      </w:r>
      <w:r w:rsidRPr="00C111E7">
        <w:rPr>
          <w:rFonts w:eastAsia="Times New Roman"/>
          <w:lang w:eastAsia="de-DE"/>
        </w:rPr>
        <w:t xml:space="preserve"> übersetzt „καὶ </w:t>
      </w:r>
      <w:proofErr w:type="spellStart"/>
      <w:r w:rsidRPr="00C111E7">
        <w:rPr>
          <w:rFonts w:eastAsia="Times New Roman"/>
          <w:lang w:eastAsia="de-DE"/>
        </w:rPr>
        <w:t>εἶ</w:t>
      </w:r>
      <w:proofErr w:type="spellEnd"/>
      <w:r w:rsidRPr="00C111E7">
        <w:rPr>
          <w:rFonts w:eastAsia="Times New Roman"/>
          <w:lang w:eastAsia="de-DE"/>
        </w:rPr>
        <w:t xml:space="preserve">πεν </w:t>
      </w:r>
      <w:proofErr w:type="spellStart"/>
      <w:r w:rsidRPr="00C111E7">
        <w:rPr>
          <w:rFonts w:eastAsia="Times New Roman"/>
          <w:lang w:eastAsia="de-DE"/>
        </w:rPr>
        <w:t>κύριος</w:t>
      </w:r>
      <w:proofErr w:type="spellEnd"/>
      <w:r w:rsidRPr="00C111E7">
        <w:rPr>
          <w:rFonts w:eastAsia="Times New Roman"/>
          <w:lang w:eastAsia="de-DE"/>
        </w:rPr>
        <w:t xml:space="preserve"> π</w:t>
      </w:r>
      <w:proofErr w:type="spellStart"/>
      <w:r w:rsidRPr="00C111E7">
        <w:rPr>
          <w:rFonts w:eastAsia="Times New Roman"/>
          <w:lang w:eastAsia="de-DE"/>
        </w:rPr>
        <w:t>ρός</w:t>
      </w:r>
      <w:proofErr w:type="spellEnd"/>
      <w:r w:rsidRPr="00C111E7">
        <w:rPr>
          <w:rFonts w:eastAsia="Times New Roman"/>
          <w:lang w:eastAsia="de-DE"/>
        </w:rPr>
        <w:t xml:space="preserve"> </w:t>
      </w:r>
      <w:proofErr w:type="spellStart"/>
      <w:r w:rsidRPr="00C111E7">
        <w:rPr>
          <w:rFonts w:eastAsia="Times New Roman"/>
          <w:lang w:eastAsia="de-DE"/>
        </w:rPr>
        <w:t>με</w:t>
      </w:r>
      <w:proofErr w:type="spellEnd"/>
      <w:r w:rsidRPr="00C111E7">
        <w:rPr>
          <w:rFonts w:eastAsia="Times New Roman"/>
          <w:lang w:eastAsia="de-DE"/>
        </w:rPr>
        <w:t xml:space="preserve"> </w:t>
      </w:r>
      <w:proofErr w:type="spellStart"/>
      <w:r w:rsidRPr="00C111E7">
        <w:rPr>
          <w:rFonts w:eastAsia="Times New Roman"/>
          <w:lang w:eastAsia="de-DE"/>
        </w:rPr>
        <w:t>Ἰδοὺ</w:t>
      </w:r>
      <w:proofErr w:type="spellEnd"/>
      <w:r w:rsidRPr="00C111E7">
        <w:rPr>
          <w:rFonts w:eastAsia="Times New Roman"/>
          <w:lang w:eastAsia="de-DE"/>
        </w:rPr>
        <w:t xml:space="preserve"> </w:t>
      </w:r>
      <w:proofErr w:type="spellStart"/>
      <w:r w:rsidRPr="00C111E7">
        <w:rPr>
          <w:rFonts w:eastAsia="Times New Roman"/>
          <w:lang w:eastAsia="de-DE"/>
        </w:rPr>
        <w:t>ἐγὼ</w:t>
      </w:r>
      <w:proofErr w:type="spellEnd"/>
      <w:r w:rsidRPr="00C111E7">
        <w:rPr>
          <w:rFonts w:eastAsia="Times New Roman"/>
          <w:lang w:eastAsia="de-DE"/>
        </w:rPr>
        <w:t xml:space="preserve"> </w:t>
      </w:r>
      <w:proofErr w:type="spellStart"/>
      <w:r w:rsidRPr="00C111E7">
        <w:rPr>
          <w:rFonts w:eastAsia="Times New Roman"/>
          <w:lang w:eastAsia="de-DE"/>
        </w:rPr>
        <w:t>ἤρξ</w:t>
      </w:r>
      <w:proofErr w:type="spellEnd"/>
      <w:r w:rsidRPr="00C111E7">
        <w:rPr>
          <w:rFonts w:eastAsia="Times New Roman"/>
          <w:lang w:eastAsia="de-DE"/>
        </w:rPr>
        <w:t>αμαι παρα</w:t>
      </w:r>
      <w:proofErr w:type="spellStart"/>
      <w:r w:rsidRPr="00C111E7">
        <w:rPr>
          <w:rFonts w:eastAsia="Times New Roman"/>
          <w:lang w:eastAsia="de-DE"/>
        </w:rPr>
        <w:t>διδόν</w:t>
      </w:r>
      <w:proofErr w:type="spellEnd"/>
      <w:r w:rsidRPr="00C111E7">
        <w:rPr>
          <w:rFonts w:eastAsia="Times New Roman"/>
          <w:lang w:eastAsia="de-DE"/>
        </w:rPr>
        <w:t>αι π</w:t>
      </w:r>
      <w:proofErr w:type="spellStart"/>
      <w:r w:rsidRPr="00C111E7">
        <w:rPr>
          <w:rFonts w:eastAsia="Times New Roman"/>
          <w:lang w:eastAsia="de-DE"/>
        </w:rPr>
        <w:t>ρὸ</w:t>
      </w:r>
      <w:proofErr w:type="spellEnd"/>
      <w:r w:rsidRPr="00C111E7">
        <w:rPr>
          <w:rFonts w:eastAsia="Times New Roman"/>
          <w:lang w:eastAsia="de-DE"/>
        </w:rPr>
        <w:t xml:space="preserve"> π</w:t>
      </w:r>
      <w:proofErr w:type="spellStart"/>
      <w:r w:rsidRPr="00C111E7">
        <w:rPr>
          <w:rFonts w:eastAsia="Times New Roman"/>
          <w:lang w:eastAsia="de-DE"/>
        </w:rPr>
        <w:t>ροσώ</w:t>
      </w:r>
      <w:proofErr w:type="spellEnd"/>
      <w:r w:rsidRPr="00C111E7">
        <w:rPr>
          <w:rFonts w:eastAsia="Times New Roman"/>
          <w:lang w:eastAsia="de-DE"/>
        </w:rPr>
        <w:t xml:space="preserve">που </w:t>
      </w:r>
      <w:proofErr w:type="spellStart"/>
      <w:r w:rsidRPr="00C111E7">
        <w:rPr>
          <w:rFonts w:eastAsia="Times New Roman"/>
          <w:lang w:eastAsia="de-DE"/>
        </w:rPr>
        <w:t>σου</w:t>
      </w:r>
      <w:proofErr w:type="spellEnd"/>
      <w:r w:rsidRPr="00C111E7">
        <w:rPr>
          <w:rFonts w:eastAsia="Times New Roman"/>
          <w:lang w:eastAsia="de-DE"/>
        </w:rPr>
        <w:t xml:space="preserve"> </w:t>
      </w:r>
      <w:proofErr w:type="spellStart"/>
      <w:r w:rsidRPr="00C111E7">
        <w:rPr>
          <w:rFonts w:eastAsia="Times New Roman"/>
          <w:lang w:eastAsia="de-DE"/>
        </w:rPr>
        <w:t>τὸν</w:t>
      </w:r>
      <w:proofErr w:type="spellEnd"/>
      <w:r w:rsidRPr="00C111E7">
        <w:rPr>
          <w:rFonts w:eastAsia="Times New Roman"/>
          <w:lang w:eastAsia="de-DE"/>
        </w:rPr>
        <w:t xml:space="preserve"> </w:t>
      </w:r>
      <w:proofErr w:type="spellStart"/>
      <w:r w:rsidRPr="00C111E7">
        <w:rPr>
          <w:rFonts w:eastAsia="Times New Roman"/>
          <w:lang w:eastAsia="de-DE"/>
        </w:rPr>
        <w:t>Σηων</w:t>
      </w:r>
      <w:proofErr w:type="spellEnd"/>
      <w:r w:rsidRPr="00C111E7">
        <w:rPr>
          <w:rFonts w:eastAsia="Times New Roman"/>
          <w:lang w:eastAsia="de-DE"/>
        </w:rPr>
        <w:t xml:space="preserve"> καὶ τὴν </w:t>
      </w:r>
      <w:proofErr w:type="spellStart"/>
      <w:r w:rsidRPr="00C111E7">
        <w:rPr>
          <w:rFonts w:eastAsia="Times New Roman"/>
          <w:lang w:eastAsia="de-DE"/>
        </w:rPr>
        <w:t>γῆν</w:t>
      </w:r>
      <w:proofErr w:type="spellEnd"/>
      <w:r w:rsidRPr="00C111E7">
        <w:rPr>
          <w:rFonts w:eastAsia="Times New Roman"/>
          <w:lang w:eastAsia="de-DE"/>
        </w:rPr>
        <w:t xml:space="preserve"> α</w:t>
      </w:r>
      <w:proofErr w:type="spellStart"/>
      <w:r w:rsidRPr="00C111E7">
        <w:rPr>
          <w:rFonts w:eastAsia="Times New Roman"/>
          <w:lang w:eastAsia="de-DE"/>
        </w:rPr>
        <w:t>ὐτοῦ</w:t>
      </w:r>
      <w:proofErr w:type="spellEnd"/>
      <w:r w:rsidRPr="00C111E7">
        <w:rPr>
          <w:rFonts w:eastAsia="Times New Roman"/>
          <w:lang w:eastAsia="de-DE"/>
        </w:rPr>
        <w:t xml:space="preserve">, καὶ </w:t>
      </w:r>
      <w:proofErr w:type="spellStart"/>
      <w:r w:rsidRPr="00C111E7">
        <w:rPr>
          <w:rFonts w:eastAsia="Times New Roman"/>
          <w:lang w:eastAsia="de-DE"/>
        </w:rPr>
        <w:t>ἐνάρξῃ</w:t>
      </w:r>
      <w:proofErr w:type="spellEnd"/>
      <w:r w:rsidRPr="00C111E7">
        <w:rPr>
          <w:rFonts w:eastAsia="Times New Roman"/>
          <w:lang w:eastAsia="de-DE"/>
        </w:rPr>
        <w:t xml:space="preserve"> </w:t>
      </w:r>
      <w:proofErr w:type="spellStart"/>
      <w:r w:rsidRPr="00C111E7">
        <w:rPr>
          <w:rFonts w:eastAsia="Times New Roman"/>
          <w:lang w:eastAsia="de-DE"/>
        </w:rPr>
        <w:t>κληρονομῆσ</w:t>
      </w:r>
      <w:proofErr w:type="spellEnd"/>
      <w:r w:rsidRPr="00C111E7">
        <w:rPr>
          <w:rFonts w:eastAsia="Times New Roman"/>
          <w:lang w:eastAsia="de-DE"/>
        </w:rPr>
        <w:t xml:space="preserve">αι τὴν </w:t>
      </w:r>
      <w:proofErr w:type="spellStart"/>
      <w:r w:rsidRPr="00C111E7">
        <w:rPr>
          <w:rFonts w:eastAsia="Times New Roman"/>
          <w:lang w:eastAsia="de-DE"/>
        </w:rPr>
        <w:t>γῆν</w:t>
      </w:r>
      <w:proofErr w:type="spellEnd"/>
      <w:r w:rsidRPr="00C111E7">
        <w:rPr>
          <w:rFonts w:eastAsia="Times New Roman"/>
          <w:lang w:eastAsia="de-DE"/>
        </w:rPr>
        <w:t xml:space="preserve"> α</w:t>
      </w:r>
      <w:proofErr w:type="spellStart"/>
      <w:r w:rsidRPr="00C111E7">
        <w:rPr>
          <w:rFonts w:eastAsia="Times New Roman"/>
          <w:lang w:eastAsia="de-DE"/>
        </w:rPr>
        <w:t>ὐτοῦ</w:t>
      </w:r>
      <w:proofErr w:type="spellEnd"/>
      <w:r w:rsidRPr="00C111E7">
        <w:rPr>
          <w:rFonts w:eastAsia="Times New Roman"/>
          <w:lang w:eastAsia="de-DE"/>
        </w:rPr>
        <w:t xml:space="preserve">" („und der Herr sprach zu mir: Siehe, ich habe begonnen zu übergeben vor dein Angesicht </w:t>
      </w:r>
      <w:proofErr w:type="spellStart"/>
      <w:r w:rsidRPr="00C111E7">
        <w:rPr>
          <w:rFonts w:eastAsia="Times New Roman"/>
          <w:lang w:eastAsia="de-DE"/>
        </w:rPr>
        <w:t>Seon</w:t>
      </w:r>
      <w:proofErr w:type="spellEnd"/>
      <w:r w:rsidRPr="00C111E7">
        <w:rPr>
          <w:rFonts w:eastAsia="Times New Roman"/>
          <w:lang w:eastAsia="de-DE"/>
        </w:rPr>
        <w:t xml:space="preserve"> und sein Land, und beginne zu erben sein Land"). Die LXX gibt die doppelte </w:t>
      </w:r>
      <w:r w:rsidR="00D91A0B">
        <w:rPr>
          <w:rFonts w:eastAsia="Times New Roman"/>
          <w:lang w:eastAsia="de-DE"/>
        </w:rPr>
        <w:t>Imperativ-Konstruktion</w:t>
      </w:r>
      <w:r w:rsidRPr="00C111E7">
        <w:rPr>
          <w:rFonts w:eastAsia="Times New Roman"/>
          <w:lang w:eastAsia="de-DE"/>
        </w:rPr>
        <w:t xml:space="preserve"> </w:t>
      </w:r>
      <w:r w:rsidRPr="00C111E7">
        <w:rPr>
          <w:rFonts w:eastAsia="Times New Roman"/>
          <w:b/>
          <w:bCs/>
          <w:rtl/>
          <w:lang w:eastAsia="de-DE"/>
        </w:rPr>
        <w:t>הָחֵל רָשׁ</w:t>
      </w:r>
      <w:r w:rsidRPr="00C111E7">
        <w:rPr>
          <w:rFonts w:eastAsia="Times New Roman"/>
          <w:rtl/>
          <w:lang w:eastAsia="de-DE"/>
        </w:rPr>
        <w:t xml:space="preserve"> </w:t>
      </w:r>
      <w:r w:rsidRPr="00C111E7">
        <w:rPr>
          <w:rFonts w:eastAsia="Times New Roman"/>
          <w:lang w:eastAsia="de-DE"/>
        </w:rPr>
        <w:t>mit einem einzigen Verb wieder.</w:t>
      </w:r>
    </w:p>
    <w:p w14:paraId="0FE664A2"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lang w:eastAsia="de-DE"/>
        </w:rPr>
        <w:t>Die Satzstruktur besteht aus einer Redeeinleitung (</w:t>
      </w:r>
      <w:r w:rsidRPr="00C111E7">
        <w:rPr>
          <w:rFonts w:eastAsia="Times New Roman"/>
          <w:b/>
          <w:bCs/>
          <w:rtl/>
          <w:lang w:eastAsia="de-DE"/>
        </w:rPr>
        <w:t>וַיֹּאמֶר יְהוָה אֵלַי</w:t>
      </w:r>
      <w:r w:rsidRPr="00C111E7">
        <w:rPr>
          <w:rFonts w:eastAsia="Times New Roman"/>
          <w:lang w:eastAsia="de-DE"/>
        </w:rPr>
        <w:t xml:space="preserve">) mit direkter Rede, die drei Elemente enthält: (1) Aufmerksamkeitspartikel mit </w:t>
      </w:r>
      <w:proofErr w:type="spellStart"/>
      <w:r w:rsidRPr="00C111E7">
        <w:rPr>
          <w:rFonts w:eastAsia="Times New Roman"/>
          <w:lang w:eastAsia="de-DE"/>
        </w:rPr>
        <w:t>Perfektaussage</w:t>
      </w:r>
      <w:proofErr w:type="spellEnd"/>
      <w:r w:rsidRPr="00C111E7">
        <w:rPr>
          <w:rFonts w:eastAsia="Times New Roman"/>
          <w:lang w:eastAsia="de-DE"/>
        </w:rPr>
        <w:t xml:space="preserve"> </w:t>
      </w:r>
      <w:r w:rsidRPr="00C111E7">
        <w:rPr>
          <w:rFonts w:eastAsia="Times New Roman"/>
          <w:b/>
          <w:bCs/>
          <w:rtl/>
          <w:lang w:eastAsia="de-DE"/>
        </w:rPr>
        <w:t>רְאֵה הַחִלֹּתִי תֵּת לְפָנֶיךָ אֶת־סִיחֹן וְאֶת־אַרְצוֹ</w:t>
      </w:r>
      <w:r w:rsidRPr="00C111E7">
        <w:rPr>
          <w:rFonts w:eastAsia="Times New Roman"/>
          <w:lang w:eastAsia="de-DE"/>
        </w:rPr>
        <w:t xml:space="preserve">, (2) doppelter Imperativ </w:t>
      </w:r>
      <w:r w:rsidRPr="00C111E7">
        <w:rPr>
          <w:rFonts w:eastAsia="Times New Roman"/>
          <w:b/>
          <w:bCs/>
          <w:rtl/>
          <w:lang w:eastAsia="de-DE"/>
        </w:rPr>
        <w:t>הָחֵל רָשׁ</w:t>
      </w:r>
      <w:r w:rsidRPr="00C111E7">
        <w:rPr>
          <w:rFonts w:eastAsia="Times New Roman"/>
          <w:lang w:eastAsia="de-DE"/>
        </w:rPr>
        <w:t xml:space="preserve">, (3) finaler Infinitiv </w:t>
      </w:r>
      <w:r w:rsidRPr="00C111E7">
        <w:rPr>
          <w:rFonts w:eastAsia="Times New Roman"/>
          <w:b/>
          <w:bCs/>
          <w:rtl/>
          <w:lang w:eastAsia="de-DE"/>
        </w:rPr>
        <w:t>לָרֶשֶׁת אֶת־אַרְצוֹ</w:t>
      </w:r>
      <w:r w:rsidRPr="00C111E7">
        <w:rPr>
          <w:rFonts w:eastAsia="Times New Roman"/>
          <w:lang w:eastAsia="de-DE"/>
        </w:rPr>
        <w:t>.</w:t>
      </w:r>
    </w:p>
    <w:p w14:paraId="14AF4184"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lang w:eastAsia="de-DE"/>
        </w:rPr>
        <w:t xml:space="preserve">Der Vers gibt JHWHs Bestätigung nach Sihons Ablehnung: Der göttliche Plan ist in Gang gesetzt („ich habe begonnen zu geben"), und Mose soll nun aktiv die Eroberung beginnen. Das Perfekt </w:t>
      </w:r>
      <w:r w:rsidRPr="00C111E7">
        <w:rPr>
          <w:rFonts w:eastAsia="Times New Roman"/>
          <w:b/>
          <w:bCs/>
          <w:rtl/>
          <w:lang w:eastAsia="de-DE"/>
        </w:rPr>
        <w:t>הַחִלֹּתִי</w:t>
      </w:r>
      <w:r w:rsidRPr="00C111E7">
        <w:rPr>
          <w:rFonts w:eastAsia="Times New Roman"/>
          <w:rtl/>
          <w:lang w:eastAsia="de-DE"/>
        </w:rPr>
        <w:t xml:space="preserve"> </w:t>
      </w:r>
      <w:r w:rsidRPr="00C111E7">
        <w:rPr>
          <w:rFonts w:eastAsia="Times New Roman"/>
          <w:lang w:eastAsia="de-DE"/>
        </w:rPr>
        <w:t xml:space="preserve">drückt aus, dass der Prozess bereits eingeleitet ist – Sihons Verhärtung war der erste Schritt. Die wiederholte Aufforderung </w:t>
      </w:r>
      <w:r w:rsidRPr="00C111E7">
        <w:rPr>
          <w:rFonts w:eastAsia="Times New Roman"/>
          <w:b/>
          <w:bCs/>
          <w:rtl/>
          <w:lang w:eastAsia="de-DE"/>
        </w:rPr>
        <w:t>הָחֵל רָשׁ</w:t>
      </w:r>
      <w:r w:rsidRPr="00C111E7">
        <w:rPr>
          <w:rFonts w:eastAsia="Times New Roman"/>
          <w:rtl/>
          <w:lang w:eastAsia="de-DE"/>
        </w:rPr>
        <w:t xml:space="preserve"> </w:t>
      </w:r>
      <w:r w:rsidRPr="00C111E7">
        <w:rPr>
          <w:rFonts w:eastAsia="Times New Roman"/>
          <w:lang w:eastAsia="de-DE"/>
        </w:rPr>
        <w:t>aus V. 24 betont die Dringlichkeit des Handelns.</w:t>
      </w:r>
    </w:p>
    <w:p w14:paraId="2271344E" w14:textId="77777777" w:rsidR="00C111E7" w:rsidRPr="00C111E7" w:rsidRDefault="00C111E7" w:rsidP="00C111E7">
      <w:pPr>
        <w:spacing w:before="100" w:beforeAutospacing="1" w:after="100" w:afterAutospacing="1" w:line="240" w:lineRule="auto"/>
        <w:outlineLvl w:val="1"/>
        <w:rPr>
          <w:rFonts w:eastAsia="Times New Roman"/>
          <w:b/>
          <w:bCs/>
          <w:sz w:val="36"/>
          <w:szCs w:val="36"/>
          <w:lang w:eastAsia="de-DE"/>
        </w:rPr>
      </w:pPr>
      <w:r w:rsidRPr="00C111E7">
        <w:rPr>
          <w:rFonts w:eastAsia="Times New Roman"/>
          <w:b/>
          <w:bCs/>
          <w:sz w:val="36"/>
          <w:szCs w:val="36"/>
          <w:lang w:eastAsia="de-DE"/>
        </w:rPr>
        <w:t>Deuteronomium 2,32</w:t>
      </w:r>
    </w:p>
    <w:p w14:paraId="6BF05585"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lang w:eastAsia="de-DE"/>
        </w:rPr>
        <w:t>Hebräisch:</w:t>
      </w:r>
      <w:r w:rsidRPr="00C111E7">
        <w:rPr>
          <w:rFonts w:eastAsia="Times New Roman"/>
          <w:lang w:eastAsia="de-DE"/>
        </w:rPr>
        <w:t xml:space="preserve"> </w:t>
      </w:r>
      <w:r w:rsidRPr="00C111E7">
        <w:rPr>
          <w:rFonts w:eastAsia="Times New Roman"/>
          <w:rtl/>
          <w:lang w:eastAsia="de-DE"/>
        </w:rPr>
        <w:t>וַיֵּצֵא֩ סִיחֹ֨ן לִקְרָאתֵ֜נוּ ה֧וּא וְכָל־עַמּ֛וֹ לַמִּלְחָמָ֖ה יָֽהְצָה׃</w:t>
      </w:r>
    </w:p>
    <w:p w14:paraId="7E0DD090"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lang w:eastAsia="de-DE"/>
        </w:rPr>
        <w:t>Deutsch:</w:t>
      </w:r>
      <w:r w:rsidRPr="00C111E7">
        <w:rPr>
          <w:rFonts w:eastAsia="Times New Roman"/>
          <w:lang w:eastAsia="de-DE"/>
        </w:rPr>
        <w:t xml:space="preserve"> Und Sichon zog aus, uns entgegen, er und sein ganzes Volk, zum Kampf nach Jahaz.</w:t>
      </w:r>
    </w:p>
    <w:p w14:paraId="73073140" w14:textId="77777777" w:rsidR="00C111E7" w:rsidRPr="00C111E7" w:rsidRDefault="004F5CEB" w:rsidP="00C111E7">
      <w:pPr>
        <w:spacing w:after="0" w:line="240" w:lineRule="auto"/>
        <w:rPr>
          <w:rFonts w:eastAsia="Times New Roman"/>
          <w:lang w:eastAsia="de-DE"/>
        </w:rPr>
      </w:pPr>
      <w:r>
        <w:rPr>
          <w:rFonts w:eastAsia="Times New Roman"/>
          <w:noProof/>
          <w:lang w:eastAsia="de-DE"/>
        </w:rPr>
        <w:pict w14:anchorId="43E4554D">
          <v:rect id="_x0000_i1102" style="width:0;height:1.5pt" o:hralign="center" o:hrstd="t" o:hr="t" fillcolor="#a0a0a0" stroked="f"/>
        </w:pict>
      </w:r>
    </w:p>
    <w:p w14:paraId="75F957B6" w14:textId="238D30F6"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lang w:eastAsia="de-DE"/>
        </w:rPr>
        <w:t>Kommentar:</w:t>
      </w:r>
      <w:r w:rsidRPr="00C111E7">
        <w:rPr>
          <w:rFonts w:eastAsia="Times New Roman"/>
          <w:lang w:eastAsia="de-DE"/>
        </w:rPr>
        <w:t xml:space="preserve"> </w:t>
      </w:r>
      <w:r w:rsidRPr="00C111E7">
        <w:rPr>
          <w:rFonts w:eastAsia="Times New Roman"/>
          <w:b/>
          <w:bCs/>
          <w:rtl/>
          <w:lang w:eastAsia="de-DE"/>
        </w:rPr>
        <w:t>וַיֵּצֵא</w:t>
      </w:r>
      <w:r w:rsidRPr="00C111E7">
        <w:rPr>
          <w:rFonts w:eastAsia="Times New Roman"/>
          <w:rtl/>
          <w:lang w:eastAsia="de-DE"/>
        </w:rPr>
        <w:t xml:space="preserve"> </w:t>
      </w:r>
      <w:r w:rsidRPr="00C111E7">
        <w:rPr>
          <w:rFonts w:eastAsia="Times New Roman"/>
          <w:lang w:eastAsia="de-DE"/>
        </w:rPr>
        <w:t xml:space="preserve">ist Qal Imperfekt consecutivum, 3. Person maskulin Singular von </w:t>
      </w:r>
      <w:r w:rsidRPr="00C111E7">
        <w:rPr>
          <w:rFonts w:eastAsia="Times New Roman"/>
          <w:rtl/>
          <w:lang w:eastAsia="de-DE"/>
        </w:rPr>
        <w:t>יצא</w:t>
      </w:r>
      <w:r w:rsidRPr="00C111E7">
        <w:rPr>
          <w:rFonts w:eastAsia="Times New Roman"/>
          <w:lang w:eastAsia="de-DE"/>
        </w:rPr>
        <w:t xml:space="preserve"> („hinausgehen, ausziehen") mit Waw. </w:t>
      </w:r>
      <w:r w:rsidRPr="00C111E7">
        <w:rPr>
          <w:rFonts w:eastAsia="Times New Roman"/>
          <w:b/>
          <w:bCs/>
          <w:rtl/>
          <w:lang w:eastAsia="de-DE"/>
        </w:rPr>
        <w:t>סִיחֹן</w:t>
      </w:r>
      <w:r w:rsidRPr="00C111E7">
        <w:rPr>
          <w:rFonts w:eastAsia="Times New Roman"/>
          <w:rtl/>
          <w:lang w:eastAsia="de-DE"/>
        </w:rPr>
        <w:t xml:space="preserve"> </w:t>
      </w:r>
      <w:r w:rsidRPr="00C111E7">
        <w:rPr>
          <w:rFonts w:eastAsia="Times New Roman"/>
          <w:lang w:eastAsia="de-DE"/>
        </w:rPr>
        <w:t xml:space="preserve">ist das Subjekt. </w:t>
      </w:r>
      <w:r w:rsidRPr="00C111E7">
        <w:rPr>
          <w:rFonts w:eastAsia="Times New Roman"/>
          <w:b/>
          <w:bCs/>
          <w:rtl/>
          <w:lang w:eastAsia="de-DE"/>
        </w:rPr>
        <w:t>לִקְרָאתֵנוּ</w:t>
      </w:r>
      <w:r w:rsidRPr="00C111E7">
        <w:rPr>
          <w:rFonts w:eastAsia="Times New Roman"/>
          <w:rtl/>
          <w:lang w:eastAsia="de-DE"/>
        </w:rPr>
        <w:t xml:space="preserve"> </w:t>
      </w:r>
      <w:r w:rsidRPr="00C111E7">
        <w:rPr>
          <w:rFonts w:eastAsia="Times New Roman"/>
          <w:lang w:eastAsia="de-DE"/>
        </w:rPr>
        <w:t xml:space="preserve">ist </w:t>
      </w:r>
      <w:r w:rsidRPr="00C111E7">
        <w:rPr>
          <w:rFonts w:eastAsia="Times New Roman"/>
          <w:b/>
          <w:bCs/>
          <w:rtl/>
          <w:lang w:eastAsia="de-DE"/>
        </w:rPr>
        <w:t>לְ</w:t>
      </w:r>
      <w:r w:rsidRPr="00C111E7">
        <w:rPr>
          <w:rFonts w:eastAsia="Times New Roman"/>
          <w:rtl/>
          <w:lang w:eastAsia="de-DE"/>
        </w:rPr>
        <w:t xml:space="preserve"> </w:t>
      </w:r>
      <w:r w:rsidRPr="00C111E7">
        <w:rPr>
          <w:rFonts w:eastAsia="Times New Roman"/>
          <w:lang w:eastAsia="de-DE"/>
        </w:rPr>
        <w:t xml:space="preserve">mit </w:t>
      </w:r>
      <w:r w:rsidRPr="00C111E7">
        <w:rPr>
          <w:rFonts w:eastAsia="Times New Roman"/>
          <w:b/>
          <w:bCs/>
          <w:rtl/>
          <w:lang w:eastAsia="de-DE"/>
        </w:rPr>
        <w:t>קִרְאַת</w:t>
      </w:r>
      <w:r w:rsidRPr="00C111E7">
        <w:rPr>
          <w:rFonts w:eastAsia="Times New Roman"/>
          <w:rtl/>
          <w:lang w:eastAsia="de-DE"/>
        </w:rPr>
        <w:t xml:space="preserve"> </w:t>
      </w:r>
      <w:r w:rsidRPr="00C111E7">
        <w:rPr>
          <w:rFonts w:eastAsia="Times New Roman"/>
          <w:lang w:eastAsia="de-DE"/>
        </w:rPr>
        <w:t xml:space="preserve">(„Begegnung") im </w:t>
      </w:r>
      <w:r w:rsidR="0032647F">
        <w:rPr>
          <w:rFonts w:eastAsia="Times New Roman"/>
          <w:lang w:eastAsia="de-DE"/>
        </w:rPr>
        <w:t>Construct</w:t>
      </w:r>
      <w:r w:rsidRPr="00C111E7">
        <w:rPr>
          <w:rFonts w:eastAsia="Times New Roman"/>
          <w:lang w:eastAsia="de-DE"/>
        </w:rPr>
        <w:t xml:space="preserve"> und Suffix 1. Person Plural („uns entgegen"). </w:t>
      </w:r>
      <w:r w:rsidRPr="00C111E7">
        <w:rPr>
          <w:rFonts w:eastAsia="Times New Roman"/>
          <w:b/>
          <w:bCs/>
          <w:rtl/>
          <w:lang w:eastAsia="de-DE"/>
        </w:rPr>
        <w:t>הוּא וְכָל־עַמּוֹ</w:t>
      </w:r>
      <w:r w:rsidRPr="00C111E7">
        <w:rPr>
          <w:rFonts w:eastAsia="Times New Roman"/>
          <w:rtl/>
          <w:lang w:eastAsia="de-DE"/>
        </w:rPr>
        <w:t xml:space="preserve"> </w:t>
      </w:r>
      <w:r w:rsidRPr="00C111E7">
        <w:rPr>
          <w:rFonts w:eastAsia="Times New Roman"/>
          <w:lang w:eastAsia="de-DE"/>
        </w:rPr>
        <w:t xml:space="preserve">ist eine erweiternde appositionelle Phrase: </w:t>
      </w:r>
      <w:r w:rsidRPr="00C111E7">
        <w:rPr>
          <w:rFonts w:eastAsia="Times New Roman"/>
          <w:b/>
          <w:bCs/>
          <w:rtl/>
          <w:lang w:eastAsia="de-DE"/>
        </w:rPr>
        <w:t>הוּא</w:t>
      </w:r>
      <w:r w:rsidRPr="00C111E7">
        <w:rPr>
          <w:rFonts w:eastAsia="Times New Roman"/>
          <w:rtl/>
          <w:lang w:eastAsia="de-DE"/>
        </w:rPr>
        <w:t xml:space="preserve"> </w:t>
      </w:r>
      <w:r w:rsidRPr="00C111E7">
        <w:rPr>
          <w:rFonts w:eastAsia="Times New Roman"/>
          <w:lang w:eastAsia="de-DE"/>
        </w:rPr>
        <w:t xml:space="preserve">als verstärkendes Pronomen („er selbst") und </w:t>
      </w:r>
      <w:r w:rsidRPr="00C111E7">
        <w:rPr>
          <w:rFonts w:eastAsia="Times New Roman"/>
          <w:b/>
          <w:bCs/>
          <w:rtl/>
          <w:lang w:eastAsia="de-DE"/>
        </w:rPr>
        <w:t>וְכָל־עַמּוֹ</w:t>
      </w:r>
      <w:r w:rsidRPr="00C111E7">
        <w:rPr>
          <w:rFonts w:eastAsia="Times New Roman"/>
          <w:rtl/>
          <w:lang w:eastAsia="de-DE"/>
        </w:rPr>
        <w:t xml:space="preserve"> </w:t>
      </w:r>
      <w:r w:rsidRPr="00C111E7">
        <w:rPr>
          <w:rFonts w:eastAsia="Times New Roman"/>
          <w:lang w:eastAsia="de-DE"/>
        </w:rPr>
        <w:t>(</w:t>
      </w:r>
      <w:r w:rsidRPr="00C111E7">
        <w:rPr>
          <w:rFonts w:eastAsia="Times New Roman"/>
          <w:b/>
          <w:bCs/>
          <w:rtl/>
          <w:lang w:eastAsia="de-DE"/>
        </w:rPr>
        <w:t>כֹּל</w:t>
      </w:r>
      <w:r w:rsidRPr="00C111E7">
        <w:rPr>
          <w:rFonts w:eastAsia="Times New Roman"/>
          <w:rtl/>
          <w:lang w:eastAsia="de-DE"/>
        </w:rPr>
        <w:t xml:space="preserve"> </w:t>
      </w:r>
      <w:r w:rsidRPr="00C111E7">
        <w:rPr>
          <w:rFonts w:eastAsia="Times New Roman"/>
          <w:lang w:eastAsia="de-DE"/>
        </w:rPr>
        <w:t xml:space="preserve">im </w:t>
      </w:r>
      <w:r w:rsidR="0032647F">
        <w:rPr>
          <w:rFonts w:eastAsia="Times New Roman"/>
          <w:lang w:eastAsia="de-DE"/>
        </w:rPr>
        <w:t>Construct</w:t>
      </w:r>
      <w:r w:rsidRPr="00C111E7">
        <w:rPr>
          <w:rFonts w:eastAsia="Times New Roman"/>
          <w:lang w:eastAsia="de-DE"/>
        </w:rPr>
        <w:t xml:space="preserve"> mit </w:t>
      </w:r>
      <w:r w:rsidRPr="00C111E7">
        <w:rPr>
          <w:rFonts w:eastAsia="Times New Roman"/>
          <w:b/>
          <w:bCs/>
          <w:rtl/>
          <w:lang w:eastAsia="de-DE"/>
        </w:rPr>
        <w:t>עַם</w:t>
      </w:r>
      <w:r w:rsidRPr="00C111E7">
        <w:rPr>
          <w:rFonts w:eastAsia="Times New Roman"/>
          <w:rtl/>
          <w:lang w:eastAsia="de-DE"/>
        </w:rPr>
        <w:t xml:space="preserve"> </w:t>
      </w:r>
      <w:r w:rsidRPr="00C111E7">
        <w:rPr>
          <w:rFonts w:eastAsia="Times New Roman"/>
          <w:lang w:eastAsia="de-DE"/>
        </w:rPr>
        <w:t>„Volk" und Suffix 3. Person Singular „und sein ganzes Volk").</w:t>
      </w:r>
    </w:p>
    <w:p w14:paraId="79A6DDDF"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rtl/>
          <w:lang w:eastAsia="de-DE"/>
        </w:rPr>
        <w:t>לַמִּלְחָמָה</w:t>
      </w:r>
      <w:r w:rsidRPr="00C111E7">
        <w:rPr>
          <w:rFonts w:eastAsia="Times New Roman"/>
          <w:rtl/>
          <w:lang w:eastAsia="de-DE"/>
        </w:rPr>
        <w:t xml:space="preserve"> </w:t>
      </w:r>
      <w:r w:rsidRPr="00C111E7">
        <w:rPr>
          <w:rFonts w:eastAsia="Times New Roman"/>
          <w:lang w:eastAsia="de-DE"/>
        </w:rPr>
        <w:t xml:space="preserve">ist </w:t>
      </w:r>
      <w:r w:rsidRPr="00C111E7">
        <w:rPr>
          <w:rFonts w:eastAsia="Times New Roman"/>
          <w:b/>
          <w:bCs/>
          <w:rtl/>
          <w:lang w:eastAsia="de-DE"/>
        </w:rPr>
        <w:t>לְ</w:t>
      </w:r>
      <w:r w:rsidRPr="00C111E7">
        <w:rPr>
          <w:rFonts w:eastAsia="Times New Roman"/>
          <w:rtl/>
          <w:lang w:eastAsia="de-DE"/>
        </w:rPr>
        <w:t xml:space="preserve"> </w:t>
      </w:r>
      <w:r w:rsidRPr="00C111E7">
        <w:rPr>
          <w:rFonts w:eastAsia="Times New Roman"/>
          <w:lang w:eastAsia="de-DE"/>
        </w:rPr>
        <w:t xml:space="preserve">(„zum, für") mit </w:t>
      </w:r>
      <w:r w:rsidRPr="00C111E7">
        <w:rPr>
          <w:rFonts w:eastAsia="Times New Roman"/>
          <w:b/>
          <w:bCs/>
          <w:rtl/>
          <w:lang w:eastAsia="de-DE"/>
        </w:rPr>
        <w:t>מִלְחָמָה</w:t>
      </w:r>
      <w:r w:rsidRPr="00C111E7">
        <w:rPr>
          <w:rFonts w:eastAsia="Times New Roman"/>
          <w:rtl/>
          <w:lang w:eastAsia="de-DE"/>
        </w:rPr>
        <w:t xml:space="preserve"> </w:t>
      </w:r>
      <w:r w:rsidRPr="00C111E7">
        <w:rPr>
          <w:rFonts w:eastAsia="Times New Roman"/>
          <w:lang w:eastAsia="de-DE"/>
        </w:rPr>
        <w:t xml:space="preserve">(„Kampf, Krieg"), das den Zweck des Ausziehens angibt. </w:t>
      </w:r>
      <w:r w:rsidRPr="00C111E7">
        <w:rPr>
          <w:rFonts w:eastAsia="Times New Roman"/>
          <w:b/>
          <w:bCs/>
          <w:rtl/>
          <w:lang w:eastAsia="de-DE"/>
        </w:rPr>
        <w:t>יָהְצָה</w:t>
      </w:r>
      <w:r w:rsidRPr="00C111E7">
        <w:rPr>
          <w:rFonts w:eastAsia="Times New Roman"/>
          <w:rtl/>
          <w:lang w:eastAsia="de-DE"/>
        </w:rPr>
        <w:t xml:space="preserve"> </w:t>
      </w:r>
      <w:r w:rsidRPr="00C111E7">
        <w:rPr>
          <w:rFonts w:eastAsia="Times New Roman"/>
          <w:lang w:eastAsia="de-DE"/>
        </w:rPr>
        <w:t xml:space="preserve">ist ein Ortsname „Jahaz" mit He locale (Richtungsendung </w:t>
      </w:r>
      <w:r w:rsidRPr="00C111E7">
        <w:rPr>
          <w:rFonts w:eastAsia="Times New Roman"/>
          <w:b/>
          <w:bCs/>
          <w:rtl/>
          <w:lang w:eastAsia="de-DE"/>
        </w:rPr>
        <w:t>ה</w:t>
      </w:r>
      <w:r w:rsidRPr="00C111E7">
        <w:rPr>
          <w:rFonts w:eastAsia="Times New Roman"/>
          <w:lang w:eastAsia="de-DE"/>
        </w:rPr>
        <w:t>), was „nach Jahaz" bedeutet. Jahaz war der Ort der Schlacht zwischen Israel und Sihon.</w:t>
      </w:r>
    </w:p>
    <w:p w14:paraId="119A9E7D" w14:textId="3A469831"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lang w:eastAsia="de-DE"/>
        </w:rPr>
        <w:t>Die LXX</w:t>
      </w:r>
      <w:r w:rsidRPr="00C111E7">
        <w:rPr>
          <w:rFonts w:eastAsia="Times New Roman"/>
          <w:lang w:eastAsia="de-DE"/>
        </w:rPr>
        <w:t xml:space="preserve"> </w:t>
      </w:r>
      <w:r w:rsidR="00516967">
        <w:t>übersetzt „</w:t>
      </w:r>
      <w:r w:rsidR="00516967">
        <w:rPr>
          <w:rtl/>
        </w:rPr>
        <w:t>יָהְצָה</w:t>
      </w:r>
      <w:r w:rsidR="00516967">
        <w:t>" (Jahza) mit „</w:t>
      </w:r>
      <w:proofErr w:type="spellStart"/>
      <w:r w:rsidR="00516967">
        <w:t>Ἰάσ</w:t>
      </w:r>
      <w:proofErr w:type="spellEnd"/>
      <w:r w:rsidR="00516967">
        <w:t>α" (</w:t>
      </w:r>
      <w:proofErr w:type="spellStart"/>
      <w:r w:rsidR="00516967">
        <w:t>Jasa</w:t>
      </w:r>
      <w:proofErr w:type="spellEnd"/>
      <w:r w:rsidR="00516967">
        <w:t>).</w:t>
      </w:r>
    </w:p>
    <w:p w14:paraId="73BED93B"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lang w:eastAsia="de-DE"/>
        </w:rPr>
        <w:t xml:space="preserve">Die Satzstruktur ist ein einfacher Verbalsatz: </w:t>
      </w:r>
      <w:r w:rsidRPr="00C111E7">
        <w:rPr>
          <w:rFonts w:eastAsia="Times New Roman"/>
          <w:b/>
          <w:bCs/>
          <w:rtl/>
          <w:lang w:eastAsia="de-DE"/>
        </w:rPr>
        <w:t>וַיֵּצֵא</w:t>
      </w:r>
      <w:r w:rsidRPr="00C111E7">
        <w:rPr>
          <w:rFonts w:eastAsia="Times New Roman"/>
          <w:rtl/>
          <w:lang w:eastAsia="de-DE"/>
        </w:rPr>
        <w:t xml:space="preserve"> </w:t>
      </w:r>
      <w:r w:rsidRPr="00C111E7">
        <w:rPr>
          <w:rFonts w:eastAsia="Times New Roman"/>
          <w:lang w:eastAsia="de-DE"/>
        </w:rPr>
        <w:t xml:space="preserve">als Prädikat, </w:t>
      </w:r>
      <w:r w:rsidRPr="00C111E7">
        <w:rPr>
          <w:rFonts w:eastAsia="Times New Roman"/>
          <w:b/>
          <w:bCs/>
          <w:rtl/>
          <w:lang w:eastAsia="de-DE"/>
        </w:rPr>
        <w:t>סִיחֹן</w:t>
      </w:r>
      <w:r w:rsidRPr="00C111E7">
        <w:rPr>
          <w:rFonts w:eastAsia="Times New Roman"/>
          <w:rtl/>
          <w:lang w:eastAsia="de-DE"/>
        </w:rPr>
        <w:t xml:space="preserve"> </w:t>
      </w:r>
      <w:r w:rsidRPr="00C111E7">
        <w:rPr>
          <w:rFonts w:eastAsia="Times New Roman"/>
          <w:lang w:eastAsia="de-DE"/>
        </w:rPr>
        <w:t xml:space="preserve">als Subjekt, </w:t>
      </w:r>
      <w:r w:rsidRPr="00C111E7">
        <w:rPr>
          <w:rFonts w:eastAsia="Times New Roman"/>
          <w:b/>
          <w:bCs/>
          <w:rtl/>
          <w:lang w:eastAsia="de-DE"/>
        </w:rPr>
        <w:t>לִקְרָאתֵנוּ</w:t>
      </w:r>
      <w:r w:rsidRPr="00C111E7">
        <w:rPr>
          <w:rFonts w:eastAsia="Times New Roman"/>
          <w:rtl/>
          <w:lang w:eastAsia="de-DE"/>
        </w:rPr>
        <w:t xml:space="preserve"> </w:t>
      </w:r>
      <w:r w:rsidRPr="00C111E7">
        <w:rPr>
          <w:rFonts w:eastAsia="Times New Roman"/>
          <w:lang w:eastAsia="de-DE"/>
        </w:rPr>
        <w:t xml:space="preserve">als Zielangabe, </w:t>
      </w:r>
      <w:r w:rsidRPr="00C111E7">
        <w:rPr>
          <w:rFonts w:eastAsia="Times New Roman"/>
          <w:b/>
          <w:bCs/>
          <w:rtl/>
          <w:lang w:eastAsia="de-DE"/>
        </w:rPr>
        <w:t>הוּא וְכָל־עַמּוֹ</w:t>
      </w:r>
      <w:r w:rsidRPr="00C111E7">
        <w:rPr>
          <w:rFonts w:eastAsia="Times New Roman"/>
          <w:rtl/>
          <w:lang w:eastAsia="de-DE"/>
        </w:rPr>
        <w:t xml:space="preserve"> </w:t>
      </w:r>
      <w:r w:rsidRPr="00C111E7">
        <w:rPr>
          <w:rFonts w:eastAsia="Times New Roman"/>
          <w:lang w:eastAsia="de-DE"/>
        </w:rPr>
        <w:t xml:space="preserve">als appositionelle Erweiterung, </w:t>
      </w:r>
      <w:r w:rsidRPr="00C111E7">
        <w:rPr>
          <w:rFonts w:eastAsia="Times New Roman"/>
          <w:b/>
          <w:bCs/>
          <w:rtl/>
          <w:lang w:eastAsia="de-DE"/>
        </w:rPr>
        <w:t>לַמִּלְחָמָה</w:t>
      </w:r>
      <w:r w:rsidRPr="00C111E7">
        <w:rPr>
          <w:rFonts w:eastAsia="Times New Roman"/>
          <w:rtl/>
          <w:lang w:eastAsia="de-DE"/>
        </w:rPr>
        <w:t xml:space="preserve"> </w:t>
      </w:r>
      <w:r w:rsidRPr="00C111E7">
        <w:rPr>
          <w:rFonts w:eastAsia="Times New Roman"/>
          <w:lang w:eastAsia="de-DE"/>
        </w:rPr>
        <w:t xml:space="preserve">als Zweckangabe, und </w:t>
      </w:r>
      <w:r w:rsidRPr="00C111E7">
        <w:rPr>
          <w:rFonts w:eastAsia="Times New Roman"/>
          <w:b/>
          <w:bCs/>
          <w:rtl/>
          <w:lang w:eastAsia="de-DE"/>
        </w:rPr>
        <w:t>יָהְצָה</w:t>
      </w:r>
      <w:r w:rsidRPr="00C111E7">
        <w:rPr>
          <w:rFonts w:eastAsia="Times New Roman"/>
          <w:rtl/>
          <w:lang w:eastAsia="de-DE"/>
        </w:rPr>
        <w:t xml:space="preserve"> </w:t>
      </w:r>
      <w:r w:rsidRPr="00C111E7">
        <w:rPr>
          <w:rFonts w:eastAsia="Times New Roman"/>
          <w:lang w:eastAsia="de-DE"/>
        </w:rPr>
        <w:t>als Ortsangabe.</w:t>
      </w:r>
    </w:p>
    <w:p w14:paraId="7BA092A2"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lang w:eastAsia="de-DE"/>
        </w:rPr>
        <w:lastRenderedPageBreak/>
        <w:t>Der Vers berichtet von Sihons aggressiver militärischer Reaktion: Er zog nicht nur defensiv vor, sondern mobilisierte sein gesamtes Heer und marschierte Israel entgegen. Dies zeigt, dass Sihon Israel als ernsthafte Bedrohung wahrnahm und den Konflikt eskalierte. Die Nennung von Jahaz lokalisiert die Schlacht geografisch.</w:t>
      </w:r>
    </w:p>
    <w:p w14:paraId="5A2647C3" w14:textId="77777777" w:rsidR="00C111E7" w:rsidRPr="00C111E7" w:rsidRDefault="00C111E7" w:rsidP="00C111E7">
      <w:pPr>
        <w:spacing w:before="100" w:beforeAutospacing="1" w:after="100" w:afterAutospacing="1" w:line="240" w:lineRule="auto"/>
        <w:outlineLvl w:val="1"/>
        <w:rPr>
          <w:rFonts w:eastAsia="Times New Roman"/>
          <w:b/>
          <w:bCs/>
          <w:sz w:val="36"/>
          <w:szCs w:val="36"/>
          <w:lang w:eastAsia="de-DE"/>
        </w:rPr>
      </w:pPr>
      <w:r w:rsidRPr="00C111E7">
        <w:rPr>
          <w:rFonts w:eastAsia="Times New Roman"/>
          <w:b/>
          <w:bCs/>
          <w:sz w:val="36"/>
          <w:szCs w:val="36"/>
          <w:lang w:eastAsia="de-DE"/>
        </w:rPr>
        <w:t>Deuteronomium 2,33</w:t>
      </w:r>
    </w:p>
    <w:p w14:paraId="099BE7DF"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lang w:eastAsia="de-DE"/>
        </w:rPr>
        <w:t>Hebräisch:</w:t>
      </w:r>
      <w:r w:rsidRPr="00C111E7">
        <w:rPr>
          <w:rFonts w:eastAsia="Times New Roman"/>
          <w:lang w:eastAsia="de-DE"/>
        </w:rPr>
        <w:t xml:space="preserve"> </w:t>
      </w:r>
      <w:r w:rsidRPr="00C111E7">
        <w:rPr>
          <w:rFonts w:eastAsia="Times New Roman"/>
          <w:rtl/>
          <w:lang w:eastAsia="de-DE"/>
        </w:rPr>
        <w:t>וַֽיִּתְּנֵ֛הוּ יְהוָ֥ה אֱלֹהֵ֖ינוּ לְפָנֵ֑ינוּ וַנַּ֥ךְ אֹתֹ֛ו וְאֶת־בָּנָ֖ו וְאֶת־כָּל־עַמֹּֽו׃</w:t>
      </w:r>
    </w:p>
    <w:p w14:paraId="3D1B1C4C"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lang w:eastAsia="de-DE"/>
        </w:rPr>
        <w:t>Deutsch:</w:t>
      </w:r>
      <w:r w:rsidRPr="00C111E7">
        <w:rPr>
          <w:rFonts w:eastAsia="Times New Roman"/>
          <w:lang w:eastAsia="de-DE"/>
        </w:rPr>
        <w:t xml:space="preserve"> Und der Ewige, unser Gott, gab ihn vor uns, und wir schlugen ihn und seine Söhne und sein ganzes Volk.</w:t>
      </w:r>
    </w:p>
    <w:p w14:paraId="5419519F" w14:textId="77777777" w:rsidR="00C111E7" w:rsidRPr="00C111E7" w:rsidRDefault="004F5CEB" w:rsidP="00C111E7">
      <w:pPr>
        <w:spacing w:after="0" w:line="240" w:lineRule="auto"/>
        <w:rPr>
          <w:rFonts w:eastAsia="Times New Roman"/>
          <w:lang w:eastAsia="de-DE"/>
        </w:rPr>
      </w:pPr>
      <w:r>
        <w:rPr>
          <w:rFonts w:eastAsia="Times New Roman"/>
          <w:noProof/>
          <w:lang w:eastAsia="de-DE"/>
        </w:rPr>
        <w:pict w14:anchorId="29A94C02">
          <v:rect id="_x0000_i1103" style="width:0;height:1.5pt" o:hralign="center" o:hrstd="t" o:hr="t" fillcolor="#a0a0a0" stroked="f"/>
        </w:pict>
      </w:r>
    </w:p>
    <w:p w14:paraId="6A5D1B93"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lang w:eastAsia="de-DE"/>
        </w:rPr>
        <w:t>Kommentar:</w:t>
      </w:r>
      <w:r w:rsidRPr="00C111E7">
        <w:rPr>
          <w:rFonts w:eastAsia="Times New Roman"/>
          <w:lang w:eastAsia="de-DE"/>
        </w:rPr>
        <w:t xml:space="preserve"> </w:t>
      </w:r>
      <w:r w:rsidRPr="00C111E7">
        <w:rPr>
          <w:rFonts w:eastAsia="Times New Roman"/>
          <w:b/>
          <w:bCs/>
          <w:rtl/>
          <w:lang w:eastAsia="de-DE"/>
        </w:rPr>
        <w:t>וַיִּתְּנֵהוּ יְהוָה אֱלֹהֵינוּ לְפָנֵינוּ</w:t>
      </w:r>
      <w:r w:rsidRPr="00C111E7">
        <w:rPr>
          <w:rFonts w:eastAsia="Times New Roman"/>
          <w:rtl/>
          <w:lang w:eastAsia="de-DE"/>
        </w:rPr>
        <w:t xml:space="preserve"> </w:t>
      </w:r>
      <w:r w:rsidRPr="00C111E7">
        <w:rPr>
          <w:rFonts w:eastAsia="Times New Roman"/>
          <w:lang w:eastAsia="de-DE"/>
        </w:rPr>
        <w:t xml:space="preserve">ist </w:t>
      </w:r>
      <w:r w:rsidRPr="00C111E7">
        <w:rPr>
          <w:rFonts w:eastAsia="Times New Roman"/>
          <w:b/>
          <w:bCs/>
          <w:rtl/>
          <w:lang w:eastAsia="de-DE"/>
        </w:rPr>
        <w:t>וַיִּתְּנֵהוּ</w:t>
      </w:r>
      <w:r w:rsidRPr="00C111E7">
        <w:rPr>
          <w:rFonts w:eastAsia="Times New Roman"/>
          <w:rtl/>
          <w:lang w:eastAsia="de-DE"/>
        </w:rPr>
        <w:t xml:space="preserve"> </w:t>
      </w:r>
      <w:r w:rsidRPr="00C111E7">
        <w:rPr>
          <w:rFonts w:eastAsia="Times New Roman"/>
          <w:lang w:eastAsia="de-DE"/>
        </w:rPr>
        <w:t xml:space="preserve">(Qal Imperfekt consecutivum, 3. Person maskulin Singular von </w:t>
      </w:r>
      <w:r w:rsidRPr="00C111E7">
        <w:rPr>
          <w:rFonts w:eastAsia="Times New Roman"/>
          <w:rtl/>
          <w:lang w:eastAsia="de-DE"/>
        </w:rPr>
        <w:t>נתן</w:t>
      </w:r>
      <w:r w:rsidRPr="00C111E7">
        <w:rPr>
          <w:rFonts w:eastAsia="Times New Roman"/>
          <w:lang w:eastAsia="de-DE"/>
        </w:rPr>
        <w:t xml:space="preserve"> mit Waw und Objektsuffix 3. Person maskulin Singular </w:t>
      </w:r>
      <w:r w:rsidRPr="00C111E7">
        <w:rPr>
          <w:rFonts w:eastAsia="Times New Roman"/>
          <w:b/>
          <w:bCs/>
          <w:rtl/>
          <w:lang w:eastAsia="de-DE"/>
        </w:rPr>
        <w:t>הוּ</w:t>
      </w:r>
      <w:r w:rsidRPr="00C111E7">
        <w:rPr>
          <w:rFonts w:eastAsia="Times New Roman"/>
          <w:rtl/>
          <w:lang w:eastAsia="de-DE"/>
        </w:rPr>
        <w:t xml:space="preserve"> </w:t>
      </w:r>
      <w:r w:rsidRPr="00C111E7">
        <w:rPr>
          <w:rFonts w:eastAsia="Times New Roman"/>
          <w:lang w:eastAsia="de-DE"/>
        </w:rPr>
        <w:t xml:space="preserve">„ihn"), </w:t>
      </w:r>
      <w:r w:rsidRPr="00C111E7">
        <w:rPr>
          <w:rFonts w:eastAsia="Times New Roman"/>
          <w:b/>
          <w:bCs/>
          <w:rtl/>
          <w:lang w:eastAsia="de-DE"/>
        </w:rPr>
        <w:t>יְהוָה אֱלֹהֵינוּ</w:t>
      </w:r>
      <w:r w:rsidRPr="00C111E7">
        <w:rPr>
          <w:rFonts w:eastAsia="Times New Roman"/>
          <w:rtl/>
          <w:lang w:eastAsia="de-DE"/>
        </w:rPr>
        <w:t xml:space="preserve"> </w:t>
      </w:r>
      <w:r w:rsidRPr="00C111E7">
        <w:rPr>
          <w:rFonts w:eastAsia="Times New Roman"/>
          <w:lang w:eastAsia="de-DE"/>
        </w:rPr>
        <w:t xml:space="preserve">als betontes nachgestelltes Subjekt, </w:t>
      </w:r>
      <w:r w:rsidRPr="00C111E7">
        <w:rPr>
          <w:rFonts w:eastAsia="Times New Roman"/>
          <w:b/>
          <w:bCs/>
          <w:rtl/>
          <w:lang w:eastAsia="de-DE"/>
        </w:rPr>
        <w:t>לְפָנֵינוּ</w:t>
      </w:r>
      <w:r w:rsidRPr="00C111E7">
        <w:rPr>
          <w:rFonts w:eastAsia="Times New Roman"/>
          <w:rtl/>
          <w:lang w:eastAsia="de-DE"/>
        </w:rPr>
        <w:t xml:space="preserve"> </w:t>
      </w:r>
      <w:r w:rsidRPr="00C111E7">
        <w:rPr>
          <w:rFonts w:eastAsia="Times New Roman"/>
          <w:lang w:eastAsia="de-DE"/>
        </w:rPr>
        <w:t>(</w:t>
      </w:r>
      <w:r w:rsidRPr="00C111E7">
        <w:rPr>
          <w:rFonts w:eastAsia="Times New Roman"/>
          <w:b/>
          <w:bCs/>
          <w:rtl/>
          <w:lang w:eastAsia="de-DE"/>
        </w:rPr>
        <w:t>לְ</w:t>
      </w:r>
      <w:r w:rsidRPr="00C111E7">
        <w:rPr>
          <w:rFonts w:eastAsia="Times New Roman"/>
          <w:rtl/>
          <w:lang w:eastAsia="de-DE"/>
        </w:rPr>
        <w:t xml:space="preserve"> </w:t>
      </w:r>
      <w:r w:rsidRPr="00C111E7">
        <w:rPr>
          <w:rFonts w:eastAsia="Times New Roman"/>
          <w:lang w:eastAsia="de-DE"/>
        </w:rPr>
        <w:t xml:space="preserve">mit </w:t>
      </w:r>
      <w:r w:rsidRPr="00C111E7">
        <w:rPr>
          <w:rFonts w:eastAsia="Times New Roman"/>
          <w:b/>
          <w:bCs/>
          <w:rtl/>
          <w:lang w:eastAsia="de-DE"/>
        </w:rPr>
        <w:t>פָּנִים</w:t>
      </w:r>
      <w:r w:rsidRPr="00C111E7">
        <w:rPr>
          <w:rFonts w:eastAsia="Times New Roman"/>
          <w:rtl/>
          <w:lang w:eastAsia="de-DE"/>
        </w:rPr>
        <w:t xml:space="preserve"> </w:t>
      </w:r>
      <w:r w:rsidRPr="00C111E7">
        <w:rPr>
          <w:rFonts w:eastAsia="Times New Roman"/>
          <w:lang w:eastAsia="de-DE"/>
        </w:rPr>
        <w:t xml:space="preserve">und Suffix 1. Person Plural „vor uns"). Die Phrase </w:t>
      </w:r>
      <w:r w:rsidRPr="00C111E7">
        <w:rPr>
          <w:rFonts w:eastAsia="Times New Roman"/>
          <w:b/>
          <w:bCs/>
          <w:rtl/>
          <w:lang w:eastAsia="de-DE"/>
        </w:rPr>
        <w:t>נתן לפני</w:t>
      </w:r>
      <w:r w:rsidRPr="00C111E7">
        <w:rPr>
          <w:rFonts w:eastAsia="Times New Roman"/>
          <w:rtl/>
          <w:lang w:eastAsia="de-DE"/>
        </w:rPr>
        <w:t xml:space="preserve"> </w:t>
      </w:r>
      <w:r w:rsidRPr="00C111E7">
        <w:rPr>
          <w:rFonts w:eastAsia="Times New Roman"/>
          <w:lang w:eastAsia="de-DE"/>
        </w:rPr>
        <w:t>ist idiomatisch für „in die Gewalt geben, ausliefern".</w:t>
      </w:r>
    </w:p>
    <w:p w14:paraId="10F7B5F0" w14:textId="4DE4AF9F"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rtl/>
          <w:lang w:eastAsia="de-DE"/>
        </w:rPr>
        <w:t>וַנַּךְ אֹתוֹ וְאֶת־בָּנָו וְאֶת־כָּל־עַמּוֹ</w:t>
      </w:r>
      <w:r w:rsidRPr="00C111E7">
        <w:rPr>
          <w:rFonts w:eastAsia="Times New Roman"/>
          <w:rtl/>
          <w:lang w:eastAsia="de-DE"/>
        </w:rPr>
        <w:t xml:space="preserve"> </w:t>
      </w:r>
      <w:r w:rsidRPr="00C111E7">
        <w:rPr>
          <w:rFonts w:eastAsia="Times New Roman"/>
          <w:lang w:eastAsia="de-DE"/>
        </w:rPr>
        <w:t xml:space="preserve">ist </w:t>
      </w:r>
      <w:r w:rsidRPr="00C111E7">
        <w:rPr>
          <w:rFonts w:eastAsia="Times New Roman"/>
          <w:b/>
          <w:bCs/>
          <w:rtl/>
          <w:lang w:eastAsia="de-DE"/>
        </w:rPr>
        <w:t>וַנַּךְ</w:t>
      </w:r>
      <w:r w:rsidRPr="00C111E7">
        <w:rPr>
          <w:rFonts w:eastAsia="Times New Roman"/>
          <w:rtl/>
          <w:lang w:eastAsia="de-DE"/>
        </w:rPr>
        <w:t xml:space="preserve"> </w:t>
      </w:r>
      <w:r w:rsidRPr="00C111E7">
        <w:rPr>
          <w:rFonts w:eastAsia="Times New Roman"/>
          <w:lang w:eastAsia="de-DE"/>
        </w:rPr>
        <w:t xml:space="preserve">(Hif'il Imperfekt consecutivum, 1. Person Plural von </w:t>
      </w:r>
      <w:r w:rsidRPr="00C111E7">
        <w:rPr>
          <w:rFonts w:eastAsia="Times New Roman"/>
          <w:rtl/>
          <w:lang w:eastAsia="de-DE"/>
        </w:rPr>
        <w:t>נכה</w:t>
      </w:r>
      <w:r w:rsidRPr="00C111E7">
        <w:rPr>
          <w:rFonts w:eastAsia="Times New Roman"/>
          <w:lang w:eastAsia="de-DE"/>
        </w:rPr>
        <w:t xml:space="preserve"> „schlagen, besiegen" mit Waw), </w:t>
      </w:r>
      <w:r w:rsidRPr="00C111E7">
        <w:rPr>
          <w:rFonts w:eastAsia="Times New Roman"/>
          <w:b/>
          <w:bCs/>
          <w:rtl/>
          <w:lang w:eastAsia="de-DE"/>
        </w:rPr>
        <w:t>אֹתוֹ</w:t>
      </w:r>
      <w:r w:rsidRPr="00C111E7">
        <w:rPr>
          <w:rFonts w:eastAsia="Times New Roman"/>
          <w:rtl/>
          <w:lang w:eastAsia="de-DE"/>
        </w:rPr>
        <w:t xml:space="preserve"> </w:t>
      </w:r>
      <w:r w:rsidRPr="00C111E7">
        <w:rPr>
          <w:rFonts w:eastAsia="Times New Roman"/>
          <w:lang w:eastAsia="de-DE"/>
        </w:rPr>
        <w:t xml:space="preserve">(Objektpartikel mit Suffix 3. Person maskulin Singular „ihn"), </w:t>
      </w:r>
      <w:r w:rsidRPr="00C111E7">
        <w:rPr>
          <w:rFonts w:eastAsia="Times New Roman"/>
          <w:b/>
          <w:bCs/>
          <w:rtl/>
          <w:lang w:eastAsia="de-DE"/>
        </w:rPr>
        <w:t>וְאֶת־בָּנָו</w:t>
      </w:r>
      <w:r w:rsidRPr="00C111E7">
        <w:rPr>
          <w:rFonts w:eastAsia="Times New Roman"/>
          <w:rtl/>
          <w:lang w:eastAsia="de-DE"/>
        </w:rPr>
        <w:t xml:space="preserve"> </w:t>
      </w:r>
      <w:r w:rsidRPr="00C111E7">
        <w:rPr>
          <w:rFonts w:eastAsia="Times New Roman"/>
          <w:lang w:eastAsia="de-DE"/>
        </w:rPr>
        <w:t>(</w:t>
      </w:r>
      <w:r w:rsidRPr="00C111E7">
        <w:rPr>
          <w:rFonts w:eastAsia="Times New Roman"/>
          <w:b/>
          <w:bCs/>
          <w:rtl/>
          <w:lang w:eastAsia="de-DE"/>
        </w:rPr>
        <w:t>וְ</w:t>
      </w:r>
      <w:r w:rsidRPr="00C111E7">
        <w:rPr>
          <w:rFonts w:eastAsia="Times New Roman"/>
          <w:rtl/>
          <w:lang w:eastAsia="de-DE"/>
        </w:rPr>
        <w:t xml:space="preserve"> </w:t>
      </w:r>
      <w:r w:rsidRPr="00C111E7">
        <w:rPr>
          <w:rFonts w:eastAsia="Times New Roman"/>
          <w:lang w:eastAsia="de-DE"/>
        </w:rPr>
        <w:t xml:space="preserve">mit Objektpartikel und </w:t>
      </w:r>
      <w:r w:rsidRPr="00C111E7">
        <w:rPr>
          <w:rFonts w:eastAsia="Times New Roman"/>
          <w:b/>
          <w:bCs/>
          <w:rtl/>
          <w:lang w:eastAsia="de-DE"/>
        </w:rPr>
        <w:t>בֵּן</w:t>
      </w:r>
      <w:r w:rsidRPr="00C111E7">
        <w:rPr>
          <w:rFonts w:eastAsia="Times New Roman"/>
          <w:rtl/>
          <w:lang w:eastAsia="de-DE"/>
        </w:rPr>
        <w:t xml:space="preserve"> </w:t>
      </w:r>
      <w:r w:rsidRPr="00C111E7">
        <w:rPr>
          <w:rFonts w:eastAsia="Times New Roman"/>
          <w:lang w:eastAsia="de-DE"/>
        </w:rPr>
        <w:t xml:space="preserve">„Sohn" im Singular oder mit kollektiver Bedeutung mit Suffix 3. Person Singular „sein Sohn" oder „seine Söhne"), </w:t>
      </w:r>
      <w:r w:rsidRPr="00C111E7">
        <w:rPr>
          <w:rFonts w:eastAsia="Times New Roman"/>
          <w:b/>
          <w:bCs/>
          <w:rtl/>
          <w:lang w:eastAsia="de-DE"/>
        </w:rPr>
        <w:t>וְאֶת־כָּל־עַמּוֹ</w:t>
      </w:r>
      <w:r w:rsidRPr="00C111E7">
        <w:rPr>
          <w:rFonts w:eastAsia="Times New Roman"/>
          <w:rtl/>
          <w:lang w:eastAsia="de-DE"/>
        </w:rPr>
        <w:t xml:space="preserve"> </w:t>
      </w:r>
      <w:r w:rsidRPr="00C111E7">
        <w:rPr>
          <w:rFonts w:eastAsia="Times New Roman"/>
          <w:lang w:eastAsia="de-DE"/>
        </w:rPr>
        <w:t>(</w:t>
      </w:r>
      <w:r w:rsidRPr="00C111E7">
        <w:rPr>
          <w:rFonts w:eastAsia="Times New Roman"/>
          <w:b/>
          <w:bCs/>
          <w:rtl/>
          <w:lang w:eastAsia="de-DE"/>
        </w:rPr>
        <w:t>וְ</w:t>
      </w:r>
      <w:r w:rsidRPr="00C111E7">
        <w:rPr>
          <w:rFonts w:eastAsia="Times New Roman"/>
          <w:rtl/>
          <w:lang w:eastAsia="de-DE"/>
        </w:rPr>
        <w:t xml:space="preserve"> </w:t>
      </w:r>
      <w:r w:rsidRPr="00C111E7">
        <w:rPr>
          <w:rFonts w:eastAsia="Times New Roman"/>
          <w:lang w:eastAsia="de-DE"/>
        </w:rPr>
        <w:t xml:space="preserve">mit Objektpartikel, </w:t>
      </w:r>
      <w:r w:rsidRPr="00C111E7">
        <w:rPr>
          <w:rFonts w:eastAsia="Times New Roman"/>
          <w:b/>
          <w:bCs/>
          <w:rtl/>
          <w:lang w:eastAsia="de-DE"/>
        </w:rPr>
        <w:t>כֹּל</w:t>
      </w:r>
      <w:r w:rsidRPr="00C111E7">
        <w:rPr>
          <w:rFonts w:eastAsia="Times New Roman"/>
          <w:rtl/>
          <w:lang w:eastAsia="de-DE"/>
        </w:rPr>
        <w:t xml:space="preserve"> </w:t>
      </w:r>
      <w:r w:rsidRPr="00C111E7">
        <w:rPr>
          <w:rFonts w:eastAsia="Times New Roman"/>
          <w:lang w:eastAsia="de-DE"/>
        </w:rPr>
        <w:t xml:space="preserve">im </w:t>
      </w:r>
      <w:r w:rsidR="0032647F">
        <w:rPr>
          <w:rFonts w:eastAsia="Times New Roman"/>
          <w:lang w:eastAsia="de-DE"/>
        </w:rPr>
        <w:t>Construct</w:t>
      </w:r>
      <w:r w:rsidRPr="00C111E7">
        <w:rPr>
          <w:rFonts w:eastAsia="Times New Roman"/>
          <w:lang w:eastAsia="de-DE"/>
        </w:rPr>
        <w:t xml:space="preserve">, </w:t>
      </w:r>
      <w:r w:rsidRPr="00C111E7">
        <w:rPr>
          <w:rFonts w:eastAsia="Times New Roman"/>
          <w:b/>
          <w:bCs/>
          <w:rtl/>
          <w:lang w:eastAsia="de-DE"/>
        </w:rPr>
        <w:t>עַם</w:t>
      </w:r>
      <w:r w:rsidRPr="00C111E7">
        <w:rPr>
          <w:rFonts w:eastAsia="Times New Roman"/>
          <w:rtl/>
          <w:lang w:eastAsia="de-DE"/>
        </w:rPr>
        <w:t xml:space="preserve"> </w:t>
      </w:r>
      <w:r w:rsidRPr="00C111E7">
        <w:rPr>
          <w:rFonts w:eastAsia="Times New Roman"/>
          <w:lang w:eastAsia="de-DE"/>
        </w:rPr>
        <w:t>mit Suffix „und sein ganzes Volk").</w:t>
      </w:r>
    </w:p>
    <w:p w14:paraId="0A0B825F"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lang w:eastAsia="de-DE"/>
        </w:rPr>
        <w:t>Die LXX</w:t>
      </w:r>
      <w:r w:rsidRPr="00C111E7">
        <w:rPr>
          <w:rFonts w:eastAsia="Times New Roman"/>
          <w:lang w:eastAsia="de-DE"/>
        </w:rPr>
        <w:t xml:space="preserve"> übersetzt „καὶ πα</w:t>
      </w:r>
      <w:proofErr w:type="spellStart"/>
      <w:r w:rsidRPr="00C111E7">
        <w:rPr>
          <w:rFonts w:eastAsia="Times New Roman"/>
          <w:lang w:eastAsia="de-DE"/>
        </w:rPr>
        <w:t>ρέδωκεν</w:t>
      </w:r>
      <w:proofErr w:type="spellEnd"/>
      <w:r w:rsidRPr="00C111E7">
        <w:rPr>
          <w:rFonts w:eastAsia="Times New Roman"/>
          <w:lang w:eastAsia="de-DE"/>
        </w:rPr>
        <w:t xml:space="preserve"> α</w:t>
      </w:r>
      <w:proofErr w:type="spellStart"/>
      <w:r w:rsidRPr="00C111E7">
        <w:rPr>
          <w:rFonts w:eastAsia="Times New Roman"/>
          <w:lang w:eastAsia="de-DE"/>
        </w:rPr>
        <w:t>ὐτὸν</w:t>
      </w:r>
      <w:proofErr w:type="spellEnd"/>
      <w:r w:rsidRPr="00C111E7">
        <w:rPr>
          <w:rFonts w:eastAsia="Times New Roman"/>
          <w:lang w:eastAsia="de-DE"/>
        </w:rPr>
        <w:t xml:space="preserve"> </w:t>
      </w:r>
      <w:proofErr w:type="spellStart"/>
      <w:r w:rsidRPr="00C111E7">
        <w:rPr>
          <w:rFonts w:eastAsia="Times New Roman"/>
          <w:lang w:eastAsia="de-DE"/>
        </w:rPr>
        <w:t>κύριος</w:t>
      </w:r>
      <w:proofErr w:type="spellEnd"/>
      <w:r w:rsidRPr="00C111E7">
        <w:rPr>
          <w:rFonts w:eastAsia="Times New Roman"/>
          <w:lang w:eastAsia="de-DE"/>
        </w:rPr>
        <w:t xml:space="preserve"> ὁ </w:t>
      </w:r>
      <w:proofErr w:type="spellStart"/>
      <w:r w:rsidRPr="00C111E7">
        <w:rPr>
          <w:rFonts w:eastAsia="Times New Roman"/>
          <w:lang w:eastAsia="de-DE"/>
        </w:rPr>
        <w:t>θεὸς</w:t>
      </w:r>
      <w:proofErr w:type="spellEnd"/>
      <w:r w:rsidRPr="00C111E7">
        <w:rPr>
          <w:rFonts w:eastAsia="Times New Roman"/>
          <w:lang w:eastAsia="de-DE"/>
        </w:rPr>
        <w:t xml:space="preserve"> </w:t>
      </w:r>
      <w:proofErr w:type="spellStart"/>
      <w:r w:rsidRPr="00C111E7">
        <w:rPr>
          <w:rFonts w:eastAsia="Times New Roman"/>
          <w:lang w:eastAsia="de-DE"/>
        </w:rPr>
        <w:t>ἡμῶν</w:t>
      </w:r>
      <w:proofErr w:type="spellEnd"/>
      <w:r w:rsidRPr="00C111E7">
        <w:rPr>
          <w:rFonts w:eastAsia="Times New Roman"/>
          <w:lang w:eastAsia="de-DE"/>
        </w:rPr>
        <w:t xml:space="preserve"> π</w:t>
      </w:r>
      <w:proofErr w:type="spellStart"/>
      <w:r w:rsidRPr="00C111E7">
        <w:rPr>
          <w:rFonts w:eastAsia="Times New Roman"/>
          <w:lang w:eastAsia="de-DE"/>
        </w:rPr>
        <w:t>ρὸ</w:t>
      </w:r>
      <w:proofErr w:type="spellEnd"/>
      <w:r w:rsidRPr="00C111E7">
        <w:rPr>
          <w:rFonts w:eastAsia="Times New Roman"/>
          <w:lang w:eastAsia="de-DE"/>
        </w:rPr>
        <w:t xml:space="preserve"> π</w:t>
      </w:r>
      <w:proofErr w:type="spellStart"/>
      <w:r w:rsidRPr="00C111E7">
        <w:rPr>
          <w:rFonts w:eastAsia="Times New Roman"/>
          <w:lang w:eastAsia="de-DE"/>
        </w:rPr>
        <w:t>ροσώ</w:t>
      </w:r>
      <w:proofErr w:type="spellEnd"/>
      <w:r w:rsidRPr="00C111E7">
        <w:rPr>
          <w:rFonts w:eastAsia="Times New Roman"/>
          <w:lang w:eastAsia="de-DE"/>
        </w:rPr>
        <w:t xml:space="preserve">που </w:t>
      </w:r>
      <w:proofErr w:type="spellStart"/>
      <w:r w:rsidRPr="00C111E7">
        <w:rPr>
          <w:rFonts w:eastAsia="Times New Roman"/>
          <w:lang w:eastAsia="de-DE"/>
        </w:rPr>
        <w:t>ἡμῶν</w:t>
      </w:r>
      <w:proofErr w:type="spellEnd"/>
      <w:r w:rsidRPr="00C111E7">
        <w:rPr>
          <w:rFonts w:eastAsia="Times New Roman"/>
          <w:lang w:eastAsia="de-DE"/>
        </w:rPr>
        <w:t>, καὶ ἐπα</w:t>
      </w:r>
      <w:proofErr w:type="spellStart"/>
      <w:r w:rsidRPr="00C111E7">
        <w:rPr>
          <w:rFonts w:eastAsia="Times New Roman"/>
          <w:lang w:eastAsia="de-DE"/>
        </w:rPr>
        <w:t>τάξ</w:t>
      </w:r>
      <w:proofErr w:type="spellEnd"/>
      <w:r w:rsidRPr="00C111E7">
        <w:rPr>
          <w:rFonts w:eastAsia="Times New Roman"/>
          <w:lang w:eastAsia="de-DE"/>
        </w:rPr>
        <w:t>αμεν α</w:t>
      </w:r>
      <w:proofErr w:type="spellStart"/>
      <w:r w:rsidRPr="00C111E7">
        <w:rPr>
          <w:rFonts w:eastAsia="Times New Roman"/>
          <w:lang w:eastAsia="de-DE"/>
        </w:rPr>
        <w:t>ὐτὸν</w:t>
      </w:r>
      <w:proofErr w:type="spellEnd"/>
      <w:r w:rsidRPr="00C111E7">
        <w:rPr>
          <w:rFonts w:eastAsia="Times New Roman"/>
          <w:lang w:eastAsia="de-DE"/>
        </w:rPr>
        <w:t xml:space="preserve"> καὶ </w:t>
      </w:r>
      <w:proofErr w:type="spellStart"/>
      <w:r w:rsidRPr="00C111E7">
        <w:rPr>
          <w:rFonts w:eastAsia="Times New Roman"/>
          <w:lang w:eastAsia="de-DE"/>
        </w:rPr>
        <w:t>τοὺς</w:t>
      </w:r>
      <w:proofErr w:type="spellEnd"/>
      <w:r w:rsidRPr="00C111E7">
        <w:rPr>
          <w:rFonts w:eastAsia="Times New Roman"/>
          <w:lang w:eastAsia="de-DE"/>
        </w:rPr>
        <w:t xml:space="preserve"> </w:t>
      </w:r>
      <w:proofErr w:type="spellStart"/>
      <w:r w:rsidRPr="00C111E7">
        <w:rPr>
          <w:rFonts w:eastAsia="Times New Roman"/>
          <w:lang w:eastAsia="de-DE"/>
        </w:rPr>
        <w:t>υἱοὺς</w:t>
      </w:r>
      <w:proofErr w:type="spellEnd"/>
      <w:r w:rsidRPr="00C111E7">
        <w:rPr>
          <w:rFonts w:eastAsia="Times New Roman"/>
          <w:lang w:eastAsia="de-DE"/>
        </w:rPr>
        <w:t xml:space="preserve"> α</w:t>
      </w:r>
      <w:proofErr w:type="spellStart"/>
      <w:r w:rsidRPr="00C111E7">
        <w:rPr>
          <w:rFonts w:eastAsia="Times New Roman"/>
          <w:lang w:eastAsia="de-DE"/>
        </w:rPr>
        <w:t>ὐτοῦ</w:t>
      </w:r>
      <w:proofErr w:type="spellEnd"/>
      <w:r w:rsidRPr="00C111E7">
        <w:rPr>
          <w:rFonts w:eastAsia="Times New Roman"/>
          <w:lang w:eastAsia="de-DE"/>
        </w:rPr>
        <w:t xml:space="preserve"> καὶ π</w:t>
      </w:r>
      <w:proofErr w:type="spellStart"/>
      <w:r w:rsidRPr="00C111E7">
        <w:rPr>
          <w:rFonts w:eastAsia="Times New Roman"/>
          <w:lang w:eastAsia="de-DE"/>
        </w:rPr>
        <w:t>άντ</w:t>
      </w:r>
      <w:proofErr w:type="spellEnd"/>
      <w:r w:rsidRPr="00C111E7">
        <w:rPr>
          <w:rFonts w:eastAsia="Times New Roman"/>
          <w:lang w:eastAsia="de-DE"/>
        </w:rPr>
        <w:t xml:space="preserve">α </w:t>
      </w:r>
      <w:proofErr w:type="spellStart"/>
      <w:r w:rsidRPr="00C111E7">
        <w:rPr>
          <w:rFonts w:eastAsia="Times New Roman"/>
          <w:lang w:eastAsia="de-DE"/>
        </w:rPr>
        <w:t>τὸν</w:t>
      </w:r>
      <w:proofErr w:type="spellEnd"/>
      <w:r w:rsidRPr="00C111E7">
        <w:rPr>
          <w:rFonts w:eastAsia="Times New Roman"/>
          <w:lang w:eastAsia="de-DE"/>
        </w:rPr>
        <w:t xml:space="preserve"> λα</w:t>
      </w:r>
      <w:proofErr w:type="spellStart"/>
      <w:r w:rsidRPr="00C111E7">
        <w:rPr>
          <w:rFonts w:eastAsia="Times New Roman"/>
          <w:lang w:eastAsia="de-DE"/>
        </w:rPr>
        <w:t>ὸν</w:t>
      </w:r>
      <w:proofErr w:type="spellEnd"/>
      <w:r w:rsidRPr="00C111E7">
        <w:rPr>
          <w:rFonts w:eastAsia="Times New Roman"/>
          <w:lang w:eastAsia="de-DE"/>
        </w:rPr>
        <w:t xml:space="preserve"> α</w:t>
      </w:r>
      <w:proofErr w:type="spellStart"/>
      <w:r w:rsidRPr="00C111E7">
        <w:rPr>
          <w:rFonts w:eastAsia="Times New Roman"/>
          <w:lang w:eastAsia="de-DE"/>
        </w:rPr>
        <w:t>ὐτοῦ</w:t>
      </w:r>
      <w:proofErr w:type="spellEnd"/>
      <w:r w:rsidRPr="00C111E7">
        <w:rPr>
          <w:rFonts w:eastAsia="Times New Roman"/>
          <w:lang w:eastAsia="de-DE"/>
        </w:rPr>
        <w:t xml:space="preserve">" („und der Herr, unser Gott, übergab ihn vor unser Angesicht, und wir schlugen ihn und seine Söhne und sein ganzes Volk"). Die LXX expliziert </w:t>
      </w:r>
      <w:r w:rsidRPr="00C111E7">
        <w:rPr>
          <w:rFonts w:eastAsia="Times New Roman"/>
          <w:b/>
          <w:bCs/>
          <w:rtl/>
          <w:lang w:eastAsia="de-DE"/>
        </w:rPr>
        <w:t>בָּנָו</w:t>
      </w:r>
      <w:r w:rsidRPr="00C111E7">
        <w:rPr>
          <w:rFonts w:eastAsia="Times New Roman"/>
          <w:rtl/>
          <w:lang w:eastAsia="de-DE"/>
        </w:rPr>
        <w:t xml:space="preserve"> </w:t>
      </w:r>
      <w:r w:rsidRPr="00C111E7">
        <w:rPr>
          <w:rFonts w:eastAsia="Times New Roman"/>
          <w:lang w:eastAsia="de-DE"/>
        </w:rPr>
        <w:t>als Plural „</w:t>
      </w:r>
      <w:proofErr w:type="spellStart"/>
      <w:r w:rsidRPr="00C111E7">
        <w:rPr>
          <w:rFonts w:eastAsia="Times New Roman"/>
          <w:lang w:eastAsia="de-DE"/>
        </w:rPr>
        <w:t>τοὺς</w:t>
      </w:r>
      <w:proofErr w:type="spellEnd"/>
      <w:r w:rsidRPr="00C111E7">
        <w:rPr>
          <w:rFonts w:eastAsia="Times New Roman"/>
          <w:lang w:eastAsia="de-DE"/>
        </w:rPr>
        <w:t xml:space="preserve"> </w:t>
      </w:r>
      <w:proofErr w:type="spellStart"/>
      <w:r w:rsidRPr="00C111E7">
        <w:rPr>
          <w:rFonts w:eastAsia="Times New Roman"/>
          <w:lang w:eastAsia="de-DE"/>
        </w:rPr>
        <w:t>υἱούς</w:t>
      </w:r>
      <w:proofErr w:type="spellEnd"/>
      <w:r w:rsidRPr="00C111E7">
        <w:rPr>
          <w:rFonts w:eastAsia="Times New Roman"/>
          <w:lang w:eastAsia="de-DE"/>
        </w:rPr>
        <w:t>" („die Söhne").</w:t>
      </w:r>
    </w:p>
    <w:p w14:paraId="7695233E"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lang w:eastAsia="de-DE"/>
        </w:rPr>
        <w:t xml:space="preserve">Die Satzstruktur besteht aus zwei koordinierten Hauptsätzen: (1) </w:t>
      </w:r>
      <w:r w:rsidRPr="00C111E7">
        <w:rPr>
          <w:rFonts w:eastAsia="Times New Roman"/>
          <w:b/>
          <w:bCs/>
          <w:rtl/>
          <w:lang w:eastAsia="de-DE"/>
        </w:rPr>
        <w:t>וַיִּתְּנֵהוּ יְהוָה אֱלֹהֵינוּ לְפָנֵינוּ</w:t>
      </w:r>
      <w:r w:rsidRPr="00C111E7">
        <w:rPr>
          <w:rFonts w:eastAsia="Times New Roman"/>
          <w:rtl/>
          <w:lang w:eastAsia="de-DE"/>
        </w:rPr>
        <w:t xml:space="preserve"> </w:t>
      </w:r>
      <w:r w:rsidRPr="00C111E7">
        <w:rPr>
          <w:rFonts w:eastAsia="Times New Roman"/>
          <w:lang w:eastAsia="de-DE"/>
        </w:rPr>
        <w:t xml:space="preserve">mit nachgestelltem Subjekt für Emphase, (2) </w:t>
      </w:r>
      <w:r w:rsidRPr="00C111E7">
        <w:rPr>
          <w:rFonts w:eastAsia="Times New Roman"/>
          <w:b/>
          <w:bCs/>
          <w:rtl/>
          <w:lang w:eastAsia="de-DE"/>
        </w:rPr>
        <w:t>וַנַּךְ אֹתוֹ וְאֶת־בָּנָו וְאֶת־כָּל־עַמּוֹ</w:t>
      </w:r>
      <w:r w:rsidRPr="00C111E7">
        <w:rPr>
          <w:rFonts w:eastAsia="Times New Roman"/>
          <w:rtl/>
          <w:lang w:eastAsia="de-DE"/>
        </w:rPr>
        <w:t xml:space="preserve"> </w:t>
      </w:r>
      <w:r w:rsidRPr="00C111E7">
        <w:rPr>
          <w:rFonts w:eastAsia="Times New Roman"/>
          <w:lang w:eastAsia="de-DE"/>
        </w:rPr>
        <w:t>mit dreifachem Objekt.</w:t>
      </w:r>
    </w:p>
    <w:p w14:paraId="5275EC38"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lang w:eastAsia="de-DE"/>
        </w:rPr>
        <w:t>Der Vers beschreibt den entscheidenden Sieg über Sihon und schreibt ihn explizit JHWH zu: „JHWH, unser Gott, gab ihn vor uns". Die menschliche Aktion des Schlagens folgt auf die göttliche Gabe. Die totale Niederlage umfasst Sihon selbst, seine Söhne (die Thronnachfolger) und sein gesamtes Heer – ein vollständiger militärischer Zusammenbruch.</w:t>
      </w:r>
    </w:p>
    <w:p w14:paraId="10F4135D" w14:textId="77777777" w:rsidR="00C111E7" w:rsidRPr="00C111E7" w:rsidRDefault="00C111E7" w:rsidP="00C111E7">
      <w:pPr>
        <w:spacing w:before="100" w:beforeAutospacing="1" w:after="100" w:afterAutospacing="1" w:line="240" w:lineRule="auto"/>
        <w:outlineLvl w:val="1"/>
        <w:rPr>
          <w:rFonts w:eastAsia="Times New Roman"/>
          <w:b/>
          <w:bCs/>
          <w:sz w:val="36"/>
          <w:szCs w:val="36"/>
          <w:lang w:eastAsia="de-DE"/>
        </w:rPr>
      </w:pPr>
      <w:r w:rsidRPr="00C111E7">
        <w:rPr>
          <w:rFonts w:eastAsia="Times New Roman"/>
          <w:b/>
          <w:bCs/>
          <w:sz w:val="36"/>
          <w:szCs w:val="36"/>
          <w:lang w:eastAsia="de-DE"/>
        </w:rPr>
        <w:t>Deuteronomium 2,34</w:t>
      </w:r>
    </w:p>
    <w:p w14:paraId="7E97834A"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lang w:eastAsia="de-DE"/>
        </w:rPr>
        <w:t>Hebräisch:</w:t>
      </w:r>
      <w:r w:rsidRPr="00C111E7">
        <w:rPr>
          <w:rFonts w:eastAsia="Times New Roman"/>
          <w:lang w:eastAsia="de-DE"/>
        </w:rPr>
        <w:t xml:space="preserve"> </w:t>
      </w:r>
      <w:r w:rsidRPr="00C111E7">
        <w:rPr>
          <w:rFonts w:eastAsia="Times New Roman"/>
          <w:rtl/>
          <w:lang w:eastAsia="de-DE"/>
        </w:rPr>
        <w:t>וַנִּלְכֹּ֤ד אֶת־כָּל־עָרָיו֙ בָּעֵ֣ת הַהִ֔וא וַֽנַּחֲרֵם֙ אֶת־כָּל־עִ֣יר מְתִ֔ם וְהַנָּשִׁ֖ים וְהַטָּ֑ף לֹ֥א הִשְׁאַ֖רְנוּ שָׂרִֽיד׃</w:t>
      </w:r>
    </w:p>
    <w:p w14:paraId="1594AA0B"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lang w:eastAsia="de-DE"/>
        </w:rPr>
        <w:t>Deutsch:</w:t>
      </w:r>
      <w:r w:rsidRPr="00C111E7">
        <w:rPr>
          <w:rFonts w:eastAsia="Times New Roman"/>
          <w:lang w:eastAsia="de-DE"/>
        </w:rPr>
        <w:t xml:space="preserve"> Und wir nahmen alle seine Städte zu jener Zeit ein und vollstreckten den Bann an jeder Stadt, Männern und Frauen und Kindern; wir ließen keinen Überlebenden übrig.</w:t>
      </w:r>
    </w:p>
    <w:p w14:paraId="034C1ABA" w14:textId="77777777" w:rsidR="00C111E7" w:rsidRPr="00C111E7" w:rsidRDefault="004F5CEB" w:rsidP="00C111E7">
      <w:pPr>
        <w:spacing w:after="0" w:line="240" w:lineRule="auto"/>
        <w:rPr>
          <w:rFonts w:eastAsia="Times New Roman"/>
          <w:lang w:eastAsia="de-DE"/>
        </w:rPr>
      </w:pPr>
      <w:r>
        <w:rPr>
          <w:rFonts w:eastAsia="Times New Roman"/>
          <w:noProof/>
          <w:lang w:eastAsia="de-DE"/>
        </w:rPr>
        <w:pict w14:anchorId="5ED5A4D1">
          <v:rect id="_x0000_i1104" style="width:0;height:1.5pt" o:hralign="center" o:hrstd="t" o:hr="t" fillcolor="#a0a0a0" stroked="f"/>
        </w:pict>
      </w:r>
    </w:p>
    <w:p w14:paraId="19AA03ED" w14:textId="03690915"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lang w:eastAsia="de-DE"/>
        </w:rPr>
        <w:lastRenderedPageBreak/>
        <w:t>Kommentar:</w:t>
      </w:r>
      <w:r w:rsidRPr="00C111E7">
        <w:rPr>
          <w:rFonts w:eastAsia="Times New Roman"/>
          <w:lang w:eastAsia="de-DE"/>
        </w:rPr>
        <w:t xml:space="preserve"> </w:t>
      </w:r>
      <w:r w:rsidRPr="00C111E7">
        <w:rPr>
          <w:rFonts w:eastAsia="Times New Roman"/>
          <w:b/>
          <w:bCs/>
          <w:rtl/>
          <w:lang w:eastAsia="de-DE"/>
        </w:rPr>
        <w:t>וַנִּלְכֹּד אֶת־כָּל־עָרָיו בָּעֵת הַהִוא</w:t>
      </w:r>
      <w:r w:rsidRPr="00C111E7">
        <w:rPr>
          <w:rFonts w:eastAsia="Times New Roman"/>
          <w:rtl/>
          <w:lang w:eastAsia="de-DE"/>
        </w:rPr>
        <w:t xml:space="preserve"> </w:t>
      </w:r>
      <w:r w:rsidRPr="00C111E7">
        <w:rPr>
          <w:rFonts w:eastAsia="Times New Roman"/>
          <w:lang w:eastAsia="de-DE"/>
        </w:rPr>
        <w:t xml:space="preserve">ist </w:t>
      </w:r>
      <w:r w:rsidRPr="00C111E7">
        <w:rPr>
          <w:rFonts w:eastAsia="Times New Roman"/>
          <w:b/>
          <w:bCs/>
          <w:rtl/>
          <w:lang w:eastAsia="de-DE"/>
        </w:rPr>
        <w:t>וַנִּלְכֹּד</w:t>
      </w:r>
      <w:r w:rsidRPr="00C111E7">
        <w:rPr>
          <w:rFonts w:eastAsia="Times New Roman"/>
          <w:rtl/>
          <w:lang w:eastAsia="de-DE"/>
        </w:rPr>
        <w:t xml:space="preserve"> </w:t>
      </w:r>
      <w:r w:rsidRPr="00C111E7">
        <w:rPr>
          <w:rFonts w:eastAsia="Times New Roman"/>
          <w:lang w:eastAsia="de-DE"/>
        </w:rPr>
        <w:t xml:space="preserve">(Qal Imperfekt consecutivum, 1. Person Plural von </w:t>
      </w:r>
      <w:r w:rsidRPr="00C111E7">
        <w:rPr>
          <w:rFonts w:eastAsia="Times New Roman"/>
          <w:rtl/>
          <w:lang w:eastAsia="de-DE"/>
        </w:rPr>
        <w:t>לכד</w:t>
      </w:r>
      <w:r w:rsidRPr="00C111E7">
        <w:rPr>
          <w:rFonts w:eastAsia="Times New Roman"/>
          <w:lang w:eastAsia="de-DE"/>
        </w:rPr>
        <w:t xml:space="preserve"> „einnehmen, erobern" mit Waw), </w:t>
      </w:r>
      <w:r w:rsidRPr="00C111E7">
        <w:rPr>
          <w:rFonts w:eastAsia="Times New Roman"/>
          <w:b/>
          <w:bCs/>
          <w:rtl/>
          <w:lang w:eastAsia="de-DE"/>
        </w:rPr>
        <w:t>אֶת־כָּל־עָרָיו</w:t>
      </w:r>
      <w:r w:rsidRPr="00C111E7">
        <w:rPr>
          <w:rFonts w:eastAsia="Times New Roman"/>
          <w:rtl/>
          <w:lang w:eastAsia="de-DE"/>
        </w:rPr>
        <w:t xml:space="preserve"> </w:t>
      </w:r>
      <w:r w:rsidRPr="00C111E7">
        <w:rPr>
          <w:rFonts w:eastAsia="Times New Roman"/>
          <w:lang w:eastAsia="de-DE"/>
        </w:rPr>
        <w:t xml:space="preserve">(Objektpartikel mit </w:t>
      </w:r>
      <w:r w:rsidRPr="00C111E7">
        <w:rPr>
          <w:rFonts w:eastAsia="Times New Roman"/>
          <w:b/>
          <w:bCs/>
          <w:rtl/>
          <w:lang w:eastAsia="de-DE"/>
        </w:rPr>
        <w:t>כֹּל</w:t>
      </w:r>
      <w:r w:rsidRPr="00C111E7">
        <w:rPr>
          <w:rFonts w:eastAsia="Times New Roman"/>
          <w:rtl/>
          <w:lang w:eastAsia="de-DE"/>
        </w:rPr>
        <w:t xml:space="preserve"> </w:t>
      </w:r>
      <w:r w:rsidRPr="00C111E7">
        <w:rPr>
          <w:rFonts w:eastAsia="Times New Roman"/>
          <w:lang w:eastAsia="de-DE"/>
        </w:rPr>
        <w:t xml:space="preserve">im </w:t>
      </w:r>
      <w:r w:rsidR="0032647F">
        <w:rPr>
          <w:rFonts w:eastAsia="Times New Roman"/>
          <w:lang w:eastAsia="de-DE"/>
        </w:rPr>
        <w:t>Construct</w:t>
      </w:r>
      <w:r w:rsidRPr="00C111E7">
        <w:rPr>
          <w:rFonts w:eastAsia="Times New Roman"/>
          <w:lang w:eastAsia="de-DE"/>
        </w:rPr>
        <w:t xml:space="preserve">, </w:t>
      </w:r>
      <w:r w:rsidRPr="00C111E7">
        <w:rPr>
          <w:rFonts w:eastAsia="Times New Roman"/>
          <w:b/>
          <w:bCs/>
          <w:rtl/>
          <w:lang w:eastAsia="de-DE"/>
        </w:rPr>
        <w:t>עָרִים</w:t>
      </w:r>
      <w:r w:rsidRPr="00C111E7">
        <w:rPr>
          <w:rFonts w:eastAsia="Times New Roman"/>
          <w:rtl/>
          <w:lang w:eastAsia="de-DE"/>
        </w:rPr>
        <w:t xml:space="preserve"> </w:t>
      </w:r>
      <w:r w:rsidRPr="00C111E7">
        <w:rPr>
          <w:rFonts w:eastAsia="Times New Roman"/>
          <w:lang w:eastAsia="de-DE"/>
        </w:rPr>
        <w:t xml:space="preserve">Plural von </w:t>
      </w:r>
      <w:r w:rsidRPr="00C111E7">
        <w:rPr>
          <w:rFonts w:eastAsia="Times New Roman"/>
          <w:b/>
          <w:bCs/>
          <w:rtl/>
          <w:lang w:eastAsia="de-DE"/>
        </w:rPr>
        <w:t>עִיר</w:t>
      </w:r>
      <w:r w:rsidRPr="00C111E7">
        <w:rPr>
          <w:rFonts w:eastAsia="Times New Roman"/>
          <w:rtl/>
          <w:lang w:eastAsia="de-DE"/>
        </w:rPr>
        <w:t xml:space="preserve"> </w:t>
      </w:r>
      <w:r w:rsidRPr="00C111E7">
        <w:rPr>
          <w:rFonts w:eastAsia="Times New Roman"/>
          <w:lang w:eastAsia="de-DE"/>
        </w:rPr>
        <w:t xml:space="preserve">„Stadt" im </w:t>
      </w:r>
      <w:r w:rsidR="0032647F">
        <w:rPr>
          <w:rFonts w:eastAsia="Times New Roman"/>
          <w:lang w:eastAsia="de-DE"/>
        </w:rPr>
        <w:t>Construct</w:t>
      </w:r>
      <w:r w:rsidRPr="00C111E7">
        <w:rPr>
          <w:rFonts w:eastAsia="Times New Roman"/>
          <w:lang w:eastAsia="de-DE"/>
        </w:rPr>
        <w:t xml:space="preserve">, und Suffix 3. Person Singular „alle seine Städte"), </w:t>
      </w:r>
      <w:r w:rsidRPr="00C111E7">
        <w:rPr>
          <w:rFonts w:eastAsia="Times New Roman"/>
          <w:b/>
          <w:bCs/>
          <w:rtl/>
          <w:lang w:eastAsia="de-DE"/>
        </w:rPr>
        <w:t>בָּעֵת הַהִוא</w:t>
      </w:r>
      <w:r w:rsidRPr="00C111E7">
        <w:rPr>
          <w:rFonts w:eastAsia="Times New Roman"/>
          <w:rtl/>
          <w:lang w:eastAsia="de-DE"/>
        </w:rPr>
        <w:t xml:space="preserve"> </w:t>
      </w:r>
      <w:r w:rsidRPr="00C111E7">
        <w:rPr>
          <w:rFonts w:eastAsia="Times New Roman"/>
          <w:lang w:eastAsia="de-DE"/>
        </w:rPr>
        <w:t>ist die temporale Phrase „zu jener Zeit".</w:t>
      </w:r>
    </w:p>
    <w:p w14:paraId="2A6550FA" w14:textId="3C508A85"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rtl/>
          <w:lang w:eastAsia="de-DE"/>
        </w:rPr>
        <w:t>וַנַּחֲרֵם אֶת־כָּל־עִיר מְתִם וְהַנָּשִׁים וְהַטָּף</w:t>
      </w:r>
      <w:r w:rsidRPr="00C111E7">
        <w:rPr>
          <w:rFonts w:eastAsia="Times New Roman"/>
          <w:rtl/>
          <w:lang w:eastAsia="de-DE"/>
        </w:rPr>
        <w:t xml:space="preserve"> </w:t>
      </w:r>
      <w:r w:rsidRPr="00C111E7">
        <w:rPr>
          <w:rFonts w:eastAsia="Times New Roman"/>
          <w:lang w:eastAsia="de-DE"/>
        </w:rPr>
        <w:t xml:space="preserve">ist </w:t>
      </w:r>
      <w:r w:rsidRPr="00C111E7">
        <w:rPr>
          <w:rFonts w:eastAsia="Times New Roman"/>
          <w:b/>
          <w:bCs/>
          <w:rtl/>
          <w:lang w:eastAsia="de-DE"/>
        </w:rPr>
        <w:t>וַנַּחֲרֵם</w:t>
      </w:r>
      <w:r w:rsidRPr="00C111E7">
        <w:rPr>
          <w:rFonts w:eastAsia="Times New Roman"/>
          <w:rtl/>
          <w:lang w:eastAsia="de-DE"/>
        </w:rPr>
        <w:t xml:space="preserve"> </w:t>
      </w:r>
      <w:r w:rsidRPr="00C111E7">
        <w:rPr>
          <w:rFonts w:eastAsia="Times New Roman"/>
          <w:lang w:eastAsia="de-DE"/>
        </w:rPr>
        <w:t xml:space="preserve">(Hif'il Imperfekt consecutivum, 1. Person Plural von </w:t>
      </w:r>
      <w:r w:rsidRPr="00C111E7">
        <w:rPr>
          <w:rFonts w:eastAsia="Times New Roman"/>
          <w:rtl/>
          <w:lang w:eastAsia="de-DE"/>
        </w:rPr>
        <w:t>חרם</w:t>
      </w:r>
      <w:r w:rsidRPr="00C111E7">
        <w:rPr>
          <w:rFonts w:eastAsia="Times New Roman"/>
          <w:lang w:eastAsia="de-DE"/>
        </w:rPr>
        <w:t xml:space="preserve"> „dem Bann weihen, vernichten" mit Waw), </w:t>
      </w:r>
      <w:r w:rsidRPr="00C111E7">
        <w:rPr>
          <w:rFonts w:eastAsia="Times New Roman"/>
          <w:b/>
          <w:bCs/>
          <w:rtl/>
          <w:lang w:eastAsia="de-DE"/>
        </w:rPr>
        <w:t>אֶת־כָּל־עִיר</w:t>
      </w:r>
      <w:r w:rsidRPr="00C111E7">
        <w:rPr>
          <w:rFonts w:eastAsia="Times New Roman"/>
          <w:rtl/>
          <w:lang w:eastAsia="de-DE"/>
        </w:rPr>
        <w:t xml:space="preserve"> </w:t>
      </w:r>
      <w:r w:rsidRPr="00C111E7">
        <w:rPr>
          <w:rFonts w:eastAsia="Times New Roman"/>
          <w:lang w:eastAsia="de-DE"/>
        </w:rPr>
        <w:t xml:space="preserve">(Objektpartikel mit </w:t>
      </w:r>
      <w:r w:rsidRPr="00C111E7">
        <w:rPr>
          <w:rFonts w:eastAsia="Times New Roman"/>
          <w:b/>
          <w:bCs/>
          <w:rtl/>
          <w:lang w:eastAsia="de-DE"/>
        </w:rPr>
        <w:t>כֹּל</w:t>
      </w:r>
      <w:r w:rsidRPr="00C111E7">
        <w:rPr>
          <w:rFonts w:eastAsia="Times New Roman"/>
          <w:rtl/>
          <w:lang w:eastAsia="de-DE"/>
        </w:rPr>
        <w:t xml:space="preserve"> </w:t>
      </w:r>
      <w:r w:rsidRPr="00C111E7">
        <w:rPr>
          <w:rFonts w:eastAsia="Times New Roman"/>
          <w:lang w:eastAsia="de-DE"/>
        </w:rPr>
        <w:t xml:space="preserve">im </w:t>
      </w:r>
      <w:r w:rsidR="0032647F">
        <w:rPr>
          <w:rFonts w:eastAsia="Times New Roman"/>
          <w:lang w:eastAsia="de-DE"/>
        </w:rPr>
        <w:t>Construct</w:t>
      </w:r>
      <w:r w:rsidRPr="00C111E7">
        <w:rPr>
          <w:rFonts w:eastAsia="Times New Roman"/>
          <w:lang w:eastAsia="de-DE"/>
        </w:rPr>
        <w:t xml:space="preserve"> und </w:t>
      </w:r>
      <w:r w:rsidRPr="00C111E7">
        <w:rPr>
          <w:rFonts w:eastAsia="Times New Roman"/>
          <w:b/>
          <w:bCs/>
          <w:rtl/>
          <w:lang w:eastAsia="de-DE"/>
        </w:rPr>
        <w:t>עִיר</w:t>
      </w:r>
      <w:r w:rsidRPr="00C111E7">
        <w:rPr>
          <w:rFonts w:eastAsia="Times New Roman"/>
          <w:rtl/>
          <w:lang w:eastAsia="de-DE"/>
        </w:rPr>
        <w:t xml:space="preserve"> </w:t>
      </w:r>
      <w:r w:rsidRPr="00C111E7">
        <w:rPr>
          <w:rFonts w:eastAsia="Times New Roman"/>
          <w:lang w:eastAsia="de-DE"/>
        </w:rPr>
        <w:t xml:space="preserve">„jede Stadt"), </w:t>
      </w:r>
      <w:r w:rsidRPr="00C111E7">
        <w:rPr>
          <w:rFonts w:eastAsia="Times New Roman"/>
          <w:b/>
          <w:bCs/>
          <w:rtl/>
          <w:lang w:eastAsia="de-DE"/>
        </w:rPr>
        <w:t>מְתִם</w:t>
      </w:r>
      <w:r w:rsidRPr="00C111E7">
        <w:rPr>
          <w:rFonts w:eastAsia="Times New Roman"/>
          <w:rtl/>
          <w:lang w:eastAsia="de-DE"/>
        </w:rPr>
        <w:t xml:space="preserve"> </w:t>
      </w:r>
      <w:r w:rsidRPr="00C111E7">
        <w:rPr>
          <w:rFonts w:eastAsia="Times New Roman"/>
          <w:lang w:eastAsia="de-DE"/>
        </w:rPr>
        <w:t xml:space="preserve">ist der Plural von </w:t>
      </w:r>
      <w:r w:rsidRPr="00C111E7">
        <w:rPr>
          <w:rFonts w:eastAsia="Times New Roman"/>
          <w:b/>
          <w:bCs/>
          <w:rtl/>
          <w:lang w:eastAsia="de-DE"/>
        </w:rPr>
        <w:t>מֵת</w:t>
      </w:r>
      <w:r w:rsidRPr="00C111E7">
        <w:rPr>
          <w:rFonts w:eastAsia="Times New Roman"/>
          <w:rtl/>
          <w:lang w:eastAsia="de-DE"/>
        </w:rPr>
        <w:t xml:space="preserve"> </w:t>
      </w:r>
      <w:r w:rsidRPr="00C111E7">
        <w:rPr>
          <w:rFonts w:eastAsia="Times New Roman"/>
          <w:lang w:eastAsia="de-DE"/>
        </w:rPr>
        <w:t xml:space="preserve">(„Mann, männliche Person") oder verwandt mit </w:t>
      </w:r>
      <w:r w:rsidRPr="00C111E7">
        <w:rPr>
          <w:rFonts w:eastAsia="Times New Roman"/>
          <w:b/>
          <w:bCs/>
          <w:rtl/>
          <w:lang w:eastAsia="de-DE"/>
        </w:rPr>
        <w:t>מְתֹם</w:t>
      </w:r>
      <w:r w:rsidRPr="00C111E7">
        <w:rPr>
          <w:rFonts w:eastAsia="Times New Roman"/>
          <w:rtl/>
          <w:lang w:eastAsia="de-DE"/>
        </w:rPr>
        <w:t xml:space="preserve"> </w:t>
      </w:r>
      <w:r w:rsidRPr="00C111E7">
        <w:rPr>
          <w:rFonts w:eastAsia="Times New Roman"/>
          <w:lang w:eastAsia="de-DE"/>
        </w:rPr>
        <w:t xml:space="preserve">(„Männer"), </w:t>
      </w:r>
      <w:r w:rsidRPr="00C111E7">
        <w:rPr>
          <w:rFonts w:eastAsia="Times New Roman"/>
          <w:b/>
          <w:bCs/>
          <w:rtl/>
          <w:lang w:eastAsia="de-DE"/>
        </w:rPr>
        <w:t>וְהַנָּשִׁים</w:t>
      </w:r>
      <w:r w:rsidRPr="00C111E7">
        <w:rPr>
          <w:rFonts w:eastAsia="Times New Roman"/>
          <w:rtl/>
          <w:lang w:eastAsia="de-DE"/>
        </w:rPr>
        <w:t xml:space="preserve"> </w:t>
      </w:r>
      <w:r w:rsidRPr="00C111E7">
        <w:rPr>
          <w:rFonts w:eastAsia="Times New Roman"/>
          <w:lang w:eastAsia="de-DE"/>
        </w:rPr>
        <w:t>(</w:t>
      </w:r>
      <w:r w:rsidRPr="00C111E7">
        <w:rPr>
          <w:rFonts w:eastAsia="Times New Roman"/>
          <w:b/>
          <w:bCs/>
          <w:rtl/>
          <w:lang w:eastAsia="de-DE"/>
        </w:rPr>
        <w:t>וְ</w:t>
      </w:r>
      <w:r w:rsidRPr="00C111E7">
        <w:rPr>
          <w:rFonts w:eastAsia="Times New Roman"/>
          <w:rtl/>
          <w:lang w:eastAsia="de-DE"/>
        </w:rPr>
        <w:t xml:space="preserve"> </w:t>
      </w:r>
      <w:r w:rsidRPr="00C111E7">
        <w:rPr>
          <w:rFonts w:eastAsia="Times New Roman"/>
          <w:lang w:eastAsia="de-DE"/>
        </w:rPr>
        <w:t xml:space="preserve">mit </w:t>
      </w:r>
      <w:r w:rsidRPr="00C111E7">
        <w:rPr>
          <w:rFonts w:eastAsia="Times New Roman"/>
          <w:b/>
          <w:bCs/>
          <w:rtl/>
          <w:lang w:eastAsia="de-DE"/>
        </w:rPr>
        <w:t>נָשִׁים</w:t>
      </w:r>
      <w:r w:rsidRPr="00C111E7">
        <w:rPr>
          <w:rFonts w:eastAsia="Times New Roman"/>
          <w:lang w:eastAsia="de-DE"/>
        </w:rPr>
        <w:t xml:space="preserve">, Plural von </w:t>
      </w:r>
      <w:r w:rsidRPr="00C111E7">
        <w:rPr>
          <w:rFonts w:eastAsia="Times New Roman"/>
          <w:b/>
          <w:bCs/>
          <w:rtl/>
          <w:lang w:eastAsia="de-DE"/>
        </w:rPr>
        <w:t>אִשָּׁה</w:t>
      </w:r>
      <w:r w:rsidRPr="00C111E7">
        <w:rPr>
          <w:rFonts w:eastAsia="Times New Roman"/>
          <w:rtl/>
          <w:lang w:eastAsia="de-DE"/>
        </w:rPr>
        <w:t xml:space="preserve"> </w:t>
      </w:r>
      <w:r w:rsidRPr="00C111E7">
        <w:rPr>
          <w:rFonts w:eastAsia="Times New Roman"/>
          <w:lang w:eastAsia="de-DE"/>
        </w:rPr>
        <w:t xml:space="preserve">„Frau" mit Artikel), </w:t>
      </w:r>
      <w:r w:rsidRPr="00C111E7">
        <w:rPr>
          <w:rFonts w:eastAsia="Times New Roman"/>
          <w:b/>
          <w:bCs/>
          <w:rtl/>
          <w:lang w:eastAsia="de-DE"/>
        </w:rPr>
        <w:t>וְהַטָּף</w:t>
      </w:r>
      <w:r w:rsidRPr="00C111E7">
        <w:rPr>
          <w:rFonts w:eastAsia="Times New Roman"/>
          <w:rtl/>
          <w:lang w:eastAsia="de-DE"/>
        </w:rPr>
        <w:t xml:space="preserve"> </w:t>
      </w:r>
      <w:r w:rsidRPr="00C111E7">
        <w:rPr>
          <w:rFonts w:eastAsia="Times New Roman"/>
          <w:lang w:eastAsia="de-DE"/>
        </w:rPr>
        <w:t>(</w:t>
      </w:r>
      <w:r w:rsidRPr="00C111E7">
        <w:rPr>
          <w:rFonts w:eastAsia="Times New Roman"/>
          <w:b/>
          <w:bCs/>
          <w:rtl/>
          <w:lang w:eastAsia="de-DE"/>
        </w:rPr>
        <w:t>וְ</w:t>
      </w:r>
      <w:r w:rsidRPr="00C111E7">
        <w:rPr>
          <w:rFonts w:eastAsia="Times New Roman"/>
          <w:rtl/>
          <w:lang w:eastAsia="de-DE"/>
        </w:rPr>
        <w:t xml:space="preserve"> </w:t>
      </w:r>
      <w:r w:rsidRPr="00C111E7">
        <w:rPr>
          <w:rFonts w:eastAsia="Times New Roman"/>
          <w:lang w:eastAsia="de-DE"/>
        </w:rPr>
        <w:t xml:space="preserve">mit </w:t>
      </w:r>
      <w:r w:rsidRPr="00C111E7">
        <w:rPr>
          <w:rFonts w:eastAsia="Times New Roman"/>
          <w:b/>
          <w:bCs/>
          <w:rtl/>
          <w:lang w:eastAsia="de-DE"/>
        </w:rPr>
        <w:t>טַף</w:t>
      </w:r>
      <w:r w:rsidRPr="00C111E7">
        <w:rPr>
          <w:rFonts w:eastAsia="Times New Roman"/>
          <w:rtl/>
          <w:lang w:eastAsia="de-DE"/>
        </w:rPr>
        <w:t xml:space="preserve"> </w:t>
      </w:r>
      <w:r w:rsidRPr="00C111E7">
        <w:rPr>
          <w:rFonts w:eastAsia="Times New Roman"/>
          <w:lang w:eastAsia="de-DE"/>
        </w:rPr>
        <w:t>„kleine Kinder" mit Artikel). Die Aufzählung umfasst alle Bevölkerungsgruppen.</w:t>
      </w:r>
    </w:p>
    <w:p w14:paraId="0BE041F1"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rtl/>
          <w:lang w:eastAsia="de-DE"/>
        </w:rPr>
        <w:t>לֹא הִשְׁאַרְנוּ שָׂרִיד</w:t>
      </w:r>
      <w:r w:rsidRPr="00C111E7">
        <w:rPr>
          <w:rFonts w:eastAsia="Times New Roman"/>
          <w:rtl/>
          <w:lang w:eastAsia="de-DE"/>
        </w:rPr>
        <w:t xml:space="preserve"> </w:t>
      </w:r>
      <w:r w:rsidRPr="00C111E7">
        <w:rPr>
          <w:rFonts w:eastAsia="Times New Roman"/>
          <w:lang w:eastAsia="de-DE"/>
        </w:rPr>
        <w:t xml:space="preserve">ist </w:t>
      </w:r>
      <w:r w:rsidRPr="00C111E7">
        <w:rPr>
          <w:rFonts w:eastAsia="Times New Roman"/>
          <w:b/>
          <w:bCs/>
          <w:rtl/>
          <w:lang w:eastAsia="de-DE"/>
        </w:rPr>
        <w:t>לֹא</w:t>
      </w:r>
      <w:r w:rsidRPr="00C111E7">
        <w:rPr>
          <w:rFonts w:eastAsia="Times New Roman"/>
          <w:rtl/>
          <w:lang w:eastAsia="de-DE"/>
        </w:rPr>
        <w:t xml:space="preserve"> </w:t>
      </w:r>
      <w:r w:rsidRPr="00C111E7">
        <w:rPr>
          <w:rFonts w:eastAsia="Times New Roman"/>
          <w:lang w:eastAsia="de-DE"/>
        </w:rPr>
        <w:t xml:space="preserve">als Negation, </w:t>
      </w:r>
      <w:r w:rsidRPr="00C111E7">
        <w:rPr>
          <w:rFonts w:eastAsia="Times New Roman"/>
          <w:b/>
          <w:bCs/>
          <w:rtl/>
          <w:lang w:eastAsia="de-DE"/>
        </w:rPr>
        <w:t>הִשְׁאַרְנוּ</w:t>
      </w:r>
      <w:r w:rsidRPr="00C111E7">
        <w:rPr>
          <w:rFonts w:eastAsia="Times New Roman"/>
          <w:rtl/>
          <w:lang w:eastAsia="de-DE"/>
        </w:rPr>
        <w:t xml:space="preserve"> </w:t>
      </w:r>
      <w:r w:rsidRPr="00C111E7">
        <w:rPr>
          <w:rFonts w:eastAsia="Times New Roman"/>
          <w:lang w:eastAsia="de-DE"/>
        </w:rPr>
        <w:t xml:space="preserve">(Hif'il Perfekt, 1. Person Plural von </w:t>
      </w:r>
      <w:r w:rsidRPr="00C111E7">
        <w:rPr>
          <w:rFonts w:eastAsia="Times New Roman"/>
          <w:rtl/>
          <w:lang w:eastAsia="de-DE"/>
        </w:rPr>
        <w:t>שׁאר</w:t>
      </w:r>
      <w:r w:rsidRPr="00C111E7">
        <w:rPr>
          <w:rFonts w:eastAsia="Times New Roman"/>
          <w:lang w:eastAsia="de-DE"/>
        </w:rPr>
        <w:t xml:space="preserve"> „übrig lassen"), </w:t>
      </w:r>
      <w:r w:rsidRPr="00C111E7">
        <w:rPr>
          <w:rFonts w:eastAsia="Times New Roman"/>
          <w:b/>
          <w:bCs/>
          <w:rtl/>
          <w:lang w:eastAsia="de-DE"/>
        </w:rPr>
        <w:t>שָׂרִיד</w:t>
      </w:r>
      <w:r w:rsidRPr="00C111E7">
        <w:rPr>
          <w:rFonts w:eastAsia="Times New Roman"/>
          <w:rtl/>
          <w:lang w:eastAsia="de-DE"/>
        </w:rPr>
        <w:t xml:space="preserve"> </w:t>
      </w:r>
      <w:r w:rsidRPr="00C111E7">
        <w:rPr>
          <w:rFonts w:eastAsia="Times New Roman"/>
          <w:lang w:eastAsia="de-DE"/>
        </w:rPr>
        <w:t>(„Überlebender, Flüchtling") als Objekt. Die Aussage betont die Vollständigkeit der Vernichtung.</w:t>
      </w:r>
    </w:p>
    <w:p w14:paraId="354E7A17" w14:textId="447D7DF2"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lang w:eastAsia="de-DE"/>
        </w:rPr>
        <w:t>Die LXX</w:t>
      </w:r>
      <w:r w:rsidRPr="00C111E7">
        <w:rPr>
          <w:rFonts w:eastAsia="Times New Roman"/>
          <w:lang w:eastAsia="de-DE"/>
        </w:rPr>
        <w:t xml:space="preserve"> </w:t>
      </w:r>
      <w:r w:rsidR="00516967">
        <w:t>übersetzt „</w:t>
      </w:r>
      <w:r w:rsidR="00516967">
        <w:rPr>
          <w:rtl/>
        </w:rPr>
        <w:t>מְתִם</w:t>
      </w:r>
      <w:r w:rsidR="00516967">
        <w:t>" (Männer) mit „</w:t>
      </w:r>
      <w:proofErr w:type="spellStart"/>
      <w:r w:rsidR="00516967">
        <w:t>ἑξῆς</w:t>
      </w:r>
      <w:proofErr w:type="spellEnd"/>
      <w:r w:rsidR="00516967">
        <w:t>" (der Reihe nach/in Folge), was eine völlig andere Bedeutung hat, und expliziert „</w:t>
      </w:r>
      <w:proofErr w:type="spellStart"/>
      <w:r w:rsidR="00516967">
        <w:t>τὰ</w:t>
      </w:r>
      <w:proofErr w:type="spellEnd"/>
      <w:r w:rsidR="00516967">
        <w:t xml:space="preserve"> </w:t>
      </w:r>
      <w:proofErr w:type="spellStart"/>
      <w:r w:rsidR="00516967">
        <w:t>τέκν</w:t>
      </w:r>
      <w:proofErr w:type="spellEnd"/>
      <w:r w:rsidR="00516967">
        <w:t>α α</w:t>
      </w:r>
      <w:proofErr w:type="spellStart"/>
      <w:r w:rsidR="00516967">
        <w:t>ὐτῶν</w:t>
      </w:r>
      <w:proofErr w:type="spellEnd"/>
      <w:r w:rsidR="00516967">
        <w:t>" (ihre Kinder) statt nur „</w:t>
      </w:r>
      <w:r w:rsidR="00516967">
        <w:rPr>
          <w:rtl/>
        </w:rPr>
        <w:t>הַטָּף</w:t>
      </w:r>
      <w:r w:rsidR="00516967">
        <w:t>" (die Kinder).</w:t>
      </w:r>
    </w:p>
    <w:p w14:paraId="1EAE9F65" w14:textId="29D1B31B" w:rsidR="00C111E7" w:rsidRPr="00C111E7" w:rsidRDefault="00C111E7" w:rsidP="00516967">
      <w:pPr>
        <w:spacing w:before="100" w:beforeAutospacing="1" w:after="100" w:afterAutospacing="1" w:line="240" w:lineRule="auto"/>
        <w:rPr>
          <w:rFonts w:eastAsia="Times New Roman"/>
          <w:lang w:eastAsia="de-DE"/>
        </w:rPr>
      </w:pPr>
      <w:r w:rsidRPr="00C111E7">
        <w:rPr>
          <w:rFonts w:eastAsia="Times New Roman"/>
          <w:lang w:eastAsia="de-DE"/>
        </w:rPr>
        <w:t>Die Satzstruktur besteht aus drei koordinierten Hauptsätzen</w:t>
      </w:r>
      <w:r w:rsidR="00516967">
        <w:rPr>
          <w:rFonts w:eastAsia="Times New Roman"/>
          <w:lang w:eastAsia="de-DE"/>
        </w:rPr>
        <w:t>.</w:t>
      </w:r>
    </w:p>
    <w:p w14:paraId="2C25B3C5"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lang w:eastAsia="de-DE"/>
        </w:rPr>
        <w:t>Der Vers beschreibt die Vollstreckung des Banns (</w:t>
      </w:r>
      <w:r w:rsidRPr="00C111E7">
        <w:rPr>
          <w:rFonts w:eastAsia="Times New Roman"/>
          <w:b/>
          <w:bCs/>
          <w:rtl/>
          <w:lang w:eastAsia="de-DE"/>
        </w:rPr>
        <w:t>חֵרֶם</w:t>
      </w:r>
      <w:r w:rsidRPr="00C111E7">
        <w:rPr>
          <w:rFonts w:eastAsia="Times New Roman"/>
          <w:lang w:eastAsia="de-DE"/>
        </w:rPr>
        <w:t>), einer totalen Weihung an JHWH durch Vernichtung. Alle Städte Sihons wurden erobert und ihre gesamte Bevölkerung – Männer, Frauen und Kinder – getötet. Dies war die übliche Praxis bei der Eroberung kanaanäischer Städte (vgl. Dtn 7,1-2; 20,16-17). Die theologische Begründung liegt in der völligen Hingabe an JHWH und der Vermeidung religiöser Kontamination durch die Vorbewohner.</w:t>
      </w:r>
    </w:p>
    <w:p w14:paraId="3D6E4A62" w14:textId="77777777" w:rsidR="00C111E7" w:rsidRPr="00C111E7" w:rsidRDefault="00C111E7" w:rsidP="00C111E7">
      <w:pPr>
        <w:spacing w:before="100" w:beforeAutospacing="1" w:after="100" w:afterAutospacing="1" w:line="240" w:lineRule="auto"/>
        <w:outlineLvl w:val="1"/>
        <w:rPr>
          <w:rFonts w:eastAsia="Times New Roman"/>
          <w:b/>
          <w:bCs/>
          <w:sz w:val="36"/>
          <w:szCs w:val="36"/>
          <w:lang w:eastAsia="de-DE"/>
        </w:rPr>
      </w:pPr>
      <w:r w:rsidRPr="00C111E7">
        <w:rPr>
          <w:rFonts w:eastAsia="Times New Roman"/>
          <w:b/>
          <w:bCs/>
          <w:sz w:val="36"/>
          <w:szCs w:val="36"/>
          <w:lang w:eastAsia="de-DE"/>
        </w:rPr>
        <w:t>Deuteronomium 2,35</w:t>
      </w:r>
    </w:p>
    <w:p w14:paraId="4B2865D2"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lang w:eastAsia="de-DE"/>
        </w:rPr>
        <w:t>Hebräisch:</w:t>
      </w:r>
      <w:r w:rsidRPr="00C111E7">
        <w:rPr>
          <w:rFonts w:eastAsia="Times New Roman"/>
          <w:lang w:eastAsia="de-DE"/>
        </w:rPr>
        <w:t xml:space="preserve"> </w:t>
      </w:r>
      <w:r w:rsidRPr="00C111E7">
        <w:rPr>
          <w:rFonts w:eastAsia="Times New Roman"/>
          <w:rtl/>
          <w:lang w:eastAsia="de-DE"/>
        </w:rPr>
        <w:t>רַ֥ק הַבְּהֵמָ֖ה בָּזַ֣זְנוּ לָ֑נוּ וּשְׁלַ֥ל הֶעָרִ֖ים אֲשֶׁ֥ר לָכָֽדְנוּ׃</w:t>
      </w:r>
    </w:p>
    <w:p w14:paraId="67D7096C"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lang w:eastAsia="de-DE"/>
        </w:rPr>
        <w:t>Deutsch:</w:t>
      </w:r>
      <w:r w:rsidRPr="00C111E7">
        <w:rPr>
          <w:rFonts w:eastAsia="Times New Roman"/>
          <w:lang w:eastAsia="de-DE"/>
        </w:rPr>
        <w:t xml:space="preserve"> Nur das Vieh erbeuteten wir für uns und die Beute der Städte, die wir einnahmen.</w:t>
      </w:r>
    </w:p>
    <w:p w14:paraId="3F914FCC" w14:textId="77777777" w:rsidR="00C111E7" w:rsidRPr="00C111E7" w:rsidRDefault="004F5CEB" w:rsidP="00C111E7">
      <w:pPr>
        <w:spacing w:after="0" w:line="240" w:lineRule="auto"/>
        <w:rPr>
          <w:rFonts w:eastAsia="Times New Roman"/>
          <w:lang w:eastAsia="de-DE"/>
        </w:rPr>
      </w:pPr>
      <w:r>
        <w:rPr>
          <w:rFonts w:eastAsia="Times New Roman"/>
          <w:noProof/>
          <w:lang w:eastAsia="de-DE"/>
        </w:rPr>
        <w:pict w14:anchorId="4520D9B1">
          <v:rect id="_x0000_i1105" style="width:0;height:1.5pt" o:hralign="center" o:hrstd="t" o:hr="t" fillcolor="#a0a0a0" stroked="f"/>
        </w:pict>
      </w:r>
    </w:p>
    <w:p w14:paraId="44AF1D9A"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lang w:eastAsia="de-DE"/>
        </w:rPr>
        <w:t>Kommentar:</w:t>
      </w:r>
      <w:r w:rsidRPr="00C111E7">
        <w:rPr>
          <w:rFonts w:eastAsia="Times New Roman"/>
          <w:lang w:eastAsia="de-DE"/>
        </w:rPr>
        <w:t xml:space="preserve"> </w:t>
      </w:r>
      <w:r w:rsidRPr="00C111E7">
        <w:rPr>
          <w:rFonts w:eastAsia="Times New Roman"/>
          <w:b/>
          <w:bCs/>
          <w:rtl/>
          <w:lang w:eastAsia="de-DE"/>
        </w:rPr>
        <w:t>רַק</w:t>
      </w:r>
      <w:r w:rsidRPr="00C111E7">
        <w:rPr>
          <w:rFonts w:eastAsia="Times New Roman"/>
          <w:rtl/>
          <w:lang w:eastAsia="de-DE"/>
        </w:rPr>
        <w:t xml:space="preserve"> </w:t>
      </w:r>
      <w:r w:rsidRPr="00C111E7">
        <w:rPr>
          <w:rFonts w:eastAsia="Times New Roman"/>
          <w:lang w:eastAsia="de-DE"/>
        </w:rPr>
        <w:t xml:space="preserve">ist die einschränkende Partikel („nur, lediglich"). </w:t>
      </w:r>
      <w:r w:rsidRPr="00C111E7">
        <w:rPr>
          <w:rFonts w:eastAsia="Times New Roman"/>
          <w:b/>
          <w:bCs/>
          <w:rtl/>
          <w:lang w:eastAsia="de-DE"/>
        </w:rPr>
        <w:t>הַבְּהֵמָה</w:t>
      </w:r>
      <w:r w:rsidRPr="00C111E7">
        <w:rPr>
          <w:rFonts w:eastAsia="Times New Roman"/>
          <w:rtl/>
          <w:lang w:eastAsia="de-DE"/>
        </w:rPr>
        <w:t xml:space="preserve"> </w:t>
      </w:r>
      <w:r w:rsidRPr="00C111E7">
        <w:rPr>
          <w:rFonts w:eastAsia="Times New Roman"/>
          <w:lang w:eastAsia="de-DE"/>
        </w:rPr>
        <w:t xml:space="preserve">ist </w:t>
      </w:r>
      <w:r w:rsidRPr="00C111E7">
        <w:rPr>
          <w:rFonts w:eastAsia="Times New Roman"/>
          <w:b/>
          <w:bCs/>
          <w:rtl/>
          <w:lang w:eastAsia="de-DE"/>
        </w:rPr>
        <w:t>בְּהֵמָה</w:t>
      </w:r>
      <w:r w:rsidRPr="00C111E7">
        <w:rPr>
          <w:rFonts w:eastAsia="Times New Roman"/>
          <w:rtl/>
          <w:lang w:eastAsia="de-DE"/>
        </w:rPr>
        <w:t xml:space="preserve"> </w:t>
      </w:r>
      <w:r w:rsidRPr="00C111E7">
        <w:rPr>
          <w:rFonts w:eastAsia="Times New Roman"/>
          <w:lang w:eastAsia="de-DE"/>
        </w:rPr>
        <w:t xml:space="preserve">(„Vieh, Tier") mit Artikel als kollektiver Singular. </w:t>
      </w:r>
      <w:r w:rsidRPr="00C111E7">
        <w:rPr>
          <w:rFonts w:eastAsia="Times New Roman"/>
          <w:b/>
          <w:bCs/>
          <w:rtl/>
          <w:lang w:eastAsia="de-DE"/>
        </w:rPr>
        <w:t>בָּזַזְנוּ</w:t>
      </w:r>
      <w:r w:rsidRPr="00C111E7">
        <w:rPr>
          <w:rFonts w:eastAsia="Times New Roman"/>
          <w:rtl/>
          <w:lang w:eastAsia="de-DE"/>
        </w:rPr>
        <w:t xml:space="preserve"> </w:t>
      </w:r>
      <w:r w:rsidRPr="00C111E7">
        <w:rPr>
          <w:rFonts w:eastAsia="Times New Roman"/>
          <w:lang w:eastAsia="de-DE"/>
        </w:rPr>
        <w:t xml:space="preserve">ist Qal Perfekt, 1. Person Plural von </w:t>
      </w:r>
      <w:r w:rsidRPr="00C111E7">
        <w:rPr>
          <w:rFonts w:eastAsia="Times New Roman"/>
          <w:rtl/>
          <w:lang w:eastAsia="de-DE"/>
        </w:rPr>
        <w:t>בזז</w:t>
      </w:r>
      <w:r w:rsidRPr="00C111E7">
        <w:rPr>
          <w:rFonts w:eastAsia="Times New Roman"/>
          <w:lang w:eastAsia="de-DE"/>
        </w:rPr>
        <w:t xml:space="preserve"> („plündern, erbeuten"). </w:t>
      </w:r>
      <w:r w:rsidRPr="00C111E7">
        <w:rPr>
          <w:rFonts w:eastAsia="Times New Roman"/>
          <w:b/>
          <w:bCs/>
          <w:rtl/>
          <w:lang w:eastAsia="de-DE"/>
        </w:rPr>
        <w:t>לָנוּ</w:t>
      </w:r>
      <w:r w:rsidRPr="00C111E7">
        <w:rPr>
          <w:rFonts w:eastAsia="Times New Roman"/>
          <w:rtl/>
          <w:lang w:eastAsia="de-DE"/>
        </w:rPr>
        <w:t xml:space="preserve"> </w:t>
      </w:r>
      <w:r w:rsidRPr="00C111E7">
        <w:rPr>
          <w:rFonts w:eastAsia="Times New Roman"/>
          <w:lang w:eastAsia="de-DE"/>
        </w:rPr>
        <w:t xml:space="preserve">ist </w:t>
      </w:r>
      <w:r w:rsidRPr="00C111E7">
        <w:rPr>
          <w:rFonts w:eastAsia="Times New Roman"/>
          <w:b/>
          <w:bCs/>
          <w:rtl/>
          <w:lang w:eastAsia="de-DE"/>
        </w:rPr>
        <w:t>לְ</w:t>
      </w:r>
      <w:r w:rsidRPr="00C111E7">
        <w:rPr>
          <w:rFonts w:eastAsia="Times New Roman"/>
          <w:rtl/>
          <w:lang w:eastAsia="de-DE"/>
        </w:rPr>
        <w:t xml:space="preserve"> </w:t>
      </w:r>
      <w:r w:rsidRPr="00C111E7">
        <w:rPr>
          <w:rFonts w:eastAsia="Times New Roman"/>
          <w:lang w:eastAsia="de-DE"/>
        </w:rPr>
        <w:t>mit Suffix 1. Person Plural („für uns").</w:t>
      </w:r>
    </w:p>
    <w:p w14:paraId="0D0F6448" w14:textId="1C454122"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rtl/>
          <w:lang w:eastAsia="de-DE"/>
        </w:rPr>
        <w:t>וּשְׁלַל הֶעָרִים אֲשֶׁר לָכָדְנוּ</w:t>
      </w:r>
      <w:r w:rsidRPr="00C111E7">
        <w:rPr>
          <w:rFonts w:eastAsia="Times New Roman"/>
          <w:rtl/>
          <w:lang w:eastAsia="de-DE"/>
        </w:rPr>
        <w:t xml:space="preserve"> </w:t>
      </w:r>
      <w:r w:rsidRPr="00C111E7">
        <w:rPr>
          <w:rFonts w:eastAsia="Times New Roman"/>
          <w:lang w:eastAsia="de-DE"/>
        </w:rPr>
        <w:t xml:space="preserve">ist </w:t>
      </w:r>
      <w:r w:rsidRPr="00C111E7">
        <w:rPr>
          <w:rFonts w:eastAsia="Times New Roman"/>
          <w:b/>
          <w:bCs/>
          <w:rtl/>
          <w:lang w:eastAsia="de-DE"/>
        </w:rPr>
        <w:t>וּ</w:t>
      </w:r>
      <w:r w:rsidRPr="00C111E7">
        <w:rPr>
          <w:rFonts w:eastAsia="Times New Roman"/>
          <w:rtl/>
          <w:lang w:eastAsia="de-DE"/>
        </w:rPr>
        <w:t xml:space="preserve"> </w:t>
      </w:r>
      <w:r w:rsidRPr="00C111E7">
        <w:rPr>
          <w:rFonts w:eastAsia="Times New Roman"/>
          <w:lang w:eastAsia="de-DE"/>
        </w:rPr>
        <w:t xml:space="preserve">mit </w:t>
      </w:r>
      <w:r w:rsidRPr="00C111E7">
        <w:rPr>
          <w:rFonts w:eastAsia="Times New Roman"/>
          <w:b/>
          <w:bCs/>
          <w:rtl/>
          <w:lang w:eastAsia="de-DE"/>
        </w:rPr>
        <w:t>שְׁלָל</w:t>
      </w:r>
      <w:r w:rsidRPr="00C111E7">
        <w:rPr>
          <w:rFonts w:eastAsia="Times New Roman"/>
          <w:rtl/>
          <w:lang w:eastAsia="de-DE"/>
        </w:rPr>
        <w:t xml:space="preserve"> </w:t>
      </w:r>
      <w:r w:rsidRPr="00C111E7">
        <w:rPr>
          <w:rFonts w:eastAsia="Times New Roman"/>
          <w:lang w:eastAsia="de-DE"/>
        </w:rPr>
        <w:t xml:space="preserve">(„Beute, Plündergut") im </w:t>
      </w:r>
      <w:r w:rsidR="0032647F">
        <w:rPr>
          <w:rFonts w:eastAsia="Times New Roman"/>
          <w:lang w:eastAsia="de-DE"/>
        </w:rPr>
        <w:t>Construct</w:t>
      </w:r>
      <w:r w:rsidRPr="00C111E7">
        <w:rPr>
          <w:rFonts w:eastAsia="Times New Roman"/>
          <w:lang w:eastAsia="de-DE"/>
        </w:rPr>
        <w:t xml:space="preserve">, </w:t>
      </w:r>
      <w:r w:rsidRPr="00C111E7">
        <w:rPr>
          <w:rFonts w:eastAsia="Times New Roman"/>
          <w:b/>
          <w:bCs/>
          <w:rtl/>
          <w:lang w:eastAsia="de-DE"/>
        </w:rPr>
        <w:t>הֶעָרִים</w:t>
      </w:r>
      <w:r w:rsidRPr="00C111E7">
        <w:rPr>
          <w:rFonts w:eastAsia="Times New Roman"/>
          <w:rtl/>
          <w:lang w:eastAsia="de-DE"/>
        </w:rPr>
        <w:t xml:space="preserve"> </w:t>
      </w:r>
      <w:r w:rsidRPr="00C111E7">
        <w:rPr>
          <w:rFonts w:eastAsia="Times New Roman"/>
          <w:lang w:eastAsia="de-DE"/>
        </w:rPr>
        <w:t xml:space="preserve">(Plural von </w:t>
      </w:r>
      <w:r w:rsidRPr="00C111E7">
        <w:rPr>
          <w:rFonts w:eastAsia="Times New Roman"/>
          <w:b/>
          <w:bCs/>
          <w:rtl/>
          <w:lang w:eastAsia="de-DE"/>
        </w:rPr>
        <w:t>עִיר</w:t>
      </w:r>
      <w:r w:rsidRPr="00C111E7">
        <w:rPr>
          <w:rFonts w:eastAsia="Times New Roman"/>
          <w:rtl/>
          <w:lang w:eastAsia="de-DE"/>
        </w:rPr>
        <w:t xml:space="preserve"> </w:t>
      </w:r>
      <w:r w:rsidRPr="00C111E7">
        <w:rPr>
          <w:rFonts w:eastAsia="Times New Roman"/>
          <w:lang w:eastAsia="de-DE"/>
        </w:rPr>
        <w:t xml:space="preserve">mit Artikel „die Städte"), Relativsatz </w:t>
      </w:r>
      <w:r w:rsidRPr="00C111E7">
        <w:rPr>
          <w:rFonts w:eastAsia="Times New Roman"/>
          <w:b/>
          <w:bCs/>
          <w:rtl/>
          <w:lang w:eastAsia="de-DE"/>
        </w:rPr>
        <w:t>אֲשֶׁר לָכָדְנוּ</w:t>
      </w:r>
      <w:r w:rsidRPr="00C111E7">
        <w:rPr>
          <w:rFonts w:eastAsia="Times New Roman"/>
          <w:rtl/>
          <w:lang w:eastAsia="de-DE"/>
        </w:rPr>
        <w:t xml:space="preserve"> </w:t>
      </w:r>
      <w:r w:rsidRPr="00C111E7">
        <w:rPr>
          <w:rFonts w:eastAsia="Times New Roman"/>
          <w:lang w:eastAsia="de-DE"/>
        </w:rPr>
        <w:t xml:space="preserve">mit </w:t>
      </w:r>
      <w:r w:rsidRPr="00C111E7">
        <w:rPr>
          <w:rFonts w:eastAsia="Times New Roman"/>
          <w:b/>
          <w:bCs/>
          <w:rtl/>
          <w:lang w:eastAsia="de-DE"/>
        </w:rPr>
        <w:t>לָכָדְנוּ</w:t>
      </w:r>
      <w:r w:rsidRPr="00C111E7">
        <w:rPr>
          <w:rFonts w:eastAsia="Times New Roman"/>
          <w:rtl/>
          <w:lang w:eastAsia="de-DE"/>
        </w:rPr>
        <w:t xml:space="preserve"> </w:t>
      </w:r>
      <w:r w:rsidRPr="00C111E7">
        <w:rPr>
          <w:rFonts w:eastAsia="Times New Roman"/>
          <w:lang w:eastAsia="de-DE"/>
        </w:rPr>
        <w:t xml:space="preserve">(Qal Perfekt, 1. Person Plural von </w:t>
      </w:r>
      <w:r w:rsidRPr="00C111E7">
        <w:rPr>
          <w:rFonts w:eastAsia="Times New Roman"/>
          <w:rtl/>
          <w:lang w:eastAsia="de-DE"/>
        </w:rPr>
        <w:t>לכד</w:t>
      </w:r>
      <w:r w:rsidRPr="00C111E7">
        <w:rPr>
          <w:rFonts w:eastAsia="Times New Roman"/>
          <w:lang w:eastAsia="de-DE"/>
        </w:rPr>
        <w:t xml:space="preserve"> „einnehmen").</w:t>
      </w:r>
    </w:p>
    <w:p w14:paraId="2286CEA3"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lang w:eastAsia="de-DE"/>
        </w:rPr>
        <w:t>Die LXX</w:t>
      </w:r>
      <w:r w:rsidRPr="00C111E7">
        <w:rPr>
          <w:rFonts w:eastAsia="Times New Roman"/>
          <w:lang w:eastAsia="de-DE"/>
        </w:rPr>
        <w:t xml:space="preserve"> übersetzt „π</w:t>
      </w:r>
      <w:proofErr w:type="spellStart"/>
      <w:r w:rsidRPr="00C111E7">
        <w:rPr>
          <w:rFonts w:eastAsia="Times New Roman"/>
          <w:lang w:eastAsia="de-DE"/>
        </w:rPr>
        <w:t>λὴν</w:t>
      </w:r>
      <w:proofErr w:type="spellEnd"/>
      <w:r w:rsidRPr="00C111E7">
        <w:rPr>
          <w:rFonts w:eastAsia="Times New Roman"/>
          <w:lang w:eastAsia="de-DE"/>
        </w:rPr>
        <w:t xml:space="preserve"> </w:t>
      </w:r>
      <w:proofErr w:type="spellStart"/>
      <w:r w:rsidRPr="00C111E7">
        <w:rPr>
          <w:rFonts w:eastAsia="Times New Roman"/>
          <w:lang w:eastAsia="de-DE"/>
        </w:rPr>
        <w:t>τὰ</w:t>
      </w:r>
      <w:proofErr w:type="spellEnd"/>
      <w:r w:rsidRPr="00C111E7">
        <w:rPr>
          <w:rFonts w:eastAsia="Times New Roman"/>
          <w:lang w:eastAsia="de-DE"/>
        </w:rPr>
        <w:t xml:space="preserve"> </w:t>
      </w:r>
      <w:proofErr w:type="spellStart"/>
      <w:r w:rsidRPr="00C111E7">
        <w:rPr>
          <w:rFonts w:eastAsia="Times New Roman"/>
          <w:lang w:eastAsia="de-DE"/>
        </w:rPr>
        <w:t>κτήνη</w:t>
      </w:r>
      <w:proofErr w:type="spellEnd"/>
      <w:r w:rsidRPr="00C111E7">
        <w:rPr>
          <w:rFonts w:eastAsia="Times New Roman"/>
          <w:lang w:eastAsia="de-DE"/>
        </w:rPr>
        <w:t xml:space="preserve"> ἐπ</w:t>
      </w:r>
      <w:proofErr w:type="spellStart"/>
      <w:r w:rsidRPr="00C111E7">
        <w:rPr>
          <w:rFonts w:eastAsia="Times New Roman"/>
          <w:lang w:eastAsia="de-DE"/>
        </w:rPr>
        <w:t>ρονομεύσ</w:t>
      </w:r>
      <w:proofErr w:type="spellEnd"/>
      <w:r w:rsidRPr="00C111E7">
        <w:rPr>
          <w:rFonts w:eastAsia="Times New Roman"/>
          <w:lang w:eastAsia="de-DE"/>
        </w:rPr>
        <w:t xml:space="preserve">αμεν καὶ </w:t>
      </w:r>
      <w:proofErr w:type="spellStart"/>
      <w:r w:rsidRPr="00C111E7">
        <w:rPr>
          <w:rFonts w:eastAsia="Times New Roman"/>
          <w:lang w:eastAsia="de-DE"/>
        </w:rPr>
        <w:t>τὰ</w:t>
      </w:r>
      <w:proofErr w:type="spellEnd"/>
      <w:r w:rsidRPr="00C111E7">
        <w:rPr>
          <w:rFonts w:eastAsia="Times New Roman"/>
          <w:lang w:eastAsia="de-DE"/>
        </w:rPr>
        <w:t xml:space="preserve"> </w:t>
      </w:r>
      <w:proofErr w:type="spellStart"/>
      <w:r w:rsidRPr="00C111E7">
        <w:rPr>
          <w:rFonts w:eastAsia="Times New Roman"/>
          <w:lang w:eastAsia="de-DE"/>
        </w:rPr>
        <w:t>σκῦλ</w:t>
      </w:r>
      <w:proofErr w:type="spellEnd"/>
      <w:r w:rsidRPr="00C111E7">
        <w:rPr>
          <w:rFonts w:eastAsia="Times New Roman"/>
          <w:lang w:eastAsia="de-DE"/>
        </w:rPr>
        <w:t xml:space="preserve">α </w:t>
      </w:r>
      <w:proofErr w:type="spellStart"/>
      <w:r w:rsidRPr="00C111E7">
        <w:rPr>
          <w:rFonts w:eastAsia="Times New Roman"/>
          <w:lang w:eastAsia="de-DE"/>
        </w:rPr>
        <w:t>τῶν</w:t>
      </w:r>
      <w:proofErr w:type="spellEnd"/>
      <w:r w:rsidRPr="00C111E7">
        <w:rPr>
          <w:rFonts w:eastAsia="Times New Roman"/>
          <w:lang w:eastAsia="de-DE"/>
        </w:rPr>
        <w:t xml:space="preserve"> π</w:t>
      </w:r>
      <w:proofErr w:type="spellStart"/>
      <w:r w:rsidRPr="00C111E7">
        <w:rPr>
          <w:rFonts w:eastAsia="Times New Roman"/>
          <w:lang w:eastAsia="de-DE"/>
        </w:rPr>
        <w:t>όλεων</w:t>
      </w:r>
      <w:proofErr w:type="spellEnd"/>
      <w:r w:rsidRPr="00C111E7">
        <w:rPr>
          <w:rFonts w:eastAsia="Times New Roman"/>
          <w:lang w:eastAsia="de-DE"/>
        </w:rPr>
        <w:t xml:space="preserve"> </w:t>
      </w:r>
      <w:proofErr w:type="spellStart"/>
      <w:r w:rsidRPr="00C111E7">
        <w:rPr>
          <w:rFonts w:eastAsia="Times New Roman"/>
          <w:lang w:eastAsia="de-DE"/>
        </w:rPr>
        <w:t>ἐλά</w:t>
      </w:r>
      <w:proofErr w:type="spellEnd"/>
      <w:r w:rsidRPr="00C111E7">
        <w:rPr>
          <w:rFonts w:eastAsia="Times New Roman"/>
          <w:lang w:eastAsia="de-DE"/>
        </w:rPr>
        <w:t>βομεν" („außer die Tiere erbeuteten wir und die Beute der Städte nahmen wir"). Die LXX verwendet zwei verschiedene Verben für die Erbeutung.</w:t>
      </w:r>
    </w:p>
    <w:p w14:paraId="28B20AB3"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lang w:eastAsia="de-DE"/>
        </w:rPr>
        <w:lastRenderedPageBreak/>
        <w:t>Die Satzstruktur besteht aus zwei koordinierten Objekten (</w:t>
      </w:r>
      <w:r w:rsidRPr="00C111E7">
        <w:rPr>
          <w:rFonts w:eastAsia="Times New Roman"/>
          <w:b/>
          <w:bCs/>
          <w:rtl/>
          <w:lang w:eastAsia="de-DE"/>
        </w:rPr>
        <w:t>הַבְּהֵמָה</w:t>
      </w:r>
      <w:r w:rsidRPr="00C111E7">
        <w:rPr>
          <w:rFonts w:eastAsia="Times New Roman"/>
          <w:rtl/>
          <w:lang w:eastAsia="de-DE"/>
        </w:rPr>
        <w:t xml:space="preserve"> </w:t>
      </w:r>
      <w:r w:rsidRPr="00C111E7">
        <w:rPr>
          <w:rFonts w:eastAsia="Times New Roman"/>
          <w:lang w:eastAsia="de-DE"/>
        </w:rPr>
        <w:t xml:space="preserve">und </w:t>
      </w:r>
      <w:r w:rsidRPr="00C111E7">
        <w:rPr>
          <w:rFonts w:eastAsia="Times New Roman"/>
          <w:b/>
          <w:bCs/>
          <w:rtl/>
          <w:lang w:eastAsia="de-DE"/>
        </w:rPr>
        <w:t>שְׁלַל הֶעָרִים אֲשֶׁר לָכָדְנוּ</w:t>
      </w:r>
      <w:r w:rsidRPr="00C111E7">
        <w:rPr>
          <w:rFonts w:eastAsia="Times New Roman"/>
          <w:lang w:eastAsia="de-DE"/>
        </w:rPr>
        <w:t xml:space="preserve">) mit dem gemeinsamen Prädikat </w:t>
      </w:r>
      <w:r w:rsidRPr="00C111E7">
        <w:rPr>
          <w:rFonts w:eastAsia="Times New Roman"/>
          <w:b/>
          <w:bCs/>
          <w:rtl/>
          <w:lang w:eastAsia="de-DE"/>
        </w:rPr>
        <w:t>בָּזַזְנוּ</w:t>
      </w:r>
      <w:r w:rsidRPr="00C111E7">
        <w:rPr>
          <w:rFonts w:eastAsia="Times New Roman"/>
          <w:lang w:eastAsia="de-DE"/>
        </w:rPr>
        <w:t xml:space="preserve">, eingeleitet durch die einschränkende Partikel </w:t>
      </w:r>
      <w:r w:rsidRPr="00C111E7">
        <w:rPr>
          <w:rFonts w:eastAsia="Times New Roman"/>
          <w:b/>
          <w:bCs/>
          <w:rtl/>
          <w:lang w:eastAsia="de-DE"/>
        </w:rPr>
        <w:t>רַק</w:t>
      </w:r>
      <w:r w:rsidRPr="00C111E7">
        <w:rPr>
          <w:rFonts w:eastAsia="Times New Roman"/>
          <w:lang w:eastAsia="de-DE"/>
        </w:rPr>
        <w:t>.</w:t>
      </w:r>
    </w:p>
    <w:p w14:paraId="51513371"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lang w:eastAsia="de-DE"/>
        </w:rPr>
        <w:t xml:space="preserve">Der Vers macht eine wichtige Ausnahme zum Bann: Während die Menschen getötet wurden, durften die Tiere und die materielle Beute behalten werden. Dies zeigt eine Differenzierung im </w:t>
      </w:r>
      <w:r w:rsidRPr="00C111E7">
        <w:rPr>
          <w:rFonts w:eastAsia="Times New Roman"/>
          <w:b/>
          <w:bCs/>
          <w:rtl/>
          <w:lang w:eastAsia="de-DE"/>
        </w:rPr>
        <w:t>חֵרֶם</w:t>
      </w:r>
      <w:r w:rsidRPr="00C111E7">
        <w:rPr>
          <w:rFonts w:eastAsia="Times New Roman"/>
          <w:lang w:eastAsia="de-DE"/>
        </w:rPr>
        <w:t>: Lebewesen mussten vernichtet werden (um religiöse Kontamination zu vermeiden), aber materielle Güter und Tiere konnten als legitime Kriegsbeute genommen werden. Dies sicherte Israels Versorgung und belohnte die Kämpfer.</w:t>
      </w:r>
    </w:p>
    <w:p w14:paraId="332F5BA8" w14:textId="77777777" w:rsidR="00C111E7" w:rsidRPr="00C111E7" w:rsidRDefault="00C111E7" w:rsidP="00C111E7">
      <w:pPr>
        <w:spacing w:before="100" w:beforeAutospacing="1" w:after="100" w:afterAutospacing="1" w:line="240" w:lineRule="auto"/>
        <w:outlineLvl w:val="1"/>
        <w:rPr>
          <w:rFonts w:eastAsia="Times New Roman"/>
          <w:b/>
          <w:bCs/>
          <w:sz w:val="36"/>
          <w:szCs w:val="36"/>
          <w:lang w:eastAsia="de-DE"/>
        </w:rPr>
      </w:pPr>
      <w:r w:rsidRPr="00C111E7">
        <w:rPr>
          <w:rFonts w:eastAsia="Times New Roman"/>
          <w:b/>
          <w:bCs/>
          <w:sz w:val="36"/>
          <w:szCs w:val="36"/>
          <w:lang w:eastAsia="de-DE"/>
        </w:rPr>
        <w:t>Deuteronomium 2,36</w:t>
      </w:r>
    </w:p>
    <w:p w14:paraId="3ADBFB32"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lang w:eastAsia="de-DE"/>
        </w:rPr>
        <w:t>Hebräisch:</w:t>
      </w:r>
      <w:r w:rsidRPr="00C111E7">
        <w:rPr>
          <w:rFonts w:eastAsia="Times New Roman"/>
          <w:lang w:eastAsia="de-DE"/>
        </w:rPr>
        <w:t xml:space="preserve"> </w:t>
      </w:r>
      <w:r w:rsidRPr="00C111E7">
        <w:rPr>
          <w:rFonts w:eastAsia="Times New Roman"/>
          <w:rtl/>
          <w:lang w:eastAsia="de-DE"/>
        </w:rPr>
        <w:t>מֵֽעֲרֹעֵ֡ר אֲשֶׁר֩ עַל־שְׂפַת־נַ֨חַל אַרְנֹ֜ן וְהָעִ֨יר אֲשֶׁ֤ר בַּנַּ֙חַל֙ וְעַד־הַגִּלְעָ֔ד לֹ֤א הָֽיְתָה֙ קִרְיָ֔ה אֲשֶׁ֥ר שָׂגְבָ֖ה מִמֶּ֑נּוּ אֶת־הַכֹּ֕ל נָתַ֛ן יְהוָ֥ה אֱלֹהֵ֖ינוּ לְפָנֵֽינוּ׃</w:t>
      </w:r>
    </w:p>
    <w:p w14:paraId="24408BBA"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lang w:eastAsia="de-DE"/>
        </w:rPr>
        <w:t>Deutsch:</w:t>
      </w:r>
      <w:r w:rsidRPr="00C111E7">
        <w:rPr>
          <w:rFonts w:eastAsia="Times New Roman"/>
          <w:lang w:eastAsia="de-DE"/>
        </w:rPr>
        <w:t xml:space="preserve"> Von Aroer, das am Ufer des Baches Arnon liegt, und der Stadt, die im Bachtal liegt, bis Gil'ad war keine Stadt, die für uns zu hoch gewesen wäre; alles gab der Ewige, unser Gott, vor uns.</w:t>
      </w:r>
    </w:p>
    <w:p w14:paraId="5B3D1AE3" w14:textId="77777777" w:rsidR="00C111E7" w:rsidRPr="00C111E7" w:rsidRDefault="004F5CEB" w:rsidP="00C111E7">
      <w:pPr>
        <w:spacing w:after="0" w:line="240" w:lineRule="auto"/>
        <w:rPr>
          <w:rFonts w:eastAsia="Times New Roman"/>
          <w:lang w:eastAsia="de-DE"/>
        </w:rPr>
      </w:pPr>
      <w:r>
        <w:rPr>
          <w:rFonts w:eastAsia="Times New Roman"/>
          <w:noProof/>
          <w:lang w:eastAsia="de-DE"/>
        </w:rPr>
        <w:pict w14:anchorId="184C2722">
          <v:rect id="_x0000_i1106" style="width:0;height:1.5pt" o:hralign="center" o:hrstd="t" o:hr="t" fillcolor="#a0a0a0" stroked="f"/>
        </w:pict>
      </w:r>
    </w:p>
    <w:p w14:paraId="523D58C5" w14:textId="6BCE28E3"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lang w:eastAsia="de-DE"/>
        </w:rPr>
        <w:t>Kommentar:</w:t>
      </w:r>
      <w:r w:rsidRPr="00C111E7">
        <w:rPr>
          <w:rFonts w:eastAsia="Times New Roman"/>
          <w:lang w:eastAsia="de-DE"/>
        </w:rPr>
        <w:t xml:space="preserve"> </w:t>
      </w:r>
      <w:r w:rsidRPr="00C111E7">
        <w:rPr>
          <w:rFonts w:eastAsia="Times New Roman"/>
          <w:b/>
          <w:bCs/>
          <w:rtl/>
          <w:lang w:eastAsia="de-DE"/>
        </w:rPr>
        <w:t>מֵעֲרֹעֵר אֲשֶׁר עַל־שְׂפַת־נַחַל אַרְנוֹן</w:t>
      </w:r>
      <w:r w:rsidRPr="00C111E7">
        <w:rPr>
          <w:rFonts w:eastAsia="Times New Roman"/>
          <w:rtl/>
          <w:lang w:eastAsia="de-DE"/>
        </w:rPr>
        <w:t xml:space="preserve"> </w:t>
      </w:r>
      <w:r w:rsidRPr="00C111E7">
        <w:rPr>
          <w:rFonts w:eastAsia="Times New Roman"/>
          <w:lang w:eastAsia="de-DE"/>
        </w:rPr>
        <w:t xml:space="preserve">ist </w:t>
      </w:r>
      <w:r w:rsidRPr="00C111E7">
        <w:rPr>
          <w:rFonts w:eastAsia="Times New Roman"/>
          <w:b/>
          <w:bCs/>
          <w:rtl/>
          <w:lang w:eastAsia="de-DE"/>
        </w:rPr>
        <w:t>מִן</w:t>
      </w:r>
      <w:r w:rsidRPr="00C111E7">
        <w:rPr>
          <w:rFonts w:eastAsia="Times New Roman"/>
          <w:rtl/>
          <w:lang w:eastAsia="de-DE"/>
        </w:rPr>
        <w:t xml:space="preserve"> </w:t>
      </w:r>
      <w:r w:rsidRPr="00C111E7">
        <w:rPr>
          <w:rFonts w:eastAsia="Times New Roman"/>
          <w:lang w:eastAsia="de-DE"/>
        </w:rPr>
        <w:t xml:space="preserve">(„von") mit </w:t>
      </w:r>
      <w:r w:rsidRPr="00C111E7">
        <w:rPr>
          <w:rFonts w:eastAsia="Times New Roman"/>
          <w:b/>
          <w:bCs/>
          <w:rtl/>
          <w:lang w:eastAsia="de-DE"/>
        </w:rPr>
        <w:t>עֲרֹעֵר</w:t>
      </w:r>
      <w:r w:rsidRPr="00C111E7">
        <w:rPr>
          <w:rFonts w:eastAsia="Times New Roman"/>
          <w:rtl/>
          <w:lang w:eastAsia="de-DE"/>
        </w:rPr>
        <w:t xml:space="preserve"> </w:t>
      </w:r>
      <w:r w:rsidRPr="00C111E7">
        <w:rPr>
          <w:rFonts w:eastAsia="Times New Roman"/>
          <w:lang w:eastAsia="de-DE"/>
        </w:rPr>
        <w:t xml:space="preserve">(„Aroer"), einem Ortsnamen, Relativsatz </w:t>
      </w:r>
      <w:r w:rsidRPr="00C111E7">
        <w:rPr>
          <w:rFonts w:eastAsia="Times New Roman"/>
          <w:b/>
          <w:bCs/>
          <w:rtl/>
          <w:lang w:eastAsia="de-DE"/>
        </w:rPr>
        <w:t>אֲשֶׁר עַל־שְׂפַת־נַחַל אַרְנוֹן</w:t>
      </w:r>
      <w:r w:rsidRPr="00C111E7">
        <w:rPr>
          <w:rFonts w:eastAsia="Times New Roman"/>
          <w:lang w:eastAsia="de-DE"/>
        </w:rPr>
        <w:t xml:space="preserve">, wobei </w:t>
      </w:r>
      <w:r w:rsidRPr="00C111E7">
        <w:rPr>
          <w:rFonts w:eastAsia="Times New Roman"/>
          <w:b/>
          <w:bCs/>
          <w:rtl/>
          <w:lang w:eastAsia="de-DE"/>
        </w:rPr>
        <w:t>עַל־שְׂפַת</w:t>
      </w:r>
      <w:r w:rsidRPr="00C111E7">
        <w:rPr>
          <w:rFonts w:eastAsia="Times New Roman"/>
          <w:rtl/>
          <w:lang w:eastAsia="de-DE"/>
        </w:rPr>
        <w:t xml:space="preserve"> </w:t>
      </w:r>
      <w:r w:rsidRPr="00C111E7">
        <w:rPr>
          <w:rFonts w:eastAsia="Times New Roman"/>
          <w:lang w:eastAsia="de-DE"/>
        </w:rPr>
        <w:t>(</w:t>
      </w:r>
      <w:r w:rsidRPr="00C111E7">
        <w:rPr>
          <w:rFonts w:eastAsia="Times New Roman"/>
          <w:b/>
          <w:bCs/>
          <w:rtl/>
          <w:lang w:eastAsia="de-DE"/>
        </w:rPr>
        <w:t>עַל</w:t>
      </w:r>
      <w:r w:rsidRPr="00C111E7">
        <w:rPr>
          <w:rFonts w:eastAsia="Times New Roman"/>
          <w:rtl/>
          <w:lang w:eastAsia="de-DE"/>
        </w:rPr>
        <w:t xml:space="preserve"> </w:t>
      </w:r>
      <w:r w:rsidRPr="00C111E7">
        <w:rPr>
          <w:rFonts w:eastAsia="Times New Roman"/>
          <w:lang w:eastAsia="de-DE"/>
        </w:rPr>
        <w:t xml:space="preserve">„an, auf" mit </w:t>
      </w:r>
      <w:r w:rsidRPr="00C111E7">
        <w:rPr>
          <w:rFonts w:eastAsia="Times New Roman"/>
          <w:b/>
          <w:bCs/>
          <w:rtl/>
          <w:lang w:eastAsia="de-DE"/>
        </w:rPr>
        <w:t>שָׂפָה</w:t>
      </w:r>
      <w:r w:rsidRPr="00C111E7">
        <w:rPr>
          <w:rFonts w:eastAsia="Times New Roman"/>
          <w:rtl/>
          <w:lang w:eastAsia="de-DE"/>
        </w:rPr>
        <w:t xml:space="preserve"> </w:t>
      </w:r>
      <w:r w:rsidRPr="00C111E7">
        <w:rPr>
          <w:rFonts w:eastAsia="Times New Roman"/>
          <w:lang w:eastAsia="de-DE"/>
        </w:rPr>
        <w:t xml:space="preserve">„Lippe, Rand, Ufer" im </w:t>
      </w:r>
      <w:r w:rsidR="0032647F">
        <w:rPr>
          <w:rFonts w:eastAsia="Times New Roman"/>
          <w:lang w:eastAsia="de-DE"/>
        </w:rPr>
        <w:t>Construct</w:t>
      </w:r>
      <w:r w:rsidRPr="00C111E7">
        <w:rPr>
          <w:rFonts w:eastAsia="Times New Roman"/>
          <w:lang w:eastAsia="de-DE"/>
        </w:rPr>
        <w:t xml:space="preserve">) und </w:t>
      </w:r>
      <w:r w:rsidRPr="00C111E7">
        <w:rPr>
          <w:rFonts w:eastAsia="Times New Roman"/>
          <w:b/>
          <w:bCs/>
          <w:rtl/>
          <w:lang w:eastAsia="de-DE"/>
        </w:rPr>
        <w:t>נַחַל אַרְנוֹן</w:t>
      </w:r>
      <w:r w:rsidRPr="00C111E7">
        <w:rPr>
          <w:rFonts w:eastAsia="Times New Roman"/>
          <w:rtl/>
          <w:lang w:eastAsia="de-DE"/>
        </w:rPr>
        <w:t xml:space="preserve"> </w:t>
      </w:r>
      <w:r w:rsidRPr="00C111E7">
        <w:rPr>
          <w:rFonts w:eastAsia="Times New Roman"/>
          <w:lang w:eastAsia="de-DE"/>
        </w:rPr>
        <w:t xml:space="preserve">die genaue Lage angibt. </w:t>
      </w:r>
      <w:r w:rsidRPr="00C111E7">
        <w:rPr>
          <w:rFonts w:eastAsia="Times New Roman"/>
          <w:b/>
          <w:bCs/>
          <w:rtl/>
          <w:lang w:eastAsia="de-DE"/>
        </w:rPr>
        <w:t>וְהָעִיר אֲשֶׁר בַּנַּחַל</w:t>
      </w:r>
      <w:r w:rsidRPr="00C111E7">
        <w:rPr>
          <w:rFonts w:eastAsia="Times New Roman"/>
          <w:rtl/>
          <w:lang w:eastAsia="de-DE"/>
        </w:rPr>
        <w:t xml:space="preserve"> </w:t>
      </w:r>
      <w:r w:rsidRPr="00C111E7">
        <w:rPr>
          <w:rFonts w:eastAsia="Times New Roman"/>
          <w:lang w:eastAsia="de-DE"/>
        </w:rPr>
        <w:t xml:space="preserve">ist </w:t>
      </w:r>
      <w:r w:rsidRPr="00C111E7">
        <w:rPr>
          <w:rFonts w:eastAsia="Times New Roman"/>
          <w:b/>
          <w:bCs/>
          <w:rtl/>
          <w:lang w:eastAsia="de-DE"/>
        </w:rPr>
        <w:t>וְ</w:t>
      </w:r>
      <w:r w:rsidRPr="00C111E7">
        <w:rPr>
          <w:rFonts w:eastAsia="Times New Roman"/>
          <w:rtl/>
          <w:lang w:eastAsia="de-DE"/>
        </w:rPr>
        <w:t xml:space="preserve"> </w:t>
      </w:r>
      <w:r w:rsidRPr="00C111E7">
        <w:rPr>
          <w:rFonts w:eastAsia="Times New Roman"/>
          <w:lang w:eastAsia="de-DE"/>
        </w:rPr>
        <w:t xml:space="preserve">mit </w:t>
      </w:r>
      <w:r w:rsidRPr="00C111E7">
        <w:rPr>
          <w:rFonts w:eastAsia="Times New Roman"/>
          <w:b/>
          <w:bCs/>
          <w:rtl/>
          <w:lang w:eastAsia="de-DE"/>
        </w:rPr>
        <w:t>הָעִיר</w:t>
      </w:r>
      <w:r w:rsidRPr="00C111E7">
        <w:rPr>
          <w:rFonts w:eastAsia="Times New Roman"/>
          <w:rtl/>
          <w:lang w:eastAsia="de-DE"/>
        </w:rPr>
        <w:t xml:space="preserve"> </w:t>
      </w:r>
      <w:r w:rsidRPr="00C111E7">
        <w:rPr>
          <w:rFonts w:eastAsia="Times New Roman"/>
          <w:lang w:eastAsia="de-DE"/>
        </w:rPr>
        <w:t xml:space="preserve">(„die Stadt"), Relativsatz </w:t>
      </w:r>
      <w:r w:rsidRPr="00C111E7">
        <w:rPr>
          <w:rFonts w:eastAsia="Times New Roman"/>
          <w:b/>
          <w:bCs/>
          <w:rtl/>
          <w:lang w:eastAsia="de-DE"/>
        </w:rPr>
        <w:t>אֲשֶׁר בַּנַּחַל</w:t>
      </w:r>
      <w:r w:rsidRPr="00C111E7">
        <w:rPr>
          <w:rFonts w:eastAsia="Times New Roman"/>
          <w:rtl/>
          <w:lang w:eastAsia="de-DE"/>
        </w:rPr>
        <w:t xml:space="preserve"> </w:t>
      </w:r>
      <w:r w:rsidRPr="00C111E7">
        <w:rPr>
          <w:rFonts w:eastAsia="Times New Roman"/>
          <w:lang w:eastAsia="de-DE"/>
        </w:rPr>
        <w:t>(</w:t>
      </w:r>
      <w:r w:rsidRPr="00C111E7">
        <w:rPr>
          <w:rFonts w:eastAsia="Times New Roman"/>
          <w:b/>
          <w:bCs/>
          <w:rtl/>
          <w:lang w:eastAsia="de-DE"/>
        </w:rPr>
        <w:t>בְּ</w:t>
      </w:r>
      <w:r w:rsidRPr="00C111E7">
        <w:rPr>
          <w:rFonts w:eastAsia="Times New Roman"/>
          <w:rtl/>
          <w:lang w:eastAsia="de-DE"/>
        </w:rPr>
        <w:t xml:space="preserve"> </w:t>
      </w:r>
      <w:r w:rsidRPr="00C111E7">
        <w:rPr>
          <w:rFonts w:eastAsia="Times New Roman"/>
          <w:lang w:eastAsia="de-DE"/>
        </w:rPr>
        <w:t xml:space="preserve">mit </w:t>
      </w:r>
      <w:r w:rsidRPr="00C111E7">
        <w:rPr>
          <w:rFonts w:eastAsia="Times New Roman"/>
          <w:b/>
          <w:bCs/>
          <w:rtl/>
          <w:lang w:eastAsia="de-DE"/>
        </w:rPr>
        <w:t>נַחַל</w:t>
      </w:r>
      <w:r w:rsidRPr="00C111E7">
        <w:rPr>
          <w:rFonts w:eastAsia="Times New Roman"/>
          <w:rtl/>
          <w:lang w:eastAsia="de-DE"/>
        </w:rPr>
        <w:t xml:space="preserve"> </w:t>
      </w:r>
      <w:r w:rsidRPr="00C111E7">
        <w:rPr>
          <w:rFonts w:eastAsia="Times New Roman"/>
          <w:lang w:eastAsia="de-DE"/>
        </w:rPr>
        <w:t>„im Bachtal").</w:t>
      </w:r>
    </w:p>
    <w:p w14:paraId="16836366"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rtl/>
          <w:lang w:eastAsia="de-DE"/>
        </w:rPr>
        <w:t>וְעַד־הַגִּלְעָד</w:t>
      </w:r>
      <w:r w:rsidRPr="00C111E7">
        <w:rPr>
          <w:rFonts w:eastAsia="Times New Roman"/>
          <w:rtl/>
          <w:lang w:eastAsia="de-DE"/>
        </w:rPr>
        <w:t xml:space="preserve"> </w:t>
      </w:r>
      <w:r w:rsidRPr="00C111E7">
        <w:rPr>
          <w:rFonts w:eastAsia="Times New Roman"/>
          <w:lang w:eastAsia="de-DE"/>
        </w:rPr>
        <w:t xml:space="preserve">ist </w:t>
      </w:r>
      <w:r w:rsidRPr="00C111E7">
        <w:rPr>
          <w:rFonts w:eastAsia="Times New Roman"/>
          <w:b/>
          <w:bCs/>
          <w:rtl/>
          <w:lang w:eastAsia="de-DE"/>
        </w:rPr>
        <w:t>וְ</w:t>
      </w:r>
      <w:r w:rsidRPr="00C111E7">
        <w:rPr>
          <w:rFonts w:eastAsia="Times New Roman"/>
          <w:rtl/>
          <w:lang w:eastAsia="de-DE"/>
        </w:rPr>
        <w:t xml:space="preserve"> </w:t>
      </w:r>
      <w:r w:rsidRPr="00C111E7">
        <w:rPr>
          <w:rFonts w:eastAsia="Times New Roman"/>
          <w:lang w:eastAsia="de-DE"/>
        </w:rPr>
        <w:t xml:space="preserve">mit </w:t>
      </w:r>
      <w:r w:rsidRPr="00C111E7">
        <w:rPr>
          <w:rFonts w:eastAsia="Times New Roman"/>
          <w:b/>
          <w:bCs/>
          <w:rtl/>
          <w:lang w:eastAsia="de-DE"/>
        </w:rPr>
        <w:t>עַד</w:t>
      </w:r>
      <w:r w:rsidRPr="00C111E7">
        <w:rPr>
          <w:rFonts w:eastAsia="Times New Roman"/>
          <w:rtl/>
          <w:lang w:eastAsia="de-DE"/>
        </w:rPr>
        <w:t xml:space="preserve"> </w:t>
      </w:r>
      <w:r w:rsidRPr="00C111E7">
        <w:rPr>
          <w:rFonts w:eastAsia="Times New Roman"/>
          <w:lang w:eastAsia="de-DE"/>
        </w:rPr>
        <w:t xml:space="preserve">(„bis") und </w:t>
      </w:r>
      <w:r w:rsidRPr="00C111E7">
        <w:rPr>
          <w:rFonts w:eastAsia="Times New Roman"/>
          <w:b/>
          <w:bCs/>
          <w:rtl/>
          <w:lang w:eastAsia="de-DE"/>
        </w:rPr>
        <w:t>הַגִּלְעָד</w:t>
      </w:r>
      <w:r w:rsidRPr="00C111E7">
        <w:rPr>
          <w:rFonts w:eastAsia="Times New Roman"/>
          <w:rtl/>
          <w:lang w:eastAsia="de-DE"/>
        </w:rPr>
        <w:t xml:space="preserve"> </w:t>
      </w:r>
      <w:r w:rsidRPr="00C111E7">
        <w:rPr>
          <w:rFonts w:eastAsia="Times New Roman"/>
          <w:lang w:eastAsia="de-DE"/>
        </w:rPr>
        <w:t xml:space="preserve">(„Gilead"), einem Regionsnamen mit Artikel. </w:t>
      </w:r>
      <w:r w:rsidRPr="00C111E7">
        <w:rPr>
          <w:rFonts w:eastAsia="Times New Roman"/>
          <w:b/>
          <w:bCs/>
          <w:rtl/>
          <w:lang w:eastAsia="de-DE"/>
        </w:rPr>
        <w:t>לֹא הָיְתָה קִרְיָה אֲשֶׁר שָׂגְבָה מִמֶּנּוּ</w:t>
      </w:r>
      <w:r w:rsidRPr="00C111E7">
        <w:rPr>
          <w:rFonts w:eastAsia="Times New Roman"/>
          <w:rtl/>
          <w:lang w:eastAsia="de-DE"/>
        </w:rPr>
        <w:t xml:space="preserve"> </w:t>
      </w:r>
      <w:r w:rsidRPr="00C111E7">
        <w:rPr>
          <w:rFonts w:eastAsia="Times New Roman"/>
          <w:lang w:eastAsia="de-DE"/>
        </w:rPr>
        <w:t xml:space="preserve">ist </w:t>
      </w:r>
      <w:r w:rsidRPr="00C111E7">
        <w:rPr>
          <w:rFonts w:eastAsia="Times New Roman"/>
          <w:b/>
          <w:bCs/>
          <w:rtl/>
          <w:lang w:eastAsia="de-DE"/>
        </w:rPr>
        <w:t>לֹא הָיְתָה</w:t>
      </w:r>
      <w:r w:rsidRPr="00C111E7">
        <w:rPr>
          <w:rFonts w:eastAsia="Times New Roman"/>
          <w:rtl/>
          <w:lang w:eastAsia="de-DE"/>
        </w:rPr>
        <w:t xml:space="preserve"> </w:t>
      </w:r>
      <w:r w:rsidRPr="00C111E7">
        <w:rPr>
          <w:rFonts w:eastAsia="Times New Roman"/>
          <w:lang w:eastAsia="de-DE"/>
        </w:rPr>
        <w:t xml:space="preserve">(Negation mit Qal Perfekt, 3. Person feminin Singular von </w:t>
      </w:r>
      <w:r w:rsidRPr="00C111E7">
        <w:rPr>
          <w:rFonts w:eastAsia="Times New Roman"/>
          <w:rtl/>
          <w:lang w:eastAsia="de-DE"/>
        </w:rPr>
        <w:t>היה</w:t>
      </w:r>
      <w:r w:rsidRPr="00C111E7">
        <w:rPr>
          <w:rFonts w:eastAsia="Times New Roman"/>
          <w:lang w:eastAsia="de-DE"/>
        </w:rPr>
        <w:t xml:space="preserve"> „es war nicht"), </w:t>
      </w:r>
      <w:r w:rsidRPr="00C111E7">
        <w:rPr>
          <w:rFonts w:eastAsia="Times New Roman"/>
          <w:b/>
          <w:bCs/>
          <w:rtl/>
          <w:lang w:eastAsia="de-DE"/>
        </w:rPr>
        <w:t>קִרְיָה</w:t>
      </w:r>
      <w:r w:rsidRPr="00C111E7">
        <w:rPr>
          <w:rFonts w:eastAsia="Times New Roman"/>
          <w:rtl/>
          <w:lang w:eastAsia="de-DE"/>
        </w:rPr>
        <w:t xml:space="preserve"> </w:t>
      </w:r>
      <w:r w:rsidRPr="00C111E7">
        <w:rPr>
          <w:rFonts w:eastAsia="Times New Roman"/>
          <w:lang w:eastAsia="de-DE"/>
        </w:rPr>
        <w:t xml:space="preserve">(„Stadt") als Subjekt, Relativsatz </w:t>
      </w:r>
      <w:r w:rsidRPr="00C111E7">
        <w:rPr>
          <w:rFonts w:eastAsia="Times New Roman"/>
          <w:b/>
          <w:bCs/>
          <w:rtl/>
          <w:lang w:eastAsia="de-DE"/>
        </w:rPr>
        <w:t>אֲשֶׁר שָׂגְבָה מִמֶּנּוּ</w:t>
      </w:r>
      <w:r w:rsidRPr="00C111E7">
        <w:rPr>
          <w:rFonts w:eastAsia="Times New Roman"/>
          <w:lang w:eastAsia="de-DE"/>
        </w:rPr>
        <w:t xml:space="preserve">, wobei </w:t>
      </w:r>
      <w:r w:rsidRPr="00C111E7">
        <w:rPr>
          <w:rFonts w:eastAsia="Times New Roman"/>
          <w:b/>
          <w:bCs/>
          <w:rtl/>
          <w:lang w:eastAsia="de-DE"/>
        </w:rPr>
        <w:t>שָׂגְבָה</w:t>
      </w:r>
      <w:r w:rsidRPr="00C111E7">
        <w:rPr>
          <w:rFonts w:eastAsia="Times New Roman"/>
          <w:rtl/>
          <w:lang w:eastAsia="de-DE"/>
        </w:rPr>
        <w:t xml:space="preserve"> </w:t>
      </w:r>
      <w:r w:rsidRPr="00C111E7">
        <w:rPr>
          <w:rFonts w:eastAsia="Times New Roman"/>
          <w:lang w:eastAsia="de-DE"/>
        </w:rPr>
        <w:t xml:space="preserve">Qal Perfekt, 3. Person feminin Singular von </w:t>
      </w:r>
      <w:r w:rsidRPr="00C111E7">
        <w:rPr>
          <w:rFonts w:eastAsia="Times New Roman"/>
          <w:rtl/>
          <w:lang w:eastAsia="de-DE"/>
        </w:rPr>
        <w:t>שׂגב</w:t>
      </w:r>
      <w:r w:rsidRPr="00C111E7">
        <w:rPr>
          <w:rFonts w:eastAsia="Times New Roman"/>
          <w:lang w:eastAsia="de-DE"/>
        </w:rPr>
        <w:t xml:space="preserve"> („zu hoch sein, uneinnehmbar sein") ist, </w:t>
      </w:r>
      <w:r w:rsidRPr="00C111E7">
        <w:rPr>
          <w:rFonts w:eastAsia="Times New Roman"/>
          <w:b/>
          <w:bCs/>
          <w:rtl/>
          <w:lang w:eastAsia="de-DE"/>
        </w:rPr>
        <w:t>מִמֶּנּוּ</w:t>
      </w:r>
      <w:r w:rsidRPr="00C111E7">
        <w:rPr>
          <w:rFonts w:eastAsia="Times New Roman"/>
          <w:rtl/>
          <w:lang w:eastAsia="de-DE"/>
        </w:rPr>
        <w:t xml:space="preserve"> </w:t>
      </w:r>
      <w:r w:rsidRPr="00C111E7">
        <w:rPr>
          <w:rFonts w:eastAsia="Times New Roman"/>
          <w:lang w:eastAsia="de-DE"/>
        </w:rPr>
        <w:t>(</w:t>
      </w:r>
      <w:r w:rsidRPr="00C111E7">
        <w:rPr>
          <w:rFonts w:eastAsia="Times New Roman"/>
          <w:b/>
          <w:bCs/>
          <w:rtl/>
          <w:lang w:eastAsia="de-DE"/>
        </w:rPr>
        <w:t>מִן</w:t>
      </w:r>
      <w:r w:rsidRPr="00C111E7">
        <w:rPr>
          <w:rFonts w:eastAsia="Times New Roman"/>
          <w:rtl/>
          <w:lang w:eastAsia="de-DE"/>
        </w:rPr>
        <w:t xml:space="preserve"> </w:t>
      </w:r>
      <w:r w:rsidRPr="00C111E7">
        <w:rPr>
          <w:rFonts w:eastAsia="Times New Roman"/>
          <w:lang w:eastAsia="de-DE"/>
        </w:rPr>
        <w:t>mit Suffix 1. Person Plural „für uns, von uns aus gesehen").</w:t>
      </w:r>
    </w:p>
    <w:p w14:paraId="4988EDC3"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rtl/>
          <w:lang w:eastAsia="de-DE"/>
        </w:rPr>
        <w:t>אֶת־הַכֹּל נָתַן יְהוָה אֱלֹהֵינוּ לְפָנֵינוּ</w:t>
      </w:r>
      <w:r w:rsidRPr="00C111E7">
        <w:rPr>
          <w:rFonts w:eastAsia="Times New Roman"/>
          <w:rtl/>
          <w:lang w:eastAsia="de-DE"/>
        </w:rPr>
        <w:t xml:space="preserve"> </w:t>
      </w:r>
      <w:r w:rsidRPr="00C111E7">
        <w:rPr>
          <w:rFonts w:eastAsia="Times New Roman"/>
          <w:lang w:eastAsia="de-DE"/>
        </w:rPr>
        <w:t xml:space="preserve">ist </w:t>
      </w:r>
      <w:r w:rsidRPr="00C111E7">
        <w:rPr>
          <w:rFonts w:eastAsia="Times New Roman"/>
          <w:b/>
          <w:bCs/>
          <w:rtl/>
          <w:lang w:eastAsia="de-DE"/>
        </w:rPr>
        <w:t>אֵת</w:t>
      </w:r>
      <w:r w:rsidRPr="00C111E7">
        <w:rPr>
          <w:rFonts w:eastAsia="Times New Roman"/>
          <w:rtl/>
          <w:lang w:eastAsia="de-DE"/>
        </w:rPr>
        <w:t xml:space="preserve"> </w:t>
      </w:r>
      <w:r w:rsidRPr="00C111E7">
        <w:rPr>
          <w:rFonts w:eastAsia="Times New Roman"/>
          <w:lang w:eastAsia="de-DE"/>
        </w:rPr>
        <w:t xml:space="preserve">mit </w:t>
      </w:r>
      <w:r w:rsidRPr="00C111E7">
        <w:rPr>
          <w:rFonts w:eastAsia="Times New Roman"/>
          <w:b/>
          <w:bCs/>
          <w:rtl/>
          <w:lang w:eastAsia="de-DE"/>
        </w:rPr>
        <w:t>הַכֹּל</w:t>
      </w:r>
      <w:r w:rsidRPr="00C111E7">
        <w:rPr>
          <w:rFonts w:eastAsia="Times New Roman"/>
          <w:rtl/>
          <w:lang w:eastAsia="de-DE"/>
        </w:rPr>
        <w:t xml:space="preserve"> </w:t>
      </w:r>
      <w:r w:rsidRPr="00C111E7">
        <w:rPr>
          <w:rFonts w:eastAsia="Times New Roman"/>
          <w:lang w:eastAsia="de-DE"/>
        </w:rPr>
        <w:t xml:space="preserve">(„alles") als vorangestelltes Objekt für Emphase, </w:t>
      </w:r>
      <w:r w:rsidRPr="00C111E7">
        <w:rPr>
          <w:rFonts w:eastAsia="Times New Roman"/>
          <w:b/>
          <w:bCs/>
          <w:rtl/>
          <w:lang w:eastAsia="de-DE"/>
        </w:rPr>
        <w:t>נָתַן</w:t>
      </w:r>
      <w:r w:rsidRPr="00C111E7">
        <w:rPr>
          <w:rFonts w:eastAsia="Times New Roman"/>
          <w:rtl/>
          <w:lang w:eastAsia="de-DE"/>
        </w:rPr>
        <w:t xml:space="preserve"> </w:t>
      </w:r>
      <w:r w:rsidRPr="00C111E7">
        <w:rPr>
          <w:rFonts w:eastAsia="Times New Roman"/>
          <w:lang w:eastAsia="de-DE"/>
        </w:rPr>
        <w:t xml:space="preserve">(Qal Perfekt, 3. Person maskulin Singular von </w:t>
      </w:r>
      <w:r w:rsidRPr="00C111E7">
        <w:rPr>
          <w:rFonts w:eastAsia="Times New Roman"/>
          <w:rtl/>
          <w:lang w:eastAsia="de-DE"/>
        </w:rPr>
        <w:t>נתן</w:t>
      </w:r>
      <w:r w:rsidRPr="00C111E7">
        <w:rPr>
          <w:rFonts w:eastAsia="Times New Roman"/>
          <w:lang w:eastAsia="de-DE"/>
        </w:rPr>
        <w:t xml:space="preserve">), </w:t>
      </w:r>
      <w:r w:rsidRPr="00C111E7">
        <w:rPr>
          <w:rFonts w:eastAsia="Times New Roman"/>
          <w:b/>
          <w:bCs/>
          <w:rtl/>
          <w:lang w:eastAsia="de-DE"/>
        </w:rPr>
        <w:t>יְהוָה אֱלֹהֵינוּ</w:t>
      </w:r>
      <w:r w:rsidRPr="00C111E7">
        <w:rPr>
          <w:rFonts w:eastAsia="Times New Roman"/>
          <w:rtl/>
          <w:lang w:eastAsia="de-DE"/>
        </w:rPr>
        <w:t xml:space="preserve"> </w:t>
      </w:r>
      <w:r w:rsidRPr="00C111E7">
        <w:rPr>
          <w:rFonts w:eastAsia="Times New Roman"/>
          <w:lang w:eastAsia="de-DE"/>
        </w:rPr>
        <w:t xml:space="preserve">als Subjekt, </w:t>
      </w:r>
      <w:r w:rsidRPr="00C111E7">
        <w:rPr>
          <w:rFonts w:eastAsia="Times New Roman"/>
          <w:b/>
          <w:bCs/>
          <w:rtl/>
          <w:lang w:eastAsia="de-DE"/>
        </w:rPr>
        <w:t>לְפָנֵינוּ</w:t>
      </w:r>
      <w:r w:rsidRPr="00C111E7">
        <w:rPr>
          <w:rFonts w:eastAsia="Times New Roman"/>
          <w:rtl/>
          <w:lang w:eastAsia="de-DE"/>
        </w:rPr>
        <w:t xml:space="preserve"> </w:t>
      </w:r>
      <w:r w:rsidRPr="00C111E7">
        <w:rPr>
          <w:rFonts w:eastAsia="Times New Roman"/>
          <w:lang w:eastAsia="de-DE"/>
        </w:rPr>
        <w:t>wie in V. 33.</w:t>
      </w:r>
    </w:p>
    <w:p w14:paraId="2516240A"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lang w:eastAsia="de-DE"/>
        </w:rPr>
        <w:t>Die LXX</w:t>
      </w:r>
      <w:r w:rsidRPr="00C111E7">
        <w:rPr>
          <w:rFonts w:eastAsia="Times New Roman"/>
          <w:lang w:eastAsia="de-DE"/>
        </w:rPr>
        <w:t xml:space="preserve"> übersetzt „ἀπὸ </w:t>
      </w:r>
      <w:proofErr w:type="spellStart"/>
      <w:r w:rsidRPr="00C111E7">
        <w:rPr>
          <w:rFonts w:eastAsia="Times New Roman"/>
          <w:lang w:eastAsia="de-DE"/>
        </w:rPr>
        <w:t>Αροηρ</w:t>
      </w:r>
      <w:proofErr w:type="spellEnd"/>
      <w:r w:rsidRPr="00C111E7">
        <w:rPr>
          <w:rFonts w:eastAsia="Times New Roman"/>
          <w:lang w:eastAsia="de-DE"/>
        </w:rPr>
        <w:t xml:space="preserve">, ἥ </w:t>
      </w:r>
      <w:proofErr w:type="spellStart"/>
      <w:r w:rsidRPr="00C111E7">
        <w:rPr>
          <w:rFonts w:eastAsia="Times New Roman"/>
          <w:lang w:eastAsia="de-DE"/>
        </w:rPr>
        <w:t>ἐστιν</w:t>
      </w:r>
      <w:proofErr w:type="spellEnd"/>
      <w:r w:rsidRPr="00C111E7">
        <w:rPr>
          <w:rFonts w:eastAsia="Times New Roman"/>
          <w:lang w:eastAsia="de-DE"/>
        </w:rPr>
        <w:t xml:space="preserve"> πα</w:t>
      </w:r>
      <w:proofErr w:type="spellStart"/>
      <w:r w:rsidRPr="00C111E7">
        <w:rPr>
          <w:rFonts w:eastAsia="Times New Roman"/>
          <w:lang w:eastAsia="de-DE"/>
        </w:rPr>
        <w:t>ρὰ</w:t>
      </w:r>
      <w:proofErr w:type="spellEnd"/>
      <w:r w:rsidRPr="00C111E7">
        <w:rPr>
          <w:rFonts w:eastAsia="Times New Roman"/>
          <w:lang w:eastAsia="de-DE"/>
        </w:rPr>
        <w:t xml:space="preserve"> </w:t>
      </w:r>
      <w:proofErr w:type="spellStart"/>
      <w:r w:rsidRPr="00C111E7">
        <w:rPr>
          <w:rFonts w:eastAsia="Times New Roman"/>
          <w:lang w:eastAsia="de-DE"/>
        </w:rPr>
        <w:t>τὸ</w:t>
      </w:r>
      <w:proofErr w:type="spellEnd"/>
      <w:r w:rsidRPr="00C111E7">
        <w:rPr>
          <w:rFonts w:eastAsia="Times New Roman"/>
          <w:lang w:eastAsia="de-DE"/>
        </w:rPr>
        <w:t xml:space="preserve"> </w:t>
      </w:r>
      <w:proofErr w:type="spellStart"/>
      <w:r w:rsidRPr="00C111E7">
        <w:rPr>
          <w:rFonts w:eastAsia="Times New Roman"/>
          <w:lang w:eastAsia="de-DE"/>
        </w:rPr>
        <w:t>χεῖλος</w:t>
      </w:r>
      <w:proofErr w:type="spellEnd"/>
      <w:r w:rsidRPr="00C111E7">
        <w:rPr>
          <w:rFonts w:eastAsia="Times New Roman"/>
          <w:lang w:eastAsia="de-DE"/>
        </w:rPr>
        <w:t xml:space="preserve"> </w:t>
      </w:r>
      <w:proofErr w:type="spellStart"/>
      <w:r w:rsidRPr="00C111E7">
        <w:rPr>
          <w:rFonts w:eastAsia="Times New Roman"/>
          <w:lang w:eastAsia="de-DE"/>
        </w:rPr>
        <w:t>χειμάρρου</w:t>
      </w:r>
      <w:proofErr w:type="spellEnd"/>
      <w:r w:rsidRPr="00C111E7">
        <w:rPr>
          <w:rFonts w:eastAsia="Times New Roman"/>
          <w:lang w:eastAsia="de-DE"/>
        </w:rPr>
        <w:t xml:space="preserve"> </w:t>
      </w:r>
      <w:proofErr w:type="spellStart"/>
      <w:r w:rsidRPr="00C111E7">
        <w:rPr>
          <w:rFonts w:eastAsia="Times New Roman"/>
          <w:lang w:eastAsia="de-DE"/>
        </w:rPr>
        <w:t>Αρνων</w:t>
      </w:r>
      <w:proofErr w:type="spellEnd"/>
      <w:r w:rsidRPr="00C111E7">
        <w:rPr>
          <w:rFonts w:eastAsia="Times New Roman"/>
          <w:lang w:eastAsia="de-DE"/>
        </w:rPr>
        <w:t>, καὶ τὴν π</w:t>
      </w:r>
      <w:proofErr w:type="spellStart"/>
      <w:r w:rsidRPr="00C111E7">
        <w:rPr>
          <w:rFonts w:eastAsia="Times New Roman"/>
          <w:lang w:eastAsia="de-DE"/>
        </w:rPr>
        <w:t>όλιν</w:t>
      </w:r>
      <w:proofErr w:type="spellEnd"/>
      <w:r w:rsidRPr="00C111E7">
        <w:rPr>
          <w:rFonts w:eastAsia="Times New Roman"/>
          <w:lang w:eastAsia="de-DE"/>
        </w:rPr>
        <w:t xml:space="preserve"> τὴν </w:t>
      </w:r>
      <w:proofErr w:type="spellStart"/>
      <w:r w:rsidRPr="00C111E7">
        <w:rPr>
          <w:rFonts w:eastAsia="Times New Roman"/>
          <w:lang w:eastAsia="de-DE"/>
        </w:rPr>
        <w:t>ἐν</w:t>
      </w:r>
      <w:proofErr w:type="spellEnd"/>
      <w:r w:rsidRPr="00C111E7">
        <w:rPr>
          <w:rFonts w:eastAsia="Times New Roman"/>
          <w:lang w:eastAsia="de-DE"/>
        </w:rPr>
        <w:t xml:space="preserve"> </w:t>
      </w:r>
      <w:proofErr w:type="spellStart"/>
      <w:r w:rsidRPr="00C111E7">
        <w:rPr>
          <w:rFonts w:eastAsia="Times New Roman"/>
          <w:lang w:eastAsia="de-DE"/>
        </w:rPr>
        <w:t>τῇ</w:t>
      </w:r>
      <w:proofErr w:type="spellEnd"/>
      <w:r w:rsidRPr="00C111E7">
        <w:rPr>
          <w:rFonts w:eastAsia="Times New Roman"/>
          <w:lang w:eastAsia="de-DE"/>
        </w:rPr>
        <w:t xml:space="preserve"> </w:t>
      </w:r>
      <w:proofErr w:type="spellStart"/>
      <w:r w:rsidRPr="00C111E7">
        <w:rPr>
          <w:rFonts w:eastAsia="Times New Roman"/>
          <w:lang w:eastAsia="de-DE"/>
        </w:rPr>
        <w:t>φάρ</w:t>
      </w:r>
      <w:proofErr w:type="spellEnd"/>
      <w:r w:rsidRPr="00C111E7">
        <w:rPr>
          <w:rFonts w:eastAsia="Times New Roman"/>
          <w:lang w:eastAsia="de-DE"/>
        </w:rPr>
        <w:t xml:space="preserve">αγγι καὶ </w:t>
      </w:r>
      <w:proofErr w:type="spellStart"/>
      <w:r w:rsidRPr="00C111E7">
        <w:rPr>
          <w:rFonts w:eastAsia="Times New Roman"/>
          <w:lang w:eastAsia="de-DE"/>
        </w:rPr>
        <w:t>ἕως</w:t>
      </w:r>
      <w:proofErr w:type="spellEnd"/>
      <w:r w:rsidRPr="00C111E7">
        <w:rPr>
          <w:rFonts w:eastAsia="Times New Roman"/>
          <w:lang w:eastAsia="de-DE"/>
        </w:rPr>
        <w:t xml:space="preserve"> Γαλααδ, </w:t>
      </w:r>
      <w:proofErr w:type="spellStart"/>
      <w:r w:rsidRPr="00C111E7">
        <w:rPr>
          <w:rFonts w:eastAsia="Times New Roman"/>
          <w:lang w:eastAsia="de-DE"/>
        </w:rPr>
        <w:t>οὐκ</w:t>
      </w:r>
      <w:proofErr w:type="spellEnd"/>
      <w:r w:rsidRPr="00C111E7">
        <w:rPr>
          <w:rFonts w:eastAsia="Times New Roman"/>
          <w:lang w:eastAsia="de-DE"/>
        </w:rPr>
        <w:t xml:space="preserve"> </w:t>
      </w:r>
      <w:proofErr w:type="spellStart"/>
      <w:r w:rsidRPr="00C111E7">
        <w:rPr>
          <w:rFonts w:eastAsia="Times New Roman"/>
          <w:lang w:eastAsia="de-DE"/>
        </w:rPr>
        <w:t>ἐγενήθη</w:t>
      </w:r>
      <w:proofErr w:type="spellEnd"/>
      <w:r w:rsidRPr="00C111E7">
        <w:rPr>
          <w:rFonts w:eastAsia="Times New Roman"/>
          <w:lang w:eastAsia="de-DE"/>
        </w:rPr>
        <w:t xml:space="preserve"> π</w:t>
      </w:r>
      <w:proofErr w:type="spellStart"/>
      <w:r w:rsidRPr="00C111E7">
        <w:rPr>
          <w:rFonts w:eastAsia="Times New Roman"/>
          <w:lang w:eastAsia="de-DE"/>
        </w:rPr>
        <w:t>όλις</w:t>
      </w:r>
      <w:proofErr w:type="spellEnd"/>
      <w:r w:rsidRPr="00C111E7">
        <w:rPr>
          <w:rFonts w:eastAsia="Times New Roman"/>
          <w:lang w:eastAsia="de-DE"/>
        </w:rPr>
        <w:t xml:space="preserve">, ἣ </w:t>
      </w:r>
      <w:proofErr w:type="spellStart"/>
      <w:r w:rsidRPr="00C111E7">
        <w:rPr>
          <w:rFonts w:eastAsia="Times New Roman"/>
          <w:lang w:eastAsia="de-DE"/>
        </w:rPr>
        <w:t>διέφυγεν</w:t>
      </w:r>
      <w:proofErr w:type="spellEnd"/>
      <w:r w:rsidRPr="00C111E7">
        <w:rPr>
          <w:rFonts w:eastAsia="Times New Roman"/>
          <w:lang w:eastAsia="de-DE"/>
        </w:rPr>
        <w:t xml:space="preserve"> </w:t>
      </w:r>
      <w:proofErr w:type="spellStart"/>
      <w:r w:rsidRPr="00C111E7">
        <w:rPr>
          <w:rFonts w:eastAsia="Times New Roman"/>
          <w:lang w:eastAsia="de-DE"/>
        </w:rPr>
        <w:t>ἡμᾶς</w:t>
      </w:r>
      <w:proofErr w:type="spellEnd"/>
      <w:r w:rsidRPr="00C111E7">
        <w:rPr>
          <w:rFonts w:eastAsia="Times New Roman"/>
          <w:lang w:eastAsia="de-DE"/>
        </w:rPr>
        <w:t xml:space="preserve">· </w:t>
      </w:r>
      <w:proofErr w:type="spellStart"/>
      <w:r w:rsidRPr="00C111E7">
        <w:rPr>
          <w:rFonts w:eastAsia="Times New Roman"/>
          <w:lang w:eastAsia="de-DE"/>
        </w:rPr>
        <w:t>τὰ</w:t>
      </w:r>
      <w:proofErr w:type="spellEnd"/>
      <w:r w:rsidRPr="00C111E7">
        <w:rPr>
          <w:rFonts w:eastAsia="Times New Roman"/>
          <w:lang w:eastAsia="de-DE"/>
        </w:rPr>
        <w:t xml:space="preserve"> π</w:t>
      </w:r>
      <w:proofErr w:type="spellStart"/>
      <w:r w:rsidRPr="00C111E7">
        <w:rPr>
          <w:rFonts w:eastAsia="Times New Roman"/>
          <w:lang w:eastAsia="de-DE"/>
        </w:rPr>
        <w:t>άντ</w:t>
      </w:r>
      <w:proofErr w:type="spellEnd"/>
      <w:r w:rsidRPr="00C111E7">
        <w:rPr>
          <w:rFonts w:eastAsia="Times New Roman"/>
          <w:lang w:eastAsia="de-DE"/>
        </w:rPr>
        <w:t>α πα</w:t>
      </w:r>
      <w:proofErr w:type="spellStart"/>
      <w:r w:rsidRPr="00C111E7">
        <w:rPr>
          <w:rFonts w:eastAsia="Times New Roman"/>
          <w:lang w:eastAsia="de-DE"/>
        </w:rPr>
        <w:t>ρέδωκεν</w:t>
      </w:r>
      <w:proofErr w:type="spellEnd"/>
      <w:r w:rsidRPr="00C111E7">
        <w:rPr>
          <w:rFonts w:eastAsia="Times New Roman"/>
          <w:lang w:eastAsia="de-DE"/>
        </w:rPr>
        <w:t xml:space="preserve"> </w:t>
      </w:r>
      <w:proofErr w:type="spellStart"/>
      <w:r w:rsidRPr="00C111E7">
        <w:rPr>
          <w:rFonts w:eastAsia="Times New Roman"/>
          <w:lang w:eastAsia="de-DE"/>
        </w:rPr>
        <w:t>κύριος</w:t>
      </w:r>
      <w:proofErr w:type="spellEnd"/>
      <w:r w:rsidRPr="00C111E7">
        <w:rPr>
          <w:rFonts w:eastAsia="Times New Roman"/>
          <w:lang w:eastAsia="de-DE"/>
        </w:rPr>
        <w:t xml:space="preserve"> ὁ </w:t>
      </w:r>
      <w:proofErr w:type="spellStart"/>
      <w:r w:rsidRPr="00C111E7">
        <w:rPr>
          <w:rFonts w:eastAsia="Times New Roman"/>
          <w:lang w:eastAsia="de-DE"/>
        </w:rPr>
        <w:t>θεὸς</w:t>
      </w:r>
      <w:proofErr w:type="spellEnd"/>
      <w:r w:rsidRPr="00C111E7">
        <w:rPr>
          <w:rFonts w:eastAsia="Times New Roman"/>
          <w:lang w:eastAsia="de-DE"/>
        </w:rPr>
        <w:t xml:space="preserve"> </w:t>
      </w:r>
      <w:proofErr w:type="spellStart"/>
      <w:r w:rsidRPr="00C111E7">
        <w:rPr>
          <w:rFonts w:eastAsia="Times New Roman"/>
          <w:lang w:eastAsia="de-DE"/>
        </w:rPr>
        <w:t>ἡμῶν</w:t>
      </w:r>
      <w:proofErr w:type="spellEnd"/>
      <w:r w:rsidRPr="00C111E7">
        <w:rPr>
          <w:rFonts w:eastAsia="Times New Roman"/>
          <w:lang w:eastAsia="de-DE"/>
        </w:rPr>
        <w:t xml:space="preserve"> </w:t>
      </w:r>
      <w:proofErr w:type="spellStart"/>
      <w:r w:rsidRPr="00C111E7">
        <w:rPr>
          <w:rFonts w:eastAsia="Times New Roman"/>
          <w:lang w:eastAsia="de-DE"/>
        </w:rPr>
        <w:t>εἰς</w:t>
      </w:r>
      <w:proofErr w:type="spellEnd"/>
      <w:r w:rsidRPr="00C111E7">
        <w:rPr>
          <w:rFonts w:eastAsia="Times New Roman"/>
          <w:lang w:eastAsia="de-DE"/>
        </w:rPr>
        <w:t xml:space="preserve"> </w:t>
      </w:r>
      <w:proofErr w:type="spellStart"/>
      <w:r w:rsidRPr="00C111E7">
        <w:rPr>
          <w:rFonts w:eastAsia="Times New Roman"/>
          <w:lang w:eastAsia="de-DE"/>
        </w:rPr>
        <w:t>τὰς</w:t>
      </w:r>
      <w:proofErr w:type="spellEnd"/>
      <w:r w:rsidRPr="00C111E7">
        <w:rPr>
          <w:rFonts w:eastAsia="Times New Roman"/>
          <w:lang w:eastAsia="de-DE"/>
        </w:rPr>
        <w:t xml:space="preserve"> </w:t>
      </w:r>
      <w:proofErr w:type="spellStart"/>
      <w:r w:rsidRPr="00C111E7">
        <w:rPr>
          <w:rFonts w:eastAsia="Times New Roman"/>
          <w:lang w:eastAsia="de-DE"/>
        </w:rPr>
        <w:t>χεῖρ</w:t>
      </w:r>
      <w:proofErr w:type="spellEnd"/>
      <w:r w:rsidRPr="00C111E7">
        <w:rPr>
          <w:rFonts w:eastAsia="Times New Roman"/>
          <w:lang w:eastAsia="de-DE"/>
        </w:rPr>
        <w:t xml:space="preserve">ας </w:t>
      </w:r>
      <w:proofErr w:type="spellStart"/>
      <w:r w:rsidRPr="00C111E7">
        <w:rPr>
          <w:rFonts w:eastAsia="Times New Roman"/>
          <w:lang w:eastAsia="de-DE"/>
        </w:rPr>
        <w:t>ἡμῶν</w:t>
      </w:r>
      <w:proofErr w:type="spellEnd"/>
      <w:r w:rsidRPr="00C111E7">
        <w:rPr>
          <w:rFonts w:eastAsia="Times New Roman"/>
          <w:lang w:eastAsia="de-DE"/>
        </w:rPr>
        <w:t xml:space="preserve">" („von Aroer, das an der Lippe des Wildbachs Arnon ist, und die Stadt in der Schlucht und bis </w:t>
      </w:r>
      <w:proofErr w:type="spellStart"/>
      <w:r w:rsidRPr="00C111E7">
        <w:rPr>
          <w:rFonts w:eastAsia="Times New Roman"/>
          <w:lang w:eastAsia="de-DE"/>
        </w:rPr>
        <w:t>Galaad</w:t>
      </w:r>
      <w:proofErr w:type="spellEnd"/>
      <w:r w:rsidRPr="00C111E7">
        <w:rPr>
          <w:rFonts w:eastAsia="Times New Roman"/>
          <w:lang w:eastAsia="de-DE"/>
        </w:rPr>
        <w:t xml:space="preserve"> war keine Stadt, die uns entkam; alles übergab der Herr, unser Gott, in unsere Hände"). Die LXX übersetzt </w:t>
      </w:r>
      <w:r w:rsidRPr="00C111E7">
        <w:rPr>
          <w:rFonts w:eastAsia="Times New Roman"/>
          <w:b/>
          <w:bCs/>
          <w:rtl/>
          <w:lang w:eastAsia="de-DE"/>
        </w:rPr>
        <w:t>שָׂגְבָה מִמֶּנּוּ</w:t>
      </w:r>
      <w:r w:rsidRPr="00C111E7">
        <w:rPr>
          <w:rFonts w:eastAsia="Times New Roman"/>
          <w:rtl/>
          <w:lang w:eastAsia="de-DE"/>
        </w:rPr>
        <w:t xml:space="preserve"> </w:t>
      </w:r>
      <w:r w:rsidRPr="00C111E7">
        <w:rPr>
          <w:rFonts w:eastAsia="Times New Roman"/>
          <w:lang w:eastAsia="de-DE"/>
        </w:rPr>
        <w:t>mit „</w:t>
      </w:r>
      <w:proofErr w:type="spellStart"/>
      <w:r w:rsidRPr="00C111E7">
        <w:rPr>
          <w:rFonts w:eastAsia="Times New Roman"/>
          <w:lang w:eastAsia="de-DE"/>
        </w:rPr>
        <w:t>διέφυγεν</w:t>
      </w:r>
      <w:proofErr w:type="spellEnd"/>
      <w:r w:rsidRPr="00C111E7">
        <w:rPr>
          <w:rFonts w:eastAsia="Times New Roman"/>
          <w:lang w:eastAsia="de-DE"/>
        </w:rPr>
        <w:t xml:space="preserve"> </w:t>
      </w:r>
      <w:proofErr w:type="spellStart"/>
      <w:r w:rsidRPr="00C111E7">
        <w:rPr>
          <w:rFonts w:eastAsia="Times New Roman"/>
          <w:lang w:eastAsia="de-DE"/>
        </w:rPr>
        <w:t>ἡμᾶς</w:t>
      </w:r>
      <w:proofErr w:type="spellEnd"/>
      <w:r w:rsidRPr="00C111E7">
        <w:rPr>
          <w:rFonts w:eastAsia="Times New Roman"/>
          <w:lang w:eastAsia="de-DE"/>
        </w:rPr>
        <w:t>" („entkam uns").</w:t>
      </w:r>
    </w:p>
    <w:p w14:paraId="5D715113"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lang w:eastAsia="de-DE"/>
        </w:rPr>
        <w:t>Die Satzstruktur besteht aus einer ausführlichen geografischen Beschreibung (</w:t>
      </w:r>
      <w:r w:rsidRPr="00C111E7">
        <w:rPr>
          <w:rFonts w:eastAsia="Times New Roman"/>
          <w:b/>
          <w:bCs/>
          <w:rtl/>
          <w:lang w:eastAsia="de-DE"/>
        </w:rPr>
        <w:t>מֵעֲרֹעֵר... וְעַד־הַגִּלְעָד</w:t>
      </w:r>
      <w:r w:rsidRPr="00C111E7">
        <w:rPr>
          <w:rFonts w:eastAsia="Times New Roman"/>
          <w:lang w:eastAsia="de-DE"/>
        </w:rPr>
        <w:t xml:space="preserve">) als Rahmen für die Aussage </w:t>
      </w:r>
      <w:r w:rsidRPr="00C111E7">
        <w:rPr>
          <w:rFonts w:eastAsia="Times New Roman"/>
          <w:b/>
          <w:bCs/>
          <w:rtl/>
          <w:lang w:eastAsia="de-DE"/>
        </w:rPr>
        <w:t>לֹא הָיְתָה קִרְיָה אֲשֶׁר שָׂגְבָה מִמֶּנּוּ</w:t>
      </w:r>
      <w:r w:rsidRPr="00C111E7">
        <w:rPr>
          <w:rFonts w:eastAsia="Times New Roman"/>
          <w:lang w:eastAsia="de-DE"/>
        </w:rPr>
        <w:t xml:space="preserve">, gefolgt von der zusammenfassenden Aussage </w:t>
      </w:r>
      <w:r w:rsidRPr="00C111E7">
        <w:rPr>
          <w:rFonts w:eastAsia="Times New Roman"/>
          <w:b/>
          <w:bCs/>
          <w:rtl/>
          <w:lang w:eastAsia="de-DE"/>
        </w:rPr>
        <w:t>אֶת־הַכֹּל נָתַן יְהוָה אֱלֹהֵינוּ לְפָנֵינוּ</w:t>
      </w:r>
      <w:r w:rsidRPr="00C111E7">
        <w:rPr>
          <w:rFonts w:eastAsia="Times New Roman"/>
          <w:rtl/>
          <w:lang w:eastAsia="de-DE"/>
        </w:rPr>
        <w:t xml:space="preserve"> </w:t>
      </w:r>
      <w:r w:rsidRPr="00C111E7">
        <w:rPr>
          <w:rFonts w:eastAsia="Times New Roman"/>
          <w:lang w:eastAsia="de-DE"/>
        </w:rPr>
        <w:t>mit vorangestelltem Objekt.</w:t>
      </w:r>
    </w:p>
    <w:p w14:paraId="5F401DA4"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lang w:eastAsia="de-DE"/>
        </w:rPr>
        <w:lastRenderedPageBreak/>
        <w:t>Der Vers gibt die geografische Ausdehnung der Eroberung an: von Aroer im Süden (am Arnon) bis Gilead im Norden. Keine einzige Stadt war zu stark befestigt, um erobert zu werden – alle fielen vor Israel. Die abschließende theologische Aussage schreibt diesen vollständigen Erfolg JHWH zu: Er gab alles in Israels Hand. Dies bestätigt die Verheißung aus V. 24-25.</w:t>
      </w:r>
    </w:p>
    <w:p w14:paraId="39BE1151" w14:textId="77777777" w:rsidR="00C111E7" w:rsidRPr="00C111E7" w:rsidRDefault="00C111E7" w:rsidP="00C111E7">
      <w:pPr>
        <w:spacing w:before="100" w:beforeAutospacing="1" w:after="100" w:afterAutospacing="1" w:line="240" w:lineRule="auto"/>
        <w:outlineLvl w:val="1"/>
        <w:rPr>
          <w:rFonts w:eastAsia="Times New Roman"/>
          <w:b/>
          <w:bCs/>
          <w:sz w:val="36"/>
          <w:szCs w:val="36"/>
          <w:lang w:eastAsia="de-DE"/>
        </w:rPr>
      </w:pPr>
      <w:r w:rsidRPr="00C111E7">
        <w:rPr>
          <w:rFonts w:eastAsia="Times New Roman"/>
          <w:b/>
          <w:bCs/>
          <w:sz w:val="36"/>
          <w:szCs w:val="36"/>
          <w:lang w:eastAsia="de-DE"/>
        </w:rPr>
        <w:t>Deuteronomium 2,37</w:t>
      </w:r>
    </w:p>
    <w:p w14:paraId="4BAB2A1D"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lang w:eastAsia="de-DE"/>
        </w:rPr>
        <w:t>Hebräisch:</w:t>
      </w:r>
      <w:r w:rsidRPr="00C111E7">
        <w:rPr>
          <w:rFonts w:eastAsia="Times New Roman"/>
          <w:lang w:eastAsia="de-DE"/>
        </w:rPr>
        <w:t xml:space="preserve"> </w:t>
      </w:r>
      <w:r w:rsidRPr="00C111E7">
        <w:rPr>
          <w:rFonts w:eastAsia="Times New Roman"/>
          <w:rtl/>
          <w:lang w:eastAsia="de-DE"/>
        </w:rPr>
        <w:t>רַ֛ק אֶל־אֶ֥רֶץ בְּנֵי־עַמֹּ֖ון לֹ֣א קָרָ֑בְתָּ כָּל־יַ֞ד נַ֤חַל יַבֹּק֙ וְעָרֵ֣י הָהָ֔ר וְכֹ֥ל אֲשֶׁר־צִוָּ֖ה יְהוָ֥ה אֱלֹהֵֽינוּ׃</w:t>
      </w:r>
    </w:p>
    <w:p w14:paraId="007B84A3" w14:textId="77777777"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lang w:eastAsia="de-DE"/>
        </w:rPr>
        <w:t>Deutsch:</w:t>
      </w:r>
      <w:r w:rsidRPr="00C111E7">
        <w:rPr>
          <w:rFonts w:eastAsia="Times New Roman"/>
          <w:lang w:eastAsia="de-DE"/>
        </w:rPr>
        <w:t xml:space="preserve"> Nur dem Land der Söhne Ammons bist du nicht genaht, der ganzen Seite des Baches Jabbok und den Städten des Gebirges und allem, was der Ewige, unser Gott, geboten hatte.</w:t>
      </w:r>
    </w:p>
    <w:p w14:paraId="1D9C1C7C" w14:textId="77777777" w:rsidR="00C111E7" w:rsidRPr="00C111E7" w:rsidRDefault="004F5CEB" w:rsidP="00C111E7">
      <w:pPr>
        <w:spacing w:after="0" w:line="240" w:lineRule="auto"/>
        <w:rPr>
          <w:rFonts w:eastAsia="Times New Roman"/>
          <w:lang w:eastAsia="de-DE"/>
        </w:rPr>
      </w:pPr>
      <w:r>
        <w:rPr>
          <w:rFonts w:eastAsia="Times New Roman"/>
          <w:noProof/>
          <w:lang w:eastAsia="de-DE"/>
        </w:rPr>
        <w:pict w14:anchorId="3C85EFEF">
          <v:rect id="_x0000_i1107" style="width:0;height:1.5pt" o:hralign="center" o:hrstd="t" o:hr="t" fillcolor="#a0a0a0" stroked="f"/>
        </w:pict>
      </w:r>
    </w:p>
    <w:p w14:paraId="08FD8E87" w14:textId="22333C2B" w:rsidR="00C111E7" w:rsidRPr="00C111E7" w:rsidRDefault="00C111E7" w:rsidP="00C111E7">
      <w:pPr>
        <w:spacing w:before="100" w:beforeAutospacing="1" w:after="100" w:afterAutospacing="1" w:line="240" w:lineRule="auto"/>
        <w:rPr>
          <w:rFonts w:eastAsia="Times New Roman"/>
          <w:lang w:eastAsia="de-DE"/>
        </w:rPr>
      </w:pPr>
      <w:r w:rsidRPr="00C111E7">
        <w:rPr>
          <w:rFonts w:eastAsia="Times New Roman"/>
          <w:b/>
          <w:bCs/>
          <w:lang w:eastAsia="de-DE"/>
        </w:rPr>
        <w:t>Kommentar:</w:t>
      </w:r>
      <w:r w:rsidRPr="00C111E7">
        <w:rPr>
          <w:rFonts w:eastAsia="Times New Roman"/>
          <w:lang w:eastAsia="de-DE"/>
        </w:rPr>
        <w:t xml:space="preserve"> </w:t>
      </w:r>
      <w:r w:rsidRPr="00C111E7">
        <w:rPr>
          <w:rFonts w:eastAsia="Times New Roman"/>
          <w:b/>
          <w:bCs/>
          <w:rtl/>
          <w:lang w:eastAsia="de-DE"/>
        </w:rPr>
        <w:t>רַק</w:t>
      </w:r>
      <w:r w:rsidRPr="00C111E7">
        <w:rPr>
          <w:rFonts w:eastAsia="Times New Roman"/>
          <w:rtl/>
          <w:lang w:eastAsia="de-DE"/>
        </w:rPr>
        <w:t xml:space="preserve"> </w:t>
      </w:r>
      <w:r w:rsidRPr="00C111E7">
        <w:rPr>
          <w:rFonts w:eastAsia="Times New Roman"/>
          <w:lang w:eastAsia="de-DE"/>
        </w:rPr>
        <w:t xml:space="preserve">ist die einschränkende Partikel „nur, lediglich". </w:t>
      </w:r>
      <w:r w:rsidRPr="00C111E7">
        <w:rPr>
          <w:rFonts w:eastAsia="Times New Roman"/>
          <w:b/>
          <w:bCs/>
          <w:rtl/>
          <w:lang w:eastAsia="de-DE"/>
        </w:rPr>
        <w:t>אֶל־אֶרֶץ בְּנֵי־עַמּוֹן</w:t>
      </w:r>
      <w:r w:rsidRPr="00C111E7">
        <w:rPr>
          <w:rFonts w:eastAsia="Times New Roman"/>
          <w:rtl/>
          <w:lang w:eastAsia="de-DE"/>
        </w:rPr>
        <w:t xml:space="preserve"> </w:t>
      </w:r>
      <w:r w:rsidRPr="00C111E7">
        <w:rPr>
          <w:rFonts w:eastAsia="Times New Roman"/>
          <w:lang w:eastAsia="de-DE"/>
        </w:rPr>
        <w:t xml:space="preserve">ist </w:t>
      </w:r>
      <w:r w:rsidRPr="00C111E7">
        <w:rPr>
          <w:rFonts w:eastAsia="Times New Roman"/>
          <w:b/>
          <w:bCs/>
          <w:rtl/>
          <w:lang w:eastAsia="de-DE"/>
        </w:rPr>
        <w:t>אֶל</w:t>
      </w:r>
      <w:r w:rsidRPr="00C111E7">
        <w:rPr>
          <w:rFonts w:eastAsia="Times New Roman"/>
          <w:rtl/>
          <w:lang w:eastAsia="de-DE"/>
        </w:rPr>
        <w:t xml:space="preserve"> </w:t>
      </w:r>
      <w:r w:rsidRPr="00C111E7">
        <w:rPr>
          <w:rFonts w:eastAsia="Times New Roman"/>
          <w:lang w:eastAsia="de-DE"/>
        </w:rPr>
        <w:t xml:space="preserve">mit </w:t>
      </w:r>
      <w:r w:rsidRPr="00C111E7">
        <w:rPr>
          <w:rFonts w:eastAsia="Times New Roman"/>
          <w:b/>
          <w:bCs/>
          <w:rtl/>
          <w:lang w:eastAsia="de-DE"/>
        </w:rPr>
        <w:t>אֶרֶץ</w:t>
      </w:r>
      <w:r w:rsidRPr="00C111E7">
        <w:rPr>
          <w:rFonts w:eastAsia="Times New Roman"/>
          <w:rtl/>
          <w:lang w:eastAsia="de-DE"/>
        </w:rPr>
        <w:t xml:space="preserve"> </w:t>
      </w:r>
      <w:r w:rsidRPr="00C111E7">
        <w:rPr>
          <w:rFonts w:eastAsia="Times New Roman"/>
          <w:lang w:eastAsia="de-DE"/>
        </w:rPr>
        <w:t xml:space="preserve">im </w:t>
      </w:r>
      <w:r w:rsidR="0032647F">
        <w:rPr>
          <w:rFonts w:eastAsia="Times New Roman"/>
          <w:lang w:eastAsia="de-DE"/>
        </w:rPr>
        <w:t>Construct</w:t>
      </w:r>
      <w:r w:rsidRPr="00C111E7">
        <w:rPr>
          <w:rFonts w:eastAsia="Times New Roman"/>
          <w:lang w:eastAsia="de-DE"/>
        </w:rPr>
        <w:t xml:space="preserve"> und </w:t>
      </w:r>
      <w:r w:rsidRPr="00C111E7">
        <w:rPr>
          <w:rFonts w:eastAsia="Times New Roman"/>
          <w:b/>
          <w:bCs/>
          <w:rtl/>
          <w:lang w:eastAsia="de-DE"/>
        </w:rPr>
        <w:t>בְּנֵי־עַמּוֹן</w:t>
      </w:r>
      <w:r w:rsidRPr="00C111E7">
        <w:rPr>
          <w:rFonts w:eastAsia="Times New Roman"/>
          <w:rtl/>
          <w:lang w:eastAsia="de-DE"/>
        </w:rPr>
        <w:t xml:space="preserve"> </w:t>
      </w:r>
      <w:r w:rsidRPr="00C111E7">
        <w:rPr>
          <w:rFonts w:eastAsia="Times New Roman"/>
          <w:lang w:eastAsia="de-DE"/>
        </w:rPr>
        <w:t xml:space="preserve">(„zum Land der Söhne Ammons"). </w:t>
      </w:r>
      <w:r w:rsidRPr="00C111E7">
        <w:rPr>
          <w:rFonts w:eastAsia="Times New Roman"/>
          <w:b/>
          <w:bCs/>
          <w:rtl/>
          <w:lang w:eastAsia="de-DE"/>
        </w:rPr>
        <w:t>לֹא קָרָבְתָּ</w:t>
      </w:r>
      <w:r w:rsidRPr="00C111E7">
        <w:rPr>
          <w:rFonts w:eastAsia="Times New Roman"/>
          <w:rtl/>
          <w:lang w:eastAsia="de-DE"/>
        </w:rPr>
        <w:t xml:space="preserve"> </w:t>
      </w:r>
      <w:r w:rsidRPr="00C111E7">
        <w:rPr>
          <w:rFonts w:eastAsia="Times New Roman"/>
          <w:lang w:eastAsia="de-DE"/>
        </w:rPr>
        <w:t xml:space="preserve">ist </w:t>
      </w:r>
      <w:r w:rsidRPr="00C111E7">
        <w:rPr>
          <w:rFonts w:eastAsia="Times New Roman"/>
          <w:b/>
          <w:bCs/>
          <w:rtl/>
          <w:lang w:eastAsia="de-DE"/>
        </w:rPr>
        <w:t>לֹא</w:t>
      </w:r>
      <w:r w:rsidRPr="00C111E7">
        <w:rPr>
          <w:rFonts w:eastAsia="Times New Roman"/>
          <w:rtl/>
          <w:lang w:eastAsia="de-DE"/>
        </w:rPr>
        <w:t xml:space="preserve"> </w:t>
      </w:r>
      <w:r w:rsidRPr="00C111E7">
        <w:rPr>
          <w:rFonts w:eastAsia="Times New Roman"/>
          <w:lang w:eastAsia="de-DE"/>
        </w:rPr>
        <w:t xml:space="preserve">mit </w:t>
      </w:r>
      <w:r w:rsidRPr="00C111E7">
        <w:rPr>
          <w:rFonts w:eastAsia="Times New Roman"/>
          <w:b/>
          <w:bCs/>
          <w:rtl/>
          <w:lang w:eastAsia="de-DE"/>
        </w:rPr>
        <w:t>קָרָבְתָּ</w:t>
      </w:r>
      <w:r w:rsidRPr="00C111E7">
        <w:rPr>
          <w:rFonts w:eastAsia="Times New Roman"/>
          <w:rtl/>
          <w:lang w:eastAsia="de-DE"/>
        </w:rPr>
        <w:t xml:space="preserve"> </w:t>
      </w:r>
      <w:r w:rsidRPr="00C111E7">
        <w:rPr>
          <w:rFonts w:eastAsia="Times New Roman"/>
          <w:lang w:eastAsia="de-DE"/>
        </w:rPr>
        <w:t xml:space="preserve">(Qal Perfekt, 2. Person maskulin Singular von </w:t>
      </w:r>
      <w:r w:rsidRPr="00C111E7">
        <w:rPr>
          <w:rFonts w:eastAsia="Times New Roman"/>
          <w:rtl/>
          <w:lang w:eastAsia="de-DE"/>
        </w:rPr>
        <w:t>קרב</w:t>
      </w:r>
      <w:r w:rsidRPr="00C111E7">
        <w:rPr>
          <w:rFonts w:eastAsia="Times New Roman"/>
          <w:lang w:eastAsia="de-DE"/>
        </w:rPr>
        <w:t xml:space="preserve"> „nahen, sich nähern").</w:t>
      </w:r>
    </w:p>
    <w:p w14:paraId="6425D634" w14:textId="794C6A1D" w:rsidR="00C111E7" w:rsidRDefault="00C111E7" w:rsidP="00C111E7">
      <w:r w:rsidRPr="00C111E7">
        <w:rPr>
          <w:b/>
          <w:bCs/>
          <w:rtl/>
        </w:rPr>
        <w:t>כָּל־יַד נַחַל יַבֹּק</w:t>
      </w:r>
      <w:r w:rsidRPr="00C111E7">
        <w:rPr>
          <w:rtl/>
        </w:rPr>
        <w:t xml:space="preserve"> </w:t>
      </w:r>
      <w:r w:rsidRPr="00C111E7">
        <w:t xml:space="preserve">ist eine weitere Spezifikation: </w:t>
      </w:r>
      <w:r w:rsidRPr="00C111E7">
        <w:rPr>
          <w:b/>
          <w:bCs/>
          <w:rtl/>
        </w:rPr>
        <w:t>כָּל־יַד</w:t>
      </w:r>
      <w:r w:rsidRPr="00C111E7">
        <w:rPr>
          <w:rtl/>
        </w:rPr>
        <w:t xml:space="preserve"> </w:t>
      </w:r>
      <w:r w:rsidRPr="00C111E7">
        <w:t>(</w:t>
      </w:r>
      <w:r w:rsidRPr="00C111E7">
        <w:rPr>
          <w:b/>
          <w:bCs/>
          <w:rtl/>
        </w:rPr>
        <w:t>כֹּל</w:t>
      </w:r>
      <w:r w:rsidRPr="00C111E7">
        <w:rPr>
          <w:rtl/>
        </w:rPr>
        <w:t xml:space="preserve"> </w:t>
      </w:r>
      <w:r w:rsidRPr="00C111E7">
        <w:t xml:space="preserve">im </w:t>
      </w:r>
      <w:r w:rsidR="0032647F">
        <w:t>Construct</w:t>
      </w:r>
      <w:r w:rsidRPr="00C111E7">
        <w:t xml:space="preserve"> mit </w:t>
      </w:r>
      <w:r w:rsidRPr="00C111E7">
        <w:rPr>
          <w:b/>
          <w:bCs/>
          <w:rtl/>
        </w:rPr>
        <w:t>יָד</w:t>
      </w:r>
      <w:r w:rsidRPr="00C111E7">
        <w:rPr>
          <w:rtl/>
        </w:rPr>
        <w:t xml:space="preserve"> </w:t>
      </w:r>
      <w:r w:rsidRPr="00C111E7">
        <w:t xml:space="preserve">„Hand, Seite"), </w:t>
      </w:r>
      <w:r w:rsidRPr="00C111E7">
        <w:rPr>
          <w:b/>
          <w:bCs/>
          <w:rtl/>
        </w:rPr>
        <w:t>נַחַל יַבֹּק</w:t>
      </w:r>
      <w:r w:rsidRPr="00C111E7">
        <w:rPr>
          <w:rtl/>
        </w:rPr>
        <w:t xml:space="preserve"> </w:t>
      </w:r>
      <w:r w:rsidRPr="00C111E7">
        <w:t>(</w:t>
      </w:r>
      <w:r w:rsidR="0032647F">
        <w:t>Construct</w:t>
      </w:r>
      <w:r w:rsidRPr="00C111E7">
        <w:t xml:space="preserve">usverbindung „Bach Jabbok"). Die Phrase </w:t>
      </w:r>
      <w:r w:rsidRPr="00C111E7">
        <w:rPr>
          <w:b/>
          <w:bCs/>
          <w:rtl/>
        </w:rPr>
        <w:t>כָּל־יַד נַחַל</w:t>
      </w:r>
      <w:r w:rsidRPr="00C111E7">
        <w:rPr>
          <w:rtl/>
        </w:rPr>
        <w:t xml:space="preserve"> </w:t>
      </w:r>
      <w:r w:rsidRPr="00C111E7">
        <w:t xml:space="preserve">bedeutet „die ganze Seite des Baches", d.h. das gesamte Ufergebiet. </w:t>
      </w:r>
      <w:r w:rsidRPr="00C111E7">
        <w:rPr>
          <w:b/>
          <w:bCs/>
          <w:rtl/>
        </w:rPr>
        <w:t>וְעָרֵי הָהָר</w:t>
      </w:r>
      <w:r w:rsidRPr="00C111E7">
        <w:rPr>
          <w:rtl/>
        </w:rPr>
        <w:t xml:space="preserve"> </w:t>
      </w:r>
      <w:r w:rsidRPr="00C111E7">
        <w:t xml:space="preserve">ist </w:t>
      </w:r>
      <w:r w:rsidRPr="00C111E7">
        <w:rPr>
          <w:b/>
          <w:bCs/>
          <w:rtl/>
        </w:rPr>
        <w:t>וְ</w:t>
      </w:r>
      <w:r w:rsidRPr="00C111E7">
        <w:rPr>
          <w:rtl/>
        </w:rPr>
        <w:t xml:space="preserve"> </w:t>
      </w:r>
      <w:r w:rsidRPr="00C111E7">
        <w:t xml:space="preserve">mit </w:t>
      </w:r>
      <w:r w:rsidRPr="00C111E7">
        <w:rPr>
          <w:b/>
          <w:bCs/>
          <w:rtl/>
        </w:rPr>
        <w:t>עָרֵי</w:t>
      </w:r>
      <w:r w:rsidRPr="00C111E7">
        <w:rPr>
          <w:rtl/>
        </w:rPr>
        <w:t xml:space="preserve"> </w:t>
      </w:r>
      <w:r w:rsidRPr="00C111E7">
        <w:t xml:space="preserve">(Plural </w:t>
      </w:r>
      <w:r w:rsidR="0032647F">
        <w:t>Construct</w:t>
      </w:r>
      <w:r w:rsidRPr="00C111E7">
        <w:t xml:space="preserve"> von </w:t>
      </w:r>
      <w:r w:rsidRPr="00C111E7">
        <w:rPr>
          <w:b/>
          <w:bCs/>
          <w:rtl/>
        </w:rPr>
        <w:t>עִיר</w:t>
      </w:r>
      <w:r w:rsidRPr="00C111E7">
        <w:t xml:space="preserve">) und </w:t>
      </w:r>
      <w:r w:rsidRPr="00C111E7">
        <w:rPr>
          <w:b/>
          <w:bCs/>
          <w:rtl/>
        </w:rPr>
        <w:t>הָהָר</w:t>
      </w:r>
      <w:r w:rsidRPr="00C111E7">
        <w:rPr>
          <w:rtl/>
        </w:rPr>
        <w:t xml:space="preserve"> </w:t>
      </w:r>
      <w:r w:rsidRPr="00C111E7">
        <w:t xml:space="preserve">(„die Städte des Gebirges"). </w:t>
      </w:r>
      <w:r w:rsidRPr="00C111E7">
        <w:rPr>
          <w:b/>
          <w:bCs/>
          <w:rtl/>
        </w:rPr>
        <w:t>וְכֹל אֲשֶׁר־צִוָּה יְהוָה אֱלֹהֵינוּ</w:t>
      </w:r>
      <w:r w:rsidRPr="00C111E7">
        <w:rPr>
          <w:rtl/>
        </w:rPr>
        <w:t xml:space="preserve"> </w:t>
      </w:r>
      <w:r w:rsidRPr="00C111E7">
        <w:t xml:space="preserve">ist </w:t>
      </w:r>
      <w:r w:rsidRPr="00C111E7">
        <w:rPr>
          <w:b/>
          <w:bCs/>
          <w:rtl/>
        </w:rPr>
        <w:t>וְ</w:t>
      </w:r>
      <w:r w:rsidRPr="00C111E7">
        <w:rPr>
          <w:rtl/>
        </w:rPr>
        <w:t xml:space="preserve"> </w:t>
      </w:r>
      <w:r w:rsidRPr="00C111E7">
        <w:t xml:space="preserve">mit </w:t>
      </w:r>
      <w:r w:rsidRPr="00C111E7">
        <w:rPr>
          <w:b/>
          <w:bCs/>
          <w:rtl/>
        </w:rPr>
        <w:t>כֹל</w:t>
      </w:r>
      <w:r w:rsidRPr="00C111E7">
        <w:rPr>
          <w:rtl/>
        </w:rPr>
        <w:t xml:space="preserve"> </w:t>
      </w:r>
      <w:r w:rsidRPr="00C111E7">
        <w:t xml:space="preserve">(„alles"), Relativsatz </w:t>
      </w:r>
      <w:r w:rsidRPr="00C111E7">
        <w:rPr>
          <w:b/>
          <w:bCs/>
          <w:rtl/>
        </w:rPr>
        <w:t>אֲשֶׁר־צִוָּה יְהוָה אֱלֹהֵינוּ</w:t>
      </w:r>
      <w:r w:rsidRPr="00C111E7">
        <w:t xml:space="preserve">, wob </w:t>
      </w:r>
      <w:r>
        <w:t xml:space="preserve">ei </w:t>
      </w:r>
      <w:r>
        <w:rPr>
          <w:rStyle w:val="berschrift3Zchn"/>
          <w:rtl/>
        </w:rPr>
        <w:t>צִוָּה</w:t>
      </w:r>
      <w:r>
        <w:rPr>
          <w:rtl/>
        </w:rPr>
        <w:t xml:space="preserve"> </w:t>
      </w:r>
      <w:r>
        <w:t xml:space="preserve">Piel Perfekt, 3. Person maskulin Singular von </w:t>
      </w:r>
      <w:r>
        <w:rPr>
          <w:rtl/>
        </w:rPr>
        <w:t>צוה</w:t>
      </w:r>
      <w:r>
        <w:t xml:space="preserve"> („befehlen"), </w:t>
      </w:r>
      <w:r>
        <w:rPr>
          <w:rStyle w:val="berschrift3Zchn"/>
          <w:rtl/>
        </w:rPr>
        <w:t>יְהוָה אֱלֹהֵינוּ</w:t>
      </w:r>
      <w:r>
        <w:rPr>
          <w:rtl/>
        </w:rPr>
        <w:t xml:space="preserve"> </w:t>
      </w:r>
      <w:r>
        <w:t>als Subjekt. Diese abschließende Phrase ist eine allgemeine Zusammenfassung: „und allem, was JHWH, unser Gott, geboten hatte".</w:t>
      </w:r>
    </w:p>
    <w:p w14:paraId="1A9769B3" w14:textId="4FBEE49C" w:rsidR="00C111E7" w:rsidRDefault="00C111E7" w:rsidP="00C111E7">
      <w:r>
        <w:rPr>
          <w:rStyle w:val="berschrift3Zchn"/>
        </w:rPr>
        <w:t>Die LXX</w:t>
      </w:r>
      <w:r>
        <w:t xml:space="preserve"> </w:t>
      </w:r>
      <w:r w:rsidR="00516967">
        <w:t>übersetzt „</w:t>
      </w:r>
      <w:r w:rsidR="00516967">
        <w:rPr>
          <w:rtl/>
        </w:rPr>
        <w:t>כָּל־יַד נַחַל יַבֹּק</w:t>
      </w:r>
      <w:r w:rsidR="00516967">
        <w:t>" (alles an der Seite des Flusses Jabbok) mit „π</w:t>
      </w:r>
      <w:proofErr w:type="spellStart"/>
      <w:r w:rsidR="00516967">
        <w:t>άντ</w:t>
      </w:r>
      <w:proofErr w:type="spellEnd"/>
      <w:r w:rsidR="00516967">
        <w:t xml:space="preserve">α </w:t>
      </w:r>
      <w:proofErr w:type="spellStart"/>
      <w:r w:rsidR="00516967">
        <w:t>τὰ</w:t>
      </w:r>
      <w:proofErr w:type="spellEnd"/>
      <w:r w:rsidR="00516967">
        <w:t xml:space="preserve"> </w:t>
      </w:r>
      <w:proofErr w:type="spellStart"/>
      <w:r w:rsidR="00516967">
        <w:t>συγκυροῦντ</w:t>
      </w:r>
      <w:proofErr w:type="spellEnd"/>
      <w:r w:rsidR="00516967">
        <w:t xml:space="preserve">α </w:t>
      </w:r>
      <w:proofErr w:type="spellStart"/>
      <w:r w:rsidR="00516967">
        <w:t>χειμάρρῳ</w:t>
      </w:r>
      <w:proofErr w:type="spellEnd"/>
      <w:r w:rsidR="00516967">
        <w:t xml:space="preserve"> Ἰαβ</w:t>
      </w:r>
      <w:proofErr w:type="spellStart"/>
      <w:r w:rsidR="00516967">
        <w:t>όκ</w:t>
      </w:r>
      <w:proofErr w:type="spellEnd"/>
      <w:r w:rsidR="00516967">
        <w:t xml:space="preserve">" (alles, was an den Wildbach </w:t>
      </w:r>
      <w:proofErr w:type="spellStart"/>
      <w:r w:rsidR="00516967">
        <w:t>Jabok</w:t>
      </w:r>
      <w:proofErr w:type="spellEnd"/>
      <w:r w:rsidR="00516967">
        <w:t xml:space="preserve"> angrenzt).</w:t>
      </w:r>
    </w:p>
    <w:p w14:paraId="3DBEC594" w14:textId="2C88333E" w:rsidR="00C111E7" w:rsidRDefault="00C111E7" w:rsidP="00C111E7">
      <w:r>
        <w:t>Die Satzstruktur ist ein negativer Hauptsatz mit einschränkender Partikel: erweitert durch drei koordinierte Objekte oder Spezifikationen.</w:t>
      </w:r>
    </w:p>
    <w:p w14:paraId="5AAE9887" w14:textId="77777777" w:rsidR="00C111E7" w:rsidRDefault="00C111E7" w:rsidP="00C111E7">
      <w:r>
        <w:t xml:space="preserve">Der Vers schließt das Kapitel mit einem wichtigen Hinweis auf Israels Gehorsam: Trotz des militärischen Erfolgs gegen Sihon respektierte Israel die göttliche Anweisung aus V. 19 und griff Ammon nicht an. Weder das Gebiet am Jabbok (der Grenzfluss zu Ammon) noch die ammonitischen Bergstädte wurden angetastet. Die abschließende Phrase </w:t>
      </w:r>
      <w:r>
        <w:rPr>
          <w:rStyle w:val="berschrift3Zchn"/>
          <w:rtl/>
        </w:rPr>
        <w:t>וְכֹל אֲשֶׁר־צִוָּה יְהוָה אֱלֹהֵינוּ</w:t>
      </w:r>
      <w:r>
        <w:rPr>
          <w:rtl/>
        </w:rPr>
        <w:t xml:space="preserve"> </w:t>
      </w:r>
      <w:r>
        <w:t>unterstreicht, dass dieser Gehorsam umfassend war: Israel hielt sich an alle göttlichen Gebote bezüglich der zu schonenden Völker (Edom, Moab, Ammon). Dies zeigt Israels Unterscheidungsvermögen zwischen eroberbarem und geschütztem Gebiet und ihren Gehorsam gegenüber JHWHs spezifischen Anweisungen.</w:t>
      </w:r>
    </w:p>
    <w:p w14:paraId="49D12563" w14:textId="6B5DE251" w:rsidR="00B33854" w:rsidRPr="00B33854" w:rsidRDefault="00B33854" w:rsidP="00B33854">
      <w:pPr>
        <w:pStyle w:val="berschrift2"/>
      </w:pPr>
      <w:r w:rsidRPr="00B33854">
        <w:t>Deuteronomium 3,1</w:t>
      </w:r>
    </w:p>
    <w:p w14:paraId="7794255F"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וַנֵּ֣פֶן וַנַּ֔עַל דֶּ֖רֶךְ הַבָּשָׁ֑ן וַיֵּצֵ֣א עוֹג֩ מֶֽלֶךְ־הַבָּשָׁ֨ן לִקְרָאתֵ֜נוּ ה֧וּא וְכָל־עַמֹּ֛ו לַמִּלְחָמָ֖ה אֶדְרֶֽעִי׃</w:t>
      </w:r>
    </w:p>
    <w:p w14:paraId="096AA89F"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lastRenderedPageBreak/>
        <w:t>Deutsch:</w:t>
      </w:r>
      <w:r w:rsidRPr="00B33854">
        <w:rPr>
          <w:rFonts w:eastAsia="Times New Roman"/>
          <w:lang w:eastAsia="de-DE"/>
        </w:rPr>
        <w:t xml:space="preserve"> Und wir wandten uns und zogen den Weg nach Baschan hinauf; und Og, der König von Baschan, zog aus, uns entgegen, er und sein ganzes Volk, zum Kampf nach Edre'i.</w:t>
      </w:r>
    </w:p>
    <w:p w14:paraId="5BD3A005"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38C2A6B5">
          <v:rect id="_x0000_i1108" style="width:0;height:1.5pt" o:hralign="center" o:hrstd="t" o:hr="t" fillcolor="#a0a0a0" stroked="f"/>
        </w:pict>
      </w:r>
    </w:p>
    <w:p w14:paraId="60AECBDD"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וַנֵּפֶן</w:t>
      </w:r>
      <w:r w:rsidRPr="00B33854">
        <w:rPr>
          <w:rFonts w:eastAsia="Times New Roman"/>
          <w:rtl/>
          <w:lang w:eastAsia="de-DE"/>
        </w:rPr>
        <w:t xml:space="preserve"> </w:t>
      </w:r>
      <w:r w:rsidRPr="00B33854">
        <w:rPr>
          <w:rFonts w:eastAsia="Times New Roman"/>
          <w:lang w:eastAsia="de-DE"/>
        </w:rPr>
        <w:t xml:space="preserve">ist Qal Imperfekt consecutivum, 1. Person Plural von </w:t>
      </w:r>
      <w:r w:rsidRPr="00B33854">
        <w:rPr>
          <w:rFonts w:eastAsia="Times New Roman"/>
          <w:b/>
          <w:bCs/>
          <w:rtl/>
          <w:lang w:eastAsia="de-DE"/>
        </w:rPr>
        <w:t>פנה</w:t>
      </w:r>
      <w:r w:rsidRPr="00B33854">
        <w:rPr>
          <w:rFonts w:eastAsia="Times New Roman"/>
          <w:rtl/>
          <w:lang w:eastAsia="de-DE"/>
        </w:rPr>
        <w:t xml:space="preserve"> </w:t>
      </w:r>
      <w:r w:rsidRPr="00B33854">
        <w:rPr>
          <w:rFonts w:eastAsia="Times New Roman"/>
          <w:lang w:eastAsia="de-DE"/>
        </w:rPr>
        <w:t xml:space="preserve">(„sich wenden") mit Waw. </w:t>
      </w:r>
      <w:r w:rsidRPr="00B33854">
        <w:rPr>
          <w:rFonts w:eastAsia="Times New Roman"/>
          <w:b/>
          <w:bCs/>
          <w:rtl/>
          <w:lang w:eastAsia="de-DE"/>
        </w:rPr>
        <w:t>וַנַּעַל</w:t>
      </w:r>
      <w:r w:rsidRPr="00B33854">
        <w:rPr>
          <w:rFonts w:eastAsia="Times New Roman"/>
          <w:rtl/>
          <w:lang w:eastAsia="de-DE"/>
        </w:rPr>
        <w:t xml:space="preserve"> </w:t>
      </w:r>
      <w:r w:rsidRPr="00B33854">
        <w:rPr>
          <w:rFonts w:eastAsia="Times New Roman"/>
          <w:lang w:eastAsia="de-DE"/>
        </w:rPr>
        <w:t xml:space="preserve">ist Qal Imperfekt consecutivum, 1. Person Plural von </w:t>
      </w:r>
      <w:r w:rsidRPr="00B33854">
        <w:rPr>
          <w:rFonts w:eastAsia="Times New Roman"/>
          <w:b/>
          <w:bCs/>
          <w:rtl/>
          <w:lang w:eastAsia="de-DE"/>
        </w:rPr>
        <w:t>עלה</w:t>
      </w:r>
      <w:r w:rsidRPr="00B33854">
        <w:rPr>
          <w:rFonts w:eastAsia="Times New Roman"/>
          <w:rtl/>
          <w:lang w:eastAsia="de-DE"/>
        </w:rPr>
        <w:t xml:space="preserve"> </w:t>
      </w:r>
      <w:r w:rsidRPr="00B33854">
        <w:rPr>
          <w:rFonts w:eastAsia="Times New Roman"/>
          <w:lang w:eastAsia="de-DE"/>
        </w:rPr>
        <w:t xml:space="preserve">(„hinaufziehen"). </w:t>
      </w:r>
      <w:r w:rsidRPr="00B33854">
        <w:rPr>
          <w:rFonts w:eastAsia="Times New Roman"/>
          <w:b/>
          <w:bCs/>
          <w:rtl/>
          <w:lang w:eastAsia="de-DE"/>
        </w:rPr>
        <w:t>דֶּרֶךְ הַבָּשָׁן</w:t>
      </w:r>
      <w:r w:rsidRPr="00B33854">
        <w:rPr>
          <w:rFonts w:eastAsia="Times New Roman"/>
          <w:rtl/>
          <w:lang w:eastAsia="de-DE"/>
        </w:rPr>
        <w:t xml:space="preserve"> </w:t>
      </w:r>
      <w:r w:rsidRPr="00B33854">
        <w:rPr>
          <w:rFonts w:eastAsia="Times New Roman"/>
          <w:lang w:eastAsia="de-DE"/>
        </w:rPr>
        <w:t xml:space="preserve">ist eine akkusativische Wegangabe: </w:t>
      </w:r>
      <w:r w:rsidRPr="00B33854">
        <w:rPr>
          <w:rFonts w:eastAsia="Times New Roman"/>
          <w:b/>
          <w:bCs/>
          <w:rtl/>
          <w:lang w:eastAsia="de-DE"/>
        </w:rPr>
        <w:t>דֶּרֶךְ</w:t>
      </w:r>
      <w:r w:rsidRPr="00B33854">
        <w:rPr>
          <w:rFonts w:eastAsia="Times New Roman"/>
          <w:rtl/>
          <w:lang w:eastAsia="de-DE"/>
        </w:rPr>
        <w:t xml:space="preserve"> </w:t>
      </w:r>
      <w:r w:rsidRPr="00B33854">
        <w:rPr>
          <w:rFonts w:eastAsia="Times New Roman"/>
          <w:lang w:eastAsia="de-DE"/>
        </w:rPr>
        <w:t xml:space="preserve">(„Weg") im Construct mit </w:t>
      </w:r>
      <w:r w:rsidRPr="00B33854">
        <w:rPr>
          <w:rFonts w:eastAsia="Times New Roman"/>
          <w:b/>
          <w:bCs/>
          <w:rtl/>
          <w:lang w:eastAsia="de-DE"/>
        </w:rPr>
        <w:t>הַבָּשָׁן</w:t>
      </w:r>
      <w:r w:rsidRPr="00B33854">
        <w:rPr>
          <w:rFonts w:eastAsia="Times New Roman"/>
          <w:rtl/>
          <w:lang w:eastAsia="de-DE"/>
        </w:rPr>
        <w:t xml:space="preserve"> </w:t>
      </w:r>
      <w:r w:rsidRPr="00B33854">
        <w:rPr>
          <w:rFonts w:eastAsia="Times New Roman"/>
          <w:lang w:eastAsia="de-DE"/>
        </w:rPr>
        <w:t>(„Baschan"), einer fruchtbaren Hochebene nordöstlich des Sees Genezareth.</w:t>
      </w:r>
    </w:p>
    <w:p w14:paraId="2CCFB447"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וַיֵּצֵא</w:t>
      </w:r>
      <w:r w:rsidRPr="00B33854">
        <w:rPr>
          <w:rFonts w:eastAsia="Times New Roman"/>
          <w:rtl/>
          <w:lang w:eastAsia="de-DE"/>
        </w:rPr>
        <w:t xml:space="preserve"> </w:t>
      </w:r>
      <w:r w:rsidRPr="00B33854">
        <w:rPr>
          <w:rFonts w:eastAsia="Times New Roman"/>
          <w:lang w:eastAsia="de-DE"/>
        </w:rPr>
        <w:t xml:space="preserve">ist Qal Imperfekt consecutivum, 3. Person Singular maskulin von </w:t>
      </w:r>
      <w:r w:rsidRPr="00B33854">
        <w:rPr>
          <w:rFonts w:eastAsia="Times New Roman"/>
          <w:b/>
          <w:bCs/>
          <w:rtl/>
          <w:lang w:eastAsia="de-DE"/>
        </w:rPr>
        <w:t>יצא</w:t>
      </w:r>
      <w:r w:rsidRPr="00B33854">
        <w:rPr>
          <w:rFonts w:eastAsia="Times New Roman"/>
          <w:rtl/>
          <w:lang w:eastAsia="de-DE"/>
        </w:rPr>
        <w:t xml:space="preserve"> </w:t>
      </w:r>
      <w:r w:rsidRPr="00B33854">
        <w:rPr>
          <w:rFonts w:eastAsia="Times New Roman"/>
          <w:lang w:eastAsia="de-DE"/>
        </w:rPr>
        <w:t xml:space="preserve">(„hinausgehen, ausziehen"). </w:t>
      </w:r>
      <w:r w:rsidRPr="00B33854">
        <w:rPr>
          <w:rFonts w:eastAsia="Times New Roman"/>
          <w:b/>
          <w:bCs/>
          <w:rtl/>
          <w:lang w:eastAsia="de-DE"/>
        </w:rPr>
        <w:t>עוֹג מֶלֶךְ־הַבָּשָׁן</w:t>
      </w:r>
      <w:r w:rsidRPr="00B33854">
        <w:rPr>
          <w:rFonts w:eastAsia="Times New Roman"/>
          <w:rtl/>
          <w:lang w:eastAsia="de-DE"/>
        </w:rPr>
        <w:t xml:space="preserve"> </w:t>
      </w:r>
      <w:r w:rsidRPr="00B33854">
        <w:rPr>
          <w:rFonts w:eastAsia="Times New Roman"/>
          <w:lang w:eastAsia="de-DE"/>
        </w:rPr>
        <w:t xml:space="preserve">ist das Subjekt: </w:t>
      </w:r>
      <w:r w:rsidRPr="00B33854">
        <w:rPr>
          <w:rFonts w:eastAsia="Times New Roman"/>
          <w:b/>
          <w:bCs/>
          <w:rtl/>
          <w:lang w:eastAsia="de-DE"/>
        </w:rPr>
        <w:t>עוֹג</w:t>
      </w:r>
      <w:r w:rsidRPr="00B33854">
        <w:rPr>
          <w:rFonts w:eastAsia="Times New Roman"/>
          <w:rtl/>
          <w:lang w:eastAsia="de-DE"/>
        </w:rPr>
        <w:t xml:space="preserve"> </w:t>
      </w:r>
      <w:r w:rsidRPr="00B33854">
        <w:rPr>
          <w:rFonts w:eastAsia="Times New Roman"/>
          <w:lang w:eastAsia="de-DE"/>
        </w:rPr>
        <w:t xml:space="preserve">als Eigenname, </w:t>
      </w:r>
      <w:r w:rsidRPr="00B33854">
        <w:rPr>
          <w:rFonts w:eastAsia="Times New Roman"/>
          <w:b/>
          <w:bCs/>
          <w:rtl/>
          <w:lang w:eastAsia="de-DE"/>
        </w:rPr>
        <w:t>מֶלֶךְ־הַבָּשָׁן</w:t>
      </w:r>
      <w:r w:rsidRPr="00B33854">
        <w:rPr>
          <w:rFonts w:eastAsia="Times New Roman"/>
          <w:rtl/>
          <w:lang w:eastAsia="de-DE"/>
        </w:rPr>
        <w:t xml:space="preserve"> </w:t>
      </w:r>
      <w:r w:rsidRPr="00B33854">
        <w:rPr>
          <w:rFonts w:eastAsia="Times New Roman"/>
          <w:lang w:eastAsia="de-DE"/>
        </w:rPr>
        <w:t xml:space="preserve">als appositionale Titelangabe im Construct. </w:t>
      </w:r>
      <w:r w:rsidRPr="00B33854">
        <w:rPr>
          <w:rFonts w:eastAsia="Times New Roman"/>
          <w:b/>
          <w:bCs/>
          <w:rtl/>
          <w:lang w:eastAsia="de-DE"/>
        </w:rPr>
        <w:t>לִקְרָאתֵנוּ</w:t>
      </w:r>
      <w:r w:rsidRPr="00B33854">
        <w:rPr>
          <w:rFonts w:eastAsia="Times New Roman"/>
          <w:rtl/>
          <w:lang w:eastAsia="de-DE"/>
        </w:rPr>
        <w:t xml:space="preserve"> </w:t>
      </w:r>
      <w:r w:rsidRPr="00B33854">
        <w:rPr>
          <w:rFonts w:eastAsia="Times New Roman"/>
          <w:lang w:eastAsia="de-DE"/>
        </w:rPr>
        <w:t xml:space="preserve">ist Präposition </w:t>
      </w:r>
      <w:r w:rsidRPr="00B33854">
        <w:rPr>
          <w:rFonts w:eastAsia="Times New Roman"/>
          <w:b/>
          <w:bCs/>
          <w:rtl/>
          <w:lang w:eastAsia="de-DE"/>
        </w:rPr>
        <w:t>לְ</w:t>
      </w:r>
      <w:r w:rsidRPr="00B33854">
        <w:rPr>
          <w:rFonts w:eastAsia="Times New Roman"/>
          <w:rtl/>
          <w:lang w:eastAsia="de-DE"/>
        </w:rPr>
        <w:t xml:space="preserve"> </w:t>
      </w:r>
      <w:r w:rsidRPr="00B33854">
        <w:rPr>
          <w:rFonts w:eastAsia="Times New Roman"/>
          <w:lang w:eastAsia="de-DE"/>
        </w:rPr>
        <w:t xml:space="preserve">mit dem Substantiv </w:t>
      </w:r>
      <w:r w:rsidRPr="00B33854">
        <w:rPr>
          <w:rFonts w:eastAsia="Times New Roman"/>
          <w:b/>
          <w:bCs/>
          <w:rtl/>
          <w:lang w:eastAsia="de-DE"/>
        </w:rPr>
        <w:t>קְרָאת</w:t>
      </w:r>
      <w:r w:rsidRPr="00B33854">
        <w:rPr>
          <w:rFonts w:eastAsia="Times New Roman"/>
          <w:rtl/>
          <w:lang w:eastAsia="de-DE"/>
        </w:rPr>
        <w:t xml:space="preserve"> </w:t>
      </w:r>
      <w:r w:rsidRPr="00B33854">
        <w:rPr>
          <w:rFonts w:eastAsia="Times New Roman"/>
          <w:lang w:eastAsia="de-DE"/>
        </w:rPr>
        <w:t xml:space="preserve">(„Entgegnung, Begegnung") und Suffix 1. Person Plural („uns entgegen"). </w:t>
      </w:r>
      <w:r w:rsidRPr="00B33854">
        <w:rPr>
          <w:rFonts w:eastAsia="Times New Roman"/>
          <w:b/>
          <w:bCs/>
          <w:rtl/>
          <w:lang w:eastAsia="de-DE"/>
        </w:rPr>
        <w:t>הוּא וְכָל־עַמּוֹ</w:t>
      </w:r>
      <w:r w:rsidRPr="00B33854">
        <w:rPr>
          <w:rFonts w:eastAsia="Times New Roman"/>
          <w:rtl/>
          <w:lang w:eastAsia="de-DE"/>
        </w:rPr>
        <w:t xml:space="preserve"> </w:t>
      </w:r>
      <w:r w:rsidRPr="00B33854">
        <w:rPr>
          <w:rFonts w:eastAsia="Times New Roman"/>
          <w:lang w:eastAsia="de-DE"/>
        </w:rPr>
        <w:t xml:space="preserve">ist eine emphatische Wiederaufnahme: </w:t>
      </w:r>
      <w:r w:rsidRPr="00B33854">
        <w:rPr>
          <w:rFonts w:eastAsia="Times New Roman"/>
          <w:b/>
          <w:bCs/>
          <w:rtl/>
          <w:lang w:eastAsia="de-DE"/>
        </w:rPr>
        <w:t>הוּא</w:t>
      </w:r>
      <w:r w:rsidRPr="00B33854">
        <w:rPr>
          <w:rFonts w:eastAsia="Times New Roman"/>
          <w:rtl/>
          <w:lang w:eastAsia="de-DE"/>
        </w:rPr>
        <w:t xml:space="preserve"> </w:t>
      </w:r>
      <w:r w:rsidRPr="00B33854">
        <w:rPr>
          <w:rFonts w:eastAsia="Times New Roman"/>
          <w:lang w:eastAsia="de-DE"/>
        </w:rPr>
        <w:t xml:space="preserve">(„er selbst") und </w:t>
      </w:r>
      <w:r w:rsidRPr="00B33854">
        <w:rPr>
          <w:rFonts w:eastAsia="Times New Roman"/>
          <w:b/>
          <w:bCs/>
          <w:rtl/>
          <w:lang w:eastAsia="de-DE"/>
        </w:rPr>
        <w:t>וְכָל־עַמּוֹ</w:t>
      </w:r>
      <w:r w:rsidRPr="00B33854">
        <w:rPr>
          <w:rFonts w:eastAsia="Times New Roman"/>
          <w:rtl/>
          <w:lang w:eastAsia="de-DE"/>
        </w:rPr>
        <w:t xml:space="preserve"> </w:t>
      </w:r>
      <w:r w:rsidRPr="00B33854">
        <w:rPr>
          <w:rFonts w:eastAsia="Times New Roman"/>
          <w:lang w:eastAsia="de-DE"/>
        </w:rPr>
        <w:t xml:space="preserve">(„und sein ganzes Volk"), wobei </w:t>
      </w:r>
      <w:r w:rsidRPr="00B33854">
        <w:rPr>
          <w:rFonts w:eastAsia="Times New Roman"/>
          <w:b/>
          <w:bCs/>
          <w:rtl/>
          <w:lang w:eastAsia="de-DE"/>
        </w:rPr>
        <w:t>כָּל</w:t>
      </w:r>
      <w:r w:rsidRPr="00B33854">
        <w:rPr>
          <w:rFonts w:eastAsia="Times New Roman"/>
          <w:rtl/>
          <w:lang w:eastAsia="de-DE"/>
        </w:rPr>
        <w:t xml:space="preserve"> </w:t>
      </w:r>
      <w:r w:rsidRPr="00B33854">
        <w:rPr>
          <w:rFonts w:eastAsia="Times New Roman"/>
          <w:lang w:eastAsia="de-DE"/>
        </w:rPr>
        <w:t xml:space="preserve">im Construct steht mit </w:t>
      </w:r>
      <w:r w:rsidRPr="00B33854">
        <w:rPr>
          <w:rFonts w:eastAsia="Times New Roman"/>
          <w:b/>
          <w:bCs/>
          <w:rtl/>
          <w:lang w:eastAsia="de-DE"/>
        </w:rPr>
        <w:t>עַם</w:t>
      </w:r>
      <w:r w:rsidRPr="00B33854">
        <w:rPr>
          <w:rFonts w:eastAsia="Times New Roman"/>
          <w:rtl/>
          <w:lang w:eastAsia="de-DE"/>
        </w:rPr>
        <w:t xml:space="preserve"> </w:t>
      </w:r>
      <w:r w:rsidRPr="00B33854">
        <w:rPr>
          <w:rFonts w:eastAsia="Times New Roman"/>
          <w:lang w:eastAsia="de-DE"/>
        </w:rPr>
        <w:t xml:space="preserve">und Suffix 3. Person Singular maskulin. </w:t>
      </w:r>
      <w:r w:rsidRPr="00B33854">
        <w:rPr>
          <w:rFonts w:eastAsia="Times New Roman"/>
          <w:b/>
          <w:bCs/>
          <w:rtl/>
          <w:lang w:eastAsia="de-DE"/>
        </w:rPr>
        <w:t>לַמִּלְחָמָה</w:t>
      </w:r>
      <w:r w:rsidRPr="00B33854">
        <w:rPr>
          <w:rFonts w:eastAsia="Times New Roman"/>
          <w:rtl/>
          <w:lang w:eastAsia="de-DE"/>
        </w:rPr>
        <w:t xml:space="preserve"> </w:t>
      </w:r>
      <w:r w:rsidRPr="00B33854">
        <w:rPr>
          <w:rFonts w:eastAsia="Times New Roman"/>
          <w:lang w:eastAsia="de-DE"/>
        </w:rPr>
        <w:t xml:space="preserve">ist Präposition </w:t>
      </w:r>
      <w:r w:rsidRPr="00B33854">
        <w:rPr>
          <w:rFonts w:eastAsia="Times New Roman"/>
          <w:b/>
          <w:bCs/>
          <w:rtl/>
          <w:lang w:eastAsia="de-DE"/>
        </w:rPr>
        <w:t>לְ</w:t>
      </w:r>
      <w:r w:rsidRPr="00B33854">
        <w:rPr>
          <w:rFonts w:eastAsia="Times New Roman"/>
          <w:rtl/>
          <w:lang w:eastAsia="de-DE"/>
        </w:rPr>
        <w:t xml:space="preserve"> </w:t>
      </w:r>
      <w:r w:rsidRPr="00B33854">
        <w:rPr>
          <w:rFonts w:eastAsia="Times New Roman"/>
          <w:lang w:eastAsia="de-DE"/>
        </w:rPr>
        <w:t xml:space="preserve">mit Artikel und </w:t>
      </w:r>
      <w:r w:rsidRPr="00B33854">
        <w:rPr>
          <w:rFonts w:eastAsia="Times New Roman"/>
          <w:b/>
          <w:bCs/>
          <w:rtl/>
          <w:lang w:eastAsia="de-DE"/>
        </w:rPr>
        <w:t>מִלְחָמָה</w:t>
      </w:r>
      <w:r w:rsidRPr="00B33854">
        <w:rPr>
          <w:rFonts w:eastAsia="Times New Roman"/>
          <w:rtl/>
          <w:lang w:eastAsia="de-DE"/>
        </w:rPr>
        <w:t xml:space="preserve"> </w:t>
      </w:r>
      <w:r w:rsidRPr="00B33854">
        <w:rPr>
          <w:rFonts w:eastAsia="Times New Roman"/>
          <w:lang w:eastAsia="de-DE"/>
        </w:rPr>
        <w:t xml:space="preserve">(„Kampf, Krieg"). </w:t>
      </w:r>
      <w:r w:rsidRPr="00B33854">
        <w:rPr>
          <w:rFonts w:eastAsia="Times New Roman"/>
          <w:b/>
          <w:bCs/>
          <w:rtl/>
          <w:lang w:eastAsia="de-DE"/>
        </w:rPr>
        <w:t>אֶדְרֶעִי</w:t>
      </w:r>
      <w:r w:rsidRPr="00B33854">
        <w:rPr>
          <w:rFonts w:eastAsia="Times New Roman"/>
          <w:rtl/>
          <w:lang w:eastAsia="de-DE"/>
        </w:rPr>
        <w:t xml:space="preserve"> </w:t>
      </w:r>
      <w:r w:rsidRPr="00B33854">
        <w:rPr>
          <w:rFonts w:eastAsia="Times New Roman"/>
          <w:lang w:eastAsia="de-DE"/>
        </w:rPr>
        <w:t>ist Ortsangabe ohne Präposition (direktionales He ist hier nicht sichtbar, aber aus dem Kontext impliziert), eine der Hauptstädte des Königreichs Og.</w:t>
      </w:r>
    </w:p>
    <w:p w14:paraId="3743DD36"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Die Satzstruktur besteht aus zwei Hauptsätzen: Der erste Hauptsatz enthält zwei koordinierte Verben („wir wandten uns" und „wir zogen hinauf") mit einer Wegangabe. Der zweite Hauptsatz beschreibt die Aktion Ogs mit ausführlicher Subjekterweiterung durch ein emphatisches Pronomen und eine vollständige Volksangabe sowie zwei adverbialen Bestimmungen (Zweck und Ort).</w:t>
      </w:r>
    </w:p>
    <w:p w14:paraId="418A3D27" w14:textId="5ECDBFF2"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 xml:space="preserve">Der Vers beschreibt die Konfrontation mit König Og von Baschan, der mit seinem gesamten Volk Israel bei Edre'i zum Kampf </w:t>
      </w:r>
      <w:r w:rsidR="00D91A0B" w:rsidRPr="00B33854">
        <w:rPr>
          <w:rFonts w:eastAsia="Times New Roman"/>
          <w:lang w:eastAsia="de-DE"/>
        </w:rPr>
        <w:t>entgegen zog</w:t>
      </w:r>
      <w:r w:rsidRPr="00B33854">
        <w:rPr>
          <w:rFonts w:eastAsia="Times New Roman"/>
          <w:lang w:eastAsia="de-DE"/>
        </w:rPr>
        <w:t>.</w:t>
      </w:r>
    </w:p>
    <w:p w14:paraId="6F58E784"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3,2</w:t>
      </w:r>
    </w:p>
    <w:p w14:paraId="40B6B7CD"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וַיֹּ֨אמֶר יְהוָ֤ה אֵלַי֙ אַל־תִּירָ֣א אֹתוֹ֔ כִּ֣י בְיָדְךָ֞ נָתַ֧תִּי אֹתוֹ֛ וְאֶת־כָּל־עַמֹּ֖ו וְאֶת־אַרְצֹ֑ו וְעָשִׂ֣יתָ לּוֹ֔ כַּאֲשֶׁ֣ר עָשִׂ֗יתָ לְסִיחֹן֙ מֶ֣לֶךְ הָֽאֱמֹרִ֔י אֲשֶׁ֥ר יוֹשֵׁ֖ב בְּחֶשְׁבּֽוֹן׃</w:t>
      </w:r>
    </w:p>
    <w:p w14:paraId="3CB60F43"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Und der Ewige sprach zu mir: Fürchte ihn nicht, denn in deine Hand habe ich ihn und sein ganzes Volk und sein Land gegeben; und du sollst ihm tun, wie du Sichon, dem König der Emori, getan hast, der in Cheschbon wohnte.</w:t>
      </w:r>
    </w:p>
    <w:p w14:paraId="2F744460"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1E824665">
          <v:rect id="_x0000_i1109" style="width:0;height:1.5pt" o:hralign="center" o:hrstd="t" o:hr="t" fillcolor="#a0a0a0" stroked="f"/>
        </w:pict>
      </w:r>
    </w:p>
    <w:p w14:paraId="1A6FD1D9"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וַיֹּאמֶר</w:t>
      </w:r>
      <w:r w:rsidRPr="00B33854">
        <w:rPr>
          <w:rFonts w:eastAsia="Times New Roman"/>
          <w:rtl/>
          <w:lang w:eastAsia="de-DE"/>
        </w:rPr>
        <w:t xml:space="preserve"> </w:t>
      </w:r>
      <w:r w:rsidRPr="00B33854">
        <w:rPr>
          <w:rFonts w:eastAsia="Times New Roman"/>
          <w:lang w:eastAsia="de-DE"/>
        </w:rPr>
        <w:t xml:space="preserve">ist Qal Imperfekt consecutivum, 3. Person Singular maskulin von </w:t>
      </w:r>
      <w:r w:rsidRPr="00B33854">
        <w:rPr>
          <w:rFonts w:eastAsia="Times New Roman"/>
          <w:b/>
          <w:bCs/>
          <w:rtl/>
          <w:lang w:eastAsia="de-DE"/>
        </w:rPr>
        <w:t>אמר</w:t>
      </w:r>
      <w:r w:rsidRPr="00B33854">
        <w:rPr>
          <w:rFonts w:eastAsia="Times New Roman"/>
          <w:rtl/>
          <w:lang w:eastAsia="de-DE"/>
        </w:rPr>
        <w:t xml:space="preserve"> </w:t>
      </w:r>
      <w:r w:rsidRPr="00B33854">
        <w:rPr>
          <w:rFonts w:eastAsia="Times New Roman"/>
          <w:lang w:eastAsia="de-DE"/>
        </w:rPr>
        <w:t xml:space="preserve">(„sagen") mit Waw. </w:t>
      </w:r>
      <w:r w:rsidRPr="00B33854">
        <w:rPr>
          <w:rFonts w:eastAsia="Times New Roman"/>
          <w:b/>
          <w:bCs/>
          <w:rtl/>
          <w:lang w:eastAsia="de-DE"/>
        </w:rPr>
        <w:t>יְהוָה</w:t>
      </w:r>
      <w:r w:rsidRPr="00B33854">
        <w:rPr>
          <w:rFonts w:eastAsia="Times New Roman"/>
          <w:rtl/>
          <w:lang w:eastAsia="de-DE"/>
        </w:rPr>
        <w:t xml:space="preserve"> </w:t>
      </w:r>
      <w:r w:rsidRPr="00B33854">
        <w:rPr>
          <w:rFonts w:eastAsia="Times New Roman"/>
          <w:lang w:eastAsia="de-DE"/>
        </w:rPr>
        <w:t xml:space="preserve">ist das Subjekt, das Tetragramm. </w:t>
      </w:r>
      <w:r w:rsidRPr="00B33854">
        <w:rPr>
          <w:rFonts w:eastAsia="Times New Roman"/>
          <w:b/>
          <w:bCs/>
          <w:rtl/>
          <w:lang w:eastAsia="de-DE"/>
        </w:rPr>
        <w:t>אֵלַי</w:t>
      </w:r>
      <w:r w:rsidRPr="00B33854">
        <w:rPr>
          <w:rFonts w:eastAsia="Times New Roman"/>
          <w:rtl/>
          <w:lang w:eastAsia="de-DE"/>
        </w:rPr>
        <w:t xml:space="preserve"> </w:t>
      </w:r>
      <w:r w:rsidRPr="00B33854">
        <w:rPr>
          <w:rFonts w:eastAsia="Times New Roman"/>
          <w:lang w:eastAsia="de-DE"/>
        </w:rPr>
        <w:t xml:space="preserve">ist Präposition </w:t>
      </w:r>
      <w:r w:rsidRPr="00B33854">
        <w:rPr>
          <w:rFonts w:eastAsia="Times New Roman"/>
          <w:b/>
          <w:bCs/>
          <w:rtl/>
          <w:lang w:eastAsia="de-DE"/>
        </w:rPr>
        <w:t>אֶל</w:t>
      </w:r>
      <w:r w:rsidRPr="00B33854">
        <w:rPr>
          <w:rFonts w:eastAsia="Times New Roman"/>
          <w:rtl/>
          <w:lang w:eastAsia="de-DE"/>
        </w:rPr>
        <w:t xml:space="preserve"> </w:t>
      </w:r>
      <w:r w:rsidRPr="00B33854">
        <w:rPr>
          <w:rFonts w:eastAsia="Times New Roman"/>
          <w:lang w:eastAsia="de-DE"/>
        </w:rPr>
        <w:t xml:space="preserve">mit Suffix 1. Person Singular („zu mir"). </w:t>
      </w:r>
      <w:r w:rsidRPr="00B33854">
        <w:rPr>
          <w:rFonts w:eastAsia="Times New Roman"/>
          <w:b/>
          <w:bCs/>
          <w:rtl/>
          <w:lang w:eastAsia="de-DE"/>
        </w:rPr>
        <w:t>אַל־תִּירָא</w:t>
      </w:r>
      <w:r w:rsidRPr="00B33854">
        <w:rPr>
          <w:rFonts w:eastAsia="Times New Roman"/>
          <w:rtl/>
          <w:lang w:eastAsia="de-DE"/>
        </w:rPr>
        <w:t xml:space="preserve"> </w:t>
      </w:r>
      <w:r w:rsidRPr="00B33854">
        <w:rPr>
          <w:rFonts w:eastAsia="Times New Roman"/>
          <w:lang w:eastAsia="de-DE"/>
        </w:rPr>
        <w:t xml:space="preserve">ist eine Negativpartikel </w:t>
      </w:r>
      <w:r w:rsidRPr="00B33854">
        <w:rPr>
          <w:rFonts w:eastAsia="Times New Roman"/>
          <w:b/>
          <w:bCs/>
          <w:rtl/>
          <w:lang w:eastAsia="de-DE"/>
        </w:rPr>
        <w:t>אַל</w:t>
      </w:r>
      <w:r w:rsidRPr="00B33854">
        <w:rPr>
          <w:rFonts w:eastAsia="Times New Roman"/>
          <w:rtl/>
          <w:lang w:eastAsia="de-DE"/>
        </w:rPr>
        <w:t xml:space="preserve"> </w:t>
      </w:r>
      <w:r w:rsidRPr="00B33854">
        <w:rPr>
          <w:rFonts w:eastAsia="Times New Roman"/>
          <w:lang w:eastAsia="de-DE"/>
        </w:rPr>
        <w:t xml:space="preserve">mit Qal Imperfekt (Jussiv), 2. Person Singular maskulin von </w:t>
      </w:r>
      <w:r w:rsidRPr="00B33854">
        <w:rPr>
          <w:rFonts w:eastAsia="Times New Roman"/>
          <w:b/>
          <w:bCs/>
          <w:rtl/>
          <w:lang w:eastAsia="de-DE"/>
        </w:rPr>
        <w:t>ירא</w:t>
      </w:r>
      <w:r w:rsidRPr="00B33854">
        <w:rPr>
          <w:rFonts w:eastAsia="Times New Roman"/>
          <w:rtl/>
          <w:lang w:eastAsia="de-DE"/>
        </w:rPr>
        <w:t xml:space="preserve"> </w:t>
      </w:r>
      <w:r w:rsidRPr="00B33854">
        <w:rPr>
          <w:rFonts w:eastAsia="Times New Roman"/>
          <w:lang w:eastAsia="de-DE"/>
        </w:rPr>
        <w:t xml:space="preserve">(„fürchten") – eine verneinende Aufforderung. </w:t>
      </w:r>
      <w:r w:rsidRPr="00B33854">
        <w:rPr>
          <w:rFonts w:eastAsia="Times New Roman"/>
          <w:b/>
          <w:bCs/>
          <w:rtl/>
          <w:lang w:eastAsia="de-DE"/>
        </w:rPr>
        <w:t>אֹתוֹ</w:t>
      </w:r>
      <w:r w:rsidRPr="00B33854">
        <w:rPr>
          <w:rFonts w:eastAsia="Times New Roman"/>
          <w:rtl/>
          <w:lang w:eastAsia="de-DE"/>
        </w:rPr>
        <w:t xml:space="preserve"> </w:t>
      </w:r>
      <w:r w:rsidRPr="00B33854">
        <w:rPr>
          <w:rFonts w:eastAsia="Times New Roman"/>
          <w:lang w:eastAsia="de-DE"/>
        </w:rPr>
        <w:t xml:space="preserve">ist die nota accusativi </w:t>
      </w:r>
      <w:r w:rsidRPr="00B33854">
        <w:rPr>
          <w:rFonts w:eastAsia="Times New Roman"/>
          <w:b/>
          <w:bCs/>
          <w:rtl/>
          <w:lang w:eastAsia="de-DE"/>
        </w:rPr>
        <w:t>אֵת</w:t>
      </w:r>
      <w:r w:rsidRPr="00B33854">
        <w:rPr>
          <w:rFonts w:eastAsia="Times New Roman"/>
          <w:rtl/>
          <w:lang w:eastAsia="de-DE"/>
        </w:rPr>
        <w:t xml:space="preserve"> </w:t>
      </w:r>
      <w:r w:rsidRPr="00B33854">
        <w:rPr>
          <w:rFonts w:eastAsia="Times New Roman"/>
          <w:lang w:eastAsia="de-DE"/>
        </w:rPr>
        <w:t>mit Suffix 3. Person Singular maskulin („ihn").</w:t>
      </w:r>
    </w:p>
    <w:p w14:paraId="4ED2236F"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lastRenderedPageBreak/>
        <w:t>כִּי</w:t>
      </w:r>
      <w:r w:rsidRPr="00B33854">
        <w:rPr>
          <w:rFonts w:eastAsia="Times New Roman"/>
          <w:rtl/>
          <w:lang w:eastAsia="de-DE"/>
        </w:rPr>
        <w:t xml:space="preserve"> </w:t>
      </w:r>
      <w:r w:rsidRPr="00B33854">
        <w:rPr>
          <w:rFonts w:eastAsia="Times New Roman"/>
          <w:lang w:eastAsia="de-DE"/>
        </w:rPr>
        <w:t xml:space="preserve">ist eine kausale Konjunktion („denn, weil"). </w:t>
      </w:r>
      <w:r w:rsidRPr="00B33854">
        <w:rPr>
          <w:rFonts w:eastAsia="Times New Roman"/>
          <w:b/>
          <w:bCs/>
          <w:rtl/>
          <w:lang w:eastAsia="de-DE"/>
        </w:rPr>
        <w:t>בְיָדְךָ</w:t>
      </w:r>
      <w:r w:rsidRPr="00B33854">
        <w:rPr>
          <w:rFonts w:eastAsia="Times New Roman"/>
          <w:rtl/>
          <w:lang w:eastAsia="de-DE"/>
        </w:rPr>
        <w:t xml:space="preserve"> </w:t>
      </w:r>
      <w:r w:rsidRPr="00B33854">
        <w:rPr>
          <w:rFonts w:eastAsia="Times New Roman"/>
          <w:lang w:eastAsia="de-DE"/>
        </w:rPr>
        <w:t xml:space="preserve">ist Präposition </w:t>
      </w:r>
      <w:r w:rsidRPr="00B33854">
        <w:rPr>
          <w:rFonts w:eastAsia="Times New Roman"/>
          <w:b/>
          <w:bCs/>
          <w:rtl/>
          <w:lang w:eastAsia="de-DE"/>
        </w:rPr>
        <w:t>בְּ</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יָד</w:t>
      </w:r>
      <w:r w:rsidRPr="00B33854">
        <w:rPr>
          <w:rFonts w:eastAsia="Times New Roman"/>
          <w:rtl/>
          <w:lang w:eastAsia="de-DE"/>
        </w:rPr>
        <w:t xml:space="preserve"> </w:t>
      </w:r>
      <w:r w:rsidRPr="00B33854">
        <w:rPr>
          <w:rFonts w:eastAsia="Times New Roman"/>
          <w:lang w:eastAsia="de-DE"/>
        </w:rPr>
        <w:t xml:space="preserve">(„Hand") im Construct und Suffix 2. Person Singular maskulin – eine idiomatische Wendung für „in deine Gewalt, unter deine Kontrolle". </w:t>
      </w:r>
      <w:r w:rsidRPr="00B33854">
        <w:rPr>
          <w:rFonts w:eastAsia="Times New Roman"/>
          <w:b/>
          <w:bCs/>
          <w:rtl/>
          <w:lang w:eastAsia="de-DE"/>
        </w:rPr>
        <w:t>נָתַתִּי</w:t>
      </w:r>
      <w:r w:rsidRPr="00B33854">
        <w:rPr>
          <w:rFonts w:eastAsia="Times New Roman"/>
          <w:rtl/>
          <w:lang w:eastAsia="de-DE"/>
        </w:rPr>
        <w:t xml:space="preserve"> </w:t>
      </w:r>
      <w:r w:rsidRPr="00B33854">
        <w:rPr>
          <w:rFonts w:eastAsia="Times New Roman"/>
          <w:lang w:eastAsia="de-DE"/>
        </w:rPr>
        <w:t xml:space="preserve">ist Qal Perfekt, 1. Person Singular von </w:t>
      </w:r>
      <w:r w:rsidRPr="00B33854">
        <w:rPr>
          <w:rFonts w:eastAsia="Times New Roman"/>
          <w:b/>
          <w:bCs/>
          <w:rtl/>
          <w:lang w:eastAsia="de-DE"/>
        </w:rPr>
        <w:t>נתן</w:t>
      </w:r>
      <w:r w:rsidRPr="00B33854">
        <w:rPr>
          <w:rFonts w:eastAsia="Times New Roman"/>
          <w:rtl/>
          <w:lang w:eastAsia="de-DE"/>
        </w:rPr>
        <w:t xml:space="preserve"> </w:t>
      </w:r>
      <w:r w:rsidRPr="00B33854">
        <w:rPr>
          <w:rFonts w:eastAsia="Times New Roman"/>
          <w:lang w:eastAsia="de-DE"/>
        </w:rPr>
        <w:t xml:space="preserve">(„geben"). </w:t>
      </w:r>
      <w:r w:rsidRPr="00B33854">
        <w:rPr>
          <w:rFonts w:eastAsia="Times New Roman"/>
          <w:b/>
          <w:bCs/>
          <w:rtl/>
          <w:lang w:eastAsia="de-DE"/>
        </w:rPr>
        <w:t>אֹתוֹ וְאֶת־כָּל־עַמּוֹ וְאֶת־אַרְצוֹ</w:t>
      </w:r>
      <w:r w:rsidRPr="00B33854">
        <w:rPr>
          <w:rFonts w:eastAsia="Times New Roman"/>
          <w:rtl/>
          <w:lang w:eastAsia="de-DE"/>
        </w:rPr>
        <w:t xml:space="preserve"> </w:t>
      </w:r>
      <w:r w:rsidRPr="00B33854">
        <w:rPr>
          <w:rFonts w:eastAsia="Times New Roman"/>
          <w:lang w:eastAsia="de-DE"/>
        </w:rPr>
        <w:t xml:space="preserve">ist eine dreigliedrige Aufzählung von Objekten: </w:t>
      </w:r>
      <w:r w:rsidRPr="00B33854">
        <w:rPr>
          <w:rFonts w:eastAsia="Times New Roman"/>
          <w:b/>
          <w:bCs/>
          <w:rtl/>
          <w:lang w:eastAsia="de-DE"/>
        </w:rPr>
        <w:t>אֹתוֹ</w:t>
      </w:r>
      <w:r w:rsidRPr="00B33854">
        <w:rPr>
          <w:rFonts w:eastAsia="Times New Roman"/>
          <w:rtl/>
          <w:lang w:eastAsia="de-DE"/>
        </w:rPr>
        <w:t xml:space="preserve"> </w:t>
      </w:r>
      <w:r w:rsidRPr="00B33854">
        <w:rPr>
          <w:rFonts w:eastAsia="Times New Roman"/>
          <w:lang w:eastAsia="de-DE"/>
        </w:rPr>
        <w:t xml:space="preserve">(„ihn"), </w:t>
      </w:r>
      <w:r w:rsidRPr="00B33854">
        <w:rPr>
          <w:rFonts w:eastAsia="Times New Roman"/>
          <w:b/>
          <w:bCs/>
          <w:rtl/>
          <w:lang w:eastAsia="de-DE"/>
        </w:rPr>
        <w:t>כָּל־עַמּוֹ</w:t>
      </w:r>
      <w:r w:rsidRPr="00B33854">
        <w:rPr>
          <w:rFonts w:eastAsia="Times New Roman"/>
          <w:rtl/>
          <w:lang w:eastAsia="de-DE"/>
        </w:rPr>
        <w:t xml:space="preserve"> </w:t>
      </w:r>
      <w:r w:rsidRPr="00B33854">
        <w:rPr>
          <w:rFonts w:eastAsia="Times New Roman"/>
          <w:lang w:eastAsia="de-DE"/>
        </w:rPr>
        <w:t xml:space="preserve">(„sein ganzes Volk") mit </w:t>
      </w:r>
      <w:r w:rsidRPr="00B33854">
        <w:rPr>
          <w:rFonts w:eastAsia="Times New Roman"/>
          <w:b/>
          <w:bCs/>
          <w:rtl/>
          <w:lang w:eastAsia="de-DE"/>
        </w:rPr>
        <w:t>כָּל</w:t>
      </w:r>
      <w:r w:rsidRPr="00B33854">
        <w:rPr>
          <w:rFonts w:eastAsia="Times New Roman"/>
          <w:rtl/>
          <w:lang w:eastAsia="de-DE"/>
        </w:rPr>
        <w:t xml:space="preserve"> </w:t>
      </w:r>
      <w:r w:rsidRPr="00B33854">
        <w:rPr>
          <w:rFonts w:eastAsia="Times New Roman"/>
          <w:lang w:eastAsia="de-DE"/>
        </w:rPr>
        <w:t xml:space="preserve">im Construct, und </w:t>
      </w:r>
      <w:r w:rsidRPr="00B33854">
        <w:rPr>
          <w:rFonts w:eastAsia="Times New Roman"/>
          <w:b/>
          <w:bCs/>
          <w:rtl/>
          <w:lang w:eastAsia="de-DE"/>
        </w:rPr>
        <w:t>אַרְצוֹ</w:t>
      </w:r>
      <w:r w:rsidRPr="00B33854">
        <w:rPr>
          <w:rFonts w:eastAsia="Times New Roman"/>
          <w:rtl/>
          <w:lang w:eastAsia="de-DE"/>
        </w:rPr>
        <w:t xml:space="preserve"> </w:t>
      </w:r>
      <w:r w:rsidRPr="00B33854">
        <w:rPr>
          <w:rFonts w:eastAsia="Times New Roman"/>
          <w:lang w:eastAsia="de-DE"/>
        </w:rPr>
        <w:t>(„sein Land") mit Suffix 3. Person Singular maskulin.</w:t>
      </w:r>
    </w:p>
    <w:p w14:paraId="6EA63C9A" w14:textId="72317C53"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וְעָשִׂיתָ</w:t>
      </w:r>
      <w:r w:rsidRPr="00B33854">
        <w:rPr>
          <w:rFonts w:eastAsia="Times New Roman"/>
          <w:rtl/>
          <w:lang w:eastAsia="de-DE"/>
        </w:rPr>
        <w:t xml:space="preserve"> </w:t>
      </w:r>
      <w:r w:rsidRPr="00B33854">
        <w:rPr>
          <w:rFonts w:eastAsia="Times New Roman"/>
          <w:lang w:eastAsia="de-DE"/>
        </w:rPr>
        <w:t xml:space="preserve">ist Qal Perfekt consecutivum, 2. Person Singular maskulin von </w:t>
      </w:r>
      <w:r w:rsidRPr="00B33854">
        <w:rPr>
          <w:rFonts w:eastAsia="Times New Roman"/>
          <w:b/>
          <w:bCs/>
          <w:rtl/>
          <w:lang w:eastAsia="de-DE"/>
        </w:rPr>
        <w:t>עשׂה</w:t>
      </w:r>
      <w:r w:rsidRPr="00B33854">
        <w:rPr>
          <w:rFonts w:eastAsia="Times New Roman"/>
          <w:rtl/>
          <w:lang w:eastAsia="de-DE"/>
        </w:rPr>
        <w:t xml:space="preserve"> </w:t>
      </w:r>
      <w:r w:rsidRPr="00B33854">
        <w:rPr>
          <w:rFonts w:eastAsia="Times New Roman"/>
          <w:lang w:eastAsia="de-DE"/>
        </w:rPr>
        <w:t xml:space="preserve">(„tun, machen") mit Waw – hier mit imperativischer Bedeutung („und du sollst tun"). </w:t>
      </w:r>
      <w:r w:rsidRPr="00B33854">
        <w:rPr>
          <w:rFonts w:eastAsia="Times New Roman"/>
          <w:b/>
          <w:bCs/>
          <w:rtl/>
          <w:lang w:eastAsia="de-DE"/>
        </w:rPr>
        <w:t>לוֹ</w:t>
      </w:r>
      <w:r w:rsidRPr="00B33854">
        <w:rPr>
          <w:rFonts w:eastAsia="Times New Roman"/>
          <w:rtl/>
          <w:lang w:eastAsia="de-DE"/>
        </w:rPr>
        <w:t xml:space="preserve"> </w:t>
      </w:r>
      <w:r w:rsidRPr="00B33854">
        <w:rPr>
          <w:rFonts w:eastAsia="Times New Roman"/>
          <w:lang w:eastAsia="de-DE"/>
        </w:rPr>
        <w:t xml:space="preserve">ist Präposition </w:t>
      </w:r>
      <w:r w:rsidRPr="00B33854">
        <w:rPr>
          <w:rFonts w:eastAsia="Times New Roman"/>
          <w:b/>
          <w:bCs/>
          <w:rtl/>
          <w:lang w:eastAsia="de-DE"/>
        </w:rPr>
        <w:t>לְ</w:t>
      </w:r>
      <w:r w:rsidRPr="00B33854">
        <w:rPr>
          <w:rFonts w:eastAsia="Times New Roman"/>
          <w:rtl/>
          <w:lang w:eastAsia="de-DE"/>
        </w:rPr>
        <w:t xml:space="preserve"> </w:t>
      </w:r>
      <w:r w:rsidRPr="00B33854">
        <w:rPr>
          <w:rFonts w:eastAsia="Times New Roman"/>
          <w:lang w:eastAsia="de-DE"/>
        </w:rPr>
        <w:t xml:space="preserve">mit Suffix 3. Person Singular maskulin („ihm, an ihm"). </w:t>
      </w:r>
      <w:r w:rsidRPr="00B33854">
        <w:rPr>
          <w:rFonts w:eastAsia="Times New Roman"/>
          <w:b/>
          <w:bCs/>
          <w:rtl/>
          <w:lang w:eastAsia="de-DE"/>
        </w:rPr>
        <w:t>כַּאֲשֶׁר</w:t>
      </w:r>
      <w:r w:rsidRPr="00B33854">
        <w:rPr>
          <w:rFonts w:eastAsia="Times New Roman"/>
          <w:rtl/>
          <w:lang w:eastAsia="de-DE"/>
        </w:rPr>
        <w:t xml:space="preserve"> </w:t>
      </w:r>
      <w:r w:rsidRPr="00B33854">
        <w:rPr>
          <w:rFonts w:eastAsia="Times New Roman"/>
          <w:lang w:eastAsia="de-DE"/>
        </w:rPr>
        <w:t xml:space="preserve">ist eine Vergleichspartikel („wie, sowie"). </w:t>
      </w:r>
      <w:r w:rsidRPr="00B33854">
        <w:rPr>
          <w:rFonts w:eastAsia="Times New Roman"/>
          <w:b/>
          <w:bCs/>
          <w:rtl/>
          <w:lang w:eastAsia="de-DE"/>
        </w:rPr>
        <w:t>עָשִׂיתָ</w:t>
      </w:r>
      <w:r w:rsidRPr="00B33854">
        <w:rPr>
          <w:rFonts w:eastAsia="Times New Roman"/>
          <w:rtl/>
          <w:lang w:eastAsia="de-DE"/>
        </w:rPr>
        <w:t xml:space="preserve"> </w:t>
      </w:r>
      <w:r w:rsidRPr="00B33854">
        <w:rPr>
          <w:rFonts w:eastAsia="Times New Roman"/>
          <w:lang w:eastAsia="de-DE"/>
        </w:rPr>
        <w:t xml:space="preserve">ist Qal Perfekt, </w:t>
      </w:r>
      <w:bookmarkStart w:id="0" w:name="_Hlk214990260"/>
      <w:r w:rsidRPr="00B33854">
        <w:rPr>
          <w:rFonts w:eastAsia="Times New Roman"/>
          <w:lang w:eastAsia="de-DE"/>
        </w:rPr>
        <w:t xml:space="preserve">2. Person Singular maskulin von </w:t>
      </w:r>
      <w:r w:rsidRPr="00B33854">
        <w:rPr>
          <w:rFonts w:eastAsia="Times New Roman"/>
          <w:b/>
          <w:bCs/>
          <w:rtl/>
          <w:lang w:eastAsia="de-DE"/>
        </w:rPr>
        <w:t>עשׂה</w:t>
      </w:r>
      <w:r w:rsidRPr="00B33854">
        <w:rPr>
          <w:rFonts w:eastAsia="Times New Roman"/>
          <w:lang w:eastAsia="de-DE"/>
        </w:rPr>
        <w:t xml:space="preserve">. </w:t>
      </w:r>
      <w:r w:rsidRPr="00B33854">
        <w:rPr>
          <w:rFonts w:eastAsia="Times New Roman"/>
          <w:b/>
          <w:bCs/>
          <w:rtl/>
          <w:lang w:eastAsia="de-DE"/>
        </w:rPr>
        <w:t xml:space="preserve">לְסִיחֹן מֶלֶךְ </w:t>
      </w:r>
      <w:r w:rsidR="0033521D">
        <w:t>„</w:t>
      </w:r>
      <w:r w:rsidR="0033521D" w:rsidRPr="0033521D">
        <w:rPr>
          <w:b/>
          <w:bCs/>
          <w:rtl/>
        </w:rPr>
        <w:t>לְסִיחֹן</w:t>
      </w:r>
      <w:r w:rsidR="0033521D">
        <w:rPr>
          <w:rtl/>
        </w:rPr>
        <w:t xml:space="preserve"> </w:t>
      </w:r>
      <w:r w:rsidR="0033521D" w:rsidRPr="0033521D">
        <w:rPr>
          <w:b/>
          <w:bCs/>
          <w:rtl/>
        </w:rPr>
        <w:t>מֶלֶךְ הָאֱמֹרִי</w:t>
      </w:r>
      <w:r w:rsidR="0033521D">
        <w:t xml:space="preserve"> ist </w:t>
      </w:r>
      <w:r w:rsidR="0033521D" w:rsidRPr="0033521D">
        <w:rPr>
          <w:b/>
          <w:bCs/>
          <w:rtl/>
        </w:rPr>
        <w:t>לְ</w:t>
      </w:r>
      <w:r w:rsidR="0033521D">
        <w:t xml:space="preserve"> mit dem Eigennamen </w:t>
      </w:r>
      <w:r w:rsidR="0033521D">
        <w:rPr>
          <w:rtl/>
        </w:rPr>
        <w:t>סִיחֹן</w:t>
      </w:r>
      <w:r w:rsidR="0033521D">
        <w:t xml:space="preserve"> und der </w:t>
      </w:r>
      <w:r w:rsidR="0033521D" w:rsidRPr="0033521D">
        <w:rPr>
          <w:rStyle w:val="Fett"/>
          <w:b w:val="0"/>
          <w:bCs w:val="0"/>
        </w:rPr>
        <w:t>Apposition</w:t>
      </w:r>
      <w:r w:rsidR="0033521D">
        <w:t xml:space="preserve"> </w:t>
      </w:r>
      <w:r w:rsidR="0033521D" w:rsidRPr="0033521D">
        <w:rPr>
          <w:b/>
          <w:bCs/>
          <w:rtl/>
        </w:rPr>
        <w:t>מֶלֶךְ הָאֱמֹרִי</w:t>
      </w:r>
      <w:r w:rsidR="0033521D">
        <w:t xml:space="preserve">, </w:t>
      </w:r>
      <w:r w:rsidR="0033521D" w:rsidRPr="0033521D">
        <w:rPr>
          <w:rStyle w:val="Fett"/>
          <w:b w:val="0"/>
          <w:bCs w:val="0"/>
        </w:rPr>
        <w:t>die selbst eine Constructus-Verbindung ist</w:t>
      </w:r>
      <w:r w:rsidR="0033521D">
        <w:t xml:space="preserve"> („König der Amoriter")."</w:t>
      </w:r>
      <w:r w:rsidRPr="00B33854">
        <w:rPr>
          <w:rFonts w:eastAsia="Times New Roman"/>
          <w:lang w:eastAsia="de-DE"/>
        </w:rPr>
        <w:t xml:space="preserve"> </w:t>
      </w:r>
      <w:bookmarkEnd w:id="0"/>
      <w:r w:rsidRPr="00B33854">
        <w:rPr>
          <w:rFonts w:eastAsia="Times New Roman"/>
          <w:b/>
          <w:bCs/>
          <w:rtl/>
          <w:lang w:eastAsia="de-DE"/>
        </w:rPr>
        <w:t>אֲשֶׁר יוֹשֵׁב בְּחֶשְׁבּוֹן</w:t>
      </w:r>
      <w:r w:rsidRPr="00B33854">
        <w:rPr>
          <w:rFonts w:eastAsia="Times New Roman"/>
          <w:rtl/>
          <w:lang w:eastAsia="de-DE"/>
        </w:rPr>
        <w:t xml:space="preserve"> </w:t>
      </w:r>
      <w:r w:rsidRPr="00B33854">
        <w:rPr>
          <w:rFonts w:eastAsia="Times New Roman"/>
          <w:lang w:eastAsia="de-DE"/>
        </w:rPr>
        <w:t xml:space="preserve">ist ein Relativsatz: </w:t>
      </w:r>
      <w:r w:rsidRPr="00B33854">
        <w:rPr>
          <w:rFonts w:eastAsia="Times New Roman"/>
          <w:b/>
          <w:bCs/>
          <w:rtl/>
          <w:lang w:eastAsia="de-DE"/>
        </w:rPr>
        <w:t>אֲשֶׁר</w:t>
      </w:r>
      <w:r w:rsidRPr="00B33854">
        <w:rPr>
          <w:rFonts w:eastAsia="Times New Roman"/>
          <w:rtl/>
          <w:lang w:eastAsia="de-DE"/>
        </w:rPr>
        <w:t xml:space="preserve"> </w:t>
      </w:r>
      <w:r w:rsidRPr="00B33854">
        <w:rPr>
          <w:rFonts w:eastAsia="Times New Roman"/>
          <w:lang w:eastAsia="de-DE"/>
        </w:rPr>
        <w:t xml:space="preserve">als Relativpronomen, </w:t>
      </w:r>
      <w:r w:rsidRPr="00B33854">
        <w:rPr>
          <w:rFonts w:eastAsia="Times New Roman"/>
          <w:b/>
          <w:bCs/>
          <w:rtl/>
          <w:lang w:eastAsia="de-DE"/>
        </w:rPr>
        <w:t>יוֹשֵׁב</w:t>
      </w:r>
      <w:r w:rsidRPr="00B33854">
        <w:rPr>
          <w:rFonts w:eastAsia="Times New Roman"/>
          <w:rtl/>
          <w:lang w:eastAsia="de-DE"/>
        </w:rPr>
        <w:t xml:space="preserve"> </w:t>
      </w:r>
      <w:r w:rsidRPr="00B33854">
        <w:rPr>
          <w:rFonts w:eastAsia="Times New Roman"/>
          <w:lang w:eastAsia="de-DE"/>
        </w:rPr>
        <w:t xml:space="preserve">als Qal Partizip Singular maskulin von </w:t>
      </w:r>
      <w:r w:rsidRPr="00B33854">
        <w:rPr>
          <w:rFonts w:eastAsia="Times New Roman"/>
          <w:b/>
          <w:bCs/>
          <w:rtl/>
          <w:lang w:eastAsia="de-DE"/>
        </w:rPr>
        <w:t>ישׁב</w:t>
      </w:r>
      <w:r w:rsidRPr="00B33854">
        <w:rPr>
          <w:rFonts w:eastAsia="Times New Roman"/>
          <w:rtl/>
          <w:lang w:eastAsia="de-DE"/>
        </w:rPr>
        <w:t xml:space="preserve"> </w:t>
      </w:r>
      <w:r w:rsidRPr="00B33854">
        <w:rPr>
          <w:rFonts w:eastAsia="Times New Roman"/>
          <w:lang w:eastAsia="de-DE"/>
        </w:rPr>
        <w:t xml:space="preserve">(„wohnen, sitzen"), </w:t>
      </w:r>
      <w:r w:rsidRPr="00B33854">
        <w:rPr>
          <w:rFonts w:eastAsia="Times New Roman"/>
          <w:b/>
          <w:bCs/>
          <w:rtl/>
          <w:lang w:eastAsia="de-DE"/>
        </w:rPr>
        <w:t>בְּחֶשְׁבּוֹן</w:t>
      </w:r>
      <w:r w:rsidRPr="00B33854">
        <w:rPr>
          <w:rFonts w:eastAsia="Times New Roman"/>
          <w:rtl/>
          <w:lang w:eastAsia="de-DE"/>
        </w:rPr>
        <w:t xml:space="preserve"> </w:t>
      </w:r>
      <w:r w:rsidRPr="00B33854">
        <w:rPr>
          <w:rFonts w:eastAsia="Times New Roman"/>
          <w:lang w:eastAsia="de-DE"/>
        </w:rPr>
        <w:t xml:space="preserve">als Ortsangabe mit Präposition </w:t>
      </w:r>
      <w:r w:rsidRPr="00B33854">
        <w:rPr>
          <w:rFonts w:eastAsia="Times New Roman"/>
          <w:b/>
          <w:bCs/>
          <w:rtl/>
          <w:lang w:eastAsia="de-DE"/>
        </w:rPr>
        <w:t>בְּ</w:t>
      </w:r>
      <w:r w:rsidRPr="00B33854">
        <w:rPr>
          <w:rFonts w:eastAsia="Times New Roman"/>
          <w:lang w:eastAsia="de-DE"/>
        </w:rPr>
        <w:t>.</w:t>
      </w:r>
    </w:p>
    <w:p w14:paraId="7A6FD3A2"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Die LXX</w:t>
      </w:r>
      <w:r w:rsidRPr="00B33854">
        <w:rPr>
          <w:rFonts w:eastAsia="Times New Roman"/>
          <w:lang w:eastAsia="de-DE"/>
        </w:rPr>
        <w:t xml:space="preserve"> übersetzt „ich habe gegeben" mit παρα</w:t>
      </w:r>
      <w:proofErr w:type="spellStart"/>
      <w:r w:rsidRPr="00B33854">
        <w:rPr>
          <w:rFonts w:eastAsia="Times New Roman"/>
          <w:lang w:eastAsia="de-DE"/>
        </w:rPr>
        <w:t>δέδωκ</w:t>
      </w:r>
      <w:proofErr w:type="spellEnd"/>
      <w:r w:rsidRPr="00B33854">
        <w:rPr>
          <w:rFonts w:eastAsia="Times New Roman"/>
          <w:lang w:eastAsia="de-DE"/>
        </w:rPr>
        <w:t>α („ich habe übergeben"), was die Vollendung der göttlichen Handlung betont.</w:t>
      </w:r>
    </w:p>
    <w:p w14:paraId="2F16D913"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Die Satzstruktur besteht aus einem Redeeinleitungssatz und drei Hauptsätzen in der direkten Rede: Der erste Hauptsatz ist eine verneinende Aufforderung. Der zweite Hauptsatz gibt die kausale Begründung mit dreigliedriger Objektaufzählung. Der dritte Hauptsatz enthält einen imperativischen Auftrag mit einem Vergleichssatz, der seinerseits durch einen Relativsatz erweitert wird.</w:t>
      </w:r>
    </w:p>
    <w:p w14:paraId="1A92850C" w14:textId="1C0604EC" w:rsidR="00B33854" w:rsidRPr="00B33854" w:rsidRDefault="00B77E5E" w:rsidP="00B33854">
      <w:pPr>
        <w:spacing w:before="100" w:beforeAutospacing="1" w:after="100" w:afterAutospacing="1" w:line="240" w:lineRule="auto"/>
        <w:rPr>
          <w:rFonts w:eastAsia="Times New Roman"/>
          <w:lang w:eastAsia="de-DE"/>
        </w:rPr>
      </w:pPr>
      <w:bookmarkStart w:id="1" w:name="_Hlk214898609"/>
      <w:r>
        <w:rPr>
          <w:rFonts w:eastAsia="Times New Roman"/>
          <w:lang w:eastAsia="de-DE"/>
        </w:rPr>
        <w:t>JHWH</w:t>
      </w:r>
      <w:r w:rsidR="00B33854" w:rsidRPr="00B33854">
        <w:rPr>
          <w:rFonts w:eastAsia="Times New Roman"/>
          <w:lang w:eastAsia="de-DE"/>
        </w:rPr>
        <w:t xml:space="preserve"> </w:t>
      </w:r>
      <w:bookmarkEnd w:id="1"/>
      <w:r w:rsidR="00B33854" w:rsidRPr="00B33854">
        <w:rPr>
          <w:rFonts w:eastAsia="Times New Roman"/>
          <w:lang w:eastAsia="de-DE"/>
        </w:rPr>
        <w:t>versichert Mose, dass er Og und sein Volk nicht fürchten soll, da der Sieg bereits zugesichert ist, analog zum Sieg über Sichon.</w:t>
      </w:r>
    </w:p>
    <w:p w14:paraId="0206DA5B"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3,3</w:t>
      </w:r>
    </w:p>
    <w:p w14:paraId="5BF382FD"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וַיִּתֵּן֩ יְהוָ֨ה אֱלֹהֵ֜ינוּ בְּיָדֵ֗נוּ גַּ֛ם אֶת־ע֥וֹג מֶֽלֶךְ־הַבָּשָׁ֖ן וְאֶת־כָּל־עַמֹּ֑ו וַנַּכֵּ֕הוּ עַד־בִּלְתִּ֥י הִשְׁאִֽיר־לוֹ֖ שָׂרִֽיד׃</w:t>
      </w:r>
    </w:p>
    <w:p w14:paraId="27F50B04"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Und der Ewige, unser Gott, gab auch Og, den König von Baschan, und sein ganzes Volk in unsere Hand; und wir schlugen ihn, bis ihm kein Überlebender übrigblieb.</w:t>
      </w:r>
    </w:p>
    <w:p w14:paraId="7EB46088"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06D365F7">
          <v:rect id="_x0000_i1110" style="width:0;height:1.5pt" o:hralign="center" o:hrstd="t" o:hr="t" fillcolor="#a0a0a0" stroked="f"/>
        </w:pict>
      </w:r>
    </w:p>
    <w:p w14:paraId="68E83791"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וַיִּתֵּן</w:t>
      </w:r>
      <w:r w:rsidRPr="00B33854">
        <w:rPr>
          <w:rFonts w:eastAsia="Times New Roman"/>
          <w:rtl/>
          <w:lang w:eastAsia="de-DE"/>
        </w:rPr>
        <w:t xml:space="preserve"> </w:t>
      </w:r>
      <w:r w:rsidRPr="00B33854">
        <w:rPr>
          <w:rFonts w:eastAsia="Times New Roman"/>
          <w:lang w:eastAsia="de-DE"/>
        </w:rPr>
        <w:t xml:space="preserve">ist Qal Imperfekt consecutivum, 3. Person Singular maskulin von </w:t>
      </w:r>
      <w:r w:rsidRPr="00B33854">
        <w:rPr>
          <w:rFonts w:eastAsia="Times New Roman"/>
          <w:b/>
          <w:bCs/>
          <w:rtl/>
          <w:lang w:eastAsia="de-DE"/>
        </w:rPr>
        <w:t>נתן</w:t>
      </w:r>
      <w:r w:rsidRPr="00B33854">
        <w:rPr>
          <w:rFonts w:eastAsia="Times New Roman"/>
          <w:rtl/>
          <w:lang w:eastAsia="de-DE"/>
        </w:rPr>
        <w:t xml:space="preserve"> </w:t>
      </w:r>
      <w:r w:rsidRPr="00B33854">
        <w:rPr>
          <w:rFonts w:eastAsia="Times New Roman"/>
          <w:lang w:eastAsia="de-DE"/>
        </w:rPr>
        <w:t xml:space="preserve">(„geben") mit Waw. </w:t>
      </w:r>
      <w:r w:rsidRPr="00B33854">
        <w:rPr>
          <w:rFonts w:eastAsia="Times New Roman"/>
          <w:b/>
          <w:bCs/>
          <w:rtl/>
          <w:lang w:eastAsia="de-DE"/>
        </w:rPr>
        <w:t>יְהוָה אֱלֹהֵינוּ</w:t>
      </w:r>
      <w:r w:rsidRPr="00B33854">
        <w:rPr>
          <w:rFonts w:eastAsia="Times New Roman"/>
          <w:rtl/>
          <w:lang w:eastAsia="de-DE"/>
        </w:rPr>
        <w:t xml:space="preserve"> </w:t>
      </w:r>
      <w:r w:rsidRPr="00B33854">
        <w:rPr>
          <w:rFonts w:eastAsia="Times New Roman"/>
          <w:lang w:eastAsia="de-DE"/>
        </w:rPr>
        <w:t xml:space="preserve">ist das erweiterte Subjekt: das Tetragramm </w:t>
      </w:r>
      <w:r w:rsidRPr="00B33854">
        <w:rPr>
          <w:rFonts w:eastAsia="Times New Roman"/>
          <w:b/>
          <w:bCs/>
          <w:rtl/>
          <w:lang w:eastAsia="de-DE"/>
        </w:rPr>
        <w:t>יְהוָה</w:t>
      </w:r>
      <w:r w:rsidRPr="00B33854">
        <w:rPr>
          <w:rFonts w:eastAsia="Times New Roman"/>
          <w:rtl/>
          <w:lang w:eastAsia="de-DE"/>
        </w:rPr>
        <w:t xml:space="preserve"> </w:t>
      </w:r>
      <w:r w:rsidRPr="00B33854">
        <w:rPr>
          <w:rFonts w:eastAsia="Times New Roman"/>
          <w:lang w:eastAsia="de-DE"/>
        </w:rPr>
        <w:t xml:space="preserve">und </w:t>
      </w:r>
      <w:r w:rsidRPr="00B33854">
        <w:rPr>
          <w:rFonts w:eastAsia="Times New Roman"/>
          <w:b/>
          <w:bCs/>
          <w:rtl/>
          <w:lang w:eastAsia="de-DE"/>
        </w:rPr>
        <w:t>אֱלֹהִים</w:t>
      </w:r>
      <w:r w:rsidRPr="00B33854">
        <w:rPr>
          <w:rFonts w:eastAsia="Times New Roman"/>
          <w:rtl/>
          <w:lang w:eastAsia="de-DE"/>
        </w:rPr>
        <w:t xml:space="preserve"> </w:t>
      </w:r>
      <w:r w:rsidRPr="00B33854">
        <w:rPr>
          <w:rFonts w:eastAsia="Times New Roman"/>
          <w:lang w:eastAsia="de-DE"/>
        </w:rPr>
        <w:t xml:space="preserve">mit Suffix 1. Person Plural („unser Gott") in appositionalem Verhältnis. </w:t>
      </w:r>
      <w:r w:rsidRPr="00B33854">
        <w:rPr>
          <w:rFonts w:eastAsia="Times New Roman"/>
          <w:b/>
          <w:bCs/>
          <w:rtl/>
          <w:lang w:eastAsia="de-DE"/>
        </w:rPr>
        <w:t>בְּיָדֵנוּ</w:t>
      </w:r>
      <w:r w:rsidRPr="00B33854">
        <w:rPr>
          <w:rFonts w:eastAsia="Times New Roman"/>
          <w:rtl/>
          <w:lang w:eastAsia="de-DE"/>
        </w:rPr>
        <w:t xml:space="preserve"> </w:t>
      </w:r>
      <w:r w:rsidRPr="00B33854">
        <w:rPr>
          <w:rFonts w:eastAsia="Times New Roman"/>
          <w:lang w:eastAsia="de-DE"/>
        </w:rPr>
        <w:t xml:space="preserve">ist Präposition </w:t>
      </w:r>
      <w:r w:rsidRPr="00B33854">
        <w:rPr>
          <w:rFonts w:eastAsia="Times New Roman"/>
          <w:b/>
          <w:bCs/>
          <w:rtl/>
          <w:lang w:eastAsia="de-DE"/>
        </w:rPr>
        <w:t>בְּ</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יָד</w:t>
      </w:r>
      <w:r w:rsidRPr="00B33854">
        <w:rPr>
          <w:rFonts w:eastAsia="Times New Roman"/>
          <w:rtl/>
          <w:lang w:eastAsia="de-DE"/>
        </w:rPr>
        <w:t xml:space="preserve"> </w:t>
      </w:r>
      <w:r w:rsidRPr="00B33854">
        <w:rPr>
          <w:rFonts w:eastAsia="Times New Roman"/>
          <w:lang w:eastAsia="de-DE"/>
        </w:rPr>
        <w:t xml:space="preserve">im Construct und Suffix 1. Person Plural („in unsere Hand"). </w:t>
      </w:r>
      <w:r w:rsidRPr="00B33854">
        <w:rPr>
          <w:rFonts w:eastAsia="Times New Roman"/>
          <w:b/>
          <w:bCs/>
          <w:rtl/>
          <w:lang w:eastAsia="de-DE"/>
        </w:rPr>
        <w:t>גַּם</w:t>
      </w:r>
      <w:r w:rsidRPr="00B33854">
        <w:rPr>
          <w:rFonts w:eastAsia="Times New Roman"/>
          <w:rtl/>
          <w:lang w:eastAsia="de-DE"/>
        </w:rPr>
        <w:t xml:space="preserve"> </w:t>
      </w:r>
      <w:r w:rsidRPr="00B33854">
        <w:rPr>
          <w:rFonts w:eastAsia="Times New Roman"/>
          <w:lang w:eastAsia="de-DE"/>
        </w:rPr>
        <w:t xml:space="preserve">ist eine emphatische Partikel („auch, sogar"). </w:t>
      </w:r>
      <w:r w:rsidRPr="00B33854">
        <w:rPr>
          <w:rFonts w:eastAsia="Times New Roman"/>
          <w:b/>
          <w:bCs/>
          <w:rtl/>
          <w:lang w:eastAsia="de-DE"/>
        </w:rPr>
        <w:t>אֶת־עוֹג מֶלֶךְ־הַבָּשָׁן וְאֶת־כָּל־עַמּוֹ</w:t>
      </w:r>
      <w:r w:rsidRPr="00B33854">
        <w:rPr>
          <w:rFonts w:eastAsia="Times New Roman"/>
          <w:rtl/>
          <w:lang w:eastAsia="de-DE"/>
        </w:rPr>
        <w:t xml:space="preserve"> </w:t>
      </w:r>
      <w:r w:rsidRPr="00B33854">
        <w:rPr>
          <w:rFonts w:eastAsia="Times New Roman"/>
          <w:lang w:eastAsia="de-DE"/>
        </w:rPr>
        <w:t xml:space="preserve">ist eine zweigliedrige Objektkette mit nota accusativi: </w:t>
      </w:r>
      <w:r w:rsidRPr="00B33854">
        <w:rPr>
          <w:rFonts w:eastAsia="Times New Roman"/>
          <w:b/>
          <w:bCs/>
          <w:rtl/>
          <w:lang w:eastAsia="de-DE"/>
        </w:rPr>
        <w:t>עוֹג מֶלֶךְ־הַבָּשָׁן</w:t>
      </w:r>
      <w:r w:rsidRPr="00B33854">
        <w:rPr>
          <w:rFonts w:eastAsia="Times New Roman"/>
          <w:rtl/>
          <w:lang w:eastAsia="de-DE"/>
        </w:rPr>
        <w:t xml:space="preserve"> </w:t>
      </w:r>
      <w:r w:rsidRPr="00B33854">
        <w:rPr>
          <w:rFonts w:eastAsia="Times New Roman"/>
          <w:lang w:eastAsia="de-DE"/>
        </w:rPr>
        <w:t xml:space="preserve">(Name mit appositionalem Titel im Construct) und </w:t>
      </w:r>
      <w:r w:rsidRPr="00B33854">
        <w:rPr>
          <w:rFonts w:eastAsia="Times New Roman"/>
          <w:b/>
          <w:bCs/>
          <w:rtl/>
          <w:lang w:eastAsia="de-DE"/>
        </w:rPr>
        <w:t>כָּל־עַמּוֹ</w:t>
      </w:r>
      <w:r w:rsidRPr="00B33854">
        <w:rPr>
          <w:rFonts w:eastAsia="Times New Roman"/>
          <w:rtl/>
          <w:lang w:eastAsia="de-DE"/>
        </w:rPr>
        <w:t xml:space="preserve"> </w:t>
      </w:r>
      <w:r w:rsidRPr="00B33854">
        <w:rPr>
          <w:rFonts w:eastAsia="Times New Roman"/>
          <w:lang w:eastAsia="de-DE"/>
        </w:rPr>
        <w:t xml:space="preserve">(„sein ganzes Volk") mit </w:t>
      </w:r>
      <w:r w:rsidRPr="00B33854">
        <w:rPr>
          <w:rFonts w:eastAsia="Times New Roman"/>
          <w:b/>
          <w:bCs/>
          <w:rtl/>
          <w:lang w:eastAsia="de-DE"/>
        </w:rPr>
        <w:t>כָּל</w:t>
      </w:r>
      <w:r w:rsidRPr="00B33854">
        <w:rPr>
          <w:rFonts w:eastAsia="Times New Roman"/>
          <w:rtl/>
          <w:lang w:eastAsia="de-DE"/>
        </w:rPr>
        <w:t xml:space="preserve"> </w:t>
      </w:r>
      <w:r w:rsidRPr="00B33854">
        <w:rPr>
          <w:rFonts w:eastAsia="Times New Roman"/>
          <w:lang w:eastAsia="de-DE"/>
        </w:rPr>
        <w:t>im Construct und Suffix 3. Person Singular maskulin.</w:t>
      </w:r>
    </w:p>
    <w:p w14:paraId="2FA8A0C0"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וַנַּכֵּהוּ</w:t>
      </w:r>
      <w:r w:rsidRPr="00B33854">
        <w:rPr>
          <w:rFonts w:eastAsia="Times New Roman"/>
          <w:rtl/>
          <w:lang w:eastAsia="de-DE"/>
        </w:rPr>
        <w:t xml:space="preserve"> </w:t>
      </w:r>
      <w:r w:rsidRPr="00B33854">
        <w:rPr>
          <w:rFonts w:eastAsia="Times New Roman"/>
          <w:lang w:eastAsia="de-DE"/>
        </w:rPr>
        <w:t xml:space="preserve">ist Hifil Imperfekt consecutivum, 1. Person Plural von </w:t>
      </w:r>
      <w:r w:rsidRPr="00B33854">
        <w:rPr>
          <w:rFonts w:eastAsia="Times New Roman"/>
          <w:b/>
          <w:bCs/>
          <w:rtl/>
          <w:lang w:eastAsia="de-DE"/>
        </w:rPr>
        <w:t>נכה</w:t>
      </w:r>
      <w:r w:rsidRPr="00B33854">
        <w:rPr>
          <w:rFonts w:eastAsia="Times New Roman"/>
          <w:rtl/>
          <w:lang w:eastAsia="de-DE"/>
        </w:rPr>
        <w:t xml:space="preserve"> </w:t>
      </w:r>
      <w:r w:rsidRPr="00B33854">
        <w:rPr>
          <w:rFonts w:eastAsia="Times New Roman"/>
          <w:lang w:eastAsia="de-DE"/>
        </w:rPr>
        <w:t xml:space="preserve">(„schlagen") mit Waw und Suffix 3. Person Singular maskulin. </w:t>
      </w:r>
      <w:r w:rsidRPr="00B33854">
        <w:rPr>
          <w:rFonts w:eastAsia="Times New Roman"/>
          <w:b/>
          <w:bCs/>
          <w:rtl/>
          <w:lang w:eastAsia="de-DE"/>
        </w:rPr>
        <w:t>עַד־בִּלְתִּי הִשְׁאִיר־לוֹ שָׂרִיד</w:t>
      </w:r>
      <w:r w:rsidRPr="00B33854">
        <w:rPr>
          <w:rFonts w:eastAsia="Times New Roman"/>
          <w:rtl/>
          <w:lang w:eastAsia="de-DE"/>
        </w:rPr>
        <w:t xml:space="preserve"> </w:t>
      </w:r>
      <w:r w:rsidRPr="00B33854">
        <w:rPr>
          <w:rFonts w:eastAsia="Times New Roman"/>
          <w:lang w:eastAsia="de-DE"/>
        </w:rPr>
        <w:t xml:space="preserve">ist eine finale bzw. konsekutive </w:t>
      </w:r>
      <w:r w:rsidRPr="00B33854">
        <w:rPr>
          <w:rFonts w:eastAsia="Times New Roman"/>
          <w:lang w:eastAsia="de-DE"/>
        </w:rPr>
        <w:lastRenderedPageBreak/>
        <w:t xml:space="preserve">Konstruktion: </w:t>
      </w:r>
      <w:r w:rsidRPr="00B33854">
        <w:rPr>
          <w:rFonts w:eastAsia="Times New Roman"/>
          <w:b/>
          <w:bCs/>
          <w:rtl/>
          <w:lang w:eastAsia="de-DE"/>
        </w:rPr>
        <w:t>עַד</w:t>
      </w:r>
      <w:r w:rsidRPr="00B33854">
        <w:rPr>
          <w:rFonts w:eastAsia="Times New Roman"/>
          <w:rtl/>
          <w:lang w:eastAsia="de-DE"/>
        </w:rPr>
        <w:t xml:space="preserve"> </w:t>
      </w:r>
      <w:r w:rsidRPr="00B33854">
        <w:rPr>
          <w:rFonts w:eastAsia="Times New Roman"/>
          <w:lang w:eastAsia="de-DE"/>
        </w:rPr>
        <w:t xml:space="preserve">(„bis") mit der Negativpartikel </w:t>
      </w:r>
      <w:r w:rsidRPr="00B33854">
        <w:rPr>
          <w:rFonts w:eastAsia="Times New Roman"/>
          <w:b/>
          <w:bCs/>
          <w:rtl/>
          <w:lang w:eastAsia="de-DE"/>
        </w:rPr>
        <w:t>בִּלְתִּי</w:t>
      </w:r>
      <w:r w:rsidRPr="00B33854">
        <w:rPr>
          <w:rFonts w:eastAsia="Times New Roman"/>
          <w:rtl/>
          <w:lang w:eastAsia="de-DE"/>
        </w:rPr>
        <w:t xml:space="preserve"> </w:t>
      </w:r>
      <w:r w:rsidRPr="00B33854">
        <w:rPr>
          <w:rFonts w:eastAsia="Times New Roman"/>
          <w:lang w:eastAsia="de-DE"/>
        </w:rPr>
        <w:t xml:space="preserve">(„nicht"), dem Hifil Infinitiv Construct von </w:t>
      </w:r>
      <w:r w:rsidRPr="00B33854">
        <w:rPr>
          <w:rFonts w:eastAsia="Times New Roman"/>
          <w:b/>
          <w:bCs/>
          <w:rtl/>
          <w:lang w:eastAsia="de-DE"/>
        </w:rPr>
        <w:t>שׁאר</w:t>
      </w:r>
      <w:r w:rsidRPr="00B33854">
        <w:rPr>
          <w:rFonts w:eastAsia="Times New Roman"/>
          <w:rtl/>
          <w:lang w:eastAsia="de-DE"/>
        </w:rPr>
        <w:t xml:space="preserve"> </w:t>
      </w:r>
      <w:r w:rsidRPr="00B33854">
        <w:rPr>
          <w:rFonts w:eastAsia="Times New Roman"/>
          <w:lang w:eastAsia="de-DE"/>
        </w:rPr>
        <w:t xml:space="preserve">(„übriglassen") mit Präposition </w:t>
      </w:r>
      <w:r w:rsidRPr="00B33854">
        <w:rPr>
          <w:rFonts w:eastAsia="Times New Roman"/>
          <w:b/>
          <w:bCs/>
          <w:rtl/>
          <w:lang w:eastAsia="de-DE"/>
        </w:rPr>
        <w:t>לְ</w:t>
      </w:r>
      <w:r w:rsidRPr="00B33854">
        <w:rPr>
          <w:rFonts w:eastAsia="Times New Roman"/>
          <w:rtl/>
          <w:lang w:eastAsia="de-DE"/>
        </w:rPr>
        <w:t xml:space="preserve"> </w:t>
      </w:r>
      <w:r w:rsidRPr="00B33854">
        <w:rPr>
          <w:rFonts w:eastAsia="Times New Roman"/>
          <w:lang w:eastAsia="de-DE"/>
        </w:rPr>
        <w:t xml:space="preserve">und Suffix 3. Person Singular maskulin, und dem Objekt </w:t>
      </w:r>
      <w:r w:rsidRPr="00B33854">
        <w:rPr>
          <w:rFonts w:eastAsia="Times New Roman"/>
          <w:b/>
          <w:bCs/>
          <w:rtl/>
          <w:lang w:eastAsia="de-DE"/>
        </w:rPr>
        <w:t>שָׂרִיד</w:t>
      </w:r>
      <w:r w:rsidRPr="00B33854">
        <w:rPr>
          <w:rFonts w:eastAsia="Times New Roman"/>
          <w:rtl/>
          <w:lang w:eastAsia="de-DE"/>
        </w:rPr>
        <w:t xml:space="preserve"> </w:t>
      </w:r>
      <w:r w:rsidRPr="00B33854">
        <w:rPr>
          <w:rFonts w:eastAsia="Times New Roman"/>
          <w:lang w:eastAsia="de-DE"/>
        </w:rPr>
        <w:t xml:space="preserve">(„Überlebender, Überrest"). Die Verbindung </w:t>
      </w:r>
      <w:r w:rsidRPr="00B33854">
        <w:rPr>
          <w:rFonts w:eastAsia="Times New Roman"/>
          <w:b/>
          <w:bCs/>
          <w:rtl/>
          <w:lang w:eastAsia="de-DE"/>
        </w:rPr>
        <w:t>בִּלְתִּי הִשְׁאִיר</w:t>
      </w:r>
      <w:r w:rsidRPr="00B33854">
        <w:rPr>
          <w:rFonts w:eastAsia="Times New Roman"/>
          <w:rtl/>
          <w:lang w:eastAsia="de-DE"/>
        </w:rPr>
        <w:t xml:space="preserve"> </w:t>
      </w:r>
      <w:r w:rsidRPr="00B33854">
        <w:rPr>
          <w:rFonts w:eastAsia="Times New Roman"/>
          <w:lang w:eastAsia="de-DE"/>
        </w:rPr>
        <w:t>drückt eine vollständige Vernichtung aus.</w:t>
      </w:r>
    </w:p>
    <w:p w14:paraId="732BAEE1"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Die LXX</w:t>
      </w:r>
      <w:r w:rsidRPr="00B33854">
        <w:rPr>
          <w:rFonts w:eastAsia="Times New Roman"/>
          <w:lang w:eastAsia="de-DE"/>
        </w:rPr>
        <w:t xml:space="preserve"> übersetzt „Überlebender" mit κα</w:t>
      </w:r>
      <w:proofErr w:type="spellStart"/>
      <w:r w:rsidRPr="00B33854">
        <w:rPr>
          <w:rFonts w:eastAsia="Times New Roman"/>
          <w:lang w:eastAsia="de-DE"/>
        </w:rPr>
        <w:t>τάλειμμ</w:t>
      </w:r>
      <w:proofErr w:type="spellEnd"/>
      <w:r w:rsidRPr="00B33854">
        <w:rPr>
          <w:rFonts w:eastAsia="Times New Roman"/>
          <w:lang w:eastAsia="de-DE"/>
        </w:rPr>
        <w:t>α („Überrest"), was synonym ist.</w:t>
      </w:r>
    </w:p>
    <w:p w14:paraId="6DE0D25D"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Die Satzstruktur besteht aus zwei koordinierten Hauptsätzen: Der erste Hauptsatz enthält ein erweitertes Subjekt, eine emphatische Partikel und eine zweigliedrige Objektkette. Der zweite Hauptsatz wird durch eine finale Infinitivkonstruktion mit Negation als adverbiale Bestimmung erweitert.</w:t>
      </w:r>
    </w:p>
    <w:p w14:paraId="64F337E3"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Der Vers berichtet von der vollständigen Vernichtung Ogs und seines Heeres durch Israel mit göttlicher Hilfe.</w:t>
      </w:r>
    </w:p>
    <w:p w14:paraId="61B3F447"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3,4</w:t>
      </w:r>
    </w:p>
    <w:p w14:paraId="4FAF2873"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וַנִּלְכֹּ֤ד אֶת־כָּל־עָרָיו֙ בָּעֵ֣ת הַהִ֔וא לֹ֤א הָֽיְתָה֙ קִרְיָ֔ה אֲשֶׁ֥ר לֹא־לָקַ֖חְנוּ מֵֽאִתָּ֑ם שִׁשִּׁ֥ים עִיר֙ כָּל־חֶ֣בֶל אַרְגֹּ֔ב מַמְלֶ֥כֶת ע֖וֹג בַּבָּשָֽׁן׃</w:t>
      </w:r>
    </w:p>
    <w:p w14:paraId="0DAFA9C2"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Und wir nahmen alle seine Städte zu jener Zeit ein; es war keine Stadt, die wir ihnen nicht nahmen: 60 Städte, den ganzen Landstrich Argov, das Königreich Ogs in Baschan.</w:t>
      </w:r>
    </w:p>
    <w:p w14:paraId="2710331F"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76FB5CF7">
          <v:rect id="_x0000_i1111" style="width:0;height:1.5pt" o:hralign="center" o:hrstd="t" o:hr="t" fillcolor="#a0a0a0" stroked="f"/>
        </w:pict>
      </w:r>
    </w:p>
    <w:p w14:paraId="3385F638"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וַנִּלְכֹּד</w:t>
      </w:r>
      <w:r w:rsidRPr="00B33854">
        <w:rPr>
          <w:rFonts w:eastAsia="Times New Roman"/>
          <w:rtl/>
          <w:lang w:eastAsia="de-DE"/>
        </w:rPr>
        <w:t xml:space="preserve"> </w:t>
      </w:r>
      <w:r w:rsidRPr="00B33854">
        <w:rPr>
          <w:rFonts w:eastAsia="Times New Roman"/>
          <w:lang w:eastAsia="de-DE"/>
        </w:rPr>
        <w:t xml:space="preserve">ist Qal Imperfekt consecutivum, 1. Person Plural von </w:t>
      </w:r>
      <w:r w:rsidRPr="00B33854">
        <w:rPr>
          <w:rFonts w:eastAsia="Times New Roman"/>
          <w:b/>
          <w:bCs/>
          <w:rtl/>
          <w:lang w:eastAsia="de-DE"/>
        </w:rPr>
        <w:t>לכד</w:t>
      </w:r>
      <w:r w:rsidRPr="00B33854">
        <w:rPr>
          <w:rFonts w:eastAsia="Times New Roman"/>
          <w:rtl/>
          <w:lang w:eastAsia="de-DE"/>
        </w:rPr>
        <w:t xml:space="preserve"> </w:t>
      </w:r>
      <w:r w:rsidRPr="00B33854">
        <w:rPr>
          <w:rFonts w:eastAsia="Times New Roman"/>
          <w:lang w:eastAsia="de-DE"/>
        </w:rPr>
        <w:t xml:space="preserve">(„erobern, einnehmen") mit Waw. </w:t>
      </w:r>
      <w:r w:rsidRPr="00B33854">
        <w:rPr>
          <w:rFonts w:eastAsia="Times New Roman"/>
          <w:b/>
          <w:bCs/>
          <w:rtl/>
          <w:lang w:eastAsia="de-DE"/>
        </w:rPr>
        <w:t>אֶת־כָּל־עָרָיו</w:t>
      </w:r>
      <w:r w:rsidRPr="00B33854">
        <w:rPr>
          <w:rFonts w:eastAsia="Times New Roman"/>
          <w:rtl/>
          <w:lang w:eastAsia="de-DE"/>
        </w:rPr>
        <w:t xml:space="preserve"> </w:t>
      </w:r>
      <w:r w:rsidRPr="00B33854">
        <w:rPr>
          <w:rFonts w:eastAsia="Times New Roman"/>
          <w:lang w:eastAsia="de-DE"/>
        </w:rPr>
        <w:t xml:space="preserve">ist nota accusativi mit </w:t>
      </w:r>
      <w:r w:rsidRPr="00B33854">
        <w:rPr>
          <w:rFonts w:eastAsia="Times New Roman"/>
          <w:b/>
          <w:bCs/>
          <w:rtl/>
          <w:lang w:eastAsia="de-DE"/>
        </w:rPr>
        <w:t>כָּל</w:t>
      </w:r>
      <w:r w:rsidRPr="00B33854">
        <w:rPr>
          <w:rFonts w:eastAsia="Times New Roman"/>
          <w:rtl/>
          <w:lang w:eastAsia="de-DE"/>
        </w:rPr>
        <w:t xml:space="preserve"> </w:t>
      </w:r>
      <w:r w:rsidRPr="00B33854">
        <w:rPr>
          <w:rFonts w:eastAsia="Times New Roman"/>
          <w:lang w:eastAsia="de-DE"/>
        </w:rPr>
        <w:t xml:space="preserve">im Construct, </w:t>
      </w:r>
      <w:r w:rsidRPr="00B33854">
        <w:rPr>
          <w:rFonts w:eastAsia="Times New Roman"/>
          <w:b/>
          <w:bCs/>
          <w:rtl/>
          <w:lang w:eastAsia="de-DE"/>
        </w:rPr>
        <w:t>עִיר</w:t>
      </w:r>
      <w:r w:rsidRPr="00B33854">
        <w:rPr>
          <w:rFonts w:eastAsia="Times New Roman"/>
          <w:rtl/>
          <w:lang w:eastAsia="de-DE"/>
        </w:rPr>
        <w:t xml:space="preserve"> </w:t>
      </w:r>
      <w:r w:rsidRPr="00B33854">
        <w:rPr>
          <w:rFonts w:eastAsia="Times New Roman"/>
          <w:lang w:eastAsia="de-DE"/>
        </w:rPr>
        <w:t xml:space="preserve">(„Stadt") Plural maskulin mit Suffix 3. Person Singular maskulin („alle seine Städte"). </w:t>
      </w:r>
      <w:r w:rsidRPr="00B33854">
        <w:rPr>
          <w:rFonts w:eastAsia="Times New Roman"/>
          <w:b/>
          <w:bCs/>
          <w:rtl/>
          <w:lang w:eastAsia="de-DE"/>
        </w:rPr>
        <w:t>בָּעֵת הַהִיא</w:t>
      </w:r>
      <w:r w:rsidRPr="00B33854">
        <w:rPr>
          <w:rFonts w:eastAsia="Times New Roman"/>
          <w:rtl/>
          <w:lang w:eastAsia="de-DE"/>
        </w:rPr>
        <w:t xml:space="preserve"> </w:t>
      </w:r>
      <w:r w:rsidRPr="00B33854">
        <w:rPr>
          <w:rFonts w:eastAsia="Times New Roman"/>
          <w:lang w:eastAsia="de-DE"/>
        </w:rPr>
        <w:t xml:space="preserve">ist eine Zeitangabe: </w:t>
      </w:r>
      <w:r w:rsidRPr="00B33854">
        <w:rPr>
          <w:rFonts w:eastAsia="Times New Roman"/>
          <w:b/>
          <w:bCs/>
          <w:rtl/>
          <w:lang w:eastAsia="de-DE"/>
        </w:rPr>
        <w:t>בְּ</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עֵת</w:t>
      </w:r>
      <w:r w:rsidRPr="00B33854">
        <w:rPr>
          <w:rFonts w:eastAsia="Times New Roman"/>
          <w:rtl/>
          <w:lang w:eastAsia="de-DE"/>
        </w:rPr>
        <w:t xml:space="preserve"> </w:t>
      </w:r>
      <w:r w:rsidRPr="00B33854">
        <w:rPr>
          <w:rFonts w:eastAsia="Times New Roman"/>
          <w:lang w:eastAsia="de-DE"/>
        </w:rPr>
        <w:t xml:space="preserve">(„Zeit") im Construct und dem femininen Demonstrativpronomen </w:t>
      </w:r>
      <w:r w:rsidRPr="00B33854">
        <w:rPr>
          <w:rFonts w:eastAsia="Times New Roman"/>
          <w:b/>
          <w:bCs/>
          <w:rtl/>
          <w:lang w:eastAsia="de-DE"/>
        </w:rPr>
        <w:t>הַהִיא</w:t>
      </w:r>
      <w:r w:rsidRPr="00B33854">
        <w:rPr>
          <w:rFonts w:eastAsia="Times New Roman"/>
          <w:rtl/>
          <w:lang w:eastAsia="de-DE"/>
        </w:rPr>
        <w:t xml:space="preserve"> </w:t>
      </w:r>
      <w:r w:rsidRPr="00B33854">
        <w:rPr>
          <w:rFonts w:eastAsia="Times New Roman"/>
          <w:lang w:eastAsia="de-DE"/>
        </w:rPr>
        <w:t>(„jene") mit Artikel.</w:t>
      </w:r>
    </w:p>
    <w:p w14:paraId="35438089"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לֹא הָיְתָה קִרְיָה</w:t>
      </w:r>
      <w:r w:rsidRPr="00B33854">
        <w:rPr>
          <w:rFonts w:eastAsia="Times New Roman"/>
          <w:rtl/>
          <w:lang w:eastAsia="de-DE"/>
        </w:rPr>
        <w:t xml:space="preserve"> </w:t>
      </w:r>
      <w:r w:rsidRPr="00B33854">
        <w:rPr>
          <w:rFonts w:eastAsia="Times New Roman"/>
          <w:lang w:eastAsia="de-DE"/>
        </w:rPr>
        <w:t xml:space="preserve">ist ein Nominalsatz mit Negation: </w:t>
      </w:r>
      <w:r w:rsidRPr="00B33854">
        <w:rPr>
          <w:rFonts w:eastAsia="Times New Roman"/>
          <w:b/>
          <w:bCs/>
          <w:rtl/>
          <w:lang w:eastAsia="de-DE"/>
        </w:rPr>
        <w:t>לֹא</w:t>
      </w:r>
      <w:r w:rsidRPr="00B33854">
        <w:rPr>
          <w:rFonts w:eastAsia="Times New Roman"/>
          <w:rtl/>
          <w:lang w:eastAsia="de-DE"/>
        </w:rPr>
        <w:t xml:space="preserve"> </w:t>
      </w:r>
      <w:r w:rsidRPr="00B33854">
        <w:rPr>
          <w:rFonts w:eastAsia="Times New Roman"/>
          <w:lang w:eastAsia="de-DE"/>
        </w:rPr>
        <w:t xml:space="preserve">als Negativpartikel, </w:t>
      </w:r>
      <w:r w:rsidRPr="00B33854">
        <w:rPr>
          <w:rFonts w:eastAsia="Times New Roman"/>
          <w:b/>
          <w:bCs/>
          <w:rtl/>
          <w:lang w:eastAsia="de-DE"/>
        </w:rPr>
        <w:t>הָיְתָה</w:t>
      </w:r>
      <w:r w:rsidRPr="00B33854">
        <w:rPr>
          <w:rFonts w:eastAsia="Times New Roman"/>
          <w:rtl/>
          <w:lang w:eastAsia="de-DE"/>
        </w:rPr>
        <w:t xml:space="preserve"> </w:t>
      </w:r>
      <w:r w:rsidRPr="00B33854">
        <w:rPr>
          <w:rFonts w:eastAsia="Times New Roman"/>
          <w:lang w:eastAsia="de-DE"/>
        </w:rPr>
        <w:t xml:space="preserve">als Qal Perfekt, 3. Person Singular feminin von </w:t>
      </w:r>
      <w:r w:rsidRPr="00B33854">
        <w:rPr>
          <w:rFonts w:eastAsia="Times New Roman"/>
          <w:b/>
          <w:bCs/>
          <w:rtl/>
          <w:lang w:eastAsia="de-DE"/>
        </w:rPr>
        <w:t>היה</w:t>
      </w:r>
      <w:r w:rsidRPr="00B33854">
        <w:rPr>
          <w:rFonts w:eastAsia="Times New Roman"/>
          <w:rtl/>
          <w:lang w:eastAsia="de-DE"/>
        </w:rPr>
        <w:t xml:space="preserve"> </w:t>
      </w:r>
      <w:r w:rsidRPr="00B33854">
        <w:rPr>
          <w:rFonts w:eastAsia="Times New Roman"/>
          <w:lang w:eastAsia="de-DE"/>
        </w:rPr>
        <w:t xml:space="preserve">(„sein"), </w:t>
      </w:r>
      <w:r w:rsidRPr="00B33854">
        <w:rPr>
          <w:rFonts w:eastAsia="Times New Roman"/>
          <w:b/>
          <w:bCs/>
          <w:rtl/>
          <w:lang w:eastAsia="de-DE"/>
        </w:rPr>
        <w:t>קִרְיָה</w:t>
      </w:r>
      <w:r w:rsidRPr="00B33854">
        <w:rPr>
          <w:rFonts w:eastAsia="Times New Roman"/>
          <w:rtl/>
          <w:lang w:eastAsia="de-DE"/>
        </w:rPr>
        <w:t xml:space="preserve"> </w:t>
      </w:r>
      <w:r w:rsidRPr="00B33854">
        <w:rPr>
          <w:rFonts w:eastAsia="Times New Roman"/>
          <w:lang w:eastAsia="de-DE"/>
        </w:rPr>
        <w:t xml:space="preserve">als Subjekt („Stadt", feminin Singular). </w:t>
      </w:r>
      <w:r w:rsidRPr="00B33854">
        <w:rPr>
          <w:rFonts w:eastAsia="Times New Roman"/>
          <w:b/>
          <w:bCs/>
          <w:rtl/>
          <w:lang w:eastAsia="de-DE"/>
        </w:rPr>
        <w:t>אֲשֶׁר לֹא־לָקַחְנוּ מֵאִתָּם</w:t>
      </w:r>
      <w:r w:rsidRPr="00B33854">
        <w:rPr>
          <w:rFonts w:eastAsia="Times New Roman"/>
          <w:rtl/>
          <w:lang w:eastAsia="de-DE"/>
        </w:rPr>
        <w:t xml:space="preserve"> </w:t>
      </w:r>
      <w:r w:rsidRPr="00B33854">
        <w:rPr>
          <w:rFonts w:eastAsia="Times New Roman"/>
          <w:lang w:eastAsia="de-DE"/>
        </w:rPr>
        <w:t xml:space="preserve">ist ein Relativsatz: </w:t>
      </w:r>
      <w:r w:rsidRPr="00B33854">
        <w:rPr>
          <w:rFonts w:eastAsia="Times New Roman"/>
          <w:b/>
          <w:bCs/>
          <w:rtl/>
          <w:lang w:eastAsia="de-DE"/>
        </w:rPr>
        <w:t>אֲשֶׁר</w:t>
      </w:r>
      <w:r w:rsidRPr="00B33854">
        <w:rPr>
          <w:rFonts w:eastAsia="Times New Roman"/>
          <w:rtl/>
          <w:lang w:eastAsia="de-DE"/>
        </w:rPr>
        <w:t xml:space="preserve"> </w:t>
      </w:r>
      <w:r w:rsidRPr="00B33854">
        <w:rPr>
          <w:rFonts w:eastAsia="Times New Roman"/>
          <w:lang w:eastAsia="de-DE"/>
        </w:rPr>
        <w:t xml:space="preserve">als Relativpronomen, </w:t>
      </w:r>
      <w:r w:rsidRPr="00B33854">
        <w:rPr>
          <w:rFonts w:eastAsia="Times New Roman"/>
          <w:b/>
          <w:bCs/>
          <w:rtl/>
          <w:lang w:eastAsia="de-DE"/>
        </w:rPr>
        <w:t>לֹא</w:t>
      </w:r>
      <w:r w:rsidRPr="00B33854">
        <w:rPr>
          <w:rFonts w:eastAsia="Times New Roman"/>
          <w:rtl/>
          <w:lang w:eastAsia="de-DE"/>
        </w:rPr>
        <w:t xml:space="preserve"> </w:t>
      </w:r>
      <w:r w:rsidRPr="00B33854">
        <w:rPr>
          <w:rFonts w:eastAsia="Times New Roman"/>
          <w:lang w:eastAsia="de-DE"/>
        </w:rPr>
        <w:t xml:space="preserve">als Negation, </w:t>
      </w:r>
      <w:r w:rsidRPr="00B33854">
        <w:rPr>
          <w:rFonts w:eastAsia="Times New Roman"/>
          <w:b/>
          <w:bCs/>
          <w:rtl/>
          <w:lang w:eastAsia="de-DE"/>
        </w:rPr>
        <w:t>לָקַחְנוּ</w:t>
      </w:r>
      <w:r w:rsidRPr="00B33854">
        <w:rPr>
          <w:rFonts w:eastAsia="Times New Roman"/>
          <w:rtl/>
          <w:lang w:eastAsia="de-DE"/>
        </w:rPr>
        <w:t xml:space="preserve"> </w:t>
      </w:r>
      <w:r w:rsidRPr="00B33854">
        <w:rPr>
          <w:rFonts w:eastAsia="Times New Roman"/>
          <w:lang w:eastAsia="de-DE"/>
        </w:rPr>
        <w:t xml:space="preserve">als Qal Perfekt, 1. Person Plural von </w:t>
      </w:r>
      <w:r w:rsidRPr="00B33854">
        <w:rPr>
          <w:rFonts w:eastAsia="Times New Roman"/>
          <w:b/>
          <w:bCs/>
          <w:rtl/>
          <w:lang w:eastAsia="de-DE"/>
        </w:rPr>
        <w:t>לקח</w:t>
      </w:r>
      <w:r w:rsidRPr="00B33854">
        <w:rPr>
          <w:rFonts w:eastAsia="Times New Roman"/>
          <w:rtl/>
          <w:lang w:eastAsia="de-DE"/>
        </w:rPr>
        <w:t xml:space="preserve"> </w:t>
      </w:r>
      <w:r w:rsidRPr="00B33854">
        <w:rPr>
          <w:rFonts w:eastAsia="Times New Roman"/>
          <w:lang w:eastAsia="de-DE"/>
        </w:rPr>
        <w:t xml:space="preserve">(„nehmen"), </w:t>
      </w:r>
      <w:r w:rsidRPr="00B33854">
        <w:rPr>
          <w:rFonts w:eastAsia="Times New Roman"/>
          <w:b/>
          <w:bCs/>
          <w:rtl/>
          <w:lang w:eastAsia="de-DE"/>
        </w:rPr>
        <w:t>מֵאִתָּם</w:t>
      </w:r>
      <w:r w:rsidRPr="00B33854">
        <w:rPr>
          <w:rFonts w:eastAsia="Times New Roman"/>
          <w:rtl/>
          <w:lang w:eastAsia="de-DE"/>
        </w:rPr>
        <w:t xml:space="preserve"> </w:t>
      </w:r>
      <w:r w:rsidRPr="00B33854">
        <w:rPr>
          <w:rFonts w:eastAsia="Times New Roman"/>
          <w:lang w:eastAsia="de-DE"/>
        </w:rPr>
        <w:t xml:space="preserve">als Präposition </w:t>
      </w:r>
      <w:r w:rsidRPr="00B33854">
        <w:rPr>
          <w:rFonts w:eastAsia="Times New Roman"/>
          <w:b/>
          <w:bCs/>
          <w:rtl/>
          <w:lang w:eastAsia="de-DE"/>
        </w:rPr>
        <w:t>מִן</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אֵת</w:t>
      </w:r>
      <w:r w:rsidRPr="00B33854">
        <w:rPr>
          <w:rFonts w:eastAsia="Times New Roman"/>
          <w:rtl/>
          <w:lang w:eastAsia="de-DE"/>
        </w:rPr>
        <w:t xml:space="preserve"> </w:t>
      </w:r>
      <w:r w:rsidRPr="00B33854">
        <w:rPr>
          <w:rFonts w:eastAsia="Times New Roman"/>
          <w:lang w:eastAsia="de-DE"/>
        </w:rPr>
        <w:t>und Suffix 3. Person Plural maskulin („von ihnen"). Die doppelte Negation „keine Stadt... die wir nicht nahmen" bedeutet „wir nahmen alle Städte".</w:t>
      </w:r>
    </w:p>
    <w:p w14:paraId="79A6D877"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שִׁשִּׁים עִיר</w:t>
      </w:r>
      <w:r w:rsidRPr="00B33854">
        <w:rPr>
          <w:rFonts w:eastAsia="Times New Roman"/>
          <w:rtl/>
          <w:lang w:eastAsia="de-DE"/>
        </w:rPr>
        <w:t xml:space="preserve"> </w:t>
      </w:r>
      <w:r w:rsidRPr="00B33854">
        <w:rPr>
          <w:rFonts w:eastAsia="Times New Roman"/>
          <w:lang w:eastAsia="de-DE"/>
        </w:rPr>
        <w:t xml:space="preserve">ist eine Zahlenangabe: </w:t>
      </w:r>
      <w:r w:rsidRPr="00B33854">
        <w:rPr>
          <w:rFonts w:eastAsia="Times New Roman"/>
          <w:b/>
          <w:bCs/>
          <w:rtl/>
          <w:lang w:eastAsia="de-DE"/>
        </w:rPr>
        <w:t>שִׁשִּׁים</w:t>
      </w:r>
      <w:r w:rsidRPr="00B33854">
        <w:rPr>
          <w:rFonts w:eastAsia="Times New Roman"/>
          <w:rtl/>
          <w:lang w:eastAsia="de-DE"/>
        </w:rPr>
        <w:t xml:space="preserve"> </w:t>
      </w:r>
      <w:r w:rsidRPr="00B33854">
        <w:rPr>
          <w:rFonts w:eastAsia="Times New Roman"/>
          <w:lang w:eastAsia="de-DE"/>
        </w:rPr>
        <w:t xml:space="preserve">(„sechzig") mit </w:t>
      </w:r>
      <w:r w:rsidRPr="00B33854">
        <w:rPr>
          <w:rFonts w:eastAsia="Times New Roman"/>
          <w:b/>
          <w:bCs/>
          <w:rtl/>
          <w:lang w:eastAsia="de-DE"/>
        </w:rPr>
        <w:t>עִיר</w:t>
      </w:r>
      <w:r w:rsidRPr="00B33854">
        <w:rPr>
          <w:rFonts w:eastAsia="Times New Roman"/>
          <w:rtl/>
          <w:lang w:eastAsia="de-DE"/>
        </w:rPr>
        <w:t xml:space="preserve"> </w:t>
      </w:r>
      <w:r w:rsidRPr="00B33854">
        <w:rPr>
          <w:rFonts w:eastAsia="Times New Roman"/>
          <w:lang w:eastAsia="de-DE"/>
        </w:rPr>
        <w:t xml:space="preserve">im Singular (kollektive Verwendung). </w:t>
      </w:r>
      <w:r w:rsidRPr="00B33854">
        <w:rPr>
          <w:rFonts w:eastAsia="Times New Roman"/>
          <w:b/>
          <w:bCs/>
          <w:rtl/>
          <w:lang w:eastAsia="de-DE"/>
        </w:rPr>
        <w:t>כָּל־חֶבֶל אַרְגֹּב</w:t>
      </w:r>
      <w:r w:rsidRPr="00B33854">
        <w:rPr>
          <w:rFonts w:eastAsia="Times New Roman"/>
          <w:rtl/>
          <w:lang w:eastAsia="de-DE"/>
        </w:rPr>
        <w:t xml:space="preserve"> </w:t>
      </w:r>
      <w:r w:rsidRPr="00B33854">
        <w:rPr>
          <w:rFonts w:eastAsia="Times New Roman"/>
          <w:lang w:eastAsia="de-DE"/>
        </w:rPr>
        <w:t xml:space="preserve">ist eine appositionelle Erweiterung: </w:t>
      </w:r>
      <w:r w:rsidRPr="00B33854">
        <w:rPr>
          <w:rFonts w:eastAsia="Times New Roman"/>
          <w:b/>
          <w:bCs/>
          <w:rtl/>
          <w:lang w:eastAsia="de-DE"/>
        </w:rPr>
        <w:t>כָּל</w:t>
      </w:r>
      <w:r w:rsidRPr="00B33854">
        <w:rPr>
          <w:rFonts w:eastAsia="Times New Roman"/>
          <w:rtl/>
          <w:lang w:eastAsia="de-DE"/>
        </w:rPr>
        <w:t xml:space="preserve"> </w:t>
      </w:r>
      <w:r w:rsidRPr="00B33854">
        <w:rPr>
          <w:rFonts w:eastAsia="Times New Roman"/>
          <w:lang w:eastAsia="de-DE"/>
        </w:rPr>
        <w:t xml:space="preserve">im Construct mit </w:t>
      </w:r>
      <w:r w:rsidRPr="00B33854">
        <w:rPr>
          <w:rFonts w:eastAsia="Times New Roman"/>
          <w:b/>
          <w:bCs/>
          <w:rtl/>
          <w:lang w:eastAsia="de-DE"/>
        </w:rPr>
        <w:t>חֶבֶל</w:t>
      </w:r>
      <w:r w:rsidRPr="00B33854">
        <w:rPr>
          <w:rFonts w:eastAsia="Times New Roman"/>
          <w:rtl/>
          <w:lang w:eastAsia="de-DE"/>
        </w:rPr>
        <w:t xml:space="preserve"> </w:t>
      </w:r>
      <w:r w:rsidRPr="00B33854">
        <w:rPr>
          <w:rFonts w:eastAsia="Times New Roman"/>
          <w:lang w:eastAsia="de-DE"/>
        </w:rPr>
        <w:t xml:space="preserve">(„Landstrich, Region") im Construct und </w:t>
      </w:r>
      <w:r w:rsidRPr="00B33854">
        <w:rPr>
          <w:rFonts w:eastAsia="Times New Roman"/>
          <w:b/>
          <w:bCs/>
          <w:rtl/>
          <w:lang w:eastAsia="de-DE"/>
        </w:rPr>
        <w:t>אַרְגֹּב</w:t>
      </w:r>
      <w:r w:rsidRPr="00B33854">
        <w:rPr>
          <w:rFonts w:eastAsia="Times New Roman"/>
          <w:rtl/>
          <w:lang w:eastAsia="de-DE"/>
        </w:rPr>
        <w:t xml:space="preserve"> </w:t>
      </w:r>
      <w:r w:rsidRPr="00B33854">
        <w:rPr>
          <w:rFonts w:eastAsia="Times New Roman"/>
          <w:lang w:eastAsia="de-DE"/>
        </w:rPr>
        <w:t xml:space="preserve">als Ortsname. </w:t>
      </w:r>
      <w:r w:rsidRPr="00B33854">
        <w:rPr>
          <w:rFonts w:eastAsia="Times New Roman"/>
          <w:b/>
          <w:bCs/>
          <w:rtl/>
          <w:lang w:eastAsia="de-DE"/>
        </w:rPr>
        <w:t>מַמְלֶכֶת עוֹג בַּבָּשָׁן</w:t>
      </w:r>
      <w:r w:rsidRPr="00B33854">
        <w:rPr>
          <w:rFonts w:eastAsia="Times New Roman"/>
          <w:rtl/>
          <w:lang w:eastAsia="de-DE"/>
        </w:rPr>
        <w:t xml:space="preserve"> </w:t>
      </w:r>
      <w:r w:rsidRPr="00B33854">
        <w:rPr>
          <w:rFonts w:eastAsia="Times New Roman"/>
          <w:lang w:eastAsia="de-DE"/>
        </w:rPr>
        <w:t xml:space="preserve">ist eine weitere Apposition: </w:t>
      </w:r>
      <w:r w:rsidRPr="00B33854">
        <w:rPr>
          <w:rFonts w:eastAsia="Times New Roman"/>
          <w:b/>
          <w:bCs/>
          <w:rtl/>
          <w:lang w:eastAsia="de-DE"/>
        </w:rPr>
        <w:t>מַמְלֶכֶת</w:t>
      </w:r>
      <w:r w:rsidRPr="00B33854">
        <w:rPr>
          <w:rFonts w:eastAsia="Times New Roman"/>
          <w:rtl/>
          <w:lang w:eastAsia="de-DE"/>
        </w:rPr>
        <w:t xml:space="preserve"> </w:t>
      </w:r>
      <w:r w:rsidRPr="00B33854">
        <w:rPr>
          <w:rFonts w:eastAsia="Times New Roman"/>
          <w:lang w:eastAsia="de-DE"/>
        </w:rPr>
        <w:t xml:space="preserve">(„Königreich") im Construct mit </w:t>
      </w:r>
      <w:r w:rsidRPr="00B33854">
        <w:rPr>
          <w:rFonts w:eastAsia="Times New Roman"/>
          <w:b/>
          <w:bCs/>
          <w:rtl/>
          <w:lang w:eastAsia="de-DE"/>
        </w:rPr>
        <w:t>עוֹג</w:t>
      </w:r>
      <w:r w:rsidRPr="00B33854">
        <w:rPr>
          <w:rFonts w:eastAsia="Times New Roman"/>
          <w:rtl/>
          <w:lang w:eastAsia="de-DE"/>
        </w:rPr>
        <w:t xml:space="preserve"> </w:t>
      </w:r>
      <w:r w:rsidRPr="00B33854">
        <w:rPr>
          <w:rFonts w:eastAsia="Times New Roman"/>
          <w:lang w:eastAsia="de-DE"/>
        </w:rPr>
        <w:t xml:space="preserve">und der Ortsangabe </w:t>
      </w:r>
      <w:r w:rsidRPr="00B33854">
        <w:rPr>
          <w:rFonts w:eastAsia="Times New Roman"/>
          <w:b/>
          <w:bCs/>
          <w:rtl/>
          <w:lang w:eastAsia="de-DE"/>
        </w:rPr>
        <w:t>בַּבָּשָׁן</w:t>
      </w:r>
      <w:r w:rsidRPr="00B33854">
        <w:rPr>
          <w:rFonts w:eastAsia="Times New Roman"/>
          <w:rtl/>
          <w:lang w:eastAsia="de-DE"/>
        </w:rPr>
        <w:t xml:space="preserve"> </w:t>
      </w:r>
      <w:r w:rsidRPr="00B33854">
        <w:rPr>
          <w:rFonts w:eastAsia="Times New Roman"/>
          <w:lang w:eastAsia="de-DE"/>
        </w:rPr>
        <w:t xml:space="preserve">mit Präposition </w:t>
      </w:r>
      <w:r w:rsidRPr="00B33854">
        <w:rPr>
          <w:rFonts w:eastAsia="Times New Roman"/>
          <w:b/>
          <w:bCs/>
          <w:rtl/>
          <w:lang w:eastAsia="de-DE"/>
        </w:rPr>
        <w:t>בְּ</w:t>
      </w:r>
      <w:r w:rsidRPr="00B33854">
        <w:rPr>
          <w:rFonts w:eastAsia="Times New Roman"/>
          <w:lang w:eastAsia="de-DE"/>
        </w:rPr>
        <w:t>.</w:t>
      </w:r>
    </w:p>
    <w:p w14:paraId="10CB3F20"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 xml:space="preserve">Die Satzstruktur besteht aus einem Hauptsatz mit Zeitangabe, einem verneinten Existenzsatz mit Relativsatz (der eine doppelte Negation enthält), und drei </w:t>
      </w:r>
      <w:proofErr w:type="spellStart"/>
      <w:r w:rsidRPr="00B33854">
        <w:rPr>
          <w:rFonts w:eastAsia="Times New Roman"/>
          <w:lang w:eastAsia="de-DE"/>
        </w:rPr>
        <w:t>appositonellen</w:t>
      </w:r>
      <w:proofErr w:type="spellEnd"/>
      <w:r w:rsidRPr="00B33854">
        <w:rPr>
          <w:rFonts w:eastAsia="Times New Roman"/>
          <w:lang w:eastAsia="de-DE"/>
        </w:rPr>
        <w:t xml:space="preserve"> Erweiterungen, </w:t>
      </w:r>
      <w:r w:rsidRPr="00B33854">
        <w:rPr>
          <w:rFonts w:eastAsia="Times New Roman"/>
          <w:lang w:eastAsia="de-DE"/>
        </w:rPr>
        <w:lastRenderedPageBreak/>
        <w:t>die das Ausmaß der Eroberung präzisieren: Zahlenangabe, geografische Bezeichnung und politische Zuordnung.</w:t>
      </w:r>
    </w:p>
    <w:p w14:paraId="604165B2"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Der Vers betont den vollständigen militärischen Erfolg durch die Eroberung aller 60 Städte der Region Argov im Königreich Og.</w:t>
      </w:r>
    </w:p>
    <w:p w14:paraId="47E74AE9"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3,5</w:t>
      </w:r>
    </w:p>
    <w:p w14:paraId="0F31A00B"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כָּל־אֵ֜לֶּה עָרִ֧ים בְּצֻר֛וֹת חוֹמָ֥ה גְבֹהָ֖ה דְּלָתַ֣יִם וּבְרִ֑יחַ לְבַ֛ד מֵעָרֵ֥י הַפְּרָזִ֖י הַרְבֵּ֥ה מְאֹֽד׃</w:t>
      </w:r>
    </w:p>
    <w:p w14:paraId="7DD57FD6"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Alle diese Städte waren befestigt mit hohen Mauern, Toren und Riegeln; außer den sehr vielen offenen Landstädten.</w:t>
      </w:r>
    </w:p>
    <w:p w14:paraId="02963DA4"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242A5E54">
          <v:rect id="_x0000_i1112" style="width:0;height:1.5pt" o:hralign="center" o:hrstd="t" o:hr="t" fillcolor="#a0a0a0" stroked="f"/>
        </w:pict>
      </w:r>
    </w:p>
    <w:p w14:paraId="58C76AA8"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כָּל־אֵלֶּה עָרִים</w:t>
      </w:r>
      <w:r w:rsidRPr="00B33854">
        <w:rPr>
          <w:rFonts w:eastAsia="Times New Roman"/>
          <w:rtl/>
          <w:lang w:eastAsia="de-DE"/>
        </w:rPr>
        <w:t xml:space="preserve"> </w:t>
      </w:r>
      <w:r w:rsidRPr="00B33854">
        <w:rPr>
          <w:rFonts w:eastAsia="Times New Roman"/>
          <w:lang w:eastAsia="de-DE"/>
        </w:rPr>
        <w:t xml:space="preserve">ist ein Nominalsatz: </w:t>
      </w:r>
      <w:r w:rsidRPr="00B33854">
        <w:rPr>
          <w:rFonts w:eastAsia="Times New Roman"/>
          <w:b/>
          <w:bCs/>
          <w:rtl/>
          <w:lang w:eastAsia="de-DE"/>
        </w:rPr>
        <w:t>כָּל</w:t>
      </w:r>
      <w:r w:rsidRPr="00B33854">
        <w:rPr>
          <w:rFonts w:eastAsia="Times New Roman"/>
          <w:rtl/>
          <w:lang w:eastAsia="de-DE"/>
        </w:rPr>
        <w:t xml:space="preserve"> </w:t>
      </w:r>
      <w:r w:rsidRPr="00B33854">
        <w:rPr>
          <w:rFonts w:eastAsia="Times New Roman"/>
          <w:lang w:eastAsia="de-DE"/>
        </w:rPr>
        <w:t xml:space="preserve">im Construct mit dem Demonstrativpronomen </w:t>
      </w:r>
      <w:r w:rsidRPr="00B33854">
        <w:rPr>
          <w:rFonts w:eastAsia="Times New Roman"/>
          <w:b/>
          <w:bCs/>
          <w:rtl/>
          <w:lang w:eastAsia="de-DE"/>
        </w:rPr>
        <w:t>אֵלֶּה</w:t>
      </w:r>
      <w:r w:rsidRPr="00B33854">
        <w:rPr>
          <w:rFonts w:eastAsia="Times New Roman"/>
          <w:rtl/>
          <w:lang w:eastAsia="de-DE"/>
        </w:rPr>
        <w:t xml:space="preserve"> </w:t>
      </w:r>
      <w:r w:rsidRPr="00B33854">
        <w:rPr>
          <w:rFonts w:eastAsia="Times New Roman"/>
          <w:lang w:eastAsia="de-DE"/>
        </w:rPr>
        <w:t xml:space="preserve">(„diese") und dem Prädikatsnomen </w:t>
      </w:r>
      <w:r w:rsidRPr="00B33854">
        <w:rPr>
          <w:rFonts w:eastAsia="Times New Roman"/>
          <w:b/>
          <w:bCs/>
          <w:rtl/>
          <w:lang w:eastAsia="de-DE"/>
        </w:rPr>
        <w:t>עָרִים</w:t>
      </w:r>
      <w:r w:rsidRPr="00B33854">
        <w:rPr>
          <w:rFonts w:eastAsia="Times New Roman"/>
          <w:rtl/>
          <w:lang w:eastAsia="de-DE"/>
        </w:rPr>
        <w:t xml:space="preserve"> </w:t>
      </w:r>
      <w:r w:rsidRPr="00B33854">
        <w:rPr>
          <w:rFonts w:eastAsia="Times New Roman"/>
          <w:lang w:eastAsia="de-DE"/>
        </w:rPr>
        <w:t xml:space="preserve">(„Städte", Plural maskulin). </w:t>
      </w:r>
      <w:r w:rsidRPr="00B33854">
        <w:rPr>
          <w:rFonts w:eastAsia="Times New Roman"/>
          <w:b/>
          <w:bCs/>
          <w:rtl/>
          <w:lang w:eastAsia="de-DE"/>
        </w:rPr>
        <w:t>בְּצֻרוֹת</w:t>
      </w:r>
      <w:r w:rsidRPr="00B33854">
        <w:rPr>
          <w:rFonts w:eastAsia="Times New Roman"/>
          <w:rtl/>
          <w:lang w:eastAsia="de-DE"/>
        </w:rPr>
        <w:t xml:space="preserve"> </w:t>
      </w:r>
      <w:r w:rsidRPr="00B33854">
        <w:rPr>
          <w:rFonts w:eastAsia="Times New Roman"/>
          <w:lang w:eastAsia="de-DE"/>
        </w:rPr>
        <w:t xml:space="preserve">ist Qal Passiv Partizip (oder Adjektiv), Plural feminin von </w:t>
      </w:r>
      <w:r w:rsidRPr="00B33854">
        <w:rPr>
          <w:rFonts w:eastAsia="Times New Roman"/>
          <w:b/>
          <w:bCs/>
          <w:rtl/>
          <w:lang w:eastAsia="de-DE"/>
        </w:rPr>
        <w:t>בצר</w:t>
      </w:r>
      <w:r w:rsidRPr="00B33854">
        <w:rPr>
          <w:rFonts w:eastAsia="Times New Roman"/>
          <w:rtl/>
          <w:lang w:eastAsia="de-DE"/>
        </w:rPr>
        <w:t xml:space="preserve"> </w:t>
      </w:r>
      <w:r w:rsidRPr="00B33854">
        <w:rPr>
          <w:rFonts w:eastAsia="Times New Roman"/>
          <w:lang w:eastAsia="de-DE"/>
        </w:rPr>
        <w:t xml:space="preserve">(„befestigt sein"), kongruent mit </w:t>
      </w:r>
      <w:r w:rsidRPr="00B33854">
        <w:rPr>
          <w:rFonts w:eastAsia="Times New Roman"/>
          <w:b/>
          <w:bCs/>
          <w:rtl/>
          <w:lang w:eastAsia="de-DE"/>
        </w:rPr>
        <w:t>עָרִים</w:t>
      </w:r>
      <w:r w:rsidRPr="00B33854">
        <w:rPr>
          <w:rFonts w:eastAsia="Times New Roman"/>
          <w:lang w:eastAsia="de-DE"/>
        </w:rPr>
        <w:t xml:space="preserve">. </w:t>
      </w:r>
      <w:r w:rsidRPr="00B33854">
        <w:rPr>
          <w:rFonts w:eastAsia="Times New Roman"/>
          <w:b/>
          <w:bCs/>
          <w:rtl/>
          <w:lang w:eastAsia="de-DE"/>
        </w:rPr>
        <w:t>חוֹמָה גְבֹהָה</w:t>
      </w:r>
      <w:r w:rsidRPr="00B33854">
        <w:rPr>
          <w:rFonts w:eastAsia="Times New Roman"/>
          <w:rtl/>
          <w:lang w:eastAsia="de-DE"/>
        </w:rPr>
        <w:t xml:space="preserve"> </w:t>
      </w:r>
      <w:r w:rsidRPr="00B33854">
        <w:rPr>
          <w:rFonts w:eastAsia="Times New Roman"/>
          <w:lang w:eastAsia="de-DE"/>
        </w:rPr>
        <w:t xml:space="preserve">besteht aus </w:t>
      </w:r>
      <w:r w:rsidRPr="00B33854">
        <w:rPr>
          <w:rFonts w:eastAsia="Times New Roman"/>
          <w:b/>
          <w:bCs/>
          <w:rtl/>
          <w:lang w:eastAsia="de-DE"/>
        </w:rPr>
        <w:t>חוֹמָה</w:t>
      </w:r>
      <w:r w:rsidRPr="00B33854">
        <w:rPr>
          <w:rFonts w:eastAsia="Times New Roman"/>
          <w:rtl/>
          <w:lang w:eastAsia="de-DE"/>
        </w:rPr>
        <w:t xml:space="preserve"> </w:t>
      </w:r>
      <w:r w:rsidRPr="00B33854">
        <w:rPr>
          <w:rFonts w:eastAsia="Times New Roman"/>
          <w:lang w:eastAsia="de-DE"/>
        </w:rPr>
        <w:t xml:space="preserve">(„Mauer", feminin Singular) und dem Adjektiv </w:t>
      </w:r>
      <w:r w:rsidRPr="00B33854">
        <w:rPr>
          <w:rFonts w:eastAsia="Times New Roman"/>
          <w:b/>
          <w:bCs/>
          <w:rtl/>
          <w:lang w:eastAsia="de-DE"/>
        </w:rPr>
        <w:t>גְבֹהָה</w:t>
      </w:r>
      <w:r w:rsidRPr="00B33854">
        <w:rPr>
          <w:rFonts w:eastAsia="Times New Roman"/>
          <w:rtl/>
          <w:lang w:eastAsia="de-DE"/>
        </w:rPr>
        <w:t xml:space="preserve"> </w:t>
      </w:r>
      <w:r w:rsidRPr="00B33854">
        <w:rPr>
          <w:rFonts w:eastAsia="Times New Roman"/>
          <w:lang w:eastAsia="de-DE"/>
        </w:rPr>
        <w:t xml:space="preserve">(„hoch", feminin Singular), das attributiv zu </w:t>
      </w:r>
      <w:r w:rsidRPr="00B33854">
        <w:rPr>
          <w:rFonts w:eastAsia="Times New Roman"/>
          <w:b/>
          <w:bCs/>
          <w:rtl/>
          <w:lang w:eastAsia="de-DE"/>
        </w:rPr>
        <w:t>חוֹמָה</w:t>
      </w:r>
      <w:r w:rsidRPr="00B33854">
        <w:rPr>
          <w:rFonts w:eastAsia="Times New Roman"/>
          <w:rtl/>
          <w:lang w:eastAsia="de-DE"/>
        </w:rPr>
        <w:t xml:space="preserve"> </w:t>
      </w:r>
      <w:r w:rsidRPr="00B33854">
        <w:rPr>
          <w:rFonts w:eastAsia="Times New Roman"/>
          <w:lang w:eastAsia="de-DE"/>
        </w:rPr>
        <w:t xml:space="preserve">steht. </w:t>
      </w:r>
      <w:r w:rsidRPr="00B33854">
        <w:rPr>
          <w:rFonts w:eastAsia="Times New Roman"/>
          <w:b/>
          <w:bCs/>
          <w:rtl/>
          <w:lang w:eastAsia="de-DE"/>
        </w:rPr>
        <w:t>דְּלָתַיִם וּבְרִיחַ</w:t>
      </w:r>
      <w:r w:rsidRPr="00B33854">
        <w:rPr>
          <w:rFonts w:eastAsia="Times New Roman"/>
          <w:rtl/>
          <w:lang w:eastAsia="de-DE"/>
        </w:rPr>
        <w:t xml:space="preserve"> </w:t>
      </w:r>
      <w:r w:rsidRPr="00B33854">
        <w:rPr>
          <w:rFonts w:eastAsia="Times New Roman"/>
          <w:lang w:eastAsia="de-DE"/>
        </w:rPr>
        <w:t xml:space="preserve">ist eine koordinierte Aufzählung: </w:t>
      </w:r>
      <w:r w:rsidRPr="00B33854">
        <w:rPr>
          <w:rFonts w:eastAsia="Times New Roman"/>
          <w:b/>
          <w:bCs/>
          <w:rtl/>
          <w:lang w:eastAsia="de-DE"/>
        </w:rPr>
        <w:t>דְּלָתַיִם</w:t>
      </w:r>
      <w:r w:rsidRPr="00B33854">
        <w:rPr>
          <w:rFonts w:eastAsia="Times New Roman"/>
          <w:rtl/>
          <w:lang w:eastAsia="de-DE"/>
        </w:rPr>
        <w:t xml:space="preserve"> </w:t>
      </w:r>
      <w:r w:rsidRPr="00B33854">
        <w:rPr>
          <w:rFonts w:eastAsia="Times New Roman"/>
          <w:lang w:eastAsia="de-DE"/>
        </w:rPr>
        <w:t xml:space="preserve">(„Tore", Dual von </w:t>
      </w:r>
      <w:r w:rsidRPr="00B33854">
        <w:rPr>
          <w:rFonts w:eastAsia="Times New Roman"/>
          <w:b/>
          <w:bCs/>
          <w:rtl/>
          <w:lang w:eastAsia="de-DE"/>
        </w:rPr>
        <w:t>דֶּלֶת</w:t>
      </w:r>
      <w:r w:rsidRPr="00B33854">
        <w:rPr>
          <w:rFonts w:eastAsia="Times New Roman"/>
          <w:lang w:eastAsia="de-DE"/>
        </w:rPr>
        <w:t xml:space="preserve">) und </w:t>
      </w:r>
      <w:r w:rsidRPr="00B33854">
        <w:rPr>
          <w:rFonts w:eastAsia="Times New Roman"/>
          <w:b/>
          <w:bCs/>
          <w:rtl/>
          <w:lang w:eastAsia="de-DE"/>
        </w:rPr>
        <w:t>בְרִיחַ</w:t>
      </w:r>
      <w:r w:rsidRPr="00B33854">
        <w:rPr>
          <w:rFonts w:eastAsia="Times New Roman"/>
          <w:rtl/>
          <w:lang w:eastAsia="de-DE"/>
        </w:rPr>
        <w:t xml:space="preserve"> </w:t>
      </w:r>
      <w:r w:rsidRPr="00B33854">
        <w:rPr>
          <w:rFonts w:eastAsia="Times New Roman"/>
          <w:lang w:eastAsia="de-DE"/>
        </w:rPr>
        <w:t>(„Riegel", maskulin Singular).</w:t>
      </w:r>
    </w:p>
    <w:p w14:paraId="7553A412"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לְבַד</w:t>
      </w:r>
      <w:r w:rsidRPr="00B33854">
        <w:rPr>
          <w:rFonts w:eastAsia="Times New Roman"/>
          <w:rtl/>
          <w:lang w:eastAsia="de-DE"/>
        </w:rPr>
        <w:t xml:space="preserve"> </w:t>
      </w:r>
      <w:r w:rsidRPr="00B33854">
        <w:rPr>
          <w:rFonts w:eastAsia="Times New Roman"/>
          <w:lang w:eastAsia="de-DE"/>
        </w:rPr>
        <w:t xml:space="preserve">ist eine Präposition („außer, abgesehen von"). </w:t>
      </w:r>
      <w:r w:rsidRPr="00B33854">
        <w:rPr>
          <w:rFonts w:eastAsia="Times New Roman"/>
          <w:b/>
          <w:bCs/>
          <w:rtl/>
          <w:lang w:eastAsia="de-DE"/>
        </w:rPr>
        <w:t>מֵעָרֵי הַפְּרָזִי</w:t>
      </w:r>
      <w:r w:rsidRPr="00B33854">
        <w:rPr>
          <w:rFonts w:eastAsia="Times New Roman"/>
          <w:rtl/>
          <w:lang w:eastAsia="de-DE"/>
        </w:rPr>
        <w:t xml:space="preserve"> </w:t>
      </w:r>
      <w:r w:rsidRPr="00B33854">
        <w:rPr>
          <w:rFonts w:eastAsia="Times New Roman"/>
          <w:lang w:eastAsia="de-DE"/>
        </w:rPr>
        <w:t xml:space="preserve">besteht aus </w:t>
      </w:r>
      <w:r w:rsidRPr="00B33854">
        <w:rPr>
          <w:rFonts w:eastAsia="Times New Roman"/>
          <w:b/>
          <w:bCs/>
          <w:rtl/>
          <w:lang w:eastAsia="de-DE"/>
        </w:rPr>
        <w:t>מִן</w:t>
      </w:r>
      <w:r w:rsidRPr="00B33854">
        <w:rPr>
          <w:rFonts w:eastAsia="Times New Roman"/>
          <w:rtl/>
          <w:lang w:eastAsia="de-DE"/>
        </w:rPr>
        <w:t xml:space="preserve"> </w:t>
      </w:r>
      <w:r w:rsidRPr="00B33854">
        <w:rPr>
          <w:rFonts w:eastAsia="Times New Roman"/>
          <w:lang w:eastAsia="de-DE"/>
        </w:rPr>
        <w:t xml:space="preserve">als Präposition, </w:t>
      </w:r>
      <w:r w:rsidRPr="00B33854">
        <w:rPr>
          <w:rFonts w:eastAsia="Times New Roman"/>
          <w:b/>
          <w:bCs/>
          <w:rtl/>
          <w:lang w:eastAsia="de-DE"/>
        </w:rPr>
        <w:t>עָרֵי</w:t>
      </w:r>
      <w:r w:rsidRPr="00B33854">
        <w:rPr>
          <w:rFonts w:eastAsia="Times New Roman"/>
          <w:rtl/>
          <w:lang w:eastAsia="de-DE"/>
        </w:rPr>
        <w:t xml:space="preserve"> </w:t>
      </w:r>
      <w:r w:rsidRPr="00B33854">
        <w:rPr>
          <w:rFonts w:eastAsia="Times New Roman"/>
          <w:lang w:eastAsia="de-DE"/>
        </w:rPr>
        <w:t xml:space="preserve">(Plural Construct von </w:t>
      </w:r>
      <w:r w:rsidRPr="00B33854">
        <w:rPr>
          <w:rFonts w:eastAsia="Times New Roman"/>
          <w:b/>
          <w:bCs/>
          <w:rtl/>
          <w:lang w:eastAsia="de-DE"/>
        </w:rPr>
        <w:t>עִיר</w:t>
      </w:r>
      <w:r w:rsidRPr="00B33854">
        <w:rPr>
          <w:rFonts w:eastAsia="Times New Roman"/>
          <w:lang w:eastAsia="de-DE"/>
        </w:rPr>
        <w:t xml:space="preserve">) und </w:t>
      </w:r>
      <w:r w:rsidRPr="00B33854">
        <w:rPr>
          <w:rFonts w:eastAsia="Times New Roman"/>
          <w:b/>
          <w:bCs/>
          <w:rtl/>
          <w:lang w:eastAsia="de-DE"/>
        </w:rPr>
        <w:t>הַפְּרָזִי</w:t>
      </w:r>
      <w:r w:rsidRPr="00B33854">
        <w:rPr>
          <w:rFonts w:eastAsia="Times New Roman"/>
          <w:rtl/>
          <w:lang w:eastAsia="de-DE"/>
        </w:rPr>
        <w:t xml:space="preserve"> </w:t>
      </w:r>
      <w:r w:rsidRPr="00B33854">
        <w:rPr>
          <w:rFonts w:eastAsia="Times New Roman"/>
          <w:lang w:eastAsia="de-DE"/>
        </w:rPr>
        <w:t xml:space="preserve">(„das offene Land", mit Artikel). </w:t>
      </w:r>
      <w:r w:rsidRPr="00B33854">
        <w:rPr>
          <w:rFonts w:eastAsia="Times New Roman"/>
          <w:b/>
          <w:bCs/>
          <w:rtl/>
          <w:lang w:eastAsia="de-DE"/>
        </w:rPr>
        <w:t>הַרְבֵּה מְאֹד</w:t>
      </w:r>
      <w:r w:rsidRPr="00B33854">
        <w:rPr>
          <w:rFonts w:eastAsia="Times New Roman"/>
          <w:rtl/>
          <w:lang w:eastAsia="de-DE"/>
        </w:rPr>
        <w:t xml:space="preserve"> </w:t>
      </w:r>
      <w:r w:rsidRPr="00B33854">
        <w:rPr>
          <w:rFonts w:eastAsia="Times New Roman"/>
          <w:lang w:eastAsia="de-DE"/>
        </w:rPr>
        <w:t xml:space="preserve">ist eine emphatische Verstärkung: </w:t>
      </w:r>
      <w:r w:rsidRPr="00B33854">
        <w:rPr>
          <w:rFonts w:eastAsia="Times New Roman"/>
          <w:b/>
          <w:bCs/>
          <w:rtl/>
          <w:lang w:eastAsia="de-DE"/>
        </w:rPr>
        <w:t>הַרְבֵּה</w:t>
      </w:r>
      <w:r w:rsidRPr="00B33854">
        <w:rPr>
          <w:rFonts w:eastAsia="Times New Roman"/>
          <w:rtl/>
          <w:lang w:eastAsia="de-DE"/>
        </w:rPr>
        <w:t xml:space="preserve"> </w:t>
      </w:r>
      <w:r w:rsidRPr="00B33854">
        <w:rPr>
          <w:rFonts w:eastAsia="Times New Roman"/>
          <w:lang w:eastAsia="de-DE"/>
        </w:rPr>
        <w:t xml:space="preserve">(Hifil Infinitiv absolut von </w:t>
      </w:r>
      <w:r w:rsidRPr="00B33854">
        <w:rPr>
          <w:rFonts w:eastAsia="Times New Roman"/>
          <w:b/>
          <w:bCs/>
          <w:rtl/>
          <w:lang w:eastAsia="de-DE"/>
        </w:rPr>
        <w:t>רבה</w:t>
      </w:r>
      <w:r w:rsidRPr="00B33854">
        <w:rPr>
          <w:rFonts w:eastAsia="Times New Roman"/>
          <w:lang w:eastAsia="de-DE"/>
        </w:rPr>
        <w:t xml:space="preserve">, „viel sein") und die Partikel </w:t>
      </w:r>
      <w:r w:rsidRPr="00B33854">
        <w:rPr>
          <w:rFonts w:eastAsia="Times New Roman"/>
          <w:b/>
          <w:bCs/>
          <w:rtl/>
          <w:lang w:eastAsia="de-DE"/>
        </w:rPr>
        <w:t>מְאֹד</w:t>
      </w:r>
      <w:r w:rsidRPr="00B33854">
        <w:rPr>
          <w:rFonts w:eastAsia="Times New Roman"/>
          <w:rtl/>
          <w:lang w:eastAsia="de-DE"/>
        </w:rPr>
        <w:t xml:space="preserve"> </w:t>
      </w:r>
      <w:r w:rsidRPr="00B33854">
        <w:rPr>
          <w:rFonts w:eastAsia="Times New Roman"/>
          <w:lang w:eastAsia="de-DE"/>
        </w:rPr>
        <w:t>(„sehr"), zusammen „sehr viele".</w:t>
      </w:r>
    </w:p>
    <w:p w14:paraId="24CA2CBE"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Die Satzstruktur besteht aus einem Nominalsatz mit mehreren attributiven und appositiven Erweiterungen sowie einer präpositionalen Ausnahmebestimmung. Der Hauptsatz beschreibt die befestigten Städte mit ihren Verteidigungsanlagen (Partizip, Substantive in Construct-Verbindung, koordinierte Aufzählung). Die Ausnahmebestimmung fügt eine kontrastierende Information über unbefestigte Städte hinzu.</w:t>
      </w:r>
    </w:p>
    <w:p w14:paraId="7B234591"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Der Vers beschreibt die militärische Stärke der eroberten Städte: alle waren stark befestigt, zusätzlich gab es zahlreiche unbefestigte Ortschaften.</w:t>
      </w:r>
    </w:p>
    <w:p w14:paraId="1330D5FF"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3,6</w:t>
      </w:r>
    </w:p>
    <w:p w14:paraId="538E571A"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וַנַּחֲרֵ֣ם אוֹתָ֔ם כַּאֲשֶׁ֣ר עָשִׂ֔ינוּ לְסִיחֹ֖ן מֶ֣לֶךְ חֶשְׁבּ֑וֹן הַחֲרֵם֙ כָּל־עִ֣יר מְתִ֔ם הַנָּשִׁ֖ים וְהַטָּֽף׃</w:t>
      </w:r>
    </w:p>
    <w:p w14:paraId="16B05485"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Und wir vollstreckten den Bann an ihnen, wie wir Sichon, dem König von Cheschbon, getan hatten; wir vollstreckten den Bann an allen Städten, Männern, Frauen und Kindern.</w:t>
      </w:r>
    </w:p>
    <w:p w14:paraId="05A71E27"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087173E4">
          <v:rect id="_x0000_i1113" style="width:0;height:1.5pt" o:hralign="center" o:hrstd="t" o:hr="t" fillcolor="#a0a0a0" stroked="f"/>
        </w:pict>
      </w:r>
    </w:p>
    <w:p w14:paraId="773C7B9B" w14:textId="29410872"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lastRenderedPageBreak/>
        <w:t>Kommentar:</w:t>
      </w:r>
      <w:r w:rsidRPr="00B33854">
        <w:rPr>
          <w:rFonts w:eastAsia="Times New Roman"/>
          <w:lang w:eastAsia="de-DE"/>
        </w:rPr>
        <w:t xml:space="preserve"> </w:t>
      </w:r>
      <w:r w:rsidRPr="00B33854">
        <w:rPr>
          <w:rFonts w:eastAsia="Times New Roman"/>
          <w:b/>
          <w:bCs/>
          <w:rtl/>
          <w:lang w:eastAsia="de-DE"/>
        </w:rPr>
        <w:t>וַנַּחֲרֵם</w:t>
      </w:r>
      <w:r w:rsidRPr="00B33854">
        <w:rPr>
          <w:rFonts w:eastAsia="Times New Roman"/>
          <w:rtl/>
          <w:lang w:eastAsia="de-DE"/>
        </w:rPr>
        <w:t xml:space="preserve"> </w:t>
      </w:r>
      <w:r w:rsidRPr="00B33854">
        <w:rPr>
          <w:rFonts w:eastAsia="Times New Roman"/>
          <w:lang w:eastAsia="de-DE"/>
        </w:rPr>
        <w:t xml:space="preserve">ist Hifil Imperfekt consecutivum, 1. Person Plural von </w:t>
      </w:r>
      <w:r w:rsidRPr="00B33854">
        <w:rPr>
          <w:rFonts w:eastAsia="Times New Roman"/>
          <w:b/>
          <w:bCs/>
          <w:rtl/>
          <w:lang w:eastAsia="de-DE"/>
        </w:rPr>
        <w:t>חרם</w:t>
      </w:r>
      <w:r w:rsidRPr="00B33854">
        <w:rPr>
          <w:rFonts w:eastAsia="Times New Roman"/>
          <w:rtl/>
          <w:lang w:eastAsia="de-DE"/>
        </w:rPr>
        <w:t xml:space="preserve"> </w:t>
      </w:r>
      <w:r w:rsidRPr="00B33854">
        <w:rPr>
          <w:rFonts w:eastAsia="Times New Roman"/>
          <w:lang w:eastAsia="de-DE"/>
        </w:rPr>
        <w:t xml:space="preserve">(„mit dem Bann belegen, vernichten") mit Waw. </w:t>
      </w:r>
      <w:r w:rsidRPr="00B33854">
        <w:rPr>
          <w:rFonts w:eastAsia="Times New Roman"/>
          <w:b/>
          <w:bCs/>
          <w:rtl/>
          <w:lang w:eastAsia="de-DE"/>
        </w:rPr>
        <w:t>אוֹתָם</w:t>
      </w:r>
      <w:r w:rsidRPr="00B33854">
        <w:rPr>
          <w:rFonts w:eastAsia="Times New Roman"/>
          <w:rtl/>
          <w:lang w:eastAsia="de-DE"/>
        </w:rPr>
        <w:t xml:space="preserve"> </w:t>
      </w:r>
      <w:r w:rsidRPr="00B33854">
        <w:rPr>
          <w:rFonts w:eastAsia="Times New Roman"/>
          <w:lang w:eastAsia="de-DE"/>
        </w:rPr>
        <w:t xml:space="preserve">ist nota accusativi </w:t>
      </w:r>
      <w:r w:rsidRPr="00B33854">
        <w:rPr>
          <w:rFonts w:eastAsia="Times New Roman"/>
          <w:b/>
          <w:bCs/>
          <w:rtl/>
          <w:lang w:eastAsia="de-DE"/>
        </w:rPr>
        <w:t>אֵת</w:t>
      </w:r>
      <w:r w:rsidRPr="00B33854">
        <w:rPr>
          <w:rFonts w:eastAsia="Times New Roman"/>
          <w:rtl/>
          <w:lang w:eastAsia="de-DE"/>
        </w:rPr>
        <w:t xml:space="preserve"> </w:t>
      </w:r>
      <w:r w:rsidRPr="00B33854">
        <w:rPr>
          <w:rFonts w:eastAsia="Times New Roman"/>
          <w:lang w:eastAsia="de-DE"/>
        </w:rPr>
        <w:t xml:space="preserve">mit Suffix 3. Person Plural maskulin („sie"). </w:t>
      </w:r>
      <w:r w:rsidRPr="00B33854">
        <w:rPr>
          <w:rFonts w:eastAsia="Times New Roman"/>
          <w:b/>
          <w:bCs/>
          <w:rtl/>
          <w:lang w:eastAsia="de-DE"/>
        </w:rPr>
        <w:t>כַּאֲשֶׁר</w:t>
      </w:r>
      <w:r w:rsidRPr="00B33854">
        <w:rPr>
          <w:rFonts w:eastAsia="Times New Roman"/>
          <w:rtl/>
          <w:lang w:eastAsia="de-DE"/>
        </w:rPr>
        <w:t xml:space="preserve"> </w:t>
      </w:r>
      <w:r w:rsidRPr="00B33854">
        <w:rPr>
          <w:rFonts w:eastAsia="Times New Roman"/>
          <w:lang w:eastAsia="de-DE"/>
        </w:rPr>
        <w:t xml:space="preserve">ist eine Vergleichspartikel („wie, </w:t>
      </w:r>
      <w:r w:rsidR="00D91A0B" w:rsidRPr="00B33854">
        <w:rPr>
          <w:rFonts w:eastAsia="Times New Roman"/>
          <w:lang w:eastAsia="de-DE"/>
        </w:rPr>
        <w:t>sowie</w:t>
      </w:r>
      <w:r w:rsidRPr="00B33854">
        <w:rPr>
          <w:rFonts w:eastAsia="Times New Roman"/>
          <w:lang w:eastAsia="de-DE"/>
        </w:rPr>
        <w:t xml:space="preserve">"). </w:t>
      </w:r>
      <w:r w:rsidRPr="00B33854">
        <w:rPr>
          <w:rFonts w:eastAsia="Times New Roman"/>
          <w:b/>
          <w:bCs/>
          <w:rtl/>
          <w:lang w:eastAsia="de-DE"/>
        </w:rPr>
        <w:t>עָשִׂינוּ</w:t>
      </w:r>
      <w:r w:rsidRPr="00B33854">
        <w:rPr>
          <w:rFonts w:eastAsia="Times New Roman"/>
          <w:rtl/>
          <w:lang w:eastAsia="de-DE"/>
        </w:rPr>
        <w:t xml:space="preserve"> </w:t>
      </w:r>
      <w:r w:rsidRPr="00B33854">
        <w:rPr>
          <w:rFonts w:eastAsia="Times New Roman"/>
          <w:lang w:eastAsia="de-DE"/>
        </w:rPr>
        <w:t xml:space="preserve">ist Qal Perfekt, 1. Person Plural von </w:t>
      </w:r>
      <w:r w:rsidRPr="00B33854">
        <w:rPr>
          <w:rFonts w:eastAsia="Times New Roman"/>
          <w:b/>
          <w:bCs/>
          <w:rtl/>
          <w:lang w:eastAsia="de-DE"/>
        </w:rPr>
        <w:t>עשׂה</w:t>
      </w:r>
      <w:r w:rsidRPr="00B33854">
        <w:rPr>
          <w:rFonts w:eastAsia="Times New Roman"/>
          <w:rtl/>
          <w:lang w:eastAsia="de-DE"/>
        </w:rPr>
        <w:t xml:space="preserve"> </w:t>
      </w:r>
      <w:r w:rsidRPr="00B33854">
        <w:rPr>
          <w:rFonts w:eastAsia="Times New Roman"/>
          <w:lang w:eastAsia="de-DE"/>
        </w:rPr>
        <w:t xml:space="preserve">(„tun, machen"). </w:t>
      </w:r>
      <w:r w:rsidRPr="00B33854">
        <w:rPr>
          <w:rFonts w:eastAsia="Times New Roman"/>
          <w:b/>
          <w:bCs/>
          <w:rtl/>
          <w:lang w:eastAsia="de-DE"/>
        </w:rPr>
        <w:t>לְסִיחֹן מֶלֶךְ חֶשְׁבּוֹן</w:t>
      </w:r>
      <w:r w:rsidRPr="00B33854">
        <w:rPr>
          <w:rFonts w:eastAsia="Times New Roman"/>
          <w:rtl/>
          <w:lang w:eastAsia="de-DE"/>
        </w:rPr>
        <w:t xml:space="preserve"> </w:t>
      </w:r>
      <w:r w:rsidRPr="00B33854">
        <w:rPr>
          <w:rFonts w:eastAsia="Times New Roman"/>
          <w:lang w:eastAsia="de-DE"/>
        </w:rPr>
        <w:t xml:space="preserve">besteht aus Präposition </w:t>
      </w:r>
      <w:r w:rsidRPr="00B33854">
        <w:rPr>
          <w:rFonts w:eastAsia="Times New Roman"/>
          <w:b/>
          <w:bCs/>
          <w:rtl/>
          <w:lang w:eastAsia="de-DE"/>
        </w:rPr>
        <w:t>לְ</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סִיחֹן</w:t>
      </w:r>
      <w:r w:rsidRPr="00B33854">
        <w:rPr>
          <w:rFonts w:eastAsia="Times New Roman"/>
          <w:rtl/>
          <w:lang w:eastAsia="de-DE"/>
        </w:rPr>
        <w:t xml:space="preserve"> </w:t>
      </w:r>
      <w:r w:rsidRPr="00B33854">
        <w:rPr>
          <w:rFonts w:eastAsia="Times New Roman"/>
          <w:lang w:eastAsia="de-DE"/>
        </w:rPr>
        <w:t xml:space="preserve">(Eigenname) und der appositiven Titelangabe </w:t>
      </w:r>
      <w:r w:rsidRPr="00B33854">
        <w:rPr>
          <w:rFonts w:eastAsia="Times New Roman"/>
          <w:b/>
          <w:bCs/>
          <w:rtl/>
          <w:lang w:eastAsia="de-DE"/>
        </w:rPr>
        <w:t>מֶלֶךְ חֶשְׁבּוֹן</w:t>
      </w:r>
      <w:r w:rsidRPr="00B33854">
        <w:rPr>
          <w:rFonts w:eastAsia="Times New Roman"/>
          <w:rtl/>
          <w:lang w:eastAsia="de-DE"/>
        </w:rPr>
        <w:t xml:space="preserve"> </w:t>
      </w:r>
      <w:r w:rsidRPr="00B33854">
        <w:rPr>
          <w:rFonts w:eastAsia="Times New Roman"/>
          <w:lang w:eastAsia="de-DE"/>
        </w:rPr>
        <w:t>im Construct („König von Cheschbon").</w:t>
      </w:r>
    </w:p>
    <w:p w14:paraId="665EE769"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הַחֲרֵם</w:t>
      </w:r>
      <w:r w:rsidRPr="00B33854">
        <w:rPr>
          <w:rFonts w:eastAsia="Times New Roman"/>
          <w:rtl/>
          <w:lang w:eastAsia="de-DE"/>
        </w:rPr>
        <w:t xml:space="preserve"> </w:t>
      </w:r>
      <w:r w:rsidRPr="00B33854">
        <w:rPr>
          <w:rFonts w:eastAsia="Times New Roman"/>
          <w:lang w:eastAsia="de-DE"/>
        </w:rPr>
        <w:t xml:space="preserve">ist Hifil Infinitiv absolut von </w:t>
      </w:r>
      <w:r w:rsidRPr="00B33854">
        <w:rPr>
          <w:rFonts w:eastAsia="Times New Roman"/>
          <w:b/>
          <w:bCs/>
          <w:rtl/>
          <w:lang w:eastAsia="de-DE"/>
        </w:rPr>
        <w:t>חרם</w:t>
      </w:r>
      <w:r w:rsidRPr="00B33854">
        <w:rPr>
          <w:rFonts w:eastAsia="Times New Roman"/>
          <w:lang w:eastAsia="de-DE"/>
        </w:rPr>
        <w:t xml:space="preserve">, der hier als emphatische Wiederaufnahme des finiten Verbs fungiert („wir vollstreckten den Bann, ja den Bann vollstreckten wir"). </w:t>
      </w:r>
      <w:r w:rsidRPr="00B33854">
        <w:rPr>
          <w:rFonts w:eastAsia="Times New Roman"/>
          <w:b/>
          <w:bCs/>
          <w:rtl/>
          <w:lang w:eastAsia="de-DE"/>
        </w:rPr>
        <w:t>כָּל־עִיר מְתִם</w:t>
      </w:r>
      <w:r w:rsidRPr="00B33854">
        <w:rPr>
          <w:rFonts w:eastAsia="Times New Roman"/>
          <w:rtl/>
          <w:lang w:eastAsia="de-DE"/>
        </w:rPr>
        <w:t xml:space="preserve"> </w:t>
      </w:r>
      <w:r w:rsidRPr="00B33854">
        <w:rPr>
          <w:rFonts w:eastAsia="Times New Roman"/>
          <w:lang w:eastAsia="de-DE"/>
        </w:rPr>
        <w:t xml:space="preserve">besteht aus </w:t>
      </w:r>
      <w:r w:rsidRPr="00B33854">
        <w:rPr>
          <w:rFonts w:eastAsia="Times New Roman"/>
          <w:b/>
          <w:bCs/>
          <w:rtl/>
          <w:lang w:eastAsia="de-DE"/>
        </w:rPr>
        <w:t>כָּל</w:t>
      </w:r>
      <w:r w:rsidRPr="00B33854">
        <w:rPr>
          <w:rFonts w:eastAsia="Times New Roman"/>
          <w:rtl/>
          <w:lang w:eastAsia="de-DE"/>
        </w:rPr>
        <w:t xml:space="preserve"> </w:t>
      </w:r>
      <w:r w:rsidRPr="00B33854">
        <w:rPr>
          <w:rFonts w:eastAsia="Times New Roman"/>
          <w:lang w:eastAsia="de-DE"/>
        </w:rPr>
        <w:t xml:space="preserve">im Construct mit </w:t>
      </w:r>
      <w:r w:rsidRPr="00B33854">
        <w:rPr>
          <w:rFonts w:eastAsia="Times New Roman"/>
          <w:b/>
          <w:bCs/>
          <w:rtl/>
          <w:lang w:eastAsia="de-DE"/>
        </w:rPr>
        <w:t>עִיר</w:t>
      </w:r>
      <w:r w:rsidRPr="00B33854">
        <w:rPr>
          <w:rFonts w:eastAsia="Times New Roman"/>
          <w:rtl/>
          <w:lang w:eastAsia="de-DE"/>
        </w:rPr>
        <w:t xml:space="preserve"> </w:t>
      </w:r>
      <w:r w:rsidRPr="00B33854">
        <w:rPr>
          <w:rFonts w:eastAsia="Times New Roman"/>
          <w:lang w:eastAsia="de-DE"/>
        </w:rPr>
        <w:t xml:space="preserve">(„Stadt") und </w:t>
      </w:r>
      <w:r w:rsidRPr="00B33854">
        <w:rPr>
          <w:rFonts w:eastAsia="Times New Roman"/>
          <w:b/>
          <w:bCs/>
          <w:rtl/>
          <w:lang w:eastAsia="de-DE"/>
        </w:rPr>
        <w:t>מְתִם</w:t>
      </w:r>
      <w:r w:rsidRPr="00B33854">
        <w:rPr>
          <w:rFonts w:eastAsia="Times New Roman"/>
          <w:rtl/>
          <w:lang w:eastAsia="de-DE"/>
        </w:rPr>
        <w:t xml:space="preserve"> </w:t>
      </w:r>
      <w:r w:rsidRPr="00B33854">
        <w:rPr>
          <w:rFonts w:eastAsia="Times New Roman"/>
          <w:lang w:eastAsia="de-DE"/>
        </w:rPr>
        <w:t xml:space="preserve">(Plural maskulin von </w:t>
      </w:r>
      <w:r w:rsidRPr="00B33854">
        <w:rPr>
          <w:rFonts w:eastAsia="Times New Roman"/>
          <w:b/>
          <w:bCs/>
          <w:rtl/>
          <w:lang w:eastAsia="de-DE"/>
        </w:rPr>
        <w:t>מֵת</w:t>
      </w:r>
      <w:r w:rsidRPr="00B33854">
        <w:rPr>
          <w:rFonts w:eastAsia="Times New Roman"/>
          <w:lang w:eastAsia="de-DE"/>
        </w:rPr>
        <w:t xml:space="preserve">, „Männer, männliche Personen"). </w:t>
      </w:r>
      <w:r w:rsidRPr="00B33854">
        <w:rPr>
          <w:rFonts w:eastAsia="Times New Roman"/>
          <w:b/>
          <w:bCs/>
          <w:rtl/>
          <w:lang w:eastAsia="de-DE"/>
        </w:rPr>
        <w:t>הַנָּשִׁים וְהַטָּף</w:t>
      </w:r>
      <w:r w:rsidRPr="00B33854">
        <w:rPr>
          <w:rFonts w:eastAsia="Times New Roman"/>
          <w:rtl/>
          <w:lang w:eastAsia="de-DE"/>
        </w:rPr>
        <w:t xml:space="preserve"> </w:t>
      </w:r>
      <w:r w:rsidRPr="00B33854">
        <w:rPr>
          <w:rFonts w:eastAsia="Times New Roman"/>
          <w:lang w:eastAsia="de-DE"/>
        </w:rPr>
        <w:t xml:space="preserve">ist eine koordinierte Aufzählung: </w:t>
      </w:r>
      <w:r w:rsidRPr="00B33854">
        <w:rPr>
          <w:rFonts w:eastAsia="Times New Roman"/>
          <w:b/>
          <w:bCs/>
          <w:rtl/>
          <w:lang w:eastAsia="de-DE"/>
        </w:rPr>
        <w:t>הַנָּשִׁים</w:t>
      </w:r>
      <w:r w:rsidRPr="00B33854">
        <w:rPr>
          <w:rFonts w:eastAsia="Times New Roman"/>
          <w:rtl/>
          <w:lang w:eastAsia="de-DE"/>
        </w:rPr>
        <w:t xml:space="preserve"> </w:t>
      </w:r>
      <w:r w:rsidRPr="00B33854">
        <w:rPr>
          <w:rFonts w:eastAsia="Times New Roman"/>
          <w:lang w:eastAsia="de-DE"/>
        </w:rPr>
        <w:t xml:space="preserve">(„die Frauen", Plural feminin von </w:t>
      </w:r>
      <w:r w:rsidRPr="00B33854">
        <w:rPr>
          <w:rFonts w:eastAsia="Times New Roman"/>
          <w:b/>
          <w:bCs/>
          <w:rtl/>
          <w:lang w:eastAsia="de-DE"/>
        </w:rPr>
        <w:t>אִשָּׁה</w:t>
      </w:r>
      <w:r w:rsidRPr="00B33854">
        <w:rPr>
          <w:rFonts w:eastAsia="Times New Roman"/>
          <w:rtl/>
          <w:lang w:eastAsia="de-DE"/>
        </w:rPr>
        <w:t xml:space="preserve"> </w:t>
      </w:r>
      <w:r w:rsidRPr="00B33854">
        <w:rPr>
          <w:rFonts w:eastAsia="Times New Roman"/>
          <w:lang w:eastAsia="de-DE"/>
        </w:rPr>
        <w:t xml:space="preserve">mit Artikel) und </w:t>
      </w:r>
      <w:r w:rsidRPr="00B33854">
        <w:rPr>
          <w:rFonts w:eastAsia="Times New Roman"/>
          <w:b/>
          <w:bCs/>
          <w:rtl/>
          <w:lang w:eastAsia="de-DE"/>
        </w:rPr>
        <w:t>הַטָּף</w:t>
      </w:r>
      <w:r w:rsidRPr="00B33854">
        <w:rPr>
          <w:rFonts w:eastAsia="Times New Roman"/>
          <w:rtl/>
          <w:lang w:eastAsia="de-DE"/>
        </w:rPr>
        <w:t xml:space="preserve"> </w:t>
      </w:r>
      <w:r w:rsidRPr="00B33854">
        <w:rPr>
          <w:rFonts w:eastAsia="Times New Roman"/>
          <w:lang w:eastAsia="de-DE"/>
        </w:rPr>
        <w:t>(„die Kinder", kollektiver Singular mit Artikel).</w:t>
      </w:r>
    </w:p>
    <w:p w14:paraId="61E09BF5"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Die Satzstruktur besteht aus einem Hauptsatz mit Vergleichssatz und einer emphatischen Wiederholung durch Infinitiv absolut, gefolgt von einer dreigliedrigen Objektaufzählung. Der Hauptsatz wird durch den Vergleichssatz historisch kontextualisiert. Die Wiederaufnahme durch den Infinitiv absolut verleiht der Aussage besonderen Nachdruck.</w:t>
      </w:r>
    </w:p>
    <w:p w14:paraId="00CBE6AA"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Der Vers beschreibt die totale Vernichtung der Bevölkerung analog zum früheren Vorgehen gegen Sichon, einschließlich aller Bevölkerungsgruppen.</w:t>
      </w:r>
    </w:p>
    <w:p w14:paraId="295CC760"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3,7</w:t>
      </w:r>
    </w:p>
    <w:p w14:paraId="67596984"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וְכָל־הַבְּהֵמָ֛ה וּשְׁלַ֥ל הֶעָרִ֖ים בַּזּ֥וֹנוּ לָֽנוּ׃</w:t>
      </w:r>
    </w:p>
    <w:p w14:paraId="6C31E8C5"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Aber alles Vieh und die Beute der Städte erbeuteten wir für uns.</w:t>
      </w:r>
    </w:p>
    <w:p w14:paraId="51BBC0CE"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0377AE39">
          <v:rect id="_x0000_i1114" style="width:0;height:1.5pt" o:hralign="center" o:hrstd="t" o:hr="t" fillcolor="#a0a0a0" stroked="f"/>
        </w:pict>
      </w:r>
    </w:p>
    <w:p w14:paraId="2AE086C3"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וְכָל־הַבְּהֵמָה</w:t>
      </w:r>
      <w:r w:rsidRPr="00B33854">
        <w:rPr>
          <w:rFonts w:eastAsia="Times New Roman"/>
          <w:rtl/>
          <w:lang w:eastAsia="de-DE"/>
        </w:rPr>
        <w:t xml:space="preserve"> </w:t>
      </w:r>
      <w:r w:rsidRPr="00B33854">
        <w:rPr>
          <w:rFonts w:eastAsia="Times New Roman"/>
          <w:lang w:eastAsia="de-DE"/>
        </w:rPr>
        <w:t xml:space="preserve">ist eine Objektangabe mit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 xml:space="preserve">(„aber, und"), </w:t>
      </w:r>
      <w:r w:rsidRPr="00B33854">
        <w:rPr>
          <w:rFonts w:eastAsia="Times New Roman"/>
          <w:b/>
          <w:bCs/>
          <w:rtl/>
          <w:lang w:eastAsia="de-DE"/>
        </w:rPr>
        <w:t>כָּל</w:t>
      </w:r>
      <w:r w:rsidRPr="00B33854">
        <w:rPr>
          <w:rFonts w:eastAsia="Times New Roman"/>
          <w:rtl/>
          <w:lang w:eastAsia="de-DE"/>
        </w:rPr>
        <w:t xml:space="preserve"> </w:t>
      </w:r>
      <w:r w:rsidRPr="00B33854">
        <w:rPr>
          <w:rFonts w:eastAsia="Times New Roman"/>
          <w:lang w:eastAsia="de-DE"/>
        </w:rPr>
        <w:t xml:space="preserve">im Construct, </w:t>
      </w:r>
      <w:r w:rsidRPr="00B33854">
        <w:rPr>
          <w:rFonts w:eastAsia="Times New Roman"/>
          <w:b/>
          <w:bCs/>
          <w:rtl/>
          <w:lang w:eastAsia="de-DE"/>
        </w:rPr>
        <w:t>הַבְּהֵמָה</w:t>
      </w:r>
      <w:r w:rsidRPr="00B33854">
        <w:rPr>
          <w:rFonts w:eastAsia="Times New Roman"/>
          <w:rtl/>
          <w:lang w:eastAsia="de-DE"/>
        </w:rPr>
        <w:t xml:space="preserve"> </w:t>
      </w:r>
      <w:r w:rsidRPr="00B33854">
        <w:rPr>
          <w:rFonts w:eastAsia="Times New Roman"/>
          <w:lang w:eastAsia="de-DE"/>
        </w:rPr>
        <w:t xml:space="preserve">(„das Vieh", kollektiver Singular mit Artikel). </w:t>
      </w:r>
      <w:r w:rsidRPr="00B33854">
        <w:rPr>
          <w:rFonts w:eastAsia="Times New Roman"/>
          <w:b/>
          <w:bCs/>
          <w:rtl/>
          <w:lang w:eastAsia="de-DE"/>
        </w:rPr>
        <w:t>וּשְׁלַל הֶעָרִים</w:t>
      </w:r>
      <w:r w:rsidRPr="00B33854">
        <w:rPr>
          <w:rFonts w:eastAsia="Times New Roman"/>
          <w:rtl/>
          <w:lang w:eastAsia="de-DE"/>
        </w:rPr>
        <w:t xml:space="preserve"> </w:t>
      </w:r>
      <w:r w:rsidRPr="00B33854">
        <w:rPr>
          <w:rFonts w:eastAsia="Times New Roman"/>
          <w:lang w:eastAsia="de-DE"/>
        </w:rPr>
        <w:t xml:space="preserve">ist eine koordinierte Ergänzung: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שְׁלַל</w:t>
      </w:r>
      <w:r w:rsidRPr="00B33854">
        <w:rPr>
          <w:rFonts w:eastAsia="Times New Roman"/>
          <w:rtl/>
          <w:lang w:eastAsia="de-DE"/>
        </w:rPr>
        <w:t xml:space="preserve"> </w:t>
      </w:r>
      <w:r w:rsidRPr="00B33854">
        <w:rPr>
          <w:rFonts w:eastAsia="Times New Roman"/>
          <w:lang w:eastAsia="de-DE"/>
        </w:rPr>
        <w:t xml:space="preserve">(„Beute, Plünderung") im Construct und </w:t>
      </w:r>
      <w:r w:rsidRPr="00B33854">
        <w:rPr>
          <w:rFonts w:eastAsia="Times New Roman"/>
          <w:b/>
          <w:bCs/>
          <w:rtl/>
          <w:lang w:eastAsia="de-DE"/>
        </w:rPr>
        <w:t>הֶעָרִים</w:t>
      </w:r>
      <w:r w:rsidRPr="00B33854">
        <w:rPr>
          <w:rFonts w:eastAsia="Times New Roman"/>
          <w:rtl/>
          <w:lang w:eastAsia="de-DE"/>
        </w:rPr>
        <w:t xml:space="preserve"> </w:t>
      </w:r>
      <w:r w:rsidRPr="00B33854">
        <w:rPr>
          <w:rFonts w:eastAsia="Times New Roman"/>
          <w:lang w:eastAsia="de-DE"/>
        </w:rPr>
        <w:t xml:space="preserve">(„die Städte", Plural mit Artikel). </w:t>
      </w:r>
      <w:r w:rsidRPr="00B33854">
        <w:rPr>
          <w:rFonts w:eastAsia="Times New Roman"/>
          <w:b/>
          <w:bCs/>
          <w:rtl/>
          <w:lang w:eastAsia="de-DE"/>
        </w:rPr>
        <w:t>בַּזּוֹנוּ</w:t>
      </w:r>
      <w:r w:rsidRPr="00B33854">
        <w:rPr>
          <w:rFonts w:eastAsia="Times New Roman"/>
          <w:rtl/>
          <w:lang w:eastAsia="de-DE"/>
        </w:rPr>
        <w:t xml:space="preserve"> </w:t>
      </w:r>
      <w:r w:rsidRPr="00B33854">
        <w:rPr>
          <w:rFonts w:eastAsia="Times New Roman"/>
          <w:lang w:eastAsia="de-DE"/>
        </w:rPr>
        <w:t xml:space="preserve">ist Qal Perfekt, 1. Person Plural von </w:t>
      </w:r>
      <w:r w:rsidRPr="00B33854">
        <w:rPr>
          <w:rFonts w:eastAsia="Times New Roman"/>
          <w:b/>
          <w:bCs/>
          <w:rtl/>
          <w:lang w:eastAsia="de-DE"/>
        </w:rPr>
        <w:t>בזז</w:t>
      </w:r>
      <w:r w:rsidRPr="00B33854">
        <w:rPr>
          <w:rFonts w:eastAsia="Times New Roman"/>
          <w:rtl/>
          <w:lang w:eastAsia="de-DE"/>
        </w:rPr>
        <w:t xml:space="preserve"> </w:t>
      </w:r>
      <w:r w:rsidRPr="00B33854">
        <w:rPr>
          <w:rFonts w:eastAsia="Times New Roman"/>
          <w:lang w:eastAsia="de-DE"/>
        </w:rPr>
        <w:t xml:space="preserve">(„plündern, erbeuten") mit dem paragogischen Nun. </w:t>
      </w:r>
      <w:r w:rsidRPr="00B33854">
        <w:rPr>
          <w:rFonts w:eastAsia="Times New Roman"/>
          <w:b/>
          <w:bCs/>
          <w:rtl/>
          <w:lang w:eastAsia="de-DE"/>
        </w:rPr>
        <w:t>לָנוּ</w:t>
      </w:r>
      <w:r w:rsidRPr="00B33854">
        <w:rPr>
          <w:rFonts w:eastAsia="Times New Roman"/>
          <w:rtl/>
          <w:lang w:eastAsia="de-DE"/>
        </w:rPr>
        <w:t xml:space="preserve"> </w:t>
      </w:r>
      <w:r w:rsidRPr="00B33854">
        <w:rPr>
          <w:rFonts w:eastAsia="Times New Roman"/>
          <w:lang w:eastAsia="de-DE"/>
        </w:rPr>
        <w:t xml:space="preserve">ist Präposition </w:t>
      </w:r>
      <w:r w:rsidRPr="00B33854">
        <w:rPr>
          <w:rFonts w:eastAsia="Times New Roman"/>
          <w:b/>
          <w:bCs/>
          <w:rtl/>
          <w:lang w:eastAsia="de-DE"/>
        </w:rPr>
        <w:t>לְ</w:t>
      </w:r>
      <w:r w:rsidRPr="00B33854">
        <w:rPr>
          <w:rFonts w:eastAsia="Times New Roman"/>
          <w:rtl/>
          <w:lang w:eastAsia="de-DE"/>
        </w:rPr>
        <w:t xml:space="preserve"> </w:t>
      </w:r>
      <w:r w:rsidRPr="00B33854">
        <w:rPr>
          <w:rFonts w:eastAsia="Times New Roman"/>
          <w:lang w:eastAsia="de-DE"/>
        </w:rPr>
        <w:t>mit Suffix 1. Person Plural („für uns").</w:t>
      </w:r>
    </w:p>
    <w:p w14:paraId="029EBE36"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 xml:space="preserve">Der Kontrast zum vorherigen Vers wird durch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 xml:space="preserve">markiert: Während Menschen dem Bann verfielen, wurde das Vieh und die materielle Beute verschont und als Kriegsbeute genommen. Das paragogische Nun in </w:t>
      </w:r>
      <w:r w:rsidRPr="00B33854">
        <w:rPr>
          <w:rFonts w:eastAsia="Times New Roman"/>
          <w:b/>
          <w:bCs/>
          <w:rtl/>
          <w:lang w:eastAsia="de-DE"/>
        </w:rPr>
        <w:t>בַּזּוֹנוּ</w:t>
      </w:r>
      <w:r w:rsidRPr="00B33854">
        <w:rPr>
          <w:rFonts w:eastAsia="Times New Roman"/>
          <w:rtl/>
          <w:lang w:eastAsia="de-DE"/>
        </w:rPr>
        <w:t xml:space="preserve"> </w:t>
      </w:r>
      <w:r w:rsidRPr="00B33854">
        <w:rPr>
          <w:rFonts w:eastAsia="Times New Roman"/>
          <w:lang w:eastAsia="de-DE"/>
        </w:rPr>
        <w:t>verleiht dem Verb eine besondere Emphase oder rhythmische Qualität.</w:t>
      </w:r>
    </w:p>
    <w:p w14:paraId="1EF3C927"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Die Satzstruktur besteht aus einem einfachen Hauptsatz mit zweigliedriger Objektkette (koordiniert durch Waw) und einer präpositionalen Ergänzung, die den Nutznießer der Beute angibt. Der adversative Charakter wird durch die Stellung am Versanfang und den Kontrast zum vorherigen Vers deutlich.</w:t>
      </w:r>
    </w:p>
    <w:p w14:paraId="0978A51B"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Der Vers kontrastiert das Schicksal der Menschen (Vernichtung) mit dem der Tiere und Güter (Plünderung als Kriegsbeute).</w:t>
      </w:r>
    </w:p>
    <w:p w14:paraId="7462AF4F"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lastRenderedPageBreak/>
        <w:t>Deuteronomium 3,8</w:t>
      </w:r>
    </w:p>
    <w:p w14:paraId="08EC53E0"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וַנִּקַּ֞ח בָּעֵ֤ת הַהִוא֙ אֶת־הָאָ֔רֶץ מִיַּ֗ד שְׁנֵי֙ מַלְכֵ֣י הָאֱמֹרִ֔י אֲשֶׁ֖ר בְּעֵ֣בֶר הַיַּרְדֵּ֑ן מִנַּ֥חַל אַרְנֹ֖ן עַד־הַ֥ר חֶרְמֽוֹן׃</w:t>
      </w:r>
    </w:p>
    <w:p w14:paraId="6D5A7AAF"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Und wir nahmen zu jener Zeit das Land aus der Hand der zwei Könige der Emori, die jenseits des Jardens waren, vom Bach Arnon bis zum Berg Chermon.</w:t>
      </w:r>
    </w:p>
    <w:p w14:paraId="43218243"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2163839F">
          <v:rect id="_x0000_i1115" style="width:0;height:1.5pt" o:hralign="center" o:hrstd="t" o:hr="t" fillcolor="#a0a0a0" stroked="f"/>
        </w:pict>
      </w:r>
    </w:p>
    <w:p w14:paraId="778F1363" w14:textId="2AED0A79"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וַנִּקַּח</w:t>
      </w:r>
      <w:r w:rsidRPr="00B33854">
        <w:rPr>
          <w:rFonts w:eastAsia="Times New Roman"/>
          <w:rtl/>
          <w:lang w:eastAsia="de-DE"/>
        </w:rPr>
        <w:t xml:space="preserve"> </w:t>
      </w:r>
      <w:r w:rsidRPr="00B33854">
        <w:rPr>
          <w:rFonts w:eastAsia="Times New Roman"/>
          <w:lang w:eastAsia="de-DE"/>
        </w:rPr>
        <w:t xml:space="preserve">ist Qal Imperfekt consecutivum, 1. Person Plural von </w:t>
      </w:r>
      <w:r w:rsidRPr="00B33854">
        <w:rPr>
          <w:rFonts w:eastAsia="Times New Roman"/>
          <w:b/>
          <w:bCs/>
          <w:rtl/>
          <w:lang w:eastAsia="de-DE"/>
        </w:rPr>
        <w:t>לקח</w:t>
      </w:r>
      <w:r w:rsidRPr="00B33854">
        <w:rPr>
          <w:rFonts w:eastAsia="Times New Roman"/>
          <w:rtl/>
          <w:lang w:eastAsia="de-DE"/>
        </w:rPr>
        <w:t xml:space="preserve"> </w:t>
      </w:r>
      <w:r w:rsidRPr="00B33854">
        <w:rPr>
          <w:rFonts w:eastAsia="Times New Roman"/>
          <w:lang w:eastAsia="de-DE"/>
        </w:rPr>
        <w:t xml:space="preserve">(„nehmen") mit Waw. </w:t>
      </w:r>
      <w:r w:rsidRPr="00B33854">
        <w:rPr>
          <w:rFonts w:eastAsia="Times New Roman"/>
          <w:b/>
          <w:bCs/>
          <w:rtl/>
          <w:lang w:eastAsia="de-DE"/>
        </w:rPr>
        <w:t>בָּעֵת הַהִוא</w:t>
      </w:r>
      <w:r w:rsidRPr="00B33854">
        <w:rPr>
          <w:rFonts w:eastAsia="Times New Roman"/>
          <w:rtl/>
          <w:lang w:eastAsia="de-DE"/>
        </w:rPr>
        <w:t xml:space="preserve"> </w:t>
      </w:r>
      <w:r w:rsidRPr="00B33854">
        <w:rPr>
          <w:rFonts w:eastAsia="Times New Roman"/>
          <w:lang w:eastAsia="de-DE"/>
        </w:rPr>
        <w:t xml:space="preserve">ist eine Zeitangabe: </w:t>
      </w:r>
      <w:r w:rsidRPr="00B33854">
        <w:rPr>
          <w:rFonts w:eastAsia="Times New Roman"/>
          <w:b/>
          <w:bCs/>
          <w:rtl/>
          <w:lang w:eastAsia="de-DE"/>
        </w:rPr>
        <w:t>בְּ</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עֵת</w:t>
      </w:r>
      <w:r w:rsidRPr="00B33854">
        <w:rPr>
          <w:rFonts w:eastAsia="Times New Roman"/>
          <w:rtl/>
          <w:lang w:eastAsia="de-DE"/>
        </w:rPr>
        <w:t xml:space="preserve"> </w:t>
      </w:r>
      <w:r w:rsidRPr="00B33854">
        <w:rPr>
          <w:rFonts w:eastAsia="Times New Roman"/>
          <w:lang w:eastAsia="de-DE"/>
        </w:rPr>
        <w:t xml:space="preserve">im Construct und dem Demonstrativpronomen </w:t>
      </w:r>
      <w:r w:rsidRPr="00B33854">
        <w:rPr>
          <w:rFonts w:eastAsia="Times New Roman"/>
          <w:b/>
          <w:bCs/>
          <w:rtl/>
          <w:lang w:eastAsia="de-DE"/>
        </w:rPr>
        <w:t>הַהִיא</w:t>
      </w:r>
      <w:r w:rsidRPr="00B33854">
        <w:rPr>
          <w:rFonts w:eastAsia="Times New Roman"/>
          <w:rtl/>
          <w:lang w:eastAsia="de-DE"/>
        </w:rPr>
        <w:t xml:space="preserve"> </w:t>
      </w:r>
      <w:r w:rsidRPr="00B33854">
        <w:rPr>
          <w:rFonts w:eastAsia="Times New Roman"/>
          <w:lang w:eastAsia="de-DE"/>
        </w:rPr>
        <w:t xml:space="preserve">(„jene"). </w:t>
      </w:r>
      <w:r w:rsidRPr="00B33854">
        <w:rPr>
          <w:rFonts w:eastAsia="Times New Roman"/>
          <w:b/>
          <w:bCs/>
          <w:rtl/>
          <w:lang w:eastAsia="de-DE"/>
        </w:rPr>
        <w:t>אֶת־הָאָרֶץ</w:t>
      </w:r>
      <w:r w:rsidRPr="00B33854">
        <w:rPr>
          <w:rFonts w:eastAsia="Times New Roman"/>
          <w:rtl/>
          <w:lang w:eastAsia="de-DE"/>
        </w:rPr>
        <w:t xml:space="preserve"> </w:t>
      </w:r>
      <w:r w:rsidRPr="00B33854">
        <w:rPr>
          <w:rFonts w:eastAsia="Times New Roman"/>
          <w:lang w:eastAsia="de-DE"/>
        </w:rPr>
        <w:t xml:space="preserve">ist nota accusativi mit </w:t>
      </w:r>
      <w:r w:rsidRPr="00B33854">
        <w:rPr>
          <w:rFonts w:eastAsia="Times New Roman"/>
          <w:b/>
          <w:bCs/>
          <w:rtl/>
          <w:lang w:eastAsia="de-DE"/>
        </w:rPr>
        <w:t>הָאָרֶץ</w:t>
      </w:r>
      <w:r w:rsidRPr="00B33854">
        <w:rPr>
          <w:rFonts w:eastAsia="Times New Roman"/>
          <w:rtl/>
          <w:lang w:eastAsia="de-DE"/>
        </w:rPr>
        <w:t xml:space="preserve"> </w:t>
      </w:r>
      <w:r w:rsidRPr="00B33854">
        <w:rPr>
          <w:rFonts w:eastAsia="Times New Roman"/>
          <w:lang w:eastAsia="de-DE"/>
        </w:rPr>
        <w:t xml:space="preserve">(„das Land", mit Artikel). </w:t>
      </w:r>
      <w:r w:rsidRPr="00B33854">
        <w:rPr>
          <w:rFonts w:eastAsia="Times New Roman"/>
          <w:b/>
          <w:bCs/>
          <w:rtl/>
          <w:lang w:eastAsia="de-DE"/>
        </w:rPr>
        <w:t>מִיַּד</w:t>
      </w:r>
      <w:r w:rsidRPr="00B33854">
        <w:rPr>
          <w:rFonts w:eastAsia="Times New Roman"/>
          <w:rtl/>
          <w:lang w:eastAsia="de-DE"/>
        </w:rPr>
        <w:t xml:space="preserve"> </w:t>
      </w:r>
      <w:r w:rsidRPr="00B33854">
        <w:rPr>
          <w:rFonts w:eastAsia="Times New Roman"/>
          <w:lang w:eastAsia="de-DE"/>
        </w:rPr>
        <w:t xml:space="preserve">ist eine idiomatische Wendung aus Präposition </w:t>
      </w:r>
      <w:r w:rsidRPr="00B33854">
        <w:rPr>
          <w:rFonts w:eastAsia="Times New Roman"/>
          <w:b/>
          <w:bCs/>
          <w:rtl/>
          <w:lang w:eastAsia="de-DE"/>
        </w:rPr>
        <w:t>מִן</w:t>
      </w:r>
      <w:r w:rsidRPr="00B33854">
        <w:rPr>
          <w:rFonts w:eastAsia="Times New Roman"/>
          <w:rtl/>
          <w:lang w:eastAsia="de-DE"/>
        </w:rPr>
        <w:t xml:space="preserve"> </w:t>
      </w:r>
      <w:r w:rsidRPr="00B33854">
        <w:rPr>
          <w:rFonts w:eastAsia="Times New Roman"/>
          <w:lang w:eastAsia="de-DE"/>
        </w:rPr>
        <w:t xml:space="preserve">und </w:t>
      </w:r>
      <w:r w:rsidRPr="00B33854">
        <w:rPr>
          <w:rFonts w:eastAsia="Times New Roman"/>
          <w:b/>
          <w:bCs/>
          <w:rtl/>
          <w:lang w:eastAsia="de-DE"/>
        </w:rPr>
        <w:t>יָד</w:t>
      </w:r>
      <w:r w:rsidRPr="00B33854">
        <w:rPr>
          <w:rFonts w:eastAsia="Times New Roman"/>
          <w:rtl/>
          <w:lang w:eastAsia="de-DE"/>
        </w:rPr>
        <w:t xml:space="preserve"> </w:t>
      </w:r>
      <w:r w:rsidRPr="00B33854">
        <w:rPr>
          <w:rFonts w:eastAsia="Times New Roman"/>
          <w:lang w:eastAsia="de-DE"/>
        </w:rPr>
        <w:t xml:space="preserve">(„Hand") im Construct („aus der Hand von"). </w:t>
      </w:r>
      <w:r w:rsidRPr="00B33854">
        <w:rPr>
          <w:rFonts w:eastAsia="Times New Roman"/>
          <w:b/>
          <w:bCs/>
          <w:rtl/>
          <w:lang w:eastAsia="de-DE"/>
        </w:rPr>
        <w:t>שְׁנֵי מַלְכֵי הָאֱמֹרִי</w:t>
      </w:r>
      <w:r w:rsidRPr="00B33854">
        <w:rPr>
          <w:rFonts w:eastAsia="Times New Roman"/>
          <w:rtl/>
          <w:lang w:eastAsia="de-DE"/>
        </w:rPr>
        <w:t xml:space="preserve"> </w:t>
      </w:r>
      <w:r w:rsidRPr="00B33854">
        <w:rPr>
          <w:rFonts w:eastAsia="Times New Roman"/>
          <w:lang w:eastAsia="de-DE"/>
        </w:rPr>
        <w:t xml:space="preserve">ist eine mehrstufige Construct-Verbindung: </w:t>
      </w:r>
      <w:r w:rsidRPr="00B33854">
        <w:rPr>
          <w:rFonts w:eastAsia="Times New Roman"/>
          <w:b/>
          <w:bCs/>
          <w:rtl/>
          <w:lang w:eastAsia="de-DE"/>
        </w:rPr>
        <w:t>שְׁנֵי</w:t>
      </w:r>
      <w:r w:rsidRPr="00B33854">
        <w:rPr>
          <w:rFonts w:eastAsia="Times New Roman"/>
          <w:rtl/>
          <w:lang w:eastAsia="de-DE"/>
        </w:rPr>
        <w:t xml:space="preserve"> </w:t>
      </w:r>
      <w:r w:rsidRPr="00B33854">
        <w:rPr>
          <w:rFonts w:eastAsia="Times New Roman"/>
          <w:lang w:eastAsia="de-DE"/>
        </w:rPr>
        <w:t xml:space="preserve">(„zwei", Dual von </w:t>
      </w:r>
      <w:r w:rsidRPr="00B33854">
        <w:rPr>
          <w:rFonts w:eastAsia="Times New Roman"/>
          <w:b/>
          <w:bCs/>
          <w:rtl/>
          <w:lang w:eastAsia="de-DE"/>
        </w:rPr>
        <w:t>שְׁנַיִם</w:t>
      </w:r>
      <w:r w:rsidRPr="00B33854">
        <w:rPr>
          <w:rFonts w:eastAsia="Times New Roman"/>
          <w:lang w:eastAsia="de-DE"/>
        </w:rPr>
        <w:t xml:space="preserve">), </w:t>
      </w:r>
      <w:r w:rsidRPr="00B33854">
        <w:rPr>
          <w:rFonts w:eastAsia="Times New Roman"/>
          <w:b/>
          <w:bCs/>
          <w:rtl/>
          <w:lang w:eastAsia="de-DE"/>
        </w:rPr>
        <w:t>מַלְכֵי</w:t>
      </w:r>
      <w:r w:rsidRPr="00B33854">
        <w:rPr>
          <w:rFonts w:eastAsia="Times New Roman"/>
          <w:rtl/>
          <w:lang w:eastAsia="de-DE"/>
        </w:rPr>
        <w:t xml:space="preserve"> </w:t>
      </w:r>
      <w:r w:rsidRPr="00B33854">
        <w:rPr>
          <w:rFonts w:eastAsia="Times New Roman"/>
          <w:lang w:eastAsia="de-DE"/>
        </w:rPr>
        <w:t xml:space="preserve">(Plural Construct von </w:t>
      </w:r>
      <w:r w:rsidRPr="00B33854">
        <w:rPr>
          <w:rFonts w:eastAsia="Times New Roman"/>
          <w:b/>
          <w:bCs/>
          <w:rtl/>
          <w:lang w:eastAsia="de-DE"/>
        </w:rPr>
        <w:t>מֶלֶךְ</w:t>
      </w:r>
      <w:r w:rsidRPr="00B33854">
        <w:rPr>
          <w:rFonts w:eastAsia="Times New Roman"/>
          <w:lang w:eastAsia="de-DE"/>
        </w:rPr>
        <w:t xml:space="preserve">), </w:t>
      </w:r>
      <w:r w:rsidRPr="00B33854">
        <w:rPr>
          <w:rFonts w:eastAsia="Times New Roman"/>
          <w:b/>
          <w:bCs/>
          <w:rtl/>
          <w:lang w:eastAsia="de-DE"/>
        </w:rPr>
        <w:t>הָאֱמֹרִי</w:t>
      </w:r>
      <w:r w:rsidRPr="00B33854">
        <w:rPr>
          <w:rFonts w:eastAsia="Times New Roman"/>
          <w:rtl/>
          <w:lang w:eastAsia="de-DE"/>
        </w:rPr>
        <w:t xml:space="preserve"> </w:t>
      </w:r>
      <w:r w:rsidRPr="00B33854">
        <w:rPr>
          <w:rFonts w:eastAsia="Times New Roman"/>
          <w:lang w:eastAsia="de-DE"/>
        </w:rPr>
        <w:t xml:space="preserve">(„die Amoriter", </w:t>
      </w:r>
      <w:r w:rsidR="00C13523">
        <w:rPr>
          <w:rFonts w:eastAsia="Times New Roman"/>
          <w:lang w:eastAsia="de-DE"/>
        </w:rPr>
        <w:t>Gentilicum</w:t>
      </w:r>
      <w:r w:rsidRPr="00B33854">
        <w:rPr>
          <w:rFonts w:eastAsia="Times New Roman"/>
          <w:lang w:eastAsia="de-DE"/>
        </w:rPr>
        <w:t xml:space="preserve"> mit Artikel).</w:t>
      </w:r>
    </w:p>
    <w:p w14:paraId="46E7AF01"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אֲשֶׁר בְּעֵבֶר הַיַּרְדֵּן</w:t>
      </w:r>
      <w:r w:rsidRPr="00B33854">
        <w:rPr>
          <w:rFonts w:eastAsia="Times New Roman"/>
          <w:rtl/>
          <w:lang w:eastAsia="de-DE"/>
        </w:rPr>
        <w:t xml:space="preserve"> </w:t>
      </w:r>
      <w:r w:rsidRPr="00B33854">
        <w:rPr>
          <w:rFonts w:eastAsia="Times New Roman"/>
          <w:lang w:eastAsia="de-DE"/>
        </w:rPr>
        <w:t xml:space="preserve">ist ein Relativsatz: </w:t>
      </w:r>
      <w:r w:rsidRPr="00B33854">
        <w:rPr>
          <w:rFonts w:eastAsia="Times New Roman"/>
          <w:b/>
          <w:bCs/>
          <w:rtl/>
          <w:lang w:eastAsia="de-DE"/>
        </w:rPr>
        <w:t>אֲשֶׁר</w:t>
      </w:r>
      <w:r w:rsidRPr="00B33854">
        <w:rPr>
          <w:rFonts w:eastAsia="Times New Roman"/>
          <w:rtl/>
          <w:lang w:eastAsia="de-DE"/>
        </w:rPr>
        <w:t xml:space="preserve"> </w:t>
      </w:r>
      <w:r w:rsidRPr="00B33854">
        <w:rPr>
          <w:rFonts w:eastAsia="Times New Roman"/>
          <w:lang w:eastAsia="de-DE"/>
        </w:rPr>
        <w:t xml:space="preserve">als Relativpronomen, </w:t>
      </w:r>
      <w:r w:rsidRPr="00B33854">
        <w:rPr>
          <w:rFonts w:eastAsia="Times New Roman"/>
          <w:b/>
          <w:bCs/>
          <w:rtl/>
          <w:lang w:eastAsia="de-DE"/>
        </w:rPr>
        <w:t>בְּעֵבֶר</w:t>
      </w:r>
      <w:r w:rsidRPr="00B33854">
        <w:rPr>
          <w:rFonts w:eastAsia="Times New Roman"/>
          <w:rtl/>
          <w:lang w:eastAsia="de-DE"/>
        </w:rPr>
        <w:t xml:space="preserve"> </w:t>
      </w:r>
      <w:r w:rsidRPr="00B33854">
        <w:rPr>
          <w:rFonts w:eastAsia="Times New Roman"/>
          <w:lang w:eastAsia="de-DE"/>
        </w:rPr>
        <w:t xml:space="preserve">als Präposition </w:t>
      </w:r>
      <w:r w:rsidRPr="00B33854">
        <w:rPr>
          <w:rFonts w:eastAsia="Times New Roman"/>
          <w:b/>
          <w:bCs/>
          <w:rtl/>
          <w:lang w:eastAsia="de-DE"/>
        </w:rPr>
        <w:t>בְּ</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עֵבֶר</w:t>
      </w:r>
      <w:r w:rsidRPr="00B33854">
        <w:rPr>
          <w:rFonts w:eastAsia="Times New Roman"/>
          <w:rtl/>
          <w:lang w:eastAsia="de-DE"/>
        </w:rPr>
        <w:t xml:space="preserve"> </w:t>
      </w:r>
      <w:r w:rsidRPr="00B33854">
        <w:rPr>
          <w:rFonts w:eastAsia="Times New Roman"/>
          <w:lang w:eastAsia="de-DE"/>
        </w:rPr>
        <w:t xml:space="preserve">(„Seite, jenseits") im Construct, </w:t>
      </w:r>
      <w:r w:rsidRPr="00B33854">
        <w:rPr>
          <w:rFonts w:eastAsia="Times New Roman"/>
          <w:b/>
          <w:bCs/>
          <w:rtl/>
          <w:lang w:eastAsia="de-DE"/>
        </w:rPr>
        <w:t>הַיַּרְדֵּן</w:t>
      </w:r>
      <w:r w:rsidRPr="00B33854">
        <w:rPr>
          <w:rFonts w:eastAsia="Times New Roman"/>
          <w:rtl/>
          <w:lang w:eastAsia="de-DE"/>
        </w:rPr>
        <w:t xml:space="preserve"> </w:t>
      </w:r>
      <w:r w:rsidRPr="00B33854">
        <w:rPr>
          <w:rFonts w:eastAsia="Times New Roman"/>
          <w:lang w:eastAsia="de-DE"/>
        </w:rPr>
        <w:t xml:space="preserve">(„der Jordan", mit Artikel). </w:t>
      </w:r>
      <w:r w:rsidRPr="00B33854">
        <w:rPr>
          <w:rFonts w:eastAsia="Times New Roman"/>
          <w:b/>
          <w:bCs/>
          <w:rtl/>
          <w:lang w:eastAsia="de-DE"/>
        </w:rPr>
        <w:t>מִנַּחַל אַרְנֹן</w:t>
      </w:r>
      <w:r w:rsidRPr="00B33854">
        <w:rPr>
          <w:rFonts w:eastAsia="Times New Roman"/>
          <w:rtl/>
          <w:lang w:eastAsia="de-DE"/>
        </w:rPr>
        <w:t xml:space="preserve"> </w:t>
      </w:r>
      <w:r w:rsidRPr="00B33854">
        <w:rPr>
          <w:rFonts w:eastAsia="Times New Roman"/>
          <w:lang w:eastAsia="de-DE"/>
        </w:rPr>
        <w:t xml:space="preserve">ist eine geografische Grenzangabe: </w:t>
      </w:r>
      <w:r w:rsidRPr="00B33854">
        <w:rPr>
          <w:rFonts w:eastAsia="Times New Roman"/>
          <w:b/>
          <w:bCs/>
          <w:rtl/>
          <w:lang w:eastAsia="de-DE"/>
        </w:rPr>
        <w:t>מִן</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נַחַל</w:t>
      </w:r>
      <w:r w:rsidRPr="00B33854">
        <w:rPr>
          <w:rFonts w:eastAsia="Times New Roman"/>
          <w:rtl/>
          <w:lang w:eastAsia="de-DE"/>
        </w:rPr>
        <w:t xml:space="preserve"> </w:t>
      </w:r>
      <w:r w:rsidRPr="00B33854">
        <w:rPr>
          <w:rFonts w:eastAsia="Times New Roman"/>
          <w:lang w:eastAsia="de-DE"/>
        </w:rPr>
        <w:t xml:space="preserve">(„Bach, Fluss") im Construct und </w:t>
      </w:r>
      <w:r w:rsidRPr="00B33854">
        <w:rPr>
          <w:rFonts w:eastAsia="Times New Roman"/>
          <w:b/>
          <w:bCs/>
          <w:rtl/>
          <w:lang w:eastAsia="de-DE"/>
        </w:rPr>
        <w:t>אַרְנֹן</w:t>
      </w:r>
      <w:r w:rsidRPr="00B33854">
        <w:rPr>
          <w:rFonts w:eastAsia="Times New Roman"/>
          <w:rtl/>
          <w:lang w:eastAsia="de-DE"/>
        </w:rPr>
        <w:t xml:space="preserve"> </w:t>
      </w:r>
      <w:r w:rsidRPr="00B33854">
        <w:rPr>
          <w:rFonts w:eastAsia="Times New Roman"/>
          <w:lang w:eastAsia="de-DE"/>
        </w:rPr>
        <w:t xml:space="preserve">(Flussname). </w:t>
      </w:r>
      <w:r w:rsidRPr="00B33854">
        <w:rPr>
          <w:rFonts w:eastAsia="Times New Roman"/>
          <w:b/>
          <w:bCs/>
          <w:rtl/>
          <w:lang w:eastAsia="de-DE"/>
        </w:rPr>
        <w:t>עַד־הַר חֶרְמוֹן</w:t>
      </w:r>
      <w:r w:rsidRPr="00B33854">
        <w:rPr>
          <w:rFonts w:eastAsia="Times New Roman"/>
          <w:rtl/>
          <w:lang w:eastAsia="de-DE"/>
        </w:rPr>
        <w:t xml:space="preserve"> </w:t>
      </w:r>
      <w:r w:rsidRPr="00B33854">
        <w:rPr>
          <w:rFonts w:eastAsia="Times New Roman"/>
          <w:lang w:eastAsia="de-DE"/>
        </w:rPr>
        <w:t xml:space="preserve">ist die korrespondierende Endgrenze: </w:t>
      </w:r>
      <w:r w:rsidRPr="00B33854">
        <w:rPr>
          <w:rFonts w:eastAsia="Times New Roman"/>
          <w:b/>
          <w:bCs/>
          <w:rtl/>
          <w:lang w:eastAsia="de-DE"/>
        </w:rPr>
        <w:t>עַד</w:t>
      </w:r>
      <w:r w:rsidRPr="00B33854">
        <w:rPr>
          <w:rFonts w:eastAsia="Times New Roman"/>
          <w:rtl/>
          <w:lang w:eastAsia="de-DE"/>
        </w:rPr>
        <w:t xml:space="preserve"> </w:t>
      </w:r>
      <w:r w:rsidRPr="00B33854">
        <w:rPr>
          <w:rFonts w:eastAsia="Times New Roman"/>
          <w:lang w:eastAsia="de-DE"/>
        </w:rPr>
        <w:t xml:space="preserve">(„bis") mit </w:t>
      </w:r>
      <w:r w:rsidRPr="00B33854">
        <w:rPr>
          <w:rFonts w:eastAsia="Times New Roman"/>
          <w:b/>
          <w:bCs/>
          <w:rtl/>
          <w:lang w:eastAsia="de-DE"/>
        </w:rPr>
        <w:t>הַר</w:t>
      </w:r>
      <w:r w:rsidRPr="00B33854">
        <w:rPr>
          <w:rFonts w:eastAsia="Times New Roman"/>
          <w:rtl/>
          <w:lang w:eastAsia="de-DE"/>
        </w:rPr>
        <w:t xml:space="preserve"> </w:t>
      </w:r>
      <w:r w:rsidRPr="00B33854">
        <w:rPr>
          <w:rFonts w:eastAsia="Times New Roman"/>
          <w:lang w:eastAsia="de-DE"/>
        </w:rPr>
        <w:t xml:space="preserve">(„Berg") im Construct und </w:t>
      </w:r>
      <w:r w:rsidRPr="00B33854">
        <w:rPr>
          <w:rFonts w:eastAsia="Times New Roman"/>
          <w:b/>
          <w:bCs/>
          <w:rtl/>
          <w:lang w:eastAsia="de-DE"/>
        </w:rPr>
        <w:t>חֶרְמוֹן</w:t>
      </w:r>
      <w:r w:rsidRPr="00B33854">
        <w:rPr>
          <w:rFonts w:eastAsia="Times New Roman"/>
          <w:rtl/>
          <w:lang w:eastAsia="de-DE"/>
        </w:rPr>
        <w:t xml:space="preserve"> </w:t>
      </w:r>
      <w:r w:rsidRPr="00B33854">
        <w:rPr>
          <w:rFonts w:eastAsia="Times New Roman"/>
          <w:lang w:eastAsia="de-DE"/>
        </w:rPr>
        <w:t>(Bergname).</w:t>
      </w:r>
    </w:p>
    <w:p w14:paraId="4131A4E3"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Die Satzstruktur besteht aus einem Hauptsatz mit Zeitangabe, Objekt und einer idiomatischen Herkunftsangabe, die durch eine komplexe Construct-Kette erweitert wird. Ein Relativsatz lokalisiert die Könige geografisch. Zwei präpositionale Angaben markieren die südliche und nördliche Grenze des eroberten Gebiets.</w:t>
      </w:r>
    </w:p>
    <w:p w14:paraId="288F650B"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 xml:space="preserve">Der Vers fasst die territoriale Eroberung zusammen: das gesamte transjordanische Gebiet von den zwei </w:t>
      </w:r>
      <w:proofErr w:type="spellStart"/>
      <w:r w:rsidRPr="00B33854">
        <w:rPr>
          <w:rFonts w:eastAsia="Times New Roman"/>
          <w:lang w:eastAsia="de-DE"/>
        </w:rPr>
        <w:t>Amoriterkönigen</w:t>
      </w:r>
      <w:proofErr w:type="spellEnd"/>
      <w:r w:rsidRPr="00B33854">
        <w:rPr>
          <w:rFonts w:eastAsia="Times New Roman"/>
          <w:lang w:eastAsia="de-DE"/>
        </w:rPr>
        <w:t>, vom Arnon im Süden bis zum Hermon im Norden.</w:t>
      </w:r>
    </w:p>
    <w:p w14:paraId="202422E7"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3,9</w:t>
      </w:r>
    </w:p>
    <w:p w14:paraId="255BAB78"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צִידֹנִ֛ים יִקְרְא֥וּ לְחֶרְמ֖וֹן שִׂרְיֹ֑ן וְהָ֣אֱמֹרִ֔י יִקְרְאוּ־לוֹ֖ שְׂנִֽיר׃</w:t>
      </w:r>
    </w:p>
    <w:p w14:paraId="48CDF33C"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Die Zidonim nennen den Chermon Sirjon, und die Emori nennen ihn Senir.</w:t>
      </w:r>
    </w:p>
    <w:p w14:paraId="1FF91A11"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01BD261C">
          <v:rect id="_x0000_i1116" style="width:0;height:1.5pt" o:hralign="center" o:hrstd="t" o:hr="t" fillcolor="#a0a0a0" stroked="f"/>
        </w:pict>
      </w:r>
    </w:p>
    <w:p w14:paraId="3269CCC7" w14:textId="39474B9E"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צִידֹנִים</w:t>
      </w:r>
      <w:r w:rsidRPr="00B33854">
        <w:rPr>
          <w:rFonts w:eastAsia="Times New Roman"/>
          <w:rtl/>
          <w:lang w:eastAsia="de-DE"/>
        </w:rPr>
        <w:t xml:space="preserve"> </w:t>
      </w:r>
      <w:r w:rsidRPr="00B33854">
        <w:rPr>
          <w:rFonts w:eastAsia="Times New Roman"/>
          <w:lang w:eastAsia="de-DE"/>
        </w:rPr>
        <w:t xml:space="preserve">ist das Subjekt: </w:t>
      </w:r>
      <w:r w:rsidRPr="00B33854">
        <w:rPr>
          <w:rFonts w:eastAsia="Times New Roman"/>
          <w:b/>
          <w:bCs/>
          <w:rtl/>
          <w:lang w:eastAsia="de-DE"/>
        </w:rPr>
        <w:t>צִידוֹן</w:t>
      </w:r>
      <w:r w:rsidRPr="00B33854">
        <w:rPr>
          <w:rFonts w:eastAsia="Times New Roman"/>
          <w:rtl/>
          <w:lang w:eastAsia="de-DE"/>
        </w:rPr>
        <w:t xml:space="preserve"> </w:t>
      </w:r>
      <w:r w:rsidRPr="00B33854">
        <w:rPr>
          <w:rFonts w:eastAsia="Times New Roman"/>
          <w:lang w:eastAsia="de-DE"/>
        </w:rPr>
        <w:t xml:space="preserve">(„Sidon") mit der </w:t>
      </w:r>
      <w:r w:rsidR="00C13523">
        <w:rPr>
          <w:rFonts w:eastAsia="Times New Roman"/>
          <w:lang w:eastAsia="de-DE"/>
        </w:rPr>
        <w:t>Gentilicum</w:t>
      </w:r>
      <w:r w:rsidRPr="00B33854">
        <w:rPr>
          <w:rFonts w:eastAsia="Times New Roman"/>
          <w:lang w:eastAsia="de-DE"/>
        </w:rPr>
        <w:t xml:space="preserve">-Endung </w:t>
      </w:r>
      <w:r w:rsidRPr="00B33854">
        <w:rPr>
          <w:rFonts w:eastAsia="Times New Roman"/>
          <w:b/>
          <w:bCs/>
          <w:lang w:eastAsia="de-DE"/>
        </w:rPr>
        <w:t>-</w:t>
      </w:r>
      <w:r w:rsidRPr="00B33854">
        <w:rPr>
          <w:rFonts w:eastAsia="Times New Roman"/>
          <w:b/>
          <w:bCs/>
          <w:rtl/>
          <w:lang w:eastAsia="de-DE"/>
        </w:rPr>
        <w:t>ִים</w:t>
      </w:r>
      <w:r w:rsidRPr="00B33854">
        <w:rPr>
          <w:rFonts w:eastAsia="Times New Roman"/>
          <w:rtl/>
          <w:lang w:eastAsia="de-DE"/>
        </w:rPr>
        <w:t xml:space="preserve"> </w:t>
      </w:r>
      <w:r w:rsidRPr="00B33854">
        <w:rPr>
          <w:rFonts w:eastAsia="Times New Roman"/>
          <w:lang w:eastAsia="de-DE"/>
        </w:rPr>
        <w:t xml:space="preserve">im Plural („die Sidonier"). </w:t>
      </w:r>
      <w:r w:rsidRPr="00B33854">
        <w:rPr>
          <w:rFonts w:eastAsia="Times New Roman"/>
          <w:b/>
          <w:bCs/>
          <w:rtl/>
          <w:lang w:eastAsia="de-DE"/>
        </w:rPr>
        <w:t>יִקְרְאוּ</w:t>
      </w:r>
      <w:r w:rsidRPr="00B33854">
        <w:rPr>
          <w:rFonts w:eastAsia="Times New Roman"/>
          <w:rtl/>
          <w:lang w:eastAsia="de-DE"/>
        </w:rPr>
        <w:t xml:space="preserve"> </w:t>
      </w:r>
      <w:r w:rsidRPr="00B33854">
        <w:rPr>
          <w:rFonts w:eastAsia="Times New Roman"/>
          <w:lang w:eastAsia="de-DE"/>
        </w:rPr>
        <w:t xml:space="preserve">ist Qal Imperfekt, 3. Person Plural maskulin von </w:t>
      </w:r>
      <w:r w:rsidRPr="00B33854">
        <w:rPr>
          <w:rFonts w:eastAsia="Times New Roman"/>
          <w:b/>
          <w:bCs/>
          <w:rtl/>
          <w:lang w:eastAsia="de-DE"/>
        </w:rPr>
        <w:t>קרא</w:t>
      </w:r>
      <w:r w:rsidRPr="00B33854">
        <w:rPr>
          <w:rFonts w:eastAsia="Times New Roman"/>
          <w:rtl/>
          <w:lang w:eastAsia="de-DE"/>
        </w:rPr>
        <w:t xml:space="preserve"> </w:t>
      </w:r>
      <w:r w:rsidRPr="00B33854">
        <w:rPr>
          <w:rFonts w:eastAsia="Times New Roman"/>
          <w:lang w:eastAsia="de-DE"/>
        </w:rPr>
        <w:t xml:space="preserve">(„rufen, nennen"). </w:t>
      </w:r>
      <w:r w:rsidRPr="00B33854">
        <w:rPr>
          <w:rFonts w:eastAsia="Times New Roman"/>
          <w:b/>
          <w:bCs/>
          <w:rtl/>
          <w:lang w:eastAsia="de-DE"/>
        </w:rPr>
        <w:t>לְחֶרְמוֹן</w:t>
      </w:r>
      <w:r w:rsidRPr="00B33854">
        <w:rPr>
          <w:rFonts w:eastAsia="Times New Roman"/>
          <w:rtl/>
          <w:lang w:eastAsia="de-DE"/>
        </w:rPr>
        <w:t xml:space="preserve"> </w:t>
      </w:r>
      <w:r w:rsidRPr="00B33854">
        <w:rPr>
          <w:rFonts w:eastAsia="Times New Roman"/>
          <w:lang w:eastAsia="de-DE"/>
        </w:rPr>
        <w:t xml:space="preserve">ist Präposition </w:t>
      </w:r>
      <w:r w:rsidRPr="00B33854">
        <w:rPr>
          <w:rFonts w:eastAsia="Times New Roman"/>
          <w:b/>
          <w:bCs/>
          <w:rtl/>
          <w:lang w:eastAsia="de-DE"/>
        </w:rPr>
        <w:t>לְ</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חֶרְמוֹן</w:t>
      </w:r>
      <w:r w:rsidRPr="00B33854">
        <w:rPr>
          <w:rFonts w:eastAsia="Times New Roman"/>
          <w:rtl/>
          <w:lang w:eastAsia="de-DE"/>
        </w:rPr>
        <w:t xml:space="preserve"> </w:t>
      </w:r>
      <w:r w:rsidRPr="00B33854">
        <w:rPr>
          <w:rFonts w:eastAsia="Times New Roman"/>
          <w:lang w:eastAsia="de-DE"/>
        </w:rPr>
        <w:t xml:space="preserve">(Bergname), wobei </w:t>
      </w:r>
      <w:r w:rsidRPr="00B33854">
        <w:rPr>
          <w:rFonts w:eastAsia="Times New Roman"/>
          <w:b/>
          <w:bCs/>
          <w:rtl/>
          <w:lang w:eastAsia="de-DE"/>
        </w:rPr>
        <w:t>לְ</w:t>
      </w:r>
      <w:r w:rsidRPr="00B33854">
        <w:rPr>
          <w:rFonts w:eastAsia="Times New Roman"/>
          <w:rtl/>
          <w:lang w:eastAsia="de-DE"/>
        </w:rPr>
        <w:t xml:space="preserve"> </w:t>
      </w:r>
      <w:r w:rsidRPr="00B33854">
        <w:rPr>
          <w:rFonts w:eastAsia="Times New Roman"/>
          <w:lang w:eastAsia="de-DE"/>
        </w:rPr>
        <w:t xml:space="preserve">hier die Bedeutung „in Bezug auf, für" hat. </w:t>
      </w:r>
      <w:r w:rsidRPr="00B33854">
        <w:rPr>
          <w:rFonts w:eastAsia="Times New Roman"/>
          <w:b/>
          <w:bCs/>
          <w:rtl/>
          <w:lang w:eastAsia="de-DE"/>
        </w:rPr>
        <w:t>שִׂרְיֹן</w:t>
      </w:r>
      <w:r w:rsidRPr="00B33854">
        <w:rPr>
          <w:rFonts w:eastAsia="Times New Roman"/>
          <w:rtl/>
          <w:lang w:eastAsia="de-DE"/>
        </w:rPr>
        <w:t xml:space="preserve"> </w:t>
      </w:r>
      <w:r w:rsidRPr="00B33854">
        <w:rPr>
          <w:rFonts w:eastAsia="Times New Roman"/>
          <w:lang w:eastAsia="de-DE"/>
        </w:rPr>
        <w:t>ist das Prädikatsnomen, der alternative Name für den Hermon.</w:t>
      </w:r>
    </w:p>
    <w:p w14:paraId="1FE1B687" w14:textId="4E8970B5"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וְהָאֱמֹרִי</w:t>
      </w:r>
      <w:r w:rsidRPr="00B33854">
        <w:rPr>
          <w:rFonts w:eastAsia="Times New Roman"/>
          <w:rtl/>
          <w:lang w:eastAsia="de-DE"/>
        </w:rPr>
        <w:t xml:space="preserve"> </w:t>
      </w:r>
      <w:r w:rsidRPr="00B33854">
        <w:rPr>
          <w:rFonts w:eastAsia="Times New Roman"/>
          <w:lang w:eastAsia="de-DE"/>
        </w:rPr>
        <w:t xml:space="preserve">ist das koordinierte Subjekt des zweiten Satzes: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הָאֱמֹרִי</w:t>
      </w:r>
      <w:r w:rsidRPr="00B33854">
        <w:rPr>
          <w:rFonts w:eastAsia="Times New Roman"/>
          <w:rtl/>
          <w:lang w:eastAsia="de-DE"/>
        </w:rPr>
        <w:t xml:space="preserve"> </w:t>
      </w:r>
      <w:r w:rsidRPr="00B33854">
        <w:rPr>
          <w:rFonts w:eastAsia="Times New Roman"/>
          <w:lang w:eastAsia="de-DE"/>
        </w:rPr>
        <w:t xml:space="preserve">(„die Amoriter", kollektiver Singular mit Artikel). </w:t>
      </w:r>
      <w:r w:rsidRPr="00B33854">
        <w:rPr>
          <w:rFonts w:eastAsia="Times New Roman"/>
          <w:b/>
          <w:bCs/>
          <w:rtl/>
          <w:lang w:eastAsia="de-DE"/>
        </w:rPr>
        <w:t>יִקְרְאוּ־לוֹ</w:t>
      </w:r>
      <w:r w:rsidRPr="00B33854">
        <w:rPr>
          <w:rFonts w:eastAsia="Times New Roman"/>
          <w:rtl/>
          <w:lang w:eastAsia="de-DE"/>
        </w:rPr>
        <w:t xml:space="preserve"> </w:t>
      </w:r>
      <w:r w:rsidRPr="00B33854">
        <w:rPr>
          <w:rFonts w:eastAsia="Times New Roman"/>
          <w:lang w:eastAsia="de-DE"/>
        </w:rPr>
        <w:t xml:space="preserve">ist Qal Imperfekt, 3. Person Plural maskulin von </w:t>
      </w:r>
      <w:r w:rsidRPr="00B33854">
        <w:rPr>
          <w:rFonts w:eastAsia="Times New Roman"/>
          <w:b/>
          <w:bCs/>
          <w:rtl/>
          <w:lang w:eastAsia="de-DE"/>
        </w:rPr>
        <w:t>קרא</w:t>
      </w:r>
      <w:r w:rsidRPr="00B33854">
        <w:rPr>
          <w:rFonts w:eastAsia="Times New Roman"/>
          <w:rtl/>
          <w:lang w:eastAsia="de-DE"/>
        </w:rPr>
        <w:t xml:space="preserve"> </w:t>
      </w:r>
      <w:r w:rsidRPr="00B33854">
        <w:rPr>
          <w:rFonts w:eastAsia="Times New Roman"/>
          <w:lang w:eastAsia="de-DE"/>
        </w:rPr>
        <w:t xml:space="preserve">mit Suffix 3. Person Singular maskulin </w:t>
      </w:r>
      <w:r w:rsidRPr="00B33854">
        <w:rPr>
          <w:rFonts w:eastAsia="Times New Roman"/>
          <w:b/>
          <w:bCs/>
          <w:rtl/>
          <w:lang w:eastAsia="de-DE"/>
        </w:rPr>
        <w:t>לוֹ</w:t>
      </w:r>
      <w:r w:rsidRPr="00B33854">
        <w:rPr>
          <w:rFonts w:eastAsia="Times New Roman"/>
          <w:rtl/>
          <w:lang w:eastAsia="de-DE"/>
        </w:rPr>
        <w:t xml:space="preserve"> </w:t>
      </w:r>
      <w:r w:rsidRPr="00B33854">
        <w:rPr>
          <w:rFonts w:eastAsia="Times New Roman"/>
          <w:lang w:eastAsia="de-DE"/>
        </w:rPr>
        <w:t xml:space="preserve">(„ihm"), durch </w:t>
      </w:r>
      <w:r w:rsidR="00324616">
        <w:rPr>
          <w:rFonts w:eastAsia="Times New Roman"/>
          <w:lang w:eastAsia="de-DE"/>
        </w:rPr>
        <w:t>Maqqef</w:t>
      </w:r>
      <w:r w:rsidRPr="00B33854">
        <w:rPr>
          <w:rFonts w:eastAsia="Times New Roman"/>
          <w:lang w:eastAsia="de-DE"/>
        </w:rPr>
        <w:t xml:space="preserve"> verbunden. </w:t>
      </w:r>
      <w:r w:rsidRPr="00B33854">
        <w:rPr>
          <w:rFonts w:eastAsia="Times New Roman"/>
          <w:b/>
          <w:bCs/>
          <w:rtl/>
          <w:lang w:eastAsia="de-DE"/>
        </w:rPr>
        <w:t>שְׂנִיר</w:t>
      </w:r>
      <w:r w:rsidRPr="00B33854">
        <w:rPr>
          <w:rFonts w:eastAsia="Times New Roman"/>
          <w:rtl/>
          <w:lang w:eastAsia="de-DE"/>
        </w:rPr>
        <w:t xml:space="preserve"> </w:t>
      </w:r>
      <w:r w:rsidRPr="00B33854">
        <w:rPr>
          <w:rFonts w:eastAsia="Times New Roman"/>
          <w:lang w:eastAsia="de-DE"/>
        </w:rPr>
        <w:t>ist das zweite Prädikatsnomen, ein weiterer alternativer Name.</w:t>
      </w:r>
    </w:p>
    <w:p w14:paraId="3124106B"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lastRenderedPageBreak/>
        <w:t xml:space="preserve">Dieser Vers ist eine ethnolinguistische Parenthese, die die verschiedenen Bezeichnungen des Berges Hermon bei unterschiedlichen Völkern erklärt. Die Verwendung von </w:t>
      </w:r>
      <w:r w:rsidRPr="00B33854">
        <w:rPr>
          <w:rFonts w:eastAsia="Times New Roman"/>
          <w:b/>
          <w:bCs/>
          <w:rtl/>
          <w:lang w:eastAsia="de-DE"/>
        </w:rPr>
        <w:t>יִקְרְאוּ</w:t>
      </w:r>
      <w:r w:rsidRPr="00B33854">
        <w:rPr>
          <w:rFonts w:eastAsia="Times New Roman"/>
          <w:rtl/>
          <w:lang w:eastAsia="de-DE"/>
        </w:rPr>
        <w:t xml:space="preserve"> </w:t>
      </w:r>
      <w:r w:rsidRPr="00B33854">
        <w:rPr>
          <w:rFonts w:eastAsia="Times New Roman"/>
          <w:lang w:eastAsia="de-DE"/>
        </w:rPr>
        <w:t>im Imperfekt drückt eine habituelle Handlung aus („pflegen zu nennen").</w:t>
      </w:r>
    </w:p>
    <w:p w14:paraId="4F969543"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Die Satzstruktur besteht aus zwei parallel konstruierten Hauptsätzen mit identischer Struktur: Subjekt (Völkername) – Prädikat (nennen) – indirektes Objekt (dem Berg) – Prädikatsnomen (Name). Die Parallelität unterstreicht den kontrastiven Charakter der Information.</w:t>
      </w:r>
    </w:p>
    <w:p w14:paraId="5EE9149D"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 xml:space="preserve">Der Vers gibt eine etymologische bzw. </w:t>
      </w:r>
      <w:proofErr w:type="spellStart"/>
      <w:r w:rsidRPr="00B33854">
        <w:rPr>
          <w:rFonts w:eastAsia="Times New Roman"/>
          <w:lang w:eastAsia="de-DE"/>
        </w:rPr>
        <w:t>onomastische</w:t>
      </w:r>
      <w:proofErr w:type="spellEnd"/>
      <w:r w:rsidRPr="00B33854">
        <w:rPr>
          <w:rFonts w:eastAsia="Times New Roman"/>
          <w:lang w:eastAsia="de-DE"/>
        </w:rPr>
        <w:t xml:space="preserve"> Erläuterung zu den verschiedenen Namen des Berges Hermon bei Sidoniern und Amoritern.</w:t>
      </w:r>
    </w:p>
    <w:p w14:paraId="2EC8ACBE"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3,10</w:t>
      </w:r>
    </w:p>
    <w:p w14:paraId="6397C977"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כֹּ֣ל׀ עָרֵ֣י הַמִּישֹׁ֗ר וְכָל־הַגִּלְעָד֙ וְכָל־הַבָּשָׁ֔ן עַד־סַלְכָ֖ה וְאֶדְרֶ֑עִי עָרֵ֛י מַמְלֶ֥כֶת ע֖וֹג בַּבָּשָֽׁן׃</w:t>
      </w:r>
    </w:p>
    <w:p w14:paraId="5118CF45"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alle Städte der Ebene und ganz Gil'ad und ganz Baschan bis Salcha und Edre'i, Städte des Königreichs Ogs in Baschan.</w:t>
      </w:r>
    </w:p>
    <w:p w14:paraId="3FD45944"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506BAE41">
          <v:rect id="_x0000_i1117" style="width:0;height:1.5pt" o:hralign="center" o:hrstd="t" o:hr="t" fillcolor="#a0a0a0" stroked="f"/>
        </w:pict>
      </w:r>
    </w:p>
    <w:p w14:paraId="50715F51"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כֹּל עָרֵי הַמִּישֹׁר</w:t>
      </w:r>
      <w:r w:rsidRPr="00B33854">
        <w:rPr>
          <w:rFonts w:eastAsia="Times New Roman"/>
          <w:rtl/>
          <w:lang w:eastAsia="de-DE"/>
        </w:rPr>
        <w:t xml:space="preserve"> </w:t>
      </w:r>
      <w:r w:rsidRPr="00B33854">
        <w:rPr>
          <w:rFonts w:eastAsia="Times New Roman"/>
          <w:lang w:eastAsia="de-DE"/>
        </w:rPr>
        <w:t xml:space="preserve">ist eine dreigliedrige Construct-Verbindung: </w:t>
      </w:r>
      <w:r w:rsidRPr="00B33854">
        <w:rPr>
          <w:rFonts w:eastAsia="Times New Roman"/>
          <w:b/>
          <w:bCs/>
          <w:rtl/>
          <w:lang w:eastAsia="de-DE"/>
        </w:rPr>
        <w:t>כֹּל</w:t>
      </w:r>
      <w:r w:rsidRPr="00B33854">
        <w:rPr>
          <w:rFonts w:eastAsia="Times New Roman"/>
          <w:rtl/>
          <w:lang w:eastAsia="de-DE"/>
        </w:rPr>
        <w:t xml:space="preserve"> </w:t>
      </w:r>
      <w:r w:rsidRPr="00B33854">
        <w:rPr>
          <w:rFonts w:eastAsia="Times New Roman"/>
          <w:lang w:eastAsia="de-DE"/>
        </w:rPr>
        <w:t xml:space="preserve">(„alle") im Construct, </w:t>
      </w:r>
      <w:r w:rsidRPr="00B33854">
        <w:rPr>
          <w:rFonts w:eastAsia="Times New Roman"/>
          <w:b/>
          <w:bCs/>
          <w:rtl/>
          <w:lang w:eastAsia="de-DE"/>
        </w:rPr>
        <w:t>עָרֵי</w:t>
      </w:r>
      <w:r w:rsidRPr="00B33854">
        <w:rPr>
          <w:rFonts w:eastAsia="Times New Roman"/>
          <w:rtl/>
          <w:lang w:eastAsia="de-DE"/>
        </w:rPr>
        <w:t xml:space="preserve"> </w:t>
      </w:r>
      <w:r w:rsidRPr="00B33854">
        <w:rPr>
          <w:rFonts w:eastAsia="Times New Roman"/>
          <w:lang w:eastAsia="de-DE"/>
        </w:rPr>
        <w:t xml:space="preserve">(Plural Construct von </w:t>
      </w:r>
      <w:r w:rsidRPr="00B33854">
        <w:rPr>
          <w:rFonts w:eastAsia="Times New Roman"/>
          <w:b/>
          <w:bCs/>
          <w:rtl/>
          <w:lang w:eastAsia="de-DE"/>
        </w:rPr>
        <w:t>עִיר</w:t>
      </w:r>
      <w:r w:rsidRPr="00B33854">
        <w:rPr>
          <w:rFonts w:eastAsia="Times New Roman"/>
          <w:lang w:eastAsia="de-DE"/>
        </w:rPr>
        <w:t xml:space="preserve">), </w:t>
      </w:r>
      <w:r w:rsidRPr="00B33854">
        <w:rPr>
          <w:rFonts w:eastAsia="Times New Roman"/>
          <w:b/>
          <w:bCs/>
          <w:rtl/>
          <w:lang w:eastAsia="de-DE"/>
        </w:rPr>
        <w:t>הַמִּישֹׁר</w:t>
      </w:r>
      <w:r w:rsidRPr="00B33854">
        <w:rPr>
          <w:rFonts w:eastAsia="Times New Roman"/>
          <w:rtl/>
          <w:lang w:eastAsia="de-DE"/>
        </w:rPr>
        <w:t xml:space="preserve"> </w:t>
      </w:r>
      <w:r w:rsidRPr="00B33854">
        <w:rPr>
          <w:rFonts w:eastAsia="Times New Roman"/>
          <w:lang w:eastAsia="de-DE"/>
        </w:rPr>
        <w:t xml:space="preserve">(„die Ebene", mit Artikel). </w:t>
      </w:r>
      <w:r w:rsidRPr="00B33854">
        <w:rPr>
          <w:rFonts w:eastAsia="Times New Roman"/>
          <w:b/>
          <w:bCs/>
          <w:rtl/>
          <w:lang w:eastAsia="de-DE"/>
        </w:rPr>
        <w:t>וְכָל־הַגִּלְעָד</w:t>
      </w:r>
      <w:r w:rsidRPr="00B33854">
        <w:rPr>
          <w:rFonts w:eastAsia="Times New Roman"/>
          <w:rtl/>
          <w:lang w:eastAsia="de-DE"/>
        </w:rPr>
        <w:t xml:space="preserve"> </w:t>
      </w:r>
      <w:r w:rsidRPr="00B33854">
        <w:rPr>
          <w:rFonts w:eastAsia="Times New Roman"/>
          <w:lang w:eastAsia="de-DE"/>
        </w:rPr>
        <w:t xml:space="preserve">ist eine koordinierte Erweiterung: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כָּל</w:t>
      </w:r>
      <w:r w:rsidRPr="00B33854">
        <w:rPr>
          <w:rFonts w:eastAsia="Times New Roman"/>
          <w:rtl/>
          <w:lang w:eastAsia="de-DE"/>
        </w:rPr>
        <w:t xml:space="preserve"> </w:t>
      </w:r>
      <w:r w:rsidRPr="00B33854">
        <w:rPr>
          <w:rFonts w:eastAsia="Times New Roman"/>
          <w:lang w:eastAsia="de-DE"/>
        </w:rPr>
        <w:t xml:space="preserve">im Construct und </w:t>
      </w:r>
      <w:r w:rsidRPr="00B33854">
        <w:rPr>
          <w:rFonts w:eastAsia="Times New Roman"/>
          <w:b/>
          <w:bCs/>
          <w:rtl/>
          <w:lang w:eastAsia="de-DE"/>
        </w:rPr>
        <w:t>הַגִּלְעָד</w:t>
      </w:r>
      <w:r w:rsidRPr="00B33854">
        <w:rPr>
          <w:rFonts w:eastAsia="Times New Roman"/>
          <w:rtl/>
          <w:lang w:eastAsia="de-DE"/>
        </w:rPr>
        <w:t xml:space="preserve"> </w:t>
      </w:r>
      <w:r w:rsidRPr="00B33854">
        <w:rPr>
          <w:rFonts w:eastAsia="Times New Roman"/>
          <w:lang w:eastAsia="de-DE"/>
        </w:rPr>
        <w:t xml:space="preserve">(„Gilead", Landschaftsname mit Artikel). </w:t>
      </w:r>
      <w:r w:rsidRPr="00B33854">
        <w:rPr>
          <w:rFonts w:eastAsia="Times New Roman"/>
          <w:b/>
          <w:bCs/>
          <w:rtl/>
          <w:lang w:eastAsia="de-DE"/>
        </w:rPr>
        <w:t>וְכָל־הַבָּשָׁן</w:t>
      </w:r>
      <w:r w:rsidRPr="00B33854">
        <w:rPr>
          <w:rFonts w:eastAsia="Times New Roman"/>
          <w:rtl/>
          <w:lang w:eastAsia="de-DE"/>
        </w:rPr>
        <w:t xml:space="preserve"> </w:t>
      </w:r>
      <w:r w:rsidRPr="00B33854">
        <w:rPr>
          <w:rFonts w:eastAsia="Times New Roman"/>
          <w:lang w:eastAsia="de-DE"/>
        </w:rPr>
        <w:t xml:space="preserve">ist strukturell parallel: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כָּל</w:t>
      </w:r>
      <w:r w:rsidRPr="00B33854">
        <w:rPr>
          <w:rFonts w:eastAsia="Times New Roman"/>
          <w:rtl/>
          <w:lang w:eastAsia="de-DE"/>
        </w:rPr>
        <w:t xml:space="preserve"> </w:t>
      </w:r>
      <w:r w:rsidRPr="00B33854">
        <w:rPr>
          <w:rFonts w:eastAsia="Times New Roman"/>
          <w:lang w:eastAsia="de-DE"/>
        </w:rPr>
        <w:t xml:space="preserve">im Construct und </w:t>
      </w:r>
      <w:r w:rsidRPr="00B33854">
        <w:rPr>
          <w:rFonts w:eastAsia="Times New Roman"/>
          <w:b/>
          <w:bCs/>
          <w:rtl/>
          <w:lang w:eastAsia="de-DE"/>
        </w:rPr>
        <w:t>הַבָּשָׁן</w:t>
      </w:r>
      <w:r w:rsidRPr="00B33854">
        <w:rPr>
          <w:rFonts w:eastAsia="Times New Roman"/>
          <w:rtl/>
          <w:lang w:eastAsia="de-DE"/>
        </w:rPr>
        <w:t xml:space="preserve"> </w:t>
      </w:r>
      <w:r w:rsidRPr="00B33854">
        <w:rPr>
          <w:rFonts w:eastAsia="Times New Roman"/>
          <w:lang w:eastAsia="de-DE"/>
        </w:rPr>
        <w:t>(„Baschan", mit Artikel).</w:t>
      </w:r>
    </w:p>
    <w:p w14:paraId="2862898F"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עַד־סַלְכָה וְאֶדְרֶעִי</w:t>
      </w:r>
      <w:r w:rsidRPr="00B33854">
        <w:rPr>
          <w:rFonts w:eastAsia="Times New Roman"/>
          <w:rtl/>
          <w:lang w:eastAsia="de-DE"/>
        </w:rPr>
        <w:t xml:space="preserve"> </w:t>
      </w:r>
      <w:r w:rsidRPr="00B33854">
        <w:rPr>
          <w:rFonts w:eastAsia="Times New Roman"/>
          <w:lang w:eastAsia="de-DE"/>
        </w:rPr>
        <w:t xml:space="preserve">gibt die Nordgrenze an: </w:t>
      </w:r>
      <w:r w:rsidRPr="00B33854">
        <w:rPr>
          <w:rFonts w:eastAsia="Times New Roman"/>
          <w:b/>
          <w:bCs/>
          <w:rtl/>
          <w:lang w:eastAsia="de-DE"/>
        </w:rPr>
        <w:t>עַד</w:t>
      </w:r>
      <w:r w:rsidRPr="00B33854">
        <w:rPr>
          <w:rFonts w:eastAsia="Times New Roman"/>
          <w:rtl/>
          <w:lang w:eastAsia="de-DE"/>
        </w:rPr>
        <w:t xml:space="preserve"> </w:t>
      </w:r>
      <w:r w:rsidRPr="00B33854">
        <w:rPr>
          <w:rFonts w:eastAsia="Times New Roman"/>
          <w:lang w:eastAsia="de-DE"/>
        </w:rPr>
        <w:t xml:space="preserve">(„bis") mit </w:t>
      </w:r>
      <w:r w:rsidRPr="00B33854">
        <w:rPr>
          <w:rFonts w:eastAsia="Times New Roman"/>
          <w:b/>
          <w:bCs/>
          <w:rtl/>
          <w:lang w:eastAsia="de-DE"/>
        </w:rPr>
        <w:t>סַלְכָה</w:t>
      </w:r>
      <w:r w:rsidRPr="00B33854">
        <w:rPr>
          <w:rFonts w:eastAsia="Times New Roman"/>
          <w:rtl/>
          <w:lang w:eastAsia="de-DE"/>
        </w:rPr>
        <w:t xml:space="preserve"> </w:t>
      </w:r>
      <w:r w:rsidRPr="00B33854">
        <w:rPr>
          <w:rFonts w:eastAsia="Times New Roman"/>
          <w:lang w:eastAsia="de-DE"/>
        </w:rPr>
        <w:t xml:space="preserve">(Ortsname) und koordiniertem </w:t>
      </w:r>
      <w:r w:rsidRPr="00B33854">
        <w:rPr>
          <w:rFonts w:eastAsia="Times New Roman"/>
          <w:b/>
          <w:bCs/>
          <w:rtl/>
          <w:lang w:eastAsia="de-DE"/>
        </w:rPr>
        <w:t>אֶדְרֶעִי</w:t>
      </w:r>
      <w:r w:rsidRPr="00B33854">
        <w:rPr>
          <w:rFonts w:eastAsia="Times New Roman"/>
          <w:rtl/>
          <w:lang w:eastAsia="de-DE"/>
        </w:rPr>
        <w:t xml:space="preserve"> </w:t>
      </w:r>
      <w:r w:rsidRPr="00B33854">
        <w:rPr>
          <w:rFonts w:eastAsia="Times New Roman"/>
          <w:lang w:eastAsia="de-DE"/>
        </w:rPr>
        <w:t xml:space="preserve">(Ortsname), beides wichtige Grenzstädte. </w:t>
      </w:r>
      <w:r w:rsidRPr="00B33854">
        <w:rPr>
          <w:rFonts w:eastAsia="Times New Roman"/>
          <w:b/>
          <w:bCs/>
          <w:rtl/>
          <w:lang w:eastAsia="de-DE"/>
        </w:rPr>
        <w:t>עָרֵי מַמְלֶכֶת עוֹג בַּבָּשָׁן</w:t>
      </w:r>
      <w:r w:rsidRPr="00B33854">
        <w:rPr>
          <w:rFonts w:eastAsia="Times New Roman"/>
          <w:rtl/>
          <w:lang w:eastAsia="de-DE"/>
        </w:rPr>
        <w:t xml:space="preserve"> </w:t>
      </w:r>
      <w:r w:rsidRPr="00B33854">
        <w:rPr>
          <w:rFonts w:eastAsia="Times New Roman"/>
          <w:lang w:eastAsia="de-DE"/>
        </w:rPr>
        <w:t xml:space="preserve">ist eine appositionelle Erweiterung: </w:t>
      </w:r>
      <w:r w:rsidRPr="00B33854">
        <w:rPr>
          <w:rFonts w:eastAsia="Times New Roman"/>
          <w:b/>
          <w:bCs/>
          <w:rtl/>
          <w:lang w:eastAsia="de-DE"/>
        </w:rPr>
        <w:t>עָרֵי</w:t>
      </w:r>
      <w:r w:rsidRPr="00B33854">
        <w:rPr>
          <w:rFonts w:eastAsia="Times New Roman"/>
          <w:rtl/>
          <w:lang w:eastAsia="de-DE"/>
        </w:rPr>
        <w:t xml:space="preserve"> </w:t>
      </w:r>
      <w:r w:rsidRPr="00B33854">
        <w:rPr>
          <w:rFonts w:eastAsia="Times New Roman"/>
          <w:lang w:eastAsia="de-DE"/>
        </w:rPr>
        <w:t xml:space="preserve">(Plural Construct von </w:t>
      </w:r>
      <w:r w:rsidRPr="00B33854">
        <w:rPr>
          <w:rFonts w:eastAsia="Times New Roman"/>
          <w:b/>
          <w:bCs/>
          <w:rtl/>
          <w:lang w:eastAsia="de-DE"/>
        </w:rPr>
        <w:t>עִיר</w:t>
      </w:r>
      <w:r w:rsidRPr="00B33854">
        <w:rPr>
          <w:rFonts w:eastAsia="Times New Roman"/>
          <w:lang w:eastAsia="de-DE"/>
        </w:rPr>
        <w:t xml:space="preserve">) mit </w:t>
      </w:r>
      <w:r w:rsidRPr="00B33854">
        <w:rPr>
          <w:rFonts w:eastAsia="Times New Roman"/>
          <w:b/>
          <w:bCs/>
          <w:rtl/>
          <w:lang w:eastAsia="de-DE"/>
        </w:rPr>
        <w:t>מַמְלֶכֶת</w:t>
      </w:r>
      <w:r w:rsidRPr="00B33854">
        <w:rPr>
          <w:rFonts w:eastAsia="Times New Roman"/>
          <w:rtl/>
          <w:lang w:eastAsia="de-DE"/>
        </w:rPr>
        <w:t xml:space="preserve"> </w:t>
      </w:r>
      <w:r w:rsidRPr="00B33854">
        <w:rPr>
          <w:rFonts w:eastAsia="Times New Roman"/>
          <w:lang w:eastAsia="de-DE"/>
        </w:rPr>
        <w:t xml:space="preserve">(„Königreich") im Construct, </w:t>
      </w:r>
      <w:r w:rsidRPr="00B33854">
        <w:rPr>
          <w:rFonts w:eastAsia="Times New Roman"/>
          <w:b/>
          <w:bCs/>
          <w:rtl/>
          <w:lang w:eastAsia="de-DE"/>
        </w:rPr>
        <w:t>עוֹג</w:t>
      </w:r>
      <w:r w:rsidRPr="00B33854">
        <w:rPr>
          <w:rFonts w:eastAsia="Times New Roman"/>
          <w:rtl/>
          <w:lang w:eastAsia="de-DE"/>
        </w:rPr>
        <w:t xml:space="preserve"> </w:t>
      </w:r>
      <w:r w:rsidRPr="00B33854">
        <w:rPr>
          <w:rFonts w:eastAsia="Times New Roman"/>
          <w:lang w:eastAsia="de-DE"/>
        </w:rPr>
        <w:t xml:space="preserve">(Eigenname) und der Ortsangabe </w:t>
      </w:r>
      <w:r w:rsidRPr="00B33854">
        <w:rPr>
          <w:rFonts w:eastAsia="Times New Roman"/>
          <w:b/>
          <w:bCs/>
          <w:rtl/>
          <w:lang w:eastAsia="de-DE"/>
        </w:rPr>
        <w:t>בַּבָּשָׁן</w:t>
      </w:r>
      <w:r w:rsidRPr="00B33854">
        <w:rPr>
          <w:rFonts w:eastAsia="Times New Roman"/>
          <w:rtl/>
          <w:lang w:eastAsia="de-DE"/>
        </w:rPr>
        <w:t xml:space="preserve"> </w:t>
      </w:r>
      <w:r w:rsidRPr="00B33854">
        <w:rPr>
          <w:rFonts w:eastAsia="Times New Roman"/>
          <w:lang w:eastAsia="de-DE"/>
        </w:rPr>
        <w:t xml:space="preserve">mit Präposition </w:t>
      </w:r>
      <w:r w:rsidRPr="00B33854">
        <w:rPr>
          <w:rFonts w:eastAsia="Times New Roman"/>
          <w:b/>
          <w:bCs/>
          <w:rtl/>
          <w:lang w:eastAsia="de-DE"/>
        </w:rPr>
        <w:t>בְּ</w:t>
      </w:r>
      <w:r w:rsidRPr="00B33854">
        <w:rPr>
          <w:rFonts w:eastAsia="Times New Roman"/>
          <w:lang w:eastAsia="de-DE"/>
        </w:rPr>
        <w:t>.</w:t>
      </w:r>
    </w:p>
    <w:p w14:paraId="6743F256"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Die Satzstruktur ist ein komplexer Nominalsatz ohne finites Verb, bestehend aus einer dreigliedrigen koordinierten Aufzählung von Gebieten, einer Grenzbeschreibung und einer appositiven politisch-geografischen Zuordnung. Der Vers ist syntaktisch von Vers 8 abhängig und spezifiziert das dort genannte Land.</w:t>
      </w:r>
    </w:p>
    <w:p w14:paraId="34B4C0B5"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Der Vers listet die drei Hauptregionen der Eroberung auf: die Hochebene, Gilead und Baschan, mit den nördlichen Grenzstädten und der politischen Zuordnung zum Reich Ogs.</w:t>
      </w:r>
    </w:p>
    <w:p w14:paraId="1551B613"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3,11</w:t>
      </w:r>
    </w:p>
    <w:p w14:paraId="7AC2B3F7"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כִּ֣י רַק־ע֞וֹג מֶ֣לֶךְ הַבָּשָׁ֗ן נִשְׁאַר֮ מִיֶּ֣תֶר הָרְפָאִים֒ הִנֵּ֤ה עַרְשׂוֹ֙ עֶ֣רֶשׂ בַּרְזֶ֔ל הֲלֹ֣ה הִ֔וא בְּרַבַּ֖ת בְּנֵ֣י עַמּ֑וֹן תֵּ֧שַׁע אַמּ֣וֹת אָרְכָּ֗הּ וְאַרְבַּ֥ע אַמּ֛וֹת רָחְבָּ֖הּ בְּאַמַּת־אִֽישׁ׃</w:t>
      </w:r>
    </w:p>
    <w:p w14:paraId="1A7F0C5C" w14:textId="2167967A"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Denn nur Og, der König von Baschan, war von dem Überrest der </w:t>
      </w:r>
      <w:r w:rsidR="00D91A0B">
        <w:rPr>
          <w:rFonts w:eastAsia="Times New Roman"/>
          <w:lang w:eastAsia="de-DE"/>
        </w:rPr>
        <w:t>Ephraim</w:t>
      </w:r>
      <w:r w:rsidRPr="00B33854">
        <w:rPr>
          <w:rFonts w:eastAsia="Times New Roman"/>
          <w:lang w:eastAsia="de-DE"/>
        </w:rPr>
        <w:t xml:space="preserve"> übriggeblieben. Siehe, sein Bett, ein Bett aus Eisen, ist es nicht in Rabba der Söhne Ammon? Neun Ellen seine Länge und vier Ellen seine Breite, nach der Elle eines Mannes.</w:t>
      </w:r>
    </w:p>
    <w:p w14:paraId="1709E231" w14:textId="77777777" w:rsidR="00B33854" w:rsidRPr="00B33854" w:rsidRDefault="004F5CEB" w:rsidP="00B33854">
      <w:pPr>
        <w:spacing w:after="0" w:line="240" w:lineRule="auto"/>
        <w:rPr>
          <w:rFonts w:eastAsia="Times New Roman"/>
          <w:lang w:eastAsia="de-DE"/>
        </w:rPr>
      </w:pPr>
      <w:r>
        <w:rPr>
          <w:rFonts w:eastAsia="Times New Roman"/>
          <w:noProof/>
          <w:lang w:eastAsia="de-DE"/>
        </w:rPr>
        <w:lastRenderedPageBreak/>
        <w:pict w14:anchorId="4E08C24A">
          <v:rect id="_x0000_i1118" style="width:0;height:1.5pt" o:hralign="center" o:hrstd="t" o:hr="t" fillcolor="#a0a0a0" stroked="f"/>
        </w:pict>
      </w:r>
    </w:p>
    <w:p w14:paraId="71373130" w14:textId="7D92353F"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כִּי</w:t>
      </w:r>
      <w:r w:rsidRPr="00B33854">
        <w:rPr>
          <w:rFonts w:eastAsia="Times New Roman"/>
          <w:rtl/>
          <w:lang w:eastAsia="de-DE"/>
        </w:rPr>
        <w:t xml:space="preserve"> </w:t>
      </w:r>
      <w:r w:rsidRPr="00B33854">
        <w:rPr>
          <w:rFonts w:eastAsia="Times New Roman"/>
          <w:lang w:eastAsia="de-DE"/>
        </w:rPr>
        <w:t xml:space="preserve">ist eine kausale bzw. explikative Konjunktion („denn"). </w:t>
      </w:r>
      <w:r w:rsidRPr="00B33854">
        <w:rPr>
          <w:rFonts w:eastAsia="Times New Roman"/>
          <w:b/>
          <w:bCs/>
          <w:rtl/>
          <w:lang w:eastAsia="de-DE"/>
        </w:rPr>
        <w:t>רַק</w:t>
      </w:r>
      <w:r w:rsidRPr="00B33854">
        <w:rPr>
          <w:rFonts w:eastAsia="Times New Roman"/>
          <w:rtl/>
          <w:lang w:eastAsia="de-DE"/>
        </w:rPr>
        <w:t xml:space="preserve"> </w:t>
      </w:r>
      <w:r w:rsidRPr="00B33854">
        <w:rPr>
          <w:rFonts w:eastAsia="Times New Roman"/>
          <w:lang w:eastAsia="de-DE"/>
        </w:rPr>
        <w:t xml:space="preserve">ist eine restriktive Partikel („nur, allein"). </w:t>
      </w:r>
      <w:r w:rsidRPr="00B33854">
        <w:rPr>
          <w:rFonts w:eastAsia="Times New Roman"/>
          <w:b/>
          <w:bCs/>
          <w:rtl/>
          <w:lang w:eastAsia="de-DE"/>
        </w:rPr>
        <w:t>עוֹג מֶלֶךְ הַבָּשָׁן</w:t>
      </w:r>
      <w:r w:rsidRPr="00B33854">
        <w:rPr>
          <w:rFonts w:eastAsia="Times New Roman"/>
          <w:rtl/>
          <w:lang w:eastAsia="de-DE"/>
        </w:rPr>
        <w:t xml:space="preserve"> </w:t>
      </w:r>
      <w:r w:rsidRPr="00B33854">
        <w:rPr>
          <w:rFonts w:eastAsia="Times New Roman"/>
          <w:lang w:eastAsia="de-DE"/>
        </w:rPr>
        <w:t xml:space="preserve">ist das Subjekt mit appositiver Titelangabe. </w:t>
      </w:r>
      <w:r w:rsidRPr="00B33854">
        <w:rPr>
          <w:rFonts w:eastAsia="Times New Roman"/>
          <w:b/>
          <w:bCs/>
          <w:rtl/>
          <w:lang w:eastAsia="de-DE"/>
        </w:rPr>
        <w:t>נִשְׁאַר</w:t>
      </w:r>
      <w:r w:rsidRPr="00B33854">
        <w:rPr>
          <w:rFonts w:eastAsia="Times New Roman"/>
          <w:rtl/>
          <w:lang w:eastAsia="de-DE"/>
        </w:rPr>
        <w:t xml:space="preserve"> </w:t>
      </w:r>
      <w:r w:rsidRPr="00B33854">
        <w:rPr>
          <w:rFonts w:eastAsia="Times New Roman"/>
          <w:lang w:eastAsia="de-DE"/>
        </w:rPr>
        <w:t xml:space="preserve">ist Nifal Perfekt, 3. Person Singular maskulin von </w:t>
      </w:r>
      <w:r w:rsidRPr="00B33854">
        <w:rPr>
          <w:rFonts w:eastAsia="Times New Roman"/>
          <w:b/>
          <w:bCs/>
          <w:rtl/>
          <w:lang w:eastAsia="de-DE"/>
        </w:rPr>
        <w:t>שׁאר</w:t>
      </w:r>
      <w:r w:rsidRPr="00B33854">
        <w:rPr>
          <w:rFonts w:eastAsia="Times New Roman"/>
          <w:rtl/>
          <w:lang w:eastAsia="de-DE"/>
        </w:rPr>
        <w:t xml:space="preserve"> </w:t>
      </w:r>
      <w:r w:rsidRPr="00B33854">
        <w:rPr>
          <w:rFonts w:eastAsia="Times New Roman"/>
          <w:lang w:eastAsia="de-DE"/>
        </w:rPr>
        <w:t xml:space="preserve">(„übrigbleiben"). </w:t>
      </w:r>
      <w:r w:rsidRPr="00B33854">
        <w:rPr>
          <w:rFonts w:eastAsia="Times New Roman"/>
          <w:b/>
          <w:bCs/>
          <w:rtl/>
          <w:lang w:eastAsia="de-DE"/>
        </w:rPr>
        <w:t>מִיֶּתֶר הָרְפָאִים</w:t>
      </w:r>
      <w:r w:rsidRPr="00B33854">
        <w:rPr>
          <w:rFonts w:eastAsia="Times New Roman"/>
          <w:rtl/>
          <w:lang w:eastAsia="de-DE"/>
        </w:rPr>
        <w:t xml:space="preserve"> </w:t>
      </w:r>
      <w:r w:rsidRPr="00B33854">
        <w:rPr>
          <w:rFonts w:eastAsia="Times New Roman"/>
          <w:lang w:eastAsia="de-DE"/>
        </w:rPr>
        <w:t xml:space="preserve">ist </w:t>
      </w:r>
      <w:r w:rsidRPr="00B33854">
        <w:rPr>
          <w:rFonts w:eastAsia="Times New Roman"/>
          <w:b/>
          <w:bCs/>
          <w:rtl/>
          <w:lang w:eastAsia="de-DE"/>
        </w:rPr>
        <w:t>מִן</w:t>
      </w:r>
      <w:r w:rsidRPr="00B33854">
        <w:rPr>
          <w:rFonts w:eastAsia="Times New Roman"/>
          <w:rtl/>
          <w:lang w:eastAsia="de-DE"/>
        </w:rPr>
        <w:t xml:space="preserve"> </w:t>
      </w:r>
      <w:r w:rsidRPr="00B33854">
        <w:rPr>
          <w:rFonts w:eastAsia="Times New Roman"/>
          <w:lang w:eastAsia="de-DE"/>
        </w:rPr>
        <w:t xml:space="preserve">(„von") mit </w:t>
      </w:r>
      <w:r w:rsidRPr="00B33854">
        <w:rPr>
          <w:rFonts w:eastAsia="Times New Roman"/>
          <w:b/>
          <w:bCs/>
          <w:rtl/>
          <w:lang w:eastAsia="de-DE"/>
        </w:rPr>
        <w:t>יֶתֶר</w:t>
      </w:r>
      <w:r w:rsidRPr="00B33854">
        <w:rPr>
          <w:rFonts w:eastAsia="Times New Roman"/>
          <w:rtl/>
          <w:lang w:eastAsia="de-DE"/>
        </w:rPr>
        <w:t xml:space="preserve"> </w:t>
      </w:r>
      <w:r w:rsidRPr="00B33854">
        <w:rPr>
          <w:rFonts w:eastAsia="Times New Roman"/>
          <w:lang w:eastAsia="de-DE"/>
        </w:rPr>
        <w:t xml:space="preserve">(„Überrest, Rest") im Construct und </w:t>
      </w:r>
      <w:r w:rsidRPr="00B33854">
        <w:rPr>
          <w:rFonts w:eastAsia="Times New Roman"/>
          <w:b/>
          <w:bCs/>
          <w:rtl/>
          <w:lang w:eastAsia="de-DE"/>
        </w:rPr>
        <w:t>הָרְפָאִים</w:t>
      </w:r>
      <w:r w:rsidRPr="00B33854">
        <w:rPr>
          <w:rFonts w:eastAsia="Times New Roman"/>
          <w:rtl/>
          <w:lang w:eastAsia="de-DE"/>
        </w:rPr>
        <w:t xml:space="preserve"> </w:t>
      </w:r>
      <w:r w:rsidRPr="00B33854">
        <w:rPr>
          <w:rFonts w:eastAsia="Times New Roman"/>
          <w:lang w:eastAsia="de-DE"/>
        </w:rPr>
        <w:t xml:space="preserve">(„die </w:t>
      </w:r>
      <w:proofErr w:type="spellStart"/>
      <w:r w:rsidR="00D91A0B">
        <w:rPr>
          <w:rFonts w:eastAsia="Times New Roman"/>
          <w:lang w:eastAsia="de-DE"/>
        </w:rPr>
        <w:t>Ephraiter</w:t>
      </w:r>
      <w:proofErr w:type="spellEnd"/>
      <w:r w:rsidRPr="00B33854">
        <w:rPr>
          <w:rFonts w:eastAsia="Times New Roman"/>
          <w:lang w:eastAsia="de-DE"/>
        </w:rPr>
        <w:t>", ein legendäres Riesenvolk, Plural mit Artikel).</w:t>
      </w:r>
    </w:p>
    <w:p w14:paraId="6D66F1E6"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הִנֵּה</w:t>
      </w:r>
      <w:r w:rsidRPr="00B33854">
        <w:rPr>
          <w:rFonts w:eastAsia="Times New Roman"/>
          <w:rtl/>
          <w:lang w:eastAsia="de-DE"/>
        </w:rPr>
        <w:t xml:space="preserve"> </w:t>
      </w:r>
      <w:r w:rsidRPr="00B33854">
        <w:rPr>
          <w:rFonts w:eastAsia="Times New Roman"/>
          <w:lang w:eastAsia="de-DE"/>
        </w:rPr>
        <w:t xml:space="preserve">ist eine Aufmerksamkeitspartikel („siehe!"). </w:t>
      </w:r>
      <w:r w:rsidRPr="00B33854">
        <w:rPr>
          <w:rFonts w:eastAsia="Times New Roman"/>
          <w:b/>
          <w:bCs/>
          <w:rtl/>
          <w:lang w:eastAsia="de-DE"/>
        </w:rPr>
        <w:t>עַרְשׂוֹ</w:t>
      </w:r>
      <w:r w:rsidRPr="00B33854">
        <w:rPr>
          <w:rFonts w:eastAsia="Times New Roman"/>
          <w:rtl/>
          <w:lang w:eastAsia="de-DE"/>
        </w:rPr>
        <w:t xml:space="preserve"> </w:t>
      </w:r>
      <w:r w:rsidRPr="00B33854">
        <w:rPr>
          <w:rFonts w:eastAsia="Times New Roman"/>
          <w:lang w:eastAsia="de-DE"/>
        </w:rPr>
        <w:t xml:space="preserve">ist </w:t>
      </w:r>
      <w:r w:rsidRPr="00B33854">
        <w:rPr>
          <w:rFonts w:eastAsia="Times New Roman"/>
          <w:b/>
          <w:bCs/>
          <w:rtl/>
          <w:lang w:eastAsia="de-DE"/>
        </w:rPr>
        <w:t>עֶרֶשׂ</w:t>
      </w:r>
      <w:r w:rsidRPr="00B33854">
        <w:rPr>
          <w:rFonts w:eastAsia="Times New Roman"/>
          <w:rtl/>
          <w:lang w:eastAsia="de-DE"/>
        </w:rPr>
        <w:t xml:space="preserve"> </w:t>
      </w:r>
      <w:r w:rsidRPr="00B33854">
        <w:rPr>
          <w:rFonts w:eastAsia="Times New Roman"/>
          <w:lang w:eastAsia="de-DE"/>
        </w:rPr>
        <w:t xml:space="preserve">(„Bett, Ruhestätte") mit Suffix 3. Person Singular maskulin. </w:t>
      </w:r>
      <w:r w:rsidRPr="00B33854">
        <w:rPr>
          <w:rFonts w:eastAsia="Times New Roman"/>
          <w:b/>
          <w:bCs/>
          <w:rtl/>
          <w:lang w:eastAsia="de-DE"/>
        </w:rPr>
        <w:t>עֶרֶשׂ בַּרְזֶל</w:t>
      </w:r>
      <w:r w:rsidRPr="00B33854">
        <w:rPr>
          <w:rFonts w:eastAsia="Times New Roman"/>
          <w:rtl/>
          <w:lang w:eastAsia="de-DE"/>
        </w:rPr>
        <w:t xml:space="preserve"> </w:t>
      </w:r>
      <w:r w:rsidRPr="00B33854">
        <w:rPr>
          <w:rFonts w:eastAsia="Times New Roman"/>
          <w:lang w:eastAsia="de-DE"/>
        </w:rPr>
        <w:t xml:space="preserve">ist eine appositionelle Präzisierung: </w:t>
      </w:r>
      <w:r w:rsidRPr="00B33854">
        <w:rPr>
          <w:rFonts w:eastAsia="Times New Roman"/>
          <w:b/>
          <w:bCs/>
          <w:rtl/>
          <w:lang w:eastAsia="de-DE"/>
        </w:rPr>
        <w:t>עֶרֶשׂ</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בַּרְזֶל</w:t>
      </w:r>
      <w:r w:rsidRPr="00B33854">
        <w:rPr>
          <w:rFonts w:eastAsia="Times New Roman"/>
          <w:rtl/>
          <w:lang w:eastAsia="de-DE"/>
        </w:rPr>
        <w:t xml:space="preserve"> </w:t>
      </w:r>
      <w:r w:rsidRPr="00B33854">
        <w:rPr>
          <w:rFonts w:eastAsia="Times New Roman"/>
          <w:lang w:eastAsia="de-DE"/>
        </w:rPr>
        <w:t xml:space="preserve">(„Eisen") als genitivische Apposition oder Material-Attribut. </w:t>
      </w:r>
      <w:r w:rsidRPr="00B33854">
        <w:rPr>
          <w:rFonts w:eastAsia="Times New Roman"/>
          <w:b/>
          <w:bCs/>
          <w:rtl/>
          <w:lang w:eastAsia="de-DE"/>
        </w:rPr>
        <w:t>הֲלֹה הִוא</w:t>
      </w:r>
      <w:r w:rsidRPr="00B33854">
        <w:rPr>
          <w:rFonts w:eastAsia="Times New Roman"/>
          <w:rtl/>
          <w:lang w:eastAsia="de-DE"/>
        </w:rPr>
        <w:t xml:space="preserve"> </w:t>
      </w:r>
      <w:r w:rsidRPr="00B33854">
        <w:rPr>
          <w:rFonts w:eastAsia="Times New Roman"/>
          <w:lang w:eastAsia="de-DE"/>
        </w:rPr>
        <w:t xml:space="preserve">ist eine rhetorische Frage: </w:t>
      </w:r>
      <w:r w:rsidRPr="00B33854">
        <w:rPr>
          <w:rFonts w:eastAsia="Times New Roman"/>
          <w:b/>
          <w:bCs/>
          <w:rtl/>
          <w:lang w:eastAsia="de-DE"/>
        </w:rPr>
        <w:t>הֲלֹא</w:t>
      </w:r>
      <w:r w:rsidRPr="00B33854">
        <w:rPr>
          <w:rFonts w:eastAsia="Times New Roman"/>
          <w:rtl/>
          <w:lang w:eastAsia="de-DE"/>
        </w:rPr>
        <w:t xml:space="preserve"> </w:t>
      </w:r>
      <w:r w:rsidRPr="00B33854">
        <w:rPr>
          <w:rFonts w:eastAsia="Times New Roman"/>
          <w:lang w:eastAsia="de-DE"/>
        </w:rPr>
        <w:t xml:space="preserve">(„ist es nicht?") mit dem Pronomen </w:t>
      </w:r>
      <w:r w:rsidRPr="00B33854">
        <w:rPr>
          <w:rFonts w:eastAsia="Times New Roman"/>
          <w:b/>
          <w:bCs/>
          <w:rtl/>
          <w:lang w:eastAsia="de-DE"/>
        </w:rPr>
        <w:t>הִוא</w:t>
      </w:r>
      <w:r w:rsidRPr="00B33854">
        <w:rPr>
          <w:rFonts w:eastAsia="Times New Roman"/>
          <w:rtl/>
          <w:lang w:eastAsia="de-DE"/>
        </w:rPr>
        <w:t xml:space="preserve"> </w:t>
      </w:r>
      <w:r w:rsidRPr="00B33854">
        <w:rPr>
          <w:rFonts w:eastAsia="Times New Roman"/>
          <w:lang w:eastAsia="de-DE"/>
        </w:rPr>
        <w:t xml:space="preserve">(„es, er"). </w:t>
      </w:r>
      <w:r w:rsidRPr="00B33854">
        <w:rPr>
          <w:rFonts w:eastAsia="Times New Roman"/>
          <w:b/>
          <w:bCs/>
          <w:rtl/>
          <w:lang w:eastAsia="de-DE"/>
        </w:rPr>
        <w:t>בְּרַבַּת בְּנֵי עַמּוֹן</w:t>
      </w:r>
      <w:r w:rsidRPr="00B33854">
        <w:rPr>
          <w:rFonts w:eastAsia="Times New Roman"/>
          <w:rtl/>
          <w:lang w:eastAsia="de-DE"/>
        </w:rPr>
        <w:t xml:space="preserve"> </w:t>
      </w:r>
      <w:r w:rsidRPr="00B33854">
        <w:rPr>
          <w:rFonts w:eastAsia="Times New Roman"/>
          <w:lang w:eastAsia="de-DE"/>
        </w:rPr>
        <w:t xml:space="preserve">ist eine Ortsangabe: </w:t>
      </w:r>
      <w:r w:rsidRPr="00B33854">
        <w:rPr>
          <w:rFonts w:eastAsia="Times New Roman"/>
          <w:b/>
          <w:bCs/>
          <w:rtl/>
          <w:lang w:eastAsia="de-DE"/>
        </w:rPr>
        <w:t>בְּ</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רַבַּת</w:t>
      </w:r>
      <w:r w:rsidRPr="00B33854">
        <w:rPr>
          <w:rFonts w:eastAsia="Times New Roman"/>
          <w:rtl/>
          <w:lang w:eastAsia="de-DE"/>
        </w:rPr>
        <w:t xml:space="preserve"> </w:t>
      </w:r>
      <w:r w:rsidRPr="00B33854">
        <w:rPr>
          <w:rFonts w:eastAsia="Times New Roman"/>
          <w:lang w:eastAsia="de-DE"/>
        </w:rPr>
        <w:t xml:space="preserve">(„Rabba", Hauptstadt der Ammoniter) und der genitivischen Apposition </w:t>
      </w:r>
      <w:r w:rsidRPr="00B33854">
        <w:rPr>
          <w:rFonts w:eastAsia="Times New Roman"/>
          <w:b/>
          <w:bCs/>
          <w:rtl/>
          <w:lang w:eastAsia="de-DE"/>
        </w:rPr>
        <w:t>בְּנֵי עַמּוֹן</w:t>
      </w:r>
      <w:r w:rsidRPr="00B33854">
        <w:rPr>
          <w:rFonts w:eastAsia="Times New Roman"/>
          <w:rtl/>
          <w:lang w:eastAsia="de-DE"/>
        </w:rPr>
        <w:t xml:space="preserve"> </w:t>
      </w:r>
      <w:r w:rsidRPr="00B33854">
        <w:rPr>
          <w:rFonts w:eastAsia="Times New Roman"/>
          <w:lang w:eastAsia="de-DE"/>
        </w:rPr>
        <w:t xml:space="preserve">(„Söhne Ammons", Plural Construct mit </w:t>
      </w:r>
      <w:proofErr w:type="spellStart"/>
      <w:r w:rsidRPr="00B33854">
        <w:rPr>
          <w:rFonts w:eastAsia="Times New Roman"/>
          <w:lang w:eastAsia="de-DE"/>
        </w:rPr>
        <w:t>Gentilbezeichnung</w:t>
      </w:r>
      <w:proofErr w:type="spellEnd"/>
      <w:r w:rsidRPr="00B33854">
        <w:rPr>
          <w:rFonts w:eastAsia="Times New Roman"/>
          <w:lang w:eastAsia="de-DE"/>
        </w:rPr>
        <w:t>).</w:t>
      </w:r>
    </w:p>
    <w:p w14:paraId="215B0150"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תֵּשַׁע אַמּוֹת אָרְכָּהּ</w:t>
      </w:r>
      <w:r w:rsidRPr="00B33854">
        <w:rPr>
          <w:rFonts w:eastAsia="Times New Roman"/>
          <w:rtl/>
          <w:lang w:eastAsia="de-DE"/>
        </w:rPr>
        <w:t xml:space="preserve"> </w:t>
      </w:r>
      <w:r w:rsidRPr="00B33854">
        <w:rPr>
          <w:rFonts w:eastAsia="Times New Roman"/>
          <w:lang w:eastAsia="de-DE"/>
        </w:rPr>
        <w:t xml:space="preserve">ist eine Maßangabe: </w:t>
      </w:r>
      <w:r w:rsidRPr="00B33854">
        <w:rPr>
          <w:rFonts w:eastAsia="Times New Roman"/>
          <w:b/>
          <w:bCs/>
          <w:rtl/>
          <w:lang w:eastAsia="de-DE"/>
        </w:rPr>
        <w:t>תֵּשַׁע</w:t>
      </w:r>
      <w:r w:rsidRPr="00B33854">
        <w:rPr>
          <w:rFonts w:eastAsia="Times New Roman"/>
          <w:rtl/>
          <w:lang w:eastAsia="de-DE"/>
        </w:rPr>
        <w:t xml:space="preserve"> </w:t>
      </w:r>
      <w:r w:rsidRPr="00B33854">
        <w:rPr>
          <w:rFonts w:eastAsia="Times New Roman"/>
          <w:lang w:eastAsia="de-DE"/>
        </w:rPr>
        <w:t xml:space="preserve">(„neun"), </w:t>
      </w:r>
      <w:r w:rsidRPr="00B33854">
        <w:rPr>
          <w:rFonts w:eastAsia="Times New Roman"/>
          <w:b/>
          <w:bCs/>
          <w:rtl/>
          <w:lang w:eastAsia="de-DE"/>
        </w:rPr>
        <w:t>אַמּוֹת</w:t>
      </w:r>
      <w:r w:rsidRPr="00B33854">
        <w:rPr>
          <w:rFonts w:eastAsia="Times New Roman"/>
          <w:rtl/>
          <w:lang w:eastAsia="de-DE"/>
        </w:rPr>
        <w:t xml:space="preserve"> </w:t>
      </w:r>
      <w:r w:rsidRPr="00B33854">
        <w:rPr>
          <w:rFonts w:eastAsia="Times New Roman"/>
          <w:lang w:eastAsia="de-DE"/>
        </w:rPr>
        <w:t xml:space="preserve">(Plural von </w:t>
      </w:r>
      <w:r w:rsidRPr="00B33854">
        <w:rPr>
          <w:rFonts w:eastAsia="Times New Roman"/>
          <w:b/>
          <w:bCs/>
          <w:rtl/>
          <w:lang w:eastAsia="de-DE"/>
        </w:rPr>
        <w:t>אַמָּה</w:t>
      </w:r>
      <w:r w:rsidRPr="00B33854">
        <w:rPr>
          <w:rFonts w:eastAsia="Times New Roman"/>
          <w:lang w:eastAsia="de-DE"/>
        </w:rPr>
        <w:t xml:space="preserve">, „Elle"), </w:t>
      </w:r>
      <w:r w:rsidRPr="00B33854">
        <w:rPr>
          <w:rFonts w:eastAsia="Times New Roman"/>
          <w:b/>
          <w:bCs/>
          <w:rtl/>
          <w:lang w:eastAsia="de-DE"/>
        </w:rPr>
        <w:t>אָרְכָּהּ</w:t>
      </w:r>
      <w:r w:rsidRPr="00B33854">
        <w:rPr>
          <w:rFonts w:eastAsia="Times New Roman"/>
          <w:rtl/>
          <w:lang w:eastAsia="de-DE"/>
        </w:rPr>
        <w:t xml:space="preserve"> </w:t>
      </w:r>
      <w:r w:rsidRPr="00B33854">
        <w:rPr>
          <w:rFonts w:eastAsia="Times New Roman"/>
          <w:lang w:eastAsia="de-DE"/>
        </w:rPr>
        <w:t>(</w:t>
      </w:r>
      <w:r w:rsidRPr="00B33854">
        <w:rPr>
          <w:rFonts w:eastAsia="Times New Roman"/>
          <w:b/>
          <w:bCs/>
          <w:rtl/>
          <w:lang w:eastAsia="de-DE"/>
        </w:rPr>
        <w:t>אֹרֶךְ</w:t>
      </w:r>
      <w:r w:rsidRPr="00B33854">
        <w:rPr>
          <w:rFonts w:eastAsia="Times New Roman"/>
          <w:lang w:eastAsia="de-DE"/>
        </w:rPr>
        <w:t xml:space="preserve">, „Länge", mit Suffix 3. Person Singular feminin). </w:t>
      </w:r>
      <w:r w:rsidRPr="00B33854">
        <w:rPr>
          <w:rFonts w:eastAsia="Times New Roman"/>
          <w:b/>
          <w:bCs/>
          <w:rtl/>
          <w:lang w:eastAsia="de-DE"/>
        </w:rPr>
        <w:t>וְאַרְבַּע אַמּוֹת רָחְבָּהּ</w:t>
      </w:r>
      <w:r w:rsidRPr="00B33854">
        <w:rPr>
          <w:rFonts w:eastAsia="Times New Roman"/>
          <w:rtl/>
          <w:lang w:eastAsia="de-DE"/>
        </w:rPr>
        <w:t xml:space="preserve"> </w:t>
      </w:r>
      <w:r w:rsidRPr="00B33854">
        <w:rPr>
          <w:rFonts w:eastAsia="Times New Roman"/>
          <w:lang w:eastAsia="de-DE"/>
        </w:rPr>
        <w:t xml:space="preserve">ist parallel strukturiert: </w:t>
      </w:r>
      <w:r w:rsidRPr="00B33854">
        <w:rPr>
          <w:rFonts w:eastAsia="Times New Roman"/>
          <w:b/>
          <w:bCs/>
          <w:rtl/>
          <w:lang w:eastAsia="de-DE"/>
        </w:rPr>
        <w:t>אַרְבַּע</w:t>
      </w:r>
      <w:r w:rsidRPr="00B33854">
        <w:rPr>
          <w:rFonts w:eastAsia="Times New Roman"/>
          <w:rtl/>
          <w:lang w:eastAsia="de-DE"/>
        </w:rPr>
        <w:t xml:space="preserve"> </w:t>
      </w:r>
      <w:r w:rsidRPr="00B33854">
        <w:rPr>
          <w:rFonts w:eastAsia="Times New Roman"/>
          <w:lang w:eastAsia="de-DE"/>
        </w:rPr>
        <w:t xml:space="preserve">(„vier"), </w:t>
      </w:r>
      <w:r w:rsidRPr="00B33854">
        <w:rPr>
          <w:rFonts w:eastAsia="Times New Roman"/>
          <w:b/>
          <w:bCs/>
          <w:rtl/>
          <w:lang w:eastAsia="de-DE"/>
        </w:rPr>
        <w:t>אַמּוֹת</w:t>
      </w:r>
      <w:r w:rsidRPr="00B33854">
        <w:rPr>
          <w:rFonts w:eastAsia="Times New Roman"/>
          <w:lang w:eastAsia="de-DE"/>
        </w:rPr>
        <w:t xml:space="preserve">, </w:t>
      </w:r>
      <w:r w:rsidRPr="00B33854">
        <w:rPr>
          <w:rFonts w:eastAsia="Times New Roman"/>
          <w:b/>
          <w:bCs/>
          <w:rtl/>
          <w:lang w:eastAsia="de-DE"/>
        </w:rPr>
        <w:t>רָחְבָּהּ</w:t>
      </w:r>
      <w:r w:rsidRPr="00B33854">
        <w:rPr>
          <w:rFonts w:eastAsia="Times New Roman"/>
          <w:rtl/>
          <w:lang w:eastAsia="de-DE"/>
        </w:rPr>
        <w:t xml:space="preserve"> </w:t>
      </w:r>
      <w:r w:rsidRPr="00B33854">
        <w:rPr>
          <w:rFonts w:eastAsia="Times New Roman"/>
          <w:lang w:eastAsia="de-DE"/>
        </w:rPr>
        <w:t>(</w:t>
      </w:r>
      <w:r w:rsidRPr="00B33854">
        <w:rPr>
          <w:rFonts w:eastAsia="Times New Roman"/>
          <w:b/>
          <w:bCs/>
          <w:rtl/>
          <w:lang w:eastAsia="de-DE"/>
        </w:rPr>
        <w:t>רֹחַב</w:t>
      </w:r>
      <w:r w:rsidRPr="00B33854">
        <w:rPr>
          <w:rFonts w:eastAsia="Times New Roman"/>
          <w:lang w:eastAsia="de-DE"/>
        </w:rPr>
        <w:t xml:space="preserve">, „Breite", mit Suffix). </w:t>
      </w:r>
      <w:r w:rsidRPr="00B33854">
        <w:rPr>
          <w:rFonts w:eastAsia="Times New Roman"/>
          <w:b/>
          <w:bCs/>
          <w:rtl/>
          <w:lang w:eastAsia="de-DE"/>
        </w:rPr>
        <w:t>בְּאַמַּת־אִישׁ</w:t>
      </w:r>
      <w:r w:rsidRPr="00B33854">
        <w:rPr>
          <w:rFonts w:eastAsia="Times New Roman"/>
          <w:rtl/>
          <w:lang w:eastAsia="de-DE"/>
        </w:rPr>
        <w:t xml:space="preserve"> </w:t>
      </w:r>
      <w:r w:rsidRPr="00B33854">
        <w:rPr>
          <w:rFonts w:eastAsia="Times New Roman"/>
          <w:lang w:eastAsia="de-DE"/>
        </w:rPr>
        <w:t xml:space="preserve">ist eine Präzisierung: </w:t>
      </w:r>
      <w:r w:rsidRPr="00B33854">
        <w:rPr>
          <w:rFonts w:eastAsia="Times New Roman"/>
          <w:b/>
          <w:bCs/>
          <w:rtl/>
          <w:lang w:eastAsia="de-DE"/>
        </w:rPr>
        <w:t>בְּ</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אַמַּת</w:t>
      </w:r>
      <w:r w:rsidRPr="00B33854">
        <w:rPr>
          <w:rFonts w:eastAsia="Times New Roman"/>
          <w:rtl/>
          <w:lang w:eastAsia="de-DE"/>
        </w:rPr>
        <w:t xml:space="preserve"> </w:t>
      </w:r>
      <w:r w:rsidRPr="00B33854">
        <w:rPr>
          <w:rFonts w:eastAsia="Times New Roman"/>
          <w:lang w:eastAsia="de-DE"/>
        </w:rPr>
        <w:t xml:space="preserve">(Construct von </w:t>
      </w:r>
      <w:r w:rsidRPr="00B33854">
        <w:rPr>
          <w:rFonts w:eastAsia="Times New Roman"/>
          <w:b/>
          <w:bCs/>
          <w:rtl/>
          <w:lang w:eastAsia="de-DE"/>
        </w:rPr>
        <w:t>אַמָּה</w:t>
      </w:r>
      <w:r w:rsidRPr="00B33854">
        <w:rPr>
          <w:rFonts w:eastAsia="Times New Roman"/>
          <w:lang w:eastAsia="de-DE"/>
        </w:rPr>
        <w:t xml:space="preserve">) und </w:t>
      </w:r>
      <w:r w:rsidRPr="00B33854">
        <w:rPr>
          <w:rFonts w:eastAsia="Times New Roman"/>
          <w:b/>
          <w:bCs/>
          <w:rtl/>
          <w:lang w:eastAsia="de-DE"/>
        </w:rPr>
        <w:t>אִישׁ</w:t>
      </w:r>
      <w:r w:rsidRPr="00B33854">
        <w:rPr>
          <w:rFonts w:eastAsia="Times New Roman"/>
          <w:rtl/>
          <w:lang w:eastAsia="de-DE"/>
        </w:rPr>
        <w:t xml:space="preserve"> </w:t>
      </w:r>
      <w:r w:rsidRPr="00B33854">
        <w:rPr>
          <w:rFonts w:eastAsia="Times New Roman"/>
          <w:lang w:eastAsia="de-DE"/>
        </w:rPr>
        <w:t>(„Mann") – „nach der Elle eines Mannes", d.h. nach gewöhnlichem Maß.</w:t>
      </w:r>
    </w:p>
    <w:p w14:paraId="3B4E1E2C"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Die LXX</w:t>
      </w:r>
      <w:r w:rsidRPr="00B33854">
        <w:rPr>
          <w:rFonts w:eastAsia="Times New Roman"/>
          <w:lang w:eastAsia="de-DE"/>
        </w:rPr>
        <w:t xml:space="preserve"> übersetzt „Bett aus Eisen" mit </w:t>
      </w:r>
      <w:proofErr w:type="spellStart"/>
      <w:r w:rsidRPr="00B33854">
        <w:rPr>
          <w:rFonts w:eastAsia="Times New Roman"/>
          <w:lang w:eastAsia="de-DE"/>
        </w:rPr>
        <w:t>κλίνη</w:t>
      </w:r>
      <w:proofErr w:type="spellEnd"/>
      <w:r w:rsidRPr="00B33854">
        <w:rPr>
          <w:rFonts w:eastAsia="Times New Roman"/>
          <w:lang w:eastAsia="de-DE"/>
        </w:rPr>
        <w:t xml:space="preserve"> </w:t>
      </w:r>
      <w:proofErr w:type="spellStart"/>
      <w:r w:rsidRPr="00B33854">
        <w:rPr>
          <w:rFonts w:eastAsia="Times New Roman"/>
          <w:lang w:eastAsia="de-DE"/>
        </w:rPr>
        <w:t>σιδηρᾶ</w:t>
      </w:r>
      <w:proofErr w:type="spellEnd"/>
      <w:r w:rsidRPr="00B33854">
        <w:rPr>
          <w:rFonts w:eastAsia="Times New Roman"/>
          <w:lang w:eastAsia="de-DE"/>
        </w:rPr>
        <w:t xml:space="preserve"> („eisernes Bett") und behält die Maßangaben bei.</w:t>
      </w:r>
    </w:p>
    <w:p w14:paraId="3EE85C18"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Die Satzstruktur besteht aus einem kausalen Hauptsatz mit restriktiver Partikel und präpositionaler Herkunftsangabe, gefolgt von einem Ausruf mit Demonstrativpartikel, einer rhetorischen Frage mit Ortsangabe und zwei koordinierten nominalen Maßangaben mit abschließender Präzisierung des Maßsystems. Der Vers wechselt von narrativer Aussage zu deskriptivem Kommentar.</w:t>
      </w:r>
    </w:p>
    <w:p w14:paraId="7321E3F3" w14:textId="5B90A69A"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 xml:space="preserve">Der Vers betont Ogs außergewöhnliche Größe als letzter Überlebender der </w:t>
      </w:r>
      <w:proofErr w:type="spellStart"/>
      <w:r w:rsidR="00D91A0B">
        <w:rPr>
          <w:rFonts w:eastAsia="Times New Roman"/>
          <w:lang w:eastAsia="de-DE"/>
        </w:rPr>
        <w:t>Ephraiter</w:t>
      </w:r>
      <w:proofErr w:type="spellEnd"/>
      <w:r w:rsidRPr="00B33854">
        <w:rPr>
          <w:rFonts w:eastAsia="Times New Roman"/>
          <w:lang w:eastAsia="de-DE"/>
        </w:rPr>
        <w:t xml:space="preserve"> durch die Beschreibung seines riesigen Eisenbettes, das noch in Rabba zu besichtigen war.</w:t>
      </w:r>
    </w:p>
    <w:p w14:paraId="7632DC4E"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3,12</w:t>
      </w:r>
    </w:p>
    <w:p w14:paraId="183AA66E"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וְאֶת־הָאָ֧רֶץ הַזֹּ֛את יָרַ֖שְׁנוּ בָּעֵ֣ת הַהִ֑וא מֵעֲרֹעֵ֞ר אֲשֶׁר־עַל־נַ֣חַל אַרְנֹ֗ן וַחֲצִ֤י הַֽר־הַגִּלְעָד֙ וְעָרָ֔יו נָתַ֕תִּי לָרֻֽאוּבֵנִ֖י וְלַגָּדִֽי׃</w:t>
      </w:r>
    </w:p>
    <w:p w14:paraId="1D0F9AD0"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Und dieses Land nahmen wir zu jener Zeit in Besitz. Von Aroer an, das am Bach Arnon liegt, und die Hälfte des Gebirges Gil'ad und seine Städte gab ich den Re'uveni und den Gaditen.</w:t>
      </w:r>
    </w:p>
    <w:p w14:paraId="7AB2D0A9"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41127716">
          <v:rect id="_x0000_i1119" style="width:0;height:1.5pt" o:hralign="center" o:hrstd="t" o:hr="t" fillcolor="#a0a0a0" stroked="f"/>
        </w:pict>
      </w:r>
    </w:p>
    <w:p w14:paraId="38FBDEF4"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וְאֶת־הָאָרֶץ הַזֹּאת</w:t>
      </w:r>
      <w:r w:rsidRPr="00B33854">
        <w:rPr>
          <w:rFonts w:eastAsia="Times New Roman"/>
          <w:rtl/>
          <w:lang w:eastAsia="de-DE"/>
        </w:rPr>
        <w:t xml:space="preserve"> </w:t>
      </w:r>
      <w:r w:rsidRPr="00B33854">
        <w:rPr>
          <w:rFonts w:eastAsia="Times New Roman"/>
          <w:lang w:eastAsia="de-DE"/>
        </w:rPr>
        <w:t xml:space="preserve">ist nota accusativi mit </w:t>
      </w:r>
      <w:r w:rsidRPr="00B33854">
        <w:rPr>
          <w:rFonts w:eastAsia="Times New Roman"/>
          <w:b/>
          <w:bCs/>
          <w:rtl/>
          <w:lang w:eastAsia="de-DE"/>
        </w:rPr>
        <w:t>הָאָרֶץ</w:t>
      </w:r>
      <w:r w:rsidRPr="00B33854">
        <w:rPr>
          <w:rFonts w:eastAsia="Times New Roman"/>
          <w:rtl/>
          <w:lang w:eastAsia="de-DE"/>
        </w:rPr>
        <w:t xml:space="preserve"> </w:t>
      </w:r>
      <w:r w:rsidRPr="00B33854">
        <w:rPr>
          <w:rFonts w:eastAsia="Times New Roman"/>
          <w:lang w:eastAsia="de-DE"/>
        </w:rPr>
        <w:t xml:space="preserve">(„das Land") und dem Demonstrativpronomen </w:t>
      </w:r>
      <w:r w:rsidRPr="00B33854">
        <w:rPr>
          <w:rFonts w:eastAsia="Times New Roman"/>
          <w:b/>
          <w:bCs/>
          <w:rtl/>
          <w:lang w:eastAsia="de-DE"/>
        </w:rPr>
        <w:t>הַזֹּאת</w:t>
      </w:r>
      <w:r w:rsidRPr="00B33854">
        <w:rPr>
          <w:rFonts w:eastAsia="Times New Roman"/>
          <w:rtl/>
          <w:lang w:eastAsia="de-DE"/>
        </w:rPr>
        <w:t xml:space="preserve"> </w:t>
      </w:r>
      <w:r w:rsidRPr="00B33854">
        <w:rPr>
          <w:rFonts w:eastAsia="Times New Roman"/>
          <w:lang w:eastAsia="de-DE"/>
        </w:rPr>
        <w:t xml:space="preserve">(„dieses") als Attribut. </w:t>
      </w:r>
      <w:r w:rsidRPr="00B33854">
        <w:rPr>
          <w:rFonts w:eastAsia="Times New Roman"/>
          <w:b/>
          <w:bCs/>
          <w:rtl/>
          <w:lang w:eastAsia="de-DE"/>
        </w:rPr>
        <w:t>יָרַשְׁנוּ</w:t>
      </w:r>
      <w:r w:rsidRPr="00B33854">
        <w:rPr>
          <w:rFonts w:eastAsia="Times New Roman"/>
          <w:rtl/>
          <w:lang w:eastAsia="de-DE"/>
        </w:rPr>
        <w:t xml:space="preserve"> </w:t>
      </w:r>
      <w:r w:rsidRPr="00B33854">
        <w:rPr>
          <w:rFonts w:eastAsia="Times New Roman"/>
          <w:lang w:eastAsia="de-DE"/>
        </w:rPr>
        <w:t xml:space="preserve">ist Qal Perfekt, 1. Person Plural </w:t>
      </w:r>
      <w:r w:rsidRPr="00B33854">
        <w:rPr>
          <w:rFonts w:eastAsia="Times New Roman"/>
          <w:lang w:eastAsia="de-DE"/>
        </w:rPr>
        <w:lastRenderedPageBreak/>
        <w:t xml:space="preserve">von </w:t>
      </w:r>
      <w:r w:rsidRPr="00B33854">
        <w:rPr>
          <w:rFonts w:eastAsia="Times New Roman"/>
          <w:b/>
          <w:bCs/>
          <w:rtl/>
          <w:lang w:eastAsia="de-DE"/>
        </w:rPr>
        <w:t>ירשׁ</w:t>
      </w:r>
      <w:r w:rsidRPr="00B33854">
        <w:rPr>
          <w:rFonts w:eastAsia="Times New Roman"/>
          <w:rtl/>
          <w:lang w:eastAsia="de-DE"/>
        </w:rPr>
        <w:t xml:space="preserve"> </w:t>
      </w:r>
      <w:r w:rsidRPr="00B33854">
        <w:rPr>
          <w:rFonts w:eastAsia="Times New Roman"/>
          <w:lang w:eastAsia="de-DE"/>
        </w:rPr>
        <w:t xml:space="preserve">(„in Besitz nehmen, erben"). </w:t>
      </w:r>
      <w:r w:rsidRPr="00B33854">
        <w:rPr>
          <w:rFonts w:eastAsia="Times New Roman"/>
          <w:b/>
          <w:bCs/>
          <w:rtl/>
          <w:lang w:eastAsia="de-DE"/>
        </w:rPr>
        <w:t>בָּעֵת הַהִוא</w:t>
      </w:r>
      <w:r w:rsidRPr="00B33854">
        <w:rPr>
          <w:rFonts w:eastAsia="Times New Roman"/>
          <w:rtl/>
          <w:lang w:eastAsia="de-DE"/>
        </w:rPr>
        <w:t xml:space="preserve"> </w:t>
      </w:r>
      <w:r w:rsidRPr="00B33854">
        <w:rPr>
          <w:rFonts w:eastAsia="Times New Roman"/>
          <w:lang w:eastAsia="de-DE"/>
        </w:rPr>
        <w:t xml:space="preserve">ist die gewohnte Zeitangabe: </w:t>
      </w:r>
      <w:r w:rsidRPr="00B33854">
        <w:rPr>
          <w:rFonts w:eastAsia="Times New Roman"/>
          <w:b/>
          <w:bCs/>
          <w:rtl/>
          <w:lang w:eastAsia="de-DE"/>
        </w:rPr>
        <w:t>בְּ</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עֵת</w:t>
      </w:r>
      <w:r w:rsidRPr="00B33854">
        <w:rPr>
          <w:rFonts w:eastAsia="Times New Roman"/>
          <w:rtl/>
          <w:lang w:eastAsia="de-DE"/>
        </w:rPr>
        <w:t xml:space="preserve"> </w:t>
      </w:r>
      <w:r w:rsidRPr="00B33854">
        <w:rPr>
          <w:rFonts w:eastAsia="Times New Roman"/>
          <w:lang w:eastAsia="de-DE"/>
        </w:rPr>
        <w:t xml:space="preserve">im Construct und Demonstrativpronomen </w:t>
      </w:r>
      <w:r w:rsidRPr="00B33854">
        <w:rPr>
          <w:rFonts w:eastAsia="Times New Roman"/>
          <w:b/>
          <w:bCs/>
          <w:rtl/>
          <w:lang w:eastAsia="de-DE"/>
        </w:rPr>
        <w:t>הַהִיא</w:t>
      </w:r>
      <w:r w:rsidRPr="00B33854">
        <w:rPr>
          <w:rFonts w:eastAsia="Times New Roman"/>
          <w:lang w:eastAsia="de-DE"/>
        </w:rPr>
        <w:t>.</w:t>
      </w:r>
    </w:p>
    <w:p w14:paraId="31A4FE59"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מֵעֲרֹעֵר</w:t>
      </w:r>
      <w:r w:rsidRPr="00B33854">
        <w:rPr>
          <w:rFonts w:eastAsia="Times New Roman"/>
          <w:rtl/>
          <w:lang w:eastAsia="de-DE"/>
        </w:rPr>
        <w:t xml:space="preserve"> </w:t>
      </w:r>
      <w:r w:rsidRPr="00B33854">
        <w:rPr>
          <w:rFonts w:eastAsia="Times New Roman"/>
          <w:lang w:eastAsia="de-DE"/>
        </w:rPr>
        <w:t xml:space="preserve">ist </w:t>
      </w:r>
      <w:r w:rsidRPr="00B33854">
        <w:rPr>
          <w:rFonts w:eastAsia="Times New Roman"/>
          <w:b/>
          <w:bCs/>
          <w:rtl/>
          <w:lang w:eastAsia="de-DE"/>
        </w:rPr>
        <w:t>מִן</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עֲרֹעֵר</w:t>
      </w:r>
      <w:r w:rsidRPr="00B33854">
        <w:rPr>
          <w:rFonts w:eastAsia="Times New Roman"/>
          <w:rtl/>
          <w:lang w:eastAsia="de-DE"/>
        </w:rPr>
        <w:t xml:space="preserve"> </w:t>
      </w:r>
      <w:r w:rsidRPr="00B33854">
        <w:rPr>
          <w:rFonts w:eastAsia="Times New Roman"/>
          <w:lang w:eastAsia="de-DE"/>
        </w:rPr>
        <w:t xml:space="preserve">(Ortsname), „von Aroer an". </w:t>
      </w:r>
      <w:r w:rsidRPr="00B33854">
        <w:rPr>
          <w:rFonts w:eastAsia="Times New Roman"/>
          <w:b/>
          <w:bCs/>
          <w:rtl/>
          <w:lang w:eastAsia="de-DE"/>
        </w:rPr>
        <w:t>אֲשֶׁר־עַל־נַחַל אַרְנֹן</w:t>
      </w:r>
      <w:r w:rsidRPr="00B33854">
        <w:rPr>
          <w:rFonts w:eastAsia="Times New Roman"/>
          <w:rtl/>
          <w:lang w:eastAsia="de-DE"/>
        </w:rPr>
        <w:t xml:space="preserve"> </w:t>
      </w:r>
      <w:r w:rsidRPr="00B33854">
        <w:rPr>
          <w:rFonts w:eastAsia="Times New Roman"/>
          <w:lang w:eastAsia="de-DE"/>
        </w:rPr>
        <w:t xml:space="preserve">ist ein Relativsatz: </w:t>
      </w:r>
      <w:r w:rsidRPr="00B33854">
        <w:rPr>
          <w:rFonts w:eastAsia="Times New Roman"/>
          <w:b/>
          <w:bCs/>
          <w:rtl/>
          <w:lang w:eastAsia="de-DE"/>
        </w:rPr>
        <w:t>אֲשֶׁר</w:t>
      </w:r>
      <w:r w:rsidRPr="00B33854">
        <w:rPr>
          <w:rFonts w:eastAsia="Times New Roman"/>
          <w:rtl/>
          <w:lang w:eastAsia="de-DE"/>
        </w:rPr>
        <w:t xml:space="preserve"> </w:t>
      </w:r>
      <w:r w:rsidRPr="00B33854">
        <w:rPr>
          <w:rFonts w:eastAsia="Times New Roman"/>
          <w:lang w:eastAsia="de-DE"/>
        </w:rPr>
        <w:t xml:space="preserve">mit der Präposition </w:t>
      </w:r>
      <w:r w:rsidRPr="00B33854">
        <w:rPr>
          <w:rFonts w:eastAsia="Times New Roman"/>
          <w:b/>
          <w:bCs/>
          <w:rtl/>
          <w:lang w:eastAsia="de-DE"/>
        </w:rPr>
        <w:t>עַל</w:t>
      </w:r>
      <w:r w:rsidRPr="00B33854">
        <w:rPr>
          <w:rFonts w:eastAsia="Times New Roman"/>
          <w:rtl/>
          <w:lang w:eastAsia="de-DE"/>
        </w:rPr>
        <w:t xml:space="preserve"> </w:t>
      </w:r>
      <w:r w:rsidRPr="00B33854">
        <w:rPr>
          <w:rFonts w:eastAsia="Times New Roman"/>
          <w:lang w:eastAsia="de-DE"/>
        </w:rPr>
        <w:t xml:space="preserve">(„auf, an"), </w:t>
      </w:r>
      <w:r w:rsidRPr="00B33854">
        <w:rPr>
          <w:rFonts w:eastAsia="Times New Roman"/>
          <w:b/>
          <w:bCs/>
          <w:rtl/>
          <w:lang w:eastAsia="de-DE"/>
        </w:rPr>
        <w:t>נַחַל</w:t>
      </w:r>
      <w:r w:rsidRPr="00B33854">
        <w:rPr>
          <w:rFonts w:eastAsia="Times New Roman"/>
          <w:rtl/>
          <w:lang w:eastAsia="de-DE"/>
        </w:rPr>
        <w:t xml:space="preserve"> </w:t>
      </w:r>
      <w:r w:rsidRPr="00B33854">
        <w:rPr>
          <w:rFonts w:eastAsia="Times New Roman"/>
          <w:lang w:eastAsia="de-DE"/>
        </w:rPr>
        <w:t xml:space="preserve">(„Bach") im Construct und </w:t>
      </w:r>
      <w:r w:rsidRPr="00B33854">
        <w:rPr>
          <w:rFonts w:eastAsia="Times New Roman"/>
          <w:b/>
          <w:bCs/>
          <w:rtl/>
          <w:lang w:eastAsia="de-DE"/>
        </w:rPr>
        <w:t>אַרְנֹן</w:t>
      </w:r>
      <w:r w:rsidRPr="00B33854">
        <w:rPr>
          <w:rFonts w:eastAsia="Times New Roman"/>
          <w:rtl/>
          <w:lang w:eastAsia="de-DE"/>
        </w:rPr>
        <w:t xml:space="preserve"> </w:t>
      </w:r>
      <w:r w:rsidRPr="00B33854">
        <w:rPr>
          <w:rFonts w:eastAsia="Times New Roman"/>
          <w:lang w:eastAsia="de-DE"/>
        </w:rPr>
        <w:t xml:space="preserve">(Flussname). </w:t>
      </w:r>
      <w:r w:rsidRPr="00B33854">
        <w:rPr>
          <w:rFonts w:eastAsia="Times New Roman"/>
          <w:b/>
          <w:bCs/>
          <w:rtl/>
          <w:lang w:eastAsia="de-DE"/>
        </w:rPr>
        <w:t>וַחֲצִי הַר־הַגִּלְעָד</w:t>
      </w:r>
      <w:r w:rsidRPr="00B33854">
        <w:rPr>
          <w:rFonts w:eastAsia="Times New Roman"/>
          <w:rtl/>
          <w:lang w:eastAsia="de-DE"/>
        </w:rPr>
        <w:t xml:space="preserve"> </w:t>
      </w:r>
      <w:r w:rsidRPr="00B33854">
        <w:rPr>
          <w:rFonts w:eastAsia="Times New Roman"/>
          <w:lang w:eastAsia="de-DE"/>
        </w:rPr>
        <w:t xml:space="preserve">ist eine koordinierte Ergänzung: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חֲצִי</w:t>
      </w:r>
      <w:r w:rsidRPr="00B33854">
        <w:rPr>
          <w:rFonts w:eastAsia="Times New Roman"/>
          <w:rtl/>
          <w:lang w:eastAsia="de-DE"/>
        </w:rPr>
        <w:t xml:space="preserve"> </w:t>
      </w:r>
      <w:r w:rsidRPr="00B33854">
        <w:rPr>
          <w:rFonts w:eastAsia="Times New Roman"/>
          <w:lang w:eastAsia="de-DE"/>
        </w:rPr>
        <w:t xml:space="preserve">(„Hälfte") im Construct, </w:t>
      </w:r>
      <w:r w:rsidRPr="00B33854">
        <w:rPr>
          <w:rFonts w:eastAsia="Times New Roman"/>
          <w:b/>
          <w:bCs/>
          <w:rtl/>
          <w:lang w:eastAsia="de-DE"/>
        </w:rPr>
        <w:t>הַר</w:t>
      </w:r>
      <w:r w:rsidRPr="00B33854">
        <w:rPr>
          <w:rFonts w:eastAsia="Times New Roman"/>
          <w:rtl/>
          <w:lang w:eastAsia="de-DE"/>
        </w:rPr>
        <w:t xml:space="preserve"> </w:t>
      </w:r>
      <w:r w:rsidRPr="00B33854">
        <w:rPr>
          <w:rFonts w:eastAsia="Times New Roman"/>
          <w:lang w:eastAsia="de-DE"/>
        </w:rPr>
        <w:t xml:space="preserve">(„Gebirge") mit Artikel im Construct und </w:t>
      </w:r>
      <w:r w:rsidRPr="00B33854">
        <w:rPr>
          <w:rFonts w:eastAsia="Times New Roman"/>
          <w:b/>
          <w:bCs/>
          <w:rtl/>
          <w:lang w:eastAsia="de-DE"/>
        </w:rPr>
        <w:t>הַגִּלְעָד</w:t>
      </w:r>
      <w:r w:rsidRPr="00B33854">
        <w:rPr>
          <w:rFonts w:eastAsia="Times New Roman"/>
          <w:rtl/>
          <w:lang w:eastAsia="de-DE"/>
        </w:rPr>
        <w:t xml:space="preserve"> </w:t>
      </w:r>
      <w:r w:rsidRPr="00B33854">
        <w:rPr>
          <w:rFonts w:eastAsia="Times New Roman"/>
          <w:lang w:eastAsia="de-DE"/>
        </w:rPr>
        <w:t xml:space="preserve">(„Gilead", mit Artikel). </w:t>
      </w:r>
      <w:r w:rsidRPr="00B33854">
        <w:rPr>
          <w:rFonts w:eastAsia="Times New Roman"/>
          <w:b/>
          <w:bCs/>
          <w:rtl/>
          <w:lang w:eastAsia="de-DE"/>
        </w:rPr>
        <w:t>וְעָרָיו</w:t>
      </w:r>
      <w:r w:rsidRPr="00B33854">
        <w:rPr>
          <w:rFonts w:eastAsia="Times New Roman"/>
          <w:rtl/>
          <w:lang w:eastAsia="de-DE"/>
        </w:rPr>
        <w:t xml:space="preserve"> </w:t>
      </w:r>
      <w:r w:rsidRPr="00B33854">
        <w:rPr>
          <w:rFonts w:eastAsia="Times New Roman"/>
          <w:lang w:eastAsia="de-DE"/>
        </w:rPr>
        <w:t xml:space="preserve">ist ein weiteres koordiniertes Element: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עָרִים</w:t>
      </w:r>
      <w:r w:rsidRPr="00B33854">
        <w:rPr>
          <w:rFonts w:eastAsia="Times New Roman"/>
          <w:rtl/>
          <w:lang w:eastAsia="de-DE"/>
        </w:rPr>
        <w:t xml:space="preserve"> </w:t>
      </w:r>
      <w:r w:rsidRPr="00B33854">
        <w:rPr>
          <w:rFonts w:eastAsia="Times New Roman"/>
          <w:lang w:eastAsia="de-DE"/>
        </w:rPr>
        <w:t xml:space="preserve">(Plural von </w:t>
      </w:r>
      <w:r w:rsidRPr="00B33854">
        <w:rPr>
          <w:rFonts w:eastAsia="Times New Roman"/>
          <w:b/>
          <w:bCs/>
          <w:rtl/>
          <w:lang w:eastAsia="de-DE"/>
        </w:rPr>
        <w:t>עִיר</w:t>
      </w:r>
      <w:r w:rsidRPr="00B33854">
        <w:rPr>
          <w:rFonts w:eastAsia="Times New Roman"/>
          <w:lang w:eastAsia="de-DE"/>
        </w:rPr>
        <w:t>) und Suffix 3. Person Singular maskulin („und seine Städte").</w:t>
      </w:r>
    </w:p>
    <w:p w14:paraId="21BE6FA8" w14:textId="317E14F8"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נָתַתִּי</w:t>
      </w:r>
      <w:r w:rsidRPr="00B33854">
        <w:rPr>
          <w:rFonts w:eastAsia="Times New Roman"/>
          <w:rtl/>
          <w:lang w:eastAsia="de-DE"/>
        </w:rPr>
        <w:t xml:space="preserve"> </w:t>
      </w:r>
      <w:r w:rsidRPr="00B33854">
        <w:rPr>
          <w:rFonts w:eastAsia="Times New Roman"/>
          <w:lang w:eastAsia="de-DE"/>
        </w:rPr>
        <w:t xml:space="preserve">ist Qal Perfekt, 1. Person Singular von </w:t>
      </w:r>
      <w:r w:rsidRPr="00B33854">
        <w:rPr>
          <w:rFonts w:eastAsia="Times New Roman"/>
          <w:b/>
          <w:bCs/>
          <w:rtl/>
          <w:lang w:eastAsia="de-DE"/>
        </w:rPr>
        <w:t>נתן</w:t>
      </w:r>
      <w:r w:rsidRPr="00B33854">
        <w:rPr>
          <w:rFonts w:eastAsia="Times New Roman"/>
          <w:rtl/>
          <w:lang w:eastAsia="de-DE"/>
        </w:rPr>
        <w:t xml:space="preserve"> </w:t>
      </w:r>
      <w:r w:rsidRPr="00B33854">
        <w:rPr>
          <w:rFonts w:eastAsia="Times New Roman"/>
          <w:lang w:eastAsia="de-DE"/>
        </w:rPr>
        <w:t xml:space="preserve">(„geben"). </w:t>
      </w:r>
      <w:r w:rsidRPr="00B33854">
        <w:rPr>
          <w:rFonts w:eastAsia="Times New Roman"/>
          <w:b/>
          <w:bCs/>
          <w:rtl/>
          <w:lang w:eastAsia="de-DE"/>
        </w:rPr>
        <w:t>לָרֻאוּבֵנִי וְלַגָּדִי</w:t>
      </w:r>
      <w:r w:rsidRPr="00B33854">
        <w:rPr>
          <w:rFonts w:eastAsia="Times New Roman"/>
          <w:rtl/>
          <w:lang w:eastAsia="de-DE"/>
        </w:rPr>
        <w:t xml:space="preserve"> </w:t>
      </w:r>
      <w:r w:rsidRPr="00B33854">
        <w:rPr>
          <w:rFonts w:eastAsia="Times New Roman"/>
          <w:lang w:eastAsia="de-DE"/>
        </w:rPr>
        <w:t xml:space="preserve">ist eine zweigliedrige Empfängerangabe: </w:t>
      </w:r>
      <w:r w:rsidRPr="00B33854">
        <w:rPr>
          <w:rFonts w:eastAsia="Times New Roman"/>
          <w:b/>
          <w:bCs/>
          <w:rtl/>
          <w:lang w:eastAsia="de-DE"/>
        </w:rPr>
        <w:t>לְ</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הָרֻאוּבֵנִי</w:t>
      </w:r>
      <w:r w:rsidRPr="00B33854">
        <w:rPr>
          <w:rFonts w:eastAsia="Times New Roman"/>
          <w:rtl/>
          <w:lang w:eastAsia="de-DE"/>
        </w:rPr>
        <w:t xml:space="preserve"> </w:t>
      </w:r>
      <w:r w:rsidRPr="00B33854">
        <w:rPr>
          <w:rFonts w:eastAsia="Times New Roman"/>
          <w:lang w:eastAsia="de-DE"/>
        </w:rPr>
        <w:t xml:space="preserve">(„die Rubeniter", </w:t>
      </w:r>
      <w:r w:rsidR="00C13523">
        <w:rPr>
          <w:rFonts w:eastAsia="Times New Roman"/>
          <w:lang w:eastAsia="de-DE"/>
        </w:rPr>
        <w:t>Gentilicum</w:t>
      </w:r>
      <w:r w:rsidRPr="00B33854">
        <w:rPr>
          <w:rFonts w:eastAsia="Times New Roman"/>
          <w:lang w:eastAsia="de-DE"/>
        </w:rPr>
        <w:t xml:space="preserve"> mit Artikel) und </w:t>
      </w:r>
      <w:r w:rsidRPr="00B33854">
        <w:rPr>
          <w:rFonts w:eastAsia="Times New Roman"/>
          <w:b/>
          <w:bCs/>
          <w:rtl/>
          <w:lang w:eastAsia="de-DE"/>
        </w:rPr>
        <w:t>לַגָּדִי</w:t>
      </w:r>
      <w:r w:rsidRPr="00B33854">
        <w:rPr>
          <w:rFonts w:eastAsia="Times New Roman"/>
          <w:rtl/>
          <w:lang w:eastAsia="de-DE"/>
        </w:rPr>
        <w:t xml:space="preserve"> </w:t>
      </w:r>
      <w:r w:rsidRPr="00B33854">
        <w:rPr>
          <w:rFonts w:eastAsia="Times New Roman"/>
          <w:lang w:eastAsia="de-DE"/>
        </w:rPr>
        <w:t xml:space="preserve">(„die Gaditer", </w:t>
      </w:r>
      <w:r w:rsidR="00C13523">
        <w:rPr>
          <w:rFonts w:eastAsia="Times New Roman"/>
          <w:lang w:eastAsia="de-DE"/>
        </w:rPr>
        <w:t>Gentilicum</w:t>
      </w:r>
      <w:r w:rsidRPr="00B33854">
        <w:rPr>
          <w:rFonts w:eastAsia="Times New Roman"/>
          <w:lang w:eastAsia="de-DE"/>
        </w:rPr>
        <w:t xml:space="preserve"> mit Artikel), beide Male mit Artikel trotz Präposition.</w:t>
      </w:r>
    </w:p>
    <w:p w14:paraId="21CE32E9"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Die Satzstruktur besteht aus zwei Hauptsätzen: Der erste beschreibt die Landnahme durch Israel insgesamt mit Zeitangabe und geografischer Ausgangspunktbestimmung durch einen Relativsatz. Der zweite Hauptsatz beschreibt die Zuteilung eines Teils dieses Landes (mit dreigliedriger Objektkette) an zwei Stämme.</w:t>
      </w:r>
    </w:p>
    <w:p w14:paraId="7E83D4EE"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Der Vers leitet die Landverteilung ein und beschreibt die Zuweisung des südlichen Teils des Ostjordanlandes an Ruben und Gad.</w:t>
      </w:r>
    </w:p>
    <w:p w14:paraId="228CA8D2"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3,13</w:t>
      </w:r>
    </w:p>
    <w:p w14:paraId="09354B98"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וְיֶ֨תֶר הַגִּלְעָ֤ד וְכָל־הַבָּשָׁן֙ מַמְלֶ֣כֶת ע֔וֹג נָתַ֕תִּי לַחֲצִ֖י שֵׁ֣בֶט הַֽמְנַשֶּׁ֑ה כֹּ֣ל חֶ֤בֶל הָֽאַרְגֹּב֙ לְכָל־הַבָּשָׁ֔ן הַה֥וּא יִקָּרֵ֖א אֶ֥רֶץ רְפָאִֽים׃</w:t>
      </w:r>
    </w:p>
    <w:p w14:paraId="5CA1CEBF" w14:textId="2D6DD106"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Und den Rest von Gil'ad und ganz Baschan, das Königreich Ogs, gab ich dem halben Stamm Menasche: den ganzen Landstrich Argov, zu ganz Baschan; dieses wird das Land der </w:t>
      </w:r>
      <w:r w:rsidR="00D91A0B">
        <w:rPr>
          <w:rFonts w:eastAsia="Times New Roman"/>
          <w:lang w:eastAsia="de-DE"/>
        </w:rPr>
        <w:t>Ephraim</w:t>
      </w:r>
      <w:r w:rsidRPr="00B33854">
        <w:rPr>
          <w:rFonts w:eastAsia="Times New Roman"/>
          <w:lang w:eastAsia="de-DE"/>
        </w:rPr>
        <w:t xml:space="preserve"> genannt.</w:t>
      </w:r>
    </w:p>
    <w:p w14:paraId="46856EFF"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7C6F5789">
          <v:rect id="_x0000_i1120" style="width:0;height:1.5pt" o:hralign="center" o:hrstd="t" o:hr="t" fillcolor="#a0a0a0" stroked="f"/>
        </w:pict>
      </w:r>
    </w:p>
    <w:p w14:paraId="07FFFEE9"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וְיֶתֶר הַגִּלְעָד</w:t>
      </w:r>
      <w:r w:rsidRPr="00B33854">
        <w:rPr>
          <w:rFonts w:eastAsia="Times New Roman"/>
          <w:rtl/>
          <w:lang w:eastAsia="de-DE"/>
        </w:rPr>
        <w:t xml:space="preserve"> </w:t>
      </w:r>
      <w:r w:rsidRPr="00B33854">
        <w:rPr>
          <w:rFonts w:eastAsia="Times New Roman"/>
          <w:lang w:eastAsia="de-DE"/>
        </w:rPr>
        <w:t xml:space="preserve">ist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יֶתֶר</w:t>
      </w:r>
      <w:r w:rsidRPr="00B33854">
        <w:rPr>
          <w:rFonts w:eastAsia="Times New Roman"/>
          <w:rtl/>
          <w:lang w:eastAsia="de-DE"/>
        </w:rPr>
        <w:t xml:space="preserve"> </w:t>
      </w:r>
      <w:r w:rsidRPr="00B33854">
        <w:rPr>
          <w:rFonts w:eastAsia="Times New Roman"/>
          <w:lang w:eastAsia="de-DE"/>
        </w:rPr>
        <w:t xml:space="preserve">(„Rest, Überrest") im Construct und </w:t>
      </w:r>
      <w:r w:rsidRPr="00B33854">
        <w:rPr>
          <w:rFonts w:eastAsia="Times New Roman"/>
          <w:b/>
          <w:bCs/>
          <w:rtl/>
          <w:lang w:eastAsia="de-DE"/>
        </w:rPr>
        <w:t>הַגִּלְעָד</w:t>
      </w:r>
      <w:r w:rsidRPr="00B33854">
        <w:rPr>
          <w:rFonts w:eastAsia="Times New Roman"/>
          <w:rtl/>
          <w:lang w:eastAsia="de-DE"/>
        </w:rPr>
        <w:t xml:space="preserve"> </w:t>
      </w:r>
      <w:r w:rsidRPr="00B33854">
        <w:rPr>
          <w:rFonts w:eastAsia="Times New Roman"/>
          <w:lang w:eastAsia="de-DE"/>
        </w:rPr>
        <w:t xml:space="preserve">(Landschaftsname mit Artikel). </w:t>
      </w:r>
      <w:r w:rsidRPr="00B33854">
        <w:rPr>
          <w:rFonts w:eastAsia="Times New Roman"/>
          <w:b/>
          <w:bCs/>
          <w:rtl/>
          <w:lang w:eastAsia="de-DE"/>
        </w:rPr>
        <w:t>וְכָל־הַבָּשָׁן</w:t>
      </w:r>
      <w:r w:rsidRPr="00B33854">
        <w:rPr>
          <w:rFonts w:eastAsia="Times New Roman"/>
          <w:rtl/>
          <w:lang w:eastAsia="de-DE"/>
        </w:rPr>
        <w:t xml:space="preserve"> </w:t>
      </w:r>
      <w:r w:rsidRPr="00B33854">
        <w:rPr>
          <w:rFonts w:eastAsia="Times New Roman"/>
          <w:lang w:eastAsia="de-DE"/>
        </w:rPr>
        <w:t xml:space="preserve">ist koordiniert: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כָּל</w:t>
      </w:r>
      <w:r w:rsidRPr="00B33854">
        <w:rPr>
          <w:rFonts w:eastAsia="Times New Roman"/>
          <w:rtl/>
          <w:lang w:eastAsia="de-DE"/>
        </w:rPr>
        <w:t xml:space="preserve"> </w:t>
      </w:r>
      <w:r w:rsidRPr="00B33854">
        <w:rPr>
          <w:rFonts w:eastAsia="Times New Roman"/>
          <w:lang w:eastAsia="de-DE"/>
        </w:rPr>
        <w:t xml:space="preserve">im Construct und </w:t>
      </w:r>
      <w:r w:rsidRPr="00B33854">
        <w:rPr>
          <w:rFonts w:eastAsia="Times New Roman"/>
          <w:b/>
          <w:bCs/>
          <w:rtl/>
          <w:lang w:eastAsia="de-DE"/>
        </w:rPr>
        <w:t>הַבָּשָׁן</w:t>
      </w:r>
      <w:r w:rsidRPr="00B33854">
        <w:rPr>
          <w:rFonts w:eastAsia="Times New Roman"/>
          <w:lang w:eastAsia="de-DE"/>
        </w:rPr>
        <w:t xml:space="preserve">. </w:t>
      </w:r>
      <w:r w:rsidRPr="00B33854">
        <w:rPr>
          <w:rFonts w:eastAsia="Times New Roman"/>
          <w:b/>
          <w:bCs/>
          <w:rtl/>
          <w:lang w:eastAsia="de-DE"/>
        </w:rPr>
        <w:t>מַמְלֶכֶת עוֹג</w:t>
      </w:r>
      <w:r w:rsidRPr="00B33854">
        <w:rPr>
          <w:rFonts w:eastAsia="Times New Roman"/>
          <w:rtl/>
          <w:lang w:eastAsia="de-DE"/>
        </w:rPr>
        <w:t xml:space="preserve"> </w:t>
      </w:r>
      <w:r w:rsidRPr="00B33854">
        <w:rPr>
          <w:rFonts w:eastAsia="Times New Roman"/>
          <w:lang w:eastAsia="de-DE"/>
        </w:rPr>
        <w:t xml:space="preserve">ist eine appositionelle Erklärung: </w:t>
      </w:r>
      <w:r w:rsidRPr="00B33854">
        <w:rPr>
          <w:rFonts w:eastAsia="Times New Roman"/>
          <w:b/>
          <w:bCs/>
          <w:rtl/>
          <w:lang w:eastAsia="de-DE"/>
        </w:rPr>
        <w:t>מַמְלֶכֶת</w:t>
      </w:r>
      <w:r w:rsidRPr="00B33854">
        <w:rPr>
          <w:rFonts w:eastAsia="Times New Roman"/>
          <w:rtl/>
          <w:lang w:eastAsia="de-DE"/>
        </w:rPr>
        <w:t xml:space="preserve"> </w:t>
      </w:r>
      <w:r w:rsidRPr="00B33854">
        <w:rPr>
          <w:rFonts w:eastAsia="Times New Roman"/>
          <w:lang w:eastAsia="de-DE"/>
        </w:rPr>
        <w:t xml:space="preserve">(„Königreich") im Construct mit </w:t>
      </w:r>
      <w:r w:rsidRPr="00B33854">
        <w:rPr>
          <w:rFonts w:eastAsia="Times New Roman"/>
          <w:b/>
          <w:bCs/>
          <w:rtl/>
          <w:lang w:eastAsia="de-DE"/>
        </w:rPr>
        <w:t>עוֹג</w:t>
      </w:r>
      <w:r w:rsidRPr="00B33854">
        <w:rPr>
          <w:rFonts w:eastAsia="Times New Roman"/>
          <w:rtl/>
          <w:lang w:eastAsia="de-DE"/>
        </w:rPr>
        <w:t xml:space="preserve"> </w:t>
      </w:r>
      <w:r w:rsidRPr="00B33854">
        <w:rPr>
          <w:rFonts w:eastAsia="Times New Roman"/>
          <w:lang w:eastAsia="de-DE"/>
        </w:rPr>
        <w:t xml:space="preserve">(Eigenname). </w:t>
      </w:r>
      <w:r w:rsidRPr="00B33854">
        <w:rPr>
          <w:rFonts w:eastAsia="Times New Roman"/>
          <w:b/>
          <w:bCs/>
          <w:rtl/>
          <w:lang w:eastAsia="de-DE"/>
        </w:rPr>
        <w:t>נָתַתִּי</w:t>
      </w:r>
      <w:r w:rsidRPr="00B33854">
        <w:rPr>
          <w:rFonts w:eastAsia="Times New Roman"/>
          <w:rtl/>
          <w:lang w:eastAsia="de-DE"/>
        </w:rPr>
        <w:t xml:space="preserve"> </w:t>
      </w:r>
      <w:r w:rsidRPr="00B33854">
        <w:rPr>
          <w:rFonts w:eastAsia="Times New Roman"/>
          <w:lang w:eastAsia="de-DE"/>
        </w:rPr>
        <w:t xml:space="preserve">ist Qal Perfekt, 1. Person Singular von </w:t>
      </w:r>
      <w:r w:rsidRPr="00B33854">
        <w:rPr>
          <w:rFonts w:eastAsia="Times New Roman"/>
          <w:b/>
          <w:bCs/>
          <w:rtl/>
          <w:lang w:eastAsia="de-DE"/>
        </w:rPr>
        <w:t>נתן</w:t>
      </w:r>
      <w:r w:rsidRPr="00B33854">
        <w:rPr>
          <w:rFonts w:eastAsia="Times New Roman"/>
          <w:lang w:eastAsia="de-DE"/>
        </w:rPr>
        <w:t xml:space="preserve">. </w:t>
      </w:r>
      <w:r w:rsidRPr="00B33854">
        <w:rPr>
          <w:rFonts w:eastAsia="Times New Roman"/>
          <w:b/>
          <w:bCs/>
          <w:rtl/>
          <w:lang w:eastAsia="de-DE"/>
        </w:rPr>
        <w:t>לַחֲצִי שֵׁבֶט הַמְנַשֶּׁה</w:t>
      </w:r>
      <w:r w:rsidRPr="00B33854">
        <w:rPr>
          <w:rFonts w:eastAsia="Times New Roman"/>
          <w:rtl/>
          <w:lang w:eastAsia="de-DE"/>
        </w:rPr>
        <w:t xml:space="preserve"> </w:t>
      </w:r>
      <w:r w:rsidRPr="00B33854">
        <w:rPr>
          <w:rFonts w:eastAsia="Times New Roman"/>
          <w:lang w:eastAsia="de-DE"/>
        </w:rPr>
        <w:t xml:space="preserve">ist eine dreigliedrige Empfängerangabe: </w:t>
      </w:r>
      <w:r w:rsidRPr="00B33854">
        <w:rPr>
          <w:rFonts w:eastAsia="Times New Roman"/>
          <w:b/>
          <w:bCs/>
          <w:rtl/>
          <w:lang w:eastAsia="de-DE"/>
        </w:rPr>
        <w:t>לְ</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חֲצִי</w:t>
      </w:r>
      <w:r w:rsidRPr="00B33854">
        <w:rPr>
          <w:rFonts w:eastAsia="Times New Roman"/>
          <w:rtl/>
          <w:lang w:eastAsia="de-DE"/>
        </w:rPr>
        <w:t xml:space="preserve"> </w:t>
      </w:r>
      <w:r w:rsidRPr="00B33854">
        <w:rPr>
          <w:rFonts w:eastAsia="Times New Roman"/>
          <w:lang w:eastAsia="de-DE"/>
        </w:rPr>
        <w:t xml:space="preserve">(„Hälfte") im Construct, </w:t>
      </w:r>
      <w:r w:rsidRPr="00B33854">
        <w:rPr>
          <w:rFonts w:eastAsia="Times New Roman"/>
          <w:b/>
          <w:bCs/>
          <w:rtl/>
          <w:lang w:eastAsia="de-DE"/>
        </w:rPr>
        <w:t>שֵׁבֶט</w:t>
      </w:r>
      <w:r w:rsidRPr="00B33854">
        <w:rPr>
          <w:rFonts w:eastAsia="Times New Roman"/>
          <w:rtl/>
          <w:lang w:eastAsia="de-DE"/>
        </w:rPr>
        <w:t xml:space="preserve"> </w:t>
      </w:r>
      <w:r w:rsidRPr="00B33854">
        <w:rPr>
          <w:rFonts w:eastAsia="Times New Roman"/>
          <w:lang w:eastAsia="de-DE"/>
        </w:rPr>
        <w:t xml:space="preserve">(„Stamm") im Construct und </w:t>
      </w:r>
      <w:r w:rsidRPr="00B33854">
        <w:rPr>
          <w:rFonts w:eastAsia="Times New Roman"/>
          <w:b/>
          <w:bCs/>
          <w:rtl/>
          <w:lang w:eastAsia="de-DE"/>
        </w:rPr>
        <w:t>הַמְנַשֶּׁה</w:t>
      </w:r>
      <w:r w:rsidRPr="00B33854">
        <w:rPr>
          <w:rFonts w:eastAsia="Times New Roman"/>
          <w:rtl/>
          <w:lang w:eastAsia="de-DE"/>
        </w:rPr>
        <w:t xml:space="preserve"> </w:t>
      </w:r>
      <w:r w:rsidRPr="00B33854">
        <w:rPr>
          <w:rFonts w:eastAsia="Times New Roman"/>
          <w:lang w:eastAsia="de-DE"/>
        </w:rPr>
        <w:t>(„Manasse", mit Artikel).</w:t>
      </w:r>
    </w:p>
    <w:p w14:paraId="02E2F50F" w14:textId="55302392"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כֹּל חֶבֶל הָאַרְגֹּב</w:t>
      </w:r>
      <w:r w:rsidRPr="00B33854">
        <w:rPr>
          <w:rFonts w:eastAsia="Times New Roman"/>
          <w:rtl/>
          <w:lang w:eastAsia="de-DE"/>
        </w:rPr>
        <w:t xml:space="preserve"> </w:t>
      </w:r>
      <w:r w:rsidRPr="00B33854">
        <w:rPr>
          <w:rFonts w:eastAsia="Times New Roman"/>
          <w:lang w:eastAsia="de-DE"/>
        </w:rPr>
        <w:t xml:space="preserve">ist eine nähere Bestimmung: </w:t>
      </w:r>
      <w:r w:rsidRPr="00B33854">
        <w:rPr>
          <w:rFonts w:eastAsia="Times New Roman"/>
          <w:b/>
          <w:bCs/>
          <w:rtl/>
          <w:lang w:eastAsia="de-DE"/>
        </w:rPr>
        <w:t>כֹּל</w:t>
      </w:r>
      <w:r w:rsidRPr="00B33854">
        <w:rPr>
          <w:rFonts w:eastAsia="Times New Roman"/>
          <w:rtl/>
          <w:lang w:eastAsia="de-DE"/>
        </w:rPr>
        <w:t xml:space="preserve"> </w:t>
      </w:r>
      <w:r w:rsidRPr="00B33854">
        <w:rPr>
          <w:rFonts w:eastAsia="Times New Roman"/>
          <w:lang w:eastAsia="de-DE"/>
        </w:rPr>
        <w:t xml:space="preserve">im Construct mit </w:t>
      </w:r>
      <w:r w:rsidRPr="00B33854">
        <w:rPr>
          <w:rFonts w:eastAsia="Times New Roman"/>
          <w:b/>
          <w:bCs/>
          <w:rtl/>
          <w:lang w:eastAsia="de-DE"/>
        </w:rPr>
        <w:t>חֶבֶל</w:t>
      </w:r>
      <w:r w:rsidRPr="00B33854">
        <w:rPr>
          <w:rFonts w:eastAsia="Times New Roman"/>
          <w:rtl/>
          <w:lang w:eastAsia="de-DE"/>
        </w:rPr>
        <w:t xml:space="preserve"> </w:t>
      </w:r>
      <w:r w:rsidRPr="00B33854">
        <w:rPr>
          <w:rFonts w:eastAsia="Times New Roman"/>
          <w:lang w:eastAsia="de-DE"/>
        </w:rPr>
        <w:t xml:space="preserve">(„Landstrich, Region") im Construct und </w:t>
      </w:r>
      <w:r w:rsidRPr="00B33854">
        <w:rPr>
          <w:rFonts w:eastAsia="Times New Roman"/>
          <w:b/>
          <w:bCs/>
          <w:rtl/>
          <w:lang w:eastAsia="de-DE"/>
        </w:rPr>
        <w:t>הָאַרְגֹּב</w:t>
      </w:r>
      <w:r w:rsidRPr="00B33854">
        <w:rPr>
          <w:rFonts w:eastAsia="Times New Roman"/>
          <w:rtl/>
          <w:lang w:eastAsia="de-DE"/>
        </w:rPr>
        <w:t xml:space="preserve"> </w:t>
      </w:r>
      <w:r w:rsidRPr="00B33854">
        <w:rPr>
          <w:rFonts w:eastAsia="Times New Roman"/>
          <w:lang w:eastAsia="de-DE"/>
        </w:rPr>
        <w:t xml:space="preserve">(Regionalname mit Artikel). </w:t>
      </w:r>
      <w:r w:rsidRPr="00B33854">
        <w:rPr>
          <w:rFonts w:eastAsia="Times New Roman"/>
          <w:b/>
          <w:bCs/>
          <w:rtl/>
          <w:lang w:eastAsia="de-DE"/>
        </w:rPr>
        <w:t>לְכָל־הַבָּשָׁן</w:t>
      </w:r>
      <w:r w:rsidRPr="00B33854">
        <w:rPr>
          <w:rFonts w:eastAsia="Times New Roman"/>
          <w:rtl/>
          <w:lang w:eastAsia="de-DE"/>
        </w:rPr>
        <w:t xml:space="preserve"> </w:t>
      </w:r>
      <w:r w:rsidRPr="00B33854">
        <w:rPr>
          <w:rFonts w:eastAsia="Times New Roman"/>
          <w:lang w:eastAsia="de-DE"/>
        </w:rPr>
        <w:t xml:space="preserve">ist </w:t>
      </w:r>
      <w:r w:rsidRPr="00B33854">
        <w:rPr>
          <w:rFonts w:eastAsia="Times New Roman"/>
          <w:b/>
          <w:bCs/>
          <w:rtl/>
          <w:lang w:eastAsia="de-DE"/>
        </w:rPr>
        <w:t>לְ</w:t>
      </w:r>
      <w:r w:rsidRPr="00B33854">
        <w:rPr>
          <w:rFonts w:eastAsia="Times New Roman"/>
          <w:rtl/>
          <w:lang w:eastAsia="de-DE"/>
        </w:rPr>
        <w:t xml:space="preserve"> </w:t>
      </w:r>
      <w:r w:rsidRPr="00B33854">
        <w:rPr>
          <w:rFonts w:eastAsia="Times New Roman"/>
          <w:lang w:eastAsia="de-DE"/>
        </w:rPr>
        <w:t xml:space="preserve">(hier „zu, bezüglich") mit </w:t>
      </w:r>
      <w:r w:rsidRPr="00B33854">
        <w:rPr>
          <w:rFonts w:eastAsia="Times New Roman"/>
          <w:b/>
          <w:bCs/>
          <w:rtl/>
          <w:lang w:eastAsia="de-DE"/>
        </w:rPr>
        <w:t>כָּל</w:t>
      </w:r>
      <w:r w:rsidRPr="00B33854">
        <w:rPr>
          <w:rFonts w:eastAsia="Times New Roman"/>
          <w:rtl/>
          <w:lang w:eastAsia="de-DE"/>
        </w:rPr>
        <w:t xml:space="preserve"> </w:t>
      </w:r>
      <w:r w:rsidRPr="00B33854">
        <w:rPr>
          <w:rFonts w:eastAsia="Times New Roman"/>
          <w:lang w:eastAsia="de-DE"/>
        </w:rPr>
        <w:t xml:space="preserve">im Construct und </w:t>
      </w:r>
      <w:r w:rsidRPr="00B33854">
        <w:rPr>
          <w:rFonts w:eastAsia="Times New Roman"/>
          <w:b/>
          <w:bCs/>
          <w:rtl/>
          <w:lang w:eastAsia="de-DE"/>
        </w:rPr>
        <w:t>הַבָּשָׁן</w:t>
      </w:r>
      <w:r w:rsidRPr="00B33854">
        <w:rPr>
          <w:rFonts w:eastAsia="Times New Roman"/>
          <w:lang w:eastAsia="de-DE"/>
        </w:rPr>
        <w:t xml:space="preserve">. </w:t>
      </w:r>
      <w:r w:rsidRPr="00B33854">
        <w:rPr>
          <w:rFonts w:eastAsia="Times New Roman"/>
          <w:b/>
          <w:bCs/>
          <w:rtl/>
          <w:lang w:eastAsia="de-DE"/>
        </w:rPr>
        <w:t>הַהוּא</w:t>
      </w:r>
      <w:r w:rsidRPr="00B33854">
        <w:rPr>
          <w:rFonts w:eastAsia="Times New Roman"/>
          <w:rtl/>
          <w:lang w:eastAsia="de-DE"/>
        </w:rPr>
        <w:t xml:space="preserve"> </w:t>
      </w:r>
      <w:r w:rsidRPr="00B33854">
        <w:rPr>
          <w:rFonts w:eastAsia="Times New Roman"/>
          <w:lang w:eastAsia="de-DE"/>
        </w:rPr>
        <w:t xml:space="preserve">ist ein Demonstrativpronomen („jenes, dieses") mit Artikel. </w:t>
      </w:r>
      <w:r w:rsidRPr="00B33854">
        <w:rPr>
          <w:rFonts w:eastAsia="Times New Roman"/>
          <w:b/>
          <w:bCs/>
          <w:rtl/>
          <w:lang w:eastAsia="de-DE"/>
        </w:rPr>
        <w:t>יִקָּרֵא</w:t>
      </w:r>
      <w:r w:rsidRPr="00B33854">
        <w:rPr>
          <w:rFonts w:eastAsia="Times New Roman"/>
          <w:rtl/>
          <w:lang w:eastAsia="de-DE"/>
        </w:rPr>
        <w:t xml:space="preserve"> </w:t>
      </w:r>
      <w:r w:rsidRPr="00B33854">
        <w:rPr>
          <w:rFonts w:eastAsia="Times New Roman"/>
          <w:lang w:eastAsia="de-DE"/>
        </w:rPr>
        <w:t xml:space="preserve">ist Nifal Imperfekt, 3. Person Singular maskulin von </w:t>
      </w:r>
      <w:r w:rsidRPr="00B33854">
        <w:rPr>
          <w:rFonts w:eastAsia="Times New Roman"/>
          <w:b/>
          <w:bCs/>
          <w:rtl/>
          <w:lang w:eastAsia="de-DE"/>
        </w:rPr>
        <w:t>קרא</w:t>
      </w:r>
      <w:r w:rsidRPr="00B33854">
        <w:rPr>
          <w:rFonts w:eastAsia="Times New Roman"/>
          <w:rtl/>
          <w:lang w:eastAsia="de-DE"/>
        </w:rPr>
        <w:t xml:space="preserve"> </w:t>
      </w:r>
      <w:r w:rsidRPr="00B33854">
        <w:rPr>
          <w:rFonts w:eastAsia="Times New Roman"/>
          <w:lang w:eastAsia="de-DE"/>
        </w:rPr>
        <w:t xml:space="preserve">(„genannt werden"). </w:t>
      </w:r>
      <w:r w:rsidRPr="00B33854">
        <w:rPr>
          <w:rFonts w:eastAsia="Times New Roman"/>
          <w:b/>
          <w:bCs/>
          <w:rtl/>
          <w:lang w:eastAsia="de-DE"/>
        </w:rPr>
        <w:t>אֶרֶץ רְפָאִים</w:t>
      </w:r>
      <w:r w:rsidRPr="00B33854">
        <w:rPr>
          <w:rFonts w:eastAsia="Times New Roman"/>
          <w:rtl/>
          <w:lang w:eastAsia="de-DE"/>
        </w:rPr>
        <w:t xml:space="preserve"> </w:t>
      </w:r>
      <w:r w:rsidRPr="00B33854">
        <w:rPr>
          <w:rFonts w:eastAsia="Times New Roman"/>
          <w:lang w:eastAsia="de-DE"/>
        </w:rPr>
        <w:t xml:space="preserve">ist das Prädikatsnomen: </w:t>
      </w:r>
      <w:r w:rsidRPr="00B33854">
        <w:rPr>
          <w:rFonts w:eastAsia="Times New Roman"/>
          <w:b/>
          <w:bCs/>
          <w:rtl/>
          <w:lang w:eastAsia="de-DE"/>
        </w:rPr>
        <w:t>אֶרֶץ</w:t>
      </w:r>
      <w:r w:rsidRPr="00B33854">
        <w:rPr>
          <w:rFonts w:eastAsia="Times New Roman"/>
          <w:rtl/>
          <w:lang w:eastAsia="de-DE"/>
        </w:rPr>
        <w:t xml:space="preserve"> </w:t>
      </w:r>
      <w:r w:rsidRPr="00B33854">
        <w:rPr>
          <w:rFonts w:eastAsia="Times New Roman"/>
          <w:lang w:eastAsia="de-DE"/>
        </w:rPr>
        <w:t xml:space="preserve">(„Land") im Construct mit </w:t>
      </w:r>
      <w:r w:rsidRPr="00B33854">
        <w:rPr>
          <w:rFonts w:eastAsia="Times New Roman"/>
          <w:b/>
          <w:bCs/>
          <w:rtl/>
          <w:lang w:eastAsia="de-DE"/>
        </w:rPr>
        <w:t>רְפָאִים</w:t>
      </w:r>
      <w:r w:rsidRPr="00B33854">
        <w:rPr>
          <w:rFonts w:eastAsia="Times New Roman"/>
          <w:rtl/>
          <w:lang w:eastAsia="de-DE"/>
        </w:rPr>
        <w:t xml:space="preserve"> </w:t>
      </w:r>
      <w:r w:rsidRPr="00B33854">
        <w:rPr>
          <w:rFonts w:eastAsia="Times New Roman"/>
          <w:lang w:eastAsia="de-DE"/>
        </w:rPr>
        <w:t>(„</w:t>
      </w:r>
      <w:proofErr w:type="spellStart"/>
      <w:r w:rsidR="00D91A0B">
        <w:rPr>
          <w:rFonts w:eastAsia="Times New Roman"/>
          <w:lang w:eastAsia="de-DE"/>
        </w:rPr>
        <w:t>Ephraiter</w:t>
      </w:r>
      <w:proofErr w:type="spellEnd"/>
      <w:r w:rsidRPr="00B33854">
        <w:rPr>
          <w:rFonts w:eastAsia="Times New Roman"/>
          <w:lang w:eastAsia="de-DE"/>
        </w:rPr>
        <w:t>", Plural).</w:t>
      </w:r>
    </w:p>
    <w:p w14:paraId="57DFEDB4"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lastRenderedPageBreak/>
        <w:t xml:space="preserve">Die Satzstruktur besteht aus einem Hauptsatz mit zweigliedriger koordinierter Objektkette, appositiver Erweiterung und Empfängerangabe. Es folgt eine weitere präzisierende Objektangabe und ein abschließender Hauptsatz, der eine alternative Benennung des Gebiets erklärt. Die Struktur ist parallel zu Vers 12, jedoch mit anderem Empfänger und zusätzlicher </w:t>
      </w:r>
      <w:proofErr w:type="spellStart"/>
      <w:r w:rsidRPr="00B33854">
        <w:rPr>
          <w:rFonts w:eastAsia="Times New Roman"/>
          <w:lang w:eastAsia="de-DE"/>
        </w:rPr>
        <w:t>onomastischer</w:t>
      </w:r>
      <w:proofErr w:type="spellEnd"/>
      <w:r w:rsidRPr="00B33854">
        <w:rPr>
          <w:rFonts w:eastAsia="Times New Roman"/>
          <w:lang w:eastAsia="de-DE"/>
        </w:rPr>
        <w:t xml:space="preserve"> Erklärung.</w:t>
      </w:r>
    </w:p>
    <w:p w14:paraId="44AF0782"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Der Vers beschreibt die Zuweisung des nördlichen Teils (Rest von Gilead und ganz Baschan) an den halben Stamm Manasse mit der Erklärung des alternativen Namens.</w:t>
      </w:r>
    </w:p>
    <w:p w14:paraId="09BFCD0A"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3,14</w:t>
      </w:r>
    </w:p>
    <w:p w14:paraId="1E299EB3"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יָאִ֣יר בֶּן־מְנַשֶּׁ֗ה לָקַח֙ אֶת־כָּל־חֶ֣בֶל אַרְגֹּ֔ב עַד־גְּב֥וּל הַגְּשׁוּרִ֖י וְהַמַּֽעֲכָתִ֑י וַיִּקְרָא֩ אֹתָ֨ם עַל־שְׁמֹ֤ו אֶת־הַבָּשָׁן֙ חַוֹּ֣ת יָאִ֔יר עַ֖ד הַיּ֥וֹם הַזֶּֽה׃</w:t>
      </w:r>
    </w:p>
    <w:p w14:paraId="3DB9F6FE"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Ja'ir, der Sohn Menasches, nahm den ganzen Landstrich Argov bis zur Grenze des Geschuri und des Ma'achati und nannte sie, Baschan, nach seinem Namen: Chavvot-Ja'ir, bis auf diesen Tag.</w:t>
      </w:r>
    </w:p>
    <w:p w14:paraId="2245506E"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567E2D16">
          <v:rect id="_x0000_i1121" style="width:0;height:1.5pt" o:hralign="center" o:hrstd="t" o:hr="t" fillcolor="#a0a0a0" stroked="f"/>
        </w:pict>
      </w:r>
    </w:p>
    <w:p w14:paraId="582B63DA"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יָאִיר בֶּן־מְנַשֶּׁה</w:t>
      </w:r>
      <w:r w:rsidRPr="00B33854">
        <w:rPr>
          <w:rFonts w:eastAsia="Times New Roman"/>
          <w:rtl/>
          <w:lang w:eastAsia="de-DE"/>
        </w:rPr>
        <w:t xml:space="preserve"> </w:t>
      </w:r>
      <w:r w:rsidRPr="00B33854">
        <w:rPr>
          <w:rFonts w:eastAsia="Times New Roman"/>
          <w:lang w:eastAsia="de-DE"/>
        </w:rPr>
        <w:t xml:space="preserve">ist das Subjekt: </w:t>
      </w:r>
      <w:r w:rsidRPr="00B33854">
        <w:rPr>
          <w:rFonts w:eastAsia="Times New Roman"/>
          <w:b/>
          <w:bCs/>
          <w:rtl/>
          <w:lang w:eastAsia="de-DE"/>
        </w:rPr>
        <w:t>יָאִיר</w:t>
      </w:r>
      <w:r w:rsidRPr="00B33854">
        <w:rPr>
          <w:rFonts w:eastAsia="Times New Roman"/>
          <w:rtl/>
          <w:lang w:eastAsia="de-DE"/>
        </w:rPr>
        <w:t xml:space="preserve"> </w:t>
      </w:r>
      <w:r w:rsidRPr="00B33854">
        <w:rPr>
          <w:rFonts w:eastAsia="Times New Roman"/>
          <w:lang w:eastAsia="de-DE"/>
        </w:rPr>
        <w:t xml:space="preserve">(Eigenname) mit der appositiven Abstammungsangabe </w:t>
      </w:r>
      <w:r w:rsidRPr="00B33854">
        <w:rPr>
          <w:rFonts w:eastAsia="Times New Roman"/>
          <w:b/>
          <w:bCs/>
          <w:rtl/>
          <w:lang w:eastAsia="de-DE"/>
        </w:rPr>
        <w:t>בֶּן־מְנַשֶּׁה</w:t>
      </w:r>
      <w:r w:rsidRPr="00B33854">
        <w:rPr>
          <w:rFonts w:eastAsia="Times New Roman"/>
          <w:rtl/>
          <w:lang w:eastAsia="de-DE"/>
        </w:rPr>
        <w:t xml:space="preserve"> </w:t>
      </w:r>
      <w:r w:rsidRPr="00B33854">
        <w:rPr>
          <w:rFonts w:eastAsia="Times New Roman"/>
          <w:lang w:eastAsia="de-DE"/>
        </w:rPr>
        <w:t xml:space="preserve">(„Sohn des Manasse"), </w:t>
      </w:r>
      <w:r w:rsidRPr="00B33854">
        <w:rPr>
          <w:rFonts w:eastAsia="Times New Roman"/>
          <w:b/>
          <w:bCs/>
          <w:rtl/>
          <w:lang w:eastAsia="de-DE"/>
        </w:rPr>
        <w:t>בֶּן</w:t>
      </w:r>
      <w:r w:rsidRPr="00B33854">
        <w:rPr>
          <w:rFonts w:eastAsia="Times New Roman"/>
          <w:rtl/>
          <w:lang w:eastAsia="de-DE"/>
        </w:rPr>
        <w:t xml:space="preserve"> </w:t>
      </w:r>
      <w:r w:rsidRPr="00B33854">
        <w:rPr>
          <w:rFonts w:eastAsia="Times New Roman"/>
          <w:lang w:eastAsia="de-DE"/>
        </w:rPr>
        <w:t xml:space="preserve">im Construct mit </w:t>
      </w:r>
      <w:r w:rsidRPr="00B33854">
        <w:rPr>
          <w:rFonts w:eastAsia="Times New Roman"/>
          <w:b/>
          <w:bCs/>
          <w:rtl/>
          <w:lang w:eastAsia="de-DE"/>
        </w:rPr>
        <w:t>מְנַשֶּׁה</w:t>
      </w:r>
      <w:r w:rsidRPr="00B33854">
        <w:rPr>
          <w:rFonts w:eastAsia="Times New Roman"/>
          <w:lang w:eastAsia="de-DE"/>
        </w:rPr>
        <w:t xml:space="preserve">. </w:t>
      </w:r>
      <w:r w:rsidRPr="00B33854">
        <w:rPr>
          <w:rFonts w:eastAsia="Times New Roman"/>
          <w:b/>
          <w:bCs/>
          <w:rtl/>
          <w:lang w:eastAsia="de-DE"/>
        </w:rPr>
        <w:t>לָקַח</w:t>
      </w:r>
      <w:r w:rsidRPr="00B33854">
        <w:rPr>
          <w:rFonts w:eastAsia="Times New Roman"/>
          <w:rtl/>
          <w:lang w:eastAsia="de-DE"/>
        </w:rPr>
        <w:t xml:space="preserve"> </w:t>
      </w:r>
      <w:r w:rsidRPr="00B33854">
        <w:rPr>
          <w:rFonts w:eastAsia="Times New Roman"/>
          <w:lang w:eastAsia="de-DE"/>
        </w:rPr>
        <w:t xml:space="preserve">ist Qal Perfekt, 3. Person Singular maskulin von </w:t>
      </w:r>
      <w:r w:rsidRPr="00B33854">
        <w:rPr>
          <w:rFonts w:eastAsia="Times New Roman"/>
          <w:b/>
          <w:bCs/>
          <w:rtl/>
          <w:lang w:eastAsia="de-DE"/>
        </w:rPr>
        <w:t>לקח</w:t>
      </w:r>
      <w:r w:rsidRPr="00B33854">
        <w:rPr>
          <w:rFonts w:eastAsia="Times New Roman"/>
          <w:rtl/>
          <w:lang w:eastAsia="de-DE"/>
        </w:rPr>
        <w:t xml:space="preserve"> </w:t>
      </w:r>
      <w:r w:rsidRPr="00B33854">
        <w:rPr>
          <w:rFonts w:eastAsia="Times New Roman"/>
          <w:lang w:eastAsia="de-DE"/>
        </w:rPr>
        <w:t xml:space="preserve">(„nehmen"). </w:t>
      </w:r>
      <w:r w:rsidRPr="00B33854">
        <w:rPr>
          <w:rFonts w:eastAsia="Times New Roman"/>
          <w:b/>
          <w:bCs/>
          <w:rtl/>
          <w:lang w:eastAsia="de-DE"/>
        </w:rPr>
        <w:t>אֶת־כָּל־חֶבֶל אַרְגֹּב</w:t>
      </w:r>
      <w:r w:rsidRPr="00B33854">
        <w:rPr>
          <w:rFonts w:eastAsia="Times New Roman"/>
          <w:rtl/>
          <w:lang w:eastAsia="de-DE"/>
        </w:rPr>
        <w:t xml:space="preserve"> </w:t>
      </w:r>
      <w:r w:rsidRPr="00B33854">
        <w:rPr>
          <w:rFonts w:eastAsia="Times New Roman"/>
          <w:lang w:eastAsia="de-DE"/>
        </w:rPr>
        <w:t xml:space="preserve">ist nota accusativi mit </w:t>
      </w:r>
      <w:r w:rsidRPr="00B33854">
        <w:rPr>
          <w:rFonts w:eastAsia="Times New Roman"/>
          <w:b/>
          <w:bCs/>
          <w:rtl/>
          <w:lang w:eastAsia="de-DE"/>
        </w:rPr>
        <w:t>כָּל</w:t>
      </w:r>
      <w:r w:rsidRPr="00B33854">
        <w:rPr>
          <w:rFonts w:eastAsia="Times New Roman"/>
          <w:rtl/>
          <w:lang w:eastAsia="de-DE"/>
        </w:rPr>
        <w:t xml:space="preserve"> </w:t>
      </w:r>
      <w:r w:rsidRPr="00B33854">
        <w:rPr>
          <w:rFonts w:eastAsia="Times New Roman"/>
          <w:lang w:eastAsia="de-DE"/>
        </w:rPr>
        <w:t xml:space="preserve">im Construct, </w:t>
      </w:r>
      <w:r w:rsidRPr="00B33854">
        <w:rPr>
          <w:rFonts w:eastAsia="Times New Roman"/>
          <w:b/>
          <w:bCs/>
          <w:rtl/>
          <w:lang w:eastAsia="de-DE"/>
        </w:rPr>
        <w:t>חֶבֶל</w:t>
      </w:r>
      <w:r w:rsidRPr="00B33854">
        <w:rPr>
          <w:rFonts w:eastAsia="Times New Roman"/>
          <w:rtl/>
          <w:lang w:eastAsia="de-DE"/>
        </w:rPr>
        <w:t xml:space="preserve"> </w:t>
      </w:r>
      <w:r w:rsidRPr="00B33854">
        <w:rPr>
          <w:rFonts w:eastAsia="Times New Roman"/>
          <w:lang w:eastAsia="de-DE"/>
        </w:rPr>
        <w:t xml:space="preserve">im Construct und </w:t>
      </w:r>
      <w:r w:rsidRPr="00B33854">
        <w:rPr>
          <w:rFonts w:eastAsia="Times New Roman"/>
          <w:b/>
          <w:bCs/>
          <w:rtl/>
          <w:lang w:eastAsia="de-DE"/>
        </w:rPr>
        <w:t>אַרְגֹּב</w:t>
      </w:r>
      <w:r w:rsidRPr="00B33854">
        <w:rPr>
          <w:rFonts w:eastAsia="Times New Roman"/>
          <w:rtl/>
          <w:lang w:eastAsia="de-DE"/>
        </w:rPr>
        <w:t xml:space="preserve"> </w:t>
      </w:r>
      <w:r w:rsidRPr="00B33854">
        <w:rPr>
          <w:rFonts w:eastAsia="Times New Roman"/>
          <w:lang w:eastAsia="de-DE"/>
        </w:rPr>
        <w:t xml:space="preserve">(Regionalname). </w:t>
      </w:r>
      <w:r w:rsidRPr="00B33854">
        <w:rPr>
          <w:rFonts w:eastAsia="Times New Roman"/>
          <w:b/>
          <w:bCs/>
          <w:rtl/>
          <w:lang w:eastAsia="de-DE"/>
        </w:rPr>
        <w:t>עַד־גְּבוּל הַגְּשׁוּרִי וְהַמַּעֲכָתִי</w:t>
      </w:r>
      <w:r w:rsidRPr="00B33854">
        <w:rPr>
          <w:rFonts w:eastAsia="Times New Roman"/>
          <w:rtl/>
          <w:lang w:eastAsia="de-DE"/>
        </w:rPr>
        <w:t xml:space="preserve"> </w:t>
      </w:r>
      <w:r w:rsidRPr="00B33854">
        <w:rPr>
          <w:rFonts w:eastAsia="Times New Roman"/>
          <w:lang w:eastAsia="de-DE"/>
        </w:rPr>
        <w:t xml:space="preserve">ist eine Grenzbeschreibung: </w:t>
      </w:r>
      <w:r w:rsidRPr="00B33854">
        <w:rPr>
          <w:rFonts w:eastAsia="Times New Roman"/>
          <w:b/>
          <w:bCs/>
          <w:rtl/>
          <w:lang w:eastAsia="de-DE"/>
        </w:rPr>
        <w:t>עַד</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גְּבוּל</w:t>
      </w:r>
      <w:r w:rsidRPr="00B33854">
        <w:rPr>
          <w:rFonts w:eastAsia="Times New Roman"/>
          <w:rtl/>
          <w:lang w:eastAsia="de-DE"/>
        </w:rPr>
        <w:t xml:space="preserve"> </w:t>
      </w:r>
      <w:r w:rsidRPr="00B33854">
        <w:rPr>
          <w:rFonts w:eastAsia="Times New Roman"/>
          <w:lang w:eastAsia="de-DE"/>
        </w:rPr>
        <w:t xml:space="preserve">(„Grenze") im Construct und den beiden Gentilbezeichnungen </w:t>
      </w:r>
      <w:r w:rsidRPr="00B33854">
        <w:rPr>
          <w:rFonts w:eastAsia="Times New Roman"/>
          <w:b/>
          <w:bCs/>
          <w:rtl/>
          <w:lang w:eastAsia="de-DE"/>
        </w:rPr>
        <w:t>הַגְּשׁוּרִי</w:t>
      </w:r>
      <w:r w:rsidRPr="00B33854">
        <w:rPr>
          <w:rFonts w:eastAsia="Times New Roman"/>
          <w:rtl/>
          <w:lang w:eastAsia="de-DE"/>
        </w:rPr>
        <w:t xml:space="preserve"> </w:t>
      </w:r>
      <w:r w:rsidRPr="00B33854">
        <w:rPr>
          <w:rFonts w:eastAsia="Times New Roman"/>
          <w:lang w:eastAsia="de-DE"/>
        </w:rPr>
        <w:t xml:space="preserve">(„die Geschuriter", kollektiv Singular mit Artikel) und </w:t>
      </w:r>
      <w:r w:rsidRPr="00B33854">
        <w:rPr>
          <w:rFonts w:eastAsia="Times New Roman"/>
          <w:b/>
          <w:bCs/>
          <w:rtl/>
          <w:lang w:eastAsia="de-DE"/>
        </w:rPr>
        <w:t>הַמַּעֲכָתִי</w:t>
      </w:r>
      <w:r w:rsidRPr="00B33854">
        <w:rPr>
          <w:rFonts w:eastAsia="Times New Roman"/>
          <w:rtl/>
          <w:lang w:eastAsia="de-DE"/>
        </w:rPr>
        <w:t xml:space="preserve"> </w:t>
      </w:r>
      <w:r w:rsidRPr="00B33854">
        <w:rPr>
          <w:rFonts w:eastAsia="Times New Roman"/>
          <w:lang w:eastAsia="de-DE"/>
        </w:rPr>
        <w:t xml:space="preserve">(„die Maachatiter", mit Artikel), koordiniert durch </w:t>
      </w:r>
      <w:r w:rsidRPr="00B33854">
        <w:rPr>
          <w:rFonts w:eastAsia="Times New Roman"/>
          <w:b/>
          <w:bCs/>
          <w:rtl/>
          <w:lang w:eastAsia="de-DE"/>
        </w:rPr>
        <w:t>וְ</w:t>
      </w:r>
      <w:r w:rsidRPr="00B33854">
        <w:rPr>
          <w:rFonts w:eastAsia="Times New Roman"/>
          <w:lang w:eastAsia="de-DE"/>
        </w:rPr>
        <w:t>.</w:t>
      </w:r>
    </w:p>
    <w:p w14:paraId="13A27E83" w14:textId="2D5CCFB8"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וַיִּקְרָא</w:t>
      </w:r>
      <w:r w:rsidRPr="00B33854">
        <w:rPr>
          <w:rFonts w:eastAsia="Times New Roman"/>
          <w:rtl/>
          <w:lang w:eastAsia="de-DE"/>
        </w:rPr>
        <w:t xml:space="preserve"> </w:t>
      </w:r>
      <w:r w:rsidRPr="00B33854">
        <w:rPr>
          <w:rFonts w:eastAsia="Times New Roman"/>
          <w:lang w:eastAsia="de-DE"/>
        </w:rPr>
        <w:t xml:space="preserve">ist Qal Imperfekt consecutivum, 3. Person Singular maskulin von </w:t>
      </w:r>
      <w:r w:rsidRPr="00B33854">
        <w:rPr>
          <w:rFonts w:eastAsia="Times New Roman"/>
          <w:b/>
          <w:bCs/>
          <w:rtl/>
          <w:lang w:eastAsia="de-DE"/>
        </w:rPr>
        <w:t>קרא</w:t>
      </w:r>
      <w:r w:rsidRPr="00B33854">
        <w:rPr>
          <w:rFonts w:eastAsia="Times New Roman"/>
          <w:rtl/>
          <w:lang w:eastAsia="de-DE"/>
        </w:rPr>
        <w:t xml:space="preserve"> </w:t>
      </w:r>
      <w:r w:rsidRPr="00B33854">
        <w:rPr>
          <w:rFonts w:eastAsia="Times New Roman"/>
          <w:lang w:eastAsia="de-DE"/>
        </w:rPr>
        <w:t xml:space="preserve">(„nennen, rufen") mit Waw. </w:t>
      </w:r>
      <w:r w:rsidRPr="00B33854">
        <w:rPr>
          <w:rFonts w:eastAsia="Times New Roman"/>
          <w:b/>
          <w:bCs/>
          <w:rtl/>
          <w:lang w:eastAsia="de-DE"/>
        </w:rPr>
        <w:t>אֹתָם</w:t>
      </w:r>
      <w:r w:rsidRPr="00B33854">
        <w:rPr>
          <w:rFonts w:eastAsia="Times New Roman"/>
          <w:rtl/>
          <w:lang w:eastAsia="de-DE"/>
        </w:rPr>
        <w:t xml:space="preserve"> </w:t>
      </w:r>
      <w:r w:rsidRPr="00B33854">
        <w:rPr>
          <w:rFonts w:eastAsia="Times New Roman"/>
          <w:lang w:eastAsia="de-DE"/>
        </w:rPr>
        <w:t xml:space="preserve">ist nota accusativi mit Suffix 3. Person Plural maskulin („sie", bezogen auf die Orte/Dörfer). </w:t>
      </w:r>
      <w:r w:rsidRPr="00B33854">
        <w:rPr>
          <w:rFonts w:eastAsia="Times New Roman"/>
          <w:b/>
          <w:bCs/>
          <w:rtl/>
          <w:lang w:eastAsia="de-DE"/>
        </w:rPr>
        <w:t>עַל־שְׁמוֹ</w:t>
      </w:r>
      <w:r w:rsidRPr="00B33854">
        <w:rPr>
          <w:rFonts w:eastAsia="Times New Roman"/>
          <w:rtl/>
          <w:lang w:eastAsia="de-DE"/>
        </w:rPr>
        <w:t xml:space="preserve"> </w:t>
      </w:r>
      <w:r w:rsidRPr="00B33854">
        <w:rPr>
          <w:rFonts w:eastAsia="Times New Roman"/>
          <w:lang w:eastAsia="de-DE"/>
        </w:rPr>
        <w:t xml:space="preserve">ist eine idiomatische Wendung: </w:t>
      </w:r>
      <w:r w:rsidRPr="00B33854">
        <w:rPr>
          <w:rFonts w:eastAsia="Times New Roman"/>
          <w:b/>
          <w:bCs/>
          <w:rtl/>
          <w:lang w:eastAsia="de-DE"/>
        </w:rPr>
        <w:t>עַל</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שֵׁם</w:t>
      </w:r>
      <w:r w:rsidRPr="00B33854">
        <w:rPr>
          <w:rFonts w:eastAsia="Times New Roman"/>
          <w:rtl/>
          <w:lang w:eastAsia="de-DE"/>
        </w:rPr>
        <w:t xml:space="preserve"> </w:t>
      </w:r>
      <w:r w:rsidRPr="00B33854">
        <w:rPr>
          <w:rFonts w:eastAsia="Times New Roman"/>
          <w:lang w:eastAsia="de-DE"/>
        </w:rPr>
        <w:t xml:space="preserve">(„Name") im Construct und Suffix 3. Person Singular maskulin („nach seinem Namen"). </w:t>
      </w:r>
      <w:r w:rsidRPr="00B33854">
        <w:rPr>
          <w:rFonts w:eastAsia="Times New Roman"/>
          <w:b/>
          <w:bCs/>
          <w:rtl/>
          <w:lang w:eastAsia="de-DE"/>
        </w:rPr>
        <w:t>אֶת־הַבָּשָׁן</w:t>
      </w:r>
      <w:r w:rsidRPr="00B33854">
        <w:rPr>
          <w:rFonts w:eastAsia="Times New Roman"/>
          <w:rtl/>
          <w:lang w:eastAsia="de-DE"/>
        </w:rPr>
        <w:t xml:space="preserve"> </w:t>
      </w:r>
      <w:r w:rsidRPr="00B33854">
        <w:rPr>
          <w:rFonts w:eastAsia="Times New Roman"/>
          <w:lang w:eastAsia="de-DE"/>
        </w:rPr>
        <w:t xml:space="preserve">ist eine erklärende Apposition mit nota accusativi. </w:t>
      </w:r>
      <w:r w:rsidRPr="00B33854">
        <w:rPr>
          <w:rFonts w:eastAsia="Times New Roman"/>
          <w:b/>
          <w:bCs/>
          <w:rtl/>
          <w:lang w:eastAsia="de-DE"/>
        </w:rPr>
        <w:t>חַוֹּת יָאִיר</w:t>
      </w:r>
      <w:r w:rsidRPr="00B33854">
        <w:rPr>
          <w:rFonts w:eastAsia="Times New Roman"/>
          <w:rtl/>
          <w:lang w:eastAsia="de-DE"/>
        </w:rPr>
        <w:t xml:space="preserve"> </w:t>
      </w:r>
      <w:r w:rsidRPr="00B33854">
        <w:rPr>
          <w:rFonts w:eastAsia="Times New Roman"/>
          <w:lang w:eastAsia="de-DE"/>
        </w:rPr>
        <w:t xml:space="preserve">ist der neue Name: </w:t>
      </w:r>
      <w:r w:rsidRPr="00B33854">
        <w:rPr>
          <w:rFonts w:eastAsia="Times New Roman"/>
          <w:b/>
          <w:bCs/>
          <w:rtl/>
          <w:lang w:eastAsia="de-DE"/>
        </w:rPr>
        <w:t>חַוֹּת</w:t>
      </w:r>
      <w:r w:rsidRPr="00B33854">
        <w:rPr>
          <w:rFonts w:eastAsia="Times New Roman"/>
          <w:rtl/>
          <w:lang w:eastAsia="de-DE"/>
        </w:rPr>
        <w:t xml:space="preserve"> </w:t>
      </w:r>
      <w:r w:rsidRPr="00B33854">
        <w:rPr>
          <w:rFonts w:eastAsia="Times New Roman"/>
          <w:lang w:eastAsia="de-DE"/>
        </w:rPr>
        <w:t xml:space="preserve">(„Zeltdörfer", Plural Construct von </w:t>
      </w:r>
      <w:r w:rsidRPr="00B33854">
        <w:rPr>
          <w:rFonts w:eastAsia="Times New Roman"/>
          <w:b/>
          <w:bCs/>
          <w:rtl/>
          <w:lang w:eastAsia="de-DE"/>
        </w:rPr>
        <w:t>חַוָּה</w:t>
      </w:r>
      <w:r w:rsidRPr="00B33854">
        <w:rPr>
          <w:rFonts w:eastAsia="Times New Roman"/>
          <w:lang w:eastAsia="de-DE"/>
        </w:rPr>
        <w:t xml:space="preserve">) mit </w:t>
      </w:r>
      <w:r w:rsidRPr="00B33854">
        <w:rPr>
          <w:rFonts w:eastAsia="Times New Roman"/>
          <w:b/>
          <w:bCs/>
          <w:rtl/>
          <w:lang w:eastAsia="de-DE"/>
        </w:rPr>
        <w:t>יָאִיר</w:t>
      </w:r>
      <w:r w:rsidRPr="00B33854">
        <w:rPr>
          <w:rFonts w:eastAsia="Times New Roman"/>
          <w:rtl/>
          <w:lang w:eastAsia="de-DE"/>
        </w:rPr>
        <w:t xml:space="preserve"> </w:t>
      </w:r>
      <w:r w:rsidRPr="00B33854">
        <w:rPr>
          <w:rFonts w:eastAsia="Times New Roman"/>
          <w:lang w:eastAsia="de-DE"/>
        </w:rPr>
        <w:t>(Eigenname).</w:t>
      </w:r>
      <w:r w:rsidR="00743283">
        <w:rPr>
          <w:rFonts w:eastAsia="Times New Roman"/>
          <w:lang w:eastAsia="de-DE"/>
        </w:rPr>
        <w:t xml:space="preserve"> </w:t>
      </w:r>
      <w:r w:rsidR="00743283">
        <w:t>Die Benennung von Chavvot-Ja'ir ist ein Beispiel für persönliche Landnahme innerhalb der größeren Stammeseroberung.</w:t>
      </w:r>
      <w:r w:rsidRPr="00B33854">
        <w:rPr>
          <w:rFonts w:eastAsia="Times New Roman"/>
          <w:lang w:eastAsia="de-DE"/>
        </w:rPr>
        <w:t xml:space="preserve"> </w:t>
      </w:r>
      <w:r w:rsidRPr="00B33854">
        <w:rPr>
          <w:rFonts w:eastAsia="Times New Roman"/>
          <w:b/>
          <w:bCs/>
          <w:rtl/>
          <w:lang w:eastAsia="de-DE"/>
        </w:rPr>
        <w:t>עַד הַיּוֹם הַזֶּה</w:t>
      </w:r>
      <w:r w:rsidRPr="00B33854">
        <w:rPr>
          <w:rFonts w:eastAsia="Times New Roman"/>
          <w:rtl/>
          <w:lang w:eastAsia="de-DE"/>
        </w:rPr>
        <w:t xml:space="preserve"> </w:t>
      </w:r>
      <w:r w:rsidRPr="00B33854">
        <w:rPr>
          <w:rFonts w:eastAsia="Times New Roman"/>
          <w:lang w:eastAsia="de-DE"/>
        </w:rPr>
        <w:t xml:space="preserve">ist eine Zeitangabe: </w:t>
      </w:r>
      <w:r w:rsidRPr="00B33854">
        <w:rPr>
          <w:rFonts w:eastAsia="Times New Roman"/>
          <w:b/>
          <w:bCs/>
          <w:rtl/>
          <w:lang w:eastAsia="de-DE"/>
        </w:rPr>
        <w:t>עַד</w:t>
      </w:r>
      <w:r w:rsidRPr="00B33854">
        <w:rPr>
          <w:rFonts w:eastAsia="Times New Roman"/>
          <w:rtl/>
          <w:lang w:eastAsia="de-DE"/>
        </w:rPr>
        <w:t xml:space="preserve"> </w:t>
      </w:r>
      <w:r w:rsidRPr="00B33854">
        <w:rPr>
          <w:rFonts w:eastAsia="Times New Roman"/>
          <w:lang w:eastAsia="de-DE"/>
        </w:rPr>
        <w:t xml:space="preserve">(„bis") mit </w:t>
      </w:r>
      <w:r w:rsidRPr="00B33854">
        <w:rPr>
          <w:rFonts w:eastAsia="Times New Roman"/>
          <w:b/>
          <w:bCs/>
          <w:rtl/>
          <w:lang w:eastAsia="de-DE"/>
        </w:rPr>
        <w:t>הַיּוֹם הַזֶּה</w:t>
      </w:r>
      <w:r w:rsidRPr="00B33854">
        <w:rPr>
          <w:rFonts w:eastAsia="Times New Roman"/>
          <w:rtl/>
          <w:lang w:eastAsia="de-DE"/>
        </w:rPr>
        <w:t xml:space="preserve"> </w:t>
      </w:r>
      <w:r w:rsidRPr="00B33854">
        <w:rPr>
          <w:rFonts w:eastAsia="Times New Roman"/>
          <w:lang w:eastAsia="de-DE"/>
        </w:rPr>
        <w:t>(„dieser Tag", Demonstrativpronomen als Attribut).</w:t>
      </w:r>
    </w:p>
    <w:p w14:paraId="5BDC12AC"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Die Satzstruktur besteht aus zwei koordinierten Hauptsätzen: Der erste beschreibt die territoriale Eroberung mit Subjekt, Objekt und Grenzbeschreibung. Der zweite Hauptsatz beschreibt die Namensgebung mit direktem Objekt, idiomatischer Begründung, erklärender Apposition zum Gebiet, dem neuen Namen und einer ätiologischen Schlussformel.</w:t>
      </w:r>
    </w:p>
    <w:p w14:paraId="24C53B56"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Der Vers erklärt, wie Ja'ir, ein Nachkomme Manasses, die Region Argov eroberte und nach sich selbst benannte – ein Name, der bis zur Zeit des Erzählers Bestand hatte.</w:t>
      </w:r>
    </w:p>
    <w:p w14:paraId="3D820678"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3,15</w:t>
      </w:r>
    </w:p>
    <w:p w14:paraId="403EF439"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lastRenderedPageBreak/>
        <w:t>Hebräisch:</w:t>
      </w:r>
      <w:r w:rsidRPr="00B33854">
        <w:rPr>
          <w:rFonts w:eastAsia="Times New Roman"/>
          <w:lang w:eastAsia="de-DE"/>
        </w:rPr>
        <w:t xml:space="preserve"> </w:t>
      </w:r>
      <w:r w:rsidRPr="00B33854">
        <w:rPr>
          <w:rFonts w:eastAsia="Times New Roman"/>
          <w:rtl/>
          <w:lang w:eastAsia="de-DE"/>
        </w:rPr>
        <w:t>וּלְמָכִ֖יר נָתַ֥תִּי אֶת־הַגִּלְעָֽד׃</w:t>
      </w:r>
    </w:p>
    <w:p w14:paraId="4A2C0540"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Und dem Machir gab ich das Gil'ad.</w:t>
      </w:r>
    </w:p>
    <w:p w14:paraId="15D23A39"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41948AD2">
          <v:rect id="_x0000_i1122" style="width:0;height:1.5pt" o:hralign="center" o:hrstd="t" o:hr="t" fillcolor="#a0a0a0" stroked="f"/>
        </w:pict>
      </w:r>
    </w:p>
    <w:p w14:paraId="3D106B9B"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וּלְמָכִיר</w:t>
      </w:r>
      <w:r w:rsidRPr="00B33854">
        <w:rPr>
          <w:rFonts w:eastAsia="Times New Roman"/>
          <w:rtl/>
          <w:lang w:eastAsia="de-DE"/>
        </w:rPr>
        <w:t xml:space="preserve"> </w:t>
      </w:r>
      <w:r w:rsidRPr="00B33854">
        <w:rPr>
          <w:rFonts w:eastAsia="Times New Roman"/>
          <w:lang w:eastAsia="de-DE"/>
        </w:rPr>
        <w:t xml:space="preserve">ist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 xml:space="preserve">mit Präposition </w:t>
      </w:r>
      <w:r w:rsidRPr="00B33854">
        <w:rPr>
          <w:rFonts w:eastAsia="Times New Roman"/>
          <w:b/>
          <w:bCs/>
          <w:rtl/>
          <w:lang w:eastAsia="de-DE"/>
        </w:rPr>
        <w:t>לְ</w:t>
      </w:r>
      <w:r w:rsidRPr="00B33854">
        <w:rPr>
          <w:rFonts w:eastAsia="Times New Roman"/>
          <w:rtl/>
          <w:lang w:eastAsia="de-DE"/>
        </w:rPr>
        <w:t xml:space="preserve"> </w:t>
      </w:r>
      <w:r w:rsidRPr="00B33854">
        <w:rPr>
          <w:rFonts w:eastAsia="Times New Roman"/>
          <w:lang w:eastAsia="de-DE"/>
        </w:rPr>
        <w:t xml:space="preserve">und </w:t>
      </w:r>
      <w:r w:rsidRPr="00B33854">
        <w:rPr>
          <w:rFonts w:eastAsia="Times New Roman"/>
          <w:b/>
          <w:bCs/>
          <w:rtl/>
          <w:lang w:eastAsia="de-DE"/>
        </w:rPr>
        <w:t>מָכִיר</w:t>
      </w:r>
      <w:r w:rsidRPr="00B33854">
        <w:rPr>
          <w:rFonts w:eastAsia="Times New Roman"/>
          <w:rtl/>
          <w:lang w:eastAsia="de-DE"/>
        </w:rPr>
        <w:t xml:space="preserve"> </w:t>
      </w:r>
      <w:r w:rsidRPr="00B33854">
        <w:rPr>
          <w:rFonts w:eastAsia="Times New Roman"/>
          <w:lang w:eastAsia="de-DE"/>
        </w:rPr>
        <w:t xml:space="preserve">(Eigenname, Sohn Manasses und Stammvater eines Manasse-Clans). </w:t>
      </w:r>
      <w:r w:rsidRPr="00B33854">
        <w:rPr>
          <w:rFonts w:eastAsia="Times New Roman"/>
          <w:b/>
          <w:bCs/>
          <w:rtl/>
          <w:lang w:eastAsia="de-DE"/>
        </w:rPr>
        <w:t>נָתַתִּי</w:t>
      </w:r>
      <w:r w:rsidRPr="00B33854">
        <w:rPr>
          <w:rFonts w:eastAsia="Times New Roman"/>
          <w:rtl/>
          <w:lang w:eastAsia="de-DE"/>
        </w:rPr>
        <w:t xml:space="preserve"> </w:t>
      </w:r>
      <w:r w:rsidRPr="00B33854">
        <w:rPr>
          <w:rFonts w:eastAsia="Times New Roman"/>
          <w:lang w:eastAsia="de-DE"/>
        </w:rPr>
        <w:t xml:space="preserve">ist Qal Perfekt, 1. Person Singular von </w:t>
      </w:r>
      <w:r w:rsidRPr="00B33854">
        <w:rPr>
          <w:rFonts w:eastAsia="Times New Roman"/>
          <w:b/>
          <w:bCs/>
          <w:rtl/>
          <w:lang w:eastAsia="de-DE"/>
        </w:rPr>
        <w:t>נתן</w:t>
      </w:r>
      <w:r w:rsidRPr="00B33854">
        <w:rPr>
          <w:rFonts w:eastAsia="Times New Roman"/>
          <w:rtl/>
          <w:lang w:eastAsia="de-DE"/>
        </w:rPr>
        <w:t xml:space="preserve"> </w:t>
      </w:r>
      <w:r w:rsidRPr="00B33854">
        <w:rPr>
          <w:rFonts w:eastAsia="Times New Roman"/>
          <w:lang w:eastAsia="de-DE"/>
        </w:rPr>
        <w:t xml:space="preserve">(„geben"). </w:t>
      </w:r>
      <w:r w:rsidRPr="00B33854">
        <w:rPr>
          <w:rFonts w:eastAsia="Times New Roman"/>
          <w:b/>
          <w:bCs/>
          <w:rtl/>
          <w:lang w:eastAsia="de-DE"/>
        </w:rPr>
        <w:t>אֶת־הַגִּלְעָד</w:t>
      </w:r>
      <w:r w:rsidRPr="00B33854">
        <w:rPr>
          <w:rFonts w:eastAsia="Times New Roman"/>
          <w:rtl/>
          <w:lang w:eastAsia="de-DE"/>
        </w:rPr>
        <w:t xml:space="preserve"> </w:t>
      </w:r>
      <w:r w:rsidRPr="00B33854">
        <w:rPr>
          <w:rFonts w:eastAsia="Times New Roman"/>
          <w:lang w:eastAsia="de-DE"/>
        </w:rPr>
        <w:t xml:space="preserve">ist nota accusativi mit </w:t>
      </w:r>
      <w:r w:rsidRPr="00B33854">
        <w:rPr>
          <w:rFonts w:eastAsia="Times New Roman"/>
          <w:b/>
          <w:bCs/>
          <w:rtl/>
          <w:lang w:eastAsia="de-DE"/>
        </w:rPr>
        <w:t>הַגִּלְעָד</w:t>
      </w:r>
      <w:r w:rsidRPr="00B33854">
        <w:rPr>
          <w:rFonts w:eastAsia="Times New Roman"/>
          <w:rtl/>
          <w:lang w:eastAsia="de-DE"/>
        </w:rPr>
        <w:t xml:space="preserve"> </w:t>
      </w:r>
      <w:r w:rsidRPr="00B33854">
        <w:rPr>
          <w:rFonts w:eastAsia="Times New Roman"/>
          <w:lang w:eastAsia="de-DE"/>
        </w:rPr>
        <w:t>(Landschaftsname mit Artikel).</w:t>
      </w:r>
    </w:p>
    <w:p w14:paraId="39FCFD6A"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 xml:space="preserve">Der Vers ist äußerst kurz und prägnant strukturiert. Die vorangestellte Empfängerangabe mit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knüpft an die vorherigen Landverteilungen an. Der Satz ist ein einfacher Verbalsatz mit topikalisiertem indirektem Objekt.</w:t>
      </w:r>
    </w:p>
    <w:p w14:paraId="399298C2"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Die Satzstruktur ist ein einfacher Hauptsatz mit vorangestellter präpositionaler Empfängerangabe, Prädikat und direktem Objekt. Die Kürze und Einfachheit kontrastiert mit den ausführlicheren vorherigen Versen und betont die klare Zuteilung.</w:t>
      </w:r>
    </w:p>
    <w:p w14:paraId="47FB2EBB"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Der Vers weist knapp das Gebiet Gilead dem Clan Machir (Teil des Stammes Manasse) zu.</w:t>
      </w:r>
    </w:p>
    <w:p w14:paraId="0A3C9720"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3,16</w:t>
      </w:r>
    </w:p>
    <w:p w14:paraId="517E5C46"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וְלָרֻאוּבֵנִ֨י וְלַגָּדִ֜י נָתַ֤תִּי מִן־הַגִּלְעָד֙ וְעַד־נַ֣חַל אַרְנֹ֔ן תּ֥וֹךְ הַנַּ֖חַל וּגְבֻ֑ל וְעַד֙ יַבֹּ֣ק הַנַּ֔חַל גְּב֖וּל בְּנֵ֥י עַמּֽוֹן׃</w:t>
      </w:r>
    </w:p>
    <w:p w14:paraId="77A6C55D"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Und den Re'uveni und den Gadit gab ich von Gil'ad bis zum Bach Arnon, die Mitte des Bachtals und das Gebiet, und bis zum Bach Jabbok, der Grenze der Söhne Ammon.</w:t>
      </w:r>
    </w:p>
    <w:p w14:paraId="53EE7C1E"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7A9E6E5B">
          <v:rect id="_x0000_i1123" style="width:0;height:1.5pt" o:hralign="center" o:hrstd="t" o:hr="t" fillcolor="#a0a0a0" stroked="f"/>
        </w:pict>
      </w:r>
    </w:p>
    <w:p w14:paraId="7F1C6422"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וְלָרֻאוּבֵנִי וְלַגָּדִי</w:t>
      </w:r>
      <w:r w:rsidRPr="00B33854">
        <w:rPr>
          <w:rFonts w:eastAsia="Times New Roman"/>
          <w:rtl/>
          <w:lang w:eastAsia="de-DE"/>
        </w:rPr>
        <w:t xml:space="preserve"> </w:t>
      </w:r>
      <w:r w:rsidRPr="00B33854">
        <w:rPr>
          <w:rFonts w:eastAsia="Times New Roman"/>
          <w:lang w:eastAsia="de-DE"/>
        </w:rPr>
        <w:t xml:space="preserve">ist eine koordinierte Empfängerangabe: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לְ</w:t>
      </w:r>
      <w:r w:rsidRPr="00B33854">
        <w:rPr>
          <w:rFonts w:eastAsia="Times New Roman"/>
          <w:rtl/>
          <w:lang w:eastAsia="de-DE"/>
        </w:rPr>
        <w:t xml:space="preserve"> </w:t>
      </w:r>
      <w:r w:rsidRPr="00B33854">
        <w:rPr>
          <w:rFonts w:eastAsia="Times New Roman"/>
          <w:lang w:eastAsia="de-DE"/>
        </w:rPr>
        <w:t xml:space="preserve">und den beiden Gentilbezeichnungen </w:t>
      </w:r>
      <w:r w:rsidRPr="00B33854">
        <w:rPr>
          <w:rFonts w:eastAsia="Times New Roman"/>
          <w:b/>
          <w:bCs/>
          <w:rtl/>
          <w:lang w:eastAsia="de-DE"/>
        </w:rPr>
        <w:t>הָרֻאוּבֵנִי</w:t>
      </w:r>
      <w:r w:rsidRPr="00B33854">
        <w:rPr>
          <w:rFonts w:eastAsia="Times New Roman"/>
          <w:rtl/>
          <w:lang w:eastAsia="de-DE"/>
        </w:rPr>
        <w:t xml:space="preserve"> </w:t>
      </w:r>
      <w:r w:rsidRPr="00B33854">
        <w:rPr>
          <w:rFonts w:eastAsia="Times New Roman"/>
          <w:lang w:eastAsia="de-DE"/>
        </w:rPr>
        <w:t xml:space="preserve">(„die Rubeniter") und </w:t>
      </w:r>
      <w:r w:rsidRPr="00B33854">
        <w:rPr>
          <w:rFonts w:eastAsia="Times New Roman"/>
          <w:b/>
          <w:bCs/>
          <w:rtl/>
          <w:lang w:eastAsia="de-DE"/>
        </w:rPr>
        <w:t>הַגָּדִי</w:t>
      </w:r>
      <w:r w:rsidRPr="00B33854">
        <w:rPr>
          <w:rFonts w:eastAsia="Times New Roman"/>
          <w:rtl/>
          <w:lang w:eastAsia="de-DE"/>
        </w:rPr>
        <w:t xml:space="preserve"> </w:t>
      </w:r>
      <w:r w:rsidRPr="00B33854">
        <w:rPr>
          <w:rFonts w:eastAsia="Times New Roman"/>
          <w:lang w:eastAsia="de-DE"/>
        </w:rPr>
        <w:t xml:space="preserve">(„die Gaditer"), beide mit Artikel. </w:t>
      </w:r>
      <w:r w:rsidRPr="00B33854">
        <w:rPr>
          <w:rFonts w:eastAsia="Times New Roman"/>
          <w:b/>
          <w:bCs/>
          <w:rtl/>
          <w:lang w:eastAsia="de-DE"/>
        </w:rPr>
        <w:t>נָתַתִּי</w:t>
      </w:r>
      <w:r w:rsidRPr="00B33854">
        <w:rPr>
          <w:rFonts w:eastAsia="Times New Roman"/>
          <w:rtl/>
          <w:lang w:eastAsia="de-DE"/>
        </w:rPr>
        <w:t xml:space="preserve"> </w:t>
      </w:r>
      <w:r w:rsidRPr="00B33854">
        <w:rPr>
          <w:rFonts w:eastAsia="Times New Roman"/>
          <w:lang w:eastAsia="de-DE"/>
        </w:rPr>
        <w:t xml:space="preserve">ist Qal Perfekt, 1. Person Singular von </w:t>
      </w:r>
      <w:r w:rsidRPr="00B33854">
        <w:rPr>
          <w:rFonts w:eastAsia="Times New Roman"/>
          <w:b/>
          <w:bCs/>
          <w:rtl/>
          <w:lang w:eastAsia="de-DE"/>
        </w:rPr>
        <w:t>נתן</w:t>
      </w:r>
      <w:r w:rsidRPr="00B33854">
        <w:rPr>
          <w:rFonts w:eastAsia="Times New Roman"/>
          <w:lang w:eastAsia="de-DE"/>
        </w:rPr>
        <w:t xml:space="preserve">. </w:t>
      </w:r>
      <w:r w:rsidRPr="00B33854">
        <w:rPr>
          <w:rFonts w:eastAsia="Times New Roman"/>
          <w:b/>
          <w:bCs/>
          <w:rtl/>
          <w:lang w:eastAsia="de-DE"/>
        </w:rPr>
        <w:t>מִן־הַגִּלְעָד</w:t>
      </w:r>
      <w:r w:rsidRPr="00B33854">
        <w:rPr>
          <w:rFonts w:eastAsia="Times New Roman"/>
          <w:rtl/>
          <w:lang w:eastAsia="de-DE"/>
        </w:rPr>
        <w:t xml:space="preserve"> </w:t>
      </w:r>
      <w:r w:rsidRPr="00B33854">
        <w:rPr>
          <w:rFonts w:eastAsia="Times New Roman"/>
          <w:lang w:eastAsia="de-DE"/>
        </w:rPr>
        <w:t xml:space="preserve">ist </w:t>
      </w:r>
      <w:r w:rsidRPr="00B33854">
        <w:rPr>
          <w:rFonts w:eastAsia="Times New Roman"/>
          <w:b/>
          <w:bCs/>
          <w:rtl/>
          <w:lang w:eastAsia="de-DE"/>
        </w:rPr>
        <w:t>מִן</w:t>
      </w:r>
      <w:r w:rsidRPr="00B33854">
        <w:rPr>
          <w:rFonts w:eastAsia="Times New Roman"/>
          <w:rtl/>
          <w:lang w:eastAsia="de-DE"/>
        </w:rPr>
        <w:t xml:space="preserve"> </w:t>
      </w:r>
      <w:r w:rsidRPr="00B33854">
        <w:rPr>
          <w:rFonts w:eastAsia="Times New Roman"/>
          <w:lang w:eastAsia="de-DE"/>
        </w:rPr>
        <w:t xml:space="preserve">(„von") mit </w:t>
      </w:r>
      <w:r w:rsidRPr="00B33854">
        <w:rPr>
          <w:rFonts w:eastAsia="Times New Roman"/>
          <w:b/>
          <w:bCs/>
          <w:rtl/>
          <w:lang w:eastAsia="de-DE"/>
        </w:rPr>
        <w:t>הַגִּלְעָד</w:t>
      </w:r>
      <w:r w:rsidRPr="00B33854">
        <w:rPr>
          <w:rFonts w:eastAsia="Times New Roman"/>
          <w:rtl/>
          <w:lang w:eastAsia="de-DE"/>
        </w:rPr>
        <w:t xml:space="preserve"> </w:t>
      </w:r>
      <w:r w:rsidRPr="00B33854">
        <w:rPr>
          <w:rFonts w:eastAsia="Times New Roman"/>
          <w:lang w:eastAsia="de-DE"/>
        </w:rPr>
        <w:t xml:space="preserve">(Landschaftsname mit Artikel). </w:t>
      </w:r>
      <w:r w:rsidRPr="00B33854">
        <w:rPr>
          <w:rFonts w:eastAsia="Times New Roman"/>
          <w:b/>
          <w:bCs/>
          <w:rtl/>
          <w:lang w:eastAsia="de-DE"/>
        </w:rPr>
        <w:t>וְעַד־נַחַל אַרְנֹן</w:t>
      </w:r>
      <w:r w:rsidRPr="00B33854">
        <w:rPr>
          <w:rFonts w:eastAsia="Times New Roman"/>
          <w:rtl/>
          <w:lang w:eastAsia="de-DE"/>
        </w:rPr>
        <w:t xml:space="preserve"> </w:t>
      </w:r>
      <w:r w:rsidRPr="00B33854">
        <w:rPr>
          <w:rFonts w:eastAsia="Times New Roman"/>
          <w:lang w:eastAsia="de-DE"/>
        </w:rPr>
        <w:t xml:space="preserve">ist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עַד</w:t>
      </w:r>
      <w:r w:rsidRPr="00B33854">
        <w:rPr>
          <w:rFonts w:eastAsia="Times New Roman"/>
          <w:rtl/>
          <w:lang w:eastAsia="de-DE"/>
        </w:rPr>
        <w:t xml:space="preserve"> </w:t>
      </w:r>
      <w:r w:rsidRPr="00B33854">
        <w:rPr>
          <w:rFonts w:eastAsia="Times New Roman"/>
          <w:lang w:eastAsia="de-DE"/>
        </w:rPr>
        <w:t xml:space="preserve">(„bis") und </w:t>
      </w:r>
      <w:r w:rsidRPr="00B33854">
        <w:rPr>
          <w:rFonts w:eastAsia="Times New Roman"/>
          <w:b/>
          <w:bCs/>
          <w:rtl/>
          <w:lang w:eastAsia="de-DE"/>
        </w:rPr>
        <w:t>נַחַל אַרְנֹן</w:t>
      </w:r>
      <w:r w:rsidRPr="00B33854">
        <w:rPr>
          <w:rFonts w:eastAsia="Times New Roman"/>
          <w:rtl/>
          <w:lang w:eastAsia="de-DE"/>
        </w:rPr>
        <w:t xml:space="preserve"> </w:t>
      </w:r>
      <w:r w:rsidRPr="00B33854">
        <w:rPr>
          <w:rFonts w:eastAsia="Times New Roman"/>
          <w:lang w:eastAsia="de-DE"/>
        </w:rPr>
        <w:t>(Flussname im Construct).</w:t>
      </w:r>
    </w:p>
    <w:p w14:paraId="7F3A795D"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תּוֹךְ הַנַּחַל וּגְבֻל</w:t>
      </w:r>
      <w:r w:rsidRPr="00B33854">
        <w:rPr>
          <w:rFonts w:eastAsia="Times New Roman"/>
          <w:rtl/>
          <w:lang w:eastAsia="de-DE"/>
        </w:rPr>
        <w:t xml:space="preserve"> </w:t>
      </w:r>
      <w:r w:rsidRPr="00B33854">
        <w:rPr>
          <w:rFonts w:eastAsia="Times New Roman"/>
          <w:lang w:eastAsia="de-DE"/>
        </w:rPr>
        <w:t xml:space="preserve">ist eine erklärende Apposition: </w:t>
      </w:r>
      <w:r w:rsidRPr="00B33854">
        <w:rPr>
          <w:rFonts w:eastAsia="Times New Roman"/>
          <w:b/>
          <w:bCs/>
          <w:rtl/>
          <w:lang w:eastAsia="de-DE"/>
        </w:rPr>
        <w:t>תּוֹךְ</w:t>
      </w:r>
      <w:r w:rsidRPr="00B33854">
        <w:rPr>
          <w:rFonts w:eastAsia="Times New Roman"/>
          <w:rtl/>
          <w:lang w:eastAsia="de-DE"/>
        </w:rPr>
        <w:t xml:space="preserve"> </w:t>
      </w:r>
      <w:r w:rsidRPr="00B33854">
        <w:rPr>
          <w:rFonts w:eastAsia="Times New Roman"/>
          <w:lang w:eastAsia="de-DE"/>
        </w:rPr>
        <w:t xml:space="preserve">(„Mitte") im Construct mit </w:t>
      </w:r>
      <w:r w:rsidRPr="00B33854">
        <w:rPr>
          <w:rFonts w:eastAsia="Times New Roman"/>
          <w:b/>
          <w:bCs/>
          <w:rtl/>
          <w:lang w:eastAsia="de-DE"/>
        </w:rPr>
        <w:t>הַנַּחַל</w:t>
      </w:r>
      <w:r w:rsidRPr="00B33854">
        <w:rPr>
          <w:rFonts w:eastAsia="Times New Roman"/>
          <w:rtl/>
          <w:lang w:eastAsia="de-DE"/>
        </w:rPr>
        <w:t xml:space="preserve"> </w:t>
      </w:r>
      <w:r w:rsidRPr="00B33854">
        <w:rPr>
          <w:rFonts w:eastAsia="Times New Roman"/>
          <w:lang w:eastAsia="de-DE"/>
        </w:rPr>
        <w:t xml:space="preserve">(„der Bach", mit Artikel) und koordiniertes </w:t>
      </w:r>
      <w:r w:rsidRPr="00B33854">
        <w:rPr>
          <w:rFonts w:eastAsia="Times New Roman"/>
          <w:b/>
          <w:bCs/>
          <w:rtl/>
          <w:lang w:eastAsia="de-DE"/>
        </w:rPr>
        <w:t>וּגְבֻל</w:t>
      </w:r>
      <w:r w:rsidRPr="00B33854">
        <w:rPr>
          <w:rFonts w:eastAsia="Times New Roman"/>
          <w:rtl/>
          <w:lang w:eastAsia="de-DE"/>
        </w:rPr>
        <w:t xml:space="preserve"> </w:t>
      </w:r>
      <w:r w:rsidRPr="00B33854">
        <w:rPr>
          <w:rFonts w:eastAsia="Times New Roman"/>
          <w:lang w:eastAsia="de-DE"/>
        </w:rPr>
        <w:t xml:space="preserve">(„und Gebiet", von </w:t>
      </w:r>
      <w:r w:rsidRPr="00B33854">
        <w:rPr>
          <w:rFonts w:eastAsia="Times New Roman"/>
          <w:b/>
          <w:bCs/>
          <w:rtl/>
          <w:lang w:eastAsia="de-DE"/>
        </w:rPr>
        <w:t>גְּבוּל</w:t>
      </w:r>
      <w:r w:rsidRPr="00B33854">
        <w:rPr>
          <w:rFonts w:eastAsia="Times New Roman"/>
          <w:lang w:eastAsia="de-DE"/>
        </w:rPr>
        <w:t xml:space="preserve">). Diese Phrase präzisiert, dass der Arnon selbst (seine Mitte) die Grenze bildete. </w:t>
      </w:r>
      <w:r w:rsidRPr="00B33854">
        <w:rPr>
          <w:rFonts w:eastAsia="Times New Roman"/>
          <w:b/>
          <w:bCs/>
          <w:rtl/>
          <w:lang w:eastAsia="de-DE"/>
        </w:rPr>
        <w:t>וְעַד יַבֹּק הַנַּחַל</w:t>
      </w:r>
      <w:r w:rsidRPr="00B33854">
        <w:rPr>
          <w:rFonts w:eastAsia="Times New Roman"/>
          <w:rtl/>
          <w:lang w:eastAsia="de-DE"/>
        </w:rPr>
        <w:t xml:space="preserve"> </w:t>
      </w:r>
      <w:r w:rsidRPr="00B33854">
        <w:rPr>
          <w:rFonts w:eastAsia="Times New Roman"/>
          <w:lang w:eastAsia="de-DE"/>
        </w:rPr>
        <w:t xml:space="preserve">ist die nördliche Grenzangabe: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עַד</w:t>
      </w:r>
      <w:r w:rsidRPr="00B33854">
        <w:rPr>
          <w:rFonts w:eastAsia="Times New Roman"/>
          <w:lang w:eastAsia="de-DE"/>
        </w:rPr>
        <w:t xml:space="preserve">, </w:t>
      </w:r>
      <w:r w:rsidRPr="00B33854">
        <w:rPr>
          <w:rFonts w:eastAsia="Times New Roman"/>
          <w:b/>
          <w:bCs/>
          <w:rtl/>
          <w:lang w:eastAsia="de-DE"/>
        </w:rPr>
        <w:t>יַבֹּק</w:t>
      </w:r>
      <w:r w:rsidRPr="00B33854">
        <w:rPr>
          <w:rFonts w:eastAsia="Times New Roman"/>
          <w:rtl/>
          <w:lang w:eastAsia="de-DE"/>
        </w:rPr>
        <w:t xml:space="preserve"> </w:t>
      </w:r>
      <w:r w:rsidRPr="00B33854">
        <w:rPr>
          <w:rFonts w:eastAsia="Times New Roman"/>
          <w:lang w:eastAsia="de-DE"/>
        </w:rPr>
        <w:t xml:space="preserve">(Flussname) und </w:t>
      </w:r>
      <w:r w:rsidRPr="00B33854">
        <w:rPr>
          <w:rFonts w:eastAsia="Times New Roman"/>
          <w:b/>
          <w:bCs/>
          <w:rtl/>
          <w:lang w:eastAsia="de-DE"/>
        </w:rPr>
        <w:t>הַנַּחַל</w:t>
      </w:r>
      <w:r w:rsidRPr="00B33854">
        <w:rPr>
          <w:rFonts w:eastAsia="Times New Roman"/>
          <w:rtl/>
          <w:lang w:eastAsia="de-DE"/>
        </w:rPr>
        <w:t xml:space="preserve"> </w:t>
      </w:r>
      <w:r w:rsidRPr="00B33854">
        <w:rPr>
          <w:rFonts w:eastAsia="Times New Roman"/>
          <w:lang w:eastAsia="de-DE"/>
        </w:rPr>
        <w:t xml:space="preserve">als appositionelle Erklärung. </w:t>
      </w:r>
      <w:r w:rsidRPr="00B33854">
        <w:rPr>
          <w:rFonts w:eastAsia="Times New Roman"/>
          <w:b/>
          <w:bCs/>
          <w:rtl/>
          <w:lang w:eastAsia="de-DE"/>
        </w:rPr>
        <w:t>גְּבוּל בְּנֵי עַמּוֹן</w:t>
      </w:r>
      <w:r w:rsidRPr="00B33854">
        <w:rPr>
          <w:rFonts w:eastAsia="Times New Roman"/>
          <w:rtl/>
          <w:lang w:eastAsia="de-DE"/>
        </w:rPr>
        <w:t xml:space="preserve"> </w:t>
      </w:r>
      <w:r w:rsidRPr="00B33854">
        <w:rPr>
          <w:rFonts w:eastAsia="Times New Roman"/>
          <w:lang w:eastAsia="de-DE"/>
        </w:rPr>
        <w:t xml:space="preserve">ist eine weitere Apposition: </w:t>
      </w:r>
      <w:r w:rsidRPr="00B33854">
        <w:rPr>
          <w:rFonts w:eastAsia="Times New Roman"/>
          <w:b/>
          <w:bCs/>
          <w:rtl/>
          <w:lang w:eastAsia="de-DE"/>
        </w:rPr>
        <w:t>גְּבוּל</w:t>
      </w:r>
      <w:r w:rsidRPr="00B33854">
        <w:rPr>
          <w:rFonts w:eastAsia="Times New Roman"/>
          <w:rtl/>
          <w:lang w:eastAsia="de-DE"/>
        </w:rPr>
        <w:t xml:space="preserve"> </w:t>
      </w:r>
      <w:r w:rsidRPr="00B33854">
        <w:rPr>
          <w:rFonts w:eastAsia="Times New Roman"/>
          <w:lang w:eastAsia="de-DE"/>
        </w:rPr>
        <w:t xml:space="preserve">(„Grenze") im Construct mit </w:t>
      </w:r>
      <w:r w:rsidRPr="00B33854">
        <w:rPr>
          <w:rFonts w:eastAsia="Times New Roman"/>
          <w:b/>
          <w:bCs/>
          <w:rtl/>
          <w:lang w:eastAsia="de-DE"/>
        </w:rPr>
        <w:t>בְּנֵי עַמּוֹן</w:t>
      </w:r>
      <w:r w:rsidRPr="00B33854">
        <w:rPr>
          <w:rFonts w:eastAsia="Times New Roman"/>
          <w:rtl/>
          <w:lang w:eastAsia="de-DE"/>
        </w:rPr>
        <w:t xml:space="preserve"> </w:t>
      </w:r>
      <w:r w:rsidRPr="00B33854">
        <w:rPr>
          <w:rFonts w:eastAsia="Times New Roman"/>
          <w:lang w:eastAsia="de-DE"/>
        </w:rPr>
        <w:t>(„Söhne Ammons").</w:t>
      </w:r>
    </w:p>
    <w:p w14:paraId="014EDF4C"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Die Satzstruktur ist ein Hauptsatz mit koordinierter Empfängerangabe und komplexer geografischer Objektbestimmung, die durch mehrere Appositionen präzisiert wird. Die südliche Grenze (Arnon) und nördliche Grenze (Jabbok) werden jeweils durch erklärende Zusätze verdeutlicht.</w:t>
      </w:r>
    </w:p>
    <w:p w14:paraId="49D9197C"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lastRenderedPageBreak/>
        <w:t>Der Vers beschreibt präzise die Grenzen des Gebiets der Stämme Ruben und Gad: von Gilead im Norden bis zum Arnon im Süden und bis zum Jabbok als Ostgrenze zu Ammon.</w:t>
      </w:r>
    </w:p>
    <w:p w14:paraId="28B390B4"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3,17</w:t>
      </w:r>
    </w:p>
    <w:p w14:paraId="0BC3027D"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וְהָֽעֲרָבָ֖ה וְהַיַּרְדֵּ֣ן וּגְבֻ֑ל מִכִּנֶּ֗רֶת וְעַ֨ד יָ֤ם הָֽעֲרָבָה֙ יָ֣ם הַמֶּ֔לַח תַּ֛חַת אַשְׁדֹּ֥ת הַפִּסְגָּ֖ה מִזְרָֽחָה׃</w:t>
      </w:r>
    </w:p>
    <w:p w14:paraId="5343389F"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und die Arava und den Jarden und das Gebiet, von Kinneret bis zum Meer der Arava, dem Salzmeer, unterhalb der Abhänge des Pisga gegen Osten.</w:t>
      </w:r>
    </w:p>
    <w:p w14:paraId="54E002FA"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2AFC919F">
          <v:rect id="_x0000_i1124" style="width:0;height:1.5pt" o:hralign="center" o:hrstd="t" o:hr="t" fillcolor="#a0a0a0" stroked="f"/>
        </w:pict>
      </w:r>
    </w:p>
    <w:p w14:paraId="30DF1B25"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וְהָעֲרָבָה</w:t>
      </w:r>
      <w:r w:rsidRPr="00B33854">
        <w:rPr>
          <w:rFonts w:eastAsia="Times New Roman"/>
          <w:rtl/>
          <w:lang w:eastAsia="de-DE"/>
        </w:rPr>
        <w:t xml:space="preserve"> </w:t>
      </w:r>
      <w:r w:rsidRPr="00B33854">
        <w:rPr>
          <w:rFonts w:eastAsia="Times New Roman"/>
          <w:lang w:eastAsia="de-DE"/>
        </w:rPr>
        <w:t xml:space="preserve">ist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הָעֲרָבָה</w:t>
      </w:r>
      <w:r w:rsidRPr="00B33854">
        <w:rPr>
          <w:rFonts w:eastAsia="Times New Roman"/>
          <w:rtl/>
          <w:lang w:eastAsia="de-DE"/>
        </w:rPr>
        <w:t xml:space="preserve"> </w:t>
      </w:r>
      <w:r w:rsidRPr="00B33854">
        <w:rPr>
          <w:rFonts w:eastAsia="Times New Roman"/>
          <w:lang w:eastAsia="de-DE"/>
        </w:rPr>
        <w:t xml:space="preserve">(„die Araba", die Senke des Jordangrabens, mit Artikel). </w:t>
      </w:r>
      <w:r w:rsidRPr="00B33854">
        <w:rPr>
          <w:rFonts w:eastAsia="Times New Roman"/>
          <w:b/>
          <w:bCs/>
          <w:rtl/>
          <w:lang w:eastAsia="de-DE"/>
        </w:rPr>
        <w:t>וְהַיַּרְדֵּן</w:t>
      </w:r>
      <w:r w:rsidRPr="00B33854">
        <w:rPr>
          <w:rFonts w:eastAsia="Times New Roman"/>
          <w:rtl/>
          <w:lang w:eastAsia="de-DE"/>
        </w:rPr>
        <w:t xml:space="preserve"> </w:t>
      </w:r>
      <w:r w:rsidRPr="00B33854">
        <w:rPr>
          <w:rFonts w:eastAsia="Times New Roman"/>
          <w:lang w:eastAsia="de-DE"/>
        </w:rPr>
        <w:t xml:space="preserve">ist koordiniert: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הַיַּרְדֵּן</w:t>
      </w:r>
      <w:r w:rsidRPr="00B33854">
        <w:rPr>
          <w:rFonts w:eastAsia="Times New Roman"/>
          <w:rtl/>
          <w:lang w:eastAsia="de-DE"/>
        </w:rPr>
        <w:t xml:space="preserve"> </w:t>
      </w:r>
      <w:r w:rsidRPr="00B33854">
        <w:rPr>
          <w:rFonts w:eastAsia="Times New Roman"/>
          <w:lang w:eastAsia="de-DE"/>
        </w:rPr>
        <w:t xml:space="preserve">(„der Jordan", mit Artikel). </w:t>
      </w:r>
      <w:r w:rsidRPr="00B33854">
        <w:rPr>
          <w:rFonts w:eastAsia="Times New Roman"/>
          <w:b/>
          <w:bCs/>
          <w:rtl/>
          <w:lang w:eastAsia="de-DE"/>
        </w:rPr>
        <w:t>וּגְבֻל</w:t>
      </w:r>
      <w:r w:rsidRPr="00B33854">
        <w:rPr>
          <w:rFonts w:eastAsia="Times New Roman"/>
          <w:rtl/>
          <w:lang w:eastAsia="de-DE"/>
        </w:rPr>
        <w:t xml:space="preserve"> </w:t>
      </w:r>
      <w:r w:rsidRPr="00B33854">
        <w:rPr>
          <w:rFonts w:eastAsia="Times New Roman"/>
          <w:lang w:eastAsia="de-DE"/>
        </w:rPr>
        <w:t xml:space="preserve">ist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גְּבוּל</w:t>
      </w:r>
      <w:r w:rsidRPr="00B33854">
        <w:rPr>
          <w:rFonts w:eastAsia="Times New Roman"/>
          <w:rtl/>
          <w:lang w:eastAsia="de-DE"/>
        </w:rPr>
        <w:t xml:space="preserve"> </w:t>
      </w:r>
      <w:r w:rsidRPr="00B33854">
        <w:rPr>
          <w:rFonts w:eastAsia="Times New Roman"/>
          <w:lang w:eastAsia="de-DE"/>
        </w:rPr>
        <w:t xml:space="preserve">(„Gebiet, Grenze"). Diese dreigliedrige Aufzählung ist syntaktisch von </w:t>
      </w:r>
      <w:r w:rsidRPr="00B33854">
        <w:rPr>
          <w:rFonts w:eastAsia="Times New Roman"/>
          <w:b/>
          <w:bCs/>
          <w:rtl/>
          <w:lang w:eastAsia="de-DE"/>
        </w:rPr>
        <w:t>נָתַתִּי</w:t>
      </w:r>
      <w:r w:rsidRPr="00B33854">
        <w:rPr>
          <w:rFonts w:eastAsia="Times New Roman"/>
          <w:rtl/>
          <w:lang w:eastAsia="de-DE"/>
        </w:rPr>
        <w:t xml:space="preserve"> </w:t>
      </w:r>
      <w:r w:rsidRPr="00B33854">
        <w:rPr>
          <w:rFonts w:eastAsia="Times New Roman"/>
          <w:lang w:eastAsia="de-DE"/>
        </w:rPr>
        <w:t>in Vers 16 abhängig und erweitert die Gebietsbeschreibung.</w:t>
      </w:r>
    </w:p>
    <w:p w14:paraId="7A212A9D"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מִכִּנֶּרֶת</w:t>
      </w:r>
      <w:r w:rsidRPr="00B33854">
        <w:rPr>
          <w:rFonts w:eastAsia="Times New Roman"/>
          <w:rtl/>
          <w:lang w:eastAsia="de-DE"/>
        </w:rPr>
        <w:t xml:space="preserve"> </w:t>
      </w:r>
      <w:r w:rsidRPr="00B33854">
        <w:rPr>
          <w:rFonts w:eastAsia="Times New Roman"/>
          <w:lang w:eastAsia="de-DE"/>
        </w:rPr>
        <w:t xml:space="preserve">ist </w:t>
      </w:r>
      <w:r w:rsidRPr="00B33854">
        <w:rPr>
          <w:rFonts w:eastAsia="Times New Roman"/>
          <w:b/>
          <w:bCs/>
          <w:rtl/>
          <w:lang w:eastAsia="de-DE"/>
        </w:rPr>
        <w:t>מִן</w:t>
      </w:r>
      <w:r w:rsidRPr="00B33854">
        <w:rPr>
          <w:rFonts w:eastAsia="Times New Roman"/>
          <w:rtl/>
          <w:lang w:eastAsia="de-DE"/>
        </w:rPr>
        <w:t xml:space="preserve"> </w:t>
      </w:r>
      <w:r w:rsidRPr="00B33854">
        <w:rPr>
          <w:rFonts w:eastAsia="Times New Roman"/>
          <w:lang w:eastAsia="de-DE"/>
        </w:rPr>
        <w:t xml:space="preserve">(„von") mit </w:t>
      </w:r>
      <w:r w:rsidRPr="00B33854">
        <w:rPr>
          <w:rFonts w:eastAsia="Times New Roman"/>
          <w:b/>
          <w:bCs/>
          <w:rtl/>
          <w:lang w:eastAsia="de-DE"/>
        </w:rPr>
        <w:t>כִּנֶּרֶת</w:t>
      </w:r>
      <w:r w:rsidRPr="00B33854">
        <w:rPr>
          <w:rFonts w:eastAsia="Times New Roman"/>
          <w:rtl/>
          <w:lang w:eastAsia="de-DE"/>
        </w:rPr>
        <w:t xml:space="preserve"> </w:t>
      </w:r>
      <w:r w:rsidRPr="00B33854">
        <w:rPr>
          <w:rFonts w:eastAsia="Times New Roman"/>
          <w:lang w:eastAsia="de-DE"/>
        </w:rPr>
        <w:t xml:space="preserve">(Name des Sees Genezareth). </w:t>
      </w:r>
      <w:r w:rsidRPr="00B33854">
        <w:rPr>
          <w:rFonts w:eastAsia="Times New Roman"/>
          <w:b/>
          <w:bCs/>
          <w:rtl/>
          <w:lang w:eastAsia="de-DE"/>
        </w:rPr>
        <w:t>וְעַד יָם הָעֲרָבָה</w:t>
      </w:r>
      <w:r w:rsidRPr="00B33854">
        <w:rPr>
          <w:rFonts w:eastAsia="Times New Roman"/>
          <w:rtl/>
          <w:lang w:eastAsia="de-DE"/>
        </w:rPr>
        <w:t xml:space="preserve"> </w:t>
      </w:r>
      <w:r w:rsidRPr="00B33854">
        <w:rPr>
          <w:rFonts w:eastAsia="Times New Roman"/>
          <w:lang w:eastAsia="de-DE"/>
        </w:rPr>
        <w:t xml:space="preserve">ist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עַד</w:t>
      </w:r>
      <w:r w:rsidRPr="00B33854">
        <w:rPr>
          <w:rFonts w:eastAsia="Times New Roman"/>
          <w:rtl/>
          <w:lang w:eastAsia="de-DE"/>
        </w:rPr>
        <w:t xml:space="preserve"> </w:t>
      </w:r>
      <w:r w:rsidRPr="00B33854">
        <w:rPr>
          <w:rFonts w:eastAsia="Times New Roman"/>
          <w:lang w:eastAsia="de-DE"/>
        </w:rPr>
        <w:t xml:space="preserve">(„bis") und </w:t>
      </w:r>
      <w:r w:rsidRPr="00B33854">
        <w:rPr>
          <w:rFonts w:eastAsia="Times New Roman"/>
          <w:b/>
          <w:bCs/>
          <w:rtl/>
          <w:lang w:eastAsia="de-DE"/>
        </w:rPr>
        <w:t>יָם הָעֲרָבָה</w:t>
      </w:r>
      <w:r w:rsidRPr="00B33854">
        <w:rPr>
          <w:rFonts w:eastAsia="Times New Roman"/>
          <w:rtl/>
          <w:lang w:eastAsia="de-DE"/>
        </w:rPr>
        <w:t xml:space="preserve"> </w:t>
      </w:r>
      <w:r w:rsidRPr="00B33854">
        <w:rPr>
          <w:rFonts w:eastAsia="Times New Roman"/>
          <w:lang w:eastAsia="de-DE"/>
        </w:rPr>
        <w:t xml:space="preserve">(„Meer der Araba", im Construct). </w:t>
      </w:r>
      <w:r w:rsidRPr="00B33854">
        <w:rPr>
          <w:rFonts w:eastAsia="Times New Roman"/>
          <w:b/>
          <w:bCs/>
          <w:rtl/>
          <w:lang w:eastAsia="de-DE"/>
        </w:rPr>
        <w:t>יָם הַמֶּלַח</w:t>
      </w:r>
      <w:r w:rsidRPr="00B33854">
        <w:rPr>
          <w:rFonts w:eastAsia="Times New Roman"/>
          <w:rtl/>
          <w:lang w:eastAsia="de-DE"/>
        </w:rPr>
        <w:t xml:space="preserve"> </w:t>
      </w:r>
      <w:r w:rsidRPr="00B33854">
        <w:rPr>
          <w:rFonts w:eastAsia="Times New Roman"/>
          <w:lang w:eastAsia="de-DE"/>
        </w:rPr>
        <w:t xml:space="preserve">ist eine appositionelle Erklärung: </w:t>
      </w:r>
      <w:r w:rsidRPr="00B33854">
        <w:rPr>
          <w:rFonts w:eastAsia="Times New Roman"/>
          <w:b/>
          <w:bCs/>
          <w:rtl/>
          <w:lang w:eastAsia="de-DE"/>
        </w:rPr>
        <w:t>יָם הַמֶּלַח</w:t>
      </w:r>
      <w:r w:rsidRPr="00B33854">
        <w:rPr>
          <w:rFonts w:eastAsia="Times New Roman"/>
          <w:rtl/>
          <w:lang w:eastAsia="de-DE"/>
        </w:rPr>
        <w:t xml:space="preserve"> </w:t>
      </w:r>
      <w:r w:rsidRPr="00B33854">
        <w:rPr>
          <w:rFonts w:eastAsia="Times New Roman"/>
          <w:lang w:eastAsia="de-DE"/>
        </w:rPr>
        <w:t xml:space="preserve">(„Salzmeer", d.h. das Tote Meer, im Construct). </w:t>
      </w:r>
      <w:r w:rsidRPr="00B33854">
        <w:rPr>
          <w:rFonts w:eastAsia="Times New Roman"/>
          <w:b/>
          <w:bCs/>
          <w:rtl/>
          <w:lang w:eastAsia="de-DE"/>
        </w:rPr>
        <w:t>תַּחַת אַשְׁדֹּת הַפִּסְגָּה</w:t>
      </w:r>
      <w:r w:rsidRPr="00B33854">
        <w:rPr>
          <w:rFonts w:eastAsia="Times New Roman"/>
          <w:rtl/>
          <w:lang w:eastAsia="de-DE"/>
        </w:rPr>
        <w:t xml:space="preserve"> </w:t>
      </w:r>
      <w:r w:rsidRPr="00B33854">
        <w:rPr>
          <w:rFonts w:eastAsia="Times New Roman"/>
          <w:lang w:eastAsia="de-DE"/>
        </w:rPr>
        <w:t xml:space="preserve">ist eine Lageangabe: </w:t>
      </w:r>
      <w:r w:rsidRPr="00B33854">
        <w:rPr>
          <w:rFonts w:eastAsia="Times New Roman"/>
          <w:b/>
          <w:bCs/>
          <w:rtl/>
          <w:lang w:eastAsia="de-DE"/>
        </w:rPr>
        <w:t>תַּחַת</w:t>
      </w:r>
      <w:r w:rsidRPr="00B33854">
        <w:rPr>
          <w:rFonts w:eastAsia="Times New Roman"/>
          <w:rtl/>
          <w:lang w:eastAsia="de-DE"/>
        </w:rPr>
        <w:t xml:space="preserve"> </w:t>
      </w:r>
      <w:r w:rsidRPr="00B33854">
        <w:rPr>
          <w:rFonts w:eastAsia="Times New Roman"/>
          <w:lang w:eastAsia="de-DE"/>
        </w:rPr>
        <w:t xml:space="preserve">(„unterhalb") mit </w:t>
      </w:r>
      <w:r w:rsidRPr="00B33854">
        <w:rPr>
          <w:rFonts w:eastAsia="Times New Roman"/>
          <w:b/>
          <w:bCs/>
          <w:rtl/>
          <w:lang w:eastAsia="de-DE"/>
        </w:rPr>
        <w:t>אַשְׁדֹּת</w:t>
      </w:r>
      <w:r w:rsidRPr="00B33854">
        <w:rPr>
          <w:rFonts w:eastAsia="Times New Roman"/>
          <w:rtl/>
          <w:lang w:eastAsia="de-DE"/>
        </w:rPr>
        <w:t xml:space="preserve"> </w:t>
      </w:r>
      <w:r w:rsidRPr="00B33854">
        <w:rPr>
          <w:rFonts w:eastAsia="Times New Roman"/>
          <w:lang w:eastAsia="de-DE"/>
        </w:rPr>
        <w:t xml:space="preserve">(„Abhänge, Hänge", Plural Construct von </w:t>
      </w:r>
      <w:r w:rsidRPr="00B33854">
        <w:rPr>
          <w:rFonts w:eastAsia="Times New Roman"/>
          <w:b/>
          <w:bCs/>
          <w:rtl/>
          <w:lang w:eastAsia="de-DE"/>
        </w:rPr>
        <w:t>אֲשֵׁדָה</w:t>
      </w:r>
      <w:r w:rsidRPr="00B33854">
        <w:rPr>
          <w:rFonts w:eastAsia="Times New Roman"/>
          <w:lang w:eastAsia="de-DE"/>
        </w:rPr>
        <w:t xml:space="preserve">) und </w:t>
      </w:r>
      <w:r w:rsidRPr="00B33854">
        <w:rPr>
          <w:rFonts w:eastAsia="Times New Roman"/>
          <w:b/>
          <w:bCs/>
          <w:rtl/>
          <w:lang w:eastAsia="de-DE"/>
        </w:rPr>
        <w:t>הַפִּסְגָּה</w:t>
      </w:r>
      <w:r w:rsidRPr="00B33854">
        <w:rPr>
          <w:rFonts w:eastAsia="Times New Roman"/>
          <w:rtl/>
          <w:lang w:eastAsia="de-DE"/>
        </w:rPr>
        <w:t xml:space="preserve"> </w:t>
      </w:r>
      <w:r w:rsidRPr="00B33854">
        <w:rPr>
          <w:rFonts w:eastAsia="Times New Roman"/>
          <w:lang w:eastAsia="de-DE"/>
        </w:rPr>
        <w:t xml:space="preserve">(„der Pisga", Bergname mit Artikel). </w:t>
      </w:r>
      <w:r w:rsidRPr="00B33854">
        <w:rPr>
          <w:rFonts w:eastAsia="Times New Roman"/>
          <w:b/>
          <w:bCs/>
          <w:rtl/>
          <w:lang w:eastAsia="de-DE"/>
        </w:rPr>
        <w:t>מִזְרָֽחָה</w:t>
      </w:r>
      <w:r w:rsidRPr="00B33854">
        <w:rPr>
          <w:rFonts w:eastAsia="Times New Roman"/>
          <w:rtl/>
          <w:lang w:eastAsia="de-DE"/>
        </w:rPr>
        <w:t xml:space="preserve"> </w:t>
      </w:r>
      <w:r w:rsidRPr="00B33854">
        <w:rPr>
          <w:rFonts w:eastAsia="Times New Roman"/>
          <w:lang w:eastAsia="de-DE"/>
        </w:rPr>
        <w:t xml:space="preserve">ist ein Richtungsadverb: </w:t>
      </w:r>
      <w:r w:rsidRPr="00B33854">
        <w:rPr>
          <w:rFonts w:eastAsia="Times New Roman"/>
          <w:b/>
          <w:bCs/>
          <w:rtl/>
          <w:lang w:eastAsia="de-DE"/>
        </w:rPr>
        <w:t>מִזְרָח</w:t>
      </w:r>
      <w:r w:rsidRPr="00B33854">
        <w:rPr>
          <w:rFonts w:eastAsia="Times New Roman"/>
          <w:rtl/>
          <w:lang w:eastAsia="de-DE"/>
        </w:rPr>
        <w:t xml:space="preserve"> </w:t>
      </w:r>
      <w:r w:rsidRPr="00B33854">
        <w:rPr>
          <w:rFonts w:eastAsia="Times New Roman"/>
          <w:lang w:eastAsia="de-DE"/>
        </w:rPr>
        <w:t>(„Osten") mit direktionalem He.</w:t>
      </w:r>
    </w:p>
    <w:p w14:paraId="656CB082"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Die Satzstruktur ist eine nominale Fortsetzung von Vers 16, bestehend aus einer dreigliedrigen koordinierten Aufzählung von Gebietsbezeichnungen und einer ausführlichen geografischen Präzisierung mit Ausgangs- und Endpunkt sowie topografischer und Richtungsangabe. Der Vers hat kein eigenes finites Verb und ist syntaktisch von Vers 16 abhängig.</w:t>
      </w:r>
    </w:p>
    <w:p w14:paraId="15BC6596"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Der Vers erweitert die Gebietsbeschreibung um die Westgrenze: die Jordansenke vom See Genezareth bis zum Toten Meer, östlich des Jordans unterhalb des Berges Pisga.</w:t>
      </w:r>
    </w:p>
    <w:p w14:paraId="7791F6B8"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3,18</w:t>
      </w:r>
    </w:p>
    <w:p w14:paraId="35B2D8C5"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וָאֲצַ֣ו אֶתְכֶ֔ם בָּעֵ֥ת הַהִ֖וא לֵאמֹ֑ר יְהוָ֣ה אֱלֹהֵיכֶ֗ם נָתַ֨ן לָכֶ֜ם אֶת־הָאָ֤רֶץ הַזֹּאת֙ לְרִשְׁתָּ֔הּ חֲלוּצִ֣ים תַּֽעַבְר֗וּ לִפְנֵ֛י אֲחֵיכֶ֥ם בְּנֵֽי־יִשְׂרָאֵ֖ל כָּל־בְּנֵי־חָֽיִל׃</w:t>
      </w:r>
    </w:p>
    <w:p w14:paraId="2932D502"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Und ich gebot euch zu jener Zeit, sagend: Der Ewige, euer Gott, hat euch dieses Land gegeben, es zu besitzen; gerüstet sollt ihr vor euren Brüdern, den Söhnen Jisra'el, hinüberziehen, alle tapferen Söhne.</w:t>
      </w:r>
    </w:p>
    <w:p w14:paraId="1E228698"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366B3E47">
          <v:rect id="_x0000_i1125" style="width:0;height:1.5pt" o:hralign="center" o:hrstd="t" o:hr="t" fillcolor="#a0a0a0" stroked="f"/>
        </w:pict>
      </w:r>
    </w:p>
    <w:p w14:paraId="2D923908"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וָאֲצַו</w:t>
      </w:r>
      <w:r w:rsidRPr="00B33854">
        <w:rPr>
          <w:rFonts w:eastAsia="Times New Roman"/>
          <w:rtl/>
          <w:lang w:eastAsia="de-DE"/>
        </w:rPr>
        <w:t xml:space="preserve"> </w:t>
      </w:r>
      <w:r w:rsidRPr="00B33854">
        <w:rPr>
          <w:rFonts w:eastAsia="Times New Roman"/>
          <w:lang w:eastAsia="de-DE"/>
        </w:rPr>
        <w:t xml:space="preserve">ist Piel Imperfekt consecutivum, 1. Person Singular von </w:t>
      </w:r>
      <w:r w:rsidRPr="00B33854">
        <w:rPr>
          <w:rFonts w:eastAsia="Times New Roman"/>
          <w:b/>
          <w:bCs/>
          <w:rtl/>
          <w:lang w:eastAsia="de-DE"/>
        </w:rPr>
        <w:t>צוה</w:t>
      </w:r>
      <w:r w:rsidRPr="00B33854">
        <w:rPr>
          <w:rFonts w:eastAsia="Times New Roman"/>
          <w:rtl/>
          <w:lang w:eastAsia="de-DE"/>
        </w:rPr>
        <w:t xml:space="preserve"> </w:t>
      </w:r>
      <w:r w:rsidRPr="00B33854">
        <w:rPr>
          <w:rFonts w:eastAsia="Times New Roman"/>
          <w:lang w:eastAsia="de-DE"/>
        </w:rPr>
        <w:t xml:space="preserve">(„befehlen, gebieten") mit Waw. </w:t>
      </w:r>
      <w:r w:rsidRPr="00B33854">
        <w:rPr>
          <w:rFonts w:eastAsia="Times New Roman"/>
          <w:b/>
          <w:bCs/>
          <w:rtl/>
          <w:lang w:eastAsia="de-DE"/>
        </w:rPr>
        <w:t>אֶתְכֶם</w:t>
      </w:r>
      <w:r w:rsidRPr="00B33854">
        <w:rPr>
          <w:rFonts w:eastAsia="Times New Roman"/>
          <w:rtl/>
          <w:lang w:eastAsia="de-DE"/>
        </w:rPr>
        <w:t xml:space="preserve"> </w:t>
      </w:r>
      <w:r w:rsidRPr="00B33854">
        <w:rPr>
          <w:rFonts w:eastAsia="Times New Roman"/>
          <w:lang w:eastAsia="de-DE"/>
        </w:rPr>
        <w:t xml:space="preserve">ist nota accusativi mit Suffix 2. Person Plural maskulin („euch"). </w:t>
      </w:r>
      <w:r w:rsidRPr="00B33854">
        <w:rPr>
          <w:rFonts w:eastAsia="Times New Roman"/>
          <w:b/>
          <w:bCs/>
          <w:rtl/>
          <w:lang w:eastAsia="de-DE"/>
        </w:rPr>
        <w:lastRenderedPageBreak/>
        <w:t>בָּעֵת הַהִוא</w:t>
      </w:r>
      <w:r w:rsidRPr="00B33854">
        <w:rPr>
          <w:rFonts w:eastAsia="Times New Roman"/>
          <w:rtl/>
          <w:lang w:eastAsia="de-DE"/>
        </w:rPr>
        <w:t xml:space="preserve"> </w:t>
      </w:r>
      <w:r w:rsidRPr="00B33854">
        <w:rPr>
          <w:rFonts w:eastAsia="Times New Roman"/>
          <w:lang w:eastAsia="de-DE"/>
        </w:rPr>
        <w:t xml:space="preserve">ist die Zeitangabe. </w:t>
      </w:r>
      <w:r w:rsidRPr="00B33854">
        <w:rPr>
          <w:rFonts w:eastAsia="Times New Roman"/>
          <w:b/>
          <w:bCs/>
          <w:rtl/>
          <w:lang w:eastAsia="de-DE"/>
        </w:rPr>
        <w:t>לֵאמֹר</w:t>
      </w:r>
      <w:r w:rsidRPr="00B33854">
        <w:rPr>
          <w:rFonts w:eastAsia="Times New Roman"/>
          <w:rtl/>
          <w:lang w:eastAsia="de-DE"/>
        </w:rPr>
        <w:t xml:space="preserve"> </w:t>
      </w:r>
      <w:r w:rsidRPr="00B33854">
        <w:rPr>
          <w:rFonts w:eastAsia="Times New Roman"/>
          <w:lang w:eastAsia="de-DE"/>
        </w:rPr>
        <w:t xml:space="preserve">ist Qal Infinitiv Construct von </w:t>
      </w:r>
      <w:r w:rsidRPr="00B33854">
        <w:rPr>
          <w:rFonts w:eastAsia="Times New Roman"/>
          <w:b/>
          <w:bCs/>
          <w:rtl/>
          <w:lang w:eastAsia="de-DE"/>
        </w:rPr>
        <w:t>אמר</w:t>
      </w:r>
      <w:r w:rsidRPr="00B33854">
        <w:rPr>
          <w:rFonts w:eastAsia="Times New Roman"/>
          <w:rtl/>
          <w:lang w:eastAsia="de-DE"/>
        </w:rPr>
        <w:t xml:space="preserve"> </w:t>
      </w:r>
      <w:r w:rsidRPr="00B33854">
        <w:rPr>
          <w:rFonts w:eastAsia="Times New Roman"/>
          <w:lang w:eastAsia="de-DE"/>
        </w:rPr>
        <w:t xml:space="preserve">mit Präposition </w:t>
      </w:r>
      <w:r w:rsidRPr="00B33854">
        <w:rPr>
          <w:rFonts w:eastAsia="Times New Roman"/>
          <w:b/>
          <w:bCs/>
          <w:rtl/>
          <w:lang w:eastAsia="de-DE"/>
        </w:rPr>
        <w:t>לְ</w:t>
      </w:r>
      <w:r w:rsidRPr="00B33854">
        <w:rPr>
          <w:rFonts w:eastAsia="Times New Roman"/>
          <w:lang w:eastAsia="de-DE"/>
        </w:rPr>
        <w:t>, leitet die direkte Rede ein.</w:t>
      </w:r>
    </w:p>
    <w:p w14:paraId="5DA2AA24"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יְהוָה אֱלֹהֵיכֶם</w:t>
      </w:r>
      <w:r w:rsidRPr="00B33854">
        <w:rPr>
          <w:rFonts w:eastAsia="Times New Roman"/>
          <w:rtl/>
          <w:lang w:eastAsia="de-DE"/>
        </w:rPr>
        <w:t xml:space="preserve"> </w:t>
      </w:r>
      <w:r w:rsidRPr="00B33854">
        <w:rPr>
          <w:rFonts w:eastAsia="Times New Roman"/>
          <w:lang w:eastAsia="de-DE"/>
        </w:rPr>
        <w:t xml:space="preserve">ist das erweiterte Subjekt: </w:t>
      </w:r>
      <w:r w:rsidRPr="00B33854">
        <w:rPr>
          <w:rFonts w:eastAsia="Times New Roman"/>
          <w:b/>
          <w:bCs/>
          <w:rtl/>
          <w:lang w:eastAsia="de-DE"/>
        </w:rPr>
        <w:t>יְהוָה</w:t>
      </w:r>
      <w:r w:rsidRPr="00B33854">
        <w:rPr>
          <w:rFonts w:eastAsia="Times New Roman"/>
          <w:rtl/>
          <w:lang w:eastAsia="de-DE"/>
        </w:rPr>
        <w:t xml:space="preserve"> </w:t>
      </w:r>
      <w:r w:rsidRPr="00B33854">
        <w:rPr>
          <w:rFonts w:eastAsia="Times New Roman"/>
          <w:lang w:eastAsia="de-DE"/>
        </w:rPr>
        <w:t xml:space="preserve">und </w:t>
      </w:r>
      <w:r w:rsidRPr="00B33854">
        <w:rPr>
          <w:rFonts w:eastAsia="Times New Roman"/>
          <w:b/>
          <w:bCs/>
          <w:rtl/>
          <w:lang w:eastAsia="de-DE"/>
        </w:rPr>
        <w:t>אֱלֹהִים</w:t>
      </w:r>
      <w:r w:rsidRPr="00B33854">
        <w:rPr>
          <w:rFonts w:eastAsia="Times New Roman"/>
          <w:rtl/>
          <w:lang w:eastAsia="de-DE"/>
        </w:rPr>
        <w:t xml:space="preserve"> </w:t>
      </w:r>
      <w:r w:rsidRPr="00B33854">
        <w:rPr>
          <w:rFonts w:eastAsia="Times New Roman"/>
          <w:lang w:eastAsia="de-DE"/>
        </w:rPr>
        <w:t xml:space="preserve">mit Suffix 2. Person Plural maskulin („euer Gott"). </w:t>
      </w:r>
      <w:r w:rsidRPr="00B33854">
        <w:rPr>
          <w:rFonts w:eastAsia="Times New Roman"/>
          <w:b/>
          <w:bCs/>
          <w:rtl/>
          <w:lang w:eastAsia="de-DE"/>
        </w:rPr>
        <w:t>נָתַן</w:t>
      </w:r>
      <w:r w:rsidRPr="00B33854">
        <w:rPr>
          <w:rFonts w:eastAsia="Times New Roman"/>
          <w:rtl/>
          <w:lang w:eastAsia="de-DE"/>
        </w:rPr>
        <w:t xml:space="preserve"> </w:t>
      </w:r>
      <w:r w:rsidRPr="00B33854">
        <w:rPr>
          <w:rFonts w:eastAsia="Times New Roman"/>
          <w:lang w:eastAsia="de-DE"/>
        </w:rPr>
        <w:t xml:space="preserve">ist Qal Perfekt, 3. Person Singular maskulin von </w:t>
      </w:r>
      <w:r w:rsidRPr="00B33854">
        <w:rPr>
          <w:rFonts w:eastAsia="Times New Roman"/>
          <w:b/>
          <w:bCs/>
          <w:rtl/>
          <w:lang w:eastAsia="de-DE"/>
        </w:rPr>
        <w:t>נתן</w:t>
      </w:r>
      <w:r w:rsidRPr="00B33854">
        <w:rPr>
          <w:rFonts w:eastAsia="Times New Roman"/>
          <w:lang w:eastAsia="de-DE"/>
        </w:rPr>
        <w:t xml:space="preserve">. </w:t>
      </w:r>
      <w:r w:rsidRPr="00B33854">
        <w:rPr>
          <w:rFonts w:eastAsia="Times New Roman"/>
          <w:b/>
          <w:bCs/>
          <w:rtl/>
          <w:lang w:eastAsia="de-DE"/>
        </w:rPr>
        <w:t>לָכֶם</w:t>
      </w:r>
      <w:r w:rsidRPr="00B33854">
        <w:rPr>
          <w:rFonts w:eastAsia="Times New Roman"/>
          <w:rtl/>
          <w:lang w:eastAsia="de-DE"/>
        </w:rPr>
        <w:t xml:space="preserve"> </w:t>
      </w:r>
      <w:r w:rsidRPr="00B33854">
        <w:rPr>
          <w:rFonts w:eastAsia="Times New Roman"/>
          <w:lang w:eastAsia="de-DE"/>
        </w:rPr>
        <w:t xml:space="preserve">ist Präposition </w:t>
      </w:r>
      <w:r w:rsidRPr="00B33854">
        <w:rPr>
          <w:rFonts w:eastAsia="Times New Roman"/>
          <w:b/>
          <w:bCs/>
          <w:rtl/>
          <w:lang w:eastAsia="de-DE"/>
        </w:rPr>
        <w:t>לְ</w:t>
      </w:r>
      <w:r w:rsidRPr="00B33854">
        <w:rPr>
          <w:rFonts w:eastAsia="Times New Roman"/>
          <w:rtl/>
          <w:lang w:eastAsia="de-DE"/>
        </w:rPr>
        <w:t xml:space="preserve"> </w:t>
      </w:r>
      <w:r w:rsidRPr="00B33854">
        <w:rPr>
          <w:rFonts w:eastAsia="Times New Roman"/>
          <w:lang w:eastAsia="de-DE"/>
        </w:rPr>
        <w:t xml:space="preserve">mit Suffix 2. Person Plural maskulin („euch"). </w:t>
      </w:r>
      <w:r w:rsidRPr="00B33854">
        <w:rPr>
          <w:rFonts w:eastAsia="Times New Roman"/>
          <w:b/>
          <w:bCs/>
          <w:rtl/>
          <w:lang w:eastAsia="de-DE"/>
        </w:rPr>
        <w:t>אֶת־הָאָרֶץ הַזֹּאת</w:t>
      </w:r>
      <w:r w:rsidRPr="00B33854">
        <w:rPr>
          <w:rFonts w:eastAsia="Times New Roman"/>
          <w:rtl/>
          <w:lang w:eastAsia="de-DE"/>
        </w:rPr>
        <w:t xml:space="preserve"> </w:t>
      </w:r>
      <w:r w:rsidRPr="00B33854">
        <w:rPr>
          <w:rFonts w:eastAsia="Times New Roman"/>
          <w:lang w:eastAsia="de-DE"/>
        </w:rPr>
        <w:t xml:space="preserve">ist nota accusativi mit </w:t>
      </w:r>
      <w:r w:rsidRPr="00B33854">
        <w:rPr>
          <w:rFonts w:eastAsia="Times New Roman"/>
          <w:b/>
          <w:bCs/>
          <w:rtl/>
          <w:lang w:eastAsia="de-DE"/>
        </w:rPr>
        <w:t>הָאָרֶץ</w:t>
      </w:r>
      <w:r w:rsidRPr="00B33854">
        <w:rPr>
          <w:rFonts w:eastAsia="Times New Roman"/>
          <w:rtl/>
          <w:lang w:eastAsia="de-DE"/>
        </w:rPr>
        <w:t xml:space="preserve"> </w:t>
      </w:r>
      <w:r w:rsidRPr="00B33854">
        <w:rPr>
          <w:rFonts w:eastAsia="Times New Roman"/>
          <w:lang w:eastAsia="de-DE"/>
        </w:rPr>
        <w:t xml:space="preserve">und Demonstrativpronomen </w:t>
      </w:r>
      <w:r w:rsidRPr="00B33854">
        <w:rPr>
          <w:rFonts w:eastAsia="Times New Roman"/>
          <w:b/>
          <w:bCs/>
          <w:rtl/>
          <w:lang w:eastAsia="de-DE"/>
        </w:rPr>
        <w:t>הַזֹּאת</w:t>
      </w:r>
      <w:r w:rsidRPr="00B33854">
        <w:rPr>
          <w:rFonts w:eastAsia="Times New Roman"/>
          <w:lang w:eastAsia="de-DE"/>
        </w:rPr>
        <w:t xml:space="preserve">. </w:t>
      </w:r>
      <w:r w:rsidRPr="00B33854">
        <w:rPr>
          <w:rFonts w:eastAsia="Times New Roman"/>
          <w:b/>
          <w:bCs/>
          <w:rtl/>
          <w:lang w:eastAsia="de-DE"/>
        </w:rPr>
        <w:t>לְרִשְׁתָּהּ</w:t>
      </w:r>
      <w:r w:rsidRPr="00B33854">
        <w:rPr>
          <w:rFonts w:eastAsia="Times New Roman"/>
          <w:rtl/>
          <w:lang w:eastAsia="de-DE"/>
        </w:rPr>
        <w:t xml:space="preserve"> </w:t>
      </w:r>
      <w:r w:rsidRPr="00B33854">
        <w:rPr>
          <w:rFonts w:eastAsia="Times New Roman"/>
          <w:lang w:eastAsia="de-DE"/>
        </w:rPr>
        <w:t xml:space="preserve">ist Qal Infinitiv Construct von </w:t>
      </w:r>
      <w:r w:rsidRPr="00B33854">
        <w:rPr>
          <w:rFonts w:eastAsia="Times New Roman"/>
          <w:b/>
          <w:bCs/>
          <w:rtl/>
          <w:lang w:eastAsia="de-DE"/>
        </w:rPr>
        <w:t>ירשׁ</w:t>
      </w:r>
      <w:r w:rsidRPr="00B33854">
        <w:rPr>
          <w:rFonts w:eastAsia="Times New Roman"/>
          <w:rtl/>
          <w:lang w:eastAsia="de-DE"/>
        </w:rPr>
        <w:t xml:space="preserve"> </w:t>
      </w:r>
      <w:r w:rsidRPr="00B33854">
        <w:rPr>
          <w:rFonts w:eastAsia="Times New Roman"/>
          <w:lang w:eastAsia="de-DE"/>
        </w:rPr>
        <w:t xml:space="preserve">(„in Besitz nehmen") mit Präposition </w:t>
      </w:r>
      <w:r w:rsidRPr="00B33854">
        <w:rPr>
          <w:rFonts w:eastAsia="Times New Roman"/>
          <w:b/>
          <w:bCs/>
          <w:rtl/>
          <w:lang w:eastAsia="de-DE"/>
        </w:rPr>
        <w:t>לְ</w:t>
      </w:r>
      <w:r w:rsidRPr="00B33854">
        <w:rPr>
          <w:rFonts w:eastAsia="Times New Roman"/>
          <w:rtl/>
          <w:lang w:eastAsia="de-DE"/>
        </w:rPr>
        <w:t xml:space="preserve"> </w:t>
      </w:r>
      <w:r w:rsidRPr="00B33854">
        <w:rPr>
          <w:rFonts w:eastAsia="Times New Roman"/>
          <w:lang w:eastAsia="de-DE"/>
        </w:rPr>
        <w:t>(final) und Suffix 3. Person Singular feminin – drückt den Zweck aus.</w:t>
      </w:r>
    </w:p>
    <w:p w14:paraId="446616CC"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חֲלוּצִים</w:t>
      </w:r>
      <w:r w:rsidRPr="00B33854">
        <w:rPr>
          <w:rFonts w:eastAsia="Times New Roman"/>
          <w:rtl/>
          <w:lang w:eastAsia="de-DE"/>
        </w:rPr>
        <w:t xml:space="preserve"> </w:t>
      </w:r>
      <w:r w:rsidRPr="00B33854">
        <w:rPr>
          <w:rFonts w:eastAsia="Times New Roman"/>
          <w:lang w:eastAsia="de-DE"/>
        </w:rPr>
        <w:t xml:space="preserve">ist Qal Passiv Partizip Plural maskulin von </w:t>
      </w:r>
      <w:r w:rsidRPr="00B33854">
        <w:rPr>
          <w:rFonts w:eastAsia="Times New Roman"/>
          <w:b/>
          <w:bCs/>
          <w:rtl/>
          <w:lang w:eastAsia="de-DE"/>
        </w:rPr>
        <w:t>חלץ</w:t>
      </w:r>
      <w:r w:rsidRPr="00B33854">
        <w:rPr>
          <w:rFonts w:eastAsia="Times New Roman"/>
          <w:rtl/>
          <w:lang w:eastAsia="de-DE"/>
        </w:rPr>
        <w:t xml:space="preserve"> </w:t>
      </w:r>
      <w:r w:rsidRPr="00B33854">
        <w:rPr>
          <w:rFonts w:eastAsia="Times New Roman"/>
          <w:lang w:eastAsia="de-DE"/>
        </w:rPr>
        <w:t xml:space="preserve">(„gerüstet, bewaffnet sein"). </w:t>
      </w:r>
      <w:r w:rsidRPr="00B33854">
        <w:rPr>
          <w:rFonts w:eastAsia="Times New Roman"/>
          <w:b/>
          <w:bCs/>
          <w:rtl/>
          <w:lang w:eastAsia="de-DE"/>
        </w:rPr>
        <w:t>תַּעַבְרוּ</w:t>
      </w:r>
      <w:r w:rsidRPr="00B33854">
        <w:rPr>
          <w:rFonts w:eastAsia="Times New Roman"/>
          <w:rtl/>
          <w:lang w:eastAsia="de-DE"/>
        </w:rPr>
        <w:t xml:space="preserve"> </w:t>
      </w:r>
      <w:r w:rsidRPr="00B33854">
        <w:rPr>
          <w:rFonts w:eastAsia="Times New Roman"/>
          <w:lang w:eastAsia="de-DE"/>
        </w:rPr>
        <w:t xml:space="preserve">ist Qal Imperfekt, 2. Person Plural maskulin von </w:t>
      </w:r>
      <w:r w:rsidRPr="00B33854">
        <w:rPr>
          <w:rFonts w:eastAsia="Times New Roman"/>
          <w:b/>
          <w:bCs/>
          <w:rtl/>
          <w:lang w:eastAsia="de-DE"/>
        </w:rPr>
        <w:t>עבר</w:t>
      </w:r>
      <w:r w:rsidRPr="00B33854">
        <w:rPr>
          <w:rFonts w:eastAsia="Times New Roman"/>
          <w:rtl/>
          <w:lang w:eastAsia="de-DE"/>
        </w:rPr>
        <w:t xml:space="preserve"> </w:t>
      </w:r>
      <w:r w:rsidRPr="00B33854">
        <w:rPr>
          <w:rFonts w:eastAsia="Times New Roman"/>
          <w:lang w:eastAsia="de-DE"/>
        </w:rPr>
        <w:t xml:space="preserve">(„hinübergehen, durchziehen"). </w:t>
      </w:r>
      <w:r w:rsidRPr="00B33854">
        <w:rPr>
          <w:rFonts w:eastAsia="Times New Roman"/>
          <w:b/>
          <w:bCs/>
          <w:rtl/>
          <w:lang w:eastAsia="de-DE"/>
        </w:rPr>
        <w:t>לִפְנֵי אֲחֵיכֶם בְּנֵי־יִשְׂרָאֵל</w:t>
      </w:r>
      <w:r w:rsidRPr="00B33854">
        <w:rPr>
          <w:rFonts w:eastAsia="Times New Roman"/>
          <w:rtl/>
          <w:lang w:eastAsia="de-DE"/>
        </w:rPr>
        <w:t xml:space="preserve"> </w:t>
      </w:r>
      <w:r w:rsidRPr="00B33854">
        <w:rPr>
          <w:rFonts w:eastAsia="Times New Roman"/>
          <w:lang w:eastAsia="de-DE"/>
        </w:rPr>
        <w:t xml:space="preserve">ist eine Richtungsangabe: </w:t>
      </w:r>
      <w:r w:rsidRPr="00B33854">
        <w:rPr>
          <w:rFonts w:eastAsia="Times New Roman"/>
          <w:b/>
          <w:bCs/>
          <w:rtl/>
          <w:lang w:eastAsia="de-DE"/>
        </w:rPr>
        <w:t>לִפְנֵי</w:t>
      </w:r>
      <w:r w:rsidRPr="00B33854">
        <w:rPr>
          <w:rFonts w:eastAsia="Times New Roman"/>
          <w:rtl/>
          <w:lang w:eastAsia="de-DE"/>
        </w:rPr>
        <w:t xml:space="preserve"> </w:t>
      </w:r>
      <w:r w:rsidRPr="00B33854">
        <w:rPr>
          <w:rFonts w:eastAsia="Times New Roman"/>
          <w:lang w:eastAsia="de-DE"/>
        </w:rPr>
        <w:t xml:space="preserve">(„vor, an der Spitze von") mit </w:t>
      </w:r>
      <w:r w:rsidRPr="00B33854">
        <w:rPr>
          <w:rFonts w:eastAsia="Times New Roman"/>
          <w:b/>
          <w:bCs/>
          <w:rtl/>
          <w:lang w:eastAsia="de-DE"/>
        </w:rPr>
        <w:t>אֲחֵיכֶם</w:t>
      </w:r>
      <w:r w:rsidRPr="00B33854">
        <w:rPr>
          <w:rFonts w:eastAsia="Times New Roman"/>
          <w:rtl/>
          <w:lang w:eastAsia="de-DE"/>
        </w:rPr>
        <w:t xml:space="preserve"> </w:t>
      </w:r>
      <w:r w:rsidRPr="00B33854">
        <w:rPr>
          <w:rFonts w:eastAsia="Times New Roman"/>
          <w:lang w:eastAsia="de-DE"/>
        </w:rPr>
        <w:t xml:space="preserve">(„eure Brüder", Plural mit Suffix 2. Person Plural maskulin) und der appositiven Erklärung </w:t>
      </w:r>
      <w:r w:rsidRPr="00B33854">
        <w:rPr>
          <w:rFonts w:eastAsia="Times New Roman"/>
          <w:b/>
          <w:bCs/>
          <w:rtl/>
          <w:lang w:eastAsia="de-DE"/>
        </w:rPr>
        <w:t>בְּנֵי־יִשְׂרָאֵל</w:t>
      </w:r>
      <w:r w:rsidRPr="00B33854">
        <w:rPr>
          <w:rFonts w:eastAsia="Times New Roman"/>
          <w:rtl/>
          <w:lang w:eastAsia="de-DE"/>
        </w:rPr>
        <w:t xml:space="preserve"> </w:t>
      </w:r>
      <w:r w:rsidRPr="00B33854">
        <w:rPr>
          <w:rFonts w:eastAsia="Times New Roman"/>
          <w:lang w:eastAsia="de-DE"/>
        </w:rPr>
        <w:t xml:space="preserve">(„Söhne Israels"). </w:t>
      </w:r>
      <w:r w:rsidRPr="00B33854">
        <w:rPr>
          <w:rFonts w:eastAsia="Times New Roman"/>
          <w:b/>
          <w:bCs/>
          <w:rtl/>
          <w:lang w:eastAsia="de-DE"/>
        </w:rPr>
        <w:t>כָּל־בְּנֵי־חָיִל</w:t>
      </w:r>
      <w:r w:rsidRPr="00B33854">
        <w:rPr>
          <w:rFonts w:eastAsia="Times New Roman"/>
          <w:rtl/>
          <w:lang w:eastAsia="de-DE"/>
        </w:rPr>
        <w:t xml:space="preserve"> </w:t>
      </w:r>
      <w:r w:rsidRPr="00B33854">
        <w:rPr>
          <w:rFonts w:eastAsia="Times New Roman"/>
          <w:lang w:eastAsia="de-DE"/>
        </w:rPr>
        <w:t xml:space="preserve">ist eine nähere Bestimmung des Subjekts von </w:t>
      </w:r>
      <w:r w:rsidRPr="00B33854">
        <w:rPr>
          <w:rFonts w:eastAsia="Times New Roman"/>
          <w:b/>
          <w:bCs/>
          <w:rtl/>
          <w:lang w:eastAsia="de-DE"/>
        </w:rPr>
        <w:t>תַּעַבְרוּ</w:t>
      </w:r>
      <w:r w:rsidRPr="00B33854">
        <w:rPr>
          <w:rFonts w:eastAsia="Times New Roman"/>
          <w:lang w:eastAsia="de-DE"/>
        </w:rPr>
        <w:t xml:space="preserve">: </w:t>
      </w:r>
      <w:r w:rsidRPr="00B33854">
        <w:rPr>
          <w:rFonts w:eastAsia="Times New Roman"/>
          <w:b/>
          <w:bCs/>
          <w:rtl/>
          <w:lang w:eastAsia="de-DE"/>
        </w:rPr>
        <w:t>כָּל</w:t>
      </w:r>
      <w:r w:rsidRPr="00B33854">
        <w:rPr>
          <w:rFonts w:eastAsia="Times New Roman"/>
          <w:rtl/>
          <w:lang w:eastAsia="de-DE"/>
        </w:rPr>
        <w:t xml:space="preserve"> </w:t>
      </w:r>
      <w:r w:rsidRPr="00B33854">
        <w:rPr>
          <w:rFonts w:eastAsia="Times New Roman"/>
          <w:lang w:eastAsia="de-DE"/>
        </w:rPr>
        <w:t xml:space="preserve">im Construct mit </w:t>
      </w:r>
      <w:r w:rsidRPr="00B33854">
        <w:rPr>
          <w:rFonts w:eastAsia="Times New Roman"/>
          <w:b/>
          <w:bCs/>
          <w:rtl/>
          <w:lang w:eastAsia="de-DE"/>
        </w:rPr>
        <w:t>בְּנֵי־חָיִל</w:t>
      </w:r>
      <w:r w:rsidRPr="00B33854">
        <w:rPr>
          <w:rFonts w:eastAsia="Times New Roman"/>
          <w:rtl/>
          <w:lang w:eastAsia="de-DE"/>
        </w:rPr>
        <w:t xml:space="preserve"> </w:t>
      </w:r>
      <w:r w:rsidRPr="00B33854">
        <w:rPr>
          <w:rFonts w:eastAsia="Times New Roman"/>
          <w:lang w:eastAsia="de-DE"/>
        </w:rPr>
        <w:t>(„Söhne der Kraft/Tapferkeit", idiomatisch „alle Kriegstüchtigen").</w:t>
      </w:r>
    </w:p>
    <w:p w14:paraId="1B856348"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Die Satzstruktur besteht aus einem Redeeinleitungssatz mit Zeitangabe und drei Hauptsätzen in der direkten Rede: Der erste Hauptsatz konstatiert die Landgabe mit finalem Infinitiv. Der zweite Hauptsatz ist eine Aufforderung mit prädikativem Partizip (Zustandsangabe) und ausführlichen adverbialen Bestimmungen sowie einer appositiven Subjektspräzisierung.</w:t>
      </w:r>
    </w:p>
    <w:p w14:paraId="673E8C75"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Der Vers markiert den Beginn von Moses Befehl an die Oststämme, trotz bereits erhaltenen Landes bewaffnet mit den anderen Stämmen über den Jordan zu ziehen.</w:t>
      </w:r>
    </w:p>
    <w:p w14:paraId="659F5365"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3,19</w:t>
      </w:r>
    </w:p>
    <w:p w14:paraId="2C4F434D"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רַ֠ק נְשֵׁיכֶ֣ם וְטַפְּכֶם֮ וּמִקְנֵכֶם֒ יָדַ֕עְתִּי כִּֽי־מִקְנֶ֥ה רַ֖ב לָכֶ֑ם יֵֽשְׁבוּ֙ בְּעָ֣רֵיכֶ֔ם אֲשֶׁ֥ר נָתַ֖תִּי לָכֶֽם׃</w:t>
      </w:r>
    </w:p>
    <w:p w14:paraId="77D5B33E"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Nur eure Frauen und eure Kinder und euer Vieh – ich weiß, dass ihr viel Vieh habt – sollen in euren Städten bleiben, die ich euch gegeben habe.</w:t>
      </w:r>
    </w:p>
    <w:p w14:paraId="5C4A3C4B"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4B410881">
          <v:rect id="_x0000_i1126" style="width:0;height:1.5pt" o:hralign="center" o:hrstd="t" o:hr="t" fillcolor="#a0a0a0" stroked="f"/>
        </w:pict>
      </w:r>
    </w:p>
    <w:p w14:paraId="26F8034E"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רַק</w:t>
      </w:r>
      <w:r w:rsidRPr="00B33854">
        <w:rPr>
          <w:rFonts w:eastAsia="Times New Roman"/>
          <w:rtl/>
          <w:lang w:eastAsia="de-DE"/>
        </w:rPr>
        <w:t xml:space="preserve"> </w:t>
      </w:r>
      <w:r w:rsidRPr="00B33854">
        <w:rPr>
          <w:rFonts w:eastAsia="Times New Roman"/>
          <w:lang w:eastAsia="de-DE"/>
        </w:rPr>
        <w:t xml:space="preserve">ist eine restriktive Partikel („nur, jedoch"). </w:t>
      </w:r>
      <w:r w:rsidRPr="00B33854">
        <w:rPr>
          <w:rFonts w:eastAsia="Times New Roman"/>
          <w:b/>
          <w:bCs/>
          <w:rtl/>
          <w:lang w:eastAsia="de-DE"/>
        </w:rPr>
        <w:t>נְשֵׁיכֶם</w:t>
      </w:r>
      <w:r w:rsidRPr="00B33854">
        <w:rPr>
          <w:rFonts w:eastAsia="Times New Roman"/>
          <w:rtl/>
          <w:lang w:eastAsia="de-DE"/>
        </w:rPr>
        <w:t xml:space="preserve"> </w:t>
      </w:r>
      <w:r w:rsidRPr="00B33854">
        <w:rPr>
          <w:rFonts w:eastAsia="Times New Roman"/>
          <w:lang w:eastAsia="de-DE"/>
        </w:rPr>
        <w:t xml:space="preserve">ist </w:t>
      </w:r>
      <w:r w:rsidRPr="00B33854">
        <w:rPr>
          <w:rFonts w:eastAsia="Times New Roman"/>
          <w:b/>
          <w:bCs/>
          <w:rtl/>
          <w:lang w:eastAsia="de-DE"/>
        </w:rPr>
        <w:t>נָשִׁים</w:t>
      </w:r>
      <w:r w:rsidRPr="00B33854">
        <w:rPr>
          <w:rFonts w:eastAsia="Times New Roman"/>
          <w:rtl/>
          <w:lang w:eastAsia="de-DE"/>
        </w:rPr>
        <w:t xml:space="preserve"> </w:t>
      </w:r>
      <w:r w:rsidRPr="00B33854">
        <w:rPr>
          <w:rFonts w:eastAsia="Times New Roman"/>
          <w:lang w:eastAsia="de-DE"/>
        </w:rPr>
        <w:t xml:space="preserve">(„Frauen", Plural) mit Suffix 2. Person Plural maskulin. </w:t>
      </w:r>
      <w:r w:rsidRPr="00B33854">
        <w:rPr>
          <w:rFonts w:eastAsia="Times New Roman"/>
          <w:b/>
          <w:bCs/>
          <w:rtl/>
          <w:lang w:eastAsia="de-DE"/>
        </w:rPr>
        <w:t>וְטַפְּכֶם</w:t>
      </w:r>
      <w:r w:rsidRPr="00B33854">
        <w:rPr>
          <w:rFonts w:eastAsia="Times New Roman"/>
          <w:rtl/>
          <w:lang w:eastAsia="de-DE"/>
        </w:rPr>
        <w:t xml:space="preserve"> </w:t>
      </w:r>
      <w:r w:rsidRPr="00B33854">
        <w:rPr>
          <w:rFonts w:eastAsia="Times New Roman"/>
          <w:lang w:eastAsia="de-DE"/>
        </w:rPr>
        <w:t xml:space="preserve">ist koordiniert: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טַף</w:t>
      </w:r>
      <w:r w:rsidRPr="00B33854">
        <w:rPr>
          <w:rFonts w:eastAsia="Times New Roman"/>
          <w:rtl/>
          <w:lang w:eastAsia="de-DE"/>
        </w:rPr>
        <w:t xml:space="preserve"> </w:t>
      </w:r>
      <w:r w:rsidRPr="00B33854">
        <w:rPr>
          <w:rFonts w:eastAsia="Times New Roman"/>
          <w:lang w:eastAsia="de-DE"/>
        </w:rPr>
        <w:t xml:space="preserve">(„Kinder", kollektiv) und Suffix 2. Person Plural maskulin. </w:t>
      </w:r>
      <w:r w:rsidRPr="00B33854">
        <w:rPr>
          <w:rFonts w:eastAsia="Times New Roman"/>
          <w:b/>
          <w:bCs/>
          <w:rtl/>
          <w:lang w:eastAsia="de-DE"/>
        </w:rPr>
        <w:t>וּמִקְנֵכֶם</w:t>
      </w:r>
      <w:r w:rsidRPr="00B33854">
        <w:rPr>
          <w:rFonts w:eastAsia="Times New Roman"/>
          <w:rtl/>
          <w:lang w:eastAsia="de-DE"/>
        </w:rPr>
        <w:t xml:space="preserve"> </w:t>
      </w:r>
      <w:r w:rsidRPr="00B33854">
        <w:rPr>
          <w:rFonts w:eastAsia="Times New Roman"/>
          <w:lang w:eastAsia="de-DE"/>
        </w:rPr>
        <w:t xml:space="preserve">ist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מִקְנֶה</w:t>
      </w:r>
      <w:r w:rsidRPr="00B33854">
        <w:rPr>
          <w:rFonts w:eastAsia="Times New Roman"/>
          <w:rtl/>
          <w:lang w:eastAsia="de-DE"/>
        </w:rPr>
        <w:t xml:space="preserve"> </w:t>
      </w:r>
      <w:r w:rsidRPr="00B33854">
        <w:rPr>
          <w:rFonts w:eastAsia="Times New Roman"/>
          <w:lang w:eastAsia="de-DE"/>
        </w:rPr>
        <w:t>(„Vieh, Herden", kollektiv) und Suffix 2. Person Plural maskulin. Diese dreigliedrige Aufzählung bildet das Subjekt des folgenden Verbs.</w:t>
      </w:r>
    </w:p>
    <w:p w14:paraId="13A39D0F"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יָדַעְתִּי</w:t>
      </w:r>
      <w:r w:rsidRPr="00B33854">
        <w:rPr>
          <w:rFonts w:eastAsia="Times New Roman"/>
          <w:rtl/>
          <w:lang w:eastAsia="de-DE"/>
        </w:rPr>
        <w:t xml:space="preserve"> </w:t>
      </w:r>
      <w:r w:rsidRPr="00B33854">
        <w:rPr>
          <w:rFonts w:eastAsia="Times New Roman"/>
          <w:lang w:eastAsia="de-DE"/>
        </w:rPr>
        <w:t xml:space="preserve">ist Qal Perfekt, 1. Person Singular von </w:t>
      </w:r>
      <w:r w:rsidRPr="00B33854">
        <w:rPr>
          <w:rFonts w:eastAsia="Times New Roman"/>
          <w:b/>
          <w:bCs/>
          <w:rtl/>
          <w:lang w:eastAsia="de-DE"/>
        </w:rPr>
        <w:t>ידע</w:t>
      </w:r>
      <w:r w:rsidRPr="00B33854">
        <w:rPr>
          <w:rFonts w:eastAsia="Times New Roman"/>
          <w:rtl/>
          <w:lang w:eastAsia="de-DE"/>
        </w:rPr>
        <w:t xml:space="preserve"> </w:t>
      </w:r>
      <w:r w:rsidRPr="00B33854">
        <w:rPr>
          <w:rFonts w:eastAsia="Times New Roman"/>
          <w:lang w:eastAsia="de-DE"/>
        </w:rPr>
        <w:t xml:space="preserve">(„wissen"). </w:t>
      </w:r>
      <w:r w:rsidRPr="00B33854">
        <w:rPr>
          <w:rFonts w:eastAsia="Times New Roman"/>
          <w:b/>
          <w:bCs/>
          <w:rtl/>
          <w:lang w:eastAsia="de-DE"/>
        </w:rPr>
        <w:t>כִּי־מִקְנֶה רַב לָכֶם</w:t>
      </w:r>
      <w:r w:rsidRPr="00B33854">
        <w:rPr>
          <w:rFonts w:eastAsia="Times New Roman"/>
          <w:rtl/>
          <w:lang w:eastAsia="de-DE"/>
        </w:rPr>
        <w:t xml:space="preserve"> </w:t>
      </w:r>
      <w:r w:rsidRPr="00B33854">
        <w:rPr>
          <w:rFonts w:eastAsia="Times New Roman"/>
          <w:lang w:eastAsia="de-DE"/>
        </w:rPr>
        <w:t xml:space="preserve">ist ein Objektsatz: </w:t>
      </w:r>
      <w:r w:rsidRPr="00B33854">
        <w:rPr>
          <w:rFonts w:eastAsia="Times New Roman"/>
          <w:b/>
          <w:bCs/>
          <w:rtl/>
          <w:lang w:eastAsia="de-DE"/>
        </w:rPr>
        <w:t>כִּי</w:t>
      </w:r>
      <w:r w:rsidRPr="00B33854">
        <w:rPr>
          <w:rFonts w:eastAsia="Times New Roman"/>
          <w:rtl/>
          <w:lang w:eastAsia="de-DE"/>
        </w:rPr>
        <w:t xml:space="preserve"> </w:t>
      </w:r>
      <w:r w:rsidRPr="00B33854">
        <w:rPr>
          <w:rFonts w:eastAsia="Times New Roman"/>
          <w:lang w:eastAsia="de-DE"/>
        </w:rPr>
        <w:t xml:space="preserve">als Objektkonjunktion, </w:t>
      </w:r>
      <w:r w:rsidRPr="00B33854">
        <w:rPr>
          <w:rFonts w:eastAsia="Times New Roman"/>
          <w:b/>
          <w:bCs/>
          <w:rtl/>
          <w:lang w:eastAsia="de-DE"/>
        </w:rPr>
        <w:t>מִקְנֶה רַב</w:t>
      </w:r>
      <w:r w:rsidRPr="00B33854">
        <w:rPr>
          <w:rFonts w:eastAsia="Times New Roman"/>
          <w:rtl/>
          <w:lang w:eastAsia="de-DE"/>
        </w:rPr>
        <w:t xml:space="preserve"> </w:t>
      </w:r>
      <w:r w:rsidRPr="00B33854">
        <w:rPr>
          <w:rFonts w:eastAsia="Times New Roman"/>
          <w:lang w:eastAsia="de-DE"/>
        </w:rPr>
        <w:t xml:space="preserve">als nominales Prädikat mit </w:t>
      </w:r>
      <w:r w:rsidRPr="00B33854">
        <w:rPr>
          <w:rFonts w:eastAsia="Times New Roman"/>
          <w:b/>
          <w:bCs/>
          <w:rtl/>
          <w:lang w:eastAsia="de-DE"/>
        </w:rPr>
        <w:t>רַב</w:t>
      </w:r>
      <w:r w:rsidRPr="00B33854">
        <w:rPr>
          <w:rFonts w:eastAsia="Times New Roman"/>
          <w:rtl/>
          <w:lang w:eastAsia="de-DE"/>
        </w:rPr>
        <w:t xml:space="preserve"> </w:t>
      </w:r>
      <w:r w:rsidRPr="00B33854">
        <w:rPr>
          <w:rFonts w:eastAsia="Times New Roman"/>
          <w:lang w:eastAsia="de-DE"/>
        </w:rPr>
        <w:t xml:space="preserve">(„viel, zahlreich") als Adjektiv, </w:t>
      </w:r>
      <w:r w:rsidRPr="00B33854">
        <w:rPr>
          <w:rFonts w:eastAsia="Times New Roman"/>
          <w:b/>
          <w:bCs/>
          <w:rtl/>
          <w:lang w:eastAsia="de-DE"/>
        </w:rPr>
        <w:t>לָכֶם</w:t>
      </w:r>
      <w:r w:rsidRPr="00B33854">
        <w:rPr>
          <w:rFonts w:eastAsia="Times New Roman"/>
          <w:rtl/>
          <w:lang w:eastAsia="de-DE"/>
        </w:rPr>
        <w:t xml:space="preserve"> </w:t>
      </w:r>
      <w:r w:rsidRPr="00B33854">
        <w:rPr>
          <w:rFonts w:eastAsia="Times New Roman"/>
          <w:lang w:eastAsia="de-DE"/>
        </w:rPr>
        <w:t xml:space="preserve">als Possessivangabe mit Präposition </w:t>
      </w:r>
      <w:r w:rsidRPr="00B33854">
        <w:rPr>
          <w:rFonts w:eastAsia="Times New Roman"/>
          <w:b/>
          <w:bCs/>
          <w:rtl/>
          <w:lang w:eastAsia="de-DE"/>
        </w:rPr>
        <w:t>לְ</w:t>
      </w:r>
      <w:r w:rsidRPr="00B33854">
        <w:rPr>
          <w:rFonts w:eastAsia="Times New Roman"/>
          <w:lang w:eastAsia="de-DE"/>
        </w:rPr>
        <w:t>. Dieser Einschub erklärt die besondere Erwähnung des Viehs.</w:t>
      </w:r>
    </w:p>
    <w:p w14:paraId="06CCF423"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יֵשְׁבוּ</w:t>
      </w:r>
      <w:r w:rsidRPr="00B33854">
        <w:rPr>
          <w:rFonts w:eastAsia="Times New Roman"/>
          <w:rtl/>
          <w:lang w:eastAsia="de-DE"/>
        </w:rPr>
        <w:t xml:space="preserve"> </w:t>
      </w:r>
      <w:r w:rsidRPr="00B33854">
        <w:rPr>
          <w:rFonts w:eastAsia="Times New Roman"/>
          <w:lang w:eastAsia="de-DE"/>
        </w:rPr>
        <w:t xml:space="preserve">ist Qal Imperfekt, 3. Person Plural maskulin von </w:t>
      </w:r>
      <w:r w:rsidRPr="00B33854">
        <w:rPr>
          <w:rFonts w:eastAsia="Times New Roman"/>
          <w:b/>
          <w:bCs/>
          <w:rtl/>
          <w:lang w:eastAsia="de-DE"/>
        </w:rPr>
        <w:t>ישׁב</w:t>
      </w:r>
      <w:r w:rsidRPr="00B33854">
        <w:rPr>
          <w:rFonts w:eastAsia="Times New Roman"/>
          <w:rtl/>
          <w:lang w:eastAsia="de-DE"/>
        </w:rPr>
        <w:t xml:space="preserve"> </w:t>
      </w:r>
      <w:r w:rsidRPr="00B33854">
        <w:rPr>
          <w:rFonts w:eastAsia="Times New Roman"/>
          <w:lang w:eastAsia="de-DE"/>
        </w:rPr>
        <w:t xml:space="preserve">(„wohnen, bleiben") – hier mit imperativischer Bedeutung („sie sollen bleiben"). </w:t>
      </w:r>
      <w:r w:rsidRPr="00B33854">
        <w:rPr>
          <w:rFonts w:eastAsia="Times New Roman"/>
          <w:b/>
          <w:bCs/>
          <w:rtl/>
          <w:lang w:eastAsia="de-DE"/>
        </w:rPr>
        <w:t>בְּעָרֵיכֶם</w:t>
      </w:r>
      <w:r w:rsidRPr="00B33854">
        <w:rPr>
          <w:rFonts w:eastAsia="Times New Roman"/>
          <w:rtl/>
          <w:lang w:eastAsia="de-DE"/>
        </w:rPr>
        <w:t xml:space="preserve"> </w:t>
      </w:r>
      <w:r w:rsidRPr="00B33854">
        <w:rPr>
          <w:rFonts w:eastAsia="Times New Roman"/>
          <w:lang w:eastAsia="de-DE"/>
        </w:rPr>
        <w:t xml:space="preserve">ist </w:t>
      </w:r>
      <w:r w:rsidRPr="00B33854">
        <w:rPr>
          <w:rFonts w:eastAsia="Times New Roman"/>
          <w:b/>
          <w:bCs/>
          <w:rtl/>
          <w:lang w:eastAsia="de-DE"/>
        </w:rPr>
        <w:t>בְּ</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עָרִים</w:t>
      </w:r>
      <w:r w:rsidRPr="00B33854">
        <w:rPr>
          <w:rFonts w:eastAsia="Times New Roman"/>
          <w:rtl/>
          <w:lang w:eastAsia="de-DE"/>
        </w:rPr>
        <w:t xml:space="preserve"> </w:t>
      </w:r>
      <w:r w:rsidRPr="00B33854">
        <w:rPr>
          <w:rFonts w:eastAsia="Times New Roman"/>
          <w:lang w:eastAsia="de-DE"/>
        </w:rPr>
        <w:t xml:space="preserve">(Plural von </w:t>
      </w:r>
      <w:r w:rsidRPr="00B33854">
        <w:rPr>
          <w:rFonts w:eastAsia="Times New Roman"/>
          <w:b/>
          <w:bCs/>
          <w:rtl/>
          <w:lang w:eastAsia="de-DE"/>
        </w:rPr>
        <w:t>עִיר</w:t>
      </w:r>
      <w:r w:rsidRPr="00B33854">
        <w:rPr>
          <w:rFonts w:eastAsia="Times New Roman"/>
          <w:lang w:eastAsia="de-DE"/>
        </w:rPr>
        <w:t xml:space="preserve">) und </w:t>
      </w:r>
      <w:r w:rsidRPr="00B33854">
        <w:rPr>
          <w:rFonts w:eastAsia="Times New Roman"/>
          <w:lang w:eastAsia="de-DE"/>
        </w:rPr>
        <w:lastRenderedPageBreak/>
        <w:t xml:space="preserve">Suffix 2. Person Plural maskulin. </w:t>
      </w:r>
      <w:r w:rsidRPr="00B33854">
        <w:rPr>
          <w:rFonts w:eastAsia="Times New Roman"/>
          <w:b/>
          <w:bCs/>
          <w:rtl/>
          <w:lang w:eastAsia="de-DE"/>
        </w:rPr>
        <w:t>אֲשֶׁר נָתַתִּי לָכֶם</w:t>
      </w:r>
      <w:r w:rsidRPr="00B33854">
        <w:rPr>
          <w:rFonts w:eastAsia="Times New Roman"/>
          <w:rtl/>
          <w:lang w:eastAsia="de-DE"/>
        </w:rPr>
        <w:t xml:space="preserve"> </w:t>
      </w:r>
      <w:r w:rsidRPr="00B33854">
        <w:rPr>
          <w:rFonts w:eastAsia="Times New Roman"/>
          <w:lang w:eastAsia="de-DE"/>
        </w:rPr>
        <w:t xml:space="preserve">ist ein Relativsatz: </w:t>
      </w:r>
      <w:r w:rsidRPr="00B33854">
        <w:rPr>
          <w:rFonts w:eastAsia="Times New Roman"/>
          <w:b/>
          <w:bCs/>
          <w:rtl/>
          <w:lang w:eastAsia="de-DE"/>
        </w:rPr>
        <w:t>אֲשֶׁר</w:t>
      </w:r>
      <w:r w:rsidRPr="00B33854">
        <w:rPr>
          <w:rFonts w:eastAsia="Times New Roman"/>
          <w:rtl/>
          <w:lang w:eastAsia="de-DE"/>
        </w:rPr>
        <w:t xml:space="preserve"> </w:t>
      </w:r>
      <w:r w:rsidRPr="00B33854">
        <w:rPr>
          <w:rFonts w:eastAsia="Times New Roman"/>
          <w:lang w:eastAsia="de-DE"/>
        </w:rPr>
        <w:t xml:space="preserve">als Relativpronomen, </w:t>
      </w:r>
      <w:r w:rsidRPr="00B33854">
        <w:rPr>
          <w:rFonts w:eastAsia="Times New Roman"/>
          <w:b/>
          <w:bCs/>
          <w:rtl/>
          <w:lang w:eastAsia="de-DE"/>
        </w:rPr>
        <w:t>נָתַתִּי</w:t>
      </w:r>
      <w:r w:rsidRPr="00B33854">
        <w:rPr>
          <w:rFonts w:eastAsia="Times New Roman"/>
          <w:rtl/>
          <w:lang w:eastAsia="de-DE"/>
        </w:rPr>
        <w:t xml:space="preserve"> </w:t>
      </w:r>
      <w:r w:rsidRPr="00B33854">
        <w:rPr>
          <w:rFonts w:eastAsia="Times New Roman"/>
          <w:lang w:eastAsia="de-DE"/>
        </w:rPr>
        <w:t xml:space="preserve">als Qal Perfekt, 1. Person Singular von </w:t>
      </w:r>
      <w:r w:rsidRPr="00B33854">
        <w:rPr>
          <w:rFonts w:eastAsia="Times New Roman"/>
          <w:b/>
          <w:bCs/>
          <w:rtl/>
          <w:lang w:eastAsia="de-DE"/>
        </w:rPr>
        <w:t>נתן</w:t>
      </w:r>
      <w:r w:rsidRPr="00B33854">
        <w:rPr>
          <w:rFonts w:eastAsia="Times New Roman"/>
          <w:lang w:eastAsia="de-DE"/>
        </w:rPr>
        <w:t xml:space="preserve">, </w:t>
      </w:r>
      <w:r w:rsidRPr="00B33854">
        <w:rPr>
          <w:rFonts w:eastAsia="Times New Roman"/>
          <w:b/>
          <w:bCs/>
          <w:rtl/>
          <w:lang w:eastAsia="de-DE"/>
        </w:rPr>
        <w:t>לָכֶם</w:t>
      </w:r>
      <w:r w:rsidRPr="00B33854">
        <w:rPr>
          <w:rFonts w:eastAsia="Times New Roman"/>
          <w:rtl/>
          <w:lang w:eastAsia="de-DE"/>
        </w:rPr>
        <w:t xml:space="preserve"> </w:t>
      </w:r>
      <w:r w:rsidRPr="00B33854">
        <w:rPr>
          <w:rFonts w:eastAsia="Times New Roman"/>
          <w:lang w:eastAsia="de-DE"/>
        </w:rPr>
        <w:t>als indirektes Objekt.</w:t>
      </w:r>
    </w:p>
    <w:p w14:paraId="7FBE9237"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Die Satzstruktur besteht aus einem Hauptsatz mit restriktiver Partikel, dreigliedriger Subjektaufzählung, einem parenthetischen Einschub (Hauptsatz mit Objektsatz als Begründung), dem Hauptverb mit Ortsangabe und einem attributiven Relativsatz. Die Parenthese unterbricht die syntaktische Struktur, um die Erwähnung des Viehs zu erklären.</w:t>
      </w:r>
    </w:p>
    <w:p w14:paraId="4CFC4E54"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Der Vers macht eine Ausnahme von der Mobilisierungspflicht: Frauen, Kinder und das zahlreiche Vieh sollen in den bereits zugewiesenen Städten bleiben.</w:t>
      </w:r>
    </w:p>
    <w:p w14:paraId="0655BA38"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3,20</w:t>
      </w:r>
    </w:p>
    <w:p w14:paraId="21D5B7AF"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עַ֠ד אֲשֶׁר־יָנִ֨יחַ יְהוָ֥ה׀ לַֽאֲחֵיכֶם֮ כָּכֶם֒ וְיָרְשׁ֣וּ גַם־הֵ֔ם אֶת־הָאָ֕רֶץ אֲשֶׁ֨ר יְהוָ֧ה אֱלֹהֵיכֶ֛ם נֹתֵ֥ן לָהֶ֖ם בְּעֵ֣בֶר הַיַּרְדֵּ֑ן וְשַׁבְתֶּ֗ם אִ֚ישׁ לִֽירֻשָּׁתוֹ֔ אֲשֶׁ֥ר נָתַ֖תִּי לָכֶֽם׃</w:t>
      </w:r>
    </w:p>
    <w:p w14:paraId="1EF4770A"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bis der Ewige euren Brüdern Ruhe gibt wie euch, und auch sie das Land in Besitz nehmen, das der Ewige, euer Gott, ihnen jenseits des Jardens gibt; dann sollt ihr zurückkehren, jeder zu seinem Besitz, den ich euch gegeben habe.</w:t>
      </w:r>
    </w:p>
    <w:p w14:paraId="23877288"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18F0071F">
          <v:rect id="_x0000_i1127" style="width:0;height:1.5pt" o:hralign="center" o:hrstd="t" o:hr="t" fillcolor="#a0a0a0" stroked="f"/>
        </w:pict>
      </w:r>
    </w:p>
    <w:p w14:paraId="1E419237"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עַד אֲשֶׁר</w:t>
      </w:r>
      <w:r w:rsidRPr="00B33854">
        <w:rPr>
          <w:rFonts w:eastAsia="Times New Roman"/>
          <w:rtl/>
          <w:lang w:eastAsia="de-DE"/>
        </w:rPr>
        <w:t xml:space="preserve"> </w:t>
      </w:r>
      <w:r w:rsidRPr="00B33854">
        <w:rPr>
          <w:rFonts w:eastAsia="Times New Roman"/>
          <w:lang w:eastAsia="de-DE"/>
        </w:rPr>
        <w:t xml:space="preserve">ist eine temporale Konjunktion („bis dass"). </w:t>
      </w:r>
      <w:r w:rsidRPr="00B33854">
        <w:rPr>
          <w:rFonts w:eastAsia="Times New Roman"/>
          <w:b/>
          <w:bCs/>
          <w:rtl/>
          <w:lang w:eastAsia="de-DE"/>
        </w:rPr>
        <w:t>יָנִיחַ</w:t>
      </w:r>
      <w:r w:rsidRPr="00B33854">
        <w:rPr>
          <w:rFonts w:eastAsia="Times New Roman"/>
          <w:rtl/>
          <w:lang w:eastAsia="de-DE"/>
        </w:rPr>
        <w:t xml:space="preserve"> </w:t>
      </w:r>
      <w:r w:rsidRPr="00B33854">
        <w:rPr>
          <w:rFonts w:eastAsia="Times New Roman"/>
          <w:lang w:eastAsia="de-DE"/>
        </w:rPr>
        <w:t xml:space="preserve">ist Hifil Imperfekt, 3. Person Singular maskulin von </w:t>
      </w:r>
      <w:r w:rsidRPr="00B33854">
        <w:rPr>
          <w:rFonts w:eastAsia="Times New Roman"/>
          <w:b/>
          <w:bCs/>
          <w:rtl/>
          <w:lang w:eastAsia="de-DE"/>
        </w:rPr>
        <w:t>נוח</w:t>
      </w:r>
      <w:r w:rsidRPr="00B33854">
        <w:rPr>
          <w:rFonts w:eastAsia="Times New Roman"/>
          <w:rtl/>
          <w:lang w:eastAsia="de-DE"/>
        </w:rPr>
        <w:t xml:space="preserve"> </w:t>
      </w:r>
      <w:r w:rsidRPr="00B33854">
        <w:rPr>
          <w:rFonts w:eastAsia="Times New Roman"/>
          <w:lang w:eastAsia="de-DE"/>
        </w:rPr>
        <w:t xml:space="preserve">(„Ruhe geben, zur Ruhe bringen"). </w:t>
      </w:r>
      <w:r w:rsidRPr="00B33854">
        <w:rPr>
          <w:rFonts w:eastAsia="Times New Roman"/>
          <w:b/>
          <w:bCs/>
          <w:rtl/>
          <w:lang w:eastAsia="de-DE"/>
        </w:rPr>
        <w:t>יְהוָה</w:t>
      </w:r>
      <w:r w:rsidRPr="00B33854">
        <w:rPr>
          <w:rFonts w:eastAsia="Times New Roman"/>
          <w:rtl/>
          <w:lang w:eastAsia="de-DE"/>
        </w:rPr>
        <w:t xml:space="preserve"> </w:t>
      </w:r>
      <w:r w:rsidRPr="00B33854">
        <w:rPr>
          <w:rFonts w:eastAsia="Times New Roman"/>
          <w:lang w:eastAsia="de-DE"/>
        </w:rPr>
        <w:t xml:space="preserve">ist das Subjekt. </w:t>
      </w:r>
      <w:r w:rsidRPr="00B33854">
        <w:rPr>
          <w:rFonts w:eastAsia="Times New Roman"/>
          <w:b/>
          <w:bCs/>
          <w:rtl/>
          <w:lang w:eastAsia="de-DE"/>
        </w:rPr>
        <w:t>לַאֲחֵיכֶם</w:t>
      </w:r>
      <w:r w:rsidRPr="00B33854">
        <w:rPr>
          <w:rFonts w:eastAsia="Times New Roman"/>
          <w:rtl/>
          <w:lang w:eastAsia="de-DE"/>
        </w:rPr>
        <w:t xml:space="preserve"> </w:t>
      </w:r>
      <w:r w:rsidRPr="00B33854">
        <w:rPr>
          <w:rFonts w:eastAsia="Times New Roman"/>
          <w:lang w:eastAsia="de-DE"/>
        </w:rPr>
        <w:t xml:space="preserve">ist Präposition </w:t>
      </w:r>
      <w:r w:rsidRPr="00B33854">
        <w:rPr>
          <w:rFonts w:eastAsia="Times New Roman"/>
          <w:b/>
          <w:bCs/>
          <w:rtl/>
          <w:lang w:eastAsia="de-DE"/>
        </w:rPr>
        <w:t>לְ</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אֲחֵיכֶם</w:t>
      </w:r>
      <w:r w:rsidRPr="00B33854">
        <w:rPr>
          <w:rFonts w:eastAsia="Times New Roman"/>
          <w:rtl/>
          <w:lang w:eastAsia="de-DE"/>
        </w:rPr>
        <w:t xml:space="preserve"> </w:t>
      </w:r>
      <w:r w:rsidRPr="00B33854">
        <w:rPr>
          <w:rFonts w:eastAsia="Times New Roman"/>
          <w:lang w:eastAsia="de-DE"/>
        </w:rPr>
        <w:t xml:space="preserve">(„eure Brüder", Plural mit Suffix 2. Person Plural maskulin). </w:t>
      </w:r>
      <w:r w:rsidRPr="00B33854">
        <w:rPr>
          <w:rFonts w:eastAsia="Times New Roman"/>
          <w:b/>
          <w:bCs/>
          <w:rtl/>
          <w:lang w:eastAsia="de-DE"/>
        </w:rPr>
        <w:t>כָּכֶם</w:t>
      </w:r>
      <w:r w:rsidRPr="00B33854">
        <w:rPr>
          <w:rFonts w:eastAsia="Times New Roman"/>
          <w:rtl/>
          <w:lang w:eastAsia="de-DE"/>
        </w:rPr>
        <w:t xml:space="preserve"> </w:t>
      </w:r>
      <w:r w:rsidRPr="00B33854">
        <w:rPr>
          <w:rFonts w:eastAsia="Times New Roman"/>
          <w:lang w:eastAsia="de-DE"/>
        </w:rPr>
        <w:t xml:space="preserve">ist Präposition </w:t>
      </w:r>
      <w:r w:rsidRPr="00B33854">
        <w:rPr>
          <w:rFonts w:eastAsia="Times New Roman"/>
          <w:b/>
          <w:bCs/>
          <w:rtl/>
          <w:lang w:eastAsia="de-DE"/>
        </w:rPr>
        <w:t>כְּ</w:t>
      </w:r>
      <w:r w:rsidRPr="00B33854">
        <w:rPr>
          <w:rFonts w:eastAsia="Times New Roman"/>
          <w:rtl/>
          <w:lang w:eastAsia="de-DE"/>
        </w:rPr>
        <w:t xml:space="preserve"> </w:t>
      </w:r>
      <w:r w:rsidRPr="00B33854">
        <w:rPr>
          <w:rFonts w:eastAsia="Times New Roman"/>
          <w:lang w:eastAsia="de-DE"/>
        </w:rPr>
        <w:t>mit Suffix 2. Person Plural maskulin („wie euch").</w:t>
      </w:r>
    </w:p>
    <w:p w14:paraId="54931468"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וְיָרְשׁוּ</w:t>
      </w:r>
      <w:r w:rsidRPr="00B33854">
        <w:rPr>
          <w:rFonts w:eastAsia="Times New Roman"/>
          <w:rtl/>
          <w:lang w:eastAsia="de-DE"/>
        </w:rPr>
        <w:t xml:space="preserve"> </w:t>
      </w:r>
      <w:r w:rsidRPr="00B33854">
        <w:rPr>
          <w:rFonts w:eastAsia="Times New Roman"/>
          <w:lang w:eastAsia="de-DE"/>
        </w:rPr>
        <w:t xml:space="preserve">ist Qal Perfekt consecutivum, 3. Person Plural maskulin von </w:t>
      </w:r>
      <w:r w:rsidRPr="00B33854">
        <w:rPr>
          <w:rFonts w:eastAsia="Times New Roman"/>
          <w:b/>
          <w:bCs/>
          <w:rtl/>
          <w:lang w:eastAsia="de-DE"/>
        </w:rPr>
        <w:t>ירשׁ</w:t>
      </w:r>
      <w:r w:rsidRPr="00B33854">
        <w:rPr>
          <w:rFonts w:eastAsia="Times New Roman"/>
          <w:rtl/>
          <w:lang w:eastAsia="de-DE"/>
        </w:rPr>
        <w:t xml:space="preserve"> </w:t>
      </w:r>
      <w:r w:rsidRPr="00B33854">
        <w:rPr>
          <w:rFonts w:eastAsia="Times New Roman"/>
          <w:lang w:eastAsia="de-DE"/>
        </w:rPr>
        <w:t xml:space="preserve">(„in Besitz nehmen") mit Waw – hier konsekutiv zum vorherigen Verb. </w:t>
      </w:r>
      <w:r w:rsidRPr="00B33854">
        <w:rPr>
          <w:rFonts w:eastAsia="Times New Roman"/>
          <w:b/>
          <w:bCs/>
          <w:rtl/>
          <w:lang w:eastAsia="de-DE"/>
        </w:rPr>
        <w:t>גַם־הֵם</w:t>
      </w:r>
      <w:r w:rsidRPr="00B33854">
        <w:rPr>
          <w:rFonts w:eastAsia="Times New Roman"/>
          <w:rtl/>
          <w:lang w:eastAsia="de-DE"/>
        </w:rPr>
        <w:t xml:space="preserve"> </w:t>
      </w:r>
      <w:r w:rsidRPr="00B33854">
        <w:rPr>
          <w:rFonts w:eastAsia="Times New Roman"/>
          <w:lang w:eastAsia="de-DE"/>
        </w:rPr>
        <w:t xml:space="preserve">ist die emphatische Partikel </w:t>
      </w:r>
      <w:r w:rsidRPr="00B33854">
        <w:rPr>
          <w:rFonts w:eastAsia="Times New Roman"/>
          <w:b/>
          <w:bCs/>
          <w:rtl/>
          <w:lang w:eastAsia="de-DE"/>
        </w:rPr>
        <w:t>גַם</w:t>
      </w:r>
      <w:r w:rsidRPr="00B33854">
        <w:rPr>
          <w:rFonts w:eastAsia="Times New Roman"/>
          <w:rtl/>
          <w:lang w:eastAsia="de-DE"/>
        </w:rPr>
        <w:t xml:space="preserve"> </w:t>
      </w:r>
      <w:r w:rsidRPr="00B33854">
        <w:rPr>
          <w:rFonts w:eastAsia="Times New Roman"/>
          <w:lang w:eastAsia="de-DE"/>
        </w:rPr>
        <w:t xml:space="preserve">(„auch") mit Pronomen </w:t>
      </w:r>
      <w:r w:rsidRPr="00B33854">
        <w:rPr>
          <w:rFonts w:eastAsia="Times New Roman"/>
          <w:b/>
          <w:bCs/>
          <w:rtl/>
          <w:lang w:eastAsia="de-DE"/>
        </w:rPr>
        <w:t>הֵם</w:t>
      </w:r>
      <w:r w:rsidRPr="00B33854">
        <w:rPr>
          <w:rFonts w:eastAsia="Times New Roman"/>
          <w:rtl/>
          <w:lang w:eastAsia="de-DE"/>
        </w:rPr>
        <w:t xml:space="preserve"> </w:t>
      </w:r>
      <w:r w:rsidRPr="00B33854">
        <w:rPr>
          <w:rFonts w:eastAsia="Times New Roman"/>
          <w:lang w:eastAsia="de-DE"/>
        </w:rPr>
        <w:t xml:space="preserve">(„sie"). </w:t>
      </w:r>
      <w:r w:rsidRPr="00B33854">
        <w:rPr>
          <w:rFonts w:eastAsia="Times New Roman"/>
          <w:b/>
          <w:bCs/>
          <w:rtl/>
          <w:lang w:eastAsia="de-DE"/>
        </w:rPr>
        <w:t>אֶת־הָאָרֶץ</w:t>
      </w:r>
      <w:r w:rsidRPr="00B33854">
        <w:rPr>
          <w:rFonts w:eastAsia="Times New Roman"/>
          <w:rtl/>
          <w:lang w:eastAsia="de-DE"/>
        </w:rPr>
        <w:t xml:space="preserve"> </w:t>
      </w:r>
      <w:r w:rsidRPr="00B33854">
        <w:rPr>
          <w:rFonts w:eastAsia="Times New Roman"/>
          <w:lang w:eastAsia="de-DE"/>
        </w:rPr>
        <w:t xml:space="preserve">ist nota accusativi mit </w:t>
      </w:r>
      <w:r w:rsidRPr="00B33854">
        <w:rPr>
          <w:rFonts w:eastAsia="Times New Roman"/>
          <w:b/>
          <w:bCs/>
          <w:rtl/>
          <w:lang w:eastAsia="de-DE"/>
        </w:rPr>
        <w:t>הָאָרֶץ</w:t>
      </w:r>
      <w:r w:rsidRPr="00B33854">
        <w:rPr>
          <w:rFonts w:eastAsia="Times New Roman"/>
          <w:lang w:eastAsia="de-DE"/>
        </w:rPr>
        <w:t xml:space="preserve">. </w:t>
      </w:r>
      <w:r w:rsidRPr="00B33854">
        <w:rPr>
          <w:rFonts w:eastAsia="Times New Roman"/>
          <w:b/>
          <w:bCs/>
          <w:rtl/>
          <w:lang w:eastAsia="de-DE"/>
        </w:rPr>
        <w:t>אֲשֶׁר יְהוָה אֱלֹהֵיכֶם נֹתֵן לָהֶם בְּעֵבֶר הַיַּרְדֵּן</w:t>
      </w:r>
      <w:r w:rsidRPr="00B33854">
        <w:rPr>
          <w:rFonts w:eastAsia="Times New Roman"/>
          <w:rtl/>
          <w:lang w:eastAsia="de-DE"/>
        </w:rPr>
        <w:t xml:space="preserve"> </w:t>
      </w:r>
      <w:r w:rsidRPr="00B33854">
        <w:rPr>
          <w:rFonts w:eastAsia="Times New Roman"/>
          <w:lang w:eastAsia="de-DE"/>
        </w:rPr>
        <w:t xml:space="preserve">ist ein Relativsatz: </w:t>
      </w:r>
      <w:r w:rsidRPr="00B33854">
        <w:rPr>
          <w:rFonts w:eastAsia="Times New Roman"/>
          <w:b/>
          <w:bCs/>
          <w:rtl/>
          <w:lang w:eastAsia="de-DE"/>
        </w:rPr>
        <w:t>אֲשֶׁר</w:t>
      </w:r>
      <w:r w:rsidRPr="00B33854">
        <w:rPr>
          <w:rFonts w:eastAsia="Times New Roman"/>
          <w:rtl/>
          <w:lang w:eastAsia="de-DE"/>
        </w:rPr>
        <w:t xml:space="preserve"> </w:t>
      </w:r>
      <w:r w:rsidRPr="00B33854">
        <w:rPr>
          <w:rFonts w:eastAsia="Times New Roman"/>
          <w:lang w:eastAsia="de-DE"/>
        </w:rPr>
        <w:t xml:space="preserve">als Relativpronomen, </w:t>
      </w:r>
      <w:r w:rsidRPr="00B33854">
        <w:rPr>
          <w:rFonts w:eastAsia="Times New Roman"/>
          <w:b/>
          <w:bCs/>
          <w:rtl/>
          <w:lang w:eastAsia="de-DE"/>
        </w:rPr>
        <w:t>יְהוָה אֱלֹהֵיכֶם</w:t>
      </w:r>
      <w:r w:rsidRPr="00B33854">
        <w:rPr>
          <w:rFonts w:eastAsia="Times New Roman"/>
          <w:rtl/>
          <w:lang w:eastAsia="de-DE"/>
        </w:rPr>
        <w:t xml:space="preserve"> </w:t>
      </w:r>
      <w:r w:rsidRPr="00B33854">
        <w:rPr>
          <w:rFonts w:eastAsia="Times New Roman"/>
          <w:lang w:eastAsia="de-DE"/>
        </w:rPr>
        <w:t xml:space="preserve">als erweitertes Subjekt, </w:t>
      </w:r>
      <w:r w:rsidRPr="00B33854">
        <w:rPr>
          <w:rFonts w:eastAsia="Times New Roman"/>
          <w:b/>
          <w:bCs/>
          <w:rtl/>
          <w:lang w:eastAsia="de-DE"/>
        </w:rPr>
        <w:t>נֹתֵן</w:t>
      </w:r>
      <w:r w:rsidRPr="00B33854">
        <w:rPr>
          <w:rFonts w:eastAsia="Times New Roman"/>
          <w:rtl/>
          <w:lang w:eastAsia="de-DE"/>
        </w:rPr>
        <w:t xml:space="preserve"> </w:t>
      </w:r>
      <w:r w:rsidRPr="00B33854">
        <w:rPr>
          <w:rFonts w:eastAsia="Times New Roman"/>
          <w:lang w:eastAsia="de-DE"/>
        </w:rPr>
        <w:t xml:space="preserve">als Qal Partizip Singular maskulin von </w:t>
      </w:r>
      <w:r w:rsidRPr="00B33854">
        <w:rPr>
          <w:rFonts w:eastAsia="Times New Roman"/>
          <w:b/>
          <w:bCs/>
          <w:rtl/>
          <w:lang w:eastAsia="de-DE"/>
        </w:rPr>
        <w:t>נתן</w:t>
      </w:r>
      <w:r w:rsidRPr="00B33854">
        <w:rPr>
          <w:rFonts w:eastAsia="Times New Roman"/>
          <w:rtl/>
          <w:lang w:eastAsia="de-DE"/>
        </w:rPr>
        <w:t xml:space="preserve"> </w:t>
      </w:r>
      <w:r w:rsidRPr="00B33854">
        <w:rPr>
          <w:rFonts w:eastAsia="Times New Roman"/>
          <w:lang w:eastAsia="de-DE"/>
        </w:rPr>
        <w:t xml:space="preserve">(„gebend", präsentischer Aspekt), </w:t>
      </w:r>
      <w:r w:rsidRPr="00B33854">
        <w:rPr>
          <w:rFonts w:eastAsia="Times New Roman"/>
          <w:b/>
          <w:bCs/>
          <w:rtl/>
          <w:lang w:eastAsia="de-DE"/>
        </w:rPr>
        <w:t>לָהֶם</w:t>
      </w:r>
      <w:r w:rsidRPr="00B33854">
        <w:rPr>
          <w:rFonts w:eastAsia="Times New Roman"/>
          <w:rtl/>
          <w:lang w:eastAsia="de-DE"/>
        </w:rPr>
        <w:t xml:space="preserve"> </w:t>
      </w:r>
      <w:r w:rsidRPr="00B33854">
        <w:rPr>
          <w:rFonts w:eastAsia="Times New Roman"/>
          <w:lang w:eastAsia="de-DE"/>
        </w:rPr>
        <w:t xml:space="preserve">als indirektes Objekt, </w:t>
      </w:r>
      <w:r w:rsidRPr="00B33854">
        <w:rPr>
          <w:rFonts w:eastAsia="Times New Roman"/>
          <w:b/>
          <w:bCs/>
          <w:rtl/>
          <w:lang w:eastAsia="de-DE"/>
        </w:rPr>
        <w:t>בְּעֵבֶר הַיַּרְדֵּן</w:t>
      </w:r>
      <w:r w:rsidRPr="00B33854">
        <w:rPr>
          <w:rFonts w:eastAsia="Times New Roman"/>
          <w:rtl/>
          <w:lang w:eastAsia="de-DE"/>
        </w:rPr>
        <w:t xml:space="preserve"> </w:t>
      </w:r>
      <w:r w:rsidRPr="00B33854">
        <w:rPr>
          <w:rFonts w:eastAsia="Times New Roman"/>
          <w:lang w:eastAsia="de-DE"/>
        </w:rPr>
        <w:t xml:space="preserve">als Ortsangabe mit </w:t>
      </w:r>
      <w:r w:rsidRPr="00B33854">
        <w:rPr>
          <w:rFonts w:eastAsia="Times New Roman"/>
          <w:b/>
          <w:bCs/>
          <w:rtl/>
          <w:lang w:eastAsia="de-DE"/>
        </w:rPr>
        <w:t>בְּ</w:t>
      </w:r>
      <w:r w:rsidRPr="00B33854">
        <w:rPr>
          <w:rFonts w:eastAsia="Times New Roman"/>
          <w:rtl/>
          <w:lang w:eastAsia="de-DE"/>
        </w:rPr>
        <w:t xml:space="preserve"> </w:t>
      </w:r>
      <w:r w:rsidRPr="00B33854">
        <w:rPr>
          <w:rFonts w:eastAsia="Times New Roman"/>
          <w:lang w:eastAsia="de-DE"/>
        </w:rPr>
        <w:t xml:space="preserve">und </w:t>
      </w:r>
      <w:r w:rsidRPr="00B33854">
        <w:rPr>
          <w:rFonts w:eastAsia="Times New Roman"/>
          <w:b/>
          <w:bCs/>
          <w:rtl/>
          <w:lang w:eastAsia="de-DE"/>
        </w:rPr>
        <w:t>עֵבֶר</w:t>
      </w:r>
      <w:r w:rsidRPr="00B33854">
        <w:rPr>
          <w:rFonts w:eastAsia="Times New Roman"/>
          <w:rtl/>
          <w:lang w:eastAsia="de-DE"/>
        </w:rPr>
        <w:t xml:space="preserve"> </w:t>
      </w:r>
      <w:r w:rsidRPr="00B33854">
        <w:rPr>
          <w:rFonts w:eastAsia="Times New Roman"/>
          <w:lang w:eastAsia="de-DE"/>
        </w:rPr>
        <w:t xml:space="preserve">im Construct mit </w:t>
      </w:r>
      <w:r w:rsidRPr="00B33854">
        <w:rPr>
          <w:rFonts w:eastAsia="Times New Roman"/>
          <w:b/>
          <w:bCs/>
          <w:rtl/>
          <w:lang w:eastAsia="de-DE"/>
        </w:rPr>
        <w:t>הַיַּרְדֵּן</w:t>
      </w:r>
      <w:r w:rsidRPr="00B33854">
        <w:rPr>
          <w:rFonts w:eastAsia="Times New Roman"/>
          <w:lang w:eastAsia="de-DE"/>
        </w:rPr>
        <w:t>.</w:t>
      </w:r>
    </w:p>
    <w:p w14:paraId="2982BE1D"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וְשַׁבְתֶּם</w:t>
      </w:r>
      <w:r w:rsidRPr="00B33854">
        <w:rPr>
          <w:rFonts w:eastAsia="Times New Roman"/>
          <w:rtl/>
          <w:lang w:eastAsia="de-DE"/>
        </w:rPr>
        <w:t xml:space="preserve"> </w:t>
      </w:r>
      <w:r w:rsidRPr="00B33854">
        <w:rPr>
          <w:rFonts w:eastAsia="Times New Roman"/>
          <w:lang w:eastAsia="de-DE"/>
        </w:rPr>
        <w:t xml:space="preserve">ist Qal Perfekt consecutivum, 2. Person Plural maskulin von </w:t>
      </w:r>
      <w:r w:rsidRPr="00B33854">
        <w:rPr>
          <w:rFonts w:eastAsia="Times New Roman"/>
          <w:b/>
          <w:bCs/>
          <w:rtl/>
          <w:lang w:eastAsia="de-DE"/>
        </w:rPr>
        <w:t>שׁוב</w:t>
      </w:r>
      <w:r w:rsidRPr="00B33854">
        <w:rPr>
          <w:rFonts w:eastAsia="Times New Roman"/>
          <w:rtl/>
          <w:lang w:eastAsia="de-DE"/>
        </w:rPr>
        <w:t xml:space="preserve"> </w:t>
      </w:r>
      <w:r w:rsidRPr="00B33854">
        <w:rPr>
          <w:rFonts w:eastAsia="Times New Roman"/>
          <w:lang w:eastAsia="de-DE"/>
        </w:rPr>
        <w:t xml:space="preserve">(„zurückkehren") mit Waw. </w:t>
      </w:r>
      <w:r w:rsidRPr="00B33854">
        <w:rPr>
          <w:rFonts w:eastAsia="Times New Roman"/>
          <w:b/>
          <w:bCs/>
          <w:rtl/>
          <w:lang w:eastAsia="de-DE"/>
        </w:rPr>
        <w:t>אִישׁ לִירֻשָּׁתוֹ</w:t>
      </w:r>
      <w:r w:rsidRPr="00B33854">
        <w:rPr>
          <w:rFonts w:eastAsia="Times New Roman"/>
          <w:rtl/>
          <w:lang w:eastAsia="de-DE"/>
        </w:rPr>
        <w:t xml:space="preserve"> </w:t>
      </w:r>
      <w:r w:rsidRPr="00B33854">
        <w:rPr>
          <w:rFonts w:eastAsia="Times New Roman"/>
          <w:lang w:eastAsia="de-DE"/>
        </w:rPr>
        <w:t xml:space="preserve">ist eine distributive Konstruktion: </w:t>
      </w:r>
      <w:r w:rsidRPr="00B33854">
        <w:rPr>
          <w:rFonts w:eastAsia="Times New Roman"/>
          <w:b/>
          <w:bCs/>
          <w:rtl/>
          <w:lang w:eastAsia="de-DE"/>
        </w:rPr>
        <w:t>אִישׁ</w:t>
      </w:r>
      <w:r w:rsidRPr="00B33854">
        <w:rPr>
          <w:rFonts w:eastAsia="Times New Roman"/>
          <w:rtl/>
          <w:lang w:eastAsia="de-DE"/>
        </w:rPr>
        <w:t xml:space="preserve"> </w:t>
      </w:r>
      <w:r w:rsidRPr="00B33854">
        <w:rPr>
          <w:rFonts w:eastAsia="Times New Roman"/>
          <w:lang w:eastAsia="de-DE"/>
        </w:rPr>
        <w:t xml:space="preserve">(„jeder Mann, ein jeder") mit </w:t>
      </w:r>
      <w:r w:rsidRPr="00B33854">
        <w:rPr>
          <w:rFonts w:eastAsia="Times New Roman"/>
          <w:b/>
          <w:bCs/>
          <w:rtl/>
          <w:lang w:eastAsia="de-DE"/>
        </w:rPr>
        <w:t>לְ</w:t>
      </w:r>
      <w:r w:rsidRPr="00B33854">
        <w:rPr>
          <w:rFonts w:eastAsia="Times New Roman"/>
          <w:rtl/>
          <w:lang w:eastAsia="de-DE"/>
        </w:rPr>
        <w:t xml:space="preserve"> </w:t>
      </w:r>
      <w:r w:rsidRPr="00B33854">
        <w:rPr>
          <w:rFonts w:eastAsia="Times New Roman"/>
          <w:lang w:eastAsia="de-DE"/>
        </w:rPr>
        <w:t xml:space="preserve">und </w:t>
      </w:r>
      <w:r w:rsidRPr="00B33854">
        <w:rPr>
          <w:rFonts w:eastAsia="Times New Roman"/>
          <w:b/>
          <w:bCs/>
          <w:rtl/>
          <w:lang w:eastAsia="de-DE"/>
        </w:rPr>
        <w:t>יְרֻשָּׁה</w:t>
      </w:r>
      <w:r w:rsidRPr="00B33854">
        <w:rPr>
          <w:rFonts w:eastAsia="Times New Roman"/>
          <w:rtl/>
          <w:lang w:eastAsia="de-DE"/>
        </w:rPr>
        <w:t xml:space="preserve"> </w:t>
      </w:r>
      <w:r w:rsidRPr="00B33854">
        <w:rPr>
          <w:rFonts w:eastAsia="Times New Roman"/>
          <w:lang w:eastAsia="de-DE"/>
        </w:rPr>
        <w:t xml:space="preserve">(„Besitz, Erbbesitz") mit Suffix 3. Person Singular maskulin. </w:t>
      </w:r>
      <w:r w:rsidRPr="00B33854">
        <w:rPr>
          <w:rFonts w:eastAsia="Times New Roman"/>
          <w:b/>
          <w:bCs/>
          <w:rtl/>
          <w:lang w:eastAsia="de-DE"/>
        </w:rPr>
        <w:t>אֲשֶׁר נָתַתִּי לָכֶם</w:t>
      </w:r>
      <w:r w:rsidRPr="00B33854">
        <w:rPr>
          <w:rFonts w:eastAsia="Times New Roman"/>
          <w:rtl/>
          <w:lang w:eastAsia="de-DE"/>
        </w:rPr>
        <w:t xml:space="preserve"> </w:t>
      </w:r>
      <w:r w:rsidRPr="00B33854">
        <w:rPr>
          <w:rFonts w:eastAsia="Times New Roman"/>
          <w:lang w:eastAsia="de-DE"/>
        </w:rPr>
        <w:t xml:space="preserve">ist ein Relativsatz: </w:t>
      </w:r>
      <w:r w:rsidRPr="00B33854">
        <w:rPr>
          <w:rFonts w:eastAsia="Times New Roman"/>
          <w:b/>
          <w:bCs/>
          <w:rtl/>
          <w:lang w:eastAsia="de-DE"/>
        </w:rPr>
        <w:t>אֲשֶׁר</w:t>
      </w:r>
      <w:r w:rsidRPr="00B33854">
        <w:rPr>
          <w:rFonts w:eastAsia="Times New Roman"/>
          <w:lang w:eastAsia="de-DE"/>
        </w:rPr>
        <w:t xml:space="preserve">, </w:t>
      </w:r>
      <w:r w:rsidRPr="00B33854">
        <w:rPr>
          <w:rFonts w:eastAsia="Times New Roman"/>
          <w:b/>
          <w:bCs/>
          <w:rtl/>
          <w:lang w:eastAsia="de-DE"/>
        </w:rPr>
        <w:t>נָתַתִּי</w:t>
      </w:r>
      <w:r w:rsidRPr="00B33854">
        <w:rPr>
          <w:rFonts w:eastAsia="Times New Roman"/>
          <w:rtl/>
          <w:lang w:eastAsia="de-DE"/>
        </w:rPr>
        <w:t xml:space="preserve"> </w:t>
      </w:r>
      <w:r w:rsidRPr="00B33854">
        <w:rPr>
          <w:rFonts w:eastAsia="Times New Roman"/>
          <w:lang w:eastAsia="de-DE"/>
        </w:rPr>
        <w:t xml:space="preserve">(Qal Perfekt, 1. Person Singular von </w:t>
      </w:r>
      <w:r w:rsidRPr="00B33854">
        <w:rPr>
          <w:rFonts w:eastAsia="Times New Roman"/>
          <w:b/>
          <w:bCs/>
          <w:rtl/>
          <w:lang w:eastAsia="de-DE"/>
        </w:rPr>
        <w:t>נתן</w:t>
      </w:r>
      <w:r w:rsidRPr="00B33854">
        <w:rPr>
          <w:rFonts w:eastAsia="Times New Roman"/>
          <w:lang w:eastAsia="de-DE"/>
        </w:rPr>
        <w:t xml:space="preserve">), </w:t>
      </w:r>
      <w:r w:rsidRPr="00B33854">
        <w:rPr>
          <w:rFonts w:eastAsia="Times New Roman"/>
          <w:b/>
          <w:bCs/>
          <w:rtl/>
          <w:lang w:eastAsia="de-DE"/>
        </w:rPr>
        <w:t>לָכֶם</w:t>
      </w:r>
      <w:r w:rsidRPr="00B33854">
        <w:rPr>
          <w:rFonts w:eastAsia="Times New Roman"/>
          <w:rtl/>
          <w:lang w:eastAsia="de-DE"/>
        </w:rPr>
        <w:t xml:space="preserve"> </w:t>
      </w:r>
      <w:r w:rsidRPr="00B33854">
        <w:rPr>
          <w:rFonts w:eastAsia="Times New Roman"/>
          <w:lang w:eastAsia="de-DE"/>
        </w:rPr>
        <w:t>als indirektes Objekt.</w:t>
      </w:r>
    </w:p>
    <w:p w14:paraId="17C41A55"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Die Satzstruktur besteht aus einem temporalen Nebensatz mit zwei koordinierten Verben (das zweite konsekutiv), einem Relativsatz mit partizipialem Prädikat, und einem Hauptsatz mit distributiver Konstruktion und attributivem Relativsatz. Der temporale Nebensatz definiert die Bedingung für die Rückkehr, der Hauptsatz beschreibt die Rückkehr selbst.</w:t>
      </w:r>
    </w:p>
    <w:p w14:paraId="5932E068"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Der Vers definiert die zeitliche Begrenzung der Hilfspflicht: bis zur vollständigen Landnahme westlich des Jordans; dann dürfen die Oststämme zu ihrem eigenen Besitz zurückkehren.</w:t>
      </w:r>
    </w:p>
    <w:p w14:paraId="0FD7D219"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lastRenderedPageBreak/>
        <w:t>Deuteronomium 3,21</w:t>
      </w:r>
    </w:p>
    <w:p w14:paraId="65A3B42A"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וְאֶת־יְהוֹשׁ֣וּעַ צִוֵּ֔יתִי בָּעֵ֥ת הַהִ֖וא לֵאמֹ֑ר עֵינֶ֣יךָ הָרֹאֹ֗ת אֵת֩ כָּל־אֲשֶׁ֨ר עָשָׂ֜ה יְהוָ֤ה אֱלֹהֵיכֶם֙ לִשְׁנֵי֙ הַמְּלָכִ֣ים הָאֵ֔לֶּה כֵּֽן־יַעֲשֶׂ֤ה יְהוָה֙ לְכָל־הַמַּמְלָכ֔וֹת אֲשֶׁ֥ר אַתָּ֖ה עֹבֵ֥ר שָֽׁמָּה׃</w:t>
      </w:r>
    </w:p>
    <w:p w14:paraId="54439A1B"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Und dem Jehoschua gebot ich zu jener Zeit, sagend: Deine Augen sind sehend alles, was der Ewige, euer Gott, diesen zwei Königen getan hat; so wird der Ewige allen Königreichen tun, wohin du hinüberziehend bist.</w:t>
      </w:r>
    </w:p>
    <w:p w14:paraId="407BD866"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4B4DE3F6">
          <v:rect id="_x0000_i1128" style="width:0;height:1.5pt" o:hralign="center" o:hrstd="t" o:hr="t" fillcolor="#a0a0a0" stroked="f"/>
        </w:pict>
      </w:r>
    </w:p>
    <w:p w14:paraId="6A298BAE"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וְאֶת־יְהוֹשׁוּעַ</w:t>
      </w:r>
      <w:r w:rsidRPr="00B33854">
        <w:rPr>
          <w:rFonts w:eastAsia="Times New Roman"/>
          <w:rtl/>
          <w:lang w:eastAsia="de-DE"/>
        </w:rPr>
        <w:t xml:space="preserve"> </w:t>
      </w:r>
      <w:r w:rsidRPr="00B33854">
        <w:rPr>
          <w:rFonts w:eastAsia="Times New Roman"/>
          <w:lang w:eastAsia="de-DE"/>
        </w:rPr>
        <w:t xml:space="preserve">ist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 xml:space="preserve">mit nota accusativi und </w:t>
      </w:r>
      <w:r w:rsidRPr="00B33854">
        <w:rPr>
          <w:rFonts w:eastAsia="Times New Roman"/>
          <w:b/>
          <w:bCs/>
          <w:rtl/>
          <w:lang w:eastAsia="de-DE"/>
        </w:rPr>
        <w:t>יְהוֹשׁוּעַ</w:t>
      </w:r>
      <w:r w:rsidRPr="00B33854">
        <w:rPr>
          <w:rFonts w:eastAsia="Times New Roman"/>
          <w:rtl/>
          <w:lang w:eastAsia="de-DE"/>
        </w:rPr>
        <w:t xml:space="preserve"> </w:t>
      </w:r>
      <w:r w:rsidRPr="00B33854">
        <w:rPr>
          <w:rFonts w:eastAsia="Times New Roman"/>
          <w:lang w:eastAsia="de-DE"/>
        </w:rPr>
        <w:t xml:space="preserve">(Eigenname Josua). </w:t>
      </w:r>
      <w:r w:rsidRPr="00B33854">
        <w:rPr>
          <w:rFonts w:eastAsia="Times New Roman"/>
          <w:b/>
          <w:bCs/>
          <w:rtl/>
          <w:lang w:eastAsia="de-DE"/>
        </w:rPr>
        <w:t>צִוֵּיתִי</w:t>
      </w:r>
      <w:r w:rsidRPr="00B33854">
        <w:rPr>
          <w:rFonts w:eastAsia="Times New Roman"/>
          <w:rtl/>
          <w:lang w:eastAsia="de-DE"/>
        </w:rPr>
        <w:t xml:space="preserve"> </w:t>
      </w:r>
      <w:r w:rsidRPr="00B33854">
        <w:rPr>
          <w:rFonts w:eastAsia="Times New Roman"/>
          <w:lang w:eastAsia="de-DE"/>
        </w:rPr>
        <w:t xml:space="preserve">ist Piel Perfekt, 1. Person Singular von </w:t>
      </w:r>
      <w:r w:rsidRPr="00B33854">
        <w:rPr>
          <w:rFonts w:eastAsia="Times New Roman"/>
          <w:b/>
          <w:bCs/>
          <w:rtl/>
          <w:lang w:eastAsia="de-DE"/>
        </w:rPr>
        <w:t>צוה</w:t>
      </w:r>
      <w:r w:rsidRPr="00B33854">
        <w:rPr>
          <w:rFonts w:eastAsia="Times New Roman"/>
          <w:rtl/>
          <w:lang w:eastAsia="de-DE"/>
        </w:rPr>
        <w:t xml:space="preserve"> </w:t>
      </w:r>
      <w:r w:rsidRPr="00B33854">
        <w:rPr>
          <w:rFonts w:eastAsia="Times New Roman"/>
          <w:lang w:eastAsia="de-DE"/>
        </w:rPr>
        <w:t xml:space="preserve">(„befehlen, gebieten"). </w:t>
      </w:r>
      <w:r w:rsidRPr="00B33854">
        <w:rPr>
          <w:rFonts w:eastAsia="Times New Roman"/>
          <w:b/>
          <w:bCs/>
          <w:rtl/>
          <w:lang w:eastAsia="de-DE"/>
        </w:rPr>
        <w:t>בָּעֵת הַהִוא</w:t>
      </w:r>
      <w:r w:rsidRPr="00B33854">
        <w:rPr>
          <w:rFonts w:eastAsia="Times New Roman"/>
          <w:rtl/>
          <w:lang w:eastAsia="de-DE"/>
        </w:rPr>
        <w:t xml:space="preserve"> </w:t>
      </w:r>
      <w:r w:rsidRPr="00B33854">
        <w:rPr>
          <w:rFonts w:eastAsia="Times New Roman"/>
          <w:lang w:eastAsia="de-DE"/>
        </w:rPr>
        <w:t xml:space="preserve">ist die Zeitangabe. </w:t>
      </w:r>
      <w:r w:rsidRPr="00B33854">
        <w:rPr>
          <w:rFonts w:eastAsia="Times New Roman"/>
          <w:b/>
          <w:bCs/>
          <w:rtl/>
          <w:lang w:eastAsia="de-DE"/>
        </w:rPr>
        <w:t>לֵאמֹר</w:t>
      </w:r>
      <w:r w:rsidRPr="00B33854">
        <w:rPr>
          <w:rFonts w:eastAsia="Times New Roman"/>
          <w:rtl/>
          <w:lang w:eastAsia="de-DE"/>
        </w:rPr>
        <w:t xml:space="preserve"> </w:t>
      </w:r>
      <w:r w:rsidRPr="00B33854">
        <w:rPr>
          <w:rFonts w:eastAsia="Times New Roman"/>
          <w:lang w:eastAsia="de-DE"/>
        </w:rPr>
        <w:t>leitet die direkte Rede ein.</w:t>
      </w:r>
    </w:p>
    <w:p w14:paraId="56E08F1E"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עֵינֶיךָ הָרֹאֹת</w:t>
      </w:r>
      <w:r w:rsidRPr="00B33854">
        <w:rPr>
          <w:rFonts w:eastAsia="Times New Roman"/>
          <w:rtl/>
          <w:lang w:eastAsia="de-DE"/>
        </w:rPr>
        <w:t xml:space="preserve"> </w:t>
      </w:r>
      <w:r w:rsidRPr="00B33854">
        <w:rPr>
          <w:rFonts w:eastAsia="Times New Roman"/>
          <w:lang w:eastAsia="de-DE"/>
        </w:rPr>
        <w:t xml:space="preserve">ist ein nominaler Satz: </w:t>
      </w:r>
      <w:r w:rsidRPr="00B33854">
        <w:rPr>
          <w:rFonts w:eastAsia="Times New Roman"/>
          <w:b/>
          <w:bCs/>
          <w:rtl/>
          <w:lang w:eastAsia="de-DE"/>
        </w:rPr>
        <w:t>עֵינֶיךָ</w:t>
      </w:r>
      <w:r w:rsidRPr="00B33854">
        <w:rPr>
          <w:rFonts w:eastAsia="Times New Roman"/>
          <w:rtl/>
          <w:lang w:eastAsia="de-DE"/>
        </w:rPr>
        <w:t xml:space="preserve"> </w:t>
      </w:r>
      <w:r w:rsidRPr="00B33854">
        <w:rPr>
          <w:rFonts w:eastAsia="Times New Roman"/>
          <w:lang w:eastAsia="de-DE"/>
        </w:rPr>
        <w:t xml:space="preserve">(„deine Augen", Dual mit Suffix 2. Person Singular maskulin) als Subjekt, </w:t>
      </w:r>
      <w:r w:rsidRPr="00B33854">
        <w:rPr>
          <w:rFonts w:eastAsia="Times New Roman"/>
          <w:b/>
          <w:bCs/>
          <w:rtl/>
          <w:lang w:eastAsia="de-DE"/>
        </w:rPr>
        <w:t>הָרֹאֹת</w:t>
      </w:r>
      <w:r w:rsidRPr="00B33854">
        <w:rPr>
          <w:rFonts w:eastAsia="Times New Roman"/>
          <w:rtl/>
          <w:lang w:eastAsia="de-DE"/>
        </w:rPr>
        <w:t xml:space="preserve"> </w:t>
      </w:r>
      <w:r w:rsidRPr="00B33854">
        <w:rPr>
          <w:rFonts w:eastAsia="Times New Roman"/>
          <w:lang w:eastAsia="de-DE"/>
        </w:rPr>
        <w:t xml:space="preserve">(Qal Partizip Plural feminin von </w:t>
      </w:r>
      <w:r w:rsidRPr="00B33854">
        <w:rPr>
          <w:rFonts w:eastAsia="Times New Roman"/>
          <w:b/>
          <w:bCs/>
          <w:rtl/>
          <w:lang w:eastAsia="de-DE"/>
        </w:rPr>
        <w:t>ראה</w:t>
      </w:r>
      <w:r w:rsidRPr="00B33854">
        <w:rPr>
          <w:rFonts w:eastAsia="Times New Roman"/>
          <w:rtl/>
          <w:lang w:eastAsia="de-DE"/>
        </w:rPr>
        <w:t xml:space="preserve"> </w:t>
      </w:r>
      <w:r w:rsidRPr="00B33854">
        <w:rPr>
          <w:rFonts w:eastAsia="Times New Roman"/>
          <w:lang w:eastAsia="de-DE"/>
        </w:rPr>
        <w:t xml:space="preserve">mit Artikel) als Prädikat – „deine Augen sind die sehenden, deine Augen haben gesehen". </w:t>
      </w:r>
      <w:r w:rsidRPr="00B33854">
        <w:rPr>
          <w:rFonts w:eastAsia="Times New Roman"/>
          <w:b/>
          <w:bCs/>
          <w:rtl/>
          <w:lang w:eastAsia="de-DE"/>
        </w:rPr>
        <w:t>אֵת כָּל־אֲשֶׁר עָשָׂה יְהוָה אֱלֹהֵיכֶם</w:t>
      </w:r>
      <w:r w:rsidRPr="00B33854">
        <w:rPr>
          <w:rFonts w:eastAsia="Times New Roman"/>
          <w:rtl/>
          <w:lang w:eastAsia="de-DE"/>
        </w:rPr>
        <w:t xml:space="preserve"> </w:t>
      </w:r>
      <w:r w:rsidRPr="00B33854">
        <w:rPr>
          <w:rFonts w:eastAsia="Times New Roman"/>
          <w:lang w:eastAsia="de-DE"/>
        </w:rPr>
        <w:t xml:space="preserve">ist das Objekt: nota accusativi mit </w:t>
      </w:r>
      <w:r w:rsidRPr="00B33854">
        <w:rPr>
          <w:rFonts w:eastAsia="Times New Roman"/>
          <w:b/>
          <w:bCs/>
          <w:rtl/>
          <w:lang w:eastAsia="de-DE"/>
        </w:rPr>
        <w:t>כָּל</w:t>
      </w:r>
      <w:r w:rsidRPr="00B33854">
        <w:rPr>
          <w:rFonts w:eastAsia="Times New Roman"/>
          <w:rtl/>
          <w:lang w:eastAsia="de-DE"/>
        </w:rPr>
        <w:t xml:space="preserve"> </w:t>
      </w:r>
      <w:r w:rsidRPr="00B33854">
        <w:rPr>
          <w:rFonts w:eastAsia="Times New Roman"/>
          <w:lang w:eastAsia="de-DE"/>
        </w:rPr>
        <w:t xml:space="preserve">im Construct, Relativsatz mit </w:t>
      </w:r>
      <w:r w:rsidRPr="00B33854">
        <w:rPr>
          <w:rFonts w:eastAsia="Times New Roman"/>
          <w:b/>
          <w:bCs/>
          <w:rtl/>
          <w:lang w:eastAsia="de-DE"/>
        </w:rPr>
        <w:t>אֲשֶׁר</w:t>
      </w:r>
      <w:r w:rsidRPr="00B33854">
        <w:rPr>
          <w:rFonts w:eastAsia="Times New Roman"/>
          <w:lang w:eastAsia="de-DE"/>
        </w:rPr>
        <w:t xml:space="preserve">, </w:t>
      </w:r>
      <w:r w:rsidRPr="00B33854">
        <w:rPr>
          <w:rFonts w:eastAsia="Times New Roman"/>
          <w:b/>
          <w:bCs/>
          <w:rtl/>
          <w:lang w:eastAsia="de-DE"/>
        </w:rPr>
        <w:t>עָשָׂה</w:t>
      </w:r>
      <w:r w:rsidRPr="00B33854">
        <w:rPr>
          <w:rFonts w:eastAsia="Times New Roman"/>
          <w:rtl/>
          <w:lang w:eastAsia="de-DE"/>
        </w:rPr>
        <w:t xml:space="preserve"> </w:t>
      </w:r>
      <w:r w:rsidRPr="00B33854">
        <w:rPr>
          <w:rFonts w:eastAsia="Times New Roman"/>
          <w:lang w:eastAsia="de-DE"/>
        </w:rPr>
        <w:t xml:space="preserve">(Qal Perfekt, 3. Person Singular maskulin von </w:t>
      </w:r>
      <w:r w:rsidRPr="00B33854">
        <w:rPr>
          <w:rFonts w:eastAsia="Times New Roman"/>
          <w:b/>
          <w:bCs/>
          <w:rtl/>
          <w:lang w:eastAsia="de-DE"/>
        </w:rPr>
        <w:t>עשׂה</w:t>
      </w:r>
      <w:r w:rsidRPr="00B33854">
        <w:rPr>
          <w:rFonts w:eastAsia="Times New Roman"/>
          <w:lang w:eastAsia="de-DE"/>
        </w:rPr>
        <w:t xml:space="preserve">), erweitertes Subjekt </w:t>
      </w:r>
      <w:r w:rsidRPr="00B33854">
        <w:rPr>
          <w:rFonts w:eastAsia="Times New Roman"/>
          <w:b/>
          <w:bCs/>
          <w:rtl/>
          <w:lang w:eastAsia="de-DE"/>
        </w:rPr>
        <w:t>יְהוָה אֱלֹהֵיכֶם</w:t>
      </w:r>
      <w:r w:rsidRPr="00B33854">
        <w:rPr>
          <w:rFonts w:eastAsia="Times New Roman"/>
          <w:lang w:eastAsia="de-DE"/>
        </w:rPr>
        <w:t xml:space="preserve">. </w:t>
      </w:r>
      <w:r w:rsidRPr="00B33854">
        <w:rPr>
          <w:rFonts w:eastAsia="Times New Roman"/>
          <w:b/>
          <w:bCs/>
          <w:rtl/>
          <w:lang w:eastAsia="de-DE"/>
        </w:rPr>
        <w:t>לִשְׁנֵי הַמְּלָכִים הָאֵלֶּה</w:t>
      </w:r>
      <w:r w:rsidRPr="00B33854">
        <w:rPr>
          <w:rFonts w:eastAsia="Times New Roman"/>
          <w:rtl/>
          <w:lang w:eastAsia="de-DE"/>
        </w:rPr>
        <w:t xml:space="preserve"> </w:t>
      </w:r>
      <w:r w:rsidRPr="00B33854">
        <w:rPr>
          <w:rFonts w:eastAsia="Times New Roman"/>
          <w:lang w:eastAsia="de-DE"/>
        </w:rPr>
        <w:t xml:space="preserve">ist Präposition </w:t>
      </w:r>
      <w:r w:rsidRPr="00B33854">
        <w:rPr>
          <w:rFonts w:eastAsia="Times New Roman"/>
          <w:b/>
          <w:bCs/>
          <w:rtl/>
          <w:lang w:eastAsia="de-DE"/>
        </w:rPr>
        <w:t>לְ</w:t>
      </w:r>
      <w:r w:rsidRPr="00B33854">
        <w:rPr>
          <w:rFonts w:eastAsia="Times New Roman"/>
          <w:rtl/>
          <w:lang w:eastAsia="de-DE"/>
        </w:rPr>
        <w:t xml:space="preserve"> </w:t>
      </w:r>
      <w:r w:rsidRPr="00B33854">
        <w:rPr>
          <w:rFonts w:eastAsia="Times New Roman"/>
          <w:lang w:eastAsia="de-DE"/>
        </w:rPr>
        <w:t xml:space="preserve">(„an, mit") mit </w:t>
      </w:r>
      <w:r w:rsidRPr="00B33854">
        <w:rPr>
          <w:rFonts w:eastAsia="Times New Roman"/>
          <w:b/>
          <w:bCs/>
          <w:rtl/>
          <w:lang w:eastAsia="de-DE"/>
        </w:rPr>
        <w:t>שְׁנֵי</w:t>
      </w:r>
      <w:r w:rsidRPr="00B33854">
        <w:rPr>
          <w:rFonts w:eastAsia="Times New Roman"/>
          <w:rtl/>
          <w:lang w:eastAsia="de-DE"/>
        </w:rPr>
        <w:t xml:space="preserve"> </w:t>
      </w:r>
      <w:r w:rsidRPr="00B33854">
        <w:rPr>
          <w:rFonts w:eastAsia="Times New Roman"/>
          <w:lang w:eastAsia="de-DE"/>
        </w:rPr>
        <w:t xml:space="preserve">(Dual von </w:t>
      </w:r>
      <w:r w:rsidRPr="00B33854">
        <w:rPr>
          <w:rFonts w:eastAsia="Times New Roman"/>
          <w:b/>
          <w:bCs/>
          <w:rtl/>
          <w:lang w:eastAsia="de-DE"/>
        </w:rPr>
        <w:t>שְׁנַיִם</w:t>
      </w:r>
      <w:r w:rsidRPr="00B33854">
        <w:rPr>
          <w:rFonts w:eastAsia="Times New Roman"/>
          <w:lang w:eastAsia="de-DE"/>
        </w:rPr>
        <w:t xml:space="preserve">, „zwei") im Construct, </w:t>
      </w:r>
      <w:r w:rsidRPr="00B33854">
        <w:rPr>
          <w:rFonts w:eastAsia="Times New Roman"/>
          <w:b/>
          <w:bCs/>
          <w:rtl/>
          <w:lang w:eastAsia="de-DE"/>
        </w:rPr>
        <w:t>הַמְּלָכִים</w:t>
      </w:r>
      <w:r w:rsidRPr="00B33854">
        <w:rPr>
          <w:rFonts w:eastAsia="Times New Roman"/>
          <w:rtl/>
          <w:lang w:eastAsia="de-DE"/>
        </w:rPr>
        <w:t xml:space="preserve"> </w:t>
      </w:r>
      <w:r w:rsidRPr="00B33854">
        <w:rPr>
          <w:rFonts w:eastAsia="Times New Roman"/>
          <w:lang w:eastAsia="de-DE"/>
        </w:rPr>
        <w:t xml:space="preserve">(Plural von </w:t>
      </w:r>
      <w:r w:rsidRPr="00B33854">
        <w:rPr>
          <w:rFonts w:eastAsia="Times New Roman"/>
          <w:b/>
          <w:bCs/>
          <w:rtl/>
          <w:lang w:eastAsia="de-DE"/>
        </w:rPr>
        <w:t>מֶלֶךְ</w:t>
      </w:r>
      <w:r w:rsidRPr="00B33854">
        <w:rPr>
          <w:rFonts w:eastAsia="Times New Roman"/>
          <w:rtl/>
          <w:lang w:eastAsia="de-DE"/>
        </w:rPr>
        <w:t xml:space="preserve"> </w:t>
      </w:r>
      <w:r w:rsidRPr="00B33854">
        <w:rPr>
          <w:rFonts w:eastAsia="Times New Roman"/>
          <w:lang w:eastAsia="de-DE"/>
        </w:rPr>
        <w:t xml:space="preserve">mit Artikel) und Demonstrativpronomen </w:t>
      </w:r>
      <w:r w:rsidRPr="00B33854">
        <w:rPr>
          <w:rFonts w:eastAsia="Times New Roman"/>
          <w:b/>
          <w:bCs/>
          <w:rtl/>
          <w:lang w:eastAsia="de-DE"/>
        </w:rPr>
        <w:t>הָאֵלֶּה</w:t>
      </w:r>
      <w:r w:rsidRPr="00B33854">
        <w:rPr>
          <w:rFonts w:eastAsia="Times New Roman"/>
          <w:rtl/>
          <w:lang w:eastAsia="de-DE"/>
        </w:rPr>
        <w:t xml:space="preserve"> </w:t>
      </w:r>
      <w:r w:rsidRPr="00B33854">
        <w:rPr>
          <w:rFonts w:eastAsia="Times New Roman"/>
          <w:lang w:eastAsia="de-DE"/>
        </w:rPr>
        <w:t>(„diese") als Attribut.</w:t>
      </w:r>
    </w:p>
    <w:p w14:paraId="7FDF43DE"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כֵּן־יַעֲשֶׂה יְהוָה</w:t>
      </w:r>
      <w:r w:rsidRPr="00B33854">
        <w:rPr>
          <w:rFonts w:eastAsia="Times New Roman"/>
          <w:rtl/>
          <w:lang w:eastAsia="de-DE"/>
        </w:rPr>
        <w:t xml:space="preserve"> </w:t>
      </w:r>
      <w:r w:rsidRPr="00B33854">
        <w:rPr>
          <w:rFonts w:eastAsia="Times New Roman"/>
          <w:lang w:eastAsia="de-DE"/>
        </w:rPr>
        <w:t xml:space="preserve">ist ein Vergleichssatz: </w:t>
      </w:r>
      <w:r w:rsidRPr="00B33854">
        <w:rPr>
          <w:rFonts w:eastAsia="Times New Roman"/>
          <w:b/>
          <w:bCs/>
          <w:rtl/>
          <w:lang w:eastAsia="de-DE"/>
        </w:rPr>
        <w:t>כֵּן</w:t>
      </w:r>
      <w:r w:rsidRPr="00B33854">
        <w:rPr>
          <w:rFonts w:eastAsia="Times New Roman"/>
          <w:rtl/>
          <w:lang w:eastAsia="de-DE"/>
        </w:rPr>
        <w:t xml:space="preserve"> </w:t>
      </w:r>
      <w:r w:rsidRPr="00B33854">
        <w:rPr>
          <w:rFonts w:eastAsia="Times New Roman"/>
          <w:lang w:eastAsia="de-DE"/>
        </w:rPr>
        <w:t xml:space="preserve">(„so") als deiktisches Adverb, </w:t>
      </w:r>
      <w:r w:rsidRPr="00B33854">
        <w:rPr>
          <w:rFonts w:eastAsia="Times New Roman"/>
          <w:b/>
          <w:bCs/>
          <w:rtl/>
          <w:lang w:eastAsia="de-DE"/>
        </w:rPr>
        <w:t>יַעֲשֶׂה</w:t>
      </w:r>
      <w:r w:rsidRPr="00B33854">
        <w:rPr>
          <w:rFonts w:eastAsia="Times New Roman"/>
          <w:rtl/>
          <w:lang w:eastAsia="de-DE"/>
        </w:rPr>
        <w:t xml:space="preserve"> </w:t>
      </w:r>
      <w:r w:rsidRPr="00B33854">
        <w:rPr>
          <w:rFonts w:eastAsia="Times New Roman"/>
          <w:lang w:eastAsia="de-DE"/>
        </w:rPr>
        <w:t xml:space="preserve">als Qal Imperfekt, 3. Person Singular maskulin von </w:t>
      </w:r>
      <w:r w:rsidRPr="00B33854">
        <w:rPr>
          <w:rFonts w:eastAsia="Times New Roman"/>
          <w:b/>
          <w:bCs/>
          <w:rtl/>
          <w:lang w:eastAsia="de-DE"/>
        </w:rPr>
        <w:t>עשׂה</w:t>
      </w:r>
      <w:r w:rsidRPr="00B33854">
        <w:rPr>
          <w:rFonts w:eastAsia="Times New Roman"/>
          <w:lang w:eastAsia="de-DE"/>
        </w:rPr>
        <w:t xml:space="preserve">, </w:t>
      </w:r>
      <w:r w:rsidRPr="00B33854">
        <w:rPr>
          <w:rFonts w:eastAsia="Times New Roman"/>
          <w:b/>
          <w:bCs/>
          <w:rtl/>
          <w:lang w:eastAsia="de-DE"/>
        </w:rPr>
        <w:t>יְהוָה</w:t>
      </w:r>
      <w:r w:rsidRPr="00B33854">
        <w:rPr>
          <w:rFonts w:eastAsia="Times New Roman"/>
          <w:rtl/>
          <w:lang w:eastAsia="de-DE"/>
        </w:rPr>
        <w:t xml:space="preserve"> </w:t>
      </w:r>
      <w:r w:rsidRPr="00B33854">
        <w:rPr>
          <w:rFonts w:eastAsia="Times New Roman"/>
          <w:lang w:eastAsia="de-DE"/>
        </w:rPr>
        <w:t xml:space="preserve">als Subjekt. </w:t>
      </w:r>
      <w:r w:rsidRPr="00B33854">
        <w:rPr>
          <w:rFonts w:eastAsia="Times New Roman"/>
          <w:b/>
          <w:bCs/>
          <w:rtl/>
          <w:lang w:eastAsia="de-DE"/>
        </w:rPr>
        <w:t>לְכָל־הַמַּמְלָכוֹת</w:t>
      </w:r>
      <w:r w:rsidRPr="00B33854">
        <w:rPr>
          <w:rFonts w:eastAsia="Times New Roman"/>
          <w:rtl/>
          <w:lang w:eastAsia="de-DE"/>
        </w:rPr>
        <w:t xml:space="preserve"> </w:t>
      </w:r>
      <w:r w:rsidRPr="00B33854">
        <w:rPr>
          <w:rFonts w:eastAsia="Times New Roman"/>
          <w:lang w:eastAsia="de-DE"/>
        </w:rPr>
        <w:t xml:space="preserve">ist </w:t>
      </w:r>
      <w:r w:rsidRPr="00B33854">
        <w:rPr>
          <w:rFonts w:eastAsia="Times New Roman"/>
          <w:b/>
          <w:bCs/>
          <w:rtl/>
          <w:lang w:eastAsia="de-DE"/>
        </w:rPr>
        <w:t>לְ</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כָּל</w:t>
      </w:r>
      <w:r w:rsidRPr="00B33854">
        <w:rPr>
          <w:rFonts w:eastAsia="Times New Roman"/>
          <w:rtl/>
          <w:lang w:eastAsia="de-DE"/>
        </w:rPr>
        <w:t xml:space="preserve"> </w:t>
      </w:r>
      <w:r w:rsidRPr="00B33854">
        <w:rPr>
          <w:rFonts w:eastAsia="Times New Roman"/>
          <w:lang w:eastAsia="de-DE"/>
        </w:rPr>
        <w:t xml:space="preserve">im Construct und </w:t>
      </w:r>
      <w:r w:rsidRPr="00B33854">
        <w:rPr>
          <w:rFonts w:eastAsia="Times New Roman"/>
          <w:b/>
          <w:bCs/>
          <w:rtl/>
          <w:lang w:eastAsia="de-DE"/>
        </w:rPr>
        <w:t>הַמַּמְלָכוֹת</w:t>
      </w:r>
      <w:r w:rsidRPr="00B33854">
        <w:rPr>
          <w:rFonts w:eastAsia="Times New Roman"/>
          <w:rtl/>
          <w:lang w:eastAsia="de-DE"/>
        </w:rPr>
        <w:t xml:space="preserve"> </w:t>
      </w:r>
      <w:r w:rsidRPr="00B33854">
        <w:rPr>
          <w:rFonts w:eastAsia="Times New Roman"/>
          <w:lang w:eastAsia="de-DE"/>
        </w:rPr>
        <w:t xml:space="preserve">(„die Königreiche", Plural mit Artikel). </w:t>
      </w:r>
      <w:r w:rsidRPr="00B33854">
        <w:rPr>
          <w:rFonts w:eastAsia="Times New Roman"/>
          <w:b/>
          <w:bCs/>
          <w:rtl/>
          <w:lang w:eastAsia="de-DE"/>
        </w:rPr>
        <w:t>אֲשֶׁר אַתָּה עֹבֵר שָׁמָּה</w:t>
      </w:r>
      <w:r w:rsidRPr="00B33854">
        <w:rPr>
          <w:rFonts w:eastAsia="Times New Roman"/>
          <w:rtl/>
          <w:lang w:eastAsia="de-DE"/>
        </w:rPr>
        <w:t xml:space="preserve"> </w:t>
      </w:r>
      <w:r w:rsidRPr="00B33854">
        <w:rPr>
          <w:rFonts w:eastAsia="Times New Roman"/>
          <w:lang w:eastAsia="de-DE"/>
        </w:rPr>
        <w:t xml:space="preserve">ist ein Relativsatz: </w:t>
      </w:r>
      <w:r w:rsidRPr="00B33854">
        <w:rPr>
          <w:rFonts w:eastAsia="Times New Roman"/>
          <w:b/>
          <w:bCs/>
          <w:rtl/>
          <w:lang w:eastAsia="de-DE"/>
        </w:rPr>
        <w:t>אֲשֶׁר</w:t>
      </w:r>
      <w:r w:rsidRPr="00B33854">
        <w:rPr>
          <w:rFonts w:eastAsia="Times New Roman"/>
          <w:lang w:eastAsia="de-DE"/>
        </w:rPr>
        <w:t xml:space="preserve">, </w:t>
      </w:r>
      <w:r w:rsidRPr="00B33854">
        <w:rPr>
          <w:rFonts w:eastAsia="Times New Roman"/>
          <w:b/>
          <w:bCs/>
          <w:rtl/>
          <w:lang w:eastAsia="de-DE"/>
        </w:rPr>
        <w:t>אַתָּה</w:t>
      </w:r>
      <w:r w:rsidRPr="00B33854">
        <w:rPr>
          <w:rFonts w:eastAsia="Times New Roman"/>
          <w:rtl/>
          <w:lang w:eastAsia="de-DE"/>
        </w:rPr>
        <w:t xml:space="preserve"> </w:t>
      </w:r>
      <w:r w:rsidRPr="00B33854">
        <w:rPr>
          <w:rFonts w:eastAsia="Times New Roman"/>
          <w:lang w:eastAsia="de-DE"/>
        </w:rPr>
        <w:t xml:space="preserve">als Subjekt, </w:t>
      </w:r>
      <w:r w:rsidRPr="00B33854">
        <w:rPr>
          <w:rFonts w:eastAsia="Times New Roman"/>
          <w:b/>
          <w:bCs/>
          <w:rtl/>
          <w:lang w:eastAsia="de-DE"/>
        </w:rPr>
        <w:t>עֹבֵר</w:t>
      </w:r>
      <w:r w:rsidRPr="00B33854">
        <w:rPr>
          <w:rFonts w:eastAsia="Times New Roman"/>
          <w:rtl/>
          <w:lang w:eastAsia="de-DE"/>
        </w:rPr>
        <w:t xml:space="preserve"> </w:t>
      </w:r>
      <w:r w:rsidRPr="00B33854">
        <w:rPr>
          <w:rFonts w:eastAsia="Times New Roman"/>
          <w:lang w:eastAsia="de-DE"/>
        </w:rPr>
        <w:t xml:space="preserve">(Qal Partizip Singular maskulin von </w:t>
      </w:r>
      <w:r w:rsidRPr="00B33854">
        <w:rPr>
          <w:rFonts w:eastAsia="Times New Roman"/>
          <w:b/>
          <w:bCs/>
          <w:rtl/>
          <w:lang w:eastAsia="de-DE"/>
        </w:rPr>
        <w:t>עבר</w:t>
      </w:r>
      <w:r w:rsidRPr="00B33854">
        <w:rPr>
          <w:rFonts w:eastAsia="Times New Roman"/>
          <w:lang w:eastAsia="de-DE"/>
        </w:rPr>
        <w:t xml:space="preserve">) als präsentisch-futurisches Prädikat, </w:t>
      </w:r>
      <w:r w:rsidRPr="00B33854">
        <w:rPr>
          <w:rFonts w:eastAsia="Times New Roman"/>
          <w:b/>
          <w:bCs/>
          <w:rtl/>
          <w:lang w:eastAsia="de-DE"/>
        </w:rPr>
        <w:t>שָׁמָּה</w:t>
      </w:r>
      <w:r w:rsidRPr="00B33854">
        <w:rPr>
          <w:rFonts w:eastAsia="Times New Roman"/>
          <w:rtl/>
          <w:lang w:eastAsia="de-DE"/>
        </w:rPr>
        <w:t xml:space="preserve"> </w:t>
      </w:r>
      <w:r w:rsidRPr="00B33854">
        <w:rPr>
          <w:rFonts w:eastAsia="Times New Roman"/>
          <w:lang w:eastAsia="de-DE"/>
        </w:rPr>
        <w:t>als Richtungsadverb („dorthin").</w:t>
      </w:r>
    </w:p>
    <w:p w14:paraId="333B90EA"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Die Satzstruktur besteht aus einem Redeeinleitungssatz und zwei Hauptsätzen in der direkten Rede: Der erste ist ein nominaler Satz mit partizipialem Prädikat und komplexem Objekt (Relativsatz mit präpositionaler Ergänzung). Der zweite ist ein Vergleichssatz mit deiktischem Adverb, Prädikat, Subjekt, präpositionaler Ergänzung und Relativsatz. Die Struktur betont die Parallelität zwischen vergangenen und zukünftigen Taten Gottes.</w:t>
      </w:r>
    </w:p>
    <w:p w14:paraId="0F331ED4"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Der Vers ermutigt Josua, indem Mose ihn auf die bereits erlebten Siege über Sichon und Og hinweist und dieselbe göttliche Hilfe für zukünftige Eroberungen westlich des Jordans zusichert.</w:t>
      </w:r>
    </w:p>
    <w:p w14:paraId="373258DF"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3,22</w:t>
      </w:r>
    </w:p>
    <w:p w14:paraId="21884326"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לֹ֖א תִּֽירָא֑וּם כִּ֚י יְהוָ֣ה אֱלֹֽהֵיכֶ֔ם ה֖וּא הַנִּלְחָ֥ם לָכֶֽם׃</w:t>
      </w:r>
    </w:p>
    <w:p w14:paraId="0384BE02"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Fürchtet sie nicht! Denn der Ewige, euer Gott, er ist der für euch Kämpfende.</w:t>
      </w:r>
    </w:p>
    <w:p w14:paraId="167A04DB"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062F3AF3">
          <v:rect id="_x0000_i1129" style="width:0;height:1.5pt" o:hralign="center" o:hrstd="t" o:hr="t" fillcolor="#a0a0a0" stroked="f"/>
        </w:pict>
      </w:r>
    </w:p>
    <w:p w14:paraId="62190CE3"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lastRenderedPageBreak/>
        <w:t>Kommentar:</w:t>
      </w:r>
      <w:r w:rsidRPr="00B33854">
        <w:rPr>
          <w:rFonts w:eastAsia="Times New Roman"/>
          <w:lang w:eastAsia="de-DE"/>
        </w:rPr>
        <w:t xml:space="preserve"> </w:t>
      </w:r>
      <w:r w:rsidRPr="00B33854">
        <w:rPr>
          <w:rFonts w:eastAsia="Times New Roman"/>
          <w:b/>
          <w:bCs/>
          <w:rtl/>
          <w:lang w:eastAsia="de-DE"/>
        </w:rPr>
        <w:t>לֹא</w:t>
      </w:r>
      <w:r w:rsidRPr="00B33854">
        <w:rPr>
          <w:rFonts w:eastAsia="Times New Roman"/>
          <w:rtl/>
          <w:lang w:eastAsia="de-DE"/>
        </w:rPr>
        <w:t xml:space="preserve"> </w:t>
      </w:r>
      <w:r w:rsidRPr="00B33854">
        <w:rPr>
          <w:rFonts w:eastAsia="Times New Roman"/>
          <w:lang w:eastAsia="de-DE"/>
        </w:rPr>
        <w:t xml:space="preserve">ist die Negativpartikel. </w:t>
      </w:r>
      <w:r w:rsidRPr="00B33854">
        <w:rPr>
          <w:rFonts w:eastAsia="Times New Roman"/>
          <w:b/>
          <w:bCs/>
          <w:rtl/>
          <w:lang w:eastAsia="de-DE"/>
        </w:rPr>
        <w:t>תִּירָאוּם</w:t>
      </w:r>
      <w:r w:rsidRPr="00B33854">
        <w:rPr>
          <w:rFonts w:eastAsia="Times New Roman"/>
          <w:rtl/>
          <w:lang w:eastAsia="de-DE"/>
        </w:rPr>
        <w:t xml:space="preserve"> </w:t>
      </w:r>
      <w:r w:rsidRPr="00B33854">
        <w:rPr>
          <w:rFonts w:eastAsia="Times New Roman"/>
          <w:lang w:eastAsia="de-DE"/>
        </w:rPr>
        <w:t xml:space="preserve">ist Qal Imperfekt (Jussiv), 2. Person Plural maskulin von </w:t>
      </w:r>
      <w:r w:rsidRPr="00B33854">
        <w:rPr>
          <w:rFonts w:eastAsia="Times New Roman"/>
          <w:b/>
          <w:bCs/>
          <w:rtl/>
          <w:lang w:eastAsia="de-DE"/>
        </w:rPr>
        <w:t>ירא</w:t>
      </w:r>
      <w:r w:rsidRPr="00B33854">
        <w:rPr>
          <w:rFonts w:eastAsia="Times New Roman"/>
          <w:rtl/>
          <w:lang w:eastAsia="de-DE"/>
        </w:rPr>
        <w:t xml:space="preserve"> </w:t>
      </w:r>
      <w:r w:rsidRPr="00B33854">
        <w:rPr>
          <w:rFonts w:eastAsia="Times New Roman"/>
          <w:lang w:eastAsia="de-DE"/>
        </w:rPr>
        <w:t xml:space="preserve">(„fürchten") mit Suffix 3. Person Plural maskulin („sie") als direkte Objektmarkierung – eine Prohibition („fürchtet nicht"). </w:t>
      </w:r>
      <w:r w:rsidRPr="00B33854">
        <w:rPr>
          <w:rFonts w:eastAsia="Times New Roman"/>
          <w:b/>
          <w:bCs/>
          <w:rtl/>
          <w:lang w:eastAsia="de-DE"/>
        </w:rPr>
        <w:t>כִּי</w:t>
      </w:r>
      <w:r w:rsidRPr="00B33854">
        <w:rPr>
          <w:rFonts w:eastAsia="Times New Roman"/>
          <w:rtl/>
          <w:lang w:eastAsia="de-DE"/>
        </w:rPr>
        <w:t xml:space="preserve"> </w:t>
      </w:r>
      <w:r w:rsidRPr="00B33854">
        <w:rPr>
          <w:rFonts w:eastAsia="Times New Roman"/>
          <w:lang w:eastAsia="de-DE"/>
        </w:rPr>
        <w:t xml:space="preserve">ist eine kausale Konjunktion („denn"). </w:t>
      </w:r>
      <w:r w:rsidRPr="00B33854">
        <w:rPr>
          <w:rFonts w:eastAsia="Times New Roman"/>
          <w:b/>
          <w:bCs/>
          <w:rtl/>
          <w:lang w:eastAsia="de-DE"/>
        </w:rPr>
        <w:t>יְהוָה אֱלֹהֵיכֶם</w:t>
      </w:r>
      <w:r w:rsidRPr="00B33854">
        <w:rPr>
          <w:rFonts w:eastAsia="Times New Roman"/>
          <w:rtl/>
          <w:lang w:eastAsia="de-DE"/>
        </w:rPr>
        <w:t xml:space="preserve"> </w:t>
      </w:r>
      <w:r w:rsidRPr="00B33854">
        <w:rPr>
          <w:rFonts w:eastAsia="Times New Roman"/>
          <w:lang w:eastAsia="de-DE"/>
        </w:rPr>
        <w:t xml:space="preserve">ist das erweiterte Subjekt: </w:t>
      </w:r>
      <w:r w:rsidRPr="00B33854">
        <w:rPr>
          <w:rFonts w:eastAsia="Times New Roman"/>
          <w:b/>
          <w:bCs/>
          <w:rtl/>
          <w:lang w:eastAsia="de-DE"/>
        </w:rPr>
        <w:t>יְהוָה</w:t>
      </w:r>
      <w:r w:rsidRPr="00B33854">
        <w:rPr>
          <w:rFonts w:eastAsia="Times New Roman"/>
          <w:rtl/>
          <w:lang w:eastAsia="de-DE"/>
        </w:rPr>
        <w:t xml:space="preserve"> </w:t>
      </w:r>
      <w:r w:rsidRPr="00B33854">
        <w:rPr>
          <w:rFonts w:eastAsia="Times New Roman"/>
          <w:lang w:eastAsia="de-DE"/>
        </w:rPr>
        <w:t xml:space="preserve">und </w:t>
      </w:r>
      <w:r w:rsidRPr="00B33854">
        <w:rPr>
          <w:rFonts w:eastAsia="Times New Roman"/>
          <w:b/>
          <w:bCs/>
          <w:rtl/>
          <w:lang w:eastAsia="de-DE"/>
        </w:rPr>
        <w:t>אֱלֹהִים</w:t>
      </w:r>
      <w:r w:rsidRPr="00B33854">
        <w:rPr>
          <w:rFonts w:eastAsia="Times New Roman"/>
          <w:rtl/>
          <w:lang w:eastAsia="de-DE"/>
        </w:rPr>
        <w:t xml:space="preserve"> </w:t>
      </w:r>
      <w:r w:rsidRPr="00B33854">
        <w:rPr>
          <w:rFonts w:eastAsia="Times New Roman"/>
          <w:lang w:eastAsia="de-DE"/>
        </w:rPr>
        <w:t xml:space="preserve">mit Suffix 2. Person Plural maskulin. </w:t>
      </w:r>
      <w:r w:rsidRPr="00B33854">
        <w:rPr>
          <w:rFonts w:eastAsia="Times New Roman"/>
          <w:b/>
          <w:bCs/>
          <w:rtl/>
          <w:lang w:eastAsia="de-DE"/>
        </w:rPr>
        <w:t>הוּא</w:t>
      </w:r>
      <w:r w:rsidRPr="00B33854">
        <w:rPr>
          <w:rFonts w:eastAsia="Times New Roman"/>
          <w:rtl/>
          <w:lang w:eastAsia="de-DE"/>
        </w:rPr>
        <w:t xml:space="preserve"> </w:t>
      </w:r>
      <w:r w:rsidRPr="00B33854">
        <w:rPr>
          <w:rFonts w:eastAsia="Times New Roman"/>
          <w:lang w:eastAsia="de-DE"/>
        </w:rPr>
        <w:t xml:space="preserve">ist ein emphatisches Pronomen („er selbst"). </w:t>
      </w:r>
      <w:r w:rsidRPr="00B33854">
        <w:rPr>
          <w:rFonts w:eastAsia="Times New Roman"/>
          <w:b/>
          <w:bCs/>
          <w:rtl/>
          <w:lang w:eastAsia="de-DE"/>
        </w:rPr>
        <w:t>הַנִּלְחָם</w:t>
      </w:r>
      <w:r w:rsidRPr="00B33854">
        <w:rPr>
          <w:rFonts w:eastAsia="Times New Roman"/>
          <w:rtl/>
          <w:lang w:eastAsia="de-DE"/>
        </w:rPr>
        <w:t xml:space="preserve"> </w:t>
      </w:r>
      <w:r w:rsidRPr="00B33854">
        <w:rPr>
          <w:rFonts w:eastAsia="Times New Roman"/>
          <w:lang w:eastAsia="de-DE"/>
        </w:rPr>
        <w:t xml:space="preserve">ist Nifal Partizip Singular maskulin von </w:t>
      </w:r>
      <w:r w:rsidRPr="00B33854">
        <w:rPr>
          <w:rFonts w:eastAsia="Times New Roman"/>
          <w:b/>
          <w:bCs/>
          <w:rtl/>
          <w:lang w:eastAsia="de-DE"/>
        </w:rPr>
        <w:t>לחם</w:t>
      </w:r>
      <w:r w:rsidRPr="00B33854">
        <w:rPr>
          <w:rFonts w:eastAsia="Times New Roman"/>
          <w:rtl/>
          <w:lang w:eastAsia="de-DE"/>
        </w:rPr>
        <w:t xml:space="preserve"> </w:t>
      </w:r>
      <w:r w:rsidRPr="00B33854">
        <w:rPr>
          <w:rFonts w:eastAsia="Times New Roman"/>
          <w:lang w:eastAsia="de-DE"/>
        </w:rPr>
        <w:t xml:space="preserve">(„kämpfen") mit Artikel – als substantiviertes Partizip „der Kämpfende". </w:t>
      </w:r>
      <w:r w:rsidRPr="00B33854">
        <w:rPr>
          <w:rFonts w:eastAsia="Times New Roman"/>
          <w:b/>
          <w:bCs/>
          <w:rtl/>
          <w:lang w:eastAsia="de-DE"/>
        </w:rPr>
        <w:t>לָכֶם</w:t>
      </w:r>
      <w:r w:rsidRPr="00B33854">
        <w:rPr>
          <w:rFonts w:eastAsia="Times New Roman"/>
          <w:rtl/>
          <w:lang w:eastAsia="de-DE"/>
        </w:rPr>
        <w:t xml:space="preserve"> </w:t>
      </w:r>
      <w:r w:rsidRPr="00B33854">
        <w:rPr>
          <w:rFonts w:eastAsia="Times New Roman"/>
          <w:lang w:eastAsia="de-DE"/>
        </w:rPr>
        <w:t xml:space="preserve">ist Präposition </w:t>
      </w:r>
      <w:r w:rsidRPr="00B33854">
        <w:rPr>
          <w:rFonts w:eastAsia="Times New Roman"/>
          <w:b/>
          <w:bCs/>
          <w:rtl/>
          <w:lang w:eastAsia="de-DE"/>
        </w:rPr>
        <w:t>לְ</w:t>
      </w:r>
      <w:r w:rsidRPr="00B33854">
        <w:rPr>
          <w:rFonts w:eastAsia="Times New Roman"/>
          <w:rtl/>
          <w:lang w:eastAsia="de-DE"/>
        </w:rPr>
        <w:t xml:space="preserve"> </w:t>
      </w:r>
      <w:r w:rsidRPr="00B33854">
        <w:rPr>
          <w:rFonts w:eastAsia="Times New Roman"/>
          <w:lang w:eastAsia="de-DE"/>
        </w:rPr>
        <w:t>mit Suffix 2. Person Plural maskulin („für euch").</w:t>
      </w:r>
    </w:p>
    <w:p w14:paraId="76105DAB"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Die Satzstruktur besteht aus einem verneinten Hauptsatz (Verbot) und einem kausalen Begründungssatz. Der Begründungssatz ist ein nominaler Satz mit erweitertem Subjekt, emphatischem Pronomen und partizipialem Prädikat mit präpositionaler Ergänzung. Die Betonung liegt auf der göttlichen Identität und Rolle als Kämpfer.</w:t>
      </w:r>
    </w:p>
    <w:p w14:paraId="6CE656F7" w14:textId="20CFFB2A"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 xml:space="preserve">Der Vers schließt die Ermutigung Josuas ab mit der fundamentalen Zusicherung, dass </w:t>
      </w:r>
      <w:r w:rsidR="00F90130">
        <w:rPr>
          <w:rFonts w:eastAsia="Times New Roman"/>
          <w:lang w:eastAsia="de-DE"/>
        </w:rPr>
        <w:t>der Ewige</w:t>
      </w:r>
      <w:r w:rsidRPr="00B33854">
        <w:rPr>
          <w:rFonts w:eastAsia="Times New Roman"/>
          <w:lang w:eastAsia="de-DE"/>
        </w:rPr>
        <w:t xml:space="preserve"> selbst für Israel kämpft und daher Furcht unbegründet ist.</w:t>
      </w:r>
    </w:p>
    <w:p w14:paraId="5BA326A8"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3,23</w:t>
      </w:r>
    </w:p>
    <w:p w14:paraId="1D0EEEA6"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וָאֶתְחַנַּ֖ן אֶל־יְהוָ֑ה בָּעֵ֥ת הַהִ֖וא לֵאמֹֽר׃</w:t>
      </w:r>
    </w:p>
    <w:p w14:paraId="60E61432"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Und ich flehte zum Ewigen zu jener Zeit, sagend:</w:t>
      </w:r>
    </w:p>
    <w:p w14:paraId="75A19D59"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5CF522F0">
          <v:rect id="_x0000_i1130" style="width:0;height:1.5pt" o:hralign="center" o:hrstd="t" o:hr="t" fillcolor="#a0a0a0" stroked="f"/>
        </w:pict>
      </w:r>
    </w:p>
    <w:p w14:paraId="541E61B5"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וָאֶתְחַנַּן</w:t>
      </w:r>
      <w:r w:rsidRPr="00B33854">
        <w:rPr>
          <w:rFonts w:eastAsia="Times New Roman"/>
          <w:rtl/>
          <w:lang w:eastAsia="de-DE"/>
        </w:rPr>
        <w:t xml:space="preserve"> </w:t>
      </w:r>
      <w:r w:rsidRPr="00B33854">
        <w:rPr>
          <w:rFonts w:eastAsia="Times New Roman"/>
          <w:lang w:eastAsia="de-DE"/>
        </w:rPr>
        <w:t xml:space="preserve">ist Hitpael Imperfekt consecutivum, 1. Person Singular von </w:t>
      </w:r>
      <w:r w:rsidRPr="00B33854">
        <w:rPr>
          <w:rFonts w:eastAsia="Times New Roman"/>
          <w:b/>
          <w:bCs/>
          <w:rtl/>
          <w:lang w:eastAsia="de-DE"/>
        </w:rPr>
        <w:t>חנן</w:t>
      </w:r>
      <w:r w:rsidRPr="00B33854">
        <w:rPr>
          <w:rFonts w:eastAsia="Times New Roman"/>
          <w:rtl/>
          <w:lang w:eastAsia="de-DE"/>
        </w:rPr>
        <w:t xml:space="preserve"> </w:t>
      </w:r>
      <w:r w:rsidRPr="00B33854">
        <w:rPr>
          <w:rFonts w:eastAsia="Times New Roman"/>
          <w:lang w:eastAsia="de-DE"/>
        </w:rPr>
        <w:t xml:space="preserve">(„Gnade erweisen, flehen, bitten") mit Waw. Die Hitpael-Form hat hier reflexive Bedeutung („ich demütigte mich bittend") oder verstärkte Bedeutung („ich flehte inständig"). </w:t>
      </w:r>
      <w:r w:rsidRPr="00B33854">
        <w:rPr>
          <w:rFonts w:eastAsia="Times New Roman"/>
          <w:b/>
          <w:bCs/>
          <w:rtl/>
          <w:lang w:eastAsia="de-DE"/>
        </w:rPr>
        <w:t>אֶל־יְהוָה</w:t>
      </w:r>
      <w:r w:rsidRPr="00B33854">
        <w:rPr>
          <w:rFonts w:eastAsia="Times New Roman"/>
          <w:rtl/>
          <w:lang w:eastAsia="de-DE"/>
        </w:rPr>
        <w:t xml:space="preserve"> </w:t>
      </w:r>
      <w:r w:rsidRPr="00B33854">
        <w:rPr>
          <w:rFonts w:eastAsia="Times New Roman"/>
          <w:lang w:eastAsia="de-DE"/>
        </w:rPr>
        <w:t xml:space="preserve">ist Präposition </w:t>
      </w:r>
      <w:r w:rsidRPr="00B33854">
        <w:rPr>
          <w:rFonts w:eastAsia="Times New Roman"/>
          <w:b/>
          <w:bCs/>
          <w:rtl/>
          <w:lang w:eastAsia="de-DE"/>
        </w:rPr>
        <w:t>אֶל</w:t>
      </w:r>
      <w:r w:rsidRPr="00B33854">
        <w:rPr>
          <w:rFonts w:eastAsia="Times New Roman"/>
          <w:rtl/>
          <w:lang w:eastAsia="de-DE"/>
        </w:rPr>
        <w:t xml:space="preserve"> </w:t>
      </w:r>
      <w:r w:rsidRPr="00B33854">
        <w:rPr>
          <w:rFonts w:eastAsia="Times New Roman"/>
          <w:lang w:eastAsia="de-DE"/>
        </w:rPr>
        <w:t xml:space="preserve">(„zu") mit </w:t>
      </w:r>
      <w:r w:rsidRPr="00B33854">
        <w:rPr>
          <w:rFonts w:eastAsia="Times New Roman"/>
          <w:b/>
          <w:bCs/>
          <w:rtl/>
          <w:lang w:eastAsia="de-DE"/>
        </w:rPr>
        <w:t>יְהוָה</w:t>
      </w:r>
      <w:r w:rsidRPr="00B33854">
        <w:rPr>
          <w:rFonts w:eastAsia="Times New Roman"/>
          <w:lang w:eastAsia="de-DE"/>
        </w:rPr>
        <w:t xml:space="preserve">. </w:t>
      </w:r>
      <w:r w:rsidRPr="00B33854">
        <w:rPr>
          <w:rFonts w:eastAsia="Times New Roman"/>
          <w:b/>
          <w:bCs/>
          <w:rtl/>
          <w:lang w:eastAsia="de-DE"/>
        </w:rPr>
        <w:t>בָּעֵת הַהִוא</w:t>
      </w:r>
      <w:r w:rsidRPr="00B33854">
        <w:rPr>
          <w:rFonts w:eastAsia="Times New Roman"/>
          <w:rtl/>
          <w:lang w:eastAsia="de-DE"/>
        </w:rPr>
        <w:t xml:space="preserve"> </w:t>
      </w:r>
      <w:r w:rsidRPr="00B33854">
        <w:rPr>
          <w:rFonts w:eastAsia="Times New Roman"/>
          <w:lang w:eastAsia="de-DE"/>
        </w:rPr>
        <w:t xml:space="preserve">ist die Zeitangabe. </w:t>
      </w:r>
      <w:r w:rsidRPr="00B33854">
        <w:rPr>
          <w:rFonts w:eastAsia="Times New Roman"/>
          <w:b/>
          <w:bCs/>
          <w:rtl/>
          <w:lang w:eastAsia="de-DE"/>
        </w:rPr>
        <w:t>לֵאמֹר</w:t>
      </w:r>
      <w:r w:rsidRPr="00B33854">
        <w:rPr>
          <w:rFonts w:eastAsia="Times New Roman"/>
          <w:rtl/>
          <w:lang w:eastAsia="de-DE"/>
        </w:rPr>
        <w:t xml:space="preserve"> </w:t>
      </w:r>
      <w:r w:rsidRPr="00B33854">
        <w:rPr>
          <w:rFonts w:eastAsia="Times New Roman"/>
          <w:lang w:eastAsia="de-DE"/>
        </w:rPr>
        <w:t xml:space="preserve">ist Qal Infinitiv Construct von </w:t>
      </w:r>
      <w:r w:rsidRPr="00B33854">
        <w:rPr>
          <w:rFonts w:eastAsia="Times New Roman"/>
          <w:b/>
          <w:bCs/>
          <w:rtl/>
          <w:lang w:eastAsia="de-DE"/>
        </w:rPr>
        <w:t>אמר</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לְ</w:t>
      </w:r>
      <w:r w:rsidRPr="00B33854">
        <w:rPr>
          <w:rFonts w:eastAsia="Times New Roman"/>
          <w:lang w:eastAsia="de-DE"/>
        </w:rPr>
        <w:t>, leitet die folgende Bitte ein.</w:t>
      </w:r>
    </w:p>
    <w:p w14:paraId="2C9738B1"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Die Satzstruktur ist ein einfacher Redeeinleitungssatz mit Prädikat, Adressat, Zeitangabe und Infinitiv der Redeeinleitung. Der Vers markiert einen wichtigen Einschnitt im Text: Moses Bitte, selbst das verheißene Land betreten zu dürfen.</w:t>
      </w:r>
    </w:p>
    <w:p w14:paraId="4066B345" w14:textId="674B02DA"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 xml:space="preserve">Der Vers leitet Moses persönliche Bitte an </w:t>
      </w:r>
      <w:r w:rsidR="00113C10">
        <w:rPr>
          <w:rFonts w:eastAsia="Times New Roman"/>
          <w:lang w:eastAsia="de-DE"/>
        </w:rPr>
        <w:t>JHWH</w:t>
      </w:r>
      <w:r w:rsidR="00113C10" w:rsidRPr="00B33854">
        <w:rPr>
          <w:rFonts w:eastAsia="Times New Roman"/>
          <w:lang w:eastAsia="de-DE"/>
        </w:rPr>
        <w:t xml:space="preserve"> </w:t>
      </w:r>
      <w:r w:rsidRPr="00B33854">
        <w:rPr>
          <w:rFonts w:eastAsia="Times New Roman"/>
          <w:lang w:eastAsia="de-DE"/>
        </w:rPr>
        <w:t>ein, ins verheißene Land eintreten zu dürfen – eine Bitte, die abgelehnt werden wird.</w:t>
      </w:r>
    </w:p>
    <w:p w14:paraId="3EF83728"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3,24</w:t>
      </w:r>
    </w:p>
    <w:p w14:paraId="5368D23F"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אֲדֹנָ֣י יְהוִ֗ה אַתָּ֤ה הַֽחִלּ֨וֹתָ֙ לְהַרְא֣וֹת אֶֽת־עַבְדְּךָ֔ אֶ֨ת־גָּדְלְךָ֔ וְאֶת־יָדְךָ֖ הַחֲזָקָ֑ה אֲשֶׁ֤ר מִי־אֵל֙ בַּשָּׁמַ֣יִם וּבָאָ֔רֶץ אֲשֶׁר־יַעֲשֶׂ֥ה כְמַעֲשֶׂ֖יךָ וְכִגְבוּרֹתֶֽךָ׃</w:t>
      </w:r>
    </w:p>
    <w:p w14:paraId="7756971F"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Herr, Ewiger, du hast begonnen, deinem Knecht deine Größe und deine starke Hand zu zeigen; denn welcher Gott ist im Himmel und auf Erden, der tun könnte wie deine Werke und wie deine Machttaten?</w:t>
      </w:r>
    </w:p>
    <w:p w14:paraId="4FF0711A"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434A46E6">
          <v:rect id="_x0000_i1131" style="width:0;height:1.5pt" o:hralign="center" o:hrstd="t" o:hr="t" fillcolor="#a0a0a0" stroked="f"/>
        </w:pict>
      </w:r>
    </w:p>
    <w:p w14:paraId="562FE190"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lastRenderedPageBreak/>
        <w:t>Kommentar:</w:t>
      </w:r>
      <w:r w:rsidRPr="00B33854">
        <w:rPr>
          <w:rFonts w:eastAsia="Times New Roman"/>
          <w:lang w:eastAsia="de-DE"/>
        </w:rPr>
        <w:t xml:space="preserve"> </w:t>
      </w:r>
      <w:r w:rsidRPr="00B33854">
        <w:rPr>
          <w:rFonts w:eastAsia="Times New Roman"/>
          <w:b/>
          <w:bCs/>
          <w:rtl/>
          <w:lang w:eastAsia="de-DE"/>
        </w:rPr>
        <w:t>אֲדֹנָי יְהוִה</w:t>
      </w:r>
      <w:r w:rsidRPr="00B33854">
        <w:rPr>
          <w:rFonts w:eastAsia="Times New Roman"/>
          <w:rtl/>
          <w:lang w:eastAsia="de-DE"/>
        </w:rPr>
        <w:t xml:space="preserve"> </w:t>
      </w:r>
      <w:r w:rsidRPr="00B33854">
        <w:rPr>
          <w:rFonts w:eastAsia="Times New Roman"/>
          <w:lang w:eastAsia="de-DE"/>
        </w:rPr>
        <w:t xml:space="preserve">ist eine doppelte Anrede: </w:t>
      </w:r>
      <w:r w:rsidRPr="00B33854">
        <w:rPr>
          <w:rFonts w:eastAsia="Times New Roman"/>
          <w:b/>
          <w:bCs/>
          <w:rtl/>
          <w:lang w:eastAsia="de-DE"/>
        </w:rPr>
        <w:t>אֲדֹנָי</w:t>
      </w:r>
      <w:r w:rsidRPr="00B33854">
        <w:rPr>
          <w:rFonts w:eastAsia="Times New Roman"/>
          <w:rtl/>
          <w:lang w:eastAsia="de-DE"/>
        </w:rPr>
        <w:t xml:space="preserve"> </w:t>
      </w:r>
      <w:r w:rsidRPr="00B33854">
        <w:rPr>
          <w:rFonts w:eastAsia="Times New Roman"/>
          <w:lang w:eastAsia="de-DE"/>
        </w:rPr>
        <w:t xml:space="preserve">(„Herr") und </w:t>
      </w:r>
      <w:r w:rsidRPr="00B33854">
        <w:rPr>
          <w:rFonts w:eastAsia="Times New Roman"/>
          <w:b/>
          <w:bCs/>
          <w:rtl/>
          <w:lang w:eastAsia="de-DE"/>
        </w:rPr>
        <w:t>יְהוִה</w:t>
      </w:r>
      <w:r w:rsidRPr="00B33854">
        <w:rPr>
          <w:rFonts w:eastAsia="Times New Roman"/>
          <w:rtl/>
          <w:lang w:eastAsia="de-DE"/>
        </w:rPr>
        <w:t xml:space="preserve"> </w:t>
      </w:r>
      <w:r w:rsidRPr="00B33854">
        <w:rPr>
          <w:rFonts w:eastAsia="Times New Roman"/>
          <w:lang w:eastAsia="de-DE"/>
        </w:rPr>
        <w:t xml:space="preserve">(das Tetragramm). </w:t>
      </w:r>
      <w:r w:rsidRPr="00B33854">
        <w:rPr>
          <w:rFonts w:eastAsia="Times New Roman"/>
          <w:b/>
          <w:bCs/>
          <w:rtl/>
          <w:lang w:eastAsia="de-DE"/>
        </w:rPr>
        <w:t>אַתָּה</w:t>
      </w:r>
      <w:r w:rsidRPr="00B33854">
        <w:rPr>
          <w:rFonts w:eastAsia="Times New Roman"/>
          <w:rtl/>
          <w:lang w:eastAsia="de-DE"/>
        </w:rPr>
        <w:t xml:space="preserve"> </w:t>
      </w:r>
      <w:r w:rsidRPr="00B33854">
        <w:rPr>
          <w:rFonts w:eastAsia="Times New Roman"/>
          <w:lang w:eastAsia="de-DE"/>
        </w:rPr>
        <w:t xml:space="preserve">ist das emphatische Pronomen („du selbst"). </w:t>
      </w:r>
      <w:r w:rsidRPr="00B33854">
        <w:rPr>
          <w:rFonts w:eastAsia="Times New Roman"/>
          <w:b/>
          <w:bCs/>
          <w:rtl/>
          <w:lang w:eastAsia="de-DE"/>
        </w:rPr>
        <w:t>הַחִלּוֹתָ</w:t>
      </w:r>
      <w:r w:rsidRPr="00B33854">
        <w:rPr>
          <w:rFonts w:eastAsia="Times New Roman"/>
          <w:rtl/>
          <w:lang w:eastAsia="de-DE"/>
        </w:rPr>
        <w:t xml:space="preserve"> </w:t>
      </w:r>
      <w:r w:rsidRPr="00B33854">
        <w:rPr>
          <w:rFonts w:eastAsia="Times New Roman"/>
          <w:lang w:eastAsia="de-DE"/>
        </w:rPr>
        <w:t xml:space="preserve">ist Hifil Perfekt, 2. Person Singular maskulin von </w:t>
      </w:r>
      <w:r w:rsidRPr="00B33854">
        <w:rPr>
          <w:rFonts w:eastAsia="Times New Roman"/>
          <w:b/>
          <w:bCs/>
          <w:rtl/>
          <w:lang w:eastAsia="de-DE"/>
        </w:rPr>
        <w:t>חלל</w:t>
      </w:r>
      <w:r w:rsidRPr="00B33854">
        <w:rPr>
          <w:rFonts w:eastAsia="Times New Roman"/>
          <w:rtl/>
          <w:lang w:eastAsia="de-DE"/>
        </w:rPr>
        <w:t xml:space="preserve"> </w:t>
      </w:r>
      <w:r w:rsidRPr="00B33854">
        <w:rPr>
          <w:rFonts w:eastAsia="Times New Roman"/>
          <w:lang w:eastAsia="de-DE"/>
        </w:rPr>
        <w:t xml:space="preserve">(„beginnen") mit Artikel (hier ungewöhnlich, eventuell dittographisch oder als emphatische Partikel). </w:t>
      </w:r>
      <w:r w:rsidRPr="00B33854">
        <w:rPr>
          <w:rFonts w:eastAsia="Times New Roman"/>
          <w:b/>
          <w:bCs/>
          <w:rtl/>
          <w:lang w:eastAsia="de-DE"/>
        </w:rPr>
        <w:t>לְהַרְאוֹת</w:t>
      </w:r>
      <w:r w:rsidRPr="00B33854">
        <w:rPr>
          <w:rFonts w:eastAsia="Times New Roman"/>
          <w:rtl/>
          <w:lang w:eastAsia="de-DE"/>
        </w:rPr>
        <w:t xml:space="preserve"> </w:t>
      </w:r>
      <w:r w:rsidRPr="00B33854">
        <w:rPr>
          <w:rFonts w:eastAsia="Times New Roman"/>
          <w:lang w:eastAsia="de-DE"/>
        </w:rPr>
        <w:t xml:space="preserve">ist Hifil Infinitiv Construct von </w:t>
      </w:r>
      <w:r w:rsidRPr="00B33854">
        <w:rPr>
          <w:rFonts w:eastAsia="Times New Roman"/>
          <w:b/>
          <w:bCs/>
          <w:rtl/>
          <w:lang w:eastAsia="de-DE"/>
        </w:rPr>
        <w:t>ראה</w:t>
      </w:r>
      <w:r w:rsidRPr="00B33854">
        <w:rPr>
          <w:rFonts w:eastAsia="Times New Roman"/>
          <w:rtl/>
          <w:lang w:eastAsia="de-DE"/>
        </w:rPr>
        <w:t xml:space="preserve"> </w:t>
      </w:r>
      <w:r w:rsidRPr="00B33854">
        <w:rPr>
          <w:rFonts w:eastAsia="Times New Roman"/>
          <w:lang w:eastAsia="de-DE"/>
        </w:rPr>
        <w:t xml:space="preserve">(„zeigen lassen, sehen lassen") mit Präposition </w:t>
      </w:r>
      <w:r w:rsidRPr="00B33854">
        <w:rPr>
          <w:rFonts w:eastAsia="Times New Roman"/>
          <w:b/>
          <w:bCs/>
          <w:rtl/>
          <w:lang w:eastAsia="de-DE"/>
        </w:rPr>
        <w:t>לְ</w:t>
      </w:r>
      <w:r w:rsidRPr="00B33854">
        <w:rPr>
          <w:rFonts w:eastAsia="Times New Roman"/>
          <w:rtl/>
          <w:lang w:eastAsia="de-DE"/>
        </w:rPr>
        <w:t xml:space="preserve"> </w:t>
      </w:r>
      <w:r w:rsidRPr="00B33854">
        <w:rPr>
          <w:rFonts w:eastAsia="Times New Roman"/>
          <w:lang w:eastAsia="de-DE"/>
        </w:rPr>
        <w:t xml:space="preserve">(final). </w:t>
      </w:r>
      <w:r w:rsidRPr="00B33854">
        <w:rPr>
          <w:rFonts w:eastAsia="Times New Roman"/>
          <w:b/>
          <w:bCs/>
          <w:rtl/>
          <w:lang w:eastAsia="de-DE"/>
        </w:rPr>
        <w:t>אֶת־עַבְדְּךָ</w:t>
      </w:r>
      <w:r w:rsidRPr="00B33854">
        <w:rPr>
          <w:rFonts w:eastAsia="Times New Roman"/>
          <w:rtl/>
          <w:lang w:eastAsia="de-DE"/>
        </w:rPr>
        <w:t xml:space="preserve"> </w:t>
      </w:r>
      <w:r w:rsidRPr="00B33854">
        <w:rPr>
          <w:rFonts w:eastAsia="Times New Roman"/>
          <w:lang w:eastAsia="de-DE"/>
        </w:rPr>
        <w:t xml:space="preserve">ist nota accusativi mit </w:t>
      </w:r>
      <w:r w:rsidRPr="00B33854">
        <w:rPr>
          <w:rFonts w:eastAsia="Times New Roman"/>
          <w:b/>
          <w:bCs/>
          <w:rtl/>
          <w:lang w:eastAsia="de-DE"/>
        </w:rPr>
        <w:t>עֶבֶד</w:t>
      </w:r>
      <w:r w:rsidRPr="00B33854">
        <w:rPr>
          <w:rFonts w:eastAsia="Times New Roman"/>
          <w:rtl/>
          <w:lang w:eastAsia="de-DE"/>
        </w:rPr>
        <w:t xml:space="preserve"> </w:t>
      </w:r>
      <w:r w:rsidRPr="00B33854">
        <w:rPr>
          <w:rFonts w:eastAsia="Times New Roman"/>
          <w:lang w:eastAsia="de-DE"/>
        </w:rPr>
        <w:t xml:space="preserve">(„Knecht") und Suffix 2. Person Singular maskulin. </w:t>
      </w:r>
      <w:r w:rsidRPr="00B33854">
        <w:rPr>
          <w:rFonts w:eastAsia="Times New Roman"/>
          <w:b/>
          <w:bCs/>
          <w:rtl/>
          <w:lang w:eastAsia="de-DE"/>
        </w:rPr>
        <w:t>אֶת־גָּדְלְךָ</w:t>
      </w:r>
      <w:r w:rsidRPr="00B33854">
        <w:rPr>
          <w:rFonts w:eastAsia="Times New Roman"/>
          <w:rtl/>
          <w:lang w:eastAsia="de-DE"/>
        </w:rPr>
        <w:t xml:space="preserve"> </w:t>
      </w:r>
      <w:r w:rsidRPr="00B33854">
        <w:rPr>
          <w:rFonts w:eastAsia="Times New Roman"/>
          <w:lang w:eastAsia="de-DE"/>
        </w:rPr>
        <w:t xml:space="preserve">ist nota accusativi mit </w:t>
      </w:r>
      <w:r w:rsidRPr="00B33854">
        <w:rPr>
          <w:rFonts w:eastAsia="Times New Roman"/>
          <w:b/>
          <w:bCs/>
          <w:rtl/>
          <w:lang w:eastAsia="de-DE"/>
        </w:rPr>
        <w:t>גֹּדֶל</w:t>
      </w:r>
      <w:r w:rsidRPr="00B33854">
        <w:rPr>
          <w:rFonts w:eastAsia="Times New Roman"/>
          <w:rtl/>
          <w:lang w:eastAsia="de-DE"/>
        </w:rPr>
        <w:t xml:space="preserve"> </w:t>
      </w:r>
      <w:r w:rsidRPr="00B33854">
        <w:rPr>
          <w:rFonts w:eastAsia="Times New Roman"/>
          <w:lang w:eastAsia="de-DE"/>
        </w:rPr>
        <w:t xml:space="preserve">(„Größe") im Construct und Suffix 2. Person Singular maskulin. </w:t>
      </w:r>
      <w:r w:rsidRPr="00B33854">
        <w:rPr>
          <w:rFonts w:eastAsia="Times New Roman"/>
          <w:b/>
          <w:bCs/>
          <w:rtl/>
          <w:lang w:eastAsia="de-DE"/>
        </w:rPr>
        <w:t>וְאֶת־יָדְךָ הַחֲזָקָה</w:t>
      </w:r>
      <w:r w:rsidRPr="00B33854">
        <w:rPr>
          <w:rFonts w:eastAsia="Times New Roman"/>
          <w:rtl/>
          <w:lang w:eastAsia="de-DE"/>
        </w:rPr>
        <w:t xml:space="preserve"> </w:t>
      </w:r>
      <w:r w:rsidRPr="00B33854">
        <w:rPr>
          <w:rFonts w:eastAsia="Times New Roman"/>
          <w:lang w:eastAsia="de-DE"/>
        </w:rPr>
        <w:t xml:space="preserve">ist koordiniert: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 xml:space="preserve">mit nota accusativi, </w:t>
      </w:r>
      <w:r w:rsidRPr="00B33854">
        <w:rPr>
          <w:rFonts w:eastAsia="Times New Roman"/>
          <w:b/>
          <w:bCs/>
          <w:rtl/>
          <w:lang w:eastAsia="de-DE"/>
        </w:rPr>
        <w:t>יָד</w:t>
      </w:r>
      <w:r w:rsidRPr="00B33854">
        <w:rPr>
          <w:rFonts w:eastAsia="Times New Roman"/>
          <w:rtl/>
          <w:lang w:eastAsia="de-DE"/>
        </w:rPr>
        <w:t xml:space="preserve"> </w:t>
      </w:r>
      <w:r w:rsidRPr="00B33854">
        <w:rPr>
          <w:rFonts w:eastAsia="Times New Roman"/>
          <w:lang w:eastAsia="de-DE"/>
        </w:rPr>
        <w:t xml:space="preserve">(„Hand") im Construct mit Suffix 2. Person Singular maskulin, und dem attributiven Adjektiv </w:t>
      </w:r>
      <w:r w:rsidRPr="00B33854">
        <w:rPr>
          <w:rFonts w:eastAsia="Times New Roman"/>
          <w:b/>
          <w:bCs/>
          <w:rtl/>
          <w:lang w:eastAsia="de-DE"/>
        </w:rPr>
        <w:t>הַחֲזָקָה</w:t>
      </w:r>
      <w:r w:rsidRPr="00B33854">
        <w:rPr>
          <w:rFonts w:eastAsia="Times New Roman"/>
          <w:rtl/>
          <w:lang w:eastAsia="de-DE"/>
        </w:rPr>
        <w:t xml:space="preserve"> </w:t>
      </w:r>
      <w:r w:rsidRPr="00B33854">
        <w:rPr>
          <w:rFonts w:eastAsia="Times New Roman"/>
          <w:lang w:eastAsia="de-DE"/>
        </w:rPr>
        <w:t>(„stark", feminin Singular mit Artikel).</w:t>
      </w:r>
    </w:p>
    <w:p w14:paraId="05ED3977"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אֲשֶׁר מִי־אֵל בַּשָּׁמַיִם וּבָאָרֶץ</w:t>
      </w:r>
      <w:r w:rsidRPr="00B33854">
        <w:rPr>
          <w:rFonts w:eastAsia="Times New Roman"/>
          <w:rtl/>
          <w:lang w:eastAsia="de-DE"/>
        </w:rPr>
        <w:t xml:space="preserve"> </w:t>
      </w:r>
      <w:r w:rsidRPr="00B33854">
        <w:rPr>
          <w:rFonts w:eastAsia="Times New Roman"/>
          <w:lang w:eastAsia="de-DE"/>
        </w:rPr>
        <w:t xml:space="preserve">ist ein kausaler bzw. explikativer Relativsatz mit rhetorischer Frage: </w:t>
      </w:r>
      <w:r w:rsidRPr="00B33854">
        <w:rPr>
          <w:rFonts w:eastAsia="Times New Roman"/>
          <w:b/>
          <w:bCs/>
          <w:rtl/>
          <w:lang w:eastAsia="de-DE"/>
        </w:rPr>
        <w:t>אֲשֶׁר</w:t>
      </w:r>
      <w:r w:rsidRPr="00B33854">
        <w:rPr>
          <w:rFonts w:eastAsia="Times New Roman"/>
          <w:rtl/>
          <w:lang w:eastAsia="de-DE"/>
        </w:rPr>
        <w:t xml:space="preserve"> </w:t>
      </w:r>
      <w:r w:rsidRPr="00B33854">
        <w:rPr>
          <w:rFonts w:eastAsia="Times New Roman"/>
          <w:lang w:eastAsia="de-DE"/>
        </w:rPr>
        <w:t xml:space="preserve">als Relativpronomen (hier kausal „denn"), </w:t>
      </w:r>
      <w:r w:rsidRPr="00B33854">
        <w:rPr>
          <w:rFonts w:eastAsia="Times New Roman"/>
          <w:b/>
          <w:bCs/>
          <w:rtl/>
          <w:lang w:eastAsia="de-DE"/>
        </w:rPr>
        <w:t>מִי</w:t>
      </w:r>
      <w:r w:rsidRPr="00B33854">
        <w:rPr>
          <w:rFonts w:eastAsia="Times New Roman"/>
          <w:rtl/>
          <w:lang w:eastAsia="de-DE"/>
        </w:rPr>
        <w:t xml:space="preserve"> </w:t>
      </w:r>
      <w:r w:rsidRPr="00B33854">
        <w:rPr>
          <w:rFonts w:eastAsia="Times New Roman"/>
          <w:lang w:eastAsia="de-DE"/>
        </w:rPr>
        <w:t xml:space="preserve">als Fragepronomen, </w:t>
      </w:r>
      <w:r w:rsidRPr="00B33854">
        <w:rPr>
          <w:rFonts w:eastAsia="Times New Roman"/>
          <w:b/>
          <w:bCs/>
          <w:rtl/>
          <w:lang w:eastAsia="de-DE"/>
        </w:rPr>
        <w:t>אֵל</w:t>
      </w:r>
      <w:r w:rsidRPr="00B33854">
        <w:rPr>
          <w:rFonts w:eastAsia="Times New Roman"/>
          <w:rtl/>
          <w:lang w:eastAsia="de-DE"/>
        </w:rPr>
        <w:t xml:space="preserve"> </w:t>
      </w:r>
      <w:r w:rsidRPr="00B33854">
        <w:rPr>
          <w:rFonts w:eastAsia="Times New Roman"/>
          <w:lang w:eastAsia="de-DE"/>
        </w:rPr>
        <w:t xml:space="preserve">(„Gott"), </w:t>
      </w:r>
      <w:r w:rsidRPr="00B33854">
        <w:rPr>
          <w:rFonts w:eastAsia="Times New Roman"/>
          <w:b/>
          <w:bCs/>
          <w:rtl/>
          <w:lang w:eastAsia="de-DE"/>
        </w:rPr>
        <w:t>בַּשָּׁמַיִם וּבָאָרֶץ</w:t>
      </w:r>
      <w:r w:rsidRPr="00B33854">
        <w:rPr>
          <w:rFonts w:eastAsia="Times New Roman"/>
          <w:rtl/>
          <w:lang w:eastAsia="de-DE"/>
        </w:rPr>
        <w:t xml:space="preserve"> </w:t>
      </w:r>
      <w:r w:rsidRPr="00B33854">
        <w:rPr>
          <w:rFonts w:eastAsia="Times New Roman"/>
          <w:lang w:eastAsia="de-DE"/>
        </w:rPr>
        <w:t xml:space="preserve">als koordinierte Ortsangaben mit </w:t>
      </w:r>
      <w:r w:rsidRPr="00B33854">
        <w:rPr>
          <w:rFonts w:eastAsia="Times New Roman"/>
          <w:b/>
          <w:bCs/>
          <w:rtl/>
          <w:lang w:eastAsia="de-DE"/>
        </w:rPr>
        <w:t>בְּ</w:t>
      </w:r>
      <w:r w:rsidRPr="00B33854">
        <w:rPr>
          <w:rFonts w:eastAsia="Times New Roman"/>
          <w:lang w:eastAsia="de-DE"/>
        </w:rPr>
        <w:t xml:space="preserve">. </w:t>
      </w:r>
      <w:r w:rsidRPr="00B33854">
        <w:rPr>
          <w:rFonts w:eastAsia="Times New Roman"/>
          <w:b/>
          <w:bCs/>
          <w:rtl/>
          <w:lang w:eastAsia="de-DE"/>
        </w:rPr>
        <w:t>אֲשֶׁר־יַעֲשֶׂה כְמַעֲשֶׂיךָ וְכִגְבוּרֹתֶךָ</w:t>
      </w:r>
      <w:r w:rsidRPr="00B33854">
        <w:rPr>
          <w:rFonts w:eastAsia="Times New Roman"/>
          <w:rtl/>
          <w:lang w:eastAsia="de-DE"/>
        </w:rPr>
        <w:t xml:space="preserve"> </w:t>
      </w:r>
      <w:r w:rsidRPr="00B33854">
        <w:rPr>
          <w:rFonts w:eastAsia="Times New Roman"/>
          <w:lang w:eastAsia="de-DE"/>
        </w:rPr>
        <w:t xml:space="preserve">ist ein weiterer Relativsatz: </w:t>
      </w:r>
      <w:r w:rsidRPr="00B33854">
        <w:rPr>
          <w:rFonts w:eastAsia="Times New Roman"/>
          <w:b/>
          <w:bCs/>
          <w:rtl/>
          <w:lang w:eastAsia="de-DE"/>
        </w:rPr>
        <w:t>אֲשֶׁר</w:t>
      </w:r>
      <w:r w:rsidRPr="00B33854">
        <w:rPr>
          <w:rFonts w:eastAsia="Times New Roman"/>
          <w:lang w:eastAsia="de-DE"/>
        </w:rPr>
        <w:t xml:space="preserve">, </w:t>
      </w:r>
      <w:r w:rsidRPr="00B33854">
        <w:rPr>
          <w:rFonts w:eastAsia="Times New Roman"/>
          <w:b/>
          <w:bCs/>
          <w:rtl/>
          <w:lang w:eastAsia="de-DE"/>
        </w:rPr>
        <w:t>יַעֲשֶׂה</w:t>
      </w:r>
      <w:r w:rsidRPr="00B33854">
        <w:rPr>
          <w:rFonts w:eastAsia="Times New Roman"/>
          <w:rtl/>
          <w:lang w:eastAsia="de-DE"/>
        </w:rPr>
        <w:t xml:space="preserve"> </w:t>
      </w:r>
      <w:r w:rsidRPr="00B33854">
        <w:rPr>
          <w:rFonts w:eastAsia="Times New Roman"/>
          <w:lang w:eastAsia="de-DE"/>
        </w:rPr>
        <w:t xml:space="preserve">(Qal Imperfekt, 3. Person Singular maskulin von </w:t>
      </w:r>
      <w:r w:rsidRPr="00B33854">
        <w:rPr>
          <w:rFonts w:eastAsia="Times New Roman"/>
          <w:b/>
          <w:bCs/>
          <w:rtl/>
          <w:lang w:eastAsia="de-DE"/>
        </w:rPr>
        <w:t>עשׂה</w:t>
      </w:r>
      <w:r w:rsidRPr="00B33854">
        <w:rPr>
          <w:rFonts w:eastAsia="Times New Roman"/>
          <w:lang w:eastAsia="de-DE"/>
        </w:rPr>
        <w:t xml:space="preserve">), </w:t>
      </w:r>
      <w:r w:rsidRPr="00B33854">
        <w:rPr>
          <w:rFonts w:eastAsia="Times New Roman"/>
          <w:b/>
          <w:bCs/>
          <w:rtl/>
          <w:lang w:eastAsia="de-DE"/>
        </w:rPr>
        <w:t>כְמַעֲשֶׂיךָ</w:t>
      </w:r>
      <w:r w:rsidRPr="00B33854">
        <w:rPr>
          <w:rFonts w:eastAsia="Times New Roman"/>
          <w:rtl/>
          <w:lang w:eastAsia="de-DE"/>
        </w:rPr>
        <w:t xml:space="preserve"> </w:t>
      </w:r>
      <w:r w:rsidRPr="00B33854">
        <w:rPr>
          <w:rFonts w:eastAsia="Times New Roman"/>
          <w:lang w:eastAsia="de-DE"/>
        </w:rPr>
        <w:t>(</w:t>
      </w:r>
      <w:r w:rsidRPr="00B33854">
        <w:rPr>
          <w:rFonts w:eastAsia="Times New Roman"/>
          <w:b/>
          <w:bCs/>
          <w:rtl/>
          <w:lang w:eastAsia="de-DE"/>
        </w:rPr>
        <w:t>כְּ</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מַעֲשֶׂה</w:t>
      </w:r>
      <w:r w:rsidRPr="00B33854">
        <w:rPr>
          <w:rFonts w:eastAsia="Times New Roman"/>
          <w:rtl/>
          <w:lang w:eastAsia="de-DE"/>
        </w:rPr>
        <w:t xml:space="preserve"> </w:t>
      </w:r>
      <w:r w:rsidRPr="00B33854">
        <w:rPr>
          <w:rFonts w:eastAsia="Times New Roman"/>
          <w:lang w:eastAsia="de-DE"/>
        </w:rPr>
        <w:t xml:space="preserve">im Plural Construct und Suffix 2. Person Singular maskulin), und koordiniertes </w:t>
      </w:r>
      <w:r w:rsidRPr="00B33854">
        <w:rPr>
          <w:rFonts w:eastAsia="Times New Roman"/>
          <w:b/>
          <w:bCs/>
          <w:rtl/>
          <w:lang w:eastAsia="de-DE"/>
        </w:rPr>
        <w:t>וְכִגְבוּרֹתֶךָ</w:t>
      </w:r>
      <w:r w:rsidRPr="00B33854">
        <w:rPr>
          <w:rFonts w:eastAsia="Times New Roman"/>
          <w:rtl/>
          <w:lang w:eastAsia="de-DE"/>
        </w:rPr>
        <w:t xml:space="preserve"> </w:t>
      </w:r>
      <w:r w:rsidRPr="00B33854">
        <w:rPr>
          <w:rFonts w:eastAsia="Times New Roman"/>
          <w:lang w:eastAsia="de-DE"/>
        </w:rPr>
        <w:t>(</w:t>
      </w:r>
      <w:r w:rsidRPr="00B33854">
        <w:rPr>
          <w:rFonts w:eastAsia="Times New Roman"/>
          <w:b/>
          <w:bCs/>
          <w:rtl/>
          <w:lang w:eastAsia="de-DE"/>
        </w:rPr>
        <w:t>כְּ</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גְּבוּרָה</w:t>
      </w:r>
      <w:r w:rsidRPr="00B33854">
        <w:rPr>
          <w:rFonts w:eastAsia="Times New Roman"/>
          <w:rtl/>
          <w:lang w:eastAsia="de-DE"/>
        </w:rPr>
        <w:t xml:space="preserve"> </w:t>
      </w:r>
      <w:r w:rsidRPr="00B33854">
        <w:rPr>
          <w:rFonts w:eastAsia="Times New Roman"/>
          <w:lang w:eastAsia="de-DE"/>
        </w:rPr>
        <w:t>im Plural Construct und Suffix 2. Person Singular maskulin).</w:t>
      </w:r>
    </w:p>
    <w:p w14:paraId="78C25023"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Die LXX</w:t>
      </w:r>
      <w:r w:rsidRPr="00B33854">
        <w:rPr>
          <w:rFonts w:eastAsia="Times New Roman"/>
          <w:lang w:eastAsia="de-DE"/>
        </w:rPr>
        <w:t xml:space="preserve"> übersetzt „deine starke Hand" mit τὴν </w:t>
      </w:r>
      <w:proofErr w:type="spellStart"/>
      <w:r w:rsidRPr="00B33854">
        <w:rPr>
          <w:rFonts w:eastAsia="Times New Roman"/>
          <w:lang w:eastAsia="de-DE"/>
        </w:rPr>
        <w:t>χεῖρ</w:t>
      </w:r>
      <w:proofErr w:type="spellEnd"/>
      <w:r w:rsidRPr="00B33854">
        <w:rPr>
          <w:rFonts w:eastAsia="Times New Roman"/>
          <w:lang w:eastAsia="de-DE"/>
        </w:rPr>
        <w:t xml:space="preserve">α τὴν </w:t>
      </w:r>
      <w:proofErr w:type="spellStart"/>
      <w:r w:rsidRPr="00B33854">
        <w:rPr>
          <w:rFonts w:eastAsia="Times New Roman"/>
          <w:lang w:eastAsia="de-DE"/>
        </w:rPr>
        <w:t>κρ</w:t>
      </w:r>
      <w:proofErr w:type="spellEnd"/>
      <w:r w:rsidRPr="00B33854">
        <w:rPr>
          <w:rFonts w:eastAsia="Times New Roman"/>
          <w:lang w:eastAsia="de-DE"/>
        </w:rPr>
        <w:t xml:space="preserve">αταιὰν („die starke Hand") und „deine Machttaten" mit τὴν </w:t>
      </w:r>
      <w:proofErr w:type="spellStart"/>
      <w:r w:rsidRPr="00B33854">
        <w:rPr>
          <w:rFonts w:eastAsia="Times New Roman"/>
          <w:lang w:eastAsia="de-DE"/>
        </w:rPr>
        <w:t>ἰσχύν</w:t>
      </w:r>
      <w:proofErr w:type="spellEnd"/>
      <w:r w:rsidRPr="00B33854">
        <w:rPr>
          <w:rFonts w:eastAsia="Times New Roman"/>
          <w:lang w:eastAsia="de-DE"/>
        </w:rPr>
        <w:t xml:space="preserve"> </w:t>
      </w:r>
      <w:proofErr w:type="spellStart"/>
      <w:r w:rsidRPr="00B33854">
        <w:rPr>
          <w:rFonts w:eastAsia="Times New Roman"/>
          <w:lang w:eastAsia="de-DE"/>
        </w:rPr>
        <w:t>σου</w:t>
      </w:r>
      <w:proofErr w:type="spellEnd"/>
      <w:r w:rsidRPr="00B33854">
        <w:rPr>
          <w:rFonts w:eastAsia="Times New Roman"/>
          <w:lang w:eastAsia="de-DE"/>
        </w:rPr>
        <w:t xml:space="preserve"> („deine Stärke").</w:t>
      </w:r>
    </w:p>
    <w:p w14:paraId="51893A9C" w14:textId="602E0E91"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 xml:space="preserve">Die Satzstruktur besteht aus einer doppelten Anrede mit emphatischem Pronomen, einem Hauptsatz mit Infinitivkonstruktion und zweigliedriger Objektkette, und einem kausalen Relativsatz mit doppelter rhetorischer Frage (wer-Frage und was-Frage). Die rhetorischen Fragen erwarten die Antwort „niemand" und unterstreichen die Einzigartigkeit </w:t>
      </w:r>
      <w:r w:rsidR="00ED2181">
        <w:rPr>
          <w:rFonts w:eastAsia="Times New Roman"/>
          <w:lang w:eastAsia="de-DE"/>
        </w:rPr>
        <w:t>JHWH</w:t>
      </w:r>
      <w:r w:rsidRPr="00B33854">
        <w:rPr>
          <w:rFonts w:eastAsia="Times New Roman"/>
          <w:lang w:eastAsia="de-DE"/>
        </w:rPr>
        <w:t>s.</w:t>
      </w:r>
    </w:p>
    <w:p w14:paraId="189A6218" w14:textId="6507DD2A"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 xml:space="preserve">Der Vers beginnt Moses Bitte mit einem Lobpreis auf </w:t>
      </w:r>
      <w:r w:rsidR="00ED2181">
        <w:rPr>
          <w:rFonts w:eastAsia="Times New Roman"/>
          <w:lang w:eastAsia="de-DE"/>
        </w:rPr>
        <w:t>JHWHs</w:t>
      </w:r>
      <w:r w:rsidR="00ED2181" w:rsidRPr="00B33854">
        <w:rPr>
          <w:rFonts w:eastAsia="Times New Roman"/>
          <w:lang w:eastAsia="de-DE"/>
        </w:rPr>
        <w:t xml:space="preserve"> </w:t>
      </w:r>
      <w:r w:rsidRPr="00B33854">
        <w:rPr>
          <w:rFonts w:eastAsia="Times New Roman"/>
          <w:lang w:eastAsia="de-DE"/>
        </w:rPr>
        <w:t>einzigartige Größe und Macht, die Mose bereits teilweise erfahren durfte.</w:t>
      </w:r>
      <w:r w:rsidR="00ED2181" w:rsidRPr="00ED2181">
        <w:rPr>
          <w:rFonts w:eastAsia="Times New Roman"/>
          <w:lang w:eastAsia="de-DE"/>
        </w:rPr>
        <w:t xml:space="preserve"> </w:t>
      </w:r>
    </w:p>
    <w:p w14:paraId="75B1EA03"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3,25</w:t>
      </w:r>
    </w:p>
    <w:p w14:paraId="456B773E"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אֶעְבְּרָה־נָּ֗א וְאֶרְאֶה֙ אֶת־הָאָ֣רֶץ הַטּוֹבָ֔ה אֲשֶׁ֖ר בְּעֵ֣בֶר הַיַּרְדֵּ֑ן הָהָ֥ר הַטּ֛וֹב הַזֶּ֖ה וְהַלְּבָנֽוֹן׃</w:t>
      </w:r>
    </w:p>
    <w:p w14:paraId="46CA4CA1"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Lass mich doch hinüberziehen und sehen das gute Land, das jenseits des Jardens ist, dieses gute Gebirge und den Levanon.</w:t>
      </w:r>
    </w:p>
    <w:p w14:paraId="59EAA4CA"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138ECD1C">
          <v:rect id="_x0000_i1132" style="width:0;height:1.5pt" o:hralign="center" o:hrstd="t" o:hr="t" fillcolor="#a0a0a0" stroked="f"/>
        </w:pict>
      </w:r>
    </w:p>
    <w:p w14:paraId="19C0AD3B" w14:textId="1CC4550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אֶעְבְּרָה־נָּא</w:t>
      </w:r>
      <w:r w:rsidRPr="00B33854">
        <w:rPr>
          <w:rFonts w:eastAsia="Times New Roman"/>
          <w:rtl/>
          <w:lang w:eastAsia="de-DE"/>
        </w:rPr>
        <w:t xml:space="preserve"> </w:t>
      </w:r>
      <w:r w:rsidRPr="00B33854">
        <w:rPr>
          <w:rFonts w:eastAsia="Times New Roman"/>
          <w:lang w:eastAsia="de-DE"/>
        </w:rPr>
        <w:t xml:space="preserve">ist Qal Kohortativ, 1. Person Singular von </w:t>
      </w:r>
      <w:r w:rsidRPr="00B33854">
        <w:rPr>
          <w:rFonts w:eastAsia="Times New Roman"/>
          <w:b/>
          <w:bCs/>
          <w:rtl/>
          <w:lang w:eastAsia="de-DE"/>
        </w:rPr>
        <w:t>עבר</w:t>
      </w:r>
      <w:r w:rsidRPr="00B33854">
        <w:rPr>
          <w:rFonts w:eastAsia="Times New Roman"/>
          <w:rtl/>
          <w:lang w:eastAsia="de-DE"/>
        </w:rPr>
        <w:t xml:space="preserve"> </w:t>
      </w:r>
      <w:r w:rsidRPr="00B33854">
        <w:rPr>
          <w:rFonts w:eastAsia="Times New Roman"/>
          <w:lang w:eastAsia="de-DE"/>
        </w:rPr>
        <w:t xml:space="preserve">(„hinübergehen") mit der Bittpartikel </w:t>
      </w:r>
      <w:r w:rsidRPr="00B33854">
        <w:rPr>
          <w:rFonts w:eastAsia="Times New Roman"/>
          <w:b/>
          <w:bCs/>
          <w:rtl/>
          <w:lang w:eastAsia="de-DE"/>
        </w:rPr>
        <w:t>נָא</w:t>
      </w:r>
      <w:r w:rsidRPr="00B33854">
        <w:rPr>
          <w:rFonts w:eastAsia="Times New Roman"/>
          <w:rtl/>
          <w:lang w:eastAsia="de-DE"/>
        </w:rPr>
        <w:t xml:space="preserve"> </w:t>
      </w:r>
      <w:r w:rsidRPr="00B33854">
        <w:rPr>
          <w:rFonts w:eastAsia="Times New Roman"/>
          <w:lang w:eastAsia="de-DE"/>
        </w:rPr>
        <w:t xml:space="preserve">(„doch, bitte"), durch </w:t>
      </w:r>
      <w:r w:rsidR="00324616">
        <w:rPr>
          <w:rFonts w:eastAsia="Times New Roman"/>
          <w:lang w:eastAsia="de-DE"/>
        </w:rPr>
        <w:t>Maqqef</w:t>
      </w:r>
      <w:r w:rsidRPr="00B33854">
        <w:rPr>
          <w:rFonts w:eastAsia="Times New Roman"/>
          <w:lang w:eastAsia="de-DE"/>
        </w:rPr>
        <w:t xml:space="preserve"> verbunden. </w:t>
      </w:r>
      <w:r w:rsidRPr="00B33854">
        <w:rPr>
          <w:rFonts w:eastAsia="Times New Roman"/>
          <w:b/>
          <w:bCs/>
          <w:rtl/>
          <w:lang w:eastAsia="de-DE"/>
        </w:rPr>
        <w:t>וְאֶרְאֶה</w:t>
      </w:r>
      <w:r w:rsidRPr="00B33854">
        <w:rPr>
          <w:rFonts w:eastAsia="Times New Roman"/>
          <w:rtl/>
          <w:lang w:eastAsia="de-DE"/>
        </w:rPr>
        <w:t xml:space="preserve"> </w:t>
      </w:r>
      <w:r w:rsidRPr="00B33854">
        <w:rPr>
          <w:rFonts w:eastAsia="Times New Roman"/>
          <w:lang w:eastAsia="de-DE"/>
        </w:rPr>
        <w:t xml:space="preserve">ist Qal Kohortativ, 1. Person Singular von </w:t>
      </w:r>
      <w:r w:rsidRPr="00B33854">
        <w:rPr>
          <w:rFonts w:eastAsia="Times New Roman"/>
          <w:b/>
          <w:bCs/>
          <w:rtl/>
          <w:lang w:eastAsia="de-DE"/>
        </w:rPr>
        <w:t>ראה</w:t>
      </w:r>
      <w:r w:rsidRPr="00B33854">
        <w:rPr>
          <w:rFonts w:eastAsia="Times New Roman"/>
          <w:rtl/>
          <w:lang w:eastAsia="de-DE"/>
        </w:rPr>
        <w:t xml:space="preserve"> </w:t>
      </w:r>
      <w:r w:rsidRPr="00B33854">
        <w:rPr>
          <w:rFonts w:eastAsia="Times New Roman"/>
          <w:lang w:eastAsia="de-DE"/>
        </w:rPr>
        <w:t xml:space="preserve">(„sehen") mit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 xml:space="preserve">– koordiniert mit der vorherigen Bitte. </w:t>
      </w:r>
      <w:r w:rsidRPr="00B33854">
        <w:rPr>
          <w:rFonts w:eastAsia="Times New Roman"/>
          <w:b/>
          <w:bCs/>
          <w:rtl/>
          <w:lang w:eastAsia="de-DE"/>
        </w:rPr>
        <w:t>אֶת־הָאָרֶץ הַטּוֹבָה</w:t>
      </w:r>
      <w:r w:rsidRPr="00B33854">
        <w:rPr>
          <w:rFonts w:eastAsia="Times New Roman"/>
          <w:rtl/>
          <w:lang w:eastAsia="de-DE"/>
        </w:rPr>
        <w:t xml:space="preserve"> </w:t>
      </w:r>
      <w:r w:rsidRPr="00B33854">
        <w:rPr>
          <w:rFonts w:eastAsia="Times New Roman"/>
          <w:lang w:eastAsia="de-DE"/>
        </w:rPr>
        <w:t xml:space="preserve">ist nota accusativi mit </w:t>
      </w:r>
      <w:r w:rsidRPr="00B33854">
        <w:rPr>
          <w:rFonts w:eastAsia="Times New Roman"/>
          <w:b/>
          <w:bCs/>
          <w:rtl/>
          <w:lang w:eastAsia="de-DE"/>
        </w:rPr>
        <w:t>הָאָרֶץ</w:t>
      </w:r>
      <w:r w:rsidRPr="00B33854">
        <w:rPr>
          <w:rFonts w:eastAsia="Times New Roman"/>
          <w:rtl/>
          <w:lang w:eastAsia="de-DE"/>
        </w:rPr>
        <w:t xml:space="preserve"> </w:t>
      </w:r>
      <w:r w:rsidRPr="00B33854">
        <w:rPr>
          <w:rFonts w:eastAsia="Times New Roman"/>
          <w:lang w:eastAsia="de-DE"/>
        </w:rPr>
        <w:t xml:space="preserve">und dem attributiven Adjektiv </w:t>
      </w:r>
      <w:r w:rsidRPr="00B33854">
        <w:rPr>
          <w:rFonts w:eastAsia="Times New Roman"/>
          <w:b/>
          <w:bCs/>
          <w:rtl/>
          <w:lang w:eastAsia="de-DE"/>
        </w:rPr>
        <w:t>הַטּוֹבָה</w:t>
      </w:r>
      <w:r w:rsidRPr="00B33854">
        <w:rPr>
          <w:rFonts w:eastAsia="Times New Roman"/>
          <w:rtl/>
          <w:lang w:eastAsia="de-DE"/>
        </w:rPr>
        <w:t xml:space="preserve"> </w:t>
      </w:r>
      <w:r w:rsidRPr="00B33854">
        <w:rPr>
          <w:rFonts w:eastAsia="Times New Roman"/>
          <w:lang w:eastAsia="de-DE"/>
        </w:rPr>
        <w:t xml:space="preserve">(„gut", feminin Singular mit Artikel). </w:t>
      </w:r>
      <w:r w:rsidRPr="00B33854">
        <w:rPr>
          <w:rFonts w:eastAsia="Times New Roman"/>
          <w:b/>
          <w:bCs/>
          <w:rtl/>
          <w:lang w:eastAsia="de-DE"/>
        </w:rPr>
        <w:t>אֲשֶׁר בְּעֵבֶר הַיַּרְדֵּן</w:t>
      </w:r>
      <w:r w:rsidRPr="00B33854">
        <w:rPr>
          <w:rFonts w:eastAsia="Times New Roman"/>
          <w:rtl/>
          <w:lang w:eastAsia="de-DE"/>
        </w:rPr>
        <w:t xml:space="preserve"> </w:t>
      </w:r>
      <w:r w:rsidRPr="00B33854">
        <w:rPr>
          <w:rFonts w:eastAsia="Times New Roman"/>
          <w:lang w:eastAsia="de-DE"/>
        </w:rPr>
        <w:t xml:space="preserve">ist ein Relativsatz: </w:t>
      </w:r>
      <w:r w:rsidRPr="00B33854">
        <w:rPr>
          <w:rFonts w:eastAsia="Times New Roman"/>
          <w:b/>
          <w:bCs/>
          <w:rtl/>
          <w:lang w:eastAsia="de-DE"/>
        </w:rPr>
        <w:t>אֲשֶׁר</w:t>
      </w:r>
      <w:r w:rsidRPr="00B33854">
        <w:rPr>
          <w:rFonts w:eastAsia="Times New Roman"/>
          <w:rtl/>
          <w:lang w:eastAsia="de-DE"/>
        </w:rPr>
        <w:t xml:space="preserve"> </w:t>
      </w:r>
      <w:r w:rsidRPr="00B33854">
        <w:rPr>
          <w:rFonts w:eastAsia="Times New Roman"/>
          <w:lang w:eastAsia="de-DE"/>
        </w:rPr>
        <w:t xml:space="preserve">als Relativpronomen, </w:t>
      </w:r>
      <w:r w:rsidRPr="00B33854">
        <w:rPr>
          <w:rFonts w:eastAsia="Times New Roman"/>
          <w:b/>
          <w:bCs/>
          <w:rtl/>
          <w:lang w:eastAsia="de-DE"/>
        </w:rPr>
        <w:t>בְּעֵבֶר</w:t>
      </w:r>
      <w:r w:rsidRPr="00B33854">
        <w:rPr>
          <w:rFonts w:eastAsia="Times New Roman"/>
          <w:rtl/>
          <w:lang w:eastAsia="de-DE"/>
        </w:rPr>
        <w:t xml:space="preserve"> </w:t>
      </w:r>
      <w:r w:rsidRPr="00B33854">
        <w:rPr>
          <w:rFonts w:eastAsia="Times New Roman"/>
          <w:lang w:eastAsia="de-DE"/>
        </w:rPr>
        <w:t xml:space="preserve">als Präposition </w:t>
      </w:r>
      <w:r w:rsidRPr="00B33854">
        <w:rPr>
          <w:rFonts w:eastAsia="Times New Roman"/>
          <w:b/>
          <w:bCs/>
          <w:rtl/>
          <w:lang w:eastAsia="de-DE"/>
        </w:rPr>
        <w:t>בְּ</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עֵבֶר</w:t>
      </w:r>
      <w:r w:rsidRPr="00B33854">
        <w:rPr>
          <w:rFonts w:eastAsia="Times New Roman"/>
          <w:rtl/>
          <w:lang w:eastAsia="de-DE"/>
        </w:rPr>
        <w:t xml:space="preserve"> </w:t>
      </w:r>
      <w:r w:rsidRPr="00B33854">
        <w:rPr>
          <w:rFonts w:eastAsia="Times New Roman"/>
          <w:lang w:eastAsia="de-DE"/>
        </w:rPr>
        <w:t xml:space="preserve">(„Seite, jenseits") im Construct, </w:t>
      </w:r>
      <w:r w:rsidRPr="00B33854">
        <w:rPr>
          <w:rFonts w:eastAsia="Times New Roman"/>
          <w:b/>
          <w:bCs/>
          <w:rtl/>
          <w:lang w:eastAsia="de-DE"/>
        </w:rPr>
        <w:t>הַיַּרְדֵּן</w:t>
      </w:r>
      <w:r w:rsidRPr="00B33854">
        <w:rPr>
          <w:rFonts w:eastAsia="Times New Roman"/>
          <w:rtl/>
          <w:lang w:eastAsia="de-DE"/>
        </w:rPr>
        <w:t xml:space="preserve"> </w:t>
      </w:r>
      <w:r w:rsidRPr="00B33854">
        <w:rPr>
          <w:rFonts w:eastAsia="Times New Roman"/>
          <w:lang w:eastAsia="de-DE"/>
        </w:rPr>
        <w:t>mit Artikel.</w:t>
      </w:r>
    </w:p>
    <w:p w14:paraId="0FC26DBA"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הָהָר הַטּוֹב הַזֶּה</w:t>
      </w:r>
      <w:r w:rsidRPr="00B33854">
        <w:rPr>
          <w:rFonts w:eastAsia="Times New Roman"/>
          <w:rtl/>
          <w:lang w:eastAsia="de-DE"/>
        </w:rPr>
        <w:t xml:space="preserve"> </w:t>
      </w:r>
      <w:r w:rsidRPr="00B33854">
        <w:rPr>
          <w:rFonts w:eastAsia="Times New Roman"/>
          <w:lang w:eastAsia="de-DE"/>
        </w:rPr>
        <w:t xml:space="preserve">ist eine appositionelle Präzisierung: </w:t>
      </w:r>
      <w:r w:rsidRPr="00B33854">
        <w:rPr>
          <w:rFonts w:eastAsia="Times New Roman"/>
          <w:b/>
          <w:bCs/>
          <w:rtl/>
          <w:lang w:eastAsia="de-DE"/>
        </w:rPr>
        <w:t>הָהָר</w:t>
      </w:r>
      <w:r w:rsidRPr="00B33854">
        <w:rPr>
          <w:rFonts w:eastAsia="Times New Roman"/>
          <w:rtl/>
          <w:lang w:eastAsia="de-DE"/>
        </w:rPr>
        <w:t xml:space="preserve"> </w:t>
      </w:r>
      <w:r w:rsidRPr="00B33854">
        <w:rPr>
          <w:rFonts w:eastAsia="Times New Roman"/>
          <w:lang w:eastAsia="de-DE"/>
        </w:rPr>
        <w:t xml:space="preserve">(„das Gebirge", mit Artikel), </w:t>
      </w:r>
      <w:r w:rsidRPr="00B33854">
        <w:rPr>
          <w:rFonts w:eastAsia="Times New Roman"/>
          <w:b/>
          <w:bCs/>
          <w:rtl/>
          <w:lang w:eastAsia="de-DE"/>
        </w:rPr>
        <w:t>הַטּוֹב</w:t>
      </w:r>
      <w:r w:rsidRPr="00B33854">
        <w:rPr>
          <w:rFonts w:eastAsia="Times New Roman"/>
          <w:rtl/>
          <w:lang w:eastAsia="de-DE"/>
        </w:rPr>
        <w:t xml:space="preserve"> </w:t>
      </w:r>
      <w:r w:rsidRPr="00B33854">
        <w:rPr>
          <w:rFonts w:eastAsia="Times New Roman"/>
          <w:lang w:eastAsia="de-DE"/>
        </w:rPr>
        <w:t xml:space="preserve">(attributives Adjektiv „gut", maskulin Singular mit Artikel), </w:t>
      </w:r>
      <w:r w:rsidRPr="00B33854">
        <w:rPr>
          <w:rFonts w:eastAsia="Times New Roman"/>
          <w:b/>
          <w:bCs/>
          <w:rtl/>
          <w:lang w:eastAsia="de-DE"/>
        </w:rPr>
        <w:t>הַזֶּה</w:t>
      </w:r>
      <w:r w:rsidRPr="00B33854">
        <w:rPr>
          <w:rFonts w:eastAsia="Times New Roman"/>
          <w:rtl/>
          <w:lang w:eastAsia="de-DE"/>
        </w:rPr>
        <w:t xml:space="preserve"> </w:t>
      </w:r>
      <w:r w:rsidRPr="00B33854">
        <w:rPr>
          <w:rFonts w:eastAsia="Times New Roman"/>
          <w:lang w:eastAsia="de-DE"/>
        </w:rPr>
        <w:t xml:space="preserve">(Demonstrativpronomen „dieses" mit Artikel). </w:t>
      </w:r>
      <w:r w:rsidRPr="00B33854">
        <w:rPr>
          <w:rFonts w:eastAsia="Times New Roman"/>
          <w:b/>
          <w:bCs/>
          <w:rtl/>
          <w:lang w:eastAsia="de-DE"/>
        </w:rPr>
        <w:t>וְהַלְּבָנוֹן</w:t>
      </w:r>
      <w:r w:rsidRPr="00B33854">
        <w:rPr>
          <w:rFonts w:eastAsia="Times New Roman"/>
          <w:rtl/>
          <w:lang w:eastAsia="de-DE"/>
        </w:rPr>
        <w:t xml:space="preserve"> </w:t>
      </w:r>
      <w:r w:rsidRPr="00B33854">
        <w:rPr>
          <w:rFonts w:eastAsia="Times New Roman"/>
          <w:lang w:eastAsia="de-DE"/>
        </w:rPr>
        <w:t xml:space="preserve">ist koordiniert: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הַלְּבָנוֹן</w:t>
      </w:r>
      <w:r w:rsidRPr="00B33854">
        <w:rPr>
          <w:rFonts w:eastAsia="Times New Roman"/>
          <w:rtl/>
          <w:lang w:eastAsia="de-DE"/>
        </w:rPr>
        <w:t xml:space="preserve"> </w:t>
      </w:r>
      <w:r w:rsidRPr="00B33854">
        <w:rPr>
          <w:rFonts w:eastAsia="Times New Roman"/>
          <w:lang w:eastAsia="de-DE"/>
        </w:rPr>
        <w:t>(„der Libanon", mit Artikel).</w:t>
      </w:r>
    </w:p>
    <w:p w14:paraId="30F84260"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lastRenderedPageBreak/>
        <w:t>Die Satzstruktur besteht aus zwei koordinierten Kohortativsätzen mit gemeinsamer Objektkette: Das Objekt wird durch ein Adjektiv, einen Relativsatz und zwei appositive Präzisierungen erweitert. Die Kohortativformen drücken Moses dringende Bitte aus.</w:t>
      </w:r>
    </w:p>
    <w:p w14:paraId="3F17337E"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Der Vers formuliert Moses konkreten Wunsch: das westjordanische Land, besonders das Bergland und den Libanon, zu sehen und zu betreten.</w:t>
      </w:r>
    </w:p>
    <w:p w14:paraId="781F41B6"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3,26</w:t>
      </w:r>
    </w:p>
    <w:p w14:paraId="6228D442"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וַיִּתְעַבֵּ֨ר יְהוָ֥ה בִּי֙ לְמַ֣עַנְכֶ֔ם וְלֹ֥א שָׁמַ֖ע אֵלָ֑י וַיֹּ֨אמֶר יְהוָ֤ה אֵלַי֙ רַב־לָ֔ךְ אַל־תּ֗וֹסֶף דַּבֵּ֥ר אֵלַ֛י ע֖וֹד בַּדָּבָ֥ר הַזֶּֽה׃</w:t>
      </w:r>
    </w:p>
    <w:p w14:paraId="5363CC9B"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Aber der Ewige war übergehend über mich um euretwillen und hörte nicht auf mich; und der Ewige sprach zu mir: Genug für dich! Rede nicht mehr zu mir von dieser Sache.</w:t>
      </w:r>
    </w:p>
    <w:p w14:paraId="36AD2DFA"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685F5FB2">
          <v:rect id="_x0000_i1133" style="width:0;height:1.5pt" o:hralign="center" o:hrstd="t" o:hr="t" fillcolor="#a0a0a0" stroked="f"/>
        </w:pict>
      </w:r>
    </w:p>
    <w:p w14:paraId="2CC9973A"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וַיִּתְעַבֵּר</w:t>
      </w:r>
      <w:r w:rsidRPr="00B33854">
        <w:rPr>
          <w:rFonts w:eastAsia="Times New Roman"/>
          <w:rtl/>
          <w:lang w:eastAsia="de-DE"/>
        </w:rPr>
        <w:t xml:space="preserve"> </w:t>
      </w:r>
      <w:r w:rsidRPr="00B33854">
        <w:rPr>
          <w:rFonts w:eastAsia="Times New Roman"/>
          <w:lang w:eastAsia="de-DE"/>
        </w:rPr>
        <w:t xml:space="preserve">ist Hitpael Imperfekt consecutivum, 3. Person Singular maskulin von </w:t>
      </w:r>
      <w:r w:rsidRPr="00B33854">
        <w:rPr>
          <w:rFonts w:eastAsia="Times New Roman"/>
          <w:b/>
          <w:bCs/>
          <w:rtl/>
          <w:lang w:eastAsia="de-DE"/>
        </w:rPr>
        <w:t>עבר</w:t>
      </w:r>
      <w:r w:rsidRPr="00B33854">
        <w:rPr>
          <w:rFonts w:eastAsia="Times New Roman"/>
          <w:rtl/>
          <w:lang w:eastAsia="de-DE"/>
        </w:rPr>
        <w:t xml:space="preserve"> </w:t>
      </w:r>
      <w:r w:rsidRPr="00B33854">
        <w:rPr>
          <w:rFonts w:eastAsia="Times New Roman"/>
          <w:lang w:eastAsia="de-DE"/>
        </w:rPr>
        <w:t xml:space="preserve">(„zornig werden, sich erzürnen") mit Waw. Die Hitpael-Form hat hier reflexive Bedeutung („er erzürnte sich"). </w:t>
      </w:r>
      <w:r w:rsidRPr="00B33854">
        <w:rPr>
          <w:rFonts w:eastAsia="Times New Roman"/>
          <w:b/>
          <w:bCs/>
          <w:rtl/>
          <w:lang w:eastAsia="de-DE"/>
        </w:rPr>
        <w:t>יְהוָה</w:t>
      </w:r>
      <w:r w:rsidRPr="00B33854">
        <w:rPr>
          <w:rFonts w:eastAsia="Times New Roman"/>
          <w:rtl/>
          <w:lang w:eastAsia="de-DE"/>
        </w:rPr>
        <w:t xml:space="preserve"> </w:t>
      </w:r>
      <w:r w:rsidRPr="00B33854">
        <w:rPr>
          <w:rFonts w:eastAsia="Times New Roman"/>
          <w:lang w:eastAsia="de-DE"/>
        </w:rPr>
        <w:t xml:space="preserve">ist das Subjekt. </w:t>
      </w:r>
      <w:r w:rsidRPr="00B33854">
        <w:rPr>
          <w:rFonts w:eastAsia="Times New Roman"/>
          <w:b/>
          <w:bCs/>
          <w:rtl/>
          <w:lang w:eastAsia="de-DE"/>
        </w:rPr>
        <w:t>בִּי</w:t>
      </w:r>
      <w:r w:rsidRPr="00B33854">
        <w:rPr>
          <w:rFonts w:eastAsia="Times New Roman"/>
          <w:rtl/>
          <w:lang w:eastAsia="de-DE"/>
        </w:rPr>
        <w:t xml:space="preserve"> </w:t>
      </w:r>
      <w:r w:rsidRPr="00B33854">
        <w:rPr>
          <w:rFonts w:eastAsia="Times New Roman"/>
          <w:lang w:eastAsia="de-DE"/>
        </w:rPr>
        <w:t xml:space="preserve">ist Präposition </w:t>
      </w:r>
      <w:r w:rsidRPr="00B33854">
        <w:rPr>
          <w:rFonts w:eastAsia="Times New Roman"/>
          <w:b/>
          <w:bCs/>
          <w:rtl/>
          <w:lang w:eastAsia="de-DE"/>
        </w:rPr>
        <w:t>בְּ</w:t>
      </w:r>
      <w:r w:rsidRPr="00B33854">
        <w:rPr>
          <w:rFonts w:eastAsia="Times New Roman"/>
          <w:rtl/>
          <w:lang w:eastAsia="de-DE"/>
        </w:rPr>
        <w:t xml:space="preserve"> </w:t>
      </w:r>
      <w:r w:rsidRPr="00B33854">
        <w:rPr>
          <w:rFonts w:eastAsia="Times New Roman"/>
          <w:lang w:eastAsia="de-DE"/>
        </w:rPr>
        <w:t xml:space="preserve">mit Suffix 1. Person Singular („über mich, gegen mich"). </w:t>
      </w:r>
      <w:r w:rsidRPr="00B33854">
        <w:rPr>
          <w:rFonts w:eastAsia="Times New Roman"/>
          <w:b/>
          <w:bCs/>
          <w:rtl/>
          <w:lang w:eastAsia="de-DE"/>
        </w:rPr>
        <w:t>לְמַעַנְכֶם</w:t>
      </w:r>
      <w:r w:rsidRPr="00B33854">
        <w:rPr>
          <w:rFonts w:eastAsia="Times New Roman"/>
          <w:rtl/>
          <w:lang w:eastAsia="de-DE"/>
        </w:rPr>
        <w:t xml:space="preserve"> </w:t>
      </w:r>
      <w:r w:rsidRPr="00B33854">
        <w:rPr>
          <w:rFonts w:eastAsia="Times New Roman"/>
          <w:lang w:eastAsia="de-DE"/>
        </w:rPr>
        <w:t xml:space="preserve">ist </w:t>
      </w:r>
      <w:r w:rsidRPr="00B33854">
        <w:rPr>
          <w:rFonts w:eastAsia="Times New Roman"/>
          <w:b/>
          <w:bCs/>
          <w:rtl/>
          <w:lang w:eastAsia="de-DE"/>
        </w:rPr>
        <w:t>לְמַעַן</w:t>
      </w:r>
      <w:r w:rsidRPr="00B33854">
        <w:rPr>
          <w:rFonts w:eastAsia="Times New Roman"/>
          <w:rtl/>
          <w:lang w:eastAsia="de-DE"/>
        </w:rPr>
        <w:t xml:space="preserve"> </w:t>
      </w:r>
      <w:r w:rsidRPr="00B33854">
        <w:rPr>
          <w:rFonts w:eastAsia="Times New Roman"/>
          <w:lang w:eastAsia="de-DE"/>
        </w:rPr>
        <w:t>(„um... willen, wegen") mit Suffix 2. Person Plural maskulin („euretwillen").</w:t>
      </w:r>
    </w:p>
    <w:p w14:paraId="4CBB69E1"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וְלֹא שָׁמַע אֵלָי</w:t>
      </w:r>
      <w:r w:rsidRPr="00B33854">
        <w:rPr>
          <w:rFonts w:eastAsia="Times New Roman"/>
          <w:rtl/>
          <w:lang w:eastAsia="de-DE"/>
        </w:rPr>
        <w:t xml:space="preserve"> </w:t>
      </w:r>
      <w:r w:rsidRPr="00B33854">
        <w:rPr>
          <w:rFonts w:eastAsia="Times New Roman"/>
          <w:lang w:eastAsia="de-DE"/>
        </w:rPr>
        <w:t xml:space="preserve">ist ein koordinierter Satz: </w:t>
      </w:r>
      <w:r w:rsidRPr="00B33854">
        <w:rPr>
          <w:rFonts w:eastAsia="Times New Roman"/>
          <w:b/>
          <w:bCs/>
          <w:rtl/>
          <w:lang w:eastAsia="de-DE"/>
        </w:rPr>
        <w:t>וְ</w:t>
      </w:r>
      <w:r w:rsidRPr="00B33854">
        <w:rPr>
          <w:rFonts w:eastAsia="Times New Roman"/>
          <w:lang w:eastAsia="de-DE"/>
        </w:rPr>
        <w:t xml:space="preserve">, Negation </w:t>
      </w:r>
      <w:r w:rsidRPr="00B33854">
        <w:rPr>
          <w:rFonts w:eastAsia="Times New Roman"/>
          <w:b/>
          <w:bCs/>
          <w:rtl/>
          <w:lang w:eastAsia="de-DE"/>
        </w:rPr>
        <w:t>לֹא</w:t>
      </w:r>
      <w:r w:rsidRPr="00B33854">
        <w:rPr>
          <w:rFonts w:eastAsia="Times New Roman"/>
          <w:lang w:eastAsia="de-DE"/>
        </w:rPr>
        <w:t xml:space="preserve">, </w:t>
      </w:r>
      <w:r w:rsidRPr="00B33854">
        <w:rPr>
          <w:rFonts w:eastAsia="Times New Roman"/>
          <w:b/>
          <w:bCs/>
          <w:rtl/>
          <w:lang w:eastAsia="de-DE"/>
        </w:rPr>
        <w:t>שָׁמַע</w:t>
      </w:r>
      <w:r w:rsidRPr="00B33854">
        <w:rPr>
          <w:rFonts w:eastAsia="Times New Roman"/>
          <w:rtl/>
          <w:lang w:eastAsia="de-DE"/>
        </w:rPr>
        <w:t xml:space="preserve"> </w:t>
      </w:r>
      <w:r w:rsidRPr="00B33854">
        <w:rPr>
          <w:rFonts w:eastAsia="Times New Roman"/>
          <w:lang w:eastAsia="de-DE"/>
        </w:rPr>
        <w:t xml:space="preserve">(Qal Perfekt, 3. Person Singular maskulin von </w:t>
      </w:r>
      <w:r w:rsidRPr="00B33854">
        <w:rPr>
          <w:rFonts w:eastAsia="Times New Roman"/>
          <w:b/>
          <w:bCs/>
          <w:rtl/>
          <w:lang w:eastAsia="de-DE"/>
        </w:rPr>
        <w:t>שׁמע</w:t>
      </w:r>
      <w:r w:rsidRPr="00B33854">
        <w:rPr>
          <w:rFonts w:eastAsia="Times New Roman"/>
          <w:lang w:eastAsia="de-DE"/>
        </w:rPr>
        <w:t xml:space="preserve">, „hören, erhören"), </w:t>
      </w:r>
      <w:r w:rsidRPr="00B33854">
        <w:rPr>
          <w:rFonts w:eastAsia="Times New Roman"/>
          <w:b/>
          <w:bCs/>
          <w:rtl/>
          <w:lang w:eastAsia="de-DE"/>
        </w:rPr>
        <w:t>אֵלָי</w:t>
      </w:r>
      <w:r w:rsidRPr="00B33854">
        <w:rPr>
          <w:rFonts w:eastAsia="Times New Roman"/>
          <w:rtl/>
          <w:lang w:eastAsia="de-DE"/>
        </w:rPr>
        <w:t xml:space="preserve"> </w:t>
      </w:r>
      <w:r w:rsidRPr="00B33854">
        <w:rPr>
          <w:rFonts w:eastAsia="Times New Roman"/>
          <w:lang w:eastAsia="de-DE"/>
        </w:rPr>
        <w:t xml:space="preserve">(„auf mich"). </w:t>
      </w:r>
      <w:r w:rsidRPr="00B33854">
        <w:rPr>
          <w:rFonts w:eastAsia="Times New Roman"/>
          <w:b/>
          <w:bCs/>
          <w:rtl/>
          <w:lang w:eastAsia="de-DE"/>
        </w:rPr>
        <w:t>וַיֹּאמֶר יְהוָה אֵלַי</w:t>
      </w:r>
      <w:r w:rsidRPr="00B33854">
        <w:rPr>
          <w:rFonts w:eastAsia="Times New Roman"/>
          <w:rtl/>
          <w:lang w:eastAsia="de-DE"/>
        </w:rPr>
        <w:t xml:space="preserve"> </w:t>
      </w:r>
      <w:r w:rsidRPr="00B33854">
        <w:rPr>
          <w:rFonts w:eastAsia="Times New Roman"/>
          <w:lang w:eastAsia="de-DE"/>
        </w:rPr>
        <w:t xml:space="preserve">ist die Redeeinleitung: </w:t>
      </w:r>
      <w:r w:rsidRPr="00B33854">
        <w:rPr>
          <w:rFonts w:eastAsia="Times New Roman"/>
          <w:b/>
          <w:bCs/>
          <w:rtl/>
          <w:lang w:eastAsia="de-DE"/>
        </w:rPr>
        <w:t>וַיֹּאמֶר</w:t>
      </w:r>
      <w:r w:rsidRPr="00B33854">
        <w:rPr>
          <w:rFonts w:eastAsia="Times New Roman"/>
          <w:rtl/>
          <w:lang w:eastAsia="de-DE"/>
        </w:rPr>
        <w:t xml:space="preserve"> </w:t>
      </w:r>
      <w:r w:rsidRPr="00B33854">
        <w:rPr>
          <w:rFonts w:eastAsia="Times New Roman"/>
          <w:lang w:eastAsia="de-DE"/>
        </w:rPr>
        <w:t xml:space="preserve">(Qal Imperfekt consecutivum von </w:t>
      </w:r>
      <w:r w:rsidRPr="00B33854">
        <w:rPr>
          <w:rFonts w:eastAsia="Times New Roman"/>
          <w:b/>
          <w:bCs/>
          <w:rtl/>
          <w:lang w:eastAsia="de-DE"/>
        </w:rPr>
        <w:t>אמר</w:t>
      </w:r>
      <w:r w:rsidRPr="00B33854">
        <w:rPr>
          <w:rFonts w:eastAsia="Times New Roman"/>
          <w:lang w:eastAsia="de-DE"/>
        </w:rPr>
        <w:t xml:space="preserve">), </w:t>
      </w:r>
      <w:r w:rsidRPr="00B33854">
        <w:rPr>
          <w:rFonts w:eastAsia="Times New Roman"/>
          <w:b/>
          <w:bCs/>
          <w:rtl/>
          <w:lang w:eastAsia="de-DE"/>
        </w:rPr>
        <w:t>יְהוָה</w:t>
      </w:r>
      <w:r w:rsidRPr="00B33854">
        <w:rPr>
          <w:rFonts w:eastAsia="Times New Roman"/>
          <w:lang w:eastAsia="de-DE"/>
        </w:rPr>
        <w:t xml:space="preserve">, </w:t>
      </w:r>
      <w:r w:rsidRPr="00B33854">
        <w:rPr>
          <w:rFonts w:eastAsia="Times New Roman"/>
          <w:b/>
          <w:bCs/>
          <w:rtl/>
          <w:lang w:eastAsia="de-DE"/>
        </w:rPr>
        <w:t>אֵלַי</w:t>
      </w:r>
      <w:r w:rsidRPr="00B33854">
        <w:rPr>
          <w:rFonts w:eastAsia="Times New Roman"/>
          <w:lang w:eastAsia="de-DE"/>
        </w:rPr>
        <w:t>.</w:t>
      </w:r>
    </w:p>
    <w:p w14:paraId="4CD9C676"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רַב־לָךְ</w:t>
      </w:r>
      <w:r w:rsidRPr="00B33854">
        <w:rPr>
          <w:rFonts w:eastAsia="Times New Roman"/>
          <w:rtl/>
          <w:lang w:eastAsia="de-DE"/>
        </w:rPr>
        <w:t xml:space="preserve"> </w:t>
      </w:r>
      <w:r w:rsidRPr="00B33854">
        <w:rPr>
          <w:rFonts w:eastAsia="Times New Roman"/>
          <w:lang w:eastAsia="de-DE"/>
        </w:rPr>
        <w:t xml:space="preserve">ist eine idiomatische Wendung: </w:t>
      </w:r>
      <w:r w:rsidRPr="00B33854">
        <w:rPr>
          <w:rFonts w:eastAsia="Times New Roman"/>
          <w:b/>
          <w:bCs/>
          <w:rtl/>
          <w:lang w:eastAsia="de-DE"/>
        </w:rPr>
        <w:t>רַב</w:t>
      </w:r>
      <w:r w:rsidRPr="00B33854">
        <w:rPr>
          <w:rFonts w:eastAsia="Times New Roman"/>
          <w:rtl/>
          <w:lang w:eastAsia="de-DE"/>
        </w:rPr>
        <w:t xml:space="preserve"> </w:t>
      </w:r>
      <w:r w:rsidRPr="00B33854">
        <w:rPr>
          <w:rFonts w:eastAsia="Times New Roman"/>
          <w:lang w:eastAsia="de-DE"/>
        </w:rPr>
        <w:t xml:space="preserve">(„viel, genug") mit Präposition </w:t>
      </w:r>
      <w:r w:rsidRPr="00B33854">
        <w:rPr>
          <w:rFonts w:eastAsia="Times New Roman"/>
          <w:b/>
          <w:bCs/>
          <w:rtl/>
          <w:lang w:eastAsia="de-DE"/>
        </w:rPr>
        <w:t>לְ</w:t>
      </w:r>
      <w:r w:rsidRPr="00B33854">
        <w:rPr>
          <w:rFonts w:eastAsia="Times New Roman"/>
          <w:rtl/>
          <w:lang w:eastAsia="de-DE"/>
        </w:rPr>
        <w:t xml:space="preserve"> </w:t>
      </w:r>
      <w:r w:rsidRPr="00B33854">
        <w:rPr>
          <w:rFonts w:eastAsia="Times New Roman"/>
          <w:lang w:eastAsia="de-DE"/>
        </w:rPr>
        <w:t xml:space="preserve">und Suffix 2. Person Singular („genug für dich"). </w:t>
      </w:r>
      <w:r w:rsidRPr="00B33854">
        <w:rPr>
          <w:rFonts w:eastAsia="Times New Roman"/>
          <w:b/>
          <w:bCs/>
          <w:rtl/>
          <w:lang w:eastAsia="de-DE"/>
        </w:rPr>
        <w:t>אַל־תּוֹסֶף</w:t>
      </w:r>
      <w:r w:rsidRPr="00B33854">
        <w:rPr>
          <w:rFonts w:eastAsia="Times New Roman"/>
          <w:rtl/>
          <w:lang w:eastAsia="de-DE"/>
        </w:rPr>
        <w:t xml:space="preserve"> </w:t>
      </w:r>
      <w:r w:rsidRPr="00B33854">
        <w:rPr>
          <w:rFonts w:eastAsia="Times New Roman"/>
          <w:lang w:eastAsia="de-DE"/>
        </w:rPr>
        <w:t xml:space="preserve">ist Negativpartikel </w:t>
      </w:r>
      <w:r w:rsidRPr="00B33854">
        <w:rPr>
          <w:rFonts w:eastAsia="Times New Roman"/>
          <w:b/>
          <w:bCs/>
          <w:rtl/>
          <w:lang w:eastAsia="de-DE"/>
        </w:rPr>
        <w:t>אַל</w:t>
      </w:r>
      <w:r w:rsidRPr="00B33854">
        <w:rPr>
          <w:rFonts w:eastAsia="Times New Roman"/>
          <w:rtl/>
          <w:lang w:eastAsia="de-DE"/>
        </w:rPr>
        <w:t xml:space="preserve"> </w:t>
      </w:r>
      <w:r w:rsidRPr="00B33854">
        <w:rPr>
          <w:rFonts w:eastAsia="Times New Roman"/>
          <w:lang w:eastAsia="de-DE"/>
        </w:rPr>
        <w:t xml:space="preserve">mit Hifil Jussiv, 2. Person Singular maskulin von </w:t>
      </w:r>
      <w:r w:rsidRPr="00B33854">
        <w:rPr>
          <w:rFonts w:eastAsia="Times New Roman"/>
          <w:b/>
          <w:bCs/>
          <w:rtl/>
          <w:lang w:eastAsia="de-DE"/>
        </w:rPr>
        <w:t>יסף</w:t>
      </w:r>
      <w:r w:rsidRPr="00B33854">
        <w:rPr>
          <w:rFonts w:eastAsia="Times New Roman"/>
          <w:rtl/>
          <w:lang w:eastAsia="de-DE"/>
        </w:rPr>
        <w:t xml:space="preserve"> </w:t>
      </w:r>
      <w:r w:rsidRPr="00B33854">
        <w:rPr>
          <w:rFonts w:eastAsia="Times New Roman"/>
          <w:lang w:eastAsia="de-DE"/>
        </w:rPr>
        <w:t xml:space="preserve">(„hinzufügen, fortfahren") – „fahre nicht fort". </w:t>
      </w:r>
      <w:r w:rsidRPr="00B33854">
        <w:rPr>
          <w:rFonts w:eastAsia="Times New Roman"/>
          <w:b/>
          <w:bCs/>
          <w:rtl/>
          <w:lang w:eastAsia="de-DE"/>
        </w:rPr>
        <w:t>דַּבֵּר</w:t>
      </w:r>
      <w:r w:rsidRPr="00B33854">
        <w:rPr>
          <w:rFonts w:eastAsia="Times New Roman"/>
          <w:rtl/>
          <w:lang w:eastAsia="de-DE"/>
        </w:rPr>
        <w:t xml:space="preserve"> </w:t>
      </w:r>
      <w:r w:rsidRPr="00B33854">
        <w:rPr>
          <w:rFonts w:eastAsia="Times New Roman"/>
          <w:lang w:eastAsia="de-DE"/>
        </w:rPr>
        <w:t xml:space="preserve">ist Piel Infinitiv Construct von </w:t>
      </w:r>
      <w:r w:rsidRPr="00B33854">
        <w:rPr>
          <w:rFonts w:eastAsia="Times New Roman"/>
          <w:b/>
          <w:bCs/>
          <w:rtl/>
          <w:lang w:eastAsia="de-DE"/>
        </w:rPr>
        <w:t>דבר</w:t>
      </w:r>
      <w:r w:rsidRPr="00B33854">
        <w:rPr>
          <w:rFonts w:eastAsia="Times New Roman"/>
          <w:rtl/>
          <w:lang w:eastAsia="de-DE"/>
        </w:rPr>
        <w:t xml:space="preserve"> </w:t>
      </w:r>
      <w:r w:rsidRPr="00B33854">
        <w:rPr>
          <w:rFonts w:eastAsia="Times New Roman"/>
          <w:lang w:eastAsia="de-DE"/>
        </w:rPr>
        <w:t xml:space="preserve">(„reden"). </w:t>
      </w:r>
      <w:r w:rsidRPr="00B33854">
        <w:rPr>
          <w:rFonts w:eastAsia="Times New Roman"/>
          <w:b/>
          <w:bCs/>
          <w:rtl/>
          <w:lang w:eastAsia="de-DE"/>
        </w:rPr>
        <w:t>אֵלַי</w:t>
      </w:r>
      <w:r w:rsidRPr="00B33854">
        <w:rPr>
          <w:rFonts w:eastAsia="Times New Roman"/>
          <w:rtl/>
          <w:lang w:eastAsia="de-DE"/>
        </w:rPr>
        <w:t xml:space="preserve"> </w:t>
      </w:r>
      <w:r w:rsidRPr="00B33854">
        <w:rPr>
          <w:rFonts w:eastAsia="Times New Roman"/>
          <w:lang w:eastAsia="de-DE"/>
        </w:rPr>
        <w:t xml:space="preserve">ist </w:t>
      </w:r>
      <w:r w:rsidRPr="00B33854">
        <w:rPr>
          <w:rFonts w:eastAsia="Times New Roman"/>
          <w:b/>
          <w:bCs/>
          <w:rtl/>
          <w:lang w:eastAsia="de-DE"/>
        </w:rPr>
        <w:t>אֶל</w:t>
      </w:r>
      <w:r w:rsidRPr="00B33854">
        <w:rPr>
          <w:rFonts w:eastAsia="Times New Roman"/>
          <w:rtl/>
          <w:lang w:eastAsia="de-DE"/>
        </w:rPr>
        <w:t xml:space="preserve"> </w:t>
      </w:r>
      <w:r w:rsidRPr="00B33854">
        <w:rPr>
          <w:rFonts w:eastAsia="Times New Roman"/>
          <w:lang w:eastAsia="de-DE"/>
        </w:rPr>
        <w:t xml:space="preserve">mit Suffix 1. Person Singular. </w:t>
      </w:r>
      <w:r w:rsidRPr="00B33854">
        <w:rPr>
          <w:rFonts w:eastAsia="Times New Roman"/>
          <w:b/>
          <w:bCs/>
          <w:rtl/>
          <w:lang w:eastAsia="de-DE"/>
        </w:rPr>
        <w:t>עוֹד</w:t>
      </w:r>
      <w:r w:rsidRPr="00B33854">
        <w:rPr>
          <w:rFonts w:eastAsia="Times New Roman"/>
          <w:rtl/>
          <w:lang w:eastAsia="de-DE"/>
        </w:rPr>
        <w:t xml:space="preserve"> </w:t>
      </w:r>
      <w:r w:rsidRPr="00B33854">
        <w:rPr>
          <w:rFonts w:eastAsia="Times New Roman"/>
          <w:lang w:eastAsia="de-DE"/>
        </w:rPr>
        <w:t xml:space="preserve">ist ein temporales Adverb („noch, weiterhin"). </w:t>
      </w:r>
      <w:r w:rsidRPr="00B33854">
        <w:rPr>
          <w:rFonts w:eastAsia="Times New Roman"/>
          <w:b/>
          <w:bCs/>
          <w:rtl/>
          <w:lang w:eastAsia="de-DE"/>
        </w:rPr>
        <w:t>בַּדָּבָר הַזֶּה</w:t>
      </w:r>
      <w:r w:rsidRPr="00B33854">
        <w:rPr>
          <w:rFonts w:eastAsia="Times New Roman"/>
          <w:rtl/>
          <w:lang w:eastAsia="de-DE"/>
        </w:rPr>
        <w:t xml:space="preserve"> </w:t>
      </w:r>
      <w:r w:rsidRPr="00B33854">
        <w:rPr>
          <w:rFonts w:eastAsia="Times New Roman"/>
          <w:lang w:eastAsia="de-DE"/>
        </w:rPr>
        <w:t xml:space="preserve">ist </w:t>
      </w:r>
      <w:r w:rsidRPr="00B33854">
        <w:rPr>
          <w:rFonts w:eastAsia="Times New Roman"/>
          <w:b/>
          <w:bCs/>
          <w:rtl/>
          <w:lang w:eastAsia="de-DE"/>
        </w:rPr>
        <w:t>בְּ</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דָּבָר</w:t>
      </w:r>
      <w:r w:rsidRPr="00B33854">
        <w:rPr>
          <w:rFonts w:eastAsia="Times New Roman"/>
          <w:rtl/>
          <w:lang w:eastAsia="de-DE"/>
        </w:rPr>
        <w:t xml:space="preserve"> </w:t>
      </w:r>
      <w:r w:rsidRPr="00B33854">
        <w:rPr>
          <w:rFonts w:eastAsia="Times New Roman"/>
          <w:lang w:eastAsia="de-DE"/>
        </w:rPr>
        <w:t xml:space="preserve">(„Sache, Wort") und Demonstrativpronomen </w:t>
      </w:r>
      <w:r w:rsidRPr="00B33854">
        <w:rPr>
          <w:rFonts w:eastAsia="Times New Roman"/>
          <w:b/>
          <w:bCs/>
          <w:rtl/>
          <w:lang w:eastAsia="de-DE"/>
        </w:rPr>
        <w:t>הַזֶּה</w:t>
      </w:r>
      <w:r w:rsidRPr="00B33854">
        <w:rPr>
          <w:rFonts w:eastAsia="Times New Roman"/>
          <w:rtl/>
          <w:lang w:eastAsia="de-DE"/>
        </w:rPr>
        <w:t xml:space="preserve"> </w:t>
      </w:r>
      <w:r w:rsidRPr="00B33854">
        <w:rPr>
          <w:rFonts w:eastAsia="Times New Roman"/>
          <w:lang w:eastAsia="de-DE"/>
        </w:rPr>
        <w:t>als Attribut.</w:t>
      </w:r>
    </w:p>
    <w:p w14:paraId="599F8205"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Die LXX</w:t>
      </w:r>
      <w:r w:rsidRPr="00B33854">
        <w:rPr>
          <w:rFonts w:eastAsia="Times New Roman"/>
          <w:lang w:eastAsia="de-DE"/>
        </w:rPr>
        <w:t xml:space="preserve"> übersetzt „übergehend" (vom Zorn erfüllt) mit </w:t>
      </w:r>
      <w:proofErr w:type="spellStart"/>
      <w:r w:rsidRPr="00B33854">
        <w:rPr>
          <w:rFonts w:eastAsia="Times New Roman"/>
          <w:lang w:eastAsia="de-DE"/>
        </w:rPr>
        <w:t>ἠθέτησεν</w:t>
      </w:r>
      <w:proofErr w:type="spellEnd"/>
      <w:r w:rsidRPr="00B33854">
        <w:rPr>
          <w:rFonts w:eastAsia="Times New Roman"/>
          <w:lang w:eastAsia="de-DE"/>
        </w:rPr>
        <w:t xml:space="preserve"> („verwarf, ignorierte"), was eine freiere Wiedergabe darstellt, die den Effekt des göttlichen Zorns betont.</w:t>
      </w:r>
    </w:p>
    <w:p w14:paraId="574BDBE5" w14:textId="7823CB43"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 xml:space="preserve">Die Satzstruktur besteht aus drei koordinierten Hauptsätzen: Der erste beschreibt </w:t>
      </w:r>
      <w:r w:rsidR="00ED2181">
        <w:rPr>
          <w:rFonts w:eastAsia="Times New Roman"/>
          <w:lang w:eastAsia="de-DE"/>
        </w:rPr>
        <w:t>JHWHs</w:t>
      </w:r>
      <w:r w:rsidR="00ED2181" w:rsidRPr="00B33854">
        <w:rPr>
          <w:rFonts w:eastAsia="Times New Roman"/>
          <w:lang w:eastAsia="de-DE"/>
        </w:rPr>
        <w:t xml:space="preserve"> </w:t>
      </w:r>
      <w:r w:rsidRPr="00B33854">
        <w:rPr>
          <w:rFonts w:eastAsia="Times New Roman"/>
          <w:lang w:eastAsia="de-DE"/>
        </w:rPr>
        <w:t xml:space="preserve">Zorn mit Begründung, der zweite die Ablehnung der Bitte, der dritte leitet </w:t>
      </w:r>
      <w:r w:rsidR="00ED2181">
        <w:rPr>
          <w:rFonts w:eastAsia="Times New Roman"/>
          <w:lang w:eastAsia="de-DE"/>
        </w:rPr>
        <w:t>JHWHs</w:t>
      </w:r>
      <w:r w:rsidR="00ED2181" w:rsidRPr="00B33854">
        <w:rPr>
          <w:rFonts w:eastAsia="Times New Roman"/>
          <w:lang w:eastAsia="de-DE"/>
        </w:rPr>
        <w:t xml:space="preserve"> </w:t>
      </w:r>
      <w:r w:rsidRPr="00B33854">
        <w:rPr>
          <w:rFonts w:eastAsia="Times New Roman"/>
          <w:lang w:eastAsia="de-DE"/>
        </w:rPr>
        <w:t>Rede ein mit zwei koordinierten Befehlen (idiomatischer Zurückweisung und expliziter Prohibition mit Infinitiv). Die harte Ablehnung wird durch die abrupte Sprache unterstrichen.</w:t>
      </w:r>
    </w:p>
    <w:p w14:paraId="143FD77B" w14:textId="6BA3C365"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Der Vers berichtet von JHWH Ablehnung von Moses Bitte aus Gründen, die mit dem Volk zusammenhängen, und dem Verbot, diese Bitte zu wiederholen.</w:t>
      </w:r>
    </w:p>
    <w:p w14:paraId="703A43C0"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3,27</w:t>
      </w:r>
    </w:p>
    <w:p w14:paraId="06461431"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lastRenderedPageBreak/>
        <w:t>Hebräisch:</w:t>
      </w:r>
      <w:r w:rsidRPr="00B33854">
        <w:rPr>
          <w:rFonts w:eastAsia="Times New Roman"/>
          <w:lang w:eastAsia="de-DE"/>
        </w:rPr>
        <w:t xml:space="preserve"> </w:t>
      </w:r>
      <w:r w:rsidRPr="00B33854">
        <w:rPr>
          <w:rFonts w:eastAsia="Times New Roman"/>
          <w:rtl/>
          <w:lang w:eastAsia="de-DE"/>
        </w:rPr>
        <w:t>עֲלֵ֣ה׀ רֹ֣אשׁ הַפִּסְגָּ֗ה וְשָׂ֥א עֵינֶ֛יךָ יָ֧מָּה וְצָפֹ֛נָה וְתֵימָ֥נָה וּמִזְרָ֖חָה וּרְאֵ֣ה בְעֵינֶ֑יךָ כִּי־לֹ֥א תַעֲבֹ֖ר אֶת־הַיַּרְדֵּ֥ן הַזֶּֽה׃</w:t>
      </w:r>
    </w:p>
    <w:p w14:paraId="49813D98"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Steige auf den Gipfel des Pisga und erhebe deine Augen nach Westen und nach Norden und nach Süden und nach Osten und sieh mit deinen Augen; denn du wirst nicht über diesen Jarden gehen.</w:t>
      </w:r>
    </w:p>
    <w:p w14:paraId="7E24C6FB"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2DE7162B">
          <v:rect id="_x0000_i1134" style="width:0;height:1.5pt" o:hralign="center" o:hrstd="t" o:hr="t" fillcolor="#a0a0a0" stroked="f"/>
        </w:pict>
      </w:r>
    </w:p>
    <w:p w14:paraId="63F2986C"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עֲלֵה</w:t>
      </w:r>
      <w:r w:rsidRPr="00B33854">
        <w:rPr>
          <w:rFonts w:eastAsia="Times New Roman"/>
          <w:rtl/>
          <w:lang w:eastAsia="de-DE"/>
        </w:rPr>
        <w:t xml:space="preserve"> </w:t>
      </w:r>
      <w:r w:rsidRPr="00B33854">
        <w:rPr>
          <w:rFonts w:eastAsia="Times New Roman"/>
          <w:lang w:eastAsia="de-DE"/>
        </w:rPr>
        <w:t xml:space="preserve">ist Qal Imperativ, 2. Person Singular maskulin von </w:t>
      </w:r>
      <w:r w:rsidRPr="00B33854">
        <w:rPr>
          <w:rFonts w:eastAsia="Times New Roman"/>
          <w:b/>
          <w:bCs/>
          <w:rtl/>
          <w:lang w:eastAsia="de-DE"/>
        </w:rPr>
        <w:t>עלה</w:t>
      </w:r>
      <w:r w:rsidRPr="00B33854">
        <w:rPr>
          <w:rFonts w:eastAsia="Times New Roman"/>
          <w:rtl/>
          <w:lang w:eastAsia="de-DE"/>
        </w:rPr>
        <w:t xml:space="preserve"> </w:t>
      </w:r>
      <w:r w:rsidRPr="00B33854">
        <w:rPr>
          <w:rFonts w:eastAsia="Times New Roman"/>
          <w:lang w:eastAsia="de-DE"/>
        </w:rPr>
        <w:t xml:space="preserve">(„hinaufsteigen"). </w:t>
      </w:r>
      <w:r w:rsidRPr="00B33854">
        <w:rPr>
          <w:rFonts w:eastAsia="Times New Roman"/>
          <w:b/>
          <w:bCs/>
          <w:rtl/>
          <w:lang w:eastAsia="de-DE"/>
        </w:rPr>
        <w:t>רֹאשׁ הַפִּסְגָּה</w:t>
      </w:r>
      <w:r w:rsidRPr="00B33854">
        <w:rPr>
          <w:rFonts w:eastAsia="Times New Roman"/>
          <w:rtl/>
          <w:lang w:eastAsia="de-DE"/>
        </w:rPr>
        <w:t xml:space="preserve"> </w:t>
      </w:r>
      <w:r w:rsidRPr="00B33854">
        <w:rPr>
          <w:rFonts w:eastAsia="Times New Roman"/>
          <w:lang w:eastAsia="de-DE"/>
        </w:rPr>
        <w:t xml:space="preserve">ist </w:t>
      </w:r>
      <w:r w:rsidRPr="00B33854">
        <w:rPr>
          <w:rFonts w:eastAsia="Times New Roman"/>
          <w:b/>
          <w:bCs/>
          <w:rtl/>
          <w:lang w:eastAsia="de-DE"/>
        </w:rPr>
        <w:t>רֹאשׁ</w:t>
      </w:r>
      <w:r w:rsidRPr="00B33854">
        <w:rPr>
          <w:rFonts w:eastAsia="Times New Roman"/>
          <w:rtl/>
          <w:lang w:eastAsia="de-DE"/>
        </w:rPr>
        <w:t xml:space="preserve"> </w:t>
      </w:r>
      <w:r w:rsidRPr="00B33854">
        <w:rPr>
          <w:rFonts w:eastAsia="Times New Roman"/>
          <w:lang w:eastAsia="de-DE"/>
        </w:rPr>
        <w:t xml:space="preserve">(„Gipfel, Haupt") im Construct mit </w:t>
      </w:r>
      <w:r w:rsidRPr="00B33854">
        <w:rPr>
          <w:rFonts w:eastAsia="Times New Roman"/>
          <w:b/>
          <w:bCs/>
          <w:rtl/>
          <w:lang w:eastAsia="de-DE"/>
        </w:rPr>
        <w:t>הַפִּסְגָּה</w:t>
      </w:r>
      <w:r w:rsidRPr="00B33854">
        <w:rPr>
          <w:rFonts w:eastAsia="Times New Roman"/>
          <w:rtl/>
          <w:lang w:eastAsia="de-DE"/>
        </w:rPr>
        <w:t xml:space="preserve"> </w:t>
      </w:r>
      <w:r w:rsidRPr="00B33854">
        <w:rPr>
          <w:rFonts w:eastAsia="Times New Roman"/>
          <w:lang w:eastAsia="de-DE"/>
        </w:rPr>
        <w:t xml:space="preserve">(„der Pisga", Bergname mit Artikel). </w:t>
      </w:r>
      <w:r w:rsidRPr="00B33854">
        <w:rPr>
          <w:rFonts w:eastAsia="Times New Roman"/>
          <w:b/>
          <w:bCs/>
          <w:rtl/>
          <w:lang w:eastAsia="de-DE"/>
        </w:rPr>
        <w:t>וְשָׂא</w:t>
      </w:r>
      <w:r w:rsidRPr="00B33854">
        <w:rPr>
          <w:rFonts w:eastAsia="Times New Roman"/>
          <w:rtl/>
          <w:lang w:eastAsia="de-DE"/>
        </w:rPr>
        <w:t xml:space="preserve"> </w:t>
      </w:r>
      <w:r w:rsidRPr="00B33854">
        <w:rPr>
          <w:rFonts w:eastAsia="Times New Roman"/>
          <w:lang w:eastAsia="de-DE"/>
        </w:rPr>
        <w:t xml:space="preserve">ist Qal Imperativ, 2. Person Singular maskulin von </w:t>
      </w:r>
      <w:r w:rsidRPr="00B33854">
        <w:rPr>
          <w:rFonts w:eastAsia="Times New Roman"/>
          <w:b/>
          <w:bCs/>
          <w:rtl/>
          <w:lang w:eastAsia="de-DE"/>
        </w:rPr>
        <w:t>נשׂא</w:t>
      </w:r>
      <w:r w:rsidRPr="00B33854">
        <w:rPr>
          <w:rFonts w:eastAsia="Times New Roman"/>
          <w:rtl/>
          <w:lang w:eastAsia="de-DE"/>
        </w:rPr>
        <w:t xml:space="preserve"> </w:t>
      </w:r>
      <w:r w:rsidRPr="00B33854">
        <w:rPr>
          <w:rFonts w:eastAsia="Times New Roman"/>
          <w:lang w:eastAsia="de-DE"/>
        </w:rPr>
        <w:t xml:space="preserve">(„erheben, aufheben") mit </w:t>
      </w:r>
      <w:r w:rsidRPr="00B33854">
        <w:rPr>
          <w:rFonts w:eastAsia="Times New Roman"/>
          <w:b/>
          <w:bCs/>
          <w:rtl/>
          <w:lang w:eastAsia="de-DE"/>
        </w:rPr>
        <w:t>וְ</w:t>
      </w:r>
      <w:r w:rsidRPr="00B33854">
        <w:rPr>
          <w:rFonts w:eastAsia="Times New Roman"/>
          <w:lang w:eastAsia="de-DE"/>
        </w:rPr>
        <w:t xml:space="preserve">. </w:t>
      </w:r>
      <w:r w:rsidRPr="00B33854">
        <w:rPr>
          <w:rFonts w:eastAsia="Times New Roman"/>
          <w:b/>
          <w:bCs/>
          <w:rtl/>
          <w:lang w:eastAsia="de-DE"/>
        </w:rPr>
        <w:t>עֵינֶיךָ</w:t>
      </w:r>
      <w:r w:rsidRPr="00B33854">
        <w:rPr>
          <w:rFonts w:eastAsia="Times New Roman"/>
          <w:rtl/>
          <w:lang w:eastAsia="de-DE"/>
        </w:rPr>
        <w:t xml:space="preserve"> </w:t>
      </w:r>
      <w:r w:rsidRPr="00B33854">
        <w:rPr>
          <w:rFonts w:eastAsia="Times New Roman"/>
          <w:lang w:eastAsia="de-DE"/>
        </w:rPr>
        <w:t xml:space="preserve">ist </w:t>
      </w:r>
      <w:r w:rsidRPr="00B33854">
        <w:rPr>
          <w:rFonts w:eastAsia="Times New Roman"/>
          <w:b/>
          <w:bCs/>
          <w:rtl/>
          <w:lang w:eastAsia="de-DE"/>
        </w:rPr>
        <w:t>עַיִן</w:t>
      </w:r>
      <w:r w:rsidRPr="00B33854">
        <w:rPr>
          <w:rFonts w:eastAsia="Times New Roman"/>
          <w:rtl/>
          <w:lang w:eastAsia="de-DE"/>
        </w:rPr>
        <w:t xml:space="preserve"> </w:t>
      </w:r>
      <w:r w:rsidRPr="00B33854">
        <w:rPr>
          <w:rFonts w:eastAsia="Times New Roman"/>
          <w:lang w:eastAsia="de-DE"/>
        </w:rPr>
        <w:t xml:space="preserve">(„Auge") im Dual mit Suffix 2. Person Singular maskulin. </w:t>
      </w:r>
      <w:r w:rsidRPr="00B33854">
        <w:rPr>
          <w:rFonts w:eastAsia="Times New Roman"/>
          <w:b/>
          <w:bCs/>
          <w:rtl/>
          <w:lang w:eastAsia="de-DE"/>
        </w:rPr>
        <w:t>יָמָּה וְצָפֹנָה וְתֵימָנָה וּמִזְרָחָה</w:t>
      </w:r>
      <w:r w:rsidRPr="00B33854">
        <w:rPr>
          <w:rFonts w:eastAsia="Times New Roman"/>
          <w:rtl/>
          <w:lang w:eastAsia="de-DE"/>
        </w:rPr>
        <w:t xml:space="preserve"> </w:t>
      </w:r>
      <w:r w:rsidRPr="00B33854">
        <w:rPr>
          <w:rFonts w:eastAsia="Times New Roman"/>
          <w:lang w:eastAsia="de-DE"/>
        </w:rPr>
        <w:t xml:space="preserve">ist eine vierfache koordinierte Richtungsangabe: </w:t>
      </w:r>
      <w:r w:rsidRPr="00B33854">
        <w:rPr>
          <w:rFonts w:eastAsia="Times New Roman"/>
          <w:b/>
          <w:bCs/>
          <w:rtl/>
          <w:lang w:eastAsia="de-DE"/>
        </w:rPr>
        <w:t>יָם</w:t>
      </w:r>
      <w:r w:rsidRPr="00B33854">
        <w:rPr>
          <w:rFonts w:eastAsia="Times New Roman"/>
          <w:rtl/>
          <w:lang w:eastAsia="de-DE"/>
        </w:rPr>
        <w:t xml:space="preserve"> </w:t>
      </w:r>
      <w:r w:rsidRPr="00B33854">
        <w:rPr>
          <w:rFonts w:eastAsia="Times New Roman"/>
          <w:lang w:eastAsia="de-DE"/>
        </w:rPr>
        <w:t xml:space="preserve">(„Westen", wörtlich „Meer") mit direktionalem He, </w:t>
      </w:r>
      <w:r w:rsidRPr="00B33854">
        <w:rPr>
          <w:rFonts w:eastAsia="Times New Roman"/>
          <w:b/>
          <w:bCs/>
          <w:rtl/>
          <w:lang w:eastAsia="de-DE"/>
        </w:rPr>
        <w:t>צָפוֹן</w:t>
      </w:r>
      <w:r w:rsidRPr="00B33854">
        <w:rPr>
          <w:rFonts w:eastAsia="Times New Roman"/>
          <w:rtl/>
          <w:lang w:eastAsia="de-DE"/>
        </w:rPr>
        <w:t xml:space="preserve"> </w:t>
      </w:r>
      <w:r w:rsidRPr="00B33854">
        <w:rPr>
          <w:rFonts w:eastAsia="Times New Roman"/>
          <w:lang w:eastAsia="de-DE"/>
        </w:rPr>
        <w:t xml:space="preserve">(„Norden") mit direktionalem He, </w:t>
      </w:r>
      <w:r w:rsidRPr="00B33854">
        <w:rPr>
          <w:rFonts w:eastAsia="Times New Roman"/>
          <w:b/>
          <w:bCs/>
          <w:rtl/>
          <w:lang w:eastAsia="de-DE"/>
        </w:rPr>
        <w:t>תֵּימָן</w:t>
      </w:r>
      <w:r w:rsidRPr="00B33854">
        <w:rPr>
          <w:rFonts w:eastAsia="Times New Roman"/>
          <w:rtl/>
          <w:lang w:eastAsia="de-DE"/>
        </w:rPr>
        <w:t xml:space="preserve"> </w:t>
      </w:r>
      <w:r w:rsidRPr="00B33854">
        <w:rPr>
          <w:rFonts w:eastAsia="Times New Roman"/>
          <w:lang w:eastAsia="de-DE"/>
        </w:rPr>
        <w:t xml:space="preserve">(„Süden") mit direktionalem He, </w:t>
      </w:r>
      <w:r w:rsidRPr="00B33854">
        <w:rPr>
          <w:rFonts w:eastAsia="Times New Roman"/>
          <w:b/>
          <w:bCs/>
          <w:rtl/>
          <w:lang w:eastAsia="de-DE"/>
        </w:rPr>
        <w:t>מִזְרָח</w:t>
      </w:r>
      <w:r w:rsidRPr="00B33854">
        <w:rPr>
          <w:rFonts w:eastAsia="Times New Roman"/>
          <w:rtl/>
          <w:lang w:eastAsia="de-DE"/>
        </w:rPr>
        <w:t xml:space="preserve"> </w:t>
      </w:r>
      <w:r w:rsidRPr="00B33854">
        <w:rPr>
          <w:rFonts w:eastAsia="Times New Roman"/>
          <w:lang w:eastAsia="de-DE"/>
        </w:rPr>
        <w:t xml:space="preserve">(„Osten") mit direktionalem He – alle koordiniert durch </w:t>
      </w:r>
      <w:r w:rsidRPr="00B33854">
        <w:rPr>
          <w:rFonts w:eastAsia="Times New Roman"/>
          <w:b/>
          <w:bCs/>
          <w:rtl/>
          <w:lang w:eastAsia="de-DE"/>
        </w:rPr>
        <w:t>וְ</w:t>
      </w:r>
      <w:r w:rsidRPr="00B33854">
        <w:rPr>
          <w:rFonts w:eastAsia="Times New Roman"/>
          <w:lang w:eastAsia="de-DE"/>
        </w:rPr>
        <w:t>.</w:t>
      </w:r>
    </w:p>
    <w:p w14:paraId="6CCE5035"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וּרְאֵה</w:t>
      </w:r>
      <w:r w:rsidRPr="00B33854">
        <w:rPr>
          <w:rFonts w:eastAsia="Times New Roman"/>
          <w:rtl/>
          <w:lang w:eastAsia="de-DE"/>
        </w:rPr>
        <w:t xml:space="preserve"> </w:t>
      </w:r>
      <w:r w:rsidRPr="00B33854">
        <w:rPr>
          <w:rFonts w:eastAsia="Times New Roman"/>
          <w:lang w:eastAsia="de-DE"/>
        </w:rPr>
        <w:t xml:space="preserve">ist Qal Imperativ, 2. Person Singular maskulin von </w:t>
      </w:r>
      <w:r w:rsidRPr="00B33854">
        <w:rPr>
          <w:rFonts w:eastAsia="Times New Roman"/>
          <w:b/>
          <w:bCs/>
          <w:rtl/>
          <w:lang w:eastAsia="de-DE"/>
        </w:rPr>
        <w:t>ראה</w:t>
      </w:r>
      <w:r w:rsidRPr="00B33854">
        <w:rPr>
          <w:rFonts w:eastAsia="Times New Roman"/>
          <w:rtl/>
          <w:lang w:eastAsia="de-DE"/>
        </w:rPr>
        <w:t xml:space="preserve"> </w:t>
      </w:r>
      <w:r w:rsidRPr="00B33854">
        <w:rPr>
          <w:rFonts w:eastAsia="Times New Roman"/>
          <w:lang w:eastAsia="de-DE"/>
        </w:rPr>
        <w:t xml:space="preserve">(„sehen") mit </w:t>
      </w:r>
      <w:r w:rsidRPr="00B33854">
        <w:rPr>
          <w:rFonts w:eastAsia="Times New Roman"/>
          <w:b/>
          <w:bCs/>
          <w:rtl/>
          <w:lang w:eastAsia="de-DE"/>
        </w:rPr>
        <w:t>וְ</w:t>
      </w:r>
      <w:r w:rsidRPr="00B33854">
        <w:rPr>
          <w:rFonts w:eastAsia="Times New Roman"/>
          <w:lang w:eastAsia="de-DE"/>
        </w:rPr>
        <w:t xml:space="preserve">. </w:t>
      </w:r>
      <w:r w:rsidRPr="00B33854">
        <w:rPr>
          <w:rFonts w:eastAsia="Times New Roman"/>
          <w:b/>
          <w:bCs/>
          <w:rtl/>
          <w:lang w:eastAsia="de-DE"/>
        </w:rPr>
        <w:t>בְעֵינֶיךָ</w:t>
      </w:r>
      <w:r w:rsidRPr="00B33854">
        <w:rPr>
          <w:rFonts w:eastAsia="Times New Roman"/>
          <w:rtl/>
          <w:lang w:eastAsia="de-DE"/>
        </w:rPr>
        <w:t xml:space="preserve"> </w:t>
      </w:r>
      <w:r w:rsidRPr="00B33854">
        <w:rPr>
          <w:rFonts w:eastAsia="Times New Roman"/>
          <w:lang w:eastAsia="de-DE"/>
        </w:rPr>
        <w:t xml:space="preserve">ist </w:t>
      </w:r>
      <w:r w:rsidRPr="00B33854">
        <w:rPr>
          <w:rFonts w:eastAsia="Times New Roman"/>
          <w:b/>
          <w:bCs/>
          <w:rtl/>
          <w:lang w:eastAsia="de-DE"/>
        </w:rPr>
        <w:t>בְּ</w:t>
      </w:r>
      <w:r w:rsidRPr="00B33854">
        <w:rPr>
          <w:rFonts w:eastAsia="Times New Roman"/>
          <w:rtl/>
          <w:lang w:eastAsia="de-DE"/>
        </w:rPr>
        <w:t xml:space="preserve"> </w:t>
      </w:r>
      <w:r w:rsidRPr="00B33854">
        <w:rPr>
          <w:rFonts w:eastAsia="Times New Roman"/>
          <w:lang w:eastAsia="de-DE"/>
        </w:rPr>
        <w:t xml:space="preserve">(„mit, durch") mit </w:t>
      </w:r>
      <w:r w:rsidRPr="00B33854">
        <w:rPr>
          <w:rFonts w:eastAsia="Times New Roman"/>
          <w:b/>
          <w:bCs/>
          <w:rtl/>
          <w:lang w:eastAsia="de-DE"/>
        </w:rPr>
        <w:t>עַיִן</w:t>
      </w:r>
      <w:r w:rsidRPr="00B33854">
        <w:rPr>
          <w:rFonts w:eastAsia="Times New Roman"/>
          <w:rtl/>
          <w:lang w:eastAsia="de-DE"/>
        </w:rPr>
        <w:t xml:space="preserve"> </w:t>
      </w:r>
      <w:r w:rsidRPr="00B33854">
        <w:rPr>
          <w:rFonts w:eastAsia="Times New Roman"/>
          <w:lang w:eastAsia="de-DE"/>
        </w:rPr>
        <w:t xml:space="preserve">im Dual und Suffix 2. Person Singular maskulin – eine idiomatische Verstärkung („sieh mit deinen eigenen Augen"). </w:t>
      </w:r>
      <w:r w:rsidRPr="00B33854">
        <w:rPr>
          <w:rFonts w:eastAsia="Times New Roman"/>
          <w:b/>
          <w:bCs/>
          <w:rtl/>
          <w:lang w:eastAsia="de-DE"/>
        </w:rPr>
        <w:t>כִּי־לֹא תַעֲבֹר</w:t>
      </w:r>
      <w:r w:rsidRPr="00B33854">
        <w:rPr>
          <w:rFonts w:eastAsia="Times New Roman"/>
          <w:rtl/>
          <w:lang w:eastAsia="de-DE"/>
        </w:rPr>
        <w:t xml:space="preserve"> </w:t>
      </w:r>
      <w:r w:rsidRPr="00B33854">
        <w:rPr>
          <w:rFonts w:eastAsia="Times New Roman"/>
          <w:lang w:eastAsia="de-DE"/>
        </w:rPr>
        <w:t xml:space="preserve">ist ein kausaler Satz: </w:t>
      </w:r>
      <w:r w:rsidRPr="00B33854">
        <w:rPr>
          <w:rFonts w:eastAsia="Times New Roman"/>
          <w:b/>
          <w:bCs/>
          <w:rtl/>
          <w:lang w:eastAsia="de-DE"/>
        </w:rPr>
        <w:t>כִּי</w:t>
      </w:r>
      <w:r w:rsidRPr="00B33854">
        <w:rPr>
          <w:rFonts w:eastAsia="Times New Roman"/>
          <w:rtl/>
          <w:lang w:eastAsia="de-DE"/>
        </w:rPr>
        <w:t xml:space="preserve"> </w:t>
      </w:r>
      <w:r w:rsidRPr="00B33854">
        <w:rPr>
          <w:rFonts w:eastAsia="Times New Roman"/>
          <w:lang w:eastAsia="de-DE"/>
        </w:rPr>
        <w:t xml:space="preserve">als Konjunktion, </w:t>
      </w:r>
      <w:r w:rsidRPr="00B33854">
        <w:rPr>
          <w:rFonts w:eastAsia="Times New Roman"/>
          <w:b/>
          <w:bCs/>
          <w:rtl/>
          <w:lang w:eastAsia="de-DE"/>
        </w:rPr>
        <w:t>לֹא</w:t>
      </w:r>
      <w:r w:rsidRPr="00B33854">
        <w:rPr>
          <w:rFonts w:eastAsia="Times New Roman"/>
          <w:rtl/>
          <w:lang w:eastAsia="de-DE"/>
        </w:rPr>
        <w:t xml:space="preserve"> </w:t>
      </w:r>
      <w:r w:rsidRPr="00B33854">
        <w:rPr>
          <w:rFonts w:eastAsia="Times New Roman"/>
          <w:lang w:eastAsia="de-DE"/>
        </w:rPr>
        <w:t xml:space="preserve">als Negation, </w:t>
      </w:r>
      <w:r w:rsidRPr="00B33854">
        <w:rPr>
          <w:rFonts w:eastAsia="Times New Roman"/>
          <w:b/>
          <w:bCs/>
          <w:rtl/>
          <w:lang w:eastAsia="de-DE"/>
        </w:rPr>
        <w:t>תַעֲבֹר</w:t>
      </w:r>
      <w:r w:rsidRPr="00B33854">
        <w:rPr>
          <w:rFonts w:eastAsia="Times New Roman"/>
          <w:rtl/>
          <w:lang w:eastAsia="de-DE"/>
        </w:rPr>
        <w:t xml:space="preserve"> </w:t>
      </w:r>
      <w:r w:rsidRPr="00B33854">
        <w:rPr>
          <w:rFonts w:eastAsia="Times New Roman"/>
          <w:lang w:eastAsia="de-DE"/>
        </w:rPr>
        <w:t xml:space="preserve">als Qal Imperfekt, 2. Person Singular maskulin von </w:t>
      </w:r>
      <w:r w:rsidRPr="00B33854">
        <w:rPr>
          <w:rFonts w:eastAsia="Times New Roman"/>
          <w:b/>
          <w:bCs/>
          <w:rtl/>
          <w:lang w:eastAsia="de-DE"/>
        </w:rPr>
        <w:t>עבר</w:t>
      </w:r>
      <w:r w:rsidRPr="00B33854">
        <w:rPr>
          <w:rFonts w:eastAsia="Times New Roman"/>
          <w:lang w:eastAsia="de-DE"/>
        </w:rPr>
        <w:t xml:space="preserve">. </w:t>
      </w:r>
      <w:r w:rsidRPr="00B33854">
        <w:rPr>
          <w:rFonts w:eastAsia="Times New Roman"/>
          <w:b/>
          <w:bCs/>
          <w:rtl/>
          <w:lang w:eastAsia="de-DE"/>
        </w:rPr>
        <w:t>אֶת־הַיַּרְדֵּן הַזֶּה</w:t>
      </w:r>
      <w:r w:rsidRPr="00B33854">
        <w:rPr>
          <w:rFonts w:eastAsia="Times New Roman"/>
          <w:rtl/>
          <w:lang w:eastAsia="de-DE"/>
        </w:rPr>
        <w:t xml:space="preserve"> </w:t>
      </w:r>
      <w:r w:rsidRPr="00B33854">
        <w:rPr>
          <w:rFonts w:eastAsia="Times New Roman"/>
          <w:lang w:eastAsia="de-DE"/>
        </w:rPr>
        <w:t xml:space="preserve">ist nota accusativi mit </w:t>
      </w:r>
      <w:r w:rsidRPr="00B33854">
        <w:rPr>
          <w:rFonts w:eastAsia="Times New Roman"/>
          <w:b/>
          <w:bCs/>
          <w:rtl/>
          <w:lang w:eastAsia="de-DE"/>
        </w:rPr>
        <w:t>הַיַּרְדֵּן</w:t>
      </w:r>
      <w:r w:rsidRPr="00B33854">
        <w:rPr>
          <w:rFonts w:eastAsia="Times New Roman"/>
          <w:rtl/>
          <w:lang w:eastAsia="de-DE"/>
        </w:rPr>
        <w:t xml:space="preserve"> </w:t>
      </w:r>
      <w:r w:rsidRPr="00B33854">
        <w:rPr>
          <w:rFonts w:eastAsia="Times New Roman"/>
          <w:lang w:eastAsia="de-DE"/>
        </w:rPr>
        <w:t xml:space="preserve">und Demonstrativpronomen </w:t>
      </w:r>
      <w:r w:rsidRPr="00B33854">
        <w:rPr>
          <w:rFonts w:eastAsia="Times New Roman"/>
          <w:b/>
          <w:bCs/>
          <w:rtl/>
          <w:lang w:eastAsia="de-DE"/>
        </w:rPr>
        <w:t>הַזֶּה</w:t>
      </w:r>
      <w:r w:rsidRPr="00B33854">
        <w:rPr>
          <w:rFonts w:eastAsia="Times New Roman"/>
          <w:rtl/>
          <w:lang w:eastAsia="de-DE"/>
        </w:rPr>
        <w:t xml:space="preserve"> </w:t>
      </w:r>
      <w:r w:rsidRPr="00B33854">
        <w:rPr>
          <w:rFonts w:eastAsia="Times New Roman"/>
          <w:lang w:eastAsia="de-DE"/>
        </w:rPr>
        <w:t>als Attribut.</w:t>
      </w:r>
    </w:p>
    <w:p w14:paraId="41E7ED73"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Die Satzstruktur besteht aus einer Reihe koordinierter Imperative mit ihren jeweiligen Ergänzungen: Ortsangabe, vierfache Richtungsangabe, idiomatische Präpositionalphrase. Ein abschließender kausaler Satz mit Negation erklärt den Grund für diese Anordnung – Mose darf nur sehen, aber nicht hinübergehen.</w:t>
      </w:r>
    </w:p>
    <w:p w14:paraId="798D39B4"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Der Vers befiehlt Mose, vom Berg Pisga aus das verheißene Land in alle Richtungen zu betrachten, bekräftigt aber gleichzeitig, dass er es nicht betreten wird.</w:t>
      </w:r>
    </w:p>
    <w:p w14:paraId="39EBA1EE"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3,28</w:t>
      </w:r>
    </w:p>
    <w:p w14:paraId="1FB004E6"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וְצַ֥ו אֶת־יְהוֹשֻׁ֖עַ וְחַזְּקֵ֣הוּ וְאַמְּצֵ֑הוּ כִּי־ה֣וּא יַעֲבֹ֗ר לִפְנֵי֙ הָעָ֣ם הַזֶּ֔ה וְהוּא֙ יַנְחִ֣יל אוֹתָ֔ם אֶת־הָאָ֖רֶץ אֲשֶׁ֥ר תִּרְאֶֽה׃</w:t>
      </w:r>
    </w:p>
    <w:p w14:paraId="3EB8B270"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Und gebiete dem Jehoschua und stärke ihn und kräftige ihn; denn er wird vor diesem Volk hinüberziehen, und er wird ihnen das Land, das du sehen wirst, als Erbe austeilen.</w:t>
      </w:r>
    </w:p>
    <w:p w14:paraId="4EA24615"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154A35AF">
          <v:rect id="_x0000_i1135" style="width:0;height:1.5pt" o:hralign="center" o:hrstd="t" o:hr="t" fillcolor="#a0a0a0" stroked="f"/>
        </w:pict>
      </w:r>
    </w:p>
    <w:p w14:paraId="426773D6"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וְצַו</w:t>
      </w:r>
      <w:r w:rsidRPr="00B33854">
        <w:rPr>
          <w:rFonts w:eastAsia="Times New Roman"/>
          <w:rtl/>
          <w:lang w:eastAsia="de-DE"/>
        </w:rPr>
        <w:t xml:space="preserve"> </w:t>
      </w:r>
      <w:r w:rsidRPr="00B33854">
        <w:rPr>
          <w:rFonts w:eastAsia="Times New Roman"/>
          <w:lang w:eastAsia="de-DE"/>
        </w:rPr>
        <w:t xml:space="preserve">ist Piel Imperativ, 2. Person Singular maskulin von </w:t>
      </w:r>
      <w:r w:rsidRPr="00B33854">
        <w:rPr>
          <w:rFonts w:eastAsia="Times New Roman"/>
          <w:b/>
          <w:bCs/>
          <w:rtl/>
          <w:lang w:eastAsia="de-DE"/>
        </w:rPr>
        <w:t>צוה</w:t>
      </w:r>
      <w:r w:rsidRPr="00B33854">
        <w:rPr>
          <w:rFonts w:eastAsia="Times New Roman"/>
          <w:rtl/>
          <w:lang w:eastAsia="de-DE"/>
        </w:rPr>
        <w:t xml:space="preserve"> </w:t>
      </w:r>
      <w:r w:rsidRPr="00B33854">
        <w:rPr>
          <w:rFonts w:eastAsia="Times New Roman"/>
          <w:lang w:eastAsia="de-DE"/>
        </w:rPr>
        <w:t xml:space="preserve">(„befehlen, beauftragen") mit </w:t>
      </w:r>
      <w:r w:rsidRPr="00B33854">
        <w:rPr>
          <w:rFonts w:eastAsia="Times New Roman"/>
          <w:b/>
          <w:bCs/>
          <w:rtl/>
          <w:lang w:eastAsia="de-DE"/>
        </w:rPr>
        <w:t>וְ</w:t>
      </w:r>
      <w:r w:rsidRPr="00B33854">
        <w:rPr>
          <w:rFonts w:eastAsia="Times New Roman"/>
          <w:lang w:eastAsia="de-DE"/>
        </w:rPr>
        <w:t xml:space="preserve">. </w:t>
      </w:r>
      <w:r w:rsidRPr="00B33854">
        <w:rPr>
          <w:rFonts w:eastAsia="Times New Roman"/>
          <w:b/>
          <w:bCs/>
          <w:rtl/>
          <w:lang w:eastAsia="de-DE"/>
        </w:rPr>
        <w:t>אֶת־יְהוֹשֻׁעַ</w:t>
      </w:r>
      <w:r w:rsidRPr="00B33854">
        <w:rPr>
          <w:rFonts w:eastAsia="Times New Roman"/>
          <w:rtl/>
          <w:lang w:eastAsia="de-DE"/>
        </w:rPr>
        <w:t xml:space="preserve"> </w:t>
      </w:r>
      <w:r w:rsidRPr="00B33854">
        <w:rPr>
          <w:rFonts w:eastAsia="Times New Roman"/>
          <w:lang w:eastAsia="de-DE"/>
        </w:rPr>
        <w:t xml:space="preserve">ist nota accusativi mit </w:t>
      </w:r>
      <w:r w:rsidRPr="00B33854">
        <w:rPr>
          <w:rFonts w:eastAsia="Times New Roman"/>
          <w:b/>
          <w:bCs/>
          <w:rtl/>
          <w:lang w:eastAsia="de-DE"/>
        </w:rPr>
        <w:t>יְהוֹשֻׁעַ</w:t>
      </w:r>
      <w:r w:rsidRPr="00B33854">
        <w:rPr>
          <w:rFonts w:eastAsia="Times New Roman"/>
          <w:rtl/>
          <w:lang w:eastAsia="de-DE"/>
        </w:rPr>
        <w:t xml:space="preserve"> </w:t>
      </w:r>
      <w:r w:rsidRPr="00B33854">
        <w:rPr>
          <w:rFonts w:eastAsia="Times New Roman"/>
          <w:lang w:eastAsia="de-DE"/>
        </w:rPr>
        <w:t xml:space="preserve">(Josua). </w:t>
      </w:r>
      <w:r w:rsidRPr="00B33854">
        <w:rPr>
          <w:rFonts w:eastAsia="Times New Roman"/>
          <w:b/>
          <w:bCs/>
          <w:rtl/>
          <w:lang w:eastAsia="de-DE"/>
        </w:rPr>
        <w:t>וְחַזְּקֵהוּ</w:t>
      </w:r>
      <w:r w:rsidRPr="00B33854">
        <w:rPr>
          <w:rFonts w:eastAsia="Times New Roman"/>
          <w:rtl/>
          <w:lang w:eastAsia="de-DE"/>
        </w:rPr>
        <w:t xml:space="preserve"> </w:t>
      </w:r>
      <w:r w:rsidRPr="00B33854">
        <w:rPr>
          <w:rFonts w:eastAsia="Times New Roman"/>
          <w:lang w:eastAsia="de-DE"/>
        </w:rPr>
        <w:t xml:space="preserve">ist Piel Imperativ, 2. Person Singular maskulin von </w:t>
      </w:r>
      <w:r w:rsidRPr="00B33854">
        <w:rPr>
          <w:rFonts w:eastAsia="Times New Roman"/>
          <w:b/>
          <w:bCs/>
          <w:rtl/>
          <w:lang w:eastAsia="de-DE"/>
        </w:rPr>
        <w:t>חזק</w:t>
      </w:r>
      <w:r w:rsidRPr="00B33854">
        <w:rPr>
          <w:rFonts w:eastAsia="Times New Roman"/>
          <w:rtl/>
          <w:lang w:eastAsia="de-DE"/>
        </w:rPr>
        <w:t xml:space="preserve"> </w:t>
      </w:r>
      <w:r w:rsidRPr="00B33854">
        <w:rPr>
          <w:rFonts w:eastAsia="Times New Roman"/>
          <w:lang w:eastAsia="de-DE"/>
        </w:rPr>
        <w:t xml:space="preserve">(„stark machen, stärken") mit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 xml:space="preserve">und Suffix 3. Person Singular maskulin. </w:t>
      </w:r>
      <w:r w:rsidRPr="00B33854">
        <w:rPr>
          <w:rFonts w:eastAsia="Times New Roman"/>
          <w:b/>
          <w:bCs/>
          <w:rtl/>
          <w:lang w:eastAsia="de-DE"/>
        </w:rPr>
        <w:t>וְאַמְּצֵהוּ</w:t>
      </w:r>
      <w:r w:rsidRPr="00B33854">
        <w:rPr>
          <w:rFonts w:eastAsia="Times New Roman"/>
          <w:rtl/>
          <w:lang w:eastAsia="de-DE"/>
        </w:rPr>
        <w:t xml:space="preserve"> </w:t>
      </w:r>
      <w:r w:rsidRPr="00B33854">
        <w:rPr>
          <w:rFonts w:eastAsia="Times New Roman"/>
          <w:lang w:eastAsia="de-DE"/>
        </w:rPr>
        <w:t xml:space="preserve">ist Piel Imperativ, 2. Person Singular maskulin von </w:t>
      </w:r>
      <w:r w:rsidRPr="00B33854">
        <w:rPr>
          <w:rFonts w:eastAsia="Times New Roman"/>
          <w:b/>
          <w:bCs/>
          <w:rtl/>
          <w:lang w:eastAsia="de-DE"/>
        </w:rPr>
        <w:t>אמץ</w:t>
      </w:r>
      <w:r w:rsidRPr="00B33854">
        <w:rPr>
          <w:rFonts w:eastAsia="Times New Roman"/>
          <w:rtl/>
          <w:lang w:eastAsia="de-DE"/>
        </w:rPr>
        <w:t xml:space="preserve"> </w:t>
      </w:r>
      <w:r w:rsidRPr="00B33854">
        <w:rPr>
          <w:rFonts w:eastAsia="Times New Roman"/>
          <w:lang w:eastAsia="de-DE"/>
        </w:rPr>
        <w:t xml:space="preserve">(„kräftig machen, festigen") mit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und Suffix 3. Person Singular maskulin.</w:t>
      </w:r>
    </w:p>
    <w:p w14:paraId="15D3BB47"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lastRenderedPageBreak/>
        <w:t>כִּי־הוּא יַעֲבֹר</w:t>
      </w:r>
      <w:r w:rsidRPr="00B33854">
        <w:rPr>
          <w:rFonts w:eastAsia="Times New Roman"/>
          <w:rtl/>
          <w:lang w:eastAsia="de-DE"/>
        </w:rPr>
        <w:t xml:space="preserve"> </w:t>
      </w:r>
      <w:r w:rsidRPr="00B33854">
        <w:rPr>
          <w:rFonts w:eastAsia="Times New Roman"/>
          <w:lang w:eastAsia="de-DE"/>
        </w:rPr>
        <w:t xml:space="preserve">ist ein kausaler Satz: </w:t>
      </w:r>
      <w:r w:rsidRPr="00B33854">
        <w:rPr>
          <w:rFonts w:eastAsia="Times New Roman"/>
          <w:b/>
          <w:bCs/>
          <w:rtl/>
          <w:lang w:eastAsia="de-DE"/>
        </w:rPr>
        <w:t>כִּי</w:t>
      </w:r>
      <w:r w:rsidRPr="00B33854">
        <w:rPr>
          <w:rFonts w:eastAsia="Times New Roman"/>
          <w:rtl/>
          <w:lang w:eastAsia="de-DE"/>
        </w:rPr>
        <w:t xml:space="preserve"> </w:t>
      </w:r>
      <w:r w:rsidRPr="00B33854">
        <w:rPr>
          <w:rFonts w:eastAsia="Times New Roman"/>
          <w:lang w:eastAsia="de-DE"/>
        </w:rPr>
        <w:t xml:space="preserve">als Konjunktion, </w:t>
      </w:r>
      <w:r w:rsidRPr="00B33854">
        <w:rPr>
          <w:rFonts w:eastAsia="Times New Roman"/>
          <w:b/>
          <w:bCs/>
          <w:rtl/>
          <w:lang w:eastAsia="de-DE"/>
        </w:rPr>
        <w:t>הוּא</w:t>
      </w:r>
      <w:r w:rsidRPr="00B33854">
        <w:rPr>
          <w:rFonts w:eastAsia="Times New Roman"/>
          <w:rtl/>
          <w:lang w:eastAsia="de-DE"/>
        </w:rPr>
        <w:t xml:space="preserve"> </w:t>
      </w:r>
      <w:r w:rsidRPr="00B33854">
        <w:rPr>
          <w:rFonts w:eastAsia="Times New Roman"/>
          <w:lang w:eastAsia="de-DE"/>
        </w:rPr>
        <w:t xml:space="preserve">als emphatisches Pronomen („er selbst"), </w:t>
      </w:r>
      <w:r w:rsidRPr="00B33854">
        <w:rPr>
          <w:rFonts w:eastAsia="Times New Roman"/>
          <w:b/>
          <w:bCs/>
          <w:rtl/>
          <w:lang w:eastAsia="de-DE"/>
        </w:rPr>
        <w:t>יַעֲבֹר</w:t>
      </w:r>
      <w:r w:rsidRPr="00B33854">
        <w:rPr>
          <w:rFonts w:eastAsia="Times New Roman"/>
          <w:rtl/>
          <w:lang w:eastAsia="de-DE"/>
        </w:rPr>
        <w:t xml:space="preserve"> </w:t>
      </w:r>
      <w:r w:rsidRPr="00B33854">
        <w:rPr>
          <w:rFonts w:eastAsia="Times New Roman"/>
          <w:lang w:eastAsia="de-DE"/>
        </w:rPr>
        <w:t xml:space="preserve">als Qal Imperfekt, 3. Person Singular maskulin von </w:t>
      </w:r>
      <w:r w:rsidRPr="00B33854">
        <w:rPr>
          <w:rFonts w:eastAsia="Times New Roman"/>
          <w:b/>
          <w:bCs/>
          <w:rtl/>
          <w:lang w:eastAsia="de-DE"/>
        </w:rPr>
        <w:t>עבר</w:t>
      </w:r>
      <w:r w:rsidRPr="00B33854">
        <w:rPr>
          <w:rFonts w:eastAsia="Times New Roman"/>
          <w:lang w:eastAsia="de-DE"/>
        </w:rPr>
        <w:t xml:space="preserve">. </w:t>
      </w:r>
      <w:r w:rsidRPr="00B33854">
        <w:rPr>
          <w:rFonts w:eastAsia="Times New Roman"/>
          <w:b/>
          <w:bCs/>
          <w:rtl/>
          <w:lang w:eastAsia="de-DE"/>
        </w:rPr>
        <w:t>לִפְנֵי הָעָם הַזֶּה</w:t>
      </w:r>
      <w:r w:rsidRPr="00B33854">
        <w:rPr>
          <w:rFonts w:eastAsia="Times New Roman"/>
          <w:rtl/>
          <w:lang w:eastAsia="de-DE"/>
        </w:rPr>
        <w:t xml:space="preserve"> </w:t>
      </w:r>
      <w:r w:rsidRPr="00B33854">
        <w:rPr>
          <w:rFonts w:eastAsia="Times New Roman"/>
          <w:lang w:eastAsia="de-DE"/>
        </w:rPr>
        <w:t xml:space="preserve">ist </w:t>
      </w:r>
      <w:r w:rsidRPr="00B33854">
        <w:rPr>
          <w:rFonts w:eastAsia="Times New Roman"/>
          <w:b/>
          <w:bCs/>
          <w:rtl/>
          <w:lang w:eastAsia="de-DE"/>
        </w:rPr>
        <w:t>לִפְנֵי</w:t>
      </w:r>
      <w:r w:rsidRPr="00B33854">
        <w:rPr>
          <w:rFonts w:eastAsia="Times New Roman"/>
          <w:rtl/>
          <w:lang w:eastAsia="de-DE"/>
        </w:rPr>
        <w:t xml:space="preserve"> </w:t>
      </w:r>
      <w:r w:rsidRPr="00B33854">
        <w:rPr>
          <w:rFonts w:eastAsia="Times New Roman"/>
          <w:lang w:eastAsia="de-DE"/>
        </w:rPr>
        <w:t xml:space="preserve">(„vor, an der Spitze von") mit </w:t>
      </w:r>
      <w:r w:rsidRPr="00B33854">
        <w:rPr>
          <w:rFonts w:eastAsia="Times New Roman"/>
          <w:b/>
          <w:bCs/>
          <w:rtl/>
          <w:lang w:eastAsia="de-DE"/>
        </w:rPr>
        <w:t>הָעָם</w:t>
      </w:r>
      <w:r w:rsidRPr="00B33854">
        <w:rPr>
          <w:rFonts w:eastAsia="Times New Roman"/>
          <w:rtl/>
          <w:lang w:eastAsia="de-DE"/>
        </w:rPr>
        <w:t xml:space="preserve"> </w:t>
      </w:r>
      <w:r w:rsidRPr="00B33854">
        <w:rPr>
          <w:rFonts w:eastAsia="Times New Roman"/>
          <w:lang w:eastAsia="de-DE"/>
        </w:rPr>
        <w:t xml:space="preserve">(„das Volk") und Demonstrativpronomen </w:t>
      </w:r>
      <w:r w:rsidRPr="00B33854">
        <w:rPr>
          <w:rFonts w:eastAsia="Times New Roman"/>
          <w:b/>
          <w:bCs/>
          <w:rtl/>
          <w:lang w:eastAsia="de-DE"/>
        </w:rPr>
        <w:t>הַזֶּה</w:t>
      </w:r>
      <w:r w:rsidRPr="00B33854">
        <w:rPr>
          <w:rFonts w:eastAsia="Times New Roman"/>
          <w:lang w:eastAsia="de-DE"/>
        </w:rPr>
        <w:t>.</w:t>
      </w:r>
    </w:p>
    <w:p w14:paraId="76C440CC"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וְהוּא יַנְחִיל אוֹתָם</w:t>
      </w:r>
      <w:r w:rsidRPr="00B33854">
        <w:rPr>
          <w:rFonts w:eastAsia="Times New Roman"/>
          <w:rtl/>
          <w:lang w:eastAsia="de-DE"/>
        </w:rPr>
        <w:t xml:space="preserve"> </w:t>
      </w:r>
      <w:r w:rsidRPr="00B33854">
        <w:rPr>
          <w:rFonts w:eastAsia="Times New Roman"/>
          <w:lang w:eastAsia="de-DE"/>
        </w:rPr>
        <w:t xml:space="preserve">ist ein koordinierter Satz: </w:t>
      </w:r>
      <w:r w:rsidRPr="00B33854">
        <w:rPr>
          <w:rFonts w:eastAsia="Times New Roman"/>
          <w:b/>
          <w:bCs/>
          <w:rtl/>
          <w:lang w:eastAsia="de-DE"/>
        </w:rPr>
        <w:t>וְ</w:t>
      </w:r>
      <w:r w:rsidRPr="00B33854">
        <w:rPr>
          <w:rFonts w:eastAsia="Times New Roman"/>
          <w:lang w:eastAsia="de-DE"/>
        </w:rPr>
        <w:t xml:space="preserve">, </w:t>
      </w:r>
      <w:r w:rsidRPr="00B33854">
        <w:rPr>
          <w:rFonts w:eastAsia="Times New Roman"/>
          <w:b/>
          <w:bCs/>
          <w:rtl/>
          <w:lang w:eastAsia="de-DE"/>
        </w:rPr>
        <w:t>הוּא</w:t>
      </w:r>
      <w:r w:rsidRPr="00B33854">
        <w:rPr>
          <w:rFonts w:eastAsia="Times New Roman"/>
          <w:rtl/>
          <w:lang w:eastAsia="de-DE"/>
        </w:rPr>
        <w:t xml:space="preserve"> </w:t>
      </w:r>
      <w:r w:rsidRPr="00B33854">
        <w:rPr>
          <w:rFonts w:eastAsia="Times New Roman"/>
          <w:lang w:eastAsia="de-DE"/>
        </w:rPr>
        <w:t xml:space="preserve">(emphatisches Pronomen), </w:t>
      </w:r>
      <w:r w:rsidRPr="00B33854">
        <w:rPr>
          <w:rFonts w:eastAsia="Times New Roman"/>
          <w:b/>
          <w:bCs/>
          <w:rtl/>
          <w:lang w:eastAsia="de-DE"/>
        </w:rPr>
        <w:t>יַנְחִיל</w:t>
      </w:r>
      <w:r w:rsidRPr="00B33854">
        <w:rPr>
          <w:rFonts w:eastAsia="Times New Roman"/>
          <w:rtl/>
          <w:lang w:eastAsia="de-DE"/>
        </w:rPr>
        <w:t xml:space="preserve"> </w:t>
      </w:r>
      <w:r w:rsidRPr="00B33854">
        <w:rPr>
          <w:rFonts w:eastAsia="Times New Roman"/>
          <w:lang w:eastAsia="de-DE"/>
        </w:rPr>
        <w:t xml:space="preserve">(Hifil Imperfekt, 3. Person Singular maskulin von </w:t>
      </w:r>
      <w:r w:rsidRPr="00B33854">
        <w:rPr>
          <w:rFonts w:eastAsia="Times New Roman"/>
          <w:b/>
          <w:bCs/>
          <w:rtl/>
          <w:lang w:eastAsia="de-DE"/>
        </w:rPr>
        <w:t>נחל</w:t>
      </w:r>
      <w:r w:rsidRPr="00B33854">
        <w:rPr>
          <w:rFonts w:eastAsia="Times New Roman"/>
          <w:lang w:eastAsia="de-DE"/>
        </w:rPr>
        <w:t xml:space="preserve">, „als Erbe zuteilen, zum Besitz geben"), </w:t>
      </w:r>
      <w:r w:rsidRPr="00B33854">
        <w:rPr>
          <w:rFonts w:eastAsia="Times New Roman"/>
          <w:b/>
          <w:bCs/>
          <w:rtl/>
          <w:lang w:eastAsia="de-DE"/>
        </w:rPr>
        <w:t>אוֹתָם</w:t>
      </w:r>
      <w:r w:rsidRPr="00B33854">
        <w:rPr>
          <w:rFonts w:eastAsia="Times New Roman"/>
          <w:rtl/>
          <w:lang w:eastAsia="de-DE"/>
        </w:rPr>
        <w:t xml:space="preserve"> </w:t>
      </w:r>
      <w:r w:rsidRPr="00B33854">
        <w:rPr>
          <w:rFonts w:eastAsia="Times New Roman"/>
          <w:lang w:eastAsia="de-DE"/>
        </w:rPr>
        <w:t xml:space="preserve">(nota accusativi mit Suffix 3. Person Plural maskulin). </w:t>
      </w:r>
      <w:r w:rsidRPr="00B33854">
        <w:rPr>
          <w:rFonts w:eastAsia="Times New Roman"/>
          <w:b/>
          <w:bCs/>
          <w:rtl/>
          <w:lang w:eastAsia="de-DE"/>
        </w:rPr>
        <w:t>אֶת־הָאָרֶץ</w:t>
      </w:r>
      <w:r w:rsidRPr="00B33854">
        <w:rPr>
          <w:rFonts w:eastAsia="Times New Roman"/>
          <w:rtl/>
          <w:lang w:eastAsia="de-DE"/>
        </w:rPr>
        <w:t xml:space="preserve"> </w:t>
      </w:r>
      <w:r w:rsidRPr="00B33854">
        <w:rPr>
          <w:rFonts w:eastAsia="Times New Roman"/>
          <w:lang w:eastAsia="de-DE"/>
        </w:rPr>
        <w:t xml:space="preserve">ist nota accusativi mit </w:t>
      </w:r>
      <w:r w:rsidRPr="00B33854">
        <w:rPr>
          <w:rFonts w:eastAsia="Times New Roman"/>
          <w:b/>
          <w:bCs/>
          <w:rtl/>
          <w:lang w:eastAsia="de-DE"/>
        </w:rPr>
        <w:t>הָאָרֶץ</w:t>
      </w:r>
      <w:r w:rsidRPr="00B33854">
        <w:rPr>
          <w:rFonts w:eastAsia="Times New Roman"/>
          <w:lang w:eastAsia="de-DE"/>
        </w:rPr>
        <w:t xml:space="preserve">. </w:t>
      </w:r>
      <w:r w:rsidRPr="00B33854">
        <w:rPr>
          <w:rFonts w:eastAsia="Times New Roman"/>
          <w:b/>
          <w:bCs/>
          <w:rtl/>
          <w:lang w:eastAsia="de-DE"/>
        </w:rPr>
        <w:t>אֲשֶׁר תִּרְאֶה</w:t>
      </w:r>
      <w:r w:rsidRPr="00B33854">
        <w:rPr>
          <w:rFonts w:eastAsia="Times New Roman"/>
          <w:rtl/>
          <w:lang w:eastAsia="de-DE"/>
        </w:rPr>
        <w:t xml:space="preserve"> </w:t>
      </w:r>
      <w:r w:rsidRPr="00B33854">
        <w:rPr>
          <w:rFonts w:eastAsia="Times New Roman"/>
          <w:lang w:eastAsia="de-DE"/>
        </w:rPr>
        <w:t xml:space="preserve">ist ein Relativsatz: </w:t>
      </w:r>
      <w:r w:rsidRPr="00B33854">
        <w:rPr>
          <w:rFonts w:eastAsia="Times New Roman"/>
          <w:b/>
          <w:bCs/>
          <w:rtl/>
          <w:lang w:eastAsia="de-DE"/>
        </w:rPr>
        <w:t>אֲשֶׁר</w:t>
      </w:r>
      <w:r w:rsidRPr="00B33854">
        <w:rPr>
          <w:rFonts w:eastAsia="Times New Roman"/>
          <w:lang w:eastAsia="de-DE"/>
        </w:rPr>
        <w:t xml:space="preserve">, </w:t>
      </w:r>
      <w:r w:rsidRPr="00B33854">
        <w:rPr>
          <w:rFonts w:eastAsia="Times New Roman"/>
          <w:b/>
          <w:bCs/>
          <w:rtl/>
          <w:lang w:eastAsia="de-DE"/>
        </w:rPr>
        <w:t>תִּרְאֶה</w:t>
      </w:r>
      <w:r w:rsidRPr="00B33854">
        <w:rPr>
          <w:rFonts w:eastAsia="Times New Roman"/>
          <w:rtl/>
          <w:lang w:eastAsia="de-DE"/>
        </w:rPr>
        <w:t xml:space="preserve"> </w:t>
      </w:r>
      <w:r w:rsidRPr="00B33854">
        <w:rPr>
          <w:rFonts w:eastAsia="Times New Roman"/>
          <w:lang w:eastAsia="de-DE"/>
        </w:rPr>
        <w:t xml:space="preserve">(Qal Imperfekt, 2. Person Singular maskulin von </w:t>
      </w:r>
      <w:r w:rsidRPr="00B33854">
        <w:rPr>
          <w:rFonts w:eastAsia="Times New Roman"/>
          <w:b/>
          <w:bCs/>
          <w:rtl/>
          <w:lang w:eastAsia="de-DE"/>
        </w:rPr>
        <w:t>ראה</w:t>
      </w:r>
      <w:r w:rsidRPr="00B33854">
        <w:rPr>
          <w:rFonts w:eastAsia="Times New Roman"/>
          <w:lang w:eastAsia="de-DE"/>
        </w:rPr>
        <w:t>).</w:t>
      </w:r>
    </w:p>
    <w:p w14:paraId="61F6C02D"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Die Satzstruktur besteht aus drei koordinierten Imperativen mit direktem Objekt (der erste) bzw. Suffixen (die folgenden zwei), gefolgt von zwei kausalen Hauptsätzen, die jeweils mit emphatischem Pronomen eingeleitet werden. Der zweite kausale Satz wird durch einen Relativsatz erweitert, der die Verbindung zwischen Moses Sehen und Josuas Austeilen des Landes herstellt.</w:t>
      </w:r>
    </w:p>
    <w:p w14:paraId="5237781B"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Der Vers beauftragt Mose, Josua als seinen Nachfolger zu stärken und zu ermutigen, da dieser die Aufgabe der Landnahme und -verteilung übernehmen wird, die Mose verwehrt bleibt.</w:t>
      </w:r>
    </w:p>
    <w:p w14:paraId="35078404"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3,29</w:t>
      </w:r>
    </w:p>
    <w:p w14:paraId="7C606FFB"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וַנֵּ֣שֶׁב בַּגָּ֔יְא מ֖וּל בֵּ֥ית פְּעֽוֹר׃</w:t>
      </w:r>
    </w:p>
    <w:p w14:paraId="1AB4EAEB"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Und wir saßen im Tal gegenüber Bet-Peor.</w:t>
      </w:r>
    </w:p>
    <w:p w14:paraId="29A5013B"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5AFA27AE">
          <v:rect id="_x0000_i1136" style="width:0;height:1.5pt" o:hralign="center" o:hrstd="t" o:hr="t" fillcolor="#a0a0a0" stroked="f"/>
        </w:pict>
      </w:r>
    </w:p>
    <w:p w14:paraId="3A2CEF54"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וַנֵּשֶׁב</w:t>
      </w:r>
      <w:r w:rsidRPr="00B33854">
        <w:rPr>
          <w:rFonts w:eastAsia="Times New Roman"/>
          <w:rtl/>
          <w:lang w:eastAsia="de-DE"/>
        </w:rPr>
        <w:t xml:space="preserve"> </w:t>
      </w:r>
      <w:r w:rsidRPr="00B33854">
        <w:rPr>
          <w:rFonts w:eastAsia="Times New Roman"/>
          <w:lang w:eastAsia="de-DE"/>
        </w:rPr>
        <w:t xml:space="preserve">ist Qal Imperfekt consecutivum, 1. Person Plural von </w:t>
      </w:r>
      <w:r w:rsidRPr="00B33854">
        <w:rPr>
          <w:rFonts w:eastAsia="Times New Roman"/>
          <w:b/>
          <w:bCs/>
          <w:rtl/>
          <w:lang w:eastAsia="de-DE"/>
        </w:rPr>
        <w:t>ישׁב</w:t>
      </w:r>
      <w:r w:rsidRPr="00B33854">
        <w:rPr>
          <w:rFonts w:eastAsia="Times New Roman"/>
          <w:rtl/>
          <w:lang w:eastAsia="de-DE"/>
        </w:rPr>
        <w:t xml:space="preserve"> </w:t>
      </w:r>
      <w:r w:rsidRPr="00B33854">
        <w:rPr>
          <w:rFonts w:eastAsia="Times New Roman"/>
          <w:lang w:eastAsia="de-DE"/>
        </w:rPr>
        <w:t xml:space="preserve">(„sitzen, wohnen, sich niederlassen") mit Waw. </w:t>
      </w:r>
      <w:r w:rsidRPr="00B33854">
        <w:rPr>
          <w:rFonts w:eastAsia="Times New Roman"/>
          <w:b/>
          <w:bCs/>
          <w:rtl/>
          <w:lang w:eastAsia="de-DE"/>
        </w:rPr>
        <w:t>בַּגַּיְא</w:t>
      </w:r>
      <w:r w:rsidRPr="00B33854">
        <w:rPr>
          <w:rFonts w:eastAsia="Times New Roman"/>
          <w:rtl/>
          <w:lang w:eastAsia="de-DE"/>
        </w:rPr>
        <w:t xml:space="preserve"> </w:t>
      </w:r>
      <w:r w:rsidRPr="00B33854">
        <w:rPr>
          <w:rFonts w:eastAsia="Times New Roman"/>
          <w:lang w:eastAsia="de-DE"/>
        </w:rPr>
        <w:t xml:space="preserve">ist Präposition </w:t>
      </w:r>
      <w:r w:rsidRPr="00B33854">
        <w:rPr>
          <w:rFonts w:eastAsia="Times New Roman"/>
          <w:b/>
          <w:bCs/>
          <w:rtl/>
          <w:lang w:eastAsia="de-DE"/>
        </w:rPr>
        <w:t>בְּ</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גַּיְא</w:t>
      </w:r>
      <w:r w:rsidRPr="00B33854">
        <w:rPr>
          <w:rFonts w:eastAsia="Times New Roman"/>
          <w:rtl/>
          <w:lang w:eastAsia="de-DE"/>
        </w:rPr>
        <w:t xml:space="preserve"> </w:t>
      </w:r>
      <w:r w:rsidRPr="00B33854">
        <w:rPr>
          <w:rFonts w:eastAsia="Times New Roman"/>
          <w:lang w:eastAsia="de-DE"/>
        </w:rPr>
        <w:t xml:space="preserve">(„Tal", mit Artikel). </w:t>
      </w:r>
      <w:r w:rsidRPr="00B33854">
        <w:rPr>
          <w:rFonts w:eastAsia="Times New Roman"/>
          <w:b/>
          <w:bCs/>
          <w:rtl/>
          <w:lang w:eastAsia="de-DE"/>
        </w:rPr>
        <w:t>מוּל</w:t>
      </w:r>
      <w:r w:rsidRPr="00B33854">
        <w:rPr>
          <w:rFonts w:eastAsia="Times New Roman"/>
          <w:rtl/>
          <w:lang w:eastAsia="de-DE"/>
        </w:rPr>
        <w:t xml:space="preserve"> </w:t>
      </w:r>
      <w:r w:rsidRPr="00B33854">
        <w:rPr>
          <w:rFonts w:eastAsia="Times New Roman"/>
          <w:lang w:eastAsia="de-DE"/>
        </w:rPr>
        <w:t xml:space="preserve">ist eine Präposition („gegenüber, angesichts von"). </w:t>
      </w:r>
      <w:r w:rsidRPr="00B33854">
        <w:rPr>
          <w:rFonts w:eastAsia="Times New Roman"/>
          <w:b/>
          <w:bCs/>
          <w:rtl/>
          <w:lang w:eastAsia="de-DE"/>
        </w:rPr>
        <w:t>בֵּית פְּעוֹר</w:t>
      </w:r>
      <w:r w:rsidRPr="00B33854">
        <w:rPr>
          <w:rFonts w:eastAsia="Times New Roman"/>
          <w:rtl/>
          <w:lang w:eastAsia="de-DE"/>
        </w:rPr>
        <w:t xml:space="preserve"> </w:t>
      </w:r>
      <w:r w:rsidRPr="00B33854">
        <w:rPr>
          <w:rFonts w:eastAsia="Times New Roman"/>
          <w:lang w:eastAsia="de-DE"/>
        </w:rPr>
        <w:t xml:space="preserve">ist ein Ortsname: </w:t>
      </w:r>
      <w:r w:rsidRPr="00B33854">
        <w:rPr>
          <w:rFonts w:eastAsia="Times New Roman"/>
          <w:b/>
          <w:bCs/>
          <w:rtl/>
          <w:lang w:eastAsia="de-DE"/>
        </w:rPr>
        <w:t>בֵּית</w:t>
      </w:r>
      <w:r w:rsidRPr="00B33854">
        <w:rPr>
          <w:rFonts w:eastAsia="Times New Roman"/>
          <w:rtl/>
          <w:lang w:eastAsia="de-DE"/>
        </w:rPr>
        <w:t xml:space="preserve"> </w:t>
      </w:r>
      <w:r w:rsidRPr="00B33854">
        <w:rPr>
          <w:rFonts w:eastAsia="Times New Roman"/>
          <w:lang w:eastAsia="de-DE"/>
        </w:rPr>
        <w:t xml:space="preserve">(„Haus") im Construct mit </w:t>
      </w:r>
      <w:r w:rsidRPr="00B33854">
        <w:rPr>
          <w:rFonts w:eastAsia="Times New Roman"/>
          <w:b/>
          <w:bCs/>
          <w:rtl/>
          <w:lang w:eastAsia="de-DE"/>
        </w:rPr>
        <w:t>פְּעוֹר</w:t>
      </w:r>
      <w:r w:rsidRPr="00B33854">
        <w:rPr>
          <w:rFonts w:eastAsia="Times New Roman"/>
          <w:rtl/>
          <w:lang w:eastAsia="de-DE"/>
        </w:rPr>
        <w:t xml:space="preserve"> </w:t>
      </w:r>
      <w:r w:rsidRPr="00B33854">
        <w:rPr>
          <w:rFonts w:eastAsia="Times New Roman"/>
          <w:lang w:eastAsia="de-DE"/>
        </w:rPr>
        <w:t>(Name einer moabitischen Gottheit), zusammen „Bet-Peor" oder „Haus des Peor".</w:t>
      </w:r>
    </w:p>
    <w:p w14:paraId="68E63A83"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Die Satzstruktur ist ein einfacher Hauptsatz mit Prädikat, Ortsangabe mit Präposition und einer weiteren präpositionalen Lagebeschreibung mit Ortsnamen. Der Vers bildet einen ruhigen, faktischen Abschluss des Kapitels nach den dramatischen Ereignissen und göttlichen Anordnungen.</w:t>
      </w:r>
    </w:p>
    <w:p w14:paraId="635F9AFD"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Der Vers lokalisiert Israel im Tal gegenüber Bet-Peor, wo sie nach der Eroberung des Ostjordanlandes lagerten – ein Ort, der später noch bedeutsam werden wird.</w:t>
      </w:r>
    </w:p>
    <w:p w14:paraId="793C53F9"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4,1</w:t>
      </w:r>
    </w:p>
    <w:p w14:paraId="1A6E65FB"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וְעַתָּ֣ה יִשְׂרָאֵ֗ל שְׁמַ֤ע אֶל־הַֽחֻקִּים֙ וְאֶל־הַמִּשְׁפָּטִ֔ים אֲשֶׁ֧ר אָֽנֹכִ֛י מְלַמֵּ֥ד אֶתְכֶ֖ם לַעֲשׂ֑וֹת לְמַ֣עַן תִּֽחְי֗וּ וּבָאתֶם֙ וִֽירִשְׁתֶּ֣ם אֶת־הָאָ֔רֶץ אֲשֶׁ֧ר יְהוָ֛ה אֱלֹהֵ֥י אֲבֹתֵיכֶ֖ם נֹתֵ֥ן לָכֶֽם׃</w:t>
      </w:r>
    </w:p>
    <w:p w14:paraId="184AFEAA"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lastRenderedPageBreak/>
        <w:t>Deutsch:</w:t>
      </w:r>
      <w:r w:rsidRPr="00B33854">
        <w:rPr>
          <w:rFonts w:eastAsia="Times New Roman"/>
          <w:lang w:eastAsia="de-DE"/>
        </w:rPr>
        <w:t xml:space="preserve"> Und nun, Jisra'el, höre auf die Satzungen und auf die Rechte, die ich euch zu tun lehrend bin, damit ihr lebt und hineinkommt und das Land in Besitz nehmt, das der Ewige, der Gott eurer Väter, euch gebend ist.</w:t>
      </w:r>
    </w:p>
    <w:p w14:paraId="1018873E"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534DF149">
          <v:rect id="_x0000_i1137" style="width:0;height:1.5pt" o:hralign="center" o:hrstd="t" o:hr="t" fillcolor="#a0a0a0" stroked="f"/>
        </w:pict>
      </w:r>
    </w:p>
    <w:p w14:paraId="180913F1"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וְעַתָּה</w:t>
      </w:r>
      <w:r w:rsidRPr="00B33854">
        <w:rPr>
          <w:rFonts w:eastAsia="Times New Roman"/>
          <w:rtl/>
          <w:lang w:eastAsia="de-DE"/>
        </w:rPr>
        <w:t xml:space="preserve"> </w:t>
      </w:r>
      <w:r w:rsidRPr="00B33854">
        <w:rPr>
          <w:rFonts w:eastAsia="Times New Roman"/>
          <w:lang w:eastAsia="de-DE"/>
        </w:rPr>
        <w:t xml:space="preserve">ist eine temporale Übergangspartikel („und nun, jetzt"), die einen neuen Abschnitt einleitet und vom Narrativ zur Paränese überleitet. </w:t>
      </w:r>
      <w:r w:rsidRPr="00B33854">
        <w:rPr>
          <w:rFonts w:eastAsia="Times New Roman"/>
          <w:b/>
          <w:bCs/>
          <w:rtl/>
          <w:lang w:eastAsia="de-DE"/>
        </w:rPr>
        <w:t>יִשְׂרָאֵל</w:t>
      </w:r>
      <w:r w:rsidRPr="00B33854">
        <w:rPr>
          <w:rFonts w:eastAsia="Times New Roman"/>
          <w:rtl/>
          <w:lang w:eastAsia="de-DE"/>
        </w:rPr>
        <w:t xml:space="preserve"> </w:t>
      </w:r>
      <w:r w:rsidRPr="00B33854">
        <w:rPr>
          <w:rFonts w:eastAsia="Times New Roman"/>
          <w:lang w:eastAsia="de-DE"/>
        </w:rPr>
        <w:t xml:space="preserve">ist die Vokativform, der direkte Anruf an das Volk. </w:t>
      </w:r>
      <w:r w:rsidRPr="00B33854">
        <w:rPr>
          <w:rFonts w:eastAsia="Times New Roman"/>
          <w:b/>
          <w:bCs/>
          <w:rtl/>
          <w:lang w:eastAsia="de-DE"/>
        </w:rPr>
        <w:t>שְׁמַע</w:t>
      </w:r>
      <w:r w:rsidRPr="00B33854">
        <w:rPr>
          <w:rFonts w:eastAsia="Times New Roman"/>
          <w:rtl/>
          <w:lang w:eastAsia="de-DE"/>
        </w:rPr>
        <w:t xml:space="preserve"> </w:t>
      </w:r>
      <w:r w:rsidRPr="00B33854">
        <w:rPr>
          <w:rFonts w:eastAsia="Times New Roman"/>
          <w:lang w:eastAsia="de-DE"/>
        </w:rPr>
        <w:t xml:space="preserve">ist Qal Imperativ, 2. Person Singular maskulin von </w:t>
      </w:r>
      <w:r w:rsidRPr="00B33854">
        <w:rPr>
          <w:rFonts w:eastAsia="Times New Roman"/>
          <w:b/>
          <w:bCs/>
          <w:rtl/>
          <w:lang w:eastAsia="de-DE"/>
        </w:rPr>
        <w:t>שׁמע</w:t>
      </w:r>
      <w:r w:rsidRPr="00B33854">
        <w:rPr>
          <w:rFonts w:eastAsia="Times New Roman"/>
          <w:rtl/>
          <w:lang w:eastAsia="de-DE"/>
        </w:rPr>
        <w:t xml:space="preserve"> </w:t>
      </w:r>
      <w:r w:rsidRPr="00B33854">
        <w:rPr>
          <w:rFonts w:eastAsia="Times New Roman"/>
          <w:lang w:eastAsia="de-DE"/>
        </w:rPr>
        <w:t xml:space="preserve">(„hören, auf etwas hören, gehorchen"). Die Singularform richtet sich an das Volk als kollektive Einheit. </w:t>
      </w:r>
      <w:r w:rsidRPr="00B33854">
        <w:rPr>
          <w:rFonts w:eastAsia="Times New Roman"/>
          <w:b/>
          <w:bCs/>
          <w:rtl/>
          <w:lang w:eastAsia="de-DE"/>
        </w:rPr>
        <w:t>אֶל־הַחֻקִּים וְאֶל־הַמִּשְׁפָּטִים</w:t>
      </w:r>
      <w:r w:rsidRPr="00B33854">
        <w:rPr>
          <w:rFonts w:eastAsia="Times New Roman"/>
          <w:rtl/>
          <w:lang w:eastAsia="de-DE"/>
        </w:rPr>
        <w:t xml:space="preserve"> </w:t>
      </w:r>
      <w:r w:rsidRPr="00B33854">
        <w:rPr>
          <w:rFonts w:eastAsia="Times New Roman"/>
          <w:lang w:eastAsia="de-DE"/>
        </w:rPr>
        <w:t xml:space="preserve">ist eine zweigliedrige koordinierte präpositionale Ergänzung: </w:t>
      </w:r>
      <w:r w:rsidRPr="00B33854">
        <w:rPr>
          <w:rFonts w:eastAsia="Times New Roman"/>
          <w:b/>
          <w:bCs/>
          <w:rtl/>
          <w:lang w:eastAsia="de-DE"/>
        </w:rPr>
        <w:t>אֶל</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הַחֻקִּים</w:t>
      </w:r>
      <w:r w:rsidRPr="00B33854">
        <w:rPr>
          <w:rFonts w:eastAsia="Times New Roman"/>
          <w:rtl/>
          <w:lang w:eastAsia="de-DE"/>
        </w:rPr>
        <w:t xml:space="preserve"> </w:t>
      </w:r>
      <w:r w:rsidRPr="00B33854">
        <w:rPr>
          <w:rFonts w:eastAsia="Times New Roman"/>
          <w:lang w:eastAsia="de-DE"/>
        </w:rPr>
        <w:t xml:space="preserve">(„die Satzungen", Plural mit Artikel von </w:t>
      </w:r>
      <w:r w:rsidRPr="00B33854">
        <w:rPr>
          <w:rFonts w:eastAsia="Times New Roman"/>
          <w:b/>
          <w:bCs/>
          <w:rtl/>
          <w:lang w:eastAsia="de-DE"/>
        </w:rPr>
        <w:t>חֹק</w:t>
      </w:r>
      <w:r w:rsidRPr="00B33854">
        <w:rPr>
          <w:rFonts w:eastAsia="Times New Roman"/>
          <w:lang w:eastAsia="de-DE"/>
        </w:rPr>
        <w:t xml:space="preserve">) und </w:t>
      </w:r>
      <w:r w:rsidRPr="00B33854">
        <w:rPr>
          <w:rFonts w:eastAsia="Times New Roman"/>
          <w:b/>
          <w:bCs/>
          <w:rtl/>
          <w:lang w:eastAsia="de-DE"/>
        </w:rPr>
        <w:t>אֶל</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הַמִּשְׁפָּטִים</w:t>
      </w:r>
      <w:r w:rsidRPr="00B33854">
        <w:rPr>
          <w:rFonts w:eastAsia="Times New Roman"/>
          <w:rtl/>
          <w:lang w:eastAsia="de-DE"/>
        </w:rPr>
        <w:t xml:space="preserve"> </w:t>
      </w:r>
      <w:r w:rsidRPr="00B33854">
        <w:rPr>
          <w:rFonts w:eastAsia="Times New Roman"/>
          <w:lang w:eastAsia="de-DE"/>
        </w:rPr>
        <w:t xml:space="preserve">(„die Rechtsbestimmungen", Plural mit Artikel von </w:t>
      </w:r>
      <w:r w:rsidRPr="00B33854">
        <w:rPr>
          <w:rFonts w:eastAsia="Times New Roman"/>
          <w:b/>
          <w:bCs/>
          <w:rtl/>
          <w:lang w:eastAsia="de-DE"/>
        </w:rPr>
        <w:t>מִשְׁפָּט</w:t>
      </w:r>
      <w:r w:rsidRPr="00B33854">
        <w:rPr>
          <w:rFonts w:eastAsia="Times New Roman"/>
          <w:lang w:eastAsia="de-DE"/>
        </w:rPr>
        <w:t xml:space="preserve">). Die Wiederholung der Präposition </w:t>
      </w:r>
      <w:r w:rsidRPr="00B33854">
        <w:rPr>
          <w:rFonts w:eastAsia="Times New Roman"/>
          <w:b/>
          <w:bCs/>
          <w:rtl/>
          <w:lang w:eastAsia="de-DE"/>
        </w:rPr>
        <w:t>אֶל</w:t>
      </w:r>
      <w:r w:rsidRPr="00B33854">
        <w:rPr>
          <w:rFonts w:eastAsia="Times New Roman"/>
          <w:rtl/>
          <w:lang w:eastAsia="de-DE"/>
        </w:rPr>
        <w:t xml:space="preserve"> </w:t>
      </w:r>
      <w:r w:rsidRPr="00B33854">
        <w:rPr>
          <w:rFonts w:eastAsia="Times New Roman"/>
          <w:lang w:eastAsia="de-DE"/>
        </w:rPr>
        <w:t>betont beide Kategorien der Gebote.</w:t>
      </w:r>
    </w:p>
    <w:p w14:paraId="2F4EC3CB"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אֲשֶׁר אָנֹכִי מְלַמֵּד אֶתְכֶם</w:t>
      </w:r>
      <w:r w:rsidRPr="00B33854">
        <w:rPr>
          <w:rFonts w:eastAsia="Times New Roman"/>
          <w:rtl/>
          <w:lang w:eastAsia="de-DE"/>
        </w:rPr>
        <w:t xml:space="preserve"> </w:t>
      </w:r>
      <w:r w:rsidRPr="00B33854">
        <w:rPr>
          <w:rFonts w:eastAsia="Times New Roman"/>
          <w:lang w:eastAsia="de-DE"/>
        </w:rPr>
        <w:t xml:space="preserve">ist ein Relativsatz: </w:t>
      </w:r>
      <w:r w:rsidRPr="00B33854">
        <w:rPr>
          <w:rFonts w:eastAsia="Times New Roman"/>
          <w:b/>
          <w:bCs/>
          <w:rtl/>
          <w:lang w:eastAsia="de-DE"/>
        </w:rPr>
        <w:t>אֲשֶׁר</w:t>
      </w:r>
      <w:r w:rsidRPr="00B33854">
        <w:rPr>
          <w:rFonts w:eastAsia="Times New Roman"/>
          <w:rtl/>
          <w:lang w:eastAsia="de-DE"/>
        </w:rPr>
        <w:t xml:space="preserve"> </w:t>
      </w:r>
      <w:r w:rsidRPr="00B33854">
        <w:rPr>
          <w:rFonts w:eastAsia="Times New Roman"/>
          <w:lang w:eastAsia="de-DE"/>
        </w:rPr>
        <w:t xml:space="preserve">als Relativpronomen, </w:t>
      </w:r>
      <w:r w:rsidRPr="00B33854">
        <w:rPr>
          <w:rFonts w:eastAsia="Times New Roman"/>
          <w:b/>
          <w:bCs/>
          <w:rtl/>
          <w:lang w:eastAsia="de-DE"/>
        </w:rPr>
        <w:t>אָנֹכִי</w:t>
      </w:r>
      <w:r w:rsidRPr="00B33854">
        <w:rPr>
          <w:rFonts w:eastAsia="Times New Roman"/>
          <w:rtl/>
          <w:lang w:eastAsia="de-DE"/>
        </w:rPr>
        <w:t xml:space="preserve"> </w:t>
      </w:r>
      <w:r w:rsidRPr="00B33854">
        <w:rPr>
          <w:rFonts w:eastAsia="Times New Roman"/>
          <w:lang w:eastAsia="de-DE"/>
        </w:rPr>
        <w:t xml:space="preserve">als emphatisches Personalpronomen („ich"), </w:t>
      </w:r>
      <w:r w:rsidRPr="00B33854">
        <w:rPr>
          <w:rFonts w:eastAsia="Times New Roman"/>
          <w:b/>
          <w:bCs/>
          <w:rtl/>
          <w:lang w:eastAsia="de-DE"/>
        </w:rPr>
        <w:t>מְלַמֵּד</w:t>
      </w:r>
      <w:r w:rsidRPr="00B33854">
        <w:rPr>
          <w:rFonts w:eastAsia="Times New Roman"/>
          <w:rtl/>
          <w:lang w:eastAsia="de-DE"/>
        </w:rPr>
        <w:t xml:space="preserve"> </w:t>
      </w:r>
      <w:r w:rsidRPr="00B33854">
        <w:rPr>
          <w:rFonts w:eastAsia="Times New Roman"/>
          <w:lang w:eastAsia="de-DE"/>
        </w:rPr>
        <w:t xml:space="preserve">als Piel Partizip Singular maskulin von </w:t>
      </w:r>
      <w:r w:rsidRPr="00B33854">
        <w:rPr>
          <w:rFonts w:eastAsia="Times New Roman"/>
          <w:b/>
          <w:bCs/>
          <w:rtl/>
          <w:lang w:eastAsia="de-DE"/>
        </w:rPr>
        <w:t>למד</w:t>
      </w:r>
      <w:r w:rsidRPr="00B33854">
        <w:rPr>
          <w:rFonts w:eastAsia="Times New Roman"/>
          <w:rtl/>
          <w:lang w:eastAsia="de-DE"/>
        </w:rPr>
        <w:t xml:space="preserve"> </w:t>
      </w:r>
      <w:r w:rsidRPr="00B33854">
        <w:rPr>
          <w:rFonts w:eastAsia="Times New Roman"/>
          <w:lang w:eastAsia="de-DE"/>
        </w:rPr>
        <w:t xml:space="preserve">(„lehren"), </w:t>
      </w:r>
      <w:r w:rsidRPr="00B33854">
        <w:rPr>
          <w:rFonts w:eastAsia="Times New Roman"/>
          <w:b/>
          <w:bCs/>
          <w:rtl/>
          <w:lang w:eastAsia="de-DE"/>
        </w:rPr>
        <w:t>אֶתְכֶם</w:t>
      </w:r>
      <w:r w:rsidRPr="00B33854">
        <w:rPr>
          <w:rFonts w:eastAsia="Times New Roman"/>
          <w:rtl/>
          <w:lang w:eastAsia="de-DE"/>
        </w:rPr>
        <w:t xml:space="preserve"> </w:t>
      </w:r>
      <w:r w:rsidRPr="00B33854">
        <w:rPr>
          <w:rFonts w:eastAsia="Times New Roman"/>
          <w:lang w:eastAsia="de-DE"/>
        </w:rPr>
        <w:t xml:space="preserve">als nota accusativi mit Suffix 2. Person Plural maskulin. Das Partizip drückt eine kontinuierliche, andauernde Handlung aus. </w:t>
      </w:r>
      <w:r w:rsidRPr="00B33854">
        <w:rPr>
          <w:rFonts w:eastAsia="Times New Roman"/>
          <w:b/>
          <w:bCs/>
          <w:rtl/>
          <w:lang w:eastAsia="de-DE"/>
        </w:rPr>
        <w:t>לַעֲשׂוֹת</w:t>
      </w:r>
      <w:r w:rsidRPr="00B33854">
        <w:rPr>
          <w:rFonts w:eastAsia="Times New Roman"/>
          <w:rtl/>
          <w:lang w:eastAsia="de-DE"/>
        </w:rPr>
        <w:t xml:space="preserve"> </w:t>
      </w:r>
      <w:r w:rsidRPr="00B33854">
        <w:rPr>
          <w:rFonts w:eastAsia="Times New Roman"/>
          <w:lang w:eastAsia="de-DE"/>
        </w:rPr>
        <w:t xml:space="preserve">ist Qal Infinitiv Construct von </w:t>
      </w:r>
      <w:r w:rsidRPr="00B33854">
        <w:rPr>
          <w:rFonts w:eastAsia="Times New Roman"/>
          <w:b/>
          <w:bCs/>
          <w:rtl/>
          <w:lang w:eastAsia="de-DE"/>
        </w:rPr>
        <w:t>עשׂה</w:t>
      </w:r>
      <w:r w:rsidRPr="00B33854">
        <w:rPr>
          <w:rFonts w:eastAsia="Times New Roman"/>
          <w:rtl/>
          <w:lang w:eastAsia="de-DE"/>
        </w:rPr>
        <w:t xml:space="preserve"> </w:t>
      </w:r>
      <w:r w:rsidRPr="00B33854">
        <w:rPr>
          <w:rFonts w:eastAsia="Times New Roman"/>
          <w:lang w:eastAsia="de-DE"/>
        </w:rPr>
        <w:t xml:space="preserve">(„tun, machen") mit Präposition </w:t>
      </w:r>
      <w:r w:rsidRPr="00B33854">
        <w:rPr>
          <w:rFonts w:eastAsia="Times New Roman"/>
          <w:b/>
          <w:bCs/>
          <w:rtl/>
          <w:lang w:eastAsia="de-DE"/>
        </w:rPr>
        <w:t>לְ</w:t>
      </w:r>
      <w:r w:rsidRPr="00B33854">
        <w:rPr>
          <w:rFonts w:eastAsia="Times New Roman"/>
          <w:rtl/>
          <w:lang w:eastAsia="de-DE"/>
        </w:rPr>
        <w:t xml:space="preserve"> </w:t>
      </w:r>
      <w:r w:rsidRPr="00B33854">
        <w:rPr>
          <w:rFonts w:eastAsia="Times New Roman"/>
          <w:lang w:eastAsia="de-DE"/>
        </w:rPr>
        <w:t>(final), die den Zweck des Lehrens angibt.</w:t>
      </w:r>
    </w:p>
    <w:p w14:paraId="7BBA01E8"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לְמַעַן תִּחְיוּ</w:t>
      </w:r>
      <w:r w:rsidRPr="00B33854">
        <w:rPr>
          <w:rFonts w:eastAsia="Times New Roman"/>
          <w:rtl/>
          <w:lang w:eastAsia="de-DE"/>
        </w:rPr>
        <w:t xml:space="preserve"> </w:t>
      </w:r>
      <w:r w:rsidRPr="00B33854">
        <w:rPr>
          <w:rFonts w:eastAsia="Times New Roman"/>
          <w:lang w:eastAsia="de-DE"/>
        </w:rPr>
        <w:t xml:space="preserve">ist eine finale Konstruktion: </w:t>
      </w:r>
      <w:r w:rsidRPr="00B33854">
        <w:rPr>
          <w:rFonts w:eastAsia="Times New Roman"/>
          <w:b/>
          <w:bCs/>
          <w:rtl/>
          <w:lang w:eastAsia="de-DE"/>
        </w:rPr>
        <w:t>לְמַעַן</w:t>
      </w:r>
      <w:r w:rsidRPr="00B33854">
        <w:rPr>
          <w:rFonts w:eastAsia="Times New Roman"/>
          <w:rtl/>
          <w:lang w:eastAsia="de-DE"/>
        </w:rPr>
        <w:t xml:space="preserve"> </w:t>
      </w:r>
      <w:r w:rsidRPr="00B33854">
        <w:rPr>
          <w:rFonts w:eastAsia="Times New Roman"/>
          <w:lang w:eastAsia="de-DE"/>
        </w:rPr>
        <w:t xml:space="preserve">(„damit, auf dass") mit </w:t>
      </w:r>
      <w:r w:rsidRPr="00B33854">
        <w:rPr>
          <w:rFonts w:eastAsia="Times New Roman"/>
          <w:b/>
          <w:bCs/>
          <w:rtl/>
          <w:lang w:eastAsia="de-DE"/>
        </w:rPr>
        <w:t>תִּחְיוּ</w:t>
      </w:r>
      <w:r w:rsidRPr="00B33854">
        <w:rPr>
          <w:rFonts w:eastAsia="Times New Roman"/>
          <w:rtl/>
          <w:lang w:eastAsia="de-DE"/>
        </w:rPr>
        <w:t xml:space="preserve"> </w:t>
      </w:r>
      <w:r w:rsidRPr="00B33854">
        <w:rPr>
          <w:rFonts w:eastAsia="Times New Roman"/>
          <w:lang w:eastAsia="de-DE"/>
        </w:rPr>
        <w:t xml:space="preserve">(Qal Imperfekt, 2. Person Plural maskulin von </w:t>
      </w:r>
      <w:r w:rsidRPr="00B33854">
        <w:rPr>
          <w:rFonts w:eastAsia="Times New Roman"/>
          <w:b/>
          <w:bCs/>
          <w:rtl/>
          <w:lang w:eastAsia="de-DE"/>
        </w:rPr>
        <w:t>חיה</w:t>
      </w:r>
      <w:r w:rsidRPr="00B33854">
        <w:rPr>
          <w:rFonts w:eastAsia="Times New Roman"/>
          <w:lang w:eastAsia="de-DE"/>
        </w:rPr>
        <w:t xml:space="preserve">, „leben"). </w:t>
      </w:r>
      <w:r w:rsidRPr="00B33854">
        <w:rPr>
          <w:rFonts w:eastAsia="Times New Roman"/>
          <w:b/>
          <w:bCs/>
          <w:rtl/>
          <w:lang w:eastAsia="de-DE"/>
        </w:rPr>
        <w:t>וּבָאתֶם</w:t>
      </w:r>
      <w:r w:rsidRPr="00B33854">
        <w:rPr>
          <w:rFonts w:eastAsia="Times New Roman"/>
          <w:rtl/>
          <w:lang w:eastAsia="de-DE"/>
        </w:rPr>
        <w:t xml:space="preserve"> </w:t>
      </w:r>
      <w:r w:rsidRPr="00B33854">
        <w:rPr>
          <w:rFonts w:eastAsia="Times New Roman"/>
          <w:lang w:eastAsia="de-DE"/>
        </w:rPr>
        <w:t xml:space="preserve">ist Qal Perfekt consecutivum, 2. Person Plural maskulin von </w:t>
      </w:r>
      <w:r w:rsidRPr="00B33854">
        <w:rPr>
          <w:rFonts w:eastAsia="Times New Roman"/>
          <w:b/>
          <w:bCs/>
          <w:rtl/>
          <w:lang w:eastAsia="de-DE"/>
        </w:rPr>
        <w:t>בוא</w:t>
      </w:r>
      <w:r w:rsidRPr="00B33854">
        <w:rPr>
          <w:rFonts w:eastAsia="Times New Roman"/>
          <w:rtl/>
          <w:lang w:eastAsia="de-DE"/>
        </w:rPr>
        <w:t xml:space="preserve"> </w:t>
      </w:r>
      <w:r w:rsidRPr="00B33854">
        <w:rPr>
          <w:rFonts w:eastAsia="Times New Roman"/>
          <w:lang w:eastAsia="de-DE"/>
        </w:rPr>
        <w:t xml:space="preserve">(„hineinkommen, eintreten") mit Waw – hier konsekutiv („und ihr kommt hinein"). </w:t>
      </w:r>
      <w:r w:rsidRPr="00B33854">
        <w:rPr>
          <w:rFonts w:eastAsia="Times New Roman"/>
          <w:b/>
          <w:bCs/>
          <w:rtl/>
          <w:lang w:eastAsia="de-DE"/>
        </w:rPr>
        <w:t>וִירִשְׁתֶּם</w:t>
      </w:r>
      <w:r w:rsidRPr="00B33854">
        <w:rPr>
          <w:rFonts w:eastAsia="Times New Roman"/>
          <w:rtl/>
          <w:lang w:eastAsia="de-DE"/>
        </w:rPr>
        <w:t xml:space="preserve"> </w:t>
      </w:r>
      <w:r w:rsidRPr="00B33854">
        <w:rPr>
          <w:rFonts w:eastAsia="Times New Roman"/>
          <w:lang w:eastAsia="de-DE"/>
        </w:rPr>
        <w:t xml:space="preserve">ist Qal Perfekt consecutivum, 2. Person Plural maskulin von </w:t>
      </w:r>
      <w:r w:rsidRPr="00B33854">
        <w:rPr>
          <w:rFonts w:eastAsia="Times New Roman"/>
          <w:b/>
          <w:bCs/>
          <w:rtl/>
          <w:lang w:eastAsia="de-DE"/>
        </w:rPr>
        <w:t>ירשׁ</w:t>
      </w:r>
      <w:r w:rsidRPr="00B33854">
        <w:rPr>
          <w:rFonts w:eastAsia="Times New Roman"/>
          <w:rtl/>
          <w:lang w:eastAsia="de-DE"/>
        </w:rPr>
        <w:t xml:space="preserve"> </w:t>
      </w:r>
      <w:r w:rsidRPr="00B33854">
        <w:rPr>
          <w:rFonts w:eastAsia="Times New Roman"/>
          <w:lang w:eastAsia="de-DE"/>
        </w:rPr>
        <w:t xml:space="preserve">(„in Besitz nehmen, erben") mit Waw. </w:t>
      </w:r>
      <w:r w:rsidRPr="00B33854">
        <w:rPr>
          <w:rFonts w:eastAsia="Times New Roman"/>
          <w:b/>
          <w:bCs/>
          <w:rtl/>
          <w:lang w:eastAsia="de-DE"/>
        </w:rPr>
        <w:t>אֶת־הָאָרֶץ</w:t>
      </w:r>
      <w:r w:rsidRPr="00B33854">
        <w:rPr>
          <w:rFonts w:eastAsia="Times New Roman"/>
          <w:rtl/>
          <w:lang w:eastAsia="de-DE"/>
        </w:rPr>
        <w:t xml:space="preserve"> </w:t>
      </w:r>
      <w:r w:rsidRPr="00B33854">
        <w:rPr>
          <w:rFonts w:eastAsia="Times New Roman"/>
          <w:lang w:eastAsia="de-DE"/>
        </w:rPr>
        <w:t xml:space="preserve">ist nota accusativi mit </w:t>
      </w:r>
      <w:r w:rsidRPr="00B33854">
        <w:rPr>
          <w:rFonts w:eastAsia="Times New Roman"/>
          <w:b/>
          <w:bCs/>
          <w:rtl/>
          <w:lang w:eastAsia="de-DE"/>
        </w:rPr>
        <w:t>הָאָרֶץ</w:t>
      </w:r>
      <w:r w:rsidRPr="00B33854">
        <w:rPr>
          <w:rFonts w:eastAsia="Times New Roman"/>
          <w:lang w:eastAsia="de-DE"/>
        </w:rPr>
        <w:t>.</w:t>
      </w:r>
    </w:p>
    <w:p w14:paraId="29E82635"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אֲשֶׁר יְהוָה אֱלֹהֵי אֲבֹתֵיכֶם נֹתֵן לָכֶם</w:t>
      </w:r>
      <w:r w:rsidRPr="00B33854">
        <w:rPr>
          <w:rFonts w:eastAsia="Times New Roman"/>
          <w:rtl/>
          <w:lang w:eastAsia="de-DE"/>
        </w:rPr>
        <w:t xml:space="preserve"> </w:t>
      </w:r>
      <w:r w:rsidRPr="00B33854">
        <w:rPr>
          <w:rFonts w:eastAsia="Times New Roman"/>
          <w:lang w:eastAsia="de-DE"/>
        </w:rPr>
        <w:t xml:space="preserve">ist ein Relativsatz: </w:t>
      </w:r>
      <w:r w:rsidRPr="00B33854">
        <w:rPr>
          <w:rFonts w:eastAsia="Times New Roman"/>
          <w:b/>
          <w:bCs/>
          <w:rtl/>
          <w:lang w:eastAsia="de-DE"/>
        </w:rPr>
        <w:t>אֲשֶׁר</w:t>
      </w:r>
      <w:r w:rsidRPr="00B33854">
        <w:rPr>
          <w:rFonts w:eastAsia="Times New Roman"/>
          <w:rtl/>
          <w:lang w:eastAsia="de-DE"/>
        </w:rPr>
        <w:t xml:space="preserve"> </w:t>
      </w:r>
      <w:r w:rsidRPr="00B33854">
        <w:rPr>
          <w:rFonts w:eastAsia="Times New Roman"/>
          <w:lang w:eastAsia="de-DE"/>
        </w:rPr>
        <w:t xml:space="preserve">als Relativpronomen, </w:t>
      </w:r>
      <w:r w:rsidRPr="00B33854">
        <w:rPr>
          <w:rFonts w:eastAsia="Times New Roman"/>
          <w:b/>
          <w:bCs/>
          <w:rtl/>
          <w:lang w:eastAsia="de-DE"/>
        </w:rPr>
        <w:t>יְהוָה אֱלֹהֵי אֲבֹתֵיכֶם</w:t>
      </w:r>
      <w:r w:rsidRPr="00B33854">
        <w:rPr>
          <w:rFonts w:eastAsia="Times New Roman"/>
          <w:rtl/>
          <w:lang w:eastAsia="de-DE"/>
        </w:rPr>
        <w:t xml:space="preserve"> </w:t>
      </w:r>
      <w:r w:rsidRPr="00B33854">
        <w:rPr>
          <w:rFonts w:eastAsia="Times New Roman"/>
          <w:lang w:eastAsia="de-DE"/>
        </w:rPr>
        <w:t xml:space="preserve">als erweitertes Subjekt (das Tetragramm und </w:t>
      </w:r>
      <w:r w:rsidRPr="00B33854">
        <w:rPr>
          <w:rFonts w:eastAsia="Times New Roman"/>
          <w:b/>
          <w:bCs/>
          <w:rtl/>
          <w:lang w:eastAsia="de-DE"/>
        </w:rPr>
        <w:t>אֱלֹהִים</w:t>
      </w:r>
      <w:r w:rsidRPr="00B33854">
        <w:rPr>
          <w:rFonts w:eastAsia="Times New Roman"/>
          <w:rtl/>
          <w:lang w:eastAsia="de-DE"/>
        </w:rPr>
        <w:t xml:space="preserve"> </w:t>
      </w:r>
      <w:r w:rsidRPr="00B33854">
        <w:rPr>
          <w:rFonts w:eastAsia="Times New Roman"/>
          <w:lang w:eastAsia="de-DE"/>
        </w:rPr>
        <w:t xml:space="preserve">im Construct mit </w:t>
      </w:r>
      <w:r w:rsidRPr="00B33854">
        <w:rPr>
          <w:rFonts w:eastAsia="Times New Roman"/>
          <w:b/>
          <w:bCs/>
          <w:rtl/>
          <w:lang w:eastAsia="de-DE"/>
        </w:rPr>
        <w:t>אֲבֹתֵיכֶם</w:t>
      </w:r>
      <w:r w:rsidRPr="00B33854">
        <w:rPr>
          <w:rFonts w:eastAsia="Times New Roman"/>
          <w:lang w:eastAsia="de-DE"/>
        </w:rPr>
        <w:t xml:space="preserve">, „eure Väter" mit Suffix 2. Person Plural maskulin), </w:t>
      </w:r>
      <w:r w:rsidRPr="00B33854">
        <w:rPr>
          <w:rFonts w:eastAsia="Times New Roman"/>
          <w:b/>
          <w:bCs/>
          <w:rtl/>
          <w:lang w:eastAsia="de-DE"/>
        </w:rPr>
        <w:t>נֹתֵן</w:t>
      </w:r>
      <w:r w:rsidRPr="00B33854">
        <w:rPr>
          <w:rFonts w:eastAsia="Times New Roman"/>
          <w:rtl/>
          <w:lang w:eastAsia="de-DE"/>
        </w:rPr>
        <w:t xml:space="preserve"> </w:t>
      </w:r>
      <w:r w:rsidRPr="00B33854">
        <w:rPr>
          <w:rFonts w:eastAsia="Times New Roman"/>
          <w:lang w:eastAsia="de-DE"/>
        </w:rPr>
        <w:t xml:space="preserve">als Qal Partizip Singular maskulin von </w:t>
      </w:r>
      <w:r w:rsidRPr="00B33854">
        <w:rPr>
          <w:rFonts w:eastAsia="Times New Roman"/>
          <w:b/>
          <w:bCs/>
          <w:rtl/>
          <w:lang w:eastAsia="de-DE"/>
        </w:rPr>
        <w:t>נתן</w:t>
      </w:r>
      <w:r w:rsidRPr="00B33854">
        <w:rPr>
          <w:rFonts w:eastAsia="Times New Roman"/>
          <w:rtl/>
          <w:lang w:eastAsia="de-DE"/>
        </w:rPr>
        <w:t xml:space="preserve"> </w:t>
      </w:r>
      <w:r w:rsidRPr="00B33854">
        <w:rPr>
          <w:rFonts w:eastAsia="Times New Roman"/>
          <w:lang w:eastAsia="de-DE"/>
        </w:rPr>
        <w:t xml:space="preserve">(„geben, gebend"), </w:t>
      </w:r>
      <w:r w:rsidRPr="00B33854">
        <w:rPr>
          <w:rFonts w:eastAsia="Times New Roman"/>
          <w:b/>
          <w:bCs/>
          <w:rtl/>
          <w:lang w:eastAsia="de-DE"/>
        </w:rPr>
        <w:t>לָכֶם</w:t>
      </w:r>
      <w:r w:rsidRPr="00B33854">
        <w:rPr>
          <w:rFonts w:eastAsia="Times New Roman"/>
          <w:rtl/>
          <w:lang w:eastAsia="de-DE"/>
        </w:rPr>
        <w:t xml:space="preserve"> </w:t>
      </w:r>
      <w:r w:rsidRPr="00B33854">
        <w:rPr>
          <w:rFonts w:eastAsia="Times New Roman"/>
          <w:lang w:eastAsia="de-DE"/>
        </w:rPr>
        <w:t>als indirektes Objekt. Das Partizip betont die fortdauernde Gültigkeit der göttlichen Landverheißung.</w:t>
      </w:r>
    </w:p>
    <w:p w14:paraId="4A0E7BB9"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Die Satzstruktur besteht aus einer Übergangsformel mit Vokativ, einem Imperativ mit zweigliedriger präpositionaler Ergänzung und Relativsatz mit finalem Infinitiv. Es folgen eine finale Konstruktion mit drei koordinierten Verben (eines im Imperfekt, zwei im Perfekt consecutivum) und ein abschließender Relativsatz mit partizipialem Prädikat. Die Struktur verbindet Gehorsam (Imperativ), Zweck (Leben), Folge (Einzug und Besitznahme) und theologische Begründung (göttliche Verheißung).</w:t>
      </w:r>
    </w:p>
    <w:p w14:paraId="28AD3217"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Der Vers eröffnet das neue Kapitel mit einem programmatischen Aufruf zum Gehorsam gegenüber den göttlichen Satzungen als Voraussetzung für Leben und erfolgreiche Landnahme.</w:t>
      </w:r>
    </w:p>
    <w:p w14:paraId="17675395"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4,2</w:t>
      </w:r>
    </w:p>
    <w:p w14:paraId="71FE2995"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lastRenderedPageBreak/>
        <w:t>Hebräisch:</w:t>
      </w:r>
      <w:r w:rsidRPr="00B33854">
        <w:rPr>
          <w:rFonts w:eastAsia="Times New Roman"/>
          <w:lang w:eastAsia="de-DE"/>
        </w:rPr>
        <w:t xml:space="preserve"> </w:t>
      </w:r>
      <w:r w:rsidRPr="00B33854">
        <w:rPr>
          <w:rFonts w:eastAsia="Times New Roman"/>
          <w:rtl/>
          <w:lang w:eastAsia="de-DE"/>
        </w:rPr>
        <w:t>לֹ֣א תֹסִ֗פוּ עַל־הַדָּבָר֙ אֲשֶׁ֤ר אָנֹכִי֙ מְצַוֶּ֣ה אֶתְכֶ֔ם וְלֹ֥א תִגְרְע֖וּ מִמֶּ֑נּוּ לִשְׁמֹ֗ר אֶת־מִצְוֹת֙ יְהוָ֣ה אֱלֹֽהֵיכֶ֔ם אֲשֶׁ֥ר אָנֹכִ֖י מְצַוֶּ֥ה אֶתְכֶֽם׃</w:t>
      </w:r>
    </w:p>
    <w:p w14:paraId="3E8E2AA5"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Ihr sollt nichts hinzufügen zu dem Wort, das ich euch gebiete, und sollt nichts davon wegnehmen, um zu bewahren die Gebote des Ewigen, eures Gottes, die ich euch gebiete.</w:t>
      </w:r>
    </w:p>
    <w:p w14:paraId="6F06DCF9"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702E5C4D">
          <v:rect id="_x0000_i1138" style="width:0;height:1.5pt" o:hralign="center" o:hrstd="t" o:hr="t" fillcolor="#a0a0a0" stroked="f"/>
        </w:pict>
      </w:r>
    </w:p>
    <w:p w14:paraId="75581EE9"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לֹא תֹסִפוּ</w:t>
      </w:r>
      <w:r w:rsidRPr="00B33854">
        <w:rPr>
          <w:rFonts w:eastAsia="Times New Roman"/>
          <w:rtl/>
          <w:lang w:eastAsia="de-DE"/>
        </w:rPr>
        <w:t xml:space="preserve"> </w:t>
      </w:r>
      <w:r w:rsidRPr="00B33854">
        <w:rPr>
          <w:rFonts w:eastAsia="Times New Roman"/>
          <w:lang w:eastAsia="de-DE"/>
        </w:rPr>
        <w:t xml:space="preserve">ist eine Prohibition: </w:t>
      </w:r>
      <w:r w:rsidRPr="00B33854">
        <w:rPr>
          <w:rFonts w:eastAsia="Times New Roman"/>
          <w:b/>
          <w:bCs/>
          <w:rtl/>
          <w:lang w:eastAsia="de-DE"/>
        </w:rPr>
        <w:t>לֹא</w:t>
      </w:r>
      <w:r w:rsidRPr="00B33854">
        <w:rPr>
          <w:rFonts w:eastAsia="Times New Roman"/>
          <w:rtl/>
          <w:lang w:eastAsia="de-DE"/>
        </w:rPr>
        <w:t xml:space="preserve"> </w:t>
      </w:r>
      <w:r w:rsidRPr="00B33854">
        <w:rPr>
          <w:rFonts w:eastAsia="Times New Roman"/>
          <w:lang w:eastAsia="de-DE"/>
        </w:rPr>
        <w:t xml:space="preserve">als Negativpartikel mit </w:t>
      </w:r>
      <w:r w:rsidRPr="00B33854">
        <w:rPr>
          <w:rFonts w:eastAsia="Times New Roman"/>
          <w:b/>
          <w:bCs/>
          <w:rtl/>
          <w:lang w:eastAsia="de-DE"/>
        </w:rPr>
        <w:t>תֹסִפוּ</w:t>
      </w:r>
      <w:r w:rsidRPr="00B33854">
        <w:rPr>
          <w:rFonts w:eastAsia="Times New Roman"/>
          <w:rtl/>
          <w:lang w:eastAsia="de-DE"/>
        </w:rPr>
        <w:t xml:space="preserve"> </w:t>
      </w:r>
      <w:r w:rsidRPr="00B33854">
        <w:rPr>
          <w:rFonts w:eastAsia="Times New Roman"/>
          <w:lang w:eastAsia="de-DE"/>
        </w:rPr>
        <w:t xml:space="preserve">(Hifil Imperfekt, 2. Person Plural maskulin von </w:t>
      </w:r>
      <w:r w:rsidRPr="00B33854">
        <w:rPr>
          <w:rFonts w:eastAsia="Times New Roman"/>
          <w:b/>
          <w:bCs/>
          <w:rtl/>
          <w:lang w:eastAsia="de-DE"/>
        </w:rPr>
        <w:t>יסף</w:t>
      </w:r>
      <w:r w:rsidRPr="00B33854">
        <w:rPr>
          <w:rFonts w:eastAsia="Times New Roman"/>
          <w:lang w:eastAsia="de-DE"/>
        </w:rPr>
        <w:t xml:space="preserve">, „hinzufügen, fortfahren"). </w:t>
      </w:r>
      <w:r w:rsidRPr="00B33854">
        <w:rPr>
          <w:rFonts w:eastAsia="Times New Roman"/>
          <w:b/>
          <w:bCs/>
          <w:rtl/>
          <w:lang w:eastAsia="de-DE"/>
        </w:rPr>
        <w:t>עַל־הַדָּבָר</w:t>
      </w:r>
      <w:r w:rsidRPr="00B33854">
        <w:rPr>
          <w:rFonts w:eastAsia="Times New Roman"/>
          <w:rtl/>
          <w:lang w:eastAsia="de-DE"/>
        </w:rPr>
        <w:t xml:space="preserve"> </w:t>
      </w:r>
      <w:r w:rsidRPr="00B33854">
        <w:rPr>
          <w:rFonts w:eastAsia="Times New Roman"/>
          <w:lang w:eastAsia="de-DE"/>
        </w:rPr>
        <w:t xml:space="preserve">ist Präposition </w:t>
      </w:r>
      <w:r w:rsidRPr="00B33854">
        <w:rPr>
          <w:rFonts w:eastAsia="Times New Roman"/>
          <w:b/>
          <w:bCs/>
          <w:rtl/>
          <w:lang w:eastAsia="de-DE"/>
        </w:rPr>
        <w:t>עַל</w:t>
      </w:r>
      <w:r w:rsidRPr="00B33854">
        <w:rPr>
          <w:rFonts w:eastAsia="Times New Roman"/>
          <w:rtl/>
          <w:lang w:eastAsia="de-DE"/>
        </w:rPr>
        <w:t xml:space="preserve"> </w:t>
      </w:r>
      <w:r w:rsidRPr="00B33854">
        <w:rPr>
          <w:rFonts w:eastAsia="Times New Roman"/>
          <w:lang w:eastAsia="de-DE"/>
        </w:rPr>
        <w:t xml:space="preserve">(„zu, auf") mit </w:t>
      </w:r>
      <w:r w:rsidRPr="00B33854">
        <w:rPr>
          <w:rFonts w:eastAsia="Times New Roman"/>
          <w:b/>
          <w:bCs/>
          <w:rtl/>
          <w:lang w:eastAsia="de-DE"/>
        </w:rPr>
        <w:t>הַדָּבָר</w:t>
      </w:r>
      <w:r w:rsidRPr="00B33854">
        <w:rPr>
          <w:rFonts w:eastAsia="Times New Roman"/>
          <w:rtl/>
          <w:lang w:eastAsia="de-DE"/>
        </w:rPr>
        <w:t xml:space="preserve"> </w:t>
      </w:r>
      <w:r w:rsidRPr="00B33854">
        <w:rPr>
          <w:rFonts w:eastAsia="Times New Roman"/>
          <w:lang w:eastAsia="de-DE"/>
        </w:rPr>
        <w:t xml:space="preserve">(„das Wort, die Sache", mit Artikel). </w:t>
      </w:r>
      <w:r w:rsidRPr="00B33854">
        <w:rPr>
          <w:rFonts w:eastAsia="Times New Roman"/>
          <w:b/>
          <w:bCs/>
          <w:rtl/>
          <w:lang w:eastAsia="de-DE"/>
        </w:rPr>
        <w:t>אֲשֶׁר אָנֹכִי מְצַוֶּה אֶתְכֶם</w:t>
      </w:r>
      <w:r w:rsidRPr="00B33854">
        <w:rPr>
          <w:rFonts w:eastAsia="Times New Roman"/>
          <w:rtl/>
          <w:lang w:eastAsia="de-DE"/>
        </w:rPr>
        <w:t xml:space="preserve"> </w:t>
      </w:r>
      <w:r w:rsidRPr="00B33854">
        <w:rPr>
          <w:rFonts w:eastAsia="Times New Roman"/>
          <w:lang w:eastAsia="de-DE"/>
        </w:rPr>
        <w:t xml:space="preserve">ist ein Relativsatz: </w:t>
      </w:r>
      <w:r w:rsidRPr="00B33854">
        <w:rPr>
          <w:rFonts w:eastAsia="Times New Roman"/>
          <w:b/>
          <w:bCs/>
          <w:rtl/>
          <w:lang w:eastAsia="de-DE"/>
        </w:rPr>
        <w:t>אֲשֶׁר</w:t>
      </w:r>
      <w:r w:rsidRPr="00B33854">
        <w:rPr>
          <w:rFonts w:eastAsia="Times New Roman"/>
          <w:rtl/>
          <w:lang w:eastAsia="de-DE"/>
        </w:rPr>
        <w:t xml:space="preserve"> </w:t>
      </w:r>
      <w:r w:rsidRPr="00B33854">
        <w:rPr>
          <w:rFonts w:eastAsia="Times New Roman"/>
          <w:lang w:eastAsia="de-DE"/>
        </w:rPr>
        <w:t xml:space="preserve">als Relativpronomen, </w:t>
      </w:r>
      <w:r w:rsidRPr="00B33854">
        <w:rPr>
          <w:rFonts w:eastAsia="Times New Roman"/>
          <w:b/>
          <w:bCs/>
          <w:rtl/>
          <w:lang w:eastAsia="de-DE"/>
        </w:rPr>
        <w:t>אָנֹכִי</w:t>
      </w:r>
      <w:r w:rsidRPr="00B33854">
        <w:rPr>
          <w:rFonts w:eastAsia="Times New Roman"/>
          <w:rtl/>
          <w:lang w:eastAsia="de-DE"/>
        </w:rPr>
        <w:t xml:space="preserve"> </w:t>
      </w:r>
      <w:r w:rsidRPr="00B33854">
        <w:rPr>
          <w:rFonts w:eastAsia="Times New Roman"/>
          <w:lang w:eastAsia="de-DE"/>
        </w:rPr>
        <w:t xml:space="preserve">als emphatisches Personalpronomen, </w:t>
      </w:r>
      <w:r w:rsidRPr="00B33854">
        <w:rPr>
          <w:rFonts w:eastAsia="Times New Roman"/>
          <w:b/>
          <w:bCs/>
          <w:rtl/>
          <w:lang w:eastAsia="de-DE"/>
        </w:rPr>
        <w:t>מְצַוֶּה</w:t>
      </w:r>
      <w:r w:rsidRPr="00B33854">
        <w:rPr>
          <w:rFonts w:eastAsia="Times New Roman"/>
          <w:rtl/>
          <w:lang w:eastAsia="de-DE"/>
        </w:rPr>
        <w:t xml:space="preserve"> </w:t>
      </w:r>
      <w:r w:rsidRPr="00B33854">
        <w:rPr>
          <w:rFonts w:eastAsia="Times New Roman"/>
          <w:lang w:eastAsia="de-DE"/>
        </w:rPr>
        <w:t xml:space="preserve">als Piel Partizip Singular maskulin von </w:t>
      </w:r>
      <w:r w:rsidRPr="00B33854">
        <w:rPr>
          <w:rFonts w:eastAsia="Times New Roman"/>
          <w:b/>
          <w:bCs/>
          <w:rtl/>
          <w:lang w:eastAsia="de-DE"/>
        </w:rPr>
        <w:t>צוה</w:t>
      </w:r>
      <w:r w:rsidRPr="00B33854">
        <w:rPr>
          <w:rFonts w:eastAsia="Times New Roman"/>
          <w:rtl/>
          <w:lang w:eastAsia="de-DE"/>
        </w:rPr>
        <w:t xml:space="preserve"> </w:t>
      </w:r>
      <w:r w:rsidRPr="00B33854">
        <w:rPr>
          <w:rFonts w:eastAsia="Times New Roman"/>
          <w:lang w:eastAsia="de-DE"/>
        </w:rPr>
        <w:t xml:space="preserve">(„befehlen, gebieten"), </w:t>
      </w:r>
      <w:r w:rsidRPr="00B33854">
        <w:rPr>
          <w:rFonts w:eastAsia="Times New Roman"/>
          <w:b/>
          <w:bCs/>
          <w:rtl/>
          <w:lang w:eastAsia="de-DE"/>
        </w:rPr>
        <w:t>אֶתְכֶם</w:t>
      </w:r>
      <w:r w:rsidRPr="00B33854">
        <w:rPr>
          <w:rFonts w:eastAsia="Times New Roman"/>
          <w:rtl/>
          <w:lang w:eastAsia="de-DE"/>
        </w:rPr>
        <w:t xml:space="preserve"> </w:t>
      </w:r>
      <w:r w:rsidRPr="00B33854">
        <w:rPr>
          <w:rFonts w:eastAsia="Times New Roman"/>
          <w:lang w:eastAsia="de-DE"/>
        </w:rPr>
        <w:t>als nota accusativi mit Suffix 2. Person Plural maskulin.</w:t>
      </w:r>
    </w:p>
    <w:p w14:paraId="50A6C48F" w14:textId="3F26E692"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וְלֹא תִגְרְעוּ מִמֶּנּוּ</w:t>
      </w:r>
      <w:r w:rsidRPr="00B33854">
        <w:rPr>
          <w:rFonts w:eastAsia="Times New Roman"/>
          <w:rtl/>
          <w:lang w:eastAsia="de-DE"/>
        </w:rPr>
        <w:t xml:space="preserve"> </w:t>
      </w:r>
      <w:r w:rsidRPr="00B33854">
        <w:rPr>
          <w:rFonts w:eastAsia="Times New Roman"/>
          <w:lang w:eastAsia="de-DE"/>
        </w:rPr>
        <w:t xml:space="preserve">ist koordiniert: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לֹא</w:t>
      </w:r>
      <w:r w:rsidRPr="00B33854">
        <w:rPr>
          <w:rFonts w:eastAsia="Times New Roman"/>
          <w:rtl/>
          <w:lang w:eastAsia="de-DE"/>
        </w:rPr>
        <w:t xml:space="preserve"> </w:t>
      </w:r>
      <w:r w:rsidRPr="00B33854">
        <w:rPr>
          <w:rFonts w:eastAsia="Times New Roman"/>
          <w:lang w:eastAsia="de-DE"/>
        </w:rPr>
        <w:t xml:space="preserve">und </w:t>
      </w:r>
      <w:r w:rsidRPr="00B33854">
        <w:rPr>
          <w:rFonts w:eastAsia="Times New Roman"/>
          <w:b/>
          <w:bCs/>
          <w:rtl/>
          <w:lang w:eastAsia="de-DE"/>
        </w:rPr>
        <w:t>תִגְרְעוּ</w:t>
      </w:r>
      <w:r w:rsidRPr="00B33854">
        <w:rPr>
          <w:rFonts w:eastAsia="Times New Roman"/>
          <w:rtl/>
          <w:lang w:eastAsia="de-DE"/>
        </w:rPr>
        <w:t xml:space="preserve"> </w:t>
      </w:r>
      <w:r w:rsidRPr="00B33854">
        <w:rPr>
          <w:rFonts w:eastAsia="Times New Roman"/>
          <w:lang w:eastAsia="de-DE"/>
        </w:rPr>
        <w:t xml:space="preserve">(Qal Imperfekt, 2. Person Plural maskulin von </w:t>
      </w:r>
      <w:r w:rsidRPr="00B33854">
        <w:rPr>
          <w:rFonts w:eastAsia="Times New Roman"/>
          <w:b/>
          <w:bCs/>
          <w:rtl/>
          <w:lang w:eastAsia="de-DE"/>
        </w:rPr>
        <w:t>גרע</w:t>
      </w:r>
      <w:r w:rsidRPr="00B33854">
        <w:rPr>
          <w:rFonts w:eastAsia="Times New Roman"/>
          <w:lang w:eastAsia="de-DE"/>
        </w:rPr>
        <w:t xml:space="preserve">, „wegnehmen, vermindern"), </w:t>
      </w:r>
      <w:r w:rsidRPr="00B33854">
        <w:rPr>
          <w:rFonts w:eastAsia="Times New Roman"/>
          <w:b/>
          <w:bCs/>
          <w:rtl/>
          <w:lang w:eastAsia="de-DE"/>
        </w:rPr>
        <w:t>מִמֶּנּוּ</w:t>
      </w:r>
      <w:r w:rsidRPr="00B33854">
        <w:rPr>
          <w:rFonts w:eastAsia="Times New Roman"/>
          <w:rtl/>
          <w:lang w:eastAsia="de-DE"/>
        </w:rPr>
        <w:t xml:space="preserve"> </w:t>
      </w:r>
      <w:r w:rsidRPr="00B33854">
        <w:rPr>
          <w:rFonts w:eastAsia="Times New Roman"/>
          <w:lang w:eastAsia="de-DE"/>
        </w:rPr>
        <w:t xml:space="preserve">als Präposition </w:t>
      </w:r>
      <w:r w:rsidRPr="00B33854">
        <w:rPr>
          <w:rFonts w:eastAsia="Times New Roman"/>
          <w:b/>
          <w:bCs/>
          <w:rtl/>
          <w:lang w:eastAsia="de-DE"/>
        </w:rPr>
        <w:t>מִן</w:t>
      </w:r>
      <w:r w:rsidRPr="00B33854">
        <w:rPr>
          <w:rFonts w:eastAsia="Times New Roman"/>
          <w:rtl/>
          <w:lang w:eastAsia="de-DE"/>
        </w:rPr>
        <w:t xml:space="preserve"> </w:t>
      </w:r>
      <w:r w:rsidRPr="00B33854">
        <w:rPr>
          <w:rFonts w:eastAsia="Times New Roman"/>
          <w:lang w:eastAsia="de-DE"/>
        </w:rPr>
        <w:t xml:space="preserve">mit Suffix 3. Person Singular maskulin („davon"). Die doppelte Prohibition (nicht hinzufügen – nicht wegnehmen) bildet ein Merismus, der die vollständige Unveränderbarkeit der </w:t>
      </w:r>
      <w:r w:rsidR="006D3FED">
        <w:rPr>
          <w:rFonts w:eastAsia="Times New Roman"/>
          <w:lang w:eastAsia="de-DE"/>
        </w:rPr>
        <w:t>Torah</w:t>
      </w:r>
      <w:r w:rsidRPr="00B33854">
        <w:rPr>
          <w:rFonts w:eastAsia="Times New Roman"/>
          <w:lang w:eastAsia="de-DE"/>
        </w:rPr>
        <w:t xml:space="preserve"> betont.</w:t>
      </w:r>
    </w:p>
    <w:p w14:paraId="28CF7BCA"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לִשְׁמֹר</w:t>
      </w:r>
      <w:r w:rsidRPr="00B33854">
        <w:rPr>
          <w:rFonts w:eastAsia="Times New Roman"/>
          <w:rtl/>
          <w:lang w:eastAsia="de-DE"/>
        </w:rPr>
        <w:t xml:space="preserve"> </w:t>
      </w:r>
      <w:r w:rsidRPr="00B33854">
        <w:rPr>
          <w:rFonts w:eastAsia="Times New Roman"/>
          <w:lang w:eastAsia="de-DE"/>
        </w:rPr>
        <w:t xml:space="preserve">ist Qal Infinitiv Construct von </w:t>
      </w:r>
      <w:r w:rsidRPr="00B33854">
        <w:rPr>
          <w:rFonts w:eastAsia="Times New Roman"/>
          <w:b/>
          <w:bCs/>
          <w:rtl/>
          <w:lang w:eastAsia="de-DE"/>
        </w:rPr>
        <w:t>שׁמר</w:t>
      </w:r>
      <w:r w:rsidRPr="00B33854">
        <w:rPr>
          <w:rFonts w:eastAsia="Times New Roman"/>
          <w:rtl/>
          <w:lang w:eastAsia="de-DE"/>
        </w:rPr>
        <w:t xml:space="preserve"> </w:t>
      </w:r>
      <w:r w:rsidRPr="00B33854">
        <w:rPr>
          <w:rFonts w:eastAsia="Times New Roman"/>
          <w:lang w:eastAsia="de-DE"/>
        </w:rPr>
        <w:t xml:space="preserve">(„bewahren, beachten, halten") mit Präposition </w:t>
      </w:r>
      <w:r w:rsidRPr="00B33854">
        <w:rPr>
          <w:rFonts w:eastAsia="Times New Roman"/>
          <w:b/>
          <w:bCs/>
          <w:rtl/>
          <w:lang w:eastAsia="de-DE"/>
        </w:rPr>
        <w:t>לְ</w:t>
      </w:r>
      <w:r w:rsidRPr="00B33854">
        <w:rPr>
          <w:rFonts w:eastAsia="Times New Roman"/>
          <w:rtl/>
          <w:lang w:eastAsia="de-DE"/>
        </w:rPr>
        <w:t xml:space="preserve"> </w:t>
      </w:r>
      <w:r w:rsidRPr="00B33854">
        <w:rPr>
          <w:rFonts w:eastAsia="Times New Roman"/>
          <w:lang w:eastAsia="de-DE"/>
        </w:rPr>
        <w:t xml:space="preserve">(final), die den Zweck der Prohibition angibt. </w:t>
      </w:r>
      <w:r w:rsidRPr="00B33854">
        <w:rPr>
          <w:rFonts w:eastAsia="Times New Roman"/>
          <w:b/>
          <w:bCs/>
          <w:rtl/>
          <w:lang w:eastAsia="de-DE"/>
        </w:rPr>
        <w:t>אֶת־מִצְוֹת יְהוָה אֱלֹהֵיכֶם</w:t>
      </w:r>
      <w:r w:rsidRPr="00B33854">
        <w:rPr>
          <w:rFonts w:eastAsia="Times New Roman"/>
          <w:rtl/>
          <w:lang w:eastAsia="de-DE"/>
        </w:rPr>
        <w:t xml:space="preserve"> </w:t>
      </w:r>
      <w:r w:rsidRPr="00B33854">
        <w:rPr>
          <w:rFonts w:eastAsia="Times New Roman"/>
          <w:lang w:eastAsia="de-DE"/>
        </w:rPr>
        <w:t xml:space="preserve">ist nota accusativi mit </w:t>
      </w:r>
      <w:r w:rsidRPr="00B33854">
        <w:rPr>
          <w:rFonts w:eastAsia="Times New Roman"/>
          <w:b/>
          <w:bCs/>
          <w:rtl/>
          <w:lang w:eastAsia="de-DE"/>
        </w:rPr>
        <w:t>מִצְוֹת</w:t>
      </w:r>
      <w:r w:rsidRPr="00B33854">
        <w:rPr>
          <w:rFonts w:eastAsia="Times New Roman"/>
          <w:rtl/>
          <w:lang w:eastAsia="de-DE"/>
        </w:rPr>
        <w:t xml:space="preserve"> </w:t>
      </w:r>
      <w:r w:rsidRPr="00B33854">
        <w:rPr>
          <w:rFonts w:eastAsia="Times New Roman"/>
          <w:lang w:eastAsia="de-DE"/>
        </w:rPr>
        <w:t xml:space="preserve">(„Gebote", Plural Construct von </w:t>
      </w:r>
      <w:r w:rsidRPr="00B33854">
        <w:rPr>
          <w:rFonts w:eastAsia="Times New Roman"/>
          <w:b/>
          <w:bCs/>
          <w:rtl/>
          <w:lang w:eastAsia="de-DE"/>
        </w:rPr>
        <w:t>מִצְוָה</w:t>
      </w:r>
      <w:r w:rsidRPr="00B33854">
        <w:rPr>
          <w:rFonts w:eastAsia="Times New Roman"/>
          <w:lang w:eastAsia="de-DE"/>
        </w:rPr>
        <w:t xml:space="preserve">), </w:t>
      </w:r>
      <w:r w:rsidRPr="00B33854">
        <w:rPr>
          <w:rFonts w:eastAsia="Times New Roman"/>
          <w:b/>
          <w:bCs/>
          <w:rtl/>
          <w:lang w:eastAsia="de-DE"/>
        </w:rPr>
        <w:t>יְהוָה</w:t>
      </w:r>
      <w:r w:rsidRPr="00B33854">
        <w:rPr>
          <w:rFonts w:eastAsia="Times New Roman"/>
          <w:rtl/>
          <w:lang w:eastAsia="de-DE"/>
        </w:rPr>
        <w:t xml:space="preserve"> </w:t>
      </w:r>
      <w:r w:rsidRPr="00B33854">
        <w:rPr>
          <w:rFonts w:eastAsia="Times New Roman"/>
          <w:lang w:eastAsia="de-DE"/>
        </w:rPr>
        <w:t xml:space="preserve">(das Tetragramm), </w:t>
      </w:r>
      <w:r w:rsidRPr="00B33854">
        <w:rPr>
          <w:rFonts w:eastAsia="Times New Roman"/>
          <w:b/>
          <w:bCs/>
          <w:rtl/>
          <w:lang w:eastAsia="de-DE"/>
        </w:rPr>
        <w:t>אֱלֹהֵיכֶם</w:t>
      </w:r>
      <w:r w:rsidRPr="00B33854">
        <w:rPr>
          <w:rFonts w:eastAsia="Times New Roman"/>
          <w:rtl/>
          <w:lang w:eastAsia="de-DE"/>
        </w:rPr>
        <w:t xml:space="preserve"> </w:t>
      </w:r>
      <w:r w:rsidRPr="00B33854">
        <w:rPr>
          <w:rFonts w:eastAsia="Times New Roman"/>
          <w:lang w:eastAsia="de-DE"/>
        </w:rPr>
        <w:t xml:space="preserve">mit Suffix 2. Person Plural maskulin. </w:t>
      </w:r>
      <w:r w:rsidRPr="00B33854">
        <w:rPr>
          <w:rFonts w:eastAsia="Times New Roman"/>
          <w:b/>
          <w:bCs/>
          <w:rtl/>
          <w:lang w:eastAsia="de-DE"/>
        </w:rPr>
        <w:t>אֲשֶׁר אָנֹכִי מְצַוֶּה אֶתְכֶם</w:t>
      </w:r>
      <w:r w:rsidRPr="00B33854">
        <w:rPr>
          <w:rFonts w:eastAsia="Times New Roman"/>
          <w:rtl/>
          <w:lang w:eastAsia="de-DE"/>
        </w:rPr>
        <w:t xml:space="preserve"> </w:t>
      </w:r>
      <w:r w:rsidRPr="00B33854">
        <w:rPr>
          <w:rFonts w:eastAsia="Times New Roman"/>
          <w:lang w:eastAsia="de-DE"/>
        </w:rPr>
        <w:t>ist ein weiterer Relativsatz, strukturell identisch mit dem ersten.</w:t>
      </w:r>
    </w:p>
    <w:p w14:paraId="3ACCC60E"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Die Satzstruktur besteht aus zwei koordinierten Prohibitionen mit jeweils eigener präpositionaler Ergänzung und gemeinsamem Relativsatz, gefolgt von einer finalen Infinitivkonstruktion mit Objekt (erweitert durch göttliche Bezeichnung) und einem zweiten Relativsatz. Die Wiederholung des Relativsatzes rahmt die Prohibition und verstärkt die mosaische Autorität. Die doppelte Negation unterstreicht die Integrität und Unveränderlichkeit der göttlichen Gebote.</w:t>
      </w:r>
    </w:p>
    <w:p w14:paraId="5CD6E079" w14:textId="101EC0A3"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 xml:space="preserve">Der Vers verbietet jede Veränderung der göttlichen Gebote – weder Hinzufügung noch Subtraktion – und begründet dies mit der Notwendigkeit, </w:t>
      </w:r>
      <w:r w:rsidR="00ED2181">
        <w:rPr>
          <w:rFonts w:eastAsia="Times New Roman"/>
          <w:lang w:eastAsia="de-DE"/>
        </w:rPr>
        <w:t>JHWHs</w:t>
      </w:r>
      <w:r w:rsidR="00ED2181" w:rsidRPr="00B33854">
        <w:rPr>
          <w:rFonts w:eastAsia="Times New Roman"/>
          <w:lang w:eastAsia="de-DE"/>
        </w:rPr>
        <w:t xml:space="preserve"> </w:t>
      </w:r>
      <w:r w:rsidRPr="00B33854">
        <w:rPr>
          <w:rFonts w:eastAsia="Times New Roman"/>
          <w:lang w:eastAsia="de-DE"/>
        </w:rPr>
        <w:t>Gebote rein zu bewahren.</w:t>
      </w:r>
    </w:p>
    <w:p w14:paraId="3A6E768C"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4,3</w:t>
      </w:r>
    </w:p>
    <w:p w14:paraId="3AC6A49D"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עֵֽינֵיכֶם֙ הָֽרֹאֹ֔ת אֵ֛ת אֲשֶׁר־עָשָׂ֥ה יְהוָ֖ה בְּבַ֣עַל פְּע֑וֹר כִּ֣י כָל־הָאִ֗ישׁ אֲשֶׁ֤ר הָלַךְ֙ אַחֲרֵ֣י בַֽעַל־פְּע֔וֹר הִשְׁמִידֹ֛ו יְהוָ֥ה אֱלֹהֶ֖יךָ מִקִּרְבֶּֽךָ׃</w:t>
      </w:r>
    </w:p>
    <w:p w14:paraId="71A5E702"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Eure Augen sind die Sehenden, was der Ewige in Baal-Peor getan hat; denn jeden Mann, der Baal-Peor nachfolgte, hat der Ewige, dein Gott, aus deiner Mitte vertilgt.</w:t>
      </w:r>
    </w:p>
    <w:p w14:paraId="049C3EFA"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3D97ED8F">
          <v:rect id="_x0000_i1139" style="width:0;height:1.5pt" o:hralign="center" o:hrstd="t" o:hr="t" fillcolor="#a0a0a0" stroked="f"/>
        </w:pict>
      </w:r>
    </w:p>
    <w:p w14:paraId="7928AB0C"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lastRenderedPageBreak/>
        <w:t>Kommentar:</w:t>
      </w:r>
      <w:r w:rsidRPr="00B33854">
        <w:rPr>
          <w:rFonts w:eastAsia="Times New Roman"/>
          <w:lang w:eastAsia="de-DE"/>
        </w:rPr>
        <w:t xml:space="preserve"> </w:t>
      </w:r>
      <w:r w:rsidRPr="00B33854">
        <w:rPr>
          <w:rFonts w:eastAsia="Times New Roman"/>
          <w:b/>
          <w:bCs/>
          <w:rtl/>
          <w:lang w:eastAsia="de-DE"/>
        </w:rPr>
        <w:t>עֵינֵיכֶם הָרֹאֹת</w:t>
      </w:r>
      <w:r w:rsidRPr="00B33854">
        <w:rPr>
          <w:rFonts w:eastAsia="Times New Roman"/>
          <w:rtl/>
          <w:lang w:eastAsia="de-DE"/>
        </w:rPr>
        <w:t xml:space="preserve"> </w:t>
      </w:r>
      <w:r w:rsidRPr="00B33854">
        <w:rPr>
          <w:rFonts w:eastAsia="Times New Roman"/>
          <w:lang w:eastAsia="de-DE"/>
        </w:rPr>
        <w:t xml:space="preserve">ist ein nominaler Satz: </w:t>
      </w:r>
      <w:r w:rsidRPr="00B33854">
        <w:rPr>
          <w:rFonts w:eastAsia="Times New Roman"/>
          <w:b/>
          <w:bCs/>
          <w:rtl/>
          <w:lang w:eastAsia="de-DE"/>
        </w:rPr>
        <w:t>עֵינֵיכֶם</w:t>
      </w:r>
      <w:r w:rsidRPr="00B33854">
        <w:rPr>
          <w:rFonts w:eastAsia="Times New Roman"/>
          <w:rtl/>
          <w:lang w:eastAsia="de-DE"/>
        </w:rPr>
        <w:t xml:space="preserve"> </w:t>
      </w:r>
      <w:r w:rsidRPr="00B33854">
        <w:rPr>
          <w:rFonts w:eastAsia="Times New Roman"/>
          <w:lang w:eastAsia="de-DE"/>
        </w:rPr>
        <w:t xml:space="preserve">(„eure Augen", Dual mit Suffix 2. Person Plural maskulin) als Subjekt, </w:t>
      </w:r>
      <w:r w:rsidRPr="00B33854">
        <w:rPr>
          <w:rFonts w:eastAsia="Times New Roman"/>
          <w:b/>
          <w:bCs/>
          <w:rtl/>
          <w:lang w:eastAsia="de-DE"/>
        </w:rPr>
        <w:t>הָרֹאֹת</w:t>
      </w:r>
      <w:r w:rsidRPr="00B33854">
        <w:rPr>
          <w:rFonts w:eastAsia="Times New Roman"/>
          <w:rtl/>
          <w:lang w:eastAsia="de-DE"/>
        </w:rPr>
        <w:t xml:space="preserve"> </w:t>
      </w:r>
      <w:r w:rsidRPr="00B33854">
        <w:rPr>
          <w:rFonts w:eastAsia="Times New Roman"/>
          <w:lang w:eastAsia="de-DE"/>
        </w:rPr>
        <w:t xml:space="preserve">(Qal Partizip Plural feminin von </w:t>
      </w:r>
      <w:r w:rsidRPr="00B33854">
        <w:rPr>
          <w:rFonts w:eastAsia="Times New Roman"/>
          <w:b/>
          <w:bCs/>
          <w:rtl/>
          <w:lang w:eastAsia="de-DE"/>
        </w:rPr>
        <w:t>ראה</w:t>
      </w:r>
      <w:r w:rsidRPr="00B33854">
        <w:rPr>
          <w:rFonts w:eastAsia="Times New Roman"/>
          <w:rtl/>
          <w:lang w:eastAsia="de-DE"/>
        </w:rPr>
        <w:t xml:space="preserve"> </w:t>
      </w:r>
      <w:r w:rsidRPr="00B33854">
        <w:rPr>
          <w:rFonts w:eastAsia="Times New Roman"/>
          <w:lang w:eastAsia="de-DE"/>
        </w:rPr>
        <w:t xml:space="preserve">mit Artikel, „die Sehenden") als Prädikat. Die partizipiale Konstruktion betont die direkte Augenzeugenschaft. </w:t>
      </w:r>
      <w:r w:rsidRPr="00B33854">
        <w:rPr>
          <w:rFonts w:eastAsia="Times New Roman"/>
          <w:b/>
          <w:bCs/>
          <w:rtl/>
          <w:lang w:eastAsia="de-DE"/>
        </w:rPr>
        <w:t>אֵת אֲשֶׁר־עָשָׂה יְהוָה</w:t>
      </w:r>
      <w:r w:rsidRPr="00B33854">
        <w:rPr>
          <w:rFonts w:eastAsia="Times New Roman"/>
          <w:rtl/>
          <w:lang w:eastAsia="de-DE"/>
        </w:rPr>
        <w:t xml:space="preserve"> </w:t>
      </w:r>
      <w:r w:rsidRPr="00B33854">
        <w:rPr>
          <w:rFonts w:eastAsia="Times New Roman"/>
          <w:lang w:eastAsia="de-DE"/>
        </w:rPr>
        <w:t xml:space="preserve">ist nota accusativi mit einem Relativsatz: </w:t>
      </w:r>
      <w:r w:rsidRPr="00B33854">
        <w:rPr>
          <w:rFonts w:eastAsia="Times New Roman"/>
          <w:b/>
          <w:bCs/>
          <w:rtl/>
          <w:lang w:eastAsia="de-DE"/>
        </w:rPr>
        <w:t>אֲשֶׁר</w:t>
      </w:r>
      <w:r w:rsidRPr="00B33854">
        <w:rPr>
          <w:rFonts w:eastAsia="Times New Roman"/>
          <w:rtl/>
          <w:lang w:eastAsia="de-DE"/>
        </w:rPr>
        <w:t xml:space="preserve"> </w:t>
      </w:r>
      <w:r w:rsidRPr="00B33854">
        <w:rPr>
          <w:rFonts w:eastAsia="Times New Roman"/>
          <w:lang w:eastAsia="de-DE"/>
        </w:rPr>
        <w:t xml:space="preserve">als Relativpronomen, </w:t>
      </w:r>
      <w:r w:rsidRPr="00B33854">
        <w:rPr>
          <w:rFonts w:eastAsia="Times New Roman"/>
          <w:b/>
          <w:bCs/>
          <w:rtl/>
          <w:lang w:eastAsia="de-DE"/>
        </w:rPr>
        <w:t>עָשָׂה</w:t>
      </w:r>
      <w:r w:rsidRPr="00B33854">
        <w:rPr>
          <w:rFonts w:eastAsia="Times New Roman"/>
          <w:rtl/>
          <w:lang w:eastAsia="de-DE"/>
        </w:rPr>
        <w:t xml:space="preserve"> </w:t>
      </w:r>
      <w:r w:rsidRPr="00B33854">
        <w:rPr>
          <w:rFonts w:eastAsia="Times New Roman"/>
          <w:lang w:eastAsia="de-DE"/>
        </w:rPr>
        <w:t xml:space="preserve">als Qal Perfekt, 3. Person Singular maskulin von </w:t>
      </w:r>
      <w:r w:rsidRPr="00B33854">
        <w:rPr>
          <w:rFonts w:eastAsia="Times New Roman"/>
          <w:b/>
          <w:bCs/>
          <w:rtl/>
          <w:lang w:eastAsia="de-DE"/>
        </w:rPr>
        <w:t>עשׂה</w:t>
      </w:r>
      <w:r w:rsidRPr="00B33854">
        <w:rPr>
          <w:rFonts w:eastAsia="Times New Roman"/>
          <w:lang w:eastAsia="de-DE"/>
        </w:rPr>
        <w:t xml:space="preserve">, </w:t>
      </w:r>
      <w:r w:rsidRPr="00B33854">
        <w:rPr>
          <w:rFonts w:eastAsia="Times New Roman"/>
          <w:b/>
          <w:bCs/>
          <w:rtl/>
          <w:lang w:eastAsia="de-DE"/>
        </w:rPr>
        <w:t>יְהוָה</w:t>
      </w:r>
      <w:r w:rsidRPr="00B33854">
        <w:rPr>
          <w:rFonts w:eastAsia="Times New Roman"/>
          <w:rtl/>
          <w:lang w:eastAsia="de-DE"/>
        </w:rPr>
        <w:t xml:space="preserve"> </w:t>
      </w:r>
      <w:r w:rsidRPr="00B33854">
        <w:rPr>
          <w:rFonts w:eastAsia="Times New Roman"/>
          <w:lang w:eastAsia="de-DE"/>
        </w:rPr>
        <w:t xml:space="preserve">als Subjekt. </w:t>
      </w:r>
      <w:r w:rsidRPr="00B33854">
        <w:rPr>
          <w:rFonts w:eastAsia="Times New Roman"/>
          <w:b/>
          <w:bCs/>
          <w:rtl/>
          <w:lang w:eastAsia="de-DE"/>
        </w:rPr>
        <w:t>בְּבַעַל פְּעוֹר</w:t>
      </w:r>
      <w:r w:rsidRPr="00B33854">
        <w:rPr>
          <w:rFonts w:eastAsia="Times New Roman"/>
          <w:rtl/>
          <w:lang w:eastAsia="de-DE"/>
        </w:rPr>
        <w:t xml:space="preserve"> </w:t>
      </w:r>
      <w:r w:rsidRPr="00B33854">
        <w:rPr>
          <w:rFonts w:eastAsia="Times New Roman"/>
          <w:lang w:eastAsia="de-DE"/>
        </w:rPr>
        <w:t xml:space="preserve">ist Präposition </w:t>
      </w:r>
      <w:r w:rsidRPr="00B33854">
        <w:rPr>
          <w:rFonts w:eastAsia="Times New Roman"/>
          <w:b/>
          <w:bCs/>
          <w:rtl/>
          <w:lang w:eastAsia="de-DE"/>
        </w:rPr>
        <w:t>בְּ</w:t>
      </w:r>
      <w:r w:rsidRPr="00B33854">
        <w:rPr>
          <w:rFonts w:eastAsia="Times New Roman"/>
          <w:rtl/>
          <w:lang w:eastAsia="de-DE"/>
        </w:rPr>
        <w:t xml:space="preserve"> </w:t>
      </w:r>
      <w:r w:rsidRPr="00B33854">
        <w:rPr>
          <w:rFonts w:eastAsia="Times New Roman"/>
          <w:lang w:eastAsia="de-DE"/>
        </w:rPr>
        <w:t xml:space="preserve">(hier lokativ „in, bei") mit </w:t>
      </w:r>
      <w:r w:rsidRPr="00B33854">
        <w:rPr>
          <w:rFonts w:eastAsia="Times New Roman"/>
          <w:b/>
          <w:bCs/>
          <w:rtl/>
          <w:lang w:eastAsia="de-DE"/>
        </w:rPr>
        <w:t>בַּעַל פְּעוֹר</w:t>
      </w:r>
      <w:r w:rsidRPr="00B33854">
        <w:rPr>
          <w:rFonts w:eastAsia="Times New Roman"/>
          <w:rtl/>
          <w:lang w:eastAsia="de-DE"/>
        </w:rPr>
        <w:t xml:space="preserve"> </w:t>
      </w:r>
      <w:r w:rsidRPr="00B33854">
        <w:rPr>
          <w:rFonts w:eastAsia="Times New Roman"/>
          <w:lang w:eastAsia="de-DE"/>
        </w:rPr>
        <w:t>(Name einer moabitischen Gottheit bzw. des Ortes des Götzendienstes).</w:t>
      </w:r>
    </w:p>
    <w:p w14:paraId="2836EE56"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כִּי</w:t>
      </w:r>
      <w:r w:rsidRPr="00B33854">
        <w:rPr>
          <w:rFonts w:eastAsia="Times New Roman"/>
          <w:rtl/>
          <w:lang w:eastAsia="de-DE"/>
        </w:rPr>
        <w:t xml:space="preserve"> </w:t>
      </w:r>
      <w:r w:rsidRPr="00B33854">
        <w:rPr>
          <w:rFonts w:eastAsia="Times New Roman"/>
          <w:lang w:eastAsia="de-DE"/>
        </w:rPr>
        <w:t xml:space="preserve">ist eine kausale Konjunktion („denn"). </w:t>
      </w:r>
      <w:r w:rsidRPr="00B33854">
        <w:rPr>
          <w:rFonts w:eastAsia="Times New Roman"/>
          <w:b/>
          <w:bCs/>
          <w:rtl/>
          <w:lang w:eastAsia="de-DE"/>
        </w:rPr>
        <w:t>כָל־הָאִישׁ</w:t>
      </w:r>
      <w:r w:rsidRPr="00B33854">
        <w:rPr>
          <w:rFonts w:eastAsia="Times New Roman"/>
          <w:rtl/>
          <w:lang w:eastAsia="de-DE"/>
        </w:rPr>
        <w:t xml:space="preserve"> </w:t>
      </w:r>
      <w:r w:rsidRPr="00B33854">
        <w:rPr>
          <w:rFonts w:eastAsia="Times New Roman"/>
          <w:lang w:eastAsia="de-DE"/>
        </w:rPr>
        <w:t xml:space="preserve">ist </w:t>
      </w:r>
      <w:r w:rsidRPr="00B33854">
        <w:rPr>
          <w:rFonts w:eastAsia="Times New Roman"/>
          <w:b/>
          <w:bCs/>
          <w:rtl/>
          <w:lang w:eastAsia="de-DE"/>
        </w:rPr>
        <w:t>כָּל</w:t>
      </w:r>
      <w:r w:rsidRPr="00B33854">
        <w:rPr>
          <w:rFonts w:eastAsia="Times New Roman"/>
          <w:rtl/>
          <w:lang w:eastAsia="de-DE"/>
        </w:rPr>
        <w:t xml:space="preserve"> </w:t>
      </w:r>
      <w:r w:rsidRPr="00B33854">
        <w:rPr>
          <w:rFonts w:eastAsia="Times New Roman"/>
          <w:lang w:eastAsia="de-DE"/>
        </w:rPr>
        <w:t xml:space="preserve">im Construct mit </w:t>
      </w:r>
      <w:r w:rsidRPr="00B33854">
        <w:rPr>
          <w:rFonts w:eastAsia="Times New Roman"/>
          <w:b/>
          <w:bCs/>
          <w:rtl/>
          <w:lang w:eastAsia="de-DE"/>
        </w:rPr>
        <w:t>הָאִישׁ</w:t>
      </w:r>
      <w:r w:rsidRPr="00B33854">
        <w:rPr>
          <w:rFonts w:eastAsia="Times New Roman"/>
          <w:rtl/>
          <w:lang w:eastAsia="de-DE"/>
        </w:rPr>
        <w:t xml:space="preserve"> </w:t>
      </w:r>
      <w:r w:rsidRPr="00B33854">
        <w:rPr>
          <w:rFonts w:eastAsia="Times New Roman"/>
          <w:lang w:eastAsia="de-DE"/>
        </w:rPr>
        <w:t xml:space="preserve">(„der Mann", mit Artikel) – kollektiv „jeder Mann". </w:t>
      </w:r>
      <w:r w:rsidRPr="00B33854">
        <w:rPr>
          <w:rFonts w:eastAsia="Times New Roman"/>
          <w:b/>
          <w:bCs/>
          <w:rtl/>
          <w:lang w:eastAsia="de-DE"/>
        </w:rPr>
        <w:t>אֲשֶׁר הָלַךְ אַחֲרֵי בַעַל־פְּעוֹר</w:t>
      </w:r>
      <w:r w:rsidRPr="00B33854">
        <w:rPr>
          <w:rFonts w:eastAsia="Times New Roman"/>
          <w:rtl/>
          <w:lang w:eastAsia="de-DE"/>
        </w:rPr>
        <w:t xml:space="preserve"> </w:t>
      </w:r>
      <w:r w:rsidRPr="00B33854">
        <w:rPr>
          <w:rFonts w:eastAsia="Times New Roman"/>
          <w:lang w:eastAsia="de-DE"/>
        </w:rPr>
        <w:t xml:space="preserve">ist ein Relativsatz: </w:t>
      </w:r>
      <w:r w:rsidRPr="00B33854">
        <w:rPr>
          <w:rFonts w:eastAsia="Times New Roman"/>
          <w:b/>
          <w:bCs/>
          <w:rtl/>
          <w:lang w:eastAsia="de-DE"/>
        </w:rPr>
        <w:t>אֲשֶׁר</w:t>
      </w:r>
      <w:r w:rsidRPr="00B33854">
        <w:rPr>
          <w:rFonts w:eastAsia="Times New Roman"/>
          <w:rtl/>
          <w:lang w:eastAsia="de-DE"/>
        </w:rPr>
        <w:t xml:space="preserve"> </w:t>
      </w:r>
      <w:r w:rsidRPr="00B33854">
        <w:rPr>
          <w:rFonts w:eastAsia="Times New Roman"/>
          <w:lang w:eastAsia="de-DE"/>
        </w:rPr>
        <w:t xml:space="preserve">als Relativpronomen, </w:t>
      </w:r>
      <w:r w:rsidRPr="00B33854">
        <w:rPr>
          <w:rFonts w:eastAsia="Times New Roman"/>
          <w:b/>
          <w:bCs/>
          <w:rtl/>
          <w:lang w:eastAsia="de-DE"/>
        </w:rPr>
        <w:t>הָלַךְ</w:t>
      </w:r>
      <w:r w:rsidRPr="00B33854">
        <w:rPr>
          <w:rFonts w:eastAsia="Times New Roman"/>
          <w:rtl/>
          <w:lang w:eastAsia="de-DE"/>
        </w:rPr>
        <w:t xml:space="preserve"> </w:t>
      </w:r>
      <w:r w:rsidRPr="00B33854">
        <w:rPr>
          <w:rFonts w:eastAsia="Times New Roman"/>
          <w:lang w:eastAsia="de-DE"/>
        </w:rPr>
        <w:t xml:space="preserve">als Qal Perfekt, 3. Person Singular maskulin von </w:t>
      </w:r>
      <w:r w:rsidRPr="00B33854">
        <w:rPr>
          <w:rFonts w:eastAsia="Times New Roman"/>
          <w:b/>
          <w:bCs/>
          <w:rtl/>
          <w:lang w:eastAsia="de-DE"/>
        </w:rPr>
        <w:t>הלך</w:t>
      </w:r>
      <w:r w:rsidRPr="00B33854">
        <w:rPr>
          <w:rFonts w:eastAsia="Times New Roman"/>
          <w:rtl/>
          <w:lang w:eastAsia="de-DE"/>
        </w:rPr>
        <w:t xml:space="preserve"> </w:t>
      </w:r>
      <w:r w:rsidRPr="00B33854">
        <w:rPr>
          <w:rFonts w:eastAsia="Times New Roman"/>
          <w:lang w:eastAsia="de-DE"/>
        </w:rPr>
        <w:t xml:space="preserve">(„gehen"), </w:t>
      </w:r>
      <w:r w:rsidRPr="00B33854">
        <w:rPr>
          <w:rFonts w:eastAsia="Times New Roman"/>
          <w:b/>
          <w:bCs/>
          <w:rtl/>
          <w:lang w:eastAsia="de-DE"/>
        </w:rPr>
        <w:t>אַחֲרֵי</w:t>
      </w:r>
      <w:r w:rsidRPr="00B33854">
        <w:rPr>
          <w:rFonts w:eastAsia="Times New Roman"/>
          <w:rtl/>
          <w:lang w:eastAsia="de-DE"/>
        </w:rPr>
        <w:t xml:space="preserve"> </w:t>
      </w:r>
      <w:r w:rsidRPr="00B33854">
        <w:rPr>
          <w:rFonts w:eastAsia="Times New Roman"/>
          <w:lang w:eastAsia="de-DE"/>
        </w:rPr>
        <w:t xml:space="preserve">als Präposition („nach, hinter") mit </w:t>
      </w:r>
      <w:r w:rsidRPr="00B33854">
        <w:rPr>
          <w:rFonts w:eastAsia="Times New Roman"/>
          <w:b/>
          <w:bCs/>
          <w:rtl/>
          <w:lang w:eastAsia="de-DE"/>
        </w:rPr>
        <w:t>בַעַל־פְּעוֹר</w:t>
      </w:r>
      <w:r w:rsidRPr="00B33854">
        <w:rPr>
          <w:rFonts w:eastAsia="Times New Roman"/>
          <w:lang w:eastAsia="de-DE"/>
        </w:rPr>
        <w:t xml:space="preserve">. Die idiomatische Wendung </w:t>
      </w:r>
      <w:r w:rsidRPr="00B33854">
        <w:rPr>
          <w:rFonts w:eastAsia="Times New Roman"/>
          <w:b/>
          <w:bCs/>
          <w:rtl/>
          <w:lang w:eastAsia="de-DE"/>
        </w:rPr>
        <w:t>הלך אַחֲרֵי</w:t>
      </w:r>
      <w:r w:rsidRPr="00B33854">
        <w:rPr>
          <w:rFonts w:eastAsia="Times New Roman"/>
          <w:rtl/>
          <w:lang w:eastAsia="de-DE"/>
        </w:rPr>
        <w:t xml:space="preserve"> </w:t>
      </w:r>
      <w:r w:rsidRPr="00B33854">
        <w:rPr>
          <w:rFonts w:eastAsia="Times New Roman"/>
          <w:lang w:eastAsia="de-DE"/>
        </w:rPr>
        <w:t>bedeutet „nachfolgen, anhangen" und drückt religiöse Treue oder Götzendienst aus.</w:t>
      </w:r>
    </w:p>
    <w:p w14:paraId="5E622033"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הִשְׁמִידוֹ יְהוָה אֱלֹהֶיךָ</w:t>
      </w:r>
      <w:r w:rsidRPr="00B33854">
        <w:rPr>
          <w:rFonts w:eastAsia="Times New Roman"/>
          <w:rtl/>
          <w:lang w:eastAsia="de-DE"/>
        </w:rPr>
        <w:t xml:space="preserve"> </w:t>
      </w:r>
      <w:r w:rsidRPr="00B33854">
        <w:rPr>
          <w:rFonts w:eastAsia="Times New Roman"/>
          <w:lang w:eastAsia="de-DE"/>
        </w:rPr>
        <w:t xml:space="preserve">besteht aus </w:t>
      </w:r>
      <w:r w:rsidRPr="00B33854">
        <w:rPr>
          <w:rFonts w:eastAsia="Times New Roman"/>
          <w:b/>
          <w:bCs/>
          <w:rtl/>
          <w:lang w:eastAsia="de-DE"/>
        </w:rPr>
        <w:t>הִשְׁמִידוֹ</w:t>
      </w:r>
      <w:r w:rsidRPr="00B33854">
        <w:rPr>
          <w:rFonts w:eastAsia="Times New Roman"/>
          <w:rtl/>
          <w:lang w:eastAsia="de-DE"/>
        </w:rPr>
        <w:t xml:space="preserve"> </w:t>
      </w:r>
      <w:r w:rsidRPr="00B33854">
        <w:rPr>
          <w:rFonts w:eastAsia="Times New Roman"/>
          <w:lang w:eastAsia="de-DE"/>
        </w:rPr>
        <w:t xml:space="preserve">(Hifil Perfekt, 3. Person Singular maskulin von </w:t>
      </w:r>
      <w:r w:rsidRPr="00B33854">
        <w:rPr>
          <w:rFonts w:eastAsia="Times New Roman"/>
          <w:b/>
          <w:bCs/>
          <w:rtl/>
          <w:lang w:eastAsia="de-DE"/>
        </w:rPr>
        <w:t>שׁמד</w:t>
      </w:r>
      <w:r w:rsidRPr="00B33854">
        <w:rPr>
          <w:rFonts w:eastAsia="Times New Roman"/>
          <w:lang w:eastAsia="de-DE"/>
        </w:rPr>
        <w:t xml:space="preserve">, „vertilgen, vernichten", mit Suffix 3. Person Singular maskulin als direktes Objekt), </w:t>
      </w:r>
      <w:r w:rsidRPr="00B33854">
        <w:rPr>
          <w:rFonts w:eastAsia="Times New Roman"/>
          <w:b/>
          <w:bCs/>
          <w:rtl/>
          <w:lang w:eastAsia="de-DE"/>
        </w:rPr>
        <w:t>יְהוָה אֱלֹהֶיךָ</w:t>
      </w:r>
      <w:r w:rsidRPr="00B33854">
        <w:rPr>
          <w:rFonts w:eastAsia="Times New Roman"/>
          <w:rtl/>
          <w:lang w:eastAsia="de-DE"/>
        </w:rPr>
        <w:t xml:space="preserve"> </w:t>
      </w:r>
      <w:r w:rsidRPr="00B33854">
        <w:rPr>
          <w:rFonts w:eastAsia="Times New Roman"/>
          <w:lang w:eastAsia="de-DE"/>
        </w:rPr>
        <w:t xml:space="preserve">als erweitertes Subjekt mit Suffix 2. Person Singular maskulin. Der Wechsel vom Plural („eure Augen") zum Singular („dein Gott") ist charakteristisch für das Deuteronomium und unterstreicht die individuelle Verantwortung. </w:t>
      </w:r>
      <w:r w:rsidRPr="00B33854">
        <w:rPr>
          <w:rFonts w:eastAsia="Times New Roman"/>
          <w:b/>
          <w:bCs/>
          <w:rtl/>
          <w:lang w:eastAsia="de-DE"/>
        </w:rPr>
        <w:t>מִקִּרְבֶּךָ</w:t>
      </w:r>
      <w:r w:rsidRPr="00B33854">
        <w:rPr>
          <w:rFonts w:eastAsia="Times New Roman"/>
          <w:rtl/>
          <w:lang w:eastAsia="de-DE"/>
        </w:rPr>
        <w:t xml:space="preserve"> </w:t>
      </w:r>
      <w:r w:rsidRPr="00B33854">
        <w:rPr>
          <w:rFonts w:eastAsia="Times New Roman"/>
          <w:lang w:eastAsia="de-DE"/>
        </w:rPr>
        <w:t xml:space="preserve">ist Präposition </w:t>
      </w:r>
      <w:r w:rsidRPr="00B33854">
        <w:rPr>
          <w:rFonts w:eastAsia="Times New Roman"/>
          <w:b/>
          <w:bCs/>
          <w:rtl/>
          <w:lang w:eastAsia="de-DE"/>
        </w:rPr>
        <w:t>מִן</w:t>
      </w:r>
      <w:r w:rsidRPr="00B33854">
        <w:rPr>
          <w:rFonts w:eastAsia="Times New Roman"/>
          <w:rtl/>
          <w:lang w:eastAsia="de-DE"/>
        </w:rPr>
        <w:t xml:space="preserve"> </w:t>
      </w:r>
      <w:r w:rsidRPr="00B33854">
        <w:rPr>
          <w:rFonts w:eastAsia="Times New Roman"/>
          <w:lang w:eastAsia="de-DE"/>
        </w:rPr>
        <w:t xml:space="preserve">(„aus") mit </w:t>
      </w:r>
      <w:r w:rsidRPr="00B33854">
        <w:rPr>
          <w:rFonts w:eastAsia="Times New Roman"/>
          <w:b/>
          <w:bCs/>
          <w:rtl/>
          <w:lang w:eastAsia="de-DE"/>
        </w:rPr>
        <w:t>קֶרֶב</w:t>
      </w:r>
      <w:r w:rsidRPr="00B33854">
        <w:rPr>
          <w:rFonts w:eastAsia="Times New Roman"/>
          <w:rtl/>
          <w:lang w:eastAsia="de-DE"/>
        </w:rPr>
        <w:t xml:space="preserve"> </w:t>
      </w:r>
      <w:r w:rsidRPr="00B33854">
        <w:rPr>
          <w:rFonts w:eastAsia="Times New Roman"/>
          <w:lang w:eastAsia="de-DE"/>
        </w:rPr>
        <w:t>(„Mitte, Inneres") im Construct und Suffix 2. Person Singular maskulin.</w:t>
      </w:r>
    </w:p>
    <w:p w14:paraId="757A1EE3"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Die Satzstruktur besteht aus einem nominalen Hauptsatz mit partizipialem Prädikat und Objekt-Relativsatz, gefolgt von einem kausalen Hauptsatz mit indefinitem Subjekt, Relativsatz und Prädikat mit erweitertem Subjekt und Herkunftsangabe. Der Bezug auf das Baal-Peor-Ereignis (Numeri 25) dient als mahnendes historisches Beispiel für die Folgen des Ungehorsams.</w:t>
      </w:r>
    </w:p>
    <w:p w14:paraId="68FFECEA" w14:textId="6720EF48"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 xml:space="preserve">Der Vers erinnert an das Baal-Peor-Ereignis als Warnung: Die Adressaten haben selbst gesehen, wie </w:t>
      </w:r>
      <w:r w:rsidR="00F90130">
        <w:rPr>
          <w:rFonts w:eastAsia="Times New Roman"/>
          <w:lang w:eastAsia="de-DE"/>
        </w:rPr>
        <w:t>der Ewige</w:t>
      </w:r>
      <w:r w:rsidRPr="00B33854">
        <w:rPr>
          <w:rFonts w:eastAsia="Times New Roman"/>
          <w:lang w:eastAsia="de-DE"/>
        </w:rPr>
        <w:t xml:space="preserve"> alle vertilgte, die diesem fremden Gott nachfolgten.</w:t>
      </w:r>
    </w:p>
    <w:p w14:paraId="3D30AFFD"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4,4</w:t>
      </w:r>
    </w:p>
    <w:p w14:paraId="0FDC54BB"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וְאַתֶּם֙ הַדְּבֵקִ֔ים בַּיהוָ֖ה אֱלֹהֵיכֶ֑ם חַיִּ֥ים כֻּלְּכֶ֖ם הַיּֽוֹם׃</w:t>
      </w:r>
    </w:p>
    <w:p w14:paraId="12AB38EB"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Ihr aber, die ihr dem Ewigen, eurem Gott, anhangend wart, </w:t>
      </w:r>
      <w:proofErr w:type="spellStart"/>
      <w:r w:rsidRPr="00B33854">
        <w:rPr>
          <w:rFonts w:eastAsia="Times New Roman"/>
          <w:lang w:eastAsia="de-DE"/>
        </w:rPr>
        <w:t>seid</w:t>
      </w:r>
      <w:proofErr w:type="spellEnd"/>
      <w:r w:rsidRPr="00B33854">
        <w:rPr>
          <w:rFonts w:eastAsia="Times New Roman"/>
          <w:lang w:eastAsia="de-DE"/>
        </w:rPr>
        <w:t xml:space="preserve"> heute alle lebend.</w:t>
      </w:r>
    </w:p>
    <w:p w14:paraId="4DB33E93"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08815CE5">
          <v:rect id="_x0000_i1140" style="width:0;height:1.5pt" o:hralign="center" o:hrstd="t" o:hr="t" fillcolor="#a0a0a0" stroked="f"/>
        </w:pict>
      </w:r>
    </w:p>
    <w:p w14:paraId="707477DF"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וְאַתֶּם</w:t>
      </w:r>
      <w:r w:rsidRPr="00B33854">
        <w:rPr>
          <w:rFonts w:eastAsia="Times New Roman"/>
          <w:rtl/>
          <w:lang w:eastAsia="de-DE"/>
        </w:rPr>
        <w:t xml:space="preserve"> </w:t>
      </w:r>
      <w:r w:rsidRPr="00B33854">
        <w:rPr>
          <w:rFonts w:eastAsia="Times New Roman"/>
          <w:lang w:eastAsia="de-DE"/>
        </w:rPr>
        <w:t xml:space="preserve">ist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 xml:space="preserve">(adversativ „aber") mit dem Personalpronomen </w:t>
      </w:r>
      <w:r w:rsidRPr="00B33854">
        <w:rPr>
          <w:rFonts w:eastAsia="Times New Roman"/>
          <w:b/>
          <w:bCs/>
          <w:rtl/>
          <w:lang w:eastAsia="de-DE"/>
        </w:rPr>
        <w:t>אַתֶּם</w:t>
      </w:r>
      <w:r w:rsidRPr="00B33854">
        <w:rPr>
          <w:rFonts w:eastAsia="Times New Roman"/>
          <w:rtl/>
          <w:lang w:eastAsia="de-DE"/>
        </w:rPr>
        <w:t xml:space="preserve"> </w:t>
      </w:r>
      <w:r w:rsidRPr="00B33854">
        <w:rPr>
          <w:rFonts w:eastAsia="Times New Roman"/>
          <w:lang w:eastAsia="de-DE"/>
        </w:rPr>
        <w:t xml:space="preserve">(„ihr"), das einen starken Kontrast zum vorherigen Vers markiert. </w:t>
      </w:r>
      <w:r w:rsidRPr="00B33854">
        <w:rPr>
          <w:rFonts w:eastAsia="Times New Roman"/>
          <w:b/>
          <w:bCs/>
          <w:rtl/>
          <w:lang w:eastAsia="de-DE"/>
        </w:rPr>
        <w:t>הַדְּבֵקִים</w:t>
      </w:r>
      <w:r w:rsidRPr="00B33854">
        <w:rPr>
          <w:rFonts w:eastAsia="Times New Roman"/>
          <w:rtl/>
          <w:lang w:eastAsia="de-DE"/>
        </w:rPr>
        <w:t xml:space="preserve"> </w:t>
      </w:r>
      <w:r w:rsidRPr="00B33854">
        <w:rPr>
          <w:rFonts w:eastAsia="Times New Roman"/>
          <w:lang w:eastAsia="de-DE"/>
        </w:rPr>
        <w:t xml:space="preserve">ist Qal Partizip Plural maskulin von </w:t>
      </w:r>
      <w:r w:rsidRPr="00B33854">
        <w:rPr>
          <w:rFonts w:eastAsia="Times New Roman"/>
          <w:b/>
          <w:bCs/>
          <w:rtl/>
          <w:lang w:eastAsia="de-DE"/>
        </w:rPr>
        <w:t>דבק</w:t>
      </w:r>
      <w:r w:rsidRPr="00B33854">
        <w:rPr>
          <w:rFonts w:eastAsia="Times New Roman"/>
          <w:rtl/>
          <w:lang w:eastAsia="de-DE"/>
        </w:rPr>
        <w:t xml:space="preserve"> </w:t>
      </w:r>
      <w:r w:rsidRPr="00B33854">
        <w:rPr>
          <w:rFonts w:eastAsia="Times New Roman"/>
          <w:lang w:eastAsia="de-DE"/>
        </w:rPr>
        <w:t xml:space="preserve">(„anhangen, </w:t>
      </w:r>
      <w:proofErr w:type="spellStart"/>
      <w:r w:rsidRPr="00B33854">
        <w:rPr>
          <w:rFonts w:eastAsia="Times New Roman"/>
          <w:lang w:eastAsia="de-DE"/>
        </w:rPr>
        <w:t>festhalten</w:t>
      </w:r>
      <w:proofErr w:type="spellEnd"/>
      <w:r w:rsidRPr="00B33854">
        <w:rPr>
          <w:rFonts w:eastAsia="Times New Roman"/>
          <w:lang w:eastAsia="de-DE"/>
        </w:rPr>
        <w:t xml:space="preserve"> an") mit Artikel. Das Partizip fungiert hier als substantiviertes Attribut zu </w:t>
      </w:r>
      <w:r w:rsidRPr="00B33854">
        <w:rPr>
          <w:rFonts w:eastAsia="Times New Roman"/>
          <w:b/>
          <w:bCs/>
          <w:rtl/>
          <w:lang w:eastAsia="de-DE"/>
        </w:rPr>
        <w:t>אַתֶּם</w:t>
      </w:r>
      <w:r w:rsidRPr="00B33854">
        <w:rPr>
          <w:rFonts w:eastAsia="Times New Roman"/>
          <w:rtl/>
          <w:lang w:eastAsia="de-DE"/>
        </w:rPr>
        <w:t xml:space="preserve"> </w:t>
      </w:r>
      <w:r w:rsidRPr="00B33854">
        <w:rPr>
          <w:rFonts w:eastAsia="Times New Roman"/>
          <w:lang w:eastAsia="de-DE"/>
        </w:rPr>
        <w:t xml:space="preserve">(„die ihr anhangend [wart/seid]"). </w:t>
      </w:r>
      <w:r w:rsidRPr="00B33854">
        <w:rPr>
          <w:rFonts w:eastAsia="Times New Roman"/>
          <w:b/>
          <w:bCs/>
          <w:rtl/>
          <w:lang w:eastAsia="de-DE"/>
        </w:rPr>
        <w:t>בַּיהוָה אֱלֹהֵיכֶם</w:t>
      </w:r>
      <w:r w:rsidRPr="00B33854">
        <w:rPr>
          <w:rFonts w:eastAsia="Times New Roman"/>
          <w:rtl/>
          <w:lang w:eastAsia="de-DE"/>
        </w:rPr>
        <w:t xml:space="preserve"> </w:t>
      </w:r>
      <w:r w:rsidRPr="00B33854">
        <w:rPr>
          <w:rFonts w:eastAsia="Times New Roman"/>
          <w:lang w:eastAsia="de-DE"/>
        </w:rPr>
        <w:t xml:space="preserve">ist Präposition </w:t>
      </w:r>
      <w:r w:rsidRPr="00B33854">
        <w:rPr>
          <w:rFonts w:eastAsia="Times New Roman"/>
          <w:b/>
          <w:bCs/>
          <w:rtl/>
          <w:lang w:eastAsia="de-DE"/>
        </w:rPr>
        <w:t>בְּ</w:t>
      </w:r>
      <w:r w:rsidRPr="00B33854">
        <w:rPr>
          <w:rFonts w:eastAsia="Times New Roman"/>
          <w:rtl/>
          <w:lang w:eastAsia="de-DE"/>
        </w:rPr>
        <w:t xml:space="preserve"> </w:t>
      </w:r>
      <w:r w:rsidRPr="00B33854">
        <w:rPr>
          <w:rFonts w:eastAsia="Times New Roman"/>
          <w:lang w:eastAsia="de-DE"/>
        </w:rPr>
        <w:t xml:space="preserve">mit dem Tetragramm </w:t>
      </w:r>
      <w:r w:rsidRPr="00B33854">
        <w:rPr>
          <w:rFonts w:eastAsia="Times New Roman"/>
          <w:b/>
          <w:bCs/>
          <w:rtl/>
          <w:lang w:eastAsia="de-DE"/>
        </w:rPr>
        <w:t>יְהוָה</w:t>
      </w:r>
      <w:r w:rsidRPr="00B33854">
        <w:rPr>
          <w:rFonts w:eastAsia="Times New Roman"/>
          <w:rtl/>
          <w:lang w:eastAsia="de-DE"/>
        </w:rPr>
        <w:t xml:space="preserve"> </w:t>
      </w:r>
      <w:r w:rsidRPr="00B33854">
        <w:rPr>
          <w:rFonts w:eastAsia="Times New Roman"/>
          <w:lang w:eastAsia="de-DE"/>
        </w:rPr>
        <w:t xml:space="preserve">und </w:t>
      </w:r>
      <w:r w:rsidRPr="00B33854">
        <w:rPr>
          <w:rFonts w:eastAsia="Times New Roman"/>
          <w:b/>
          <w:bCs/>
          <w:rtl/>
          <w:lang w:eastAsia="de-DE"/>
        </w:rPr>
        <w:t>אֱלֹהִים</w:t>
      </w:r>
      <w:r w:rsidRPr="00B33854">
        <w:rPr>
          <w:rFonts w:eastAsia="Times New Roman"/>
          <w:rtl/>
          <w:lang w:eastAsia="de-DE"/>
        </w:rPr>
        <w:t xml:space="preserve"> </w:t>
      </w:r>
      <w:r w:rsidRPr="00B33854">
        <w:rPr>
          <w:rFonts w:eastAsia="Times New Roman"/>
          <w:lang w:eastAsia="de-DE"/>
        </w:rPr>
        <w:t xml:space="preserve">mit Suffix 2. Person Plural maskulin. Die Präposition </w:t>
      </w:r>
      <w:r w:rsidRPr="00B33854">
        <w:rPr>
          <w:rFonts w:eastAsia="Times New Roman"/>
          <w:b/>
          <w:bCs/>
          <w:rtl/>
          <w:lang w:eastAsia="de-DE"/>
        </w:rPr>
        <w:t>בְּ</w:t>
      </w:r>
      <w:r w:rsidRPr="00B33854">
        <w:rPr>
          <w:rFonts w:eastAsia="Times New Roman"/>
          <w:rtl/>
          <w:lang w:eastAsia="de-DE"/>
        </w:rPr>
        <w:t xml:space="preserve"> </w:t>
      </w:r>
      <w:r w:rsidRPr="00B33854">
        <w:rPr>
          <w:rFonts w:eastAsia="Times New Roman"/>
          <w:lang w:eastAsia="de-DE"/>
        </w:rPr>
        <w:t>drückt hier eine enge Verbindung oder Zugehörigkeit aus.</w:t>
      </w:r>
    </w:p>
    <w:p w14:paraId="3F27AA7C"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חַיִּים</w:t>
      </w:r>
      <w:r w:rsidRPr="00B33854">
        <w:rPr>
          <w:rFonts w:eastAsia="Times New Roman"/>
          <w:rtl/>
          <w:lang w:eastAsia="de-DE"/>
        </w:rPr>
        <w:t xml:space="preserve"> </w:t>
      </w:r>
      <w:r w:rsidRPr="00B33854">
        <w:rPr>
          <w:rFonts w:eastAsia="Times New Roman"/>
          <w:lang w:eastAsia="de-DE"/>
        </w:rPr>
        <w:t xml:space="preserve">ist Qal Partizip Plural maskulin von </w:t>
      </w:r>
      <w:r w:rsidRPr="00B33854">
        <w:rPr>
          <w:rFonts w:eastAsia="Times New Roman"/>
          <w:b/>
          <w:bCs/>
          <w:rtl/>
          <w:lang w:eastAsia="de-DE"/>
        </w:rPr>
        <w:t>חיה</w:t>
      </w:r>
      <w:r w:rsidRPr="00B33854">
        <w:rPr>
          <w:rFonts w:eastAsia="Times New Roman"/>
          <w:rtl/>
          <w:lang w:eastAsia="de-DE"/>
        </w:rPr>
        <w:t xml:space="preserve"> </w:t>
      </w:r>
      <w:r w:rsidRPr="00B33854">
        <w:rPr>
          <w:rFonts w:eastAsia="Times New Roman"/>
          <w:lang w:eastAsia="de-DE"/>
        </w:rPr>
        <w:t xml:space="preserve">(„leben, lebend sein") – als Prädikatsnomen. </w:t>
      </w:r>
      <w:r w:rsidRPr="00B33854">
        <w:rPr>
          <w:rFonts w:eastAsia="Times New Roman"/>
          <w:b/>
          <w:bCs/>
          <w:rtl/>
          <w:lang w:eastAsia="de-DE"/>
        </w:rPr>
        <w:t>כֻּלְּכֶם</w:t>
      </w:r>
      <w:r w:rsidRPr="00B33854">
        <w:rPr>
          <w:rFonts w:eastAsia="Times New Roman"/>
          <w:rtl/>
          <w:lang w:eastAsia="de-DE"/>
        </w:rPr>
        <w:t xml:space="preserve"> </w:t>
      </w:r>
      <w:r w:rsidRPr="00B33854">
        <w:rPr>
          <w:rFonts w:eastAsia="Times New Roman"/>
          <w:lang w:eastAsia="de-DE"/>
        </w:rPr>
        <w:t xml:space="preserve">ist </w:t>
      </w:r>
      <w:r w:rsidRPr="00B33854">
        <w:rPr>
          <w:rFonts w:eastAsia="Times New Roman"/>
          <w:b/>
          <w:bCs/>
          <w:rtl/>
          <w:lang w:eastAsia="de-DE"/>
        </w:rPr>
        <w:t>כֹּל</w:t>
      </w:r>
      <w:r w:rsidRPr="00B33854">
        <w:rPr>
          <w:rFonts w:eastAsia="Times New Roman"/>
          <w:rtl/>
          <w:lang w:eastAsia="de-DE"/>
        </w:rPr>
        <w:t xml:space="preserve"> </w:t>
      </w:r>
      <w:r w:rsidRPr="00B33854">
        <w:rPr>
          <w:rFonts w:eastAsia="Times New Roman"/>
          <w:lang w:eastAsia="de-DE"/>
        </w:rPr>
        <w:t xml:space="preserve">(„alle, ganz") mit Suffix 2. Person Plural maskulin, hier als emphatisches Adverb </w:t>
      </w:r>
      <w:r w:rsidRPr="00B33854">
        <w:rPr>
          <w:rFonts w:eastAsia="Times New Roman"/>
          <w:lang w:eastAsia="de-DE"/>
        </w:rPr>
        <w:lastRenderedPageBreak/>
        <w:t xml:space="preserve">(„ihr alle"). </w:t>
      </w:r>
      <w:r w:rsidRPr="00B33854">
        <w:rPr>
          <w:rFonts w:eastAsia="Times New Roman"/>
          <w:b/>
          <w:bCs/>
          <w:rtl/>
          <w:lang w:eastAsia="de-DE"/>
        </w:rPr>
        <w:t>הַיּוֹם</w:t>
      </w:r>
      <w:r w:rsidRPr="00B33854">
        <w:rPr>
          <w:rFonts w:eastAsia="Times New Roman"/>
          <w:rtl/>
          <w:lang w:eastAsia="de-DE"/>
        </w:rPr>
        <w:t xml:space="preserve"> </w:t>
      </w:r>
      <w:r w:rsidRPr="00B33854">
        <w:rPr>
          <w:rFonts w:eastAsia="Times New Roman"/>
          <w:lang w:eastAsia="de-DE"/>
        </w:rPr>
        <w:t xml:space="preserve">ist ein temporales Adverb: </w:t>
      </w:r>
      <w:r w:rsidRPr="00B33854">
        <w:rPr>
          <w:rFonts w:eastAsia="Times New Roman"/>
          <w:b/>
          <w:bCs/>
          <w:rtl/>
          <w:lang w:eastAsia="de-DE"/>
        </w:rPr>
        <w:t>יוֹם</w:t>
      </w:r>
      <w:r w:rsidRPr="00B33854">
        <w:rPr>
          <w:rFonts w:eastAsia="Times New Roman"/>
          <w:rtl/>
          <w:lang w:eastAsia="de-DE"/>
        </w:rPr>
        <w:t xml:space="preserve"> </w:t>
      </w:r>
      <w:r w:rsidRPr="00B33854">
        <w:rPr>
          <w:rFonts w:eastAsia="Times New Roman"/>
          <w:lang w:eastAsia="de-DE"/>
        </w:rPr>
        <w:t>(„Tag") mit Artikel, idiomatisch „heute, am heutigen Tag".</w:t>
      </w:r>
    </w:p>
    <w:p w14:paraId="6FC43647" w14:textId="59A879BB"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 xml:space="preserve">Der Kontrast zwischen Vers 3 und Vers 4 ist strukturell und theologisch zentral: Die einen (Götzendienern) wurden </w:t>
      </w:r>
      <w:r w:rsidRPr="00B33854">
        <w:rPr>
          <w:rFonts w:eastAsia="Times New Roman"/>
          <w:b/>
          <w:bCs/>
          <w:rtl/>
          <w:lang w:eastAsia="de-DE"/>
        </w:rPr>
        <w:t>הִשְׁמִידוֹ</w:t>
      </w:r>
      <w:r w:rsidRPr="00B33854">
        <w:rPr>
          <w:rFonts w:eastAsia="Times New Roman"/>
          <w:rtl/>
          <w:lang w:eastAsia="de-DE"/>
        </w:rPr>
        <w:t xml:space="preserve"> </w:t>
      </w:r>
      <w:r w:rsidRPr="00B33854">
        <w:rPr>
          <w:rFonts w:eastAsia="Times New Roman"/>
          <w:lang w:eastAsia="de-DE"/>
        </w:rPr>
        <w:t>(„vernichtet"), die anderen (</w:t>
      </w:r>
      <w:r w:rsidR="00ED2181">
        <w:rPr>
          <w:rFonts w:eastAsia="Times New Roman"/>
          <w:lang w:eastAsia="de-DE"/>
        </w:rPr>
        <w:t>JHWHs</w:t>
      </w:r>
      <w:r w:rsidR="00ED2181" w:rsidRPr="00B33854">
        <w:rPr>
          <w:rFonts w:eastAsia="Times New Roman"/>
          <w:lang w:eastAsia="de-DE"/>
        </w:rPr>
        <w:t xml:space="preserve"> </w:t>
      </w:r>
      <w:r w:rsidRPr="00B33854">
        <w:rPr>
          <w:rFonts w:eastAsia="Times New Roman"/>
          <w:lang w:eastAsia="de-DE"/>
        </w:rPr>
        <w:t xml:space="preserve">-Treue) sind </w:t>
      </w:r>
      <w:r w:rsidRPr="00B33854">
        <w:rPr>
          <w:rFonts w:eastAsia="Times New Roman"/>
          <w:b/>
          <w:bCs/>
          <w:rtl/>
          <w:lang w:eastAsia="de-DE"/>
        </w:rPr>
        <w:t>חַיִּים</w:t>
      </w:r>
      <w:r w:rsidRPr="00B33854">
        <w:rPr>
          <w:rFonts w:eastAsia="Times New Roman"/>
          <w:rtl/>
          <w:lang w:eastAsia="de-DE"/>
        </w:rPr>
        <w:t xml:space="preserve"> </w:t>
      </w:r>
      <w:r w:rsidRPr="00B33854">
        <w:rPr>
          <w:rFonts w:eastAsia="Times New Roman"/>
          <w:lang w:eastAsia="de-DE"/>
        </w:rPr>
        <w:t xml:space="preserve">(„lebend"). Das Verb </w:t>
      </w:r>
      <w:r w:rsidRPr="00B33854">
        <w:rPr>
          <w:rFonts w:eastAsia="Times New Roman"/>
          <w:b/>
          <w:bCs/>
          <w:rtl/>
          <w:lang w:eastAsia="de-DE"/>
        </w:rPr>
        <w:t>דבק</w:t>
      </w:r>
      <w:r w:rsidRPr="00B33854">
        <w:rPr>
          <w:rFonts w:eastAsia="Times New Roman"/>
          <w:rtl/>
          <w:lang w:eastAsia="de-DE"/>
        </w:rPr>
        <w:t xml:space="preserve"> </w:t>
      </w:r>
      <w:r w:rsidRPr="00B33854">
        <w:rPr>
          <w:rFonts w:eastAsia="Times New Roman"/>
          <w:lang w:eastAsia="de-DE"/>
        </w:rPr>
        <w:t xml:space="preserve">(„anhangen") bezeichnet im Deuteronomium die richtige Beziehung zwischen Israel und </w:t>
      </w:r>
      <w:r w:rsidR="00ED2181">
        <w:rPr>
          <w:rFonts w:eastAsia="Times New Roman"/>
          <w:lang w:eastAsia="de-DE"/>
        </w:rPr>
        <w:t>JHWH</w:t>
      </w:r>
      <w:r w:rsidRPr="00B33854">
        <w:rPr>
          <w:rFonts w:eastAsia="Times New Roman"/>
          <w:lang w:eastAsia="de-DE"/>
        </w:rPr>
        <w:t xml:space="preserve"> und steht im Gegensatz zu </w:t>
      </w:r>
      <w:r w:rsidRPr="00B33854">
        <w:rPr>
          <w:rFonts w:eastAsia="Times New Roman"/>
          <w:b/>
          <w:bCs/>
          <w:rtl/>
          <w:lang w:eastAsia="de-DE"/>
        </w:rPr>
        <w:t>הלך אַחֲרֵי</w:t>
      </w:r>
      <w:r w:rsidRPr="00B33854">
        <w:rPr>
          <w:rFonts w:eastAsia="Times New Roman"/>
          <w:rtl/>
          <w:lang w:eastAsia="de-DE"/>
        </w:rPr>
        <w:t xml:space="preserve"> </w:t>
      </w:r>
      <w:r w:rsidRPr="00B33854">
        <w:rPr>
          <w:rFonts w:eastAsia="Times New Roman"/>
          <w:lang w:eastAsia="de-DE"/>
        </w:rPr>
        <w:t>(„nachgehen") in Bezug auf fremde Götter.</w:t>
      </w:r>
    </w:p>
    <w:p w14:paraId="55633CD3"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Die Satzstruktur ist ein nominaler Satz mit adversativem Pronomen als Subjekt, partizipialem Attribut mit präpositionaler Ergänzung, partizipialem Prädikatsnomen, emphatischem Adverb und temporalem Adverb. Die elliptische Struktur (ohne finites Verb) verleiht der Aussage Unmittelbarkeit und Prägnanz.</w:t>
      </w:r>
    </w:p>
    <w:p w14:paraId="5B214E61" w14:textId="311D15F1"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 xml:space="preserve">Der Vers bildet den positiven Gegenpol zum vorigen: Wer </w:t>
      </w:r>
      <w:r w:rsidR="00ED2181">
        <w:rPr>
          <w:rFonts w:eastAsia="Times New Roman"/>
          <w:lang w:eastAsia="de-DE"/>
        </w:rPr>
        <w:t>JHWH</w:t>
      </w:r>
      <w:r w:rsidRPr="00B33854">
        <w:rPr>
          <w:rFonts w:eastAsia="Times New Roman"/>
          <w:lang w:eastAsia="de-DE"/>
        </w:rPr>
        <w:t xml:space="preserve"> treu geblieben ist, lebt heute noch – ein lebendiger Beweis für den Segen des Gehorsams.</w:t>
      </w:r>
    </w:p>
    <w:p w14:paraId="27C8D660"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4,5</w:t>
      </w:r>
    </w:p>
    <w:p w14:paraId="5ED4F35F"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רְאֵ֣ה׀ לִמַּ֣דְתִּי אֶתְכֶ֗ם חֻקִּים֙ וּמִשְׁפָּטִ֔ים כַּאֲשֶׁ֥ר צִוַּ֖נִי יְהוָ֣ה אֱלֹהָ֑י לַעֲשׂ֣וֹת כֵּ֔ן בְּקֶ֣רֶב הָאָ֔רֶץ אֲשֶׁ֥ר אַתֶּ֛ם בָּאִ֥ים שָׁ֖מָּה לְרִשְׁתָּֽהּ׃</w:t>
      </w:r>
    </w:p>
    <w:p w14:paraId="2A895CD4"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Siehe, ich habe euch Gesetze und Rechtsvorschriften gelehrt, wie mir der Ewige, mein Gott, geboten hat, damit ihr danach handelt inmitten des Landes, in das ihr kommend seid, um es in Besitz zu nehmen.</w:t>
      </w:r>
    </w:p>
    <w:p w14:paraId="72BAF845"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65D57DC7">
          <v:rect id="_x0000_i1141" style="width:0;height:1.5pt" o:hralign="center" o:hrstd="t" o:hr="t" fillcolor="#a0a0a0" stroked="f"/>
        </w:pict>
      </w:r>
    </w:p>
    <w:p w14:paraId="09D3654F"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רְאֵה</w:t>
      </w:r>
      <w:r w:rsidRPr="00B33854">
        <w:rPr>
          <w:rFonts w:eastAsia="Times New Roman"/>
          <w:rtl/>
          <w:lang w:eastAsia="de-DE"/>
        </w:rPr>
        <w:t xml:space="preserve"> </w:t>
      </w:r>
      <w:r w:rsidRPr="00B33854">
        <w:rPr>
          <w:rFonts w:eastAsia="Times New Roman"/>
          <w:lang w:eastAsia="de-DE"/>
        </w:rPr>
        <w:t xml:space="preserve">ist Qal Imperativ, 2. Person Singular maskulin von </w:t>
      </w:r>
      <w:r w:rsidRPr="00B33854">
        <w:rPr>
          <w:rFonts w:eastAsia="Times New Roman"/>
          <w:b/>
          <w:bCs/>
          <w:rtl/>
          <w:lang w:eastAsia="de-DE"/>
        </w:rPr>
        <w:t>ראה</w:t>
      </w:r>
      <w:r w:rsidRPr="00B33854">
        <w:rPr>
          <w:rFonts w:eastAsia="Times New Roman"/>
          <w:rtl/>
          <w:lang w:eastAsia="de-DE"/>
        </w:rPr>
        <w:t xml:space="preserve"> </w:t>
      </w:r>
      <w:r w:rsidRPr="00B33854">
        <w:rPr>
          <w:rFonts w:eastAsia="Times New Roman"/>
          <w:lang w:eastAsia="de-DE"/>
        </w:rPr>
        <w:t xml:space="preserve">(„sehen"), hier als Aufmerksamkeitspartikel („siehe!, beachte!"). </w:t>
      </w:r>
      <w:r w:rsidRPr="00B33854">
        <w:rPr>
          <w:rFonts w:eastAsia="Times New Roman"/>
          <w:b/>
          <w:bCs/>
          <w:rtl/>
          <w:lang w:eastAsia="de-DE"/>
        </w:rPr>
        <w:t>לִמַּדְתִּי</w:t>
      </w:r>
      <w:r w:rsidRPr="00B33854">
        <w:rPr>
          <w:rFonts w:eastAsia="Times New Roman"/>
          <w:rtl/>
          <w:lang w:eastAsia="de-DE"/>
        </w:rPr>
        <w:t xml:space="preserve"> </w:t>
      </w:r>
      <w:r w:rsidRPr="00B33854">
        <w:rPr>
          <w:rFonts w:eastAsia="Times New Roman"/>
          <w:lang w:eastAsia="de-DE"/>
        </w:rPr>
        <w:t xml:space="preserve">ist Piel Perfekt, 1. Person Singular von </w:t>
      </w:r>
      <w:r w:rsidRPr="00B33854">
        <w:rPr>
          <w:rFonts w:eastAsia="Times New Roman"/>
          <w:b/>
          <w:bCs/>
          <w:rtl/>
          <w:lang w:eastAsia="de-DE"/>
        </w:rPr>
        <w:t>למד</w:t>
      </w:r>
      <w:r w:rsidRPr="00B33854">
        <w:rPr>
          <w:rFonts w:eastAsia="Times New Roman"/>
          <w:rtl/>
          <w:lang w:eastAsia="de-DE"/>
        </w:rPr>
        <w:t xml:space="preserve"> </w:t>
      </w:r>
      <w:r w:rsidRPr="00B33854">
        <w:rPr>
          <w:rFonts w:eastAsia="Times New Roman"/>
          <w:lang w:eastAsia="de-DE"/>
        </w:rPr>
        <w:t xml:space="preserve">(„lehren"). </w:t>
      </w:r>
      <w:r w:rsidRPr="00B33854">
        <w:rPr>
          <w:rFonts w:eastAsia="Times New Roman"/>
          <w:b/>
          <w:bCs/>
          <w:rtl/>
          <w:lang w:eastAsia="de-DE"/>
        </w:rPr>
        <w:t>אֶתְכֶם</w:t>
      </w:r>
      <w:r w:rsidRPr="00B33854">
        <w:rPr>
          <w:rFonts w:eastAsia="Times New Roman"/>
          <w:rtl/>
          <w:lang w:eastAsia="de-DE"/>
        </w:rPr>
        <w:t xml:space="preserve"> </w:t>
      </w:r>
      <w:r w:rsidRPr="00B33854">
        <w:rPr>
          <w:rFonts w:eastAsia="Times New Roman"/>
          <w:lang w:eastAsia="de-DE"/>
        </w:rPr>
        <w:t xml:space="preserve">ist nota accusativi mit Suffix 2. Person Plural maskulin. </w:t>
      </w:r>
      <w:r w:rsidRPr="00B33854">
        <w:rPr>
          <w:rFonts w:eastAsia="Times New Roman"/>
          <w:b/>
          <w:bCs/>
          <w:rtl/>
          <w:lang w:eastAsia="de-DE"/>
        </w:rPr>
        <w:t>חֻקִּים וּמִשְׁפָּטִים</w:t>
      </w:r>
      <w:r w:rsidRPr="00B33854">
        <w:rPr>
          <w:rFonts w:eastAsia="Times New Roman"/>
          <w:rtl/>
          <w:lang w:eastAsia="de-DE"/>
        </w:rPr>
        <w:t xml:space="preserve"> </w:t>
      </w:r>
      <w:r w:rsidRPr="00B33854">
        <w:rPr>
          <w:rFonts w:eastAsia="Times New Roman"/>
          <w:lang w:eastAsia="de-DE"/>
        </w:rPr>
        <w:t xml:space="preserve">ist eine koordinierte Objektkette: </w:t>
      </w:r>
      <w:r w:rsidRPr="00B33854">
        <w:rPr>
          <w:rFonts w:eastAsia="Times New Roman"/>
          <w:b/>
          <w:bCs/>
          <w:rtl/>
          <w:lang w:eastAsia="de-DE"/>
        </w:rPr>
        <w:t>חֻקִּים</w:t>
      </w:r>
      <w:r w:rsidRPr="00B33854">
        <w:rPr>
          <w:rFonts w:eastAsia="Times New Roman"/>
          <w:rtl/>
          <w:lang w:eastAsia="de-DE"/>
        </w:rPr>
        <w:t xml:space="preserve"> </w:t>
      </w:r>
      <w:r w:rsidRPr="00B33854">
        <w:rPr>
          <w:rFonts w:eastAsia="Times New Roman"/>
          <w:lang w:eastAsia="de-DE"/>
        </w:rPr>
        <w:t xml:space="preserve">(„Satzungen", Plural ohne Artikel) und </w:t>
      </w:r>
      <w:r w:rsidRPr="00B33854">
        <w:rPr>
          <w:rFonts w:eastAsia="Times New Roman"/>
          <w:b/>
          <w:bCs/>
          <w:rtl/>
          <w:lang w:eastAsia="de-DE"/>
        </w:rPr>
        <w:t>וּמִשְׁפָּטִים</w:t>
      </w:r>
      <w:r w:rsidRPr="00B33854">
        <w:rPr>
          <w:rFonts w:eastAsia="Times New Roman"/>
          <w:rtl/>
          <w:lang w:eastAsia="de-DE"/>
        </w:rPr>
        <w:t xml:space="preserve"> </w:t>
      </w:r>
      <w:r w:rsidRPr="00B33854">
        <w:rPr>
          <w:rFonts w:eastAsia="Times New Roman"/>
          <w:lang w:eastAsia="de-DE"/>
        </w:rPr>
        <w:t>(„Rechtsbestimmungen", Plural ohne Artikel).</w:t>
      </w:r>
    </w:p>
    <w:p w14:paraId="0DE22D18" w14:textId="448A542F"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כַּאֲשֶׁר צִוַּנִי יְהוָה אֱלֹהָי</w:t>
      </w:r>
      <w:r w:rsidRPr="00B33854">
        <w:rPr>
          <w:rFonts w:eastAsia="Times New Roman"/>
          <w:rtl/>
          <w:lang w:eastAsia="de-DE"/>
        </w:rPr>
        <w:t xml:space="preserve"> </w:t>
      </w:r>
      <w:r w:rsidRPr="00B33854">
        <w:rPr>
          <w:rFonts w:eastAsia="Times New Roman"/>
          <w:lang w:eastAsia="de-DE"/>
        </w:rPr>
        <w:t xml:space="preserve">ist ein Vergleichssatz: </w:t>
      </w:r>
      <w:r w:rsidRPr="00B33854">
        <w:rPr>
          <w:rFonts w:eastAsia="Times New Roman"/>
          <w:b/>
          <w:bCs/>
          <w:rtl/>
          <w:lang w:eastAsia="de-DE"/>
        </w:rPr>
        <w:t>כַּאֲשֶׁר</w:t>
      </w:r>
      <w:r w:rsidRPr="00B33854">
        <w:rPr>
          <w:rFonts w:eastAsia="Times New Roman"/>
          <w:rtl/>
          <w:lang w:eastAsia="de-DE"/>
        </w:rPr>
        <w:t xml:space="preserve"> </w:t>
      </w:r>
      <w:r w:rsidRPr="00B33854">
        <w:rPr>
          <w:rFonts w:eastAsia="Times New Roman"/>
          <w:lang w:eastAsia="de-DE"/>
        </w:rPr>
        <w:t xml:space="preserve">(„wie, sowie"), </w:t>
      </w:r>
      <w:r w:rsidRPr="00B33854">
        <w:rPr>
          <w:rFonts w:eastAsia="Times New Roman"/>
          <w:b/>
          <w:bCs/>
          <w:rtl/>
          <w:lang w:eastAsia="de-DE"/>
        </w:rPr>
        <w:t>צִוַּנִי</w:t>
      </w:r>
      <w:r w:rsidRPr="00B33854">
        <w:rPr>
          <w:rFonts w:eastAsia="Times New Roman"/>
          <w:rtl/>
          <w:lang w:eastAsia="de-DE"/>
        </w:rPr>
        <w:t xml:space="preserve"> </w:t>
      </w:r>
      <w:r w:rsidRPr="00B33854">
        <w:rPr>
          <w:rFonts w:eastAsia="Times New Roman"/>
          <w:lang w:eastAsia="de-DE"/>
        </w:rPr>
        <w:t xml:space="preserve">(Piel Perfekt, 3. Person Singular maskulin von </w:t>
      </w:r>
      <w:r w:rsidRPr="00B33854">
        <w:rPr>
          <w:rFonts w:eastAsia="Times New Roman"/>
          <w:b/>
          <w:bCs/>
          <w:rtl/>
          <w:lang w:eastAsia="de-DE"/>
        </w:rPr>
        <w:t>צוה</w:t>
      </w:r>
      <w:r w:rsidRPr="00B33854">
        <w:rPr>
          <w:rFonts w:eastAsia="Times New Roman"/>
          <w:rtl/>
          <w:lang w:eastAsia="de-DE"/>
        </w:rPr>
        <w:t xml:space="preserve"> </w:t>
      </w:r>
      <w:r w:rsidRPr="00B33854">
        <w:rPr>
          <w:rFonts w:eastAsia="Times New Roman"/>
          <w:lang w:eastAsia="de-DE"/>
        </w:rPr>
        <w:t xml:space="preserve">mit Suffix 1. Person Singular als direktes Objekt), </w:t>
      </w:r>
      <w:r w:rsidRPr="00B33854">
        <w:rPr>
          <w:rFonts w:eastAsia="Times New Roman"/>
          <w:b/>
          <w:bCs/>
          <w:rtl/>
          <w:lang w:eastAsia="de-DE"/>
        </w:rPr>
        <w:t>יְהוָה אֱלֹהָי</w:t>
      </w:r>
      <w:r w:rsidRPr="00B33854">
        <w:rPr>
          <w:rFonts w:eastAsia="Times New Roman"/>
          <w:rtl/>
          <w:lang w:eastAsia="de-DE"/>
        </w:rPr>
        <w:t xml:space="preserve"> </w:t>
      </w:r>
      <w:r w:rsidRPr="00B33854">
        <w:rPr>
          <w:rFonts w:eastAsia="Times New Roman"/>
          <w:lang w:eastAsia="de-DE"/>
        </w:rPr>
        <w:t>als erweitertes Subjekt mit Suffix 1. Person Singular. Dieser Satz legitimiert Moses Lehrtätigkeit durch göttlichen Auftrag.</w:t>
      </w:r>
    </w:p>
    <w:p w14:paraId="38E89755"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לַעֲשׂוֹת כֵּן</w:t>
      </w:r>
      <w:r w:rsidRPr="00B33854">
        <w:rPr>
          <w:rFonts w:eastAsia="Times New Roman"/>
          <w:rtl/>
          <w:lang w:eastAsia="de-DE"/>
        </w:rPr>
        <w:t xml:space="preserve"> </w:t>
      </w:r>
      <w:r w:rsidRPr="00B33854">
        <w:rPr>
          <w:rFonts w:eastAsia="Times New Roman"/>
          <w:lang w:eastAsia="de-DE"/>
        </w:rPr>
        <w:t xml:space="preserve">ist eine finale Konstruktion: </w:t>
      </w:r>
      <w:r w:rsidRPr="00B33854">
        <w:rPr>
          <w:rFonts w:eastAsia="Times New Roman"/>
          <w:b/>
          <w:bCs/>
          <w:rtl/>
          <w:lang w:eastAsia="de-DE"/>
        </w:rPr>
        <w:t>לַעֲשׂוֹת</w:t>
      </w:r>
      <w:r w:rsidRPr="00B33854">
        <w:rPr>
          <w:rFonts w:eastAsia="Times New Roman"/>
          <w:rtl/>
          <w:lang w:eastAsia="de-DE"/>
        </w:rPr>
        <w:t xml:space="preserve"> </w:t>
      </w:r>
      <w:r w:rsidRPr="00B33854">
        <w:rPr>
          <w:rFonts w:eastAsia="Times New Roman"/>
          <w:lang w:eastAsia="de-DE"/>
        </w:rPr>
        <w:t xml:space="preserve">(Qal Infinitiv Construct von </w:t>
      </w:r>
      <w:r w:rsidRPr="00B33854">
        <w:rPr>
          <w:rFonts w:eastAsia="Times New Roman"/>
          <w:b/>
          <w:bCs/>
          <w:rtl/>
          <w:lang w:eastAsia="de-DE"/>
        </w:rPr>
        <w:t>עשׂה</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לְ</w:t>
      </w:r>
      <w:r w:rsidRPr="00B33854">
        <w:rPr>
          <w:rFonts w:eastAsia="Times New Roman"/>
          <w:lang w:eastAsia="de-DE"/>
        </w:rPr>
        <w:t xml:space="preserve">), </w:t>
      </w:r>
      <w:r w:rsidRPr="00B33854">
        <w:rPr>
          <w:rFonts w:eastAsia="Times New Roman"/>
          <w:b/>
          <w:bCs/>
          <w:rtl/>
          <w:lang w:eastAsia="de-DE"/>
        </w:rPr>
        <w:t>כֵּן</w:t>
      </w:r>
      <w:r w:rsidRPr="00B33854">
        <w:rPr>
          <w:rFonts w:eastAsia="Times New Roman"/>
          <w:rtl/>
          <w:lang w:eastAsia="de-DE"/>
        </w:rPr>
        <w:t xml:space="preserve"> </w:t>
      </w:r>
      <w:r w:rsidRPr="00B33854">
        <w:rPr>
          <w:rFonts w:eastAsia="Times New Roman"/>
          <w:lang w:eastAsia="de-DE"/>
        </w:rPr>
        <w:t xml:space="preserve">als deiktisches Adverb („so, entsprechend"), das sich auf die genannten </w:t>
      </w:r>
      <w:r w:rsidRPr="00B33854">
        <w:rPr>
          <w:rFonts w:eastAsia="Times New Roman"/>
          <w:b/>
          <w:bCs/>
          <w:rtl/>
          <w:lang w:eastAsia="de-DE"/>
        </w:rPr>
        <w:t>חֻקִּים וּמִשְׁפָּטִים</w:t>
      </w:r>
      <w:r w:rsidRPr="00B33854">
        <w:rPr>
          <w:rFonts w:eastAsia="Times New Roman"/>
          <w:rtl/>
          <w:lang w:eastAsia="de-DE"/>
        </w:rPr>
        <w:t xml:space="preserve"> </w:t>
      </w:r>
      <w:r w:rsidRPr="00B33854">
        <w:rPr>
          <w:rFonts w:eastAsia="Times New Roman"/>
          <w:lang w:eastAsia="de-DE"/>
        </w:rPr>
        <w:t xml:space="preserve">bezieht. </w:t>
      </w:r>
      <w:r w:rsidRPr="00B33854">
        <w:rPr>
          <w:rFonts w:eastAsia="Times New Roman"/>
          <w:b/>
          <w:bCs/>
          <w:rtl/>
          <w:lang w:eastAsia="de-DE"/>
        </w:rPr>
        <w:t>בְּקֶרֶב הָאָרֶץ</w:t>
      </w:r>
      <w:r w:rsidRPr="00B33854">
        <w:rPr>
          <w:rFonts w:eastAsia="Times New Roman"/>
          <w:rtl/>
          <w:lang w:eastAsia="de-DE"/>
        </w:rPr>
        <w:t xml:space="preserve"> </w:t>
      </w:r>
      <w:r w:rsidRPr="00B33854">
        <w:rPr>
          <w:rFonts w:eastAsia="Times New Roman"/>
          <w:lang w:eastAsia="de-DE"/>
        </w:rPr>
        <w:t xml:space="preserve">ist Präposition </w:t>
      </w:r>
      <w:r w:rsidRPr="00B33854">
        <w:rPr>
          <w:rFonts w:eastAsia="Times New Roman"/>
          <w:b/>
          <w:bCs/>
          <w:rtl/>
          <w:lang w:eastAsia="de-DE"/>
        </w:rPr>
        <w:t>בְּ</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קֶרֶב</w:t>
      </w:r>
      <w:r w:rsidRPr="00B33854">
        <w:rPr>
          <w:rFonts w:eastAsia="Times New Roman"/>
          <w:rtl/>
          <w:lang w:eastAsia="de-DE"/>
        </w:rPr>
        <w:t xml:space="preserve"> </w:t>
      </w:r>
      <w:r w:rsidRPr="00B33854">
        <w:rPr>
          <w:rFonts w:eastAsia="Times New Roman"/>
          <w:lang w:eastAsia="de-DE"/>
        </w:rPr>
        <w:t xml:space="preserve">(„Mitte, Inneres") im Construct und </w:t>
      </w:r>
      <w:r w:rsidRPr="00B33854">
        <w:rPr>
          <w:rFonts w:eastAsia="Times New Roman"/>
          <w:b/>
          <w:bCs/>
          <w:rtl/>
          <w:lang w:eastAsia="de-DE"/>
        </w:rPr>
        <w:t>הָאָרֶץ</w:t>
      </w:r>
      <w:r w:rsidRPr="00B33854">
        <w:rPr>
          <w:rFonts w:eastAsia="Times New Roman"/>
          <w:rtl/>
          <w:lang w:eastAsia="de-DE"/>
        </w:rPr>
        <w:t xml:space="preserve"> </w:t>
      </w:r>
      <w:r w:rsidRPr="00B33854">
        <w:rPr>
          <w:rFonts w:eastAsia="Times New Roman"/>
          <w:lang w:eastAsia="de-DE"/>
        </w:rPr>
        <w:t xml:space="preserve">– „inmitten des Landes". </w:t>
      </w:r>
      <w:r w:rsidRPr="00B33854">
        <w:rPr>
          <w:rFonts w:eastAsia="Times New Roman"/>
          <w:b/>
          <w:bCs/>
          <w:rtl/>
          <w:lang w:eastAsia="de-DE"/>
        </w:rPr>
        <w:t>אֲשֶׁר אַתֶּם בָּאִים שָׁמָּה לְרִשְׁתָּהּ</w:t>
      </w:r>
      <w:r w:rsidRPr="00B33854">
        <w:rPr>
          <w:rFonts w:eastAsia="Times New Roman"/>
          <w:rtl/>
          <w:lang w:eastAsia="de-DE"/>
        </w:rPr>
        <w:t xml:space="preserve"> </w:t>
      </w:r>
      <w:r w:rsidRPr="00B33854">
        <w:rPr>
          <w:rFonts w:eastAsia="Times New Roman"/>
          <w:lang w:eastAsia="de-DE"/>
        </w:rPr>
        <w:t xml:space="preserve">ist ein Relativsatz: </w:t>
      </w:r>
      <w:r w:rsidRPr="00B33854">
        <w:rPr>
          <w:rFonts w:eastAsia="Times New Roman"/>
          <w:b/>
          <w:bCs/>
          <w:rtl/>
          <w:lang w:eastAsia="de-DE"/>
        </w:rPr>
        <w:t>אֲשֶׁר</w:t>
      </w:r>
      <w:r w:rsidRPr="00B33854">
        <w:rPr>
          <w:rFonts w:eastAsia="Times New Roman"/>
          <w:rtl/>
          <w:lang w:eastAsia="de-DE"/>
        </w:rPr>
        <w:t xml:space="preserve"> </w:t>
      </w:r>
      <w:r w:rsidRPr="00B33854">
        <w:rPr>
          <w:rFonts w:eastAsia="Times New Roman"/>
          <w:lang w:eastAsia="de-DE"/>
        </w:rPr>
        <w:t xml:space="preserve">als Relativpronomen, </w:t>
      </w:r>
      <w:r w:rsidRPr="00B33854">
        <w:rPr>
          <w:rFonts w:eastAsia="Times New Roman"/>
          <w:b/>
          <w:bCs/>
          <w:rtl/>
          <w:lang w:eastAsia="de-DE"/>
        </w:rPr>
        <w:t>אַתֶּם</w:t>
      </w:r>
      <w:r w:rsidRPr="00B33854">
        <w:rPr>
          <w:rFonts w:eastAsia="Times New Roman"/>
          <w:rtl/>
          <w:lang w:eastAsia="de-DE"/>
        </w:rPr>
        <w:t xml:space="preserve"> </w:t>
      </w:r>
      <w:r w:rsidRPr="00B33854">
        <w:rPr>
          <w:rFonts w:eastAsia="Times New Roman"/>
          <w:lang w:eastAsia="de-DE"/>
        </w:rPr>
        <w:t xml:space="preserve">als Subjekt, </w:t>
      </w:r>
      <w:r w:rsidRPr="00B33854">
        <w:rPr>
          <w:rFonts w:eastAsia="Times New Roman"/>
          <w:b/>
          <w:bCs/>
          <w:rtl/>
          <w:lang w:eastAsia="de-DE"/>
        </w:rPr>
        <w:t>בָּאִים</w:t>
      </w:r>
      <w:r w:rsidRPr="00B33854">
        <w:rPr>
          <w:rFonts w:eastAsia="Times New Roman"/>
          <w:rtl/>
          <w:lang w:eastAsia="de-DE"/>
        </w:rPr>
        <w:t xml:space="preserve"> </w:t>
      </w:r>
      <w:r w:rsidRPr="00B33854">
        <w:rPr>
          <w:rFonts w:eastAsia="Times New Roman"/>
          <w:lang w:eastAsia="de-DE"/>
        </w:rPr>
        <w:t xml:space="preserve">als Qal Partizip Plural maskulin von </w:t>
      </w:r>
      <w:r w:rsidRPr="00B33854">
        <w:rPr>
          <w:rFonts w:eastAsia="Times New Roman"/>
          <w:b/>
          <w:bCs/>
          <w:rtl/>
          <w:lang w:eastAsia="de-DE"/>
        </w:rPr>
        <w:t>בוא</w:t>
      </w:r>
      <w:r w:rsidRPr="00B33854">
        <w:rPr>
          <w:rFonts w:eastAsia="Times New Roman"/>
          <w:rtl/>
          <w:lang w:eastAsia="de-DE"/>
        </w:rPr>
        <w:t xml:space="preserve"> </w:t>
      </w:r>
      <w:r w:rsidRPr="00B33854">
        <w:rPr>
          <w:rFonts w:eastAsia="Times New Roman"/>
          <w:lang w:eastAsia="de-DE"/>
        </w:rPr>
        <w:t xml:space="preserve">(„kommen, kommend"), </w:t>
      </w:r>
      <w:r w:rsidRPr="00B33854">
        <w:rPr>
          <w:rFonts w:eastAsia="Times New Roman"/>
          <w:b/>
          <w:bCs/>
          <w:rtl/>
          <w:lang w:eastAsia="de-DE"/>
        </w:rPr>
        <w:t>שָׁמָּה</w:t>
      </w:r>
      <w:r w:rsidRPr="00B33854">
        <w:rPr>
          <w:rFonts w:eastAsia="Times New Roman"/>
          <w:rtl/>
          <w:lang w:eastAsia="de-DE"/>
        </w:rPr>
        <w:t xml:space="preserve"> </w:t>
      </w:r>
      <w:r w:rsidRPr="00B33854">
        <w:rPr>
          <w:rFonts w:eastAsia="Times New Roman"/>
          <w:lang w:eastAsia="de-DE"/>
        </w:rPr>
        <w:t xml:space="preserve">als Richtungsadverb („dorthin"), </w:t>
      </w:r>
      <w:r w:rsidRPr="00B33854">
        <w:rPr>
          <w:rFonts w:eastAsia="Times New Roman"/>
          <w:b/>
          <w:bCs/>
          <w:rtl/>
          <w:lang w:eastAsia="de-DE"/>
        </w:rPr>
        <w:t>לְרִשְׁתָּהּ</w:t>
      </w:r>
      <w:r w:rsidRPr="00B33854">
        <w:rPr>
          <w:rFonts w:eastAsia="Times New Roman"/>
          <w:rtl/>
          <w:lang w:eastAsia="de-DE"/>
        </w:rPr>
        <w:t xml:space="preserve"> </w:t>
      </w:r>
      <w:r w:rsidRPr="00B33854">
        <w:rPr>
          <w:rFonts w:eastAsia="Times New Roman"/>
          <w:lang w:eastAsia="de-DE"/>
        </w:rPr>
        <w:t xml:space="preserve">als Qal Infinitiv Construct von </w:t>
      </w:r>
      <w:r w:rsidRPr="00B33854">
        <w:rPr>
          <w:rFonts w:eastAsia="Times New Roman"/>
          <w:b/>
          <w:bCs/>
          <w:rtl/>
          <w:lang w:eastAsia="de-DE"/>
        </w:rPr>
        <w:t>ירשׁ</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לְ</w:t>
      </w:r>
      <w:r w:rsidRPr="00B33854">
        <w:rPr>
          <w:rFonts w:eastAsia="Times New Roman"/>
          <w:rtl/>
          <w:lang w:eastAsia="de-DE"/>
        </w:rPr>
        <w:t xml:space="preserve"> </w:t>
      </w:r>
      <w:r w:rsidRPr="00B33854">
        <w:rPr>
          <w:rFonts w:eastAsia="Times New Roman"/>
          <w:lang w:eastAsia="de-DE"/>
        </w:rPr>
        <w:t>(final) und Suffix 3. Person Singular feminin.</w:t>
      </w:r>
    </w:p>
    <w:p w14:paraId="4E0278C3" w14:textId="07EAEC3D"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lastRenderedPageBreak/>
        <w:t xml:space="preserve">Die Satzstruktur besteht aus einer Aufmerksamkeitspartikel, einem Hauptsatz mit Perfekt-Prädikat und zweigliedriger Objektkette, einem Vergleichssatz zur Legitimation, einer finalen Infinitivkonstruktion mit deiktischem Adverb und Ortsangabe, und einem Relativsatz mit partizipialem Prädikat, Richtungsadverb und finalem Infinitiv. Die Struktur betont die Kette der Autorität: </w:t>
      </w:r>
      <w:r w:rsidR="00F90130">
        <w:rPr>
          <w:rFonts w:eastAsia="Times New Roman"/>
          <w:lang w:eastAsia="de-DE"/>
        </w:rPr>
        <w:t>der Ewige</w:t>
      </w:r>
      <w:r w:rsidRPr="00B33854">
        <w:rPr>
          <w:rFonts w:eastAsia="Times New Roman"/>
          <w:lang w:eastAsia="de-DE"/>
        </w:rPr>
        <w:t xml:space="preserve"> – Mose – das Volk.</w:t>
      </w:r>
    </w:p>
    <w:p w14:paraId="4FDFA55C"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Der Vers unterstreicht Moses Rolle als Vermittler der göttlichen Gebote und deren praktische Bestimmung für das Leben im verheißenen Land.</w:t>
      </w:r>
    </w:p>
    <w:p w14:paraId="51D79010"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4,6</w:t>
      </w:r>
    </w:p>
    <w:p w14:paraId="55BEA741"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וּשְׁמַרְתֶּם֮ וַעֲשִׂיתֶם֒ כִּ֣י הִ֤וא חָכְמַתְכֶם֙ וּבִ֣ינַתְכֶ֔ם לְעֵינֵ֖י הָעַמִּ֑ים אֲשֶׁ֣ר יִשְׁמְע֗וּן אֵ֚ת כָּל־הַחֻקִּ֣ים הָאֵ֔לֶּה וְאָמְר֗וּ רַ֚ק עַם־חָכָ֣ם וְנָב֔וֹן הַגּ֥וֹי הַגָּד֖וֹל הַזֶּֽה׃</w:t>
      </w:r>
    </w:p>
    <w:p w14:paraId="0E23429B"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So bewahret sie und tut sie! Denn das wird eure Weisheit und euer Verstand sein in den Augen der Völker, die alle diese Gesetze hören und sagen werden: Wahrlich, ein weises und verständiges Volk ist diese große Nation!</w:t>
      </w:r>
    </w:p>
    <w:p w14:paraId="79BEED8D"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4A472B29">
          <v:rect id="_x0000_i1142" style="width:0;height:1.5pt" o:hralign="center" o:hrstd="t" o:hr="t" fillcolor="#a0a0a0" stroked="f"/>
        </w:pict>
      </w:r>
    </w:p>
    <w:p w14:paraId="2CAC31BC"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וּשְׁמַרְתֶּם</w:t>
      </w:r>
      <w:r w:rsidRPr="00B33854">
        <w:rPr>
          <w:rFonts w:eastAsia="Times New Roman"/>
          <w:rtl/>
          <w:lang w:eastAsia="de-DE"/>
        </w:rPr>
        <w:t xml:space="preserve"> </w:t>
      </w:r>
      <w:r w:rsidRPr="00B33854">
        <w:rPr>
          <w:rFonts w:eastAsia="Times New Roman"/>
          <w:lang w:eastAsia="de-DE"/>
        </w:rPr>
        <w:t xml:space="preserve">ist Qal Perfekt consecutivum, 2. Person Plural maskulin von </w:t>
      </w:r>
      <w:r w:rsidRPr="00B33854">
        <w:rPr>
          <w:rFonts w:eastAsia="Times New Roman"/>
          <w:b/>
          <w:bCs/>
          <w:rtl/>
          <w:lang w:eastAsia="de-DE"/>
        </w:rPr>
        <w:t>שׁמר</w:t>
      </w:r>
      <w:r w:rsidRPr="00B33854">
        <w:rPr>
          <w:rFonts w:eastAsia="Times New Roman"/>
          <w:rtl/>
          <w:lang w:eastAsia="de-DE"/>
        </w:rPr>
        <w:t xml:space="preserve"> </w:t>
      </w:r>
      <w:r w:rsidRPr="00B33854">
        <w:rPr>
          <w:rFonts w:eastAsia="Times New Roman"/>
          <w:lang w:eastAsia="de-DE"/>
        </w:rPr>
        <w:t xml:space="preserve">(„bewahren, beachten") mit Waw – hier mit imperativischer Bedeutung. </w:t>
      </w:r>
      <w:r w:rsidRPr="00B33854">
        <w:rPr>
          <w:rFonts w:eastAsia="Times New Roman"/>
          <w:b/>
          <w:bCs/>
          <w:rtl/>
          <w:lang w:eastAsia="de-DE"/>
        </w:rPr>
        <w:t>וַעֲשִׂיתֶם</w:t>
      </w:r>
      <w:r w:rsidRPr="00B33854">
        <w:rPr>
          <w:rFonts w:eastAsia="Times New Roman"/>
          <w:rtl/>
          <w:lang w:eastAsia="de-DE"/>
        </w:rPr>
        <w:t xml:space="preserve"> </w:t>
      </w:r>
      <w:r w:rsidRPr="00B33854">
        <w:rPr>
          <w:rFonts w:eastAsia="Times New Roman"/>
          <w:lang w:eastAsia="de-DE"/>
        </w:rPr>
        <w:t xml:space="preserve">ist Qal Perfekt consecutivum, 2. Person Plural maskulin von </w:t>
      </w:r>
      <w:r w:rsidRPr="00B33854">
        <w:rPr>
          <w:rFonts w:eastAsia="Times New Roman"/>
          <w:b/>
          <w:bCs/>
          <w:rtl/>
          <w:lang w:eastAsia="de-DE"/>
        </w:rPr>
        <w:t>עשׂה</w:t>
      </w:r>
      <w:r w:rsidRPr="00B33854">
        <w:rPr>
          <w:rFonts w:eastAsia="Times New Roman"/>
          <w:rtl/>
          <w:lang w:eastAsia="de-DE"/>
        </w:rPr>
        <w:t xml:space="preserve"> </w:t>
      </w:r>
      <w:r w:rsidRPr="00B33854">
        <w:rPr>
          <w:rFonts w:eastAsia="Times New Roman"/>
          <w:lang w:eastAsia="de-DE"/>
        </w:rPr>
        <w:t>(„tun") mit Waw. Die beiden koordinierten Verben bilden ein Hendiadyoin: „bewahren und tun" bedeutet „gewissenhaft ausführen". Die Objekte (die Gebote) sind aus dem Kontext zu ergänzen.</w:t>
      </w:r>
    </w:p>
    <w:p w14:paraId="64FCC858"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כִּי הִוא חָכְמַתְכֶם וּבִינַתְכֶם</w:t>
      </w:r>
      <w:r w:rsidRPr="00B33854">
        <w:rPr>
          <w:rFonts w:eastAsia="Times New Roman"/>
          <w:rtl/>
          <w:lang w:eastAsia="de-DE"/>
        </w:rPr>
        <w:t xml:space="preserve"> </w:t>
      </w:r>
      <w:r w:rsidRPr="00B33854">
        <w:rPr>
          <w:rFonts w:eastAsia="Times New Roman"/>
          <w:lang w:eastAsia="de-DE"/>
        </w:rPr>
        <w:t xml:space="preserve">ist ein kausaler Satz: </w:t>
      </w:r>
      <w:r w:rsidRPr="00B33854">
        <w:rPr>
          <w:rFonts w:eastAsia="Times New Roman"/>
          <w:b/>
          <w:bCs/>
          <w:rtl/>
          <w:lang w:eastAsia="de-DE"/>
        </w:rPr>
        <w:t>כִּי</w:t>
      </w:r>
      <w:r w:rsidRPr="00B33854">
        <w:rPr>
          <w:rFonts w:eastAsia="Times New Roman"/>
          <w:rtl/>
          <w:lang w:eastAsia="de-DE"/>
        </w:rPr>
        <w:t xml:space="preserve"> </w:t>
      </w:r>
      <w:r w:rsidRPr="00B33854">
        <w:rPr>
          <w:rFonts w:eastAsia="Times New Roman"/>
          <w:lang w:eastAsia="de-DE"/>
        </w:rPr>
        <w:t xml:space="preserve">als Konjunktion, </w:t>
      </w:r>
      <w:r w:rsidRPr="00B33854">
        <w:rPr>
          <w:rFonts w:eastAsia="Times New Roman"/>
          <w:b/>
          <w:bCs/>
          <w:rtl/>
          <w:lang w:eastAsia="de-DE"/>
        </w:rPr>
        <w:t>הִוא</w:t>
      </w:r>
      <w:r w:rsidRPr="00B33854">
        <w:rPr>
          <w:rFonts w:eastAsia="Times New Roman"/>
          <w:rtl/>
          <w:lang w:eastAsia="de-DE"/>
        </w:rPr>
        <w:t xml:space="preserve"> </w:t>
      </w:r>
      <w:r w:rsidRPr="00B33854">
        <w:rPr>
          <w:rFonts w:eastAsia="Times New Roman"/>
          <w:lang w:eastAsia="de-DE"/>
        </w:rPr>
        <w:t xml:space="preserve">als Pronomen („es, dies"), </w:t>
      </w:r>
      <w:r w:rsidRPr="00B33854">
        <w:rPr>
          <w:rFonts w:eastAsia="Times New Roman"/>
          <w:b/>
          <w:bCs/>
          <w:rtl/>
          <w:lang w:eastAsia="de-DE"/>
        </w:rPr>
        <w:t>חָכְמַתְכֶם</w:t>
      </w:r>
      <w:r w:rsidRPr="00B33854">
        <w:rPr>
          <w:rFonts w:eastAsia="Times New Roman"/>
          <w:rtl/>
          <w:lang w:eastAsia="de-DE"/>
        </w:rPr>
        <w:t xml:space="preserve"> </w:t>
      </w:r>
      <w:r w:rsidRPr="00B33854">
        <w:rPr>
          <w:rFonts w:eastAsia="Times New Roman"/>
          <w:lang w:eastAsia="de-DE"/>
        </w:rPr>
        <w:t>als Prädikatsnomen (</w:t>
      </w:r>
      <w:r w:rsidRPr="00B33854">
        <w:rPr>
          <w:rFonts w:eastAsia="Times New Roman"/>
          <w:b/>
          <w:bCs/>
          <w:rtl/>
          <w:lang w:eastAsia="de-DE"/>
        </w:rPr>
        <w:t>חָכְמָה</w:t>
      </w:r>
      <w:r w:rsidRPr="00B33854">
        <w:rPr>
          <w:rFonts w:eastAsia="Times New Roman"/>
          <w:lang w:eastAsia="de-DE"/>
        </w:rPr>
        <w:t xml:space="preserve">, „Weisheit", mit Suffix 2. Person Plural maskulin), </w:t>
      </w:r>
      <w:r w:rsidRPr="00B33854">
        <w:rPr>
          <w:rFonts w:eastAsia="Times New Roman"/>
          <w:b/>
          <w:bCs/>
          <w:rtl/>
          <w:lang w:eastAsia="de-DE"/>
        </w:rPr>
        <w:t>וּבִינַתְכֶם</w:t>
      </w:r>
      <w:r w:rsidRPr="00B33854">
        <w:rPr>
          <w:rFonts w:eastAsia="Times New Roman"/>
          <w:rtl/>
          <w:lang w:eastAsia="de-DE"/>
        </w:rPr>
        <w:t xml:space="preserve"> </w:t>
      </w:r>
      <w:r w:rsidRPr="00B33854">
        <w:rPr>
          <w:rFonts w:eastAsia="Times New Roman"/>
          <w:lang w:eastAsia="de-DE"/>
        </w:rPr>
        <w:t>koordiniert (</w:t>
      </w:r>
      <w:r w:rsidRPr="00B33854">
        <w:rPr>
          <w:rFonts w:eastAsia="Times New Roman"/>
          <w:b/>
          <w:bCs/>
          <w:rtl/>
          <w:lang w:eastAsia="de-DE"/>
        </w:rPr>
        <w:t>בִּינָה</w:t>
      </w:r>
      <w:r w:rsidRPr="00B33854">
        <w:rPr>
          <w:rFonts w:eastAsia="Times New Roman"/>
          <w:lang w:eastAsia="de-DE"/>
        </w:rPr>
        <w:t xml:space="preserve">, „Verstand, Einsicht", mit Suffix 2. Person Plural maskulin). </w:t>
      </w:r>
      <w:r w:rsidRPr="00B33854">
        <w:rPr>
          <w:rFonts w:eastAsia="Times New Roman"/>
          <w:b/>
          <w:bCs/>
          <w:rtl/>
          <w:lang w:eastAsia="de-DE"/>
        </w:rPr>
        <w:t>לְעֵינֵי הָעַמִּים</w:t>
      </w:r>
      <w:r w:rsidRPr="00B33854">
        <w:rPr>
          <w:rFonts w:eastAsia="Times New Roman"/>
          <w:rtl/>
          <w:lang w:eastAsia="de-DE"/>
        </w:rPr>
        <w:t xml:space="preserve"> </w:t>
      </w:r>
      <w:r w:rsidRPr="00B33854">
        <w:rPr>
          <w:rFonts w:eastAsia="Times New Roman"/>
          <w:lang w:eastAsia="de-DE"/>
        </w:rPr>
        <w:t xml:space="preserve">ist eine idiomatische Wendung: </w:t>
      </w:r>
      <w:r w:rsidRPr="00B33854">
        <w:rPr>
          <w:rFonts w:eastAsia="Times New Roman"/>
          <w:b/>
          <w:bCs/>
          <w:rtl/>
          <w:lang w:eastAsia="de-DE"/>
        </w:rPr>
        <w:t>לְ</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עֵינֵי</w:t>
      </w:r>
      <w:r w:rsidRPr="00B33854">
        <w:rPr>
          <w:rFonts w:eastAsia="Times New Roman"/>
          <w:rtl/>
          <w:lang w:eastAsia="de-DE"/>
        </w:rPr>
        <w:t xml:space="preserve"> </w:t>
      </w:r>
      <w:r w:rsidRPr="00B33854">
        <w:rPr>
          <w:rFonts w:eastAsia="Times New Roman"/>
          <w:lang w:eastAsia="de-DE"/>
        </w:rPr>
        <w:t xml:space="preserve">(Dual Construct von </w:t>
      </w:r>
      <w:r w:rsidRPr="00B33854">
        <w:rPr>
          <w:rFonts w:eastAsia="Times New Roman"/>
          <w:b/>
          <w:bCs/>
          <w:rtl/>
          <w:lang w:eastAsia="de-DE"/>
        </w:rPr>
        <w:t>עַיִן</w:t>
      </w:r>
      <w:r w:rsidRPr="00B33854">
        <w:rPr>
          <w:rFonts w:eastAsia="Times New Roman"/>
          <w:lang w:eastAsia="de-DE"/>
        </w:rPr>
        <w:t xml:space="preserve">) und </w:t>
      </w:r>
      <w:r w:rsidRPr="00B33854">
        <w:rPr>
          <w:rFonts w:eastAsia="Times New Roman"/>
          <w:b/>
          <w:bCs/>
          <w:rtl/>
          <w:lang w:eastAsia="de-DE"/>
        </w:rPr>
        <w:t>הָעַמִּים</w:t>
      </w:r>
      <w:r w:rsidRPr="00B33854">
        <w:rPr>
          <w:rFonts w:eastAsia="Times New Roman"/>
          <w:rtl/>
          <w:lang w:eastAsia="de-DE"/>
        </w:rPr>
        <w:t xml:space="preserve"> </w:t>
      </w:r>
      <w:r w:rsidRPr="00B33854">
        <w:rPr>
          <w:rFonts w:eastAsia="Times New Roman"/>
          <w:lang w:eastAsia="de-DE"/>
        </w:rPr>
        <w:t>(„die Völker", Plural mit Artikel) – „in den Augen der Völker".</w:t>
      </w:r>
    </w:p>
    <w:p w14:paraId="509ECA02"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אֲשֶׁר יִשְׁמְעוּן</w:t>
      </w:r>
      <w:r w:rsidRPr="00B33854">
        <w:rPr>
          <w:rFonts w:eastAsia="Times New Roman"/>
          <w:rtl/>
          <w:lang w:eastAsia="de-DE"/>
        </w:rPr>
        <w:t xml:space="preserve"> </w:t>
      </w:r>
      <w:r w:rsidRPr="00B33854">
        <w:rPr>
          <w:rFonts w:eastAsia="Times New Roman"/>
          <w:lang w:eastAsia="de-DE"/>
        </w:rPr>
        <w:t xml:space="preserve">ist ein Relativsatz: </w:t>
      </w:r>
      <w:r w:rsidRPr="00B33854">
        <w:rPr>
          <w:rFonts w:eastAsia="Times New Roman"/>
          <w:b/>
          <w:bCs/>
          <w:rtl/>
          <w:lang w:eastAsia="de-DE"/>
        </w:rPr>
        <w:t>אֲשֶׁר</w:t>
      </w:r>
      <w:r w:rsidRPr="00B33854">
        <w:rPr>
          <w:rFonts w:eastAsia="Times New Roman"/>
          <w:rtl/>
          <w:lang w:eastAsia="de-DE"/>
        </w:rPr>
        <w:t xml:space="preserve"> </w:t>
      </w:r>
      <w:r w:rsidRPr="00B33854">
        <w:rPr>
          <w:rFonts w:eastAsia="Times New Roman"/>
          <w:lang w:eastAsia="de-DE"/>
        </w:rPr>
        <w:t xml:space="preserve">als Relativpronomen, </w:t>
      </w:r>
      <w:r w:rsidRPr="00B33854">
        <w:rPr>
          <w:rFonts w:eastAsia="Times New Roman"/>
          <w:b/>
          <w:bCs/>
          <w:rtl/>
          <w:lang w:eastAsia="de-DE"/>
        </w:rPr>
        <w:t>יִשְׁמְעוּן</w:t>
      </w:r>
      <w:r w:rsidRPr="00B33854">
        <w:rPr>
          <w:rFonts w:eastAsia="Times New Roman"/>
          <w:rtl/>
          <w:lang w:eastAsia="de-DE"/>
        </w:rPr>
        <w:t xml:space="preserve"> </w:t>
      </w:r>
      <w:r w:rsidRPr="00B33854">
        <w:rPr>
          <w:rFonts w:eastAsia="Times New Roman"/>
          <w:lang w:eastAsia="de-DE"/>
        </w:rPr>
        <w:t xml:space="preserve">als Qal Imperfekt, 3. Person Plural maskulin von </w:t>
      </w:r>
      <w:r w:rsidRPr="00B33854">
        <w:rPr>
          <w:rFonts w:eastAsia="Times New Roman"/>
          <w:b/>
          <w:bCs/>
          <w:rtl/>
          <w:lang w:eastAsia="de-DE"/>
        </w:rPr>
        <w:t>שׁמע</w:t>
      </w:r>
      <w:r w:rsidRPr="00B33854">
        <w:rPr>
          <w:rFonts w:eastAsia="Times New Roman"/>
          <w:rtl/>
          <w:lang w:eastAsia="de-DE"/>
        </w:rPr>
        <w:t xml:space="preserve"> </w:t>
      </w:r>
      <w:r w:rsidRPr="00B33854">
        <w:rPr>
          <w:rFonts w:eastAsia="Times New Roman"/>
          <w:lang w:eastAsia="de-DE"/>
        </w:rPr>
        <w:t xml:space="preserve">(„hören") mit paragogischem Nun. </w:t>
      </w:r>
      <w:r w:rsidRPr="00B33854">
        <w:rPr>
          <w:rFonts w:eastAsia="Times New Roman"/>
          <w:b/>
          <w:bCs/>
          <w:rtl/>
          <w:lang w:eastAsia="de-DE"/>
        </w:rPr>
        <w:t>אֵת כָּל־הַחֻקִּים הָאֵלֶּה</w:t>
      </w:r>
      <w:r w:rsidRPr="00B33854">
        <w:rPr>
          <w:rFonts w:eastAsia="Times New Roman"/>
          <w:rtl/>
          <w:lang w:eastAsia="de-DE"/>
        </w:rPr>
        <w:t xml:space="preserve"> </w:t>
      </w:r>
      <w:r w:rsidRPr="00B33854">
        <w:rPr>
          <w:rFonts w:eastAsia="Times New Roman"/>
          <w:lang w:eastAsia="de-DE"/>
        </w:rPr>
        <w:t xml:space="preserve">ist nota accusativi mit </w:t>
      </w:r>
      <w:r w:rsidRPr="00B33854">
        <w:rPr>
          <w:rFonts w:eastAsia="Times New Roman"/>
          <w:b/>
          <w:bCs/>
          <w:rtl/>
          <w:lang w:eastAsia="de-DE"/>
        </w:rPr>
        <w:t>כָּל</w:t>
      </w:r>
      <w:r w:rsidRPr="00B33854">
        <w:rPr>
          <w:rFonts w:eastAsia="Times New Roman"/>
          <w:rtl/>
          <w:lang w:eastAsia="de-DE"/>
        </w:rPr>
        <w:t xml:space="preserve"> </w:t>
      </w:r>
      <w:r w:rsidRPr="00B33854">
        <w:rPr>
          <w:rFonts w:eastAsia="Times New Roman"/>
          <w:lang w:eastAsia="de-DE"/>
        </w:rPr>
        <w:t xml:space="preserve">im Construct, </w:t>
      </w:r>
      <w:r w:rsidRPr="00B33854">
        <w:rPr>
          <w:rFonts w:eastAsia="Times New Roman"/>
          <w:b/>
          <w:bCs/>
          <w:rtl/>
          <w:lang w:eastAsia="de-DE"/>
        </w:rPr>
        <w:t>הַחֻקִּים</w:t>
      </w:r>
      <w:r w:rsidRPr="00B33854">
        <w:rPr>
          <w:rFonts w:eastAsia="Times New Roman"/>
          <w:rtl/>
          <w:lang w:eastAsia="de-DE"/>
        </w:rPr>
        <w:t xml:space="preserve"> </w:t>
      </w:r>
      <w:r w:rsidRPr="00B33854">
        <w:rPr>
          <w:rFonts w:eastAsia="Times New Roman"/>
          <w:lang w:eastAsia="de-DE"/>
        </w:rPr>
        <w:t xml:space="preserve">mit Artikel und Demonstrativpronomen </w:t>
      </w:r>
      <w:r w:rsidRPr="00B33854">
        <w:rPr>
          <w:rFonts w:eastAsia="Times New Roman"/>
          <w:b/>
          <w:bCs/>
          <w:rtl/>
          <w:lang w:eastAsia="de-DE"/>
        </w:rPr>
        <w:t>הָאֵלֶּה</w:t>
      </w:r>
      <w:r w:rsidRPr="00B33854">
        <w:rPr>
          <w:rFonts w:eastAsia="Times New Roman"/>
          <w:rtl/>
          <w:lang w:eastAsia="de-DE"/>
        </w:rPr>
        <w:t xml:space="preserve"> </w:t>
      </w:r>
      <w:r w:rsidRPr="00B33854">
        <w:rPr>
          <w:rFonts w:eastAsia="Times New Roman"/>
          <w:lang w:eastAsia="de-DE"/>
        </w:rPr>
        <w:t xml:space="preserve">als Attribut. </w:t>
      </w:r>
      <w:r w:rsidRPr="00B33854">
        <w:rPr>
          <w:rFonts w:eastAsia="Times New Roman"/>
          <w:b/>
          <w:bCs/>
          <w:rtl/>
          <w:lang w:eastAsia="de-DE"/>
        </w:rPr>
        <w:t>וְאָמְרוּ</w:t>
      </w:r>
      <w:r w:rsidRPr="00B33854">
        <w:rPr>
          <w:rFonts w:eastAsia="Times New Roman"/>
          <w:rtl/>
          <w:lang w:eastAsia="de-DE"/>
        </w:rPr>
        <w:t xml:space="preserve"> </w:t>
      </w:r>
      <w:r w:rsidRPr="00B33854">
        <w:rPr>
          <w:rFonts w:eastAsia="Times New Roman"/>
          <w:lang w:eastAsia="de-DE"/>
        </w:rPr>
        <w:t xml:space="preserve">ist Qal Perfekt consecutivum, 3. Person Plural maskulin von </w:t>
      </w:r>
      <w:r w:rsidRPr="00B33854">
        <w:rPr>
          <w:rFonts w:eastAsia="Times New Roman"/>
          <w:b/>
          <w:bCs/>
          <w:rtl/>
          <w:lang w:eastAsia="de-DE"/>
        </w:rPr>
        <w:t>אמר</w:t>
      </w:r>
      <w:r w:rsidRPr="00B33854">
        <w:rPr>
          <w:rFonts w:eastAsia="Times New Roman"/>
          <w:rtl/>
          <w:lang w:eastAsia="de-DE"/>
        </w:rPr>
        <w:t xml:space="preserve"> </w:t>
      </w:r>
      <w:r w:rsidRPr="00B33854">
        <w:rPr>
          <w:rFonts w:eastAsia="Times New Roman"/>
          <w:lang w:eastAsia="de-DE"/>
        </w:rPr>
        <w:t>(„sagen") mit Waw.</w:t>
      </w:r>
    </w:p>
    <w:p w14:paraId="76B89A19"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רַק עַם־חָכָם וְנָבוֹן הַגּוֹי הַגָּדוֹל הַזֶּה</w:t>
      </w:r>
      <w:r w:rsidRPr="00B33854">
        <w:rPr>
          <w:rFonts w:eastAsia="Times New Roman"/>
          <w:rtl/>
          <w:lang w:eastAsia="de-DE"/>
        </w:rPr>
        <w:t xml:space="preserve"> </w:t>
      </w:r>
      <w:r w:rsidRPr="00B33854">
        <w:rPr>
          <w:rFonts w:eastAsia="Times New Roman"/>
          <w:lang w:eastAsia="de-DE"/>
        </w:rPr>
        <w:t xml:space="preserve">ist die direkte Rede: </w:t>
      </w:r>
      <w:r w:rsidRPr="00B33854">
        <w:rPr>
          <w:rFonts w:eastAsia="Times New Roman"/>
          <w:b/>
          <w:bCs/>
          <w:rtl/>
          <w:lang w:eastAsia="de-DE"/>
        </w:rPr>
        <w:t>רַק</w:t>
      </w:r>
      <w:r w:rsidRPr="00B33854">
        <w:rPr>
          <w:rFonts w:eastAsia="Times New Roman"/>
          <w:rtl/>
          <w:lang w:eastAsia="de-DE"/>
        </w:rPr>
        <w:t xml:space="preserve"> </w:t>
      </w:r>
      <w:r w:rsidRPr="00B33854">
        <w:rPr>
          <w:rFonts w:eastAsia="Times New Roman"/>
          <w:lang w:eastAsia="de-DE"/>
        </w:rPr>
        <w:t xml:space="preserve">als emphatische Partikel („wahrlich, fürwahr"), </w:t>
      </w:r>
      <w:r w:rsidRPr="00B33854">
        <w:rPr>
          <w:rFonts w:eastAsia="Times New Roman"/>
          <w:b/>
          <w:bCs/>
          <w:rtl/>
          <w:lang w:eastAsia="de-DE"/>
        </w:rPr>
        <w:t>עַם־חָכָם</w:t>
      </w:r>
      <w:r w:rsidRPr="00B33854">
        <w:rPr>
          <w:rFonts w:eastAsia="Times New Roman"/>
          <w:rtl/>
          <w:lang w:eastAsia="de-DE"/>
        </w:rPr>
        <w:t xml:space="preserve"> </w:t>
      </w:r>
      <w:r w:rsidRPr="00B33854">
        <w:rPr>
          <w:rFonts w:eastAsia="Times New Roman"/>
          <w:lang w:eastAsia="de-DE"/>
        </w:rPr>
        <w:t>(</w:t>
      </w:r>
      <w:r w:rsidRPr="00B33854">
        <w:rPr>
          <w:rFonts w:eastAsia="Times New Roman"/>
          <w:b/>
          <w:bCs/>
          <w:rtl/>
          <w:lang w:eastAsia="de-DE"/>
        </w:rPr>
        <w:t>עַם</w:t>
      </w:r>
      <w:r w:rsidRPr="00B33854">
        <w:rPr>
          <w:rFonts w:eastAsia="Times New Roman"/>
          <w:rtl/>
          <w:lang w:eastAsia="de-DE"/>
        </w:rPr>
        <w:t xml:space="preserve"> </w:t>
      </w:r>
      <w:r w:rsidRPr="00B33854">
        <w:rPr>
          <w:rFonts w:eastAsia="Times New Roman"/>
          <w:lang w:eastAsia="de-DE"/>
        </w:rPr>
        <w:t xml:space="preserve">im Construct mit dem Adjektiv </w:t>
      </w:r>
      <w:r w:rsidRPr="00B33854">
        <w:rPr>
          <w:rFonts w:eastAsia="Times New Roman"/>
          <w:b/>
          <w:bCs/>
          <w:rtl/>
          <w:lang w:eastAsia="de-DE"/>
        </w:rPr>
        <w:t>חָכָם</w:t>
      </w:r>
      <w:r w:rsidRPr="00B33854">
        <w:rPr>
          <w:rFonts w:eastAsia="Times New Roman"/>
          <w:lang w:eastAsia="de-DE"/>
        </w:rPr>
        <w:t xml:space="preserve">, „weise"), </w:t>
      </w:r>
      <w:r w:rsidRPr="00B33854">
        <w:rPr>
          <w:rFonts w:eastAsia="Times New Roman"/>
          <w:b/>
          <w:bCs/>
          <w:rtl/>
          <w:lang w:eastAsia="de-DE"/>
        </w:rPr>
        <w:t>וְנָבוֹן</w:t>
      </w:r>
      <w:r w:rsidRPr="00B33854">
        <w:rPr>
          <w:rFonts w:eastAsia="Times New Roman"/>
          <w:rtl/>
          <w:lang w:eastAsia="de-DE"/>
        </w:rPr>
        <w:t xml:space="preserve"> </w:t>
      </w:r>
      <w:r w:rsidRPr="00B33854">
        <w:rPr>
          <w:rFonts w:eastAsia="Times New Roman"/>
          <w:lang w:eastAsia="de-DE"/>
        </w:rPr>
        <w:t xml:space="preserve">koordiniert (Nifal Partizip Singular maskulin von </w:t>
      </w:r>
      <w:r w:rsidRPr="00B33854">
        <w:rPr>
          <w:rFonts w:eastAsia="Times New Roman"/>
          <w:b/>
          <w:bCs/>
          <w:rtl/>
          <w:lang w:eastAsia="de-DE"/>
        </w:rPr>
        <w:t>בין</w:t>
      </w:r>
      <w:r w:rsidRPr="00B33854">
        <w:rPr>
          <w:rFonts w:eastAsia="Times New Roman"/>
          <w:lang w:eastAsia="de-DE"/>
        </w:rPr>
        <w:t xml:space="preserve">, „verständig, einsichtig"), </w:t>
      </w:r>
      <w:r w:rsidRPr="00B33854">
        <w:rPr>
          <w:rFonts w:eastAsia="Times New Roman"/>
          <w:b/>
          <w:bCs/>
          <w:rtl/>
          <w:lang w:eastAsia="de-DE"/>
        </w:rPr>
        <w:t>הַגּוֹי הַגָּדוֹל הַזֶּה</w:t>
      </w:r>
      <w:r w:rsidRPr="00B33854">
        <w:rPr>
          <w:rFonts w:eastAsia="Times New Roman"/>
          <w:rtl/>
          <w:lang w:eastAsia="de-DE"/>
        </w:rPr>
        <w:t xml:space="preserve"> </w:t>
      </w:r>
      <w:r w:rsidRPr="00B33854">
        <w:rPr>
          <w:rFonts w:eastAsia="Times New Roman"/>
          <w:lang w:eastAsia="de-DE"/>
        </w:rPr>
        <w:t>als appositionelle Erweiterung (</w:t>
      </w:r>
      <w:r w:rsidRPr="00B33854">
        <w:rPr>
          <w:rFonts w:eastAsia="Times New Roman"/>
          <w:b/>
          <w:bCs/>
          <w:rtl/>
          <w:lang w:eastAsia="de-DE"/>
        </w:rPr>
        <w:t>הַגּוֹי</w:t>
      </w:r>
      <w:r w:rsidRPr="00B33854">
        <w:rPr>
          <w:rFonts w:eastAsia="Times New Roman"/>
          <w:lang w:eastAsia="de-DE"/>
        </w:rPr>
        <w:t xml:space="preserve">, „die Nation", mit Artikel, Adjektiv </w:t>
      </w:r>
      <w:r w:rsidRPr="00B33854">
        <w:rPr>
          <w:rFonts w:eastAsia="Times New Roman"/>
          <w:b/>
          <w:bCs/>
          <w:rtl/>
          <w:lang w:eastAsia="de-DE"/>
        </w:rPr>
        <w:t>הַגָּדוֹל</w:t>
      </w:r>
      <w:r w:rsidRPr="00B33854">
        <w:rPr>
          <w:rFonts w:eastAsia="Times New Roman"/>
          <w:lang w:eastAsia="de-DE"/>
        </w:rPr>
        <w:t xml:space="preserve">, „groß", und Demonstrativpronomen </w:t>
      </w:r>
      <w:r w:rsidRPr="00B33854">
        <w:rPr>
          <w:rFonts w:eastAsia="Times New Roman"/>
          <w:b/>
          <w:bCs/>
          <w:rtl/>
          <w:lang w:eastAsia="de-DE"/>
        </w:rPr>
        <w:t>הַזֶּה</w:t>
      </w:r>
      <w:r w:rsidRPr="00B33854">
        <w:rPr>
          <w:rFonts w:eastAsia="Times New Roman"/>
          <w:lang w:eastAsia="de-DE"/>
        </w:rPr>
        <w:t>).</w:t>
      </w:r>
    </w:p>
    <w:p w14:paraId="22FC9616"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 xml:space="preserve">Die Satzstruktur besteht aus zwei koordinierten imperativischen Verben, einem kausalen nominalen Satz mit zweigliedriger Prädikatsangabe und idiomatischer präpositionaler Ergänzung, einem Relativsatz mit direktem Objekt und konsekutivem Verb, und einer </w:t>
      </w:r>
      <w:r w:rsidRPr="00B33854">
        <w:rPr>
          <w:rFonts w:eastAsia="Times New Roman"/>
          <w:lang w:eastAsia="de-DE"/>
        </w:rPr>
        <w:lastRenderedPageBreak/>
        <w:t>direkten Rede mit emphatischer Partikel, Construct-Verbindung mit koordiniertem Attribut und appositiver Erweiterung. Die Struktur zeigt die Kausalkette: Gehorsam → Weisheit → internationale Anerkennung.</w:t>
      </w:r>
    </w:p>
    <w:p w14:paraId="4F169E23"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Der Vers verspricht, dass die Befolgung der göttlichen Gebote Israel als weises Volk unter den Nationen auszeichnen wird.</w:t>
      </w:r>
    </w:p>
    <w:p w14:paraId="31BD7DE1"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4,7</w:t>
      </w:r>
    </w:p>
    <w:p w14:paraId="4D93006C"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כִּ֚י מִי־ג֣וֹי גָּד֔וֹל אֲשֶׁר־לוֹ֥ אֱלֹהִ֖ים קְרֹבִ֣ים אֵלָ֑יו כַּיהוָ֣ה אֱלֹהֵ֔ינוּ בְּכָל־קָרְאֵ֖נוּ אֵלָֽיו׃</w:t>
      </w:r>
    </w:p>
    <w:p w14:paraId="1B84075A"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Denn welche große Nation hat Götter, die ihr so nahe sind, wie der Ewige, unser Gott, uns nahe ist in all unserem Rufen zu ihm?</w:t>
      </w:r>
    </w:p>
    <w:p w14:paraId="331AD28D"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274FA501">
          <v:rect id="_x0000_i1143" style="width:0;height:1.5pt" o:hralign="center" o:hrstd="t" o:hr="t" fillcolor="#a0a0a0" stroked="f"/>
        </w:pict>
      </w:r>
    </w:p>
    <w:p w14:paraId="270C304F"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כִּי</w:t>
      </w:r>
      <w:r w:rsidRPr="00B33854">
        <w:rPr>
          <w:rFonts w:eastAsia="Times New Roman"/>
          <w:rtl/>
          <w:lang w:eastAsia="de-DE"/>
        </w:rPr>
        <w:t xml:space="preserve"> </w:t>
      </w:r>
      <w:r w:rsidRPr="00B33854">
        <w:rPr>
          <w:rFonts w:eastAsia="Times New Roman"/>
          <w:lang w:eastAsia="de-DE"/>
        </w:rPr>
        <w:t xml:space="preserve">ist eine kausale oder explikative Konjunktion („denn"). </w:t>
      </w:r>
      <w:r w:rsidRPr="00B33854">
        <w:rPr>
          <w:rFonts w:eastAsia="Times New Roman"/>
          <w:b/>
          <w:bCs/>
          <w:rtl/>
          <w:lang w:eastAsia="de-DE"/>
        </w:rPr>
        <w:t>מִי־גוֹי גָּדוֹל</w:t>
      </w:r>
      <w:r w:rsidRPr="00B33854">
        <w:rPr>
          <w:rFonts w:eastAsia="Times New Roman"/>
          <w:rtl/>
          <w:lang w:eastAsia="de-DE"/>
        </w:rPr>
        <w:t xml:space="preserve"> </w:t>
      </w:r>
      <w:r w:rsidRPr="00B33854">
        <w:rPr>
          <w:rFonts w:eastAsia="Times New Roman"/>
          <w:lang w:eastAsia="de-DE"/>
        </w:rPr>
        <w:t xml:space="preserve">ist eine rhetorische Frage: </w:t>
      </w:r>
      <w:r w:rsidRPr="00B33854">
        <w:rPr>
          <w:rFonts w:eastAsia="Times New Roman"/>
          <w:b/>
          <w:bCs/>
          <w:rtl/>
          <w:lang w:eastAsia="de-DE"/>
        </w:rPr>
        <w:t>מִי</w:t>
      </w:r>
      <w:r w:rsidRPr="00B33854">
        <w:rPr>
          <w:rFonts w:eastAsia="Times New Roman"/>
          <w:rtl/>
          <w:lang w:eastAsia="de-DE"/>
        </w:rPr>
        <w:t xml:space="preserve"> </w:t>
      </w:r>
      <w:r w:rsidRPr="00B33854">
        <w:rPr>
          <w:rFonts w:eastAsia="Times New Roman"/>
          <w:lang w:eastAsia="de-DE"/>
        </w:rPr>
        <w:t xml:space="preserve">als Fragepronomen („wer, welche"), </w:t>
      </w:r>
      <w:r w:rsidRPr="00B33854">
        <w:rPr>
          <w:rFonts w:eastAsia="Times New Roman"/>
          <w:b/>
          <w:bCs/>
          <w:rtl/>
          <w:lang w:eastAsia="de-DE"/>
        </w:rPr>
        <w:t>גּוֹי גָּדוֹל</w:t>
      </w:r>
      <w:r w:rsidRPr="00B33854">
        <w:rPr>
          <w:rFonts w:eastAsia="Times New Roman"/>
          <w:rtl/>
          <w:lang w:eastAsia="de-DE"/>
        </w:rPr>
        <w:t xml:space="preserve"> </w:t>
      </w:r>
      <w:r w:rsidRPr="00B33854">
        <w:rPr>
          <w:rFonts w:eastAsia="Times New Roman"/>
          <w:lang w:eastAsia="de-DE"/>
        </w:rPr>
        <w:t>als Subjekt (</w:t>
      </w:r>
      <w:r w:rsidRPr="00B33854">
        <w:rPr>
          <w:rFonts w:eastAsia="Times New Roman"/>
          <w:b/>
          <w:bCs/>
          <w:rtl/>
          <w:lang w:eastAsia="de-DE"/>
        </w:rPr>
        <w:t>גּוֹי</w:t>
      </w:r>
      <w:r w:rsidRPr="00B33854">
        <w:rPr>
          <w:rFonts w:eastAsia="Times New Roman"/>
          <w:lang w:eastAsia="de-DE"/>
        </w:rPr>
        <w:t xml:space="preserve">, „Nation, Volk", mit Adjektiv </w:t>
      </w:r>
      <w:r w:rsidRPr="00B33854">
        <w:rPr>
          <w:rFonts w:eastAsia="Times New Roman"/>
          <w:b/>
          <w:bCs/>
          <w:rtl/>
          <w:lang w:eastAsia="de-DE"/>
        </w:rPr>
        <w:t>גָּדוֹל</w:t>
      </w:r>
      <w:r w:rsidRPr="00B33854">
        <w:rPr>
          <w:rFonts w:eastAsia="Times New Roman"/>
          <w:lang w:eastAsia="de-DE"/>
        </w:rPr>
        <w:t xml:space="preserve">, „groß"). </w:t>
      </w:r>
      <w:r w:rsidRPr="00B33854">
        <w:rPr>
          <w:rFonts w:eastAsia="Times New Roman"/>
          <w:b/>
          <w:bCs/>
          <w:rtl/>
          <w:lang w:eastAsia="de-DE"/>
        </w:rPr>
        <w:t>אֲשֶׁר־לוֹ אֱלֹהִים קְרֹבִים אֵלָיו</w:t>
      </w:r>
      <w:r w:rsidRPr="00B33854">
        <w:rPr>
          <w:rFonts w:eastAsia="Times New Roman"/>
          <w:rtl/>
          <w:lang w:eastAsia="de-DE"/>
        </w:rPr>
        <w:t xml:space="preserve"> </w:t>
      </w:r>
      <w:r w:rsidRPr="00B33854">
        <w:rPr>
          <w:rFonts w:eastAsia="Times New Roman"/>
          <w:lang w:eastAsia="de-DE"/>
        </w:rPr>
        <w:t xml:space="preserve">ist ein Relativsatz: </w:t>
      </w:r>
      <w:r w:rsidRPr="00B33854">
        <w:rPr>
          <w:rFonts w:eastAsia="Times New Roman"/>
          <w:b/>
          <w:bCs/>
          <w:rtl/>
          <w:lang w:eastAsia="de-DE"/>
        </w:rPr>
        <w:t>אֲשֶׁר</w:t>
      </w:r>
      <w:r w:rsidRPr="00B33854">
        <w:rPr>
          <w:rFonts w:eastAsia="Times New Roman"/>
          <w:rtl/>
          <w:lang w:eastAsia="de-DE"/>
        </w:rPr>
        <w:t xml:space="preserve"> </w:t>
      </w:r>
      <w:r w:rsidRPr="00B33854">
        <w:rPr>
          <w:rFonts w:eastAsia="Times New Roman"/>
          <w:lang w:eastAsia="de-DE"/>
        </w:rPr>
        <w:t xml:space="preserve">als Relativpronomen, </w:t>
      </w:r>
      <w:r w:rsidRPr="00B33854">
        <w:rPr>
          <w:rFonts w:eastAsia="Times New Roman"/>
          <w:b/>
          <w:bCs/>
          <w:rtl/>
          <w:lang w:eastAsia="de-DE"/>
        </w:rPr>
        <w:t>לוֹ</w:t>
      </w:r>
      <w:r w:rsidRPr="00B33854">
        <w:rPr>
          <w:rFonts w:eastAsia="Times New Roman"/>
          <w:rtl/>
          <w:lang w:eastAsia="de-DE"/>
        </w:rPr>
        <w:t xml:space="preserve"> </w:t>
      </w:r>
      <w:r w:rsidRPr="00B33854">
        <w:rPr>
          <w:rFonts w:eastAsia="Times New Roman"/>
          <w:lang w:eastAsia="de-DE"/>
        </w:rPr>
        <w:t xml:space="preserve">als Präposition </w:t>
      </w:r>
      <w:r w:rsidRPr="00B33854">
        <w:rPr>
          <w:rFonts w:eastAsia="Times New Roman"/>
          <w:b/>
          <w:bCs/>
          <w:rtl/>
          <w:lang w:eastAsia="de-DE"/>
        </w:rPr>
        <w:t>לְ</w:t>
      </w:r>
      <w:r w:rsidRPr="00B33854">
        <w:rPr>
          <w:rFonts w:eastAsia="Times New Roman"/>
          <w:rtl/>
          <w:lang w:eastAsia="de-DE"/>
        </w:rPr>
        <w:t xml:space="preserve"> </w:t>
      </w:r>
      <w:r w:rsidRPr="00B33854">
        <w:rPr>
          <w:rFonts w:eastAsia="Times New Roman"/>
          <w:lang w:eastAsia="de-DE"/>
        </w:rPr>
        <w:t xml:space="preserve">mit Suffix 3. Person Singular maskulin („ihm, für ihn"), </w:t>
      </w:r>
      <w:r w:rsidRPr="00B33854">
        <w:rPr>
          <w:rFonts w:eastAsia="Times New Roman"/>
          <w:b/>
          <w:bCs/>
          <w:rtl/>
          <w:lang w:eastAsia="de-DE"/>
        </w:rPr>
        <w:t>אֱלֹהִים</w:t>
      </w:r>
      <w:r w:rsidRPr="00B33854">
        <w:rPr>
          <w:rFonts w:eastAsia="Times New Roman"/>
          <w:rtl/>
          <w:lang w:eastAsia="de-DE"/>
        </w:rPr>
        <w:t xml:space="preserve"> </w:t>
      </w:r>
      <w:r w:rsidRPr="00B33854">
        <w:rPr>
          <w:rFonts w:eastAsia="Times New Roman"/>
          <w:lang w:eastAsia="de-DE"/>
        </w:rPr>
        <w:t xml:space="preserve">als Subjekt (hier Plural „Götter" oder als pluralis maiestatis „Gott"), </w:t>
      </w:r>
      <w:r w:rsidRPr="00B33854">
        <w:rPr>
          <w:rFonts w:eastAsia="Times New Roman"/>
          <w:b/>
          <w:bCs/>
          <w:rtl/>
          <w:lang w:eastAsia="de-DE"/>
        </w:rPr>
        <w:t>קְרֹבִים</w:t>
      </w:r>
      <w:r w:rsidRPr="00B33854">
        <w:rPr>
          <w:rFonts w:eastAsia="Times New Roman"/>
          <w:rtl/>
          <w:lang w:eastAsia="de-DE"/>
        </w:rPr>
        <w:t xml:space="preserve"> </w:t>
      </w:r>
      <w:r w:rsidRPr="00B33854">
        <w:rPr>
          <w:rFonts w:eastAsia="Times New Roman"/>
          <w:lang w:eastAsia="de-DE"/>
        </w:rPr>
        <w:t xml:space="preserve">als Adjektiv Plural maskulin von </w:t>
      </w:r>
      <w:r w:rsidRPr="00B33854">
        <w:rPr>
          <w:rFonts w:eastAsia="Times New Roman"/>
          <w:b/>
          <w:bCs/>
          <w:rtl/>
          <w:lang w:eastAsia="de-DE"/>
        </w:rPr>
        <w:t>קָרוֹב</w:t>
      </w:r>
      <w:r w:rsidRPr="00B33854">
        <w:rPr>
          <w:rFonts w:eastAsia="Times New Roman"/>
          <w:rtl/>
          <w:lang w:eastAsia="de-DE"/>
        </w:rPr>
        <w:t xml:space="preserve"> </w:t>
      </w:r>
      <w:r w:rsidRPr="00B33854">
        <w:rPr>
          <w:rFonts w:eastAsia="Times New Roman"/>
          <w:lang w:eastAsia="de-DE"/>
        </w:rPr>
        <w:t xml:space="preserve">(„nahe"), </w:t>
      </w:r>
      <w:r w:rsidRPr="00B33854">
        <w:rPr>
          <w:rFonts w:eastAsia="Times New Roman"/>
          <w:b/>
          <w:bCs/>
          <w:rtl/>
          <w:lang w:eastAsia="de-DE"/>
        </w:rPr>
        <w:t>אֵלָיו</w:t>
      </w:r>
      <w:r w:rsidRPr="00B33854">
        <w:rPr>
          <w:rFonts w:eastAsia="Times New Roman"/>
          <w:rtl/>
          <w:lang w:eastAsia="de-DE"/>
        </w:rPr>
        <w:t xml:space="preserve"> </w:t>
      </w:r>
      <w:r w:rsidRPr="00B33854">
        <w:rPr>
          <w:rFonts w:eastAsia="Times New Roman"/>
          <w:lang w:eastAsia="de-DE"/>
        </w:rPr>
        <w:t xml:space="preserve">als Präposition </w:t>
      </w:r>
      <w:r w:rsidRPr="00B33854">
        <w:rPr>
          <w:rFonts w:eastAsia="Times New Roman"/>
          <w:b/>
          <w:bCs/>
          <w:rtl/>
          <w:lang w:eastAsia="de-DE"/>
        </w:rPr>
        <w:t>אֶל</w:t>
      </w:r>
      <w:r w:rsidRPr="00B33854">
        <w:rPr>
          <w:rFonts w:eastAsia="Times New Roman"/>
          <w:rtl/>
          <w:lang w:eastAsia="de-DE"/>
        </w:rPr>
        <w:t xml:space="preserve"> </w:t>
      </w:r>
      <w:r w:rsidRPr="00B33854">
        <w:rPr>
          <w:rFonts w:eastAsia="Times New Roman"/>
          <w:lang w:eastAsia="de-DE"/>
        </w:rPr>
        <w:t xml:space="preserve">mit Suffix 3. Person Singular maskulin. Die Konstruktion </w:t>
      </w:r>
      <w:r w:rsidRPr="00B33854">
        <w:rPr>
          <w:rFonts w:eastAsia="Times New Roman"/>
          <w:b/>
          <w:bCs/>
          <w:rtl/>
          <w:lang w:eastAsia="de-DE"/>
        </w:rPr>
        <w:t>לוֹ... אֵלָיו</w:t>
      </w:r>
      <w:r w:rsidRPr="00B33854">
        <w:rPr>
          <w:rFonts w:eastAsia="Times New Roman"/>
          <w:rtl/>
          <w:lang w:eastAsia="de-DE"/>
        </w:rPr>
        <w:t xml:space="preserve"> </w:t>
      </w:r>
      <w:r w:rsidRPr="00B33854">
        <w:rPr>
          <w:rFonts w:eastAsia="Times New Roman"/>
          <w:lang w:eastAsia="de-DE"/>
        </w:rPr>
        <w:t>bildet eine Inclusio um das Prädikat.</w:t>
      </w:r>
    </w:p>
    <w:p w14:paraId="19A60C4F"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כַּיהוָה אֱלֹהֵינוּ</w:t>
      </w:r>
      <w:r w:rsidRPr="00B33854">
        <w:rPr>
          <w:rFonts w:eastAsia="Times New Roman"/>
          <w:rtl/>
          <w:lang w:eastAsia="de-DE"/>
        </w:rPr>
        <w:t xml:space="preserve"> </w:t>
      </w:r>
      <w:r w:rsidRPr="00B33854">
        <w:rPr>
          <w:rFonts w:eastAsia="Times New Roman"/>
          <w:lang w:eastAsia="de-DE"/>
        </w:rPr>
        <w:t xml:space="preserve">ist ein Vergleichssatz: </w:t>
      </w:r>
      <w:r w:rsidRPr="00B33854">
        <w:rPr>
          <w:rFonts w:eastAsia="Times New Roman"/>
          <w:b/>
          <w:bCs/>
          <w:rtl/>
          <w:lang w:eastAsia="de-DE"/>
        </w:rPr>
        <w:t>כְּ</w:t>
      </w:r>
      <w:r w:rsidRPr="00B33854">
        <w:rPr>
          <w:rFonts w:eastAsia="Times New Roman"/>
          <w:rtl/>
          <w:lang w:eastAsia="de-DE"/>
        </w:rPr>
        <w:t xml:space="preserve"> </w:t>
      </w:r>
      <w:r w:rsidRPr="00B33854">
        <w:rPr>
          <w:rFonts w:eastAsia="Times New Roman"/>
          <w:lang w:eastAsia="de-DE"/>
        </w:rPr>
        <w:t xml:space="preserve">(„wie"), das Tetragramm </w:t>
      </w:r>
      <w:r w:rsidRPr="00B33854">
        <w:rPr>
          <w:rFonts w:eastAsia="Times New Roman"/>
          <w:b/>
          <w:bCs/>
          <w:rtl/>
          <w:lang w:eastAsia="de-DE"/>
        </w:rPr>
        <w:t>יְהוָה</w:t>
      </w:r>
      <w:r w:rsidRPr="00B33854">
        <w:rPr>
          <w:rFonts w:eastAsia="Times New Roman"/>
          <w:rtl/>
          <w:lang w:eastAsia="de-DE"/>
        </w:rPr>
        <w:t xml:space="preserve"> </w:t>
      </w:r>
      <w:r w:rsidRPr="00B33854">
        <w:rPr>
          <w:rFonts w:eastAsia="Times New Roman"/>
          <w:lang w:eastAsia="de-DE"/>
        </w:rPr>
        <w:t xml:space="preserve">und </w:t>
      </w:r>
      <w:r w:rsidRPr="00B33854">
        <w:rPr>
          <w:rFonts w:eastAsia="Times New Roman"/>
          <w:b/>
          <w:bCs/>
          <w:rtl/>
          <w:lang w:eastAsia="de-DE"/>
        </w:rPr>
        <w:t>אֱלֹהִים</w:t>
      </w:r>
      <w:r w:rsidRPr="00B33854">
        <w:rPr>
          <w:rFonts w:eastAsia="Times New Roman"/>
          <w:rtl/>
          <w:lang w:eastAsia="de-DE"/>
        </w:rPr>
        <w:t xml:space="preserve"> </w:t>
      </w:r>
      <w:r w:rsidRPr="00B33854">
        <w:rPr>
          <w:rFonts w:eastAsia="Times New Roman"/>
          <w:lang w:eastAsia="de-DE"/>
        </w:rPr>
        <w:t xml:space="preserve">mit Suffix 1. Person Plural („unser Gott"). </w:t>
      </w:r>
      <w:r w:rsidRPr="00B33854">
        <w:rPr>
          <w:rFonts w:eastAsia="Times New Roman"/>
          <w:b/>
          <w:bCs/>
          <w:rtl/>
          <w:lang w:eastAsia="de-DE"/>
        </w:rPr>
        <w:t>בְּכָל־קָרְאֵנוּ אֵלָיו</w:t>
      </w:r>
      <w:r w:rsidRPr="00B33854">
        <w:rPr>
          <w:rFonts w:eastAsia="Times New Roman"/>
          <w:rtl/>
          <w:lang w:eastAsia="de-DE"/>
        </w:rPr>
        <w:t xml:space="preserve"> </w:t>
      </w:r>
      <w:r w:rsidRPr="00B33854">
        <w:rPr>
          <w:rFonts w:eastAsia="Times New Roman"/>
          <w:lang w:eastAsia="de-DE"/>
        </w:rPr>
        <w:t xml:space="preserve">ist eine temporale bzw. modale Bestimmung: </w:t>
      </w:r>
      <w:r w:rsidRPr="00B33854">
        <w:rPr>
          <w:rFonts w:eastAsia="Times New Roman"/>
          <w:b/>
          <w:bCs/>
          <w:rtl/>
          <w:lang w:eastAsia="de-DE"/>
        </w:rPr>
        <w:t>בְּ</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כָל</w:t>
      </w:r>
      <w:r w:rsidRPr="00B33854">
        <w:rPr>
          <w:rFonts w:eastAsia="Times New Roman"/>
          <w:rtl/>
          <w:lang w:eastAsia="de-DE"/>
        </w:rPr>
        <w:t xml:space="preserve"> </w:t>
      </w:r>
      <w:r w:rsidRPr="00B33854">
        <w:rPr>
          <w:rFonts w:eastAsia="Times New Roman"/>
          <w:lang w:eastAsia="de-DE"/>
        </w:rPr>
        <w:t xml:space="preserve">im Construct, </w:t>
      </w:r>
      <w:r w:rsidRPr="00B33854">
        <w:rPr>
          <w:rFonts w:eastAsia="Times New Roman"/>
          <w:b/>
          <w:bCs/>
          <w:rtl/>
          <w:lang w:eastAsia="de-DE"/>
        </w:rPr>
        <w:t>קָרְאֵנוּ</w:t>
      </w:r>
      <w:r w:rsidRPr="00B33854">
        <w:rPr>
          <w:rFonts w:eastAsia="Times New Roman"/>
          <w:rtl/>
          <w:lang w:eastAsia="de-DE"/>
        </w:rPr>
        <w:t xml:space="preserve"> </w:t>
      </w:r>
      <w:r w:rsidRPr="00B33854">
        <w:rPr>
          <w:rFonts w:eastAsia="Times New Roman"/>
          <w:lang w:eastAsia="de-DE"/>
        </w:rPr>
        <w:t xml:space="preserve">(Qal Infinitiv Construct von </w:t>
      </w:r>
      <w:r w:rsidRPr="00B33854">
        <w:rPr>
          <w:rFonts w:eastAsia="Times New Roman"/>
          <w:b/>
          <w:bCs/>
          <w:rtl/>
          <w:lang w:eastAsia="de-DE"/>
        </w:rPr>
        <w:t>קרא</w:t>
      </w:r>
      <w:r w:rsidRPr="00B33854">
        <w:rPr>
          <w:rFonts w:eastAsia="Times New Roman"/>
          <w:lang w:eastAsia="de-DE"/>
        </w:rPr>
        <w:t xml:space="preserve">, „rufen", mit Suffix 1. Person Plural), </w:t>
      </w:r>
      <w:r w:rsidRPr="00B33854">
        <w:rPr>
          <w:rFonts w:eastAsia="Times New Roman"/>
          <w:b/>
          <w:bCs/>
          <w:rtl/>
          <w:lang w:eastAsia="de-DE"/>
        </w:rPr>
        <w:t>אֵלָיו</w:t>
      </w:r>
      <w:r w:rsidRPr="00B33854">
        <w:rPr>
          <w:rFonts w:eastAsia="Times New Roman"/>
          <w:rtl/>
          <w:lang w:eastAsia="de-DE"/>
        </w:rPr>
        <w:t xml:space="preserve"> </w:t>
      </w:r>
      <w:r w:rsidRPr="00B33854">
        <w:rPr>
          <w:rFonts w:eastAsia="Times New Roman"/>
          <w:lang w:eastAsia="de-DE"/>
        </w:rPr>
        <w:t xml:space="preserve">als Richtungsangabe. Die Konstruktion </w:t>
      </w:r>
      <w:r w:rsidRPr="00B33854">
        <w:rPr>
          <w:rFonts w:eastAsia="Times New Roman"/>
          <w:b/>
          <w:bCs/>
          <w:rtl/>
          <w:lang w:eastAsia="de-DE"/>
        </w:rPr>
        <w:t>בְּכָל־קָרְאֵנוּ</w:t>
      </w:r>
      <w:r w:rsidRPr="00B33854">
        <w:rPr>
          <w:rFonts w:eastAsia="Times New Roman"/>
          <w:rtl/>
          <w:lang w:eastAsia="de-DE"/>
        </w:rPr>
        <w:t xml:space="preserve"> </w:t>
      </w:r>
      <w:r w:rsidRPr="00B33854">
        <w:rPr>
          <w:rFonts w:eastAsia="Times New Roman"/>
          <w:lang w:eastAsia="de-DE"/>
        </w:rPr>
        <w:t>bedeutet „bei all unserem Rufen, in all unserem Rufen, wann immer wir rufen".</w:t>
      </w:r>
    </w:p>
    <w:p w14:paraId="123302BA" w14:textId="4793EB2B"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 xml:space="preserve">Die rhetorische Frage erwartet die Antwort „keine Nation". Der Plural </w:t>
      </w:r>
      <w:r w:rsidRPr="00B33854">
        <w:rPr>
          <w:rFonts w:eastAsia="Times New Roman"/>
          <w:b/>
          <w:bCs/>
          <w:rtl/>
          <w:lang w:eastAsia="de-DE"/>
        </w:rPr>
        <w:t>אֱלֹהִים קְרֹבִים</w:t>
      </w:r>
      <w:r w:rsidRPr="00B33854">
        <w:rPr>
          <w:rFonts w:eastAsia="Times New Roman"/>
          <w:rtl/>
          <w:lang w:eastAsia="de-DE"/>
        </w:rPr>
        <w:t xml:space="preserve"> </w:t>
      </w:r>
      <w:r w:rsidRPr="00B33854">
        <w:rPr>
          <w:rFonts w:eastAsia="Times New Roman"/>
          <w:lang w:eastAsia="de-DE"/>
        </w:rPr>
        <w:t xml:space="preserve">bezieht sich zunächst auf die heidnischen Götter (die als nicht-existent oder ohnmächtig gelten), um dann den Kontrast zu </w:t>
      </w:r>
      <w:r w:rsidR="00ED2181">
        <w:rPr>
          <w:rFonts w:eastAsia="Times New Roman"/>
          <w:lang w:eastAsia="de-DE"/>
        </w:rPr>
        <w:t>JHWH</w:t>
      </w:r>
      <w:r w:rsidRPr="00B33854">
        <w:rPr>
          <w:rFonts w:eastAsia="Times New Roman"/>
          <w:lang w:eastAsia="de-DE"/>
        </w:rPr>
        <w:t xml:space="preserve"> zu betonen, der wahrhaft nahe ist. Die Nähe </w:t>
      </w:r>
      <w:bookmarkStart w:id="2" w:name="_Hlk214896917"/>
      <w:r w:rsidR="00ED2181">
        <w:rPr>
          <w:rFonts w:eastAsia="Times New Roman"/>
          <w:lang w:eastAsia="de-DE"/>
        </w:rPr>
        <w:t>JHWHs</w:t>
      </w:r>
      <w:bookmarkEnd w:id="2"/>
      <w:r w:rsidR="00F90130">
        <w:rPr>
          <w:rFonts w:eastAsia="Times New Roman"/>
          <w:lang w:eastAsia="de-DE"/>
        </w:rPr>
        <w:t xml:space="preserve"> </w:t>
      </w:r>
      <w:r w:rsidRPr="00B33854">
        <w:rPr>
          <w:rFonts w:eastAsia="Times New Roman"/>
          <w:lang w:eastAsia="de-DE"/>
        </w:rPr>
        <w:t>manifestiert sich in seiner Antwortbereitschaft beim Gebet.</w:t>
      </w:r>
    </w:p>
    <w:p w14:paraId="49FC4CBF" w14:textId="33964245"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 xml:space="preserve">Die Satzstruktur ist eine kausale rhetorische Frage mit Subjekt (Nation mit Adjektiv) und Relativsatz mit possessiver Konstruktion, prädikativem Adjektiv und präpositionaler Ergänzung, gefolgt von einem Vergleichssatz mit erweitertem Subjekt und temporaler bzw. modaler Infinitivkonstruktion. Der Kontrast zwischen den fernen heidnischen Göttern und dem nahen </w:t>
      </w:r>
      <w:r w:rsidR="00F90130">
        <w:rPr>
          <w:rFonts w:eastAsia="Times New Roman"/>
          <w:lang w:eastAsia="de-DE"/>
        </w:rPr>
        <w:t>Ewigen</w:t>
      </w:r>
      <w:r w:rsidRPr="00B33854">
        <w:rPr>
          <w:rFonts w:eastAsia="Times New Roman"/>
          <w:lang w:eastAsia="de-DE"/>
        </w:rPr>
        <w:t xml:space="preserve"> wird syntaktisch durch die parallele Struktur unterstrichen.</w:t>
      </w:r>
    </w:p>
    <w:p w14:paraId="6F19178C" w14:textId="10FCDD21"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 xml:space="preserve">Der Vers hebt Israels Einzigartigkeit hervor: Keine andere Nation hat einen Gott, der so zugänglich und antwortbereit ist wie </w:t>
      </w:r>
      <w:r w:rsidR="00F90130">
        <w:rPr>
          <w:rFonts w:eastAsia="Times New Roman"/>
          <w:lang w:eastAsia="de-DE"/>
        </w:rPr>
        <w:t>der Ewige</w:t>
      </w:r>
      <w:r w:rsidRPr="00B33854">
        <w:rPr>
          <w:rFonts w:eastAsia="Times New Roman"/>
          <w:lang w:eastAsia="de-DE"/>
        </w:rPr>
        <w:t>.</w:t>
      </w:r>
    </w:p>
    <w:p w14:paraId="30A93FBC"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4,8</w:t>
      </w:r>
    </w:p>
    <w:p w14:paraId="67FEDC19"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וּמִי֙ גּ֣וֹי גָּד֔וֹל אֲשֶׁר־לוֹ֛ חֻקִּ֥ים וּמִשְׁפָּטִ֖ים צַדִּיקִ֑ם כְּכֹל֙ הַתּוֹרָ֣ה הַזֹּ֔את אֲשֶׁ֧ר אָנֹכִ֛י נֹתֵ֥ן לִפְנֵיכֶ֖ם הַיּֽוֹם׃</w:t>
      </w:r>
    </w:p>
    <w:p w14:paraId="374E8BE4"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lastRenderedPageBreak/>
        <w:t>Deutsch:</w:t>
      </w:r>
      <w:r w:rsidRPr="00B33854">
        <w:rPr>
          <w:rFonts w:eastAsia="Times New Roman"/>
          <w:lang w:eastAsia="de-DE"/>
        </w:rPr>
        <w:t xml:space="preserve"> Und welche große Nation hat so gerechte Gesetze und Rechtsvorschriften wie diese ganze Lehre, die ich vor euch gebend bin heute?</w:t>
      </w:r>
    </w:p>
    <w:p w14:paraId="5B597761"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3579DA6D">
          <v:rect id="_x0000_i1144" style="width:0;height:1.5pt" o:hralign="center" o:hrstd="t" o:hr="t" fillcolor="#a0a0a0" stroked="f"/>
        </w:pict>
      </w:r>
    </w:p>
    <w:p w14:paraId="12459E01"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וּמִי גּוֹי גָּדוֹל</w:t>
      </w:r>
      <w:r w:rsidRPr="00B33854">
        <w:rPr>
          <w:rFonts w:eastAsia="Times New Roman"/>
          <w:rtl/>
          <w:lang w:eastAsia="de-DE"/>
        </w:rPr>
        <w:t xml:space="preserve"> </w:t>
      </w:r>
      <w:r w:rsidRPr="00B33854">
        <w:rPr>
          <w:rFonts w:eastAsia="Times New Roman"/>
          <w:lang w:eastAsia="de-DE"/>
        </w:rPr>
        <w:t xml:space="preserve">ist strukturell parallel zu Vers 7: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 xml:space="preserve">(koordinierend), </w:t>
      </w:r>
      <w:r w:rsidRPr="00B33854">
        <w:rPr>
          <w:rFonts w:eastAsia="Times New Roman"/>
          <w:b/>
          <w:bCs/>
          <w:rtl/>
          <w:lang w:eastAsia="de-DE"/>
        </w:rPr>
        <w:t>מִי</w:t>
      </w:r>
      <w:r w:rsidRPr="00B33854">
        <w:rPr>
          <w:rFonts w:eastAsia="Times New Roman"/>
          <w:rtl/>
          <w:lang w:eastAsia="de-DE"/>
        </w:rPr>
        <w:t xml:space="preserve"> </w:t>
      </w:r>
      <w:r w:rsidRPr="00B33854">
        <w:rPr>
          <w:rFonts w:eastAsia="Times New Roman"/>
          <w:lang w:eastAsia="de-DE"/>
        </w:rPr>
        <w:t xml:space="preserve">als Fragepronomen, </w:t>
      </w:r>
      <w:r w:rsidRPr="00B33854">
        <w:rPr>
          <w:rFonts w:eastAsia="Times New Roman"/>
          <w:b/>
          <w:bCs/>
          <w:rtl/>
          <w:lang w:eastAsia="de-DE"/>
        </w:rPr>
        <w:t>גּוֹי גָּדוֹל</w:t>
      </w:r>
      <w:r w:rsidRPr="00B33854">
        <w:rPr>
          <w:rFonts w:eastAsia="Times New Roman"/>
          <w:rtl/>
          <w:lang w:eastAsia="de-DE"/>
        </w:rPr>
        <w:t xml:space="preserve"> </w:t>
      </w:r>
      <w:r w:rsidRPr="00B33854">
        <w:rPr>
          <w:rFonts w:eastAsia="Times New Roman"/>
          <w:lang w:eastAsia="de-DE"/>
        </w:rPr>
        <w:t xml:space="preserve">als Subjekt. </w:t>
      </w:r>
      <w:r w:rsidRPr="00B33854">
        <w:rPr>
          <w:rFonts w:eastAsia="Times New Roman"/>
          <w:b/>
          <w:bCs/>
          <w:rtl/>
          <w:lang w:eastAsia="de-DE"/>
        </w:rPr>
        <w:t>אֲשֶׁר־לוֹ חֻקִּים וּמִשְׁפָּטִים צַדִּיקִם</w:t>
      </w:r>
      <w:r w:rsidRPr="00B33854">
        <w:rPr>
          <w:rFonts w:eastAsia="Times New Roman"/>
          <w:rtl/>
          <w:lang w:eastAsia="de-DE"/>
        </w:rPr>
        <w:t xml:space="preserve"> </w:t>
      </w:r>
      <w:r w:rsidRPr="00B33854">
        <w:rPr>
          <w:rFonts w:eastAsia="Times New Roman"/>
          <w:lang w:eastAsia="de-DE"/>
        </w:rPr>
        <w:t xml:space="preserve">ist ein Relativsatz: </w:t>
      </w:r>
      <w:r w:rsidRPr="00B33854">
        <w:rPr>
          <w:rFonts w:eastAsia="Times New Roman"/>
          <w:b/>
          <w:bCs/>
          <w:rtl/>
          <w:lang w:eastAsia="de-DE"/>
        </w:rPr>
        <w:t>אֲשֶׁר</w:t>
      </w:r>
      <w:r w:rsidRPr="00B33854">
        <w:rPr>
          <w:rFonts w:eastAsia="Times New Roman"/>
          <w:rtl/>
          <w:lang w:eastAsia="de-DE"/>
        </w:rPr>
        <w:t xml:space="preserve"> </w:t>
      </w:r>
      <w:r w:rsidRPr="00B33854">
        <w:rPr>
          <w:rFonts w:eastAsia="Times New Roman"/>
          <w:lang w:eastAsia="de-DE"/>
        </w:rPr>
        <w:t xml:space="preserve">als Relativpronomen, </w:t>
      </w:r>
      <w:r w:rsidRPr="00B33854">
        <w:rPr>
          <w:rFonts w:eastAsia="Times New Roman"/>
          <w:b/>
          <w:bCs/>
          <w:rtl/>
          <w:lang w:eastAsia="de-DE"/>
        </w:rPr>
        <w:t>לוֹ</w:t>
      </w:r>
      <w:r w:rsidRPr="00B33854">
        <w:rPr>
          <w:rFonts w:eastAsia="Times New Roman"/>
          <w:rtl/>
          <w:lang w:eastAsia="de-DE"/>
        </w:rPr>
        <w:t xml:space="preserve"> </w:t>
      </w:r>
      <w:r w:rsidRPr="00B33854">
        <w:rPr>
          <w:rFonts w:eastAsia="Times New Roman"/>
          <w:lang w:eastAsia="de-DE"/>
        </w:rPr>
        <w:t xml:space="preserve">als Possessivangabe, </w:t>
      </w:r>
      <w:r w:rsidRPr="00B33854">
        <w:rPr>
          <w:rFonts w:eastAsia="Times New Roman"/>
          <w:b/>
          <w:bCs/>
          <w:rtl/>
          <w:lang w:eastAsia="de-DE"/>
        </w:rPr>
        <w:t>חֻקִּים וּמִשְׁפָּטִים</w:t>
      </w:r>
      <w:r w:rsidRPr="00B33854">
        <w:rPr>
          <w:rFonts w:eastAsia="Times New Roman"/>
          <w:rtl/>
          <w:lang w:eastAsia="de-DE"/>
        </w:rPr>
        <w:t xml:space="preserve"> </w:t>
      </w:r>
      <w:r w:rsidRPr="00B33854">
        <w:rPr>
          <w:rFonts w:eastAsia="Times New Roman"/>
          <w:lang w:eastAsia="de-DE"/>
        </w:rPr>
        <w:t xml:space="preserve">als koordinierte Subjekte, </w:t>
      </w:r>
      <w:r w:rsidRPr="00B33854">
        <w:rPr>
          <w:rFonts w:eastAsia="Times New Roman"/>
          <w:b/>
          <w:bCs/>
          <w:rtl/>
          <w:lang w:eastAsia="de-DE"/>
        </w:rPr>
        <w:t>צַדִּיקִם</w:t>
      </w:r>
      <w:r w:rsidRPr="00B33854">
        <w:rPr>
          <w:rFonts w:eastAsia="Times New Roman"/>
          <w:rtl/>
          <w:lang w:eastAsia="de-DE"/>
        </w:rPr>
        <w:t xml:space="preserve"> </w:t>
      </w:r>
      <w:r w:rsidRPr="00B33854">
        <w:rPr>
          <w:rFonts w:eastAsia="Times New Roman"/>
          <w:lang w:eastAsia="de-DE"/>
        </w:rPr>
        <w:t xml:space="preserve">als Adjektiv Plural maskulin von </w:t>
      </w:r>
      <w:r w:rsidRPr="00B33854">
        <w:rPr>
          <w:rFonts w:eastAsia="Times New Roman"/>
          <w:b/>
          <w:bCs/>
          <w:rtl/>
          <w:lang w:eastAsia="de-DE"/>
        </w:rPr>
        <w:t>צַדִּיק</w:t>
      </w:r>
      <w:r w:rsidRPr="00B33854">
        <w:rPr>
          <w:rFonts w:eastAsia="Times New Roman"/>
          <w:rtl/>
          <w:lang w:eastAsia="de-DE"/>
        </w:rPr>
        <w:t xml:space="preserve"> </w:t>
      </w:r>
      <w:r w:rsidRPr="00B33854">
        <w:rPr>
          <w:rFonts w:eastAsia="Times New Roman"/>
          <w:lang w:eastAsia="de-DE"/>
        </w:rPr>
        <w:t>(„gerecht, rechtschaffen"), das beide Substantive attributiv qualifiziert.</w:t>
      </w:r>
    </w:p>
    <w:p w14:paraId="13CB5712" w14:textId="046D80AD"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כְּכֹל הַתּוֹרָה הַזֹּאת</w:t>
      </w:r>
      <w:r w:rsidRPr="00B33854">
        <w:rPr>
          <w:rFonts w:eastAsia="Times New Roman"/>
          <w:rtl/>
          <w:lang w:eastAsia="de-DE"/>
        </w:rPr>
        <w:t xml:space="preserve"> </w:t>
      </w:r>
      <w:r w:rsidRPr="00B33854">
        <w:rPr>
          <w:rFonts w:eastAsia="Times New Roman"/>
          <w:lang w:eastAsia="de-DE"/>
        </w:rPr>
        <w:t xml:space="preserve">ist eine Vergleichskonstruktion: </w:t>
      </w:r>
      <w:r w:rsidRPr="00B33854">
        <w:rPr>
          <w:rFonts w:eastAsia="Times New Roman"/>
          <w:b/>
          <w:bCs/>
          <w:rtl/>
          <w:lang w:eastAsia="de-DE"/>
        </w:rPr>
        <w:t>כְּ</w:t>
      </w:r>
      <w:r w:rsidRPr="00B33854">
        <w:rPr>
          <w:rFonts w:eastAsia="Times New Roman"/>
          <w:rtl/>
          <w:lang w:eastAsia="de-DE"/>
        </w:rPr>
        <w:t xml:space="preserve"> </w:t>
      </w:r>
      <w:r w:rsidRPr="00B33854">
        <w:rPr>
          <w:rFonts w:eastAsia="Times New Roman"/>
          <w:lang w:eastAsia="de-DE"/>
        </w:rPr>
        <w:t xml:space="preserve">(„wie"), verdoppelt in </w:t>
      </w:r>
      <w:r w:rsidRPr="00B33854">
        <w:rPr>
          <w:rFonts w:eastAsia="Times New Roman"/>
          <w:b/>
          <w:bCs/>
          <w:rtl/>
          <w:lang w:eastAsia="de-DE"/>
        </w:rPr>
        <w:t>כְּכֹל</w:t>
      </w:r>
      <w:r w:rsidRPr="00B33854">
        <w:rPr>
          <w:rFonts w:eastAsia="Times New Roman"/>
          <w:rtl/>
          <w:lang w:eastAsia="de-DE"/>
        </w:rPr>
        <w:t xml:space="preserve"> </w:t>
      </w:r>
      <w:r w:rsidRPr="00B33854">
        <w:rPr>
          <w:rFonts w:eastAsia="Times New Roman"/>
          <w:lang w:eastAsia="de-DE"/>
        </w:rPr>
        <w:t xml:space="preserve">(„wie all, wie diese ganze"), </w:t>
      </w:r>
      <w:r w:rsidRPr="00B33854">
        <w:rPr>
          <w:rFonts w:eastAsia="Times New Roman"/>
          <w:b/>
          <w:bCs/>
          <w:rtl/>
          <w:lang w:eastAsia="de-DE"/>
        </w:rPr>
        <w:t>הַתּוֹרָה</w:t>
      </w:r>
      <w:r w:rsidRPr="00B33854">
        <w:rPr>
          <w:rFonts w:eastAsia="Times New Roman"/>
          <w:rtl/>
          <w:lang w:eastAsia="de-DE"/>
        </w:rPr>
        <w:t xml:space="preserve"> </w:t>
      </w:r>
      <w:r w:rsidRPr="00B33854">
        <w:rPr>
          <w:rFonts w:eastAsia="Times New Roman"/>
          <w:lang w:eastAsia="de-DE"/>
        </w:rPr>
        <w:t xml:space="preserve">(„die </w:t>
      </w:r>
      <w:r w:rsidR="006D3FED">
        <w:rPr>
          <w:rFonts w:eastAsia="Times New Roman"/>
          <w:lang w:eastAsia="de-DE"/>
        </w:rPr>
        <w:t>Torah</w:t>
      </w:r>
      <w:r w:rsidRPr="00B33854">
        <w:rPr>
          <w:rFonts w:eastAsia="Times New Roman"/>
          <w:lang w:eastAsia="de-DE"/>
        </w:rPr>
        <w:t xml:space="preserve">, die Lehre, die Weisung", mit Artikel), </w:t>
      </w:r>
      <w:r w:rsidRPr="00B33854">
        <w:rPr>
          <w:rFonts w:eastAsia="Times New Roman"/>
          <w:b/>
          <w:bCs/>
          <w:rtl/>
          <w:lang w:eastAsia="de-DE"/>
        </w:rPr>
        <w:t>הַזֹּאת</w:t>
      </w:r>
      <w:r w:rsidRPr="00B33854">
        <w:rPr>
          <w:rFonts w:eastAsia="Times New Roman"/>
          <w:rtl/>
          <w:lang w:eastAsia="de-DE"/>
        </w:rPr>
        <w:t xml:space="preserve"> </w:t>
      </w:r>
      <w:r w:rsidRPr="00B33854">
        <w:rPr>
          <w:rFonts w:eastAsia="Times New Roman"/>
          <w:lang w:eastAsia="de-DE"/>
        </w:rPr>
        <w:t xml:space="preserve">als Demonstrativpronomen mit Artikel. </w:t>
      </w:r>
      <w:r w:rsidRPr="00B33854">
        <w:rPr>
          <w:rFonts w:eastAsia="Times New Roman"/>
          <w:b/>
          <w:bCs/>
          <w:rtl/>
          <w:lang w:eastAsia="de-DE"/>
        </w:rPr>
        <w:t>אֲשֶׁר אָנֹכִי נֹתֵן לִפְנֵיכֶם הַיּוֹם</w:t>
      </w:r>
      <w:r w:rsidRPr="00B33854">
        <w:rPr>
          <w:rFonts w:eastAsia="Times New Roman"/>
          <w:rtl/>
          <w:lang w:eastAsia="de-DE"/>
        </w:rPr>
        <w:t xml:space="preserve"> </w:t>
      </w:r>
      <w:r w:rsidRPr="00B33854">
        <w:rPr>
          <w:rFonts w:eastAsia="Times New Roman"/>
          <w:lang w:eastAsia="de-DE"/>
        </w:rPr>
        <w:t xml:space="preserve">ist ein Relativsatz: </w:t>
      </w:r>
      <w:r w:rsidRPr="00B33854">
        <w:rPr>
          <w:rFonts w:eastAsia="Times New Roman"/>
          <w:b/>
          <w:bCs/>
          <w:rtl/>
          <w:lang w:eastAsia="de-DE"/>
        </w:rPr>
        <w:t>אֲשֶׁר</w:t>
      </w:r>
      <w:r w:rsidRPr="00B33854">
        <w:rPr>
          <w:rFonts w:eastAsia="Times New Roman"/>
          <w:rtl/>
          <w:lang w:eastAsia="de-DE"/>
        </w:rPr>
        <w:t xml:space="preserve"> </w:t>
      </w:r>
      <w:r w:rsidRPr="00B33854">
        <w:rPr>
          <w:rFonts w:eastAsia="Times New Roman"/>
          <w:lang w:eastAsia="de-DE"/>
        </w:rPr>
        <w:t xml:space="preserve">als Relativpronomen, </w:t>
      </w:r>
      <w:r w:rsidRPr="00B33854">
        <w:rPr>
          <w:rFonts w:eastAsia="Times New Roman"/>
          <w:b/>
          <w:bCs/>
          <w:rtl/>
          <w:lang w:eastAsia="de-DE"/>
        </w:rPr>
        <w:t>אָנֹכִי</w:t>
      </w:r>
      <w:r w:rsidRPr="00B33854">
        <w:rPr>
          <w:rFonts w:eastAsia="Times New Roman"/>
          <w:rtl/>
          <w:lang w:eastAsia="de-DE"/>
        </w:rPr>
        <w:t xml:space="preserve"> </w:t>
      </w:r>
      <w:r w:rsidRPr="00B33854">
        <w:rPr>
          <w:rFonts w:eastAsia="Times New Roman"/>
          <w:lang w:eastAsia="de-DE"/>
        </w:rPr>
        <w:t xml:space="preserve">als emphatisches Personalpronomen, </w:t>
      </w:r>
      <w:r w:rsidRPr="00B33854">
        <w:rPr>
          <w:rFonts w:eastAsia="Times New Roman"/>
          <w:b/>
          <w:bCs/>
          <w:rtl/>
          <w:lang w:eastAsia="de-DE"/>
        </w:rPr>
        <w:t>נֹתֵן</w:t>
      </w:r>
      <w:r w:rsidRPr="00B33854">
        <w:rPr>
          <w:rFonts w:eastAsia="Times New Roman"/>
          <w:rtl/>
          <w:lang w:eastAsia="de-DE"/>
        </w:rPr>
        <w:t xml:space="preserve"> </w:t>
      </w:r>
      <w:r w:rsidRPr="00B33854">
        <w:rPr>
          <w:rFonts w:eastAsia="Times New Roman"/>
          <w:lang w:eastAsia="de-DE"/>
        </w:rPr>
        <w:t xml:space="preserve">als Qal Partizip Singular maskulin von </w:t>
      </w:r>
      <w:r w:rsidRPr="00B33854">
        <w:rPr>
          <w:rFonts w:eastAsia="Times New Roman"/>
          <w:b/>
          <w:bCs/>
          <w:rtl/>
          <w:lang w:eastAsia="de-DE"/>
        </w:rPr>
        <w:t>נתן</w:t>
      </w:r>
      <w:r w:rsidRPr="00B33854">
        <w:rPr>
          <w:rFonts w:eastAsia="Times New Roman"/>
          <w:rtl/>
          <w:lang w:eastAsia="de-DE"/>
        </w:rPr>
        <w:t xml:space="preserve"> </w:t>
      </w:r>
      <w:r w:rsidRPr="00B33854">
        <w:rPr>
          <w:rFonts w:eastAsia="Times New Roman"/>
          <w:lang w:eastAsia="de-DE"/>
        </w:rPr>
        <w:t xml:space="preserve">(„geben, gebend"), </w:t>
      </w:r>
      <w:r w:rsidRPr="00B33854">
        <w:rPr>
          <w:rFonts w:eastAsia="Times New Roman"/>
          <w:b/>
          <w:bCs/>
          <w:rtl/>
          <w:lang w:eastAsia="de-DE"/>
        </w:rPr>
        <w:t>לִפְנֵיכֶם</w:t>
      </w:r>
      <w:r w:rsidRPr="00B33854">
        <w:rPr>
          <w:rFonts w:eastAsia="Times New Roman"/>
          <w:rtl/>
          <w:lang w:eastAsia="de-DE"/>
        </w:rPr>
        <w:t xml:space="preserve"> </w:t>
      </w:r>
      <w:r w:rsidRPr="00B33854">
        <w:rPr>
          <w:rFonts w:eastAsia="Times New Roman"/>
          <w:lang w:eastAsia="de-DE"/>
        </w:rPr>
        <w:t>als idiomatische Wendung (</w:t>
      </w:r>
      <w:r w:rsidRPr="00B33854">
        <w:rPr>
          <w:rFonts w:eastAsia="Times New Roman"/>
          <w:b/>
          <w:bCs/>
          <w:rtl/>
          <w:lang w:eastAsia="de-DE"/>
        </w:rPr>
        <w:t>לִפְנֵי</w:t>
      </w:r>
      <w:r w:rsidRPr="00B33854">
        <w:rPr>
          <w:rFonts w:eastAsia="Times New Roman"/>
          <w:rtl/>
          <w:lang w:eastAsia="de-DE"/>
        </w:rPr>
        <w:t xml:space="preserve"> </w:t>
      </w:r>
      <w:r w:rsidRPr="00B33854">
        <w:rPr>
          <w:rFonts w:eastAsia="Times New Roman"/>
          <w:lang w:eastAsia="de-DE"/>
        </w:rPr>
        <w:t xml:space="preserve">mit Suffix 2. Person Plural maskulin, „vor euch"), </w:t>
      </w:r>
      <w:r w:rsidRPr="00B33854">
        <w:rPr>
          <w:rFonts w:eastAsia="Times New Roman"/>
          <w:b/>
          <w:bCs/>
          <w:rtl/>
          <w:lang w:eastAsia="de-DE"/>
        </w:rPr>
        <w:t>הַיּוֹם</w:t>
      </w:r>
      <w:r w:rsidRPr="00B33854">
        <w:rPr>
          <w:rFonts w:eastAsia="Times New Roman"/>
          <w:rtl/>
          <w:lang w:eastAsia="de-DE"/>
        </w:rPr>
        <w:t xml:space="preserve"> </w:t>
      </w:r>
      <w:r w:rsidRPr="00B33854">
        <w:rPr>
          <w:rFonts w:eastAsia="Times New Roman"/>
          <w:lang w:eastAsia="de-DE"/>
        </w:rPr>
        <w:t>als temporales Adverb.</w:t>
      </w:r>
    </w:p>
    <w:p w14:paraId="7AD804AF"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 xml:space="preserve">Der Begriff </w:t>
      </w:r>
      <w:r w:rsidRPr="00B33854">
        <w:rPr>
          <w:rFonts w:eastAsia="Times New Roman"/>
          <w:b/>
          <w:bCs/>
          <w:rtl/>
          <w:lang w:eastAsia="de-DE"/>
        </w:rPr>
        <w:t>תּוֹרָה</w:t>
      </w:r>
      <w:r w:rsidRPr="00B33854">
        <w:rPr>
          <w:rFonts w:eastAsia="Times New Roman"/>
          <w:rtl/>
          <w:lang w:eastAsia="de-DE"/>
        </w:rPr>
        <w:t xml:space="preserve"> </w:t>
      </w:r>
      <w:r w:rsidRPr="00B33854">
        <w:rPr>
          <w:rFonts w:eastAsia="Times New Roman"/>
          <w:lang w:eastAsia="de-DE"/>
        </w:rPr>
        <w:t xml:space="preserve">erscheint hier zum ersten Mal im Deuteronomium und umfasst die Gesamtheit der göttlichen Weisung. Das Adjektiv </w:t>
      </w:r>
      <w:r w:rsidRPr="00B33854">
        <w:rPr>
          <w:rFonts w:eastAsia="Times New Roman"/>
          <w:b/>
          <w:bCs/>
          <w:rtl/>
          <w:lang w:eastAsia="de-DE"/>
        </w:rPr>
        <w:t>צַדִּיקִם</w:t>
      </w:r>
      <w:r w:rsidRPr="00B33854">
        <w:rPr>
          <w:rFonts w:eastAsia="Times New Roman"/>
          <w:rtl/>
          <w:lang w:eastAsia="de-DE"/>
        </w:rPr>
        <w:t xml:space="preserve"> </w:t>
      </w:r>
      <w:r w:rsidRPr="00B33854">
        <w:rPr>
          <w:rFonts w:eastAsia="Times New Roman"/>
          <w:lang w:eastAsia="de-DE"/>
        </w:rPr>
        <w:t>betont nicht nur die formale Korrektheit, sondern auch die inhaltliche Gerechtigkeit der Gebote. Die Parallelität zu Vers 7 unterstreicht zwei Aspekte von Israels Privilegierung: die Nähe Gottes (V. 7) und die Qualität der Gebote (V. 8).</w:t>
      </w:r>
    </w:p>
    <w:p w14:paraId="4C38A1CA"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Die Satzstruktur ist eine koordinierte rhetorische Frage parallel zu Vers 7, mit Subjekt und Relativsatz mit possessiver Konstruktion und koordinierten Subjekten mit gemeinsamem attributivem Adjektiv, gefolgt von einer Vergleichskonstruktion mit Demonstrativpronomen und Relativsatz mit emphatischem Subjekt, partizipialem Prädikat, idiomatischer Ortsangabe und temporalem Adverb. Die Parallelstruktur zu Vers 7 schafft einen poetischen Dualismus: göttliche Nähe und göttliche Gerechtigkeit.</w:t>
      </w:r>
    </w:p>
    <w:p w14:paraId="33A391BC" w14:textId="036C7813"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 xml:space="preserve">Der Vers ergänzt Vers 7 durch einen zweiten Aspekt von Israels Einzigartigkeit: den Besitz einer umfassenden, gerechten </w:t>
      </w:r>
      <w:r w:rsidR="006D3FED">
        <w:rPr>
          <w:rFonts w:eastAsia="Times New Roman"/>
          <w:lang w:eastAsia="de-DE"/>
        </w:rPr>
        <w:t>Torah</w:t>
      </w:r>
      <w:r w:rsidRPr="00B33854">
        <w:rPr>
          <w:rFonts w:eastAsia="Times New Roman"/>
          <w:lang w:eastAsia="de-DE"/>
        </w:rPr>
        <w:t>.</w:t>
      </w:r>
    </w:p>
    <w:p w14:paraId="251A9A7D"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4,9</w:t>
      </w:r>
    </w:p>
    <w:p w14:paraId="08A561F0"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רַ֡ק הִשָּׁ֣מֶר לְךָ֩ וּשְׁמֹ֨ר נַפְשְׁךָ֜ מְאֹ֗ד פֶּן־תִּשְׁכַּ֨ח אֶת־הַדְּבָרִ֜ים אֲשֶׁר־רָא֣וּ עֵינֶ֗יךָ וּפֶן־יָס֨וּרוּ֙ מִלְּבָ֣בְךָ֔ כֹּ֖ל יְמֵ֣י חַיֶּ֑יךָ וְהוֹדַעְתָּ֥ם לְבָנֶ֖יךָ וְלִבְנֵ֥י בָנֶֽיךָ׃</w:t>
      </w:r>
    </w:p>
    <w:p w14:paraId="4BAAF453"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Nur hüte dich und bewahre deine Seele sehr, dass du die Worte nicht vergisst, die deine Augen gesehen haben, und dass sie nicht aus deinem Herzen weichen alle Tage deines Lebens! Und du sollst sie kundtun deinen Söhnen und deinen Enkeln.</w:t>
      </w:r>
    </w:p>
    <w:p w14:paraId="786C0092"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1EBD50E1">
          <v:rect id="_x0000_i1145" style="width:0;height:1.5pt" o:hralign="center" o:hrstd="t" o:hr="t" fillcolor="#a0a0a0" stroked="f"/>
        </w:pict>
      </w:r>
    </w:p>
    <w:p w14:paraId="625EDADF"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רַק</w:t>
      </w:r>
      <w:r w:rsidRPr="00B33854">
        <w:rPr>
          <w:rFonts w:eastAsia="Times New Roman"/>
          <w:rtl/>
          <w:lang w:eastAsia="de-DE"/>
        </w:rPr>
        <w:t xml:space="preserve"> </w:t>
      </w:r>
      <w:r w:rsidRPr="00B33854">
        <w:rPr>
          <w:rFonts w:eastAsia="Times New Roman"/>
          <w:lang w:eastAsia="de-DE"/>
        </w:rPr>
        <w:t xml:space="preserve">ist eine restriktive bzw. emphatische Partikel („nur, jedoch"). </w:t>
      </w:r>
      <w:r w:rsidRPr="00B33854">
        <w:rPr>
          <w:rFonts w:eastAsia="Times New Roman"/>
          <w:b/>
          <w:bCs/>
          <w:rtl/>
          <w:lang w:eastAsia="de-DE"/>
        </w:rPr>
        <w:t>הִשָּׁמֶר לְךָ</w:t>
      </w:r>
      <w:r w:rsidRPr="00B33854">
        <w:rPr>
          <w:rFonts w:eastAsia="Times New Roman"/>
          <w:rtl/>
          <w:lang w:eastAsia="de-DE"/>
        </w:rPr>
        <w:t xml:space="preserve"> </w:t>
      </w:r>
      <w:r w:rsidRPr="00B33854">
        <w:rPr>
          <w:rFonts w:eastAsia="Times New Roman"/>
          <w:lang w:eastAsia="de-DE"/>
        </w:rPr>
        <w:t xml:space="preserve">ist Nifal Imperativ, 2. Person Singular maskulin von </w:t>
      </w:r>
      <w:r w:rsidRPr="00B33854">
        <w:rPr>
          <w:rFonts w:eastAsia="Times New Roman"/>
          <w:b/>
          <w:bCs/>
          <w:rtl/>
          <w:lang w:eastAsia="de-DE"/>
        </w:rPr>
        <w:t>שׁמר</w:t>
      </w:r>
      <w:r w:rsidRPr="00B33854">
        <w:rPr>
          <w:rFonts w:eastAsia="Times New Roman"/>
          <w:rtl/>
          <w:lang w:eastAsia="de-DE"/>
        </w:rPr>
        <w:t xml:space="preserve"> </w:t>
      </w:r>
      <w:r w:rsidRPr="00B33854">
        <w:rPr>
          <w:rFonts w:eastAsia="Times New Roman"/>
          <w:lang w:eastAsia="de-DE"/>
        </w:rPr>
        <w:t xml:space="preserve">(„sich hüten") mit reflexivem Dativ </w:t>
      </w:r>
      <w:r w:rsidRPr="00B33854">
        <w:rPr>
          <w:rFonts w:eastAsia="Times New Roman"/>
          <w:b/>
          <w:bCs/>
          <w:rtl/>
          <w:lang w:eastAsia="de-DE"/>
        </w:rPr>
        <w:t>לְךָ</w:t>
      </w:r>
      <w:r w:rsidRPr="00B33854">
        <w:rPr>
          <w:rFonts w:eastAsia="Times New Roman"/>
          <w:rtl/>
          <w:lang w:eastAsia="de-DE"/>
        </w:rPr>
        <w:t xml:space="preserve"> </w:t>
      </w:r>
      <w:r w:rsidRPr="00B33854">
        <w:rPr>
          <w:rFonts w:eastAsia="Times New Roman"/>
          <w:lang w:eastAsia="de-DE"/>
        </w:rPr>
        <w:lastRenderedPageBreak/>
        <w:t xml:space="preserve">(„für dich selbst"). </w:t>
      </w:r>
      <w:r w:rsidRPr="00B33854">
        <w:rPr>
          <w:rFonts w:eastAsia="Times New Roman"/>
          <w:b/>
          <w:bCs/>
          <w:rtl/>
          <w:lang w:eastAsia="de-DE"/>
        </w:rPr>
        <w:t>וּשְׁמֹר נַפְשְׁךָ מְאֹד</w:t>
      </w:r>
      <w:r w:rsidRPr="00B33854">
        <w:rPr>
          <w:rFonts w:eastAsia="Times New Roman"/>
          <w:rtl/>
          <w:lang w:eastAsia="de-DE"/>
        </w:rPr>
        <w:t xml:space="preserve"> </w:t>
      </w:r>
      <w:r w:rsidRPr="00B33854">
        <w:rPr>
          <w:rFonts w:eastAsia="Times New Roman"/>
          <w:lang w:eastAsia="de-DE"/>
        </w:rPr>
        <w:t xml:space="preserve">ist koordiniert: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 xml:space="preserve">mit Qal Imperativ, 2. Person Singular maskulin von </w:t>
      </w:r>
      <w:r w:rsidRPr="00B33854">
        <w:rPr>
          <w:rFonts w:eastAsia="Times New Roman"/>
          <w:b/>
          <w:bCs/>
          <w:rtl/>
          <w:lang w:eastAsia="de-DE"/>
        </w:rPr>
        <w:t>שׁמר</w:t>
      </w:r>
      <w:r w:rsidRPr="00B33854">
        <w:rPr>
          <w:rFonts w:eastAsia="Times New Roman"/>
          <w:rtl/>
          <w:lang w:eastAsia="de-DE"/>
        </w:rPr>
        <w:t xml:space="preserve"> </w:t>
      </w:r>
      <w:r w:rsidRPr="00B33854">
        <w:rPr>
          <w:rFonts w:eastAsia="Times New Roman"/>
          <w:lang w:eastAsia="de-DE"/>
        </w:rPr>
        <w:t xml:space="preserve">(„bewahren, behüten"), </w:t>
      </w:r>
      <w:r w:rsidRPr="00B33854">
        <w:rPr>
          <w:rFonts w:eastAsia="Times New Roman"/>
          <w:b/>
          <w:bCs/>
          <w:rtl/>
          <w:lang w:eastAsia="de-DE"/>
        </w:rPr>
        <w:t>נַפְשְׁךָ</w:t>
      </w:r>
      <w:r w:rsidRPr="00B33854">
        <w:rPr>
          <w:rFonts w:eastAsia="Times New Roman"/>
          <w:rtl/>
          <w:lang w:eastAsia="de-DE"/>
        </w:rPr>
        <w:t xml:space="preserve"> </w:t>
      </w:r>
      <w:r w:rsidRPr="00B33854">
        <w:rPr>
          <w:rFonts w:eastAsia="Times New Roman"/>
          <w:lang w:eastAsia="de-DE"/>
        </w:rPr>
        <w:t>als direktes Objekt (</w:t>
      </w:r>
      <w:r w:rsidRPr="00B33854">
        <w:rPr>
          <w:rFonts w:eastAsia="Times New Roman"/>
          <w:b/>
          <w:bCs/>
          <w:rtl/>
          <w:lang w:eastAsia="de-DE"/>
        </w:rPr>
        <w:t>נֶפֶשׁ</w:t>
      </w:r>
      <w:r w:rsidRPr="00B33854">
        <w:rPr>
          <w:rFonts w:eastAsia="Times New Roman"/>
          <w:lang w:eastAsia="de-DE"/>
        </w:rPr>
        <w:t xml:space="preserve">, „Seele, Leben", mit Suffix 2. Person Singular maskulin), </w:t>
      </w:r>
      <w:r w:rsidRPr="00B33854">
        <w:rPr>
          <w:rFonts w:eastAsia="Times New Roman"/>
          <w:b/>
          <w:bCs/>
          <w:rtl/>
          <w:lang w:eastAsia="de-DE"/>
        </w:rPr>
        <w:t>מְאֹד</w:t>
      </w:r>
      <w:r w:rsidRPr="00B33854">
        <w:rPr>
          <w:rFonts w:eastAsia="Times New Roman"/>
          <w:rtl/>
          <w:lang w:eastAsia="de-DE"/>
        </w:rPr>
        <w:t xml:space="preserve"> </w:t>
      </w:r>
      <w:r w:rsidRPr="00B33854">
        <w:rPr>
          <w:rFonts w:eastAsia="Times New Roman"/>
          <w:lang w:eastAsia="de-DE"/>
        </w:rPr>
        <w:t xml:space="preserve">als emphatisches Adverb („sehr"). Die Verdopplung von </w:t>
      </w:r>
      <w:r w:rsidRPr="00B33854">
        <w:rPr>
          <w:rFonts w:eastAsia="Times New Roman"/>
          <w:b/>
          <w:bCs/>
          <w:rtl/>
          <w:lang w:eastAsia="de-DE"/>
        </w:rPr>
        <w:t>שׁמר</w:t>
      </w:r>
      <w:r w:rsidRPr="00B33854">
        <w:rPr>
          <w:rFonts w:eastAsia="Times New Roman"/>
          <w:rtl/>
          <w:lang w:eastAsia="de-DE"/>
        </w:rPr>
        <w:t xml:space="preserve"> </w:t>
      </w:r>
      <w:r w:rsidRPr="00B33854">
        <w:rPr>
          <w:rFonts w:eastAsia="Times New Roman"/>
          <w:lang w:eastAsia="de-DE"/>
        </w:rPr>
        <w:t>in zwei Stämmen (Nifal und Qal) verstärkt die Dringlichkeit.</w:t>
      </w:r>
    </w:p>
    <w:p w14:paraId="6BFF8456"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פֶּן־תִּשְׁכַּח</w:t>
      </w:r>
      <w:r w:rsidRPr="00B33854">
        <w:rPr>
          <w:rFonts w:eastAsia="Times New Roman"/>
          <w:rtl/>
          <w:lang w:eastAsia="de-DE"/>
        </w:rPr>
        <w:t xml:space="preserve"> </w:t>
      </w:r>
      <w:r w:rsidRPr="00B33854">
        <w:rPr>
          <w:rFonts w:eastAsia="Times New Roman"/>
          <w:lang w:eastAsia="de-DE"/>
        </w:rPr>
        <w:t xml:space="preserve">ist eine Warnung: </w:t>
      </w:r>
      <w:r w:rsidRPr="00B33854">
        <w:rPr>
          <w:rFonts w:eastAsia="Times New Roman"/>
          <w:b/>
          <w:bCs/>
          <w:rtl/>
          <w:lang w:eastAsia="de-DE"/>
        </w:rPr>
        <w:t>פֶּן</w:t>
      </w:r>
      <w:r w:rsidRPr="00B33854">
        <w:rPr>
          <w:rFonts w:eastAsia="Times New Roman"/>
          <w:rtl/>
          <w:lang w:eastAsia="de-DE"/>
        </w:rPr>
        <w:t xml:space="preserve"> </w:t>
      </w:r>
      <w:r w:rsidRPr="00B33854">
        <w:rPr>
          <w:rFonts w:eastAsia="Times New Roman"/>
          <w:lang w:eastAsia="de-DE"/>
        </w:rPr>
        <w:t xml:space="preserve">(„damit nicht, dass nicht") mit </w:t>
      </w:r>
      <w:r w:rsidRPr="00B33854">
        <w:rPr>
          <w:rFonts w:eastAsia="Times New Roman"/>
          <w:b/>
          <w:bCs/>
          <w:rtl/>
          <w:lang w:eastAsia="de-DE"/>
        </w:rPr>
        <w:t>תִּשְׁכַּח</w:t>
      </w:r>
      <w:r w:rsidRPr="00B33854">
        <w:rPr>
          <w:rFonts w:eastAsia="Times New Roman"/>
          <w:rtl/>
          <w:lang w:eastAsia="de-DE"/>
        </w:rPr>
        <w:t xml:space="preserve"> </w:t>
      </w:r>
      <w:r w:rsidRPr="00B33854">
        <w:rPr>
          <w:rFonts w:eastAsia="Times New Roman"/>
          <w:lang w:eastAsia="de-DE"/>
        </w:rPr>
        <w:t xml:space="preserve">(Qal Imperfekt, 2. Person Singular maskulin von </w:t>
      </w:r>
      <w:r w:rsidRPr="00B33854">
        <w:rPr>
          <w:rFonts w:eastAsia="Times New Roman"/>
          <w:b/>
          <w:bCs/>
          <w:rtl/>
          <w:lang w:eastAsia="de-DE"/>
        </w:rPr>
        <w:t>שׁכח</w:t>
      </w:r>
      <w:r w:rsidRPr="00B33854">
        <w:rPr>
          <w:rFonts w:eastAsia="Times New Roman"/>
          <w:lang w:eastAsia="de-DE"/>
        </w:rPr>
        <w:t xml:space="preserve">, „vergessen"). </w:t>
      </w:r>
      <w:r w:rsidRPr="00B33854">
        <w:rPr>
          <w:rFonts w:eastAsia="Times New Roman"/>
          <w:b/>
          <w:bCs/>
          <w:rtl/>
          <w:lang w:eastAsia="de-DE"/>
        </w:rPr>
        <w:t>אֶת־הַדְּבָרִים אֲשֶׁר־רָאוּ עֵינֶיךָ</w:t>
      </w:r>
      <w:r w:rsidRPr="00B33854">
        <w:rPr>
          <w:rFonts w:eastAsia="Times New Roman"/>
          <w:rtl/>
          <w:lang w:eastAsia="de-DE"/>
        </w:rPr>
        <w:t xml:space="preserve"> </w:t>
      </w:r>
      <w:r w:rsidRPr="00B33854">
        <w:rPr>
          <w:rFonts w:eastAsia="Times New Roman"/>
          <w:lang w:eastAsia="de-DE"/>
        </w:rPr>
        <w:t xml:space="preserve">ist nota accusativi mit </w:t>
      </w:r>
      <w:r w:rsidRPr="00B33854">
        <w:rPr>
          <w:rFonts w:eastAsia="Times New Roman"/>
          <w:b/>
          <w:bCs/>
          <w:rtl/>
          <w:lang w:eastAsia="de-DE"/>
        </w:rPr>
        <w:t>הַדְּבָרִים</w:t>
      </w:r>
      <w:r w:rsidRPr="00B33854">
        <w:rPr>
          <w:rFonts w:eastAsia="Times New Roman"/>
          <w:rtl/>
          <w:lang w:eastAsia="de-DE"/>
        </w:rPr>
        <w:t xml:space="preserve"> </w:t>
      </w:r>
      <w:r w:rsidRPr="00B33854">
        <w:rPr>
          <w:rFonts w:eastAsia="Times New Roman"/>
          <w:lang w:eastAsia="de-DE"/>
        </w:rPr>
        <w:t xml:space="preserve">(„die Worte, die Dinge", Plural mit Artikel) und Relativsatz: </w:t>
      </w:r>
      <w:r w:rsidRPr="00B33854">
        <w:rPr>
          <w:rFonts w:eastAsia="Times New Roman"/>
          <w:b/>
          <w:bCs/>
          <w:rtl/>
          <w:lang w:eastAsia="de-DE"/>
        </w:rPr>
        <w:t>אֲשֶׁר</w:t>
      </w:r>
      <w:r w:rsidRPr="00B33854">
        <w:rPr>
          <w:rFonts w:eastAsia="Times New Roman"/>
          <w:rtl/>
          <w:lang w:eastAsia="de-DE"/>
        </w:rPr>
        <w:t xml:space="preserve"> </w:t>
      </w:r>
      <w:r w:rsidRPr="00B33854">
        <w:rPr>
          <w:rFonts w:eastAsia="Times New Roman"/>
          <w:lang w:eastAsia="de-DE"/>
        </w:rPr>
        <w:t xml:space="preserve">als Relativpronomen, </w:t>
      </w:r>
      <w:r w:rsidRPr="00B33854">
        <w:rPr>
          <w:rFonts w:eastAsia="Times New Roman"/>
          <w:b/>
          <w:bCs/>
          <w:rtl/>
          <w:lang w:eastAsia="de-DE"/>
        </w:rPr>
        <w:t>רָאוּ</w:t>
      </w:r>
      <w:r w:rsidRPr="00B33854">
        <w:rPr>
          <w:rFonts w:eastAsia="Times New Roman"/>
          <w:rtl/>
          <w:lang w:eastAsia="de-DE"/>
        </w:rPr>
        <w:t xml:space="preserve"> </w:t>
      </w:r>
      <w:r w:rsidRPr="00B33854">
        <w:rPr>
          <w:rFonts w:eastAsia="Times New Roman"/>
          <w:lang w:eastAsia="de-DE"/>
        </w:rPr>
        <w:t xml:space="preserve">als Qal Perfekt, 3. Person Plural von </w:t>
      </w:r>
      <w:r w:rsidRPr="00B33854">
        <w:rPr>
          <w:rFonts w:eastAsia="Times New Roman"/>
          <w:b/>
          <w:bCs/>
          <w:rtl/>
          <w:lang w:eastAsia="de-DE"/>
        </w:rPr>
        <w:t>ראה</w:t>
      </w:r>
      <w:r w:rsidRPr="00B33854">
        <w:rPr>
          <w:rFonts w:eastAsia="Times New Roman"/>
          <w:lang w:eastAsia="de-DE"/>
        </w:rPr>
        <w:t xml:space="preserve">, </w:t>
      </w:r>
      <w:r w:rsidRPr="00B33854">
        <w:rPr>
          <w:rFonts w:eastAsia="Times New Roman"/>
          <w:b/>
          <w:bCs/>
          <w:rtl/>
          <w:lang w:eastAsia="de-DE"/>
        </w:rPr>
        <w:t>עֵינֶיךָ</w:t>
      </w:r>
      <w:r w:rsidRPr="00B33854">
        <w:rPr>
          <w:rFonts w:eastAsia="Times New Roman"/>
          <w:rtl/>
          <w:lang w:eastAsia="de-DE"/>
        </w:rPr>
        <w:t xml:space="preserve"> </w:t>
      </w:r>
      <w:r w:rsidRPr="00B33854">
        <w:rPr>
          <w:rFonts w:eastAsia="Times New Roman"/>
          <w:lang w:eastAsia="de-DE"/>
        </w:rPr>
        <w:t>als Subjekt (Dual mit Suffix 2. Person Singular maskulin).</w:t>
      </w:r>
    </w:p>
    <w:p w14:paraId="4484C397"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וּפֶן־יָסוּרוּ מִלְּבָבְךָ</w:t>
      </w:r>
      <w:r w:rsidRPr="00B33854">
        <w:rPr>
          <w:rFonts w:eastAsia="Times New Roman"/>
          <w:rtl/>
          <w:lang w:eastAsia="de-DE"/>
        </w:rPr>
        <w:t xml:space="preserve"> </w:t>
      </w:r>
      <w:r w:rsidRPr="00B33854">
        <w:rPr>
          <w:rFonts w:eastAsia="Times New Roman"/>
          <w:lang w:eastAsia="de-DE"/>
        </w:rPr>
        <w:t xml:space="preserve">ist koordiniert: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פֶּן</w:t>
      </w:r>
      <w:r w:rsidRPr="00B33854">
        <w:rPr>
          <w:rFonts w:eastAsia="Times New Roman"/>
          <w:lang w:eastAsia="de-DE"/>
        </w:rPr>
        <w:t xml:space="preserve">, </w:t>
      </w:r>
      <w:r w:rsidRPr="00B33854">
        <w:rPr>
          <w:rFonts w:eastAsia="Times New Roman"/>
          <w:b/>
          <w:bCs/>
          <w:rtl/>
          <w:lang w:eastAsia="de-DE"/>
        </w:rPr>
        <w:t>יָסוּרוּ</w:t>
      </w:r>
      <w:r w:rsidRPr="00B33854">
        <w:rPr>
          <w:rFonts w:eastAsia="Times New Roman"/>
          <w:rtl/>
          <w:lang w:eastAsia="de-DE"/>
        </w:rPr>
        <w:t xml:space="preserve"> </w:t>
      </w:r>
      <w:r w:rsidRPr="00B33854">
        <w:rPr>
          <w:rFonts w:eastAsia="Times New Roman"/>
          <w:lang w:eastAsia="de-DE"/>
        </w:rPr>
        <w:t xml:space="preserve">(Qal Imperfekt, 3. Person Plural maskulin von </w:t>
      </w:r>
      <w:r w:rsidRPr="00B33854">
        <w:rPr>
          <w:rFonts w:eastAsia="Times New Roman"/>
          <w:b/>
          <w:bCs/>
          <w:rtl/>
          <w:lang w:eastAsia="de-DE"/>
        </w:rPr>
        <w:t>סור</w:t>
      </w:r>
      <w:r w:rsidRPr="00B33854">
        <w:rPr>
          <w:rFonts w:eastAsia="Times New Roman"/>
          <w:lang w:eastAsia="de-DE"/>
        </w:rPr>
        <w:t xml:space="preserve">, „weichen, abweichen"), </w:t>
      </w:r>
      <w:r w:rsidRPr="00B33854">
        <w:rPr>
          <w:rFonts w:eastAsia="Times New Roman"/>
          <w:b/>
          <w:bCs/>
          <w:rtl/>
          <w:lang w:eastAsia="de-DE"/>
        </w:rPr>
        <w:t>מִלְּבָבְךָ</w:t>
      </w:r>
      <w:r w:rsidRPr="00B33854">
        <w:rPr>
          <w:rFonts w:eastAsia="Times New Roman"/>
          <w:rtl/>
          <w:lang w:eastAsia="de-DE"/>
        </w:rPr>
        <w:t xml:space="preserve"> </w:t>
      </w:r>
      <w:r w:rsidRPr="00B33854">
        <w:rPr>
          <w:rFonts w:eastAsia="Times New Roman"/>
          <w:lang w:eastAsia="de-DE"/>
        </w:rPr>
        <w:t xml:space="preserve">als Präposition </w:t>
      </w:r>
      <w:r w:rsidRPr="00B33854">
        <w:rPr>
          <w:rFonts w:eastAsia="Times New Roman"/>
          <w:b/>
          <w:bCs/>
          <w:rtl/>
          <w:lang w:eastAsia="de-DE"/>
        </w:rPr>
        <w:t>מִן</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לֵבָב</w:t>
      </w:r>
      <w:r w:rsidRPr="00B33854">
        <w:rPr>
          <w:rFonts w:eastAsia="Times New Roman"/>
          <w:rtl/>
          <w:lang w:eastAsia="de-DE"/>
        </w:rPr>
        <w:t xml:space="preserve"> </w:t>
      </w:r>
      <w:r w:rsidRPr="00B33854">
        <w:rPr>
          <w:rFonts w:eastAsia="Times New Roman"/>
          <w:lang w:eastAsia="de-DE"/>
        </w:rPr>
        <w:t xml:space="preserve">(„Herz") und Suffix 2. Person Singular maskulin. </w:t>
      </w:r>
      <w:r w:rsidRPr="00B33854">
        <w:rPr>
          <w:rFonts w:eastAsia="Times New Roman"/>
          <w:b/>
          <w:bCs/>
          <w:rtl/>
          <w:lang w:eastAsia="de-DE"/>
        </w:rPr>
        <w:t>כֹּל יְמֵי חַיֶּיךָ</w:t>
      </w:r>
      <w:r w:rsidRPr="00B33854">
        <w:rPr>
          <w:rFonts w:eastAsia="Times New Roman"/>
          <w:rtl/>
          <w:lang w:eastAsia="de-DE"/>
        </w:rPr>
        <w:t xml:space="preserve"> </w:t>
      </w:r>
      <w:r w:rsidRPr="00B33854">
        <w:rPr>
          <w:rFonts w:eastAsia="Times New Roman"/>
          <w:lang w:eastAsia="de-DE"/>
        </w:rPr>
        <w:t xml:space="preserve">ist eine temporale Bestimmung: </w:t>
      </w:r>
      <w:r w:rsidRPr="00B33854">
        <w:rPr>
          <w:rFonts w:eastAsia="Times New Roman"/>
          <w:b/>
          <w:bCs/>
          <w:rtl/>
          <w:lang w:eastAsia="de-DE"/>
        </w:rPr>
        <w:t>כֹּל</w:t>
      </w:r>
      <w:r w:rsidRPr="00B33854">
        <w:rPr>
          <w:rFonts w:eastAsia="Times New Roman"/>
          <w:rtl/>
          <w:lang w:eastAsia="de-DE"/>
        </w:rPr>
        <w:t xml:space="preserve"> </w:t>
      </w:r>
      <w:r w:rsidRPr="00B33854">
        <w:rPr>
          <w:rFonts w:eastAsia="Times New Roman"/>
          <w:lang w:eastAsia="de-DE"/>
        </w:rPr>
        <w:t xml:space="preserve">im Construct mit </w:t>
      </w:r>
      <w:r w:rsidRPr="00B33854">
        <w:rPr>
          <w:rFonts w:eastAsia="Times New Roman"/>
          <w:b/>
          <w:bCs/>
          <w:rtl/>
          <w:lang w:eastAsia="de-DE"/>
        </w:rPr>
        <w:t>יְמֵי</w:t>
      </w:r>
      <w:r w:rsidRPr="00B33854">
        <w:rPr>
          <w:rFonts w:eastAsia="Times New Roman"/>
          <w:rtl/>
          <w:lang w:eastAsia="de-DE"/>
        </w:rPr>
        <w:t xml:space="preserve"> </w:t>
      </w:r>
      <w:r w:rsidRPr="00B33854">
        <w:rPr>
          <w:rFonts w:eastAsia="Times New Roman"/>
          <w:lang w:eastAsia="de-DE"/>
        </w:rPr>
        <w:t xml:space="preserve">(Plural Construct von </w:t>
      </w:r>
      <w:r w:rsidRPr="00B33854">
        <w:rPr>
          <w:rFonts w:eastAsia="Times New Roman"/>
          <w:b/>
          <w:bCs/>
          <w:rtl/>
          <w:lang w:eastAsia="de-DE"/>
        </w:rPr>
        <w:t>יוֹם</w:t>
      </w:r>
      <w:r w:rsidRPr="00B33854">
        <w:rPr>
          <w:rFonts w:eastAsia="Times New Roman"/>
          <w:lang w:eastAsia="de-DE"/>
        </w:rPr>
        <w:t xml:space="preserve">), </w:t>
      </w:r>
      <w:r w:rsidRPr="00B33854">
        <w:rPr>
          <w:rFonts w:eastAsia="Times New Roman"/>
          <w:b/>
          <w:bCs/>
          <w:rtl/>
          <w:lang w:eastAsia="de-DE"/>
        </w:rPr>
        <w:t>חַיֶּיךָ</w:t>
      </w:r>
      <w:r w:rsidRPr="00B33854">
        <w:rPr>
          <w:rFonts w:eastAsia="Times New Roman"/>
          <w:rtl/>
          <w:lang w:eastAsia="de-DE"/>
        </w:rPr>
        <w:t xml:space="preserve"> </w:t>
      </w:r>
      <w:r w:rsidRPr="00B33854">
        <w:rPr>
          <w:rFonts w:eastAsia="Times New Roman"/>
          <w:lang w:eastAsia="de-DE"/>
        </w:rPr>
        <w:t xml:space="preserve">(Plural von </w:t>
      </w:r>
      <w:r w:rsidRPr="00B33854">
        <w:rPr>
          <w:rFonts w:eastAsia="Times New Roman"/>
          <w:b/>
          <w:bCs/>
          <w:rtl/>
          <w:lang w:eastAsia="de-DE"/>
        </w:rPr>
        <w:t>חַי</w:t>
      </w:r>
      <w:r w:rsidRPr="00B33854">
        <w:rPr>
          <w:rFonts w:eastAsia="Times New Roman"/>
          <w:lang w:eastAsia="de-DE"/>
        </w:rPr>
        <w:t>, „Leben", mit Suffix 2. Person Singular maskulin) – „alle Tage deines Lebens".</w:t>
      </w:r>
    </w:p>
    <w:p w14:paraId="34504482"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וְהוֹדַעְתָּם לְבָנֶיךָ וְלִבְנֵי בָנֶיךָ</w:t>
      </w:r>
      <w:r w:rsidRPr="00B33854">
        <w:rPr>
          <w:rFonts w:eastAsia="Times New Roman"/>
          <w:rtl/>
          <w:lang w:eastAsia="de-DE"/>
        </w:rPr>
        <w:t xml:space="preserve"> </w:t>
      </w:r>
      <w:r w:rsidRPr="00B33854">
        <w:rPr>
          <w:rFonts w:eastAsia="Times New Roman"/>
          <w:lang w:eastAsia="de-DE"/>
        </w:rPr>
        <w:t xml:space="preserve">ist koordiniert: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הוֹדַעְתָּם</w:t>
      </w:r>
      <w:r w:rsidRPr="00B33854">
        <w:rPr>
          <w:rFonts w:eastAsia="Times New Roman"/>
          <w:rtl/>
          <w:lang w:eastAsia="de-DE"/>
        </w:rPr>
        <w:t xml:space="preserve"> </w:t>
      </w:r>
      <w:r w:rsidRPr="00B33854">
        <w:rPr>
          <w:rFonts w:eastAsia="Times New Roman"/>
          <w:lang w:eastAsia="de-DE"/>
        </w:rPr>
        <w:t xml:space="preserve">(Hifil Perfekt consecutivum, 2. Person Singular maskulin von </w:t>
      </w:r>
      <w:r w:rsidRPr="00B33854">
        <w:rPr>
          <w:rFonts w:eastAsia="Times New Roman"/>
          <w:b/>
          <w:bCs/>
          <w:rtl/>
          <w:lang w:eastAsia="de-DE"/>
        </w:rPr>
        <w:t>ידע</w:t>
      </w:r>
      <w:r w:rsidRPr="00B33854">
        <w:rPr>
          <w:rFonts w:eastAsia="Times New Roman"/>
          <w:lang w:eastAsia="de-DE"/>
        </w:rPr>
        <w:t xml:space="preserve">, „kundtun, lehren", mit Suffix 3. Person Plural maskulin als direktes Objekt), </w:t>
      </w:r>
      <w:r w:rsidRPr="00B33854">
        <w:rPr>
          <w:rFonts w:eastAsia="Times New Roman"/>
          <w:b/>
          <w:bCs/>
          <w:rtl/>
          <w:lang w:eastAsia="de-DE"/>
        </w:rPr>
        <w:t>לְבָנֶיךָ</w:t>
      </w:r>
      <w:r w:rsidRPr="00B33854">
        <w:rPr>
          <w:rFonts w:eastAsia="Times New Roman"/>
          <w:rtl/>
          <w:lang w:eastAsia="de-DE"/>
        </w:rPr>
        <w:t xml:space="preserve"> </w:t>
      </w:r>
      <w:r w:rsidRPr="00B33854">
        <w:rPr>
          <w:rFonts w:eastAsia="Times New Roman"/>
          <w:lang w:eastAsia="de-DE"/>
        </w:rPr>
        <w:t xml:space="preserve">als Präposition </w:t>
      </w:r>
      <w:r w:rsidRPr="00B33854">
        <w:rPr>
          <w:rFonts w:eastAsia="Times New Roman"/>
          <w:b/>
          <w:bCs/>
          <w:rtl/>
          <w:lang w:eastAsia="de-DE"/>
        </w:rPr>
        <w:t>לְ</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בָּנִים</w:t>
      </w:r>
      <w:r w:rsidRPr="00B33854">
        <w:rPr>
          <w:rFonts w:eastAsia="Times New Roman"/>
          <w:rtl/>
          <w:lang w:eastAsia="de-DE"/>
        </w:rPr>
        <w:t xml:space="preserve"> </w:t>
      </w:r>
      <w:r w:rsidRPr="00B33854">
        <w:rPr>
          <w:rFonts w:eastAsia="Times New Roman"/>
          <w:lang w:eastAsia="de-DE"/>
        </w:rPr>
        <w:t xml:space="preserve">(Plural von </w:t>
      </w:r>
      <w:r w:rsidRPr="00B33854">
        <w:rPr>
          <w:rFonts w:eastAsia="Times New Roman"/>
          <w:b/>
          <w:bCs/>
          <w:rtl/>
          <w:lang w:eastAsia="de-DE"/>
        </w:rPr>
        <w:t>בֵּן</w:t>
      </w:r>
      <w:r w:rsidRPr="00B33854">
        <w:rPr>
          <w:rFonts w:eastAsia="Times New Roman"/>
          <w:lang w:eastAsia="de-DE"/>
        </w:rPr>
        <w:t xml:space="preserve">, „Sohn") und Suffix 2. Person Singular maskulin, </w:t>
      </w:r>
      <w:r w:rsidRPr="00B33854">
        <w:rPr>
          <w:rFonts w:eastAsia="Times New Roman"/>
          <w:b/>
          <w:bCs/>
          <w:rtl/>
          <w:lang w:eastAsia="de-DE"/>
        </w:rPr>
        <w:t>וְלִבְנֵי בָנֶיךָ</w:t>
      </w:r>
      <w:r w:rsidRPr="00B33854">
        <w:rPr>
          <w:rFonts w:eastAsia="Times New Roman"/>
          <w:rtl/>
          <w:lang w:eastAsia="de-DE"/>
        </w:rPr>
        <w:t xml:space="preserve"> </w:t>
      </w:r>
      <w:r w:rsidRPr="00B33854">
        <w:rPr>
          <w:rFonts w:eastAsia="Times New Roman"/>
          <w:lang w:eastAsia="de-DE"/>
        </w:rPr>
        <w:t>als erweiterte Empfängerangabe (</w:t>
      </w:r>
      <w:r w:rsidRPr="00B33854">
        <w:rPr>
          <w:rFonts w:eastAsia="Times New Roman"/>
          <w:b/>
          <w:bCs/>
          <w:rtl/>
          <w:lang w:eastAsia="de-DE"/>
        </w:rPr>
        <w:t>לְ</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בְּנֵי בָנִים</w:t>
      </w:r>
      <w:r w:rsidRPr="00B33854">
        <w:rPr>
          <w:rFonts w:eastAsia="Times New Roman"/>
          <w:lang w:eastAsia="de-DE"/>
        </w:rPr>
        <w:t>, „Söhne der Söhne", im Construct mit Suffix).</w:t>
      </w:r>
    </w:p>
    <w:p w14:paraId="0661021A"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Die Satzstruktur besteht aus einer emphatischen Partikel, zwei koordinierten Imperativen (einer mit reflexivem Dativ, einer mit direktem Objekt und Adverb), zwei koordinierten Warnungen mit Negation und jeweils eigenem Prädikat und Objekt (die erste mit Relativsatz, die zweite mit temporaler Bestimmung), und einem konsekutiven Verb mit Suffix-Objekt und zweigliedriger Empfängerangabe. Die Struktur betont die doppelte Verantwortung: persönliches Erinnern und generationsübergreifende Weitergabe.</w:t>
      </w:r>
    </w:p>
    <w:p w14:paraId="529A4EE0"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Der Vers mahnt eindringlich zur persönlichen Wachsamkeit gegen das Vergessen der Sinai-Offenbarung und zur Weitergabe dieser Erinnerung an die folgenden Generationen.</w:t>
      </w:r>
    </w:p>
    <w:p w14:paraId="04D0C065" w14:textId="77777777" w:rsidR="00B33854" w:rsidRPr="00B33854" w:rsidRDefault="00B33854" w:rsidP="00B33854">
      <w:pPr>
        <w:spacing w:before="100" w:beforeAutospacing="1" w:after="100" w:afterAutospacing="1" w:line="240" w:lineRule="auto"/>
        <w:outlineLvl w:val="1"/>
        <w:rPr>
          <w:rFonts w:eastAsia="Times New Roman"/>
          <w:b/>
          <w:bCs/>
          <w:sz w:val="36"/>
          <w:szCs w:val="36"/>
          <w:lang w:eastAsia="de-DE"/>
        </w:rPr>
      </w:pPr>
      <w:r w:rsidRPr="00B33854">
        <w:rPr>
          <w:rFonts w:eastAsia="Times New Roman"/>
          <w:b/>
          <w:bCs/>
          <w:sz w:val="36"/>
          <w:szCs w:val="36"/>
          <w:lang w:eastAsia="de-DE"/>
        </w:rPr>
        <w:t>Deuteronomium 4,10</w:t>
      </w:r>
    </w:p>
    <w:p w14:paraId="57718E13"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Hebräisch:</w:t>
      </w:r>
      <w:r w:rsidRPr="00B33854">
        <w:rPr>
          <w:rFonts w:eastAsia="Times New Roman"/>
          <w:lang w:eastAsia="de-DE"/>
        </w:rPr>
        <w:t xml:space="preserve"> </w:t>
      </w:r>
      <w:r w:rsidRPr="00B33854">
        <w:rPr>
          <w:rFonts w:eastAsia="Times New Roman"/>
          <w:rtl/>
          <w:lang w:eastAsia="de-DE"/>
        </w:rPr>
        <w:t>י֗וֹם אֲשֶׁ֨ר עָמַ֜דְתָּ לִפְנֵ֨י יְהוָ֣ה אֱלֹהֶיךָ֮ בְּחֹרֵב֒ בֶּאֱמֹ֨ר יְהוָ֜ה אֵלַ֗י הַקְהֶל־לִי֙ אֶת־הָעָ֔ם וְאַשְׁמִעֵ֖ם אֶת־דְּבָרָ֑י אֲשֶׁ֨ר יִלְמְד֜וּן לְיִרְאָ֣ה אֹתִ֗י כָּל־הַיָּמִים֙ אֲשֶׁ֨ר הֵ֤ם חַיִּים֙ עַל־הָ֣אֲדָמָ֔ה וְאֶת־בְּנֵיהֶ֖ם יְלַמֵּדֽוּן׃</w:t>
      </w:r>
    </w:p>
    <w:p w14:paraId="3A644F43"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Deutsch:</w:t>
      </w:r>
      <w:r w:rsidRPr="00B33854">
        <w:rPr>
          <w:rFonts w:eastAsia="Times New Roman"/>
          <w:lang w:eastAsia="de-DE"/>
        </w:rPr>
        <w:t xml:space="preserve"> Der Tag, als du vor dem Ewigen, deinem Gott, am Chorev standest, als der Ewige zu mir sprach: Versammle mir das Volk, und ich werde sie meine Worte hören lassen, damit sie mich fürchten lernen alle Tage, die sie auf dem Erdboden leben, und die sie ihre Söhne lehren sollen.</w:t>
      </w:r>
    </w:p>
    <w:p w14:paraId="35418772" w14:textId="77777777" w:rsidR="00B33854" w:rsidRPr="00B33854" w:rsidRDefault="004F5CEB" w:rsidP="00B33854">
      <w:pPr>
        <w:spacing w:after="0" w:line="240" w:lineRule="auto"/>
        <w:rPr>
          <w:rFonts w:eastAsia="Times New Roman"/>
          <w:lang w:eastAsia="de-DE"/>
        </w:rPr>
      </w:pPr>
      <w:r>
        <w:rPr>
          <w:rFonts w:eastAsia="Times New Roman"/>
          <w:noProof/>
          <w:lang w:eastAsia="de-DE"/>
        </w:rPr>
        <w:pict w14:anchorId="5FD493F0">
          <v:rect id="_x0000_i1146" style="width:0;height:1.5pt" o:hralign="center" o:hrstd="t" o:hr="t" fillcolor="#a0a0a0" stroked="f"/>
        </w:pict>
      </w:r>
    </w:p>
    <w:p w14:paraId="2DF5EC8B"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lang w:eastAsia="de-DE"/>
        </w:rPr>
        <w:t>Kommentar:</w:t>
      </w:r>
      <w:r w:rsidRPr="00B33854">
        <w:rPr>
          <w:rFonts w:eastAsia="Times New Roman"/>
          <w:lang w:eastAsia="de-DE"/>
        </w:rPr>
        <w:t xml:space="preserve"> </w:t>
      </w:r>
      <w:r w:rsidRPr="00B33854">
        <w:rPr>
          <w:rFonts w:eastAsia="Times New Roman"/>
          <w:b/>
          <w:bCs/>
          <w:rtl/>
          <w:lang w:eastAsia="de-DE"/>
        </w:rPr>
        <w:t>יוֹם</w:t>
      </w:r>
      <w:r w:rsidRPr="00B33854">
        <w:rPr>
          <w:rFonts w:eastAsia="Times New Roman"/>
          <w:rtl/>
          <w:lang w:eastAsia="de-DE"/>
        </w:rPr>
        <w:t xml:space="preserve"> </w:t>
      </w:r>
      <w:r w:rsidRPr="00B33854">
        <w:rPr>
          <w:rFonts w:eastAsia="Times New Roman"/>
          <w:lang w:eastAsia="de-DE"/>
        </w:rPr>
        <w:t xml:space="preserve">ist ein accusativus temporis ohne Präposition, syntaktisch von Vers 9 abhängig („erinnere dich an den Tag"). </w:t>
      </w:r>
      <w:r w:rsidRPr="00B33854">
        <w:rPr>
          <w:rFonts w:eastAsia="Times New Roman"/>
          <w:b/>
          <w:bCs/>
          <w:rtl/>
          <w:lang w:eastAsia="de-DE"/>
        </w:rPr>
        <w:t>אֲשֶׁר עָמַדְתָּ לִפְנֵי יְהוָה אֱלֹהֶיךָ בְּחֹרֵב</w:t>
      </w:r>
      <w:r w:rsidRPr="00B33854">
        <w:rPr>
          <w:rFonts w:eastAsia="Times New Roman"/>
          <w:rtl/>
          <w:lang w:eastAsia="de-DE"/>
        </w:rPr>
        <w:t xml:space="preserve"> </w:t>
      </w:r>
      <w:r w:rsidRPr="00B33854">
        <w:rPr>
          <w:rFonts w:eastAsia="Times New Roman"/>
          <w:lang w:eastAsia="de-DE"/>
        </w:rPr>
        <w:t xml:space="preserve">ist ein Relativsatz: </w:t>
      </w:r>
      <w:r w:rsidRPr="00B33854">
        <w:rPr>
          <w:rFonts w:eastAsia="Times New Roman"/>
          <w:b/>
          <w:bCs/>
          <w:rtl/>
          <w:lang w:eastAsia="de-DE"/>
        </w:rPr>
        <w:lastRenderedPageBreak/>
        <w:t>אֲשֶׁר</w:t>
      </w:r>
      <w:r w:rsidRPr="00B33854">
        <w:rPr>
          <w:rFonts w:eastAsia="Times New Roman"/>
          <w:rtl/>
          <w:lang w:eastAsia="de-DE"/>
        </w:rPr>
        <w:t xml:space="preserve"> </w:t>
      </w:r>
      <w:r w:rsidRPr="00B33854">
        <w:rPr>
          <w:rFonts w:eastAsia="Times New Roman"/>
          <w:lang w:eastAsia="de-DE"/>
        </w:rPr>
        <w:t xml:space="preserve">als Relativpronomen, </w:t>
      </w:r>
      <w:r w:rsidRPr="00B33854">
        <w:rPr>
          <w:rFonts w:eastAsia="Times New Roman"/>
          <w:b/>
          <w:bCs/>
          <w:rtl/>
          <w:lang w:eastAsia="de-DE"/>
        </w:rPr>
        <w:t>עָמַדְתָּ</w:t>
      </w:r>
      <w:r w:rsidRPr="00B33854">
        <w:rPr>
          <w:rFonts w:eastAsia="Times New Roman"/>
          <w:rtl/>
          <w:lang w:eastAsia="de-DE"/>
        </w:rPr>
        <w:t xml:space="preserve"> </w:t>
      </w:r>
      <w:r w:rsidRPr="00B33854">
        <w:rPr>
          <w:rFonts w:eastAsia="Times New Roman"/>
          <w:lang w:eastAsia="de-DE"/>
        </w:rPr>
        <w:t xml:space="preserve">als Qal Perfekt, 2. Person Singular maskulin von </w:t>
      </w:r>
      <w:r w:rsidRPr="00B33854">
        <w:rPr>
          <w:rFonts w:eastAsia="Times New Roman"/>
          <w:b/>
          <w:bCs/>
          <w:rtl/>
          <w:lang w:eastAsia="de-DE"/>
        </w:rPr>
        <w:t>עמד</w:t>
      </w:r>
      <w:r w:rsidRPr="00B33854">
        <w:rPr>
          <w:rFonts w:eastAsia="Times New Roman"/>
          <w:rtl/>
          <w:lang w:eastAsia="de-DE"/>
        </w:rPr>
        <w:t xml:space="preserve"> </w:t>
      </w:r>
      <w:r w:rsidRPr="00B33854">
        <w:rPr>
          <w:rFonts w:eastAsia="Times New Roman"/>
          <w:lang w:eastAsia="de-DE"/>
        </w:rPr>
        <w:t xml:space="preserve">(„stehen"), </w:t>
      </w:r>
      <w:r w:rsidRPr="00B33854">
        <w:rPr>
          <w:rFonts w:eastAsia="Times New Roman"/>
          <w:b/>
          <w:bCs/>
          <w:rtl/>
          <w:lang w:eastAsia="de-DE"/>
        </w:rPr>
        <w:t>לִפְנֵי</w:t>
      </w:r>
      <w:r w:rsidRPr="00B33854">
        <w:rPr>
          <w:rFonts w:eastAsia="Times New Roman"/>
          <w:rtl/>
          <w:lang w:eastAsia="de-DE"/>
        </w:rPr>
        <w:t xml:space="preserve"> </w:t>
      </w:r>
      <w:r w:rsidRPr="00B33854">
        <w:rPr>
          <w:rFonts w:eastAsia="Times New Roman"/>
          <w:lang w:eastAsia="de-DE"/>
        </w:rPr>
        <w:t xml:space="preserve">als Präposition („vor"), </w:t>
      </w:r>
      <w:r w:rsidRPr="00B33854">
        <w:rPr>
          <w:rFonts w:eastAsia="Times New Roman"/>
          <w:b/>
          <w:bCs/>
          <w:rtl/>
          <w:lang w:eastAsia="de-DE"/>
        </w:rPr>
        <w:t>יְהוָה אֱלֹהֶיךָ</w:t>
      </w:r>
      <w:r w:rsidRPr="00B33854">
        <w:rPr>
          <w:rFonts w:eastAsia="Times New Roman"/>
          <w:rtl/>
          <w:lang w:eastAsia="de-DE"/>
        </w:rPr>
        <w:t xml:space="preserve"> </w:t>
      </w:r>
      <w:r w:rsidRPr="00B33854">
        <w:rPr>
          <w:rFonts w:eastAsia="Times New Roman"/>
          <w:lang w:eastAsia="de-DE"/>
        </w:rPr>
        <w:t xml:space="preserve">als erweitertes Objekt mit Suffix 2. Person Singular maskulin, </w:t>
      </w:r>
      <w:r w:rsidRPr="00B33854">
        <w:rPr>
          <w:rFonts w:eastAsia="Times New Roman"/>
          <w:b/>
          <w:bCs/>
          <w:rtl/>
          <w:lang w:eastAsia="de-DE"/>
        </w:rPr>
        <w:t>בְּחֹרֵב</w:t>
      </w:r>
      <w:r w:rsidRPr="00B33854">
        <w:rPr>
          <w:rFonts w:eastAsia="Times New Roman"/>
          <w:rtl/>
          <w:lang w:eastAsia="de-DE"/>
        </w:rPr>
        <w:t xml:space="preserve"> </w:t>
      </w:r>
      <w:r w:rsidRPr="00B33854">
        <w:rPr>
          <w:rFonts w:eastAsia="Times New Roman"/>
          <w:lang w:eastAsia="de-DE"/>
        </w:rPr>
        <w:t>als Ortsangabe (</w:t>
      </w:r>
      <w:r w:rsidRPr="00B33854">
        <w:rPr>
          <w:rFonts w:eastAsia="Times New Roman"/>
          <w:b/>
          <w:bCs/>
          <w:rtl/>
          <w:lang w:eastAsia="de-DE"/>
        </w:rPr>
        <w:t>חֹרֵב</w:t>
      </w:r>
      <w:r w:rsidRPr="00B33854">
        <w:rPr>
          <w:rFonts w:eastAsia="Times New Roman"/>
          <w:lang w:eastAsia="de-DE"/>
        </w:rPr>
        <w:t>, „Horeb", alternativer Name für Sinai).</w:t>
      </w:r>
    </w:p>
    <w:p w14:paraId="4E8058F4"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בֶּאֱמֹר יְהוָה אֵלַי</w:t>
      </w:r>
      <w:r w:rsidRPr="00B33854">
        <w:rPr>
          <w:rFonts w:eastAsia="Times New Roman"/>
          <w:rtl/>
          <w:lang w:eastAsia="de-DE"/>
        </w:rPr>
        <w:t xml:space="preserve"> </w:t>
      </w:r>
      <w:r w:rsidRPr="00B33854">
        <w:rPr>
          <w:rFonts w:eastAsia="Times New Roman"/>
          <w:lang w:eastAsia="de-DE"/>
        </w:rPr>
        <w:t xml:space="preserve">ist eine temporale Konstruktion: </w:t>
      </w:r>
      <w:r w:rsidRPr="00B33854">
        <w:rPr>
          <w:rFonts w:eastAsia="Times New Roman"/>
          <w:b/>
          <w:bCs/>
          <w:rtl/>
          <w:lang w:eastAsia="de-DE"/>
        </w:rPr>
        <w:t>בְּ</w:t>
      </w:r>
      <w:r w:rsidRPr="00B33854">
        <w:rPr>
          <w:rFonts w:eastAsia="Times New Roman"/>
          <w:rtl/>
          <w:lang w:eastAsia="de-DE"/>
        </w:rPr>
        <w:t xml:space="preserve"> </w:t>
      </w:r>
      <w:r w:rsidRPr="00B33854">
        <w:rPr>
          <w:rFonts w:eastAsia="Times New Roman"/>
          <w:lang w:eastAsia="de-DE"/>
        </w:rPr>
        <w:t xml:space="preserve">mit Qal Infinitiv Construct von </w:t>
      </w:r>
      <w:r w:rsidRPr="00B33854">
        <w:rPr>
          <w:rFonts w:eastAsia="Times New Roman"/>
          <w:b/>
          <w:bCs/>
          <w:rtl/>
          <w:lang w:eastAsia="de-DE"/>
        </w:rPr>
        <w:t>אמר</w:t>
      </w:r>
      <w:r w:rsidRPr="00B33854">
        <w:rPr>
          <w:rFonts w:eastAsia="Times New Roman"/>
          <w:rtl/>
          <w:lang w:eastAsia="de-DE"/>
        </w:rPr>
        <w:t xml:space="preserve"> </w:t>
      </w:r>
      <w:r w:rsidRPr="00B33854">
        <w:rPr>
          <w:rFonts w:eastAsia="Times New Roman"/>
          <w:lang w:eastAsia="de-DE"/>
        </w:rPr>
        <w:t xml:space="preserve">(„als... sprach"), </w:t>
      </w:r>
      <w:r w:rsidRPr="00B33854">
        <w:rPr>
          <w:rFonts w:eastAsia="Times New Roman"/>
          <w:b/>
          <w:bCs/>
          <w:rtl/>
          <w:lang w:eastAsia="de-DE"/>
        </w:rPr>
        <w:t>יְהוָה</w:t>
      </w:r>
      <w:r w:rsidRPr="00B33854">
        <w:rPr>
          <w:rFonts w:eastAsia="Times New Roman"/>
          <w:rtl/>
          <w:lang w:eastAsia="de-DE"/>
        </w:rPr>
        <w:t xml:space="preserve"> </w:t>
      </w:r>
      <w:r w:rsidRPr="00B33854">
        <w:rPr>
          <w:rFonts w:eastAsia="Times New Roman"/>
          <w:lang w:eastAsia="de-DE"/>
        </w:rPr>
        <w:t xml:space="preserve">als Subjekt, </w:t>
      </w:r>
      <w:r w:rsidRPr="00B33854">
        <w:rPr>
          <w:rFonts w:eastAsia="Times New Roman"/>
          <w:b/>
          <w:bCs/>
          <w:rtl/>
          <w:lang w:eastAsia="de-DE"/>
        </w:rPr>
        <w:t>אֵלַי</w:t>
      </w:r>
      <w:r w:rsidRPr="00B33854">
        <w:rPr>
          <w:rFonts w:eastAsia="Times New Roman"/>
          <w:rtl/>
          <w:lang w:eastAsia="de-DE"/>
        </w:rPr>
        <w:t xml:space="preserve"> </w:t>
      </w:r>
      <w:r w:rsidRPr="00B33854">
        <w:rPr>
          <w:rFonts w:eastAsia="Times New Roman"/>
          <w:lang w:eastAsia="de-DE"/>
        </w:rPr>
        <w:t xml:space="preserve">als Präposition </w:t>
      </w:r>
      <w:r w:rsidRPr="00B33854">
        <w:rPr>
          <w:rFonts w:eastAsia="Times New Roman"/>
          <w:b/>
          <w:bCs/>
          <w:rtl/>
          <w:lang w:eastAsia="de-DE"/>
        </w:rPr>
        <w:t>אֶל</w:t>
      </w:r>
      <w:r w:rsidRPr="00B33854">
        <w:rPr>
          <w:rFonts w:eastAsia="Times New Roman"/>
          <w:rtl/>
          <w:lang w:eastAsia="de-DE"/>
        </w:rPr>
        <w:t xml:space="preserve"> </w:t>
      </w:r>
      <w:r w:rsidRPr="00B33854">
        <w:rPr>
          <w:rFonts w:eastAsia="Times New Roman"/>
          <w:lang w:eastAsia="de-DE"/>
        </w:rPr>
        <w:t xml:space="preserve">mit Suffix 1. Person Singular. </w:t>
      </w:r>
      <w:r w:rsidRPr="00B33854">
        <w:rPr>
          <w:rFonts w:eastAsia="Times New Roman"/>
          <w:b/>
          <w:bCs/>
          <w:rtl/>
          <w:lang w:eastAsia="de-DE"/>
        </w:rPr>
        <w:t>הַקְהֶל־לִי אֶת־הָעָם</w:t>
      </w:r>
      <w:r w:rsidRPr="00B33854">
        <w:rPr>
          <w:rFonts w:eastAsia="Times New Roman"/>
          <w:rtl/>
          <w:lang w:eastAsia="de-DE"/>
        </w:rPr>
        <w:t xml:space="preserve"> </w:t>
      </w:r>
      <w:r w:rsidRPr="00B33854">
        <w:rPr>
          <w:rFonts w:eastAsia="Times New Roman"/>
          <w:lang w:eastAsia="de-DE"/>
        </w:rPr>
        <w:t xml:space="preserve">ist ein Imperativ mit direkter Rede: </w:t>
      </w:r>
      <w:r w:rsidRPr="00B33854">
        <w:rPr>
          <w:rFonts w:eastAsia="Times New Roman"/>
          <w:b/>
          <w:bCs/>
          <w:rtl/>
          <w:lang w:eastAsia="de-DE"/>
        </w:rPr>
        <w:t>הַקְהֶל</w:t>
      </w:r>
      <w:r w:rsidRPr="00B33854">
        <w:rPr>
          <w:rFonts w:eastAsia="Times New Roman"/>
          <w:rtl/>
          <w:lang w:eastAsia="de-DE"/>
        </w:rPr>
        <w:t xml:space="preserve"> </w:t>
      </w:r>
      <w:r w:rsidRPr="00B33854">
        <w:rPr>
          <w:rFonts w:eastAsia="Times New Roman"/>
          <w:lang w:eastAsia="de-DE"/>
        </w:rPr>
        <w:t xml:space="preserve">(Hifil Imperativ, 2. Person Singular maskulin von </w:t>
      </w:r>
      <w:r w:rsidRPr="00B33854">
        <w:rPr>
          <w:rFonts w:eastAsia="Times New Roman"/>
          <w:b/>
          <w:bCs/>
          <w:rtl/>
          <w:lang w:eastAsia="de-DE"/>
        </w:rPr>
        <w:t>קהל</w:t>
      </w:r>
      <w:r w:rsidRPr="00B33854">
        <w:rPr>
          <w:rFonts w:eastAsia="Times New Roman"/>
          <w:lang w:eastAsia="de-DE"/>
        </w:rPr>
        <w:t xml:space="preserve">, „versammeln"), </w:t>
      </w:r>
      <w:r w:rsidRPr="00B33854">
        <w:rPr>
          <w:rFonts w:eastAsia="Times New Roman"/>
          <w:b/>
          <w:bCs/>
          <w:rtl/>
          <w:lang w:eastAsia="de-DE"/>
        </w:rPr>
        <w:t>לִי</w:t>
      </w:r>
      <w:r w:rsidRPr="00B33854">
        <w:rPr>
          <w:rFonts w:eastAsia="Times New Roman"/>
          <w:rtl/>
          <w:lang w:eastAsia="de-DE"/>
        </w:rPr>
        <w:t xml:space="preserve"> </w:t>
      </w:r>
      <w:r w:rsidRPr="00B33854">
        <w:rPr>
          <w:rFonts w:eastAsia="Times New Roman"/>
          <w:lang w:eastAsia="de-DE"/>
        </w:rPr>
        <w:t xml:space="preserve">als Dativus commodi („für mich"), </w:t>
      </w:r>
      <w:r w:rsidRPr="00B33854">
        <w:rPr>
          <w:rFonts w:eastAsia="Times New Roman"/>
          <w:b/>
          <w:bCs/>
          <w:rtl/>
          <w:lang w:eastAsia="de-DE"/>
        </w:rPr>
        <w:t>אֶת־הָעָם</w:t>
      </w:r>
      <w:r w:rsidRPr="00B33854">
        <w:rPr>
          <w:rFonts w:eastAsia="Times New Roman"/>
          <w:rtl/>
          <w:lang w:eastAsia="de-DE"/>
        </w:rPr>
        <w:t xml:space="preserve"> </w:t>
      </w:r>
      <w:r w:rsidRPr="00B33854">
        <w:rPr>
          <w:rFonts w:eastAsia="Times New Roman"/>
          <w:lang w:eastAsia="de-DE"/>
        </w:rPr>
        <w:t>als direktes Objekt.</w:t>
      </w:r>
    </w:p>
    <w:p w14:paraId="2CE154EB"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וְאַשְׁמִעֵם אֶת־דְּבָרָי</w:t>
      </w:r>
      <w:r w:rsidRPr="00B33854">
        <w:rPr>
          <w:rFonts w:eastAsia="Times New Roman"/>
          <w:rtl/>
          <w:lang w:eastAsia="de-DE"/>
        </w:rPr>
        <w:t xml:space="preserve"> </w:t>
      </w:r>
      <w:r w:rsidRPr="00B33854">
        <w:rPr>
          <w:rFonts w:eastAsia="Times New Roman"/>
          <w:lang w:eastAsia="de-DE"/>
        </w:rPr>
        <w:t xml:space="preserve">ist koordiniert: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 xml:space="preserve">mit </w:t>
      </w:r>
      <w:r w:rsidRPr="00B33854">
        <w:rPr>
          <w:rFonts w:eastAsia="Times New Roman"/>
          <w:b/>
          <w:bCs/>
          <w:rtl/>
          <w:lang w:eastAsia="de-DE"/>
        </w:rPr>
        <w:t>אַשְׁמִעֵם</w:t>
      </w:r>
      <w:r w:rsidRPr="00B33854">
        <w:rPr>
          <w:rFonts w:eastAsia="Times New Roman"/>
          <w:rtl/>
          <w:lang w:eastAsia="de-DE"/>
        </w:rPr>
        <w:t xml:space="preserve"> </w:t>
      </w:r>
      <w:r w:rsidRPr="00B33854">
        <w:rPr>
          <w:rFonts w:eastAsia="Times New Roman"/>
          <w:lang w:eastAsia="de-DE"/>
        </w:rPr>
        <w:t xml:space="preserve">(Hifil Kohortativ, 1. Person Singular von </w:t>
      </w:r>
      <w:r w:rsidRPr="00B33854">
        <w:rPr>
          <w:rFonts w:eastAsia="Times New Roman"/>
          <w:b/>
          <w:bCs/>
          <w:rtl/>
          <w:lang w:eastAsia="de-DE"/>
        </w:rPr>
        <w:t>שׁמע</w:t>
      </w:r>
      <w:r w:rsidRPr="00B33854">
        <w:rPr>
          <w:rFonts w:eastAsia="Times New Roman"/>
          <w:lang w:eastAsia="de-DE"/>
        </w:rPr>
        <w:t xml:space="preserve">, „hören lassen", mit Suffix 3. Person Plural maskulin als indirektes Objekt), </w:t>
      </w:r>
      <w:r w:rsidRPr="00B33854">
        <w:rPr>
          <w:rFonts w:eastAsia="Times New Roman"/>
          <w:b/>
          <w:bCs/>
          <w:rtl/>
          <w:lang w:eastAsia="de-DE"/>
        </w:rPr>
        <w:t>אֶת־דְּבָרָי</w:t>
      </w:r>
      <w:r w:rsidRPr="00B33854">
        <w:rPr>
          <w:rFonts w:eastAsia="Times New Roman"/>
          <w:rtl/>
          <w:lang w:eastAsia="de-DE"/>
        </w:rPr>
        <w:t xml:space="preserve"> </w:t>
      </w:r>
      <w:r w:rsidRPr="00B33854">
        <w:rPr>
          <w:rFonts w:eastAsia="Times New Roman"/>
          <w:lang w:eastAsia="de-DE"/>
        </w:rPr>
        <w:t>als direktes Objekt (</w:t>
      </w:r>
      <w:r w:rsidRPr="00B33854">
        <w:rPr>
          <w:rFonts w:eastAsia="Times New Roman"/>
          <w:b/>
          <w:bCs/>
          <w:rtl/>
          <w:lang w:eastAsia="de-DE"/>
        </w:rPr>
        <w:t>דְּבָרִים</w:t>
      </w:r>
      <w:r w:rsidRPr="00B33854">
        <w:rPr>
          <w:rFonts w:eastAsia="Times New Roman"/>
          <w:rtl/>
          <w:lang w:eastAsia="de-DE"/>
        </w:rPr>
        <w:t xml:space="preserve"> </w:t>
      </w:r>
      <w:r w:rsidRPr="00B33854">
        <w:rPr>
          <w:rFonts w:eastAsia="Times New Roman"/>
          <w:lang w:eastAsia="de-DE"/>
        </w:rPr>
        <w:t xml:space="preserve">Plural Construct von </w:t>
      </w:r>
      <w:r w:rsidRPr="00B33854">
        <w:rPr>
          <w:rFonts w:eastAsia="Times New Roman"/>
          <w:b/>
          <w:bCs/>
          <w:rtl/>
          <w:lang w:eastAsia="de-DE"/>
        </w:rPr>
        <w:t>דָּבָר</w:t>
      </w:r>
      <w:r w:rsidRPr="00B33854">
        <w:rPr>
          <w:rFonts w:eastAsia="Times New Roman"/>
          <w:rtl/>
          <w:lang w:eastAsia="de-DE"/>
        </w:rPr>
        <w:t xml:space="preserve"> </w:t>
      </w:r>
      <w:r w:rsidRPr="00B33854">
        <w:rPr>
          <w:rFonts w:eastAsia="Times New Roman"/>
          <w:lang w:eastAsia="de-DE"/>
        </w:rPr>
        <w:t>mit Suffix 1. Person Singular).</w:t>
      </w:r>
    </w:p>
    <w:p w14:paraId="5B8391C3" w14:textId="10668E41"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אֲשֶׁר יִלְמְדוּן לְיִרְאָה אֹתִי</w:t>
      </w:r>
      <w:r w:rsidRPr="00B33854">
        <w:rPr>
          <w:rFonts w:eastAsia="Times New Roman"/>
          <w:rtl/>
          <w:lang w:eastAsia="de-DE"/>
        </w:rPr>
        <w:t xml:space="preserve"> </w:t>
      </w:r>
      <w:r w:rsidRPr="00B33854">
        <w:rPr>
          <w:rFonts w:eastAsia="Times New Roman"/>
          <w:lang w:eastAsia="de-DE"/>
        </w:rPr>
        <w:t xml:space="preserve">ist ein finaler Relativsatz: </w:t>
      </w:r>
      <w:r w:rsidRPr="00B33854">
        <w:rPr>
          <w:rFonts w:eastAsia="Times New Roman"/>
          <w:b/>
          <w:bCs/>
          <w:rtl/>
          <w:lang w:eastAsia="de-DE"/>
        </w:rPr>
        <w:t>אֲשֶׁר</w:t>
      </w:r>
      <w:r w:rsidRPr="00B33854">
        <w:rPr>
          <w:rFonts w:eastAsia="Times New Roman"/>
          <w:rtl/>
          <w:lang w:eastAsia="de-DE"/>
        </w:rPr>
        <w:t xml:space="preserve"> </w:t>
      </w:r>
      <w:r w:rsidRPr="00B33854">
        <w:rPr>
          <w:rFonts w:eastAsia="Times New Roman"/>
          <w:lang w:eastAsia="de-DE"/>
        </w:rPr>
        <w:t xml:space="preserve">(hier „damit"), </w:t>
      </w:r>
      <w:r w:rsidRPr="00B33854">
        <w:rPr>
          <w:rFonts w:eastAsia="Times New Roman"/>
          <w:b/>
          <w:bCs/>
          <w:rtl/>
          <w:lang w:eastAsia="de-DE"/>
        </w:rPr>
        <w:t>יִלְמְדוּן</w:t>
      </w:r>
      <w:r w:rsidRPr="00B33854">
        <w:rPr>
          <w:rFonts w:eastAsia="Times New Roman"/>
          <w:rtl/>
          <w:lang w:eastAsia="de-DE"/>
        </w:rPr>
        <w:t xml:space="preserve"> </w:t>
      </w:r>
      <w:r w:rsidRPr="00B33854">
        <w:rPr>
          <w:rFonts w:eastAsia="Times New Roman"/>
          <w:lang w:eastAsia="de-DE"/>
        </w:rPr>
        <w:t xml:space="preserve">als Qal Imperfekt, 3. Person Plural maskulin von </w:t>
      </w:r>
      <w:r w:rsidRPr="00B33854">
        <w:rPr>
          <w:rFonts w:eastAsia="Times New Roman"/>
          <w:b/>
          <w:bCs/>
          <w:rtl/>
          <w:lang w:eastAsia="de-DE"/>
        </w:rPr>
        <w:t>למד</w:t>
      </w:r>
      <w:r w:rsidRPr="00B33854">
        <w:rPr>
          <w:rFonts w:eastAsia="Times New Roman"/>
          <w:rtl/>
          <w:lang w:eastAsia="de-DE"/>
        </w:rPr>
        <w:t xml:space="preserve"> </w:t>
      </w:r>
      <w:r w:rsidRPr="00B33854">
        <w:rPr>
          <w:rFonts w:eastAsia="Times New Roman"/>
          <w:lang w:eastAsia="de-DE"/>
        </w:rPr>
        <w:t>(„lernen") mit paragogischem Nun</w:t>
      </w:r>
      <w:r w:rsidR="00DC2F43">
        <w:rPr>
          <w:rFonts w:eastAsia="Times New Roman"/>
          <w:lang w:eastAsia="de-DE"/>
        </w:rPr>
        <w:t xml:space="preserve">. </w:t>
      </w:r>
      <w:r w:rsidR="00DC2F43">
        <w:t>Das paragogische Nun verleiht nicht nur rhythmische Qualität, sondern findet sich gehäuft in feierlichen, archaischen Passagen – passt zur Sinai-Erinnerung.</w:t>
      </w:r>
      <w:r w:rsidRPr="00B33854">
        <w:rPr>
          <w:rFonts w:eastAsia="Times New Roman"/>
          <w:lang w:eastAsia="de-DE"/>
        </w:rPr>
        <w:t xml:space="preserve"> </w:t>
      </w:r>
      <w:r w:rsidRPr="00B33854">
        <w:rPr>
          <w:rFonts w:eastAsia="Times New Roman"/>
          <w:b/>
          <w:bCs/>
          <w:rtl/>
          <w:lang w:eastAsia="de-DE"/>
        </w:rPr>
        <w:t>לְיִרְאָה</w:t>
      </w:r>
      <w:r w:rsidRPr="00B33854">
        <w:rPr>
          <w:rFonts w:eastAsia="Times New Roman"/>
          <w:rtl/>
          <w:lang w:eastAsia="de-DE"/>
        </w:rPr>
        <w:t xml:space="preserve"> </w:t>
      </w:r>
      <w:r w:rsidRPr="00B33854">
        <w:rPr>
          <w:rFonts w:eastAsia="Times New Roman"/>
          <w:lang w:eastAsia="de-DE"/>
        </w:rPr>
        <w:t xml:space="preserve">als Qal Infinitiv Construct von </w:t>
      </w:r>
      <w:r w:rsidRPr="00B33854">
        <w:rPr>
          <w:rFonts w:eastAsia="Times New Roman"/>
          <w:b/>
          <w:bCs/>
          <w:rtl/>
          <w:lang w:eastAsia="de-DE"/>
        </w:rPr>
        <w:t>ירא</w:t>
      </w:r>
      <w:r w:rsidRPr="00B33854">
        <w:rPr>
          <w:rFonts w:eastAsia="Times New Roman"/>
          <w:rtl/>
          <w:lang w:eastAsia="de-DE"/>
        </w:rPr>
        <w:t xml:space="preserve"> </w:t>
      </w:r>
      <w:r w:rsidRPr="00B33854">
        <w:rPr>
          <w:rFonts w:eastAsia="Times New Roman"/>
          <w:lang w:eastAsia="de-DE"/>
        </w:rPr>
        <w:t xml:space="preserve">(„fürchten") mit </w:t>
      </w:r>
      <w:r w:rsidRPr="00B33854">
        <w:rPr>
          <w:rFonts w:eastAsia="Times New Roman"/>
          <w:b/>
          <w:bCs/>
          <w:rtl/>
          <w:lang w:eastAsia="de-DE"/>
        </w:rPr>
        <w:t>לְ</w:t>
      </w:r>
      <w:r w:rsidRPr="00B33854">
        <w:rPr>
          <w:rFonts w:eastAsia="Times New Roman"/>
          <w:rtl/>
          <w:lang w:eastAsia="de-DE"/>
        </w:rPr>
        <w:t xml:space="preserve"> </w:t>
      </w:r>
      <w:r w:rsidRPr="00B33854">
        <w:rPr>
          <w:rFonts w:eastAsia="Times New Roman"/>
          <w:lang w:eastAsia="de-DE"/>
        </w:rPr>
        <w:t xml:space="preserve">(final bzw. gerundial), </w:t>
      </w:r>
      <w:r w:rsidRPr="00B33854">
        <w:rPr>
          <w:rFonts w:eastAsia="Times New Roman"/>
          <w:b/>
          <w:bCs/>
          <w:rtl/>
          <w:lang w:eastAsia="de-DE"/>
        </w:rPr>
        <w:t>אֹתִי</w:t>
      </w:r>
      <w:r w:rsidRPr="00B33854">
        <w:rPr>
          <w:rFonts w:eastAsia="Times New Roman"/>
          <w:rtl/>
          <w:lang w:eastAsia="de-DE"/>
        </w:rPr>
        <w:t xml:space="preserve"> </w:t>
      </w:r>
      <w:r w:rsidRPr="00B33854">
        <w:rPr>
          <w:rFonts w:eastAsia="Times New Roman"/>
          <w:lang w:eastAsia="de-DE"/>
        </w:rPr>
        <w:t xml:space="preserve">als direktes Objekt (nota accusativi mit Suffix 1. Person Singular). </w:t>
      </w:r>
      <w:r w:rsidRPr="00B33854">
        <w:rPr>
          <w:rFonts w:eastAsia="Times New Roman"/>
          <w:b/>
          <w:bCs/>
          <w:rtl/>
          <w:lang w:eastAsia="de-DE"/>
        </w:rPr>
        <w:t>כָּל־הַיָּמִים אֲשֶׁר הֵם חַיִּים עַל־הָאֲדָמָה</w:t>
      </w:r>
      <w:r w:rsidRPr="00B33854">
        <w:rPr>
          <w:rFonts w:eastAsia="Times New Roman"/>
          <w:rtl/>
          <w:lang w:eastAsia="de-DE"/>
        </w:rPr>
        <w:t xml:space="preserve"> </w:t>
      </w:r>
      <w:r w:rsidRPr="00B33854">
        <w:rPr>
          <w:rFonts w:eastAsia="Times New Roman"/>
          <w:lang w:eastAsia="de-DE"/>
        </w:rPr>
        <w:t xml:space="preserve">ist eine temporale Bestimmung: </w:t>
      </w:r>
      <w:r w:rsidRPr="00B33854">
        <w:rPr>
          <w:rFonts w:eastAsia="Times New Roman"/>
          <w:b/>
          <w:bCs/>
          <w:rtl/>
          <w:lang w:eastAsia="de-DE"/>
        </w:rPr>
        <w:t>כָּל־הַיָּמִים</w:t>
      </w:r>
      <w:r w:rsidRPr="00B33854">
        <w:rPr>
          <w:rFonts w:eastAsia="Times New Roman"/>
          <w:rtl/>
          <w:lang w:eastAsia="de-DE"/>
        </w:rPr>
        <w:t xml:space="preserve"> </w:t>
      </w:r>
      <w:r w:rsidRPr="00B33854">
        <w:rPr>
          <w:rFonts w:eastAsia="Times New Roman"/>
          <w:lang w:eastAsia="de-DE"/>
        </w:rPr>
        <w:t xml:space="preserve">(„alle Tage") mit Relativsatz </w:t>
      </w:r>
      <w:r w:rsidRPr="00B33854">
        <w:rPr>
          <w:rFonts w:eastAsia="Times New Roman"/>
          <w:b/>
          <w:bCs/>
          <w:rtl/>
          <w:lang w:eastAsia="de-DE"/>
        </w:rPr>
        <w:t>אֲשֶׁר הֵם חַיִּים</w:t>
      </w:r>
      <w:r w:rsidRPr="00B33854">
        <w:rPr>
          <w:rFonts w:eastAsia="Times New Roman"/>
          <w:rtl/>
          <w:lang w:eastAsia="de-DE"/>
        </w:rPr>
        <w:t xml:space="preserve"> </w:t>
      </w:r>
      <w:r w:rsidRPr="00B33854">
        <w:rPr>
          <w:rFonts w:eastAsia="Times New Roman"/>
          <w:lang w:eastAsia="de-DE"/>
        </w:rPr>
        <w:t>(</w:t>
      </w:r>
      <w:r w:rsidRPr="00B33854">
        <w:rPr>
          <w:rFonts w:eastAsia="Times New Roman"/>
          <w:b/>
          <w:bCs/>
          <w:rtl/>
          <w:lang w:eastAsia="de-DE"/>
        </w:rPr>
        <w:t>הֵם</w:t>
      </w:r>
      <w:r w:rsidRPr="00B33854">
        <w:rPr>
          <w:rFonts w:eastAsia="Times New Roman"/>
          <w:rtl/>
          <w:lang w:eastAsia="de-DE"/>
        </w:rPr>
        <w:t xml:space="preserve"> </w:t>
      </w:r>
      <w:r w:rsidRPr="00B33854">
        <w:rPr>
          <w:rFonts w:eastAsia="Times New Roman"/>
          <w:lang w:eastAsia="de-DE"/>
        </w:rPr>
        <w:t xml:space="preserve">als Subjekt, </w:t>
      </w:r>
      <w:r w:rsidRPr="00B33854">
        <w:rPr>
          <w:rFonts w:eastAsia="Times New Roman"/>
          <w:b/>
          <w:bCs/>
          <w:rtl/>
          <w:lang w:eastAsia="de-DE"/>
        </w:rPr>
        <w:t>חַיִּים</w:t>
      </w:r>
      <w:r w:rsidRPr="00B33854">
        <w:rPr>
          <w:rFonts w:eastAsia="Times New Roman"/>
          <w:rtl/>
          <w:lang w:eastAsia="de-DE"/>
        </w:rPr>
        <w:t xml:space="preserve"> </w:t>
      </w:r>
      <w:r w:rsidRPr="00B33854">
        <w:rPr>
          <w:rFonts w:eastAsia="Times New Roman"/>
          <w:lang w:eastAsia="de-DE"/>
        </w:rPr>
        <w:t xml:space="preserve">als Qal Partizip Plural maskulin von </w:t>
      </w:r>
      <w:r w:rsidRPr="00B33854">
        <w:rPr>
          <w:rFonts w:eastAsia="Times New Roman"/>
          <w:b/>
          <w:bCs/>
          <w:rtl/>
          <w:lang w:eastAsia="de-DE"/>
        </w:rPr>
        <w:t>חיה</w:t>
      </w:r>
      <w:r w:rsidRPr="00B33854">
        <w:rPr>
          <w:rFonts w:eastAsia="Times New Roman"/>
          <w:lang w:eastAsia="de-DE"/>
        </w:rPr>
        <w:t xml:space="preserve">, „lebend"), </w:t>
      </w:r>
      <w:r w:rsidRPr="00B33854">
        <w:rPr>
          <w:rFonts w:eastAsia="Times New Roman"/>
          <w:b/>
          <w:bCs/>
          <w:rtl/>
          <w:lang w:eastAsia="de-DE"/>
        </w:rPr>
        <w:t>עַל־הָאֲדָמָה</w:t>
      </w:r>
      <w:r w:rsidRPr="00B33854">
        <w:rPr>
          <w:rFonts w:eastAsia="Times New Roman"/>
          <w:rtl/>
          <w:lang w:eastAsia="de-DE"/>
        </w:rPr>
        <w:t xml:space="preserve"> </w:t>
      </w:r>
      <w:r w:rsidRPr="00B33854">
        <w:rPr>
          <w:rFonts w:eastAsia="Times New Roman"/>
          <w:lang w:eastAsia="de-DE"/>
        </w:rPr>
        <w:t>als Ortsangabe.</w:t>
      </w:r>
    </w:p>
    <w:p w14:paraId="617BD03C"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b/>
          <w:bCs/>
          <w:rtl/>
          <w:lang w:eastAsia="de-DE"/>
        </w:rPr>
        <w:t>וְאֶת־בְּנֵיהֶם יְלַמֵּדוּן</w:t>
      </w:r>
      <w:r w:rsidRPr="00B33854">
        <w:rPr>
          <w:rFonts w:eastAsia="Times New Roman"/>
          <w:rtl/>
          <w:lang w:eastAsia="de-DE"/>
        </w:rPr>
        <w:t xml:space="preserve"> </w:t>
      </w:r>
      <w:r w:rsidRPr="00B33854">
        <w:rPr>
          <w:rFonts w:eastAsia="Times New Roman"/>
          <w:lang w:eastAsia="de-DE"/>
        </w:rPr>
        <w:t xml:space="preserve">ist ein weiterer finaler Satz: </w:t>
      </w:r>
      <w:r w:rsidRPr="00B33854">
        <w:rPr>
          <w:rFonts w:eastAsia="Times New Roman"/>
          <w:b/>
          <w:bCs/>
          <w:rtl/>
          <w:lang w:eastAsia="de-DE"/>
        </w:rPr>
        <w:t>וְ</w:t>
      </w:r>
      <w:r w:rsidRPr="00B33854">
        <w:rPr>
          <w:rFonts w:eastAsia="Times New Roman"/>
          <w:rtl/>
          <w:lang w:eastAsia="de-DE"/>
        </w:rPr>
        <w:t xml:space="preserve"> </w:t>
      </w:r>
      <w:r w:rsidRPr="00B33854">
        <w:rPr>
          <w:rFonts w:eastAsia="Times New Roman"/>
          <w:lang w:eastAsia="de-DE"/>
        </w:rPr>
        <w:t xml:space="preserve">(hier „und dass"), </w:t>
      </w:r>
      <w:r w:rsidRPr="00B33854">
        <w:rPr>
          <w:rFonts w:eastAsia="Times New Roman"/>
          <w:b/>
          <w:bCs/>
          <w:rtl/>
          <w:lang w:eastAsia="de-DE"/>
        </w:rPr>
        <w:t>אֶת־בְּנֵיהֶם</w:t>
      </w:r>
      <w:r w:rsidRPr="00B33854">
        <w:rPr>
          <w:rFonts w:eastAsia="Times New Roman"/>
          <w:rtl/>
          <w:lang w:eastAsia="de-DE"/>
        </w:rPr>
        <w:t xml:space="preserve"> </w:t>
      </w:r>
      <w:r w:rsidRPr="00B33854">
        <w:rPr>
          <w:rFonts w:eastAsia="Times New Roman"/>
          <w:lang w:eastAsia="de-DE"/>
        </w:rPr>
        <w:t>als direktes Objekt (</w:t>
      </w:r>
      <w:r w:rsidRPr="00B33854">
        <w:rPr>
          <w:rFonts w:eastAsia="Times New Roman"/>
          <w:b/>
          <w:bCs/>
          <w:rtl/>
          <w:lang w:eastAsia="de-DE"/>
        </w:rPr>
        <w:t>בָּנִים</w:t>
      </w:r>
      <w:r w:rsidRPr="00B33854">
        <w:rPr>
          <w:rFonts w:eastAsia="Times New Roman"/>
          <w:rtl/>
          <w:lang w:eastAsia="de-DE"/>
        </w:rPr>
        <w:t xml:space="preserve"> </w:t>
      </w:r>
      <w:r w:rsidRPr="00B33854">
        <w:rPr>
          <w:rFonts w:eastAsia="Times New Roman"/>
          <w:lang w:eastAsia="de-DE"/>
        </w:rPr>
        <w:t xml:space="preserve">Plural von </w:t>
      </w:r>
      <w:r w:rsidRPr="00B33854">
        <w:rPr>
          <w:rFonts w:eastAsia="Times New Roman"/>
          <w:b/>
          <w:bCs/>
          <w:rtl/>
          <w:lang w:eastAsia="de-DE"/>
        </w:rPr>
        <w:t>בֵּן</w:t>
      </w:r>
      <w:r w:rsidRPr="00B33854">
        <w:rPr>
          <w:rFonts w:eastAsia="Times New Roman"/>
          <w:rtl/>
          <w:lang w:eastAsia="de-DE"/>
        </w:rPr>
        <w:t xml:space="preserve"> </w:t>
      </w:r>
      <w:r w:rsidRPr="00B33854">
        <w:rPr>
          <w:rFonts w:eastAsia="Times New Roman"/>
          <w:lang w:eastAsia="de-DE"/>
        </w:rPr>
        <w:t xml:space="preserve">mit Suffix 3. Person Plural maskulin), </w:t>
      </w:r>
      <w:r w:rsidRPr="00B33854">
        <w:rPr>
          <w:rFonts w:eastAsia="Times New Roman"/>
          <w:b/>
          <w:bCs/>
          <w:rtl/>
          <w:lang w:eastAsia="de-DE"/>
        </w:rPr>
        <w:t>יְלַמֵּדוּן</w:t>
      </w:r>
      <w:r w:rsidRPr="00B33854">
        <w:rPr>
          <w:rFonts w:eastAsia="Times New Roman"/>
          <w:rtl/>
          <w:lang w:eastAsia="de-DE"/>
        </w:rPr>
        <w:t xml:space="preserve"> </w:t>
      </w:r>
      <w:r w:rsidRPr="00B33854">
        <w:rPr>
          <w:rFonts w:eastAsia="Times New Roman"/>
          <w:lang w:eastAsia="de-DE"/>
        </w:rPr>
        <w:t xml:space="preserve">als Piel Imperfekt, 3. Person Plural maskulin von </w:t>
      </w:r>
      <w:r w:rsidRPr="00B33854">
        <w:rPr>
          <w:rFonts w:eastAsia="Times New Roman"/>
          <w:b/>
          <w:bCs/>
          <w:rtl/>
          <w:lang w:eastAsia="de-DE"/>
        </w:rPr>
        <w:t>למד</w:t>
      </w:r>
      <w:r w:rsidRPr="00B33854">
        <w:rPr>
          <w:rFonts w:eastAsia="Times New Roman"/>
          <w:rtl/>
          <w:lang w:eastAsia="de-DE"/>
        </w:rPr>
        <w:t xml:space="preserve"> </w:t>
      </w:r>
      <w:r w:rsidRPr="00B33854">
        <w:rPr>
          <w:rFonts w:eastAsia="Times New Roman"/>
          <w:lang w:eastAsia="de-DE"/>
        </w:rPr>
        <w:t xml:space="preserve">(„lehren") mit paragogischem Nun. Das Objekt von </w:t>
      </w:r>
      <w:r w:rsidRPr="00B33854">
        <w:rPr>
          <w:rFonts w:eastAsia="Times New Roman"/>
          <w:b/>
          <w:bCs/>
          <w:rtl/>
          <w:lang w:eastAsia="de-DE"/>
        </w:rPr>
        <w:t>יְלַמֵּדוּן</w:t>
      </w:r>
      <w:r w:rsidRPr="00B33854">
        <w:rPr>
          <w:rFonts w:eastAsia="Times New Roman"/>
          <w:rtl/>
          <w:lang w:eastAsia="de-DE"/>
        </w:rPr>
        <w:t xml:space="preserve"> </w:t>
      </w:r>
      <w:r w:rsidRPr="00B33854">
        <w:rPr>
          <w:rFonts w:eastAsia="Times New Roman"/>
          <w:lang w:eastAsia="de-DE"/>
        </w:rPr>
        <w:t>(was sie lehren sollen) ist aus dem Kontext zu ergänzen: die Gebote bzw. die Gottesfurcht.</w:t>
      </w:r>
    </w:p>
    <w:p w14:paraId="65F08B4D"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Die Satzstruktur ist komplex: Ein accusativus temporis mit Relativsatz und Ortsangabe, eine temporale Infinitivkonstruktion mit Redeeinleitung, ein Imperativ mit Dativus commodi und direktem Objekt, ein koordinierter Kohortativ mit doppeltem Objekt, ein finaler Relativsatz mit gerundialer Infinitivkonstruktion und temporaler Bestimmung (die selbst einen Relativsatz mit partizipialem Prädikat und Ortsangabe enthält), und ein koordinierter finaler Satz mit inversem Objekt-Verb-Verhältnis. Die verschachtelte Struktur spiegelt die Komplexität und Wichtigkeit des Sinai-Ereignisses wider.</w:t>
      </w:r>
    </w:p>
    <w:p w14:paraId="581CEC54" w14:textId="77777777" w:rsidR="00B33854" w:rsidRPr="00B33854" w:rsidRDefault="00B33854" w:rsidP="00B33854">
      <w:pPr>
        <w:spacing w:before="100" w:beforeAutospacing="1" w:after="100" w:afterAutospacing="1" w:line="240" w:lineRule="auto"/>
        <w:rPr>
          <w:rFonts w:eastAsia="Times New Roman"/>
          <w:lang w:eastAsia="de-DE"/>
        </w:rPr>
      </w:pPr>
      <w:r w:rsidRPr="00B33854">
        <w:rPr>
          <w:rFonts w:eastAsia="Times New Roman"/>
          <w:lang w:eastAsia="de-DE"/>
        </w:rPr>
        <w:t>Der Vers konkretisiert den zu erinnernden Tag als die Sinai-Theophanie und betont den pädagogischen Zweck: Gottesfurcht lernen und lehren über alle Generationen hinweg.</w:t>
      </w:r>
    </w:p>
    <w:p w14:paraId="75552785" w14:textId="77777777" w:rsidR="00C5644E" w:rsidRPr="00C5644E" w:rsidRDefault="00C5644E" w:rsidP="00C5644E">
      <w:pPr>
        <w:spacing w:before="100" w:beforeAutospacing="1" w:after="100" w:afterAutospacing="1" w:line="240" w:lineRule="auto"/>
        <w:outlineLvl w:val="1"/>
        <w:rPr>
          <w:rFonts w:eastAsia="Times New Roman"/>
          <w:b/>
          <w:bCs/>
          <w:sz w:val="36"/>
          <w:szCs w:val="36"/>
          <w:lang w:eastAsia="de-DE"/>
        </w:rPr>
      </w:pPr>
      <w:r w:rsidRPr="00C5644E">
        <w:rPr>
          <w:rFonts w:eastAsia="Times New Roman"/>
          <w:b/>
          <w:bCs/>
          <w:sz w:val="36"/>
          <w:szCs w:val="36"/>
          <w:lang w:eastAsia="de-DE"/>
        </w:rPr>
        <w:t>Deuteronomium 4,11</w:t>
      </w:r>
    </w:p>
    <w:p w14:paraId="5EDA11BA"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lang w:eastAsia="de-DE"/>
        </w:rPr>
        <w:t>Hebräisch:</w:t>
      </w:r>
      <w:r w:rsidRPr="00C5644E">
        <w:rPr>
          <w:rFonts w:eastAsia="Times New Roman"/>
          <w:lang w:eastAsia="de-DE"/>
        </w:rPr>
        <w:t xml:space="preserve"> </w:t>
      </w:r>
      <w:r w:rsidRPr="00C5644E">
        <w:rPr>
          <w:rFonts w:eastAsia="Times New Roman"/>
          <w:rtl/>
          <w:lang w:eastAsia="de-DE"/>
        </w:rPr>
        <w:t>וַתִּקְרְב֥וּן וַתַּֽעַמְד֖וּן תַּ֣חַת הָהָ֑ר וְהָהָ֞ר בֹּעֵ֤ר בָּאֵשׁ֙ עַד־לֵ֣ב הַשָּׁמַ֔יִם חֹ֖שֶׁךְ עָנָ֥ן וַעֲרָפֶֽל׃</w:t>
      </w:r>
    </w:p>
    <w:p w14:paraId="6EE6E283"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lang w:eastAsia="de-DE"/>
        </w:rPr>
        <w:t>Deutsch:</w:t>
      </w:r>
      <w:r w:rsidRPr="00C5644E">
        <w:rPr>
          <w:rFonts w:eastAsia="Times New Roman"/>
          <w:lang w:eastAsia="de-DE"/>
        </w:rPr>
        <w:t xml:space="preserve"> Und ihr tratet herzu und standet unten am Berg; und der Berg brannte im Feuer bis ins Herz des Himmels: Finsternis, Wolke und Dunkel.</w:t>
      </w:r>
    </w:p>
    <w:p w14:paraId="2A8CA28B" w14:textId="77777777" w:rsidR="00C5644E" w:rsidRPr="00C5644E" w:rsidRDefault="004F5CEB" w:rsidP="00C5644E">
      <w:pPr>
        <w:spacing w:after="0" w:line="240" w:lineRule="auto"/>
        <w:rPr>
          <w:rFonts w:eastAsia="Times New Roman"/>
          <w:lang w:eastAsia="de-DE"/>
        </w:rPr>
      </w:pPr>
      <w:r>
        <w:rPr>
          <w:rFonts w:eastAsia="Times New Roman"/>
          <w:noProof/>
          <w:lang w:eastAsia="de-DE"/>
        </w:rPr>
        <w:pict w14:anchorId="690FCEFE">
          <v:rect id="_x0000_i1147" style="width:0;height:1.5pt" o:hralign="center" o:hrstd="t" o:hr="t" fillcolor="#a0a0a0" stroked="f"/>
        </w:pict>
      </w:r>
    </w:p>
    <w:p w14:paraId="70447826"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lang w:eastAsia="de-DE"/>
        </w:rPr>
        <w:lastRenderedPageBreak/>
        <w:t>Kommentar:</w:t>
      </w:r>
      <w:r w:rsidRPr="00C5644E">
        <w:rPr>
          <w:rFonts w:eastAsia="Times New Roman"/>
          <w:lang w:eastAsia="de-DE"/>
        </w:rPr>
        <w:t xml:space="preserve"> </w:t>
      </w:r>
      <w:r w:rsidRPr="00C5644E">
        <w:rPr>
          <w:rFonts w:eastAsia="Times New Roman"/>
          <w:b/>
          <w:bCs/>
          <w:rtl/>
          <w:lang w:eastAsia="de-DE"/>
        </w:rPr>
        <w:t>וַתִּקְרְבוּן</w:t>
      </w:r>
      <w:r w:rsidRPr="00C5644E">
        <w:rPr>
          <w:rFonts w:eastAsia="Times New Roman"/>
          <w:rtl/>
          <w:lang w:eastAsia="de-DE"/>
        </w:rPr>
        <w:t xml:space="preserve"> </w:t>
      </w:r>
      <w:r w:rsidRPr="00C5644E">
        <w:rPr>
          <w:rFonts w:eastAsia="Times New Roman"/>
          <w:lang w:eastAsia="de-DE"/>
        </w:rPr>
        <w:t xml:space="preserve">ist Qal Imperfekt consecutivum, 2. Person Plural maskulin von </w:t>
      </w:r>
      <w:r w:rsidRPr="00C5644E">
        <w:rPr>
          <w:rFonts w:eastAsia="Times New Roman"/>
          <w:b/>
          <w:bCs/>
          <w:rtl/>
          <w:lang w:eastAsia="de-DE"/>
        </w:rPr>
        <w:t>קרב</w:t>
      </w:r>
      <w:r w:rsidRPr="00C5644E">
        <w:rPr>
          <w:rFonts w:eastAsia="Times New Roman"/>
          <w:rtl/>
          <w:lang w:eastAsia="de-DE"/>
        </w:rPr>
        <w:t xml:space="preserve"> </w:t>
      </w:r>
      <w:r w:rsidRPr="00C5644E">
        <w:rPr>
          <w:rFonts w:eastAsia="Times New Roman"/>
          <w:lang w:eastAsia="de-DE"/>
        </w:rPr>
        <w:t xml:space="preserve">(„sich nähern, herantreten") mit Waw und paragogischem Nun. </w:t>
      </w:r>
      <w:r w:rsidRPr="00C5644E">
        <w:rPr>
          <w:rFonts w:eastAsia="Times New Roman"/>
          <w:b/>
          <w:bCs/>
          <w:rtl/>
          <w:lang w:eastAsia="de-DE"/>
        </w:rPr>
        <w:t>וַתַּעַמְדוּן</w:t>
      </w:r>
      <w:r w:rsidRPr="00C5644E">
        <w:rPr>
          <w:rFonts w:eastAsia="Times New Roman"/>
          <w:rtl/>
          <w:lang w:eastAsia="de-DE"/>
        </w:rPr>
        <w:t xml:space="preserve"> </w:t>
      </w:r>
      <w:r w:rsidRPr="00C5644E">
        <w:rPr>
          <w:rFonts w:eastAsia="Times New Roman"/>
          <w:lang w:eastAsia="de-DE"/>
        </w:rPr>
        <w:t xml:space="preserve">ist Qal Imperfekt consecutivum, 2. Person Plural maskulin von </w:t>
      </w:r>
      <w:r w:rsidRPr="00C5644E">
        <w:rPr>
          <w:rFonts w:eastAsia="Times New Roman"/>
          <w:b/>
          <w:bCs/>
          <w:rtl/>
          <w:lang w:eastAsia="de-DE"/>
        </w:rPr>
        <w:t>עמד</w:t>
      </w:r>
      <w:r w:rsidRPr="00C5644E">
        <w:rPr>
          <w:rFonts w:eastAsia="Times New Roman"/>
          <w:rtl/>
          <w:lang w:eastAsia="de-DE"/>
        </w:rPr>
        <w:t xml:space="preserve"> </w:t>
      </w:r>
      <w:r w:rsidRPr="00C5644E">
        <w:rPr>
          <w:rFonts w:eastAsia="Times New Roman"/>
          <w:lang w:eastAsia="de-DE"/>
        </w:rPr>
        <w:t xml:space="preserve">(„stehen") mit Waw und paragogischem Nun. Das paragogische Nun verleiht beiden Verben eine feierliche, archaisierende Note. </w:t>
      </w:r>
      <w:r w:rsidRPr="00C5644E">
        <w:rPr>
          <w:rFonts w:eastAsia="Times New Roman"/>
          <w:b/>
          <w:bCs/>
          <w:rtl/>
          <w:lang w:eastAsia="de-DE"/>
        </w:rPr>
        <w:t>תַּחַת הָהָר</w:t>
      </w:r>
      <w:r w:rsidRPr="00C5644E">
        <w:rPr>
          <w:rFonts w:eastAsia="Times New Roman"/>
          <w:rtl/>
          <w:lang w:eastAsia="de-DE"/>
        </w:rPr>
        <w:t xml:space="preserve"> </w:t>
      </w:r>
      <w:r w:rsidRPr="00C5644E">
        <w:rPr>
          <w:rFonts w:eastAsia="Times New Roman"/>
          <w:lang w:eastAsia="de-DE"/>
        </w:rPr>
        <w:t xml:space="preserve">ist Präposition </w:t>
      </w:r>
      <w:r w:rsidRPr="00C5644E">
        <w:rPr>
          <w:rFonts w:eastAsia="Times New Roman"/>
          <w:b/>
          <w:bCs/>
          <w:rtl/>
          <w:lang w:eastAsia="de-DE"/>
        </w:rPr>
        <w:t>תַּחַת</w:t>
      </w:r>
      <w:r w:rsidRPr="00C5644E">
        <w:rPr>
          <w:rFonts w:eastAsia="Times New Roman"/>
          <w:rtl/>
          <w:lang w:eastAsia="de-DE"/>
        </w:rPr>
        <w:t xml:space="preserve"> </w:t>
      </w:r>
      <w:r w:rsidRPr="00C5644E">
        <w:rPr>
          <w:rFonts w:eastAsia="Times New Roman"/>
          <w:lang w:eastAsia="de-DE"/>
        </w:rPr>
        <w:t xml:space="preserve">(„unter, unterhalb") mit </w:t>
      </w:r>
      <w:r w:rsidRPr="00C5644E">
        <w:rPr>
          <w:rFonts w:eastAsia="Times New Roman"/>
          <w:b/>
          <w:bCs/>
          <w:rtl/>
          <w:lang w:eastAsia="de-DE"/>
        </w:rPr>
        <w:t>הָהָר</w:t>
      </w:r>
      <w:r w:rsidRPr="00C5644E">
        <w:rPr>
          <w:rFonts w:eastAsia="Times New Roman"/>
          <w:rtl/>
          <w:lang w:eastAsia="de-DE"/>
        </w:rPr>
        <w:t xml:space="preserve"> </w:t>
      </w:r>
      <w:r w:rsidRPr="00C5644E">
        <w:rPr>
          <w:rFonts w:eastAsia="Times New Roman"/>
          <w:lang w:eastAsia="de-DE"/>
        </w:rPr>
        <w:t>(„der Berg", mit Artikel).</w:t>
      </w:r>
    </w:p>
    <w:p w14:paraId="0DC238DA"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rtl/>
          <w:lang w:eastAsia="de-DE"/>
        </w:rPr>
        <w:t>וְהָהָר בֹּעֵר בָּאֵשׁ</w:t>
      </w:r>
      <w:r w:rsidRPr="00C5644E">
        <w:rPr>
          <w:rFonts w:eastAsia="Times New Roman"/>
          <w:rtl/>
          <w:lang w:eastAsia="de-DE"/>
        </w:rPr>
        <w:t xml:space="preserve"> </w:t>
      </w:r>
      <w:r w:rsidRPr="00C5644E">
        <w:rPr>
          <w:rFonts w:eastAsia="Times New Roman"/>
          <w:lang w:eastAsia="de-DE"/>
        </w:rPr>
        <w:t xml:space="preserve">ist ein nominaler Satz mit partizipialem Prädikat: </w:t>
      </w:r>
      <w:r w:rsidRPr="00C5644E">
        <w:rPr>
          <w:rFonts w:eastAsia="Times New Roman"/>
          <w:b/>
          <w:bCs/>
          <w:rtl/>
          <w:lang w:eastAsia="de-DE"/>
        </w:rPr>
        <w:t>וְ</w:t>
      </w:r>
      <w:r w:rsidRPr="00C5644E">
        <w:rPr>
          <w:rFonts w:eastAsia="Times New Roman"/>
          <w:rtl/>
          <w:lang w:eastAsia="de-DE"/>
        </w:rPr>
        <w:t xml:space="preserve"> </w:t>
      </w:r>
      <w:r w:rsidRPr="00C5644E">
        <w:rPr>
          <w:rFonts w:eastAsia="Times New Roman"/>
          <w:lang w:eastAsia="de-DE"/>
        </w:rPr>
        <w:t xml:space="preserve">als Koordination, </w:t>
      </w:r>
      <w:r w:rsidRPr="00C5644E">
        <w:rPr>
          <w:rFonts w:eastAsia="Times New Roman"/>
          <w:b/>
          <w:bCs/>
          <w:rtl/>
          <w:lang w:eastAsia="de-DE"/>
        </w:rPr>
        <w:t>הָהָר</w:t>
      </w:r>
      <w:r w:rsidRPr="00C5644E">
        <w:rPr>
          <w:rFonts w:eastAsia="Times New Roman"/>
          <w:rtl/>
          <w:lang w:eastAsia="de-DE"/>
        </w:rPr>
        <w:t xml:space="preserve"> </w:t>
      </w:r>
      <w:r w:rsidRPr="00C5644E">
        <w:rPr>
          <w:rFonts w:eastAsia="Times New Roman"/>
          <w:lang w:eastAsia="de-DE"/>
        </w:rPr>
        <w:t xml:space="preserve">als Subjekt, </w:t>
      </w:r>
      <w:r w:rsidRPr="00C5644E">
        <w:rPr>
          <w:rFonts w:eastAsia="Times New Roman"/>
          <w:b/>
          <w:bCs/>
          <w:rtl/>
          <w:lang w:eastAsia="de-DE"/>
        </w:rPr>
        <w:t>בֹּעֵר</w:t>
      </w:r>
      <w:r w:rsidRPr="00C5644E">
        <w:rPr>
          <w:rFonts w:eastAsia="Times New Roman"/>
          <w:rtl/>
          <w:lang w:eastAsia="de-DE"/>
        </w:rPr>
        <w:t xml:space="preserve"> </w:t>
      </w:r>
      <w:r w:rsidRPr="00C5644E">
        <w:rPr>
          <w:rFonts w:eastAsia="Times New Roman"/>
          <w:lang w:eastAsia="de-DE"/>
        </w:rPr>
        <w:t xml:space="preserve">als Qal Partizip Singular maskulin von </w:t>
      </w:r>
      <w:r w:rsidRPr="00C5644E">
        <w:rPr>
          <w:rFonts w:eastAsia="Times New Roman"/>
          <w:b/>
          <w:bCs/>
          <w:rtl/>
          <w:lang w:eastAsia="de-DE"/>
        </w:rPr>
        <w:t>בער</w:t>
      </w:r>
      <w:r w:rsidRPr="00C5644E">
        <w:rPr>
          <w:rFonts w:eastAsia="Times New Roman"/>
          <w:rtl/>
          <w:lang w:eastAsia="de-DE"/>
        </w:rPr>
        <w:t xml:space="preserve"> </w:t>
      </w:r>
      <w:r w:rsidRPr="00C5644E">
        <w:rPr>
          <w:rFonts w:eastAsia="Times New Roman"/>
          <w:lang w:eastAsia="de-DE"/>
        </w:rPr>
        <w:t xml:space="preserve">(„brennen"), </w:t>
      </w:r>
      <w:r w:rsidRPr="00C5644E">
        <w:rPr>
          <w:rFonts w:eastAsia="Times New Roman"/>
          <w:b/>
          <w:bCs/>
          <w:rtl/>
          <w:lang w:eastAsia="de-DE"/>
        </w:rPr>
        <w:t>בָּאֵשׁ</w:t>
      </w:r>
      <w:r w:rsidRPr="00C5644E">
        <w:rPr>
          <w:rFonts w:eastAsia="Times New Roman"/>
          <w:rtl/>
          <w:lang w:eastAsia="de-DE"/>
        </w:rPr>
        <w:t xml:space="preserve"> </w:t>
      </w:r>
      <w:r w:rsidRPr="00C5644E">
        <w:rPr>
          <w:rFonts w:eastAsia="Times New Roman"/>
          <w:lang w:eastAsia="de-DE"/>
        </w:rPr>
        <w:t>als instrumentale bzw. materiale Präpositionalphrase (</w:t>
      </w:r>
      <w:r w:rsidRPr="00C5644E">
        <w:rPr>
          <w:rFonts w:eastAsia="Times New Roman"/>
          <w:b/>
          <w:bCs/>
          <w:rtl/>
          <w:lang w:eastAsia="de-DE"/>
        </w:rPr>
        <w:t>בְּ</w:t>
      </w:r>
      <w:r w:rsidRPr="00C5644E">
        <w:rPr>
          <w:rFonts w:eastAsia="Times New Roman"/>
          <w:rtl/>
          <w:lang w:eastAsia="de-DE"/>
        </w:rPr>
        <w:t xml:space="preserve"> </w:t>
      </w:r>
      <w:r w:rsidRPr="00C5644E">
        <w:rPr>
          <w:rFonts w:eastAsia="Times New Roman"/>
          <w:lang w:eastAsia="de-DE"/>
        </w:rPr>
        <w:t xml:space="preserve">mit </w:t>
      </w:r>
      <w:r w:rsidRPr="00C5644E">
        <w:rPr>
          <w:rFonts w:eastAsia="Times New Roman"/>
          <w:b/>
          <w:bCs/>
          <w:rtl/>
          <w:lang w:eastAsia="de-DE"/>
        </w:rPr>
        <w:t>אֵשׁ</w:t>
      </w:r>
      <w:r w:rsidRPr="00C5644E">
        <w:rPr>
          <w:rFonts w:eastAsia="Times New Roman"/>
          <w:lang w:eastAsia="de-DE"/>
        </w:rPr>
        <w:t xml:space="preserve">, „Feuer"). </w:t>
      </w:r>
      <w:r w:rsidRPr="00C5644E">
        <w:rPr>
          <w:rFonts w:eastAsia="Times New Roman"/>
          <w:b/>
          <w:bCs/>
          <w:rtl/>
          <w:lang w:eastAsia="de-DE"/>
        </w:rPr>
        <w:t>עַד־לֵב הַשָּׁמַיִם</w:t>
      </w:r>
      <w:r w:rsidRPr="00C5644E">
        <w:rPr>
          <w:rFonts w:eastAsia="Times New Roman"/>
          <w:rtl/>
          <w:lang w:eastAsia="de-DE"/>
        </w:rPr>
        <w:t xml:space="preserve"> </w:t>
      </w:r>
      <w:r w:rsidRPr="00C5644E">
        <w:rPr>
          <w:rFonts w:eastAsia="Times New Roman"/>
          <w:lang w:eastAsia="de-DE"/>
        </w:rPr>
        <w:t xml:space="preserve">ist eine hyperbolische Reichweitenangabe: </w:t>
      </w:r>
      <w:r w:rsidRPr="00C5644E">
        <w:rPr>
          <w:rFonts w:eastAsia="Times New Roman"/>
          <w:b/>
          <w:bCs/>
          <w:rtl/>
          <w:lang w:eastAsia="de-DE"/>
        </w:rPr>
        <w:t>עַד</w:t>
      </w:r>
      <w:r w:rsidRPr="00C5644E">
        <w:rPr>
          <w:rFonts w:eastAsia="Times New Roman"/>
          <w:rtl/>
          <w:lang w:eastAsia="de-DE"/>
        </w:rPr>
        <w:t xml:space="preserve"> </w:t>
      </w:r>
      <w:r w:rsidRPr="00C5644E">
        <w:rPr>
          <w:rFonts w:eastAsia="Times New Roman"/>
          <w:lang w:eastAsia="de-DE"/>
        </w:rPr>
        <w:t xml:space="preserve">(„bis") mit </w:t>
      </w:r>
      <w:r w:rsidRPr="00C5644E">
        <w:rPr>
          <w:rFonts w:eastAsia="Times New Roman"/>
          <w:b/>
          <w:bCs/>
          <w:rtl/>
          <w:lang w:eastAsia="de-DE"/>
        </w:rPr>
        <w:t>לֵב</w:t>
      </w:r>
      <w:r w:rsidRPr="00C5644E">
        <w:rPr>
          <w:rFonts w:eastAsia="Times New Roman"/>
          <w:rtl/>
          <w:lang w:eastAsia="de-DE"/>
        </w:rPr>
        <w:t xml:space="preserve"> </w:t>
      </w:r>
      <w:r w:rsidRPr="00C5644E">
        <w:rPr>
          <w:rFonts w:eastAsia="Times New Roman"/>
          <w:lang w:eastAsia="de-DE"/>
        </w:rPr>
        <w:t xml:space="preserve">(„Herz, Mitte") im Construct und </w:t>
      </w:r>
      <w:r w:rsidRPr="00C5644E">
        <w:rPr>
          <w:rFonts w:eastAsia="Times New Roman"/>
          <w:b/>
          <w:bCs/>
          <w:rtl/>
          <w:lang w:eastAsia="de-DE"/>
        </w:rPr>
        <w:t>הַשָּׁמַיִם</w:t>
      </w:r>
      <w:r w:rsidRPr="00C5644E">
        <w:rPr>
          <w:rFonts w:eastAsia="Times New Roman"/>
          <w:rtl/>
          <w:lang w:eastAsia="de-DE"/>
        </w:rPr>
        <w:t xml:space="preserve"> </w:t>
      </w:r>
      <w:r w:rsidRPr="00C5644E">
        <w:rPr>
          <w:rFonts w:eastAsia="Times New Roman"/>
          <w:lang w:eastAsia="de-DE"/>
        </w:rPr>
        <w:t>(„die Himmel", Dual mit Artikel).</w:t>
      </w:r>
    </w:p>
    <w:p w14:paraId="6F0BBE29"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rtl/>
          <w:lang w:eastAsia="de-DE"/>
        </w:rPr>
        <w:t>חֹשֶׁךְ עָנָן וַעֲרָפֶל</w:t>
      </w:r>
      <w:r w:rsidRPr="00C5644E">
        <w:rPr>
          <w:rFonts w:eastAsia="Times New Roman"/>
          <w:rtl/>
          <w:lang w:eastAsia="de-DE"/>
        </w:rPr>
        <w:t xml:space="preserve"> </w:t>
      </w:r>
      <w:r w:rsidRPr="00C5644E">
        <w:rPr>
          <w:rFonts w:eastAsia="Times New Roman"/>
          <w:lang w:eastAsia="de-DE"/>
        </w:rPr>
        <w:t xml:space="preserve">ist eine dreigliedrige appositionelle Aufzählung ohne Artikel, die die Erscheinung des brennenden Berges näher beschreibt: </w:t>
      </w:r>
      <w:r w:rsidRPr="00C5644E">
        <w:rPr>
          <w:rFonts w:eastAsia="Times New Roman"/>
          <w:b/>
          <w:bCs/>
          <w:rtl/>
          <w:lang w:eastAsia="de-DE"/>
        </w:rPr>
        <w:t>חֹשֶׁךְ</w:t>
      </w:r>
      <w:r w:rsidRPr="00C5644E">
        <w:rPr>
          <w:rFonts w:eastAsia="Times New Roman"/>
          <w:rtl/>
          <w:lang w:eastAsia="de-DE"/>
        </w:rPr>
        <w:t xml:space="preserve"> </w:t>
      </w:r>
      <w:r w:rsidRPr="00C5644E">
        <w:rPr>
          <w:rFonts w:eastAsia="Times New Roman"/>
          <w:lang w:eastAsia="de-DE"/>
        </w:rPr>
        <w:t xml:space="preserve">(„Finsternis, Dunkelheit"), </w:t>
      </w:r>
      <w:r w:rsidRPr="00C5644E">
        <w:rPr>
          <w:rFonts w:eastAsia="Times New Roman"/>
          <w:b/>
          <w:bCs/>
          <w:rtl/>
          <w:lang w:eastAsia="de-DE"/>
        </w:rPr>
        <w:t>עָנָן</w:t>
      </w:r>
      <w:r w:rsidRPr="00C5644E">
        <w:rPr>
          <w:rFonts w:eastAsia="Times New Roman"/>
          <w:rtl/>
          <w:lang w:eastAsia="de-DE"/>
        </w:rPr>
        <w:t xml:space="preserve"> </w:t>
      </w:r>
      <w:r w:rsidRPr="00C5644E">
        <w:rPr>
          <w:rFonts w:eastAsia="Times New Roman"/>
          <w:lang w:eastAsia="de-DE"/>
        </w:rPr>
        <w:t xml:space="preserve">(„Wolke"), </w:t>
      </w:r>
      <w:r w:rsidRPr="00C5644E">
        <w:rPr>
          <w:rFonts w:eastAsia="Times New Roman"/>
          <w:b/>
          <w:bCs/>
          <w:rtl/>
          <w:lang w:eastAsia="de-DE"/>
        </w:rPr>
        <w:t>וַעֲרָפֶל</w:t>
      </w:r>
      <w:r w:rsidRPr="00C5644E">
        <w:rPr>
          <w:rFonts w:eastAsia="Times New Roman"/>
          <w:rtl/>
          <w:lang w:eastAsia="de-DE"/>
        </w:rPr>
        <w:t xml:space="preserve"> </w:t>
      </w:r>
      <w:r w:rsidRPr="00C5644E">
        <w:rPr>
          <w:rFonts w:eastAsia="Times New Roman"/>
          <w:lang w:eastAsia="de-DE"/>
        </w:rPr>
        <w:t>(</w:t>
      </w:r>
      <w:r w:rsidRPr="00C5644E">
        <w:rPr>
          <w:rFonts w:eastAsia="Times New Roman"/>
          <w:b/>
          <w:bCs/>
          <w:rtl/>
          <w:lang w:eastAsia="de-DE"/>
        </w:rPr>
        <w:t>וְ</w:t>
      </w:r>
      <w:r w:rsidRPr="00C5644E">
        <w:rPr>
          <w:rFonts w:eastAsia="Times New Roman"/>
          <w:rtl/>
          <w:lang w:eastAsia="de-DE"/>
        </w:rPr>
        <w:t xml:space="preserve"> </w:t>
      </w:r>
      <w:r w:rsidRPr="00C5644E">
        <w:rPr>
          <w:rFonts w:eastAsia="Times New Roman"/>
          <w:lang w:eastAsia="de-DE"/>
        </w:rPr>
        <w:t xml:space="preserve">mit </w:t>
      </w:r>
      <w:r w:rsidRPr="00C5644E">
        <w:rPr>
          <w:rFonts w:eastAsia="Times New Roman"/>
          <w:b/>
          <w:bCs/>
          <w:rtl/>
          <w:lang w:eastAsia="de-DE"/>
        </w:rPr>
        <w:t>עֲרָפֶל</w:t>
      </w:r>
      <w:r w:rsidRPr="00C5644E">
        <w:rPr>
          <w:rFonts w:eastAsia="Times New Roman"/>
          <w:lang w:eastAsia="de-DE"/>
        </w:rPr>
        <w:t>, „dichtes Dunkel, Wolkendunkel"). Diese drei Substantive ohne Artikel und ohne Verben schaffen eine parataktische, fast poetische Struktur, die die überwältigende Theophanie evoziert.</w:t>
      </w:r>
    </w:p>
    <w:p w14:paraId="308B293A"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lang w:eastAsia="de-DE"/>
        </w:rPr>
        <w:t>Die drei Begriffe für Dunkelheit (</w:t>
      </w:r>
      <w:r w:rsidRPr="00C5644E">
        <w:rPr>
          <w:rFonts w:eastAsia="Times New Roman"/>
          <w:b/>
          <w:bCs/>
          <w:rtl/>
          <w:lang w:eastAsia="de-DE"/>
        </w:rPr>
        <w:t>חֹשֶׁךְ</w:t>
      </w:r>
      <w:r w:rsidRPr="00C5644E">
        <w:rPr>
          <w:rFonts w:eastAsia="Times New Roman"/>
          <w:lang w:eastAsia="de-DE"/>
        </w:rPr>
        <w:t xml:space="preserve">, </w:t>
      </w:r>
      <w:r w:rsidRPr="00C5644E">
        <w:rPr>
          <w:rFonts w:eastAsia="Times New Roman"/>
          <w:b/>
          <w:bCs/>
          <w:rtl/>
          <w:lang w:eastAsia="de-DE"/>
        </w:rPr>
        <w:t>עָנָן</w:t>
      </w:r>
      <w:r w:rsidRPr="00C5644E">
        <w:rPr>
          <w:rFonts w:eastAsia="Times New Roman"/>
          <w:lang w:eastAsia="de-DE"/>
        </w:rPr>
        <w:t xml:space="preserve">, </w:t>
      </w:r>
      <w:r w:rsidRPr="00C5644E">
        <w:rPr>
          <w:rFonts w:eastAsia="Times New Roman"/>
          <w:b/>
          <w:bCs/>
          <w:rtl/>
          <w:lang w:eastAsia="de-DE"/>
        </w:rPr>
        <w:t>עֲרָפֶל</w:t>
      </w:r>
      <w:r w:rsidRPr="00C5644E">
        <w:rPr>
          <w:rFonts w:eastAsia="Times New Roman"/>
          <w:lang w:eastAsia="de-DE"/>
        </w:rPr>
        <w:t>) sind nicht einfach synonym, sondern beschreiben verschiedene Aspekte der göttlichen Erscheinung: natürliche Dunkelheit, Wolke als göttliche Präsenz und mysteriöses, undurchdringliches Dunkel. Diese Terminologie findet sich auch in anderen Theophaniebeschreibungen (vgl. Exodus 19-20).</w:t>
      </w:r>
    </w:p>
    <w:p w14:paraId="65B95323"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lang w:eastAsia="de-DE"/>
        </w:rPr>
        <w:t>Die Satzstruktur besteht aus zwei koordinierten narrativen Hauptsätzen mit paragogischem Nun und Ortsangabe, gefolgt von einem nominalen Satz mit partizipialem Prädikat, instrumentaler Präpositionalphrase und hyperbolischer Reichweitenangabe, und einer dreigliedrigen appositiven nominalen Aufzählung ohne finite Verben. Die parataktische Struktur der drei letzten Substantive erzeugt eine dramatische, fast atemlose Atmosphäre.</w:t>
      </w:r>
    </w:p>
    <w:p w14:paraId="11B740FB"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lang w:eastAsia="de-DE"/>
        </w:rPr>
        <w:t>Der Vers beschreibt das Herantreten Israels an den Sinai und die überwältigende Theophanie mit Feuer und dreifachem Dunkel.</w:t>
      </w:r>
    </w:p>
    <w:p w14:paraId="3E4499CD" w14:textId="77777777" w:rsidR="00C5644E" w:rsidRPr="00C5644E" w:rsidRDefault="00C5644E" w:rsidP="00C5644E">
      <w:pPr>
        <w:spacing w:before="100" w:beforeAutospacing="1" w:after="100" w:afterAutospacing="1" w:line="240" w:lineRule="auto"/>
        <w:outlineLvl w:val="1"/>
        <w:rPr>
          <w:rFonts w:eastAsia="Times New Roman"/>
          <w:b/>
          <w:bCs/>
          <w:sz w:val="36"/>
          <w:szCs w:val="36"/>
          <w:lang w:eastAsia="de-DE"/>
        </w:rPr>
      </w:pPr>
      <w:r w:rsidRPr="00C5644E">
        <w:rPr>
          <w:rFonts w:eastAsia="Times New Roman"/>
          <w:b/>
          <w:bCs/>
          <w:sz w:val="36"/>
          <w:szCs w:val="36"/>
          <w:lang w:eastAsia="de-DE"/>
        </w:rPr>
        <w:t>Deuteronomium 4,12</w:t>
      </w:r>
    </w:p>
    <w:p w14:paraId="68CD2549"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lang w:eastAsia="de-DE"/>
        </w:rPr>
        <w:t>Hebräisch:</w:t>
      </w:r>
      <w:r w:rsidRPr="00C5644E">
        <w:rPr>
          <w:rFonts w:eastAsia="Times New Roman"/>
          <w:lang w:eastAsia="de-DE"/>
        </w:rPr>
        <w:t xml:space="preserve"> </w:t>
      </w:r>
      <w:r w:rsidRPr="00C5644E">
        <w:rPr>
          <w:rFonts w:eastAsia="Times New Roman"/>
          <w:rtl/>
          <w:lang w:eastAsia="de-DE"/>
        </w:rPr>
        <w:t>וַיְדַבֵּ֧ר יְהוָ֛ה אֲלֵיכֶ֖ם מִתּ֣וֹךְ הָאֵ֑שׁ ק֤וֹל דְּבָרִים֙ אַתֶּ֣ם שֹׁמְעִ֔ים וּתְמוּנָ֛ה אֵינְכֶ֥ם רֹאִ֖ים זוּלָתִ֥י קֽוֹל׃</w:t>
      </w:r>
    </w:p>
    <w:p w14:paraId="211C5D3A"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lang w:eastAsia="de-DE"/>
        </w:rPr>
        <w:t>Deutsch:</w:t>
      </w:r>
      <w:r w:rsidRPr="00C5644E">
        <w:rPr>
          <w:rFonts w:eastAsia="Times New Roman"/>
          <w:lang w:eastAsia="de-DE"/>
        </w:rPr>
        <w:t xml:space="preserve"> Und der Ewige redete zu euch mitten aus dem Feuer. Eine Stimme von Worten hörtet ihr, aber ihr saht keine Gestalt, nur eine Stimme war da.</w:t>
      </w:r>
    </w:p>
    <w:p w14:paraId="58314FA3" w14:textId="77777777" w:rsidR="00C5644E" w:rsidRPr="00C5644E" w:rsidRDefault="004F5CEB" w:rsidP="00C5644E">
      <w:pPr>
        <w:spacing w:after="0" w:line="240" w:lineRule="auto"/>
        <w:rPr>
          <w:rFonts w:eastAsia="Times New Roman"/>
          <w:lang w:eastAsia="de-DE"/>
        </w:rPr>
      </w:pPr>
      <w:r>
        <w:rPr>
          <w:rFonts w:eastAsia="Times New Roman"/>
          <w:noProof/>
          <w:lang w:eastAsia="de-DE"/>
        </w:rPr>
        <w:pict w14:anchorId="1E84D518">
          <v:rect id="_x0000_i1148" style="width:0;height:1.5pt" o:hralign="center" o:hrstd="t" o:hr="t" fillcolor="#a0a0a0" stroked="f"/>
        </w:pict>
      </w:r>
    </w:p>
    <w:p w14:paraId="76C90AAF"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lang w:eastAsia="de-DE"/>
        </w:rPr>
        <w:t>Kommentar:</w:t>
      </w:r>
      <w:r w:rsidRPr="00C5644E">
        <w:rPr>
          <w:rFonts w:eastAsia="Times New Roman"/>
          <w:lang w:eastAsia="de-DE"/>
        </w:rPr>
        <w:t xml:space="preserve"> </w:t>
      </w:r>
      <w:r w:rsidRPr="00C5644E">
        <w:rPr>
          <w:rFonts w:eastAsia="Times New Roman"/>
          <w:b/>
          <w:bCs/>
          <w:rtl/>
          <w:lang w:eastAsia="de-DE"/>
        </w:rPr>
        <w:t>וַיְדַבֵּר יְהוָה אֲלֵיכֶם</w:t>
      </w:r>
      <w:r w:rsidRPr="00C5644E">
        <w:rPr>
          <w:rFonts w:eastAsia="Times New Roman"/>
          <w:rtl/>
          <w:lang w:eastAsia="de-DE"/>
        </w:rPr>
        <w:t xml:space="preserve"> </w:t>
      </w:r>
      <w:r w:rsidRPr="00C5644E">
        <w:rPr>
          <w:rFonts w:eastAsia="Times New Roman"/>
          <w:lang w:eastAsia="de-DE"/>
        </w:rPr>
        <w:t xml:space="preserve">ist Piel Imperfekt consecutivum, 3. Person Singular maskulin von </w:t>
      </w:r>
      <w:r w:rsidRPr="00C5644E">
        <w:rPr>
          <w:rFonts w:eastAsia="Times New Roman"/>
          <w:b/>
          <w:bCs/>
          <w:rtl/>
          <w:lang w:eastAsia="de-DE"/>
        </w:rPr>
        <w:t>דבר</w:t>
      </w:r>
      <w:r w:rsidRPr="00C5644E">
        <w:rPr>
          <w:rFonts w:eastAsia="Times New Roman"/>
          <w:rtl/>
          <w:lang w:eastAsia="de-DE"/>
        </w:rPr>
        <w:t xml:space="preserve"> </w:t>
      </w:r>
      <w:r w:rsidRPr="00C5644E">
        <w:rPr>
          <w:rFonts w:eastAsia="Times New Roman"/>
          <w:lang w:eastAsia="de-DE"/>
        </w:rPr>
        <w:t xml:space="preserve">(„reden, sprechen") mit Waw, </w:t>
      </w:r>
      <w:r w:rsidRPr="00C5644E">
        <w:rPr>
          <w:rFonts w:eastAsia="Times New Roman"/>
          <w:b/>
          <w:bCs/>
          <w:rtl/>
          <w:lang w:eastAsia="de-DE"/>
        </w:rPr>
        <w:t>יְהוָה</w:t>
      </w:r>
      <w:r w:rsidRPr="00C5644E">
        <w:rPr>
          <w:rFonts w:eastAsia="Times New Roman"/>
          <w:rtl/>
          <w:lang w:eastAsia="de-DE"/>
        </w:rPr>
        <w:t xml:space="preserve"> </w:t>
      </w:r>
      <w:r w:rsidRPr="00C5644E">
        <w:rPr>
          <w:rFonts w:eastAsia="Times New Roman"/>
          <w:lang w:eastAsia="de-DE"/>
        </w:rPr>
        <w:t xml:space="preserve">als Subjekt, </w:t>
      </w:r>
      <w:r w:rsidRPr="00C5644E">
        <w:rPr>
          <w:rFonts w:eastAsia="Times New Roman"/>
          <w:b/>
          <w:bCs/>
          <w:rtl/>
          <w:lang w:eastAsia="de-DE"/>
        </w:rPr>
        <w:t>אֲלֵיכֶם</w:t>
      </w:r>
      <w:r w:rsidRPr="00C5644E">
        <w:rPr>
          <w:rFonts w:eastAsia="Times New Roman"/>
          <w:rtl/>
          <w:lang w:eastAsia="de-DE"/>
        </w:rPr>
        <w:t xml:space="preserve"> </w:t>
      </w:r>
      <w:r w:rsidRPr="00C5644E">
        <w:rPr>
          <w:rFonts w:eastAsia="Times New Roman"/>
          <w:lang w:eastAsia="de-DE"/>
        </w:rPr>
        <w:t xml:space="preserve">als Präposition </w:t>
      </w:r>
      <w:r w:rsidRPr="00C5644E">
        <w:rPr>
          <w:rFonts w:eastAsia="Times New Roman"/>
          <w:b/>
          <w:bCs/>
          <w:rtl/>
          <w:lang w:eastAsia="de-DE"/>
        </w:rPr>
        <w:t>אֶל</w:t>
      </w:r>
      <w:r w:rsidRPr="00C5644E">
        <w:rPr>
          <w:rFonts w:eastAsia="Times New Roman"/>
          <w:rtl/>
          <w:lang w:eastAsia="de-DE"/>
        </w:rPr>
        <w:t xml:space="preserve"> </w:t>
      </w:r>
      <w:r w:rsidRPr="00C5644E">
        <w:rPr>
          <w:rFonts w:eastAsia="Times New Roman"/>
          <w:lang w:eastAsia="de-DE"/>
        </w:rPr>
        <w:t xml:space="preserve">mit Suffix 2. Person Plural maskulin. </w:t>
      </w:r>
      <w:r w:rsidRPr="00C5644E">
        <w:rPr>
          <w:rFonts w:eastAsia="Times New Roman"/>
          <w:b/>
          <w:bCs/>
          <w:rtl/>
          <w:lang w:eastAsia="de-DE"/>
        </w:rPr>
        <w:t>מִתּוֹךְ הָאֵשׁ</w:t>
      </w:r>
      <w:r w:rsidRPr="00C5644E">
        <w:rPr>
          <w:rFonts w:eastAsia="Times New Roman"/>
          <w:rtl/>
          <w:lang w:eastAsia="de-DE"/>
        </w:rPr>
        <w:t xml:space="preserve"> </w:t>
      </w:r>
      <w:r w:rsidRPr="00C5644E">
        <w:rPr>
          <w:rFonts w:eastAsia="Times New Roman"/>
          <w:lang w:eastAsia="de-DE"/>
        </w:rPr>
        <w:t xml:space="preserve">ist Präposition </w:t>
      </w:r>
      <w:r w:rsidRPr="00C5644E">
        <w:rPr>
          <w:rFonts w:eastAsia="Times New Roman"/>
          <w:b/>
          <w:bCs/>
          <w:rtl/>
          <w:lang w:eastAsia="de-DE"/>
        </w:rPr>
        <w:t>מִן</w:t>
      </w:r>
      <w:r w:rsidRPr="00C5644E">
        <w:rPr>
          <w:rFonts w:eastAsia="Times New Roman"/>
          <w:rtl/>
          <w:lang w:eastAsia="de-DE"/>
        </w:rPr>
        <w:t xml:space="preserve"> </w:t>
      </w:r>
      <w:r w:rsidRPr="00C5644E">
        <w:rPr>
          <w:rFonts w:eastAsia="Times New Roman"/>
          <w:lang w:eastAsia="de-DE"/>
        </w:rPr>
        <w:t xml:space="preserve">mit </w:t>
      </w:r>
      <w:r w:rsidRPr="00C5644E">
        <w:rPr>
          <w:rFonts w:eastAsia="Times New Roman"/>
          <w:b/>
          <w:bCs/>
          <w:rtl/>
          <w:lang w:eastAsia="de-DE"/>
        </w:rPr>
        <w:t>תּוֹךְ</w:t>
      </w:r>
      <w:r w:rsidRPr="00C5644E">
        <w:rPr>
          <w:rFonts w:eastAsia="Times New Roman"/>
          <w:rtl/>
          <w:lang w:eastAsia="de-DE"/>
        </w:rPr>
        <w:t xml:space="preserve"> </w:t>
      </w:r>
      <w:r w:rsidRPr="00C5644E">
        <w:rPr>
          <w:rFonts w:eastAsia="Times New Roman"/>
          <w:lang w:eastAsia="de-DE"/>
        </w:rPr>
        <w:t xml:space="preserve">(„Mitte, Inneres") im Construct und </w:t>
      </w:r>
      <w:r w:rsidRPr="00C5644E">
        <w:rPr>
          <w:rFonts w:eastAsia="Times New Roman"/>
          <w:b/>
          <w:bCs/>
          <w:rtl/>
          <w:lang w:eastAsia="de-DE"/>
        </w:rPr>
        <w:t>הָאֵשׁ</w:t>
      </w:r>
      <w:r w:rsidRPr="00C5644E">
        <w:rPr>
          <w:rFonts w:eastAsia="Times New Roman"/>
          <w:rtl/>
          <w:lang w:eastAsia="de-DE"/>
        </w:rPr>
        <w:t xml:space="preserve"> </w:t>
      </w:r>
      <w:r w:rsidRPr="00C5644E">
        <w:rPr>
          <w:rFonts w:eastAsia="Times New Roman"/>
          <w:lang w:eastAsia="de-DE"/>
        </w:rPr>
        <w:t>(„das Feuer", mit Artikel) – „mitten aus dem Feuer heraus".</w:t>
      </w:r>
    </w:p>
    <w:p w14:paraId="19ABE00D"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rtl/>
          <w:lang w:eastAsia="de-DE"/>
        </w:rPr>
        <w:lastRenderedPageBreak/>
        <w:t>קוֹל דְּבָרִים אַתֶּם שֹׁמְעִים</w:t>
      </w:r>
      <w:r w:rsidRPr="00C5644E">
        <w:rPr>
          <w:rFonts w:eastAsia="Times New Roman"/>
          <w:rtl/>
          <w:lang w:eastAsia="de-DE"/>
        </w:rPr>
        <w:t xml:space="preserve"> </w:t>
      </w:r>
      <w:r w:rsidRPr="00C5644E">
        <w:rPr>
          <w:rFonts w:eastAsia="Times New Roman"/>
          <w:lang w:eastAsia="de-DE"/>
        </w:rPr>
        <w:t xml:space="preserve">ist ein nominaler Satz mit partizipialem Prädikat: </w:t>
      </w:r>
      <w:r w:rsidRPr="00C5644E">
        <w:rPr>
          <w:rFonts w:eastAsia="Times New Roman"/>
          <w:b/>
          <w:bCs/>
          <w:rtl/>
          <w:lang w:eastAsia="de-DE"/>
        </w:rPr>
        <w:t>קוֹל דְּבָרִים</w:t>
      </w:r>
      <w:r w:rsidRPr="00C5644E">
        <w:rPr>
          <w:rFonts w:eastAsia="Times New Roman"/>
          <w:rtl/>
          <w:lang w:eastAsia="de-DE"/>
        </w:rPr>
        <w:t xml:space="preserve"> </w:t>
      </w:r>
      <w:r w:rsidRPr="00C5644E">
        <w:rPr>
          <w:rFonts w:eastAsia="Times New Roman"/>
          <w:lang w:eastAsia="de-DE"/>
        </w:rPr>
        <w:t>als Objekt vorausgestellt (</w:t>
      </w:r>
      <w:r w:rsidRPr="00C5644E">
        <w:rPr>
          <w:rFonts w:eastAsia="Times New Roman"/>
          <w:b/>
          <w:bCs/>
          <w:rtl/>
          <w:lang w:eastAsia="de-DE"/>
        </w:rPr>
        <w:t>קוֹל</w:t>
      </w:r>
      <w:r w:rsidRPr="00C5644E">
        <w:rPr>
          <w:rFonts w:eastAsia="Times New Roman"/>
          <w:lang w:eastAsia="de-DE"/>
        </w:rPr>
        <w:t xml:space="preserve">, „Stimme, Klang", im Construct mit </w:t>
      </w:r>
      <w:r w:rsidRPr="00C5644E">
        <w:rPr>
          <w:rFonts w:eastAsia="Times New Roman"/>
          <w:b/>
          <w:bCs/>
          <w:rtl/>
          <w:lang w:eastAsia="de-DE"/>
        </w:rPr>
        <w:t>דְּבָרִים</w:t>
      </w:r>
      <w:r w:rsidRPr="00C5644E">
        <w:rPr>
          <w:rFonts w:eastAsia="Times New Roman"/>
          <w:lang w:eastAsia="de-DE"/>
        </w:rPr>
        <w:t xml:space="preserve">, „Worte", Plural), </w:t>
      </w:r>
      <w:r w:rsidRPr="00C5644E">
        <w:rPr>
          <w:rFonts w:eastAsia="Times New Roman"/>
          <w:b/>
          <w:bCs/>
          <w:rtl/>
          <w:lang w:eastAsia="de-DE"/>
        </w:rPr>
        <w:t>אַתֶּם</w:t>
      </w:r>
      <w:r w:rsidRPr="00C5644E">
        <w:rPr>
          <w:rFonts w:eastAsia="Times New Roman"/>
          <w:rtl/>
          <w:lang w:eastAsia="de-DE"/>
        </w:rPr>
        <w:t xml:space="preserve"> </w:t>
      </w:r>
      <w:r w:rsidRPr="00C5644E">
        <w:rPr>
          <w:rFonts w:eastAsia="Times New Roman"/>
          <w:lang w:eastAsia="de-DE"/>
        </w:rPr>
        <w:t xml:space="preserve">als Subjekt, </w:t>
      </w:r>
      <w:r w:rsidRPr="00C5644E">
        <w:rPr>
          <w:rFonts w:eastAsia="Times New Roman"/>
          <w:b/>
          <w:bCs/>
          <w:rtl/>
          <w:lang w:eastAsia="de-DE"/>
        </w:rPr>
        <w:t>שֹׁמְעִים</w:t>
      </w:r>
      <w:r w:rsidRPr="00C5644E">
        <w:rPr>
          <w:rFonts w:eastAsia="Times New Roman"/>
          <w:rtl/>
          <w:lang w:eastAsia="de-DE"/>
        </w:rPr>
        <w:t xml:space="preserve"> </w:t>
      </w:r>
      <w:r w:rsidRPr="00C5644E">
        <w:rPr>
          <w:rFonts w:eastAsia="Times New Roman"/>
          <w:lang w:eastAsia="de-DE"/>
        </w:rPr>
        <w:t xml:space="preserve">als Qal Partizip Plural maskulin von </w:t>
      </w:r>
      <w:r w:rsidRPr="00C5644E">
        <w:rPr>
          <w:rFonts w:eastAsia="Times New Roman"/>
          <w:b/>
          <w:bCs/>
          <w:rtl/>
          <w:lang w:eastAsia="de-DE"/>
        </w:rPr>
        <w:t>שׁמע</w:t>
      </w:r>
      <w:r w:rsidRPr="00C5644E">
        <w:rPr>
          <w:rFonts w:eastAsia="Times New Roman"/>
          <w:rtl/>
          <w:lang w:eastAsia="de-DE"/>
        </w:rPr>
        <w:t xml:space="preserve"> </w:t>
      </w:r>
      <w:r w:rsidRPr="00C5644E">
        <w:rPr>
          <w:rFonts w:eastAsia="Times New Roman"/>
          <w:lang w:eastAsia="de-DE"/>
        </w:rPr>
        <w:t>(„hören"). Die Wortstellung Objekt-Subjekt-Prädikat betont das Gehörte.</w:t>
      </w:r>
    </w:p>
    <w:p w14:paraId="71BF0B97"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rtl/>
          <w:lang w:eastAsia="de-DE"/>
        </w:rPr>
        <w:t>וּתְמוּנָה אֵינְכֶם רֹאִים</w:t>
      </w:r>
      <w:r w:rsidRPr="00C5644E">
        <w:rPr>
          <w:rFonts w:eastAsia="Times New Roman"/>
          <w:rtl/>
          <w:lang w:eastAsia="de-DE"/>
        </w:rPr>
        <w:t xml:space="preserve"> </w:t>
      </w:r>
      <w:r w:rsidRPr="00C5644E">
        <w:rPr>
          <w:rFonts w:eastAsia="Times New Roman"/>
          <w:lang w:eastAsia="de-DE"/>
        </w:rPr>
        <w:t xml:space="preserve">ist ein kontrastierender nominaler Satz: </w:t>
      </w:r>
      <w:r w:rsidRPr="00C5644E">
        <w:rPr>
          <w:rFonts w:eastAsia="Times New Roman"/>
          <w:b/>
          <w:bCs/>
          <w:rtl/>
          <w:lang w:eastAsia="de-DE"/>
        </w:rPr>
        <w:t>וְ</w:t>
      </w:r>
      <w:r w:rsidRPr="00C5644E">
        <w:rPr>
          <w:rFonts w:eastAsia="Times New Roman"/>
          <w:rtl/>
          <w:lang w:eastAsia="de-DE"/>
        </w:rPr>
        <w:t xml:space="preserve"> </w:t>
      </w:r>
      <w:r w:rsidRPr="00C5644E">
        <w:rPr>
          <w:rFonts w:eastAsia="Times New Roman"/>
          <w:lang w:eastAsia="de-DE"/>
        </w:rPr>
        <w:t xml:space="preserve">(adversativ), </w:t>
      </w:r>
      <w:r w:rsidRPr="00C5644E">
        <w:rPr>
          <w:rFonts w:eastAsia="Times New Roman"/>
          <w:b/>
          <w:bCs/>
          <w:rtl/>
          <w:lang w:eastAsia="de-DE"/>
        </w:rPr>
        <w:t>תְמוּנָה</w:t>
      </w:r>
      <w:r w:rsidRPr="00C5644E">
        <w:rPr>
          <w:rFonts w:eastAsia="Times New Roman"/>
          <w:rtl/>
          <w:lang w:eastAsia="de-DE"/>
        </w:rPr>
        <w:t xml:space="preserve"> </w:t>
      </w:r>
      <w:r w:rsidRPr="00C5644E">
        <w:rPr>
          <w:rFonts w:eastAsia="Times New Roman"/>
          <w:lang w:eastAsia="de-DE"/>
        </w:rPr>
        <w:t xml:space="preserve">(„Gestalt, Bild, Form") als vorausgestelltes Objekt, </w:t>
      </w:r>
      <w:r w:rsidRPr="00C5644E">
        <w:rPr>
          <w:rFonts w:eastAsia="Times New Roman"/>
          <w:b/>
          <w:bCs/>
          <w:rtl/>
          <w:lang w:eastAsia="de-DE"/>
        </w:rPr>
        <w:t>אֵינְכֶם</w:t>
      </w:r>
      <w:r w:rsidRPr="00C5644E">
        <w:rPr>
          <w:rFonts w:eastAsia="Times New Roman"/>
          <w:rtl/>
          <w:lang w:eastAsia="de-DE"/>
        </w:rPr>
        <w:t xml:space="preserve"> </w:t>
      </w:r>
      <w:r w:rsidRPr="00C5644E">
        <w:rPr>
          <w:rFonts w:eastAsia="Times New Roman"/>
          <w:lang w:eastAsia="de-DE"/>
        </w:rPr>
        <w:t xml:space="preserve">als Negationspartikel </w:t>
      </w:r>
      <w:r w:rsidRPr="00C5644E">
        <w:rPr>
          <w:rFonts w:eastAsia="Times New Roman"/>
          <w:b/>
          <w:bCs/>
          <w:rtl/>
          <w:lang w:eastAsia="de-DE"/>
        </w:rPr>
        <w:t>אֵין</w:t>
      </w:r>
      <w:r w:rsidRPr="00C5644E">
        <w:rPr>
          <w:rFonts w:eastAsia="Times New Roman"/>
          <w:rtl/>
          <w:lang w:eastAsia="de-DE"/>
        </w:rPr>
        <w:t xml:space="preserve"> </w:t>
      </w:r>
      <w:r w:rsidRPr="00C5644E">
        <w:rPr>
          <w:rFonts w:eastAsia="Times New Roman"/>
          <w:lang w:eastAsia="de-DE"/>
        </w:rPr>
        <w:t xml:space="preserve">mit Suffix 2. Person Plural maskulin („ihr [seid] nicht"), </w:t>
      </w:r>
      <w:r w:rsidRPr="00C5644E">
        <w:rPr>
          <w:rFonts w:eastAsia="Times New Roman"/>
          <w:b/>
          <w:bCs/>
          <w:rtl/>
          <w:lang w:eastAsia="de-DE"/>
        </w:rPr>
        <w:t>רֹאִים</w:t>
      </w:r>
      <w:r w:rsidRPr="00C5644E">
        <w:rPr>
          <w:rFonts w:eastAsia="Times New Roman"/>
          <w:rtl/>
          <w:lang w:eastAsia="de-DE"/>
        </w:rPr>
        <w:t xml:space="preserve"> </w:t>
      </w:r>
      <w:r w:rsidRPr="00C5644E">
        <w:rPr>
          <w:rFonts w:eastAsia="Times New Roman"/>
          <w:lang w:eastAsia="de-DE"/>
        </w:rPr>
        <w:t xml:space="preserve">als Qal Partizip Plural maskulin von </w:t>
      </w:r>
      <w:r w:rsidRPr="00C5644E">
        <w:rPr>
          <w:rFonts w:eastAsia="Times New Roman"/>
          <w:b/>
          <w:bCs/>
          <w:rtl/>
          <w:lang w:eastAsia="de-DE"/>
        </w:rPr>
        <w:t>ראה</w:t>
      </w:r>
      <w:r w:rsidRPr="00C5644E">
        <w:rPr>
          <w:rFonts w:eastAsia="Times New Roman"/>
          <w:rtl/>
          <w:lang w:eastAsia="de-DE"/>
        </w:rPr>
        <w:t xml:space="preserve"> </w:t>
      </w:r>
      <w:r w:rsidRPr="00C5644E">
        <w:rPr>
          <w:rFonts w:eastAsia="Times New Roman"/>
          <w:lang w:eastAsia="de-DE"/>
        </w:rPr>
        <w:t xml:space="preserve">(„sehen"). Die Struktur ist parallel zur vorherigen, aber mit Negation. </w:t>
      </w:r>
      <w:r w:rsidRPr="00C5644E">
        <w:rPr>
          <w:rFonts w:eastAsia="Times New Roman"/>
          <w:b/>
          <w:bCs/>
          <w:rtl/>
          <w:lang w:eastAsia="de-DE"/>
        </w:rPr>
        <w:t>זוּלָתִי קוֹל</w:t>
      </w:r>
      <w:r w:rsidRPr="00C5644E">
        <w:rPr>
          <w:rFonts w:eastAsia="Times New Roman"/>
          <w:rtl/>
          <w:lang w:eastAsia="de-DE"/>
        </w:rPr>
        <w:t xml:space="preserve"> </w:t>
      </w:r>
      <w:r w:rsidRPr="00C5644E">
        <w:rPr>
          <w:rFonts w:eastAsia="Times New Roman"/>
          <w:lang w:eastAsia="de-DE"/>
        </w:rPr>
        <w:t xml:space="preserve">ist eine einschränkende Konstruktion: </w:t>
      </w:r>
      <w:r w:rsidRPr="00C5644E">
        <w:rPr>
          <w:rFonts w:eastAsia="Times New Roman"/>
          <w:b/>
          <w:bCs/>
          <w:rtl/>
          <w:lang w:eastAsia="de-DE"/>
        </w:rPr>
        <w:t>זוּלָתִי</w:t>
      </w:r>
      <w:r w:rsidRPr="00C5644E">
        <w:rPr>
          <w:rFonts w:eastAsia="Times New Roman"/>
          <w:rtl/>
          <w:lang w:eastAsia="de-DE"/>
        </w:rPr>
        <w:t xml:space="preserve"> </w:t>
      </w:r>
      <w:r w:rsidRPr="00C5644E">
        <w:rPr>
          <w:rFonts w:eastAsia="Times New Roman"/>
          <w:lang w:eastAsia="de-DE"/>
        </w:rPr>
        <w:t xml:space="preserve">(„außer, nur") mit </w:t>
      </w:r>
      <w:r w:rsidRPr="00C5644E">
        <w:rPr>
          <w:rFonts w:eastAsia="Times New Roman"/>
          <w:b/>
          <w:bCs/>
          <w:rtl/>
          <w:lang w:eastAsia="de-DE"/>
        </w:rPr>
        <w:t>קוֹל</w:t>
      </w:r>
      <w:r w:rsidRPr="00C5644E">
        <w:rPr>
          <w:rFonts w:eastAsia="Times New Roman"/>
          <w:rtl/>
          <w:lang w:eastAsia="de-DE"/>
        </w:rPr>
        <w:t xml:space="preserve"> </w:t>
      </w:r>
      <w:r w:rsidRPr="00C5644E">
        <w:rPr>
          <w:rFonts w:eastAsia="Times New Roman"/>
          <w:lang w:eastAsia="de-DE"/>
        </w:rPr>
        <w:t>(„Stimme, Klang").</w:t>
      </w:r>
    </w:p>
    <w:p w14:paraId="492C9AE3"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lang w:eastAsia="de-DE"/>
        </w:rPr>
        <w:t>Der Kontrast zwischen Hören (</w:t>
      </w:r>
      <w:r w:rsidRPr="00C5644E">
        <w:rPr>
          <w:rFonts w:eastAsia="Times New Roman"/>
          <w:b/>
          <w:bCs/>
          <w:rtl/>
          <w:lang w:eastAsia="de-DE"/>
        </w:rPr>
        <w:t>שֹׁמְעִים</w:t>
      </w:r>
      <w:r w:rsidRPr="00C5644E">
        <w:rPr>
          <w:rFonts w:eastAsia="Times New Roman"/>
          <w:lang w:eastAsia="de-DE"/>
        </w:rPr>
        <w:t>) und Sehen (</w:t>
      </w:r>
      <w:r w:rsidRPr="00C5644E">
        <w:rPr>
          <w:rFonts w:eastAsia="Times New Roman"/>
          <w:b/>
          <w:bCs/>
          <w:rtl/>
          <w:lang w:eastAsia="de-DE"/>
        </w:rPr>
        <w:t>רֹאִים</w:t>
      </w:r>
      <w:r w:rsidRPr="00C5644E">
        <w:rPr>
          <w:rFonts w:eastAsia="Times New Roman"/>
          <w:lang w:eastAsia="de-DE"/>
        </w:rPr>
        <w:t xml:space="preserve">) ist zentral für die deuteronomische Theologie des Bilderverbots. Die Betonung liegt darauf, dass Israel keine visuelle Gestalt Gottes sah, sondern nur die Stimme hörte. Dies bildet die theologische Grundlage für das Bilderverbot in den folgenden Versen. Der Begriff </w:t>
      </w:r>
      <w:r w:rsidRPr="00C5644E">
        <w:rPr>
          <w:rFonts w:eastAsia="Times New Roman"/>
          <w:b/>
          <w:bCs/>
          <w:rtl/>
          <w:lang w:eastAsia="de-DE"/>
        </w:rPr>
        <w:t>תְמוּנָה</w:t>
      </w:r>
      <w:r w:rsidRPr="00C5644E">
        <w:rPr>
          <w:rFonts w:eastAsia="Times New Roman"/>
          <w:rtl/>
          <w:lang w:eastAsia="de-DE"/>
        </w:rPr>
        <w:t xml:space="preserve"> </w:t>
      </w:r>
      <w:r w:rsidRPr="00C5644E">
        <w:rPr>
          <w:rFonts w:eastAsia="Times New Roman"/>
          <w:lang w:eastAsia="de-DE"/>
        </w:rPr>
        <w:t>bezeichnet eine sichtbare Form oder Gestalt und wird im Deuteronomium programmatisch für das verneint, was von Gott wahrgenommen werden kann.</w:t>
      </w:r>
    </w:p>
    <w:p w14:paraId="4F3EDA32"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lang w:eastAsia="de-DE"/>
        </w:rPr>
        <w:t>Die Satzstruktur besteht aus einem narrativen Hauptsatz mit Subjekt, präpositionaler Herkunftsangabe und indirektem Objekt, gefolgt von zwei kontrastierenden nominalen Sätzen mit partizipialen Prädikaten und vorausgestellten Objekten (der zweite mit Negation), und einer abschließenden einschränkenden Präpositionalphrase. Die parallele Struktur der beiden nominalen Sätze unterstreicht den Kontrast zwischen dem, was wahrgenommen wurde (Stimme) und was nicht wahrgenommen wurde (Gestalt).</w:t>
      </w:r>
    </w:p>
    <w:p w14:paraId="394580F0"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lang w:eastAsia="de-DE"/>
        </w:rPr>
        <w:t>Der Vers betont die rein akustische Natur der Sinai-Offenbarung: Israel hörte Gottes Stimme, sah aber keine Gestalt – ein fundamentales Prinzip für das Bilderverbot.</w:t>
      </w:r>
    </w:p>
    <w:p w14:paraId="3A7049AF" w14:textId="77777777" w:rsidR="00C5644E" w:rsidRPr="00C5644E" w:rsidRDefault="00C5644E" w:rsidP="00C5644E">
      <w:pPr>
        <w:spacing w:before="100" w:beforeAutospacing="1" w:after="100" w:afterAutospacing="1" w:line="240" w:lineRule="auto"/>
        <w:outlineLvl w:val="1"/>
        <w:rPr>
          <w:rFonts w:eastAsia="Times New Roman"/>
          <w:b/>
          <w:bCs/>
          <w:sz w:val="36"/>
          <w:szCs w:val="36"/>
          <w:lang w:eastAsia="de-DE"/>
        </w:rPr>
      </w:pPr>
      <w:r w:rsidRPr="00C5644E">
        <w:rPr>
          <w:rFonts w:eastAsia="Times New Roman"/>
          <w:b/>
          <w:bCs/>
          <w:sz w:val="36"/>
          <w:szCs w:val="36"/>
          <w:lang w:eastAsia="de-DE"/>
        </w:rPr>
        <w:t>Deuteronomium 4,13</w:t>
      </w:r>
    </w:p>
    <w:p w14:paraId="00C797E5"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lang w:eastAsia="de-DE"/>
        </w:rPr>
        <w:t>Hebräisch:</w:t>
      </w:r>
      <w:r w:rsidRPr="00C5644E">
        <w:rPr>
          <w:rFonts w:eastAsia="Times New Roman"/>
          <w:lang w:eastAsia="de-DE"/>
        </w:rPr>
        <w:t xml:space="preserve"> </w:t>
      </w:r>
      <w:r w:rsidRPr="00C5644E">
        <w:rPr>
          <w:rFonts w:eastAsia="Times New Roman"/>
          <w:rtl/>
          <w:lang w:eastAsia="de-DE"/>
        </w:rPr>
        <w:t>וַיַּגֵּ֨ד לָכֶ֜ם אֶת־בְּרִיתֹ֗ו אֲשֶׁ֨ר צִוָּ֤ה אֶתְכֶם֙ לַעֲשׂ֔וֹת עֲשֶׂ֖רֶת הַדְּבָרִ֑ים וַֽיִּכְתְּבֵ֔ם עַל־שְׁנֵ֖י לֻח֥וֹת אֲבָנִֽים׃</w:t>
      </w:r>
    </w:p>
    <w:p w14:paraId="041ACD17"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lang w:eastAsia="de-DE"/>
        </w:rPr>
        <w:t>Deutsch:</w:t>
      </w:r>
      <w:r w:rsidRPr="00C5644E">
        <w:rPr>
          <w:rFonts w:eastAsia="Times New Roman"/>
          <w:lang w:eastAsia="de-DE"/>
        </w:rPr>
        <w:t xml:space="preserve"> Und er verkündete euch seinen Bund, den er euch zu tun gebot: die zehn Worte. Und er schrieb sie auf zwei Tafeln von Stein.</w:t>
      </w:r>
    </w:p>
    <w:p w14:paraId="133A94DF" w14:textId="77777777" w:rsidR="00C5644E" w:rsidRPr="00C5644E" w:rsidRDefault="004F5CEB" w:rsidP="00C5644E">
      <w:pPr>
        <w:spacing w:after="0" w:line="240" w:lineRule="auto"/>
        <w:rPr>
          <w:rFonts w:eastAsia="Times New Roman"/>
          <w:lang w:eastAsia="de-DE"/>
        </w:rPr>
      </w:pPr>
      <w:r>
        <w:rPr>
          <w:rFonts w:eastAsia="Times New Roman"/>
          <w:noProof/>
          <w:lang w:eastAsia="de-DE"/>
        </w:rPr>
        <w:pict w14:anchorId="68EFC5FE">
          <v:rect id="_x0000_i1149" style="width:0;height:1.5pt" o:hralign="center" o:hrstd="t" o:hr="t" fillcolor="#a0a0a0" stroked="f"/>
        </w:pict>
      </w:r>
    </w:p>
    <w:p w14:paraId="496DDFBF" w14:textId="7ED426D9"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lang w:eastAsia="de-DE"/>
        </w:rPr>
        <w:t>Kommentar:</w:t>
      </w:r>
      <w:r w:rsidRPr="00C5644E">
        <w:rPr>
          <w:rFonts w:eastAsia="Times New Roman"/>
          <w:lang w:eastAsia="de-DE"/>
        </w:rPr>
        <w:t xml:space="preserve"> </w:t>
      </w:r>
      <w:r w:rsidRPr="00C5644E">
        <w:rPr>
          <w:rFonts w:eastAsia="Times New Roman"/>
          <w:b/>
          <w:bCs/>
          <w:rtl/>
          <w:lang w:eastAsia="de-DE"/>
        </w:rPr>
        <w:t>וַיַּגֵּד לָכֶם</w:t>
      </w:r>
      <w:r w:rsidRPr="00C5644E">
        <w:rPr>
          <w:rFonts w:eastAsia="Times New Roman"/>
          <w:rtl/>
          <w:lang w:eastAsia="de-DE"/>
        </w:rPr>
        <w:t xml:space="preserve"> </w:t>
      </w:r>
      <w:r w:rsidRPr="00C5644E">
        <w:rPr>
          <w:rFonts w:eastAsia="Times New Roman"/>
          <w:lang w:eastAsia="de-DE"/>
        </w:rPr>
        <w:t xml:space="preserve">ist Hifil Imperfekt consecutivum, 3. Person Singular maskulin von </w:t>
      </w:r>
      <w:r w:rsidRPr="00C5644E">
        <w:rPr>
          <w:rFonts w:eastAsia="Times New Roman"/>
          <w:b/>
          <w:bCs/>
          <w:rtl/>
          <w:lang w:eastAsia="de-DE"/>
        </w:rPr>
        <w:t>נגד</w:t>
      </w:r>
      <w:r w:rsidRPr="00C5644E">
        <w:rPr>
          <w:rFonts w:eastAsia="Times New Roman"/>
          <w:rtl/>
          <w:lang w:eastAsia="de-DE"/>
        </w:rPr>
        <w:t xml:space="preserve"> </w:t>
      </w:r>
      <w:r w:rsidRPr="00C5644E">
        <w:rPr>
          <w:rFonts w:eastAsia="Times New Roman"/>
          <w:lang w:eastAsia="de-DE"/>
        </w:rPr>
        <w:t xml:space="preserve">(„verkünden, mitteilen, kundtun") mit Waw, </w:t>
      </w:r>
      <w:r w:rsidRPr="00C5644E">
        <w:rPr>
          <w:rFonts w:eastAsia="Times New Roman"/>
          <w:b/>
          <w:bCs/>
          <w:rtl/>
          <w:lang w:eastAsia="de-DE"/>
        </w:rPr>
        <w:t>לָכֶם</w:t>
      </w:r>
      <w:r w:rsidRPr="00C5644E">
        <w:rPr>
          <w:rFonts w:eastAsia="Times New Roman"/>
          <w:rtl/>
          <w:lang w:eastAsia="de-DE"/>
        </w:rPr>
        <w:t xml:space="preserve"> </w:t>
      </w:r>
      <w:r w:rsidRPr="00C5644E">
        <w:rPr>
          <w:rFonts w:eastAsia="Times New Roman"/>
          <w:lang w:eastAsia="de-DE"/>
        </w:rPr>
        <w:t>als indirektes Objekt. Das Subjekt (</w:t>
      </w:r>
      <w:r w:rsidR="00B77E5E">
        <w:rPr>
          <w:rFonts w:eastAsia="Times New Roman"/>
          <w:lang w:eastAsia="de-DE"/>
        </w:rPr>
        <w:t>JHWH</w:t>
      </w:r>
      <w:r w:rsidRPr="00C5644E">
        <w:rPr>
          <w:rFonts w:eastAsia="Times New Roman"/>
          <w:lang w:eastAsia="de-DE"/>
        </w:rPr>
        <w:t xml:space="preserve">) ist aus dem Kontext zu erschließen. </w:t>
      </w:r>
      <w:r w:rsidRPr="00C5644E">
        <w:rPr>
          <w:rFonts w:eastAsia="Times New Roman"/>
          <w:b/>
          <w:bCs/>
          <w:rtl/>
          <w:lang w:eastAsia="de-DE"/>
        </w:rPr>
        <w:t>אֶת־בְּרִיתוֹ</w:t>
      </w:r>
      <w:r w:rsidRPr="00C5644E">
        <w:rPr>
          <w:rFonts w:eastAsia="Times New Roman"/>
          <w:rtl/>
          <w:lang w:eastAsia="de-DE"/>
        </w:rPr>
        <w:t xml:space="preserve"> </w:t>
      </w:r>
      <w:r w:rsidRPr="00C5644E">
        <w:rPr>
          <w:rFonts w:eastAsia="Times New Roman"/>
          <w:lang w:eastAsia="de-DE"/>
        </w:rPr>
        <w:t xml:space="preserve">ist nota accusativi mit </w:t>
      </w:r>
      <w:r w:rsidRPr="00C5644E">
        <w:rPr>
          <w:rFonts w:eastAsia="Times New Roman"/>
          <w:b/>
          <w:bCs/>
          <w:rtl/>
          <w:lang w:eastAsia="de-DE"/>
        </w:rPr>
        <w:t>בְּרִית</w:t>
      </w:r>
      <w:r w:rsidRPr="00C5644E">
        <w:rPr>
          <w:rFonts w:eastAsia="Times New Roman"/>
          <w:rtl/>
          <w:lang w:eastAsia="de-DE"/>
        </w:rPr>
        <w:t xml:space="preserve"> </w:t>
      </w:r>
      <w:r w:rsidRPr="00C5644E">
        <w:rPr>
          <w:rFonts w:eastAsia="Times New Roman"/>
          <w:lang w:eastAsia="de-DE"/>
        </w:rPr>
        <w:t xml:space="preserve">(„Bund") und Suffix 3. Person Singular maskulin. </w:t>
      </w:r>
      <w:r w:rsidRPr="00C5644E">
        <w:rPr>
          <w:rFonts w:eastAsia="Times New Roman"/>
          <w:b/>
          <w:bCs/>
          <w:rtl/>
          <w:lang w:eastAsia="de-DE"/>
        </w:rPr>
        <w:t>אֲשֶׁר צִוָּה אֶתְכֶם לַעֲשׂוֹת</w:t>
      </w:r>
      <w:r w:rsidRPr="00C5644E">
        <w:rPr>
          <w:rFonts w:eastAsia="Times New Roman"/>
          <w:rtl/>
          <w:lang w:eastAsia="de-DE"/>
        </w:rPr>
        <w:t xml:space="preserve"> </w:t>
      </w:r>
      <w:r w:rsidRPr="00C5644E">
        <w:rPr>
          <w:rFonts w:eastAsia="Times New Roman"/>
          <w:lang w:eastAsia="de-DE"/>
        </w:rPr>
        <w:t xml:space="preserve">ist ein Relativsatz: </w:t>
      </w:r>
      <w:r w:rsidRPr="00C5644E">
        <w:rPr>
          <w:rFonts w:eastAsia="Times New Roman"/>
          <w:b/>
          <w:bCs/>
          <w:rtl/>
          <w:lang w:eastAsia="de-DE"/>
        </w:rPr>
        <w:t>אֲשֶׁר</w:t>
      </w:r>
      <w:r w:rsidRPr="00C5644E">
        <w:rPr>
          <w:rFonts w:eastAsia="Times New Roman"/>
          <w:rtl/>
          <w:lang w:eastAsia="de-DE"/>
        </w:rPr>
        <w:t xml:space="preserve"> </w:t>
      </w:r>
      <w:r w:rsidRPr="00C5644E">
        <w:rPr>
          <w:rFonts w:eastAsia="Times New Roman"/>
          <w:lang w:eastAsia="de-DE"/>
        </w:rPr>
        <w:t xml:space="preserve">als Relativpronomen, </w:t>
      </w:r>
      <w:r w:rsidRPr="00C5644E">
        <w:rPr>
          <w:rFonts w:eastAsia="Times New Roman"/>
          <w:b/>
          <w:bCs/>
          <w:rtl/>
          <w:lang w:eastAsia="de-DE"/>
        </w:rPr>
        <w:t>צִוָּה</w:t>
      </w:r>
      <w:r w:rsidRPr="00C5644E">
        <w:rPr>
          <w:rFonts w:eastAsia="Times New Roman"/>
          <w:rtl/>
          <w:lang w:eastAsia="de-DE"/>
        </w:rPr>
        <w:t xml:space="preserve"> </w:t>
      </w:r>
      <w:r w:rsidRPr="00C5644E">
        <w:rPr>
          <w:rFonts w:eastAsia="Times New Roman"/>
          <w:lang w:eastAsia="de-DE"/>
        </w:rPr>
        <w:t xml:space="preserve">als Piel Perfekt, 3. Person Singular maskulin von </w:t>
      </w:r>
      <w:r w:rsidRPr="00C5644E">
        <w:rPr>
          <w:rFonts w:eastAsia="Times New Roman"/>
          <w:b/>
          <w:bCs/>
          <w:rtl/>
          <w:lang w:eastAsia="de-DE"/>
        </w:rPr>
        <w:t>צוה</w:t>
      </w:r>
      <w:r w:rsidRPr="00C5644E">
        <w:rPr>
          <w:rFonts w:eastAsia="Times New Roman"/>
          <w:rtl/>
          <w:lang w:eastAsia="de-DE"/>
        </w:rPr>
        <w:t xml:space="preserve"> </w:t>
      </w:r>
      <w:r w:rsidRPr="00C5644E">
        <w:rPr>
          <w:rFonts w:eastAsia="Times New Roman"/>
          <w:lang w:eastAsia="de-DE"/>
        </w:rPr>
        <w:t xml:space="preserve">(„befehlen, gebieten"), </w:t>
      </w:r>
      <w:r w:rsidRPr="00C5644E">
        <w:rPr>
          <w:rFonts w:eastAsia="Times New Roman"/>
          <w:b/>
          <w:bCs/>
          <w:rtl/>
          <w:lang w:eastAsia="de-DE"/>
        </w:rPr>
        <w:t>אֶתְכֶם</w:t>
      </w:r>
      <w:r w:rsidRPr="00C5644E">
        <w:rPr>
          <w:rFonts w:eastAsia="Times New Roman"/>
          <w:rtl/>
          <w:lang w:eastAsia="de-DE"/>
        </w:rPr>
        <w:t xml:space="preserve"> </w:t>
      </w:r>
      <w:r w:rsidRPr="00C5644E">
        <w:rPr>
          <w:rFonts w:eastAsia="Times New Roman"/>
          <w:lang w:eastAsia="de-DE"/>
        </w:rPr>
        <w:t xml:space="preserve">als direktes Objekt, </w:t>
      </w:r>
      <w:r w:rsidRPr="00C5644E">
        <w:rPr>
          <w:rFonts w:eastAsia="Times New Roman"/>
          <w:b/>
          <w:bCs/>
          <w:rtl/>
          <w:lang w:eastAsia="de-DE"/>
        </w:rPr>
        <w:t>לַעֲשׂוֹת</w:t>
      </w:r>
      <w:r w:rsidRPr="00C5644E">
        <w:rPr>
          <w:rFonts w:eastAsia="Times New Roman"/>
          <w:rtl/>
          <w:lang w:eastAsia="de-DE"/>
        </w:rPr>
        <w:t xml:space="preserve"> </w:t>
      </w:r>
      <w:r w:rsidRPr="00C5644E">
        <w:rPr>
          <w:rFonts w:eastAsia="Times New Roman"/>
          <w:lang w:eastAsia="de-DE"/>
        </w:rPr>
        <w:t xml:space="preserve">als Qal Infinitiv Construct von </w:t>
      </w:r>
      <w:r w:rsidRPr="00C5644E">
        <w:rPr>
          <w:rFonts w:eastAsia="Times New Roman"/>
          <w:b/>
          <w:bCs/>
          <w:rtl/>
          <w:lang w:eastAsia="de-DE"/>
        </w:rPr>
        <w:t>עשׂה</w:t>
      </w:r>
      <w:r w:rsidRPr="00C5644E">
        <w:rPr>
          <w:rFonts w:eastAsia="Times New Roman"/>
          <w:rtl/>
          <w:lang w:eastAsia="de-DE"/>
        </w:rPr>
        <w:t xml:space="preserve"> </w:t>
      </w:r>
      <w:r w:rsidRPr="00C5644E">
        <w:rPr>
          <w:rFonts w:eastAsia="Times New Roman"/>
          <w:lang w:eastAsia="de-DE"/>
        </w:rPr>
        <w:t xml:space="preserve">mit Präposition </w:t>
      </w:r>
      <w:r w:rsidRPr="00C5644E">
        <w:rPr>
          <w:rFonts w:eastAsia="Times New Roman"/>
          <w:b/>
          <w:bCs/>
          <w:rtl/>
          <w:lang w:eastAsia="de-DE"/>
        </w:rPr>
        <w:t>לְ</w:t>
      </w:r>
      <w:r w:rsidRPr="00C5644E">
        <w:rPr>
          <w:rFonts w:eastAsia="Times New Roman"/>
          <w:rtl/>
          <w:lang w:eastAsia="de-DE"/>
        </w:rPr>
        <w:t xml:space="preserve"> </w:t>
      </w:r>
      <w:r w:rsidRPr="00C5644E">
        <w:rPr>
          <w:rFonts w:eastAsia="Times New Roman"/>
          <w:lang w:eastAsia="de-DE"/>
        </w:rPr>
        <w:t>(final oder gerundial).</w:t>
      </w:r>
    </w:p>
    <w:p w14:paraId="172D8DD1"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rtl/>
          <w:lang w:eastAsia="de-DE"/>
        </w:rPr>
        <w:t>עֲשֶׂרֶת הַדְּבָרִים</w:t>
      </w:r>
      <w:r w:rsidRPr="00C5644E">
        <w:rPr>
          <w:rFonts w:eastAsia="Times New Roman"/>
          <w:rtl/>
          <w:lang w:eastAsia="de-DE"/>
        </w:rPr>
        <w:t xml:space="preserve"> </w:t>
      </w:r>
      <w:r w:rsidRPr="00C5644E">
        <w:rPr>
          <w:rFonts w:eastAsia="Times New Roman"/>
          <w:lang w:eastAsia="de-DE"/>
        </w:rPr>
        <w:t xml:space="preserve">ist eine appositionelle Erklärung zu </w:t>
      </w:r>
      <w:r w:rsidRPr="00C5644E">
        <w:rPr>
          <w:rFonts w:eastAsia="Times New Roman"/>
          <w:b/>
          <w:bCs/>
          <w:rtl/>
          <w:lang w:eastAsia="de-DE"/>
        </w:rPr>
        <w:t>בְּרִיתוֹ</w:t>
      </w:r>
      <w:r w:rsidRPr="00C5644E">
        <w:rPr>
          <w:rFonts w:eastAsia="Times New Roman"/>
          <w:lang w:eastAsia="de-DE"/>
        </w:rPr>
        <w:t xml:space="preserve">: </w:t>
      </w:r>
      <w:r w:rsidRPr="00C5644E">
        <w:rPr>
          <w:rFonts w:eastAsia="Times New Roman"/>
          <w:b/>
          <w:bCs/>
          <w:rtl/>
          <w:lang w:eastAsia="de-DE"/>
        </w:rPr>
        <w:t>עֲשֶׂרֶת</w:t>
      </w:r>
      <w:r w:rsidRPr="00C5644E">
        <w:rPr>
          <w:rFonts w:eastAsia="Times New Roman"/>
          <w:rtl/>
          <w:lang w:eastAsia="de-DE"/>
        </w:rPr>
        <w:t xml:space="preserve"> </w:t>
      </w:r>
      <w:r w:rsidRPr="00C5644E">
        <w:rPr>
          <w:rFonts w:eastAsia="Times New Roman"/>
          <w:lang w:eastAsia="de-DE"/>
        </w:rPr>
        <w:t xml:space="preserve">(„zehn", femininer absoluter Zustand) mit </w:t>
      </w:r>
      <w:r w:rsidRPr="00C5644E">
        <w:rPr>
          <w:rFonts w:eastAsia="Times New Roman"/>
          <w:b/>
          <w:bCs/>
          <w:rtl/>
          <w:lang w:eastAsia="de-DE"/>
        </w:rPr>
        <w:t>הַדְּבָרִים</w:t>
      </w:r>
      <w:r w:rsidRPr="00C5644E">
        <w:rPr>
          <w:rFonts w:eastAsia="Times New Roman"/>
          <w:rtl/>
          <w:lang w:eastAsia="de-DE"/>
        </w:rPr>
        <w:t xml:space="preserve"> </w:t>
      </w:r>
      <w:r w:rsidRPr="00C5644E">
        <w:rPr>
          <w:rFonts w:eastAsia="Times New Roman"/>
          <w:lang w:eastAsia="de-DE"/>
        </w:rPr>
        <w:t xml:space="preserve">(„die Worte", Plural mit Artikel). Diese Phrase ist der klassische </w:t>
      </w:r>
      <w:r w:rsidRPr="00C5644E">
        <w:rPr>
          <w:rFonts w:eastAsia="Times New Roman"/>
          <w:lang w:eastAsia="de-DE"/>
        </w:rPr>
        <w:lastRenderedPageBreak/>
        <w:t>hebräische Ausdruck für den Dekalog (wörtlich „die zehn Worte"), im Deutschen traditionell „die Zehn Gebote" genannt.</w:t>
      </w:r>
    </w:p>
    <w:p w14:paraId="49A65867"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rtl/>
          <w:lang w:eastAsia="de-DE"/>
        </w:rPr>
        <w:t>וַיִּכְתְּבֵם</w:t>
      </w:r>
      <w:r w:rsidRPr="00C5644E">
        <w:rPr>
          <w:rFonts w:eastAsia="Times New Roman"/>
          <w:rtl/>
          <w:lang w:eastAsia="de-DE"/>
        </w:rPr>
        <w:t xml:space="preserve"> </w:t>
      </w:r>
      <w:r w:rsidRPr="00C5644E">
        <w:rPr>
          <w:rFonts w:eastAsia="Times New Roman"/>
          <w:lang w:eastAsia="de-DE"/>
        </w:rPr>
        <w:t xml:space="preserve">ist Qal Imperfekt consecutivum, 3. Person Singular maskulin von </w:t>
      </w:r>
      <w:r w:rsidRPr="00C5644E">
        <w:rPr>
          <w:rFonts w:eastAsia="Times New Roman"/>
          <w:b/>
          <w:bCs/>
          <w:rtl/>
          <w:lang w:eastAsia="de-DE"/>
        </w:rPr>
        <w:t>כתב</w:t>
      </w:r>
      <w:r w:rsidRPr="00C5644E">
        <w:rPr>
          <w:rFonts w:eastAsia="Times New Roman"/>
          <w:rtl/>
          <w:lang w:eastAsia="de-DE"/>
        </w:rPr>
        <w:t xml:space="preserve"> </w:t>
      </w:r>
      <w:r w:rsidRPr="00C5644E">
        <w:rPr>
          <w:rFonts w:eastAsia="Times New Roman"/>
          <w:lang w:eastAsia="de-DE"/>
        </w:rPr>
        <w:t xml:space="preserve">(„schreiben") mit Waw und Suffix 3. Person Plural maskulin als direktes Objekt. </w:t>
      </w:r>
      <w:r w:rsidRPr="00C5644E">
        <w:rPr>
          <w:rFonts w:eastAsia="Times New Roman"/>
          <w:b/>
          <w:bCs/>
          <w:rtl/>
          <w:lang w:eastAsia="de-DE"/>
        </w:rPr>
        <w:t>עַל־שְׁנֵי לֻחֹת אֲבָנִים</w:t>
      </w:r>
      <w:r w:rsidRPr="00C5644E">
        <w:rPr>
          <w:rFonts w:eastAsia="Times New Roman"/>
          <w:rtl/>
          <w:lang w:eastAsia="de-DE"/>
        </w:rPr>
        <w:t xml:space="preserve"> </w:t>
      </w:r>
      <w:r w:rsidRPr="00C5644E">
        <w:rPr>
          <w:rFonts w:eastAsia="Times New Roman"/>
          <w:lang w:eastAsia="de-DE"/>
        </w:rPr>
        <w:t xml:space="preserve">ist eine Ortsangabe: </w:t>
      </w:r>
      <w:r w:rsidRPr="00C5644E">
        <w:rPr>
          <w:rFonts w:eastAsia="Times New Roman"/>
          <w:b/>
          <w:bCs/>
          <w:rtl/>
          <w:lang w:eastAsia="de-DE"/>
        </w:rPr>
        <w:t>עַל</w:t>
      </w:r>
      <w:r w:rsidRPr="00C5644E">
        <w:rPr>
          <w:rFonts w:eastAsia="Times New Roman"/>
          <w:rtl/>
          <w:lang w:eastAsia="de-DE"/>
        </w:rPr>
        <w:t xml:space="preserve"> </w:t>
      </w:r>
      <w:r w:rsidRPr="00C5644E">
        <w:rPr>
          <w:rFonts w:eastAsia="Times New Roman"/>
          <w:lang w:eastAsia="de-DE"/>
        </w:rPr>
        <w:t xml:space="preserve">(„auf") mit </w:t>
      </w:r>
      <w:r w:rsidRPr="00C5644E">
        <w:rPr>
          <w:rFonts w:eastAsia="Times New Roman"/>
          <w:b/>
          <w:bCs/>
          <w:rtl/>
          <w:lang w:eastAsia="de-DE"/>
        </w:rPr>
        <w:t>שְׁנֵי</w:t>
      </w:r>
      <w:r w:rsidRPr="00C5644E">
        <w:rPr>
          <w:rFonts w:eastAsia="Times New Roman"/>
          <w:rtl/>
          <w:lang w:eastAsia="de-DE"/>
        </w:rPr>
        <w:t xml:space="preserve"> </w:t>
      </w:r>
      <w:r w:rsidRPr="00C5644E">
        <w:rPr>
          <w:rFonts w:eastAsia="Times New Roman"/>
          <w:lang w:eastAsia="de-DE"/>
        </w:rPr>
        <w:t xml:space="preserve">(Dual Construct von </w:t>
      </w:r>
      <w:r w:rsidRPr="00C5644E">
        <w:rPr>
          <w:rFonts w:eastAsia="Times New Roman"/>
          <w:b/>
          <w:bCs/>
          <w:rtl/>
          <w:lang w:eastAsia="de-DE"/>
        </w:rPr>
        <w:t>שְׁנַיִם</w:t>
      </w:r>
      <w:r w:rsidRPr="00C5644E">
        <w:rPr>
          <w:rFonts w:eastAsia="Times New Roman"/>
          <w:lang w:eastAsia="de-DE"/>
        </w:rPr>
        <w:t xml:space="preserve">, „zwei"), </w:t>
      </w:r>
      <w:r w:rsidRPr="00C5644E">
        <w:rPr>
          <w:rFonts w:eastAsia="Times New Roman"/>
          <w:b/>
          <w:bCs/>
          <w:rtl/>
          <w:lang w:eastAsia="de-DE"/>
        </w:rPr>
        <w:t>לֻחֹת</w:t>
      </w:r>
      <w:r w:rsidRPr="00C5644E">
        <w:rPr>
          <w:rFonts w:eastAsia="Times New Roman"/>
          <w:rtl/>
          <w:lang w:eastAsia="de-DE"/>
        </w:rPr>
        <w:t xml:space="preserve"> </w:t>
      </w:r>
      <w:r w:rsidRPr="00C5644E">
        <w:rPr>
          <w:rFonts w:eastAsia="Times New Roman"/>
          <w:lang w:eastAsia="de-DE"/>
        </w:rPr>
        <w:t xml:space="preserve">(Plural Construct von </w:t>
      </w:r>
      <w:r w:rsidRPr="00C5644E">
        <w:rPr>
          <w:rFonts w:eastAsia="Times New Roman"/>
          <w:b/>
          <w:bCs/>
          <w:rtl/>
          <w:lang w:eastAsia="de-DE"/>
        </w:rPr>
        <w:t>לוּחַ</w:t>
      </w:r>
      <w:r w:rsidRPr="00C5644E">
        <w:rPr>
          <w:rFonts w:eastAsia="Times New Roman"/>
          <w:lang w:eastAsia="de-DE"/>
        </w:rPr>
        <w:t xml:space="preserve">, „Tafel"), </w:t>
      </w:r>
      <w:r w:rsidRPr="00C5644E">
        <w:rPr>
          <w:rFonts w:eastAsia="Times New Roman"/>
          <w:b/>
          <w:bCs/>
          <w:rtl/>
          <w:lang w:eastAsia="de-DE"/>
        </w:rPr>
        <w:t>אֲבָנִים</w:t>
      </w:r>
      <w:r w:rsidRPr="00C5644E">
        <w:rPr>
          <w:rFonts w:eastAsia="Times New Roman"/>
          <w:rtl/>
          <w:lang w:eastAsia="de-DE"/>
        </w:rPr>
        <w:t xml:space="preserve"> </w:t>
      </w:r>
      <w:r w:rsidRPr="00C5644E">
        <w:rPr>
          <w:rFonts w:eastAsia="Times New Roman"/>
          <w:lang w:eastAsia="de-DE"/>
        </w:rPr>
        <w:t xml:space="preserve">(„Steine", Plural von </w:t>
      </w:r>
      <w:r w:rsidRPr="00C5644E">
        <w:rPr>
          <w:rFonts w:eastAsia="Times New Roman"/>
          <w:b/>
          <w:bCs/>
          <w:rtl/>
          <w:lang w:eastAsia="de-DE"/>
        </w:rPr>
        <w:t>אֶבֶן</w:t>
      </w:r>
      <w:r w:rsidRPr="00C5644E">
        <w:rPr>
          <w:rFonts w:eastAsia="Times New Roman"/>
          <w:lang w:eastAsia="de-DE"/>
        </w:rPr>
        <w:t xml:space="preserve">). Die Konstruktion </w:t>
      </w:r>
      <w:r w:rsidRPr="00C5644E">
        <w:rPr>
          <w:rFonts w:eastAsia="Times New Roman"/>
          <w:b/>
          <w:bCs/>
          <w:rtl/>
          <w:lang w:eastAsia="de-DE"/>
        </w:rPr>
        <w:t>לֻחֹת אֲבָנִים</w:t>
      </w:r>
      <w:r w:rsidRPr="00C5644E">
        <w:rPr>
          <w:rFonts w:eastAsia="Times New Roman"/>
          <w:rtl/>
          <w:lang w:eastAsia="de-DE"/>
        </w:rPr>
        <w:t xml:space="preserve"> </w:t>
      </w:r>
      <w:r w:rsidRPr="00C5644E">
        <w:rPr>
          <w:rFonts w:eastAsia="Times New Roman"/>
          <w:lang w:eastAsia="de-DE"/>
        </w:rPr>
        <w:t>bedeutet „Tafeln aus Stein" oder „steinerne Tafeln".</w:t>
      </w:r>
    </w:p>
    <w:p w14:paraId="0D9A3A38" w14:textId="1DEDBF3A"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lang w:eastAsia="de-DE"/>
        </w:rPr>
        <w:t xml:space="preserve">Der Begriff </w:t>
      </w:r>
      <w:r w:rsidRPr="00C5644E">
        <w:rPr>
          <w:rFonts w:eastAsia="Times New Roman"/>
          <w:b/>
          <w:bCs/>
          <w:rtl/>
          <w:lang w:eastAsia="de-DE"/>
        </w:rPr>
        <w:t>בְּרִית</w:t>
      </w:r>
      <w:r w:rsidRPr="00C5644E">
        <w:rPr>
          <w:rFonts w:eastAsia="Times New Roman"/>
          <w:rtl/>
          <w:lang w:eastAsia="de-DE"/>
        </w:rPr>
        <w:t xml:space="preserve"> </w:t>
      </w:r>
      <w:r w:rsidRPr="00C5644E">
        <w:rPr>
          <w:rFonts w:eastAsia="Times New Roman"/>
          <w:lang w:eastAsia="de-DE"/>
        </w:rPr>
        <w:t xml:space="preserve">(„Bund") bezeichnet hier nicht nur einen Vertrag, sondern die rechtliche und religiöse Beziehung zwischen </w:t>
      </w:r>
      <w:r w:rsidR="00ED2181">
        <w:rPr>
          <w:rFonts w:eastAsia="Times New Roman"/>
          <w:lang w:eastAsia="de-DE"/>
        </w:rPr>
        <w:t>JHWH</w:t>
      </w:r>
      <w:r w:rsidRPr="00C5644E">
        <w:rPr>
          <w:rFonts w:eastAsia="Times New Roman"/>
          <w:lang w:eastAsia="de-DE"/>
        </w:rPr>
        <w:t xml:space="preserve"> und Israel, die durch die zehn Worte konkretisiert wird. Die Identifizierung des Bundes mit dem Dekalog ist charakteristisch für das Deuteronomium. Das Schreiben auf Steintafeln unterstreicht die Dauerhaftigkeit und Unveränderlichkeit der Gebote.</w:t>
      </w:r>
    </w:p>
    <w:p w14:paraId="70B81ECD"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lang w:eastAsia="de-DE"/>
        </w:rPr>
        <w:t xml:space="preserve">Die Satzstruktur besteht aus zwei koordinierten Hauptsätzen: Der erste enthält ein Prädikat, indirektes Objekt, direktes Objekt mit Suffix, einen Relativsatz mit finalem Infinitiv und eine appositionelle Erklärung. Der zweite Hauptsatz hat ein Prädikat mit Suffix-Objekt und eine dreigliedrige Ortsangabe in Construct-Verbindung. Die Apposition </w:t>
      </w:r>
      <w:r w:rsidRPr="00C5644E">
        <w:rPr>
          <w:rFonts w:eastAsia="Times New Roman"/>
          <w:b/>
          <w:bCs/>
          <w:rtl/>
          <w:lang w:eastAsia="de-DE"/>
        </w:rPr>
        <w:t>עֲשֶׂרֶת הַדְּבָרִים</w:t>
      </w:r>
      <w:r w:rsidRPr="00C5644E">
        <w:rPr>
          <w:rFonts w:eastAsia="Times New Roman"/>
          <w:rtl/>
          <w:lang w:eastAsia="de-DE"/>
        </w:rPr>
        <w:t xml:space="preserve"> </w:t>
      </w:r>
      <w:r w:rsidRPr="00C5644E">
        <w:rPr>
          <w:rFonts w:eastAsia="Times New Roman"/>
          <w:lang w:eastAsia="de-DE"/>
        </w:rPr>
        <w:t>bildet das theologische Zentrum des Verses.</w:t>
      </w:r>
    </w:p>
    <w:p w14:paraId="6282A1F8"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lang w:eastAsia="de-DE"/>
        </w:rPr>
        <w:t>Der Vers identifiziert den am Sinai verkündeten Bund mit dem Dekalog und betont dessen schriftliche Fixierung auf zwei Steintafeln.</w:t>
      </w:r>
    </w:p>
    <w:p w14:paraId="488C9EE7" w14:textId="77777777" w:rsidR="00C5644E" w:rsidRPr="00C5644E" w:rsidRDefault="00C5644E" w:rsidP="00C5644E">
      <w:pPr>
        <w:spacing w:before="100" w:beforeAutospacing="1" w:after="100" w:afterAutospacing="1" w:line="240" w:lineRule="auto"/>
        <w:outlineLvl w:val="1"/>
        <w:rPr>
          <w:rFonts w:eastAsia="Times New Roman"/>
          <w:b/>
          <w:bCs/>
          <w:sz w:val="36"/>
          <w:szCs w:val="36"/>
          <w:lang w:eastAsia="de-DE"/>
        </w:rPr>
      </w:pPr>
      <w:r w:rsidRPr="00C5644E">
        <w:rPr>
          <w:rFonts w:eastAsia="Times New Roman"/>
          <w:b/>
          <w:bCs/>
          <w:sz w:val="36"/>
          <w:szCs w:val="36"/>
          <w:lang w:eastAsia="de-DE"/>
        </w:rPr>
        <w:t>Deuteronomium 4,14</w:t>
      </w:r>
    </w:p>
    <w:p w14:paraId="55B8EEC4"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lang w:eastAsia="de-DE"/>
        </w:rPr>
        <w:t>Hebräisch:</w:t>
      </w:r>
      <w:r w:rsidRPr="00C5644E">
        <w:rPr>
          <w:rFonts w:eastAsia="Times New Roman"/>
          <w:lang w:eastAsia="de-DE"/>
        </w:rPr>
        <w:t xml:space="preserve"> </w:t>
      </w:r>
      <w:r w:rsidRPr="00C5644E">
        <w:rPr>
          <w:rFonts w:eastAsia="Times New Roman"/>
          <w:rtl/>
          <w:lang w:eastAsia="de-DE"/>
        </w:rPr>
        <w:t>וְאֹתִ֞י צִוָּ֤ה יְהוָה֙ בָּעֵ֣ת הַהִ֔וא לְלַמֵּ֣ד אֶתְכֶ֔ם חֻקִּ֖ים וּמִשְׁפָּטִ֑ים לַעֲשֹׂתְכֶ֣ם אֹתָ֔ם בָּאָ֕רֶץ אֲשֶׁ֥ר אַתֶּ֛ם עֹבְרִ֥ים שָׁ֖מָּה לְרִשְׁתָּֽהּ׃</w:t>
      </w:r>
    </w:p>
    <w:p w14:paraId="32ACAFCB"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lang w:eastAsia="de-DE"/>
        </w:rPr>
        <w:t>Deutsch:</w:t>
      </w:r>
      <w:r w:rsidRPr="00C5644E">
        <w:rPr>
          <w:rFonts w:eastAsia="Times New Roman"/>
          <w:lang w:eastAsia="de-DE"/>
        </w:rPr>
        <w:t xml:space="preserve"> Und mir gebot der Ewige zu jener Zeit, euch Gesetze und Rechte zu lehren, damit ihr sie tut in dem Land, in das ihr hinüberziehend seid, um es in Besitz zu nehmen.</w:t>
      </w:r>
    </w:p>
    <w:p w14:paraId="25E0C960" w14:textId="77777777" w:rsidR="00C5644E" w:rsidRPr="00C5644E" w:rsidRDefault="004F5CEB" w:rsidP="00C5644E">
      <w:pPr>
        <w:spacing w:after="0" w:line="240" w:lineRule="auto"/>
        <w:rPr>
          <w:rFonts w:eastAsia="Times New Roman"/>
          <w:lang w:eastAsia="de-DE"/>
        </w:rPr>
      </w:pPr>
      <w:r>
        <w:rPr>
          <w:rFonts w:eastAsia="Times New Roman"/>
          <w:noProof/>
          <w:lang w:eastAsia="de-DE"/>
        </w:rPr>
        <w:pict w14:anchorId="518B9E07">
          <v:rect id="_x0000_i1150" style="width:0;height:1.5pt" o:hralign="center" o:hrstd="t" o:hr="t" fillcolor="#a0a0a0" stroked="f"/>
        </w:pict>
      </w:r>
    </w:p>
    <w:p w14:paraId="3B9A3E6B"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lang w:eastAsia="de-DE"/>
        </w:rPr>
        <w:t>Kommentar:</w:t>
      </w:r>
      <w:r w:rsidRPr="00C5644E">
        <w:rPr>
          <w:rFonts w:eastAsia="Times New Roman"/>
          <w:lang w:eastAsia="de-DE"/>
        </w:rPr>
        <w:t xml:space="preserve"> </w:t>
      </w:r>
      <w:r w:rsidRPr="00C5644E">
        <w:rPr>
          <w:rFonts w:eastAsia="Times New Roman"/>
          <w:b/>
          <w:bCs/>
          <w:rtl/>
          <w:lang w:eastAsia="de-DE"/>
        </w:rPr>
        <w:t>וְאֹתִי</w:t>
      </w:r>
      <w:r w:rsidRPr="00C5644E">
        <w:rPr>
          <w:rFonts w:eastAsia="Times New Roman"/>
          <w:rtl/>
          <w:lang w:eastAsia="de-DE"/>
        </w:rPr>
        <w:t xml:space="preserve"> </w:t>
      </w:r>
      <w:r w:rsidRPr="00C5644E">
        <w:rPr>
          <w:rFonts w:eastAsia="Times New Roman"/>
          <w:lang w:eastAsia="de-DE"/>
        </w:rPr>
        <w:t xml:space="preserve">ist </w:t>
      </w:r>
      <w:r w:rsidRPr="00C5644E">
        <w:rPr>
          <w:rFonts w:eastAsia="Times New Roman"/>
          <w:b/>
          <w:bCs/>
          <w:rtl/>
          <w:lang w:eastAsia="de-DE"/>
        </w:rPr>
        <w:t>וְ</w:t>
      </w:r>
      <w:r w:rsidRPr="00C5644E">
        <w:rPr>
          <w:rFonts w:eastAsia="Times New Roman"/>
          <w:rtl/>
          <w:lang w:eastAsia="de-DE"/>
        </w:rPr>
        <w:t xml:space="preserve"> </w:t>
      </w:r>
      <w:r w:rsidRPr="00C5644E">
        <w:rPr>
          <w:rFonts w:eastAsia="Times New Roman"/>
          <w:lang w:eastAsia="de-DE"/>
        </w:rPr>
        <w:t xml:space="preserve">mit nota accusativi und Suffix 1. Person Singular („mich"), vorausgestellt zur Betonung. </w:t>
      </w:r>
      <w:r w:rsidRPr="00C5644E">
        <w:rPr>
          <w:rFonts w:eastAsia="Times New Roman"/>
          <w:b/>
          <w:bCs/>
          <w:rtl/>
          <w:lang w:eastAsia="de-DE"/>
        </w:rPr>
        <w:t>צִוָּה יְהוָה</w:t>
      </w:r>
      <w:r w:rsidRPr="00C5644E">
        <w:rPr>
          <w:rFonts w:eastAsia="Times New Roman"/>
          <w:rtl/>
          <w:lang w:eastAsia="de-DE"/>
        </w:rPr>
        <w:t xml:space="preserve"> </w:t>
      </w:r>
      <w:r w:rsidRPr="00C5644E">
        <w:rPr>
          <w:rFonts w:eastAsia="Times New Roman"/>
          <w:lang w:eastAsia="de-DE"/>
        </w:rPr>
        <w:t xml:space="preserve">ist Piel Perfekt, 3. Person Singular maskulin von </w:t>
      </w:r>
      <w:r w:rsidRPr="00C5644E">
        <w:rPr>
          <w:rFonts w:eastAsia="Times New Roman"/>
          <w:b/>
          <w:bCs/>
          <w:rtl/>
          <w:lang w:eastAsia="de-DE"/>
        </w:rPr>
        <w:t>צוה</w:t>
      </w:r>
      <w:r w:rsidRPr="00C5644E">
        <w:rPr>
          <w:rFonts w:eastAsia="Times New Roman"/>
          <w:rtl/>
          <w:lang w:eastAsia="de-DE"/>
        </w:rPr>
        <w:t xml:space="preserve"> </w:t>
      </w:r>
      <w:r w:rsidRPr="00C5644E">
        <w:rPr>
          <w:rFonts w:eastAsia="Times New Roman"/>
          <w:lang w:eastAsia="de-DE"/>
        </w:rPr>
        <w:t xml:space="preserve">(„befehlen, gebieten") mit </w:t>
      </w:r>
      <w:r w:rsidRPr="00C5644E">
        <w:rPr>
          <w:rFonts w:eastAsia="Times New Roman"/>
          <w:b/>
          <w:bCs/>
          <w:rtl/>
          <w:lang w:eastAsia="de-DE"/>
        </w:rPr>
        <w:t>יְהוָה</w:t>
      </w:r>
      <w:r w:rsidRPr="00C5644E">
        <w:rPr>
          <w:rFonts w:eastAsia="Times New Roman"/>
          <w:rtl/>
          <w:lang w:eastAsia="de-DE"/>
        </w:rPr>
        <w:t xml:space="preserve"> </w:t>
      </w:r>
      <w:r w:rsidRPr="00C5644E">
        <w:rPr>
          <w:rFonts w:eastAsia="Times New Roman"/>
          <w:lang w:eastAsia="de-DE"/>
        </w:rPr>
        <w:t xml:space="preserve">als Subjekt. Die Wortstellung Objekt-Prädikat-Subjekt betont die Person des Mose. </w:t>
      </w:r>
      <w:r w:rsidRPr="00C5644E">
        <w:rPr>
          <w:rFonts w:eastAsia="Times New Roman"/>
          <w:b/>
          <w:bCs/>
          <w:rtl/>
          <w:lang w:eastAsia="de-DE"/>
        </w:rPr>
        <w:t>בָּעֵת הַהִוא</w:t>
      </w:r>
      <w:r w:rsidRPr="00C5644E">
        <w:rPr>
          <w:rFonts w:eastAsia="Times New Roman"/>
          <w:rtl/>
          <w:lang w:eastAsia="de-DE"/>
        </w:rPr>
        <w:t xml:space="preserve"> </w:t>
      </w:r>
      <w:r w:rsidRPr="00C5644E">
        <w:rPr>
          <w:rFonts w:eastAsia="Times New Roman"/>
          <w:lang w:eastAsia="de-DE"/>
        </w:rPr>
        <w:t xml:space="preserve">ist die vertraute Zeitangabe: </w:t>
      </w:r>
      <w:r w:rsidRPr="00C5644E">
        <w:rPr>
          <w:rFonts w:eastAsia="Times New Roman"/>
          <w:b/>
          <w:bCs/>
          <w:rtl/>
          <w:lang w:eastAsia="de-DE"/>
        </w:rPr>
        <w:t>בְּ</w:t>
      </w:r>
      <w:r w:rsidRPr="00C5644E">
        <w:rPr>
          <w:rFonts w:eastAsia="Times New Roman"/>
          <w:rtl/>
          <w:lang w:eastAsia="de-DE"/>
        </w:rPr>
        <w:t xml:space="preserve"> </w:t>
      </w:r>
      <w:r w:rsidRPr="00C5644E">
        <w:rPr>
          <w:rFonts w:eastAsia="Times New Roman"/>
          <w:lang w:eastAsia="de-DE"/>
        </w:rPr>
        <w:t xml:space="preserve">mit </w:t>
      </w:r>
      <w:r w:rsidRPr="00C5644E">
        <w:rPr>
          <w:rFonts w:eastAsia="Times New Roman"/>
          <w:b/>
          <w:bCs/>
          <w:rtl/>
          <w:lang w:eastAsia="de-DE"/>
        </w:rPr>
        <w:t>עֵת</w:t>
      </w:r>
      <w:r w:rsidRPr="00C5644E">
        <w:rPr>
          <w:rFonts w:eastAsia="Times New Roman"/>
          <w:rtl/>
          <w:lang w:eastAsia="de-DE"/>
        </w:rPr>
        <w:t xml:space="preserve"> </w:t>
      </w:r>
      <w:r w:rsidRPr="00C5644E">
        <w:rPr>
          <w:rFonts w:eastAsia="Times New Roman"/>
          <w:lang w:eastAsia="de-DE"/>
        </w:rPr>
        <w:t xml:space="preserve">im Construct und Demonstrativpronomen </w:t>
      </w:r>
      <w:r w:rsidRPr="00C5644E">
        <w:rPr>
          <w:rFonts w:eastAsia="Times New Roman"/>
          <w:b/>
          <w:bCs/>
          <w:rtl/>
          <w:lang w:eastAsia="de-DE"/>
        </w:rPr>
        <w:t>הַהִיא</w:t>
      </w:r>
      <w:r w:rsidRPr="00C5644E">
        <w:rPr>
          <w:rFonts w:eastAsia="Times New Roman"/>
          <w:lang w:eastAsia="de-DE"/>
        </w:rPr>
        <w:t>.</w:t>
      </w:r>
    </w:p>
    <w:p w14:paraId="275960D8"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rtl/>
          <w:lang w:eastAsia="de-DE"/>
        </w:rPr>
        <w:t>לְלַמֵּד אֶתְכֶם חֻקִּים וּמִשְׁפָּטִים</w:t>
      </w:r>
      <w:r w:rsidRPr="00C5644E">
        <w:rPr>
          <w:rFonts w:eastAsia="Times New Roman"/>
          <w:rtl/>
          <w:lang w:eastAsia="de-DE"/>
        </w:rPr>
        <w:t xml:space="preserve"> </w:t>
      </w:r>
      <w:r w:rsidRPr="00C5644E">
        <w:rPr>
          <w:rFonts w:eastAsia="Times New Roman"/>
          <w:lang w:eastAsia="de-DE"/>
        </w:rPr>
        <w:t xml:space="preserve">ist eine finale Infinitivkonstruktion: </w:t>
      </w:r>
      <w:r w:rsidRPr="00C5644E">
        <w:rPr>
          <w:rFonts w:eastAsia="Times New Roman"/>
          <w:b/>
          <w:bCs/>
          <w:rtl/>
          <w:lang w:eastAsia="de-DE"/>
        </w:rPr>
        <w:t>לְלַמֵּד</w:t>
      </w:r>
      <w:r w:rsidRPr="00C5644E">
        <w:rPr>
          <w:rFonts w:eastAsia="Times New Roman"/>
          <w:rtl/>
          <w:lang w:eastAsia="de-DE"/>
        </w:rPr>
        <w:t xml:space="preserve"> </w:t>
      </w:r>
      <w:r w:rsidRPr="00C5644E">
        <w:rPr>
          <w:rFonts w:eastAsia="Times New Roman"/>
          <w:lang w:eastAsia="de-DE"/>
        </w:rPr>
        <w:t xml:space="preserve">(Piel Infinitiv Construct von </w:t>
      </w:r>
      <w:r w:rsidRPr="00C5644E">
        <w:rPr>
          <w:rFonts w:eastAsia="Times New Roman"/>
          <w:b/>
          <w:bCs/>
          <w:rtl/>
          <w:lang w:eastAsia="de-DE"/>
        </w:rPr>
        <w:t>למד</w:t>
      </w:r>
      <w:r w:rsidRPr="00C5644E">
        <w:rPr>
          <w:rFonts w:eastAsia="Times New Roman"/>
          <w:lang w:eastAsia="de-DE"/>
        </w:rPr>
        <w:t xml:space="preserve">, „lehren", mit </w:t>
      </w:r>
      <w:r w:rsidRPr="00C5644E">
        <w:rPr>
          <w:rFonts w:eastAsia="Times New Roman"/>
          <w:b/>
          <w:bCs/>
          <w:rtl/>
          <w:lang w:eastAsia="de-DE"/>
        </w:rPr>
        <w:t>לְ</w:t>
      </w:r>
      <w:r w:rsidRPr="00C5644E">
        <w:rPr>
          <w:rFonts w:eastAsia="Times New Roman"/>
          <w:lang w:eastAsia="de-DE"/>
        </w:rPr>
        <w:t xml:space="preserve">), </w:t>
      </w:r>
      <w:r w:rsidRPr="00C5644E">
        <w:rPr>
          <w:rFonts w:eastAsia="Times New Roman"/>
          <w:b/>
          <w:bCs/>
          <w:rtl/>
          <w:lang w:eastAsia="de-DE"/>
        </w:rPr>
        <w:t>אֶתְכֶם</w:t>
      </w:r>
      <w:r w:rsidRPr="00C5644E">
        <w:rPr>
          <w:rFonts w:eastAsia="Times New Roman"/>
          <w:rtl/>
          <w:lang w:eastAsia="de-DE"/>
        </w:rPr>
        <w:t xml:space="preserve"> </w:t>
      </w:r>
      <w:r w:rsidRPr="00C5644E">
        <w:rPr>
          <w:rFonts w:eastAsia="Times New Roman"/>
          <w:lang w:eastAsia="de-DE"/>
        </w:rPr>
        <w:t xml:space="preserve">als direktes (eigentlich indirektes) Objekt, </w:t>
      </w:r>
      <w:r w:rsidRPr="00C5644E">
        <w:rPr>
          <w:rFonts w:eastAsia="Times New Roman"/>
          <w:b/>
          <w:bCs/>
          <w:rtl/>
          <w:lang w:eastAsia="de-DE"/>
        </w:rPr>
        <w:t>חֻקִּים וּמִשְׁפָּטִים</w:t>
      </w:r>
      <w:r w:rsidRPr="00C5644E">
        <w:rPr>
          <w:rFonts w:eastAsia="Times New Roman"/>
          <w:rtl/>
          <w:lang w:eastAsia="de-DE"/>
        </w:rPr>
        <w:t xml:space="preserve"> </w:t>
      </w:r>
      <w:r w:rsidRPr="00C5644E">
        <w:rPr>
          <w:rFonts w:eastAsia="Times New Roman"/>
          <w:lang w:eastAsia="de-DE"/>
        </w:rPr>
        <w:t>als koordinierte Objektkette (beide Plural ohne Artikel). Die Verdoppelung des Lamed (</w:t>
      </w:r>
      <w:r w:rsidRPr="00C5644E">
        <w:rPr>
          <w:rFonts w:eastAsia="Times New Roman"/>
          <w:b/>
          <w:bCs/>
          <w:rtl/>
          <w:lang w:eastAsia="de-DE"/>
        </w:rPr>
        <w:t>לְלַמֵּד</w:t>
      </w:r>
      <w:r w:rsidRPr="00C5644E">
        <w:rPr>
          <w:rFonts w:eastAsia="Times New Roman"/>
          <w:lang w:eastAsia="de-DE"/>
        </w:rPr>
        <w:t>) zeigt die Verbindung der Präposition mit dem Infinitiv.</w:t>
      </w:r>
    </w:p>
    <w:p w14:paraId="2AE50D5F"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rtl/>
          <w:lang w:eastAsia="de-DE"/>
        </w:rPr>
        <w:t>לַעֲשֹׂתְכֶם אֹתָם</w:t>
      </w:r>
      <w:r w:rsidRPr="00C5644E">
        <w:rPr>
          <w:rFonts w:eastAsia="Times New Roman"/>
          <w:rtl/>
          <w:lang w:eastAsia="de-DE"/>
        </w:rPr>
        <w:t xml:space="preserve"> </w:t>
      </w:r>
      <w:r w:rsidRPr="00C5644E">
        <w:rPr>
          <w:rFonts w:eastAsia="Times New Roman"/>
          <w:lang w:eastAsia="de-DE"/>
        </w:rPr>
        <w:t xml:space="preserve">ist eine weitere finale Infinitivkonstruktion: </w:t>
      </w:r>
      <w:r w:rsidRPr="00C5644E">
        <w:rPr>
          <w:rFonts w:eastAsia="Times New Roman"/>
          <w:b/>
          <w:bCs/>
          <w:rtl/>
          <w:lang w:eastAsia="de-DE"/>
        </w:rPr>
        <w:t>לַעֲשֹׂתְכֶם</w:t>
      </w:r>
      <w:r w:rsidRPr="00C5644E">
        <w:rPr>
          <w:rFonts w:eastAsia="Times New Roman"/>
          <w:rtl/>
          <w:lang w:eastAsia="de-DE"/>
        </w:rPr>
        <w:t xml:space="preserve"> </w:t>
      </w:r>
      <w:r w:rsidRPr="00C5644E">
        <w:rPr>
          <w:rFonts w:eastAsia="Times New Roman"/>
          <w:lang w:eastAsia="de-DE"/>
        </w:rPr>
        <w:t xml:space="preserve">(Qal Infinitiv Construct von </w:t>
      </w:r>
      <w:r w:rsidRPr="00C5644E">
        <w:rPr>
          <w:rFonts w:eastAsia="Times New Roman"/>
          <w:b/>
          <w:bCs/>
          <w:rtl/>
          <w:lang w:eastAsia="de-DE"/>
        </w:rPr>
        <w:t>עשׂה</w:t>
      </w:r>
      <w:r w:rsidRPr="00C5644E">
        <w:rPr>
          <w:rFonts w:eastAsia="Times New Roman"/>
          <w:rtl/>
          <w:lang w:eastAsia="de-DE"/>
        </w:rPr>
        <w:t xml:space="preserve"> </w:t>
      </w:r>
      <w:r w:rsidRPr="00C5644E">
        <w:rPr>
          <w:rFonts w:eastAsia="Times New Roman"/>
          <w:lang w:eastAsia="de-DE"/>
        </w:rPr>
        <w:t xml:space="preserve">mit </w:t>
      </w:r>
      <w:r w:rsidRPr="00C5644E">
        <w:rPr>
          <w:rFonts w:eastAsia="Times New Roman"/>
          <w:b/>
          <w:bCs/>
          <w:rtl/>
          <w:lang w:eastAsia="de-DE"/>
        </w:rPr>
        <w:t>לְ</w:t>
      </w:r>
      <w:r w:rsidRPr="00C5644E">
        <w:rPr>
          <w:rFonts w:eastAsia="Times New Roman"/>
          <w:rtl/>
          <w:lang w:eastAsia="de-DE"/>
        </w:rPr>
        <w:t xml:space="preserve"> </w:t>
      </w:r>
      <w:r w:rsidRPr="00C5644E">
        <w:rPr>
          <w:rFonts w:eastAsia="Times New Roman"/>
          <w:lang w:eastAsia="de-DE"/>
        </w:rPr>
        <w:t xml:space="preserve">und Suffix 2. Person Plural maskulin, das hier als Subjekt des Infinitivs fungiert), </w:t>
      </w:r>
      <w:r w:rsidRPr="00C5644E">
        <w:rPr>
          <w:rFonts w:eastAsia="Times New Roman"/>
          <w:b/>
          <w:bCs/>
          <w:rtl/>
          <w:lang w:eastAsia="de-DE"/>
        </w:rPr>
        <w:lastRenderedPageBreak/>
        <w:t>אֹתָם</w:t>
      </w:r>
      <w:r w:rsidRPr="00C5644E">
        <w:rPr>
          <w:rFonts w:eastAsia="Times New Roman"/>
          <w:rtl/>
          <w:lang w:eastAsia="de-DE"/>
        </w:rPr>
        <w:t xml:space="preserve"> </w:t>
      </w:r>
      <w:r w:rsidRPr="00C5644E">
        <w:rPr>
          <w:rFonts w:eastAsia="Times New Roman"/>
          <w:lang w:eastAsia="de-DE"/>
        </w:rPr>
        <w:t xml:space="preserve">als direktes Objekt (nota accusativi mit Suffix 3. Person Plural maskulin, bezogen auf </w:t>
      </w:r>
      <w:r w:rsidRPr="00C5644E">
        <w:rPr>
          <w:rFonts w:eastAsia="Times New Roman"/>
          <w:b/>
          <w:bCs/>
          <w:rtl/>
          <w:lang w:eastAsia="de-DE"/>
        </w:rPr>
        <w:t>חֻקִּים וּמִשְׁפָּטִים</w:t>
      </w:r>
      <w:r w:rsidRPr="00C5644E">
        <w:rPr>
          <w:rFonts w:eastAsia="Times New Roman"/>
          <w:lang w:eastAsia="de-DE"/>
        </w:rPr>
        <w:t xml:space="preserve">). </w:t>
      </w:r>
      <w:r w:rsidRPr="00C5644E">
        <w:rPr>
          <w:rFonts w:eastAsia="Times New Roman"/>
          <w:b/>
          <w:bCs/>
          <w:rtl/>
          <w:lang w:eastAsia="de-DE"/>
        </w:rPr>
        <w:t>בָּאָרֶץ</w:t>
      </w:r>
      <w:r w:rsidRPr="00C5644E">
        <w:rPr>
          <w:rFonts w:eastAsia="Times New Roman"/>
          <w:rtl/>
          <w:lang w:eastAsia="de-DE"/>
        </w:rPr>
        <w:t xml:space="preserve"> </w:t>
      </w:r>
      <w:r w:rsidRPr="00C5644E">
        <w:rPr>
          <w:rFonts w:eastAsia="Times New Roman"/>
          <w:lang w:eastAsia="de-DE"/>
        </w:rPr>
        <w:t xml:space="preserve">ist eine Ortsangabe: </w:t>
      </w:r>
      <w:r w:rsidRPr="00C5644E">
        <w:rPr>
          <w:rFonts w:eastAsia="Times New Roman"/>
          <w:b/>
          <w:bCs/>
          <w:rtl/>
          <w:lang w:eastAsia="de-DE"/>
        </w:rPr>
        <w:t>בְּ</w:t>
      </w:r>
      <w:r w:rsidRPr="00C5644E">
        <w:rPr>
          <w:rFonts w:eastAsia="Times New Roman"/>
          <w:rtl/>
          <w:lang w:eastAsia="de-DE"/>
        </w:rPr>
        <w:t xml:space="preserve"> </w:t>
      </w:r>
      <w:r w:rsidRPr="00C5644E">
        <w:rPr>
          <w:rFonts w:eastAsia="Times New Roman"/>
          <w:lang w:eastAsia="de-DE"/>
        </w:rPr>
        <w:t xml:space="preserve">mit </w:t>
      </w:r>
      <w:r w:rsidRPr="00C5644E">
        <w:rPr>
          <w:rFonts w:eastAsia="Times New Roman"/>
          <w:b/>
          <w:bCs/>
          <w:rtl/>
          <w:lang w:eastAsia="de-DE"/>
        </w:rPr>
        <w:t>הָאָרֶץ</w:t>
      </w:r>
      <w:r w:rsidRPr="00C5644E">
        <w:rPr>
          <w:rFonts w:eastAsia="Times New Roman"/>
          <w:lang w:eastAsia="de-DE"/>
        </w:rPr>
        <w:t>.</w:t>
      </w:r>
    </w:p>
    <w:p w14:paraId="303EB341"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rtl/>
          <w:lang w:eastAsia="de-DE"/>
        </w:rPr>
        <w:t>אֲשֶׁר אַתֶּם עֹבְרִים שָׁמָּה לְרִשְׁתָּהּ</w:t>
      </w:r>
      <w:r w:rsidRPr="00C5644E">
        <w:rPr>
          <w:rFonts w:eastAsia="Times New Roman"/>
          <w:rtl/>
          <w:lang w:eastAsia="de-DE"/>
        </w:rPr>
        <w:t xml:space="preserve"> </w:t>
      </w:r>
      <w:r w:rsidRPr="00C5644E">
        <w:rPr>
          <w:rFonts w:eastAsia="Times New Roman"/>
          <w:lang w:eastAsia="de-DE"/>
        </w:rPr>
        <w:t xml:space="preserve">ist ein Relativsatz: </w:t>
      </w:r>
      <w:r w:rsidRPr="00C5644E">
        <w:rPr>
          <w:rFonts w:eastAsia="Times New Roman"/>
          <w:b/>
          <w:bCs/>
          <w:rtl/>
          <w:lang w:eastAsia="de-DE"/>
        </w:rPr>
        <w:t>אֲשֶׁר</w:t>
      </w:r>
      <w:r w:rsidRPr="00C5644E">
        <w:rPr>
          <w:rFonts w:eastAsia="Times New Roman"/>
          <w:rtl/>
          <w:lang w:eastAsia="de-DE"/>
        </w:rPr>
        <w:t xml:space="preserve"> </w:t>
      </w:r>
      <w:r w:rsidRPr="00C5644E">
        <w:rPr>
          <w:rFonts w:eastAsia="Times New Roman"/>
          <w:lang w:eastAsia="de-DE"/>
        </w:rPr>
        <w:t xml:space="preserve">als Relativpronomen, </w:t>
      </w:r>
      <w:r w:rsidRPr="00C5644E">
        <w:rPr>
          <w:rFonts w:eastAsia="Times New Roman"/>
          <w:b/>
          <w:bCs/>
          <w:rtl/>
          <w:lang w:eastAsia="de-DE"/>
        </w:rPr>
        <w:t>אַתֶּם</w:t>
      </w:r>
      <w:r w:rsidRPr="00C5644E">
        <w:rPr>
          <w:rFonts w:eastAsia="Times New Roman"/>
          <w:rtl/>
          <w:lang w:eastAsia="de-DE"/>
        </w:rPr>
        <w:t xml:space="preserve"> </w:t>
      </w:r>
      <w:r w:rsidRPr="00C5644E">
        <w:rPr>
          <w:rFonts w:eastAsia="Times New Roman"/>
          <w:lang w:eastAsia="de-DE"/>
        </w:rPr>
        <w:t xml:space="preserve">als Subjekt, </w:t>
      </w:r>
      <w:r w:rsidRPr="00C5644E">
        <w:rPr>
          <w:rFonts w:eastAsia="Times New Roman"/>
          <w:b/>
          <w:bCs/>
          <w:rtl/>
          <w:lang w:eastAsia="de-DE"/>
        </w:rPr>
        <w:t>עֹבְרִים</w:t>
      </w:r>
      <w:r w:rsidRPr="00C5644E">
        <w:rPr>
          <w:rFonts w:eastAsia="Times New Roman"/>
          <w:rtl/>
          <w:lang w:eastAsia="de-DE"/>
        </w:rPr>
        <w:t xml:space="preserve"> </w:t>
      </w:r>
      <w:r w:rsidRPr="00C5644E">
        <w:rPr>
          <w:rFonts w:eastAsia="Times New Roman"/>
          <w:lang w:eastAsia="de-DE"/>
        </w:rPr>
        <w:t xml:space="preserve">als Qal Partizip Plural maskulin von </w:t>
      </w:r>
      <w:r w:rsidRPr="00C5644E">
        <w:rPr>
          <w:rFonts w:eastAsia="Times New Roman"/>
          <w:b/>
          <w:bCs/>
          <w:rtl/>
          <w:lang w:eastAsia="de-DE"/>
        </w:rPr>
        <w:t>עבר</w:t>
      </w:r>
      <w:r w:rsidRPr="00C5644E">
        <w:rPr>
          <w:rFonts w:eastAsia="Times New Roman"/>
          <w:rtl/>
          <w:lang w:eastAsia="de-DE"/>
        </w:rPr>
        <w:t xml:space="preserve"> </w:t>
      </w:r>
      <w:r w:rsidRPr="00C5644E">
        <w:rPr>
          <w:rFonts w:eastAsia="Times New Roman"/>
          <w:lang w:eastAsia="de-DE"/>
        </w:rPr>
        <w:t xml:space="preserve">(„hinübergehen"), </w:t>
      </w:r>
      <w:r w:rsidRPr="00C5644E">
        <w:rPr>
          <w:rFonts w:eastAsia="Times New Roman"/>
          <w:b/>
          <w:bCs/>
          <w:rtl/>
          <w:lang w:eastAsia="de-DE"/>
        </w:rPr>
        <w:t>שָׁמָּה</w:t>
      </w:r>
      <w:r w:rsidRPr="00C5644E">
        <w:rPr>
          <w:rFonts w:eastAsia="Times New Roman"/>
          <w:rtl/>
          <w:lang w:eastAsia="de-DE"/>
        </w:rPr>
        <w:t xml:space="preserve"> </w:t>
      </w:r>
      <w:r w:rsidRPr="00C5644E">
        <w:rPr>
          <w:rFonts w:eastAsia="Times New Roman"/>
          <w:lang w:eastAsia="de-DE"/>
        </w:rPr>
        <w:t xml:space="preserve">als Richtungsadverb („dorthin"), </w:t>
      </w:r>
      <w:r w:rsidRPr="00C5644E">
        <w:rPr>
          <w:rFonts w:eastAsia="Times New Roman"/>
          <w:b/>
          <w:bCs/>
          <w:rtl/>
          <w:lang w:eastAsia="de-DE"/>
        </w:rPr>
        <w:t>לְרִשְׁתָּהּ</w:t>
      </w:r>
      <w:r w:rsidRPr="00C5644E">
        <w:rPr>
          <w:rFonts w:eastAsia="Times New Roman"/>
          <w:rtl/>
          <w:lang w:eastAsia="de-DE"/>
        </w:rPr>
        <w:t xml:space="preserve"> </w:t>
      </w:r>
      <w:r w:rsidRPr="00C5644E">
        <w:rPr>
          <w:rFonts w:eastAsia="Times New Roman"/>
          <w:lang w:eastAsia="de-DE"/>
        </w:rPr>
        <w:t xml:space="preserve">als Qal Infinitiv Construct von </w:t>
      </w:r>
      <w:r w:rsidRPr="00C5644E">
        <w:rPr>
          <w:rFonts w:eastAsia="Times New Roman"/>
          <w:b/>
          <w:bCs/>
          <w:rtl/>
          <w:lang w:eastAsia="de-DE"/>
        </w:rPr>
        <w:t>ירשׁ</w:t>
      </w:r>
      <w:r w:rsidRPr="00C5644E">
        <w:rPr>
          <w:rFonts w:eastAsia="Times New Roman"/>
          <w:rtl/>
          <w:lang w:eastAsia="de-DE"/>
        </w:rPr>
        <w:t xml:space="preserve"> </w:t>
      </w:r>
      <w:r w:rsidRPr="00C5644E">
        <w:rPr>
          <w:rFonts w:eastAsia="Times New Roman"/>
          <w:lang w:eastAsia="de-DE"/>
        </w:rPr>
        <w:t xml:space="preserve">mit </w:t>
      </w:r>
      <w:r w:rsidRPr="00C5644E">
        <w:rPr>
          <w:rFonts w:eastAsia="Times New Roman"/>
          <w:b/>
          <w:bCs/>
          <w:rtl/>
          <w:lang w:eastAsia="de-DE"/>
        </w:rPr>
        <w:t>לְ</w:t>
      </w:r>
      <w:r w:rsidRPr="00C5644E">
        <w:rPr>
          <w:rFonts w:eastAsia="Times New Roman"/>
          <w:rtl/>
          <w:lang w:eastAsia="de-DE"/>
        </w:rPr>
        <w:t xml:space="preserve"> </w:t>
      </w:r>
      <w:r w:rsidRPr="00C5644E">
        <w:rPr>
          <w:rFonts w:eastAsia="Times New Roman"/>
          <w:lang w:eastAsia="de-DE"/>
        </w:rPr>
        <w:t>(final) und Suffix 3. Person Singular feminin.</w:t>
      </w:r>
    </w:p>
    <w:p w14:paraId="706F91DD" w14:textId="083D921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lang w:eastAsia="de-DE"/>
        </w:rPr>
        <w:t xml:space="preserve">Der Vers unterscheidet zwischen dem Dekalog (V. 13), der direkt von </w:t>
      </w:r>
      <w:r w:rsidR="00ED2181">
        <w:rPr>
          <w:rFonts w:eastAsia="Times New Roman"/>
          <w:lang w:eastAsia="de-DE"/>
        </w:rPr>
        <w:t>JHWH</w:t>
      </w:r>
      <w:r w:rsidRPr="00C5644E">
        <w:rPr>
          <w:rFonts w:eastAsia="Times New Roman"/>
          <w:lang w:eastAsia="de-DE"/>
        </w:rPr>
        <w:t xml:space="preserve"> verkündet wurde, und den </w:t>
      </w:r>
      <w:r w:rsidRPr="00C5644E">
        <w:rPr>
          <w:rFonts w:eastAsia="Times New Roman"/>
          <w:b/>
          <w:bCs/>
          <w:rtl/>
          <w:lang w:eastAsia="de-DE"/>
        </w:rPr>
        <w:t>חֻקִּים וּמִשְׁפָּטִים</w:t>
      </w:r>
      <w:r w:rsidRPr="00C5644E">
        <w:rPr>
          <w:rFonts w:eastAsia="Times New Roman"/>
          <w:lang w:eastAsia="de-DE"/>
        </w:rPr>
        <w:t xml:space="preserve">, die durch mosaische Vermittlung gelehrt werden. Diese Unterscheidung ist grundlegend für die deuteronomische Konzeption der </w:t>
      </w:r>
      <w:r w:rsidR="006D3FED">
        <w:rPr>
          <w:rFonts w:eastAsia="Times New Roman"/>
          <w:lang w:eastAsia="de-DE"/>
        </w:rPr>
        <w:t>Torah</w:t>
      </w:r>
      <w:r w:rsidRPr="00C5644E">
        <w:rPr>
          <w:rFonts w:eastAsia="Times New Roman"/>
          <w:lang w:eastAsia="de-DE"/>
        </w:rPr>
        <w:t>: der Dekalog als direkte göttliche Offenbarung, die detaillierten Gesetze als mosaische Auslegung und Anwendung.</w:t>
      </w:r>
    </w:p>
    <w:p w14:paraId="033BAF8B"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lang w:eastAsia="de-DE"/>
        </w:rPr>
        <w:t>Die Satzstruktur besteht aus einem Hauptsatz mit vorausgestelltem Objekt zur Emphase, Prädikat, Subjekt und Zeitangabe, gefolgt von zwei finalen Infinitivkonstruktionen (die erste mit doppeltem Objekt, die zweite mit Ortsangabe) und einem Relativsatz mit partizipialem Prädikat, Richtungsadverb und finalem Infinitiv. Die verschachtelte Struktur der finalen Konstruktionen zeigt die Zweckkette: Mose wird beauftragt zu lehren, damit das Volk tue, und zwar im verheißenen Land.</w:t>
      </w:r>
    </w:p>
    <w:p w14:paraId="23CA1C79" w14:textId="612E36DD"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lang w:eastAsia="de-DE"/>
        </w:rPr>
        <w:t xml:space="preserve">Der Vers unterscheidet zwischen dem direkt von </w:t>
      </w:r>
      <w:r w:rsidR="00ED2181">
        <w:rPr>
          <w:rFonts w:eastAsia="Times New Roman"/>
          <w:lang w:eastAsia="de-DE"/>
        </w:rPr>
        <w:t>JHWH</w:t>
      </w:r>
      <w:r w:rsidRPr="00C5644E">
        <w:rPr>
          <w:rFonts w:eastAsia="Times New Roman"/>
          <w:lang w:eastAsia="de-DE"/>
        </w:rPr>
        <w:t xml:space="preserve"> verkündeten Dekalog und den durch Mose vermittelten detaillierten Gesetzen für das Leben im Land.</w:t>
      </w:r>
    </w:p>
    <w:p w14:paraId="1BB3118C" w14:textId="77777777" w:rsidR="00C5644E" w:rsidRPr="00C5644E" w:rsidRDefault="00C5644E" w:rsidP="00C5644E">
      <w:pPr>
        <w:spacing w:before="100" w:beforeAutospacing="1" w:after="100" w:afterAutospacing="1" w:line="240" w:lineRule="auto"/>
        <w:outlineLvl w:val="1"/>
        <w:rPr>
          <w:rFonts w:eastAsia="Times New Roman"/>
          <w:b/>
          <w:bCs/>
          <w:sz w:val="36"/>
          <w:szCs w:val="36"/>
          <w:lang w:eastAsia="de-DE"/>
        </w:rPr>
      </w:pPr>
      <w:r w:rsidRPr="00C5644E">
        <w:rPr>
          <w:rFonts w:eastAsia="Times New Roman"/>
          <w:b/>
          <w:bCs/>
          <w:sz w:val="36"/>
          <w:szCs w:val="36"/>
          <w:lang w:eastAsia="de-DE"/>
        </w:rPr>
        <w:t>Deuteronomium 4,15</w:t>
      </w:r>
    </w:p>
    <w:p w14:paraId="3FB4EC32"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lang w:eastAsia="de-DE"/>
        </w:rPr>
        <w:t>Hebräisch:</w:t>
      </w:r>
      <w:r w:rsidRPr="00C5644E">
        <w:rPr>
          <w:rFonts w:eastAsia="Times New Roman"/>
          <w:lang w:eastAsia="de-DE"/>
        </w:rPr>
        <w:t xml:space="preserve"> </w:t>
      </w:r>
      <w:r w:rsidRPr="00C5644E">
        <w:rPr>
          <w:rFonts w:eastAsia="Times New Roman"/>
          <w:rtl/>
          <w:lang w:eastAsia="de-DE"/>
        </w:rPr>
        <w:t>וְנִשְׁמַרְתֶּ֥ם מְאֹ֖ד לְנַפְשֹׁתֵיכֶ֑ם כִּ֣י לֹ֤א רְאִיתֶם֙ כָּל־תְּמוּנָ֔ה בְּי֗וֹם דִּבֶּ֨ר יְהוָ֧ה אֲלֵיכֶ֛ם בְּחֹרֵ֖ב מִתּ֥וֹךְ הָאֵֽשׁ׃</w:t>
      </w:r>
    </w:p>
    <w:p w14:paraId="1AD606D1"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lang w:eastAsia="de-DE"/>
        </w:rPr>
        <w:t>Deutsch:</w:t>
      </w:r>
      <w:r w:rsidRPr="00C5644E">
        <w:rPr>
          <w:rFonts w:eastAsia="Times New Roman"/>
          <w:lang w:eastAsia="de-DE"/>
        </w:rPr>
        <w:t xml:space="preserve"> So hütet eure Seelen (o. Leben) sehr - denn ihr habt keinerlei Gestalt gesehen an dem Tag, als der Ewige am Chorev zu euch redete aus dem Feuer -</w:t>
      </w:r>
    </w:p>
    <w:p w14:paraId="1FD052CC" w14:textId="77777777" w:rsidR="00C5644E" w:rsidRPr="00C5644E" w:rsidRDefault="004F5CEB" w:rsidP="00C5644E">
      <w:pPr>
        <w:spacing w:after="0" w:line="240" w:lineRule="auto"/>
        <w:rPr>
          <w:rFonts w:eastAsia="Times New Roman"/>
          <w:lang w:eastAsia="de-DE"/>
        </w:rPr>
      </w:pPr>
      <w:r>
        <w:rPr>
          <w:rFonts w:eastAsia="Times New Roman"/>
          <w:noProof/>
          <w:lang w:eastAsia="de-DE"/>
        </w:rPr>
        <w:pict w14:anchorId="743A5CF0">
          <v:rect id="_x0000_i1151" style="width:0;height:1.5pt" o:hralign="center" o:hrstd="t" o:hr="t" fillcolor="#a0a0a0" stroked="f"/>
        </w:pict>
      </w:r>
    </w:p>
    <w:p w14:paraId="160531E8"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lang w:eastAsia="de-DE"/>
        </w:rPr>
        <w:t>Kommentar:</w:t>
      </w:r>
      <w:r w:rsidRPr="00C5644E">
        <w:rPr>
          <w:rFonts w:eastAsia="Times New Roman"/>
          <w:lang w:eastAsia="de-DE"/>
        </w:rPr>
        <w:t xml:space="preserve"> </w:t>
      </w:r>
      <w:r w:rsidRPr="00C5644E">
        <w:rPr>
          <w:rFonts w:eastAsia="Times New Roman"/>
          <w:b/>
          <w:bCs/>
          <w:rtl/>
          <w:lang w:eastAsia="de-DE"/>
        </w:rPr>
        <w:t>וְנִשְׁמַרְתֶּם מְאֹד לְנַפְשֹׁתֵיכֶם</w:t>
      </w:r>
      <w:r w:rsidRPr="00C5644E">
        <w:rPr>
          <w:rFonts w:eastAsia="Times New Roman"/>
          <w:rtl/>
          <w:lang w:eastAsia="de-DE"/>
        </w:rPr>
        <w:t xml:space="preserve"> </w:t>
      </w:r>
      <w:r w:rsidRPr="00C5644E">
        <w:rPr>
          <w:rFonts w:eastAsia="Times New Roman"/>
          <w:lang w:eastAsia="de-DE"/>
        </w:rPr>
        <w:t xml:space="preserve">ist Nifal Perfekt consecutivum, 2. Person Plural maskulin von </w:t>
      </w:r>
      <w:r w:rsidRPr="00C5644E">
        <w:rPr>
          <w:rFonts w:eastAsia="Times New Roman"/>
          <w:b/>
          <w:bCs/>
          <w:rtl/>
          <w:lang w:eastAsia="de-DE"/>
        </w:rPr>
        <w:t>שׁמר</w:t>
      </w:r>
      <w:r w:rsidRPr="00C5644E">
        <w:rPr>
          <w:rFonts w:eastAsia="Times New Roman"/>
          <w:rtl/>
          <w:lang w:eastAsia="de-DE"/>
        </w:rPr>
        <w:t xml:space="preserve"> </w:t>
      </w:r>
      <w:r w:rsidRPr="00C5644E">
        <w:rPr>
          <w:rFonts w:eastAsia="Times New Roman"/>
          <w:lang w:eastAsia="de-DE"/>
        </w:rPr>
        <w:t xml:space="preserve">(„sich hüten") mit Waw, </w:t>
      </w:r>
      <w:r w:rsidRPr="00C5644E">
        <w:rPr>
          <w:rFonts w:eastAsia="Times New Roman"/>
          <w:b/>
          <w:bCs/>
          <w:rtl/>
          <w:lang w:eastAsia="de-DE"/>
        </w:rPr>
        <w:t>מְאֹד</w:t>
      </w:r>
      <w:r w:rsidRPr="00C5644E">
        <w:rPr>
          <w:rFonts w:eastAsia="Times New Roman"/>
          <w:rtl/>
          <w:lang w:eastAsia="de-DE"/>
        </w:rPr>
        <w:t xml:space="preserve"> </w:t>
      </w:r>
      <w:r w:rsidRPr="00C5644E">
        <w:rPr>
          <w:rFonts w:eastAsia="Times New Roman"/>
          <w:lang w:eastAsia="de-DE"/>
        </w:rPr>
        <w:t xml:space="preserve">als emphatisches Adverb, </w:t>
      </w:r>
      <w:r w:rsidRPr="00C5644E">
        <w:rPr>
          <w:rFonts w:eastAsia="Times New Roman"/>
          <w:b/>
          <w:bCs/>
          <w:rtl/>
          <w:lang w:eastAsia="de-DE"/>
        </w:rPr>
        <w:t>לְנַפְשֹׁתֵיכֶם</w:t>
      </w:r>
      <w:r w:rsidRPr="00C5644E">
        <w:rPr>
          <w:rFonts w:eastAsia="Times New Roman"/>
          <w:rtl/>
          <w:lang w:eastAsia="de-DE"/>
        </w:rPr>
        <w:t xml:space="preserve"> </w:t>
      </w:r>
      <w:r w:rsidRPr="00C5644E">
        <w:rPr>
          <w:rFonts w:eastAsia="Times New Roman"/>
          <w:lang w:eastAsia="de-DE"/>
        </w:rPr>
        <w:t>als reflexive bzw. Vorteilsangabe (</w:t>
      </w:r>
      <w:r w:rsidRPr="00C5644E">
        <w:rPr>
          <w:rFonts w:eastAsia="Times New Roman"/>
          <w:b/>
          <w:bCs/>
          <w:rtl/>
          <w:lang w:eastAsia="de-DE"/>
        </w:rPr>
        <w:t>לְ</w:t>
      </w:r>
      <w:r w:rsidRPr="00C5644E">
        <w:rPr>
          <w:rFonts w:eastAsia="Times New Roman"/>
          <w:rtl/>
          <w:lang w:eastAsia="de-DE"/>
        </w:rPr>
        <w:t xml:space="preserve"> </w:t>
      </w:r>
      <w:r w:rsidRPr="00C5644E">
        <w:rPr>
          <w:rFonts w:eastAsia="Times New Roman"/>
          <w:lang w:eastAsia="de-DE"/>
        </w:rPr>
        <w:t xml:space="preserve">mit </w:t>
      </w:r>
      <w:r w:rsidRPr="00C5644E">
        <w:rPr>
          <w:rFonts w:eastAsia="Times New Roman"/>
          <w:b/>
          <w:bCs/>
          <w:rtl/>
          <w:lang w:eastAsia="de-DE"/>
        </w:rPr>
        <w:t>נֶפֶשׁ</w:t>
      </w:r>
      <w:r w:rsidRPr="00C5644E">
        <w:rPr>
          <w:rFonts w:eastAsia="Times New Roman"/>
          <w:lang w:eastAsia="de-DE"/>
        </w:rPr>
        <w:t>, „Seele, Leben", Plural mit Suffix 2. Person Plural maskulin). Der Nifal-Stamm verleiht dem Verb reflexive Bedeutung („hütet euch selbst").</w:t>
      </w:r>
    </w:p>
    <w:p w14:paraId="605843EE"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rtl/>
          <w:lang w:eastAsia="de-DE"/>
        </w:rPr>
        <w:t>כִּי לֹא רְאִיתֶם כָּל־תְּמוּנָה</w:t>
      </w:r>
      <w:r w:rsidRPr="00C5644E">
        <w:rPr>
          <w:rFonts w:eastAsia="Times New Roman"/>
          <w:rtl/>
          <w:lang w:eastAsia="de-DE"/>
        </w:rPr>
        <w:t xml:space="preserve"> </w:t>
      </w:r>
      <w:r w:rsidRPr="00C5644E">
        <w:rPr>
          <w:rFonts w:eastAsia="Times New Roman"/>
          <w:lang w:eastAsia="de-DE"/>
        </w:rPr>
        <w:t xml:space="preserve">ist ein kausaler Satz: </w:t>
      </w:r>
      <w:r w:rsidRPr="00C5644E">
        <w:rPr>
          <w:rFonts w:eastAsia="Times New Roman"/>
          <w:b/>
          <w:bCs/>
          <w:rtl/>
          <w:lang w:eastAsia="de-DE"/>
        </w:rPr>
        <w:t>כִּי</w:t>
      </w:r>
      <w:r w:rsidRPr="00C5644E">
        <w:rPr>
          <w:rFonts w:eastAsia="Times New Roman"/>
          <w:rtl/>
          <w:lang w:eastAsia="de-DE"/>
        </w:rPr>
        <w:t xml:space="preserve"> </w:t>
      </w:r>
      <w:r w:rsidRPr="00C5644E">
        <w:rPr>
          <w:rFonts w:eastAsia="Times New Roman"/>
          <w:lang w:eastAsia="de-DE"/>
        </w:rPr>
        <w:t xml:space="preserve">als Konjunktion, </w:t>
      </w:r>
      <w:r w:rsidRPr="00C5644E">
        <w:rPr>
          <w:rFonts w:eastAsia="Times New Roman"/>
          <w:b/>
          <w:bCs/>
          <w:rtl/>
          <w:lang w:eastAsia="de-DE"/>
        </w:rPr>
        <w:t>לֹא</w:t>
      </w:r>
      <w:r w:rsidRPr="00C5644E">
        <w:rPr>
          <w:rFonts w:eastAsia="Times New Roman"/>
          <w:rtl/>
          <w:lang w:eastAsia="de-DE"/>
        </w:rPr>
        <w:t xml:space="preserve"> </w:t>
      </w:r>
      <w:r w:rsidRPr="00C5644E">
        <w:rPr>
          <w:rFonts w:eastAsia="Times New Roman"/>
          <w:lang w:eastAsia="de-DE"/>
        </w:rPr>
        <w:t xml:space="preserve">als Negation, </w:t>
      </w:r>
      <w:r w:rsidRPr="00C5644E">
        <w:rPr>
          <w:rFonts w:eastAsia="Times New Roman"/>
          <w:b/>
          <w:bCs/>
          <w:rtl/>
          <w:lang w:eastAsia="de-DE"/>
        </w:rPr>
        <w:t>רְאִיתֶם</w:t>
      </w:r>
      <w:r w:rsidRPr="00C5644E">
        <w:rPr>
          <w:rFonts w:eastAsia="Times New Roman"/>
          <w:rtl/>
          <w:lang w:eastAsia="de-DE"/>
        </w:rPr>
        <w:t xml:space="preserve"> </w:t>
      </w:r>
      <w:r w:rsidRPr="00C5644E">
        <w:rPr>
          <w:rFonts w:eastAsia="Times New Roman"/>
          <w:lang w:eastAsia="de-DE"/>
        </w:rPr>
        <w:t xml:space="preserve">als Qal Perfekt, 2. Person Plural maskulin von </w:t>
      </w:r>
      <w:r w:rsidRPr="00C5644E">
        <w:rPr>
          <w:rFonts w:eastAsia="Times New Roman"/>
          <w:b/>
          <w:bCs/>
          <w:rtl/>
          <w:lang w:eastAsia="de-DE"/>
        </w:rPr>
        <w:t>ראה</w:t>
      </w:r>
      <w:r w:rsidRPr="00C5644E">
        <w:rPr>
          <w:rFonts w:eastAsia="Times New Roman"/>
          <w:rtl/>
          <w:lang w:eastAsia="de-DE"/>
        </w:rPr>
        <w:t xml:space="preserve"> </w:t>
      </w:r>
      <w:r w:rsidRPr="00C5644E">
        <w:rPr>
          <w:rFonts w:eastAsia="Times New Roman"/>
          <w:lang w:eastAsia="de-DE"/>
        </w:rPr>
        <w:t xml:space="preserve">(„sehen"), </w:t>
      </w:r>
      <w:r w:rsidRPr="00C5644E">
        <w:rPr>
          <w:rFonts w:eastAsia="Times New Roman"/>
          <w:b/>
          <w:bCs/>
          <w:rtl/>
          <w:lang w:eastAsia="de-DE"/>
        </w:rPr>
        <w:t>כָּל־תְּמוּנָה</w:t>
      </w:r>
      <w:r w:rsidRPr="00C5644E">
        <w:rPr>
          <w:rFonts w:eastAsia="Times New Roman"/>
          <w:rtl/>
          <w:lang w:eastAsia="de-DE"/>
        </w:rPr>
        <w:t xml:space="preserve"> </w:t>
      </w:r>
      <w:r w:rsidRPr="00C5644E">
        <w:rPr>
          <w:rFonts w:eastAsia="Times New Roman"/>
          <w:lang w:eastAsia="de-DE"/>
        </w:rPr>
        <w:t>als direktes Objekt (</w:t>
      </w:r>
      <w:r w:rsidRPr="00C5644E">
        <w:rPr>
          <w:rFonts w:eastAsia="Times New Roman"/>
          <w:b/>
          <w:bCs/>
          <w:rtl/>
          <w:lang w:eastAsia="de-DE"/>
        </w:rPr>
        <w:t>כָּל</w:t>
      </w:r>
      <w:r w:rsidRPr="00C5644E">
        <w:rPr>
          <w:rFonts w:eastAsia="Times New Roman"/>
          <w:rtl/>
          <w:lang w:eastAsia="de-DE"/>
        </w:rPr>
        <w:t xml:space="preserve"> </w:t>
      </w:r>
      <w:r w:rsidRPr="00C5644E">
        <w:rPr>
          <w:rFonts w:eastAsia="Times New Roman"/>
          <w:lang w:eastAsia="de-DE"/>
        </w:rPr>
        <w:t xml:space="preserve">im Construct mit </w:t>
      </w:r>
      <w:r w:rsidRPr="00C5644E">
        <w:rPr>
          <w:rFonts w:eastAsia="Times New Roman"/>
          <w:b/>
          <w:bCs/>
          <w:rtl/>
          <w:lang w:eastAsia="de-DE"/>
        </w:rPr>
        <w:t>תְּמוּנָה</w:t>
      </w:r>
      <w:r w:rsidRPr="00C5644E">
        <w:rPr>
          <w:rFonts w:eastAsia="Times New Roman"/>
          <w:lang w:eastAsia="de-DE"/>
        </w:rPr>
        <w:t xml:space="preserve">, „Gestalt, Bild, Form") – „keinerlei Gestalt". Die Verbindung von </w:t>
      </w:r>
      <w:r w:rsidRPr="00C5644E">
        <w:rPr>
          <w:rFonts w:eastAsia="Times New Roman"/>
          <w:b/>
          <w:bCs/>
          <w:rtl/>
          <w:lang w:eastAsia="de-DE"/>
        </w:rPr>
        <w:t>כָּל</w:t>
      </w:r>
      <w:r w:rsidRPr="00C5644E">
        <w:rPr>
          <w:rFonts w:eastAsia="Times New Roman"/>
          <w:rtl/>
          <w:lang w:eastAsia="de-DE"/>
        </w:rPr>
        <w:t xml:space="preserve"> </w:t>
      </w:r>
      <w:r w:rsidRPr="00C5644E">
        <w:rPr>
          <w:rFonts w:eastAsia="Times New Roman"/>
          <w:lang w:eastAsia="de-DE"/>
        </w:rPr>
        <w:t>mit Negation (</w:t>
      </w:r>
      <w:r w:rsidRPr="00C5644E">
        <w:rPr>
          <w:rFonts w:eastAsia="Times New Roman"/>
          <w:b/>
          <w:bCs/>
          <w:rtl/>
          <w:lang w:eastAsia="de-DE"/>
        </w:rPr>
        <w:t>לֹא... כָּל</w:t>
      </w:r>
      <w:r w:rsidRPr="00C5644E">
        <w:rPr>
          <w:rFonts w:eastAsia="Times New Roman"/>
          <w:lang w:eastAsia="de-DE"/>
        </w:rPr>
        <w:t>) drückt totale Negation aus.</w:t>
      </w:r>
    </w:p>
    <w:p w14:paraId="3532F992"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rtl/>
          <w:lang w:eastAsia="de-DE"/>
        </w:rPr>
        <w:t>בְּיוֹם דִּבֶּר יְהוָה אֲלֵיכֶם בְּחֹרֵב מִתּוֹךְ הָאֵשׁ</w:t>
      </w:r>
      <w:r w:rsidRPr="00C5644E">
        <w:rPr>
          <w:rFonts w:eastAsia="Times New Roman"/>
          <w:rtl/>
          <w:lang w:eastAsia="de-DE"/>
        </w:rPr>
        <w:t xml:space="preserve"> </w:t>
      </w:r>
      <w:r w:rsidRPr="00C5644E">
        <w:rPr>
          <w:rFonts w:eastAsia="Times New Roman"/>
          <w:lang w:eastAsia="de-DE"/>
        </w:rPr>
        <w:t xml:space="preserve">ist eine temporale Bestimmung: </w:t>
      </w:r>
      <w:r w:rsidRPr="00C5644E">
        <w:rPr>
          <w:rFonts w:eastAsia="Times New Roman"/>
          <w:b/>
          <w:bCs/>
          <w:rtl/>
          <w:lang w:eastAsia="de-DE"/>
        </w:rPr>
        <w:t>בְּיוֹם</w:t>
      </w:r>
      <w:r w:rsidRPr="00C5644E">
        <w:rPr>
          <w:rFonts w:eastAsia="Times New Roman"/>
          <w:rtl/>
          <w:lang w:eastAsia="de-DE"/>
        </w:rPr>
        <w:t xml:space="preserve"> </w:t>
      </w:r>
      <w:r w:rsidRPr="00C5644E">
        <w:rPr>
          <w:rFonts w:eastAsia="Times New Roman"/>
          <w:lang w:eastAsia="de-DE"/>
        </w:rPr>
        <w:t xml:space="preserve">(„am Tag, als") mit Qal Perfekt, 3. Person Singular maskulin von </w:t>
      </w:r>
      <w:r w:rsidRPr="00C5644E">
        <w:rPr>
          <w:rFonts w:eastAsia="Times New Roman"/>
          <w:b/>
          <w:bCs/>
          <w:rtl/>
          <w:lang w:eastAsia="de-DE"/>
        </w:rPr>
        <w:t>דבר</w:t>
      </w:r>
      <w:r w:rsidRPr="00C5644E">
        <w:rPr>
          <w:rFonts w:eastAsia="Times New Roman"/>
          <w:rtl/>
          <w:lang w:eastAsia="de-DE"/>
        </w:rPr>
        <w:t xml:space="preserve"> </w:t>
      </w:r>
      <w:r w:rsidRPr="00C5644E">
        <w:rPr>
          <w:rFonts w:eastAsia="Times New Roman"/>
          <w:lang w:eastAsia="de-DE"/>
        </w:rPr>
        <w:t xml:space="preserve">in der Piel-Bedeutung („reden"), </w:t>
      </w:r>
      <w:r w:rsidRPr="00C5644E">
        <w:rPr>
          <w:rFonts w:eastAsia="Times New Roman"/>
          <w:b/>
          <w:bCs/>
          <w:rtl/>
          <w:lang w:eastAsia="de-DE"/>
        </w:rPr>
        <w:t>יְהוָה</w:t>
      </w:r>
      <w:r w:rsidRPr="00C5644E">
        <w:rPr>
          <w:rFonts w:eastAsia="Times New Roman"/>
          <w:rtl/>
          <w:lang w:eastAsia="de-DE"/>
        </w:rPr>
        <w:t xml:space="preserve"> </w:t>
      </w:r>
      <w:r w:rsidRPr="00C5644E">
        <w:rPr>
          <w:rFonts w:eastAsia="Times New Roman"/>
          <w:lang w:eastAsia="de-DE"/>
        </w:rPr>
        <w:t xml:space="preserve">als Subjekt, </w:t>
      </w:r>
      <w:r w:rsidRPr="00C5644E">
        <w:rPr>
          <w:rFonts w:eastAsia="Times New Roman"/>
          <w:b/>
          <w:bCs/>
          <w:rtl/>
          <w:lang w:eastAsia="de-DE"/>
        </w:rPr>
        <w:t>אֲלֵיכֶם</w:t>
      </w:r>
      <w:r w:rsidRPr="00C5644E">
        <w:rPr>
          <w:rFonts w:eastAsia="Times New Roman"/>
          <w:rtl/>
          <w:lang w:eastAsia="de-DE"/>
        </w:rPr>
        <w:t xml:space="preserve"> </w:t>
      </w:r>
      <w:r w:rsidRPr="00C5644E">
        <w:rPr>
          <w:rFonts w:eastAsia="Times New Roman"/>
          <w:lang w:eastAsia="de-DE"/>
        </w:rPr>
        <w:t xml:space="preserve">als indirektes Objekt, </w:t>
      </w:r>
      <w:r w:rsidRPr="00C5644E">
        <w:rPr>
          <w:rFonts w:eastAsia="Times New Roman"/>
          <w:b/>
          <w:bCs/>
          <w:rtl/>
          <w:lang w:eastAsia="de-DE"/>
        </w:rPr>
        <w:t>בְּחֹרֵב</w:t>
      </w:r>
      <w:r w:rsidRPr="00C5644E">
        <w:rPr>
          <w:rFonts w:eastAsia="Times New Roman"/>
          <w:rtl/>
          <w:lang w:eastAsia="de-DE"/>
        </w:rPr>
        <w:t xml:space="preserve"> </w:t>
      </w:r>
      <w:r w:rsidRPr="00C5644E">
        <w:rPr>
          <w:rFonts w:eastAsia="Times New Roman"/>
          <w:lang w:eastAsia="de-DE"/>
        </w:rPr>
        <w:t xml:space="preserve">als Ortsangabe, </w:t>
      </w:r>
      <w:r w:rsidRPr="00C5644E">
        <w:rPr>
          <w:rFonts w:eastAsia="Times New Roman"/>
          <w:b/>
          <w:bCs/>
          <w:rtl/>
          <w:lang w:eastAsia="de-DE"/>
        </w:rPr>
        <w:t>מִתּוֹךְ הָאֵשׁ</w:t>
      </w:r>
      <w:r w:rsidRPr="00C5644E">
        <w:rPr>
          <w:rFonts w:eastAsia="Times New Roman"/>
          <w:rtl/>
          <w:lang w:eastAsia="de-DE"/>
        </w:rPr>
        <w:t xml:space="preserve"> </w:t>
      </w:r>
      <w:r w:rsidRPr="00C5644E">
        <w:rPr>
          <w:rFonts w:eastAsia="Times New Roman"/>
          <w:lang w:eastAsia="de-DE"/>
        </w:rPr>
        <w:t>als Herkunftsangabe (</w:t>
      </w:r>
      <w:r w:rsidRPr="00C5644E">
        <w:rPr>
          <w:rFonts w:eastAsia="Times New Roman"/>
          <w:b/>
          <w:bCs/>
          <w:rtl/>
          <w:lang w:eastAsia="de-DE"/>
        </w:rPr>
        <w:t>מִן</w:t>
      </w:r>
      <w:r w:rsidRPr="00C5644E">
        <w:rPr>
          <w:rFonts w:eastAsia="Times New Roman"/>
          <w:rtl/>
          <w:lang w:eastAsia="de-DE"/>
        </w:rPr>
        <w:t xml:space="preserve"> </w:t>
      </w:r>
      <w:r w:rsidRPr="00C5644E">
        <w:rPr>
          <w:rFonts w:eastAsia="Times New Roman"/>
          <w:lang w:eastAsia="de-DE"/>
        </w:rPr>
        <w:t xml:space="preserve">mit </w:t>
      </w:r>
      <w:r w:rsidRPr="00C5644E">
        <w:rPr>
          <w:rFonts w:eastAsia="Times New Roman"/>
          <w:b/>
          <w:bCs/>
          <w:rtl/>
          <w:lang w:eastAsia="de-DE"/>
        </w:rPr>
        <w:t>תּוֹךְ</w:t>
      </w:r>
      <w:r w:rsidRPr="00C5644E">
        <w:rPr>
          <w:rFonts w:eastAsia="Times New Roman"/>
          <w:rtl/>
          <w:lang w:eastAsia="de-DE"/>
        </w:rPr>
        <w:t xml:space="preserve"> </w:t>
      </w:r>
      <w:r w:rsidRPr="00C5644E">
        <w:rPr>
          <w:rFonts w:eastAsia="Times New Roman"/>
          <w:lang w:eastAsia="de-DE"/>
        </w:rPr>
        <w:t xml:space="preserve">im Construct und </w:t>
      </w:r>
      <w:r w:rsidRPr="00C5644E">
        <w:rPr>
          <w:rFonts w:eastAsia="Times New Roman"/>
          <w:b/>
          <w:bCs/>
          <w:rtl/>
          <w:lang w:eastAsia="de-DE"/>
        </w:rPr>
        <w:t>הָאֵשׁ</w:t>
      </w:r>
      <w:r w:rsidRPr="00C5644E">
        <w:rPr>
          <w:rFonts w:eastAsia="Times New Roman"/>
          <w:lang w:eastAsia="de-DE"/>
        </w:rPr>
        <w:t>).</w:t>
      </w:r>
    </w:p>
    <w:p w14:paraId="7F9D3665"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lang w:eastAsia="de-DE"/>
        </w:rPr>
        <w:lastRenderedPageBreak/>
        <w:t xml:space="preserve">Dieser Vers nimmt V. 12 wieder auf und zieht daraus die praktische Konsequenz für das Bilderverbot. Die Begründung ist charakteristisch deuteronomisch: Weil Israel keine Gestalt sah, soll es auch keine Gestalt nachbilden. Die Betonung liegt auf </w:t>
      </w:r>
      <w:r w:rsidRPr="00C5644E">
        <w:rPr>
          <w:rFonts w:eastAsia="Times New Roman"/>
          <w:b/>
          <w:bCs/>
          <w:rtl/>
          <w:lang w:eastAsia="de-DE"/>
        </w:rPr>
        <w:t>כָּל־תְּמוּנָה</w:t>
      </w:r>
      <w:r w:rsidRPr="00C5644E">
        <w:rPr>
          <w:rFonts w:eastAsia="Times New Roman"/>
          <w:rtl/>
          <w:lang w:eastAsia="de-DE"/>
        </w:rPr>
        <w:t xml:space="preserve"> </w:t>
      </w:r>
      <w:r w:rsidRPr="00C5644E">
        <w:rPr>
          <w:rFonts w:eastAsia="Times New Roman"/>
          <w:lang w:eastAsia="de-DE"/>
        </w:rPr>
        <w:t>– nicht nur keine menschliche Gestalt, sondern überhaupt keine Gestalt.</w:t>
      </w:r>
    </w:p>
    <w:p w14:paraId="4D3CB129"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lang w:eastAsia="de-DE"/>
        </w:rPr>
        <w:t>Die Satzstruktur besteht aus einem imperativischen Hauptsatz (Nifal Perfekt consecutivum mit emphatischem Adverb und reflexiver Vorteilsangabe) und einem kausalen Begründungssatz mit totaler Negation und temporaler Bestimmung, die aus Prädikat, Subjekt, indirektem Objekt, Orts- und Herkunftsangabe besteht. Der Vers bildet eine Überleitung vom historischen Rückblick zur paränetischen Anwendung in den folgenden Versen.</w:t>
      </w:r>
    </w:p>
    <w:p w14:paraId="2C653E19"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lang w:eastAsia="de-DE"/>
        </w:rPr>
        <w:t>Der Vers zieht aus der visuell gestaltlosen Sinai-Offenbarung die logische Folgerung: Israel muss sich vor jeder bildlichen Darstellung Gottes hüten.</w:t>
      </w:r>
    </w:p>
    <w:p w14:paraId="430C1482" w14:textId="77777777" w:rsidR="00C5644E" w:rsidRPr="00C5644E" w:rsidRDefault="00C5644E" w:rsidP="00C5644E">
      <w:pPr>
        <w:spacing w:before="100" w:beforeAutospacing="1" w:after="100" w:afterAutospacing="1" w:line="240" w:lineRule="auto"/>
        <w:outlineLvl w:val="1"/>
        <w:rPr>
          <w:rFonts w:eastAsia="Times New Roman"/>
          <w:b/>
          <w:bCs/>
          <w:sz w:val="36"/>
          <w:szCs w:val="36"/>
          <w:lang w:eastAsia="de-DE"/>
        </w:rPr>
      </w:pPr>
      <w:r w:rsidRPr="00C5644E">
        <w:rPr>
          <w:rFonts w:eastAsia="Times New Roman"/>
          <w:b/>
          <w:bCs/>
          <w:sz w:val="36"/>
          <w:szCs w:val="36"/>
          <w:lang w:eastAsia="de-DE"/>
        </w:rPr>
        <w:t>Deuteronomium 4,16</w:t>
      </w:r>
    </w:p>
    <w:p w14:paraId="417B8762"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lang w:eastAsia="de-DE"/>
        </w:rPr>
        <w:t>Hebräisch:</w:t>
      </w:r>
      <w:r w:rsidRPr="00C5644E">
        <w:rPr>
          <w:rFonts w:eastAsia="Times New Roman"/>
          <w:lang w:eastAsia="de-DE"/>
        </w:rPr>
        <w:t xml:space="preserve"> </w:t>
      </w:r>
      <w:r w:rsidRPr="00C5644E">
        <w:rPr>
          <w:rFonts w:eastAsia="Times New Roman"/>
          <w:rtl/>
          <w:lang w:eastAsia="de-DE"/>
        </w:rPr>
        <w:t>פֶּ֨ן־תַּשְׁחִת֔וּן וַעֲשִׂיתֶ֥ם לָכֶ֛ם פֶּ֖סֶל תְּמוּנַ֣ת כָּל־סָ֑מֶל תַּבְנִ֥ית זָכָ֖ר א֥וֹ נְקֵבָֽה׃</w:t>
      </w:r>
    </w:p>
    <w:p w14:paraId="3B05915F"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lang w:eastAsia="de-DE"/>
        </w:rPr>
        <w:t>Deutsch:</w:t>
      </w:r>
      <w:r w:rsidRPr="00C5644E">
        <w:rPr>
          <w:rFonts w:eastAsia="Times New Roman"/>
          <w:lang w:eastAsia="de-DE"/>
        </w:rPr>
        <w:t xml:space="preserve"> dass ihr nicht verderblich handelt und euch ein geschnitztes Bild macht, eine Gestalt irgendeines Symbols, das Bildnis eines männlichen oder weiblichen Wesens,</w:t>
      </w:r>
    </w:p>
    <w:p w14:paraId="5FA6AA06" w14:textId="77777777" w:rsidR="00C5644E" w:rsidRPr="00C5644E" w:rsidRDefault="004F5CEB" w:rsidP="00C5644E">
      <w:pPr>
        <w:spacing w:after="0" w:line="240" w:lineRule="auto"/>
        <w:rPr>
          <w:rFonts w:eastAsia="Times New Roman"/>
          <w:lang w:eastAsia="de-DE"/>
        </w:rPr>
      </w:pPr>
      <w:r>
        <w:rPr>
          <w:rFonts w:eastAsia="Times New Roman"/>
          <w:noProof/>
          <w:lang w:eastAsia="de-DE"/>
        </w:rPr>
        <w:pict w14:anchorId="7E0C60B0">
          <v:rect id="_x0000_i1152" style="width:0;height:1.5pt" o:hralign="center" o:hrstd="t" o:hr="t" fillcolor="#a0a0a0" stroked="f"/>
        </w:pict>
      </w:r>
    </w:p>
    <w:p w14:paraId="17D59115"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lang w:eastAsia="de-DE"/>
        </w:rPr>
        <w:t>Kommentar:</w:t>
      </w:r>
      <w:r w:rsidRPr="00C5644E">
        <w:rPr>
          <w:rFonts w:eastAsia="Times New Roman"/>
          <w:lang w:eastAsia="de-DE"/>
        </w:rPr>
        <w:t xml:space="preserve"> </w:t>
      </w:r>
      <w:r w:rsidRPr="00C5644E">
        <w:rPr>
          <w:rFonts w:eastAsia="Times New Roman"/>
          <w:b/>
          <w:bCs/>
          <w:rtl/>
          <w:lang w:eastAsia="de-DE"/>
        </w:rPr>
        <w:t>פֶּן־תַּשְׁחִתוּן</w:t>
      </w:r>
      <w:r w:rsidRPr="00C5644E">
        <w:rPr>
          <w:rFonts w:eastAsia="Times New Roman"/>
          <w:rtl/>
          <w:lang w:eastAsia="de-DE"/>
        </w:rPr>
        <w:t xml:space="preserve"> </w:t>
      </w:r>
      <w:r w:rsidRPr="00C5644E">
        <w:rPr>
          <w:rFonts w:eastAsia="Times New Roman"/>
          <w:lang w:eastAsia="de-DE"/>
        </w:rPr>
        <w:t xml:space="preserve">ist eine Warnung: </w:t>
      </w:r>
      <w:r w:rsidRPr="00C5644E">
        <w:rPr>
          <w:rFonts w:eastAsia="Times New Roman"/>
          <w:b/>
          <w:bCs/>
          <w:rtl/>
          <w:lang w:eastAsia="de-DE"/>
        </w:rPr>
        <w:t>פֶּן</w:t>
      </w:r>
      <w:r w:rsidRPr="00C5644E">
        <w:rPr>
          <w:rFonts w:eastAsia="Times New Roman"/>
          <w:rtl/>
          <w:lang w:eastAsia="de-DE"/>
        </w:rPr>
        <w:t xml:space="preserve"> </w:t>
      </w:r>
      <w:r w:rsidRPr="00C5644E">
        <w:rPr>
          <w:rFonts w:eastAsia="Times New Roman"/>
          <w:lang w:eastAsia="de-DE"/>
        </w:rPr>
        <w:t xml:space="preserve">(„damit nicht, dass nicht") mit </w:t>
      </w:r>
      <w:r w:rsidRPr="00C5644E">
        <w:rPr>
          <w:rFonts w:eastAsia="Times New Roman"/>
          <w:b/>
          <w:bCs/>
          <w:rtl/>
          <w:lang w:eastAsia="de-DE"/>
        </w:rPr>
        <w:t>תַּשְׁחִתוּן</w:t>
      </w:r>
      <w:r w:rsidRPr="00C5644E">
        <w:rPr>
          <w:rFonts w:eastAsia="Times New Roman"/>
          <w:rtl/>
          <w:lang w:eastAsia="de-DE"/>
        </w:rPr>
        <w:t xml:space="preserve"> </w:t>
      </w:r>
      <w:r w:rsidRPr="00C5644E">
        <w:rPr>
          <w:rFonts w:eastAsia="Times New Roman"/>
          <w:lang w:eastAsia="de-DE"/>
        </w:rPr>
        <w:t xml:space="preserve">(Hifil Imperfekt, 2. Person Plural maskulin von </w:t>
      </w:r>
      <w:r w:rsidRPr="00C5644E">
        <w:rPr>
          <w:rFonts w:eastAsia="Times New Roman"/>
          <w:b/>
          <w:bCs/>
          <w:rtl/>
          <w:lang w:eastAsia="de-DE"/>
        </w:rPr>
        <w:t>שׁחת</w:t>
      </w:r>
      <w:r w:rsidRPr="00C5644E">
        <w:rPr>
          <w:rFonts w:eastAsia="Times New Roman"/>
          <w:lang w:eastAsia="de-DE"/>
        </w:rPr>
        <w:t>, „verderben, verderblich handeln, zerstören", mit paragogischem Nun). Die Hifil-Form kann transitiv („verderben, zerstören") oder intransitiv („verderblich handeln, sich verderben") sein; hier intransitiv im moralisch-religiösen Sinn.</w:t>
      </w:r>
    </w:p>
    <w:p w14:paraId="772B917E"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rtl/>
          <w:lang w:eastAsia="de-DE"/>
        </w:rPr>
        <w:t>וַעֲשִׂיתֶם לָכֶם פֶּסֶל</w:t>
      </w:r>
      <w:r w:rsidRPr="00C5644E">
        <w:rPr>
          <w:rFonts w:eastAsia="Times New Roman"/>
          <w:rtl/>
          <w:lang w:eastAsia="de-DE"/>
        </w:rPr>
        <w:t xml:space="preserve"> </w:t>
      </w:r>
      <w:r w:rsidRPr="00C5644E">
        <w:rPr>
          <w:rFonts w:eastAsia="Times New Roman"/>
          <w:lang w:eastAsia="de-DE"/>
        </w:rPr>
        <w:t xml:space="preserve">ist koordiniert: </w:t>
      </w:r>
      <w:r w:rsidRPr="00C5644E">
        <w:rPr>
          <w:rFonts w:eastAsia="Times New Roman"/>
          <w:b/>
          <w:bCs/>
          <w:rtl/>
          <w:lang w:eastAsia="de-DE"/>
        </w:rPr>
        <w:t>וַעֲשִׂיתֶם</w:t>
      </w:r>
      <w:r w:rsidRPr="00C5644E">
        <w:rPr>
          <w:rFonts w:eastAsia="Times New Roman"/>
          <w:rtl/>
          <w:lang w:eastAsia="de-DE"/>
        </w:rPr>
        <w:t xml:space="preserve"> </w:t>
      </w:r>
      <w:r w:rsidRPr="00C5644E">
        <w:rPr>
          <w:rFonts w:eastAsia="Times New Roman"/>
          <w:lang w:eastAsia="de-DE"/>
        </w:rPr>
        <w:t xml:space="preserve">(Qal Perfekt consecutivum, 2. Person Plural maskulin von </w:t>
      </w:r>
      <w:r w:rsidRPr="00C5644E">
        <w:rPr>
          <w:rFonts w:eastAsia="Times New Roman"/>
          <w:b/>
          <w:bCs/>
          <w:rtl/>
          <w:lang w:eastAsia="de-DE"/>
        </w:rPr>
        <w:t>עשׂה</w:t>
      </w:r>
      <w:r w:rsidRPr="00C5644E">
        <w:rPr>
          <w:rFonts w:eastAsia="Times New Roman"/>
          <w:rtl/>
          <w:lang w:eastAsia="de-DE"/>
        </w:rPr>
        <w:t xml:space="preserve"> </w:t>
      </w:r>
      <w:r w:rsidRPr="00C5644E">
        <w:rPr>
          <w:rFonts w:eastAsia="Times New Roman"/>
          <w:lang w:eastAsia="de-DE"/>
        </w:rPr>
        <w:t xml:space="preserve">mit Waw), </w:t>
      </w:r>
      <w:r w:rsidRPr="00C5644E">
        <w:rPr>
          <w:rFonts w:eastAsia="Times New Roman"/>
          <w:b/>
          <w:bCs/>
          <w:rtl/>
          <w:lang w:eastAsia="de-DE"/>
        </w:rPr>
        <w:t>לָכֶם</w:t>
      </w:r>
      <w:r w:rsidRPr="00C5644E">
        <w:rPr>
          <w:rFonts w:eastAsia="Times New Roman"/>
          <w:rtl/>
          <w:lang w:eastAsia="de-DE"/>
        </w:rPr>
        <w:t xml:space="preserve"> </w:t>
      </w:r>
      <w:r w:rsidRPr="00C5644E">
        <w:rPr>
          <w:rFonts w:eastAsia="Times New Roman"/>
          <w:lang w:eastAsia="de-DE"/>
        </w:rPr>
        <w:t xml:space="preserve">als Dativ („für euch"), </w:t>
      </w:r>
      <w:r w:rsidRPr="00C5644E">
        <w:rPr>
          <w:rFonts w:eastAsia="Times New Roman"/>
          <w:b/>
          <w:bCs/>
          <w:rtl/>
          <w:lang w:eastAsia="de-DE"/>
        </w:rPr>
        <w:t>פֶּסֶל</w:t>
      </w:r>
      <w:r w:rsidRPr="00C5644E">
        <w:rPr>
          <w:rFonts w:eastAsia="Times New Roman"/>
          <w:rtl/>
          <w:lang w:eastAsia="de-DE"/>
        </w:rPr>
        <w:t xml:space="preserve"> </w:t>
      </w:r>
      <w:r w:rsidRPr="00C5644E">
        <w:rPr>
          <w:rFonts w:eastAsia="Times New Roman"/>
          <w:lang w:eastAsia="de-DE"/>
        </w:rPr>
        <w:t>als direktes Objekt (</w:t>
      </w:r>
      <w:r w:rsidRPr="00C5644E">
        <w:rPr>
          <w:rFonts w:eastAsia="Times New Roman"/>
          <w:b/>
          <w:bCs/>
          <w:rtl/>
          <w:lang w:eastAsia="de-DE"/>
        </w:rPr>
        <w:t>פֶּסֶל</w:t>
      </w:r>
      <w:r w:rsidRPr="00C5644E">
        <w:rPr>
          <w:rFonts w:eastAsia="Times New Roman"/>
          <w:lang w:eastAsia="de-DE"/>
        </w:rPr>
        <w:t xml:space="preserve">, „geschnitztes Bild, Götzenbild"). </w:t>
      </w:r>
      <w:r w:rsidRPr="00C5644E">
        <w:rPr>
          <w:rFonts w:eastAsia="Times New Roman"/>
          <w:b/>
          <w:bCs/>
          <w:rtl/>
          <w:lang w:eastAsia="de-DE"/>
        </w:rPr>
        <w:t>תְּמוּנַת כָּל־סָמֶל</w:t>
      </w:r>
      <w:r w:rsidRPr="00C5644E">
        <w:rPr>
          <w:rFonts w:eastAsia="Times New Roman"/>
          <w:rtl/>
          <w:lang w:eastAsia="de-DE"/>
        </w:rPr>
        <w:t xml:space="preserve"> </w:t>
      </w:r>
      <w:r w:rsidRPr="00C5644E">
        <w:rPr>
          <w:rFonts w:eastAsia="Times New Roman"/>
          <w:lang w:eastAsia="de-DE"/>
        </w:rPr>
        <w:t xml:space="preserve">ist eine appositionelle Erklärung: </w:t>
      </w:r>
      <w:r w:rsidRPr="00C5644E">
        <w:rPr>
          <w:rFonts w:eastAsia="Times New Roman"/>
          <w:b/>
          <w:bCs/>
          <w:rtl/>
          <w:lang w:eastAsia="de-DE"/>
        </w:rPr>
        <w:t>תְּמוּנַת</w:t>
      </w:r>
      <w:r w:rsidRPr="00C5644E">
        <w:rPr>
          <w:rFonts w:eastAsia="Times New Roman"/>
          <w:rtl/>
          <w:lang w:eastAsia="de-DE"/>
        </w:rPr>
        <w:t xml:space="preserve"> </w:t>
      </w:r>
      <w:r w:rsidRPr="00C5644E">
        <w:rPr>
          <w:rFonts w:eastAsia="Times New Roman"/>
          <w:lang w:eastAsia="de-DE"/>
        </w:rPr>
        <w:t xml:space="preserve">(„Gestalt, Bild", Construct von </w:t>
      </w:r>
      <w:r w:rsidRPr="00C5644E">
        <w:rPr>
          <w:rFonts w:eastAsia="Times New Roman"/>
          <w:b/>
          <w:bCs/>
          <w:rtl/>
          <w:lang w:eastAsia="de-DE"/>
        </w:rPr>
        <w:t>תְּמוּנָה</w:t>
      </w:r>
      <w:r w:rsidRPr="00C5644E">
        <w:rPr>
          <w:rFonts w:eastAsia="Times New Roman"/>
          <w:lang w:eastAsia="de-DE"/>
        </w:rPr>
        <w:t xml:space="preserve">) mit </w:t>
      </w:r>
      <w:r w:rsidRPr="00C5644E">
        <w:rPr>
          <w:rFonts w:eastAsia="Times New Roman"/>
          <w:b/>
          <w:bCs/>
          <w:rtl/>
          <w:lang w:eastAsia="de-DE"/>
        </w:rPr>
        <w:t>כָּל־סָמֶל</w:t>
      </w:r>
      <w:r w:rsidRPr="00C5644E">
        <w:rPr>
          <w:rFonts w:eastAsia="Times New Roman"/>
          <w:rtl/>
          <w:lang w:eastAsia="de-DE"/>
        </w:rPr>
        <w:t xml:space="preserve"> </w:t>
      </w:r>
      <w:r w:rsidRPr="00C5644E">
        <w:rPr>
          <w:rFonts w:eastAsia="Times New Roman"/>
          <w:lang w:eastAsia="de-DE"/>
        </w:rPr>
        <w:t>(</w:t>
      </w:r>
      <w:r w:rsidRPr="00C5644E">
        <w:rPr>
          <w:rFonts w:eastAsia="Times New Roman"/>
          <w:b/>
          <w:bCs/>
          <w:rtl/>
          <w:lang w:eastAsia="de-DE"/>
        </w:rPr>
        <w:t>כָּל</w:t>
      </w:r>
      <w:r w:rsidRPr="00C5644E">
        <w:rPr>
          <w:rFonts w:eastAsia="Times New Roman"/>
          <w:rtl/>
          <w:lang w:eastAsia="de-DE"/>
        </w:rPr>
        <w:t xml:space="preserve"> </w:t>
      </w:r>
      <w:r w:rsidRPr="00C5644E">
        <w:rPr>
          <w:rFonts w:eastAsia="Times New Roman"/>
          <w:lang w:eastAsia="de-DE"/>
        </w:rPr>
        <w:t xml:space="preserve">im Construct mit </w:t>
      </w:r>
      <w:r w:rsidRPr="00C5644E">
        <w:rPr>
          <w:rFonts w:eastAsia="Times New Roman"/>
          <w:b/>
          <w:bCs/>
          <w:rtl/>
          <w:lang w:eastAsia="de-DE"/>
        </w:rPr>
        <w:t>סֶמֶל</w:t>
      </w:r>
      <w:r w:rsidRPr="00C5644E">
        <w:rPr>
          <w:rFonts w:eastAsia="Times New Roman"/>
          <w:lang w:eastAsia="de-DE"/>
        </w:rPr>
        <w:t>, „Symbol, Figur, Bild") – „die Gestalt irgendeines Symbols".</w:t>
      </w:r>
    </w:p>
    <w:p w14:paraId="5D7977D2"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rtl/>
          <w:lang w:eastAsia="de-DE"/>
        </w:rPr>
        <w:t>תַּבְנִית זָכָר אוֹ נְקֵבָה</w:t>
      </w:r>
      <w:r w:rsidRPr="00C5644E">
        <w:rPr>
          <w:rFonts w:eastAsia="Times New Roman"/>
          <w:rtl/>
          <w:lang w:eastAsia="de-DE"/>
        </w:rPr>
        <w:t xml:space="preserve"> </w:t>
      </w:r>
      <w:r w:rsidRPr="00C5644E">
        <w:rPr>
          <w:rFonts w:eastAsia="Times New Roman"/>
          <w:lang w:eastAsia="de-DE"/>
        </w:rPr>
        <w:t xml:space="preserve">ist eine weitere appositionelle Spezifizierung: </w:t>
      </w:r>
      <w:r w:rsidRPr="00C5644E">
        <w:rPr>
          <w:rFonts w:eastAsia="Times New Roman"/>
          <w:b/>
          <w:bCs/>
          <w:rtl/>
          <w:lang w:eastAsia="de-DE"/>
        </w:rPr>
        <w:t>תַּבְנִית</w:t>
      </w:r>
      <w:r w:rsidRPr="00C5644E">
        <w:rPr>
          <w:rFonts w:eastAsia="Times New Roman"/>
          <w:rtl/>
          <w:lang w:eastAsia="de-DE"/>
        </w:rPr>
        <w:t xml:space="preserve"> </w:t>
      </w:r>
      <w:r w:rsidRPr="00C5644E">
        <w:rPr>
          <w:rFonts w:eastAsia="Times New Roman"/>
          <w:lang w:eastAsia="de-DE"/>
        </w:rPr>
        <w:t xml:space="preserve">(„Abbild, Gestalt, Modell", Construct von </w:t>
      </w:r>
      <w:r w:rsidRPr="00C5644E">
        <w:rPr>
          <w:rFonts w:eastAsia="Times New Roman"/>
          <w:b/>
          <w:bCs/>
          <w:rtl/>
          <w:lang w:eastAsia="de-DE"/>
        </w:rPr>
        <w:t>תַּבְנִית</w:t>
      </w:r>
      <w:r w:rsidRPr="00C5644E">
        <w:rPr>
          <w:rFonts w:eastAsia="Times New Roman"/>
          <w:lang w:eastAsia="de-DE"/>
        </w:rPr>
        <w:t xml:space="preserve">) mit </w:t>
      </w:r>
      <w:r w:rsidRPr="00C5644E">
        <w:rPr>
          <w:rFonts w:eastAsia="Times New Roman"/>
          <w:b/>
          <w:bCs/>
          <w:rtl/>
          <w:lang w:eastAsia="de-DE"/>
        </w:rPr>
        <w:t>זָכָר</w:t>
      </w:r>
      <w:r w:rsidRPr="00C5644E">
        <w:rPr>
          <w:rFonts w:eastAsia="Times New Roman"/>
          <w:rtl/>
          <w:lang w:eastAsia="de-DE"/>
        </w:rPr>
        <w:t xml:space="preserve"> </w:t>
      </w:r>
      <w:r w:rsidRPr="00C5644E">
        <w:rPr>
          <w:rFonts w:eastAsia="Times New Roman"/>
          <w:lang w:eastAsia="de-DE"/>
        </w:rPr>
        <w:t xml:space="preserve">(„Männliches, männliches Wesen") </w:t>
      </w:r>
      <w:r w:rsidRPr="00C5644E">
        <w:rPr>
          <w:rFonts w:eastAsia="Times New Roman"/>
          <w:b/>
          <w:bCs/>
          <w:rtl/>
          <w:lang w:eastAsia="de-DE"/>
        </w:rPr>
        <w:t>אוֹ</w:t>
      </w:r>
      <w:r w:rsidRPr="00C5644E">
        <w:rPr>
          <w:rFonts w:eastAsia="Times New Roman"/>
          <w:rtl/>
          <w:lang w:eastAsia="de-DE"/>
        </w:rPr>
        <w:t xml:space="preserve"> </w:t>
      </w:r>
      <w:r w:rsidRPr="00C5644E">
        <w:rPr>
          <w:rFonts w:eastAsia="Times New Roman"/>
          <w:lang w:eastAsia="de-DE"/>
        </w:rPr>
        <w:t xml:space="preserve">(„oder") </w:t>
      </w:r>
      <w:r w:rsidRPr="00C5644E">
        <w:rPr>
          <w:rFonts w:eastAsia="Times New Roman"/>
          <w:b/>
          <w:bCs/>
          <w:rtl/>
          <w:lang w:eastAsia="de-DE"/>
        </w:rPr>
        <w:t>נְקֵבָה</w:t>
      </w:r>
      <w:r w:rsidRPr="00C5644E">
        <w:rPr>
          <w:rFonts w:eastAsia="Times New Roman"/>
          <w:rtl/>
          <w:lang w:eastAsia="de-DE"/>
        </w:rPr>
        <w:t xml:space="preserve"> </w:t>
      </w:r>
      <w:r w:rsidRPr="00C5644E">
        <w:rPr>
          <w:rFonts w:eastAsia="Times New Roman"/>
          <w:lang w:eastAsia="de-DE"/>
        </w:rPr>
        <w:t xml:space="preserve">(„Weibliches, weibliches Wesen"). Die drei Begriffe </w:t>
      </w:r>
      <w:r w:rsidRPr="00C5644E">
        <w:rPr>
          <w:rFonts w:eastAsia="Times New Roman"/>
          <w:b/>
          <w:bCs/>
          <w:rtl/>
          <w:lang w:eastAsia="de-DE"/>
        </w:rPr>
        <w:t>תְּמוּנָה</w:t>
      </w:r>
      <w:r w:rsidRPr="00C5644E">
        <w:rPr>
          <w:rFonts w:eastAsia="Times New Roman"/>
          <w:lang w:eastAsia="de-DE"/>
        </w:rPr>
        <w:t xml:space="preserve">, </w:t>
      </w:r>
      <w:r w:rsidRPr="00C5644E">
        <w:rPr>
          <w:rFonts w:eastAsia="Times New Roman"/>
          <w:b/>
          <w:bCs/>
          <w:rtl/>
          <w:lang w:eastAsia="de-DE"/>
        </w:rPr>
        <w:t>סֶמֶל</w:t>
      </w:r>
      <w:r w:rsidRPr="00C5644E">
        <w:rPr>
          <w:rFonts w:eastAsia="Times New Roman"/>
          <w:rtl/>
          <w:lang w:eastAsia="de-DE"/>
        </w:rPr>
        <w:t xml:space="preserve"> </w:t>
      </w:r>
      <w:r w:rsidRPr="00C5644E">
        <w:rPr>
          <w:rFonts w:eastAsia="Times New Roman"/>
          <w:lang w:eastAsia="de-DE"/>
        </w:rPr>
        <w:t xml:space="preserve">und </w:t>
      </w:r>
      <w:r w:rsidRPr="00C5644E">
        <w:rPr>
          <w:rFonts w:eastAsia="Times New Roman"/>
          <w:b/>
          <w:bCs/>
          <w:rtl/>
          <w:lang w:eastAsia="de-DE"/>
        </w:rPr>
        <w:t>תַּבְנִית</w:t>
      </w:r>
      <w:r w:rsidRPr="00C5644E">
        <w:rPr>
          <w:rFonts w:eastAsia="Times New Roman"/>
          <w:rtl/>
          <w:lang w:eastAsia="de-DE"/>
        </w:rPr>
        <w:t xml:space="preserve"> </w:t>
      </w:r>
      <w:r w:rsidRPr="00C5644E">
        <w:rPr>
          <w:rFonts w:eastAsia="Times New Roman"/>
          <w:lang w:eastAsia="de-DE"/>
        </w:rPr>
        <w:t>sind nahezu synonym und verstärken durch Wiederholung das absolute Verbot jeglicher bildlicher Darstellung.</w:t>
      </w:r>
    </w:p>
    <w:p w14:paraId="17F6A69B"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lang w:eastAsia="de-DE"/>
        </w:rPr>
        <w:t xml:space="preserve">Der Begriff </w:t>
      </w:r>
      <w:r w:rsidRPr="00C5644E">
        <w:rPr>
          <w:rFonts w:eastAsia="Times New Roman"/>
          <w:b/>
          <w:bCs/>
          <w:rtl/>
          <w:lang w:eastAsia="de-DE"/>
        </w:rPr>
        <w:t>פֶּסֶל</w:t>
      </w:r>
      <w:r w:rsidRPr="00C5644E">
        <w:rPr>
          <w:rFonts w:eastAsia="Times New Roman"/>
          <w:rtl/>
          <w:lang w:eastAsia="de-DE"/>
        </w:rPr>
        <w:t xml:space="preserve"> </w:t>
      </w:r>
      <w:r w:rsidRPr="00C5644E">
        <w:rPr>
          <w:rFonts w:eastAsia="Times New Roman"/>
          <w:lang w:eastAsia="de-DE"/>
        </w:rPr>
        <w:t xml:space="preserve">bezeichnet ursprünglich ein geschnitztes oder gehauenes Bild. Die nachfolgenden Begriffe erweitern das Verbot auf jede Art von bildlicher Darstellung. Die Unterscheidung zwischen </w:t>
      </w:r>
      <w:r w:rsidRPr="00C5644E">
        <w:rPr>
          <w:rFonts w:eastAsia="Times New Roman"/>
          <w:b/>
          <w:bCs/>
          <w:rtl/>
          <w:lang w:eastAsia="de-DE"/>
        </w:rPr>
        <w:t>זָכָר</w:t>
      </w:r>
      <w:r w:rsidRPr="00C5644E">
        <w:rPr>
          <w:rFonts w:eastAsia="Times New Roman"/>
          <w:rtl/>
          <w:lang w:eastAsia="de-DE"/>
        </w:rPr>
        <w:t xml:space="preserve"> </w:t>
      </w:r>
      <w:r w:rsidRPr="00C5644E">
        <w:rPr>
          <w:rFonts w:eastAsia="Times New Roman"/>
          <w:lang w:eastAsia="de-DE"/>
        </w:rPr>
        <w:t xml:space="preserve">und </w:t>
      </w:r>
      <w:r w:rsidRPr="00C5644E">
        <w:rPr>
          <w:rFonts w:eastAsia="Times New Roman"/>
          <w:b/>
          <w:bCs/>
          <w:rtl/>
          <w:lang w:eastAsia="de-DE"/>
        </w:rPr>
        <w:t>נְקֵבָה</w:t>
      </w:r>
      <w:r w:rsidRPr="00C5644E">
        <w:rPr>
          <w:rFonts w:eastAsia="Times New Roman"/>
          <w:rtl/>
          <w:lang w:eastAsia="de-DE"/>
        </w:rPr>
        <w:t xml:space="preserve"> </w:t>
      </w:r>
      <w:r w:rsidRPr="00C5644E">
        <w:rPr>
          <w:rFonts w:eastAsia="Times New Roman"/>
          <w:lang w:eastAsia="de-DE"/>
        </w:rPr>
        <w:t>zeigt, dass nicht nur anthropomorphe Darstellungen im engeren Sinn, sondern auch geschlechtsspezifische Darstellungen (wie etwa Fruchtbarkeitsgötter und -göttinnen) verboten sind.</w:t>
      </w:r>
    </w:p>
    <w:p w14:paraId="6C6250B0"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lang w:eastAsia="de-DE"/>
        </w:rPr>
        <w:lastRenderedPageBreak/>
        <w:t>Die Satzstruktur besteht aus einer negativen finalen Konstruktion mit Hifil-Verb und paragogischem Nun, gefolgt von einem koordinierten konsekutiven Verb mit Dativ, direktem Objekt und zwei appositiven Spezifizierungen in Construct-Verbindungen, wobei die zweite eine disjunktive Alternative enthält. Die kumulative Häufung von Begriffen für bildliche Darstellung unterstreicht die Absolutheit des Verbots.</w:t>
      </w:r>
    </w:p>
    <w:p w14:paraId="12BE5B9D" w14:textId="0B393CCB"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lang w:eastAsia="de-DE"/>
        </w:rPr>
        <w:t>Der Vers beginnt eine detaillierte Aufzählung verbotener Darstellungen, ang</w:t>
      </w:r>
      <w:r w:rsidR="0033521D">
        <w:rPr>
          <w:rFonts w:eastAsia="Times New Roman"/>
          <w:lang w:eastAsia="de-DE"/>
        </w:rPr>
        <w:t>ef</w:t>
      </w:r>
      <w:r w:rsidR="00743283">
        <w:rPr>
          <w:rFonts w:eastAsia="Times New Roman"/>
          <w:lang w:eastAsia="de-DE"/>
        </w:rPr>
        <w:t>a</w:t>
      </w:r>
      <w:r w:rsidRPr="00C5644E">
        <w:rPr>
          <w:rFonts w:eastAsia="Times New Roman"/>
          <w:lang w:eastAsia="de-DE"/>
        </w:rPr>
        <w:t>ngen</w:t>
      </w:r>
      <w:r w:rsidR="0033521D">
        <w:rPr>
          <w:rFonts w:eastAsia="Times New Roman"/>
          <w:lang w:eastAsia="de-DE"/>
        </w:rPr>
        <w:t xml:space="preserve"> </w:t>
      </w:r>
      <w:r w:rsidRPr="00C5644E">
        <w:rPr>
          <w:rFonts w:eastAsia="Times New Roman"/>
          <w:lang w:eastAsia="de-DE"/>
        </w:rPr>
        <w:t>mit anthropomorphen Bildern beider Geschlechter.</w:t>
      </w:r>
    </w:p>
    <w:p w14:paraId="2BCD4A43" w14:textId="77777777" w:rsidR="00C5644E" w:rsidRPr="00C5644E" w:rsidRDefault="00C5644E" w:rsidP="00C5644E">
      <w:pPr>
        <w:spacing w:before="100" w:beforeAutospacing="1" w:after="100" w:afterAutospacing="1" w:line="240" w:lineRule="auto"/>
        <w:outlineLvl w:val="1"/>
        <w:rPr>
          <w:rFonts w:eastAsia="Times New Roman"/>
          <w:b/>
          <w:bCs/>
          <w:sz w:val="36"/>
          <w:szCs w:val="36"/>
          <w:lang w:eastAsia="de-DE"/>
        </w:rPr>
      </w:pPr>
      <w:r w:rsidRPr="00C5644E">
        <w:rPr>
          <w:rFonts w:eastAsia="Times New Roman"/>
          <w:b/>
          <w:bCs/>
          <w:sz w:val="36"/>
          <w:szCs w:val="36"/>
          <w:lang w:eastAsia="de-DE"/>
        </w:rPr>
        <w:t>Deuteronomium 4,17</w:t>
      </w:r>
    </w:p>
    <w:p w14:paraId="7DA6B6F7"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lang w:eastAsia="de-DE"/>
        </w:rPr>
        <w:t>Hebräisch:</w:t>
      </w:r>
      <w:r w:rsidRPr="00C5644E">
        <w:rPr>
          <w:rFonts w:eastAsia="Times New Roman"/>
          <w:lang w:eastAsia="de-DE"/>
        </w:rPr>
        <w:t xml:space="preserve"> </w:t>
      </w:r>
      <w:r w:rsidRPr="00C5644E">
        <w:rPr>
          <w:rFonts w:eastAsia="Times New Roman"/>
          <w:rtl/>
          <w:lang w:eastAsia="de-DE"/>
        </w:rPr>
        <w:t>תַּבְנִ֕ית כָּל־בְּהֵמָ֖ה אֲשֶׁ֣ר בָּאָ֑רֶץ תַּבְנִית֙ כָּל־צִפּ֣וֹר כָּנָ֔ף אֲשֶׁ֥ר תָּע֖וּף בַּשָּׁמָֽיִם׃</w:t>
      </w:r>
    </w:p>
    <w:p w14:paraId="7FC61EA2"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lang w:eastAsia="de-DE"/>
        </w:rPr>
        <w:t>Deutsch:</w:t>
      </w:r>
      <w:r w:rsidRPr="00C5644E">
        <w:rPr>
          <w:rFonts w:eastAsia="Times New Roman"/>
          <w:lang w:eastAsia="de-DE"/>
        </w:rPr>
        <w:t xml:space="preserve"> das Bildnis irgendeines Tieres, das auf der Erde ist, das Bildnis irgendeines geflügelten Vogels, der am Himmel fliegt,</w:t>
      </w:r>
    </w:p>
    <w:p w14:paraId="6E922542" w14:textId="77777777" w:rsidR="00C5644E" w:rsidRPr="00C5644E" w:rsidRDefault="004F5CEB" w:rsidP="00C5644E">
      <w:pPr>
        <w:spacing w:after="0" w:line="240" w:lineRule="auto"/>
        <w:rPr>
          <w:rFonts w:eastAsia="Times New Roman"/>
          <w:lang w:eastAsia="de-DE"/>
        </w:rPr>
      </w:pPr>
      <w:r>
        <w:rPr>
          <w:rFonts w:eastAsia="Times New Roman"/>
          <w:noProof/>
          <w:lang w:eastAsia="de-DE"/>
        </w:rPr>
        <w:pict w14:anchorId="3BE649BB">
          <v:rect id="_x0000_i1153" style="width:0;height:1.5pt" o:hralign="center" o:hrstd="t" o:hr="t" fillcolor="#a0a0a0" stroked="f"/>
        </w:pict>
      </w:r>
    </w:p>
    <w:p w14:paraId="77AC5148"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lang w:eastAsia="de-DE"/>
        </w:rPr>
        <w:t>Kommentar:</w:t>
      </w:r>
      <w:r w:rsidRPr="00C5644E">
        <w:rPr>
          <w:rFonts w:eastAsia="Times New Roman"/>
          <w:lang w:eastAsia="de-DE"/>
        </w:rPr>
        <w:t xml:space="preserve"> </w:t>
      </w:r>
      <w:r w:rsidRPr="00C5644E">
        <w:rPr>
          <w:rFonts w:eastAsia="Times New Roman"/>
          <w:b/>
          <w:bCs/>
          <w:rtl/>
          <w:lang w:eastAsia="de-DE"/>
        </w:rPr>
        <w:t>תַּבְנִית כָּל־בְּהֵמָה אֲשֶׁר בָּאָרֶץ</w:t>
      </w:r>
      <w:r w:rsidRPr="00C5644E">
        <w:rPr>
          <w:rFonts w:eastAsia="Times New Roman"/>
          <w:rtl/>
          <w:lang w:eastAsia="de-DE"/>
        </w:rPr>
        <w:t xml:space="preserve"> </w:t>
      </w:r>
      <w:r w:rsidRPr="00C5644E">
        <w:rPr>
          <w:rFonts w:eastAsia="Times New Roman"/>
          <w:lang w:eastAsia="de-DE"/>
        </w:rPr>
        <w:t xml:space="preserve">ist eine Fortsetzung der appositiven Aufzählung: </w:t>
      </w:r>
      <w:r w:rsidRPr="00C5644E">
        <w:rPr>
          <w:rFonts w:eastAsia="Times New Roman"/>
          <w:b/>
          <w:bCs/>
          <w:rtl/>
          <w:lang w:eastAsia="de-DE"/>
        </w:rPr>
        <w:t>תַּבְנִית</w:t>
      </w:r>
      <w:r w:rsidRPr="00C5644E">
        <w:rPr>
          <w:rFonts w:eastAsia="Times New Roman"/>
          <w:rtl/>
          <w:lang w:eastAsia="de-DE"/>
        </w:rPr>
        <w:t xml:space="preserve"> </w:t>
      </w:r>
      <w:r w:rsidRPr="00C5644E">
        <w:rPr>
          <w:rFonts w:eastAsia="Times New Roman"/>
          <w:lang w:eastAsia="de-DE"/>
        </w:rPr>
        <w:t xml:space="preserve">(Construct von </w:t>
      </w:r>
      <w:r w:rsidRPr="00C5644E">
        <w:rPr>
          <w:rFonts w:eastAsia="Times New Roman"/>
          <w:b/>
          <w:bCs/>
          <w:rtl/>
          <w:lang w:eastAsia="de-DE"/>
        </w:rPr>
        <w:t>תַּבְנִית</w:t>
      </w:r>
      <w:r w:rsidRPr="00C5644E">
        <w:rPr>
          <w:rFonts w:eastAsia="Times New Roman"/>
          <w:lang w:eastAsia="de-DE"/>
        </w:rPr>
        <w:t xml:space="preserve">) mit </w:t>
      </w:r>
      <w:r w:rsidRPr="00C5644E">
        <w:rPr>
          <w:rFonts w:eastAsia="Times New Roman"/>
          <w:b/>
          <w:bCs/>
          <w:rtl/>
          <w:lang w:eastAsia="de-DE"/>
        </w:rPr>
        <w:t>כָּל־בְּהֵמָה</w:t>
      </w:r>
      <w:r w:rsidRPr="00C5644E">
        <w:rPr>
          <w:rFonts w:eastAsia="Times New Roman"/>
          <w:rtl/>
          <w:lang w:eastAsia="de-DE"/>
        </w:rPr>
        <w:t xml:space="preserve"> </w:t>
      </w:r>
      <w:r w:rsidRPr="00C5644E">
        <w:rPr>
          <w:rFonts w:eastAsia="Times New Roman"/>
          <w:lang w:eastAsia="de-DE"/>
        </w:rPr>
        <w:t>(</w:t>
      </w:r>
      <w:r w:rsidRPr="00C5644E">
        <w:rPr>
          <w:rFonts w:eastAsia="Times New Roman"/>
          <w:b/>
          <w:bCs/>
          <w:rtl/>
          <w:lang w:eastAsia="de-DE"/>
        </w:rPr>
        <w:t>כָּל</w:t>
      </w:r>
      <w:r w:rsidRPr="00C5644E">
        <w:rPr>
          <w:rFonts w:eastAsia="Times New Roman"/>
          <w:rtl/>
          <w:lang w:eastAsia="de-DE"/>
        </w:rPr>
        <w:t xml:space="preserve"> </w:t>
      </w:r>
      <w:r w:rsidRPr="00C5644E">
        <w:rPr>
          <w:rFonts w:eastAsia="Times New Roman"/>
          <w:lang w:eastAsia="de-DE"/>
        </w:rPr>
        <w:t xml:space="preserve">im Construct mit </w:t>
      </w:r>
      <w:r w:rsidRPr="00C5644E">
        <w:rPr>
          <w:rFonts w:eastAsia="Times New Roman"/>
          <w:b/>
          <w:bCs/>
          <w:rtl/>
          <w:lang w:eastAsia="de-DE"/>
        </w:rPr>
        <w:t>בְּהֵמָה</w:t>
      </w:r>
      <w:r w:rsidRPr="00C5644E">
        <w:rPr>
          <w:rFonts w:eastAsia="Times New Roman"/>
          <w:lang w:eastAsia="de-DE"/>
        </w:rPr>
        <w:t xml:space="preserve">, „Tier, Vieh"), </w:t>
      </w:r>
      <w:r w:rsidRPr="00C5644E">
        <w:rPr>
          <w:rFonts w:eastAsia="Times New Roman"/>
          <w:b/>
          <w:bCs/>
          <w:rtl/>
          <w:lang w:eastAsia="de-DE"/>
        </w:rPr>
        <w:t>אֲשֶׁר בָּאָרֶץ</w:t>
      </w:r>
      <w:r w:rsidRPr="00C5644E">
        <w:rPr>
          <w:rFonts w:eastAsia="Times New Roman"/>
          <w:rtl/>
          <w:lang w:eastAsia="de-DE"/>
        </w:rPr>
        <w:t xml:space="preserve"> </w:t>
      </w:r>
      <w:r w:rsidRPr="00C5644E">
        <w:rPr>
          <w:rFonts w:eastAsia="Times New Roman"/>
          <w:lang w:eastAsia="de-DE"/>
        </w:rPr>
        <w:t>als Relativsatz mit weggelassenem Verb (</w:t>
      </w:r>
      <w:r w:rsidRPr="00C5644E">
        <w:rPr>
          <w:rFonts w:eastAsia="Times New Roman"/>
          <w:b/>
          <w:bCs/>
          <w:rtl/>
          <w:lang w:eastAsia="de-DE"/>
        </w:rPr>
        <w:t>אֲשֶׁר</w:t>
      </w:r>
      <w:r w:rsidRPr="00C5644E">
        <w:rPr>
          <w:rFonts w:eastAsia="Times New Roman"/>
          <w:rtl/>
          <w:lang w:eastAsia="de-DE"/>
        </w:rPr>
        <w:t xml:space="preserve"> </w:t>
      </w:r>
      <w:r w:rsidRPr="00C5644E">
        <w:rPr>
          <w:rFonts w:eastAsia="Times New Roman"/>
          <w:lang w:eastAsia="de-DE"/>
        </w:rPr>
        <w:t xml:space="preserve">als Relativpronomen, </w:t>
      </w:r>
      <w:r w:rsidRPr="00C5644E">
        <w:rPr>
          <w:rFonts w:eastAsia="Times New Roman"/>
          <w:b/>
          <w:bCs/>
          <w:rtl/>
          <w:lang w:eastAsia="de-DE"/>
        </w:rPr>
        <w:t>בָּאָרֶץ</w:t>
      </w:r>
      <w:r w:rsidRPr="00C5644E">
        <w:rPr>
          <w:rFonts w:eastAsia="Times New Roman"/>
          <w:rtl/>
          <w:lang w:eastAsia="de-DE"/>
        </w:rPr>
        <w:t xml:space="preserve"> </w:t>
      </w:r>
      <w:r w:rsidRPr="00C5644E">
        <w:rPr>
          <w:rFonts w:eastAsia="Times New Roman"/>
          <w:lang w:eastAsia="de-DE"/>
        </w:rPr>
        <w:t xml:space="preserve">als Präposition </w:t>
      </w:r>
      <w:r w:rsidRPr="00C5644E">
        <w:rPr>
          <w:rFonts w:eastAsia="Times New Roman"/>
          <w:b/>
          <w:bCs/>
          <w:rtl/>
          <w:lang w:eastAsia="de-DE"/>
        </w:rPr>
        <w:t>בְּ</w:t>
      </w:r>
      <w:r w:rsidRPr="00C5644E">
        <w:rPr>
          <w:rFonts w:eastAsia="Times New Roman"/>
          <w:rtl/>
          <w:lang w:eastAsia="de-DE"/>
        </w:rPr>
        <w:t xml:space="preserve"> </w:t>
      </w:r>
      <w:r w:rsidRPr="00C5644E">
        <w:rPr>
          <w:rFonts w:eastAsia="Times New Roman"/>
          <w:lang w:eastAsia="de-DE"/>
        </w:rPr>
        <w:t xml:space="preserve">mit </w:t>
      </w:r>
      <w:r w:rsidRPr="00C5644E">
        <w:rPr>
          <w:rFonts w:eastAsia="Times New Roman"/>
          <w:b/>
          <w:bCs/>
          <w:rtl/>
          <w:lang w:eastAsia="de-DE"/>
        </w:rPr>
        <w:t>הָאָרֶץ</w:t>
      </w:r>
      <w:r w:rsidRPr="00C5644E">
        <w:rPr>
          <w:rFonts w:eastAsia="Times New Roman"/>
          <w:rtl/>
          <w:lang w:eastAsia="de-DE"/>
        </w:rPr>
        <w:t xml:space="preserve"> </w:t>
      </w:r>
      <w:r w:rsidRPr="00C5644E">
        <w:rPr>
          <w:rFonts w:eastAsia="Times New Roman"/>
          <w:lang w:eastAsia="de-DE"/>
        </w:rPr>
        <w:t>– „welches auf/in der Erde [ist]").</w:t>
      </w:r>
    </w:p>
    <w:p w14:paraId="28B71E2F"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rtl/>
          <w:lang w:eastAsia="de-DE"/>
        </w:rPr>
        <w:t>תַּבְנִית כָּל־צִפּוֹר כָּנָף</w:t>
      </w:r>
      <w:r w:rsidRPr="00C5644E">
        <w:rPr>
          <w:rFonts w:eastAsia="Times New Roman"/>
          <w:rtl/>
          <w:lang w:eastAsia="de-DE"/>
        </w:rPr>
        <w:t xml:space="preserve"> </w:t>
      </w:r>
      <w:r w:rsidRPr="00C5644E">
        <w:rPr>
          <w:rFonts w:eastAsia="Times New Roman"/>
          <w:lang w:eastAsia="de-DE"/>
        </w:rPr>
        <w:t xml:space="preserve">ist parallel strukturiert: </w:t>
      </w:r>
      <w:r w:rsidRPr="00C5644E">
        <w:rPr>
          <w:rFonts w:eastAsia="Times New Roman"/>
          <w:b/>
          <w:bCs/>
          <w:rtl/>
          <w:lang w:eastAsia="de-DE"/>
        </w:rPr>
        <w:t>תַּבְנִית</w:t>
      </w:r>
      <w:r w:rsidRPr="00C5644E">
        <w:rPr>
          <w:rFonts w:eastAsia="Times New Roman"/>
          <w:rtl/>
          <w:lang w:eastAsia="de-DE"/>
        </w:rPr>
        <w:t xml:space="preserve"> </w:t>
      </w:r>
      <w:r w:rsidRPr="00C5644E">
        <w:rPr>
          <w:rFonts w:eastAsia="Times New Roman"/>
          <w:lang w:eastAsia="de-DE"/>
        </w:rPr>
        <w:t xml:space="preserve">mit </w:t>
      </w:r>
      <w:r w:rsidRPr="00C5644E">
        <w:rPr>
          <w:rFonts w:eastAsia="Times New Roman"/>
          <w:b/>
          <w:bCs/>
          <w:rtl/>
          <w:lang w:eastAsia="de-DE"/>
        </w:rPr>
        <w:t>כָּל־צִפּוֹר</w:t>
      </w:r>
      <w:r w:rsidRPr="00C5644E">
        <w:rPr>
          <w:rFonts w:eastAsia="Times New Roman"/>
          <w:rtl/>
          <w:lang w:eastAsia="de-DE"/>
        </w:rPr>
        <w:t xml:space="preserve"> </w:t>
      </w:r>
      <w:r w:rsidRPr="00C5644E">
        <w:rPr>
          <w:rFonts w:eastAsia="Times New Roman"/>
          <w:lang w:eastAsia="de-DE"/>
        </w:rPr>
        <w:t>(</w:t>
      </w:r>
      <w:r w:rsidRPr="00C5644E">
        <w:rPr>
          <w:rFonts w:eastAsia="Times New Roman"/>
          <w:b/>
          <w:bCs/>
          <w:rtl/>
          <w:lang w:eastAsia="de-DE"/>
        </w:rPr>
        <w:t>כָּל</w:t>
      </w:r>
      <w:r w:rsidRPr="00C5644E">
        <w:rPr>
          <w:rFonts w:eastAsia="Times New Roman"/>
          <w:rtl/>
          <w:lang w:eastAsia="de-DE"/>
        </w:rPr>
        <w:t xml:space="preserve"> </w:t>
      </w:r>
      <w:r w:rsidRPr="00C5644E">
        <w:rPr>
          <w:rFonts w:eastAsia="Times New Roman"/>
          <w:lang w:eastAsia="de-DE"/>
        </w:rPr>
        <w:t xml:space="preserve">im Construct mit </w:t>
      </w:r>
      <w:r w:rsidRPr="00C5644E">
        <w:rPr>
          <w:rFonts w:eastAsia="Times New Roman"/>
          <w:b/>
          <w:bCs/>
          <w:rtl/>
          <w:lang w:eastAsia="de-DE"/>
        </w:rPr>
        <w:t>צִפּוֹר</w:t>
      </w:r>
      <w:r w:rsidRPr="00C5644E">
        <w:rPr>
          <w:rFonts w:eastAsia="Times New Roman"/>
          <w:lang w:eastAsia="de-DE"/>
        </w:rPr>
        <w:t xml:space="preserve">, „Vogel"), </w:t>
      </w:r>
      <w:r w:rsidRPr="00C5644E">
        <w:rPr>
          <w:rFonts w:eastAsia="Times New Roman"/>
          <w:b/>
          <w:bCs/>
          <w:rtl/>
          <w:lang w:eastAsia="de-DE"/>
        </w:rPr>
        <w:t>כָּנָף</w:t>
      </w:r>
      <w:r w:rsidRPr="00C5644E">
        <w:rPr>
          <w:rFonts w:eastAsia="Times New Roman"/>
          <w:rtl/>
          <w:lang w:eastAsia="de-DE"/>
        </w:rPr>
        <w:t xml:space="preserve"> </w:t>
      </w:r>
      <w:r w:rsidRPr="00C5644E">
        <w:rPr>
          <w:rFonts w:eastAsia="Times New Roman"/>
          <w:lang w:eastAsia="de-DE"/>
        </w:rPr>
        <w:t>als Apposition oder Genitivattribut (</w:t>
      </w:r>
      <w:r w:rsidRPr="00C5644E">
        <w:rPr>
          <w:rFonts w:eastAsia="Times New Roman"/>
          <w:b/>
          <w:bCs/>
          <w:rtl/>
          <w:lang w:eastAsia="de-DE"/>
        </w:rPr>
        <w:t>כָּנָף</w:t>
      </w:r>
      <w:r w:rsidRPr="00C5644E">
        <w:rPr>
          <w:rFonts w:eastAsia="Times New Roman"/>
          <w:lang w:eastAsia="de-DE"/>
        </w:rPr>
        <w:t xml:space="preserve">, „Flügel" – „Vogel des Flügels" = „geflügelter Vogel"). </w:t>
      </w:r>
      <w:r w:rsidRPr="00C5644E">
        <w:rPr>
          <w:rFonts w:eastAsia="Times New Roman"/>
          <w:b/>
          <w:bCs/>
          <w:rtl/>
          <w:lang w:eastAsia="de-DE"/>
        </w:rPr>
        <w:t>אֲשֶׁר תָּעוּף בַּשָּׁמָיִם</w:t>
      </w:r>
      <w:r w:rsidRPr="00C5644E">
        <w:rPr>
          <w:rFonts w:eastAsia="Times New Roman"/>
          <w:rtl/>
          <w:lang w:eastAsia="de-DE"/>
        </w:rPr>
        <w:t xml:space="preserve"> </w:t>
      </w:r>
      <w:r w:rsidRPr="00C5644E">
        <w:rPr>
          <w:rFonts w:eastAsia="Times New Roman"/>
          <w:lang w:eastAsia="de-DE"/>
        </w:rPr>
        <w:t xml:space="preserve">ist ein Relativsatz: </w:t>
      </w:r>
      <w:r w:rsidRPr="00C5644E">
        <w:rPr>
          <w:rFonts w:eastAsia="Times New Roman"/>
          <w:b/>
          <w:bCs/>
          <w:rtl/>
          <w:lang w:eastAsia="de-DE"/>
        </w:rPr>
        <w:t>אֲשֶׁר</w:t>
      </w:r>
      <w:r w:rsidRPr="00C5644E">
        <w:rPr>
          <w:rFonts w:eastAsia="Times New Roman"/>
          <w:rtl/>
          <w:lang w:eastAsia="de-DE"/>
        </w:rPr>
        <w:t xml:space="preserve"> </w:t>
      </w:r>
      <w:r w:rsidRPr="00C5644E">
        <w:rPr>
          <w:rFonts w:eastAsia="Times New Roman"/>
          <w:lang w:eastAsia="de-DE"/>
        </w:rPr>
        <w:t xml:space="preserve">als Relativpronomen, </w:t>
      </w:r>
      <w:r w:rsidRPr="00C5644E">
        <w:rPr>
          <w:rFonts w:eastAsia="Times New Roman"/>
          <w:b/>
          <w:bCs/>
          <w:rtl/>
          <w:lang w:eastAsia="de-DE"/>
        </w:rPr>
        <w:t>תָּעוּף</w:t>
      </w:r>
      <w:r w:rsidRPr="00C5644E">
        <w:rPr>
          <w:rFonts w:eastAsia="Times New Roman"/>
          <w:rtl/>
          <w:lang w:eastAsia="de-DE"/>
        </w:rPr>
        <w:t xml:space="preserve"> </w:t>
      </w:r>
      <w:r w:rsidRPr="00C5644E">
        <w:rPr>
          <w:rFonts w:eastAsia="Times New Roman"/>
          <w:lang w:eastAsia="de-DE"/>
        </w:rPr>
        <w:t xml:space="preserve">als Qal Imperfekt, 3. Person Singular feminin von </w:t>
      </w:r>
      <w:r w:rsidRPr="00C5644E">
        <w:rPr>
          <w:rFonts w:eastAsia="Times New Roman"/>
          <w:b/>
          <w:bCs/>
          <w:rtl/>
          <w:lang w:eastAsia="de-DE"/>
        </w:rPr>
        <w:t>עוף</w:t>
      </w:r>
      <w:r w:rsidRPr="00C5644E">
        <w:rPr>
          <w:rFonts w:eastAsia="Times New Roman"/>
          <w:rtl/>
          <w:lang w:eastAsia="de-DE"/>
        </w:rPr>
        <w:t xml:space="preserve"> </w:t>
      </w:r>
      <w:r w:rsidRPr="00C5644E">
        <w:rPr>
          <w:rFonts w:eastAsia="Times New Roman"/>
          <w:lang w:eastAsia="de-DE"/>
        </w:rPr>
        <w:t xml:space="preserve">(„fliegen"), </w:t>
      </w:r>
      <w:r w:rsidRPr="00C5644E">
        <w:rPr>
          <w:rFonts w:eastAsia="Times New Roman"/>
          <w:b/>
          <w:bCs/>
          <w:rtl/>
          <w:lang w:eastAsia="de-DE"/>
        </w:rPr>
        <w:t>בַּשָּׁמָיִם</w:t>
      </w:r>
      <w:r w:rsidRPr="00C5644E">
        <w:rPr>
          <w:rFonts w:eastAsia="Times New Roman"/>
          <w:rtl/>
          <w:lang w:eastAsia="de-DE"/>
        </w:rPr>
        <w:t xml:space="preserve"> </w:t>
      </w:r>
      <w:r w:rsidRPr="00C5644E">
        <w:rPr>
          <w:rFonts w:eastAsia="Times New Roman"/>
          <w:lang w:eastAsia="de-DE"/>
        </w:rPr>
        <w:t>als Ortsangabe (</w:t>
      </w:r>
      <w:r w:rsidRPr="00C5644E">
        <w:rPr>
          <w:rFonts w:eastAsia="Times New Roman"/>
          <w:b/>
          <w:bCs/>
          <w:rtl/>
          <w:lang w:eastAsia="de-DE"/>
        </w:rPr>
        <w:t>בְּ</w:t>
      </w:r>
      <w:r w:rsidRPr="00C5644E">
        <w:rPr>
          <w:rFonts w:eastAsia="Times New Roman"/>
          <w:rtl/>
          <w:lang w:eastAsia="de-DE"/>
        </w:rPr>
        <w:t xml:space="preserve"> </w:t>
      </w:r>
      <w:r w:rsidRPr="00C5644E">
        <w:rPr>
          <w:rFonts w:eastAsia="Times New Roman"/>
          <w:lang w:eastAsia="de-DE"/>
        </w:rPr>
        <w:t xml:space="preserve">mit </w:t>
      </w:r>
      <w:r w:rsidRPr="00C5644E">
        <w:rPr>
          <w:rFonts w:eastAsia="Times New Roman"/>
          <w:b/>
          <w:bCs/>
          <w:rtl/>
          <w:lang w:eastAsia="de-DE"/>
        </w:rPr>
        <w:t>שָׁמַיִם</w:t>
      </w:r>
      <w:r w:rsidRPr="00C5644E">
        <w:rPr>
          <w:rFonts w:eastAsia="Times New Roman"/>
          <w:lang w:eastAsia="de-DE"/>
        </w:rPr>
        <w:t>, „Himmel", Dual).</w:t>
      </w:r>
    </w:p>
    <w:p w14:paraId="140DC1A0"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lang w:eastAsia="de-DE"/>
        </w:rPr>
        <w:t xml:space="preserve">Die Aufzählung folgt einer kosmologischen Ordnung: nach dem Menschen (V. 16) kommen die Landtiere und dann die Vögel. Dies entspricht der Schöpfungsordnung in Genesis 1. Der Begriff </w:t>
      </w:r>
      <w:r w:rsidRPr="00C5644E">
        <w:rPr>
          <w:rFonts w:eastAsia="Times New Roman"/>
          <w:b/>
          <w:bCs/>
          <w:rtl/>
          <w:lang w:eastAsia="de-DE"/>
        </w:rPr>
        <w:t>בְּהֵמָה</w:t>
      </w:r>
      <w:r w:rsidRPr="00C5644E">
        <w:rPr>
          <w:rFonts w:eastAsia="Times New Roman"/>
          <w:rtl/>
          <w:lang w:eastAsia="de-DE"/>
        </w:rPr>
        <w:t xml:space="preserve"> </w:t>
      </w:r>
      <w:r w:rsidRPr="00C5644E">
        <w:rPr>
          <w:rFonts w:eastAsia="Times New Roman"/>
          <w:lang w:eastAsia="de-DE"/>
        </w:rPr>
        <w:t xml:space="preserve">bezeichnet domestizierte und wilde Landtiere. Die Wendung </w:t>
      </w:r>
      <w:r w:rsidRPr="00C5644E">
        <w:rPr>
          <w:rFonts w:eastAsia="Times New Roman"/>
          <w:b/>
          <w:bCs/>
          <w:rtl/>
          <w:lang w:eastAsia="de-DE"/>
        </w:rPr>
        <w:t>צִפּוֹר כָּנָף</w:t>
      </w:r>
      <w:r w:rsidRPr="00C5644E">
        <w:rPr>
          <w:rFonts w:eastAsia="Times New Roman"/>
          <w:rtl/>
          <w:lang w:eastAsia="de-DE"/>
        </w:rPr>
        <w:t xml:space="preserve"> </w:t>
      </w:r>
      <w:r w:rsidRPr="00C5644E">
        <w:rPr>
          <w:rFonts w:eastAsia="Times New Roman"/>
          <w:lang w:eastAsia="de-DE"/>
        </w:rPr>
        <w:t>ist eine feststehende Formel für Vögel (wörtlich „Vogel des Flügels").</w:t>
      </w:r>
    </w:p>
    <w:p w14:paraId="6EC9D4B7"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lang w:eastAsia="de-DE"/>
        </w:rPr>
        <w:t xml:space="preserve">Die Satzstruktur besteht aus zwei parallel konstruierten appositiven Aufzählungen, jeweils mit </w:t>
      </w:r>
      <w:r w:rsidRPr="00C5644E">
        <w:rPr>
          <w:rFonts w:eastAsia="Times New Roman"/>
          <w:b/>
          <w:bCs/>
          <w:rtl/>
          <w:lang w:eastAsia="de-DE"/>
        </w:rPr>
        <w:t>תַּבְנִית</w:t>
      </w:r>
      <w:r w:rsidRPr="00C5644E">
        <w:rPr>
          <w:rFonts w:eastAsia="Times New Roman"/>
          <w:rtl/>
          <w:lang w:eastAsia="de-DE"/>
        </w:rPr>
        <w:t xml:space="preserve"> </w:t>
      </w:r>
      <w:r w:rsidRPr="00C5644E">
        <w:rPr>
          <w:rFonts w:eastAsia="Times New Roman"/>
          <w:lang w:eastAsia="de-DE"/>
        </w:rPr>
        <w:t xml:space="preserve">in Construct-Verbindung mit </w:t>
      </w:r>
      <w:r w:rsidRPr="00C5644E">
        <w:rPr>
          <w:rFonts w:eastAsia="Times New Roman"/>
          <w:b/>
          <w:bCs/>
          <w:rtl/>
          <w:lang w:eastAsia="de-DE"/>
        </w:rPr>
        <w:t>כָּל</w:t>
      </w:r>
      <w:r w:rsidRPr="00C5644E">
        <w:rPr>
          <w:rFonts w:eastAsia="Times New Roman"/>
          <w:rtl/>
          <w:lang w:eastAsia="de-DE"/>
        </w:rPr>
        <w:t xml:space="preserve"> </w:t>
      </w:r>
      <w:r w:rsidRPr="00C5644E">
        <w:rPr>
          <w:rFonts w:eastAsia="Times New Roman"/>
          <w:lang w:eastAsia="de-DE"/>
        </w:rPr>
        <w:t>und einem Tiernamen, gefolgt von einem Relativsatz (der erste elliptisch mit nur einer Präpositionalphrase, der zweite vollständig mit Prädikat und Ortsangabe). Die parallele Struktur schafft einen rhythmischen, katalogartigen Charakter.</w:t>
      </w:r>
    </w:p>
    <w:p w14:paraId="4FF25628"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lang w:eastAsia="de-DE"/>
        </w:rPr>
        <w:t>Der Vers setzt die Aufzählung verbotener Darstellungen fort mit Landtieren und Vögeln, die jeweils durch Relativsätze ihrem natürlichen Lebensraum zugeordnet werden.</w:t>
      </w:r>
    </w:p>
    <w:p w14:paraId="1EE0291B" w14:textId="77777777" w:rsidR="00C5644E" w:rsidRPr="00C5644E" w:rsidRDefault="00C5644E" w:rsidP="00C5644E">
      <w:pPr>
        <w:spacing w:before="100" w:beforeAutospacing="1" w:after="100" w:afterAutospacing="1" w:line="240" w:lineRule="auto"/>
        <w:outlineLvl w:val="1"/>
        <w:rPr>
          <w:rFonts w:eastAsia="Times New Roman"/>
          <w:b/>
          <w:bCs/>
          <w:sz w:val="36"/>
          <w:szCs w:val="36"/>
          <w:lang w:eastAsia="de-DE"/>
        </w:rPr>
      </w:pPr>
      <w:r w:rsidRPr="00C5644E">
        <w:rPr>
          <w:rFonts w:eastAsia="Times New Roman"/>
          <w:b/>
          <w:bCs/>
          <w:sz w:val="36"/>
          <w:szCs w:val="36"/>
          <w:lang w:eastAsia="de-DE"/>
        </w:rPr>
        <w:t>Deuteronomium 4,18</w:t>
      </w:r>
    </w:p>
    <w:p w14:paraId="1895ABDB"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lang w:eastAsia="de-DE"/>
        </w:rPr>
        <w:t>Hebräisch:</w:t>
      </w:r>
      <w:r w:rsidRPr="00C5644E">
        <w:rPr>
          <w:rFonts w:eastAsia="Times New Roman"/>
          <w:lang w:eastAsia="de-DE"/>
        </w:rPr>
        <w:t xml:space="preserve"> </w:t>
      </w:r>
      <w:r w:rsidRPr="00C5644E">
        <w:rPr>
          <w:rFonts w:eastAsia="Times New Roman"/>
          <w:rtl/>
          <w:lang w:eastAsia="de-DE"/>
        </w:rPr>
        <w:t>תַּבְנִ֕ית כָּל־רֹמֵ֖שׂ בָּאֲדָמָ֑ה תַּבְנִ֛ית כָּל־דָּגָ֥ה אֲשֶׁר־בַּמַּ֖יִם מִתַּ֥חַת לָאָֽרֶץ׃</w:t>
      </w:r>
    </w:p>
    <w:p w14:paraId="40EEA921"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lang w:eastAsia="de-DE"/>
        </w:rPr>
        <w:lastRenderedPageBreak/>
        <w:t>Deutsch:</w:t>
      </w:r>
      <w:r w:rsidRPr="00C5644E">
        <w:rPr>
          <w:rFonts w:eastAsia="Times New Roman"/>
          <w:lang w:eastAsia="de-DE"/>
        </w:rPr>
        <w:t xml:space="preserve"> das Bildnis von irgendetwas, das auf dem Erdboden kriecht, das Bildnis irgendeines Fisches, der im Wasser unter der Erde ist.</w:t>
      </w:r>
    </w:p>
    <w:p w14:paraId="1EDB3626" w14:textId="77777777" w:rsidR="00C5644E" w:rsidRPr="00C5644E" w:rsidRDefault="004F5CEB" w:rsidP="00C5644E">
      <w:pPr>
        <w:spacing w:after="0" w:line="240" w:lineRule="auto"/>
        <w:rPr>
          <w:rFonts w:eastAsia="Times New Roman"/>
          <w:lang w:eastAsia="de-DE"/>
        </w:rPr>
      </w:pPr>
      <w:r>
        <w:rPr>
          <w:rFonts w:eastAsia="Times New Roman"/>
          <w:noProof/>
          <w:lang w:eastAsia="de-DE"/>
        </w:rPr>
        <w:pict w14:anchorId="0CA76646">
          <v:rect id="_x0000_i1154" style="width:0;height:1.5pt" o:hralign="center" o:hrstd="t" o:hr="t" fillcolor="#a0a0a0" stroked="f"/>
        </w:pict>
      </w:r>
    </w:p>
    <w:p w14:paraId="5AB91D81"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lang w:eastAsia="de-DE"/>
        </w:rPr>
        <w:t>Kommentar:</w:t>
      </w:r>
      <w:r w:rsidRPr="00C5644E">
        <w:rPr>
          <w:rFonts w:eastAsia="Times New Roman"/>
          <w:lang w:eastAsia="de-DE"/>
        </w:rPr>
        <w:t xml:space="preserve"> </w:t>
      </w:r>
      <w:r w:rsidRPr="00C5644E">
        <w:rPr>
          <w:rFonts w:eastAsia="Times New Roman"/>
          <w:b/>
          <w:bCs/>
          <w:rtl/>
          <w:lang w:eastAsia="de-DE"/>
        </w:rPr>
        <w:t>תַּבְנִית כָּל־רֹמֵשׂ בָּאֲדָמָה</w:t>
      </w:r>
      <w:r w:rsidRPr="00C5644E">
        <w:rPr>
          <w:rFonts w:eastAsia="Times New Roman"/>
          <w:rtl/>
          <w:lang w:eastAsia="de-DE"/>
        </w:rPr>
        <w:t xml:space="preserve"> </w:t>
      </w:r>
      <w:r w:rsidRPr="00C5644E">
        <w:rPr>
          <w:rFonts w:eastAsia="Times New Roman"/>
          <w:lang w:eastAsia="de-DE"/>
        </w:rPr>
        <w:t xml:space="preserve">setzt die Aufzählung fort: </w:t>
      </w:r>
      <w:r w:rsidRPr="00C5644E">
        <w:rPr>
          <w:rFonts w:eastAsia="Times New Roman"/>
          <w:b/>
          <w:bCs/>
          <w:rtl/>
          <w:lang w:eastAsia="de-DE"/>
        </w:rPr>
        <w:t>תַּבְנִית</w:t>
      </w:r>
      <w:r w:rsidRPr="00C5644E">
        <w:rPr>
          <w:rFonts w:eastAsia="Times New Roman"/>
          <w:rtl/>
          <w:lang w:eastAsia="de-DE"/>
        </w:rPr>
        <w:t xml:space="preserve"> </w:t>
      </w:r>
      <w:r w:rsidRPr="00C5644E">
        <w:rPr>
          <w:rFonts w:eastAsia="Times New Roman"/>
          <w:lang w:eastAsia="de-DE"/>
        </w:rPr>
        <w:t xml:space="preserve">mit </w:t>
      </w:r>
      <w:r w:rsidRPr="00C5644E">
        <w:rPr>
          <w:rFonts w:eastAsia="Times New Roman"/>
          <w:b/>
          <w:bCs/>
          <w:rtl/>
          <w:lang w:eastAsia="de-DE"/>
        </w:rPr>
        <w:t>כָּל־רֹמֵשׂ</w:t>
      </w:r>
      <w:r w:rsidRPr="00C5644E">
        <w:rPr>
          <w:rFonts w:eastAsia="Times New Roman"/>
          <w:rtl/>
          <w:lang w:eastAsia="de-DE"/>
        </w:rPr>
        <w:t xml:space="preserve"> </w:t>
      </w:r>
      <w:r w:rsidRPr="00C5644E">
        <w:rPr>
          <w:rFonts w:eastAsia="Times New Roman"/>
          <w:lang w:eastAsia="de-DE"/>
        </w:rPr>
        <w:t>(</w:t>
      </w:r>
      <w:r w:rsidRPr="00C5644E">
        <w:rPr>
          <w:rFonts w:eastAsia="Times New Roman"/>
          <w:b/>
          <w:bCs/>
          <w:rtl/>
          <w:lang w:eastAsia="de-DE"/>
        </w:rPr>
        <w:t>כָּל</w:t>
      </w:r>
      <w:r w:rsidRPr="00C5644E">
        <w:rPr>
          <w:rFonts w:eastAsia="Times New Roman"/>
          <w:rtl/>
          <w:lang w:eastAsia="de-DE"/>
        </w:rPr>
        <w:t xml:space="preserve"> </w:t>
      </w:r>
      <w:r w:rsidRPr="00C5644E">
        <w:rPr>
          <w:rFonts w:eastAsia="Times New Roman"/>
          <w:lang w:eastAsia="de-DE"/>
        </w:rPr>
        <w:t xml:space="preserve">im Construct mit </w:t>
      </w:r>
      <w:r w:rsidRPr="00C5644E">
        <w:rPr>
          <w:rFonts w:eastAsia="Times New Roman"/>
          <w:b/>
          <w:bCs/>
          <w:rtl/>
          <w:lang w:eastAsia="de-DE"/>
        </w:rPr>
        <w:t>רֹמֵשׂ</w:t>
      </w:r>
      <w:r w:rsidRPr="00C5644E">
        <w:rPr>
          <w:rFonts w:eastAsia="Times New Roman"/>
          <w:lang w:eastAsia="de-DE"/>
        </w:rPr>
        <w:t xml:space="preserve">, Qal Partizip Singular maskulin von </w:t>
      </w:r>
      <w:r w:rsidRPr="00C5644E">
        <w:rPr>
          <w:rFonts w:eastAsia="Times New Roman"/>
          <w:b/>
          <w:bCs/>
          <w:rtl/>
          <w:lang w:eastAsia="de-DE"/>
        </w:rPr>
        <w:t>רמשׂ</w:t>
      </w:r>
      <w:r w:rsidRPr="00C5644E">
        <w:rPr>
          <w:rFonts w:eastAsia="Times New Roman"/>
          <w:lang w:eastAsia="de-DE"/>
        </w:rPr>
        <w:t xml:space="preserve">, „kriechen, sich regen" – substantiviert „Kriechtier, kriechendes Wesen"), </w:t>
      </w:r>
      <w:r w:rsidRPr="00C5644E">
        <w:rPr>
          <w:rFonts w:eastAsia="Times New Roman"/>
          <w:b/>
          <w:bCs/>
          <w:rtl/>
          <w:lang w:eastAsia="de-DE"/>
        </w:rPr>
        <w:t>בָּאֲדָמָה</w:t>
      </w:r>
      <w:r w:rsidRPr="00C5644E">
        <w:rPr>
          <w:rFonts w:eastAsia="Times New Roman"/>
          <w:rtl/>
          <w:lang w:eastAsia="de-DE"/>
        </w:rPr>
        <w:t xml:space="preserve"> </w:t>
      </w:r>
      <w:r w:rsidRPr="00C5644E">
        <w:rPr>
          <w:rFonts w:eastAsia="Times New Roman"/>
          <w:lang w:eastAsia="de-DE"/>
        </w:rPr>
        <w:t>als Ortsangabe (</w:t>
      </w:r>
      <w:r w:rsidRPr="00C5644E">
        <w:rPr>
          <w:rFonts w:eastAsia="Times New Roman"/>
          <w:b/>
          <w:bCs/>
          <w:rtl/>
          <w:lang w:eastAsia="de-DE"/>
        </w:rPr>
        <w:t>בְּ</w:t>
      </w:r>
      <w:r w:rsidRPr="00C5644E">
        <w:rPr>
          <w:rFonts w:eastAsia="Times New Roman"/>
          <w:rtl/>
          <w:lang w:eastAsia="de-DE"/>
        </w:rPr>
        <w:t xml:space="preserve"> </w:t>
      </w:r>
      <w:r w:rsidRPr="00C5644E">
        <w:rPr>
          <w:rFonts w:eastAsia="Times New Roman"/>
          <w:lang w:eastAsia="de-DE"/>
        </w:rPr>
        <w:t xml:space="preserve">mit </w:t>
      </w:r>
      <w:r w:rsidRPr="00C5644E">
        <w:rPr>
          <w:rFonts w:eastAsia="Times New Roman"/>
          <w:b/>
          <w:bCs/>
          <w:rtl/>
          <w:lang w:eastAsia="de-DE"/>
        </w:rPr>
        <w:t>אֲדָמָה</w:t>
      </w:r>
      <w:r w:rsidRPr="00C5644E">
        <w:rPr>
          <w:rFonts w:eastAsia="Times New Roman"/>
          <w:lang w:eastAsia="de-DE"/>
        </w:rPr>
        <w:t xml:space="preserve">, „Erdboden, Ackerboden"). Der Wechsel von </w:t>
      </w:r>
      <w:r w:rsidRPr="00C5644E">
        <w:rPr>
          <w:rFonts w:eastAsia="Times New Roman"/>
          <w:b/>
          <w:bCs/>
          <w:rtl/>
          <w:lang w:eastAsia="de-DE"/>
        </w:rPr>
        <w:t>אֶרֶץ</w:t>
      </w:r>
      <w:r w:rsidRPr="00C5644E">
        <w:rPr>
          <w:rFonts w:eastAsia="Times New Roman"/>
          <w:rtl/>
          <w:lang w:eastAsia="de-DE"/>
        </w:rPr>
        <w:t xml:space="preserve"> </w:t>
      </w:r>
      <w:r w:rsidRPr="00C5644E">
        <w:rPr>
          <w:rFonts w:eastAsia="Times New Roman"/>
          <w:lang w:eastAsia="de-DE"/>
        </w:rPr>
        <w:t xml:space="preserve">(V. 17) zu </w:t>
      </w:r>
      <w:r w:rsidRPr="00C5644E">
        <w:rPr>
          <w:rFonts w:eastAsia="Times New Roman"/>
          <w:b/>
          <w:bCs/>
          <w:rtl/>
          <w:lang w:eastAsia="de-DE"/>
        </w:rPr>
        <w:t>אֲדָמָה</w:t>
      </w:r>
      <w:r w:rsidRPr="00C5644E">
        <w:rPr>
          <w:rFonts w:eastAsia="Times New Roman"/>
          <w:rtl/>
          <w:lang w:eastAsia="de-DE"/>
        </w:rPr>
        <w:t xml:space="preserve"> </w:t>
      </w:r>
      <w:r w:rsidRPr="00C5644E">
        <w:rPr>
          <w:rFonts w:eastAsia="Times New Roman"/>
          <w:lang w:eastAsia="de-DE"/>
        </w:rPr>
        <w:t>(hier) ist stilistisch bedingt; beide Begriffe bezeichnen die Erde als festen Boden.</w:t>
      </w:r>
    </w:p>
    <w:p w14:paraId="0AADC591"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rtl/>
          <w:lang w:eastAsia="de-DE"/>
        </w:rPr>
        <w:t>תַּבְנִית כָּל־דָּגָה אֲשֶׁר־בַּמַּיִם מִתַּחַת לָאָרֶץ</w:t>
      </w:r>
      <w:r w:rsidRPr="00C5644E">
        <w:rPr>
          <w:rFonts w:eastAsia="Times New Roman"/>
          <w:rtl/>
          <w:lang w:eastAsia="de-DE"/>
        </w:rPr>
        <w:t xml:space="preserve"> </w:t>
      </w:r>
      <w:r w:rsidRPr="00C5644E">
        <w:rPr>
          <w:rFonts w:eastAsia="Times New Roman"/>
          <w:lang w:eastAsia="de-DE"/>
        </w:rPr>
        <w:t xml:space="preserve">ist wiederum parallel: </w:t>
      </w:r>
      <w:r w:rsidRPr="00C5644E">
        <w:rPr>
          <w:rFonts w:eastAsia="Times New Roman"/>
          <w:b/>
          <w:bCs/>
          <w:rtl/>
          <w:lang w:eastAsia="de-DE"/>
        </w:rPr>
        <w:t>תַּבְנִית</w:t>
      </w:r>
      <w:r w:rsidRPr="00C5644E">
        <w:rPr>
          <w:rFonts w:eastAsia="Times New Roman"/>
          <w:rtl/>
          <w:lang w:eastAsia="de-DE"/>
        </w:rPr>
        <w:t xml:space="preserve"> </w:t>
      </w:r>
      <w:r w:rsidRPr="00C5644E">
        <w:rPr>
          <w:rFonts w:eastAsia="Times New Roman"/>
          <w:lang w:eastAsia="de-DE"/>
        </w:rPr>
        <w:t xml:space="preserve">mit </w:t>
      </w:r>
      <w:r w:rsidRPr="00C5644E">
        <w:rPr>
          <w:rFonts w:eastAsia="Times New Roman"/>
          <w:b/>
          <w:bCs/>
          <w:rtl/>
          <w:lang w:eastAsia="de-DE"/>
        </w:rPr>
        <w:t>כָּל־דָּגָה</w:t>
      </w:r>
      <w:r w:rsidRPr="00C5644E">
        <w:rPr>
          <w:rFonts w:eastAsia="Times New Roman"/>
          <w:rtl/>
          <w:lang w:eastAsia="de-DE"/>
        </w:rPr>
        <w:t xml:space="preserve"> </w:t>
      </w:r>
      <w:r w:rsidRPr="00C5644E">
        <w:rPr>
          <w:rFonts w:eastAsia="Times New Roman"/>
          <w:lang w:eastAsia="de-DE"/>
        </w:rPr>
        <w:t>(</w:t>
      </w:r>
      <w:r w:rsidRPr="00C5644E">
        <w:rPr>
          <w:rFonts w:eastAsia="Times New Roman"/>
          <w:b/>
          <w:bCs/>
          <w:rtl/>
          <w:lang w:eastAsia="de-DE"/>
        </w:rPr>
        <w:t>כָּל</w:t>
      </w:r>
      <w:r w:rsidRPr="00C5644E">
        <w:rPr>
          <w:rFonts w:eastAsia="Times New Roman"/>
          <w:rtl/>
          <w:lang w:eastAsia="de-DE"/>
        </w:rPr>
        <w:t xml:space="preserve"> </w:t>
      </w:r>
      <w:r w:rsidRPr="00C5644E">
        <w:rPr>
          <w:rFonts w:eastAsia="Times New Roman"/>
          <w:lang w:eastAsia="de-DE"/>
        </w:rPr>
        <w:t xml:space="preserve">im Construct mit </w:t>
      </w:r>
      <w:r w:rsidRPr="00C5644E">
        <w:rPr>
          <w:rFonts w:eastAsia="Times New Roman"/>
          <w:b/>
          <w:bCs/>
          <w:rtl/>
          <w:lang w:eastAsia="de-DE"/>
        </w:rPr>
        <w:t>דָּגָה</w:t>
      </w:r>
      <w:r w:rsidRPr="00C5644E">
        <w:rPr>
          <w:rFonts w:eastAsia="Times New Roman"/>
          <w:lang w:eastAsia="de-DE"/>
        </w:rPr>
        <w:t xml:space="preserve">, „Fisch", feminin Singular kollektiv), </w:t>
      </w:r>
      <w:r w:rsidRPr="00C5644E">
        <w:rPr>
          <w:rFonts w:eastAsia="Times New Roman"/>
          <w:b/>
          <w:bCs/>
          <w:rtl/>
          <w:lang w:eastAsia="de-DE"/>
        </w:rPr>
        <w:t>אֲשֶׁר־בַּמַּיִם</w:t>
      </w:r>
      <w:r w:rsidRPr="00C5644E">
        <w:rPr>
          <w:rFonts w:eastAsia="Times New Roman"/>
          <w:rtl/>
          <w:lang w:eastAsia="de-DE"/>
        </w:rPr>
        <w:t xml:space="preserve"> </w:t>
      </w:r>
      <w:r w:rsidRPr="00C5644E">
        <w:rPr>
          <w:rFonts w:eastAsia="Times New Roman"/>
          <w:lang w:eastAsia="de-DE"/>
        </w:rPr>
        <w:t>als Relativsatz (</w:t>
      </w:r>
      <w:r w:rsidRPr="00C5644E">
        <w:rPr>
          <w:rFonts w:eastAsia="Times New Roman"/>
          <w:b/>
          <w:bCs/>
          <w:rtl/>
          <w:lang w:eastAsia="de-DE"/>
        </w:rPr>
        <w:t>אֲשֶׁר</w:t>
      </w:r>
      <w:r w:rsidRPr="00C5644E">
        <w:rPr>
          <w:rFonts w:eastAsia="Times New Roman"/>
          <w:rtl/>
          <w:lang w:eastAsia="de-DE"/>
        </w:rPr>
        <w:t xml:space="preserve"> </w:t>
      </w:r>
      <w:r w:rsidRPr="00C5644E">
        <w:rPr>
          <w:rFonts w:eastAsia="Times New Roman"/>
          <w:lang w:eastAsia="de-DE"/>
        </w:rPr>
        <w:t xml:space="preserve">mit </w:t>
      </w:r>
      <w:r w:rsidRPr="00C5644E">
        <w:rPr>
          <w:rFonts w:eastAsia="Times New Roman"/>
          <w:b/>
          <w:bCs/>
          <w:rtl/>
          <w:lang w:eastAsia="de-DE"/>
        </w:rPr>
        <w:t>בַּמַּיִם</w:t>
      </w:r>
      <w:r w:rsidRPr="00C5644E">
        <w:rPr>
          <w:rFonts w:eastAsia="Times New Roman"/>
          <w:lang w:eastAsia="de-DE"/>
        </w:rPr>
        <w:t xml:space="preserve">, </w:t>
      </w:r>
      <w:r w:rsidRPr="00C5644E">
        <w:rPr>
          <w:rFonts w:eastAsia="Times New Roman"/>
          <w:b/>
          <w:bCs/>
          <w:rtl/>
          <w:lang w:eastAsia="de-DE"/>
        </w:rPr>
        <w:t>בְּ</w:t>
      </w:r>
      <w:r w:rsidRPr="00C5644E">
        <w:rPr>
          <w:rFonts w:eastAsia="Times New Roman"/>
          <w:rtl/>
          <w:lang w:eastAsia="de-DE"/>
        </w:rPr>
        <w:t xml:space="preserve"> </w:t>
      </w:r>
      <w:r w:rsidRPr="00C5644E">
        <w:rPr>
          <w:rFonts w:eastAsia="Times New Roman"/>
          <w:lang w:eastAsia="de-DE"/>
        </w:rPr>
        <w:t xml:space="preserve">mit </w:t>
      </w:r>
      <w:r w:rsidRPr="00C5644E">
        <w:rPr>
          <w:rFonts w:eastAsia="Times New Roman"/>
          <w:b/>
          <w:bCs/>
          <w:rtl/>
          <w:lang w:eastAsia="de-DE"/>
        </w:rPr>
        <w:t>מַיִם</w:t>
      </w:r>
      <w:r w:rsidRPr="00C5644E">
        <w:rPr>
          <w:rFonts w:eastAsia="Times New Roman"/>
          <w:lang w:eastAsia="de-DE"/>
        </w:rPr>
        <w:t xml:space="preserve">, „Wasser", Dual – „welcher in den Wassern [ist]"), </w:t>
      </w:r>
      <w:r w:rsidRPr="00C5644E">
        <w:rPr>
          <w:rFonts w:eastAsia="Times New Roman"/>
          <w:b/>
          <w:bCs/>
          <w:rtl/>
          <w:lang w:eastAsia="de-DE"/>
        </w:rPr>
        <w:t>מִתַּחַת לָאָרֶץ</w:t>
      </w:r>
      <w:r w:rsidRPr="00C5644E">
        <w:rPr>
          <w:rFonts w:eastAsia="Times New Roman"/>
          <w:rtl/>
          <w:lang w:eastAsia="de-DE"/>
        </w:rPr>
        <w:t xml:space="preserve"> </w:t>
      </w:r>
      <w:r w:rsidRPr="00C5644E">
        <w:rPr>
          <w:rFonts w:eastAsia="Times New Roman"/>
          <w:lang w:eastAsia="de-DE"/>
        </w:rPr>
        <w:t>als präzisierende Ortsangabe (</w:t>
      </w:r>
      <w:r w:rsidRPr="00C5644E">
        <w:rPr>
          <w:rFonts w:eastAsia="Times New Roman"/>
          <w:b/>
          <w:bCs/>
          <w:rtl/>
          <w:lang w:eastAsia="de-DE"/>
        </w:rPr>
        <w:t>מִתַּחַת</w:t>
      </w:r>
      <w:r w:rsidRPr="00C5644E">
        <w:rPr>
          <w:rFonts w:eastAsia="Times New Roman"/>
          <w:lang w:eastAsia="de-DE"/>
        </w:rPr>
        <w:t xml:space="preserve">, „von unter, unterhalb", Präposition mit </w:t>
      </w:r>
      <w:r w:rsidRPr="00C5644E">
        <w:rPr>
          <w:rFonts w:eastAsia="Times New Roman"/>
          <w:b/>
          <w:bCs/>
          <w:rtl/>
          <w:lang w:eastAsia="de-DE"/>
        </w:rPr>
        <w:t>לָאָרֶץ</w:t>
      </w:r>
      <w:r w:rsidRPr="00C5644E">
        <w:rPr>
          <w:rFonts w:eastAsia="Times New Roman"/>
          <w:lang w:eastAsia="de-DE"/>
        </w:rPr>
        <w:t>).</w:t>
      </w:r>
    </w:p>
    <w:p w14:paraId="47810E23"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lang w:eastAsia="de-DE"/>
        </w:rPr>
        <w:t xml:space="preserve">Die Aufzählung ist nun vollständig: Mensch (V. 16), Landtiere (V. 17a), Vögel (V. 17b), Kriechtiere (V. 18a), Fische (V. 18b). Dies entspricht den Kategorien der Schöpfungsordnung. Der Begriff </w:t>
      </w:r>
      <w:r w:rsidRPr="00C5644E">
        <w:rPr>
          <w:rFonts w:eastAsia="Times New Roman"/>
          <w:b/>
          <w:bCs/>
          <w:rtl/>
          <w:lang w:eastAsia="de-DE"/>
        </w:rPr>
        <w:t>רֹמֵשׂ</w:t>
      </w:r>
      <w:r w:rsidRPr="00C5644E">
        <w:rPr>
          <w:rFonts w:eastAsia="Times New Roman"/>
          <w:rtl/>
          <w:lang w:eastAsia="de-DE"/>
        </w:rPr>
        <w:t xml:space="preserve"> </w:t>
      </w:r>
      <w:r w:rsidRPr="00C5644E">
        <w:rPr>
          <w:rFonts w:eastAsia="Times New Roman"/>
          <w:lang w:eastAsia="de-DE"/>
        </w:rPr>
        <w:t xml:space="preserve">umfasst kleine Tiere, die sich am Boden bewegen (Reptilien, Insekten, etc.). Die Wendung </w:t>
      </w:r>
      <w:r w:rsidRPr="00C5644E">
        <w:rPr>
          <w:rFonts w:eastAsia="Times New Roman"/>
          <w:b/>
          <w:bCs/>
          <w:rtl/>
          <w:lang w:eastAsia="de-DE"/>
        </w:rPr>
        <w:t>מִתַּחַת לָאָרֶץ</w:t>
      </w:r>
      <w:r w:rsidRPr="00C5644E">
        <w:rPr>
          <w:rFonts w:eastAsia="Times New Roman"/>
          <w:rtl/>
          <w:lang w:eastAsia="de-DE"/>
        </w:rPr>
        <w:t xml:space="preserve"> </w:t>
      </w:r>
      <w:r w:rsidRPr="00C5644E">
        <w:rPr>
          <w:rFonts w:eastAsia="Times New Roman"/>
          <w:lang w:eastAsia="de-DE"/>
        </w:rPr>
        <w:t>betont, dass auch die Wasserwelt unter der Erdoberfläche gemeint ist – möglicherweise eine Anspielung auf unterirdische Gewässer oder auf die mythologische Vorstellung der Urflut unter der Erde.</w:t>
      </w:r>
    </w:p>
    <w:p w14:paraId="3D0832FA"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lang w:eastAsia="de-DE"/>
        </w:rPr>
        <w:t xml:space="preserve">Die Satzstruktur besteht aus zwei weiteren parallel konstruierten appositiven Aufzählungen mit jeweils </w:t>
      </w:r>
      <w:r w:rsidRPr="00C5644E">
        <w:rPr>
          <w:rFonts w:eastAsia="Times New Roman"/>
          <w:b/>
          <w:bCs/>
          <w:rtl/>
          <w:lang w:eastAsia="de-DE"/>
        </w:rPr>
        <w:t>תַּבְנִית</w:t>
      </w:r>
      <w:r w:rsidRPr="00C5644E">
        <w:rPr>
          <w:rFonts w:eastAsia="Times New Roman"/>
          <w:rtl/>
          <w:lang w:eastAsia="de-DE"/>
        </w:rPr>
        <w:t xml:space="preserve"> </w:t>
      </w:r>
      <w:r w:rsidRPr="00C5644E">
        <w:rPr>
          <w:rFonts w:eastAsia="Times New Roman"/>
          <w:lang w:eastAsia="de-DE"/>
        </w:rPr>
        <w:t xml:space="preserve">in Construct-Verbindung mit </w:t>
      </w:r>
      <w:r w:rsidRPr="00C5644E">
        <w:rPr>
          <w:rFonts w:eastAsia="Times New Roman"/>
          <w:b/>
          <w:bCs/>
          <w:rtl/>
          <w:lang w:eastAsia="de-DE"/>
        </w:rPr>
        <w:t>כָּל</w:t>
      </w:r>
      <w:r w:rsidRPr="00C5644E">
        <w:rPr>
          <w:rFonts w:eastAsia="Times New Roman"/>
          <w:rtl/>
          <w:lang w:eastAsia="de-DE"/>
        </w:rPr>
        <w:t xml:space="preserve"> </w:t>
      </w:r>
      <w:r w:rsidRPr="00C5644E">
        <w:rPr>
          <w:rFonts w:eastAsia="Times New Roman"/>
          <w:lang w:eastAsia="de-DE"/>
        </w:rPr>
        <w:t>und partizipialem bzw. substantivischem Tiernamen, jeweils mit Ortsangaben (die erste direkt präpositional, die zweite als Relativsatz mit zusätzlicher präzisierender Präpositionalphrase). Die parallele Struktur wird konsequent durch alle Verse 16-18 durchgehalten.</w:t>
      </w:r>
    </w:p>
    <w:p w14:paraId="7E9867A0"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lang w:eastAsia="de-DE"/>
        </w:rPr>
        <w:t>Der Vers schließt die Aufzählung verbotener Darstellungen ab mit Kriechtieren und Fischen, womit alle Bereiche der geschaffenen Welt abgedeckt sind.</w:t>
      </w:r>
    </w:p>
    <w:p w14:paraId="37CC57EA" w14:textId="77777777" w:rsidR="00C5644E" w:rsidRPr="00C5644E" w:rsidRDefault="00C5644E" w:rsidP="00C5644E">
      <w:pPr>
        <w:spacing w:before="100" w:beforeAutospacing="1" w:after="100" w:afterAutospacing="1" w:line="240" w:lineRule="auto"/>
        <w:outlineLvl w:val="1"/>
        <w:rPr>
          <w:rFonts w:eastAsia="Times New Roman"/>
          <w:b/>
          <w:bCs/>
          <w:sz w:val="36"/>
          <w:szCs w:val="36"/>
          <w:lang w:eastAsia="de-DE"/>
        </w:rPr>
      </w:pPr>
      <w:r w:rsidRPr="00C5644E">
        <w:rPr>
          <w:rFonts w:eastAsia="Times New Roman"/>
          <w:b/>
          <w:bCs/>
          <w:sz w:val="36"/>
          <w:szCs w:val="36"/>
          <w:lang w:eastAsia="de-DE"/>
        </w:rPr>
        <w:t>Deuteronomium 4,19</w:t>
      </w:r>
    </w:p>
    <w:p w14:paraId="35559056"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lang w:eastAsia="de-DE"/>
        </w:rPr>
        <w:t>Hebräisch:</w:t>
      </w:r>
      <w:r w:rsidRPr="00C5644E">
        <w:rPr>
          <w:rFonts w:eastAsia="Times New Roman"/>
          <w:lang w:eastAsia="de-DE"/>
        </w:rPr>
        <w:t xml:space="preserve"> </w:t>
      </w:r>
      <w:r w:rsidRPr="00C5644E">
        <w:rPr>
          <w:rFonts w:eastAsia="Times New Roman"/>
          <w:rtl/>
          <w:lang w:eastAsia="de-DE"/>
        </w:rPr>
        <w:t>וּפֶן־תִּשָּׂ֨א עֵינֶ֜יךָ הַשָּׁמַ֗יְמָה וְֽ֠רָאִיתָ אֶת־הַשֶּׁ֨מֶשׁ וְאֶת־הַיָּרֵ֜חַ וְאֶת־הַכּֽוֹכָבִ֗ים כֹּ֚ל צְבָ֣א הַשָּׁמַ֔יִם וְנִדַּחְתָּ֛ וְהִשְׁתַּחֲוִ֥יתָ לָהֶ֖ם וַעֲבַדְתָּ֑ם אֲשֶׁ֨ר חָלַ֜ק יְהוָ֤ה אֱלֹהֶ֨יךָ֙ אֹתָ֔ם לְכֹל֙ הָֽעַמִּ֔ים תַּ֖חַת כָּל־הַשָּׁמָֽיִם׃</w:t>
      </w:r>
    </w:p>
    <w:p w14:paraId="2E8F1566"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lang w:eastAsia="de-DE"/>
        </w:rPr>
        <w:t>Deutsch:</w:t>
      </w:r>
      <w:r w:rsidRPr="00C5644E">
        <w:rPr>
          <w:rFonts w:eastAsia="Times New Roman"/>
          <w:lang w:eastAsia="de-DE"/>
        </w:rPr>
        <w:t xml:space="preserve"> Und dass du deine Augen nicht zum Himmel erhebst und siehst die Sonne und den Mond und die Sterne, das ganze Heer des Himmels, und dich verführen lässt und dich vor ihnen niederwirfst und ihnen dienst, die der Ewige, dein Gott, zugeteilt hat allen Völkern unter dem ganzen Himmel.</w:t>
      </w:r>
    </w:p>
    <w:p w14:paraId="4234C1F2" w14:textId="77777777" w:rsidR="00C5644E" w:rsidRPr="00C5644E" w:rsidRDefault="004F5CEB" w:rsidP="00C5644E">
      <w:pPr>
        <w:spacing w:after="0" w:line="240" w:lineRule="auto"/>
        <w:rPr>
          <w:rFonts w:eastAsia="Times New Roman"/>
          <w:lang w:eastAsia="de-DE"/>
        </w:rPr>
      </w:pPr>
      <w:r>
        <w:rPr>
          <w:rFonts w:eastAsia="Times New Roman"/>
          <w:noProof/>
          <w:lang w:eastAsia="de-DE"/>
        </w:rPr>
        <w:pict w14:anchorId="0D0B4F05">
          <v:rect id="_x0000_i1155" style="width:0;height:1.5pt" o:hralign="center" o:hrstd="t" o:hr="t" fillcolor="#a0a0a0" stroked="f"/>
        </w:pict>
      </w:r>
    </w:p>
    <w:p w14:paraId="7D013D39"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lang w:eastAsia="de-DE"/>
        </w:rPr>
        <w:t>Kommentar:</w:t>
      </w:r>
      <w:r w:rsidRPr="00C5644E">
        <w:rPr>
          <w:rFonts w:eastAsia="Times New Roman"/>
          <w:lang w:eastAsia="de-DE"/>
        </w:rPr>
        <w:t xml:space="preserve"> </w:t>
      </w:r>
      <w:r w:rsidRPr="00C5644E">
        <w:rPr>
          <w:rFonts w:eastAsia="Times New Roman"/>
          <w:b/>
          <w:bCs/>
          <w:rtl/>
          <w:lang w:eastAsia="de-DE"/>
        </w:rPr>
        <w:t>וּפֶן־תִּשָּׂא עֵינֶיךָ הַשָּׁמַיְמָה</w:t>
      </w:r>
      <w:r w:rsidRPr="00C5644E">
        <w:rPr>
          <w:rFonts w:eastAsia="Times New Roman"/>
          <w:rtl/>
          <w:lang w:eastAsia="de-DE"/>
        </w:rPr>
        <w:t xml:space="preserve"> </w:t>
      </w:r>
      <w:r w:rsidRPr="00C5644E">
        <w:rPr>
          <w:rFonts w:eastAsia="Times New Roman"/>
          <w:lang w:eastAsia="de-DE"/>
        </w:rPr>
        <w:t xml:space="preserve">ist eine weitere Warnung, koordiniert zu V. 16: </w:t>
      </w:r>
      <w:r w:rsidRPr="00C5644E">
        <w:rPr>
          <w:rFonts w:eastAsia="Times New Roman"/>
          <w:b/>
          <w:bCs/>
          <w:rtl/>
          <w:lang w:eastAsia="de-DE"/>
        </w:rPr>
        <w:t>וְ</w:t>
      </w:r>
      <w:r w:rsidRPr="00C5644E">
        <w:rPr>
          <w:rFonts w:eastAsia="Times New Roman"/>
          <w:rtl/>
          <w:lang w:eastAsia="de-DE"/>
        </w:rPr>
        <w:t xml:space="preserve"> </w:t>
      </w:r>
      <w:r w:rsidRPr="00C5644E">
        <w:rPr>
          <w:rFonts w:eastAsia="Times New Roman"/>
          <w:lang w:eastAsia="de-DE"/>
        </w:rPr>
        <w:t xml:space="preserve">mit </w:t>
      </w:r>
      <w:r w:rsidRPr="00C5644E">
        <w:rPr>
          <w:rFonts w:eastAsia="Times New Roman"/>
          <w:b/>
          <w:bCs/>
          <w:rtl/>
          <w:lang w:eastAsia="de-DE"/>
        </w:rPr>
        <w:t>פֶּן</w:t>
      </w:r>
      <w:r w:rsidRPr="00C5644E">
        <w:rPr>
          <w:rFonts w:eastAsia="Times New Roman"/>
          <w:lang w:eastAsia="de-DE"/>
        </w:rPr>
        <w:t xml:space="preserve">, </w:t>
      </w:r>
      <w:r w:rsidRPr="00C5644E">
        <w:rPr>
          <w:rFonts w:eastAsia="Times New Roman"/>
          <w:b/>
          <w:bCs/>
          <w:rtl/>
          <w:lang w:eastAsia="de-DE"/>
        </w:rPr>
        <w:t>תִּשָּׂא</w:t>
      </w:r>
      <w:r w:rsidRPr="00C5644E">
        <w:rPr>
          <w:rFonts w:eastAsia="Times New Roman"/>
          <w:rtl/>
          <w:lang w:eastAsia="de-DE"/>
        </w:rPr>
        <w:t xml:space="preserve"> </w:t>
      </w:r>
      <w:r w:rsidRPr="00C5644E">
        <w:rPr>
          <w:rFonts w:eastAsia="Times New Roman"/>
          <w:lang w:eastAsia="de-DE"/>
        </w:rPr>
        <w:t xml:space="preserve">als Qal Imperfekt, 2. Person Singular maskulin von </w:t>
      </w:r>
      <w:r w:rsidRPr="00C5644E">
        <w:rPr>
          <w:rFonts w:eastAsia="Times New Roman"/>
          <w:b/>
          <w:bCs/>
          <w:rtl/>
          <w:lang w:eastAsia="de-DE"/>
        </w:rPr>
        <w:t>נשׂא</w:t>
      </w:r>
      <w:r w:rsidRPr="00C5644E">
        <w:rPr>
          <w:rFonts w:eastAsia="Times New Roman"/>
          <w:rtl/>
          <w:lang w:eastAsia="de-DE"/>
        </w:rPr>
        <w:t xml:space="preserve"> </w:t>
      </w:r>
      <w:r w:rsidRPr="00C5644E">
        <w:rPr>
          <w:rFonts w:eastAsia="Times New Roman"/>
          <w:lang w:eastAsia="de-DE"/>
        </w:rPr>
        <w:t xml:space="preserve">(„erheben, aufheben"), </w:t>
      </w:r>
      <w:r w:rsidRPr="00C5644E">
        <w:rPr>
          <w:rFonts w:eastAsia="Times New Roman"/>
          <w:b/>
          <w:bCs/>
          <w:rtl/>
          <w:lang w:eastAsia="de-DE"/>
        </w:rPr>
        <w:t>עֵינֶיךָ</w:t>
      </w:r>
      <w:r w:rsidRPr="00C5644E">
        <w:rPr>
          <w:rFonts w:eastAsia="Times New Roman"/>
          <w:rtl/>
          <w:lang w:eastAsia="de-DE"/>
        </w:rPr>
        <w:t xml:space="preserve"> </w:t>
      </w:r>
      <w:r w:rsidRPr="00C5644E">
        <w:rPr>
          <w:rFonts w:eastAsia="Times New Roman"/>
          <w:lang w:eastAsia="de-DE"/>
        </w:rPr>
        <w:t xml:space="preserve">als direktes Objekt (Dual mit Suffix 2. Person Singular maskulin), </w:t>
      </w:r>
      <w:r w:rsidRPr="00C5644E">
        <w:rPr>
          <w:rFonts w:eastAsia="Times New Roman"/>
          <w:b/>
          <w:bCs/>
          <w:rtl/>
          <w:lang w:eastAsia="de-DE"/>
        </w:rPr>
        <w:t>הַשָּׁמַיְמָה</w:t>
      </w:r>
      <w:r w:rsidRPr="00C5644E">
        <w:rPr>
          <w:rFonts w:eastAsia="Times New Roman"/>
          <w:rtl/>
          <w:lang w:eastAsia="de-DE"/>
        </w:rPr>
        <w:t xml:space="preserve"> </w:t>
      </w:r>
      <w:r w:rsidRPr="00C5644E">
        <w:rPr>
          <w:rFonts w:eastAsia="Times New Roman"/>
          <w:lang w:eastAsia="de-DE"/>
        </w:rPr>
        <w:t xml:space="preserve">als Richtungsadverb </w:t>
      </w:r>
      <w:r w:rsidRPr="00C5644E">
        <w:rPr>
          <w:rFonts w:eastAsia="Times New Roman"/>
          <w:lang w:eastAsia="de-DE"/>
        </w:rPr>
        <w:lastRenderedPageBreak/>
        <w:t>(</w:t>
      </w:r>
      <w:r w:rsidRPr="00C5644E">
        <w:rPr>
          <w:rFonts w:eastAsia="Times New Roman"/>
          <w:b/>
          <w:bCs/>
          <w:rtl/>
          <w:lang w:eastAsia="de-DE"/>
        </w:rPr>
        <w:t>שָׁמַיִם</w:t>
      </w:r>
      <w:r w:rsidRPr="00C5644E">
        <w:rPr>
          <w:rFonts w:eastAsia="Times New Roman"/>
          <w:lang w:eastAsia="de-DE"/>
        </w:rPr>
        <w:t xml:space="preserve">, „Himmel", Dual mit direktionalem He). Die idiomatische Wendung </w:t>
      </w:r>
      <w:r w:rsidRPr="00C5644E">
        <w:rPr>
          <w:rFonts w:eastAsia="Times New Roman"/>
          <w:b/>
          <w:bCs/>
          <w:rtl/>
          <w:lang w:eastAsia="de-DE"/>
        </w:rPr>
        <w:t>נשׂא עֵינַיִם</w:t>
      </w:r>
      <w:r w:rsidRPr="00C5644E">
        <w:rPr>
          <w:rFonts w:eastAsia="Times New Roman"/>
          <w:rtl/>
          <w:lang w:eastAsia="de-DE"/>
        </w:rPr>
        <w:t xml:space="preserve"> </w:t>
      </w:r>
      <w:r w:rsidRPr="00C5644E">
        <w:rPr>
          <w:rFonts w:eastAsia="Times New Roman"/>
          <w:lang w:eastAsia="de-DE"/>
        </w:rPr>
        <w:t>bedeutet „die Augen erheben, aufblicken".</w:t>
      </w:r>
    </w:p>
    <w:p w14:paraId="3396AB85"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rtl/>
          <w:lang w:eastAsia="de-DE"/>
        </w:rPr>
        <w:t>וְרָאִיתָ אֶת־הַשֶּׁמֶשׁ וְאֶת־הַיָּרֵחַ וְאֶת־הַכּוֹכָבִים</w:t>
      </w:r>
      <w:r w:rsidRPr="00C5644E">
        <w:rPr>
          <w:rFonts w:eastAsia="Times New Roman"/>
          <w:rtl/>
          <w:lang w:eastAsia="de-DE"/>
        </w:rPr>
        <w:t xml:space="preserve"> </w:t>
      </w:r>
      <w:r w:rsidRPr="00C5644E">
        <w:rPr>
          <w:rFonts w:eastAsia="Times New Roman"/>
          <w:lang w:eastAsia="de-DE"/>
        </w:rPr>
        <w:t xml:space="preserve">ist koordiniert: </w:t>
      </w:r>
      <w:r w:rsidRPr="00C5644E">
        <w:rPr>
          <w:rFonts w:eastAsia="Times New Roman"/>
          <w:b/>
          <w:bCs/>
          <w:rtl/>
          <w:lang w:eastAsia="de-DE"/>
        </w:rPr>
        <w:t>וְ</w:t>
      </w:r>
      <w:r w:rsidRPr="00C5644E">
        <w:rPr>
          <w:rFonts w:eastAsia="Times New Roman"/>
          <w:rtl/>
          <w:lang w:eastAsia="de-DE"/>
        </w:rPr>
        <w:t xml:space="preserve"> </w:t>
      </w:r>
      <w:r w:rsidRPr="00C5644E">
        <w:rPr>
          <w:rFonts w:eastAsia="Times New Roman"/>
          <w:lang w:eastAsia="de-DE"/>
        </w:rPr>
        <w:t xml:space="preserve">mit </w:t>
      </w:r>
      <w:r w:rsidRPr="00C5644E">
        <w:rPr>
          <w:rFonts w:eastAsia="Times New Roman"/>
          <w:b/>
          <w:bCs/>
          <w:rtl/>
          <w:lang w:eastAsia="de-DE"/>
        </w:rPr>
        <w:t>רָאִיתָ</w:t>
      </w:r>
      <w:r w:rsidRPr="00C5644E">
        <w:rPr>
          <w:rFonts w:eastAsia="Times New Roman"/>
          <w:rtl/>
          <w:lang w:eastAsia="de-DE"/>
        </w:rPr>
        <w:t xml:space="preserve"> </w:t>
      </w:r>
      <w:r w:rsidRPr="00C5644E">
        <w:rPr>
          <w:rFonts w:eastAsia="Times New Roman"/>
          <w:lang w:eastAsia="de-DE"/>
        </w:rPr>
        <w:t xml:space="preserve">(Qal Perfekt consecutivum, 2. Person Singular maskulin von </w:t>
      </w:r>
      <w:r w:rsidRPr="00C5644E">
        <w:rPr>
          <w:rFonts w:eastAsia="Times New Roman"/>
          <w:b/>
          <w:bCs/>
          <w:rtl/>
          <w:lang w:eastAsia="de-DE"/>
        </w:rPr>
        <w:t>ראה</w:t>
      </w:r>
      <w:r w:rsidRPr="00C5644E">
        <w:rPr>
          <w:rFonts w:eastAsia="Times New Roman"/>
          <w:lang w:eastAsia="de-DE"/>
        </w:rPr>
        <w:t xml:space="preserve">), und eine dreigliedrige Objektkette mit nota accusativi: </w:t>
      </w:r>
      <w:r w:rsidRPr="00C5644E">
        <w:rPr>
          <w:rFonts w:eastAsia="Times New Roman"/>
          <w:b/>
          <w:bCs/>
          <w:rtl/>
          <w:lang w:eastAsia="de-DE"/>
        </w:rPr>
        <w:t>הַשֶּׁמֶשׁ</w:t>
      </w:r>
      <w:r w:rsidRPr="00C5644E">
        <w:rPr>
          <w:rFonts w:eastAsia="Times New Roman"/>
          <w:rtl/>
          <w:lang w:eastAsia="de-DE"/>
        </w:rPr>
        <w:t xml:space="preserve"> </w:t>
      </w:r>
      <w:r w:rsidRPr="00C5644E">
        <w:rPr>
          <w:rFonts w:eastAsia="Times New Roman"/>
          <w:lang w:eastAsia="de-DE"/>
        </w:rPr>
        <w:t xml:space="preserve">(„die Sonne"), </w:t>
      </w:r>
      <w:r w:rsidRPr="00C5644E">
        <w:rPr>
          <w:rFonts w:eastAsia="Times New Roman"/>
          <w:b/>
          <w:bCs/>
          <w:rtl/>
          <w:lang w:eastAsia="de-DE"/>
        </w:rPr>
        <w:t>הַיָּרֵחַ</w:t>
      </w:r>
      <w:r w:rsidRPr="00C5644E">
        <w:rPr>
          <w:rFonts w:eastAsia="Times New Roman"/>
          <w:rtl/>
          <w:lang w:eastAsia="de-DE"/>
        </w:rPr>
        <w:t xml:space="preserve"> </w:t>
      </w:r>
      <w:r w:rsidRPr="00C5644E">
        <w:rPr>
          <w:rFonts w:eastAsia="Times New Roman"/>
          <w:lang w:eastAsia="de-DE"/>
        </w:rPr>
        <w:t xml:space="preserve">(„der Mond"), </w:t>
      </w:r>
      <w:r w:rsidRPr="00C5644E">
        <w:rPr>
          <w:rFonts w:eastAsia="Times New Roman"/>
          <w:b/>
          <w:bCs/>
          <w:rtl/>
          <w:lang w:eastAsia="de-DE"/>
        </w:rPr>
        <w:t>הַכּוֹכָבִים</w:t>
      </w:r>
      <w:r w:rsidRPr="00C5644E">
        <w:rPr>
          <w:rFonts w:eastAsia="Times New Roman"/>
          <w:rtl/>
          <w:lang w:eastAsia="de-DE"/>
        </w:rPr>
        <w:t xml:space="preserve"> </w:t>
      </w:r>
      <w:r w:rsidRPr="00C5644E">
        <w:rPr>
          <w:rFonts w:eastAsia="Times New Roman"/>
          <w:lang w:eastAsia="de-DE"/>
        </w:rPr>
        <w:t xml:space="preserve">(„die Sterne", Plural). </w:t>
      </w:r>
      <w:r w:rsidRPr="00C5644E">
        <w:rPr>
          <w:rFonts w:eastAsia="Times New Roman"/>
          <w:b/>
          <w:bCs/>
          <w:rtl/>
          <w:lang w:eastAsia="de-DE"/>
        </w:rPr>
        <w:t>כֹּל צְבָא הַשָּׁמַיִם</w:t>
      </w:r>
      <w:r w:rsidRPr="00C5644E">
        <w:rPr>
          <w:rFonts w:eastAsia="Times New Roman"/>
          <w:rtl/>
          <w:lang w:eastAsia="de-DE"/>
        </w:rPr>
        <w:t xml:space="preserve"> </w:t>
      </w:r>
      <w:r w:rsidRPr="00C5644E">
        <w:rPr>
          <w:rFonts w:eastAsia="Times New Roman"/>
          <w:lang w:eastAsia="de-DE"/>
        </w:rPr>
        <w:t xml:space="preserve">ist eine appositionelle Zusammenfassung: </w:t>
      </w:r>
      <w:r w:rsidRPr="00C5644E">
        <w:rPr>
          <w:rFonts w:eastAsia="Times New Roman"/>
          <w:b/>
          <w:bCs/>
          <w:rtl/>
          <w:lang w:eastAsia="de-DE"/>
        </w:rPr>
        <w:t>כֹּל</w:t>
      </w:r>
      <w:r w:rsidRPr="00C5644E">
        <w:rPr>
          <w:rFonts w:eastAsia="Times New Roman"/>
          <w:rtl/>
          <w:lang w:eastAsia="de-DE"/>
        </w:rPr>
        <w:t xml:space="preserve"> </w:t>
      </w:r>
      <w:r w:rsidRPr="00C5644E">
        <w:rPr>
          <w:rFonts w:eastAsia="Times New Roman"/>
          <w:lang w:eastAsia="de-DE"/>
        </w:rPr>
        <w:t xml:space="preserve">im Construct mit </w:t>
      </w:r>
      <w:r w:rsidRPr="00C5644E">
        <w:rPr>
          <w:rFonts w:eastAsia="Times New Roman"/>
          <w:b/>
          <w:bCs/>
          <w:rtl/>
          <w:lang w:eastAsia="de-DE"/>
        </w:rPr>
        <w:t>צְבָא</w:t>
      </w:r>
      <w:r w:rsidRPr="00C5644E">
        <w:rPr>
          <w:rFonts w:eastAsia="Times New Roman"/>
          <w:rtl/>
          <w:lang w:eastAsia="de-DE"/>
        </w:rPr>
        <w:t xml:space="preserve"> </w:t>
      </w:r>
      <w:r w:rsidRPr="00C5644E">
        <w:rPr>
          <w:rFonts w:eastAsia="Times New Roman"/>
          <w:lang w:eastAsia="de-DE"/>
        </w:rPr>
        <w:t xml:space="preserve">(„Heer, Heerschar") im Construct und </w:t>
      </w:r>
      <w:r w:rsidRPr="00C5644E">
        <w:rPr>
          <w:rFonts w:eastAsia="Times New Roman"/>
          <w:b/>
          <w:bCs/>
          <w:rtl/>
          <w:lang w:eastAsia="de-DE"/>
        </w:rPr>
        <w:t>הַשָּׁמַיִם</w:t>
      </w:r>
      <w:r w:rsidRPr="00C5644E">
        <w:rPr>
          <w:rFonts w:eastAsia="Times New Roman"/>
          <w:lang w:eastAsia="de-DE"/>
        </w:rPr>
        <w:t>.</w:t>
      </w:r>
    </w:p>
    <w:p w14:paraId="363ED1E0" w14:textId="2F6255DC"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rtl/>
          <w:lang w:eastAsia="de-DE"/>
        </w:rPr>
        <w:t>וְנִדַּחְתָּ וְהִשְׁתַּחֲוִיתָ לָהֶם וַעֲבַדְתָּם</w:t>
      </w:r>
      <w:r w:rsidRPr="00C5644E">
        <w:rPr>
          <w:rFonts w:eastAsia="Times New Roman"/>
          <w:rtl/>
          <w:lang w:eastAsia="de-DE"/>
        </w:rPr>
        <w:t xml:space="preserve"> </w:t>
      </w:r>
      <w:r w:rsidRPr="00C5644E">
        <w:rPr>
          <w:rFonts w:eastAsia="Times New Roman"/>
          <w:lang w:eastAsia="de-DE"/>
        </w:rPr>
        <w:t xml:space="preserve">ist eine dreigliedrige koordinierte Verbkette: </w:t>
      </w:r>
      <w:r w:rsidRPr="00C5644E">
        <w:rPr>
          <w:rFonts w:eastAsia="Times New Roman"/>
          <w:b/>
          <w:bCs/>
          <w:rtl/>
          <w:lang w:eastAsia="de-DE"/>
        </w:rPr>
        <w:t>וְנִדַּחְתָּ</w:t>
      </w:r>
      <w:r w:rsidRPr="00C5644E">
        <w:rPr>
          <w:rFonts w:eastAsia="Times New Roman"/>
          <w:rtl/>
          <w:lang w:eastAsia="de-DE"/>
        </w:rPr>
        <w:t xml:space="preserve"> </w:t>
      </w:r>
      <w:r w:rsidRPr="00C5644E">
        <w:rPr>
          <w:rFonts w:eastAsia="Times New Roman"/>
          <w:lang w:eastAsia="de-DE"/>
        </w:rPr>
        <w:t xml:space="preserve">(Nifal Perfekt consecutivum, 2. Person Singular maskulin von </w:t>
      </w:r>
      <w:r w:rsidRPr="00C5644E">
        <w:rPr>
          <w:rFonts w:eastAsia="Times New Roman"/>
          <w:b/>
          <w:bCs/>
          <w:rtl/>
          <w:lang w:eastAsia="de-DE"/>
        </w:rPr>
        <w:t>נדח</w:t>
      </w:r>
      <w:r w:rsidRPr="00C5644E">
        <w:rPr>
          <w:rFonts w:eastAsia="Times New Roman"/>
          <w:lang w:eastAsia="de-DE"/>
        </w:rPr>
        <w:t xml:space="preserve">, „verführt werden, abgedrängt werden"), </w:t>
      </w:r>
      <w:r w:rsidRPr="00C5644E">
        <w:rPr>
          <w:rFonts w:eastAsia="Times New Roman"/>
          <w:b/>
          <w:bCs/>
          <w:rtl/>
          <w:lang w:eastAsia="de-DE"/>
        </w:rPr>
        <w:t>וְהִשְׁתַּחֲוִיתָ</w:t>
      </w:r>
      <w:r w:rsidRPr="00C5644E">
        <w:rPr>
          <w:rFonts w:eastAsia="Times New Roman"/>
          <w:rtl/>
          <w:lang w:eastAsia="de-DE"/>
        </w:rPr>
        <w:t xml:space="preserve"> </w:t>
      </w:r>
      <w:r w:rsidRPr="00C5644E">
        <w:rPr>
          <w:rFonts w:eastAsia="Times New Roman"/>
          <w:lang w:eastAsia="de-DE"/>
        </w:rPr>
        <w:t xml:space="preserve">(Hitpael Perfekt consecutivum, 2. Person Singular maskulin von </w:t>
      </w:r>
      <w:r w:rsidRPr="00C5644E">
        <w:rPr>
          <w:rFonts w:eastAsia="Times New Roman"/>
          <w:b/>
          <w:bCs/>
          <w:rtl/>
          <w:lang w:eastAsia="de-DE"/>
        </w:rPr>
        <w:t>שׁחה</w:t>
      </w:r>
      <w:r w:rsidRPr="00C5644E">
        <w:rPr>
          <w:rFonts w:eastAsia="Times New Roman"/>
          <w:lang w:eastAsia="de-DE"/>
        </w:rPr>
        <w:t xml:space="preserve">, „sich niederwerfen, anbeten"), </w:t>
      </w:r>
      <w:r w:rsidRPr="00C5644E">
        <w:rPr>
          <w:rFonts w:eastAsia="Times New Roman"/>
          <w:b/>
          <w:bCs/>
          <w:rtl/>
          <w:lang w:eastAsia="de-DE"/>
        </w:rPr>
        <w:t>לָהֶם</w:t>
      </w:r>
      <w:r w:rsidRPr="00C5644E">
        <w:rPr>
          <w:rFonts w:eastAsia="Times New Roman"/>
          <w:rtl/>
          <w:lang w:eastAsia="de-DE"/>
        </w:rPr>
        <w:t xml:space="preserve"> </w:t>
      </w:r>
      <w:r w:rsidRPr="00C5644E">
        <w:rPr>
          <w:rFonts w:eastAsia="Times New Roman"/>
          <w:lang w:eastAsia="de-DE"/>
        </w:rPr>
        <w:t xml:space="preserve">als indirektes Objekt, </w:t>
      </w:r>
      <w:r w:rsidRPr="00C5644E">
        <w:rPr>
          <w:rFonts w:eastAsia="Times New Roman"/>
          <w:b/>
          <w:bCs/>
          <w:rtl/>
          <w:lang w:eastAsia="de-DE"/>
        </w:rPr>
        <w:t>וַעֲבַדְתָּם</w:t>
      </w:r>
      <w:r w:rsidRPr="00C5644E">
        <w:rPr>
          <w:rFonts w:eastAsia="Times New Roman"/>
          <w:rtl/>
          <w:lang w:eastAsia="de-DE"/>
        </w:rPr>
        <w:t xml:space="preserve"> </w:t>
      </w:r>
      <w:r w:rsidRPr="00C5644E">
        <w:rPr>
          <w:rFonts w:eastAsia="Times New Roman"/>
          <w:lang w:eastAsia="de-DE"/>
        </w:rPr>
        <w:t xml:space="preserve">(Qal Perfekt consecutivum, 2. Person Singular maskulin von </w:t>
      </w:r>
      <w:r w:rsidRPr="00C5644E">
        <w:rPr>
          <w:rFonts w:eastAsia="Times New Roman"/>
          <w:b/>
          <w:bCs/>
          <w:rtl/>
          <w:lang w:eastAsia="de-DE"/>
        </w:rPr>
        <w:t>עבד</w:t>
      </w:r>
      <w:r w:rsidRPr="00C5644E">
        <w:rPr>
          <w:rFonts w:eastAsia="Times New Roman"/>
          <w:lang w:eastAsia="de-DE"/>
        </w:rPr>
        <w:t>, „dienen", mit Suffix 3. Person Plural maskulin als direktes Objekt). Die drei Verben beschreiben eine Steigerung: Verführung → Anbetung → Dienst.</w:t>
      </w:r>
    </w:p>
    <w:p w14:paraId="23065FEF" w14:textId="2623B930"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rtl/>
          <w:lang w:eastAsia="de-DE"/>
        </w:rPr>
        <w:t>אֲשֶׁר חָלַק יְהוָה אֱלֹהֶיךָ אֹתָם לְכֹל הָעַמִּים תַּחַת כָּל־הַשָּׁמָיִם</w:t>
      </w:r>
      <w:r w:rsidRPr="00C5644E">
        <w:rPr>
          <w:rFonts w:eastAsia="Times New Roman"/>
          <w:rtl/>
          <w:lang w:eastAsia="de-DE"/>
        </w:rPr>
        <w:t xml:space="preserve"> </w:t>
      </w:r>
      <w:r w:rsidRPr="00C5644E">
        <w:rPr>
          <w:rFonts w:eastAsia="Times New Roman"/>
          <w:lang w:eastAsia="de-DE"/>
        </w:rPr>
        <w:t xml:space="preserve">ist ein komplexer Relativsatz: </w:t>
      </w:r>
      <w:r w:rsidRPr="00C5644E">
        <w:rPr>
          <w:rFonts w:eastAsia="Times New Roman"/>
          <w:b/>
          <w:bCs/>
          <w:rtl/>
          <w:lang w:eastAsia="de-DE"/>
        </w:rPr>
        <w:t>אֲשֶׁר</w:t>
      </w:r>
      <w:r w:rsidRPr="00C5644E">
        <w:rPr>
          <w:rFonts w:eastAsia="Times New Roman"/>
          <w:rtl/>
          <w:lang w:eastAsia="de-DE"/>
        </w:rPr>
        <w:t xml:space="preserve"> </w:t>
      </w:r>
      <w:r w:rsidRPr="00C5644E">
        <w:rPr>
          <w:rFonts w:eastAsia="Times New Roman"/>
          <w:lang w:eastAsia="de-DE"/>
        </w:rPr>
        <w:t xml:space="preserve">als Relativpronomen, </w:t>
      </w:r>
      <w:r w:rsidRPr="00C5644E">
        <w:rPr>
          <w:rFonts w:eastAsia="Times New Roman"/>
          <w:b/>
          <w:bCs/>
          <w:rtl/>
          <w:lang w:eastAsia="de-DE"/>
        </w:rPr>
        <w:t>חָלַק</w:t>
      </w:r>
      <w:r w:rsidRPr="00C5644E">
        <w:rPr>
          <w:rFonts w:eastAsia="Times New Roman"/>
          <w:rtl/>
          <w:lang w:eastAsia="de-DE"/>
        </w:rPr>
        <w:t xml:space="preserve"> </w:t>
      </w:r>
      <w:r w:rsidRPr="00C5644E">
        <w:rPr>
          <w:rFonts w:eastAsia="Times New Roman"/>
          <w:lang w:eastAsia="de-DE"/>
        </w:rPr>
        <w:t xml:space="preserve">als Qal Perfekt, 3. Person Singular maskulin von </w:t>
      </w:r>
      <w:r w:rsidRPr="00C5644E">
        <w:rPr>
          <w:rFonts w:eastAsia="Times New Roman"/>
          <w:b/>
          <w:bCs/>
          <w:rtl/>
          <w:lang w:eastAsia="de-DE"/>
        </w:rPr>
        <w:t>חלק</w:t>
      </w:r>
      <w:r w:rsidRPr="00C5644E">
        <w:rPr>
          <w:rFonts w:eastAsia="Times New Roman"/>
          <w:rtl/>
          <w:lang w:eastAsia="de-DE"/>
        </w:rPr>
        <w:t xml:space="preserve"> </w:t>
      </w:r>
      <w:r w:rsidRPr="00C5644E">
        <w:rPr>
          <w:rFonts w:eastAsia="Times New Roman"/>
          <w:lang w:eastAsia="de-DE"/>
        </w:rPr>
        <w:t xml:space="preserve">(„zuteilen, verteilen"), </w:t>
      </w:r>
      <w:r w:rsidRPr="00C5644E">
        <w:rPr>
          <w:rFonts w:eastAsia="Times New Roman"/>
          <w:b/>
          <w:bCs/>
          <w:rtl/>
          <w:lang w:eastAsia="de-DE"/>
        </w:rPr>
        <w:t>יְהוָה אֱלֹהֶיךָ</w:t>
      </w:r>
      <w:r w:rsidRPr="00C5644E">
        <w:rPr>
          <w:rFonts w:eastAsia="Times New Roman"/>
          <w:rtl/>
          <w:lang w:eastAsia="de-DE"/>
        </w:rPr>
        <w:t xml:space="preserve"> </w:t>
      </w:r>
      <w:r w:rsidRPr="00C5644E">
        <w:rPr>
          <w:rFonts w:eastAsia="Times New Roman"/>
          <w:lang w:eastAsia="de-DE"/>
        </w:rPr>
        <w:t xml:space="preserve">als erweitertes Subjekt, </w:t>
      </w:r>
      <w:r w:rsidRPr="00C5644E">
        <w:rPr>
          <w:rFonts w:eastAsia="Times New Roman"/>
          <w:b/>
          <w:bCs/>
          <w:rtl/>
          <w:lang w:eastAsia="de-DE"/>
        </w:rPr>
        <w:t>אֹתָם</w:t>
      </w:r>
      <w:r w:rsidRPr="00C5644E">
        <w:rPr>
          <w:rFonts w:eastAsia="Times New Roman"/>
          <w:rtl/>
          <w:lang w:eastAsia="de-DE"/>
        </w:rPr>
        <w:t xml:space="preserve"> </w:t>
      </w:r>
      <w:r w:rsidRPr="00C5644E">
        <w:rPr>
          <w:rFonts w:eastAsia="Times New Roman"/>
          <w:lang w:eastAsia="de-DE"/>
        </w:rPr>
        <w:t xml:space="preserve">als direktes Objekt, </w:t>
      </w:r>
      <w:r w:rsidRPr="00C5644E">
        <w:rPr>
          <w:rFonts w:eastAsia="Times New Roman"/>
          <w:b/>
          <w:bCs/>
          <w:rtl/>
          <w:lang w:eastAsia="de-DE"/>
        </w:rPr>
        <w:t>לְכֹל הָעַמִּים</w:t>
      </w:r>
      <w:r w:rsidRPr="00C5644E">
        <w:rPr>
          <w:rFonts w:eastAsia="Times New Roman"/>
          <w:rtl/>
          <w:lang w:eastAsia="de-DE"/>
        </w:rPr>
        <w:t xml:space="preserve"> </w:t>
      </w:r>
      <w:r w:rsidRPr="00C5644E">
        <w:rPr>
          <w:rFonts w:eastAsia="Times New Roman"/>
          <w:lang w:eastAsia="de-DE"/>
        </w:rPr>
        <w:t>als indirektes Objekt (</w:t>
      </w:r>
      <w:r w:rsidRPr="00C5644E">
        <w:rPr>
          <w:rFonts w:eastAsia="Times New Roman"/>
          <w:b/>
          <w:bCs/>
          <w:rtl/>
          <w:lang w:eastAsia="de-DE"/>
        </w:rPr>
        <w:t>לְ</w:t>
      </w:r>
      <w:r w:rsidRPr="00C5644E">
        <w:rPr>
          <w:rFonts w:eastAsia="Times New Roman"/>
          <w:rtl/>
          <w:lang w:eastAsia="de-DE"/>
        </w:rPr>
        <w:t xml:space="preserve"> </w:t>
      </w:r>
      <w:r w:rsidRPr="00C5644E">
        <w:rPr>
          <w:rFonts w:eastAsia="Times New Roman"/>
          <w:lang w:eastAsia="de-DE"/>
        </w:rPr>
        <w:t xml:space="preserve">mit </w:t>
      </w:r>
      <w:r w:rsidRPr="00C5644E">
        <w:rPr>
          <w:rFonts w:eastAsia="Times New Roman"/>
          <w:b/>
          <w:bCs/>
          <w:rtl/>
          <w:lang w:eastAsia="de-DE"/>
        </w:rPr>
        <w:t>כֹּל</w:t>
      </w:r>
      <w:r w:rsidRPr="00C5644E">
        <w:rPr>
          <w:rFonts w:eastAsia="Times New Roman"/>
          <w:rtl/>
          <w:lang w:eastAsia="de-DE"/>
        </w:rPr>
        <w:t xml:space="preserve"> </w:t>
      </w:r>
      <w:r w:rsidRPr="00C5644E">
        <w:rPr>
          <w:rFonts w:eastAsia="Times New Roman"/>
          <w:lang w:eastAsia="de-DE"/>
        </w:rPr>
        <w:t xml:space="preserve">im Construct und </w:t>
      </w:r>
      <w:r w:rsidRPr="00C5644E">
        <w:rPr>
          <w:rFonts w:eastAsia="Times New Roman"/>
          <w:b/>
          <w:bCs/>
          <w:rtl/>
          <w:lang w:eastAsia="de-DE"/>
        </w:rPr>
        <w:t>הָעַמִּים</w:t>
      </w:r>
      <w:r w:rsidRPr="00C5644E">
        <w:rPr>
          <w:rFonts w:eastAsia="Times New Roman"/>
          <w:lang w:eastAsia="de-DE"/>
        </w:rPr>
        <w:t xml:space="preserve">, „die </w:t>
      </w:r>
      <w:r w:rsidR="00780485">
        <w:rPr>
          <w:rFonts w:eastAsia="Times New Roman"/>
          <w:lang w:eastAsia="de-DE"/>
        </w:rPr>
        <w:t xml:space="preserve">alle </w:t>
      </w:r>
      <w:r w:rsidRPr="00C5644E">
        <w:rPr>
          <w:rFonts w:eastAsia="Times New Roman"/>
          <w:lang w:eastAsia="de-DE"/>
        </w:rPr>
        <w:t xml:space="preserve">Völker"), </w:t>
      </w:r>
      <w:r w:rsidRPr="00C5644E">
        <w:rPr>
          <w:rFonts w:eastAsia="Times New Roman"/>
          <w:b/>
          <w:bCs/>
          <w:rtl/>
          <w:lang w:eastAsia="de-DE"/>
        </w:rPr>
        <w:t>תַּחַת כָּל־הַשָּׁמָיִם</w:t>
      </w:r>
      <w:r w:rsidRPr="00C5644E">
        <w:rPr>
          <w:rFonts w:eastAsia="Times New Roman"/>
          <w:rtl/>
          <w:lang w:eastAsia="de-DE"/>
        </w:rPr>
        <w:t xml:space="preserve"> </w:t>
      </w:r>
      <w:r w:rsidRPr="00C5644E">
        <w:rPr>
          <w:rFonts w:eastAsia="Times New Roman"/>
          <w:lang w:eastAsia="de-DE"/>
        </w:rPr>
        <w:t>als umfassende Ortsangabe (</w:t>
      </w:r>
      <w:r w:rsidRPr="00C5644E">
        <w:rPr>
          <w:rFonts w:eastAsia="Times New Roman"/>
          <w:b/>
          <w:bCs/>
          <w:rtl/>
          <w:lang w:eastAsia="de-DE"/>
        </w:rPr>
        <w:t>תַּחַת</w:t>
      </w:r>
      <w:r w:rsidRPr="00C5644E">
        <w:rPr>
          <w:rFonts w:eastAsia="Times New Roman"/>
          <w:lang w:eastAsia="de-DE"/>
        </w:rPr>
        <w:t xml:space="preserve">, „unter", mit </w:t>
      </w:r>
      <w:r w:rsidRPr="00C5644E">
        <w:rPr>
          <w:rFonts w:eastAsia="Times New Roman"/>
          <w:b/>
          <w:bCs/>
          <w:rtl/>
          <w:lang w:eastAsia="de-DE"/>
        </w:rPr>
        <w:t>כָּל־הַשָּׁמָיִם</w:t>
      </w:r>
      <w:r w:rsidRPr="00C5644E">
        <w:rPr>
          <w:rFonts w:eastAsia="Times New Roman"/>
          <w:lang w:eastAsia="de-DE"/>
        </w:rPr>
        <w:t>).</w:t>
      </w:r>
    </w:p>
    <w:p w14:paraId="3596065A" w14:textId="4CE0DBFA" w:rsidR="0030589B" w:rsidRDefault="0030589B" w:rsidP="00C5644E">
      <w:pPr>
        <w:spacing w:before="100" w:beforeAutospacing="1" w:after="100" w:afterAutospacing="1" w:line="240" w:lineRule="auto"/>
      </w:pPr>
      <w:r>
        <w:t xml:space="preserve">Der Relativsatz ist theologisch bemerkenswert. Er besagt, dass </w:t>
      </w:r>
      <w:r w:rsidR="00B77E5E">
        <w:rPr>
          <w:rFonts w:eastAsia="Times New Roman"/>
          <w:lang w:eastAsia="de-DE"/>
        </w:rPr>
        <w:t>JHWH</w:t>
      </w:r>
      <w:r>
        <w:t xml:space="preserve"> die Himmelskörper </w:t>
      </w:r>
      <w:r>
        <w:rPr>
          <w:rStyle w:val="Hervorhebung"/>
        </w:rPr>
        <w:t>allen Völkern</w:t>
      </w:r>
      <w:r>
        <w:t xml:space="preserve"> „zugeteilt“ hat – der Text bleibt jedoch bewusst offen, was diese Zuteilung genau bedeutet. Es kann sowohl als allgemeine „Nutzung“ (Lichter, Zeitmesser) verstanden werden als auch in polemischer Spannung zur Sternenverehrung der Nationen stehen.</w:t>
      </w:r>
      <w:r>
        <w:br/>
        <w:t xml:space="preserve">Israel jedoch darf ihnen nicht dienen, weil Israel </w:t>
      </w:r>
      <w:r w:rsidR="00ED2181">
        <w:rPr>
          <w:rFonts w:eastAsia="Times New Roman"/>
          <w:lang w:eastAsia="de-DE"/>
        </w:rPr>
        <w:t>JHWH</w:t>
      </w:r>
      <w:r>
        <w:t xml:space="preserve"> selbst zugehört.</w:t>
      </w:r>
      <w:r>
        <w:br/>
        <w:t>Die Aussage ist im Alten Testament einzigartig und verweist auf eine komplexe Theologie der Völkersouveränität Gottes.</w:t>
      </w:r>
    </w:p>
    <w:p w14:paraId="474E05CC" w14:textId="214029F3"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lang w:eastAsia="de-DE"/>
        </w:rPr>
        <w:t>Die Satzstruktur besteht aus einer Warnungskonstruktion mit Verb, direktem Objekt und Richtungsadverb, einem konsekutiven Verb mit dreigliedriger Objektkette und appositiver Zusammenfassung, einer dreigliedrigen koordinierten Verbkette mit steigernder Bedeutung und einem komplexen Relativsatz mit Prädikat, erweitertem Subjekt, direktem und indirektem Objekt sowie umfassender Ortsangabe. Die Struktur zeigt die logische Kette: Aufblicken → Sehen → Verführung → Anbetung → Dienst, mit theologischer Begründung am Ende.</w:t>
      </w:r>
    </w:p>
    <w:p w14:paraId="17413190" w14:textId="376E493B"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lang w:eastAsia="de-DE"/>
        </w:rPr>
        <w:t xml:space="preserve">Der Vers warnt vor der Verehrung der Gestirne und gibt eine bemerkenswerte theologische Begründung: </w:t>
      </w:r>
      <w:r w:rsidR="00B77E5E">
        <w:rPr>
          <w:rFonts w:eastAsia="Times New Roman"/>
          <w:lang w:eastAsia="de-DE"/>
        </w:rPr>
        <w:t>JHWH</w:t>
      </w:r>
      <w:r w:rsidRPr="00C5644E">
        <w:rPr>
          <w:rFonts w:eastAsia="Times New Roman"/>
          <w:lang w:eastAsia="de-DE"/>
        </w:rPr>
        <w:t xml:space="preserve"> hat die Gestirne </w:t>
      </w:r>
      <w:r w:rsidR="00780485">
        <w:rPr>
          <w:rFonts w:eastAsia="Times New Roman"/>
          <w:lang w:eastAsia="de-DE"/>
        </w:rPr>
        <w:t>allen</w:t>
      </w:r>
      <w:r w:rsidRPr="00C5644E">
        <w:rPr>
          <w:rFonts w:eastAsia="Times New Roman"/>
          <w:lang w:eastAsia="de-DE"/>
        </w:rPr>
        <w:t xml:space="preserve"> Völkern zugeteilt, aber Israel hat </w:t>
      </w:r>
      <w:r w:rsidR="00113C10">
        <w:rPr>
          <w:rFonts w:eastAsia="Times New Roman"/>
          <w:lang w:eastAsia="de-DE"/>
        </w:rPr>
        <w:t>JHWH</w:t>
      </w:r>
      <w:r w:rsidRPr="00C5644E">
        <w:rPr>
          <w:rFonts w:eastAsia="Times New Roman"/>
          <w:lang w:eastAsia="de-DE"/>
        </w:rPr>
        <w:t xml:space="preserve"> selbst.</w:t>
      </w:r>
    </w:p>
    <w:p w14:paraId="3B171B9B" w14:textId="77777777" w:rsidR="00C5644E" w:rsidRPr="00C5644E" w:rsidRDefault="00C5644E" w:rsidP="00C5644E">
      <w:pPr>
        <w:spacing w:before="100" w:beforeAutospacing="1" w:after="100" w:afterAutospacing="1" w:line="240" w:lineRule="auto"/>
        <w:outlineLvl w:val="1"/>
        <w:rPr>
          <w:rFonts w:eastAsia="Times New Roman"/>
          <w:b/>
          <w:bCs/>
          <w:sz w:val="36"/>
          <w:szCs w:val="36"/>
          <w:lang w:eastAsia="de-DE"/>
        </w:rPr>
      </w:pPr>
      <w:r w:rsidRPr="00C5644E">
        <w:rPr>
          <w:rFonts w:eastAsia="Times New Roman"/>
          <w:b/>
          <w:bCs/>
          <w:sz w:val="36"/>
          <w:szCs w:val="36"/>
          <w:lang w:eastAsia="de-DE"/>
        </w:rPr>
        <w:t>Deuteronomium 4,20</w:t>
      </w:r>
    </w:p>
    <w:p w14:paraId="008AEF4A"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lang w:eastAsia="de-DE"/>
        </w:rPr>
        <w:t>Hebräisch:</w:t>
      </w:r>
      <w:r w:rsidRPr="00C5644E">
        <w:rPr>
          <w:rFonts w:eastAsia="Times New Roman"/>
          <w:lang w:eastAsia="de-DE"/>
        </w:rPr>
        <w:t xml:space="preserve"> </w:t>
      </w:r>
      <w:r w:rsidRPr="00C5644E">
        <w:rPr>
          <w:rFonts w:eastAsia="Times New Roman"/>
          <w:rtl/>
          <w:lang w:eastAsia="de-DE"/>
        </w:rPr>
        <w:t>וְאֶתְכֶם֙ לָקַ֣ח יְהוָ֔ה וַיּוֹצִ֥א אֶתְכֶ֛ם מִכּ֥וּר הַבַּרְזֶ֖ל מִמִּצְרָ֑יִם לִהְי֥וֹת לוֹ֛ לְעַ֥ם נַחֲלָ֖ה כַּיּ֥וֹם הַזֶּֽה׃</w:t>
      </w:r>
    </w:p>
    <w:p w14:paraId="6D0AA586"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lang w:eastAsia="de-DE"/>
        </w:rPr>
        <w:t>Deutsch:</w:t>
      </w:r>
      <w:r w:rsidRPr="00C5644E">
        <w:rPr>
          <w:rFonts w:eastAsia="Times New Roman"/>
          <w:lang w:eastAsia="de-DE"/>
        </w:rPr>
        <w:t xml:space="preserve"> Euch aber hat der Ewige genommen und euch herausgeführt aus dem eisernen Schmelzofen, aus Mizrajim, damit ihr ihm seid zum Volk des Erbteils, wie an diesem Tag.</w:t>
      </w:r>
    </w:p>
    <w:p w14:paraId="4C7CF5FF" w14:textId="77777777" w:rsidR="00C5644E" w:rsidRPr="00C5644E" w:rsidRDefault="004F5CEB" w:rsidP="00C5644E">
      <w:pPr>
        <w:spacing w:after="0" w:line="240" w:lineRule="auto"/>
        <w:rPr>
          <w:rFonts w:eastAsia="Times New Roman"/>
          <w:lang w:eastAsia="de-DE"/>
        </w:rPr>
      </w:pPr>
      <w:r>
        <w:rPr>
          <w:rFonts w:eastAsia="Times New Roman"/>
          <w:noProof/>
          <w:lang w:eastAsia="de-DE"/>
        </w:rPr>
        <w:lastRenderedPageBreak/>
        <w:pict w14:anchorId="05E32027">
          <v:rect id="_x0000_i1156" style="width:0;height:1.5pt" o:hralign="center" o:hrstd="t" o:hr="t" fillcolor="#a0a0a0" stroked="f"/>
        </w:pict>
      </w:r>
    </w:p>
    <w:p w14:paraId="70F627CD"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lang w:eastAsia="de-DE"/>
        </w:rPr>
        <w:t>Kommentar:</w:t>
      </w:r>
      <w:r w:rsidRPr="00C5644E">
        <w:rPr>
          <w:rFonts w:eastAsia="Times New Roman"/>
          <w:lang w:eastAsia="de-DE"/>
        </w:rPr>
        <w:t xml:space="preserve"> </w:t>
      </w:r>
      <w:r w:rsidRPr="00C5644E">
        <w:rPr>
          <w:rFonts w:eastAsia="Times New Roman"/>
          <w:b/>
          <w:bCs/>
          <w:rtl/>
          <w:lang w:eastAsia="de-DE"/>
        </w:rPr>
        <w:t>וְאֶתְכֶם</w:t>
      </w:r>
      <w:r w:rsidRPr="00C5644E">
        <w:rPr>
          <w:rFonts w:eastAsia="Times New Roman"/>
          <w:rtl/>
          <w:lang w:eastAsia="de-DE"/>
        </w:rPr>
        <w:t xml:space="preserve"> </w:t>
      </w:r>
      <w:r w:rsidRPr="00C5644E">
        <w:rPr>
          <w:rFonts w:eastAsia="Times New Roman"/>
          <w:lang w:eastAsia="de-DE"/>
        </w:rPr>
        <w:t xml:space="preserve">ist </w:t>
      </w:r>
      <w:r w:rsidRPr="00C5644E">
        <w:rPr>
          <w:rFonts w:eastAsia="Times New Roman"/>
          <w:b/>
          <w:bCs/>
          <w:rtl/>
          <w:lang w:eastAsia="de-DE"/>
        </w:rPr>
        <w:t>וְ</w:t>
      </w:r>
      <w:r w:rsidRPr="00C5644E">
        <w:rPr>
          <w:rFonts w:eastAsia="Times New Roman"/>
          <w:rtl/>
          <w:lang w:eastAsia="de-DE"/>
        </w:rPr>
        <w:t xml:space="preserve"> </w:t>
      </w:r>
      <w:r w:rsidRPr="00C5644E">
        <w:rPr>
          <w:rFonts w:eastAsia="Times New Roman"/>
          <w:lang w:eastAsia="de-DE"/>
        </w:rPr>
        <w:t xml:space="preserve">(adversativ „aber") mit nota accusativi und Suffix 2. Person Plural maskulin („euch"), vorausgestellt zur Betonung des Kontrastes zu den anderen Völkern in V. 19. </w:t>
      </w:r>
      <w:r w:rsidRPr="00C5644E">
        <w:rPr>
          <w:rFonts w:eastAsia="Times New Roman"/>
          <w:b/>
          <w:bCs/>
          <w:rtl/>
          <w:lang w:eastAsia="de-DE"/>
        </w:rPr>
        <w:t>לָקַח יְהוָה</w:t>
      </w:r>
      <w:r w:rsidRPr="00C5644E">
        <w:rPr>
          <w:rFonts w:eastAsia="Times New Roman"/>
          <w:rtl/>
          <w:lang w:eastAsia="de-DE"/>
        </w:rPr>
        <w:t xml:space="preserve"> </w:t>
      </w:r>
      <w:r w:rsidRPr="00C5644E">
        <w:rPr>
          <w:rFonts w:eastAsia="Times New Roman"/>
          <w:lang w:eastAsia="de-DE"/>
        </w:rPr>
        <w:t xml:space="preserve">ist Qal Perfekt, 3. Person Singular maskulin von </w:t>
      </w:r>
      <w:r w:rsidRPr="00C5644E">
        <w:rPr>
          <w:rFonts w:eastAsia="Times New Roman"/>
          <w:b/>
          <w:bCs/>
          <w:rtl/>
          <w:lang w:eastAsia="de-DE"/>
        </w:rPr>
        <w:t>לקח</w:t>
      </w:r>
      <w:r w:rsidRPr="00C5644E">
        <w:rPr>
          <w:rFonts w:eastAsia="Times New Roman"/>
          <w:rtl/>
          <w:lang w:eastAsia="de-DE"/>
        </w:rPr>
        <w:t xml:space="preserve"> </w:t>
      </w:r>
      <w:r w:rsidRPr="00C5644E">
        <w:rPr>
          <w:rFonts w:eastAsia="Times New Roman"/>
          <w:lang w:eastAsia="de-DE"/>
        </w:rPr>
        <w:t xml:space="preserve">(„nehmen") mit </w:t>
      </w:r>
      <w:r w:rsidRPr="00C5644E">
        <w:rPr>
          <w:rFonts w:eastAsia="Times New Roman"/>
          <w:b/>
          <w:bCs/>
          <w:rtl/>
          <w:lang w:eastAsia="de-DE"/>
        </w:rPr>
        <w:t>יְהוָה</w:t>
      </w:r>
      <w:r w:rsidRPr="00C5644E">
        <w:rPr>
          <w:rFonts w:eastAsia="Times New Roman"/>
          <w:rtl/>
          <w:lang w:eastAsia="de-DE"/>
        </w:rPr>
        <w:t xml:space="preserve"> </w:t>
      </w:r>
      <w:r w:rsidRPr="00C5644E">
        <w:rPr>
          <w:rFonts w:eastAsia="Times New Roman"/>
          <w:lang w:eastAsia="de-DE"/>
        </w:rPr>
        <w:t xml:space="preserve">als Subjekt. </w:t>
      </w:r>
      <w:r w:rsidRPr="00C5644E">
        <w:rPr>
          <w:rFonts w:eastAsia="Times New Roman"/>
          <w:b/>
          <w:bCs/>
          <w:rtl/>
          <w:lang w:eastAsia="de-DE"/>
        </w:rPr>
        <w:t>וַיּוֹצִא אֶתְכֶם</w:t>
      </w:r>
      <w:r w:rsidRPr="00C5644E">
        <w:rPr>
          <w:rFonts w:eastAsia="Times New Roman"/>
          <w:rtl/>
          <w:lang w:eastAsia="de-DE"/>
        </w:rPr>
        <w:t xml:space="preserve"> </w:t>
      </w:r>
      <w:r w:rsidRPr="00C5644E">
        <w:rPr>
          <w:rFonts w:eastAsia="Times New Roman"/>
          <w:lang w:eastAsia="de-DE"/>
        </w:rPr>
        <w:t xml:space="preserve">ist Hifil Imperfekt consecutivum, 3. Person Singular maskulin von </w:t>
      </w:r>
      <w:r w:rsidRPr="00C5644E">
        <w:rPr>
          <w:rFonts w:eastAsia="Times New Roman"/>
          <w:b/>
          <w:bCs/>
          <w:rtl/>
          <w:lang w:eastAsia="de-DE"/>
        </w:rPr>
        <w:t>יצא</w:t>
      </w:r>
      <w:r w:rsidRPr="00C5644E">
        <w:rPr>
          <w:rFonts w:eastAsia="Times New Roman"/>
          <w:rtl/>
          <w:lang w:eastAsia="de-DE"/>
        </w:rPr>
        <w:t xml:space="preserve"> </w:t>
      </w:r>
      <w:r w:rsidRPr="00C5644E">
        <w:rPr>
          <w:rFonts w:eastAsia="Times New Roman"/>
          <w:lang w:eastAsia="de-DE"/>
        </w:rPr>
        <w:t xml:space="preserve">(„herausführen") mit Waw und </w:t>
      </w:r>
      <w:r w:rsidRPr="00C5644E">
        <w:rPr>
          <w:rFonts w:eastAsia="Times New Roman"/>
          <w:b/>
          <w:bCs/>
          <w:rtl/>
          <w:lang w:eastAsia="de-DE"/>
        </w:rPr>
        <w:t>אֶתְכֶם</w:t>
      </w:r>
      <w:r w:rsidRPr="00C5644E">
        <w:rPr>
          <w:rFonts w:eastAsia="Times New Roman"/>
          <w:rtl/>
          <w:lang w:eastAsia="de-DE"/>
        </w:rPr>
        <w:t xml:space="preserve"> </w:t>
      </w:r>
      <w:r w:rsidRPr="00C5644E">
        <w:rPr>
          <w:rFonts w:eastAsia="Times New Roman"/>
          <w:lang w:eastAsia="de-DE"/>
        </w:rPr>
        <w:t>als direktes Objekt.</w:t>
      </w:r>
    </w:p>
    <w:p w14:paraId="2E61E074"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rtl/>
          <w:lang w:eastAsia="de-DE"/>
        </w:rPr>
        <w:t>מִכּוּר הַבַּרְזֶל מִמִּצְרָיִם</w:t>
      </w:r>
      <w:r w:rsidRPr="00C5644E">
        <w:rPr>
          <w:rFonts w:eastAsia="Times New Roman"/>
          <w:rtl/>
          <w:lang w:eastAsia="de-DE"/>
        </w:rPr>
        <w:t xml:space="preserve"> </w:t>
      </w:r>
      <w:r w:rsidRPr="00C5644E">
        <w:rPr>
          <w:rFonts w:eastAsia="Times New Roman"/>
          <w:lang w:eastAsia="de-DE"/>
        </w:rPr>
        <w:t xml:space="preserve">ist eine doppelte Herkunftsangabe: </w:t>
      </w:r>
      <w:r w:rsidRPr="00C5644E">
        <w:rPr>
          <w:rFonts w:eastAsia="Times New Roman"/>
          <w:b/>
          <w:bCs/>
          <w:rtl/>
          <w:lang w:eastAsia="de-DE"/>
        </w:rPr>
        <w:t>מִכּוּר הַבַּרְזֶל</w:t>
      </w:r>
      <w:r w:rsidRPr="00C5644E">
        <w:rPr>
          <w:rFonts w:eastAsia="Times New Roman"/>
          <w:rtl/>
          <w:lang w:eastAsia="de-DE"/>
        </w:rPr>
        <w:t xml:space="preserve"> </w:t>
      </w:r>
      <w:r w:rsidRPr="00C5644E">
        <w:rPr>
          <w:rFonts w:eastAsia="Times New Roman"/>
          <w:lang w:eastAsia="de-DE"/>
        </w:rPr>
        <w:t>(</w:t>
      </w:r>
      <w:r w:rsidRPr="00C5644E">
        <w:rPr>
          <w:rFonts w:eastAsia="Times New Roman"/>
          <w:b/>
          <w:bCs/>
          <w:rtl/>
          <w:lang w:eastAsia="de-DE"/>
        </w:rPr>
        <w:t>מִן</w:t>
      </w:r>
      <w:r w:rsidRPr="00C5644E">
        <w:rPr>
          <w:rFonts w:eastAsia="Times New Roman"/>
          <w:rtl/>
          <w:lang w:eastAsia="de-DE"/>
        </w:rPr>
        <w:t xml:space="preserve"> </w:t>
      </w:r>
      <w:r w:rsidRPr="00C5644E">
        <w:rPr>
          <w:rFonts w:eastAsia="Times New Roman"/>
          <w:lang w:eastAsia="de-DE"/>
        </w:rPr>
        <w:t xml:space="preserve">mit </w:t>
      </w:r>
      <w:r w:rsidRPr="00C5644E">
        <w:rPr>
          <w:rFonts w:eastAsia="Times New Roman"/>
          <w:b/>
          <w:bCs/>
          <w:rtl/>
          <w:lang w:eastAsia="de-DE"/>
        </w:rPr>
        <w:t>כּוּר</w:t>
      </w:r>
      <w:r w:rsidRPr="00C5644E">
        <w:rPr>
          <w:rFonts w:eastAsia="Times New Roman"/>
          <w:lang w:eastAsia="de-DE"/>
        </w:rPr>
        <w:t xml:space="preserve">, „Schmelzofen", im Construct mit </w:t>
      </w:r>
      <w:r w:rsidRPr="00C5644E">
        <w:rPr>
          <w:rFonts w:eastAsia="Times New Roman"/>
          <w:b/>
          <w:bCs/>
          <w:rtl/>
          <w:lang w:eastAsia="de-DE"/>
        </w:rPr>
        <w:t>הַבַּרְזֶל</w:t>
      </w:r>
      <w:r w:rsidRPr="00C5644E">
        <w:rPr>
          <w:rFonts w:eastAsia="Times New Roman"/>
          <w:lang w:eastAsia="de-DE"/>
        </w:rPr>
        <w:t xml:space="preserve">, „das Eisen") – „aus dem Schmelzofen des Eisens", eine metaphorische Bezeichnung für die harte Knechtschaft in Ägypten. </w:t>
      </w:r>
      <w:r w:rsidRPr="00C5644E">
        <w:rPr>
          <w:rFonts w:eastAsia="Times New Roman"/>
          <w:b/>
          <w:bCs/>
          <w:rtl/>
          <w:lang w:eastAsia="de-DE"/>
        </w:rPr>
        <w:t>מִמִּצְרָיִם</w:t>
      </w:r>
      <w:r w:rsidRPr="00C5644E">
        <w:rPr>
          <w:rFonts w:eastAsia="Times New Roman"/>
          <w:rtl/>
          <w:lang w:eastAsia="de-DE"/>
        </w:rPr>
        <w:t xml:space="preserve"> </w:t>
      </w:r>
      <w:r w:rsidRPr="00C5644E">
        <w:rPr>
          <w:rFonts w:eastAsia="Times New Roman"/>
          <w:lang w:eastAsia="de-DE"/>
        </w:rPr>
        <w:t xml:space="preserve">ist </w:t>
      </w:r>
      <w:r w:rsidRPr="00C5644E">
        <w:rPr>
          <w:rFonts w:eastAsia="Times New Roman"/>
          <w:b/>
          <w:bCs/>
          <w:rtl/>
          <w:lang w:eastAsia="de-DE"/>
        </w:rPr>
        <w:t>מִן</w:t>
      </w:r>
      <w:r w:rsidRPr="00C5644E">
        <w:rPr>
          <w:rFonts w:eastAsia="Times New Roman"/>
          <w:rtl/>
          <w:lang w:eastAsia="de-DE"/>
        </w:rPr>
        <w:t xml:space="preserve"> </w:t>
      </w:r>
      <w:r w:rsidRPr="00C5644E">
        <w:rPr>
          <w:rFonts w:eastAsia="Times New Roman"/>
          <w:lang w:eastAsia="de-DE"/>
        </w:rPr>
        <w:t xml:space="preserve">mit </w:t>
      </w:r>
      <w:r w:rsidRPr="00C5644E">
        <w:rPr>
          <w:rFonts w:eastAsia="Times New Roman"/>
          <w:b/>
          <w:bCs/>
          <w:rtl/>
          <w:lang w:eastAsia="de-DE"/>
        </w:rPr>
        <w:t>מִצְרַיִם</w:t>
      </w:r>
      <w:r w:rsidRPr="00C5644E">
        <w:rPr>
          <w:rFonts w:eastAsia="Times New Roman"/>
          <w:rtl/>
          <w:lang w:eastAsia="de-DE"/>
        </w:rPr>
        <w:t xml:space="preserve"> </w:t>
      </w:r>
      <w:r w:rsidRPr="00C5644E">
        <w:rPr>
          <w:rFonts w:eastAsia="Times New Roman"/>
          <w:lang w:eastAsia="de-DE"/>
        </w:rPr>
        <w:t xml:space="preserve">(„Ägypten") als geographische Präzisierung. Die Metapher des </w:t>
      </w:r>
      <w:r w:rsidRPr="00C5644E">
        <w:rPr>
          <w:rFonts w:eastAsia="Times New Roman"/>
          <w:b/>
          <w:bCs/>
          <w:rtl/>
          <w:lang w:eastAsia="de-DE"/>
        </w:rPr>
        <w:t>כּוּר הַבַּרְזֶל</w:t>
      </w:r>
      <w:r w:rsidRPr="00C5644E">
        <w:rPr>
          <w:rFonts w:eastAsia="Times New Roman"/>
          <w:rtl/>
          <w:lang w:eastAsia="de-DE"/>
        </w:rPr>
        <w:t xml:space="preserve"> </w:t>
      </w:r>
      <w:r w:rsidRPr="00C5644E">
        <w:rPr>
          <w:rFonts w:eastAsia="Times New Roman"/>
          <w:lang w:eastAsia="de-DE"/>
        </w:rPr>
        <w:t>findet sich auch in Jeremia 11,4 und 1. Könige 8,51 und betont die Härte und Hitze der ägyptischen Unterdrückung.</w:t>
      </w:r>
    </w:p>
    <w:p w14:paraId="7BEC9B14"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b/>
          <w:bCs/>
          <w:rtl/>
          <w:lang w:eastAsia="de-DE"/>
        </w:rPr>
        <w:t>לִהְיוֹת לוֹ לְעַם נַחֲלָה</w:t>
      </w:r>
      <w:r w:rsidRPr="00C5644E">
        <w:rPr>
          <w:rFonts w:eastAsia="Times New Roman"/>
          <w:rtl/>
          <w:lang w:eastAsia="de-DE"/>
        </w:rPr>
        <w:t xml:space="preserve"> </w:t>
      </w:r>
      <w:r w:rsidRPr="00C5644E">
        <w:rPr>
          <w:rFonts w:eastAsia="Times New Roman"/>
          <w:lang w:eastAsia="de-DE"/>
        </w:rPr>
        <w:t xml:space="preserve">ist eine finale Infinitivkonstruktion: </w:t>
      </w:r>
      <w:r w:rsidRPr="00C5644E">
        <w:rPr>
          <w:rFonts w:eastAsia="Times New Roman"/>
          <w:b/>
          <w:bCs/>
          <w:rtl/>
          <w:lang w:eastAsia="de-DE"/>
        </w:rPr>
        <w:t>לִהְיוֹת</w:t>
      </w:r>
      <w:r w:rsidRPr="00C5644E">
        <w:rPr>
          <w:rFonts w:eastAsia="Times New Roman"/>
          <w:rtl/>
          <w:lang w:eastAsia="de-DE"/>
        </w:rPr>
        <w:t xml:space="preserve"> </w:t>
      </w:r>
      <w:r w:rsidRPr="00C5644E">
        <w:rPr>
          <w:rFonts w:eastAsia="Times New Roman"/>
          <w:lang w:eastAsia="de-DE"/>
        </w:rPr>
        <w:t xml:space="preserve">(Qal Infinitiv Construct von </w:t>
      </w:r>
      <w:r w:rsidRPr="00C5644E">
        <w:rPr>
          <w:rFonts w:eastAsia="Times New Roman"/>
          <w:b/>
          <w:bCs/>
          <w:rtl/>
          <w:lang w:eastAsia="de-DE"/>
        </w:rPr>
        <w:t>היה</w:t>
      </w:r>
      <w:r w:rsidRPr="00C5644E">
        <w:rPr>
          <w:rFonts w:eastAsia="Times New Roman"/>
          <w:lang w:eastAsia="de-DE"/>
        </w:rPr>
        <w:t xml:space="preserve">, „sein", mit </w:t>
      </w:r>
      <w:r w:rsidRPr="00C5644E">
        <w:rPr>
          <w:rFonts w:eastAsia="Times New Roman"/>
          <w:b/>
          <w:bCs/>
          <w:rtl/>
          <w:lang w:eastAsia="de-DE"/>
        </w:rPr>
        <w:t>לְ</w:t>
      </w:r>
      <w:r w:rsidRPr="00C5644E">
        <w:rPr>
          <w:rFonts w:eastAsia="Times New Roman"/>
          <w:lang w:eastAsia="de-DE"/>
        </w:rPr>
        <w:t xml:space="preserve">), </w:t>
      </w:r>
      <w:r w:rsidRPr="00C5644E">
        <w:rPr>
          <w:rFonts w:eastAsia="Times New Roman"/>
          <w:b/>
          <w:bCs/>
          <w:rtl/>
          <w:lang w:eastAsia="de-DE"/>
        </w:rPr>
        <w:t>לוֹ</w:t>
      </w:r>
      <w:r w:rsidRPr="00C5644E">
        <w:rPr>
          <w:rFonts w:eastAsia="Times New Roman"/>
          <w:rtl/>
          <w:lang w:eastAsia="de-DE"/>
        </w:rPr>
        <w:t xml:space="preserve"> </w:t>
      </w:r>
      <w:r w:rsidRPr="00C5644E">
        <w:rPr>
          <w:rFonts w:eastAsia="Times New Roman"/>
          <w:lang w:eastAsia="de-DE"/>
        </w:rPr>
        <w:t xml:space="preserve">als Dativus commodi („für ihn, ihm"), </w:t>
      </w:r>
      <w:r w:rsidRPr="00C5644E">
        <w:rPr>
          <w:rFonts w:eastAsia="Times New Roman"/>
          <w:b/>
          <w:bCs/>
          <w:rtl/>
          <w:lang w:eastAsia="de-DE"/>
        </w:rPr>
        <w:t>לְעַם נַחֲלָה</w:t>
      </w:r>
      <w:r w:rsidRPr="00C5644E">
        <w:rPr>
          <w:rFonts w:eastAsia="Times New Roman"/>
          <w:rtl/>
          <w:lang w:eastAsia="de-DE"/>
        </w:rPr>
        <w:t xml:space="preserve"> </w:t>
      </w:r>
      <w:r w:rsidRPr="00C5644E">
        <w:rPr>
          <w:rFonts w:eastAsia="Times New Roman"/>
          <w:lang w:eastAsia="de-DE"/>
        </w:rPr>
        <w:t>als Prädikatsnomen (</w:t>
      </w:r>
      <w:r w:rsidRPr="00C5644E">
        <w:rPr>
          <w:rFonts w:eastAsia="Times New Roman"/>
          <w:b/>
          <w:bCs/>
          <w:rtl/>
          <w:lang w:eastAsia="de-DE"/>
        </w:rPr>
        <w:t>לְ</w:t>
      </w:r>
      <w:r w:rsidRPr="00C5644E">
        <w:rPr>
          <w:rFonts w:eastAsia="Times New Roman"/>
          <w:rtl/>
          <w:lang w:eastAsia="de-DE"/>
        </w:rPr>
        <w:t xml:space="preserve"> </w:t>
      </w:r>
      <w:r w:rsidRPr="00C5644E">
        <w:rPr>
          <w:rFonts w:eastAsia="Times New Roman"/>
          <w:lang w:eastAsia="de-DE"/>
        </w:rPr>
        <w:t xml:space="preserve">mit </w:t>
      </w:r>
      <w:r w:rsidRPr="00C5644E">
        <w:rPr>
          <w:rFonts w:eastAsia="Times New Roman"/>
          <w:b/>
          <w:bCs/>
          <w:rtl/>
          <w:lang w:eastAsia="de-DE"/>
        </w:rPr>
        <w:t>עַם</w:t>
      </w:r>
      <w:r w:rsidRPr="00C5644E">
        <w:rPr>
          <w:rFonts w:eastAsia="Times New Roman"/>
          <w:lang w:eastAsia="de-DE"/>
        </w:rPr>
        <w:t xml:space="preserve">, „Volk", und </w:t>
      </w:r>
      <w:r w:rsidRPr="00C5644E">
        <w:rPr>
          <w:rFonts w:eastAsia="Times New Roman"/>
          <w:b/>
          <w:bCs/>
          <w:rtl/>
          <w:lang w:eastAsia="de-DE"/>
        </w:rPr>
        <w:t>נַחֲלָה</w:t>
      </w:r>
      <w:r w:rsidRPr="00C5644E">
        <w:rPr>
          <w:rFonts w:eastAsia="Times New Roman"/>
          <w:lang w:eastAsia="de-DE"/>
        </w:rPr>
        <w:t xml:space="preserve">, „Erbteil, Erbbesitz", in appositionalem Verhältnis oder als Genitivattribut – „zum Volk des Erbteils" oder „zum Erbvolk"). </w:t>
      </w:r>
      <w:r w:rsidRPr="00C5644E">
        <w:rPr>
          <w:rFonts w:eastAsia="Times New Roman"/>
          <w:b/>
          <w:bCs/>
          <w:rtl/>
          <w:lang w:eastAsia="de-DE"/>
        </w:rPr>
        <w:t>כַּיּוֹם הַזֶּה</w:t>
      </w:r>
      <w:r w:rsidRPr="00C5644E">
        <w:rPr>
          <w:rFonts w:eastAsia="Times New Roman"/>
          <w:rtl/>
          <w:lang w:eastAsia="de-DE"/>
        </w:rPr>
        <w:t xml:space="preserve"> </w:t>
      </w:r>
      <w:r w:rsidRPr="00C5644E">
        <w:rPr>
          <w:rFonts w:eastAsia="Times New Roman"/>
          <w:lang w:eastAsia="de-DE"/>
        </w:rPr>
        <w:t xml:space="preserve">ist eine vergleichende temporale Formel: </w:t>
      </w:r>
      <w:r w:rsidRPr="00C5644E">
        <w:rPr>
          <w:rFonts w:eastAsia="Times New Roman"/>
          <w:b/>
          <w:bCs/>
          <w:rtl/>
          <w:lang w:eastAsia="de-DE"/>
        </w:rPr>
        <w:t>כְּ</w:t>
      </w:r>
      <w:r w:rsidRPr="00C5644E">
        <w:rPr>
          <w:rFonts w:eastAsia="Times New Roman"/>
          <w:rtl/>
          <w:lang w:eastAsia="de-DE"/>
        </w:rPr>
        <w:t xml:space="preserve"> </w:t>
      </w:r>
      <w:r w:rsidRPr="00C5644E">
        <w:rPr>
          <w:rFonts w:eastAsia="Times New Roman"/>
          <w:lang w:eastAsia="de-DE"/>
        </w:rPr>
        <w:t xml:space="preserve">mit </w:t>
      </w:r>
      <w:r w:rsidRPr="00C5644E">
        <w:rPr>
          <w:rFonts w:eastAsia="Times New Roman"/>
          <w:b/>
          <w:bCs/>
          <w:rtl/>
          <w:lang w:eastAsia="de-DE"/>
        </w:rPr>
        <w:t>הַיּוֹם הַזֶּה</w:t>
      </w:r>
      <w:r w:rsidRPr="00C5644E">
        <w:rPr>
          <w:rFonts w:eastAsia="Times New Roman"/>
          <w:rtl/>
          <w:lang w:eastAsia="de-DE"/>
        </w:rPr>
        <w:t xml:space="preserve"> </w:t>
      </w:r>
      <w:r w:rsidRPr="00C5644E">
        <w:rPr>
          <w:rFonts w:eastAsia="Times New Roman"/>
          <w:lang w:eastAsia="de-DE"/>
        </w:rPr>
        <w:t>(„wie dieser Tag", d.h. „wie es heute der Fall ist").</w:t>
      </w:r>
    </w:p>
    <w:p w14:paraId="3F063F68" w14:textId="515930B8"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lang w:eastAsia="de-DE"/>
        </w:rPr>
        <w:t xml:space="preserve">Der Begriff </w:t>
      </w:r>
      <w:r w:rsidRPr="00C5644E">
        <w:rPr>
          <w:rFonts w:eastAsia="Times New Roman"/>
          <w:b/>
          <w:bCs/>
          <w:rtl/>
          <w:lang w:eastAsia="de-DE"/>
        </w:rPr>
        <w:t>עַם נַחֲלָה</w:t>
      </w:r>
      <w:r w:rsidRPr="00C5644E">
        <w:rPr>
          <w:rFonts w:eastAsia="Times New Roman"/>
          <w:rtl/>
          <w:lang w:eastAsia="de-DE"/>
        </w:rPr>
        <w:t xml:space="preserve"> </w:t>
      </w:r>
      <w:r w:rsidRPr="00C5644E">
        <w:rPr>
          <w:rFonts w:eastAsia="Times New Roman"/>
          <w:lang w:eastAsia="de-DE"/>
        </w:rPr>
        <w:t xml:space="preserve">ist deuteronomisch und betont, dass Israel </w:t>
      </w:r>
      <w:r w:rsidR="00ED2181">
        <w:rPr>
          <w:rFonts w:eastAsia="Times New Roman"/>
          <w:lang w:eastAsia="de-DE"/>
        </w:rPr>
        <w:t>JHWHs</w:t>
      </w:r>
      <w:r w:rsidRPr="00C5644E">
        <w:rPr>
          <w:rFonts w:eastAsia="Times New Roman"/>
          <w:lang w:eastAsia="de-DE"/>
        </w:rPr>
        <w:t xml:space="preserve"> besonderer Besitz ist. Der Kontrast zwischen V. 19 und V. 20 ist scharf: Die anderen Völker haben die Gestirne, Israel hat </w:t>
      </w:r>
      <w:r w:rsidR="00113C10">
        <w:rPr>
          <w:rFonts w:eastAsia="Times New Roman"/>
          <w:lang w:eastAsia="de-DE"/>
        </w:rPr>
        <w:t>JHWH</w:t>
      </w:r>
      <w:r w:rsidRPr="00C5644E">
        <w:rPr>
          <w:rFonts w:eastAsia="Times New Roman"/>
          <w:lang w:eastAsia="de-DE"/>
        </w:rPr>
        <w:t xml:space="preserve">; die anderen Völker sind in ihrem Land, Israel wurde aus der Knechtschaft herausgeführt, um </w:t>
      </w:r>
      <w:r w:rsidR="00ED2181">
        <w:rPr>
          <w:rFonts w:eastAsia="Times New Roman"/>
          <w:lang w:eastAsia="de-DE"/>
        </w:rPr>
        <w:t>JHWHs</w:t>
      </w:r>
      <w:r w:rsidRPr="00C5644E">
        <w:rPr>
          <w:rFonts w:eastAsia="Times New Roman"/>
          <w:lang w:eastAsia="de-DE"/>
        </w:rPr>
        <w:t xml:space="preserve"> Eigentumsvolk zu sein.</w:t>
      </w:r>
    </w:p>
    <w:p w14:paraId="6DBB5D68" w14:textId="77777777"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lang w:eastAsia="de-DE"/>
        </w:rPr>
        <w:t xml:space="preserve">Die Satzstruktur besteht aus einem Hauptsatz mit adversativem vorausgestelltem Objekt zur Emphase, Prädikat und Subjekt, einem koordinierten konsekutiven Verb mit direktem Objekt, einer doppelten Herkunftsangabe (eine metaphorisch, eine geographisch), einer finalen Infinitivkonstruktion mit Dativus commodi und präpositionalem Prädikatsnomen, und einer vergleichenden temporalen Formel. Der Kontrast zu V. 19 wird durch die Voranstellung von </w:t>
      </w:r>
      <w:r w:rsidRPr="00C5644E">
        <w:rPr>
          <w:rFonts w:eastAsia="Times New Roman"/>
          <w:b/>
          <w:bCs/>
          <w:rtl/>
          <w:lang w:eastAsia="de-DE"/>
        </w:rPr>
        <w:t>וְאֶתְכֶם</w:t>
      </w:r>
      <w:r w:rsidRPr="00C5644E">
        <w:rPr>
          <w:rFonts w:eastAsia="Times New Roman"/>
          <w:rtl/>
          <w:lang w:eastAsia="de-DE"/>
        </w:rPr>
        <w:t xml:space="preserve"> </w:t>
      </w:r>
      <w:r w:rsidRPr="00C5644E">
        <w:rPr>
          <w:rFonts w:eastAsia="Times New Roman"/>
          <w:lang w:eastAsia="de-DE"/>
        </w:rPr>
        <w:t>syntaktisch unterstrichen.</w:t>
      </w:r>
    </w:p>
    <w:p w14:paraId="47FB5CCF" w14:textId="1278D014" w:rsidR="00C5644E" w:rsidRPr="00C5644E" w:rsidRDefault="00C5644E" w:rsidP="00C5644E">
      <w:pPr>
        <w:spacing w:before="100" w:beforeAutospacing="1" w:after="100" w:afterAutospacing="1" w:line="240" w:lineRule="auto"/>
        <w:rPr>
          <w:rFonts w:eastAsia="Times New Roman"/>
          <w:lang w:eastAsia="de-DE"/>
        </w:rPr>
      </w:pPr>
      <w:r w:rsidRPr="00C5644E">
        <w:rPr>
          <w:rFonts w:eastAsia="Times New Roman"/>
          <w:lang w:eastAsia="de-DE"/>
        </w:rPr>
        <w:t xml:space="preserve">Der Vers bildet den positiven Gegenpol zu V. 19: Während die Gestirne den anderen Völkern zugeteilt wurden, hat </w:t>
      </w:r>
      <w:r w:rsidR="00B77E5E">
        <w:rPr>
          <w:rFonts w:eastAsia="Times New Roman"/>
          <w:lang w:eastAsia="de-DE"/>
        </w:rPr>
        <w:t>JHWH</w:t>
      </w:r>
      <w:r w:rsidRPr="00C5644E">
        <w:rPr>
          <w:rFonts w:eastAsia="Times New Roman"/>
          <w:lang w:eastAsia="de-DE"/>
        </w:rPr>
        <w:t xml:space="preserve"> Israel selbst erwählt und aus Ägypten befreit, um sein Eigentumsvolk zu sein.</w:t>
      </w:r>
    </w:p>
    <w:p w14:paraId="053E73CE"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4,21</w:t>
      </w:r>
    </w:p>
    <w:p w14:paraId="47ED4887"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וַֽיהוָ֥ה הִתְאַנֶּף־בִּ֖י עַל־דִּבְרֵיכֶ֑ם וַיִּשָּׁבַ֗ע לְבִלְתִּ֤י עָבְרִי֙ אֶת־הַיַּרְדֵּ֔ן וּלְבִלְתִּי־בֹא֙ אֶל־הָאָ֣רֶץ הַטּוֹבָ֔ה אֲשֶׁר֙ יְהוָ֣ה אֱלֹהֶ֔יךָ נֹתֵ֥ן לְךָ֖ נַחֲלָֽה׃</w:t>
      </w:r>
    </w:p>
    <w:p w14:paraId="750440B3"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Und der Ewige war erzürnt über mich euretwegen und er schwor, dass ich nicht über den Jarden gehen und nicht in das gute Land kommen soll, das der Ewige, dein Gott, dir als Erbteil gebend ist.</w:t>
      </w:r>
    </w:p>
    <w:p w14:paraId="3F33152E" w14:textId="77777777" w:rsidR="008D3E71" w:rsidRPr="008D3E71" w:rsidRDefault="004F5CEB" w:rsidP="008D3E71">
      <w:pPr>
        <w:spacing w:after="0" w:line="240" w:lineRule="auto"/>
        <w:rPr>
          <w:rFonts w:eastAsia="Times New Roman"/>
          <w:lang w:eastAsia="de-DE"/>
        </w:rPr>
      </w:pPr>
      <w:r>
        <w:rPr>
          <w:rFonts w:eastAsia="Times New Roman"/>
          <w:noProof/>
          <w:lang w:eastAsia="de-DE"/>
        </w:rPr>
        <w:lastRenderedPageBreak/>
        <w:pict w14:anchorId="3BA771C6">
          <v:rect id="_x0000_i1157" style="width:0;height:1.5pt" o:hralign="center" o:hrstd="t" o:hr="t" fillcolor="#a0a0a0" stroked="f"/>
        </w:pict>
      </w:r>
    </w:p>
    <w:p w14:paraId="25C04CD2"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וַיהוָה הִתְאַנֶּף־בִּי עַל־דִּבְרֵיכֶם</w:t>
      </w:r>
      <w:r w:rsidRPr="008D3E71">
        <w:rPr>
          <w:rFonts w:eastAsia="Times New Roman"/>
          <w:rtl/>
          <w:lang w:eastAsia="de-DE"/>
        </w:rPr>
        <w:t xml:space="preserve"> </w:t>
      </w:r>
      <w:r w:rsidRPr="008D3E71">
        <w:rPr>
          <w:rFonts w:eastAsia="Times New Roman"/>
          <w:lang w:eastAsia="de-DE"/>
        </w:rPr>
        <w:t xml:space="preserve">ist ein Hauptsatz: </w:t>
      </w:r>
      <w:r w:rsidRPr="008D3E71">
        <w:rPr>
          <w:rFonts w:eastAsia="Times New Roman"/>
          <w:b/>
          <w:bCs/>
          <w:rtl/>
          <w:lang w:eastAsia="de-DE"/>
        </w:rPr>
        <w:t>וְ</w:t>
      </w:r>
      <w:r w:rsidRPr="008D3E71">
        <w:rPr>
          <w:rFonts w:eastAsia="Times New Roman"/>
          <w:rtl/>
          <w:lang w:eastAsia="de-DE"/>
        </w:rPr>
        <w:t xml:space="preserve"> </w:t>
      </w:r>
      <w:r w:rsidRPr="008D3E71">
        <w:rPr>
          <w:rFonts w:eastAsia="Times New Roman"/>
          <w:lang w:eastAsia="de-DE"/>
        </w:rPr>
        <w:t xml:space="preserve">koordinierend, </w:t>
      </w:r>
      <w:r w:rsidRPr="008D3E71">
        <w:rPr>
          <w:rFonts w:eastAsia="Times New Roman"/>
          <w:b/>
          <w:bCs/>
          <w:rtl/>
          <w:lang w:eastAsia="de-DE"/>
        </w:rPr>
        <w:t>יְהוָה</w:t>
      </w:r>
      <w:r w:rsidRPr="008D3E71">
        <w:rPr>
          <w:rFonts w:eastAsia="Times New Roman"/>
          <w:rtl/>
          <w:lang w:eastAsia="de-DE"/>
        </w:rPr>
        <w:t xml:space="preserve"> </w:t>
      </w:r>
      <w:r w:rsidRPr="008D3E71">
        <w:rPr>
          <w:rFonts w:eastAsia="Times New Roman"/>
          <w:lang w:eastAsia="de-DE"/>
        </w:rPr>
        <w:t xml:space="preserve">als Subjekt, </w:t>
      </w:r>
      <w:r w:rsidRPr="008D3E71">
        <w:rPr>
          <w:rFonts w:eastAsia="Times New Roman"/>
          <w:b/>
          <w:bCs/>
          <w:rtl/>
          <w:lang w:eastAsia="de-DE"/>
        </w:rPr>
        <w:t>הִתְאַנֶּף</w:t>
      </w:r>
      <w:r w:rsidRPr="008D3E71">
        <w:rPr>
          <w:rFonts w:eastAsia="Times New Roman"/>
          <w:rtl/>
          <w:lang w:eastAsia="de-DE"/>
        </w:rPr>
        <w:t xml:space="preserve"> </w:t>
      </w:r>
      <w:r w:rsidRPr="008D3E71">
        <w:rPr>
          <w:rFonts w:eastAsia="Times New Roman"/>
          <w:lang w:eastAsia="de-DE"/>
        </w:rPr>
        <w:t xml:space="preserve">als Hitpael Perfekt, 3. Person Singular maskulin von </w:t>
      </w:r>
      <w:r w:rsidRPr="008D3E71">
        <w:rPr>
          <w:rFonts w:eastAsia="Times New Roman"/>
          <w:b/>
          <w:bCs/>
          <w:rtl/>
          <w:lang w:eastAsia="de-DE"/>
        </w:rPr>
        <w:t>אנף</w:t>
      </w:r>
      <w:r w:rsidRPr="008D3E71">
        <w:rPr>
          <w:rFonts w:eastAsia="Times New Roman"/>
          <w:rtl/>
          <w:lang w:eastAsia="de-DE"/>
        </w:rPr>
        <w:t xml:space="preserve"> </w:t>
      </w:r>
      <w:r w:rsidRPr="008D3E71">
        <w:rPr>
          <w:rFonts w:eastAsia="Times New Roman"/>
          <w:lang w:eastAsia="de-DE"/>
        </w:rPr>
        <w:t xml:space="preserve">(„zürnen, erzürnt sein"), </w:t>
      </w:r>
      <w:r w:rsidRPr="008D3E71">
        <w:rPr>
          <w:rFonts w:eastAsia="Times New Roman"/>
          <w:b/>
          <w:bCs/>
          <w:rtl/>
          <w:lang w:eastAsia="de-DE"/>
        </w:rPr>
        <w:t>בִּי</w:t>
      </w:r>
      <w:r w:rsidRPr="008D3E71">
        <w:rPr>
          <w:rFonts w:eastAsia="Times New Roman"/>
          <w:rtl/>
          <w:lang w:eastAsia="de-DE"/>
        </w:rPr>
        <w:t xml:space="preserve"> </w:t>
      </w:r>
      <w:r w:rsidRPr="008D3E71">
        <w:rPr>
          <w:rFonts w:eastAsia="Times New Roman"/>
          <w:lang w:eastAsia="de-DE"/>
        </w:rPr>
        <w:t xml:space="preserve">als Präposition </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Suffix 1. Person Singular („über mich, gegen mich"), </w:t>
      </w:r>
      <w:r w:rsidRPr="008D3E71">
        <w:rPr>
          <w:rFonts w:eastAsia="Times New Roman"/>
          <w:b/>
          <w:bCs/>
          <w:rtl/>
          <w:lang w:eastAsia="de-DE"/>
        </w:rPr>
        <w:t>עַל־דִּבְרֵיכֶם</w:t>
      </w:r>
      <w:r w:rsidRPr="008D3E71">
        <w:rPr>
          <w:rFonts w:eastAsia="Times New Roman"/>
          <w:rtl/>
          <w:lang w:eastAsia="de-DE"/>
        </w:rPr>
        <w:t xml:space="preserve"> </w:t>
      </w:r>
      <w:r w:rsidRPr="008D3E71">
        <w:rPr>
          <w:rFonts w:eastAsia="Times New Roman"/>
          <w:lang w:eastAsia="de-DE"/>
        </w:rPr>
        <w:t>als kausale Angabe (</w:t>
      </w:r>
      <w:r w:rsidRPr="008D3E71">
        <w:rPr>
          <w:rFonts w:eastAsia="Times New Roman"/>
          <w:b/>
          <w:bCs/>
          <w:rtl/>
          <w:lang w:eastAsia="de-DE"/>
        </w:rPr>
        <w:t>עַל</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דִּבְרֵיכֶם</w:t>
      </w:r>
      <w:r w:rsidRPr="008D3E71">
        <w:rPr>
          <w:rFonts w:eastAsia="Times New Roman"/>
          <w:lang w:eastAsia="de-DE"/>
        </w:rPr>
        <w:t xml:space="preserve">, Plural Construct von </w:t>
      </w:r>
      <w:r w:rsidRPr="008D3E71">
        <w:rPr>
          <w:rFonts w:eastAsia="Times New Roman"/>
          <w:b/>
          <w:bCs/>
          <w:rtl/>
          <w:lang w:eastAsia="de-DE"/>
        </w:rPr>
        <w:t>דָּבָר</w:t>
      </w:r>
      <w:r w:rsidRPr="008D3E71">
        <w:rPr>
          <w:rFonts w:eastAsia="Times New Roman"/>
          <w:lang w:eastAsia="de-DE"/>
        </w:rPr>
        <w:t>, „Wort, Sache", mit Suffix 2. Person Plural maskulin – „wegen eurer Worte, euretwegen"). Die Hitpael-Form verleiht dem Verb intensive bzw. reflexive Bedeutung.</w:t>
      </w:r>
    </w:p>
    <w:p w14:paraId="5D4FD639"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וַיִּשָּׁבַע</w:t>
      </w:r>
      <w:r w:rsidRPr="008D3E71">
        <w:rPr>
          <w:rFonts w:eastAsia="Times New Roman"/>
          <w:rtl/>
          <w:lang w:eastAsia="de-DE"/>
        </w:rPr>
        <w:t xml:space="preserve"> </w:t>
      </w:r>
      <w:r w:rsidRPr="008D3E71">
        <w:rPr>
          <w:rFonts w:eastAsia="Times New Roman"/>
          <w:lang w:eastAsia="de-DE"/>
        </w:rPr>
        <w:t xml:space="preserve">ist Nifal Imperfekt consecutivum, 3. Person Singular maskulin von </w:t>
      </w:r>
      <w:r w:rsidRPr="008D3E71">
        <w:rPr>
          <w:rFonts w:eastAsia="Times New Roman"/>
          <w:b/>
          <w:bCs/>
          <w:rtl/>
          <w:lang w:eastAsia="de-DE"/>
        </w:rPr>
        <w:t>שׁבע</w:t>
      </w:r>
      <w:r w:rsidRPr="008D3E71">
        <w:rPr>
          <w:rFonts w:eastAsia="Times New Roman"/>
          <w:rtl/>
          <w:lang w:eastAsia="de-DE"/>
        </w:rPr>
        <w:t xml:space="preserve"> </w:t>
      </w:r>
      <w:r w:rsidRPr="008D3E71">
        <w:rPr>
          <w:rFonts w:eastAsia="Times New Roman"/>
          <w:lang w:eastAsia="de-DE"/>
        </w:rPr>
        <w:t xml:space="preserve">(„schwören") mit Waw. </w:t>
      </w:r>
      <w:r w:rsidRPr="008D3E71">
        <w:rPr>
          <w:rFonts w:eastAsia="Times New Roman"/>
          <w:b/>
          <w:bCs/>
          <w:rtl/>
          <w:lang w:eastAsia="de-DE"/>
        </w:rPr>
        <w:t>לְבִלְתִּי עָבְרִי אֶת־הַיַּרְדֵּן</w:t>
      </w:r>
      <w:r w:rsidRPr="008D3E71">
        <w:rPr>
          <w:rFonts w:eastAsia="Times New Roman"/>
          <w:rtl/>
          <w:lang w:eastAsia="de-DE"/>
        </w:rPr>
        <w:t xml:space="preserve"> </w:t>
      </w:r>
      <w:r w:rsidRPr="008D3E71">
        <w:rPr>
          <w:rFonts w:eastAsia="Times New Roman"/>
          <w:lang w:eastAsia="de-DE"/>
        </w:rPr>
        <w:t xml:space="preserve">ist eine negative finale Infinitivkonstruktion: </w:t>
      </w:r>
      <w:r w:rsidRPr="008D3E71">
        <w:rPr>
          <w:rFonts w:eastAsia="Times New Roman"/>
          <w:b/>
          <w:bCs/>
          <w:rtl/>
          <w:lang w:eastAsia="de-DE"/>
        </w:rPr>
        <w:t>לְבִלְתִּי</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לְ</w:t>
      </w:r>
      <w:r w:rsidRPr="008D3E71">
        <w:rPr>
          <w:rFonts w:eastAsia="Times New Roman"/>
          <w:rtl/>
          <w:lang w:eastAsia="de-DE"/>
        </w:rPr>
        <w:t xml:space="preserve"> </w:t>
      </w:r>
      <w:r w:rsidRPr="008D3E71">
        <w:rPr>
          <w:rFonts w:eastAsia="Times New Roman"/>
          <w:lang w:eastAsia="de-DE"/>
        </w:rPr>
        <w:t xml:space="preserve">mit der Negativpartikel </w:t>
      </w:r>
      <w:r w:rsidRPr="008D3E71">
        <w:rPr>
          <w:rFonts w:eastAsia="Times New Roman"/>
          <w:b/>
          <w:bCs/>
          <w:rtl/>
          <w:lang w:eastAsia="de-DE"/>
        </w:rPr>
        <w:t>בִּלְתִּי</w:t>
      </w:r>
      <w:r w:rsidRPr="008D3E71">
        <w:rPr>
          <w:rFonts w:eastAsia="Times New Roman"/>
          <w:lang w:eastAsia="de-DE"/>
        </w:rPr>
        <w:t xml:space="preserve">, „nicht") mit </w:t>
      </w:r>
      <w:r w:rsidRPr="008D3E71">
        <w:rPr>
          <w:rFonts w:eastAsia="Times New Roman"/>
          <w:b/>
          <w:bCs/>
          <w:rtl/>
          <w:lang w:eastAsia="de-DE"/>
        </w:rPr>
        <w:t>עָבְרִי</w:t>
      </w:r>
      <w:r w:rsidRPr="008D3E71">
        <w:rPr>
          <w:rFonts w:eastAsia="Times New Roman"/>
          <w:rtl/>
          <w:lang w:eastAsia="de-DE"/>
        </w:rPr>
        <w:t xml:space="preserve"> </w:t>
      </w:r>
      <w:r w:rsidRPr="008D3E71">
        <w:rPr>
          <w:rFonts w:eastAsia="Times New Roman"/>
          <w:lang w:eastAsia="de-DE"/>
        </w:rPr>
        <w:t xml:space="preserve">(Qal Infinitiv Construct von </w:t>
      </w:r>
      <w:r w:rsidRPr="008D3E71">
        <w:rPr>
          <w:rFonts w:eastAsia="Times New Roman"/>
          <w:b/>
          <w:bCs/>
          <w:rtl/>
          <w:lang w:eastAsia="de-DE"/>
        </w:rPr>
        <w:t>עבר</w:t>
      </w:r>
      <w:r w:rsidRPr="008D3E71">
        <w:rPr>
          <w:rFonts w:eastAsia="Times New Roman"/>
          <w:lang w:eastAsia="de-DE"/>
        </w:rPr>
        <w:t xml:space="preserve">, „hinübergehen", mit Suffix 1. Person Singular als Subjekt des Infinitivs – eine Pausalform), </w:t>
      </w:r>
      <w:r w:rsidRPr="008D3E71">
        <w:rPr>
          <w:rFonts w:eastAsia="Times New Roman"/>
          <w:b/>
          <w:bCs/>
          <w:rtl/>
          <w:lang w:eastAsia="de-DE"/>
        </w:rPr>
        <w:t>אֶת־הַיַּרְדֵּן</w:t>
      </w:r>
      <w:r w:rsidRPr="008D3E71">
        <w:rPr>
          <w:rFonts w:eastAsia="Times New Roman"/>
          <w:rtl/>
          <w:lang w:eastAsia="de-DE"/>
        </w:rPr>
        <w:t xml:space="preserve"> </w:t>
      </w:r>
      <w:r w:rsidRPr="008D3E71">
        <w:rPr>
          <w:rFonts w:eastAsia="Times New Roman"/>
          <w:lang w:eastAsia="de-DE"/>
        </w:rPr>
        <w:t>als direktes Objekt.</w:t>
      </w:r>
    </w:p>
    <w:p w14:paraId="5ADA42EA"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וּלְבִלְתִּי־בֹא אֶל־הָאָרֶץ הַטּוֹבָה</w:t>
      </w:r>
      <w:r w:rsidRPr="008D3E71">
        <w:rPr>
          <w:rFonts w:eastAsia="Times New Roman"/>
          <w:rtl/>
          <w:lang w:eastAsia="de-DE"/>
        </w:rPr>
        <w:t xml:space="preserve"> </w:t>
      </w:r>
      <w:r w:rsidRPr="008D3E71">
        <w:rPr>
          <w:rFonts w:eastAsia="Times New Roman"/>
          <w:lang w:eastAsia="de-DE"/>
        </w:rPr>
        <w:t xml:space="preserve">ist koordiniert: </w:t>
      </w:r>
      <w:r w:rsidRPr="008D3E71">
        <w:rPr>
          <w:rFonts w:eastAsia="Times New Roman"/>
          <w:b/>
          <w:bCs/>
          <w:rtl/>
          <w:lang w:eastAsia="de-DE"/>
        </w:rPr>
        <w:t>וְ</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לְבִלְתִּי</w:t>
      </w:r>
      <w:r w:rsidRPr="008D3E71">
        <w:rPr>
          <w:rFonts w:eastAsia="Times New Roman"/>
          <w:lang w:eastAsia="de-DE"/>
        </w:rPr>
        <w:t xml:space="preserve">, </w:t>
      </w:r>
      <w:r w:rsidRPr="008D3E71">
        <w:rPr>
          <w:rFonts w:eastAsia="Times New Roman"/>
          <w:b/>
          <w:bCs/>
          <w:rtl/>
          <w:lang w:eastAsia="de-DE"/>
        </w:rPr>
        <w:t>בֹא</w:t>
      </w:r>
      <w:r w:rsidRPr="008D3E71">
        <w:rPr>
          <w:rFonts w:eastAsia="Times New Roman"/>
          <w:rtl/>
          <w:lang w:eastAsia="de-DE"/>
        </w:rPr>
        <w:t xml:space="preserve"> </w:t>
      </w:r>
      <w:r w:rsidRPr="008D3E71">
        <w:rPr>
          <w:rFonts w:eastAsia="Times New Roman"/>
          <w:lang w:eastAsia="de-DE"/>
        </w:rPr>
        <w:t xml:space="preserve">als Qal Infinitiv Construct von </w:t>
      </w:r>
      <w:r w:rsidRPr="008D3E71">
        <w:rPr>
          <w:rFonts w:eastAsia="Times New Roman"/>
          <w:b/>
          <w:bCs/>
          <w:rtl/>
          <w:lang w:eastAsia="de-DE"/>
        </w:rPr>
        <w:t>בוא</w:t>
      </w:r>
      <w:r w:rsidRPr="008D3E71">
        <w:rPr>
          <w:rFonts w:eastAsia="Times New Roman"/>
          <w:rtl/>
          <w:lang w:eastAsia="de-DE"/>
        </w:rPr>
        <w:t xml:space="preserve"> </w:t>
      </w:r>
      <w:r w:rsidRPr="008D3E71">
        <w:rPr>
          <w:rFonts w:eastAsia="Times New Roman"/>
          <w:lang w:eastAsia="de-DE"/>
        </w:rPr>
        <w:t xml:space="preserve">(„kommen, hineingehen") ohne Suffix (das Subjekt ist aus dem Kontext klar), </w:t>
      </w:r>
      <w:r w:rsidRPr="008D3E71">
        <w:rPr>
          <w:rFonts w:eastAsia="Times New Roman"/>
          <w:b/>
          <w:bCs/>
          <w:rtl/>
          <w:lang w:eastAsia="de-DE"/>
        </w:rPr>
        <w:t>אֶל־הָאָרֶץ הַטּוֹבָה</w:t>
      </w:r>
      <w:r w:rsidRPr="008D3E71">
        <w:rPr>
          <w:rFonts w:eastAsia="Times New Roman"/>
          <w:rtl/>
          <w:lang w:eastAsia="de-DE"/>
        </w:rPr>
        <w:t xml:space="preserve"> </w:t>
      </w:r>
      <w:r w:rsidRPr="008D3E71">
        <w:rPr>
          <w:rFonts w:eastAsia="Times New Roman"/>
          <w:lang w:eastAsia="de-DE"/>
        </w:rPr>
        <w:t>als Richtungsangabe (</w:t>
      </w:r>
      <w:r w:rsidRPr="008D3E71">
        <w:rPr>
          <w:rFonts w:eastAsia="Times New Roman"/>
          <w:b/>
          <w:bCs/>
          <w:rtl/>
          <w:lang w:eastAsia="de-DE"/>
        </w:rPr>
        <w:t>אֶל</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הָאָרֶץ</w:t>
      </w:r>
      <w:r w:rsidRPr="008D3E71">
        <w:rPr>
          <w:rFonts w:eastAsia="Times New Roman"/>
          <w:rtl/>
          <w:lang w:eastAsia="de-DE"/>
        </w:rPr>
        <w:t xml:space="preserve"> </w:t>
      </w:r>
      <w:r w:rsidRPr="008D3E71">
        <w:rPr>
          <w:rFonts w:eastAsia="Times New Roman"/>
          <w:lang w:eastAsia="de-DE"/>
        </w:rPr>
        <w:t xml:space="preserve">und Adjektiv </w:t>
      </w:r>
      <w:r w:rsidRPr="008D3E71">
        <w:rPr>
          <w:rFonts w:eastAsia="Times New Roman"/>
          <w:b/>
          <w:bCs/>
          <w:rtl/>
          <w:lang w:eastAsia="de-DE"/>
        </w:rPr>
        <w:t>הַטּוֹבָה</w:t>
      </w:r>
      <w:r w:rsidRPr="008D3E71">
        <w:rPr>
          <w:rFonts w:eastAsia="Times New Roman"/>
          <w:lang w:eastAsia="de-DE"/>
        </w:rPr>
        <w:t xml:space="preserve">, „gut"). </w:t>
      </w:r>
      <w:r w:rsidRPr="008D3E71">
        <w:rPr>
          <w:rFonts w:eastAsia="Times New Roman"/>
          <w:b/>
          <w:bCs/>
          <w:rtl/>
          <w:lang w:eastAsia="de-DE"/>
        </w:rPr>
        <w:t>אֲשֶׁר יְהוָה אֱלֹהֶיךָ נֹתֵן לְךָ נַחֲלָה</w:t>
      </w:r>
      <w:r w:rsidRPr="008D3E71">
        <w:rPr>
          <w:rFonts w:eastAsia="Times New Roman"/>
          <w:rtl/>
          <w:lang w:eastAsia="de-DE"/>
        </w:rPr>
        <w:t xml:space="preserve"> </w:t>
      </w:r>
      <w:r w:rsidRPr="008D3E71">
        <w:rPr>
          <w:rFonts w:eastAsia="Times New Roman"/>
          <w:lang w:eastAsia="de-DE"/>
        </w:rPr>
        <w:t xml:space="preserve">ist ein Relativsatz: </w:t>
      </w:r>
      <w:r w:rsidRPr="008D3E71">
        <w:rPr>
          <w:rFonts w:eastAsia="Times New Roman"/>
          <w:b/>
          <w:bCs/>
          <w:rtl/>
          <w:lang w:eastAsia="de-DE"/>
        </w:rPr>
        <w:t>אֲשֶׁר</w:t>
      </w:r>
      <w:r w:rsidRPr="008D3E71">
        <w:rPr>
          <w:rFonts w:eastAsia="Times New Roman"/>
          <w:rtl/>
          <w:lang w:eastAsia="de-DE"/>
        </w:rPr>
        <w:t xml:space="preserve"> </w:t>
      </w:r>
      <w:r w:rsidRPr="008D3E71">
        <w:rPr>
          <w:rFonts w:eastAsia="Times New Roman"/>
          <w:lang w:eastAsia="de-DE"/>
        </w:rPr>
        <w:t xml:space="preserve">als Relativpronomen, </w:t>
      </w:r>
      <w:r w:rsidRPr="008D3E71">
        <w:rPr>
          <w:rFonts w:eastAsia="Times New Roman"/>
          <w:b/>
          <w:bCs/>
          <w:rtl/>
          <w:lang w:eastAsia="de-DE"/>
        </w:rPr>
        <w:t>יְהוָה אֱלֹהֶיךָ</w:t>
      </w:r>
      <w:r w:rsidRPr="008D3E71">
        <w:rPr>
          <w:rFonts w:eastAsia="Times New Roman"/>
          <w:rtl/>
          <w:lang w:eastAsia="de-DE"/>
        </w:rPr>
        <w:t xml:space="preserve"> </w:t>
      </w:r>
      <w:r w:rsidRPr="008D3E71">
        <w:rPr>
          <w:rFonts w:eastAsia="Times New Roman"/>
          <w:lang w:eastAsia="de-DE"/>
        </w:rPr>
        <w:t xml:space="preserve">als erweitertes Subjekt mit Suffix 2. Person Singular maskulin, </w:t>
      </w:r>
      <w:r w:rsidRPr="008D3E71">
        <w:rPr>
          <w:rFonts w:eastAsia="Times New Roman"/>
          <w:b/>
          <w:bCs/>
          <w:rtl/>
          <w:lang w:eastAsia="de-DE"/>
        </w:rPr>
        <w:t>נֹתֵן</w:t>
      </w:r>
      <w:r w:rsidRPr="008D3E71">
        <w:rPr>
          <w:rFonts w:eastAsia="Times New Roman"/>
          <w:rtl/>
          <w:lang w:eastAsia="de-DE"/>
        </w:rPr>
        <w:t xml:space="preserve"> </w:t>
      </w:r>
      <w:r w:rsidRPr="008D3E71">
        <w:rPr>
          <w:rFonts w:eastAsia="Times New Roman"/>
          <w:lang w:eastAsia="de-DE"/>
        </w:rPr>
        <w:t xml:space="preserve">als Qal Partizip Singular maskulin von </w:t>
      </w:r>
      <w:r w:rsidRPr="008D3E71">
        <w:rPr>
          <w:rFonts w:eastAsia="Times New Roman"/>
          <w:b/>
          <w:bCs/>
          <w:rtl/>
          <w:lang w:eastAsia="de-DE"/>
        </w:rPr>
        <w:t>נתן</w:t>
      </w:r>
      <w:r w:rsidRPr="008D3E71">
        <w:rPr>
          <w:rFonts w:eastAsia="Times New Roman"/>
          <w:lang w:eastAsia="de-DE"/>
        </w:rPr>
        <w:t xml:space="preserve">, </w:t>
      </w:r>
      <w:r w:rsidRPr="008D3E71">
        <w:rPr>
          <w:rFonts w:eastAsia="Times New Roman"/>
          <w:b/>
          <w:bCs/>
          <w:rtl/>
          <w:lang w:eastAsia="de-DE"/>
        </w:rPr>
        <w:t>לְךָ</w:t>
      </w:r>
      <w:r w:rsidRPr="008D3E71">
        <w:rPr>
          <w:rFonts w:eastAsia="Times New Roman"/>
          <w:rtl/>
          <w:lang w:eastAsia="de-DE"/>
        </w:rPr>
        <w:t xml:space="preserve"> </w:t>
      </w:r>
      <w:r w:rsidRPr="008D3E71">
        <w:rPr>
          <w:rFonts w:eastAsia="Times New Roman"/>
          <w:lang w:eastAsia="de-DE"/>
        </w:rPr>
        <w:t xml:space="preserve">als indirektes Objekt, </w:t>
      </w:r>
      <w:r w:rsidRPr="008D3E71">
        <w:rPr>
          <w:rFonts w:eastAsia="Times New Roman"/>
          <w:b/>
          <w:bCs/>
          <w:rtl/>
          <w:lang w:eastAsia="de-DE"/>
        </w:rPr>
        <w:t>נַחֲלָה</w:t>
      </w:r>
      <w:r w:rsidRPr="008D3E71">
        <w:rPr>
          <w:rFonts w:eastAsia="Times New Roman"/>
          <w:rtl/>
          <w:lang w:eastAsia="de-DE"/>
        </w:rPr>
        <w:t xml:space="preserve"> </w:t>
      </w:r>
      <w:r w:rsidRPr="008D3E71">
        <w:rPr>
          <w:rFonts w:eastAsia="Times New Roman"/>
          <w:lang w:eastAsia="de-DE"/>
        </w:rPr>
        <w:t>als Apposition oder adverbiale Bestimmung („als Erbteil").</w:t>
      </w:r>
    </w:p>
    <w:p w14:paraId="0245EEAB"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Der Wechsel von Plural (</w:t>
      </w:r>
      <w:r w:rsidRPr="008D3E71">
        <w:rPr>
          <w:rFonts w:eastAsia="Times New Roman"/>
          <w:b/>
          <w:bCs/>
          <w:rtl/>
          <w:lang w:eastAsia="de-DE"/>
        </w:rPr>
        <w:t>דִּבְרֵיכֶם</w:t>
      </w:r>
      <w:r w:rsidRPr="008D3E71">
        <w:rPr>
          <w:rFonts w:eastAsia="Times New Roman"/>
          <w:lang w:eastAsia="de-DE"/>
        </w:rPr>
        <w:t>, „eure Worte") zu Singular (</w:t>
      </w:r>
      <w:r w:rsidRPr="008D3E71">
        <w:rPr>
          <w:rFonts w:eastAsia="Times New Roman"/>
          <w:b/>
          <w:bCs/>
          <w:rtl/>
          <w:lang w:eastAsia="de-DE"/>
        </w:rPr>
        <w:t>אֱלֹהֶיךָ</w:t>
      </w:r>
      <w:r w:rsidRPr="008D3E71">
        <w:rPr>
          <w:rFonts w:eastAsia="Times New Roman"/>
          <w:lang w:eastAsia="de-DE"/>
        </w:rPr>
        <w:t xml:space="preserve">, „dein Gott"; </w:t>
      </w:r>
      <w:r w:rsidRPr="008D3E71">
        <w:rPr>
          <w:rFonts w:eastAsia="Times New Roman"/>
          <w:b/>
          <w:bCs/>
          <w:rtl/>
          <w:lang w:eastAsia="de-DE"/>
        </w:rPr>
        <w:t>לְךָ</w:t>
      </w:r>
      <w:r w:rsidRPr="008D3E71">
        <w:rPr>
          <w:rFonts w:eastAsia="Times New Roman"/>
          <w:lang w:eastAsia="de-DE"/>
        </w:rPr>
        <w:t xml:space="preserve">, „dir") ist charakteristisch für das Deuteronomium. Die Formulierung </w:t>
      </w:r>
      <w:r w:rsidRPr="008D3E71">
        <w:rPr>
          <w:rFonts w:eastAsia="Times New Roman"/>
          <w:b/>
          <w:bCs/>
          <w:rtl/>
          <w:lang w:eastAsia="de-DE"/>
        </w:rPr>
        <w:t>עַל־דִּבְרֵיכֶם</w:t>
      </w:r>
      <w:r w:rsidRPr="008D3E71">
        <w:rPr>
          <w:rFonts w:eastAsia="Times New Roman"/>
          <w:rtl/>
          <w:lang w:eastAsia="de-DE"/>
        </w:rPr>
        <w:t xml:space="preserve"> </w:t>
      </w:r>
      <w:r w:rsidRPr="008D3E71">
        <w:rPr>
          <w:rFonts w:eastAsia="Times New Roman"/>
          <w:lang w:eastAsia="de-DE"/>
        </w:rPr>
        <w:t>ist umstritten; sie kann bedeuten „wegen euch, euretwegen" (die Schuld des Volkes) oder „wegen eurer Angelegenheiten". Der Bezug ist wahrscheinlich auf die Rebellion in Kadesch-Barnea oder auf das Haderwasser (vgl. Num 20,12; Dtn 3,26).</w:t>
      </w:r>
    </w:p>
    <w:p w14:paraId="4FE1B990"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Satzstruktur besteht aus zwei koordinierten Hauptsätzen: Der erste enthält Subjekt, Hitpael-Prädikat, präpositionales Objekt und kausale Begründung. Der zweite Hauptsatz hat ein Nifal-Prädikat und zwei koordinierte negative finale Infinitivkonstruktionen (die erste mit Suffix-Subjekt, die zweite ohne), wobei die zweite durch einen Relativsatz mit partizipialem Prädikat, erweitertem Subjekt, indirektem Objekt und appositiver Bestimmung erweitert wird. Die Parallelität der beiden Infinitivkonstruktionen betont das doppelte Verbot: nicht hinübergehen – nicht hineinkommen.</w:t>
      </w:r>
    </w:p>
    <w:p w14:paraId="21989FEF"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Der Vers gibt Moses persönliche Perspektive wieder: Wegen des Volkes darf er das verheißene Land nicht betreten – ein Thema, das bereits in 3,26 anklang.</w:t>
      </w:r>
    </w:p>
    <w:p w14:paraId="773C5D67"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4,22</w:t>
      </w:r>
    </w:p>
    <w:p w14:paraId="61D8207E"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כִּ֣י אָנֹכִ֥י מֵת֙ בָּאָ֣רֶץ הַזֹּ֔את אֵינֶ֥נִּי עֹבֵ֖ר אֶת־הַיַּרְדֵּ֑ן וְאַתֶּם֙ עֹֽבְרִ֔ים וִֽירִשְׁתֶּ֕ם אֶת־הָאָ֥רֶץ הַטּוֹבָ֖ה הַזֹּֽאת׃</w:t>
      </w:r>
    </w:p>
    <w:p w14:paraId="3B636727"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Denn ich werde sterben in diesem Land, ich werde nicht über den Jarden gehen; ihr aber werdet hinüberziehen und dieses gute Land in Besitz nehmen.</w:t>
      </w:r>
    </w:p>
    <w:p w14:paraId="6F7913CA"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21C4995D">
          <v:rect id="_x0000_i1158" style="width:0;height:1.5pt" o:hralign="center" o:hrstd="t" o:hr="t" fillcolor="#a0a0a0" stroked="f"/>
        </w:pict>
      </w:r>
    </w:p>
    <w:p w14:paraId="12F9174F"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lastRenderedPageBreak/>
        <w:t>Kommentar:</w:t>
      </w:r>
      <w:r w:rsidRPr="008D3E71">
        <w:rPr>
          <w:rFonts w:eastAsia="Times New Roman"/>
          <w:lang w:eastAsia="de-DE"/>
        </w:rPr>
        <w:t xml:space="preserve"> </w:t>
      </w:r>
      <w:r w:rsidRPr="008D3E71">
        <w:rPr>
          <w:rFonts w:eastAsia="Times New Roman"/>
          <w:b/>
          <w:bCs/>
          <w:rtl/>
          <w:lang w:eastAsia="de-DE"/>
        </w:rPr>
        <w:t>כִּי אָנֹכִי מֵת בָּאָרֶץ הַזֹּאת</w:t>
      </w:r>
      <w:r w:rsidRPr="008D3E71">
        <w:rPr>
          <w:rFonts w:eastAsia="Times New Roman"/>
          <w:rtl/>
          <w:lang w:eastAsia="de-DE"/>
        </w:rPr>
        <w:t xml:space="preserve"> </w:t>
      </w:r>
      <w:r w:rsidRPr="008D3E71">
        <w:rPr>
          <w:rFonts w:eastAsia="Times New Roman"/>
          <w:lang w:eastAsia="de-DE"/>
        </w:rPr>
        <w:t xml:space="preserve">ist ein kausaler bzw. explikativer Satz: </w:t>
      </w:r>
      <w:r w:rsidRPr="008D3E71">
        <w:rPr>
          <w:rFonts w:eastAsia="Times New Roman"/>
          <w:b/>
          <w:bCs/>
          <w:rtl/>
          <w:lang w:eastAsia="de-DE"/>
        </w:rPr>
        <w:t>כִּי</w:t>
      </w:r>
      <w:r w:rsidRPr="008D3E71">
        <w:rPr>
          <w:rFonts w:eastAsia="Times New Roman"/>
          <w:rtl/>
          <w:lang w:eastAsia="de-DE"/>
        </w:rPr>
        <w:t xml:space="preserve"> </w:t>
      </w:r>
      <w:r w:rsidRPr="008D3E71">
        <w:rPr>
          <w:rFonts w:eastAsia="Times New Roman"/>
          <w:lang w:eastAsia="de-DE"/>
        </w:rPr>
        <w:t xml:space="preserve">als Konjunktion, </w:t>
      </w:r>
      <w:r w:rsidRPr="008D3E71">
        <w:rPr>
          <w:rFonts w:eastAsia="Times New Roman"/>
          <w:b/>
          <w:bCs/>
          <w:rtl/>
          <w:lang w:eastAsia="de-DE"/>
        </w:rPr>
        <w:t>אָנֹכִי</w:t>
      </w:r>
      <w:r w:rsidRPr="008D3E71">
        <w:rPr>
          <w:rFonts w:eastAsia="Times New Roman"/>
          <w:rtl/>
          <w:lang w:eastAsia="de-DE"/>
        </w:rPr>
        <w:t xml:space="preserve"> </w:t>
      </w:r>
      <w:r w:rsidRPr="008D3E71">
        <w:rPr>
          <w:rFonts w:eastAsia="Times New Roman"/>
          <w:lang w:eastAsia="de-DE"/>
        </w:rPr>
        <w:t xml:space="preserve">als emphatisches Personalpronomen („ich"), </w:t>
      </w:r>
      <w:r w:rsidRPr="008D3E71">
        <w:rPr>
          <w:rFonts w:eastAsia="Times New Roman"/>
          <w:b/>
          <w:bCs/>
          <w:rtl/>
          <w:lang w:eastAsia="de-DE"/>
        </w:rPr>
        <w:t>מֵת</w:t>
      </w:r>
      <w:r w:rsidRPr="008D3E71">
        <w:rPr>
          <w:rFonts w:eastAsia="Times New Roman"/>
          <w:rtl/>
          <w:lang w:eastAsia="de-DE"/>
        </w:rPr>
        <w:t xml:space="preserve"> </w:t>
      </w:r>
      <w:r w:rsidRPr="008D3E71">
        <w:rPr>
          <w:rFonts w:eastAsia="Times New Roman"/>
          <w:lang w:eastAsia="de-DE"/>
        </w:rPr>
        <w:t xml:space="preserve">als Qal Partizip Singular maskulin von </w:t>
      </w:r>
      <w:r w:rsidRPr="008D3E71">
        <w:rPr>
          <w:rFonts w:eastAsia="Times New Roman"/>
          <w:b/>
          <w:bCs/>
          <w:rtl/>
          <w:lang w:eastAsia="de-DE"/>
        </w:rPr>
        <w:t>מות</w:t>
      </w:r>
      <w:r w:rsidRPr="008D3E71">
        <w:rPr>
          <w:rFonts w:eastAsia="Times New Roman"/>
          <w:rtl/>
          <w:lang w:eastAsia="de-DE"/>
        </w:rPr>
        <w:t xml:space="preserve"> </w:t>
      </w:r>
      <w:r w:rsidRPr="008D3E71">
        <w:rPr>
          <w:rFonts w:eastAsia="Times New Roman"/>
          <w:lang w:eastAsia="de-DE"/>
        </w:rPr>
        <w:t xml:space="preserve">(„sterben, sterbend") – hier futurisch „ich werde sterben", </w:t>
      </w:r>
      <w:r w:rsidRPr="008D3E71">
        <w:rPr>
          <w:rFonts w:eastAsia="Times New Roman"/>
          <w:b/>
          <w:bCs/>
          <w:rtl/>
          <w:lang w:eastAsia="de-DE"/>
        </w:rPr>
        <w:t>בָּאָרֶץ הַזֹּאת</w:t>
      </w:r>
      <w:r w:rsidRPr="008D3E71">
        <w:rPr>
          <w:rFonts w:eastAsia="Times New Roman"/>
          <w:rtl/>
          <w:lang w:eastAsia="de-DE"/>
        </w:rPr>
        <w:t xml:space="preserve"> </w:t>
      </w:r>
      <w:r w:rsidRPr="008D3E71">
        <w:rPr>
          <w:rFonts w:eastAsia="Times New Roman"/>
          <w:lang w:eastAsia="de-DE"/>
        </w:rPr>
        <w:t>als Ortsangabe (</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הָאָרֶץ</w:t>
      </w:r>
      <w:r w:rsidRPr="008D3E71">
        <w:rPr>
          <w:rFonts w:eastAsia="Times New Roman"/>
          <w:rtl/>
          <w:lang w:eastAsia="de-DE"/>
        </w:rPr>
        <w:t xml:space="preserve"> </w:t>
      </w:r>
      <w:r w:rsidRPr="008D3E71">
        <w:rPr>
          <w:rFonts w:eastAsia="Times New Roman"/>
          <w:lang w:eastAsia="de-DE"/>
        </w:rPr>
        <w:t xml:space="preserve">und Demonstrativpronomen </w:t>
      </w:r>
      <w:r w:rsidRPr="008D3E71">
        <w:rPr>
          <w:rFonts w:eastAsia="Times New Roman"/>
          <w:b/>
          <w:bCs/>
          <w:rtl/>
          <w:lang w:eastAsia="de-DE"/>
        </w:rPr>
        <w:t>הַזֹּאת</w:t>
      </w:r>
      <w:r w:rsidRPr="008D3E71">
        <w:rPr>
          <w:rFonts w:eastAsia="Times New Roman"/>
          <w:lang w:eastAsia="de-DE"/>
        </w:rPr>
        <w:t xml:space="preserve">). Die partizipiale Konstruktion mit </w:t>
      </w:r>
      <w:r w:rsidRPr="008D3E71">
        <w:rPr>
          <w:rFonts w:eastAsia="Times New Roman"/>
          <w:b/>
          <w:bCs/>
          <w:rtl/>
          <w:lang w:eastAsia="de-DE"/>
        </w:rPr>
        <w:t>אָנֹכִי</w:t>
      </w:r>
      <w:r w:rsidRPr="008D3E71">
        <w:rPr>
          <w:rFonts w:eastAsia="Times New Roman"/>
          <w:rtl/>
          <w:lang w:eastAsia="de-DE"/>
        </w:rPr>
        <w:t xml:space="preserve"> </w:t>
      </w:r>
      <w:r w:rsidRPr="008D3E71">
        <w:rPr>
          <w:rFonts w:eastAsia="Times New Roman"/>
          <w:lang w:eastAsia="de-DE"/>
        </w:rPr>
        <w:t>drückt eine feststehende, unausweichliche Zukunft aus.</w:t>
      </w:r>
    </w:p>
    <w:p w14:paraId="78FFECF7"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אֵינֶנִּי עֹבֵר אֶת־הַיַּרְדֵּן</w:t>
      </w:r>
      <w:r w:rsidRPr="008D3E71">
        <w:rPr>
          <w:rFonts w:eastAsia="Times New Roman"/>
          <w:rtl/>
          <w:lang w:eastAsia="de-DE"/>
        </w:rPr>
        <w:t xml:space="preserve"> </w:t>
      </w:r>
      <w:r w:rsidRPr="008D3E71">
        <w:rPr>
          <w:rFonts w:eastAsia="Times New Roman"/>
          <w:lang w:eastAsia="de-DE"/>
        </w:rPr>
        <w:t xml:space="preserve">ist ein nominaler Satz mit Negation und partizipialem Prädikat: </w:t>
      </w:r>
      <w:r w:rsidRPr="008D3E71">
        <w:rPr>
          <w:rFonts w:eastAsia="Times New Roman"/>
          <w:b/>
          <w:bCs/>
          <w:rtl/>
          <w:lang w:eastAsia="de-DE"/>
        </w:rPr>
        <w:t>אֵינֶנִּי</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אֵין</w:t>
      </w:r>
      <w:r w:rsidRPr="008D3E71">
        <w:rPr>
          <w:rFonts w:eastAsia="Times New Roman"/>
          <w:lang w:eastAsia="de-DE"/>
        </w:rPr>
        <w:t xml:space="preserve">, Negationspartikel, mit Suffix 1. Person Singular – „ich bin nicht"), </w:t>
      </w:r>
      <w:r w:rsidRPr="008D3E71">
        <w:rPr>
          <w:rFonts w:eastAsia="Times New Roman"/>
          <w:b/>
          <w:bCs/>
          <w:rtl/>
          <w:lang w:eastAsia="de-DE"/>
        </w:rPr>
        <w:t>עֹבֵר</w:t>
      </w:r>
      <w:r w:rsidRPr="008D3E71">
        <w:rPr>
          <w:rFonts w:eastAsia="Times New Roman"/>
          <w:rtl/>
          <w:lang w:eastAsia="de-DE"/>
        </w:rPr>
        <w:t xml:space="preserve"> </w:t>
      </w:r>
      <w:r w:rsidRPr="008D3E71">
        <w:rPr>
          <w:rFonts w:eastAsia="Times New Roman"/>
          <w:lang w:eastAsia="de-DE"/>
        </w:rPr>
        <w:t xml:space="preserve">als Qal Partizip Singular maskulin von </w:t>
      </w:r>
      <w:r w:rsidRPr="008D3E71">
        <w:rPr>
          <w:rFonts w:eastAsia="Times New Roman"/>
          <w:b/>
          <w:bCs/>
          <w:rtl/>
          <w:lang w:eastAsia="de-DE"/>
        </w:rPr>
        <w:t>עבר</w:t>
      </w:r>
      <w:r w:rsidRPr="008D3E71">
        <w:rPr>
          <w:rFonts w:eastAsia="Times New Roman"/>
          <w:lang w:eastAsia="de-DE"/>
        </w:rPr>
        <w:t xml:space="preserve">, </w:t>
      </w:r>
      <w:r w:rsidRPr="008D3E71">
        <w:rPr>
          <w:rFonts w:eastAsia="Times New Roman"/>
          <w:b/>
          <w:bCs/>
          <w:rtl/>
          <w:lang w:eastAsia="de-DE"/>
        </w:rPr>
        <w:t>אֶת־הַיַּרְדֵּן</w:t>
      </w:r>
      <w:r w:rsidRPr="008D3E71">
        <w:rPr>
          <w:rFonts w:eastAsia="Times New Roman"/>
          <w:rtl/>
          <w:lang w:eastAsia="de-DE"/>
        </w:rPr>
        <w:t xml:space="preserve"> </w:t>
      </w:r>
      <w:r w:rsidRPr="008D3E71">
        <w:rPr>
          <w:rFonts w:eastAsia="Times New Roman"/>
          <w:lang w:eastAsia="de-DE"/>
        </w:rPr>
        <w:t xml:space="preserve">als direktes Objekt. Die Konstruktion mit </w:t>
      </w:r>
      <w:r w:rsidRPr="008D3E71">
        <w:rPr>
          <w:rFonts w:eastAsia="Times New Roman"/>
          <w:b/>
          <w:bCs/>
          <w:rtl/>
          <w:lang w:eastAsia="de-DE"/>
        </w:rPr>
        <w:t>אֵין</w:t>
      </w:r>
      <w:r w:rsidRPr="008D3E71">
        <w:rPr>
          <w:rFonts w:eastAsia="Times New Roman"/>
          <w:rtl/>
          <w:lang w:eastAsia="de-DE"/>
        </w:rPr>
        <w:t xml:space="preserve"> </w:t>
      </w:r>
      <w:r w:rsidRPr="008D3E71">
        <w:rPr>
          <w:rFonts w:eastAsia="Times New Roman"/>
          <w:lang w:eastAsia="de-DE"/>
        </w:rPr>
        <w:t>und Partizip drückt kategorische Negation in der Gegenwart oder nahen Zukunft aus.</w:t>
      </w:r>
    </w:p>
    <w:p w14:paraId="0D32B393"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וְאַתֶּם עֹבְרִים</w:t>
      </w:r>
      <w:r w:rsidRPr="008D3E71">
        <w:rPr>
          <w:rFonts w:eastAsia="Times New Roman"/>
          <w:rtl/>
          <w:lang w:eastAsia="de-DE"/>
        </w:rPr>
        <w:t xml:space="preserve"> </w:t>
      </w:r>
      <w:r w:rsidRPr="008D3E71">
        <w:rPr>
          <w:rFonts w:eastAsia="Times New Roman"/>
          <w:lang w:eastAsia="de-DE"/>
        </w:rPr>
        <w:t xml:space="preserve">ist ein kontrastierender nominaler Satz: </w:t>
      </w:r>
      <w:r w:rsidRPr="008D3E71">
        <w:rPr>
          <w:rFonts w:eastAsia="Times New Roman"/>
          <w:b/>
          <w:bCs/>
          <w:rtl/>
          <w:lang w:eastAsia="de-DE"/>
        </w:rPr>
        <w:t>וְ</w:t>
      </w:r>
      <w:r w:rsidRPr="008D3E71">
        <w:rPr>
          <w:rFonts w:eastAsia="Times New Roman"/>
          <w:rtl/>
          <w:lang w:eastAsia="de-DE"/>
        </w:rPr>
        <w:t xml:space="preserve"> </w:t>
      </w:r>
      <w:r w:rsidRPr="008D3E71">
        <w:rPr>
          <w:rFonts w:eastAsia="Times New Roman"/>
          <w:lang w:eastAsia="de-DE"/>
        </w:rPr>
        <w:t xml:space="preserve">(adversativ), </w:t>
      </w:r>
      <w:r w:rsidRPr="008D3E71">
        <w:rPr>
          <w:rFonts w:eastAsia="Times New Roman"/>
          <w:b/>
          <w:bCs/>
          <w:rtl/>
          <w:lang w:eastAsia="de-DE"/>
        </w:rPr>
        <w:t>אַתֶּם</w:t>
      </w:r>
      <w:r w:rsidRPr="008D3E71">
        <w:rPr>
          <w:rFonts w:eastAsia="Times New Roman"/>
          <w:rtl/>
          <w:lang w:eastAsia="de-DE"/>
        </w:rPr>
        <w:t xml:space="preserve"> </w:t>
      </w:r>
      <w:r w:rsidRPr="008D3E71">
        <w:rPr>
          <w:rFonts w:eastAsia="Times New Roman"/>
          <w:lang w:eastAsia="de-DE"/>
        </w:rPr>
        <w:t xml:space="preserve">als Subjekt („ihr"), </w:t>
      </w:r>
      <w:r w:rsidRPr="008D3E71">
        <w:rPr>
          <w:rFonts w:eastAsia="Times New Roman"/>
          <w:b/>
          <w:bCs/>
          <w:rtl/>
          <w:lang w:eastAsia="de-DE"/>
        </w:rPr>
        <w:t>עֹבְרִים</w:t>
      </w:r>
      <w:r w:rsidRPr="008D3E71">
        <w:rPr>
          <w:rFonts w:eastAsia="Times New Roman"/>
          <w:rtl/>
          <w:lang w:eastAsia="de-DE"/>
        </w:rPr>
        <w:t xml:space="preserve"> </w:t>
      </w:r>
      <w:r w:rsidRPr="008D3E71">
        <w:rPr>
          <w:rFonts w:eastAsia="Times New Roman"/>
          <w:lang w:eastAsia="de-DE"/>
        </w:rPr>
        <w:t xml:space="preserve">als Qal Partizip Plural maskulin von </w:t>
      </w:r>
      <w:r w:rsidRPr="008D3E71">
        <w:rPr>
          <w:rFonts w:eastAsia="Times New Roman"/>
          <w:b/>
          <w:bCs/>
          <w:rtl/>
          <w:lang w:eastAsia="de-DE"/>
        </w:rPr>
        <w:t>עבר</w:t>
      </w:r>
      <w:r w:rsidRPr="008D3E71">
        <w:rPr>
          <w:rFonts w:eastAsia="Times New Roman"/>
          <w:rtl/>
          <w:lang w:eastAsia="de-DE"/>
        </w:rPr>
        <w:t xml:space="preserve"> </w:t>
      </w:r>
      <w:r w:rsidRPr="008D3E71">
        <w:rPr>
          <w:rFonts w:eastAsia="Times New Roman"/>
          <w:lang w:eastAsia="de-DE"/>
        </w:rPr>
        <w:t xml:space="preserve">– futurisch „ihr werdet hinübergehen". </w:t>
      </w:r>
      <w:r w:rsidRPr="008D3E71">
        <w:rPr>
          <w:rFonts w:eastAsia="Times New Roman"/>
          <w:b/>
          <w:bCs/>
          <w:rtl/>
          <w:lang w:eastAsia="de-DE"/>
        </w:rPr>
        <w:t>וִירִשְׁתֶּם אֶת־הָאָרֶץ הַטּוֹבָה הַזֹּאת</w:t>
      </w:r>
      <w:r w:rsidRPr="008D3E71">
        <w:rPr>
          <w:rFonts w:eastAsia="Times New Roman"/>
          <w:rtl/>
          <w:lang w:eastAsia="de-DE"/>
        </w:rPr>
        <w:t xml:space="preserve"> </w:t>
      </w:r>
      <w:r w:rsidRPr="008D3E71">
        <w:rPr>
          <w:rFonts w:eastAsia="Times New Roman"/>
          <w:lang w:eastAsia="de-DE"/>
        </w:rPr>
        <w:t xml:space="preserve">ist koordiniert: </w:t>
      </w:r>
      <w:r w:rsidRPr="008D3E71">
        <w:rPr>
          <w:rFonts w:eastAsia="Times New Roman"/>
          <w:b/>
          <w:bCs/>
          <w:rtl/>
          <w:lang w:eastAsia="de-DE"/>
        </w:rPr>
        <w:t>וִירִשְׁתֶּם</w:t>
      </w:r>
      <w:r w:rsidRPr="008D3E71">
        <w:rPr>
          <w:rFonts w:eastAsia="Times New Roman"/>
          <w:rtl/>
          <w:lang w:eastAsia="de-DE"/>
        </w:rPr>
        <w:t xml:space="preserve"> </w:t>
      </w:r>
      <w:r w:rsidRPr="008D3E71">
        <w:rPr>
          <w:rFonts w:eastAsia="Times New Roman"/>
          <w:lang w:eastAsia="de-DE"/>
        </w:rPr>
        <w:t xml:space="preserve">(Qal Perfekt consecutivum, 2. Person Plural maskulin von </w:t>
      </w:r>
      <w:r w:rsidRPr="008D3E71">
        <w:rPr>
          <w:rFonts w:eastAsia="Times New Roman"/>
          <w:b/>
          <w:bCs/>
          <w:rtl/>
          <w:lang w:eastAsia="de-DE"/>
        </w:rPr>
        <w:t>ירשׁ</w:t>
      </w:r>
      <w:r w:rsidRPr="008D3E71">
        <w:rPr>
          <w:rFonts w:eastAsia="Times New Roman"/>
          <w:rtl/>
          <w:lang w:eastAsia="de-DE"/>
        </w:rPr>
        <w:t xml:space="preserve"> </w:t>
      </w:r>
      <w:r w:rsidRPr="008D3E71">
        <w:rPr>
          <w:rFonts w:eastAsia="Times New Roman"/>
          <w:lang w:eastAsia="de-DE"/>
        </w:rPr>
        <w:t xml:space="preserve">mit Waw), </w:t>
      </w:r>
      <w:r w:rsidRPr="008D3E71">
        <w:rPr>
          <w:rFonts w:eastAsia="Times New Roman"/>
          <w:b/>
          <w:bCs/>
          <w:rtl/>
          <w:lang w:eastAsia="de-DE"/>
        </w:rPr>
        <w:t>אֶת־הָאָרֶץ הַטּוֹבָה הַזֹּאת</w:t>
      </w:r>
      <w:r w:rsidRPr="008D3E71">
        <w:rPr>
          <w:rFonts w:eastAsia="Times New Roman"/>
          <w:rtl/>
          <w:lang w:eastAsia="de-DE"/>
        </w:rPr>
        <w:t xml:space="preserve"> </w:t>
      </w:r>
      <w:r w:rsidRPr="008D3E71">
        <w:rPr>
          <w:rFonts w:eastAsia="Times New Roman"/>
          <w:lang w:eastAsia="de-DE"/>
        </w:rPr>
        <w:t xml:space="preserve">als direktes Objekt mit Adjektiv </w:t>
      </w:r>
      <w:r w:rsidRPr="008D3E71">
        <w:rPr>
          <w:rFonts w:eastAsia="Times New Roman"/>
          <w:b/>
          <w:bCs/>
          <w:rtl/>
          <w:lang w:eastAsia="de-DE"/>
        </w:rPr>
        <w:t>הַטּוֹבָה</w:t>
      </w:r>
      <w:r w:rsidRPr="008D3E71">
        <w:rPr>
          <w:rFonts w:eastAsia="Times New Roman"/>
          <w:rtl/>
          <w:lang w:eastAsia="de-DE"/>
        </w:rPr>
        <w:t xml:space="preserve"> </w:t>
      </w:r>
      <w:r w:rsidRPr="008D3E71">
        <w:rPr>
          <w:rFonts w:eastAsia="Times New Roman"/>
          <w:lang w:eastAsia="de-DE"/>
        </w:rPr>
        <w:t xml:space="preserve">und Demonstrativpronomen </w:t>
      </w:r>
      <w:r w:rsidRPr="008D3E71">
        <w:rPr>
          <w:rFonts w:eastAsia="Times New Roman"/>
          <w:b/>
          <w:bCs/>
          <w:rtl/>
          <w:lang w:eastAsia="de-DE"/>
        </w:rPr>
        <w:t>הַזֹּאת</w:t>
      </w:r>
      <w:r w:rsidRPr="008D3E71">
        <w:rPr>
          <w:rFonts w:eastAsia="Times New Roman"/>
          <w:lang w:eastAsia="de-DE"/>
        </w:rPr>
        <w:t>.</w:t>
      </w:r>
    </w:p>
    <w:p w14:paraId="6D1FBAFB"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Der Kontrast zwischen Mose und dem Volk wird durch die parallele Struktur unterstrichen: </w:t>
      </w:r>
      <w:r w:rsidRPr="008D3E71">
        <w:rPr>
          <w:rFonts w:eastAsia="Times New Roman"/>
          <w:b/>
          <w:bCs/>
          <w:rtl/>
          <w:lang w:eastAsia="de-DE"/>
        </w:rPr>
        <w:t>אָנֹכִי מֵת</w:t>
      </w:r>
      <w:r w:rsidRPr="008D3E71">
        <w:rPr>
          <w:rFonts w:eastAsia="Times New Roman"/>
          <w:rtl/>
          <w:lang w:eastAsia="de-DE"/>
        </w:rPr>
        <w:t xml:space="preserve"> </w:t>
      </w:r>
      <w:r w:rsidRPr="008D3E71">
        <w:rPr>
          <w:rFonts w:eastAsia="Times New Roman"/>
          <w:lang w:eastAsia="de-DE"/>
        </w:rPr>
        <w:t xml:space="preserve">– </w:t>
      </w:r>
      <w:r w:rsidRPr="008D3E71">
        <w:rPr>
          <w:rFonts w:eastAsia="Times New Roman"/>
          <w:b/>
          <w:bCs/>
          <w:rtl/>
          <w:lang w:eastAsia="de-DE"/>
        </w:rPr>
        <w:t>אֵינֶנִּי עֹבֵר</w:t>
      </w:r>
      <w:r w:rsidRPr="008D3E71">
        <w:rPr>
          <w:rFonts w:eastAsia="Times New Roman"/>
          <w:rtl/>
          <w:lang w:eastAsia="de-DE"/>
        </w:rPr>
        <w:t xml:space="preserve"> </w:t>
      </w:r>
      <w:r w:rsidRPr="008D3E71">
        <w:rPr>
          <w:rFonts w:eastAsia="Times New Roman"/>
          <w:lang w:eastAsia="de-DE"/>
        </w:rPr>
        <w:t xml:space="preserve">versus </w:t>
      </w:r>
      <w:r w:rsidRPr="008D3E71">
        <w:rPr>
          <w:rFonts w:eastAsia="Times New Roman"/>
          <w:b/>
          <w:bCs/>
          <w:rtl/>
          <w:lang w:eastAsia="de-DE"/>
        </w:rPr>
        <w:t>אַתֶּם עֹבְרִים</w:t>
      </w:r>
      <w:r w:rsidRPr="008D3E71">
        <w:rPr>
          <w:rFonts w:eastAsia="Times New Roman"/>
          <w:rtl/>
          <w:lang w:eastAsia="de-DE"/>
        </w:rPr>
        <w:t xml:space="preserve"> </w:t>
      </w:r>
      <w:r w:rsidRPr="008D3E71">
        <w:rPr>
          <w:rFonts w:eastAsia="Times New Roman"/>
          <w:lang w:eastAsia="de-DE"/>
        </w:rPr>
        <w:t xml:space="preserve">– </w:t>
      </w:r>
      <w:r w:rsidRPr="008D3E71">
        <w:rPr>
          <w:rFonts w:eastAsia="Times New Roman"/>
          <w:b/>
          <w:bCs/>
          <w:rtl/>
          <w:lang w:eastAsia="de-DE"/>
        </w:rPr>
        <w:t>וִירִשְׁתֶּם</w:t>
      </w:r>
      <w:r w:rsidRPr="008D3E71">
        <w:rPr>
          <w:rFonts w:eastAsia="Times New Roman"/>
          <w:lang w:eastAsia="de-DE"/>
        </w:rPr>
        <w:t xml:space="preserve">. Das wiederholte </w:t>
      </w:r>
      <w:r w:rsidRPr="008D3E71">
        <w:rPr>
          <w:rFonts w:eastAsia="Times New Roman"/>
          <w:b/>
          <w:bCs/>
          <w:rtl/>
          <w:lang w:eastAsia="de-DE"/>
        </w:rPr>
        <w:t>עבר</w:t>
      </w:r>
      <w:r w:rsidRPr="008D3E71">
        <w:rPr>
          <w:rFonts w:eastAsia="Times New Roman"/>
          <w:rtl/>
          <w:lang w:eastAsia="de-DE"/>
        </w:rPr>
        <w:t xml:space="preserve"> </w:t>
      </w:r>
      <w:r w:rsidRPr="008D3E71">
        <w:rPr>
          <w:rFonts w:eastAsia="Times New Roman"/>
          <w:lang w:eastAsia="de-DE"/>
        </w:rPr>
        <w:t>in verschiedenen Formen (negiert und affirmiert, Singular und Plural) betont den zentralen Unterschied. Moses Tod „in diesem Land" bezieht sich auf das Ostjordanland, während „das gute Land" sich auf das Westjordanland bezieht.</w:t>
      </w:r>
    </w:p>
    <w:p w14:paraId="7555324E"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Satzstruktur besteht aus einem kausalen Satz mit emphatischem Pronomen, partizipialem Prädikat und Ortsangabe, einem negierten nominalen Satz mit partizipialem Prädikat und direktem Objekt, einem kontrastierenden nominalen Satz mit partizipialem Prädikat, und einem konsekutiven Verb mit direktem Objekt (Adjektiv und Demonstrativpronomen). Die Struktur schafft einen scharfen Kontrast zwischen Moses Schicksal und dem des Volkes.</w:t>
      </w:r>
    </w:p>
    <w:p w14:paraId="6077D5BE"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Der Vers stellt Moses eigenes Schicksal (Tod im Ostjordanland) dem des Volkes (Einzug und Landnahme) gegenüber – ein bewegendes persönliches Bekenntnis.</w:t>
      </w:r>
    </w:p>
    <w:p w14:paraId="704FBA27"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4,23</w:t>
      </w:r>
    </w:p>
    <w:p w14:paraId="3DA56C18"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הִשָּׁמְר֣וּ לָכֶ֗ם פֶּֽן־תִּשְׁכְּחוּ֙ אֶת־בְּרִ֤ית יְהוָה֙ אֱלֹ֣הֵיכֶ֔ם אֲשֶׁ֥ר כָּרַ֖ת עִמָּכֶ֑ם וַעֲשִׂיתֶ֨ם לָכֶ֥ם פֶּ֨סֶל֙ תְּמ֣וּנַת כֹּ֔ל אֲשֶׁ֥ר צִוְּךָ֖ יְהוָ֥ה אֱלֹהֶֽיךָ׃</w:t>
      </w:r>
    </w:p>
    <w:p w14:paraId="0E30AD5D"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Hütet euch, dass ihr nicht vergesst den Bund des Ewigen, eures Gottes, den er mit euch geschlossen hat, und euch ein geschnitztes Bild macht, eine Gestalt von irgendetwas, das der Ewige, dein Gott, dir geboten hat.</w:t>
      </w:r>
    </w:p>
    <w:p w14:paraId="7C7777B0"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0E3C55DC">
          <v:rect id="_x0000_i1159" style="width:0;height:1.5pt" o:hralign="center" o:hrstd="t" o:hr="t" fillcolor="#a0a0a0" stroked="f"/>
        </w:pict>
      </w:r>
    </w:p>
    <w:p w14:paraId="0E378FE7"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הִשָּׁמְרוּ לָכֶם</w:t>
      </w:r>
      <w:r w:rsidRPr="008D3E71">
        <w:rPr>
          <w:rFonts w:eastAsia="Times New Roman"/>
          <w:rtl/>
          <w:lang w:eastAsia="de-DE"/>
        </w:rPr>
        <w:t xml:space="preserve"> </w:t>
      </w:r>
      <w:r w:rsidRPr="008D3E71">
        <w:rPr>
          <w:rFonts w:eastAsia="Times New Roman"/>
          <w:lang w:eastAsia="de-DE"/>
        </w:rPr>
        <w:t xml:space="preserve">ist Nifal Imperativ, 2. Person Plural maskulin von </w:t>
      </w:r>
      <w:r w:rsidRPr="008D3E71">
        <w:rPr>
          <w:rFonts w:eastAsia="Times New Roman"/>
          <w:b/>
          <w:bCs/>
          <w:rtl/>
          <w:lang w:eastAsia="de-DE"/>
        </w:rPr>
        <w:t>שׁמר</w:t>
      </w:r>
      <w:r w:rsidRPr="008D3E71">
        <w:rPr>
          <w:rFonts w:eastAsia="Times New Roman"/>
          <w:rtl/>
          <w:lang w:eastAsia="de-DE"/>
        </w:rPr>
        <w:t xml:space="preserve"> </w:t>
      </w:r>
      <w:r w:rsidRPr="008D3E71">
        <w:rPr>
          <w:rFonts w:eastAsia="Times New Roman"/>
          <w:lang w:eastAsia="de-DE"/>
        </w:rPr>
        <w:t xml:space="preserve">(„sich hüten") mit reflexivem Dativ </w:t>
      </w:r>
      <w:r w:rsidRPr="008D3E71">
        <w:rPr>
          <w:rFonts w:eastAsia="Times New Roman"/>
          <w:b/>
          <w:bCs/>
          <w:rtl/>
          <w:lang w:eastAsia="de-DE"/>
        </w:rPr>
        <w:t>לָכֶם</w:t>
      </w:r>
      <w:r w:rsidRPr="008D3E71">
        <w:rPr>
          <w:rFonts w:eastAsia="Times New Roman"/>
          <w:rtl/>
          <w:lang w:eastAsia="de-DE"/>
        </w:rPr>
        <w:t xml:space="preserve"> </w:t>
      </w:r>
      <w:r w:rsidRPr="008D3E71">
        <w:rPr>
          <w:rFonts w:eastAsia="Times New Roman"/>
          <w:lang w:eastAsia="de-DE"/>
        </w:rPr>
        <w:t xml:space="preserve">(„für euch selbst"). </w:t>
      </w:r>
      <w:r w:rsidRPr="008D3E71">
        <w:rPr>
          <w:rFonts w:eastAsia="Times New Roman"/>
          <w:b/>
          <w:bCs/>
          <w:rtl/>
          <w:lang w:eastAsia="de-DE"/>
        </w:rPr>
        <w:t>פֶּן־תִּשְׁכְּחוּ אֶת־בְּרִית יְהוָה אֱלֹהֵיכֶם</w:t>
      </w:r>
      <w:r w:rsidRPr="008D3E71">
        <w:rPr>
          <w:rFonts w:eastAsia="Times New Roman"/>
          <w:rtl/>
          <w:lang w:eastAsia="de-DE"/>
        </w:rPr>
        <w:t xml:space="preserve"> </w:t>
      </w:r>
      <w:r w:rsidRPr="008D3E71">
        <w:rPr>
          <w:rFonts w:eastAsia="Times New Roman"/>
          <w:lang w:eastAsia="de-DE"/>
        </w:rPr>
        <w:t xml:space="preserve">ist eine negative finale Konstruktion: </w:t>
      </w:r>
      <w:r w:rsidRPr="008D3E71">
        <w:rPr>
          <w:rFonts w:eastAsia="Times New Roman"/>
          <w:b/>
          <w:bCs/>
          <w:rtl/>
          <w:lang w:eastAsia="de-DE"/>
        </w:rPr>
        <w:t>פֶּן</w:t>
      </w:r>
      <w:r w:rsidRPr="008D3E71">
        <w:rPr>
          <w:rFonts w:eastAsia="Times New Roman"/>
          <w:rtl/>
          <w:lang w:eastAsia="de-DE"/>
        </w:rPr>
        <w:t xml:space="preserve"> </w:t>
      </w:r>
      <w:r w:rsidRPr="008D3E71">
        <w:rPr>
          <w:rFonts w:eastAsia="Times New Roman"/>
          <w:lang w:eastAsia="de-DE"/>
        </w:rPr>
        <w:t xml:space="preserve">(„damit nicht") mit </w:t>
      </w:r>
      <w:r w:rsidRPr="008D3E71">
        <w:rPr>
          <w:rFonts w:eastAsia="Times New Roman"/>
          <w:b/>
          <w:bCs/>
          <w:rtl/>
          <w:lang w:eastAsia="de-DE"/>
        </w:rPr>
        <w:t>תִּשְׁכְּחוּ</w:t>
      </w:r>
      <w:r w:rsidRPr="008D3E71">
        <w:rPr>
          <w:rFonts w:eastAsia="Times New Roman"/>
          <w:rtl/>
          <w:lang w:eastAsia="de-DE"/>
        </w:rPr>
        <w:t xml:space="preserve"> </w:t>
      </w:r>
      <w:r w:rsidRPr="008D3E71">
        <w:rPr>
          <w:rFonts w:eastAsia="Times New Roman"/>
          <w:lang w:eastAsia="de-DE"/>
        </w:rPr>
        <w:t xml:space="preserve">(Qal Imperfekt, 2. Person Plural </w:t>
      </w:r>
      <w:r w:rsidRPr="008D3E71">
        <w:rPr>
          <w:rFonts w:eastAsia="Times New Roman"/>
          <w:lang w:eastAsia="de-DE"/>
        </w:rPr>
        <w:lastRenderedPageBreak/>
        <w:t xml:space="preserve">maskulin von </w:t>
      </w:r>
      <w:r w:rsidRPr="008D3E71">
        <w:rPr>
          <w:rFonts w:eastAsia="Times New Roman"/>
          <w:b/>
          <w:bCs/>
          <w:rtl/>
          <w:lang w:eastAsia="de-DE"/>
        </w:rPr>
        <w:t>שׁכח</w:t>
      </w:r>
      <w:r w:rsidRPr="008D3E71">
        <w:rPr>
          <w:rFonts w:eastAsia="Times New Roman"/>
          <w:lang w:eastAsia="de-DE"/>
        </w:rPr>
        <w:t xml:space="preserve">, „vergessen"), </w:t>
      </w:r>
      <w:r w:rsidRPr="008D3E71">
        <w:rPr>
          <w:rFonts w:eastAsia="Times New Roman"/>
          <w:b/>
          <w:bCs/>
          <w:rtl/>
          <w:lang w:eastAsia="de-DE"/>
        </w:rPr>
        <w:t>אֶת־בְּרִית יְהוָה אֱלֹהֵיכֶם</w:t>
      </w:r>
      <w:r w:rsidRPr="008D3E71">
        <w:rPr>
          <w:rFonts w:eastAsia="Times New Roman"/>
          <w:rtl/>
          <w:lang w:eastAsia="de-DE"/>
        </w:rPr>
        <w:t xml:space="preserve"> </w:t>
      </w:r>
      <w:r w:rsidRPr="008D3E71">
        <w:rPr>
          <w:rFonts w:eastAsia="Times New Roman"/>
          <w:lang w:eastAsia="de-DE"/>
        </w:rPr>
        <w:t>als direktes Objekt (</w:t>
      </w:r>
      <w:r w:rsidRPr="008D3E71">
        <w:rPr>
          <w:rFonts w:eastAsia="Times New Roman"/>
          <w:b/>
          <w:bCs/>
          <w:rtl/>
          <w:lang w:eastAsia="de-DE"/>
        </w:rPr>
        <w:t>בְּרִית</w:t>
      </w:r>
      <w:r w:rsidRPr="008D3E71">
        <w:rPr>
          <w:rFonts w:eastAsia="Times New Roman"/>
          <w:lang w:eastAsia="de-DE"/>
        </w:rPr>
        <w:t xml:space="preserve">, „Bund", in Construct-Verbindung mit </w:t>
      </w:r>
      <w:r w:rsidRPr="008D3E71">
        <w:rPr>
          <w:rFonts w:eastAsia="Times New Roman"/>
          <w:b/>
          <w:bCs/>
          <w:rtl/>
          <w:lang w:eastAsia="de-DE"/>
        </w:rPr>
        <w:t>יְהוָה אֱלֹהֵיכֶם</w:t>
      </w:r>
      <w:r w:rsidRPr="008D3E71">
        <w:rPr>
          <w:rFonts w:eastAsia="Times New Roman"/>
          <w:lang w:eastAsia="de-DE"/>
        </w:rPr>
        <w:t>).</w:t>
      </w:r>
    </w:p>
    <w:p w14:paraId="0498593A"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אֲשֶׁר כָּרַת עִמָּכֶם</w:t>
      </w:r>
      <w:r w:rsidRPr="008D3E71">
        <w:rPr>
          <w:rFonts w:eastAsia="Times New Roman"/>
          <w:rtl/>
          <w:lang w:eastAsia="de-DE"/>
        </w:rPr>
        <w:t xml:space="preserve"> </w:t>
      </w:r>
      <w:r w:rsidRPr="008D3E71">
        <w:rPr>
          <w:rFonts w:eastAsia="Times New Roman"/>
          <w:lang w:eastAsia="de-DE"/>
        </w:rPr>
        <w:t xml:space="preserve">ist ein Relativsatz: </w:t>
      </w:r>
      <w:r w:rsidRPr="008D3E71">
        <w:rPr>
          <w:rFonts w:eastAsia="Times New Roman"/>
          <w:b/>
          <w:bCs/>
          <w:rtl/>
          <w:lang w:eastAsia="de-DE"/>
        </w:rPr>
        <w:t>אֲשֶׁר</w:t>
      </w:r>
      <w:r w:rsidRPr="008D3E71">
        <w:rPr>
          <w:rFonts w:eastAsia="Times New Roman"/>
          <w:rtl/>
          <w:lang w:eastAsia="de-DE"/>
        </w:rPr>
        <w:t xml:space="preserve"> </w:t>
      </w:r>
      <w:r w:rsidRPr="008D3E71">
        <w:rPr>
          <w:rFonts w:eastAsia="Times New Roman"/>
          <w:lang w:eastAsia="de-DE"/>
        </w:rPr>
        <w:t xml:space="preserve">als Relativpronomen, </w:t>
      </w:r>
      <w:r w:rsidRPr="008D3E71">
        <w:rPr>
          <w:rFonts w:eastAsia="Times New Roman"/>
          <w:b/>
          <w:bCs/>
          <w:rtl/>
          <w:lang w:eastAsia="de-DE"/>
        </w:rPr>
        <w:t>כָּרַת</w:t>
      </w:r>
      <w:r w:rsidRPr="008D3E71">
        <w:rPr>
          <w:rFonts w:eastAsia="Times New Roman"/>
          <w:rtl/>
          <w:lang w:eastAsia="de-DE"/>
        </w:rPr>
        <w:t xml:space="preserve"> </w:t>
      </w:r>
      <w:r w:rsidRPr="008D3E71">
        <w:rPr>
          <w:rFonts w:eastAsia="Times New Roman"/>
          <w:lang w:eastAsia="de-DE"/>
        </w:rPr>
        <w:t xml:space="preserve">als Qal Perfekt, 3. Person Singular maskulin von </w:t>
      </w:r>
      <w:r w:rsidRPr="008D3E71">
        <w:rPr>
          <w:rFonts w:eastAsia="Times New Roman"/>
          <w:b/>
          <w:bCs/>
          <w:rtl/>
          <w:lang w:eastAsia="de-DE"/>
        </w:rPr>
        <w:t>כרת</w:t>
      </w:r>
      <w:r w:rsidRPr="008D3E71">
        <w:rPr>
          <w:rFonts w:eastAsia="Times New Roman"/>
          <w:rtl/>
          <w:lang w:eastAsia="de-DE"/>
        </w:rPr>
        <w:t xml:space="preserve"> </w:t>
      </w:r>
      <w:r w:rsidRPr="008D3E71">
        <w:rPr>
          <w:rFonts w:eastAsia="Times New Roman"/>
          <w:lang w:eastAsia="de-DE"/>
        </w:rPr>
        <w:t xml:space="preserve">(„schneiden" – idiomatisch mit </w:t>
      </w:r>
      <w:r w:rsidRPr="008D3E71">
        <w:rPr>
          <w:rFonts w:eastAsia="Times New Roman"/>
          <w:b/>
          <w:bCs/>
          <w:rtl/>
          <w:lang w:eastAsia="de-DE"/>
        </w:rPr>
        <w:t>בְּרִית</w:t>
      </w:r>
      <w:r w:rsidRPr="008D3E71">
        <w:rPr>
          <w:rFonts w:eastAsia="Times New Roman"/>
          <w:lang w:eastAsia="de-DE"/>
        </w:rPr>
        <w:t xml:space="preserve">: „einen Bund schließen"), </w:t>
      </w:r>
      <w:r w:rsidRPr="008D3E71">
        <w:rPr>
          <w:rFonts w:eastAsia="Times New Roman"/>
          <w:b/>
          <w:bCs/>
          <w:rtl/>
          <w:lang w:eastAsia="de-DE"/>
        </w:rPr>
        <w:t>עִמָּכֶם</w:t>
      </w:r>
      <w:r w:rsidRPr="008D3E71">
        <w:rPr>
          <w:rFonts w:eastAsia="Times New Roman"/>
          <w:rtl/>
          <w:lang w:eastAsia="de-DE"/>
        </w:rPr>
        <w:t xml:space="preserve"> </w:t>
      </w:r>
      <w:r w:rsidRPr="008D3E71">
        <w:rPr>
          <w:rFonts w:eastAsia="Times New Roman"/>
          <w:lang w:eastAsia="de-DE"/>
        </w:rPr>
        <w:t xml:space="preserve">als Präposition </w:t>
      </w:r>
      <w:r w:rsidRPr="008D3E71">
        <w:rPr>
          <w:rFonts w:eastAsia="Times New Roman"/>
          <w:b/>
          <w:bCs/>
          <w:rtl/>
          <w:lang w:eastAsia="de-DE"/>
        </w:rPr>
        <w:t>עִם</w:t>
      </w:r>
      <w:r w:rsidRPr="008D3E71">
        <w:rPr>
          <w:rFonts w:eastAsia="Times New Roman"/>
          <w:rtl/>
          <w:lang w:eastAsia="de-DE"/>
        </w:rPr>
        <w:t xml:space="preserve"> </w:t>
      </w:r>
      <w:r w:rsidRPr="008D3E71">
        <w:rPr>
          <w:rFonts w:eastAsia="Times New Roman"/>
          <w:lang w:eastAsia="de-DE"/>
        </w:rPr>
        <w:t xml:space="preserve">(„mit") mit Suffix 2. Person Plural maskulin. Die idiomatische Wendung </w:t>
      </w:r>
      <w:r w:rsidRPr="008D3E71">
        <w:rPr>
          <w:rFonts w:eastAsia="Times New Roman"/>
          <w:b/>
          <w:bCs/>
          <w:rtl/>
          <w:lang w:eastAsia="de-DE"/>
        </w:rPr>
        <w:t>כרת בְּרִית</w:t>
      </w:r>
      <w:r w:rsidRPr="008D3E71">
        <w:rPr>
          <w:rFonts w:eastAsia="Times New Roman"/>
          <w:rtl/>
          <w:lang w:eastAsia="de-DE"/>
        </w:rPr>
        <w:t xml:space="preserve"> </w:t>
      </w:r>
      <w:r w:rsidRPr="008D3E71">
        <w:rPr>
          <w:rFonts w:eastAsia="Times New Roman"/>
          <w:lang w:eastAsia="de-DE"/>
        </w:rPr>
        <w:t>(wörtlich „einen Bund schneiden") bezieht sich auf das rituelle Zerschneiden von Tieren bei der Bundesschließung.</w:t>
      </w:r>
    </w:p>
    <w:p w14:paraId="63A3C469"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וַעֲשִׂיתֶם לָכֶם פֶּסֶל תְּמוּנַת כֹּל</w:t>
      </w:r>
      <w:r w:rsidRPr="008D3E71">
        <w:rPr>
          <w:rFonts w:eastAsia="Times New Roman"/>
          <w:rtl/>
          <w:lang w:eastAsia="de-DE"/>
        </w:rPr>
        <w:t xml:space="preserve"> </w:t>
      </w:r>
      <w:r w:rsidRPr="008D3E71">
        <w:rPr>
          <w:rFonts w:eastAsia="Times New Roman"/>
          <w:lang w:eastAsia="de-DE"/>
        </w:rPr>
        <w:t xml:space="preserve">ist koordiniert zum ersten </w:t>
      </w:r>
      <w:r w:rsidRPr="008D3E71">
        <w:rPr>
          <w:rFonts w:eastAsia="Times New Roman"/>
          <w:b/>
          <w:bCs/>
          <w:rtl/>
          <w:lang w:eastAsia="de-DE"/>
        </w:rPr>
        <w:t>פֶּן</w:t>
      </w:r>
      <w:r w:rsidRPr="008D3E71">
        <w:rPr>
          <w:rFonts w:eastAsia="Times New Roman"/>
          <w:lang w:eastAsia="de-DE"/>
        </w:rPr>
        <w:t xml:space="preserve">-Satz: </w:t>
      </w:r>
      <w:r w:rsidRPr="008D3E71">
        <w:rPr>
          <w:rFonts w:eastAsia="Times New Roman"/>
          <w:b/>
          <w:bCs/>
          <w:rtl/>
          <w:lang w:eastAsia="de-DE"/>
        </w:rPr>
        <w:t>וַעֲשִׂיתֶם</w:t>
      </w:r>
      <w:r w:rsidRPr="008D3E71">
        <w:rPr>
          <w:rFonts w:eastAsia="Times New Roman"/>
          <w:rtl/>
          <w:lang w:eastAsia="de-DE"/>
        </w:rPr>
        <w:t xml:space="preserve"> </w:t>
      </w:r>
      <w:r w:rsidRPr="008D3E71">
        <w:rPr>
          <w:rFonts w:eastAsia="Times New Roman"/>
          <w:lang w:eastAsia="de-DE"/>
        </w:rPr>
        <w:t xml:space="preserve">(Qal Perfekt consecutivum, 2. Person Plural maskulin von </w:t>
      </w:r>
      <w:r w:rsidRPr="008D3E71">
        <w:rPr>
          <w:rFonts w:eastAsia="Times New Roman"/>
          <w:b/>
          <w:bCs/>
          <w:rtl/>
          <w:lang w:eastAsia="de-DE"/>
        </w:rPr>
        <w:t>עשׂה</w:t>
      </w:r>
      <w:r w:rsidRPr="008D3E71">
        <w:rPr>
          <w:rFonts w:eastAsia="Times New Roman"/>
          <w:rtl/>
          <w:lang w:eastAsia="de-DE"/>
        </w:rPr>
        <w:t xml:space="preserve"> </w:t>
      </w:r>
      <w:r w:rsidRPr="008D3E71">
        <w:rPr>
          <w:rFonts w:eastAsia="Times New Roman"/>
          <w:lang w:eastAsia="de-DE"/>
        </w:rPr>
        <w:t xml:space="preserve">mit Waw), </w:t>
      </w:r>
      <w:r w:rsidRPr="008D3E71">
        <w:rPr>
          <w:rFonts w:eastAsia="Times New Roman"/>
          <w:b/>
          <w:bCs/>
          <w:rtl/>
          <w:lang w:eastAsia="de-DE"/>
        </w:rPr>
        <w:t>לָכֶם</w:t>
      </w:r>
      <w:r w:rsidRPr="008D3E71">
        <w:rPr>
          <w:rFonts w:eastAsia="Times New Roman"/>
          <w:rtl/>
          <w:lang w:eastAsia="de-DE"/>
        </w:rPr>
        <w:t xml:space="preserve"> </w:t>
      </w:r>
      <w:r w:rsidRPr="008D3E71">
        <w:rPr>
          <w:rFonts w:eastAsia="Times New Roman"/>
          <w:lang w:eastAsia="de-DE"/>
        </w:rPr>
        <w:t xml:space="preserve">als Dativ, </w:t>
      </w:r>
      <w:r w:rsidRPr="008D3E71">
        <w:rPr>
          <w:rFonts w:eastAsia="Times New Roman"/>
          <w:b/>
          <w:bCs/>
          <w:rtl/>
          <w:lang w:eastAsia="de-DE"/>
        </w:rPr>
        <w:t>פֶּסֶל</w:t>
      </w:r>
      <w:r w:rsidRPr="008D3E71">
        <w:rPr>
          <w:rFonts w:eastAsia="Times New Roman"/>
          <w:rtl/>
          <w:lang w:eastAsia="de-DE"/>
        </w:rPr>
        <w:t xml:space="preserve"> </w:t>
      </w:r>
      <w:r w:rsidRPr="008D3E71">
        <w:rPr>
          <w:rFonts w:eastAsia="Times New Roman"/>
          <w:lang w:eastAsia="de-DE"/>
        </w:rPr>
        <w:t xml:space="preserve">als direktes Objekt, </w:t>
      </w:r>
      <w:r w:rsidRPr="008D3E71">
        <w:rPr>
          <w:rFonts w:eastAsia="Times New Roman"/>
          <w:b/>
          <w:bCs/>
          <w:rtl/>
          <w:lang w:eastAsia="de-DE"/>
        </w:rPr>
        <w:t>תְּמוּנַת כֹּל</w:t>
      </w:r>
      <w:r w:rsidRPr="008D3E71">
        <w:rPr>
          <w:rFonts w:eastAsia="Times New Roman"/>
          <w:rtl/>
          <w:lang w:eastAsia="de-DE"/>
        </w:rPr>
        <w:t xml:space="preserve"> </w:t>
      </w:r>
      <w:r w:rsidRPr="008D3E71">
        <w:rPr>
          <w:rFonts w:eastAsia="Times New Roman"/>
          <w:lang w:eastAsia="de-DE"/>
        </w:rPr>
        <w:t>als appositionelle Erklärung (</w:t>
      </w:r>
      <w:r w:rsidRPr="008D3E71">
        <w:rPr>
          <w:rFonts w:eastAsia="Times New Roman"/>
          <w:b/>
          <w:bCs/>
          <w:rtl/>
          <w:lang w:eastAsia="de-DE"/>
        </w:rPr>
        <w:t>תְּמוּנַה</w:t>
      </w:r>
      <w:r w:rsidRPr="008D3E71">
        <w:rPr>
          <w:rFonts w:eastAsia="Times New Roman"/>
          <w:rtl/>
          <w:lang w:eastAsia="de-DE"/>
        </w:rPr>
        <w:t xml:space="preserve"> </w:t>
      </w:r>
      <w:r w:rsidRPr="008D3E71">
        <w:rPr>
          <w:rFonts w:eastAsia="Times New Roman"/>
          <w:lang w:eastAsia="de-DE"/>
        </w:rPr>
        <w:t xml:space="preserve">im Construct mit </w:t>
      </w:r>
      <w:r w:rsidRPr="008D3E71">
        <w:rPr>
          <w:rFonts w:eastAsia="Times New Roman"/>
          <w:b/>
          <w:bCs/>
          <w:rtl/>
          <w:lang w:eastAsia="de-DE"/>
        </w:rPr>
        <w:t>כֹּל</w:t>
      </w:r>
      <w:r w:rsidRPr="008D3E71">
        <w:rPr>
          <w:rFonts w:eastAsia="Times New Roman"/>
          <w:rtl/>
          <w:lang w:eastAsia="de-DE"/>
        </w:rPr>
        <w:t xml:space="preserve"> </w:t>
      </w:r>
      <w:r w:rsidRPr="008D3E71">
        <w:rPr>
          <w:rFonts w:eastAsia="Times New Roman"/>
          <w:lang w:eastAsia="de-DE"/>
        </w:rPr>
        <w:t xml:space="preserve">– „Gestalt von allem, jeglicher Gestalt"). </w:t>
      </w:r>
      <w:r w:rsidRPr="008D3E71">
        <w:rPr>
          <w:rFonts w:eastAsia="Times New Roman"/>
          <w:b/>
          <w:bCs/>
          <w:rtl/>
          <w:lang w:eastAsia="de-DE"/>
        </w:rPr>
        <w:t>אֲשֶׁר צִוְּךָ יְהוָה אֱלֹהֶיךָ</w:t>
      </w:r>
      <w:r w:rsidRPr="008D3E71">
        <w:rPr>
          <w:rFonts w:eastAsia="Times New Roman"/>
          <w:rtl/>
          <w:lang w:eastAsia="de-DE"/>
        </w:rPr>
        <w:t xml:space="preserve"> </w:t>
      </w:r>
      <w:r w:rsidRPr="008D3E71">
        <w:rPr>
          <w:rFonts w:eastAsia="Times New Roman"/>
          <w:lang w:eastAsia="de-DE"/>
        </w:rPr>
        <w:t xml:space="preserve">ist ein Relativsatz: </w:t>
      </w:r>
      <w:r w:rsidRPr="008D3E71">
        <w:rPr>
          <w:rFonts w:eastAsia="Times New Roman"/>
          <w:b/>
          <w:bCs/>
          <w:rtl/>
          <w:lang w:eastAsia="de-DE"/>
        </w:rPr>
        <w:t>אֲשֶׁר</w:t>
      </w:r>
      <w:r w:rsidRPr="008D3E71">
        <w:rPr>
          <w:rFonts w:eastAsia="Times New Roman"/>
          <w:rtl/>
          <w:lang w:eastAsia="de-DE"/>
        </w:rPr>
        <w:t xml:space="preserve"> </w:t>
      </w:r>
      <w:r w:rsidRPr="008D3E71">
        <w:rPr>
          <w:rFonts w:eastAsia="Times New Roman"/>
          <w:lang w:eastAsia="de-DE"/>
        </w:rPr>
        <w:t xml:space="preserve">als Relativpronomen (hier bezogen auf das Verbot, nicht auf </w:t>
      </w:r>
      <w:r w:rsidRPr="008D3E71">
        <w:rPr>
          <w:rFonts w:eastAsia="Times New Roman"/>
          <w:b/>
          <w:bCs/>
          <w:rtl/>
          <w:lang w:eastAsia="de-DE"/>
        </w:rPr>
        <w:t>כֹּל</w:t>
      </w:r>
      <w:r w:rsidRPr="008D3E71">
        <w:rPr>
          <w:rFonts w:eastAsia="Times New Roman"/>
          <w:lang w:eastAsia="de-DE"/>
        </w:rPr>
        <w:t xml:space="preserve">), </w:t>
      </w:r>
      <w:r w:rsidRPr="008D3E71">
        <w:rPr>
          <w:rFonts w:eastAsia="Times New Roman"/>
          <w:b/>
          <w:bCs/>
          <w:rtl/>
          <w:lang w:eastAsia="de-DE"/>
        </w:rPr>
        <w:t>צִוְּךָ</w:t>
      </w:r>
      <w:r w:rsidRPr="008D3E71">
        <w:rPr>
          <w:rFonts w:eastAsia="Times New Roman"/>
          <w:rtl/>
          <w:lang w:eastAsia="de-DE"/>
        </w:rPr>
        <w:t xml:space="preserve"> </w:t>
      </w:r>
      <w:r w:rsidRPr="008D3E71">
        <w:rPr>
          <w:rFonts w:eastAsia="Times New Roman"/>
          <w:lang w:eastAsia="de-DE"/>
        </w:rPr>
        <w:t xml:space="preserve">als Piel Perfekt, 3. Person Singular maskulin von </w:t>
      </w:r>
      <w:r w:rsidRPr="008D3E71">
        <w:rPr>
          <w:rFonts w:eastAsia="Times New Roman"/>
          <w:b/>
          <w:bCs/>
          <w:rtl/>
          <w:lang w:eastAsia="de-DE"/>
        </w:rPr>
        <w:t>צוה</w:t>
      </w:r>
      <w:r w:rsidRPr="008D3E71">
        <w:rPr>
          <w:rFonts w:eastAsia="Times New Roman"/>
          <w:rtl/>
          <w:lang w:eastAsia="de-DE"/>
        </w:rPr>
        <w:t xml:space="preserve"> </w:t>
      </w:r>
      <w:r w:rsidRPr="008D3E71">
        <w:rPr>
          <w:rFonts w:eastAsia="Times New Roman"/>
          <w:lang w:eastAsia="de-DE"/>
        </w:rPr>
        <w:t xml:space="preserve">mit Suffix 2. Person Singular maskulin als direktes Objekt, </w:t>
      </w:r>
      <w:r w:rsidRPr="008D3E71">
        <w:rPr>
          <w:rFonts w:eastAsia="Times New Roman"/>
          <w:b/>
          <w:bCs/>
          <w:rtl/>
          <w:lang w:eastAsia="de-DE"/>
        </w:rPr>
        <w:t>יְהוָה אֱלֹהֶיךָ</w:t>
      </w:r>
      <w:r w:rsidRPr="008D3E71">
        <w:rPr>
          <w:rFonts w:eastAsia="Times New Roman"/>
          <w:rtl/>
          <w:lang w:eastAsia="de-DE"/>
        </w:rPr>
        <w:t xml:space="preserve"> </w:t>
      </w:r>
      <w:r w:rsidRPr="008D3E71">
        <w:rPr>
          <w:rFonts w:eastAsia="Times New Roman"/>
          <w:lang w:eastAsia="de-DE"/>
        </w:rPr>
        <w:t>als erweitertes Subjekt.</w:t>
      </w:r>
    </w:p>
    <w:p w14:paraId="1CB2CEC8" w14:textId="29F7B1EB"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Die Formulierung </w:t>
      </w:r>
      <w:r w:rsidRPr="008D3E71">
        <w:rPr>
          <w:rFonts w:eastAsia="Times New Roman"/>
          <w:b/>
          <w:bCs/>
          <w:rtl/>
          <w:lang w:eastAsia="de-DE"/>
        </w:rPr>
        <w:t>אֲשֶׁר צִוְּךָ</w:t>
      </w:r>
      <w:r w:rsidRPr="008D3E71">
        <w:rPr>
          <w:rFonts w:eastAsia="Times New Roman"/>
          <w:rtl/>
          <w:lang w:eastAsia="de-DE"/>
        </w:rPr>
        <w:t xml:space="preserve"> </w:t>
      </w:r>
      <w:r w:rsidRPr="008D3E71">
        <w:rPr>
          <w:rFonts w:eastAsia="Times New Roman"/>
          <w:lang w:eastAsia="de-DE"/>
        </w:rPr>
        <w:t xml:space="preserve">am Ende ist etwas elliptisch; gemeint ist „das (Verbot), das </w:t>
      </w:r>
      <w:r w:rsidR="00B77E5E">
        <w:rPr>
          <w:rFonts w:eastAsia="Times New Roman"/>
          <w:lang w:eastAsia="de-DE"/>
        </w:rPr>
        <w:t>JHWH</w:t>
      </w:r>
      <w:r w:rsidRPr="008D3E71">
        <w:rPr>
          <w:rFonts w:eastAsia="Times New Roman"/>
          <w:lang w:eastAsia="de-DE"/>
        </w:rPr>
        <w:t xml:space="preserve"> dir geboten hat" – also das Verbot, Götzenbilder zu machen. Der Wechsel zwischen Plural (</w:t>
      </w:r>
      <w:r w:rsidRPr="008D3E71">
        <w:rPr>
          <w:rFonts w:eastAsia="Times New Roman"/>
          <w:b/>
          <w:bCs/>
          <w:rtl/>
          <w:lang w:eastAsia="de-DE"/>
        </w:rPr>
        <w:t>אֱלֹהֵיכֶם</w:t>
      </w:r>
      <w:r w:rsidRPr="008D3E71">
        <w:rPr>
          <w:rFonts w:eastAsia="Times New Roman"/>
          <w:lang w:eastAsia="de-DE"/>
        </w:rPr>
        <w:t xml:space="preserve">, </w:t>
      </w:r>
      <w:r w:rsidRPr="008D3E71">
        <w:rPr>
          <w:rFonts w:eastAsia="Times New Roman"/>
          <w:b/>
          <w:bCs/>
          <w:rtl/>
          <w:lang w:eastAsia="de-DE"/>
        </w:rPr>
        <w:t>לָכֶם</w:t>
      </w:r>
      <w:r w:rsidRPr="008D3E71">
        <w:rPr>
          <w:rFonts w:eastAsia="Times New Roman"/>
          <w:lang w:eastAsia="de-DE"/>
        </w:rPr>
        <w:t xml:space="preserve">, </w:t>
      </w:r>
      <w:r w:rsidRPr="008D3E71">
        <w:rPr>
          <w:rFonts w:eastAsia="Times New Roman"/>
          <w:b/>
          <w:bCs/>
          <w:rtl/>
          <w:lang w:eastAsia="de-DE"/>
        </w:rPr>
        <w:t>עִמָּכֶם</w:t>
      </w:r>
      <w:r w:rsidRPr="008D3E71">
        <w:rPr>
          <w:rFonts w:eastAsia="Times New Roman"/>
          <w:lang w:eastAsia="de-DE"/>
        </w:rPr>
        <w:t>) und Singular (</w:t>
      </w:r>
      <w:r w:rsidRPr="008D3E71">
        <w:rPr>
          <w:rFonts w:eastAsia="Times New Roman"/>
          <w:b/>
          <w:bCs/>
          <w:rtl/>
          <w:lang w:eastAsia="de-DE"/>
        </w:rPr>
        <w:t>אֱלֹהֶיךָ</w:t>
      </w:r>
      <w:r w:rsidRPr="008D3E71">
        <w:rPr>
          <w:rFonts w:eastAsia="Times New Roman"/>
          <w:lang w:eastAsia="de-DE"/>
        </w:rPr>
        <w:t xml:space="preserve">, </w:t>
      </w:r>
      <w:r w:rsidRPr="008D3E71">
        <w:rPr>
          <w:rFonts w:eastAsia="Times New Roman"/>
          <w:b/>
          <w:bCs/>
          <w:rtl/>
          <w:lang w:eastAsia="de-DE"/>
        </w:rPr>
        <w:t>צִוְּךָ</w:t>
      </w:r>
      <w:r w:rsidRPr="008D3E71">
        <w:rPr>
          <w:rFonts w:eastAsia="Times New Roman"/>
          <w:lang w:eastAsia="de-DE"/>
        </w:rPr>
        <w:t>) ist wiederum typisch deuteronomisch.</w:t>
      </w:r>
    </w:p>
    <w:p w14:paraId="12B391F2"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Die Satzstruktur besteht aus einem Nifal-Imperativ mit reflexivem Dativ, zwei koordinierten negativen finalen Konstruktionen (die erste mit direktem Objekt in komplexer Construct-Verbindung und Relativsatz mit idiomatischer Verbalphrase, die zweite mit Dativ, direktem Objekt, appositiver Erklärung und Relativsatz mit erweitertem Subjekt). Die beiden </w:t>
      </w:r>
      <w:r w:rsidRPr="008D3E71">
        <w:rPr>
          <w:rFonts w:eastAsia="Times New Roman"/>
          <w:b/>
          <w:bCs/>
          <w:rtl/>
          <w:lang w:eastAsia="de-DE"/>
        </w:rPr>
        <w:t>פֶּן</w:t>
      </w:r>
      <w:r w:rsidRPr="008D3E71">
        <w:rPr>
          <w:rFonts w:eastAsia="Times New Roman"/>
          <w:lang w:eastAsia="de-DE"/>
        </w:rPr>
        <w:t>-Sätze sind logisch verbunden: Das Vergessen des Bundes führt zur Anfertigung von Götzenbildern.</w:t>
      </w:r>
    </w:p>
    <w:p w14:paraId="0DF2A8BD"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Der Vers mahnt eindringlich, den Bund nicht zu vergessen, was sich konkret im Verbot der Götzenbilder manifestiert – ein direkter Verstoß gegen den Bund.</w:t>
      </w:r>
    </w:p>
    <w:p w14:paraId="31401A80"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4,24</w:t>
      </w:r>
    </w:p>
    <w:p w14:paraId="0345710D"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כִּ֚י יְהוָ֣ה אֱלֹהֶ֔יךָ אֵ֥שׁ אֹכְלָ֖ה ה֑וּא אֵ֖ל קַנָּֽא׃</w:t>
      </w:r>
    </w:p>
    <w:p w14:paraId="1A0EBD51"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Denn der Ewige, dein Gott, ist ein verzehrendes Feuer, ein eifernder Gott.</w:t>
      </w:r>
    </w:p>
    <w:p w14:paraId="42818BBE"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3BB6A0EE">
          <v:rect id="_x0000_i1160" style="width:0;height:1.5pt" o:hralign="center" o:hrstd="t" o:hr="t" fillcolor="#a0a0a0" stroked="f"/>
        </w:pict>
      </w:r>
    </w:p>
    <w:p w14:paraId="7EDAD528"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כִּי</w:t>
      </w:r>
      <w:r w:rsidRPr="008D3E71">
        <w:rPr>
          <w:rFonts w:eastAsia="Times New Roman"/>
          <w:rtl/>
          <w:lang w:eastAsia="de-DE"/>
        </w:rPr>
        <w:t xml:space="preserve"> </w:t>
      </w:r>
      <w:r w:rsidRPr="008D3E71">
        <w:rPr>
          <w:rFonts w:eastAsia="Times New Roman"/>
          <w:lang w:eastAsia="de-DE"/>
        </w:rPr>
        <w:t xml:space="preserve">ist eine kausale Konjunktion („denn"), die die Begründung für die vorherige Warnung liefert. </w:t>
      </w:r>
      <w:r w:rsidRPr="008D3E71">
        <w:rPr>
          <w:rFonts w:eastAsia="Times New Roman"/>
          <w:b/>
          <w:bCs/>
          <w:rtl/>
          <w:lang w:eastAsia="de-DE"/>
        </w:rPr>
        <w:t>יְהוָה אֱלֹהֶיךָ</w:t>
      </w:r>
      <w:r w:rsidRPr="008D3E71">
        <w:rPr>
          <w:rFonts w:eastAsia="Times New Roman"/>
          <w:rtl/>
          <w:lang w:eastAsia="de-DE"/>
        </w:rPr>
        <w:t xml:space="preserve"> </w:t>
      </w:r>
      <w:r w:rsidRPr="008D3E71">
        <w:rPr>
          <w:rFonts w:eastAsia="Times New Roman"/>
          <w:lang w:eastAsia="de-DE"/>
        </w:rPr>
        <w:t xml:space="preserve">ist das erweiterte Subjekt mit Suffix 2. Person Singular maskulin. </w:t>
      </w:r>
      <w:r w:rsidRPr="008D3E71">
        <w:rPr>
          <w:rFonts w:eastAsia="Times New Roman"/>
          <w:b/>
          <w:bCs/>
          <w:rtl/>
          <w:lang w:eastAsia="de-DE"/>
        </w:rPr>
        <w:t>אֵשׁ אֹכְלָה הוּא</w:t>
      </w:r>
      <w:r w:rsidRPr="008D3E71">
        <w:rPr>
          <w:rFonts w:eastAsia="Times New Roman"/>
          <w:rtl/>
          <w:lang w:eastAsia="de-DE"/>
        </w:rPr>
        <w:t xml:space="preserve"> </w:t>
      </w:r>
      <w:r w:rsidRPr="008D3E71">
        <w:rPr>
          <w:rFonts w:eastAsia="Times New Roman"/>
          <w:lang w:eastAsia="de-DE"/>
        </w:rPr>
        <w:t xml:space="preserve">ist ein nominaler Satz mit vorangestelltem Prädikatsnomen: </w:t>
      </w:r>
      <w:r w:rsidRPr="008D3E71">
        <w:rPr>
          <w:rFonts w:eastAsia="Times New Roman"/>
          <w:b/>
          <w:bCs/>
          <w:rtl/>
          <w:lang w:eastAsia="de-DE"/>
        </w:rPr>
        <w:t>אֵשׁ אֹכְלָה</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אֵשׁ</w:t>
      </w:r>
      <w:r w:rsidRPr="008D3E71">
        <w:rPr>
          <w:rFonts w:eastAsia="Times New Roman"/>
          <w:lang w:eastAsia="de-DE"/>
        </w:rPr>
        <w:t xml:space="preserve">, „Feuer", im Construct mit </w:t>
      </w:r>
      <w:r w:rsidRPr="008D3E71">
        <w:rPr>
          <w:rFonts w:eastAsia="Times New Roman"/>
          <w:b/>
          <w:bCs/>
          <w:rtl/>
          <w:lang w:eastAsia="de-DE"/>
        </w:rPr>
        <w:t>אֹכְלָה</w:t>
      </w:r>
      <w:r w:rsidRPr="008D3E71">
        <w:rPr>
          <w:rFonts w:eastAsia="Times New Roman"/>
          <w:lang w:eastAsia="de-DE"/>
        </w:rPr>
        <w:t xml:space="preserve">, Qal Partizip Singular feminin von </w:t>
      </w:r>
      <w:r w:rsidRPr="008D3E71">
        <w:rPr>
          <w:rFonts w:eastAsia="Times New Roman"/>
          <w:b/>
          <w:bCs/>
          <w:rtl/>
          <w:lang w:eastAsia="de-DE"/>
        </w:rPr>
        <w:t>אכל</w:t>
      </w:r>
      <w:r w:rsidRPr="008D3E71">
        <w:rPr>
          <w:rFonts w:eastAsia="Times New Roman"/>
          <w:lang w:eastAsia="de-DE"/>
        </w:rPr>
        <w:t xml:space="preserve">, „essen, verzehren, fressen" – „verzehrendes Feuer"), </w:t>
      </w:r>
      <w:r w:rsidRPr="008D3E71">
        <w:rPr>
          <w:rFonts w:eastAsia="Times New Roman"/>
          <w:b/>
          <w:bCs/>
          <w:rtl/>
          <w:lang w:eastAsia="de-DE"/>
        </w:rPr>
        <w:t>הוּא</w:t>
      </w:r>
      <w:r w:rsidRPr="008D3E71">
        <w:rPr>
          <w:rFonts w:eastAsia="Times New Roman"/>
          <w:rtl/>
          <w:lang w:eastAsia="de-DE"/>
        </w:rPr>
        <w:t xml:space="preserve"> </w:t>
      </w:r>
      <w:r w:rsidRPr="008D3E71">
        <w:rPr>
          <w:rFonts w:eastAsia="Times New Roman"/>
          <w:lang w:eastAsia="de-DE"/>
        </w:rPr>
        <w:t>als kopulatives Pronomen („er ist").</w:t>
      </w:r>
    </w:p>
    <w:p w14:paraId="2C305745" w14:textId="01E5126F"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אֵל קַנָּא</w:t>
      </w:r>
      <w:r w:rsidRPr="008D3E71">
        <w:rPr>
          <w:rFonts w:eastAsia="Times New Roman"/>
          <w:rtl/>
          <w:lang w:eastAsia="de-DE"/>
        </w:rPr>
        <w:t xml:space="preserve"> </w:t>
      </w:r>
      <w:r w:rsidRPr="008D3E71">
        <w:rPr>
          <w:rFonts w:eastAsia="Times New Roman"/>
          <w:lang w:eastAsia="de-DE"/>
        </w:rPr>
        <w:t xml:space="preserve">ist eine appositionelle bzw. parallel konstruierte Erweiterung: </w:t>
      </w:r>
      <w:r w:rsidRPr="008D3E71">
        <w:rPr>
          <w:rFonts w:eastAsia="Times New Roman"/>
          <w:b/>
          <w:bCs/>
          <w:rtl/>
          <w:lang w:eastAsia="de-DE"/>
        </w:rPr>
        <w:t>אֵל</w:t>
      </w:r>
      <w:r w:rsidRPr="008D3E71">
        <w:rPr>
          <w:rFonts w:eastAsia="Times New Roman"/>
          <w:rtl/>
          <w:lang w:eastAsia="de-DE"/>
        </w:rPr>
        <w:t xml:space="preserve"> </w:t>
      </w:r>
      <w:r w:rsidRPr="008D3E71">
        <w:rPr>
          <w:rFonts w:eastAsia="Times New Roman"/>
          <w:lang w:eastAsia="de-DE"/>
        </w:rPr>
        <w:t xml:space="preserve">(„Gott") mit </w:t>
      </w:r>
      <w:r w:rsidRPr="008D3E71">
        <w:rPr>
          <w:rFonts w:eastAsia="Times New Roman"/>
          <w:b/>
          <w:bCs/>
          <w:rtl/>
          <w:lang w:eastAsia="de-DE"/>
        </w:rPr>
        <w:t>קַנָּא</w:t>
      </w:r>
      <w:r w:rsidRPr="008D3E71">
        <w:rPr>
          <w:rFonts w:eastAsia="Times New Roman"/>
          <w:rtl/>
          <w:lang w:eastAsia="de-DE"/>
        </w:rPr>
        <w:t xml:space="preserve"> </w:t>
      </w:r>
      <w:r w:rsidRPr="008D3E71">
        <w:rPr>
          <w:rFonts w:eastAsia="Times New Roman"/>
          <w:lang w:eastAsia="de-DE"/>
        </w:rPr>
        <w:t xml:space="preserve">(Adjektiv oder Qal Partizip von </w:t>
      </w:r>
      <w:r w:rsidRPr="008D3E71">
        <w:rPr>
          <w:rFonts w:eastAsia="Times New Roman"/>
          <w:b/>
          <w:bCs/>
          <w:rtl/>
          <w:lang w:eastAsia="de-DE"/>
        </w:rPr>
        <w:t>קנא</w:t>
      </w:r>
      <w:r w:rsidRPr="008D3E71">
        <w:rPr>
          <w:rFonts w:eastAsia="Times New Roman"/>
          <w:lang w:eastAsia="de-DE"/>
        </w:rPr>
        <w:t xml:space="preserve">, „eifersüchtig sein, eifern" – „eifernder, eifersüchtiger"). </w:t>
      </w:r>
      <w:r w:rsidRPr="008D3E71">
        <w:rPr>
          <w:rFonts w:eastAsia="Times New Roman"/>
          <w:lang w:eastAsia="de-DE"/>
        </w:rPr>
        <w:lastRenderedPageBreak/>
        <w:t>Die beiden Prädikationen (</w:t>
      </w:r>
      <w:r w:rsidRPr="008D3E71">
        <w:rPr>
          <w:rFonts w:eastAsia="Times New Roman"/>
          <w:b/>
          <w:bCs/>
          <w:rtl/>
          <w:lang w:eastAsia="de-DE"/>
        </w:rPr>
        <w:t>אֵשׁ אֹכְלָה</w:t>
      </w:r>
      <w:r w:rsidRPr="008D3E71">
        <w:rPr>
          <w:rFonts w:eastAsia="Times New Roman"/>
          <w:rtl/>
          <w:lang w:eastAsia="de-DE"/>
        </w:rPr>
        <w:t xml:space="preserve"> </w:t>
      </w:r>
      <w:r w:rsidRPr="008D3E71">
        <w:rPr>
          <w:rFonts w:eastAsia="Times New Roman"/>
          <w:lang w:eastAsia="de-DE"/>
        </w:rPr>
        <w:t xml:space="preserve">und </w:t>
      </w:r>
      <w:r w:rsidRPr="008D3E71">
        <w:rPr>
          <w:rFonts w:eastAsia="Times New Roman"/>
          <w:b/>
          <w:bCs/>
          <w:rtl/>
          <w:lang w:eastAsia="de-DE"/>
        </w:rPr>
        <w:t>אֵל קַנָּא</w:t>
      </w:r>
      <w:r w:rsidRPr="008D3E71">
        <w:rPr>
          <w:rFonts w:eastAsia="Times New Roman"/>
          <w:lang w:eastAsia="de-DE"/>
        </w:rPr>
        <w:t xml:space="preserve">) sind parallel und verstärken sich gegenseitig. Beide Bilder betonen die Unverträglichkeit </w:t>
      </w:r>
      <w:r w:rsidR="00ED2181">
        <w:rPr>
          <w:rFonts w:eastAsia="Times New Roman"/>
          <w:lang w:eastAsia="de-DE"/>
        </w:rPr>
        <w:t>JHWHs</w:t>
      </w:r>
      <w:r w:rsidRPr="008D3E71">
        <w:rPr>
          <w:rFonts w:eastAsia="Times New Roman"/>
          <w:lang w:eastAsia="de-DE"/>
        </w:rPr>
        <w:t xml:space="preserve"> mit Götzendienst.</w:t>
      </w:r>
    </w:p>
    <w:p w14:paraId="5590AFBB" w14:textId="6D556F51"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Das Bild des „verzehrenden Feuers" erinnert an die Sinai-Theophanie (vgl. V. 11-12, 15; Ex 24,17; Dtn 9,3). Der Begriff </w:t>
      </w:r>
      <w:r w:rsidRPr="008D3E71">
        <w:rPr>
          <w:rFonts w:eastAsia="Times New Roman"/>
          <w:b/>
          <w:bCs/>
          <w:rtl/>
          <w:lang w:eastAsia="de-DE"/>
        </w:rPr>
        <w:t>קַנָּא</w:t>
      </w:r>
      <w:r w:rsidRPr="008D3E71">
        <w:rPr>
          <w:rFonts w:eastAsia="Times New Roman"/>
          <w:rtl/>
          <w:lang w:eastAsia="de-DE"/>
        </w:rPr>
        <w:t xml:space="preserve"> </w:t>
      </w:r>
      <w:r w:rsidRPr="008D3E71">
        <w:rPr>
          <w:rFonts w:eastAsia="Times New Roman"/>
          <w:lang w:eastAsia="de-DE"/>
        </w:rPr>
        <w:t xml:space="preserve">bezeichnet göttliche Eifersucht im Sinne der ausschließlichen Forderung nach Treue – </w:t>
      </w:r>
      <w:r w:rsidR="00B77E5E">
        <w:rPr>
          <w:rFonts w:eastAsia="Times New Roman"/>
          <w:lang w:eastAsia="de-DE"/>
        </w:rPr>
        <w:t>JHWH</w:t>
      </w:r>
      <w:r w:rsidRPr="008D3E71">
        <w:rPr>
          <w:rFonts w:eastAsia="Times New Roman"/>
          <w:lang w:eastAsia="de-DE"/>
        </w:rPr>
        <w:t xml:space="preserve"> duldet keine anderen Götter neben sich. Dieser Begriff findet sich auch im Dekalog (Ex 20,5; Dtn 5,9).</w:t>
      </w:r>
    </w:p>
    <w:p w14:paraId="2AB28595" w14:textId="5855E00E"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Die Satzstruktur ist ein kausaler nominaler Satz mit erweitertem Subjekt, vorangestelltem Prädikatsnomen in Construct-Verbindung mit partizipialem Attribut, kopulativem Pronomen und einem zweiten, parallel konstruierten Prädikatsnomen mit Adjektiv bzw. Partizip. Die doppelte Prädikation verstärkt die Aussage über </w:t>
      </w:r>
      <w:r w:rsidR="00ED2181">
        <w:rPr>
          <w:rFonts w:eastAsia="Times New Roman"/>
          <w:lang w:eastAsia="de-DE"/>
        </w:rPr>
        <w:t>JHWHs</w:t>
      </w:r>
      <w:r w:rsidRPr="008D3E71">
        <w:rPr>
          <w:rFonts w:eastAsia="Times New Roman"/>
          <w:lang w:eastAsia="de-DE"/>
        </w:rPr>
        <w:t xml:space="preserve"> Wesen. Der Vers bildet den theologischen Höhepunkt der Bilderverbotspassage.</w:t>
      </w:r>
    </w:p>
    <w:p w14:paraId="1DBB6725" w14:textId="0C3CBE68"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Der Vers begründet das Bilderverbot mit zwei eindrücklichen Charakterisierungen </w:t>
      </w:r>
      <w:r w:rsidR="00ED2181">
        <w:rPr>
          <w:rFonts w:eastAsia="Times New Roman"/>
          <w:lang w:eastAsia="de-DE"/>
        </w:rPr>
        <w:t>JHWHs</w:t>
      </w:r>
      <w:r w:rsidRPr="008D3E71">
        <w:rPr>
          <w:rFonts w:eastAsia="Times New Roman"/>
          <w:lang w:eastAsia="de-DE"/>
        </w:rPr>
        <w:t>: als verzehrendes Feuer und als eifersüchtiger Gott, der keine Konkurrenz duldet.</w:t>
      </w:r>
    </w:p>
    <w:p w14:paraId="3970AAE4"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4,25</w:t>
      </w:r>
    </w:p>
    <w:p w14:paraId="3258CC5D"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כִּֽי־תוֹלִ֤יד בָּנִים֙ וּבְנֵ֣י בָנִ֔ים וְנוֹשַׁנְתֶּ֖ם בָּאָ֑רֶץ וְהִשְׁחַתֶּ֗ם וַעֲשִׂ֤יתֶם פֶּ֨סֶל֙ תְּמ֣וּנַת כֹּ֔ל וַעֲשִׂיתֶ֥ם הָרַ֛ע בְּעֵינֵ֥י יְהוָֽה־אֱלֹהֶ֖יךָ לְהַכְעִיסֹֽו׃</w:t>
      </w:r>
    </w:p>
    <w:p w14:paraId="13A4D5F8"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Wenn du Söhne und Enkel zeugst und ihr im Land alteingesessen seid und ihr verderblich handelt und macht ein geschnitztes Bild, eine Gestalt von irgendetwas, und tut, was böse ist in den Augen des Ewigen, deines Gottes, ihn zu reizen,</w:t>
      </w:r>
    </w:p>
    <w:p w14:paraId="35B137D4"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6848934A">
          <v:rect id="_x0000_i1161" style="width:0;height:1.5pt" o:hralign="center" o:hrstd="t" o:hr="t" fillcolor="#a0a0a0" stroked="f"/>
        </w:pict>
      </w:r>
    </w:p>
    <w:p w14:paraId="6AB78459"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כִּי־תוֹלִיד בָּנִים וּבְנֵי בָנִים</w:t>
      </w:r>
      <w:r w:rsidRPr="008D3E71">
        <w:rPr>
          <w:rFonts w:eastAsia="Times New Roman"/>
          <w:rtl/>
          <w:lang w:eastAsia="de-DE"/>
        </w:rPr>
        <w:t xml:space="preserve"> </w:t>
      </w:r>
      <w:r w:rsidRPr="008D3E71">
        <w:rPr>
          <w:rFonts w:eastAsia="Times New Roman"/>
          <w:lang w:eastAsia="de-DE"/>
        </w:rPr>
        <w:t xml:space="preserve">ist ein konditionales Temporalgefüge: </w:t>
      </w:r>
      <w:r w:rsidRPr="008D3E71">
        <w:rPr>
          <w:rFonts w:eastAsia="Times New Roman"/>
          <w:b/>
          <w:bCs/>
          <w:rtl/>
          <w:lang w:eastAsia="de-DE"/>
        </w:rPr>
        <w:t>כִּי</w:t>
      </w:r>
      <w:r w:rsidRPr="008D3E71">
        <w:rPr>
          <w:rFonts w:eastAsia="Times New Roman"/>
          <w:rtl/>
          <w:lang w:eastAsia="de-DE"/>
        </w:rPr>
        <w:t xml:space="preserve"> </w:t>
      </w:r>
      <w:r w:rsidRPr="008D3E71">
        <w:rPr>
          <w:rFonts w:eastAsia="Times New Roman"/>
          <w:lang w:eastAsia="de-DE"/>
        </w:rPr>
        <w:t xml:space="preserve">(„wenn, falls") mit </w:t>
      </w:r>
      <w:r w:rsidRPr="008D3E71">
        <w:rPr>
          <w:rFonts w:eastAsia="Times New Roman"/>
          <w:b/>
          <w:bCs/>
          <w:rtl/>
          <w:lang w:eastAsia="de-DE"/>
        </w:rPr>
        <w:t>תוֹלִיד</w:t>
      </w:r>
      <w:r w:rsidRPr="008D3E71">
        <w:rPr>
          <w:rFonts w:eastAsia="Times New Roman"/>
          <w:rtl/>
          <w:lang w:eastAsia="de-DE"/>
        </w:rPr>
        <w:t xml:space="preserve"> </w:t>
      </w:r>
      <w:r w:rsidRPr="008D3E71">
        <w:rPr>
          <w:rFonts w:eastAsia="Times New Roman"/>
          <w:lang w:eastAsia="de-DE"/>
        </w:rPr>
        <w:t xml:space="preserve">(Hifil Imperfekt, 2. Person Singular maskulin von </w:t>
      </w:r>
      <w:r w:rsidRPr="008D3E71">
        <w:rPr>
          <w:rFonts w:eastAsia="Times New Roman"/>
          <w:b/>
          <w:bCs/>
          <w:rtl/>
          <w:lang w:eastAsia="de-DE"/>
        </w:rPr>
        <w:t>ילד</w:t>
      </w:r>
      <w:r w:rsidRPr="008D3E71">
        <w:rPr>
          <w:rFonts w:eastAsia="Times New Roman"/>
          <w:lang w:eastAsia="de-DE"/>
        </w:rPr>
        <w:t xml:space="preserve">, „zeugen, gebären"), </w:t>
      </w:r>
      <w:r w:rsidRPr="008D3E71">
        <w:rPr>
          <w:rFonts w:eastAsia="Times New Roman"/>
          <w:b/>
          <w:bCs/>
          <w:rtl/>
          <w:lang w:eastAsia="de-DE"/>
        </w:rPr>
        <w:t>בָּנִים</w:t>
      </w:r>
      <w:r w:rsidRPr="008D3E71">
        <w:rPr>
          <w:rFonts w:eastAsia="Times New Roman"/>
          <w:rtl/>
          <w:lang w:eastAsia="de-DE"/>
        </w:rPr>
        <w:t xml:space="preserve"> </w:t>
      </w:r>
      <w:r w:rsidRPr="008D3E71">
        <w:rPr>
          <w:rFonts w:eastAsia="Times New Roman"/>
          <w:lang w:eastAsia="de-DE"/>
        </w:rPr>
        <w:t xml:space="preserve">als direktes Objekt, </w:t>
      </w:r>
      <w:r w:rsidRPr="008D3E71">
        <w:rPr>
          <w:rFonts w:eastAsia="Times New Roman"/>
          <w:b/>
          <w:bCs/>
          <w:rtl/>
          <w:lang w:eastAsia="de-DE"/>
        </w:rPr>
        <w:t>וּבְנֵי בָנִים</w:t>
      </w:r>
      <w:r w:rsidRPr="008D3E71">
        <w:rPr>
          <w:rFonts w:eastAsia="Times New Roman"/>
          <w:rtl/>
          <w:lang w:eastAsia="de-DE"/>
        </w:rPr>
        <w:t xml:space="preserve"> </w:t>
      </w:r>
      <w:r w:rsidRPr="008D3E71">
        <w:rPr>
          <w:rFonts w:eastAsia="Times New Roman"/>
          <w:lang w:eastAsia="de-DE"/>
        </w:rPr>
        <w:t>koordiniert (</w:t>
      </w:r>
      <w:r w:rsidRPr="008D3E71">
        <w:rPr>
          <w:rFonts w:eastAsia="Times New Roman"/>
          <w:b/>
          <w:bCs/>
          <w:rtl/>
          <w:lang w:eastAsia="de-DE"/>
        </w:rPr>
        <w:t>וְ</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בְּנֵי בָנִים</w:t>
      </w:r>
      <w:r w:rsidRPr="008D3E71">
        <w:rPr>
          <w:rFonts w:eastAsia="Times New Roman"/>
          <w:lang w:eastAsia="de-DE"/>
        </w:rPr>
        <w:t>, „Söhne der Söhne" = „Enkel"). Der Wechsel vom Singular (du zeugst) zum Plural (ihr seid alteingesessen) folgt weiter unten.</w:t>
      </w:r>
    </w:p>
    <w:p w14:paraId="1D5D3D59"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וְנוֹשַׁנְתֶּם בָּאָרֶץ</w:t>
      </w:r>
      <w:r w:rsidRPr="008D3E71">
        <w:rPr>
          <w:rFonts w:eastAsia="Times New Roman"/>
          <w:rtl/>
          <w:lang w:eastAsia="de-DE"/>
        </w:rPr>
        <w:t xml:space="preserve"> </w:t>
      </w:r>
      <w:r w:rsidRPr="008D3E71">
        <w:rPr>
          <w:rFonts w:eastAsia="Times New Roman"/>
          <w:lang w:eastAsia="de-DE"/>
        </w:rPr>
        <w:t xml:space="preserve">ist koordiniert: </w:t>
      </w:r>
      <w:r w:rsidRPr="008D3E71">
        <w:rPr>
          <w:rFonts w:eastAsia="Times New Roman"/>
          <w:b/>
          <w:bCs/>
          <w:rtl/>
          <w:lang w:eastAsia="de-DE"/>
        </w:rPr>
        <w:t>וְנוֹשַׁנְתֶּם</w:t>
      </w:r>
      <w:r w:rsidRPr="008D3E71">
        <w:rPr>
          <w:rFonts w:eastAsia="Times New Roman"/>
          <w:rtl/>
          <w:lang w:eastAsia="de-DE"/>
        </w:rPr>
        <w:t xml:space="preserve"> </w:t>
      </w:r>
      <w:r w:rsidRPr="008D3E71">
        <w:rPr>
          <w:rFonts w:eastAsia="Times New Roman"/>
          <w:lang w:eastAsia="de-DE"/>
        </w:rPr>
        <w:t xml:space="preserve">(Qal Perfekt consecutivum, 2. Person Plural maskulin von </w:t>
      </w:r>
      <w:r w:rsidRPr="008D3E71">
        <w:rPr>
          <w:rFonts w:eastAsia="Times New Roman"/>
          <w:b/>
          <w:bCs/>
          <w:rtl/>
          <w:lang w:eastAsia="de-DE"/>
        </w:rPr>
        <w:t>ישׁן</w:t>
      </w:r>
      <w:r w:rsidRPr="008D3E71">
        <w:rPr>
          <w:rFonts w:eastAsia="Times New Roman"/>
          <w:lang w:eastAsia="de-DE"/>
        </w:rPr>
        <w:t xml:space="preserve">, „alt werden, alt sein") – hier im Sinne von „lange ansässig sein, alteingesessen werden", </w:t>
      </w:r>
      <w:r w:rsidRPr="008D3E71">
        <w:rPr>
          <w:rFonts w:eastAsia="Times New Roman"/>
          <w:b/>
          <w:bCs/>
          <w:rtl/>
          <w:lang w:eastAsia="de-DE"/>
        </w:rPr>
        <w:t>בָּאָרֶץ</w:t>
      </w:r>
      <w:r w:rsidRPr="008D3E71">
        <w:rPr>
          <w:rFonts w:eastAsia="Times New Roman"/>
          <w:rtl/>
          <w:lang w:eastAsia="de-DE"/>
        </w:rPr>
        <w:t xml:space="preserve"> </w:t>
      </w:r>
      <w:r w:rsidRPr="008D3E71">
        <w:rPr>
          <w:rFonts w:eastAsia="Times New Roman"/>
          <w:lang w:eastAsia="de-DE"/>
        </w:rPr>
        <w:t xml:space="preserve">als Ortsangabe. </w:t>
      </w:r>
      <w:r w:rsidRPr="008D3E71">
        <w:rPr>
          <w:rFonts w:eastAsia="Times New Roman"/>
          <w:b/>
          <w:bCs/>
          <w:rtl/>
          <w:lang w:eastAsia="de-DE"/>
        </w:rPr>
        <w:t>וְהִשְׁחַתֶּם</w:t>
      </w:r>
      <w:r w:rsidRPr="008D3E71">
        <w:rPr>
          <w:rFonts w:eastAsia="Times New Roman"/>
          <w:rtl/>
          <w:lang w:eastAsia="de-DE"/>
        </w:rPr>
        <w:t xml:space="preserve"> </w:t>
      </w:r>
      <w:r w:rsidRPr="008D3E71">
        <w:rPr>
          <w:rFonts w:eastAsia="Times New Roman"/>
          <w:lang w:eastAsia="de-DE"/>
        </w:rPr>
        <w:t xml:space="preserve">ist Hifil Perfekt consecutivum, 2. Person Plural maskulin von </w:t>
      </w:r>
      <w:r w:rsidRPr="008D3E71">
        <w:rPr>
          <w:rFonts w:eastAsia="Times New Roman"/>
          <w:b/>
          <w:bCs/>
          <w:rtl/>
          <w:lang w:eastAsia="de-DE"/>
        </w:rPr>
        <w:t>שׁחת</w:t>
      </w:r>
      <w:r w:rsidRPr="008D3E71">
        <w:rPr>
          <w:rFonts w:eastAsia="Times New Roman"/>
          <w:rtl/>
          <w:lang w:eastAsia="de-DE"/>
        </w:rPr>
        <w:t xml:space="preserve"> </w:t>
      </w:r>
      <w:r w:rsidRPr="008D3E71">
        <w:rPr>
          <w:rFonts w:eastAsia="Times New Roman"/>
          <w:lang w:eastAsia="de-DE"/>
        </w:rPr>
        <w:t>(„verderben" – intransitiv „verderblich handeln, sich verderben") mit Waw.</w:t>
      </w:r>
    </w:p>
    <w:p w14:paraId="1D075235"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וַעֲשִׂיתֶם פֶּסֶל תְּמוּנַת כֹּל</w:t>
      </w:r>
      <w:r w:rsidRPr="008D3E71">
        <w:rPr>
          <w:rFonts w:eastAsia="Times New Roman"/>
          <w:rtl/>
          <w:lang w:eastAsia="de-DE"/>
        </w:rPr>
        <w:t xml:space="preserve"> </w:t>
      </w:r>
      <w:r w:rsidRPr="008D3E71">
        <w:rPr>
          <w:rFonts w:eastAsia="Times New Roman"/>
          <w:lang w:eastAsia="de-DE"/>
        </w:rPr>
        <w:t xml:space="preserve">ist koordiniert: </w:t>
      </w:r>
      <w:r w:rsidRPr="008D3E71">
        <w:rPr>
          <w:rFonts w:eastAsia="Times New Roman"/>
          <w:b/>
          <w:bCs/>
          <w:rtl/>
          <w:lang w:eastAsia="de-DE"/>
        </w:rPr>
        <w:t>וַעֲשִׂיתֶם</w:t>
      </w:r>
      <w:r w:rsidRPr="008D3E71">
        <w:rPr>
          <w:rFonts w:eastAsia="Times New Roman"/>
          <w:rtl/>
          <w:lang w:eastAsia="de-DE"/>
        </w:rPr>
        <w:t xml:space="preserve"> </w:t>
      </w:r>
      <w:r w:rsidRPr="008D3E71">
        <w:rPr>
          <w:rFonts w:eastAsia="Times New Roman"/>
          <w:lang w:eastAsia="de-DE"/>
        </w:rPr>
        <w:t xml:space="preserve">(Qal Perfekt consecutivum, 2. Person Plural maskulin von </w:t>
      </w:r>
      <w:r w:rsidRPr="008D3E71">
        <w:rPr>
          <w:rFonts w:eastAsia="Times New Roman"/>
          <w:b/>
          <w:bCs/>
          <w:rtl/>
          <w:lang w:eastAsia="de-DE"/>
        </w:rPr>
        <w:t>עשׂה</w:t>
      </w:r>
      <w:r w:rsidRPr="008D3E71">
        <w:rPr>
          <w:rFonts w:eastAsia="Times New Roman"/>
          <w:lang w:eastAsia="de-DE"/>
        </w:rPr>
        <w:t xml:space="preserve">), </w:t>
      </w:r>
      <w:r w:rsidRPr="008D3E71">
        <w:rPr>
          <w:rFonts w:eastAsia="Times New Roman"/>
          <w:b/>
          <w:bCs/>
          <w:rtl/>
          <w:lang w:eastAsia="de-DE"/>
        </w:rPr>
        <w:t>פֶּסֶל</w:t>
      </w:r>
      <w:r w:rsidRPr="008D3E71">
        <w:rPr>
          <w:rFonts w:eastAsia="Times New Roman"/>
          <w:rtl/>
          <w:lang w:eastAsia="de-DE"/>
        </w:rPr>
        <w:t xml:space="preserve"> </w:t>
      </w:r>
      <w:r w:rsidRPr="008D3E71">
        <w:rPr>
          <w:rFonts w:eastAsia="Times New Roman"/>
          <w:lang w:eastAsia="de-DE"/>
        </w:rPr>
        <w:t xml:space="preserve">als direktes Objekt, </w:t>
      </w:r>
      <w:r w:rsidRPr="008D3E71">
        <w:rPr>
          <w:rFonts w:eastAsia="Times New Roman"/>
          <w:b/>
          <w:bCs/>
          <w:rtl/>
          <w:lang w:eastAsia="de-DE"/>
        </w:rPr>
        <w:t>תְּמוּנַת כֹּל</w:t>
      </w:r>
      <w:r w:rsidRPr="008D3E71">
        <w:rPr>
          <w:rFonts w:eastAsia="Times New Roman"/>
          <w:rtl/>
          <w:lang w:eastAsia="de-DE"/>
        </w:rPr>
        <w:t xml:space="preserve"> </w:t>
      </w:r>
      <w:r w:rsidRPr="008D3E71">
        <w:rPr>
          <w:rFonts w:eastAsia="Times New Roman"/>
          <w:lang w:eastAsia="de-DE"/>
        </w:rPr>
        <w:t xml:space="preserve">als appositionelle Erklärung (vgl. V. 23). </w:t>
      </w:r>
      <w:r w:rsidRPr="008D3E71">
        <w:rPr>
          <w:rFonts w:eastAsia="Times New Roman"/>
          <w:b/>
          <w:bCs/>
          <w:rtl/>
          <w:lang w:eastAsia="de-DE"/>
        </w:rPr>
        <w:t>וַעֲשִׂיתֶם הָרַע בְּעֵינֵי יְהוָה־אֱלֹהֶיךָ</w:t>
      </w:r>
      <w:r w:rsidRPr="008D3E71">
        <w:rPr>
          <w:rFonts w:eastAsia="Times New Roman"/>
          <w:rtl/>
          <w:lang w:eastAsia="de-DE"/>
        </w:rPr>
        <w:t xml:space="preserve"> </w:t>
      </w:r>
      <w:r w:rsidRPr="008D3E71">
        <w:rPr>
          <w:rFonts w:eastAsia="Times New Roman"/>
          <w:lang w:eastAsia="de-DE"/>
        </w:rPr>
        <w:t xml:space="preserve">ist wiederum koordiniert: </w:t>
      </w:r>
      <w:r w:rsidRPr="008D3E71">
        <w:rPr>
          <w:rFonts w:eastAsia="Times New Roman"/>
          <w:b/>
          <w:bCs/>
          <w:rtl/>
          <w:lang w:eastAsia="de-DE"/>
        </w:rPr>
        <w:t>וַעֲשִׂיתֶם</w:t>
      </w:r>
      <w:r w:rsidRPr="008D3E71">
        <w:rPr>
          <w:rFonts w:eastAsia="Times New Roman"/>
          <w:rtl/>
          <w:lang w:eastAsia="de-DE"/>
        </w:rPr>
        <w:t xml:space="preserve"> </w:t>
      </w:r>
      <w:r w:rsidRPr="008D3E71">
        <w:rPr>
          <w:rFonts w:eastAsia="Times New Roman"/>
          <w:lang w:eastAsia="de-DE"/>
        </w:rPr>
        <w:t xml:space="preserve">(Qal Perfekt consecutivum von </w:t>
      </w:r>
      <w:r w:rsidRPr="008D3E71">
        <w:rPr>
          <w:rFonts w:eastAsia="Times New Roman"/>
          <w:b/>
          <w:bCs/>
          <w:rtl/>
          <w:lang w:eastAsia="de-DE"/>
        </w:rPr>
        <w:t>עשׂה</w:t>
      </w:r>
      <w:r w:rsidRPr="008D3E71">
        <w:rPr>
          <w:rFonts w:eastAsia="Times New Roman"/>
          <w:lang w:eastAsia="de-DE"/>
        </w:rPr>
        <w:t xml:space="preserve">), </w:t>
      </w:r>
      <w:r w:rsidRPr="008D3E71">
        <w:rPr>
          <w:rFonts w:eastAsia="Times New Roman"/>
          <w:b/>
          <w:bCs/>
          <w:rtl/>
          <w:lang w:eastAsia="de-DE"/>
        </w:rPr>
        <w:t>הָרַע</w:t>
      </w:r>
      <w:r w:rsidRPr="008D3E71">
        <w:rPr>
          <w:rFonts w:eastAsia="Times New Roman"/>
          <w:rtl/>
          <w:lang w:eastAsia="de-DE"/>
        </w:rPr>
        <w:t xml:space="preserve"> </w:t>
      </w:r>
      <w:r w:rsidRPr="008D3E71">
        <w:rPr>
          <w:rFonts w:eastAsia="Times New Roman"/>
          <w:lang w:eastAsia="de-DE"/>
        </w:rPr>
        <w:t>als direktes Objekt (</w:t>
      </w:r>
      <w:r w:rsidRPr="008D3E71">
        <w:rPr>
          <w:rFonts w:eastAsia="Times New Roman"/>
          <w:b/>
          <w:bCs/>
          <w:rtl/>
          <w:lang w:eastAsia="de-DE"/>
        </w:rPr>
        <w:t>רַע</w:t>
      </w:r>
      <w:r w:rsidRPr="008D3E71">
        <w:rPr>
          <w:rFonts w:eastAsia="Times New Roman"/>
          <w:lang w:eastAsia="de-DE"/>
        </w:rPr>
        <w:t xml:space="preserve">, „das Böse", mit Artikel), </w:t>
      </w:r>
      <w:r w:rsidRPr="008D3E71">
        <w:rPr>
          <w:rFonts w:eastAsia="Times New Roman"/>
          <w:b/>
          <w:bCs/>
          <w:rtl/>
          <w:lang w:eastAsia="de-DE"/>
        </w:rPr>
        <w:t>בְּעֵינֵי יְהוָה־אֱלֹהֶיךָ</w:t>
      </w:r>
      <w:r w:rsidRPr="008D3E71">
        <w:rPr>
          <w:rFonts w:eastAsia="Times New Roman"/>
          <w:rtl/>
          <w:lang w:eastAsia="de-DE"/>
        </w:rPr>
        <w:t xml:space="preserve"> </w:t>
      </w:r>
      <w:r w:rsidRPr="008D3E71">
        <w:rPr>
          <w:rFonts w:eastAsia="Times New Roman"/>
          <w:lang w:eastAsia="de-DE"/>
        </w:rPr>
        <w:t>als idiomatische Wendung (</w:t>
      </w:r>
      <w:r w:rsidRPr="008D3E71">
        <w:rPr>
          <w:rFonts w:eastAsia="Times New Roman"/>
          <w:b/>
          <w:bCs/>
          <w:rtl/>
          <w:lang w:eastAsia="de-DE"/>
        </w:rPr>
        <w:t>בְּעֵינֵי</w:t>
      </w:r>
      <w:r w:rsidRPr="008D3E71">
        <w:rPr>
          <w:rFonts w:eastAsia="Times New Roman"/>
          <w:lang w:eastAsia="de-DE"/>
        </w:rPr>
        <w:t xml:space="preserve">, „in den Augen von", mit Construct-Verbindung). </w:t>
      </w:r>
      <w:r w:rsidRPr="008D3E71">
        <w:rPr>
          <w:rFonts w:eastAsia="Times New Roman"/>
          <w:b/>
          <w:bCs/>
          <w:rtl/>
          <w:lang w:eastAsia="de-DE"/>
        </w:rPr>
        <w:t>לְהַכְעִיסוֹ</w:t>
      </w:r>
      <w:r w:rsidRPr="008D3E71">
        <w:rPr>
          <w:rFonts w:eastAsia="Times New Roman"/>
          <w:rtl/>
          <w:lang w:eastAsia="de-DE"/>
        </w:rPr>
        <w:t xml:space="preserve"> </w:t>
      </w:r>
      <w:r w:rsidRPr="008D3E71">
        <w:rPr>
          <w:rFonts w:eastAsia="Times New Roman"/>
          <w:lang w:eastAsia="de-DE"/>
        </w:rPr>
        <w:t xml:space="preserve">ist Hifil Infinitiv Construct von </w:t>
      </w:r>
      <w:r w:rsidRPr="008D3E71">
        <w:rPr>
          <w:rFonts w:eastAsia="Times New Roman"/>
          <w:b/>
          <w:bCs/>
          <w:rtl/>
          <w:lang w:eastAsia="de-DE"/>
        </w:rPr>
        <w:t>כעס</w:t>
      </w:r>
      <w:r w:rsidRPr="008D3E71">
        <w:rPr>
          <w:rFonts w:eastAsia="Times New Roman"/>
          <w:rtl/>
          <w:lang w:eastAsia="de-DE"/>
        </w:rPr>
        <w:t xml:space="preserve"> </w:t>
      </w:r>
      <w:r w:rsidRPr="008D3E71">
        <w:rPr>
          <w:rFonts w:eastAsia="Times New Roman"/>
          <w:lang w:eastAsia="de-DE"/>
        </w:rPr>
        <w:t xml:space="preserve">(„erzürnen, reizen") mit </w:t>
      </w:r>
      <w:r w:rsidRPr="008D3E71">
        <w:rPr>
          <w:rFonts w:eastAsia="Times New Roman"/>
          <w:b/>
          <w:bCs/>
          <w:rtl/>
          <w:lang w:eastAsia="de-DE"/>
        </w:rPr>
        <w:t>לְ</w:t>
      </w:r>
      <w:r w:rsidRPr="008D3E71">
        <w:rPr>
          <w:rFonts w:eastAsia="Times New Roman"/>
          <w:rtl/>
          <w:lang w:eastAsia="de-DE"/>
        </w:rPr>
        <w:t xml:space="preserve"> </w:t>
      </w:r>
      <w:r w:rsidRPr="008D3E71">
        <w:rPr>
          <w:rFonts w:eastAsia="Times New Roman"/>
          <w:lang w:eastAsia="de-DE"/>
        </w:rPr>
        <w:t>(final oder gerundial) und Suffix 3. Person Singular maskulin.</w:t>
      </w:r>
    </w:p>
    <w:p w14:paraId="3CE96AAF"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lastRenderedPageBreak/>
        <w:t xml:space="preserve">Der Vers beschreibt ein hypothetisches, aber wahrscheinliches Zukunftsszenario: Nach langer Ansässigkeit im Land wird Israel dem Götzendienst verfallen. Die Formulierung </w:t>
      </w:r>
      <w:r w:rsidRPr="008D3E71">
        <w:rPr>
          <w:rFonts w:eastAsia="Times New Roman"/>
          <w:b/>
          <w:bCs/>
          <w:rtl/>
          <w:lang w:eastAsia="de-DE"/>
        </w:rPr>
        <w:t>וְנוֹשַׁנְתֶּם</w:t>
      </w:r>
      <w:r w:rsidRPr="008D3E71">
        <w:rPr>
          <w:rFonts w:eastAsia="Times New Roman"/>
          <w:rtl/>
          <w:lang w:eastAsia="de-DE"/>
        </w:rPr>
        <w:t xml:space="preserve"> </w:t>
      </w:r>
      <w:r w:rsidRPr="008D3E71">
        <w:rPr>
          <w:rFonts w:eastAsia="Times New Roman"/>
          <w:lang w:eastAsia="de-DE"/>
        </w:rPr>
        <w:t>(„ihr werdet alt/alteingesessen") impliziert eine gewisse Selbstverständlichkeit und Sicherheit, die zur geistlichen Nachlässigkeit führt. Die Kette der Verben (</w:t>
      </w:r>
      <w:r w:rsidRPr="008D3E71">
        <w:rPr>
          <w:rFonts w:eastAsia="Times New Roman"/>
          <w:b/>
          <w:bCs/>
          <w:rtl/>
          <w:lang w:eastAsia="de-DE"/>
        </w:rPr>
        <w:t>תוֹלִיד</w:t>
      </w:r>
      <w:r w:rsidRPr="008D3E71">
        <w:rPr>
          <w:rFonts w:eastAsia="Times New Roman"/>
          <w:rtl/>
          <w:lang w:eastAsia="de-DE"/>
        </w:rPr>
        <w:t xml:space="preserve"> </w:t>
      </w:r>
      <w:r w:rsidRPr="008D3E71">
        <w:rPr>
          <w:rFonts w:eastAsia="Times New Roman"/>
          <w:lang w:eastAsia="de-DE"/>
        </w:rPr>
        <w:t xml:space="preserve">– </w:t>
      </w:r>
      <w:r w:rsidRPr="008D3E71">
        <w:rPr>
          <w:rFonts w:eastAsia="Times New Roman"/>
          <w:b/>
          <w:bCs/>
          <w:rtl/>
          <w:lang w:eastAsia="de-DE"/>
        </w:rPr>
        <w:t>נוֹשַׁנְתֶּם</w:t>
      </w:r>
      <w:r w:rsidRPr="008D3E71">
        <w:rPr>
          <w:rFonts w:eastAsia="Times New Roman"/>
          <w:rtl/>
          <w:lang w:eastAsia="de-DE"/>
        </w:rPr>
        <w:t xml:space="preserve"> </w:t>
      </w:r>
      <w:r w:rsidRPr="008D3E71">
        <w:rPr>
          <w:rFonts w:eastAsia="Times New Roman"/>
          <w:lang w:eastAsia="de-DE"/>
        </w:rPr>
        <w:t xml:space="preserve">– </w:t>
      </w:r>
      <w:r w:rsidRPr="008D3E71">
        <w:rPr>
          <w:rFonts w:eastAsia="Times New Roman"/>
          <w:b/>
          <w:bCs/>
          <w:rtl/>
          <w:lang w:eastAsia="de-DE"/>
        </w:rPr>
        <w:t>הִשְׁחַתֶּם</w:t>
      </w:r>
      <w:r w:rsidRPr="008D3E71">
        <w:rPr>
          <w:rFonts w:eastAsia="Times New Roman"/>
          <w:rtl/>
          <w:lang w:eastAsia="de-DE"/>
        </w:rPr>
        <w:t xml:space="preserve"> </w:t>
      </w:r>
      <w:r w:rsidRPr="008D3E71">
        <w:rPr>
          <w:rFonts w:eastAsia="Times New Roman"/>
          <w:lang w:eastAsia="de-DE"/>
        </w:rPr>
        <w:t xml:space="preserve">– </w:t>
      </w:r>
      <w:r w:rsidRPr="008D3E71">
        <w:rPr>
          <w:rFonts w:eastAsia="Times New Roman"/>
          <w:b/>
          <w:bCs/>
          <w:rtl/>
          <w:lang w:eastAsia="de-DE"/>
        </w:rPr>
        <w:t>עֲשִׂיתֶם</w:t>
      </w:r>
      <w:r w:rsidRPr="008D3E71">
        <w:rPr>
          <w:rFonts w:eastAsia="Times New Roman"/>
          <w:lang w:eastAsia="de-DE"/>
        </w:rPr>
        <w:t>) beschreibt den graduellen Abstieg.</w:t>
      </w:r>
    </w:p>
    <w:p w14:paraId="61AE9496"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Satzstruktur ist ein komplexer Konditionalsatz mit temporaler Nuance, bestehend aus einer konditionalen Einleitung mit Prädikat und zweigliedrigem Objekt, gefolgt von vier koordinierten konsekutiven Verben (das erste mit Ortsangabe, das zweite ohne Objekt, das dritte mit direktem Objekt und appositiver Erklärung, das vierte mit direktem Objekt, idiomatischer Phrase und finalem Infinitiv mit Suffix). Die Häufung der Waw-consecutivum-Formen erzeugt einen Dominoeffekt: eine Sünde führt zur nächsten.</w:t>
      </w:r>
    </w:p>
    <w:p w14:paraId="0187369B" w14:textId="4E9576B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Der Vers malt ein düsteres Zukunftsszenario: Wenn Israel im Land sesshaft wird, wird es zum Götzendienst abfallen und </w:t>
      </w:r>
      <w:r w:rsidR="00113C10">
        <w:rPr>
          <w:rFonts w:eastAsia="Times New Roman"/>
          <w:lang w:eastAsia="de-DE"/>
        </w:rPr>
        <w:t>JHWH</w:t>
      </w:r>
      <w:r w:rsidRPr="008D3E71">
        <w:rPr>
          <w:rFonts w:eastAsia="Times New Roman"/>
          <w:lang w:eastAsia="de-DE"/>
        </w:rPr>
        <w:t xml:space="preserve"> zum Zorn reizen.</w:t>
      </w:r>
    </w:p>
    <w:p w14:paraId="3B46924E"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4,26</w:t>
      </w:r>
    </w:p>
    <w:p w14:paraId="1D678472"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הַעִידֹתִי֩ בָכֶ֨ם הַיּ֜וֹם אֶת־הַשָּׁמַ֣יִם וְאֶת־הָאָ֗רֶץ כִּֽי־אָבֹ֣ד תֹּאבֵדוּן֮ מַהֵר֒ מֵעַ֣ל הָאָ֔רֶץ אֲשֶׁ֨ר אַתֶּ֜ם עֹבְרִ֧ים אֶת־הַיַּרְדֵּ֛ן שָׁ֖מָּה לְרִשְׁתָּ֑הּ לֹֽא־תַאֲרִיכֻ֤ן יָמִים֙ עָלֶ֔יהָ כִּ֥י הִשָּׁמֵ֖ד תִּשָּׁמֵדֽוּן׃</w:t>
      </w:r>
    </w:p>
    <w:p w14:paraId="2750BAA5"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So bezeuge ich gegen euch heute den Himmel und die Erde, dass ihr gewiss schnell umkommen werdet von dem Land, wohin ihr über den Jarden ziehend seid, um es in Besitz zu nehmen. Ihr werdet nicht lange Tage darauf haben, sondern gewiss vernichtet werden.</w:t>
      </w:r>
    </w:p>
    <w:p w14:paraId="5F150C61"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43476D00">
          <v:rect id="_x0000_i1162" style="width:0;height:1.5pt" o:hralign="center" o:hrstd="t" o:hr="t" fillcolor="#a0a0a0" stroked="f"/>
        </w:pict>
      </w:r>
    </w:p>
    <w:p w14:paraId="4588C72B"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הַעִידֹתִי בָכֶם הַיּוֹם</w:t>
      </w:r>
      <w:r w:rsidRPr="008D3E71">
        <w:rPr>
          <w:rFonts w:eastAsia="Times New Roman"/>
          <w:rtl/>
          <w:lang w:eastAsia="de-DE"/>
        </w:rPr>
        <w:t xml:space="preserve"> </w:t>
      </w:r>
      <w:r w:rsidRPr="008D3E71">
        <w:rPr>
          <w:rFonts w:eastAsia="Times New Roman"/>
          <w:lang w:eastAsia="de-DE"/>
        </w:rPr>
        <w:t xml:space="preserve">ist Hifil Perfekt, 1. Person Singular von </w:t>
      </w:r>
      <w:r w:rsidRPr="008D3E71">
        <w:rPr>
          <w:rFonts w:eastAsia="Times New Roman"/>
          <w:b/>
          <w:bCs/>
          <w:rtl/>
          <w:lang w:eastAsia="de-DE"/>
        </w:rPr>
        <w:t>עוד</w:t>
      </w:r>
      <w:r w:rsidRPr="008D3E71">
        <w:rPr>
          <w:rFonts w:eastAsia="Times New Roman"/>
          <w:rtl/>
          <w:lang w:eastAsia="de-DE"/>
        </w:rPr>
        <w:t xml:space="preserve"> </w:t>
      </w:r>
      <w:r w:rsidRPr="008D3E71">
        <w:rPr>
          <w:rFonts w:eastAsia="Times New Roman"/>
          <w:lang w:eastAsia="de-DE"/>
        </w:rPr>
        <w:t xml:space="preserve">(„bezeugen, warnen") mit Präposition </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und Suffix 2. Person Plural maskulin („gegen euch"), </w:t>
      </w:r>
      <w:r w:rsidRPr="008D3E71">
        <w:rPr>
          <w:rFonts w:eastAsia="Times New Roman"/>
          <w:b/>
          <w:bCs/>
          <w:rtl/>
          <w:lang w:eastAsia="de-DE"/>
        </w:rPr>
        <w:t>הַיּוֹם</w:t>
      </w:r>
      <w:r w:rsidRPr="008D3E71">
        <w:rPr>
          <w:rFonts w:eastAsia="Times New Roman"/>
          <w:rtl/>
          <w:lang w:eastAsia="de-DE"/>
        </w:rPr>
        <w:t xml:space="preserve"> </w:t>
      </w:r>
      <w:r w:rsidRPr="008D3E71">
        <w:rPr>
          <w:rFonts w:eastAsia="Times New Roman"/>
          <w:lang w:eastAsia="de-DE"/>
        </w:rPr>
        <w:t xml:space="preserve">als temporales Adverb. </w:t>
      </w:r>
      <w:r w:rsidRPr="008D3E71">
        <w:rPr>
          <w:rFonts w:eastAsia="Times New Roman"/>
          <w:b/>
          <w:bCs/>
          <w:rtl/>
          <w:lang w:eastAsia="de-DE"/>
        </w:rPr>
        <w:t>אֶת־הַשָּׁמַיִם וְאֶת־הָאָרֶץ</w:t>
      </w:r>
      <w:r w:rsidRPr="008D3E71">
        <w:rPr>
          <w:rFonts w:eastAsia="Times New Roman"/>
          <w:rtl/>
          <w:lang w:eastAsia="de-DE"/>
        </w:rPr>
        <w:t xml:space="preserve"> </w:t>
      </w:r>
      <w:r w:rsidRPr="008D3E71">
        <w:rPr>
          <w:rFonts w:eastAsia="Times New Roman"/>
          <w:lang w:eastAsia="de-DE"/>
        </w:rPr>
        <w:t xml:space="preserve">ist eine zweigliedrige Objektkette: </w:t>
      </w:r>
      <w:r w:rsidRPr="008D3E71">
        <w:rPr>
          <w:rFonts w:eastAsia="Times New Roman"/>
          <w:b/>
          <w:bCs/>
          <w:rtl/>
          <w:lang w:eastAsia="de-DE"/>
        </w:rPr>
        <w:t>הַשָּׁמַיִם</w:t>
      </w:r>
      <w:r w:rsidRPr="008D3E71">
        <w:rPr>
          <w:rFonts w:eastAsia="Times New Roman"/>
          <w:rtl/>
          <w:lang w:eastAsia="de-DE"/>
        </w:rPr>
        <w:t xml:space="preserve"> </w:t>
      </w:r>
      <w:r w:rsidRPr="008D3E71">
        <w:rPr>
          <w:rFonts w:eastAsia="Times New Roman"/>
          <w:lang w:eastAsia="de-DE"/>
        </w:rPr>
        <w:t xml:space="preserve">(„die Himmel", Dual) und </w:t>
      </w:r>
      <w:r w:rsidRPr="008D3E71">
        <w:rPr>
          <w:rFonts w:eastAsia="Times New Roman"/>
          <w:b/>
          <w:bCs/>
          <w:rtl/>
          <w:lang w:eastAsia="de-DE"/>
        </w:rPr>
        <w:t>הָאָרֶץ</w:t>
      </w:r>
      <w:r w:rsidRPr="008D3E71">
        <w:rPr>
          <w:rFonts w:eastAsia="Times New Roman"/>
          <w:rtl/>
          <w:lang w:eastAsia="de-DE"/>
        </w:rPr>
        <w:t xml:space="preserve"> </w:t>
      </w:r>
      <w:r w:rsidRPr="008D3E71">
        <w:rPr>
          <w:rFonts w:eastAsia="Times New Roman"/>
          <w:lang w:eastAsia="de-DE"/>
        </w:rPr>
        <w:t>(„die Erde") – die kosmischen Zeugen. Die Anrufung von Himmel und Erde als Zeugen ist eine alte Bundesformel (vgl. Dtn 30,19; 31,28).</w:t>
      </w:r>
    </w:p>
    <w:p w14:paraId="2B4DA5F9"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כִּי־אָבֹד תֹּאבֵדוּן מַהֵר</w:t>
      </w:r>
      <w:r w:rsidRPr="008D3E71">
        <w:rPr>
          <w:rFonts w:eastAsia="Times New Roman"/>
          <w:rtl/>
          <w:lang w:eastAsia="de-DE"/>
        </w:rPr>
        <w:t xml:space="preserve"> </w:t>
      </w:r>
      <w:r w:rsidRPr="008D3E71">
        <w:rPr>
          <w:rFonts w:eastAsia="Times New Roman"/>
          <w:lang w:eastAsia="de-DE"/>
        </w:rPr>
        <w:t xml:space="preserve">ist ein Objektsatz: </w:t>
      </w:r>
      <w:r w:rsidRPr="008D3E71">
        <w:rPr>
          <w:rFonts w:eastAsia="Times New Roman"/>
          <w:b/>
          <w:bCs/>
          <w:rtl/>
          <w:lang w:eastAsia="de-DE"/>
        </w:rPr>
        <w:t>כִּי</w:t>
      </w:r>
      <w:r w:rsidRPr="008D3E71">
        <w:rPr>
          <w:rFonts w:eastAsia="Times New Roman"/>
          <w:rtl/>
          <w:lang w:eastAsia="de-DE"/>
        </w:rPr>
        <w:t xml:space="preserve"> </w:t>
      </w:r>
      <w:r w:rsidRPr="008D3E71">
        <w:rPr>
          <w:rFonts w:eastAsia="Times New Roman"/>
          <w:lang w:eastAsia="de-DE"/>
        </w:rPr>
        <w:t xml:space="preserve">als Objektkonjunktion („dass"), </w:t>
      </w:r>
      <w:r w:rsidRPr="008D3E71">
        <w:rPr>
          <w:rFonts w:eastAsia="Times New Roman"/>
          <w:b/>
          <w:bCs/>
          <w:rtl/>
          <w:lang w:eastAsia="de-DE"/>
        </w:rPr>
        <w:t>אָבֹד תֹּאבֵדוּן</w:t>
      </w:r>
      <w:r w:rsidRPr="008D3E71">
        <w:rPr>
          <w:rFonts w:eastAsia="Times New Roman"/>
          <w:rtl/>
          <w:lang w:eastAsia="de-DE"/>
        </w:rPr>
        <w:t xml:space="preserve"> </w:t>
      </w:r>
      <w:r w:rsidRPr="008D3E71">
        <w:rPr>
          <w:rFonts w:eastAsia="Times New Roman"/>
          <w:lang w:eastAsia="de-DE"/>
        </w:rPr>
        <w:t>als emphatische Konstruktion mit Infinitiv absolut (</w:t>
      </w:r>
      <w:r w:rsidRPr="008D3E71">
        <w:rPr>
          <w:rFonts w:eastAsia="Times New Roman"/>
          <w:b/>
          <w:bCs/>
          <w:rtl/>
          <w:lang w:eastAsia="de-DE"/>
        </w:rPr>
        <w:t>אָבֹד</w:t>
      </w:r>
      <w:r w:rsidRPr="008D3E71">
        <w:rPr>
          <w:rFonts w:eastAsia="Times New Roman"/>
          <w:lang w:eastAsia="de-DE"/>
        </w:rPr>
        <w:t xml:space="preserve">, Qal Infinitiv absolut von </w:t>
      </w:r>
      <w:r w:rsidRPr="008D3E71">
        <w:rPr>
          <w:rFonts w:eastAsia="Times New Roman"/>
          <w:b/>
          <w:bCs/>
          <w:rtl/>
          <w:lang w:eastAsia="de-DE"/>
        </w:rPr>
        <w:t>אבד</w:t>
      </w:r>
      <w:r w:rsidRPr="008D3E71">
        <w:rPr>
          <w:rFonts w:eastAsia="Times New Roman"/>
          <w:lang w:eastAsia="de-DE"/>
        </w:rPr>
        <w:t>, „umkommen, zugrunde gehen") vor dem finiten Verb (</w:t>
      </w:r>
      <w:r w:rsidRPr="008D3E71">
        <w:rPr>
          <w:rFonts w:eastAsia="Times New Roman"/>
          <w:b/>
          <w:bCs/>
          <w:rtl/>
          <w:lang w:eastAsia="de-DE"/>
        </w:rPr>
        <w:t>תֹּאבֵדוּן</w:t>
      </w:r>
      <w:r w:rsidRPr="008D3E71">
        <w:rPr>
          <w:rFonts w:eastAsia="Times New Roman"/>
          <w:lang w:eastAsia="de-DE"/>
        </w:rPr>
        <w:t xml:space="preserve">, Qal Imperfekt, 2. Person Plural maskulin von </w:t>
      </w:r>
      <w:r w:rsidRPr="008D3E71">
        <w:rPr>
          <w:rFonts w:eastAsia="Times New Roman"/>
          <w:b/>
          <w:bCs/>
          <w:rtl/>
          <w:lang w:eastAsia="de-DE"/>
        </w:rPr>
        <w:t>אבד</w:t>
      </w:r>
      <w:r w:rsidRPr="008D3E71">
        <w:rPr>
          <w:rFonts w:eastAsia="Times New Roman"/>
          <w:rtl/>
          <w:lang w:eastAsia="de-DE"/>
        </w:rPr>
        <w:t xml:space="preserve"> </w:t>
      </w:r>
      <w:r w:rsidRPr="008D3E71">
        <w:rPr>
          <w:rFonts w:eastAsia="Times New Roman"/>
          <w:lang w:eastAsia="de-DE"/>
        </w:rPr>
        <w:t xml:space="preserve">mit paragogischem Nun) – „ihr werdet gewiss umkommen", </w:t>
      </w:r>
      <w:r w:rsidRPr="008D3E71">
        <w:rPr>
          <w:rFonts w:eastAsia="Times New Roman"/>
          <w:b/>
          <w:bCs/>
          <w:rtl/>
          <w:lang w:eastAsia="de-DE"/>
        </w:rPr>
        <w:t>מַהֵר</w:t>
      </w:r>
      <w:r w:rsidRPr="008D3E71">
        <w:rPr>
          <w:rFonts w:eastAsia="Times New Roman"/>
          <w:rtl/>
          <w:lang w:eastAsia="de-DE"/>
        </w:rPr>
        <w:t xml:space="preserve"> </w:t>
      </w:r>
      <w:r w:rsidRPr="008D3E71">
        <w:rPr>
          <w:rFonts w:eastAsia="Times New Roman"/>
          <w:lang w:eastAsia="de-DE"/>
        </w:rPr>
        <w:t xml:space="preserve">als Adverb („schnell, eilends"). </w:t>
      </w:r>
      <w:r w:rsidRPr="008D3E71">
        <w:rPr>
          <w:rFonts w:eastAsia="Times New Roman"/>
          <w:b/>
          <w:bCs/>
          <w:rtl/>
          <w:lang w:eastAsia="de-DE"/>
        </w:rPr>
        <w:t>מֵעַל הָאָרֶץ</w:t>
      </w:r>
      <w:r w:rsidRPr="008D3E71">
        <w:rPr>
          <w:rFonts w:eastAsia="Times New Roman"/>
          <w:rtl/>
          <w:lang w:eastAsia="de-DE"/>
        </w:rPr>
        <w:t xml:space="preserve"> </w:t>
      </w:r>
      <w:r w:rsidRPr="008D3E71">
        <w:rPr>
          <w:rFonts w:eastAsia="Times New Roman"/>
          <w:lang w:eastAsia="de-DE"/>
        </w:rPr>
        <w:t xml:space="preserve">ist Präposition </w:t>
      </w:r>
      <w:r w:rsidRPr="008D3E71">
        <w:rPr>
          <w:rFonts w:eastAsia="Times New Roman"/>
          <w:b/>
          <w:bCs/>
          <w:rtl/>
          <w:lang w:eastAsia="de-DE"/>
        </w:rPr>
        <w:t>מִן</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עַל</w:t>
      </w:r>
      <w:r w:rsidRPr="008D3E71">
        <w:rPr>
          <w:rFonts w:eastAsia="Times New Roman"/>
          <w:rtl/>
          <w:lang w:eastAsia="de-DE"/>
        </w:rPr>
        <w:t xml:space="preserve"> </w:t>
      </w:r>
      <w:r w:rsidRPr="008D3E71">
        <w:rPr>
          <w:rFonts w:eastAsia="Times New Roman"/>
          <w:lang w:eastAsia="de-DE"/>
        </w:rPr>
        <w:t xml:space="preserve">(„von auf, von... weg") und </w:t>
      </w:r>
      <w:r w:rsidRPr="008D3E71">
        <w:rPr>
          <w:rFonts w:eastAsia="Times New Roman"/>
          <w:b/>
          <w:bCs/>
          <w:rtl/>
          <w:lang w:eastAsia="de-DE"/>
        </w:rPr>
        <w:t>הָאָרֶץ</w:t>
      </w:r>
      <w:r w:rsidRPr="008D3E71">
        <w:rPr>
          <w:rFonts w:eastAsia="Times New Roman"/>
          <w:lang w:eastAsia="de-DE"/>
        </w:rPr>
        <w:t>.</w:t>
      </w:r>
    </w:p>
    <w:p w14:paraId="5CE503C4"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אֲשֶׁר אַתֶּם עֹבְרִים אֶת־הַיַּרְדֵּן שָׁמָּה לְרִשְׁתָּהּ</w:t>
      </w:r>
      <w:r w:rsidRPr="008D3E71">
        <w:rPr>
          <w:rFonts w:eastAsia="Times New Roman"/>
          <w:rtl/>
          <w:lang w:eastAsia="de-DE"/>
        </w:rPr>
        <w:t xml:space="preserve"> </w:t>
      </w:r>
      <w:r w:rsidRPr="008D3E71">
        <w:rPr>
          <w:rFonts w:eastAsia="Times New Roman"/>
          <w:lang w:eastAsia="de-DE"/>
        </w:rPr>
        <w:t xml:space="preserve">ist ein Relativsatz: </w:t>
      </w:r>
      <w:r w:rsidRPr="008D3E71">
        <w:rPr>
          <w:rFonts w:eastAsia="Times New Roman"/>
          <w:b/>
          <w:bCs/>
          <w:rtl/>
          <w:lang w:eastAsia="de-DE"/>
        </w:rPr>
        <w:t>אֲשֶׁר</w:t>
      </w:r>
      <w:r w:rsidRPr="008D3E71">
        <w:rPr>
          <w:rFonts w:eastAsia="Times New Roman"/>
          <w:rtl/>
          <w:lang w:eastAsia="de-DE"/>
        </w:rPr>
        <w:t xml:space="preserve"> </w:t>
      </w:r>
      <w:r w:rsidRPr="008D3E71">
        <w:rPr>
          <w:rFonts w:eastAsia="Times New Roman"/>
          <w:lang w:eastAsia="de-DE"/>
        </w:rPr>
        <w:t xml:space="preserve">als Relativpronomen, </w:t>
      </w:r>
      <w:r w:rsidRPr="008D3E71">
        <w:rPr>
          <w:rFonts w:eastAsia="Times New Roman"/>
          <w:b/>
          <w:bCs/>
          <w:rtl/>
          <w:lang w:eastAsia="de-DE"/>
        </w:rPr>
        <w:t>אַתֶּם</w:t>
      </w:r>
      <w:r w:rsidRPr="008D3E71">
        <w:rPr>
          <w:rFonts w:eastAsia="Times New Roman"/>
          <w:rtl/>
          <w:lang w:eastAsia="de-DE"/>
        </w:rPr>
        <w:t xml:space="preserve"> </w:t>
      </w:r>
      <w:r w:rsidRPr="008D3E71">
        <w:rPr>
          <w:rFonts w:eastAsia="Times New Roman"/>
          <w:lang w:eastAsia="de-DE"/>
        </w:rPr>
        <w:t xml:space="preserve">als Subjekt, </w:t>
      </w:r>
      <w:r w:rsidRPr="008D3E71">
        <w:rPr>
          <w:rFonts w:eastAsia="Times New Roman"/>
          <w:b/>
          <w:bCs/>
          <w:rtl/>
          <w:lang w:eastAsia="de-DE"/>
        </w:rPr>
        <w:t>עֹבְרִים</w:t>
      </w:r>
      <w:r w:rsidRPr="008D3E71">
        <w:rPr>
          <w:rFonts w:eastAsia="Times New Roman"/>
          <w:rtl/>
          <w:lang w:eastAsia="de-DE"/>
        </w:rPr>
        <w:t xml:space="preserve"> </w:t>
      </w:r>
      <w:r w:rsidRPr="008D3E71">
        <w:rPr>
          <w:rFonts w:eastAsia="Times New Roman"/>
          <w:lang w:eastAsia="de-DE"/>
        </w:rPr>
        <w:t xml:space="preserve">als Qal Partizip Plural maskulin von </w:t>
      </w:r>
      <w:r w:rsidRPr="008D3E71">
        <w:rPr>
          <w:rFonts w:eastAsia="Times New Roman"/>
          <w:b/>
          <w:bCs/>
          <w:rtl/>
          <w:lang w:eastAsia="de-DE"/>
        </w:rPr>
        <w:t>עבר</w:t>
      </w:r>
      <w:r w:rsidRPr="008D3E71">
        <w:rPr>
          <w:rFonts w:eastAsia="Times New Roman"/>
          <w:lang w:eastAsia="de-DE"/>
        </w:rPr>
        <w:t xml:space="preserve">, </w:t>
      </w:r>
      <w:r w:rsidRPr="008D3E71">
        <w:rPr>
          <w:rFonts w:eastAsia="Times New Roman"/>
          <w:b/>
          <w:bCs/>
          <w:rtl/>
          <w:lang w:eastAsia="de-DE"/>
        </w:rPr>
        <w:t>אֶת־הַיַּרְדֵּן</w:t>
      </w:r>
      <w:r w:rsidRPr="008D3E71">
        <w:rPr>
          <w:rFonts w:eastAsia="Times New Roman"/>
          <w:rtl/>
          <w:lang w:eastAsia="de-DE"/>
        </w:rPr>
        <w:t xml:space="preserve"> </w:t>
      </w:r>
      <w:r w:rsidRPr="008D3E71">
        <w:rPr>
          <w:rFonts w:eastAsia="Times New Roman"/>
          <w:lang w:eastAsia="de-DE"/>
        </w:rPr>
        <w:t xml:space="preserve">als direktes Objekt, </w:t>
      </w:r>
      <w:r w:rsidRPr="008D3E71">
        <w:rPr>
          <w:rFonts w:eastAsia="Times New Roman"/>
          <w:b/>
          <w:bCs/>
          <w:rtl/>
          <w:lang w:eastAsia="de-DE"/>
        </w:rPr>
        <w:t>שָׁמָּה</w:t>
      </w:r>
      <w:r w:rsidRPr="008D3E71">
        <w:rPr>
          <w:rFonts w:eastAsia="Times New Roman"/>
          <w:rtl/>
          <w:lang w:eastAsia="de-DE"/>
        </w:rPr>
        <w:t xml:space="preserve"> </w:t>
      </w:r>
      <w:r w:rsidRPr="008D3E71">
        <w:rPr>
          <w:rFonts w:eastAsia="Times New Roman"/>
          <w:lang w:eastAsia="de-DE"/>
        </w:rPr>
        <w:t xml:space="preserve">als Richtungsadverb, </w:t>
      </w:r>
      <w:r w:rsidRPr="008D3E71">
        <w:rPr>
          <w:rFonts w:eastAsia="Times New Roman"/>
          <w:b/>
          <w:bCs/>
          <w:rtl/>
          <w:lang w:eastAsia="de-DE"/>
        </w:rPr>
        <w:t>לְרִשְׁתָּהּ</w:t>
      </w:r>
      <w:r w:rsidRPr="008D3E71">
        <w:rPr>
          <w:rFonts w:eastAsia="Times New Roman"/>
          <w:rtl/>
          <w:lang w:eastAsia="de-DE"/>
        </w:rPr>
        <w:t xml:space="preserve"> </w:t>
      </w:r>
      <w:r w:rsidRPr="008D3E71">
        <w:rPr>
          <w:rFonts w:eastAsia="Times New Roman"/>
          <w:lang w:eastAsia="de-DE"/>
        </w:rPr>
        <w:t>als finaler Infinitiv (vgl. mehrfach zuvor).</w:t>
      </w:r>
    </w:p>
    <w:p w14:paraId="58CE6CE3"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לֹא־תַאֲרִיכֻן יָמִים עָלֶיהָ</w:t>
      </w:r>
      <w:r w:rsidRPr="008D3E71">
        <w:rPr>
          <w:rFonts w:eastAsia="Times New Roman"/>
          <w:rtl/>
          <w:lang w:eastAsia="de-DE"/>
        </w:rPr>
        <w:t xml:space="preserve"> </w:t>
      </w:r>
      <w:r w:rsidRPr="008D3E71">
        <w:rPr>
          <w:rFonts w:eastAsia="Times New Roman"/>
          <w:lang w:eastAsia="de-DE"/>
        </w:rPr>
        <w:t xml:space="preserve">ist ein koordinierter negativer Satz: </w:t>
      </w:r>
      <w:r w:rsidRPr="008D3E71">
        <w:rPr>
          <w:rFonts w:eastAsia="Times New Roman"/>
          <w:b/>
          <w:bCs/>
          <w:rtl/>
          <w:lang w:eastAsia="de-DE"/>
        </w:rPr>
        <w:t>לֹא</w:t>
      </w:r>
      <w:r w:rsidRPr="008D3E71">
        <w:rPr>
          <w:rFonts w:eastAsia="Times New Roman"/>
          <w:rtl/>
          <w:lang w:eastAsia="de-DE"/>
        </w:rPr>
        <w:t xml:space="preserve"> </w:t>
      </w:r>
      <w:r w:rsidRPr="008D3E71">
        <w:rPr>
          <w:rFonts w:eastAsia="Times New Roman"/>
          <w:lang w:eastAsia="de-DE"/>
        </w:rPr>
        <w:t xml:space="preserve">als Negation, </w:t>
      </w:r>
      <w:r w:rsidRPr="008D3E71">
        <w:rPr>
          <w:rFonts w:eastAsia="Times New Roman"/>
          <w:b/>
          <w:bCs/>
          <w:rtl/>
          <w:lang w:eastAsia="de-DE"/>
        </w:rPr>
        <w:t>תַאֲרִיכֻן</w:t>
      </w:r>
      <w:r w:rsidRPr="008D3E71">
        <w:rPr>
          <w:rFonts w:eastAsia="Times New Roman"/>
          <w:rtl/>
          <w:lang w:eastAsia="de-DE"/>
        </w:rPr>
        <w:t xml:space="preserve"> </w:t>
      </w:r>
      <w:r w:rsidRPr="008D3E71">
        <w:rPr>
          <w:rFonts w:eastAsia="Times New Roman"/>
          <w:lang w:eastAsia="de-DE"/>
        </w:rPr>
        <w:t xml:space="preserve">(Hifil Imperfekt, 2. Person Plural maskulin von </w:t>
      </w:r>
      <w:r w:rsidRPr="008D3E71">
        <w:rPr>
          <w:rFonts w:eastAsia="Times New Roman"/>
          <w:b/>
          <w:bCs/>
          <w:rtl/>
          <w:lang w:eastAsia="de-DE"/>
        </w:rPr>
        <w:t>ארך</w:t>
      </w:r>
      <w:r w:rsidRPr="008D3E71">
        <w:rPr>
          <w:rFonts w:eastAsia="Times New Roman"/>
          <w:lang w:eastAsia="de-DE"/>
        </w:rPr>
        <w:t xml:space="preserve">, „lang machen, verlängern", mit paragogischem Nun), </w:t>
      </w:r>
      <w:r w:rsidRPr="008D3E71">
        <w:rPr>
          <w:rFonts w:eastAsia="Times New Roman"/>
          <w:b/>
          <w:bCs/>
          <w:rtl/>
          <w:lang w:eastAsia="de-DE"/>
        </w:rPr>
        <w:t>יָמִים</w:t>
      </w:r>
      <w:r w:rsidRPr="008D3E71">
        <w:rPr>
          <w:rFonts w:eastAsia="Times New Roman"/>
          <w:rtl/>
          <w:lang w:eastAsia="de-DE"/>
        </w:rPr>
        <w:t xml:space="preserve"> </w:t>
      </w:r>
      <w:r w:rsidRPr="008D3E71">
        <w:rPr>
          <w:rFonts w:eastAsia="Times New Roman"/>
          <w:lang w:eastAsia="de-DE"/>
        </w:rPr>
        <w:t xml:space="preserve">als direktes Objekt („Tage"), </w:t>
      </w:r>
      <w:r w:rsidRPr="008D3E71">
        <w:rPr>
          <w:rFonts w:eastAsia="Times New Roman"/>
          <w:b/>
          <w:bCs/>
          <w:rtl/>
          <w:lang w:eastAsia="de-DE"/>
        </w:rPr>
        <w:t>עָלֶיהָ</w:t>
      </w:r>
      <w:r w:rsidRPr="008D3E71">
        <w:rPr>
          <w:rFonts w:eastAsia="Times New Roman"/>
          <w:rtl/>
          <w:lang w:eastAsia="de-DE"/>
        </w:rPr>
        <w:t xml:space="preserve"> </w:t>
      </w:r>
      <w:r w:rsidRPr="008D3E71">
        <w:rPr>
          <w:rFonts w:eastAsia="Times New Roman"/>
          <w:lang w:eastAsia="de-DE"/>
        </w:rPr>
        <w:t xml:space="preserve">als Präposition </w:t>
      </w:r>
      <w:r w:rsidRPr="008D3E71">
        <w:rPr>
          <w:rFonts w:eastAsia="Times New Roman"/>
          <w:b/>
          <w:bCs/>
          <w:rtl/>
          <w:lang w:eastAsia="de-DE"/>
        </w:rPr>
        <w:t>עַל</w:t>
      </w:r>
      <w:r w:rsidRPr="008D3E71">
        <w:rPr>
          <w:rFonts w:eastAsia="Times New Roman"/>
          <w:rtl/>
          <w:lang w:eastAsia="de-DE"/>
        </w:rPr>
        <w:t xml:space="preserve"> </w:t>
      </w:r>
      <w:r w:rsidRPr="008D3E71">
        <w:rPr>
          <w:rFonts w:eastAsia="Times New Roman"/>
          <w:lang w:eastAsia="de-DE"/>
        </w:rPr>
        <w:t xml:space="preserve">mit Suffix 3. Person Singular </w:t>
      </w:r>
      <w:r w:rsidRPr="008D3E71">
        <w:rPr>
          <w:rFonts w:eastAsia="Times New Roman"/>
          <w:lang w:eastAsia="de-DE"/>
        </w:rPr>
        <w:lastRenderedPageBreak/>
        <w:t xml:space="preserve">feminin (bezogen auf </w:t>
      </w:r>
      <w:r w:rsidRPr="008D3E71">
        <w:rPr>
          <w:rFonts w:eastAsia="Times New Roman"/>
          <w:b/>
          <w:bCs/>
          <w:rtl/>
          <w:lang w:eastAsia="de-DE"/>
        </w:rPr>
        <w:t>הָאָרֶץ</w:t>
      </w:r>
      <w:r w:rsidRPr="008D3E71">
        <w:rPr>
          <w:rFonts w:eastAsia="Times New Roman"/>
          <w:lang w:eastAsia="de-DE"/>
        </w:rPr>
        <w:t xml:space="preserve">) – idiomatisch „nicht lange Tage haben auf ihr" = „nicht lange dort bleiben". </w:t>
      </w:r>
      <w:r w:rsidRPr="008D3E71">
        <w:rPr>
          <w:rFonts w:eastAsia="Times New Roman"/>
          <w:b/>
          <w:bCs/>
          <w:rtl/>
          <w:lang w:eastAsia="de-DE"/>
        </w:rPr>
        <w:t>כִּי הִשָּׁמֵד תִּשָּׁמֵדוּן</w:t>
      </w:r>
      <w:r w:rsidRPr="008D3E71">
        <w:rPr>
          <w:rFonts w:eastAsia="Times New Roman"/>
          <w:rtl/>
          <w:lang w:eastAsia="de-DE"/>
        </w:rPr>
        <w:t xml:space="preserve"> </w:t>
      </w:r>
      <w:r w:rsidRPr="008D3E71">
        <w:rPr>
          <w:rFonts w:eastAsia="Times New Roman"/>
          <w:lang w:eastAsia="de-DE"/>
        </w:rPr>
        <w:t xml:space="preserve">ist ein kausaler Satz mit emphatischer Infinitiv-absolut-Konstruktion: </w:t>
      </w:r>
      <w:r w:rsidRPr="008D3E71">
        <w:rPr>
          <w:rFonts w:eastAsia="Times New Roman"/>
          <w:b/>
          <w:bCs/>
          <w:rtl/>
          <w:lang w:eastAsia="de-DE"/>
        </w:rPr>
        <w:t>כִּי</w:t>
      </w:r>
      <w:r w:rsidRPr="008D3E71">
        <w:rPr>
          <w:rFonts w:eastAsia="Times New Roman"/>
          <w:rtl/>
          <w:lang w:eastAsia="de-DE"/>
        </w:rPr>
        <w:t xml:space="preserve"> </w:t>
      </w:r>
      <w:r w:rsidRPr="008D3E71">
        <w:rPr>
          <w:rFonts w:eastAsia="Times New Roman"/>
          <w:lang w:eastAsia="de-DE"/>
        </w:rPr>
        <w:t xml:space="preserve">als Konjunktion, </w:t>
      </w:r>
      <w:r w:rsidRPr="008D3E71">
        <w:rPr>
          <w:rFonts w:eastAsia="Times New Roman"/>
          <w:b/>
          <w:bCs/>
          <w:rtl/>
          <w:lang w:eastAsia="de-DE"/>
        </w:rPr>
        <w:t>הִשָּׁמֵד</w:t>
      </w:r>
      <w:r w:rsidRPr="008D3E71">
        <w:rPr>
          <w:rFonts w:eastAsia="Times New Roman"/>
          <w:rtl/>
          <w:lang w:eastAsia="de-DE"/>
        </w:rPr>
        <w:t xml:space="preserve"> </w:t>
      </w:r>
      <w:r w:rsidRPr="008D3E71">
        <w:rPr>
          <w:rFonts w:eastAsia="Times New Roman"/>
          <w:lang w:eastAsia="de-DE"/>
        </w:rPr>
        <w:t xml:space="preserve">(Nifal Infinitiv absolut von </w:t>
      </w:r>
      <w:r w:rsidRPr="008D3E71">
        <w:rPr>
          <w:rFonts w:eastAsia="Times New Roman"/>
          <w:b/>
          <w:bCs/>
          <w:rtl/>
          <w:lang w:eastAsia="de-DE"/>
        </w:rPr>
        <w:t>שׁמד</w:t>
      </w:r>
      <w:r w:rsidRPr="008D3E71">
        <w:rPr>
          <w:rFonts w:eastAsia="Times New Roman"/>
          <w:lang w:eastAsia="de-DE"/>
        </w:rPr>
        <w:t xml:space="preserve">, „vernichtet werden"), </w:t>
      </w:r>
      <w:r w:rsidRPr="008D3E71">
        <w:rPr>
          <w:rFonts w:eastAsia="Times New Roman"/>
          <w:b/>
          <w:bCs/>
          <w:rtl/>
          <w:lang w:eastAsia="de-DE"/>
        </w:rPr>
        <w:t>תִּשָּׁמֵדוּן</w:t>
      </w:r>
      <w:r w:rsidRPr="008D3E71">
        <w:rPr>
          <w:rFonts w:eastAsia="Times New Roman"/>
          <w:rtl/>
          <w:lang w:eastAsia="de-DE"/>
        </w:rPr>
        <w:t xml:space="preserve"> </w:t>
      </w:r>
      <w:r w:rsidRPr="008D3E71">
        <w:rPr>
          <w:rFonts w:eastAsia="Times New Roman"/>
          <w:lang w:eastAsia="de-DE"/>
        </w:rPr>
        <w:t xml:space="preserve">(Nifal Imperfekt, 2. Person Plural maskulin von </w:t>
      </w:r>
      <w:r w:rsidRPr="008D3E71">
        <w:rPr>
          <w:rFonts w:eastAsia="Times New Roman"/>
          <w:b/>
          <w:bCs/>
          <w:rtl/>
          <w:lang w:eastAsia="de-DE"/>
        </w:rPr>
        <w:t>שׁמד</w:t>
      </w:r>
      <w:r w:rsidRPr="008D3E71">
        <w:rPr>
          <w:rFonts w:eastAsia="Times New Roman"/>
          <w:rtl/>
          <w:lang w:eastAsia="de-DE"/>
        </w:rPr>
        <w:t xml:space="preserve"> </w:t>
      </w:r>
      <w:r w:rsidRPr="008D3E71">
        <w:rPr>
          <w:rFonts w:eastAsia="Times New Roman"/>
          <w:lang w:eastAsia="de-DE"/>
        </w:rPr>
        <w:t>mit paragogischem Nun).</w:t>
      </w:r>
    </w:p>
    <w:p w14:paraId="023435E2"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doppelte Verwendung der emphatischen Infinitiv-absolut-Konstruktion (</w:t>
      </w:r>
      <w:r w:rsidRPr="008D3E71">
        <w:rPr>
          <w:rFonts w:eastAsia="Times New Roman"/>
          <w:b/>
          <w:bCs/>
          <w:rtl/>
          <w:lang w:eastAsia="de-DE"/>
        </w:rPr>
        <w:t>אָבֹד תֹּאבֵדוּן</w:t>
      </w:r>
      <w:r w:rsidRPr="008D3E71">
        <w:rPr>
          <w:rFonts w:eastAsia="Times New Roman"/>
          <w:rtl/>
          <w:lang w:eastAsia="de-DE"/>
        </w:rPr>
        <w:t xml:space="preserve"> </w:t>
      </w:r>
      <w:r w:rsidRPr="008D3E71">
        <w:rPr>
          <w:rFonts w:eastAsia="Times New Roman"/>
          <w:lang w:eastAsia="de-DE"/>
        </w:rPr>
        <w:t xml:space="preserve">und </w:t>
      </w:r>
      <w:r w:rsidRPr="008D3E71">
        <w:rPr>
          <w:rFonts w:eastAsia="Times New Roman"/>
          <w:b/>
          <w:bCs/>
          <w:rtl/>
          <w:lang w:eastAsia="de-DE"/>
        </w:rPr>
        <w:t>הִשָּׁמֵד תִּשָּׁמֵדוּן</w:t>
      </w:r>
      <w:r w:rsidRPr="008D3E71">
        <w:rPr>
          <w:rFonts w:eastAsia="Times New Roman"/>
          <w:lang w:eastAsia="de-DE"/>
        </w:rPr>
        <w:t xml:space="preserve">) verleiht der Drohung höchste Eindringlichkeit. Die beiden Verben </w:t>
      </w:r>
      <w:r w:rsidRPr="008D3E71">
        <w:rPr>
          <w:rFonts w:eastAsia="Times New Roman"/>
          <w:b/>
          <w:bCs/>
          <w:rtl/>
          <w:lang w:eastAsia="de-DE"/>
        </w:rPr>
        <w:t>אבד</w:t>
      </w:r>
      <w:r w:rsidRPr="008D3E71">
        <w:rPr>
          <w:rFonts w:eastAsia="Times New Roman"/>
          <w:rtl/>
          <w:lang w:eastAsia="de-DE"/>
        </w:rPr>
        <w:t xml:space="preserve"> </w:t>
      </w:r>
      <w:r w:rsidRPr="008D3E71">
        <w:rPr>
          <w:rFonts w:eastAsia="Times New Roman"/>
          <w:lang w:eastAsia="de-DE"/>
        </w:rPr>
        <w:t xml:space="preserve">und </w:t>
      </w:r>
      <w:r w:rsidRPr="008D3E71">
        <w:rPr>
          <w:rFonts w:eastAsia="Times New Roman"/>
          <w:b/>
          <w:bCs/>
          <w:rtl/>
          <w:lang w:eastAsia="de-DE"/>
        </w:rPr>
        <w:t>שׁמד</w:t>
      </w:r>
      <w:r w:rsidRPr="008D3E71">
        <w:rPr>
          <w:rFonts w:eastAsia="Times New Roman"/>
          <w:rtl/>
          <w:lang w:eastAsia="de-DE"/>
        </w:rPr>
        <w:t xml:space="preserve"> </w:t>
      </w:r>
      <w:r w:rsidRPr="008D3E71">
        <w:rPr>
          <w:rFonts w:eastAsia="Times New Roman"/>
          <w:lang w:eastAsia="de-DE"/>
        </w:rPr>
        <w:t xml:space="preserve">sind nahezu synonym („umkommen" und „vernichtet werden") und verstärken die Aussage. Die dreimalige Erwähnung von </w:t>
      </w:r>
      <w:r w:rsidRPr="008D3E71">
        <w:rPr>
          <w:rFonts w:eastAsia="Times New Roman"/>
          <w:b/>
          <w:bCs/>
          <w:rtl/>
          <w:lang w:eastAsia="de-DE"/>
        </w:rPr>
        <w:t>יָמִים</w:t>
      </w:r>
      <w:r w:rsidRPr="008D3E71">
        <w:rPr>
          <w:rFonts w:eastAsia="Times New Roman"/>
          <w:rtl/>
          <w:lang w:eastAsia="de-DE"/>
        </w:rPr>
        <w:t xml:space="preserve"> </w:t>
      </w:r>
      <w:r w:rsidRPr="008D3E71">
        <w:rPr>
          <w:rFonts w:eastAsia="Times New Roman"/>
          <w:lang w:eastAsia="de-DE"/>
        </w:rPr>
        <w:t xml:space="preserve">bzw. </w:t>
      </w:r>
      <w:r w:rsidRPr="008D3E71">
        <w:rPr>
          <w:rFonts w:eastAsia="Times New Roman"/>
          <w:b/>
          <w:bCs/>
          <w:rtl/>
          <w:lang w:eastAsia="de-DE"/>
        </w:rPr>
        <w:t>מַהֵר</w:t>
      </w:r>
      <w:r w:rsidRPr="008D3E71">
        <w:rPr>
          <w:rFonts w:eastAsia="Times New Roman"/>
          <w:rtl/>
          <w:lang w:eastAsia="de-DE"/>
        </w:rPr>
        <w:t xml:space="preserve"> </w:t>
      </w:r>
      <w:r w:rsidRPr="008D3E71">
        <w:rPr>
          <w:rFonts w:eastAsia="Times New Roman"/>
          <w:lang w:eastAsia="de-DE"/>
        </w:rPr>
        <w:t>betont die zeitliche Dimension: schnell umkommen – nicht lange bleiben.</w:t>
      </w:r>
    </w:p>
    <w:p w14:paraId="2803C46B"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Satzstruktur besteht aus einem Hauptsatz mit Hifil-Prädikat, präpositionalem Objekt und temporalem Adverb sowie zweigliedriger kosmischer Zeugenaufzählung, einem Objektsatz mit doppelter emphatischer Konstruktion (Infinitiv absolut + finites Verb), Adverb und Herkunftsangabe, einem Relativsatz mit partizipialem Prädikat, direktem Objekt, Richtungsadverb und finalem Infinitiv, einem koordinierten negierten Satz mit Hifil-Prädikat, direktem Objekt und präpositionaler Ergänzung, und einem kausalen Satz mit emphatischer Infinitiv-absolut-Konstruktion. Die Struktur ist feierlich und gerichtlich.</w:t>
      </w:r>
    </w:p>
    <w:p w14:paraId="339301E2"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Der Vers ruft Himmel und Erde als Zeugen an für die Ankündigung, dass Israel bei Untreue schnell aus dem Land vertrieben und vernichtet werden wird.</w:t>
      </w:r>
    </w:p>
    <w:p w14:paraId="29BC10BF"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4,27</w:t>
      </w:r>
    </w:p>
    <w:p w14:paraId="2EDB3A77"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וְהֵפִ֧יץ יְהוָ֛ה אֶתְכֶ֖ם בָּעַמִּ֑ים וְנִשְׁאַרְתֶּם֙ מְתֵ֣י מִסְפָּ֔ר בַּגּוֹיִ֕ם אֲשֶׁ֨ר יְנַהֵ֧ג יְהוָ֛ה אֶתְכֶ֖ם שָֽׁמָּה׃</w:t>
      </w:r>
    </w:p>
    <w:p w14:paraId="2B5EC139"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Und der Ewige wird euch zerstreuen unter die Völker, und ihr werdet übrigbleiben, wenige an Zahl unter den Nationen, wohin der Ewige euch führen wird.</w:t>
      </w:r>
    </w:p>
    <w:p w14:paraId="6D2760F3"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262D8127">
          <v:rect id="_x0000_i1163" style="width:0;height:1.5pt" o:hralign="center" o:hrstd="t" o:hr="t" fillcolor="#a0a0a0" stroked="f"/>
        </w:pict>
      </w:r>
    </w:p>
    <w:p w14:paraId="1ABF41CA"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וְהֵפִיץ יְהוָה אֶתְכֶם בָּעַמִּים</w:t>
      </w:r>
      <w:r w:rsidRPr="008D3E71">
        <w:rPr>
          <w:rFonts w:eastAsia="Times New Roman"/>
          <w:rtl/>
          <w:lang w:eastAsia="de-DE"/>
        </w:rPr>
        <w:t xml:space="preserve"> </w:t>
      </w:r>
      <w:r w:rsidRPr="008D3E71">
        <w:rPr>
          <w:rFonts w:eastAsia="Times New Roman"/>
          <w:lang w:eastAsia="de-DE"/>
        </w:rPr>
        <w:t xml:space="preserve">ist Hifil Perfekt consecutivum, 3. Person Singular maskulin von </w:t>
      </w:r>
      <w:r w:rsidRPr="008D3E71">
        <w:rPr>
          <w:rFonts w:eastAsia="Times New Roman"/>
          <w:b/>
          <w:bCs/>
          <w:rtl/>
          <w:lang w:eastAsia="de-DE"/>
        </w:rPr>
        <w:t>פוץ</w:t>
      </w:r>
      <w:r w:rsidRPr="008D3E71">
        <w:rPr>
          <w:rFonts w:eastAsia="Times New Roman"/>
          <w:rtl/>
          <w:lang w:eastAsia="de-DE"/>
        </w:rPr>
        <w:t xml:space="preserve"> </w:t>
      </w:r>
      <w:r w:rsidRPr="008D3E71">
        <w:rPr>
          <w:rFonts w:eastAsia="Times New Roman"/>
          <w:lang w:eastAsia="de-DE"/>
        </w:rPr>
        <w:t xml:space="preserve">(„zerstreuen, verstreuen") mit Waw, </w:t>
      </w:r>
      <w:r w:rsidRPr="008D3E71">
        <w:rPr>
          <w:rFonts w:eastAsia="Times New Roman"/>
          <w:b/>
          <w:bCs/>
          <w:rtl/>
          <w:lang w:eastAsia="de-DE"/>
        </w:rPr>
        <w:t>יְהוָה</w:t>
      </w:r>
      <w:r w:rsidRPr="008D3E71">
        <w:rPr>
          <w:rFonts w:eastAsia="Times New Roman"/>
          <w:rtl/>
          <w:lang w:eastAsia="de-DE"/>
        </w:rPr>
        <w:t xml:space="preserve"> </w:t>
      </w:r>
      <w:r w:rsidRPr="008D3E71">
        <w:rPr>
          <w:rFonts w:eastAsia="Times New Roman"/>
          <w:lang w:eastAsia="de-DE"/>
        </w:rPr>
        <w:t xml:space="preserve">als Subjekt, </w:t>
      </w:r>
      <w:r w:rsidRPr="008D3E71">
        <w:rPr>
          <w:rFonts w:eastAsia="Times New Roman"/>
          <w:b/>
          <w:bCs/>
          <w:rtl/>
          <w:lang w:eastAsia="de-DE"/>
        </w:rPr>
        <w:t>אֶתְכֶם</w:t>
      </w:r>
      <w:r w:rsidRPr="008D3E71">
        <w:rPr>
          <w:rFonts w:eastAsia="Times New Roman"/>
          <w:rtl/>
          <w:lang w:eastAsia="de-DE"/>
        </w:rPr>
        <w:t xml:space="preserve"> </w:t>
      </w:r>
      <w:r w:rsidRPr="008D3E71">
        <w:rPr>
          <w:rFonts w:eastAsia="Times New Roman"/>
          <w:lang w:eastAsia="de-DE"/>
        </w:rPr>
        <w:t xml:space="preserve">als direktes Objekt, </w:t>
      </w:r>
      <w:r w:rsidRPr="008D3E71">
        <w:rPr>
          <w:rFonts w:eastAsia="Times New Roman"/>
          <w:b/>
          <w:bCs/>
          <w:rtl/>
          <w:lang w:eastAsia="de-DE"/>
        </w:rPr>
        <w:t>בָּעַמִּים</w:t>
      </w:r>
      <w:r w:rsidRPr="008D3E71">
        <w:rPr>
          <w:rFonts w:eastAsia="Times New Roman"/>
          <w:rtl/>
          <w:lang w:eastAsia="de-DE"/>
        </w:rPr>
        <w:t xml:space="preserve"> </w:t>
      </w:r>
      <w:r w:rsidRPr="008D3E71">
        <w:rPr>
          <w:rFonts w:eastAsia="Times New Roman"/>
          <w:lang w:eastAsia="de-DE"/>
        </w:rPr>
        <w:t xml:space="preserve">als Präposition </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(„unter, in") mit </w:t>
      </w:r>
      <w:r w:rsidRPr="008D3E71">
        <w:rPr>
          <w:rFonts w:eastAsia="Times New Roman"/>
          <w:b/>
          <w:bCs/>
          <w:rtl/>
          <w:lang w:eastAsia="de-DE"/>
        </w:rPr>
        <w:t>עַמִּים</w:t>
      </w:r>
      <w:r w:rsidRPr="008D3E71">
        <w:rPr>
          <w:rFonts w:eastAsia="Times New Roman"/>
          <w:rtl/>
          <w:lang w:eastAsia="de-DE"/>
        </w:rPr>
        <w:t xml:space="preserve"> </w:t>
      </w:r>
      <w:r w:rsidRPr="008D3E71">
        <w:rPr>
          <w:rFonts w:eastAsia="Times New Roman"/>
          <w:lang w:eastAsia="de-DE"/>
        </w:rPr>
        <w:t xml:space="preserve">(„Völker", Plural). </w:t>
      </w:r>
      <w:r w:rsidRPr="008D3E71">
        <w:rPr>
          <w:rFonts w:eastAsia="Times New Roman"/>
          <w:b/>
          <w:bCs/>
          <w:rtl/>
          <w:lang w:eastAsia="de-DE"/>
        </w:rPr>
        <w:t>וְנִשְׁאַרְתֶּם מְתֵי מִסְפָּר</w:t>
      </w:r>
      <w:r w:rsidRPr="008D3E71">
        <w:rPr>
          <w:rFonts w:eastAsia="Times New Roman"/>
          <w:rtl/>
          <w:lang w:eastAsia="de-DE"/>
        </w:rPr>
        <w:t xml:space="preserve"> </w:t>
      </w:r>
      <w:r w:rsidRPr="008D3E71">
        <w:rPr>
          <w:rFonts w:eastAsia="Times New Roman"/>
          <w:lang w:eastAsia="de-DE"/>
        </w:rPr>
        <w:t xml:space="preserve">ist Nifal Perfekt consecutivum, 2. Person Plural maskulin von </w:t>
      </w:r>
      <w:r w:rsidRPr="008D3E71">
        <w:rPr>
          <w:rFonts w:eastAsia="Times New Roman"/>
          <w:b/>
          <w:bCs/>
          <w:rtl/>
          <w:lang w:eastAsia="de-DE"/>
        </w:rPr>
        <w:t>שׁאר</w:t>
      </w:r>
      <w:r w:rsidRPr="008D3E71">
        <w:rPr>
          <w:rFonts w:eastAsia="Times New Roman"/>
          <w:rtl/>
          <w:lang w:eastAsia="de-DE"/>
        </w:rPr>
        <w:t xml:space="preserve"> </w:t>
      </w:r>
      <w:r w:rsidRPr="008D3E71">
        <w:rPr>
          <w:rFonts w:eastAsia="Times New Roman"/>
          <w:lang w:eastAsia="de-DE"/>
        </w:rPr>
        <w:t xml:space="preserve">(„übrigbleiben, übriggelassen werden") mit Waw, </w:t>
      </w:r>
      <w:r w:rsidRPr="008D3E71">
        <w:rPr>
          <w:rFonts w:eastAsia="Times New Roman"/>
          <w:b/>
          <w:bCs/>
          <w:rtl/>
          <w:lang w:eastAsia="de-DE"/>
        </w:rPr>
        <w:t>מְתֵי מִסְפָּר</w:t>
      </w:r>
      <w:r w:rsidRPr="008D3E71">
        <w:rPr>
          <w:rFonts w:eastAsia="Times New Roman"/>
          <w:rtl/>
          <w:lang w:eastAsia="de-DE"/>
        </w:rPr>
        <w:t xml:space="preserve"> </w:t>
      </w:r>
      <w:r w:rsidRPr="008D3E71">
        <w:rPr>
          <w:rFonts w:eastAsia="Times New Roman"/>
          <w:lang w:eastAsia="de-DE"/>
        </w:rPr>
        <w:t>als prädikative Bestimmung (</w:t>
      </w:r>
      <w:r w:rsidRPr="008D3E71">
        <w:rPr>
          <w:rFonts w:eastAsia="Times New Roman"/>
          <w:b/>
          <w:bCs/>
          <w:rtl/>
          <w:lang w:eastAsia="de-DE"/>
        </w:rPr>
        <w:t>מְתֵי</w:t>
      </w:r>
      <w:r w:rsidRPr="008D3E71">
        <w:rPr>
          <w:rFonts w:eastAsia="Times New Roman"/>
          <w:lang w:eastAsia="de-DE"/>
        </w:rPr>
        <w:t xml:space="preserve">, Plural Construct von </w:t>
      </w:r>
      <w:r w:rsidRPr="008D3E71">
        <w:rPr>
          <w:rFonts w:eastAsia="Times New Roman"/>
          <w:b/>
          <w:bCs/>
          <w:rtl/>
          <w:lang w:eastAsia="de-DE"/>
        </w:rPr>
        <w:t>מַת</w:t>
      </w:r>
      <w:r w:rsidRPr="008D3E71">
        <w:rPr>
          <w:rFonts w:eastAsia="Times New Roman"/>
          <w:lang w:eastAsia="de-DE"/>
        </w:rPr>
        <w:t xml:space="preserve">, „Mann", mit </w:t>
      </w:r>
      <w:r w:rsidRPr="008D3E71">
        <w:rPr>
          <w:rFonts w:eastAsia="Times New Roman"/>
          <w:b/>
          <w:bCs/>
          <w:rtl/>
          <w:lang w:eastAsia="de-DE"/>
        </w:rPr>
        <w:t>מִסְפָּר</w:t>
      </w:r>
      <w:r w:rsidRPr="008D3E71">
        <w:rPr>
          <w:rFonts w:eastAsia="Times New Roman"/>
          <w:lang w:eastAsia="de-DE"/>
        </w:rPr>
        <w:t>, „Zahl" – wörtlich „Männer der Zahl" = „wenige an Zahl, zählbare Männer").</w:t>
      </w:r>
    </w:p>
    <w:p w14:paraId="364BB16F"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בַּגּוֹיִם</w:t>
      </w:r>
      <w:r w:rsidRPr="008D3E71">
        <w:rPr>
          <w:rFonts w:eastAsia="Times New Roman"/>
          <w:rtl/>
          <w:lang w:eastAsia="de-DE"/>
        </w:rPr>
        <w:t xml:space="preserve"> </w:t>
      </w:r>
      <w:r w:rsidRPr="008D3E71">
        <w:rPr>
          <w:rFonts w:eastAsia="Times New Roman"/>
          <w:lang w:eastAsia="de-DE"/>
        </w:rPr>
        <w:t xml:space="preserve">ist Präposition </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גּוֹיִם</w:t>
      </w:r>
      <w:r w:rsidRPr="008D3E71">
        <w:rPr>
          <w:rFonts w:eastAsia="Times New Roman"/>
          <w:rtl/>
          <w:lang w:eastAsia="de-DE"/>
        </w:rPr>
        <w:t xml:space="preserve"> </w:t>
      </w:r>
      <w:r w:rsidRPr="008D3E71">
        <w:rPr>
          <w:rFonts w:eastAsia="Times New Roman"/>
          <w:lang w:eastAsia="de-DE"/>
        </w:rPr>
        <w:t xml:space="preserve">(„Nationen, Völker", Plural) – weitgehend synonym mit </w:t>
      </w:r>
      <w:r w:rsidRPr="008D3E71">
        <w:rPr>
          <w:rFonts w:eastAsia="Times New Roman"/>
          <w:b/>
          <w:bCs/>
          <w:rtl/>
          <w:lang w:eastAsia="de-DE"/>
        </w:rPr>
        <w:t>עַמִּים</w:t>
      </w:r>
      <w:r w:rsidRPr="008D3E71">
        <w:rPr>
          <w:rFonts w:eastAsia="Times New Roman"/>
          <w:rtl/>
          <w:lang w:eastAsia="de-DE"/>
        </w:rPr>
        <w:t xml:space="preserve"> </w:t>
      </w:r>
      <w:r w:rsidRPr="008D3E71">
        <w:rPr>
          <w:rFonts w:eastAsia="Times New Roman"/>
          <w:lang w:eastAsia="de-DE"/>
        </w:rPr>
        <w:t xml:space="preserve">im ersten Teil des Verses, aber </w:t>
      </w:r>
      <w:r w:rsidRPr="008D3E71">
        <w:rPr>
          <w:rFonts w:eastAsia="Times New Roman"/>
          <w:b/>
          <w:bCs/>
          <w:rtl/>
          <w:lang w:eastAsia="de-DE"/>
        </w:rPr>
        <w:t>גּוֹיִם</w:t>
      </w:r>
      <w:r w:rsidRPr="008D3E71">
        <w:rPr>
          <w:rFonts w:eastAsia="Times New Roman"/>
          <w:rtl/>
          <w:lang w:eastAsia="de-DE"/>
        </w:rPr>
        <w:t xml:space="preserve"> </w:t>
      </w:r>
      <w:r w:rsidRPr="008D3E71">
        <w:rPr>
          <w:rFonts w:eastAsia="Times New Roman"/>
          <w:lang w:eastAsia="de-DE"/>
        </w:rPr>
        <w:t xml:space="preserve">bezeichnet oft die heidnischen Völker. </w:t>
      </w:r>
      <w:r w:rsidRPr="008D3E71">
        <w:rPr>
          <w:rFonts w:eastAsia="Times New Roman"/>
          <w:b/>
          <w:bCs/>
          <w:rtl/>
          <w:lang w:eastAsia="de-DE"/>
        </w:rPr>
        <w:t>אֲשֶׁר יְנַהֵג יְהוָה אֶתְכֶם שָׁמָּה</w:t>
      </w:r>
      <w:r w:rsidRPr="008D3E71">
        <w:rPr>
          <w:rFonts w:eastAsia="Times New Roman"/>
          <w:rtl/>
          <w:lang w:eastAsia="de-DE"/>
        </w:rPr>
        <w:t xml:space="preserve"> </w:t>
      </w:r>
      <w:r w:rsidRPr="008D3E71">
        <w:rPr>
          <w:rFonts w:eastAsia="Times New Roman"/>
          <w:lang w:eastAsia="de-DE"/>
        </w:rPr>
        <w:t xml:space="preserve">ist ein Relativsatz: </w:t>
      </w:r>
      <w:r w:rsidRPr="008D3E71">
        <w:rPr>
          <w:rFonts w:eastAsia="Times New Roman"/>
          <w:b/>
          <w:bCs/>
          <w:rtl/>
          <w:lang w:eastAsia="de-DE"/>
        </w:rPr>
        <w:t>אֲשֶׁר</w:t>
      </w:r>
      <w:r w:rsidRPr="008D3E71">
        <w:rPr>
          <w:rFonts w:eastAsia="Times New Roman"/>
          <w:rtl/>
          <w:lang w:eastAsia="de-DE"/>
        </w:rPr>
        <w:t xml:space="preserve"> </w:t>
      </w:r>
      <w:r w:rsidRPr="008D3E71">
        <w:rPr>
          <w:rFonts w:eastAsia="Times New Roman"/>
          <w:lang w:eastAsia="de-DE"/>
        </w:rPr>
        <w:t xml:space="preserve">als Relativpronomen (hier mit lokaler Bedeutung „wohin"), </w:t>
      </w:r>
      <w:r w:rsidRPr="008D3E71">
        <w:rPr>
          <w:rFonts w:eastAsia="Times New Roman"/>
          <w:b/>
          <w:bCs/>
          <w:rtl/>
          <w:lang w:eastAsia="de-DE"/>
        </w:rPr>
        <w:t>יְנַהֵג</w:t>
      </w:r>
      <w:r w:rsidRPr="008D3E71">
        <w:rPr>
          <w:rFonts w:eastAsia="Times New Roman"/>
          <w:rtl/>
          <w:lang w:eastAsia="de-DE"/>
        </w:rPr>
        <w:t xml:space="preserve"> </w:t>
      </w:r>
      <w:r w:rsidRPr="008D3E71">
        <w:rPr>
          <w:rFonts w:eastAsia="Times New Roman"/>
          <w:lang w:eastAsia="de-DE"/>
        </w:rPr>
        <w:t xml:space="preserve">als Piel Imperfekt, 3. Person Singular maskulin von </w:t>
      </w:r>
      <w:r w:rsidRPr="008D3E71">
        <w:rPr>
          <w:rFonts w:eastAsia="Times New Roman"/>
          <w:b/>
          <w:bCs/>
          <w:rtl/>
          <w:lang w:eastAsia="de-DE"/>
        </w:rPr>
        <w:t>נהג</w:t>
      </w:r>
      <w:r w:rsidRPr="008D3E71">
        <w:rPr>
          <w:rFonts w:eastAsia="Times New Roman"/>
          <w:rtl/>
          <w:lang w:eastAsia="de-DE"/>
        </w:rPr>
        <w:t xml:space="preserve"> </w:t>
      </w:r>
      <w:r w:rsidRPr="008D3E71">
        <w:rPr>
          <w:rFonts w:eastAsia="Times New Roman"/>
          <w:lang w:eastAsia="de-DE"/>
        </w:rPr>
        <w:t xml:space="preserve">(„führen, treiben" – oft von Vieh, hier metaphorisch von Menschen), </w:t>
      </w:r>
      <w:r w:rsidRPr="008D3E71">
        <w:rPr>
          <w:rFonts w:eastAsia="Times New Roman"/>
          <w:b/>
          <w:bCs/>
          <w:rtl/>
          <w:lang w:eastAsia="de-DE"/>
        </w:rPr>
        <w:t>יְהוָה</w:t>
      </w:r>
      <w:r w:rsidRPr="008D3E71">
        <w:rPr>
          <w:rFonts w:eastAsia="Times New Roman"/>
          <w:rtl/>
          <w:lang w:eastAsia="de-DE"/>
        </w:rPr>
        <w:t xml:space="preserve"> </w:t>
      </w:r>
      <w:r w:rsidRPr="008D3E71">
        <w:rPr>
          <w:rFonts w:eastAsia="Times New Roman"/>
          <w:lang w:eastAsia="de-DE"/>
        </w:rPr>
        <w:t xml:space="preserve">als Subjekt, </w:t>
      </w:r>
      <w:r w:rsidRPr="008D3E71">
        <w:rPr>
          <w:rFonts w:eastAsia="Times New Roman"/>
          <w:b/>
          <w:bCs/>
          <w:rtl/>
          <w:lang w:eastAsia="de-DE"/>
        </w:rPr>
        <w:t>אֶתְכֶם</w:t>
      </w:r>
      <w:r w:rsidRPr="008D3E71">
        <w:rPr>
          <w:rFonts w:eastAsia="Times New Roman"/>
          <w:rtl/>
          <w:lang w:eastAsia="de-DE"/>
        </w:rPr>
        <w:t xml:space="preserve"> </w:t>
      </w:r>
      <w:r w:rsidRPr="008D3E71">
        <w:rPr>
          <w:rFonts w:eastAsia="Times New Roman"/>
          <w:lang w:eastAsia="de-DE"/>
        </w:rPr>
        <w:t xml:space="preserve">als direktes Objekt, </w:t>
      </w:r>
      <w:r w:rsidRPr="008D3E71">
        <w:rPr>
          <w:rFonts w:eastAsia="Times New Roman"/>
          <w:b/>
          <w:bCs/>
          <w:rtl/>
          <w:lang w:eastAsia="de-DE"/>
        </w:rPr>
        <w:t>שָׁמָּה</w:t>
      </w:r>
      <w:r w:rsidRPr="008D3E71">
        <w:rPr>
          <w:rFonts w:eastAsia="Times New Roman"/>
          <w:rtl/>
          <w:lang w:eastAsia="de-DE"/>
        </w:rPr>
        <w:t xml:space="preserve"> </w:t>
      </w:r>
      <w:r w:rsidRPr="008D3E71">
        <w:rPr>
          <w:rFonts w:eastAsia="Times New Roman"/>
          <w:lang w:eastAsia="de-DE"/>
        </w:rPr>
        <w:t>als Richtungsadverb („dorthin").</w:t>
      </w:r>
    </w:p>
    <w:p w14:paraId="10E2BB01"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lastRenderedPageBreak/>
        <w:t xml:space="preserve">Die Wendung </w:t>
      </w:r>
      <w:r w:rsidRPr="008D3E71">
        <w:rPr>
          <w:rFonts w:eastAsia="Times New Roman"/>
          <w:b/>
          <w:bCs/>
          <w:rtl/>
          <w:lang w:eastAsia="de-DE"/>
        </w:rPr>
        <w:t>מְתֵי מִסְפָּר</w:t>
      </w:r>
      <w:r w:rsidRPr="008D3E71">
        <w:rPr>
          <w:rFonts w:eastAsia="Times New Roman"/>
          <w:rtl/>
          <w:lang w:eastAsia="de-DE"/>
        </w:rPr>
        <w:t xml:space="preserve"> </w:t>
      </w:r>
      <w:r w:rsidRPr="008D3E71">
        <w:rPr>
          <w:rFonts w:eastAsia="Times New Roman"/>
          <w:lang w:eastAsia="de-DE"/>
        </w:rPr>
        <w:t xml:space="preserve">erscheint mehrfach im Alten Testament (vgl. Gen 34,30; Dtn 28,62) und drückt eine drastische Dezimierung aus. Das Verb </w:t>
      </w:r>
      <w:r w:rsidRPr="008D3E71">
        <w:rPr>
          <w:rFonts w:eastAsia="Times New Roman"/>
          <w:b/>
          <w:bCs/>
          <w:rtl/>
          <w:lang w:eastAsia="de-DE"/>
        </w:rPr>
        <w:t>נהג</w:t>
      </w:r>
      <w:r w:rsidRPr="008D3E71">
        <w:rPr>
          <w:rFonts w:eastAsia="Times New Roman"/>
          <w:rtl/>
          <w:lang w:eastAsia="de-DE"/>
        </w:rPr>
        <w:t xml:space="preserve"> </w:t>
      </w:r>
      <w:r w:rsidRPr="008D3E71">
        <w:rPr>
          <w:rFonts w:eastAsia="Times New Roman"/>
          <w:lang w:eastAsia="de-DE"/>
        </w:rPr>
        <w:t xml:space="preserve">in Piel wird sonst für das Treiben von Vieh verwendet und unterstreicht hier die Passivität und Hilflosigkeit Israels im Exil. Der Kontrast zwischen der Verheißung zahlreicher Nachkommenschaft und der Reduktion auf </w:t>
      </w:r>
      <w:r w:rsidRPr="008D3E71">
        <w:rPr>
          <w:rFonts w:eastAsia="Times New Roman"/>
          <w:b/>
          <w:bCs/>
          <w:rtl/>
          <w:lang w:eastAsia="de-DE"/>
        </w:rPr>
        <w:t>מְתֵי מִסְפָּר</w:t>
      </w:r>
      <w:r w:rsidRPr="008D3E71">
        <w:rPr>
          <w:rFonts w:eastAsia="Times New Roman"/>
          <w:rtl/>
          <w:lang w:eastAsia="de-DE"/>
        </w:rPr>
        <w:t xml:space="preserve"> </w:t>
      </w:r>
      <w:r w:rsidRPr="008D3E71">
        <w:rPr>
          <w:rFonts w:eastAsia="Times New Roman"/>
          <w:lang w:eastAsia="de-DE"/>
        </w:rPr>
        <w:t>ist bitter.</w:t>
      </w:r>
    </w:p>
    <w:p w14:paraId="652CDA5F"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Satzstruktur besteht aus zwei koordinierten Hauptsätzen: Der erste ist ein Hifil-Perfekt-consecutivum mit Subjekt, direktem Objekt und präpositionaler Zielangabe. Der zweite ist ein Nifal-Perfekt-consecutivum mit prädikativer Bestimmung in Construct-Verbindung und präpositionaler Ortsangabe, erweitert durch einen Relativsatz mit Piel-Prädikat, Subjekt, direktem Objekt und Richtungsadverb. Die beiden Sätze beschreiben Ursache (Zerstreuung) und Wirkung (geringe Zahl).</w:t>
      </w:r>
    </w:p>
    <w:p w14:paraId="04C25385"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Der Vers droht mit Zerstreuung unter die Völker als Strafe für Untreue, wobei nur ein kleiner Rest übrigbleiben wird.</w:t>
      </w:r>
    </w:p>
    <w:p w14:paraId="2E0AC319"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4,28</w:t>
      </w:r>
    </w:p>
    <w:p w14:paraId="6DEB6F3F"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וַעֲבַדְתֶּם־שָׁ֣ם אֱלֹהִ֔ים מַעֲשֵׂ֖ה יְדֵ֣י אָדָ֑ם עֵ֣ץ וָאֶ֔בֶן אֲשֶׁ֤ר לֹֽא־יִרְאוּן֙ וְלֹ֣א יִשְׁמְע֔וּן וְלֹ֥א יֹֽאכְל֖וּן וְלֹ֥א יְרִיחֻֽן׃</w:t>
      </w:r>
    </w:p>
    <w:p w14:paraId="7C17A391"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Und dort werdet ihr Göttern dienen, dem Werk von Menschenhänden, aus Holz und Stein, die nicht sehen und nicht hören und nicht essen und nicht riechen.</w:t>
      </w:r>
    </w:p>
    <w:p w14:paraId="31EAF03B"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3AC07B14">
          <v:rect id="_x0000_i1164" style="width:0;height:1.5pt" o:hralign="center" o:hrstd="t" o:hr="t" fillcolor="#a0a0a0" stroked="f"/>
        </w:pict>
      </w:r>
    </w:p>
    <w:p w14:paraId="1D0ED955"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וַעֲבַדְתֶּם־שָׁם אֱלֹהִים</w:t>
      </w:r>
      <w:r w:rsidRPr="008D3E71">
        <w:rPr>
          <w:rFonts w:eastAsia="Times New Roman"/>
          <w:rtl/>
          <w:lang w:eastAsia="de-DE"/>
        </w:rPr>
        <w:t xml:space="preserve"> </w:t>
      </w:r>
      <w:r w:rsidRPr="008D3E71">
        <w:rPr>
          <w:rFonts w:eastAsia="Times New Roman"/>
          <w:lang w:eastAsia="de-DE"/>
        </w:rPr>
        <w:t xml:space="preserve">ist Qal Perfekt consecutivum, 2. Person Plural maskulin von </w:t>
      </w:r>
      <w:r w:rsidRPr="008D3E71">
        <w:rPr>
          <w:rFonts w:eastAsia="Times New Roman"/>
          <w:b/>
          <w:bCs/>
          <w:rtl/>
          <w:lang w:eastAsia="de-DE"/>
        </w:rPr>
        <w:t>עבד</w:t>
      </w:r>
      <w:r w:rsidRPr="008D3E71">
        <w:rPr>
          <w:rFonts w:eastAsia="Times New Roman"/>
          <w:rtl/>
          <w:lang w:eastAsia="de-DE"/>
        </w:rPr>
        <w:t xml:space="preserve"> </w:t>
      </w:r>
      <w:r w:rsidRPr="008D3E71">
        <w:rPr>
          <w:rFonts w:eastAsia="Times New Roman"/>
          <w:lang w:eastAsia="de-DE"/>
        </w:rPr>
        <w:t xml:space="preserve">(„dienen") mit Waw, </w:t>
      </w:r>
      <w:r w:rsidRPr="008D3E71">
        <w:rPr>
          <w:rFonts w:eastAsia="Times New Roman"/>
          <w:b/>
          <w:bCs/>
          <w:rtl/>
          <w:lang w:eastAsia="de-DE"/>
        </w:rPr>
        <w:t>שָׁם</w:t>
      </w:r>
      <w:r w:rsidRPr="008D3E71">
        <w:rPr>
          <w:rFonts w:eastAsia="Times New Roman"/>
          <w:rtl/>
          <w:lang w:eastAsia="de-DE"/>
        </w:rPr>
        <w:t xml:space="preserve"> </w:t>
      </w:r>
      <w:r w:rsidRPr="008D3E71">
        <w:rPr>
          <w:rFonts w:eastAsia="Times New Roman"/>
          <w:lang w:eastAsia="de-DE"/>
        </w:rPr>
        <w:t xml:space="preserve">als Ortsadverb („dort", bezogen auf das Exil), </w:t>
      </w:r>
      <w:r w:rsidRPr="008D3E71">
        <w:rPr>
          <w:rFonts w:eastAsia="Times New Roman"/>
          <w:b/>
          <w:bCs/>
          <w:rtl/>
          <w:lang w:eastAsia="de-DE"/>
        </w:rPr>
        <w:t>אֱלֹהִים</w:t>
      </w:r>
      <w:r w:rsidRPr="008D3E71">
        <w:rPr>
          <w:rFonts w:eastAsia="Times New Roman"/>
          <w:rtl/>
          <w:lang w:eastAsia="de-DE"/>
        </w:rPr>
        <w:t xml:space="preserve"> </w:t>
      </w:r>
      <w:r w:rsidRPr="008D3E71">
        <w:rPr>
          <w:rFonts w:eastAsia="Times New Roman"/>
          <w:lang w:eastAsia="de-DE"/>
        </w:rPr>
        <w:t xml:space="preserve">als direktes Objekt (hier Plural „Götter"). </w:t>
      </w:r>
      <w:r w:rsidRPr="008D3E71">
        <w:rPr>
          <w:rFonts w:eastAsia="Times New Roman"/>
          <w:b/>
          <w:bCs/>
          <w:rtl/>
          <w:lang w:eastAsia="de-DE"/>
        </w:rPr>
        <w:t>מַעֲשֵׂה יְדֵי אָדָם</w:t>
      </w:r>
      <w:r w:rsidRPr="008D3E71">
        <w:rPr>
          <w:rFonts w:eastAsia="Times New Roman"/>
          <w:rtl/>
          <w:lang w:eastAsia="de-DE"/>
        </w:rPr>
        <w:t xml:space="preserve"> </w:t>
      </w:r>
      <w:r w:rsidRPr="008D3E71">
        <w:rPr>
          <w:rFonts w:eastAsia="Times New Roman"/>
          <w:lang w:eastAsia="de-DE"/>
        </w:rPr>
        <w:t xml:space="preserve">ist eine appositionelle Erklärung: </w:t>
      </w:r>
      <w:r w:rsidRPr="008D3E71">
        <w:rPr>
          <w:rFonts w:eastAsia="Times New Roman"/>
          <w:b/>
          <w:bCs/>
          <w:rtl/>
          <w:lang w:eastAsia="de-DE"/>
        </w:rPr>
        <w:t>מַעֲשֵׂה</w:t>
      </w:r>
      <w:r w:rsidRPr="008D3E71">
        <w:rPr>
          <w:rFonts w:eastAsia="Times New Roman"/>
          <w:rtl/>
          <w:lang w:eastAsia="de-DE"/>
        </w:rPr>
        <w:t xml:space="preserve"> </w:t>
      </w:r>
      <w:r w:rsidRPr="008D3E71">
        <w:rPr>
          <w:rFonts w:eastAsia="Times New Roman"/>
          <w:lang w:eastAsia="de-DE"/>
        </w:rPr>
        <w:t xml:space="preserve">(„Werk, Tat") im Construct mit </w:t>
      </w:r>
      <w:r w:rsidRPr="008D3E71">
        <w:rPr>
          <w:rFonts w:eastAsia="Times New Roman"/>
          <w:b/>
          <w:bCs/>
          <w:rtl/>
          <w:lang w:eastAsia="de-DE"/>
        </w:rPr>
        <w:t>יְדֵי</w:t>
      </w:r>
      <w:r w:rsidRPr="008D3E71">
        <w:rPr>
          <w:rFonts w:eastAsia="Times New Roman"/>
          <w:rtl/>
          <w:lang w:eastAsia="de-DE"/>
        </w:rPr>
        <w:t xml:space="preserve"> </w:t>
      </w:r>
      <w:r w:rsidRPr="008D3E71">
        <w:rPr>
          <w:rFonts w:eastAsia="Times New Roman"/>
          <w:lang w:eastAsia="de-DE"/>
        </w:rPr>
        <w:t xml:space="preserve">(Dual Construct von </w:t>
      </w:r>
      <w:r w:rsidRPr="008D3E71">
        <w:rPr>
          <w:rFonts w:eastAsia="Times New Roman"/>
          <w:b/>
          <w:bCs/>
          <w:rtl/>
          <w:lang w:eastAsia="de-DE"/>
        </w:rPr>
        <w:t>יָד</w:t>
      </w:r>
      <w:r w:rsidRPr="008D3E71">
        <w:rPr>
          <w:rFonts w:eastAsia="Times New Roman"/>
          <w:lang w:eastAsia="de-DE"/>
        </w:rPr>
        <w:t xml:space="preserve">) und </w:t>
      </w:r>
      <w:r w:rsidRPr="008D3E71">
        <w:rPr>
          <w:rFonts w:eastAsia="Times New Roman"/>
          <w:b/>
          <w:bCs/>
          <w:rtl/>
          <w:lang w:eastAsia="de-DE"/>
        </w:rPr>
        <w:t>אָדָם</w:t>
      </w:r>
      <w:r w:rsidRPr="008D3E71">
        <w:rPr>
          <w:rFonts w:eastAsia="Times New Roman"/>
          <w:rtl/>
          <w:lang w:eastAsia="de-DE"/>
        </w:rPr>
        <w:t xml:space="preserve"> </w:t>
      </w:r>
      <w:r w:rsidRPr="008D3E71">
        <w:rPr>
          <w:rFonts w:eastAsia="Times New Roman"/>
          <w:lang w:eastAsia="de-DE"/>
        </w:rPr>
        <w:t xml:space="preserve">(„Mensch, Menschheit") – „Werk von Menschenhänden". </w:t>
      </w:r>
      <w:r w:rsidRPr="008D3E71">
        <w:rPr>
          <w:rFonts w:eastAsia="Times New Roman"/>
          <w:b/>
          <w:bCs/>
          <w:rtl/>
          <w:lang w:eastAsia="de-DE"/>
        </w:rPr>
        <w:t>עֵץ וָאֶבֶן</w:t>
      </w:r>
      <w:r w:rsidRPr="008D3E71">
        <w:rPr>
          <w:rFonts w:eastAsia="Times New Roman"/>
          <w:rtl/>
          <w:lang w:eastAsia="de-DE"/>
        </w:rPr>
        <w:t xml:space="preserve"> </w:t>
      </w:r>
      <w:r w:rsidRPr="008D3E71">
        <w:rPr>
          <w:rFonts w:eastAsia="Times New Roman"/>
          <w:lang w:eastAsia="de-DE"/>
        </w:rPr>
        <w:t xml:space="preserve">ist eine weitere Apposition: </w:t>
      </w:r>
      <w:r w:rsidRPr="008D3E71">
        <w:rPr>
          <w:rFonts w:eastAsia="Times New Roman"/>
          <w:b/>
          <w:bCs/>
          <w:rtl/>
          <w:lang w:eastAsia="de-DE"/>
        </w:rPr>
        <w:t>עֵץ</w:t>
      </w:r>
      <w:r w:rsidRPr="008D3E71">
        <w:rPr>
          <w:rFonts w:eastAsia="Times New Roman"/>
          <w:rtl/>
          <w:lang w:eastAsia="de-DE"/>
        </w:rPr>
        <w:t xml:space="preserve"> </w:t>
      </w:r>
      <w:r w:rsidRPr="008D3E71">
        <w:rPr>
          <w:rFonts w:eastAsia="Times New Roman"/>
          <w:lang w:eastAsia="de-DE"/>
        </w:rPr>
        <w:t xml:space="preserve">(„Holz") und </w:t>
      </w:r>
      <w:r w:rsidRPr="008D3E71">
        <w:rPr>
          <w:rFonts w:eastAsia="Times New Roman"/>
          <w:b/>
          <w:bCs/>
          <w:rtl/>
          <w:lang w:eastAsia="de-DE"/>
        </w:rPr>
        <w:t>אֶבֶן</w:t>
      </w:r>
      <w:r w:rsidRPr="008D3E71">
        <w:rPr>
          <w:rFonts w:eastAsia="Times New Roman"/>
          <w:rtl/>
          <w:lang w:eastAsia="de-DE"/>
        </w:rPr>
        <w:t xml:space="preserve"> </w:t>
      </w:r>
      <w:r w:rsidRPr="008D3E71">
        <w:rPr>
          <w:rFonts w:eastAsia="Times New Roman"/>
          <w:lang w:eastAsia="de-DE"/>
        </w:rPr>
        <w:t>(„Stein"), die Materialien der Götzenbilder.</w:t>
      </w:r>
    </w:p>
    <w:p w14:paraId="5DB459CF"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אֲשֶׁר לֹא־יִרְאוּן וְלֹא יִשְׁמְעוּן וְלֹא יֹאכְלוּן וְלֹא יְרִיחֻן</w:t>
      </w:r>
      <w:r w:rsidRPr="008D3E71">
        <w:rPr>
          <w:rFonts w:eastAsia="Times New Roman"/>
          <w:rtl/>
          <w:lang w:eastAsia="de-DE"/>
        </w:rPr>
        <w:t xml:space="preserve"> </w:t>
      </w:r>
      <w:r w:rsidRPr="008D3E71">
        <w:rPr>
          <w:rFonts w:eastAsia="Times New Roman"/>
          <w:lang w:eastAsia="de-DE"/>
        </w:rPr>
        <w:t xml:space="preserve">ist ein Relativsatz mit vierfacher Negation: </w:t>
      </w:r>
      <w:r w:rsidRPr="008D3E71">
        <w:rPr>
          <w:rFonts w:eastAsia="Times New Roman"/>
          <w:b/>
          <w:bCs/>
          <w:rtl/>
          <w:lang w:eastAsia="de-DE"/>
        </w:rPr>
        <w:t>אֲשֶׁר</w:t>
      </w:r>
      <w:r w:rsidRPr="008D3E71">
        <w:rPr>
          <w:rFonts w:eastAsia="Times New Roman"/>
          <w:rtl/>
          <w:lang w:eastAsia="de-DE"/>
        </w:rPr>
        <w:t xml:space="preserve"> </w:t>
      </w:r>
      <w:r w:rsidRPr="008D3E71">
        <w:rPr>
          <w:rFonts w:eastAsia="Times New Roman"/>
          <w:lang w:eastAsia="de-DE"/>
        </w:rPr>
        <w:t xml:space="preserve">als Relativpronomen, vier koordinierte negierte Verben: </w:t>
      </w:r>
      <w:r w:rsidRPr="008D3E71">
        <w:rPr>
          <w:rFonts w:eastAsia="Times New Roman"/>
          <w:b/>
          <w:bCs/>
          <w:rtl/>
          <w:lang w:eastAsia="de-DE"/>
        </w:rPr>
        <w:t>לֹא־יִרְאוּן</w:t>
      </w:r>
      <w:r w:rsidRPr="008D3E71">
        <w:rPr>
          <w:rFonts w:eastAsia="Times New Roman"/>
          <w:rtl/>
          <w:lang w:eastAsia="de-DE"/>
        </w:rPr>
        <w:t xml:space="preserve"> </w:t>
      </w:r>
      <w:r w:rsidRPr="008D3E71">
        <w:rPr>
          <w:rFonts w:eastAsia="Times New Roman"/>
          <w:lang w:eastAsia="de-DE"/>
        </w:rPr>
        <w:t xml:space="preserve">(Qal Imperfekt, 3. Person Plural maskulin von </w:t>
      </w:r>
      <w:r w:rsidRPr="008D3E71">
        <w:rPr>
          <w:rFonts w:eastAsia="Times New Roman"/>
          <w:b/>
          <w:bCs/>
          <w:rtl/>
          <w:lang w:eastAsia="de-DE"/>
        </w:rPr>
        <w:t>ראה</w:t>
      </w:r>
      <w:r w:rsidRPr="008D3E71">
        <w:rPr>
          <w:rFonts w:eastAsia="Times New Roman"/>
          <w:lang w:eastAsia="de-DE"/>
        </w:rPr>
        <w:t xml:space="preserve">, „sehen", mit paragogischem Nun und Negation), </w:t>
      </w:r>
      <w:r w:rsidRPr="008D3E71">
        <w:rPr>
          <w:rFonts w:eastAsia="Times New Roman"/>
          <w:b/>
          <w:bCs/>
          <w:rtl/>
          <w:lang w:eastAsia="de-DE"/>
        </w:rPr>
        <w:t>וְלֹא יִשְׁמְעוּן</w:t>
      </w:r>
      <w:r w:rsidRPr="008D3E71">
        <w:rPr>
          <w:rFonts w:eastAsia="Times New Roman"/>
          <w:rtl/>
          <w:lang w:eastAsia="de-DE"/>
        </w:rPr>
        <w:t xml:space="preserve"> </w:t>
      </w:r>
      <w:r w:rsidRPr="008D3E71">
        <w:rPr>
          <w:rFonts w:eastAsia="Times New Roman"/>
          <w:lang w:eastAsia="de-DE"/>
        </w:rPr>
        <w:t xml:space="preserve">(Qal Imperfekt, 3. Person Plural maskulin von </w:t>
      </w:r>
      <w:r w:rsidRPr="008D3E71">
        <w:rPr>
          <w:rFonts w:eastAsia="Times New Roman"/>
          <w:b/>
          <w:bCs/>
          <w:rtl/>
          <w:lang w:eastAsia="de-DE"/>
        </w:rPr>
        <w:t>שׁמע</w:t>
      </w:r>
      <w:r w:rsidRPr="008D3E71">
        <w:rPr>
          <w:rFonts w:eastAsia="Times New Roman"/>
          <w:lang w:eastAsia="de-DE"/>
        </w:rPr>
        <w:t xml:space="preserve">, „hören", mit paragogischem Nun), </w:t>
      </w:r>
      <w:r w:rsidRPr="008D3E71">
        <w:rPr>
          <w:rFonts w:eastAsia="Times New Roman"/>
          <w:b/>
          <w:bCs/>
          <w:rtl/>
          <w:lang w:eastAsia="de-DE"/>
        </w:rPr>
        <w:t>וְלֹא יֹאכְלוּן</w:t>
      </w:r>
      <w:r w:rsidRPr="008D3E71">
        <w:rPr>
          <w:rFonts w:eastAsia="Times New Roman"/>
          <w:rtl/>
          <w:lang w:eastAsia="de-DE"/>
        </w:rPr>
        <w:t xml:space="preserve"> </w:t>
      </w:r>
      <w:r w:rsidRPr="008D3E71">
        <w:rPr>
          <w:rFonts w:eastAsia="Times New Roman"/>
          <w:lang w:eastAsia="de-DE"/>
        </w:rPr>
        <w:t xml:space="preserve">(Qal Imperfekt, 3. Person Plural maskulin von </w:t>
      </w:r>
      <w:r w:rsidRPr="008D3E71">
        <w:rPr>
          <w:rFonts w:eastAsia="Times New Roman"/>
          <w:b/>
          <w:bCs/>
          <w:rtl/>
          <w:lang w:eastAsia="de-DE"/>
        </w:rPr>
        <w:t>אכל</w:t>
      </w:r>
      <w:r w:rsidRPr="008D3E71">
        <w:rPr>
          <w:rFonts w:eastAsia="Times New Roman"/>
          <w:lang w:eastAsia="de-DE"/>
        </w:rPr>
        <w:t xml:space="preserve">, „essen", mit paragogischem Nun), </w:t>
      </w:r>
      <w:r w:rsidRPr="008D3E71">
        <w:rPr>
          <w:rFonts w:eastAsia="Times New Roman"/>
          <w:b/>
          <w:bCs/>
          <w:rtl/>
          <w:lang w:eastAsia="de-DE"/>
        </w:rPr>
        <w:t>וְלֹא יְרִיחֻן</w:t>
      </w:r>
      <w:r w:rsidRPr="008D3E71">
        <w:rPr>
          <w:rFonts w:eastAsia="Times New Roman"/>
          <w:rtl/>
          <w:lang w:eastAsia="de-DE"/>
        </w:rPr>
        <w:t xml:space="preserve"> </w:t>
      </w:r>
      <w:r w:rsidRPr="008D3E71">
        <w:rPr>
          <w:rFonts w:eastAsia="Times New Roman"/>
          <w:lang w:eastAsia="de-DE"/>
        </w:rPr>
        <w:t xml:space="preserve">(Hifil Imperfekt, 3. Person Plural maskulin von </w:t>
      </w:r>
      <w:r w:rsidRPr="008D3E71">
        <w:rPr>
          <w:rFonts w:eastAsia="Times New Roman"/>
          <w:b/>
          <w:bCs/>
          <w:rtl/>
          <w:lang w:eastAsia="de-DE"/>
        </w:rPr>
        <w:t>רוח</w:t>
      </w:r>
      <w:r w:rsidRPr="008D3E71">
        <w:rPr>
          <w:rFonts w:eastAsia="Times New Roman"/>
          <w:lang w:eastAsia="de-DE"/>
        </w:rPr>
        <w:t>, „riechen", mit paragogischem Nun).</w:t>
      </w:r>
    </w:p>
    <w:p w14:paraId="6AE6426C"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vierfache Negation der Sinnesfunktionen ist eine klassische Götzenpolemik (vgl. Ps 115,5-7; 135,16-17). Die Götzen haben zwar oft die Form von Lebewesen mit Augen, Ohren, Mund und Nase, aber sie können diese Organe nicht benutzen. Die Ironie ist, dass Israel im Exil gezwungen sein wird, solchen ohnmächtigen Götzen zu dienen. Das paragogische Nun an allen vier Verben verleiht der Aussage einen feierlichen, poetischen Charakter.</w:t>
      </w:r>
    </w:p>
    <w:p w14:paraId="1E8F1C7A"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Satzstruktur besteht aus einem Hauptsatz mit Qal-Perfekt-consecutivum, Ortsadverb und direktem Objekt, gefolgt von zwei appositiven Erklärungen (die erste in Construct-</w:t>
      </w:r>
      <w:r w:rsidRPr="008D3E71">
        <w:rPr>
          <w:rFonts w:eastAsia="Times New Roman"/>
          <w:lang w:eastAsia="de-DE"/>
        </w:rPr>
        <w:lastRenderedPageBreak/>
        <w:t>Verbindung, die zweite als koordinierte Materialangabe) und einem Relativsatz mit vierfacher koordinierter Negation der Sinnesfunktionen. Die kumulative Negation unterstreicht die völlige Ohnmacht der Götzen.</w:t>
      </w:r>
    </w:p>
    <w:p w14:paraId="734435E1"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Der Vers beschreibt die bittere Ironie des Exils: Israel wird gezwungen sein, leblose Götzen aus Holz und Stein zu verehren, die keinerlei Sinneswahrnehmung besitzen.</w:t>
      </w:r>
    </w:p>
    <w:p w14:paraId="49D47920"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4,29</w:t>
      </w:r>
    </w:p>
    <w:p w14:paraId="77378E3F"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וּבִקַּשְׁתֶּ֥ם מִשָּׁ֛ם אֶת־יְהוָ֥ה אֱלֹהֶ֖יךָ וּמָצָ֑אתָ כִּ֣י תִדְרְשֶׁ֔נּוּ בְּכָל־לְבָבְךָ֖ וּבְכָל־נַפְשֶֽׁךָ׃</w:t>
      </w:r>
    </w:p>
    <w:p w14:paraId="29590DFC"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Aber von dort werdet ihr suchen den Ewigen, deinen Gott. Und du wirst ihn finden, wenn du ihn suchst mit deinem ganzen Herzen und mit deiner ganzen Seele.</w:t>
      </w:r>
    </w:p>
    <w:p w14:paraId="587A4334"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07896360">
          <v:rect id="_x0000_i1165" style="width:0;height:1.5pt" o:hralign="center" o:hrstd="t" o:hr="t" fillcolor="#a0a0a0" stroked="f"/>
        </w:pict>
      </w:r>
    </w:p>
    <w:p w14:paraId="657106BE"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וּבִקַּשְׁתֶּם מִשָּׁם אֶת־יְהוָה אֱלֹהֶיךָ</w:t>
      </w:r>
      <w:r w:rsidRPr="008D3E71">
        <w:rPr>
          <w:rFonts w:eastAsia="Times New Roman"/>
          <w:rtl/>
          <w:lang w:eastAsia="de-DE"/>
        </w:rPr>
        <w:t xml:space="preserve"> </w:t>
      </w:r>
      <w:r w:rsidRPr="008D3E71">
        <w:rPr>
          <w:rFonts w:eastAsia="Times New Roman"/>
          <w:lang w:eastAsia="de-DE"/>
        </w:rPr>
        <w:t xml:space="preserve">ist Piel Perfekt consecutivum, 2. Person Plural maskulin von </w:t>
      </w:r>
      <w:r w:rsidRPr="008D3E71">
        <w:rPr>
          <w:rFonts w:eastAsia="Times New Roman"/>
          <w:b/>
          <w:bCs/>
          <w:rtl/>
          <w:lang w:eastAsia="de-DE"/>
        </w:rPr>
        <w:t>בקשׁ</w:t>
      </w:r>
      <w:r w:rsidRPr="008D3E71">
        <w:rPr>
          <w:rFonts w:eastAsia="Times New Roman"/>
          <w:rtl/>
          <w:lang w:eastAsia="de-DE"/>
        </w:rPr>
        <w:t xml:space="preserve"> </w:t>
      </w:r>
      <w:r w:rsidRPr="008D3E71">
        <w:rPr>
          <w:rFonts w:eastAsia="Times New Roman"/>
          <w:lang w:eastAsia="de-DE"/>
        </w:rPr>
        <w:t xml:space="preserve">(„suchen") mit Waw, </w:t>
      </w:r>
      <w:r w:rsidRPr="008D3E71">
        <w:rPr>
          <w:rFonts w:eastAsia="Times New Roman"/>
          <w:b/>
          <w:bCs/>
          <w:rtl/>
          <w:lang w:eastAsia="de-DE"/>
        </w:rPr>
        <w:t>מִשָּׁם</w:t>
      </w:r>
      <w:r w:rsidRPr="008D3E71">
        <w:rPr>
          <w:rFonts w:eastAsia="Times New Roman"/>
          <w:rtl/>
          <w:lang w:eastAsia="de-DE"/>
        </w:rPr>
        <w:t xml:space="preserve"> </w:t>
      </w:r>
      <w:r w:rsidRPr="008D3E71">
        <w:rPr>
          <w:rFonts w:eastAsia="Times New Roman"/>
          <w:lang w:eastAsia="de-DE"/>
        </w:rPr>
        <w:t>als Herkunftsangabe (</w:t>
      </w:r>
      <w:r w:rsidRPr="008D3E71">
        <w:rPr>
          <w:rFonts w:eastAsia="Times New Roman"/>
          <w:b/>
          <w:bCs/>
          <w:rtl/>
          <w:lang w:eastAsia="de-DE"/>
        </w:rPr>
        <w:t>מִן</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שָׁם</w:t>
      </w:r>
      <w:r w:rsidRPr="008D3E71">
        <w:rPr>
          <w:rFonts w:eastAsia="Times New Roman"/>
          <w:lang w:eastAsia="de-DE"/>
        </w:rPr>
        <w:t xml:space="preserve">, „von dort"), </w:t>
      </w:r>
      <w:r w:rsidRPr="008D3E71">
        <w:rPr>
          <w:rFonts w:eastAsia="Times New Roman"/>
          <w:b/>
          <w:bCs/>
          <w:rtl/>
          <w:lang w:eastAsia="de-DE"/>
        </w:rPr>
        <w:t>אֶת־יְהוָה אֱלֹהֶיךָ</w:t>
      </w:r>
      <w:r w:rsidRPr="008D3E71">
        <w:rPr>
          <w:rFonts w:eastAsia="Times New Roman"/>
          <w:rtl/>
          <w:lang w:eastAsia="de-DE"/>
        </w:rPr>
        <w:t xml:space="preserve"> </w:t>
      </w:r>
      <w:r w:rsidRPr="008D3E71">
        <w:rPr>
          <w:rFonts w:eastAsia="Times New Roman"/>
          <w:lang w:eastAsia="de-DE"/>
        </w:rPr>
        <w:t xml:space="preserve">als direktes Objekt mit erweiterter göttlicher Bezeichnung (Wechsel zum Singular </w:t>
      </w:r>
      <w:r w:rsidRPr="008D3E71">
        <w:rPr>
          <w:rFonts w:eastAsia="Times New Roman"/>
          <w:b/>
          <w:bCs/>
          <w:rtl/>
          <w:lang w:eastAsia="de-DE"/>
        </w:rPr>
        <w:t>אֱלֹהֶיךָ</w:t>
      </w:r>
      <w:r w:rsidRPr="008D3E71">
        <w:rPr>
          <w:rFonts w:eastAsia="Times New Roman"/>
          <w:lang w:eastAsia="de-DE"/>
        </w:rPr>
        <w:t xml:space="preserve">). </w:t>
      </w:r>
      <w:r w:rsidRPr="008D3E71">
        <w:rPr>
          <w:rFonts w:eastAsia="Times New Roman"/>
          <w:b/>
          <w:bCs/>
          <w:rtl/>
          <w:lang w:eastAsia="de-DE"/>
        </w:rPr>
        <w:t>וּמָצָאתָ</w:t>
      </w:r>
      <w:r w:rsidRPr="008D3E71">
        <w:rPr>
          <w:rFonts w:eastAsia="Times New Roman"/>
          <w:rtl/>
          <w:lang w:eastAsia="de-DE"/>
        </w:rPr>
        <w:t xml:space="preserve"> </w:t>
      </w:r>
      <w:r w:rsidRPr="008D3E71">
        <w:rPr>
          <w:rFonts w:eastAsia="Times New Roman"/>
          <w:lang w:eastAsia="de-DE"/>
        </w:rPr>
        <w:t xml:space="preserve">ist Qal Perfekt consecutivum, 2. Person Singular maskulin von </w:t>
      </w:r>
      <w:r w:rsidRPr="008D3E71">
        <w:rPr>
          <w:rFonts w:eastAsia="Times New Roman"/>
          <w:b/>
          <w:bCs/>
          <w:rtl/>
          <w:lang w:eastAsia="de-DE"/>
        </w:rPr>
        <w:t>מצא</w:t>
      </w:r>
      <w:r w:rsidRPr="008D3E71">
        <w:rPr>
          <w:rFonts w:eastAsia="Times New Roman"/>
          <w:rtl/>
          <w:lang w:eastAsia="de-DE"/>
        </w:rPr>
        <w:t xml:space="preserve"> </w:t>
      </w:r>
      <w:r w:rsidRPr="008D3E71">
        <w:rPr>
          <w:rFonts w:eastAsia="Times New Roman"/>
          <w:lang w:eastAsia="de-DE"/>
        </w:rPr>
        <w:t>(„finden") mit Waw – der Wechsel von Plural zu Singular ist charakteristisch deuteronomisch und individualisiert die Verheißung.</w:t>
      </w:r>
    </w:p>
    <w:p w14:paraId="3C1C9398"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כִּי תִדְרְשֶׁנּוּ</w:t>
      </w:r>
      <w:r w:rsidRPr="008D3E71">
        <w:rPr>
          <w:rFonts w:eastAsia="Times New Roman"/>
          <w:rtl/>
          <w:lang w:eastAsia="de-DE"/>
        </w:rPr>
        <w:t xml:space="preserve"> </w:t>
      </w:r>
      <w:r w:rsidRPr="008D3E71">
        <w:rPr>
          <w:rFonts w:eastAsia="Times New Roman"/>
          <w:lang w:eastAsia="de-DE"/>
        </w:rPr>
        <w:t xml:space="preserve">ist ein Konditionalsatz: </w:t>
      </w:r>
      <w:r w:rsidRPr="008D3E71">
        <w:rPr>
          <w:rFonts w:eastAsia="Times New Roman"/>
          <w:b/>
          <w:bCs/>
          <w:rtl/>
          <w:lang w:eastAsia="de-DE"/>
        </w:rPr>
        <w:t>כִּי</w:t>
      </w:r>
      <w:r w:rsidRPr="008D3E71">
        <w:rPr>
          <w:rFonts w:eastAsia="Times New Roman"/>
          <w:rtl/>
          <w:lang w:eastAsia="de-DE"/>
        </w:rPr>
        <w:t xml:space="preserve"> </w:t>
      </w:r>
      <w:r w:rsidRPr="008D3E71">
        <w:rPr>
          <w:rFonts w:eastAsia="Times New Roman"/>
          <w:lang w:eastAsia="de-DE"/>
        </w:rPr>
        <w:t xml:space="preserve">(„wenn") mit </w:t>
      </w:r>
      <w:r w:rsidRPr="008D3E71">
        <w:rPr>
          <w:rFonts w:eastAsia="Times New Roman"/>
          <w:b/>
          <w:bCs/>
          <w:rtl/>
          <w:lang w:eastAsia="de-DE"/>
        </w:rPr>
        <w:t>תִדְרְשֶׁנּוּ</w:t>
      </w:r>
      <w:r w:rsidRPr="008D3E71">
        <w:rPr>
          <w:rFonts w:eastAsia="Times New Roman"/>
          <w:rtl/>
          <w:lang w:eastAsia="de-DE"/>
        </w:rPr>
        <w:t xml:space="preserve"> </w:t>
      </w:r>
      <w:r w:rsidRPr="008D3E71">
        <w:rPr>
          <w:rFonts w:eastAsia="Times New Roman"/>
          <w:lang w:eastAsia="de-DE"/>
        </w:rPr>
        <w:t xml:space="preserve">(Qal Imperfekt, 2. Person Singular maskulin von </w:t>
      </w:r>
      <w:r w:rsidRPr="008D3E71">
        <w:rPr>
          <w:rFonts w:eastAsia="Times New Roman"/>
          <w:b/>
          <w:bCs/>
          <w:rtl/>
          <w:lang w:eastAsia="de-DE"/>
        </w:rPr>
        <w:t>דרשׁ</w:t>
      </w:r>
      <w:r w:rsidRPr="008D3E71">
        <w:rPr>
          <w:rFonts w:eastAsia="Times New Roman"/>
          <w:lang w:eastAsia="de-DE"/>
        </w:rPr>
        <w:t xml:space="preserve">, „suchen, trachten nach, erforschen", mit Suffix 3. Person Singular maskulin als direktes Objekt). Das Verb </w:t>
      </w:r>
      <w:r w:rsidRPr="008D3E71">
        <w:rPr>
          <w:rFonts w:eastAsia="Times New Roman"/>
          <w:b/>
          <w:bCs/>
          <w:rtl/>
          <w:lang w:eastAsia="de-DE"/>
        </w:rPr>
        <w:t>דרשׁ</w:t>
      </w:r>
      <w:r w:rsidRPr="008D3E71">
        <w:rPr>
          <w:rFonts w:eastAsia="Times New Roman"/>
          <w:rtl/>
          <w:lang w:eastAsia="de-DE"/>
        </w:rPr>
        <w:t xml:space="preserve"> </w:t>
      </w:r>
      <w:r w:rsidRPr="008D3E71">
        <w:rPr>
          <w:rFonts w:eastAsia="Times New Roman"/>
          <w:lang w:eastAsia="de-DE"/>
        </w:rPr>
        <w:t xml:space="preserve">ist intensiver als </w:t>
      </w:r>
      <w:r w:rsidRPr="008D3E71">
        <w:rPr>
          <w:rFonts w:eastAsia="Times New Roman"/>
          <w:b/>
          <w:bCs/>
          <w:rtl/>
          <w:lang w:eastAsia="de-DE"/>
        </w:rPr>
        <w:t>בקשׁ</w:t>
      </w:r>
      <w:r w:rsidRPr="008D3E71">
        <w:rPr>
          <w:rFonts w:eastAsia="Times New Roman"/>
          <w:rtl/>
          <w:lang w:eastAsia="de-DE"/>
        </w:rPr>
        <w:t xml:space="preserve"> </w:t>
      </w:r>
      <w:r w:rsidRPr="008D3E71">
        <w:rPr>
          <w:rFonts w:eastAsia="Times New Roman"/>
          <w:lang w:eastAsia="de-DE"/>
        </w:rPr>
        <w:t xml:space="preserve">und impliziert ein ernsthaftes, nachhaltiges Suchen. </w:t>
      </w:r>
      <w:r w:rsidRPr="008D3E71">
        <w:rPr>
          <w:rFonts w:eastAsia="Times New Roman"/>
          <w:b/>
          <w:bCs/>
          <w:rtl/>
          <w:lang w:eastAsia="de-DE"/>
        </w:rPr>
        <w:t>בְּכָל־לְבָבְךָ וּבְכָל־נַפְשֶׁךָ</w:t>
      </w:r>
      <w:r w:rsidRPr="008D3E71">
        <w:rPr>
          <w:rFonts w:eastAsia="Times New Roman"/>
          <w:rtl/>
          <w:lang w:eastAsia="de-DE"/>
        </w:rPr>
        <w:t xml:space="preserve"> </w:t>
      </w:r>
      <w:r w:rsidRPr="008D3E71">
        <w:rPr>
          <w:rFonts w:eastAsia="Times New Roman"/>
          <w:lang w:eastAsia="de-DE"/>
        </w:rPr>
        <w:t xml:space="preserve">ist eine zweigliedrige koordinierte modale Bestimmung: </w:t>
      </w:r>
      <w:r w:rsidRPr="008D3E71">
        <w:rPr>
          <w:rFonts w:eastAsia="Times New Roman"/>
          <w:b/>
          <w:bCs/>
          <w:rtl/>
          <w:lang w:eastAsia="de-DE"/>
        </w:rPr>
        <w:t>בְּכָל־לְבָבְךָ</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כָל</w:t>
      </w:r>
      <w:r w:rsidRPr="008D3E71">
        <w:rPr>
          <w:rFonts w:eastAsia="Times New Roman"/>
          <w:rtl/>
          <w:lang w:eastAsia="de-DE"/>
        </w:rPr>
        <w:t xml:space="preserve"> </w:t>
      </w:r>
      <w:r w:rsidRPr="008D3E71">
        <w:rPr>
          <w:rFonts w:eastAsia="Times New Roman"/>
          <w:lang w:eastAsia="de-DE"/>
        </w:rPr>
        <w:t xml:space="preserve">im Construct, </w:t>
      </w:r>
      <w:r w:rsidRPr="008D3E71">
        <w:rPr>
          <w:rFonts w:eastAsia="Times New Roman"/>
          <w:b/>
          <w:bCs/>
          <w:rtl/>
          <w:lang w:eastAsia="de-DE"/>
        </w:rPr>
        <w:t>לֵבָב</w:t>
      </w:r>
      <w:r w:rsidRPr="008D3E71">
        <w:rPr>
          <w:rFonts w:eastAsia="Times New Roman"/>
          <w:lang w:eastAsia="de-DE"/>
        </w:rPr>
        <w:t xml:space="preserve">, „Herz", mit Suffix 2. Person Singular maskulin) und </w:t>
      </w:r>
      <w:r w:rsidRPr="008D3E71">
        <w:rPr>
          <w:rFonts w:eastAsia="Times New Roman"/>
          <w:b/>
          <w:bCs/>
          <w:rtl/>
          <w:lang w:eastAsia="de-DE"/>
        </w:rPr>
        <w:t>וּבְכָל־נַפְשֶׁךָ</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כָל</w:t>
      </w:r>
      <w:r w:rsidRPr="008D3E71">
        <w:rPr>
          <w:rFonts w:eastAsia="Times New Roman"/>
          <w:rtl/>
          <w:lang w:eastAsia="de-DE"/>
        </w:rPr>
        <w:t xml:space="preserve"> </w:t>
      </w:r>
      <w:r w:rsidRPr="008D3E71">
        <w:rPr>
          <w:rFonts w:eastAsia="Times New Roman"/>
          <w:lang w:eastAsia="de-DE"/>
        </w:rPr>
        <w:t xml:space="preserve">im Construct, </w:t>
      </w:r>
      <w:r w:rsidRPr="008D3E71">
        <w:rPr>
          <w:rFonts w:eastAsia="Times New Roman"/>
          <w:b/>
          <w:bCs/>
          <w:rtl/>
          <w:lang w:eastAsia="de-DE"/>
        </w:rPr>
        <w:t>נֶפֶשׁ</w:t>
      </w:r>
      <w:r w:rsidRPr="008D3E71">
        <w:rPr>
          <w:rFonts w:eastAsia="Times New Roman"/>
          <w:lang w:eastAsia="de-DE"/>
        </w:rPr>
        <w:t>, „Seele, Leben", mit Suffix 2. Person Singular maskulin). Diese Formel ist zentral im Deuteronomium (vgl. 6,5; 10,12; 11,13; 13,4; 26,16; 30,2.6.10) und drückt totale, ungeteilte Hingabe aus.</w:t>
      </w:r>
    </w:p>
    <w:p w14:paraId="2F570FA0" w14:textId="19901398"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Der Vers markiert einen Wendepunkt: Nach der Gerichtsankündigung (V. 25-28) folgt nun eine Verheißung der Umkehr und Wiederherstellung. Die Wendung </w:t>
      </w:r>
      <w:r w:rsidRPr="008D3E71">
        <w:rPr>
          <w:rFonts w:eastAsia="Times New Roman"/>
          <w:b/>
          <w:bCs/>
          <w:rtl/>
          <w:lang w:eastAsia="de-DE"/>
        </w:rPr>
        <w:t>מִשָּׁם</w:t>
      </w:r>
      <w:r w:rsidRPr="008D3E71">
        <w:rPr>
          <w:rFonts w:eastAsia="Times New Roman"/>
          <w:rtl/>
          <w:lang w:eastAsia="de-DE"/>
        </w:rPr>
        <w:t xml:space="preserve"> </w:t>
      </w:r>
      <w:r w:rsidRPr="008D3E71">
        <w:rPr>
          <w:rFonts w:eastAsia="Times New Roman"/>
          <w:lang w:eastAsia="de-DE"/>
        </w:rPr>
        <w:t xml:space="preserve">(„von dort", vom Exil aus) zeigt, dass selbst im tiefsten Gericht die Möglichkeit der Rückkehr zu </w:t>
      </w:r>
      <w:r w:rsidR="00ED2181">
        <w:rPr>
          <w:rFonts w:eastAsia="Times New Roman"/>
          <w:lang w:eastAsia="de-DE"/>
        </w:rPr>
        <w:t>JHWH</w:t>
      </w:r>
      <w:r w:rsidRPr="008D3E71">
        <w:rPr>
          <w:rFonts w:eastAsia="Times New Roman"/>
          <w:lang w:eastAsia="de-DE"/>
        </w:rPr>
        <w:t xml:space="preserve"> besteht. Die Verben </w:t>
      </w:r>
      <w:r w:rsidRPr="008D3E71">
        <w:rPr>
          <w:rFonts w:eastAsia="Times New Roman"/>
          <w:b/>
          <w:bCs/>
          <w:rtl/>
          <w:lang w:eastAsia="de-DE"/>
        </w:rPr>
        <w:t>בקשׁ</w:t>
      </w:r>
      <w:r w:rsidRPr="008D3E71">
        <w:rPr>
          <w:rFonts w:eastAsia="Times New Roman"/>
          <w:rtl/>
          <w:lang w:eastAsia="de-DE"/>
        </w:rPr>
        <w:t xml:space="preserve"> </w:t>
      </w:r>
      <w:r w:rsidRPr="008D3E71">
        <w:rPr>
          <w:rFonts w:eastAsia="Times New Roman"/>
          <w:lang w:eastAsia="de-DE"/>
        </w:rPr>
        <w:t xml:space="preserve">und </w:t>
      </w:r>
      <w:r w:rsidRPr="008D3E71">
        <w:rPr>
          <w:rFonts w:eastAsia="Times New Roman"/>
          <w:b/>
          <w:bCs/>
          <w:rtl/>
          <w:lang w:eastAsia="de-DE"/>
        </w:rPr>
        <w:t>דרשׁ</w:t>
      </w:r>
      <w:r w:rsidRPr="008D3E71">
        <w:rPr>
          <w:rFonts w:eastAsia="Times New Roman"/>
          <w:rtl/>
          <w:lang w:eastAsia="de-DE"/>
        </w:rPr>
        <w:t xml:space="preserve"> </w:t>
      </w:r>
      <w:r w:rsidRPr="008D3E71">
        <w:rPr>
          <w:rFonts w:eastAsia="Times New Roman"/>
          <w:lang w:eastAsia="de-DE"/>
        </w:rPr>
        <w:t xml:space="preserve">bilden ein Wortpaar, wobei </w:t>
      </w:r>
      <w:r w:rsidRPr="008D3E71">
        <w:rPr>
          <w:rFonts w:eastAsia="Times New Roman"/>
          <w:b/>
          <w:bCs/>
          <w:rtl/>
          <w:lang w:eastAsia="de-DE"/>
        </w:rPr>
        <w:t>דרשׁ</w:t>
      </w:r>
      <w:r w:rsidRPr="008D3E71">
        <w:rPr>
          <w:rFonts w:eastAsia="Times New Roman"/>
          <w:rtl/>
          <w:lang w:eastAsia="de-DE"/>
        </w:rPr>
        <w:t xml:space="preserve"> </w:t>
      </w:r>
      <w:r w:rsidRPr="008D3E71">
        <w:rPr>
          <w:rFonts w:eastAsia="Times New Roman"/>
          <w:lang w:eastAsia="de-DE"/>
        </w:rPr>
        <w:t xml:space="preserve">das ernsthafte, beharrliche Suchen betont. Die Bedingung </w:t>
      </w:r>
      <w:r w:rsidRPr="008D3E71">
        <w:rPr>
          <w:rFonts w:eastAsia="Times New Roman"/>
          <w:b/>
          <w:bCs/>
          <w:rtl/>
          <w:lang w:eastAsia="de-DE"/>
        </w:rPr>
        <w:t>בְּכָל־לְבָבְךָ וּבְכָל־נַפְשֶׁךָ</w:t>
      </w:r>
      <w:r w:rsidRPr="008D3E71">
        <w:rPr>
          <w:rFonts w:eastAsia="Times New Roman"/>
          <w:rtl/>
          <w:lang w:eastAsia="de-DE"/>
        </w:rPr>
        <w:t xml:space="preserve"> </w:t>
      </w:r>
      <w:r w:rsidRPr="008D3E71">
        <w:rPr>
          <w:rFonts w:eastAsia="Times New Roman"/>
          <w:lang w:eastAsia="de-DE"/>
        </w:rPr>
        <w:t>zeigt, dass halbe Umkehr nicht genügt.</w:t>
      </w:r>
    </w:p>
    <w:p w14:paraId="39FF4C0F"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Satzstruktur besteht aus einem Hauptsatz mit Piel-Perfekt-consecutivum (Plural), Herkunftsangabe und direktem Objekt mit erweiterter Gottesbezeichnung, einem koordinierten Hauptsatz mit Qal-Perfekt-consecutivum (Singular Wechsel), einem konditionalen Temporalsatz mit Qal-Imperfekt und Suffix-Objekt, und einer zweigliedrigen koordinierten modalen Bestimmung in Präpositional-Construct-Verbindungen. Der Wechsel von Plural zu Singular intensiviert die persönliche Ansprache.</w:t>
      </w:r>
    </w:p>
    <w:p w14:paraId="1215BA9C" w14:textId="0EAA3271"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lastRenderedPageBreak/>
        <w:t xml:space="preserve">Der Vers verspricht, dass Israel selbst im Exil </w:t>
      </w:r>
      <w:r w:rsidR="00ED2181">
        <w:rPr>
          <w:rFonts w:eastAsia="Times New Roman"/>
          <w:lang w:eastAsia="de-DE"/>
        </w:rPr>
        <w:t>JHWH</w:t>
      </w:r>
      <w:r w:rsidRPr="008D3E71">
        <w:rPr>
          <w:rFonts w:eastAsia="Times New Roman"/>
          <w:lang w:eastAsia="de-DE"/>
        </w:rPr>
        <w:t xml:space="preserve"> finden wird, wenn es ihn mit ganzem Herzen und ganzer Seele sucht – ein Hoffnungsschimmer nach der harten Gerichtsankündigung.</w:t>
      </w:r>
    </w:p>
    <w:p w14:paraId="66A4C05F"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4,30</w:t>
      </w:r>
    </w:p>
    <w:p w14:paraId="5974E436"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בַּצַּ֣ר לְךָ֔ וּמְצָא֕וּךָ כֹּ֖ל הַדְּבָרִ֣ים הָאֵ֑לֶּה בְּאַחֲרִית֙ הַיָּמִ֔ים וְשַׁבְתָּ֙ עַד־יְהוָ֣ה אֱלֹהֶ֔יךָ וְשָׁמַעְתָּ֖ בְּקֹלֹֽו׃</w:t>
      </w:r>
    </w:p>
    <w:p w14:paraId="7463D470"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Wenn du in Bedrängnis bist und alle diese Worte dich treffen am Ende der Tage, so wirst du zurückkehren zum Ewigen, deinem Gott, und auf seine Stimme hören.</w:t>
      </w:r>
    </w:p>
    <w:p w14:paraId="34D9D150"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3CB60EDA">
          <v:rect id="_x0000_i1166" style="width:0;height:1.5pt" o:hralign="center" o:hrstd="t" o:hr="t" fillcolor="#a0a0a0" stroked="f"/>
        </w:pict>
      </w:r>
    </w:p>
    <w:p w14:paraId="233FB106"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בַּצַּר לְךָ</w:t>
      </w:r>
      <w:r w:rsidRPr="008D3E71">
        <w:rPr>
          <w:rFonts w:eastAsia="Times New Roman"/>
          <w:rtl/>
          <w:lang w:eastAsia="de-DE"/>
        </w:rPr>
        <w:t xml:space="preserve"> </w:t>
      </w:r>
      <w:r w:rsidRPr="008D3E71">
        <w:rPr>
          <w:rFonts w:eastAsia="Times New Roman"/>
          <w:lang w:eastAsia="de-DE"/>
        </w:rPr>
        <w:t xml:space="preserve">ist eine temporale Konstruktion mit nominalem Charakter: </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צַר</w:t>
      </w:r>
      <w:r w:rsidRPr="008D3E71">
        <w:rPr>
          <w:rFonts w:eastAsia="Times New Roman"/>
          <w:rtl/>
          <w:lang w:eastAsia="de-DE"/>
        </w:rPr>
        <w:t xml:space="preserve"> </w:t>
      </w:r>
      <w:r w:rsidRPr="008D3E71">
        <w:rPr>
          <w:rFonts w:eastAsia="Times New Roman"/>
          <w:lang w:eastAsia="de-DE"/>
        </w:rPr>
        <w:t xml:space="preserve">(„Bedrängnis, Not") und Präposition </w:t>
      </w:r>
      <w:r w:rsidRPr="008D3E71">
        <w:rPr>
          <w:rFonts w:eastAsia="Times New Roman"/>
          <w:b/>
          <w:bCs/>
          <w:rtl/>
          <w:lang w:eastAsia="de-DE"/>
        </w:rPr>
        <w:t>לְ</w:t>
      </w:r>
      <w:r w:rsidRPr="008D3E71">
        <w:rPr>
          <w:rFonts w:eastAsia="Times New Roman"/>
          <w:rtl/>
          <w:lang w:eastAsia="de-DE"/>
        </w:rPr>
        <w:t xml:space="preserve"> </w:t>
      </w:r>
      <w:r w:rsidRPr="008D3E71">
        <w:rPr>
          <w:rFonts w:eastAsia="Times New Roman"/>
          <w:lang w:eastAsia="de-DE"/>
        </w:rPr>
        <w:t xml:space="preserve">mit Suffix 2. Person Singular maskulin („wenn Bedrängnis für dich [ist]", „wenn du in Bedrängnis bist"). </w:t>
      </w:r>
      <w:r w:rsidRPr="008D3E71">
        <w:rPr>
          <w:rFonts w:eastAsia="Times New Roman"/>
          <w:b/>
          <w:bCs/>
          <w:rtl/>
          <w:lang w:eastAsia="de-DE"/>
        </w:rPr>
        <w:t>וּמְצָאוּךָ כֹּל הַדְּבָרִים הָאֵלֶּה</w:t>
      </w:r>
      <w:r w:rsidRPr="008D3E71">
        <w:rPr>
          <w:rFonts w:eastAsia="Times New Roman"/>
          <w:rtl/>
          <w:lang w:eastAsia="de-DE"/>
        </w:rPr>
        <w:t xml:space="preserve"> </w:t>
      </w:r>
      <w:r w:rsidRPr="008D3E71">
        <w:rPr>
          <w:rFonts w:eastAsia="Times New Roman"/>
          <w:lang w:eastAsia="de-DE"/>
        </w:rPr>
        <w:t xml:space="preserve">ist koordiniert: </w:t>
      </w:r>
      <w:r w:rsidRPr="008D3E71">
        <w:rPr>
          <w:rFonts w:eastAsia="Times New Roman"/>
          <w:b/>
          <w:bCs/>
          <w:rtl/>
          <w:lang w:eastAsia="de-DE"/>
        </w:rPr>
        <w:t>וּ</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מְצָאוּךָ</w:t>
      </w:r>
      <w:r w:rsidRPr="008D3E71">
        <w:rPr>
          <w:rFonts w:eastAsia="Times New Roman"/>
          <w:rtl/>
          <w:lang w:eastAsia="de-DE"/>
        </w:rPr>
        <w:t xml:space="preserve"> </w:t>
      </w:r>
      <w:r w:rsidRPr="008D3E71">
        <w:rPr>
          <w:rFonts w:eastAsia="Times New Roman"/>
          <w:lang w:eastAsia="de-DE"/>
        </w:rPr>
        <w:t xml:space="preserve">(Qal Perfekt, 3. Person Plural von </w:t>
      </w:r>
      <w:r w:rsidRPr="008D3E71">
        <w:rPr>
          <w:rFonts w:eastAsia="Times New Roman"/>
          <w:b/>
          <w:bCs/>
          <w:rtl/>
          <w:lang w:eastAsia="de-DE"/>
        </w:rPr>
        <w:t>מצא</w:t>
      </w:r>
      <w:r w:rsidRPr="008D3E71">
        <w:rPr>
          <w:rFonts w:eastAsia="Times New Roman"/>
          <w:lang w:eastAsia="de-DE"/>
        </w:rPr>
        <w:t xml:space="preserve">, „finden, treffen, erreichen", mit Suffix 2. Person Singular maskulin als direktes Objekt), </w:t>
      </w:r>
      <w:r w:rsidRPr="008D3E71">
        <w:rPr>
          <w:rFonts w:eastAsia="Times New Roman"/>
          <w:b/>
          <w:bCs/>
          <w:rtl/>
          <w:lang w:eastAsia="de-DE"/>
        </w:rPr>
        <w:t>כֹּל הַדְּבָרִים הָאֵלֶּה</w:t>
      </w:r>
      <w:r w:rsidRPr="008D3E71">
        <w:rPr>
          <w:rFonts w:eastAsia="Times New Roman"/>
          <w:rtl/>
          <w:lang w:eastAsia="de-DE"/>
        </w:rPr>
        <w:t xml:space="preserve"> </w:t>
      </w:r>
      <w:r w:rsidRPr="008D3E71">
        <w:rPr>
          <w:rFonts w:eastAsia="Times New Roman"/>
          <w:lang w:eastAsia="de-DE"/>
        </w:rPr>
        <w:t>als Subjekt (</w:t>
      </w:r>
      <w:r w:rsidRPr="008D3E71">
        <w:rPr>
          <w:rFonts w:eastAsia="Times New Roman"/>
          <w:b/>
          <w:bCs/>
          <w:rtl/>
          <w:lang w:eastAsia="de-DE"/>
        </w:rPr>
        <w:t>כֹּל</w:t>
      </w:r>
      <w:r w:rsidRPr="008D3E71">
        <w:rPr>
          <w:rFonts w:eastAsia="Times New Roman"/>
          <w:rtl/>
          <w:lang w:eastAsia="de-DE"/>
        </w:rPr>
        <w:t xml:space="preserve"> </w:t>
      </w:r>
      <w:r w:rsidRPr="008D3E71">
        <w:rPr>
          <w:rFonts w:eastAsia="Times New Roman"/>
          <w:lang w:eastAsia="de-DE"/>
        </w:rPr>
        <w:t xml:space="preserve">im Construct mit </w:t>
      </w:r>
      <w:r w:rsidRPr="008D3E71">
        <w:rPr>
          <w:rFonts w:eastAsia="Times New Roman"/>
          <w:b/>
          <w:bCs/>
          <w:rtl/>
          <w:lang w:eastAsia="de-DE"/>
        </w:rPr>
        <w:t>הַדְּבָרִים</w:t>
      </w:r>
      <w:r w:rsidRPr="008D3E71">
        <w:rPr>
          <w:rFonts w:eastAsia="Times New Roman"/>
          <w:lang w:eastAsia="de-DE"/>
        </w:rPr>
        <w:t xml:space="preserve">, „die Worte, die Dinge", und Demonstrativpronomen </w:t>
      </w:r>
      <w:r w:rsidRPr="008D3E71">
        <w:rPr>
          <w:rFonts w:eastAsia="Times New Roman"/>
          <w:b/>
          <w:bCs/>
          <w:rtl/>
          <w:lang w:eastAsia="de-DE"/>
        </w:rPr>
        <w:t>הָאֵלֶּה</w:t>
      </w:r>
      <w:r w:rsidRPr="008D3E71">
        <w:rPr>
          <w:rFonts w:eastAsia="Times New Roman"/>
          <w:lang w:eastAsia="de-DE"/>
        </w:rPr>
        <w:t>). Die „Worte/Dinge" beziehen sich auf die angekündigten Gerichtshandlungen.</w:t>
      </w:r>
    </w:p>
    <w:p w14:paraId="5D76E72E"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בְּאַחֲרִית הַיָּמִים</w:t>
      </w:r>
      <w:r w:rsidRPr="008D3E71">
        <w:rPr>
          <w:rFonts w:eastAsia="Times New Roman"/>
          <w:rtl/>
          <w:lang w:eastAsia="de-DE"/>
        </w:rPr>
        <w:t xml:space="preserve"> </w:t>
      </w:r>
      <w:r w:rsidRPr="008D3E71">
        <w:rPr>
          <w:rFonts w:eastAsia="Times New Roman"/>
          <w:lang w:eastAsia="de-DE"/>
        </w:rPr>
        <w:t xml:space="preserve">ist eine eschatologische Zeitangabe: </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אַחֲרִית</w:t>
      </w:r>
      <w:r w:rsidRPr="008D3E71">
        <w:rPr>
          <w:rFonts w:eastAsia="Times New Roman"/>
          <w:rtl/>
          <w:lang w:eastAsia="de-DE"/>
        </w:rPr>
        <w:t xml:space="preserve"> </w:t>
      </w:r>
      <w:r w:rsidRPr="008D3E71">
        <w:rPr>
          <w:rFonts w:eastAsia="Times New Roman"/>
          <w:lang w:eastAsia="de-DE"/>
        </w:rPr>
        <w:t xml:space="preserve">(„Ende, Schluss, spätere Zeit") im Construct und </w:t>
      </w:r>
      <w:r w:rsidRPr="008D3E71">
        <w:rPr>
          <w:rFonts w:eastAsia="Times New Roman"/>
          <w:b/>
          <w:bCs/>
          <w:rtl/>
          <w:lang w:eastAsia="de-DE"/>
        </w:rPr>
        <w:t>הַיָּמִים</w:t>
      </w:r>
      <w:r w:rsidRPr="008D3E71">
        <w:rPr>
          <w:rFonts w:eastAsia="Times New Roman"/>
          <w:rtl/>
          <w:lang w:eastAsia="de-DE"/>
        </w:rPr>
        <w:t xml:space="preserve"> </w:t>
      </w:r>
      <w:r w:rsidRPr="008D3E71">
        <w:rPr>
          <w:rFonts w:eastAsia="Times New Roman"/>
          <w:lang w:eastAsia="de-DE"/>
        </w:rPr>
        <w:t>(„die Tage", Plural) – „am Ende der Tage, in der Endzeit". Diese Formel erscheint häufig in prophetischen Texten und bezeichnet die ferne Zukunft bzw. die eschatologische Zeit.</w:t>
      </w:r>
    </w:p>
    <w:p w14:paraId="358FABCC"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וְשַׁבְתָּ עַד־יְהוָה אֱלֹהֶיךָ</w:t>
      </w:r>
      <w:r w:rsidRPr="008D3E71">
        <w:rPr>
          <w:rFonts w:eastAsia="Times New Roman"/>
          <w:rtl/>
          <w:lang w:eastAsia="de-DE"/>
        </w:rPr>
        <w:t xml:space="preserve"> </w:t>
      </w:r>
      <w:r w:rsidRPr="008D3E71">
        <w:rPr>
          <w:rFonts w:eastAsia="Times New Roman"/>
          <w:lang w:eastAsia="de-DE"/>
        </w:rPr>
        <w:t xml:space="preserve">ist Qal Perfekt consecutivum, 2. Person Singular maskulin von </w:t>
      </w:r>
      <w:r w:rsidRPr="008D3E71">
        <w:rPr>
          <w:rFonts w:eastAsia="Times New Roman"/>
          <w:b/>
          <w:bCs/>
          <w:rtl/>
          <w:lang w:eastAsia="de-DE"/>
        </w:rPr>
        <w:t>שׁוב</w:t>
      </w:r>
      <w:r w:rsidRPr="008D3E71">
        <w:rPr>
          <w:rFonts w:eastAsia="Times New Roman"/>
          <w:rtl/>
          <w:lang w:eastAsia="de-DE"/>
        </w:rPr>
        <w:t xml:space="preserve"> </w:t>
      </w:r>
      <w:r w:rsidRPr="008D3E71">
        <w:rPr>
          <w:rFonts w:eastAsia="Times New Roman"/>
          <w:lang w:eastAsia="de-DE"/>
        </w:rPr>
        <w:t xml:space="preserve">(„umkehren, zurückkehren") mit Waw, </w:t>
      </w:r>
      <w:r w:rsidRPr="008D3E71">
        <w:rPr>
          <w:rFonts w:eastAsia="Times New Roman"/>
          <w:b/>
          <w:bCs/>
          <w:rtl/>
          <w:lang w:eastAsia="de-DE"/>
        </w:rPr>
        <w:t>עַד־יְהוָה אֱלֹהֶיךָ</w:t>
      </w:r>
      <w:r w:rsidRPr="008D3E71">
        <w:rPr>
          <w:rFonts w:eastAsia="Times New Roman"/>
          <w:rtl/>
          <w:lang w:eastAsia="de-DE"/>
        </w:rPr>
        <w:t xml:space="preserve"> </w:t>
      </w:r>
      <w:r w:rsidRPr="008D3E71">
        <w:rPr>
          <w:rFonts w:eastAsia="Times New Roman"/>
          <w:lang w:eastAsia="de-DE"/>
        </w:rPr>
        <w:t>als Richtungsangabe (</w:t>
      </w:r>
      <w:r w:rsidRPr="008D3E71">
        <w:rPr>
          <w:rFonts w:eastAsia="Times New Roman"/>
          <w:b/>
          <w:bCs/>
          <w:rtl/>
          <w:lang w:eastAsia="de-DE"/>
        </w:rPr>
        <w:t>עַד</w:t>
      </w:r>
      <w:r w:rsidRPr="008D3E71">
        <w:rPr>
          <w:rFonts w:eastAsia="Times New Roman"/>
          <w:lang w:eastAsia="de-DE"/>
        </w:rPr>
        <w:t xml:space="preserve">, „bis zu, zu", mit </w:t>
      </w:r>
      <w:r w:rsidRPr="008D3E71">
        <w:rPr>
          <w:rFonts w:eastAsia="Times New Roman"/>
          <w:b/>
          <w:bCs/>
          <w:rtl/>
          <w:lang w:eastAsia="de-DE"/>
        </w:rPr>
        <w:t>יְהוָה אֱלֹהֶיךָ</w:t>
      </w:r>
      <w:r w:rsidRPr="008D3E71">
        <w:rPr>
          <w:rFonts w:eastAsia="Times New Roman"/>
          <w:lang w:eastAsia="de-DE"/>
        </w:rPr>
        <w:t xml:space="preserve">). Das Verb </w:t>
      </w:r>
      <w:r w:rsidRPr="008D3E71">
        <w:rPr>
          <w:rFonts w:eastAsia="Times New Roman"/>
          <w:b/>
          <w:bCs/>
          <w:rtl/>
          <w:lang w:eastAsia="de-DE"/>
        </w:rPr>
        <w:t>שׁוב</w:t>
      </w:r>
      <w:r w:rsidRPr="008D3E71">
        <w:rPr>
          <w:rFonts w:eastAsia="Times New Roman"/>
          <w:rtl/>
          <w:lang w:eastAsia="de-DE"/>
        </w:rPr>
        <w:t xml:space="preserve"> </w:t>
      </w:r>
      <w:r w:rsidRPr="008D3E71">
        <w:rPr>
          <w:rFonts w:eastAsia="Times New Roman"/>
          <w:lang w:eastAsia="de-DE"/>
        </w:rPr>
        <w:t xml:space="preserve">ist der zentrale Begriff für Umkehr im Alten Testament und bezeichnet sowohl die physische Rückkehr als auch die geistliche Umkehr. </w:t>
      </w:r>
      <w:r w:rsidRPr="008D3E71">
        <w:rPr>
          <w:rFonts w:eastAsia="Times New Roman"/>
          <w:b/>
          <w:bCs/>
          <w:rtl/>
          <w:lang w:eastAsia="de-DE"/>
        </w:rPr>
        <w:t>וְשָׁמַעְתָּ בְּקֹלוֹ</w:t>
      </w:r>
      <w:r w:rsidRPr="008D3E71">
        <w:rPr>
          <w:rFonts w:eastAsia="Times New Roman"/>
          <w:rtl/>
          <w:lang w:eastAsia="de-DE"/>
        </w:rPr>
        <w:t xml:space="preserve"> </w:t>
      </w:r>
      <w:r w:rsidRPr="008D3E71">
        <w:rPr>
          <w:rFonts w:eastAsia="Times New Roman"/>
          <w:lang w:eastAsia="de-DE"/>
        </w:rPr>
        <w:t xml:space="preserve">ist koordiniert: </w:t>
      </w:r>
      <w:r w:rsidRPr="008D3E71">
        <w:rPr>
          <w:rFonts w:eastAsia="Times New Roman"/>
          <w:b/>
          <w:bCs/>
          <w:rtl/>
          <w:lang w:eastAsia="de-DE"/>
        </w:rPr>
        <w:t>וְ</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שָׁמַעְתָּ</w:t>
      </w:r>
      <w:r w:rsidRPr="008D3E71">
        <w:rPr>
          <w:rFonts w:eastAsia="Times New Roman"/>
          <w:rtl/>
          <w:lang w:eastAsia="de-DE"/>
        </w:rPr>
        <w:t xml:space="preserve"> </w:t>
      </w:r>
      <w:r w:rsidRPr="008D3E71">
        <w:rPr>
          <w:rFonts w:eastAsia="Times New Roman"/>
          <w:lang w:eastAsia="de-DE"/>
        </w:rPr>
        <w:t xml:space="preserve">(Qal Perfekt consecutivum, 2. Person Singular maskulin von </w:t>
      </w:r>
      <w:r w:rsidRPr="008D3E71">
        <w:rPr>
          <w:rFonts w:eastAsia="Times New Roman"/>
          <w:b/>
          <w:bCs/>
          <w:rtl/>
          <w:lang w:eastAsia="de-DE"/>
        </w:rPr>
        <w:t>שׁמע</w:t>
      </w:r>
      <w:r w:rsidRPr="008D3E71">
        <w:rPr>
          <w:rFonts w:eastAsia="Times New Roman"/>
          <w:lang w:eastAsia="de-DE"/>
        </w:rPr>
        <w:t xml:space="preserve">, „hören, gehorchen"), </w:t>
      </w:r>
      <w:r w:rsidRPr="008D3E71">
        <w:rPr>
          <w:rFonts w:eastAsia="Times New Roman"/>
          <w:b/>
          <w:bCs/>
          <w:rtl/>
          <w:lang w:eastAsia="de-DE"/>
        </w:rPr>
        <w:t>בְּקֹלוֹ</w:t>
      </w:r>
      <w:r w:rsidRPr="008D3E71">
        <w:rPr>
          <w:rFonts w:eastAsia="Times New Roman"/>
          <w:rtl/>
          <w:lang w:eastAsia="de-DE"/>
        </w:rPr>
        <w:t xml:space="preserve"> </w:t>
      </w:r>
      <w:r w:rsidRPr="008D3E71">
        <w:rPr>
          <w:rFonts w:eastAsia="Times New Roman"/>
          <w:lang w:eastAsia="de-DE"/>
        </w:rPr>
        <w:t xml:space="preserve">als Präposition </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קוֹל</w:t>
      </w:r>
      <w:r w:rsidRPr="008D3E71">
        <w:rPr>
          <w:rFonts w:eastAsia="Times New Roman"/>
          <w:rtl/>
          <w:lang w:eastAsia="de-DE"/>
        </w:rPr>
        <w:t xml:space="preserve"> </w:t>
      </w:r>
      <w:r w:rsidRPr="008D3E71">
        <w:rPr>
          <w:rFonts w:eastAsia="Times New Roman"/>
          <w:lang w:eastAsia="de-DE"/>
        </w:rPr>
        <w:t xml:space="preserve">(„Stimme") und Suffix 3. Person Singular maskulin. Die idiomatische Wendung </w:t>
      </w:r>
      <w:r w:rsidRPr="008D3E71">
        <w:rPr>
          <w:rFonts w:eastAsia="Times New Roman"/>
          <w:b/>
          <w:bCs/>
          <w:rtl/>
          <w:lang w:eastAsia="de-DE"/>
        </w:rPr>
        <w:t>שׁמע בְּקוֹל</w:t>
      </w:r>
      <w:r w:rsidRPr="008D3E71">
        <w:rPr>
          <w:rFonts w:eastAsia="Times New Roman"/>
          <w:rtl/>
          <w:lang w:eastAsia="de-DE"/>
        </w:rPr>
        <w:t xml:space="preserve"> </w:t>
      </w:r>
      <w:r w:rsidRPr="008D3E71">
        <w:rPr>
          <w:rFonts w:eastAsia="Times New Roman"/>
          <w:lang w:eastAsia="de-DE"/>
        </w:rPr>
        <w:t>bedeutet „auf die Stimme hören, gehorchen".</w:t>
      </w:r>
    </w:p>
    <w:p w14:paraId="63BE9403" w14:textId="57C2C18B"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Die Wendung </w:t>
      </w:r>
      <w:r w:rsidRPr="008D3E71">
        <w:rPr>
          <w:rFonts w:eastAsia="Times New Roman"/>
          <w:b/>
          <w:bCs/>
          <w:rtl/>
          <w:lang w:eastAsia="de-DE"/>
        </w:rPr>
        <w:t>בְּאַחֲרִית הַיָּמִים</w:t>
      </w:r>
      <w:r w:rsidRPr="008D3E71">
        <w:rPr>
          <w:rFonts w:eastAsia="Times New Roman"/>
          <w:rtl/>
          <w:lang w:eastAsia="de-DE"/>
        </w:rPr>
        <w:t xml:space="preserve"> </w:t>
      </w:r>
      <w:r w:rsidRPr="008D3E71">
        <w:rPr>
          <w:rFonts w:eastAsia="Times New Roman"/>
          <w:lang w:eastAsia="de-DE"/>
        </w:rPr>
        <w:t xml:space="preserve">zeigt, dass die endgültige Umkehr Israels in der eschatologischen Zukunft liegt. Die beiden Verben </w:t>
      </w:r>
      <w:r w:rsidRPr="008D3E71">
        <w:rPr>
          <w:rFonts w:eastAsia="Times New Roman"/>
          <w:b/>
          <w:bCs/>
          <w:rtl/>
          <w:lang w:eastAsia="de-DE"/>
        </w:rPr>
        <w:t>שׁוב</w:t>
      </w:r>
      <w:r w:rsidRPr="008D3E71">
        <w:rPr>
          <w:rFonts w:eastAsia="Times New Roman"/>
          <w:rtl/>
          <w:lang w:eastAsia="de-DE"/>
        </w:rPr>
        <w:t xml:space="preserve"> </w:t>
      </w:r>
      <w:r w:rsidRPr="008D3E71">
        <w:rPr>
          <w:rFonts w:eastAsia="Times New Roman"/>
          <w:lang w:eastAsia="de-DE"/>
        </w:rPr>
        <w:t xml:space="preserve">(„umkehren") und </w:t>
      </w:r>
      <w:r w:rsidRPr="008D3E71">
        <w:rPr>
          <w:rFonts w:eastAsia="Times New Roman"/>
          <w:b/>
          <w:bCs/>
          <w:rtl/>
          <w:lang w:eastAsia="de-DE"/>
        </w:rPr>
        <w:t>שׁמע</w:t>
      </w:r>
      <w:r w:rsidRPr="008D3E71">
        <w:rPr>
          <w:rFonts w:eastAsia="Times New Roman"/>
          <w:rtl/>
          <w:lang w:eastAsia="de-DE"/>
        </w:rPr>
        <w:t xml:space="preserve"> </w:t>
      </w:r>
      <w:r w:rsidRPr="008D3E71">
        <w:rPr>
          <w:rFonts w:eastAsia="Times New Roman"/>
          <w:lang w:eastAsia="de-DE"/>
        </w:rPr>
        <w:t xml:space="preserve">(„hören, gehorchen") beschreiben die vollständige Wiederherstellung der Beziehung zu </w:t>
      </w:r>
      <w:r w:rsidR="00ED2181">
        <w:rPr>
          <w:rFonts w:eastAsia="Times New Roman"/>
          <w:lang w:eastAsia="de-DE"/>
        </w:rPr>
        <w:t>JHWH</w:t>
      </w:r>
      <w:r w:rsidRPr="008D3E71">
        <w:rPr>
          <w:rFonts w:eastAsia="Times New Roman"/>
          <w:lang w:eastAsia="de-DE"/>
        </w:rPr>
        <w:t>: Rückkehr und Gehorsam.</w:t>
      </w:r>
    </w:p>
    <w:p w14:paraId="21412E4E"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Satzstruktur besteht aus einer temporalen Konstruktion mit präpositionalem Substantiv und Dativ, einem koordinierten Satz mit Prädikat und Suffix-Objekt sowie Subjekt mit Demonstrativpronomen, einer eschatologischen Zeitangabe, und zwei koordinierten Hauptsätzen mit Qal-Perfekt-consecutivum (der erste mit präpositionaler Richtungsangabe, der zweite mit idiomatischer Präpositionalphrase). Die Struktur beschreibt die Situation (Not), den Zeitpunkt (Endzeit) und die Reaktion (Umkehr und Gehorsam).</w:t>
      </w:r>
    </w:p>
    <w:p w14:paraId="5C9A1970" w14:textId="7CA09348"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lastRenderedPageBreak/>
        <w:t xml:space="preserve">Der Vers präzisiert das vorherige Versprechen: In der zukünftigen Bedrängnis, am Ende der Tage, wird Israel zu </w:t>
      </w:r>
      <w:r w:rsidR="00ED2181">
        <w:rPr>
          <w:rFonts w:eastAsia="Times New Roman"/>
          <w:lang w:eastAsia="de-DE"/>
        </w:rPr>
        <w:t>JHWH</w:t>
      </w:r>
      <w:r w:rsidRPr="008D3E71">
        <w:rPr>
          <w:rFonts w:eastAsia="Times New Roman"/>
          <w:lang w:eastAsia="de-DE"/>
        </w:rPr>
        <w:t xml:space="preserve"> umkehren und ihm gehorchen.</w:t>
      </w:r>
    </w:p>
    <w:p w14:paraId="1ECEB2E2"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4,31</w:t>
      </w:r>
    </w:p>
    <w:p w14:paraId="7AB14FBB"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כִּ֣י אֵ֤ל רַחוּם֙ יְהוָ֣ה אֱלֹהֶ֔יךָ לֹ֥א יַרְפְּךָ֖ וְלֹ֣א יַשְׁחִיתֶ֑ךָ וְלֹ֤א יִשְׁכַּח֙ אֶת־בְּרִ֣ית אֲבֹתֶ֔יךָ אֲשֶׁ֥ר נִשְׁבַּ֖ע לָהֶֽם׃</w:t>
      </w:r>
    </w:p>
    <w:p w14:paraId="7F4CABA5"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Denn ein barmherziger Gott ist der Ewige, dein Gott. Er wird dich nicht aufgeben und dich nicht verderben und wird nicht vergessen den Bund deiner Väter, den er ihnen geschworen hat.</w:t>
      </w:r>
    </w:p>
    <w:p w14:paraId="3B61DCBE"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2F6484C8">
          <v:rect id="_x0000_i1167" style="width:0;height:1.5pt" o:hralign="center" o:hrstd="t" o:hr="t" fillcolor="#a0a0a0" stroked="f"/>
        </w:pict>
      </w:r>
    </w:p>
    <w:p w14:paraId="345E2BFB"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כִּי אֵל רַחוּם יְהוָה אֱלֹהֶיךָ</w:t>
      </w:r>
      <w:r w:rsidRPr="008D3E71">
        <w:rPr>
          <w:rFonts w:eastAsia="Times New Roman"/>
          <w:rtl/>
          <w:lang w:eastAsia="de-DE"/>
        </w:rPr>
        <w:t xml:space="preserve"> </w:t>
      </w:r>
      <w:r w:rsidRPr="008D3E71">
        <w:rPr>
          <w:rFonts w:eastAsia="Times New Roman"/>
          <w:lang w:eastAsia="de-DE"/>
        </w:rPr>
        <w:t xml:space="preserve">ist ein kausaler nominaler Satz: </w:t>
      </w:r>
      <w:r w:rsidRPr="008D3E71">
        <w:rPr>
          <w:rFonts w:eastAsia="Times New Roman"/>
          <w:b/>
          <w:bCs/>
          <w:rtl/>
          <w:lang w:eastAsia="de-DE"/>
        </w:rPr>
        <w:t>כִּי</w:t>
      </w:r>
      <w:r w:rsidRPr="008D3E71">
        <w:rPr>
          <w:rFonts w:eastAsia="Times New Roman"/>
          <w:rtl/>
          <w:lang w:eastAsia="de-DE"/>
        </w:rPr>
        <w:t xml:space="preserve"> </w:t>
      </w:r>
      <w:r w:rsidRPr="008D3E71">
        <w:rPr>
          <w:rFonts w:eastAsia="Times New Roman"/>
          <w:lang w:eastAsia="de-DE"/>
        </w:rPr>
        <w:t xml:space="preserve">als Konjunktion („denn"), </w:t>
      </w:r>
      <w:r w:rsidRPr="008D3E71">
        <w:rPr>
          <w:rFonts w:eastAsia="Times New Roman"/>
          <w:b/>
          <w:bCs/>
          <w:rtl/>
          <w:lang w:eastAsia="de-DE"/>
        </w:rPr>
        <w:t>אֵל רַחוּם</w:t>
      </w:r>
      <w:r w:rsidRPr="008D3E71">
        <w:rPr>
          <w:rFonts w:eastAsia="Times New Roman"/>
          <w:rtl/>
          <w:lang w:eastAsia="de-DE"/>
        </w:rPr>
        <w:t xml:space="preserve"> </w:t>
      </w:r>
      <w:r w:rsidRPr="008D3E71">
        <w:rPr>
          <w:rFonts w:eastAsia="Times New Roman"/>
          <w:lang w:eastAsia="de-DE"/>
        </w:rPr>
        <w:t>als vorausgestelltes Prädikatsnomen (</w:t>
      </w:r>
      <w:r w:rsidRPr="008D3E71">
        <w:rPr>
          <w:rFonts w:eastAsia="Times New Roman"/>
          <w:b/>
          <w:bCs/>
          <w:rtl/>
          <w:lang w:eastAsia="de-DE"/>
        </w:rPr>
        <w:t>אֵל</w:t>
      </w:r>
      <w:r w:rsidRPr="008D3E71">
        <w:rPr>
          <w:rFonts w:eastAsia="Times New Roman"/>
          <w:lang w:eastAsia="de-DE"/>
        </w:rPr>
        <w:t xml:space="preserve">, „Gott", mit Adjektiv </w:t>
      </w:r>
      <w:r w:rsidRPr="008D3E71">
        <w:rPr>
          <w:rFonts w:eastAsia="Times New Roman"/>
          <w:b/>
          <w:bCs/>
          <w:rtl/>
          <w:lang w:eastAsia="de-DE"/>
        </w:rPr>
        <w:t>רַחוּם</w:t>
      </w:r>
      <w:r w:rsidRPr="008D3E71">
        <w:rPr>
          <w:rFonts w:eastAsia="Times New Roman"/>
          <w:lang w:eastAsia="de-DE"/>
        </w:rPr>
        <w:t xml:space="preserve">, „barmherzig, gnädig"), </w:t>
      </w:r>
      <w:r w:rsidRPr="008D3E71">
        <w:rPr>
          <w:rFonts w:eastAsia="Times New Roman"/>
          <w:b/>
          <w:bCs/>
          <w:rtl/>
          <w:lang w:eastAsia="de-DE"/>
        </w:rPr>
        <w:t>יְהוָה אֱלֹהֶיךָ</w:t>
      </w:r>
      <w:r w:rsidRPr="008D3E71">
        <w:rPr>
          <w:rFonts w:eastAsia="Times New Roman"/>
          <w:rtl/>
          <w:lang w:eastAsia="de-DE"/>
        </w:rPr>
        <w:t xml:space="preserve"> </w:t>
      </w:r>
      <w:r w:rsidRPr="008D3E71">
        <w:rPr>
          <w:rFonts w:eastAsia="Times New Roman"/>
          <w:lang w:eastAsia="de-DE"/>
        </w:rPr>
        <w:t xml:space="preserve">als Subjekt mit Suffix 2. Person Singular maskulin. Die Voranstellung von </w:t>
      </w:r>
      <w:r w:rsidRPr="008D3E71">
        <w:rPr>
          <w:rFonts w:eastAsia="Times New Roman"/>
          <w:b/>
          <w:bCs/>
          <w:rtl/>
          <w:lang w:eastAsia="de-DE"/>
        </w:rPr>
        <w:t>אֵל רַחוּם</w:t>
      </w:r>
      <w:r w:rsidRPr="008D3E71">
        <w:rPr>
          <w:rFonts w:eastAsia="Times New Roman"/>
          <w:rtl/>
          <w:lang w:eastAsia="de-DE"/>
        </w:rPr>
        <w:t xml:space="preserve"> </w:t>
      </w:r>
      <w:r w:rsidRPr="008D3E71">
        <w:rPr>
          <w:rFonts w:eastAsia="Times New Roman"/>
          <w:lang w:eastAsia="de-DE"/>
        </w:rPr>
        <w:t>betont diese göttliche Eigenschaft als Grund für die folgende Verheißung.</w:t>
      </w:r>
    </w:p>
    <w:p w14:paraId="1BCA168D"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לֹא יַרְפְּךָ</w:t>
      </w:r>
      <w:r w:rsidRPr="008D3E71">
        <w:rPr>
          <w:rFonts w:eastAsia="Times New Roman"/>
          <w:rtl/>
          <w:lang w:eastAsia="de-DE"/>
        </w:rPr>
        <w:t xml:space="preserve"> </w:t>
      </w:r>
      <w:r w:rsidRPr="008D3E71">
        <w:rPr>
          <w:rFonts w:eastAsia="Times New Roman"/>
          <w:lang w:eastAsia="de-DE"/>
        </w:rPr>
        <w:t xml:space="preserve">ist Hifil Imperfekt, 3. Person Singular maskulin von </w:t>
      </w:r>
      <w:r w:rsidRPr="008D3E71">
        <w:rPr>
          <w:rFonts w:eastAsia="Times New Roman"/>
          <w:b/>
          <w:bCs/>
          <w:rtl/>
          <w:lang w:eastAsia="de-DE"/>
        </w:rPr>
        <w:t>רפה</w:t>
      </w:r>
      <w:r w:rsidRPr="008D3E71">
        <w:rPr>
          <w:rFonts w:eastAsia="Times New Roman"/>
          <w:rtl/>
          <w:lang w:eastAsia="de-DE"/>
        </w:rPr>
        <w:t xml:space="preserve"> </w:t>
      </w:r>
      <w:r w:rsidRPr="008D3E71">
        <w:rPr>
          <w:rFonts w:eastAsia="Times New Roman"/>
          <w:lang w:eastAsia="de-DE"/>
        </w:rPr>
        <w:t xml:space="preserve">(„loslassen, fallen lassen, aufgeben") mit Negation </w:t>
      </w:r>
      <w:r w:rsidRPr="008D3E71">
        <w:rPr>
          <w:rFonts w:eastAsia="Times New Roman"/>
          <w:b/>
          <w:bCs/>
          <w:rtl/>
          <w:lang w:eastAsia="de-DE"/>
        </w:rPr>
        <w:t>לֹא</w:t>
      </w:r>
      <w:r w:rsidRPr="008D3E71">
        <w:rPr>
          <w:rFonts w:eastAsia="Times New Roman"/>
          <w:rtl/>
          <w:lang w:eastAsia="de-DE"/>
        </w:rPr>
        <w:t xml:space="preserve"> </w:t>
      </w:r>
      <w:r w:rsidRPr="008D3E71">
        <w:rPr>
          <w:rFonts w:eastAsia="Times New Roman"/>
          <w:lang w:eastAsia="de-DE"/>
        </w:rPr>
        <w:t xml:space="preserve">und Suffix 2. Person Singular maskulin als direktes Objekt. </w:t>
      </w:r>
      <w:r w:rsidRPr="008D3E71">
        <w:rPr>
          <w:rFonts w:eastAsia="Times New Roman"/>
          <w:b/>
          <w:bCs/>
          <w:rtl/>
          <w:lang w:eastAsia="de-DE"/>
        </w:rPr>
        <w:t>וְלֹא יַשְׁחִיתֶךָ</w:t>
      </w:r>
      <w:r w:rsidRPr="008D3E71">
        <w:rPr>
          <w:rFonts w:eastAsia="Times New Roman"/>
          <w:rtl/>
          <w:lang w:eastAsia="de-DE"/>
        </w:rPr>
        <w:t xml:space="preserve"> </w:t>
      </w:r>
      <w:r w:rsidRPr="008D3E71">
        <w:rPr>
          <w:rFonts w:eastAsia="Times New Roman"/>
          <w:lang w:eastAsia="de-DE"/>
        </w:rPr>
        <w:t xml:space="preserve">ist koordiniert: </w:t>
      </w:r>
      <w:r w:rsidRPr="008D3E71">
        <w:rPr>
          <w:rFonts w:eastAsia="Times New Roman"/>
          <w:b/>
          <w:bCs/>
          <w:rtl/>
          <w:lang w:eastAsia="de-DE"/>
        </w:rPr>
        <w:t>וְ</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לֹא</w:t>
      </w:r>
      <w:r w:rsidRPr="008D3E71">
        <w:rPr>
          <w:rFonts w:eastAsia="Times New Roman"/>
          <w:rtl/>
          <w:lang w:eastAsia="de-DE"/>
        </w:rPr>
        <w:t xml:space="preserve"> </w:t>
      </w:r>
      <w:r w:rsidRPr="008D3E71">
        <w:rPr>
          <w:rFonts w:eastAsia="Times New Roman"/>
          <w:lang w:eastAsia="de-DE"/>
        </w:rPr>
        <w:t xml:space="preserve">und </w:t>
      </w:r>
      <w:r w:rsidRPr="008D3E71">
        <w:rPr>
          <w:rFonts w:eastAsia="Times New Roman"/>
          <w:b/>
          <w:bCs/>
          <w:rtl/>
          <w:lang w:eastAsia="de-DE"/>
        </w:rPr>
        <w:t>יַשְׁחִיתֶךָ</w:t>
      </w:r>
      <w:r w:rsidRPr="008D3E71">
        <w:rPr>
          <w:rFonts w:eastAsia="Times New Roman"/>
          <w:rtl/>
          <w:lang w:eastAsia="de-DE"/>
        </w:rPr>
        <w:t xml:space="preserve"> </w:t>
      </w:r>
      <w:r w:rsidRPr="008D3E71">
        <w:rPr>
          <w:rFonts w:eastAsia="Times New Roman"/>
          <w:lang w:eastAsia="de-DE"/>
        </w:rPr>
        <w:t xml:space="preserve">(Hifil Imperfekt, 3. Person Singular maskulin von </w:t>
      </w:r>
      <w:r w:rsidRPr="008D3E71">
        <w:rPr>
          <w:rFonts w:eastAsia="Times New Roman"/>
          <w:b/>
          <w:bCs/>
          <w:rtl/>
          <w:lang w:eastAsia="de-DE"/>
        </w:rPr>
        <w:t>שׁחת</w:t>
      </w:r>
      <w:r w:rsidRPr="008D3E71">
        <w:rPr>
          <w:rFonts w:eastAsia="Times New Roman"/>
          <w:lang w:eastAsia="de-DE"/>
        </w:rPr>
        <w:t xml:space="preserve">, „verderben, vernichten", mit Suffix 2. Person Singular maskulin). </w:t>
      </w:r>
      <w:r w:rsidRPr="008D3E71">
        <w:rPr>
          <w:rFonts w:eastAsia="Times New Roman"/>
          <w:b/>
          <w:bCs/>
          <w:rtl/>
          <w:lang w:eastAsia="de-DE"/>
        </w:rPr>
        <w:t>וְלֹא יִשְׁכַּח אֶת־בְּרִית אֲבֹתֶיךָ</w:t>
      </w:r>
      <w:r w:rsidRPr="008D3E71">
        <w:rPr>
          <w:rFonts w:eastAsia="Times New Roman"/>
          <w:rtl/>
          <w:lang w:eastAsia="de-DE"/>
        </w:rPr>
        <w:t xml:space="preserve"> </w:t>
      </w:r>
      <w:r w:rsidRPr="008D3E71">
        <w:rPr>
          <w:rFonts w:eastAsia="Times New Roman"/>
          <w:lang w:eastAsia="de-DE"/>
        </w:rPr>
        <w:t xml:space="preserve">ist wiederum koordiniert: </w:t>
      </w:r>
      <w:r w:rsidRPr="008D3E71">
        <w:rPr>
          <w:rFonts w:eastAsia="Times New Roman"/>
          <w:b/>
          <w:bCs/>
          <w:rtl/>
          <w:lang w:eastAsia="de-DE"/>
        </w:rPr>
        <w:t>וְ</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לֹא</w:t>
      </w:r>
      <w:r w:rsidRPr="008D3E71">
        <w:rPr>
          <w:rFonts w:eastAsia="Times New Roman"/>
          <w:rtl/>
          <w:lang w:eastAsia="de-DE"/>
        </w:rPr>
        <w:t xml:space="preserve"> </w:t>
      </w:r>
      <w:r w:rsidRPr="008D3E71">
        <w:rPr>
          <w:rFonts w:eastAsia="Times New Roman"/>
          <w:lang w:eastAsia="de-DE"/>
        </w:rPr>
        <w:t xml:space="preserve">und </w:t>
      </w:r>
      <w:r w:rsidRPr="008D3E71">
        <w:rPr>
          <w:rFonts w:eastAsia="Times New Roman"/>
          <w:b/>
          <w:bCs/>
          <w:rtl/>
          <w:lang w:eastAsia="de-DE"/>
        </w:rPr>
        <w:t>יִשְׁכַּח</w:t>
      </w:r>
      <w:r w:rsidRPr="008D3E71">
        <w:rPr>
          <w:rFonts w:eastAsia="Times New Roman"/>
          <w:rtl/>
          <w:lang w:eastAsia="de-DE"/>
        </w:rPr>
        <w:t xml:space="preserve"> </w:t>
      </w:r>
      <w:r w:rsidRPr="008D3E71">
        <w:rPr>
          <w:rFonts w:eastAsia="Times New Roman"/>
          <w:lang w:eastAsia="de-DE"/>
        </w:rPr>
        <w:t xml:space="preserve">(Qal Imperfekt, 3. Person Singular maskulin von </w:t>
      </w:r>
      <w:r w:rsidRPr="008D3E71">
        <w:rPr>
          <w:rFonts w:eastAsia="Times New Roman"/>
          <w:b/>
          <w:bCs/>
          <w:rtl/>
          <w:lang w:eastAsia="de-DE"/>
        </w:rPr>
        <w:t>שׁכח</w:t>
      </w:r>
      <w:r w:rsidRPr="008D3E71">
        <w:rPr>
          <w:rFonts w:eastAsia="Times New Roman"/>
          <w:lang w:eastAsia="de-DE"/>
        </w:rPr>
        <w:t xml:space="preserve">, „vergessen"), </w:t>
      </w:r>
      <w:r w:rsidRPr="008D3E71">
        <w:rPr>
          <w:rFonts w:eastAsia="Times New Roman"/>
          <w:b/>
          <w:bCs/>
          <w:rtl/>
          <w:lang w:eastAsia="de-DE"/>
        </w:rPr>
        <w:t>אֶת־בְּרִית אֲבֹתֶיךָ</w:t>
      </w:r>
      <w:r w:rsidRPr="008D3E71">
        <w:rPr>
          <w:rFonts w:eastAsia="Times New Roman"/>
          <w:rtl/>
          <w:lang w:eastAsia="de-DE"/>
        </w:rPr>
        <w:t xml:space="preserve"> </w:t>
      </w:r>
      <w:r w:rsidRPr="008D3E71">
        <w:rPr>
          <w:rFonts w:eastAsia="Times New Roman"/>
          <w:lang w:eastAsia="de-DE"/>
        </w:rPr>
        <w:t>als direktes Objekt (</w:t>
      </w:r>
      <w:r w:rsidRPr="008D3E71">
        <w:rPr>
          <w:rFonts w:eastAsia="Times New Roman"/>
          <w:b/>
          <w:bCs/>
          <w:rtl/>
          <w:lang w:eastAsia="de-DE"/>
        </w:rPr>
        <w:t>בְּרִית</w:t>
      </w:r>
      <w:r w:rsidRPr="008D3E71">
        <w:rPr>
          <w:rFonts w:eastAsia="Times New Roman"/>
          <w:lang w:eastAsia="de-DE"/>
        </w:rPr>
        <w:t xml:space="preserve">, „Bund", im Construct mit </w:t>
      </w:r>
      <w:r w:rsidRPr="008D3E71">
        <w:rPr>
          <w:rFonts w:eastAsia="Times New Roman"/>
          <w:b/>
          <w:bCs/>
          <w:rtl/>
          <w:lang w:eastAsia="de-DE"/>
        </w:rPr>
        <w:t>אֲבֹתֶיךָ</w:t>
      </w:r>
      <w:r w:rsidRPr="008D3E71">
        <w:rPr>
          <w:rFonts w:eastAsia="Times New Roman"/>
          <w:lang w:eastAsia="de-DE"/>
        </w:rPr>
        <w:t>, „deine Väter", Plural mit Suffix 2. Person Singular maskulin).</w:t>
      </w:r>
    </w:p>
    <w:p w14:paraId="32CFD4F3"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אֲשֶׁר נִשְׁבַּע לָהֶם</w:t>
      </w:r>
      <w:r w:rsidRPr="008D3E71">
        <w:rPr>
          <w:rFonts w:eastAsia="Times New Roman"/>
          <w:rtl/>
          <w:lang w:eastAsia="de-DE"/>
        </w:rPr>
        <w:t xml:space="preserve"> </w:t>
      </w:r>
      <w:r w:rsidRPr="008D3E71">
        <w:rPr>
          <w:rFonts w:eastAsia="Times New Roman"/>
          <w:lang w:eastAsia="de-DE"/>
        </w:rPr>
        <w:t xml:space="preserve">ist ein Relativsatz: </w:t>
      </w:r>
      <w:r w:rsidRPr="008D3E71">
        <w:rPr>
          <w:rFonts w:eastAsia="Times New Roman"/>
          <w:b/>
          <w:bCs/>
          <w:rtl/>
          <w:lang w:eastAsia="de-DE"/>
        </w:rPr>
        <w:t>אֲשֶׁר</w:t>
      </w:r>
      <w:r w:rsidRPr="008D3E71">
        <w:rPr>
          <w:rFonts w:eastAsia="Times New Roman"/>
          <w:rtl/>
          <w:lang w:eastAsia="de-DE"/>
        </w:rPr>
        <w:t xml:space="preserve"> </w:t>
      </w:r>
      <w:r w:rsidRPr="008D3E71">
        <w:rPr>
          <w:rFonts w:eastAsia="Times New Roman"/>
          <w:lang w:eastAsia="de-DE"/>
        </w:rPr>
        <w:t xml:space="preserve">als Relativpronomen, </w:t>
      </w:r>
      <w:r w:rsidRPr="008D3E71">
        <w:rPr>
          <w:rFonts w:eastAsia="Times New Roman"/>
          <w:b/>
          <w:bCs/>
          <w:rtl/>
          <w:lang w:eastAsia="de-DE"/>
        </w:rPr>
        <w:t>נִשְׁבַּע</w:t>
      </w:r>
      <w:r w:rsidRPr="008D3E71">
        <w:rPr>
          <w:rFonts w:eastAsia="Times New Roman"/>
          <w:rtl/>
          <w:lang w:eastAsia="de-DE"/>
        </w:rPr>
        <w:t xml:space="preserve"> </w:t>
      </w:r>
      <w:r w:rsidRPr="008D3E71">
        <w:rPr>
          <w:rFonts w:eastAsia="Times New Roman"/>
          <w:lang w:eastAsia="de-DE"/>
        </w:rPr>
        <w:t xml:space="preserve">als Nifal Perfekt, 3. Person Singular maskulin von </w:t>
      </w:r>
      <w:r w:rsidRPr="008D3E71">
        <w:rPr>
          <w:rFonts w:eastAsia="Times New Roman"/>
          <w:b/>
          <w:bCs/>
          <w:rtl/>
          <w:lang w:eastAsia="de-DE"/>
        </w:rPr>
        <w:t>שׁבע</w:t>
      </w:r>
      <w:r w:rsidRPr="008D3E71">
        <w:rPr>
          <w:rFonts w:eastAsia="Times New Roman"/>
          <w:rtl/>
          <w:lang w:eastAsia="de-DE"/>
        </w:rPr>
        <w:t xml:space="preserve"> </w:t>
      </w:r>
      <w:r w:rsidRPr="008D3E71">
        <w:rPr>
          <w:rFonts w:eastAsia="Times New Roman"/>
          <w:lang w:eastAsia="de-DE"/>
        </w:rPr>
        <w:t xml:space="preserve">(„schwören"), </w:t>
      </w:r>
      <w:r w:rsidRPr="008D3E71">
        <w:rPr>
          <w:rFonts w:eastAsia="Times New Roman"/>
          <w:b/>
          <w:bCs/>
          <w:rtl/>
          <w:lang w:eastAsia="de-DE"/>
        </w:rPr>
        <w:t>לָהֶם</w:t>
      </w:r>
      <w:r w:rsidRPr="008D3E71">
        <w:rPr>
          <w:rFonts w:eastAsia="Times New Roman"/>
          <w:rtl/>
          <w:lang w:eastAsia="de-DE"/>
        </w:rPr>
        <w:t xml:space="preserve"> </w:t>
      </w:r>
      <w:r w:rsidRPr="008D3E71">
        <w:rPr>
          <w:rFonts w:eastAsia="Times New Roman"/>
          <w:lang w:eastAsia="de-DE"/>
        </w:rPr>
        <w:t xml:space="preserve">als Präposition </w:t>
      </w:r>
      <w:r w:rsidRPr="008D3E71">
        <w:rPr>
          <w:rFonts w:eastAsia="Times New Roman"/>
          <w:b/>
          <w:bCs/>
          <w:rtl/>
          <w:lang w:eastAsia="de-DE"/>
        </w:rPr>
        <w:t>לְ</w:t>
      </w:r>
      <w:r w:rsidRPr="008D3E71">
        <w:rPr>
          <w:rFonts w:eastAsia="Times New Roman"/>
          <w:rtl/>
          <w:lang w:eastAsia="de-DE"/>
        </w:rPr>
        <w:t xml:space="preserve"> </w:t>
      </w:r>
      <w:r w:rsidRPr="008D3E71">
        <w:rPr>
          <w:rFonts w:eastAsia="Times New Roman"/>
          <w:lang w:eastAsia="de-DE"/>
        </w:rPr>
        <w:t>mit Suffix 3. Person Plural maskulin („ihnen" – den Vätern). Die Bundesverheißung an die Väter ist durch einen göttlichen Eid bekräftigt und daher unwiderruflich.</w:t>
      </w:r>
    </w:p>
    <w:p w14:paraId="6A292AD1" w14:textId="6AD8EC4C"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dreifache Negation (</w:t>
      </w:r>
      <w:r w:rsidRPr="008D3E71">
        <w:rPr>
          <w:rFonts w:eastAsia="Times New Roman"/>
          <w:b/>
          <w:bCs/>
          <w:rtl/>
          <w:lang w:eastAsia="de-DE"/>
        </w:rPr>
        <w:t>לֹא יַרְפְּךָ</w:t>
      </w:r>
      <w:r w:rsidRPr="008D3E71">
        <w:rPr>
          <w:rFonts w:eastAsia="Times New Roman"/>
          <w:rtl/>
          <w:lang w:eastAsia="de-DE"/>
        </w:rPr>
        <w:t xml:space="preserve"> </w:t>
      </w:r>
      <w:r w:rsidRPr="008D3E71">
        <w:rPr>
          <w:rFonts w:eastAsia="Times New Roman"/>
          <w:lang w:eastAsia="de-DE"/>
        </w:rPr>
        <w:t xml:space="preserve">– </w:t>
      </w:r>
      <w:r w:rsidRPr="008D3E71">
        <w:rPr>
          <w:rFonts w:eastAsia="Times New Roman"/>
          <w:b/>
          <w:bCs/>
          <w:rtl/>
          <w:lang w:eastAsia="de-DE"/>
        </w:rPr>
        <w:t>וְלֹא יַשְׁחִיתֶךָ</w:t>
      </w:r>
      <w:r w:rsidRPr="008D3E71">
        <w:rPr>
          <w:rFonts w:eastAsia="Times New Roman"/>
          <w:rtl/>
          <w:lang w:eastAsia="de-DE"/>
        </w:rPr>
        <w:t xml:space="preserve"> </w:t>
      </w:r>
      <w:r w:rsidRPr="008D3E71">
        <w:rPr>
          <w:rFonts w:eastAsia="Times New Roman"/>
          <w:lang w:eastAsia="de-DE"/>
        </w:rPr>
        <w:t xml:space="preserve">– </w:t>
      </w:r>
      <w:r w:rsidRPr="008D3E71">
        <w:rPr>
          <w:rFonts w:eastAsia="Times New Roman"/>
          <w:b/>
          <w:bCs/>
          <w:rtl/>
          <w:lang w:eastAsia="de-DE"/>
        </w:rPr>
        <w:t>וְלֹא יִשְׁכַּח</w:t>
      </w:r>
      <w:r w:rsidRPr="008D3E71">
        <w:rPr>
          <w:rFonts w:eastAsia="Times New Roman"/>
          <w:lang w:eastAsia="de-DE"/>
        </w:rPr>
        <w:t xml:space="preserve">) bildet einen Merismus der göttlichen Treue: </w:t>
      </w:r>
      <w:r w:rsidR="00B77E5E">
        <w:rPr>
          <w:rFonts w:eastAsia="Times New Roman"/>
          <w:lang w:eastAsia="de-DE"/>
        </w:rPr>
        <w:t>JHWH</w:t>
      </w:r>
      <w:r w:rsidRPr="008D3E71">
        <w:rPr>
          <w:rFonts w:eastAsia="Times New Roman"/>
          <w:lang w:eastAsia="de-DE"/>
        </w:rPr>
        <w:t xml:space="preserve"> wird Israel nicht fallen lassen, nicht vernichten und den Bund nicht vergessen. Das zentrale Attribut </w:t>
      </w:r>
      <w:r w:rsidRPr="008D3E71">
        <w:rPr>
          <w:rFonts w:eastAsia="Times New Roman"/>
          <w:b/>
          <w:bCs/>
          <w:rtl/>
          <w:lang w:eastAsia="de-DE"/>
        </w:rPr>
        <w:t>רַחוּם</w:t>
      </w:r>
      <w:r w:rsidRPr="008D3E71">
        <w:rPr>
          <w:rFonts w:eastAsia="Times New Roman"/>
          <w:rtl/>
          <w:lang w:eastAsia="de-DE"/>
        </w:rPr>
        <w:t xml:space="preserve"> </w:t>
      </w:r>
      <w:r w:rsidRPr="008D3E71">
        <w:rPr>
          <w:rFonts w:eastAsia="Times New Roman"/>
          <w:lang w:eastAsia="de-DE"/>
        </w:rPr>
        <w:t>(„barmherzig") ist ein Schlüsselbegriff für Gottes Gnade und bildet die theologische Grundlage für die Verheißung trotz des angekündigten Gerichts. Der Verweis auf den Väter-Bund zeigt, dass Gottes Treue älter und stärker ist als Israels Untreue.</w:t>
      </w:r>
    </w:p>
    <w:p w14:paraId="485C8B23"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Die Satzstruktur besteht aus einem kausalen nominalen Satz mit vorausgestelltem Prädikatsnomen und Subjekt mit göttlicher Erweiterung, gefolgt von drei koordinierten negierten </w:t>
      </w:r>
      <w:proofErr w:type="spellStart"/>
      <w:r w:rsidRPr="008D3E71">
        <w:rPr>
          <w:rFonts w:eastAsia="Times New Roman"/>
          <w:lang w:eastAsia="de-DE"/>
        </w:rPr>
        <w:t>Imperfektsätzen</w:t>
      </w:r>
      <w:proofErr w:type="spellEnd"/>
      <w:r w:rsidRPr="008D3E71">
        <w:rPr>
          <w:rFonts w:eastAsia="Times New Roman"/>
          <w:lang w:eastAsia="de-DE"/>
        </w:rPr>
        <w:t xml:space="preserve"> (zwei Hifil, einer Qal, alle mit direktem Objekt, der dritte in Construct-Verbindung) und einem abschließenden Relativsatz mit Nifal-Prädikat und Dativ-Objekt. Die dreifache Negation schafft eine kraftvolle Zusicherung göttlicher Bundestreue.</w:t>
      </w:r>
    </w:p>
    <w:p w14:paraId="2152972E" w14:textId="2983A038"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lastRenderedPageBreak/>
        <w:t xml:space="preserve">Der Vers begründet die Hoffnung auf Wiederherstellung mit </w:t>
      </w:r>
      <w:r w:rsidR="00ED2181">
        <w:rPr>
          <w:rFonts w:eastAsia="Times New Roman"/>
          <w:lang w:eastAsia="de-DE"/>
        </w:rPr>
        <w:t>JHWH</w:t>
      </w:r>
      <w:r w:rsidRPr="008D3E71">
        <w:rPr>
          <w:rFonts w:eastAsia="Times New Roman"/>
          <w:lang w:eastAsia="de-DE"/>
        </w:rPr>
        <w:t>s Barmherzigkeit und seiner unwiderruflichen Bundesverpflichtung gegenüber den Vätern – eine theologische Grundaussage des Deuteronomiums.</w:t>
      </w:r>
    </w:p>
    <w:p w14:paraId="787E94E7"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4,32</w:t>
      </w:r>
    </w:p>
    <w:p w14:paraId="2B234FEA"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כִּ֣י שְׁאַל־נָא֩ לְיָמִ֨ים רִֽאשֹׁנִ֜ים אֲשֶׁר־הָי֣וּ לְפָנֶ֗יךָ לְמִן־הַיּוֹם֙ אֲשֶׁ֩ר בָּרָ֨א אֱלֹהִ֤ים׀ אָדָם֙ עַל־הָאָ֔רֶץ וּלְמִקְצֵ֥ה הַשָּׁמַ֖יִם וְעַד־קְצֵ֣ה הַשָּׁמָ֑יִם הֲנִֽהְיָ֗ה כַּדָּבָ֤ר הַגָּדוֹל֙ הַזֶּ֔ה א֖וֹ הֲנִשְׁמַ֥ע כָּמֹֽהוּ׃</w:t>
      </w:r>
    </w:p>
    <w:p w14:paraId="04BD905D"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Denn frage doch nach den früheren Tagen, die vor dir gewesen sind, von dem Tag an, als Gott den Menschen auf der Erde schuf; und von einem Ende des Himmels bis zum anderen Ende des Himmels, ob geschehen ist wie diese große Sache oder ob gehört worden ist wie sie.</w:t>
      </w:r>
    </w:p>
    <w:p w14:paraId="7757F6C8"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3E46C05A">
          <v:rect id="_x0000_i1168" style="width:0;height:1.5pt" o:hralign="center" o:hrstd="t" o:hr="t" fillcolor="#a0a0a0" stroked="f"/>
        </w:pict>
      </w:r>
    </w:p>
    <w:p w14:paraId="04A33CF0"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כִּי שְׁאַל־נָא לְיָמִים רִאשֹׁנִים</w:t>
      </w:r>
      <w:r w:rsidRPr="008D3E71">
        <w:rPr>
          <w:rFonts w:eastAsia="Times New Roman"/>
          <w:rtl/>
          <w:lang w:eastAsia="de-DE"/>
        </w:rPr>
        <w:t xml:space="preserve"> </w:t>
      </w:r>
      <w:r w:rsidRPr="008D3E71">
        <w:rPr>
          <w:rFonts w:eastAsia="Times New Roman"/>
          <w:lang w:eastAsia="de-DE"/>
        </w:rPr>
        <w:t xml:space="preserve">ist ein kausaler bzw. explikativer Satz: </w:t>
      </w:r>
      <w:r w:rsidRPr="008D3E71">
        <w:rPr>
          <w:rFonts w:eastAsia="Times New Roman"/>
          <w:b/>
          <w:bCs/>
          <w:rtl/>
          <w:lang w:eastAsia="de-DE"/>
        </w:rPr>
        <w:t>כִּי</w:t>
      </w:r>
      <w:r w:rsidRPr="008D3E71">
        <w:rPr>
          <w:rFonts w:eastAsia="Times New Roman"/>
          <w:rtl/>
          <w:lang w:eastAsia="de-DE"/>
        </w:rPr>
        <w:t xml:space="preserve"> </w:t>
      </w:r>
      <w:r w:rsidRPr="008D3E71">
        <w:rPr>
          <w:rFonts w:eastAsia="Times New Roman"/>
          <w:lang w:eastAsia="de-DE"/>
        </w:rPr>
        <w:t xml:space="preserve">als Konjunktion, </w:t>
      </w:r>
      <w:r w:rsidRPr="008D3E71">
        <w:rPr>
          <w:rFonts w:eastAsia="Times New Roman"/>
          <w:b/>
          <w:bCs/>
          <w:rtl/>
          <w:lang w:eastAsia="de-DE"/>
        </w:rPr>
        <w:t>שְׁאַל</w:t>
      </w:r>
      <w:r w:rsidRPr="008D3E71">
        <w:rPr>
          <w:rFonts w:eastAsia="Times New Roman"/>
          <w:rtl/>
          <w:lang w:eastAsia="de-DE"/>
        </w:rPr>
        <w:t xml:space="preserve"> </w:t>
      </w:r>
      <w:r w:rsidRPr="008D3E71">
        <w:rPr>
          <w:rFonts w:eastAsia="Times New Roman"/>
          <w:lang w:eastAsia="de-DE"/>
        </w:rPr>
        <w:t xml:space="preserve">als Qal Imperativ, 2. Person Singular maskulin von </w:t>
      </w:r>
      <w:r w:rsidRPr="008D3E71">
        <w:rPr>
          <w:rFonts w:eastAsia="Times New Roman"/>
          <w:b/>
          <w:bCs/>
          <w:rtl/>
          <w:lang w:eastAsia="de-DE"/>
        </w:rPr>
        <w:t>שׁאל</w:t>
      </w:r>
      <w:r w:rsidRPr="008D3E71">
        <w:rPr>
          <w:rFonts w:eastAsia="Times New Roman"/>
          <w:rtl/>
          <w:lang w:eastAsia="de-DE"/>
        </w:rPr>
        <w:t xml:space="preserve"> </w:t>
      </w:r>
      <w:r w:rsidRPr="008D3E71">
        <w:rPr>
          <w:rFonts w:eastAsia="Times New Roman"/>
          <w:lang w:eastAsia="de-DE"/>
        </w:rPr>
        <w:t xml:space="preserve">(„fragen, erforschen"), </w:t>
      </w:r>
      <w:r w:rsidRPr="008D3E71">
        <w:rPr>
          <w:rFonts w:eastAsia="Times New Roman"/>
          <w:b/>
          <w:bCs/>
          <w:rtl/>
          <w:lang w:eastAsia="de-DE"/>
        </w:rPr>
        <w:t>נָא</w:t>
      </w:r>
      <w:r w:rsidRPr="008D3E71">
        <w:rPr>
          <w:rFonts w:eastAsia="Times New Roman"/>
          <w:rtl/>
          <w:lang w:eastAsia="de-DE"/>
        </w:rPr>
        <w:t xml:space="preserve"> </w:t>
      </w:r>
      <w:r w:rsidRPr="008D3E71">
        <w:rPr>
          <w:rFonts w:eastAsia="Times New Roman"/>
          <w:lang w:eastAsia="de-DE"/>
        </w:rPr>
        <w:t xml:space="preserve">als Bittpartikel („doch, bitte"), </w:t>
      </w:r>
      <w:r w:rsidRPr="008D3E71">
        <w:rPr>
          <w:rFonts w:eastAsia="Times New Roman"/>
          <w:b/>
          <w:bCs/>
          <w:rtl/>
          <w:lang w:eastAsia="de-DE"/>
        </w:rPr>
        <w:t>לְיָמִים רִאשֹׁנִים</w:t>
      </w:r>
      <w:r w:rsidRPr="008D3E71">
        <w:rPr>
          <w:rFonts w:eastAsia="Times New Roman"/>
          <w:rtl/>
          <w:lang w:eastAsia="de-DE"/>
        </w:rPr>
        <w:t xml:space="preserve"> </w:t>
      </w:r>
      <w:r w:rsidRPr="008D3E71">
        <w:rPr>
          <w:rFonts w:eastAsia="Times New Roman"/>
          <w:lang w:eastAsia="de-DE"/>
        </w:rPr>
        <w:t xml:space="preserve">als Präposition </w:t>
      </w:r>
      <w:r w:rsidRPr="008D3E71">
        <w:rPr>
          <w:rFonts w:eastAsia="Times New Roman"/>
          <w:b/>
          <w:bCs/>
          <w:rtl/>
          <w:lang w:eastAsia="de-DE"/>
        </w:rPr>
        <w:t>לְ</w:t>
      </w:r>
      <w:r w:rsidRPr="008D3E71">
        <w:rPr>
          <w:rFonts w:eastAsia="Times New Roman"/>
          <w:rtl/>
          <w:lang w:eastAsia="de-DE"/>
        </w:rPr>
        <w:t xml:space="preserve"> </w:t>
      </w:r>
      <w:r w:rsidRPr="008D3E71">
        <w:rPr>
          <w:rFonts w:eastAsia="Times New Roman"/>
          <w:lang w:eastAsia="de-DE"/>
        </w:rPr>
        <w:t xml:space="preserve">(„nach, über") mit </w:t>
      </w:r>
      <w:r w:rsidRPr="008D3E71">
        <w:rPr>
          <w:rFonts w:eastAsia="Times New Roman"/>
          <w:b/>
          <w:bCs/>
          <w:rtl/>
          <w:lang w:eastAsia="de-DE"/>
        </w:rPr>
        <w:t>יָמִים רִאשֹׁנִים</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יָמִים</w:t>
      </w:r>
      <w:r w:rsidRPr="008D3E71">
        <w:rPr>
          <w:rFonts w:eastAsia="Times New Roman"/>
          <w:lang w:eastAsia="de-DE"/>
        </w:rPr>
        <w:t xml:space="preserve">, „Tage", Plural, mit Adjektiv </w:t>
      </w:r>
      <w:r w:rsidRPr="008D3E71">
        <w:rPr>
          <w:rFonts w:eastAsia="Times New Roman"/>
          <w:b/>
          <w:bCs/>
          <w:rtl/>
          <w:lang w:eastAsia="de-DE"/>
        </w:rPr>
        <w:t>רִאשֹׁנִים</w:t>
      </w:r>
      <w:r w:rsidRPr="008D3E71">
        <w:rPr>
          <w:rFonts w:eastAsia="Times New Roman"/>
          <w:lang w:eastAsia="de-DE"/>
        </w:rPr>
        <w:t xml:space="preserve">, „frühere, erste", Plural maskulin). </w:t>
      </w:r>
      <w:r w:rsidRPr="008D3E71">
        <w:rPr>
          <w:rFonts w:eastAsia="Times New Roman"/>
          <w:b/>
          <w:bCs/>
          <w:rtl/>
          <w:lang w:eastAsia="de-DE"/>
        </w:rPr>
        <w:t>אֲשֶׁר־הָיוּ לְפָנֶיךָ</w:t>
      </w:r>
      <w:r w:rsidRPr="008D3E71">
        <w:rPr>
          <w:rFonts w:eastAsia="Times New Roman"/>
          <w:rtl/>
          <w:lang w:eastAsia="de-DE"/>
        </w:rPr>
        <w:t xml:space="preserve"> </w:t>
      </w:r>
      <w:r w:rsidRPr="008D3E71">
        <w:rPr>
          <w:rFonts w:eastAsia="Times New Roman"/>
          <w:lang w:eastAsia="de-DE"/>
        </w:rPr>
        <w:t xml:space="preserve">ist ein Relativsatz: </w:t>
      </w:r>
      <w:r w:rsidRPr="008D3E71">
        <w:rPr>
          <w:rFonts w:eastAsia="Times New Roman"/>
          <w:b/>
          <w:bCs/>
          <w:rtl/>
          <w:lang w:eastAsia="de-DE"/>
        </w:rPr>
        <w:t>אֲשֶׁר</w:t>
      </w:r>
      <w:r w:rsidRPr="008D3E71">
        <w:rPr>
          <w:rFonts w:eastAsia="Times New Roman"/>
          <w:rtl/>
          <w:lang w:eastAsia="de-DE"/>
        </w:rPr>
        <w:t xml:space="preserve"> </w:t>
      </w:r>
      <w:r w:rsidRPr="008D3E71">
        <w:rPr>
          <w:rFonts w:eastAsia="Times New Roman"/>
          <w:lang w:eastAsia="de-DE"/>
        </w:rPr>
        <w:t xml:space="preserve">als Relativpronomen, </w:t>
      </w:r>
      <w:r w:rsidRPr="008D3E71">
        <w:rPr>
          <w:rFonts w:eastAsia="Times New Roman"/>
          <w:b/>
          <w:bCs/>
          <w:rtl/>
          <w:lang w:eastAsia="de-DE"/>
        </w:rPr>
        <w:t>הָיוּ</w:t>
      </w:r>
      <w:r w:rsidRPr="008D3E71">
        <w:rPr>
          <w:rFonts w:eastAsia="Times New Roman"/>
          <w:rtl/>
          <w:lang w:eastAsia="de-DE"/>
        </w:rPr>
        <w:t xml:space="preserve"> </w:t>
      </w:r>
      <w:r w:rsidRPr="008D3E71">
        <w:rPr>
          <w:rFonts w:eastAsia="Times New Roman"/>
          <w:lang w:eastAsia="de-DE"/>
        </w:rPr>
        <w:t xml:space="preserve">als Qal Perfekt, 3. Person Plural von </w:t>
      </w:r>
      <w:r w:rsidRPr="008D3E71">
        <w:rPr>
          <w:rFonts w:eastAsia="Times New Roman"/>
          <w:b/>
          <w:bCs/>
          <w:rtl/>
          <w:lang w:eastAsia="de-DE"/>
        </w:rPr>
        <w:t>היה</w:t>
      </w:r>
      <w:r w:rsidRPr="008D3E71">
        <w:rPr>
          <w:rFonts w:eastAsia="Times New Roman"/>
          <w:lang w:eastAsia="de-DE"/>
        </w:rPr>
        <w:t xml:space="preserve">, </w:t>
      </w:r>
      <w:r w:rsidRPr="008D3E71">
        <w:rPr>
          <w:rFonts w:eastAsia="Times New Roman"/>
          <w:b/>
          <w:bCs/>
          <w:rtl/>
          <w:lang w:eastAsia="de-DE"/>
        </w:rPr>
        <w:t>לְפָנֶיךָ</w:t>
      </w:r>
      <w:r w:rsidRPr="008D3E71">
        <w:rPr>
          <w:rFonts w:eastAsia="Times New Roman"/>
          <w:rtl/>
          <w:lang w:eastAsia="de-DE"/>
        </w:rPr>
        <w:t xml:space="preserve"> </w:t>
      </w:r>
      <w:r w:rsidRPr="008D3E71">
        <w:rPr>
          <w:rFonts w:eastAsia="Times New Roman"/>
          <w:lang w:eastAsia="de-DE"/>
        </w:rPr>
        <w:t xml:space="preserve">als Präposition </w:t>
      </w:r>
      <w:r w:rsidRPr="008D3E71">
        <w:rPr>
          <w:rFonts w:eastAsia="Times New Roman"/>
          <w:b/>
          <w:bCs/>
          <w:rtl/>
          <w:lang w:eastAsia="de-DE"/>
        </w:rPr>
        <w:t>לְ</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פָּנֶה</w:t>
      </w:r>
      <w:r w:rsidRPr="008D3E71">
        <w:rPr>
          <w:rFonts w:eastAsia="Times New Roman"/>
          <w:rtl/>
          <w:lang w:eastAsia="de-DE"/>
        </w:rPr>
        <w:t xml:space="preserve"> </w:t>
      </w:r>
      <w:r w:rsidRPr="008D3E71">
        <w:rPr>
          <w:rFonts w:eastAsia="Times New Roman"/>
          <w:lang w:eastAsia="de-DE"/>
        </w:rPr>
        <w:t xml:space="preserve">(Plural von </w:t>
      </w:r>
      <w:r w:rsidRPr="008D3E71">
        <w:rPr>
          <w:rFonts w:eastAsia="Times New Roman"/>
          <w:b/>
          <w:bCs/>
          <w:rtl/>
          <w:lang w:eastAsia="de-DE"/>
        </w:rPr>
        <w:t>פָּנִים</w:t>
      </w:r>
      <w:r w:rsidRPr="008D3E71">
        <w:rPr>
          <w:rFonts w:eastAsia="Times New Roman"/>
          <w:lang w:eastAsia="de-DE"/>
        </w:rPr>
        <w:t>, „Angesicht") im Construct und Suffix 2. Person Singular maskulin („vor dir").</w:t>
      </w:r>
    </w:p>
    <w:p w14:paraId="0565746B"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לְמִן־הַיּוֹם אֲשֶׁר בָּרָא אֱלֹהִים אָדָם עַל־הָאָרֶץ</w:t>
      </w:r>
      <w:r w:rsidRPr="008D3E71">
        <w:rPr>
          <w:rFonts w:eastAsia="Times New Roman"/>
          <w:rtl/>
          <w:lang w:eastAsia="de-DE"/>
        </w:rPr>
        <w:t xml:space="preserve"> </w:t>
      </w:r>
      <w:r w:rsidRPr="008D3E71">
        <w:rPr>
          <w:rFonts w:eastAsia="Times New Roman"/>
          <w:lang w:eastAsia="de-DE"/>
        </w:rPr>
        <w:t xml:space="preserve">präzisiert den zeitlichen Rahmen: </w:t>
      </w:r>
      <w:r w:rsidRPr="008D3E71">
        <w:rPr>
          <w:rFonts w:eastAsia="Times New Roman"/>
          <w:b/>
          <w:bCs/>
          <w:rtl/>
          <w:lang w:eastAsia="de-DE"/>
        </w:rPr>
        <w:t>לְמִן־הַיּוֹם</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לְ</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מִן</w:t>
      </w:r>
      <w:r w:rsidRPr="008D3E71">
        <w:rPr>
          <w:rFonts w:eastAsia="Times New Roman"/>
          <w:lang w:eastAsia="de-DE"/>
        </w:rPr>
        <w:t xml:space="preserve">, „von... an", und </w:t>
      </w:r>
      <w:r w:rsidRPr="008D3E71">
        <w:rPr>
          <w:rFonts w:eastAsia="Times New Roman"/>
          <w:b/>
          <w:bCs/>
          <w:rtl/>
          <w:lang w:eastAsia="de-DE"/>
        </w:rPr>
        <w:t>הַיּוֹם</w:t>
      </w:r>
      <w:r w:rsidRPr="008D3E71">
        <w:rPr>
          <w:rFonts w:eastAsia="Times New Roman"/>
          <w:lang w:eastAsia="de-DE"/>
        </w:rPr>
        <w:t xml:space="preserve">, „der Tag"), </w:t>
      </w:r>
      <w:r w:rsidRPr="008D3E71">
        <w:rPr>
          <w:rFonts w:eastAsia="Times New Roman"/>
          <w:b/>
          <w:bCs/>
          <w:rtl/>
          <w:lang w:eastAsia="de-DE"/>
        </w:rPr>
        <w:t>אֲשֶׁר בָּרָא אֱלֹהִים אָדָם עַל־הָאָרֶץ</w:t>
      </w:r>
      <w:r w:rsidRPr="008D3E71">
        <w:rPr>
          <w:rFonts w:eastAsia="Times New Roman"/>
          <w:rtl/>
          <w:lang w:eastAsia="de-DE"/>
        </w:rPr>
        <w:t xml:space="preserve"> </w:t>
      </w:r>
      <w:r w:rsidRPr="008D3E71">
        <w:rPr>
          <w:rFonts w:eastAsia="Times New Roman"/>
          <w:lang w:eastAsia="de-DE"/>
        </w:rPr>
        <w:t>als Relativsatz (</w:t>
      </w:r>
      <w:r w:rsidRPr="008D3E71">
        <w:rPr>
          <w:rFonts w:eastAsia="Times New Roman"/>
          <w:b/>
          <w:bCs/>
          <w:rtl/>
          <w:lang w:eastAsia="de-DE"/>
        </w:rPr>
        <w:t>אֲשֶׁר</w:t>
      </w:r>
      <w:r w:rsidRPr="008D3E71">
        <w:rPr>
          <w:rFonts w:eastAsia="Times New Roman"/>
          <w:lang w:eastAsia="de-DE"/>
        </w:rPr>
        <w:t xml:space="preserve">, </w:t>
      </w:r>
      <w:r w:rsidRPr="008D3E71">
        <w:rPr>
          <w:rFonts w:eastAsia="Times New Roman"/>
          <w:b/>
          <w:bCs/>
          <w:rtl/>
          <w:lang w:eastAsia="de-DE"/>
        </w:rPr>
        <w:t>בָּרָא</w:t>
      </w:r>
      <w:r w:rsidRPr="008D3E71">
        <w:rPr>
          <w:rFonts w:eastAsia="Times New Roman"/>
          <w:rtl/>
          <w:lang w:eastAsia="de-DE"/>
        </w:rPr>
        <w:t xml:space="preserve"> </w:t>
      </w:r>
      <w:r w:rsidRPr="008D3E71">
        <w:rPr>
          <w:rFonts w:eastAsia="Times New Roman"/>
          <w:lang w:eastAsia="de-DE"/>
        </w:rPr>
        <w:t xml:space="preserve">als Qal Perfekt, 3. Person Singular maskulin von </w:t>
      </w:r>
      <w:r w:rsidRPr="008D3E71">
        <w:rPr>
          <w:rFonts w:eastAsia="Times New Roman"/>
          <w:b/>
          <w:bCs/>
          <w:rtl/>
          <w:lang w:eastAsia="de-DE"/>
        </w:rPr>
        <w:t>ברא</w:t>
      </w:r>
      <w:r w:rsidRPr="008D3E71">
        <w:rPr>
          <w:rFonts w:eastAsia="Times New Roman"/>
          <w:lang w:eastAsia="de-DE"/>
        </w:rPr>
        <w:t xml:space="preserve">, „erschaffen", </w:t>
      </w:r>
      <w:r w:rsidRPr="008D3E71">
        <w:rPr>
          <w:rFonts w:eastAsia="Times New Roman"/>
          <w:b/>
          <w:bCs/>
          <w:rtl/>
          <w:lang w:eastAsia="de-DE"/>
        </w:rPr>
        <w:t>אֱלֹהִים</w:t>
      </w:r>
      <w:r w:rsidRPr="008D3E71">
        <w:rPr>
          <w:rFonts w:eastAsia="Times New Roman"/>
          <w:rtl/>
          <w:lang w:eastAsia="de-DE"/>
        </w:rPr>
        <w:t xml:space="preserve"> </w:t>
      </w:r>
      <w:r w:rsidRPr="008D3E71">
        <w:rPr>
          <w:rFonts w:eastAsia="Times New Roman"/>
          <w:lang w:eastAsia="de-DE"/>
        </w:rPr>
        <w:t xml:space="preserve">als Subjekt, </w:t>
      </w:r>
      <w:r w:rsidRPr="008D3E71">
        <w:rPr>
          <w:rFonts w:eastAsia="Times New Roman"/>
          <w:b/>
          <w:bCs/>
          <w:rtl/>
          <w:lang w:eastAsia="de-DE"/>
        </w:rPr>
        <w:t>אָדָם</w:t>
      </w:r>
      <w:r w:rsidRPr="008D3E71">
        <w:rPr>
          <w:rFonts w:eastAsia="Times New Roman"/>
          <w:rtl/>
          <w:lang w:eastAsia="de-DE"/>
        </w:rPr>
        <w:t xml:space="preserve"> </w:t>
      </w:r>
      <w:r w:rsidRPr="008D3E71">
        <w:rPr>
          <w:rFonts w:eastAsia="Times New Roman"/>
          <w:lang w:eastAsia="de-DE"/>
        </w:rPr>
        <w:t xml:space="preserve">als direktes Objekt, </w:t>
      </w:r>
      <w:r w:rsidRPr="008D3E71">
        <w:rPr>
          <w:rFonts w:eastAsia="Times New Roman"/>
          <w:b/>
          <w:bCs/>
          <w:rtl/>
          <w:lang w:eastAsia="de-DE"/>
        </w:rPr>
        <w:t>עַל־הָאָרֶץ</w:t>
      </w:r>
      <w:r w:rsidRPr="008D3E71">
        <w:rPr>
          <w:rFonts w:eastAsia="Times New Roman"/>
          <w:rtl/>
          <w:lang w:eastAsia="de-DE"/>
        </w:rPr>
        <w:t xml:space="preserve"> </w:t>
      </w:r>
      <w:r w:rsidRPr="008D3E71">
        <w:rPr>
          <w:rFonts w:eastAsia="Times New Roman"/>
          <w:lang w:eastAsia="de-DE"/>
        </w:rPr>
        <w:t>als Ortsangabe) – „von dem Tag an, als Gott den Menschen auf der Erde schuf", also seit der Schöpfung.</w:t>
      </w:r>
    </w:p>
    <w:p w14:paraId="202FED50"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וּלְמִקְצֵה הַשָּׁמַיִם וְעַד־קְצֵה הַשָּׁמָיִם</w:t>
      </w:r>
      <w:r w:rsidRPr="008D3E71">
        <w:rPr>
          <w:rFonts w:eastAsia="Times New Roman"/>
          <w:rtl/>
          <w:lang w:eastAsia="de-DE"/>
        </w:rPr>
        <w:t xml:space="preserve"> </w:t>
      </w:r>
      <w:r w:rsidRPr="008D3E71">
        <w:rPr>
          <w:rFonts w:eastAsia="Times New Roman"/>
          <w:lang w:eastAsia="de-DE"/>
        </w:rPr>
        <w:t xml:space="preserve">ist eine räumliche Erweiterung: </w:t>
      </w:r>
      <w:r w:rsidRPr="008D3E71">
        <w:rPr>
          <w:rFonts w:eastAsia="Times New Roman"/>
          <w:b/>
          <w:bCs/>
          <w:rtl/>
          <w:lang w:eastAsia="de-DE"/>
        </w:rPr>
        <w:t>וּלְמִקְצֵה הַשָּׁמַיִם</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וְ</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לְ</w:t>
      </w:r>
      <w:r w:rsidRPr="008D3E71">
        <w:rPr>
          <w:rFonts w:eastAsia="Times New Roman"/>
          <w:rtl/>
          <w:lang w:eastAsia="de-DE"/>
        </w:rPr>
        <w:t xml:space="preserve"> </w:t>
      </w:r>
      <w:r w:rsidRPr="008D3E71">
        <w:rPr>
          <w:rFonts w:eastAsia="Times New Roman"/>
          <w:lang w:eastAsia="de-DE"/>
        </w:rPr>
        <w:t xml:space="preserve">und </w:t>
      </w:r>
      <w:r w:rsidRPr="008D3E71">
        <w:rPr>
          <w:rFonts w:eastAsia="Times New Roman"/>
          <w:b/>
          <w:bCs/>
          <w:rtl/>
          <w:lang w:eastAsia="de-DE"/>
        </w:rPr>
        <w:t>מִקְצֵה</w:t>
      </w:r>
      <w:r w:rsidRPr="008D3E71">
        <w:rPr>
          <w:rFonts w:eastAsia="Times New Roman"/>
          <w:lang w:eastAsia="de-DE"/>
        </w:rPr>
        <w:t xml:space="preserve">, „Ende", im Construct mit </w:t>
      </w:r>
      <w:r w:rsidRPr="008D3E71">
        <w:rPr>
          <w:rFonts w:eastAsia="Times New Roman"/>
          <w:b/>
          <w:bCs/>
          <w:rtl/>
          <w:lang w:eastAsia="de-DE"/>
        </w:rPr>
        <w:t>הַשָּׁמַיִם</w:t>
      </w:r>
      <w:r w:rsidRPr="008D3E71">
        <w:rPr>
          <w:rFonts w:eastAsia="Times New Roman"/>
          <w:lang w:eastAsia="de-DE"/>
        </w:rPr>
        <w:t xml:space="preserve">, „die Himmel", Dual) und </w:t>
      </w:r>
      <w:r w:rsidRPr="008D3E71">
        <w:rPr>
          <w:rFonts w:eastAsia="Times New Roman"/>
          <w:b/>
          <w:bCs/>
          <w:rtl/>
          <w:lang w:eastAsia="de-DE"/>
        </w:rPr>
        <w:t>וְעַד־קְצֵה הַשָּׁמָיִם</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וְ</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עַד</w:t>
      </w:r>
      <w:r w:rsidRPr="008D3E71">
        <w:rPr>
          <w:rFonts w:eastAsia="Times New Roman"/>
          <w:lang w:eastAsia="de-DE"/>
        </w:rPr>
        <w:t xml:space="preserve">, „bis", und </w:t>
      </w:r>
      <w:r w:rsidRPr="008D3E71">
        <w:rPr>
          <w:rFonts w:eastAsia="Times New Roman"/>
          <w:b/>
          <w:bCs/>
          <w:rtl/>
          <w:lang w:eastAsia="de-DE"/>
        </w:rPr>
        <w:t>קְצֵה הַשָּׁמַיִם</w:t>
      </w:r>
      <w:r w:rsidRPr="008D3E71">
        <w:rPr>
          <w:rFonts w:eastAsia="Times New Roman"/>
          <w:lang w:eastAsia="de-DE"/>
        </w:rPr>
        <w:t>) – ein Merismus für den gesamten Erdkreis bzw. die gesamte Welt.</w:t>
      </w:r>
    </w:p>
    <w:p w14:paraId="69AFD1A1"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הֲנִהְיָה כַּדָּבָר הַגָּדוֹל הַזֶּה</w:t>
      </w:r>
      <w:r w:rsidRPr="008D3E71">
        <w:rPr>
          <w:rFonts w:eastAsia="Times New Roman"/>
          <w:rtl/>
          <w:lang w:eastAsia="de-DE"/>
        </w:rPr>
        <w:t xml:space="preserve"> </w:t>
      </w:r>
      <w:r w:rsidRPr="008D3E71">
        <w:rPr>
          <w:rFonts w:eastAsia="Times New Roman"/>
          <w:lang w:eastAsia="de-DE"/>
        </w:rPr>
        <w:t xml:space="preserve">ist eine rhetorische Frage: </w:t>
      </w:r>
      <w:r w:rsidRPr="008D3E71">
        <w:rPr>
          <w:rFonts w:eastAsia="Times New Roman"/>
          <w:b/>
          <w:bCs/>
          <w:rtl/>
          <w:lang w:eastAsia="de-DE"/>
        </w:rPr>
        <w:t>הֲ</w:t>
      </w:r>
      <w:r w:rsidRPr="008D3E71">
        <w:rPr>
          <w:rFonts w:eastAsia="Times New Roman"/>
          <w:rtl/>
          <w:lang w:eastAsia="de-DE"/>
        </w:rPr>
        <w:t xml:space="preserve"> </w:t>
      </w:r>
      <w:r w:rsidRPr="008D3E71">
        <w:rPr>
          <w:rFonts w:eastAsia="Times New Roman"/>
          <w:lang w:eastAsia="de-DE"/>
        </w:rPr>
        <w:t xml:space="preserve">als Fragepartikel, </w:t>
      </w:r>
      <w:r w:rsidRPr="008D3E71">
        <w:rPr>
          <w:rFonts w:eastAsia="Times New Roman"/>
          <w:b/>
          <w:bCs/>
          <w:rtl/>
          <w:lang w:eastAsia="de-DE"/>
        </w:rPr>
        <w:t>נִהְיָה</w:t>
      </w:r>
      <w:r w:rsidRPr="008D3E71">
        <w:rPr>
          <w:rFonts w:eastAsia="Times New Roman"/>
          <w:rtl/>
          <w:lang w:eastAsia="de-DE"/>
        </w:rPr>
        <w:t xml:space="preserve"> </w:t>
      </w:r>
      <w:r w:rsidRPr="008D3E71">
        <w:rPr>
          <w:rFonts w:eastAsia="Times New Roman"/>
          <w:lang w:eastAsia="de-DE"/>
        </w:rPr>
        <w:t xml:space="preserve">als Nifal Perfekt, 3. Person Singular maskulin von </w:t>
      </w:r>
      <w:r w:rsidRPr="008D3E71">
        <w:rPr>
          <w:rFonts w:eastAsia="Times New Roman"/>
          <w:b/>
          <w:bCs/>
          <w:rtl/>
          <w:lang w:eastAsia="de-DE"/>
        </w:rPr>
        <w:t>היה</w:t>
      </w:r>
      <w:r w:rsidRPr="008D3E71">
        <w:rPr>
          <w:rFonts w:eastAsia="Times New Roman"/>
          <w:rtl/>
          <w:lang w:eastAsia="de-DE"/>
        </w:rPr>
        <w:t xml:space="preserve"> </w:t>
      </w:r>
      <w:r w:rsidRPr="008D3E71">
        <w:rPr>
          <w:rFonts w:eastAsia="Times New Roman"/>
          <w:lang w:eastAsia="de-DE"/>
        </w:rPr>
        <w:t xml:space="preserve">(„geschehen, werden"), </w:t>
      </w:r>
      <w:r w:rsidRPr="008D3E71">
        <w:rPr>
          <w:rFonts w:eastAsia="Times New Roman"/>
          <w:b/>
          <w:bCs/>
          <w:rtl/>
          <w:lang w:eastAsia="de-DE"/>
        </w:rPr>
        <w:t>כַּדָּבָר הַגָּדוֹל הַזֶּה</w:t>
      </w:r>
      <w:r w:rsidRPr="008D3E71">
        <w:rPr>
          <w:rFonts w:eastAsia="Times New Roman"/>
          <w:rtl/>
          <w:lang w:eastAsia="de-DE"/>
        </w:rPr>
        <w:t xml:space="preserve"> </w:t>
      </w:r>
      <w:r w:rsidRPr="008D3E71">
        <w:rPr>
          <w:rFonts w:eastAsia="Times New Roman"/>
          <w:lang w:eastAsia="de-DE"/>
        </w:rPr>
        <w:t>als Vergleichskonstruktion (</w:t>
      </w:r>
      <w:r w:rsidRPr="008D3E71">
        <w:rPr>
          <w:rFonts w:eastAsia="Times New Roman"/>
          <w:b/>
          <w:bCs/>
          <w:rtl/>
          <w:lang w:eastAsia="de-DE"/>
        </w:rPr>
        <w:t>כְּ</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דָּבָר</w:t>
      </w:r>
      <w:r w:rsidRPr="008D3E71">
        <w:rPr>
          <w:rFonts w:eastAsia="Times New Roman"/>
          <w:lang w:eastAsia="de-DE"/>
        </w:rPr>
        <w:t xml:space="preserve">, „Sache, Wort", Adjektiv </w:t>
      </w:r>
      <w:r w:rsidRPr="008D3E71">
        <w:rPr>
          <w:rFonts w:eastAsia="Times New Roman"/>
          <w:b/>
          <w:bCs/>
          <w:rtl/>
          <w:lang w:eastAsia="de-DE"/>
        </w:rPr>
        <w:t>הַגָּדוֹל</w:t>
      </w:r>
      <w:r w:rsidRPr="008D3E71">
        <w:rPr>
          <w:rFonts w:eastAsia="Times New Roman"/>
          <w:lang w:eastAsia="de-DE"/>
        </w:rPr>
        <w:t xml:space="preserve">, „groß", und Demonstrativpronomen </w:t>
      </w:r>
      <w:r w:rsidRPr="008D3E71">
        <w:rPr>
          <w:rFonts w:eastAsia="Times New Roman"/>
          <w:b/>
          <w:bCs/>
          <w:rtl/>
          <w:lang w:eastAsia="de-DE"/>
        </w:rPr>
        <w:t>הַזֶּה</w:t>
      </w:r>
      <w:r w:rsidRPr="008D3E71">
        <w:rPr>
          <w:rFonts w:eastAsia="Times New Roman"/>
          <w:lang w:eastAsia="de-DE"/>
        </w:rPr>
        <w:t xml:space="preserve">). </w:t>
      </w:r>
      <w:r w:rsidRPr="008D3E71">
        <w:rPr>
          <w:rFonts w:eastAsia="Times New Roman"/>
          <w:b/>
          <w:bCs/>
          <w:rtl/>
          <w:lang w:eastAsia="de-DE"/>
        </w:rPr>
        <w:t>אוֹ הֲנִשְׁמַע כָּמֹהוּ</w:t>
      </w:r>
      <w:r w:rsidRPr="008D3E71">
        <w:rPr>
          <w:rFonts w:eastAsia="Times New Roman"/>
          <w:rtl/>
          <w:lang w:eastAsia="de-DE"/>
        </w:rPr>
        <w:t xml:space="preserve"> </w:t>
      </w:r>
      <w:r w:rsidRPr="008D3E71">
        <w:rPr>
          <w:rFonts w:eastAsia="Times New Roman"/>
          <w:lang w:eastAsia="de-DE"/>
        </w:rPr>
        <w:t xml:space="preserve">ist eine alternative rhetorische Frage: </w:t>
      </w:r>
      <w:r w:rsidRPr="008D3E71">
        <w:rPr>
          <w:rFonts w:eastAsia="Times New Roman"/>
          <w:b/>
          <w:bCs/>
          <w:rtl/>
          <w:lang w:eastAsia="de-DE"/>
        </w:rPr>
        <w:t>אוֹ</w:t>
      </w:r>
      <w:r w:rsidRPr="008D3E71">
        <w:rPr>
          <w:rFonts w:eastAsia="Times New Roman"/>
          <w:rtl/>
          <w:lang w:eastAsia="de-DE"/>
        </w:rPr>
        <w:t xml:space="preserve"> </w:t>
      </w:r>
      <w:r w:rsidRPr="008D3E71">
        <w:rPr>
          <w:rFonts w:eastAsia="Times New Roman"/>
          <w:lang w:eastAsia="de-DE"/>
        </w:rPr>
        <w:t xml:space="preserve">(„oder"), </w:t>
      </w:r>
      <w:r w:rsidRPr="008D3E71">
        <w:rPr>
          <w:rFonts w:eastAsia="Times New Roman"/>
          <w:b/>
          <w:bCs/>
          <w:rtl/>
          <w:lang w:eastAsia="de-DE"/>
        </w:rPr>
        <w:t>הֲ</w:t>
      </w:r>
      <w:r w:rsidRPr="008D3E71">
        <w:rPr>
          <w:rFonts w:eastAsia="Times New Roman"/>
          <w:rtl/>
          <w:lang w:eastAsia="de-DE"/>
        </w:rPr>
        <w:t xml:space="preserve"> </w:t>
      </w:r>
      <w:r w:rsidRPr="008D3E71">
        <w:rPr>
          <w:rFonts w:eastAsia="Times New Roman"/>
          <w:lang w:eastAsia="de-DE"/>
        </w:rPr>
        <w:t xml:space="preserve">als Fragepartikel, </w:t>
      </w:r>
      <w:r w:rsidRPr="008D3E71">
        <w:rPr>
          <w:rFonts w:eastAsia="Times New Roman"/>
          <w:b/>
          <w:bCs/>
          <w:rtl/>
          <w:lang w:eastAsia="de-DE"/>
        </w:rPr>
        <w:t>נִשְׁמַע</w:t>
      </w:r>
      <w:r w:rsidRPr="008D3E71">
        <w:rPr>
          <w:rFonts w:eastAsia="Times New Roman"/>
          <w:rtl/>
          <w:lang w:eastAsia="de-DE"/>
        </w:rPr>
        <w:t xml:space="preserve"> </w:t>
      </w:r>
      <w:r w:rsidRPr="008D3E71">
        <w:rPr>
          <w:rFonts w:eastAsia="Times New Roman"/>
          <w:lang w:eastAsia="de-DE"/>
        </w:rPr>
        <w:t xml:space="preserve">als Nifal Perfekt, 3. Person Singular maskulin von </w:t>
      </w:r>
      <w:r w:rsidRPr="008D3E71">
        <w:rPr>
          <w:rFonts w:eastAsia="Times New Roman"/>
          <w:b/>
          <w:bCs/>
          <w:rtl/>
          <w:lang w:eastAsia="de-DE"/>
        </w:rPr>
        <w:t>שׁמע</w:t>
      </w:r>
      <w:r w:rsidRPr="008D3E71">
        <w:rPr>
          <w:rFonts w:eastAsia="Times New Roman"/>
          <w:rtl/>
          <w:lang w:eastAsia="de-DE"/>
        </w:rPr>
        <w:t xml:space="preserve"> </w:t>
      </w:r>
      <w:r w:rsidRPr="008D3E71">
        <w:rPr>
          <w:rFonts w:eastAsia="Times New Roman"/>
          <w:lang w:eastAsia="de-DE"/>
        </w:rPr>
        <w:t xml:space="preserve">(„gehört werden"), </w:t>
      </w:r>
      <w:r w:rsidRPr="008D3E71">
        <w:rPr>
          <w:rFonts w:eastAsia="Times New Roman"/>
          <w:b/>
          <w:bCs/>
          <w:rtl/>
          <w:lang w:eastAsia="de-DE"/>
        </w:rPr>
        <w:t>כָּמֹהוּ</w:t>
      </w:r>
      <w:r w:rsidRPr="008D3E71">
        <w:rPr>
          <w:rFonts w:eastAsia="Times New Roman"/>
          <w:rtl/>
          <w:lang w:eastAsia="de-DE"/>
        </w:rPr>
        <w:t xml:space="preserve"> </w:t>
      </w:r>
      <w:r w:rsidRPr="008D3E71">
        <w:rPr>
          <w:rFonts w:eastAsia="Times New Roman"/>
          <w:lang w:eastAsia="de-DE"/>
        </w:rPr>
        <w:t xml:space="preserve">als Präposition </w:t>
      </w:r>
      <w:r w:rsidRPr="008D3E71">
        <w:rPr>
          <w:rFonts w:eastAsia="Times New Roman"/>
          <w:b/>
          <w:bCs/>
          <w:rtl/>
          <w:lang w:eastAsia="de-DE"/>
        </w:rPr>
        <w:t>כְּ</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מוֹ</w:t>
      </w:r>
      <w:r w:rsidRPr="008D3E71">
        <w:rPr>
          <w:rFonts w:eastAsia="Times New Roman"/>
          <w:rtl/>
          <w:lang w:eastAsia="de-DE"/>
        </w:rPr>
        <w:t xml:space="preserve"> </w:t>
      </w:r>
      <w:r w:rsidRPr="008D3E71">
        <w:rPr>
          <w:rFonts w:eastAsia="Times New Roman"/>
          <w:lang w:eastAsia="de-DE"/>
        </w:rPr>
        <w:t>und Suffix 3. Person Singular maskulin („wie es, wie diese").</w:t>
      </w:r>
    </w:p>
    <w:p w14:paraId="1909F6D7"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rhetorischen Fragen erwarten die Antwort „nein" – nichts Vergleichbares ist je geschehen oder gehört worden. Die Erstreckung der Frage über die gesamte Geschichte (seit der Schöpfung) und den gesamten Raum (von einem Ende des Himmels zum anderen) unterstreicht die absolute Einzigartigkeit der Israel zuteil gewordenen Offenbarung.</w:t>
      </w:r>
    </w:p>
    <w:p w14:paraId="2E4F586B"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lastRenderedPageBreak/>
        <w:t>Die Satzstruktur besteht aus einem Imperativ mit Bittpartikel und präpositionalem Objekt mit attributivem Adjektiv und Relativsatz, einer zeitlichen Präzisierung mit Präposition und Relativsatz (mit Perfekt-Prädikat, Subjekt, direktem Objekt und Ortsangabe), einer räumlichen Erweiterung als Merismus mit zwei koordinierten Präpositionalphrasen, und zwei koordinierten rhetorischen Fragen (beide mit Nifal-Perfekt und Vergleichskonstruktion). Die universale räumliche und zeitliche Dimension unterstreicht die Unvergleichlichkeit der Sinai-Offenbarung.</w:t>
      </w:r>
    </w:p>
    <w:p w14:paraId="34FFD132"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Der Vers fordert zu einer universalen Untersuchung auf: Hat je in der gesamten Menschheitsgeschichte und über den ganzen Erdkreis hinweg etwas Vergleichbares stattgefunden wie Israels Gotteserfahrung?</w:t>
      </w:r>
    </w:p>
    <w:p w14:paraId="55093A36"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4,33</w:t>
      </w:r>
    </w:p>
    <w:p w14:paraId="5E0B1BA8"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הֲשָׁ֣מַֽע עָם֩ ק֨וֹל אֱלֹהִ֜ים מְדַבֵּ֧ר מִתּוֹךְ־הָאֵ֛שׁ כַּאֲשֶׁר־שָׁמַ֥עְתָּ אַתָּ֖ה וַיֶּֽחִי׃</w:t>
      </w:r>
    </w:p>
    <w:p w14:paraId="6B30E767"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Hat je ein Volk die Stimme Gottes redend gehört mitten aus dem Feuer, wie du sie gehört hast, und ist am Leben geblieben?</w:t>
      </w:r>
    </w:p>
    <w:p w14:paraId="4E2A3F6C"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3B4E126A">
          <v:rect id="_x0000_i1169" style="width:0;height:1.5pt" o:hralign="center" o:hrstd="t" o:hr="t" fillcolor="#a0a0a0" stroked="f"/>
        </w:pict>
      </w:r>
    </w:p>
    <w:p w14:paraId="45CFE661"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הֲשָׁמַע עָם</w:t>
      </w:r>
      <w:r w:rsidRPr="008D3E71">
        <w:rPr>
          <w:rFonts w:eastAsia="Times New Roman"/>
          <w:rtl/>
          <w:lang w:eastAsia="de-DE"/>
        </w:rPr>
        <w:t xml:space="preserve"> </w:t>
      </w:r>
      <w:r w:rsidRPr="008D3E71">
        <w:rPr>
          <w:rFonts w:eastAsia="Times New Roman"/>
          <w:lang w:eastAsia="de-DE"/>
        </w:rPr>
        <w:t xml:space="preserve">ist eine rhetorische Frage: </w:t>
      </w:r>
      <w:r w:rsidRPr="008D3E71">
        <w:rPr>
          <w:rFonts w:eastAsia="Times New Roman"/>
          <w:b/>
          <w:bCs/>
          <w:rtl/>
          <w:lang w:eastAsia="de-DE"/>
        </w:rPr>
        <w:t>הֲ</w:t>
      </w:r>
      <w:r w:rsidRPr="008D3E71">
        <w:rPr>
          <w:rFonts w:eastAsia="Times New Roman"/>
          <w:rtl/>
          <w:lang w:eastAsia="de-DE"/>
        </w:rPr>
        <w:t xml:space="preserve"> </w:t>
      </w:r>
      <w:r w:rsidRPr="008D3E71">
        <w:rPr>
          <w:rFonts w:eastAsia="Times New Roman"/>
          <w:lang w:eastAsia="de-DE"/>
        </w:rPr>
        <w:t xml:space="preserve">als Fragepartikel, </w:t>
      </w:r>
      <w:r w:rsidRPr="008D3E71">
        <w:rPr>
          <w:rFonts w:eastAsia="Times New Roman"/>
          <w:b/>
          <w:bCs/>
          <w:rtl/>
          <w:lang w:eastAsia="de-DE"/>
        </w:rPr>
        <w:t>שָׁמַע</w:t>
      </w:r>
      <w:r w:rsidRPr="008D3E71">
        <w:rPr>
          <w:rFonts w:eastAsia="Times New Roman"/>
          <w:rtl/>
          <w:lang w:eastAsia="de-DE"/>
        </w:rPr>
        <w:t xml:space="preserve"> </w:t>
      </w:r>
      <w:r w:rsidRPr="008D3E71">
        <w:rPr>
          <w:rFonts w:eastAsia="Times New Roman"/>
          <w:lang w:eastAsia="de-DE"/>
        </w:rPr>
        <w:t xml:space="preserve">als Qal Perfekt, 3. Person Singular maskulin von </w:t>
      </w:r>
      <w:r w:rsidRPr="008D3E71">
        <w:rPr>
          <w:rFonts w:eastAsia="Times New Roman"/>
          <w:b/>
          <w:bCs/>
          <w:rtl/>
          <w:lang w:eastAsia="de-DE"/>
        </w:rPr>
        <w:t>שׁמע</w:t>
      </w:r>
      <w:r w:rsidRPr="008D3E71">
        <w:rPr>
          <w:rFonts w:eastAsia="Times New Roman"/>
          <w:rtl/>
          <w:lang w:eastAsia="de-DE"/>
        </w:rPr>
        <w:t xml:space="preserve"> </w:t>
      </w:r>
      <w:r w:rsidRPr="008D3E71">
        <w:rPr>
          <w:rFonts w:eastAsia="Times New Roman"/>
          <w:lang w:eastAsia="de-DE"/>
        </w:rPr>
        <w:t xml:space="preserve">(„hören"), </w:t>
      </w:r>
      <w:r w:rsidRPr="008D3E71">
        <w:rPr>
          <w:rFonts w:eastAsia="Times New Roman"/>
          <w:b/>
          <w:bCs/>
          <w:rtl/>
          <w:lang w:eastAsia="de-DE"/>
        </w:rPr>
        <w:t>עָם</w:t>
      </w:r>
      <w:r w:rsidRPr="008D3E71">
        <w:rPr>
          <w:rFonts w:eastAsia="Times New Roman"/>
          <w:rtl/>
          <w:lang w:eastAsia="de-DE"/>
        </w:rPr>
        <w:t xml:space="preserve"> </w:t>
      </w:r>
      <w:r w:rsidRPr="008D3E71">
        <w:rPr>
          <w:rFonts w:eastAsia="Times New Roman"/>
          <w:lang w:eastAsia="de-DE"/>
        </w:rPr>
        <w:t xml:space="preserve">(„Volk") als Subjekt. </w:t>
      </w:r>
      <w:r w:rsidRPr="008D3E71">
        <w:rPr>
          <w:rFonts w:eastAsia="Times New Roman"/>
          <w:b/>
          <w:bCs/>
          <w:rtl/>
          <w:lang w:eastAsia="de-DE"/>
        </w:rPr>
        <w:t>קוֹל אֱלֹהִים מְדַבֵּר מִתּוֹךְ־הָאֵשׁ</w:t>
      </w:r>
      <w:r w:rsidRPr="008D3E71">
        <w:rPr>
          <w:rFonts w:eastAsia="Times New Roman"/>
          <w:rtl/>
          <w:lang w:eastAsia="de-DE"/>
        </w:rPr>
        <w:t xml:space="preserve"> </w:t>
      </w:r>
      <w:r w:rsidRPr="008D3E71">
        <w:rPr>
          <w:rFonts w:eastAsia="Times New Roman"/>
          <w:lang w:eastAsia="de-DE"/>
        </w:rPr>
        <w:t xml:space="preserve">ist das direkte Objekt: </w:t>
      </w:r>
      <w:r w:rsidRPr="008D3E71">
        <w:rPr>
          <w:rFonts w:eastAsia="Times New Roman"/>
          <w:b/>
          <w:bCs/>
          <w:rtl/>
          <w:lang w:eastAsia="de-DE"/>
        </w:rPr>
        <w:t>קוֹל אֱלֹהִים</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קוֹל</w:t>
      </w:r>
      <w:r w:rsidRPr="008D3E71">
        <w:rPr>
          <w:rFonts w:eastAsia="Times New Roman"/>
          <w:lang w:eastAsia="de-DE"/>
        </w:rPr>
        <w:t xml:space="preserve">, „Stimme", im Construct mit </w:t>
      </w:r>
      <w:r w:rsidRPr="008D3E71">
        <w:rPr>
          <w:rFonts w:eastAsia="Times New Roman"/>
          <w:b/>
          <w:bCs/>
          <w:rtl/>
          <w:lang w:eastAsia="de-DE"/>
        </w:rPr>
        <w:t>אֱלֹהִים</w:t>
      </w:r>
      <w:r w:rsidRPr="008D3E71">
        <w:rPr>
          <w:rFonts w:eastAsia="Times New Roman"/>
          <w:lang w:eastAsia="de-DE"/>
        </w:rPr>
        <w:t xml:space="preserve">, „Gott"), </w:t>
      </w:r>
      <w:r w:rsidRPr="008D3E71">
        <w:rPr>
          <w:rFonts w:eastAsia="Times New Roman"/>
          <w:b/>
          <w:bCs/>
          <w:rtl/>
          <w:lang w:eastAsia="de-DE"/>
        </w:rPr>
        <w:t>מְדַבֵּר</w:t>
      </w:r>
      <w:r w:rsidRPr="008D3E71">
        <w:rPr>
          <w:rFonts w:eastAsia="Times New Roman"/>
          <w:rtl/>
          <w:lang w:eastAsia="de-DE"/>
        </w:rPr>
        <w:t xml:space="preserve"> </w:t>
      </w:r>
      <w:r w:rsidRPr="008D3E71">
        <w:rPr>
          <w:rFonts w:eastAsia="Times New Roman"/>
          <w:lang w:eastAsia="de-DE"/>
        </w:rPr>
        <w:t xml:space="preserve">als Piel Partizip Singular maskulin von </w:t>
      </w:r>
      <w:r w:rsidRPr="008D3E71">
        <w:rPr>
          <w:rFonts w:eastAsia="Times New Roman"/>
          <w:b/>
          <w:bCs/>
          <w:rtl/>
          <w:lang w:eastAsia="de-DE"/>
        </w:rPr>
        <w:t>דבר</w:t>
      </w:r>
      <w:r w:rsidRPr="008D3E71">
        <w:rPr>
          <w:rFonts w:eastAsia="Times New Roman"/>
          <w:rtl/>
          <w:lang w:eastAsia="de-DE"/>
        </w:rPr>
        <w:t xml:space="preserve"> </w:t>
      </w:r>
      <w:r w:rsidRPr="008D3E71">
        <w:rPr>
          <w:rFonts w:eastAsia="Times New Roman"/>
          <w:lang w:eastAsia="de-DE"/>
        </w:rPr>
        <w:t xml:space="preserve">(„reden, sprechen") – attributiv zu </w:t>
      </w:r>
      <w:r w:rsidRPr="008D3E71">
        <w:rPr>
          <w:rFonts w:eastAsia="Times New Roman"/>
          <w:b/>
          <w:bCs/>
          <w:rtl/>
          <w:lang w:eastAsia="de-DE"/>
        </w:rPr>
        <w:t>קוֹל אֱלֹהִים</w:t>
      </w:r>
      <w:r w:rsidRPr="008D3E71">
        <w:rPr>
          <w:rFonts w:eastAsia="Times New Roman"/>
          <w:lang w:eastAsia="de-DE"/>
        </w:rPr>
        <w:t xml:space="preserve">, </w:t>
      </w:r>
      <w:r w:rsidRPr="008D3E71">
        <w:rPr>
          <w:rFonts w:eastAsia="Times New Roman"/>
          <w:b/>
          <w:bCs/>
          <w:rtl/>
          <w:lang w:eastAsia="de-DE"/>
        </w:rPr>
        <w:t>מִתּוֹךְ־הָאֵשׁ</w:t>
      </w:r>
      <w:r w:rsidRPr="008D3E71">
        <w:rPr>
          <w:rFonts w:eastAsia="Times New Roman"/>
          <w:rtl/>
          <w:lang w:eastAsia="de-DE"/>
        </w:rPr>
        <w:t xml:space="preserve"> </w:t>
      </w:r>
      <w:r w:rsidRPr="008D3E71">
        <w:rPr>
          <w:rFonts w:eastAsia="Times New Roman"/>
          <w:lang w:eastAsia="de-DE"/>
        </w:rPr>
        <w:t>als Herkunftsangabe (</w:t>
      </w:r>
      <w:r w:rsidRPr="008D3E71">
        <w:rPr>
          <w:rFonts w:eastAsia="Times New Roman"/>
          <w:b/>
          <w:bCs/>
          <w:rtl/>
          <w:lang w:eastAsia="de-DE"/>
        </w:rPr>
        <w:t>מִן</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תּוֹךְ</w:t>
      </w:r>
      <w:r w:rsidRPr="008D3E71">
        <w:rPr>
          <w:rFonts w:eastAsia="Times New Roman"/>
          <w:rtl/>
          <w:lang w:eastAsia="de-DE"/>
        </w:rPr>
        <w:t xml:space="preserve"> </w:t>
      </w:r>
      <w:r w:rsidRPr="008D3E71">
        <w:rPr>
          <w:rFonts w:eastAsia="Times New Roman"/>
          <w:lang w:eastAsia="de-DE"/>
        </w:rPr>
        <w:t xml:space="preserve">im Construct und </w:t>
      </w:r>
      <w:r w:rsidRPr="008D3E71">
        <w:rPr>
          <w:rFonts w:eastAsia="Times New Roman"/>
          <w:b/>
          <w:bCs/>
          <w:rtl/>
          <w:lang w:eastAsia="de-DE"/>
        </w:rPr>
        <w:t>הָאֵשׁ</w:t>
      </w:r>
      <w:r w:rsidRPr="008D3E71">
        <w:rPr>
          <w:rFonts w:eastAsia="Times New Roman"/>
          <w:lang w:eastAsia="de-DE"/>
        </w:rPr>
        <w:t>).</w:t>
      </w:r>
    </w:p>
    <w:p w14:paraId="53C5F067" w14:textId="1DBCD241"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כַּאֲשֶׁר־שָׁמַעְתָּ אַתָּה</w:t>
      </w:r>
      <w:r w:rsidRPr="008D3E71">
        <w:rPr>
          <w:rFonts w:eastAsia="Times New Roman"/>
          <w:rtl/>
          <w:lang w:eastAsia="de-DE"/>
        </w:rPr>
        <w:t xml:space="preserve"> </w:t>
      </w:r>
      <w:r w:rsidRPr="008D3E71">
        <w:rPr>
          <w:rFonts w:eastAsia="Times New Roman"/>
          <w:lang w:eastAsia="de-DE"/>
        </w:rPr>
        <w:t xml:space="preserve">ist ein Vergleichssatz: </w:t>
      </w:r>
      <w:r w:rsidRPr="008D3E71">
        <w:rPr>
          <w:rFonts w:eastAsia="Times New Roman"/>
          <w:b/>
          <w:bCs/>
          <w:rtl/>
          <w:lang w:eastAsia="de-DE"/>
        </w:rPr>
        <w:t>כַּאֲשֶׁר</w:t>
      </w:r>
      <w:r w:rsidRPr="008D3E71">
        <w:rPr>
          <w:rFonts w:eastAsia="Times New Roman"/>
          <w:rtl/>
          <w:lang w:eastAsia="de-DE"/>
        </w:rPr>
        <w:t xml:space="preserve"> </w:t>
      </w:r>
      <w:r w:rsidR="00D84597">
        <w:rPr>
          <w:rFonts w:eastAsia="Times New Roman"/>
          <w:lang w:eastAsia="de-DE"/>
        </w:rPr>
        <w:t>(„wie, sowie“)</w:t>
      </w:r>
      <w:r w:rsidRPr="008D3E71">
        <w:rPr>
          <w:rFonts w:eastAsia="Times New Roman"/>
          <w:lang w:eastAsia="de-DE"/>
        </w:rPr>
        <w:t xml:space="preserve">, </w:t>
      </w:r>
      <w:r w:rsidRPr="008D3E71">
        <w:rPr>
          <w:rFonts w:eastAsia="Times New Roman"/>
          <w:b/>
          <w:bCs/>
          <w:rtl/>
          <w:lang w:eastAsia="de-DE"/>
        </w:rPr>
        <w:t>שָׁמַעְתָּ</w:t>
      </w:r>
      <w:r w:rsidRPr="008D3E71">
        <w:rPr>
          <w:rFonts w:eastAsia="Times New Roman"/>
          <w:rtl/>
          <w:lang w:eastAsia="de-DE"/>
        </w:rPr>
        <w:t xml:space="preserve"> </w:t>
      </w:r>
      <w:r w:rsidRPr="008D3E71">
        <w:rPr>
          <w:rFonts w:eastAsia="Times New Roman"/>
          <w:lang w:eastAsia="de-DE"/>
        </w:rPr>
        <w:t xml:space="preserve">als Qal Perfekt, 2. Person Singular maskulin von </w:t>
      </w:r>
      <w:r w:rsidRPr="008D3E71">
        <w:rPr>
          <w:rFonts w:eastAsia="Times New Roman"/>
          <w:b/>
          <w:bCs/>
          <w:rtl/>
          <w:lang w:eastAsia="de-DE"/>
        </w:rPr>
        <w:t>שׁמע</w:t>
      </w:r>
      <w:r w:rsidRPr="008D3E71">
        <w:rPr>
          <w:rFonts w:eastAsia="Times New Roman"/>
          <w:lang w:eastAsia="de-DE"/>
        </w:rPr>
        <w:t xml:space="preserve">, </w:t>
      </w:r>
      <w:r w:rsidRPr="008D3E71">
        <w:rPr>
          <w:rFonts w:eastAsia="Times New Roman"/>
          <w:b/>
          <w:bCs/>
          <w:rtl/>
          <w:lang w:eastAsia="de-DE"/>
        </w:rPr>
        <w:t>אַתָּה</w:t>
      </w:r>
      <w:r w:rsidRPr="008D3E71">
        <w:rPr>
          <w:rFonts w:eastAsia="Times New Roman"/>
          <w:rtl/>
          <w:lang w:eastAsia="de-DE"/>
        </w:rPr>
        <w:t xml:space="preserve"> </w:t>
      </w:r>
      <w:r w:rsidRPr="008D3E71">
        <w:rPr>
          <w:rFonts w:eastAsia="Times New Roman"/>
          <w:lang w:eastAsia="de-DE"/>
        </w:rPr>
        <w:t xml:space="preserve">als emphatisches Pronomen („du selbst"). </w:t>
      </w:r>
      <w:r w:rsidRPr="008D3E71">
        <w:rPr>
          <w:rFonts w:eastAsia="Times New Roman"/>
          <w:b/>
          <w:bCs/>
          <w:rtl/>
          <w:lang w:eastAsia="de-DE"/>
        </w:rPr>
        <w:t>וַיֶּחִי</w:t>
      </w:r>
      <w:r w:rsidRPr="008D3E71">
        <w:rPr>
          <w:rFonts w:eastAsia="Times New Roman"/>
          <w:rtl/>
          <w:lang w:eastAsia="de-DE"/>
        </w:rPr>
        <w:t xml:space="preserve"> </w:t>
      </w:r>
      <w:r w:rsidRPr="008D3E71">
        <w:rPr>
          <w:rFonts w:eastAsia="Times New Roman"/>
          <w:lang w:eastAsia="de-DE"/>
        </w:rPr>
        <w:t xml:space="preserve">ist Qal Imperfekt consecutivum, 3. Person Singular maskulin von </w:t>
      </w:r>
      <w:r w:rsidRPr="008D3E71">
        <w:rPr>
          <w:rFonts w:eastAsia="Times New Roman"/>
          <w:b/>
          <w:bCs/>
          <w:rtl/>
          <w:lang w:eastAsia="de-DE"/>
        </w:rPr>
        <w:t>חיה</w:t>
      </w:r>
      <w:r w:rsidRPr="008D3E71">
        <w:rPr>
          <w:rFonts w:eastAsia="Times New Roman"/>
          <w:rtl/>
          <w:lang w:eastAsia="de-DE"/>
        </w:rPr>
        <w:t xml:space="preserve"> </w:t>
      </w:r>
      <w:r w:rsidRPr="008D3E71">
        <w:rPr>
          <w:rFonts w:eastAsia="Times New Roman"/>
          <w:lang w:eastAsia="de-DE"/>
        </w:rPr>
        <w:t>(„leben, am Leben bleiben") mit Waw – hier konsekutiv „und er/es blieb am Leben". Das Subjekt (</w:t>
      </w:r>
      <w:r w:rsidRPr="008D3E71">
        <w:rPr>
          <w:rFonts w:eastAsia="Times New Roman"/>
          <w:b/>
          <w:bCs/>
          <w:rtl/>
          <w:lang w:eastAsia="de-DE"/>
        </w:rPr>
        <w:t>עָם</w:t>
      </w:r>
      <w:r w:rsidRPr="008D3E71">
        <w:rPr>
          <w:rFonts w:eastAsia="Times New Roman"/>
          <w:lang w:eastAsia="de-DE"/>
        </w:rPr>
        <w:t>) ist aus dem Kontext zu erschließen.</w:t>
      </w:r>
    </w:p>
    <w:p w14:paraId="6BA47F19"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Die rhetorische Frage erwartet die Antwort „nein". Die Einzigartigkeit der Sinai-Offenbarung liegt in zwei Aspekten: (1) das Hören der göttlichen Stimme mitten aus dem Feuer, und (2) das Überleben dieser Erfahrung. Im antiken Denken führte die direkte Gottesbegegnung normalerweise zum Tod (vgl. Ex 33,20; Ri 6,22-23; 13,22). Das </w:t>
      </w:r>
      <w:r w:rsidRPr="008D3E71">
        <w:rPr>
          <w:rFonts w:eastAsia="Times New Roman"/>
          <w:b/>
          <w:bCs/>
          <w:rtl/>
          <w:lang w:eastAsia="de-DE"/>
        </w:rPr>
        <w:t>וַיֶּחִי</w:t>
      </w:r>
      <w:r w:rsidRPr="008D3E71">
        <w:rPr>
          <w:rFonts w:eastAsia="Times New Roman"/>
          <w:rtl/>
          <w:lang w:eastAsia="de-DE"/>
        </w:rPr>
        <w:t xml:space="preserve"> </w:t>
      </w:r>
      <w:r w:rsidRPr="008D3E71">
        <w:rPr>
          <w:rFonts w:eastAsia="Times New Roman"/>
          <w:lang w:eastAsia="de-DE"/>
        </w:rPr>
        <w:t>am Ende des Verses betont das Wunder des Überlebens.</w:t>
      </w:r>
    </w:p>
    <w:p w14:paraId="20ACE090"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Satzstruktur ist eine rhetorische Frage mit Prädikat und Subjekt, direktem Objekt in komplexer Construct-Verbindung mit partizipialem Attribut und Herkunftsangabe, einem Vergleichssatz mit Prädikat und emphatischem Pronomen, und einem konsekutiven Verb, das die überraschende Folge ausdrückt. Die Struktur unterstreicht das doppelte Wunder: das Hören der göttlichen Stimme und das Überleben.</w:t>
      </w:r>
    </w:p>
    <w:p w14:paraId="232FBF2B"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lastRenderedPageBreak/>
        <w:t>Der Vers konkretisiert die vorherige allgemeine Frage: Kein anderes Volk hat je Gottes Stimme aus dem Feuer gehört und ist am Leben geblieben – ein doppeltes Wunder, das Israels Einzigartigkeit begründet.</w:t>
      </w:r>
    </w:p>
    <w:p w14:paraId="79C599B4"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4,34</w:t>
      </w:r>
    </w:p>
    <w:p w14:paraId="2CA67A5D"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א֣וֹ׀ הֲנִסָּ֣ה אֱלֹהִ֗ים לָ֠בוֹא לָקַ֨חַת לוֹ֣ גוֹי֮ מִקֶּ֣רֶב גּוֹי֒ בְּמַסֹּת֩ בְּאֹתֹ֨ת וּבְמוֹפְתִ֜ים וּבְמִלְחָמָ֗ה וּבְיָ֤ד חֲזָקָה֙ וּבִזְר֣וֹעַ נְטוּיָ֔ה וּבְמוֹרָאִ֖ים גְּדֹלִ֑ים כְּ֠כֹל אֲשֶׁר־עָשָׂ֨ה לָכֶ֜ם יְהוָ֧ה אֱלֹהֵיכֶ֛ם בְּמִצְרַ֖יִם לְעֵינֶֽיךָ׃</w:t>
      </w:r>
    </w:p>
    <w:p w14:paraId="09B111E3"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Oder hat je ein Gott versucht zu kommen, um sich zu nehmen eine Nation aus der Mitte einer Nation durch Prüfungen, durch Zeichen und durch Wunder und durch Krieg und mit starker Hand und mit ausgestrecktem Arm und durch große Furchtbarkeiten, nach allem, was der Ewige, euer Gott, für euch getan hat in Mizrajim vor deinen Augen?</w:t>
      </w:r>
    </w:p>
    <w:p w14:paraId="6907EB9B"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3D253E8E">
          <v:rect id="_x0000_i1170" style="width:0;height:1.5pt" o:hralign="center" o:hrstd="t" o:hr="t" fillcolor="#a0a0a0" stroked="f"/>
        </w:pict>
      </w:r>
    </w:p>
    <w:p w14:paraId="6FE697B6"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אוֹ הֲנִסָּה אֱלֹהִים</w:t>
      </w:r>
      <w:r w:rsidRPr="008D3E71">
        <w:rPr>
          <w:rFonts w:eastAsia="Times New Roman"/>
          <w:rtl/>
          <w:lang w:eastAsia="de-DE"/>
        </w:rPr>
        <w:t xml:space="preserve"> </w:t>
      </w:r>
      <w:r w:rsidRPr="008D3E71">
        <w:rPr>
          <w:rFonts w:eastAsia="Times New Roman"/>
          <w:lang w:eastAsia="de-DE"/>
        </w:rPr>
        <w:t xml:space="preserve">ist eine alternative rhetorische Frage: </w:t>
      </w:r>
      <w:r w:rsidRPr="008D3E71">
        <w:rPr>
          <w:rFonts w:eastAsia="Times New Roman"/>
          <w:b/>
          <w:bCs/>
          <w:rtl/>
          <w:lang w:eastAsia="de-DE"/>
        </w:rPr>
        <w:t>אוֹ</w:t>
      </w:r>
      <w:r w:rsidRPr="008D3E71">
        <w:rPr>
          <w:rFonts w:eastAsia="Times New Roman"/>
          <w:rtl/>
          <w:lang w:eastAsia="de-DE"/>
        </w:rPr>
        <w:t xml:space="preserve"> </w:t>
      </w:r>
      <w:r w:rsidRPr="008D3E71">
        <w:rPr>
          <w:rFonts w:eastAsia="Times New Roman"/>
          <w:lang w:eastAsia="de-DE"/>
        </w:rPr>
        <w:t xml:space="preserve">(„oder"), </w:t>
      </w:r>
      <w:r w:rsidRPr="008D3E71">
        <w:rPr>
          <w:rFonts w:eastAsia="Times New Roman"/>
          <w:b/>
          <w:bCs/>
          <w:rtl/>
          <w:lang w:eastAsia="de-DE"/>
        </w:rPr>
        <w:t>הֲ</w:t>
      </w:r>
      <w:r w:rsidRPr="008D3E71">
        <w:rPr>
          <w:rFonts w:eastAsia="Times New Roman"/>
          <w:rtl/>
          <w:lang w:eastAsia="de-DE"/>
        </w:rPr>
        <w:t xml:space="preserve"> </w:t>
      </w:r>
      <w:r w:rsidRPr="008D3E71">
        <w:rPr>
          <w:rFonts w:eastAsia="Times New Roman"/>
          <w:lang w:eastAsia="de-DE"/>
        </w:rPr>
        <w:t xml:space="preserve">als Fragepartikel, </w:t>
      </w:r>
      <w:r w:rsidRPr="008D3E71">
        <w:rPr>
          <w:rFonts w:eastAsia="Times New Roman"/>
          <w:b/>
          <w:bCs/>
          <w:rtl/>
          <w:lang w:eastAsia="de-DE"/>
        </w:rPr>
        <w:t>נִסָּה</w:t>
      </w:r>
      <w:r w:rsidRPr="008D3E71">
        <w:rPr>
          <w:rFonts w:eastAsia="Times New Roman"/>
          <w:rtl/>
          <w:lang w:eastAsia="de-DE"/>
        </w:rPr>
        <w:t xml:space="preserve"> </w:t>
      </w:r>
      <w:r w:rsidRPr="008D3E71">
        <w:rPr>
          <w:rFonts w:eastAsia="Times New Roman"/>
          <w:lang w:eastAsia="de-DE"/>
        </w:rPr>
        <w:t xml:space="preserve">als Piel Perfekt, 3. Person Singular maskulin von </w:t>
      </w:r>
      <w:r w:rsidRPr="008D3E71">
        <w:rPr>
          <w:rFonts w:eastAsia="Times New Roman"/>
          <w:b/>
          <w:bCs/>
          <w:rtl/>
          <w:lang w:eastAsia="de-DE"/>
        </w:rPr>
        <w:t>נסה</w:t>
      </w:r>
      <w:r w:rsidRPr="008D3E71">
        <w:rPr>
          <w:rFonts w:eastAsia="Times New Roman"/>
          <w:rtl/>
          <w:lang w:eastAsia="de-DE"/>
        </w:rPr>
        <w:t xml:space="preserve"> </w:t>
      </w:r>
      <w:r w:rsidRPr="008D3E71">
        <w:rPr>
          <w:rFonts w:eastAsia="Times New Roman"/>
          <w:lang w:eastAsia="de-DE"/>
        </w:rPr>
        <w:t xml:space="preserve">(„versuchen, wagen, unternehmen"), </w:t>
      </w:r>
      <w:r w:rsidRPr="008D3E71">
        <w:rPr>
          <w:rFonts w:eastAsia="Times New Roman"/>
          <w:b/>
          <w:bCs/>
          <w:rtl/>
          <w:lang w:eastAsia="de-DE"/>
        </w:rPr>
        <w:t>אֱלֹהִים</w:t>
      </w:r>
      <w:r w:rsidRPr="008D3E71">
        <w:rPr>
          <w:rFonts w:eastAsia="Times New Roman"/>
          <w:rtl/>
          <w:lang w:eastAsia="de-DE"/>
        </w:rPr>
        <w:t xml:space="preserve"> </w:t>
      </w:r>
      <w:r w:rsidRPr="008D3E71">
        <w:rPr>
          <w:rFonts w:eastAsia="Times New Roman"/>
          <w:lang w:eastAsia="de-DE"/>
        </w:rPr>
        <w:t xml:space="preserve">als Subjekt. </w:t>
      </w:r>
      <w:r w:rsidRPr="008D3E71">
        <w:rPr>
          <w:rFonts w:eastAsia="Times New Roman"/>
          <w:b/>
          <w:bCs/>
          <w:rtl/>
          <w:lang w:eastAsia="de-DE"/>
        </w:rPr>
        <w:t>לָבוֹא לָקַחַת לוֹ גוֹי מִקֶּרֶב גּוֹי</w:t>
      </w:r>
      <w:r w:rsidRPr="008D3E71">
        <w:rPr>
          <w:rFonts w:eastAsia="Times New Roman"/>
          <w:rtl/>
          <w:lang w:eastAsia="de-DE"/>
        </w:rPr>
        <w:t xml:space="preserve"> </w:t>
      </w:r>
      <w:r w:rsidRPr="008D3E71">
        <w:rPr>
          <w:rFonts w:eastAsia="Times New Roman"/>
          <w:lang w:eastAsia="de-DE"/>
        </w:rPr>
        <w:t xml:space="preserve">ist eine Doppel-Infinitiv-Konstruktion: </w:t>
      </w:r>
      <w:r w:rsidRPr="008D3E71">
        <w:rPr>
          <w:rFonts w:eastAsia="Times New Roman"/>
          <w:b/>
          <w:bCs/>
          <w:rtl/>
          <w:lang w:eastAsia="de-DE"/>
        </w:rPr>
        <w:t>לָבוֹא</w:t>
      </w:r>
      <w:r w:rsidRPr="008D3E71">
        <w:rPr>
          <w:rFonts w:eastAsia="Times New Roman"/>
          <w:rtl/>
          <w:lang w:eastAsia="de-DE"/>
        </w:rPr>
        <w:t xml:space="preserve"> </w:t>
      </w:r>
      <w:r w:rsidRPr="008D3E71">
        <w:rPr>
          <w:rFonts w:eastAsia="Times New Roman"/>
          <w:lang w:eastAsia="de-DE"/>
        </w:rPr>
        <w:t xml:space="preserve">(Qal Infinitiv Construct von </w:t>
      </w:r>
      <w:r w:rsidRPr="008D3E71">
        <w:rPr>
          <w:rFonts w:eastAsia="Times New Roman"/>
          <w:b/>
          <w:bCs/>
          <w:rtl/>
          <w:lang w:eastAsia="de-DE"/>
        </w:rPr>
        <w:t>בוא</w:t>
      </w:r>
      <w:r w:rsidRPr="008D3E71">
        <w:rPr>
          <w:rFonts w:eastAsia="Times New Roman"/>
          <w:lang w:eastAsia="de-DE"/>
        </w:rPr>
        <w:t xml:space="preserve">, „kommen", mit </w:t>
      </w:r>
      <w:r w:rsidRPr="008D3E71">
        <w:rPr>
          <w:rFonts w:eastAsia="Times New Roman"/>
          <w:b/>
          <w:bCs/>
          <w:rtl/>
          <w:lang w:eastAsia="de-DE"/>
        </w:rPr>
        <w:t>לְ</w:t>
      </w:r>
      <w:r w:rsidRPr="008D3E71">
        <w:rPr>
          <w:rFonts w:eastAsia="Times New Roman"/>
          <w:lang w:eastAsia="de-DE"/>
        </w:rPr>
        <w:t xml:space="preserve">), </w:t>
      </w:r>
      <w:r w:rsidRPr="008D3E71">
        <w:rPr>
          <w:rFonts w:eastAsia="Times New Roman"/>
          <w:b/>
          <w:bCs/>
          <w:rtl/>
          <w:lang w:eastAsia="de-DE"/>
        </w:rPr>
        <w:t>לָקַחַת</w:t>
      </w:r>
      <w:r w:rsidRPr="008D3E71">
        <w:rPr>
          <w:rFonts w:eastAsia="Times New Roman"/>
          <w:rtl/>
          <w:lang w:eastAsia="de-DE"/>
        </w:rPr>
        <w:t xml:space="preserve"> </w:t>
      </w:r>
      <w:r w:rsidRPr="008D3E71">
        <w:rPr>
          <w:rFonts w:eastAsia="Times New Roman"/>
          <w:lang w:eastAsia="de-DE"/>
        </w:rPr>
        <w:t xml:space="preserve">(Qal Infinitiv Construct von </w:t>
      </w:r>
      <w:r w:rsidRPr="008D3E71">
        <w:rPr>
          <w:rFonts w:eastAsia="Times New Roman"/>
          <w:b/>
          <w:bCs/>
          <w:rtl/>
          <w:lang w:eastAsia="de-DE"/>
        </w:rPr>
        <w:t>לקח</w:t>
      </w:r>
      <w:r w:rsidRPr="008D3E71">
        <w:rPr>
          <w:rFonts w:eastAsia="Times New Roman"/>
          <w:lang w:eastAsia="de-DE"/>
        </w:rPr>
        <w:t xml:space="preserve">, „nehmen", mit </w:t>
      </w:r>
      <w:r w:rsidRPr="008D3E71">
        <w:rPr>
          <w:rFonts w:eastAsia="Times New Roman"/>
          <w:b/>
          <w:bCs/>
          <w:rtl/>
          <w:lang w:eastAsia="de-DE"/>
        </w:rPr>
        <w:t>לְ</w:t>
      </w:r>
      <w:r w:rsidRPr="008D3E71">
        <w:rPr>
          <w:rFonts w:eastAsia="Times New Roman"/>
          <w:lang w:eastAsia="de-DE"/>
        </w:rPr>
        <w:t xml:space="preserve">), </w:t>
      </w:r>
      <w:r w:rsidRPr="008D3E71">
        <w:rPr>
          <w:rFonts w:eastAsia="Times New Roman"/>
          <w:b/>
          <w:bCs/>
          <w:rtl/>
          <w:lang w:eastAsia="de-DE"/>
        </w:rPr>
        <w:t>לוֹ</w:t>
      </w:r>
      <w:r w:rsidRPr="008D3E71">
        <w:rPr>
          <w:rFonts w:eastAsia="Times New Roman"/>
          <w:rtl/>
          <w:lang w:eastAsia="de-DE"/>
        </w:rPr>
        <w:t xml:space="preserve"> </w:t>
      </w:r>
      <w:r w:rsidRPr="008D3E71">
        <w:rPr>
          <w:rFonts w:eastAsia="Times New Roman"/>
          <w:lang w:eastAsia="de-DE"/>
        </w:rPr>
        <w:t xml:space="preserve">als Dativ („für sich"), </w:t>
      </w:r>
      <w:r w:rsidRPr="008D3E71">
        <w:rPr>
          <w:rFonts w:eastAsia="Times New Roman"/>
          <w:b/>
          <w:bCs/>
          <w:rtl/>
          <w:lang w:eastAsia="de-DE"/>
        </w:rPr>
        <w:t>גוֹי מִקֶּרֶב גּוֹי</w:t>
      </w:r>
      <w:r w:rsidRPr="008D3E71">
        <w:rPr>
          <w:rFonts w:eastAsia="Times New Roman"/>
          <w:rtl/>
          <w:lang w:eastAsia="de-DE"/>
        </w:rPr>
        <w:t xml:space="preserve"> </w:t>
      </w:r>
      <w:r w:rsidRPr="008D3E71">
        <w:rPr>
          <w:rFonts w:eastAsia="Times New Roman"/>
          <w:lang w:eastAsia="de-DE"/>
        </w:rPr>
        <w:t>als direktes Objekt (</w:t>
      </w:r>
      <w:r w:rsidRPr="008D3E71">
        <w:rPr>
          <w:rFonts w:eastAsia="Times New Roman"/>
          <w:b/>
          <w:bCs/>
          <w:rtl/>
          <w:lang w:eastAsia="de-DE"/>
        </w:rPr>
        <w:t>גּוֹי</w:t>
      </w:r>
      <w:r w:rsidRPr="008D3E71">
        <w:rPr>
          <w:rFonts w:eastAsia="Times New Roman"/>
          <w:lang w:eastAsia="de-DE"/>
        </w:rPr>
        <w:t xml:space="preserve">, „Nation, Volk", mit Präposition </w:t>
      </w:r>
      <w:r w:rsidRPr="008D3E71">
        <w:rPr>
          <w:rFonts w:eastAsia="Times New Roman"/>
          <w:b/>
          <w:bCs/>
          <w:rtl/>
          <w:lang w:eastAsia="de-DE"/>
        </w:rPr>
        <w:t>מִן</w:t>
      </w:r>
      <w:r w:rsidRPr="008D3E71">
        <w:rPr>
          <w:rFonts w:eastAsia="Times New Roman"/>
          <w:rtl/>
          <w:lang w:eastAsia="de-DE"/>
        </w:rPr>
        <w:t xml:space="preserve"> </w:t>
      </w:r>
      <w:r w:rsidRPr="008D3E71">
        <w:rPr>
          <w:rFonts w:eastAsia="Times New Roman"/>
          <w:lang w:eastAsia="de-DE"/>
        </w:rPr>
        <w:t xml:space="preserve">und </w:t>
      </w:r>
      <w:r w:rsidRPr="008D3E71">
        <w:rPr>
          <w:rFonts w:eastAsia="Times New Roman"/>
          <w:b/>
          <w:bCs/>
          <w:rtl/>
          <w:lang w:eastAsia="de-DE"/>
        </w:rPr>
        <w:t>קֶרֶב</w:t>
      </w:r>
      <w:r w:rsidRPr="008D3E71">
        <w:rPr>
          <w:rFonts w:eastAsia="Times New Roman"/>
          <w:lang w:eastAsia="de-DE"/>
        </w:rPr>
        <w:t xml:space="preserve">, „Mitte", im Construct mit </w:t>
      </w:r>
      <w:r w:rsidRPr="008D3E71">
        <w:rPr>
          <w:rFonts w:eastAsia="Times New Roman"/>
          <w:b/>
          <w:bCs/>
          <w:rtl/>
          <w:lang w:eastAsia="de-DE"/>
        </w:rPr>
        <w:t>גּוֹי</w:t>
      </w:r>
      <w:r w:rsidRPr="008D3E71">
        <w:rPr>
          <w:rFonts w:eastAsia="Times New Roman"/>
          <w:lang w:eastAsia="de-DE"/>
        </w:rPr>
        <w:t>) – „eine Nation aus der Mitte einer Nation".</w:t>
      </w:r>
    </w:p>
    <w:p w14:paraId="7C570B5D"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בְּמַסֹּת בְּאֹתֹת וּבְמוֹפְתִים וּבְמִלְחָמָה וּבְיָד חֲזָקָה וּבִזְרוֹעַ נְטוּיָה וּבְמוֹרָאִים גְּדֹלִים</w:t>
      </w:r>
      <w:r w:rsidRPr="008D3E71">
        <w:rPr>
          <w:rFonts w:eastAsia="Times New Roman"/>
          <w:rtl/>
          <w:lang w:eastAsia="de-DE"/>
        </w:rPr>
        <w:t xml:space="preserve"> </w:t>
      </w:r>
      <w:r w:rsidRPr="008D3E71">
        <w:rPr>
          <w:rFonts w:eastAsia="Times New Roman"/>
          <w:lang w:eastAsia="de-DE"/>
        </w:rPr>
        <w:t xml:space="preserve">ist eine siebengliedrige instrumentale bzw. modale Bestimmung: </w:t>
      </w:r>
      <w:r w:rsidRPr="008D3E71">
        <w:rPr>
          <w:rFonts w:eastAsia="Times New Roman"/>
          <w:b/>
          <w:bCs/>
          <w:rtl/>
          <w:lang w:eastAsia="de-DE"/>
        </w:rPr>
        <w:t>בְּמַסֹּת</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מַסָּה</w:t>
      </w:r>
      <w:r w:rsidRPr="008D3E71">
        <w:rPr>
          <w:rFonts w:eastAsia="Times New Roman"/>
          <w:lang w:eastAsia="de-DE"/>
        </w:rPr>
        <w:t xml:space="preserve">, „Prüfung, Versuchung", Plural mit femininem Singular-Suffix-Form oder Plural Construct), </w:t>
      </w:r>
      <w:r w:rsidRPr="008D3E71">
        <w:rPr>
          <w:rFonts w:eastAsia="Times New Roman"/>
          <w:b/>
          <w:bCs/>
          <w:rtl/>
          <w:lang w:eastAsia="de-DE"/>
        </w:rPr>
        <w:t>בְּאֹתֹת</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אוֹת</w:t>
      </w:r>
      <w:r w:rsidRPr="008D3E71">
        <w:rPr>
          <w:rFonts w:eastAsia="Times New Roman"/>
          <w:lang w:eastAsia="de-DE"/>
        </w:rPr>
        <w:t xml:space="preserve">, „Zeichen", Plural), </w:t>
      </w:r>
      <w:r w:rsidRPr="008D3E71">
        <w:rPr>
          <w:rFonts w:eastAsia="Times New Roman"/>
          <w:b/>
          <w:bCs/>
          <w:rtl/>
          <w:lang w:eastAsia="de-DE"/>
        </w:rPr>
        <w:t>וּבְמוֹפְתִים</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מוֹפֵת</w:t>
      </w:r>
      <w:r w:rsidRPr="008D3E71">
        <w:rPr>
          <w:rFonts w:eastAsia="Times New Roman"/>
          <w:lang w:eastAsia="de-DE"/>
        </w:rPr>
        <w:t xml:space="preserve">, „Wunder, Wunderzeichen", Plural), </w:t>
      </w:r>
      <w:r w:rsidRPr="008D3E71">
        <w:rPr>
          <w:rFonts w:eastAsia="Times New Roman"/>
          <w:b/>
          <w:bCs/>
          <w:rtl/>
          <w:lang w:eastAsia="de-DE"/>
        </w:rPr>
        <w:t>וּבְמִלְחָמָה</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מִלְחָמָה</w:t>
      </w:r>
      <w:r w:rsidRPr="008D3E71">
        <w:rPr>
          <w:rFonts w:eastAsia="Times New Roman"/>
          <w:lang w:eastAsia="de-DE"/>
        </w:rPr>
        <w:t xml:space="preserve">, „Krieg"), </w:t>
      </w:r>
      <w:r w:rsidRPr="008D3E71">
        <w:rPr>
          <w:rFonts w:eastAsia="Times New Roman"/>
          <w:b/>
          <w:bCs/>
          <w:rtl/>
          <w:lang w:eastAsia="de-DE"/>
        </w:rPr>
        <w:t>וּבְיָד חֲזָקָה</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יָד</w:t>
      </w:r>
      <w:r w:rsidRPr="008D3E71">
        <w:rPr>
          <w:rFonts w:eastAsia="Times New Roman"/>
          <w:rtl/>
          <w:lang w:eastAsia="de-DE"/>
        </w:rPr>
        <w:t xml:space="preserve"> </w:t>
      </w:r>
      <w:r w:rsidRPr="008D3E71">
        <w:rPr>
          <w:rFonts w:eastAsia="Times New Roman"/>
          <w:lang w:eastAsia="de-DE"/>
        </w:rPr>
        <w:t xml:space="preserve">im Construct und Adjektiv </w:t>
      </w:r>
      <w:r w:rsidRPr="008D3E71">
        <w:rPr>
          <w:rFonts w:eastAsia="Times New Roman"/>
          <w:b/>
          <w:bCs/>
          <w:rtl/>
          <w:lang w:eastAsia="de-DE"/>
        </w:rPr>
        <w:t>חֲזָקָה</w:t>
      </w:r>
      <w:r w:rsidRPr="008D3E71">
        <w:rPr>
          <w:rFonts w:eastAsia="Times New Roman"/>
          <w:lang w:eastAsia="de-DE"/>
        </w:rPr>
        <w:t xml:space="preserve">, „stark", feminin Singular), </w:t>
      </w:r>
      <w:r w:rsidRPr="008D3E71">
        <w:rPr>
          <w:rFonts w:eastAsia="Times New Roman"/>
          <w:b/>
          <w:bCs/>
          <w:rtl/>
          <w:lang w:eastAsia="de-DE"/>
        </w:rPr>
        <w:t>וּבִזְרוֹעַ נְטוּיָה</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זְרוֹעַ</w:t>
      </w:r>
      <w:r w:rsidRPr="008D3E71">
        <w:rPr>
          <w:rFonts w:eastAsia="Times New Roman"/>
          <w:lang w:eastAsia="de-DE"/>
        </w:rPr>
        <w:t xml:space="preserve">, „Arm", im Construct und Qal Passiv Partizip feminin Singular von </w:t>
      </w:r>
      <w:r w:rsidRPr="008D3E71">
        <w:rPr>
          <w:rFonts w:eastAsia="Times New Roman"/>
          <w:b/>
          <w:bCs/>
          <w:rtl/>
          <w:lang w:eastAsia="de-DE"/>
        </w:rPr>
        <w:t>נטה</w:t>
      </w:r>
      <w:r w:rsidRPr="008D3E71">
        <w:rPr>
          <w:rFonts w:eastAsia="Times New Roman"/>
          <w:lang w:eastAsia="de-DE"/>
        </w:rPr>
        <w:t xml:space="preserve">, „ausgestreckt"), </w:t>
      </w:r>
      <w:r w:rsidRPr="008D3E71">
        <w:rPr>
          <w:rFonts w:eastAsia="Times New Roman"/>
          <w:b/>
          <w:bCs/>
          <w:rtl/>
          <w:lang w:eastAsia="de-DE"/>
        </w:rPr>
        <w:t>וּבְמוֹרָאִים גְּדֹלִים</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מוֹרָא</w:t>
      </w:r>
      <w:r w:rsidRPr="008D3E71">
        <w:rPr>
          <w:rFonts w:eastAsia="Times New Roman"/>
          <w:lang w:eastAsia="de-DE"/>
        </w:rPr>
        <w:t xml:space="preserve">, „Furcht, Schrecken", Plural, und Adjektiv </w:t>
      </w:r>
      <w:r w:rsidRPr="008D3E71">
        <w:rPr>
          <w:rFonts w:eastAsia="Times New Roman"/>
          <w:b/>
          <w:bCs/>
          <w:rtl/>
          <w:lang w:eastAsia="de-DE"/>
        </w:rPr>
        <w:t>גְּדֹלִים</w:t>
      </w:r>
      <w:r w:rsidRPr="008D3E71">
        <w:rPr>
          <w:rFonts w:eastAsia="Times New Roman"/>
          <w:lang w:eastAsia="de-DE"/>
        </w:rPr>
        <w:t>, „groß", Plural maskulin).</w:t>
      </w:r>
    </w:p>
    <w:p w14:paraId="325BDE81"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כְּכֹל אֲשֶׁר־עָשָׂה לָכֶם יְהוָה אֱלֹהֵיכֶם בְּמִצְרַיִם לְעֵינֶיךָ</w:t>
      </w:r>
      <w:r w:rsidRPr="008D3E71">
        <w:rPr>
          <w:rFonts w:eastAsia="Times New Roman"/>
          <w:rtl/>
          <w:lang w:eastAsia="de-DE"/>
        </w:rPr>
        <w:t xml:space="preserve"> </w:t>
      </w:r>
      <w:r w:rsidRPr="008D3E71">
        <w:rPr>
          <w:rFonts w:eastAsia="Times New Roman"/>
          <w:lang w:eastAsia="de-DE"/>
        </w:rPr>
        <w:t xml:space="preserve">ist ein Vergleichssatz: </w:t>
      </w:r>
      <w:r w:rsidRPr="008D3E71">
        <w:rPr>
          <w:rFonts w:eastAsia="Times New Roman"/>
          <w:b/>
          <w:bCs/>
          <w:rtl/>
          <w:lang w:eastAsia="de-DE"/>
        </w:rPr>
        <w:t>כְּכֹל</w:t>
      </w:r>
      <w:r w:rsidRPr="008D3E71">
        <w:rPr>
          <w:rFonts w:eastAsia="Times New Roman"/>
          <w:rtl/>
          <w:lang w:eastAsia="de-DE"/>
        </w:rPr>
        <w:t xml:space="preserve"> </w:t>
      </w:r>
      <w:r w:rsidRPr="008D3E71">
        <w:rPr>
          <w:rFonts w:eastAsia="Times New Roman"/>
          <w:lang w:eastAsia="de-DE"/>
        </w:rPr>
        <w:t xml:space="preserve">(„wie alles, nach allem"), </w:t>
      </w:r>
      <w:r w:rsidRPr="008D3E71">
        <w:rPr>
          <w:rFonts w:eastAsia="Times New Roman"/>
          <w:b/>
          <w:bCs/>
          <w:rtl/>
          <w:lang w:eastAsia="de-DE"/>
        </w:rPr>
        <w:t>אֲשֶׁר־עָשָׂה</w:t>
      </w:r>
      <w:r w:rsidRPr="008D3E71">
        <w:rPr>
          <w:rFonts w:eastAsia="Times New Roman"/>
          <w:rtl/>
          <w:lang w:eastAsia="de-DE"/>
        </w:rPr>
        <w:t xml:space="preserve"> </w:t>
      </w:r>
      <w:r w:rsidRPr="008D3E71">
        <w:rPr>
          <w:rFonts w:eastAsia="Times New Roman"/>
          <w:lang w:eastAsia="de-DE"/>
        </w:rPr>
        <w:t>als Relativsatz (</w:t>
      </w:r>
      <w:r w:rsidRPr="008D3E71">
        <w:rPr>
          <w:rFonts w:eastAsia="Times New Roman"/>
          <w:b/>
          <w:bCs/>
          <w:rtl/>
          <w:lang w:eastAsia="de-DE"/>
        </w:rPr>
        <w:t>אֲשֶׁר</w:t>
      </w:r>
      <w:r w:rsidRPr="008D3E71">
        <w:rPr>
          <w:rFonts w:eastAsia="Times New Roman"/>
          <w:lang w:eastAsia="de-DE"/>
        </w:rPr>
        <w:t xml:space="preserve">, </w:t>
      </w:r>
      <w:r w:rsidRPr="008D3E71">
        <w:rPr>
          <w:rFonts w:eastAsia="Times New Roman"/>
          <w:b/>
          <w:bCs/>
          <w:rtl/>
          <w:lang w:eastAsia="de-DE"/>
        </w:rPr>
        <w:t>עָשָׂה</w:t>
      </w:r>
      <w:r w:rsidRPr="008D3E71">
        <w:rPr>
          <w:rFonts w:eastAsia="Times New Roman"/>
          <w:rtl/>
          <w:lang w:eastAsia="de-DE"/>
        </w:rPr>
        <w:t xml:space="preserve"> </w:t>
      </w:r>
      <w:r w:rsidRPr="008D3E71">
        <w:rPr>
          <w:rFonts w:eastAsia="Times New Roman"/>
          <w:lang w:eastAsia="de-DE"/>
        </w:rPr>
        <w:t xml:space="preserve">als Qal Perfekt, 3. Person Singular maskulin von </w:t>
      </w:r>
      <w:r w:rsidRPr="008D3E71">
        <w:rPr>
          <w:rFonts w:eastAsia="Times New Roman"/>
          <w:b/>
          <w:bCs/>
          <w:rtl/>
          <w:lang w:eastAsia="de-DE"/>
        </w:rPr>
        <w:t>עשׂה</w:t>
      </w:r>
      <w:r w:rsidRPr="008D3E71">
        <w:rPr>
          <w:rFonts w:eastAsia="Times New Roman"/>
          <w:lang w:eastAsia="de-DE"/>
        </w:rPr>
        <w:t xml:space="preserve">), </w:t>
      </w:r>
      <w:r w:rsidRPr="008D3E71">
        <w:rPr>
          <w:rFonts w:eastAsia="Times New Roman"/>
          <w:b/>
          <w:bCs/>
          <w:rtl/>
          <w:lang w:eastAsia="de-DE"/>
        </w:rPr>
        <w:t>לָכֶם</w:t>
      </w:r>
      <w:r w:rsidRPr="008D3E71">
        <w:rPr>
          <w:rFonts w:eastAsia="Times New Roman"/>
          <w:rtl/>
          <w:lang w:eastAsia="de-DE"/>
        </w:rPr>
        <w:t xml:space="preserve"> </w:t>
      </w:r>
      <w:r w:rsidRPr="008D3E71">
        <w:rPr>
          <w:rFonts w:eastAsia="Times New Roman"/>
          <w:lang w:eastAsia="de-DE"/>
        </w:rPr>
        <w:t xml:space="preserve">als Dativ („für euch"), </w:t>
      </w:r>
      <w:r w:rsidRPr="008D3E71">
        <w:rPr>
          <w:rFonts w:eastAsia="Times New Roman"/>
          <w:b/>
          <w:bCs/>
          <w:rtl/>
          <w:lang w:eastAsia="de-DE"/>
        </w:rPr>
        <w:t>יְהוָה אֱלֹהֵיכֶם</w:t>
      </w:r>
      <w:r w:rsidRPr="008D3E71">
        <w:rPr>
          <w:rFonts w:eastAsia="Times New Roman"/>
          <w:rtl/>
          <w:lang w:eastAsia="de-DE"/>
        </w:rPr>
        <w:t xml:space="preserve"> </w:t>
      </w:r>
      <w:r w:rsidRPr="008D3E71">
        <w:rPr>
          <w:rFonts w:eastAsia="Times New Roman"/>
          <w:lang w:eastAsia="de-DE"/>
        </w:rPr>
        <w:t xml:space="preserve">als erweitertes Subjekt, </w:t>
      </w:r>
      <w:r w:rsidRPr="008D3E71">
        <w:rPr>
          <w:rFonts w:eastAsia="Times New Roman"/>
          <w:b/>
          <w:bCs/>
          <w:rtl/>
          <w:lang w:eastAsia="de-DE"/>
        </w:rPr>
        <w:t>בְּמִצְרַיִם</w:t>
      </w:r>
      <w:r w:rsidRPr="008D3E71">
        <w:rPr>
          <w:rFonts w:eastAsia="Times New Roman"/>
          <w:rtl/>
          <w:lang w:eastAsia="de-DE"/>
        </w:rPr>
        <w:t xml:space="preserve"> </w:t>
      </w:r>
      <w:r w:rsidRPr="008D3E71">
        <w:rPr>
          <w:rFonts w:eastAsia="Times New Roman"/>
          <w:lang w:eastAsia="de-DE"/>
        </w:rPr>
        <w:t xml:space="preserve">als Ortsangabe, </w:t>
      </w:r>
      <w:r w:rsidRPr="008D3E71">
        <w:rPr>
          <w:rFonts w:eastAsia="Times New Roman"/>
          <w:b/>
          <w:bCs/>
          <w:rtl/>
          <w:lang w:eastAsia="de-DE"/>
        </w:rPr>
        <w:t>לְעֵינֶיךָ</w:t>
      </w:r>
      <w:r w:rsidRPr="008D3E71">
        <w:rPr>
          <w:rFonts w:eastAsia="Times New Roman"/>
          <w:rtl/>
          <w:lang w:eastAsia="de-DE"/>
        </w:rPr>
        <w:t xml:space="preserve"> </w:t>
      </w:r>
      <w:r w:rsidRPr="008D3E71">
        <w:rPr>
          <w:rFonts w:eastAsia="Times New Roman"/>
          <w:lang w:eastAsia="de-DE"/>
        </w:rPr>
        <w:t>als idiomatische Wendung (</w:t>
      </w:r>
      <w:r w:rsidRPr="008D3E71">
        <w:rPr>
          <w:rFonts w:eastAsia="Times New Roman"/>
          <w:b/>
          <w:bCs/>
          <w:rtl/>
          <w:lang w:eastAsia="de-DE"/>
        </w:rPr>
        <w:t>לְ</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עַיִן</w:t>
      </w:r>
      <w:r w:rsidRPr="008D3E71">
        <w:rPr>
          <w:rFonts w:eastAsia="Times New Roman"/>
          <w:lang w:eastAsia="de-DE"/>
        </w:rPr>
        <w:t>, Dual Construct, und Suffix 2. Person Singular maskulin – „vor deinen Augen").</w:t>
      </w:r>
    </w:p>
    <w:p w14:paraId="0973CE1D"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Die siebengliedrige Aufzählung der göttlichen Machtmittel ist eindrücklich und umfassend: Prüfungen, Zeichen, Wunder, Krieg, starke Hand, ausgestreckter Arm, große Schrecken. Die Formel </w:t>
      </w:r>
      <w:r w:rsidRPr="008D3E71">
        <w:rPr>
          <w:rFonts w:eastAsia="Times New Roman"/>
          <w:b/>
          <w:bCs/>
          <w:rtl/>
          <w:lang w:eastAsia="de-DE"/>
        </w:rPr>
        <w:t>יָד חֲזָקָה וּזְרוֹעַ נְטוּיָה</w:t>
      </w:r>
      <w:r w:rsidRPr="008D3E71">
        <w:rPr>
          <w:rFonts w:eastAsia="Times New Roman"/>
          <w:rtl/>
          <w:lang w:eastAsia="de-DE"/>
        </w:rPr>
        <w:t xml:space="preserve"> </w:t>
      </w:r>
      <w:r w:rsidRPr="008D3E71">
        <w:rPr>
          <w:rFonts w:eastAsia="Times New Roman"/>
          <w:lang w:eastAsia="de-DE"/>
        </w:rPr>
        <w:t>(„starke Hand und ausgestreckter Arm") ist eine feststehende deuteronomische Wendung für Gottes Macht im Exodus (vgl. Dtn 5,15; 7,19; 26,8). Der Wechsel von Plural (</w:t>
      </w:r>
      <w:r w:rsidRPr="008D3E71">
        <w:rPr>
          <w:rFonts w:eastAsia="Times New Roman"/>
          <w:b/>
          <w:bCs/>
          <w:rtl/>
          <w:lang w:eastAsia="de-DE"/>
        </w:rPr>
        <w:t>אֱלֹהֵיכֶם</w:t>
      </w:r>
      <w:r w:rsidRPr="008D3E71">
        <w:rPr>
          <w:rFonts w:eastAsia="Times New Roman"/>
          <w:lang w:eastAsia="de-DE"/>
        </w:rPr>
        <w:t xml:space="preserve">, </w:t>
      </w:r>
      <w:r w:rsidRPr="008D3E71">
        <w:rPr>
          <w:rFonts w:eastAsia="Times New Roman"/>
          <w:b/>
          <w:bCs/>
          <w:rtl/>
          <w:lang w:eastAsia="de-DE"/>
        </w:rPr>
        <w:t>לָכֶם</w:t>
      </w:r>
      <w:r w:rsidRPr="008D3E71">
        <w:rPr>
          <w:rFonts w:eastAsia="Times New Roman"/>
          <w:lang w:eastAsia="de-DE"/>
        </w:rPr>
        <w:t>) zu Singular (</w:t>
      </w:r>
      <w:r w:rsidRPr="008D3E71">
        <w:rPr>
          <w:rFonts w:eastAsia="Times New Roman"/>
          <w:b/>
          <w:bCs/>
          <w:rtl/>
          <w:lang w:eastAsia="de-DE"/>
        </w:rPr>
        <w:t>לְעֵינֶיךָ</w:t>
      </w:r>
      <w:r w:rsidRPr="008D3E71">
        <w:rPr>
          <w:rFonts w:eastAsia="Times New Roman"/>
          <w:lang w:eastAsia="de-DE"/>
        </w:rPr>
        <w:t>) ist wiederum charakteristisch.</w:t>
      </w:r>
    </w:p>
    <w:p w14:paraId="3AB6DA72"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Die Satzstruktur ist eine alternative rhetorische Frage mit Prädikat und Subjekt, doppelter Infinitivkonstruktion mit Dativ und direktem Objekt in präpositionaler Herkunftsangabe, einer </w:t>
      </w:r>
      <w:r w:rsidRPr="008D3E71">
        <w:rPr>
          <w:rFonts w:eastAsia="Times New Roman"/>
          <w:lang w:eastAsia="de-DE"/>
        </w:rPr>
        <w:lastRenderedPageBreak/>
        <w:t>siebengliedrigen koordinierten instrumentalen bzw. modalen Bestimmung, und einem Vergleichssatz mit Relativsatz, Dativ, erweitertem Subjekt, Ortsangabe und idiomatischer Schlusswendung. Die kumulative Aufzählung der göttlichen Machttaten verstärkt die Einzigartigkeit der Exodus-Erfahrung.</w:t>
      </w:r>
    </w:p>
    <w:p w14:paraId="13E70BD4"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Der Vers stellt die zweite rhetorische Frage: Kein anderer Gott hat je versucht, sich ein Volk aus einem anderen Volk herauszuholen mit solch gewaltigen Machttaten wie beim Exodus – ein weiterer Beleg für Israels Einzigartigkeit.</w:t>
      </w:r>
    </w:p>
    <w:p w14:paraId="21BD7146"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4,35</w:t>
      </w:r>
    </w:p>
    <w:p w14:paraId="7BAF592D"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אַתָּה֙ הָרְאֵ֣תָ לָדַ֔עַת כִּ֥י יְהוָ֖ה ה֣וּא הָאֱלֹהִ֑ים אֵ֥ין ע֖וֹד מִלְבַדֹּֽו׃</w:t>
      </w:r>
    </w:p>
    <w:p w14:paraId="10FD0FE2"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Dir ist es gezeigt worden, zu wissen, dass der Ewige, er der Gott ist. Es gibt keinen anderen außer ihm.</w:t>
      </w:r>
    </w:p>
    <w:p w14:paraId="57570061"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58DDA374">
          <v:rect id="_x0000_i1171" style="width:0;height:1.5pt" o:hralign="center" o:hrstd="t" o:hr="t" fillcolor="#a0a0a0" stroked="f"/>
        </w:pict>
      </w:r>
    </w:p>
    <w:p w14:paraId="3FB67AAE"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אַתָּה הָרְאֵתָ לָדַעַת</w:t>
      </w:r>
      <w:r w:rsidRPr="008D3E71">
        <w:rPr>
          <w:rFonts w:eastAsia="Times New Roman"/>
          <w:rtl/>
          <w:lang w:eastAsia="de-DE"/>
        </w:rPr>
        <w:t xml:space="preserve"> </w:t>
      </w:r>
      <w:r w:rsidRPr="008D3E71">
        <w:rPr>
          <w:rFonts w:eastAsia="Times New Roman"/>
          <w:lang w:eastAsia="de-DE"/>
        </w:rPr>
        <w:t xml:space="preserve">ist ein Hauptsatz: </w:t>
      </w:r>
      <w:r w:rsidRPr="008D3E71">
        <w:rPr>
          <w:rFonts w:eastAsia="Times New Roman"/>
          <w:b/>
          <w:bCs/>
          <w:rtl/>
          <w:lang w:eastAsia="de-DE"/>
        </w:rPr>
        <w:t>אַתָּה</w:t>
      </w:r>
      <w:r w:rsidRPr="008D3E71">
        <w:rPr>
          <w:rFonts w:eastAsia="Times New Roman"/>
          <w:rtl/>
          <w:lang w:eastAsia="de-DE"/>
        </w:rPr>
        <w:t xml:space="preserve"> </w:t>
      </w:r>
      <w:r w:rsidRPr="008D3E71">
        <w:rPr>
          <w:rFonts w:eastAsia="Times New Roman"/>
          <w:lang w:eastAsia="de-DE"/>
        </w:rPr>
        <w:t xml:space="preserve">als emphatisches Pronomen und Subjekt („du"), </w:t>
      </w:r>
      <w:r w:rsidRPr="008D3E71">
        <w:rPr>
          <w:rFonts w:eastAsia="Times New Roman"/>
          <w:b/>
          <w:bCs/>
          <w:rtl/>
          <w:lang w:eastAsia="de-DE"/>
        </w:rPr>
        <w:t>הָרְאֵתָ</w:t>
      </w:r>
      <w:r w:rsidRPr="008D3E71">
        <w:rPr>
          <w:rFonts w:eastAsia="Times New Roman"/>
          <w:rtl/>
          <w:lang w:eastAsia="de-DE"/>
        </w:rPr>
        <w:t xml:space="preserve"> </w:t>
      </w:r>
      <w:r w:rsidRPr="008D3E71">
        <w:rPr>
          <w:rFonts w:eastAsia="Times New Roman"/>
          <w:lang w:eastAsia="de-DE"/>
        </w:rPr>
        <w:t xml:space="preserve">als Hofal Perfekt, 2. Person Singular maskulin von </w:t>
      </w:r>
      <w:r w:rsidRPr="008D3E71">
        <w:rPr>
          <w:rFonts w:eastAsia="Times New Roman"/>
          <w:b/>
          <w:bCs/>
          <w:rtl/>
          <w:lang w:eastAsia="de-DE"/>
        </w:rPr>
        <w:t>ראה</w:t>
      </w:r>
      <w:r w:rsidRPr="008D3E71">
        <w:rPr>
          <w:rFonts w:eastAsia="Times New Roman"/>
          <w:rtl/>
          <w:lang w:eastAsia="de-DE"/>
        </w:rPr>
        <w:t xml:space="preserve"> </w:t>
      </w:r>
      <w:r w:rsidRPr="008D3E71">
        <w:rPr>
          <w:rFonts w:eastAsia="Times New Roman"/>
          <w:lang w:eastAsia="de-DE"/>
        </w:rPr>
        <w:t xml:space="preserve">(„gezeigt werden, sehen gelassen werden") – die Hofal-Form ist passivisch „dir wurde gezeigt", </w:t>
      </w:r>
      <w:r w:rsidRPr="008D3E71">
        <w:rPr>
          <w:rFonts w:eastAsia="Times New Roman"/>
          <w:b/>
          <w:bCs/>
          <w:rtl/>
          <w:lang w:eastAsia="de-DE"/>
        </w:rPr>
        <w:t>לָדַעַת</w:t>
      </w:r>
      <w:r w:rsidRPr="008D3E71">
        <w:rPr>
          <w:rFonts w:eastAsia="Times New Roman"/>
          <w:rtl/>
          <w:lang w:eastAsia="de-DE"/>
        </w:rPr>
        <w:t xml:space="preserve"> </w:t>
      </w:r>
      <w:r w:rsidRPr="008D3E71">
        <w:rPr>
          <w:rFonts w:eastAsia="Times New Roman"/>
          <w:lang w:eastAsia="de-DE"/>
        </w:rPr>
        <w:t xml:space="preserve">als Qal Infinitiv Construct von </w:t>
      </w:r>
      <w:r w:rsidRPr="008D3E71">
        <w:rPr>
          <w:rFonts w:eastAsia="Times New Roman"/>
          <w:b/>
          <w:bCs/>
          <w:rtl/>
          <w:lang w:eastAsia="de-DE"/>
        </w:rPr>
        <w:t>ידע</w:t>
      </w:r>
      <w:r w:rsidRPr="008D3E71">
        <w:rPr>
          <w:rFonts w:eastAsia="Times New Roman"/>
          <w:rtl/>
          <w:lang w:eastAsia="de-DE"/>
        </w:rPr>
        <w:t xml:space="preserve"> </w:t>
      </w:r>
      <w:r w:rsidRPr="008D3E71">
        <w:rPr>
          <w:rFonts w:eastAsia="Times New Roman"/>
          <w:lang w:eastAsia="de-DE"/>
        </w:rPr>
        <w:t xml:space="preserve">(„wissen, erkennen") mit </w:t>
      </w:r>
      <w:r w:rsidRPr="008D3E71">
        <w:rPr>
          <w:rFonts w:eastAsia="Times New Roman"/>
          <w:b/>
          <w:bCs/>
          <w:rtl/>
          <w:lang w:eastAsia="de-DE"/>
        </w:rPr>
        <w:t>לְ</w:t>
      </w:r>
      <w:r w:rsidRPr="008D3E71">
        <w:rPr>
          <w:rFonts w:eastAsia="Times New Roman"/>
          <w:rtl/>
          <w:lang w:eastAsia="de-DE"/>
        </w:rPr>
        <w:t xml:space="preserve"> </w:t>
      </w:r>
      <w:r w:rsidRPr="008D3E71">
        <w:rPr>
          <w:rFonts w:eastAsia="Times New Roman"/>
          <w:lang w:eastAsia="de-DE"/>
        </w:rPr>
        <w:t xml:space="preserve">(final oder gerundial) – „um zu wissen, damit du erkennst". </w:t>
      </w:r>
      <w:r w:rsidRPr="008D3E71">
        <w:rPr>
          <w:rFonts w:eastAsia="Times New Roman"/>
          <w:b/>
          <w:bCs/>
          <w:rtl/>
          <w:lang w:eastAsia="de-DE"/>
        </w:rPr>
        <w:t>כִּי יְהוָה הוּא הָאֱלֹהִים</w:t>
      </w:r>
      <w:r w:rsidRPr="008D3E71">
        <w:rPr>
          <w:rFonts w:eastAsia="Times New Roman"/>
          <w:rtl/>
          <w:lang w:eastAsia="de-DE"/>
        </w:rPr>
        <w:t xml:space="preserve"> </w:t>
      </w:r>
      <w:r w:rsidRPr="008D3E71">
        <w:rPr>
          <w:rFonts w:eastAsia="Times New Roman"/>
          <w:lang w:eastAsia="de-DE"/>
        </w:rPr>
        <w:t xml:space="preserve">ist ein Objektsatz: </w:t>
      </w:r>
      <w:r w:rsidRPr="008D3E71">
        <w:rPr>
          <w:rFonts w:eastAsia="Times New Roman"/>
          <w:b/>
          <w:bCs/>
          <w:rtl/>
          <w:lang w:eastAsia="de-DE"/>
        </w:rPr>
        <w:t>כִּי</w:t>
      </w:r>
      <w:r w:rsidRPr="008D3E71">
        <w:rPr>
          <w:rFonts w:eastAsia="Times New Roman"/>
          <w:rtl/>
          <w:lang w:eastAsia="de-DE"/>
        </w:rPr>
        <w:t xml:space="preserve"> </w:t>
      </w:r>
      <w:r w:rsidRPr="008D3E71">
        <w:rPr>
          <w:rFonts w:eastAsia="Times New Roman"/>
          <w:lang w:eastAsia="de-DE"/>
        </w:rPr>
        <w:t xml:space="preserve">als Objektkonjunktion („dass"), </w:t>
      </w:r>
      <w:r w:rsidRPr="008D3E71">
        <w:rPr>
          <w:rFonts w:eastAsia="Times New Roman"/>
          <w:b/>
          <w:bCs/>
          <w:rtl/>
          <w:lang w:eastAsia="de-DE"/>
        </w:rPr>
        <w:t>יְהוָה</w:t>
      </w:r>
      <w:r w:rsidRPr="008D3E71">
        <w:rPr>
          <w:rFonts w:eastAsia="Times New Roman"/>
          <w:rtl/>
          <w:lang w:eastAsia="de-DE"/>
        </w:rPr>
        <w:t xml:space="preserve"> </w:t>
      </w:r>
      <w:r w:rsidRPr="008D3E71">
        <w:rPr>
          <w:rFonts w:eastAsia="Times New Roman"/>
          <w:lang w:eastAsia="de-DE"/>
        </w:rPr>
        <w:t xml:space="preserve">als Subjekt, </w:t>
      </w:r>
      <w:r w:rsidRPr="008D3E71">
        <w:rPr>
          <w:rFonts w:eastAsia="Times New Roman"/>
          <w:b/>
          <w:bCs/>
          <w:rtl/>
          <w:lang w:eastAsia="de-DE"/>
        </w:rPr>
        <w:t>הוּא</w:t>
      </w:r>
      <w:r w:rsidRPr="008D3E71">
        <w:rPr>
          <w:rFonts w:eastAsia="Times New Roman"/>
          <w:rtl/>
          <w:lang w:eastAsia="de-DE"/>
        </w:rPr>
        <w:t xml:space="preserve"> </w:t>
      </w:r>
      <w:r w:rsidRPr="008D3E71">
        <w:rPr>
          <w:rFonts w:eastAsia="Times New Roman"/>
          <w:lang w:eastAsia="de-DE"/>
        </w:rPr>
        <w:t xml:space="preserve">als emphatisches Pronomen, </w:t>
      </w:r>
      <w:r w:rsidRPr="008D3E71">
        <w:rPr>
          <w:rFonts w:eastAsia="Times New Roman"/>
          <w:b/>
          <w:bCs/>
          <w:rtl/>
          <w:lang w:eastAsia="de-DE"/>
        </w:rPr>
        <w:t>הָאֱלֹהִים</w:t>
      </w:r>
      <w:r w:rsidRPr="008D3E71">
        <w:rPr>
          <w:rFonts w:eastAsia="Times New Roman"/>
          <w:rtl/>
          <w:lang w:eastAsia="de-DE"/>
        </w:rPr>
        <w:t xml:space="preserve"> </w:t>
      </w:r>
      <w:r w:rsidRPr="008D3E71">
        <w:rPr>
          <w:rFonts w:eastAsia="Times New Roman"/>
          <w:lang w:eastAsia="de-DE"/>
        </w:rPr>
        <w:t>als Prädikatsnomen mit Artikel („der Gott, Gott").</w:t>
      </w:r>
    </w:p>
    <w:p w14:paraId="568D3F33" w14:textId="5EBCD68B"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אֵין עוֹד מִלְבַדּוֹ</w:t>
      </w:r>
      <w:r w:rsidRPr="008D3E71">
        <w:rPr>
          <w:rFonts w:eastAsia="Times New Roman"/>
          <w:rtl/>
          <w:lang w:eastAsia="de-DE"/>
        </w:rPr>
        <w:t xml:space="preserve"> </w:t>
      </w:r>
      <w:r w:rsidRPr="008D3E71">
        <w:rPr>
          <w:rFonts w:eastAsia="Times New Roman"/>
          <w:lang w:eastAsia="de-DE"/>
        </w:rPr>
        <w:t xml:space="preserve">ist ein koordinierter nominaler Satz mit Negation: </w:t>
      </w:r>
      <w:r w:rsidRPr="008D3E71">
        <w:rPr>
          <w:rFonts w:eastAsia="Times New Roman"/>
          <w:b/>
          <w:bCs/>
          <w:rtl/>
          <w:lang w:eastAsia="de-DE"/>
        </w:rPr>
        <w:t>אֵין</w:t>
      </w:r>
      <w:r w:rsidRPr="008D3E71">
        <w:rPr>
          <w:rFonts w:eastAsia="Times New Roman"/>
          <w:rtl/>
          <w:lang w:eastAsia="de-DE"/>
        </w:rPr>
        <w:t xml:space="preserve"> </w:t>
      </w:r>
      <w:r w:rsidRPr="008D3E71">
        <w:rPr>
          <w:rFonts w:eastAsia="Times New Roman"/>
          <w:lang w:eastAsia="de-DE"/>
        </w:rPr>
        <w:t xml:space="preserve">als Negationspartikel („es gibt nicht"), </w:t>
      </w:r>
      <w:r w:rsidRPr="008D3E71">
        <w:rPr>
          <w:rFonts w:eastAsia="Times New Roman"/>
          <w:b/>
          <w:bCs/>
          <w:rtl/>
          <w:lang w:eastAsia="de-DE"/>
        </w:rPr>
        <w:t>עוֹד</w:t>
      </w:r>
      <w:r w:rsidRPr="008D3E71">
        <w:rPr>
          <w:rFonts w:eastAsia="Times New Roman"/>
          <w:rtl/>
          <w:lang w:eastAsia="de-DE"/>
        </w:rPr>
        <w:t xml:space="preserve"> </w:t>
      </w:r>
      <w:r w:rsidRPr="008D3E71">
        <w:rPr>
          <w:rFonts w:eastAsia="Times New Roman"/>
          <w:lang w:eastAsia="de-DE"/>
        </w:rPr>
        <w:t xml:space="preserve">als Adverb („noch, weiter, ein anderer"), </w:t>
      </w:r>
      <w:r w:rsidRPr="008D3E71">
        <w:rPr>
          <w:rFonts w:eastAsia="Times New Roman"/>
          <w:b/>
          <w:bCs/>
          <w:rtl/>
          <w:lang w:eastAsia="de-DE"/>
        </w:rPr>
        <w:t>מִלְבַדּוֹ</w:t>
      </w:r>
      <w:r w:rsidRPr="008D3E71">
        <w:rPr>
          <w:rFonts w:eastAsia="Times New Roman"/>
          <w:rtl/>
          <w:lang w:eastAsia="de-DE"/>
        </w:rPr>
        <w:t xml:space="preserve"> </w:t>
      </w:r>
      <w:r w:rsidRPr="008D3E71">
        <w:rPr>
          <w:rFonts w:eastAsia="Times New Roman"/>
          <w:lang w:eastAsia="de-DE"/>
        </w:rPr>
        <w:t xml:space="preserve">als Präposition </w:t>
      </w:r>
      <w:r w:rsidRPr="008D3E71">
        <w:rPr>
          <w:rFonts w:eastAsia="Times New Roman"/>
          <w:b/>
          <w:bCs/>
          <w:rtl/>
          <w:lang w:eastAsia="de-DE"/>
        </w:rPr>
        <w:t>מִן</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לְבַד</w:t>
      </w:r>
      <w:r w:rsidRPr="008D3E71">
        <w:rPr>
          <w:rFonts w:eastAsia="Times New Roman"/>
          <w:rtl/>
          <w:lang w:eastAsia="de-DE"/>
        </w:rPr>
        <w:t xml:space="preserve"> </w:t>
      </w:r>
      <w:r w:rsidRPr="008D3E71">
        <w:rPr>
          <w:rFonts w:eastAsia="Times New Roman"/>
          <w:lang w:eastAsia="de-DE"/>
        </w:rPr>
        <w:t xml:space="preserve">(„außer, abgesehen von") und Suffix 3. Person Singular maskulin. Die Konstruktion </w:t>
      </w:r>
      <w:r w:rsidRPr="008D3E71">
        <w:rPr>
          <w:rFonts w:eastAsia="Times New Roman"/>
          <w:b/>
          <w:bCs/>
          <w:rtl/>
          <w:lang w:eastAsia="de-DE"/>
        </w:rPr>
        <w:t>אֵין עוֹד מִלְבַדּוֹ</w:t>
      </w:r>
      <w:r w:rsidRPr="008D3E71">
        <w:rPr>
          <w:rFonts w:eastAsia="Times New Roman"/>
          <w:rtl/>
          <w:lang w:eastAsia="de-DE"/>
        </w:rPr>
        <w:t xml:space="preserve"> </w:t>
      </w:r>
      <w:r w:rsidRPr="008D3E71">
        <w:rPr>
          <w:rFonts w:eastAsia="Times New Roman"/>
          <w:lang w:eastAsia="de-DE"/>
        </w:rPr>
        <w:t>ist eine der stärksten monotheistischen Aussagen im Alten Testament und betont die absolute Einzigartigkeit und Alleinigkeit</w:t>
      </w:r>
      <w:r w:rsidR="00F90130">
        <w:rPr>
          <w:rFonts w:eastAsia="Times New Roman"/>
          <w:lang w:eastAsia="de-DE"/>
        </w:rPr>
        <w:t xml:space="preserve"> </w:t>
      </w:r>
      <w:r w:rsidR="00ED2181">
        <w:rPr>
          <w:rFonts w:eastAsia="Times New Roman"/>
          <w:lang w:eastAsia="de-DE"/>
        </w:rPr>
        <w:t>JHWHs</w:t>
      </w:r>
      <w:r w:rsidRPr="008D3E71">
        <w:rPr>
          <w:rFonts w:eastAsia="Times New Roman"/>
          <w:lang w:eastAsia="de-DE"/>
        </w:rPr>
        <w:t>.</w:t>
      </w:r>
    </w:p>
    <w:p w14:paraId="03BE6724" w14:textId="6CC1800E"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Dieser Vers ist eine theologische Schlüsselaussage des Deuteronomiums und formuliert einen klaren Monotheismus. Die Wendung </w:t>
      </w:r>
      <w:r w:rsidRPr="008D3E71">
        <w:rPr>
          <w:rFonts w:eastAsia="Times New Roman"/>
          <w:b/>
          <w:bCs/>
          <w:rtl/>
          <w:lang w:eastAsia="de-DE"/>
        </w:rPr>
        <w:t>יְהוָה הוּא הָאֱלֹהִים</w:t>
      </w:r>
      <w:r w:rsidRPr="008D3E71">
        <w:rPr>
          <w:rFonts w:eastAsia="Times New Roman"/>
          <w:rtl/>
          <w:lang w:eastAsia="de-DE"/>
        </w:rPr>
        <w:t xml:space="preserve"> </w:t>
      </w:r>
      <w:r w:rsidRPr="008D3E71">
        <w:rPr>
          <w:rFonts w:eastAsia="Times New Roman"/>
          <w:lang w:eastAsia="de-DE"/>
        </w:rPr>
        <w:t>(„</w:t>
      </w:r>
      <w:r w:rsidR="00B77E5E">
        <w:rPr>
          <w:rFonts w:eastAsia="Times New Roman"/>
          <w:lang w:eastAsia="de-DE"/>
        </w:rPr>
        <w:t>JHWH</w:t>
      </w:r>
      <w:r w:rsidRPr="008D3E71">
        <w:rPr>
          <w:rFonts w:eastAsia="Times New Roman"/>
          <w:lang w:eastAsia="de-DE"/>
        </w:rPr>
        <w:t xml:space="preserve">, er ist Gott") mit dem emphatischen </w:t>
      </w:r>
      <w:r w:rsidRPr="008D3E71">
        <w:rPr>
          <w:rFonts w:eastAsia="Times New Roman"/>
          <w:b/>
          <w:bCs/>
          <w:rtl/>
          <w:lang w:eastAsia="de-DE"/>
        </w:rPr>
        <w:t>הוּא</w:t>
      </w:r>
      <w:r w:rsidRPr="008D3E71">
        <w:rPr>
          <w:rFonts w:eastAsia="Times New Roman"/>
          <w:rtl/>
          <w:lang w:eastAsia="de-DE"/>
        </w:rPr>
        <w:t xml:space="preserve"> </w:t>
      </w:r>
      <w:r w:rsidRPr="008D3E71">
        <w:rPr>
          <w:rFonts w:eastAsia="Times New Roman"/>
          <w:lang w:eastAsia="de-DE"/>
        </w:rPr>
        <w:t xml:space="preserve">identifiziert </w:t>
      </w:r>
      <w:r w:rsidR="00F90130">
        <w:rPr>
          <w:rFonts w:eastAsia="Times New Roman"/>
          <w:lang w:eastAsia="de-DE"/>
        </w:rPr>
        <w:t>den Ewige</w:t>
      </w:r>
      <w:r w:rsidRPr="008D3E71">
        <w:rPr>
          <w:rFonts w:eastAsia="Times New Roman"/>
          <w:lang w:eastAsia="de-DE"/>
        </w:rPr>
        <w:t xml:space="preserve"> als den einzigen wahren Gott. Die nachfolgende absolute Negation </w:t>
      </w:r>
      <w:r w:rsidRPr="008D3E71">
        <w:rPr>
          <w:rFonts w:eastAsia="Times New Roman"/>
          <w:b/>
          <w:bCs/>
          <w:rtl/>
          <w:lang w:eastAsia="de-DE"/>
        </w:rPr>
        <w:t>אֵין עוֹד מִלְבַדּוֹ</w:t>
      </w:r>
      <w:r w:rsidRPr="008D3E71">
        <w:rPr>
          <w:rFonts w:eastAsia="Times New Roman"/>
          <w:rtl/>
          <w:lang w:eastAsia="de-DE"/>
        </w:rPr>
        <w:t xml:space="preserve"> </w:t>
      </w:r>
      <w:r w:rsidRPr="008D3E71">
        <w:rPr>
          <w:rFonts w:eastAsia="Times New Roman"/>
          <w:lang w:eastAsia="de-DE"/>
        </w:rPr>
        <w:t>(„es gibt keinen anderen außer ihm") schließt die Existenz anderer Götter kategorisch aus.</w:t>
      </w:r>
    </w:p>
    <w:p w14:paraId="3A877ADD"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Satzstruktur besteht aus einem Hauptsatz mit emphatischem Pronomen als Subjekt, Hofal-Perfekt-Prädikat und finalem bzw. gerundialen Infinitiv, einem Objektsatz mit Subjekt, emphatischem Pronomen und Prädikatsnomen mit Artikel, und einem koordinierten nominalen Negationssatz mit Adverb und präpositionaler Einschränkung. Die doppelte Betonung durch emphatische Pronomen (</w:t>
      </w:r>
      <w:r w:rsidRPr="008D3E71">
        <w:rPr>
          <w:rFonts w:eastAsia="Times New Roman"/>
          <w:b/>
          <w:bCs/>
          <w:rtl/>
          <w:lang w:eastAsia="de-DE"/>
        </w:rPr>
        <w:t>אַתָּה</w:t>
      </w:r>
      <w:r w:rsidRPr="008D3E71">
        <w:rPr>
          <w:rFonts w:eastAsia="Times New Roman"/>
          <w:rtl/>
          <w:lang w:eastAsia="de-DE"/>
        </w:rPr>
        <w:t xml:space="preserve"> </w:t>
      </w:r>
      <w:r w:rsidRPr="008D3E71">
        <w:rPr>
          <w:rFonts w:eastAsia="Times New Roman"/>
          <w:lang w:eastAsia="de-DE"/>
        </w:rPr>
        <w:t xml:space="preserve">und </w:t>
      </w:r>
      <w:r w:rsidRPr="008D3E71">
        <w:rPr>
          <w:rFonts w:eastAsia="Times New Roman"/>
          <w:b/>
          <w:bCs/>
          <w:rtl/>
          <w:lang w:eastAsia="de-DE"/>
        </w:rPr>
        <w:t>הוּא</w:t>
      </w:r>
      <w:r w:rsidRPr="008D3E71">
        <w:rPr>
          <w:rFonts w:eastAsia="Times New Roman"/>
          <w:lang w:eastAsia="de-DE"/>
        </w:rPr>
        <w:t>) und absolute Negation unterstreicht die fundamentale theologische Aussage.</w:t>
      </w:r>
    </w:p>
    <w:p w14:paraId="7A813F42" w14:textId="4D04B980"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lastRenderedPageBreak/>
        <w:t xml:space="preserve">Der Vers zieht die theologische Konsequenz aus den vorherigen rhetorischen Fragen: Israel wurde durch all diese Erfahrungen gelehrt, dass </w:t>
      </w:r>
      <w:r w:rsidR="00B77E5E">
        <w:rPr>
          <w:rFonts w:eastAsia="Times New Roman"/>
          <w:lang w:eastAsia="de-DE"/>
        </w:rPr>
        <w:t>JHWH</w:t>
      </w:r>
      <w:r w:rsidRPr="008D3E71">
        <w:rPr>
          <w:rFonts w:eastAsia="Times New Roman"/>
          <w:lang w:eastAsia="de-DE"/>
        </w:rPr>
        <w:t xml:space="preserve"> der einzige Gott ist – eine klare monotheistische Bekenntnisaussage.</w:t>
      </w:r>
    </w:p>
    <w:p w14:paraId="102FC554"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4,36</w:t>
      </w:r>
    </w:p>
    <w:p w14:paraId="13B1E675"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מִן־הַשָּׁמַ֛יִם הִשְׁמִֽיעֲךָ֥ אֶת־קֹלֹ֖ו לְיַסְּרֶ֑ךָּ וְעַל־הָאָ֗רֶץ הֶרְאֲךָ֙ אֶת־אִשֹּׁ֣ו הַגְּדוֹלָ֔ה וּדְבָרָ֥יו שָׁמַ֖עְתָּ מִתּ֥וֹךְ הָאֵֽשׁ׃</w:t>
      </w:r>
    </w:p>
    <w:p w14:paraId="2AE2E029"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Vom Himmel her hat er dich seine Stimme hören lassen, um dich zu unterweisen; und auf der Erde hat er dich sein großes Feuer sehen lassen, und seine Worte hast du gehört mitten aus dem Feuer.</w:t>
      </w:r>
    </w:p>
    <w:p w14:paraId="5CBE4D93"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02B47877">
          <v:rect id="_x0000_i1172" style="width:0;height:1.5pt" o:hralign="center" o:hrstd="t" o:hr="t" fillcolor="#a0a0a0" stroked="f"/>
        </w:pict>
      </w:r>
    </w:p>
    <w:p w14:paraId="0BB2E196"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מִן־הַשָּׁמַיִם הִשְׁמִיעֲךָ אֶת־קֹלוֹ לְיַסְּרֶךָּ</w:t>
      </w:r>
      <w:r w:rsidRPr="008D3E71">
        <w:rPr>
          <w:rFonts w:eastAsia="Times New Roman"/>
          <w:rtl/>
          <w:lang w:eastAsia="de-DE"/>
        </w:rPr>
        <w:t xml:space="preserve"> </w:t>
      </w:r>
      <w:r w:rsidRPr="008D3E71">
        <w:rPr>
          <w:rFonts w:eastAsia="Times New Roman"/>
          <w:lang w:eastAsia="de-DE"/>
        </w:rPr>
        <w:t xml:space="preserve">ist ein Hauptsatz: </w:t>
      </w:r>
      <w:r w:rsidRPr="008D3E71">
        <w:rPr>
          <w:rFonts w:eastAsia="Times New Roman"/>
          <w:b/>
          <w:bCs/>
          <w:rtl/>
          <w:lang w:eastAsia="de-DE"/>
        </w:rPr>
        <w:t>מִן־הַשָּׁמַיִם</w:t>
      </w:r>
      <w:r w:rsidRPr="008D3E71">
        <w:rPr>
          <w:rFonts w:eastAsia="Times New Roman"/>
          <w:rtl/>
          <w:lang w:eastAsia="de-DE"/>
        </w:rPr>
        <w:t xml:space="preserve"> </w:t>
      </w:r>
      <w:r w:rsidRPr="008D3E71">
        <w:rPr>
          <w:rFonts w:eastAsia="Times New Roman"/>
          <w:lang w:eastAsia="de-DE"/>
        </w:rPr>
        <w:t>als Herkunftsangabe (</w:t>
      </w:r>
      <w:r w:rsidRPr="008D3E71">
        <w:rPr>
          <w:rFonts w:eastAsia="Times New Roman"/>
          <w:b/>
          <w:bCs/>
          <w:rtl/>
          <w:lang w:eastAsia="de-DE"/>
        </w:rPr>
        <w:t>מִן</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הַשָּׁמַיִם</w:t>
      </w:r>
      <w:r w:rsidRPr="008D3E71">
        <w:rPr>
          <w:rFonts w:eastAsia="Times New Roman"/>
          <w:lang w:eastAsia="de-DE"/>
        </w:rPr>
        <w:t xml:space="preserve">, „die Himmel", Dual), vorangestellt, </w:t>
      </w:r>
      <w:r w:rsidRPr="008D3E71">
        <w:rPr>
          <w:rFonts w:eastAsia="Times New Roman"/>
          <w:b/>
          <w:bCs/>
          <w:rtl/>
          <w:lang w:eastAsia="de-DE"/>
        </w:rPr>
        <w:t>הִשְׁמִיעֲךָ</w:t>
      </w:r>
      <w:r w:rsidRPr="008D3E71">
        <w:rPr>
          <w:rFonts w:eastAsia="Times New Roman"/>
          <w:rtl/>
          <w:lang w:eastAsia="de-DE"/>
        </w:rPr>
        <w:t xml:space="preserve"> </w:t>
      </w:r>
      <w:r w:rsidRPr="008D3E71">
        <w:rPr>
          <w:rFonts w:eastAsia="Times New Roman"/>
          <w:lang w:eastAsia="de-DE"/>
        </w:rPr>
        <w:t xml:space="preserve">als Hifil Perfekt, 3. Person Singular maskulin von </w:t>
      </w:r>
      <w:r w:rsidRPr="008D3E71">
        <w:rPr>
          <w:rFonts w:eastAsia="Times New Roman"/>
          <w:b/>
          <w:bCs/>
          <w:rtl/>
          <w:lang w:eastAsia="de-DE"/>
        </w:rPr>
        <w:t>שׁמע</w:t>
      </w:r>
      <w:r w:rsidRPr="008D3E71">
        <w:rPr>
          <w:rFonts w:eastAsia="Times New Roman"/>
          <w:rtl/>
          <w:lang w:eastAsia="de-DE"/>
        </w:rPr>
        <w:t xml:space="preserve"> </w:t>
      </w:r>
      <w:r w:rsidRPr="008D3E71">
        <w:rPr>
          <w:rFonts w:eastAsia="Times New Roman"/>
          <w:lang w:eastAsia="de-DE"/>
        </w:rPr>
        <w:t xml:space="preserve">(„hören lassen") mit Suffix 2. Person Singular maskulin als indirektes Objekt, </w:t>
      </w:r>
      <w:r w:rsidRPr="008D3E71">
        <w:rPr>
          <w:rFonts w:eastAsia="Times New Roman"/>
          <w:b/>
          <w:bCs/>
          <w:rtl/>
          <w:lang w:eastAsia="de-DE"/>
        </w:rPr>
        <w:t>אֶת־קֹלוֹ</w:t>
      </w:r>
      <w:r w:rsidRPr="008D3E71">
        <w:rPr>
          <w:rFonts w:eastAsia="Times New Roman"/>
          <w:rtl/>
          <w:lang w:eastAsia="de-DE"/>
        </w:rPr>
        <w:t xml:space="preserve"> </w:t>
      </w:r>
      <w:r w:rsidRPr="008D3E71">
        <w:rPr>
          <w:rFonts w:eastAsia="Times New Roman"/>
          <w:lang w:eastAsia="de-DE"/>
        </w:rPr>
        <w:t>als direktes Objekt (</w:t>
      </w:r>
      <w:r w:rsidRPr="008D3E71">
        <w:rPr>
          <w:rFonts w:eastAsia="Times New Roman"/>
          <w:b/>
          <w:bCs/>
          <w:rtl/>
          <w:lang w:eastAsia="de-DE"/>
        </w:rPr>
        <w:t>קוֹל</w:t>
      </w:r>
      <w:r w:rsidRPr="008D3E71">
        <w:rPr>
          <w:rFonts w:eastAsia="Times New Roman"/>
          <w:lang w:eastAsia="de-DE"/>
        </w:rPr>
        <w:t xml:space="preserve">, „Stimme", mit Suffix 3. Person Singular maskulin), </w:t>
      </w:r>
      <w:r w:rsidRPr="008D3E71">
        <w:rPr>
          <w:rFonts w:eastAsia="Times New Roman"/>
          <w:b/>
          <w:bCs/>
          <w:rtl/>
          <w:lang w:eastAsia="de-DE"/>
        </w:rPr>
        <w:t>לְיַסְּרֶךָּ</w:t>
      </w:r>
      <w:r w:rsidRPr="008D3E71">
        <w:rPr>
          <w:rFonts w:eastAsia="Times New Roman"/>
          <w:rtl/>
          <w:lang w:eastAsia="de-DE"/>
        </w:rPr>
        <w:t xml:space="preserve"> </w:t>
      </w:r>
      <w:r w:rsidRPr="008D3E71">
        <w:rPr>
          <w:rFonts w:eastAsia="Times New Roman"/>
          <w:lang w:eastAsia="de-DE"/>
        </w:rPr>
        <w:t xml:space="preserve">als Piel Infinitiv Construct von </w:t>
      </w:r>
      <w:r w:rsidRPr="008D3E71">
        <w:rPr>
          <w:rFonts w:eastAsia="Times New Roman"/>
          <w:b/>
          <w:bCs/>
          <w:rtl/>
          <w:lang w:eastAsia="de-DE"/>
        </w:rPr>
        <w:t>יסר</w:t>
      </w:r>
      <w:r w:rsidRPr="008D3E71">
        <w:rPr>
          <w:rFonts w:eastAsia="Times New Roman"/>
          <w:rtl/>
          <w:lang w:eastAsia="de-DE"/>
        </w:rPr>
        <w:t xml:space="preserve"> </w:t>
      </w:r>
      <w:r w:rsidRPr="008D3E71">
        <w:rPr>
          <w:rFonts w:eastAsia="Times New Roman"/>
          <w:lang w:eastAsia="de-DE"/>
        </w:rPr>
        <w:t xml:space="preserve">(„unterweisen, züchtigen, erziehen") mit </w:t>
      </w:r>
      <w:r w:rsidRPr="008D3E71">
        <w:rPr>
          <w:rFonts w:eastAsia="Times New Roman"/>
          <w:b/>
          <w:bCs/>
          <w:rtl/>
          <w:lang w:eastAsia="de-DE"/>
        </w:rPr>
        <w:t>לְ</w:t>
      </w:r>
      <w:r w:rsidRPr="008D3E71">
        <w:rPr>
          <w:rFonts w:eastAsia="Times New Roman"/>
          <w:rtl/>
          <w:lang w:eastAsia="de-DE"/>
        </w:rPr>
        <w:t xml:space="preserve"> </w:t>
      </w:r>
      <w:r w:rsidRPr="008D3E71">
        <w:rPr>
          <w:rFonts w:eastAsia="Times New Roman"/>
          <w:lang w:eastAsia="de-DE"/>
        </w:rPr>
        <w:t>(final) und Suffix 2. Person Singular maskulin als direktes Objekt.</w:t>
      </w:r>
    </w:p>
    <w:p w14:paraId="68850185"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וְעַל־הָאָרֶץ הֶרְאֲךָ אֶת־אִשּׁוֹ הַגְּדוֹלָה</w:t>
      </w:r>
      <w:r w:rsidRPr="008D3E71">
        <w:rPr>
          <w:rFonts w:eastAsia="Times New Roman"/>
          <w:rtl/>
          <w:lang w:eastAsia="de-DE"/>
        </w:rPr>
        <w:t xml:space="preserve"> </w:t>
      </w:r>
      <w:r w:rsidRPr="008D3E71">
        <w:rPr>
          <w:rFonts w:eastAsia="Times New Roman"/>
          <w:lang w:eastAsia="de-DE"/>
        </w:rPr>
        <w:t xml:space="preserve">ist parallel strukturiert: </w:t>
      </w:r>
      <w:r w:rsidRPr="008D3E71">
        <w:rPr>
          <w:rFonts w:eastAsia="Times New Roman"/>
          <w:b/>
          <w:bCs/>
          <w:rtl/>
          <w:lang w:eastAsia="de-DE"/>
        </w:rPr>
        <w:t>וְעַל־הָאָרֶץ</w:t>
      </w:r>
      <w:r w:rsidRPr="008D3E71">
        <w:rPr>
          <w:rFonts w:eastAsia="Times New Roman"/>
          <w:rtl/>
          <w:lang w:eastAsia="de-DE"/>
        </w:rPr>
        <w:t xml:space="preserve"> </w:t>
      </w:r>
      <w:r w:rsidRPr="008D3E71">
        <w:rPr>
          <w:rFonts w:eastAsia="Times New Roman"/>
          <w:lang w:eastAsia="de-DE"/>
        </w:rPr>
        <w:t>als kontrastierende Ortsangabe (</w:t>
      </w:r>
      <w:r w:rsidRPr="008D3E71">
        <w:rPr>
          <w:rFonts w:eastAsia="Times New Roman"/>
          <w:b/>
          <w:bCs/>
          <w:rtl/>
          <w:lang w:eastAsia="de-DE"/>
        </w:rPr>
        <w:t>וְ</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עַל</w:t>
      </w:r>
      <w:r w:rsidRPr="008D3E71">
        <w:rPr>
          <w:rFonts w:eastAsia="Times New Roman"/>
          <w:rtl/>
          <w:lang w:eastAsia="de-DE"/>
        </w:rPr>
        <w:t xml:space="preserve"> </w:t>
      </w:r>
      <w:r w:rsidRPr="008D3E71">
        <w:rPr>
          <w:rFonts w:eastAsia="Times New Roman"/>
          <w:lang w:eastAsia="de-DE"/>
        </w:rPr>
        <w:t xml:space="preserve">und </w:t>
      </w:r>
      <w:r w:rsidRPr="008D3E71">
        <w:rPr>
          <w:rFonts w:eastAsia="Times New Roman"/>
          <w:b/>
          <w:bCs/>
          <w:rtl/>
          <w:lang w:eastAsia="de-DE"/>
        </w:rPr>
        <w:t>הָאָרֶץ</w:t>
      </w:r>
      <w:r w:rsidRPr="008D3E71">
        <w:rPr>
          <w:rFonts w:eastAsia="Times New Roman"/>
          <w:lang w:eastAsia="de-DE"/>
        </w:rPr>
        <w:t xml:space="preserve">, „die Erde"), </w:t>
      </w:r>
      <w:r w:rsidRPr="008D3E71">
        <w:rPr>
          <w:rFonts w:eastAsia="Times New Roman"/>
          <w:b/>
          <w:bCs/>
          <w:rtl/>
          <w:lang w:eastAsia="de-DE"/>
        </w:rPr>
        <w:t>הֶרְאֲךָ</w:t>
      </w:r>
      <w:r w:rsidRPr="008D3E71">
        <w:rPr>
          <w:rFonts w:eastAsia="Times New Roman"/>
          <w:rtl/>
          <w:lang w:eastAsia="de-DE"/>
        </w:rPr>
        <w:t xml:space="preserve"> </w:t>
      </w:r>
      <w:r w:rsidRPr="008D3E71">
        <w:rPr>
          <w:rFonts w:eastAsia="Times New Roman"/>
          <w:lang w:eastAsia="de-DE"/>
        </w:rPr>
        <w:t xml:space="preserve">als Hifil Perfekt, 3. Person Singular maskulin von </w:t>
      </w:r>
      <w:r w:rsidRPr="008D3E71">
        <w:rPr>
          <w:rFonts w:eastAsia="Times New Roman"/>
          <w:b/>
          <w:bCs/>
          <w:rtl/>
          <w:lang w:eastAsia="de-DE"/>
        </w:rPr>
        <w:t>ראה</w:t>
      </w:r>
      <w:r w:rsidRPr="008D3E71">
        <w:rPr>
          <w:rFonts w:eastAsia="Times New Roman"/>
          <w:rtl/>
          <w:lang w:eastAsia="de-DE"/>
        </w:rPr>
        <w:t xml:space="preserve"> </w:t>
      </w:r>
      <w:r w:rsidRPr="008D3E71">
        <w:rPr>
          <w:rFonts w:eastAsia="Times New Roman"/>
          <w:lang w:eastAsia="de-DE"/>
        </w:rPr>
        <w:t xml:space="preserve">(„sehen lassen, zeigen") mit Suffix 2. Person Singular maskulin als indirektes Objekt, </w:t>
      </w:r>
      <w:r w:rsidRPr="008D3E71">
        <w:rPr>
          <w:rFonts w:eastAsia="Times New Roman"/>
          <w:b/>
          <w:bCs/>
          <w:rtl/>
          <w:lang w:eastAsia="de-DE"/>
        </w:rPr>
        <w:t>אֶת־אִשּׁוֹ הַגְּדוֹלָה</w:t>
      </w:r>
      <w:r w:rsidRPr="008D3E71">
        <w:rPr>
          <w:rFonts w:eastAsia="Times New Roman"/>
          <w:rtl/>
          <w:lang w:eastAsia="de-DE"/>
        </w:rPr>
        <w:t xml:space="preserve"> </w:t>
      </w:r>
      <w:r w:rsidRPr="008D3E71">
        <w:rPr>
          <w:rFonts w:eastAsia="Times New Roman"/>
          <w:lang w:eastAsia="de-DE"/>
        </w:rPr>
        <w:t>als direktes Objekt (</w:t>
      </w:r>
      <w:r w:rsidRPr="008D3E71">
        <w:rPr>
          <w:rFonts w:eastAsia="Times New Roman"/>
          <w:b/>
          <w:bCs/>
          <w:rtl/>
          <w:lang w:eastAsia="de-DE"/>
        </w:rPr>
        <w:t>אֵשׁ</w:t>
      </w:r>
      <w:r w:rsidRPr="008D3E71">
        <w:rPr>
          <w:rFonts w:eastAsia="Times New Roman"/>
          <w:lang w:eastAsia="de-DE"/>
        </w:rPr>
        <w:t xml:space="preserve">, „Feuer", mit Suffix 3. Person Singular maskulin und Adjektiv </w:t>
      </w:r>
      <w:r w:rsidRPr="008D3E71">
        <w:rPr>
          <w:rFonts w:eastAsia="Times New Roman"/>
          <w:b/>
          <w:bCs/>
          <w:rtl/>
          <w:lang w:eastAsia="de-DE"/>
        </w:rPr>
        <w:t>הַגְּדוֹלָה</w:t>
      </w:r>
      <w:r w:rsidRPr="008D3E71">
        <w:rPr>
          <w:rFonts w:eastAsia="Times New Roman"/>
          <w:lang w:eastAsia="de-DE"/>
        </w:rPr>
        <w:t>, „groß", feminin Singular mit Artikel).</w:t>
      </w:r>
    </w:p>
    <w:p w14:paraId="519836D6"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וּדְבָרָיו שָׁמַעְתָּ מִתּוֹךְ הָאֵשׁ</w:t>
      </w:r>
      <w:r w:rsidRPr="008D3E71">
        <w:rPr>
          <w:rFonts w:eastAsia="Times New Roman"/>
          <w:rtl/>
          <w:lang w:eastAsia="de-DE"/>
        </w:rPr>
        <w:t xml:space="preserve"> </w:t>
      </w:r>
      <w:r w:rsidRPr="008D3E71">
        <w:rPr>
          <w:rFonts w:eastAsia="Times New Roman"/>
          <w:lang w:eastAsia="de-DE"/>
        </w:rPr>
        <w:t xml:space="preserve">ist koordiniert: </w:t>
      </w:r>
      <w:r w:rsidRPr="008D3E71">
        <w:rPr>
          <w:rFonts w:eastAsia="Times New Roman"/>
          <w:b/>
          <w:bCs/>
          <w:rtl/>
          <w:lang w:eastAsia="de-DE"/>
        </w:rPr>
        <w:t>וְ</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דְבָרָיו</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דָּבָר</w:t>
      </w:r>
      <w:r w:rsidRPr="008D3E71">
        <w:rPr>
          <w:rFonts w:eastAsia="Times New Roman"/>
          <w:lang w:eastAsia="de-DE"/>
        </w:rPr>
        <w:t xml:space="preserve">, „Wort", Plural mit Suffix 3. Person Singular maskulin) als vorausgestelltes direktes Objekt, </w:t>
      </w:r>
      <w:r w:rsidRPr="008D3E71">
        <w:rPr>
          <w:rFonts w:eastAsia="Times New Roman"/>
          <w:b/>
          <w:bCs/>
          <w:rtl/>
          <w:lang w:eastAsia="de-DE"/>
        </w:rPr>
        <w:t>שָׁמַעְתָּ</w:t>
      </w:r>
      <w:r w:rsidRPr="008D3E71">
        <w:rPr>
          <w:rFonts w:eastAsia="Times New Roman"/>
          <w:rtl/>
          <w:lang w:eastAsia="de-DE"/>
        </w:rPr>
        <w:t xml:space="preserve"> </w:t>
      </w:r>
      <w:r w:rsidRPr="008D3E71">
        <w:rPr>
          <w:rFonts w:eastAsia="Times New Roman"/>
          <w:lang w:eastAsia="de-DE"/>
        </w:rPr>
        <w:t xml:space="preserve">als Qal Perfekt, 2. Person Singular maskulin von </w:t>
      </w:r>
      <w:r w:rsidRPr="008D3E71">
        <w:rPr>
          <w:rFonts w:eastAsia="Times New Roman"/>
          <w:b/>
          <w:bCs/>
          <w:rtl/>
          <w:lang w:eastAsia="de-DE"/>
        </w:rPr>
        <w:t>שׁמע</w:t>
      </w:r>
      <w:r w:rsidRPr="008D3E71">
        <w:rPr>
          <w:rFonts w:eastAsia="Times New Roman"/>
          <w:lang w:eastAsia="de-DE"/>
        </w:rPr>
        <w:t xml:space="preserve">, </w:t>
      </w:r>
      <w:r w:rsidRPr="008D3E71">
        <w:rPr>
          <w:rFonts w:eastAsia="Times New Roman"/>
          <w:b/>
          <w:bCs/>
          <w:rtl/>
          <w:lang w:eastAsia="de-DE"/>
        </w:rPr>
        <w:t>מִתּוֹךְ הָאֵשׁ</w:t>
      </w:r>
      <w:r w:rsidRPr="008D3E71">
        <w:rPr>
          <w:rFonts w:eastAsia="Times New Roman"/>
          <w:rtl/>
          <w:lang w:eastAsia="de-DE"/>
        </w:rPr>
        <w:t xml:space="preserve"> </w:t>
      </w:r>
      <w:r w:rsidRPr="008D3E71">
        <w:rPr>
          <w:rFonts w:eastAsia="Times New Roman"/>
          <w:lang w:eastAsia="de-DE"/>
        </w:rPr>
        <w:t>als Herkunftsangabe (</w:t>
      </w:r>
      <w:r w:rsidRPr="008D3E71">
        <w:rPr>
          <w:rFonts w:eastAsia="Times New Roman"/>
          <w:b/>
          <w:bCs/>
          <w:rtl/>
          <w:lang w:eastAsia="de-DE"/>
        </w:rPr>
        <w:t>מִן</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תּוֹךְ</w:t>
      </w:r>
      <w:r w:rsidRPr="008D3E71">
        <w:rPr>
          <w:rFonts w:eastAsia="Times New Roman"/>
          <w:rtl/>
          <w:lang w:eastAsia="de-DE"/>
        </w:rPr>
        <w:t xml:space="preserve"> </w:t>
      </w:r>
      <w:r w:rsidRPr="008D3E71">
        <w:rPr>
          <w:rFonts w:eastAsia="Times New Roman"/>
          <w:lang w:eastAsia="de-DE"/>
        </w:rPr>
        <w:t xml:space="preserve">im Construct und </w:t>
      </w:r>
      <w:r w:rsidRPr="008D3E71">
        <w:rPr>
          <w:rFonts w:eastAsia="Times New Roman"/>
          <w:b/>
          <w:bCs/>
          <w:rtl/>
          <w:lang w:eastAsia="de-DE"/>
        </w:rPr>
        <w:t>הָאֵשׁ</w:t>
      </w:r>
      <w:r w:rsidRPr="008D3E71">
        <w:rPr>
          <w:rFonts w:eastAsia="Times New Roman"/>
          <w:lang w:eastAsia="de-DE"/>
        </w:rPr>
        <w:t xml:space="preserve">). Die Voranstellung des Objekts </w:t>
      </w:r>
      <w:r w:rsidRPr="008D3E71">
        <w:rPr>
          <w:rFonts w:eastAsia="Times New Roman"/>
          <w:b/>
          <w:bCs/>
          <w:rtl/>
          <w:lang w:eastAsia="de-DE"/>
        </w:rPr>
        <w:t>דְבָרָיו</w:t>
      </w:r>
      <w:r w:rsidRPr="008D3E71">
        <w:rPr>
          <w:rFonts w:eastAsia="Times New Roman"/>
          <w:rtl/>
          <w:lang w:eastAsia="de-DE"/>
        </w:rPr>
        <w:t xml:space="preserve"> </w:t>
      </w:r>
      <w:r w:rsidRPr="008D3E71">
        <w:rPr>
          <w:rFonts w:eastAsia="Times New Roman"/>
          <w:lang w:eastAsia="de-DE"/>
        </w:rPr>
        <w:t>betont das Gehörte.</w:t>
      </w:r>
    </w:p>
    <w:p w14:paraId="577CA2AE"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Der Vers beschreibt die doppelte Sinai-Offenbarung: vom Himmel die Stimme, auf der Erde das Feuer. Die Parallelität der Struktur unterstreicht die Vollständigkeit der Offenbarung in beiden kosmischen Bereichen. Das Verb </w:t>
      </w:r>
      <w:r w:rsidRPr="008D3E71">
        <w:rPr>
          <w:rFonts w:eastAsia="Times New Roman"/>
          <w:b/>
          <w:bCs/>
          <w:rtl/>
          <w:lang w:eastAsia="de-DE"/>
        </w:rPr>
        <w:t>יסר</w:t>
      </w:r>
      <w:r w:rsidRPr="008D3E71">
        <w:rPr>
          <w:rFonts w:eastAsia="Times New Roman"/>
          <w:rtl/>
          <w:lang w:eastAsia="de-DE"/>
        </w:rPr>
        <w:t xml:space="preserve"> </w:t>
      </w:r>
      <w:r w:rsidRPr="008D3E71">
        <w:rPr>
          <w:rFonts w:eastAsia="Times New Roman"/>
          <w:lang w:eastAsia="de-DE"/>
        </w:rPr>
        <w:t xml:space="preserve">(„unterweisen, züchtigen") zeigt, dass die Offenbarung einen pädagogischen Zweck hatte. Die Wendung </w:t>
      </w:r>
      <w:r w:rsidRPr="008D3E71">
        <w:rPr>
          <w:rFonts w:eastAsia="Times New Roman"/>
          <w:b/>
          <w:bCs/>
          <w:rtl/>
          <w:lang w:eastAsia="de-DE"/>
        </w:rPr>
        <w:t>מִתּוֹךְ הָאֵשׁ</w:t>
      </w:r>
      <w:r w:rsidRPr="008D3E71">
        <w:rPr>
          <w:rFonts w:eastAsia="Times New Roman"/>
          <w:rtl/>
          <w:lang w:eastAsia="de-DE"/>
        </w:rPr>
        <w:t xml:space="preserve"> </w:t>
      </w:r>
      <w:r w:rsidRPr="008D3E71">
        <w:rPr>
          <w:rFonts w:eastAsia="Times New Roman"/>
          <w:lang w:eastAsia="de-DE"/>
        </w:rPr>
        <w:t>(„mitten aus dem Feuer") nimmt V. 12 wieder auf und betont die paradoxe Natur der Offenbarung: Gott spricht aus dem verzehrenden Element heraus, ohne dass seine Worte vernichtet werden.</w:t>
      </w:r>
    </w:p>
    <w:p w14:paraId="6379DF7A"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Satzstruktur besteht aus zwei parallel konstruierten Hauptsätzen mit jeweils vorangestellter Orts- bzw. Herkunftsangabe, Hifil-Perfekt-Prädikat mit Suffix als indirektem Objekt, direktem Objekt mit Suffix und finalem Infinitiv (im ersten Satz) bzw. Adjektiv (im zweiten Satz), gefolgt von einem koordinierten Satz mit vorausgestelltem direktem Objekt zur Emphase, Prädikat und Herkunftsangabe. Die Parallelität Himmel-Erde strukturiert die Offenbarungserfahrung.</w:t>
      </w:r>
    </w:p>
    <w:p w14:paraId="557F253C"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lastRenderedPageBreak/>
        <w:t>Der Vers beschreibt die zweifache Dimension der Sinai-Offenbarung: vom Himmel die Stimme zur Unterweisung, von der Erde das große Feuer, und aus dem Feuer die göttlichen Worte.</w:t>
      </w:r>
    </w:p>
    <w:p w14:paraId="09C44771"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4,37</w:t>
      </w:r>
    </w:p>
    <w:p w14:paraId="49F568F5"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וְתַ֗חַת כִּ֤י אָהַב֙ אֶת־אֲבֹתֶ֔יךָ וַיִּבְחַ֥ר בְּזַרְעֹ֖ו אַחֲרָ֑יו וַיּוֹצִֽאֲךָ֧ בְּפָנָ֛יו בְּכֹחֹ֥ו הַגָּדֹ֖ל מִמִּצְרָֽיִם׃</w:t>
      </w:r>
    </w:p>
    <w:p w14:paraId="66C84D9A"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Und weil er deine Väter liebte und erwählte ihren Samen nach ihnen, so führte er dich heraus mit seinem Angesicht, mit seiner großen Kraft aus Mizrajim,</w:t>
      </w:r>
    </w:p>
    <w:p w14:paraId="2D55FB8A"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607E310A">
          <v:rect id="_x0000_i1173" style="width:0;height:1.5pt" o:hralign="center" o:hrstd="t" o:hr="t" fillcolor="#a0a0a0" stroked="f"/>
        </w:pict>
      </w:r>
    </w:p>
    <w:p w14:paraId="569FBADE"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וְתַחַת כִּי אָהַב אֶת־אֲבֹתֶיךָ</w:t>
      </w:r>
      <w:r w:rsidRPr="008D3E71">
        <w:rPr>
          <w:rFonts w:eastAsia="Times New Roman"/>
          <w:rtl/>
          <w:lang w:eastAsia="de-DE"/>
        </w:rPr>
        <w:t xml:space="preserve"> </w:t>
      </w:r>
      <w:r w:rsidRPr="008D3E71">
        <w:rPr>
          <w:rFonts w:eastAsia="Times New Roman"/>
          <w:lang w:eastAsia="de-DE"/>
        </w:rPr>
        <w:t xml:space="preserve">ist eine kausale Konstruktion: </w:t>
      </w:r>
      <w:r w:rsidRPr="008D3E71">
        <w:rPr>
          <w:rFonts w:eastAsia="Times New Roman"/>
          <w:b/>
          <w:bCs/>
          <w:rtl/>
          <w:lang w:eastAsia="de-DE"/>
        </w:rPr>
        <w:t>וְתַחַת</w:t>
      </w:r>
      <w:r w:rsidRPr="008D3E71">
        <w:rPr>
          <w:rFonts w:eastAsia="Times New Roman"/>
          <w:rtl/>
          <w:lang w:eastAsia="de-DE"/>
        </w:rPr>
        <w:t xml:space="preserve"> </w:t>
      </w:r>
      <w:r w:rsidRPr="008D3E71">
        <w:rPr>
          <w:rFonts w:eastAsia="Times New Roman"/>
          <w:lang w:eastAsia="de-DE"/>
        </w:rPr>
        <w:t xml:space="preserve">(eigentlich </w:t>
      </w:r>
      <w:r w:rsidRPr="008D3E71">
        <w:rPr>
          <w:rFonts w:eastAsia="Times New Roman"/>
          <w:b/>
          <w:bCs/>
          <w:rtl/>
          <w:lang w:eastAsia="de-DE"/>
        </w:rPr>
        <w:t>תַּחַת</w:t>
      </w:r>
      <w:r w:rsidRPr="008D3E71">
        <w:rPr>
          <w:rFonts w:eastAsia="Times New Roman"/>
          <w:lang w:eastAsia="de-DE"/>
        </w:rPr>
        <w:t xml:space="preserve">, „unter, anstatt", hier mit </w:t>
      </w:r>
      <w:r w:rsidRPr="008D3E71">
        <w:rPr>
          <w:rFonts w:eastAsia="Times New Roman"/>
          <w:b/>
          <w:bCs/>
          <w:rtl/>
          <w:lang w:eastAsia="de-DE"/>
        </w:rPr>
        <w:t>כִּי</w:t>
      </w:r>
      <w:r w:rsidRPr="008D3E71">
        <w:rPr>
          <w:rFonts w:eastAsia="Times New Roman"/>
          <w:rtl/>
          <w:lang w:eastAsia="de-DE"/>
        </w:rPr>
        <w:t xml:space="preserve"> </w:t>
      </w:r>
      <w:r w:rsidRPr="008D3E71">
        <w:rPr>
          <w:rFonts w:eastAsia="Times New Roman"/>
          <w:lang w:eastAsia="de-DE"/>
        </w:rPr>
        <w:t xml:space="preserve">in der Bedeutung „weil, darum dass"), </w:t>
      </w:r>
      <w:r w:rsidRPr="008D3E71">
        <w:rPr>
          <w:rFonts w:eastAsia="Times New Roman"/>
          <w:b/>
          <w:bCs/>
          <w:rtl/>
          <w:lang w:eastAsia="de-DE"/>
        </w:rPr>
        <w:t>כִּי</w:t>
      </w:r>
      <w:r w:rsidRPr="008D3E71">
        <w:rPr>
          <w:rFonts w:eastAsia="Times New Roman"/>
          <w:rtl/>
          <w:lang w:eastAsia="de-DE"/>
        </w:rPr>
        <w:t xml:space="preserve"> </w:t>
      </w:r>
      <w:r w:rsidRPr="008D3E71">
        <w:rPr>
          <w:rFonts w:eastAsia="Times New Roman"/>
          <w:lang w:eastAsia="de-DE"/>
        </w:rPr>
        <w:t xml:space="preserve">als kausale Konjunktion, </w:t>
      </w:r>
      <w:r w:rsidRPr="008D3E71">
        <w:rPr>
          <w:rFonts w:eastAsia="Times New Roman"/>
          <w:b/>
          <w:bCs/>
          <w:rtl/>
          <w:lang w:eastAsia="de-DE"/>
        </w:rPr>
        <w:t>אָהַב</w:t>
      </w:r>
      <w:r w:rsidRPr="008D3E71">
        <w:rPr>
          <w:rFonts w:eastAsia="Times New Roman"/>
          <w:rtl/>
          <w:lang w:eastAsia="de-DE"/>
        </w:rPr>
        <w:t xml:space="preserve"> </w:t>
      </w:r>
      <w:r w:rsidRPr="008D3E71">
        <w:rPr>
          <w:rFonts w:eastAsia="Times New Roman"/>
          <w:lang w:eastAsia="de-DE"/>
        </w:rPr>
        <w:t xml:space="preserve">als Qal Perfekt, 3. Person Singular maskulin von </w:t>
      </w:r>
      <w:r w:rsidRPr="008D3E71">
        <w:rPr>
          <w:rFonts w:eastAsia="Times New Roman"/>
          <w:b/>
          <w:bCs/>
          <w:rtl/>
          <w:lang w:eastAsia="de-DE"/>
        </w:rPr>
        <w:t>אהב</w:t>
      </w:r>
      <w:r w:rsidRPr="008D3E71">
        <w:rPr>
          <w:rFonts w:eastAsia="Times New Roman"/>
          <w:rtl/>
          <w:lang w:eastAsia="de-DE"/>
        </w:rPr>
        <w:t xml:space="preserve"> </w:t>
      </w:r>
      <w:r w:rsidRPr="008D3E71">
        <w:rPr>
          <w:rFonts w:eastAsia="Times New Roman"/>
          <w:lang w:eastAsia="de-DE"/>
        </w:rPr>
        <w:t xml:space="preserve">(„lieben"), </w:t>
      </w:r>
      <w:r w:rsidRPr="008D3E71">
        <w:rPr>
          <w:rFonts w:eastAsia="Times New Roman"/>
          <w:b/>
          <w:bCs/>
          <w:rtl/>
          <w:lang w:eastAsia="de-DE"/>
        </w:rPr>
        <w:t>אֶת־אֲבֹתֶיךָ</w:t>
      </w:r>
      <w:r w:rsidRPr="008D3E71">
        <w:rPr>
          <w:rFonts w:eastAsia="Times New Roman"/>
          <w:rtl/>
          <w:lang w:eastAsia="de-DE"/>
        </w:rPr>
        <w:t xml:space="preserve"> </w:t>
      </w:r>
      <w:r w:rsidRPr="008D3E71">
        <w:rPr>
          <w:rFonts w:eastAsia="Times New Roman"/>
          <w:lang w:eastAsia="de-DE"/>
        </w:rPr>
        <w:t>als direktes Objekt (</w:t>
      </w:r>
      <w:r w:rsidRPr="008D3E71">
        <w:rPr>
          <w:rFonts w:eastAsia="Times New Roman"/>
          <w:b/>
          <w:bCs/>
          <w:rtl/>
          <w:lang w:eastAsia="de-DE"/>
        </w:rPr>
        <w:t>אָבוֹת</w:t>
      </w:r>
      <w:r w:rsidRPr="008D3E71">
        <w:rPr>
          <w:rFonts w:eastAsia="Times New Roman"/>
          <w:lang w:eastAsia="de-DE"/>
        </w:rPr>
        <w:t xml:space="preserve">, „Väter", Plural mit Suffix 2. Person Singular maskulin). Die Konstruktion </w:t>
      </w:r>
      <w:r w:rsidRPr="008D3E71">
        <w:rPr>
          <w:rFonts w:eastAsia="Times New Roman"/>
          <w:b/>
          <w:bCs/>
          <w:rtl/>
          <w:lang w:eastAsia="de-DE"/>
        </w:rPr>
        <w:t>תַחַת כִּי</w:t>
      </w:r>
      <w:r w:rsidRPr="008D3E71">
        <w:rPr>
          <w:rFonts w:eastAsia="Times New Roman"/>
          <w:rtl/>
          <w:lang w:eastAsia="de-DE"/>
        </w:rPr>
        <w:t xml:space="preserve"> </w:t>
      </w:r>
      <w:r w:rsidRPr="008D3E71">
        <w:rPr>
          <w:rFonts w:eastAsia="Times New Roman"/>
          <w:lang w:eastAsia="de-DE"/>
        </w:rPr>
        <w:t>ist eine verstärkte kausale Formel.</w:t>
      </w:r>
    </w:p>
    <w:p w14:paraId="48D0B967"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וַיִּבְחַר בְּזַרְעוֹ אַחֲרָיו</w:t>
      </w:r>
      <w:r w:rsidRPr="008D3E71">
        <w:rPr>
          <w:rFonts w:eastAsia="Times New Roman"/>
          <w:rtl/>
          <w:lang w:eastAsia="de-DE"/>
        </w:rPr>
        <w:t xml:space="preserve"> </w:t>
      </w:r>
      <w:r w:rsidRPr="008D3E71">
        <w:rPr>
          <w:rFonts w:eastAsia="Times New Roman"/>
          <w:lang w:eastAsia="de-DE"/>
        </w:rPr>
        <w:t xml:space="preserve">ist koordiniert: </w:t>
      </w:r>
      <w:r w:rsidRPr="008D3E71">
        <w:rPr>
          <w:rFonts w:eastAsia="Times New Roman"/>
          <w:b/>
          <w:bCs/>
          <w:rtl/>
          <w:lang w:eastAsia="de-DE"/>
        </w:rPr>
        <w:t>וַיִּבְחַר</w:t>
      </w:r>
      <w:r w:rsidRPr="008D3E71">
        <w:rPr>
          <w:rFonts w:eastAsia="Times New Roman"/>
          <w:rtl/>
          <w:lang w:eastAsia="de-DE"/>
        </w:rPr>
        <w:t xml:space="preserve"> </w:t>
      </w:r>
      <w:r w:rsidRPr="008D3E71">
        <w:rPr>
          <w:rFonts w:eastAsia="Times New Roman"/>
          <w:lang w:eastAsia="de-DE"/>
        </w:rPr>
        <w:t xml:space="preserve">(Qal Imperfekt consecutivum, 3. Person Singular maskulin von </w:t>
      </w:r>
      <w:r w:rsidRPr="008D3E71">
        <w:rPr>
          <w:rFonts w:eastAsia="Times New Roman"/>
          <w:b/>
          <w:bCs/>
          <w:rtl/>
          <w:lang w:eastAsia="de-DE"/>
        </w:rPr>
        <w:t>בחר</w:t>
      </w:r>
      <w:r w:rsidRPr="008D3E71">
        <w:rPr>
          <w:rFonts w:eastAsia="Times New Roman"/>
          <w:lang w:eastAsia="de-DE"/>
        </w:rPr>
        <w:t xml:space="preserve">, „erwählen, auswählen", mit Waw), </w:t>
      </w:r>
      <w:r w:rsidRPr="008D3E71">
        <w:rPr>
          <w:rFonts w:eastAsia="Times New Roman"/>
          <w:b/>
          <w:bCs/>
          <w:rtl/>
          <w:lang w:eastAsia="de-DE"/>
        </w:rPr>
        <w:t>בְּזַרְעוֹ</w:t>
      </w:r>
      <w:r w:rsidRPr="008D3E71">
        <w:rPr>
          <w:rFonts w:eastAsia="Times New Roman"/>
          <w:rtl/>
          <w:lang w:eastAsia="de-DE"/>
        </w:rPr>
        <w:t xml:space="preserve"> </w:t>
      </w:r>
      <w:r w:rsidRPr="008D3E71">
        <w:rPr>
          <w:rFonts w:eastAsia="Times New Roman"/>
          <w:lang w:eastAsia="de-DE"/>
        </w:rPr>
        <w:t xml:space="preserve">als Präposition </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זֶרַע</w:t>
      </w:r>
      <w:r w:rsidRPr="008D3E71">
        <w:rPr>
          <w:rFonts w:eastAsia="Times New Roman"/>
          <w:rtl/>
          <w:lang w:eastAsia="de-DE"/>
        </w:rPr>
        <w:t xml:space="preserve"> </w:t>
      </w:r>
      <w:r w:rsidRPr="008D3E71">
        <w:rPr>
          <w:rFonts w:eastAsia="Times New Roman"/>
          <w:lang w:eastAsia="de-DE"/>
        </w:rPr>
        <w:t xml:space="preserve">(„Samen, Nachkommenschaft") und Suffix 3. Person Singular maskulin, </w:t>
      </w:r>
      <w:r w:rsidRPr="008D3E71">
        <w:rPr>
          <w:rFonts w:eastAsia="Times New Roman"/>
          <w:b/>
          <w:bCs/>
          <w:rtl/>
          <w:lang w:eastAsia="de-DE"/>
        </w:rPr>
        <w:t>אַחֲרָיו</w:t>
      </w:r>
      <w:r w:rsidRPr="008D3E71">
        <w:rPr>
          <w:rFonts w:eastAsia="Times New Roman"/>
          <w:rtl/>
          <w:lang w:eastAsia="de-DE"/>
        </w:rPr>
        <w:t xml:space="preserve"> </w:t>
      </w:r>
      <w:r w:rsidRPr="008D3E71">
        <w:rPr>
          <w:rFonts w:eastAsia="Times New Roman"/>
          <w:lang w:eastAsia="de-DE"/>
        </w:rPr>
        <w:t xml:space="preserve">als Präposition </w:t>
      </w:r>
      <w:r w:rsidRPr="008D3E71">
        <w:rPr>
          <w:rFonts w:eastAsia="Times New Roman"/>
          <w:b/>
          <w:bCs/>
          <w:rtl/>
          <w:lang w:eastAsia="de-DE"/>
        </w:rPr>
        <w:t>אַחֲרֵי</w:t>
      </w:r>
      <w:r w:rsidRPr="008D3E71">
        <w:rPr>
          <w:rFonts w:eastAsia="Times New Roman"/>
          <w:rtl/>
          <w:lang w:eastAsia="de-DE"/>
        </w:rPr>
        <w:t xml:space="preserve"> </w:t>
      </w:r>
      <w:r w:rsidRPr="008D3E71">
        <w:rPr>
          <w:rFonts w:eastAsia="Times New Roman"/>
          <w:lang w:eastAsia="de-DE"/>
        </w:rPr>
        <w:t>(„nach") mit Suffix 3. Person Singular maskulin – „nach ihm", d.h. nach dem einzelnen Vater oder nach der Vätergeneration.</w:t>
      </w:r>
    </w:p>
    <w:p w14:paraId="0A658DB2"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וַיּוֹצִאֲךָ בְּפָנָיו בְּכֹחוֹ הַגָּדֹל מִמִּצְרָיִם</w:t>
      </w:r>
      <w:r w:rsidRPr="008D3E71">
        <w:rPr>
          <w:rFonts w:eastAsia="Times New Roman"/>
          <w:rtl/>
          <w:lang w:eastAsia="de-DE"/>
        </w:rPr>
        <w:t xml:space="preserve"> </w:t>
      </w:r>
      <w:r w:rsidRPr="008D3E71">
        <w:rPr>
          <w:rFonts w:eastAsia="Times New Roman"/>
          <w:lang w:eastAsia="de-DE"/>
        </w:rPr>
        <w:t xml:space="preserve">ist wiederum koordiniert: </w:t>
      </w:r>
      <w:r w:rsidRPr="008D3E71">
        <w:rPr>
          <w:rFonts w:eastAsia="Times New Roman"/>
          <w:b/>
          <w:bCs/>
          <w:rtl/>
          <w:lang w:eastAsia="de-DE"/>
        </w:rPr>
        <w:t>וַיּוֹצִאֲךָ</w:t>
      </w:r>
      <w:r w:rsidRPr="008D3E71">
        <w:rPr>
          <w:rFonts w:eastAsia="Times New Roman"/>
          <w:rtl/>
          <w:lang w:eastAsia="de-DE"/>
        </w:rPr>
        <w:t xml:space="preserve"> </w:t>
      </w:r>
      <w:r w:rsidRPr="008D3E71">
        <w:rPr>
          <w:rFonts w:eastAsia="Times New Roman"/>
          <w:lang w:eastAsia="de-DE"/>
        </w:rPr>
        <w:t xml:space="preserve">(Hifil Imperfekt consecutivum, 3. Person Singular maskulin von </w:t>
      </w:r>
      <w:r w:rsidRPr="008D3E71">
        <w:rPr>
          <w:rFonts w:eastAsia="Times New Roman"/>
          <w:b/>
          <w:bCs/>
          <w:rtl/>
          <w:lang w:eastAsia="de-DE"/>
        </w:rPr>
        <w:t>יצא</w:t>
      </w:r>
      <w:r w:rsidRPr="008D3E71">
        <w:rPr>
          <w:rFonts w:eastAsia="Times New Roman"/>
          <w:lang w:eastAsia="de-DE"/>
        </w:rPr>
        <w:t xml:space="preserve">, „herausführen", mit Waw und Suffix 2. Person Singular maskulin als direktes Objekt), </w:t>
      </w:r>
      <w:r w:rsidRPr="008D3E71">
        <w:rPr>
          <w:rFonts w:eastAsia="Times New Roman"/>
          <w:b/>
          <w:bCs/>
          <w:rtl/>
          <w:lang w:eastAsia="de-DE"/>
        </w:rPr>
        <w:t>בְּפָנָיו</w:t>
      </w:r>
      <w:r w:rsidRPr="008D3E71">
        <w:rPr>
          <w:rFonts w:eastAsia="Times New Roman"/>
          <w:rtl/>
          <w:lang w:eastAsia="de-DE"/>
        </w:rPr>
        <w:t xml:space="preserve"> </w:t>
      </w:r>
      <w:r w:rsidRPr="008D3E71">
        <w:rPr>
          <w:rFonts w:eastAsia="Times New Roman"/>
          <w:lang w:eastAsia="de-DE"/>
        </w:rPr>
        <w:t>als instrumentale bzw. modale Bestimmung (</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פָּנִים</w:t>
      </w:r>
      <w:r w:rsidRPr="008D3E71">
        <w:rPr>
          <w:rFonts w:eastAsia="Times New Roman"/>
          <w:lang w:eastAsia="de-DE"/>
        </w:rPr>
        <w:t xml:space="preserve">, „Angesicht", Plural, und Suffix 3. Person Singular maskulin – „mit seinem Angesicht, durch seine Gegenwart"), </w:t>
      </w:r>
      <w:r w:rsidRPr="008D3E71">
        <w:rPr>
          <w:rFonts w:eastAsia="Times New Roman"/>
          <w:b/>
          <w:bCs/>
          <w:rtl/>
          <w:lang w:eastAsia="de-DE"/>
        </w:rPr>
        <w:t>בְּכֹחוֹ הַגָּדֹל</w:t>
      </w:r>
      <w:r w:rsidRPr="008D3E71">
        <w:rPr>
          <w:rFonts w:eastAsia="Times New Roman"/>
          <w:rtl/>
          <w:lang w:eastAsia="de-DE"/>
        </w:rPr>
        <w:t xml:space="preserve"> </w:t>
      </w:r>
      <w:r w:rsidRPr="008D3E71">
        <w:rPr>
          <w:rFonts w:eastAsia="Times New Roman"/>
          <w:lang w:eastAsia="de-DE"/>
        </w:rPr>
        <w:t>als weitere modale Bestimmung (</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כֹּחַ</w:t>
      </w:r>
      <w:r w:rsidRPr="008D3E71">
        <w:rPr>
          <w:rFonts w:eastAsia="Times New Roman"/>
          <w:lang w:eastAsia="de-DE"/>
        </w:rPr>
        <w:t xml:space="preserve">, „Kraft, Macht", und Suffix 3. Person Singular maskulin, sowie Adjektiv </w:t>
      </w:r>
      <w:r w:rsidRPr="008D3E71">
        <w:rPr>
          <w:rFonts w:eastAsia="Times New Roman"/>
          <w:b/>
          <w:bCs/>
          <w:rtl/>
          <w:lang w:eastAsia="de-DE"/>
        </w:rPr>
        <w:t>הַגָּדֹל</w:t>
      </w:r>
      <w:r w:rsidRPr="008D3E71">
        <w:rPr>
          <w:rFonts w:eastAsia="Times New Roman"/>
          <w:lang w:eastAsia="de-DE"/>
        </w:rPr>
        <w:t xml:space="preserve">, „groß", mit Artikel), </w:t>
      </w:r>
      <w:r w:rsidRPr="008D3E71">
        <w:rPr>
          <w:rFonts w:eastAsia="Times New Roman"/>
          <w:b/>
          <w:bCs/>
          <w:rtl/>
          <w:lang w:eastAsia="de-DE"/>
        </w:rPr>
        <w:t>מִמִּצְרָיִם</w:t>
      </w:r>
      <w:r w:rsidRPr="008D3E71">
        <w:rPr>
          <w:rFonts w:eastAsia="Times New Roman"/>
          <w:rtl/>
          <w:lang w:eastAsia="de-DE"/>
        </w:rPr>
        <w:t xml:space="preserve"> </w:t>
      </w:r>
      <w:r w:rsidRPr="008D3E71">
        <w:rPr>
          <w:rFonts w:eastAsia="Times New Roman"/>
          <w:lang w:eastAsia="de-DE"/>
        </w:rPr>
        <w:t>als Herkunftsangabe.</w:t>
      </w:r>
    </w:p>
    <w:p w14:paraId="74F9A101"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Die Liebe Gottes zu den Vätern ist die tiefste Begründung für die Erwählung Israels. Das Verb </w:t>
      </w:r>
      <w:r w:rsidRPr="008D3E71">
        <w:rPr>
          <w:rFonts w:eastAsia="Times New Roman"/>
          <w:b/>
          <w:bCs/>
          <w:rtl/>
          <w:lang w:eastAsia="de-DE"/>
        </w:rPr>
        <w:t>אהב</w:t>
      </w:r>
      <w:r w:rsidRPr="008D3E71">
        <w:rPr>
          <w:rFonts w:eastAsia="Times New Roman"/>
          <w:rtl/>
          <w:lang w:eastAsia="de-DE"/>
        </w:rPr>
        <w:t xml:space="preserve"> </w:t>
      </w:r>
      <w:r w:rsidRPr="008D3E71">
        <w:rPr>
          <w:rFonts w:eastAsia="Times New Roman"/>
          <w:lang w:eastAsia="de-DE"/>
        </w:rPr>
        <w:t xml:space="preserve">(„lieben") in Bezug auf Gottes Beziehung zu den Vätern findet sich mehrfach im Deuteronomium (vgl. 7,8; 10,15) und zeigt, dass die Erwählung nicht auf Israels Verdienst, sondern auf Gottes freier Zuneigung beruht. Die Wendung </w:t>
      </w:r>
      <w:r w:rsidRPr="008D3E71">
        <w:rPr>
          <w:rFonts w:eastAsia="Times New Roman"/>
          <w:b/>
          <w:bCs/>
          <w:rtl/>
          <w:lang w:eastAsia="de-DE"/>
        </w:rPr>
        <w:t>בְּפָנָיו</w:t>
      </w:r>
      <w:r w:rsidRPr="008D3E71">
        <w:rPr>
          <w:rFonts w:eastAsia="Times New Roman"/>
          <w:rtl/>
          <w:lang w:eastAsia="de-DE"/>
        </w:rPr>
        <w:t xml:space="preserve"> </w:t>
      </w:r>
      <w:r w:rsidRPr="008D3E71">
        <w:rPr>
          <w:rFonts w:eastAsia="Times New Roman"/>
          <w:lang w:eastAsia="de-DE"/>
        </w:rPr>
        <w:t xml:space="preserve">(„mit seinem Angesicht") ist bemerkenswert und betont Gottes persönliche Gegenwart beim Exodus. Die Kombination </w:t>
      </w:r>
      <w:r w:rsidRPr="008D3E71">
        <w:rPr>
          <w:rFonts w:eastAsia="Times New Roman"/>
          <w:b/>
          <w:bCs/>
          <w:rtl/>
          <w:lang w:eastAsia="de-DE"/>
        </w:rPr>
        <w:t>בְּפָנָיו בְּכֹחוֹ הַגָּדֹל</w:t>
      </w:r>
      <w:r w:rsidRPr="008D3E71">
        <w:rPr>
          <w:rFonts w:eastAsia="Times New Roman"/>
          <w:rtl/>
          <w:lang w:eastAsia="de-DE"/>
        </w:rPr>
        <w:t xml:space="preserve"> </w:t>
      </w:r>
      <w:r w:rsidRPr="008D3E71">
        <w:rPr>
          <w:rFonts w:eastAsia="Times New Roman"/>
          <w:lang w:eastAsia="de-DE"/>
        </w:rPr>
        <w:t>verbindet die persönliche Präsenz mit der machtvollen Aktion.</w:t>
      </w:r>
    </w:p>
    <w:p w14:paraId="27A29E2C"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Satzstruktur besteht aus einer verstärkten kausalen Konstruktion mit Prädikat und direktem Objekt, zwei koordinierten konsekutiven Verben (das erste mit präpositionalem Objekt und temporaler Präzisierung, das zweite mit direktem Objekt-Suffix und zwei modalen Bestimmungen sowie Herkunftsangabe). Die Struktur zeigt die Kausalkette: Liebe zu den Vätern → Erwählung der Nachkommen → Herausführung aus Ägypten.</w:t>
      </w:r>
    </w:p>
    <w:p w14:paraId="249ACCBC"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lastRenderedPageBreak/>
        <w:t>Der Vers nennt den Grund für Israels Erwählung und Befreiung: Gottes Liebe zu den Vätern, die sich in der Erwählung ihrer Nachkommen und der machtvollen Herausführung aus Ägypten manifestierte.</w:t>
      </w:r>
    </w:p>
    <w:p w14:paraId="61AD1E76"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4,38</w:t>
      </w:r>
    </w:p>
    <w:p w14:paraId="497690B9"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לְהוֹרִ֗ישׁ גּוֹיִ֛ם גְּדֹלִ֧ים וַעֲצֻמִ֛ים מִמְּךָ֖ מִפָּנֶ֑יךָ לַהֲבִֽיאֲךָ֗ לָֽתֶת־לְךָ֧ אֶת־אַרְצָ֛ם נַחֲלָ֖ה כַּיּ֥וֹם הַזֶּֽה׃</w:t>
      </w:r>
    </w:p>
    <w:p w14:paraId="649AECB6"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um zu vertreiben Nationen vor dir, größer und stärker als du, um dich hineinzubringen, um zu geben dir ihr Land als Erbteil, wie es an diesem Tag ist.</w:t>
      </w:r>
    </w:p>
    <w:p w14:paraId="2677E45A"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642C353C">
          <v:rect id="_x0000_i1174" style="width:0;height:1.5pt" o:hralign="center" o:hrstd="t" o:hr="t" fillcolor="#a0a0a0" stroked="f"/>
        </w:pict>
      </w:r>
    </w:p>
    <w:p w14:paraId="60800931"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לְהוֹרִישׁ גּוֹיִם גְּדֹלִים וַעֲצֻמִים מִמְּךָ מִפָּנֶיךָ</w:t>
      </w:r>
      <w:r w:rsidRPr="008D3E71">
        <w:rPr>
          <w:rFonts w:eastAsia="Times New Roman"/>
          <w:rtl/>
          <w:lang w:eastAsia="de-DE"/>
        </w:rPr>
        <w:t xml:space="preserve"> </w:t>
      </w:r>
      <w:r w:rsidRPr="008D3E71">
        <w:rPr>
          <w:rFonts w:eastAsia="Times New Roman"/>
          <w:lang w:eastAsia="de-DE"/>
        </w:rPr>
        <w:t xml:space="preserve">ist eine finale Infinitivkonstruktion: </w:t>
      </w:r>
      <w:r w:rsidRPr="008D3E71">
        <w:rPr>
          <w:rFonts w:eastAsia="Times New Roman"/>
          <w:b/>
          <w:bCs/>
          <w:rtl/>
          <w:lang w:eastAsia="de-DE"/>
        </w:rPr>
        <w:t>לְהוֹרִישׁ</w:t>
      </w:r>
      <w:r w:rsidRPr="008D3E71">
        <w:rPr>
          <w:rFonts w:eastAsia="Times New Roman"/>
          <w:rtl/>
          <w:lang w:eastAsia="de-DE"/>
        </w:rPr>
        <w:t xml:space="preserve"> </w:t>
      </w:r>
      <w:r w:rsidRPr="008D3E71">
        <w:rPr>
          <w:rFonts w:eastAsia="Times New Roman"/>
          <w:lang w:eastAsia="de-DE"/>
        </w:rPr>
        <w:t xml:space="preserve">(Hifil Infinitiv Construct von </w:t>
      </w:r>
      <w:r w:rsidRPr="008D3E71">
        <w:rPr>
          <w:rFonts w:eastAsia="Times New Roman"/>
          <w:b/>
          <w:bCs/>
          <w:rtl/>
          <w:lang w:eastAsia="de-DE"/>
        </w:rPr>
        <w:t>ירשׁ</w:t>
      </w:r>
      <w:r w:rsidRPr="008D3E71">
        <w:rPr>
          <w:rFonts w:eastAsia="Times New Roman"/>
          <w:lang w:eastAsia="de-DE"/>
        </w:rPr>
        <w:t xml:space="preserve">, „vertreiben, enteignen", mit </w:t>
      </w:r>
      <w:r w:rsidRPr="008D3E71">
        <w:rPr>
          <w:rFonts w:eastAsia="Times New Roman"/>
          <w:b/>
          <w:bCs/>
          <w:rtl/>
          <w:lang w:eastAsia="de-DE"/>
        </w:rPr>
        <w:t>לְ</w:t>
      </w:r>
      <w:r w:rsidRPr="008D3E71">
        <w:rPr>
          <w:rFonts w:eastAsia="Times New Roman"/>
          <w:lang w:eastAsia="de-DE"/>
        </w:rPr>
        <w:t xml:space="preserve">), </w:t>
      </w:r>
      <w:r w:rsidRPr="008D3E71">
        <w:rPr>
          <w:rFonts w:eastAsia="Times New Roman"/>
          <w:b/>
          <w:bCs/>
          <w:rtl/>
          <w:lang w:eastAsia="de-DE"/>
        </w:rPr>
        <w:t>גּוֹיִם גְּדֹלִים וַעֲצֻמִים</w:t>
      </w:r>
      <w:r w:rsidRPr="008D3E71">
        <w:rPr>
          <w:rFonts w:eastAsia="Times New Roman"/>
          <w:rtl/>
          <w:lang w:eastAsia="de-DE"/>
        </w:rPr>
        <w:t xml:space="preserve"> </w:t>
      </w:r>
      <w:r w:rsidRPr="008D3E71">
        <w:rPr>
          <w:rFonts w:eastAsia="Times New Roman"/>
          <w:lang w:eastAsia="de-DE"/>
        </w:rPr>
        <w:t>als direktes Objekt (</w:t>
      </w:r>
      <w:r w:rsidRPr="008D3E71">
        <w:rPr>
          <w:rFonts w:eastAsia="Times New Roman"/>
          <w:b/>
          <w:bCs/>
          <w:rtl/>
          <w:lang w:eastAsia="de-DE"/>
        </w:rPr>
        <w:t>גּוֹיִם</w:t>
      </w:r>
      <w:r w:rsidRPr="008D3E71">
        <w:rPr>
          <w:rFonts w:eastAsia="Times New Roman"/>
          <w:lang w:eastAsia="de-DE"/>
        </w:rPr>
        <w:t xml:space="preserve">, „Nationen", Plural, mit zwei koordinierten Adjektiven: </w:t>
      </w:r>
      <w:r w:rsidRPr="008D3E71">
        <w:rPr>
          <w:rFonts w:eastAsia="Times New Roman"/>
          <w:b/>
          <w:bCs/>
          <w:rtl/>
          <w:lang w:eastAsia="de-DE"/>
        </w:rPr>
        <w:t>גְּדֹלִים</w:t>
      </w:r>
      <w:r w:rsidRPr="008D3E71">
        <w:rPr>
          <w:rFonts w:eastAsia="Times New Roman"/>
          <w:lang w:eastAsia="de-DE"/>
        </w:rPr>
        <w:t xml:space="preserve">, „große", Plural maskulin von </w:t>
      </w:r>
      <w:r w:rsidRPr="008D3E71">
        <w:rPr>
          <w:rFonts w:eastAsia="Times New Roman"/>
          <w:b/>
          <w:bCs/>
          <w:rtl/>
          <w:lang w:eastAsia="de-DE"/>
        </w:rPr>
        <w:t>גָּדוֹל</w:t>
      </w:r>
      <w:r w:rsidRPr="008D3E71">
        <w:rPr>
          <w:rFonts w:eastAsia="Times New Roman"/>
          <w:lang w:eastAsia="de-DE"/>
        </w:rPr>
        <w:t xml:space="preserve">, und </w:t>
      </w:r>
      <w:r w:rsidRPr="008D3E71">
        <w:rPr>
          <w:rFonts w:eastAsia="Times New Roman"/>
          <w:b/>
          <w:bCs/>
          <w:rtl/>
          <w:lang w:eastAsia="de-DE"/>
        </w:rPr>
        <w:t>עֲצֻמִים</w:t>
      </w:r>
      <w:r w:rsidRPr="008D3E71">
        <w:rPr>
          <w:rFonts w:eastAsia="Times New Roman"/>
          <w:lang w:eastAsia="de-DE"/>
        </w:rPr>
        <w:t xml:space="preserve">, Qal Passiv Partizip Plural maskulin von </w:t>
      </w:r>
      <w:r w:rsidRPr="008D3E71">
        <w:rPr>
          <w:rFonts w:eastAsia="Times New Roman"/>
          <w:b/>
          <w:bCs/>
          <w:rtl/>
          <w:lang w:eastAsia="de-DE"/>
        </w:rPr>
        <w:t>עצם</w:t>
      </w:r>
      <w:r w:rsidRPr="008D3E71">
        <w:rPr>
          <w:rFonts w:eastAsia="Times New Roman"/>
          <w:lang w:eastAsia="de-DE"/>
        </w:rPr>
        <w:t xml:space="preserve">, „stark, mächtig"), </w:t>
      </w:r>
      <w:r w:rsidRPr="008D3E71">
        <w:rPr>
          <w:rFonts w:eastAsia="Times New Roman"/>
          <w:b/>
          <w:bCs/>
          <w:rtl/>
          <w:lang w:eastAsia="de-DE"/>
        </w:rPr>
        <w:t>מִמְּךָ</w:t>
      </w:r>
      <w:r w:rsidRPr="008D3E71">
        <w:rPr>
          <w:rFonts w:eastAsia="Times New Roman"/>
          <w:rtl/>
          <w:lang w:eastAsia="de-DE"/>
        </w:rPr>
        <w:t xml:space="preserve"> </w:t>
      </w:r>
      <w:r w:rsidRPr="008D3E71">
        <w:rPr>
          <w:rFonts w:eastAsia="Times New Roman"/>
          <w:lang w:eastAsia="de-DE"/>
        </w:rPr>
        <w:t>als Vergleichskonstruktion (</w:t>
      </w:r>
      <w:r w:rsidRPr="008D3E71">
        <w:rPr>
          <w:rFonts w:eastAsia="Times New Roman"/>
          <w:b/>
          <w:bCs/>
          <w:rtl/>
          <w:lang w:eastAsia="de-DE"/>
        </w:rPr>
        <w:t>מִן</w:t>
      </w:r>
      <w:r w:rsidRPr="008D3E71">
        <w:rPr>
          <w:rFonts w:eastAsia="Times New Roman"/>
          <w:rtl/>
          <w:lang w:eastAsia="de-DE"/>
        </w:rPr>
        <w:t xml:space="preserve"> </w:t>
      </w:r>
      <w:r w:rsidRPr="008D3E71">
        <w:rPr>
          <w:rFonts w:eastAsia="Times New Roman"/>
          <w:lang w:eastAsia="de-DE"/>
        </w:rPr>
        <w:t xml:space="preserve">mit Suffix 2. Person Singular maskulin – „als du, größer als du"), </w:t>
      </w:r>
      <w:r w:rsidRPr="008D3E71">
        <w:rPr>
          <w:rFonts w:eastAsia="Times New Roman"/>
          <w:b/>
          <w:bCs/>
          <w:rtl/>
          <w:lang w:eastAsia="de-DE"/>
        </w:rPr>
        <w:t>מִפָּנֶיךָ</w:t>
      </w:r>
      <w:r w:rsidRPr="008D3E71">
        <w:rPr>
          <w:rFonts w:eastAsia="Times New Roman"/>
          <w:rtl/>
          <w:lang w:eastAsia="de-DE"/>
        </w:rPr>
        <w:t xml:space="preserve"> </w:t>
      </w:r>
      <w:r w:rsidRPr="008D3E71">
        <w:rPr>
          <w:rFonts w:eastAsia="Times New Roman"/>
          <w:lang w:eastAsia="de-DE"/>
        </w:rPr>
        <w:t xml:space="preserve">als Präposition </w:t>
      </w:r>
      <w:r w:rsidRPr="008D3E71">
        <w:rPr>
          <w:rFonts w:eastAsia="Times New Roman"/>
          <w:b/>
          <w:bCs/>
          <w:rtl/>
          <w:lang w:eastAsia="de-DE"/>
        </w:rPr>
        <w:t>מִן</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פָּנֶה</w:t>
      </w:r>
      <w:r w:rsidRPr="008D3E71">
        <w:rPr>
          <w:rFonts w:eastAsia="Times New Roman"/>
          <w:rtl/>
          <w:lang w:eastAsia="de-DE"/>
        </w:rPr>
        <w:t xml:space="preserve"> </w:t>
      </w:r>
      <w:r w:rsidRPr="008D3E71">
        <w:rPr>
          <w:rFonts w:eastAsia="Times New Roman"/>
          <w:lang w:eastAsia="de-DE"/>
        </w:rPr>
        <w:t xml:space="preserve">(Plural von </w:t>
      </w:r>
      <w:r w:rsidRPr="008D3E71">
        <w:rPr>
          <w:rFonts w:eastAsia="Times New Roman"/>
          <w:b/>
          <w:bCs/>
          <w:rtl/>
          <w:lang w:eastAsia="de-DE"/>
        </w:rPr>
        <w:t>פָּנִים</w:t>
      </w:r>
      <w:r w:rsidRPr="008D3E71">
        <w:rPr>
          <w:rFonts w:eastAsia="Times New Roman"/>
          <w:lang w:eastAsia="de-DE"/>
        </w:rPr>
        <w:t>) und Suffix 2. Person Singular maskulin („von vor dir, vor dir weg").</w:t>
      </w:r>
    </w:p>
    <w:p w14:paraId="2AED74FE" w14:textId="6DB34BA4"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לַהֲבִיאֲךָ לָתֶת־לְךָ אֶת־אַרְצָם נַחֲלָה</w:t>
      </w:r>
      <w:r w:rsidRPr="008D3E71">
        <w:rPr>
          <w:rFonts w:eastAsia="Times New Roman"/>
          <w:rtl/>
          <w:lang w:eastAsia="de-DE"/>
        </w:rPr>
        <w:t xml:space="preserve"> </w:t>
      </w:r>
      <w:r w:rsidRPr="008D3E71">
        <w:rPr>
          <w:rFonts w:eastAsia="Times New Roman"/>
          <w:lang w:eastAsia="de-DE"/>
        </w:rPr>
        <w:t xml:space="preserve">ist eine koordinierte finale Konstruktion mit zwei Infinitiven: </w:t>
      </w:r>
      <w:r w:rsidRPr="008D3E71">
        <w:rPr>
          <w:rFonts w:eastAsia="Times New Roman"/>
          <w:b/>
          <w:bCs/>
          <w:rtl/>
          <w:lang w:eastAsia="de-DE"/>
        </w:rPr>
        <w:t>לַהֲבִיאֲךָ</w:t>
      </w:r>
      <w:r w:rsidRPr="008D3E71">
        <w:rPr>
          <w:rFonts w:eastAsia="Times New Roman"/>
          <w:rtl/>
          <w:lang w:eastAsia="de-DE"/>
        </w:rPr>
        <w:t xml:space="preserve"> </w:t>
      </w:r>
      <w:r w:rsidRPr="008D3E71">
        <w:rPr>
          <w:rFonts w:eastAsia="Times New Roman"/>
          <w:lang w:eastAsia="de-DE"/>
        </w:rPr>
        <w:t xml:space="preserve">(Hifil Infinitiv Construct von </w:t>
      </w:r>
      <w:r w:rsidRPr="008D3E71">
        <w:rPr>
          <w:rFonts w:eastAsia="Times New Roman"/>
          <w:b/>
          <w:bCs/>
          <w:rtl/>
          <w:lang w:eastAsia="de-DE"/>
        </w:rPr>
        <w:t>בוא</w:t>
      </w:r>
      <w:r w:rsidRPr="008D3E71">
        <w:rPr>
          <w:rFonts w:eastAsia="Times New Roman"/>
          <w:lang w:eastAsia="de-DE"/>
        </w:rPr>
        <w:t xml:space="preserve">, „hineinbringen", mit </w:t>
      </w:r>
      <w:r w:rsidRPr="008D3E71">
        <w:rPr>
          <w:rFonts w:eastAsia="Times New Roman"/>
          <w:b/>
          <w:bCs/>
          <w:rtl/>
          <w:lang w:eastAsia="de-DE"/>
        </w:rPr>
        <w:t>לְ</w:t>
      </w:r>
      <w:r w:rsidRPr="008D3E71">
        <w:rPr>
          <w:rFonts w:eastAsia="Times New Roman"/>
          <w:rtl/>
          <w:lang w:eastAsia="de-DE"/>
        </w:rPr>
        <w:t xml:space="preserve"> </w:t>
      </w:r>
      <w:r w:rsidRPr="008D3E71">
        <w:rPr>
          <w:rFonts w:eastAsia="Times New Roman"/>
          <w:lang w:eastAsia="de-DE"/>
        </w:rPr>
        <w:t xml:space="preserve">und Suffix 2. Person Singular maskulin als direktes Objekt), </w:t>
      </w:r>
      <w:r w:rsidRPr="008D3E71">
        <w:rPr>
          <w:rFonts w:eastAsia="Times New Roman"/>
          <w:b/>
          <w:bCs/>
          <w:rtl/>
          <w:lang w:eastAsia="de-DE"/>
        </w:rPr>
        <w:t>לָתֶת־לְךָ</w:t>
      </w:r>
      <w:r w:rsidRPr="008D3E71">
        <w:rPr>
          <w:rFonts w:eastAsia="Times New Roman"/>
          <w:rtl/>
          <w:lang w:eastAsia="de-DE"/>
        </w:rPr>
        <w:t xml:space="preserve"> </w:t>
      </w:r>
      <w:r w:rsidRPr="008D3E71">
        <w:rPr>
          <w:rFonts w:eastAsia="Times New Roman"/>
          <w:lang w:eastAsia="de-DE"/>
        </w:rPr>
        <w:t xml:space="preserve">(Qal Infinitiv Construct von </w:t>
      </w:r>
      <w:r w:rsidRPr="008D3E71">
        <w:rPr>
          <w:rFonts w:eastAsia="Times New Roman"/>
          <w:b/>
          <w:bCs/>
          <w:rtl/>
          <w:lang w:eastAsia="de-DE"/>
        </w:rPr>
        <w:t>נתן</w:t>
      </w:r>
      <w:r w:rsidRPr="008D3E71">
        <w:rPr>
          <w:rFonts w:eastAsia="Times New Roman"/>
          <w:lang w:eastAsia="de-DE"/>
        </w:rPr>
        <w:t xml:space="preserve">, „geben", mit </w:t>
      </w:r>
      <w:r w:rsidRPr="008D3E71">
        <w:rPr>
          <w:rFonts w:eastAsia="Times New Roman"/>
          <w:b/>
          <w:bCs/>
          <w:rtl/>
          <w:lang w:eastAsia="de-DE"/>
        </w:rPr>
        <w:t>לְ</w:t>
      </w:r>
      <w:r w:rsidRPr="008D3E71">
        <w:rPr>
          <w:rFonts w:eastAsia="Times New Roman"/>
          <w:rtl/>
          <w:lang w:eastAsia="de-DE"/>
        </w:rPr>
        <w:t xml:space="preserve"> </w:t>
      </w:r>
      <w:r w:rsidRPr="008D3E71">
        <w:rPr>
          <w:rFonts w:eastAsia="Times New Roman"/>
          <w:lang w:eastAsia="de-DE"/>
        </w:rPr>
        <w:t xml:space="preserve">und </w:t>
      </w:r>
      <w:r w:rsidRPr="008D3E71">
        <w:rPr>
          <w:rFonts w:eastAsia="Times New Roman"/>
          <w:b/>
          <w:bCs/>
          <w:rtl/>
          <w:lang w:eastAsia="de-DE"/>
        </w:rPr>
        <w:t>לְךָ</w:t>
      </w:r>
      <w:r w:rsidRPr="008D3E71">
        <w:rPr>
          <w:rFonts w:eastAsia="Times New Roman"/>
          <w:rtl/>
          <w:lang w:eastAsia="de-DE"/>
        </w:rPr>
        <w:t xml:space="preserve"> </w:t>
      </w:r>
      <w:r w:rsidRPr="008D3E71">
        <w:rPr>
          <w:rFonts w:eastAsia="Times New Roman"/>
          <w:lang w:eastAsia="de-DE"/>
        </w:rPr>
        <w:t xml:space="preserve">als indirektes Objekt, durch </w:t>
      </w:r>
      <w:r w:rsidR="00324616">
        <w:rPr>
          <w:rFonts w:eastAsia="Times New Roman"/>
          <w:lang w:eastAsia="de-DE"/>
        </w:rPr>
        <w:t>Maqqef</w:t>
      </w:r>
      <w:r w:rsidRPr="008D3E71">
        <w:rPr>
          <w:rFonts w:eastAsia="Times New Roman"/>
          <w:lang w:eastAsia="de-DE"/>
        </w:rPr>
        <w:t xml:space="preserve"> verbunden), </w:t>
      </w:r>
      <w:r w:rsidRPr="008D3E71">
        <w:rPr>
          <w:rFonts w:eastAsia="Times New Roman"/>
          <w:b/>
          <w:bCs/>
          <w:rtl/>
          <w:lang w:eastAsia="de-DE"/>
        </w:rPr>
        <w:t>אֶת־אַרְצָם</w:t>
      </w:r>
      <w:r w:rsidRPr="008D3E71">
        <w:rPr>
          <w:rFonts w:eastAsia="Times New Roman"/>
          <w:rtl/>
          <w:lang w:eastAsia="de-DE"/>
        </w:rPr>
        <w:t xml:space="preserve"> </w:t>
      </w:r>
      <w:r w:rsidRPr="008D3E71">
        <w:rPr>
          <w:rFonts w:eastAsia="Times New Roman"/>
          <w:lang w:eastAsia="de-DE"/>
        </w:rPr>
        <w:t>als direktes Objekt (</w:t>
      </w:r>
      <w:r w:rsidRPr="008D3E71">
        <w:rPr>
          <w:rFonts w:eastAsia="Times New Roman"/>
          <w:b/>
          <w:bCs/>
          <w:rtl/>
          <w:lang w:eastAsia="de-DE"/>
        </w:rPr>
        <w:t>אֶרֶץ</w:t>
      </w:r>
      <w:r w:rsidRPr="008D3E71">
        <w:rPr>
          <w:rFonts w:eastAsia="Times New Roman"/>
          <w:lang w:eastAsia="de-DE"/>
        </w:rPr>
        <w:t xml:space="preserve">, „Land", mit Suffix 3. Person Plural maskulin), </w:t>
      </w:r>
      <w:r w:rsidRPr="008D3E71">
        <w:rPr>
          <w:rFonts w:eastAsia="Times New Roman"/>
          <w:b/>
          <w:bCs/>
          <w:rtl/>
          <w:lang w:eastAsia="de-DE"/>
        </w:rPr>
        <w:t>נַחֲלָה</w:t>
      </w:r>
      <w:r w:rsidRPr="008D3E71">
        <w:rPr>
          <w:rFonts w:eastAsia="Times New Roman"/>
          <w:rtl/>
          <w:lang w:eastAsia="de-DE"/>
        </w:rPr>
        <w:t xml:space="preserve"> </w:t>
      </w:r>
      <w:r w:rsidRPr="008D3E71">
        <w:rPr>
          <w:rFonts w:eastAsia="Times New Roman"/>
          <w:lang w:eastAsia="de-DE"/>
        </w:rPr>
        <w:t xml:space="preserve">als Apposition oder adverbiale Bestimmung („als Erbteil"). </w:t>
      </w:r>
      <w:r w:rsidRPr="008D3E71">
        <w:rPr>
          <w:rFonts w:eastAsia="Times New Roman"/>
          <w:b/>
          <w:bCs/>
          <w:rtl/>
          <w:lang w:eastAsia="de-DE"/>
        </w:rPr>
        <w:t>כַּיּוֹם הַזֶּה</w:t>
      </w:r>
      <w:r w:rsidRPr="008D3E71">
        <w:rPr>
          <w:rFonts w:eastAsia="Times New Roman"/>
          <w:rtl/>
          <w:lang w:eastAsia="de-DE"/>
        </w:rPr>
        <w:t xml:space="preserve"> </w:t>
      </w:r>
      <w:r w:rsidRPr="008D3E71">
        <w:rPr>
          <w:rFonts w:eastAsia="Times New Roman"/>
          <w:lang w:eastAsia="de-DE"/>
        </w:rPr>
        <w:t>ist die bekannte temporale Vergleichsformel.</w:t>
      </w:r>
    </w:p>
    <w:p w14:paraId="72AE0618"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Die beiden koordinierten Infinitive beschreiben die Zweckbestimmung des Exodus: Vertreibung der Vorbewohner und Landgabe an Israel. Das Adjektivpaar </w:t>
      </w:r>
      <w:r w:rsidRPr="008D3E71">
        <w:rPr>
          <w:rFonts w:eastAsia="Times New Roman"/>
          <w:b/>
          <w:bCs/>
          <w:rtl/>
          <w:lang w:eastAsia="de-DE"/>
        </w:rPr>
        <w:t>גְּדֹלִים וַעֲצֻמִים</w:t>
      </w:r>
      <w:r w:rsidRPr="008D3E71">
        <w:rPr>
          <w:rFonts w:eastAsia="Times New Roman"/>
          <w:rtl/>
          <w:lang w:eastAsia="de-DE"/>
        </w:rPr>
        <w:t xml:space="preserve"> </w:t>
      </w:r>
      <w:r w:rsidRPr="008D3E71">
        <w:rPr>
          <w:rFonts w:eastAsia="Times New Roman"/>
          <w:lang w:eastAsia="de-DE"/>
        </w:rPr>
        <w:t xml:space="preserve">(„groß und stark") betont die Übermacht der Vorbewohner und damit die Größe des göttlichen Wunders. Die Vergleichskonstruktion </w:t>
      </w:r>
      <w:r w:rsidRPr="008D3E71">
        <w:rPr>
          <w:rFonts w:eastAsia="Times New Roman"/>
          <w:b/>
          <w:bCs/>
          <w:rtl/>
          <w:lang w:eastAsia="de-DE"/>
        </w:rPr>
        <w:t>מִמְּךָ</w:t>
      </w:r>
      <w:r w:rsidRPr="008D3E71">
        <w:rPr>
          <w:rFonts w:eastAsia="Times New Roman"/>
          <w:rtl/>
          <w:lang w:eastAsia="de-DE"/>
        </w:rPr>
        <w:t xml:space="preserve"> </w:t>
      </w:r>
      <w:r w:rsidRPr="008D3E71">
        <w:rPr>
          <w:rFonts w:eastAsia="Times New Roman"/>
          <w:lang w:eastAsia="de-DE"/>
        </w:rPr>
        <w:t>(„als du, größer als du") unterstreicht, dass Israel aus eigener Kraft diese Völker nicht hätte besiegen können.</w:t>
      </w:r>
    </w:p>
    <w:p w14:paraId="192CAE0C"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Satzstruktur besteht aus zwei koordinierten finalen Infinitivkonstruktionen: Die erste mit Hifil-Infinitiv, direktem Objekt mit zwei koordinierten Adjektiven, Vergleichskonstruktion und präpositionaler Richtungsangabe. Die zweite ist eine Doppel-Infinitiv-Konstruktion mit Hifil-Infinitiv und Suffix-Objekt sowie Qal-Infinitiv mit Dativ, direktem Objekt mit Suffix und appositiver Bestimmung, abgeschlossen durch eine temporale Vergleichsformel. Die verschachtelte Struktur zeigt die Zweckkette: Herausführung → Vertreibung → Hineinführung → Landgabe.</w:t>
      </w:r>
    </w:p>
    <w:p w14:paraId="621DC86A"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Der Vers nennt das doppelte Ziel der Herausführung aus Ägypten: die Vertreibung mächtigerer Völker und die Gabe ihres Landes als Erbe an Israel – ein Prozess, der zur Zeit des Sprechers bereits im Gang ist.</w:t>
      </w:r>
    </w:p>
    <w:p w14:paraId="2B9E8458"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4,39</w:t>
      </w:r>
    </w:p>
    <w:p w14:paraId="7B47E4C7"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lastRenderedPageBreak/>
        <w:t>Hebräisch:</w:t>
      </w:r>
      <w:r w:rsidRPr="008D3E71">
        <w:rPr>
          <w:rFonts w:eastAsia="Times New Roman"/>
          <w:lang w:eastAsia="de-DE"/>
        </w:rPr>
        <w:t xml:space="preserve"> </w:t>
      </w:r>
      <w:r w:rsidRPr="008D3E71">
        <w:rPr>
          <w:rFonts w:eastAsia="Times New Roman"/>
          <w:rtl/>
          <w:lang w:eastAsia="de-DE"/>
        </w:rPr>
        <w:t>וְיָדַעְתָּ֣ הַיּ֗וֹם וַהֲשֵׁבֹתָ֮ אֶל־לְבָבֶךָ֒ כִּ֤י יְהוָה֙ ה֣וּא הָֽאֱלֹהִ֔ים בַּשָּׁמַ֣יִם מִמַּ֔עַל וְעַל־הָאָ֖רֶץ מִתָּ֑חַת אֵ֖ין עֽוֹד׃</w:t>
      </w:r>
    </w:p>
    <w:p w14:paraId="1020AB12"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So erkenne heute und nimm zu deinem Herzen, dass der Ewige, er der Gott ist im Himmel oben und auf der Erde unten, keiner sonst.</w:t>
      </w:r>
    </w:p>
    <w:p w14:paraId="504F7FEB"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0F031F28">
          <v:rect id="_x0000_i1175" style="width:0;height:1.5pt" o:hralign="center" o:hrstd="t" o:hr="t" fillcolor="#a0a0a0" stroked="f"/>
        </w:pict>
      </w:r>
    </w:p>
    <w:p w14:paraId="14EB44EC"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וְיָדַעְתָּ הַיּוֹם</w:t>
      </w:r>
      <w:r w:rsidRPr="008D3E71">
        <w:rPr>
          <w:rFonts w:eastAsia="Times New Roman"/>
          <w:rtl/>
          <w:lang w:eastAsia="de-DE"/>
        </w:rPr>
        <w:t xml:space="preserve"> </w:t>
      </w:r>
      <w:r w:rsidRPr="008D3E71">
        <w:rPr>
          <w:rFonts w:eastAsia="Times New Roman"/>
          <w:lang w:eastAsia="de-DE"/>
        </w:rPr>
        <w:t xml:space="preserve">ist Qal Perfekt consecutivum, 2. Person Singular maskulin von </w:t>
      </w:r>
      <w:r w:rsidRPr="008D3E71">
        <w:rPr>
          <w:rFonts w:eastAsia="Times New Roman"/>
          <w:b/>
          <w:bCs/>
          <w:rtl/>
          <w:lang w:eastAsia="de-DE"/>
        </w:rPr>
        <w:t>ידע</w:t>
      </w:r>
      <w:r w:rsidRPr="008D3E71">
        <w:rPr>
          <w:rFonts w:eastAsia="Times New Roman"/>
          <w:rtl/>
          <w:lang w:eastAsia="de-DE"/>
        </w:rPr>
        <w:t xml:space="preserve"> </w:t>
      </w:r>
      <w:r w:rsidRPr="008D3E71">
        <w:rPr>
          <w:rFonts w:eastAsia="Times New Roman"/>
          <w:lang w:eastAsia="de-DE"/>
        </w:rPr>
        <w:t xml:space="preserve">(„wissen, erkennen, anerkennen") mit Waw und dem temporalen Adverb </w:t>
      </w:r>
      <w:r w:rsidRPr="008D3E71">
        <w:rPr>
          <w:rFonts w:eastAsia="Times New Roman"/>
          <w:b/>
          <w:bCs/>
          <w:rtl/>
          <w:lang w:eastAsia="de-DE"/>
        </w:rPr>
        <w:t>הַיּוֹם</w:t>
      </w:r>
      <w:r w:rsidRPr="008D3E71">
        <w:rPr>
          <w:rFonts w:eastAsia="Times New Roman"/>
          <w:lang w:eastAsia="de-DE"/>
        </w:rPr>
        <w:t xml:space="preserve">. </w:t>
      </w:r>
      <w:r w:rsidRPr="008D3E71">
        <w:rPr>
          <w:rFonts w:eastAsia="Times New Roman"/>
          <w:b/>
          <w:bCs/>
          <w:rtl/>
          <w:lang w:eastAsia="de-DE"/>
        </w:rPr>
        <w:t>וַהֲשֵׁבֹתָ אֶל־לְבָבֶךָ</w:t>
      </w:r>
      <w:r w:rsidRPr="008D3E71">
        <w:rPr>
          <w:rFonts w:eastAsia="Times New Roman"/>
          <w:rtl/>
          <w:lang w:eastAsia="de-DE"/>
        </w:rPr>
        <w:t xml:space="preserve"> </w:t>
      </w:r>
      <w:r w:rsidRPr="008D3E71">
        <w:rPr>
          <w:rFonts w:eastAsia="Times New Roman"/>
          <w:lang w:eastAsia="de-DE"/>
        </w:rPr>
        <w:t xml:space="preserve">ist koordiniert: </w:t>
      </w:r>
      <w:r w:rsidRPr="008D3E71">
        <w:rPr>
          <w:rFonts w:eastAsia="Times New Roman"/>
          <w:b/>
          <w:bCs/>
          <w:rtl/>
          <w:lang w:eastAsia="de-DE"/>
        </w:rPr>
        <w:t>וְ</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הֲשֵׁבֹתָ</w:t>
      </w:r>
      <w:r w:rsidRPr="008D3E71">
        <w:rPr>
          <w:rFonts w:eastAsia="Times New Roman"/>
          <w:rtl/>
          <w:lang w:eastAsia="de-DE"/>
        </w:rPr>
        <w:t xml:space="preserve"> </w:t>
      </w:r>
      <w:r w:rsidRPr="008D3E71">
        <w:rPr>
          <w:rFonts w:eastAsia="Times New Roman"/>
          <w:lang w:eastAsia="de-DE"/>
        </w:rPr>
        <w:t xml:space="preserve">(Hifil Perfekt consecutivum, 2. Person Singular maskulin von </w:t>
      </w:r>
      <w:r w:rsidRPr="008D3E71">
        <w:rPr>
          <w:rFonts w:eastAsia="Times New Roman"/>
          <w:b/>
          <w:bCs/>
          <w:rtl/>
          <w:lang w:eastAsia="de-DE"/>
        </w:rPr>
        <w:t>שׁוב</w:t>
      </w:r>
      <w:r w:rsidRPr="008D3E71">
        <w:rPr>
          <w:rFonts w:eastAsia="Times New Roman"/>
          <w:lang w:eastAsia="de-DE"/>
        </w:rPr>
        <w:t xml:space="preserve">, „zurückbringen, zurückkehren lassen, zu Herzen nehmen"), </w:t>
      </w:r>
      <w:r w:rsidRPr="008D3E71">
        <w:rPr>
          <w:rFonts w:eastAsia="Times New Roman"/>
          <w:b/>
          <w:bCs/>
          <w:rtl/>
          <w:lang w:eastAsia="de-DE"/>
        </w:rPr>
        <w:t>אֶל־לְבָבֶךָ</w:t>
      </w:r>
      <w:r w:rsidRPr="008D3E71">
        <w:rPr>
          <w:rFonts w:eastAsia="Times New Roman"/>
          <w:rtl/>
          <w:lang w:eastAsia="de-DE"/>
        </w:rPr>
        <w:t xml:space="preserve"> </w:t>
      </w:r>
      <w:r w:rsidRPr="008D3E71">
        <w:rPr>
          <w:rFonts w:eastAsia="Times New Roman"/>
          <w:lang w:eastAsia="de-DE"/>
        </w:rPr>
        <w:t>als Richtungsangabe (</w:t>
      </w:r>
      <w:r w:rsidRPr="008D3E71">
        <w:rPr>
          <w:rFonts w:eastAsia="Times New Roman"/>
          <w:b/>
          <w:bCs/>
          <w:rtl/>
          <w:lang w:eastAsia="de-DE"/>
        </w:rPr>
        <w:t>אֶל</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לֵבָב</w:t>
      </w:r>
      <w:r w:rsidRPr="008D3E71">
        <w:rPr>
          <w:rFonts w:eastAsia="Times New Roman"/>
          <w:lang w:eastAsia="de-DE"/>
        </w:rPr>
        <w:t xml:space="preserve">, „Herz", und Suffix 2. Person Singular maskulin). Die idiomatische Wendung </w:t>
      </w:r>
      <w:r w:rsidRPr="008D3E71">
        <w:rPr>
          <w:rFonts w:eastAsia="Times New Roman"/>
          <w:b/>
          <w:bCs/>
          <w:rtl/>
          <w:lang w:eastAsia="de-DE"/>
        </w:rPr>
        <w:t>השׁיב אֶל־לֵבָב</w:t>
      </w:r>
      <w:r w:rsidRPr="008D3E71">
        <w:rPr>
          <w:rFonts w:eastAsia="Times New Roman"/>
          <w:rtl/>
          <w:lang w:eastAsia="de-DE"/>
        </w:rPr>
        <w:t xml:space="preserve"> </w:t>
      </w:r>
      <w:r w:rsidRPr="008D3E71">
        <w:rPr>
          <w:rFonts w:eastAsia="Times New Roman"/>
          <w:lang w:eastAsia="de-DE"/>
        </w:rPr>
        <w:t>bedeutet „zu Herzen nehmen, sich vor Augen führen, bedenken".</w:t>
      </w:r>
    </w:p>
    <w:p w14:paraId="20BFD074"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כִּי יְהוָה הוּא הָאֱלֹהִים</w:t>
      </w:r>
      <w:r w:rsidRPr="008D3E71">
        <w:rPr>
          <w:rFonts w:eastAsia="Times New Roman"/>
          <w:rtl/>
          <w:lang w:eastAsia="de-DE"/>
        </w:rPr>
        <w:t xml:space="preserve"> </w:t>
      </w:r>
      <w:r w:rsidRPr="008D3E71">
        <w:rPr>
          <w:rFonts w:eastAsia="Times New Roman"/>
          <w:lang w:eastAsia="de-DE"/>
        </w:rPr>
        <w:t xml:space="preserve">ist ein Objektsatz, identisch mit V. 35: </w:t>
      </w:r>
      <w:r w:rsidRPr="008D3E71">
        <w:rPr>
          <w:rFonts w:eastAsia="Times New Roman"/>
          <w:b/>
          <w:bCs/>
          <w:rtl/>
          <w:lang w:eastAsia="de-DE"/>
        </w:rPr>
        <w:t>כִּי</w:t>
      </w:r>
      <w:r w:rsidRPr="008D3E71">
        <w:rPr>
          <w:rFonts w:eastAsia="Times New Roman"/>
          <w:rtl/>
          <w:lang w:eastAsia="de-DE"/>
        </w:rPr>
        <w:t xml:space="preserve"> </w:t>
      </w:r>
      <w:r w:rsidRPr="008D3E71">
        <w:rPr>
          <w:rFonts w:eastAsia="Times New Roman"/>
          <w:lang w:eastAsia="de-DE"/>
        </w:rPr>
        <w:t xml:space="preserve">als Objektkonjunktion, </w:t>
      </w:r>
      <w:r w:rsidRPr="008D3E71">
        <w:rPr>
          <w:rFonts w:eastAsia="Times New Roman"/>
          <w:b/>
          <w:bCs/>
          <w:rtl/>
          <w:lang w:eastAsia="de-DE"/>
        </w:rPr>
        <w:t>יְהוָה</w:t>
      </w:r>
      <w:r w:rsidRPr="008D3E71">
        <w:rPr>
          <w:rFonts w:eastAsia="Times New Roman"/>
          <w:rtl/>
          <w:lang w:eastAsia="de-DE"/>
        </w:rPr>
        <w:t xml:space="preserve"> </w:t>
      </w:r>
      <w:r w:rsidRPr="008D3E71">
        <w:rPr>
          <w:rFonts w:eastAsia="Times New Roman"/>
          <w:lang w:eastAsia="de-DE"/>
        </w:rPr>
        <w:t xml:space="preserve">als Subjekt, </w:t>
      </w:r>
      <w:r w:rsidRPr="008D3E71">
        <w:rPr>
          <w:rFonts w:eastAsia="Times New Roman"/>
          <w:b/>
          <w:bCs/>
          <w:rtl/>
          <w:lang w:eastAsia="de-DE"/>
        </w:rPr>
        <w:t>הוּא</w:t>
      </w:r>
      <w:r w:rsidRPr="008D3E71">
        <w:rPr>
          <w:rFonts w:eastAsia="Times New Roman"/>
          <w:rtl/>
          <w:lang w:eastAsia="de-DE"/>
        </w:rPr>
        <w:t xml:space="preserve"> </w:t>
      </w:r>
      <w:r w:rsidRPr="008D3E71">
        <w:rPr>
          <w:rFonts w:eastAsia="Times New Roman"/>
          <w:lang w:eastAsia="de-DE"/>
        </w:rPr>
        <w:t xml:space="preserve">als emphatisches Pronomen, </w:t>
      </w:r>
      <w:r w:rsidRPr="008D3E71">
        <w:rPr>
          <w:rFonts w:eastAsia="Times New Roman"/>
          <w:b/>
          <w:bCs/>
          <w:rtl/>
          <w:lang w:eastAsia="de-DE"/>
        </w:rPr>
        <w:t>הָאֱלֹהִים</w:t>
      </w:r>
      <w:r w:rsidRPr="008D3E71">
        <w:rPr>
          <w:rFonts w:eastAsia="Times New Roman"/>
          <w:rtl/>
          <w:lang w:eastAsia="de-DE"/>
        </w:rPr>
        <w:t xml:space="preserve"> </w:t>
      </w:r>
      <w:r w:rsidRPr="008D3E71">
        <w:rPr>
          <w:rFonts w:eastAsia="Times New Roman"/>
          <w:lang w:eastAsia="de-DE"/>
        </w:rPr>
        <w:t xml:space="preserve">als Prädikatsnomen mit Artikel. </w:t>
      </w:r>
      <w:r w:rsidRPr="008D3E71">
        <w:rPr>
          <w:rFonts w:eastAsia="Times New Roman"/>
          <w:b/>
          <w:bCs/>
          <w:rtl/>
          <w:lang w:eastAsia="de-DE"/>
        </w:rPr>
        <w:t>בַּשָּׁמַיִם מִמַּעַל וְעַל־הָאָרֶץ מִתָּחַת</w:t>
      </w:r>
      <w:r w:rsidRPr="008D3E71">
        <w:rPr>
          <w:rFonts w:eastAsia="Times New Roman"/>
          <w:rtl/>
          <w:lang w:eastAsia="de-DE"/>
        </w:rPr>
        <w:t xml:space="preserve"> </w:t>
      </w:r>
      <w:r w:rsidRPr="008D3E71">
        <w:rPr>
          <w:rFonts w:eastAsia="Times New Roman"/>
          <w:lang w:eastAsia="de-DE"/>
        </w:rPr>
        <w:t xml:space="preserve">ist eine erweiterte Ortsangabe: </w:t>
      </w:r>
      <w:r w:rsidRPr="008D3E71">
        <w:rPr>
          <w:rFonts w:eastAsia="Times New Roman"/>
          <w:b/>
          <w:bCs/>
          <w:rtl/>
          <w:lang w:eastAsia="de-DE"/>
        </w:rPr>
        <w:t>בַּשָּׁמַיִם</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שָׁמַיִם</w:t>
      </w:r>
      <w:r w:rsidRPr="008D3E71">
        <w:rPr>
          <w:rFonts w:eastAsia="Times New Roman"/>
          <w:lang w:eastAsia="de-DE"/>
        </w:rPr>
        <w:t xml:space="preserve">, Dual), </w:t>
      </w:r>
      <w:r w:rsidRPr="008D3E71">
        <w:rPr>
          <w:rFonts w:eastAsia="Times New Roman"/>
          <w:b/>
          <w:bCs/>
          <w:rtl/>
          <w:lang w:eastAsia="de-DE"/>
        </w:rPr>
        <w:t>מִמַּעַל</w:t>
      </w:r>
      <w:r w:rsidRPr="008D3E71">
        <w:rPr>
          <w:rFonts w:eastAsia="Times New Roman"/>
          <w:rtl/>
          <w:lang w:eastAsia="de-DE"/>
        </w:rPr>
        <w:t xml:space="preserve"> </w:t>
      </w:r>
      <w:r w:rsidRPr="008D3E71">
        <w:rPr>
          <w:rFonts w:eastAsia="Times New Roman"/>
          <w:lang w:eastAsia="de-DE"/>
        </w:rPr>
        <w:t>als präzisierendes Adverb (</w:t>
      </w:r>
      <w:r w:rsidRPr="008D3E71">
        <w:rPr>
          <w:rFonts w:eastAsia="Times New Roman"/>
          <w:b/>
          <w:bCs/>
          <w:rtl/>
          <w:lang w:eastAsia="de-DE"/>
        </w:rPr>
        <w:t>מִן</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מַעַל</w:t>
      </w:r>
      <w:r w:rsidRPr="008D3E71">
        <w:rPr>
          <w:rFonts w:eastAsia="Times New Roman"/>
          <w:lang w:eastAsia="de-DE"/>
        </w:rPr>
        <w:t xml:space="preserve">, „oben, von oben"), </w:t>
      </w:r>
      <w:r w:rsidRPr="008D3E71">
        <w:rPr>
          <w:rFonts w:eastAsia="Times New Roman"/>
          <w:b/>
          <w:bCs/>
          <w:rtl/>
          <w:lang w:eastAsia="de-DE"/>
        </w:rPr>
        <w:t>וְעַל־הָאָרֶץ</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וְ</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עַל</w:t>
      </w:r>
      <w:r w:rsidRPr="008D3E71">
        <w:rPr>
          <w:rFonts w:eastAsia="Times New Roman"/>
          <w:rtl/>
          <w:lang w:eastAsia="de-DE"/>
        </w:rPr>
        <w:t xml:space="preserve"> </w:t>
      </w:r>
      <w:r w:rsidRPr="008D3E71">
        <w:rPr>
          <w:rFonts w:eastAsia="Times New Roman"/>
          <w:lang w:eastAsia="de-DE"/>
        </w:rPr>
        <w:t xml:space="preserve">und </w:t>
      </w:r>
      <w:r w:rsidRPr="008D3E71">
        <w:rPr>
          <w:rFonts w:eastAsia="Times New Roman"/>
          <w:b/>
          <w:bCs/>
          <w:rtl/>
          <w:lang w:eastAsia="de-DE"/>
        </w:rPr>
        <w:t>הָאָרֶץ</w:t>
      </w:r>
      <w:r w:rsidRPr="008D3E71">
        <w:rPr>
          <w:rFonts w:eastAsia="Times New Roman"/>
          <w:lang w:eastAsia="de-DE"/>
        </w:rPr>
        <w:t xml:space="preserve">), </w:t>
      </w:r>
      <w:r w:rsidRPr="008D3E71">
        <w:rPr>
          <w:rFonts w:eastAsia="Times New Roman"/>
          <w:b/>
          <w:bCs/>
          <w:rtl/>
          <w:lang w:eastAsia="de-DE"/>
        </w:rPr>
        <w:t>מִתָּחַת</w:t>
      </w:r>
      <w:r w:rsidRPr="008D3E71">
        <w:rPr>
          <w:rFonts w:eastAsia="Times New Roman"/>
          <w:rtl/>
          <w:lang w:eastAsia="de-DE"/>
        </w:rPr>
        <w:t xml:space="preserve"> </w:t>
      </w:r>
      <w:r w:rsidRPr="008D3E71">
        <w:rPr>
          <w:rFonts w:eastAsia="Times New Roman"/>
          <w:lang w:eastAsia="de-DE"/>
        </w:rPr>
        <w:t>als präzisierendes Adverb (</w:t>
      </w:r>
      <w:r w:rsidRPr="008D3E71">
        <w:rPr>
          <w:rFonts w:eastAsia="Times New Roman"/>
          <w:b/>
          <w:bCs/>
          <w:rtl/>
          <w:lang w:eastAsia="de-DE"/>
        </w:rPr>
        <w:t>מִן</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תַּחַת</w:t>
      </w:r>
      <w:r w:rsidRPr="008D3E71">
        <w:rPr>
          <w:rFonts w:eastAsia="Times New Roman"/>
          <w:lang w:eastAsia="de-DE"/>
        </w:rPr>
        <w:t>, „unten, von unten"). Zusammen bilden diese einen kosmischen Merismus: im Himmel oben und auf der Erde unten = überall im Kosmos.</w:t>
      </w:r>
    </w:p>
    <w:p w14:paraId="79ACA6E3"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אֵין עוֹד</w:t>
      </w:r>
      <w:r w:rsidRPr="008D3E71">
        <w:rPr>
          <w:rFonts w:eastAsia="Times New Roman"/>
          <w:rtl/>
          <w:lang w:eastAsia="de-DE"/>
        </w:rPr>
        <w:t xml:space="preserve"> </w:t>
      </w:r>
      <w:r w:rsidRPr="008D3E71">
        <w:rPr>
          <w:rFonts w:eastAsia="Times New Roman"/>
          <w:lang w:eastAsia="de-DE"/>
        </w:rPr>
        <w:t xml:space="preserve">ist ein nominaler Negationssatz, identisch mit V. 35: </w:t>
      </w:r>
      <w:r w:rsidRPr="008D3E71">
        <w:rPr>
          <w:rFonts w:eastAsia="Times New Roman"/>
          <w:b/>
          <w:bCs/>
          <w:rtl/>
          <w:lang w:eastAsia="de-DE"/>
        </w:rPr>
        <w:t>אֵין</w:t>
      </w:r>
      <w:r w:rsidRPr="008D3E71">
        <w:rPr>
          <w:rFonts w:eastAsia="Times New Roman"/>
          <w:rtl/>
          <w:lang w:eastAsia="de-DE"/>
        </w:rPr>
        <w:t xml:space="preserve"> </w:t>
      </w:r>
      <w:r w:rsidRPr="008D3E71">
        <w:rPr>
          <w:rFonts w:eastAsia="Times New Roman"/>
          <w:lang w:eastAsia="de-DE"/>
        </w:rPr>
        <w:t xml:space="preserve">als Negationspartikel, </w:t>
      </w:r>
      <w:r w:rsidRPr="008D3E71">
        <w:rPr>
          <w:rFonts w:eastAsia="Times New Roman"/>
          <w:b/>
          <w:bCs/>
          <w:rtl/>
          <w:lang w:eastAsia="de-DE"/>
        </w:rPr>
        <w:t>עוֹד</w:t>
      </w:r>
      <w:r w:rsidRPr="008D3E71">
        <w:rPr>
          <w:rFonts w:eastAsia="Times New Roman"/>
          <w:rtl/>
          <w:lang w:eastAsia="de-DE"/>
        </w:rPr>
        <w:t xml:space="preserve"> </w:t>
      </w:r>
      <w:r w:rsidRPr="008D3E71">
        <w:rPr>
          <w:rFonts w:eastAsia="Times New Roman"/>
          <w:lang w:eastAsia="de-DE"/>
        </w:rPr>
        <w:t>als Adverb („noch, weiter, ein anderer") – „es gibt keinen anderen".</w:t>
      </w:r>
    </w:p>
    <w:p w14:paraId="6F8B4DDF" w14:textId="236F6416"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Dieser Vers ist eine Wiederaufnahme und Verstärkung von V. 35 und bildet damit eine Inclusio um die Verse 36-38. Die doppelte Aufforderung </w:t>
      </w:r>
      <w:r w:rsidRPr="008D3E71">
        <w:rPr>
          <w:rFonts w:eastAsia="Times New Roman"/>
          <w:b/>
          <w:bCs/>
          <w:rtl/>
          <w:lang w:eastAsia="de-DE"/>
        </w:rPr>
        <w:t>וְיָדַעְתָּ... וַהֲשֵׁבֹתָ אֶל־לְבָבֶךָ</w:t>
      </w:r>
      <w:r w:rsidRPr="008D3E71">
        <w:rPr>
          <w:rFonts w:eastAsia="Times New Roman"/>
          <w:rtl/>
          <w:lang w:eastAsia="de-DE"/>
        </w:rPr>
        <w:t xml:space="preserve"> </w:t>
      </w:r>
      <w:r w:rsidRPr="008D3E71">
        <w:rPr>
          <w:rFonts w:eastAsia="Times New Roman"/>
          <w:lang w:eastAsia="de-DE"/>
        </w:rPr>
        <w:t xml:space="preserve">verlangt nicht nur intellektuelle Erkenntnis, sondern auch existentielle Verinnerlichung. Die kosmische Dimension </w:t>
      </w:r>
      <w:r w:rsidRPr="008D3E71">
        <w:rPr>
          <w:rFonts w:eastAsia="Times New Roman"/>
          <w:b/>
          <w:bCs/>
          <w:rtl/>
          <w:lang w:eastAsia="de-DE"/>
        </w:rPr>
        <w:t>בַּשָּׁמַיִם מִמַּעַל וְעַל־הָאָרֶץ מִתָּחַת</w:t>
      </w:r>
      <w:r w:rsidRPr="008D3E71">
        <w:rPr>
          <w:rFonts w:eastAsia="Times New Roman"/>
          <w:rtl/>
          <w:lang w:eastAsia="de-DE"/>
        </w:rPr>
        <w:t xml:space="preserve"> </w:t>
      </w:r>
      <w:r w:rsidRPr="008D3E71">
        <w:rPr>
          <w:rFonts w:eastAsia="Times New Roman"/>
          <w:lang w:eastAsia="de-DE"/>
        </w:rPr>
        <w:t xml:space="preserve">erweitert die Aussage von V. 35 und betont </w:t>
      </w:r>
      <w:r w:rsidR="00ED2181">
        <w:rPr>
          <w:rFonts w:eastAsia="Times New Roman"/>
          <w:lang w:eastAsia="de-DE"/>
        </w:rPr>
        <w:t>JHWHs</w:t>
      </w:r>
      <w:r w:rsidR="00F90130">
        <w:rPr>
          <w:rFonts w:eastAsia="Times New Roman"/>
          <w:lang w:eastAsia="de-DE"/>
        </w:rPr>
        <w:t xml:space="preserve"> </w:t>
      </w:r>
      <w:r w:rsidRPr="008D3E71">
        <w:rPr>
          <w:rFonts w:eastAsia="Times New Roman"/>
          <w:lang w:eastAsia="de-DE"/>
        </w:rPr>
        <w:t>universale Herrschaft.</w:t>
      </w:r>
    </w:p>
    <w:p w14:paraId="4E374425"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Satzstruktur besteht aus zwei koordinierten imperativischen Verben (Perfekt consecutivum) mit temporalem Adverb bzw. idiomatischer Richtungsangabe, einem Objektsatz mit Subjekt, emphatischem Pronomen und Prädikatsnomen mit Artikel, einer erweiterten Ortsangabe als kosmischer Merismus (mit jeweils präzisierenden Adverbien), und einem abschließenden nominalen Negationssatz. Die Wiederholung der Kernaussage von V. 35 mit kosmischer Erweiterung verstärkt die monotheistische Kernbotschaft.</w:t>
      </w:r>
    </w:p>
    <w:p w14:paraId="393E1B14" w14:textId="36927D9C"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Der Vers fordert zur vollständigen Anerkennung der monotheistischen Wahrheit auf: </w:t>
      </w:r>
      <w:r w:rsidR="00B77E5E">
        <w:rPr>
          <w:rFonts w:eastAsia="Times New Roman"/>
          <w:lang w:eastAsia="de-DE"/>
        </w:rPr>
        <w:t>JHWH</w:t>
      </w:r>
      <w:r w:rsidRPr="008D3E71">
        <w:rPr>
          <w:rFonts w:eastAsia="Times New Roman"/>
          <w:lang w:eastAsia="de-DE"/>
        </w:rPr>
        <w:t xml:space="preserve"> ist der einzige Gott im gesamten Kosmos – eine Erkenntnis, die intellektuell begriffen und existentiell verinnerlicht werden muss.</w:t>
      </w:r>
    </w:p>
    <w:p w14:paraId="1EA1ADBA"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4,40</w:t>
      </w:r>
    </w:p>
    <w:p w14:paraId="3B927BC8"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וְשָׁמַרְתָּ֞ אֶת־חֻקָּ֣יו וְאֶת־מִצְוֹתָ֗יו אֲשֶׁ֨ר אָנֹכִ֤י מְצַוְּךָ֙ הַיּ֔וֹם אֲשֶׁר֙ יִיטַ֣ב לְךָ֔ וּלְבָנֶ֖יךָ אַחֲרֶ֑יךָ וּלְמַ֨עַן תַּאֲרִ֤יךְ יָמִים֙ עַל־הָ֣אֲדָמָ֔ה אֲשֶׁ֨ר יְהוָ֧ה אֱלֹהֶ֛יךָ נֹתֵ֥ן לְךָ֖ כָּל־הַיָּמִֽים׃</w:t>
      </w:r>
    </w:p>
    <w:p w14:paraId="7DA37EDF" w14:textId="6FDA55B1"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lastRenderedPageBreak/>
        <w:t>Deutsch:</w:t>
      </w:r>
      <w:r w:rsidRPr="008D3E71">
        <w:rPr>
          <w:rFonts w:eastAsia="Times New Roman"/>
          <w:lang w:eastAsia="de-DE"/>
        </w:rPr>
        <w:t xml:space="preserve"> Und bewahre seine Gesetze und seine Gebote, die ich dir heute gebietend bin, damit es dir und deinen Söhnen nach dir wohlergehe und damit du verlängerst die Tage auf dem Erdboden, den </w:t>
      </w:r>
      <w:bookmarkStart w:id="3" w:name="_Hlk214896414"/>
      <w:r w:rsidR="00113C10">
        <w:rPr>
          <w:rFonts w:eastAsia="Times New Roman"/>
          <w:lang w:eastAsia="de-DE"/>
        </w:rPr>
        <w:t>JHWH</w:t>
      </w:r>
      <w:bookmarkEnd w:id="3"/>
      <w:r w:rsidRPr="008D3E71">
        <w:rPr>
          <w:rFonts w:eastAsia="Times New Roman"/>
          <w:lang w:eastAsia="de-DE"/>
        </w:rPr>
        <w:t>, dein Gott, dir gebend ist alle Tage.</w:t>
      </w:r>
    </w:p>
    <w:p w14:paraId="04471B57"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05CF0BA4">
          <v:rect id="_x0000_i1176" style="width:0;height:1.5pt" o:hralign="center" o:hrstd="t" o:hr="t" fillcolor="#a0a0a0" stroked="f"/>
        </w:pict>
      </w:r>
    </w:p>
    <w:p w14:paraId="36F0827E"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וְשָׁמַרְתָּ אֶת־חֻקָּיו וְאֶת־מִצְוֹתָיו</w:t>
      </w:r>
      <w:r w:rsidRPr="008D3E71">
        <w:rPr>
          <w:rFonts w:eastAsia="Times New Roman"/>
          <w:rtl/>
          <w:lang w:eastAsia="de-DE"/>
        </w:rPr>
        <w:t xml:space="preserve"> </w:t>
      </w:r>
      <w:r w:rsidRPr="008D3E71">
        <w:rPr>
          <w:rFonts w:eastAsia="Times New Roman"/>
          <w:lang w:eastAsia="de-DE"/>
        </w:rPr>
        <w:t xml:space="preserve">ist Qal Perfekt consecutivum, 2. Person Singular maskulin von </w:t>
      </w:r>
      <w:r w:rsidRPr="008D3E71">
        <w:rPr>
          <w:rFonts w:eastAsia="Times New Roman"/>
          <w:b/>
          <w:bCs/>
          <w:rtl/>
          <w:lang w:eastAsia="de-DE"/>
        </w:rPr>
        <w:t>שׁמר</w:t>
      </w:r>
      <w:r w:rsidRPr="008D3E71">
        <w:rPr>
          <w:rFonts w:eastAsia="Times New Roman"/>
          <w:rtl/>
          <w:lang w:eastAsia="de-DE"/>
        </w:rPr>
        <w:t xml:space="preserve"> </w:t>
      </w:r>
      <w:r w:rsidRPr="008D3E71">
        <w:rPr>
          <w:rFonts w:eastAsia="Times New Roman"/>
          <w:lang w:eastAsia="de-DE"/>
        </w:rPr>
        <w:t xml:space="preserve">(„bewahren, beachten") mit Waw und einer zweigliedrigen Objektkette: </w:t>
      </w:r>
      <w:r w:rsidRPr="008D3E71">
        <w:rPr>
          <w:rFonts w:eastAsia="Times New Roman"/>
          <w:b/>
          <w:bCs/>
          <w:rtl/>
          <w:lang w:eastAsia="de-DE"/>
        </w:rPr>
        <w:t>אֶת־חֻקָּיו</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חֹק</w:t>
      </w:r>
      <w:r w:rsidRPr="008D3E71">
        <w:rPr>
          <w:rFonts w:eastAsia="Times New Roman"/>
          <w:lang w:eastAsia="de-DE"/>
        </w:rPr>
        <w:t xml:space="preserve">, „Satzung", Plural mit Suffix 3. Person Singular maskulin) und </w:t>
      </w:r>
      <w:r w:rsidRPr="008D3E71">
        <w:rPr>
          <w:rFonts w:eastAsia="Times New Roman"/>
          <w:b/>
          <w:bCs/>
          <w:rtl/>
          <w:lang w:eastAsia="de-DE"/>
        </w:rPr>
        <w:t>אֶת־מִצְוֹתָיו</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מִצְוָה</w:t>
      </w:r>
      <w:r w:rsidRPr="008D3E71">
        <w:rPr>
          <w:rFonts w:eastAsia="Times New Roman"/>
          <w:lang w:eastAsia="de-DE"/>
        </w:rPr>
        <w:t xml:space="preserve">, „Gebot", Plural mit Suffix 3. Person Singular maskulin). </w:t>
      </w:r>
      <w:r w:rsidRPr="008D3E71">
        <w:rPr>
          <w:rFonts w:eastAsia="Times New Roman"/>
          <w:b/>
          <w:bCs/>
          <w:rtl/>
          <w:lang w:eastAsia="de-DE"/>
        </w:rPr>
        <w:t>אֲשֶׁר אָנֹכִי מְצַוְּךָ הַיּוֹם</w:t>
      </w:r>
      <w:r w:rsidRPr="008D3E71">
        <w:rPr>
          <w:rFonts w:eastAsia="Times New Roman"/>
          <w:rtl/>
          <w:lang w:eastAsia="de-DE"/>
        </w:rPr>
        <w:t xml:space="preserve"> </w:t>
      </w:r>
      <w:r w:rsidRPr="008D3E71">
        <w:rPr>
          <w:rFonts w:eastAsia="Times New Roman"/>
          <w:lang w:eastAsia="de-DE"/>
        </w:rPr>
        <w:t xml:space="preserve">ist ein Relativsatz: </w:t>
      </w:r>
      <w:r w:rsidRPr="008D3E71">
        <w:rPr>
          <w:rFonts w:eastAsia="Times New Roman"/>
          <w:b/>
          <w:bCs/>
          <w:rtl/>
          <w:lang w:eastAsia="de-DE"/>
        </w:rPr>
        <w:t>אֲשֶׁר</w:t>
      </w:r>
      <w:r w:rsidRPr="008D3E71">
        <w:rPr>
          <w:rFonts w:eastAsia="Times New Roman"/>
          <w:rtl/>
          <w:lang w:eastAsia="de-DE"/>
        </w:rPr>
        <w:t xml:space="preserve"> </w:t>
      </w:r>
      <w:r w:rsidRPr="008D3E71">
        <w:rPr>
          <w:rFonts w:eastAsia="Times New Roman"/>
          <w:lang w:eastAsia="de-DE"/>
        </w:rPr>
        <w:t xml:space="preserve">als Relativpronomen, </w:t>
      </w:r>
      <w:r w:rsidRPr="008D3E71">
        <w:rPr>
          <w:rFonts w:eastAsia="Times New Roman"/>
          <w:b/>
          <w:bCs/>
          <w:rtl/>
          <w:lang w:eastAsia="de-DE"/>
        </w:rPr>
        <w:t>אָנֹכִי</w:t>
      </w:r>
      <w:r w:rsidRPr="008D3E71">
        <w:rPr>
          <w:rFonts w:eastAsia="Times New Roman"/>
          <w:rtl/>
          <w:lang w:eastAsia="de-DE"/>
        </w:rPr>
        <w:t xml:space="preserve"> </w:t>
      </w:r>
      <w:r w:rsidRPr="008D3E71">
        <w:rPr>
          <w:rFonts w:eastAsia="Times New Roman"/>
          <w:lang w:eastAsia="de-DE"/>
        </w:rPr>
        <w:t xml:space="preserve">als emphatisches Personalpronomen, </w:t>
      </w:r>
      <w:r w:rsidRPr="008D3E71">
        <w:rPr>
          <w:rFonts w:eastAsia="Times New Roman"/>
          <w:b/>
          <w:bCs/>
          <w:rtl/>
          <w:lang w:eastAsia="de-DE"/>
        </w:rPr>
        <w:t>מְצַוְּךָ</w:t>
      </w:r>
      <w:r w:rsidRPr="008D3E71">
        <w:rPr>
          <w:rFonts w:eastAsia="Times New Roman"/>
          <w:rtl/>
          <w:lang w:eastAsia="de-DE"/>
        </w:rPr>
        <w:t xml:space="preserve"> </w:t>
      </w:r>
      <w:r w:rsidRPr="008D3E71">
        <w:rPr>
          <w:rFonts w:eastAsia="Times New Roman"/>
          <w:lang w:eastAsia="de-DE"/>
        </w:rPr>
        <w:t xml:space="preserve">als Piel Partizip Singular maskulin von </w:t>
      </w:r>
      <w:r w:rsidRPr="008D3E71">
        <w:rPr>
          <w:rFonts w:eastAsia="Times New Roman"/>
          <w:b/>
          <w:bCs/>
          <w:rtl/>
          <w:lang w:eastAsia="de-DE"/>
        </w:rPr>
        <w:t>צוה</w:t>
      </w:r>
      <w:r w:rsidRPr="008D3E71">
        <w:rPr>
          <w:rFonts w:eastAsia="Times New Roman"/>
          <w:rtl/>
          <w:lang w:eastAsia="de-DE"/>
        </w:rPr>
        <w:t xml:space="preserve"> </w:t>
      </w:r>
      <w:r w:rsidRPr="008D3E71">
        <w:rPr>
          <w:rFonts w:eastAsia="Times New Roman"/>
          <w:lang w:eastAsia="de-DE"/>
        </w:rPr>
        <w:t xml:space="preserve">mit Suffix 2. Person Singular maskulin als direktes Objekt, </w:t>
      </w:r>
      <w:r w:rsidRPr="008D3E71">
        <w:rPr>
          <w:rFonts w:eastAsia="Times New Roman"/>
          <w:b/>
          <w:bCs/>
          <w:rtl/>
          <w:lang w:eastAsia="de-DE"/>
        </w:rPr>
        <w:t>הַיּוֹם</w:t>
      </w:r>
      <w:r w:rsidRPr="008D3E71">
        <w:rPr>
          <w:rFonts w:eastAsia="Times New Roman"/>
          <w:rtl/>
          <w:lang w:eastAsia="de-DE"/>
        </w:rPr>
        <w:t xml:space="preserve"> </w:t>
      </w:r>
      <w:r w:rsidRPr="008D3E71">
        <w:rPr>
          <w:rFonts w:eastAsia="Times New Roman"/>
          <w:lang w:eastAsia="de-DE"/>
        </w:rPr>
        <w:t>als temporales Adverb.</w:t>
      </w:r>
    </w:p>
    <w:p w14:paraId="43CAE3DB"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אֲשֶׁר יִיטַב לְךָ וּלְבָנֶיךָ אַחֲרֶיךָ</w:t>
      </w:r>
      <w:r w:rsidRPr="008D3E71">
        <w:rPr>
          <w:rFonts w:eastAsia="Times New Roman"/>
          <w:rtl/>
          <w:lang w:eastAsia="de-DE"/>
        </w:rPr>
        <w:t xml:space="preserve"> </w:t>
      </w:r>
      <w:r w:rsidRPr="008D3E71">
        <w:rPr>
          <w:rFonts w:eastAsia="Times New Roman"/>
          <w:lang w:eastAsia="de-DE"/>
        </w:rPr>
        <w:t xml:space="preserve">ist ein finaler Relativsatz: </w:t>
      </w:r>
      <w:r w:rsidRPr="008D3E71">
        <w:rPr>
          <w:rFonts w:eastAsia="Times New Roman"/>
          <w:b/>
          <w:bCs/>
          <w:rtl/>
          <w:lang w:eastAsia="de-DE"/>
        </w:rPr>
        <w:t>אֲשֶׁר</w:t>
      </w:r>
      <w:r w:rsidRPr="008D3E71">
        <w:rPr>
          <w:rFonts w:eastAsia="Times New Roman"/>
          <w:rtl/>
          <w:lang w:eastAsia="de-DE"/>
        </w:rPr>
        <w:t xml:space="preserve"> </w:t>
      </w:r>
      <w:r w:rsidRPr="008D3E71">
        <w:rPr>
          <w:rFonts w:eastAsia="Times New Roman"/>
          <w:lang w:eastAsia="de-DE"/>
        </w:rPr>
        <w:t xml:space="preserve">(hier „damit"), </w:t>
      </w:r>
      <w:r w:rsidRPr="008D3E71">
        <w:rPr>
          <w:rFonts w:eastAsia="Times New Roman"/>
          <w:b/>
          <w:bCs/>
          <w:rtl/>
          <w:lang w:eastAsia="de-DE"/>
        </w:rPr>
        <w:t>יִיטַב</w:t>
      </w:r>
      <w:r w:rsidRPr="008D3E71">
        <w:rPr>
          <w:rFonts w:eastAsia="Times New Roman"/>
          <w:rtl/>
          <w:lang w:eastAsia="de-DE"/>
        </w:rPr>
        <w:t xml:space="preserve"> </w:t>
      </w:r>
      <w:r w:rsidRPr="008D3E71">
        <w:rPr>
          <w:rFonts w:eastAsia="Times New Roman"/>
          <w:lang w:eastAsia="de-DE"/>
        </w:rPr>
        <w:t xml:space="preserve">als Qal Imperfekt, 3. Person Singular maskulin von </w:t>
      </w:r>
      <w:r w:rsidRPr="008D3E71">
        <w:rPr>
          <w:rFonts w:eastAsia="Times New Roman"/>
          <w:b/>
          <w:bCs/>
          <w:rtl/>
          <w:lang w:eastAsia="de-DE"/>
        </w:rPr>
        <w:t>יטב</w:t>
      </w:r>
      <w:r w:rsidRPr="008D3E71">
        <w:rPr>
          <w:rFonts w:eastAsia="Times New Roman"/>
          <w:rtl/>
          <w:lang w:eastAsia="de-DE"/>
        </w:rPr>
        <w:t xml:space="preserve"> </w:t>
      </w:r>
      <w:r w:rsidRPr="008D3E71">
        <w:rPr>
          <w:rFonts w:eastAsia="Times New Roman"/>
          <w:lang w:eastAsia="de-DE"/>
        </w:rPr>
        <w:t xml:space="preserve">(„gut sein, gut gehen, wohlergehen"), </w:t>
      </w:r>
      <w:r w:rsidRPr="008D3E71">
        <w:rPr>
          <w:rFonts w:eastAsia="Times New Roman"/>
          <w:b/>
          <w:bCs/>
          <w:rtl/>
          <w:lang w:eastAsia="de-DE"/>
        </w:rPr>
        <w:t>לְךָ</w:t>
      </w:r>
      <w:r w:rsidRPr="008D3E71">
        <w:rPr>
          <w:rFonts w:eastAsia="Times New Roman"/>
          <w:rtl/>
          <w:lang w:eastAsia="de-DE"/>
        </w:rPr>
        <w:t xml:space="preserve"> </w:t>
      </w:r>
      <w:r w:rsidRPr="008D3E71">
        <w:rPr>
          <w:rFonts w:eastAsia="Times New Roman"/>
          <w:lang w:eastAsia="de-DE"/>
        </w:rPr>
        <w:t xml:space="preserve">als Dativ, </w:t>
      </w:r>
      <w:r w:rsidRPr="008D3E71">
        <w:rPr>
          <w:rFonts w:eastAsia="Times New Roman"/>
          <w:b/>
          <w:bCs/>
          <w:rtl/>
          <w:lang w:eastAsia="de-DE"/>
        </w:rPr>
        <w:t>וּלְבָנֶיךָ אַחֲרֶיךָ</w:t>
      </w:r>
      <w:r w:rsidRPr="008D3E71">
        <w:rPr>
          <w:rFonts w:eastAsia="Times New Roman"/>
          <w:rtl/>
          <w:lang w:eastAsia="de-DE"/>
        </w:rPr>
        <w:t xml:space="preserve"> </w:t>
      </w:r>
      <w:r w:rsidRPr="008D3E71">
        <w:rPr>
          <w:rFonts w:eastAsia="Times New Roman"/>
          <w:lang w:eastAsia="de-DE"/>
        </w:rPr>
        <w:t>koordiniert (</w:t>
      </w:r>
      <w:r w:rsidRPr="008D3E71">
        <w:rPr>
          <w:rFonts w:eastAsia="Times New Roman"/>
          <w:b/>
          <w:bCs/>
          <w:rtl/>
          <w:lang w:eastAsia="de-DE"/>
        </w:rPr>
        <w:t>וְ</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לְבָנֶיךָ</w:t>
      </w:r>
      <w:r w:rsidRPr="008D3E71">
        <w:rPr>
          <w:rFonts w:eastAsia="Times New Roman"/>
          <w:lang w:eastAsia="de-DE"/>
        </w:rPr>
        <w:t xml:space="preserve">, </w:t>
      </w:r>
      <w:r w:rsidRPr="008D3E71">
        <w:rPr>
          <w:rFonts w:eastAsia="Times New Roman"/>
          <w:b/>
          <w:bCs/>
          <w:rtl/>
          <w:lang w:eastAsia="de-DE"/>
        </w:rPr>
        <w:t>בָּנִים</w:t>
      </w:r>
      <w:r w:rsidRPr="008D3E71">
        <w:rPr>
          <w:rFonts w:eastAsia="Times New Roman"/>
          <w:rtl/>
          <w:lang w:eastAsia="de-DE"/>
        </w:rPr>
        <w:t xml:space="preserve"> </w:t>
      </w:r>
      <w:r w:rsidRPr="008D3E71">
        <w:rPr>
          <w:rFonts w:eastAsia="Times New Roman"/>
          <w:lang w:eastAsia="de-DE"/>
        </w:rPr>
        <w:t xml:space="preserve">Plural mit Suffix 2. Person Singular maskulin, und </w:t>
      </w:r>
      <w:r w:rsidRPr="008D3E71">
        <w:rPr>
          <w:rFonts w:eastAsia="Times New Roman"/>
          <w:b/>
          <w:bCs/>
          <w:rtl/>
          <w:lang w:eastAsia="de-DE"/>
        </w:rPr>
        <w:t>אַחֲרֶיךָ</w:t>
      </w:r>
      <w:r w:rsidRPr="008D3E71">
        <w:rPr>
          <w:rFonts w:eastAsia="Times New Roman"/>
          <w:rtl/>
          <w:lang w:eastAsia="de-DE"/>
        </w:rPr>
        <w:t xml:space="preserve"> </w:t>
      </w:r>
      <w:r w:rsidRPr="008D3E71">
        <w:rPr>
          <w:rFonts w:eastAsia="Times New Roman"/>
          <w:lang w:eastAsia="de-DE"/>
        </w:rPr>
        <w:t>als temporale Präposition mit Suffix – „nach dir").</w:t>
      </w:r>
    </w:p>
    <w:p w14:paraId="5994185B"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וּלְמַעַן תַּאֲרִיךְ יָמִים עַל־הָאֲדָמָה</w:t>
      </w:r>
      <w:r w:rsidRPr="008D3E71">
        <w:rPr>
          <w:rFonts w:eastAsia="Times New Roman"/>
          <w:rtl/>
          <w:lang w:eastAsia="de-DE"/>
        </w:rPr>
        <w:t xml:space="preserve"> </w:t>
      </w:r>
      <w:r w:rsidRPr="008D3E71">
        <w:rPr>
          <w:rFonts w:eastAsia="Times New Roman"/>
          <w:lang w:eastAsia="de-DE"/>
        </w:rPr>
        <w:t xml:space="preserve">ist eine weitere finale Konstruktion: </w:t>
      </w:r>
      <w:r w:rsidRPr="008D3E71">
        <w:rPr>
          <w:rFonts w:eastAsia="Times New Roman"/>
          <w:b/>
          <w:bCs/>
          <w:rtl/>
          <w:lang w:eastAsia="de-DE"/>
        </w:rPr>
        <w:t>וּלְמַעַן</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וְ</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לְמַעַן</w:t>
      </w:r>
      <w:r w:rsidRPr="008D3E71">
        <w:rPr>
          <w:rFonts w:eastAsia="Times New Roman"/>
          <w:lang w:eastAsia="de-DE"/>
        </w:rPr>
        <w:t xml:space="preserve">, „damit"), </w:t>
      </w:r>
      <w:r w:rsidRPr="008D3E71">
        <w:rPr>
          <w:rFonts w:eastAsia="Times New Roman"/>
          <w:b/>
          <w:bCs/>
          <w:rtl/>
          <w:lang w:eastAsia="de-DE"/>
        </w:rPr>
        <w:t>תַּאֲרִיךְ</w:t>
      </w:r>
      <w:r w:rsidRPr="008D3E71">
        <w:rPr>
          <w:rFonts w:eastAsia="Times New Roman"/>
          <w:rtl/>
          <w:lang w:eastAsia="de-DE"/>
        </w:rPr>
        <w:t xml:space="preserve"> </w:t>
      </w:r>
      <w:r w:rsidRPr="008D3E71">
        <w:rPr>
          <w:rFonts w:eastAsia="Times New Roman"/>
          <w:lang w:eastAsia="de-DE"/>
        </w:rPr>
        <w:t xml:space="preserve">als Hifil Imperfekt, 2. Person Singular maskulin von </w:t>
      </w:r>
      <w:r w:rsidRPr="008D3E71">
        <w:rPr>
          <w:rFonts w:eastAsia="Times New Roman"/>
          <w:b/>
          <w:bCs/>
          <w:rtl/>
          <w:lang w:eastAsia="de-DE"/>
        </w:rPr>
        <w:t>ארך</w:t>
      </w:r>
      <w:r w:rsidRPr="008D3E71">
        <w:rPr>
          <w:rFonts w:eastAsia="Times New Roman"/>
          <w:rtl/>
          <w:lang w:eastAsia="de-DE"/>
        </w:rPr>
        <w:t xml:space="preserve"> </w:t>
      </w:r>
      <w:r w:rsidRPr="008D3E71">
        <w:rPr>
          <w:rFonts w:eastAsia="Times New Roman"/>
          <w:lang w:eastAsia="de-DE"/>
        </w:rPr>
        <w:t xml:space="preserve">(„lang machen, verlängern"), </w:t>
      </w:r>
      <w:r w:rsidRPr="008D3E71">
        <w:rPr>
          <w:rFonts w:eastAsia="Times New Roman"/>
          <w:b/>
          <w:bCs/>
          <w:rtl/>
          <w:lang w:eastAsia="de-DE"/>
        </w:rPr>
        <w:t>יָמִים</w:t>
      </w:r>
      <w:r w:rsidRPr="008D3E71">
        <w:rPr>
          <w:rFonts w:eastAsia="Times New Roman"/>
          <w:rtl/>
          <w:lang w:eastAsia="de-DE"/>
        </w:rPr>
        <w:t xml:space="preserve"> </w:t>
      </w:r>
      <w:r w:rsidRPr="008D3E71">
        <w:rPr>
          <w:rFonts w:eastAsia="Times New Roman"/>
          <w:lang w:eastAsia="de-DE"/>
        </w:rPr>
        <w:t xml:space="preserve">als direktes Objekt, </w:t>
      </w:r>
      <w:r w:rsidRPr="008D3E71">
        <w:rPr>
          <w:rFonts w:eastAsia="Times New Roman"/>
          <w:b/>
          <w:bCs/>
          <w:rtl/>
          <w:lang w:eastAsia="de-DE"/>
        </w:rPr>
        <w:t>עַל־הָאֲדָמָה</w:t>
      </w:r>
      <w:r w:rsidRPr="008D3E71">
        <w:rPr>
          <w:rFonts w:eastAsia="Times New Roman"/>
          <w:rtl/>
          <w:lang w:eastAsia="de-DE"/>
        </w:rPr>
        <w:t xml:space="preserve"> </w:t>
      </w:r>
      <w:r w:rsidRPr="008D3E71">
        <w:rPr>
          <w:rFonts w:eastAsia="Times New Roman"/>
          <w:lang w:eastAsia="de-DE"/>
        </w:rPr>
        <w:t>als Ortsangabe (</w:t>
      </w:r>
      <w:r w:rsidRPr="008D3E71">
        <w:rPr>
          <w:rFonts w:eastAsia="Times New Roman"/>
          <w:b/>
          <w:bCs/>
          <w:rtl/>
          <w:lang w:eastAsia="de-DE"/>
        </w:rPr>
        <w:t>עַל</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אֲדָמָה</w:t>
      </w:r>
      <w:r w:rsidRPr="008D3E71">
        <w:rPr>
          <w:rFonts w:eastAsia="Times New Roman"/>
          <w:lang w:eastAsia="de-DE"/>
        </w:rPr>
        <w:t xml:space="preserve">, „Erdboden, Ackerboden"). Die idiomatische Wendung </w:t>
      </w:r>
      <w:r w:rsidRPr="008D3E71">
        <w:rPr>
          <w:rFonts w:eastAsia="Times New Roman"/>
          <w:b/>
          <w:bCs/>
          <w:rtl/>
          <w:lang w:eastAsia="de-DE"/>
        </w:rPr>
        <w:t>האריך יָמִים</w:t>
      </w:r>
      <w:r w:rsidRPr="008D3E71">
        <w:rPr>
          <w:rFonts w:eastAsia="Times New Roman"/>
          <w:rtl/>
          <w:lang w:eastAsia="de-DE"/>
        </w:rPr>
        <w:t xml:space="preserve"> </w:t>
      </w:r>
      <w:r w:rsidRPr="008D3E71">
        <w:rPr>
          <w:rFonts w:eastAsia="Times New Roman"/>
          <w:lang w:eastAsia="de-DE"/>
        </w:rPr>
        <w:t xml:space="preserve">bedeutet „lange leben, die Tage verlängern". </w:t>
      </w:r>
      <w:r w:rsidRPr="008D3E71">
        <w:rPr>
          <w:rFonts w:eastAsia="Times New Roman"/>
          <w:b/>
          <w:bCs/>
          <w:rtl/>
          <w:lang w:eastAsia="de-DE"/>
        </w:rPr>
        <w:t>אֲשֶׁר יְהוָה אֱלֹהֶיךָ נֹתֵן לְךָ כָּל־הַיָּמִים</w:t>
      </w:r>
      <w:r w:rsidRPr="008D3E71">
        <w:rPr>
          <w:rFonts w:eastAsia="Times New Roman"/>
          <w:rtl/>
          <w:lang w:eastAsia="de-DE"/>
        </w:rPr>
        <w:t xml:space="preserve"> </w:t>
      </w:r>
      <w:r w:rsidRPr="008D3E71">
        <w:rPr>
          <w:rFonts w:eastAsia="Times New Roman"/>
          <w:lang w:eastAsia="de-DE"/>
        </w:rPr>
        <w:t xml:space="preserve">ist ein Relativsatz: </w:t>
      </w:r>
      <w:r w:rsidRPr="008D3E71">
        <w:rPr>
          <w:rFonts w:eastAsia="Times New Roman"/>
          <w:b/>
          <w:bCs/>
          <w:rtl/>
          <w:lang w:eastAsia="de-DE"/>
        </w:rPr>
        <w:t>אֲשֶׁר</w:t>
      </w:r>
      <w:r w:rsidRPr="008D3E71">
        <w:rPr>
          <w:rFonts w:eastAsia="Times New Roman"/>
          <w:rtl/>
          <w:lang w:eastAsia="de-DE"/>
        </w:rPr>
        <w:t xml:space="preserve"> </w:t>
      </w:r>
      <w:r w:rsidRPr="008D3E71">
        <w:rPr>
          <w:rFonts w:eastAsia="Times New Roman"/>
          <w:lang w:eastAsia="de-DE"/>
        </w:rPr>
        <w:t xml:space="preserve">als Relativpronomen, </w:t>
      </w:r>
      <w:r w:rsidRPr="008D3E71">
        <w:rPr>
          <w:rFonts w:eastAsia="Times New Roman"/>
          <w:b/>
          <w:bCs/>
          <w:rtl/>
          <w:lang w:eastAsia="de-DE"/>
        </w:rPr>
        <w:t>יְהוָה אֱלֹהֶיךָ</w:t>
      </w:r>
      <w:r w:rsidRPr="008D3E71">
        <w:rPr>
          <w:rFonts w:eastAsia="Times New Roman"/>
          <w:rtl/>
          <w:lang w:eastAsia="de-DE"/>
        </w:rPr>
        <w:t xml:space="preserve"> </w:t>
      </w:r>
      <w:r w:rsidRPr="008D3E71">
        <w:rPr>
          <w:rFonts w:eastAsia="Times New Roman"/>
          <w:lang w:eastAsia="de-DE"/>
        </w:rPr>
        <w:t xml:space="preserve">als erweitertes Subjekt, </w:t>
      </w:r>
      <w:r w:rsidRPr="008D3E71">
        <w:rPr>
          <w:rFonts w:eastAsia="Times New Roman"/>
          <w:b/>
          <w:bCs/>
          <w:rtl/>
          <w:lang w:eastAsia="de-DE"/>
        </w:rPr>
        <w:t>נֹתֵן</w:t>
      </w:r>
      <w:r w:rsidRPr="008D3E71">
        <w:rPr>
          <w:rFonts w:eastAsia="Times New Roman"/>
          <w:rtl/>
          <w:lang w:eastAsia="de-DE"/>
        </w:rPr>
        <w:t xml:space="preserve"> </w:t>
      </w:r>
      <w:r w:rsidRPr="008D3E71">
        <w:rPr>
          <w:rFonts w:eastAsia="Times New Roman"/>
          <w:lang w:eastAsia="de-DE"/>
        </w:rPr>
        <w:t xml:space="preserve">als Qal Partizip Singular maskulin von </w:t>
      </w:r>
      <w:r w:rsidRPr="008D3E71">
        <w:rPr>
          <w:rFonts w:eastAsia="Times New Roman"/>
          <w:b/>
          <w:bCs/>
          <w:rtl/>
          <w:lang w:eastAsia="de-DE"/>
        </w:rPr>
        <w:t>נתן</w:t>
      </w:r>
      <w:r w:rsidRPr="008D3E71">
        <w:rPr>
          <w:rFonts w:eastAsia="Times New Roman"/>
          <w:lang w:eastAsia="de-DE"/>
        </w:rPr>
        <w:t xml:space="preserve">, </w:t>
      </w:r>
      <w:r w:rsidRPr="008D3E71">
        <w:rPr>
          <w:rFonts w:eastAsia="Times New Roman"/>
          <w:b/>
          <w:bCs/>
          <w:rtl/>
          <w:lang w:eastAsia="de-DE"/>
        </w:rPr>
        <w:t>לְךָ</w:t>
      </w:r>
      <w:r w:rsidRPr="008D3E71">
        <w:rPr>
          <w:rFonts w:eastAsia="Times New Roman"/>
          <w:rtl/>
          <w:lang w:eastAsia="de-DE"/>
        </w:rPr>
        <w:t xml:space="preserve"> </w:t>
      </w:r>
      <w:r w:rsidRPr="008D3E71">
        <w:rPr>
          <w:rFonts w:eastAsia="Times New Roman"/>
          <w:lang w:eastAsia="de-DE"/>
        </w:rPr>
        <w:t xml:space="preserve">als indirektes Objekt, </w:t>
      </w:r>
      <w:r w:rsidRPr="008D3E71">
        <w:rPr>
          <w:rFonts w:eastAsia="Times New Roman"/>
          <w:b/>
          <w:bCs/>
          <w:rtl/>
          <w:lang w:eastAsia="de-DE"/>
        </w:rPr>
        <w:t>כָּל־הַיָּמִים</w:t>
      </w:r>
      <w:r w:rsidRPr="008D3E71">
        <w:rPr>
          <w:rFonts w:eastAsia="Times New Roman"/>
          <w:rtl/>
          <w:lang w:eastAsia="de-DE"/>
        </w:rPr>
        <w:t xml:space="preserve"> </w:t>
      </w:r>
      <w:r w:rsidRPr="008D3E71">
        <w:rPr>
          <w:rFonts w:eastAsia="Times New Roman"/>
          <w:lang w:eastAsia="de-DE"/>
        </w:rPr>
        <w:t>als temporale Bestimmung (</w:t>
      </w:r>
      <w:r w:rsidRPr="008D3E71">
        <w:rPr>
          <w:rFonts w:eastAsia="Times New Roman"/>
          <w:b/>
          <w:bCs/>
          <w:rtl/>
          <w:lang w:eastAsia="de-DE"/>
        </w:rPr>
        <w:t>כָּל</w:t>
      </w:r>
      <w:r w:rsidRPr="008D3E71">
        <w:rPr>
          <w:rFonts w:eastAsia="Times New Roman"/>
          <w:rtl/>
          <w:lang w:eastAsia="de-DE"/>
        </w:rPr>
        <w:t xml:space="preserve"> </w:t>
      </w:r>
      <w:r w:rsidRPr="008D3E71">
        <w:rPr>
          <w:rFonts w:eastAsia="Times New Roman"/>
          <w:lang w:eastAsia="de-DE"/>
        </w:rPr>
        <w:t xml:space="preserve">im Construct mit </w:t>
      </w:r>
      <w:r w:rsidRPr="008D3E71">
        <w:rPr>
          <w:rFonts w:eastAsia="Times New Roman"/>
          <w:b/>
          <w:bCs/>
          <w:rtl/>
          <w:lang w:eastAsia="de-DE"/>
        </w:rPr>
        <w:t>הַיָּמִים</w:t>
      </w:r>
      <w:r w:rsidRPr="008D3E71">
        <w:rPr>
          <w:rFonts w:eastAsia="Times New Roman"/>
          <w:rtl/>
          <w:lang w:eastAsia="de-DE"/>
        </w:rPr>
        <w:t xml:space="preserve"> </w:t>
      </w:r>
      <w:r w:rsidRPr="008D3E71">
        <w:rPr>
          <w:rFonts w:eastAsia="Times New Roman"/>
          <w:lang w:eastAsia="de-DE"/>
        </w:rPr>
        <w:t>– „alle Tage, für immer").</w:t>
      </w:r>
    </w:p>
    <w:p w14:paraId="2177460F"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doppelte finale Konstruktion (</w:t>
      </w:r>
      <w:r w:rsidRPr="008D3E71">
        <w:rPr>
          <w:rFonts w:eastAsia="Times New Roman"/>
          <w:b/>
          <w:bCs/>
          <w:rtl/>
          <w:lang w:eastAsia="de-DE"/>
        </w:rPr>
        <w:t>אֲשֶׁר יִיטַב</w:t>
      </w:r>
      <w:r w:rsidRPr="008D3E71">
        <w:rPr>
          <w:rFonts w:eastAsia="Times New Roman"/>
          <w:rtl/>
          <w:lang w:eastAsia="de-DE"/>
        </w:rPr>
        <w:t xml:space="preserve"> </w:t>
      </w:r>
      <w:r w:rsidRPr="008D3E71">
        <w:rPr>
          <w:rFonts w:eastAsia="Times New Roman"/>
          <w:lang w:eastAsia="de-DE"/>
        </w:rPr>
        <w:t xml:space="preserve">und </w:t>
      </w:r>
      <w:r w:rsidRPr="008D3E71">
        <w:rPr>
          <w:rFonts w:eastAsia="Times New Roman"/>
          <w:b/>
          <w:bCs/>
          <w:rtl/>
          <w:lang w:eastAsia="de-DE"/>
        </w:rPr>
        <w:t>וּלְמַעַן תַּאֲרִיךְ יָמִים</w:t>
      </w:r>
      <w:r w:rsidRPr="008D3E71">
        <w:rPr>
          <w:rFonts w:eastAsia="Times New Roman"/>
          <w:lang w:eastAsia="de-DE"/>
        </w:rPr>
        <w:t xml:space="preserve">) nennt zwei positive Folgen des Gehorsams: Wohlergehen und langes Leben im Land. Diese Verheißungen sind zentral für die deuteronomische Bundestheologie. Die Erweiterung </w:t>
      </w:r>
      <w:r w:rsidRPr="008D3E71">
        <w:rPr>
          <w:rFonts w:eastAsia="Times New Roman"/>
          <w:b/>
          <w:bCs/>
          <w:rtl/>
          <w:lang w:eastAsia="de-DE"/>
        </w:rPr>
        <w:t>וּלְבָנֶיךָ אַחֲרֶיךָ</w:t>
      </w:r>
      <w:r w:rsidRPr="008D3E71">
        <w:rPr>
          <w:rFonts w:eastAsia="Times New Roman"/>
          <w:rtl/>
          <w:lang w:eastAsia="de-DE"/>
        </w:rPr>
        <w:t xml:space="preserve"> </w:t>
      </w:r>
      <w:r w:rsidRPr="008D3E71">
        <w:rPr>
          <w:rFonts w:eastAsia="Times New Roman"/>
          <w:lang w:eastAsia="de-DE"/>
        </w:rPr>
        <w:t xml:space="preserve">zeigt, dass der Segen generationenübergreifend wirkt. Die temporale Bestimmung </w:t>
      </w:r>
      <w:r w:rsidRPr="008D3E71">
        <w:rPr>
          <w:rFonts w:eastAsia="Times New Roman"/>
          <w:b/>
          <w:bCs/>
          <w:rtl/>
          <w:lang w:eastAsia="de-DE"/>
        </w:rPr>
        <w:t>כָּל־הַיָּמִים</w:t>
      </w:r>
      <w:r w:rsidRPr="008D3E71">
        <w:rPr>
          <w:rFonts w:eastAsia="Times New Roman"/>
          <w:rtl/>
          <w:lang w:eastAsia="de-DE"/>
        </w:rPr>
        <w:t xml:space="preserve"> </w:t>
      </w:r>
      <w:r w:rsidRPr="008D3E71">
        <w:rPr>
          <w:rFonts w:eastAsia="Times New Roman"/>
          <w:lang w:eastAsia="de-DE"/>
        </w:rPr>
        <w:t>(„alle Tage, für immer") am Ende unterstreicht die dauerhafte Natur der Landgabe.</w:t>
      </w:r>
    </w:p>
    <w:p w14:paraId="77C76F9C"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Die Satzstruktur besteht aus einem imperativischen Verb (Perfekt consecutivum) mit zweigliedriger Objektkette mit Suffixen und Relativsatz mit emphatischem Pronomen, partizipialem Prädikat und temporalem Adverb, zwei koordinierten finalen Konstruktionen (die erste als Relativsatz mit Dativ-Erweiterung, die zweite als </w:t>
      </w:r>
      <w:r w:rsidRPr="008D3E71">
        <w:rPr>
          <w:rFonts w:eastAsia="Times New Roman"/>
          <w:b/>
          <w:bCs/>
          <w:rtl/>
          <w:lang w:eastAsia="de-DE"/>
        </w:rPr>
        <w:t>לְמַעַן</w:t>
      </w:r>
      <w:r w:rsidRPr="008D3E71">
        <w:rPr>
          <w:rFonts w:eastAsia="Times New Roman"/>
          <w:lang w:eastAsia="de-DE"/>
        </w:rPr>
        <w:t>-Konstruktion mit Hifil-Imperfekt, direktem Objekt und Ortsangabe), und einem abschließenden Relativsatz mit partizipialem Prädikat, erweitertem Subjekt, Dativ und temporaler Bestimmung. Die Struktur zeigt die Kondition (Gehorsam) und die doppelte Konsequenz (Wohlergehen und langes Leben).</w:t>
      </w:r>
    </w:p>
    <w:p w14:paraId="39119C6C"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Der Vers schließt das Kapitel mit einer paränetischen Mahnung: Gehorsam gegenüber Gottes Geboten führt zu Wohlergehen und langem Leben im verheißenen Land für kommende Generationen – die klassische Bundeszusage des Deuteronomiums.</w:t>
      </w:r>
    </w:p>
    <w:p w14:paraId="73AAB2AC"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4,41</w:t>
      </w:r>
    </w:p>
    <w:p w14:paraId="76956FB6"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lastRenderedPageBreak/>
        <w:t>Hebräisch:</w:t>
      </w:r>
      <w:r w:rsidRPr="008D3E71">
        <w:rPr>
          <w:rFonts w:eastAsia="Times New Roman"/>
          <w:lang w:eastAsia="de-DE"/>
        </w:rPr>
        <w:t xml:space="preserve"> </w:t>
      </w:r>
      <w:r w:rsidRPr="008D3E71">
        <w:rPr>
          <w:rFonts w:eastAsia="Times New Roman"/>
          <w:rtl/>
          <w:lang w:eastAsia="de-DE"/>
        </w:rPr>
        <w:t>אָ֣ז יַבְדִּ֤יל מֹשֶׁה֙ שָׁלֹ֣שׁ עָרִ֔ים בְּעֵ֖בֶר הַיַּרְדֵּ֑ן מִזְרְחָ֖ה שָֽׁמֶשׁ׃</w:t>
      </w:r>
    </w:p>
    <w:p w14:paraId="5DEB8370"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Damals sonderte Mosche drei Städte aus jenseits des Jardens, gegen Aufgang der Sonne,</w:t>
      </w:r>
    </w:p>
    <w:p w14:paraId="2F1E564D"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72FE3857">
          <v:rect id="_x0000_i1177" style="width:0;height:1.5pt" o:hralign="center" o:hrstd="t" o:hr="t" fillcolor="#a0a0a0" stroked="f"/>
        </w:pict>
      </w:r>
    </w:p>
    <w:p w14:paraId="39E1900E"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אָז יַבְדִּיל מֹשֶׁה שָׁלֹשׁ עָרִים</w:t>
      </w:r>
      <w:r w:rsidRPr="008D3E71">
        <w:rPr>
          <w:rFonts w:eastAsia="Times New Roman"/>
          <w:rtl/>
          <w:lang w:eastAsia="de-DE"/>
        </w:rPr>
        <w:t xml:space="preserve"> </w:t>
      </w:r>
      <w:r w:rsidRPr="008D3E71">
        <w:rPr>
          <w:rFonts w:eastAsia="Times New Roman"/>
          <w:lang w:eastAsia="de-DE"/>
        </w:rPr>
        <w:t xml:space="preserve">markiert einen narrativen Einschub: </w:t>
      </w:r>
      <w:r w:rsidRPr="008D3E71">
        <w:rPr>
          <w:rFonts w:eastAsia="Times New Roman"/>
          <w:b/>
          <w:bCs/>
          <w:rtl/>
          <w:lang w:eastAsia="de-DE"/>
        </w:rPr>
        <w:t>אָז</w:t>
      </w:r>
      <w:r w:rsidRPr="008D3E71">
        <w:rPr>
          <w:rFonts w:eastAsia="Times New Roman"/>
          <w:rtl/>
          <w:lang w:eastAsia="de-DE"/>
        </w:rPr>
        <w:t xml:space="preserve"> </w:t>
      </w:r>
      <w:r w:rsidRPr="008D3E71">
        <w:rPr>
          <w:rFonts w:eastAsia="Times New Roman"/>
          <w:lang w:eastAsia="de-DE"/>
        </w:rPr>
        <w:t xml:space="preserve">als temporales Adverb („damals, dann"), </w:t>
      </w:r>
      <w:r w:rsidRPr="008D3E71">
        <w:rPr>
          <w:rFonts w:eastAsia="Times New Roman"/>
          <w:b/>
          <w:bCs/>
          <w:rtl/>
          <w:lang w:eastAsia="de-DE"/>
        </w:rPr>
        <w:t>יַבְדִּיל</w:t>
      </w:r>
      <w:r w:rsidRPr="008D3E71">
        <w:rPr>
          <w:rFonts w:eastAsia="Times New Roman"/>
          <w:rtl/>
          <w:lang w:eastAsia="de-DE"/>
        </w:rPr>
        <w:t xml:space="preserve"> </w:t>
      </w:r>
      <w:r w:rsidRPr="008D3E71">
        <w:rPr>
          <w:rFonts w:eastAsia="Times New Roman"/>
          <w:lang w:eastAsia="de-DE"/>
        </w:rPr>
        <w:t xml:space="preserve">als Hifil Imperfekt consecutivum, 3. Person Singular maskulin von </w:t>
      </w:r>
      <w:r w:rsidRPr="008D3E71">
        <w:rPr>
          <w:rFonts w:eastAsia="Times New Roman"/>
          <w:b/>
          <w:bCs/>
          <w:rtl/>
          <w:lang w:eastAsia="de-DE"/>
        </w:rPr>
        <w:t>בדל</w:t>
      </w:r>
      <w:r w:rsidRPr="008D3E71">
        <w:rPr>
          <w:rFonts w:eastAsia="Times New Roman"/>
          <w:rtl/>
          <w:lang w:eastAsia="de-DE"/>
        </w:rPr>
        <w:t xml:space="preserve"> </w:t>
      </w:r>
      <w:r w:rsidRPr="008D3E71">
        <w:rPr>
          <w:rFonts w:eastAsia="Times New Roman"/>
          <w:lang w:eastAsia="de-DE"/>
        </w:rPr>
        <w:t xml:space="preserve">(„trennen, absondern, aussondern") – hier ohne Waw, was auf einen neuen Abschnitt hinweist, </w:t>
      </w:r>
      <w:r w:rsidRPr="008D3E71">
        <w:rPr>
          <w:rFonts w:eastAsia="Times New Roman"/>
          <w:b/>
          <w:bCs/>
          <w:rtl/>
          <w:lang w:eastAsia="de-DE"/>
        </w:rPr>
        <w:t>מֹשֶׁה</w:t>
      </w:r>
      <w:r w:rsidRPr="008D3E71">
        <w:rPr>
          <w:rFonts w:eastAsia="Times New Roman"/>
          <w:rtl/>
          <w:lang w:eastAsia="de-DE"/>
        </w:rPr>
        <w:t xml:space="preserve"> </w:t>
      </w:r>
      <w:r w:rsidRPr="008D3E71">
        <w:rPr>
          <w:rFonts w:eastAsia="Times New Roman"/>
          <w:lang w:eastAsia="de-DE"/>
        </w:rPr>
        <w:t xml:space="preserve">als Subjekt, </w:t>
      </w:r>
      <w:r w:rsidRPr="008D3E71">
        <w:rPr>
          <w:rFonts w:eastAsia="Times New Roman"/>
          <w:b/>
          <w:bCs/>
          <w:rtl/>
          <w:lang w:eastAsia="de-DE"/>
        </w:rPr>
        <w:t>שָׁלֹשׁ עָרִים</w:t>
      </w:r>
      <w:r w:rsidRPr="008D3E71">
        <w:rPr>
          <w:rFonts w:eastAsia="Times New Roman"/>
          <w:rtl/>
          <w:lang w:eastAsia="de-DE"/>
        </w:rPr>
        <w:t xml:space="preserve"> </w:t>
      </w:r>
      <w:r w:rsidRPr="008D3E71">
        <w:rPr>
          <w:rFonts w:eastAsia="Times New Roman"/>
          <w:lang w:eastAsia="de-DE"/>
        </w:rPr>
        <w:t>als direktes Objekt (</w:t>
      </w:r>
      <w:r w:rsidRPr="008D3E71">
        <w:rPr>
          <w:rFonts w:eastAsia="Times New Roman"/>
          <w:b/>
          <w:bCs/>
          <w:rtl/>
          <w:lang w:eastAsia="de-DE"/>
        </w:rPr>
        <w:t>שָׁלֹשׁ</w:t>
      </w:r>
      <w:r w:rsidRPr="008D3E71">
        <w:rPr>
          <w:rFonts w:eastAsia="Times New Roman"/>
          <w:lang w:eastAsia="de-DE"/>
        </w:rPr>
        <w:t xml:space="preserve">, „drei", feminin, mit </w:t>
      </w:r>
      <w:r w:rsidRPr="008D3E71">
        <w:rPr>
          <w:rFonts w:eastAsia="Times New Roman"/>
          <w:b/>
          <w:bCs/>
          <w:rtl/>
          <w:lang w:eastAsia="de-DE"/>
        </w:rPr>
        <w:t>עָרִים</w:t>
      </w:r>
      <w:r w:rsidRPr="008D3E71">
        <w:rPr>
          <w:rFonts w:eastAsia="Times New Roman"/>
          <w:lang w:eastAsia="de-DE"/>
        </w:rPr>
        <w:t xml:space="preserve">, „Städte", Plural feminin von </w:t>
      </w:r>
      <w:r w:rsidRPr="008D3E71">
        <w:rPr>
          <w:rFonts w:eastAsia="Times New Roman"/>
          <w:b/>
          <w:bCs/>
          <w:rtl/>
          <w:lang w:eastAsia="de-DE"/>
        </w:rPr>
        <w:t>עִיר</w:t>
      </w:r>
      <w:r w:rsidRPr="008D3E71">
        <w:rPr>
          <w:rFonts w:eastAsia="Times New Roman"/>
          <w:lang w:eastAsia="de-DE"/>
        </w:rPr>
        <w:t xml:space="preserve">). </w:t>
      </w:r>
      <w:r w:rsidRPr="008D3E71">
        <w:rPr>
          <w:rFonts w:eastAsia="Times New Roman"/>
          <w:b/>
          <w:bCs/>
          <w:rtl/>
          <w:lang w:eastAsia="de-DE"/>
        </w:rPr>
        <w:t>בְּעֵבֶר הַיַּרְדֵּן</w:t>
      </w:r>
      <w:r w:rsidRPr="008D3E71">
        <w:rPr>
          <w:rFonts w:eastAsia="Times New Roman"/>
          <w:rtl/>
          <w:lang w:eastAsia="de-DE"/>
        </w:rPr>
        <w:t xml:space="preserve"> </w:t>
      </w:r>
      <w:r w:rsidRPr="008D3E71">
        <w:rPr>
          <w:rFonts w:eastAsia="Times New Roman"/>
          <w:lang w:eastAsia="de-DE"/>
        </w:rPr>
        <w:t xml:space="preserve">ist eine Ortsangabe: </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עֵבֶר</w:t>
      </w:r>
      <w:r w:rsidRPr="008D3E71">
        <w:rPr>
          <w:rFonts w:eastAsia="Times New Roman"/>
          <w:rtl/>
          <w:lang w:eastAsia="de-DE"/>
        </w:rPr>
        <w:t xml:space="preserve"> </w:t>
      </w:r>
      <w:r w:rsidRPr="008D3E71">
        <w:rPr>
          <w:rFonts w:eastAsia="Times New Roman"/>
          <w:lang w:eastAsia="de-DE"/>
        </w:rPr>
        <w:t xml:space="preserve">(„Seite, Jenseits") im Construct und </w:t>
      </w:r>
      <w:r w:rsidRPr="008D3E71">
        <w:rPr>
          <w:rFonts w:eastAsia="Times New Roman"/>
          <w:b/>
          <w:bCs/>
          <w:rtl/>
          <w:lang w:eastAsia="de-DE"/>
        </w:rPr>
        <w:t>הַיַּרְדֵּן</w:t>
      </w:r>
      <w:r w:rsidRPr="008D3E71">
        <w:rPr>
          <w:rFonts w:eastAsia="Times New Roman"/>
          <w:lang w:eastAsia="de-DE"/>
        </w:rPr>
        <w:t xml:space="preserve">. </w:t>
      </w:r>
      <w:r w:rsidRPr="008D3E71">
        <w:rPr>
          <w:rFonts w:eastAsia="Times New Roman"/>
          <w:b/>
          <w:bCs/>
          <w:rtl/>
          <w:lang w:eastAsia="de-DE"/>
        </w:rPr>
        <w:t>מִזְרְחָה שָׁמֶשׁ</w:t>
      </w:r>
      <w:r w:rsidRPr="008D3E71">
        <w:rPr>
          <w:rFonts w:eastAsia="Times New Roman"/>
          <w:rtl/>
          <w:lang w:eastAsia="de-DE"/>
        </w:rPr>
        <w:t xml:space="preserve"> </w:t>
      </w:r>
      <w:r w:rsidRPr="008D3E71">
        <w:rPr>
          <w:rFonts w:eastAsia="Times New Roman"/>
          <w:lang w:eastAsia="de-DE"/>
        </w:rPr>
        <w:t xml:space="preserve">ist eine Richtungsangabe: </w:t>
      </w:r>
      <w:r w:rsidRPr="008D3E71">
        <w:rPr>
          <w:rFonts w:eastAsia="Times New Roman"/>
          <w:b/>
          <w:bCs/>
          <w:rtl/>
          <w:lang w:eastAsia="de-DE"/>
        </w:rPr>
        <w:t>מִזְרָח</w:t>
      </w:r>
      <w:r w:rsidRPr="008D3E71">
        <w:rPr>
          <w:rFonts w:eastAsia="Times New Roman"/>
          <w:rtl/>
          <w:lang w:eastAsia="de-DE"/>
        </w:rPr>
        <w:t xml:space="preserve"> </w:t>
      </w:r>
      <w:r w:rsidRPr="008D3E71">
        <w:rPr>
          <w:rFonts w:eastAsia="Times New Roman"/>
          <w:lang w:eastAsia="de-DE"/>
        </w:rPr>
        <w:t xml:space="preserve">(„Osten, Aufgang") mit direktionalem He und </w:t>
      </w:r>
      <w:r w:rsidRPr="008D3E71">
        <w:rPr>
          <w:rFonts w:eastAsia="Times New Roman"/>
          <w:b/>
          <w:bCs/>
          <w:rtl/>
          <w:lang w:eastAsia="de-DE"/>
        </w:rPr>
        <w:t>שֶׁמֶשׁ</w:t>
      </w:r>
      <w:r w:rsidRPr="008D3E71">
        <w:rPr>
          <w:rFonts w:eastAsia="Times New Roman"/>
          <w:rtl/>
          <w:lang w:eastAsia="de-DE"/>
        </w:rPr>
        <w:t xml:space="preserve"> </w:t>
      </w:r>
      <w:r w:rsidRPr="008D3E71">
        <w:rPr>
          <w:rFonts w:eastAsia="Times New Roman"/>
          <w:lang w:eastAsia="de-DE"/>
        </w:rPr>
        <w:t>(„Sonne") in appositionalem Verhältnis – „ostwärts, gegen Sonnenaufgang".</w:t>
      </w:r>
    </w:p>
    <w:p w14:paraId="1D6038E3"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Dieser Vers leitet einen kurzen narrativen Anhang ein (V. 41-43), der die Aussonderung der Asylstädte im Ostjordanland berichtet. Die Asylstädte dienten als Zufluchtsorte für unvorsätzliche Totschläger (vgl. Num 35,9-34; Dtn 19,1-13; Jos 20). Das Verb </w:t>
      </w:r>
      <w:r w:rsidRPr="008D3E71">
        <w:rPr>
          <w:rFonts w:eastAsia="Times New Roman"/>
          <w:b/>
          <w:bCs/>
          <w:rtl/>
          <w:lang w:eastAsia="de-DE"/>
        </w:rPr>
        <w:t>בדל</w:t>
      </w:r>
      <w:r w:rsidRPr="008D3E71">
        <w:rPr>
          <w:rFonts w:eastAsia="Times New Roman"/>
          <w:rtl/>
          <w:lang w:eastAsia="de-DE"/>
        </w:rPr>
        <w:t xml:space="preserve"> </w:t>
      </w:r>
      <w:r w:rsidRPr="008D3E71">
        <w:rPr>
          <w:rFonts w:eastAsia="Times New Roman"/>
          <w:lang w:eastAsia="de-DE"/>
        </w:rPr>
        <w:t>(„absondern") betont die besondere Widmung dieser Städte für einen heiligen Zweck.</w:t>
      </w:r>
    </w:p>
    <w:p w14:paraId="0F73211A"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Satzstruktur ist ein einfacher narrativer Hauptsatz mit temporalem Adverb, Prädikat ohne Waw consecutivum (was einen Neuansatz markiert), Subjekt, direktem Objekt mit Zahlenangabe, Ortsangabe und Richtungsangabe. Das fehlende Waw consecutivum zeigt, dass dies ein neuer, vom vorherigen paränetischen Material unabhängiger Abschnitt ist.</w:t>
      </w:r>
    </w:p>
    <w:p w14:paraId="4EC9A49B"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Der Vers berichtet knapp von Moses Aussonderung dreier Asylstädte im Ostjordanland – ein legislativer Akt, der die Landnahme begleitet.</w:t>
      </w:r>
    </w:p>
    <w:p w14:paraId="28BCB70F"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4,42</w:t>
      </w:r>
    </w:p>
    <w:p w14:paraId="6AC791BD"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לָנֻ֨ס שָׁ֜מָּה רוֹצֵ֗חַ אֲשֶׁ֨ר יִרְצַ֤ח אֶת־רֵעֵ֨הוּ֙ בִּבְלִי־דַ֔עַת וְה֛וּא לֹא־שֹׂנֵ֥א לוֹ֖ מִתְּמ֣וֹל שִׁלְשׁ֑וֹם וְנָ֗ס אֶל־אַחַ֛ת מִן־הֶעָרִ֥ים הָאֵ֖ל וָחָֽי׃</w:t>
      </w:r>
    </w:p>
    <w:p w14:paraId="052EF0F5"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Damit dorthin fliehe ein Totschläger, der seinen Nächsten ohne Wissen erschlägt, und er ihn nicht von gestern und vorgestern gehasst hat – damit er fliehe in eine von diesen Städten und lebe:</w:t>
      </w:r>
    </w:p>
    <w:p w14:paraId="74DE8CB1"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1DC4506D">
          <v:rect id="_x0000_i1178" style="width:0;height:1.5pt" o:hralign="center" o:hrstd="t" o:hr="t" fillcolor="#a0a0a0" stroked="f"/>
        </w:pict>
      </w:r>
    </w:p>
    <w:p w14:paraId="18C84A27"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לָנֻס שָׁמָּה רוֹצֵחַ</w:t>
      </w:r>
      <w:r w:rsidRPr="008D3E71">
        <w:rPr>
          <w:rFonts w:eastAsia="Times New Roman"/>
          <w:rtl/>
          <w:lang w:eastAsia="de-DE"/>
        </w:rPr>
        <w:t xml:space="preserve"> </w:t>
      </w:r>
      <w:r w:rsidRPr="008D3E71">
        <w:rPr>
          <w:rFonts w:eastAsia="Times New Roman"/>
          <w:lang w:eastAsia="de-DE"/>
        </w:rPr>
        <w:t xml:space="preserve">ist eine finale Infinitivkonstruktion: </w:t>
      </w:r>
      <w:r w:rsidRPr="008D3E71">
        <w:rPr>
          <w:rFonts w:eastAsia="Times New Roman"/>
          <w:b/>
          <w:bCs/>
          <w:rtl/>
          <w:lang w:eastAsia="de-DE"/>
        </w:rPr>
        <w:t>לָנֻס</w:t>
      </w:r>
      <w:r w:rsidRPr="008D3E71">
        <w:rPr>
          <w:rFonts w:eastAsia="Times New Roman"/>
          <w:rtl/>
          <w:lang w:eastAsia="de-DE"/>
        </w:rPr>
        <w:t xml:space="preserve"> </w:t>
      </w:r>
      <w:r w:rsidRPr="008D3E71">
        <w:rPr>
          <w:rFonts w:eastAsia="Times New Roman"/>
          <w:lang w:eastAsia="de-DE"/>
        </w:rPr>
        <w:t xml:space="preserve">(Qal Infinitiv Construct von </w:t>
      </w:r>
      <w:r w:rsidRPr="008D3E71">
        <w:rPr>
          <w:rFonts w:eastAsia="Times New Roman"/>
          <w:b/>
          <w:bCs/>
          <w:rtl/>
          <w:lang w:eastAsia="de-DE"/>
        </w:rPr>
        <w:t>נוס</w:t>
      </w:r>
      <w:r w:rsidRPr="008D3E71">
        <w:rPr>
          <w:rFonts w:eastAsia="Times New Roman"/>
          <w:lang w:eastAsia="de-DE"/>
        </w:rPr>
        <w:t xml:space="preserve">, „fliehen", mit </w:t>
      </w:r>
      <w:r w:rsidRPr="008D3E71">
        <w:rPr>
          <w:rFonts w:eastAsia="Times New Roman"/>
          <w:b/>
          <w:bCs/>
          <w:rtl/>
          <w:lang w:eastAsia="de-DE"/>
        </w:rPr>
        <w:t>לְ</w:t>
      </w:r>
      <w:r w:rsidRPr="008D3E71">
        <w:rPr>
          <w:rFonts w:eastAsia="Times New Roman"/>
          <w:lang w:eastAsia="de-DE"/>
        </w:rPr>
        <w:t xml:space="preserve">), </w:t>
      </w:r>
      <w:r w:rsidRPr="008D3E71">
        <w:rPr>
          <w:rFonts w:eastAsia="Times New Roman"/>
          <w:b/>
          <w:bCs/>
          <w:rtl/>
          <w:lang w:eastAsia="de-DE"/>
        </w:rPr>
        <w:t>שָׁמָּה</w:t>
      </w:r>
      <w:r w:rsidRPr="008D3E71">
        <w:rPr>
          <w:rFonts w:eastAsia="Times New Roman"/>
          <w:rtl/>
          <w:lang w:eastAsia="de-DE"/>
        </w:rPr>
        <w:t xml:space="preserve"> </w:t>
      </w:r>
      <w:r w:rsidRPr="008D3E71">
        <w:rPr>
          <w:rFonts w:eastAsia="Times New Roman"/>
          <w:lang w:eastAsia="de-DE"/>
        </w:rPr>
        <w:t xml:space="preserve">als Richtungsadverb („dorthin"), </w:t>
      </w:r>
      <w:r w:rsidRPr="008D3E71">
        <w:rPr>
          <w:rFonts w:eastAsia="Times New Roman"/>
          <w:b/>
          <w:bCs/>
          <w:rtl/>
          <w:lang w:eastAsia="de-DE"/>
        </w:rPr>
        <w:t>רוֹצֵחַ</w:t>
      </w:r>
      <w:r w:rsidRPr="008D3E71">
        <w:rPr>
          <w:rFonts w:eastAsia="Times New Roman"/>
          <w:rtl/>
          <w:lang w:eastAsia="de-DE"/>
        </w:rPr>
        <w:t xml:space="preserve"> </w:t>
      </w:r>
      <w:r w:rsidRPr="008D3E71">
        <w:rPr>
          <w:rFonts w:eastAsia="Times New Roman"/>
          <w:lang w:eastAsia="de-DE"/>
        </w:rPr>
        <w:t xml:space="preserve">als Subjekt des Infinitivs (Qal Partizip Singular maskulin von </w:t>
      </w:r>
      <w:r w:rsidRPr="008D3E71">
        <w:rPr>
          <w:rFonts w:eastAsia="Times New Roman"/>
          <w:b/>
          <w:bCs/>
          <w:rtl/>
          <w:lang w:eastAsia="de-DE"/>
        </w:rPr>
        <w:t>רצח</w:t>
      </w:r>
      <w:r w:rsidRPr="008D3E71">
        <w:rPr>
          <w:rFonts w:eastAsia="Times New Roman"/>
          <w:lang w:eastAsia="de-DE"/>
        </w:rPr>
        <w:t xml:space="preserve">, „töten, morden" – hier substantiviert „Totschläger"). </w:t>
      </w:r>
      <w:r w:rsidRPr="008D3E71">
        <w:rPr>
          <w:rFonts w:eastAsia="Times New Roman"/>
          <w:b/>
          <w:bCs/>
          <w:rtl/>
          <w:lang w:eastAsia="de-DE"/>
        </w:rPr>
        <w:t>אֲשֶׁר יִרְצַח אֶת־רֵעֵהוּ בִּבְלִי־דַעַת</w:t>
      </w:r>
      <w:r w:rsidRPr="008D3E71">
        <w:rPr>
          <w:rFonts w:eastAsia="Times New Roman"/>
          <w:rtl/>
          <w:lang w:eastAsia="de-DE"/>
        </w:rPr>
        <w:t xml:space="preserve"> </w:t>
      </w:r>
      <w:r w:rsidRPr="008D3E71">
        <w:rPr>
          <w:rFonts w:eastAsia="Times New Roman"/>
          <w:lang w:eastAsia="de-DE"/>
        </w:rPr>
        <w:t xml:space="preserve">ist ein Relativsatz: </w:t>
      </w:r>
      <w:r w:rsidRPr="008D3E71">
        <w:rPr>
          <w:rFonts w:eastAsia="Times New Roman"/>
          <w:b/>
          <w:bCs/>
          <w:rtl/>
          <w:lang w:eastAsia="de-DE"/>
        </w:rPr>
        <w:t>אֲשֶׁר</w:t>
      </w:r>
      <w:r w:rsidRPr="008D3E71">
        <w:rPr>
          <w:rFonts w:eastAsia="Times New Roman"/>
          <w:rtl/>
          <w:lang w:eastAsia="de-DE"/>
        </w:rPr>
        <w:t xml:space="preserve"> </w:t>
      </w:r>
      <w:r w:rsidRPr="008D3E71">
        <w:rPr>
          <w:rFonts w:eastAsia="Times New Roman"/>
          <w:lang w:eastAsia="de-DE"/>
        </w:rPr>
        <w:t xml:space="preserve">als Relativpronomen, </w:t>
      </w:r>
      <w:r w:rsidRPr="008D3E71">
        <w:rPr>
          <w:rFonts w:eastAsia="Times New Roman"/>
          <w:b/>
          <w:bCs/>
          <w:rtl/>
          <w:lang w:eastAsia="de-DE"/>
        </w:rPr>
        <w:t>יִרְצַח</w:t>
      </w:r>
      <w:r w:rsidRPr="008D3E71">
        <w:rPr>
          <w:rFonts w:eastAsia="Times New Roman"/>
          <w:rtl/>
          <w:lang w:eastAsia="de-DE"/>
        </w:rPr>
        <w:t xml:space="preserve"> </w:t>
      </w:r>
      <w:r w:rsidRPr="008D3E71">
        <w:rPr>
          <w:rFonts w:eastAsia="Times New Roman"/>
          <w:lang w:eastAsia="de-DE"/>
        </w:rPr>
        <w:t xml:space="preserve">als Qal Imperfekt, 3. Person Singular maskulin von </w:t>
      </w:r>
      <w:r w:rsidRPr="008D3E71">
        <w:rPr>
          <w:rFonts w:eastAsia="Times New Roman"/>
          <w:b/>
          <w:bCs/>
          <w:rtl/>
          <w:lang w:eastAsia="de-DE"/>
        </w:rPr>
        <w:t>רצח</w:t>
      </w:r>
      <w:r w:rsidRPr="008D3E71">
        <w:rPr>
          <w:rFonts w:eastAsia="Times New Roman"/>
          <w:lang w:eastAsia="de-DE"/>
        </w:rPr>
        <w:t xml:space="preserve">, </w:t>
      </w:r>
      <w:r w:rsidRPr="008D3E71">
        <w:rPr>
          <w:rFonts w:eastAsia="Times New Roman"/>
          <w:b/>
          <w:bCs/>
          <w:rtl/>
          <w:lang w:eastAsia="de-DE"/>
        </w:rPr>
        <w:t>אֶת־רֵעֵהוּ</w:t>
      </w:r>
      <w:r w:rsidRPr="008D3E71">
        <w:rPr>
          <w:rFonts w:eastAsia="Times New Roman"/>
          <w:rtl/>
          <w:lang w:eastAsia="de-DE"/>
        </w:rPr>
        <w:t xml:space="preserve"> </w:t>
      </w:r>
      <w:r w:rsidRPr="008D3E71">
        <w:rPr>
          <w:rFonts w:eastAsia="Times New Roman"/>
          <w:lang w:eastAsia="de-DE"/>
        </w:rPr>
        <w:t>als direktes Objekt (</w:t>
      </w:r>
      <w:r w:rsidRPr="008D3E71">
        <w:rPr>
          <w:rFonts w:eastAsia="Times New Roman"/>
          <w:b/>
          <w:bCs/>
          <w:rtl/>
          <w:lang w:eastAsia="de-DE"/>
        </w:rPr>
        <w:t>רֵעַ</w:t>
      </w:r>
      <w:r w:rsidRPr="008D3E71">
        <w:rPr>
          <w:rFonts w:eastAsia="Times New Roman"/>
          <w:lang w:eastAsia="de-DE"/>
        </w:rPr>
        <w:t xml:space="preserve">, „Nächster, Mitmensch", mit Suffix 3. Person Singular maskulin), </w:t>
      </w:r>
      <w:r w:rsidRPr="008D3E71">
        <w:rPr>
          <w:rFonts w:eastAsia="Times New Roman"/>
          <w:b/>
          <w:bCs/>
          <w:rtl/>
          <w:lang w:eastAsia="de-DE"/>
        </w:rPr>
        <w:t>בִּבְלִי־דַעַת</w:t>
      </w:r>
      <w:r w:rsidRPr="008D3E71">
        <w:rPr>
          <w:rFonts w:eastAsia="Times New Roman"/>
          <w:rtl/>
          <w:lang w:eastAsia="de-DE"/>
        </w:rPr>
        <w:t xml:space="preserve"> </w:t>
      </w:r>
      <w:r w:rsidRPr="008D3E71">
        <w:rPr>
          <w:rFonts w:eastAsia="Times New Roman"/>
          <w:lang w:eastAsia="de-DE"/>
        </w:rPr>
        <w:t>als modale Bestimmung (</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בְּלִי</w:t>
      </w:r>
      <w:r w:rsidRPr="008D3E71">
        <w:rPr>
          <w:rFonts w:eastAsia="Times New Roman"/>
          <w:lang w:eastAsia="de-DE"/>
        </w:rPr>
        <w:t xml:space="preserve">, „ohne", und </w:t>
      </w:r>
      <w:r w:rsidRPr="008D3E71">
        <w:rPr>
          <w:rFonts w:eastAsia="Times New Roman"/>
          <w:b/>
          <w:bCs/>
          <w:rtl/>
          <w:lang w:eastAsia="de-DE"/>
        </w:rPr>
        <w:t>דַעַת</w:t>
      </w:r>
      <w:r w:rsidRPr="008D3E71">
        <w:rPr>
          <w:rFonts w:eastAsia="Times New Roman"/>
          <w:lang w:eastAsia="de-DE"/>
        </w:rPr>
        <w:t>, „Wissen, Kenntnis" – „ohne Wissen, unabsichtlich").</w:t>
      </w:r>
    </w:p>
    <w:p w14:paraId="56D18AB7"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lastRenderedPageBreak/>
        <w:t>וְהוּא לֹא־שֹׂנֵא לוֹ מִתְּמוֹל שִׁלְשׁוֹם</w:t>
      </w:r>
      <w:r w:rsidRPr="008D3E71">
        <w:rPr>
          <w:rFonts w:eastAsia="Times New Roman"/>
          <w:rtl/>
          <w:lang w:eastAsia="de-DE"/>
        </w:rPr>
        <w:t xml:space="preserve"> </w:t>
      </w:r>
      <w:r w:rsidRPr="008D3E71">
        <w:rPr>
          <w:rFonts w:eastAsia="Times New Roman"/>
          <w:lang w:eastAsia="de-DE"/>
        </w:rPr>
        <w:t xml:space="preserve">ist ein weiterer definierender Satz: </w:t>
      </w:r>
      <w:r w:rsidRPr="008D3E71">
        <w:rPr>
          <w:rFonts w:eastAsia="Times New Roman"/>
          <w:b/>
          <w:bCs/>
          <w:rtl/>
          <w:lang w:eastAsia="de-DE"/>
        </w:rPr>
        <w:t>וְהוּא</w:t>
      </w:r>
      <w:r w:rsidRPr="008D3E71">
        <w:rPr>
          <w:rFonts w:eastAsia="Times New Roman"/>
          <w:rtl/>
          <w:lang w:eastAsia="de-DE"/>
        </w:rPr>
        <w:t xml:space="preserve"> </w:t>
      </w:r>
      <w:r w:rsidRPr="008D3E71">
        <w:rPr>
          <w:rFonts w:eastAsia="Times New Roman"/>
          <w:lang w:eastAsia="de-DE"/>
        </w:rPr>
        <w:t xml:space="preserve">als Subjekt, </w:t>
      </w:r>
      <w:r w:rsidRPr="008D3E71">
        <w:rPr>
          <w:rFonts w:eastAsia="Times New Roman"/>
          <w:b/>
          <w:bCs/>
          <w:rtl/>
          <w:lang w:eastAsia="de-DE"/>
        </w:rPr>
        <w:t>לֹא־שֹׂנֵא</w:t>
      </w:r>
      <w:r w:rsidRPr="008D3E71">
        <w:rPr>
          <w:rFonts w:eastAsia="Times New Roman"/>
          <w:rtl/>
          <w:lang w:eastAsia="de-DE"/>
        </w:rPr>
        <w:t xml:space="preserve"> </w:t>
      </w:r>
      <w:r w:rsidRPr="008D3E71">
        <w:rPr>
          <w:rFonts w:eastAsia="Times New Roman"/>
          <w:lang w:eastAsia="de-DE"/>
        </w:rPr>
        <w:t xml:space="preserve">als Qal Partizip Singular maskulin von </w:t>
      </w:r>
      <w:r w:rsidRPr="008D3E71">
        <w:rPr>
          <w:rFonts w:eastAsia="Times New Roman"/>
          <w:b/>
          <w:bCs/>
          <w:rtl/>
          <w:lang w:eastAsia="de-DE"/>
        </w:rPr>
        <w:t>שׂנא</w:t>
      </w:r>
      <w:r w:rsidRPr="008D3E71">
        <w:rPr>
          <w:rFonts w:eastAsia="Times New Roman"/>
          <w:rtl/>
          <w:lang w:eastAsia="de-DE"/>
        </w:rPr>
        <w:t xml:space="preserve"> </w:t>
      </w:r>
      <w:r w:rsidRPr="008D3E71">
        <w:rPr>
          <w:rFonts w:eastAsia="Times New Roman"/>
          <w:lang w:eastAsia="de-DE"/>
        </w:rPr>
        <w:t xml:space="preserve">(„hassen") mit Negation, </w:t>
      </w:r>
      <w:r w:rsidRPr="008D3E71">
        <w:rPr>
          <w:rFonts w:eastAsia="Times New Roman"/>
          <w:b/>
          <w:bCs/>
          <w:rtl/>
          <w:lang w:eastAsia="de-DE"/>
        </w:rPr>
        <w:t>לוֹ</w:t>
      </w:r>
      <w:r w:rsidRPr="008D3E71">
        <w:rPr>
          <w:rFonts w:eastAsia="Times New Roman"/>
          <w:rtl/>
          <w:lang w:eastAsia="de-DE"/>
        </w:rPr>
        <w:t xml:space="preserve"> </w:t>
      </w:r>
      <w:r w:rsidRPr="008D3E71">
        <w:rPr>
          <w:rFonts w:eastAsia="Times New Roman"/>
          <w:lang w:eastAsia="de-DE"/>
        </w:rPr>
        <w:t xml:space="preserve">als indirektes Objekt, </w:t>
      </w:r>
      <w:r w:rsidRPr="008D3E71">
        <w:rPr>
          <w:rFonts w:eastAsia="Times New Roman"/>
          <w:b/>
          <w:bCs/>
          <w:rtl/>
          <w:lang w:eastAsia="de-DE"/>
        </w:rPr>
        <w:t>מִתְּמוֹל שִׁלְשׁוֹם</w:t>
      </w:r>
      <w:r w:rsidRPr="008D3E71">
        <w:rPr>
          <w:rFonts w:eastAsia="Times New Roman"/>
          <w:rtl/>
          <w:lang w:eastAsia="de-DE"/>
        </w:rPr>
        <w:t xml:space="preserve"> </w:t>
      </w:r>
      <w:r w:rsidRPr="008D3E71">
        <w:rPr>
          <w:rFonts w:eastAsia="Times New Roman"/>
          <w:lang w:eastAsia="de-DE"/>
        </w:rPr>
        <w:t>als temporale Wendung (</w:t>
      </w:r>
      <w:r w:rsidRPr="008D3E71">
        <w:rPr>
          <w:rFonts w:eastAsia="Times New Roman"/>
          <w:b/>
          <w:bCs/>
          <w:rtl/>
          <w:lang w:eastAsia="de-DE"/>
        </w:rPr>
        <w:t>מִן</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תְּמוֹל</w:t>
      </w:r>
      <w:r w:rsidRPr="008D3E71">
        <w:rPr>
          <w:rFonts w:eastAsia="Times New Roman"/>
          <w:lang w:eastAsia="de-DE"/>
        </w:rPr>
        <w:t xml:space="preserve">, „gestern", und </w:t>
      </w:r>
      <w:r w:rsidRPr="008D3E71">
        <w:rPr>
          <w:rFonts w:eastAsia="Times New Roman"/>
          <w:b/>
          <w:bCs/>
          <w:rtl/>
          <w:lang w:eastAsia="de-DE"/>
        </w:rPr>
        <w:t>שִׁלְשׁוֹם</w:t>
      </w:r>
      <w:r w:rsidRPr="008D3E71">
        <w:rPr>
          <w:rFonts w:eastAsia="Times New Roman"/>
          <w:lang w:eastAsia="de-DE"/>
        </w:rPr>
        <w:t>, „vorgestern" – zusammen eine Formel für „zuvor, früher"). Diese Wendung definiert, dass keine vorsätzliche Feindschaft bestand.</w:t>
      </w:r>
    </w:p>
    <w:p w14:paraId="3FC3726F"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וְנָס אֶל־אַחַת מִן־הֶעָרִים הָאֵל וָחָי</w:t>
      </w:r>
      <w:r w:rsidRPr="008D3E71">
        <w:rPr>
          <w:rFonts w:eastAsia="Times New Roman"/>
          <w:rtl/>
          <w:lang w:eastAsia="de-DE"/>
        </w:rPr>
        <w:t xml:space="preserve"> </w:t>
      </w:r>
      <w:r w:rsidRPr="008D3E71">
        <w:rPr>
          <w:rFonts w:eastAsia="Times New Roman"/>
          <w:lang w:eastAsia="de-DE"/>
        </w:rPr>
        <w:t xml:space="preserve">ist koordiniert: </w:t>
      </w:r>
      <w:r w:rsidRPr="008D3E71">
        <w:rPr>
          <w:rFonts w:eastAsia="Times New Roman"/>
          <w:b/>
          <w:bCs/>
          <w:rtl/>
          <w:lang w:eastAsia="de-DE"/>
        </w:rPr>
        <w:t>וְנָס</w:t>
      </w:r>
      <w:r w:rsidRPr="008D3E71">
        <w:rPr>
          <w:rFonts w:eastAsia="Times New Roman"/>
          <w:rtl/>
          <w:lang w:eastAsia="de-DE"/>
        </w:rPr>
        <w:t xml:space="preserve"> </w:t>
      </w:r>
      <w:r w:rsidRPr="008D3E71">
        <w:rPr>
          <w:rFonts w:eastAsia="Times New Roman"/>
          <w:lang w:eastAsia="de-DE"/>
        </w:rPr>
        <w:t xml:space="preserve">(Qal Perfekt consecutivum, 3. Person Singular maskulin von </w:t>
      </w:r>
      <w:r w:rsidRPr="008D3E71">
        <w:rPr>
          <w:rFonts w:eastAsia="Times New Roman"/>
          <w:b/>
          <w:bCs/>
          <w:rtl/>
          <w:lang w:eastAsia="de-DE"/>
        </w:rPr>
        <w:t>נוס</w:t>
      </w:r>
      <w:r w:rsidRPr="008D3E71">
        <w:rPr>
          <w:rFonts w:eastAsia="Times New Roman"/>
          <w:rtl/>
          <w:lang w:eastAsia="de-DE"/>
        </w:rPr>
        <w:t xml:space="preserve"> </w:t>
      </w:r>
      <w:r w:rsidRPr="008D3E71">
        <w:rPr>
          <w:rFonts w:eastAsia="Times New Roman"/>
          <w:lang w:eastAsia="de-DE"/>
        </w:rPr>
        <w:t xml:space="preserve">mit Waw), </w:t>
      </w:r>
      <w:r w:rsidRPr="008D3E71">
        <w:rPr>
          <w:rFonts w:eastAsia="Times New Roman"/>
          <w:b/>
          <w:bCs/>
          <w:rtl/>
          <w:lang w:eastAsia="de-DE"/>
        </w:rPr>
        <w:t>אֶל־אַחַת מִן־הֶעָרִים הָאֵל</w:t>
      </w:r>
      <w:r w:rsidRPr="008D3E71">
        <w:rPr>
          <w:rFonts w:eastAsia="Times New Roman"/>
          <w:rtl/>
          <w:lang w:eastAsia="de-DE"/>
        </w:rPr>
        <w:t xml:space="preserve"> </w:t>
      </w:r>
      <w:r w:rsidRPr="008D3E71">
        <w:rPr>
          <w:rFonts w:eastAsia="Times New Roman"/>
          <w:lang w:eastAsia="de-DE"/>
        </w:rPr>
        <w:t>als Richtungsangabe (</w:t>
      </w:r>
      <w:r w:rsidRPr="008D3E71">
        <w:rPr>
          <w:rFonts w:eastAsia="Times New Roman"/>
          <w:b/>
          <w:bCs/>
          <w:rtl/>
          <w:lang w:eastAsia="de-DE"/>
        </w:rPr>
        <w:t>אֶל</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אַחַת</w:t>
      </w:r>
      <w:r w:rsidRPr="008D3E71">
        <w:rPr>
          <w:rFonts w:eastAsia="Times New Roman"/>
          <w:lang w:eastAsia="de-DE"/>
        </w:rPr>
        <w:t xml:space="preserve">, „eine", feminin Singular, </w:t>
      </w:r>
      <w:r w:rsidRPr="008D3E71">
        <w:rPr>
          <w:rFonts w:eastAsia="Times New Roman"/>
          <w:b/>
          <w:bCs/>
          <w:rtl/>
          <w:lang w:eastAsia="de-DE"/>
        </w:rPr>
        <w:t>מִן־הֶעָרִים</w:t>
      </w:r>
      <w:r w:rsidRPr="008D3E71">
        <w:rPr>
          <w:rFonts w:eastAsia="Times New Roman"/>
          <w:lang w:eastAsia="de-DE"/>
        </w:rPr>
        <w:t xml:space="preserve">, „von den Städten", Plural mit Artikel, </w:t>
      </w:r>
      <w:r w:rsidRPr="008D3E71">
        <w:rPr>
          <w:rFonts w:eastAsia="Times New Roman"/>
          <w:b/>
          <w:bCs/>
          <w:rtl/>
          <w:lang w:eastAsia="de-DE"/>
        </w:rPr>
        <w:t>הָאֵל</w:t>
      </w:r>
      <w:r w:rsidRPr="008D3E71">
        <w:rPr>
          <w:rFonts w:eastAsia="Times New Roman"/>
          <w:rtl/>
          <w:lang w:eastAsia="de-DE"/>
        </w:rPr>
        <w:t xml:space="preserve"> </w:t>
      </w:r>
      <w:r w:rsidRPr="008D3E71">
        <w:rPr>
          <w:rFonts w:eastAsia="Times New Roman"/>
          <w:lang w:eastAsia="de-DE"/>
        </w:rPr>
        <w:t xml:space="preserve">als Demonstrativpronomen feminin Plural mit Artikel, „diese"), </w:t>
      </w:r>
      <w:r w:rsidRPr="008D3E71">
        <w:rPr>
          <w:rFonts w:eastAsia="Times New Roman"/>
          <w:b/>
          <w:bCs/>
          <w:rtl/>
          <w:lang w:eastAsia="de-DE"/>
        </w:rPr>
        <w:t>וָחָי</w:t>
      </w:r>
      <w:r w:rsidRPr="008D3E71">
        <w:rPr>
          <w:rFonts w:eastAsia="Times New Roman"/>
          <w:rtl/>
          <w:lang w:eastAsia="de-DE"/>
        </w:rPr>
        <w:t xml:space="preserve"> </w:t>
      </w:r>
      <w:r w:rsidRPr="008D3E71">
        <w:rPr>
          <w:rFonts w:eastAsia="Times New Roman"/>
          <w:lang w:eastAsia="de-DE"/>
        </w:rPr>
        <w:t xml:space="preserve">(Qal Perfekt consecutivum, 3. Person Singular maskulin von </w:t>
      </w:r>
      <w:r w:rsidRPr="008D3E71">
        <w:rPr>
          <w:rFonts w:eastAsia="Times New Roman"/>
          <w:b/>
          <w:bCs/>
          <w:rtl/>
          <w:lang w:eastAsia="de-DE"/>
        </w:rPr>
        <w:t>חיה</w:t>
      </w:r>
      <w:r w:rsidRPr="008D3E71">
        <w:rPr>
          <w:rFonts w:eastAsia="Times New Roman"/>
          <w:lang w:eastAsia="de-DE"/>
        </w:rPr>
        <w:t>, „leben", mit Waw).</w:t>
      </w:r>
    </w:p>
    <w:p w14:paraId="4809F200"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Definition des Totschlägers ist präzise: (1) unabsichtliche Tötung (</w:t>
      </w:r>
      <w:r w:rsidRPr="008D3E71">
        <w:rPr>
          <w:rFonts w:eastAsia="Times New Roman"/>
          <w:b/>
          <w:bCs/>
          <w:rtl/>
          <w:lang w:eastAsia="de-DE"/>
        </w:rPr>
        <w:t>בִּבְלִי־דַעַת</w:t>
      </w:r>
      <w:r w:rsidRPr="008D3E71">
        <w:rPr>
          <w:rFonts w:eastAsia="Times New Roman"/>
          <w:lang w:eastAsia="de-DE"/>
        </w:rPr>
        <w:t>), (2) keine vorgängige Feindschaft (</w:t>
      </w:r>
      <w:r w:rsidRPr="008D3E71">
        <w:rPr>
          <w:rFonts w:eastAsia="Times New Roman"/>
          <w:b/>
          <w:bCs/>
          <w:rtl/>
          <w:lang w:eastAsia="de-DE"/>
        </w:rPr>
        <w:t>לֹא־שֹׂנֵא... מִתְּמוֹל שִׁלְשׁוֹם</w:t>
      </w:r>
      <w:r w:rsidRPr="008D3E71">
        <w:rPr>
          <w:rFonts w:eastAsia="Times New Roman"/>
          <w:lang w:eastAsia="de-DE"/>
        </w:rPr>
        <w:t xml:space="preserve">). Nur unter diesen Bedingungen gewährt die Asylstadt Schutz. Die Wendung </w:t>
      </w:r>
      <w:r w:rsidRPr="008D3E71">
        <w:rPr>
          <w:rFonts w:eastAsia="Times New Roman"/>
          <w:b/>
          <w:bCs/>
          <w:rtl/>
          <w:lang w:eastAsia="de-DE"/>
        </w:rPr>
        <w:t>מִתְּמוֹל שִׁלְשׁוֹם</w:t>
      </w:r>
      <w:r w:rsidRPr="008D3E71">
        <w:rPr>
          <w:rFonts w:eastAsia="Times New Roman"/>
          <w:rtl/>
          <w:lang w:eastAsia="de-DE"/>
        </w:rPr>
        <w:t xml:space="preserve"> </w:t>
      </w:r>
      <w:r w:rsidRPr="008D3E71">
        <w:rPr>
          <w:rFonts w:eastAsia="Times New Roman"/>
          <w:lang w:eastAsia="de-DE"/>
        </w:rPr>
        <w:t>ist eine feststehende Formel für „zuvor, in der Vergangenheit".</w:t>
      </w:r>
    </w:p>
    <w:p w14:paraId="4095D67F"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Satzstruktur besteht aus einer finalen Infinitivkonstruktion mit Richtungsadverb und substantiviertem Partizip als Subjekt, einem Relativsatz mit modalem Umstand, einem koordinierten definierenden Satz mit negiertem partizipialem Prädikat, indirektem Objekt und temporaler Formel, und einem koordinierten Verb mit Richtungsangabe (mit Zahlenangabe, partitiver Konstruktion und Demonstrativpronomen) und konsekutivem Verb. Die Struktur definiert präzise die Bedingungen für Asyl.</w:t>
      </w:r>
    </w:p>
    <w:p w14:paraId="4F52A093"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Der Vers erklärt den Zweck der Asylstädte: Sie sollen unvorsätzlichen Totschlägern ohne vorgängige Feindschaft Zuflucht bieten und ihr Leben schützen.</w:t>
      </w:r>
    </w:p>
    <w:p w14:paraId="2FE70A75"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4,43</w:t>
      </w:r>
    </w:p>
    <w:p w14:paraId="4D89094A"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אֶת־בֶּ֧צֶר בַּמִּדְבָּ֛ר בְּאֶ֥רֶץ הַמִּישֹׁ֖ר לָרֻֽאוּבֵנִ֑י וְאֶת־רָאמֹ֤ת בַּגִּלְעָד֙ לַגָּדִ֔י וְאֶת־גּוֹלָ֥ן בַּבָּשָׁ֖ן לַֽמְנַשִּֽׁי׃</w:t>
      </w:r>
    </w:p>
    <w:p w14:paraId="1D362D1C"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Bezer in der Wüste, im Land der Ebene, für den Re'uveni, und Ramot in Gil'ad für den Gadi, und Golan in Baschan für den Menaschi.</w:t>
      </w:r>
    </w:p>
    <w:p w14:paraId="426D3AC0"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0F4E31F4">
          <v:rect id="_x0000_i1179" style="width:0;height:1.5pt" o:hralign="center" o:hrstd="t" o:hr="t" fillcolor="#a0a0a0" stroked="f"/>
        </w:pict>
      </w:r>
    </w:p>
    <w:p w14:paraId="7373BEB3" w14:textId="43D1E18B"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אֶת־בֶּצֶר בַּמִּדְבָּר בְּאֶ֥רֶץ הַמִּישֹׁר לָרֻאוּבֵנִי</w:t>
      </w:r>
      <w:r w:rsidRPr="008D3E71">
        <w:rPr>
          <w:rFonts w:eastAsia="Times New Roman"/>
          <w:rtl/>
          <w:lang w:eastAsia="de-DE"/>
        </w:rPr>
        <w:t xml:space="preserve"> </w:t>
      </w:r>
      <w:r w:rsidRPr="008D3E71">
        <w:rPr>
          <w:rFonts w:eastAsia="Times New Roman"/>
          <w:lang w:eastAsia="de-DE"/>
        </w:rPr>
        <w:t xml:space="preserve">ist die erste Stadtangabe: </w:t>
      </w:r>
      <w:r w:rsidRPr="008D3E71">
        <w:rPr>
          <w:rFonts w:eastAsia="Times New Roman"/>
          <w:b/>
          <w:bCs/>
          <w:rtl/>
          <w:lang w:eastAsia="de-DE"/>
        </w:rPr>
        <w:t>אֶת־בֶּצֶר</w:t>
      </w:r>
      <w:r w:rsidRPr="008D3E71">
        <w:rPr>
          <w:rFonts w:eastAsia="Times New Roman"/>
          <w:rtl/>
          <w:lang w:eastAsia="de-DE"/>
        </w:rPr>
        <w:t xml:space="preserve"> </w:t>
      </w:r>
      <w:r w:rsidRPr="008D3E71">
        <w:rPr>
          <w:rFonts w:eastAsia="Times New Roman"/>
          <w:lang w:eastAsia="de-DE"/>
        </w:rPr>
        <w:t xml:space="preserve">(nota accusativi mit </w:t>
      </w:r>
      <w:r w:rsidRPr="008D3E71">
        <w:rPr>
          <w:rFonts w:eastAsia="Times New Roman"/>
          <w:b/>
          <w:bCs/>
          <w:rtl/>
          <w:lang w:eastAsia="de-DE"/>
        </w:rPr>
        <w:t>בֶּצֶר</w:t>
      </w:r>
      <w:r w:rsidRPr="008D3E71">
        <w:rPr>
          <w:rFonts w:eastAsia="Times New Roman"/>
          <w:lang w:eastAsia="de-DE"/>
        </w:rPr>
        <w:t xml:space="preserve">, Ortsname), </w:t>
      </w:r>
      <w:r w:rsidRPr="008D3E71">
        <w:rPr>
          <w:rFonts w:eastAsia="Times New Roman"/>
          <w:b/>
          <w:bCs/>
          <w:rtl/>
          <w:lang w:eastAsia="de-DE"/>
        </w:rPr>
        <w:t>בַּמִּדְבָּר</w:t>
      </w:r>
      <w:r w:rsidRPr="008D3E71">
        <w:rPr>
          <w:rFonts w:eastAsia="Times New Roman"/>
          <w:rtl/>
          <w:lang w:eastAsia="de-DE"/>
        </w:rPr>
        <w:t xml:space="preserve"> </w:t>
      </w:r>
      <w:r w:rsidRPr="008D3E71">
        <w:rPr>
          <w:rFonts w:eastAsia="Times New Roman"/>
          <w:lang w:eastAsia="de-DE"/>
        </w:rPr>
        <w:t>als Ortsangabe (</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מִדְבָּר</w:t>
      </w:r>
      <w:r w:rsidRPr="008D3E71">
        <w:rPr>
          <w:rFonts w:eastAsia="Times New Roman"/>
          <w:lang w:eastAsia="de-DE"/>
        </w:rPr>
        <w:t xml:space="preserve">, „Wüste, Steppe"), </w:t>
      </w:r>
      <w:r w:rsidRPr="008D3E71">
        <w:rPr>
          <w:rFonts w:eastAsia="Times New Roman"/>
          <w:b/>
          <w:bCs/>
          <w:rtl/>
          <w:lang w:eastAsia="de-DE"/>
        </w:rPr>
        <w:t>בְּאֶרֶץ הַמִּישֹׁר</w:t>
      </w:r>
      <w:r w:rsidRPr="008D3E71">
        <w:rPr>
          <w:rFonts w:eastAsia="Times New Roman"/>
          <w:rtl/>
          <w:lang w:eastAsia="de-DE"/>
        </w:rPr>
        <w:t xml:space="preserve"> </w:t>
      </w:r>
      <w:r w:rsidRPr="008D3E71">
        <w:rPr>
          <w:rFonts w:eastAsia="Times New Roman"/>
          <w:lang w:eastAsia="de-DE"/>
        </w:rPr>
        <w:t>als weitere Ortsangabe (</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אֶרֶץ</w:t>
      </w:r>
      <w:r w:rsidRPr="008D3E71">
        <w:rPr>
          <w:rFonts w:eastAsia="Times New Roman"/>
          <w:lang w:eastAsia="de-DE"/>
        </w:rPr>
        <w:t xml:space="preserve">, „Land", im Construct mit </w:t>
      </w:r>
      <w:r w:rsidRPr="008D3E71">
        <w:rPr>
          <w:rFonts w:eastAsia="Times New Roman"/>
          <w:b/>
          <w:bCs/>
          <w:rtl/>
          <w:lang w:eastAsia="de-DE"/>
        </w:rPr>
        <w:t>הַמִּישֹׁר</w:t>
      </w:r>
      <w:r w:rsidRPr="008D3E71">
        <w:rPr>
          <w:rFonts w:eastAsia="Times New Roman"/>
          <w:lang w:eastAsia="de-DE"/>
        </w:rPr>
        <w:t xml:space="preserve">, „die Ebene", mit Artikel), </w:t>
      </w:r>
      <w:r w:rsidRPr="008D3E71">
        <w:rPr>
          <w:rFonts w:eastAsia="Times New Roman"/>
          <w:b/>
          <w:bCs/>
          <w:rtl/>
          <w:lang w:eastAsia="de-DE"/>
        </w:rPr>
        <w:t>לָרֻאוּבֵנִי</w:t>
      </w:r>
      <w:r w:rsidRPr="008D3E71">
        <w:rPr>
          <w:rFonts w:eastAsia="Times New Roman"/>
          <w:rtl/>
          <w:lang w:eastAsia="de-DE"/>
        </w:rPr>
        <w:t xml:space="preserve"> </w:t>
      </w:r>
      <w:r w:rsidRPr="008D3E71">
        <w:rPr>
          <w:rFonts w:eastAsia="Times New Roman"/>
          <w:lang w:eastAsia="de-DE"/>
        </w:rPr>
        <w:t>als Zuordnung (</w:t>
      </w:r>
      <w:r w:rsidRPr="008D3E71">
        <w:rPr>
          <w:rFonts w:eastAsia="Times New Roman"/>
          <w:b/>
          <w:bCs/>
          <w:rtl/>
          <w:lang w:eastAsia="de-DE"/>
        </w:rPr>
        <w:t>לְ</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הָרֻאוּבֵנִי</w:t>
      </w:r>
      <w:r w:rsidRPr="008D3E71">
        <w:rPr>
          <w:rFonts w:eastAsia="Times New Roman"/>
          <w:lang w:eastAsia="de-DE"/>
        </w:rPr>
        <w:t xml:space="preserve">, „der Rubeniter", </w:t>
      </w:r>
      <w:r w:rsidR="00C13523">
        <w:rPr>
          <w:rFonts w:eastAsia="Times New Roman"/>
          <w:lang w:eastAsia="de-DE"/>
        </w:rPr>
        <w:t>Gentilicum</w:t>
      </w:r>
      <w:r w:rsidRPr="008D3E71">
        <w:rPr>
          <w:rFonts w:eastAsia="Times New Roman"/>
          <w:lang w:eastAsia="de-DE"/>
        </w:rPr>
        <w:t xml:space="preserve"> mit Artikel – „für den Stamm Ruben").</w:t>
      </w:r>
    </w:p>
    <w:p w14:paraId="3A67C8E5" w14:textId="05FCCBD8"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וְאֶת־רָאמֹת בַּגִּלְעָד לַגָּדִי</w:t>
      </w:r>
      <w:r w:rsidRPr="008D3E71">
        <w:rPr>
          <w:rFonts w:eastAsia="Times New Roman"/>
          <w:rtl/>
          <w:lang w:eastAsia="de-DE"/>
        </w:rPr>
        <w:t xml:space="preserve"> </w:t>
      </w:r>
      <w:r w:rsidRPr="008D3E71">
        <w:rPr>
          <w:rFonts w:eastAsia="Times New Roman"/>
          <w:lang w:eastAsia="de-DE"/>
        </w:rPr>
        <w:t xml:space="preserve">ist die zweite Stadtangabe: </w:t>
      </w:r>
      <w:r w:rsidRPr="008D3E71">
        <w:rPr>
          <w:rFonts w:eastAsia="Times New Roman"/>
          <w:b/>
          <w:bCs/>
          <w:rtl/>
          <w:lang w:eastAsia="de-DE"/>
        </w:rPr>
        <w:t>וְאֶת־רָאמֹת</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וְ</w:t>
      </w:r>
      <w:r w:rsidRPr="008D3E71">
        <w:rPr>
          <w:rFonts w:eastAsia="Times New Roman"/>
          <w:rtl/>
          <w:lang w:eastAsia="de-DE"/>
        </w:rPr>
        <w:t xml:space="preserve"> </w:t>
      </w:r>
      <w:r w:rsidRPr="008D3E71">
        <w:rPr>
          <w:rFonts w:eastAsia="Times New Roman"/>
          <w:lang w:eastAsia="de-DE"/>
        </w:rPr>
        <w:t xml:space="preserve">mit nota accusativi und </w:t>
      </w:r>
      <w:r w:rsidRPr="008D3E71">
        <w:rPr>
          <w:rFonts w:eastAsia="Times New Roman"/>
          <w:b/>
          <w:bCs/>
          <w:rtl/>
          <w:lang w:eastAsia="de-DE"/>
        </w:rPr>
        <w:t>רָאמֹת</w:t>
      </w:r>
      <w:r w:rsidRPr="008D3E71">
        <w:rPr>
          <w:rFonts w:eastAsia="Times New Roman"/>
          <w:lang w:eastAsia="de-DE"/>
        </w:rPr>
        <w:t xml:space="preserve">, Ortsname, auch </w:t>
      </w:r>
      <w:r w:rsidRPr="008D3E71">
        <w:rPr>
          <w:rFonts w:eastAsia="Times New Roman"/>
          <w:b/>
          <w:bCs/>
          <w:rtl/>
          <w:lang w:eastAsia="de-DE"/>
        </w:rPr>
        <w:t>רָמוֹת</w:t>
      </w:r>
      <w:r w:rsidRPr="008D3E71">
        <w:rPr>
          <w:rFonts w:eastAsia="Times New Roman"/>
          <w:rtl/>
          <w:lang w:eastAsia="de-DE"/>
        </w:rPr>
        <w:t xml:space="preserve"> </w:t>
      </w:r>
      <w:r w:rsidRPr="008D3E71">
        <w:rPr>
          <w:rFonts w:eastAsia="Times New Roman"/>
          <w:lang w:eastAsia="de-DE"/>
        </w:rPr>
        <w:t xml:space="preserve">geschrieben), </w:t>
      </w:r>
      <w:r w:rsidRPr="008D3E71">
        <w:rPr>
          <w:rFonts w:eastAsia="Times New Roman"/>
          <w:b/>
          <w:bCs/>
          <w:rtl/>
          <w:lang w:eastAsia="de-DE"/>
        </w:rPr>
        <w:t>בַּגִּלְעָד</w:t>
      </w:r>
      <w:r w:rsidRPr="008D3E71">
        <w:rPr>
          <w:rFonts w:eastAsia="Times New Roman"/>
          <w:rtl/>
          <w:lang w:eastAsia="de-DE"/>
        </w:rPr>
        <w:t xml:space="preserve"> </w:t>
      </w:r>
      <w:r w:rsidRPr="008D3E71">
        <w:rPr>
          <w:rFonts w:eastAsia="Times New Roman"/>
          <w:lang w:eastAsia="de-DE"/>
        </w:rPr>
        <w:t>als Ortsangabe (</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גִּלְעָד</w:t>
      </w:r>
      <w:r w:rsidRPr="008D3E71">
        <w:rPr>
          <w:rFonts w:eastAsia="Times New Roman"/>
          <w:lang w:eastAsia="de-DE"/>
        </w:rPr>
        <w:t xml:space="preserve">, Landschaftsname), </w:t>
      </w:r>
      <w:r w:rsidRPr="008D3E71">
        <w:rPr>
          <w:rFonts w:eastAsia="Times New Roman"/>
          <w:b/>
          <w:bCs/>
          <w:rtl/>
          <w:lang w:eastAsia="de-DE"/>
        </w:rPr>
        <w:t>לַגָּדִי</w:t>
      </w:r>
      <w:r w:rsidRPr="008D3E71">
        <w:rPr>
          <w:rFonts w:eastAsia="Times New Roman"/>
          <w:rtl/>
          <w:lang w:eastAsia="de-DE"/>
        </w:rPr>
        <w:t xml:space="preserve"> </w:t>
      </w:r>
      <w:r w:rsidRPr="008D3E71">
        <w:rPr>
          <w:rFonts w:eastAsia="Times New Roman"/>
          <w:lang w:eastAsia="de-DE"/>
        </w:rPr>
        <w:t>als Zuordnung (</w:t>
      </w:r>
      <w:r w:rsidRPr="008D3E71">
        <w:rPr>
          <w:rFonts w:eastAsia="Times New Roman"/>
          <w:b/>
          <w:bCs/>
          <w:rtl/>
          <w:lang w:eastAsia="de-DE"/>
        </w:rPr>
        <w:t>לְ</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הַגָּדִי</w:t>
      </w:r>
      <w:r w:rsidRPr="008D3E71">
        <w:rPr>
          <w:rFonts w:eastAsia="Times New Roman"/>
          <w:lang w:eastAsia="de-DE"/>
        </w:rPr>
        <w:t xml:space="preserve">, „der Gaditer", </w:t>
      </w:r>
      <w:r w:rsidR="00C13523">
        <w:rPr>
          <w:rFonts w:eastAsia="Times New Roman"/>
          <w:lang w:eastAsia="de-DE"/>
        </w:rPr>
        <w:t>Gentilicum</w:t>
      </w:r>
      <w:r w:rsidRPr="008D3E71">
        <w:rPr>
          <w:rFonts w:eastAsia="Times New Roman"/>
          <w:lang w:eastAsia="de-DE"/>
        </w:rPr>
        <w:t xml:space="preserve"> mit Artikel).</w:t>
      </w:r>
    </w:p>
    <w:p w14:paraId="3A92DA60" w14:textId="74A48EC4"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lastRenderedPageBreak/>
        <w:t>וְאֶת־גּוֹלָן בַּבָּשָׁן לַמְנַשִּׁי</w:t>
      </w:r>
      <w:r w:rsidRPr="008D3E71">
        <w:rPr>
          <w:rFonts w:eastAsia="Times New Roman"/>
          <w:rtl/>
          <w:lang w:eastAsia="de-DE"/>
        </w:rPr>
        <w:t xml:space="preserve"> </w:t>
      </w:r>
      <w:r w:rsidRPr="008D3E71">
        <w:rPr>
          <w:rFonts w:eastAsia="Times New Roman"/>
          <w:lang w:eastAsia="de-DE"/>
        </w:rPr>
        <w:t xml:space="preserve">ist die dritte Stadtangabe: </w:t>
      </w:r>
      <w:r w:rsidRPr="008D3E71">
        <w:rPr>
          <w:rFonts w:eastAsia="Times New Roman"/>
          <w:b/>
          <w:bCs/>
          <w:rtl/>
          <w:lang w:eastAsia="de-DE"/>
        </w:rPr>
        <w:t>וְאֶת־גּוֹלָן</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וְ</w:t>
      </w:r>
      <w:r w:rsidRPr="008D3E71">
        <w:rPr>
          <w:rFonts w:eastAsia="Times New Roman"/>
          <w:rtl/>
          <w:lang w:eastAsia="de-DE"/>
        </w:rPr>
        <w:t xml:space="preserve"> </w:t>
      </w:r>
      <w:r w:rsidRPr="008D3E71">
        <w:rPr>
          <w:rFonts w:eastAsia="Times New Roman"/>
          <w:lang w:eastAsia="de-DE"/>
        </w:rPr>
        <w:t xml:space="preserve">mit nota accusativi und </w:t>
      </w:r>
      <w:r w:rsidRPr="008D3E71">
        <w:rPr>
          <w:rFonts w:eastAsia="Times New Roman"/>
          <w:b/>
          <w:bCs/>
          <w:rtl/>
          <w:lang w:eastAsia="de-DE"/>
        </w:rPr>
        <w:t>גּוֹלָן</w:t>
      </w:r>
      <w:r w:rsidRPr="008D3E71">
        <w:rPr>
          <w:rFonts w:eastAsia="Times New Roman"/>
          <w:lang w:eastAsia="de-DE"/>
        </w:rPr>
        <w:t xml:space="preserve">, Ortsname), </w:t>
      </w:r>
      <w:r w:rsidRPr="008D3E71">
        <w:rPr>
          <w:rFonts w:eastAsia="Times New Roman"/>
          <w:b/>
          <w:bCs/>
          <w:rtl/>
          <w:lang w:eastAsia="de-DE"/>
        </w:rPr>
        <w:t>בַּבָּשָׁן</w:t>
      </w:r>
      <w:r w:rsidRPr="008D3E71">
        <w:rPr>
          <w:rFonts w:eastAsia="Times New Roman"/>
          <w:rtl/>
          <w:lang w:eastAsia="de-DE"/>
        </w:rPr>
        <w:t xml:space="preserve"> </w:t>
      </w:r>
      <w:r w:rsidRPr="008D3E71">
        <w:rPr>
          <w:rFonts w:eastAsia="Times New Roman"/>
          <w:lang w:eastAsia="de-DE"/>
        </w:rPr>
        <w:t>als Ortsangabe (</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בָּשָׁן</w:t>
      </w:r>
      <w:r w:rsidRPr="008D3E71">
        <w:rPr>
          <w:rFonts w:eastAsia="Times New Roman"/>
          <w:lang w:eastAsia="de-DE"/>
        </w:rPr>
        <w:t xml:space="preserve">, Landschaftsname), </w:t>
      </w:r>
      <w:r w:rsidRPr="008D3E71">
        <w:rPr>
          <w:rFonts w:eastAsia="Times New Roman"/>
          <w:b/>
          <w:bCs/>
          <w:rtl/>
          <w:lang w:eastAsia="de-DE"/>
        </w:rPr>
        <w:t>לַמְנַשִּׁי</w:t>
      </w:r>
      <w:r w:rsidRPr="008D3E71">
        <w:rPr>
          <w:rFonts w:eastAsia="Times New Roman"/>
          <w:rtl/>
          <w:lang w:eastAsia="de-DE"/>
        </w:rPr>
        <w:t xml:space="preserve"> </w:t>
      </w:r>
      <w:r w:rsidRPr="008D3E71">
        <w:rPr>
          <w:rFonts w:eastAsia="Times New Roman"/>
          <w:lang w:eastAsia="de-DE"/>
        </w:rPr>
        <w:t>als Zuordnung (</w:t>
      </w:r>
      <w:r w:rsidRPr="008D3E71">
        <w:rPr>
          <w:rFonts w:eastAsia="Times New Roman"/>
          <w:b/>
          <w:bCs/>
          <w:rtl/>
          <w:lang w:eastAsia="de-DE"/>
        </w:rPr>
        <w:t>לְ</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הַמְנַשִּׁי</w:t>
      </w:r>
      <w:r w:rsidRPr="008D3E71">
        <w:rPr>
          <w:rFonts w:eastAsia="Times New Roman"/>
          <w:lang w:eastAsia="de-DE"/>
        </w:rPr>
        <w:t xml:space="preserve">, „der Manassiter", </w:t>
      </w:r>
      <w:r w:rsidR="00C13523">
        <w:rPr>
          <w:rFonts w:eastAsia="Times New Roman"/>
          <w:lang w:eastAsia="de-DE"/>
        </w:rPr>
        <w:t>Gentilicum</w:t>
      </w:r>
      <w:r w:rsidRPr="008D3E71">
        <w:rPr>
          <w:rFonts w:eastAsia="Times New Roman"/>
          <w:lang w:eastAsia="de-DE"/>
        </w:rPr>
        <w:t xml:space="preserve"> mit Artikel – „für den halben Stamm Manasse").</w:t>
      </w:r>
    </w:p>
    <w:p w14:paraId="2ED05EE8"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drei Städte werden von Süden nach Norden aufgezählt und entsprechen den drei ostjordanischen Stämmen: Ruben im Süden, Gad in der Mitte, Manasse (Ost-Manasse) im Norden. Bezer lag im Plateau östlich des Toten Meeres, Ramot in Gilead im mittleren Ostjordanland, Golan im Baschan im Norden. Diese geografische Verteilung gewährleistete, dass jeder Teil des Ostjordanlandes Zugang zu einer Asylstadt hatte.</w:t>
      </w:r>
    </w:p>
    <w:p w14:paraId="0AD5AF72"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Die Satzstruktur besteht aus drei parallel konstruierten Einheiten mit jeweils nota accusativi, Ortsnamen, einer oder zwei Ortsangaben und einer Stammeszuordnung mit </w:t>
      </w:r>
      <w:r w:rsidRPr="008D3E71">
        <w:rPr>
          <w:rFonts w:eastAsia="Times New Roman"/>
          <w:b/>
          <w:bCs/>
          <w:rtl/>
          <w:lang w:eastAsia="de-DE"/>
        </w:rPr>
        <w:t>לְ</w:t>
      </w:r>
      <w:r w:rsidRPr="008D3E71">
        <w:rPr>
          <w:rFonts w:eastAsia="Times New Roman"/>
          <w:lang w:eastAsia="de-DE"/>
        </w:rPr>
        <w:t>. Die parallele Struktur schafft eine klare, katalogähnliche Aufzählung. Der Vers ist syntaktisch von V. 41 abhängig und listet die drei ausgesonderten Städte auf.</w:t>
      </w:r>
    </w:p>
    <w:p w14:paraId="42B84EA1"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Der Vers nennt konkret die drei Asylstädte im Ostjordanland mit ihrer geografischen Lage und Stammeszugehörigkeit: Bezer für Ruben, Ramot für Gad, Golan für Manasse.</w:t>
      </w:r>
    </w:p>
    <w:p w14:paraId="33AD4264"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4,44</w:t>
      </w:r>
    </w:p>
    <w:p w14:paraId="18D8D03F"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וְזֹ֖את הַתּוֹרָ֑ה אֲשֶׁר־שָׂ֣ם מֹשֶׁ֔ה לִפְנֵ֖י בְּנֵ֥י יִשְׂרָאֵֽל׃</w:t>
      </w:r>
    </w:p>
    <w:p w14:paraId="50B9B32A"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Und dies ist die Lehre, die Mosche den Söhnen Jisra'el vorlegte.</w:t>
      </w:r>
    </w:p>
    <w:p w14:paraId="7F1B2786"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45DF14A3">
          <v:rect id="_x0000_i1180" style="width:0;height:1.5pt" o:hralign="center" o:hrstd="t" o:hr="t" fillcolor="#a0a0a0" stroked="f"/>
        </w:pict>
      </w:r>
    </w:p>
    <w:p w14:paraId="4FC834A4" w14:textId="31E04216"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וְזֹאת הַתּוֹרָה</w:t>
      </w:r>
      <w:r w:rsidRPr="008D3E71">
        <w:rPr>
          <w:rFonts w:eastAsia="Times New Roman"/>
          <w:rtl/>
          <w:lang w:eastAsia="de-DE"/>
        </w:rPr>
        <w:t xml:space="preserve"> </w:t>
      </w:r>
      <w:r w:rsidRPr="008D3E71">
        <w:rPr>
          <w:rFonts w:eastAsia="Times New Roman"/>
          <w:lang w:eastAsia="de-DE"/>
        </w:rPr>
        <w:t xml:space="preserve">ist ein nominaler Satz mit Kopula: </w:t>
      </w:r>
      <w:r w:rsidRPr="008D3E71">
        <w:rPr>
          <w:rFonts w:eastAsia="Times New Roman"/>
          <w:b/>
          <w:bCs/>
          <w:rtl/>
          <w:lang w:eastAsia="de-DE"/>
        </w:rPr>
        <w:t>וְ</w:t>
      </w:r>
      <w:r w:rsidRPr="008D3E71">
        <w:rPr>
          <w:rFonts w:eastAsia="Times New Roman"/>
          <w:rtl/>
          <w:lang w:eastAsia="de-DE"/>
        </w:rPr>
        <w:t xml:space="preserve"> </w:t>
      </w:r>
      <w:r w:rsidRPr="008D3E71">
        <w:rPr>
          <w:rFonts w:eastAsia="Times New Roman"/>
          <w:lang w:eastAsia="de-DE"/>
        </w:rPr>
        <w:t xml:space="preserve">als Koordination, </w:t>
      </w:r>
      <w:r w:rsidRPr="008D3E71">
        <w:rPr>
          <w:rFonts w:eastAsia="Times New Roman"/>
          <w:b/>
          <w:bCs/>
          <w:rtl/>
          <w:lang w:eastAsia="de-DE"/>
        </w:rPr>
        <w:t>זֹאת</w:t>
      </w:r>
      <w:r w:rsidRPr="008D3E71">
        <w:rPr>
          <w:rFonts w:eastAsia="Times New Roman"/>
          <w:rtl/>
          <w:lang w:eastAsia="de-DE"/>
        </w:rPr>
        <w:t xml:space="preserve"> </w:t>
      </w:r>
      <w:r w:rsidRPr="008D3E71">
        <w:rPr>
          <w:rFonts w:eastAsia="Times New Roman"/>
          <w:lang w:eastAsia="de-DE"/>
        </w:rPr>
        <w:t xml:space="preserve">als Demonstrativpronomen feminin Singular („dies"), </w:t>
      </w:r>
      <w:r w:rsidRPr="008D3E71">
        <w:rPr>
          <w:rFonts w:eastAsia="Times New Roman"/>
          <w:b/>
          <w:bCs/>
          <w:rtl/>
          <w:lang w:eastAsia="de-DE"/>
        </w:rPr>
        <w:t>הַתּוֹרָה</w:t>
      </w:r>
      <w:r w:rsidRPr="008D3E71">
        <w:rPr>
          <w:rFonts w:eastAsia="Times New Roman"/>
          <w:rtl/>
          <w:lang w:eastAsia="de-DE"/>
        </w:rPr>
        <w:t xml:space="preserve"> </w:t>
      </w:r>
      <w:r w:rsidRPr="008D3E71">
        <w:rPr>
          <w:rFonts w:eastAsia="Times New Roman"/>
          <w:lang w:eastAsia="de-DE"/>
        </w:rPr>
        <w:t>als Prädikatsnomen (</w:t>
      </w:r>
      <w:r w:rsidRPr="008D3E71">
        <w:rPr>
          <w:rFonts w:eastAsia="Times New Roman"/>
          <w:b/>
          <w:bCs/>
          <w:rtl/>
          <w:lang w:eastAsia="de-DE"/>
        </w:rPr>
        <w:t>תּוֹרָה</w:t>
      </w:r>
      <w:r w:rsidRPr="008D3E71">
        <w:rPr>
          <w:rFonts w:eastAsia="Times New Roman"/>
          <w:lang w:eastAsia="de-DE"/>
        </w:rPr>
        <w:t xml:space="preserve">, „Lehre, Weisung, </w:t>
      </w:r>
      <w:r w:rsidR="006D3FED">
        <w:rPr>
          <w:rFonts w:eastAsia="Times New Roman"/>
          <w:lang w:eastAsia="de-DE"/>
        </w:rPr>
        <w:t>Torah</w:t>
      </w:r>
      <w:r w:rsidRPr="008D3E71">
        <w:rPr>
          <w:rFonts w:eastAsia="Times New Roman"/>
          <w:lang w:eastAsia="de-DE"/>
        </w:rPr>
        <w:t xml:space="preserve">", mit Artikel). </w:t>
      </w:r>
      <w:r w:rsidRPr="008D3E71">
        <w:rPr>
          <w:rFonts w:eastAsia="Times New Roman"/>
          <w:b/>
          <w:bCs/>
          <w:rtl/>
          <w:lang w:eastAsia="de-DE"/>
        </w:rPr>
        <w:t>אֲשֶׁר־שָׂם מֹשֶׁה לִפְנֵי בְּנֵי יִשְׂרָאֵל</w:t>
      </w:r>
      <w:r w:rsidRPr="008D3E71">
        <w:rPr>
          <w:rFonts w:eastAsia="Times New Roman"/>
          <w:rtl/>
          <w:lang w:eastAsia="de-DE"/>
        </w:rPr>
        <w:t xml:space="preserve"> </w:t>
      </w:r>
      <w:r w:rsidRPr="008D3E71">
        <w:rPr>
          <w:rFonts w:eastAsia="Times New Roman"/>
          <w:lang w:eastAsia="de-DE"/>
        </w:rPr>
        <w:t xml:space="preserve">ist ein Relativsatz: </w:t>
      </w:r>
      <w:r w:rsidRPr="008D3E71">
        <w:rPr>
          <w:rFonts w:eastAsia="Times New Roman"/>
          <w:b/>
          <w:bCs/>
          <w:rtl/>
          <w:lang w:eastAsia="de-DE"/>
        </w:rPr>
        <w:t>אֲשֶׁר</w:t>
      </w:r>
      <w:r w:rsidRPr="008D3E71">
        <w:rPr>
          <w:rFonts w:eastAsia="Times New Roman"/>
          <w:rtl/>
          <w:lang w:eastAsia="de-DE"/>
        </w:rPr>
        <w:t xml:space="preserve"> </w:t>
      </w:r>
      <w:r w:rsidRPr="008D3E71">
        <w:rPr>
          <w:rFonts w:eastAsia="Times New Roman"/>
          <w:lang w:eastAsia="de-DE"/>
        </w:rPr>
        <w:t xml:space="preserve">als Relativpronomen, </w:t>
      </w:r>
      <w:r w:rsidRPr="008D3E71">
        <w:rPr>
          <w:rFonts w:eastAsia="Times New Roman"/>
          <w:b/>
          <w:bCs/>
          <w:rtl/>
          <w:lang w:eastAsia="de-DE"/>
        </w:rPr>
        <w:t>שָׂם</w:t>
      </w:r>
      <w:r w:rsidRPr="008D3E71">
        <w:rPr>
          <w:rFonts w:eastAsia="Times New Roman"/>
          <w:rtl/>
          <w:lang w:eastAsia="de-DE"/>
        </w:rPr>
        <w:t xml:space="preserve"> </w:t>
      </w:r>
      <w:r w:rsidRPr="008D3E71">
        <w:rPr>
          <w:rFonts w:eastAsia="Times New Roman"/>
          <w:lang w:eastAsia="de-DE"/>
        </w:rPr>
        <w:t xml:space="preserve">als Qal Perfekt, 3. Person Singular maskulin von </w:t>
      </w:r>
      <w:r w:rsidRPr="008D3E71">
        <w:rPr>
          <w:rFonts w:eastAsia="Times New Roman"/>
          <w:b/>
          <w:bCs/>
          <w:rtl/>
          <w:lang w:eastAsia="de-DE"/>
        </w:rPr>
        <w:t>שׂים</w:t>
      </w:r>
      <w:r w:rsidRPr="008D3E71">
        <w:rPr>
          <w:rFonts w:eastAsia="Times New Roman"/>
          <w:rtl/>
          <w:lang w:eastAsia="de-DE"/>
        </w:rPr>
        <w:t xml:space="preserve"> </w:t>
      </w:r>
      <w:r w:rsidRPr="008D3E71">
        <w:rPr>
          <w:rFonts w:eastAsia="Times New Roman"/>
          <w:lang w:eastAsia="de-DE"/>
        </w:rPr>
        <w:t xml:space="preserve">(„setzen, legen, vorlegen"), </w:t>
      </w:r>
      <w:r w:rsidRPr="008D3E71">
        <w:rPr>
          <w:rFonts w:eastAsia="Times New Roman"/>
          <w:b/>
          <w:bCs/>
          <w:rtl/>
          <w:lang w:eastAsia="de-DE"/>
        </w:rPr>
        <w:t>מֹשֶׁה</w:t>
      </w:r>
      <w:r w:rsidRPr="008D3E71">
        <w:rPr>
          <w:rFonts w:eastAsia="Times New Roman"/>
          <w:rtl/>
          <w:lang w:eastAsia="de-DE"/>
        </w:rPr>
        <w:t xml:space="preserve"> </w:t>
      </w:r>
      <w:r w:rsidRPr="008D3E71">
        <w:rPr>
          <w:rFonts w:eastAsia="Times New Roman"/>
          <w:lang w:eastAsia="de-DE"/>
        </w:rPr>
        <w:t xml:space="preserve">als Subjekt, </w:t>
      </w:r>
      <w:r w:rsidRPr="008D3E71">
        <w:rPr>
          <w:rFonts w:eastAsia="Times New Roman"/>
          <w:b/>
          <w:bCs/>
          <w:rtl/>
          <w:lang w:eastAsia="de-DE"/>
        </w:rPr>
        <w:t>לִפְנֵי בְּנֵי יִשְׂרָאֵל</w:t>
      </w:r>
      <w:r w:rsidRPr="008D3E71">
        <w:rPr>
          <w:rFonts w:eastAsia="Times New Roman"/>
          <w:rtl/>
          <w:lang w:eastAsia="de-DE"/>
        </w:rPr>
        <w:t xml:space="preserve"> </w:t>
      </w:r>
      <w:r w:rsidRPr="008D3E71">
        <w:rPr>
          <w:rFonts w:eastAsia="Times New Roman"/>
          <w:lang w:eastAsia="de-DE"/>
        </w:rPr>
        <w:t>als idiomatische Wendung (</w:t>
      </w:r>
      <w:r w:rsidRPr="008D3E71">
        <w:rPr>
          <w:rFonts w:eastAsia="Times New Roman"/>
          <w:b/>
          <w:bCs/>
          <w:rtl/>
          <w:lang w:eastAsia="de-DE"/>
        </w:rPr>
        <w:t>לִפְנֵי</w:t>
      </w:r>
      <w:r w:rsidRPr="008D3E71">
        <w:rPr>
          <w:rFonts w:eastAsia="Times New Roman"/>
          <w:lang w:eastAsia="de-DE"/>
        </w:rPr>
        <w:t xml:space="preserve">, „vor", mit </w:t>
      </w:r>
      <w:r w:rsidRPr="008D3E71">
        <w:rPr>
          <w:rFonts w:eastAsia="Times New Roman"/>
          <w:b/>
          <w:bCs/>
          <w:rtl/>
          <w:lang w:eastAsia="de-DE"/>
        </w:rPr>
        <w:t>בְּנֵי יִשְׂרָאֵל</w:t>
      </w:r>
      <w:r w:rsidRPr="008D3E71">
        <w:rPr>
          <w:rFonts w:eastAsia="Times New Roman"/>
          <w:rtl/>
          <w:lang w:eastAsia="de-DE"/>
        </w:rPr>
        <w:t xml:space="preserve"> </w:t>
      </w:r>
      <w:r w:rsidRPr="008D3E71">
        <w:rPr>
          <w:rFonts w:eastAsia="Times New Roman"/>
          <w:lang w:eastAsia="de-DE"/>
        </w:rPr>
        <w:t>in Construct-Verbindung).</w:t>
      </w:r>
    </w:p>
    <w:p w14:paraId="4E98663F" w14:textId="49CF68A9"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Dieser Vers bildet eine Überschrift bzw. einen Übergang zu den folgenden Kapiteln. Das Verb </w:t>
      </w:r>
      <w:r w:rsidRPr="008D3E71">
        <w:rPr>
          <w:rFonts w:eastAsia="Times New Roman"/>
          <w:b/>
          <w:bCs/>
          <w:rtl/>
          <w:lang w:eastAsia="de-DE"/>
        </w:rPr>
        <w:t>שׂים</w:t>
      </w:r>
      <w:r w:rsidRPr="008D3E71">
        <w:rPr>
          <w:rFonts w:eastAsia="Times New Roman"/>
          <w:rtl/>
          <w:lang w:eastAsia="de-DE"/>
        </w:rPr>
        <w:t xml:space="preserve"> </w:t>
      </w:r>
      <w:r w:rsidRPr="008D3E71">
        <w:rPr>
          <w:rFonts w:eastAsia="Times New Roman"/>
          <w:lang w:eastAsia="de-DE"/>
        </w:rPr>
        <w:t xml:space="preserve">in der Bedeutung „vorlegen, darlegen" betont Moses Rolle als Vermittler der </w:t>
      </w:r>
      <w:r w:rsidR="006D3FED">
        <w:rPr>
          <w:rFonts w:eastAsia="Times New Roman"/>
          <w:lang w:eastAsia="de-DE"/>
        </w:rPr>
        <w:t>Torah</w:t>
      </w:r>
      <w:r w:rsidRPr="008D3E71">
        <w:rPr>
          <w:rFonts w:eastAsia="Times New Roman"/>
          <w:lang w:eastAsia="de-DE"/>
        </w:rPr>
        <w:t xml:space="preserve">. Die Formulierung </w:t>
      </w:r>
      <w:r w:rsidRPr="008D3E71">
        <w:rPr>
          <w:rFonts w:eastAsia="Times New Roman"/>
          <w:b/>
          <w:bCs/>
          <w:rtl/>
          <w:lang w:eastAsia="de-DE"/>
        </w:rPr>
        <w:t>לִפְנֵי בְּנֵי יִשְׂרָאֵל</w:t>
      </w:r>
      <w:r w:rsidRPr="008D3E71">
        <w:rPr>
          <w:rFonts w:eastAsia="Times New Roman"/>
          <w:rtl/>
          <w:lang w:eastAsia="de-DE"/>
        </w:rPr>
        <w:t xml:space="preserve"> </w:t>
      </w:r>
      <w:r w:rsidRPr="008D3E71">
        <w:rPr>
          <w:rFonts w:eastAsia="Times New Roman"/>
          <w:lang w:eastAsia="de-DE"/>
        </w:rPr>
        <w:t>unterstreicht die öffentliche, offizielle Natur der Verkündigung.</w:t>
      </w:r>
    </w:p>
    <w:p w14:paraId="47976397"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Die Satzstruktur ist ein nominaler Satz mit Demonstrativpronomen als Subjekt und Prädikatsnomen mit Artikel, erweitert durch einen Relativsatz mit Perfekt-Prädikat, Subjekt und idiomatischer präpositionaler Phrase. Die deiktische Formulierung </w:t>
      </w:r>
      <w:r w:rsidRPr="008D3E71">
        <w:rPr>
          <w:rFonts w:eastAsia="Times New Roman"/>
          <w:b/>
          <w:bCs/>
          <w:rtl/>
          <w:lang w:eastAsia="de-DE"/>
        </w:rPr>
        <w:t>וְזֹאת</w:t>
      </w:r>
      <w:r w:rsidRPr="008D3E71">
        <w:rPr>
          <w:rFonts w:eastAsia="Times New Roman"/>
          <w:rtl/>
          <w:lang w:eastAsia="de-DE"/>
        </w:rPr>
        <w:t xml:space="preserve"> </w:t>
      </w:r>
      <w:r w:rsidRPr="008D3E71">
        <w:rPr>
          <w:rFonts w:eastAsia="Times New Roman"/>
          <w:lang w:eastAsia="de-DE"/>
        </w:rPr>
        <w:t>(„und dies") verweist voraus auf die folgende Gesetzesverkündigung.</w:t>
      </w:r>
    </w:p>
    <w:p w14:paraId="15D4767E" w14:textId="4CA4FA18"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Der Vers dient als redaktionelle Überschrift für den folgenden Hauptteil des Deuteronomiums: Dies ist die </w:t>
      </w:r>
      <w:r w:rsidR="006D3FED">
        <w:rPr>
          <w:rFonts w:eastAsia="Times New Roman"/>
          <w:lang w:eastAsia="de-DE"/>
        </w:rPr>
        <w:t>Torah</w:t>
      </w:r>
      <w:r w:rsidRPr="008D3E71">
        <w:rPr>
          <w:rFonts w:eastAsia="Times New Roman"/>
          <w:lang w:eastAsia="de-DE"/>
        </w:rPr>
        <w:t>, die Mose Israel vorlegte.</w:t>
      </w:r>
    </w:p>
    <w:p w14:paraId="12D28310"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4,45</w:t>
      </w:r>
    </w:p>
    <w:p w14:paraId="30FAB4A3"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lastRenderedPageBreak/>
        <w:t>Hebräisch:</w:t>
      </w:r>
      <w:r w:rsidRPr="008D3E71">
        <w:rPr>
          <w:rFonts w:eastAsia="Times New Roman"/>
          <w:lang w:eastAsia="de-DE"/>
        </w:rPr>
        <w:t xml:space="preserve"> </w:t>
      </w:r>
      <w:r w:rsidRPr="008D3E71">
        <w:rPr>
          <w:rFonts w:eastAsia="Times New Roman"/>
          <w:rtl/>
          <w:lang w:eastAsia="de-DE"/>
        </w:rPr>
        <w:t>אֵ֚לֶּה הָֽעֵדֹ֔ת וְהַֽחֻקִּ֖ים וְהַמִּשְׁפָּטִ֑ים אֲשֶׁ֨ר דִּבֶּ֤ר מֹשֶׁה֙ אֶל־בְּנֵ֣י יִשְׂרָאֵ֔ל בְּצֵאתָ֖ם מִמִּצְרָֽיִם׃</w:t>
      </w:r>
    </w:p>
    <w:p w14:paraId="1CF0910E"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Dies sind die Zeugnisse und die Gesetze und die Rechtsvorschriften, die Mosche redete zu den Söhnen Jisra'el, bei ihrem Auszug aus Mizrajim,</w:t>
      </w:r>
    </w:p>
    <w:p w14:paraId="53F996A2"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1A27977F">
          <v:rect id="_x0000_i1181" style="width:0;height:1.5pt" o:hralign="center" o:hrstd="t" o:hr="t" fillcolor="#a0a0a0" stroked="f"/>
        </w:pict>
      </w:r>
    </w:p>
    <w:p w14:paraId="2914A8CF"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אֵלֶּה הָעֵדֹת וְהַחֻקִּים וְהַמִּשְׁפָּטִים</w:t>
      </w:r>
      <w:r w:rsidRPr="008D3E71">
        <w:rPr>
          <w:rFonts w:eastAsia="Times New Roman"/>
          <w:rtl/>
          <w:lang w:eastAsia="de-DE"/>
        </w:rPr>
        <w:t xml:space="preserve"> </w:t>
      </w:r>
      <w:r w:rsidRPr="008D3E71">
        <w:rPr>
          <w:rFonts w:eastAsia="Times New Roman"/>
          <w:lang w:eastAsia="de-DE"/>
        </w:rPr>
        <w:t xml:space="preserve">ist ein nominaler Satz: </w:t>
      </w:r>
      <w:r w:rsidRPr="008D3E71">
        <w:rPr>
          <w:rFonts w:eastAsia="Times New Roman"/>
          <w:b/>
          <w:bCs/>
          <w:rtl/>
          <w:lang w:eastAsia="de-DE"/>
        </w:rPr>
        <w:t>אֵלֶּה</w:t>
      </w:r>
      <w:r w:rsidRPr="008D3E71">
        <w:rPr>
          <w:rFonts w:eastAsia="Times New Roman"/>
          <w:rtl/>
          <w:lang w:eastAsia="de-DE"/>
        </w:rPr>
        <w:t xml:space="preserve"> </w:t>
      </w:r>
      <w:r w:rsidRPr="008D3E71">
        <w:rPr>
          <w:rFonts w:eastAsia="Times New Roman"/>
          <w:lang w:eastAsia="de-DE"/>
        </w:rPr>
        <w:t xml:space="preserve">als Demonstrativpronomen Plural („diese"), </w:t>
      </w:r>
      <w:r w:rsidRPr="008D3E71">
        <w:rPr>
          <w:rFonts w:eastAsia="Times New Roman"/>
          <w:b/>
          <w:bCs/>
          <w:rtl/>
          <w:lang w:eastAsia="de-DE"/>
        </w:rPr>
        <w:t>הָעֵדֹת</w:t>
      </w:r>
      <w:r w:rsidRPr="008D3E71">
        <w:rPr>
          <w:rFonts w:eastAsia="Times New Roman"/>
          <w:rtl/>
          <w:lang w:eastAsia="de-DE"/>
        </w:rPr>
        <w:t xml:space="preserve"> </w:t>
      </w:r>
      <w:r w:rsidRPr="008D3E71">
        <w:rPr>
          <w:rFonts w:eastAsia="Times New Roman"/>
          <w:lang w:eastAsia="de-DE"/>
        </w:rPr>
        <w:t>als erstes Prädikatsnomen (</w:t>
      </w:r>
      <w:r w:rsidRPr="008D3E71">
        <w:rPr>
          <w:rFonts w:eastAsia="Times New Roman"/>
          <w:b/>
          <w:bCs/>
          <w:rtl/>
          <w:lang w:eastAsia="de-DE"/>
        </w:rPr>
        <w:t>עֵדוּת</w:t>
      </w:r>
      <w:r w:rsidRPr="008D3E71">
        <w:rPr>
          <w:rFonts w:eastAsia="Times New Roman"/>
          <w:lang w:eastAsia="de-DE"/>
        </w:rPr>
        <w:t xml:space="preserve">, „Zeugnis, Zeuge, Bundesbestimmung", Plural feminin mit Artikel), </w:t>
      </w:r>
      <w:r w:rsidRPr="008D3E71">
        <w:rPr>
          <w:rFonts w:eastAsia="Times New Roman"/>
          <w:b/>
          <w:bCs/>
          <w:rtl/>
          <w:lang w:eastAsia="de-DE"/>
        </w:rPr>
        <w:t>וְהַחֻקִּים</w:t>
      </w:r>
      <w:r w:rsidRPr="008D3E71">
        <w:rPr>
          <w:rFonts w:eastAsia="Times New Roman"/>
          <w:rtl/>
          <w:lang w:eastAsia="de-DE"/>
        </w:rPr>
        <w:t xml:space="preserve"> </w:t>
      </w:r>
      <w:r w:rsidRPr="008D3E71">
        <w:rPr>
          <w:rFonts w:eastAsia="Times New Roman"/>
          <w:lang w:eastAsia="de-DE"/>
        </w:rPr>
        <w:t>als zweites Prädikatsnomen (</w:t>
      </w:r>
      <w:r w:rsidRPr="008D3E71">
        <w:rPr>
          <w:rFonts w:eastAsia="Times New Roman"/>
          <w:b/>
          <w:bCs/>
          <w:rtl/>
          <w:lang w:eastAsia="de-DE"/>
        </w:rPr>
        <w:t>חֹק</w:t>
      </w:r>
      <w:r w:rsidRPr="008D3E71">
        <w:rPr>
          <w:rFonts w:eastAsia="Times New Roman"/>
          <w:lang w:eastAsia="de-DE"/>
        </w:rPr>
        <w:t xml:space="preserve">, „Satzung", Plural mit Artikel), </w:t>
      </w:r>
      <w:r w:rsidRPr="008D3E71">
        <w:rPr>
          <w:rFonts w:eastAsia="Times New Roman"/>
          <w:b/>
          <w:bCs/>
          <w:rtl/>
          <w:lang w:eastAsia="de-DE"/>
        </w:rPr>
        <w:t>וְהַמִּשְׁפָּטִים</w:t>
      </w:r>
      <w:r w:rsidRPr="008D3E71">
        <w:rPr>
          <w:rFonts w:eastAsia="Times New Roman"/>
          <w:rtl/>
          <w:lang w:eastAsia="de-DE"/>
        </w:rPr>
        <w:t xml:space="preserve"> </w:t>
      </w:r>
      <w:r w:rsidRPr="008D3E71">
        <w:rPr>
          <w:rFonts w:eastAsia="Times New Roman"/>
          <w:lang w:eastAsia="de-DE"/>
        </w:rPr>
        <w:t>als drittes Prädikatsnomen (</w:t>
      </w:r>
      <w:r w:rsidRPr="008D3E71">
        <w:rPr>
          <w:rFonts w:eastAsia="Times New Roman"/>
          <w:b/>
          <w:bCs/>
          <w:rtl/>
          <w:lang w:eastAsia="de-DE"/>
        </w:rPr>
        <w:t>מִשְׁפָּט</w:t>
      </w:r>
      <w:r w:rsidRPr="008D3E71">
        <w:rPr>
          <w:rFonts w:eastAsia="Times New Roman"/>
          <w:lang w:eastAsia="de-DE"/>
        </w:rPr>
        <w:t>, „Rechtsbestimmung, Rechtssatz", Plural mit Artikel). Die dreigliedrige Aufzählung umfasst verschiedene Kategorien göttlicher Gebote.</w:t>
      </w:r>
    </w:p>
    <w:p w14:paraId="189CCC84"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אֲשֶׁר דִּבֶּר מֹשֶׁה אֶל־בְּנֵי יִשְׂרָאֵל</w:t>
      </w:r>
      <w:r w:rsidRPr="008D3E71">
        <w:rPr>
          <w:rFonts w:eastAsia="Times New Roman"/>
          <w:rtl/>
          <w:lang w:eastAsia="de-DE"/>
        </w:rPr>
        <w:t xml:space="preserve"> </w:t>
      </w:r>
      <w:r w:rsidRPr="008D3E71">
        <w:rPr>
          <w:rFonts w:eastAsia="Times New Roman"/>
          <w:lang w:eastAsia="de-DE"/>
        </w:rPr>
        <w:t xml:space="preserve">ist ein Relativsatz: </w:t>
      </w:r>
      <w:r w:rsidRPr="008D3E71">
        <w:rPr>
          <w:rFonts w:eastAsia="Times New Roman"/>
          <w:b/>
          <w:bCs/>
          <w:rtl/>
          <w:lang w:eastAsia="de-DE"/>
        </w:rPr>
        <w:t>אֲשֶׁר</w:t>
      </w:r>
      <w:r w:rsidRPr="008D3E71">
        <w:rPr>
          <w:rFonts w:eastAsia="Times New Roman"/>
          <w:rtl/>
          <w:lang w:eastAsia="de-DE"/>
        </w:rPr>
        <w:t xml:space="preserve"> </w:t>
      </w:r>
      <w:r w:rsidRPr="008D3E71">
        <w:rPr>
          <w:rFonts w:eastAsia="Times New Roman"/>
          <w:lang w:eastAsia="de-DE"/>
        </w:rPr>
        <w:t xml:space="preserve">als Relativpronomen, </w:t>
      </w:r>
      <w:r w:rsidRPr="008D3E71">
        <w:rPr>
          <w:rFonts w:eastAsia="Times New Roman"/>
          <w:b/>
          <w:bCs/>
          <w:rtl/>
          <w:lang w:eastAsia="de-DE"/>
        </w:rPr>
        <w:t>דִּבֶּר</w:t>
      </w:r>
      <w:r w:rsidRPr="008D3E71">
        <w:rPr>
          <w:rFonts w:eastAsia="Times New Roman"/>
          <w:rtl/>
          <w:lang w:eastAsia="de-DE"/>
        </w:rPr>
        <w:t xml:space="preserve"> </w:t>
      </w:r>
      <w:r w:rsidRPr="008D3E71">
        <w:rPr>
          <w:rFonts w:eastAsia="Times New Roman"/>
          <w:lang w:eastAsia="de-DE"/>
        </w:rPr>
        <w:t xml:space="preserve">als Piel Perfekt, 3. Person Singular maskulin von </w:t>
      </w:r>
      <w:r w:rsidRPr="008D3E71">
        <w:rPr>
          <w:rFonts w:eastAsia="Times New Roman"/>
          <w:b/>
          <w:bCs/>
          <w:rtl/>
          <w:lang w:eastAsia="de-DE"/>
        </w:rPr>
        <w:t>דבר</w:t>
      </w:r>
      <w:r w:rsidRPr="008D3E71">
        <w:rPr>
          <w:rFonts w:eastAsia="Times New Roman"/>
          <w:rtl/>
          <w:lang w:eastAsia="de-DE"/>
        </w:rPr>
        <w:t xml:space="preserve"> </w:t>
      </w:r>
      <w:r w:rsidRPr="008D3E71">
        <w:rPr>
          <w:rFonts w:eastAsia="Times New Roman"/>
          <w:lang w:eastAsia="de-DE"/>
        </w:rPr>
        <w:t xml:space="preserve">(„reden, sprechen"), </w:t>
      </w:r>
      <w:r w:rsidRPr="008D3E71">
        <w:rPr>
          <w:rFonts w:eastAsia="Times New Roman"/>
          <w:b/>
          <w:bCs/>
          <w:rtl/>
          <w:lang w:eastAsia="de-DE"/>
        </w:rPr>
        <w:t>מֹשֶׁה</w:t>
      </w:r>
      <w:r w:rsidRPr="008D3E71">
        <w:rPr>
          <w:rFonts w:eastAsia="Times New Roman"/>
          <w:rtl/>
          <w:lang w:eastAsia="de-DE"/>
        </w:rPr>
        <w:t xml:space="preserve"> </w:t>
      </w:r>
      <w:r w:rsidRPr="008D3E71">
        <w:rPr>
          <w:rFonts w:eastAsia="Times New Roman"/>
          <w:lang w:eastAsia="de-DE"/>
        </w:rPr>
        <w:t xml:space="preserve">als Subjekt, </w:t>
      </w:r>
      <w:r w:rsidRPr="008D3E71">
        <w:rPr>
          <w:rFonts w:eastAsia="Times New Roman"/>
          <w:b/>
          <w:bCs/>
          <w:rtl/>
          <w:lang w:eastAsia="de-DE"/>
        </w:rPr>
        <w:t>אֶל־בְּנֵי יִשְׂרָאֵל</w:t>
      </w:r>
      <w:r w:rsidRPr="008D3E71">
        <w:rPr>
          <w:rFonts w:eastAsia="Times New Roman"/>
          <w:rtl/>
          <w:lang w:eastAsia="de-DE"/>
        </w:rPr>
        <w:t xml:space="preserve"> </w:t>
      </w:r>
      <w:r w:rsidRPr="008D3E71">
        <w:rPr>
          <w:rFonts w:eastAsia="Times New Roman"/>
          <w:lang w:eastAsia="de-DE"/>
        </w:rPr>
        <w:t xml:space="preserve">als Adressat. </w:t>
      </w:r>
      <w:r w:rsidRPr="008D3E71">
        <w:rPr>
          <w:rFonts w:eastAsia="Times New Roman"/>
          <w:b/>
          <w:bCs/>
          <w:rtl/>
          <w:lang w:eastAsia="de-DE"/>
        </w:rPr>
        <w:t>בְּצֵאתָם מִמִּצְרָיִם</w:t>
      </w:r>
      <w:r w:rsidRPr="008D3E71">
        <w:rPr>
          <w:rFonts w:eastAsia="Times New Roman"/>
          <w:rtl/>
          <w:lang w:eastAsia="de-DE"/>
        </w:rPr>
        <w:t xml:space="preserve"> </w:t>
      </w:r>
      <w:r w:rsidRPr="008D3E71">
        <w:rPr>
          <w:rFonts w:eastAsia="Times New Roman"/>
          <w:lang w:eastAsia="de-DE"/>
        </w:rPr>
        <w:t xml:space="preserve">ist eine temporale Bestimmung: </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צֵאתָם</w:t>
      </w:r>
      <w:r w:rsidRPr="008D3E71">
        <w:rPr>
          <w:rFonts w:eastAsia="Times New Roman"/>
          <w:rtl/>
          <w:lang w:eastAsia="de-DE"/>
        </w:rPr>
        <w:t xml:space="preserve"> </w:t>
      </w:r>
      <w:r w:rsidRPr="008D3E71">
        <w:rPr>
          <w:rFonts w:eastAsia="Times New Roman"/>
          <w:lang w:eastAsia="de-DE"/>
        </w:rPr>
        <w:t xml:space="preserve">(Qal Infinitiv Construct von </w:t>
      </w:r>
      <w:r w:rsidRPr="008D3E71">
        <w:rPr>
          <w:rFonts w:eastAsia="Times New Roman"/>
          <w:b/>
          <w:bCs/>
          <w:rtl/>
          <w:lang w:eastAsia="de-DE"/>
        </w:rPr>
        <w:t>יצא</w:t>
      </w:r>
      <w:r w:rsidRPr="008D3E71">
        <w:rPr>
          <w:rFonts w:eastAsia="Times New Roman"/>
          <w:lang w:eastAsia="de-DE"/>
        </w:rPr>
        <w:t xml:space="preserve">, „hinausgehen, ausziehen", mit Suffix 3. Person Plural maskulin als Subjekt), </w:t>
      </w:r>
      <w:r w:rsidRPr="008D3E71">
        <w:rPr>
          <w:rFonts w:eastAsia="Times New Roman"/>
          <w:b/>
          <w:bCs/>
          <w:rtl/>
          <w:lang w:eastAsia="de-DE"/>
        </w:rPr>
        <w:t>מִמִּצְרָיִם</w:t>
      </w:r>
      <w:r w:rsidRPr="008D3E71">
        <w:rPr>
          <w:rFonts w:eastAsia="Times New Roman"/>
          <w:rtl/>
          <w:lang w:eastAsia="de-DE"/>
        </w:rPr>
        <w:t xml:space="preserve"> </w:t>
      </w:r>
      <w:r w:rsidRPr="008D3E71">
        <w:rPr>
          <w:rFonts w:eastAsia="Times New Roman"/>
          <w:lang w:eastAsia="de-DE"/>
        </w:rPr>
        <w:t>als Herkunftsangabe.</w:t>
      </w:r>
    </w:p>
    <w:p w14:paraId="525EAA16"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Der Begriff </w:t>
      </w:r>
      <w:r w:rsidRPr="008D3E71">
        <w:rPr>
          <w:rFonts w:eastAsia="Times New Roman"/>
          <w:b/>
          <w:bCs/>
          <w:rtl/>
          <w:lang w:eastAsia="de-DE"/>
        </w:rPr>
        <w:t>עֵדוּת</w:t>
      </w:r>
      <w:r w:rsidRPr="008D3E71">
        <w:rPr>
          <w:rFonts w:eastAsia="Times New Roman"/>
          <w:rtl/>
          <w:lang w:eastAsia="de-DE"/>
        </w:rPr>
        <w:t xml:space="preserve"> </w:t>
      </w:r>
      <w:r w:rsidRPr="008D3E71">
        <w:rPr>
          <w:rFonts w:eastAsia="Times New Roman"/>
          <w:lang w:eastAsia="de-DE"/>
        </w:rPr>
        <w:t xml:space="preserve">bezeichnet die Bundesbestimmungen, die als "Zeugnisse" der göttlich-menschlichen Beziehung fungieren. Die Trias </w:t>
      </w:r>
      <w:r w:rsidRPr="008D3E71">
        <w:rPr>
          <w:rFonts w:eastAsia="Times New Roman"/>
          <w:b/>
          <w:bCs/>
          <w:rtl/>
          <w:lang w:eastAsia="de-DE"/>
        </w:rPr>
        <w:t>עֵדֹת</w:t>
      </w:r>
      <w:r w:rsidRPr="008D3E71">
        <w:rPr>
          <w:rFonts w:eastAsia="Times New Roman"/>
          <w:lang w:eastAsia="de-DE"/>
        </w:rPr>
        <w:t xml:space="preserve">, </w:t>
      </w:r>
      <w:r w:rsidRPr="008D3E71">
        <w:rPr>
          <w:rFonts w:eastAsia="Times New Roman"/>
          <w:b/>
          <w:bCs/>
          <w:rtl/>
          <w:lang w:eastAsia="de-DE"/>
        </w:rPr>
        <w:t>חֻקִּים</w:t>
      </w:r>
      <w:r w:rsidRPr="008D3E71">
        <w:rPr>
          <w:rFonts w:eastAsia="Times New Roman"/>
          <w:lang w:eastAsia="de-DE"/>
        </w:rPr>
        <w:t xml:space="preserve">, </w:t>
      </w:r>
      <w:r w:rsidRPr="008D3E71">
        <w:rPr>
          <w:rFonts w:eastAsia="Times New Roman"/>
          <w:b/>
          <w:bCs/>
          <w:rtl/>
          <w:lang w:eastAsia="de-DE"/>
        </w:rPr>
        <w:t>מִשְׁפָּטִים</w:t>
      </w:r>
      <w:r w:rsidRPr="008D3E71">
        <w:rPr>
          <w:rFonts w:eastAsia="Times New Roman"/>
          <w:rtl/>
          <w:lang w:eastAsia="de-DE"/>
        </w:rPr>
        <w:t xml:space="preserve"> </w:t>
      </w:r>
      <w:r w:rsidRPr="008D3E71">
        <w:rPr>
          <w:rFonts w:eastAsia="Times New Roman"/>
          <w:lang w:eastAsia="de-DE"/>
        </w:rPr>
        <w:t>ist charakteristisch für das Deuteronomium und umfasst das gesamte Spektrum der göttlichen Gebote.</w:t>
      </w:r>
    </w:p>
    <w:p w14:paraId="14AFE86F"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Satzstruktur ist ein nominaler Satz mit Demonstrativpronomen als Subjekt und dreigliedriger koordinierter Prädikatsaufzählung, erweitert durch einen Relativsatz mit Piel-Prädikat, Subjekt und Adressat sowie einer temporalen Infinitivkonstruktion mit Herkunftsangabe. Die Struktur ist formelhaft und dient als erweiterte Überschrift.</w:t>
      </w:r>
    </w:p>
    <w:p w14:paraId="3B74A704"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Der Vers erweitert die Überschrift von V. 44 durch eine dreigliedrige Kategorisierung der göttlichen Gebote und situiert sie zeitlich beim Exodus.</w:t>
      </w:r>
    </w:p>
    <w:p w14:paraId="0538233E"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4,46</w:t>
      </w:r>
    </w:p>
    <w:p w14:paraId="55ACAC62"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בְּעֵ֨בֶר הַיַּרְדֵּ֜ן בַּגַּ֗יְא מ֚וּל בֵּ֣ית פְּע֔וֹר בְּאֶ֗רֶץ סִיחֹן֙ מֶ֣לֶךְ הָֽאֱמֹרִ֔י אֲשֶׁ֥ר יוֹשֵׁ֖ב בְּחֶשְׁבּ֑וֹן אֲשֶׁ֨ר הִכָּ֤ה מֹשֶׁה֙ וּבְנֵֽי יִשְׂרָאֵ֔ל בְּצֵאתָ֖ם מִמִּצְרָֽיִם׃</w:t>
      </w:r>
    </w:p>
    <w:p w14:paraId="5C5E018B"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Jenseits des Jardens, im Tal, Beth-Peor gegenüber, im Land Sichons, des Königs des Emori, der in Cheschbon wohnte, den Mosche und die Söhne Jisra'el geschlagen haben, bei ihrem Auszug aus Mizrajim.</w:t>
      </w:r>
    </w:p>
    <w:p w14:paraId="1D6E1873"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7BEB9449">
          <v:rect id="_x0000_i1182" style="width:0;height:1.5pt" o:hralign="center" o:hrstd="t" o:hr="t" fillcolor="#a0a0a0" stroked="f"/>
        </w:pict>
      </w:r>
    </w:p>
    <w:p w14:paraId="23ACBD49"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בְּעֵבֶר הַיַּרְדֵּן בַּגַּיְא מוּל בֵּית פְּעוֹר</w:t>
      </w:r>
      <w:r w:rsidRPr="008D3E71">
        <w:rPr>
          <w:rFonts w:eastAsia="Times New Roman"/>
          <w:rtl/>
          <w:lang w:eastAsia="de-DE"/>
        </w:rPr>
        <w:t xml:space="preserve"> </w:t>
      </w:r>
      <w:r w:rsidRPr="008D3E71">
        <w:rPr>
          <w:rFonts w:eastAsia="Times New Roman"/>
          <w:lang w:eastAsia="de-DE"/>
        </w:rPr>
        <w:t xml:space="preserve">ist eine dreifache Ortsangabe: </w:t>
      </w:r>
      <w:r w:rsidRPr="008D3E71">
        <w:rPr>
          <w:rFonts w:eastAsia="Times New Roman"/>
          <w:b/>
          <w:bCs/>
          <w:rtl/>
          <w:lang w:eastAsia="de-DE"/>
        </w:rPr>
        <w:t>בְּעֵבֶר הַיַּרְדֵּן</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עֵבֶר</w:t>
      </w:r>
      <w:r w:rsidRPr="008D3E71">
        <w:rPr>
          <w:rFonts w:eastAsia="Times New Roman"/>
          <w:rtl/>
          <w:lang w:eastAsia="de-DE"/>
        </w:rPr>
        <w:t xml:space="preserve"> </w:t>
      </w:r>
      <w:r w:rsidRPr="008D3E71">
        <w:rPr>
          <w:rFonts w:eastAsia="Times New Roman"/>
          <w:lang w:eastAsia="de-DE"/>
        </w:rPr>
        <w:t xml:space="preserve">im Construct und </w:t>
      </w:r>
      <w:r w:rsidRPr="008D3E71">
        <w:rPr>
          <w:rFonts w:eastAsia="Times New Roman"/>
          <w:b/>
          <w:bCs/>
          <w:rtl/>
          <w:lang w:eastAsia="de-DE"/>
        </w:rPr>
        <w:t>הַיַּרְדֵּן</w:t>
      </w:r>
      <w:r w:rsidRPr="008D3E71">
        <w:rPr>
          <w:rFonts w:eastAsia="Times New Roman"/>
          <w:lang w:eastAsia="de-DE"/>
        </w:rPr>
        <w:t xml:space="preserve">), </w:t>
      </w:r>
      <w:r w:rsidRPr="008D3E71">
        <w:rPr>
          <w:rFonts w:eastAsia="Times New Roman"/>
          <w:b/>
          <w:bCs/>
          <w:rtl/>
          <w:lang w:eastAsia="de-DE"/>
        </w:rPr>
        <w:t>בַּגַּיְא</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גַּיְא</w:t>
      </w:r>
      <w:r w:rsidRPr="008D3E71">
        <w:rPr>
          <w:rFonts w:eastAsia="Times New Roman"/>
          <w:lang w:eastAsia="de-DE"/>
        </w:rPr>
        <w:t xml:space="preserve">, „Tal", mit Artikel), </w:t>
      </w:r>
      <w:r w:rsidRPr="008D3E71">
        <w:rPr>
          <w:rFonts w:eastAsia="Times New Roman"/>
          <w:b/>
          <w:bCs/>
          <w:rtl/>
          <w:lang w:eastAsia="de-DE"/>
        </w:rPr>
        <w:t>מוּל בֵּית פְּעוֹר</w:t>
      </w:r>
      <w:r w:rsidRPr="008D3E71">
        <w:rPr>
          <w:rFonts w:eastAsia="Times New Roman"/>
          <w:rtl/>
          <w:lang w:eastAsia="de-DE"/>
        </w:rPr>
        <w:t xml:space="preserve"> </w:t>
      </w:r>
      <w:r w:rsidRPr="008D3E71">
        <w:rPr>
          <w:rFonts w:eastAsia="Times New Roman"/>
          <w:lang w:eastAsia="de-DE"/>
        </w:rPr>
        <w:t xml:space="preserve">(Präposition </w:t>
      </w:r>
      <w:r w:rsidRPr="008D3E71">
        <w:rPr>
          <w:rFonts w:eastAsia="Times New Roman"/>
          <w:b/>
          <w:bCs/>
          <w:rtl/>
          <w:lang w:eastAsia="de-DE"/>
        </w:rPr>
        <w:t>מוּל</w:t>
      </w:r>
      <w:r w:rsidRPr="008D3E71">
        <w:rPr>
          <w:rFonts w:eastAsia="Times New Roman"/>
          <w:lang w:eastAsia="de-DE"/>
        </w:rPr>
        <w:t xml:space="preserve">, „gegenüber", mit </w:t>
      </w:r>
      <w:r w:rsidRPr="008D3E71">
        <w:rPr>
          <w:rFonts w:eastAsia="Times New Roman"/>
          <w:b/>
          <w:bCs/>
          <w:rtl/>
          <w:lang w:eastAsia="de-DE"/>
        </w:rPr>
        <w:t>בֵּית פְּעוֹר</w:t>
      </w:r>
      <w:r w:rsidRPr="008D3E71">
        <w:rPr>
          <w:rFonts w:eastAsia="Times New Roman"/>
          <w:lang w:eastAsia="de-DE"/>
        </w:rPr>
        <w:t xml:space="preserve">, Ortsname). </w:t>
      </w:r>
      <w:r w:rsidRPr="008D3E71">
        <w:rPr>
          <w:rFonts w:eastAsia="Times New Roman"/>
          <w:b/>
          <w:bCs/>
          <w:rtl/>
          <w:lang w:eastAsia="de-DE"/>
        </w:rPr>
        <w:t>בְּאֶרֶץ סִיחֹן מֶלֶךְ הָאֱמֹרִי</w:t>
      </w:r>
      <w:r w:rsidRPr="008D3E71">
        <w:rPr>
          <w:rFonts w:eastAsia="Times New Roman"/>
          <w:rtl/>
          <w:lang w:eastAsia="de-DE"/>
        </w:rPr>
        <w:t xml:space="preserve"> </w:t>
      </w:r>
      <w:r w:rsidRPr="008D3E71">
        <w:rPr>
          <w:rFonts w:eastAsia="Times New Roman"/>
          <w:lang w:eastAsia="de-DE"/>
        </w:rPr>
        <w:t xml:space="preserve">ist eine weitere Ortsangabe: </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אֶרֶץ</w:t>
      </w:r>
      <w:r w:rsidRPr="008D3E71">
        <w:rPr>
          <w:rFonts w:eastAsia="Times New Roman"/>
          <w:rtl/>
          <w:lang w:eastAsia="de-DE"/>
        </w:rPr>
        <w:t xml:space="preserve"> </w:t>
      </w:r>
      <w:r w:rsidRPr="008D3E71">
        <w:rPr>
          <w:rFonts w:eastAsia="Times New Roman"/>
          <w:lang w:eastAsia="de-DE"/>
        </w:rPr>
        <w:t xml:space="preserve">im Construct, </w:t>
      </w:r>
      <w:r w:rsidRPr="008D3E71">
        <w:rPr>
          <w:rFonts w:eastAsia="Times New Roman"/>
          <w:b/>
          <w:bCs/>
          <w:rtl/>
          <w:lang w:eastAsia="de-DE"/>
        </w:rPr>
        <w:t>סִיחֹן</w:t>
      </w:r>
      <w:r w:rsidRPr="008D3E71">
        <w:rPr>
          <w:rFonts w:eastAsia="Times New Roman"/>
          <w:rtl/>
          <w:lang w:eastAsia="de-DE"/>
        </w:rPr>
        <w:t xml:space="preserve"> </w:t>
      </w:r>
      <w:r w:rsidRPr="008D3E71">
        <w:rPr>
          <w:rFonts w:eastAsia="Times New Roman"/>
          <w:lang w:eastAsia="de-DE"/>
        </w:rPr>
        <w:t xml:space="preserve">(Eigenname) und der appositiven Titelangabe </w:t>
      </w:r>
      <w:r w:rsidRPr="008D3E71">
        <w:rPr>
          <w:rFonts w:eastAsia="Times New Roman"/>
          <w:b/>
          <w:bCs/>
          <w:rtl/>
          <w:lang w:eastAsia="de-DE"/>
        </w:rPr>
        <w:t>מֶלֶךְ הָאֱמֹרִי</w:t>
      </w:r>
      <w:r w:rsidRPr="008D3E71">
        <w:rPr>
          <w:rFonts w:eastAsia="Times New Roman"/>
          <w:rtl/>
          <w:lang w:eastAsia="de-DE"/>
        </w:rPr>
        <w:t xml:space="preserve"> </w:t>
      </w:r>
      <w:r w:rsidRPr="008D3E71">
        <w:rPr>
          <w:rFonts w:eastAsia="Times New Roman"/>
          <w:lang w:eastAsia="de-DE"/>
        </w:rPr>
        <w:t>im Construct.</w:t>
      </w:r>
    </w:p>
    <w:p w14:paraId="34E65444"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lastRenderedPageBreak/>
        <w:t>אֲשֶׁר יוֹשֵׁב בְּחֶשְׁבּוֹן</w:t>
      </w:r>
      <w:r w:rsidRPr="008D3E71">
        <w:rPr>
          <w:rFonts w:eastAsia="Times New Roman"/>
          <w:rtl/>
          <w:lang w:eastAsia="de-DE"/>
        </w:rPr>
        <w:t xml:space="preserve"> </w:t>
      </w:r>
      <w:r w:rsidRPr="008D3E71">
        <w:rPr>
          <w:rFonts w:eastAsia="Times New Roman"/>
          <w:lang w:eastAsia="de-DE"/>
        </w:rPr>
        <w:t xml:space="preserve">ist ein Relativsatz: </w:t>
      </w:r>
      <w:r w:rsidRPr="008D3E71">
        <w:rPr>
          <w:rFonts w:eastAsia="Times New Roman"/>
          <w:b/>
          <w:bCs/>
          <w:rtl/>
          <w:lang w:eastAsia="de-DE"/>
        </w:rPr>
        <w:t>אֲשֶׁר</w:t>
      </w:r>
      <w:r w:rsidRPr="008D3E71">
        <w:rPr>
          <w:rFonts w:eastAsia="Times New Roman"/>
          <w:rtl/>
          <w:lang w:eastAsia="de-DE"/>
        </w:rPr>
        <w:t xml:space="preserve"> </w:t>
      </w:r>
      <w:r w:rsidRPr="008D3E71">
        <w:rPr>
          <w:rFonts w:eastAsia="Times New Roman"/>
          <w:lang w:eastAsia="de-DE"/>
        </w:rPr>
        <w:t xml:space="preserve">als Relativpronomen, </w:t>
      </w:r>
      <w:r w:rsidRPr="008D3E71">
        <w:rPr>
          <w:rFonts w:eastAsia="Times New Roman"/>
          <w:b/>
          <w:bCs/>
          <w:rtl/>
          <w:lang w:eastAsia="de-DE"/>
        </w:rPr>
        <w:t>יוֹשֵׁב</w:t>
      </w:r>
      <w:r w:rsidRPr="008D3E71">
        <w:rPr>
          <w:rFonts w:eastAsia="Times New Roman"/>
          <w:rtl/>
          <w:lang w:eastAsia="de-DE"/>
        </w:rPr>
        <w:t xml:space="preserve"> </w:t>
      </w:r>
      <w:r w:rsidRPr="008D3E71">
        <w:rPr>
          <w:rFonts w:eastAsia="Times New Roman"/>
          <w:lang w:eastAsia="de-DE"/>
        </w:rPr>
        <w:t xml:space="preserve">als Qal Partizip Singular maskulin von </w:t>
      </w:r>
      <w:r w:rsidRPr="008D3E71">
        <w:rPr>
          <w:rFonts w:eastAsia="Times New Roman"/>
          <w:b/>
          <w:bCs/>
          <w:rtl/>
          <w:lang w:eastAsia="de-DE"/>
        </w:rPr>
        <w:t>ישׁב</w:t>
      </w:r>
      <w:r w:rsidRPr="008D3E71">
        <w:rPr>
          <w:rFonts w:eastAsia="Times New Roman"/>
          <w:rtl/>
          <w:lang w:eastAsia="de-DE"/>
        </w:rPr>
        <w:t xml:space="preserve"> </w:t>
      </w:r>
      <w:r w:rsidRPr="008D3E71">
        <w:rPr>
          <w:rFonts w:eastAsia="Times New Roman"/>
          <w:lang w:eastAsia="de-DE"/>
        </w:rPr>
        <w:t xml:space="preserve">(„wohnen"), </w:t>
      </w:r>
      <w:r w:rsidRPr="008D3E71">
        <w:rPr>
          <w:rFonts w:eastAsia="Times New Roman"/>
          <w:b/>
          <w:bCs/>
          <w:rtl/>
          <w:lang w:eastAsia="de-DE"/>
        </w:rPr>
        <w:t>בְּחֶשְׁבּוֹן</w:t>
      </w:r>
      <w:r w:rsidRPr="008D3E71">
        <w:rPr>
          <w:rFonts w:eastAsia="Times New Roman"/>
          <w:rtl/>
          <w:lang w:eastAsia="de-DE"/>
        </w:rPr>
        <w:t xml:space="preserve"> </w:t>
      </w:r>
      <w:r w:rsidRPr="008D3E71">
        <w:rPr>
          <w:rFonts w:eastAsia="Times New Roman"/>
          <w:lang w:eastAsia="de-DE"/>
        </w:rPr>
        <w:t xml:space="preserve">als Ortsangabe. </w:t>
      </w:r>
      <w:r w:rsidRPr="008D3E71">
        <w:rPr>
          <w:rFonts w:eastAsia="Times New Roman"/>
          <w:b/>
          <w:bCs/>
          <w:rtl/>
          <w:lang w:eastAsia="de-DE"/>
        </w:rPr>
        <w:t>אֲשֶׁר הִכָּה מֹשֶׁה וּבְנֵי יִשְׂרָאֵל בְּצֵאתָם מִמִּצְרָיִם</w:t>
      </w:r>
      <w:r w:rsidRPr="008D3E71">
        <w:rPr>
          <w:rFonts w:eastAsia="Times New Roman"/>
          <w:rtl/>
          <w:lang w:eastAsia="de-DE"/>
        </w:rPr>
        <w:t xml:space="preserve"> </w:t>
      </w:r>
      <w:r w:rsidRPr="008D3E71">
        <w:rPr>
          <w:rFonts w:eastAsia="Times New Roman"/>
          <w:lang w:eastAsia="de-DE"/>
        </w:rPr>
        <w:t xml:space="preserve">ist ein zweiter Relativsatz: </w:t>
      </w:r>
      <w:r w:rsidRPr="008D3E71">
        <w:rPr>
          <w:rFonts w:eastAsia="Times New Roman"/>
          <w:b/>
          <w:bCs/>
          <w:rtl/>
          <w:lang w:eastAsia="de-DE"/>
        </w:rPr>
        <w:t>אֲשֶׁר</w:t>
      </w:r>
      <w:r w:rsidRPr="008D3E71">
        <w:rPr>
          <w:rFonts w:eastAsia="Times New Roman"/>
          <w:rtl/>
          <w:lang w:eastAsia="de-DE"/>
        </w:rPr>
        <w:t xml:space="preserve"> </w:t>
      </w:r>
      <w:r w:rsidRPr="008D3E71">
        <w:rPr>
          <w:rFonts w:eastAsia="Times New Roman"/>
          <w:lang w:eastAsia="de-DE"/>
        </w:rPr>
        <w:t xml:space="preserve">als Relativpronomen, </w:t>
      </w:r>
      <w:r w:rsidRPr="008D3E71">
        <w:rPr>
          <w:rFonts w:eastAsia="Times New Roman"/>
          <w:b/>
          <w:bCs/>
          <w:rtl/>
          <w:lang w:eastAsia="de-DE"/>
        </w:rPr>
        <w:t>הִכָּה</w:t>
      </w:r>
      <w:r w:rsidRPr="008D3E71">
        <w:rPr>
          <w:rFonts w:eastAsia="Times New Roman"/>
          <w:rtl/>
          <w:lang w:eastAsia="de-DE"/>
        </w:rPr>
        <w:t xml:space="preserve"> </w:t>
      </w:r>
      <w:r w:rsidRPr="008D3E71">
        <w:rPr>
          <w:rFonts w:eastAsia="Times New Roman"/>
          <w:lang w:eastAsia="de-DE"/>
        </w:rPr>
        <w:t xml:space="preserve">als Hifil Perfekt, 3. Person Singular maskulin von </w:t>
      </w:r>
      <w:r w:rsidRPr="008D3E71">
        <w:rPr>
          <w:rFonts w:eastAsia="Times New Roman"/>
          <w:b/>
          <w:bCs/>
          <w:rtl/>
          <w:lang w:eastAsia="de-DE"/>
        </w:rPr>
        <w:t>נכה</w:t>
      </w:r>
      <w:r w:rsidRPr="008D3E71">
        <w:rPr>
          <w:rFonts w:eastAsia="Times New Roman"/>
          <w:rtl/>
          <w:lang w:eastAsia="de-DE"/>
        </w:rPr>
        <w:t xml:space="preserve"> </w:t>
      </w:r>
      <w:r w:rsidRPr="008D3E71">
        <w:rPr>
          <w:rFonts w:eastAsia="Times New Roman"/>
          <w:lang w:eastAsia="de-DE"/>
        </w:rPr>
        <w:t xml:space="preserve">(„schlagen, besiegen"), </w:t>
      </w:r>
      <w:r w:rsidRPr="008D3E71">
        <w:rPr>
          <w:rFonts w:eastAsia="Times New Roman"/>
          <w:b/>
          <w:bCs/>
          <w:rtl/>
          <w:lang w:eastAsia="de-DE"/>
        </w:rPr>
        <w:t>מֹשֶׁה וּבְנֵי יִשְׂרָאֵל</w:t>
      </w:r>
      <w:r w:rsidRPr="008D3E71">
        <w:rPr>
          <w:rFonts w:eastAsia="Times New Roman"/>
          <w:rtl/>
          <w:lang w:eastAsia="de-DE"/>
        </w:rPr>
        <w:t xml:space="preserve"> </w:t>
      </w:r>
      <w:r w:rsidRPr="008D3E71">
        <w:rPr>
          <w:rFonts w:eastAsia="Times New Roman"/>
          <w:lang w:eastAsia="de-DE"/>
        </w:rPr>
        <w:t xml:space="preserve">als koordiniertes Subjekt, </w:t>
      </w:r>
      <w:r w:rsidRPr="008D3E71">
        <w:rPr>
          <w:rFonts w:eastAsia="Times New Roman"/>
          <w:b/>
          <w:bCs/>
          <w:rtl/>
          <w:lang w:eastAsia="de-DE"/>
        </w:rPr>
        <w:t>בְּצֵאתָם מִמִּצְרָיִם</w:t>
      </w:r>
      <w:r w:rsidRPr="008D3E71">
        <w:rPr>
          <w:rFonts w:eastAsia="Times New Roman"/>
          <w:rtl/>
          <w:lang w:eastAsia="de-DE"/>
        </w:rPr>
        <w:t xml:space="preserve"> </w:t>
      </w:r>
      <w:r w:rsidRPr="008D3E71">
        <w:rPr>
          <w:rFonts w:eastAsia="Times New Roman"/>
          <w:lang w:eastAsia="de-DE"/>
        </w:rPr>
        <w:t>als temporale Infinitivkonstruktion (identisch mit V. 45).</w:t>
      </w:r>
    </w:p>
    <w:p w14:paraId="033B77C5" w14:textId="53C37B6A"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Der Vers situiert die Verkündigung geografisch und historisch präzise. Die Ortsangaben erinnern an 3,29 und 4,3. Die Erwähnung des Sieges über Sichon (vgl. Kap. 2-3) unterstreicht, dass die </w:t>
      </w:r>
      <w:r w:rsidR="001E0205">
        <w:rPr>
          <w:rFonts w:eastAsia="Times New Roman"/>
          <w:lang w:eastAsia="de-DE"/>
        </w:rPr>
        <w:t>Torah</w:t>
      </w:r>
      <w:r w:rsidR="00D84597">
        <w:rPr>
          <w:rFonts w:eastAsia="Times New Roman"/>
          <w:lang w:eastAsia="de-DE"/>
        </w:rPr>
        <w:t>verkündigung</w:t>
      </w:r>
      <w:r w:rsidRPr="008D3E71">
        <w:rPr>
          <w:rFonts w:eastAsia="Times New Roman"/>
          <w:lang w:eastAsia="de-DE"/>
        </w:rPr>
        <w:t xml:space="preserve"> im bereits teilweise eroberten Land stattfindet.</w:t>
      </w:r>
    </w:p>
    <w:p w14:paraId="1B6E637C"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Satzstruktur ist eine Kette von Ortsangaben ohne finites Verb (syntaktisch von V. 45 abhängig): eine dreifache Ortsbestimmung, eine weitere Ortsangabe mit appositiver Titelangabe, ein Relativsatz mit partizipialem Prädikat und Ortsangabe, und ein zweiter Relativsatz mit Hifil-Perfekt-Prädikat, koordiniertem Subjekt und temporaler Infinitivkonstruktion. Die kumulative Struktur schafft eine präzise geografisch-historische Verortung.</w:t>
      </w:r>
    </w:p>
    <w:p w14:paraId="74EB5840" w14:textId="14FC18A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Der Vers lokalisiert die </w:t>
      </w:r>
      <w:r w:rsidR="001E0205">
        <w:rPr>
          <w:rFonts w:eastAsia="Times New Roman"/>
          <w:lang w:eastAsia="de-DE"/>
        </w:rPr>
        <w:t>Torah</w:t>
      </w:r>
      <w:r w:rsidR="00D84597">
        <w:rPr>
          <w:rFonts w:eastAsia="Times New Roman"/>
          <w:lang w:eastAsia="de-DE"/>
        </w:rPr>
        <w:t>verkündigung</w:t>
      </w:r>
      <w:r w:rsidRPr="008D3E71">
        <w:rPr>
          <w:rFonts w:eastAsia="Times New Roman"/>
          <w:lang w:eastAsia="de-DE"/>
        </w:rPr>
        <w:t xml:space="preserve"> genau: im Ostjordanland gegenüber Bet-Peor, im eroberten Land Sichons – eine historisch-geografische Situierung der folgenden Gesetzgebung.</w:t>
      </w:r>
    </w:p>
    <w:p w14:paraId="03A575AE"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4,47</w:t>
      </w:r>
    </w:p>
    <w:p w14:paraId="7DA0535F"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וַיִּֽירְשׁ֨וּ אֶת־אַרְצֹ֜ו וְאֶת־אֶ֣רֶץ׀ ע֣וֹג מֶֽלֶךְ־הַבָּשָׁ֗ן שְׁנֵי֙ מַלְכֵ֣י הָֽאֱמֹרִ֔י אֲשֶׁ֖ר בְּעֵ֣בֶר הַיַּרְדֵּ֑ן מִזְרַ֖ח שָֽׁמֶשׁ׃</w:t>
      </w:r>
    </w:p>
    <w:p w14:paraId="0AAB6870"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Und sie nahmen in Besitz sein Land und das Land Ogs, des Königs von Baschan, der zwei Könige der Emori, die jenseits des Jardens waren, gegen Aufgang der Sonne;</w:t>
      </w:r>
    </w:p>
    <w:p w14:paraId="6CD24D27"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17A4BAB8">
          <v:rect id="_x0000_i1183" style="width:0;height:1.5pt" o:hralign="center" o:hrstd="t" o:hr="t" fillcolor="#a0a0a0" stroked="f"/>
        </w:pict>
      </w:r>
    </w:p>
    <w:p w14:paraId="5AE6C169"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וַיִּירְשׁוּ אֶת־אַרְצוֹ וְאֶת־אֶרֶץ עוֹג מֶלֶךְ־הַבָּשָׁן</w:t>
      </w:r>
      <w:r w:rsidRPr="008D3E71">
        <w:rPr>
          <w:rFonts w:eastAsia="Times New Roman"/>
          <w:rtl/>
          <w:lang w:eastAsia="de-DE"/>
        </w:rPr>
        <w:t xml:space="preserve"> </w:t>
      </w:r>
      <w:r w:rsidRPr="008D3E71">
        <w:rPr>
          <w:rFonts w:eastAsia="Times New Roman"/>
          <w:lang w:eastAsia="de-DE"/>
        </w:rPr>
        <w:t xml:space="preserve">ist ein Hauptsatz: </w:t>
      </w:r>
      <w:r w:rsidRPr="008D3E71">
        <w:rPr>
          <w:rFonts w:eastAsia="Times New Roman"/>
          <w:b/>
          <w:bCs/>
          <w:rtl/>
          <w:lang w:eastAsia="de-DE"/>
        </w:rPr>
        <w:t>וַיִּירְשׁוּ</w:t>
      </w:r>
      <w:r w:rsidRPr="008D3E71">
        <w:rPr>
          <w:rFonts w:eastAsia="Times New Roman"/>
          <w:rtl/>
          <w:lang w:eastAsia="de-DE"/>
        </w:rPr>
        <w:t xml:space="preserve"> </w:t>
      </w:r>
      <w:r w:rsidRPr="008D3E71">
        <w:rPr>
          <w:rFonts w:eastAsia="Times New Roman"/>
          <w:lang w:eastAsia="de-DE"/>
        </w:rPr>
        <w:t xml:space="preserve">(Qal Imperfekt consecutivum, 3. Person Plural maskulin von </w:t>
      </w:r>
      <w:r w:rsidRPr="008D3E71">
        <w:rPr>
          <w:rFonts w:eastAsia="Times New Roman"/>
          <w:b/>
          <w:bCs/>
          <w:rtl/>
          <w:lang w:eastAsia="de-DE"/>
        </w:rPr>
        <w:t>ירשׁ</w:t>
      </w:r>
      <w:r w:rsidRPr="008D3E71">
        <w:rPr>
          <w:rFonts w:eastAsia="Times New Roman"/>
          <w:lang w:eastAsia="de-DE"/>
        </w:rPr>
        <w:t xml:space="preserve">, „in Besitz nehmen", mit Waw), </w:t>
      </w:r>
      <w:r w:rsidRPr="008D3E71">
        <w:rPr>
          <w:rFonts w:eastAsia="Times New Roman"/>
          <w:b/>
          <w:bCs/>
          <w:rtl/>
          <w:lang w:eastAsia="de-DE"/>
        </w:rPr>
        <w:t>אֶת־אַרְצוֹ</w:t>
      </w:r>
      <w:r w:rsidRPr="008D3E71">
        <w:rPr>
          <w:rFonts w:eastAsia="Times New Roman"/>
          <w:rtl/>
          <w:lang w:eastAsia="de-DE"/>
        </w:rPr>
        <w:t xml:space="preserve"> </w:t>
      </w:r>
      <w:r w:rsidRPr="008D3E71">
        <w:rPr>
          <w:rFonts w:eastAsia="Times New Roman"/>
          <w:lang w:eastAsia="de-DE"/>
        </w:rPr>
        <w:t>als erstes direktes Objekt (</w:t>
      </w:r>
      <w:r w:rsidRPr="008D3E71">
        <w:rPr>
          <w:rFonts w:eastAsia="Times New Roman"/>
          <w:b/>
          <w:bCs/>
          <w:rtl/>
          <w:lang w:eastAsia="de-DE"/>
        </w:rPr>
        <w:t>אֶרֶץ</w:t>
      </w:r>
      <w:r w:rsidRPr="008D3E71">
        <w:rPr>
          <w:rFonts w:eastAsia="Times New Roman"/>
          <w:rtl/>
          <w:lang w:eastAsia="de-DE"/>
        </w:rPr>
        <w:t xml:space="preserve"> </w:t>
      </w:r>
      <w:r w:rsidRPr="008D3E71">
        <w:rPr>
          <w:rFonts w:eastAsia="Times New Roman"/>
          <w:lang w:eastAsia="de-DE"/>
        </w:rPr>
        <w:t xml:space="preserve">mit Suffix 3. Person Singular maskulin, bezogen auf Sichon in V. 46), </w:t>
      </w:r>
      <w:r w:rsidRPr="008D3E71">
        <w:rPr>
          <w:rFonts w:eastAsia="Times New Roman"/>
          <w:b/>
          <w:bCs/>
          <w:rtl/>
          <w:lang w:eastAsia="de-DE"/>
        </w:rPr>
        <w:t>וְאֶת־אֶרֶץ עוֹג מֶלֶךְ־הַבָּשָׁן</w:t>
      </w:r>
      <w:r w:rsidRPr="008D3E71">
        <w:rPr>
          <w:rFonts w:eastAsia="Times New Roman"/>
          <w:rtl/>
          <w:lang w:eastAsia="de-DE"/>
        </w:rPr>
        <w:t xml:space="preserve"> </w:t>
      </w:r>
      <w:r w:rsidRPr="008D3E71">
        <w:rPr>
          <w:rFonts w:eastAsia="Times New Roman"/>
          <w:lang w:eastAsia="de-DE"/>
        </w:rPr>
        <w:t>als zweites koordiniertes direktes Objekt (</w:t>
      </w:r>
      <w:r w:rsidRPr="008D3E71">
        <w:rPr>
          <w:rFonts w:eastAsia="Times New Roman"/>
          <w:b/>
          <w:bCs/>
          <w:rtl/>
          <w:lang w:eastAsia="de-DE"/>
        </w:rPr>
        <w:t>אֶרֶץ</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עוֹג</w:t>
      </w:r>
      <w:r w:rsidRPr="008D3E71">
        <w:rPr>
          <w:rFonts w:eastAsia="Times New Roman"/>
          <w:rtl/>
          <w:lang w:eastAsia="de-DE"/>
        </w:rPr>
        <w:t xml:space="preserve"> </w:t>
      </w:r>
      <w:r w:rsidRPr="008D3E71">
        <w:rPr>
          <w:rFonts w:eastAsia="Times New Roman"/>
          <w:lang w:eastAsia="de-DE"/>
        </w:rPr>
        <w:t xml:space="preserve">und appositiver Titelangabe </w:t>
      </w:r>
      <w:r w:rsidRPr="008D3E71">
        <w:rPr>
          <w:rFonts w:eastAsia="Times New Roman"/>
          <w:b/>
          <w:bCs/>
          <w:rtl/>
          <w:lang w:eastAsia="de-DE"/>
        </w:rPr>
        <w:t>מֶלֶךְ־הַבָּשָׁן</w:t>
      </w:r>
      <w:r w:rsidRPr="008D3E71">
        <w:rPr>
          <w:rFonts w:eastAsia="Times New Roman"/>
          <w:rtl/>
          <w:lang w:eastAsia="de-DE"/>
        </w:rPr>
        <w:t xml:space="preserve"> </w:t>
      </w:r>
      <w:r w:rsidRPr="008D3E71">
        <w:rPr>
          <w:rFonts w:eastAsia="Times New Roman"/>
          <w:lang w:eastAsia="de-DE"/>
        </w:rPr>
        <w:t>im Construct).</w:t>
      </w:r>
    </w:p>
    <w:p w14:paraId="6196B6E1" w14:textId="456E2215"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שְׁנֵי מַלְכֵי הָאֱמֹרִי</w:t>
      </w:r>
      <w:r w:rsidRPr="008D3E71">
        <w:rPr>
          <w:rFonts w:eastAsia="Times New Roman"/>
          <w:rtl/>
          <w:lang w:eastAsia="de-DE"/>
        </w:rPr>
        <w:t xml:space="preserve"> </w:t>
      </w:r>
      <w:r w:rsidRPr="008D3E71">
        <w:rPr>
          <w:rFonts w:eastAsia="Times New Roman"/>
          <w:lang w:eastAsia="de-DE"/>
        </w:rPr>
        <w:t xml:space="preserve">ist eine appositionelle Zusammenfassung: </w:t>
      </w:r>
      <w:r w:rsidRPr="008D3E71">
        <w:rPr>
          <w:rFonts w:eastAsia="Times New Roman"/>
          <w:b/>
          <w:bCs/>
          <w:rtl/>
          <w:lang w:eastAsia="de-DE"/>
        </w:rPr>
        <w:t>שְׁנֵי</w:t>
      </w:r>
      <w:r w:rsidRPr="008D3E71">
        <w:rPr>
          <w:rFonts w:eastAsia="Times New Roman"/>
          <w:rtl/>
          <w:lang w:eastAsia="de-DE"/>
        </w:rPr>
        <w:t xml:space="preserve"> </w:t>
      </w:r>
      <w:r w:rsidRPr="008D3E71">
        <w:rPr>
          <w:rFonts w:eastAsia="Times New Roman"/>
          <w:lang w:eastAsia="de-DE"/>
        </w:rPr>
        <w:t xml:space="preserve">(Dual Construct von </w:t>
      </w:r>
      <w:r w:rsidRPr="008D3E71">
        <w:rPr>
          <w:rFonts w:eastAsia="Times New Roman"/>
          <w:b/>
          <w:bCs/>
          <w:rtl/>
          <w:lang w:eastAsia="de-DE"/>
        </w:rPr>
        <w:t>שְׁנַיִם</w:t>
      </w:r>
      <w:r w:rsidRPr="008D3E71">
        <w:rPr>
          <w:rFonts w:eastAsia="Times New Roman"/>
          <w:lang w:eastAsia="de-DE"/>
        </w:rPr>
        <w:t xml:space="preserve">, „zwei"), </w:t>
      </w:r>
      <w:r w:rsidRPr="008D3E71">
        <w:rPr>
          <w:rFonts w:eastAsia="Times New Roman"/>
          <w:b/>
          <w:bCs/>
          <w:rtl/>
          <w:lang w:eastAsia="de-DE"/>
        </w:rPr>
        <w:t>מַלְכֵי</w:t>
      </w:r>
      <w:r w:rsidRPr="008D3E71">
        <w:rPr>
          <w:rFonts w:eastAsia="Times New Roman"/>
          <w:rtl/>
          <w:lang w:eastAsia="de-DE"/>
        </w:rPr>
        <w:t xml:space="preserve"> </w:t>
      </w:r>
      <w:r w:rsidRPr="008D3E71">
        <w:rPr>
          <w:rFonts w:eastAsia="Times New Roman"/>
          <w:lang w:eastAsia="de-DE"/>
        </w:rPr>
        <w:t xml:space="preserve">(Plural Construct von </w:t>
      </w:r>
      <w:r w:rsidRPr="008D3E71">
        <w:rPr>
          <w:rFonts w:eastAsia="Times New Roman"/>
          <w:b/>
          <w:bCs/>
          <w:rtl/>
          <w:lang w:eastAsia="de-DE"/>
        </w:rPr>
        <w:t>מֶלֶךְ</w:t>
      </w:r>
      <w:r w:rsidRPr="008D3E71">
        <w:rPr>
          <w:rFonts w:eastAsia="Times New Roman"/>
          <w:lang w:eastAsia="de-DE"/>
        </w:rPr>
        <w:t xml:space="preserve">), </w:t>
      </w:r>
      <w:r w:rsidRPr="008D3E71">
        <w:rPr>
          <w:rFonts w:eastAsia="Times New Roman"/>
          <w:b/>
          <w:bCs/>
          <w:rtl/>
          <w:lang w:eastAsia="de-DE"/>
        </w:rPr>
        <w:t>הָאֱמֹרִי</w:t>
      </w:r>
      <w:r w:rsidRPr="008D3E71">
        <w:rPr>
          <w:rFonts w:eastAsia="Times New Roman"/>
          <w:rtl/>
          <w:lang w:eastAsia="de-DE"/>
        </w:rPr>
        <w:t xml:space="preserve"> </w:t>
      </w:r>
      <w:r w:rsidRPr="008D3E71">
        <w:rPr>
          <w:rFonts w:eastAsia="Times New Roman"/>
          <w:lang w:eastAsia="de-DE"/>
        </w:rPr>
        <w:t>(</w:t>
      </w:r>
      <w:r w:rsidR="00C13523">
        <w:rPr>
          <w:rFonts w:eastAsia="Times New Roman"/>
          <w:lang w:eastAsia="de-DE"/>
        </w:rPr>
        <w:t>Gentilicum</w:t>
      </w:r>
      <w:r w:rsidRPr="008D3E71">
        <w:rPr>
          <w:rFonts w:eastAsia="Times New Roman"/>
          <w:lang w:eastAsia="de-DE"/>
        </w:rPr>
        <w:t xml:space="preserve"> mit Artikel) – „die zwei Könige der Amoriter". </w:t>
      </w:r>
      <w:r w:rsidRPr="008D3E71">
        <w:rPr>
          <w:rFonts w:eastAsia="Times New Roman"/>
          <w:b/>
          <w:bCs/>
          <w:rtl/>
          <w:lang w:eastAsia="de-DE"/>
        </w:rPr>
        <w:t>אֲשֶׁר בְּעֵבֶר הַיַּרְדֵּן מִזְרַח שָׁמֶשׁ</w:t>
      </w:r>
      <w:r w:rsidRPr="008D3E71">
        <w:rPr>
          <w:rFonts w:eastAsia="Times New Roman"/>
          <w:rtl/>
          <w:lang w:eastAsia="de-DE"/>
        </w:rPr>
        <w:t xml:space="preserve"> </w:t>
      </w:r>
      <w:r w:rsidRPr="008D3E71">
        <w:rPr>
          <w:rFonts w:eastAsia="Times New Roman"/>
          <w:lang w:eastAsia="de-DE"/>
        </w:rPr>
        <w:t xml:space="preserve">ist ein Relativsatz: </w:t>
      </w:r>
      <w:r w:rsidRPr="008D3E71">
        <w:rPr>
          <w:rFonts w:eastAsia="Times New Roman"/>
          <w:b/>
          <w:bCs/>
          <w:rtl/>
          <w:lang w:eastAsia="de-DE"/>
        </w:rPr>
        <w:t>אֲשֶׁר</w:t>
      </w:r>
      <w:r w:rsidRPr="008D3E71">
        <w:rPr>
          <w:rFonts w:eastAsia="Times New Roman"/>
          <w:rtl/>
          <w:lang w:eastAsia="de-DE"/>
        </w:rPr>
        <w:t xml:space="preserve"> </w:t>
      </w:r>
      <w:r w:rsidRPr="008D3E71">
        <w:rPr>
          <w:rFonts w:eastAsia="Times New Roman"/>
          <w:lang w:eastAsia="de-DE"/>
        </w:rPr>
        <w:t xml:space="preserve">als Relativpronomen, </w:t>
      </w:r>
      <w:r w:rsidRPr="008D3E71">
        <w:rPr>
          <w:rFonts w:eastAsia="Times New Roman"/>
          <w:b/>
          <w:bCs/>
          <w:rtl/>
          <w:lang w:eastAsia="de-DE"/>
        </w:rPr>
        <w:t>בְּעֵבֶר הַיַּרְדֵּן</w:t>
      </w:r>
      <w:r w:rsidRPr="008D3E71">
        <w:rPr>
          <w:rFonts w:eastAsia="Times New Roman"/>
          <w:rtl/>
          <w:lang w:eastAsia="de-DE"/>
        </w:rPr>
        <w:t xml:space="preserve"> </w:t>
      </w:r>
      <w:r w:rsidRPr="008D3E71">
        <w:rPr>
          <w:rFonts w:eastAsia="Times New Roman"/>
          <w:lang w:eastAsia="de-DE"/>
        </w:rPr>
        <w:t xml:space="preserve">als Ortsangabe, </w:t>
      </w:r>
      <w:r w:rsidRPr="008D3E71">
        <w:rPr>
          <w:rFonts w:eastAsia="Times New Roman"/>
          <w:b/>
          <w:bCs/>
          <w:rtl/>
          <w:lang w:eastAsia="de-DE"/>
        </w:rPr>
        <w:t>מִזְרַח שָׁמֶשׁ</w:t>
      </w:r>
      <w:r w:rsidRPr="008D3E71">
        <w:rPr>
          <w:rFonts w:eastAsia="Times New Roman"/>
          <w:rtl/>
          <w:lang w:eastAsia="de-DE"/>
        </w:rPr>
        <w:t xml:space="preserve"> </w:t>
      </w:r>
      <w:r w:rsidRPr="008D3E71">
        <w:rPr>
          <w:rFonts w:eastAsia="Times New Roman"/>
          <w:lang w:eastAsia="de-DE"/>
        </w:rPr>
        <w:t>als Richtungsangabe (</w:t>
      </w:r>
      <w:r w:rsidRPr="008D3E71">
        <w:rPr>
          <w:rFonts w:eastAsia="Times New Roman"/>
          <w:b/>
          <w:bCs/>
          <w:rtl/>
          <w:lang w:eastAsia="de-DE"/>
        </w:rPr>
        <w:t>מִזְרָח</w:t>
      </w:r>
      <w:r w:rsidRPr="008D3E71">
        <w:rPr>
          <w:rFonts w:eastAsia="Times New Roman"/>
          <w:lang w:eastAsia="de-DE"/>
        </w:rPr>
        <w:t xml:space="preserve">, „Osten, Aufgang", mit </w:t>
      </w:r>
      <w:r w:rsidRPr="008D3E71">
        <w:rPr>
          <w:rFonts w:eastAsia="Times New Roman"/>
          <w:b/>
          <w:bCs/>
          <w:rtl/>
          <w:lang w:eastAsia="de-DE"/>
        </w:rPr>
        <w:t>שֶׁמֶשׁ</w:t>
      </w:r>
      <w:r w:rsidRPr="008D3E71">
        <w:rPr>
          <w:rFonts w:eastAsia="Times New Roman"/>
          <w:rtl/>
          <w:lang w:eastAsia="de-DE"/>
        </w:rPr>
        <w:t xml:space="preserve"> </w:t>
      </w:r>
      <w:r w:rsidRPr="008D3E71">
        <w:rPr>
          <w:rFonts w:eastAsia="Times New Roman"/>
          <w:lang w:eastAsia="de-DE"/>
        </w:rPr>
        <w:t>in genitivischem Verhältnis – „Aufgang der Sonne, Osten").</w:t>
      </w:r>
    </w:p>
    <w:p w14:paraId="6DF2B87E"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Der Vers fasst die Landeroberung im Ostjordanland zusammen, die in Kapitel 2-3 ausführlich beschrieben wurde. Die Bezeichnung </w:t>
      </w:r>
      <w:r w:rsidRPr="008D3E71">
        <w:rPr>
          <w:rFonts w:eastAsia="Times New Roman"/>
          <w:b/>
          <w:bCs/>
          <w:rtl/>
          <w:lang w:eastAsia="de-DE"/>
        </w:rPr>
        <w:t>שְׁנֵי מַלְכֵי הָאֱמֹרִי</w:t>
      </w:r>
      <w:r w:rsidRPr="008D3E71">
        <w:rPr>
          <w:rFonts w:eastAsia="Times New Roman"/>
          <w:rtl/>
          <w:lang w:eastAsia="de-DE"/>
        </w:rPr>
        <w:t xml:space="preserve"> </w:t>
      </w:r>
      <w:r w:rsidRPr="008D3E71">
        <w:rPr>
          <w:rFonts w:eastAsia="Times New Roman"/>
          <w:lang w:eastAsia="de-DE"/>
        </w:rPr>
        <w:t xml:space="preserve">subsumiert Sichon und Og unter einer gemeinsamen ethnischen Kategorie. Die Wendung </w:t>
      </w:r>
      <w:r w:rsidRPr="008D3E71">
        <w:rPr>
          <w:rFonts w:eastAsia="Times New Roman"/>
          <w:b/>
          <w:bCs/>
          <w:rtl/>
          <w:lang w:eastAsia="de-DE"/>
        </w:rPr>
        <w:t>מִזְרַח שָׁמֶשׁ</w:t>
      </w:r>
      <w:r w:rsidRPr="008D3E71">
        <w:rPr>
          <w:rFonts w:eastAsia="Times New Roman"/>
          <w:rtl/>
          <w:lang w:eastAsia="de-DE"/>
        </w:rPr>
        <w:t xml:space="preserve"> </w:t>
      </w:r>
      <w:r w:rsidRPr="008D3E71">
        <w:rPr>
          <w:rFonts w:eastAsia="Times New Roman"/>
          <w:lang w:eastAsia="de-DE"/>
        </w:rPr>
        <w:t xml:space="preserve">ist poetischer als das einfachere </w:t>
      </w:r>
      <w:r w:rsidRPr="008D3E71">
        <w:rPr>
          <w:rFonts w:eastAsia="Times New Roman"/>
          <w:b/>
          <w:bCs/>
          <w:rtl/>
          <w:lang w:eastAsia="de-DE"/>
        </w:rPr>
        <w:t>מִזְרְחָה</w:t>
      </w:r>
      <w:r w:rsidRPr="008D3E71">
        <w:rPr>
          <w:rFonts w:eastAsia="Times New Roman"/>
          <w:rtl/>
          <w:lang w:eastAsia="de-DE"/>
        </w:rPr>
        <w:t xml:space="preserve"> </w:t>
      </w:r>
      <w:r w:rsidRPr="008D3E71">
        <w:rPr>
          <w:rFonts w:eastAsia="Times New Roman"/>
          <w:lang w:eastAsia="de-DE"/>
        </w:rPr>
        <w:t>in V. 41.</w:t>
      </w:r>
    </w:p>
    <w:p w14:paraId="139CA30D"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lastRenderedPageBreak/>
        <w:t xml:space="preserve">Die Satzstruktur ist ein Hauptsatz mit Prädikat und zweigliedriger koordinierter Objektkette (die zweite mit appositiver Titelangabe), einer appositiven Zusammenfassung in Construct-Verbindung, und einem Relativsatz mit zwei Ortsbestimmungen. Die Struktur </w:t>
      </w:r>
      <w:proofErr w:type="spellStart"/>
      <w:r w:rsidRPr="008D3E71">
        <w:rPr>
          <w:rFonts w:eastAsia="Times New Roman"/>
          <w:lang w:eastAsia="de-DE"/>
        </w:rPr>
        <w:t>resumiert</w:t>
      </w:r>
      <w:proofErr w:type="spellEnd"/>
      <w:r w:rsidRPr="008D3E71">
        <w:rPr>
          <w:rFonts w:eastAsia="Times New Roman"/>
          <w:lang w:eastAsia="de-DE"/>
        </w:rPr>
        <w:t xml:space="preserve"> die vorherige Eroberungserzählung.</w:t>
      </w:r>
    </w:p>
    <w:p w14:paraId="7B27E523" w14:textId="751E5482"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Der Vers </w:t>
      </w:r>
      <w:r w:rsidR="00D84597" w:rsidRPr="008D3E71">
        <w:rPr>
          <w:rFonts w:eastAsia="Times New Roman"/>
          <w:lang w:eastAsia="de-DE"/>
        </w:rPr>
        <w:t>resümiert</w:t>
      </w:r>
      <w:r w:rsidRPr="008D3E71">
        <w:rPr>
          <w:rFonts w:eastAsia="Times New Roman"/>
          <w:lang w:eastAsia="de-DE"/>
        </w:rPr>
        <w:t xml:space="preserve"> die Eroberung des Ostjordanlandes: Israel nahm das Land der beiden Amoriterkönige Sichon und Og östlich des Jordans in Besitz.</w:t>
      </w:r>
    </w:p>
    <w:p w14:paraId="448E717E"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4,48</w:t>
      </w:r>
    </w:p>
    <w:p w14:paraId="27A4B954"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מֵעֲרֹעֵ֞ר אֲשֶׁ֨ר עַל־שְׂפַת־נַ֧חַל אַרְנֹ֛ן וְעַד־הַ֥ר שִׂיאֹ֖ן ה֥וּא חֶרְמֽוֹן׃</w:t>
      </w:r>
    </w:p>
    <w:p w14:paraId="75669B16"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von Aroer an, das am Ufer des Baches Arnon liegt, und bis an den Berg Si'on, das ist der Chermon;</w:t>
      </w:r>
    </w:p>
    <w:p w14:paraId="7C589772"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259BE49C">
          <v:rect id="_x0000_i1184" style="width:0;height:1.5pt" o:hralign="center" o:hrstd="t" o:hr="t" fillcolor="#a0a0a0" stroked="f"/>
        </w:pict>
      </w:r>
    </w:p>
    <w:p w14:paraId="6DB6E560"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מֵעֲרֹעֵר אֲשֶׁר עַל־שְׂפַת־נַחַל אַרְנֹן</w:t>
      </w:r>
      <w:r w:rsidRPr="008D3E71">
        <w:rPr>
          <w:rFonts w:eastAsia="Times New Roman"/>
          <w:rtl/>
          <w:lang w:eastAsia="de-DE"/>
        </w:rPr>
        <w:t xml:space="preserve"> </w:t>
      </w:r>
      <w:r w:rsidRPr="008D3E71">
        <w:rPr>
          <w:rFonts w:eastAsia="Times New Roman"/>
          <w:lang w:eastAsia="de-DE"/>
        </w:rPr>
        <w:t xml:space="preserve">ist eine Ausgangspunktbestimmung: </w:t>
      </w:r>
      <w:r w:rsidRPr="008D3E71">
        <w:rPr>
          <w:rFonts w:eastAsia="Times New Roman"/>
          <w:b/>
          <w:bCs/>
          <w:rtl/>
          <w:lang w:eastAsia="de-DE"/>
        </w:rPr>
        <w:t>מֵעֲרֹעֵר</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מִן</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עֲרֹעֵר</w:t>
      </w:r>
      <w:r w:rsidRPr="008D3E71">
        <w:rPr>
          <w:rFonts w:eastAsia="Times New Roman"/>
          <w:lang w:eastAsia="de-DE"/>
        </w:rPr>
        <w:t xml:space="preserve">, Ortsname), </w:t>
      </w:r>
      <w:r w:rsidRPr="008D3E71">
        <w:rPr>
          <w:rFonts w:eastAsia="Times New Roman"/>
          <w:b/>
          <w:bCs/>
          <w:rtl/>
          <w:lang w:eastAsia="de-DE"/>
        </w:rPr>
        <w:t>אֲשֶׁר עַל־שְׂפַת־נַחַל אַרְנֹן</w:t>
      </w:r>
      <w:r w:rsidRPr="008D3E71">
        <w:rPr>
          <w:rFonts w:eastAsia="Times New Roman"/>
          <w:rtl/>
          <w:lang w:eastAsia="de-DE"/>
        </w:rPr>
        <w:t xml:space="preserve"> </w:t>
      </w:r>
      <w:r w:rsidRPr="008D3E71">
        <w:rPr>
          <w:rFonts w:eastAsia="Times New Roman"/>
          <w:lang w:eastAsia="de-DE"/>
        </w:rPr>
        <w:t>als Relativsatz (</w:t>
      </w:r>
      <w:r w:rsidRPr="008D3E71">
        <w:rPr>
          <w:rFonts w:eastAsia="Times New Roman"/>
          <w:b/>
          <w:bCs/>
          <w:rtl/>
          <w:lang w:eastAsia="de-DE"/>
        </w:rPr>
        <w:t>אֲשֶׁר</w:t>
      </w:r>
      <w:r w:rsidRPr="008D3E71">
        <w:rPr>
          <w:rFonts w:eastAsia="Times New Roman"/>
          <w:lang w:eastAsia="de-DE"/>
        </w:rPr>
        <w:t xml:space="preserve">, </w:t>
      </w:r>
      <w:r w:rsidRPr="008D3E71">
        <w:rPr>
          <w:rFonts w:eastAsia="Times New Roman"/>
          <w:b/>
          <w:bCs/>
          <w:rtl/>
          <w:lang w:eastAsia="de-DE"/>
        </w:rPr>
        <w:t>עַל</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שְׂפַת</w:t>
      </w:r>
      <w:r w:rsidRPr="008D3E71">
        <w:rPr>
          <w:rFonts w:eastAsia="Times New Roman"/>
          <w:lang w:eastAsia="de-DE"/>
        </w:rPr>
        <w:t xml:space="preserve">, „Ufer, Rand", im Construct mit </w:t>
      </w:r>
      <w:r w:rsidRPr="008D3E71">
        <w:rPr>
          <w:rFonts w:eastAsia="Times New Roman"/>
          <w:b/>
          <w:bCs/>
          <w:rtl/>
          <w:lang w:eastAsia="de-DE"/>
        </w:rPr>
        <w:t>נַחַל אַרְנֹן</w:t>
      </w:r>
      <w:r w:rsidRPr="008D3E71">
        <w:rPr>
          <w:rFonts w:eastAsia="Times New Roman"/>
          <w:rtl/>
          <w:lang w:eastAsia="de-DE"/>
        </w:rPr>
        <w:t xml:space="preserve"> </w:t>
      </w:r>
      <w:r w:rsidRPr="008D3E71">
        <w:rPr>
          <w:rFonts w:eastAsia="Times New Roman"/>
          <w:lang w:eastAsia="de-DE"/>
        </w:rPr>
        <w:t xml:space="preserve">– </w:t>
      </w:r>
      <w:r w:rsidRPr="008D3E71">
        <w:rPr>
          <w:rFonts w:eastAsia="Times New Roman"/>
          <w:b/>
          <w:bCs/>
          <w:rtl/>
          <w:lang w:eastAsia="de-DE"/>
        </w:rPr>
        <w:t>נַחַל</w:t>
      </w:r>
      <w:r w:rsidRPr="008D3E71">
        <w:rPr>
          <w:rFonts w:eastAsia="Times New Roman"/>
          <w:lang w:eastAsia="de-DE"/>
        </w:rPr>
        <w:t xml:space="preserve">, „Bach, Fluss", im Construct mit </w:t>
      </w:r>
      <w:r w:rsidRPr="008D3E71">
        <w:rPr>
          <w:rFonts w:eastAsia="Times New Roman"/>
          <w:b/>
          <w:bCs/>
          <w:rtl/>
          <w:lang w:eastAsia="de-DE"/>
        </w:rPr>
        <w:t>אַרְנֹן</w:t>
      </w:r>
      <w:r w:rsidRPr="008D3E71">
        <w:rPr>
          <w:rFonts w:eastAsia="Times New Roman"/>
          <w:lang w:eastAsia="de-DE"/>
        </w:rPr>
        <w:t>, Flussname).</w:t>
      </w:r>
    </w:p>
    <w:p w14:paraId="1C8A828C"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וְעַד־הַר שִׂיאֹן הוּא חֶרְמוֹן</w:t>
      </w:r>
      <w:r w:rsidRPr="008D3E71">
        <w:rPr>
          <w:rFonts w:eastAsia="Times New Roman"/>
          <w:rtl/>
          <w:lang w:eastAsia="de-DE"/>
        </w:rPr>
        <w:t xml:space="preserve"> </w:t>
      </w:r>
      <w:r w:rsidRPr="008D3E71">
        <w:rPr>
          <w:rFonts w:eastAsia="Times New Roman"/>
          <w:lang w:eastAsia="de-DE"/>
        </w:rPr>
        <w:t xml:space="preserve">ist die Endpunktbestimmung: </w:t>
      </w:r>
      <w:r w:rsidRPr="008D3E71">
        <w:rPr>
          <w:rFonts w:eastAsia="Times New Roman"/>
          <w:b/>
          <w:bCs/>
          <w:rtl/>
          <w:lang w:eastAsia="de-DE"/>
        </w:rPr>
        <w:t>וְעַד</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וְ</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עַד</w:t>
      </w:r>
      <w:r w:rsidRPr="008D3E71">
        <w:rPr>
          <w:rFonts w:eastAsia="Times New Roman"/>
          <w:lang w:eastAsia="de-DE"/>
        </w:rPr>
        <w:t xml:space="preserve">, „bis"), </w:t>
      </w:r>
      <w:r w:rsidRPr="008D3E71">
        <w:rPr>
          <w:rFonts w:eastAsia="Times New Roman"/>
          <w:b/>
          <w:bCs/>
          <w:rtl/>
          <w:lang w:eastAsia="de-DE"/>
        </w:rPr>
        <w:t>הַר שִׂיאֹן</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הַר</w:t>
      </w:r>
      <w:r w:rsidRPr="008D3E71">
        <w:rPr>
          <w:rFonts w:eastAsia="Times New Roman"/>
          <w:lang w:eastAsia="de-DE"/>
        </w:rPr>
        <w:t xml:space="preserve">, „Berg", im Construct mit </w:t>
      </w:r>
      <w:r w:rsidRPr="008D3E71">
        <w:rPr>
          <w:rFonts w:eastAsia="Times New Roman"/>
          <w:b/>
          <w:bCs/>
          <w:rtl/>
          <w:lang w:eastAsia="de-DE"/>
        </w:rPr>
        <w:t>שִׂיאֹן</w:t>
      </w:r>
      <w:r w:rsidRPr="008D3E71">
        <w:rPr>
          <w:rFonts w:eastAsia="Times New Roman"/>
          <w:lang w:eastAsia="de-DE"/>
        </w:rPr>
        <w:t xml:space="preserve">, Bergname), </w:t>
      </w:r>
      <w:r w:rsidRPr="008D3E71">
        <w:rPr>
          <w:rFonts w:eastAsia="Times New Roman"/>
          <w:b/>
          <w:bCs/>
          <w:rtl/>
          <w:lang w:eastAsia="de-DE"/>
        </w:rPr>
        <w:t>הוּא חֶרְמוֹן</w:t>
      </w:r>
      <w:r w:rsidRPr="008D3E71">
        <w:rPr>
          <w:rFonts w:eastAsia="Times New Roman"/>
          <w:rtl/>
          <w:lang w:eastAsia="de-DE"/>
        </w:rPr>
        <w:t xml:space="preserve"> </w:t>
      </w:r>
      <w:r w:rsidRPr="008D3E71">
        <w:rPr>
          <w:rFonts w:eastAsia="Times New Roman"/>
          <w:lang w:eastAsia="de-DE"/>
        </w:rPr>
        <w:t>als appositionelle Identifikation (</w:t>
      </w:r>
      <w:r w:rsidRPr="008D3E71">
        <w:rPr>
          <w:rFonts w:eastAsia="Times New Roman"/>
          <w:b/>
          <w:bCs/>
          <w:rtl/>
          <w:lang w:eastAsia="de-DE"/>
        </w:rPr>
        <w:t>הוּא</w:t>
      </w:r>
      <w:r w:rsidRPr="008D3E71">
        <w:rPr>
          <w:rFonts w:eastAsia="Times New Roman"/>
          <w:rtl/>
          <w:lang w:eastAsia="de-DE"/>
        </w:rPr>
        <w:t xml:space="preserve"> </w:t>
      </w:r>
      <w:r w:rsidRPr="008D3E71">
        <w:rPr>
          <w:rFonts w:eastAsia="Times New Roman"/>
          <w:lang w:eastAsia="de-DE"/>
        </w:rPr>
        <w:t xml:space="preserve">als kopulatives Pronomen, </w:t>
      </w:r>
      <w:r w:rsidRPr="008D3E71">
        <w:rPr>
          <w:rFonts w:eastAsia="Times New Roman"/>
          <w:b/>
          <w:bCs/>
          <w:rtl/>
          <w:lang w:eastAsia="de-DE"/>
        </w:rPr>
        <w:t>חֶרְמוֹן</w:t>
      </w:r>
      <w:r w:rsidRPr="008D3E71">
        <w:rPr>
          <w:rFonts w:eastAsia="Times New Roman"/>
          <w:rtl/>
          <w:lang w:eastAsia="de-DE"/>
        </w:rPr>
        <w:t xml:space="preserve"> </w:t>
      </w:r>
      <w:r w:rsidRPr="008D3E71">
        <w:rPr>
          <w:rFonts w:eastAsia="Times New Roman"/>
          <w:lang w:eastAsia="de-DE"/>
        </w:rPr>
        <w:t xml:space="preserve">als Bergname – „das ist der Hermon"). Der Name </w:t>
      </w:r>
      <w:r w:rsidRPr="008D3E71">
        <w:rPr>
          <w:rFonts w:eastAsia="Times New Roman"/>
          <w:b/>
          <w:bCs/>
          <w:rtl/>
          <w:lang w:eastAsia="de-DE"/>
        </w:rPr>
        <w:t>שִׂיאֹן</w:t>
      </w:r>
      <w:r w:rsidRPr="008D3E71">
        <w:rPr>
          <w:rFonts w:eastAsia="Times New Roman"/>
          <w:rtl/>
          <w:lang w:eastAsia="de-DE"/>
        </w:rPr>
        <w:t xml:space="preserve"> </w:t>
      </w:r>
      <w:r w:rsidRPr="008D3E71">
        <w:rPr>
          <w:rFonts w:eastAsia="Times New Roman"/>
          <w:lang w:eastAsia="de-DE"/>
        </w:rPr>
        <w:t>ist eine alternative Bezeichnung für den Hermon (vgl. 3,9, wo andere Namen genannt werden).</w:t>
      </w:r>
    </w:p>
    <w:p w14:paraId="08BEF347"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Der Vers definiert die Südgrenze (Arnon) und die Nordgrenze (Hermon/Si'on) des eroberten ostjordanischen Territoriums. Die Identifikation </w:t>
      </w:r>
      <w:r w:rsidRPr="008D3E71">
        <w:rPr>
          <w:rFonts w:eastAsia="Times New Roman"/>
          <w:b/>
          <w:bCs/>
          <w:rtl/>
          <w:lang w:eastAsia="de-DE"/>
        </w:rPr>
        <w:t>הוּא חֶרְמוֹן</w:t>
      </w:r>
      <w:r w:rsidRPr="008D3E71">
        <w:rPr>
          <w:rFonts w:eastAsia="Times New Roman"/>
          <w:rtl/>
          <w:lang w:eastAsia="de-DE"/>
        </w:rPr>
        <w:t xml:space="preserve"> </w:t>
      </w:r>
      <w:r w:rsidRPr="008D3E71">
        <w:rPr>
          <w:rFonts w:eastAsia="Times New Roman"/>
          <w:lang w:eastAsia="de-DE"/>
        </w:rPr>
        <w:t>klärt die Synonymität der Namen.</w:t>
      </w:r>
    </w:p>
    <w:p w14:paraId="2087AA09"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Satzstruktur besteht aus einer Ausgangspunktbestimmung mit Relativsatz (der die genaue Lage präzisiert) und einer Endpunktbestimmung mit appositiver Identifikation. Die Struktur ist geografisch-deskriptiv und markiert die Nord-Süd-Ausdehnung des Gebiets.</w:t>
      </w:r>
    </w:p>
    <w:p w14:paraId="0F92DA70"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Der Vers definiert die Nord-Süd-Ausdehnung des ostjordanischen Territoriums: vom Arnon im Süden bis zum Hermon (auch Si'on genannt) im Norden.</w:t>
      </w:r>
    </w:p>
    <w:p w14:paraId="0FD2B2E3"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4,49</w:t>
      </w:r>
    </w:p>
    <w:p w14:paraId="21256AC9"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וְכָל־הָ֨עֲרָבָ֜ה עֵ֤בֶר הַיַּרְדֵּן֙ מִזְרָ֔חָה וְעַ֖ד יָ֣ם הָעֲרָבָ֑ה תַּ֖חַת אַשְׁדֹּ֥ת הַפִּסְגָּֽה׃</w:t>
      </w:r>
    </w:p>
    <w:p w14:paraId="337E5CF7"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und die ganze Ebene jenseits des Jardens, gegen Osten, und bis an das Meer der Ebene, unterhalb der Abhänge des Pisga.</w:t>
      </w:r>
    </w:p>
    <w:p w14:paraId="11C12F33"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689DFE40">
          <v:rect id="_x0000_i1185" style="width:0;height:1.5pt" o:hralign="center" o:hrstd="t" o:hr="t" fillcolor="#a0a0a0" stroked="f"/>
        </w:pict>
      </w:r>
    </w:p>
    <w:p w14:paraId="3B3C653C"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וְכָל־הָעֲרָבָה עֵבֶר הַיַּרְדֵּן מִזְרָחָה</w:t>
      </w:r>
      <w:r w:rsidRPr="008D3E71">
        <w:rPr>
          <w:rFonts w:eastAsia="Times New Roman"/>
          <w:rtl/>
          <w:lang w:eastAsia="de-DE"/>
        </w:rPr>
        <w:t xml:space="preserve"> </w:t>
      </w:r>
      <w:r w:rsidRPr="008D3E71">
        <w:rPr>
          <w:rFonts w:eastAsia="Times New Roman"/>
          <w:lang w:eastAsia="de-DE"/>
        </w:rPr>
        <w:t xml:space="preserve">ist eine weitere Gebietsangabe: </w:t>
      </w:r>
      <w:r w:rsidRPr="008D3E71">
        <w:rPr>
          <w:rFonts w:eastAsia="Times New Roman"/>
          <w:b/>
          <w:bCs/>
          <w:rtl/>
          <w:lang w:eastAsia="de-DE"/>
        </w:rPr>
        <w:t>וְכָל־הָעֲרָבָה</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וְ</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כָל</w:t>
      </w:r>
      <w:r w:rsidRPr="008D3E71">
        <w:rPr>
          <w:rFonts w:eastAsia="Times New Roman"/>
          <w:rtl/>
          <w:lang w:eastAsia="de-DE"/>
        </w:rPr>
        <w:t xml:space="preserve"> </w:t>
      </w:r>
      <w:r w:rsidRPr="008D3E71">
        <w:rPr>
          <w:rFonts w:eastAsia="Times New Roman"/>
          <w:lang w:eastAsia="de-DE"/>
        </w:rPr>
        <w:t xml:space="preserve">im Construct und </w:t>
      </w:r>
      <w:r w:rsidRPr="008D3E71">
        <w:rPr>
          <w:rFonts w:eastAsia="Times New Roman"/>
          <w:b/>
          <w:bCs/>
          <w:rtl/>
          <w:lang w:eastAsia="de-DE"/>
        </w:rPr>
        <w:t>הָעֲרָבָה</w:t>
      </w:r>
      <w:r w:rsidRPr="008D3E71">
        <w:rPr>
          <w:rFonts w:eastAsia="Times New Roman"/>
          <w:lang w:eastAsia="de-DE"/>
        </w:rPr>
        <w:t xml:space="preserve">, „die Araba, die Steppenebene", mit Artikel), </w:t>
      </w:r>
      <w:r w:rsidRPr="008D3E71">
        <w:rPr>
          <w:rFonts w:eastAsia="Times New Roman"/>
          <w:b/>
          <w:bCs/>
          <w:rtl/>
          <w:lang w:eastAsia="de-DE"/>
        </w:rPr>
        <w:t>עֵבֶר הַיַּרְדֵּן</w:t>
      </w:r>
      <w:r w:rsidRPr="008D3E71">
        <w:rPr>
          <w:rFonts w:eastAsia="Times New Roman"/>
          <w:rtl/>
          <w:lang w:eastAsia="de-DE"/>
        </w:rPr>
        <w:t xml:space="preserve"> </w:t>
      </w:r>
      <w:r w:rsidRPr="008D3E71">
        <w:rPr>
          <w:rFonts w:eastAsia="Times New Roman"/>
          <w:lang w:eastAsia="de-DE"/>
        </w:rPr>
        <w:t xml:space="preserve">als nähere </w:t>
      </w:r>
      <w:r w:rsidRPr="008D3E71">
        <w:rPr>
          <w:rFonts w:eastAsia="Times New Roman"/>
          <w:lang w:eastAsia="de-DE"/>
        </w:rPr>
        <w:lastRenderedPageBreak/>
        <w:t xml:space="preserve">Ortsbestimmung (ohne Präposition, im Construct-Verhältnis oder als appositiv), </w:t>
      </w:r>
      <w:r w:rsidRPr="008D3E71">
        <w:rPr>
          <w:rFonts w:eastAsia="Times New Roman"/>
          <w:b/>
          <w:bCs/>
          <w:rtl/>
          <w:lang w:eastAsia="de-DE"/>
        </w:rPr>
        <w:t>מִזְרָחָה</w:t>
      </w:r>
      <w:r w:rsidRPr="008D3E71">
        <w:rPr>
          <w:rFonts w:eastAsia="Times New Roman"/>
          <w:rtl/>
          <w:lang w:eastAsia="de-DE"/>
        </w:rPr>
        <w:t xml:space="preserve"> </w:t>
      </w:r>
      <w:r w:rsidRPr="008D3E71">
        <w:rPr>
          <w:rFonts w:eastAsia="Times New Roman"/>
          <w:lang w:eastAsia="de-DE"/>
        </w:rPr>
        <w:t>als Richtungsadverb (</w:t>
      </w:r>
      <w:r w:rsidRPr="008D3E71">
        <w:rPr>
          <w:rFonts w:eastAsia="Times New Roman"/>
          <w:b/>
          <w:bCs/>
          <w:rtl/>
          <w:lang w:eastAsia="de-DE"/>
        </w:rPr>
        <w:t>מִזְרָח</w:t>
      </w:r>
      <w:r w:rsidRPr="008D3E71">
        <w:rPr>
          <w:rFonts w:eastAsia="Times New Roman"/>
          <w:rtl/>
          <w:lang w:eastAsia="de-DE"/>
        </w:rPr>
        <w:t xml:space="preserve"> </w:t>
      </w:r>
      <w:r w:rsidRPr="008D3E71">
        <w:rPr>
          <w:rFonts w:eastAsia="Times New Roman"/>
          <w:lang w:eastAsia="de-DE"/>
        </w:rPr>
        <w:t>mit direktionalem He – „ostwärts, gegen Osten").</w:t>
      </w:r>
    </w:p>
    <w:p w14:paraId="170480FF"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וְעַד יָם הָעֲרָבָה</w:t>
      </w:r>
      <w:r w:rsidRPr="008D3E71">
        <w:rPr>
          <w:rFonts w:eastAsia="Times New Roman"/>
          <w:rtl/>
          <w:lang w:eastAsia="de-DE"/>
        </w:rPr>
        <w:t xml:space="preserve"> </w:t>
      </w:r>
      <w:r w:rsidRPr="008D3E71">
        <w:rPr>
          <w:rFonts w:eastAsia="Times New Roman"/>
          <w:lang w:eastAsia="de-DE"/>
        </w:rPr>
        <w:t xml:space="preserve">ist die Westgrenze: </w:t>
      </w:r>
      <w:r w:rsidRPr="008D3E71">
        <w:rPr>
          <w:rFonts w:eastAsia="Times New Roman"/>
          <w:b/>
          <w:bCs/>
          <w:rtl/>
          <w:lang w:eastAsia="de-DE"/>
        </w:rPr>
        <w:t>וְעַד</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וְ</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עַד</w:t>
      </w:r>
      <w:r w:rsidRPr="008D3E71">
        <w:rPr>
          <w:rFonts w:eastAsia="Times New Roman"/>
          <w:lang w:eastAsia="de-DE"/>
        </w:rPr>
        <w:t xml:space="preserve">, „bis"), </w:t>
      </w:r>
      <w:r w:rsidRPr="008D3E71">
        <w:rPr>
          <w:rFonts w:eastAsia="Times New Roman"/>
          <w:b/>
          <w:bCs/>
          <w:rtl/>
          <w:lang w:eastAsia="de-DE"/>
        </w:rPr>
        <w:t>יָם הָעֲרָבָה</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יָם</w:t>
      </w:r>
      <w:r w:rsidRPr="008D3E71">
        <w:rPr>
          <w:rFonts w:eastAsia="Times New Roman"/>
          <w:lang w:eastAsia="de-DE"/>
        </w:rPr>
        <w:t xml:space="preserve">, „Meer", im Construct mit </w:t>
      </w:r>
      <w:r w:rsidRPr="008D3E71">
        <w:rPr>
          <w:rFonts w:eastAsia="Times New Roman"/>
          <w:b/>
          <w:bCs/>
          <w:rtl/>
          <w:lang w:eastAsia="de-DE"/>
        </w:rPr>
        <w:t>הָעֲרָבָה</w:t>
      </w:r>
      <w:r w:rsidRPr="008D3E71">
        <w:rPr>
          <w:rFonts w:eastAsia="Times New Roman"/>
          <w:rtl/>
          <w:lang w:eastAsia="de-DE"/>
        </w:rPr>
        <w:t xml:space="preserve"> </w:t>
      </w:r>
      <w:r w:rsidRPr="008D3E71">
        <w:rPr>
          <w:rFonts w:eastAsia="Times New Roman"/>
          <w:lang w:eastAsia="de-DE"/>
        </w:rPr>
        <w:t xml:space="preserve">– „das Meer der Araba", d.h. das Tote Meer). </w:t>
      </w:r>
      <w:r w:rsidRPr="008D3E71">
        <w:rPr>
          <w:rFonts w:eastAsia="Times New Roman"/>
          <w:b/>
          <w:bCs/>
          <w:rtl/>
          <w:lang w:eastAsia="de-DE"/>
        </w:rPr>
        <w:t>תַּחַת אַשְׁדֹּת הַפִּסְגָּה</w:t>
      </w:r>
      <w:r w:rsidRPr="008D3E71">
        <w:rPr>
          <w:rFonts w:eastAsia="Times New Roman"/>
          <w:rtl/>
          <w:lang w:eastAsia="de-DE"/>
        </w:rPr>
        <w:t xml:space="preserve"> </w:t>
      </w:r>
      <w:r w:rsidRPr="008D3E71">
        <w:rPr>
          <w:rFonts w:eastAsia="Times New Roman"/>
          <w:lang w:eastAsia="de-DE"/>
        </w:rPr>
        <w:t xml:space="preserve">ist eine Lageangabe: </w:t>
      </w:r>
      <w:r w:rsidRPr="008D3E71">
        <w:rPr>
          <w:rFonts w:eastAsia="Times New Roman"/>
          <w:b/>
          <w:bCs/>
          <w:rtl/>
          <w:lang w:eastAsia="de-DE"/>
        </w:rPr>
        <w:t>תַּחַת</w:t>
      </w:r>
      <w:r w:rsidRPr="008D3E71">
        <w:rPr>
          <w:rFonts w:eastAsia="Times New Roman"/>
          <w:rtl/>
          <w:lang w:eastAsia="de-DE"/>
        </w:rPr>
        <w:t xml:space="preserve"> </w:t>
      </w:r>
      <w:r w:rsidRPr="008D3E71">
        <w:rPr>
          <w:rFonts w:eastAsia="Times New Roman"/>
          <w:lang w:eastAsia="de-DE"/>
        </w:rPr>
        <w:t xml:space="preserve">(„unterhalb") mit </w:t>
      </w:r>
      <w:r w:rsidRPr="008D3E71">
        <w:rPr>
          <w:rFonts w:eastAsia="Times New Roman"/>
          <w:b/>
          <w:bCs/>
          <w:rtl/>
          <w:lang w:eastAsia="de-DE"/>
        </w:rPr>
        <w:t>אַשְׁדֹּת</w:t>
      </w:r>
      <w:r w:rsidRPr="008D3E71">
        <w:rPr>
          <w:rFonts w:eastAsia="Times New Roman"/>
          <w:rtl/>
          <w:lang w:eastAsia="de-DE"/>
        </w:rPr>
        <w:t xml:space="preserve"> </w:t>
      </w:r>
      <w:r w:rsidRPr="008D3E71">
        <w:rPr>
          <w:rFonts w:eastAsia="Times New Roman"/>
          <w:lang w:eastAsia="de-DE"/>
        </w:rPr>
        <w:t xml:space="preserve">(„Abhänge, Hänge", Plural Construct von </w:t>
      </w:r>
      <w:r w:rsidRPr="008D3E71">
        <w:rPr>
          <w:rFonts w:eastAsia="Times New Roman"/>
          <w:b/>
          <w:bCs/>
          <w:rtl/>
          <w:lang w:eastAsia="de-DE"/>
        </w:rPr>
        <w:t>אֲשֵׁדָה</w:t>
      </w:r>
      <w:r w:rsidRPr="008D3E71">
        <w:rPr>
          <w:rFonts w:eastAsia="Times New Roman"/>
          <w:lang w:eastAsia="de-DE"/>
        </w:rPr>
        <w:t xml:space="preserve">) und </w:t>
      </w:r>
      <w:r w:rsidRPr="008D3E71">
        <w:rPr>
          <w:rFonts w:eastAsia="Times New Roman"/>
          <w:b/>
          <w:bCs/>
          <w:rtl/>
          <w:lang w:eastAsia="de-DE"/>
        </w:rPr>
        <w:t>הַפִּסְגָּה</w:t>
      </w:r>
      <w:r w:rsidRPr="008D3E71">
        <w:rPr>
          <w:rFonts w:eastAsia="Times New Roman"/>
          <w:rtl/>
          <w:lang w:eastAsia="de-DE"/>
        </w:rPr>
        <w:t xml:space="preserve"> </w:t>
      </w:r>
      <w:r w:rsidRPr="008D3E71">
        <w:rPr>
          <w:rFonts w:eastAsia="Times New Roman"/>
          <w:lang w:eastAsia="de-DE"/>
        </w:rPr>
        <w:t>(„der Pisga", Bergname mit Artikel).</w:t>
      </w:r>
    </w:p>
    <w:p w14:paraId="22D57414"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Der Vers komplettiert die Gebietsbeschreibung durch die Ost-West-Dimension: die gesamte Jordansenke östlich des Jordans bis zum Toten Meer. Die Wendung </w:t>
      </w:r>
      <w:r w:rsidRPr="008D3E71">
        <w:rPr>
          <w:rFonts w:eastAsia="Times New Roman"/>
          <w:b/>
          <w:bCs/>
          <w:rtl/>
          <w:lang w:eastAsia="de-DE"/>
        </w:rPr>
        <w:t>תַּחַת אַשְׁדֹּת הַפִּסְגָּה</w:t>
      </w:r>
      <w:r w:rsidRPr="008D3E71">
        <w:rPr>
          <w:rFonts w:eastAsia="Times New Roman"/>
          <w:rtl/>
          <w:lang w:eastAsia="de-DE"/>
        </w:rPr>
        <w:t xml:space="preserve"> </w:t>
      </w:r>
      <w:r w:rsidRPr="008D3E71">
        <w:rPr>
          <w:rFonts w:eastAsia="Times New Roman"/>
          <w:lang w:eastAsia="de-DE"/>
        </w:rPr>
        <w:t>spezifiziert die Lage am nordöstlichen Ende des Toten Meeres. Diese Formulierung findet sich auch in 3,17.</w:t>
      </w:r>
    </w:p>
    <w:p w14:paraId="71D2FB01"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Satzstruktur ist eine koordinierte Gebietsangabe mit mehrfachen Präzisierungen: eine Gebietsbezeichnung in Construct-Verbindung, eine Ortsbestimmung, ein Richtungsadverb, eine Endpunktbestimmung und eine topografische Lageangabe. Die Struktur schließt die geografische Rahmung ab und komplettiert die Beschreibung des ostjordanischen Territoriums.</w:t>
      </w:r>
    </w:p>
    <w:p w14:paraId="45F44A1A"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Der Vers schließt die geografische Beschreibung ab: das gesamte ostjordanische Gebiet einschließlich der Araba bis zum Toten Meer unterhalb des Pisga-Gebirges.</w:t>
      </w:r>
    </w:p>
    <w:p w14:paraId="48B891FB"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5,1</w:t>
      </w:r>
    </w:p>
    <w:p w14:paraId="6BC5334E"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וַיִּקְרָא מֹשֶׁה אֶל־כָּל־יִשְׂרָאֵל וַיֹּאמֶר אֲלֵהֶם שְׁמַע יִשְׂרָאֵל אֶת־הַחֻקִּים וְאֶת־הַמִּשְׁפָּטִים אֲשֶׁר אָנֹכִי דֹּבֵר בְּאָזְנֵיכֶם הַיּוֹם וּלְמַדְתֶּם אֹתָם וּשְׁמַרְתֶּם לַעֲשֹׂתָם׃</w:t>
      </w:r>
    </w:p>
    <w:p w14:paraId="074E3179"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Und Mosche rief zu ganz Jisra'el und sprach zu ihnen: Höre, Jisra'el, die Gesetze und die Rechtsvorschriften, die ich redend bin heute in eure Ohren; und lernt sie und bewahrt sie, um sie zu tun.</w:t>
      </w:r>
    </w:p>
    <w:p w14:paraId="5DCCA56E"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75E4CCF4">
          <v:rect id="_x0000_i1186" style="width:0;height:1.5pt" o:hralign="center" o:hrstd="t" o:hr="t" fillcolor="#a0a0a0" stroked="f"/>
        </w:pict>
      </w:r>
    </w:p>
    <w:p w14:paraId="0EF348D4"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וַיִּקְרָא מֹשֶׁה אֶל־כָּל־יִשְׂרָאֵל</w:t>
      </w:r>
      <w:r w:rsidRPr="008D3E71">
        <w:rPr>
          <w:rFonts w:eastAsia="Times New Roman"/>
          <w:rtl/>
          <w:lang w:eastAsia="de-DE"/>
        </w:rPr>
        <w:t xml:space="preserve"> </w:t>
      </w:r>
      <w:r w:rsidRPr="008D3E71">
        <w:rPr>
          <w:rFonts w:eastAsia="Times New Roman"/>
          <w:lang w:eastAsia="de-DE"/>
        </w:rPr>
        <w:t xml:space="preserve">ist Qal Imperfekt consecutivum, 3. Person Singular maskulin von </w:t>
      </w:r>
      <w:r w:rsidRPr="008D3E71">
        <w:rPr>
          <w:rFonts w:eastAsia="Times New Roman"/>
          <w:b/>
          <w:bCs/>
          <w:rtl/>
          <w:lang w:eastAsia="de-DE"/>
        </w:rPr>
        <w:t>קרא</w:t>
      </w:r>
      <w:r w:rsidRPr="008D3E71">
        <w:rPr>
          <w:rFonts w:eastAsia="Times New Roman"/>
          <w:rtl/>
          <w:lang w:eastAsia="de-DE"/>
        </w:rPr>
        <w:t xml:space="preserve"> </w:t>
      </w:r>
      <w:r w:rsidRPr="008D3E71">
        <w:rPr>
          <w:rFonts w:eastAsia="Times New Roman"/>
          <w:lang w:eastAsia="de-DE"/>
        </w:rPr>
        <w:t xml:space="preserve">(„rufen") mit Waw, </w:t>
      </w:r>
      <w:r w:rsidRPr="008D3E71">
        <w:rPr>
          <w:rFonts w:eastAsia="Times New Roman"/>
          <w:b/>
          <w:bCs/>
          <w:rtl/>
          <w:lang w:eastAsia="de-DE"/>
        </w:rPr>
        <w:t>מֹשֶׁה</w:t>
      </w:r>
      <w:r w:rsidRPr="008D3E71">
        <w:rPr>
          <w:rFonts w:eastAsia="Times New Roman"/>
          <w:rtl/>
          <w:lang w:eastAsia="de-DE"/>
        </w:rPr>
        <w:t xml:space="preserve"> </w:t>
      </w:r>
      <w:r w:rsidRPr="008D3E71">
        <w:rPr>
          <w:rFonts w:eastAsia="Times New Roman"/>
          <w:lang w:eastAsia="de-DE"/>
        </w:rPr>
        <w:t xml:space="preserve">als Subjekt, </w:t>
      </w:r>
      <w:r w:rsidRPr="008D3E71">
        <w:rPr>
          <w:rFonts w:eastAsia="Times New Roman"/>
          <w:b/>
          <w:bCs/>
          <w:rtl/>
          <w:lang w:eastAsia="de-DE"/>
        </w:rPr>
        <w:t>אֶל־כָּל־יִשְׂרָאֵל</w:t>
      </w:r>
      <w:r w:rsidRPr="008D3E71">
        <w:rPr>
          <w:rFonts w:eastAsia="Times New Roman"/>
          <w:rtl/>
          <w:lang w:eastAsia="de-DE"/>
        </w:rPr>
        <w:t xml:space="preserve"> </w:t>
      </w:r>
      <w:r w:rsidRPr="008D3E71">
        <w:rPr>
          <w:rFonts w:eastAsia="Times New Roman"/>
          <w:lang w:eastAsia="de-DE"/>
        </w:rPr>
        <w:t>als Adressat (</w:t>
      </w:r>
      <w:r w:rsidRPr="008D3E71">
        <w:rPr>
          <w:rFonts w:eastAsia="Times New Roman"/>
          <w:b/>
          <w:bCs/>
          <w:rtl/>
          <w:lang w:eastAsia="de-DE"/>
        </w:rPr>
        <w:t>אֶל</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כָּל</w:t>
      </w:r>
      <w:r w:rsidRPr="008D3E71">
        <w:rPr>
          <w:rFonts w:eastAsia="Times New Roman"/>
          <w:rtl/>
          <w:lang w:eastAsia="de-DE"/>
        </w:rPr>
        <w:t xml:space="preserve"> </w:t>
      </w:r>
      <w:r w:rsidRPr="008D3E71">
        <w:rPr>
          <w:rFonts w:eastAsia="Times New Roman"/>
          <w:lang w:eastAsia="de-DE"/>
        </w:rPr>
        <w:t xml:space="preserve">im Construct und </w:t>
      </w:r>
      <w:r w:rsidRPr="008D3E71">
        <w:rPr>
          <w:rFonts w:eastAsia="Times New Roman"/>
          <w:b/>
          <w:bCs/>
          <w:rtl/>
          <w:lang w:eastAsia="de-DE"/>
        </w:rPr>
        <w:t>יִשְׂרָאֵל</w:t>
      </w:r>
      <w:r w:rsidRPr="008D3E71">
        <w:rPr>
          <w:rFonts w:eastAsia="Times New Roman"/>
          <w:lang w:eastAsia="de-DE"/>
        </w:rPr>
        <w:t xml:space="preserve">). </w:t>
      </w:r>
      <w:r w:rsidRPr="008D3E71">
        <w:rPr>
          <w:rFonts w:eastAsia="Times New Roman"/>
          <w:b/>
          <w:bCs/>
          <w:rtl/>
          <w:lang w:eastAsia="de-DE"/>
        </w:rPr>
        <w:t>וַיֹּאמֶר אֲלֵהֶם</w:t>
      </w:r>
      <w:r w:rsidRPr="008D3E71">
        <w:rPr>
          <w:rFonts w:eastAsia="Times New Roman"/>
          <w:rtl/>
          <w:lang w:eastAsia="de-DE"/>
        </w:rPr>
        <w:t xml:space="preserve"> </w:t>
      </w:r>
      <w:r w:rsidRPr="008D3E71">
        <w:rPr>
          <w:rFonts w:eastAsia="Times New Roman"/>
          <w:lang w:eastAsia="de-DE"/>
        </w:rPr>
        <w:t xml:space="preserve">ist Qal Imperfekt consecutivum, 3. Person Singular maskulin von </w:t>
      </w:r>
      <w:r w:rsidRPr="008D3E71">
        <w:rPr>
          <w:rFonts w:eastAsia="Times New Roman"/>
          <w:b/>
          <w:bCs/>
          <w:rtl/>
          <w:lang w:eastAsia="de-DE"/>
        </w:rPr>
        <w:t>אמר</w:t>
      </w:r>
      <w:r w:rsidRPr="008D3E71">
        <w:rPr>
          <w:rFonts w:eastAsia="Times New Roman"/>
          <w:rtl/>
          <w:lang w:eastAsia="de-DE"/>
        </w:rPr>
        <w:t xml:space="preserve"> </w:t>
      </w:r>
      <w:r w:rsidRPr="008D3E71">
        <w:rPr>
          <w:rFonts w:eastAsia="Times New Roman"/>
          <w:lang w:eastAsia="de-DE"/>
        </w:rPr>
        <w:t xml:space="preserve">(„sagen, sprechen") mit Waw und </w:t>
      </w:r>
      <w:r w:rsidRPr="008D3E71">
        <w:rPr>
          <w:rFonts w:eastAsia="Times New Roman"/>
          <w:b/>
          <w:bCs/>
          <w:rtl/>
          <w:lang w:eastAsia="de-DE"/>
        </w:rPr>
        <w:t>אֲלֵהֶם</w:t>
      </w:r>
      <w:r w:rsidRPr="008D3E71">
        <w:rPr>
          <w:rFonts w:eastAsia="Times New Roman"/>
          <w:rtl/>
          <w:lang w:eastAsia="de-DE"/>
        </w:rPr>
        <w:t xml:space="preserve"> </w:t>
      </w:r>
      <w:r w:rsidRPr="008D3E71">
        <w:rPr>
          <w:rFonts w:eastAsia="Times New Roman"/>
          <w:lang w:eastAsia="de-DE"/>
        </w:rPr>
        <w:t>als indirektes Objekt (</w:t>
      </w:r>
      <w:r w:rsidRPr="008D3E71">
        <w:rPr>
          <w:rFonts w:eastAsia="Times New Roman"/>
          <w:b/>
          <w:bCs/>
          <w:rtl/>
          <w:lang w:eastAsia="de-DE"/>
        </w:rPr>
        <w:t>אֶל</w:t>
      </w:r>
      <w:r w:rsidRPr="008D3E71">
        <w:rPr>
          <w:rFonts w:eastAsia="Times New Roman"/>
          <w:rtl/>
          <w:lang w:eastAsia="de-DE"/>
        </w:rPr>
        <w:t xml:space="preserve"> </w:t>
      </w:r>
      <w:r w:rsidRPr="008D3E71">
        <w:rPr>
          <w:rFonts w:eastAsia="Times New Roman"/>
          <w:lang w:eastAsia="de-DE"/>
        </w:rPr>
        <w:t>mit Suffix 3. Person Plural maskulin).</w:t>
      </w:r>
    </w:p>
    <w:p w14:paraId="263D94A8"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שְׁמַע יִשְׂרָאֵל אֶת־הַחֻקִּים וְאֶת־הַמִּשְׁפָּטִים</w:t>
      </w:r>
      <w:r w:rsidRPr="008D3E71">
        <w:rPr>
          <w:rFonts w:eastAsia="Times New Roman"/>
          <w:rtl/>
          <w:lang w:eastAsia="de-DE"/>
        </w:rPr>
        <w:t xml:space="preserve"> </w:t>
      </w:r>
      <w:r w:rsidRPr="008D3E71">
        <w:rPr>
          <w:rFonts w:eastAsia="Times New Roman"/>
          <w:lang w:eastAsia="de-DE"/>
        </w:rPr>
        <w:t xml:space="preserve">ist die direkte Rede: </w:t>
      </w:r>
      <w:r w:rsidRPr="008D3E71">
        <w:rPr>
          <w:rFonts w:eastAsia="Times New Roman"/>
          <w:b/>
          <w:bCs/>
          <w:rtl/>
          <w:lang w:eastAsia="de-DE"/>
        </w:rPr>
        <w:t>שְׁמַע</w:t>
      </w:r>
      <w:r w:rsidRPr="008D3E71">
        <w:rPr>
          <w:rFonts w:eastAsia="Times New Roman"/>
          <w:rtl/>
          <w:lang w:eastAsia="de-DE"/>
        </w:rPr>
        <w:t xml:space="preserve"> </w:t>
      </w:r>
      <w:r w:rsidRPr="008D3E71">
        <w:rPr>
          <w:rFonts w:eastAsia="Times New Roman"/>
          <w:lang w:eastAsia="de-DE"/>
        </w:rPr>
        <w:t xml:space="preserve">als Qal Imperativ, 2. Person Singular maskulin von </w:t>
      </w:r>
      <w:r w:rsidRPr="008D3E71">
        <w:rPr>
          <w:rFonts w:eastAsia="Times New Roman"/>
          <w:b/>
          <w:bCs/>
          <w:rtl/>
          <w:lang w:eastAsia="de-DE"/>
        </w:rPr>
        <w:t>שׁמע</w:t>
      </w:r>
      <w:r w:rsidRPr="008D3E71">
        <w:rPr>
          <w:rFonts w:eastAsia="Times New Roman"/>
          <w:rtl/>
          <w:lang w:eastAsia="de-DE"/>
        </w:rPr>
        <w:t xml:space="preserve"> </w:t>
      </w:r>
      <w:r w:rsidRPr="008D3E71">
        <w:rPr>
          <w:rFonts w:eastAsia="Times New Roman"/>
          <w:lang w:eastAsia="de-DE"/>
        </w:rPr>
        <w:t xml:space="preserve">(„hören"), </w:t>
      </w:r>
      <w:r w:rsidRPr="008D3E71">
        <w:rPr>
          <w:rFonts w:eastAsia="Times New Roman"/>
          <w:b/>
          <w:bCs/>
          <w:rtl/>
          <w:lang w:eastAsia="de-DE"/>
        </w:rPr>
        <w:t>יִשְׂרָאֵל</w:t>
      </w:r>
      <w:r w:rsidRPr="008D3E71">
        <w:rPr>
          <w:rFonts w:eastAsia="Times New Roman"/>
          <w:rtl/>
          <w:lang w:eastAsia="de-DE"/>
        </w:rPr>
        <w:t xml:space="preserve"> </w:t>
      </w:r>
      <w:r w:rsidRPr="008D3E71">
        <w:rPr>
          <w:rFonts w:eastAsia="Times New Roman"/>
          <w:lang w:eastAsia="de-DE"/>
        </w:rPr>
        <w:t xml:space="preserve">als Vokativ bzw. Subjekt, </w:t>
      </w:r>
      <w:r w:rsidRPr="008D3E71">
        <w:rPr>
          <w:rFonts w:eastAsia="Times New Roman"/>
          <w:b/>
          <w:bCs/>
          <w:rtl/>
          <w:lang w:eastAsia="de-DE"/>
        </w:rPr>
        <w:t>אֶת־הַחֻקִּים וְאֶת־הַמִּשְׁפָּטִים</w:t>
      </w:r>
      <w:r w:rsidRPr="008D3E71">
        <w:rPr>
          <w:rFonts w:eastAsia="Times New Roman"/>
          <w:rtl/>
          <w:lang w:eastAsia="de-DE"/>
        </w:rPr>
        <w:t xml:space="preserve"> </w:t>
      </w:r>
      <w:r w:rsidRPr="008D3E71">
        <w:rPr>
          <w:rFonts w:eastAsia="Times New Roman"/>
          <w:lang w:eastAsia="de-DE"/>
        </w:rPr>
        <w:t>als zweigliedrige koordinierte Objektkette (</w:t>
      </w:r>
      <w:r w:rsidRPr="008D3E71">
        <w:rPr>
          <w:rFonts w:eastAsia="Times New Roman"/>
          <w:b/>
          <w:bCs/>
          <w:rtl/>
          <w:lang w:eastAsia="de-DE"/>
        </w:rPr>
        <w:t>חֹק</w:t>
      </w:r>
      <w:r w:rsidRPr="008D3E71">
        <w:rPr>
          <w:rFonts w:eastAsia="Times New Roman"/>
          <w:lang w:eastAsia="de-DE"/>
        </w:rPr>
        <w:t xml:space="preserve">, „Gesetz, Satzung", Plural mit Artikel, und </w:t>
      </w:r>
      <w:r w:rsidRPr="008D3E71">
        <w:rPr>
          <w:rFonts w:eastAsia="Times New Roman"/>
          <w:b/>
          <w:bCs/>
          <w:rtl/>
          <w:lang w:eastAsia="de-DE"/>
        </w:rPr>
        <w:t>מִשְׁפָּט</w:t>
      </w:r>
      <w:r w:rsidRPr="008D3E71">
        <w:rPr>
          <w:rFonts w:eastAsia="Times New Roman"/>
          <w:lang w:eastAsia="de-DE"/>
        </w:rPr>
        <w:t xml:space="preserve">, „Rechtsvorschrift, Rechtssatz", Plural mit Artikel). </w:t>
      </w:r>
      <w:r w:rsidRPr="008D3E71">
        <w:rPr>
          <w:rFonts w:eastAsia="Times New Roman"/>
          <w:b/>
          <w:bCs/>
          <w:rtl/>
          <w:lang w:eastAsia="de-DE"/>
        </w:rPr>
        <w:t>אֲשֶׁר אָנֹכִי דֹּבֵר בְּאָזְנֵיכֶם הַיּוֹם</w:t>
      </w:r>
      <w:r w:rsidRPr="008D3E71">
        <w:rPr>
          <w:rFonts w:eastAsia="Times New Roman"/>
          <w:rtl/>
          <w:lang w:eastAsia="de-DE"/>
        </w:rPr>
        <w:t xml:space="preserve"> </w:t>
      </w:r>
      <w:r w:rsidRPr="008D3E71">
        <w:rPr>
          <w:rFonts w:eastAsia="Times New Roman"/>
          <w:lang w:eastAsia="de-DE"/>
        </w:rPr>
        <w:t xml:space="preserve">ist ein Relativsatz: </w:t>
      </w:r>
      <w:r w:rsidRPr="008D3E71">
        <w:rPr>
          <w:rFonts w:eastAsia="Times New Roman"/>
          <w:b/>
          <w:bCs/>
          <w:rtl/>
          <w:lang w:eastAsia="de-DE"/>
        </w:rPr>
        <w:t>אֲשֶׁר</w:t>
      </w:r>
      <w:r w:rsidRPr="008D3E71">
        <w:rPr>
          <w:rFonts w:eastAsia="Times New Roman"/>
          <w:rtl/>
          <w:lang w:eastAsia="de-DE"/>
        </w:rPr>
        <w:t xml:space="preserve"> </w:t>
      </w:r>
      <w:r w:rsidRPr="008D3E71">
        <w:rPr>
          <w:rFonts w:eastAsia="Times New Roman"/>
          <w:lang w:eastAsia="de-DE"/>
        </w:rPr>
        <w:t xml:space="preserve">als Relativpronomen, </w:t>
      </w:r>
      <w:r w:rsidRPr="008D3E71">
        <w:rPr>
          <w:rFonts w:eastAsia="Times New Roman"/>
          <w:b/>
          <w:bCs/>
          <w:rtl/>
          <w:lang w:eastAsia="de-DE"/>
        </w:rPr>
        <w:t>אָנֹכִי</w:t>
      </w:r>
      <w:r w:rsidRPr="008D3E71">
        <w:rPr>
          <w:rFonts w:eastAsia="Times New Roman"/>
          <w:rtl/>
          <w:lang w:eastAsia="de-DE"/>
        </w:rPr>
        <w:t xml:space="preserve"> </w:t>
      </w:r>
      <w:r w:rsidRPr="008D3E71">
        <w:rPr>
          <w:rFonts w:eastAsia="Times New Roman"/>
          <w:lang w:eastAsia="de-DE"/>
        </w:rPr>
        <w:t xml:space="preserve">als emphatisches Personalpronomen, </w:t>
      </w:r>
      <w:r w:rsidRPr="008D3E71">
        <w:rPr>
          <w:rFonts w:eastAsia="Times New Roman"/>
          <w:b/>
          <w:bCs/>
          <w:rtl/>
          <w:lang w:eastAsia="de-DE"/>
        </w:rPr>
        <w:t>דֹּבֵר</w:t>
      </w:r>
      <w:r w:rsidRPr="008D3E71">
        <w:rPr>
          <w:rFonts w:eastAsia="Times New Roman"/>
          <w:rtl/>
          <w:lang w:eastAsia="de-DE"/>
        </w:rPr>
        <w:t xml:space="preserve"> </w:t>
      </w:r>
      <w:r w:rsidRPr="008D3E71">
        <w:rPr>
          <w:rFonts w:eastAsia="Times New Roman"/>
          <w:lang w:eastAsia="de-DE"/>
        </w:rPr>
        <w:t xml:space="preserve">als Qal Partizip Singular maskulin von </w:t>
      </w:r>
      <w:r w:rsidRPr="008D3E71">
        <w:rPr>
          <w:rFonts w:eastAsia="Times New Roman"/>
          <w:b/>
          <w:bCs/>
          <w:rtl/>
          <w:lang w:eastAsia="de-DE"/>
        </w:rPr>
        <w:t>דבר</w:t>
      </w:r>
      <w:r w:rsidRPr="008D3E71">
        <w:rPr>
          <w:rFonts w:eastAsia="Times New Roman"/>
          <w:rtl/>
          <w:lang w:eastAsia="de-DE"/>
        </w:rPr>
        <w:t xml:space="preserve"> </w:t>
      </w:r>
      <w:r w:rsidRPr="008D3E71">
        <w:rPr>
          <w:rFonts w:eastAsia="Times New Roman"/>
          <w:lang w:eastAsia="de-DE"/>
        </w:rPr>
        <w:t xml:space="preserve">(„reden, sprechen"), </w:t>
      </w:r>
      <w:r w:rsidRPr="008D3E71">
        <w:rPr>
          <w:rFonts w:eastAsia="Times New Roman"/>
          <w:b/>
          <w:bCs/>
          <w:rtl/>
          <w:lang w:eastAsia="de-DE"/>
        </w:rPr>
        <w:t>בְּאָזְנֵיכֶם</w:t>
      </w:r>
      <w:r w:rsidRPr="008D3E71">
        <w:rPr>
          <w:rFonts w:eastAsia="Times New Roman"/>
          <w:rtl/>
          <w:lang w:eastAsia="de-DE"/>
        </w:rPr>
        <w:t xml:space="preserve"> </w:t>
      </w:r>
      <w:r w:rsidRPr="008D3E71">
        <w:rPr>
          <w:rFonts w:eastAsia="Times New Roman"/>
          <w:lang w:eastAsia="de-DE"/>
        </w:rPr>
        <w:t>als idiomatische Wendung (</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אֹזֶן</w:t>
      </w:r>
      <w:r w:rsidRPr="008D3E71">
        <w:rPr>
          <w:rFonts w:eastAsia="Times New Roman"/>
          <w:lang w:eastAsia="de-DE"/>
        </w:rPr>
        <w:t xml:space="preserve">, „Ohr", Dual mit Suffix 2. Person Plural maskulin – „in eure Ohren"), </w:t>
      </w:r>
      <w:r w:rsidRPr="008D3E71">
        <w:rPr>
          <w:rFonts w:eastAsia="Times New Roman"/>
          <w:b/>
          <w:bCs/>
          <w:rtl/>
          <w:lang w:eastAsia="de-DE"/>
        </w:rPr>
        <w:t>הַיּוֹם</w:t>
      </w:r>
      <w:r w:rsidRPr="008D3E71">
        <w:rPr>
          <w:rFonts w:eastAsia="Times New Roman"/>
          <w:rtl/>
          <w:lang w:eastAsia="de-DE"/>
        </w:rPr>
        <w:t xml:space="preserve"> </w:t>
      </w:r>
      <w:r w:rsidRPr="008D3E71">
        <w:rPr>
          <w:rFonts w:eastAsia="Times New Roman"/>
          <w:lang w:eastAsia="de-DE"/>
        </w:rPr>
        <w:t>als temporales Adverb.</w:t>
      </w:r>
    </w:p>
    <w:p w14:paraId="237CA7E1"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lastRenderedPageBreak/>
        <w:t>וּלְמַדְתֶּם אֹתָם וּשְׁמַרְתֶּם לַעֲשֹׂתָם</w:t>
      </w:r>
      <w:r w:rsidRPr="008D3E71">
        <w:rPr>
          <w:rFonts w:eastAsia="Times New Roman"/>
          <w:rtl/>
          <w:lang w:eastAsia="de-DE"/>
        </w:rPr>
        <w:t xml:space="preserve"> </w:t>
      </w:r>
      <w:r w:rsidRPr="008D3E71">
        <w:rPr>
          <w:rFonts w:eastAsia="Times New Roman"/>
          <w:lang w:eastAsia="de-DE"/>
        </w:rPr>
        <w:t xml:space="preserve">besteht aus zwei koordinierten Verben mit finalem Infinitiv: </w:t>
      </w:r>
      <w:r w:rsidRPr="008D3E71">
        <w:rPr>
          <w:rFonts w:eastAsia="Times New Roman"/>
          <w:b/>
          <w:bCs/>
          <w:rtl/>
          <w:lang w:eastAsia="de-DE"/>
        </w:rPr>
        <w:t>וּלְמַדְתֶּם</w:t>
      </w:r>
      <w:r w:rsidRPr="008D3E71">
        <w:rPr>
          <w:rFonts w:eastAsia="Times New Roman"/>
          <w:rtl/>
          <w:lang w:eastAsia="de-DE"/>
        </w:rPr>
        <w:t xml:space="preserve"> </w:t>
      </w:r>
      <w:r w:rsidRPr="008D3E71">
        <w:rPr>
          <w:rFonts w:eastAsia="Times New Roman"/>
          <w:lang w:eastAsia="de-DE"/>
        </w:rPr>
        <w:t xml:space="preserve">(Qal Perfekt consecutivum, 2. Person Plural maskulin von </w:t>
      </w:r>
      <w:r w:rsidRPr="008D3E71">
        <w:rPr>
          <w:rFonts w:eastAsia="Times New Roman"/>
          <w:b/>
          <w:bCs/>
          <w:rtl/>
          <w:lang w:eastAsia="de-DE"/>
        </w:rPr>
        <w:t>למד</w:t>
      </w:r>
      <w:r w:rsidRPr="008D3E71">
        <w:rPr>
          <w:rFonts w:eastAsia="Times New Roman"/>
          <w:lang w:eastAsia="de-DE"/>
        </w:rPr>
        <w:t xml:space="preserve">, „lernen", mit Waw), </w:t>
      </w:r>
      <w:r w:rsidRPr="008D3E71">
        <w:rPr>
          <w:rFonts w:eastAsia="Times New Roman"/>
          <w:b/>
          <w:bCs/>
          <w:rtl/>
          <w:lang w:eastAsia="de-DE"/>
        </w:rPr>
        <w:t>אֹתָם</w:t>
      </w:r>
      <w:r w:rsidRPr="008D3E71">
        <w:rPr>
          <w:rFonts w:eastAsia="Times New Roman"/>
          <w:rtl/>
          <w:lang w:eastAsia="de-DE"/>
        </w:rPr>
        <w:t xml:space="preserve"> </w:t>
      </w:r>
      <w:r w:rsidRPr="008D3E71">
        <w:rPr>
          <w:rFonts w:eastAsia="Times New Roman"/>
          <w:lang w:eastAsia="de-DE"/>
        </w:rPr>
        <w:t xml:space="preserve">als direktes Objekt (nota accusativi mit Suffix 3. Person Plural maskulin), </w:t>
      </w:r>
      <w:r w:rsidRPr="008D3E71">
        <w:rPr>
          <w:rFonts w:eastAsia="Times New Roman"/>
          <w:b/>
          <w:bCs/>
          <w:rtl/>
          <w:lang w:eastAsia="de-DE"/>
        </w:rPr>
        <w:t>וּשְׁמַרְתֶּם</w:t>
      </w:r>
      <w:r w:rsidRPr="008D3E71">
        <w:rPr>
          <w:rFonts w:eastAsia="Times New Roman"/>
          <w:rtl/>
          <w:lang w:eastAsia="de-DE"/>
        </w:rPr>
        <w:t xml:space="preserve"> </w:t>
      </w:r>
      <w:r w:rsidRPr="008D3E71">
        <w:rPr>
          <w:rFonts w:eastAsia="Times New Roman"/>
          <w:lang w:eastAsia="de-DE"/>
        </w:rPr>
        <w:t xml:space="preserve">(Qal Perfekt consecutivum, 2. Person Plural maskulin von </w:t>
      </w:r>
      <w:r w:rsidRPr="008D3E71">
        <w:rPr>
          <w:rFonts w:eastAsia="Times New Roman"/>
          <w:b/>
          <w:bCs/>
          <w:rtl/>
          <w:lang w:eastAsia="de-DE"/>
        </w:rPr>
        <w:t>שׁמר</w:t>
      </w:r>
      <w:r w:rsidRPr="008D3E71">
        <w:rPr>
          <w:rFonts w:eastAsia="Times New Roman"/>
          <w:lang w:eastAsia="de-DE"/>
        </w:rPr>
        <w:t xml:space="preserve">, „bewahren, beachten", mit Waw), </w:t>
      </w:r>
      <w:r w:rsidRPr="008D3E71">
        <w:rPr>
          <w:rFonts w:eastAsia="Times New Roman"/>
          <w:b/>
          <w:bCs/>
          <w:rtl/>
          <w:lang w:eastAsia="de-DE"/>
        </w:rPr>
        <w:t>לַעֲשֹׂתָם</w:t>
      </w:r>
      <w:r w:rsidRPr="008D3E71">
        <w:rPr>
          <w:rFonts w:eastAsia="Times New Roman"/>
          <w:rtl/>
          <w:lang w:eastAsia="de-DE"/>
        </w:rPr>
        <w:t xml:space="preserve"> </w:t>
      </w:r>
      <w:r w:rsidRPr="008D3E71">
        <w:rPr>
          <w:rFonts w:eastAsia="Times New Roman"/>
          <w:lang w:eastAsia="de-DE"/>
        </w:rPr>
        <w:t xml:space="preserve">als finaler Infinitiv (Qal Infinitiv Construct von </w:t>
      </w:r>
      <w:r w:rsidRPr="008D3E71">
        <w:rPr>
          <w:rFonts w:eastAsia="Times New Roman"/>
          <w:b/>
          <w:bCs/>
          <w:rtl/>
          <w:lang w:eastAsia="de-DE"/>
        </w:rPr>
        <w:t>עשׂה</w:t>
      </w:r>
      <w:r w:rsidRPr="008D3E71">
        <w:rPr>
          <w:rFonts w:eastAsia="Times New Roman"/>
          <w:lang w:eastAsia="de-DE"/>
        </w:rPr>
        <w:t xml:space="preserve">, „tun", mit </w:t>
      </w:r>
      <w:r w:rsidRPr="008D3E71">
        <w:rPr>
          <w:rFonts w:eastAsia="Times New Roman"/>
          <w:b/>
          <w:bCs/>
          <w:rtl/>
          <w:lang w:eastAsia="de-DE"/>
        </w:rPr>
        <w:t>לְ</w:t>
      </w:r>
      <w:r w:rsidRPr="008D3E71">
        <w:rPr>
          <w:rFonts w:eastAsia="Times New Roman"/>
          <w:rtl/>
          <w:lang w:eastAsia="de-DE"/>
        </w:rPr>
        <w:t xml:space="preserve"> </w:t>
      </w:r>
      <w:r w:rsidRPr="008D3E71">
        <w:rPr>
          <w:rFonts w:eastAsia="Times New Roman"/>
          <w:lang w:eastAsia="de-DE"/>
        </w:rPr>
        <w:t>und Suffix 3. Person Plural maskulin als direktes Objekt).</w:t>
      </w:r>
    </w:p>
    <w:p w14:paraId="00413B15" w14:textId="0D954A1A"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Die Formel </w:t>
      </w:r>
      <w:r w:rsidRPr="008D3E71">
        <w:rPr>
          <w:rFonts w:eastAsia="Times New Roman"/>
          <w:b/>
          <w:bCs/>
          <w:rtl/>
          <w:lang w:eastAsia="de-DE"/>
        </w:rPr>
        <w:t>שְׁמַע יִשְׂרָאֵל</w:t>
      </w:r>
      <w:r w:rsidRPr="008D3E71">
        <w:rPr>
          <w:rFonts w:eastAsia="Times New Roman"/>
          <w:rtl/>
          <w:lang w:eastAsia="de-DE"/>
        </w:rPr>
        <w:t xml:space="preserve"> </w:t>
      </w:r>
      <w:r w:rsidRPr="008D3E71">
        <w:rPr>
          <w:rFonts w:eastAsia="Times New Roman"/>
          <w:lang w:eastAsia="de-DE"/>
        </w:rPr>
        <w:t xml:space="preserve">ist die klassische Anrede in paränetischen Kontexten (vgl. 6,4). Die Wendung </w:t>
      </w:r>
      <w:r w:rsidRPr="008D3E71">
        <w:rPr>
          <w:rFonts w:eastAsia="Times New Roman"/>
          <w:b/>
          <w:bCs/>
          <w:rtl/>
          <w:lang w:eastAsia="de-DE"/>
        </w:rPr>
        <w:t>דֹּבֵר בְּאָזְנֵיכֶם</w:t>
      </w:r>
      <w:r w:rsidRPr="008D3E71">
        <w:rPr>
          <w:rFonts w:eastAsia="Times New Roman"/>
          <w:rtl/>
          <w:lang w:eastAsia="de-DE"/>
        </w:rPr>
        <w:t xml:space="preserve"> </w:t>
      </w:r>
      <w:r w:rsidRPr="008D3E71">
        <w:rPr>
          <w:rFonts w:eastAsia="Times New Roman"/>
          <w:lang w:eastAsia="de-DE"/>
        </w:rPr>
        <w:t xml:space="preserve">(„in eure Ohren reden") betont die öffentliche, hörbare Verkündigung. Die dreigliedrige Aufforderung (hören – lernen – bewahren/tun) beschreibt den vollständigen Rezeptionsprozess der </w:t>
      </w:r>
      <w:r w:rsidR="006D3FED">
        <w:rPr>
          <w:rFonts w:eastAsia="Times New Roman"/>
          <w:lang w:eastAsia="de-DE"/>
        </w:rPr>
        <w:t>Torah</w:t>
      </w:r>
      <w:r w:rsidRPr="008D3E71">
        <w:rPr>
          <w:rFonts w:eastAsia="Times New Roman"/>
          <w:lang w:eastAsia="de-DE"/>
        </w:rPr>
        <w:t>.</w:t>
      </w:r>
    </w:p>
    <w:p w14:paraId="61844E06"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Satzstruktur besteht aus zwei narrativen Hauptsätzen mit Adressat bzw. indirektem Objekt, gefolgt von direkter Rede mit Imperativ, Vokativ, zweigliedriger Objektkette und Relativsatz (mit emphatischem Pronomen, partizipialem Prädikat, idiomatischer Wendung und temporalem Adverb), sowie zwei koordinierten konsekutiven Verben mit Objekt bzw. finalem Infinitiv mit Suffix. Die Struktur markiert einen feierlichen Neuansatz der Gesetzesverkündigung.</w:t>
      </w:r>
    </w:p>
    <w:p w14:paraId="2BB21B44"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Der Vers leitet Kapitel 5 ein mit Moses Aufruf an ganz Israel, die nun folgenden Gesetze und Rechtsvorschriften zu hören, zu lernen und zu befolgen.</w:t>
      </w:r>
    </w:p>
    <w:p w14:paraId="6ACCD4D2"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5,2</w:t>
      </w:r>
    </w:p>
    <w:p w14:paraId="4F0D6351"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יְהוָה אֱלֹהֵינוּ כָּרַת עִמָּנוּ בְּרִית בְּחֹרֵב׃</w:t>
      </w:r>
    </w:p>
    <w:p w14:paraId="4FA7EAF9"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Der Ewige, unser Gott, hat mit uns einen Bund geschlossen am Chorev.</w:t>
      </w:r>
    </w:p>
    <w:p w14:paraId="77EE3669"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6597ADF7">
          <v:rect id="_x0000_i1187" style="width:0;height:1.5pt" o:hralign="center" o:hrstd="t" o:hr="t" fillcolor="#a0a0a0" stroked="f"/>
        </w:pict>
      </w:r>
    </w:p>
    <w:p w14:paraId="08AA3FD3"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יְהוָה אֱלֹהֵינוּ</w:t>
      </w:r>
      <w:r w:rsidRPr="008D3E71">
        <w:rPr>
          <w:rFonts w:eastAsia="Times New Roman"/>
          <w:rtl/>
          <w:lang w:eastAsia="de-DE"/>
        </w:rPr>
        <w:t xml:space="preserve"> </w:t>
      </w:r>
      <w:r w:rsidRPr="008D3E71">
        <w:rPr>
          <w:rFonts w:eastAsia="Times New Roman"/>
          <w:lang w:eastAsia="de-DE"/>
        </w:rPr>
        <w:t xml:space="preserve">ist das erweiterte Subjekt: </w:t>
      </w:r>
      <w:r w:rsidRPr="008D3E71">
        <w:rPr>
          <w:rFonts w:eastAsia="Times New Roman"/>
          <w:b/>
          <w:bCs/>
          <w:rtl/>
          <w:lang w:eastAsia="de-DE"/>
        </w:rPr>
        <w:t>יְהוָה</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אֱלֹהִים</w:t>
      </w:r>
      <w:r w:rsidRPr="008D3E71">
        <w:rPr>
          <w:rFonts w:eastAsia="Times New Roman"/>
          <w:rtl/>
          <w:lang w:eastAsia="de-DE"/>
        </w:rPr>
        <w:t xml:space="preserve"> </w:t>
      </w:r>
      <w:r w:rsidRPr="008D3E71">
        <w:rPr>
          <w:rFonts w:eastAsia="Times New Roman"/>
          <w:lang w:eastAsia="de-DE"/>
        </w:rPr>
        <w:t xml:space="preserve">und Suffix 1. Person Plural („unser Gott"). </w:t>
      </w:r>
      <w:r w:rsidRPr="008D3E71">
        <w:rPr>
          <w:rFonts w:eastAsia="Times New Roman"/>
          <w:b/>
          <w:bCs/>
          <w:rtl/>
          <w:lang w:eastAsia="de-DE"/>
        </w:rPr>
        <w:t>כָּרַת עִמָּנוּ בְּרִית</w:t>
      </w:r>
      <w:r w:rsidRPr="008D3E71">
        <w:rPr>
          <w:rFonts w:eastAsia="Times New Roman"/>
          <w:rtl/>
          <w:lang w:eastAsia="de-DE"/>
        </w:rPr>
        <w:t xml:space="preserve"> </w:t>
      </w:r>
      <w:r w:rsidRPr="008D3E71">
        <w:rPr>
          <w:rFonts w:eastAsia="Times New Roman"/>
          <w:lang w:eastAsia="de-DE"/>
        </w:rPr>
        <w:t xml:space="preserve">ist Qal Perfekt, 3. Person Singular maskulin von </w:t>
      </w:r>
      <w:r w:rsidRPr="008D3E71">
        <w:rPr>
          <w:rFonts w:eastAsia="Times New Roman"/>
          <w:b/>
          <w:bCs/>
          <w:rtl/>
          <w:lang w:eastAsia="de-DE"/>
        </w:rPr>
        <w:t>כרת</w:t>
      </w:r>
      <w:r w:rsidRPr="008D3E71">
        <w:rPr>
          <w:rFonts w:eastAsia="Times New Roman"/>
          <w:rtl/>
          <w:lang w:eastAsia="de-DE"/>
        </w:rPr>
        <w:t xml:space="preserve"> </w:t>
      </w:r>
      <w:r w:rsidRPr="008D3E71">
        <w:rPr>
          <w:rFonts w:eastAsia="Times New Roman"/>
          <w:lang w:eastAsia="de-DE"/>
        </w:rPr>
        <w:t xml:space="preserve">(„schneiden" – idiomatisch mit </w:t>
      </w:r>
      <w:r w:rsidRPr="008D3E71">
        <w:rPr>
          <w:rFonts w:eastAsia="Times New Roman"/>
          <w:b/>
          <w:bCs/>
          <w:rtl/>
          <w:lang w:eastAsia="de-DE"/>
        </w:rPr>
        <w:t>בְּרִית</w:t>
      </w:r>
      <w:r w:rsidRPr="008D3E71">
        <w:rPr>
          <w:rFonts w:eastAsia="Times New Roman"/>
          <w:lang w:eastAsia="de-DE"/>
        </w:rPr>
        <w:t xml:space="preserve">: „einen Bund schließen"), </w:t>
      </w:r>
      <w:r w:rsidRPr="008D3E71">
        <w:rPr>
          <w:rFonts w:eastAsia="Times New Roman"/>
          <w:b/>
          <w:bCs/>
          <w:rtl/>
          <w:lang w:eastAsia="de-DE"/>
        </w:rPr>
        <w:t>עִמָּנוּ</w:t>
      </w:r>
      <w:r w:rsidRPr="008D3E71">
        <w:rPr>
          <w:rFonts w:eastAsia="Times New Roman"/>
          <w:rtl/>
          <w:lang w:eastAsia="de-DE"/>
        </w:rPr>
        <w:t xml:space="preserve"> </w:t>
      </w:r>
      <w:r w:rsidRPr="008D3E71">
        <w:rPr>
          <w:rFonts w:eastAsia="Times New Roman"/>
          <w:lang w:eastAsia="de-DE"/>
        </w:rPr>
        <w:t xml:space="preserve">als Präposition </w:t>
      </w:r>
      <w:r w:rsidRPr="008D3E71">
        <w:rPr>
          <w:rFonts w:eastAsia="Times New Roman"/>
          <w:b/>
          <w:bCs/>
          <w:rtl/>
          <w:lang w:eastAsia="de-DE"/>
        </w:rPr>
        <w:t>עִם</w:t>
      </w:r>
      <w:r w:rsidRPr="008D3E71">
        <w:rPr>
          <w:rFonts w:eastAsia="Times New Roman"/>
          <w:rtl/>
          <w:lang w:eastAsia="de-DE"/>
        </w:rPr>
        <w:t xml:space="preserve"> </w:t>
      </w:r>
      <w:r w:rsidRPr="008D3E71">
        <w:rPr>
          <w:rFonts w:eastAsia="Times New Roman"/>
          <w:lang w:eastAsia="de-DE"/>
        </w:rPr>
        <w:t xml:space="preserve">(„mit") und Suffix 1. Person Plural, </w:t>
      </w:r>
      <w:r w:rsidRPr="008D3E71">
        <w:rPr>
          <w:rFonts w:eastAsia="Times New Roman"/>
          <w:b/>
          <w:bCs/>
          <w:rtl/>
          <w:lang w:eastAsia="de-DE"/>
        </w:rPr>
        <w:t>בְּרִית</w:t>
      </w:r>
      <w:r w:rsidRPr="008D3E71">
        <w:rPr>
          <w:rFonts w:eastAsia="Times New Roman"/>
          <w:rtl/>
          <w:lang w:eastAsia="de-DE"/>
        </w:rPr>
        <w:t xml:space="preserve"> </w:t>
      </w:r>
      <w:r w:rsidRPr="008D3E71">
        <w:rPr>
          <w:rFonts w:eastAsia="Times New Roman"/>
          <w:lang w:eastAsia="de-DE"/>
        </w:rPr>
        <w:t xml:space="preserve">als direktes Objekt. </w:t>
      </w:r>
      <w:r w:rsidRPr="008D3E71">
        <w:rPr>
          <w:rFonts w:eastAsia="Times New Roman"/>
          <w:b/>
          <w:bCs/>
          <w:rtl/>
          <w:lang w:eastAsia="de-DE"/>
        </w:rPr>
        <w:t>בְּחֹרֵב</w:t>
      </w:r>
      <w:r w:rsidRPr="008D3E71">
        <w:rPr>
          <w:rFonts w:eastAsia="Times New Roman"/>
          <w:rtl/>
          <w:lang w:eastAsia="de-DE"/>
        </w:rPr>
        <w:t xml:space="preserve"> </w:t>
      </w:r>
      <w:r w:rsidRPr="008D3E71">
        <w:rPr>
          <w:rFonts w:eastAsia="Times New Roman"/>
          <w:lang w:eastAsia="de-DE"/>
        </w:rPr>
        <w:t>ist eine Ortsangabe (</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חֹרֵב</w:t>
      </w:r>
      <w:r w:rsidRPr="008D3E71">
        <w:rPr>
          <w:rFonts w:eastAsia="Times New Roman"/>
          <w:lang w:eastAsia="de-DE"/>
        </w:rPr>
        <w:t>, der deuteronomische Name für den Sinai).</w:t>
      </w:r>
    </w:p>
    <w:p w14:paraId="065F47DD"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Die Bundesschließung am Horeb/Sinai ist das zentrale Ereignis der Heilsgeschichte. Die idiomatische Wendung </w:t>
      </w:r>
      <w:r w:rsidRPr="008D3E71">
        <w:rPr>
          <w:rFonts w:eastAsia="Times New Roman"/>
          <w:b/>
          <w:bCs/>
          <w:rtl/>
          <w:lang w:eastAsia="de-DE"/>
        </w:rPr>
        <w:t>כרת בְּרִית</w:t>
      </w:r>
      <w:r w:rsidRPr="008D3E71">
        <w:rPr>
          <w:rFonts w:eastAsia="Times New Roman"/>
          <w:rtl/>
          <w:lang w:eastAsia="de-DE"/>
        </w:rPr>
        <w:t xml:space="preserve"> </w:t>
      </w:r>
      <w:r w:rsidRPr="008D3E71">
        <w:rPr>
          <w:rFonts w:eastAsia="Times New Roman"/>
          <w:lang w:eastAsia="de-DE"/>
        </w:rPr>
        <w:t xml:space="preserve">(wörtlich „einen Bund schneiden") erinnert an das rituelle Zerschneiden von Tieren bei Bundesschlüssen. Die Verwendung von </w:t>
      </w:r>
      <w:r w:rsidRPr="008D3E71">
        <w:rPr>
          <w:rFonts w:eastAsia="Times New Roman"/>
          <w:b/>
          <w:bCs/>
          <w:rtl/>
          <w:lang w:eastAsia="de-DE"/>
        </w:rPr>
        <w:t>עִמָּנוּ</w:t>
      </w:r>
      <w:r w:rsidRPr="008D3E71">
        <w:rPr>
          <w:rFonts w:eastAsia="Times New Roman"/>
          <w:rtl/>
          <w:lang w:eastAsia="de-DE"/>
        </w:rPr>
        <w:t xml:space="preserve"> </w:t>
      </w:r>
      <w:r w:rsidRPr="008D3E71">
        <w:rPr>
          <w:rFonts w:eastAsia="Times New Roman"/>
          <w:lang w:eastAsia="de-DE"/>
        </w:rPr>
        <w:t xml:space="preserve">(„mit uns") statt </w:t>
      </w:r>
      <w:r w:rsidRPr="008D3E71">
        <w:rPr>
          <w:rFonts w:eastAsia="Times New Roman"/>
          <w:b/>
          <w:bCs/>
          <w:rtl/>
          <w:lang w:eastAsia="de-DE"/>
        </w:rPr>
        <w:t>עִם־אֲבֹתֵינוּ</w:t>
      </w:r>
      <w:r w:rsidRPr="008D3E71">
        <w:rPr>
          <w:rFonts w:eastAsia="Times New Roman"/>
          <w:rtl/>
          <w:lang w:eastAsia="de-DE"/>
        </w:rPr>
        <w:t xml:space="preserve"> </w:t>
      </w:r>
      <w:r w:rsidRPr="008D3E71">
        <w:rPr>
          <w:rFonts w:eastAsia="Times New Roman"/>
          <w:lang w:eastAsia="de-DE"/>
        </w:rPr>
        <w:t>(„mit unseren Vätern") bereitet die Aussage von V. 3 vor.</w:t>
      </w:r>
    </w:p>
    <w:p w14:paraId="1054A455"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Satzstruktur ist ein einfacher Verbalsatz mit erweitertem Subjekt, Prädikat, präpositionalem Objekt, direktem Objekt und Ortsangabe. Die Kürze und Prägnanz der Aussage unterstreicht ihre fundamentale Bedeutung.</w:t>
      </w:r>
    </w:p>
    <w:p w14:paraId="1A310974"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Der Vers verkündet die zentrale theologische Wahrheit: JHWH hat am Horeb einen Bund mit Israel geschlossen.</w:t>
      </w:r>
    </w:p>
    <w:p w14:paraId="66445FEF"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lastRenderedPageBreak/>
        <w:t>Deuteronomium 5,3</w:t>
      </w:r>
    </w:p>
    <w:p w14:paraId="682147E3"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לֹא אֶת־אֲבֹתֵינוּ כָּרַת יְהוָה אֶת־הַבְּרִית הַזֹּאת כִּי אִתָּנוּ אֲנַחְנוּ אֵלֶּה פֹה הַיּוֹם כֻּלָּנוּ חַיִּים׃</w:t>
      </w:r>
    </w:p>
    <w:p w14:paraId="5FCFB72A"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Nicht mit unseren Vätern hat der Ewige diesen Bund geschlossen, sondern mit uns, diesen hier, die wir heute alle lebend sind.</w:t>
      </w:r>
    </w:p>
    <w:p w14:paraId="3EB2AF15"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06F9CA5B">
          <v:rect id="_x0000_i1188" style="width:0;height:1.5pt" o:hralign="center" o:hrstd="t" o:hr="t" fillcolor="#a0a0a0" stroked="f"/>
        </w:pict>
      </w:r>
    </w:p>
    <w:p w14:paraId="67F396E3"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לֹא אֶת־אֲבֹתֵינוּ כָּרַת יְהוָה אֶת־הַבְּרִית הַזֹּאת</w:t>
      </w:r>
      <w:r w:rsidRPr="008D3E71">
        <w:rPr>
          <w:rFonts w:eastAsia="Times New Roman"/>
          <w:rtl/>
          <w:lang w:eastAsia="de-DE"/>
        </w:rPr>
        <w:t xml:space="preserve"> </w:t>
      </w:r>
      <w:r w:rsidRPr="008D3E71">
        <w:rPr>
          <w:rFonts w:eastAsia="Times New Roman"/>
          <w:lang w:eastAsia="de-DE"/>
        </w:rPr>
        <w:t xml:space="preserve">ist ein negierter Satz: </w:t>
      </w:r>
      <w:r w:rsidRPr="008D3E71">
        <w:rPr>
          <w:rFonts w:eastAsia="Times New Roman"/>
          <w:b/>
          <w:bCs/>
          <w:rtl/>
          <w:lang w:eastAsia="de-DE"/>
        </w:rPr>
        <w:t>לֹא</w:t>
      </w:r>
      <w:r w:rsidRPr="008D3E71">
        <w:rPr>
          <w:rFonts w:eastAsia="Times New Roman"/>
          <w:rtl/>
          <w:lang w:eastAsia="de-DE"/>
        </w:rPr>
        <w:t xml:space="preserve"> </w:t>
      </w:r>
      <w:r w:rsidRPr="008D3E71">
        <w:rPr>
          <w:rFonts w:eastAsia="Times New Roman"/>
          <w:lang w:eastAsia="de-DE"/>
        </w:rPr>
        <w:t xml:space="preserve">als Negation, </w:t>
      </w:r>
      <w:r w:rsidRPr="008D3E71">
        <w:rPr>
          <w:rFonts w:eastAsia="Times New Roman"/>
          <w:b/>
          <w:bCs/>
          <w:rtl/>
          <w:lang w:eastAsia="de-DE"/>
        </w:rPr>
        <w:t>אֶת־אֲבֹתֵינוּ</w:t>
      </w:r>
      <w:r w:rsidRPr="008D3E71">
        <w:rPr>
          <w:rFonts w:eastAsia="Times New Roman"/>
          <w:rtl/>
          <w:lang w:eastAsia="de-DE"/>
        </w:rPr>
        <w:t xml:space="preserve"> </w:t>
      </w:r>
      <w:r w:rsidRPr="008D3E71">
        <w:rPr>
          <w:rFonts w:eastAsia="Times New Roman"/>
          <w:lang w:eastAsia="de-DE"/>
        </w:rPr>
        <w:t xml:space="preserve">als vorausgestelltes direktes Objekt zur Emphase (nota accusativi mit </w:t>
      </w:r>
      <w:r w:rsidRPr="008D3E71">
        <w:rPr>
          <w:rFonts w:eastAsia="Times New Roman"/>
          <w:b/>
          <w:bCs/>
          <w:rtl/>
          <w:lang w:eastAsia="de-DE"/>
        </w:rPr>
        <w:t>אָבוֹת</w:t>
      </w:r>
      <w:r w:rsidRPr="008D3E71">
        <w:rPr>
          <w:rFonts w:eastAsia="Times New Roman"/>
          <w:lang w:eastAsia="de-DE"/>
        </w:rPr>
        <w:t xml:space="preserve">, Plural, und Suffix 1. Person Plural), </w:t>
      </w:r>
      <w:r w:rsidRPr="008D3E71">
        <w:rPr>
          <w:rFonts w:eastAsia="Times New Roman"/>
          <w:b/>
          <w:bCs/>
          <w:rtl/>
          <w:lang w:eastAsia="de-DE"/>
        </w:rPr>
        <w:t>כָּרַת</w:t>
      </w:r>
      <w:r w:rsidRPr="008D3E71">
        <w:rPr>
          <w:rFonts w:eastAsia="Times New Roman"/>
          <w:rtl/>
          <w:lang w:eastAsia="de-DE"/>
        </w:rPr>
        <w:t xml:space="preserve"> </w:t>
      </w:r>
      <w:r w:rsidRPr="008D3E71">
        <w:rPr>
          <w:rFonts w:eastAsia="Times New Roman"/>
          <w:lang w:eastAsia="de-DE"/>
        </w:rPr>
        <w:t xml:space="preserve">als Qal Perfekt, 3. Person Singular maskulin von </w:t>
      </w:r>
      <w:r w:rsidRPr="008D3E71">
        <w:rPr>
          <w:rFonts w:eastAsia="Times New Roman"/>
          <w:b/>
          <w:bCs/>
          <w:rtl/>
          <w:lang w:eastAsia="de-DE"/>
        </w:rPr>
        <w:t>כרת</w:t>
      </w:r>
      <w:r w:rsidRPr="008D3E71">
        <w:rPr>
          <w:rFonts w:eastAsia="Times New Roman"/>
          <w:lang w:eastAsia="de-DE"/>
        </w:rPr>
        <w:t xml:space="preserve">, </w:t>
      </w:r>
      <w:r w:rsidRPr="008D3E71">
        <w:rPr>
          <w:rFonts w:eastAsia="Times New Roman"/>
          <w:b/>
          <w:bCs/>
          <w:rtl/>
          <w:lang w:eastAsia="de-DE"/>
        </w:rPr>
        <w:t>יְהוָה</w:t>
      </w:r>
      <w:r w:rsidRPr="008D3E71">
        <w:rPr>
          <w:rFonts w:eastAsia="Times New Roman"/>
          <w:rtl/>
          <w:lang w:eastAsia="de-DE"/>
        </w:rPr>
        <w:t xml:space="preserve"> </w:t>
      </w:r>
      <w:r w:rsidRPr="008D3E71">
        <w:rPr>
          <w:rFonts w:eastAsia="Times New Roman"/>
          <w:lang w:eastAsia="de-DE"/>
        </w:rPr>
        <w:t xml:space="preserve">als Subjekt, </w:t>
      </w:r>
      <w:r w:rsidRPr="008D3E71">
        <w:rPr>
          <w:rFonts w:eastAsia="Times New Roman"/>
          <w:b/>
          <w:bCs/>
          <w:rtl/>
          <w:lang w:eastAsia="de-DE"/>
        </w:rPr>
        <w:t>אֶת־הַבְּרִית הַזֹּאת</w:t>
      </w:r>
      <w:r w:rsidRPr="008D3E71">
        <w:rPr>
          <w:rFonts w:eastAsia="Times New Roman"/>
          <w:rtl/>
          <w:lang w:eastAsia="de-DE"/>
        </w:rPr>
        <w:t xml:space="preserve"> </w:t>
      </w:r>
      <w:r w:rsidRPr="008D3E71">
        <w:rPr>
          <w:rFonts w:eastAsia="Times New Roman"/>
          <w:lang w:eastAsia="de-DE"/>
        </w:rPr>
        <w:t xml:space="preserve">als weiteres direktes Objekt mit Demonstrativpronomen. Die Wiederholung des Objekts mit </w:t>
      </w:r>
      <w:r w:rsidRPr="008D3E71">
        <w:rPr>
          <w:rFonts w:eastAsia="Times New Roman"/>
          <w:b/>
          <w:bCs/>
          <w:rtl/>
          <w:lang w:eastAsia="de-DE"/>
        </w:rPr>
        <w:t>אֶת</w:t>
      </w:r>
      <w:r w:rsidRPr="008D3E71">
        <w:rPr>
          <w:rFonts w:eastAsia="Times New Roman"/>
          <w:rtl/>
          <w:lang w:eastAsia="de-DE"/>
        </w:rPr>
        <w:t xml:space="preserve"> </w:t>
      </w:r>
      <w:r w:rsidRPr="008D3E71">
        <w:rPr>
          <w:rFonts w:eastAsia="Times New Roman"/>
          <w:lang w:eastAsia="de-DE"/>
        </w:rPr>
        <w:t>ist emphasebildend.</w:t>
      </w:r>
    </w:p>
    <w:p w14:paraId="06F06FA4"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כִּי אִתָּנוּ אֲנַחְנוּ אֵלֶּה פֹה הַיּוֹם כֻּלָּנוּ חַיִּים</w:t>
      </w:r>
      <w:r w:rsidRPr="008D3E71">
        <w:rPr>
          <w:rFonts w:eastAsia="Times New Roman"/>
          <w:rtl/>
          <w:lang w:eastAsia="de-DE"/>
        </w:rPr>
        <w:t xml:space="preserve"> </w:t>
      </w:r>
      <w:r w:rsidRPr="008D3E71">
        <w:rPr>
          <w:rFonts w:eastAsia="Times New Roman"/>
          <w:lang w:eastAsia="de-DE"/>
        </w:rPr>
        <w:t xml:space="preserve">ist ein adversativer Satz: </w:t>
      </w:r>
      <w:r w:rsidRPr="008D3E71">
        <w:rPr>
          <w:rFonts w:eastAsia="Times New Roman"/>
          <w:b/>
          <w:bCs/>
          <w:rtl/>
          <w:lang w:eastAsia="de-DE"/>
        </w:rPr>
        <w:t>כִּי</w:t>
      </w:r>
      <w:r w:rsidRPr="008D3E71">
        <w:rPr>
          <w:rFonts w:eastAsia="Times New Roman"/>
          <w:rtl/>
          <w:lang w:eastAsia="de-DE"/>
        </w:rPr>
        <w:t xml:space="preserve"> </w:t>
      </w:r>
      <w:r w:rsidRPr="008D3E71">
        <w:rPr>
          <w:rFonts w:eastAsia="Times New Roman"/>
          <w:lang w:eastAsia="de-DE"/>
        </w:rPr>
        <w:t xml:space="preserve">(„sondern"), </w:t>
      </w:r>
      <w:r w:rsidRPr="008D3E71">
        <w:rPr>
          <w:rFonts w:eastAsia="Times New Roman"/>
          <w:b/>
          <w:bCs/>
          <w:rtl/>
          <w:lang w:eastAsia="de-DE"/>
        </w:rPr>
        <w:t>אִתָּנוּ</w:t>
      </w:r>
      <w:r w:rsidRPr="008D3E71">
        <w:rPr>
          <w:rFonts w:eastAsia="Times New Roman"/>
          <w:rtl/>
          <w:lang w:eastAsia="de-DE"/>
        </w:rPr>
        <w:t xml:space="preserve"> </w:t>
      </w:r>
      <w:r w:rsidRPr="008D3E71">
        <w:rPr>
          <w:rFonts w:eastAsia="Times New Roman"/>
          <w:lang w:eastAsia="de-DE"/>
        </w:rPr>
        <w:t xml:space="preserve">als Präposition </w:t>
      </w:r>
      <w:r w:rsidRPr="008D3E71">
        <w:rPr>
          <w:rFonts w:eastAsia="Times New Roman"/>
          <w:b/>
          <w:bCs/>
          <w:rtl/>
          <w:lang w:eastAsia="de-DE"/>
        </w:rPr>
        <w:t>אֵת</w:t>
      </w:r>
      <w:r w:rsidRPr="008D3E71">
        <w:rPr>
          <w:rFonts w:eastAsia="Times New Roman"/>
          <w:rtl/>
          <w:lang w:eastAsia="de-DE"/>
        </w:rPr>
        <w:t xml:space="preserve"> </w:t>
      </w:r>
      <w:r w:rsidRPr="008D3E71">
        <w:rPr>
          <w:rFonts w:eastAsia="Times New Roman"/>
          <w:lang w:eastAsia="de-DE"/>
        </w:rPr>
        <w:t xml:space="preserve">(„mit") mit Suffix 1. Person Plural, vorausgestellt, </w:t>
      </w:r>
      <w:r w:rsidRPr="008D3E71">
        <w:rPr>
          <w:rFonts w:eastAsia="Times New Roman"/>
          <w:b/>
          <w:bCs/>
          <w:rtl/>
          <w:lang w:eastAsia="de-DE"/>
        </w:rPr>
        <w:t>אֲנַחְנוּ</w:t>
      </w:r>
      <w:r w:rsidRPr="008D3E71">
        <w:rPr>
          <w:rFonts w:eastAsia="Times New Roman"/>
          <w:rtl/>
          <w:lang w:eastAsia="de-DE"/>
        </w:rPr>
        <w:t xml:space="preserve"> </w:t>
      </w:r>
      <w:r w:rsidRPr="008D3E71">
        <w:rPr>
          <w:rFonts w:eastAsia="Times New Roman"/>
          <w:lang w:eastAsia="de-DE"/>
        </w:rPr>
        <w:t xml:space="preserve">als emphatisches Personalpronomen, </w:t>
      </w:r>
      <w:r w:rsidRPr="008D3E71">
        <w:rPr>
          <w:rFonts w:eastAsia="Times New Roman"/>
          <w:b/>
          <w:bCs/>
          <w:rtl/>
          <w:lang w:eastAsia="de-DE"/>
        </w:rPr>
        <w:t>אֵלֶּה</w:t>
      </w:r>
      <w:r w:rsidRPr="008D3E71">
        <w:rPr>
          <w:rFonts w:eastAsia="Times New Roman"/>
          <w:rtl/>
          <w:lang w:eastAsia="de-DE"/>
        </w:rPr>
        <w:t xml:space="preserve"> </w:t>
      </w:r>
      <w:r w:rsidRPr="008D3E71">
        <w:rPr>
          <w:rFonts w:eastAsia="Times New Roman"/>
          <w:lang w:eastAsia="de-DE"/>
        </w:rPr>
        <w:t xml:space="preserve">als Demonstrativpronomen Plural („diese"), </w:t>
      </w:r>
      <w:r w:rsidRPr="008D3E71">
        <w:rPr>
          <w:rFonts w:eastAsia="Times New Roman"/>
          <w:b/>
          <w:bCs/>
          <w:rtl/>
          <w:lang w:eastAsia="de-DE"/>
        </w:rPr>
        <w:t>פֹה</w:t>
      </w:r>
      <w:r w:rsidRPr="008D3E71">
        <w:rPr>
          <w:rFonts w:eastAsia="Times New Roman"/>
          <w:rtl/>
          <w:lang w:eastAsia="de-DE"/>
        </w:rPr>
        <w:t xml:space="preserve"> </w:t>
      </w:r>
      <w:r w:rsidRPr="008D3E71">
        <w:rPr>
          <w:rFonts w:eastAsia="Times New Roman"/>
          <w:lang w:eastAsia="de-DE"/>
        </w:rPr>
        <w:t xml:space="preserve">als Ortsadverb („hier"), </w:t>
      </w:r>
      <w:r w:rsidRPr="008D3E71">
        <w:rPr>
          <w:rFonts w:eastAsia="Times New Roman"/>
          <w:b/>
          <w:bCs/>
          <w:rtl/>
          <w:lang w:eastAsia="de-DE"/>
        </w:rPr>
        <w:t>הַיּוֹם</w:t>
      </w:r>
      <w:r w:rsidRPr="008D3E71">
        <w:rPr>
          <w:rFonts w:eastAsia="Times New Roman"/>
          <w:rtl/>
          <w:lang w:eastAsia="de-DE"/>
        </w:rPr>
        <w:t xml:space="preserve"> </w:t>
      </w:r>
      <w:r w:rsidRPr="008D3E71">
        <w:rPr>
          <w:rFonts w:eastAsia="Times New Roman"/>
          <w:lang w:eastAsia="de-DE"/>
        </w:rPr>
        <w:t xml:space="preserve">als temporales Adverb, </w:t>
      </w:r>
      <w:r w:rsidRPr="008D3E71">
        <w:rPr>
          <w:rFonts w:eastAsia="Times New Roman"/>
          <w:b/>
          <w:bCs/>
          <w:rtl/>
          <w:lang w:eastAsia="de-DE"/>
        </w:rPr>
        <w:t>כֻּלָּנוּ</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כֹּל</w:t>
      </w:r>
      <w:r w:rsidRPr="008D3E71">
        <w:rPr>
          <w:rFonts w:eastAsia="Times New Roman"/>
          <w:lang w:eastAsia="de-DE"/>
        </w:rPr>
        <w:t xml:space="preserve">, „all", mit Suffix 1. Person Plural – „wir alle"), </w:t>
      </w:r>
      <w:r w:rsidRPr="008D3E71">
        <w:rPr>
          <w:rFonts w:eastAsia="Times New Roman"/>
          <w:b/>
          <w:bCs/>
          <w:rtl/>
          <w:lang w:eastAsia="de-DE"/>
        </w:rPr>
        <w:t>חַיִּים</w:t>
      </w:r>
      <w:r w:rsidRPr="008D3E71">
        <w:rPr>
          <w:rFonts w:eastAsia="Times New Roman"/>
          <w:rtl/>
          <w:lang w:eastAsia="de-DE"/>
        </w:rPr>
        <w:t xml:space="preserve"> </w:t>
      </w:r>
      <w:r w:rsidRPr="008D3E71">
        <w:rPr>
          <w:rFonts w:eastAsia="Times New Roman"/>
          <w:lang w:eastAsia="de-DE"/>
        </w:rPr>
        <w:t xml:space="preserve">als Qal Partizip Plural maskulin von </w:t>
      </w:r>
      <w:r w:rsidRPr="008D3E71">
        <w:rPr>
          <w:rFonts w:eastAsia="Times New Roman"/>
          <w:b/>
          <w:bCs/>
          <w:rtl/>
          <w:lang w:eastAsia="de-DE"/>
        </w:rPr>
        <w:t>חיה</w:t>
      </w:r>
      <w:r w:rsidRPr="008D3E71">
        <w:rPr>
          <w:rFonts w:eastAsia="Times New Roman"/>
          <w:rtl/>
          <w:lang w:eastAsia="de-DE"/>
        </w:rPr>
        <w:t xml:space="preserve"> </w:t>
      </w:r>
      <w:r w:rsidRPr="008D3E71">
        <w:rPr>
          <w:rFonts w:eastAsia="Times New Roman"/>
          <w:lang w:eastAsia="de-DE"/>
        </w:rPr>
        <w:t>(„leben") – prädikativ „lebend, am Leben".</w:t>
      </w:r>
    </w:p>
    <w:p w14:paraId="349D61AF" w14:textId="77777777" w:rsidR="00A449B0" w:rsidRDefault="00A449B0" w:rsidP="00A449B0">
      <w:pPr>
        <w:pStyle w:val="StandardWeb"/>
      </w:pPr>
      <w:r>
        <w:t xml:space="preserve">Die Formulierung </w:t>
      </w:r>
      <w:r>
        <w:rPr>
          <w:rStyle w:val="Fett"/>
          <w:rFonts w:eastAsiaTheme="majorEastAsia"/>
          <w:rtl/>
        </w:rPr>
        <w:t>לֹ֣א אֶת־אֲבֹתֵ֔ינוּ</w:t>
      </w:r>
      <w:r>
        <w:rPr>
          <w:rtl/>
        </w:rPr>
        <w:t xml:space="preserve"> </w:t>
      </w:r>
      <w:r>
        <w:t>wirft mehrere Deutungsnuancen auf, die in der Forschung unterschiedlich gewichtet werden:</w:t>
      </w:r>
    </w:p>
    <w:p w14:paraId="14B950B7" w14:textId="77777777" w:rsidR="00A449B0" w:rsidRDefault="00A449B0" w:rsidP="00A449B0">
      <w:pPr>
        <w:pStyle w:val="StandardWeb"/>
        <w:numPr>
          <w:ilvl w:val="0"/>
          <w:numId w:val="28"/>
        </w:numPr>
      </w:pPr>
      <w:r>
        <w:rPr>
          <w:rStyle w:val="Fett"/>
          <w:rFonts w:eastAsiaTheme="majorEastAsia"/>
        </w:rPr>
        <w:t xml:space="preserve">Option 1: „Nicht </w:t>
      </w:r>
      <w:r>
        <w:rPr>
          <w:rStyle w:val="Hervorhebung"/>
          <w:rFonts w:eastAsiaTheme="majorEastAsia"/>
          <w:b/>
          <w:bCs/>
        </w:rPr>
        <w:t>nur</w:t>
      </w:r>
      <w:r>
        <w:rPr>
          <w:rStyle w:val="Fett"/>
          <w:rFonts w:eastAsiaTheme="majorEastAsia"/>
        </w:rPr>
        <w:t xml:space="preserve"> mit unseren Vätern“ – inklusive Erweiterung</w:t>
      </w:r>
      <w:r>
        <w:br/>
        <w:t xml:space="preserve">Der Satz wird als elliptische oder kontrastive Verkürzung verstanden: Nicht ausschließlich die Vorfahren waren Adressaten des Bundes, sondern ebenso die gegenwärtige Generation. Diese Lesart betont die </w:t>
      </w:r>
      <w:r>
        <w:rPr>
          <w:rStyle w:val="Fett"/>
          <w:rFonts w:eastAsiaTheme="majorEastAsia"/>
        </w:rPr>
        <w:t>Bundeskontinuität</w:t>
      </w:r>
      <w:r>
        <w:t xml:space="preserve"> und macht die Hörenden zu unmittelbaren Teilnehmern der Sinai-Offenbarung.</w:t>
      </w:r>
    </w:p>
    <w:p w14:paraId="245A43AA" w14:textId="77777777" w:rsidR="00A449B0" w:rsidRDefault="00A449B0" w:rsidP="00A449B0">
      <w:pPr>
        <w:pStyle w:val="StandardWeb"/>
        <w:numPr>
          <w:ilvl w:val="0"/>
          <w:numId w:val="28"/>
        </w:numPr>
      </w:pPr>
      <w:r>
        <w:rPr>
          <w:rStyle w:val="Fett"/>
          <w:rFonts w:eastAsiaTheme="majorEastAsia"/>
        </w:rPr>
        <w:t>Option 2: Identifikation der „Väter“ mit der Exodusgeneration, die bereits verstorben ist</w:t>
      </w:r>
      <w:r>
        <w:br/>
        <w:t xml:space="preserve">Hier wird die Aussage wörtlich genommen: Die damaligen Hörer (die Wüstengeborenen) waren bei der Sinai-Episode nicht präsent; die „Väter“ sind die Auszugs- und Erstgeneration, die in der Wüste starb. Damit dient die Formulierung der </w:t>
      </w:r>
      <w:r>
        <w:rPr>
          <w:rStyle w:val="Fett"/>
          <w:rFonts w:eastAsiaTheme="majorEastAsia"/>
        </w:rPr>
        <w:t>Neuverortung der aktuellen Generation</w:t>
      </w:r>
      <w:r>
        <w:t xml:space="preserve"> als eigenständige Bundepoche.</w:t>
      </w:r>
    </w:p>
    <w:p w14:paraId="35E299AA" w14:textId="77777777" w:rsidR="00A449B0" w:rsidRDefault="00A449B0" w:rsidP="00A449B0">
      <w:pPr>
        <w:pStyle w:val="StandardWeb"/>
        <w:numPr>
          <w:ilvl w:val="0"/>
          <w:numId w:val="28"/>
        </w:numPr>
      </w:pPr>
      <w:r>
        <w:rPr>
          <w:rStyle w:val="Fett"/>
          <w:rFonts w:eastAsiaTheme="majorEastAsia"/>
        </w:rPr>
        <w:t>Option 3: Rhetorische Übertreibung (Hyperbel) zur Betonung der Aktualität</w:t>
      </w:r>
      <w:r>
        <w:br/>
        <w:t xml:space="preserve">Die Aussage wird als homiletische Zuspitzung verstanden: Deuteronomium macht die Sinai-Offenbarung </w:t>
      </w:r>
      <w:r>
        <w:rPr>
          <w:rStyle w:val="Fett"/>
          <w:rFonts w:eastAsiaTheme="majorEastAsia"/>
        </w:rPr>
        <w:t>gegenwärtig</w:t>
      </w:r>
      <w:r>
        <w:t xml:space="preserve"> und vergegenwärtigt sie liturgisch. Der Bund wird nicht historisiert, sondern aktualisiert – „als ob“ er jetzt erst geschlossen werde. Die Pointe liegt in der </w:t>
      </w:r>
      <w:r>
        <w:rPr>
          <w:rStyle w:val="Fett"/>
          <w:rFonts w:eastAsiaTheme="majorEastAsia"/>
        </w:rPr>
        <w:t>Erlebnisunmittelbarkeit</w:t>
      </w:r>
      <w:r>
        <w:t>, nicht in präziser Historiografie.</w:t>
      </w:r>
    </w:p>
    <w:p w14:paraId="512DDE7B" w14:textId="77777777" w:rsidR="00A449B0" w:rsidRDefault="00A449B0" w:rsidP="00A449B0">
      <w:pPr>
        <w:pStyle w:val="StandardWeb"/>
      </w:pPr>
      <w:r>
        <w:t xml:space="preserve">Diese drei Lesarten stehen nicht exklusiv zueinander; Option 1 und 3 können sich ergänzen, während Option 2 stärker historisch-differenzierend liest. Jede deutet jedoch auf dasselbe Ziel: Die </w:t>
      </w:r>
      <w:r>
        <w:rPr>
          <w:rStyle w:val="Fett"/>
          <w:rFonts w:eastAsiaTheme="majorEastAsia"/>
        </w:rPr>
        <w:t>Gegenwart Israels</w:t>
      </w:r>
      <w:r>
        <w:t xml:space="preserve"> wird in die fortlaufende Geltung des Sinai-Bundes hineingenommen.</w:t>
      </w:r>
    </w:p>
    <w:p w14:paraId="43DB53E8"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lastRenderedPageBreak/>
        <w:t>Die Satzstruktur besteht aus einem negierten Satz mit vorausgestelltem Objekt zur Emphase, Prädikat, Subjekt und weiterem direktem Objekt mit Demonstrativpronomen, gefolgt von einem adversativen Satz mit vorausgestelltem präpositionalem Objekt, fünffacher emphatischer Subjektbestimmung (emphatisches Pronomen, Demonstrativpronomen, Ortsadverb, temporales Adverb, universales Pronomen mit Suffix) und prädikativem Partizip. Die kumulative Struktur schafft maximale rhetorische Emphase.</w:t>
      </w:r>
    </w:p>
    <w:p w14:paraId="502ECD70"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Der Vers betont radikal die Aktualität des Sinai-Bundes: Er gilt nicht nur historisch für die Vätergeneration, sondern unmittelbar für jede gegenwärtige Generation Israels.</w:t>
      </w:r>
    </w:p>
    <w:p w14:paraId="2E8C1994"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5,4</w:t>
      </w:r>
    </w:p>
    <w:p w14:paraId="4FBE1F14"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פָּנִים בְּפָנִים דִּבֶּר יְהוָה עִמָּכֶם בָּהָר מִתּוֹךְ הָאֵשׁ׃</w:t>
      </w:r>
    </w:p>
    <w:p w14:paraId="4BBB13B6"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Von Angesicht zu Angesicht hat der Ewige mit euch geredet auf dem Berg mitten aus dem Feuer.</w:t>
      </w:r>
    </w:p>
    <w:p w14:paraId="62F017F7"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37D4AE92">
          <v:rect id="_x0000_i1189" style="width:0;height:1.5pt" o:hralign="center" o:hrstd="t" o:hr="t" fillcolor="#a0a0a0" stroked="f"/>
        </w:pict>
      </w:r>
    </w:p>
    <w:p w14:paraId="2FD43952"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פָּנִים בְּפָנִים</w:t>
      </w:r>
      <w:r w:rsidRPr="008D3E71">
        <w:rPr>
          <w:rFonts w:eastAsia="Times New Roman"/>
          <w:rtl/>
          <w:lang w:eastAsia="de-DE"/>
        </w:rPr>
        <w:t xml:space="preserve"> </w:t>
      </w:r>
      <w:r w:rsidRPr="008D3E71">
        <w:rPr>
          <w:rFonts w:eastAsia="Times New Roman"/>
          <w:lang w:eastAsia="de-DE"/>
        </w:rPr>
        <w:t xml:space="preserve">ist eine adverbiale Wendung: </w:t>
      </w:r>
      <w:r w:rsidRPr="008D3E71">
        <w:rPr>
          <w:rFonts w:eastAsia="Times New Roman"/>
          <w:b/>
          <w:bCs/>
          <w:rtl/>
          <w:lang w:eastAsia="de-DE"/>
        </w:rPr>
        <w:t>פָּנִים</w:t>
      </w:r>
      <w:r w:rsidRPr="008D3E71">
        <w:rPr>
          <w:rFonts w:eastAsia="Times New Roman"/>
          <w:rtl/>
          <w:lang w:eastAsia="de-DE"/>
        </w:rPr>
        <w:t xml:space="preserve"> </w:t>
      </w:r>
      <w:r w:rsidRPr="008D3E71">
        <w:rPr>
          <w:rFonts w:eastAsia="Times New Roman"/>
          <w:lang w:eastAsia="de-DE"/>
        </w:rPr>
        <w:t xml:space="preserve">(Plural von </w:t>
      </w:r>
      <w:r w:rsidRPr="008D3E71">
        <w:rPr>
          <w:rFonts w:eastAsia="Times New Roman"/>
          <w:b/>
          <w:bCs/>
          <w:rtl/>
          <w:lang w:eastAsia="de-DE"/>
        </w:rPr>
        <w:t>פָּנֶה</w:t>
      </w:r>
      <w:r w:rsidRPr="008D3E71">
        <w:rPr>
          <w:rFonts w:eastAsia="Times New Roman"/>
          <w:lang w:eastAsia="de-DE"/>
        </w:rPr>
        <w:t xml:space="preserve">, „Angesicht") wiederholt mit Präposition </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 „Angesicht in Angesicht, von Angesicht zu Angesicht". Diese Formel drückt direkte, unmittelbare Begegnung aus (vgl. Ex 33,11; Dtn 34,10). </w:t>
      </w:r>
      <w:r w:rsidRPr="008D3E71">
        <w:rPr>
          <w:rFonts w:eastAsia="Times New Roman"/>
          <w:b/>
          <w:bCs/>
          <w:rtl/>
          <w:lang w:eastAsia="de-DE"/>
        </w:rPr>
        <w:t>דִּבֶּר יְהוָה עִמָּכֶם</w:t>
      </w:r>
      <w:r w:rsidRPr="008D3E71">
        <w:rPr>
          <w:rFonts w:eastAsia="Times New Roman"/>
          <w:rtl/>
          <w:lang w:eastAsia="de-DE"/>
        </w:rPr>
        <w:t xml:space="preserve"> </w:t>
      </w:r>
      <w:r w:rsidRPr="008D3E71">
        <w:rPr>
          <w:rFonts w:eastAsia="Times New Roman"/>
          <w:lang w:eastAsia="de-DE"/>
        </w:rPr>
        <w:t xml:space="preserve">ist Piel Perfekt, 3. Person Singular maskulin von </w:t>
      </w:r>
      <w:r w:rsidRPr="008D3E71">
        <w:rPr>
          <w:rFonts w:eastAsia="Times New Roman"/>
          <w:b/>
          <w:bCs/>
          <w:rtl/>
          <w:lang w:eastAsia="de-DE"/>
        </w:rPr>
        <w:t>דבר</w:t>
      </w:r>
      <w:r w:rsidRPr="008D3E71">
        <w:rPr>
          <w:rFonts w:eastAsia="Times New Roman"/>
          <w:rtl/>
          <w:lang w:eastAsia="de-DE"/>
        </w:rPr>
        <w:t xml:space="preserve"> </w:t>
      </w:r>
      <w:r w:rsidRPr="008D3E71">
        <w:rPr>
          <w:rFonts w:eastAsia="Times New Roman"/>
          <w:lang w:eastAsia="de-DE"/>
        </w:rPr>
        <w:t xml:space="preserve">(„reden, sprechen"), </w:t>
      </w:r>
      <w:r w:rsidRPr="008D3E71">
        <w:rPr>
          <w:rFonts w:eastAsia="Times New Roman"/>
          <w:b/>
          <w:bCs/>
          <w:rtl/>
          <w:lang w:eastAsia="de-DE"/>
        </w:rPr>
        <w:t>יְהוָה</w:t>
      </w:r>
      <w:r w:rsidRPr="008D3E71">
        <w:rPr>
          <w:rFonts w:eastAsia="Times New Roman"/>
          <w:rtl/>
          <w:lang w:eastAsia="de-DE"/>
        </w:rPr>
        <w:t xml:space="preserve"> </w:t>
      </w:r>
      <w:r w:rsidRPr="008D3E71">
        <w:rPr>
          <w:rFonts w:eastAsia="Times New Roman"/>
          <w:lang w:eastAsia="de-DE"/>
        </w:rPr>
        <w:t xml:space="preserve">als Subjekt, </w:t>
      </w:r>
      <w:r w:rsidRPr="008D3E71">
        <w:rPr>
          <w:rFonts w:eastAsia="Times New Roman"/>
          <w:b/>
          <w:bCs/>
          <w:rtl/>
          <w:lang w:eastAsia="de-DE"/>
        </w:rPr>
        <w:t>עִמָּכֶם</w:t>
      </w:r>
      <w:r w:rsidRPr="008D3E71">
        <w:rPr>
          <w:rFonts w:eastAsia="Times New Roman"/>
          <w:rtl/>
          <w:lang w:eastAsia="de-DE"/>
        </w:rPr>
        <w:t xml:space="preserve"> </w:t>
      </w:r>
      <w:r w:rsidRPr="008D3E71">
        <w:rPr>
          <w:rFonts w:eastAsia="Times New Roman"/>
          <w:lang w:eastAsia="de-DE"/>
        </w:rPr>
        <w:t xml:space="preserve">als Präposition </w:t>
      </w:r>
      <w:r w:rsidRPr="008D3E71">
        <w:rPr>
          <w:rFonts w:eastAsia="Times New Roman"/>
          <w:b/>
          <w:bCs/>
          <w:rtl/>
          <w:lang w:eastAsia="de-DE"/>
        </w:rPr>
        <w:t>עִם</w:t>
      </w:r>
      <w:r w:rsidRPr="008D3E71">
        <w:rPr>
          <w:rFonts w:eastAsia="Times New Roman"/>
          <w:rtl/>
          <w:lang w:eastAsia="de-DE"/>
        </w:rPr>
        <w:t xml:space="preserve"> </w:t>
      </w:r>
      <w:r w:rsidRPr="008D3E71">
        <w:rPr>
          <w:rFonts w:eastAsia="Times New Roman"/>
          <w:lang w:eastAsia="de-DE"/>
        </w:rPr>
        <w:t>(„mit") mit Suffix 2. Person Plural maskulin.</w:t>
      </w:r>
    </w:p>
    <w:p w14:paraId="7BA7C96A"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בָּהָר מִתּוֹךְ הָאֵשׁ</w:t>
      </w:r>
      <w:r w:rsidRPr="008D3E71">
        <w:rPr>
          <w:rFonts w:eastAsia="Times New Roman"/>
          <w:rtl/>
          <w:lang w:eastAsia="de-DE"/>
        </w:rPr>
        <w:t xml:space="preserve"> </w:t>
      </w:r>
      <w:r w:rsidRPr="008D3E71">
        <w:rPr>
          <w:rFonts w:eastAsia="Times New Roman"/>
          <w:lang w:eastAsia="de-DE"/>
        </w:rPr>
        <w:t xml:space="preserve">ist eine doppelte Ortsangabe: </w:t>
      </w:r>
      <w:r w:rsidRPr="008D3E71">
        <w:rPr>
          <w:rFonts w:eastAsia="Times New Roman"/>
          <w:b/>
          <w:bCs/>
          <w:rtl/>
          <w:lang w:eastAsia="de-DE"/>
        </w:rPr>
        <w:t>בָּהָר</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הָהָר</w:t>
      </w:r>
      <w:r w:rsidRPr="008D3E71">
        <w:rPr>
          <w:rFonts w:eastAsia="Times New Roman"/>
          <w:lang w:eastAsia="de-DE"/>
        </w:rPr>
        <w:t xml:space="preserve">, „der Berg", mit Artikel) und </w:t>
      </w:r>
      <w:r w:rsidRPr="008D3E71">
        <w:rPr>
          <w:rFonts w:eastAsia="Times New Roman"/>
          <w:b/>
          <w:bCs/>
          <w:rtl/>
          <w:lang w:eastAsia="de-DE"/>
        </w:rPr>
        <w:t>מִתּוֹךְ הָאֵשׁ</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מִן</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תּוֹךְ</w:t>
      </w:r>
      <w:r w:rsidRPr="008D3E71">
        <w:rPr>
          <w:rFonts w:eastAsia="Times New Roman"/>
          <w:lang w:eastAsia="de-DE"/>
        </w:rPr>
        <w:t xml:space="preserve">, „Mitte", im Construct und </w:t>
      </w:r>
      <w:r w:rsidRPr="008D3E71">
        <w:rPr>
          <w:rFonts w:eastAsia="Times New Roman"/>
          <w:b/>
          <w:bCs/>
          <w:rtl/>
          <w:lang w:eastAsia="de-DE"/>
        </w:rPr>
        <w:t>הָאֵשׁ</w:t>
      </w:r>
      <w:r w:rsidRPr="008D3E71">
        <w:rPr>
          <w:rFonts w:eastAsia="Times New Roman"/>
          <w:lang w:eastAsia="de-DE"/>
        </w:rPr>
        <w:t>, „das Feuer") – „mitten aus dem Feuer". Die Kombination betont die paradoxe Natur der Offenbarung: direkte Begegnung („von Angesicht zu Angesicht") und doch vermittelt durch das Feuer, ohne visuelle Gestalt (vgl. 4,12.15).</w:t>
      </w:r>
    </w:p>
    <w:p w14:paraId="6EE6E469"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Die Wendung </w:t>
      </w:r>
      <w:r w:rsidRPr="008D3E71">
        <w:rPr>
          <w:rFonts w:eastAsia="Times New Roman"/>
          <w:b/>
          <w:bCs/>
          <w:rtl/>
          <w:lang w:eastAsia="de-DE"/>
        </w:rPr>
        <w:t>פָּנִים בְּפָנִים</w:t>
      </w:r>
      <w:r w:rsidRPr="008D3E71">
        <w:rPr>
          <w:rFonts w:eastAsia="Times New Roman"/>
          <w:rtl/>
          <w:lang w:eastAsia="de-DE"/>
        </w:rPr>
        <w:t xml:space="preserve"> </w:t>
      </w:r>
      <w:r w:rsidRPr="008D3E71">
        <w:rPr>
          <w:rFonts w:eastAsia="Times New Roman"/>
          <w:lang w:eastAsia="de-DE"/>
        </w:rPr>
        <w:t xml:space="preserve">steht in gewisser Spannung zu 4,12, wo betont wird, dass Israel keine Gestalt sah. Die Auflösung liegt darin, dass </w:t>
      </w:r>
      <w:r w:rsidRPr="008D3E71">
        <w:rPr>
          <w:rFonts w:eastAsia="Times New Roman"/>
          <w:b/>
          <w:bCs/>
          <w:rtl/>
          <w:lang w:eastAsia="de-DE"/>
        </w:rPr>
        <w:t>פָּנִים בְּפָנִים</w:t>
      </w:r>
      <w:r w:rsidRPr="008D3E71">
        <w:rPr>
          <w:rFonts w:eastAsia="Times New Roman"/>
          <w:rtl/>
          <w:lang w:eastAsia="de-DE"/>
        </w:rPr>
        <w:t xml:space="preserve"> </w:t>
      </w:r>
      <w:r w:rsidRPr="008D3E71">
        <w:rPr>
          <w:rFonts w:eastAsia="Times New Roman"/>
          <w:lang w:eastAsia="de-DE"/>
        </w:rPr>
        <w:t>die Unmittelbarkeit und Direktheit der Kommunikation betont, nicht notwendigerweise eine visuelle Begegnung.</w:t>
      </w:r>
    </w:p>
    <w:p w14:paraId="2AD5888E"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Die Satzstruktur ist ein einfacher Verbalsatz mit vorangestellter adverbialer Formel zur Emphase, Prädikat, Subjekt, präpositionalem Objekt und doppelter Ortsangabe. Die Voranstellung der Formel </w:t>
      </w:r>
      <w:r w:rsidRPr="008D3E71">
        <w:rPr>
          <w:rFonts w:eastAsia="Times New Roman"/>
          <w:b/>
          <w:bCs/>
          <w:rtl/>
          <w:lang w:eastAsia="de-DE"/>
        </w:rPr>
        <w:t>פָּנִים בְּפָנִים</w:t>
      </w:r>
      <w:r w:rsidRPr="008D3E71">
        <w:rPr>
          <w:rFonts w:eastAsia="Times New Roman"/>
          <w:rtl/>
          <w:lang w:eastAsia="de-DE"/>
        </w:rPr>
        <w:t xml:space="preserve"> </w:t>
      </w:r>
      <w:r w:rsidRPr="008D3E71">
        <w:rPr>
          <w:rFonts w:eastAsia="Times New Roman"/>
          <w:lang w:eastAsia="de-DE"/>
        </w:rPr>
        <w:t>unterstreicht die Besonderheit dieser Gottesbegegnung.</w:t>
      </w:r>
    </w:p>
    <w:p w14:paraId="5CE48587"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Der Vers betont die Unmittelbarkeit der Sinai-Offenbarung: JHWH redete direkt mit Israel, von Angesicht zu Angesicht, auf dem Berg aus dem Feuer heraus.</w:t>
      </w:r>
    </w:p>
    <w:p w14:paraId="45E372FF"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5,5</w:t>
      </w:r>
    </w:p>
    <w:p w14:paraId="41BF6A24"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אָנֹכִי עֹמֵד בֵּין־יְהוָה וּבֵינֵיכֶם בָּעֵת הַהִוא לְהַגִּיד לָכֶם אֶת־דְּבַר יְהוָה כִּי יְרֵאתֶם מִפְּנֵי הָאֵשׁ וְלֹא־עֲלִיתֶם בָּהָר לֵאמֹר׃</w:t>
      </w:r>
    </w:p>
    <w:p w14:paraId="6757C82F"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lastRenderedPageBreak/>
        <w:t>Deutsch:</w:t>
      </w:r>
      <w:r w:rsidRPr="008D3E71">
        <w:rPr>
          <w:rFonts w:eastAsia="Times New Roman"/>
          <w:lang w:eastAsia="de-DE"/>
        </w:rPr>
        <w:t xml:space="preserve"> Ich stand zwischen dem Ewigen und zwischen euch in jener Zeit, um euch das Wort des Ewigen zu verkünden; denn ihr fürchtetet euch vor dem Feuer und stiegt nicht auf den Berg, sagend:</w:t>
      </w:r>
    </w:p>
    <w:p w14:paraId="2DA79C80"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7539E2A4">
          <v:rect id="_x0000_i1190" style="width:0;height:1.5pt" o:hralign="center" o:hrstd="t" o:hr="t" fillcolor="#a0a0a0" stroked="f"/>
        </w:pict>
      </w:r>
    </w:p>
    <w:p w14:paraId="122BA3C8"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אָנֹכִי עֹמֵד בֵּין־יְהוָה וּבֵינֵיכֶם בָּעֵת הַהִוא</w:t>
      </w:r>
      <w:r w:rsidRPr="008D3E71">
        <w:rPr>
          <w:rFonts w:eastAsia="Times New Roman"/>
          <w:rtl/>
          <w:lang w:eastAsia="de-DE"/>
        </w:rPr>
        <w:t xml:space="preserve"> </w:t>
      </w:r>
      <w:r w:rsidRPr="008D3E71">
        <w:rPr>
          <w:rFonts w:eastAsia="Times New Roman"/>
          <w:lang w:eastAsia="de-DE"/>
        </w:rPr>
        <w:t xml:space="preserve">ist ein nominaler Satz mit partizipialem Prädikat: </w:t>
      </w:r>
      <w:r w:rsidRPr="008D3E71">
        <w:rPr>
          <w:rFonts w:eastAsia="Times New Roman"/>
          <w:b/>
          <w:bCs/>
          <w:rtl/>
          <w:lang w:eastAsia="de-DE"/>
        </w:rPr>
        <w:t>אָנֹכִי</w:t>
      </w:r>
      <w:r w:rsidRPr="008D3E71">
        <w:rPr>
          <w:rFonts w:eastAsia="Times New Roman"/>
          <w:rtl/>
          <w:lang w:eastAsia="de-DE"/>
        </w:rPr>
        <w:t xml:space="preserve"> </w:t>
      </w:r>
      <w:r w:rsidRPr="008D3E71">
        <w:rPr>
          <w:rFonts w:eastAsia="Times New Roman"/>
          <w:lang w:eastAsia="de-DE"/>
        </w:rPr>
        <w:t xml:space="preserve">als emphatisches Personalpronomen („ich"), </w:t>
      </w:r>
      <w:r w:rsidRPr="008D3E71">
        <w:rPr>
          <w:rFonts w:eastAsia="Times New Roman"/>
          <w:b/>
          <w:bCs/>
          <w:rtl/>
          <w:lang w:eastAsia="de-DE"/>
        </w:rPr>
        <w:t>עֹמֵד</w:t>
      </w:r>
      <w:r w:rsidRPr="008D3E71">
        <w:rPr>
          <w:rFonts w:eastAsia="Times New Roman"/>
          <w:rtl/>
          <w:lang w:eastAsia="de-DE"/>
        </w:rPr>
        <w:t xml:space="preserve"> </w:t>
      </w:r>
      <w:r w:rsidRPr="008D3E71">
        <w:rPr>
          <w:rFonts w:eastAsia="Times New Roman"/>
          <w:lang w:eastAsia="de-DE"/>
        </w:rPr>
        <w:t xml:space="preserve">als Qal Partizip Singular maskulin von </w:t>
      </w:r>
      <w:r w:rsidRPr="008D3E71">
        <w:rPr>
          <w:rFonts w:eastAsia="Times New Roman"/>
          <w:b/>
          <w:bCs/>
          <w:rtl/>
          <w:lang w:eastAsia="de-DE"/>
        </w:rPr>
        <w:t>עמד</w:t>
      </w:r>
      <w:r w:rsidRPr="008D3E71">
        <w:rPr>
          <w:rFonts w:eastAsia="Times New Roman"/>
          <w:rtl/>
          <w:lang w:eastAsia="de-DE"/>
        </w:rPr>
        <w:t xml:space="preserve"> </w:t>
      </w:r>
      <w:r w:rsidRPr="008D3E71">
        <w:rPr>
          <w:rFonts w:eastAsia="Times New Roman"/>
          <w:lang w:eastAsia="de-DE"/>
        </w:rPr>
        <w:t xml:space="preserve">(„stehen"), </w:t>
      </w:r>
      <w:r w:rsidRPr="008D3E71">
        <w:rPr>
          <w:rFonts w:eastAsia="Times New Roman"/>
          <w:b/>
          <w:bCs/>
          <w:rtl/>
          <w:lang w:eastAsia="de-DE"/>
        </w:rPr>
        <w:t>בֵּין־יְהוָה וּבֵינֵיכֶם</w:t>
      </w:r>
      <w:r w:rsidRPr="008D3E71">
        <w:rPr>
          <w:rFonts w:eastAsia="Times New Roman"/>
          <w:rtl/>
          <w:lang w:eastAsia="de-DE"/>
        </w:rPr>
        <w:t xml:space="preserve"> </w:t>
      </w:r>
      <w:r w:rsidRPr="008D3E71">
        <w:rPr>
          <w:rFonts w:eastAsia="Times New Roman"/>
          <w:lang w:eastAsia="de-DE"/>
        </w:rPr>
        <w:t>als doppelte Ortsangabe (</w:t>
      </w:r>
      <w:r w:rsidRPr="008D3E71">
        <w:rPr>
          <w:rFonts w:eastAsia="Times New Roman"/>
          <w:b/>
          <w:bCs/>
          <w:rtl/>
          <w:lang w:eastAsia="de-DE"/>
        </w:rPr>
        <w:t>בֵּין</w:t>
      </w:r>
      <w:r w:rsidRPr="008D3E71">
        <w:rPr>
          <w:rFonts w:eastAsia="Times New Roman"/>
          <w:lang w:eastAsia="de-DE"/>
        </w:rPr>
        <w:t xml:space="preserve">, „zwischen", mit </w:t>
      </w:r>
      <w:r w:rsidRPr="008D3E71">
        <w:rPr>
          <w:rFonts w:eastAsia="Times New Roman"/>
          <w:b/>
          <w:bCs/>
          <w:rtl/>
          <w:lang w:eastAsia="de-DE"/>
        </w:rPr>
        <w:t>יְהוָה</w:t>
      </w:r>
      <w:r w:rsidRPr="008D3E71">
        <w:rPr>
          <w:rFonts w:eastAsia="Times New Roman"/>
          <w:rtl/>
          <w:lang w:eastAsia="de-DE"/>
        </w:rPr>
        <w:t xml:space="preserve"> </w:t>
      </w:r>
      <w:r w:rsidRPr="008D3E71">
        <w:rPr>
          <w:rFonts w:eastAsia="Times New Roman"/>
          <w:lang w:eastAsia="de-DE"/>
        </w:rPr>
        <w:t xml:space="preserve">und koordiniert </w:t>
      </w:r>
      <w:r w:rsidRPr="008D3E71">
        <w:rPr>
          <w:rFonts w:eastAsia="Times New Roman"/>
          <w:b/>
          <w:bCs/>
          <w:rtl/>
          <w:lang w:eastAsia="de-DE"/>
        </w:rPr>
        <w:t>וּבֵינֵיכֶם</w:t>
      </w:r>
      <w:r w:rsidRPr="008D3E71">
        <w:rPr>
          <w:rFonts w:eastAsia="Times New Roman"/>
          <w:rtl/>
          <w:lang w:eastAsia="de-DE"/>
        </w:rPr>
        <w:t xml:space="preserve"> </w:t>
      </w:r>
      <w:r w:rsidRPr="008D3E71">
        <w:rPr>
          <w:rFonts w:eastAsia="Times New Roman"/>
          <w:lang w:eastAsia="de-DE"/>
        </w:rPr>
        <w:t xml:space="preserve">– </w:t>
      </w:r>
      <w:r w:rsidRPr="008D3E71">
        <w:rPr>
          <w:rFonts w:eastAsia="Times New Roman"/>
          <w:b/>
          <w:bCs/>
          <w:rtl/>
          <w:lang w:eastAsia="de-DE"/>
        </w:rPr>
        <w:t>בֵּין</w:t>
      </w:r>
      <w:r w:rsidRPr="008D3E71">
        <w:rPr>
          <w:rFonts w:eastAsia="Times New Roman"/>
          <w:rtl/>
          <w:lang w:eastAsia="de-DE"/>
        </w:rPr>
        <w:t xml:space="preserve"> </w:t>
      </w:r>
      <w:r w:rsidRPr="008D3E71">
        <w:rPr>
          <w:rFonts w:eastAsia="Times New Roman"/>
          <w:lang w:eastAsia="de-DE"/>
        </w:rPr>
        <w:t xml:space="preserve">mit Suffix 2. Person Plural maskulin), </w:t>
      </w:r>
      <w:r w:rsidRPr="008D3E71">
        <w:rPr>
          <w:rFonts w:eastAsia="Times New Roman"/>
          <w:b/>
          <w:bCs/>
          <w:rtl/>
          <w:lang w:eastAsia="de-DE"/>
        </w:rPr>
        <w:t>בָּעֵת הַהִוא</w:t>
      </w:r>
      <w:r w:rsidRPr="008D3E71">
        <w:rPr>
          <w:rFonts w:eastAsia="Times New Roman"/>
          <w:rtl/>
          <w:lang w:eastAsia="de-DE"/>
        </w:rPr>
        <w:t xml:space="preserve"> </w:t>
      </w:r>
      <w:r w:rsidRPr="008D3E71">
        <w:rPr>
          <w:rFonts w:eastAsia="Times New Roman"/>
          <w:lang w:eastAsia="de-DE"/>
        </w:rPr>
        <w:t xml:space="preserve">als temporale Bestimmung. Die doppelte Verwendung von </w:t>
      </w:r>
      <w:r w:rsidRPr="008D3E71">
        <w:rPr>
          <w:rFonts w:eastAsia="Times New Roman"/>
          <w:b/>
          <w:bCs/>
          <w:rtl/>
          <w:lang w:eastAsia="de-DE"/>
        </w:rPr>
        <w:t>בֵּין</w:t>
      </w:r>
      <w:r w:rsidRPr="008D3E71">
        <w:rPr>
          <w:rFonts w:eastAsia="Times New Roman"/>
          <w:rtl/>
          <w:lang w:eastAsia="de-DE"/>
        </w:rPr>
        <w:t xml:space="preserve"> </w:t>
      </w:r>
      <w:r w:rsidRPr="008D3E71">
        <w:rPr>
          <w:rFonts w:eastAsia="Times New Roman"/>
          <w:lang w:eastAsia="de-DE"/>
        </w:rPr>
        <w:t>betont Moses Position als Mittler.</w:t>
      </w:r>
    </w:p>
    <w:p w14:paraId="2F36FBDC"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לְהַגִּיד לָכֶם אֶת־דְּבַר יְהוָה</w:t>
      </w:r>
      <w:r w:rsidRPr="008D3E71">
        <w:rPr>
          <w:rFonts w:eastAsia="Times New Roman"/>
          <w:rtl/>
          <w:lang w:eastAsia="de-DE"/>
        </w:rPr>
        <w:t xml:space="preserve"> </w:t>
      </w:r>
      <w:r w:rsidRPr="008D3E71">
        <w:rPr>
          <w:rFonts w:eastAsia="Times New Roman"/>
          <w:lang w:eastAsia="de-DE"/>
        </w:rPr>
        <w:t xml:space="preserve">ist eine finale Infinitivkonstruktion: </w:t>
      </w:r>
      <w:r w:rsidRPr="008D3E71">
        <w:rPr>
          <w:rFonts w:eastAsia="Times New Roman"/>
          <w:b/>
          <w:bCs/>
          <w:rtl/>
          <w:lang w:eastAsia="de-DE"/>
        </w:rPr>
        <w:t>לְהַגִּיד</w:t>
      </w:r>
      <w:r w:rsidRPr="008D3E71">
        <w:rPr>
          <w:rFonts w:eastAsia="Times New Roman"/>
          <w:rtl/>
          <w:lang w:eastAsia="de-DE"/>
        </w:rPr>
        <w:t xml:space="preserve"> </w:t>
      </w:r>
      <w:r w:rsidRPr="008D3E71">
        <w:rPr>
          <w:rFonts w:eastAsia="Times New Roman"/>
          <w:lang w:eastAsia="de-DE"/>
        </w:rPr>
        <w:t xml:space="preserve">(Hifil Infinitiv Construct von </w:t>
      </w:r>
      <w:r w:rsidRPr="008D3E71">
        <w:rPr>
          <w:rFonts w:eastAsia="Times New Roman"/>
          <w:b/>
          <w:bCs/>
          <w:rtl/>
          <w:lang w:eastAsia="de-DE"/>
        </w:rPr>
        <w:t>נגד</w:t>
      </w:r>
      <w:r w:rsidRPr="008D3E71">
        <w:rPr>
          <w:rFonts w:eastAsia="Times New Roman"/>
          <w:lang w:eastAsia="de-DE"/>
        </w:rPr>
        <w:t xml:space="preserve">, „verkünden, mitteilen", mit </w:t>
      </w:r>
      <w:r w:rsidRPr="008D3E71">
        <w:rPr>
          <w:rFonts w:eastAsia="Times New Roman"/>
          <w:b/>
          <w:bCs/>
          <w:rtl/>
          <w:lang w:eastAsia="de-DE"/>
        </w:rPr>
        <w:t>לְ</w:t>
      </w:r>
      <w:r w:rsidRPr="008D3E71">
        <w:rPr>
          <w:rFonts w:eastAsia="Times New Roman"/>
          <w:lang w:eastAsia="de-DE"/>
        </w:rPr>
        <w:t xml:space="preserve">), </w:t>
      </w:r>
      <w:r w:rsidRPr="008D3E71">
        <w:rPr>
          <w:rFonts w:eastAsia="Times New Roman"/>
          <w:b/>
          <w:bCs/>
          <w:rtl/>
          <w:lang w:eastAsia="de-DE"/>
        </w:rPr>
        <w:t>לָכֶם</w:t>
      </w:r>
      <w:r w:rsidRPr="008D3E71">
        <w:rPr>
          <w:rFonts w:eastAsia="Times New Roman"/>
          <w:rtl/>
          <w:lang w:eastAsia="de-DE"/>
        </w:rPr>
        <w:t xml:space="preserve"> </w:t>
      </w:r>
      <w:r w:rsidRPr="008D3E71">
        <w:rPr>
          <w:rFonts w:eastAsia="Times New Roman"/>
          <w:lang w:eastAsia="de-DE"/>
        </w:rPr>
        <w:t xml:space="preserve">als indirektes Objekt, </w:t>
      </w:r>
      <w:r w:rsidRPr="008D3E71">
        <w:rPr>
          <w:rFonts w:eastAsia="Times New Roman"/>
          <w:b/>
          <w:bCs/>
          <w:rtl/>
          <w:lang w:eastAsia="de-DE"/>
        </w:rPr>
        <w:t>אֶת־דְּבַר יְהוָה</w:t>
      </w:r>
      <w:r w:rsidRPr="008D3E71">
        <w:rPr>
          <w:rFonts w:eastAsia="Times New Roman"/>
          <w:rtl/>
          <w:lang w:eastAsia="de-DE"/>
        </w:rPr>
        <w:t xml:space="preserve"> </w:t>
      </w:r>
      <w:r w:rsidRPr="008D3E71">
        <w:rPr>
          <w:rFonts w:eastAsia="Times New Roman"/>
          <w:lang w:eastAsia="de-DE"/>
        </w:rPr>
        <w:t>als direktes Objekt (</w:t>
      </w:r>
      <w:r w:rsidRPr="008D3E71">
        <w:rPr>
          <w:rFonts w:eastAsia="Times New Roman"/>
          <w:b/>
          <w:bCs/>
          <w:rtl/>
          <w:lang w:eastAsia="de-DE"/>
        </w:rPr>
        <w:t>דָּבָר</w:t>
      </w:r>
      <w:r w:rsidRPr="008D3E71">
        <w:rPr>
          <w:rFonts w:eastAsia="Times New Roman"/>
          <w:lang w:eastAsia="de-DE"/>
        </w:rPr>
        <w:t xml:space="preserve">, „Wort", im Construct mit </w:t>
      </w:r>
      <w:r w:rsidRPr="008D3E71">
        <w:rPr>
          <w:rFonts w:eastAsia="Times New Roman"/>
          <w:b/>
          <w:bCs/>
          <w:rtl/>
          <w:lang w:eastAsia="de-DE"/>
        </w:rPr>
        <w:t>יְהוָה</w:t>
      </w:r>
      <w:r w:rsidRPr="008D3E71">
        <w:rPr>
          <w:rFonts w:eastAsia="Times New Roman"/>
          <w:lang w:eastAsia="de-DE"/>
        </w:rPr>
        <w:t xml:space="preserve">). </w:t>
      </w:r>
      <w:r w:rsidRPr="008D3E71">
        <w:rPr>
          <w:rFonts w:eastAsia="Times New Roman"/>
          <w:b/>
          <w:bCs/>
          <w:rtl/>
          <w:lang w:eastAsia="de-DE"/>
        </w:rPr>
        <w:t>כִּי יְרֵאתֶם מִפְּנֵי הָאֵשׁ וְלֹא־עֲלִיתֶם בָּהָר</w:t>
      </w:r>
      <w:r w:rsidRPr="008D3E71">
        <w:rPr>
          <w:rFonts w:eastAsia="Times New Roman"/>
          <w:rtl/>
          <w:lang w:eastAsia="de-DE"/>
        </w:rPr>
        <w:t xml:space="preserve"> </w:t>
      </w:r>
      <w:r w:rsidRPr="008D3E71">
        <w:rPr>
          <w:rFonts w:eastAsia="Times New Roman"/>
          <w:lang w:eastAsia="de-DE"/>
        </w:rPr>
        <w:t xml:space="preserve">ist ein kausaler Satz: </w:t>
      </w:r>
      <w:r w:rsidRPr="008D3E71">
        <w:rPr>
          <w:rFonts w:eastAsia="Times New Roman"/>
          <w:b/>
          <w:bCs/>
          <w:rtl/>
          <w:lang w:eastAsia="de-DE"/>
        </w:rPr>
        <w:t>כִּי</w:t>
      </w:r>
      <w:r w:rsidRPr="008D3E71">
        <w:rPr>
          <w:rFonts w:eastAsia="Times New Roman"/>
          <w:rtl/>
          <w:lang w:eastAsia="de-DE"/>
        </w:rPr>
        <w:t xml:space="preserve"> </w:t>
      </w:r>
      <w:r w:rsidRPr="008D3E71">
        <w:rPr>
          <w:rFonts w:eastAsia="Times New Roman"/>
          <w:lang w:eastAsia="de-DE"/>
        </w:rPr>
        <w:t xml:space="preserve">als Konjunktion („denn"), </w:t>
      </w:r>
      <w:r w:rsidRPr="008D3E71">
        <w:rPr>
          <w:rFonts w:eastAsia="Times New Roman"/>
          <w:b/>
          <w:bCs/>
          <w:rtl/>
          <w:lang w:eastAsia="de-DE"/>
        </w:rPr>
        <w:t>יְרֵאתֶם</w:t>
      </w:r>
      <w:r w:rsidRPr="008D3E71">
        <w:rPr>
          <w:rFonts w:eastAsia="Times New Roman"/>
          <w:rtl/>
          <w:lang w:eastAsia="de-DE"/>
        </w:rPr>
        <w:t xml:space="preserve"> </w:t>
      </w:r>
      <w:r w:rsidRPr="008D3E71">
        <w:rPr>
          <w:rFonts w:eastAsia="Times New Roman"/>
          <w:lang w:eastAsia="de-DE"/>
        </w:rPr>
        <w:t xml:space="preserve">als Qal Perfekt, 2. Person Plural maskulin von </w:t>
      </w:r>
      <w:r w:rsidRPr="008D3E71">
        <w:rPr>
          <w:rFonts w:eastAsia="Times New Roman"/>
          <w:b/>
          <w:bCs/>
          <w:rtl/>
          <w:lang w:eastAsia="de-DE"/>
        </w:rPr>
        <w:t>ירא</w:t>
      </w:r>
      <w:r w:rsidRPr="008D3E71">
        <w:rPr>
          <w:rFonts w:eastAsia="Times New Roman"/>
          <w:rtl/>
          <w:lang w:eastAsia="de-DE"/>
        </w:rPr>
        <w:t xml:space="preserve"> </w:t>
      </w:r>
      <w:r w:rsidRPr="008D3E71">
        <w:rPr>
          <w:rFonts w:eastAsia="Times New Roman"/>
          <w:lang w:eastAsia="de-DE"/>
        </w:rPr>
        <w:t xml:space="preserve">(„fürchten, sich fürchten"), </w:t>
      </w:r>
      <w:r w:rsidRPr="008D3E71">
        <w:rPr>
          <w:rFonts w:eastAsia="Times New Roman"/>
          <w:b/>
          <w:bCs/>
          <w:rtl/>
          <w:lang w:eastAsia="de-DE"/>
        </w:rPr>
        <w:t>מִפְּנֵי הָאֵשׁ</w:t>
      </w:r>
      <w:r w:rsidRPr="008D3E71">
        <w:rPr>
          <w:rFonts w:eastAsia="Times New Roman"/>
          <w:rtl/>
          <w:lang w:eastAsia="de-DE"/>
        </w:rPr>
        <w:t xml:space="preserve"> </w:t>
      </w:r>
      <w:r w:rsidRPr="008D3E71">
        <w:rPr>
          <w:rFonts w:eastAsia="Times New Roman"/>
          <w:lang w:eastAsia="de-DE"/>
        </w:rPr>
        <w:t>als kausale bzw. Herkunftsangabe (</w:t>
      </w:r>
      <w:r w:rsidRPr="008D3E71">
        <w:rPr>
          <w:rFonts w:eastAsia="Times New Roman"/>
          <w:b/>
          <w:bCs/>
          <w:rtl/>
          <w:lang w:eastAsia="de-DE"/>
        </w:rPr>
        <w:t>מִן</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פָּנֶה</w:t>
      </w:r>
      <w:r w:rsidRPr="008D3E71">
        <w:rPr>
          <w:rFonts w:eastAsia="Times New Roman"/>
          <w:rtl/>
          <w:lang w:eastAsia="de-DE"/>
        </w:rPr>
        <w:t xml:space="preserve"> </w:t>
      </w:r>
      <w:r w:rsidRPr="008D3E71">
        <w:rPr>
          <w:rFonts w:eastAsia="Times New Roman"/>
          <w:lang w:eastAsia="de-DE"/>
        </w:rPr>
        <w:t xml:space="preserve">Plural und </w:t>
      </w:r>
      <w:r w:rsidRPr="008D3E71">
        <w:rPr>
          <w:rFonts w:eastAsia="Times New Roman"/>
          <w:b/>
          <w:bCs/>
          <w:rtl/>
          <w:lang w:eastAsia="de-DE"/>
        </w:rPr>
        <w:t>הָאֵשׁ</w:t>
      </w:r>
      <w:r w:rsidRPr="008D3E71">
        <w:rPr>
          <w:rFonts w:eastAsia="Times New Roman"/>
          <w:lang w:eastAsia="de-DE"/>
        </w:rPr>
        <w:t xml:space="preserve">), </w:t>
      </w:r>
      <w:r w:rsidRPr="008D3E71">
        <w:rPr>
          <w:rFonts w:eastAsia="Times New Roman"/>
          <w:b/>
          <w:bCs/>
          <w:rtl/>
          <w:lang w:eastAsia="de-DE"/>
        </w:rPr>
        <w:t>וְלֹא־עֲלִיתֶם</w:t>
      </w:r>
      <w:r w:rsidRPr="008D3E71">
        <w:rPr>
          <w:rFonts w:eastAsia="Times New Roman"/>
          <w:rtl/>
          <w:lang w:eastAsia="de-DE"/>
        </w:rPr>
        <w:t xml:space="preserve"> </w:t>
      </w:r>
      <w:r w:rsidRPr="008D3E71">
        <w:rPr>
          <w:rFonts w:eastAsia="Times New Roman"/>
          <w:lang w:eastAsia="de-DE"/>
        </w:rPr>
        <w:t xml:space="preserve">(Qal Perfekt, 2. Person Plural maskulin von </w:t>
      </w:r>
      <w:r w:rsidRPr="008D3E71">
        <w:rPr>
          <w:rFonts w:eastAsia="Times New Roman"/>
          <w:b/>
          <w:bCs/>
          <w:rtl/>
          <w:lang w:eastAsia="de-DE"/>
        </w:rPr>
        <w:t>עלה</w:t>
      </w:r>
      <w:r w:rsidRPr="008D3E71">
        <w:rPr>
          <w:rFonts w:eastAsia="Times New Roman"/>
          <w:lang w:eastAsia="de-DE"/>
        </w:rPr>
        <w:t xml:space="preserve">, „hinaufsteigen", mit </w:t>
      </w:r>
      <w:r w:rsidRPr="008D3E71">
        <w:rPr>
          <w:rFonts w:eastAsia="Times New Roman"/>
          <w:b/>
          <w:bCs/>
          <w:rtl/>
          <w:lang w:eastAsia="de-DE"/>
        </w:rPr>
        <w:t>וְ</w:t>
      </w:r>
      <w:r w:rsidRPr="008D3E71">
        <w:rPr>
          <w:rFonts w:eastAsia="Times New Roman"/>
          <w:rtl/>
          <w:lang w:eastAsia="de-DE"/>
        </w:rPr>
        <w:t xml:space="preserve"> </w:t>
      </w:r>
      <w:r w:rsidRPr="008D3E71">
        <w:rPr>
          <w:rFonts w:eastAsia="Times New Roman"/>
          <w:lang w:eastAsia="de-DE"/>
        </w:rPr>
        <w:t xml:space="preserve">und Negation), </w:t>
      </w:r>
      <w:r w:rsidRPr="008D3E71">
        <w:rPr>
          <w:rFonts w:eastAsia="Times New Roman"/>
          <w:b/>
          <w:bCs/>
          <w:rtl/>
          <w:lang w:eastAsia="de-DE"/>
        </w:rPr>
        <w:t>בָּהָר</w:t>
      </w:r>
      <w:r w:rsidRPr="008D3E71">
        <w:rPr>
          <w:rFonts w:eastAsia="Times New Roman"/>
          <w:rtl/>
          <w:lang w:eastAsia="de-DE"/>
        </w:rPr>
        <w:t xml:space="preserve"> </w:t>
      </w:r>
      <w:r w:rsidRPr="008D3E71">
        <w:rPr>
          <w:rFonts w:eastAsia="Times New Roman"/>
          <w:lang w:eastAsia="de-DE"/>
        </w:rPr>
        <w:t>als Richtungsangabe.</w:t>
      </w:r>
    </w:p>
    <w:p w14:paraId="6B68F658"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לֵאמֹר</w:t>
      </w:r>
      <w:r w:rsidRPr="008D3E71">
        <w:rPr>
          <w:rFonts w:eastAsia="Times New Roman"/>
          <w:rtl/>
          <w:lang w:eastAsia="de-DE"/>
        </w:rPr>
        <w:t xml:space="preserve"> </w:t>
      </w:r>
      <w:r w:rsidRPr="008D3E71">
        <w:rPr>
          <w:rFonts w:eastAsia="Times New Roman"/>
          <w:lang w:eastAsia="de-DE"/>
        </w:rPr>
        <w:t xml:space="preserve">ist Qal Infinitiv Construct von </w:t>
      </w:r>
      <w:r w:rsidRPr="008D3E71">
        <w:rPr>
          <w:rFonts w:eastAsia="Times New Roman"/>
          <w:b/>
          <w:bCs/>
          <w:rtl/>
          <w:lang w:eastAsia="de-DE"/>
        </w:rPr>
        <w:t>אמר</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לְ</w:t>
      </w:r>
      <w:r w:rsidRPr="008D3E71">
        <w:rPr>
          <w:rFonts w:eastAsia="Times New Roman"/>
          <w:rtl/>
          <w:lang w:eastAsia="de-DE"/>
        </w:rPr>
        <w:t xml:space="preserve"> </w:t>
      </w:r>
      <w:r w:rsidRPr="008D3E71">
        <w:rPr>
          <w:rFonts w:eastAsia="Times New Roman"/>
          <w:lang w:eastAsia="de-DE"/>
        </w:rPr>
        <w:t>und leitet die folgende direkte göttliche Rede ein (klassische Einleitungsformel für wörtliche Rede).</w:t>
      </w:r>
    </w:p>
    <w:p w14:paraId="34BF7C7D"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Der Vers erklärt Moses Mittlerrolle: Wegen der Furcht des Volkes vor dem Feuer stand er als Vermittler zwischen JHWH und Israel. Dies löst die Spannung zwischen V. 4 („von Angesicht zu Angesicht") und der Tatsache, dass das Volk sich fürchtete und Abstand hielt. Die Offenbarung war direkt, aber durch Moses Vermittlung erfolgte die detaillierte Übermittlung.</w:t>
      </w:r>
    </w:p>
    <w:p w14:paraId="31179E41"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Die Satzstruktur besteht aus einem nominalen Satz mit emphatischem Pronomen, partizipialem Prädikat, doppelter Ortsangabe zur Betonung der Mittlerposition und temporaler Bestimmung, einer finalen Infinitivkonstruktion mit indirektem und direktem Objekt, einem kausalen Doppelsatz (mit Prädikat, Herkunftsangabe und koordiniertem negiertem Verb mit Richtungsangabe), und der Einleitungsformel </w:t>
      </w:r>
      <w:r w:rsidRPr="008D3E71">
        <w:rPr>
          <w:rFonts w:eastAsia="Times New Roman"/>
          <w:b/>
          <w:bCs/>
          <w:rtl/>
          <w:lang w:eastAsia="de-DE"/>
        </w:rPr>
        <w:t>לֵאמֹר</w:t>
      </w:r>
      <w:r w:rsidRPr="008D3E71">
        <w:rPr>
          <w:rFonts w:eastAsia="Times New Roman"/>
          <w:lang w:eastAsia="de-DE"/>
        </w:rPr>
        <w:t>. Die Struktur erklärt die Notwendigkeit der Vermittlung und leitet zur Dekalog-Verkündigung über.</w:t>
      </w:r>
    </w:p>
    <w:p w14:paraId="721EEB18"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Der Vers erklärt Moses Mittlerrolle zwischen JHWH und dem furchtsamen Volk und leitet damit zum Dekalog über, den Mose nun im Namen JHWHs verkündet.</w:t>
      </w:r>
    </w:p>
    <w:p w14:paraId="7D786E0A"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5,6</w:t>
      </w:r>
    </w:p>
    <w:p w14:paraId="10228114"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אָנֹכִי יְהוָה אֱלֹהֶיךָ אֲשֶׁר הוֹצֵאתִיךָ מֵאֶרֶץ מִצְרַיִם מִבֵּית עֲבָדִים׃</w:t>
      </w:r>
    </w:p>
    <w:p w14:paraId="16BE9118"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Ich bin der Ewige, dein Gott, der ich dich herausgeführt habe aus dem Land Mizrajim, aus dem Haus der Knechtschaft.</w:t>
      </w:r>
    </w:p>
    <w:p w14:paraId="27D0FB5F"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425329D0">
          <v:rect id="_x0000_i1191" style="width:0;height:1.5pt" o:hralign="center" o:hrstd="t" o:hr="t" fillcolor="#a0a0a0" stroked="f"/>
        </w:pict>
      </w:r>
    </w:p>
    <w:p w14:paraId="17482117"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lastRenderedPageBreak/>
        <w:t>Kommentar:</w:t>
      </w:r>
      <w:r w:rsidRPr="008D3E71">
        <w:rPr>
          <w:rFonts w:eastAsia="Times New Roman"/>
          <w:lang w:eastAsia="de-DE"/>
        </w:rPr>
        <w:t xml:space="preserve"> </w:t>
      </w:r>
      <w:r w:rsidRPr="008D3E71">
        <w:rPr>
          <w:rFonts w:eastAsia="Times New Roman"/>
          <w:b/>
          <w:bCs/>
          <w:rtl/>
          <w:lang w:eastAsia="de-DE"/>
        </w:rPr>
        <w:t>אָנֹכִי יְהוָה אֱלֹהֶיךָ</w:t>
      </w:r>
      <w:r w:rsidRPr="008D3E71">
        <w:rPr>
          <w:rFonts w:eastAsia="Times New Roman"/>
          <w:rtl/>
          <w:lang w:eastAsia="de-DE"/>
        </w:rPr>
        <w:t xml:space="preserve"> </w:t>
      </w:r>
      <w:r w:rsidRPr="008D3E71">
        <w:rPr>
          <w:rFonts w:eastAsia="Times New Roman"/>
          <w:lang w:eastAsia="de-DE"/>
        </w:rPr>
        <w:t xml:space="preserve">ist ein nominaler Identifikationssatz: </w:t>
      </w:r>
      <w:r w:rsidRPr="008D3E71">
        <w:rPr>
          <w:rFonts w:eastAsia="Times New Roman"/>
          <w:b/>
          <w:bCs/>
          <w:rtl/>
          <w:lang w:eastAsia="de-DE"/>
        </w:rPr>
        <w:t>אָנֹכִי</w:t>
      </w:r>
      <w:r w:rsidRPr="008D3E71">
        <w:rPr>
          <w:rFonts w:eastAsia="Times New Roman"/>
          <w:rtl/>
          <w:lang w:eastAsia="de-DE"/>
        </w:rPr>
        <w:t xml:space="preserve"> </w:t>
      </w:r>
      <w:r w:rsidRPr="008D3E71">
        <w:rPr>
          <w:rFonts w:eastAsia="Times New Roman"/>
          <w:lang w:eastAsia="de-DE"/>
        </w:rPr>
        <w:t xml:space="preserve">als emphatisches Personalpronomen („ich"), </w:t>
      </w:r>
      <w:r w:rsidRPr="008D3E71">
        <w:rPr>
          <w:rFonts w:eastAsia="Times New Roman"/>
          <w:b/>
          <w:bCs/>
          <w:rtl/>
          <w:lang w:eastAsia="de-DE"/>
        </w:rPr>
        <w:t>יְהוָה אֱלֹהֶיךָ</w:t>
      </w:r>
      <w:r w:rsidRPr="008D3E71">
        <w:rPr>
          <w:rFonts w:eastAsia="Times New Roman"/>
          <w:rtl/>
          <w:lang w:eastAsia="de-DE"/>
        </w:rPr>
        <w:t xml:space="preserve"> </w:t>
      </w:r>
      <w:r w:rsidRPr="008D3E71">
        <w:rPr>
          <w:rFonts w:eastAsia="Times New Roman"/>
          <w:lang w:eastAsia="de-DE"/>
        </w:rPr>
        <w:t>als Prädikatsnomen (</w:t>
      </w:r>
      <w:r w:rsidRPr="008D3E71">
        <w:rPr>
          <w:rFonts w:eastAsia="Times New Roman"/>
          <w:b/>
          <w:bCs/>
          <w:rtl/>
          <w:lang w:eastAsia="de-DE"/>
        </w:rPr>
        <w:t>יְהוָה</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אֱלֹהִים</w:t>
      </w:r>
      <w:r w:rsidRPr="008D3E71">
        <w:rPr>
          <w:rFonts w:eastAsia="Times New Roman"/>
          <w:rtl/>
          <w:lang w:eastAsia="de-DE"/>
        </w:rPr>
        <w:t xml:space="preserve"> </w:t>
      </w:r>
      <w:r w:rsidRPr="008D3E71">
        <w:rPr>
          <w:rFonts w:eastAsia="Times New Roman"/>
          <w:lang w:eastAsia="de-DE"/>
        </w:rPr>
        <w:t>und Suffix 2. Person Singular maskulin). Diese Selbstvorstellungsformel ist die klassische Einleitung des Dekalogs (vgl. Ex 20,2).</w:t>
      </w:r>
    </w:p>
    <w:p w14:paraId="452A1DF6"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אֲשֶׁר הוֹצֵאתִיךָ מֵאֶרֶץ מִצְרַיִם מִבֵּית עֲבָדִים</w:t>
      </w:r>
      <w:r w:rsidRPr="008D3E71">
        <w:rPr>
          <w:rFonts w:eastAsia="Times New Roman"/>
          <w:rtl/>
          <w:lang w:eastAsia="de-DE"/>
        </w:rPr>
        <w:t xml:space="preserve"> </w:t>
      </w:r>
      <w:r w:rsidRPr="008D3E71">
        <w:rPr>
          <w:rFonts w:eastAsia="Times New Roman"/>
          <w:lang w:eastAsia="de-DE"/>
        </w:rPr>
        <w:t xml:space="preserve">ist ein Relativsatz: </w:t>
      </w:r>
      <w:r w:rsidRPr="008D3E71">
        <w:rPr>
          <w:rFonts w:eastAsia="Times New Roman"/>
          <w:b/>
          <w:bCs/>
          <w:rtl/>
          <w:lang w:eastAsia="de-DE"/>
        </w:rPr>
        <w:t>אֲשֶׁר</w:t>
      </w:r>
      <w:r w:rsidRPr="008D3E71">
        <w:rPr>
          <w:rFonts w:eastAsia="Times New Roman"/>
          <w:rtl/>
          <w:lang w:eastAsia="de-DE"/>
        </w:rPr>
        <w:t xml:space="preserve"> </w:t>
      </w:r>
      <w:r w:rsidRPr="008D3E71">
        <w:rPr>
          <w:rFonts w:eastAsia="Times New Roman"/>
          <w:lang w:eastAsia="de-DE"/>
        </w:rPr>
        <w:t xml:space="preserve">als Relativpronomen, </w:t>
      </w:r>
      <w:r w:rsidRPr="008D3E71">
        <w:rPr>
          <w:rFonts w:eastAsia="Times New Roman"/>
          <w:b/>
          <w:bCs/>
          <w:rtl/>
          <w:lang w:eastAsia="de-DE"/>
        </w:rPr>
        <w:t>הוֹצֵאתִיךָ</w:t>
      </w:r>
      <w:r w:rsidRPr="008D3E71">
        <w:rPr>
          <w:rFonts w:eastAsia="Times New Roman"/>
          <w:rtl/>
          <w:lang w:eastAsia="de-DE"/>
        </w:rPr>
        <w:t xml:space="preserve"> </w:t>
      </w:r>
      <w:r w:rsidRPr="008D3E71">
        <w:rPr>
          <w:rFonts w:eastAsia="Times New Roman"/>
          <w:lang w:eastAsia="de-DE"/>
        </w:rPr>
        <w:t xml:space="preserve">als Hifil Perfekt, 1. Person Singular von </w:t>
      </w:r>
      <w:r w:rsidRPr="008D3E71">
        <w:rPr>
          <w:rFonts w:eastAsia="Times New Roman"/>
          <w:b/>
          <w:bCs/>
          <w:rtl/>
          <w:lang w:eastAsia="de-DE"/>
        </w:rPr>
        <w:t>יצא</w:t>
      </w:r>
      <w:r w:rsidRPr="008D3E71">
        <w:rPr>
          <w:rFonts w:eastAsia="Times New Roman"/>
          <w:rtl/>
          <w:lang w:eastAsia="de-DE"/>
        </w:rPr>
        <w:t xml:space="preserve"> </w:t>
      </w:r>
      <w:r w:rsidRPr="008D3E71">
        <w:rPr>
          <w:rFonts w:eastAsia="Times New Roman"/>
          <w:lang w:eastAsia="de-DE"/>
        </w:rPr>
        <w:t xml:space="preserve">(„herausführen") mit Suffix 2. Person Singular maskulin als direktes Objekt, </w:t>
      </w:r>
      <w:r w:rsidRPr="008D3E71">
        <w:rPr>
          <w:rFonts w:eastAsia="Times New Roman"/>
          <w:b/>
          <w:bCs/>
          <w:rtl/>
          <w:lang w:eastAsia="de-DE"/>
        </w:rPr>
        <w:t>מֵאֶרֶץ מִצְרַיִם</w:t>
      </w:r>
      <w:r w:rsidRPr="008D3E71">
        <w:rPr>
          <w:rFonts w:eastAsia="Times New Roman"/>
          <w:rtl/>
          <w:lang w:eastAsia="de-DE"/>
        </w:rPr>
        <w:t xml:space="preserve"> </w:t>
      </w:r>
      <w:r w:rsidRPr="008D3E71">
        <w:rPr>
          <w:rFonts w:eastAsia="Times New Roman"/>
          <w:lang w:eastAsia="de-DE"/>
        </w:rPr>
        <w:t>als Herkunftsangabe (</w:t>
      </w:r>
      <w:r w:rsidRPr="008D3E71">
        <w:rPr>
          <w:rFonts w:eastAsia="Times New Roman"/>
          <w:b/>
          <w:bCs/>
          <w:rtl/>
          <w:lang w:eastAsia="de-DE"/>
        </w:rPr>
        <w:t>מִן</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אֶרֶץ</w:t>
      </w:r>
      <w:r w:rsidRPr="008D3E71">
        <w:rPr>
          <w:rFonts w:eastAsia="Times New Roman"/>
          <w:rtl/>
          <w:lang w:eastAsia="de-DE"/>
        </w:rPr>
        <w:t xml:space="preserve"> </w:t>
      </w:r>
      <w:r w:rsidRPr="008D3E71">
        <w:rPr>
          <w:rFonts w:eastAsia="Times New Roman"/>
          <w:lang w:eastAsia="de-DE"/>
        </w:rPr>
        <w:t xml:space="preserve">im Construct und </w:t>
      </w:r>
      <w:r w:rsidRPr="008D3E71">
        <w:rPr>
          <w:rFonts w:eastAsia="Times New Roman"/>
          <w:b/>
          <w:bCs/>
          <w:rtl/>
          <w:lang w:eastAsia="de-DE"/>
        </w:rPr>
        <w:t>מִצְרַיִם</w:t>
      </w:r>
      <w:r w:rsidRPr="008D3E71">
        <w:rPr>
          <w:rFonts w:eastAsia="Times New Roman"/>
          <w:lang w:eastAsia="de-DE"/>
        </w:rPr>
        <w:t xml:space="preserve">), </w:t>
      </w:r>
      <w:r w:rsidRPr="008D3E71">
        <w:rPr>
          <w:rFonts w:eastAsia="Times New Roman"/>
          <w:b/>
          <w:bCs/>
          <w:rtl/>
          <w:lang w:eastAsia="de-DE"/>
        </w:rPr>
        <w:t>מִבֵּית עֲבָדִים</w:t>
      </w:r>
      <w:r w:rsidRPr="008D3E71">
        <w:rPr>
          <w:rFonts w:eastAsia="Times New Roman"/>
          <w:rtl/>
          <w:lang w:eastAsia="de-DE"/>
        </w:rPr>
        <w:t xml:space="preserve"> </w:t>
      </w:r>
      <w:r w:rsidRPr="008D3E71">
        <w:rPr>
          <w:rFonts w:eastAsia="Times New Roman"/>
          <w:lang w:eastAsia="de-DE"/>
        </w:rPr>
        <w:t>als parallele, explikative Herkunftsangabe (</w:t>
      </w:r>
      <w:r w:rsidRPr="008D3E71">
        <w:rPr>
          <w:rFonts w:eastAsia="Times New Roman"/>
          <w:b/>
          <w:bCs/>
          <w:rtl/>
          <w:lang w:eastAsia="de-DE"/>
        </w:rPr>
        <w:t>מִן</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בַּיִת</w:t>
      </w:r>
      <w:r w:rsidRPr="008D3E71">
        <w:rPr>
          <w:rFonts w:eastAsia="Times New Roman"/>
          <w:lang w:eastAsia="de-DE"/>
        </w:rPr>
        <w:t xml:space="preserve">, „Haus", im Construct und </w:t>
      </w:r>
      <w:r w:rsidRPr="008D3E71">
        <w:rPr>
          <w:rFonts w:eastAsia="Times New Roman"/>
          <w:b/>
          <w:bCs/>
          <w:rtl/>
          <w:lang w:eastAsia="de-DE"/>
        </w:rPr>
        <w:t>עֲבָדִים</w:t>
      </w:r>
      <w:r w:rsidRPr="008D3E71">
        <w:rPr>
          <w:rFonts w:eastAsia="Times New Roman"/>
          <w:lang w:eastAsia="de-DE"/>
        </w:rPr>
        <w:t>, „Knechte, Sklaven", Plural – „Haus der Knechtschaft").</w:t>
      </w:r>
    </w:p>
    <w:p w14:paraId="7BCC3F74"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Die Selbstvorstellung JHWHs identifiziert ihn nicht primär als Schöpfer, sondern als Befreier Israels aus der ägyptischen Knechtschaft. Dies begründet die nachfolgenden Gebote: Sie sind Antwort auf die bereits geschehene Erlösungstat. Die Wendung </w:t>
      </w:r>
      <w:r w:rsidRPr="008D3E71">
        <w:rPr>
          <w:rFonts w:eastAsia="Times New Roman"/>
          <w:b/>
          <w:bCs/>
          <w:rtl/>
          <w:lang w:eastAsia="de-DE"/>
        </w:rPr>
        <w:t>בֵּית עֲבָדִים</w:t>
      </w:r>
      <w:r w:rsidRPr="008D3E71">
        <w:rPr>
          <w:rFonts w:eastAsia="Times New Roman"/>
          <w:rtl/>
          <w:lang w:eastAsia="de-DE"/>
        </w:rPr>
        <w:t xml:space="preserve"> </w:t>
      </w:r>
      <w:r w:rsidRPr="008D3E71">
        <w:rPr>
          <w:rFonts w:eastAsia="Times New Roman"/>
          <w:lang w:eastAsia="de-DE"/>
        </w:rPr>
        <w:t>ist eine feststehende Formel für Ägypten als Ort der Sklaverei (vgl. Ex 13,3.14; 20,2; Dtn 6,12; 7,8; 8,14; 13,6.11).</w:t>
      </w:r>
    </w:p>
    <w:p w14:paraId="65AB4438"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Satzstruktur ist ein nominaler Identifikationssatz mit emphatischem Pronomen und Prädikatsnomen mit Suffix, erweitert durch einen Relativsatz mit Hifil-Perfekt-Prädikat in 1. Person und Suffix-Objekt sowie doppelter, parallel strukturierter Herkunftsangabe zur Emphase. Die Struktur etabliert JHWHs Identität als Bundesgott und Befreier als Grundlage für die folgenden Gebote.</w:t>
      </w:r>
    </w:p>
    <w:p w14:paraId="7664F494"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Der Vers bildet die Präambel des Dekalogs: JHWH stellt sich als der Gott vor, der Israel aus der ägyptischen Knechtschaft befreit hat – die heilsgeschichtliche Begründung für die folgenden Bundesgebote.</w:t>
      </w:r>
    </w:p>
    <w:p w14:paraId="1A07C29C"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5,7</w:t>
      </w:r>
    </w:p>
    <w:p w14:paraId="36C1A36E"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לֹא יִהְיֶה־לְךָ אֱלֹהִים אֲחֵרִים עַל־פָּנָיַ׃</w:t>
      </w:r>
    </w:p>
    <w:p w14:paraId="3DA774C0"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Du sollst keine anderen Götter haben vor meinem Angesicht.</w:t>
      </w:r>
    </w:p>
    <w:p w14:paraId="5C36AFA8"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0B77F4AC">
          <v:rect id="_x0000_i1192" style="width:0;height:1.5pt" o:hralign="center" o:hrstd="t" o:hr="t" fillcolor="#a0a0a0" stroked="f"/>
        </w:pict>
      </w:r>
    </w:p>
    <w:p w14:paraId="38FDABEE"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לֹא יִהְיֶה־לְךָ אֱלֹהִים אֲחֵרִים</w:t>
      </w:r>
      <w:r w:rsidRPr="008D3E71">
        <w:rPr>
          <w:rFonts w:eastAsia="Times New Roman"/>
          <w:rtl/>
          <w:lang w:eastAsia="de-DE"/>
        </w:rPr>
        <w:t xml:space="preserve"> </w:t>
      </w:r>
      <w:r w:rsidRPr="008D3E71">
        <w:rPr>
          <w:rFonts w:eastAsia="Times New Roman"/>
          <w:lang w:eastAsia="de-DE"/>
        </w:rPr>
        <w:t xml:space="preserve">ist ein prohibitiver Satz: </w:t>
      </w:r>
      <w:r w:rsidRPr="008D3E71">
        <w:rPr>
          <w:rFonts w:eastAsia="Times New Roman"/>
          <w:b/>
          <w:bCs/>
          <w:rtl/>
          <w:lang w:eastAsia="de-DE"/>
        </w:rPr>
        <w:t>לֹא</w:t>
      </w:r>
      <w:r w:rsidRPr="008D3E71">
        <w:rPr>
          <w:rFonts w:eastAsia="Times New Roman"/>
          <w:rtl/>
          <w:lang w:eastAsia="de-DE"/>
        </w:rPr>
        <w:t xml:space="preserve"> </w:t>
      </w:r>
      <w:r w:rsidRPr="008D3E71">
        <w:rPr>
          <w:rFonts w:eastAsia="Times New Roman"/>
          <w:lang w:eastAsia="de-DE"/>
        </w:rPr>
        <w:t xml:space="preserve">als Negation, </w:t>
      </w:r>
      <w:r w:rsidRPr="008D3E71">
        <w:rPr>
          <w:rFonts w:eastAsia="Times New Roman"/>
          <w:b/>
          <w:bCs/>
          <w:rtl/>
          <w:lang w:eastAsia="de-DE"/>
        </w:rPr>
        <w:t>יִהְיֶה</w:t>
      </w:r>
      <w:r w:rsidRPr="008D3E71">
        <w:rPr>
          <w:rFonts w:eastAsia="Times New Roman"/>
          <w:rtl/>
          <w:lang w:eastAsia="de-DE"/>
        </w:rPr>
        <w:t xml:space="preserve"> </w:t>
      </w:r>
      <w:r w:rsidRPr="008D3E71">
        <w:rPr>
          <w:rFonts w:eastAsia="Times New Roman"/>
          <w:lang w:eastAsia="de-DE"/>
        </w:rPr>
        <w:t xml:space="preserve">als Qal Imperfekt, 3. Person Singular maskulin von </w:t>
      </w:r>
      <w:r w:rsidRPr="008D3E71">
        <w:rPr>
          <w:rFonts w:eastAsia="Times New Roman"/>
          <w:b/>
          <w:bCs/>
          <w:rtl/>
          <w:lang w:eastAsia="de-DE"/>
        </w:rPr>
        <w:t>היה</w:t>
      </w:r>
      <w:r w:rsidRPr="008D3E71">
        <w:rPr>
          <w:rFonts w:eastAsia="Times New Roman"/>
          <w:rtl/>
          <w:lang w:eastAsia="de-DE"/>
        </w:rPr>
        <w:t xml:space="preserve"> </w:t>
      </w:r>
      <w:r w:rsidRPr="008D3E71">
        <w:rPr>
          <w:rFonts w:eastAsia="Times New Roman"/>
          <w:lang w:eastAsia="de-DE"/>
        </w:rPr>
        <w:t xml:space="preserve">(„sein, werden") – hier in prohibitiver Funktion „es soll nicht sein", </w:t>
      </w:r>
      <w:r w:rsidRPr="008D3E71">
        <w:rPr>
          <w:rFonts w:eastAsia="Times New Roman"/>
          <w:b/>
          <w:bCs/>
          <w:rtl/>
          <w:lang w:eastAsia="de-DE"/>
        </w:rPr>
        <w:t>לְךָ</w:t>
      </w:r>
      <w:r w:rsidRPr="008D3E71">
        <w:rPr>
          <w:rFonts w:eastAsia="Times New Roman"/>
          <w:rtl/>
          <w:lang w:eastAsia="de-DE"/>
        </w:rPr>
        <w:t xml:space="preserve"> </w:t>
      </w:r>
      <w:r w:rsidRPr="008D3E71">
        <w:rPr>
          <w:rFonts w:eastAsia="Times New Roman"/>
          <w:lang w:eastAsia="de-DE"/>
        </w:rPr>
        <w:t xml:space="preserve">als Dativ („für dich, dir"), </w:t>
      </w:r>
      <w:r w:rsidRPr="008D3E71">
        <w:rPr>
          <w:rFonts w:eastAsia="Times New Roman"/>
          <w:b/>
          <w:bCs/>
          <w:rtl/>
          <w:lang w:eastAsia="de-DE"/>
        </w:rPr>
        <w:t>אֱלֹהִים אֲחֵרִים</w:t>
      </w:r>
      <w:r w:rsidRPr="008D3E71">
        <w:rPr>
          <w:rFonts w:eastAsia="Times New Roman"/>
          <w:rtl/>
          <w:lang w:eastAsia="de-DE"/>
        </w:rPr>
        <w:t xml:space="preserve"> </w:t>
      </w:r>
      <w:r w:rsidRPr="008D3E71">
        <w:rPr>
          <w:rFonts w:eastAsia="Times New Roman"/>
          <w:lang w:eastAsia="de-DE"/>
        </w:rPr>
        <w:t>als Subjekt (</w:t>
      </w:r>
      <w:r w:rsidRPr="008D3E71">
        <w:rPr>
          <w:rFonts w:eastAsia="Times New Roman"/>
          <w:b/>
          <w:bCs/>
          <w:rtl/>
          <w:lang w:eastAsia="de-DE"/>
        </w:rPr>
        <w:t>אֱלֹהִים</w:t>
      </w:r>
      <w:r w:rsidRPr="008D3E71">
        <w:rPr>
          <w:rFonts w:eastAsia="Times New Roman"/>
          <w:rtl/>
          <w:lang w:eastAsia="de-DE"/>
        </w:rPr>
        <w:t xml:space="preserve"> </w:t>
      </w:r>
      <w:r w:rsidRPr="008D3E71">
        <w:rPr>
          <w:rFonts w:eastAsia="Times New Roman"/>
          <w:lang w:eastAsia="de-DE"/>
        </w:rPr>
        <w:t xml:space="preserve">mit Adjektiv </w:t>
      </w:r>
      <w:r w:rsidRPr="008D3E71">
        <w:rPr>
          <w:rFonts w:eastAsia="Times New Roman"/>
          <w:b/>
          <w:bCs/>
          <w:rtl/>
          <w:lang w:eastAsia="de-DE"/>
        </w:rPr>
        <w:t>אֲחֵרִים</w:t>
      </w:r>
      <w:r w:rsidRPr="008D3E71">
        <w:rPr>
          <w:rFonts w:eastAsia="Times New Roman"/>
          <w:lang w:eastAsia="de-DE"/>
        </w:rPr>
        <w:t xml:space="preserve">, „andere", Plural maskulin). </w:t>
      </w:r>
      <w:r w:rsidRPr="008D3E71">
        <w:rPr>
          <w:rFonts w:eastAsia="Times New Roman"/>
          <w:b/>
          <w:bCs/>
          <w:rtl/>
          <w:lang w:eastAsia="de-DE"/>
        </w:rPr>
        <w:t>עַל־פָּנָיַ</w:t>
      </w:r>
      <w:r w:rsidRPr="008D3E71">
        <w:rPr>
          <w:rFonts w:eastAsia="Times New Roman"/>
          <w:rtl/>
          <w:lang w:eastAsia="de-DE"/>
        </w:rPr>
        <w:t xml:space="preserve"> </w:t>
      </w:r>
      <w:r w:rsidRPr="008D3E71">
        <w:rPr>
          <w:rFonts w:eastAsia="Times New Roman"/>
          <w:lang w:eastAsia="de-DE"/>
        </w:rPr>
        <w:t xml:space="preserve">ist eine idiomatische Wendung: </w:t>
      </w:r>
      <w:r w:rsidRPr="008D3E71">
        <w:rPr>
          <w:rFonts w:eastAsia="Times New Roman"/>
          <w:b/>
          <w:bCs/>
          <w:rtl/>
          <w:lang w:eastAsia="de-DE"/>
        </w:rPr>
        <w:t>עַל</w:t>
      </w:r>
      <w:r w:rsidRPr="008D3E71">
        <w:rPr>
          <w:rFonts w:eastAsia="Times New Roman"/>
          <w:rtl/>
          <w:lang w:eastAsia="de-DE"/>
        </w:rPr>
        <w:t xml:space="preserve"> </w:t>
      </w:r>
      <w:r w:rsidRPr="008D3E71">
        <w:rPr>
          <w:rFonts w:eastAsia="Times New Roman"/>
          <w:lang w:eastAsia="de-DE"/>
        </w:rPr>
        <w:t xml:space="preserve">(„auf, über, vor") mit </w:t>
      </w:r>
      <w:r w:rsidRPr="008D3E71">
        <w:rPr>
          <w:rFonts w:eastAsia="Times New Roman"/>
          <w:b/>
          <w:bCs/>
          <w:rtl/>
          <w:lang w:eastAsia="de-DE"/>
        </w:rPr>
        <w:t>פָּנֶה</w:t>
      </w:r>
      <w:r w:rsidRPr="008D3E71">
        <w:rPr>
          <w:rFonts w:eastAsia="Times New Roman"/>
          <w:rtl/>
          <w:lang w:eastAsia="de-DE"/>
        </w:rPr>
        <w:t xml:space="preserve"> </w:t>
      </w:r>
      <w:r w:rsidRPr="008D3E71">
        <w:rPr>
          <w:rFonts w:eastAsia="Times New Roman"/>
          <w:lang w:eastAsia="de-DE"/>
        </w:rPr>
        <w:t xml:space="preserve">(Plural von </w:t>
      </w:r>
      <w:r w:rsidRPr="008D3E71">
        <w:rPr>
          <w:rFonts w:eastAsia="Times New Roman"/>
          <w:b/>
          <w:bCs/>
          <w:rtl/>
          <w:lang w:eastAsia="de-DE"/>
        </w:rPr>
        <w:t>פָּנִים</w:t>
      </w:r>
      <w:r w:rsidRPr="008D3E71">
        <w:rPr>
          <w:rFonts w:eastAsia="Times New Roman"/>
          <w:lang w:eastAsia="de-DE"/>
        </w:rPr>
        <w:t>, „Angesicht") und Suffix 1. Person Singular – „vor meinem Angesicht, neben mir".</w:t>
      </w:r>
    </w:p>
    <w:p w14:paraId="76B99283"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Die Konstruktion </w:t>
      </w:r>
      <w:r w:rsidRPr="008D3E71">
        <w:rPr>
          <w:rFonts w:eastAsia="Times New Roman"/>
          <w:b/>
          <w:bCs/>
          <w:rtl/>
          <w:lang w:eastAsia="de-DE"/>
        </w:rPr>
        <w:t>לֹא יִהְיֶה לְךָ</w:t>
      </w:r>
      <w:r w:rsidRPr="008D3E71">
        <w:rPr>
          <w:rFonts w:eastAsia="Times New Roman"/>
          <w:rtl/>
          <w:lang w:eastAsia="de-DE"/>
        </w:rPr>
        <w:t xml:space="preserve"> </w:t>
      </w:r>
      <w:r w:rsidRPr="008D3E71">
        <w:rPr>
          <w:rFonts w:eastAsia="Times New Roman"/>
          <w:lang w:eastAsia="de-DE"/>
        </w:rPr>
        <w:t xml:space="preserve">mit Dativ und Subjekt ist eine klassische Verbotsformel für Besitz oder Zugehörigkeit („du sollst nicht haben"). Die Wendung </w:t>
      </w:r>
      <w:r w:rsidRPr="008D3E71">
        <w:rPr>
          <w:rFonts w:eastAsia="Times New Roman"/>
          <w:b/>
          <w:bCs/>
          <w:rtl/>
          <w:lang w:eastAsia="de-DE"/>
        </w:rPr>
        <w:t>עַל־פָּנָיַ</w:t>
      </w:r>
      <w:r w:rsidRPr="008D3E71">
        <w:rPr>
          <w:rFonts w:eastAsia="Times New Roman"/>
          <w:rtl/>
          <w:lang w:eastAsia="de-DE"/>
        </w:rPr>
        <w:t xml:space="preserve"> </w:t>
      </w:r>
      <w:r w:rsidRPr="008D3E71">
        <w:rPr>
          <w:rFonts w:eastAsia="Times New Roman"/>
          <w:lang w:eastAsia="de-DE"/>
        </w:rPr>
        <w:t>ist mehrdeutig: Sie kann bedeuten „vor mir, in meiner Gegenwart" (räumlich), „neben mir" (hierarchisch), oder „mir gegenüber, mir zum Trotz" (konfrontativ). Alle drei Nuancen schwingen mit: keine anderen Götter in JHWHs Gegenwart, neben seiner Position, oder gegen ihn.</w:t>
      </w:r>
    </w:p>
    <w:p w14:paraId="4836AF9D"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lastRenderedPageBreak/>
        <w:t xml:space="preserve">Die Satzstruktur ist ein prohibitiver Satz mit Negation, Qal-Imperfekt von </w:t>
      </w:r>
      <w:r w:rsidRPr="008D3E71">
        <w:rPr>
          <w:rFonts w:eastAsia="Times New Roman"/>
          <w:b/>
          <w:bCs/>
          <w:rtl/>
          <w:lang w:eastAsia="de-DE"/>
        </w:rPr>
        <w:t>היה</w:t>
      </w:r>
      <w:r w:rsidRPr="008D3E71">
        <w:rPr>
          <w:rFonts w:eastAsia="Times New Roman"/>
          <w:lang w:eastAsia="de-DE"/>
        </w:rPr>
        <w:t>, Dativ und Subjekt mit attributivem Adjektiv, sowie einer idiomatischen präpositionalen Wendung mit Suffix. Die lapidare Kürze unterstreicht die Absolutheit des ersten Gebots.</w:t>
      </w:r>
    </w:p>
    <w:p w14:paraId="74FBF5F8"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Der Vers formuliert das erste Gebot: das absolute Verbot anderer Götter neben JHWH – die Grundforderung des biblischen Monotheismus.</w:t>
      </w:r>
    </w:p>
    <w:p w14:paraId="0118266E"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5,8</w:t>
      </w:r>
    </w:p>
    <w:p w14:paraId="1686FCD7"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לֹא־תַעֲשֶׂה־לְךָ פֶסֶל כָּל־תְּמוּנָה אֲשֶׁר בַּשָּׁמַיִם מִמַּעַל וַאֲשֶׁר בָּאָרֶץ מִתָּחַת וַאֲשֶׁר בַּמַּיִם מִתַּחַת לָאָרֶץ׃</w:t>
      </w:r>
    </w:p>
    <w:p w14:paraId="539E8465"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Du sollst dir kein geschnitztes Bild machen, irgendeine Gestalt dessen, was oben im Himmel oder was unten auf der Erde oder was in den Wassern unter der Erde ist.</w:t>
      </w:r>
    </w:p>
    <w:p w14:paraId="0349F631"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13F21160">
          <v:rect id="_x0000_i1193" style="width:0;height:1.5pt" o:hralign="center" o:hrstd="t" o:hr="t" fillcolor="#a0a0a0" stroked="f"/>
        </w:pict>
      </w:r>
    </w:p>
    <w:p w14:paraId="4776695A"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לֹא־תַעֲשֶׂה־לְךָ פֶסֶל כָּל־תְּמוּנָה</w:t>
      </w:r>
      <w:r w:rsidRPr="008D3E71">
        <w:rPr>
          <w:rFonts w:eastAsia="Times New Roman"/>
          <w:rtl/>
          <w:lang w:eastAsia="de-DE"/>
        </w:rPr>
        <w:t xml:space="preserve"> </w:t>
      </w:r>
      <w:r w:rsidRPr="008D3E71">
        <w:rPr>
          <w:rFonts w:eastAsia="Times New Roman"/>
          <w:lang w:eastAsia="de-DE"/>
        </w:rPr>
        <w:t xml:space="preserve">ist ein prohibitiver Satz: </w:t>
      </w:r>
      <w:r w:rsidRPr="008D3E71">
        <w:rPr>
          <w:rFonts w:eastAsia="Times New Roman"/>
          <w:b/>
          <w:bCs/>
          <w:rtl/>
          <w:lang w:eastAsia="de-DE"/>
        </w:rPr>
        <w:t>לֹא</w:t>
      </w:r>
      <w:r w:rsidRPr="008D3E71">
        <w:rPr>
          <w:rFonts w:eastAsia="Times New Roman"/>
          <w:rtl/>
          <w:lang w:eastAsia="de-DE"/>
        </w:rPr>
        <w:t xml:space="preserve"> </w:t>
      </w:r>
      <w:r w:rsidRPr="008D3E71">
        <w:rPr>
          <w:rFonts w:eastAsia="Times New Roman"/>
          <w:lang w:eastAsia="de-DE"/>
        </w:rPr>
        <w:t xml:space="preserve">als Negation, </w:t>
      </w:r>
      <w:r w:rsidRPr="008D3E71">
        <w:rPr>
          <w:rFonts w:eastAsia="Times New Roman"/>
          <w:b/>
          <w:bCs/>
          <w:rtl/>
          <w:lang w:eastAsia="de-DE"/>
        </w:rPr>
        <w:t>תַעֲשֶׂה</w:t>
      </w:r>
      <w:r w:rsidRPr="008D3E71">
        <w:rPr>
          <w:rFonts w:eastAsia="Times New Roman"/>
          <w:rtl/>
          <w:lang w:eastAsia="de-DE"/>
        </w:rPr>
        <w:t xml:space="preserve"> </w:t>
      </w:r>
      <w:r w:rsidRPr="008D3E71">
        <w:rPr>
          <w:rFonts w:eastAsia="Times New Roman"/>
          <w:lang w:eastAsia="de-DE"/>
        </w:rPr>
        <w:t xml:space="preserve">als Qal Imperfekt, 2. Person Singular maskulin von </w:t>
      </w:r>
      <w:r w:rsidRPr="008D3E71">
        <w:rPr>
          <w:rFonts w:eastAsia="Times New Roman"/>
          <w:b/>
          <w:bCs/>
          <w:rtl/>
          <w:lang w:eastAsia="de-DE"/>
        </w:rPr>
        <w:t>עשׂה</w:t>
      </w:r>
      <w:r w:rsidRPr="008D3E71">
        <w:rPr>
          <w:rFonts w:eastAsia="Times New Roman"/>
          <w:rtl/>
          <w:lang w:eastAsia="de-DE"/>
        </w:rPr>
        <w:t xml:space="preserve"> </w:t>
      </w:r>
      <w:r w:rsidRPr="008D3E71">
        <w:rPr>
          <w:rFonts w:eastAsia="Times New Roman"/>
          <w:lang w:eastAsia="de-DE"/>
        </w:rPr>
        <w:t xml:space="preserve">(„machen") – in prohibitiver Funktion „du sollst nicht machen", </w:t>
      </w:r>
      <w:r w:rsidRPr="008D3E71">
        <w:rPr>
          <w:rFonts w:eastAsia="Times New Roman"/>
          <w:b/>
          <w:bCs/>
          <w:rtl/>
          <w:lang w:eastAsia="de-DE"/>
        </w:rPr>
        <w:t>לְךָ</w:t>
      </w:r>
      <w:r w:rsidRPr="008D3E71">
        <w:rPr>
          <w:rFonts w:eastAsia="Times New Roman"/>
          <w:rtl/>
          <w:lang w:eastAsia="de-DE"/>
        </w:rPr>
        <w:t xml:space="preserve"> </w:t>
      </w:r>
      <w:r w:rsidRPr="008D3E71">
        <w:rPr>
          <w:rFonts w:eastAsia="Times New Roman"/>
          <w:lang w:eastAsia="de-DE"/>
        </w:rPr>
        <w:t xml:space="preserve">als reflexiver Dativ („für dich"), </w:t>
      </w:r>
      <w:r w:rsidRPr="008D3E71">
        <w:rPr>
          <w:rFonts w:eastAsia="Times New Roman"/>
          <w:b/>
          <w:bCs/>
          <w:rtl/>
          <w:lang w:eastAsia="de-DE"/>
        </w:rPr>
        <w:t>פֶסֶל</w:t>
      </w:r>
      <w:r w:rsidRPr="008D3E71">
        <w:rPr>
          <w:rFonts w:eastAsia="Times New Roman"/>
          <w:rtl/>
          <w:lang w:eastAsia="de-DE"/>
        </w:rPr>
        <w:t xml:space="preserve"> </w:t>
      </w:r>
      <w:r w:rsidRPr="008D3E71">
        <w:rPr>
          <w:rFonts w:eastAsia="Times New Roman"/>
          <w:lang w:eastAsia="de-DE"/>
        </w:rPr>
        <w:t xml:space="preserve">als direktes Objekt („geschnitztes Bild, Götzenbild"), </w:t>
      </w:r>
      <w:r w:rsidRPr="008D3E71">
        <w:rPr>
          <w:rFonts w:eastAsia="Times New Roman"/>
          <w:b/>
          <w:bCs/>
          <w:rtl/>
          <w:lang w:eastAsia="de-DE"/>
        </w:rPr>
        <w:t>כָּל־תְּמוּנָה</w:t>
      </w:r>
      <w:r w:rsidRPr="008D3E71">
        <w:rPr>
          <w:rFonts w:eastAsia="Times New Roman"/>
          <w:rtl/>
          <w:lang w:eastAsia="de-DE"/>
        </w:rPr>
        <w:t xml:space="preserve"> </w:t>
      </w:r>
      <w:r w:rsidRPr="008D3E71">
        <w:rPr>
          <w:rFonts w:eastAsia="Times New Roman"/>
          <w:lang w:eastAsia="de-DE"/>
        </w:rPr>
        <w:t>als appositionelle Erklärung (</w:t>
      </w:r>
      <w:r w:rsidRPr="008D3E71">
        <w:rPr>
          <w:rFonts w:eastAsia="Times New Roman"/>
          <w:b/>
          <w:bCs/>
          <w:rtl/>
          <w:lang w:eastAsia="de-DE"/>
        </w:rPr>
        <w:t>כָּל</w:t>
      </w:r>
      <w:r w:rsidRPr="008D3E71">
        <w:rPr>
          <w:rFonts w:eastAsia="Times New Roman"/>
          <w:rtl/>
          <w:lang w:eastAsia="de-DE"/>
        </w:rPr>
        <w:t xml:space="preserve"> </w:t>
      </w:r>
      <w:r w:rsidRPr="008D3E71">
        <w:rPr>
          <w:rFonts w:eastAsia="Times New Roman"/>
          <w:lang w:eastAsia="de-DE"/>
        </w:rPr>
        <w:t xml:space="preserve">im Construct mit </w:t>
      </w:r>
      <w:r w:rsidRPr="008D3E71">
        <w:rPr>
          <w:rFonts w:eastAsia="Times New Roman"/>
          <w:b/>
          <w:bCs/>
          <w:rtl/>
          <w:lang w:eastAsia="de-DE"/>
        </w:rPr>
        <w:t>תְּמוּנָה</w:t>
      </w:r>
      <w:r w:rsidRPr="008D3E71">
        <w:rPr>
          <w:rFonts w:eastAsia="Times New Roman"/>
          <w:lang w:eastAsia="de-DE"/>
        </w:rPr>
        <w:t>, „Gestalt, Bild" – „jegliche Gestalt").</w:t>
      </w:r>
    </w:p>
    <w:p w14:paraId="24B47A57" w14:textId="71AC07AF"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אֲשֶׁר בַּשָּׁמַיִם מִמַּעַל</w:t>
      </w:r>
      <w:r w:rsidRPr="008D3E71">
        <w:rPr>
          <w:rFonts w:eastAsia="Times New Roman"/>
          <w:rtl/>
          <w:lang w:eastAsia="de-DE"/>
        </w:rPr>
        <w:t xml:space="preserve"> </w:t>
      </w:r>
      <w:r w:rsidRPr="008D3E71">
        <w:rPr>
          <w:rFonts w:eastAsia="Times New Roman"/>
          <w:lang w:eastAsia="de-DE"/>
        </w:rPr>
        <w:t xml:space="preserve">ist ein Relativsatz: </w:t>
      </w:r>
      <w:r w:rsidRPr="008D3E71">
        <w:rPr>
          <w:rFonts w:eastAsia="Times New Roman"/>
          <w:b/>
          <w:bCs/>
          <w:rtl/>
          <w:lang w:eastAsia="de-DE"/>
        </w:rPr>
        <w:t>אֲשֶׁר</w:t>
      </w:r>
      <w:r w:rsidRPr="008D3E71">
        <w:rPr>
          <w:rFonts w:eastAsia="Times New Roman"/>
          <w:rtl/>
          <w:lang w:eastAsia="de-DE"/>
        </w:rPr>
        <w:t xml:space="preserve"> </w:t>
      </w:r>
      <w:r w:rsidRPr="008D3E71">
        <w:rPr>
          <w:rFonts w:eastAsia="Times New Roman"/>
          <w:lang w:eastAsia="de-DE"/>
        </w:rPr>
        <w:t xml:space="preserve">als Relativpronomen, </w:t>
      </w:r>
      <w:r w:rsidRPr="008D3E71">
        <w:rPr>
          <w:rFonts w:eastAsia="Times New Roman"/>
          <w:b/>
          <w:bCs/>
          <w:rtl/>
          <w:lang w:eastAsia="de-DE"/>
        </w:rPr>
        <w:t>בַּשָּׁמַיִם</w:t>
      </w:r>
      <w:r w:rsidRPr="008D3E71">
        <w:rPr>
          <w:rFonts w:eastAsia="Times New Roman"/>
          <w:rtl/>
          <w:lang w:eastAsia="de-DE"/>
        </w:rPr>
        <w:t xml:space="preserve"> </w:t>
      </w:r>
      <w:r w:rsidRPr="008D3E71">
        <w:rPr>
          <w:rFonts w:eastAsia="Times New Roman"/>
          <w:lang w:eastAsia="de-DE"/>
        </w:rPr>
        <w:t>als Ortsangabe (</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שָׁמַיִם</w:t>
      </w:r>
      <w:r w:rsidRPr="008D3E71">
        <w:rPr>
          <w:rFonts w:eastAsia="Times New Roman"/>
          <w:lang w:eastAsia="de-DE"/>
        </w:rPr>
        <w:t xml:space="preserve">, Dual), </w:t>
      </w:r>
      <w:r w:rsidRPr="008D3E71">
        <w:rPr>
          <w:rFonts w:eastAsia="Times New Roman"/>
          <w:b/>
          <w:bCs/>
          <w:rtl/>
          <w:lang w:eastAsia="de-DE"/>
        </w:rPr>
        <w:t>מִמַּעַל</w:t>
      </w:r>
      <w:r w:rsidRPr="008D3E71">
        <w:rPr>
          <w:rFonts w:eastAsia="Times New Roman"/>
          <w:rtl/>
          <w:lang w:eastAsia="de-DE"/>
        </w:rPr>
        <w:t xml:space="preserve"> </w:t>
      </w:r>
      <w:r w:rsidRPr="008D3E71">
        <w:rPr>
          <w:rFonts w:eastAsia="Times New Roman"/>
          <w:lang w:eastAsia="de-DE"/>
        </w:rPr>
        <w:t>als präzisierendes Adverb (</w:t>
      </w:r>
      <w:r w:rsidRPr="008D3E71">
        <w:rPr>
          <w:rFonts w:eastAsia="Times New Roman"/>
          <w:b/>
          <w:bCs/>
          <w:rtl/>
          <w:lang w:eastAsia="de-DE"/>
        </w:rPr>
        <w:t>מִן</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מַעַל</w:t>
      </w:r>
      <w:r w:rsidRPr="008D3E71">
        <w:rPr>
          <w:rFonts w:eastAsia="Times New Roman"/>
          <w:lang w:eastAsia="de-DE"/>
        </w:rPr>
        <w:t xml:space="preserve">, „oben, von oben"). </w:t>
      </w:r>
      <w:r w:rsidRPr="008D3E71">
        <w:rPr>
          <w:rFonts w:eastAsia="Times New Roman"/>
          <w:b/>
          <w:bCs/>
          <w:rtl/>
          <w:lang w:eastAsia="de-DE"/>
        </w:rPr>
        <w:t>וַאֲשֶׁר בָּאָרֶץ מִתָּחַת</w:t>
      </w:r>
      <w:r w:rsidRPr="008D3E71">
        <w:rPr>
          <w:rFonts w:eastAsia="Times New Roman"/>
          <w:rtl/>
          <w:lang w:eastAsia="de-DE"/>
        </w:rPr>
        <w:t xml:space="preserve"> </w:t>
      </w:r>
      <w:r w:rsidRPr="008D3E71">
        <w:rPr>
          <w:rFonts w:eastAsia="Times New Roman"/>
          <w:lang w:eastAsia="de-DE"/>
        </w:rPr>
        <w:t xml:space="preserve">ist parallel strukturiert: </w:t>
      </w:r>
      <w:r w:rsidRPr="008D3E71">
        <w:rPr>
          <w:rFonts w:eastAsia="Times New Roman"/>
          <w:b/>
          <w:bCs/>
          <w:rtl/>
          <w:lang w:eastAsia="de-DE"/>
        </w:rPr>
        <w:t>וַ</w:t>
      </w:r>
      <w:r w:rsidRPr="008D3E71">
        <w:rPr>
          <w:rFonts w:eastAsia="Times New Roman"/>
          <w:rtl/>
          <w:lang w:eastAsia="de-DE"/>
        </w:rPr>
        <w:t xml:space="preserve"> </w:t>
      </w:r>
      <w:r w:rsidRPr="008D3E71">
        <w:rPr>
          <w:rFonts w:eastAsia="Times New Roman"/>
          <w:lang w:eastAsia="de-DE"/>
        </w:rPr>
        <w:t xml:space="preserve">koordinierend, </w:t>
      </w:r>
      <w:r w:rsidRPr="008D3E71">
        <w:rPr>
          <w:rFonts w:eastAsia="Times New Roman"/>
          <w:b/>
          <w:bCs/>
          <w:rtl/>
          <w:lang w:eastAsia="de-DE"/>
        </w:rPr>
        <w:t>אֲשֶׁר</w:t>
      </w:r>
      <w:r w:rsidRPr="008D3E71">
        <w:rPr>
          <w:rFonts w:eastAsia="Times New Roman"/>
          <w:lang w:eastAsia="de-DE"/>
        </w:rPr>
        <w:t xml:space="preserve">, </w:t>
      </w:r>
      <w:r w:rsidRPr="008D3E71">
        <w:rPr>
          <w:rFonts w:eastAsia="Times New Roman"/>
          <w:b/>
          <w:bCs/>
          <w:rtl/>
          <w:lang w:eastAsia="de-DE"/>
        </w:rPr>
        <w:t>בָּאָרֶץ</w:t>
      </w:r>
      <w:r w:rsidRPr="008D3E71">
        <w:rPr>
          <w:rFonts w:eastAsia="Times New Roman"/>
          <w:rtl/>
          <w:lang w:eastAsia="de-DE"/>
        </w:rPr>
        <w:t xml:space="preserve"> </w:t>
      </w:r>
      <w:r w:rsidRPr="008D3E71">
        <w:rPr>
          <w:rFonts w:eastAsia="Times New Roman"/>
          <w:lang w:eastAsia="de-DE"/>
        </w:rPr>
        <w:t xml:space="preserve">als Ortsangabe, </w:t>
      </w:r>
      <w:r w:rsidRPr="008D3E71">
        <w:rPr>
          <w:rFonts w:eastAsia="Times New Roman"/>
          <w:b/>
          <w:bCs/>
          <w:rtl/>
          <w:lang w:eastAsia="de-DE"/>
        </w:rPr>
        <w:t>מִתָּחַת</w:t>
      </w:r>
      <w:r w:rsidRPr="008D3E71">
        <w:rPr>
          <w:rFonts w:eastAsia="Times New Roman"/>
          <w:rtl/>
          <w:lang w:eastAsia="de-DE"/>
        </w:rPr>
        <w:t xml:space="preserve"> </w:t>
      </w:r>
      <w:r w:rsidRPr="008D3E71">
        <w:rPr>
          <w:rFonts w:eastAsia="Times New Roman"/>
          <w:lang w:eastAsia="de-DE"/>
        </w:rPr>
        <w:t>als präzisierendes Adverb (</w:t>
      </w:r>
      <w:r w:rsidRPr="008D3E71">
        <w:rPr>
          <w:rFonts w:eastAsia="Times New Roman"/>
          <w:b/>
          <w:bCs/>
          <w:rtl/>
          <w:lang w:eastAsia="de-DE"/>
        </w:rPr>
        <w:t>מִן</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תַּחַת</w:t>
      </w:r>
      <w:r w:rsidRPr="008D3E71">
        <w:rPr>
          <w:rFonts w:eastAsia="Times New Roman"/>
          <w:lang w:eastAsia="de-DE"/>
        </w:rPr>
        <w:t xml:space="preserve">, „unten, von unten"). </w:t>
      </w:r>
      <w:r w:rsidRPr="008D3E71">
        <w:rPr>
          <w:rFonts w:eastAsia="Times New Roman"/>
          <w:b/>
          <w:bCs/>
          <w:rtl/>
          <w:lang w:eastAsia="de-DE"/>
        </w:rPr>
        <w:t>וַאֲשֶׁר בַּמַּיִם מִתַּחַת לָאָרֶץ</w:t>
      </w:r>
      <w:r w:rsidRPr="008D3E71">
        <w:rPr>
          <w:rFonts w:eastAsia="Times New Roman"/>
          <w:rtl/>
          <w:lang w:eastAsia="de-DE"/>
        </w:rPr>
        <w:t xml:space="preserve"> </w:t>
      </w:r>
      <w:r w:rsidRPr="008D3E71">
        <w:rPr>
          <w:rFonts w:eastAsia="Times New Roman"/>
          <w:lang w:eastAsia="de-DE"/>
        </w:rPr>
        <w:t xml:space="preserve">ist die dritte Parallelkonstruktion: </w:t>
      </w:r>
      <w:r w:rsidRPr="008D3E71">
        <w:rPr>
          <w:rFonts w:eastAsia="Times New Roman"/>
          <w:b/>
          <w:bCs/>
          <w:rtl/>
          <w:lang w:eastAsia="de-DE"/>
        </w:rPr>
        <w:t>וַאֲשֶׁר</w:t>
      </w:r>
      <w:r w:rsidRPr="008D3E71">
        <w:rPr>
          <w:rFonts w:eastAsia="Times New Roman"/>
          <w:lang w:eastAsia="de-DE"/>
        </w:rPr>
        <w:t xml:space="preserve">, </w:t>
      </w:r>
      <w:r w:rsidRPr="008D3E71">
        <w:rPr>
          <w:rFonts w:eastAsia="Times New Roman"/>
          <w:b/>
          <w:bCs/>
          <w:rtl/>
          <w:lang w:eastAsia="de-DE"/>
        </w:rPr>
        <w:t>בַּמַּיִם</w:t>
      </w:r>
      <w:r w:rsidRPr="008D3E71">
        <w:rPr>
          <w:rFonts w:eastAsia="Times New Roman"/>
          <w:rtl/>
          <w:lang w:eastAsia="de-DE"/>
        </w:rPr>
        <w:t xml:space="preserve"> </w:t>
      </w:r>
      <w:r w:rsidRPr="008D3E71">
        <w:rPr>
          <w:rFonts w:eastAsia="Times New Roman"/>
          <w:lang w:eastAsia="de-DE"/>
        </w:rPr>
        <w:t>als Ortsangabe (</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מַיִם</w:t>
      </w:r>
      <w:r w:rsidRPr="008D3E71">
        <w:rPr>
          <w:rFonts w:eastAsia="Times New Roman"/>
          <w:lang w:eastAsia="de-DE"/>
        </w:rPr>
        <w:t xml:space="preserve">, Dual), </w:t>
      </w:r>
      <w:r w:rsidRPr="008D3E71">
        <w:rPr>
          <w:rFonts w:eastAsia="Times New Roman"/>
          <w:b/>
          <w:bCs/>
          <w:rtl/>
          <w:lang w:eastAsia="de-DE"/>
        </w:rPr>
        <w:t>מִתַּחַת לָאָרֶץ</w:t>
      </w:r>
      <w:r w:rsidRPr="008D3E71">
        <w:rPr>
          <w:rFonts w:eastAsia="Times New Roman"/>
          <w:rtl/>
          <w:lang w:eastAsia="de-DE"/>
        </w:rPr>
        <w:t xml:space="preserve"> </w:t>
      </w:r>
      <w:r w:rsidRPr="008D3E71">
        <w:rPr>
          <w:rFonts w:eastAsia="Times New Roman"/>
          <w:lang w:eastAsia="de-DE"/>
        </w:rPr>
        <w:t>als weitere Präzisierung (</w:t>
      </w:r>
      <w:r w:rsidRPr="008D3E71">
        <w:rPr>
          <w:rFonts w:eastAsia="Times New Roman"/>
          <w:b/>
          <w:bCs/>
          <w:rtl/>
          <w:lang w:eastAsia="de-DE"/>
        </w:rPr>
        <w:t>מִן</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תַּחַת</w:t>
      </w:r>
      <w:r w:rsidRPr="008D3E71">
        <w:rPr>
          <w:rFonts w:eastAsia="Times New Roman"/>
          <w:rtl/>
          <w:lang w:eastAsia="de-DE"/>
        </w:rPr>
        <w:t xml:space="preserve"> </w:t>
      </w:r>
      <w:r w:rsidRPr="008D3E71">
        <w:rPr>
          <w:rFonts w:eastAsia="Times New Roman"/>
          <w:lang w:eastAsia="de-DE"/>
        </w:rPr>
        <w:t xml:space="preserve">und </w:t>
      </w:r>
      <w:r w:rsidRPr="008D3E71">
        <w:rPr>
          <w:rFonts w:eastAsia="Times New Roman"/>
          <w:b/>
          <w:bCs/>
          <w:rtl/>
          <w:lang w:eastAsia="de-DE"/>
        </w:rPr>
        <w:t>לָאָרֶץ</w:t>
      </w:r>
      <w:r w:rsidRPr="008D3E71">
        <w:rPr>
          <w:rFonts w:eastAsia="Times New Roman"/>
          <w:lang w:eastAsia="de-DE"/>
        </w:rPr>
        <w:t>).</w:t>
      </w:r>
      <w:r w:rsidR="004736F4">
        <w:rPr>
          <w:rFonts w:eastAsia="Times New Roman"/>
          <w:lang w:eastAsia="de-DE"/>
        </w:rPr>
        <w:t xml:space="preserve"> </w:t>
      </w:r>
      <w:r w:rsidR="004736F4" w:rsidRPr="004736F4">
        <w:rPr>
          <w:b/>
          <w:bCs/>
          <w:rtl/>
        </w:rPr>
        <w:t>מִתַּחַת</w:t>
      </w:r>
      <w:r w:rsidR="004736F4">
        <w:t xml:space="preserve"> ist hier eine </w:t>
      </w:r>
      <w:r w:rsidR="004736F4">
        <w:rPr>
          <w:rStyle w:val="Fett"/>
        </w:rPr>
        <w:t>präpositionale Fügung</w:t>
      </w:r>
      <w:r w:rsidR="004736F4">
        <w:t xml:space="preserve"> (nicht rein adverbiell), bestehend aus </w:t>
      </w:r>
      <w:r w:rsidR="004736F4" w:rsidRPr="004736F4">
        <w:rPr>
          <w:b/>
          <w:bCs/>
          <w:rtl/>
        </w:rPr>
        <w:t>מִן</w:t>
      </w:r>
      <w:r w:rsidR="004736F4">
        <w:rPr>
          <w:rtl/>
        </w:rPr>
        <w:t xml:space="preserve"> + </w:t>
      </w:r>
      <w:r w:rsidR="004736F4" w:rsidRPr="004736F4">
        <w:rPr>
          <w:b/>
          <w:bCs/>
          <w:rtl/>
        </w:rPr>
        <w:t>תַּחַת</w:t>
      </w:r>
      <w:r w:rsidR="004736F4">
        <w:t xml:space="preserve">. In </w:t>
      </w:r>
      <w:r w:rsidR="004736F4" w:rsidRPr="004736F4">
        <w:rPr>
          <w:b/>
          <w:bCs/>
          <w:rtl/>
        </w:rPr>
        <w:t>מִתַּחַת לָאָרֶץ</w:t>
      </w:r>
      <w:r w:rsidR="004736F4" w:rsidRPr="004736F4">
        <w:rPr>
          <w:b/>
          <w:bCs/>
        </w:rPr>
        <w:t xml:space="preserve"> </w:t>
      </w:r>
      <w:r w:rsidR="004736F4">
        <w:t>funktioniert es als zusammengesetzte Präposition "unter(halb)".</w:t>
      </w:r>
    </w:p>
    <w:p w14:paraId="3AC62184"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Die dreigliedrige kosmologische Aufzählung (Himmel – Erde – Wasser unter der Erde) entspricht der antiken Weltsicht und umfasst den gesamten Kosmos. Das Verbot erstreckt sich auf Abbildungen von allem, was existiert. Die Wendung </w:t>
      </w:r>
      <w:r w:rsidRPr="008D3E71">
        <w:rPr>
          <w:rFonts w:eastAsia="Times New Roman"/>
          <w:b/>
          <w:bCs/>
          <w:rtl/>
          <w:lang w:eastAsia="de-DE"/>
        </w:rPr>
        <w:t>מַיִם מִתַּחַת לָאָרֶץ</w:t>
      </w:r>
      <w:r w:rsidRPr="008D3E71">
        <w:rPr>
          <w:rFonts w:eastAsia="Times New Roman"/>
          <w:rtl/>
          <w:lang w:eastAsia="de-DE"/>
        </w:rPr>
        <w:t xml:space="preserve"> </w:t>
      </w:r>
      <w:r w:rsidRPr="008D3E71">
        <w:rPr>
          <w:rFonts w:eastAsia="Times New Roman"/>
          <w:lang w:eastAsia="de-DE"/>
        </w:rPr>
        <w:t>bezieht sich auf die unterirdischen Urgewässer (vgl. Gen 1,7; 7,11).</w:t>
      </w:r>
    </w:p>
    <w:p w14:paraId="5E008A7C"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Satzstruktur ist ein prohibitiver Satz mit Negation, Prädikat, reflexivem Dativ, direktem Objekt und appositiver Erklärung, gefolgt von drei parallel strukturierten Relativsätzen mit jeweils Ortsangabe und präzisierendem Adverb. Die dreigliedrige Parallelstruktur schafft einen kosmischen Merismus und unterstreicht die Totalität des Bilderverbots.</w:t>
      </w:r>
    </w:p>
    <w:p w14:paraId="55CDA677"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Der Vers formuliert das zweite Gebot (oder den zweiten Teil des ersten Gebots): das umfassende Verbot, Abbildungen von irgendetwas im Kosmos anzufertigen – ein radikales Bilderverbot.</w:t>
      </w:r>
    </w:p>
    <w:p w14:paraId="4D7800E4"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5,9</w:t>
      </w:r>
    </w:p>
    <w:p w14:paraId="0FC7069E"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lastRenderedPageBreak/>
        <w:t>Hebräisch:</w:t>
      </w:r>
      <w:r w:rsidRPr="008D3E71">
        <w:rPr>
          <w:rFonts w:eastAsia="Times New Roman"/>
          <w:lang w:eastAsia="de-DE"/>
        </w:rPr>
        <w:t xml:space="preserve"> </w:t>
      </w:r>
      <w:r w:rsidRPr="008D3E71">
        <w:rPr>
          <w:rFonts w:eastAsia="Times New Roman"/>
          <w:rtl/>
          <w:lang w:eastAsia="de-DE"/>
        </w:rPr>
        <w:t>לֹא־תִשְׁתַּחֲוֶה לָהֶם וְלֹא תָעָבְדֵם כִּי אָנֹכִי יְהוָה אֱלֹהֶיךָ אֵל קַנָּא פֹּקֵד עֲוֹן אָבוֹת עַל־בָּנִים וְעַל־שִׁלֵּשִׁים וְעַל־רִבֵּעִים לְשֹׂנְאָי׃</w:t>
      </w:r>
    </w:p>
    <w:p w14:paraId="6155A26E"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Du sollst dich vor ihnen nicht niederwerfen und ihnen nicht dienen. Denn ich, der Ewige, dein Gott, bin ein eifernder Gott, der heimsucht die Schuld der Väter an den Söhnen und an der dritten und an der vierten Generation derer, die mich hassen.</w:t>
      </w:r>
    </w:p>
    <w:p w14:paraId="2D45374B"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48914DC4">
          <v:rect id="_x0000_i1194" style="width:0;height:1.5pt" o:hralign="center" o:hrstd="t" o:hr="t" fillcolor="#a0a0a0" stroked="f"/>
        </w:pict>
      </w:r>
    </w:p>
    <w:p w14:paraId="53671036" w14:textId="6B64BB48"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לֹא־תִשְׁתַּחֲוֶה לָהֶם וְלֹא תָעָבְדֵם</w:t>
      </w:r>
      <w:r w:rsidRPr="008D3E71">
        <w:rPr>
          <w:rFonts w:eastAsia="Times New Roman"/>
          <w:rtl/>
          <w:lang w:eastAsia="de-DE"/>
        </w:rPr>
        <w:t xml:space="preserve"> </w:t>
      </w:r>
      <w:r w:rsidRPr="008D3E71">
        <w:rPr>
          <w:rFonts w:eastAsia="Times New Roman"/>
          <w:lang w:eastAsia="de-DE"/>
        </w:rPr>
        <w:t xml:space="preserve">besteht aus zwei koordinierten prohibitiven Sätzen: </w:t>
      </w:r>
      <w:r w:rsidRPr="008D3E71">
        <w:rPr>
          <w:rFonts w:eastAsia="Times New Roman"/>
          <w:b/>
          <w:bCs/>
          <w:rtl/>
          <w:lang w:eastAsia="de-DE"/>
        </w:rPr>
        <w:t>לֹא־תִשְׁתַּחֲוֶה</w:t>
      </w:r>
      <w:r w:rsidRPr="008D3E71">
        <w:rPr>
          <w:rFonts w:eastAsia="Times New Roman"/>
          <w:rtl/>
          <w:lang w:eastAsia="de-DE"/>
        </w:rPr>
        <w:t xml:space="preserve"> </w:t>
      </w:r>
      <w:r w:rsidRPr="008D3E71">
        <w:rPr>
          <w:rFonts w:eastAsia="Times New Roman"/>
          <w:lang w:eastAsia="de-DE"/>
        </w:rPr>
        <w:t xml:space="preserve">(Negation mit /Hitpael Imperfekt, 2. Person Singular maskulin von </w:t>
      </w:r>
      <w:r w:rsidRPr="008D3E71">
        <w:rPr>
          <w:rFonts w:eastAsia="Times New Roman"/>
          <w:b/>
          <w:bCs/>
          <w:rtl/>
          <w:lang w:eastAsia="de-DE"/>
        </w:rPr>
        <w:t>שׁחה</w:t>
      </w:r>
      <w:r w:rsidRPr="008D3E71">
        <w:rPr>
          <w:rFonts w:eastAsia="Times New Roman"/>
          <w:lang w:eastAsia="de-DE"/>
        </w:rPr>
        <w:t xml:space="preserve">, „sich niederwerfen, anbeten"), </w:t>
      </w:r>
      <w:r w:rsidRPr="008D3E71">
        <w:rPr>
          <w:rFonts w:eastAsia="Times New Roman"/>
          <w:b/>
          <w:bCs/>
          <w:rtl/>
          <w:lang w:eastAsia="de-DE"/>
        </w:rPr>
        <w:t>לָהֶם</w:t>
      </w:r>
      <w:r w:rsidRPr="008D3E71">
        <w:rPr>
          <w:rFonts w:eastAsia="Times New Roman"/>
          <w:rtl/>
          <w:lang w:eastAsia="de-DE"/>
        </w:rPr>
        <w:t xml:space="preserve"> </w:t>
      </w:r>
      <w:r w:rsidRPr="008D3E71">
        <w:rPr>
          <w:rFonts w:eastAsia="Times New Roman"/>
          <w:lang w:eastAsia="de-DE"/>
        </w:rPr>
        <w:t xml:space="preserve">als indirektes Objekt (Präposition </w:t>
      </w:r>
      <w:r w:rsidRPr="008D3E71">
        <w:rPr>
          <w:rFonts w:eastAsia="Times New Roman"/>
          <w:b/>
          <w:bCs/>
          <w:rtl/>
          <w:lang w:eastAsia="de-DE"/>
        </w:rPr>
        <w:t>לְ</w:t>
      </w:r>
      <w:r w:rsidRPr="008D3E71">
        <w:rPr>
          <w:rFonts w:eastAsia="Times New Roman"/>
          <w:rtl/>
          <w:lang w:eastAsia="de-DE"/>
        </w:rPr>
        <w:t xml:space="preserve"> </w:t>
      </w:r>
      <w:r w:rsidRPr="008D3E71">
        <w:rPr>
          <w:rFonts w:eastAsia="Times New Roman"/>
          <w:lang w:eastAsia="de-DE"/>
        </w:rPr>
        <w:t xml:space="preserve">mit Suffix 3. Person Plural maskulin, bezogen auf die Bilder), </w:t>
      </w:r>
      <w:r w:rsidRPr="008D3E71">
        <w:rPr>
          <w:rFonts w:eastAsia="Times New Roman"/>
          <w:b/>
          <w:bCs/>
          <w:rtl/>
          <w:lang w:eastAsia="de-DE"/>
        </w:rPr>
        <w:t>וְלֹא תָעָבְדֵם</w:t>
      </w:r>
      <w:r w:rsidRPr="008D3E71">
        <w:rPr>
          <w:rFonts w:eastAsia="Times New Roman"/>
          <w:rtl/>
          <w:lang w:eastAsia="de-DE"/>
        </w:rPr>
        <w:t xml:space="preserve"> </w:t>
      </w:r>
      <w:r w:rsidRPr="008D3E71">
        <w:rPr>
          <w:rFonts w:eastAsia="Times New Roman"/>
          <w:lang w:eastAsia="de-DE"/>
        </w:rPr>
        <w:t xml:space="preserve">koordiniert (Negation mit Qal Imperfekt, 2. Person Singular maskulin von </w:t>
      </w:r>
      <w:r w:rsidRPr="008D3E71">
        <w:rPr>
          <w:rFonts w:eastAsia="Times New Roman"/>
          <w:b/>
          <w:bCs/>
          <w:rtl/>
          <w:lang w:eastAsia="de-DE"/>
        </w:rPr>
        <w:t>עבד</w:t>
      </w:r>
      <w:r w:rsidRPr="008D3E71">
        <w:rPr>
          <w:rFonts w:eastAsia="Times New Roman"/>
          <w:lang w:eastAsia="de-DE"/>
        </w:rPr>
        <w:t>, „dienen", und Suffix 3. Person Plural maskulin als direktes Objekt).</w:t>
      </w:r>
    </w:p>
    <w:p w14:paraId="33E5CAE6"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כִּי אָנֹכִי יְהוָה אֱלֹהֶיךָ אֵל קַנָּא</w:t>
      </w:r>
      <w:r w:rsidRPr="008D3E71">
        <w:rPr>
          <w:rFonts w:eastAsia="Times New Roman"/>
          <w:rtl/>
          <w:lang w:eastAsia="de-DE"/>
        </w:rPr>
        <w:t xml:space="preserve"> </w:t>
      </w:r>
      <w:r w:rsidRPr="008D3E71">
        <w:rPr>
          <w:rFonts w:eastAsia="Times New Roman"/>
          <w:lang w:eastAsia="de-DE"/>
        </w:rPr>
        <w:t xml:space="preserve">ist ein kausaler nominaler Satz: </w:t>
      </w:r>
      <w:r w:rsidRPr="008D3E71">
        <w:rPr>
          <w:rFonts w:eastAsia="Times New Roman"/>
          <w:b/>
          <w:bCs/>
          <w:rtl/>
          <w:lang w:eastAsia="de-DE"/>
        </w:rPr>
        <w:t>כִּי</w:t>
      </w:r>
      <w:r w:rsidRPr="008D3E71">
        <w:rPr>
          <w:rFonts w:eastAsia="Times New Roman"/>
          <w:rtl/>
          <w:lang w:eastAsia="de-DE"/>
        </w:rPr>
        <w:t xml:space="preserve"> </w:t>
      </w:r>
      <w:r w:rsidRPr="008D3E71">
        <w:rPr>
          <w:rFonts w:eastAsia="Times New Roman"/>
          <w:lang w:eastAsia="de-DE"/>
        </w:rPr>
        <w:t xml:space="preserve">als Konjunktion („denn"), </w:t>
      </w:r>
      <w:r w:rsidRPr="008D3E71">
        <w:rPr>
          <w:rFonts w:eastAsia="Times New Roman"/>
          <w:b/>
          <w:bCs/>
          <w:rtl/>
          <w:lang w:eastAsia="de-DE"/>
        </w:rPr>
        <w:t>אָנֹכִי</w:t>
      </w:r>
      <w:r w:rsidRPr="008D3E71">
        <w:rPr>
          <w:rFonts w:eastAsia="Times New Roman"/>
          <w:rtl/>
          <w:lang w:eastAsia="de-DE"/>
        </w:rPr>
        <w:t xml:space="preserve"> </w:t>
      </w:r>
      <w:r w:rsidRPr="008D3E71">
        <w:rPr>
          <w:rFonts w:eastAsia="Times New Roman"/>
          <w:lang w:eastAsia="de-DE"/>
        </w:rPr>
        <w:t xml:space="preserve">als emphatisches Personalpronomen, </w:t>
      </w:r>
      <w:r w:rsidRPr="008D3E71">
        <w:rPr>
          <w:rFonts w:eastAsia="Times New Roman"/>
          <w:b/>
          <w:bCs/>
          <w:rtl/>
          <w:lang w:eastAsia="de-DE"/>
        </w:rPr>
        <w:t>יְהוָה אֱלֹהֶיךָ</w:t>
      </w:r>
      <w:r w:rsidRPr="008D3E71">
        <w:rPr>
          <w:rFonts w:eastAsia="Times New Roman"/>
          <w:rtl/>
          <w:lang w:eastAsia="de-DE"/>
        </w:rPr>
        <w:t xml:space="preserve"> </w:t>
      </w:r>
      <w:r w:rsidRPr="008D3E71">
        <w:rPr>
          <w:rFonts w:eastAsia="Times New Roman"/>
          <w:lang w:eastAsia="de-DE"/>
        </w:rPr>
        <w:t xml:space="preserve">als erste Prädikatsbestimmung, </w:t>
      </w:r>
      <w:r w:rsidRPr="008D3E71">
        <w:rPr>
          <w:rFonts w:eastAsia="Times New Roman"/>
          <w:b/>
          <w:bCs/>
          <w:rtl/>
          <w:lang w:eastAsia="de-DE"/>
        </w:rPr>
        <w:t>אֵל קַנָּא</w:t>
      </w:r>
      <w:r w:rsidRPr="008D3E71">
        <w:rPr>
          <w:rFonts w:eastAsia="Times New Roman"/>
          <w:rtl/>
          <w:lang w:eastAsia="de-DE"/>
        </w:rPr>
        <w:t xml:space="preserve"> </w:t>
      </w:r>
      <w:r w:rsidRPr="008D3E71">
        <w:rPr>
          <w:rFonts w:eastAsia="Times New Roman"/>
          <w:lang w:eastAsia="de-DE"/>
        </w:rPr>
        <w:t>als zweite Prädikatsbestimmung (</w:t>
      </w:r>
      <w:r w:rsidRPr="008D3E71">
        <w:rPr>
          <w:rFonts w:eastAsia="Times New Roman"/>
          <w:b/>
          <w:bCs/>
          <w:rtl/>
          <w:lang w:eastAsia="de-DE"/>
        </w:rPr>
        <w:t>אֵל</w:t>
      </w:r>
      <w:r w:rsidRPr="008D3E71">
        <w:rPr>
          <w:rFonts w:eastAsia="Times New Roman"/>
          <w:lang w:eastAsia="de-DE"/>
        </w:rPr>
        <w:t xml:space="preserve">, „Gott", mit Adjektiv bzw. Partizip </w:t>
      </w:r>
      <w:r w:rsidRPr="008D3E71">
        <w:rPr>
          <w:rFonts w:eastAsia="Times New Roman"/>
          <w:b/>
          <w:bCs/>
          <w:rtl/>
          <w:lang w:eastAsia="de-DE"/>
        </w:rPr>
        <w:t>קַנָּא</w:t>
      </w:r>
      <w:r w:rsidRPr="008D3E71">
        <w:rPr>
          <w:rFonts w:eastAsia="Times New Roman"/>
          <w:rtl/>
          <w:lang w:eastAsia="de-DE"/>
        </w:rPr>
        <w:t xml:space="preserve"> </w:t>
      </w:r>
      <w:r w:rsidRPr="008D3E71">
        <w:rPr>
          <w:rFonts w:eastAsia="Times New Roman"/>
          <w:lang w:eastAsia="de-DE"/>
        </w:rPr>
        <w:t xml:space="preserve">von </w:t>
      </w:r>
      <w:r w:rsidRPr="008D3E71">
        <w:rPr>
          <w:rFonts w:eastAsia="Times New Roman"/>
          <w:b/>
          <w:bCs/>
          <w:rtl/>
          <w:lang w:eastAsia="de-DE"/>
        </w:rPr>
        <w:t>קנא</w:t>
      </w:r>
      <w:r w:rsidRPr="008D3E71">
        <w:rPr>
          <w:rFonts w:eastAsia="Times New Roman"/>
          <w:lang w:eastAsia="de-DE"/>
        </w:rPr>
        <w:t>, „eifersüchtig sein, eifern" – „eifernder, eifersüchtiger Gott").</w:t>
      </w:r>
    </w:p>
    <w:p w14:paraId="11A5A6E2" w14:textId="16A7C7AB"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פֹּקֵד עֲוֹן אָבוֹת עַל־בָּנִים וְעַל־שִׁלֵּשִׁים וְעַל־רִבֵּעִים לְשֹׂנְאָי</w:t>
      </w:r>
      <w:r w:rsidRPr="008D3E71">
        <w:rPr>
          <w:rFonts w:eastAsia="Times New Roman"/>
          <w:rtl/>
          <w:lang w:eastAsia="de-DE"/>
        </w:rPr>
        <w:t xml:space="preserve"> </w:t>
      </w:r>
      <w:r w:rsidRPr="008D3E71">
        <w:rPr>
          <w:rFonts w:eastAsia="Times New Roman"/>
          <w:lang w:eastAsia="de-DE"/>
        </w:rPr>
        <w:t xml:space="preserve">ist eine partizipiale Erweiterung: </w:t>
      </w:r>
      <w:r w:rsidRPr="008D3E71">
        <w:rPr>
          <w:rFonts w:eastAsia="Times New Roman"/>
          <w:b/>
          <w:bCs/>
          <w:rtl/>
          <w:lang w:eastAsia="de-DE"/>
        </w:rPr>
        <w:t>פֹּקֵד</w:t>
      </w:r>
      <w:r w:rsidRPr="008D3E71">
        <w:rPr>
          <w:rFonts w:eastAsia="Times New Roman"/>
          <w:rtl/>
          <w:lang w:eastAsia="de-DE"/>
        </w:rPr>
        <w:t xml:space="preserve"> </w:t>
      </w:r>
      <w:r w:rsidRPr="008D3E71">
        <w:rPr>
          <w:rFonts w:eastAsia="Times New Roman"/>
          <w:lang w:eastAsia="de-DE"/>
        </w:rPr>
        <w:t xml:space="preserve">als Qal Partizip </w:t>
      </w:r>
      <w:proofErr w:type="spellStart"/>
      <w:r w:rsidR="00E01E90">
        <w:rPr>
          <w:rFonts w:eastAsia="Times New Roman"/>
          <w:lang w:eastAsia="de-DE"/>
        </w:rPr>
        <w:t>Aktiv</w:t>
      </w:r>
      <w:proofErr w:type="spellEnd"/>
      <w:r w:rsidR="00E01E90">
        <w:rPr>
          <w:rFonts w:eastAsia="Times New Roman"/>
          <w:lang w:eastAsia="de-DE"/>
        </w:rPr>
        <w:t xml:space="preserve"> </w:t>
      </w:r>
      <w:r w:rsidRPr="008D3E71">
        <w:rPr>
          <w:rFonts w:eastAsia="Times New Roman"/>
          <w:lang w:eastAsia="de-DE"/>
        </w:rPr>
        <w:t xml:space="preserve">Singular maskulin von </w:t>
      </w:r>
      <w:r w:rsidRPr="008D3E71">
        <w:rPr>
          <w:rFonts w:eastAsia="Times New Roman"/>
          <w:b/>
          <w:bCs/>
          <w:rtl/>
          <w:lang w:eastAsia="de-DE"/>
        </w:rPr>
        <w:t>פקד</w:t>
      </w:r>
      <w:r w:rsidRPr="008D3E71">
        <w:rPr>
          <w:rFonts w:eastAsia="Times New Roman"/>
          <w:rtl/>
          <w:lang w:eastAsia="de-DE"/>
        </w:rPr>
        <w:t xml:space="preserve"> </w:t>
      </w:r>
      <w:r w:rsidRPr="008D3E71">
        <w:rPr>
          <w:rFonts w:eastAsia="Times New Roman"/>
          <w:lang w:eastAsia="de-DE"/>
        </w:rPr>
        <w:t>(„heimsuchen, ahnden")</w:t>
      </w:r>
      <w:r w:rsidR="00E01E90">
        <w:rPr>
          <w:rFonts w:eastAsia="Times New Roman"/>
          <w:lang w:eastAsia="de-DE"/>
        </w:rPr>
        <w:t xml:space="preserve"> </w:t>
      </w:r>
      <w:r w:rsidR="00E01E90">
        <w:t>Die Vokalisierung mit Cholem (ō) zeigt das aktive Partizip.</w:t>
      </w:r>
      <w:r w:rsidRPr="008D3E71">
        <w:rPr>
          <w:rFonts w:eastAsia="Times New Roman"/>
          <w:lang w:eastAsia="de-DE"/>
        </w:rPr>
        <w:t xml:space="preserve"> </w:t>
      </w:r>
      <w:r w:rsidRPr="008D3E71">
        <w:rPr>
          <w:rFonts w:eastAsia="Times New Roman"/>
          <w:b/>
          <w:bCs/>
          <w:rtl/>
          <w:lang w:eastAsia="de-DE"/>
        </w:rPr>
        <w:t>עֲוֹן אָבוֹת</w:t>
      </w:r>
      <w:r w:rsidRPr="008D3E71">
        <w:rPr>
          <w:rFonts w:eastAsia="Times New Roman"/>
          <w:rtl/>
          <w:lang w:eastAsia="de-DE"/>
        </w:rPr>
        <w:t xml:space="preserve"> </w:t>
      </w:r>
      <w:r w:rsidRPr="008D3E71">
        <w:rPr>
          <w:rFonts w:eastAsia="Times New Roman"/>
          <w:lang w:eastAsia="de-DE"/>
        </w:rPr>
        <w:t>als direktes Objekt (</w:t>
      </w:r>
      <w:r w:rsidRPr="008D3E71">
        <w:rPr>
          <w:rFonts w:eastAsia="Times New Roman"/>
          <w:b/>
          <w:bCs/>
          <w:rtl/>
          <w:lang w:eastAsia="de-DE"/>
        </w:rPr>
        <w:t>עָוֹן</w:t>
      </w:r>
      <w:r w:rsidRPr="008D3E71">
        <w:rPr>
          <w:rFonts w:eastAsia="Times New Roman"/>
          <w:lang w:eastAsia="de-DE"/>
        </w:rPr>
        <w:t xml:space="preserve">, „Schuld, Sünde", im Construct mit </w:t>
      </w:r>
      <w:r w:rsidRPr="008D3E71">
        <w:rPr>
          <w:rFonts w:eastAsia="Times New Roman"/>
          <w:b/>
          <w:bCs/>
          <w:rtl/>
          <w:lang w:eastAsia="de-DE"/>
        </w:rPr>
        <w:t>אָבוֹת</w:t>
      </w:r>
      <w:r w:rsidRPr="008D3E71">
        <w:rPr>
          <w:rFonts w:eastAsia="Times New Roman"/>
          <w:lang w:eastAsia="de-DE"/>
        </w:rPr>
        <w:t xml:space="preserve">, „Väter", Plural), </w:t>
      </w:r>
      <w:r w:rsidRPr="008D3E71">
        <w:rPr>
          <w:rFonts w:eastAsia="Times New Roman"/>
          <w:b/>
          <w:bCs/>
          <w:rtl/>
          <w:lang w:eastAsia="de-DE"/>
        </w:rPr>
        <w:t>עַל־בָּנִים</w:t>
      </w:r>
      <w:r w:rsidRPr="008D3E71">
        <w:rPr>
          <w:rFonts w:eastAsia="Times New Roman"/>
          <w:rtl/>
          <w:lang w:eastAsia="de-DE"/>
        </w:rPr>
        <w:t xml:space="preserve"> </w:t>
      </w:r>
      <w:r w:rsidRPr="008D3E71">
        <w:rPr>
          <w:rFonts w:eastAsia="Times New Roman"/>
          <w:lang w:eastAsia="de-DE"/>
        </w:rPr>
        <w:t xml:space="preserve">als Präposition </w:t>
      </w:r>
      <w:r w:rsidRPr="008D3E71">
        <w:rPr>
          <w:rFonts w:eastAsia="Times New Roman"/>
          <w:b/>
          <w:bCs/>
          <w:rtl/>
          <w:lang w:eastAsia="de-DE"/>
        </w:rPr>
        <w:t>עַל</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בָּנִים</w:t>
      </w:r>
      <w:r w:rsidRPr="008D3E71">
        <w:rPr>
          <w:rFonts w:eastAsia="Times New Roman"/>
          <w:rtl/>
          <w:lang w:eastAsia="de-DE"/>
        </w:rPr>
        <w:t xml:space="preserve"> </w:t>
      </w:r>
      <w:r w:rsidRPr="008D3E71">
        <w:rPr>
          <w:rFonts w:eastAsia="Times New Roman"/>
          <w:lang w:eastAsia="de-DE"/>
        </w:rPr>
        <w:t xml:space="preserve">(„Söhne, Kinder"), </w:t>
      </w:r>
      <w:r w:rsidRPr="008D3E71">
        <w:rPr>
          <w:rFonts w:eastAsia="Times New Roman"/>
          <w:b/>
          <w:bCs/>
          <w:rtl/>
          <w:lang w:eastAsia="de-DE"/>
        </w:rPr>
        <w:t>וְעַל־שִׁלֵּשִׁים וְעַל־רִבֵּעִים</w:t>
      </w:r>
      <w:r w:rsidRPr="008D3E71">
        <w:rPr>
          <w:rFonts w:eastAsia="Times New Roman"/>
          <w:rtl/>
          <w:lang w:eastAsia="de-DE"/>
        </w:rPr>
        <w:t xml:space="preserve"> </w:t>
      </w:r>
      <w:r w:rsidRPr="008D3E71">
        <w:rPr>
          <w:rFonts w:eastAsia="Times New Roman"/>
          <w:lang w:eastAsia="de-DE"/>
        </w:rPr>
        <w:t>koordiniert (</w:t>
      </w:r>
      <w:r w:rsidRPr="008D3E71">
        <w:rPr>
          <w:rFonts w:eastAsia="Times New Roman"/>
          <w:b/>
          <w:bCs/>
          <w:rtl/>
          <w:lang w:eastAsia="de-DE"/>
        </w:rPr>
        <w:t>שִׁלֵּשִׁים</w:t>
      </w:r>
      <w:r w:rsidRPr="008D3E71">
        <w:rPr>
          <w:rFonts w:eastAsia="Times New Roman"/>
          <w:lang w:eastAsia="de-DE"/>
        </w:rPr>
        <w:t xml:space="preserve">, „dritte [Generation]", und </w:t>
      </w:r>
      <w:r w:rsidRPr="008D3E71">
        <w:rPr>
          <w:rFonts w:eastAsia="Times New Roman"/>
          <w:b/>
          <w:bCs/>
          <w:rtl/>
          <w:lang w:eastAsia="de-DE"/>
        </w:rPr>
        <w:t>רִבֵּעִים</w:t>
      </w:r>
      <w:r w:rsidRPr="008D3E71">
        <w:rPr>
          <w:rFonts w:eastAsia="Times New Roman"/>
          <w:lang w:eastAsia="de-DE"/>
        </w:rPr>
        <w:t xml:space="preserve">, „vierte [Generation]", beide Plural maskulin), </w:t>
      </w:r>
      <w:r w:rsidRPr="008D3E71">
        <w:rPr>
          <w:rFonts w:eastAsia="Times New Roman"/>
          <w:b/>
          <w:bCs/>
          <w:rtl/>
          <w:lang w:eastAsia="de-DE"/>
        </w:rPr>
        <w:t>לְשֹׂנְאָי</w:t>
      </w:r>
      <w:r w:rsidRPr="008D3E71">
        <w:rPr>
          <w:rFonts w:eastAsia="Times New Roman"/>
          <w:rtl/>
          <w:lang w:eastAsia="de-DE"/>
        </w:rPr>
        <w:t xml:space="preserve"> </w:t>
      </w:r>
      <w:r w:rsidRPr="008D3E71">
        <w:rPr>
          <w:rFonts w:eastAsia="Times New Roman"/>
          <w:lang w:eastAsia="de-DE"/>
        </w:rPr>
        <w:t xml:space="preserve">als Präposition </w:t>
      </w:r>
      <w:r w:rsidRPr="008D3E71">
        <w:rPr>
          <w:rFonts w:eastAsia="Times New Roman"/>
          <w:b/>
          <w:bCs/>
          <w:rtl/>
          <w:lang w:eastAsia="de-DE"/>
        </w:rPr>
        <w:t>לְ</w:t>
      </w:r>
      <w:r w:rsidRPr="008D3E71">
        <w:rPr>
          <w:rFonts w:eastAsia="Times New Roman"/>
          <w:rtl/>
          <w:lang w:eastAsia="de-DE"/>
        </w:rPr>
        <w:t xml:space="preserve"> </w:t>
      </w:r>
      <w:r w:rsidRPr="008D3E71">
        <w:rPr>
          <w:rFonts w:eastAsia="Times New Roman"/>
          <w:lang w:eastAsia="de-DE"/>
        </w:rPr>
        <w:t xml:space="preserve">mit Qal Partizip Plural maskulin von </w:t>
      </w:r>
      <w:r w:rsidRPr="008D3E71">
        <w:rPr>
          <w:rFonts w:eastAsia="Times New Roman"/>
          <w:b/>
          <w:bCs/>
          <w:rtl/>
          <w:lang w:eastAsia="de-DE"/>
        </w:rPr>
        <w:t>שׂנא</w:t>
      </w:r>
      <w:r w:rsidRPr="008D3E71">
        <w:rPr>
          <w:rFonts w:eastAsia="Times New Roman"/>
          <w:rtl/>
          <w:lang w:eastAsia="de-DE"/>
        </w:rPr>
        <w:t xml:space="preserve"> </w:t>
      </w:r>
      <w:r w:rsidRPr="008D3E71">
        <w:rPr>
          <w:rFonts w:eastAsia="Times New Roman"/>
          <w:lang w:eastAsia="de-DE"/>
        </w:rPr>
        <w:t>(„hassen") und Suffix 1. Person Singular – „derer, die mich hassen".</w:t>
      </w:r>
    </w:p>
    <w:p w14:paraId="1AFFF0F7"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Der Begriff </w:t>
      </w:r>
      <w:r w:rsidRPr="008D3E71">
        <w:rPr>
          <w:rFonts w:eastAsia="Times New Roman"/>
          <w:b/>
          <w:bCs/>
          <w:rtl/>
          <w:lang w:eastAsia="de-DE"/>
        </w:rPr>
        <w:t>אֵל קַנָּא</w:t>
      </w:r>
      <w:r w:rsidRPr="008D3E71">
        <w:rPr>
          <w:rFonts w:eastAsia="Times New Roman"/>
          <w:rtl/>
          <w:lang w:eastAsia="de-DE"/>
        </w:rPr>
        <w:t xml:space="preserve"> </w:t>
      </w:r>
      <w:r w:rsidRPr="008D3E71">
        <w:rPr>
          <w:rFonts w:eastAsia="Times New Roman"/>
          <w:lang w:eastAsia="de-DE"/>
        </w:rPr>
        <w:t xml:space="preserve">(„eifernder Gott") bezeichnet JHWHs ausschließlichen Anspruch auf Israels Verehrung. Das Verb </w:t>
      </w:r>
      <w:r w:rsidRPr="008D3E71">
        <w:rPr>
          <w:rFonts w:eastAsia="Times New Roman"/>
          <w:b/>
          <w:bCs/>
          <w:rtl/>
          <w:lang w:eastAsia="de-DE"/>
        </w:rPr>
        <w:t>פקד</w:t>
      </w:r>
      <w:r w:rsidRPr="008D3E71">
        <w:rPr>
          <w:rFonts w:eastAsia="Times New Roman"/>
          <w:rtl/>
          <w:lang w:eastAsia="de-DE"/>
        </w:rPr>
        <w:t xml:space="preserve"> </w:t>
      </w:r>
      <w:r w:rsidRPr="008D3E71">
        <w:rPr>
          <w:rFonts w:eastAsia="Times New Roman"/>
          <w:lang w:eastAsia="de-DE"/>
        </w:rPr>
        <w:t xml:space="preserve">bedeutet „heimsuchen" im Sinne von „zur Rechenschaft ziehen, bestrafen". Die Formulierung </w:t>
      </w:r>
      <w:r w:rsidRPr="008D3E71">
        <w:rPr>
          <w:rFonts w:eastAsia="Times New Roman"/>
          <w:b/>
          <w:bCs/>
          <w:rtl/>
          <w:lang w:eastAsia="de-DE"/>
        </w:rPr>
        <w:t>עַל־בָּנִים וְעַל־שִׁלֵּשִׁים וְעַל־רִבֵּעִים</w:t>
      </w:r>
      <w:r w:rsidRPr="008D3E71">
        <w:rPr>
          <w:rFonts w:eastAsia="Times New Roman"/>
          <w:rtl/>
          <w:lang w:eastAsia="de-DE"/>
        </w:rPr>
        <w:t xml:space="preserve"> </w:t>
      </w:r>
      <w:r w:rsidRPr="008D3E71">
        <w:rPr>
          <w:rFonts w:eastAsia="Times New Roman"/>
          <w:lang w:eastAsia="de-DE"/>
        </w:rPr>
        <w:t xml:space="preserve">beschreibt nicht automatische Vererbung von Schuld, sondern die Auswirkungen von Götzendienst über Generationen hinweg. Die einschränkende Wendung </w:t>
      </w:r>
      <w:r w:rsidRPr="008D3E71">
        <w:rPr>
          <w:rFonts w:eastAsia="Times New Roman"/>
          <w:b/>
          <w:bCs/>
          <w:rtl/>
          <w:lang w:eastAsia="de-DE"/>
        </w:rPr>
        <w:t>לְשֹׂנְאָי</w:t>
      </w:r>
      <w:r w:rsidRPr="008D3E71">
        <w:rPr>
          <w:rFonts w:eastAsia="Times New Roman"/>
          <w:rtl/>
          <w:lang w:eastAsia="de-DE"/>
        </w:rPr>
        <w:t xml:space="preserve"> </w:t>
      </w:r>
      <w:r w:rsidRPr="008D3E71">
        <w:rPr>
          <w:rFonts w:eastAsia="Times New Roman"/>
          <w:lang w:eastAsia="de-DE"/>
        </w:rPr>
        <w:t>zeigt, dass nur die Gotteshasser betroffen sind, nicht automatisch alle Nachkommen.</w:t>
      </w:r>
    </w:p>
    <w:p w14:paraId="67CBE46F"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Satzstruktur besteht aus zwei koordinierten prohibitiven Sätzen mit jeweils Negation, Prädikat und Objekt, gefolgt von einem kausalen nominalen Satz mit emphatischem Pronomen und doppelter Prädikatsbestimmung, erweitert durch eine partizipiale Konstruktion mit direktem Objekt in Construct-Verbindung, dreigliedriger koordinierter Zielangabe und einschränkender partizipialer Bestimmung mit Suffix. Die Struktur begründet das Verbot mit JHWHs eifersüchtigem Wesen und seiner generationenübergreifenden Vergeltung.</w:t>
      </w:r>
    </w:p>
    <w:p w14:paraId="140752B7"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Der Vers verbietet Anbetung und Dienst an Götzenbildern und begründet dies mit JHWHs eifersüchtigem Wesen und seiner Bereitschaft, Götzendienst über mehrere Generationen zu ahnden.</w:t>
      </w:r>
    </w:p>
    <w:p w14:paraId="77FCE888"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lastRenderedPageBreak/>
        <w:t>Deuteronomium 5,10</w:t>
      </w:r>
    </w:p>
    <w:p w14:paraId="3C719022"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וְעֹשֶׂה חֶסֶד לַאֲלָפִים לְאֹהֲבַי וּלְשֹׁמְרֵי מִצְוֹתָו׃</w:t>
      </w:r>
    </w:p>
    <w:p w14:paraId="6BB34363"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und der Gnade übt auf Tausende hin an denen, die mich lieben und meine Gebote bewahren.</w:t>
      </w:r>
    </w:p>
    <w:p w14:paraId="572D2167"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09613365">
          <v:rect id="_x0000_i1195" style="width:0;height:1.5pt" o:hralign="center" o:hrstd="t" o:hr="t" fillcolor="#a0a0a0" stroked="f"/>
        </w:pict>
      </w:r>
    </w:p>
    <w:p w14:paraId="796750BE"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וְעֹשֶׂה חֶסֶד לַאֲלָפִים</w:t>
      </w:r>
      <w:r w:rsidRPr="008D3E71">
        <w:rPr>
          <w:rFonts w:eastAsia="Times New Roman"/>
          <w:rtl/>
          <w:lang w:eastAsia="de-DE"/>
        </w:rPr>
        <w:t xml:space="preserve"> </w:t>
      </w:r>
      <w:r w:rsidRPr="008D3E71">
        <w:rPr>
          <w:rFonts w:eastAsia="Times New Roman"/>
          <w:lang w:eastAsia="de-DE"/>
        </w:rPr>
        <w:t xml:space="preserve">ist eine koordinierte partizipiale Konstruktion: </w:t>
      </w:r>
      <w:r w:rsidRPr="008D3E71">
        <w:rPr>
          <w:rFonts w:eastAsia="Times New Roman"/>
          <w:b/>
          <w:bCs/>
          <w:rtl/>
          <w:lang w:eastAsia="de-DE"/>
        </w:rPr>
        <w:t>וְ</w:t>
      </w:r>
      <w:r w:rsidRPr="008D3E71">
        <w:rPr>
          <w:rFonts w:eastAsia="Times New Roman"/>
          <w:rtl/>
          <w:lang w:eastAsia="de-DE"/>
        </w:rPr>
        <w:t xml:space="preserve"> </w:t>
      </w:r>
      <w:r w:rsidRPr="008D3E71">
        <w:rPr>
          <w:rFonts w:eastAsia="Times New Roman"/>
          <w:lang w:eastAsia="de-DE"/>
        </w:rPr>
        <w:t>als Koordination zu V. 9 (</w:t>
      </w:r>
      <w:r w:rsidRPr="008D3E71">
        <w:rPr>
          <w:rFonts w:eastAsia="Times New Roman"/>
          <w:b/>
          <w:bCs/>
          <w:rtl/>
          <w:lang w:eastAsia="de-DE"/>
        </w:rPr>
        <w:t>פֹּקֵד</w:t>
      </w:r>
      <w:r w:rsidRPr="008D3E71">
        <w:rPr>
          <w:rFonts w:eastAsia="Times New Roman"/>
          <w:lang w:eastAsia="de-DE"/>
        </w:rPr>
        <w:t xml:space="preserve">), </w:t>
      </w:r>
      <w:r w:rsidRPr="008D3E71">
        <w:rPr>
          <w:rFonts w:eastAsia="Times New Roman"/>
          <w:b/>
          <w:bCs/>
          <w:rtl/>
          <w:lang w:eastAsia="de-DE"/>
        </w:rPr>
        <w:t>עֹשֶׂה</w:t>
      </w:r>
      <w:r w:rsidRPr="008D3E71">
        <w:rPr>
          <w:rFonts w:eastAsia="Times New Roman"/>
          <w:rtl/>
          <w:lang w:eastAsia="de-DE"/>
        </w:rPr>
        <w:t xml:space="preserve"> </w:t>
      </w:r>
      <w:r w:rsidRPr="008D3E71">
        <w:rPr>
          <w:rFonts w:eastAsia="Times New Roman"/>
          <w:lang w:eastAsia="de-DE"/>
        </w:rPr>
        <w:t xml:space="preserve">als Qal Partizip Singular maskulin von </w:t>
      </w:r>
      <w:r w:rsidRPr="008D3E71">
        <w:rPr>
          <w:rFonts w:eastAsia="Times New Roman"/>
          <w:b/>
          <w:bCs/>
          <w:rtl/>
          <w:lang w:eastAsia="de-DE"/>
        </w:rPr>
        <w:t>עשׂה</w:t>
      </w:r>
      <w:r w:rsidRPr="008D3E71">
        <w:rPr>
          <w:rFonts w:eastAsia="Times New Roman"/>
          <w:rtl/>
          <w:lang w:eastAsia="de-DE"/>
        </w:rPr>
        <w:t xml:space="preserve"> </w:t>
      </w:r>
      <w:r w:rsidRPr="008D3E71">
        <w:rPr>
          <w:rFonts w:eastAsia="Times New Roman"/>
          <w:lang w:eastAsia="de-DE"/>
        </w:rPr>
        <w:t xml:space="preserve">(„tun, üben"), </w:t>
      </w:r>
      <w:r w:rsidRPr="008D3E71">
        <w:rPr>
          <w:rFonts w:eastAsia="Times New Roman"/>
          <w:b/>
          <w:bCs/>
          <w:rtl/>
          <w:lang w:eastAsia="de-DE"/>
        </w:rPr>
        <w:t>חֶסֶד</w:t>
      </w:r>
      <w:r w:rsidRPr="008D3E71">
        <w:rPr>
          <w:rFonts w:eastAsia="Times New Roman"/>
          <w:rtl/>
          <w:lang w:eastAsia="de-DE"/>
        </w:rPr>
        <w:t xml:space="preserve"> </w:t>
      </w:r>
      <w:r w:rsidRPr="008D3E71">
        <w:rPr>
          <w:rFonts w:eastAsia="Times New Roman"/>
          <w:lang w:eastAsia="de-DE"/>
        </w:rPr>
        <w:t xml:space="preserve">als direktes Objekt („Gnade, Treue, Bundestreue"), </w:t>
      </w:r>
      <w:r w:rsidRPr="008D3E71">
        <w:rPr>
          <w:rFonts w:eastAsia="Times New Roman"/>
          <w:b/>
          <w:bCs/>
          <w:rtl/>
          <w:lang w:eastAsia="de-DE"/>
        </w:rPr>
        <w:t>לַאֲלָפִים</w:t>
      </w:r>
      <w:r w:rsidRPr="008D3E71">
        <w:rPr>
          <w:rFonts w:eastAsia="Times New Roman"/>
          <w:rtl/>
          <w:lang w:eastAsia="de-DE"/>
        </w:rPr>
        <w:t xml:space="preserve"> </w:t>
      </w:r>
      <w:r w:rsidRPr="008D3E71">
        <w:rPr>
          <w:rFonts w:eastAsia="Times New Roman"/>
          <w:lang w:eastAsia="de-DE"/>
        </w:rPr>
        <w:t xml:space="preserve">als Präposition </w:t>
      </w:r>
      <w:r w:rsidRPr="008D3E71">
        <w:rPr>
          <w:rFonts w:eastAsia="Times New Roman"/>
          <w:b/>
          <w:bCs/>
          <w:rtl/>
          <w:lang w:eastAsia="de-DE"/>
        </w:rPr>
        <w:t>לְ</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אֶלֶף</w:t>
      </w:r>
      <w:r w:rsidRPr="008D3E71">
        <w:rPr>
          <w:rFonts w:eastAsia="Times New Roman"/>
          <w:rtl/>
          <w:lang w:eastAsia="de-DE"/>
        </w:rPr>
        <w:t xml:space="preserve"> </w:t>
      </w:r>
      <w:r w:rsidRPr="008D3E71">
        <w:rPr>
          <w:rFonts w:eastAsia="Times New Roman"/>
          <w:lang w:eastAsia="de-DE"/>
        </w:rPr>
        <w:t>(„Tausend") im Plural – „für Tausende, auf Tausende hin". Die Formulierung kann sich auf tausend Generationen beziehen oder einfach eine unzählbare Menge ausdrücken.</w:t>
      </w:r>
    </w:p>
    <w:p w14:paraId="0B91918C"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לְאֹהֲבַי וּלְשֹׁמְרֵי מִצְוֹתָו</w:t>
      </w:r>
      <w:r w:rsidRPr="008D3E71">
        <w:rPr>
          <w:rFonts w:eastAsia="Times New Roman"/>
          <w:rtl/>
          <w:lang w:eastAsia="de-DE"/>
        </w:rPr>
        <w:t xml:space="preserve"> </w:t>
      </w:r>
      <w:r w:rsidRPr="008D3E71">
        <w:rPr>
          <w:rFonts w:eastAsia="Times New Roman"/>
          <w:lang w:eastAsia="de-DE"/>
        </w:rPr>
        <w:t xml:space="preserve">ist eine zweigliedrige koordinierte Empfängerbestimmung: </w:t>
      </w:r>
      <w:r w:rsidRPr="008D3E71">
        <w:rPr>
          <w:rFonts w:eastAsia="Times New Roman"/>
          <w:b/>
          <w:bCs/>
          <w:rtl/>
          <w:lang w:eastAsia="de-DE"/>
        </w:rPr>
        <w:t>לְאֹהֲבַי</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לְ</w:t>
      </w:r>
      <w:r w:rsidRPr="008D3E71">
        <w:rPr>
          <w:rFonts w:eastAsia="Times New Roman"/>
          <w:rtl/>
          <w:lang w:eastAsia="de-DE"/>
        </w:rPr>
        <w:t xml:space="preserve"> </w:t>
      </w:r>
      <w:r w:rsidRPr="008D3E71">
        <w:rPr>
          <w:rFonts w:eastAsia="Times New Roman"/>
          <w:lang w:eastAsia="de-DE"/>
        </w:rPr>
        <w:t xml:space="preserve">mit Qal Partizip Plural maskulin von </w:t>
      </w:r>
      <w:r w:rsidRPr="008D3E71">
        <w:rPr>
          <w:rFonts w:eastAsia="Times New Roman"/>
          <w:b/>
          <w:bCs/>
          <w:rtl/>
          <w:lang w:eastAsia="de-DE"/>
        </w:rPr>
        <w:t>אהב</w:t>
      </w:r>
      <w:r w:rsidRPr="008D3E71">
        <w:rPr>
          <w:rFonts w:eastAsia="Times New Roman"/>
          <w:lang w:eastAsia="de-DE"/>
        </w:rPr>
        <w:t xml:space="preserve">, „lieben", und Suffix 1. Person Singular – „denen, die mich lieben"), </w:t>
      </w:r>
      <w:r w:rsidRPr="008D3E71">
        <w:rPr>
          <w:rFonts w:eastAsia="Times New Roman"/>
          <w:b/>
          <w:bCs/>
          <w:rtl/>
          <w:lang w:eastAsia="de-DE"/>
        </w:rPr>
        <w:t>וּלְשֹׁמְרֵי מִצְוֹתָו</w:t>
      </w:r>
      <w:r w:rsidRPr="008D3E71">
        <w:rPr>
          <w:rFonts w:eastAsia="Times New Roman"/>
          <w:rtl/>
          <w:lang w:eastAsia="de-DE"/>
        </w:rPr>
        <w:t xml:space="preserve"> </w:t>
      </w:r>
      <w:r w:rsidRPr="008D3E71">
        <w:rPr>
          <w:rFonts w:eastAsia="Times New Roman"/>
          <w:lang w:eastAsia="de-DE"/>
        </w:rPr>
        <w:t>koordiniert (</w:t>
      </w:r>
      <w:r w:rsidRPr="008D3E71">
        <w:rPr>
          <w:rFonts w:eastAsia="Times New Roman"/>
          <w:b/>
          <w:bCs/>
          <w:rtl/>
          <w:lang w:eastAsia="de-DE"/>
        </w:rPr>
        <w:t>וְ</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לְ</w:t>
      </w:r>
      <w:r w:rsidRPr="008D3E71">
        <w:rPr>
          <w:rFonts w:eastAsia="Times New Roman"/>
          <w:lang w:eastAsia="de-DE"/>
        </w:rPr>
        <w:t xml:space="preserve">, Qal Partizip Plural maskulin von </w:t>
      </w:r>
      <w:r w:rsidRPr="008D3E71">
        <w:rPr>
          <w:rFonts w:eastAsia="Times New Roman"/>
          <w:b/>
          <w:bCs/>
          <w:rtl/>
          <w:lang w:eastAsia="de-DE"/>
        </w:rPr>
        <w:t>שׁמר</w:t>
      </w:r>
      <w:r w:rsidRPr="008D3E71">
        <w:rPr>
          <w:rFonts w:eastAsia="Times New Roman"/>
          <w:lang w:eastAsia="de-DE"/>
        </w:rPr>
        <w:t xml:space="preserve">, „bewahren", im Construct mit </w:t>
      </w:r>
      <w:r w:rsidRPr="008D3E71">
        <w:rPr>
          <w:rFonts w:eastAsia="Times New Roman"/>
          <w:b/>
          <w:bCs/>
          <w:rtl/>
          <w:lang w:eastAsia="de-DE"/>
        </w:rPr>
        <w:t>מִצְוָה</w:t>
      </w:r>
      <w:r w:rsidRPr="008D3E71">
        <w:rPr>
          <w:rFonts w:eastAsia="Times New Roman"/>
          <w:lang w:eastAsia="de-DE"/>
        </w:rPr>
        <w:t>, „Gebot", Plural und Suffix 3. Person Singular maskulin – „denen, die seine Gebote bewahren").</w:t>
      </w:r>
    </w:p>
    <w:p w14:paraId="5E57988E" w14:textId="77777777" w:rsidR="00A449B0" w:rsidRDefault="008D3E71" w:rsidP="00A449B0">
      <w:pPr>
        <w:pStyle w:val="font-claude-response-body"/>
      </w:pPr>
      <w:r w:rsidRPr="008D3E71">
        <w:t xml:space="preserve">Der Kontrast zwischen V. 9 und V. 10 ist bemerkenswert: </w:t>
      </w:r>
      <w:r w:rsidRPr="008D3E71">
        <w:rPr>
          <w:b/>
          <w:bCs/>
          <w:rtl/>
        </w:rPr>
        <w:t>פֹּקֵד עֲוֹן</w:t>
      </w:r>
      <w:r w:rsidRPr="008D3E71">
        <w:rPr>
          <w:rtl/>
        </w:rPr>
        <w:t xml:space="preserve"> </w:t>
      </w:r>
      <w:r w:rsidRPr="008D3E71">
        <w:t xml:space="preserve">„auf drei und vier Generationen" versus </w:t>
      </w:r>
      <w:r w:rsidRPr="008D3E71">
        <w:rPr>
          <w:b/>
          <w:bCs/>
          <w:rtl/>
        </w:rPr>
        <w:t>עֹשֶׂה חֶסֶד</w:t>
      </w:r>
      <w:r w:rsidRPr="008D3E71">
        <w:rPr>
          <w:rtl/>
        </w:rPr>
        <w:t xml:space="preserve"> </w:t>
      </w:r>
      <w:r w:rsidRPr="008D3E71">
        <w:t xml:space="preserve">„auf Tausende". Die Gnade JHWHs überwiegt seine Strenge bei weitem. Der Begriff </w:t>
      </w:r>
      <w:r w:rsidRPr="008D3E71">
        <w:rPr>
          <w:b/>
          <w:bCs/>
          <w:rtl/>
        </w:rPr>
        <w:t>חֶסֶד</w:t>
      </w:r>
      <w:r w:rsidRPr="008D3E71">
        <w:rPr>
          <w:rtl/>
        </w:rPr>
        <w:t xml:space="preserve"> </w:t>
      </w:r>
      <w:r w:rsidRPr="008D3E71">
        <w:t xml:space="preserve">bezeichnet die treue, dauerhafte Bundestreue. Die beiden Partizipien </w:t>
      </w:r>
      <w:r w:rsidRPr="008D3E71">
        <w:rPr>
          <w:b/>
          <w:bCs/>
          <w:rtl/>
        </w:rPr>
        <w:t>אֹהֲבַי</w:t>
      </w:r>
      <w:r w:rsidRPr="008D3E71">
        <w:rPr>
          <w:rtl/>
        </w:rPr>
        <w:t xml:space="preserve"> </w:t>
      </w:r>
      <w:r w:rsidRPr="008D3E71">
        <w:t xml:space="preserve">und </w:t>
      </w:r>
      <w:r w:rsidRPr="008D3E71">
        <w:rPr>
          <w:b/>
          <w:bCs/>
          <w:rtl/>
        </w:rPr>
        <w:t>שֹׁמְרֵי מִצְוֹתָו</w:t>
      </w:r>
      <w:r w:rsidRPr="008D3E71">
        <w:rPr>
          <w:rtl/>
        </w:rPr>
        <w:t xml:space="preserve"> </w:t>
      </w:r>
      <w:r w:rsidRPr="008D3E71">
        <w:t>definieren die Bundespartner: Liebe zu JHWH manifestiert sich im Gehorsam gegenüber seinen Geboten.</w:t>
      </w:r>
      <w:r w:rsidR="00A449B0">
        <w:t xml:space="preserve"> </w:t>
      </w:r>
      <w:r w:rsidR="00A449B0" w:rsidRPr="00A449B0">
        <w:rPr>
          <w:rStyle w:val="Fett"/>
          <w:rFonts w:eastAsiaTheme="majorEastAsia"/>
          <w:b w:val="0"/>
          <w:bCs w:val="0"/>
        </w:rPr>
        <w:t>Dtn 5,9-10 ist keine Lehre von kollektiver Schuld</w:t>
      </w:r>
      <w:r w:rsidR="00A449B0">
        <w:t>, sondern:</w:t>
      </w:r>
    </w:p>
    <w:p w14:paraId="61846BEE" w14:textId="77777777" w:rsidR="00A449B0" w:rsidRDefault="00A449B0" w:rsidP="00A449B0">
      <w:pPr>
        <w:pStyle w:val="whitespace-normal"/>
        <w:numPr>
          <w:ilvl w:val="0"/>
          <w:numId w:val="29"/>
        </w:numPr>
      </w:pPr>
      <w:r>
        <w:rPr>
          <w:rStyle w:val="Fett"/>
          <w:rFonts w:eastAsiaTheme="majorEastAsia"/>
        </w:rPr>
        <w:t>Warnung</w:t>
      </w:r>
      <w:r>
        <w:t xml:space="preserve"> vor den weitreichenden Folgen von Götzendienst</w:t>
      </w:r>
    </w:p>
    <w:p w14:paraId="302D7C54" w14:textId="77777777" w:rsidR="00A449B0" w:rsidRDefault="00A449B0" w:rsidP="00A449B0">
      <w:pPr>
        <w:pStyle w:val="whitespace-normal"/>
        <w:numPr>
          <w:ilvl w:val="0"/>
          <w:numId w:val="29"/>
        </w:numPr>
      </w:pPr>
      <w:r>
        <w:rPr>
          <w:rStyle w:val="Fett"/>
          <w:rFonts w:eastAsiaTheme="majorEastAsia"/>
        </w:rPr>
        <w:t>Realismus</w:t>
      </w:r>
      <w:r>
        <w:t xml:space="preserve"> über strukturelle Sünde und ihre gesellschaftliche Dimension</w:t>
      </w:r>
    </w:p>
    <w:p w14:paraId="5C076773" w14:textId="77777777" w:rsidR="00A449B0" w:rsidRDefault="00A449B0" w:rsidP="00A449B0">
      <w:pPr>
        <w:pStyle w:val="whitespace-normal"/>
        <w:numPr>
          <w:ilvl w:val="0"/>
          <w:numId w:val="29"/>
        </w:numPr>
      </w:pPr>
      <w:r>
        <w:rPr>
          <w:rStyle w:val="Fett"/>
          <w:rFonts w:eastAsiaTheme="majorEastAsia"/>
        </w:rPr>
        <w:t>Hoffnung</w:t>
      </w:r>
      <w:r>
        <w:t xml:space="preserve"> durch das überwältigende Maß der Gnade (</w:t>
      </w:r>
      <w:r>
        <w:rPr>
          <w:rtl/>
        </w:rPr>
        <w:t>לַאֲלָפִים</w:t>
      </w:r>
      <w:r>
        <w:t>)</w:t>
      </w:r>
    </w:p>
    <w:p w14:paraId="231884D0" w14:textId="77777777" w:rsidR="00A449B0" w:rsidRDefault="00A449B0" w:rsidP="00A449B0">
      <w:pPr>
        <w:pStyle w:val="whitespace-normal"/>
        <w:numPr>
          <w:ilvl w:val="0"/>
          <w:numId w:val="29"/>
        </w:numPr>
      </w:pPr>
      <w:r>
        <w:rPr>
          <w:rStyle w:val="Fett"/>
          <w:rFonts w:eastAsiaTheme="majorEastAsia"/>
        </w:rPr>
        <w:t>Aufruf</w:t>
      </w:r>
      <w:r>
        <w:t xml:space="preserve"> zur Umkehr in jeder Generation</w:t>
      </w:r>
    </w:p>
    <w:p w14:paraId="7EABF7D3" w14:textId="5717707A" w:rsidR="00A449B0" w:rsidRDefault="00A449B0" w:rsidP="00A449B0">
      <w:pPr>
        <w:pStyle w:val="font-claude-response-body"/>
      </w:pPr>
      <w:r>
        <w:t xml:space="preserve">Die späteren Texte (Jer 31; </w:t>
      </w:r>
      <w:r w:rsidR="00BF3748">
        <w:t>Hes</w:t>
      </w:r>
      <w:r>
        <w:t xml:space="preserve"> 18; Dtn 24,16) </w:t>
      </w:r>
      <w:r>
        <w:rPr>
          <w:rStyle w:val="Fett"/>
          <w:rFonts w:eastAsiaTheme="majorEastAsia"/>
        </w:rPr>
        <w:t>widersprechen nicht</w:t>
      </w:r>
      <w:r>
        <w:t xml:space="preserve">, sondern </w:t>
      </w:r>
      <w:r>
        <w:rPr>
          <w:rStyle w:val="Fett"/>
          <w:rFonts w:eastAsiaTheme="majorEastAsia"/>
        </w:rPr>
        <w:t>präzisieren</w:t>
      </w:r>
      <w:r>
        <w:t xml:space="preserve">: Trotz struktureller Folgen trägt </w:t>
      </w:r>
      <w:r w:rsidRPr="00A449B0">
        <w:rPr>
          <w:rStyle w:val="Fett"/>
          <w:rFonts w:eastAsiaTheme="majorEastAsia"/>
          <w:b w:val="0"/>
          <w:bCs w:val="0"/>
        </w:rPr>
        <w:t xml:space="preserve">jeder Mensch </w:t>
      </w:r>
      <w:r w:rsidRPr="00A449B0">
        <w:rPr>
          <w:rStyle w:val="Fett"/>
          <w:rFonts w:eastAsiaTheme="majorEastAsia"/>
        </w:rPr>
        <w:t>individuelle Verantwortung</w:t>
      </w:r>
      <w:r w:rsidRPr="00A449B0">
        <w:rPr>
          <w:b/>
          <w:bCs/>
        </w:rPr>
        <w:t xml:space="preserve"> </w:t>
      </w:r>
      <w:r>
        <w:t xml:space="preserve">und hat die </w:t>
      </w:r>
      <w:r w:rsidRPr="00A449B0">
        <w:rPr>
          <w:rStyle w:val="Fett"/>
          <w:rFonts w:eastAsiaTheme="majorEastAsia"/>
        </w:rPr>
        <w:t>Freiheit zur Umkehr</w:t>
      </w:r>
      <w:r>
        <w:t>.</w:t>
      </w:r>
    </w:p>
    <w:p w14:paraId="6A895989" w14:textId="2BA45087" w:rsidR="008D3E71" w:rsidRPr="008D3E71" w:rsidRDefault="00A449B0" w:rsidP="00A449B0">
      <w:pPr>
        <w:pStyle w:val="font-claude-response-body"/>
      </w:pPr>
      <w:r>
        <w:rPr>
          <w:rStyle w:val="Fett"/>
          <w:rFonts w:eastAsiaTheme="majorEastAsia"/>
        </w:rPr>
        <w:t>Die Botschaft:</w:t>
      </w:r>
      <w:r>
        <w:t xml:space="preserve"> JHWHs Gnade überwiegt bei weitem sein Gericht - </w:t>
      </w:r>
      <w:r>
        <w:rPr>
          <w:rStyle w:val="Fett"/>
          <w:rFonts w:eastAsiaTheme="majorEastAsia"/>
        </w:rPr>
        <w:t>250:1</w:t>
      </w:r>
      <w:r>
        <w:t xml:space="preserve"> ist das Verhältnis der Hoffnung.</w:t>
      </w:r>
    </w:p>
    <w:p w14:paraId="323CC705"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Satzstruktur ist eine koordinierte partizipiale Konstruktion mit direktem Objekt und Zielangabe, erweitert durch eine zweigliedrige koordinierte Empfängerbestimmung (beide als partizipiale Konstruktionen mit Suffix bzw. in Construct-Verbindung). Die Struktur bildet den positiven Gegenpol zu V. 9 und zeigt das Übermaß göttlicher Gnade.</w:t>
      </w:r>
    </w:p>
    <w:p w14:paraId="60ABD405"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lastRenderedPageBreak/>
        <w:t>Der Vers bildet den positiven Kontrapunkt zu V. 9: JHWH übt Gnade über tausend Generationen an denen, die ihn lieben und seine Gebote halten – die Gnade überwiegt die Strenge.</w:t>
      </w:r>
    </w:p>
    <w:p w14:paraId="3AF1AF6A"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5,11</w:t>
      </w:r>
    </w:p>
    <w:p w14:paraId="64E3490D"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לֹא תִשָּׂא אֶת־שֵׁם־יְהוָה אֱלֹהֶיךָ לַשָּׁוְא כִּי לֹא יְנַקֶּה יְהוָה אֵת אֲשֶׁר־יִשָּׂא אֶת־שְׁמוֹ לַשָּׁוְא׃</w:t>
      </w:r>
    </w:p>
    <w:p w14:paraId="7E7665DD"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Du sollst den Namen des Ewigen, deines Gottes, nicht zum Falschen aussprechen; denn der Ewige wird nicht unschuldig lassen den, der seinen Namen zum Falschen ausspricht.</w:t>
      </w:r>
    </w:p>
    <w:p w14:paraId="1F2ECFF0"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70FD5F56">
          <v:rect id="_x0000_i1196" style="width:0;height:1.5pt" o:hralign="center" o:hrstd="t" o:hr="t" fillcolor="#a0a0a0" stroked="f"/>
        </w:pict>
      </w:r>
    </w:p>
    <w:p w14:paraId="61EBFF61"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לֹא תִשָּׂא אֶת־שֵׁם־יְהוָה אֱלֹהֶיךָ לַשָּׁוְא</w:t>
      </w:r>
      <w:r w:rsidRPr="008D3E71">
        <w:rPr>
          <w:rFonts w:eastAsia="Times New Roman"/>
          <w:rtl/>
          <w:lang w:eastAsia="de-DE"/>
        </w:rPr>
        <w:t xml:space="preserve"> </w:t>
      </w:r>
      <w:r w:rsidRPr="008D3E71">
        <w:rPr>
          <w:rFonts w:eastAsia="Times New Roman"/>
          <w:lang w:eastAsia="de-DE"/>
        </w:rPr>
        <w:t xml:space="preserve">ist ein prohibitiver Satz: </w:t>
      </w:r>
      <w:r w:rsidRPr="008D3E71">
        <w:rPr>
          <w:rFonts w:eastAsia="Times New Roman"/>
          <w:b/>
          <w:bCs/>
          <w:rtl/>
          <w:lang w:eastAsia="de-DE"/>
        </w:rPr>
        <w:t>לֹא</w:t>
      </w:r>
      <w:r w:rsidRPr="008D3E71">
        <w:rPr>
          <w:rFonts w:eastAsia="Times New Roman"/>
          <w:rtl/>
          <w:lang w:eastAsia="de-DE"/>
        </w:rPr>
        <w:t xml:space="preserve"> </w:t>
      </w:r>
      <w:r w:rsidRPr="008D3E71">
        <w:rPr>
          <w:rFonts w:eastAsia="Times New Roman"/>
          <w:lang w:eastAsia="de-DE"/>
        </w:rPr>
        <w:t xml:space="preserve">als Negation, </w:t>
      </w:r>
      <w:r w:rsidRPr="008D3E71">
        <w:rPr>
          <w:rFonts w:eastAsia="Times New Roman"/>
          <w:b/>
          <w:bCs/>
          <w:rtl/>
          <w:lang w:eastAsia="de-DE"/>
        </w:rPr>
        <w:t>תִשָּׂא</w:t>
      </w:r>
      <w:r w:rsidRPr="008D3E71">
        <w:rPr>
          <w:rFonts w:eastAsia="Times New Roman"/>
          <w:rtl/>
          <w:lang w:eastAsia="de-DE"/>
        </w:rPr>
        <w:t xml:space="preserve"> </w:t>
      </w:r>
      <w:r w:rsidRPr="008D3E71">
        <w:rPr>
          <w:rFonts w:eastAsia="Times New Roman"/>
          <w:lang w:eastAsia="de-DE"/>
        </w:rPr>
        <w:t xml:space="preserve">als Qal Imperfekt, 2. Person Singular maskulin von </w:t>
      </w:r>
      <w:r w:rsidRPr="008D3E71">
        <w:rPr>
          <w:rFonts w:eastAsia="Times New Roman"/>
          <w:b/>
          <w:bCs/>
          <w:rtl/>
          <w:lang w:eastAsia="de-DE"/>
        </w:rPr>
        <w:t>נשׂא</w:t>
      </w:r>
      <w:r w:rsidRPr="008D3E71">
        <w:rPr>
          <w:rFonts w:eastAsia="Times New Roman"/>
          <w:rtl/>
          <w:lang w:eastAsia="de-DE"/>
        </w:rPr>
        <w:t xml:space="preserve"> </w:t>
      </w:r>
      <w:r w:rsidRPr="008D3E71">
        <w:rPr>
          <w:rFonts w:eastAsia="Times New Roman"/>
          <w:lang w:eastAsia="de-DE"/>
        </w:rPr>
        <w:t xml:space="preserve">(„erheben, tragen, aussprechen"), </w:t>
      </w:r>
      <w:r w:rsidRPr="008D3E71">
        <w:rPr>
          <w:rFonts w:eastAsia="Times New Roman"/>
          <w:b/>
          <w:bCs/>
          <w:rtl/>
          <w:lang w:eastAsia="de-DE"/>
        </w:rPr>
        <w:t>אֶת־שֵׁם־יְהוָה אֱלֹהֶיךָ</w:t>
      </w:r>
      <w:r w:rsidRPr="008D3E71">
        <w:rPr>
          <w:rFonts w:eastAsia="Times New Roman"/>
          <w:rtl/>
          <w:lang w:eastAsia="de-DE"/>
        </w:rPr>
        <w:t xml:space="preserve"> </w:t>
      </w:r>
      <w:r w:rsidRPr="008D3E71">
        <w:rPr>
          <w:rFonts w:eastAsia="Times New Roman"/>
          <w:lang w:eastAsia="de-DE"/>
        </w:rPr>
        <w:t>als direktes Objekt (</w:t>
      </w:r>
      <w:r w:rsidRPr="008D3E71">
        <w:rPr>
          <w:rFonts w:eastAsia="Times New Roman"/>
          <w:b/>
          <w:bCs/>
          <w:rtl/>
          <w:lang w:eastAsia="de-DE"/>
        </w:rPr>
        <w:t>שֵׁם</w:t>
      </w:r>
      <w:r w:rsidRPr="008D3E71">
        <w:rPr>
          <w:rFonts w:eastAsia="Times New Roman"/>
          <w:lang w:eastAsia="de-DE"/>
        </w:rPr>
        <w:t xml:space="preserve">, „Name", in Construct-Verbindung mit </w:t>
      </w:r>
      <w:r w:rsidRPr="008D3E71">
        <w:rPr>
          <w:rFonts w:eastAsia="Times New Roman"/>
          <w:b/>
          <w:bCs/>
          <w:rtl/>
          <w:lang w:eastAsia="de-DE"/>
        </w:rPr>
        <w:t>יְהוָה אֱלֹהֶיךָ</w:t>
      </w:r>
      <w:r w:rsidRPr="008D3E71">
        <w:rPr>
          <w:rFonts w:eastAsia="Times New Roman"/>
          <w:lang w:eastAsia="de-DE"/>
        </w:rPr>
        <w:t xml:space="preserve">), </w:t>
      </w:r>
      <w:r w:rsidRPr="008D3E71">
        <w:rPr>
          <w:rFonts w:eastAsia="Times New Roman"/>
          <w:b/>
          <w:bCs/>
          <w:rtl/>
          <w:lang w:eastAsia="de-DE"/>
        </w:rPr>
        <w:t>לַשָּׁוְא</w:t>
      </w:r>
      <w:r w:rsidRPr="008D3E71">
        <w:rPr>
          <w:rFonts w:eastAsia="Times New Roman"/>
          <w:rtl/>
          <w:lang w:eastAsia="de-DE"/>
        </w:rPr>
        <w:t xml:space="preserve"> </w:t>
      </w:r>
      <w:r w:rsidRPr="008D3E71">
        <w:rPr>
          <w:rFonts w:eastAsia="Times New Roman"/>
          <w:lang w:eastAsia="de-DE"/>
        </w:rPr>
        <w:t>als modale bzw. finale Bestimmung (</w:t>
      </w:r>
      <w:r w:rsidRPr="008D3E71">
        <w:rPr>
          <w:rFonts w:eastAsia="Times New Roman"/>
          <w:b/>
          <w:bCs/>
          <w:rtl/>
          <w:lang w:eastAsia="de-DE"/>
        </w:rPr>
        <w:t>לְ</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שָׁוְא</w:t>
      </w:r>
      <w:r w:rsidRPr="008D3E71">
        <w:rPr>
          <w:rFonts w:eastAsia="Times New Roman"/>
          <w:lang w:eastAsia="de-DE"/>
        </w:rPr>
        <w:t>, „Leere, Lüge, Falschheit" – „zum Falschen, für Nichtiges, vergeblich").</w:t>
      </w:r>
    </w:p>
    <w:p w14:paraId="35B11A3C"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כִּי לֹא יְנַקֶּה יְהוָה אֵת אֲשֶׁר־יִשָּׂא אֶת־שְׁמוֹ לַשָּׁוְא</w:t>
      </w:r>
      <w:r w:rsidRPr="008D3E71">
        <w:rPr>
          <w:rFonts w:eastAsia="Times New Roman"/>
          <w:rtl/>
          <w:lang w:eastAsia="de-DE"/>
        </w:rPr>
        <w:t xml:space="preserve"> </w:t>
      </w:r>
      <w:r w:rsidRPr="008D3E71">
        <w:rPr>
          <w:rFonts w:eastAsia="Times New Roman"/>
          <w:lang w:eastAsia="de-DE"/>
        </w:rPr>
        <w:t xml:space="preserve">ist ein kausaler Satz: </w:t>
      </w:r>
      <w:r w:rsidRPr="008D3E71">
        <w:rPr>
          <w:rFonts w:eastAsia="Times New Roman"/>
          <w:b/>
          <w:bCs/>
          <w:rtl/>
          <w:lang w:eastAsia="de-DE"/>
        </w:rPr>
        <w:t>כִּי</w:t>
      </w:r>
      <w:r w:rsidRPr="008D3E71">
        <w:rPr>
          <w:rFonts w:eastAsia="Times New Roman"/>
          <w:rtl/>
          <w:lang w:eastAsia="de-DE"/>
        </w:rPr>
        <w:t xml:space="preserve"> </w:t>
      </w:r>
      <w:r w:rsidRPr="008D3E71">
        <w:rPr>
          <w:rFonts w:eastAsia="Times New Roman"/>
          <w:lang w:eastAsia="de-DE"/>
        </w:rPr>
        <w:t xml:space="preserve">als Konjunktion, </w:t>
      </w:r>
      <w:r w:rsidRPr="008D3E71">
        <w:rPr>
          <w:rFonts w:eastAsia="Times New Roman"/>
          <w:b/>
          <w:bCs/>
          <w:rtl/>
          <w:lang w:eastAsia="de-DE"/>
        </w:rPr>
        <w:t>לֹא יְנַקֶּה</w:t>
      </w:r>
      <w:r w:rsidRPr="008D3E71">
        <w:rPr>
          <w:rFonts w:eastAsia="Times New Roman"/>
          <w:rtl/>
          <w:lang w:eastAsia="de-DE"/>
        </w:rPr>
        <w:t xml:space="preserve"> </w:t>
      </w:r>
      <w:r w:rsidRPr="008D3E71">
        <w:rPr>
          <w:rFonts w:eastAsia="Times New Roman"/>
          <w:lang w:eastAsia="de-DE"/>
        </w:rPr>
        <w:t xml:space="preserve">als Piel Imperfekt, 3. Person Singular maskulin von </w:t>
      </w:r>
      <w:r w:rsidRPr="008D3E71">
        <w:rPr>
          <w:rFonts w:eastAsia="Times New Roman"/>
          <w:b/>
          <w:bCs/>
          <w:rtl/>
          <w:lang w:eastAsia="de-DE"/>
        </w:rPr>
        <w:t>נקה</w:t>
      </w:r>
      <w:r w:rsidRPr="008D3E71">
        <w:rPr>
          <w:rFonts w:eastAsia="Times New Roman"/>
          <w:rtl/>
          <w:lang w:eastAsia="de-DE"/>
        </w:rPr>
        <w:t xml:space="preserve"> </w:t>
      </w:r>
      <w:r w:rsidRPr="008D3E71">
        <w:rPr>
          <w:rFonts w:eastAsia="Times New Roman"/>
          <w:lang w:eastAsia="de-DE"/>
        </w:rPr>
        <w:t xml:space="preserve">(„unschuldig lassen, freisprechen") mit Negation, </w:t>
      </w:r>
      <w:r w:rsidRPr="008D3E71">
        <w:rPr>
          <w:rFonts w:eastAsia="Times New Roman"/>
          <w:b/>
          <w:bCs/>
          <w:rtl/>
          <w:lang w:eastAsia="de-DE"/>
        </w:rPr>
        <w:t>יְהוָה</w:t>
      </w:r>
      <w:r w:rsidRPr="008D3E71">
        <w:rPr>
          <w:rFonts w:eastAsia="Times New Roman"/>
          <w:rtl/>
          <w:lang w:eastAsia="de-DE"/>
        </w:rPr>
        <w:t xml:space="preserve"> </w:t>
      </w:r>
      <w:r w:rsidRPr="008D3E71">
        <w:rPr>
          <w:rFonts w:eastAsia="Times New Roman"/>
          <w:lang w:eastAsia="de-DE"/>
        </w:rPr>
        <w:t xml:space="preserve">als Subjekt, </w:t>
      </w:r>
      <w:r w:rsidRPr="008D3E71">
        <w:rPr>
          <w:rFonts w:eastAsia="Times New Roman"/>
          <w:b/>
          <w:bCs/>
          <w:rtl/>
          <w:lang w:eastAsia="de-DE"/>
        </w:rPr>
        <w:t>אֵת אֲשֶׁר־יִשָּׂא אֶת־שְׁמוֹ לַשָּׁוְא</w:t>
      </w:r>
      <w:r w:rsidRPr="008D3E71">
        <w:rPr>
          <w:rFonts w:eastAsia="Times New Roman"/>
          <w:rtl/>
          <w:lang w:eastAsia="de-DE"/>
        </w:rPr>
        <w:t xml:space="preserve"> </w:t>
      </w:r>
      <w:r w:rsidRPr="008D3E71">
        <w:rPr>
          <w:rFonts w:eastAsia="Times New Roman"/>
          <w:lang w:eastAsia="de-DE"/>
        </w:rPr>
        <w:t>als direktes Objekt mit Relativsatz (</w:t>
      </w:r>
      <w:r w:rsidRPr="008D3E71">
        <w:rPr>
          <w:rFonts w:eastAsia="Times New Roman"/>
          <w:b/>
          <w:bCs/>
          <w:rtl/>
          <w:lang w:eastAsia="de-DE"/>
        </w:rPr>
        <w:t>אֲשֶׁר</w:t>
      </w:r>
      <w:r w:rsidRPr="008D3E71">
        <w:rPr>
          <w:rFonts w:eastAsia="Times New Roman"/>
          <w:rtl/>
          <w:lang w:eastAsia="de-DE"/>
        </w:rPr>
        <w:t xml:space="preserve"> </w:t>
      </w:r>
      <w:r w:rsidRPr="008D3E71">
        <w:rPr>
          <w:rFonts w:eastAsia="Times New Roman"/>
          <w:lang w:eastAsia="de-DE"/>
        </w:rPr>
        <w:t xml:space="preserve">als Relativpronomen, </w:t>
      </w:r>
      <w:r w:rsidRPr="008D3E71">
        <w:rPr>
          <w:rFonts w:eastAsia="Times New Roman"/>
          <w:b/>
          <w:bCs/>
          <w:rtl/>
          <w:lang w:eastAsia="de-DE"/>
        </w:rPr>
        <w:t>יִשָּׂא</w:t>
      </w:r>
      <w:r w:rsidRPr="008D3E71">
        <w:rPr>
          <w:rFonts w:eastAsia="Times New Roman"/>
          <w:rtl/>
          <w:lang w:eastAsia="de-DE"/>
        </w:rPr>
        <w:t xml:space="preserve"> </w:t>
      </w:r>
      <w:r w:rsidRPr="008D3E71">
        <w:rPr>
          <w:rFonts w:eastAsia="Times New Roman"/>
          <w:lang w:eastAsia="de-DE"/>
        </w:rPr>
        <w:t xml:space="preserve">als Qal Imperfekt, 3. Person Singular maskulin von </w:t>
      </w:r>
      <w:r w:rsidRPr="008D3E71">
        <w:rPr>
          <w:rFonts w:eastAsia="Times New Roman"/>
          <w:b/>
          <w:bCs/>
          <w:rtl/>
          <w:lang w:eastAsia="de-DE"/>
        </w:rPr>
        <w:t>נשׂא</w:t>
      </w:r>
      <w:r w:rsidRPr="008D3E71">
        <w:rPr>
          <w:rFonts w:eastAsia="Times New Roman"/>
          <w:lang w:eastAsia="de-DE"/>
        </w:rPr>
        <w:t xml:space="preserve">, </w:t>
      </w:r>
      <w:r w:rsidRPr="008D3E71">
        <w:rPr>
          <w:rFonts w:eastAsia="Times New Roman"/>
          <w:b/>
          <w:bCs/>
          <w:rtl/>
          <w:lang w:eastAsia="de-DE"/>
        </w:rPr>
        <w:t>אֶת־שְׁמוֹ</w:t>
      </w:r>
      <w:r w:rsidRPr="008D3E71">
        <w:rPr>
          <w:rFonts w:eastAsia="Times New Roman"/>
          <w:rtl/>
          <w:lang w:eastAsia="de-DE"/>
        </w:rPr>
        <w:t xml:space="preserve"> </w:t>
      </w:r>
      <w:r w:rsidRPr="008D3E71">
        <w:rPr>
          <w:rFonts w:eastAsia="Times New Roman"/>
          <w:lang w:eastAsia="de-DE"/>
        </w:rPr>
        <w:t xml:space="preserve">als direktes Objekt mit Suffix 3. Person Singular maskulin, </w:t>
      </w:r>
      <w:r w:rsidRPr="008D3E71">
        <w:rPr>
          <w:rFonts w:eastAsia="Times New Roman"/>
          <w:b/>
          <w:bCs/>
          <w:rtl/>
          <w:lang w:eastAsia="de-DE"/>
        </w:rPr>
        <w:t>לַשָּׁוְא</w:t>
      </w:r>
      <w:r w:rsidRPr="008D3E71">
        <w:rPr>
          <w:rFonts w:eastAsia="Times New Roman"/>
          <w:rtl/>
          <w:lang w:eastAsia="de-DE"/>
        </w:rPr>
        <w:t xml:space="preserve"> </w:t>
      </w:r>
      <w:r w:rsidRPr="008D3E71">
        <w:rPr>
          <w:rFonts w:eastAsia="Times New Roman"/>
          <w:lang w:eastAsia="de-DE"/>
        </w:rPr>
        <w:t>wie oben).</w:t>
      </w:r>
    </w:p>
    <w:p w14:paraId="66483C26"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Die idiomatische Wendung </w:t>
      </w:r>
      <w:r w:rsidRPr="008D3E71">
        <w:rPr>
          <w:rFonts w:eastAsia="Times New Roman"/>
          <w:b/>
          <w:bCs/>
          <w:rtl/>
          <w:lang w:eastAsia="de-DE"/>
        </w:rPr>
        <w:t>נשׂא שֵׁם</w:t>
      </w:r>
      <w:r w:rsidRPr="008D3E71">
        <w:rPr>
          <w:rFonts w:eastAsia="Times New Roman"/>
          <w:rtl/>
          <w:lang w:eastAsia="de-DE"/>
        </w:rPr>
        <w:t xml:space="preserve"> </w:t>
      </w:r>
      <w:r w:rsidRPr="008D3E71">
        <w:rPr>
          <w:rFonts w:eastAsia="Times New Roman"/>
          <w:lang w:eastAsia="de-DE"/>
        </w:rPr>
        <w:t xml:space="preserve">bedeutet wörtlich „den Namen tragen/erheben" und bezieht sich auf das Aussprechen des Gottesnamens. Die Bedeutung von </w:t>
      </w:r>
      <w:r w:rsidRPr="008D3E71">
        <w:rPr>
          <w:rFonts w:eastAsia="Times New Roman"/>
          <w:b/>
          <w:bCs/>
          <w:rtl/>
          <w:lang w:eastAsia="de-DE"/>
        </w:rPr>
        <w:t>לַשָּׁוְא</w:t>
      </w:r>
      <w:r w:rsidRPr="008D3E71">
        <w:rPr>
          <w:rFonts w:eastAsia="Times New Roman"/>
          <w:rtl/>
          <w:lang w:eastAsia="de-DE"/>
        </w:rPr>
        <w:t xml:space="preserve"> </w:t>
      </w:r>
      <w:r w:rsidRPr="008D3E71">
        <w:rPr>
          <w:rFonts w:eastAsia="Times New Roman"/>
          <w:lang w:eastAsia="de-DE"/>
        </w:rPr>
        <w:t>ist umstritten: „für Nichtiges, vergeblich" (Meineid, falscher Schwur), „für Lüge, zum Falschen" (falsche Prophetie), oder allgemein „missbräuchlich". Wahrscheinlich umfasst das Verbot alle Formen des Missbrauchs des Gottesnamens: Meineid, Magie, Fluch, frivoler Gebrauch.</w:t>
      </w:r>
    </w:p>
    <w:p w14:paraId="7C385B29"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Satzstruktur ist ein prohibitiver Satz mit Negation, Prädikat, direktem Objekt in Construct-Verbindung und modaler Bestimmung, gefolgt von einem kausalen Satz mit Negation, Piel-Prädikat, Subjekt und direktem Objekt mit eingebettetem Relativsatz. Die Begründung unterstreicht die Ernsthaftigkeit des Verbots durch Androhung göttlicher Strafe.</w:t>
      </w:r>
    </w:p>
    <w:p w14:paraId="190E408A"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Der Vers formuliert das dritte Gebot: das Verbot des Missbrauchs des Gottesnamens, begründet mit der Androhung, dass JHWH den Täter nicht ungestraft lassen wird.</w:t>
      </w:r>
    </w:p>
    <w:p w14:paraId="52CE9F5C"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5,12</w:t>
      </w:r>
    </w:p>
    <w:p w14:paraId="5BC47339"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שָׁמוֹר אֶת־יוֹם הַשַּׁבָּת לְקַדְּשׁוֹ כַּאֲשֶׁר צִוְּךָ יְהוָה אֱלֹהֶיךָ׃</w:t>
      </w:r>
    </w:p>
    <w:p w14:paraId="1A8533A4"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Bewahre den Tag des Schabbat, um ihn zu heiligen, wie der Ewige, dein Gott, dir geboten hat.</w:t>
      </w:r>
    </w:p>
    <w:p w14:paraId="031ADD91"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433F688B">
          <v:rect id="_x0000_i1197" style="width:0;height:1.5pt" o:hralign="center" o:hrstd="t" o:hr="t" fillcolor="#a0a0a0" stroked="f"/>
        </w:pict>
      </w:r>
    </w:p>
    <w:p w14:paraId="38B2C5FD"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lastRenderedPageBreak/>
        <w:t>Kommentar:</w:t>
      </w:r>
      <w:r w:rsidRPr="008D3E71">
        <w:rPr>
          <w:rFonts w:eastAsia="Times New Roman"/>
          <w:lang w:eastAsia="de-DE"/>
        </w:rPr>
        <w:t xml:space="preserve"> </w:t>
      </w:r>
      <w:r w:rsidRPr="008D3E71">
        <w:rPr>
          <w:rFonts w:eastAsia="Times New Roman"/>
          <w:b/>
          <w:bCs/>
          <w:rtl/>
          <w:lang w:eastAsia="de-DE"/>
        </w:rPr>
        <w:t>שָׁמוֹר אֶת־יוֹם הַשַּׁבָּת</w:t>
      </w:r>
      <w:r w:rsidRPr="008D3E71">
        <w:rPr>
          <w:rFonts w:eastAsia="Times New Roman"/>
          <w:rtl/>
          <w:lang w:eastAsia="de-DE"/>
        </w:rPr>
        <w:t xml:space="preserve"> </w:t>
      </w:r>
      <w:r w:rsidRPr="008D3E71">
        <w:rPr>
          <w:rFonts w:eastAsia="Times New Roman"/>
          <w:lang w:eastAsia="de-DE"/>
        </w:rPr>
        <w:t xml:space="preserve">ist ein Imperativsatz: </w:t>
      </w:r>
      <w:r w:rsidRPr="008D3E71">
        <w:rPr>
          <w:rFonts w:eastAsia="Times New Roman"/>
          <w:b/>
          <w:bCs/>
          <w:rtl/>
          <w:lang w:eastAsia="de-DE"/>
        </w:rPr>
        <w:t>שָׁמוֹר</w:t>
      </w:r>
      <w:r w:rsidRPr="008D3E71">
        <w:rPr>
          <w:rFonts w:eastAsia="Times New Roman"/>
          <w:rtl/>
          <w:lang w:eastAsia="de-DE"/>
        </w:rPr>
        <w:t xml:space="preserve"> </w:t>
      </w:r>
      <w:r w:rsidRPr="008D3E71">
        <w:rPr>
          <w:rFonts w:eastAsia="Times New Roman"/>
          <w:lang w:eastAsia="de-DE"/>
        </w:rPr>
        <w:t xml:space="preserve">als Qal Imperativ, 2. Person Singular maskulin von </w:t>
      </w:r>
      <w:r w:rsidRPr="008D3E71">
        <w:rPr>
          <w:rFonts w:eastAsia="Times New Roman"/>
          <w:b/>
          <w:bCs/>
          <w:rtl/>
          <w:lang w:eastAsia="de-DE"/>
        </w:rPr>
        <w:t>שׁמר</w:t>
      </w:r>
      <w:r w:rsidRPr="008D3E71">
        <w:rPr>
          <w:rFonts w:eastAsia="Times New Roman"/>
          <w:rtl/>
          <w:lang w:eastAsia="de-DE"/>
        </w:rPr>
        <w:t xml:space="preserve"> </w:t>
      </w:r>
      <w:r w:rsidRPr="008D3E71">
        <w:rPr>
          <w:rFonts w:eastAsia="Times New Roman"/>
          <w:lang w:eastAsia="de-DE"/>
        </w:rPr>
        <w:t xml:space="preserve">(„bewahren, beachten"), </w:t>
      </w:r>
      <w:r w:rsidRPr="008D3E71">
        <w:rPr>
          <w:rFonts w:eastAsia="Times New Roman"/>
          <w:b/>
          <w:bCs/>
          <w:rtl/>
          <w:lang w:eastAsia="de-DE"/>
        </w:rPr>
        <w:t>אֶת־יוֹם הַשַּׁבָּת</w:t>
      </w:r>
      <w:r w:rsidRPr="008D3E71">
        <w:rPr>
          <w:rFonts w:eastAsia="Times New Roman"/>
          <w:rtl/>
          <w:lang w:eastAsia="de-DE"/>
        </w:rPr>
        <w:t xml:space="preserve"> </w:t>
      </w:r>
      <w:r w:rsidRPr="008D3E71">
        <w:rPr>
          <w:rFonts w:eastAsia="Times New Roman"/>
          <w:lang w:eastAsia="de-DE"/>
        </w:rPr>
        <w:t>als direktes Objekt (</w:t>
      </w:r>
      <w:r w:rsidRPr="008D3E71">
        <w:rPr>
          <w:rFonts w:eastAsia="Times New Roman"/>
          <w:b/>
          <w:bCs/>
          <w:rtl/>
          <w:lang w:eastAsia="de-DE"/>
        </w:rPr>
        <w:t>יוֹם</w:t>
      </w:r>
      <w:r w:rsidRPr="008D3E71">
        <w:rPr>
          <w:rFonts w:eastAsia="Times New Roman"/>
          <w:lang w:eastAsia="de-DE"/>
        </w:rPr>
        <w:t xml:space="preserve">, „Tag", im Construct mit </w:t>
      </w:r>
      <w:r w:rsidRPr="008D3E71">
        <w:rPr>
          <w:rFonts w:eastAsia="Times New Roman"/>
          <w:b/>
          <w:bCs/>
          <w:rtl/>
          <w:lang w:eastAsia="de-DE"/>
        </w:rPr>
        <w:t>שַׁבָּת</w:t>
      </w:r>
      <w:r w:rsidRPr="008D3E71">
        <w:rPr>
          <w:rFonts w:eastAsia="Times New Roman"/>
          <w:lang w:eastAsia="de-DE"/>
        </w:rPr>
        <w:t xml:space="preserve">, „Sabbat, Schabbat", mit Artikel). </w:t>
      </w:r>
      <w:r w:rsidRPr="008D3E71">
        <w:rPr>
          <w:rFonts w:eastAsia="Times New Roman"/>
          <w:b/>
          <w:bCs/>
          <w:rtl/>
          <w:lang w:eastAsia="de-DE"/>
        </w:rPr>
        <w:t>לְקַדְּשׁוֹ</w:t>
      </w:r>
      <w:r w:rsidRPr="008D3E71">
        <w:rPr>
          <w:rFonts w:eastAsia="Times New Roman"/>
          <w:rtl/>
          <w:lang w:eastAsia="de-DE"/>
        </w:rPr>
        <w:t xml:space="preserve"> </w:t>
      </w:r>
      <w:r w:rsidRPr="008D3E71">
        <w:rPr>
          <w:rFonts w:eastAsia="Times New Roman"/>
          <w:lang w:eastAsia="de-DE"/>
        </w:rPr>
        <w:t xml:space="preserve">ist ein finaler Infinitiv: </w:t>
      </w:r>
      <w:r w:rsidRPr="008D3E71">
        <w:rPr>
          <w:rFonts w:eastAsia="Times New Roman"/>
          <w:b/>
          <w:bCs/>
          <w:rtl/>
          <w:lang w:eastAsia="de-DE"/>
        </w:rPr>
        <w:t>לְקַדְּשׁוֹ</w:t>
      </w:r>
      <w:r w:rsidRPr="008D3E71">
        <w:rPr>
          <w:rFonts w:eastAsia="Times New Roman"/>
          <w:rtl/>
          <w:lang w:eastAsia="de-DE"/>
        </w:rPr>
        <w:t xml:space="preserve"> </w:t>
      </w:r>
      <w:r w:rsidRPr="008D3E71">
        <w:rPr>
          <w:rFonts w:eastAsia="Times New Roman"/>
          <w:lang w:eastAsia="de-DE"/>
        </w:rPr>
        <w:t xml:space="preserve">(Piel Infinitiv Construct von </w:t>
      </w:r>
      <w:r w:rsidRPr="008D3E71">
        <w:rPr>
          <w:rFonts w:eastAsia="Times New Roman"/>
          <w:b/>
          <w:bCs/>
          <w:rtl/>
          <w:lang w:eastAsia="de-DE"/>
        </w:rPr>
        <w:t>קדשׁ</w:t>
      </w:r>
      <w:r w:rsidRPr="008D3E71">
        <w:rPr>
          <w:rFonts w:eastAsia="Times New Roman"/>
          <w:lang w:eastAsia="de-DE"/>
        </w:rPr>
        <w:t xml:space="preserve">, „heilig machen, heiligen", mit </w:t>
      </w:r>
      <w:r w:rsidRPr="008D3E71">
        <w:rPr>
          <w:rFonts w:eastAsia="Times New Roman"/>
          <w:b/>
          <w:bCs/>
          <w:rtl/>
          <w:lang w:eastAsia="de-DE"/>
        </w:rPr>
        <w:t>לְ</w:t>
      </w:r>
      <w:r w:rsidRPr="008D3E71">
        <w:rPr>
          <w:rFonts w:eastAsia="Times New Roman"/>
          <w:rtl/>
          <w:lang w:eastAsia="de-DE"/>
        </w:rPr>
        <w:t xml:space="preserve"> </w:t>
      </w:r>
      <w:r w:rsidRPr="008D3E71">
        <w:rPr>
          <w:rFonts w:eastAsia="Times New Roman"/>
          <w:lang w:eastAsia="de-DE"/>
        </w:rPr>
        <w:t>und Suffix 3. Person Singular maskulin als direktes Objekt).</w:t>
      </w:r>
    </w:p>
    <w:p w14:paraId="3D624B3C" w14:textId="45492876"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כַּאֲשֶׁר צִוְּךָ יְהוָה אֱלֹהֶיךָ</w:t>
      </w:r>
      <w:r w:rsidRPr="008D3E71">
        <w:rPr>
          <w:rFonts w:eastAsia="Times New Roman"/>
          <w:rtl/>
          <w:lang w:eastAsia="de-DE"/>
        </w:rPr>
        <w:t xml:space="preserve"> </w:t>
      </w:r>
      <w:r w:rsidRPr="008D3E71">
        <w:rPr>
          <w:rFonts w:eastAsia="Times New Roman"/>
          <w:lang w:eastAsia="de-DE"/>
        </w:rPr>
        <w:t xml:space="preserve">ist ein Vergleichssatz: </w:t>
      </w:r>
      <w:r w:rsidRPr="008D3E71">
        <w:rPr>
          <w:rFonts w:eastAsia="Times New Roman"/>
          <w:b/>
          <w:bCs/>
          <w:rtl/>
          <w:lang w:eastAsia="de-DE"/>
        </w:rPr>
        <w:t>כַּאֲשֶׁר</w:t>
      </w:r>
      <w:r w:rsidRPr="008D3E71">
        <w:rPr>
          <w:rFonts w:eastAsia="Times New Roman"/>
          <w:rtl/>
          <w:lang w:eastAsia="de-DE"/>
        </w:rPr>
        <w:t xml:space="preserve"> </w:t>
      </w:r>
      <w:r w:rsidR="00D84597">
        <w:rPr>
          <w:rFonts w:eastAsia="Times New Roman"/>
          <w:lang w:eastAsia="de-DE"/>
        </w:rPr>
        <w:t>(„wie, sowie“)</w:t>
      </w:r>
      <w:r w:rsidRPr="008D3E71">
        <w:rPr>
          <w:rFonts w:eastAsia="Times New Roman"/>
          <w:lang w:eastAsia="de-DE"/>
        </w:rPr>
        <w:t xml:space="preserve">, </w:t>
      </w:r>
      <w:r w:rsidRPr="008D3E71">
        <w:rPr>
          <w:rFonts w:eastAsia="Times New Roman"/>
          <w:b/>
          <w:bCs/>
          <w:rtl/>
          <w:lang w:eastAsia="de-DE"/>
        </w:rPr>
        <w:t>צִוְּךָ</w:t>
      </w:r>
      <w:r w:rsidRPr="008D3E71">
        <w:rPr>
          <w:rFonts w:eastAsia="Times New Roman"/>
          <w:rtl/>
          <w:lang w:eastAsia="de-DE"/>
        </w:rPr>
        <w:t xml:space="preserve"> </w:t>
      </w:r>
      <w:r w:rsidRPr="008D3E71">
        <w:rPr>
          <w:rFonts w:eastAsia="Times New Roman"/>
          <w:lang w:eastAsia="de-DE"/>
        </w:rPr>
        <w:t xml:space="preserve">als Piel Perfekt, 3. Person Singular maskulin von </w:t>
      </w:r>
      <w:r w:rsidRPr="008D3E71">
        <w:rPr>
          <w:rFonts w:eastAsia="Times New Roman"/>
          <w:b/>
          <w:bCs/>
          <w:rtl/>
          <w:lang w:eastAsia="de-DE"/>
        </w:rPr>
        <w:t>צוה</w:t>
      </w:r>
      <w:r w:rsidRPr="008D3E71">
        <w:rPr>
          <w:rFonts w:eastAsia="Times New Roman"/>
          <w:rtl/>
          <w:lang w:eastAsia="de-DE"/>
        </w:rPr>
        <w:t xml:space="preserve"> </w:t>
      </w:r>
      <w:r w:rsidRPr="008D3E71">
        <w:rPr>
          <w:rFonts w:eastAsia="Times New Roman"/>
          <w:lang w:eastAsia="de-DE"/>
        </w:rPr>
        <w:t xml:space="preserve">(„befehlen, gebieten") mit Suffix 2. Person Singular maskulin als direktes Objekt, </w:t>
      </w:r>
      <w:r w:rsidRPr="008D3E71">
        <w:rPr>
          <w:rFonts w:eastAsia="Times New Roman"/>
          <w:b/>
          <w:bCs/>
          <w:rtl/>
          <w:lang w:eastAsia="de-DE"/>
        </w:rPr>
        <w:t>יְהוָה אֱלֹהֶיךָ</w:t>
      </w:r>
      <w:r w:rsidRPr="008D3E71">
        <w:rPr>
          <w:rFonts w:eastAsia="Times New Roman"/>
          <w:rtl/>
          <w:lang w:eastAsia="de-DE"/>
        </w:rPr>
        <w:t xml:space="preserve"> </w:t>
      </w:r>
      <w:r w:rsidRPr="008D3E71">
        <w:rPr>
          <w:rFonts w:eastAsia="Times New Roman"/>
          <w:lang w:eastAsia="de-DE"/>
        </w:rPr>
        <w:t>als erweitertes Subjekt. Diese Formel verweist auf eine frühere Gebotsmitteilung (möglicherweise die erste Dekalog-Verkündigung oder die Gesetzgebung am Sinai).</w:t>
      </w:r>
    </w:p>
    <w:p w14:paraId="7EED22D8"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Im Unterschied zu Ex 20,8 (</w:t>
      </w:r>
      <w:r w:rsidRPr="008D3E71">
        <w:rPr>
          <w:rFonts w:eastAsia="Times New Roman"/>
          <w:b/>
          <w:bCs/>
          <w:rtl/>
          <w:lang w:eastAsia="de-DE"/>
        </w:rPr>
        <w:t>זָכוֹר</w:t>
      </w:r>
      <w:r w:rsidRPr="008D3E71">
        <w:rPr>
          <w:rFonts w:eastAsia="Times New Roman"/>
          <w:lang w:eastAsia="de-DE"/>
        </w:rPr>
        <w:t xml:space="preserve">, „gedenke") verwendet Dtn 5,12 </w:t>
      </w:r>
      <w:r w:rsidRPr="008D3E71">
        <w:rPr>
          <w:rFonts w:eastAsia="Times New Roman"/>
          <w:b/>
          <w:bCs/>
          <w:rtl/>
          <w:lang w:eastAsia="de-DE"/>
        </w:rPr>
        <w:t>שָׁמוֹר</w:t>
      </w:r>
      <w:r w:rsidRPr="008D3E71">
        <w:rPr>
          <w:rFonts w:eastAsia="Times New Roman"/>
          <w:rtl/>
          <w:lang w:eastAsia="de-DE"/>
        </w:rPr>
        <w:t xml:space="preserve"> </w:t>
      </w:r>
      <w:r w:rsidRPr="008D3E71">
        <w:rPr>
          <w:rFonts w:eastAsia="Times New Roman"/>
          <w:lang w:eastAsia="de-DE"/>
        </w:rPr>
        <w:t xml:space="preserve">(„bewahre"). Diese Variation wird in der rabbinischen Tradition als gleichzeitige doppelte Verkündigung am Sinai verstanden. Die Hinzufügung </w:t>
      </w:r>
      <w:r w:rsidRPr="008D3E71">
        <w:rPr>
          <w:rFonts w:eastAsia="Times New Roman"/>
          <w:b/>
          <w:bCs/>
          <w:rtl/>
          <w:lang w:eastAsia="de-DE"/>
        </w:rPr>
        <w:t>כַּאֲשֶׁר צִוְּךָ יְהוָה אֱלֹהֶיךָ</w:t>
      </w:r>
      <w:r w:rsidRPr="008D3E71">
        <w:rPr>
          <w:rFonts w:eastAsia="Times New Roman"/>
          <w:rtl/>
          <w:lang w:eastAsia="de-DE"/>
        </w:rPr>
        <w:t xml:space="preserve"> </w:t>
      </w:r>
      <w:r w:rsidRPr="008D3E71">
        <w:rPr>
          <w:rFonts w:eastAsia="Times New Roman"/>
          <w:lang w:eastAsia="de-DE"/>
        </w:rPr>
        <w:t>ist charakteristisch für Deuteronomium und betont die Kontinuität mit der Sinai-Offenbarung.</w:t>
      </w:r>
    </w:p>
    <w:p w14:paraId="6A5EC7CE"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Die Satzstruktur ist ein Imperativsatz mit direktem Objekt in Construct-Verbindung und finalem Infinitiv mit Suffix, gefolgt von einem Vergleichssatz mit Prädikat und Suffix-Objekt sowie erweitertem Subjekt. Die Struktur verbindet die gegenwärtige Aufforderung mit der ursprünglichen Sinai-Gebotsmitteilung.</w:t>
      </w:r>
    </w:p>
    <w:p w14:paraId="5124161B"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Der Vers leitet das vierte Gebot ein: die Aufforderung, den Sabbat zu bewahren und zu heiligen, mit Verweis auf die frühere göttliche Anordnung.</w:t>
      </w:r>
    </w:p>
    <w:p w14:paraId="7070F5B4"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5,13</w:t>
      </w:r>
    </w:p>
    <w:p w14:paraId="388EE9CF"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שֵׁשֶׁת יָמִים תַּעֲבֹד וְעָשִׂיתָ כָּל־מְלַאכְתֶּךָ׃</w:t>
      </w:r>
    </w:p>
    <w:p w14:paraId="5DAC87EF"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Sechs Tage sollst du arbeiten und all deine Arbeit tun.</w:t>
      </w:r>
    </w:p>
    <w:p w14:paraId="3EE7BE95"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729A7189">
          <v:rect id="_x0000_i1198" style="width:0;height:1.5pt" o:hralign="center" o:hrstd="t" o:hr="t" fillcolor="#a0a0a0" stroked="f"/>
        </w:pict>
      </w:r>
    </w:p>
    <w:p w14:paraId="5B871D0A"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שֵׁשֶׁת יָמִים תַּעֲבֹד</w:t>
      </w:r>
      <w:r w:rsidRPr="008D3E71">
        <w:rPr>
          <w:rFonts w:eastAsia="Times New Roman"/>
          <w:rtl/>
          <w:lang w:eastAsia="de-DE"/>
        </w:rPr>
        <w:t xml:space="preserve"> </w:t>
      </w:r>
      <w:r w:rsidRPr="008D3E71">
        <w:rPr>
          <w:rFonts w:eastAsia="Times New Roman"/>
          <w:lang w:eastAsia="de-DE"/>
        </w:rPr>
        <w:t xml:space="preserve">ist ein Imperativsatz mit temporaler Bestimmung: </w:t>
      </w:r>
      <w:r w:rsidRPr="008D3E71">
        <w:rPr>
          <w:rFonts w:eastAsia="Times New Roman"/>
          <w:b/>
          <w:bCs/>
          <w:rtl/>
          <w:lang w:eastAsia="de-DE"/>
        </w:rPr>
        <w:t>שֵׁשֶׁת יָמִים</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שֵׁשֶׁת</w:t>
      </w:r>
      <w:r w:rsidRPr="008D3E71">
        <w:rPr>
          <w:rFonts w:eastAsia="Times New Roman"/>
          <w:lang w:eastAsia="de-DE"/>
        </w:rPr>
        <w:t xml:space="preserve">, „sechs", Construct von </w:t>
      </w:r>
      <w:r w:rsidRPr="008D3E71">
        <w:rPr>
          <w:rFonts w:eastAsia="Times New Roman"/>
          <w:b/>
          <w:bCs/>
          <w:rtl/>
          <w:lang w:eastAsia="de-DE"/>
        </w:rPr>
        <w:t>שֵׁשׁ</w:t>
      </w:r>
      <w:r w:rsidRPr="008D3E71">
        <w:rPr>
          <w:rFonts w:eastAsia="Times New Roman"/>
          <w:lang w:eastAsia="de-DE"/>
        </w:rPr>
        <w:t xml:space="preserve">, mit </w:t>
      </w:r>
      <w:r w:rsidRPr="008D3E71">
        <w:rPr>
          <w:rFonts w:eastAsia="Times New Roman"/>
          <w:b/>
          <w:bCs/>
          <w:rtl/>
          <w:lang w:eastAsia="de-DE"/>
        </w:rPr>
        <w:t>יָמִים</w:t>
      </w:r>
      <w:r w:rsidRPr="008D3E71">
        <w:rPr>
          <w:rFonts w:eastAsia="Times New Roman"/>
          <w:lang w:eastAsia="de-DE"/>
        </w:rPr>
        <w:t xml:space="preserve">, „Tage", Plural – temporale Akkusativkonstruktion „sechs Tage lang"), </w:t>
      </w:r>
      <w:r w:rsidRPr="008D3E71">
        <w:rPr>
          <w:rFonts w:eastAsia="Times New Roman"/>
          <w:b/>
          <w:bCs/>
          <w:rtl/>
          <w:lang w:eastAsia="de-DE"/>
        </w:rPr>
        <w:t>תַּעֲבֹד</w:t>
      </w:r>
      <w:r w:rsidRPr="008D3E71">
        <w:rPr>
          <w:rFonts w:eastAsia="Times New Roman"/>
          <w:rtl/>
          <w:lang w:eastAsia="de-DE"/>
        </w:rPr>
        <w:t xml:space="preserve"> </w:t>
      </w:r>
      <w:r w:rsidRPr="008D3E71">
        <w:rPr>
          <w:rFonts w:eastAsia="Times New Roman"/>
          <w:lang w:eastAsia="de-DE"/>
        </w:rPr>
        <w:t xml:space="preserve">als Qal Imperfekt, 2. Person Singular maskulin von </w:t>
      </w:r>
      <w:r w:rsidRPr="008D3E71">
        <w:rPr>
          <w:rFonts w:eastAsia="Times New Roman"/>
          <w:b/>
          <w:bCs/>
          <w:rtl/>
          <w:lang w:eastAsia="de-DE"/>
        </w:rPr>
        <w:t>עבד</w:t>
      </w:r>
      <w:r w:rsidRPr="008D3E71">
        <w:rPr>
          <w:rFonts w:eastAsia="Times New Roman"/>
          <w:rtl/>
          <w:lang w:eastAsia="de-DE"/>
        </w:rPr>
        <w:t xml:space="preserve"> </w:t>
      </w:r>
      <w:r w:rsidRPr="008D3E71">
        <w:rPr>
          <w:rFonts w:eastAsia="Times New Roman"/>
          <w:lang w:eastAsia="de-DE"/>
        </w:rPr>
        <w:t>(„arbeiten, dienen") – hier in imperativischer Funktion.</w:t>
      </w:r>
    </w:p>
    <w:p w14:paraId="6971EA56"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וְעָשִׂיתָ כָּל־מְלַאכְתֶּךָ</w:t>
      </w:r>
      <w:r w:rsidRPr="008D3E71">
        <w:rPr>
          <w:rFonts w:eastAsia="Times New Roman"/>
          <w:rtl/>
          <w:lang w:eastAsia="de-DE"/>
        </w:rPr>
        <w:t xml:space="preserve"> </w:t>
      </w:r>
      <w:r w:rsidRPr="008D3E71">
        <w:rPr>
          <w:rFonts w:eastAsia="Times New Roman"/>
          <w:lang w:eastAsia="de-DE"/>
        </w:rPr>
        <w:t xml:space="preserve">ist koordiniert: </w:t>
      </w:r>
      <w:r w:rsidRPr="008D3E71">
        <w:rPr>
          <w:rFonts w:eastAsia="Times New Roman"/>
          <w:b/>
          <w:bCs/>
          <w:rtl/>
          <w:lang w:eastAsia="de-DE"/>
        </w:rPr>
        <w:t>וְ</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עָשִׂיתָ</w:t>
      </w:r>
      <w:r w:rsidRPr="008D3E71">
        <w:rPr>
          <w:rFonts w:eastAsia="Times New Roman"/>
          <w:rtl/>
          <w:lang w:eastAsia="de-DE"/>
        </w:rPr>
        <w:t xml:space="preserve"> </w:t>
      </w:r>
      <w:r w:rsidRPr="008D3E71">
        <w:rPr>
          <w:rFonts w:eastAsia="Times New Roman"/>
          <w:lang w:eastAsia="de-DE"/>
        </w:rPr>
        <w:t xml:space="preserve">(Qal Perfekt consecutivum, 2. Person Singular maskulin von </w:t>
      </w:r>
      <w:r w:rsidRPr="008D3E71">
        <w:rPr>
          <w:rFonts w:eastAsia="Times New Roman"/>
          <w:b/>
          <w:bCs/>
          <w:rtl/>
          <w:lang w:eastAsia="de-DE"/>
        </w:rPr>
        <w:t>עשׂה</w:t>
      </w:r>
      <w:r w:rsidRPr="008D3E71">
        <w:rPr>
          <w:rFonts w:eastAsia="Times New Roman"/>
          <w:lang w:eastAsia="de-DE"/>
        </w:rPr>
        <w:t xml:space="preserve">, „tun, machen"), </w:t>
      </w:r>
      <w:r w:rsidRPr="008D3E71">
        <w:rPr>
          <w:rFonts w:eastAsia="Times New Roman"/>
          <w:b/>
          <w:bCs/>
          <w:rtl/>
          <w:lang w:eastAsia="de-DE"/>
        </w:rPr>
        <w:t>כָּל־מְלַאכְתֶּךָ</w:t>
      </w:r>
      <w:r w:rsidRPr="008D3E71">
        <w:rPr>
          <w:rFonts w:eastAsia="Times New Roman"/>
          <w:rtl/>
          <w:lang w:eastAsia="de-DE"/>
        </w:rPr>
        <w:t xml:space="preserve"> </w:t>
      </w:r>
      <w:r w:rsidRPr="008D3E71">
        <w:rPr>
          <w:rFonts w:eastAsia="Times New Roman"/>
          <w:lang w:eastAsia="de-DE"/>
        </w:rPr>
        <w:t>als direktes Objekt (</w:t>
      </w:r>
      <w:r w:rsidRPr="008D3E71">
        <w:rPr>
          <w:rFonts w:eastAsia="Times New Roman"/>
          <w:b/>
          <w:bCs/>
          <w:rtl/>
          <w:lang w:eastAsia="de-DE"/>
        </w:rPr>
        <w:t>כָּל</w:t>
      </w:r>
      <w:r w:rsidRPr="008D3E71">
        <w:rPr>
          <w:rFonts w:eastAsia="Times New Roman"/>
          <w:rtl/>
          <w:lang w:eastAsia="de-DE"/>
        </w:rPr>
        <w:t xml:space="preserve"> </w:t>
      </w:r>
      <w:r w:rsidRPr="008D3E71">
        <w:rPr>
          <w:rFonts w:eastAsia="Times New Roman"/>
          <w:lang w:eastAsia="de-DE"/>
        </w:rPr>
        <w:t xml:space="preserve">im Construct mit </w:t>
      </w:r>
      <w:r w:rsidRPr="008D3E71">
        <w:rPr>
          <w:rFonts w:eastAsia="Times New Roman"/>
          <w:b/>
          <w:bCs/>
          <w:rtl/>
          <w:lang w:eastAsia="de-DE"/>
        </w:rPr>
        <w:t>מְלָאכָה</w:t>
      </w:r>
      <w:r w:rsidRPr="008D3E71">
        <w:rPr>
          <w:rFonts w:eastAsia="Times New Roman"/>
          <w:lang w:eastAsia="de-DE"/>
        </w:rPr>
        <w:t>, „Arbeit, Werk", und Suffix 2. Person Singular maskulin).</w:t>
      </w:r>
    </w:p>
    <w:p w14:paraId="5237E00D"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Die Formulierung ist positiv: Sechs Tage sind für Arbeit bestimmt. Das Sabbatgebot beinhaltet also nicht nur Arbeitsverbot am siebten Tag, sondern auch Arbeitsgebot an den sechs Werktagen. Die beiden Verben </w:t>
      </w:r>
      <w:r w:rsidRPr="008D3E71">
        <w:rPr>
          <w:rFonts w:eastAsia="Times New Roman"/>
          <w:b/>
          <w:bCs/>
          <w:rtl/>
          <w:lang w:eastAsia="de-DE"/>
        </w:rPr>
        <w:t>עבד</w:t>
      </w:r>
      <w:r w:rsidRPr="008D3E71">
        <w:rPr>
          <w:rFonts w:eastAsia="Times New Roman"/>
          <w:rtl/>
          <w:lang w:eastAsia="de-DE"/>
        </w:rPr>
        <w:t xml:space="preserve"> </w:t>
      </w:r>
      <w:r w:rsidRPr="008D3E71">
        <w:rPr>
          <w:rFonts w:eastAsia="Times New Roman"/>
          <w:lang w:eastAsia="de-DE"/>
        </w:rPr>
        <w:t xml:space="preserve">(„arbeiten, dienen") und </w:t>
      </w:r>
      <w:r w:rsidRPr="008D3E71">
        <w:rPr>
          <w:rFonts w:eastAsia="Times New Roman"/>
          <w:b/>
          <w:bCs/>
          <w:rtl/>
          <w:lang w:eastAsia="de-DE"/>
        </w:rPr>
        <w:t>עשׂה</w:t>
      </w:r>
      <w:r w:rsidRPr="008D3E71">
        <w:rPr>
          <w:rFonts w:eastAsia="Times New Roman"/>
          <w:rtl/>
          <w:lang w:eastAsia="de-DE"/>
        </w:rPr>
        <w:t xml:space="preserve"> </w:t>
      </w:r>
      <w:r w:rsidRPr="008D3E71">
        <w:rPr>
          <w:rFonts w:eastAsia="Times New Roman"/>
          <w:lang w:eastAsia="de-DE"/>
        </w:rPr>
        <w:t>(„tun, machen") sind weitgehend synonym und verstärken sich gegenseitig.</w:t>
      </w:r>
    </w:p>
    <w:p w14:paraId="449B2166"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lastRenderedPageBreak/>
        <w:t>Die Satzstruktur ist ein imperativischer Satz mit temporaler Akkusativbestimmung und Prädikat, koordiniert mit einem Perfekt consecutivum und direktem Objekt in Construct-Verbindung mit Suffix. Die Struktur etabliert den sechstägigen Arbeitszyklus als Vorbereitung für das Sabbatgebot.</w:t>
      </w:r>
    </w:p>
    <w:p w14:paraId="0E5D1542"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Der Vers bestimmt den sechstägigen Arbeitszyklus als positives Gebot – die Grundlage für den siebten Tag als Ruhetag.</w:t>
      </w:r>
    </w:p>
    <w:p w14:paraId="2405383B"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5,14</w:t>
      </w:r>
    </w:p>
    <w:p w14:paraId="774AEC33"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וְיוֹם הַשְּׁבִיעִי שַׁבָּת לַיהוָה אֱלֹהֶיךָ לֹא תַעֲשֶׂה כָל־מְלָאכָה אַתָּה וּבִנְךָ־וּבִתֶּךָ וְעַבְדְּךָ־וַאֲמָתֶךָ וְשׁוֹרְךָ וַחֲמֹרְךָ וְכָל־בְּהֶמְתֶּךָ וְגֵרְךָ אֲשֶׁר בִּשְׁעָרֶיךָ לְמַעַן יָנוּחַ עַבְדְּךָ וַאֲמָתְךָ כָּמוֹךָ׃</w:t>
      </w:r>
    </w:p>
    <w:p w14:paraId="10544649"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Aber der siebte Tag ist Schabbat für den Ewigen, deinen Gott. Du sollst keinerlei Arbeit tun, du und dein Sohn und deine Tochter und dein Knecht und deine Magd und dein Rind und dein Esel und all dein Vieh und dein Fremder, der in deinen Toren ist, damit dein Knecht und deine Magd ruhen wie du.</w:t>
      </w:r>
    </w:p>
    <w:p w14:paraId="0C190569"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2A029B31">
          <v:rect id="_x0000_i1199" style="width:0;height:1.5pt" o:hralign="center" o:hrstd="t" o:hr="t" fillcolor="#a0a0a0" stroked="f"/>
        </w:pict>
      </w:r>
    </w:p>
    <w:p w14:paraId="36F14B09"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וְיוֹם הַשְּׁבִיעִי שַׁבָּת לַיהוָה אֱלֹהֶיךָ</w:t>
      </w:r>
      <w:r w:rsidRPr="008D3E71">
        <w:rPr>
          <w:rFonts w:eastAsia="Times New Roman"/>
          <w:rtl/>
          <w:lang w:eastAsia="de-DE"/>
        </w:rPr>
        <w:t xml:space="preserve"> </w:t>
      </w:r>
      <w:r w:rsidRPr="008D3E71">
        <w:rPr>
          <w:rFonts w:eastAsia="Times New Roman"/>
          <w:lang w:eastAsia="de-DE"/>
        </w:rPr>
        <w:t xml:space="preserve">ist ein nominaler Satz: </w:t>
      </w:r>
      <w:r w:rsidRPr="008D3E71">
        <w:rPr>
          <w:rFonts w:eastAsia="Times New Roman"/>
          <w:b/>
          <w:bCs/>
          <w:rtl/>
          <w:lang w:eastAsia="de-DE"/>
        </w:rPr>
        <w:t>וְ</w:t>
      </w:r>
      <w:r w:rsidRPr="008D3E71">
        <w:rPr>
          <w:rFonts w:eastAsia="Times New Roman"/>
          <w:rtl/>
          <w:lang w:eastAsia="de-DE"/>
        </w:rPr>
        <w:t xml:space="preserve"> </w:t>
      </w:r>
      <w:r w:rsidRPr="008D3E71">
        <w:rPr>
          <w:rFonts w:eastAsia="Times New Roman"/>
          <w:lang w:eastAsia="de-DE"/>
        </w:rPr>
        <w:t xml:space="preserve">adversativ („aber"), </w:t>
      </w:r>
      <w:r w:rsidRPr="008D3E71">
        <w:rPr>
          <w:rFonts w:eastAsia="Times New Roman"/>
          <w:b/>
          <w:bCs/>
          <w:rtl/>
          <w:lang w:eastAsia="de-DE"/>
        </w:rPr>
        <w:t>יוֹם הַשְּׁבִיעִי</w:t>
      </w:r>
      <w:r w:rsidRPr="008D3E71">
        <w:rPr>
          <w:rFonts w:eastAsia="Times New Roman"/>
          <w:rtl/>
          <w:lang w:eastAsia="de-DE"/>
        </w:rPr>
        <w:t xml:space="preserve"> </w:t>
      </w:r>
      <w:r w:rsidRPr="008D3E71">
        <w:rPr>
          <w:rFonts w:eastAsia="Times New Roman"/>
          <w:lang w:eastAsia="de-DE"/>
        </w:rPr>
        <w:t>als Subjekt (</w:t>
      </w:r>
      <w:r w:rsidRPr="008D3E71">
        <w:rPr>
          <w:rFonts w:eastAsia="Times New Roman"/>
          <w:b/>
          <w:bCs/>
          <w:rtl/>
          <w:lang w:eastAsia="de-DE"/>
        </w:rPr>
        <w:t>יוֹם</w:t>
      </w:r>
      <w:r w:rsidRPr="008D3E71">
        <w:rPr>
          <w:rFonts w:eastAsia="Times New Roman"/>
          <w:lang w:eastAsia="de-DE"/>
        </w:rPr>
        <w:t xml:space="preserve">, „Tag", mit Ordinalzahl </w:t>
      </w:r>
      <w:r w:rsidRPr="008D3E71">
        <w:rPr>
          <w:rFonts w:eastAsia="Times New Roman"/>
          <w:b/>
          <w:bCs/>
          <w:rtl/>
          <w:lang w:eastAsia="de-DE"/>
        </w:rPr>
        <w:t>הַשְּׁבִיעִי</w:t>
      </w:r>
      <w:r w:rsidRPr="008D3E71">
        <w:rPr>
          <w:rFonts w:eastAsia="Times New Roman"/>
          <w:lang w:eastAsia="de-DE"/>
        </w:rPr>
        <w:t xml:space="preserve">, „der siebte", mit Artikel), </w:t>
      </w:r>
      <w:r w:rsidRPr="008D3E71">
        <w:rPr>
          <w:rFonts w:eastAsia="Times New Roman"/>
          <w:b/>
          <w:bCs/>
          <w:rtl/>
          <w:lang w:eastAsia="de-DE"/>
        </w:rPr>
        <w:t>שַׁבָּת</w:t>
      </w:r>
      <w:r w:rsidRPr="008D3E71">
        <w:rPr>
          <w:rFonts w:eastAsia="Times New Roman"/>
          <w:rtl/>
          <w:lang w:eastAsia="de-DE"/>
        </w:rPr>
        <w:t xml:space="preserve"> </w:t>
      </w:r>
      <w:r w:rsidRPr="008D3E71">
        <w:rPr>
          <w:rFonts w:eastAsia="Times New Roman"/>
          <w:lang w:eastAsia="de-DE"/>
        </w:rPr>
        <w:t xml:space="preserve">als Prädikatsnomen, </w:t>
      </w:r>
      <w:r w:rsidRPr="008D3E71">
        <w:rPr>
          <w:rFonts w:eastAsia="Times New Roman"/>
          <w:b/>
          <w:bCs/>
          <w:rtl/>
          <w:lang w:eastAsia="de-DE"/>
        </w:rPr>
        <w:t>לַיהוָה אֱלֹהֶיךָ</w:t>
      </w:r>
      <w:r w:rsidRPr="008D3E71">
        <w:rPr>
          <w:rFonts w:eastAsia="Times New Roman"/>
          <w:rtl/>
          <w:lang w:eastAsia="de-DE"/>
        </w:rPr>
        <w:t xml:space="preserve"> </w:t>
      </w:r>
      <w:r w:rsidRPr="008D3E71">
        <w:rPr>
          <w:rFonts w:eastAsia="Times New Roman"/>
          <w:lang w:eastAsia="de-DE"/>
        </w:rPr>
        <w:t>als Dativ („für JHWH, deinen Gott" – der Sabbat gehört JHWH).</w:t>
      </w:r>
    </w:p>
    <w:p w14:paraId="61D87375" w14:textId="7EA02D3B"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לֹא תַעֲשֶׂה כָל־מְלָאכָה</w:t>
      </w:r>
      <w:r w:rsidRPr="008D3E71">
        <w:rPr>
          <w:rFonts w:eastAsia="Times New Roman"/>
          <w:rtl/>
          <w:lang w:eastAsia="de-DE"/>
        </w:rPr>
        <w:t xml:space="preserve"> </w:t>
      </w:r>
      <w:r w:rsidRPr="008D3E71">
        <w:rPr>
          <w:rFonts w:eastAsia="Times New Roman"/>
          <w:lang w:eastAsia="de-DE"/>
        </w:rPr>
        <w:t xml:space="preserve">ist prohibitiv: </w:t>
      </w:r>
      <w:r w:rsidRPr="008D3E71">
        <w:rPr>
          <w:rFonts w:eastAsia="Times New Roman"/>
          <w:b/>
          <w:bCs/>
          <w:rtl/>
          <w:lang w:eastAsia="de-DE"/>
        </w:rPr>
        <w:t>לֹא</w:t>
      </w:r>
      <w:r w:rsidRPr="008D3E71">
        <w:rPr>
          <w:rFonts w:eastAsia="Times New Roman"/>
          <w:rtl/>
          <w:lang w:eastAsia="de-DE"/>
        </w:rPr>
        <w:t xml:space="preserve"> </w:t>
      </w:r>
      <w:r w:rsidRPr="008D3E71">
        <w:rPr>
          <w:rFonts w:eastAsia="Times New Roman"/>
          <w:lang w:eastAsia="de-DE"/>
        </w:rPr>
        <w:t xml:space="preserve">als Negation, </w:t>
      </w:r>
      <w:r w:rsidRPr="008D3E71">
        <w:rPr>
          <w:rFonts w:eastAsia="Times New Roman"/>
          <w:b/>
          <w:bCs/>
          <w:rtl/>
          <w:lang w:eastAsia="de-DE"/>
        </w:rPr>
        <w:t>תַעֲשֶׂה</w:t>
      </w:r>
      <w:r w:rsidRPr="008D3E71">
        <w:rPr>
          <w:rFonts w:eastAsia="Times New Roman"/>
          <w:rtl/>
          <w:lang w:eastAsia="de-DE"/>
        </w:rPr>
        <w:t xml:space="preserve"> </w:t>
      </w:r>
      <w:r w:rsidRPr="008D3E71">
        <w:rPr>
          <w:rFonts w:eastAsia="Times New Roman"/>
          <w:lang w:eastAsia="de-DE"/>
        </w:rPr>
        <w:t xml:space="preserve">als Qal Imperfekt, 2. Person Singular maskulin von </w:t>
      </w:r>
      <w:r w:rsidRPr="008D3E71">
        <w:rPr>
          <w:rFonts w:eastAsia="Times New Roman"/>
          <w:b/>
          <w:bCs/>
          <w:rtl/>
          <w:lang w:eastAsia="de-DE"/>
        </w:rPr>
        <w:t>עשׂה</w:t>
      </w:r>
      <w:r w:rsidRPr="008D3E71">
        <w:rPr>
          <w:rFonts w:eastAsia="Times New Roman"/>
          <w:lang w:eastAsia="de-DE"/>
        </w:rPr>
        <w:t xml:space="preserve">, </w:t>
      </w:r>
      <w:r w:rsidRPr="008D3E71">
        <w:rPr>
          <w:rFonts w:eastAsia="Times New Roman"/>
          <w:b/>
          <w:bCs/>
          <w:rtl/>
          <w:lang w:eastAsia="de-DE"/>
        </w:rPr>
        <w:t>כָּל־מְלָאכָה</w:t>
      </w:r>
      <w:r w:rsidRPr="008D3E71">
        <w:rPr>
          <w:rFonts w:eastAsia="Times New Roman"/>
          <w:rtl/>
          <w:lang w:eastAsia="de-DE"/>
        </w:rPr>
        <w:t xml:space="preserve"> </w:t>
      </w:r>
      <w:r w:rsidRPr="008D3E71">
        <w:rPr>
          <w:rFonts w:eastAsia="Times New Roman"/>
          <w:lang w:eastAsia="de-DE"/>
        </w:rPr>
        <w:t>als direktes Objekt (</w:t>
      </w:r>
      <w:r w:rsidRPr="008D3E71">
        <w:rPr>
          <w:rFonts w:eastAsia="Times New Roman"/>
          <w:b/>
          <w:bCs/>
          <w:rtl/>
          <w:lang w:eastAsia="de-DE"/>
        </w:rPr>
        <w:t>כָּל</w:t>
      </w:r>
      <w:r w:rsidRPr="008D3E71">
        <w:rPr>
          <w:rFonts w:eastAsia="Times New Roman"/>
          <w:rtl/>
          <w:lang w:eastAsia="de-DE"/>
        </w:rPr>
        <w:t xml:space="preserve"> </w:t>
      </w:r>
      <w:r w:rsidRPr="008D3E71">
        <w:rPr>
          <w:rFonts w:eastAsia="Times New Roman"/>
          <w:lang w:eastAsia="de-DE"/>
        </w:rPr>
        <w:t xml:space="preserve">im Construct mit </w:t>
      </w:r>
      <w:r w:rsidRPr="008D3E71">
        <w:rPr>
          <w:rFonts w:eastAsia="Times New Roman"/>
          <w:b/>
          <w:bCs/>
          <w:rtl/>
          <w:lang w:eastAsia="de-DE"/>
        </w:rPr>
        <w:t>מְלָאכָה</w:t>
      </w:r>
      <w:r w:rsidRPr="008D3E71">
        <w:rPr>
          <w:rFonts w:eastAsia="Times New Roman"/>
          <w:rtl/>
          <w:lang w:eastAsia="de-DE"/>
        </w:rPr>
        <w:t xml:space="preserve"> </w:t>
      </w:r>
      <w:r w:rsidRPr="008D3E71">
        <w:rPr>
          <w:rFonts w:eastAsia="Times New Roman"/>
          <w:lang w:eastAsia="de-DE"/>
        </w:rPr>
        <w:t xml:space="preserve">– „keinerlei Arbeit"). </w:t>
      </w:r>
      <w:r w:rsidRPr="008D3E71">
        <w:rPr>
          <w:rFonts w:eastAsia="Times New Roman"/>
          <w:b/>
          <w:bCs/>
          <w:rtl/>
          <w:lang w:eastAsia="de-DE"/>
        </w:rPr>
        <w:t>אַתָּה וּבִנְךָ־וּבִתֶּךָ וְעַבְדְּךָ־וַאֲמָתֶךָ וְשׁוֹרְךָ וַחֲמֹרְךָ וְכָל־בְּהֶמְתֶּךָ וְגֵרְךָ</w:t>
      </w:r>
      <w:r w:rsidRPr="008D3E71">
        <w:rPr>
          <w:rFonts w:eastAsia="Times New Roman"/>
          <w:rtl/>
          <w:lang w:eastAsia="de-DE"/>
        </w:rPr>
        <w:t xml:space="preserve"> </w:t>
      </w:r>
      <w:r w:rsidRPr="008D3E71">
        <w:rPr>
          <w:rFonts w:eastAsia="Times New Roman"/>
          <w:lang w:eastAsia="de-DE"/>
        </w:rPr>
        <w:t xml:space="preserve">ist eine achtgliedrige koordinierte Aufzählung der vom Sabbatgebot Betroffenen: </w:t>
      </w:r>
      <w:r w:rsidRPr="008D3E71">
        <w:rPr>
          <w:rFonts w:eastAsia="Times New Roman"/>
          <w:b/>
          <w:bCs/>
          <w:rtl/>
          <w:lang w:eastAsia="de-DE"/>
        </w:rPr>
        <w:t>אַתָּה</w:t>
      </w:r>
      <w:r w:rsidRPr="008D3E71">
        <w:rPr>
          <w:rFonts w:eastAsia="Times New Roman"/>
          <w:rtl/>
          <w:lang w:eastAsia="de-DE"/>
        </w:rPr>
        <w:t xml:space="preserve"> </w:t>
      </w:r>
      <w:r w:rsidRPr="008D3E71">
        <w:rPr>
          <w:rFonts w:eastAsia="Times New Roman"/>
          <w:lang w:eastAsia="de-DE"/>
        </w:rPr>
        <w:t xml:space="preserve">(Personalpronomen „du"), </w:t>
      </w:r>
      <w:r w:rsidRPr="008D3E71">
        <w:rPr>
          <w:rFonts w:eastAsia="Times New Roman"/>
          <w:b/>
          <w:bCs/>
          <w:rtl/>
          <w:lang w:eastAsia="de-DE"/>
        </w:rPr>
        <w:t>וּבִנְךָ־וּבִתֶּךָ</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בֵּן</w:t>
      </w:r>
      <w:r w:rsidRPr="008D3E71">
        <w:rPr>
          <w:rFonts w:eastAsia="Times New Roman"/>
          <w:lang w:eastAsia="de-DE"/>
        </w:rPr>
        <w:t xml:space="preserve">, „Sohn", und </w:t>
      </w:r>
      <w:r w:rsidRPr="008D3E71">
        <w:rPr>
          <w:rFonts w:eastAsia="Times New Roman"/>
          <w:b/>
          <w:bCs/>
          <w:rtl/>
          <w:lang w:eastAsia="de-DE"/>
        </w:rPr>
        <w:t>בַּת</w:t>
      </w:r>
      <w:r w:rsidRPr="008D3E71">
        <w:rPr>
          <w:rFonts w:eastAsia="Times New Roman"/>
          <w:lang w:eastAsia="de-DE"/>
        </w:rPr>
        <w:t xml:space="preserve">, „Tochter", beide mit </w:t>
      </w:r>
      <w:r w:rsidRPr="008D3E71">
        <w:rPr>
          <w:rFonts w:eastAsia="Times New Roman"/>
          <w:b/>
          <w:bCs/>
          <w:rtl/>
          <w:lang w:eastAsia="de-DE"/>
        </w:rPr>
        <w:t>וְ</w:t>
      </w:r>
      <w:r w:rsidRPr="008D3E71">
        <w:rPr>
          <w:rFonts w:eastAsia="Times New Roman"/>
          <w:rtl/>
          <w:lang w:eastAsia="de-DE"/>
        </w:rPr>
        <w:t xml:space="preserve"> </w:t>
      </w:r>
      <w:r w:rsidRPr="008D3E71">
        <w:rPr>
          <w:rFonts w:eastAsia="Times New Roman"/>
          <w:lang w:eastAsia="de-DE"/>
        </w:rPr>
        <w:t xml:space="preserve">und Suffix 2. Person Singular maskulin, durch </w:t>
      </w:r>
      <w:r w:rsidR="00324616">
        <w:rPr>
          <w:rFonts w:eastAsia="Times New Roman"/>
          <w:lang w:eastAsia="de-DE"/>
        </w:rPr>
        <w:t>Maqqef</w:t>
      </w:r>
      <w:r w:rsidRPr="008D3E71">
        <w:rPr>
          <w:rFonts w:eastAsia="Times New Roman"/>
          <w:lang w:eastAsia="de-DE"/>
        </w:rPr>
        <w:t xml:space="preserve"> verbunden), </w:t>
      </w:r>
      <w:r w:rsidRPr="008D3E71">
        <w:rPr>
          <w:rFonts w:eastAsia="Times New Roman"/>
          <w:b/>
          <w:bCs/>
          <w:rtl/>
          <w:lang w:eastAsia="de-DE"/>
        </w:rPr>
        <w:t>וְעַבְדְּךָ־וַאֲמָתֶךָ</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עֶבֶד</w:t>
      </w:r>
      <w:r w:rsidRPr="008D3E71">
        <w:rPr>
          <w:rFonts w:eastAsia="Times New Roman"/>
          <w:lang w:eastAsia="de-DE"/>
        </w:rPr>
        <w:t xml:space="preserve">, „Knecht, Sklave", und </w:t>
      </w:r>
      <w:r w:rsidRPr="008D3E71">
        <w:rPr>
          <w:rFonts w:eastAsia="Times New Roman"/>
          <w:b/>
          <w:bCs/>
          <w:rtl/>
          <w:lang w:eastAsia="de-DE"/>
        </w:rPr>
        <w:t>אָמָה</w:t>
      </w:r>
      <w:r w:rsidRPr="008D3E71">
        <w:rPr>
          <w:rFonts w:eastAsia="Times New Roman"/>
          <w:lang w:eastAsia="de-DE"/>
        </w:rPr>
        <w:t xml:space="preserve">, „Magd, Sklavin", beide mit Suffix), </w:t>
      </w:r>
      <w:r w:rsidRPr="008D3E71">
        <w:rPr>
          <w:rFonts w:eastAsia="Times New Roman"/>
          <w:b/>
          <w:bCs/>
          <w:rtl/>
          <w:lang w:eastAsia="de-DE"/>
        </w:rPr>
        <w:t>וְשׁוֹרְךָ וַחֲמֹרְךָ</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שׁוֹר</w:t>
      </w:r>
      <w:r w:rsidRPr="008D3E71">
        <w:rPr>
          <w:rFonts w:eastAsia="Times New Roman"/>
          <w:lang w:eastAsia="de-DE"/>
        </w:rPr>
        <w:t xml:space="preserve">, „Rind", und </w:t>
      </w:r>
      <w:r w:rsidRPr="008D3E71">
        <w:rPr>
          <w:rFonts w:eastAsia="Times New Roman"/>
          <w:b/>
          <w:bCs/>
          <w:rtl/>
          <w:lang w:eastAsia="de-DE"/>
        </w:rPr>
        <w:t>חֲמוֹר</w:t>
      </w:r>
      <w:r w:rsidRPr="008D3E71">
        <w:rPr>
          <w:rFonts w:eastAsia="Times New Roman"/>
          <w:lang w:eastAsia="de-DE"/>
        </w:rPr>
        <w:t xml:space="preserve">, „Esel", beide mit Suffix), </w:t>
      </w:r>
      <w:r w:rsidRPr="008D3E71">
        <w:rPr>
          <w:rFonts w:eastAsia="Times New Roman"/>
          <w:b/>
          <w:bCs/>
          <w:rtl/>
          <w:lang w:eastAsia="de-DE"/>
        </w:rPr>
        <w:t>וְכָל־בְּהֶמְתֶּךָ</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כָּל</w:t>
      </w:r>
      <w:r w:rsidRPr="008D3E71">
        <w:rPr>
          <w:rFonts w:eastAsia="Times New Roman"/>
          <w:rtl/>
          <w:lang w:eastAsia="de-DE"/>
        </w:rPr>
        <w:t xml:space="preserve"> </w:t>
      </w:r>
      <w:r w:rsidRPr="008D3E71">
        <w:rPr>
          <w:rFonts w:eastAsia="Times New Roman"/>
          <w:lang w:eastAsia="de-DE"/>
        </w:rPr>
        <w:t xml:space="preserve">im Construct mit </w:t>
      </w:r>
      <w:r w:rsidRPr="008D3E71">
        <w:rPr>
          <w:rFonts w:eastAsia="Times New Roman"/>
          <w:b/>
          <w:bCs/>
          <w:rtl/>
          <w:lang w:eastAsia="de-DE"/>
        </w:rPr>
        <w:t>בְּהֵמָה</w:t>
      </w:r>
      <w:r w:rsidRPr="008D3E71">
        <w:rPr>
          <w:rFonts w:eastAsia="Times New Roman"/>
          <w:lang w:eastAsia="de-DE"/>
        </w:rPr>
        <w:t xml:space="preserve">, „Vieh", und Suffix), </w:t>
      </w:r>
      <w:r w:rsidRPr="008D3E71">
        <w:rPr>
          <w:rFonts w:eastAsia="Times New Roman"/>
          <w:b/>
          <w:bCs/>
          <w:rtl/>
          <w:lang w:eastAsia="de-DE"/>
        </w:rPr>
        <w:t>וְגֵרְךָ</w:t>
      </w:r>
      <w:r w:rsidRPr="008D3E71">
        <w:rPr>
          <w:rFonts w:eastAsia="Times New Roman"/>
          <w:rtl/>
          <w:lang w:eastAsia="de-DE"/>
        </w:rPr>
        <w:t xml:space="preserve"> </w:t>
      </w:r>
      <w:r w:rsidRPr="008D3E71">
        <w:rPr>
          <w:rFonts w:eastAsia="Times New Roman"/>
          <w:lang w:eastAsia="de-DE"/>
        </w:rPr>
        <w:t>(</w:t>
      </w:r>
      <w:r w:rsidRPr="008D3E71">
        <w:rPr>
          <w:rFonts w:eastAsia="Times New Roman"/>
          <w:b/>
          <w:bCs/>
          <w:rtl/>
          <w:lang w:eastAsia="de-DE"/>
        </w:rPr>
        <w:t>גֵּר</w:t>
      </w:r>
      <w:r w:rsidRPr="008D3E71">
        <w:rPr>
          <w:rFonts w:eastAsia="Times New Roman"/>
          <w:lang w:eastAsia="de-DE"/>
        </w:rPr>
        <w:t>, „Fremder, Fremdling", mit Suffix).</w:t>
      </w:r>
    </w:p>
    <w:p w14:paraId="47D22B84"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אֲשֶׁר בִּשְׁעָרֶיךָ</w:t>
      </w:r>
      <w:r w:rsidRPr="008D3E71">
        <w:rPr>
          <w:rFonts w:eastAsia="Times New Roman"/>
          <w:rtl/>
          <w:lang w:eastAsia="de-DE"/>
        </w:rPr>
        <w:t xml:space="preserve"> </w:t>
      </w:r>
      <w:r w:rsidRPr="008D3E71">
        <w:rPr>
          <w:rFonts w:eastAsia="Times New Roman"/>
          <w:lang w:eastAsia="de-DE"/>
        </w:rPr>
        <w:t xml:space="preserve">ist ein Relativsatz zu </w:t>
      </w:r>
      <w:r w:rsidRPr="008D3E71">
        <w:rPr>
          <w:rFonts w:eastAsia="Times New Roman"/>
          <w:b/>
          <w:bCs/>
          <w:rtl/>
          <w:lang w:eastAsia="de-DE"/>
        </w:rPr>
        <w:t>גֵרְךָ</w:t>
      </w:r>
      <w:r w:rsidRPr="008D3E71">
        <w:rPr>
          <w:rFonts w:eastAsia="Times New Roman"/>
          <w:lang w:eastAsia="de-DE"/>
        </w:rPr>
        <w:t xml:space="preserve">: </w:t>
      </w:r>
      <w:r w:rsidRPr="008D3E71">
        <w:rPr>
          <w:rFonts w:eastAsia="Times New Roman"/>
          <w:b/>
          <w:bCs/>
          <w:rtl/>
          <w:lang w:eastAsia="de-DE"/>
        </w:rPr>
        <w:t>אֲשֶׁר</w:t>
      </w:r>
      <w:r w:rsidRPr="008D3E71">
        <w:rPr>
          <w:rFonts w:eastAsia="Times New Roman"/>
          <w:rtl/>
          <w:lang w:eastAsia="de-DE"/>
        </w:rPr>
        <w:t xml:space="preserve"> </w:t>
      </w:r>
      <w:r w:rsidRPr="008D3E71">
        <w:rPr>
          <w:rFonts w:eastAsia="Times New Roman"/>
          <w:lang w:eastAsia="de-DE"/>
        </w:rPr>
        <w:t xml:space="preserve">als Relativpronomen, </w:t>
      </w:r>
      <w:r w:rsidRPr="008D3E71">
        <w:rPr>
          <w:rFonts w:eastAsia="Times New Roman"/>
          <w:b/>
          <w:bCs/>
          <w:rtl/>
          <w:lang w:eastAsia="de-DE"/>
        </w:rPr>
        <w:t>בִּשְׁעָרֶיךָ</w:t>
      </w:r>
      <w:r w:rsidRPr="008D3E71">
        <w:rPr>
          <w:rFonts w:eastAsia="Times New Roman"/>
          <w:rtl/>
          <w:lang w:eastAsia="de-DE"/>
        </w:rPr>
        <w:t xml:space="preserve"> </w:t>
      </w:r>
      <w:r w:rsidRPr="008D3E71">
        <w:rPr>
          <w:rFonts w:eastAsia="Times New Roman"/>
          <w:lang w:eastAsia="de-DE"/>
        </w:rPr>
        <w:t>als Ortsangabe (</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שַׁעַר</w:t>
      </w:r>
      <w:r w:rsidRPr="008D3E71">
        <w:rPr>
          <w:rFonts w:eastAsia="Times New Roman"/>
          <w:lang w:eastAsia="de-DE"/>
        </w:rPr>
        <w:t xml:space="preserve">, „Tor", Plural mit Suffix 2. Person Singular maskulin – „in deinen Toren", d.h. „in deiner Stadt, in deinem Wohnbereich"). </w:t>
      </w:r>
      <w:r w:rsidRPr="008D3E71">
        <w:rPr>
          <w:rFonts w:eastAsia="Times New Roman"/>
          <w:b/>
          <w:bCs/>
          <w:rtl/>
          <w:lang w:eastAsia="de-DE"/>
        </w:rPr>
        <w:t>לְמַעַן יָנוּחַ עַבְדְּךָ וַאֲמָתְךָ כָּמוֹךָ</w:t>
      </w:r>
      <w:r w:rsidRPr="008D3E71">
        <w:rPr>
          <w:rFonts w:eastAsia="Times New Roman"/>
          <w:rtl/>
          <w:lang w:eastAsia="de-DE"/>
        </w:rPr>
        <w:t xml:space="preserve"> </w:t>
      </w:r>
      <w:r w:rsidRPr="008D3E71">
        <w:rPr>
          <w:rFonts w:eastAsia="Times New Roman"/>
          <w:lang w:eastAsia="de-DE"/>
        </w:rPr>
        <w:t xml:space="preserve">ist eine finale Konstruktion: </w:t>
      </w:r>
      <w:r w:rsidRPr="008D3E71">
        <w:rPr>
          <w:rFonts w:eastAsia="Times New Roman"/>
          <w:b/>
          <w:bCs/>
          <w:rtl/>
          <w:lang w:eastAsia="de-DE"/>
        </w:rPr>
        <w:t>לְמַעַן</w:t>
      </w:r>
      <w:r w:rsidRPr="008D3E71">
        <w:rPr>
          <w:rFonts w:eastAsia="Times New Roman"/>
          <w:rtl/>
          <w:lang w:eastAsia="de-DE"/>
        </w:rPr>
        <w:t xml:space="preserve"> </w:t>
      </w:r>
      <w:r w:rsidRPr="008D3E71">
        <w:rPr>
          <w:rFonts w:eastAsia="Times New Roman"/>
          <w:lang w:eastAsia="de-DE"/>
        </w:rPr>
        <w:t xml:space="preserve">(„damit"), </w:t>
      </w:r>
      <w:r w:rsidRPr="008D3E71">
        <w:rPr>
          <w:rFonts w:eastAsia="Times New Roman"/>
          <w:b/>
          <w:bCs/>
          <w:rtl/>
          <w:lang w:eastAsia="de-DE"/>
        </w:rPr>
        <w:t>יָנוּחַ</w:t>
      </w:r>
      <w:r w:rsidRPr="008D3E71">
        <w:rPr>
          <w:rFonts w:eastAsia="Times New Roman"/>
          <w:rtl/>
          <w:lang w:eastAsia="de-DE"/>
        </w:rPr>
        <w:t xml:space="preserve"> </w:t>
      </w:r>
      <w:r w:rsidRPr="008D3E71">
        <w:rPr>
          <w:rFonts w:eastAsia="Times New Roman"/>
          <w:lang w:eastAsia="de-DE"/>
        </w:rPr>
        <w:t xml:space="preserve">als Qal Imperfekt, 3. Person Singular maskulin von </w:t>
      </w:r>
      <w:r w:rsidRPr="008D3E71">
        <w:rPr>
          <w:rFonts w:eastAsia="Times New Roman"/>
          <w:b/>
          <w:bCs/>
          <w:rtl/>
          <w:lang w:eastAsia="de-DE"/>
        </w:rPr>
        <w:t>נוח</w:t>
      </w:r>
      <w:r w:rsidRPr="008D3E71">
        <w:rPr>
          <w:rFonts w:eastAsia="Times New Roman"/>
          <w:rtl/>
          <w:lang w:eastAsia="de-DE"/>
        </w:rPr>
        <w:t xml:space="preserve"> </w:t>
      </w:r>
      <w:r w:rsidRPr="008D3E71">
        <w:rPr>
          <w:rFonts w:eastAsia="Times New Roman"/>
          <w:lang w:eastAsia="de-DE"/>
        </w:rPr>
        <w:t xml:space="preserve">(„ruhen"), </w:t>
      </w:r>
      <w:r w:rsidRPr="008D3E71">
        <w:rPr>
          <w:rFonts w:eastAsia="Times New Roman"/>
          <w:b/>
          <w:bCs/>
          <w:rtl/>
          <w:lang w:eastAsia="de-DE"/>
        </w:rPr>
        <w:t>עַבְדְּךָ וַאֲמָתְךָ</w:t>
      </w:r>
      <w:r w:rsidRPr="008D3E71">
        <w:rPr>
          <w:rFonts w:eastAsia="Times New Roman"/>
          <w:rtl/>
          <w:lang w:eastAsia="de-DE"/>
        </w:rPr>
        <w:t xml:space="preserve"> </w:t>
      </w:r>
      <w:r w:rsidRPr="008D3E71">
        <w:rPr>
          <w:rFonts w:eastAsia="Times New Roman"/>
          <w:lang w:eastAsia="de-DE"/>
        </w:rPr>
        <w:t xml:space="preserve">als Subjekt (koordiniert), </w:t>
      </w:r>
      <w:r w:rsidRPr="008D3E71">
        <w:rPr>
          <w:rFonts w:eastAsia="Times New Roman"/>
          <w:b/>
          <w:bCs/>
          <w:rtl/>
          <w:lang w:eastAsia="de-DE"/>
        </w:rPr>
        <w:t>כָּמוֹךָ</w:t>
      </w:r>
      <w:r w:rsidRPr="008D3E71">
        <w:rPr>
          <w:rFonts w:eastAsia="Times New Roman"/>
          <w:rtl/>
          <w:lang w:eastAsia="de-DE"/>
        </w:rPr>
        <w:t xml:space="preserve"> </w:t>
      </w:r>
      <w:r w:rsidRPr="008D3E71">
        <w:rPr>
          <w:rFonts w:eastAsia="Times New Roman"/>
          <w:lang w:eastAsia="de-DE"/>
        </w:rPr>
        <w:t>als Vergleichskonstruktion (</w:t>
      </w:r>
      <w:r w:rsidRPr="008D3E71">
        <w:rPr>
          <w:rFonts w:eastAsia="Times New Roman"/>
          <w:b/>
          <w:bCs/>
          <w:rtl/>
          <w:lang w:eastAsia="de-DE"/>
        </w:rPr>
        <w:t>כְּ</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מוֹ</w:t>
      </w:r>
      <w:r w:rsidRPr="008D3E71">
        <w:rPr>
          <w:rFonts w:eastAsia="Times New Roman"/>
          <w:rtl/>
          <w:lang w:eastAsia="de-DE"/>
        </w:rPr>
        <w:t xml:space="preserve"> </w:t>
      </w:r>
      <w:r w:rsidRPr="008D3E71">
        <w:rPr>
          <w:rFonts w:eastAsia="Times New Roman"/>
          <w:lang w:eastAsia="de-DE"/>
        </w:rPr>
        <w:t>und Suffix 2. Person Singular maskulin – „wie du").</w:t>
      </w:r>
    </w:p>
    <w:p w14:paraId="64DC42E3"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Die achtgliedrige Aufzählung ist umfassend und schließt alle Mitglieder des Haushalts ein: Familie, Sklaven, Tiere, Fremde. Die besondere Erwähnung des </w:t>
      </w:r>
      <w:r w:rsidRPr="008D3E71">
        <w:rPr>
          <w:rFonts w:eastAsia="Times New Roman"/>
          <w:b/>
          <w:bCs/>
          <w:rtl/>
          <w:lang w:eastAsia="de-DE"/>
        </w:rPr>
        <w:t>גֵּר</w:t>
      </w:r>
      <w:r w:rsidRPr="008D3E71">
        <w:rPr>
          <w:rFonts w:eastAsia="Times New Roman"/>
          <w:rtl/>
          <w:lang w:eastAsia="de-DE"/>
        </w:rPr>
        <w:t xml:space="preserve"> </w:t>
      </w:r>
      <w:r w:rsidRPr="008D3E71">
        <w:rPr>
          <w:rFonts w:eastAsia="Times New Roman"/>
          <w:lang w:eastAsia="de-DE"/>
        </w:rPr>
        <w:t xml:space="preserve">(„Fremden") zeigt die soziale Dimension des Sabbatgebots. Die finale Konstruktion </w:t>
      </w:r>
      <w:r w:rsidRPr="008D3E71">
        <w:rPr>
          <w:rFonts w:eastAsia="Times New Roman"/>
          <w:b/>
          <w:bCs/>
          <w:rtl/>
          <w:lang w:eastAsia="de-DE"/>
        </w:rPr>
        <w:t>לְמַעַן יָנוּחַ עַבְדְּךָ וַאֲמָתְךָ כָּמוֹךָ</w:t>
      </w:r>
      <w:r w:rsidRPr="008D3E71">
        <w:rPr>
          <w:rFonts w:eastAsia="Times New Roman"/>
          <w:rtl/>
          <w:lang w:eastAsia="de-DE"/>
        </w:rPr>
        <w:t xml:space="preserve"> </w:t>
      </w:r>
      <w:r w:rsidRPr="008D3E71">
        <w:rPr>
          <w:rFonts w:eastAsia="Times New Roman"/>
          <w:lang w:eastAsia="de-DE"/>
        </w:rPr>
        <w:t>ist charakteristisch für die deuteronomische Version des Sabbatgebots und betont die soziale Gleichheit in der Ruhe – eine deuteronomische Besonderheit gegenüber Ex 20.</w:t>
      </w:r>
    </w:p>
    <w:p w14:paraId="70FEF9CB"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lastRenderedPageBreak/>
        <w:t xml:space="preserve">Die Satzstruktur ist ein nominaler Satz mit adversativem </w:t>
      </w:r>
      <w:r w:rsidRPr="008D3E71">
        <w:rPr>
          <w:rFonts w:eastAsia="Times New Roman"/>
          <w:b/>
          <w:bCs/>
          <w:rtl/>
          <w:lang w:eastAsia="de-DE"/>
        </w:rPr>
        <w:t>וְ</w:t>
      </w:r>
      <w:r w:rsidRPr="008D3E71">
        <w:rPr>
          <w:rFonts w:eastAsia="Times New Roman"/>
          <w:lang w:eastAsia="de-DE"/>
        </w:rPr>
        <w:t>, Subjekt, Prädikatsnomen und Dativangabe, gefolgt von einem prohibitiven Satz mit Negation, Prädikat und direktem Objekt, einer achtgliedrigen koordinierten Subjektaufzählung mit Relativsatz zur letzten Gruppe, und einer finalen Konstruktion mit Prädikat, koordiniertem Subjekt und Vergleichskonstruktion. Die extensive Aufzählung unterstreicht die universale Gültigkeit der Sabbatruhe.</w:t>
      </w:r>
    </w:p>
    <w:p w14:paraId="00C1E034"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Der Vers definiert den siebten Tag als Sabbat für JHWH und verbietet jegliche Arbeit für alle Mitglieder des Haushalts – Menschen und Tiere –, damit auch die Abhängigen ruhen können.</w:t>
      </w:r>
    </w:p>
    <w:p w14:paraId="28C2DD52" w14:textId="77777777" w:rsidR="008D3E71" w:rsidRPr="008D3E71" w:rsidRDefault="008D3E71" w:rsidP="008D3E71">
      <w:pPr>
        <w:spacing w:before="100" w:beforeAutospacing="1" w:after="100" w:afterAutospacing="1" w:line="240" w:lineRule="auto"/>
        <w:outlineLvl w:val="1"/>
        <w:rPr>
          <w:rFonts w:eastAsia="Times New Roman"/>
          <w:b/>
          <w:bCs/>
          <w:sz w:val="36"/>
          <w:szCs w:val="36"/>
          <w:lang w:eastAsia="de-DE"/>
        </w:rPr>
      </w:pPr>
      <w:r w:rsidRPr="008D3E71">
        <w:rPr>
          <w:rFonts w:eastAsia="Times New Roman"/>
          <w:b/>
          <w:bCs/>
          <w:sz w:val="36"/>
          <w:szCs w:val="36"/>
          <w:lang w:eastAsia="de-DE"/>
        </w:rPr>
        <w:t>Deuteronomium 5,15</w:t>
      </w:r>
    </w:p>
    <w:p w14:paraId="56B14FA2"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Hebräisch:</w:t>
      </w:r>
      <w:r w:rsidRPr="008D3E71">
        <w:rPr>
          <w:rFonts w:eastAsia="Times New Roman"/>
          <w:lang w:eastAsia="de-DE"/>
        </w:rPr>
        <w:t xml:space="preserve"> </w:t>
      </w:r>
      <w:r w:rsidRPr="008D3E71">
        <w:rPr>
          <w:rFonts w:eastAsia="Times New Roman"/>
          <w:rtl/>
          <w:lang w:eastAsia="de-DE"/>
        </w:rPr>
        <w:t>וְזָכַרְתָּ כִּי־עֶבֶד הָיִיתָ בְּאֶרֶץ מִצְרַיִם וַיֹּצִאֲךָ יְהוָה אֱלֹהֶיךָ מִשָּׁם בְּיָד חֲזָקָה וּבִזְרֹעַ נְטוּיָה עַל־כֵּן צִוְּךָ יְהוָה אֱלֹהֶיךָ לַעֲשׂוֹת אֶת־יוֹם הַשַּׁבָּת׃</w:t>
      </w:r>
    </w:p>
    <w:p w14:paraId="6B48CBB5"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Deutsch:</w:t>
      </w:r>
      <w:r w:rsidRPr="008D3E71">
        <w:rPr>
          <w:rFonts w:eastAsia="Times New Roman"/>
          <w:lang w:eastAsia="de-DE"/>
        </w:rPr>
        <w:t xml:space="preserve"> Und gedenke, dass du ein Knecht warst im Land Mizrajim und dass der Ewige, dein Gott, dich von dort herausgeführt hat, mit starker Hand und mit ausgestrecktem Arm; darum hat der Ewige, dein Gott, dir geboten, den Tag des Schabbats zu halten.</w:t>
      </w:r>
    </w:p>
    <w:p w14:paraId="62BBDCC8" w14:textId="77777777" w:rsidR="008D3E71" w:rsidRPr="008D3E71" w:rsidRDefault="004F5CEB" w:rsidP="008D3E71">
      <w:pPr>
        <w:spacing w:after="0" w:line="240" w:lineRule="auto"/>
        <w:rPr>
          <w:rFonts w:eastAsia="Times New Roman"/>
          <w:lang w:eastAsia="de-DE"/>
        </w:rPr>
      </w:pPr>
      <w:r>
        <w:rPr>
          <w:rFonts w:eastAsia="Times New Roman"/>
          <w:noProof/>
          <w:lang w:eastAsia="de-DE"/>
        </w:rPr>
        <w:pict w14:anchorId="41087B8C">
          <v:rect id="_x0000_i1200" style="width:0;height:1.5pt" o:hralign="center" o:hrstd="t" o:hr="t" fillcolor="#a0a0a0" stroked="f"/>
        </w:pict>
      </w:r>
    </w:p>
    <w:p w14:paraId="5C11D293"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lang w:eastAsia="de-DE"/>
        </w:rPr>
        <w:t>Kommentar:</w:t>
      </w:r>
      <w:r w:rsidRPr="008D3E71">
        <w:rPr>
          <w:rFonts w:eastAsia="Times New Roman"/>
          <w:lang w:eastAsia="de-DE"/>
        </w:rPr>
        <w:t xml:space="preserve"> </w:t>
      </w:r>
      <w:r w:rsidRPr="008D3E71">
        <w:rPr>
          <w:rFonts w:eastAsia="Times New Roman"/>
          <w:b/>
          <w:bCs/>
          <w:rtl/>
          <w:lang w:eastAsia="de-DE"/>
        </w:rPr>
        <w:t>וְזָכַרְתָּ כִּי־עֶבֶד הָיִיתָ בְּאֶרֶץ מִצְרַיִם</w:t>
      </w:r>
      <w:r w:rsidRPr="008D3E71">
        <w:rPr>
          <w:rFonts w:eastAsia="Times New Roman"/>
          <w:rtl/>
          <w:lang w:eastAsia="de-DE"/>
        </w:rPr>
        <w:t xml:space="preserve"> </w:t>
      </w:r>
      <w:r w:rsidRPr="008D3E71">
        <w:rPr>
          <w:rFonts w:eastAsia="Times New Roman"/>
          <w:lang w:eastAsia="de-DE"/>
        </w:rPr>
        <w:t xml:space="preserve">ist Qal Perfekt consecutivum, 2. Person Singular maskulin von </w:t>
      </w:r>
      <w:r w:rsidRPr="008D3E71">
        <w:rPr>
          <w:rFonts w:eastAsia="Times New Roman"/>
          <w:b/>
          <w:bCs/>
          <w:rtl/>
          <w:lang w:eastAsia="de-DE"/>
        </w:rPr>
        <w:t>זכר</w:t>
      </w:r>
      <w:r w:rsidRPr="008D3E71">
        <w:rPr>
          <w:rFonts w:eastAsia="Times New Roman"/>
          <w:rtl/>
          <w:lang w:eastAsia="de-DE"/>
        </w:rPr>
        <w:t xml:space="preserve"> </w:t>
      </w:r>
      <w:r w:rsidRPr="008D3E71">
        <w:rPr>
          <w:rFonts w:eastAsia="Times New Roman"/>
          <w:lang w:eastAsia="de-DE"/>
        </w:rPr>
        <w:t xml:space="preserve">(„gedenken, erinnern") mit Waw und einem </w:t>
      </w:r>
      <w:r w:rsidRPr="008D3E71">
        <w:rPr>
          <w:rFonts w:eastAsia="Times New Roman"/>
          <w:b/>
          <w:bCs/>
          <w:rtl/>
          <w:lang w:eastAsia="de-DE"/>
        </w:rPr>
        <w:t>כִּי</w:t>
      </w:r>
      <w:r w:rsidRPr="008D3E71">
        <w:rPr>
          <w:rFonts w:eastAsia="Times New Roman"/>
          <w:lang w:eastAsia="de-DE"/>
        </w:rPr>
        <w:t xml:space="preserve">-Objektsatz: </w:t>
      </w:r>
      <w:r w:rsidRPr="008D3E71">
        <w:rPr>
          <w:rFonts w:eastAsia="Times New Roman"/>
          <w:b/>
          <w:bCs/>
          <w:rtl/>
          <w:lang w:eastAsia="de-DE"/>
        </w:rPr>
        <w:t>כִּי</w:t>
      </w:r>
      <w:r w:rsidRPr="008D3E71">
        <w:rPr>
          <w:rFonts w:eastAsia="Times New Roman"/>
          <w:rtl/>
          <w:lang w:eastAsia="de-DE"/>
        </w:rPr>
        <w:t xml:space="preserve"> </w:t>
      </w:r>
      <w:r w:rsidRPr="008D3E71">
        <w:rPr>
          <w:rFonts w:eastAsia="Times New Roman"/>
          <w:lang w:eastAsia="de-DE"/>
        </w:rPr>
        <w:t xml:space="preserve">als Objektkonjunktion, </w:t>
      </w:r>
      <w:r w:rsidRPr="008D3E71">
        <w:rPr>
          <w:rFonts w:eastAsia="Times New Roman"/>
          <w:b/>
          <w:bCs/>
          <w:rtl/>
          <w:lang w:eastAsia="de-DE"/>
        </w:rPr>
        <w:t>עֶבֶד הָיִיתָ</w:t>
      </w:r>
      <w:r w:rsidRPr="008D3E71">
        <w:rPr>
          <w:rFonts w:eastAsia="Times New Roman"/>
          <w:rtl/>
          <w:lang w:eastAsia="de-DE"/>
        </w:rPr>
        <w:t xml:space="preserve"> </w:t>
      </w:r>
      <w:r w:rsidRPr="008D3E71">
        <w:rPr>
          <w:rFonts w:eastAsia="Times New Roman"/>
          <w:lang w:eastAsia="de-DE"/>
        </w:rPr>
        <w:t xml:space="preserve">als nominaler Satz mit </w:t>
      </w:r>
      <w:r w:rsidRPr="008D3E71">
        <w:rPr>
          <w:rFonts w:eastAsia="Times New Roman"/>
          <w:b/>
          <w:bCs/>
          <w:rtl/>
          <w:lang w:eastAsia="de-DE"/>
        </w:rPr>
        <w:t>עֶבֶד</w:t>
      </w:r>
      <w:r w:rsidRPr="008D3E71">
        <w:rPr>
          <w:rFonts w:eastAsia="Times New Roman"/>
          <w:rtl/>
          <w:lang w:eastAsia="de-DE"/>
        </w:rPr>
        <w:t xml:space="preserve"> </w:t>
      </w:r>
      <w:r w:rsidRPr="008D3E71">
        <w:rPr>
          <w:rFonts w:eastAsia="Times New Roman"/>
          <w:lang w:eastAsia="de-DE"/>
        </w:rPr>
        <w:t xml:space="preserve">(„Knecht, Sklave") als Prädikatsnomen und </w:t>
      </w:r>
      <w:r w:rsidRPr="008D3E71">
        <w:rPr>
          <w:rFonts w:eastAsia="Times New Roman"/>
          <w:b/>
          <w:bCs/>
          <w:rtl/>
          <w:lang w:eastAsia="de-DE"/>
        </w:rPr>
        <w:t>הָיִיתָ</w:t>
      </w:r>
      <w:r w:rsidRPr="008D3E71">
        <w:rPr>
          <w:rFonts w:eastAsia="Times New Roman"/>
          <w:rtl/>
          <w:lang w:eastAsia="de-DE"/>
        </w:rPr>
        <w:t xml:space="preserve"> </w:t>
      </w:r>
      <w:r w:rsidRPr="008D3E71">
        <w:rPr>
          <w:rFonts w:eastAsia="Times New Roman"/>
          <w:lang w:eastAsia="de-DE"/>
        </w:rPr>
        <w:t xml:space="preserve">(Qal Perfekt, 2. Person Singular maskulin von </w:t>
      </w:r>
      <w:r w:rsidRPr="008D3E71">
        <w:rPr>
          <w:rFonts w:eastAsia="Times New Roman"/>
          <w:b/>
          <w:bCs/>
          <w:rtl/>
          <w:lang w:eastAsia="de-DE"/>
        </w:rPr>
        <w:t>היה</w:t>
      </w:r>
      <w:r w:rsidRPr="008D3E71">
        <w:rPr>
          <w:rFonts w:eastAsia="Times New Roman"/>
          <w:lang w:eastAsia="de-DE"/>
        </w:rPr>
        <w:t xml:space="preserve">) als Kopula, </w:t>
      </w:r>
      <w:r w:rsidRPr="008D3E71">
        <w:rPr>
          <w:rFonts w:eastAsia="Times New Roman"/>
          <w:b/>
          <w:bCs/>
          <w:rtl/>
          <w:lang w:eastAsia="de-DE"/>
        </w:rPr>
        <w:t>בְּאֶרֶץ מִצְרַיִם</w:t>
      </w:r>
      <w:r w:rsidRPr="008D3E71">
        <w:rPr>
          <w:rFonts w:eastAsia="Times New Roman"/>
          <w:rtl/>
          <w:lang w:eastAsia="de-DE"/>
        </w:rPr>
        <w:t xml:space="preserve"> </w:t>
      </w:r>
      <w:r w:rsidRPr="008D3E71">
        <w:rPr>
          <w:rFonts w:eastAsia="Times New Roman"/>
          <w:lang w:eastAsia="de-DE"/>
        </w:rPr>
        <w:t>als Ortsangabe.</w:t>
      </w:r>
    </w:p>
    <w:p w14:paraId="32C83D26"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וַיֹּצִאֲךָ יְהוָה אֱלֹהֶיךָ מִשָּׁם בְּיָד חֲזָקָה וּבִזְרֹעַ נְטוּיָה</w:t>
      </w:r>
      <w:r w:rsidRPr="008D3E71">
        <w:rPr>
          <w:rFonts w:eastAsia="Times New Roman"/>
          <w:rtl/>
          <w:lang w:eastAsia="de-DE"/>
        </w:rPr>
        <w:t xml:space="preserve"> </w:t>
      </w:r>
      <w:r w:rsidRPr="008D3E71">
        <w:rPr>
          <w:rFonts w:eastAsia="Times New Roman"/>
          <w:lang w:eastAsia="de-DE"/>
        </w:rPr>
        <w:t xml:space="preserve">ist koordiniert: </w:t>
      </w:r>
      <w:r w:rsidRPr="008D3E71">
        <w:rPr>
          <w:rFonts w:eastAsia="Times New Roman"/>
          <w:b/>
          <w:bCs/>
          <w:rtl/>
          <w:lang w:eastAsia="de-DE"/>
        </w:rPr>
        <w:t>וַיֹּצִאֲךָ</w:t>
      </w:r>
      <w:r w:rsidRPr="008D3E71">
        <w:rPr>
          <w:rFonts w:eastAsia="Times New Roman"/>
          <w:rtl/>
          <w:lang w:eastAsia="de-DE"/>
        </w:rPr>
        <w:t xml:space="preserve"> </w:t>
      </w:r>
      <w:r w:rsidRPr="008D3E71">
        <w:rPr>
          <w:rFonts w:eastAsia="Times New Roman"/>
          <w:lang w:eastAsia="de-DE"/>
        </w:rPr>
        <w:t xml:space="preserve">(Hifil Imperfekt consecutivum, 3. Person Singular maskulin von </w:t>
      </w:r>
      <w:r w:rsidRPr="008D3E71">
        <w:rPr>
          <w:rFonts w:eastAsia="Times New Roman"/>
          <w:b/>
          <w:bCs/>
          <w:rtl/>
          <w:lang w:eastAsia="de-DE"/>
        </w:rPr>
        <w:t>יצא</w:t>
      </w:r>
      <w:r w:rsidRPr="008D3E71">
        <w:rPr>
          <w:rFonts w:eastAsia="Times New Roman"/>
          <w:lang w:eastAsia="de-DE"/>
        </w:rPr>
        <w:t xml:space="preserve">, „herausführen", mit Waw und Suffix 2. Person Singular maskulin als direktes Objekt), </w:t>
      </w:r>
      <w:r w:rsidRPr="008D3E71">
        <w:rPr>
          <w:rFonts w:eastAsia="Times New Roman"/>
          <w:b/>
          <w:bCs/>
          <w:rtl/>
          <w:lang w:eastAsia="de-DE"/>
        </w:rPr>
        <w:t>יְהוָה אֱלֹהֶיךָ</w:t>
      </w:r>
      <w:r w:rsidRPr="008D3E71">
        <w:rPr>
          <w:rFonts w:eastAsia="Times New Roman"/>
          <w:rtl/>
          <w:lang w:eastAsia="de-DE"/>
        </w:rPr>
        <w:t xml:space="preserve"> </w:t>
      </w:r>
      <w:r w:rsidRPr="008D3E71">
        <w:rPr>
          <w:rFonts w:eastAsia="Times New Roman"/>
          <w:lang w:eastAsia="de-DE"/>
        </w:rPr>
        <w:t xml:space="preserve">als erweitertes Subjekt, </w:t>
      </w:r>
      <w:r w:rsidRPr="008D3E71">
        <w:rPr>
          <w:rFonts w:eastAsia="Times New Roman"/>
          <w:b/>
          <w:bCs/>
          <w:rtl/>
          <w:lang w:eastAsia="de-DE"/>
        </w:rPr>
        <w:t>מִשָּׁם</w:t>
      </w:r>
      <w:r w:rsidRPr="008D3E71">
        <w:rPr>
          <w:rFonts w:eastAsia="Times New Roman"/>
          <w:rtl/>
          <w:lang w:eastAsia="de-DE"/>
        </w:rPr>
        <w:t xml:space="preserve"> </w:t>
      </w:r>
      <w:r w:rsidRPr="008D3E71">
        <w:rPr>
          <w:rFonts w:eastAsia="Times New Roman"/>
          <w:lang w:eastAsia="de-DE"/>
        </w:rPr>
        <w:t>als Herkunftsangabe (</w:t>
      </w:r>
      <w:r w:rsidRPr="008D3E71">
        <w:rPr>
          <w:rFonts w:eastAsia="Times New Roman"/>
          <w:b/>
          <w:bCs/>
          <w:rtl/>
          <w:lang w:eastAsia="de-DE"/>
        </w:rPr>
        <w:t>מִן</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שָׁם</w:t>
      </w:r>
      <w:r w:rsidRPr="008D3E71">
        <w:rPr>
          <w:rFonts w:eastAsia="Times New Roman"/>
          <w:lang w:eastAsia="de-DE"/>
        </w:rPr>
        <w:t xml:space="preserve">), </w:t>
      </w:r>
      <w:r w:rsidRPr="008D3E71">
        <w:rPr>
          <w:rFonts w:eastAsia="Times New Roman"/>
          <w:b/>
          <w:bCs/>
          <w:rtl/>
          <w:lang w:eastAsia="de-DE"/>
        </w:rPr>
        <w:t>בְּיָד חֲזָקָה וּבִזְרֹעַ נְטוּיָה</w:t>
      </w:r>
      <w:r w:rsidRPr="008D3E71">
        <w:rPr>
          <w:rFonts w:eastAsia="Times New Roman"/>
          <w:rtl/>
          <w:lang w:eastAsia="de-DE"/>
        </w:rPr>
        <w:t xml:space="preserve"> </w:t>
      </w:r>
      <w:r w:rsidRPr="008D3E71">
        <w:rPr>
          <w:rFonts w:eastAsia="Times New Roman"/>
          <w:lang w:eastAsia="de-DE"/>
        </w:rPr>
        <w:t>als zweigliedrige koordinierte modale Bestimmung (</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יָד</w:t>
      </w:r>
      <w:r w:rsidRPr="008D3E71">
        <w:rPr>
          <w:rFonts w:eastAsia="Times New Roman"/>
          <w:lang w:eastAsia="de-DE"/>
        </w:rPr>
        <w:t xml:space="preserve">, „Hand", und Adjektiv </w:t>
      </w:r>
      <w:r w:rsidRPr="008D3E71">
        <w:rPr>
          <w:rFonts w:eastAsia="Times New Roman"/>
          <w:b/>
          <w:bCs/>
          <w:rtl/>
          <w:lang w:eastAsia="de-DE"/>
        </w:rPr>
        <w:t>חֲזָקָה</w:t>
      </w:r>
      <w:r w:rsidRPr="008D3E71">
        <w:rPr>
          <w:rFonts w:eastAsia="Times New Roman"/>
          <w:lang w:eastAsia="de-DE"/>
        </w:rPr>
        <w:t xml:space="preserve">, „stark", sowie </w:t>
      </w:r>
      <w:r w:rsidRPr="008D3E71">
        <w:rPr>
          <w:rFonts w:eastAsia="Times New Roman"/>
          <w:b/>
          <w:bCs/>
          <w:rtl/>
          <w:lang w:eastAsia="de-DE"/>
        </w:rPr>
        <w:t>בְּ</w:t>
      </w:r>
      <w:r w:rsidRPr="008D3E71">
        <w:rPr>
          <w:rFonts w:eastAsia="Times New Roman"/>
          <w:rtl/>
          <w:lang w:eastAsia="de-DE"/>
        </w:rPr>
        <w:t xml:space="preserve"> </w:t>
      </w:r>
      <w:r w:rsidRPr="008D3E71">
        <w:rPr>
          <w:rFonts w:eastAsia="Times New Roman"/>
          <w:lang w:eastAsia="de-DE"/>
        </w:rPr>
        <w:t xml:space="preserve">mit </w:t>
      </w:r>
      <w:r w:rsidRPr="008D3E71">
        <w:rPr>
          <w:rFonts w:eastAsia="Times New Roman"/>
          <w:b/>
          <w:bCs/>
          <w:rtl/>
          <w:lang w:eastAsia="de-DE"/>
        </w:rPr>
        <w:t>זְרוֹעַ</w:t>
      </w:r>
      <w:r w:rsidRPr="008D3E71">
        <w:rPr>
          <w:rFonts w:eastAsia="Times New Roman"/>
          <w:lang w:eastAsia="de-DE"/>
        </w:rPr>
        <w:t xml:space="preserve">, „Arm", und Qal Passiv Partizip feminin von </w:t>
      </w:r>
      <w:r w:rsidRPr="008D3E71">
        <w:rPr>
          <w:rFonts w:eastAsia="Times New Roman"/>
          <w:b/>
          <w:bCs/>
          <w:rtl/>
          <w:lang w:eastAsia="de-DE"/>
        </w:rPr>
        <w:t>נטה</w:t>
      </w:r>
      <w:r w:rsidRPr="008D3E71">
        <w:rPr>
          <w:rFonts w:eastAsia="Times New Roman"/>
          <w:lang w:eastAsia="de-DE"/>
        </w:rPr>
        <w:t xml:space="preserve">, „ausstrecken", </w:t>
      </w:r>
      <w:r w:rsidRPr="008D3E71">
        <w:rPr>
          <w:rFonts w:eastAsia="Times New Roman"/>
          <w:b/>
          <w:bCs/>
          <w:rtl/>
          <w:lang w:eastAsia="de-DE"/>
        </w:rPr>
        <w:t>נְטוּיָה</w:t>
      </w:r>
      <w:r w:rsidRPr="008D3E71">
        <w:rPr>
          <w:rFonts w:eastAsia="Times New Roman"/>
          <w:rtl/>
          <w:lang w:eastAsia="de-DE"/>
        </w:rPr>
        <w:t xml:space="preserve"> </w:t>
      </w:r>
      <w:r w:rsidRPr="008D3E71">
        <w:rPr>
          <w:rFonts w:eastAsia="Times New Roman"/>
          <w:lang w:eastAsia="de-DE"/>
        </w:rPr>
        <w:t>– die klassische deuteronomische Exodusformel).</w:t>
      </w:r>
    </w:p>
    <w:p w14:paraId="46DEBC49"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b/>
          <w:bCs/>
          <w:rtl/>
          <w:lang w:eastAsia="de-DE"/>
        </w:rPr>
        <w:t>עַל־כֵּן צִוְּךָ יְהוָה אֱלֹהֶיךָ לַעֲשׂוֹת אֶת־יוֹם הַשַּׁבָּת</w:t>
      </w:r>
      <w:r w:rsidRPr="008D3E71">
        <w:rPr>
          <w:rFonts w:eastAsia="Times New Roman"/>
          <w:rtl/>
          <w:lang w:eastAsia="de-DE"/>
        </w:rPr>
        <w:t xml:space="preserve"> </w:t>
      </w:r>
      <w:r w:rsidRPr="008D3E71">
        <w:rPr>
          <w:rFonts w:eastAsia="Times New Roman"/>
          <w:lang w:eastAsia="de-DE"/>
        </w:rPr>
        <w:t xml:space="preserve">ist der Schlusssatz: </w:t>
      </w:r>
      <w:r w:rsidRPr="008D3E71">
        <w:rPr>
          <w:rFonts w:eastAsia="Times New Roman"/>
          <w:b/>
          <w:bCs/>
          <w:rtl/>
          <w:lang w:eastAsia="de-DE"/>
        </w:rPr>
        <w:t>עַל־כֵּן</w:t>
      </w:r>
      <w:r w:rsidRPr="008D3E71">
        <w:rPr>
          <w:rFonts w:eastAsia="Times New Roman"/>
          <w:rtl/>
          <w:lang w:eastAsia="de-DE"/>
        </w:rPr>
        <w:t xml:space="preserve"> </w:t>
      </w:r>
      <w:r w:rsidRPr="008D3E71">
        <w:rPr>
          <w:rFonts w:eastAsia="Times New Roman"/>
          <w:lang w:eastAsia="de-DE"/>
        </w:rPr>
        <w:t xml:space="preserve">als kausale Formel („darum, deshalb"), </w:t>
      </w:r>
      <w:r w:rsidRPr="008D3E71">
        <w:rPr>
          <w:rFonts w:eastAsia="Times New Roman"/>
          <w:b/>
          <w:bCs/>
          <w:rtl/>
          <w:lang w:eastAsia="de-DE"/>
        </w:rPr>
        <w:t>צִוְּךָ</w:t>
      </w:r>
      <w:r w:rsidRPr="008D3E71">
        <w:rPr>
          <w:rFonts w:eastAsia="Times New Roman"/>
          <w:rtl/>
          <w:lang w:eastAsia="de-DE"/>
        </w:rPr>
        <w:t xml:space="preserve"> </w:t>
      </w:r>
      <w:r w:rsidRPr="008D3E71">
        <w:rPr>
          <w:rFonts w:eastAsia="Times New Roman"/>
          <w:lang w:eastAsia="de-DE"/>
        </w:rPr>
        <w:t xml:space="preserve">als Piel Perfekt, 3. Person Singular maskulin von </w:t>
      </w:r>
      <w:r w:rsidRPr="008D3E71">
        <w:rPr>
          <w:rFonts w:eastAsia="Times New Roman"/>
          <w:b/>
          <w:bCs/>
          <w:rtl/>
          <w:lang w:eastAsia="de-DE"/>
        </w:rPr>
        <w:t>צוה</w:t>
      </w:r>
      <w:r w:rsidRPr="008D3E71">
        <w:rPr>
          <w:rFonts w:eastAsia="Times New Roman"/>
          <w:rtl/>
          <w:lang w:eastAsia="de-DE"/>
        </w:rPr>
        <w:t xml:space="preserve"> </w:t>
      </w:r>
      <w:r w:rsidRPr="008D3E71">
        <w:rPr>
          <w:rFonts w:eastAsia="Times New Roman"/>
          <w:lang w:eastAsia="de-DE"/>
        </w:rPr>
        <w:t xml:space="preserve">mit Suffix 2. Person Singular maskulin, </w:t>
      </w:r>
      <w:r w:rsidRPr="008D3E71">
        <w:rPr>
          <w:rFonts w:eastAsia="Times New Roman"/>
          <w:b/>
          <w:bCs/>
          <w:rtl/>
          <w:lang w:eastAsia="de-DE"/>
        </w:rPr>
        <w:t>יְהוָה אֱלֹהֶיךָ</w:t>
      </w:r>
      <w:r w:rsidRPr="008D3E71">
        <w:rPr>
          <w:rFonts w:eastAsia="Times New Roman"/>
          <w:rtl/>
          <w:lang w:eastAsia="de-DE"/>
        </w:rPr>
        <w:t xml:space="preserve"> </w:t>
      </w:r>
      <w:r w:rsidRPr="008D3E71">
        <w:rPr>
          <w:rFonts w:eastAsia="Times New Roman"/>
          <w:lang w:eastAsia="de-DE"/>
        </w:rPr>
        <w:t xml:space="preserve">als erweitertes Subjekt, </w:t>
      </w:r>
      <w:r w:rsidRPr="008D3E71">
        <w:rPr>
          <w:rFonts w:eastAsia="Times New Roman"/>
          <w:b/>
          <w:bCs/>
          <w:rtl/>
          <w:lang w:eastAsia="de-DE"/>
        </w:rPr>
        <w:t>לַעֲשׂוֹת אֶת־יוֹם הַשַּׁבָּת</w:t>
      </w:r>
      <w:r w:rsidRPr="008D3E71">
        <w:rPr>
          <w:rFonts w:eastAsia="Times New Roman"/>
          <w:rtl/>
          <w:lang w:eastAsia="de-DE"/>
        </w:rPr>
        <w:t xml:space="preserve"> </w:t>
      </w:r>
      <w:r w:rsidRPr="008D3E71">
        <w:rPr>
          <w:rFonts w:eastAsia="Times New Roman"/>
          <w:lang w:eastAsia="de-DE"/>
        </w:rPr>
        <w:t xml:space="preserve">als Qal Infinitiv Construct von </w:t>
      </w:r>
      <w:r w:rsidRPr="008D3E71">
        <w:rPr>
          <w:rFonts w:eastAsia="Times New Roman"/>
          <w:b/>
          <w:bCs/>
          <w:rtl/>
          <w:lang w:eastAsia="de-DE"/>
        </w:rPr>
        <w:t>עשׂה</w:t>
      </w:r>
      <w:r w:rsidRPr="008D3E71">
        <w:rPr>
          <w:rFonts w:eastAsia="Times New Roman"/>
          <w:rtl/>
          <w:lang w:eastAsia="de-DE"/>
        </w:rPr>
        <w:t xml:space="preserve"> </w:t>
      </w:r>
      <w:r w:rsidRPr="008D3E71">
        <w:rPr>
          <w:rFonts w:eastAsia="Times New Roman"/>
          <w:lang w:eastAsia="de-DE"/>
        </w:rPr>
        <w:t xml:space="preserve">(„tun, halten") mit </w:t>
      </w:r>
      <w:r w:rsidRPr="008D3E71">
        <w:rPr>
          <w:rFonts w:eastAsia="Times New Roman"/>
          <w:b/>
          <w:bCs/>
          <w:rtl/>
          <w:lang w:eastAsia="de-DE"/>
        </w:rPr>
        <w:t>לְ</w:t>
      </w:r>
      <w:r w:rsidRPr="008D3E71">
        <w:rPr>
          <w:rFonts w:eastAsia="Times New Roman"/>
          <w:rtl/>
          <w:lang w:eastAsia="de-DE"/>
        </w:rPr>
        <w:t xml:space="preserve"> </w:t>
      </w:r>
      <w:r w:rsidRPr="008D3E71">
        <w:rPr>
          <w:rFonts w:eastAsia="Times New Roman"/>
          <w:lang w:eastAsia="de-DE"/>
        </w:rPr>
        <w:t>und direktem Objekt.</w:t>
      </w:r>
    </w:p>
    <w:p w14:paraId="69EA226B"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Dies ist die entscheidende Differenz zur </w:t>
      </w:r>
      <w:proofErr w:type="spellStart"/>
      <w:r w:rsidRPr="008D3E71">
        <w:rPr>
          <w:rFonts w:eastAsia="Times New Roman"/>
          <w:lang w:eastAsia="de-DE"/>
        </w:rPr>
        <w:t>Exodusversion</w:t>
      </w:r>
      <w:proofErr w:type="spellEnd"/>
      <w:r w:rsidRPr="008D3E71">
        <w:rPr>
          <w:rFonts w:eastAsia="Times New Roman"/>
          <w:lang w:eastAsia="de-DE"/>
        </w:rPr>
        <w:t xml:space="preserve"> (Ex 20,11): Dort ist die Schöpfung die Begründung für den Sabbat, hier ist es die Befreiung aus Ägypten. Die deuteronomische Begründung betont die soziale Dimension: Weil Israel selbst Sklaverei erlebt hat und befreit wurde, soll es auch seinen Abhängigen Ruhe gewähren. Die Formel </w:t>
      </w:r>
      <w:r w:rsidRPr="008D3E71">
        <w:rPr>
          <w:rFonts w:eastAsia="Times New Roman"/>
          <w:b/>
          <w:bCs/>
          <w:rtl/>
          <w:lang w:eastAsia="de-DE"/>
        </w:rPr>
        <w:t>בְּיָד חֲזָקָה וּבִזְרֹעַ נְטוּיָה</w:t>
      </w:r>
      <w:r w:rsidRPr="008D3E71">
        <w:rPr>
          <w:rFonts w:eastAsia="Times New Roman"/>
          <w:rtl/>
          <w:lang w:eastAsia="de-DE"/>
        </w:rPr>
        <w:t xml:space="preserve"> </w:t>
      </w:r>
      <w:r w:rsidRPr="008D3E71">
        <w:rPr>
          <w:rFonts w:eastAsia="Times New Roman"/>
          <w:lang w:eastAsia="de-DE"/>
        </w:rPr>
        <w:t>ist typisch deuteronomisch (vgl. 4,34; 7,19; 11,2; 26,8).</w:t>
      </w:r>
    </w:p>
    <w:p w14:paraId="56376445" w14:textId="77777777" w:rsidR="008D3E71" w:rsidRPr="008D3E71" w:rsidRDefault="008D3E71" w:rsidP="008D3E71">
      <w:pPr>
        <w:spacing w:before="100" w:beforeAutospacing="1" w:after="100" w:afterAutospacing="1" w:line="240" w:lineRule="auto"/>
        <w:rPr>
          <w:rFonts w:eastAsia="Times New Roman"/>
          <w:lang w:eastAsia="de-DE"/>
        </w:rPr>
      </w:pPr>
      <w:r w:rsidRPr="008D3E71">
        <w:rPr>
          <w:rFonts w:eastAsia="Times New Roman"/>
          <w:lang w:eastAsia="de-DE"/>
        </w:rPr>
        <w:t xml:space="preserve">Die Satzstruktur ist ein Perfekt consecutivum mit </w:t>
      </w:r>
      <w:r w:rsidRPr="008D3E71">
        <w:rPr>
          <w:rFonts w:eastAsia="Times New Roman"/>
          <w:b/>
          <w:bCs/>
          <w:rtl/>
          <w:lang w:eastAsia="de-DE"/>
        </w:rPr>
        <w:t>כִּי</w:t>
      </w:r>
      <w:r w:rsidRPr="008D3E71">
        <w:rPr>
          <w:rFonts w:eastAsia="Times New Roman"/>
          <w:lang w:eastAsia="de-DE"/>
        </w:rPr>
        <w:t xml:space="preserve">-Objektsatz (nominaler Satz mit Prädikatsnomen, Kopula und Ortsangabe), ein koordinierter Hauptsatz mit Prädikat und </w:t>
      </w:r>
      <w:r w:rsidRPr="008D3E71">
        <w:rPr>
          <w:rFonts w:eastAsia="Times New Roman"/>
          <w:lang w:eastAsia="de-DE"/>
        </w:rPr>
        <w:lastRenderedPageBreak/>
        <w:t>Suffix-Objekt, erweitertem Subjekt, Herkunftsangabe und zweigliedriger modaler Bestimmung, und ein Schlusssatz mit kausaler Einleitung, Prädikat mit Suffix, erweitertem Subjekt und finalem Infinitiv mit direktem Objekt. Die Struktur verknüpft die Erinnerung an die Sklaverei mit der Begründung des Sabbatgebots.</w:t>
      </w:r>
    </w:p>
    <w:p w14:paraId="22B5E44F" w14:textId="77777777" w:rsidR="0054771B" w:rsidRPr="0054771B" w:rsidRDefault="0054771B" w:rsidP="0054771B">
      <w:pPr>
        <w:spacing w:before="100" w:beforeAutospacing="1" w:after="100" w:afterAutospacing="1" w:line="240" w:lineRule="auto"/>
        <w:outlineLvl w:val="1"/>
        <w:rPr>
          <w:rFonts w:eastAsia="Times New Roman"/>
          <w:b/>
          <w:bCs/>
          <w:sz w:val="36"/>
          <w:szCs w:val="36"/>
          <w:lang w:eastAsia="de-DE"/>
        </w:rPr>
      </w:pPr>
      <w:r w:rsidRPr="0054771B">
        <w:rPr>
          <w:rFonts w:eastAsia="Times New Roman"/>
          <w:b/>
          <w:bCs/>
          <w:sz w:val="36"/>
          <w:szCs w:val="36"/>
          <w:lang w:eastAsia="de-DE"/>
        </w:rPr>
        <w:t>Deuteronomium 5,16</w:t>
      </w:r>
    </w:p>
    <w:p w14:paraId="3704716F"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Hebräisch:</w:t>
      </w:r>
      <w:r w:rsidRPr="0054771B">
        <w:rPr>
          <w:rFonts w:eastAsia="Times New Roman"/>
          <w:lang w:eastAsia="de-DE"/>
        </w:rPr>
        <w:t xml:space="preserve"> </w:t>
      </w:r>
      <w:r w:rsidRPr="0054771B">
        <w:rPr>
          <w:rFonts w:eastAsia="Times New Roman"/>
          <w:rtl/>
          <w:lang w:eastAsia="de-DE"/>
        </w:rPr>
        <w:t>כַּבֵּד אֶת־אָבִיךָ וְאֶת־אִמֶּךָ כַּאֲשֶׁר צִוְּךָ יְהוָה אֱלֹהֶיךָ לְמַעַן יַאֲרִיכֻן יָמֶיךָ וּלְמַעַן יִיטַב לָךְ עַל הָאֲדָמָה אֲשֶׁר־יְהוָה אֱלֹהֶיךָ נֹתֵן לָךְ׃</w:t>
      </w:r>
    </w:p>
    <w:p w14:paraId="408074C8"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Deutsch:</w:t>
      </w:r>
      <w:r w:rsidRPr="0054771B">
        <w:rPr>
          <w:rFonts w:eastAsia="Times New Roman"/>
          <w:lang w:eastAsia="de-DE"/>
        </w:rPr>
        <w:t xml:space="preserve"> Ehre deinen Vater und deine Mutter, wie der Ewige, dein Gott, dir geboten hat, damit deine Tage lang werden und damit es dir wohlergehe auf dem Erdboden, den der Ewige, dein Gott, dir gebend ist.</w:t>
      </w:r>
    </w:p>
    <w:p w14:paraId="1B0D051C" w14:textId="77777777" w:rsidR="0054771B" w:rsidRPr="0054771B" w:rsidRDefault="004F5CEB" w:rsidP="0054771B">
      <w:pPr>
        <w:spacing w:after="0" w:line="240" w:lineRule="auto"/>
        <w:rPr>
          <w:rFonts w:eastAsia="Times New Roman"/>
          <w:lang w:eastAsia="de-DE"/>
        </w:rPr>
      </w:pPr>
      <w:r>
        <w:rPr>
          <w:rFonts w:eastAsia="Times New Roman"/>
          <w:noProof/>
          <w:lang w:eastAsia="de-DE"/>
        </w:rPr>
        <w:pict w14:anchorId="16E0D310">
          <v:rect id="_x0000_i1201" style="width:0;height:1.5pt" o:hralign="center" o:hrstd="t" o:hr="t" fillcolor="#a0a0a0" stroked="f"/>
        </w:pict>
      </w:r>
    </w:p>
    <w:p w14:paraId="5D89BE97"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Kommentar:</w:t>
      </w:r>
      <w:r w:rsidRPr="0054771B">
        <w:rPr>
          <w:rFonts w:eastAsia="Times New Roman"/>
          <w:lang w:eastAsia="de-DE"/>
        </w:rPr>
        <w:t xml:space="preserve"> </w:t>
      </w:r>
      <w:r w:rsidRPr="0054771B">
        <w:rPr>
          <w:rFonts w:eastAsia="Times New Roman"/>
          <w:b/>
          <w:bCs/>
          <w:rtl/>
          <w:lang w:eastAsia="de-DE"/>
        </w:rPr>
        <w:t>כַּבֵּד אֶת־אָבִיךָ וְאֶת־אִמֶּךָ</w:t>
      </w:r>
      <w:r w:rsidRPr="0054771B">
        <w:rPr>
          <w:rFonts w:eastAsia="Times New Roman"/>
          <w:rtl/>
          <w:lang w:eastAsia="de-DE"/>
        </w:rPr>
        <w:t xml:space="preserve"> </w:t>
      </w:r>
      <w:r w:rsidRPr="0054771B">
        <w:rPr>
          <w:rFonts w:eastAsia="Times New Roman"/>
          <w:lang w:eastAsia="de-DE"/>
        </w:rPr>
        <w:t xml:space="preserve">ist ein Imperativsatz: </w:t>
      </w:r>
      <w:r w:rsidRPr="0054771B">
        <w:rPr>
          <w:rFonts w:eastAsia="Times New Roman"/>
          <w:b/>
          <w:bCs/>
          <w:rtl/>
          <w:lang w:eastAsia="de-DE"/>
        </w:rPr>
        <w:t>כַּבֵּד</w:t>
      </w:r>
      <w:r w:rsidRPr="0054771B">
        <w:rPr>
          <w:rFonts w:eastAsia="Times New Roman"/>
          <w:rtl/>
          <w:lang w:eastAsia="de-DE"/>
        </w:rPr>
        <w:t xml:space="preserve"> </w:t>
      </w:r>
      <w:r w:rsidRPr="0054771B">
        <w:rPr>
          <w:rFonts w:eastAsia="Times New Roman"/>
          <w:lang w:eastAsia="de-DE"/>
        </w:rPr>
        <w:t xml:space="preserve">als Piel Imperativ, 2. Person Singular maskulin von </w:t>
      </w:r>
      <w:r w:rsidRPr="0054771B">
        <w:rPr>
          <w:rFonts w:eastAsia="Times New Roman"/>
          <w:b/>
          <w:bCs/>
          <w:rtl/>
          <w:lang w:eastAsia="de-DE"/>
        </w:rPr>
        <w:t>כבד</w:t>
      </w:r>
      <w:r w:rsidRPr="0054771B">
        <w:rPr>
          <w:rFonts w:eastAsia="Times New Roman"/>
          <w:rtl/>
          <w:lang w:eastAsia="de-DE"/>
        </w:rPr>
        <w:t xml:space="preserve"> </w:t>
      </w:r>
      <w:r w:rsidRPr="0054771B">
        <w:rPr>
          <w:rFonts w:eastAsia="Times New Roman"/>
          <w:lang w:eastAsia="de-DE"/>
        </w:rPr>
        <w:t xml:space="preserve">(„ehren, schwer machen"), </w:t>
      </w:r>
      <w:r w:rsidRPr="0054771B">
        <w:rPr>
          <w:rFonts w:eastAsia="Times New Roman"/>
          <w:b/>
          <w:bCs/>
          <w:rtl/>
          <w:lang w:eastAsia="de-DE"/>
        </w:rPr>
        <w:t>אֶת־אָבִיךָ וְאֶת־אִמֶּךָ</w:t>
      </w:r>
      <w:r w:rsidRPr="0054771B">
        <w:rPr>
          <w:rFonts w:eastAsia="Times New Roman"/>
          <w:rtl/>
          <w:lang w:eastAsia="de-DE"/>
        </w:rPr>
        <w:t xml:space="preserve"> </w:t>
      </w:r>
      <w:r w:rsidRPr="0054771B">
        <w:rPr>
          <w:rFonts w:eastAsia="Times New Roman"/>
          <w:lang w:eastAsia="de-DE"/>
        </w:rPr>
        <w:t>als zweigliedrige koordinierte Objektkette (</w:t>
      </w:r>
      <w:r w:rsidRPr="0054771B">
        <w:rPr>
          <w:rFonts w:eastAsia="Times New Roman"/>
          <w:b/>
          <w:bCs/>
          <w:rtl/>
          <w:lang w:eastAsia="de-DE"/>
        </w:rPr>
        <w:t>אָב</w:t>
      </w:r>
      <w:r w:rsidRPr="0054771B">
        <w:rPr>
          <w:rFonts w:eastAsia="Times New Roman"/>
          <w:lang w:eastAsia="de-DE"/>
        </w:rPr>
        <w:t xml:space="preserve">, „Vater", mit Suffix 2. Person Singular maskulin, und </w:t>
      </w:r>
      <w:r w:rsidRPr="0054771B">
        <w:rPr>
          <w:rFonts w:eastAsia="Times New Roman"/>
          <w:b/>
          <w:bCs/>
          <w:rtl/>
          <w:lang w:eastAsia="de-DE"/>
        </w:rPr>
        <w:t>אֵם</w:t>
      </w:r>
      <w:r w:rsidRPr="0054771B">
        <w:rPr>
          <w:rFonts w:eastAsia="Times New Roman"/>
          <w:lang w:eastAsia="de-DE"/>
        </w:rPr>
        <w:t>, „Mutter", mit Suffix). Die Piel-Form verleiht dem Verb intensive Bedeutung: „ehren, in Ehren halten".</w:t>
      </w:r>
    </w:p>
    <w:p w14:paraId="08618246" w14:textId="3D708C8C"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rtl/>
          <w:lang w:eastAsia="de-DE"/>
        </w:rPr>
        <w:t>כַּאֲשֶׁר צִוְּךָ יְהוָה אֱלֹהֶיךָ</w:t>
      </w:r>
      <w:r w:rsidRPr="0054771B">
        <w:rPr>
          <w:rFonts w:eastAsia="Times New Roman"/>
          <w:rtl/>
          <w:lang w:eastAsia="de-DE"/>
        </w:rPr>
        <w:t xml:space="preserve"> </w:t>
      </w:r>
      <w:r w:rsidRPr="0054771B">
        <w:rPr>
          <w:rFonts w:eastAsia="Times New Roman"/>
          <w:lang w:eastAsia="de-DE"/>
        </w:rPr>
        <w:t xml:space="preserve">ist ein Vergleichssatz: </w:t>
      </w:r>
      <w:r w:rsidRPr="0054771B">
        <w:rPr>
          <w:rFonts w:eastAsia="Times New Roman"/>
          <w:b/>
          <w:bCs/>
          <w:rtl/>
          <w:lang w:eastAsia="de-DE"/>
        </w:rPr>
        <w:t>כַּאֲשֶׁר</w:t>
      </w:r>
      <w:r w:rsidRPr="0054771B">
        <w:rPr>
          <w:rFonts w:eastAsia="Times New Roman"/>
          <w:rtl/>
          <w:lang w:eastAsia="de-DE"/>
        </w:rPr>
        <w:t xml:space="preserve"> </w:t>
      </w:r>
      <w:r w:rsidR="00D84597">
        <w:rPr>
          <w:rFonts w:eastAsia="Times New Roman"/>
          <w:lang w:eastAsia="de-DE"/>
        </w:rPr>
        <w:t>(„wie, sowie“)</w:t>
      </w:r>
      <w:r w:rsidRPr="0054771B">
        <w:rPr>
          <w:rFonts w:eastAsia="Times New Roman"/>
          <w:lang w:eastAsia="de-DE"/>
        </w:rPr>
        <w:t xml:space="preserve">, </w:t>
      </w:r>
      <w:r w:rsidRPr="0054771B">
        <w:rPr>
          <w:rFonts w:eastAsia="Times New Roman"/>
          <w:b/>
          <w:bCs/>
          <w:rtl/>
          <w:lang w:eastAsia="de-DE"/>
        </w:rPr>
        <w:t>צִוְּךָ</w:t>
      </w:r>
      <w:r w:rsidRPr="0054771B">
        <w:rPr>
          <w:rFonts w:eastAsia="Times New Roman"/>
          <w:rtl/>
          <w:lang w:eastAsia="de-DE"/>
        </w:rPr>
        <w:t xml:space="preserve"> </w:t>
      </w:r>
      <w:r w:rsidRPr="0054771B">
        <w:rPr>
          <w:rFonts w:eastAsia="Times New Roman"/>
          <w:lang w:eastAsia="de-DE"/>
        </w:rPr>
        <w:t xml:space="preserve">als Piel Perfekt, 3. Person Singular maskulin von </w:t>
      </w:r>
      <w:r w:rsidRPr="0054771B">
        <w:rPr>
          <w:rFonts w:eastAsia="Times New Roman"/>
          <w:b/>
          <w:bCs/>
          <w:rtl/>
          <w:lang w:eastAsia="de-DE"/>
        </w:rPr>
        <w:t>צוה</w:t>
      </w:r>
      <w:r w:rsidRPr="0054771B">
        <w:rPr>
          <w:rFonts w:eastAsia="Times New Roman"/>
          <w:rtl/>
          <w:lang w:eastAsia="de-DE"/>
        </w:rPr>
        <w:t xml:space="preserve"> </w:t>
      </w:r>
      <w:r w:rsidRPr="0054771B">
        <w:rPr>
          <w:rFonts w:eastAsia="Times New Roman"/>
          <w:lang w:eastAsia="de-DE"/>
        </w:rPr>
        <w:t xml:space="preserve">mit Suffix 2. Person Singular maskulin, </w:t>
      </w:r>
      <w:r w:rsidRPr="0054771B">
        <w:rPr>
          <w:rFonts w:eastAsia="Times New Roman"/>
          <w:b/>
          <w:bCs/>
          <w:rtl/>
          <w:lang w:eastAsia="de-DE"/>
        </w:rPr>
        <w:t>יְהוָה אֱלֹהֶיךָ</w:t>
      </w:r>
      <w:r w:rsidRPr="0054771B">
        <w:rPr>
          <w:rFonts w:eastAsia="Times New Roman"/>
          <w:rtl/>
          <w:lang w:eastAsia="de-DE"/>
        </w:rPr>
        <w:t xml:space="preserve"> </w:t>
      </w:r>
      <w:r w:rsidRPr="0054771B">
        <w:rPr>
          <w:rFonts w:eastAsia="Times New Roman"/>
          <w:lang w:eastAsia="de-DE"/>
        </w:rPr>
        <w:t>als erweitertes Subjekt. Diese Formel verweist auf eine frühere Gebotsmitteilung (vgl. V. 12).</w:t>
      </w:r>
    </w:p>
    <w:p w14:paraId="1FCF5B9F"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rtl/>
          <w:lang w:eastAsia="de-DE"/>
        </w:rPr>
        <w:t>לְמַעַן יַאֲרִיכֻן יָמֶיךָ וּלְמַעַן יִיטַב לָךְ עַל הָאֲדָמָה</w:t>
      </w:r>
      <w:r w:rsidRPr="0054771B">
        <w:rPr>
          <w:rFonts w:eastAsia="Times New Roman"/>
          <w:rtl/>
          <w:lang w:eastAsia="de-DE"/>
        </w:rPr>
        <w:t xml:space="preserve"> </w:t>
      </w:r>
      <w:r w:rsidRPr="0054771B">
        <w:rPr>
          <w:rFonts w:eastAsia="Times New Roman"/>
          <w:lang w:eastAsia="de-DE"/>
        </w:rPr>
        <w:t xml:space="preserve">besteht aus zwei koordinierten finalen Konstruktionen: </w:t>
      </w:r>
      <w:r w:rsidRPr="0054771B">
        <w:rPr>
          <w:rFonts w:eastAsia="Times New Roman"/>
          <w:b/>
          <w:bCs/>
          <w:rtl/>
          <w:lang w:eastAsia="de-DE"/>
        </w:rPr>
        <w:t>לְמַעַן יַאֲרִיכֻן יָמֶיךָ</w:t>
      </w:r>
      <w:r w:rsidRPr="0054771B">
        <w:rPr>
          <w:rFonts w:eastAsia="Times New Roman"/>
          <w:rtl/>
          <w:lang w:eastAsia="de-DE"/>
        </w:rPr>
        <w:t xml:space="preserve"> </w:t>
      </w:r>
      <w:r w:rsidRPr="0054771B">
        <w:rPr>
          <w:rFonts w:eastAsia="Times New Roman"/>
          <w:lang w:eastAsia="de-DE"/>
        </w:rPr>
        <w:t>(</w:t>
      </w:r>
      <w:r w:rsidRPr="0054771B">
        <w:rPr>
          <w:rFonts w:eastAsia="Times New Roman"/>
          <w:b/>
          <w:bCs/>
          <w:rtl/>
          <w:lang w:eastAsia="de-DE"/>
        </w:rPr>
        <w:t>לְמַעַן</w:t>
      </w:r>
      <w:r w:rsidRPr="0054771B">
        <w:rPr>
          <w:rFonts w:eastAsia="Times New Roman"/>
          <w:lang w:eastAsia="de-DE"/>
        </w:rPr>
        <w:t xml:space="preserve">, „damit", mit </w:t>
      </w:r>
      <w:r w:rsidRPr="0054771B">
        <w:rPr>
          <w:rFonts w:eastAsia="Times New Roman"/>
          <w:b/>
          <w:bCs/>
          <w:rtl/>
          <w:lang w:eastAsia="de-DE"/>
        </w:rPr>
        <w:t>יַאֲרִיכֻן</w:t>
      </w:r>
      <w:r w:rsidRPr="0054771B">
        <w:rPr>
          <w:rFonts w:eastAsia="Times New Roman"/>
          <w:lang w:eastAsia="de-DE"/>
        </w:rPr>
        <w:t xml:space="preserve">, Hifil Imperfekt, 3. Person Plural maskulin von </w:t>
      </w:r>
      <w:r w:rsidRPr="0054771B">
        <w:rPr>
          <w:rFonts w:eastAsia="Times New Roman"/>
          <w:b/>
          <w:bCs/>
          <w:rtl/>
          <w:lang w:eastAsia="de-DE"/>
        </w:rPr>
        <w:t>ארך</w:t>
      </w:r>
      <w:r w:rsidRPr="0054771B">
        <w:rPr>
          <w:rFonts w:eastAsia="Times New Roman"/>
          <w:lang w:eastAsia="de-DE"/>
        </w:rPr>
        <w:t xml:space="preserve">, „lang machen, verlängern", mit paragogischem Nun – unpersönlich „damit lang werden", </w:t>
      </w:r>
      <w:r w:rsidRPr="0054771B">
        <w:rPr>
          <w:rFonts w:eastAsia="Times New Roman"/>
          <w:b/>
          <w:bCs/>
          <w:rtl/>
          <w:lang w:eastAsia="de-DE"/>
        </w:rPr>
        <w:t>יָמֶיךָ</w:t>
      </w:r>
      <w:r w:rsidRPr="0054771B">
        <w:rPr>
          <w:rFonts w:eastAsia="Times New Roman"/>
          <w:rtl/>
          <w:lang w:eastAsia="de-DE"/>
        </w:rPr>
        <w:t xml:space="preserve"> </w:t>
      </w:r>
      <w:r w:rsidRPr="0054771B">
        <w:rPr>
          <w:rFonts w:eastAsia="Times New Roman"/>
          <w:lang w:eastAsia="de-DE"/>
        </w:rPr>
        <w:t xml:space="preserve">als Subjekt mit Suffix – „deine Tage"), </w:t>
      </w:r>
      <w:r w:rsidRPr="0054771B">
        <w:rPr>
          <w:rFonts w:eastAsia="Times New Roman"/>
          <w:b/>
          <w:bCs/>
          <w:rtl/>
          <w:lang w:eastAsia="de-DE"/>
        </w:rPr>
        <w:t>וּלְמַעַן יִיטַב לָךְ</w:t>
      </w:r>
      <w:r w:rsidRPr="0054771B">
        <w:rPr>
          <w:rFonts w:eastAsia="Times New Roman"/>
          <w:rtl/>
          <w:lang w:eastAsia="de-DE"/>
        </w:rPr>
        <w:t xml:space="preserve"> </w:t>
      </w:r>
      <w:r w:rsidRPr="0054771B">
        <w:rPr>
          <w:rFonts w:eastAsia="Times New Roman"/>
          <w:lang w:eastAsia="de-DE"/>
        </w:rPr>
        <w:t>koordiniert (</w:t>
      </w:r>
      <w:r w:rsidRPr="0054771B">
        <w:rPr>
          <w:rFonts w:eastAsia="Times New Roman"/>
          <w:b/>
          <w:bCs/>
          <w:rtl/>
          <w:lang w:eastAsia="de-DE"/>
        </w:rPr>
        <w:t>וְ</w:t>
      </w:r>
      <w:r w:rsidRPr="0054771B">
        <w:rPr>
          <w:rFonts w:eastAsia="Times New Roman"/>
          <w:rtl/>
          <w:lang w:eastAsia="de-DE"/>
        </w:rPr>
        <w:t xml:space="preserve"> </w:t>
      </w:r>
      <w:r w:rsidRPr="0054771B">
        <w:rPr>
          <w:rFonts w:eastAsia="Times New Roman"/>
          <w:lang w:eastAsia="de-DE"/>
        </w:rPr>
        <w:t xml:space="preserve">mit </w:t>
      </w:r>
      <w:r w:rsidRPr="0054771B">
        <w:rPr>
          <w:rFonts w:eastAsia="Times New Roman"/>
          <w:b/>
          <w:bCs/>
          <w:rtl/>
          <w:lang w:eastAsia="de-DE"/>
        </w:rPr>
        <w:t>לְמַעַן</w:t>
      </w:r>
      <w:r w:rsidRPr="0054771B">
        <w:rPr>
          <w:rFonts w:eastAsia="Times New Roman"/>
          <w:lang w:eastAsia="de-DE"/>
        </w:rPr>
        <w:t xml:space="preserve">, </w:t>
      </w:r>
      <w:r w:rsidRPr="0054771B">
        <w:rPr>
          <w:rFonts w:eastAsia="Times New Roman"/>
          <w:b/>
          <w:bCs/>
          <w:rtl/>
          <w:lang w:eastAsia="de-DE"/>
        </w:rPr>
        <w:t>יִיטַב</w:t>
      </w:r>
      <w:r w:rsidRPr="0054771B">
        <w:rPr>
          <w:rFonts w:eastAsia="Times New Roman"/>
          <w:rtl/>
          <w:lang w:eastAsia="de-DE"/>
        </w:rPr>
        <w:t xml:space="preserve"> </w:t>
      </w:r>
      <w:r w:rsidRPr="0054771B">
        <w:rPr>
          <w:rFonts w:eastAsia="Times New Roman"/>
          <w:lang w:eastAsia="de-DE"/>
        </w:rPr>
        <w:t xml:space="preserve">als Qal Imperfekt, 3. Person Singular maskulin von </w:t>
      </w:r>
      <w:r w:rsidRPr="0054771B">
        <w:rPr>
          <w:rFonts w:eastAsia="Times New Roman"/>
          <w:b/>
          <w:bCs/>
          <w:rtl/>
          <w:lang w:eastAsia="de-DE"/>
        </w:rPr>
        <w:t>יטב</w:t>
      </w:r>
      <w:r w:rsidRPr="0054771B">
        <w:rPr>
          <w:rFonts w:eastAsia="Times New Roman"/>
          <w:lang w:eastAsia="de-DE"/>
        </w:rPr>
        <w:t xml:space="preserve">, „gut sein, gut gehen", </w:t>
      </w:r>
      <w:r w:rsidRPr="0054771B">
        <w:rPr>
          <w:rFonts w:eastAsia="Times New Roman"/>
          <w:b/>
          <w:bCs/>
          <w:rtl/>
          <w:lang w:eastAsia="de-DE"/>
        </w:rPr>
        <w:t>לָךְ</w:t>
      </w:r>
      <w:r w:rsidRPr="0054771B">
        <w:rPr>
          <w:rFonts w:eastAsia="Times New Roman"/>
          <w:rtl/>
          <w:lang w:eastAsia="de-DE"/>
        </w:rPr>
        <w:t xml:space="preserve"> </w:t>
      </w:r>
      <w:r w:rsidRPr="0054771B">
        <w:rPr>
          <w:rFonts w:eastAsia="Times New Roman"/>
          <w:lang w:eastAsia="de-DE"/>
        </w:rPr>
        <w:t xml:space="preserve">als Dativ), </w:t>
      </w:r>
      <w:r w:rsidRPr="0054771B">
        <w:rPr>
          <w:rFonts w:eastAsia="Times New Roman"/>
          <w:b/>
          <w:bCs/>
          <w:rtl/>
          <w:lang w:eastAsia="de-DE"/>
        </w:rPr>
        <w:t>עַל הָאֲדָמָה</w:t>
      </w:r>
      <w:r w:rsidRPr="0054771B">
        <w:rPr>
          <w:rFonts w:eastAsia="Times New Roman"/>
          <w:rtl/>
          <w:lang w:eastAsia="de-DE"/>
        </w:rPr>
        <w:t xml:space="preserve"> </w:t>
      </w:r>
      <w:r w:rsidRPr="0054771B">
        <w:rPr>
          <w:rFonts w:eastAsia="Times New Roman"/>
          <w:lang w:eastAsia="de-DE"/>
        </w:rPr>
        <w:t>als Ortsangabe.</w:t>
      </w:r>
    </w:p>
    <w:p w14:paraId="70FAB255"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rtl/>
          <w:lang w:eastAsia="de-DE"/>
        </w:rPr>
        <w:t>אֲשֶׁר־יְהוָה אֱלֹהֶיךָ נֹתֵן לָךְ</w:t>
      </w:r>
      <w:r w:rsidRPr="0054771B">
        <w:rPr>
          <w:rFonts w:eastAsia="Times New Roman"/>
          <w:rtl/>
          <w:lang w:eastAsia="de-DE"/>
        </w:rPr>
        <w:t xml:space="preserve"> </w:t>
      </w:r>
      <w:r w:rsidRPr="0054771B">
        <w:rPr>
          <w:rFonts w:eastAsia="Times New Roman"/>
          <w:lang w:eastAsia="de-DE"/>
        </w:rPr>
        <w:t xml:space="preserve">ist ein Relativsatz: </w:t>
      </w:r>
      <w:r w:rsidRPr="0054771B">
        <w:rPr>
          <w:rFonts w:eastAsia="Times New Roman"/>
          <w:b/>
          <w:bCs/>
          <w:rtl/>
          <w:lang w:eastAsia="de-DE"/>
        </w:rPr>
        <w:t>אֲשֶׁר</w:t>
      </w:r>
      <w:r w:rsidRPr="0054771B">
        <w:rPr>
          <w:rFonts w:eastAsia="Times New Roman"/>
          <w:rtl/>
          <w:lang w:eastAsia="de-DE"/>
        </w:rPr>
        <w:t xml:space="preserve"> </w:t>
      </w:r>
      <w:r w:rsidRPr="0054771B">
        <w:rPr>
          <w:rFonts w:eastAsia="Times New Roman"/>
          <w:lang w:eastAsia="de-DE"/>
        </w:rPr>
        <w:t xml:space="preserve">als Relativpronomen, </w:t>
      </w:r>
      <w:r w:rsidRPr="0054771B">
        <w:rPr>
          <w:rFonts w:eastAsia="Times New Roman"/>
          <w:b/>
          <w:bCs/>
          <w:rtl/>
          <w:lang w:eastAsia="de-DE"/>
        </w:rPr>
        <w:t>יְהוָה אֱלֹהֶיךָ</w:t>
      </w:r>
      <w:r w:rsidRPr="0054771B">
        <w:rPr>
          <w:rFonts w:eastAsia="Times New Roman"/>
          <w:rtl/>
          <w:lang w:eastAsia="de-DE"/>
        </w:rPr>
        <w:t xml:space="preserve"> </w:t>
      </w:r>
      <w:r w:rsidRPr="0054771B">
        <w:rPr>
          <w:rFonts w:eastAsia="Times New Roman"/>
          <w:lang w:eastAsia="de-DE"/>
        </w:rPr>
        <w:t xml:space="preserve">als erweitertes Subjekt, </w:t>
      </w:r>
      <w:r w:rsidRPr="0054771B">
        <w:rPr>
          <w:rFonts w:eastAsia="Times New Roman"/>
          <w:b/>
          <w:bCs/>
          <w:rtl/>
          <w:lang w:eastAsia="de-DE"/>
        </w:rPr>
        <w:t>נֹתֵן</w:t>
      </w:r>
      <w:r w:rsidRPr="0054771B">
        <w:rPr>
          <w:rFonts w:eastAsia="Times New Roman"/>
          <w:rtl/>
          <w:lang w:eastAsia="de-DE"/>
        </w:rPr>
        <w:t xml:space="preserve"> </w:t>
      </w:r>
      <w:r w:rsidRPr="0054771B">
        <w:rPr>
          <w:rFonts w:eastAsia="Times New Roman"/>
          <w:lang w:eastAsia="de-DE"/>
        </w:rPr>
        <w:t xml:space="preserve">als Qal Partizip Singular maskulin von </w:t>
      </w:r>
      <w:r w:rsidRPr="0054771B">
        <w:rPr>
          <w:rFonts w:eastAsia="Times New Roman"/>
          <w:b/>
          <w:bCs/>
          <w:rtl/>
          <w:lang w:eastAsia="de-DE"/>
        </w:rPr>
        <w:t>נתן</w:t>
      </w:r>
      <w:r w:rsidRPr="0054771B">
        <w:rPr>
          <w:rFonts w:eastAsia="Times New Roman"/>
          <w:rtl/>
          <w:lang w:eastAsia="de-DE"/>
        </w:rPr>
        <w:t xml:space="preserve"> </w:t>
      </w:r>
      <w:r w:rsidRPr="0054771B">
        <w:rPr>
          <w:rFonts w:eastAsia="Times New Roman"/>
          <w:lang w:eastAsia="de-DE"/>
        </w:rPr>
        <w:t xml:space="preserve">(„geben"), </w:t>
      </w:r>
      <w:r w:rsidRPr="0054771B">
        <w:rPr>
          <w:rFonts w:eastAsia="Times New Roman"/>
          <w:b/>
          <w:bCs/>
          <w:rtl/>
          <w:lang w:eastAsia="de-DE"/>
        </w:rPr>
        <w:t>לָךְ</w:t>
      </w:r>
      <w:r w:rsidRPr="0054771B">
        <w:rPr>
          <w:rFonts w:eastAsia="Times New Roman"/>
          <w:rtl/>
          <w:lang w:eastAsia="de-DE"/>
        </w:rPr>
        <w:t xml:space="preserve"> </w:t>
      </w:r>
      <w:r w:rsidRPr="0054771B">
        <w:rPr>
          <w:rFonts w:eastAsia="Times New Roman"/>
          <w:lang w:eastAsia="de-DE"/>
        </w:rPr>
        <w:t>als indirektes Objekt.</w:t>
      </w:r>
    </w:p>
    <w:p w14:paraId="5C986355"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 xml:space="preserve">Der Unterschied zur </w:t>
      </w:r>
      <w:proofErr w:type="spellStart"/>
      <w:r w:rsidRPr="0054771B">
        <w:rPr>
          <w:rFonts w:eastAsia="Times New Roman"/>
          <w:lang w:eastAsia="de-DE"/>
        </w:rPr>
        <w:t>Exodusversion</w:t>
      </w:r>
      <w:proofErr w:type="spellEnd"/>
      <w:r w:rsidRPr="0054771B">
        <w:rPr>
          <w:rFonts w:eastAsia="Times New Roman"/>
          <w:lang w:eastAsia="de-DE"/>
        </w:rPr>
        <w:t xml:space="preserve"> (Ex 20,12) besteht in der Hinzufügung von </w:t>
      </w:r>
      <w:r w:rsidRPr="0054771B">
        <w:rPr>
          <w:rFonts w:eastAsia="Times New Roman"/>
          <w:b/>
          <w:bCs/>
          <w:rtl/>
          <w:lang w:eastAsia="de-DE"/>
        </w:rPr>
        <w:t>כַּאֲשֶׁר צִוְּךָ יְהוָה אֱלֹהֶיךָ</w:t>
      </w:r>
      <w:r w:rsidRPr="0054771B">
        <w:rPr>
          <w:rFonts w:eastAsia="Times New Roman"/>
          <w:rtl/>
          <w:lang w:eastAsia="de-DE"/>
        </w:rPr>
        <w:t xml:space="preserve"> </w:t>
      </w:r>
      <w:r w:rsidRPr="0054771B">
        <w:rPr>
          <w:rFonts w:eastAsia="Times New Roman"/>
          <w:lang w:eastAsia="de-DE"/>
        </w:rPr>
        <w:t xml:space="preserve">und der erweiterten Segensverheißung </w:t>
      </w:r>
      <w:r w:rsidRPr="0054771B">
        <w:rPr>
          <w:rFonts w:eastAsia="Times New Roman"/>
          <w:b/>
          <w:bCs/>
          <w:rtl/>
          <w:lang w:eastAsia="de-DE"/>
        </w:rPr>
        <w:t>וּלְמַעַן יִיטַב לָךְ</w:t>
      </w:r>
      <w:r w:rsidRPr="0054771B">
        <w:rPr>
          <w:rFonts w:eastAsia="Times New Roman"/>
          <w:lang w:eastAsia="de-DE"/>
        </w:rPr>
        <w:t>. Die doppelte finale Konstruktion (</w:t>
      </w:r>
      <w:r w:rsidRPr="0054771B">
        <w:rPr>
          <w:rFonts w:eastAsia="Times New Roman"/>
          <w:b/>
          <w:bCs/>
          <w:rtl/>
          <w:lang w:eastAsia="de-DE"/>
        </w:rPr>
        <w:t>לְמַעַן... וּלְמַעַן</w:t>
      </w:r>
      <w:r w:rsidRPr="0054771B">
        <w:rPr>
          <w:rFonts w:eastAsia="Times New Roman"/>
          <w:lang w:eastAsia="de-DE"/>
        </w:rPr>
        <w:t xml:space="preserve">) betont die zweifache Segensfolge: langes Leben und Wohlergehen. Die Wendung </w:t>
      </w:r>
      <w:r w:rsidRPr="0054771B">
        <w:rPr>
          <w:rFonts w:eastAsia="Times New Roman"/>
          <w:b/>
          <w:bCs/>
          <w:rtl/>
          <w:lang w:eastAsia="de-DE"/>
        </w:rPr>
        <w:t>על הָאֲדָמָה</w:t>
      </w:r>
      <w:r w:rsidRPr="0054771B">
        <w:rPr>
          <w:rFonts w:eastAsia="Times New Roman"/>
          <w:rtl/>
          <w:lang w:eastAsia="de-DE"/>
        </w:rPr>
        <w:t xml:space="preserve"> </w:t>
      </w:r>
      <w:r w:rsidRPr="0054771B">
        <w:rPr>
          <w:rFonts w:eastAsia="Times New Roman"/>
          <w:lang w:eastAsia="de-DE"/>
        </w:rPr>
        <w:t>(„auf dem Erdboden") betont den Zusammenhang mit dem verheißenen Land.</w:t>
      </w:r>
    </w:p>
    <w:p w14:paraId="5D27A8D7"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 xml:space="preserve">Die Satzstruktur ist ein Piel-Imperativ mit zweigliedriger koordinierter Objektkette, einem Vergleichssatz mit Prädikat und Suffix-Objekt sowie erweitertem Subjekt, zwei koordinierten finalen Konstruktionen (die erste mit Hifil-Imperfekt und Subjekt mit Suffix, die zweite mit Qal-Imperfekt und Dativ) und gemeinsamer Ortsangabe, erweitert durch einen Relativsatz mit </w:t>
      </w:r>
      <w:r w:rsidRPr="0054771B">
        <w:rPr>
          <w:rFonts w:eastAsia="Times New Roman"/>
          <w:lang w:eastAsia="de-DE"/>
        </w:rPr>
        <w:lastRenderedPageBreak/>
        <w:t>partizipialem Prädikat, erweitertem Subjekt und Dativ. Die Struktur verbindet das Gebot mit zweifacher Segensverheißung und Landbezug.</w:t>
      </w:r>
    </w:p>
    <w:p w14:paraId="55852EB3"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Der Vers formuliert das fünfte Gebot: die Ehrung der Eltern, verbunden mit der Verheißung langen Lebens und Wohlergehens im verheißenen Land – das Brückengebot zwischen den Geboten gegenüber Gott und denen gegenüber dem Mitmenschen.</w:t>
      </w:r>
    </w:p>
    <w:p w14:paraId="715D66C3" w14:textId="77777777" w:rsidR="0054771B" w:rsidRPr="0054771B" w:rsidRDefault="0054771B" w:rsidP="0054771B">
      <w:pPr>
        <w:spacing w:before="100" w:beforeAutospacing="1" w:after="100" w:afterAutospacing="1" w:line="240" w:lineRule="auto"/>
        <w:outlineLvl w:val="1"/>
        <w:rPr>
          <w:rFonts w:eastAsia="Times New Roman"/>
          <w:b/>
          <w:bCs/>
          <w:sz w:val="36"/>
          <w:szCs w:val="36"/>
          <w:lang w:eastAsia="de-DE"/>
        </w:rPr>
      </w:pPr>
      <w:r w:rsidRPr="0054771B">
        <w:rPr>
          <w:rFonts w:eastAsia="Times New Roman"/>
          <w:b/>
          <w:bCs/>
          <w:sz w:val="36"/>
          <w:szCs w:val="36"/>
          <w:lang w:eastAsia="de-DE"/>
        </w:rPr>
        <w:t>Deuteronomium 5,17</w:t>
      </w:r>
    </w:p>
    <w:p w14:paraId="273C2999"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Hebräisch:</w:t>
      </w:r>
      <w:r w:rsidRPr="0054771B">
        <w:rPr>
          <w:rFonts w:eastAsia="Times New Roman"/>
          <w:lang w:eastAsia="de-DE"/>
        </w:rPr>
        <w:t xml:space="preserve"> </w:t>
      </w:r>
      <w:r w:rsidRPr="0054771B">
        <w:rPr>
          <w:rFonts w:eastAsia="Times New Roman"/>
          <w:rtl/>
          <w:lang w:eastAsia="de-DE"/>
        </w:rPr>
        <w:t>לֹא תִּרְצָח׃</w:t>
      </w:r>
    </w:p>
    <w:p w14:paraId="4A1495A4"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Deutsch:</w:t>
      </w:r>
      <w:r w:rsidRPr="0054771B">
        <w:rPr>
          <w:rFonts w:eastAsia="Times New Roman"/>
          <w:lang w:eastAsia="de-DE"/>
        </w:rPr>
        <w:t xml:space="preserve"> Du sollst nicht morden!</w:t>
      </w:r>
    </w:p>
    <w:p w14:paraId="12BDA439" w14:textId="77777777" w:rsidR="0054771B" w:rsidRPr="0054771B" w:rsidRDefault="004F5CEB" w:rsidP="0054771B">
      <w:pPr>
        <w:spacing w:after="0" w:line="240" w:lineRule="auto"/>
        <w:rPr>
          <w:rFonts w:eastAsia="Times New Roman"/>
          <w:lang w:eastAsia="de-DE"/>
        </w:rPr>
      </w:pPr>
      <w:r>
        <w:rPr>
          <w:rFonts w:eastAsia="Times New Roman"/>
          <w:noProof/>
          <w:lang w:eastAsia="de-DE"/>
        </w:rPr>
        <w:pict w14:anchorId="4A0DBB58">
          <v:rect id="_x0000_i1202" style="width:0;height:1.5pt" o:hralign="center" o:hrstd="t" o:hr="t" fillcolor="#a0a0a0" stroked="f"/>
        </w:pict>
      </w:r>
    </w:p>
    <w:p w14:paraId="1051EAEA"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Kommentar:</w:t>
      </w:r>
      <w:r w:rsidRPr="0054771B">
        <w:rPr>
          <w:rFonts w:eastAsia="Times New Roman"/>
          <w:lang w:eastAsia="de-DE"/>
        </w:rPr>
        <w:t xml:space="preserve"> </w:t>
      </w:r>
      <w:r w:rsidRPr="0054771B">
        <w:rPr>
          <w:rFonts w:eastAsia="Times New Roman"/>
          <w:b/>
          <w:bCs/>
          <w:rtl/>
          <w:lang w:eastAsia="de-DE"/>
        </w:rPr>
        <w:t>לֹא תִּרְצָח</w:t>
      </w:r>
      <w:r w:rsidRPr="0054771B">
        <w:rPr>
          <w:rFonts w:eastAsia="Times New Roman"/>
          <w:rtl/>
          <w:lang w:eastAsia="de-DE"/>
        </w:rPr>
        <w:t xml:space="preserve"> </w:t>
      </w:r>
      <w:r w:rsidRPr="0054771B">
        <w:rPr>
          <w:rFonts w:eastAsia="Times New Roman"/>
          <w:lang w:eastAsia="de-DE"/>
        </w:rPr>
        <w:t xml:space="preserve">ist ein äußerst knapper prohibitiver Satz: </w:t>
      </w:r>
      <w:r w:rsidRPr="0054771B">
        <w:rPr>
          <w:rFonts w:eastAsia="Times New Roman"/>
          <w:b/>
          <w:bCs/>
          <w:rtl/>
          <w:lang w:eastAsia="de-DE"/>
        </w:rPr>
        <w:t>לֹא</w:t>
      </w:r>
      <w:r w:rsidRPr="0054771B">
        <w:rPr>
          <w:rFonts w:eastAsia="Times New Roman"/>
          <w:rtl/>
          <w:lang w:eastAsia="de-DE"/>
        </w:rPr>
        <w:t xml:space="preserve"> </w:t>
      </w:r>
      <w:r w:rsidRPr="0054771B">
        <w:rPr>
          <w:rFonts w:eastAsia="Times New Roman"/>
          <w:lang w:eastAsia="de-DE"/>
        </w:rPr>
        <w:t xml:space="preserve">als Negation, </w:t>
      </w:r>
      <w:r w:rsidRPr="0054771B">
        <w:rPr>
          <w:rFonts w:eastAsia="Times New Roman"/>
          <w:b/>
          <w:bCs/>
          <w:rtl/>
          <w:lang w:eastAsia="de-DE"/>
        </w:rPr>
        <w:t>תִּרְצָח</w:t>
      </w:r>
      <w:r w:rsidRPr="0054771B">
        <w:rPr>
          <w:rFonts w:eastAsia="Times New Roman"/>
          <w:rtl/>
          <w:lang w:eastAsia="de-DE"/>
        </w:rPr>
        <w:t xml:space="preserve"> </w:t>
      </w:r>
      <w:r w:rsidRPr="0054771B">
        <w:rPr>
          <w:rFonts w:eastAsia="Times New Roman"/>
          <w:lang w:eastAsia="de-DE"/>
        </w:rPr>
        <w:t xml:space="preserve">als Qal Imperfekt, 2. Person Singular maskulin von </w:t>
      </w:r>
      <w:r w:rsidRPr="0054771B">
        <w:rPr>
          <w:rFonts w:eastAsia="Times New Roman"/>
          <w:b/>
          <w:bCs/>
          <w:rtl/>
          <w:lang w:eastAsia="de-DE"/>
        </w:rPr>
        <w:t>רצח</w:t>
      </w:r>
      <w:r w:rsidRPr="0054771B">
        <w:rPr>
          <w:rFonts w:eastAsia="Times New Roman"/>
          <w:rtl/>
          <w:lang w:eastAsia="de-DE"/>
        </w:rPr>
        <w:t xml:space="preserve"> </w:t>
      </w:r>
      <w:r w:rsidRPr="0054771B">
        <w:rPr>
          <w:rFonts w:eastAsia="Times New Roman"/>
          <w:lang w:eastAsia="de-DE"/>
        </w:rPr>
        <w:t xml:space="preserve">(„morden, töten" – speziell: unrechtmäßig töten). Das Verb </w:t>
      </w:r>
      <w:r w:rsidRPr="0054771B">
        <w:rPr>
          <w:rFonts w:eastAsia="Times New Roman"/>
          <w:b/>
          <w:bCs/>
          <w:rtl/>
          <w:lang w:eastAsia="de-DE"/>
        </w:rPr>
        <w:t>רצח</w:t>
      </w:r>
      <w:r w:rsidRPr="0054771B">
        <w:rPr>
          <w:rFonts w:eastAsia="Times New Roman"/>
          <w:rtl/>
          <w:lang w:eastAsia="de-DE"/>
        </w:rPr>
        <w:t xml:space="preserve"> </w:t>
      </w:r>
      <w:r w:rsidRPr="0054771B">
        <w:rPr>
          <w:rFonts w:eastAsia="Times New Roman"/>
          <w:lang w:eastAsia="de-DE"/>
        </w:rPr>
        <w:t xml:space="preserve">bezeichnet im Unterschied zu </w:t>
      </w:r>
      <w:r w:rsidRPr="0054771B">
        <w:rPr>
          <w:rFonts w:eastAsia="Times New Roman"/>
          <w:b/>
          <w:bCs/>
          <w:rtl/>
          <w:lang w:eastAsia="de-DE"/>
        </w:rPr>
        <w:t>הרג</w:t>
      </w:r>
      <w:r w:rsidRPr="0054771B">
        <w:rPr>
          <w:rFonts w:eastAsia="Times New Roman"/>
          <w:rtl/>
          <w:lang w:eastAsia="de-DE"/>
        </w:rPr>
        <w:t xml:space="preserve"> </w:t>
      </w:r>
      <w:r w:rsidRPr="0054771B">
        <w:rPr>
          <w:rFonts w:eastAsia="Times New Roman"/>
          <w:lang w:eastAsia="de-DE"/>
        </w:rPr>
        <w:t>(„töten" allgemein) speziell die unrechtmäßige, kriminelle Tötung eines Menschen: Mord oder Totschlag.</w:t>
      </w:r>
    </w:p>
    <w:p w14:paraId="31ADBC12"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 xml:space="preserve">Die extreme Kürze des Satzes (nur zwei Wörter im Hebräischen) verleiht ihm apodiktischen Charakter. </w:t>
      </w:r>
      <w:r w:rsidRPr="0054771B">
        <w:rPr>
          <w:rFonts w:eastAsia="Times New Roman"/>
          <w:b/>
          <w:bCs/>
          <w:rtl/>
          <w:lang w:eastAsia="de-DE"/>
        </w:rPr>
        <w:t>רצח</w:t>
      </w:r>
      <w:r w:rsidRPr="0054771B">
        <w:rPr>
          <w:rFonts w:eastAsia="Times New Roman"/>
          <w:rtl/>
          <w:lang w:eastAsia="de-DE"/>
        </w:rPr>
        <w:t xml:space="preserve"> </w:t>
      </w:r>
      <w:r w:rsidRPr="0054771B">
        <w:rPr>
          <w:rFonts w:eastAsia="Times New Roman"/>
          <w:lang w:eastAsia="de-DE"/>
        </w:rPr>
        <w:t>umfasst nach alttestamentlichem Verständnis vorsätzlichen Mord, aber auch Totschlag (wobei für letzteren die Asylstädte Schutz bieten, vgl. 4,41-43; 19,1-13). Nicht gemeint sind rechtmäßige Tötungen wie Todesstrafe, Krieg oder Notwehr.</w:t>
      </w:r>
    </w:p>
    <w:p w14:paraId="7114C6B1"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 xml:space="preserve">Die Satzstruktur ist die </w:t>
      </w:r>
      <w:proofErr w:type="spellStart"/>
      <w:r w:rsidRPr="0054771B">
        <w:rPr>
          <w:rFonts w:eastAsia="Times New Roman"/>
          <w:lang w:eastAsia="de-DE"/>
        </w:rPr>
        <w:t>kürzestmögliche</w:t>
      </w:r>
      <w:proofErr w:type="spellEnd"/>
      <w:r w:rsidRPr="0054771B">
        <w:rPr>
          <w:rFonts w:eastAsia="Times New Roman"/>
          <w:lang w:eastAsia="de-DE"/>
        </w:rPr>
        <w:t>: Negation und Prädikat. Die lakonische Form unterstreicht die absolute Gültigkeit des Verbots und seine Unverrückbarkeit.</w:t>
      </w:r>
    </w:p>
    <w:p w14:paraId="4517716E"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Der Vers formuliert das sechste Gebot: das absolute Verbot des Mordens – eines der fundamentalsten ethischen Gebote des Alten Testaments.</w:t>
      </w:r>
    </w:p>
    <w:p w14:paraId="2F676FFD" w14:textId="77777777" w:rsidR="0054771B" w:rsidRPr="0054771B" w:rsidRDefault="0054771B" w:rsidP="0054771B">
      <w:pPr>
        <w:spacing w:before="100" w:beforeAutospacing="1" w:after="100" w:afterAutospacing="1" w:line="240" w:lineRule="auto"/>
        <w:outlineLvl w:val="1"/>
        <w:rPr>
          <w:rFonts w:eastAsia="Times New Roman"/>
          <w:b/>
          <w:bCs/>
          <w:sz w:val="36"/>
          <w:szCs w:val="36"/>
          <w:lang w:eastAsia="de-DE"/>
        </w:rPr>
      </w:pPr>
      <w:r w:rsidRPr="0054771B">
        <w:rPr>
          <w:rFonts w:eastAsia="Times New Roman"/>
          <w:b/>
          <w:bCs/>
          <w:sz w:val="36"/>
          <w:szCs w:val="36"/>
          <w:lang w:eastAsia="de-DE"/>
        </w:rPr>
        <w:t>Deuteronomium 5,18</w:t>
      </w:r>
    </w:p>
    <w:p w14:paraId="2E400D62"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Hebräisch:</w:t>
      </w:r>
      <w:r w:rsidRPr="0054771B">
        <w:rPr>
          <w:rFonts w:eastAsia="Times New Roman"/>
          <w:lang w:eastAsia="de-DE"/>
        </w:rPr>
        <w:t xml:space="preserve"> </w:t>
      </w:r>
      <w:r w:rsidRPr="0054771B">
        <w:rPr>
          <w:rFonts w:eastAsia="Times New Roman"/>
          <w:rtl/>
          <w:lang w:eastAsia="de-DE"/>
        </w:rPr>
        <w:t>וְלֹא תִּנְאָף׃</w:t>
      </w:r>
    </w:p>
    <w:p w14:paraId="6A4E4596"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Deutsch:</w:t>
      </w:r>
      <w:r w:rsidRPr="0054771B">
        <w:rPr>
          <w:rFonts w:eastAsia="Times New Roman"/>
          <w:lang w:eastAsia="de-DE"/>
        </w:rPr>
        <w:t xml:space="preserve"> Und du sollst nicht ehebrechen!</w:t>
      </w:r>
    </w:p>
    <w:p w14:paraId="57D0754A" w14:textId="77777777" w:rsidR="0054771B" w:rsidRPr="0054771B" w:rsidRDefault="004F5CEB" w:rsidP="0054771B">
      <w:pPr>
        <w:spacing w:after="0" w:line="240" w:lineRule="auto"/>
        <w:rPr>
          <w:rFonts w:eastAsia="Times New Roman"/>
          <w:lang w:eastAsia="de-DE"/>
        </w:rPr>
      </w:pPr>
      <w:r>
        <w:rPr>
          <w:rFonts w:eastAsia="Times New Roman"/>
          <w:noProof/>
          <w:lang w:eastAsia="de-DE"/>
        </w:rPr>
        <w:pict w14:anchorId="0BD8F118">
          <v:rect id="_x0000_i1203" style="width:0;height:1.5pt" o:hralign="center" o:hrstd="t" o:hr="t" fillcolor="#a0a0a0" stroked="f"/>
        </w:pict>
      </w:r>
    </w:p>
    <w:p w14:paraId="73308400"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Kommentar:</w:t>
      </w:r>
      <w:r w:rsidRPr="0054771B">
        <w:rPr>
          <w:rFonts w:eastAsia="Times New Roman"/>
          <w:lang w:eastAsia="de-DE"/>
        </w:rPr>
        <w:t xml:space="preserve"> </w:t>
      </w:r>
      <w:r w:rsidRPr="0054771B">
        <w:rPr>
          <w:rFonts w:eastAsia="Times New Roman"/>
          <w:b/>
          <w:bCs/>
          <w:rtl/>
          <w:lang w:eastAsia="de-DE"/>
        </w:rPr>
        <w:t>וְלֹא תִּנְאָף</w:t>
      </w:r>
      <w:r w:rsidRPr="0054771B">
        <w:rPr>
          <w:rFonts w:eastAsia="Times New Roman"/>
          <w:rtl/>
          <w:lang w:eastAsia="de-DE"/>
        </w:rPr>
        <w:t xml:space="preserve"> </w:t>
      </w:r>
      <w:r w:rsidRPr="0054771B">
        <w:rPr>
          <w:rFonts w:eastAsia="Times New Roman"/>
          <w:lang w:eastAsia="de-DE"/>
        </w:rPr>
        <w:t xml:space="preserve">ist ebenso knapp: </w:t>
      </w:r>
      <w:r w:rsidRPr="0054771B">
        <w:rPr>
          <w:rFonts w:eastAsia="Times New Roman"/>
          <w:b/>
          <w:bCs/>
          <w:rtl/>
          <w:lang w:eastAsia="de-DE"/>
        </w:rPr>
        <w:t>וְ</w:t>
      </w:r>
      <w:r w:rsidRPr="0054771B">
        <w:rPr>
          <w:rFonts w:eastAsia="Times New Roman"/>
          <w:rtl/>
          <w:lang w:eastAsia="de-DE"/>
        </w:rPr>
        <w:t xml:space="preserve"> </w:t>
      </w:r>
      <w:r w:rsidRPr="0054771B">
        <w:rPr>
          <w:rFonts w:eastAsia="Times New Roman"/>
          <w:lang w:eastAsia="de-DE"/>
        </w:rPr>
        <w:t xml:space="preserve">koordinierend, </w:t>
      </w:r>
      <w:r w:rsidRPr="0054771B">
        <w:rPr>
          <w:rFonts w:eastAsia="Times New Roman"/>
          <w:b/>
          <w:bCs/>
          <w:rtl/>
          <w:lang w:eastAsia="de-DE"/>
        </w:rPr>
        <w:t>לֹא</w:t>
      </w:r>
      <w:r w:rsidRPr="0054771B">
        <w:rPr>
          <w:rFonts w:eastAsia="Times New Roman"/>
          <w:rtl/>
          <w:lang w:eastAsia="de-DE"/>
        </w:rPr>
        <w:t xml:space="preserve"> </w:t>
      </w:r>
      <w:r w:rsidRPr="0054771B">
        <w:rPr>
          <w:rFonts w:eastAsia="Times New Roman"/>
          <w:lang w:eastAsia="de-DE"/>
        </w:rPr>
        <w:t xml:space="preserve">als Negation, </w:t>
      </w:r>
      <w:r w:rsidRPr="0054771B">
        <w:rPr>
          <w:rFonts w:eastAsia="Times New Roman"/>
          <w:b/>
          <w:bCs/>
          <w:rtl/>
          <w:lang w:eastAsia="de-DE"/>
        </w:rPr>
        <w:t>תִּנְאָף</w:t>
      </w:r>
      <w:r w:rsidRPr="0054771B">
        <w:rPr>
          <w:rFonts w:eastAsia="Times New Roman"/>
          <w:rtl/>
          <w:lang w:eastAsia="de-DE"/>
        </w:rPr>
        <w:t xml:space="preserve"> </w:t>
      </w:r>
      <w:r w:rsidRPr="0054771B">
        <w:rPr>
          <w:rFonts w:eastAsia="Times New Roman"/>
          <w:lang w:eastAsia="de-DE"/>
        </w:rPr>
        <w:t xml:space="preserve">als Qal Imperfekt, 2. Person Singular maskulin von </w:t>
      </w:r>
      <w:r w:rsidRPr="0054771B">
        <w:rPr>
          <w:rFonts w:eastAsia="Times New Roman"/>
          <w:b/>
          <w:bCs/>
          <w:rtl/>
          <w:lang w:eastAsia="de-DE"/>
        </w:rPr>
        <w:t>נאף</w:t>
      </w:r>
      <w:r w:rsidRPr="0054771B">
        <w:rPr>
          <w:rFonts w:eastAsia="Times New Roman"/>
          <w:rtl/>
          <w:lang w:eastAsia="de-DE"/>
        </w:rPr>
        <w:t xml:space="preserve"> </w:t>
      </w:r>
      <w:r w:rsidRPr="0054771B">
        <w:rPr>
          <w:rFonts w:eastAsia="Times New Roman"/>
          <w:lang w:eastAsia="de-DE"/>
        </w:rPr>
        <w:t xml:space="preserve">(„ehebrechen"). Das Verb </w:t>
      </w:r>
      <w:r w:rsidRPr="0054771B">
        <w:rPr>
          <w:rFonts w:eastAsia="Times New Roman"/>
          <w:b/>
          <w:bCs/>
          <w:rtl/>
          <w:lang w:eastAsia="de-DE"/>
        </w:rPr>
        <w:t>נאף</w:t>
      </w:r>
      <w:r w:rsidRPr="0054771B">
        <w:rPr>
          <w:rFonts w:eastAsia="Times New Roman"/>
          <w:rtl/>
          <w:lang w:eastAsia="de-DE"/>
        </w:rPr>
        <w:t xml:space="preserve"> </w:t>
      </w:r>
      <w:r w:rsidRPr="0054771B">
        <w:rPr>
          <w:rFonts w:eastAsia="Times New Roman"/>
          <w:lang w:eastAsia="de-DE"/>
        </w:rPr>
        <w:t>bezeichnet spezifisch den Ehebruch, d.h. Geschlechtsverkehr einer verheirateten Person mit jemandem außerhalb der Ehe.</w:t>
      </w:r>
    </w:p>
    <w:p w14:paraId="2744F853"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 xml:space="preserve">Das Ehebrechverbot schützt die Institution der Ehe und die Integrität der Familie. Im antiken Israel war Ehebruch ein schweres Verbrechen, das mit dem Tod bestraft werden konnte (vgl. </w:t>
      </w:r>
      <w:r w:rsidRPr="0054771B">
        <w:rPr>
          <w:rFonts w:eastAsia="Times New Roman"/>
          <w:lang w:eastAsia="de-DE"/>
        </w:rPr>
        <w:lastRenderedPageBreak/>
        <w:t>Lev 20,10; Dtn 22,22). Das Gebot richtet sich an beide Geschlechter, auch wenn die Formulierung maskulin ist.</w:t>
      </w:r>
    </w:p>
    <w:p w14:paraId="1BF7599A"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Die Satzstruktur ist identisch mit V. 17: koordinierende Konjunktion, Negation und Prädikat. Die extreme Kürze und parallele Struktur zu V. 17 unterstreicht die fundamentale Bedeutung auch dieses Gebots.</w:t>
      </w:r>
    </w:p>
    <w:p w14:paraId="7B352D6D"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Der Vers formuliert das siebte Gebot: das Verbot des Ehebruchs – Schutz der Ehe und der Familienordnung.</w:t>
      </w:r>
    </w:p>
    <w:p w14:paraId="421CAF8D" w14:textId="77777777" w:rsidR="0054771B" w:rsidRPr="0054771B" w:rsidRDefault="0054771B" w:rsidP="0054771B">
      <w:pPr>
        <w:spacing w:before="100" w:beforeAutospacing="1" w:after="100" w:afterAutospacing="1" w:line="240" w:lineRule="auto"/>
        <w:outlineLvl w:val="1"/>
        <w:rPr>
          <w:rFonts w:eastAsia="Times New Roman"/>
          <w:b/>
          <w:bCs/>
          <w:sz w:val="36"/>
          <w:szCs w:val="36"/>
          <w:lang w:eastAsia="de-DE"/>
        </w:rPr>
      </w:pPr>
      <w:r w:rsidRPr="0054771B">
        <w:rPr>
          <w:rFonts w:eastAsia="Times New Roman"/>
          <w:b/>
          <w:bCs/>
          <w:sz w:val="36"/>
          <w:szCs w:val="36"/>
          <w:lang w:eastAsia="de-DE"/>
        </w:rPr>
        <w:t>Deuteronomium 5,19</w:t>
      </w:r>
    </w:p>
    <w:p w14:paraId="61877EED"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Hebräisch:</w:t>
      </w:r>
      <w:r w:rsidRPr="0054771B">
        <w:rPr>
          <w:rFonts w:eastAsia="Times New Roman"/>
          <w:lang w:eastAsia="de-DE"/>
        </w:rPr>
        <w:t xml:space="preserve"> </w:t>
      </w:r>
      <w:r w:rsidRPr="0054771B">
        <w:rPr>
          <w:rFonts w:eastAsia="Times New Roman"/>
          <w:rtl/>
          <w:lang w:eastAsia="de-DE"/>
        </w:rPr>
        <w:t>וְלֹא תִּגְנֹב׃</w:t>
      </w:r>
    </w:p>
    <w:p w14:paraId="261D279C"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Deutsch:</w:t>
      </w:r>
      <w:r w:rsidRPr="0054771B">
        <w:rPr>
          <w:rFonts w:eastAsia="Times New Roman"/>
          <w:lang w:eastAsia="de-DE"/>
        </w:rPr>
        <w:t xml:space="preserve"> Und du sollst nicht stehlen!</w:t>
      </w:r>
    </w:p>
    <w:p w14:paraId="47855986" w14:textId="77777777" w:rsidR="0054771B" w:rsidRPr="0054771B" w:rsidRDefault="004F5CEB" w:rsidP="0054771B">
      <w:pPr>
        <w:spacing w:after="0" w:line="240" w:lineRule="auto"/>
        <w:rPr>
          <w:rFonts w:eastAsia="Times New Roman"/>
          <w:lang w:eastAsia="de-DE"/>
        </w:rPr>
      </w:pPr>
      <w:r>
        <w:rPr>
          <w:rFonts w:eastAsia="Times New Roman"/>
          <w:noProof/>
          <w:lang w:eastAsia="de-DE"/>
        </w:rPr>
        <w:pict w14:anchorId="1CA5DC32">
          <v:rect id="_x0000_i1204" style="width:0;height:1.5pt" o:hralign="center" o:hrstd="t" o:hr="t" fillcolor="#a0a0a0" stroked="f"/>
        </w:pict>
      </w:r>
    </w:p>
    <w:p w14:paraId="61C838F4"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Kommentar:</w:t>
      </w:r>
      <w:r w:rsidRPr="0054771B">
        <w:rPr>
          <w:rFonts w:eastAsia="Times New Roman"/>
          <w:lang w:eastAsia="de-DE"/>
        </w:rPr>
        <w:t xml:space="preserve"> </w:t>
      </w:r>
      <w:r w:rsidRPr="0054771B">
        <w:rPr>
          <w:rFonts w:eastAsia="Times New Roman"/>
          <w:b/>
          <w:bCs/>
          <w:rtl/>
          <w:lang w:eastAsia="de-DE"/>
        </w:rPr>
        <w:t>וְלֹא תִּגְנֹב</w:t>
      </w:r>
      <w:r w:rsidRPr="0054771B">
        <w:rPr>
          <w:rFonts w:eastAsia="Times New Roman"/>
          <w:rtl/>
          <w:lang w:eastAsia="de-DE"/>
        </w:rPr>
        <w:t xml:space="preserve"> </w:t>
      </w:r>
      <w:r w:rsidRPr="0054771B">
        <w:rPr>
          <w:rFonts w:eastAsia="Times New Roman"/>
          <w:lang w:eastAsia="de-DE"/>
        </w:rPr>
        <w:t xml:space="preserve">folgt demselben Muster: </w:t>
      </w:r>
      <w:r w:rsidRPr="0054771B">
        <w:rPr>
          <w:rFonts w:eastAsia="Times New Roman"/>
          <w:b/>
          <w:bCs/>
          <w:rtl/>
          <w:lang w:eastAsia="de-DE"/>
        </w:rPr>
        <w:t>וְ</w:t>
      </w:r>
      <w:r w:rsidRPr="0054771B">
        <w:rPr>
          <w:rFonts w:eastAsia="Times New Roman"/>
          <w:rtl/>
          <w:lang w:eastAsia="de-DE"/>
        </w:rPr>
        <w:t xml:space="preserve"> </w:t>
      </w:r>
      <w:r w:rsidRPr="0054771B">
        <w:rPr>
          <w:rFonts w:eastAsia="Times New Roman"/>
          <w:lang w:eastAsia="de-DE"/>
        </w:rPr>
        <w:t xml:space="preserve">koordinierend, </w:t>
      </w:r>
      <w:r w:rsidRPr="0054771B">
        <w:rPr>
          <w:rFonts w:eastAsia="Times New Roman"/>
          <w:b/>
          <w:bCs/>
          <w:rtl/>
          <w:lang w:eastAsia="de-DE"/>
        </w:rPr>
        <w:t>לֹא</w:t>
      </w:r>
      <w:r w:rsidRPr="0054771B">
        <w:rPr>
          <w:rFonts w:eastAsia="Times New Roman"/>
          <w:rtl/>
          <w:lang w:eastAsia="de-DE"/>
        </w:rPr>
        <w:t xml:space="preserve"> </w:t>
      </w:r>
      <w:r w:rsidRPr="0054771B">
        <w:rPr>
          <w:rFonts w:eastAsia="Times New Roman"/>
          <w:lang w:eastAsia="de-DE"/>
        </w:rPr>
        <w:t xml:space="preserve">als Negation, </w:t>
      </w:r>
      <w:r w:rsidRPr="0054771B">
        <w:rPr>
          <w:rFonts w:eastAsia="Times New Roman"/>
          <w:b/>
          <w:bCs/>
          <w:rtl/>
          <w:lang w:eastAsia="de-DE"/>
        </w:rPr>
        <w:t>תִּגְנֹב</w:t>
      </w:r>
      <w:r w:rsidRPr="0054771B">
        <w:rPr>
          <w:rFonts w:eastAsia="Times New Roman"/>
          <w:rtl/>
          <w:lang w:eastAsia="de-DE"/>
        </w:rPr>
        <w:t xml:space="preserve"> </w:t>
      </w:r>
      <w:r w:rsidRPr="0054771B">
        <w:rPr>
          <w:rFonts w:eastAsia="Times New Roman"/>
          <w:lang w:eastAsia="de-DE"/>
        </w:rPr>
        <w:t xml:space="preserve">als Qal Imperfekt, 2. Person Singular maskulin von </w:t>
      </w:r>
      <w:r w:rsidRPr="0054771B">
        <w:rPr>
          <w:rFonts w:eastAsia="Times New Roman"/>
          <w:b/>
          <w:bCs/>
          <w:rtl/>
          <w:lang w:eastAsia="de-DE"/>
        </w:rPr>
        <w:t>גנב</w:t>
      </w:r>
      <w:r w:rsidRPr="0054771B">
        <w:rPr>
          <w:rFonts w:eastAsia="Times New Roman"/>
          <w:rtl/>
          <w:lang w:eastAsia="de-DE"/>
        </w:rPr>
        <w:t xml:space="preserve"> </w:t>
      </w:r>
      <w:r w:rsidRPr="0054771B">
        <w:rPr>
          <w:rFonts w:eastAsia="Times New Roman"/>
          <w:lang w:eastAsia="de-DE"/>
        </w:rPr>
        <w:t xml:space="preserve">(„stehlen"). Das Verb </w:t>
      </w:r>
      <w:r w:rsidRPr="0054771B">
        <w:rPr>
          <w:rFonts w:eastAsia="Times New Roman"/>
          <w:b/>
          <w:bCs/>
          <w:rtl/>
          <w:lang w:eastAsia="de-DE"/>
        </w:rPr>
        <w:t>גנב</w:t>
      </w:r>
      <w:r w:rsidRPr="0054771B">
        <w:rPr>
          <w:rFonts w:eastAsia="Times New Roman"/>
          <w:rtl/>
          <w:lang w:eastAsia="de-DE"/>
        </w:rPr>
        <w:t xml:space="preserve"> </w:t>
      </w:r>
      <w:r w:rsidRPr="0054771B">
        <w:rPr>
          <w:rFonts w:eastAsia="Times New Roman"/>
          <w:lang w:eastAsia="de-DE"/>
        </w:rPr>
        <w:t>bezeichnet das heimliche Wegnehmen fremden Eigentums.</w:t>
      </w:r>
    </w:p>
    <w:p w14:paraId="593DC939"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Die genaue Bedeutung des Diebstahlverbots im Dekalog ist umstritten. Einige Ausleger verstehen es primär als Verbot des Menschenraubs (vgl. Ex 21,16; Dtn 24,7), andere als allgemeines Eigentumsschutzgebot. Im Kontext der anderen kurzen, fundamentalen Verbote (Mord, Ehebruch) ist wahrscheinlich ein umfassendes Verständnis intendiert: Schutz des Eigentums in all seinen Formen.</w:t>
      </w:r>
    </w:p>
    <w:p w14:paraId="325D6EB8"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Die Satzstruktur ist wiederum identisch: koordinierende Konjunktion, Negation und Prädikat. Die dreifache Parallelstruktur der Verse 17-19 schafft einen rhythmischen Katalog fundamentaler Sozialverbote.</w:t>
      </w:r>
    </w:p>
    <w:p w14:paraId="456D489C"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Der Vers formuliert das achte Gebot: das Verbot des Diebstahls – Schutz des Eigentums und der wirtschaftlichen Existenz.</w:t>
      </w:r>
    </w:p>
    <w:p w14:paraId="0C875241" w14:textId="77777777" w:rsidR="0054771B" w:rsidRPr="0054771B" w:rsidRDefault="0054771B" w:rsidP="0054771B">
      <w:pPr>
        <w:spacing w:before="100" w:beforeAutospacing="1" w:after="100" w:afterAutospacing="1" w:line="240" w:lineRule="auto"/>
        <w:outlineLvl w:val="1"/>
        <w:rPr>
          <w:rFonts w:eastAsia="Times New Roman"/>
          <w:b/>
          <w:bCs/>
          <w:sz w:val="36"/>
          <w:szCs w:val="36"/>
          <w:lang w:eastAsia="de-DE"/>
        </w:rPr>
      </w:pPr>
      <w:r w:rsidRPr="0054771B">
        <w:rPr>
          <w:rFonts w:eastAsia="Times New Roman"/>
          <w:b/>
          <w:bCs/>
          <w:sz w:val="36"/>
          <w:szCs w:val="36"/>
          <w:lang w:eastAsia="de-DE"/>
        </w:rPr>
        <w:t>Deuteronomium 5,20</w:t>
      </w:r>
    </w:p>
    <w:p w14:paraId="3E6B4953"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Hebräisch:</w:t>
      </w:r>
      <w:r w:rsidRPr="0054771B">
        <w:rPr>
          <w:rFonts w:eastAsia="Times New Roman"/>
          <w:lang w:eastAsia="de-DE"/>
        </w:rPr>
        <w:t xml:space="preserve"> </w:t>
      </w:r>
      <w:r w:rsidRPr="0054771B">
        <w:rPr>
          <w:rFonts w:eastAsia="Times New Roman"/>
          <w:rtl/>
          <w:lang w:eastAsia="de-DE"/>
        </w:rPr>
        <w:t>וְלֹא־תַעֲנֶה בְרֵעֲךָ עֵד שָׁוְא׃</w:t>
      </w:r>
    </w:p>
    <w:p w14:paraId="34E8DA75"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Deutsch:</w:t>
      </w:r>
      <w:r w:rsidRPr="0054771B">
        <w:rPr>
          <w:rFonts w:eastAsia="Times New Roman"/>
          <w:lang w:eastAsia="de-DE"/>
        </w:rPr>
        <w:t xml:space="preserve"> Und du sollst nicht gegen deinen Nächsten als falscher Zeuge aussagen!</w:t>
      </w:r>
    </w:p>
    <w:p w14:paraId="64118428" w14:textId="77777777" w:rsidR="0054771B" w:rsidRPr="0054771B" w:rsidRDefault="004F5CEB" w:rsidP="0054771B">
      <w:pPr>
        <w:spacing w:after="0" w:line="240" w:lineRule="auto"/>
        <w:rPr>
          <w:rFonts w:eastAsia="Times New Roman"/>
          <w:lang w:eastAsia="de-DE"/>
        </w:rPr>
      </w:pPr>
      <w:r>
        <w:rPr>
          <w:rFonts w:eastAsia="Times New Roman"/>
          <w:noProof/>
          <w:lang w:eastAsia="de-DE"/>
        </w:rPr>
        <w:pict w14:anchorId="21FD1FAA">
          <v:rect id="_x0000_i1205" style="width:0;height:1.5pt" o:hralign="center" o:hrstd="t" o:hr="t" fillcolor="#a0a0a0" stroked="f"/>
        </w:pict>
      </w:r>
    </w:p>
    <w:p w14:paraId="0F07E194"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Kommentar:</w:t>
      </w:r>
      <w:r w:rsidRPr="0054771B">
        <w:rPr>
          <w:rFonts w:eastAsia="Times New Roman"/>
          <w:lang w:eastAsia="de-DE"/>
        </w:rPr>
        <w:t xml:space="preserve"> </w:t>
      </w:r>
      <w:r w:rsidRPr="0054771B">
        <w:rPr>
          <w:rFonts w:eastAsia="Times New Roman"/>
          <w:b/>
          <w:bCs/>
          <w:rtl/>
          <w:lang w:eastAsia="de-DE"/>
        </w:rPr>
        <w:t>וְלֹא־תַעֲנֶה בְרֵעֲךָ עֵד שָׁוְא</w:t>
      </w:r>
      <w:r w:rsidRPr="0054771B">
        <w:rPr>
          <w:rFonts w:eastAsia="Times New Roman"/>
          <w:rtl/>
          <w:lang w:eastAsia="de-DE"/>
        </w:rPr>
        <w:t xml:space="preserve"> </w:t>
      </w:r>
      <w:r w:rsidRPr="0054771B">
        <w:rPr>
          <w:rFonts w:eastAsia="Times New Roman"/>
          <w:lang w:eastAsia="de-DE"/>
        </w:rPr>
        <w:t xml:space="preserve">ist etwas ausführlicher: </w:t>
      </w:r>
      <w:r w:rsidRPr="0054771B">
        <w:rPr>
          <w:rFonts w:eastAsia="Times New Roman"/>
          <w:b/>
          <w:bCs/>
          <w:rtl/>
          <w:lang w:eastAsia="de-DE"/>
        </w:rPr>
        <w:t>וְ</w:t>
      </w:r>
      <w:r w:rsidRPr="0054771B">
        <w:rPr>
          <w:rFonts w:eastAsia="Times New Roman"/>
          <w:rtl/>
          <w:lang w:eastAsia="de-DE"/>
        </w:rPr>
        <w:t xml:space="preserve"> </w:t>
      </w:r>
      <w:r w:rsidRPr="0054771B">
        <w:rPr>
          <w:rFonts w:eastAsia="Times New Roman"/>
          <w:lang w:eastAsia="de-DE"/>
        </w:rPr>
        <w:t xml:space="preserve">koordinierend, </w:t>
      </w:r>
      <w:r w:rsidRPr="0054771B">
        <w:rPr>
          <w:rFonts w:eastAsia="Times New Roman"/>
          <w:b/>
          <w:bCs/>
          <w:rtl/>
          <w:lang w:eastAsia="de-DE"/>
        </w:rPr>
        <w:t>לֹא</w:t>
      </w:r>
      <w:r w:rsidRPr="0054771B">
        <w:rPr>
          <w:rFonts w:eastAsia="Times New Roman"/>
          <w:rtl/>
          <w:lang w:eastAsia="de-DE"/>
        </w:rPr>
        <w:t xml:space="preserve"> </w:t>
      </w:r>
      <w:r w:rsidRPr="0054771B">
        <w:rPr>
          <w:rFonts w:eastAsia="Times New Roman"/>
          <w:lang w:eastAsia="de-DE"/>
        </w:rPr>
        <w:t xml:space="preserve">als Negation, </w:t>
      </w:r>
      <w:r w:rsidRPr="0054771B">
        <w:rPr>
          <w:rFonts w:eastAsia="Times New Roman"/>
          <w:b/>
          <w:bCs/>
          <w:rtl/>
          <w:lang w:eastAsia="de-DE"/>
        </w:rPr>
        <w:t>תַעֲנֶה</w:t>
      </w:r>
      <w:r w:rsidRPr="0054771B">
        <w:rPr>
          <w:rFonts w:eastAsia="Times New Roman"/>
          <w:rtl/>
          <w:lang w:eastAsia="de-DE"/>
        </w:rPr>
        <w:t xml:space="preserve"> </w:t>
      </w:r>
      <w:r w:rsidRPr="0054771B">
        <w:rPr>
          <w:rFonts w:eastAsia="Times New Roman"/>
          <w:lang w:eastAsia="de-DE"/>
        </w:rPr>
        <w:t xml:space="preserve">als Qal Imperfekt, 2. Person Singular maskulin von </w:t>
      </w:r>
      <w:r w:rsidRPr="0054771B">
        <w:rPr>
          <w:rFonts w:eastAsia="Times New Roman"/>
          <w:b/>
          <w:bCs/>
          <w:rtl/>
          <w:lang w:eastAsia="de-DE"/>
        </w:rPr>
        <w:t>ענה</w:t>
      </w:r>
      <w:r w:rsidRPr="0054771B">
        <w:rPr>
          <w:rFonts w:eastAsia="Times New Roman"/>
          <w:rtl/>
          <w:lang w:eastAsia="de-DE"/>
        </w:rPr>
        <w:t xml:space="preserve"> </w:t>
      </w:r>
      <w:r w:rsidRPr="0054771B">
        <w:rPr>
          <w:rFonts w:eastAsia="Times New Roman"/>
          <w:lang w:eastAsia="de-DE"/>
        </w:rPr>
        <w:t xml:space="preserve">(„antworten, aussagen, bezeugen"), </w:t>
      </w:r>
      <w:r w:rsidRPr="0054771B">
        <w:rPr>
          <w:rFonts w:eastAsia="Times New Roman"/>
          <w:b/>
          <w:bCs/>
          <w:rtl/>
          <w:lang w:eastAsia="de-DE"/>
        </w:rPr>
        <w:t>בְרֵעֲךָ</w:t>
      </w:r>
      <w:r w:rsidRPr="0054771B">
        <w:rPr>
          <w:rFonts w:eastAsia="Times New Roman"/>
          <w:rtl/>
          <w:lang w:eastAsia="de-DE"/>
        </w:rPr>
        <w:t xml:space="preserve"> </w:t>
      </w:r>
      <w:r w:rsidRPr="0054771B">
        <w:rPr>
          <w:rFonts w:eastAsia="Times New Roman"/>
          <w:lang w:eastAsia="de-DE"/>
        </w:rPr>
        <w:t xml:space="preserve">als Präposition </w:t>
      </w:r>
      <w:r w:rsidRPr="0054771B">
        <w:rPr>
          <w:rFonts w:eastAsia="Times New Roman"/>
          <w:b/>
          <w:bCs/>
          <w:rtl/>
          <w:lang w:eastAsia="de-DE"/>
        </w:rPr>
        <w:t>בְּ</w:t>
      </w:r>
      <w:r w:rsidRPr="0054771B">
        <w:rPr>
          <w:rFonts w:eastAsia="Times New Roman"/>
          <w:rtl/>
          <w:lang w:eastAsia="de-DE"/>
        </w:rPr>
        <w:t xml:space="preserve"> </w:t>
      </w:r>
      <w:r w:rsidRPr="0054771B">
        <w:rPr>
          <w:rFonts w:eastAsia="Times New Roman"/>
          <w:lang w:eastAsia="de-DE"/>
        </w:rPr>
        <w:t xml:space="preserve">mit </w:t>
      </w:r>
      <w:r w:rsidRPr="0054771B">
        <w:rPr>
          <w:rFonts w:eastAsia="Times New Roman"/>
          <w:b/>
          <w:bCs/>
          <w:rtl/>
          <w:lang w:eastAsia="de-DE"/>
        </w:rPr>
        <w:t>רֵעַ</w:t>
      </w:r>
      <w:r w:rsidRPr="0054771B">
        <w:rPr>
          <w:rFonts w:eastAsia="Times New Roman"/>
          <w:rtl/>
          <w:lang w:eastAsia="de-DE"/>
        </w:rPr>
        <w:t xml:space="preserve"> </w:t>
      </w:r>
      <w:r w:rsidRPr="0054771B">
        <w:rPr>
          <w:rFonts w:eastAsia="Times New Roman"/>
          <w:lang w:eastAsia="de-DE"/>
        </w:rPr>
        <w:t xml:space="preserve">(„Nächster, Mitmensch") und Suffix 2. Person Singular maskulin – „gegen deinen Nächsten", </w:t>
      </w:r>
      <w:r w:rsidRPr="0054771B">
        <w:rPr>
          <w:rFonts w:eastAsia="Times New Roman"/>
          <w:b/>
          <w:bCs/>
          <w:rtl/>
          <w:lang w:eastAsia="de-DE"/>
        </w:rPr>
        <w:t>עֵד שָׁוְא</w:t>
      </w:r>
      <w:r w:rsidRPr="0054771B">
        <w:rPr>
          <w:rFonts w:eastAsia="Times New Roman"/>
          <w:rtl/>
          <w:lang w:eastAsia="de-DE"/>
        </w:rPr>
        <w:t xml:space="preserve"> </w:t>
      </w:r>
      <w:r w:rsidRPr="0054771B">
        <w:rPr>
          <w:rFonts w:eastAsia="Times New Roman"/>
          <w:lang w:eastAsia="de-DE"/>
        </w:rPr>
        <w:t xml:space="preserve">als prädikative bzw. modale </w:t>
      </w:r>
      <w:r w:rsidRPr="0054771B">
        <w:rPr>
          <w:rFonts w:eastAsia="Times New Roman"/>
          <w:lang w:eastAsia="de-DE"/>
        </w:rPr>
        <w:lastRenderedPageBreak/>
        <w:t>Bestimmung (</w:t>
      </w:r>
      <w:r w:rsidRPr="0054771B">
        <w:rPr>
          <w:rFonts w:eastAsia="Times New Roman"/>
          <w:b/>
          <w:bCs/>
          <w:rtl/>
          <w:lang w:eastAsia="de-DE"/>
        </w:rPr>
        <w:t>עֵד</w:t>
      </w:r>
      <w:r w:rsidRPr="0054771B">
        <w:rPr>
          <w:rFonts w:eastAsia="Times New Roman"/>
          <w:lang w:eastAsia="de-DE"/>
        </w:rPr>
        <w:t xml:space="preserve">, „Zeuge", mit </w:t>
      </w:r>
      <w:r w:rsidRPr="0054771B">
        <w:rPr>
          <w:rFonts w:eastAsia="Times New Roman"/>
          <w:b/>
          <w:bCs/>
          <w:rtl/>
          <w:lang w:eastAsia="de-DE"/>
        </w:rPr>
        <w:t>שָׁוְא</w:t>
      </w:r>
      <w:r w:rsidRPr="0054771B">
        <w:rPr>
          <w:rFonts w:eastAsia="Times New Roman"/>
          <w:lang w:eastAsia="de-DE"/>
        </w:rPr>
        <w:t>, „Lüge, Falschheit" – „als falscher Zeuge, falsches Zeugnis").</w:t>
      </w:r>
    </w:p>
    <w:p w14:paraId="3C65A596"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 xml:space="preserve">Das Verb </w:t>
      </w:r>
      <w:r w:rsidRPr="0054771B">
        <w:rPr>
          <w:rFonts w:eastAsia="Times New Roman"/>
          <w:b/>
          <w:bCs/>
          <w:rtl/>
          <w:lang w:eastAsia="de-DE"/>
        </w:rPr>
        <w:t>ענה</w:t>
      </w:r>
      <w:r w:rsidRPr="0054771B">
        <w:rPr>
          <w:rFonts w:eastAsia="Times New Roman"/>
          <w:rtl/>
          <w:lang w:eastAsia="de-DE"/>
        </w:rPr>
        <w:t xml:space="preserve"> </w:t>
      </w:r>
      <w:r w:rsidRPr="0054771B">
        <w:rPr>
          <w:rFonts w:eastAsia="Times New Roman"/>
          <w:lang w:eastAsia="de-DE"/>
        </w:rPr>
        <w:t xml:space="preserve">mit der Präposition </w:t>
      </w:r>
      <w:r w:rsidRPr="0054771B">
        <w:rPr>
          <w:rFonts w:eastAsia="Times New Roman"/>
          <w:b/>
          <w:bCs/>
          <w:rtl/>
          <w:lang w:eastAsia="de-DE"/>
        </w:rPr>
        <w:t>בְּ</w:t>
      </w:r>
      <w:r w:rsidRPr="0054771B">
        <w:rPr>
          <w:rFonts w:eastAsia="Times New Roman"/>
          <w:rtl/>
          <w:lang w:eastAsia="de-DE"/>
        </w:rPr>
        <w:t xml:space="preserve"> </w:t>
      </w:r>
      <w:r w:rsidRPr="0054771B">
        <w:rPr>
          <w:rFonts w:eastAsia="Times New Roman"/>
          <w:lang w:eastAsia="de-DE"/>
        </w:rPr>
        <w:t xml:space="preserve">bedeutet „gegen jemanden aussagen, Zeugnis ablegen". Die Konstruktion </w:t>
      </w:r>
      <w:r w:rsidRPr="0054771B">
        <w:rPr>
          <w:rFonts w:eastAsia="Times New Roman"/>
          <w:b/>
          <w:bCs/>
          <w:rtl/>
          <w:lang w:eastAsia="de-DE"/>
        </w:rPr>
        <w:t>עֵד שָׁוְא</w:t>
      </w:r>
      <w:r w:rsidRPr="0054771B">
        <w:rPr>
          <w:rFonts w:eastAsia="Times New Roman"/>
          <w:rtl/>
          <w:lang w:eastAsia="de-DE"/>
        </w:rPr>
        <w:t xml:space="preserve"> </w:t>
      </w:r>
      <w:r w:rsidRPr="0054771B">
        <w:rPr>
          <w:rFonts w:eastAsia="Times New Roman"/>
          <w:lang w:eastAsia="de-DE"/>
        </w:rPr>
        <w:t>(„falscher Zeuge, Lügenzeuge") verbietet Falschaussagen im Gerichtsverfahren. Dies schützt nicht nur den individuell Angeklagten, sondern die gesamte Rechtsordnung.</w:t>
      </w:r>
    </w:p>
    <w:p w14:paraId="228E3586"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Die Satzstruktur ist etwas komplexer als in den vorangehenden Versen: koordinierende Konjunktion, Negation, Prädikat, präpositionaler Angabe mit Suffix und prädikative bzw. modale Bestimmung in Construct-Verbindung. Die größere Ausführlichkeit erklärt die spezifische Situation des falschen Zeugnisses.</w:t>
      </w:r>
    </w:p>
    <w:p w14:paraId="44A81AD7"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Der Vers formuliert das neunte Gebot: das Verbot falscher Zeugenaussage – Schutz der Rechtsordnung und des guten Rufes des Nächsten.</w:t>
      </w:r>
    </w:p>
    <w:p w14:paraId="001A76B0" w14:textId="77777777" w:rsidR="0054771B" w:rsidRPr="0054771B" w:rsidRDefault="0054771B" w:rsidP="0054771B">
      <w:pPr>
        <w:spacing w:before="100" w:beforeAutospacing="1" w:after="100" w:afterAutospacing="1" w:line="240" w:lineRule="auto"/>
        <w:outlineLvl w:val="1"/>
        <w:rPr>
          <w:rFonts w:eastAsia="Times New Roman"/>
          <w:b/>
          <w:bCs/>
          <w:sz w:val="36"/>
          <w:szCs w:val="36"/>
          <w:lang w:eastAsia="de-DE"/>
        </w:rPr>
      </w:pPr>
      <w:r w:rsidRPr="0054771B">
        <w:rPr>
          <w:rFonts w:eastAsia="Times New Roman"/>
          <w:b/>
          <w:bCs/>
          <w:sz w:val="36"/>
          <w:szCs w:val="36"/>
          <w:lang w:eastAsia="de-DE"/>
        </w:rPr>
        <w:t>Deuteronomium 5,21</w:t>
      </w:r>
    </w:p>
    <w:p w14:paraId="1247E37B"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Hebräisch:</w:t>
      </w:r>
      <w:r w:rsidRPr="0054771B">
        <w:rPr>
          <w:rFonts w:eastAsia="Times New Roman"/>
          <w:lang w:eastAsia="de-DE"/>
        </w:rPr>
        <w:t xml:space="preserve"> </w:t>
      </w:r>
      <w:r w:rsidRPr="0054771B">
        <w:rPr>
          <w:rFonts w:eastAsia="Times New Roman"/>
          <w:rtl/>
          <w:lang w:eastAsia="de-DE"/>
        </w:rPr>
        <w:t>וְלֹא תַחְמֹד אֵשֶׁת רֵעֶךָ וְלֹא תִתְאַוֶּה בֵּית רֵעֶךָ שָׂדֵהוּ וְעַבְדּוֹ וַאֲמָתוֹ שׁוֹרוֹ וַחֲמֹרוֹ וְכֹל אֲשֶׁר לְרֵעֶךָ׃</w:t>
      </w:r>
    </w:p>
    <w:p w14:paraId="6AEE993C"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Deutsch:</w:t>
      </w:r>
      <w:r w:rsidRPr="0054771B">
        <w:rPr>
          <w:rFonts w:eastAsia="Times New Roman"/>
          <w:lang w:eastAsia="de-DE"/>
        </w:rPr>
        <w:t xml:space="preserve"> Und du sollst nicht begehren die Frau deines Nächsten; und du sollst dich nicht gelüsten lassen nach dem Haus deines Nächsten, seinem Feld oder seinem Knecht oder seiner Magd, seinem Rind oder seinem Esel oder allem, was deinem Nächsten ist.</w:t>
      </w:r>
    </w:p>
    <w:p w14:paraId="5E7979CE" w14:textId="77777777" w:rsidR="0054771B" w:rsidRPr="0054771B" w:rsidRDefault="004F5CEB" w:rsidP="0054771B">
      <w:pPr>
        <w:spacing w:after="0" w:line="240" w:lineRule="auto"/>
        <w:rPr>
          <w:rFonts w:eastAsia="Times New Roman"/>
          <w:lang w:eastAsia="de-DE"/>
        </w:rPr>
      </w:pPr>
      <w:r>
        <w:rPr>
          <w:rFonts w:eastAsia="Times New Roman"/>
          <w:noProof/>
          <w:lang w:eastAsia="de-DE"/>
        </w:rPr>
        <w:pict w14:anchorId="06B48AC3">
          <v:rect id="_x0000_i1206" style="width:0;height:1.5pt" o:hralign="center" o:hrstd="t" o:hr="t" fillcolor="#a0a0a0" stroked="f"/>
        </w:pict>
      </w:r>
    </w:p>
    <w:p w14:paraId="7542AC2C"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Kommentar:</w:t>
      </w:r>
      <w:r w:rsidRPr="0054771B">
        <w:rPr>
          <w:rFonts w:eastAsia="Times New Roman"/>
          <w:lang w:eastAsia="de-DE"/>
        </w:rPr>
        <w:t xml:space="preserve"> </w:t>
      </w:r>
      <w:r w:rsidRPr="0054771B">
        <w:rPr>
          <w:rFonts w:eastAsia="Times New Roman"/>
          <w:b/>
          <w:bCs/>
          <w:rtl/>
          <w:lang w:eastAsia="de-DE"/>
        </w:rPr>
        <w:t>וְלֹא תַחְמֹד אֵשֶׁת רֵעֶךָ</w:t>
      </w:r>
      <w:r w:rsidRPr="0054771B">
        <w:rPr>
          <w:rFonts w:eastAsia="Times New Roman"/>
          <w:rtl/>
          <w:lang w:eastAsia="de-DE"/>
        </w:rPr>
        <w:t xml:space="preserve"> </w:t>
      </w:r>
      <w:r w:rsidRPr="0054771B">
        <w:rPr>
          <w:rFonts w:eastAsia="Times New Roman"/>
          <w:lang w:eastAsia="de-DE"/>
        </w:rPr>
        <w:t xml:space="preserve">ist der erste Teil: </w:t>
      </w:r>
      <w:r w:rsidRPr="0054771B">
        <w:rPr>
          <w:rFonts w:eastAsia="Times New Roman"/>
          <w:b/>
          <w:bCs/>
          <w:rtl/>
          <w:lang w:eastAsia="de-DE"/>
        </w:rPr>
        <w:t>וְ</w:t>
      </w:r>
      <w:r w:rsidRPr="0054771B">
        <w:rPr>
          <w:rFonts w:eastAsia="Times New Roman"/>
          <w:rtl/>
          <w:lang w:eastAsia="de-DE"/>
        </w:rPr>
        <w:t xml:space="preserve"> </w:t>
      </w:r>
      <w:r w:rsidRPr="0054771B">
        <w:rPr>
          <w:rFonts w:eastAsia="Times New Roman"/>
          <w:lang w:eastAsia="de-DE"/>
        </w:rPr>
        <w:t xml:space="preserve">koordinierend, </w:t>
      </w:r>
      <w:r w:rsidRPr="0054771B">
        <w:rPr>
          <w:rFonts w:eastAsia="Times New Roman"/>
          <w:b/>
          <w:bCs/>
          <w:rtl/>
          <w:lang w:eastAsia="de-DE"/>
        </w:rPr>
        <w:t>לֹא</w:t>
      </w:r>
      <w:r w:rsidRPr="0054771B">
        <w:rPr>
          <w:rFonts w:eastAsia="Times New Roman"/>
          <w:rtl/>
          <w:lang w:eastAsia="de-DE"/>
        </w:rPr>
        <w:t xml:space="preserve"> </w:t>
      </w:r>
      <w:r w:rsidRPr="0054771B">
        <w:rPr>
          <w:rFonts w:eastAsia="Times New Roman"/>
          <w:lang w:eastAsia="de-DE"/>
        </w:rPr>
        <w:t xml:space="preserve">als Negation, </w:t>
      </w:r>
      <w:r w:rsidRPr="0054771B">
        <w:rPr>
          <w:rFonts w:eastAsia="Times New Roman"/>
          <w:b/>
          <w:bCs/>
          <w:rtl/>
          <w:lang w:eastAsia="de-DE"/>
        </w:rPr>
        <w:t>תַחְמֹד</w:t>
      </w:r>
      <w:r w:rsidRPr="0054771B">
        <w:rPr>
          <w:rFonts w:eastAsia="Times New Roman"/>
          <w:rtl/>
          <w:lang w:eastAsia="de-DE"/>
        </w:rPr>
        <w:t xml:space="preserve"> </w:t>
      </w:r>
      <w:r w:rsidRPr="0054771B">
        <w:rPr>
          <w:rFonts w:eastAsia="Times New Roman"/>
          <w:lang w:eastAsia="de-DE"/>
        </w:rPr>
        <w:t xml:space="preserve">als Qal Imperfekt, 2. Person Singular maskulin von </w:t>
      </w:r>
      <w:r w:rsidRPr="0054771B">
        <w:rPr>
          <w:rFonts w:eastAsia="Times New Roman"/>
          <w:b/>
          <w:bCs/>
          <w:rtl/>
          <w:lang w:eastAsia="de-DE"/>
        </w:rPr>
        <w:t>חמד</w:t>
      </w:r>
      <w:r w:rsidRPr="0054771B">
        <w:rPr>
          <w:rFonts w:eastAsia="Times New Roman"/>
          <w:rtl/>
          <w:lang w:eastAsia="de-DE"/>
        </w:rPr>
        <w:t xml:space="preserve"> </w:t>
      </w:r>
      <w:r w:rsidRPr="0054771B">
        <w:rPr>
          <w:rFonts w:eastAsia="Times New Roman"/>
          <w:lang w:eastAsia="de-DE"/>
        </w:rPr>
        <w:t xml:space="preserve">(„begehren, gelüsten nach"), </w:t>
      </w:r>
      <w:r w:rsidRPr="0054771B">
        <w:rPr>
          <w:rFonts w:eastAsia="Times New Roman"/>
          <w:b/>
          <w:bCs/>
          <w:rtl/>
          <w:lang w:eastAsia="de-DE"/>
        </w:rPr>
        <w:t>אֵשֶׁת רֵעֶךָ</w:t>
      </w:r>
      <w:r w:rsidRPr="0054771B">
        <w:rPr>
          <w:rFonts w:eastAsia="Times New Roman"/>
          <w:rtl/>
          <w:lang w:eastAsia="de-DE"/>
        </w:rPr>
        <w:t xml:space="preserve"> </w:t>
      </w:r>
      <w:r w:rsidRPr="0054771B">
        <w:rPr>
          <w:rFonts w:eastAsia="Times New Roman"/>
          <w:lang w:eastAsia="de-DE"/>
        </w:rPr>
        <w:t>als direktes Objekt (</w:t>
      </w:r>
      <w:r w:rsidRPr="0054771B">
        <w:rPr>
          <w:rFonts w:eastAsia="Times New Roman"/>
          <w:b/>
          <w:bCs/>
          <w:rtl/>
          <w:lang w:eastAsia="de-DE"/>
        </w:rPr>
        <w:t>אִשָּׁה</w:t>
      </w:r>
      <w:r w:rsidRPr="0054771B">
        <w:rPr>
          <w:rFonts w:eastAsia="Times New Roman"/>
          <w:lang w:eastAsia="de-DE"/>
        </w:rPr>
        <w:t xml:space="preserve">, „Frau", im Construct mit </w:t>
      </w:r>
      <w:r w:rsidRPr="0054771B">
        <w:rPr>
          <w:rFonts w:eastAsia="Times New Roman"/>
          <w:b/>
          <w:bCs/>
          <w:rtl/>
          <w:lang w:eastAsia="de-DE"/>
        </w:rPr>
        <w:t>רֵעַ</w:t>
      </w:r>
      <w:r w:rsidRPr="0054771B">
        <w:rPr>
          <w:rFonts w:eastAsia="Times New Roman"/>
          <w:rtl/>
          <w:lang w:eastAsia="de-DE"/>
        </w:rPr>
        <w:t xml:space="preserve"> </w:t>
      </w:r>
      <w:r w:rsidRPr="0054771B">
        <w:rPr>
          <w:rFonts w:eastAsia="Times New Roman"/>
          <w:lang w:eastAsia="de-DE"/>
        </w:rPr>
        <w:t>und Suffix 2. Person Singular maskulin).</w:t>
      </w:r>
    </w:p>
    <w:p w14:paraId="19D41A1C"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rtl/>
          <w:lang w:eastAsia="de-DE"/>
        </w:rPr>
        <w:t>וְלֹא תִתְאַוֶּה בֵּית רֵעֶךָ שָׂדֵהוּ וְעַבְדּוֹ וַאֲמָתוֹ שׁוֹרוֹ וַחֲמֹרוֹ וְכֹל אֲשֶׁר לְרֵעֶךָ</w:t>
      </w:r>
      <w:r w:rsidRPr="0054771B">
        <w:rPr>
          <w:rFonts w:eastAsia="Times New Roman"/>
          <w:rtl/>
          <w:lang w:eastAsia="de-DE"/>
        </w:rPr>
        <w:t xml:space="preserve"> </w:t>
      </w:r>
      <w:r w:rsidRPr="0054771B">
        <w:rPr>
          <w:rFonts w:eastAsia="Times New Roman"/>
          <w:lang w:eastAsia="de-DE"/>
        </w:rPr>
        <w:t xml:space="preserve">ist der zweite, ausführlichere Teil: </w:t>
      </w:r>
      <w:r w:rsidRPr="0054771B">
        <w:rPr>
          <w:rFonts w:eastAsia="Times New Roman"/>
          <w:b/>
          <w:bCs/>
          <w:rtl/>
          <w:lang w:eastAsia="de-DE"/>
        </w:rPr>
        <w:t>וְלֹא תִתְאַוֶּה</w:t>
      </w:r>
      <w:r w:rsidRPr="0054771B">
        <w:rPr>
          <w:rFonts w:eastAsia="Times New Roman"/>
          <w:rtl/>
          <w:lang w:eastAsia="de-DE"/>
        </w:rPr>
        <w:t xml:space="preserve"> </w:t>
      </w:r>
      <w:r w:rsidRPr="0054771B">
        <w:rPr>
          <w:rFonts w:eastAsia="Times New Roman"/>
          <w:lang w:eastAsia="de-DE"/>
        </w:rPr>
        <w:t xml:space="preserve">(Hitpael Imperfekt, 2. Person Singular maskulin von </w:t>
      </w:r>
      <w:r w:rsidRPr="0054771B">
        <w:rPr>
          <w:rFonts w:eastAsia="Times New Roman"/>
          <w:b/>
          <w:bCs/>
          <w:rtl/>
          <w:lang w:eastAsia="de-DE"/>
        </w:rPr>
        <w:t>אוה</w:t>
      </w:r>
      <w:r w:rsidRPr="0054771B">
        <w:rPr>
          <w:rFonts w:eastAsia="Times New Roman"/>
          <w:lang w:eastAsia="de-DE"/>
        </w:rPr>
        <w:t xml:space="preserve">, „begehren, wünschen", mit </w:t>
      </w:r>
      <w:r w:rsidRPr="0054771B">
        <w:rPr>
          <w:rFonts w:eastAsia="Times New Roman"/>
          <w:b/>
          <w:bCs/>
          <w:rtl/>
          <w:lang w:eastAsia="de-DE"/>
        </w:rPr>
        <w:t>וְ</w:t>
      </w:r>
      <w:r w:rsidRPr="0054771B">
        <w:rPr>
          <w:rFonts w:eastAsia="Times New Roman"/>
          <w:rtl/>
          <w:lang w:eastAsia="de-DE"/>
        </w:rPr>
        <w:t xml:space="preserve"> </w:t>
      </w:r>
      <w:r w:rsidRPr="0054771B">
        <w:rPr>
          <w:rFonts w:eastAsia="Times New Roman"/>
          <w:lang w:eastAsia="de-DE"/>
        </w:rPr>
        <w:t xml:space="preserve">und Negation), </w:t>
      </w:r>
      <w:r w:rsidRPr="0054771B">
        <w:rPr>
          <w:rFonts w:eastAsia="Times New Roman"/>
          <w:b/>
          <w:bCs/>
          <w:rtl/>
          <w:lang w:eastAsia="de-DE"/>
        </w:rPr>
        <w:t>בֵּית רֵעֶךָ</w:t>
      </w:r>
      <w:r w:rsidRPr="0054771B">
        <w:rPr>
          <w:rFonts w:eastAsia="Times New Roman"/>
          <w:rtl/>
          <w:lang w:eastAsia="de-DE"/>
        </w:rPr>
        <w:t xml:space="preserve"> </w:t>
      </w:r>
      <w:r w:rsidRPr="0054771B">
        <w:rPr>
          <w:rFonts w:eastAsia="Times New Roman"/>
          <w:lang w:eastAsia="de-DE"/>
        </w:rPr>
        <w:t xml:space="preserve">als erstes Objekt, gefolgt von einer fünfgliedrigen koordinierten Aufzählung: </w:t>
      </w:r>
      <w:r w:rsidRPr="0054771B">
        <w:rPr>
          <w:rFonts w:eastAsia="Times New Roman"/>
          <w:b/>
          <w:bCs/>
          <w:rtl/>
          <w:lang w:eastAsia="de-DE"/>
        </w:rPr>
        <w:t>שָׂדֵהוּ</w:t>
      </w:r>
      <w:r w:rsidRPr="0054771B">
        <w:rPr>
          <w:rFonts w:eastAsia="Times New Roman"/>
          <w:rtl/>
          <w:lang w:eastAsia="de-DE"/>
        </w:rPr>
        <w:t xml:space="preserve"> </w:t>
      </w:r>
      <w:r w:rsidRPr="0054771B">
        <w:rPr>
          <w:rFonts w:eastAsia="Times New Roman"/>
          <w:lang w:eastAsia="de-DE"/>
        </w:rPr>
        <w:t>(</w:t>
      </w:r>
      <w:r w:rsidRPr="0054771B">
        <w:rPr>
          <w:rFonts w:eastAsia="Times New Roman"/>
          <w:b/>
          <w:bCs/>
          <w:rtl/>
          <w:lang w:eastAsia="de-DE"/>
        </w:rPr>
        <w:t>שָׂדֶה</w:t>
      </w:r>
      <w:r w:rsidRPr="0054771B">
        <w:rPr>
          <w:rFonts w:eastAsia="Times New Roman"/>
          <w:lang w:eastAsia="de-DE"/>
        </w:rPr>
        <w:t xml:space="preserve">, „Feld", mit Suffix 3. Person Singular maskulin), </w:t>
      </w:r>
      <w:r w:rsidRPr="0054771B">
        <w:rPr>
          <w:rFonts w:eastAsia="Times New Roman"/>
          <w:b/>
          <w:bCs/>
          <w:rtl/>
          <w:lang w:eastAsia="de-DE"/>
        </w:rPr>
        <w:t>וְעַבְדּוֹ וַאֲמָתוֹ</w:t>
      </w:r>
      <w:r w:rsidRPr="0054771B">
        <w:rPr>
          <w:rFonts w:eastAsia="Times New Roman"/>
          <w:rtl/>
          <w:lang w:eastAsia="de-DE"/>
        </w:rPr>
        <w:t xml:space="preserve"> </w:t>
      </w:r>
      <w:r w:rsidRPr="0054771B">
        <w:rPr>
          <w:rFonts w:eastAsia="Times New Roman"/>
          <w:lang w:eastAsia="de-DE"/>
        </w:rPr>
        <w:t>(</w:t>
      </w:r>
      <w:r w:rsidRPr="0054771B">
        <w:rPr>
          <w:rFonts w:eastAsia="Times New Roman"/>
          <w:b/>
          <w:bCs/>
          <w:rtl/>
          <w:lang w:eastAsia="de-DE"/>
        </w:rPr>
        <w:t>עֶבֶד</w:t>
      </w:r>
      <w:r w:rsidRPr="0054771B">
        <w:rPr>
          <w:rFonts w:eastAsia="Times New Roman"/>
          <w:lang w:eastAsia="de-DE"/>
        </w:rPr>
        <w:t xml:space="preserve">, „Knecht", und </w:t>
      </w:r>
      <w:r w:rsidRPr="0054771B">
        <w:rPr>
          <w:rFonts w:eastAsia="Times New Roman"/>
          <w:b/>
          <w:bCs/>
          <w:rtl/>
          <w:lang w:eastAsia="de-DE"/>
        </w:rPr>
        <w:t>אָמָה</w:t>
      </w:r>
      <w:r w:rsidRPr="0054771B">
        <w:rPr>
          <w:rFonts w:eastAsia="Times New Roman"/>
          <w:lang w:eastAsia="de-DE"/>
        </w:rPr>
        <w:t xml:space="preserve">, „Magd", beide mit Suffix), </w:t>
      </w:r>
      <w:r w:rsidRPr="0054771B">
        <w:rPr>
          <w:rFonts w:eastAsia="Times New Roman"/>
          <w:b/>
          <w:bCs/>
          <w:rtl/>
          <w:lang w:eastAsia="de-DE"/>
        </w:rPr>
        <w:t>שׁוֹרוֹ וַחֲמֹרוֹ</w:t>
      </w:r>
      <w:r w:rsidRPr="0054771B">
        <w:rPr>
          <w:rFonts w:eastAsia="Times New Roman"/>
          <w:rtl/>
          <w:lang w:eastAsia="de-DE"/>
        </w:rPr>
        <w:t xml:space="preserve"> </w:t>
      </w:r>
      <w:r w:rsidRPr="0054771B">
        <w:rPr>
          <w:rFonts w:eastAsia="Times New Roman"/>
          <w:lang w:eastAsia="de-DE"/>
        </w:rPr>
        <w:t>(</w:t>
      </w:r>
      <w:r w:rsidRPr="0054771B">
        <w:rPr>
          <w:rFonts w:eastAsia="Times New Roman"/>
          <w:b/>
          <w:bCs/>
          <w:rtl/>
          <w:lang w:eastAsia="de-DE"/>
        </w:rPr>
        <w:t>שׁוֹר</w:t>
      </w:r>
      <w:r w:rsidRPr="0054771B">
        <w:rPr>
          <w:rFonts w:eastAsia="Times New Roman"/>
          <w:lang w:eastAsia="de-DE"/>
        </w:rPr>
        <w:t xml:space="preserve">, „Rind", und </w:t>
      </w:r>
      <w:r w:rsidRPr="0054771B">
        <w:rPr>
          <w:rFonts w:eastAsia="Times New Roman"/>
          <w:b/>
          <w:bCs/>
          <w:rtl/>
          <w:lang w:eastAsia="de-DE"/>
        </w:rPr>
        <w:t>חֲמוֹר</w:t>
      </w:r>
      <w:r w:rsidRPr="0054771B">
        <w:rPr>
          <w:rFonts w:eastAsia="Times New Roman"/>
          <w:lang w:eastAsia="de-DE"/>
        </w:rPr>
        <w:t xml:space="preserve">, „Esel", beide mit Suffix), </w:t>
      </w:r>
      <w:r w:rsidRPr="0054771B">
        <w:rPr>
          <w:rFonts w:eastAsia="Times New Roman"/>
          <w:b/>
          <w:bCs/>
          <w:rtl/>
          <w:lang w:eastAsia="de-DE"/>
        </w:rPr>
        <w:t>וְכֹל אֲשֶׁר לְרֵעֶךָ</w:t>
      </w:r>
      <w:r w:rsidRPr="0054771B">
        <w:rPr>
          <w:rFonts w:eastAsia="Times New Roman"/>
          <w:rtl/>
          <w:lang w:eastAsia="de-DE"/>
        </w:rPr>
        <w:t xml:space="preserve"> </w:t>
      </w:r>
      <w:r w:rsidRPr="0054771B">
        <w:rPr>
          <w:rFonts w:eastAsia="Times New Roman"/>
          <w:lang w:eastAsia="de-DE"/>
        </w:rPr>
        <w:t>als abschließende Generalklausel (</w:t>
      </w:r>
      <w:r w:rsidRPr="0054771B">
        <w:rPr>
          <w:rFonts w:eastAsia="Times New Roman"/>
          <w:b/>
          <w:bCs/>
          <w:rtl/>
          <w:lang w:eastAsia="de-DE"/>
        </w:rPr>
        <w:t>כֹל</w:t>
      </w:r>
      <w:r w:rsidRPr="0054771B">
        <w:rPr>
          <w:rFonts w:eastAsia="Times New Roman"/>
          <w:rtl/>
          <w:lang w:eastAsia="de-DE"/>
        </w:rPr>
        <w:t xml:space="preserve"> </w:t>
      </w:r>
      <w:r w:rsidRPr="0054771B">
        <w:rPr>
          <w:rFonts w:eastAsia="Times New Roman"/>
          <w:lang w:eastAsia="de-DE"/>
        </w:rPr>
        <w:t xml:space="preserve">mit Relativsatz </w:t>
      </w:r>
      <w:r w:rsidRPr="0054771B">
        <w:rPr>
          <w:rFonts w:eastAsia="Times New Roman"/>
          <w:b/>
          <w:bCs/>
          <w:rtl/>
          <w:lang w:eastAsia="de-DE"/>
        </w:rPr>
        <w:t>אֲשֶׁר לְרֵעֶךָ</w:t>
      </w:r>
      <w:r w:rsidRPr="0054771B">
        <w:rPr>
          <w:rFonts w:eastAsia="Times New Roman"/>
          <w:rtl/>
          <w:lang w:eastAsia="de-DE"/>
        </w:rPr>
        <w:t xml:space="preserve"> </w:t>
      </w:r>
      <w:r w:rsidRPr="0054771B">
        <w:rPr>
          <w:rFonts w:eastAsia="Times New Roman"/>
          <w:lang w:eastAsia="de-DE"/>
        </w:rPr>
        <w:t>– „alles, was deinem Nächsten [gehört]").</w:t>
      </w:r>
    </w:p>
    <w:p w14:paraId="78FA5D0A"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 xml:space="preserve">Der entscheidende Unterschied zur </w:t>
      </w:r>
      <w:proofErr w:type="spellStart"/>
      <w:r w:rsidRPr="0054771B">
        <w:rPr>
          <w:rFonts w:eastAsia="Times New Roman"/>
          <w:lang w:eastAsia="de-DE"/>
        </w:rPr>
        <w:t>Exodusversion</w:t>
      </w:r>
      <w:proofErr w:type="spellEnd"/>
      <w:r w:rsidRPr="0054771B">
        <w:rPr>
          <w:rFonts w:eastAsia="Times New Roman"/>
          <w:lang w:eastAsia="de-DE"/>
        </w:rPr>
        <w:t xml:space="preserve"> (Ex 20,17) besteht darin, dass hier zwei verschiedene Verben verwendet werden (</w:t>
      </w:r>
      <w:r w:rsidRPr="0054771B">
        <w:rPr>
          <w:rFonts w:eastAsia="Times New Roman"/>
          <w:b/>
          <w:bCs/>
          <w:rtl/>
          <w:lang w:eastAsia="de-DE"/>
        </w:rPr>
        <w:t>חמד</w:t>
      </w:r>
      <w:r w:rsidRPr="0054771B">
        <w:rPr>
          <w:rFonts w:eastAsia="Times New Roman"/>
          <w:rtl/>
          <w:lang w:eastAsia="de-DE"/>
        </w:rPr>
        <w:t xml:space="preserve"> </w:t>
      </w:r>
      <w:r w:rsidRPr="0054771B">
        <w:rPr>
          <w:rFonts w:eastAsia="Times New Roman"/>
          <w:lang w:eastAsia="de-DE"/>
        </w:rPr>
        <w:t xml:space="preserve">und </w:t>
      </w:r>
      <w:r w:rsidRPr="0054771B">
        <w:rPr>
          <w:rFonts w:eastAsia="Times New Roman"/>
          <w:b/>
          <w:bCs/>
          <w:rtl/>
          <w:lang w:eastAsia="de-DE"/>
        </w:rPr>
        <w:t>אוה</w:t>
      </w:r>
      <w:r w:rsidRPr="0054771B">
        <w:rPr>
          <w:rFonts w:eastAsia="Times New Roman"/>
          <w:lang w:eastAsia="de-DE"/>
        </w:rPr>
        <w:t xml:space="preserve">) und die Frau an erster Stelle steht (vor dem Haus). Dies könnte die Frau stärker als eigenständige Person (nicht als Besitz) würdigen. Die beiden Verben </w:t>
      </w:r>
      <w:r w:rsidRPr="0054771B">
        <w:rPr>
          <w:rFonts w:eastAsia="Times New Roman"/>
          <w:b/>
          <w:bCs/>
          <w:rtl/>
          <w:lang w:eastAsia="de-DE"/>
        </w:rPr>
        <w:t>חמד</w:t>
      </w:r>
      <w:r w:rsidRPr="0054771B">
        <w:rPr>
          <w:rFonts w:eastAsia="Times New Roman"/>
          <w:rtl/>
          <w:lang w:eastAsia="de-DE"/>
        </w:rPr>
        <w:t xml:space="preserve"> </w:t>
      </w:r>
      <w:r w:rsidRPr="0054771B">
        <w:rPr>
          <w:rFonts w:eastAsia="Times New Roman"/>
          <w:lang w:eastAsia="de-DE"/>
        </w:rPr>
        <w:t xml:space="preserve">und </w:t>
      </w:r>
      <w:r w:rsidRPr="0054771B">
        <w:rPr>
          <w:rFonts w:eastAsia="Times New Roman"/>
          <w:b/>
          <w:bCs/>
          <w:rtl/>
          <w:lang w:eastAsia="de-DE"/>
        </w:rPr>
        <w:t>אוה</w:t>
      </w:r>
      <w:r w:rsidRPr="0054771B">
        <w:rPr>
          <w:rFonts w:eastAsia="Times New Roman"/>
          <w:rtl/>
          <w:lang w:eastAsia="de-DE"/>
        </w:rPr>
        <w:t xml:space="preserve"> </w:t>
      </w:r>
      <w:r w:rsidRPr="0054771B">
        <w:rPr>
          <w:rFonts w:eastAsia="Times New Roman"/>
          <w:lang w:eastAsia="de-DE"/>
        </w:rPr>
        <w:t xml:space="preserve">sind weitgehend synonym, wobei </w:t>
      </w:r>
      <w:r w:rsidRPr="0054771B">
        <w:rPr>
          <w:rFonts w:eastAsia="Times New Roman"/>
          <w:b/>
          <w:bCs/>
          <w:rtl/>
          <w:lang w:eastAsia="de-DE"/>
        </w:rPr>
        <w:t>אוה</w:t>
      </w:r>
      <w:r w:rsidRPr="0054771B">
        <w:rPr>
          <w:rFonts w:eastAsia="Times New Roman"/>
          <w:rtl/>
          <w:lang w:eastAsia="de-DE"/>
        </w:rPr>
        <w:t xml:space="preserve"> </w:t>
      </w:r>
      <w:r w:rsidRPr="0054771B">
        <w:rPr>
          <w:rFonts w:eastAsia="Times New Roman"/>
          <w:lang w:eastAsia="de-DE"/>
        </w:rPr>
        <w:t>im Hitpael vielleicht ein stärkeres emotionales Verlangen ausdrückt.</w:t>
      </w:r>
    </w:p>
    <w:p w14:paraId="37D043AA"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Das zehnte Gebot unterscheidet sich von den vorangehenden dadurch, dass es nicht eine äußere Tat, sondern die innere Haltung des Begehrens verbietet. Es zielt auf die Wurzel der in den anderen Geboten verbotenen Taten: die Begehrlichkeit.</w:t>
      </w:r>
    </w:p>
    <w:p w14:paraId="4BC0B47D"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lastRenderedPageBreak/>
        <w:t>Die Satzstruktur besteht aus zwei koordinierten prohibitiven Sätzen mit jeweils Konjunktion, Negation und Prädikat: Der erste mit einfachem direktem Objekt in Construct-Verbindung, der zweite mit direktem Objekt und fünfgliedriger koordinierter Aufzählung (alle mit Suffixen) sowie abschließender Generalklausel mit Relativsatz. Die extensive Aufzählung unterstreicht die Totalität des Begehrensverbots.</w:t>
      </w:r>
    </w:p>
    <w:p w14:paraId="3AD8F02F"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Der Vers formuliert das zehnte Gebot: das Verbot des Begehrens nach allem, was dem Nächsten gehört – ein Gebot, das die innere Haltung betrifft und die Wurzel sozialer Konflikte anspricht.</w:t>
      </w:r>
    </w:p>
    <w:p w14:paraId="2F830D92" w14:textId="77777777" w:rsidR="0054771B" w:rsidRPr="0054771B" w:rsidRDefault="0054771B" w:rsidP="0054771B">
      <w:pPr>
        <w:spacing w:before="100" w:beforeAutospacing="1" w:after="100" w:afterAutospacing="1" w:line="240" w:lineRule="auto"/>
        <w:outlineLvl w:val="1"/>
        <w:rPr>
          <w:rFonts w:eastAsia="Times New Roman"/>
          <w:b/>
          <w:bCs/>
          <w:sz w:val="36"/>
          <w:szCs w:val="36"/>
          <w:lang w:eastAsia="de-DE"/>
        </w:rPr>
      </w:pPr>
      <w:r w:rsidRPr="0054771B">
        <w:rPr>
          <w:rFonts w:eastAsia="Times New Roman"/>
          <w:b/>
          <w:bCs/>
          <w:sz w:val="36"/>
          <w:szCs w:val="36"/>
          <w:lang w:eastAsia="de-DE"/>
        </w:rPr>
        <w:t>Deuteronomium 5,22</w:t>
      </w:r>
    </w:p>
    <w:p w14:paraId="51AC735A"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Hebräisch:</w:t>
      </w:r>
      <w:r w:rsidRPr="0054771B">
        <w:rPr>
          <w:rFonts w:eastAsia="Times New Roman"/>
          <w:lang w:eastAsia="de-DE"/>
        </w:rPr>
        <w:t xml:space="preserve"> </w:t>
      </w:r>
      <w:r w:rsidRPr="0054771B">
        <w:rPr>
          <w:rFonts w:eastAsia="Times New Roman"/>
          <w:rtl/>
          <w:lang w:eastAsia="de-DE"/>
        </w:rPr>
        <w:t>אֶת־הַדְּבָרִים הָאֵלֶּה דִּבֶּר יְהוָה אֶל־כָּל־קְהַלְכֶם בָּהָר מִתּוֹךְ הָאֵשׁ הֶעָנָן וְהָעֲרָפֶל קוֹל גָּדוֹל וְלֹא יָסָף וַיִּכְתְּבֵם עַל־שְׁנֵי לֻחֹת אֲבָנִים וַיִּתְּנֵם אֵלָי׃</w:t>
      </w:r>
    </w:p>
    <w:p w14:paraId="5FD23150"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Deutsch:</w:t>
      </w:r>
      <w:r w:rsidRPr="0054771B">
        <w:rPr>
          <w:rFonts w:eastAsia="Times New Roman"/>
          <w:lang w:eastAsia="de-DE"/>
        </w:rPr>
        <w:t xml:space="preserve"> Diese Worte redete der Ewige zu eurer ganzen Versammlung auf dem Berg, mitten aus dem Feuer, dem Gewölk und dem Dunkel, mit lauter Stimme, und er fügte nichts hinzu. Und er schrieb sie auf zwei Tafeln von Stein und gab sie mir.</w:t>
      </w:r>
    </w:p>
    <w:p w14:paraId="1DBAC04D" w14:textId="77777777" w:rsidR="0054771B" w:rsidRPr="0054771B" w:rsidRDefault="004F5CEB" w:rsidP="0054771B">
      <w:pPr>
        <w:spacing w:after="0" w:line="240" w:lineRule="auto"/>
        <w:rPr>
          <w:rFonts w:eastAsia="Times New Roman"/>
          <w:lang w:eastAsia="de-DE"/>
        </w:rPr>
      </w:pPr>
      <w:r>
        <w:rPr>
          <w:rFonts w:eastAsia="Times New Roman"/>
          <w:noProof/>
          <w:lang w:eastAsia="de-DE"/>
        </w:rPr>
        <w:pict w14:anchorId="573C11B0">
          <v:rect id="_x0000_i1207" style="width:0;height:1.5pt" o:hralign="center" o:hrstd="t" o:hr="t" fillcolor="#a0a0a0" stroked="f"/>
        </w:pict>
      </w:r>
    </w:p>
    <w:p w14:paraId="20701594"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Kommentar:</w:t>
      </w:r>
      <w:r w:rsidRPr="0054771B">
        <w:rPr>
          <w:rFonts w:eastAsia="Times New Roman"/>
          <w:lang w:eastAsia="de-DE"/>
        </w:rPr>
        <w:t xml:space="preserve"> </w:t>
      </w:r>
      <w:r w:rsidRPr="0054771B">
        <w:rPr>
          <w:rFonts w:eastAsia="Times New Roman"/>
          <w:b/>
          <w:bCs/>
          <w:rtl/>
          <w:lang w:eastAsia="de-DE"/>
        </w:rPr>
        <w:t>אֶת־הַדְּבָרִים הָאֵלֶּה דִּבֶּר יְהוָה אֶל־כָּל־קְהַלְכֶם בָּהָר</w:t>
      </w:r>
      <w:r w:rsidRPr="0054771B">
        <w:rPr>
          <w:rFonts w:eastAsia="Times New Roman"/>
          <w:rtl/>
          <w:lang w:eastAsia="de-DE"/>
        </w:rPr>
        <w:t xml:space="preserve"> </w:t>
      </w:r>
      <w:r w:rsidRPr="0054771B">
        <w:rPr>
          <w:rFonts w:eastAsia="Times New Roman"/>
          <w:lang w:eastAsia="de-DE"/>
        </w:rPr>
        <w:t xml:space="preserve">ist ein Hauptsatz mit vorausgestelltem direktem Objekt: </w:t>
      </w:r>
      <w:r w:rsidRPr="0054771B">
        <w:rPr>
          <w:rFonts w:eastAsia="Times New Roman"/>
          <w:b/>
          <w:bCs/>
          <w:rtl/>
          <w:lang w:eastAsia="de-DE"/>
        </w:rPr>
        <w:t>אֶת־הַדְּבָרִים הָאֵלֶּה</w:t>
      </w:r>
      <w:r w:rsidRPr="0054771B">
        <w:rPr>
          <w:rFonts w:eastAsia="Times New Roman"/>
          <w:rtl/>
          <w:lang w:eastAsia="de-DE"/>
        </w:rPr>
        <w:t xml:space="preserve"> </w:t>
      </w:r>
      <w:r w:rsidRPr="0054771B">
        <w:rPr>
          <w:rFonts w:eastAsia="Times New Roman"/>
          <w:lang w:eastAsia="de-DE"/>
        </w:rPr>
        <w:t xml:space="preserve">(nota accusativi mit </w:t>
      </w:r>
      <w:r w:rsidRPr="0054771B">
        <w:rPr>
          <w:rFonts w:eastAsia="Times New Roman"/>
          <w:b/>
          <w:bCs/>
          <w:rtl/>
          <w:lang w:eastAsia="de-DE"/>
        </w:rPr>
        <w:t>דָּבָר</w:t>
      </w:r>
      <w:r w:rsidRPr="0054771B">
        <w:rPr>
          <w:rFonts w:eastAsia="Times New Roman"/>
          <w:lang w:eastAsia="de-DE"/>
        </w:rPr>
        <w:t xml:space="preserve">, „Wort", Plural, und Demonstrativpronomen </w:t>
      </w:r>
      <w:r w:rsidRPr="0054771B">
        <w:rPr>
          <w:rFonts w:eastAsia="Times New Roman"/>
          <w:b/>
          <w:bCs/>
          <w:rtl/>
          <w:lang w:eastAsia="de-DE"/>
        </w:rPr>
        <w:t>הָאֵלֶּה</w:t>
      </w:r>
      <w:r w:rsidRPr="0054771B">
        <w:rPr>
          <w:rFonts w:eastAsia="Times New Roman"/>
          <w:lang w:eastAsia="de-DE"/>
        </w:rPr>
        <w:t xml:space="preserve">), </w:t>
      </w:r>
      <w:r w:rsidRPr="0054771B">
        <w:rPr>
          <w:rFonts w:eastAsia="Times New Roman"/>
          <w:b/>
          <w:bCs/>
          <w:rtl/>
          <w:lang w:eastAsia="de-DE"/>
        </w:rPr>
        <w:t>דִּבֶּר</w:t>
      </w:r>
      <w:r w:rsidRPr="0054771B">
        <w:rPr>
          <w:rFonts w:eastAsia="Times New Roman"/>
          <w:rtl/>
          <w:lang w:eastAsia="de-DE"/>
        </w:rPr>
        <w:t xml:space="preserve"> </w:t>
      </w:r>
      <w:r w:rsidRPr="0054771B">
        <w:rPr>
          <w:rFonts w:eastAsia="Times New Roman"/>
          <w:lang w:eastAsia="de-DE"/>
        </w:rPr>
        <w:t xml:space="preserve">als Piel Perfekt, 3. Person Singular maskulin von </w:t>
      </w:r>
      <w:r w:rsidRPr="0054771B">
        <w:rPr>
          <w:rFonts w:eastAsia="Times New Roman"/>
          <w:b/>
          <w:bCs/>
          <w:rtl/>
          <w:lang w:eastAsia="de-DE"/>
        </w:rPr>
        <w:t>דבר</w:t>
      </w:r>
      <w:r w:rsidRPr="0054771B">
        <w:rPr>
          <w:rFonts w:eastAsia="Times New Roman"/>
          <w:lang w:eastAsia="de-DE"/>
        </w:rPr>
        <w:t xml:space="preserve">, </w:t>
      </w:r>
      <w:r w:rsidRPr="0054771B">
        <w:rPr>
          <w:rFonts w:eastAsia="Times New Roman"/>
          <w:b/>
          <w:bCs/>
          <w:rtl/>
          <w:lang w:eastAsia="de-DE"/>
        </w:rPr>
        <w:t>יְהוָה</w:t>
      </w:r>
      <w:r w:rsidRPr="0054771B">
        <w:rPr>
          <w:rFonts w:eastAsia="Times New Roman"/>
          <w:rtl/>
          <w:lang w:eastAsia="de-DE"/>
        </w:rPr>
        <w:t xml:space="preserve"> </w:t>
      </w:r>
      <w:r w:rsidRPr="0054771B">
        <w:rPr>
          <w:rFonts w:eastAsia="Times New Roman"/>
          <w:lang w:eastAsia="de-DE"/>
        </w:rPr>
        <w:t xml:space="preserve">als Subjekt, </w:t>
      </w:r>
      <w:r w:rsidRPr="0054771B">
        <w:rPr>
          <w:rFonts w:eastAsia="Times New Roman"/>
          <w:b/>
          <w:bCs/>
          <w:rtl/>
          <w:lang w:eastAsia="de-DE"/>
        </w:rPr>
        <w:t>אֶל־כָּל־קְהַלְכֶם</w:t>
      </w:r>
      <w:r w:rsidRPr="0054771B">
        <w:rPr>
          <w:rFonts w:eastAsia="Times New Roman"/>
          <w:rtl/>
          <w:lang w:eastAsia="de-DE"/>
        </w:rPr>
        <w:t xml:space="preserve"> </w:t>
      </w:r>
      <w:r w:rsidRPr="0054771B">
        <w:rPr>
          <w:rFonts w:eastAsia="Times New Roman"/>
          <w:lang w:eastAsia="de-DE"/>
        </w:rPr>
        <w:t>als Adressat (</w:t>
      </w:r>
      <w:r w:rsidRPr="0054771B">
        <w:rPr>
          <w:rFonts w:eastAsia="Times New Roman"/>
          <w:b/>
          <w:bCs/>
          <w:rtl/>
          <w:lang w:eastAsia="de-DE"/>
        </w:rPr>
        <w:t>אֶל</w:t>
      </w:r>
      <w:r w:rsidRPr="0054771B">
        <w:rPr>
          <w:rFonts w:eastAsia="Times New Roman"/>
          <w:rtl/>
          <w:lang w:eastAsia="de-DE"/>
        </w:rPr>
        <w:t xml:space="preserve"> </w:t>
      </w:r>
      <w:r w:rsidRPr="0054771B">
        <w:rPr>
          <w:rFonts w:eastAsia="Times New Roman"/>
          <w:lang w:eastAsia="de-DE"/>
        </w:rPr>
        <w:t xml:space="preserve">mit </w:t>
      </w:r>
      <w:r w:rsidRPr="0054771B">
        <w:rPr>
          <w:rFonts w:eastAsia="Times New Roman"/>
          <w:b/>
          <w:bCs/>
          <w:rtl/>
          <w:lang w:eastAsia="de-DE"/>
        </w:rPr>
        <w:t>כָּל</w:t>
      </w:r>
      <w:r w:rsidRPr="0054771B">
        <w:rPr>
          <w:rFonts w:eastAsia="Times New Roman"/>
          <w:rtl/>
          <w:lang w:eastAsia="de-DE"/>
        </w:rPr>
        <w:t xml:space="preserve"> </w:t>
      </w:r>
      <w:r w:rsidRPr="0054771B">
        <w:rPr>
          <w:rFonts w:eastAsia="Times New Roman"/>
          <w:lang w:eastAsia="de-DE"/>
        </w:rPr>
        <w:t xml:space="preserve">im Construct, </w:t>
      </w:r>
      <w:r w:rsidRPr="0054771B">
        <w:rPr>
          <w:rFonts w:eastAsia="Times New Roman"/>
          <w:b/>
          <w:bCs/>
          <w:rtl/>
          <w:lang w:eastAsia="de-DE"/>
        </w:rPr>
        <w:t>קָהָל</w:t>
      </w:r>
      <w:r w:rsidRPr="0054771B">
        <w:rPr>
          <w:rFonts w:eastAsia="Times New Roman"/>
          <w:lang w:eastAsia="de-DE"/>
        </w:rPr>
        <w:t xml:space="preserve">, „Versammlung", und Suffix 2. Person Plural maskulin), </w:t>
      </w:r>
      <w:r w:rsidRPr="0054771B">
        <w:rPr>
          <w:rFonts w:eastAsia="Times New Roman"/>
          <w:b/>
          <w:bCs/>
          <w:rtl/>
          <w:lang w:eastAsia="de-DE"/>
        </w:rPr>
        <w:t>בָּהָר</w:t>
      </w:r>
      <w:r w:rsidRPr="0054771B">
        <w:rPr>
          <w:rFonts w:eastAsia="Times New Roman"/>
          <w:rtl/>
          <w:lang w:eastAsia="de-DE"/>
        </w:rPr>
        <w:t xml:space="preserve"> </w:t>
      </w:r>
      <w:r w:rsidRPr="0054771B">
        <w:rPr>
          <w:rFonts w:eastAsia="Times New Roman"/>
          <w:lang w:eastAsia="de-DE"/>
        </w:rPr>
        <w:t>als Ortsangabe.</w:t>
      </w:r>
    </w:p>
    <w:p w14:paraId="06F88CCF"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rtl/>
          <w:lang w:eastAsia="de-DE"/>
        </w:rPr>
        <w:t>מִתּוֹךְ הָאֵשׁ הֶעָנָן וְהָעֲרָפֶל</w:t>
      </w:r>
      <w:r w:rsidRPr="0054771B">
        <w:rPr>
          <w:rFonts w:eastAsia="Times New Roman"/>
          <w:rtl/>
          <w:lang w:eastAsia="de-DE"/>
        </w:rPr>
        <w:t xml:space="preserve"> </w:t>
      </w:r>
      <w:r w:rsidRPr="0054771B">
        <w:rPr>
          <w:rFonts w:eastAsia="Times New Roman"/>
          <w:lang w:eastAsia="de-DE"/>
        </w:rPr>
        <w:t xml:space="preserve">ist eine dreigliedrige Herkunftsangabe: </w:t>
      </w:r>
      <w:r w:rsidRPr="0054771B">
        <w:rPr>
          <w:rFonts w:eastAsia="Times New Roman"/>
          <w:b/>
          <w:bCs/>
          <w:rtl/>
          <w:lang w:eastAsia="de-DE"/>
        </w:rPr>
        <w:t>מִתּוֹךְ הָאֵשׁ</w:t>
      </w:r>
      <w:r w:rsidRPr="0054771B">
        <w:rPr>
          <w:rFonts w:eastAsia="Times New Roman"/>
          <w:rtl/>
          <w:lang w:eastAsia="de-DE"/>
        </w:rPr>
        <w:t xml:space="preserve"> </w:t>
      </w:r>
      <w:r w:rsidRPr="0054771B">
        <w:rPr>
          <w:rFonts w:eastAsia="Times New Roman"/>
          <w:lang w:eastAsia="de-DE"/>
        </w:rPr>
        <w:t>(</w:t>
      </w:r>
      <w:r w:rsidRPr="0054771B">
        <w:rPr>
          <w:rFonts w:eastAsia="Times New Roman"/>
          <w:b/>
          <w:bCs/>
          <w:rtl/>
          <w:lang w:eastAsia="de-DE"/>
        </w:rPr>
        <w:t>מִן</w:t>
      </w:r>
      <w:r w:rsidRPr="0054771B">
        <w:rPr>
          <w:rFonts w:eastAsia="Times New Roman"/>
          <w:rtl/>
          <w:lang w:eastAsia="de-DE"/>
        </w:rPr>
        <w:t xml:space="preserve"> </w:t>
      </w:r>
      <w:r w:rsidRPr="0054771B">
        <w:rPr>
          <w:rFonts w:eastAsia="Times New Roman"/>
          <w:lang w:eastAsia="de-DE"/>
        </w:rPr>
        <w:t xml:space="preserve">mit </w:t>
      </w:r>
      <w:r w:rsidRPr="0054771B">
        <w:rPr>
          <w:rFonts w:eastAsia="Times New Roman"/>
          <w:b/>
          <w:bCs/>
          <w:rtl/>
          <w:lang w:eastAsia="de-DE"/>
        </w:rPr>
        <w:t>תּוֹךְ</w:t>
      </w:r>
      <w:r w:rsidRPr="0054771B">
        <w:rPr>
          <w:rFonts w:eastAsia="Times New Roman"/>
          <w:rtl/>
          <w:lang w:eastAsia="de-DE"/>
        </w:rPr>
        <w:t xml:space="preserve"> </w:t>
      </w:r>
      <w:r w:rsidRPr="0054771B">
        <w:rPr>
          <w:rFonts w:eastAsia="Times New Roman"/>
          <w:lang w:eastAsia="de-DE"/>
        </w:rPr>
        <w:t xml:space="preserve">im Construct und </w:t>
      </w:r>
      <w:r w:rsidRPr="0054771B">
        <w:rPr>
          <w:rFonts w:eastAsia="Times New Roman"/>
          <w:b/>
          <w:bCs/>
          <w:rtl/>
          <w:lang w:eastAsia="de-DE"/>
        </w:rPr>
        <w:t>הָאֵשׁ</w:t>
      </w:r>
      <w:r w:rsidRPr="0054771B">
        <w:rPr>
          <w:rFonts w:eastAsia="Times New Roman"/>
          <w:lang w:eastAsia="de-DE"/>
        </w:rPr>
        <w:t xml:space="preserve">), </w:t>
      </w:r>
      <w:r w:rsidRPr="0054771B">
        <w:rPr>
          <w:rFonts w:eastAsia="Times New Roman"/>
          <w:b/>
          <w:bCs/>
          <w:rtl/>
          <w:lang w:eastAsia="de-DE"/>
        </w:rPr>
        <w:t>הֶעָנָן</w:t>
      </w:r>
      <w:r w:rsidRPr="0054771B">
        <w:rPr>
          <w:rFonts w:eastAsia="Times New Roman"/>
          <w:rtl/>
          <w:lang w:eastAsia="de-DE"/>
        </w:rPr>
        <w:t xml:space="preserve"> </w:t>
      </w:r>
      <w:r w:rsidRPr="0054771B">
        <w:rPr>
          <w:rFonts w:eastAsia="Times New Roman"/>
          <w:lang w:eastAsia="de-DE"/>
        </w:rPr>
        <w:t>(</w:t>
      </w:r>
      <w:r w:rsidRPr="0054771B">
        <w:rPr>
          <w:rFonts w:eastAsia="Times New Roman"/>
          <w:b/>
          <w:bCs/>
          <w:rtl/>
          <w:lang w:eastAsia="de-DE"/>
        </w:rPr>
        <w:t>עָנָן</w:t>
      </w:r>
      <w:r w:rsidRPr="0054771B">
        <w:rPr>
          <w:rFonts w:eastAsia="Times New Roman"/>
          <w:lang w:eastAsia="de-DE"/>
        </w:rPr>
        <w:t xml:space="preserve">, „Wolke, Gewölk", mit Artikel), </w:t>
      </w:r>
      <w:r w:rsidRPr="0054771B">
        <w:rPr>
          <w:rFonts w:eastAsia="Times New Roman"/>
          <w:b/>
          <w:bCs/>
          <w:rtl/>
          <w:lang w:eastAsia="de-DE"/>
        </w:rPr>
        <w:t>וְהָעֲרָפֶל</w:t>
      </w:r>
      <w:r w:rsidRPr="0054771B">
        <w:rPr>
          <w:rFonts w:eastAsia="Times New Roman"/>
          <w:rtl/>
          <w:lang w:eastAsia="de-DE"/>
        </w:rPr>
        <w:t xml:space="preserve"> </w:t>
      </w:r>
      <w:r w:rsidRPr="0054771B">
        <w:rPr>
          <w:rFonts w:eastAsia="Times New Roman"/>
          <w:lang w:eastAsia="de-DE"/>
        </w:rPr>
        <w:t>(</w:t>
      </w:r>
      <w:r w:rsidRPr="0054771B">
        <w:rPr>
          <w:rFonts w:eastAsia="Times New Roman"/>
          <w:b/>
          <w:bCs/>
          <w:rtl/>
          <w:lang w:eastAsia="de-DE"/>
        </w:rPr>
        <w:t>עֲרָפֶל</w:t>
      </w:r>
      <w:r w:rsidRPr="0054771B">
        <w:rPr>
          <w:rFonts w:eastAsia="Times New Roman"/>
          <w:lang w:eastAsia="de-DE"/>
        </w:rPr>
        <w:t>, „dickes Dunkel, Wolkendunkel", mit Artikel). Die drei Begriffe beschreiben die Theophanie (vgl. 4,11).</w:t>
      </w:r>
    </w:p>
    <w:p w14:paraId="083EA3F7"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rtl/>
          <w:lang w:eastAsia="de-DE"/>
        </w:rPr>
        <w:t>קוֹל גָּדוֹל וְלֹא יָסָף</w:t>
      </w:r>
      <w:r w:rsidRPr="0054771B">
        <w:rPr>
          <w:rFonts w:eastAsia="Times New Roman"/>
          <w:rtl/>
          <w:lang w:eastAsia="de-DE"/>
        </w:rPr>
        <w:t xml:space="preserve"> </w:t>
      </w:r>
      <w:r w:rsidRPr="0054771B">
        <w:rPr>
          <w:rFonts w:eastAsia="Times New Roman"/>
          <w:lang w:eastAsia="de-DE"/>
        </w:rPr>
        <w:t xml:space="preserve">ist eine modale Bestimmung mit koordinierter Negation: </w:t>
      </w:r>
      <w:r w:rsidRPr="0054771B">
        <w:rPr>
          <w:rFonts w:eastAsia="Times New Roman"/>
          <w:b/>
          <w:bCs/>
          <w:rtl/>
          <w:lang w:eastAsia="de-DE"/>
        </w:rPr>
        <w:t>קוֹל גָּדוֹל</w:t>
      </w:r>
      <w:r w:rsidRPr="0054771B">
        <w:rPr>
          <w:rFonts w:eastAsia="Times New Roman"/>
          <w:rtl/>
          <w:lang w:eastAsia="de-DE"/>
        </w:rPr>
        <w:t xml:space="preserve"> </w:t>
      </w:r>
      <w:r w:rsidRPr="0054771B">
        <w:rPr>
          <w:rFonts w:eastAsia="Times New Roman"/>
          <w:lang w:eastAsia="de-DE"/>
        </w:rPr>
        <w:t>(</w:t>
      </w:r>
      <w:r w:rsidRPr="0054771B">
        <w:rPr>
          <w:rFonts w:eastAsia="Times New Roman"/>
          <w:b/>
          <w:bCs/>
          <w:rtl/>
          <w:lang w:eastAsia="de-DE"/>
        </w:rPr>
        <w:t>קוֹל</w:t>
      </w:r>
      <w:r w:rsidRPr="0054771B">
        <w:rPr>
          <w:rFonts w:eastAsia="Times New Roman"/>
          <w:lang w:eastAsia="de-DE"/>
        </w:rPr>
        <w:t xml:space="preserve">, „Stimme, Laut", mit Adjektiv </w:t>
      </w:r>
      <w:r w:rsidRPr="0054771B">
        <w:rPr>
          <w:rFonts w:eastAsia="Times New Roman"/>
          <w:b/>
          <w:bCs/>
          <w:rtl/>
          <w:lang w:eastAsia="de-DE"/>
        </w:rPr>
        <w:t>גָּדוֹל</w:t>
      </w:r>
      <w:r w:rsidRPr="0054771B">
        <w:rPr>
          <w:rFonts w:eastAsia="Times New Roman"/>
          <w:lang w:eastAsia="de-DE"/>
        </w:rPr>
        <w:t xml:space="preserve">, „groß, laut"), </w:t>
      </w:r>
      <w:r w:rsidRPr="0054771B">
        <w:rPr>
          <w:rFonts w:eastAsia="Times New Roman"/>
          <w:b/>
          <w:bCs/>
          <w:rtl/>
          <w:lang w:eastAsia="de-DE"/>
        </w:rPr>
        <w:t>וְלֹא יָסָף</w:t>
      </w:r>
      <w:r w:rsidRPr="0054771B">
        <w:rPr>
          <w:rFonts w:eastAsia="Times New Roman"/>
          <w:rtl/>
          <w:lang w:eastAsia="de-DE"/>
        </w:rPr>
        <w:t xml:space="preserve"> </w:t>
      </w:r>
      <w:r w:rsidRPr="0054771B">
        <w:rPr>
          <w:rFonts w:eastAsia="Times New Roman"/>
          <w:lang w:eastAsia="de-DE"/>
        </w:rPr>
        <w:t>(</w:t>
      </w:r>
      <w:r w:rsidRPr="0054771B">
        <w:rPr>
          <w:rFonts w:eastAsia="Times New Roman"/>
          <w:b/>
          <w:bCs/>
          <w:rtl/>
          <w:lang w:eastAsia="de-DE"/>
        </w:rPr>
        <w:t>וְ</w:t>
      </w:r>
      <w:r w:rsidRPr="0054771B">
        <w:rPr>
          <w:rFonts w:eastAsia="Times New Roman"/>
          <w:rtl/>
          <w:lang w:eastAsia="de-DE"/>
        </w:rPr>
        <w:t xml:space="preserve"> </w:t>
      </w:r>
      <w:r w:rsidRPr="0054771B">
        <w:rPr>
          <w:rFonts w:eastAsia="Times New Roman"/>
          <w:lang w:eastAsia="de-DE"/>
        </w:rPr>
        <w:t xml:space="preserve">mit Negation und </w:t>
      </w:r>
      <w:r w:rsidRPr="0054771B">
        <w:rPr>
          <w:rFonts w:eastAsia="Times New Roman"/>
          <w:b/>
          <w:bCs/>
          <w:rtl/>
          <w:lang w:eastAsia="de-DE"/>
        </w:rPr>
        <w:t>יָסָף</w:t>
      </w:r>
      <w:r w:rsidRPr="0054771B">
        <w:rPr>
          <w:rFonts w:eastAsia="Times New Roman"/>
          <w:lang w:eastAsia="de-DE"/>
        </w:rPr>
        <w:t xml:space="preserve">, Qal Perfekt, 3. Person Singular maskulin von </w:t>
      </w:r>
      <w:r w:rsidRPr="0054771B">
        <w:rPr>
          <w:rFonts w:eastAsia="Times New Roman"/>
          <w:b/>
          <w:bCs/>
          <w:rtl/>
          <w:lang w:eastAsia="de-DE"/>
        </w:rPr>
        <w:t>יסף</w:t>
      </w:r>
      <w:r w:rsidRPr="0054771B">
        <w:rPr>
          <w:rFonts w:eastAsia="Times New Roman"/>
          <w:lang w:eastAsia="de-DE"/>
        </w:rPr>
        <w:t>, „hinzufügen, fortfahren" – „und er fügte nicht hinzu, und er fuhr nicht fort").</w:t>
      </w:r>
    </w:p>
    <w:p w14:paraId="6624E823"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rtl/>
          <w:lang w:eastAsia="de-DE"/>
        </w:rPr>
        <w:t>וַיִּכְתְּבֵם עַל־שְׁנֵי לֻחֹת אֲבָנִים</w:t>
      </w:r>
      <w:r w:rsidRPr="0054771B">
        <w:rPr>
          <w:rFonts w:eastAsia="Times New Roman"/>
          <w:rtl/>
          <w:lang w:eastAsia="de-DE"/>
        </w:rPr>
        <w:t xml:space="preserve"> </w:t>
      </w:r>
      <w:r w:rsidRPr="0054771B">
        <w:rPr>
          <w:rFonts w:eastAsia="Times New Roman"/>
          <w:lang w:eastAsia="de-DE"/>
        </w:rPr>
        <w:t xml:space="preserve">ist Qal Imperfekt consecutivum, 3. Person Singular maskulin von </w:t>
      </w:r>
      <w:r w:rsidRPr="0054771B">
        <w:rPr>
          <w:rFonts w:eastAsia="Times New Roman"/>
          <w:b/>
          <w:bCs/>
          <w:rtl/>
          <w:lang w:eastAsia="de-DE"/>
        </w:rPr>
        <w:t>כתב</w:t>
      </w:r>
      <w:r w:rsidRPr="0054771B">
        <w:rPr>
          <w:rFonts w:eastAsia="Times New Roman"/>
          <w:rtl/>
          <w:lang w:eastAsia="de-DE"/>
        </w:rPr>
        <w:t xml:space="preserve"> </w:t>
      </w:r>
      <w:r w:rsidRPr="0054771B">
        <w:rPr>
          <w:rFonts w:eastAsia="Times New Roman"/>
          <w:lang w:eastAsia="de-DE"/>
        </w:rPr>
        <w:t xml:space="preserve">(„schreiben") mit Waw und Suffix 3. Person Plural maskulin als direktes Objekt, </w:t>
      </w:r>
      <w:r w:rsidRPr="0054771B">
        <w:rPr>
          <w:rFonts w:eastAsia="Times New Roman"/>
          <w:b/>
          <w:bCs/>
          <w:rtl/>
          <w:lang w:eastAsia="de-DE"/>
        </w:rPr>
        <w:t>עַל־שְׁנֵי לֻחֹת אֲבָנִים</w:t>
      </w:r>
      <w:r w:rsidRPr="0054771B">
        <w:rPr>
          <w:rFonts w:eastAsia="Times New Roman"/>
          <w:rtl/>
          <w:lang w:eastAsia="de-DE"/>
        </w:rPr>
        <w:t xml:space="preserve"> </w:t>
      </w:r>
      <w:r w:rsidRPr="0054771B">
        <w:rPr>
          <w:rFonts w:eastAsia="Times New Roman"/>
          <w:lang w:eastAsia="de-DE"/>
        </w:rPr>
        <w:t>als Ortsangabe (</w:t>
      </w:r>
      <w:r w:rsidRPr="0054771B">
        <w:rPr>
          <w:rFonts w:eastAsia="Times New Roman"/>
          <w:b/>
          <w:bCs/>
          <w:rtl/>
          <w:lang w:eastAsia="de-DE"/>
        </w:rPr>
        <w:t>עַל</w:t>
      </w:r>
      <w:r w:rsidRPr="0054771B">
        <w:rPr>
          <w:rFonts w:eastAsia="Times New Roman"/>
          <w:rtl/>
          <w:lang w:eastAsia="de-DE"/>
        </w:rPr>
        <w:t xml:space="preserve"> </w:t>
      </w:r>
      <w:r w:rsidRPr="0054771B">
        <w:rPr>
          <w:rFonts w:eastAsia="Times New Roman"/>
          <w:lang w:eastAsia="de-DE"/>
        </w:rPr>
        <w:t xml:space="preserve">mit </w:t>
      </w:r>
      <w:r w:rsidRPr="0054771B">
        <w:rPr>
          <w:rFonts w:eastAsia="Times New Roman"/>
          <w:b/>
          <w:bCs/>
          <w:rtl/>
          <w:lang w:eastAsia="de-DE"/>
        </w:rPr>
        <w:t>שְׁנֵי</w:t>
      </w:r>
      <w:r w:rsidRPr="0054771B">
        <w:rPr>
          <w:rFonts w:eastAsia="Times New Roman"/>
          <w:lang w:eastAsia="de-DE"/>
        </w:rPr>
        <w:t xml:space="preserve">, Dual Construct von </w:t>
      </w:r>
      <w:r w:rsidRPr="0054771B">
        <w:rPr>
          <w:rFonts w:eastAsia="Times New Roman"/>
          <w:b/>
          <w:bCs/>
          <w:rtl/>
          <w:lang w:eastAsia="de-DE"/>
        </w:rPr>
        <w:t>שְׁנַיִם</w:t>
      </w:r>
      <w:r w:rsidRPr="0054771B">
        <w:rPr>
          <w:rFonts w:eastAsia="Times New Roman"/>
          <w:lang w:eastAsia="de-DE"/>
        </w:rPr>
        <w:t xml:space="preserve">, </w:t>
      </w:r>
      <w:r w:rsidRPr="0054771B">
        <w:rPr>
          <w:rFonts w:eastAsia="Times New Roman"/>
          <w:b/>
          <w:bCs/>
          <w:rtl/>
          <w:lang w:eastAsia="de-DE"/>
        </w:rPr>
        <w:t>לוּחַ</w:t>
      </w:r>
      <w:r w:rsidRPr="0054771B">
        <w:rPr>
          <w:rFonts w:eastAsia="Times New Roman"/>
          <w:lang w:eastAsia="de-DE"/>
        </w:rPr>
        <w:t xml:space="preserve">, „Tafel", Plural Construct, und </w:t>
      </w:r>
      <w:r w:rsidRPr="0054771B">
        <w:rPr>
          <w:rFonts w:eastAsia="Times New Roman"/>
          <w:b/>
          <w:bCs/>
          <w:rtl/>
          <w:lang w:eastAsia="de-DE"/>
        </w:rPr>
        <w:t>אֶבֶן</w:t>
      </w:r>
      <w:r w:rsidRPr="0054771B">
        <w:rPr>
          <w:rFonts w:eastAsia="Times New Roman"/>
          <w:lang w:eastAsia="de-DE"/>
        </w:rPr>
        <w:t xml:space="preserve">, „Stein", Plural – „auf zwei Steintafeln"). </w:t>
      </w:r>
      <w:r w:rsidRPr="0054771B">
        <w:rPr>
          <w:rFonts w:eastAsia="Times New Roman"/>
          <w:b/>
          <w:bCs/>
          <w:rtl/>
          <w:lang w:eastAsia="de-DE"/>
        </w:rPr>
        <w:t>וַיִּתְּנֵם אֵלָי</w:t>
      </w:r>
      <w:r w:rsidRPr="0054771B">
        <w:rPr>
          <w:rFonts w:eastAsia="Times New Roman"/>
          <w:rtl/>
          <w:lang w:eastAsia="de-DE"/>
        </w:rPr>
        <w:t xml:space="preserve"> </w:t>
      </w:r>
      <w:r w:rsidRPr="0054771B">
        <w:rPr>
          <w:rFonts w:eastAsia="Times New Roman"/>
          <w:lang w:eastAsia="de-DE"/>
        </w:rPr>
        <w:t xml:space="preserve">ist koordiniert: Qal Imperfekt consecutivum, 3. Person Singular maskulin von </w:t>
      </w:r>
      <w:r w:rsidRPr="0054771B">
        <w:rPr>
          <w:rFonts w:eastAsia="Times New Roman"/>
          <w:b/>
          <w:bCs/>
          <w:rtl/>
          <w:lang w:eastAsia="de-DE"/>
        </w:rPr>
        <w:t>נתן</w:t>
      </w:r>
      <w:r w:rsidRPr="0054771B">
        <w:rPr>
          <w:rFonts w:eastAsia="Times New Roman"/>
          <w:rtl/>
          <w:lang w:eastAsia="de-DE"/>
        </w:rPr>
        <w:t xml:space="preserve"> </w:t>
      </w:r>
      <w:r w:rsidRPr="0054771B">
        <w:rPr>
          <w:rFonts w:eastAsia="Times New Roman"/>
          <w:lang w:eastAsia="de-DE"/>
        </w:rPr>
        <w:t xml:space="preserve">(„geben") mit Waw und Suffix 3. Person Plural maskulin als direktes Objekt, </w:t>
      </w:r>
      <w:r w:rsidRPr="0054771B">
        <w:rPr>
          <w:rFonts w:eastAsia="Times New Roman"/>
          <w:b/>
          <w:bCs/>
          <w:rtl/>
          <w:lang w:eastAsia="de-DE"/>
        </w:rPr>
        <w:t>אֵלָי</w:t>
      </w:r>
      <w:r w:rsidRPr="0054771B">
        <w:rPr>
          <w:rFonts w:eastAsia="Times New Roman"/>
          <w:rtl/>
          <w:lang w:eastAsia="de-DE"/>
        </w:rPr>
        <w:t xml:space="preserve"> </w:t>
      </w:r>
      <w:r w:rsidRPr="0054771B">
        <w:rPr>
          <w:rFonts w:eastAsia="Times New Roman"/>
          <w:lang w:eastAsia="de-DE"/>
        </w:rPr>
        <w:t>als indirektes Objekt (</w:t>
      </w:r>
      <w:r w:rsidRPr="0054771B">
        <w:rPr>
          <w:rFonts w:eastAsia="Times New Roman"/>
          <w:b/>
          <w:bCs/>
          <w:rtl/>
          <w:lang w:eastAsia="de-DE"/>
        </w:rPr>
        <w:t>אֶל</w:t>
      </w:r>
      <w:r w:rsidRPr="0054771B">
        <w:rPr>
          <w:rFonts w:eastAsia="Times New Roman"/>
          <w:rtl/>
          <w:lang w:eastAsia="de-DE"/>
        </w:rPr>
        <w:t xml:space="preserve"> </w:t>
      </w:r>
      <w:r w:rsidRPr="0054771B">
        <w:rPr>
          <w:rFonts w:eastAsia="Times New Roman"/>
          <w:lang w:eastAsia="de-DE"/>
        </w:rPr>
        <w:t>mit Suffix 1. Person Singular).</w:t>
      </w:r>
    </w:p>
    <w:p w14:paraId="30EA6367"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 xml:space="preserve">Die Formulierung </w:t>
      </w:r>
      <w:r w:rsidRPr="0054771B">
        <w:rPr>
          <w:rFonts w:eastAsia="Times New Roman"/>
          <w:b/>
          <w:bCs/>
          <w:rtl/>
          <w:lang w:eastAsia="de-DE"/>
        </w:rPr>
        <w:t>וְלֹא יָסָף</w:t>
      </w:r>
      <w:r w:rsidRPr="0054771B">
        <w:rPr>
          <w:rFonts w:eastAsia="Times New Roman"/>
          <w:rtl/>
          <w:lang w:eastAsia="de-DE"/>
        </w:rPr>
        <w:t xml:space="preserve"> </w:t>
      </w:r>
      <w:r w:rsidRPr="0054771B">
        <w:rPr>
          <w:rFonts w:eastAsia="Times New Roman"/>
          <w:lang w:eastAsia="de-DE"/>
        </w:rPr>
        <w:t xml:space="preserve">betont, dass der Dekalog vollständig und abgeschlossen ist – JHWH fügte nichts mehr hinzu. Dies unterstreicht die besondere Autorität der zehn Worte gegenüber </w:t>
      </w:r>
      <w:r w:rsidRPr="0054771B">
        <w:rPr>
          <w:rFonts w:eastAsia="Times New Roman"/>
          <w:lang w:eastAsia="de-DE"/>
        </w:rPr>
        <w:lastRenderedPageBreak/>
        <w:t>den nachfolgenden Gesetzen. Die schriftliche Fixierung auf Steintafeln durch JHWH selbst verleiht dem Dekalog einzigartige Autorität (vgl. 4,13).</w:t>
      </w:r>
    </w:p>
    <w:p w14:paraId="2AF43458"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Die Satzstruktur ist ein Hauptsatz mit vorausgestelltem direktem Objekt zur Emphase, Prädikat, Subjekt, Adressat und Ortsangabe, erweitert durch eine dreigliedrige Herkunftsangabe, eine modale Bestimmung mit koordinierter Negation, und zwei koordinierte konsekutive Verben (beide mit Suffix-Objekt, das erste mit Ortsangabe, das zweite mit indirektem Objekt). Die Struktur betont die Vollständigkeit, Schriftlichkeit und Übergabe des Dekalogs.</w:t>
      </w:r>
    </w:p>
    <w:p w14:paraId="7588EA35"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Der Vers schließt die Dekalog-Verkündigung ab: JHWH sprach diese Worte zur ganzen Versammlung aus dem Feuer mit lauter Stimme, fügte nichts hinzu, schrieb sie auf zwei Steintafeln und gab sie Mose.</w:t>
      </w:r>
    </w:p>
    <w:p w14:paraId="208DF615" w14:textId="77777777" w:rsidR="0054771B" w:rsidRPr="0054771B" w:rsidRDefault="0054771B" w:rsidP="0054771B">
      <w:pPr>
        <w:spacing w:before="100" w:beforeAutospacing="1" w:after="100" w:afterAutospacing="1" w:line="240" w:lineRule="auto"/>
        <w:outlineLvl w:val="1"/>
        <w:rPr>
          <w:rFonts w:eastAsia="Times New Roman"/>
          <w:b/>
          <w:bCs/>
          <w:sz w:val="36"/>
          <w:szCs w:val="36"/>
          <w:lang w:eastAsia="de-DE"/>
        </w:rPr>
      </w:pPr>
      <w:r w:rsidRPr="0054771B">
        <w:rPr>
          <w:rFonts w:eastAsia="Times New Roman"/>
          <w:b/>
          <w:bCs/>
          <w:sz w:val="36"/>
          <w:szCs w:val="36"/>
          <w:lang w:eastAsia="de-DE"/>
        </w:rPr>
        <w:t>Deuteronomium 5,23</w:t>
      </w:r>
    </w:p>
    <w:p w14:paraId="01263CCE"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Hebräisch:</w:t>
      </w:r>
      <w:r w:rsidRPr="0054771B">
        <w:rPr>
          <w:rFonts w:eastAsia="Times New Roman"/>
          <w:lang w:eastAsia="de-DE"/>
        </w:rPr>
        <w:t xml:space="preserve"> </w:t>
      </w:r>
      <w:r w:rsidRPr="0054771B">
        <w:rPr>
          <w:rFonts w:eastAsia="Times New Roman"/>
          <w:rtl/>
          <w:lang w:eastAsia="de-DE"/>
        </w:rPr>
        <w:t>וַיְהִי כְּשָׁמְעֲכֶם אֶת־הַקּוֹל מִתּוֹךְ הַחֹשֶׁךְ וְהָהָר בֹּעֵר בָּאֵשׁ וַתִּקְרְבוּן אֵלַי כָּל־רָאשֵׁי שִׁבְטֵיכֶם וְזִקְנֵיכֶם׃</w:t>
      </w:r>
    </w:p>
    <w:p w14:paraId="32F74EA7"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Deutsch:</w:t>
      </w:r>
      <w:r w:rsidRPr="0054771B">
        <w:rPr>
          <w:rFonts w:eastAsia="Times New Roman"/>
          <w:lang w:eastAsia="de-DE"/>
        </w:rPr>
        <w:t xml:space="preserve"> Und es geschah, als ihr die Stimme mitten aus der Finsternis hörtet, während der Berg im Feuer brannte, da tratet ihr zu mir heran, alle Häupter eurer Stämme und eure Ältesten.</w:t>
      </w:r>
    </w:p>
    <w:p w14:paraId="54912FC4" w14:textId="77777777" w:rsidR="0054771B" w:rsidRPr="0054771B" w:rsidRDefault="004F5CEB" w:rsidP="0054771B">
      <w:pPr>
        <w:spacing w:after="0" w:line="240" w:lineRule="auto"/>
        <w:rPr>
          <w:rFonts w:eastAsia="Times New Roman"/>
          <w:lang w:eastAsia="de-DE"/>
        </w:rPr>
      </w:pPr>
      <w:r>
        <w:rPr>
          <w:rFonts w:eastAsia="Times New Roman"/>
          <w:noProof/>
          <w:lang w:eastAsia="de-DE"/>
        </w:rPr>
        <w:pict w14:anchorId="367F6547">
          <v:rect id="_x0000_i1208" style="width:0;height:1.5pt" o:hralign="center" o:hrstd="t" o:hr="t" fillcolor="#a0a0a0" stroked="f"/>
        </w:pict>
      </w:r>
    </w:p>
    <w:p w14:paraId="60E2420A"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Kommentar:</w:t>
      </w:r>
      <w:r w:rsidRPr="0054771B">
        <w:rPr>
          <w:rFonts w:eastAsia="Times New Roman"/>
          <w:lang w:eastAsia="de-DE"/>
        </w:rPr>
        <w:t xml:space="preserve"> </w:t>
      </w:r>
      <w:r w:rsidRPr="0054771B">
        <w:rPr>
          <w:rFonts w:eastAsia="Times New Roman"/>
          <w:b/>
          <w:bCs/>
          <w:rtl/>
          <w:lang w:eastAsia="de-DE"/>
        </w:rPr>
        <w:t>וַיְהִי כְּשָׁמְעֲכֶם אֶת־הַקּוֹל מִתּוֹךְ הַחֹשֶׁךְ</w:t>
      </w:r>
      <w:r w:rsidRPr="0054771B">
        <w:rPr>
          <w:rFonts w:eastAsia="Times New Roman"/>
          <w:rtl/>
          <w:lang w:eastAsia="de-DE"/>
        </w:rPr>
        <w:t xml:space="preserve"> </w:t>
      </w:r>
      <w:r w:rsidRPr="0054771B">
        <w:rPr>
          <w:rFonts w:eastAsia="Times New Roman"/>
          <w:lang w:eastAsia="de-DE"/>
        </w:rPr>
        <w:t xml:space="preserve">ist eine narrative Einleitung: </w:t>
      </w:r>
      <w:r w:rsidRPr="0054771B">
        <w:rPr>
          <w:rFonts w:eastAsia="Times New Roman"/>
          <w:b/>
          <w:bCs/>
          <w:rtl/>
          <w:lang w:eastAsia="de-DE"/>
        </w:rPr>
        <w:t>וַיְהִי</w:t>
      </w:r>
      <w:r w:rsidRPr="0054771B">
        <w:rPr>
          <w:rFonts w:eastAsia="Times New Roman"/>
          <w:rtl/>
          <w:lang w:eastAsia="de-DE"/>
        </w:rPr>
        <w:t xml:space="preserve"> </w:t>
      </w:r>
      <w:r w:rsidRPr="0054771B">
        <w:rPr>
          <w:rFonts w:eastAsia="Times New Roman"/>
          <w:lang w:eastAsia="de-DE"/>
        </w:rPr>
        <w:t xml:space="preserve">(Qal Imperfekt consecutivum, 3. Person Singular maskulin von </w:t>
      </w:r>
      <w:r w:rsidRPr="0054771B">
        <w:rPr>
          <w:rFonts w:eastAsia="Times New Roman"/>
          <w:b/>
          <w:bCs/>
          <w:rtl/>
          <w:lang w:eastAsia="de-DE"/>
        </w:rPr>
        <w:t>היה</w:t>
      </w:r>
      <w:r w:rsidRPr="0054771B">
        <w:rPr>
          <w:rFonts w:eastAsia="Times New Roman"/>
          <w:lang w:eastAsia="de-DE"/>
        </w:rPr>
        <w:t xml:space="preserve">, „sein, geschehen", mit Waw – klassische Erzähleinleitung „und es geschah"), </w:t>
      </w:r>
      <w:r w:rsidRPr="0054771B">
        <w:rPr>
          <w:rFonts w:eastAsia="Times New Roman"/>
          <w:b/>
          <w:bCs/>
          <w:rtl/>
          <w:lang w:eastAsia="de-DE"/>
        </w:rPr>
        <w:t>כְּשָׁמְעֲכֶם</w:t>
      </w:r>
      <w:r w:rsidRPr="0054771B">
        <w:rPr>
          <w:rFonts w:eastAsia="Times New Roman"/>
          <w:rtl/>
          <w:lang w:eastAsia="de-DE"/>
        </w:rPr>
        <w:t xml:space="preserve"> </w:t>
      </w:r>
      <w:r w:rsidRPr="0054771B">
        <w:rPr>
          <w:rFonts w:eastAsia="Times New Roman"/>
          <w:lang w:eastAsia="de-DE"/>
        </w:rPr>
        <w:t>als temporale Konstruktion (</w:t>
      </w:r>
      <w:r w:rsidRPr="0054771B">
        <w:rPr>
          <w:rFonts w:eastAsia="Times New Roman"/>
          <w:b/>
          <w:bCs/>
          <w:rtl/>
          <w:lang w:eastAsia="de-DE"/>
        </w:rPr>
        <w:t>כְּ</w:t>
      </w:r>
      <w:r w:rsidRPr="0054771B">
        <w:rPr>
          <w:rFonts w:eastAsia="Times New Roman"/>
          <w:rtl/>
          <w:lang w:eastAsia="de-DE"/>
        </w:rPr>
        <w:t xml:space="preserve"> </w:t>
      </w:r>
      <w:r w:rsidRPr="0054771B">
        <w:rPr>
          <w:rFonts w:eastAsia="Times New Roman"/>
          <w:lang w:eastAsia="de-DE"/>
        </w:rPr>
        <w:t xml:space="preserve">mit Qal Infinitiv Construct von </w:t>
      </w:r>
      <w:r w:rsidRPr="0054771B">
        <w:rPr>
          <w:rFonts w:eastAsia="Times New Roman"/>
          <w:b/>
          <w:bCs/>
          <w:rtl/>
          <w:lang w:eastAsia="de-DE"/>
        </w:rPr>
        <w:t>שׁמע</w:t>
      </w:r>
      <w:r w:rsidRPr="0054771B">
        <w:rPr>
          <w:rFonts w:eastAsia="Times New Roman"/>
          <w:lang w:eastAsia="de-DE"/>
        </w:rPr>
        <w:t xml:space="preserve">, „hören", und Suffix 2. Person Plural maskulin als Subjekt – „als ihr hörtet"), </w:t>
      </w:r>
      <w:r w:rsidRPr="0054771B">
        <w:rPr>
          <w:rFonts w:eastAsia="Times New Roman"/>
          <w:b/>
          <w:bCs/>
          <w:rtl/>
          <w:lang w:eastAsia="de-DE"/>
        </w:rPr>
        <w:t>אֶת־הַקּוֹל</w:t>
      </w:r>
      <w:r w:rsidRPr="0054771B">
        <w:rPr>
          <w:rFonts w:eastAsia="Times New Roman"/>
          <w:rtl/>
          <w:lang w:eastAsia="de-DE"/>
        </w:rPr>
        <w:t xml:space="preserve"> </w:t>
      </w:r>
      <w:r w:rsidRPr="0054771B">
        <w:rPr>
          <w:rFonts w:eastAsia="Times New Roman"/>
          <w:lang w:eastAsia="de-DE"/>
        </w:rPr>
        <w:t xml:space="preserve">als direktes Objekt, </w:t>
      </w:r>
      <w:r w:rsidRPr="0054771B">
        <w:rPr>
          <w:rFonts w:eastAsia="Times New Roman"/>
          <w:b/>
          <w:bCs/>
          <w:rtl/>
          <w:lang w:eastAsia="de-DE"/>
        </w:rPr>
        <w:t>מִתּוֹךְ הַחֹשֶׁךְ</w:t>
      </w:r>
      <w:r w:rsidRPr="0054771B">
        <w:rPr>
          <w:rFonts w:eastAsia="Times New Roman"/>
          <w:rtl/>
          <w:lang w:eastAsia="de-DE"/>
        </w:rPr>
        <w:t xml:space="preserve"> </w:t>
      </w:r>
      <w:r w:rsidRPr="0054771B">
        <w:rPr>
          <w:rFonts w:eastAsia="Times New Roman"/>
          <w:lang w:eastAsia="de-DE"/>
        </w:rPr>
        <w:t>als Herkunftsangabe (</w:t>
      </w:r>
      <w:r w:rsidRPr="0054771B">
        <w:rPr>
          <w:rFonts w:eastAsia="Times New Roman"/>
          <w:b/>
          <w:bCs/>
          <w:rtl/>
          <w:lang w:eastAsia="de-DE"/>
        </w:rPr>
        <w:t>מִן</w:t>
      </w:r>
      <w:r w:rsidRPr="0054771B">
        <w:rPr>
          <w:rFonts w:eastAsia="Times New Roman"/>
          <w:rtl/>
          <w:lang w:eastAsia="de-DE"/>
        </w:rPr>
        <w:t xml:space="preserve"> </w:t>
      </w:r>
      <w:r w:rsidRPr="0054771B">
        <w:rPr>
          <w:rFonts w:eastAsia="Times New Roman"/>
          <w:lang w:eastAsia="de-DE"/>
        </w:rPr>
        <w:t xml:space="preserve">mit </w:t>
      </w:r>
      <w:r w:rsidRPr="0054771B">
        <w:rPr>
          <w:rFonts w:eastAsia="Times New Roman"/>
          <w:b/>
          <w:bCs/>
          <w:rtl/>
          <w:lang w:eastAsia="de-DE"/>
        </w:rPr>
        <w:t>תּוֹךְ</w:t>
      </w:r>
      <w:r w:rsidRPr="0054771B">
        <w:rPr>
          <w:rFonts w:eastAsia="Times New Roman"/>
          <w:rtl/>
          <w:lang w:eastAsia="de-DE"/>
        </w:rPr>
        <w:t xml:space="preserve"> </w:t>
      </w:r>
      <w:r w:rsidRPr="0054771B">
        <w:rPr>
          <w:rFonts w:eastAsia="Times New Roman"/>
          <w:lang w:eastAsia="de-DE"/>
        </w:rPr>
        <w:t xml:space="preserve">im Construct und </w:t>
      </w:r>
      <w:r w:rsidRPr="0054771B">
        <w:rPr>
          <w:rFonts w:eastAsia="Times New Roman"/>
          <w:b/>
          <w:bCs/>
          <w:rtl/>
          <w:lang w:eastAsia="de-DE"/>
        </w:rPr>
        <w:t>חֹשֶׁךְ</w:t>
      </w:r>
      <w:r w:rsidRPr="0054771B">
        <w:rPr>
          <w:rFonts w:eastAsia="Times New Roman"/>
          <w:lang w:eastAsia="de-DE"/>
        </w:rPr>
        <w:t>, „Finsternis", mit Artikel).</w:t>
      </w:r>
    </w:p>
    <w:p w14:paraId="630C54E5"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rtl/>
          <w:lang w:eastAsia="de-DE"/>
        </w:rPr>
        <w:t>וְהָהָר בֹּעֵר בָּאֵשׁ</w:t>
      </w:r>
      <w:r w:rsidRPr="0054771B">
        <w:rPr>
          <w:rFonts w:eastAsia="Times New Roman"/>
          <w:rtl/>
          <w:lang w:eastAsia="de-DE"/>
        </w:rPr>
        <w:t xml:space="preserve"> </w:t>
      </w:r>
      <w:r w:rsidRPr="0054771B">
        <w:rPr>
          <w:rFonts w:eastAsia="Times New Roman"/>
          <w:lang w:eastAsia="de-DE"/>
        </w:rPr>
        <w:t xml:space="preserve">ist ein Umstandssatz: </w:t>
      </w:r>
      <w:r w:rsidRPr="0054771B">
        <w:rPr>
          <w:rFonts w:eastAsia="Times New Roman"/>
          <w:b/>
          <w:bCs/>
          <w:rtl/>
          <w:lang w:eastAsia="de-DE"/>
        </w:rPr>
        <w:t>וְ</w:t>
      </w:r>
      <w:r w:rsidRPr="0054771B">
        <w:rPr>
          <w:rFonts w:eastAsia="Times New Roman"/>
          <w:rtl/>
          <w:lang w:eastAsia="de-DE"/>
        </w:rPr>
        <w:t xml:space="preserve"> </w:t>
      </w:r>
      <w:r w:rsidRPr="0054771B">
        <w:rPr>
          <w:rFonts w:eastAsia="Times New Roman"/>
          <w:lang w:eastAsia="de-DE"/>
        </w:rPr>
        <w:t xml:space="preserve">als Einleitung, </w:t>
      </w:r>
      <w:r w:rsidRPr="0054771B">
        <w:rPr>
          <w:rFonts w:eastAsia="Times New Roman"/>
          <w:b/>
          <w:bCs/>
          <w:rtl/>
          <w:lang w:eastAsia="de-DE"/>
        </w:rPr>
        <w:t>הָהָר</w:t>
      </w:r>
      <w:r w:rsidRPr="0054771B">
        <w:rPr>
          <w:rFonts w:eastAsia="Times New Roman"/>
          <w:rtl/>
          <w:lang w:eastAsia="de-DE"/>
        </w:rPr>
        <w:t xml:space="preserve"> </w:t>
      </w:r>
      <w:r w:rsidRPr="0054771B">
        <w:rPr>
          <w:rFonts w:eastAsia="Times New Roman"/>
          <w:lang w:eastAsia="de-DE"/>
        </w:rPr>
        <w:t xml:space="preserve">als Subjekt, </w:t>
      </w:r>
      <w:r w:rsidRPr="0054771B">
        <w:rPr>
          <w:rFonts w:eastAsia="Times New Roman"/>
          <w:b/>
          <w:bCs/>
          <w:rtl/>
          <w:lang w:eastAsia="de-DE"/>
        </w:rPr>
        <w:t>בֹּעֵר</w:t>
      </w:r>
      <w:r w:rsidRPr="0054771B">
        <w:rPr>
          <w:rFonts w:eastAsia="Times New Roman"/>
          <w:rtl/>
          <w:lang w:eastAsia="de-DE"/>
        </w:rPr>
        <w:t xml:space="preserve"> </w:t>
      </w:r>
      <w:r w:rsidRPr="0054771B">
        <w:rPr>
          <w:rFonts w:eastAsia="Times New Roman"/>
          <w:lang w:eastAsia="de-DE"/>
        </w:rPr>
        <w:t xml:space="preserve">als Qal Partizip Singular maskulin von </w:t>
      </w:r>
      <w:r w:rsidRPr="0054771B">
        <w:rPr>
          <w:rFonts w:eastAsia="Times New Roman"/>
          <w:b/>
          <w:bCs/>
          <w:rtl/>
          <w:lang w:eastAsia="de-DE"/>
        </w:rPr>
        <w:t>בער</w:t>
      </w:r>
      <w:r w:rsidRPr="0054771B">
        <w:rPr>
          <w:rFonts w:eastAsia="Times New Roman"/>
          <w:rtl/>
          <w:lang w:eastAsia="de-DE"/>
        </w:rPr>
        <w:t xml:space="preserve"> </w:t>
      </w:r>
      <w:r w:rsidRPr="0054771B">
        <w:rPr>
          <w:rFonts w:eastAsia="Times New Roman"/>
          <w:lang w:eastAsia="de-DE"/>
        </w:rPr>
        <w:t xml:space="preserve">(„brennen"), </w:t>
      </w:r>
      <w:r w:rsidRPr="0054771B">
        <w:rPr>
          <w:rFonts w:eastAsia="Times New Roman"/>
          <w:b/>
          <w:bCs/>
          <w:rtl/>
          <w:lang w:eastAsia="de-DE"/>
        </w:rPr>
        <w:t>בָּאֵשׁ</w:t>
      </w:r>
      <w:r w:rsidRPr="0054771B">
        <w:rPr>
          <w:rFonts w:eastAsia="Times New Roman"/>
          <w:rtl/>
          <w:lang w:eastAsia="de-DE"/>
        </w:rPr>
        <w:t xml:space="preserve"> </w:t>
      </w:r>
      <w:r w:rsidRPr="0054771B">
        <w:rPr>
          <w:rFonts w:eastAsia="Times New Roman"/>
          <w:lang w:eastAsia="de-DE"/>
        </w:rPr>
        <w:t xml:space="preserve">als instrumentale bzw. materiale Bestimmung – „während der Berg brannte". </w:t>
      </w:r>
      <w:r w:rsidRPr="0054771B">
        <w:rPr>
          <w:rFonts w:eastAsia="Times New Roman"/>
          <w:b/>
          <w:bCs/>
          <w:rtl/>
          <w:lang w:eastAsia="de-DE"/>
        </w:rPr>
        <w:t>וַתִּקְרְבוּן אֵלַי</w:t>
      </w:r>
      <w:r w:rsidRPr="0054771B">
        <w:rPr>
          <w:rFonts w:eastAsia="Times New Roman"/>
          <w:rtl/>
          <w:lang w:eastAsia="de-DE"/>
        </w:rPr>
        <w:t xml:space="preserve"> </w:t>
      </w:r>
      <w:r w:rsidRPr="0054771B">
        <w:rPr>
          <w:rFonts w:eastAsia="Times New Roman"/>
          <w:lang w:eastAsia="de-DE"/>
        </w:rPr>
        <w:t xml:space="preserve">ist der Hauptsatz: Qal Imperfekt consecutivum, 2. Person Plural maskulin von </w:t>
      </w:r>
      <w:r w:rsidRPr="0054771B">
        <w:rPr>
          <w:rFonts w:eastAsia="Times New Roman"/>
          <w:b/>
          <w:bCs/>
          <w:rtl/>
          <w:lang w:eastAsia="de-DE"/>
        </w:rPr>
        <w:t>קרב</w:t>
      </w:r>
      <w:r w:rsidRPr="0054771B">
        <w:rPr>
          <w:rFonts w:eastAsia="Times New Roman"/>
          <w:rtl/>
          <w:lang w:eastAsia="de-DE"/>
        </w:rPr>
        <w:t xml:space="preserve"> </w:t>
      </w:r>
      <w:r w:rsidRPr="0054771B">
        <w:rPr>
          <w:rFonts w:eastAsia="Times New Roman"/>
          <w:lang w:eastAsia="de-DE"/>
        </w:rPr>
        <w:t xml:space="preserve">(„herantreten, sich nähern") mit Waw und paragogischem Nun, </w:t>
      </w:r>
      <w:r w:rsidRPr="0054771B">
        <w:rPr>
          <w:rFonts w:eastAsia="Times New Roman"/>
          <w:b/>
          <w:bCs/>
          <w:rtl/>
          <w:lang w:eastAsia="de-DE"/>
        </w:rPr>
        <w:t>אֵלַי</w:t>
      </w:r>
      <w:r w:rsidRPr="0054771B">
        <w:rPr>
          <w:rFonts w:eastAsia="Times New Roman"/>
          <w:rtl/>
          <w:lang w:eastAsia="de-DE"/>
        </w:rPr>
        <w:t xml:space="preserve"> </w:t>
      </w:r>
      <w:r w:rsidRPr="0054771B">
        <w:rPr>
          <w:rFonts w:eastAsia="Times New Roman"/>
          <w:lang w:eastAsia="de-DE"/>
        </w:rPr>
        <w:t>als Richtungsangabe.</w:t>
      </w:r>
    </w:p>
    <w:p w14:paraId="6B21B82B"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rtl/>
          <w:lang w:eastAsia="de-DE"/>
        </w:rPr>
        <w:t>כָּל־רָאשֵׁי שִׁבְטֵיכֶם וְזִקְנֵיכֶם</w:t>
      </w:r>
      <w:r w:rsidRPr="0054771B">
        <w:rPr>
          <w:rFonts w:eastAsia="Times New Roman"/>
          <w:rtl/>
          <w:lang w:eastAsia="de-DE"/>
        </w:rPr>
        <w:t xml:space="preserve"> </w:t>
      </w:r>
      <w:r w:rsidRPr="0054771B">
        <w:rPr>
          <w:rFonts w:eastAsia="Times New Roman"/>
          <w:lang w:eastAsia="de-DE"/>
        </w:rPr>
        <w:t xml:space="preserve">ist eine zweigliedrige appositionelle Subjektbestimmung: </w:t>
      </w:r>
      <w:r w:rsidRPr="0054771B">
        <w:rPr>
          <w:rFonts w:eastAsia="Times New Roman"/>
          <w:b/>
          <w:bCs/>
          <w:rtl/>
          <w:lang w:eastAsia="de-DE"/>
        </w:rPr>
        <w:t>כָּל־רָאשֵׁי שִׁבְטֵיכֶם</w:t>
      </w:r>
      <w:r w:rsidRPr="0054771B">
        <w:rPr>
          <w:rFonts w:eastAsia="Times New Roman"/>
          <w:rtl/>
          <w:lang w:eastAsia="de-DE"/>
        </w:rPr>
        <w:t xml:space="preserve"> </w:t>
      </w:r>
      <w:r w:rsidRPr="0054771B">
        <w:rPr>
          <w:rFonts w:eastAsia="Times New Roman"/>
          <w:lang w:eastAsia="de-DE"/>
        </w:rPr>
        <w:t>(</w:t>
      </w:r>
      <w:r w:rsidRPr="0054771B">
        <w:rPr>
          <w:rFonts w:eastAsia="Times New Roman"/>
          <w:b/>
          <w:bCs/>
          <w:rtl/>
          <w:lang w:eastAsia="de-DE"/>
        </w:rPr>
        <w:t>כָּל</w:t>
      </w:r>
      <w:r w:rsidRPr="0054771B">
        <w:rPr>
          <w:rFonts w:eastAsia="Times New Roman"/>
          <w:rtl/>
          <w:lang w:eastAsia="de-DE"/>
        </w:rPr>
        <w:t xml:space="preserve"> </w:t>
      </w:r>
      <w:r w:rsidRPr="0054771B">
        <w:rPr>
          <w:rFonts w:eastAsia="Times New Roman"/>
          <w:lang w:eastAsia="de-DE"/>
        </w:rPr>
        <w:t xml:space="preserve">im Construct mit </w:t>
      </w:r>
      <w:r w:rsidRPr="0054771B">
        <w:rPr>
          <w:rFonts w:eastAsia="Times New Roman"/>
          <w:b/>
          <w:bCs/>
          <w:rtl/>
          <w:lang w:eastAsia="de-DE"/>
        </w:rPr>
        <w:t>רֹאשׁ</w:t>
      </w:r>
      <w:r w:rsidRPr="0054771B">
        <w:rPr>
          <w:rFonts w:eastAsia="Times New Roman"/>
          <w:lang w:eastAsia="de-DE"/>
        </w:rPr>
        <w:t xml:space="preserve">, „Haupt, Anführer", Plural Construct, und </w:t>
      </w:r>
      <w:r w:rsidRPr="0054771B">
        <w:rPr>
          <w:rFonts w:eastAsia="Times New Roman"/>
          <w:b/>
          <w:bCs/>
          <w:rtl/>
          <w:lang w:eastAsia="de-DE"/>
        </w:rPr>
        <w:t>שֵׁבֶט</w:t>
      </w:r>
      <w:r w:rsidRPr="0054771B">
        <w:rPr>
          <w:rFonts w:eastAsia="Times New Roman"/>
          <w:lang w:eastAsia="de-DE"/>
        </w:rPr>
        <w:t xml:space="preserve">, „Stamm", Plural mit Suffix 2. Person Plural maskulin), </w:t>
      </w:r>
      <w:r w:rsidRPr="0054771B">
        <w:rPr>
          <w:rFonts w:eastAsia="Times New Roman"/>
          <w:b/>
          <w:bCs/>
          <w:rtl/>
          <w:lang w:eastAsia="de-DE"/>
        </w:rPr>
        <w:t>וְזִקְנֵיכֶם</w:t>
      </w:r>
      <w:r w:rsidRPr="0054771B">
        <w:rPr>
          <w:rFonts w:eastAsia="Times New Roman"/>
          <w:rtl/>
          <w:lang w:eastAsia="de-DE"/>
        </w:rPr>
        <w:t xml:space="preserve"> </w:t>
      </w:r>
      <w:r w:rsidRPr="0054771B">
        <w:rPr>
          <w:rFonts w:eastAsia="Times New Roman"/>
          <w:lang w:eastAsia="de-DE"/>
        </w:rPr>
        <w:t>koordiniert (</w:t>
      </w:r>
      <w:r w:rsidRPr="0054771B">
        <w:rPr>
          <w:rFonts w:eastAsia="Times New Roman"/>
          <w:b/>
          <w:bCs/>
          <w:rtl/>
          <w:lang w:eastAsia="de-DE"/>
        </w:rPr>
        <w:t>זָקֵן</w:t>
      </w:r>
      <w:r w:rsidRPr="0054771B">
        <w:rPr>
          <w:rFonts w:eastAsia="Times New Roman"/>
          <w:lang w:eastAsia="de-DE"/>
        </w:rPr>
        <w:t>, „Ältester", Plural mit Suffix).</w:t>
      </w:r>
    </w:p>
    <w:p w14:paraId="07A347CE"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 xml:space="preserve">Die Szene nimmt die Reaktion des Volkes auf die Theophanie auf (vgl. Ex 20,18-21). Das paragogische Nun an </w:t>
      </w:r>
      <w:r w:rsidRPr="0054771B">
        <w:rPr>
          <w:rFonts w:eastAsia="Times New Roman"/>
          <w:b/>
          <w:bCs/>
          <w:rtl/>
          <w:lang w:eastAsia="de-DE"/>
        </w:rPr>
        <w:t>וַתִּקְרְבוּן</w:t>
      </w:r>
      <w:r w:rsidRPr="0054771B">
        <w:rPr>
          <w:rFonts w:eastAsia="Times New Roman"/>
          <w:rtl/>
          <w:lang w:eastAsia="de-DE"/>
        </w:rPr>
        <w:t xml:space="preserve"> </w:t>
      </w:r>
      <w:r w:rsidRPr="0054771B">
        <w:rPr>
          <w:rFonts w:eastAsia="Times New Roman"/>
          <w:lang w:eastAsia="de-DE"/>
        </w:rPr>
        <w:t>verleiht dem Verb einen feierlichen, archaischen Klang. Die Erwähnung der Häupter und Ältesten als Repräsentanten des Volkes unterstreicht die offizielle Natur der Delegation.</w:t>
      </w:r>
    </w:p>
    <w:p w14:paraId="1E0658D2"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lastRenderedPageBreak/>
        <w:t xml:space="preserve">Die Satzstruktur ist eine narrative Einleitung mit </w:t>
      </w:r>
      <w:r w:rsidRPr="0054771B">
        <w:rPr>
          <w:rFonts w:eastAsia="Times New Roman"/>
          <w:b/>
          <w:bCs/>
          <w:rtl/>
          <w:lang w:eastAsia="de-DE"/>
        </w:rPr>
        <w:t>וַיְהִי</w:t>
      </w:r>
      <w:r w:rsidRPr="0054771B">
        <w:rPr>
          <w:rFonts w:eastAsia="Times New Roman"/>
          <w:lang w:eastAsia="de-DE"/>
        </w:rPr>
        <w:t>, temporaler Infinitivkonstruktion mit Suffix als Subjekt, direktem Objekt und Herkunftsangabe, einem Umstandssatz mit Subjekt, partizipialem Prädikat und instrumentaler Bestimmung, einem Hauptsatz mit Prädikat und paragogischem Nun sowie Richtungsangabe, und einer zweigliedrigen appositiven Subjektbestimmung. Die Struktur beschreibt die Situation (Theophanie), die Reaktion (Herantreten) und die Akteure (Stammesführer und Älteste).</w:t>
      </w:r>
    </w:p>
    <w:p w14:paraId="748A1F7E"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Der Vers leitet eine neue Szene ein: Als Israel die Stimme aus der Finsternis hörte, während der Berg brannte, traten die Stammesführer und Ältesten zu Mose heran.</w:t>
      </w:r>
    </w:p>
    <w:p w14:paraId="71E70F3E" w14:textId="77777777" w:rsidR="0054771B" w:rsidRPr="0054771B" w:rsidRDefault="0054771B" w:rsidP="0054771B">
      <w:pPr>
        <w:spacing w:before="100" w:beforeAutospacing="1" w:after="100" w:afterAutospacing="1" w:line="240" w:lineRule="auto"/>
        <w:outlineLvl w:val="1"/>
        <w:rPr>
          <w:rFonts w:eastAsia="Times New Roman"/>
          <w:b/>
          <w:bCs/>
          <w:sz w:val="36"/>
          <w:szCs w:val="36"/>
          <w:lang w:eastAsia="de-DE"/>
        </w:rPr>
      </w:pPr>
      <w:r w:rsidRPr="0054771B">
        <w:rPr>
          <w:rFonts w:eastAsia="Times New Roman"/>
          <w:b/>
          <w:bCs/>
          <w:sz w:val="36"/>
          <w:szCs w:val="36"/>
          <w:lang w:eastAsia="de-DE"/>
        </w:rPr>
        <w:t>Deuteronomium 5,24</w:t>
      </w:r>
    </w:p>
    <w:p w14:paraId="4840C212"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Hebräisch:</w:t>
      </w:r>
      <w:r w:rsidRPr="0054771B">
        <w:rPr>
          <w:rFonts w:eastAsia="Times New Roman"/>
          <w:lang w:eastAsia="de-DE"/>
        </w:rPr>
        <w:t xml:space="preserve"> </w:t>
      </w:r>
      <w:r w:rsidRPr="0054771B">
        <w:rPr>
          <w:rFonts w:eastAsia="Times New Roman"/>
          <w:rtl/>
          <w:lang w:eastAsia="de-DE"/>
        </w:rPr>
        <w:t>וַתֹּאמְרוּ הֵן הֶרְאָנוּ יְהוָה אֱלֹהֵינוּ אֶת־כְּבֹדוֹ וְאֶת־גָּדְלוֹ וְאֶת־קֹלוֹ שָׁמַעְנוּ מִתּוֹךְ הָאֵשׁ הַיּוֹם הַזֶּה רָאִינוּ כִּי־יְדַבֵּר אֱלֹהִים אֶת־הָאָדָם וָחָי׃</w:t>
      </w:r>
    </w:p>
    <w:p w14:paraId="776212D0"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Deutsch:</w:t>
      </w:r>
      <w:r w:rsidRPr="0054771B">
        <w:rPr>
          <w:rFonts w:eastAsia="Times New Roman"/>
          <w:lang w:eastAsia="de-DE"/>
        </w:rPr>
        <w:t xml:space="preserve"> und ihr sagtet: Siehe, der Ewige, unser Gott, hat uns seine Herrlichkeit und seine Größe sehen lassen, und wir haben seine Stimme mitten aus dem Feuer gehört; an diesem Tag haben wir gesehen, dass Gott mit dem Menschen redet und er am Leben bleibt.</w:t>
      </w:r>
    </w:p>
    <w:p w14:paraId="0878B372" w14:textId="77777777" w:rsidR="0054771B" w:rsidRPr="0054771B" w:rsidRDefault="004F5CEB" w:rsidP="0054771B">
      <w:pPr>
        <w:spacing w:after="0" w:line="240" w:lineRule="auto"/>
        <w:rPr>
          <w:rFonts w:eastAsia="Times New Roman"/>
          <w:lang w:eastAsia="de-DE"/>
        </w:rPr>
      </w:pPr>
      <w:r>
        <w:rPr>
          <w:rFonts w:eastAsia="Times New Roman"/>
          <w:noProof/>
          <w:lang w:eastAsia="de-DE"/>
        </w:rPr>
        <w:pict w14:anchorId="505D348D">
          <v:rect id="_x0000_i1209" style="width:0;height:1.5pt" o:hralign="center" o:hrstd="t" o:hr="t" fillcolor="#a0a0a0" stroked="f"/>
        </w:pict>
      </w:r>
    </w:p>
    <w:p w14:paraId="1988D5E3"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Kommentar:</w:t>
      </w:r>
      <w:r w:rsidRPr="0054771B">
        <w:rPr>
          <w:rFonts w:eastAsia="Times New Roman"/>
          <w:lang w:eastAsia="de-DE"/>
        </w:rPr>
        <w:t xml:space="preserve"> </w:t>
      </w:r>
      <w:r w:rsidRPr="0054771B">
        <w:rPr>
          <w:rFonts w:eastAsia="Times New Roman"/>
          <w:b/>
          <w:bCs/>
          <w:rtl/>
          <w:lang w:eastAsia="de-DE"/>
        </w:rPr>
        <w:t>וַתֹּאמְרוּ</w:t>
      </w:r>
      <w:r w:rsidRPr="0054771B">
        <w:rPr>
          <w:rFonts w:eastAsia="Times New Roman"/>
          <w:rtl/>
          <w:lang w:eastAsia="de-DE"/>
        </w:rPr>
        <w:t xml:space="preserve"> </w:t>
      </w:r>
      <w:r w:rsidRPr="0054771B">
        <w:rPr>
          <w:rFonts w:eastAsia="Times New Roman"/>
          <w:lang w:eastAsia="de-DE"/>
        </w:rPr>
        <w:t xml:space="preserve">ist Qal Imperfekt consecutivum, 2. Person Plural maskulin von </w:t>
      </w:r>
      <w:r w:rsidRPr="0054771B">
        <w:rPr>
          <w:rFonts w:eastAsia="Times New Roman"/>
          <w:b/>
          <w:bCs/>
          <w:rtl/>
          <w:lang w:eastAsia="de-DE"/>
        </w:rPr>
        <w:t>אמר</w:t>
      </w:r>
      <w:r w:rsidRPr="0054771B">
        <w:rPr>
          <w:rFonts w:eastAsia="Times New Roman"/>
          <w:rtl/>
          <w:lang w:eastAsia="de-DE"/>
        </w:rPr>
        <w:t xml:space="preserve"> </w:t>
      </w:r>
      <w:r w:rsidRPr="0054771B">
        <w:rPr>
          <w:rFonts w:eastAsia="Times New Roman"/>
          <w:lang w:eastAsia="de-DE"/>
        </w:rPr>
        <w:t xml:space="preserve">(„sagen, sprechen") mit Waw. </w:t>
      </w:r>
      <w:r w:rsidRPr="0054771B">
        <w:rPr>
          <w:rFonts w:eastAsia="Times New Roman"/>
          <w:b/>
          <w:bCs/>
          <w:rtl/>
          <w:lang w:eastAsia="de-DE"/>
        </w:rPr>
        <w:t>הֵן הֶרְאָנוּ יְהוָה אֱלֹהֵינוּ אֶת־כְּבֹדוֹ וְאֶת־גָּדְלוֹ</w:t>
      </w:r>
      <w:r w:rsidRPr="0054771B">
        <w:rPr>
          <w:rFonts w:eastAsia="Times New Roman"/>
          <w:rtl/>
          <w:lang w:eastAsia="de-DE"/>
        </w:rPr>
        <w:t xml:space="preserve"> </w:t>
      </w:r>
      <w:r w:rsidRPr="0054771B">
        <w:rPr>
          <w:rFonts w:eastAsia="Times New Roman"/>
          <w:lang w:eastAsia="de-DE"/>
        </w:rPr>
        <w:t xml:space="preserve">ist die direkte Rede: </w:t>
      </w:r>
      <w:r w:rsidRPr="0054771B">
        <w:rPr>
          <w:rFonts w:eastAsia="Times New Roman"/>
          <w:b/>
          <w:bCs/>
          <w:rtl/>
          <w:lang w:eastAsia="de-DE"/>
        </w:rPr>
        <w:t>הֵן</w:t>
      </w:r>
      <w:r w:rsidRPr="0054771B">
        <w:rPr>
          <w:rFonts w:eastAsia="Times New Roman"/>
          <w:rtl/>
          <w:lang w:eastAsia="de-DE"/>
        </w:rPr>
        <w:t xml:space="preserve"> </w:t>
      </w:r>
      <w:r w:rsidRPr="0054771B">
        <w:rPr>
          <w:rFonts w:eastAsia="Times New Roman"/>
          <w:lang w:eastAsia="de-DE"/>
        </w:rPr>
        <w:t xml:space="preserve">als Interjektionspartikel („siehe, wahrlich"), </w:t>
      </w:r>
      <w:r w:rsidRPr="0054771B">
        <w:rPr>
          <w:rFonts w:eastAsia="Times New Roman"/>
          <w:b/>
          <w:bCs/>
          <w:rtl/>
          <w:lang w:eastAsia="de-DE"/>
        </w:rPr>
        <w:t>הֶרְאָנוּ</w:t>
      </w:r>
      <w:r w:rsidRPr="0054771B">
        <w:rPr>
          <w:rFonts w:eastAsia="Times New Roman"/>
          <w:rtl/>
          <w:lang w:eastAsia="de-DE"/>
        </w:rPr>
        <w:t xml:space="preserve"> </w:t>
      </w:r>
      <w:r w:rsidRPr="0054771B">
        <w:rPr>
          <w:rFonts w:eastAsia="Times New Roman"/>
          <w:lang w:eastAsia="de-DE"/>
        </w:rPr>
        <w:t xml:space="preserve">als Hifil Perfekt, 3. Person Singular maskulin von </w:t>
      </w:r>
      <w:r w:rsidRPr="0054771B">
        <w:rPr>
          <w:rFonts w:eastAsia="Times New Roman"/>
          <w:b/>
          <w:bCs/>
          <w:rtl/>
          <w:lang w:eastAsia="de-DE"/>
        </w:rPr>
        <w:t>ראה</w:t>
      </w:r>
      <w:r w:rsidRPr="0054771B">
        <w:rPr>
          <w:rFonts w:eastAsia="Times New Roman"/>
          <w:rtl/>
          <w:lang w:eastAsia="de-DE"/>
        </w:rPr>
        <w:t xml:space="preserve"> </w:t>
      </w:r>
      <w:r w:rsidRPr="0054771B">
        <w:rPr>
          <w:rFonts w:eastAsia="Times New Roman"/>
          <w:lang w:eastAsia="de-DE"/>
        </w:rPr>
        <w:t xml:space="preserve">(„sehen lassen, zeigen") mit Suffix 1. Person Plural („uns"), </w:t>
      </w:r>
      <w:r w:rsidRPr="0054771B">
        <w:rPr>
          <w:rFonts w:eastAsia="Times New Roman"/>
          <w:b/>
          <w:bCs/>
          <w:rtl/>
          <w:lang w:eastAsia="de-DE"/>
        </w:rPr>
        <w:t>יְהוָה אֱלֹהֵינוּ</w:t>
      </w:r>
      <w:r w:rsidRPr="0054771B">
        <w:rPr>
          <w:rFonts w:eastAsia="Times New Roman"/>
          <w:rtl/>
          <w:lang w:eastAsia="de-DE"/>
        </w:rPr>
        <w:t xml:space="preserve"> </w:t>
      </w:r>
      <w:r w:rsidRPr="0054771B">
        <w:rPr>
          <w:rFonts w:eastAsia="Times New Roman"/>
          <w:lang w:eastAsia="de-DE"/>
        </w:rPr>
        <w:t xml:space="preserve">als erweitertes Subjekt, </w:t>
      </w:r>
      <w:r w:rsidRPr="0054771B">
        <w:rPr>
          <w:rFonts w:eastAsia="Times New Roman"/>
          <w:b/>
          <w:bCs/>
          <w:rtl/>
          <w:lang w:eastAsia="de-DE"/>
        </w:rPr>
        <w:t>אֶת־כְּבֹדוֹ וְאֶת־גָּדְלוֹ</w:t>
      </w:r>
      <w:r w:rsidRPr="0054771B">
        <w:rPr>
          <w:rFonts w:eastAsia="Times New Roman"/>
          <w:rtl/>
          <w:lang w:eastAsia="de-DE"/>
        </w:rPr>
        <w:t xml:space="preserve"> </w:t>
      </w:r>
      <w:r w:rsidRPr="0054771B">
        <w:rPr>
          <w:rFonts w:eastAsia="Times New Roman"/>
          <w:lang w:eastAsia="de-DE"/>
        </w:rPr>
        <w:t>als zweigliedrige koordinierte Objektkette (</w:t>
      </w:r>
      <w:r w:rsidRPr="0054771B">
        <w:rPr>
          <w:rFonts w:eastAsia="Times New Roman"/>
          <w:b/>
          <w:bCs/>
          <w:rtl/>
          <w:lang w:eastAsia="de-DE"/>
        </w:rPr>
        <w:t>כָּבוֹד</w:t>
      </w:r>
      <w:r w:rsidRPr="0054771B">
        <w:rPr>
          <w:rFonts w:eastAsia="Times New Roman"/>
          <w:lang w:eastAsia="de-DE"/>
        </w:rPr>
        <w:t xml:space="preserve">, „Herrlichkeit, Ehre", mit Suffix 3. Person Singular maskulin, und </w:t>
      </w:r>
      <w:r w:rsidRPr="0054771B">
        <w:rPr>
          <w:rFonts w:eastAsia="Times New Roman"/>
          <w:b/>
          <w:bCs/>
          <w:rtl/>
          <w:lang w:eastAsia="de-DE"/>
        </w:rPr>
        <w:t>גֹּדֶל</w:t>
      </w:r>
      <w:r w:rsidRPr="0054771B">
        <w:rPr>
          <w:rFonts w:eastAsia="Times New Roman"/>
          <w:lang w:eastAsia="de-DE"/>
        </w:rPr>
        <w:t>, „Größe", mit Suffix).</w:t>
      </w:r>
    </w:p>
    <w:p w14:paraId="31822528"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rtl/>
          <w:lang w:eastAsia="de-DE"/>
        </w:rPr>
        <w:t>וְאֶת־קֹלוֹ שָׁמַעְנוּ מִתּוֹךְ הָאֵשׁ</w:t>
      </w:r>
      <w:r w:rsidRPr="0054771B">
        <w:rPr>
          <w:rFonts w:eastAsia="Times New Roman"/>
          <w:rtl/>
          <w:lang w:eastAsia="de-DE"/>
        </w:rPr>
        <w:t xml:space="preserve"> </w:t>
      </w:r>
      <w:r w:rsidRPr="0054771B">
        <w:rPr>
          <w:rFonts w:eastAsia="Times New Roman"/>
          <w:lang w:eastAsia="de-DE"/>
        </w:rPr>
        <w:t xml:space="preserve">ist koordiniert: </w:t>
      </w:r>
      <w:r w:rsidRPr="0054771B">
        <w:rPr>
          <w:rFonts w:eastAsia="Times New Roman"/>
          <w:b/>
          <w:bCs/>
          <w:rtl/>
          <w:lang w:eastAsia="de-DE"/>
        </w:rPr>
        <w:t>וְ</w:t>
      </w:r>
      <w:r w:rsidRPr="0054771B">
        <w:rPr>
          <w:rFonts w:eastAsia="Times New Roman"/>
          <w:rtl/>
          <w:lang w:eastAsia="de-DE"/>
        </w:rPr>
        <w:t xml:space="preserve"> </w:t>
      </w:r>
      <w:r w:rsidRPr="0054771B">
        <w:rPr>
          <w:rFonts w:eastAsia="Times New Roman"/>
          <w:lang w:eastAsia="de-DE"/>
        </w:rPr>
        <w:t xml:space="preserve">mit </w:t>
      </w:r>
      <w:r w:rsidRPr="0054771B">
        <w:rPr>
          <w:rFonts w:eastAsia="Times New Roman"/>
          <w:b/>
          <w:bCs/>
          <w:rtl/>
          <w:lang w:eastAsia="de-DE"/>
        </w:rPr>
        <w:t>אֶת־קֹלוֹ</w:t>
      </w:r>
      <w:r w:rsidRPr="0054771B">
        <w:rPr>
          <w:rFonts w:eastAsia="Times New Roman"/>
          <w:rtl/>
          <w:lang w:eastAsia="de-DE"/>
        </w:rPr>
        <w:t xml:space="preserve"> </w:t>
      </w:r>
      <w:r w:rsidRPr="0054771B">
        <w:rPr>
          <w:rFonts w:eastAsia="Times New Roman"/>
          <w:lang w:eastAsia="de-DE"/>
        </w:rPr>
        <w:t>als vorausgestelltem direktem Objekt zur Emphase (</w:t>
      </w:r>
      <w:r w:rsidRPr="0054771B">
        <w:rPr>
          <w:rFonts w:eastAsia="Times New Roman"/>
          <w:b/>
          <w:bCs/>
          <w:rtl/>
          <w:lang w:eastAsia="de-DE"/>
        </w:rPr>
        <w:t>קוֹל</w:t>
      </w:r>
      <w:r w:rsidRPr="0054771B">
        <w:rPr>
          <w:rFonts w:eastAsia="Times New Roman"/>
          <w:rtl/>
          <w:lang w:eastAsia="de-DE"/>
        </w:rPr>
        <w:t xml:space="preserve"> </w:t>
      </w:r>
      <w:r w:rsidRPr="0054771B">
        <w:rPr>
          <w:rFonts w:eastAsia="Times New Roman"/>
          <w:lang w:eastAsia="de-DE"/>
        </w:rPr>
        <w:t xml:space="preserve">mit Suffix), </w:t>
      </w:r>
      <w:r w:rsidRPr="0054771B">
        <w:rPr>
          <w:rFonts w:eastAsia="Times New Roman"/>
          <w:b/>
          <w:bCs/>
          <w:rtl/>
          <w:lang w:eastAsia="de-DE"/>
        </w:rPr>
        <w:t>שָׁמַעְנוּ</w:t>
      </w:r>
      <w:r w:rsidRPr="0054771B">
        <w:rPr>
          <w:rFonts w:eastAsia="Times New Roman"/>
          <w:rtl/>
          <w:lang w:eastAsia="de-DE"/>
        </w:rPr>
        <w:t xml:space="preserve"> </w:t>
      </w:r>
      <w:r w:rsidRPr="0054771B">
        <w:rPr>
          <w:rFonts w:eastAsia="Times New Roman"/>
          <w:lang w:eastAsia="de-DE"/>
        </w:rPr>
        <w:t xml:space="preserve">als Qal Perfekt, 1. Person Plural von </w:t>
      </w:r>
      <w:r w:rsidRPr="0054771B">
        <w:rPr>
          <w:rFonts w:eastAsia="Times New Roman"/>
          <w:b/>
          <w:bCs/>
          <w:rtl/>
          <w:lang w:eastAsia="de-DE"/>
        </w:rPr>
        <w:t>שׁמע</w:t>
      </w:r>
      <w:r w:rsidRPr="0054771B">
        <w:rPr>
          <w:rFonts w:eastAsia="Times New Roman"/>
          <w:lang w:eastAsia="de-DE"/>
        </w:rPr>
        <w:t xml:space="preserve">, </w:t>
      </w:r>
      <w:r w:rsidRPr="0054771B">
        <w:rPr>
          <w:rFonts w:eastAsia="Times New Roman"/>
          <w:b/>
          <w:bCs/>
          <w:rtl/>
          <w:lang w:eastAsia="de-DE"/>
        </w:rPr>
        <w:t>מִתּוֹךְ הָאֵשׁ</w:t>
      </w:r>
      <w:r w:rsidRPr="0054771B">
        <w:rPr>
          <w:rFonts w:eastAsia="Times New Roman"/>
          <w:rtl/>
          <w:lang w:eastAsia="de-DE"/>
        </w:rPr>
        <w:t xml:space="preserve"> </w:t>
      </w:r>
      <w:r w:rsidRPr="0054771B">
        <w:rPr>
          <w:rFonts w:eastAsia="Times New Roman"/>
          <w:lang w:eastAsia="de-DE"/>
        </w:rPr>
        <w:t xml:space="preserve">als Herkunftsangabe. </w:t>
      </w:r>
      <w:r w:rsidRPr="0054771B">
        <w:rPr>
          <w:rFonts w:eastAsia="Times New Roman"/>
          <w:b/>
          <w:bCs/>
          <w:rtl/>
          <w:lang w:eastAsia="de-DE"/>
        </w:rPr>
        <w:t>הַיּוֹם הַזֶּה רָאִינוּ</w:t>
      </w:r>
      <w:r w:rsidRPr="0054771B">
        <w:rPr>
          <w:rFonts w:eastAsia="Times New Roman"/>
          <w:rtl/>
          <w:lang w:eastAsia="de-DE"/>
        </w:rPr>
        <w:t xml:space="preserve"> </w:t>
      </w:r>
      <w:r w:rsidRPr="0054771B">
        <w:rPr>
          <w:rFonts w:eastAsia="Times New Roman"/>
          <w:lang w:eastAsia="de-DE"/>
        </w:rPr>
        <w:t xml:space="preserve">ist koordiniert: </w:t>
      </w:r>
      <w:r w:rsidRPr="0054771B">
        <w:rPr>
          <w:rFonts w:eastAsia="Times New Roman"/>
          <w:b/>
          <w:bCs/>
          <w:rtl/>
          <w:lang w:eastAsia="de-DE"/>
        </w:rPr>
        <w:t>הַיּוֹם הַזֶּה</w:t>
      </w:r>
      <w:r w:rsidRPr="0054771B">
        <w:rPr>
          <w:rFonts w:eastAsia="Times New Roman"/>
          <w:rtl/>
          <w:lang w:eastAsia="de-DE"/>
        </w:rPr>
        <w:t xml:space="preserve"> </w:t>
      </w:r>
      <w:r w:rsidRPr="0054771B">
        <w:rPr>
          <w:rFonts w:eastAsia="Times New Roman"/>
          <w:lang w:eastAsia="de-DE"/>
        </w:rPr>
        <w:t xml:space="preserve">als temporale Bestimmung mit Demonstrativpronomen, </w:t>
      </w:r>
      <w:r w:rsidRPr="0054771B">
        <w:rPr>
          <w:rFonts w:eastAsia="Times New Roman"/>
          <w:b/>
          <w:bCs/>
          <w:rtl/>
          <w:lang w:eastAsia="de-DE"/>
        </w:rPr>
        <w:t>רָאִינוּ</w:t>
      </w:r>
      <w:r w:rsidRPr="0054771B">
        <w:rPr>
          <w:rFonts w:eastAsia="Times New Roman"/>
          <w:rtl/>
          <w:lang w:eastAsia="de-DE"/>
        </w:rPr>
        <w:t xml:space="preserve"> </w:t>
      </w:r>
      <w:r w:rsidRPr="0054771B">
        <w:rPr>
          <w:rFonts w:eastAsia="Times New Roman"/>
          <w:lang w:eastAsia="de-DE"/>
        </w:rPr>
        <w:t xml:space="preserve">als Qal Perfekt, 1. Person Plural von </w:t>
      </w:r>
      <w:r w:rsidRPr="0054771B">
        <w:rPr>
          <w:rFonts w:eastAsia="Times New Roman"/>
          <w:b/>
          <w:bCs/>
          <w:rtl/>
          <w:lang w:eastAsia="de-DE"/>
        </w:rPr>
        <w:t>ראה</w:t>
      </w:r>
      <w:r w:rsidRPr="0054771B">
        <w:rPr>
          <w:rFonts w:eastAsia="Times New Roman"/>
          <w:lang w:eastAsia="de-DE"/>
        </w:rPr>
        <w:t>.</w:t>
      </w:r>
    </w:p>
    <w:p w14:paraId="68D83224"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rtl/>
          <w:lang w:eastAsia="de-DE"/>
        </w:rPr>
        <w:t>כִּי־יְדַבֵּר אֱלֹהִים אֶת־הָאָדָם וָחָי</w:t>
      </w:r>
      <w:r w:rsidRPr="0054771B">
        <w:rPr>
          <w:rFonts w:eastAsia="Times New Roman"/>
          <w:rtl/>
          <w:lang w:eastAsia="de-DE"/>
        </w:rPr>
        <w:t xml:space="preserve"> </w:t>
      </w:r>
      <w:r w:rsidRPr="0054771B">
        <w:rPr>
          <w:rFonts w:eastAsia="Times New Roman"/>
          <w:lang w:eastAsia="de-DE"/>
        </w:rPr>
        <w:t xml:space="preserve">ist ein </w:t>
      </w:r>
      <w:r w:rsidRPr="0054771B">
        <w:rPr>
          <w:rFonts w:eastAsia="Times New Roman"/>
          <w:b/>
          <w:bCs/>
          <w:rtl/>
          <w:lang w:eastAsia="de-DE"/>
        </w:rPr>
        <w:t>כִּי</w:t>
      </w:r>
      <w:r w:rsidRPr="0054771B">
        <w:rPr>
          <w:rFonts w:eastAsia="Times New Roman"/>
          <w:lang w:eastAsia="de-DE"/>
        </w:rPr>
        <w:t xml:space="preserve">-Objektsatz: </w:t>
      </w:r>
      <w:r w:rsidRPr="0054771B">
        <w:rPr>
          <w:rFonts w:eastAsia="Times New Roman"/>
          <w:b/>
          <w:bCs/>
          <w:rtl/>
          <w:lang w:eastAsia="de-DE"/>
        </w:rPr>
        <w:t>כִּי</w:t>
      </w:r>
      <w:r w:rsidRPr="0054771B">
        <w:rPr>
          <w:rFonts w:eastAsia="Times New Roman"/>
          <w:rtl/>
          <w:lang w:eastAsia="de-DE"/>
        </w:rPr>
        <w:t xml:space="preserve"> </w:t>
      </w:r>
      <w:r w:rsidRPr="0054771B">
        <w:rPr>
          <w:rFonts w:eastAsia="Times New Roman"/>
          <w:lang w:eastAsia="de-DE"/>
        </w:rPr>
        <w:t xml:space="preserve">als Objektkonjunktion („dass"), </w:t>
      </w:r>
      <w:r w:rsidRPr="0054771B">
        <w:rPr>
          <w:rFonts w:eastAsia="Times New Roman"/>
          <w:b/>
          <w:bCs/>
          <w:rtl/>
          <w:lang w:eastAsia="de-DE"/>
        </w:rPr>
        <w:t>יְדַבֵּר</w:t>
      </w:r>
      <w:r w:rsidRPr="0054771B">
        <w:rPr>
          <w:rFonts w:eastAsia="Times New Roman"/>
          <w:rtl/>
          <w:lang w:eastAsia="de-DE"/>
        </w:rPr>
        <w:t xml:space="preserve"> </w:t>
      </w:r>
      <w:r w:rsidRPr="0054771B">
        <w:rPr>
          <w:rFonts w:eastAsia="Times New Roman"/>
          <w:lang w:eastAsia="de-DE"/>
        </w:rPr>
        <w:t xml:space="preserve">als Piel Imperfekt, 3. Person Singular maskulin von </w:t>
      </w:r>
      <w:r w:rsidRPr="0054771B">
        <w:rPr>
          <w:rFonts w:eastAsia="Times New Roman"/>
          <w:b/>
          <w:bCs/>
          <w:rtl/>
          <w:lang w:eastAsia="de-DE"/>
        </w:rPr>
        <w:t>דבר</w:t>
      </w:r>
      <w:r w:rsidRPr="0054771B">
        <w:rPr>
          <w:rFonts w:eastAsia="Times New Roman"/>
          <w:lang w:eastAsia="de-DE"/>
        </w:rPr>
        <w:t xml:space="preserve">, </w:t>
      </w:r>
      <w:r w:rsidRPr="0054771B">
        <w:rPr>
          <w:rFonts w:eastAsia="Times New Roman"/>
          <w:b/>
          <w:bCs/>
          <w:rtl/>
          <w:lang w:eastAsia="de-DE"/>
        </w:rPr>
        <w:t>אֱלֹהִים</w:t>
      </w:r>
      <w:r w:rsidRPr="0054771B">
        <w:rPr>
          <w:rFonts w:eastAsia="Times New Roman"/>
          <w:rtl/>
          <w:lang w:eastAsia="de-DE"/>
        </w:rPr>
        <w:t xml:space="preserve"> </w:t>
      </w:r>
      <w:r w:rsidRPr="0054771B">
        <w:rPr>
          <w:rFonts w:eastAsia="Times New Roman"/>
          <w:lang w:eastAsia="de-DE"/>
        </w:rPr>
        <w:t xml:space="preserve">als Subjekt, </w:t>
      </w:r>
      <w:r w:rsidRPr="0054771B">
        <w:rPr>
          <w:rFonts w:eastAsia="Times New Roman"/>
          <w:b/>
          <w:bCs/>
          <w:rtl/>
          <w:lang w:eastAsia="de-DE"/>
        </w:rPr>
        <w:t>אֶת־הָאָדָם</w:t>
      </w:r>
      <w:r w:rsidRPr="0054771B">
        <w:rPr>
          <w:rFonts w:eastAsia="Times New Roman"/>
          <w:rtl/>
          <w:lang w:eastAsia="de-DE"/>
        </w:rPr>
        <w:t xml:space="preserve"> </w:t>
      </w:r>
      <w:r w:rsidRPr="0054771B">
        <w:rPr>
          <w:rFonts w:eastAsia="Times New Roman"/>
          <w:lang w:eastAsia="de-DE"/>
        </w:rPr>
        <w:t xml:space="preserve">als Präposition </w:t>
      </w:r>
      <w:r w:rsidRPr="0054771B">
        <w:rPr>
          <w:rFonts w:eastAsia="Times New Roman"/>
          <w:b/>
          <w:bCs/>
          <w:rtl/>
          <w:lang w:eastAsia="de-DE"/>
        </w:rPr>
        <w:t>אֶת</w:t>
      </w:r>
      <w:r w:rsidRPr="0054771B">
        <w:rPr>
          <w:rFonts w:eastAsia="Times New Roman"/>
          <w:rtl/>
          <w:lang w:eastAsia="de-DE"/>
        </w:rPr>
        <w:t xml:space="preserve"> </w:t>
      </w:r>
      <w:r w:rsidRPr="0054771B">
        <w:rPr>
          <w:rFonts w:eastAsia="Times New Roman"/>
          <w:lang w:eastAsia="de-DE"/>
        </w:rPr>
        <w:t xml:space="preserve">(„mit") und </w:t>
      </w:r>
      <w:r w:rsidRPr="0054771B">
        <w:rPr>
          <w:rFonts w:eastAsia="Times New Roman"/>
          <w:b/>
          <w:bCs/>
          <w:rtl/>
          <w:lang w:eastAsia="de-DE"/>
        </w:rPr>
        <w:t>הָאָדָם</w:t>
      </w:r>
      <w:r w:rsidRPr="0054771B">
        <w:rPr>
          <w:rFonts w:eastAsia="Times New Roman"/>
          <w:rtl/>
          <w:lang w:eastAsia="de-DE"/>
        </w:rPr>
        <w:t xml:space="preserve"> </w:t>
      </w:r>
      <w:r w:rsidRPr="0054771B">
        <w:rPr>
          <w:rFonts w:eastAsia="Times New Roman"/>
          <w:lang w:eastAsia="de-DE"/>
        </w:rPr>
        <w:t xml:space="preserve">(„der Mensch, die Menschheit", mit Artikel – generisch), </w:t>
      </w:r>
      <w:r w:rsidRPr="0054771B">
        <w:rPr>
          <w:rFonts w:eastAsia="Times New Roman"/>
          <w:b/>
          <w:bCs/>
          <w:rtl/>
          <w:lang w:eastAsia="de-DE"/>
        </w:rPr>
        <w:t>וָחָי</w:t>
      </w:r>
      <w:r w:rsidRPr="0054771B">
        <w:rPr>
          <w:rFonts w:eastAsia="Times New Roman"/>
          <w:rtl/>
          <w:lang w:eastAsia="de-DE"/>
        </w:rPr>
        <w:t xml:space="preserve"> </w:t>
      </w:r>
      <w:r w:rsidRPr="0054771B">
        <w:rPr>
          <w:rFonts w:eastAsia="Times New Roman"/>
          <w:lang w:eastAsia="de-DE"/>
        </w:rPr>
        <w:t xml:space="preserve">als Qal Perfekt consecutivum, 3. Person Singular maskulin von </w:t>
      </w:r>
      <w:r w:rsidRPr="0054771B">
        <w:rPr>
          <w:rFonts w:eastAsia="Times New Roman"/>
          <w:b/>
          <w:bCs/>
          <w:rtl/>
          <w:lang w:eastAsia="de-DE"/>
        </w:rPr>
        <w:t>חיה</w:t>
      </w:r>
      <w:r w:rsidRPr="0054771B">
        <w:rPr>
          <w:rFonts w:eastAsia="Times New Roman"/>
          <w:rtl/>
          <w:lang w:eastAsia="de-DE"/>
        </w:rPr>
        <w:t xml:space="preserve"> </w:t>
      </w:r>
      <w:r w:rsidRPr="0054771B">
        <w:rPr>
          <w:rFonts w:eastAsia="Times New Roman"/>
          <w:lang w:eastAsia="de-DE"/>
        </w:rPr>
        <w:t>(„leben") mit Waw – „und er bleibt am Leben".</w:t>
      </w:r>
    </w:p>
    <w:p w14:paraId="49087B46"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 xml:space="preserve">Die Aussage ist bemerkenswert: Im antiken Denken führte die direkte Gottesbegegnung normalerweise zum Tod (vgl. Ex 33,20; Ri 6,22-23; 13,22). Israel hat jedoch die einzigartige Erfahrung gemacht, dass Gott mit Menschen reden kann, ohne sie zu vernichten. Die Begriffe </w:t>
      </w:r>
      <w:r w:rsidRPr="0054771B">
        <w:rPr>
          <w:rFonts w:eastAsia="Times New Roman"/>
          <w:b/>
          <w:bCs/>
          <w:rtl/>
          <w:lang w:eastAsia="de-DE"/>
        </w:rPr>
        <w:t>כָּבוֹד</w:t>
      </w:r>
      <w:r w:rsidRPr="0054771B">
        <w:rPr>
          <w:rFonts w:eastAsia="Times New Roman"/>
          <w:rtl/>
          <w:lang w:eastAsia="de-DE"/>
        </w:rPr>
        <w:t xml:space="preserve"> </w:t>
      </w:r>
      <w:r w:rsidRPr="0054771B">
        <w:rPr>
          <w:rFonts w:eastAsia="Times New Roman"/>
          <w:lang w:eastAsia="de-DE"/>
        </w:rPr>
        <w:t xml:space="preserve">(„Herrlichkeit") und </w:t>
      </w:r>
      <w:r w:rsidRPr="0054771B">
        <w:rPr>
          <w:rFonts w:eastAsia="Times New Roman"/>
          <w:b/>
          <w:bCs/>
          <w:rtl/>
          <w:lang w:eastAsia="de-DE"/>
        </w:rPr>
        <w:t>גֹּדֶל</w:t>
      </w:r>
      <w:r w:rsidRPr="0054771B">
        <w:rPr>
          <w:rFonts w:eastAsia="Times New Roman"/>
          <w:rtl/>
          <w:lang w:eastAsia="de-DE"/>
        </w:rPr>
        <w:t xml:space="preserve"> </w:t>
      </w:r>
      <w:r w:rsidRPr="0054771B">
        <w:rPr>
          <w:rFonts w:eastAsia="Times New Roman"/>
          <w:lang w:eastAsia="de-DE"/>
        </w:rPr>
        <w:t>(„Größe") bezeichnen die überwältigende Manifestation der göttlichen Präsenz.</w:t>
      </w:r>
    </w:p>
    <w:p w14:paraId="656E115B"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 xml:space="preserve">Die Satzstruktur ist ein konsekutives Verb zur Einleitung direkter Rede, gefolgt von einer Interjektionspartikel, einem Hifil-Perfekt mit Suffix-Objekt, erweitertem Subjekt und </w:t>
      </w:r>
      <w:r w:rsidRPr="0054771B">
        <w:rPr>
          <w:rFonts w:eastAsia="Times New Roman"/>
          <w:lang w:eastAsia="de-DE"/>
        </w:rPr>
        <w:lastRenderedPageBreak/>
        <w:t xml:space="preserve">zweigliedriger koordinierter Objektkette, einem koordinierten Satz mit vorausgestelltem Objekt zur Emphase, Prädikat und Herkunftsangabe, einem weiteren koordinierten Satz mit temporaler Bestimmung und Prädikat, und einem </w:t>
      </w:r>
      <w:r w:rsidRPr="0054771B">
        <w:rPr>
          <w:rFonts w:eastAsia="Times New Roman"/>
          <w:b/>
          <w:bCs/>
          <w:rtl/>
          <w:lang w:eastAsia="de-DE"/>
        </w:rPr>
        <w:t>כִּי</w:t>
      </w:r>
      <w:r w:rsidRPr="0054771B">
        <w:rPr>
          <w:rFonts w:eastAsia="Times New Roman"/>
          <w:lang w:eastAsia="de-DE"/>
        </w:rPr>
        <w:t>-Objektsatz mit Prädikat, Subjekt, präpositionalem Objekt und konsekutivem Verb. Die Struktur betont das Wunder der Gottesbegegnung ohne Tod.</w:t>
      </w:r>
    </w:p>
    <w:p w14:paraId="4A9CC399"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Der Vers gibt die Reaktion der Volksvertreter wieder: Sie haben JHWHs Herrlichkeit und Größe gesehen, seine Stimme aus dem Feuer gehört und erkannt, dass Menschen die Gottesbegegnung überleben können – eine erstaunliche Erfahrung.</w:t>
      </w:r>
    </w:p>
    <w:p w14:paraId="36188059" w14:textId="77777777" w:rsidR="0054771B" w:rsidRPr="0054771B" w:rsidRDefault="0054771B" w:rsidP="0054771B">
      <w:pPr>
        <w:spacing w:before="100" w:beforeAutospacing="1" w:after="100" w:afterAutospacing="1" w:line="240" w:lineRule="auto"/>
        <w:outlineLvl w:val="1"/>
        <w:rPr>
          <w:rFonts w:eastAsia="Times New Roman"/>
          <w:b/>
          <w:bCs/>
          <w:sz w:val="36"/>
          <w:szCs w:val="36"/>
          <w:lang w:eastAsia="de-DE"/>
        </w:rPr>
      </w:pPr>
      <w:r w:rsidRPr="0054771B">
        <w:rPr>
          <w:rFonts w:eastAsia="Times New Roman"/>
          <w:b/>
          <w:bCs/>
          <w:sz w:val="36"/>
          <w:szCs w:val="36"/>
          <w:lang w:eastAsia="de-DE"/>
        </w:rPr>
        <w:t>Deuteronomium 5,25</w:t>
      </w:r>
    </w:p>
    <w:p w14:paraId="65009ABD"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Hebräisch:</w:t>
      </w:r>
      <w:r w:rsidRPr="0054771B">
        <w:rPr>
          <w:rFonts w:eastAsia="Times New Roman"/>
          <w:lang w:eastAsia="de-DE"/>
        </w:rPr>
        <w:t xml:space="preserve"> </w:t>
      </w:r>
      <w:r w:rsidRPr="0054771B">
        <w:rPr>
          <w:rFonts w:eastAsia="Times New Roman"/>
          <w:rtl/>
          <w:lang w:eastAsia="de-DE"/>
        </w:rPr>
        <w:t>וְעַתָּה לָמָּה נָמוּת כִּי תֹאכְלֵנוּ הָאֵשׁ הַגְּדֹלָה הַזֹּאת אִם־יֹסְפִים אֲנַחְנוּ לִשְׁמֹעַ אֶת־קוֹל יְהוָה אֱלֹהֵינוּ עוֹד וָמָתְנוּ׃</w:t>
      </w:r>
    </w:p>
    <w:p w14:paraId="633D3EA4"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Deutsch:</w:t>
      </w:r>
      <w:r w:rsidRPr="0054771B">
        <w:rPr>
          <w:rFonts w:eastAsia="Times New Roman"/>
          <w:lang w:eastAsia="de-DE"/>
        </w:rPr>
        <w:t xml:space="preserve"> Und nun, warum sollten wir sterben? Denn dieses große Feuer wird uns fressen. Wenn wir fortfahren, die Stimme des Ewigen, unseres Gottes, zu hören, so werden wir sterben.</w:t>
      </w:r>
    </w:p>
    <w:p w14:paraId="3F990EB1" w14:textId="77777777" w:rsidR="0054771B" w:rsidRPr="0054771B" w:rsidRDefault="004F5CEB" w:rsidP="0054771B">
      <w:pPr>
        <w:spacing w:after="0" w:line="240" w:lineRule="auto"/>
        <w:rPr>
          <w:rFonts w:eastAsia="Times New Roman"/>
          <w:lang w:eastAsia="de-DE"/>
        </w:rPr>
      </w:pPr>
      <w:r>
        <w:rPr>
          <w:rFonts w:eastAsia="Times New Roman"/>
          <w:noProof/>
          <w:lang w:eastAsia="de-DE"/>
        </w:rPr>
        <w:pict w14:anchorId="7827137B">
          <v:rect id="_x0000_i1210" style="width:0;height:1.5pt" o:hralign="center" o:hrstd="t" o:hr="t" fillcolor="#a0a0a0" stroked="f"/>
        </w:pict>
      </w:r>
    </w:p>
    <w:p w14:paraId="6DD57277"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Kommentar:</w:t>
      </w:r>
      <w:r w:rsidRPr="0054771B">
        <w:rPr>
          <w:rFonts w:eastAsia="Times New Roman"/>
          <w:lang w:eastAsia="de-DE"/>
        </w:rPr>
        <w:t xml:space="preserve"> </w:t>
      </w:r>
      <w:r w:rsidRPr="0054771B">
        <w:rPr>
          <w:rFonts w:eastAsia="Times New Roman"/>
          <w:b/>
          <w:bCs/>
          <w:rtl/>
          <w:lang w:eastAsia="de-DE"/>
        </w:rPr>
        <w:t>וְעַתָּה לָמָּה נָמוּת</w:t>
      </w:r>
      <w:r w:rsidRPr="0054771B">
        <w:rPr>
          <w:rFonts w:eastAsia="Times New Roman"/>
          <w:rtl/>
          <w:lang w:eastAsia="de-DE"/>
        </w:rPr>
        <w:t xml:space="preserve"> </w:t>
      </w:r>
      <w:r w:rsidRPr="0054771B">
        <w:rPr>
          <w:rFonts w:eastAsia="Times New Roman"/>
          <w:lang w:eastAsia="de-DE"/>
        </w:rPr>
        <w:t xml:space="preserve">ist eine rhetorische Frage: </w:t>
      </w:r>
      <w:r w:rsidRPr="0054771B">
        <w:rPr>
          <w:rFonts w:eastAsia="Times New Roman"/>
          <w:b/>
          <w:bCs/>
          <w:rtl/>
          <w:lang w:eastAsia="de-DE"/>
        </w:rPr>
        <w:t>וְעַתָּה</w:t>
      </w:r>
      <w:r w:rsidRPr="0054771B">
        <w:rPr>
          <w:rFonts w:eastAsia="Times New Roman"/>
          <w:rtl/>
          <w:lang w:eastAsia="de-DE"/>
        </w:rPr>
        <w:t xml:space="preserve"> </w:t>
      </w:r>
      <w:r w:rsidRPr="0054771B">
        <w:rPr>
          <w:rFonts w:eastAsia="Times New Roman"/>
          <w:lang w:eastAsia="de-DE"/>
        </w:rPr>
        <w:t xml:space="preserve">als temporale Überleitung („und nun, jetzt"), </w:t>
      </w:r>
      <w:r w:rsidRPr="0054771B">
        <w:rPr>
          <w:rFonts w:eastAsia="Times New Roman"/>
          <w:b/>
          <w:bCs/>
          <w:rtl/>
          <w:lang w:eastAsia="de-DE"/>
        </w:rPr>
        <w:t>לָמָּה</w:t>
      </w:r>
      <w:r w:rsidRPr="0054771B">
        <w:rPr>
          <w:rFonts w:eastAsia="Times New Roman"/>
          <w:rtl/>
          <w:lang w:eastAsia="de-DE"/>
        </w:rPr>
        <w:t xml:space="preserve"> </w:t>
      </w:r>
      <w:r w:rsidRPr="0054771B">
        <w:rPr>
          <w:rFonts w:eastAsia="Times New Roman"/>
          <w:lang w:eastAsia="de-DE"/>
        </w:rPr>
        <w:t>als Fragepartikel (</w:t>
      </w:r>
      <w:r w:rsidRPr="0054771B">
        <w:rPr>
          <w:rFonts w:eastAsia="Times New Roman"/>
          <w:b/>
          <w:bCs/>
          <w:rtl/>
          <w:lang w:eastAsia="de-DE"/>
        </w:rPr>
        <w:t>לְ</w:t>
      </w:r>
      <w:r w:rsidRPr="0054771B">
        <w:rPr>
          <w:rFonts w:eastAsia="Times New Roman"/>
          <w:rtl/>
          <w:lang w:eastAsia="de-DE"/>
        </w:rPr>
        <w:t xml:space="preserve"> </w:t>
      </w:r>
      <w:r w:rsidRPr="0054771B">
        <w:rPr>
          <w:rFonts w:eastAsia="Times New Roman"/>
          <w:lang w:eastAsia="de-DE"/>
        </w:rPr>
        <w:t xml:space="preserve">mit </w:t>
      </w:r>
      <w:r w:rsidRPr="0054771B">
        <w:rPr>
          <w:rFonts w:eastAsia="Times New Roman"/>
          <w:b/>
          <w:bCs/>
          <w:rtl/>
          <w:lang w:eastAsia="de-DE"/>
        </w:rPr>
        <w:t>מָה</w:t>
      </w:r>
      <w:r w:rsidRPr="0054771B">
        <w:rPr>
          <w:rFonts w:eastAsia="Times New Roman"/>
          <w:lang w:eastAsia="de-DE"/>
        </w:rPr>
        <w:t xml:space="preserve">, „warum, wozu"), </w:t>
      </w:r>
      <w:r w:rsidRPr="0054771B">
        <w:rPr>
          <w:rFonts w:eastAsia="Times New Roman"/>
          <w:b/>
          <w:bCs/>
          <w:rtl/>
          <w:lang w:eastAsia="de-DE"/>
        </w:rPr>
        <w:t>נָמוּת</w:t>
      </w:r>
      <w:r w:rsidRPr="0054771B">
        <w:rPr>
          <w:rFonts w:eastAsia="Times New Roman"/>
          <w:rtl/>
          <w:lang w:eastAsia="de-DE"/>
        </w:rPr>
        <w:t xml:space="preserve"> </w:t>
      </w:r>
      <w:r w:rsidRPr="0054771B">
        <w:rPr>
          <w:rFonts w:eastAsia="Times New Roman"/>
          <w:lang w:eastAsia="de-DE"/>
        </w:rPr>
        <w:t xml:space="preserve">als Qal Imperfekt, 1. Person Plural von </w:t>
      </w:r>
      <w:r w:rsidRPr="0054771B">
        <w:rPr>
          <w:rFonts w:eastAsia="Times New Roman"/>
          <w:b/>
          <w:bCs/>
          <w:rtl/>
          <w:lang w:eastAsia="de-DE"/>
        </w:rPr>
        <w:t>מות</w:t>
      </w:r>
      <w:r w:rsidRPr="0054771B">
        <w:rPr>
          <w:rFonts w:eastAsia="Times New Roman"/>
          <w:rtl/>
          <w:lang w:eastAsia="de-DE"/>
        </w:rPr>
        <w:t xml:space="preserve"> </w:t>
      </w:r>
      <w:r w:rsidRPr="0054771B">
        <w:rPr>
          <w:rFonts w:eastAsia="Times New Roman"/>
          <w:lang w:eastAsia="de-DE"/>
        </w:rPr>
        <w:t xml:space="preserve">(„sterben") – hier in </w:t>
      </w:r>
      <w:proofErr w:type="spellStart"/>
      <w:r w:rsidRPr="0054771B">
        <w:rPr>
          <w:rFonts w:eastAsia="Times New Roman"/>
          <w:lang w:eastAsia="de-DE"/>
        </w:rPr>
        <w:t>kohortativer</w:t>
      </w:r>
      <w:proofErr w:type="spellEnd"/>
      <w:r w:rsidRPr="0054771B">
        <w:rPr>
          <w:rFonts w:eastAsia="Times New Roman"/>
          <w:lang w:eastAsia="de-DE"/>
        </w:rPr>
        <w:t xml:space="preserve"> bzw. deliberativer Funktion „warum sollten wir sterben?".</w:t>
      </w:r>
    </w:p>
    <w:p w14:paraId="30953B17" w14:textId="0D745832"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rtl/>
          <w:lang w:eastAsia="de-DE"/>
        </w:rPr>
        <w:t>כִּי תֹאכְלֵנוּ הָאֵשׁ הַגְּדֹלָה הַזֹּאת</w:t>
      </w:r>
      <w:r w:rsidRPr="0054771B">
        <w:rPr>
          <w:rFonts w:eastAsia="Times New Roman"/>
          <w:rtl/>
          <w:lang w:eastAsia="de-DE"/>
        </w:rPr>
        <w:t xml:space="preserve"> </w:t>
      </w:r>
      <w:r w:rsidRPr="0054771B">
        <w:rPr>
          <w:rFonts w:eastAsia="Times New Roman"/>
          <w:lang w:eastAsia="de-DE"/>
        </w:rPr>
        <w:t xml:space="preserve">ist ein kausaler Satz: </w:t>
      </w:r>
      <w:r w:rsidRPr="0054771B">
        <w:rPr>
          <w:rFonts w:eastAsia="Times New Roman"/>
          <w:b/>
          <w:bCs/>
          <w:rtl/>
          <w:lang w:eastAsia="de-DE"/>
        </w:rPr>
        <w:t>כִּי</w:t>
      </w:r>
      <w:r w:rsidRPr="0054771B">
        <w:rPr>
          <w:rFonts w:eastAsia="Times New Roman"/>
          <w:rtl/>
          <w:lang w:eastAsia="de-DE"/>
        </w:rPr>
        <w:t xml:space="preserve"> </w:t>
      </w:r>
      <w:r w:rsidRPr="0054771B">
        <w:rPr>
          <w:rFonts w:eastAsia="Times New Roman"/>
          <w:lang w:eastAsia="de-DE"/>
        </w:rPr>
        <w:t xml:space="preserve">als Konjunktion („denn"), </w:t>
      </w:r>
      <w:r w:rsidRPr="0054771B">
        <w:rPr>
          <w:rFonts w:eastAsia="Times New Roman"/>
          <w:b/>
          <w:bCs/>
          <w:rtl/>
          <w:lang w:eastAsia="de-DE"/>
        </w:rPr>
        <w:t>תֹאכְלֵנוּ</w:t>
      </w:r>
      <w:r w:rsidRPr="0054771B">
        <w:rPr>
          <w:rFonts w:eastAsia="Times New Roman"/>
          <w:rtl/>
          <w:lang w:eastAsia="de-DE"/>
        </w:rPr>
        <w:t xml:space="preserve"> </w:t>
      </w:r>
      <w:r w:rsidRPr="0054771B">
        <w:rPr>
          <w:rFonts w:eastAsia="Times New Roman"/>
          <w:lang w:eastAsia="de-DE"/>
        </w:rPr>
        <w:t xml:space="preserve">als Qal Imperfekt, 3. Person Singular feminin von </w:t>
      </w:r>
      <w:r w:rsidRPr="0054771B">
        <w:rPr>
          <w:rFonts w:eastAsia="Times New Roman"/>
          <w:b/>
          <w:bCs/>
          <w:rtl/>
          <w:lang w:eastAsia="de-DE"/>
        </w:rPr>
        <w:t>אכל</w:t>
      </w:r>
      <w:r w:rsidRPr="0054771B">
        <w:rPr>
          <w:rFonts w:eastAsia="Times New Roman"/>
          <w:rtl/>
          <w:lang w:eastAsia="de-DE"/>
        </w:rPr>
        <w:t xml:space="preserve"> </w:t>
      </w:r>
      <w:r w:rsidRPr="0054771B">
        <w:rPr>
          <w:rFonts w:eastAsia="Times New Roman"/>
          <w:lang w:eastAsia="de-DE"/>
        </w:rPr>
        <w:t xml:space="preserve">(„essen, fressen, verzehren") mit Suffix 1. Person Plural als direktes Objekt, </w:t>
      </w:r>
      <w:r w:rsidRPr="0054771B">
        <w:rPr>
          <w:rFonts w:eastAsia="Times New Roman"/>
          <w:b/>
          <w:bCs/>
          <w:rtl/>
          <w:lang w:eastAsia="de-DE"/>
        </w:rPr>
        <w:t>הָאֵשׁ הַגְּדֹלָה הַזֹּאת</w:t>
      </w:r>
      <w:r w:rsidRPr="0054771B">
        <w:rPr>
          <w:rFonts w:eastAsia="Times New Roman"/>
          <w:rtl/>
          <w:lang w:eastAsia="de-DE"/>
        </w:rPr>
        <w:t xml:space="preserve"> </w:t>
      </w:r>
      <w:r w:rsidRPr="0054771B">
        <w:rPr>
          <w:rFonts w:eastAsia="Times New Roman"/>
          <w:lang w:eastAsia="de-DE"/>
        </w:rPr>
        <w:t>als Subjekt (</w:t>
      </w:r>
      <w:r w:rsidRPr="0054771B">
        <w:rPr>
          <w:rFonts w:eastAsia="Times New Roman"/>
          <w:b/>
          <w:bCs/>
          <w:rtl/>
          <w:lang w:eastAsia="de-DE"/>
        </w:rPr>
        <w:t>אֵשׁ</w:t>
      </w:r>
      <w:r w:rsidRPr="0054771B">
        <w:rPr>
          <w:rFonts w:eastAsia="Times New Roman"/>
          <w:lang w:eastAsia="de-DE"/>
        </w:rPr>
        <w:t xml:space="preserve">, „Feuer", feminin, mit Adjektiv </w:t>
      </w:r>
      <w:r w:rsidRPr="0054771B">
        <w:rPr>
          <w:rFonts w:eastAsia="Times New Roman"/>
          <w:b/>
          <w:bCs/>
          <w:rtl/>
          <w:lang w:eastAsia="de-DE"/>
        </w:rPr>
        <w:t>הַגְּדֹלָה</w:t>
      </w:r>
      <w:r w:rsidRPr="0054771B">
        <w:rPr>
          <w:rFonts w:eastAsia="Times New Roman"/>
          <w:rtl/>
          <w:lang w:eastAsia="de-DE"/>
        </w:rPr>
        <w:t xml:space="preserve"> </w:t>
      </w:r>
      <w:r w:rsidRPr="0054771B">
        <w:rPr>
          <w:rFonts w:eastAsia="Times New Roman"/>
          <w:lang w:eastAsia="de-DE"/>
        </w:rPr>
        <w:t xml:space="preserve">und Demonstrativpronomen </w:t>
      </w:r>
      <w:r w:rsidRPr="0054771B">
        <w:rPr>
          <w:rFonts w:eastAsia="Times New Roman"/>
          <w:b/>
          <w:bCs/>
          <w:rtl/>
          <w:lang w:eastAsia="de-DE"/>
        </w:rPr>
        <w:t>הַזֹּאת</w:t>
      </w:r>
      <w:r w:rsidRPr="0054771B">
        <w:rPr>
          <w:rFonts w:eastAsia="Times New Roman"/>
          <w:lang w:eastAsia="de-DE"/>
        </w:rPr>
        <w:t xml:space="preserve">). Die Metapher des verzehrenden Feuers drückt die tödliche </w:t>
      </w:r>
      <w:r w:rsidR="00D84597">
        <w:rPr>
          <w:rFonts w:eastAsia="Times New Roman"/>
          <w:lang w:eastAsia="de-DE"/>
        </w:rPr>
        <w:t>Gefahr</w:t>
      </w:r>
      <w:r w:rsidRPr="0054771B">
        <w:rPr>
          <w:rFonts w:eastAsia="Times New Roman"/>
          <w:lang w:eastAsia="de-DE"/>
        </w:rPr>
        <w:t xml:space="preserve"> der Theophanie aus.</w:t>
      </w:r>
    </w:p>
    <w:p w14:paraId="68089E92"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rtl/>
          <w:lang w:eastAsia="de-DE"/>
        </w:rPr>
        <w:t>אִם־יֹסְפִים אֲנַחְנוּ לִשְׁמֹעַ אֶת־קוֹל יְהוָה אֱלֹהֵינוּ עוֹד וָמָתְנוּ</w:t>
      </w:r>
      <w:r w:rsidRPr="0054771B">
        <w:rPr>
          <w:rFonts w:eastAsia="Times New Roman"/>
          <w:rtl/>
          <w:lang w:eastAsia="de-DE"/>
        </w:rPr>
        <w:t xml:space="preserve"> </w:t>
      </w:r>
      <w:r w:rsidRPr="0054771B">
        <w:rPr>
          <w:rFonts w:eastAsia="Times New Roman"/>
          <w:lang w:eastAsia="de-DE"/>
        </w:rPr>
        <w:t xml:space="preserve">ist ein Konditionalsatz mit Konsequenz: </w:t>
      </w:r>
      <w:r w:rsidRPr="0054771B">
        <w:rPr>
          <w:rFonts w:eastAsia="Times New Roman"/>
          <w:b/>
          <w:bCs/>
          <w:rtl/>
          <w:lang w:eastAsia="de-DE"/>
        </w:rPr>
        <w:t>אִם־יֹסְפִים אֲנַחְנוּ</w:t>
      </w:r>
      <w:r w:rsidRPr="0054771B">
        <w:rPr>
          <w:rFonts w:eastAsia="Times New Roman"/>
          <w:rtl/>
          <w:lang w:eastAsia="de-DE"/>
        </w:rPr>
        <w:t xml:space="preserve"> </w:t>
      </w:r>
      <w:r w:rsidRPr="0054771B">
        <w:rPr>
          <w:rFonts w:eastAsia="Times New Roman"/>
          <w:lang w:eastAsia="de-DE"/>
        </w:rPr>
        <w:t>als konditionale Einleitung (</w:t>
      </w:r>
      <w:r w:rsidRPr="0054771B">
        <w:rPr>
          <w:rFonts w:eastAsia="Times New Roman"/>
          <w:b/>
          <w:bCs/>
          <w:rtl/>
          <w:lang w:eastAsia="de-DE"/>
        </w:rPr>
        <w:t>אִם</w:t>
      </w:r>
      <w:r w:rsidRPr="0054771B">
        <w:rPr>
          <w:rFonts w:eastAsia="Times New Roman"/>
          <w:lang w:eastAsia="de-DE"/>
        </w:rPr>
        <w:t xml:space="preserve">, „wenn", mit </w:t>
      </w:r>
      <w:r w:rsidRPr="0054771B">
        <w:rPr>
          <w:rFonts w:eastAsia="Times New Roman"/>
          <w:b/>
          <w:bCs/>
          <w:rtl/>
          <w:lang w:eastAsia="de-DE"/>
        </w:rPr>
        <w:t>יֹסְפִים</w:t>
      </w:r>
      <w:r w:rsidRPr="0054771B">
        <w:rPr>
          <w:rFonts w:eastAsia="Times New Roman"/>
          <w:lang w:eastAsia="de-DE"/>
        </w:rPr>
        <w:t xml:space="preserve">, Hifil Partizip Plural maskulin von </w:t>
      </w:r>
      <w:r w:rsidRPr="0054771B">
        <w:rPr>
          <w:rFonts w:eastAsia="Times New Roman"/>
          <w:b/>
          <w:bCs/>
          <w:rtl/>
          <w:lang w:eastAsia="de-DE"/>
        </w:rPr>
        <w:t>יסף</w:t>
      </w:r>
      <w:r w:rsidRPr="0054771B">
        <w:rPr>
          <w:rFonts w:eastAsia="Times New Roman"/>
          <w:lang w:eastAsia="de-DE"/>
        </w:rPr>
        <w:t xml:space="preserve">, „hinzufügen, fortfahren", und </w:t>
      </w:r>
      <w:r w:rsidRPr="0054771B">
        <w:rPr>
          <w:rFonts w:eastAsia="Times New Roman"/>
          <w:b/>
          <w:bCs/>
          <w:rtl/>
          <w:lang w:eastAsia="de-DE"/>
        </w:rPr>
        <w:t>אֲנַחְנוּ</w:t>
      </w:r>
      <w:r w:rsidRPr="0054771B">
        <w:rPr>
          <w:rFonts w:eastAsia="Times New Roman"/>
          <w:rtl/>
          <w:lang w:eastAsia="de-DE"/>
        </w:rPr>
        <w:t xml:space="preserve"> </w:t>
      </w:r>
      <w:r w:rsidRPr="0054771B">
        <w:rPr>
          <w:rFonts w:eastAsia="Times New Roman"/>
          <w:lang w:eastAsia="de-DE"/>
        </w:rPr>
        <w:t xml:space="preserve">als Subjekt – „wenn wir fortfahren"), </w:t>
      </w:r>
      <w:r w:rsidRPr="0054771B">
        <w:rPr>
          <w:rFonts w:eastAsia="Times New Roman"/>
          <w:b/>
          <w:bCs/>
          <w:rtl/>
          <w:lang w:eastAsia="de-DE"/>
        </w:rPr>
        <w:t>לִשְׁמֹעַ אֶת־קוֹל יְהוָה אֱלֹהֵינוּ</w:t>
      </w:r>
      <w:r w:rsidRPr="0054771B">
        <w:rPr>
          <w:rFonts w:eastAsia="Times New Roman"/>
          <w:rtl/>
          <w:lang w:eastAsia="de-DE"/>
        </w:rPr>
        <w:t xml:space="preserve"> </w:t>
      </w:r>
      <w:r w:rsidRPr="0054771B">
        <w:rPr>
          <w:rFonts w:eastAsia="Times New Roman"/>
          <w:lang w:eastAsia="de-DE"/>
        </w:rPr>
        <w:t xml:space="preserve">als Infinitivkonstruktion (Qal Infinitiv Construct von </w:t>
      </w:r>
      <w:r w:rsidRPr="0054771B">
        <w:rPr>
          <w:rFonts w:eastAsia="Times New Roman"/>
          <w:b/>
          <w:bCs/>
          <w:rtl/>
          <w:lang w:eastAsia="de-DE"/>
        </w:rPr>
        <w:t>שׁמע</w:t>
      </w:r>
      <w:r w:rsidRPr="0054771B">
        <w:rPr>
          <w:rFonts w:eastAsia="Times New Roman"/>
          <w:rtl/>
          <w:lang w:eastAsia="de-DE"/>
        </w:rPr>
        <w:t xml:space="preserve"> </w:t>
      </w:r>
      <w:r w:rsidRPr="0054771B">
        <w:rPr>
          <w:rFonts w:eastAsia="Times New Roman"/>
          <w:lang w:eastAsia="de-DE"/>
        </w:rPr>
        <w:t xml:space="preserve">mit </w:t>
      </w:r>
      <w:r w:rsidRPr="0054771B">
        <w:rPr>
          <w:rFonts w:eastAsia="Times New Roman"/>
          <w:b/>
          <w:bCs/>
          <w:rtl/>
          <w:lang w:eastAsia="de-DE"/>
        </w:rPr>
        <w:t>לְ</w:t>
      </w:r>
      <w:r w:rsidRPr="0054771B">
        <w:rPr>
          <w:rFonts w:eastAsia="Times New Roman"/>
          <w:rtl/>
          <w:lang w:eastAsia="de-DE"/>
        </w:rPr>
        <w:t xml:space="preserve"> </w:t>
      </w:r>
      <w:r w:rsidRPr="0054771B">
        <w:rPr>
          <w:rFonts w:eastAsia="Times New Roman"/>
          <w:lang w:eastAsia="de-DE"/>
        </w:rPr>
        <w:t xml:space="preserve">und direktem Objekt in erweiterter Construct-Verbindung), </w:t>
      </w:r>
      <w:r w:rsidRPr="0054771B">
        <w:rPr>
          <w:rFonts w:eastAsia="Times New Roman"/>
          <w:b/>
          <w:bCs/>
          <w:rtl/>
          <w:lang w:eastAsia="de-DE"/>
        </w:rPr>
        <w:t>עוֹד</w:t>
      </w:r>
      <w:r w:rsidRPr="0054771B">
        <w:rPr>
          <w:rFonts w:eastAsia="Times New Roman"/>
          <w:rtl/>
          <w:lang w:eastAsia="de-DE"/>
        </w:rPr>
        <w:t xml:space="preserve"> </w:t>
      </w:r>
      <w:r w:rsidRPr="0054771B">
        <w:rPr>
          <w:rFonts w:eastAsia="Times New Roman"/>
          <w:lang w:eastAsia="de-DE"/>
        </w:rPr>
        <w:t xml:space="preserve">als Adverb („noch, weiter"), </w:t>
      </w:r>
      <w:r w:rsidRPr="0054771B">
        <w:rPr>
          <w:rFonts w:eastAsia="Times New Roman"/>
          <w:b/>
          <w:bCs/>
          <w:rtl/>
          <w:lang w:eastAsia="de-DE"/>
        </w:rPr>
        <w:t>וָמָתְנוּ</w:t>
      </w:r>
      <w:r w:rsidRPr="0054771B">
        <w:rPr>
          <w:rFonts w:eastAsia="Times New Roman"/>
          <w:rtl/>
          <w:lang w:eastAsia="de-DE"/>
        </w:rPr>
        <w:t xml:space="preserve"> </w:t>
      </w:r>
      <w:r w:rsidRPr="0054771B">
        <w:rPr>
          <w:rFonts w:eastAsia="Times New Roman"/>
          <w:lang w:eastAsia="de-DE"/>
        </w:rPr>
        <w:t xml:space="preserve">als Apodosis (Qal Perfekt consecutivum, 1. Person Plural von </w:t>
      </w:r>
      <w:r w:rsidRPr="0054771B">
        <w:rPr>
          <w:rFonts w:eastAsia="Times New Roman"/>
          <w:b/>
          <w:bCs/>
          <w:rtl/>
          <w:lang w:eastAsia="de-DE"/>
        </w:rPr>
        <w:t>מות</w:t>
      </w:r>
      <w:r w:rsidRPr="0054771B">
        <w:rPr>
          <w:rFonts w:eastAsia="Times New Roman"/>
          <w:rtl/>
          <w:lang w:eastAsia="de-DE"/>
        </w:rPr>
        <w:t xml:space="preserve"> </w:t>
      </w:r>
      <w:r w:rsidRPr="0054771B">
        <w:rPr>
          <w:rFonts w:eastAsia="Times New Roman"/>
          <w:lang w:eastAsia="de-DE"/>
        </w:rPr>
        <w:t>mit Waw – „so werden wir sterben").</w:t>
      </w:r>
    </w:p>
    <w:p w14:paraId="2DB8303D"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 xml:space="preserve">Die Furcht des Volkes ist verständlich: Nach der überwältigenden Erfahrung von V. 24 befürchten sie nun, dass weitere direkte Gottesbegegnung tödlich sein könnte. Das Verb </w:t>
      </w:r>
      <w:r w:rsidRPr="0054771B">
        <w:rPr>
          <w:rFonts w:eastAsia="Times New Roman"/>
          <w:b/>
          <w:bCs/>
          <w:rtl/>
          <w:lang w:eastAsia="de-DE"/>
        </w:rPr>
        <w:t>אכל</w:t>
      </w:r>
      <w:r w:rsidRPr="0054771B">
        <w:rPr>
          <w:rFonts w:eastAsia="Times New Roman"/>
          <w:rtl/>
          <w:lang w:eastAsia="de-DE"/>
        </w:rPr>
        <w:t xml:space="preserve"> </w:t>
      </w:r>
      <w:r w:rsidRPr="0054771B">
        <w:rPr>
          <w:rFonts w:eastAsia="Times New Roman"/>
          <w:lang w:eastAsia="de-DE"/>
        </w:rPr>
        <w:t xml:space="preserve">(„fressen, verzehren") vom Feuer verwendet, betont die vernichtende Kraft der göttlichen Präsenz. Die Konstruktion </w:t>
      </w:r>
      <w:r w:rsidRPr="0054771B">
        <w:rPr>
          <w:rFonts w:eastAsia="Times New Roman"/>
          <w:b/>
          <w:bCs/>
          <w:rtl/>
          <w:lang w:eastAsia="de-DE"/>
        </w:rPr>
        <w:t>יסף</w:t>
      </w:r>
      <w:r w:rsidRPr="0054771B">
        <w:rPr>
          <w:rFonts w:eastAsia="Times New Roman"/>
          <w:rtl/>
          <w:lang w:eastAsia="de-DE"/>
        </w:rPr>
        <w:t xml:space="preserve"> </w:t>
      </w:r>
      <w:r w:rsidRPr="0054771B">
        <w:rPr>
          <w:rFonts w:eastAsia="Times New Roman"/>
          <w:lang w:eastAsia="de-DE"/>
        </w:rPr>
        <w:t>mit Infinitiv („fortfahren zu...") ist eine klassische hebräische Wendung für wiederholtes oder anhaltendes Tun.</w:t>
      </w:r>
    </w:p>
    <w:p w14:paraId="0E1F6EE7"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lastRenderedPageBreak/>
        <w:t>Die Satzstruktur besteht aus einer temporalen Überleitung, einer rhetorischen Frage mit deliberativem Imperfekt, einem kausalen Satz mit Prädikat und Suffix-Objekt sowie Subjekt mit Adjektiv und Demonstrativpronomen, und einem Konditionalsatz (mit partizipialem Prädikat, Subjekt, Infinitivkonstruktion mit erweitertem direktem Objekt und Adverb) mit konsekutiver Apodosis. Die Struktur drückt die wachsende Angst des Volkes aus.</w:t>
      </w:r>
    </w:p>
    <w:p w14:paraId="66EE461E"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Der Vers bringt die Furcht des Volkes zum Ausdruck: Sie fürchten, dass das große Feuer sie verzehren wird, wenn sie weiterhin JHWHs Stimme direkt hören – eine natürliche Reaktion auf die überwältigende Theophanie.</w:t>
      </w:r>
    </w:p>
    <w:p w14:paraId="5E04E18F" w14:textId="77777777" w:rsidR="0054771B" w:rsidRPr="0054771B" w:rsidRDefault="0054771B" w:rsidP="0054771B">
      <w:pPr>
        <w:spacing w:before="100" w:beforeAutospacing="1" w:after="100" w:afterAutospacing="1" w:line="240" w:lineRule="auto"/>
        <w:outlineLvl w:val="1"/>
        <w:rPr>
          <w:rFonts w:eastAsia="Times New Roman"/>
          <w:b/>
          <w:bCs/>
          <w:sz w:val="36"/>
          <w:szCs w:val="36"/>
          <w:lang w:eastAsia="de-DE"/>
        </w:rPr>
      </w:pPr>
      <w:r w:rsidRPr="0054771B">
        <w:rPr>
          <w:rFonts w:eastAsia="Times New Roman"/>
          <w:b/>
          <w:bCs/>
          <w:sz w:val="36"/>
          <w:szCs w:val="36"/>
          <w:lang w:eastAsia="de-DE"/>
        </w:rPr>
        <w:t>Deuteronomium 5,26</w:t>
      </w:r>
    </w:p>
    <w:p w14:paraId="7C4E2408"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Hebräisch:</w:t>
      </w:r>
      <w:r w:rsidRPr="0054771B">
        <w:rPr>
          <w:rFonts w:eastAsia="Times New Roman"/>
          <w:lang w:eastAsia="de-DE"/>
        </w:rPr>
        <w:t xml:space="preserve"> </w:t>
      </w:r>
      <w:r w:rsidRPr="0054771B">
        <w:rPr>
          <w:rFonts w:eastAsia="Times New Roman"/>
          <w:rtl/>
          <w:lang w:eastAsia="de-DE"/>
        </w:rPr>
        <w:t>כִּי מִי כָל־בָּשָׂר אֲשֶׁר שָׁמַע קוֹל אֱלֹהִים חַיִּים מְדַבֵּר מִתּוֹךְ־הָאֵשׁ כָּמֹנוּ וַיֶּחִי׃</w:t>
      </w:r>
    </w:p>
    <w:p w14:paraId="5CC93520"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Deutsch:</w:t>
      </w:r>
      <w:r w:rsidRPr="0054771B">
        <w:rPr>
          <w:rFonts w:eastAsia="Times New Roman"/>
          <w:lang w:eastAsia="de-DE"/>
        </w:rPr>
        <w:t xml:space="preserve"> Denn wer ist von allem Fleisch, der die Stimme des lebendigen Gottes redend gehört hat mitten aus dem Feuer wie wir und ist am Leben geblieben?</w:t>
      </w:r>
    </w:p>
    <w:p w14:paraId="2E07EDF5" w14:textId="77777777" w:rsidR="0054771B" w:rsidRPr="0054771B" w:rsidRDefault="004F5CEB" w:rsidP="0054771B">
      <w:pPr>
        <w:spacing w:after="0" w:line="240" w:lineRule="auto"/>
        <w:rPr>
          <w:rFonts w:eastAsia="Times New Roman"/>
          <w:lang w:eastAsia="de-DE"/>
        </w:rPr>
      </w:pPr>
      <w:r>
        <w:rPr>
          <w:rFonts w:eastAsia="Times New Roman"/>
          <w:noProof/>
          <w:lang w:eastAsia="de-DE"/>
        </w:rPr>
        <w:pict w14:anchorId="0E23579D">
          <v:rect id="_x0000_i1211" style="width:0;height:1.5pt" o:hralign="center" o:hrstd="t" o:hr="t" fillcolor="#a0a0a0" stroked="f"/>
        </w:pict>
      </w:r>
    </w:p>
    <w:p w14:paraId="0140A7F9"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Kommentar:</w:t>
      </w:r>
      <w:r w:rsidRPr="0054771B">
        <w:rPr>
          <w:rFonts w:eastAsia="Times New Roman"/>
          <w:lang w:eastAsia="de-DE"/>
        </w:rPr>
        <w:t xml:space="preserve"> </w:t>
      </w:r>
      <w:r w:rsidRPr="0054771B">
        <w:rPr>
          <w:rFonts w:eastAsia="Times New Roman"/>
          <w:b/>
          <w:bCs/>
          <w:rtl/>
          <w:lang w:eastAsia="de-DE"/>
        </w:rPr>
        <w:t>כִּי מִי כָל־בָּשָׂר</w:t>
      </w:r>
      <w:r w:rsidRPr="0054771B">
        <w:rPr>
          <w:rFonts w:eastAsia="Times New Roman"/>
          <w:rtl/>
          <w:lang w:eastAsia="de-DE"/>
        </w:rPr>
        <w:t xml:space="preserve"> </w:t>
      </w:r>
      <w:r w:rsidRPr="0054771B">
        <w:rPr>
          <w:rFonts w:eastAsia="Times New Roman"/>
          <w:lang w:eastAsia="de-DE"/>
        </w:rPr>
        <w:t xml:space="preserve">ist eine rhetorische Frage mit kausaler Einleitung: </w:t>
      </w:r>
      <w:r w:rsidRPr="0054771B">
        <w:rPr>
          <w:rFonts w:eastAsia="Times New Roman"/>
          <w:b/>
          <w:bCs/>
          <w:rtl/>
          <w:lang w:eastAsia="de-DE"/>
        </w:rPr>
        <w:t>כִּי</w:t>
      </w:r>
      <w:r w:rsidRPr="0054771B">
        <w:rPr>
          <w:rFonts w:eastAsia="Times New Roman"/>
          <w:rtl/>
          <w:lang w:eastAsia="de-DE"/>
        </w:rPr>
        <w:t xml:space="preserve"> </w:t>
      </w:r>
      <w:r w:rsidRPr="0054771B">
        <w:rPr>
          <w:rFonts w:eastAsia="Times New Roman"/>
          <w:lang w:eastAsia="de-DE"/>
        </w:rPr>
        <w:t xml:space="preserve">als Konjunktion („denn"), </w:t>
      </w:r>
      <w:r w:rsidRPr="0054771B">
        <w:rPr>
          <w:rFonts w:eastAsia="Times New Roman"/>
          <w:b/>
          <w:bCs/>
          <w:rtl/>
          <w:lang w:eastAsia="de-DE"/>
        </w:rPr>
        <w:t>מִי</w:t>
      </w:r>
      <w:r w:rsidRPr="0054771B">
        <w:rPr>
          <w:rFonts w:eastAsia="Times New Roman"/>
          <w:rtl/>
          <w:lang w:eastAsia="de-DE"/>
        </w:rPr>
        <w:t xml:space="preserve"> </w:t>
      </w:r>
      <w:r w:rsidRPr="0054771B">
        <w:rPr>
          <w:rFonts w:eastAsia="Times New Roman"/>
          <w:lang w:eastAsia="de-DE"/>
        </w:rPr>
        <w:t xml:space="preserve">als Fragepronomen („wer"), </w:t>
      </w:r>
      <w:r w:rsidRPr="0054771B">
        <w:rPr>
          <w:rFonts w:eastAsia="Times New Roman"/>
          <w:b/>
          <w:bCs/>
          <w:rtl/>
          <w:lang w:eastAsia="de-DE"/>
        </w:rPr>
        <w:t>כָל־בָּשָׂר</w:t>
      </w:r>
      <w:r w:rsidRPr="0054771B">
        <w:rPr>
          <w:rFonts w:eastAsia="Times New Roman"/>
          <w:rtl/>
          <w:lang w:eastAsia="de-DE"/>
        </w:rPr>
        <w:t xml:space="preserve"> </w:t>
      </w:r>
      <w:r w:rsidRPr="0054771B">
        <w:rPr>
          <w:rFonts w:eastAsia="Times New Roman"/>
          <w:lang w:eastAsia="de-DE"/>
        </w:rPr>
        <w:t>als partitive Apposition (</w:t>
      </w:r>
      <w:r w:rsidRPr="0054771B">
        <w:rPr>
          <w:rFonts w:eastAsia="Times New Roman"/>
          <w:b/>
          <w:bCs/>
          <w:rtl/>
          <w:lang w:eastAsia="de-DE"/>
        </w:rPr>
        <w:t>כָּל</w:t>
      </w:r>
      <w:r w:rsidRPr="0054771B">
        <w:rPr>
          <w:rFonts w:eastAsia="Times New Roman"/>
          <w:rtl/>
          <w:lang w:eastAsia="de-DE"/>
        </w:rPr>
        <w:t xml:space="preserve"> </w:t>
      </w:r>
      <w:r w:rsidRPr="0054771B">
        <w:rPr>
          <w:rFonts w:eastAsia="Times New Roman"/>
          <w:lang w:eastAsia="de-DE"/>
        </w:rPr>
        <w:t xml:space="preserve">im Construct mit </w:t>
      </w:r>
      <w:r w:rsidRPr="0054771B">
        <w:rPr>
          <w:rFonts w:eastAsia="Times New Roman"/>
          <w:b/>
          <w:bCs/>
          <w:rtl/>
          <w:lang w:eastAsia="de-DE"/>
        </w:rPr>
        <w:t>בָּשָׂר</w:t>
      </w:r>
      <w:r w:rsidRPr="0054771B">
        <w:rPr>
          <w:rFonts w:eastAsia="Times New Roman"/>
          <w:lang w:eastAsia="de-DE"/>
        </w:rPr>
        <w:t>, „Fleisch" – idiomatisch für „alles Sterbliche, alle Menschen").</w:t>
      </w:r>
    </w:p>
    <w:p w14:paraId="2878B860" w14:textId="0B880C63"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rtl/>
          <w:lang w:eastAsia="de-DE"/>
        </w:rPr>
        <w:t>אֲשֶׁר שָׁמַע קוֹל אֱלֹהִים חַיִּים מְדַבֵּר מִתּוֹךְ־הָאֵשׁ כָּמֹנוּ וַיֶּחִי</w:t>
      </w:r>
      <w:r w:rsidRPr="0054771B">
        <w:rPr>
          <w:rFonts w:eastAsia="Times New Roman"/>
          <w:rtl/>
          <w:lang w:eastAsia="de-DE"/>
        </w:rPr>
        <w:t xml:space="preserve"> </w:t>
      </w:r>
      <w:r w:rsidRPr="0054771B">
        <w:rPr>
          <w:rFonts w:eastAsia="Times New Roman"/>
          <w:lang w:eastAsia="de-DE"/>
        </w:rPr>
        <w:t xml:space="preserve">ist ein Relativsatz: </w:t>
      </w:r>
      <w:r w:rsidRPr="0054771B">
        <w:rPr>
          <w:rFonts w:eastAsia="Times New Roman"/>
          <w:b/>
          <w:bCs/>
          <w:rtl/>
          <w:lang w:eastAsia="de-DE"/>
        </w:rPr>
        <w:t>אֲשֶׁר</w:t>
      </w:r>
      <w:r w:rsidRPr="0054771B">
        <w:rPr>
          <w:rFonts w:eastAsia="Times New Roman"/>
          <w:rtl/>
          <w:lang w:eastAsia="de-DE"/>
        </w:rPr>
        <w:t xml:space="preserve"> </w:t>
      </w:r>
      <w:r w:rsidRPr="0054771B">
        <w:rPr>
          <w:rFonts w:eastAsia="Times New Roman"/>
          <w:lang w:eastAsia="de-DE"/>
        </w:rPr>
        <w:t xml:space="preserve">als Relativpronomen, </w:t>
      </w:r>
      <w:r w:rsidRPr="0054771B">
        <w:rPr>
          <w:rFonts w:eastAsia="Times New Roman"/>
          <w:b/>
          <w:bCs/>
          <w:rtl/>
          <w:lang w:eastAsia="de-DE"/>
        </w:rPr>
        <w:t>שָׁמַע</w:t>
      </w:r>
      <w:r w:rsidRPr="0054771B">
        <w:rPr>
          <w:rFonts w:eastAsia="Times New Roman"/>
          <w:rtl/>
          <w:lang w:eastAsia="de-DE"/>
        </w:rPr>
        <w:t xml:space="preserve"> </w:t>
      </w:r>
      <w:r w:rsidRPr="0054771B">
        <w:rPr>
          <w:rFonts w:eastAsia="Times New Roman"/>
          <w:lang w:eastAsia="de-DE"/>
        </w:rPr>
        <w:t xml:space="preserve">als Qal Perfekt, 3. Person Singular maskulin von </w:t>
      </w:r>
      <w:r w:rsidRPr="0054771B">
        <w:rPr>
          <w:rFonts w:eastAsia="Times New Roman"/>
          <w:b/>
          <w:bCs/>
          <w:rtl/>
          <w:lang w:eastAsia="de-DE"/>
        </w:rPr>
        <w:t>שׁמע</w:t>
      </w:r>
      <w:r w:rsidRPr="0054771B">
        <w:rPr>
          <w:rFonts w:eastAsia="Times New Roman"/>
          <w:lang w:eastAsia="de-DE"/>
        </w:rPr>
        <w:t xml:space="preserve">, </w:t>
      </w:r>
      <w:r w:rsidRPr="0054771B">
        <w:rPr>
          <w:rFonts w:eastAsia="Times New Roman"/>
          <w:b/>
          <w:bCs/>
          <w:rtl/>
          <w:lang w:eastAsia="de-DE"/>
        </w:rPr>
        <w:t>קוֹל אֱלֹהִים חַיִּים</w:t>
      </w:r>
      <w:r w:rsidRPr="0054771B">
        <w:rPr>
          <w:rFonts w:eastAsia="Times New Roman"/>
          <w:rtl/>
          <w:lang w:eastAsia="de-DE"/>
        </w:rPr>
        <w:t xml:space="preserve"> </w:t>
      </w:r>
      <w:r w:rsidRPr="0054771B">
        <w:rPr>
          <w:rFonts w:eastAsia="Times New Roman"/>
          <w:lang w:eastAsia="de-DE"/>
        </w:rPr>
        <w:t>als direktes Objekt (</w:t>
      </w:r>
      <w:r w:rsidRPr="0054771B">
        <w:rPr>
          <w:rFonts w:eastAsia="Times New Roman"/>
          <w:b/>
          <w:bCs/>
          <w:rtl/>
          <w:lang w:eastAsia="de-DE"/>
        </w:rPr>
        <w:t>קוֹל</w:t>
      </w:r>
      <w:r w:rsidRPr="0054771B">
        <w:rPr>
          <w:rFonts w:eastAsia="Times New Roman"/>
          <w:rtl/>
          <w:lang w:eastAsia="de-DE"/>
        </w:rPr>
        <w:t xml:space="preserve"> </w:t>
      </w:r>
      <w:r w:rsidRPr="0054771B">
        <w:rPr>
          <w:rFonts w:eastAsia="Times New Roman"/>
          <w:lang w:eastAsia="de-DE"/>
        </w:rPr>
        <w:t xml:space="preserve">im Construct mit </w:t>
      </w:r>
      <w:r w:rsidRPr="0054771B">
        <w:rPr>
          <w:rFonts w:eastAsia="Times New Roman"/>
          <w:b/>
          <w:bCs/>
          <w:rtl/>
          <w:lang w:eastAsia="de-DE"/>
        </w:rPr>
        <w:t>אֱלֹהִים</w:t>
      </w:r>
      <w:r w:rsidRPr="0054771B">
        <w:rPr>
          <w:rFonts w:eastAsia="Times New Roman"/>
          <w:lang w:eastAsia="de-DE"/>
        </w:rPr>
        <w:t xml:space="preserve">, erweitert durch </w:t>
      </w:r>
      <w:r w:rsidRPr="0054771B">
        <w:rPr>
          <w:rFonts w:eastAsia="Times New Roman"/>
          <w:b/>
          <w:bCs/>
          <w:rtl/>
          <w:lang w:eastAsia="de-DE"/>
        </w:rPr>
        <w:t>חַיִּים</w:t>
      </w:r>
      <w:r w:rsidRPr="0054771B">
        <w:rPr>
          <w:rFonts w:eastAsia="Times New Roman"/>
          <w:lang w:eastAsia="de-DE"/>
        </w:rPr>
        <w:t xml:space="preserve">, Qal </w:t>
      </w:r>
      <w:r w:rsidR="00E01E90" w:rsidRPr="00E01E90">
        <w:rPr>
          <w:rStyle w:val="Fett"/>
          <w:b w:val="0"/>
          <w:bCs w:val="0"/>
        </w:rPr>
        <w:t>Wayyiqtol</w:t>
      </w:r>
      <w:r w:rsidR="00E01E90">
        <w:t xml:space="preserve"> </w:t>
      </w:r>
      <w:r w:rsidRPr="0054771B">
        <w:rPr>
          <w:rFonts w:eastAsia="Times New Roman"/>
          <w:lang w:eastAsia="de-DE"/>
        </w:rPr>
        <w:t xml:space="preserve">Partizip Plural maskulin von </w:t>
      </w:r>
      <w:r w:rsidRPr="0054771B">
        <w:rPr>
          <w:rFonts w:eastAsia="Times New Roman"/>
          <w:b/>
          <w:bCs/>
          <w:rtl/>
          <w:lang w:eastAsia="de-DE"/>
        </w:rPr>
        <w:t>חיה</w:t>
      </w:r>
      <w:r w:rsidRPr="0054771B">
        <w:rPr>
          <w:rFonts w:eastAsia="Times New Roman"/>
          <w:lang w:eastAsia="de-DE"/>
        </w:rPr>
        <w:t xml:space="preserve">, „leben" – substantiviert „lebendiger [Gott]"), </w:t>
      </w:r>
      <w:r w:rsidRPr="0054771B">
        <w:rPr>
          <w:rFonts w:eastAsia="Times New Roman"/>
          <w:b/>
          <w:bCs/>
          <w:rtl/>
          <w:lang w:eastAsia="de-DE"/>
        </w:rPr>
        <w:t>מְדַבֵּר</w:t>
      </w:r>
      <w:r w:rsidRPr="0054771B">
        <w:rPr>
          <w:rFonts w:eastAsia="Times New Roman"/>
          <w:rtl/>
          <w:lang w:eastAsia="de-DE"/>
        </w:rPr>
        <w:t xml:space="preserve"> </w:t>
      </w:r>
      <w:r w:rsidRPr="0054771B">
        <w:rPr>
          <w:rFonts w:eastAsia="Times New Roman"/>
          <w:lang w:eastAsia="de-DE"/>
        </w:rPr>
        <w:t xml:space="preserve">als Piel Partizip Singular maskulin von </w:t>
      </w:r>
      <w:r w:rsidRPr="0054771B">
        <w:rPr>
          <w:rFonts w:eastAsia="Times New Roman"/>
          <w:b/>
          <w:bCs/>
          <w:rtl/>
          <w:lang w:eastAsia="de-DE"/>
        </w:rPr>
        <w:t>דבר</w:t>
      </w:r>
      <w:r w:rsidRPr="0054771B">
        <w:rPr>
          <w:rFonts w:eastAsia="Times New Roman"/>
          <w:rtl/>
          <w:lang w:eastAsia="de-DE"/>
        </w:rPr>
        <w:t xml:space="preserve"> </w:t>
      </w:r>
      <w:r w:rsidRPr="0054771B">
        <w:rPr>
          <w:rFonts w:eastAsia="Times New Roman"/>
          <w:lang w:eastAsia="de-DE"/>
        </w:rPr>
        <w:t xml:space="preserve">(„redend") – attributiv zu </w:t>
      </w:r>
      <w:r w:rsidRPr="0054771B">
        <w:rPr>
          <w:rFonts w:eastAsia="Times New Roman"/>
          <w:b/>
          <w:bCs/>
          <w:rtl/>
          <w:lang w:eastAsia="de-DE"/>
        </w:rPr>
        <w:t>אֱלֹהִים חַיִּים</w:t>
      </w:r>
      <w:r w:rsidRPr="0054771B">
        <w:rPr>
          <w:rFonts w:eastAsia="Times New Roman"/>
          <w:lang w:eastAsia="de-DE"/>
        </w:rPr>
        <w:t xml:space="preserve">, </w:t>
      </w:r>
      <w:r w:rsidRPr="0054771B">
        <w:rPr>
          <w:rFonts w:eastAsia="Times New Roman"/>
          <w:b/>
          <w:bCs/>
          <w:rtl/>
          <w:lang w:eastAsia="de-DE"/>
        </w:rPr>
        <w:t>מִתּוֹךְ־הָאֵשׁ</w:t>
      </w:r>
      <w:r w:rsidRPr="0054771B">
        <w:rPr>
          <w:rFonts w:eastAsia="Times New Roman"/>
          <w:rtl/>
          <w:lang w:eastAsia="de-DE"/>
        </w:rPr>
        <w:t xml:space="preserve"> </w:t>
      </w:r>
      <w:r w:rsidRPr="0054771B">
        <w:rPr>
          <w:rFonts w:eastAsia="Times New Roman"/>
          <w:lang w:eastAsia="de-DE"/>
        </w:rPr>
        <w:t xml:space="preserve">als Herkunftsangabe, </w:t>
      </w:r>
      <w:r w:rsidRPr="0054771B">
        <w:rPr>
          <w:rFonts w:eastAsia="Times New Roman"/>
          <w:b/>
          <w:bCs/>
          <w:rtl/>
          <w:lang w:eastAsia="de-DE"/>
        </w:rPr>
        <w:t>כָּמֹנוּ</w:t>
      </w:r>
      <w:r w:rsidRPr="0054771B">
        <w:rPr>
          <w:rFonts w:eastAsia="Times New Roman"/>
          <w:rtl/>
          <w:lang w:eastAsia="de-DE"/>
        </w:rPr>
        <w:t xml:space="preserve"> </w:t>
      </w:r>
      <w:r w:rsidRPr="0054771B">
        <w:rPr>
          <w:rFonts w:eastAsia="Times New Roman"/>
          <w:lang w:eastAsia="de-DE"/>
        </w:rPr>
        <w:t>als Vergleichskonstruktion (</w:t>
      </w:r>
      <w:r w:rsidRPr="0054771B">
        <w:rPr>
          <w:rFonts w:eastAsia="Times New Roman"/>
          <w:b/>
          <w:bCs/>
          <w:rtl/>
          <w:lang w:eastAsia="de-DE"/>
        </w:rPr>
        <w:t>כְּ</w:t>
      </w:r>
      <w:r w:rsidRPr="0054771B">
        <w:rPr>
          <w:rFonts w:eastAsia="Times New Roman"/>
          <w:rtl/>
          <w:lang w:eastAsia="de-DE"/>
        </w:rPr>
        <w:t xml:space="preserve"> </w:t>
      </w:r>
      <w:r w:rsidRPr="0054771B">
        <w:rPr>
          <w:rFonts w:eastAsia="Times New Roman"/>
          <w:lang w:eastAsia="de-DE"/>
        </w:rPr>
        <w:t xml:space="preserve">mit </w:t>
      </w:r>
      <w:r w:rsidRPr="0054771B">
        <w:rPr>
          <w:rFonts w:eastAsia="Times New Roman"/>
          <w:b/>
          <w:bCs/>
          <w:rtl/>
          <w:lang w:eastAsia="de-DE"/>
        </w:rPr>
        <w:t>מוֹ</w:t>
      </w:r>
      <w:r w:rsidRPr="0054771B">
        <w:rPr>
          <w:rFonts w:eastAsia="Times New Roman"/>
          <w:rtl/>
          <w:lang w:eastAsia="de-DE"/>
        </w:rPr>
        <w:t xml:space="preserve"> </w:t>
      </w:r>
      <w:r w:rsidRPr="0054771B">
        <w:rPr>
          <w:rFonts w:eastAsia="Times New Roman"/>
          <w:lang w:eastAsia="de-DE"/>
        </w:rPr>
        <w:t xml:space="preserve">und Suffix 1. Person Plural – „wie wir"), </w:t>
      </w:r>
      <w:r w:rsidRPr="0054771B">
        <w:rPr>
          <w:rFonts w:eastAsia="Times New Roman"/>
          <w:b/>
          <w:bCs/>
          <w:rtl/>
          <w:lang w:eastAsia="de-DE"/>
        </w:rPr>
        <w:t>וַיֶּחִי</w:t>
      </w:r>
      <w:r w:rsidRPr="0054771B">
        <w:rPr>
          <w:rFonts w:eastAsia="Times New Roman"/>
          <w:rtl/>
          <w:lang w:eastAsia="de-DE"/>
        </w:rPr>
        <w:t xml:space="preserve"> </w:t>
      </w:r>
      <w:r w:rsidRPr="0054771B">
        <w:rPr>
          <w:rFonts w:eastAsia="Times New Roman"/>
          <w:lang w:eastAsia="de-DE"/>
        </w:rPr>
        <w:t xml:space="preserve">als Qal Imperfekt consecutivum, 3. Person Singular maskulin von </w:t>
      </w:r>
      <w:r w:rsidRPr="0054771B">
        <w:rPr>
          <w:rFonts w:eastAsia="Times New Roman"/>
          <w:b/>
          <w:bCs/>
          <w:rtl/>
          <w:lang w:eastAsia="de-DE"/>
        </w:rPr>
        <w:t>חיה</w:t>
      </w:r>
      <w:r w:rsidRPr="0054771B">
        <w:rPr>
          <w:rFonts w:eastAsia="Times New Roman"/>
          <w:rtl/>
          <w:lang w:eastAsia="de-DE"/>
        </w:rPr>
        <w:t xml:space="preserve"> </w:t>
      </w:r>
      <w:r w:rsidRPr="0054771B">
        <w:rPr>
          <w:rFonts w:eastAsia="Times New Roman"/>
          <w:lang w:eastAsia="de-DE"/>
        </w:rPr>
        <w:t>mit Waw – „und er blieb am Leben".</w:t>
      </w:r>
    </w:p>
    <w:p w14:paraId="3A460834"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 xml:space="preserve">Die Frage erwartet die Antwort „niemand". Die Wendung </w:t>
      </w:r>
      <w:r w:rsidRPr="0054771B">
        <w:rPr>
          <w:rFonts w:eastAsia="Times New Roman"/>
          <w:b/>
          <w:bCs/>
          <w:rtl/>
          <w:lang w:eastAsia="de-DE"/>
        </w:rPr>
        <w:t>אֱלֹהִים חַיִּים</w:t>
      </w:r>
      <w:r w:rsidRPr="0054771B">
        <w:rPr>
          <w:rFonts w:eastAsia="Times New Roman"/>
          <w:rtl/>
          <w:lang w:eastAsia="de-DE"/>
        </w:rPr>
        <w:t xml:space="preserve"> </w:t>
      </w:r>
      <w:r w:rsidRPr="0054771B">
        <w:rPr>
          <w:rFonts w:eastAsia="Times New Roman"/>
          <w:lang w:eastAsia="de-DE"/>
        </w:rPr>
        <w:t xml:space="preserve">(„lebendiger Gott") betont den Kontrast zu den toten Götzen und unterstreicht die vitale, aktive Präsenz JHWHs. Die Formulierung nimmt 4,33 auf, wo dieselbe rhetorische Frage gestellt wurde. Das partizipiale </w:t>
      </w:r>
      <w:r w:rsidRPr="0054771B">
        <w:rPr>
          <w:rFonts w:eastAsia="Times New Roman"/>
          <w:b/>
          <w:bCs/>
          <w:rtl/>
          <w:lang w:eastAsia="de-DE"/>
        </w:rPr>
        <w:t>מְדַבֵּר</w:t>
      </w:r>
      <w:r w:rsidRPr="0054771B">
        <w:rPr>
          <w:rFonts w:eastAsia="Times New Roman"/>
          <w:rtl/>
          <w:lang w:eastAsia="de-DE"/>
        </w:rPr>
        <w:t xml:space="preserve"> </w:t>
      </w:r>
      <w:r w:rsidRPr="0054771B">
        <w:rPr>
          <w:rFonts w:eastAsia="Times New Roman"/>
          <w:lang w:eastAsia="de-DE"/>
        </w:rPr>
        <w:t>(„redend") betont die Unmittelbarkeit der göttlichen Kommunikation.</w:t>
      </w:r>
    </w:p>
    <w:p w14:paraId="2BB58341"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 xml:space="preserve">Die Satzstruktur ist eine rhetorische Frage mit kausaler Einleitung, Fragepronomen und partitiver Apposition, erweitert durch einen komplexen Relativsatz mit Prädikat, direktem Objekt in Construct-Verbindung mit partizipialem Attribut (sowohl </w:t>
      </w:r>
      <w:r w:rsidRPr="0054771B">
        <w:rPr>
          <w:rFonts w:eastAsia="Times New Roman"/>
          <w:b/>
          <w:bCs/>
          <w:rtl/>
          <w:lang w:eastAsia="de-DE"/>
        </w:rPr>
        <w:t>חַיִּים</w:t>
      </w:r>
      <w:r w:rsidRPr="0054771B">
        <w:rPr>
          <w:rFonts w:eastAsia="Times New Roman"/>
          <w:rtl/>
          <w:lang w:eastAsia="de-DE"/>
        </w:rPr>
        <w:t xml:space="preserve"> </w:t>
      </w:r>
      <w:r w:rsidRPr="0054771B">
        <w:rPr>
          <w:rFonts w:eastAsia="Times New Roman"/>
          <w:lang w:eastAsia="de-DE"/>
        </w:rPr>
        <w:t xml:space="preserve">als auch </w:t>
      </w:r>
      <w:r w:rsidRPr="0054771B">
        <w:rPr>
          <w:rFonts w:eastAsia="Times New Roman"/>
          <w:b/>
          <w:bCs/>
          <w:rtl/>
          <w:lang w:eastAsia="de-DE"/>
        </w:rPr>
        <w:t>מְדַבֵּר</w:t>
      </w:r>
      <w:r w:rsidRPr="0054771B">
        <w:rPr>
          <w:rFonts w:eastAsia="Times New Roman"/>
          <w:lang w:eastAsia="de-DE"/>
        </w:rPr>
        <w:t>), Herkunftsangabe, Vergleichskonstruktion und konsekutivem Verb. Die Struktur unterstreicht die Einzigartigkeit der Israelitischen Erfahrung.</w:t>
      </w:r>
    </w:p>
    <w:p w14:paraId="6D791400"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Der Vers begründet die Furcht mit einer rhetorischen Frage: Kein Sterblicher hat je die Stimme des lebendigen Gottes aus dem Feuer gehört und ist am Leben geblieben – außer Israel, was ihre Situation einzigartig und bedrohlich macht.</w:t>
      </w:r>
    </w:p>
    <w:p w14:paraId="59013777" w14:textId="77777777" w:rsidR="0054771B" w:rsidRPr="0054771B" w:rsidRDefault="0054771B" w:rsidP="0054771B">
      <w:pPr>
        <w:spacing w:before="100" w:beforeAutospacing="1" w:after="100" w:afterAutospacing="1" w:line="240" w:lineRule="auto"/>
        <w:outlineLvl w:val="1"/>
        <w:rPr>
          <w:rFonts w:eastAsia="Times New Roman"/>
          <w:b/>
          <w:bCs/>
          <w:sz w:val="36"/>
          <w:szCs w:val="36"/>
          <w:lang w:eastAsia="de-DE"/>
        </w:rPr>
      </w:pPr>
      <w:r w:rsidRPr="0054771B">
        <w:rPr>
          <w:rFonts w:eastAsia="Times New Roman"/>
          <w:b/>
          <w:bCs/>
          <w:sz w:val="36"/>
          <w:szCs w:val="36"/>
          <w:lang w:eastAsia="de-DE"/>
        </w:rPr>
        <w:lastRenderedPageBreak/>
        <w:t>Deuteronomium 5,27</w:t>
      </w:r>
    </w:p>
    <w:p w14:paraId="1EB9A6A0"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Hebräisch:</w:t>
      </w:r>
      <w:r w:rsidRPr="0054771B">
        <w:rPr>
          <w:rFonts w:eastAsia="Times New Roman"/>
          <w:lang w:eastAsia="de-DE"/>
        </w:rPr>
        <w:t xml:space="preserve"> </w:t>
      </w:r>
      <w:r w:rsidRPr="0054771B">
        <w:rPr>
          <w:rFonts w:eastAsia="Times New Roman"/>
          <w:rtl/>
          <w:lang w:eastAsia="de-DE"/>
        </w:rPr>
        <w:t>קְרַב אַתָּה וּשֲׁמָע אֵת כָּל־אֲשֶׁר יֹאמַר יְהוָה אֱלֹהֵינוּ וְאַתְּ תְּדַבֵּר אֵלֵינוּ אֵת כָּל־אֲשֶׁר יְדַבֵּר יְהוָה אֱלֹהֵינוּ אֵלֶיךָ וְשָׁמַעְנוּ וְעָשִׂינוּ׃</w:t>
      </w:r>
    </w:p>
    <w:p w14:paraId="533A0C29"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Deutsch:</w:t>
      </w:r>
      <w:r w:rsidRPr="0054771B">
        <w:rPr>
          <w:rFonts w:eastAsia="Times New Roman"/>
          <w:lang w:eastAsia="de-DE"/>
        </w:rPr>
        <w:t xml:space="preserve"> Tritt du hinzu und höre alles, was der Ewige, unser Gott, sagen wird; und du sollst zu uns reden alles, was der Ewige, unser Gott, zu dir reden wird, und wir wollen hören und es tun.</w:t>
      </w:r>
    </w:p>
    <w:p w14:paraId="74F15809" w14:textId="77777777" w:rsidR="0054771B" w:rsidRPr="0054771B" w:rsidRDefault="004F5CEB" w:rsidP="0054771B">
      <w:pPr>
        <w:spacing w:after="0" w:line="240" w:lineRule="auto"/>
        <w:rPr>
          <w:rFonts w:eastAsia="Times New Roman"/>
          <w:lang w:eastAsia="de-DE"/>
        </w:rPr>
      </w:pPr>
      <w:r>
        <w:rPr>
          <w:rFonts w:eastAsia="Times New Roman"/>
          <w:noProof/>
          <w:lang w:eastAsia="de-DE"/>
        </w:rPr>
        <w:pict w14:anchorId="7CE4D44F">
          <v:rect id="_x0000_i1212" style="width:0;height:1.5pt" o:hralign="center" o:hrstd="t" o:hr="t" fillcolor="#a0a0a0" stroked="f"/>
        </w:pict>
      </w:r>
    </w:p>
    <w:p w14:paraId="69CB349F"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Kommentar:</w:t>
      </w:r>
      <w:r w:rsidRPr="0054771B">
        <w:rPr>
          <w:rFonts w:eastAsia="Times New Roman"/>
          <w:lang w:eastAsia="de-DE"/>
        </w:rPr>
        <w:t xml:space="preserve"> </w:t>
      </w:r>
      <w:r w:rsidRPr="0054771B">
        <w:rPr>
          <w:rFonts w:eastAsia="Times New Roman"/>
          <w:b/>
          <w:bCs/>
          <w:rtl/>
          <w:lang w:eastAsia="de-DE"/>
        </w:rPr>
        <w:t>קְרַב אַתָּה וּשֲׁמָע אֵת כָּל־אֲשֶׁר יֹאמַר יְהוָה אֱלֹהֵינוּ</w:t>
      </w:r>
      <w:r w:rsidRPr="0054771B">
        <w:rPr>
          <w:rFonts w:eastAsia="Times New Roman"/>
          <w:rtl/>
          <w:lang w:eastAsia="de-DE"/>
        </w:rPr>
        <w:t xml:space="preserve"> </w:t>
      </w:r>
      <w:r w:rsidRPr="0054771B">
        <w:rPr>
          <w:rFonts w:eastAsia="Times New Roman"/>
          <w:lang w:eastAsia="de-DE"/>
        </w:rPr>
        <w:t xml:space="preserve">besteht aus zwei koordinierten Imperativen: </w:t>
      </w:r>
      <w:r w:rsidRPr="0054771B">
        <w:rPr>
          <w:rFonts w:eastAsia="Times New Roman"/>
          <w:b/>
          <w:bCs/>
          <w:rtl/>
          <w:lang w:eastAsia="de-DE"/>
        </w:rPr>
        <w:t>קְרַב</w:t>
      </w:r>
      <w:r w:rsidRPr="0054771B">
        <w:rPr>
          <w:rFonts w:eastAsia="Times New Roman"/>
          <w:rtl/>
          <w:lang w:eastAsia="de-DE"/>
        </w:rPr>
        <w:t xml:space="preserve"> </w:t>
      </w:r>
      <w:r w:rsidRPr="0054771B">
        <w:rPr>
          <w:rFonts w:eastAsia="Times New Roman"/>
          <w:lang w:eastAsia="de-DE"/>
        </w:rPr>
        <w:t xml:space="preserve">als Qal Imperativ, 2. Person Singular maskulin von </w:t>
      </w:r>
      <w:r w:rsidRPr="0054771B">
        <w:rPr>
          <w:rFonts w:eastAsia="Times New Roman"/>
          <w:b/>
          <w:bCs/>
          <w:rtl/>
          <w:lang w:eastAsia="de-DE"/>
        </w:rPr>
        <w:t>קרב</w:t>
      </w:r>
      <w:r w:rsidRPr="0054771B">
        <w:rPr>
          <w:rFonts w:eastAsia="Times New Roman"/>
          <w:rtl/>
          <w:lang w:eastAsia="de-DE"/>
        </w:rPr>
        <w:t xml:space="preserve"> </w:t>
      </w:r>
      <w:r w:rsidRPr="0054771B">
        <w:rPr>
          <w:rFonts w:eastAsia="Times New Roman"/>
          <w:lang w:eastAsia="de-DE"/>
        </w:rPr>
        <w:t xml:space="preserve">(„herantreten, sich nähern"), </w:t>
      </w:r>
      <w:r w:rsidRPr="0054771B">
        <w:rPr>
          <w:rFonts w:eastAsia="Times New Roman"/>
          <w:b/>
          <w:bCs/>
          <w:rtl/>
          <w:lang w:eastAsia="de-DE"/>
        </w:rPr>
        <w:t>אַתָּה</w:t>
      </w:r>
      <w:r w:rsidRPr="0054771B">
        <w:rPr>
          <w:rFonts w:eastAsia="Times New Roman"/>
          <w:rtl/>
          <w:lang w:eastAsia="de-DE"/>
        </w:rPr>
        <w:t xml:space="preserve"> </w:t>
      </w:r>
      <w:r w:rsidRPr="0054771B">
        <w:rPr>
          <w:rFonts w:eastAsia="Times New Roman"/>
          <w:lang w:eastAsia="de-DE"/>
        </w:rPr>
        <w:t xml:space="preserve">als emphatisches Pronomen („du"), </w:t>
      </w:r>
      <w:r w:rsidRPr="0054771B">
        <w:rPr>
          <w:rFonts w:eastAsia="Times New Roman"/>
          <w:b/>
          <w:bCs/>
          <w:rtl/>
          <w:lang w:eastAsia="de-DE"/>
        </w:rPr>
        <w:t>וּשֲׁמָע</w:t>
      </w:r>
      <w:r w:rsidRPr="0054771B">
        <w:rPr>
          <w:rFonts w:eastAsia="Times New Roman"/>
          <w:rtl/>
          <w:lang w:eastAsia="de-DE"/>
        </w:rPr>
        <w:t xml:space="preserve"> </w:t>
      </w:r>
      <w:r w:rsidRPr="0054771B">
        <w:rPr>
          <w:rFonts w:eastAsia="Times New Roman"/>
          <w:lang w:eastAsia="de-DE"/>
        </w:rPr>
        <w:t xml:space="preserve">koordiniert (Qal Imperativ, 2. Person Singular maskulin von </w:t>
      </w:r>
      <w:r w:rsidRPr="0054771B">
        <w:rPr>
          <w:rFonts w:eastAsia="Times New Roman"/>
          <w:b/>
          <w:bCs/>
          <w:rtl/>
          <w:lang w:eastAsia="de-DE"/>
        </w:rPr>
        <w:t>שׁמע</w:t>
      </w:r>
      <w:r w:rsidRPr="0054771B">
        <w:rPr>
          <w:rFonts w:eastAsia="Times New Roman"/>
          <w:rtl/>
          <w:lang w:eastAsia="de-DE"/>
        </w:rPr>
        <w:t xml:space="preserve"> </w:t>
      </w:r>
      <w:r w:rsidRPr="0054771B">
        <w:rPr>
          <w:rFonts w:eastAsia="Times New Roman"/>
          <w:lang w:eastAsia="de-DE"/>
        </w:rPr>
        <w:t xml:space="preserve">mit </w:t>
      </w:r>
      <w:r w:rsidRPr="0054771B">
        <w:rPr>
          <w:rFonts w:eastAsia="Times New Roman"/>
          <w:b/>
          <w:bCs/>
          <w:rtl/>
          <w:lang w:eastAsia="de-DE"/>
        </w:rPr>
        <w:t>וְ</w:t>
      </w:r>
      <w:r w:rsidRPr="0054771B">
        <w:rPr>
          <w:rFonts w:eastAsia="Times New Roman"/>
          <w:lang w:eastAsia="de-DE"/>
        </w:rPr>
        <w:t xml:space="preserve">), </w:t>
      </w:r>
      <w:r w:rsidRPr="0054771B">
        <w:rPr>
          <w:rFonts w:eastAsia="Times New Roman"/>
          <w:b/>
          <w:bCs/>
          <w:rtl/>
          <w:lang w:eastAsia="de-DE"/>
        </w:rPr>
        <w:t>אֵת כָּל־אֲשֶׁר יֹאמַר יְהוָה אֱלֹהֵינוּ</w:t>
      </w:r>
      <w:r w:rsidRPr="0054771B">
        <w:rPr>
          <w:rFonts w:eastAsia="Times New Roman"/>
          <w:rtl/>
          <w:lang w:eastAsia="de-DE"/>
        </w:rPr>
        <w:t xml:space="preserve"> </w:t>
      </w:r>
      <w:r w:rsidRPr="0054771B">
        <w:rPr>
          <w:rFonts w:eastAsia="Times New Roman"/>
          <w:lang w:eastAsia="de-DE"/>
        </w:rPr>
        <w:t xml:space="preserve">als direktes Objekt (nota accusativi mit </w:t>
      </w:r>
      <w:r w:rsidRPr="0054771B">
        <w:rPr>
          <w:rFonts w:eastAsia="Times New Roman"/>
          <w:b/>
          <w:bCs/>
          <w:rtl/>
          <w:lang w:eastAsia="de-DE"/>
        </w:rPr>
        <w:t>כָּל</w:t>
      </w:r>
      <w:r w:rsidRPr="0054771B">
        <w:rPr>
          <w:rFonts w:eastAsia="Times New Roman"/>
          <w:rtl/>
          <w:lang w:eastAsia="de-DE"/>
        </w:rPr>
        <w:t xml:space="preserve"> </w:t>
      </w:r>
      <w:r w:rsidRPr="0054771B">
        <w:rPr>
          <w:rFonts w:eastAsia="Times New Roman"/>
          <w:lang w:eastAsia="de-DE"/>
        </w:rPr>
        <w:t xml:space="preserve">im Construct, Relativsatz: </w:t>
      </w:r>
      <w:r w:rsidRPr="0054771B">
        <w:rPr>
          <w:rFonts w:eastAsia="Times New Roman"/>
          <w:b/>
          <w:bCs/>
          <w:rtl/>
          <w:lang w:eastAsia="de-DE"/>
        </w:rPr>
        <w:t>אֲשֶׁר יֹאמַר</w:t>
      </w:r>
      <w:r w:rsidRPr="0054771B">
        <w:rPr>
          <w:rFonts w:eastAsia="Times New Roman"/>
          <w:rtl/>
          <w:lang w:eastAsia="de-DE"/>
        </w:rPr>
        <w:t xml:space="preserve"> </w:t>
      </w:r>
      <w:r w:rsidRPr="0054771B">
        <w:rPr>
          <w:rFonts w:eastAsia="Times New Roman"/>
          <w:lang w:eastAsia="de-DE"/>
        </w:rPr>
        <w:t xml:space="preserve">– Qal Imperfekt, 3. Person Singular maskulin von </w:t>
      </w:r>
      <w:r w:rsidRPr="0054771B">
        <w:rPr>
          <w:rFonts w:eastAsia="Times New Roman"/>
          <w:b/>
          <w:bCs/>
          <w:rtl/>
          <w:lang w:eastAsia="de-DE"/>
        </w:rPr>
        <w:t>אמר</w:t>
      </w:r>
      <w:r w:rsidRPr="0054771B">
        <w:rPr>
          <w:rFonts w:eastAsia="Times New Roman"/>
          <w:lang w:eastAsia="de-DE"/>
        </w:rPr>
        <w:t xml:space="preserve">, </w:t>
      </w:r>
      <w:r w:rsidRPr="0054771B">
        <w:rPr>
          <w:rFonts w:eastAsia="Times New Roman"/>
          <w:b/>
          <w:bCs/>
          <w:rtl/>
          <w:lang w:eastAsia="de-DE"/>
        </w:rPr>
        <w:t>יְהוָה אֱלֹהֵינוּ</w:t>
      </w:r>
      <w:r w:rsidRPr="0054771B">
        <w:rPr>
          <w:rFonts w:eastAsia="Times New Roman"/>
          <w:rtl/>
          <w:lang w:eastAsia="de-DE"/>
        </w:rPr>
        <w:t xml:space="preserve"> </w:t>
      </w:r>
      <w:r w:rsidRPr="0054771B">
        <w:rPr>
          <w:rFonts w:eastAsia="Times New Roman"/>
          <w:lang w:eastAsia="de-DE"/>
        </w:rPr>
        <w:t>als erweitertes Subjekt).</w:t>
      </w:r>
    </w:p>
    <w:p w14:paraId="33AEB292"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rtl/>
          <w:lang w:eastAsia="de-DE"/>
        </w:rPr>
        <w:t>וְאַתְּ תְּדַבֵּר אֵלֵינוּ אֵת כָּל־אֲשֶׁר יְדַבֵּר יְהוָה אֱלֹהֵינוּ אֵלֶיךָ</w:t>
      </w:r>
      <w:r w:rsidRPr="0054771B">
        <w:rPr>
          <w:rFonts w:eastAsia="Times New Roman"/>
          <w:rtl/>
          <w:lang w:eastAsia="de-DE"/>
        </w:rPr>
        <w:t xml:space="preserve"> </w:t>
      </w:r>
      <w:r w:rsidRPr="0054771B">
        <w:rPr>
          <w:rFonts w:eastAsia="Times New Roman"/>
          <w:lang w:eastAsia="de-DE"/>
        </w:rPr>
        <w:t xml:space="preserve">ist koordiniert: </w:t>
      </w:r>
      <w:r w:rsidRPr="0054771B">
        <w:rPr>
          <w:rFonts w:eastAsia="Times New Roman"/>
          <w:b/>
          <w:bCs/>
          <w:rtl/>
          <w:lang w:eastAsia="de-DE"/>
        </w:rPr>
        <w:t>וְאַתְּ</w:t>
      </w:r>
      <w:r w:rsidRPr="0054771B">
        <w:rPr>
          <w:rFonts w:eastAsia="Times New Roman"/>
          <w:rtl/>
          <w:lang w:eastAsia="de-DE"/>
        </w:rPr>
        <w:t xml:space="preserve"> </w:t>
      </w:r>
      <w:r w:rsidRPr="0054771B">
        <w:rPr>
          <w:rFonts w:eastAsia="Times New Roman"/>
          <w:lang w:eastAsia="de-DE"/>
        </w:rPr>
        <w:t xml:space="preserve">als emphatisches Pronomen mit </w:t>
      </w:r>
      <w:r w:rsidRPr="0054771B">
        <w:rPr>
          <w:rFonts w:eastAsia="Times New Roman"/>
          <w:b/>
          <w:bCs/>
          <w:rtl/>
          <w:lang w:eastAsia="de-DE"/>
        </w:rPr>
        <w:t>וְ</w:t>
      </w:r>
      <w:r w:rsidRPr="0054771B">
        <w:rPr>
          <w:rFonts w:eastAsia="Times New Roman"/>
          <w:rtl/>
          <w:lang w:eastAsia="de-DE"/>
        </w:rPr>
        <w:t xml:space="preserve"> </w:t>
      </w:r>
      <w:r w:rsidRPr="0054771B">
        <w:rPr>
          <w:rFonts w:eastAsia="Times New Roman"/>
          <w:lang w:eastAsia="de-DE"/>
        </w:rPr>
        <w:t xml:space="preserve">(„und du"), </w:t>
      </w:r>
      <w:r w:rsidRPr="0054771B">
        <w:rPr>
          <w:rFonts w:eastAsia="Times New Roman"/>
          <w:b/>
          <w:bCs/>
          <w:rtl/>
          <w:lang w:eastAsia="de-DE"/>
        </w:rPr>
        <w:t>תְּדַבֵּר</w:t>
      </w:r>
      <w:r w:rsidRPr="0054771B">
        <w:rPr>
          <w:rFonts w:eastAsia="Times New Roman"/>
          <w:rtl/>
          <w:lang w:eastAsia="de-DE"/>
        </w:rPr>
        <w:t xml:space="preserve"> </w:t>
      </w:r>
      <w:r w:rsidRPr="0054771B">
        <w:rPr>
          <w:rFonts w:eastAsia="Times New Roman"/>
          <w:lang w:eastAsia="de-DE"/>
        </w:rPr>
        <w:t xml:space="preserve">als Piel Imperfekt, 2. Person Singular maskulin von </w:t>
      </w:r>
      <w:r w:rsidRPr="0054771B">
        <w:rPr>
          <w:rFonts w:eastAsia="Times New Roman"/>
          <w:b/>
          <w:bCs/>
          <w:rtl/>
          <w:lang w:eastAsia="de-DE"/>
        </w:rPr>
        <w:t>דבר</w:t>
      </w:r>
      <w:r w:rsidRPr="0054771B">
        <w:rPr>
          <w:rFonts w:eastAsia="Times New Roman"/>
          <w:rtl/>
          <w:lang w:eastAsia="de-DE"/>
        </w:rPr>
        <w:t xml:space="preserve"> </w:t>
      </w:r>
      <w:r w:rsidRPr="0054771B">
        <w:rPr>
          <w:rFonts w:eastAsia="Times New Roman"/>
          <w:lang w:eastAsia="de-DE"/>
        </w:rPr>
        <w:t xml:space="preserve">– hier in jussivischer bzw. imperativischer Funktion („du sollst reden"), </w:t>
      </w:r>
      <w:r w:rsidRPr="0054771B">
        <w:rPr>
          <w:rFonts w:eastAsia="Times New Roman"/>
          <w:b/>
          <w:bCs/>
          <w:rtl/>
          <w:lang w:eastAsia="de-DE"/>
        </w:rPr>
        <w:t>אֵלֵינוּ</w:t>
      </w:r>
      <w:r w:rsidRPr="0054771B">
        <w:rPr>
          <w:rFonts w:eastAsia="Times New Roman"/>
          <w:rtl/>
          <w:lang w:eastAsia="de-DE"/>
        </w:rPr>
        <w:t xml:space="preserve"> </w:t>
      </w:r>
      <w:r w:rsidRPr="0054771B">
        <w:rPr>
          <w:rFonts w:eastAsia="Times New Roman"/>
          <w:lang w:eastAsia="de-DE"/>
        </w:rPr>
        <w:t>als indirektes Objekt (</w:t>
      </w:r>
      <w:r w:rsidRPr="0054771B">
        <w:rPr>
          <w:rFonts w:eastAsia="Times New Roman"/>
          <w:b/>
          <w:bCs/>
          <w:rtl/>
          <w:lang w:eastAsia="de-DE"/>
        </w:rPr>
        <w:t>אֶל</w:t>
      </w:r>
      <w:r w:rsidRPr="0054771B">
        <w:rPr>
          <w:rFonts w:eastAsia="Times New Roman"/>
          <w:rtl/>
          <w:lang w:eastAsia="de-DE"/>
        </w:rPr>
        <w:t xml:space="preserve"> </w:t>
      </w:r>
      <w:r w:rsidRPr="0054771B">
        <w:rPr>
          <w:rFonts w:eastAsia="Times New Roman"/>
          <w:lang w:eastAsia="de-DE"/>
        </w:rPr>
        <w:t xml:space="preserve">mit Suffix 1. Person Plural), </w:t>
      </w:r>
      <w:r w:rsidRPr="0054771B">
        <w:rPr>
          <w:rFonts w:eastAsia="Times New Roman"/>
          <w:b/>
          <w:bCs/>
          <w:rtl/>
          <w:lang w:eastAsia="de-DE"/>
        </w:rPr>
        <w:t>אֵת כָּל־אֲשֶׁר יְדַבֵּר יְהוָה אֱלֹהֵינוּ אֵלֶיךָ</w:t>
      </w:r>
      <w:r w:rsidRPr="0054771B">
        <w:rPr>
          <w:rFonts w:eastAsia="Times New Roman"/>
          <w:rtl/>
          <w:lang w:eastAsia="de-DE"/>
        </w:rPr>
        <w:t xml:space="preserve"> </w:t>
      </w:r>
      <w:r w:rsidRPr="0054771B">
        <w:rPr>
          <w:rFonts w:eastAsia="Times New Roman"/>
          <w:lang w:eastAsia="de-DE"/>
        </w:rPr>
        <w:t xml:space="preserve">als direktes Objekt (nota accusativi mit </w:t>
      </w:r>
      <w:r w:rsidRPr="0054771B">
        <w:rPr>
          <w:rFonts w:eastAsia="Times New Roman"/>
          <w:b/>
          <w:bCs/>
          <w:rtl/>
          <w:lang w:eastAsia="de-DE"/>
        </w:rPr>
        <w:t>כָּל</w:t>
      </w:r>
      <w:r w:rsidRPr="0054771B">
        <w:rPr>
          <w:rFonts w:eastAsia="Times New Roman"/>
          <w:rtl/>
          <w:lang w:eastAsia="de-DE"/>
        </w:rPr>
        <w:t xml:space="preserve"> </w:t>
      </w:r>
      <w:r w:rsidRPr="0054771B">
        <w:rPr>
          <w:rFonts w:eastAsia="Times New Roman"/>
          <w:lang w:eastAsia="de-DE"/>
        </w:rPr>
        <w:t xml:space="preserve">im Construct, Relativsatz mit Prädikat, erweitertem Subjekt und indirektem Objekt </w:t>
      </w:r>
      <w:r w:rsidRPr="0054771B">
        <w:rPr>
          <w:rFonts w:eastAsia="Times New Roman"/>
          <w:b/>
          <w:bCs/>
          <w:rtl/>
          <w:lang w:eastAsia="de-DE"/>
        </w:rPr>
        <w:t>אֵלֶיךָ</w:t>
      </w:r>
      <w:r w:rsidRPr="0054771B">
        <w:rPr>
          <w:rFonts w:eastAsia="Times New Roman"/>
          <w:lang w:eastAsia="de-DE"/>
        </w:rPr>
        <w:t>).</w:t>
      </w:r>
    </w:p>
    <w:p w14:paraId="500559B7"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rtl/>
          <w:lang w:eastAsia="de-DE"/>
        </w:rPr>
        <w:t>וְשָׁמַעְנוּ וְעָשִׂינוּ</w:t>
      </w:r>
      <w:r w:rsidRPr="0054771B">
        <w:rPr>
          <w:rFonts w:eastAsia="Times New Roman"/>
          <w:rtl/>
          <w:lang w:eastAsia="de-DE"/>
        </w:rPr>
        <w:t xml:space="preserve"> </w:t>
      </w:r>
      <w:r w:rsidRPr="0054771B">
        <w:rPr>
          <w:rFonts w:eastAsia="Times New Roman"/>
          <w:lang w:eastAsia="de-DE"/>
        </w:rPr>
        <w:t xml:space="preserve">ist eine zweigliedrige koordinierte Abschlusserklärung: </w:t>
      </w:r>
      <w:r w:rsidRPr="0054771B">
        <w:rPr>
          <w:rFonts w:eastAsia="Times New Roman"/>
          <w:b/>
          <w:bCs/>
          <w:rtl/>
          <w:lang w:eastAsia="de-DE"/>
        </w:rPr>
        <w:t>וְשָׁמַעְנוּ</w:t>
      </w:r>
      <w:r w:rsidRPr="0054771B">
        <w:rPr>
          <w:rFonts w:eastAsia="Times New Roman"/>
          <w:rtl/>
          <w:lang w:eastAsia="de-DE"/>
        </w:rPr>
        <w:t xml:space="preserve"> </w:t>
      </w:r>
      <w:r w:rsidRPr="0054771B">
        <w:rPr>
          <w:rFonts w:eastAsia="Times New Roman"/>
          <w:lang w:eastAsia="de-DE"/>
        </w:rPr>
        <w:t xml:space="preserve">(Qal Perfekt consecutivum, 1. Person Plural von </w:t>
      </w:r>
      <w:r w:rsidRPr="0054771B">
        <w:rPr>
          <w:rFonts w:eastAsia="Times New Roman"/>
          <w:b/>
          <w:bCs/>
          <w:rtl/>
          <w:lang w:eastAsia="de-DE"/>
        </w:rPr>
        <w:t>שׁמע</w:t>
      </w:r>
      <w:r w:rsidRPr="0054771B">
        <w:rPr>
          <w:rFonts w:eastAsia="Times New Roman"/>
          <w:rtl/>
          <w:lang w:eastAsia="de-DE"/>
        </w:rPr>
        <w:t xml:space="preserve"> </w:t>
      </w:r>
      <w:r w:rsidRPr="0054771B">
        <w:rPr>
          <w:rFonts w:eastAsia="Times New Roman"/>
          <w:lang w:eastAsia="de-DE"/>
        </w:rPr>
        <w:t xml:space="preserve">mit </w:t>
      </w:r>
      <w:r w:rsidRPr="0054771B">
        <w:rPr>
          <w:rFonts w:eastAsia="Times New Roman"/>
          <w:b/>
          <w:bCs/>
          <w:rtl/>
          <w:lang w:eastAsia="de-DE"/>
        </w:rPr>
        <w:t>וְ</w:t>
      </w:r>
      <w:r w:rsidRPr="0054771B">
        <w:rPr>
          <w:rFonts w:eastAsia="Times New Roman"/>
          <w:rtl/>
          <w:lang w:eastAsia="de-DE"/>
        </w:rPr>
        <w:t xml:space="preserve"> </w:t>
      </w:r>
      <w:r w:rsidRPr="0054771B">
        <w:rPr>
          <w:rFonts w:eastAsia="Times New Roman"/>
          <w:lang w:eastAsia="de-DE"/>
        </w:rPr>
        <w:t xml:space="preserve">– hier in </w:t>
      </w:r>
      <w:proofErr w:type="spellStart"/>
      <w:r w:rsidRPr="0054771B">
        <w:rPr>
          <w:rFonts w:eastAsia="Times New Roman"/>
          <w:lang w:eastAsia="de-DE"/>
        </w:rPr>
        <w:t>kohortativer</w:t>
      </w:r>
      <w:proofErr w:type="spellEnd"/>
      <w:r w:rsidRPr="0054771B">
        <w:rPr>
          <w:rFonts w:eastAsia="Times New Roman"/>
          <w:lang w:eastAsia="de-DE"/>
        </w:rPr>
        <w:t xml:space="preserve"> bzw. volitiver Funktion „wir wollen hören"), </w:t>
      </w:r>
      <w:r w:rsidRPr="0054771B">
        <w:rPr>
          <w:rFonts w:eastAsia="Times New Roman"/>
          <w:b/>
          <w:bCs/>
          <w:rtl/>
          <w:lang w:eastAsia="de-DE"/>
        </w:rPr>
        <w:t>וְעָשִׂינוּ</w:t>
      </w:r>
      <w:r w:rsidRPr="0054771B">
        <w:rPr>
          <w:rFonts w:eastAsia="Times New Roman"/>
          <w:rtl/>
          <w:lang w:eastAsia="de-DE"/>
        </w:rPr>
        <w:t xml:space="preserve"> </w:t>
      </w:r>
      <w:r w:rsidRPr="0054771B">
        <w:rPr>
          <w:rFonts w:eastAsia="Times New Roman"/>
          <w:lang w:eastAsia="de-DE"/>
        </w:rPr>
        <w:t xml:space="preserve">koordiniert (Qal Perfekt consecutivum, 1. Person Plural von </w:t>
      </w:r>
      <w:r w:rsidRPr="0054771B">
        <w:rPr>
          <w:rFonts w:eastAsia="Times New Roman"/>
          <w:b/>
          <w:bCs/>
          <w:rtl/>
          <w:lang w:eastAsia="de-DE"/>
        </w:rPr>
        <w:t>עשׂה</w:t>
      </w:r>
      <w:r w:rsidRPr="0054771B">
        <w:rPr>
          <w:rFonts w:eastAsia="Times New Roman"/>
          <w:rtl/>
          <w:lang w:eastAsia="de-DE"/>
        </w:rPr>
        <w:t xml:space="preserve"> </w:t>
      </w:r>
      <w:r w:rsidRPr="0054771B">
        <w:rPr>
          <w:rFonts w:eastAsia="Times New Roman"/>
          <w:lang w:eastAsia="de-DE"/>
        </w:rPr>
        <w:t>– „wir wollen tun").</w:t>
      </w:r>
    </w:p>
    <w:p w14:paraId="784F90AD"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Dies ist der entscheidende Vorschlag des Volkes: Mose soll als Mittler fungieren. Die zweimalige Verwendung emphatischer Pronomen (</w:t>
      </w:r>
      <w:r w:rsidRPr="0054771B">
        <w:rPr>
          <w:rFonts w:eastAsia="Times New Roman"/>
          <w:b/>
          <w:bCs/>
          <w:rtl/>
          <w:lang w:eastAsia="de-DE"/>
        </w:rPr>
        <w:t>אַתָּה</w:t>
      </w:r>
      <w:r w:rsidRPr="0054771B">
        <w:rPr>
          <w:rFonts w:eastAsia="Times New Roman"/>
          <w:rtl/>
          <w:lang w:eastAsia="de-DE"/>
        </w:rPr>
        <w:t xml:space="preserve"> </w:t>
      </w:r>
      <w:r w:rsidRPr="0054771B">
        <w:rPr>
          <w:rFonts w:eastAsia="Times New Roman"/>
          <w:lang w:eastAsia="de-DE"/>
        </w:rPr>
        <w:t xml:space="preserve">und </w:t>
      </w:r>
      <w:r w:rsidRPr="0054771B">
        <w:rPr>
          <w:rFonts w:eastAsia="Times New Roman"/>
          <w:b/>
          <w:bCs/>
          <w:rtl/>
          <w:lang w:eastAsia="de-DE"/>
        </w:rPr>
        <w:t>וְאַתְּ</w:t>
      </w:r>
      <w:r w:rsidRPr="0054771B">
        <w:rPr>
          <w:rFonts w:eastAsia="Times New Roman"/>
          <w:lang w:eastAsia="de-DE"/>
        </w:rPr>
        <w:t xml:space="preserve">) betont Moses besondere Rolle. Die Formulierung </w:t>
      </w:r>
      <w:r w:rsidRPr="0054771B">
        <w:rPr>
          <w:rFonts w:eastAsia="Times New Roman"/>
          <w:b/>
          <w:bCs/>
          <w:rtl/>
          <w:lang w:eastAsia="de-DE"/>
        </w:rPr>
        <w:t>וְשָׁמַעְנוּ וְעָשִׂינוּ</w:t>
      </w:r>
      <w:r w:rsidRPr="0054771B">
        <w:rPr>
          <w:rFonts w:eastAsia="Times New Roman"/>
          <w:rtl/>
          <w:lang w:eastAsia="de-DE"/>
        </w:rPr>
        <w:t xml:space="preserve"> </w:t>
      </w:r>
      <w:r w:rsidRPr="0054771B">
        <w:rPr>
          <w:rFonts w:eastAsia="Times New Roman"/>
          <w:lang w:eastAsia="de-DE"/>
        </w:rPr>
        <w:t>(„wir wollen hören und tun") ist eine klassische Bundesformel und drückt den Gehorsamsgehorsam aus (vgl. Ex 24,7).</w:t>
      </w:r>
    </w:p>
    <w:p w14:paraId="1F6E3CD4"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 xml:space="preserve">Die Satzstruktur besteht aus zwei koordinierten Imperativen (der erste mit emphatischem Pronomen, der zweite mit direktem Objekt, das einen Relativsatz mit erweitertem Subjekt enthält), einem koordinierten </w:t>
      </w:r>
      <w:proofErr w:type="spellStart"/>
      <w:r w:rsidRPr="0054771B">
        <w:rPr>
          <w:rFonts w:eastAsia="Times New Roman"/>
          <w:lang w:eastAsia="de-DE"/>
        </w:rPr>
        <w:t>jussivischen</w:t>
      </w:r>
      <w:proofErr w:type="spellEnd"/>
      <w:r w:rsidRPr="0054771B">
        <w:rPr>
          <w:rFonts w:eastAsia="Times New Roman"/>
          <w:lang w:eastAsia="de-DE"/>
        </w:rPr>
        <w:t xml:space="preserve"> Imperfekt mit emphatischem Pronomen, indirektem und direktem Objekt (letzteres mit Relativsatz mit Prädikat, erweitertem Subjekt und indirektem Objekt), und einer zweigliedrigen koordinierten Abschlusserklärung in volitiver Funktion. Die Struktur etabliert Moses Mittlerrolle und Israels Gehorsamsbereitschaft.</w:t>
      </w:r>
    </w:p>
    <w:p w14:paraId="63204DC8"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Der Vers formuliert den Vorschlag des Volkes: Mose soll als Mittler fungieren – er soll alles von JHWH hören und es an das Volk weitergeben, das verspricht zu hören und zu gehorchen.</w:t>
      </w:r>
    </w:p>
    <w:p w14:paraId="6954D768" w14:textId="77777777" w:rsidR="0054771B" w:rsidRPr="0054771B" w:rsidRDefault="0054771B" w:rsidP="0054771B">
      <w:pPr>
        <w:spacing w:before="100" w:beforeAutospacing="1" w:after="100" w:afterAutospacing="1" w:line="240" w:lineRule="auto"/>
        <w:outlineLvl w:val="1"/>
        <w:rPr>
          <w:rFonts w:eastAsia="Times New Roman"/>
          <w:b/>
          <w:bCs/>
          <w:sz w:val="36"/>
          <w:szCs w:val="36"/>
          <w:lang w:eastAsia="de-DE"/>
        </w:rPr>
      </w:pPr>
      <w:r w:rsidRPr="0054771B">
        <w:rPr>
          <w:rFonts w:eastAsia="Times New Roman"/>
          <w:b/>
          <w:bCs/>
          <w:sz w:val="36"/>
          <w:szCs w:val="36"/>
          <w:lang w:eastAsia="de-DE"/>
        </w:rPr>
        <w:t>Deuteronomium 5,28</w:t>
      </w:r>
    </w:p>
    <w:p w14:paraId="76D8A43E"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lastRenderedPageBreak/>
        <w:t>Hebräisch:</w:t>
      </w:r>
      <w:r w:rsidRPr="0054771B">
        <w:rPr>
          <w:rFonts w:eastAsia="Times New Roman"/>
          <w:lang w:eastAsia="de-DE"/>
        </w:rPr>
        <w:t xml:space="preserve"> </w:t>
      </w:r>
      <w:r w:rsidRPr="0054771B">
        <w:rPr>
          <w:rFonts w:eastAsia="Times New Roman"/>
          <w:rtl/>
          <w:lang w:eastAsia="de-DE"/>
        </w:rPr>
        <w:t>וַיִּשְׁמַע יְהוָה אֶת־קוֹל דִּבְרֵיכֶם בְּדַבֶּרְכֶם אֵלָי וַיֹּאמֶר יְהוָה אֵלַי שָׁמַעְתִּי אֶת־קוֹל דִּבְרֵי הָעָם הַזֶּה אֲשֶׁר דִּבְּרוּ אֵלֶיךָ הֵיטִיבוּ כָּל־אֲשֶׁר דִּבֵּרוּ׃</w:t>
      </w:r>
    </w:p>
    <w:p w14:paraId="7021DB34"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Deutsch:</w:t>
      </w:r>
      <w:r w:rsidRPr="0054771B">
        <w:rPr>
          <w:rFonts w:eastAsia="Times New Roman"/>
          <w:lang w:eastAsia="de-DE"/>
        </w:rPr>
        <w:t xml:space="preserve"> Und der Ewige hörte die Stimme eurer Worte, als ihr zu mir redetet; und der Ewige sprach zu mir: Ich habe die Stimme der Worte dieses Volkes gehört, die sie zu dir geredet haben; sie haben gut geredet in allem, was sie geredet haben.</w:t>
      </w:r>
    </w:p>
    <w:p w14:paraId="5DE33D52" w14:textId="77777777" w:rsidR="0054771B" w:rsidRPr="0054771B" w:rsidRDefault="004F5CEB" w:rsidP="0054771B">
      <w:pPr>
        <w:spacing w:after="0" w:line="240" w:lineRule="auto"/>
        <w:rPr>
          <w:rFonts w:eastAsia="Times New Roman"/>
          <w:lang w:eastAsia="de-DE"/>
        </w:rPr>
      </w:pPr>
      <w:r>
        <w:rPr>
          <w:rFonts w:eastAsia="Times New Roman"/>
          <w:noProof/>
          <w:lang w:eastAsia="de-DE"/>
        </w:rPr>
        <w:pict w14:anchorId="71B1D654">
          <v:rect id="_x0000_i1213" style="width:0;height:1.5pt" o:hralign="center" o:hrstd="t" o:hr="t" fillcolor="#a0a0a0" stroked="f"/>
        </w:pict>
      </w:r>
    </w:p>
    <w:p w14:paraId="71B44E20"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Kommentar:</w:t>
      </w:r>
      <w:r w:rsidRPr="0054771B">
        <w:rPr>
          <w:rFonts w:eastAsia="Times New Roman"/>
          <w:lang w:eastAsia="de-DE"/>
        </w:rPr>
        <w:t xml:space="preserve"> </w:t>
      </w:r>
      <w:r w:rsidRPr="0054771B">
        <w:rPr>
          <w:rFonts w:eastAsia="Times New Roman"/>
          <w:b/>
          <w:bCs/>
          <w:rtl/>
          <w:lang w:eastAsia="de-DE"/>
        </w:rPr>
        <w:t>וַיִּשְׁמַע יְהוָה אֶת־קוֹל דִּבְרֵיכֶם בְּדַבֶּרְכֶם אֵלָי</w:t>
      </w:r>
      <w:r w:rsidRPr="0054771B">
        <w:rPr>
          <w:rFonts w:eastAsia="Times New Roman"/>
          <w:rtl/>
          <w:lang w:eastAsia="de-DE"/>
        </w:rPr>
        <w:t xml:space="preserve"> </w:t>
      </w:r>
      <w:r w:rsidRPr="0054771B">
        <w:rPr>
          <w:rFonts w:eastAsia="Times New Roman"/>
          <w:lang w:eastAsia="de-DE"/>
        </w:rPr>
        <w:t xml:space="preserve">ist ein Hauptsatz: </w:t>
      </w:r>
      <w:r w:rsidRPr="0054771B">
        <w:rPr>
          <w:rFonts w:eastAsia="Times New Roman"/>
          <w:b/>
          <w:bCs/>
          <w:rtl/>
          <w:lang w:eastAsia="de-DE"/>
        </w:rPr>
        <w:t>וַיִּשְׁמַע</w:t>
      </w:r>
      <w:r w:rsidRPr="0054771B">
        <w:rPr>
          <w:rFonts w:eastAsia="Times New Roman"/>
          <w:rtl/>
          <w:lang w:eastAsia="de-DE"/>
        </w:rPr>
        <w:t xml:space="preserve"> </w:t>
      </w:r>
      <w:r w:rsidRPr="0054771B">
        <w:rPr>
          <w:rFonts w:eastAsia="Times New Roman"/>
          <w:lang w:eastAsia="de-DE"/>
        </w:rPr>
        <w:t xml:space="preserve">(Qal Imperfekt consecutivum, 3. Person Singular maskulin von </w:t>
      </w:r>
      <w:r w:rsidRPr="0054771B">
        <w:rPr>
          <w:rFonts w:eastAsia="Times New Roman"/>
          <w:b/>
          <w:bCs/>
          <w:rtl/>
          <w:lang w:eastAsia="de-DE"/>
        </w:rPr>
        <w:t>שׁמע</w:t>
      </w:r>
      <w:r w:rsidRPr="0054771B">
        <w:rPr>
          <w:rFonts w:eastAsia="Times New Roman"/>
          <w:rtl/>
          <w:lang w:eastAsia="de-DE"/>
        </w:rPr>
        <w:t xml:space="preserve"> </w:t>
      </w:r>
      <w:r w:rsidRPr="0054771B">
        <w:rPr>
          <w:rFonts w:eastAsia="Times New Roman"/>
          <w:lang w:eastAsia="de-DE"/>
        </w:rPr>
        <w:t xml:space="preserve">mit Waw), </w:t>
      </w:r>
      <w:r w:rsidRPr="0054771B">
        <w:rPr>
          <w:rFonts w:eastAsia="Times New Roman"/>
          <w:b/>
          <w:bCs/>
          <w:rtl/>
          <w:lang w:eastAsia="de-DE"/>
        </w:rPr>
        <w:t>יְהוָה</w:t>
      </w:r>
      <w:r w:rsidRPr="0054771B">
        <w:rPr>
          <w:rFonts w:eastAsia="Times New Roman"/>
          <w:rtl/>
          <w:lang w:eastAsia="de-DE"/>
        </w:rPr>
        <w:t xml:space="preserve"> </w:t>
      </w:r>
      <w:r w:rsidRPr="0054771B">
        <w:rPr>
          <w:rFonts w:eastAsia="Times New Roman"/>
          <w:lang w:eastAsia="de-DE"/>
        </w:rPr>
        <w:t xml:space="preserve">als Subjekt, </w:t>
      </w:r>
      <w:r w:rsidRPr="0054771B">
        <w:rPr>
          <w:rFonts w:eastAsia="Times New Roman"/>
          <w:b/>
          <w:bCs/>
          <w:rtl/>
          <w:lang w:eastAsia="de-DE"/>
        </w:rPr>
        <w:t>אֶת־קוֹל דִּבְרֵיכֶם</w:t>
      </w:r>
      <w:r w:rsidRPr="0054771B">
        <w:rPr>
          <w:rFonts w:eastAsia="Times New Roman"/>
          <w:rtl/>
          <w:lang w:eastAsia="de-DE"/>
        </w:rPr>
        <w:t xml:space="preserve"> </w:t>
      </w:r>
      <w:r w:rsidRPr="0054771B">
        <w:rPr>
          <w:rFonts w:eastAsia="Times New Roman"/>
          <w:lang w:eastAsia="de-DE"/>
        </w:rPr>
        <w:t>als direktes Objekt (</w:t>
      </w:r>
      <w:r w:rsidRPr="0054771B">
        <w:rPr>
          <w:rFonts w:eastAsia="Times New Roman"/>
          <w:b/>
          <w:bCs/>
          <w:rtl/>
          <w:lang w:eastAsia="de-DE"/>
        </w:rPr>
        <w:t>קוֹל</w:t>
      </w:r>
      <w:r w:rsidRPr="0054771B">
        <w:rPr>
          <w:rFonts w:eastAsia="Times New Roman"/>
          <w:rtl/>
          <w:lang w:eastAsia="de-DE"/>
        </w:rPr>
        <w:t xml:space="preserve"> </w:t>
      </w:r>
      <w:r w:rsidRPr="0054771B">
        <w:rPr>
          <w:rFonts w:eastAsia="Times New Roman"/>
          <w:lang w:eastAsia="de-DE"/>
        </w:rPr>
        <w:t xml:space="preserve">im Construct mit </w:t>
      </w:r>
      <w:r w:rsidRPr="0054771B">
        <w:rPr>
          <w:rFonts w:eastAsia="Times New Roman"/>
          <w:b/>
          <w:bCs/>
          <w:rtl/>
          <w:lang w:eastAsia="de-DE"/>
        </w:rPr>
        <w:t>דִּבְרֵי</w:t>
      </w:r>
      <w:r w:rsidRPr="0054771B">
        <w:rPr>
          <w:rFonts w:eastAsia="Times New Roman"/>
          <w:rtl/>
          <w:lang w:eastAsia="de-DE"/>
        </w:rPr>
        <w:t xml:space="preserve"> </w:t>
      </w:r>
      <w:r w:rsidRPr="0054771B">
        <w:rPr>
          <w:rFonts w:eastAsia="Times New Roman"/>
          <w:lang w:eastAsia="de-DE"/>
        </w:rPr>
        <w:t xml:space="preserve">– Plural Construct von </w:t>
      </w:r>
      <w:r w:rsidRPr="0054771B">
        <w:rPr>
          <w:rFonts w:eastAsia="Times New Roman"/>
          <w:b/>
          <w:bCs/>
          <w:rtl/>
          <w:lang w:eastAsia="de-DE"/>
        </w:rPr>
        <w:t>דָּבָר</w:t>
      </w:r>
      <w:r w:rsidRPr="0054771B">
        <w:rPr>
          <w:rFonts w:eastAsia="Times New Roman"/>
          <w:rtl/>
          <w:lang w:eastAsia="de-DE"/>
        </w:rPr>
        <w:t xml:space="preserve"> </w:t>
      </w:r>
      <w:r w:rsidRPr="0054771B">
        <w:rPr>
          <w:rFonts w:eastAsia="Times New Roman"/>
          <w:lang w:eastAsia="de-DE"/>
        </w:rPr>
        <w:t xml:space="preserve">– und Suffix 2. Person Plural maskulin), </w:t>
      </w:r>
      <w:r w:rsidRPr="0054771B">
        <w:rPr>
          <w:rFonts w:eastAsia="Times New Roman"/>
          <w:b/>
          <w:bCs/>
          <w:rtl/>
          <w:lang w:eastAsia="de-DE"/>
        </w:rPr>
        <w:t>בְּדַבֶּרְכֶם אֵלָי</w:t>
      </w:r>
      <w:r w:rsidRPr="0054771B">
        <w:rPr>
          <w:rFonts w:eastAsia="Times New Roman"/>
          <w:rtl/>
          <w:lang w:eastAsia="de-DE"/>
        </w:rPr>
        <w:t xml:space="preserve"> </w:t>
      </w:r>
      <w:r w:rsidRPr="0054771B">
        <w:rPr>
          <w:rFonts w:eastAsia="Times New Roman"/>
          <w:lang w:eastAsia="de-DE"/>
        </w:rPr>
        <w:t>als temporale Bestimmung (</w:t>
      </w:r>
      <w:r w:rsidRPr="0054771B">
        <w:rPr>
          <w:rFonts w:eastAsia="Times New Roman"/>
          <w:b/>
          <w:bCs/>
          <w:rtl/>
          <w:lang w:eastAsia="de-DE"/>
        </w:rPr>
        <w:t>בְּ</w:t>
      </w:r>
      <w:r w:rsidRPr="0054771B">
        <w:rPr>
          <w:rFonts w:eastAsia="Times New Roman"/>
          <w:rtl/>
          <w:lang w:eastAsia="de-DE"/>
        </w:rPr>
        <w:t xml:space="preserve"> </w:t>
      </w:r>
      <w:r w:rsidRPr="0054771B">
        <w:rPr>
          <w:rFonts w:eastAsia="Times New Roman"/>
          <w:lang w:eastAsia="de-DE"/>
        </w:rPr>
        <w:t xml:space="preserve">mit Piel Infinitiv Construct von </w:t>
      </w:r>
      <w:r w:rsidRPr="0054771B">
        <w:rPr>
          <w:rFonts w:eastAsia="Times New Roman"/>
          <w:b/>
          <w:bCs/>
          <w:rtl/>
          <w:lang w:eastAsia="de-DE"/>
        </w:rPr>
        <w:t>דבר</w:t>
      </w:r>
      <w:r w:rsidRPr="0054771B">
        <w:rPr>
          <w:rFonts w:eastAsia="Times New Roman"/>
          <w:rtl/>
          <w:lang w:eastAsia="de-DE"/>
        </w:rPr>
        <w:t xml:space="preserve"> </w:t>
      </w:r>
      <w:r w:rsidRPr="0054771B">
        <w:rPr>
          <w:rFonts w:eastAsia="Times New Roman"/>
          <w:lang w:eastAsia="de-DE"/>
        </w:rPr>
        <w:t xml:space="preserve">und Suffix 2. Person Plural maskulin als Subjekt, </w:t>
      </w:r>
      <w:r w:rsidRPr="0054771B">
        <w:rPr>
          <w:rFonts w:eastAsia="Times New Roman"/>
          <w:b/>
          <w:bCs/>
          <w:rtl/>
          <w:lang w:eastAsia="de-DE"/>
        </w:rPr>
        <w:t>אֵלַי</w:t>
      </w:r>
      <w:r w:rsidRPr="0054771B">
        <w:rPr>
          <w:rFonts w:eastAsia="Times New Roman"/>
          <w:rtl/>
          <w:lang w:eastAsia="de-DE"/>
        </w:rPr>
        <w:t xml:space="preserve"> </w:t>
      </w:r>
      <w:r w:rsidRPr="0054771B">
        <w:rPr>
          <w:rFonts w:eastAsia="Times New Roman"/>
          <w:lang w:eastAsia="de-DE"/>
        </w:rPr>
        <w:t>als indirektes Objekt – „als ihr zu mir redetet").</w:t>
      </w:r>
    </w:p>
    <w:p w14:paraId="2D260B93"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rtl/>
          <w:lang w:eastAsia="de-DE"/>
        </w:rPr>
        <w:t>וַיֹּאמֶר יְהוָה אֵלַי</w:t>
      </w:r>
      <w:r w:rsidRPr="0054771B">
        <w:rPr>
          <w:rFonts w:eastAsia="Times New Roman"/>
          <w:rtl/>
          <w:lang w:eastAsia="de-DE"/>
        </w:rPr>
        <w:t xml:space="preserve"> </w:t>
      </w:r>
      <w:r w:rsidRPr="0054771B">
        <w:rPr>
          <w:rFonts w:eastAsia="Times New Roman"/>
          <w:lang w:eastAsia="de-DE"/>
        </w:rPr>
        <w:t xml:space="preserve">ist Qal Imperfekt consecutivum, 3. Person Singular maskulin von </w:t>
      </w:r>
      <w:r w:rsidRPr="0054771B">
        <w:rPr>
          <w:rFonts w:eastAsia="Times New Roman"/>
          <w:b/>
          <w:bCs/>
          <w:rtl/>
          <w:lang w:eastAsia="de-DE"/>
        </w:rPr>
        <w:t>אמר</w:t>
      </w:r>
      <w:r w:rsidRPr="0054771B">
        <w:rPr>
          <w:rFonts w:eastAsia="Times New Roman"/>
          <w:rtl/>
          <w:lang w:eastAsia="de-DE"/>
        </w:rPr>
        <w:t xml:space="preserve"> </w:t>
      </w:r>
      <w:r w:rsidRPr="0054771B">
        <w:rPr>
          <w:rFonts w:eastAsia="Times New Roman"/>
          <w:lang w:eastAsia="de-DE"/>
        </w:rPr>
        <w:t xml:space="preserve">mit Waw, </w:t>
      </w:r>
      <w:r w:rsidRPr="0054771B">
        <w:rPr>
          <w:rFonts w:eastAsia="Times New Roman"/>
          <w:b/>
          <w:bCs/>
          <w:rtl/>
          <w:lang w:eastAsia="de-DE"/>
        </w:rPr>
        <w:t>יְהוָה</w:t>
      </w:r>
      <w:r w:rsidRPr="0054771B">
        <w:rPr>
          <w:rFonts w:eastAsia="Times New Roman"/>
          <w:rtl/>
          <w:lang w:eastAsia="de-DE"/>
        </w:rPr>
        <w:t xml:space="preserve"> </w:t>
      </w:r>
      <w:r w:rsidRPr="0054771B">
        <w:rPr>
          <w:rFonts w:eastAsia="Times New Roman"/>
          <w:lang w:eastAsia="de-DE"/>
        </w:rPr>
        <w:t xml:space="preserve">als Subjekt, </w:t>
      </w:r>
      <w:r w:rsidRPr="0054771B">
        <w:rPr>
          <w:rFonts w:eastAsia="Times New Roman"/>
          <w:b/>
          <w:bCs/>
          <w:rtl/>
          <w:lang w:eastAsia="de-DE"/>
        </w:rPr>
        <w:t>אֵלַי</w:t>
      </w:r>
      <w:r w:rsidRPr="0054771B">
        <w:rPr>
          <w:rFonts w:eastAsia="Times New Roman"/>
          <w:rtl/>
          <w:lang w:eastAsia="de-DE"/>
        </w:rPr>
        <w:t xml:space="preserve"> </w:t>
      </w:r>
      <w:r w:rsidRPr="0054771B">
        <w:rPr>
          <w:rFonts w:eastAsia="Times New Roman"/>
          <w:lang w:eastAsia="de-DE"/>
        </w:rPr>
        <w:t xml:space="preserve">als indirektes Objekt. </w:t>
      </w:r>
      <w:r w:rsidRPr="0054771B">
        <w:rPr>
          <w:rFonts w:eastAsia="Times New Roman"/>
          <w:b/>
          <w:bCs/>
          <w:rtl/>
          <w:lang w:eastAsia="de-DE"/>
        </w:rPr>
        <w:t>שָׁמַעְתִּי אֶת־קוֹל דִּבְרֵי הָעָם הַזֶּה אֲשֶׁר דִּבְּרוּ אֵלֶיךָ</w:t>
      </w:r>
      <w:r w:rsidRPr="0054771B">
        <w:rPr>
          <w:rFonts w:eastAsia="Times New Roman"/>
          <w:rtl/>
          <w:lang w:eastAsia="de-DE"/>
        </w:rPr>
        <w:t xml:space="preserve"> </w:t>
      </w:r>
      <w:r w:rsidRPr="0054771B">
        <w:rPr>
          <w:rFonts w:eastAsia="Times New Roman"/>
          <w:lang w:eastAsia="de-DE"/>
        </w:rPr>
        <w:t xml:space="preserve">ist die direkte göttliche Rede: </w:t>
      </w:r>
      <w:r w:rsidRPr="0054771B">
        <w:rPr>
          <w:rFonts w:eastAsia="Times New Roman"/>
          <w:b/>
          <w:bCs/>
          <w:rtl/>
          <w:lang w:eastAsia="de-DE"/>
        </w:rPr>
        <w:t>שָׁמַעְתִּי</w:t>
      </w:r>
      <w:r w:rsidRPr="0054771B">
        <w:rPr>
          <w:rFonts w:eastAsia="Times New Roman"/>
          <w:rtl/>
          <w:lang w:eastAsia="de-DE"/>
        </w:rPr>
        <w:t xml:space="preserve"> </w:t>
      </w:r>
      <w:r w:rsidRPr="0054771B">
        <w:rPr>
          <w:rFonts w:eastAsia="Times New Roman"/>
          <w:lang w:eastAsia="de-DE"/>
        </w:rPr>
        <w:t xml:space="preserve">als Qal Perfekt, 1. Person Singular von </w:t>
      </w:r>
      <w:r w:rsidRPr="0054771B">
        <w:rPr>
          <w:rFonts w:eastAsia="Times New Roman"/>
          <w:b/>
          <w:bCs/>
          <w:rtl/>
          <w:lang w:eastAsia="de-DE"/>
        </w:rPr>
        <w:t>שׁמע</w:t>
      </w:r>
      <w:r w:rsidRPr="0054771B">
        <w:rPr>
          <w:rFonts w:eastAsia="Times New Roman"/>
          <w:lang w:eastAsia="de-DE"/>
        </w:rPr>
        <w:t xml:space="preserve">, </w:t>
      </w:r>
      <w:r w:rsidRPr="0054771B">
        <w:rPr>
          <w:rFonts w:eastAsia="Times New Roman"/>
          <w:b/>
          <w:bCs/>
          <w:rtl/>
          <w:lang w:eastAsia="de-DE"/>
        </w:rPr>
        <w:t>אֶת־קוֹל דִּבְרֵי הָעָם הַזֶּה</w:t>
      </w:r>
      <w:r w:rsidRPr="0054771B">
        <w:rPr>
          <w:rFonts w:eastAsia="Times New Roman"/>
          <w:rtl/>
          <w:lang w:eastAsia="de-DE"/>
        </w:rPr>
        <w:t xml:space="preserve"> </w:t>
      </w:r>
      <w:r w:rsidRPr="0054771B">
        <w:rPr>
          <w:rFonts w:eastAsia="Times New Roman"/>
          <w:lang w:eastAsia="de-DE"/>
        </w:rPr>
        <w:t>als direktes Objekt (</w:t>
      </w:r>
      <w:r w:rsidRPr="0054771B">
        <w:rPr>
          <w:rFonts w:eastAsia="Times New Roman"/>
          <w:b/>
          <w:bCs/>
          <w:rtl/>
          <w:lang w:eastAsia="de-DE"/>
        </w:rPr>
        <w:t>קוֹל</w:t>
      </w:r>
      <w:r w:rsidRPr="0054771B">
        <w:rPr>
          <w:rFonts w:eastAsia="Times New Roman"/>
          <w:rtl/>
          <w:lang w:eastAsia="de-DE"/>
        </w:rPr>
        <w:t xml:space="preserve"> </w:t>
      </w:r>
      <w:r w:rsidRPr="0054771B">
        <w:rPr>
          <w:rFonts w:eastAsia="Times New Roman"/>
          <w:lang w:eastAsia="de-DE"/>
        </w:rPr>
        <w:t xml:space="preserve">im Construct mit </w:t>
      </w:r>
      <w:r w:rsidRPr="0054771B">
        <w:rPr>
          <w:rFonts w:eastAsia="Times New Roman"/>
          <w:b/>
          <w:bCs/>
          <w:rtl/>
          <w:lang w:eastAsia="de-DE"/>
        </w:rPr>
        <w:t>דִּבְרֵי</w:t>
      </w:r>
      <w:r w:rsidRPr="0054771B">
        <w:rPr>
          <w:rFonts w:eastAsia="Times New Roman"/>
          <w:lang w:eastAsia="de-DE"/>
        </w:rPr>
        <w:t xml:space="preserve">, dieser im Construct mit </w:t>
      </w:r>
      <w:r w:rsidRPr="0054771B">
        <w:rPr>
          <w:rFonts w:eastAsia="Times New Roman"/>
          <w:b/>
          <w:bCs/>
          <w:rtl/>
          <w:lang w:eastAsia="de-DE"/>
        </w:rPr>
        <w:t>הָעָם הַזֶּה</w:t>
      </w:r>
      <w:r w:rsidRPr="0054771B">
        <w:rPr>
          <w:rFonts w:eastAsia="Times New Roman"/>
          <w:rtl/>
          <w:lang w:eastAsia="de-DE"/>
        </w:rPr>
        <w:t xml:space="preserve"> </w:t>
      </w:r>
      <w:r w:rsidRPr="0054771B">
        <w:rPr>
          <w:rFonts w:eastAsia="Times New Roman"/>
          <w:lang w:eastAsia="de-DE"/>
        </w:rPr>
        <w:t xml:space="preserve">– </w:t>
      </w:r>
      <w:r w:rsidRPr="0054771B">
        <w:rPr>
          <w:rFonts w:eastAsia="Times New Roman"/>
          <w:b/>
          <w:bCs/>
          <w:rtl/>
          <w:lang w:eastAsia="de-DE"/>
        </w:rPr>
        <w:t>עַם</w:t>
      </w:r>
      <w:r w:rsidRPr="0054771B">
        <w:rPr>
          <w:rFonts w:eastAsia="Times New Roman"/>
          <w:lang w:eastAsia="de-DE"/>
        </w:rPr>
        <w:t xml:space="preserve">, „Volk", mit Demonstrativpronomen), </w:t>
      </w:r>
      <w:r w:rsidRPr="0054771B">
        <w:rPr>
          <w:rFonts w:eastAsia="Times New Roman"/>
          <w:b/>
          <w:bCs/>
          <w:rtl/>
          <w:lang w:eastAsia="de-DE"/>
        </w:rPr>
        <w:t>אֲשֶׁר דִּבְּרוּ אֵלֶיךָ</w:t>
      </w:r>
      <w:r w:rsidRPr="0054771B">
        <w:rPr>
          <w:rFonts w:eastAsia="Times New Roman"/>
          <w:rtl/>
          <w:lang w:eastAsia="de-DE"/>
        </w:rPr>
        <w:t xml:space="preserve"> </w:t>
      </w:r>
      <w:r w:rsidRPr="0054771B">
        <w:rPr>
          <w:rFonts w:eastAsia="Times New Roman"/>
          <w:lang w:eastAsia="de-DE"/>
        </w:rPr>
        <w:t xml:space="preserve">als Relativsatz (Piel Perfekt, 3. Person Plural von </w:t>
      </w:r>
      <w:r w:rsidRPr="0054771B">
        <w:rPr>
          <w:rFonts w:eastAsia="Times New Roman"/>
          <w:b/>
          <w:bCs/>
          <w:rtl/>
          <w:lang w:eastAsia="de-DE"/>
        </w:rPr>
        <w:t>דבר</w:t>
      </w:r>
      <w:r w:rsidRPr="0054771B">
        <w:rPr>
          <w:rFonts w:eastAsia="Times New Roman"/>
          <w:lang w:eastAsia="de-DE"/>
        </w:rPr>
        <w:t xml:space="preserve">, </w:t>
      </w:r>
      <w:r w:rsidRPr="0054771B">
        <w:rPr>
          <w:rFonts w:eastAsia="Times New Roman"/>
          <w:b/>
          <w:bCs/>
          <w:rtl/>
          <w:lang w:eastAsia="de-DE"/>
        </w:rPr>
        <w:t>אֵלֶיךָ</w:t>
      </w:r>
      <w:r w:rsidRPr="0054771B">
        <w:rPr>
          <w:rFonts w:eastAsia="Times New Roman"/>
          <w:rtl/>
          <w:lang w:eastAsia="de-DE"/>
        </w:rPr>
        <w:t xml:space="preserve"> </w:t>
      </w:r>
      <w:r w:rsidRPr="0054771B">
        <w:rPr>
          <w:rFonts w:eastAsia="Times New Roman"/>
          <w:lang w:eastAsia="de-DE"/>
        </w:rPr>
        <w:t>als indirektes Objekt).</w:t>
      </w:r>
    </w:p>
    <w:p w14:paraId="2796DA40"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rtl/>
          <w:lang w:eastAsia="de-DE"/>
        </w:rPr>
        <w:t>הֵיטִיבוּ כָּל־אֲשֶׁר דִּבֵּרוּ</w:t>
      </w:r>
      <w:r w:rsidRPr="0054771B">
        <w:rPr>
          <w:rFonts w:eastAsia="Times New Roman"/>
          <w:rtl/>
          <w:lang w:eastAsia="de-DE"/>
        </w:rPr>
        <w:t xml:space="preserve"> </w:t>
      </w:r>
      <w:r w:rsidRPr="0054771B">
        <w:rPr>
          <w:rFonts w:eastAsia="Times New Roman"/>
          <w:lang w:eastAsia="de-DE"/>
        </w:rPr>
        <w:t xml:space="preserve">ist koordiniert: </w:t>
      </w:r>
      <w:r w:rsidRPr="0054771B">
        <w:rPr>
          <w:rFonts w:eastAsia="Times New Roman"/>
          <w:b/>
          <w:bCs/>
          <w:rtl/>
          <w:lang w:eastAsia="de-DE"/>
        </w:rPr>
        <w:t>הֵיטִיבוּ</w:t>
      </w:r>
      <w:r w:rsidRPr="0054771B">
        <w:rPr>
          <w:rFonts w:eastAsia="Times New Roman"/>
          <w:rtl/>
          <w:lang w:eastAsia="de-DE"/>
        </w:rPr>
        <w:t xml:space="preserve"> </w:t>
      </w:r>
      <w:r w:rsidRPr="0054771B">
        <w:rPr>
          <w:rFonts w:eastAsia="Times New Roman"/>
          <w:lang w:eastAsia="de-DE"/>
        </w:rPr>
        <w:t xml:space="preserve">als Hifil Perfekt, 3. Person Plural von </w:t>
      </w:r>
      <w:r w:rsidRPr="0054771B">
        <w:rPr>
          <w:rFonts w:eastAsia="Times New Roman"/>
          <w:b/>
          <w:bCs/>
          <w:rtl/>
          <w:lang w:eastAsia="de-DE"/>
        </w:rPr>
        <w:t>יטב</w:t>
      </w:r>
      <w:r w:rsidRPr="0054771B">
        <w:rPr>
          <w:rFonts w:eastAsia="Times New Roman"/>
          <w:rtl/>
          <w:lang w:eastAsia="de-DE"/>
        </w:rPr>
        <w:t xml:space="preserve"> </w:t>
      </w:r>
      <w:r w:rsidRPr="0054771B">
        <w:rPr>
          <w:rFonts w:eastAsia="Times New Roman"/>
          <w:lang w:eastAsia="de-DE"/>
        </w:rPr>
        <w:t xml:space="preserve">(„gut machen, gut reden, Gutes tun"), </w:t>
      </w:r>
      <w:r w:rsidRPr="0054771B">
        <w:rPr>
          <w:rFonts w:eastAsia="Times New Roman"/>
          <w:b/>
          <w:bCs/>
          <w:rtl/>
          <w:lang w:eastAsia="de-DE"/>
        </w:rPr>
        <w:t>כָּל־אֲשֶׁר דִּבֵּרוּ</w:t>
      </w:r>
      <w:r w:rsidRPr="0054771B">
        <w:rPr>
          <w:rFonts w:eastAsia="Times New Roman"/>
          <w:rtl/>
          <w:lang w:eastAsia="de-DE"/>
        </w:rPr>
        <w:t xml:space="preserve"> </w:t>
      </w:r>
      <w:r w:rsidRPr="0054771B">
        <w:rPr>
          <w:rFonts w:eastAsia="Times New Roman"/>
          <w:lang w:eastAsia="de-DE"/>
        </w:rPr>
        <w:t>als Objektsatz bzw. modale Bestimmung (</w:t>
      </w:r>
      <w:r w:rsidRPr="0054771B">
        <w:rPr>
          <w:rFonts w:eastAsia="Times New Roman"/>
          <w:b/>
          <w:bCs/>
          <w:rtl/>
          <w:lang w:eastAsia="de-DE"/>
        </w:rPr>
        <w:t>כָּל</w:t>
      </w:r>
      <w:r w:rsidRPr="0054771B">
        <w:rPr>
          <w:rFonts w:eastAsia="Times New Roman"/>
          <w:rtl/>
          <w:lang w:eastAsia="de-DE"/>
        </w:rPr>
        <w:t xml:space="preserve"> </w:t>
      </w:r>
      <w:r w:rsidRPr="0054771B">
        <w:rPr>
          <w:rFonts w:eastAsia="Times New Roman"/>
          <w:lang w:eastAsia="de-DE"/>
        </w:rPr>
        <w:t xml:space="preserve">im Construct mit Relativsatz: </w:t>
      </w:r>
      <w:r w:rsidRPr="0054771B">
        <w:rPr>
          <w:rFonts w:eastAsia="Times New Roman"/>
          <w:b/>
          <w:bCs/>
          <w:rtl/>
          <w:lang w:eastAsia="de-DE"/>
        </w:rPr>
        <w:t>אֲשֶׁר דִּבֵּרוּ</w:t>
      </w:r>
      <w:r w:rsidRPr="0054771B">
        <w:rPr>
          <w:rFonts w:eastAsia="Times New Roman"/>
          <w:rtl/>
          <w:lang w:eastAsia="de-DE"/>
        </w:rPr>
        <w:t xml:space="preserve"> </w:t>
      </w:r>
      <w:r w:rsidRPr="0054771B">
        <w:rPr>
          <w:rFonts w:eastAsia="Times New Roman"/>
          <w:lang w:eastAsia="de-DE"/>
        </w:rPr>
        <w:t xml:space="preserve">– Piel Perfekt, 3. Person Plural von </w:t>
      </w:r>
      <w:r w:rsidRPr="0054771B">
        <w:rPr>
          <w:rFonts w:eastAsia="Times New Roman"/>
          <w:b/>
          <w:bCs/>
          <w:rtl/>
          <w:lang w:eastAsia="de-DE"/>
        </w:rPr>
        <w:t>דבר</w:t>
      </w:r>
      <w:r w:rsidRPr="0054771B">
        <w:rPr>
          <w:rFonts w:eastAsia="Times New Roman"/>
          <w:rtl/>
          <w:lang w:eastAsia="de-DE"/>
        </w:rPr>
        <w:t xml:space="preserve"> </w:t>
      </w:r>
      <w:r w:rsidRPr="0054771B">
        <w:rPr>
          <w:rFonts w:eastAsia="Times New Roman"/>
          <w:lang w:eastAsia="de-DE"/>
        </w:rPr>
        <w:t>– „in allem, was sie geredet haben").</w:t>
      </w:r>
    </w:p>
    <w:p w14:paraId="613F868A"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 xml:space="preserve">Die göttliche Zustimmung zum Vorschlag des Volkes ist bemerkenswert. Die Formulierung </w:t>
      </w:r>
      <w:r w:rsidRPr="0054771B">
        <w:rPr>
          <w:rFonts w:eastAsia="Times New Roman"/>
          <w:b/>
          <w:bCs/>
          <w:rtl/>
          <w:lang w:eastAsia="de-DE"/>
        </w:rPr>
        <w:t>הֵיטִיבוּ כָּל־אֲשֶׁר דִּבֵּרוּ</w:t>
      </w:r>
      <w:r w:rsidRPr="0054771B">
        <w:rPr>
          <w:rFonts w:eastAsia="Times New Roman"/>
          <w:rtl/>
          <w:lang w:eastAsia="de-DE"/>
        </w:rPr>
        <w:t xml:space="preserve"> </w:t>
      </w:r>
      <w:r w:rsidRPr="0054771B">
        <w:rPr>
          <w:rFonts w:eastAsia="Times New Roman"/>
          <w:lang w:eastAsia="de-DE"/>
        </w:rPr>
        <w:t>(„sie haben gut geredet in allem, was sie geredet haben") ist eine emphatische Billigung. Dies legitimiert Moses Mittlerrolle und das System der vermittelten Offenbarung für die nachfolgende Gesetzgebung.</w:t>
      </w:r>
    </w:p>
    <w:p w14:paraId="5D194C4D"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Die Satzstruktur ist ein Hauptsatz mit Prädikat, Subjekt, direktem Objekt in Construct-Verbindung und temporaler Infinitivkonstruktion mit Suffix als Subjekt und indirektem Objekt, gefolgt von einem konsekutiven Verb mit Subjekt und indirektem Objekt zur Einleitung direkter Rede, die aus einem Perfekt-Satz mit direktem Objekt in mehrfacher Construct-Verbindung und Relativsatz besteht, sowie einem koordinierten Satz mit Hifil-Prädikat und modaler Bestimmung in Relativkonstruktion. Die Struktur unterstreicht JHWHs Zustimmung zum Mittlervorschlag.</w:t>
      </w:r>
    </w:p>
    <w:p w14:paraId="2E90FC97"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Der Vers berichtet JHWHs Reaktion: Er hörte den Vorschlag des Volkes und billigte ihn vollständig – Moses Mittlerrolle wird göttlich legitimiert.</w:t>
      </w:r>
    </w:p>
    <w:p w14:paraId="0B3705CD" w14:textId="77777777" w:rsidR="0054771B" w:rsidRPr="0054771B" w:rsidRDefault="0054771B" w:rsidP="0054771B">
      <w:pPr>
        <w:spacing w:before="100" w:beforeAutospacing="1" w:after="100" w:afterAutospacing="1" w:line="240" w:lineRule="auto"/>
        <w:outlineLvl w:val="1"/>
        <w:rPr>
          <w:rFonts w:eastAsia="Times New Roman"/>
          <w:b/>
          <w:bCs/>
          <w:sz w:val="36"/>
          <w:szCs w:val="36"/>
          <w:lang w:eastAsia="de-DE"/>
        </w:rPr>
      </w:pPr>
      <w:r w:rsidRPr="0054771B">
        <w:rPr>
          <w:rFonts w:eastAsia="Times New Roman"/>
          <w:b/>
          <w:bCs/>
          <w:sz w:val="36"/>
          <w:szCs w:val="36"/>
          <w:lang w:eastAsia="de-DE"/>
        </w:rPr>
        <w:t>Deuteronomium 5,29</w:t>
      </w:r>
    </w:p>
    <w:p w14:paraId="58E62DE3"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lastRenderedPageBreak/>
        <w:t>Hebräisch:</w:t>
      </w:r>
      <w:r w:rsidRPr="0054771B">
        <w:rPr>
          <w:rFonts w:eastAsia="Times New Roman"/>
          <w:lang w:eastAsia="de-DE"/>
        </w:rPr>
        <w:t xml:space="preserve"> </w:t>
      </w:r>
      <w:r w:rsidRPr="0054771B">
        <w:rPr>
          <w:rFonts w:eastAsia="Times New Roman"/>
          <w:rtl/>
          <w:lang w:eastAsia="de-DE"/>
        </w:rPr>
        <w:t>מִי־יִתֵּן וְהָיָה לְבָבָם זֶה לָהֶם לְיִרְאָה אֹתִי וְלִשְׁמֹר אֶת־כָּל־מִצְוֹתַי כָּל־הַיָּמִים לְמַעַן יִיטַב לָהֶם וְלִבְנֵיהֶם לְעֹלָם׃</w:t>
      </w:r>
    </w:p>
    <w:p w14:paraId="117B41F2"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Deutsch:</w:t>
      </w:r>
      <w:r w:rsidRPr="0054771B">
        <w:rPr>
          <w:rFonts w:eastAsia="Times New Roman"/>
          <w:lang w:eastAsia="de-DE"/>
        </w:rPr>
        <w:t xml:space="preserve"> Wer gäbe, dass dies ihr Herz ihnen wäre, mich zu fürchten und alle meine Gebote zu bewahren alle Tage, damit es ihnen und ihren Söhnen ewig wohl gehe!</w:t>
      </w:r>
    </w:p>
    <w:p w14:paraId="409DAAA5" w14:textId="77777777" w:rsidR="0054771B" w:rsidRPr="0054771B" w:rsidRDefault="004F5CEB" w:rsidP="0054771B">
      <w:pPr>
        <w:spacing w:after="0" w:line="240" w:lineRule="auto"/>
        <w:rPr>
          <w:rFonts w:eastAsia="Times New Roman"/>
          <w:lang w:eastAsia="de-DE"/>
        </w:rPr>
      </w:pPr>
      <w:r>
        <w:rPr>
          <w:rFonts w:eastAsia="Times New Roman"/>
          <w:noProof/>
          <w:lang w:eastAsia="de-DE"/>
        </w:rPr>
        <w:pict w14:anchorId="4E7849A1">
          <v:rect id="_x0000_i1214" style="width:0;height:1.5pt" o:hralign="center" o:hrstd="t" o:hr="t" fillcolor="#a0a0a0" stroked="f"/>
        </w:pict>
      </w:r>
    </w:p>
    <w:p w14:paraId="7BA84B96"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Kommentar:</w:t>
      </w:r>
      <w:r w:rsidRPr="0054771B">
        <w:rPr>
          <w:rFonts w:eastAsia="Times New Roman"/>
          <w:lang w:eastAsia="de-DE"/>
        </w:rPr>
        <w:t xml:space="preserve"> </w:t>
      </w:r>
      <w:r w:rsidRPr="0054771B">
        <w:rPr>
          <w:rFonts w:eastAsia="Times New Roman"/>
          <w:b/>
          <w:bCs/>
          <w:rtl/>
          <w:lang w:eastAsia="de-DE"/>
        </w:rPr>
        <w:t>מִי־יִתֵּן וְהָיָה לְבָבָם זֶה לָהֶם</w:t>
      </w:r>
      <w:r w:rsidRPr="0054771B">
        <w:rPr>
          <w:rFonts w:eastAsia="Times New Roman"/>
          <w:rtl/>
          <w:lang w:eastAsia="de-DE"/>
        </w:rPr>
        <w:t xml:space="preserve"> </w:t>
      </w:r>
      <w:r w:rsidRPr="0054771B">
        <w:rPr>
          <w:rFonts w:eastAsia="Times New Roman"/>
          <w:lang w:eastAsia="de-DE"/>
        </w:rPr>
        <w:t xml:space="preserve">ist ein Optativsatz: </w:t>
      </w:r>
      <w:r w:rsidRPr="0054771B">
        <w:rPr>
          <w:rFonts w:eastAsia="Times New Roman"/>
          <w:b/>
          <w:bCs/>
          <w:rtl/>
          <w:lang w:eastAsia="de-DE"/>
        </w:rPr>
        <w:t>מִי־יִתֵּן</w:t>
      </w:r>
      <w:r w:rsidRPr="0054771B">
        <w:rPr>
          <w:rFonts w:eastAsia="Times New Roman"/>
          <w:rtl/>
          <w:lang w:eastAsia="de-DE"/>
        </w:rPr>
        <w:t xml:space="preserve"> </w:t>
      </w:r>
      <w:r w:rsidRPr="0054771B">
        <w:rPr>
          <w:rFonts w:eastAsia="Times New Roman"/>
          <w:lang w:eastAsia="de-DE"/>
        </w:rPr>
        <w:t>als optative Formel (</w:t>
      </w:r>
      <w:r w:rsidRPr="0054771B">
        <w:rPr>
          <w:rFonts w:eastAsia="Times New Roman"/>
          <w:b/>
          <w:bCs/>
          <w:rtl/>
          <w:lang w:eastAsia="de-DE"/>
        </w:rPr>
        <w:t>מִי</w:t>
      </w:r>
      <w:r w:rsidRPr="0054771B">
        <w:rPr>
          <w:rFonts w:eastAsia="Times New Roman"/>
          <w:lang w:eastAsia="de-DE"/>
        </w:rPr>
        <w:t xml:space="preserve">, „wer", mit </w:t>
      </w:r>
      <w:r w:rsidRPr="0054771B">
        <w:rPr>
          <w:rFonts w:eastAsia="Times New Roman"/>
          <w:b/>
          <w:bCs/>
          <w:rtl/>
          <w:lang w:eastAsia="de-DE"/>
        </w:rPr>
        <w:t>יִתֵּן</w:t>
      </w:r>
      <w:r w:rsidRPr="0054771B">
        <w:rPr>
          <w:rFonts w:eastAsia="Times New Roman"/>
          <w:lang w:eastAsia="de-DE"/>
        </w:rPr>
        <w:t xml:space="preserve">, Qal Imperfekt, 3. Person Singular maskulin von </w:t>
      </w:r>
      <w:r w:rsidRPr="0054771B">
        <w:rPr>
          <w:rFonts w:eastAsia="Times New Roman"/>
          <w:b/>
          <w:bCs/>
          <w:rtl/>
          <w:lang w:eastAsia="de-DE"/>
        </w:rPr>
        <w:t>נתן</w:t>
      </w:r>
      <w:r w:rsidRPr="0054771B">
        <w:rPr>
          <w:rFonts w:eastAsia="Times New Roman"/>
          <w:lang w:eastAsia="de-DE"/>
        </w:rPr>
        <w:t xml:space="preserve">, „geben" – „wer gäbe, o dass doch"), </w:t>
      </w:r>
      <w:r w:rsidRPr="0054771B">
        <w:rPr>
          <w:rFonts w:eastAsia="Times New Roman"/>
          <w:b/>
          <w:bCs/>
          <w:rtl/>
          <w:lang w:eastAsia="de-DE"/>
        </w:rPr>
        <w:t>וְהָיָה לְבָבָם זֶה לָהֶם</w:t>
      </w:r>
      <w:r w:rsidRPr="0054771B">
        <w:rPr>
          <w:rFonts w:eastAsia="Times New Roman"/>
          <w:rtl/>
          <w:lang w:eastAsia="de-DE"/>
        </w:rPr>
        <w:t xml:space="preserve"> </w:t>
      </w:r>
      <w:r w:rsidRPr="0054771B">
        <w:rPr>
          <w:rFonts w:eastAsia="Times New Roman"/>
          <w:lang w:eastAsia="de-DE"/>
        </w:rPr>
        <w:t xml:space="preserve">als </w:t>
      </w:r>
      <w:r w:rsidRPr="0054771B">
        <w:rPr>
          <w:rFonts w:eastAsia="Times New Roman"/>
          <w:b/>
          <w:bCs/>
          <w:rtl/>
          <w:lang w:eastAsia="de-DE"/>
        </w:rPr>
        <w:t>וְ</w:t>
      </w:r>
      <w:r w:rsidRPr="0054771B">
        <w:rPr>
          <w:rFonts w:eastAsia="Times New Roman"/>
          <w:lang w:eastAsia="de-DE"/>
        </w:rPr>
        <w:t xml:space="preserve">-Satz mit Qal Perfekt, 3. Person Singular maskulin von </w:t>
      </w:r>
      <w:r w:rsidRPr="0054771B">
        <w:rPr>
          <w:rFonts w:eastAsia="Times New Roman"/>
          <w:b/>
          <w:bCs/>
          <w:rtl/>
          <w:lang w:eastAsia="de-DE"/>
        </w:rPr>
        <w:t>היה</w:t>
      </w:r>
      <w:r w:rsidRPr="0054771B">
        <w:rPr>
          <w:rFonts w:eastAsia="Times New Roman"/>
          <w:lang w:eastAsia="de-DE"/>
        </w:rPr>
        <w:t xml:space="preserve">, </w:t>
      </w:r>
      <w:r w:rsidRPr="0054771B">
        <w:rPr>
          <w:rFonts w:eastAsia="Times New Roman"/>
          <w:b/>
          <w:bCs/>
          <w:rtl/>
          <w:lang w:eastAsia="de-DE"/>
        </w:rPr>
        <w:t>לְבָבָם זֶה</w:t>
      </w:r>
      <w:r w:rsidRPr="0054771B">
        <w:rPr>
          <w:rFonts w:eastAsia="Times New Roman"/>
          <w:rtl/>
          <w:lang w:eastAsia="de-DE"/>
        </w:rPr>
        <w:t xml:space="preserve"> </w:t>
      </w:r>
      <w:r w:rsidRPr="0054771B">
        <w:rPr>
          <w:rFonts w:eastAsia="Times New Roman"/>
          <w:lang w:eastAsia="de-DE"/>
        </w:rPr>
        <w:t>als Subjekt (</w:t>
      </w:r>
      <w:r w:rsidRPr="0054771B">
        <w:rPr>
          <w:rFonts w:eastAsia="Times New Roman"/>
          <w:b/>
          <w:bCs/>
          <w:rtl/>
          <w:lang w:eastAsia="de-DE"/>
        </w:rPr>
        <w:t>לֵבָב</w:t>
      </w:r>
      <w:r w:rsidRPr="0054771B">
        <w:rPr>
          <w:rFonts w:eastAsia="Times New Roman"/>
          <w:lang w:eastAsia="de-DE"/>
        </w:rPr>
        <w:t xml:space="preserve">, „Herz", mit Suffix 3. Person Plural maskulin und Demonstrativpronomen </w:t>
      </w:r>
      <w:r w:rsidRPr="0054771B">
        <w:rPr>
          <w:rFonts w:eastAsia="Times New Roman"/>
          <w:b/>
          <w:bCs/>
          <w:rtl/>
          <w:lang w:eastAsia="de-DE"/>
        </w:rPr>
        <w:t>זֶה</w:t>
      </w:r>
      <w:r w:rsidRPr="0054771B">
        <w:rPr>
          <w:rFonts w:eastAsia="Times New Roman"/>
          <w:rtl/>
          <w:lang w:eastAsia="de-DE"/>
        </w:rPr>
        <w:t xml:space="preserve"> </w:t>
      </w:r>
      <w:r w:rsidRPr="0054771B">
        <w:rPr>
          <w:rFonts w:eastAsia="Times New Roman"/>
          <w:lang w:eastAsia="de-DE"/>
        </w:rPr>
        <w:t xml:space="preserve">– „dieses ihr Herz"), </w:t>
      </w:r>
      <w:r w:rsidRPr="0054771B">
        <w:rPr>
          <w:rFonts w:eastAsia="Times New Roman"/>
          <w:b/>
          <w:bCs/>
          <w:rtl/>
          <w:lang w:eastAsia="de-DE"/>
        </w:rPr>
        <w:t>לָהֶם</w:t>
      </w:r>
      <w:r w:rsidRPr="0054771B">
        <w:rPr>
          <w:rFonts w:eastAsia="Times New Roman"/>
          <w:rtl/>
          <w:lang w:eastAsia="de-DE"/>
        </w:rPr>
        <w:t xml:space="preserve"> </w:t>
      </w:r>
      <w:r w:rsidRPr="0054771B">
        <w:rPr>
          <w:rFonts w:eastAsia="Times New Roman"/>
          <w:lang w:eastAsia="de-DE"/>
        </w:rPr>
        <w:t>als Dativ („für sie, ihnen").</w:t>
      </w:r>
    </w:p>
    <w:p w14:paraId="0268BCEC"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rtl/>
          <w:lang w:eastAsia="de-DE"/>
        </w:rPr>
        <w:t>לְיִרְאָה אֹתִי וְלִשְׁמֹר אֶת־כָּל־מִצְוֹתַי כָּל־הַיָּמִים</w:t>
      </w:r>
      <w:r w:rsidRPr="0054771B">
        <w:rPr>
          <w:rFonts w:eastAsia="Times New Roman"/>
          <w:rtl/>
          <w:lang w:eastAsia="de-DE"/>
        </w:rPr>
        <w:t xml:space="preserve"> </w:t>
      </w:r>
      <w:r w:rsidRPr="0054771B">
        <w:rPr>
          <w:rFonts w:eastAsia="Times New Roman"/>
          <w:lang w:eastAsia="de-DE"/>
        </w:rPr>
        <w:t xml:space="preserve">ist eine zweigliedrige finale Infinitivkonstruktion: </w:t>
      </w:r>
      <w:r w:rsidRPr="0054771B">
        <w:rPr>
          <w:rFonts w:eastAsia="Times New Roman"/>
          <w:b/>
          <w:bCs/>
          <w:rtl/>
          <w:lang w:eastAsia="de-DE"/>
        </w:rPr>
        <w:t>לְיִרְאָה אֹתִי</w:t>
      </w:r>
      <w:r w:rsidRPr="0054771B">
        <w:rPr>
          <w:rFonts w:eastAsia="Times New Roman"/>
          <w:rtl/>
          <w:lang w:eastAsia="de-DE"/>
        </w:rPr>
        <w:t xml:space="preserve"> </w:t>
      </w:r>
      <w:r w:rsidRPr="0054771B">
        <w:rPr>
          <w:rFonts w:eastAsia="Times New Roman"/>
          <w:lang w:eastAsia="de-DE"/>
        </w:rPr>
        <w:t xml:space="preserve">(Qal Infinitiv Construct von </w:t>
      </w:r>
      <w:r w:rsidRPr="0054771B">
        <w:rPr>
          <w:rFonts w:eastAsia="Times New Roman"/>
          <w:b/>
          <w:bCs/>
          <w:rtl/>
          <w:lang w:eastAsia="de-DE"/>
        </w:rPr>
        <w:t>ירא</w:t>
      </w:r>
      <w:r w:rsidRPr="0054771B">
        <w:rPr>
          <w:rFonts w:eastAsia="Times New Roman"/>
          <w:lang w:eastAsia="de-DE"/>
        </w:rPr>
        <w:t xml:space="preserve">, „fürchten", mit </w:t>
      </w:r>
      <w:r w:rsidRPr="0054771B">
        <w:rPr>
          <w:rFonts w:eastAsia="Times New Roman"/>
          <w:b/>
          <w:bCs/>
          <w:rtl/>
          <w:lang w:eastAsia="de-DE"/>
        </w:rPr>
        <w:t>לְ</w:t>
      </w:r>
      <w:r w:rsidRPr="0054771B">
        <w:rPr>
          <w:rFonts w:eastAsia="Times New Roman"/>
          <w:rtl/>
          <w:lang w:eastAsia="de-DE"/>
        </w:rPr>
        <w:t xml:space="preserve"> </w:t>
      </w:r>
      <w:r w:rsidRPr="0054771B">
        <w:rPr>
          <w:rFonts w:eastAsia="Times New Roman"/>
          <w:lang w:eastAsia="de-DE"/>
        </w:rPr>
        <w:t xml:space="preserve">und </w:t>
      </w:r>
      <w:r w:rsidRPr="0054771B">
        <w:rPr>
          <w:rFonts w:eastAsia="Times New Roman"/>
          <w:b/>
          <w:bCs/>
          <w:rtl/>
          <w:lang w:eastAsia="de-DE"/>
        </w:rPr>
        <w:t>אֹתִי</w:t>
      </w:r>
      <w:r w:rsidRPr="0054771B">
        <w:rPr>
          <w:rFonts w:eastAsia="Times New Roman"/>
          <w:rtl/>
          <w:lang w:eastAsia="de-DE"/>
        </w:rPr>
        <w:t xml:space="preserve"> </w:t>
      </w:r>
      <w:r w:rsidRPr="0054771B">
        <w:rPr>
          <w:rFonts w:eastAsia="Times New Roman"/>
          <w:lang w:eastAsia="de-DE"/>
        </w:rPr>
        <w:t xml:space="preserve">als direktes Objekt – „mich zu fürchten"), </w:t>
      </w:r>
      <w:r w:rsidRPr="0054771B">
        <w:rPr>
          <w:rFonts w:eastAsia="Times New Roman"/>
          <w:b/>
          <w:bCs/>
          <w:rtl/>
          <w:lang w:eastAsia="de-DE"/>
        </w:rPr>
        <w:t>וְלִשְׁמֹר אֶת־כָּל־מִצְוֹתַי</w:t>
      </w:r>
      <w:r w:rsidRPr="0054771B">
        <w:rPr>
          <w:rFonts w:eastAsia="Times New Roman"/>
          <w:rtl/>
          <w:lang w:eastAsia="de-DE"/>
        </w:rPr>
        <w:t xml:space="preserve"> </w:t>
      </w:r>
      <w:r w:rsidRPr="0054771B">
        <w:rPr>
          <w:rFonts w:eastAsia="Times New Roman"/>
          <w:lang w:eastAsia="de-DE"/>
        </w:rPr>
        <w:t xml:space="preserve">koordiniert (Qal Infinitiv Construct von </w:t>
      </w:r>
      <w:r w:rsidRPr="0054771B">
        <w:rPr>
          <w:rFonts w:eastAsia="Times New Roman"/>
          <w:b/>
          <w:bCs/>
          <w:rtl/>
          <w:lang w:eastAsia="de-DE"/>
        </w:rPr>
        <w:t>שׁמר</w:t>
      </w:r>
      <w:r w:rsidRPr="0054771B">
        <w:rPr>
          <w:rFonts w:eastAsia="Times New Roman"/>
          <w:rtl/>
          <w:lang w:eastAsia="de-DE"/>
        </w:rPr>
        <w:t xml:space="preserve"> </w:t>
      </w:r>
      <w:r w:rsidRPr="0054771B">
        <w:rPr>
          <w:rFonts w:eastAsia="Times New Roman"/>
          <w:lang w:eastAsia="de-DE"/>
        </w:rPr>
        <w:t xml:space="preserve">mit </w:t>
      </w:r>
      <w:r w:rsidRPr="0054771B">
        <w:rPr>
          <w:rFonts w:eastAsia="Times New Roman"/>
          <w:b/>
          <w:bCs/>
          <w:rtl/>
          <w:lang w:eastAsia="de-DE"/>
        </w:rPr>
        <w:t>לְ</w:t>
      </w:r>
      <w:r w:rsidRPr="0054771B">
        <w:rPr>
          <w:rFonts w:eastAsia="Times New Roman"/>
          <w:rtl/>
          <w:lang w:eastAsia="de-DE"/>
        </w:rPr>
        <w:t xml:space="preserve"> </w:t>
      </w:r>
      <w:r w:rsidRPr="0054771B">
        <w:rPr>
          <w:rFonts w:eastAsia="Times New Roman"/>
          <w:lang w:eastAsia="de-DE"/>
        </w:rPr>
        <w:t xml:space="preserve">und direktem Objekt: </w:t>
      </w:r>
      <w:r w:rsidRPr="0054771B">
        <w:rPr>
          <w:rFonts w:eastAsia="Times New Roman"/>
          <w:b/>
          <w:bCs/>
          <w:rtl/>
          <w:lang w:eastAsia="de-DE"/>
        </w:rPr>
        <w:t>כָּל</w:t>
      </w:r>
      <w:r w:rsidRPr="0054771B">
        <w:rPr>
          <w:rFonts w:eastAsia="Times New Roman"/>
          <w:rtl/>
          <w:lang w:eastAsia="de-DE"/>
        </w:rPr>
        <w:t xml:space="preserve"> </w:t>
      </w:r>
      <w:r w:rsidRPr="0054771B">
        <w:rPr>
          <w:rFonts w:eastAsia="Times New Roman"/>
          <w:lang w:eastAsia="de-DE"/>
        </w:rPr>
        <w:t xml:space="preserve">im Construct mit </w:t>
      </w:r>
      <w:r w:rsidRPr="0054771B">
        <w:rPr>
          <w:rFonts w:eastAsia="Times New Roman"/>
          <w:b/>
          <w:bCs/>
          <w:rtl/>
          <w:lang w:eastAsia="de-DE"/>
        </w:rPr>
        <w:t>מִצְוָה</w:t>
      </w:r>
      <w:r w:rsidRPr="0054771B">
        <w:rPr>
          <w:rFonts w:eastAsia="Times New Roman"/>
          <w:lang w:eastAsia="de-DE"/>
        </w:rPr>
        <w:t xml:space="preserve">, „Gebot", Plural und Suffix 1. Person Singular), </w:t>
      </w:r>
      <w:r w:rsidRPr="0054771B">
        <w:rPr>
          <w:rFonts w:eastAsia="Times New Roman"/>
          <w:b/>
          <w:bCs/>
          <w:rtl/>
          <w:lang w:eastAsia="de-DE"/>
        </w:rPr>
        <w:t>כָּל־הַיָּמִים</w:t>
      </w:r>
      <w:r w:rsidRPr="0054771B">
        <w:rPr>
          <w:rFonts w:eastAsia="Times New Roman"/>
          <w:rtl/>
          <w:lang w:eastAsia="de-DE"/>
        </w:rPr>
        <w:t xml:space="preserve"> </w:t>
      </w:r>
      <w:r w:rsidRPr="0054771B">
        <w:rPr>
          <w:rFonts w:eastAsia="Times New Roman"/>
          <w:lang w:eastAsia="de-DE"/>
        </w:rPr>
        <w:t>als temporale Bestimmung (</w:t>
      </w:r>
      <w:r w:rsidRPr="0054771B">
        <w:rPr>
          <w:rFonts w:eastAsia="Times New Roman"/>
          <w:b/>
          <w:bCs/>
          <w:rtl/>
          <w:lang w:eastAsia="de-DE"/>
        </w:rPr>
        <w:t>כָּל</w:t>
      </w:r>
      <w:r w:rsidRPr="0054771B">
        <w:rPr>
          <w:rFonts w:eastAsia="Times New Roman"/>
          <w:rtl/>
          <w:lang w:eastAsia="de-DE"/>
        </w:rPr>
        <w:t xml:space="preserve"> </w:t>
      </w:r>
      <w:r w:rsidRPr="0054771B">
        <w:rPr>
          <w:rFonts w:eastAsia="Times New Roman"/>
          <w:lang w:eastAsia="de-DE"/>
        </w:rPr>
        <w:t xml:space="preserve">im Construct mit </w:t>
      </w:r>
      <w:r w:rsidRPr="0054771B">
        <w:rPr>
          <w:rFonts w:eastAsia="Times New Roman"/>
          <w:b/>
          <w:bCs/>
          <w:rtl/>
          <w:lang w:eastAsia="de-DE"/>
        </w:rPr>
        <w:t>הַיָּמִים</w:t>
      </w:r>
      <w:r w:rsidRPr="0054771B">
        <w:rPr>
          <w:rFonts w:eastAsia="Times New Roman"/>
          <w:rtl/>
          <w:lang w:eastAsia="de-DE"/>
        </w:rPr>
        <w:t xml:space="preserve"> </w:t>
      </w:r>
      <w:r w:rsidRPr="0054771B">
        <w:rPr>
          <w:rFonts w:eastAsia="Times New Roman"/>
          <w:lang w:eastAsia="de-DE"/>
        </w:rPr>
        <w:t>– „alle Tage, immer").</w:t>
      </w:r>
    </w:p>
    <w:p w14:paraId="07244DEE"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rtl/>
          <w:lang w:eastAsia="de-DE"/>
        </w:rPr>
        <w:t>לְמַעַן יִיטַב לָהֶם וְלִבְנֵיהֶם לְעֹלָם</w:t>
      </w:r>
      <w:r w:rsidRPr="0054771B">
        <w:rPr>
          <w:rFonts w:eastAsia="Times New Roman"/>
          <w:rtl/>
          <w:lang w:eastAsia="de-DE"/>
        </w:rPr>
        <w:t xml:space="preserve"> </w:t>
      </w:r>
      <w:r w:rsidRPr="0054771B">
        <w:rPr>
          <w:rFonts w:eastAsia="Times New Roman"/>
          <w:lang w:eastAsia="de-DE"/>
        </w:rPr>
        <w:t xml:space="preserve">ist eine weitere finale Konstruktion: </w:t>
      </w:r>
      <w:r w:rsidRPr="0054771B">
        <w:rPr>
          <w:rFonts w:eastAsia="Times New Roman"/>
          <w:b/>
          <w:bCs/>
          <w:rtl/>
          <w:lang w:eastAsia="de-DE"/>
        </w:rPr>
        <w:t>לְמַעַן</w:t>
      </w:r>
      <w:r w:rsidRPr="0054771B">
        <w:rPr>
          <w:rFonts w:eastAsia="Times New Roman"/>
          <w:rtl/>
          <w:lang w:eastAsia="de-DE"/>
        </w:rPr>
        <w:t xml:space="preserve"> </w:t>
      </w:r>
      <w:r w:rsidRPr="0054771B">
        <w:rPr>
          <w:rFonts w:eastAsia="Times New Roman"/>
          <w:lang w:eastAsia="de-DE"/>
        </w:rPr>
        <w:t xml:space="preserve">(„damit"), </w:t>
      </w:r>
      <w:r w:rsidRPr="0054771B">
        <w:rPr>
          <w:rFonts w:eastAsia="Times New Roman"/>
          <w:b/>
          <w:bCs/>
          <w:rtl/>
          <w:lang w:eastAsia="de-DE"/>
        </w:rPr>
        <w:t>יִיטַב</w:t>
      </w:r>
      <w:r w:rsidRPr="0054771B">
        <w:rPr>
          <w:rFonts w:eastAsia="Times New Roman"/>
          <w:rtl/>
          <w:lang w:eastAsia="de-DE"/>
        </w:rPr>
        <w:t xml:space="preserve"> </w:t>
      </w:r>
      <w:r w:rsidRPr="0054771B">
        <w:rPr>
          <w:rFonts w:eastAsia="Times New Roman"/>
          <w:lang w:eastAsia="de-DE"/>
        </w:rPr>
        <w:t xml:space="preserve">als Qal Imperfekt, 3. Person Singular maskulin von </w:t>
      </w:r>
      <w:r w:rsidRPr="0054771B">
        <w:rPr>
          <w:rFonts w:eastAsia="Times New Roman"/>
          <w:b/>
          <w:bCs/>
          <w:rtl/>
          <w:lang w:eastAsia="de-DE"/>
        </w:rPr>
        <w:t>יטב</w:t>
      </w:r>
      <w:r w:rsidRPr="0054771B">
        <w:rPr>
          <w:rFonts w:eastAsia="Times New Roman"/>
          <w:lang w:eastAsia="de-DE"/>
        </w:rPr>
        <w:t xml:space="preserve">, </w:t>
      </w:r>
      <w:r w:rsidRPr="0054771B">
        <w:rPr>
          <w:rFonts w:eastAsia="Times New Roman"/>
          <w:b/>
          <w:bCs/>
          <w:rtl/>
          <w:lang w:eastAsia="de-DE"/>
        </w:rPr>
        <w:t>לָהֶם וְלִבְנֵיהֶם</w:t>
      </w:r>
      <w:r w:rsidRPr="0054771B">
        <w:rPr>
          <w:rFonts w:eastAsia="Times New Roman"/>
          <w:rtl/>
          <w:lang w:eastAsia="de-DE"/>
        </w:rPr>
        <w:t xml:space="preserve"> </w:t>
      </w:r>
      <w:r w:rsidRPr="0054771B">
        <w:rPr>
          <w:rFonts w:eastAsia="Times New Roman"/>
          <w:lang w:eastAsia="de-DE"/>
        </w:rPr>
        <w:t>als zweigliedrige koordinierte Dativangabe (</w:t>
      </w:r>
      <w:r w:rsidRPr="0054771B">
        <w:rPr>
          <w:rFonts w:eastAsia="Times New Roman"/>
          <w:b/>
          <w:bCs/>
          <w:rtl/>
          <w:lang w:eastAsia="de-DE"/>
        </w:rPr>
        <w:t>לָהֶם</w:t>
      </w:r>
      <w:r w:rsidRPr="0054771B">
        <w:rPr>
          <w:rFonts w:eastAsia="Times New Roman"/>
          <w:rtl/>
          <w:lang w:eastAsia="de-DE"/>
        </w:rPr>
        <w:t xml:space="preserve"> </w:t>
      </w:r>
      <w:r w:rsidRPr="0054771B">
        <w:rPr>
          <w:rFonts w:eastAsia="Times New Roman"/>
          <w:lang w:eastAsia="de-DE"/>
        </w:rPr>
        <w:t xml:space="preserve">und </w:t>
      </w:r>
      <w:r w:rsidRPr="0054771B">
        <w:rPr>
          <w:rFonts w:eastAsia="Times New Roman"/>
          <w:b/>
          <w:bCs/>
          <w:rtl/>
          <w:lang w:eastAsia="de-DE"/>
        </w:rPr>
        <w:t>לְ</w:t>
      </w:r>
      <w:r w:rsidRPr="0054771B">
        <w:rPr>
          <w:rFonts w:eastAsia="Times New Roman"/>
          <w:rtl/>
          <w:lang w:eastAsia="de-DE"/>
        </w:rPr>
        <w:t xml:space="preserve"> </w:t>
      </w:r>
      <w:r w:rsidRPr="0054771B">
        <w:rPr>
          <w:rFonts w:eastAsia="Times New Roman"/>
          <w:lang w:eastAsia="de-DE"/>
        </w:rPr>
        <w:t xml:space="preserve">mit </w:t>
      </w:r>
      <w:r w:rsidRPr="0054771B">
        <w:rPr>
          <w:rFonts w:eastAsia="Times New Roman"/>
          <w:b/>
          <w:bCs/>
          <w:rtl/>
          <w:lang w:eastAsia="de-DE"/>
        </w:rPr>
        <w:t>בָּנִים</w:t>
      </w:r>
      <w:r w:rsidRPr="0054771B">
        <w:rPr>
          <w:rFonts w:eastAsia="Times New Roman"/>
          <w:lang w:eastAsia="de-DE"/>
        </w:rPr>
        <w:t xml:space="preserve">, Plural, und Suffix 3. Person Plural maskulin), </w:t>
      </w:r>
      <w:r w:rsidRPr="0054771B">
        <w:rPr>
          <w:rFonts w:eastAsia="Times New Roman"/>
          <w:b/>
          <w:bCs/>
          <w:rtl/>
          <w:lang w:eastAsia="de-DE"/>
        </w:rPr>
        <w:t>לְעֹלָם</w:t>
      </w:r>
      <w:r w:rsidRPr="0054771B">
        <w:rPr>
          <w:rFonts w:eastAsia="Times New Roman"/>
          <w:rtl/>
          <w:lang w:eastAsia="de-DE"/>
        </w:rPr>
        <w:t xml:space="preserve"> </w:t>
      </w:r>
      <w:r w:rsidRPr="0054771B">
        <w:rPr>
          <w:rFonts w:eastAsia="Times New Roman"/>
          <w:lang w:eastAsia="de-DE"/>
        </w:rPr>
        <w:t>als temporale Bestimmung (</w:t>
      </w:r>
      <w:r w:rsidRPr="0054771B">
        <w:rPr>
          <w:rFonts w:eastAsia="Times New Roman"/>
          <w:b/>
          <w:bCs/>
          <w:rtl/>
          <w:lang w:eastAsia="de-DE"/>
        </w:rPr>
        <w:t>עוֹלָם</w:t>
      </w:r>
      <w:r w:rsidRPr="0054771B">
        <w:rPr>
          <w:rFonts w:eastAsia="Times New Roman"/>
          <w:lang w:eastAsia="de-DE"/>
        </w:rPr>
        <w:t>, „Ewigkeit, Dauer" – „für immer, ewig").</w:t>
      </w:r>
    </w:p>
    <w:p w14:paraId="16CE4CAD"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 xml:space="preserve">Die optative Formel </w:t>
      </w:r>
      <w:r w:rsidRPr="0054771B">
        <w:rPr>
          <w:rFonts w:eastAsia="Times New Roman"/>
          <w:b/>
          <w:bCs/>
          <w:rtl/>
          <w:lang w:eastAsia="de-DE"/>
        </w:rPr>
        <w:t>מִי־יִתֵּן</w:t>
      </w:r>
      <w:r w:rsidRPr="0054771B">
        <w:rPr>
          <w:rFonts w:eastAsia="Times New Roman"/>
          <w:rtl/>
          <w:lang w:eastAsia="de-DE"/>
        </w:rPr>
        <w:t xml:space="preserve"> </w:t>
      </w:r>
      <w:r w:rsidRPr="0054771B">
        <w:rPr>
          <w:rFonts w:eastAsia="Times New Roman"/>
          <w:lang w:eastAsia="de-DE"/>
        </w:rPr>
        <w:t xml:space="preserve">(wörtlich „wer gäbe") drückt einen innigen, aber unerfüllbaren Wunsch aus. Dies ist eine der bewegendsten Aussagen im Alten Testament: JHWH wünscht sich Israels beständige Treue, weiß aber um die menschliche Schwäche. Die Formulierung </w:t>
      </w:r>
      <w:r w:rsidRPr="0054771B">
        <w:rPr>
          <w:rFonts w:eastAsia="Times New Roman"/>
          <w:b/>
          <w:bCs/>
          <w:rtl/>
          <w:lang w:eastAsia="de-DE"/>
        </w:rPr>
        <w:t>לְבָבָם זֶה</w:t>
      </w:r>
      <w:r w:rsidRPr="0054771B">
        <w:rPr>
          <w:rFonts w:eastAsia="Times New Roman"/>
          <w:rtl/>
          <w:lang w:eastAsia="de-DE"/>
        </w:rPr>
        <w:t xml:space="preserve"> </w:t>
      </w:r>
      <w:r w:rsidRPr="0054771B">
        <w:rPr>
          <w:rFonts w:eastAsia="Times New Roman"/>
          <w:lang w:eastAsia="de-DE"/>
        </w:rPr>
        <w:t>(„dieses ihr Herz") bezieht sich auf die gegenwärtige Haltung des Volkes – ihre Furcht und Gehorsamsbereitschaft. Der Wunsch ist, dass diese Haltung dauerhaft würde.</w:t>
      </w:r>
    </w:p>
    <w:p w14:paraId="03604F93"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 xml:space="preserve">Die Satzstruktur ist eine optative Formel mit </w:t>
      </w:r>
      <w:r w:rsidRPr="0054771B">
        <w:rPr>
          <w:rFonts w:eastAsia="Times New Roman"/>
          <w:b/>
          <w:bCs/>
          <w:rtl/>
          <w:lang w:eastAsia="de-DE"/>
        </w:rPr>
        <w:t>וְ</w:t>
      </w:r>
      <w:r w:rsidRPr="0054771B">
        <w:rPr>
          <w:rFonts w:eastAsia="Times New Roman"/>
          <w:lang w:eastAsia="de-DE"/>
        </w:rPr>
        <w:t>-Satz (Prädikat, Subjekt mit Demonstrativpronomen und Suffix, Dativ), gefolgt von einer zweigliedrigen finalen Infinitivkonstruktion (beide mit direktem Objekt, die zweite mit temporaler Bestimmung) und einer weiteren finalen Konstruktion mit Prädikat, zweigliedriger koordinierter Dativangabe und temporaler Bestimmung. Die verschachtelte Struktur der finalen Konstruktionen zeigt die Kausalkette: beständige Gottesfurcht → Gebotstreue → ewiges Wohlergehen.</w:t>
      </w:r>
    </w:p>
    <w:p w14:paraId="20D9709D"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Der Vers drückt JHWHs sehnlichen Wunsch aus: O dass doch Israel beständig diese Haltung der Gottesfurcht und des Gehorsams bewahren würde, damit es ihnen und ihren Nachkommen ewig wohlergehe – ein bewegender Ausdruck göttlicher Sehnsucht nach dauerhafter Bundesbeziehung.</w:t>
      </w:r>
    </w:p>
    <w:p w14:paraId="50C20DB0" w14:textId="77777777" w:rsidR="0054771B" w:rsidRPr="0054771B" w:rsidRDefault="0054771B" w:rsidP="0054771B">
      <w:pPr>
        <w:spacing w:before="100" w:beforeAutospacing="1" w:after="100" w:afterAutospacing="1" w:line="240" w:lineRule="auto"/>
        <w:outlineLvl w:val="1"/>
        <w:rPr>
          <w:rFonts w:eastAsia="Times New Roman"/>
          <w:b/>
          <w:bCs/>
          <w:sz w:val="36"/>
          <w:szCs w:val="36"/>
          <w:lang w:eastAsia="de-DE"/>
        </w:rPr>
      </w:pPr>
      <w:r w:rsidRPr="0054771B">
        <w:rPr>
          <w:rFonts w:eastAsia="Times New Roman"/>
          <w:b/>
          <w:bCs/>
          <w:sz w:val="36"/>
          <w:szCs w:val="36"/>
          <w:lang w:eastAsia="de-DE"/>
        </w:rPr>
        <w:t>Deuteronomium 5,30</w:t>
      </w:r>
    </w:p>
    <w:p w14:paraId="3F94088B"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Hebräisch:</w:t>
      </w:r>
      <w:r w:rsidRPr="0054771B">
        <w:rPr>
          <w:rFonts w:eastAsia="Times New Roman"/>
          <w:lang w:eastAsia="de-DE"/>
        </w:rPr>
        <w:t xml:space="preserve"> </w:t>
      </w:r>
      <w:r w:rsidRPr="0054771B">
        <w:rPr>
          <w:rFonts w:eastAsia="Times New Roman"/>
          <w:rtl/>
          <w:lang w:eastAsia="de-DE"/>
        </w:rPr>
        <w:t>לֵךְ אֱמֹר לָהֶם שׁוּבוּ לָכֶם לְאָהֳלֵיכֶם׃</w:t>
      </w:r>
    </w:p>
    <w:p w14:paraId="2D18985C"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lastRenderedPageBreak/>
        <w:t>Deutsch:</w:t>
      </w:r>
      <w:r w:rsidRPr="0054771B">
        <w:rPr>
          <w:rFonts w:eastAsia="Times New Roman"/>
          <w:lang w:eastAsia="de-DE"/>
        </w:rPr>
        <w:t xml:space="preserve"> Geh, sprich zu ihnen: Kehrt zurück zu euren Zelten!</w:t>
      </w:r>
    </w:p>
    <w:p w14:paraId="2399CF6D" w14:textId="77777777" w:rsidR="0054771B" w:rsidRPr="0054771B" w:rsidRDefault="004F5CEB" w:rsidP="0054771B">
      <w:pPr>
        <w:spacing w:after="0" w:line="240" w:lineRule="auto"/>
        <w:rPr>
          <w:rFonts w:eastAsia="Times New Roman"/>
          <w:lang w:eastAsia="de-DE"/>
        </w:rPr>
      </w:pPr>
      <w:r>
        <w:rPr>
          <w:rFonts w:eastAsia="Times New Roman"/>
          <w:noProof/>
          <w:lang w:eastAsia="de-DE"/>
        </w:rPr>
        <w:pict w14:anchorId="77AD7BBA">
          <v:rect id="_x0000_i1215" style="width:0;height:1.5pt" o:hralign="center" o:hrstd="t" o:hr="t" fillcolor="#a0a0a0" stroked="f"/>
        </w:pict>
      </w:r>
    </w:p>
    <w:p w14:paraId="5EB73F72"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Kommentar:</w:t>
      </w:r>
      <w:r w:rsidRPr="0054771B">
        <w:rPr>
          <w:rFonts w:eastAsia="Times New Roman"/>
          <w:lang w:eastAsia="de-DE"/>
        </w:rPr>
        <w:t xml:space="preserve"> </w:t>
      </w:r>
      <w:r w:rsidRPr="0054771B">
        <w:rPr>
          <w:rFonts w:eastAsia="Times New Roman"/>
          <w:b/>
          <w:bCs/>
          <w:rtl/>
          <w:lang w:eastAsia="de-DE"/>
        </w:rPr>
        <w:t>לֵךְ אֱמֹר לָהֶם</w:t>
      </w:r>
      <w:r w:rsidRPr="0054771B">
        <w:rPr>
          <w:rFonts w:eastAsia="Times New Roman"/>
          <w:rtl/>
          <w:lang w:eastAsia="de-DE"/>
        </w:rPr>
        <w:t xml:space="preserve"> </w:t>
      </w:r>
      <w:r w:rsidRPr="0054771B">
        <w:rPr>
          <w:rFonts w:eastAsia="Times New Roman"/>
          <w:lang w:eastAsia="de-DE"/>
        </w:rPr>
        <w:t xml:space="preserve">besteht aus zwei koordinierten Imperativen: </w:t>
      </w:r>
      <w:r w:rsidRPr="0054771B">
        <w:rPr>
          <w:rFonts w:eastAsia="Times New Roman"/>
          <w:b/>
          <w:bCs/>
          <w:rtl/>
          <w:lang w:eastAsia="de-DE"/>
        </w:rPr>
        <w:t>לֵךְ</w:t>
      </w:r>
      <w:r w:rsidRPr="0054771B">
        <w:rPr>
          <w:rFonts w:eastAsia="Times New Roman"/>
          <w:rtl/>
          <w:lang w:eastAsia="de-DE"/>
        </w:rPr>
        <w:t xml:space="preserve"> </w:t>
      </w:r>
      <w:r w:rsidRPr="0054771B">
        <w:rPr>
          <w:rFonts w:eastAsia="Times New Roman"/>
          <w:lang w:eastAsia="de-DE"/>
        </w:rPr>
        <w:t xml:space="preserve">als Qal Imperativ, 2. Person Singular maskulin von </w:t>
      </w:r>
      <w:r w:rsidRPr="0054771B">
        <w:rPr>
          <w:rFonts w:eastAsia="Times New Roman"/>
          <w:b/>
          <w:bCs/>
          <w:rtl/>
          <w:lang w:eastAsia="de-DE"/>
        </w:rPr>
        <w:t>הלך</w:t>
      </w:r>
      <w:r w:rsidRPr="0054771B">
        <w:rPr>
          <w:rFonts w:eastAsia="Times New Roman"/>
          <w:rtl/>
          <w:lang w:eastAsia="de-DE"/>
        </w:rPr>
        <w:t xml:space="preserve"> </w:t>
      </w:r>
      <w:r w:rsidRPr="0054771B">
        <w:rPr>
          <w:rFonts w:eastAsia="Times New Roman"/>
          <w:lang w:eastAsia="de-DE"/>
        </w:rPr>
        <w:t xml:space="preserve">(„gehen"), </w:t>
      </w:r>
      <w:r w:rsidRPr="0054771B">
        <w:rPr>
          <w:rFonts w:eastAsia="Times New Roman"/>
          <w:b/>
          <w:bCs/>
          <w:rtl/>
          <w:lang w:eastAsia="de-DE"/>
        </w:rPr>
        <w:t>אֱמֹר</w:t>
      </w:r>
      <w:r w:rsidRPr="0054771B">
        <w:rPr>
          <w:rFonts w:eastAsia="Times New Roman"/>
          <w:rtl/>
          <w:lang w:eastAsia="de-DE"/>
        </w:rPr>
        <w:t xml:space="preserve"> </w:t>
      </w:r>
      <w:r w:rsidRPr="0054771B">
        <w:rPr>
          <w:rFonts w:eastAsia="Times New Roman"/>
          <w:lang w:eastAsia="de-DE"/>
        </w:rPr>
        <w:t xml:space="preserve">als Qal Imperativ, 2. Person Singular maskulin von </w:t>
      </w:r>
      <w:r w:rsidRPr="0054771B">
        <w:rPr>
          <w:rFonts w:eastAsia="Times New Roman"/>
          <w:b/>
          <w:bCs/>
          <w:rtl/>
          <w:lang w:eastAsia="de-DE"/>
        </w:rPr>
        <w:t>אמר</w:t>
      </w:r>
      <w:r w:rsidRPr="0054771B">
        <w:rPr>
          <w:rFonts w:eastAsia="Times New Roman"/>
          <w:rtl/>
          <w:lang w:eastAsia="de-DE"/>
        </w:rPr>
        <w:t xml:space="preserve"> </w:t>
      </w:r>
      <w:r w:rsidRPr="0054771B">
        <w:rPr>
          <w:rFonts w:eastAsia="Times New Roman"/>
          <w:lang w:eastAsia="de-DE"/>
        </w:rPr>
        <w:t xml:space="preserve">(„sagen, sprechen"), </w:t>
      </w:r>
      <w:r w:rsidRPr="0054771B">
        <w:rPr>
          <w:rFonts w:eastAsia="Times New Roman"/>
          <w:b/>
          <w:bCs/>
          <w:rtl/>
          <w:lang w:eastAsia="de-DE"/>
        </w:rPr>
        <w:t>לָהֶם</w:t>
      </w:r>
      <w:r w:rsidRPr="0054771B">
        <w:rPr>
          <w:rFonts w:eastAsia="Times New Roman"/>
          <w:rtl/>
          <w:lang w:eastAsia="de-DE"/>
        </w:rPr>
        <w:t xml:space="preserve"> </w:t>
      </w:r>
      <w:r w:rsidRPr="0054771B">
        <w:rPr>
          <w:rFonts w:eastAsia="Times New Roman"/>
          <w:lang w:eastAsia="de-DE"/>
        </w:rPr>
        <w:t xml:space="preserve">als indirektes Objekt. Die Verbindung </w:t>
      </w:r>
      <w:r w:rsidRPr="0054771B">
        <w:rPr>
          <w:rFonts w:eastAsia="Times New Roman"/>
          <w:b/>
          <w:bCs/>
          <w:rtl/>
          <w:lang w:eastAsia="de-DE"/>
        </w:rPr>
        <w:t>לֵךְ אֱמֹר</w:t>
      </w:r>
      <w:r w:rsidRPr="0054771B">
        <w:rPr>
          <w:rFonts w:eastAsia="Times New Roman"/>
          <w:rtl/>
          <w:lang w:eastAsia="de-DE"/>
        </w:rPr>
        <w:t xml:space="preserve"> </w:t>
      </w:r>
      <w:r w:rsidRPr="0054771B">
        <w:rPr>
          <w:rFonts w:eastAsia="Times New Roman"/>
          <w:lang w:eastAsia="de-DE"/>
        </w:rPr>
        <w:t>ist eine klassische Botenformel („geh, sprich").</w:t>
      </w:r>
    </w:p>
    <w:p w14:paraId="3709D0C1"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rtl/>
          <w:lang w:eastAsia="de-DE"/>
        </w:rPr>
        <w:t>שׁוּבוּ לָכֶם לְאָהֳלֵיכֶם</w:t>
      </w:r>
      <w:r w:rsidRPr="0054771B">
        <w:rPr>
          <w:rFonts w:eastAsia="Times New Roman"/>
          <w:rtl/>
          <w:lang w:eastAsia="de-DE"/>
        </w:rPr>
        <w:t xml:space="preserve"> </w:t>
      </w:r>
      <w:r w:rsidRPr="0054771B">
        <w:rPr>
          <w:rFonts w:eastAsia="Times New Roman"/>
          <w:lang w:eastAsia="de-DE"/>
        </w:rPr>
        <w:t xml:space="preserve">ist die auszurichtende Botschaft: </w:t>
      </w:r>
      <w:r w:rsidRPr="0054771B">
        <w:rPr>
          <w:rFonts w:eastAsia="Times New Roman"/>
          <w:b/>
          <w:bCs/>
          <w:rtl/>
          <w:lang w:eastAsia="de-DE"/>
        </w:rPr>
        <w:t>שׁוּבוּ</w:t>
      </w:r>
      <w:r w:rsidRPr="0054771B">
        <w:rPr>
          <w:rFonts w:eastAsia="Times New Roman"/>
          <w:rtl/>
          <w:lang w:eastAsia="de-DE"/>
        </w:rPr>
        <w:t xml:space="preserve"> </w:t>
      </w:r>
      <w:r w:rsidRPr="0054771B">
        <w:rPr>
          <w:rFonts w:eastAsia="Times New Roman"/>
          <w:lang w:eastAsia="de-DE"/>
        </w:rPr>
        <w:t xml:space="preserve">als Qal Imperativ, 2. Person Plural maskulin von </w:t>
      </w:r>
      <w:r w:rsidRPr="0054771B">
        <w:rPr>
          <w:rFonts w:eastAsia="Times New Roman"/>
          <w:b/>
          <w:bCs/>
          <w:rtl/>
          <w:lang w:eastAsia="de-DE"/>
        </w:rPr>
        <w:t>שׁוב</w:t>
      </w:r>
      <w:r w:rsidRPr="0054771B">
        <w:rPr>
          <w:rFonts w:eastAsia="Times New Roman"/>
          <w:rtl/>
          <w:lang w:eastAsia="de-DE"/>
        </w:rPr>
        <w:t xml:space="preserve"> </w:t>
      </w:r>
      <w:r w:rsidRPr="0054771B">
        <w:rPr>
          <w:rFonts w:eastAsia="Times New Roman"/>
          <w:lang w:eastAsia="de-DE"/>
        </w:rPr>
        <w:t xml:space="preserve">(„zurückkehren, zurückgehen"), </w:t>
      </w:r>
      <w:r w:rsidRPr="0054771B">
        <w:rPr>
          <w:rFonts w:eastAsia="Times New Roman"/>
          <w:b/>
          <w:bCs/>
          <w:rtl/>
          <w:lang w:eastAsia="de-DE"/>
        </w:rPr>
        <w:t>לָכֶם</w:t>
      </w:r>
      <w:r w:rsidRPr="0054771B">
        <w:rPr>
          <w:rFonts w:eastAsia="Times New Roman"/>
          <w:rtl/>
          <w:lang w:eastAsia="de-DE"/>
        </w:rPr>
        <w:t xml:space="preserve"> </w:t>
      </w:r>
      <w:r w:rsidRPr="0054771B">
        <w:rPr>
          <w:rFonts w:eastAsia="Times New Roman"/>
          <w:lang w:eastAsia="de-DE"/>
        </w:rPr>
        <w:t xml:space="preserve">als ethischer bzw. reflexiver Dativ („für euch"), </w:t>
      </w:r>
      <w:r w:rsidRPr="0054771B">
        <w:rPr>
          <w:rFonts w:eastAsia="Times New Roman"/>
          <w:b/>
          <w:bCs/>
          <w:rtl/>
          <w:lang w:eastAsia="de-DE"/>
        </w:rPr>
        <w:t>לְאָהֳלֵיכֶם</w:t>
      </w:r>
      <w:r w:rsidRPr="0054771B">
        <w:rPr>
          <w:rFonts w:eastAsia="Times New Roman"/>
          <w:rtl/>
          <w:lang w:eastAsia="de-DE"/>
        </w:rPr>
        <w:t xml:space="preserve"> </w:t>
      </w:r>
      <w:r w:rsidRPr="0054771B">
        <w:rPr>
          <w:rFonts w:eastAsia="Times New Roman"/>
          <w:lang w:eastAsia="de-DE"/>
        </w:rPr>
        <w:t>als Richtungsangabe (</w:t>
      </w:r>
      <w:r w:rsidRPr="0054771B">
        <w:rPr>
          <w:rFonts w:eastAsia="Times New Roman"/>
          <w:b/>
          <w:bCs/>
          <w:rtl/>
          <w:lang w:eastAsia="de-DE"/>
        </w:rPr>
        <w:t>לְ</w:t>
      </w:r>
      <w:r w:rsidRPr="0054771B">
        <w:rPr>
          <w:rFonts w:eastAsia="Times New Roman"/>
          <w:rtl/>
          <w:lang w:eastAsia="de-DE"/>
        </w:rPr>
        <w:t xml:space="preserve"> </w:t>
      </w:r>
      <w:r w:rsidRPr="0054771B">
        <w:rPr>
          <w:rFonts w:eastAsia="Times New Roman"/>
          <w:lang w:eastAsia="de-DE"/>
        </w:rPr>
        <w:t xml:space="preserve">mit </w:t>
      </w:r>
      <w:r w:rsidRPr="0054771B">
        <w:rPr>
          <w:rFonts w:eastAsia="Times New Roman"/>
          <w:b/>
          <w:bCs/>
          <w:rtl/>
          <w:lang w:eastAsia="de-DE"/>
        </w:rPr>
        <w:t>אֹהֶל</w:t>
      </w:r>
      <w:r w:rsidRPr="0054771B">
        <w:rPr>
          <w:rFonts w:eastAsia="Times New Roman"/>
          <w:lang w:eastAsia="de-DE"/>
        </w:rPr>
        <w:t>, „Zelt", Plural und Suffix 2. Person Plural maskulin).</w:t>
      </w:r>
    </w:p>
    <w:p w14:paraId="0E9A5BE0"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 xml:space="preserve">Die Anweisung, zu den Zelten zurückzukehren, bedeutet die Entlassung der Volksvertreter aus der unmittelbaren göttlichen Gegenwart. Das Volk soll zum normalen Lagerleben zurückkehren, während Mose bei JHWH bleibt, um die weiteren Gebote zu empfangen. Der ethische Dativ </w:t>
      </w:r>
      <w:r w:rsidRPr="0054771B">
        <w:rPr>
          <w:rFonts w:eastAsia="Times New Roman"/>
          <w:b/>
          <w:bCs/>
          <w:rtl/>
          <w:lang w:eastAsia="de-DE"/>
        </w:rPr>
        <w:t>לָכֶם</w:t>
      </w:r>
      <w:r w:rsidRPr="0054771B">
        <w:rPr>
          <w:rFonts w:eastAsia="Times New Roman"/>
          <w:rtl/>
          <w:lang w:eastAsia="de-DE"/>
        </w:rPr>
        <w:t xml:space="preserve"> </w:t>
      </w:r>
      <w:r w:rsidRPr="0054771B">
        <w:rPr>
          <w:rFonts w:eastAsia="Times New Roman"/>
          <w:lang w:eastAsia="de-DE"/>
        </w:rPr>
        <w:t>betont die Rückkehr zur eigenen Sphäre.</w:t>
      </w:r>
    </w:p>
    <w:p w14:paraId="52C35918"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Die Satzstruktur ist eine Botenformel aus zwei koordinierten Imperativen mit indirektem Objekt, gefolgt von der auszurichtenden Botschaft als Imperativ mit ethischem Dativ und Richtungsangabe. Die knappe Formulierung unterstreicht den abschließenden Charakter der Entlassung.</w:t>
      </w:r>
    </w:p>
    <w:p w14:paraId="2B3DDAD1"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Der Vers weist Mose an, das Volk zu seinen Zelten zurückzuschicken – die Volksvertreter werden aus der unmittelbaren Gottesgegenwart entlassen.</w:t>
      </w:r>
    </w:p>
    <w:p w14:paraId="7F004961" w14:textId="77777777" w:rsidR="0054771B" w:rsidRPr="0054771B" w:rsidRDefault="0054771B" w:rsidP="0054771B">
      <w:pPr>
        <w:spacing w:before="100" w:beforeAutospacing="1" w:after="100" w:afterAutospacing="1" w:line="240" w:lineRule="auto"/>
        <w:outlineLvl w:val="1"/>
        <w:rPr>
          <w:rFonts w:eastAsia="Times New Roman"/>
          <w:b/>
          <w:bCs/>
          <w:sz w:val="36"/>
          <w:szCs w:val="36"/>
          <w:lang w:eastAsia="de-DE"/>
        </w:rPr>
      </w:pPr>
      <w:r w:rsidRPr="0054771B">
        <w:rPr>
          <w:rFonts w:eastAsia="Times New Roman"/>
          <w:b/>
          <w:bCs/>
          <w:sz w:val="36"/>
          <w:szCs w:val="36"/>
          <w:lang w:eastAsia="de-DE"/>
        </w:rPr>
        <w:t>Deuteronomium 5,31</w:t>
      </w:r>
    </w:p>
    <w:p w14:paraId="490C1D0D"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Hebräisch:</w:t>
      </w:r>
      <w:r w:rsidRPr="0054771B">
        <w:rPr>
          <w:rFonts w:eastAsia="Times New Roman"/>
          <w:lang w:eastAsia="de-DE"/>
        </w:rPr>
        <w:t xml:space="preserve"> </w:t>
      </w:r>
      <w:r w:rsidRPr="0054771B">
        <w:rPr>
          <w:rFonts w:eastAsia="Times New Roman"/>
          <w:rtl/>
          <w:lang w:eastAsia="de-DE"/>
        </w:rPr>
        <w:t>וְאַתָּה פֹּה עֲמֹד עִמָּדִי וַאֲדַבְּרָה אֵלֶיךָ אֵת כָּל־הַמִּצְוָה וְהַחֻקִּים וְהַמִּשְׁפָּטִים אֲשֶׁר תְּלַמְּדֵם וְעָשׂוּ בָאָרֶץ אֲשֶׁר אָנֹכִי נֹתֵן לָהֶם לְרִשְׁתָּהּ׃</w:t>
      </w:r>
    </w:p>
    <w:p w14:paraId="70C35DA7"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Deutsch:</w:t>
      </w:r>
      <w:r w:rsidRPr="0054771B">
        <w:rPr>
          <w:rFonts w:eastAsia="Times New Roman"/>
          <w:lang w:eastAsia="de-DE"/>
        </w:rPr>
        <w:t xml:space="preserve"> Du aber stehe hier bei mir, und ich will zu dir reden alle die Gebote und die Gesetze und die Rechtsvorschriften, die du sie lehren sollst, damit sie sie tun in dem Land, das ich ihnen gebe, es zu besitzen.</w:t>
      </w:r>
    </w:p>
    <w:p w14:paraId="11ECB905" w14:textId="77777777" w:rsidR="0054771B" w:rsidRPr="0054771B" w:rsidRDefault="004F5CEB" w:rsidP="0054771B">
      <w:pPr>
        <w:spacing w:after="0" w:line="240" w:lineRule="auto"/>
        <w:rPr>
          <w:rFonts w:eastAsia="Times New Roman"/>
          <w:lang w:eastAsia="de-DE"/>
        </w:rPr>
      </w:pPr>
      <w:r>
        <w:rPr>
          <w:rFonts w:eastAsia="Times New Roman"/>
          <w:noProof/>
          <w:lang w:eastAsia="de-DE"/>
        </w:rPr>
        <w:pict w14:anchorId="55709165">
          <v:rect id="_x0000_i1216" style="width:0;height:1.5pt" o:hralign="center" o:hrstd="t" o:hr="t" fillcolor="#a0a0a0" stroked="f"/>
        </w:pict>
      </w:r>
    </w:p>
    <w:p w14:paraId="4182B747"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Kommentar:</w:t>
      </w:r>
      <w:r w:rsidRPr="0054771B">
        <w:rPr>
          <w:rFonts w:eastAsia="Times New Roman"/>
          <w:lang w:eastAsia="de-DE"/>
        </w:rPr>
        <w:t xml:space="preserve"> </w:t>
      </w:r>
      <w:r w:rsidRPr="0054771B">
        <w:rPr>
          <w:rFonts w:eastAsia="Times New Roman"/>
          <w:b/>
          <w:bCs/>
          <w:rtl/>
          <w:lang w:eastAsia="de-DE"/>
        </w:rPr>
        <w:t>וְאַתָּה פֹּה עֲמֹד עִמָּדִי</w:t>
      </w:r>
      <w:r w:rsidRPr="0054771B">
        <w:rPr>
          <w:rFonts w:eastAsia="Times New Roman"/>
          <w:rtl/>
          <w:lang w:eastAsia="de-DE"/>
        </w:rPr>
        <w:t xml:space="preserve"> </w:t>
      </w:r>
      <w:r w:rsidRPr="0054771B">
        <w:rPr>
          <w:rFonts w:eastAsia="Times New Roman"/>
          <w:lang w:eastAsia="de-DE"/>
        </w:rPr>
        <w:t xml:space="preserve">ist adversativ: </w:t>
      </w:r>
      <w:r w:rsidRPr="0054771B">
        <w:rPr>
          <w:rFonts w:eastAsia="Times New Roman"/>
          <w:b/>
          <w:bCs/>
          <w:rtl/>
          <w:lang w:eastAsia="de-DE"/>
        </w:rPr>
        <w:t>וְאַתָּה</w:t>
      </w:r>
      <w:r w:rsidRPr="0054771B">
        <w:rPr>
          <w:rFonts w:eastAsia="Times New Roman"/>
          <w:rtl/>
          <w:lang w:eastAsia="de-DE"/>
        </w:rPr>
        <w:t xml:space="preserve"> </w:t>
      </w:r>
      <w:r w:rsidRPr="0054771B">
        <w:rPr>
          <w:rFonts w:eastAsia="Times New Roman"/>
          <w:lang w:eastAsia="de-DE"/>
        </w:rPr>
        <w:t xml:space="preserve">als emphatisches Pronomen mit </w:t>
      </w:r>
      <w:r w:rsidRPr="0054771B">
        <w:rPr>
          <w:rFonts w:eastAsia="Times New Roman"/>
          <w:b/>
          <w:bCs/>
          <w:rtl/>
          <w:lang w:eastAsia="de-DE"/>
        </w:rPr>
        <w:t>וְ</w:t>
      </w:r>
      <w:r w:rsidRPr="0054771B">
        <w:rPr>
          <w:rFonts w:eastAsia="Times New Roman"/>
          <w:rtl/>
          <w:lang w:eastAsia="de-DE"/>
        </w:rPr>
        <w:t xml:space="preserve"> </w:t>
      </w:r>
      <w:r w:rsidRPr="0054771B">
        <w:rPr>
          <w:rFonts w:eastAsia="Times New Roman"/>
          <w:lang w:eastAsia="de-DE"/>
        </w:rPr>
        <w:t xml:space="preserve">(„du aber"), </w:t>
      </w:r>
      <w:r w:rsidRPr="0054771B">
        <w:rPr>
          <w:rFonts w:eastAsia="Times New Roman"/>
          <w:b/>
          <w:bCs/>
          <w:rtl/>
          <w:lang w:eastAsia="de-DE"/>
        </w:rPr>
        <w:t>פֹּה</w:t>
      </w:r>
      <w:r w:rsidRPr="0054771B">
        <w:rPr>
          <w:rFonts w:eastAsia="Times New Roman"/>
          <w:rtl/>
          <w:lang w:eastAsia="de-DE"/>
        </w:rPr>
        <w:t xml:space="preserve"> </w:t>
      </w:r>
      <w:r w:rsidRPr="0054771B">
        <w:rPr>
          <w:rFonts w:eastAsia="Times New Roman"/>
          <w:lang w:eastAsia="de-DE"/>
        </w:rPr>
        <w:t xml:space="preserve">als Ortsadverb („hier"), </w:t>
      </w:r>
      <w:r w:rsidRPr="0054771B">
        <w:rPr>
          <w:rFonts w:eastAsia="Times New Roman"/>
          <w:b/>
          <w:bCs/>
          <w:rtl/>
          <w:lang w:eastAsia="de-DE"/>
        </w:rPr>
        <w:t>עֲמֹד</w:t>
      </w:r>
      <w:r w:rsidRPr="0054771B">
        <w:rPr>
          <w:rFonts w:eastAsia="Times New Roman"/>
          <w:rtl/>
          <w:lang w:eastAsia="de-DE"/>
        </w:rPr>
        <w:t xml:space="preserve"> </w:t>
      </w:r>
      <w:r w:rsidRPr="0054771B">
        <w:rPr>
          <w:rFonts w:eastAsia="Times New Roman"/>
          <w:lang w:eastAsia="de-DE"/>
        </w:rPr>
        <w:t xml:space="preserve">als Qal Imperativ, 2. Person Singular maskulin von </w:t>
      </w:r>
      <w:r w:rsidRPr="0054771B">
        <w:rPr>
          <w:rFonts w:eastAsia="Times New Roman"/>
          <w:b/>
          <w:bCs/>
          <w:rtl/>
          <w:lang w:eastAsia="de-DE"/>
        </w:rPr>
        <w:t>עמד</w:t>
      </w:r>
      <w:r w:rsidRPr="0054771B">
        <w:rPr>
          <w:rFonts w:eastAsia="Times New Roman"/>
          <w:rtl/>
          <w:lang w:eastAsia="de-DE"/>
        </w:rPr>
        <w:t xml:space="preserve"> </w:t>
      </w:r>
      <w:r w:rsidRPr="0054771B">
        <w:rPr>
          <w:rFonts w:eastAsia="Times New Roman"/>
          <w:lang w:eastAsia="de-DE"/>
        </w:rPr>
        <w:t xml:space="preserve">(„stehen"), </w:t>
      </w:r>
      <w:r w:rsidRPr="0054771B">
        <w:rPr>
          <w:rFonts w:eastAsia="Times New Roman"/>
          <w:b/>
          <w:bCs/>
          <w:rtl/>
          <w:lang w:eastAsia="de-DE"/>
        </w:rPr>
        <w:t>עִמָּדִי</w:t>
      </w:r>
      <w:r w:rsidRPr="0054771B">
        <w:rPr>
          <w:rFonts w:eastAsia="Times New Roman"/>
          <w:rtl/>
          <w:lang w:eastAsia="de-DE"/>
        </w:rPr>
        <w:t xml:space="preserve"> </w:t>
      </w:r>
      <w:r w:rsidRPr="0054771B">
        <w:rPr>
          <w:rFonts w:eastAsia="Times New Roman"/>
          <w:lang w:eastAsia="de-DE"/>
        </w:rPr>
        <w:t xml:space="preserve">als Präposition </w:t>
      </w:r>
      <w:r w:rsidRPr="0054771B">
        <w:rPr>
          <w:rFonts w:eastAsia="Times New Roman"/>
          <w:b/>
          <w:bCs/>
          <w:rtl/>
          <w:lang w:eastAsia="de-DE"/>
        </w:rPr>
        <w:t>עִם</w:t>
      </w:r>
      <w:r w:rsidRPr="0054771B">
        <w:rPr>
          <w:rFonts w:eastAsia="Times New Roman"/>
          <w:rtl/>
          <w:lang w:eastAsia="de-DE"/>
        </w:rPr>
        <w:t xml:space="preserve"> </w:t>
      </w:r>
      <w:r w:rsidRPr="0054771B">
        <w:rPr>
          <w:rFonts w:eastAsia="Times New Roman"/>
          <w:lang w:eastAsia="de-DE"/>
        </w:rPr>
        <w:t xml:space="preserve">(„mit, bei") mit Suffix 1. Person Singular. Die Doppelung </w:t>
      </w:r>
      <w:r w:rsidRPr="0054771B">
        <w:rPr>
          <w:rFonts w:eastAsia="Times New Roman"/>
          <w:b/>
          <w:bCs/>
          <w:rtl/>
          <w:lang w:eastAsia="de-DE"/>
        </w:rPr>
        <w:t>פֹּה... עִמָּדִי</w:t>
      </w:r>
      <w:r w:rsidRPr="0054771B">
        <w:rPr>
          <w:rFonts w:eastAsia="Times New Roman"/>
          <w:rtl/>
          <w:lang w:eastAsia="de-DE"/>
        </w:rPr>
        <w:t xml:space="preserve"> </w:t>
      </w:r>
      <w:r w:rsidRPr="0054771B">
        <w:rPr>
          <w:rFonts w:eastAsia="Times New Roman"/>
          <w:lang w:eastAsia="de-DE"/>
        </w:rPr>
        <w:t>betont Moses besondere Position bei JHWH.</w:t>
      </w:r>
    </w:p>
    <w:p w14:paraId="4EBDFD0D"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rtl/>
          <w:lang w:eastAsia="de-DE"/>
        </w:rPr>
        <w:t>וַאֲדַבְּרָה אֵלֶיךָ אֵת כָּל־הַמִּצְוָה וְהַחֻקִּים וְהַמִּשְׁפָּטִים</w:t>
      </w:r>
      <w:r w:rsidRPr="0054771B">
        <w:rPr>
          <w:rFonts w:eastAsia="Times New Roman"/>
          <w:rtl/>
          <w:lang w:eastAsia="de-DE"/>
        </w:rPr>
        <w:t xml:space="preserve"> </w:t>
      </w:r>
      <w:r w:rsidRPr="0054771B">
        <w:rPr>
          <w:rFonts w:eastAsia="Times New Roman"/>
          <w:lang w:eastAsia="de-DE"/>
        </w:rPr>
        <w:t xml:space="preserve">ist ein Kohortativsatz: </w:t>
      </w:r>
      <w:r w:rsidRPr="0054771B">
        <w:rPr>
          <w:rFonts w:eastAsia="Times New Roman"/>
          <w:b/>
          <w:bCs/>
          <w:rtl/>
          <w:lang w:eastAsia="de-DE"/>
        </w:rPr>
        <w:t>וַאֲדַבְּרָה</w:t>
      </w:r>
      <w:r w:rsidRPr="0054771B">
        <w:rPr>
          <w:rFonts w:eastAsia="Times New Roman"/>
          <w:rtl/>
          <w:lang w:eastAsia="de-DE"/>
        </w:rPr>
        <w:t xml:space="preserve"> </w:t>
      </w:r>
      <w:r w:rsidRPr="0054771B">
        <w:rPr>
          <w:rFonts w:eastAsia="Times New Roman"/>
          <w:lang w:eastAsia="de-DE"/>
        </w:rPr>
        <w:t xml:space="preserve">(Piel Kohortativ, 1. Person Singular von </w:t>
      </w:r>
      <w:r w:rsidRPr="0054771B">
        <w:rPr>
          <w:rFonts w:eastAsia="Times New Roman"/>
          <w:b/>
          <w:bCs/>
          <w:rtl/>
          <w:lang w:eastAsia="de-DE"/>
        </w:rPr>
        <w:t>דבר</w:t>
      </w:r>
      <w:r w:rsidRPr="0054771B">
        <w:rPr>
          <w:rFonts w:eastAsia="Times New Roman"/>
          <w:rtl/>
          <w:lang w:eastAsia="de-DE"/>
        </w:rPr>
        <w:t xml:space="preserve"> </w:t>
      </w:r>
      <w:r w:rsidRPr="0054771B">
        <w:rPr>
          <w:rFonts w:eastAsia="Times New Roman"/>
          <w:lang w:eastAsia="de-DE"/>
        </w:rPr>
        <w:t xml:space="preserve">mit Waw – „und ich will reden, ich werde reden"), </w:t>
      </w:r>
      <w:r w:rsidRPr="0054771B">
        <w:rPr>
          <w:rFonts w:eastAsia="Times New Roman"/>
          <w:b/>
          <w:bCs/>
          <w:rtl/>
          <w:lang w:eastAsia="de-DE"/>
        </w:rPr>
        <w:t>אֵלֶיךָ</w:t>
      </w:r>
      <w:r w:rsidRPr="0054771B">
        <w:rPr>
          <w:rFonts w:eastAsia="Times New Roman"/>
          <w:rtl/>
          <w:lang w:eastAsia="de-DE"/>
        </w:rPr>
        <w:t xml:space="preserve"> </w:t>
      </w:r>
      <w:r w:rsidRPr="0054771B">
        <w:rPr>
          <w:rFonts w:eastAsia="Times New Roman"/>
          <w:lang w:eastAsia="de-DE"/>
        </w:rPr>
        <w:t xml:space="preserve">als indirektes Objekt, </w:t>
      </w:r>
      <w:r w:rsidRPr="0054771B">
        <w:rPr>
          <w:rFonts w:eastAsia="Times New Roman"/>
          <w:b/>
          <w:bCs/>
          <w:rtl/>
          <w:lang w:eastAsia="de-DE"/>
        </w:rPr>
        <w:t>אֵת כָּל־הַמִּצְוָה וְהַחֻקִּים וְהַמִּשְׁפָּטִים</w:t>
      </w:r>
      <w:r w:rsidRPr="0054771B">
        <w:rPr>
          <w:rFonts w:eastAsia="Times New Roman"/>
          <w:rtl/>
          <w:lang w:eastAsia="de-DE"/>
        </w:rPr>
        <w:t xml:space="preserve"> </w:t>
      </w:r>
      <w:r w:rsidRPr="0054771B">
        <w:rPr>
          <w:rFonts w:eastAsia="Times New Roman"/>
          <w:lang w:eastAsia="de-DE"/>
        </w:rPr>
        <w:t>als dreigliedrige koordinierte Objektkette (</w:t>
      </w:r>
      <w:r w:rsidRPr="0054771B">
        <w:rPr>
          <w:rFonts w:eastAsia="Times New Roman"/>
          <w:b/>
          <w:bCs/>
          <w:rtl/>
          <w:lang w:eastAsia="de-DE"/>
        </w:rPr>
        <w:t>כָּל</w:t>
      </w:r>
      <w:r w:rsidRPr="0054771B">
        <w:rPr>
          <w:rFonts w:eastAsia="Times New Roman"/>
          <w:rtl/>
          <w:lang w:eastAsia="de-DE"/>
        </w:rPr>
        <w:t xml:space="preserve"> </w:t>
      </w:r>
      <w:r w:rsidRPr="0054771B">
        <w:rPr>
          <w:rFonts w:eastAsia="Times New Roman"/>
          <w:lang w:eastAsia="de-DE"/>
        </w:rPr>
        <w:t xml:space="preserve">im </w:t>
      </w:r>
      <w:r w:rsidRPr="0054771B">
        <w:rPr>
          <w:rFonts w:eastAsia="Times New Roman"/>
          <w:lang w:eastAsia="de-DE"/>
        </w:rPr>
        <w:lastRenderedPageBreak/>
        <w:t xml:space="preserve">Construct mit </w:t>
      </w:r>
      <w:r w:rsidRPr="0054771B">
        <w:rPr>
          <w:rFonts w:eastAsia="Times New Roman"/>
          <w:b/>
          <w:bCs/>
          <w:rtl/>
          <w:lang w:eastAsia="de-DE"/>
        </w:rPr>
        <w:t>מִצְוָה</w:t>
      </w:r>
      <w:r w:rsidRPr="0054771B">
        <w:rPr>
          <w:rFonts w:eastAsia="Times New Roman"/>
          <w:lang w:eastAsia="de-DE"/>
        </w:rPr>
        <w:t xml:space="preserve">, „Gebot", Singular mit Artikel – kollektiv „die Gebote", </w:t>
      </w:r>
      <w:r w:rsidRPr="0054771B">
        <w:rPr>
          <w:rFonts w:eastAsia="Times New Roman"/>
          <w:b/>
          <w:bCs/>
          <w:rtl/>
          <w:lang w:eastAsia="de-DE"/>
        </w:rPr>
        <w:t>חֻקִּים</w:t>
      </w:r>
      <w:r w:rsidRPr="0054771B">
        <w:rPr>
          <w:rFonts w:eastAsia="Times New Roman"/>
          <w:lang w:eastAsia="de-DE"/>
        </w:rPr>
        <w:t xml:space="preserve">, „Gesetze", und </w:t>
      </w:r>
      <w:r w:rsidRPr="0054771B">
        <w:rPr>
          <w:rFonts w:eastAsia="Times New Roman"/>
          <w:b/>
          <w:bCs/>
          <w:rtl/>
          <w:lang w:eastAsia="de-DE"/>
        </w:rPr>
        <w:t>מִשְׁפָּטִים</w:t>
      </w:r>
      <w:r w:rsidRPr="0054771B">
        <w:rPr>
          <w:rFonts w:eastAsia="Times New Roman"/>
          <w:lang w:eastAsia="de-DE"/>
        </w:rPr>
        <w:t>, „Rechtsvorschriften", beide Plural mit Artikel).</w:t>
      </w:r>
    </w:p>
    <w:p w14:paraId="69A1C8E4"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rtl/>
          <w:lang w:eastAsia="de-DE"/>
        </w:rPr>
        <w:t>אֲשֶׁר תְּלַמְּדֵם</w:t>
      </w:r>
      <w:r w:rsidRPr="0054771B">
        <w:rPr>
          <w:rFonts w:eastAsia="Times New Roman"/>
          <w:rtl/>
          <w:lang w:eastAsia="de-DE"/>
        </w:rPr>
        <w:t xml:space="preserve"> </w:t>
      </w:r>
      <w:r w:rsidRPr="0054771B">
        <w:rPr>
          <w:rFonts w:eastAsia="Times New Roman"/>
          <w:lang w:eastAsia="de-DE"/>
        </w:rPr>
        <w:t xml:space="preserve">ist ein Relativsatz: </w:t>
      </w:r>
      <w:r w:rsidRPr="0054771B">
        <w:rPr>
          <w:rFonts w:eastAsia="Times New Roman"/>
          <w:b/>
          <w:bCs/>
          <w:rtl/>
          <w:lang w:eastAsia="de-DE"/>
        </w:rPr>
        <w:t>אֲשֶׁר</w:t>
      </w:r>
      <w:r w:rsidRPr="0054771B">
        <w:rPr>
          <w:rFonts w:eastAsia="Times New Roman"/>
          <w:rtl/>
          <w:lang w:eastAsia="de-DE"/>
        </w:rPr>
        <w:t xml:space="preserve"> </w:t>
      </w:r>
      <w:r w:rsidRPr="0054771B">
        <w:rPr>
          <w:rFonts w:eastAsia="Times New Roman"/>
          <w:lang w:eastAsia="de-DE"/>
        </w:rPr>
        <w:t xml:space="preserve">als Relativpronomen, </w:t>
      </w:r>
      <w:r w:rsidRPr="0054771B">
        <w:rPr>
          <w:rFonts w:eastAsia="Times New Roman"/>
          <w:b/>
          <w:bCs/>
          <w:rtl/>
          <w:lang w:eastAsia="de-DE"/>
        </w:rPr>
        <w:t>תְּלַמְּדֵם</w:t>
      </w:r>
      <w:r w:rsidRPr="0054771B">
        <w:rPr>
          <w:rFonts w:eastAsia="Times New Roman"/>
          <w:rtl/>
          <w:lang w:eastAsia="de-DE"/>
        </w:rPr>
        <w:t xml:space="preserve"> </w:t>
      </w:r>
      <w:r w:rsidRPr="0054771B">
        <w:rPr>
          <w:rFonts w:eastAsia="Times New Roman"/>
          <w:lang w:eastAsia="de-DE"/>
        </w:rPr>
        <w:t xml:space="preserve">als Piel Imperfekt, 2. Person Singular maskulin von </w:t>
      </w:r>
      <w:r w:rsidRPr="0054771B">
        <w:rPr>
          <w:rFonts w:eastAsia="Times New Roman"/>
          <w:b/>
          <w:bCs/>
          <w:rtl/>
          <w:lang w:eastAsia="de-DE"/>
        </w:rPr>
        <w:t>למד</w:t>
      </w:r>
      <w:r w:rsidRPr="0054771B">
        <w:rPr>
          <w:rFonts w:eastAsia="Times New Roman"/>
          <w:rtl/>
          <w:lang w:eastAsia="de-DE"/>
        </w:rPr>
        <w:t xml:space="preserve"> </w:t>
      </w:r>
      <w:r w:rsidRPr="0054771B">
        <w:rPr>
          <w:rFonts w:eastAsia="Times New Roman"/>
          <w:lang w:eastAsia="de-DE"/>
        </w:rPr>
        <w:t xml:space="preserve">(„lehren") mit Suffix 3. Person Plural maskulin als direktes Objekt. </w:t>
      </w:r>
      <w:r w:rsidRPr="0054771B">
        <w:rPr>
          <w:rFonts w:eastAsia="Times New Roman"/>
          <w:b/>
          <w:bCs/>
          <w:rtl/>
          <w:lang w:eastAsia="de-DE"/>
        </w:rPr>
        <w:t>וְעָשׂוּ בָאָרֶץ אֲשֶׁר אָנֹכִי נֹתֵן לָהֶם לְרִשְׁתָּהּ</w:t>
      </w:r>
      <w:r w:rsidRPr="0054771B">
        <w:rPr>
          <w:rFonts w:eastAsia="Times New Roman"/>
          <w:rtl/>
          <w:lang w:eastAsia="de-DE"/>
        </w:rPr>
        <w:t xml:space="preserve"> </w:t>
      </w:r>
      <w:r w:rsidRPr="0054771B">
        <w:rPr>
          <w:rFonts w:eastAsia="Times New Roman"/>
          <w:lang w:eastAsia="de-DE"/>
        </w:rPr>
        <w:t xml:space="preserve">ist ein finaler </w:t>
      </w:r>
      <w:r w:rsidRPr="0054771B">
        <w:rPr>
          <w:rFonts w:eastAsia="Times New Roman"/>
          <w:b/>
          <w:bCs/>
          <w:rtl/>
          <w:lang w:eastAsia="de-DE"/>
        </w:rPr>
        <w:t>וְ</w:t>
      </w:r>
      <w:r w:rsidRPr="0054771B">
        <w:rPr>
          <w:rFonts w:eastAsia="Times New Roman"/>
          <w:lang w:eastAsia="de-DE"/>
        </w:rPr>
        <w:t xml:space="preserve">-Satz: </w:t>
      </w:r>
      <w:r w:rsidRPr="0054771B">
        <w:rPr>
          <w:rFonts w:eastAsia="Times New Roman"/>
          <w:b/>
          <w:bCs/>
          <w:rtl/>
          <w:lang w:eastAsia="de-DE"/>
        </w:rPr>
        <w:t>וְעָשׂוּ</w:t>
      </w:r>
      <w:r w:rsidRPr="0054771B">
        <w:rPr>
          <w:rFonts w:eastAsia="Times New Roman"/>
          <w:rtl/>
          <w:lang w:eastAsia="de-DE"/>
        </w:rPr>
        <w:t xml:space="preserve"> </w:t>
      </w:r>
      <w:r w:rsidRPr="0054771B">
        <w:rPr>
          <w:rFonts w:eastAsia="Times New Roman"/>
          <w:lang w:eastAsia="de-DE"/>
        </w:rPr>
        <w:t xml:space="preserve">(Qal Perfekt, 3. Person Plural von </w:t>
      </w:r>
      <w:r w:rsidRPr="0054771B">
        <w:rPr>
          <w:rFonts w:eastAsia="Times New Roman"/>
          <w:b/>
          <w:bCs/>
          <w:rtl/>
          <w:lang w:eastAsia="de-DE"/>
        </w:rPr>
        <w:t>עשׂה</w:t>
      </w:r>
      <w:r w:rsidRPr="0054771B">
        <w:rPr>
          <w:rFonts w:eastAsia="Times New Roman"/>
          <w:rtl/>
          <w:lang w:eastAsia="de-DE"/>
        </w:rPr>
        <w:t xml:space="preserve"> </w:t>
      </w:r>
      <w:r w:rsidRPr="0054771B">
        <w:rPr>
          <w:rFonts w:eastAsia="Times New Roman"/>
          <w:lang w:eastAsia="de-DE"/>
        </w:rPr>
        <w:t xml:space="preserve">mit </w:t>
      </w:r>
      <w:r w:rsidRPr="0054771B">
        <w:rPr>
          <w:rFonts w:eastAsia="Times New Roman"/>
          <w:b/>
          <w:bCs/>
          <w:rtl/>
          <w:lang w:eastAsia="de-DE"/>
        </w:rPr>
        <w:t>וְ</w:t>
      </w:r>
      <w:r w:rsidRPr="0054771B">
        <w:rPr>
          <w:rFonts w:eastAsia="Times New Roman"/>
          <w:rtl/>
          <w:lang w:eastAsia="de-DE"/>
        </w:rPr>
        <w:t xml:space="preserve"> </w:t>
      </w:r>
      <w:r w:rsidRPr="0054771B">
        <w:rPr>
          <w:rFonts w:eastAsia="Times New Roman"/>
          <w:lang w:eastAsia="de-DE"/>
        </w:rPr>
        <w:t xml:space="preserve">– hier final „damit sie tun"), </w:t>
      </w:r>
      <w:r w:rsidRPr="0054771B">
        <w:rPr>
          <w:rFonts w:eastAsia="Times New Roman"/>
          <w:b/>
          <w:bCs/>
          <w:rtl/>
          <w:lang w:eastAsia="de-DE"/>
        </w:rPr>
        <w:t>בָאָרֶץ</w:t>
      </w:r>
      <w:r w:rsidRPr="0054771B">
        <w:rPr>
          <w:rFonts w:eastAsia="Times New Roman"/>
          <w:rtl/>
          <w:lang w:eastAsia="de-DE"/>
        </w:rPr>
        <w:t xml:space="preserve"> </w:t>
      </w:r>
      <w:r w:rsidRPr="0054771B">
        <w:rPr>
          <w:rFonts w:eastAsia="Times New Roman"/>
          <w:lang w:eastAsia="de-DE"/>
        </w:rPr>
        <w:t xml:space="preserve">als Ortsangabe, </w:t>
      </w:r>
      <w:r w:rsidRPr="0054771B">
        <w:rPr>
          <w:rFonts w:eastAsia="Times New Roman"/>
          <w:b/>
          <w:bCs/>
          <w:rtl/>
          <w:lang w:eastAsia="de-DE"/>
        </w:rPr>
        <w:t>אֲשֶׁר אָנֹכִי נֹתֵן לָהֶם</w:t>
      </w:r>
      <w:r w:rsidRPr="0054771B">
        <w:rPr>
          <w:rFonts w:eastAsia="Times New Roman"/>
          <w:rtl/>
          <w:lang w:eastAsia="de-DE"/>
        </w:rPr>
        <w:t xml:space="preserve"> </w:t>
      </w:r>
      <w:r w:rsidRPr="0054771B">
        <w:rPr>
          <w:rFonts w:eastAsia="Times New Roman"/>
          <w:lang w:eastAsia="de-DE"/>
        </w:rPr>
        <w:t xml:space="preserve">als Relativsatz (mit emphatischem Pronomen, Qal Partizip Singular maskulin von </w:t>
      </w:r>
      <w:r w:rsidRPr="0054771B">
        <w:rPr>
          <w:rFonts w:eastAsia="Times New Roman"/>
          <w:b/>
          <w:bCs/>
          <w:rtl/>
          <w:lang w:eastAsia="de-DE"/>
        </w:rPr>
        <w:t>נתן</w:t>
      </w:r>
      <w:r w:rsidRPr="0054771B">
        <w:rPr>
          <w:rFonts w:eastAsia="Times New Roman"/>
          <w:rtl/>
          <w:lang w:eastAsia="de-DE"/>
        </w:rPr>
        <w:t xml:space="preserve"> </w:t>
      </w:r>
      <w:r w:rsidRPr="0054771B">
        <w:rPr>
          <w:rFonts w:eastAsia="Times New Roman"/>
          <w:lang w:eastAsia="de-DE"/>
        </w:rPr>
        <w:t xml:space="preserve">und Dativ), </w:t>
      </w:r>
      <w:r w:rsidRPr="0054771B">
        <w:rPr>
          <w:rFonts w:eastAsia="Times New Roman"/>
          <w:b/>
          <w:bCs/>
          <w:rtl/>
          <w:lang w:eastAsia="de-DE"/>
        </w:rPr>
        <w:t>לְרִשְׁתָּהּ</w:t>
      </w:r>
      <w:r w:rsidRPr="0054771B">
        <w:rPr>
          <w:rFonts w:eastAsia="Times New Roman"/>
          <w:rtl/>
          <w:lang w:eastAsia="de-DE"/>
        </w:rPr>
        <w:t xml:space="preserve"> </w:t>
      </w:r>
      <w:r w:rsidRPr="0054771B">
        <w:rPr>
          <w:rFonts w:eastAsia="Times New Roman"/>
          <w:lang w:eastAsia="de-DE"/>
        </w:rPr>
        <w:t xml:space="preserve">als finaler Infinitiv (Qal Infinitiv Construct von </w:t>
      </w:r>
      <w:r w:rsidRPr="0054771B">
        <w:rPr>
          <w:rFonts w:eastAsia="Times New Roman"/>
          <w:b/>
          <w:bCs/>
          <w:rtl/>
          <w:lang w:eastAsia="de-DE"/>
        </w:rPr>
        <w:t>ירשׁ</w:t>
      </w:r>
      <w:r w:rsidRPr="0054771B">
        <w:rPr>
          <w:rFonts w:eastAsia="Times New Roman"/>
          <w:lang w:eastAsia="de-DE"/>
        </w:rPr>
        <w:t xml:space="preserve">, „in Besitz nehmen", mit </w:t>
      </w:r>
      <w:r w:rsidRPr="0054771B">
        <w:rPr>
          <w:rFonts w:eastAsia="Times New Roman"/>
          <w:b/>
          <w:bCs/>
          <w:rtl/>
          <w:lang w:eastAsia="de-DE"/>
        </w:rPr>
        <w:t>לְ</w:t>
      </w:r>
      <w:r w:rsidRPr="0054771B">
        <w:rPr>
          <w:rFonts w:eastAsia="Times New Roman"/>
          <w:rtl/>
          <w:lang w:eastAsia="de-DE"/>
        </w:rPr>
        <w:t xml:space="preserve"> </w:t>
      </w:r>
      <w:r w:rsidRPr="0054771B">
        <w:rPr>
          <w:rFonts w:eastAsia="Times New Roman"/>
          <w:lang w:eastAsia="de-DE"/>
        </w:rPr>
        <w:t>und Suffix 3. Person Singular feminin).</w:t>
      </w:r>
    </w:p>
    <w:p w14:paraId="7EA4C59D"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 xml:space="preserve">Die dreigliedrige Terminologie </w:t>
      </w:r>
      <w:r w:rsidRPr="0054771B">
        <w:rPr>
          <w:rFonts w:eastAsia="Times New Roman"/>
          <w:b/>
          <w:bCs/>
          <w:rtl/>
          <w:lang w:eastAsia="de-DE"/>
        </w:rPr>
        <w:t>מִצְוָה</w:t>
      </w:r>
      <w:r w:rsidRPr="0054771B">
        <w:rPr>
          <w:rFonts w:eastAsia="Times New Roman"/>
          <w:lang w:eastAsia="de-DE"/>
        </w:rPr>
        <w:t xml:space="preserve">, </w:t>
      </w:r>
      <w:r w:rsidRPr="0054771B">
        <w:rPr>
          <w:rFonts w:eastAsia="Times New Roman"/>
          <w:b/>
          <w:bCs/>
          <w:rtl/>
          <w:lang w:eastAsia="de-DE"/>
        </w:rPr>
        <w:t>חֻקִּים</w:t>
      </w:r>
      <w:r w:rsidRPr="0054771B">
        <w:rPr>
          <w:rFonts w:eastAsia="Times New Roman"/>
          <w:lang w:eastAsia="de-DE"/>
        </w:rPr>
        <w:t xml:space="preserve">, </w:t>
      </w:r>
      <w:r w:rsidRPr="0054771B">
        <w:rPr>
          <w:rFonts w:eastAsia="Times New Roman"/>
          <w:b/>
          <w:bCs/>
          <w:rtl/>
          <w:lang w:eastAsia="de-DE"/>
        </w:rPr>
        <w:t>מִשְׁפָּטִים</w:t>
      </w:r>
      <w:r w:rsidRPr="0054771B">
        <w:rPr>
          <w:rFonts w:eastAsia="Times New Roman"/>
          <w:rtl/>
          <w:lang w:eastAsia="de-DE"/>
        </w:rPr>
        <w:t xml:space="preserve"> </w:t>
      </w:r>
      <w:r w:rsidRPr="0054771B">
        <w:rPr>
          <w:rFonts w:eastAsia="Times New Roman"/>
          <w:lang w:eastAsia="de-DE"/>
        </w:rPr>
        <w:t xml:space="preserve">umfasst das gesamte Gesetzeskorpus. Bemerkenswert ist die Verwendung des Singulars </w:t>
      </w:r>
      <w:r w:rsidRPr="0054771B">
        <w:rPr>
          <w:rFonts w:eastAsia="Times New Roman"/>
          <w:b/>
          <w:bCs/>
          <w:rtl/>
          <w:lang w:eastAsia="de-DE"/>
        </w:rPr>
        <w:t>הַמִּצְוָה</w:t>
      </w:r>
      <w:r w:rsidRPr="0054771B">
        <w:rPr>
          <w:rFonts w:eastAsia="Times New Roman"/>
          <w:rtl/>
          <w:lang w:eastAsia="de-DE"/>
        </w:rPr>
        <w:t xml:space="preserve"> </w:t>
      </w:r>
      <w:r w:rsidRPr="0054771B">
        <w:rPr>
          <w:rFonts w:eastAsia="Times New Roman"/>
          <w:lang w:eastAsia="de-DE"/>
        </w:rPr>
        <w:t>(kollektiv) gegenüber den Pluralen der beiden anderen Begriffe. Die Struktur zeigt die Vermittlungskette: JHWH → Mose → Volk → Tun im Land.</w:t>
      </w:r>
    </w:p>
    <w:p w14:paraId="123E22BB"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 xml:space="preserve">Die Satzstruktur ist ein adversativer Imperativsatz mit emphatischem Pronomen, Ortsadverb, Prädikat und präpositionaler Ergänzung, gefolgt von einem Kohortativsatz mit indirektem Objekt und dreigliedriger koordinierter Objektkette, einem Relativsatz mit Prädikat und Suffix-Objekt, und einem finalen </w:t>
      </w:r>
      <w:r w:rsidRPr="0054771B">
        <w:rPr>
          <w:rFonts w:eastAsia="Times New Roman"/>
          <w:b/>
          <w:bCs/>
          <w:rtl/>
          <w:lang w:eastAsia="de-DE"/>
        </w:rPr>
        <w:t>וְ</w:t>
      </w:r>
      <w:r w:rsidRPr="0054771B">
        <w:rPr>
          <w:rFonts w:eastAsia="Times New Roman"/>
          <w:lang w:eastAsia="de-DE"/>
        </w:rPr>
        <w:t>-Satz mit Ortsangabe, Relativsatz (mit emphatischem Pronomen, partizipialem Prädikat und Dativ) und finalem Infinitiv mit Suffix. Die verschachtelte Struktur etabliert Moses dauerhafte Mittlerrolle und die Zweckbestimmung der Gebote.</w:t>
      </w:r>
    </w:p>
    <w:p w14:paraId="74C71BCC"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Der Vers hebt Moses besondere Position hervor: Während das Volk zurückkehrt, soll Mose bei JHWH bleiben, um alle weiteren Gebote zu empfangen, die er Israel lehren soll für das Leben im verheißenen Land.</w:t>
      </w:r>
    </w:p>
    <w:p w14:paraId="15826656" w14:textId="77777777" w:rsidR="0054771B" w:rsidRPr="0054771B" w:rsidRDefault="0054771B" w:rsidP="0054771B">
      <w:pPr>
        <w:spacing w:before="100" w:beforeAutospacing="1" w:after="100" w:afterAutospacing="1" w:line="240" w:lineRule="auto"/>
        <w:outlineLvl w:val="1"/>
        <w:rPr>
          <w:rFonts w:eastAsia="Times New Roman"/>
          <w:b/>
          <w:bCs/>
          <w:sz w:val="36"/>
          <w:szCs w:val="36"/>
          <w:lang w:eastAsia="de-DE"/>
        </w:rPr>
      </w:pPr>
      <w:r w:rsidRPr="0054771B">
        <w:rPr>
          <w:rFonts w:eastAsia="Times New Roman"/>
          <w:b/>
          <w:bCs/>
          <w:sz w:val="36"/>
          <w:szCs w:val="36"/>
          <w:lang w:eastAsia="de-DE"/>
        </w:rPr>
        <w:t>Deuteronomium 5,32</w:t>
      </w:r>
    </w:p>
    <w:p w14:paraId="469CA338"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Hebräisch:</w:t>
      </w:r>
      <w:r w:rsidRPr="0054771B">
        <w:rPr>
          <w:rFonts w:eastAsia="Times New Roman"/>
          <w:lang w:eastAsia="de-DE"/>
        </w:rPr>
        <w:t xml:space="preserve"> </w:t>
      </w:r>
      <w:r w:rsidRPr="0054771B">
        <w:rPr>
          <w:rFonts w:eastAsia="Times New Roman"/>
          <w:rtl/>
          <w:lang w:eastAsia="de-DE"/>
        </w:rPr>
        <w:t>וּשְׁמַרְתֶּם לַעֲשׂוֹת כַּאֲשֶׁר צִוָּה יְהוָה אֱלֹהֵיכֶם אֶתְכֶם לֹא תָסֻרוּ יָמִין וּשְׂמֹאל׃</w:t>
      </w:r>
    </w:p>
    <w:p w14:paraId="022E7B1B"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Deutsch:</w:t>
      </w:r>
      <w:r w:rsidRPr="0054771B">
        <w:rPr>
          <w:rFonts w:eastAsia="Times New Roman"/>
          <w:lang w:eastAsia="de-DE"/>
        </w:rPr>
        <w:t xml:space="preserve"> So achtet darauf zu tun, wie der Ewige, euer Gott, euch geboten hat; ihr sollt nicht abweichen zur Rechten noch zur Linken.</w:t>
      </w:r>
    </w:p>
    <w:p w14:paraId="4C357387" w14:textId="77777777" w:rsidR="0054771B" w:rsidRPr="0054771B" w:rsidRDefault="004F5CEB" w:rsidP="0054771B">
      <w:pPr>
        <w:spacing w:after="0" w:line="240" w:lineRule="auto"/>
        <w:rPr>
          <w:rFonts w:eastAsia="Times New Roman"/>
          <w:lang w:eastAsia="de-DE"/>
        </w:rPr>
      </w:pPr>
      <w:r>
        <w:rPr>
          <w:rFonts w:eastAsia="Times New Roman"/>
          <w:noProof/>
          <w:lang w:eastAsia="de-DE"/>
        </w:rPr>
        <w:pict w14:anchorId="5A86AF39">
          <v:rect id="_x0000_i1217" style="width:0;height:1.5pt" o:hralign="center" o:hrstd="t" o:hr="t" fillcolor="#a0a0a0" stroked="f"/>
        </w:pict>
      </w:r>
    </w:p>
    <w:p w14:paraId="399DEF24"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Kommentar:</w:t>
      </w:r>
      <w:r w:rsidRPr="0054771B">
        <w:rPr>
          <w:rFonts w:eastAsia="Times New Roman"/>
          <w:lang w:eastAsia="de-DE"/>
        </w:rPr>
        <w:t xml:space="preserve"> </w:t>
      </w:r>
      <w:r w:rsidRPr="0054771B">
        <w:rPr>
          <w:rFonts w:eastAsia="Times New Roman"/>
          <w:b/>
          <w:bCs/>
          <w:rtl/>
          <w:lang w:eastAsia="de-DE"/>
        </w:rPr>
        <w:t>וּשְׁמַרְתֶּם לַעֲשׂוֹת כַּאֲשֶׁר צִוָּה יְהוָה אֱלֹהֵיכֶם אֶתְכֶם</w:t>
      </w:r>
      <w:r w:rsidRPr="0054771B">
        <w:rPr>
          <w:rFonts w:eastAsia="Times New Roman"/>
          <w:rtl/>
          <w:lang w:eastAsia="de-DE"/>
        </w:rPr>
        <w:t xml:space="preserve"> </w:t>
      </w:r>
      <w:r w:rsidRPr="0054771B">
        <w:rPr>
          <w:rFonts w:eastAsia="Times New Roman"/>
          <w:lang w:eastAsia="de-DE"/>
        </w:rPr>
        <w:t xml:space="preserve">ist ein Imperativsatz: </w:t>
      </w:r>
      <w:r w:rsidRPr="0054771B">
        <w:rPr>
          <w:rFonts w:eastAsia="Times New Roman"/>
          <w:b/>
          <w:bCs/>
          <w:rtl/>
          <w:lang w:eastAsia="de-DE"/>
        </w:rPr>
        <w:t>וּשְׁמַרְתֶּם</w:t>
      </w:r>
      <w:r w:rsidRPr="0054771B">
        <w:rPr>
          <w:rFonts w:eastAsia="Times New Roman"/>
          <w:rtl/>
          <w:lang w:eastAsia="de-DE"/>
        </w:rPr>
        <w:t xml:space="preserve"> </w:t>
      </w:r>
      <w:r w:rsidRPr="0054771B">
        <w:rPr>
          <w:rFonts w:eastAsia="Times New Roman"/>
          <w:lang w:eastAsia="de-DE"/>
        </w:rPr>
        <w:t xml:space="preserve">(Qal Perfekt consecutivum, 2. Person Plural maskulin von </w:t>
      </w:r>
      <w:r w:rsidRPr="0054771B">
        <w:rPr>
          <w:rFonts w:eastAsia="Times New Roman"/>
          <w:b/>
          <w:bCs/>
          <w:rtl/>
          <w:lang w:eastAsia="de-DE"/>
        </w:rPr>
        <w:t>שׁמר</w:t>
      </w:r>
      <w:r w:rsidRPr="0054771B">
        <w:rPr>
          <w:rFonts w:eastAsia="Times New Roman"/>
          <w:lang w:eastAsia="de-DE"/>
        </w:rPr>
        <w:t xml:space="preserve">, „achten, bewahren", mit </w:t>
      </w:r>
      <w:r w:rsidRPr="0054771B">
        <w:rPr>
          <w:rFonts w:eastAsia="Times New Roman"/>
          <w:b/>
          <w:bCs/>
          <w:rtl/>
          <w:lang w:eastAsia="de-DE"/>
        </w:rPr>
        <w:t>וְ</w:t>
      </w:r>
      <w:r w:rsidRPr="0054771B">
        <w:rPr>
          <w:rFonts w:eastAsia="Times New Roman"/>
          <w:rtl/>
          <w:lang w:eastAsia="de-DE"/>
        </w:rPr>
        <w:t xml:space="preserve"> </w:t>
      </w:r>
      <w:r w:rsidRPr="0054771B">
        <w:rPr>
          <w:rFonts w:eastAsia="Times New Roman"/>
          <w:lang w:eastAsia="de-DE"/>
        </w:rPr>
        <w:t xml:space="preserve">– hier in imperativischer Funktion), </w:t>
      </w:r>
      <w:r w:rsidRPr="0054771B">
        <w:rPr>
          <w:rFonts w:eastAsia="Times New Roman"/>
          <w:b/>
          <w:bCs/>
          <w:rtl/>
          <w:lang w:eastAsia="de-DE"/>
        </w:rPr>
        <w:t>לַעֲשׂוֹת</w:t>
      </w:r>
      <w:r w:rsidRPr="0054771B">
        <w:rPr>
          <w:rFonts w:eastAsia="Times New Roman"/>
          <w:rtl/>
          <w:lang w:eastAsia="de-DE"/>
        </w:rPr>
        <w:t xml:space="preserve"> </w:t>
      </w:r>
      <w:r w:rsidRPr="0054771B">
        <w:rPr>
          <w:rFonts w:eastAsia="Times New Roman"/>
          <w:lang w:eastAsia="de-DE"/>
        </w:rPr>
        <w:t xml:space="preserve">als finaler Infinitiv (Qal Infinitiv Construct von </w:t>
      </w:r>
      <w:r w:rsidRPr="0054771B">
        <w:rPr>
          <w:rFonts w:eastAsia="Times New Roman"/>
          <w:b/>
          <w:bCs/>
          <w:rtl/>
          <w:lang w:eastAsia="de-DE"/>
        </w:rPr>
        <w:t>עשׂה</w:t>
      </w:r>
      <w:r w:rsidRPr="0054771B">
        <w:rPr>
          <w:rFonts w:eastAsia="Times New Roman"/>
          <w:rtl/>
          <w:lang w:eastAsia="de-DE"/>
        </w:rPr>
        <w:t xml:space="preserve"> </w:t>
      </w:r>
      <w:r w:rsidRPr="0054771B">
        <w:rPr>
          <w:rFonts w:eastAsia="Times New Roman"/>
          <w:lang w:eastAsia="de-DE"/>
        </w:rPr>
        <w:t xml:space="preserve">mit </w:t>
      </w:r>
      <w:r w:rsidRPr="0054771B">
        <w:rPr>
          <w:rFonts w:eastAsia="Times New Roman"/>
          <w:b/>
          <w:bCs/>
          <w:rtl/>
          <w:lang w:eastAsia="de-DE"/>
        </w:rPr>
        <w:t>לְ</w:t>
      </w:r>
      <w:r w:rsidRPr="0054771B">
        <w:rPr>
          <w:rFonts w:eastAsia="Times New Roman"/>
          <w:lang w:eastAsia="de-DE"/>
        </w:rPr>
        <w:t xml:space="preserve">), </w:t>
      </w:r>
      <w:r w:rsidRPr="0054771B">
        <w:rPr>
          <w:rFonts w:eastAsia="Times New Roman"/>
          <w:b/>
          <w:bCs/>
          <w:rtl/>
          <w:lang w:eastAsia="de-DE"/>
        </w:rPr>
        <w:t>כַּאֲשֶׁר צִוָּה יְהוָה אֱלֹהֵיכֶם אֶתְכֶם</w:t>
      </w:r>
      <w:r w:rsidRPr="0054771B">
        <w:rPr>
          <w:rFonts w:eastAsia="Times New Roman"/>
          <w:rtl/>
          <w:lang w:eastAsia="de-DE"/>
        </w:rPr>
        <w:t xml:space="preserve"> </w:t>
      </w:r>
      <w:r w:rsidRPr="0054771B">
        <w:rPr>
          <w:rFonts w:eastAsia="Times New Roman"/>
          <w:lang w:eastAsia="de-DE"/>
        </w:rPr>
        <w:t>als Vergleichssatz (</w:t>
      </w:r>
      <w:r w:rsidRPr="0054771B">
        <w:rPr>
          <w:rFonts w:eastAsia="Times New Roman"/>
          <w:b/>
          <w:bCs/>
          <w:rtl/>
          <w:lang w:eastAsia="de-DE"/>
        </w:rPr>
        <w:t>כַּאֲשֶׁר</w:t>
      </w:r>
      <w:r w:rsidRPr="0054771B">
        <w:rPr>
          <w:rFonts w:eastAsia="Times New Roman"/>
          <w:lang w:eastAsia="de-DE"/>
        </w:rPr>
        <w:t xml:space="preserve">, Piel Perfekt, 3. Person Singular maskulin von </w:t>
      </w:r>
      <w:r w:rsidRPr="0054771B">
        <w:rPr>
          <w:rFonts w:eastAsia="Times New Roman"/>
          <w:b/>
          <w:bCs/>
          <w:rtl/>
          <w:lang w:eastAsia="de-DE"/>
        </w:rPr>
        <w:t>צוה</w:t>
      </w:r>
      <w:r w:rsidRPr="0054771B">
        <w:rPr>
          <w:rFonts w:eastAsia="Times New Roman"/>
          <w:lang w:eastAsia="de-DE"/>
        </w:rPr>
        <w:t xml:space="preserve">, erweitertes Subjekt und </w:t>
      </w:r>
      <w:r w:rsidRPr="0054771B">
        <w:rPr>
          <w:rFonts w:eastAsia="Times New Roman"/>
          <w:b/>
          <w:bCs/>
          <w:rtl/>
          <w:lang w:eastAsia="de-DE"/>
        </w:rPr>
        <w:t>אֶתְכֶם</w:t>
      </w:r>
      <w:r w:rsidRPr="0054771B">
        <w:rPr>
          <w:rFonts w:eastAsia="Times New Roman"/>
          <w:rtl/>
          <w:lang w:eastAsia="de-DE"/>
        </w:rPr>
        <w:t xml:space="preserve"> </w:t>
      </w:r>
      <w:r w:rsidRPr="0054771B">
        <w:rPr>
          <w:rFonts w:eastAsia="Times New Roman"/>
          <w:lang w:eastAsia="de-DE"/>
        </w:rPr>
        <w:t>als direktes Objekt).</w:t>
      </w:r>
    </w:p>
    <w:p w14:paraId="7AEC1489"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rtl/>
          <w:lang w:eastAsia="de-DE"/>
        </w:rPr>
        <w:t>לֹא תָסֻרוּ יָמִין וּשְׂמֹאל</w:t>
      </w:r>
      <w:r w:rsidRPr="0054771B">
        <w:rPr>
          <w:rFonts w:eastAsia="Times New Roman"/>
          <w:rtl/>
          <w:lang w:eastAsia="de-DE"/>
        </w:rPr>
        <w:t xml:space="preserve"> </w:t>
      </w:r>
      <w:r w:rsidRPr="0054771B">
        <w:rPr>
          <w:rFonts w:eastAsia="Times New Roman"/>
          <w:lang w:eastAsia="de-DE"/>
        </w:rPr>
        <w:t xml:space="preserve">ist ein prohibitiver Satz: </w:t>
      </w:r>
      <w:r w:rsidRPr="0054771B">
        <w:rPr>
          <w:rFonts w:eastAsia="Times New Roman"/>
          <w:b/>
          <w:bCs/>
          <w:rtl/>
          <w:lang w:eastAsia="de-DE"/>
        </w:rPr>
        <w:t>לֹא</w:t>
      </w:r>
      <w:r w:rsidRPr="0054771B">
        <w:rPr>
          <w:rFonts w:eastAsia="Times New Roman"/>
          <w:rtl/>
          <w:lang w:eastAsia="de-DE"/>
        </w:rPr>
        <w:t xml:space="preserve"> </w:t>
      </w:r>
      <w:r w:rsidRPr="0054771B">
        <w:rPr>
          <w:rFonts w:eastAsia="Times New Roman"/>
          <w:lang w:eastAsia="de-DE"/>
        </w:rPr>
        <w:t xml:space="preserve">als Negation, </w:t>
      </w:r>
      <w:r w:rsidRPr="0054771B">
        <w:rPr>
          <w:rFonts w:eastAsia="Times New Roman"/>
          <w:b/>
          <w:bCs/>
          <w:rtl/>
          <w:lang w:eastAsia="de-DE"/>
        </w:rPr>
        <w:t>תָסֻרוּ</w:t>
      </w:r>
      <w:r w:rsidRPr="0054771B">
        <w:rPr>
          <w:rFonts w:eastAsia="Times New Roman"/>
          <w:rtl/>
          <w:lang w:eastAsia="de-DE"/>
        </w:rPr>
        <w:t xml:space="preserve"> </w:t>
      </w:r>
      <w:r w:rsidRPr="0054771B">
        <w:rPr>
          <w:rFonts w:eastAsia="Times New Roman"/>
          <w:lang w:eastAsia="de-DE"/>
        </w:rPr>
        <w:t xml:space="preserve">als Qal Imperfekt, 2. Person Plural maskulin von </w:t>
      </w:r>
      <w:r w:rsidRPr="0054771B">
        <w:rPr>
          <w:rFonts w:eastAsia="Times New Roman"/>
          <w:b/>
          <w:bCs/>
          <w:rtl/>
          <w:lang w:eastAsia="de-DE"/>
        </w:rPr>
        <w:t>סור</w:t>
      </w:r>
      <w:r w:rsidRPr="0054771B">
        <w:rPr>
          <w:rFonts w:eastAsia="Times New Roman"/>
          <w:rtl/>
          <w:lang w:eastAsia="de-DE"/>
        </w:rPr>
        <w:t xml:space="preserve"> </w:t>
      </w:r>
      <w:r w:rsidRPr="0054771B">
        <w:rPr>
          <w:rFonts w:eastAsia="Times New Roman"/>
          <w:lang w:eastAsia="de-DE"/>
        </w:rPr>
        <w:t xml:space="preserve">(„abweichen, sich abwenden"), </w:t>
      </w:r>
      <w:r w:rsidRPr="0054771B">
        <w:rPr>
          <w:rFonts w:eastAsia="Times New Roman"/>
          <w:b/>
          <w:bCs/>
          <w:rtl/>
          <w:lang w:eastAsia="de-DE"/>
        </w:rPr>
        <w:t>יָמִין וּשְׂמֹאל</w:t>
      </w:r>
      <w:r w:rsidRPr="0054771B">
        <w:rPr>
          <w:rFonts w:eastAsia="Times New Roman"/>
          <w:rtl/>
          <w:lang w:eastAsia="de-DE"/>
        </w:rPr>
        <w:t xml:space="preserve"> </w:t>
      </w:r>
      <w:r w:rsidRPr="0054771B">
        <w:rPr>
          <w:rFonts w:eastAsia="Times New Roman"/>
          <w:lang w:eastAsia="de-DE"/>
        </w:rPr>
        <w:t>als koordinierte Richtungsangaben (</w:t>
      </w:r>
      <w:r w:rsidRPr="0054771B">
        <w:rPr>
          <w:rFonts w:eastAsia="Times New Roman"/>
          <w:b/>
          <w:bCs/>
          <w:rtl/>
          <w:lang w:eastAsia="de-DE"/>
        </w:rPr>
        <w:t>יָמִין</w:t>
      </w:r>
      <w:r w:rsidRPr="0054771B">
        <w:rPr>
          <w:rFonts w:eastAsia="Times New Roman"/>
          <w:lang w:eastAsia="de-DE"/>
        </w:rPr>
        <w:t xml:space="preserve">, „Rechte, rechts", und </w:t>
      </w:r>
      <w:r w:rsidRPr="0054771B">
        <w:rPr>
          <w:rFonts w:eastAsia="Times New Roman"/>
          <w:b/>
          <w:bCs/>
          <w:rtl/>
          <w:lang w:eastAsia="de-DE"/>
        </w:rPr>
        <w:t>שְׂמֹאל</w:t>
      </w:r>
      <w:r w:rsidRPr="0054771B">
        <w:rPr>
          <w:rFonts w:eastAsia="Times New Roman"/>
          <w:lang w:eastAsia="de-DE"/>
        </w:rPr>
        <w:t xml:space="preserve">, „Linke, links" – beide ohne Präposition </w:t>
      </w:r>
      <w:r w:rsidRPr="0054771B">
        <w:rPr>
          <w:rFonts w:eastAsia="Times New Roman"/>
          <w:lang w:eastAsia="de-DE"/>
        </w:rPr>
        <w:lastRenderedPageBreak/>
        <w:t xml:space="preserve">als adverbiale Akkusative). Die idiomatische Wendung </w:t>
      </w:r>
      <w:r w:rsidRPr="0054771B">
        <w:rPr>
          <w:rFonts w:eastAsia="Times New Roman"/>
          <w:b/>
          <w:bCs/>
          <w:rtl/>
          <w:lang w:eastAsia="de-DE"/>
        </w:rPr>
        <w:t>לֹא תָסֻרוּ יָמִין וּשְׂמֹאל</w:t>
      </w:r>
      <w:r w:rsidRPr="0054771B">
        <w:rPr>
          <w:rFonts w:eastAsia="Times New Roman"/>
          <w:rtl/>
          <w:lang w:eastAsia="de-DE"/>
        </w:rPr>
        <w:t xml:space="preserve"> </w:t>
      </w:r>
      <w:r w:rsidRPr="0054771B">
        <w:rPr>
          <w:rFonts w:eastAsia="Times New Roman"/>
          <w:lang w:eastAsia="de-DE"/>
        </w:rPr>
        <w:t>bedeutet „weder zur Rechten noch zur Linken abweichen" – ein Merismus für „in keiner Weise abweichen".</w:t>
      </w:r>
    </w:p>
    <w:p w14:paraId="4DDCD184"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Die Mahnung zur präzisen Befolgung der göttlichen Gebote ohne Abweichung nach rechts oder links ist eine klassische deuteronomische Formulierung (vgl. 17,11.20; 28,14; Jos 1,7; 23,6). Sie betont die Vollständigkeit und Unveränderlichkeit der göttlichen Weisung.</w:t>
      </w:r>
    </w:p>
    <w:p w14:paraId="2B5E97A3"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Die Satzstruktur ist ein imperativischer Perfekt-consecutivum-Satz mit finalem Infinitiv und Vergleichssatz (mit Prädikat, erweitertem Subjekt und direktem Objekt), gefolgt von einem prohibitiven Satz mit Negation, Prädikat und koordinierten adverbialen Akkusativen als Richtungsangaben. Die Struktur verbindet positive Aufforderung (achten und tun) mit negativer Warnung (nicht abweichen).</w:t>
      </w:r>
    </w:p>
    <w:p w14:paraId="66EC0428"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Der Vers mahnt zur gewissenhaften Befolgung der göttlichen Gebote ohne jegliche Abweichung – weder zur Rechten noch zur Linken, ein Bild für vollkommenen Gehorsam.</w:t>
      </w:r>
    </w:p>
    <w:p w14:paraId="0768585D" w14:textId="77777777" w:rsidR="0054771B" w:rsidRPr="0054771B" w:rsidRDefault="0054771B" w:rsidP="0054771B">
      <w:pPr>
        <w:spacing w:before="100" w:beforeAutospacing="1" w:after="100" w:afterAutospacing="1" w:line="240" w:lineRule="auto"/>
        <w:outlineLvl w:val="1"/>
        <w:rPr>
          <w:rFonts w:eastAsia="Times New Roman"/>
          <w:b/>
          <w:bCs/>
          <w:sz w:val="36"/>
          <w:szCs w:val="36"/>
          <w:lang w:eastAsia="de-DE"/>
        </w:rPr>
      </w:pPr>
      <w:r w:rsidRPr="0054771B">
        <w:rPr>
          <w:rFonts w:eastAsia="Times New Roman"/>
          <w:b/>
          <w:bCs/>
          <w:sz w:val="36"/>
          <w:szCs w:val="36"/>
          <w:lang w:eastAsia="de-DE"/>
        </w:rPr>
        <w:t>Deuteronomium 5,33</w:t>
      </w:r>
    </w:p>
    <w:p w14:paraId="4912957E"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Hebräisch:</w:t>
      </w:r>
      <w:r w:rsidRPr="0054771B">
        <w:rPr>
          <w:rFonts w:eastAsia="Times New Roman"/>
          <w:lang w:eastAsia="de-DE"/>
        </w:rPr>
        <w:t xml:space="preserve"> </w:t>
      </w:r>
      <w:r w:rsidRPr="0054771B">
        <w:rPr>
          <w:rFonts w:eastAsia="Times New Roman"/>
          <w:rtl/>
          <w:lang w:eastAsia="de-DE"/>
        </w:rPr>
        <w:t>בְּכָל־הַדֶּרֶךְ אֲשֶׁר צִוָּה יְהוָה אֱלֹהֵיכֶם אֶתְכֶם תֵּלֵכוּ לְמַעַן תִּחְיוּן וְטוֹב לָכֶם וְהַאֲרַכְתֶּם יָמִים בָּאָרֶץ אֲשֶׁר תִּירָשׁוּן׃</w:t>
      </w:r>
    </w:p>
    <w:p w14:paraId="68FDD4F8"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Deutsch:</w:t>
      </w:r>
      <w:r w:rsidRPr="0054771B">
        <w:rPr>
          <w:rFonts w:eastAsia="Times New Roman"/>
          <w:lang w:eastAsia="de-DE"/>
        </w:rPr>
        <w:t xml:space="preserve"> Auf dem ganzen Weg, den der Ewige, euer Gott, euch geboten hat, sollt ihr gehen, damit ihr lebt und es euch wohl geht und ihr eure Tage verlängert in dem Land, das ihr besitzen werdet.</w:t>
      </w:r>
    </w:p>
    <w:p w14:paraId="6CE011E5" w14:textId="77777777" w:rsidR="0054771B" w:rsidRPr="0054771B" w:rsidRDefault="004F5CEB" w:rsidP="0054771B">
      <w:pPr>
        <w:spacing w:after="0" w:line="240" w:lineRule="auto"/>
        <w:rPr>
          <w:rFonts w:eastAsia="Times New Roman"/>
          <w:lang w:eastAsia="de-DE"/>
        </w:rPr>
      </w:pPr>
      <w:r>
        <w:rPr>
          <w:rFonts w:eastAsia="Times New Roman"/>
          <w:noProof/>
          <w:lang w:eastAsia="de-DE"/>
        </w:rPr>
        <w:pict w14:anchorId="7BFD0E3F">
          <v:rect id="_x0000_i1218" style="width:0;height:1.5pt" o:hralign="center" o:hrstd="t" o:hr="t" fillcolor="#a0a0a0" stroked="f"/>
        </w:pict>
      </w:r>
    </w:p>
    <w:p w14:paraId="6B1B7C4B"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lang w:eastAsia="de-DE"/>
        </w:rPr>
        <w:t>Kommentar:</w:t>
      </w:r>
      <w:r w:rsidRPr="0054771B">
        <w:rPr>
          <w:rFonts w:eastAsia="Times New Roman"/>
          <w:lang w:eastAsia="de-DE"/>
        </w:rPr>
        <w:t xml:space="preserve"> </w:t>
      </w:r>
      <w:r w:rsidRPr="0054771B">
        <w:rPr>
          <w:rFonts w:eastAsia="Times New Roman"/>
          <w:b/>
          <w:bCs/>
          <w:rtl/>
          <w:lang w:eastAsia="de-DE"/>
        </w:rPr>
        <w:t>בְּכָל־הַדֶּרֶךְ אֲשֶׁר צִוָּה יְהוָה אֱלֹהֵיכֶם אֶתְכֶם תֵּלֵכוּ</w:t>
      </w:r>
      <w:r w:rsidRPr="0054771B">
        <w:rPr>
          <w:rFonts w:eastAsia="Times New Roman"/>
          <w:rtl/>
          <w:lang w:eastAsia="de-DE"/>
        </w:rPr>
        <w:t xml:space="preserve"> </w:t>
      </w:r>
      <w:r w:rsidRPr="0054771B">
        <w:rPr>
          <w:rFonts w:eastAsia="Times New Roman"/>
          <w:lang w:eastAsia="de-DE"/>
        </w:rPr>
        <w:t xml:space="preserve">ist ein Hauptsatz mit vorangestellter modaler bzw. lokaler Bestimmung: </w:t>
      </w:r>
      <w:r w:rsidRPr="0054771B">
        <w:rPr>
          <w:rFonts w:eastAsia="Times New Roman"/>
          <w:b/>
          <w:bCs/>
          <w:rtl/>
          <w:lang w:eastAsia="de-DE"/>
        </w:rPr>
        <w:t>בְּכָל־הַדֶּרֶךְ</w:t>
      </w:r>
      <w:r w:rsidRPr="0054771B">
        <w:rPr>
          <w:rFonts w:eastAsia="Times New Roman"/>
          <w:rtl/>
          <w:lang w:eastAsia="de-DE"/>
        </w:rPr>
        <w:t xml:space="preserve"> </w:t>
      </w:r>
      <w:r w:rsidRPr="0054771B">
        <w:rPr>
          <w:rFonts w:eastAsia="Times New Roman"/>
          <w:lang w:eastAsia="de-DE"/>
        </w:rPr>
        <w:t>(</w:t>
      </w:r>
      <w:r w:rsidRPr="0054771B">
        <w:rPr>
          <w:rFonts w:eastAsia="Times New Roman"/>
          <w:b/>
          <w:bCs/>
          <w:rtl/>
          <w:lang w:eastAsia="de-DE"/>
        </w:rPr>
        <w:t>בְּ</w:t>
      </w:r>
      <w:r w:rsidRPr="0054771B">
        <w:rPr>
          <w:rFonts w:eastAsia="Times New Roman"/>
          <w:rtl/>
          <w:lang w:eastAsia="de-DE"/>
        </w:rPr>
        <w:t xml:space="preserve"> </w:t>
      </w:r>
      <w:r w:rsidRPr="0054771B">
        <w:rPr>
          <w:rFonts w:eastAsia="Times New Roman"/>
          <w:lang w:eastAsia="de-DE"/>
        </w:rPr>
        <w:t xml:space="preserve">mit </w:t>
      </w:r>
      <w:r w:rsidRPr="0054771B">
        <w:rPr>
          <w:rFonts w:eastAsia="Times New Roman"/>
          <w:b/>
          <w:bCs/>
          <w:rtl/>
          <w:lang w:eastAsia="de-DE"/>
        </w:rPr>
        <w:t>כָּל</w:t>
      </w:r>
      <w:r w:rsidRPr="0054771B">
        <w:rPr>
          <w:rFonts w:eastAsia="Times New Roman"/>
          <w:rtl/>
          <w:lang w:eastAsia="de-DE"/>
        </w:rPr>
        <w:t xml:space="preserve"> </w:t>
      </w:r>
      <w:r w:rsidRPr="0054771B">
        <w:rPr>
          <w:rFonts w:eastAsia="Times New Roman"/>
          <w:lang w:eastAsia="de-DE"/>
        </w:rPr>
        <w:t xml:space="preserve">im Construct und </w:t>
      </w:r>
      <w:r w:rsidRPr="0054771B">
        <w:rPr>
          <w:rFonts w:eastAsia="Times New Roman"/>
          <w:b/>
          <w:bCs/>
          <w:rtl/>
          <w:lang w:eastAsia="de-DE"/>
        </w:rPr>
        <w:t>דֶּרֶךְ</w:t>
      </w:r>
      <w:r w:rsidRPr="0054771B">
        <w:rPr>
          <w:rFonts w:eastAsia="Times New Roman"/>
          <w:lang w:eastAsia="de-DE"/>
        </w:rPr>
        <w:t xml:space="preserve">, „Weg", mit Artikel – „auf dem ganzen Weg"), </w:t>
      </w:r>
      <w:r w:rsidRPr="0054771B">
        <w:rPr>
          <w:rFonts w:eastAsia="Times New Roman"/>
          <w:b/>
          <w:bCs/>
          <w:rtl/>
          <w:lang w:eastAsia="de-DE"/>
        </w:rPr>
        <w:t>אֲשֶׁר צִוָּה יְהוָה אֱלֹהֵיכֶם אֶתְכֶם</w:t>
      </w:r>
      <w:r w:rsidRPr="0054771B">
        <w:rPr>
          <w:rFonts w:eastAsia="Times New Roman"/>
          <w:rtl/>
          <w:lang w:eastAsia="de-DE"/>
        </w:rPr>
        <w:t xml:space="preserve"> </w:t>
      </w:r>
      <w:r w:rsidRPr="0054771B">
        <w:rPr>
          <w:rFonts w:eastAsia="Times New Roman"/>
          <w:lang w:eastAsia="de-DE"/>
        </w:rPr>
        <w:t xml:space="preserve">als Relativsatz (Piel Perfekt, 3. Person Singular maskulin von </w:t>
      </w:r>
      <w:r w:rsidRPr="0054771B">
        <w:rPr>
          <w:rFonts w:eastAsia="Times New Roman"/>
          <w:b/>
          <w:bCs/>
          <w:rtl/>
          <w:lang w:eastAsia="de-DE"/>
        </w:rPr>
        <w:t>צוה</w:t>
      </w:r>
      <w:r w:rsidRPr="0054771B">
        <w:rPr>
          <w:rFonts w:eastAsia="Times New Roman"/>
          <w:lang w:eastAsia="de-DE"/>
        </w:rPr>
        <w:t xml:space="preserve">, erweitertes Subjekt, </w:t>
      </w:r>
      <w:r w:rsidRPr="0054771B">
        <w:rPr>
          <w:rFonts w:eastAsia="Times New Roman"/>
          <w:b/>
          <w:bCs/>
          <w:rtl/>
          <w:lang w:eastAsia="de-DE"/>
        </w:rPr>
        <w:t>אֶתְכֶם</w:t>
      </w:r>
      <w:r w:rsidRPr="0054771B">
        <w:rPr>
          <w:rFonts w:eastAsia="Times New Roman"/>
          <w:rtl/>
          <w:lang w:eastAsia="de-DE"/>
        </w:rPr>
        <w:t xml:space="preserve"> </w:t>
      </w:r>
      <w:r w:rsidRPr="0054771B">
        <w:rPr>
          <w:rFonts w:eastAsia="Times New Roman"/>
          <w:lang w:eastAsia="de-DE"/>
        </w:rPr>
        <w:t xml:space="preserve">als direktes Objekt), </w:t>
      </w:r>
      <w:r w:rsidRPr="0054771B">
        <w:rPr>
          <w:rFonts w:eastAsia="Times New Roman"/>
          <w:b/>
          <w:bCs/>
          <w:rtl/>
          <w:lang w:eastAsia="de-DE"/>
        </w:rPr>
        <w:t>תֵּלֵכוּ</w:t>
      </w:r>
      <w:r w:rsidRPr="0054771B">
        <w:rPr>
          <w:rFonts w:eastAsia="Times New Roman"/>
          <w:rtl/>
          <w:lang w:eastAsia="de-DE"/>
        </w:rPr>
        <w:t xml:space="preserve"> </w:t>
      </w:r>
      <w:r w:rsidRPr="0054771B">
        <w:rPr>
          <w:rFonts w:eastAsia="Times New Roman"/>
          <w:lang w:eastAsia="de-DE"/>
        </w:rPr>
        <w:t xml:space="preserve">als Qal Imperfekt, 2. Person Plural maskulin von </w:t>
      </w:r>
      <w:r w:rsidRPr="0054771B">
        <w:rPr>
          <w:rFonts w:eastAsia="Times New Roman"/>
          <w:b/>
          <w:bCs/>
          <w:rtl/>
          <w:lang w:eastAsia="de-DE"/>
        </w:rPr>
        <w:t>הלך</w:t>
      </w:r>
      <w:r w:rsidRPr="0054771B">
        <w:rPr>
          <w:rFonts w:eastAsia="Times New Roman"/>
          <w:rtl/>
          <w:lang w:eastAsia="de-DE"/>
        </w:rPr>
        <w:t xml:space="preserve"> </w:t>
      </w:r>
      <w:r w:rsidRPr="0054771B">
        <w:rPr>
          <w:rFonts w:eastAsia="Times New Roman"/>
          <w:lang w:eastAsia="de-DE"/>
        </w:rPr>
        <w:t>(„gehen, wandeln") – hier in imperativischer Funktion.</w:t>
      </w:r>
    </w:p>
    <w:p w14:paraId="187C3E10"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b/>
          <w:bCs/>
          <w:rtl/>
          <w:lang w:eastAsia="de-DE"/>
        </w:rPr>
        <w:t>לְמַעַן תִּחְיוּן וְטוֹב לָכֶם וְהַאֲרַכְתֶּם יָמִים בָּאָרֶץ אֲשֶׁר תִּירָשׁוּן</w:t>
      </w:r>
      <w:r w:rsidRPr="0054771B">
        <w:rPr>
          <w:rFonts w:eastAsia="Times New Roman"/>
          <w:rtl/>
          <w:lang w:eastAsia="de-DE"/>
        </w:rPr>
        <w:t xml:space="preserve"> </w:t>
      </w:r>
      <w:r w:rsidRPr="0054771B">
        <w:rPr>
          <w:rFonts w:eastAsia="Times New Roman"/>
          <w:lang w:eastAsia="de-DE"/>
        </w:rPr>
        <w:t xml:space="preserve">ist eine dreigliedrige finale Konstruktion: </w:t>
      </w:r>
      <w:r w:rsidRPr="0054771B">
        <w:rPr>
          <w:rFonts w:eastAsia="Times New Roman"/>
          <w:b/>
          <w:bCs/>
          <w:rtl/>
          <w:lang w:eastAsia="de-DE"/>
        </w:rPr>
        <w:t>לְמַעַן תִּחְיוּן</w:t>
      </w:r>
      <w:r w:rsidRPr="0054771B">
        <w:rPr>
          <w:rFonts w:eastAsia="Times New Roman"/>
          <w:rtl/>
          <w:lang w:eastAsia="de-DE"/>
        </w:rPr>
        <w:t xml:space="preserve"> </w:t>
      </w:r>
      <w:r w:rsidRPr="0054771B">
        <w:rPr>
          <w:rFonts w:eastAsia="Times New Roman"/>
          <w:lang w:eastAsia="de-DE"/>
        </w:rPr>
        <w:t>(</w:t>
      </w:r>
      <w:r w:rsidRPr="0054771B">
        <w:rPr>
          <w:rFonts w:eastAsia="Times New Roman"/>
          <w:b/>
          <w:bCs/>
          <w:rtl/>
          <w:lang w:eastAsia="de-DE"/>
        </w:rPr>
        <w:t>לְמַעַן</w:t>
      </w:r>
      <w:r w:rsidRPr="0054771B">
        <w:rPr>
          <w:rFonts w:eastAsia="Times New Roman"/>
          <w:rtl/>
          <w:lang w:eastAsia="de-DE"/>
        </w:rPr>
        <w:t xml:space="preserve"> </w:t>
      </w:r>
      <w:r w:rsidRPr="0054771B">
        <w:rPr>
          <w:rFonts w:eastAsia="Times New Roman"/>
          <w:lang w:eastAsia="de-DE"/>
        </w:rPr>
        <w:t xml:space="preserve">mit Qal Imperfekt, 2. Person Plural maskulin von </w:t>
      </w:r>
      <w:r w:rsidRPr="0054771B">
        <w:rPr>
          <w:rFonts w:eastAsia="Times New Roman"/>
          <w:b/>
          <w:bCs/>
          <w:rtl/>
          <w:lang w:eastAsia="de-DE"/>
        </w:rPr>
        <w:t>חיה</w:t>
      </w:r>
      <w:r w:rsidRPr="0054771B">
        <w:rPr>
          <w:rFonts w:eastAsia="Times New Roman"/>
          <w:lang w:eastAsia="de-DE"/>
        </w:rPr>
        <w:t xml:space="preserve">, „leben", mit paragogischem Nun – „damit ihr lebt"), </w:t>
      </w:r>
      <w:r w:rsidRPr="0054771B">
        <w:rPr>
          <w:rFonts w:eastAsia="Times New Roman"/>
          <w:b/>
          <w:bCs/>
          <w:rtl/>
          <w:lang w:eastAsia="de-DE"/>
        </w:rPr>
        <w:t>וְטוֹב לָכֶם</w:t>
      </w:r>
      <w:r w:rsidRPr="0054771B">
        <w:rPr>
          <w:rFonts w:eastAsia="Times New Roman"/>
          <w:rtl/>
          <w:lang w:eastAsia="de-DE"/>
        </w:rPr>
        <w:t xml:space="preserve"> </w:t>
      </w:r>
      <w:r w:rsidRPr="0054771B">
        <w:rPr>
          <w:rFonts w:eastAsia="Times New Roman"/>
          <w:lang w:eastAsia="de-DE"/>
        </w:rPr>
        <w:t>koordiniert (</w:t>
      </w:r>
      <w:r w:rsidRPr="0054771B">
        <w:rPr>
          <w:rFonts w:eastAsia="Times New Roman"/>
          <w:b/>
          <w:bCs/>
          <w:rtl/>
          <w:lang w:eastAsia="de-DE"/>
        </w:rPr>
        <w:t>וְ</w:t>
      </w:r>
      <w:r w:rsidRPr="0054771B">
        <w:rPr>
          <w:rFonts w:eastAsia="Times New Roman"/>
          <w:rtl/>
          <w:lang w:eastAsia="de-DE"/>
        </w:rPr>
        <w:t xml:space="preserve"> </w:t>
      </w:r>
      <w:r w:rsidRPr="0054771B">
        <w:rPr>
          <w:rFonts w:eastAsia="Times New Roman"/>
          <w:lang w:eastAsia="de-DE"/>
        </w:rPr>
        <w:t xml:space="preserve">mit </w:t>
      </w:r>
      <w:r w:rsidRPr="0054771B">
        <w:rPr>
          <w:rFonts w:eastAsia="Times New Roman"/>
          <w:b/>
          <w:bCs/>
          <w:rtl/>
          <w:lang w:eastAsia="de-DE"/>
        </w:rPr>
        <w:t>טוֹב</w:t>
      </w:r>
      <w:r w:rsidRPr="0054771B">
        <w:rPr>
          <w:rFonts w:eastAsia="Times New Roman"/>
          <w:lang w:eastAsia="de-DE"/>
        </w:rPr>
        <w:t xml:space="preserve">, Adjektiv „gut", und Dativ </w:t>
      </w:r>
      <w:r w:rsidRPr="0054771B">
        <w:rPr>
          <w:rFonts w:eastAsia="Times New Roman"/>
          <w:b/>
          <w:bCs/>
          <w:rtl/>
          <w:lang w:eastAsia="de-DE"/>
        </w:rPr>
        <w:t>לָכֶם</w:t>
      </w:r>
      <w:r w:rsidRPr="0054771B">
        <w:rPr>
          <w:rFonts w:eastAsia="Times New Roman"/>
          <w:rtl/>
          <w:lang w:eastAsia="de-DE"/>
        </w:rPr>
        <w:t xml:space="preserve"> </w:t>
      </w:r>
      <w:r w:rsidRPr="0054771B">
        <w:rPr>
          <w:rFonts w:eastAsia="Times New Roman"/>
          <w:lang w:eastAsia="de-DE"/>
        </w:rPr>
        <w:t xml:space="preserve">– nominaler Satz „und es [ist] gut für euch, es geht euch gut"), </w:t>
      </w:r>
      <w:r w:rsidRPr="0054771B">
        <w:rPr>
          <w:rFonts w:eastAsia="Times New Roman"/>
          <w:b/>
          <w:bCs/>
          <w:rtl/>
          <w:lang w:eastAsia="de-DE"/>
        </w:rPr>
        <w:t>וְהַאֲרַכְתֶּם יָמִים בָּאָרֶץ</w:t>
      </w:r>
      <w:r w:rsidRPr="0054771B">
        <w:rPr>
          <w:rFonts w:eastAsia="Times New Roman"/>
          <w:rtl/>
          <w:lang w:eastAsia="de-DE"/>
        </w:rPr>
        <w:t xml:space="preserve"> </w:t>
      </w:r>
      <w:r w:rsidRPr="0054771B">
        <w:rPr>
          <w:rFonts w:eastAsia="Times New Roman"/>
          <w:lang w:eastAsia="de-DE"/>
        </w:rPr>
        <w:t>koordiniert (</w:t>
      </w:r>
      <w:r w:rsidRPr="0054771B">
        <w:rPr>
          <w:rFonts w:eastAsia="Times New Roman"/>
          <w:b/>
          <w:bCs/>
          <w:rtl/>
          <w:lang w:eastAsia="de-DE"/>
        </w:rPr>
        <w:t>וְ</w:t>
      </w:r>
      <w:r w:rsidRPr="0054771B">
        <w:rPr>
          <w:rFonts w:eastAsia="Times New Roman"/>
          <w:rtl/>
          <w:lang w:eastAsia="de-DE"/>
        </w:rPr>
        <w:t xml:space="preserve"> </w:t>
      </w:r>
      <w:r w:rsidRPr="0054771B">
        <w:rPr>
          <w:rFonts w:eastAsia="Times New Roman"/>
          <w:lang w:eastAsia="de-DE"/>
        </w:rPr>
        <w:t xml:space="preserve">mit Hifil Perfekt, 2. Person Plural maskulin von </w:t>
      </w:r>
      <w:r w:rsidRPr="0054771B">
        <w:rPr>
          <w:rFonts w:eastAsia="Times New Roman"/>
          <w:b/>
          <w:bCs/>
          <w:rtl/>
          <w:lang w:eastAsia="de-DE"/>
        </w:rPr>
        <w:t>ארך</w:t>
      </w:r>
      <w:r w:rsidRPr="0054771B">
        <w:rPr>
          <w:rFonts w:eastAsia="Times New Roman"/>
          <w:lang w:eastAsia="de-DE"/>
        </w:rPr>
        <w:t xml:space="preserve">, „verlängern", </w:t>
      </w:r>
      <w:r w:rsidRPr="0054771B">
        <w:rPr>
          <w:rFonts w:eastAsia="Times New Roman"/>
          <w:b/>
          <w:bCs/>
          <w:rtl/>
          <w:lang w:eastAsia="de-DE"/>
        </w:rPr>
        <w:t>יָמִים</w:t>
      </w:r>
      <w:r w:rsidRPr="0054771B">
        <w:rPr>
          <w:rFonts w:eastAsia="Times New Roman"/>
          <w:rtl/>
          <w:lang w:eastAsia="de-DE"/>
        </w:rPr>
        <w:t xml:space="preserve"> </w:t>
      </w:r>
      <w:r w:rsidRPr="0054771B">
        <w:rPr>
          <w:rFonts w:eastAsia="Times New Roman"/>
          <w:lang w:eastAsia="de-DE"/>
        </w:rPr>
        <w:t xml:space="preserve">als direktes Objekt, </w:t>
      </w:r>
      <w:r w:rsidRPr="0054771B">
        <w:rPr>
          <w:rFonts w:eastAsia="Times New Roman"/>
          <w:b/>
          <w:bCs/>
          <w:rtl/>
          <w:lang w:eastAsia="de-DE"/>
        </w:rPr>
        <w:t>בָּאָרֶץ</w:t>
      </w:r>
      <w:r w:rsidRPr="0054771B">
        <w:rPr>
          <w:rFonts w:eastAsia="Times New Roman"/>
          <w:rtl/>
          <w:lang w:eastAsia="de-DE"/>
        </w:rPr>
        <w:t xml:space="preserve"> </w:t>
      </w:r>
      <w:r w:rsidRPr="0054771B">
        <w:rPr>
          <w:rFonts w:eastAsia="Times New Roman"/>
          <w:lang w:eastAsia="de-DE"/>
        </w:rPr>
        <w:t xml:space="preserve">als Ortsangabe), </w:t>
      </w:r>
      <w:r w:rsidRPr="0054771B">
        <w:rPr>
          <w:rFonts w:eastAsia="Times New Roman"/>
          <w:b/>
          <w:bCs/>
          <w:rtl/>
          <w:lang w:eastAsia="de-DE"/>
        </w:rPr>
        <w:t>אֲשֶׁר תִּירָשׁוּן</w:t>
      </w:r>
      <w:r w:rsidRPr="0054771B">
        <w:rPr>
          <w:rFonts w:eastAsia="Times New Roman"/>
          <w:rtl/>
          <w:lang w:eastAsia="de-DE"/>
        </w:rPr>
        <w:t xml:space="preserve"> </w:t>
      </w:r>
      <w:r w:rsidRPr="0054771B">
        <w:rPr>
          <w:rFonts w:eastAsia="Times New Roman"/>
          <w:lang w:eastAsia="de-DE"/>
        </w:rPr>
        <w:t xml:space="preserve">als Relativsatz (Qal Imperfekt, 2. Person Plural maskulin von </w:t>
      </w:r>
      <w:r w:rsidRPr="0054771B">
        <w:rPr>
          <w:rFonts w:eastAsia="Times New Roman"/>
          <w:b/>
          <w:bCs/>
          <w:rtl/>
          <w:lang w:eastAsia="de-DE"/>
        </w:rPr>
        <w:t>ירשׁ</w:t>
      </w:r>
      <w:r w:rsidRPr="0054771B">
        <w:rPr>
          <w:rFonts w:eastAsia="Times New Roman"/>
          <w:lang w:eastAsia="de-DE"/>
        </w:rPr>
        <w:t>, „in Besitz nehmen", mit paragogischem Nun).</w:t>
      </w:r>
    </w:p>
    <w:p w14:paraId="7165A62E"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Die Metapher des „Weges" für die Lebensführung nach göttlichen Geboten ist zentral im Deuteronomium. Die dreigliedrige Segensverheißung (Leben – Wohlergehen – langes Leben im Land) ist die klassische deuteronomische Bundesformel. Das zweimalige paragogische Nun (</w:t>
      </w:r>
      <w:r w:rsidRPr="0054771B">
        <w:rPr>
          <w:rFonts w:eastAsia="Times New Roman"/>
          <w:b/>
          <w:bCs/>
          <w:rtl/>
          <w:lang w:eastAsia="de-DE"/>
        </w:rPr>
        <w:t>תִּחְיוּן</w:t>
      </w:r>
      <w:r w:rsidRPr="0054771B">
        <w:rPr>
          <w:rFonts w:eastAsia="Times New Roman"/>
          <w:lang w:eastAsia="de-DE"/>
        </w:rPr>
        <w:t xml:space="preserve">, </w:t>
      </w:r>
      <w:r w:rsidRPr="0054771B">
        <w:rPr>
          <w:rFonts w:eastAsia="Times New Roman"/>
          <w:b/>
          <w:bCs/>
          <w:rtl/>
          <w:lang w:eastAsia="de-DE"/>
        </w:rPr>
        <w:t>תִּירָשׁוּן</w:t>
      </w:r>
      <w:r w:rsidRPr="0054771B">
        <w:rPr>
          <w:rFonts w:eastAsia="Times New Roman"/>
          <w:lang w:eastAsia="de-DE"/>
        </w:rPr>
        <w:t>) verleiht den Verben feierlichen Klang.</w:t>
      </w:r>
    </w:p>
    <w:p w14:paraId="63A51FA8"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lastRenderedPageBreak/>
        <w:t>Die Satzstruktur ist ein Hauptsatz mit vorangestellter modaler Bestimmung (mit Relativsatz) und Prädikat in imperativischer Funktion, gefolgt von einer dreigliedrigen koordinierten finalen Konstruktion (die erste und dritte mit paragogischem Nun, die zweite als nominaler Satz, die dritte mit direktem Objekt, Ortsangabe und Relativsatz). Die Struktur verbindet das Gebot des Wandelns auf Gottes Weg mit dreifacher Segensverheißung.</w:t>
      </w:r>
    </w:p>
    <w:p w14:paraId="50BC4E11" w14:textId="77777777" w:rsidR="0054771B" w:rsidRPr="0054771B" w:rsidRDefault="0054771B" w:rsidP="0054771B">
      <w:pPr>
        <w:spacing w:before="100" w:beforeAutospacing="1" w:after="100" w:afterAutospacing="1" w:line="240" w:lineRule="auto"/>
        <w:rPr>
          <w:rFonts w:eastAsia="Times New Roman"/>
          <w:lang w:eastAsia="de-DE"/>
        </w:rPr>
      </w:pPr>
      <w:r w:rsidRPr="0054771B">
        <w:rPr>
          <w:rFonts w:eastAsia="Times New Roman"/>
          <w:lang w:eastAsia="de-DE"/>
        </w:rPr>
        <w:t xml:space="preserve">Der Vers schließt Kapitel 5 mit der umfassenden Mahnung: Israel soll auf dem </w:t>
      </w:r>
      <w:proofErr w:type="spellStart"/>
      <w:r w:rsidRPr="0054771B">
        <w:rPr>
          <w:rFonts w:eastAsia="Times New Roman"/>
          <w:lang w:eastAsia="de-DE"/>
        </w:rPr>
        <w:t>ganzen</w:t>
      </w:r>
      <w:proofErr w:type="spellEnd"/>
      <w:r w:rsidRPr="0054771B">
        <w:rPr>
          <w:rFonts w:eastAsia="Times New Roman"/>
          <w:lang w:eastAsia="de-DE"/>
        </w:rPr>
        <w:t xml:space="preserve"> von JHWH gebotenen Weg gehen, damit es lebt, Wohlergehen erfährt und lange im verheißenen Land bleibt – die klassische Bundeszusage als Abschluss der Dekalog-Rede.</w:t>
      </w:r>
    </w:p>
    <w:p w14:paraId="0422266A" w14:textId="77777777" w:rsidR="0023432A" w:rsidRPr="0023432A" w:rsidRDefault="0023432A" w:rsidP="0023432A">
      <w:pPr>
        <w:spacing w:before="100" w:beforeAutospacing="1" w:after="100" w:afterAutospacing="1" w:line="240" w:lineRule="auto"/>
        <w:outlineLvl w:val="1"/>
        <w:rPr>
          <w:rFonts w:eastAsia="Times New Roman"/>
          <w:b/>
          <w:bCs/>
          <w:sz w:val="36"/>
          <w:szCs w:val="36"/>
          <w:lang w:eastAsia="de-DE"/>
        </w:rPr>
      </w:pPr>
      <w:r w:rsidRPr="0023432A">
        <w:rPr>
          <w:rFonts w:eastAsia="Times New Roman"/>
          <w:b/>
          <w:bCs/>
          <w:sz w:val="36"/>
          <w:szCs w:val="36"/>
          <w:lang w:eastAsia="de-DE"/>
        </w:rPr>
        <w:t>Deuteronomium 6,1</w:t>
      </w:r>
    </w:p>
    <w:p w14:paraId="2D286CFA"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lang w:eastAsia="de-DE"/>
        </w:rPr>
        <w:t>Hebräisch:</w:t>
      </w:r>
      <w:r w:rsidRPr="0023432A">
        <w:rPr>
          <w:rFonts w:eastAsia="Times New Roman"/>
          <w:lang w:eastAsia="de-DE"/>
        </w:rPr>
        <w:t xml:space="preserve"> </w:t>
      </w:r>
      <w:r w:rsidRPr="0023432A">
        <w:rPr>
          <w:rFonts w:eastAsia="Times New Roman"/>
          <w:rtl/>
          <w:lang w:eastAsia="de-DE"/>
        </w:rPr>
        <w:t>וְזֹאת הַמִּצְוָה הַחֻקִּים וְהַמִּשְׁפָּטִים אֲשֶׁר צִוָּה יְהוָה אֱלֹהֵיכֶם לְלַמֵּד אֶתְכֶם לַעֲשׂוֹת בָּאָרֶץ אֲשֶׁר אַתֶּם עֹבְרִים שָׁמָּה לְרִשְׁתָּהּ׃</w:t>
      </w:r>
    </w:p>
    <w:p w14:paraId="02E97CB4"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lang w:eastAsia="de-DE"/>
        </w:rPr>
        <w:t>Deutsch:</w:t>
      </w:r>
      <w:r w:rsidRPr="0023432A">
        <w:rPr>
          <w:rFonts w:eastAsia="Times New Roman"/>
          <w:lang w:eastAsia="de-DE"/>
        </w:rPr>
        <w:t xml:space="preserve"> Und dies ist das Gebot, die Gesetze und die Rechtsvorschriften, die der Ewige, euer Gott, geboten hat, euch zu lehren, damit ihr sie tut in dem Land, wohin ihr hinüberziehend seid, um es in Besitz zu nehmen.</w:t>
      </w:r>
    </w:p>
    <w:p w14:paraId="5261BC9D" w14:textId="77777777" w:rsidR="0023432A" w:rsidRPr="0023432A" w:rsidRDefault="004F5CEB" w:rsidP="0023432A">
      <w:pPr>
        <w:spacing w:after="0" w:line="240" w:lineRule="auto"/>
        <w:rPr>
          <w:rFonts w:eastAsia="Times New Roman"/>
          <w:lang w:eastAsia="de-DE"/>
        </w:rPr>
      </w:pPr>
      <w:r>
        <w:rPr>
          <w:rFonts w:eastAsia="Times New Roman"/>
          <w:noProof/>
          <w:lang w:eastAsia="de-DE"/>
        </w:rPr>
        <w:pict w14:anchorId="28054A59">
          <v:rect id="_x0000_i1219" style="width:0;height:1.5pt" o:hralign="center" o:hrstd="t" o:hr="t" fillcolor="#a0a0a0" stroked="f"/>
        </w:pict>
      </w:r>
    </w:p>
    <w:p w14:paraId="0A8DA7DC"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lang w:eastAsia="de-DE"/>
        </w:rPr>
        <w:t>Kommentar:</w:t>
      </w:r>
      <w:r w:rsidRPr="0023432A">
        <w:rPr>
          <w:rFonts w:eastAsia="Times New Roman"/>
          <w:lang w:eastAsia="de-DE"/>
        </w:rPr>
        <w:t xml:space="preserve"> </w:t>
      </w:r>
      <w:r w:rsidRPr="0023432A">
        <w:rPr>
          <w:rFonts w:eastAsia="Times New Roman"/>
          <w:b/>
          <w:bCs/>
          <w:rtl/>
          <w:lang w:eastAsia="de-DE"/>
        </w:rPr>
        <w:t>וְזֹאת הַמִּצְוָה הַחֻקִּים וְהַמִּשְׁפָּטִים</w:t>
      </w:r>
      <w:r w:rsidRPr="0023432A">
        <w:rPr>
          <w:rFonts w:eastAsia="Times New Roman"/>
          <w:rtl/>
          <w:lang w:eastAsia="de-DE"/>
        </w:rPr>
        <w:t xml:space="preserve"> </w:t>
      </w:r>
      <w:r w:rsidRPr="0023432A">
        <w:rPr>
          <w:rFonts w:eastAsia="Times New Roman"/>
          <w:lang w:eastAsia="de-DE"/>
        </w:rPr>
        <w:t xml:space="preserve">ist ein nominaler Satz: </w:t>
      </w:r>
      <w:r w:rsidRPr="0023432A">
        <w:rPr>
          <w:rFonts w:eastAsia="Times New Roman"/>
          <w:b/>
          <w:bCs/>
          <w:rtl/>
          <w:lang w:eastAsia="de-DE"/>
        </w:rPr>
        <w:t>וְזֹאת</w:t>
      </w:r>
      <w:r w:rsidRPr="0023432A">
        <w:rPr>
          <w:rFonts w:eastAsia="Times New Roman"/>
          <w:rtl/>
          <w:lang w:eastAsia="de-DE"/>
        </w:rPr>
        <w:t xml:space="preserve"> </w:t>
      </w:r>
      <w:r w:rsidRPr="0023432A">
        <w:rPr>
          <w:rFonts w:eastAsia="Times New Roman"/>
          <w:lang w:eastAsia="de-DE"/>
        </w:rPr>
        <w:t xml:space="preserve">als Demonstrativpronomen feminin Singular mit </w:t>
      </w:r>
      <w:r w:rsidRPr="0023432A">
        <w:rPr>
          <w:rFonts w:eastAsia="Times New Roman"/>
          <w:b/>
          <w:bCs/>
          <w:rtl/>
          <w:lang w:eastAsia="de-DE"/>
        </w:rPr>
        <w:t>וְ</w:t>
      </w:r>
      <w:r w:rsidRPr="0023432A">
        <w:rPr>
          <w:rFonts w:eastAsia="Times New Roman"/>
          <w:rtl/>
          <w:lang w:eastAsia="de-DE"/>
        </w:rPr>
        <w:t xml:space="preserve"> </w:t>
      </w:r>
      <w:r w:rsidRPr="0023432A">
        <w:rPr>
          <w:rFonts w:eastAsia="Times New Roman"/>
          <w:lang w:eastAsia="de-DE"/>
        </w:rPr>
        <w:t xml:space="preserve">(„und dies"), </w:t>
      </w:r>
      <w:r w:rsidRPr="0023432A">
        <w:rPr>
          <w:rFonts w:eastAsia="Times New Roman"/>
          <w:b/>
          <w:bCs/>
          <w:rtl/>
          <w:lang w:eastAsia="de-DE"/>
        </w:rPr>
        <w:t>הַמִּצְוָה</w:t>
      </w:r>
      <w:r w:rsidRPr="0023432A">
        <w:rPr>
          <w:rFonts w:eastAsia="Times New Roman"/>
          <w:rtl/>
          <w:lang w:eastAsia="de-DE"/>
        </w:rPr>
        <w:t xml:space="preserve"> </w:t>
      </w:r>
      <w:r w:rsidRPr="0023432A">
        <w:rPr>
          <w:rFonts w:eastAsia="Times New Roman"/>
          <w:lang w:eastAsia="de-DE"/>
        </w:rPr>
        <w:t>als erstes Prädikatsnomen (</w:t>
      </w:r>
      <w:r w:rsidRPr="0023432A">
        <w:rPr>
          <w:rFonts w:eastAsia="Times New Roman"/>
          <w:b/>
          <w:bCs/>
          <w:rtl/>
          <w:lang w:eastAsia="de-DE"/>
        </w:rPr>
        <w:t>מִצְוָה</w:t>
      </w:r>
      <w:r w:rsidRPr="0023432A">
        <w:rPr>
          <w:rFonts w:eastAsia="Times New Roman"/>
          <w:lang w:eastAsia="de-DE"/>
        </w:rPr>
        <w:t xml:space="preserve">, „Gebot", feminin Singular mit Artikel – hier möglicherweise kollektiv), </w:t>
      </w:r>
      <w:r w:rsidRPr="0023432A">
        <w:rPr>
          <w:rFonts w:eastAsia="Times New Roman"/>
          <w:b/>
          <w:bCs/>
          <w:rtl/>
          <w:lang w:eastAsia="de-DE"/>
        </w:rPr>
        <w:t>הַחֻקִּים וְהַמִּשְׁפָּטִים</w:t>
      </w:r>
      <w:r w:rsidRPr="0023432A">
        <w:rPr>
          <w:rFonts w:eastAsia="Times New Roman"/>
          <w:rtl/>
          <w:lang w:eastAsia="de-DE"/>
        </w:rPr>
        <w:t xml:space="preserve"> </w:t>
      </w:r>
      <w:r w:rsidRPr="0023432A">
        <w:rPr>
          <w:rFonts w:eastAsia="Times New Roman"/>
          <w:lang w:eastAsia="de-DE"/>
        </w:rPr>
        <w:t>als koordinierte appositionelle Erweiterung (</w:t>
      </w:r>
      <w:r w:rsidRPr="0023432A">
        <w:rPr>
          <w:rFonts w:eastAsia="Times New Roman"/>
          <w:b/>
          <w:bCs/>
          <w:rtl/>
          <w:lang w:eastAsia="de-DE"/>
        </w:rPr>
        <w:t>חֹק</w:t>
      </w:r>
      <w:r w:rsidRPr="0023432A">
        <w:rPr>
          <w:rFonts w:eastAsia="Times New Roman"/>
          <w:lang w:eastAsia="de-DE"/>
        </w:rPr>
        <w:t xml:space="preserve">, „Gesetz", Plural mit Artikel, und </w:t>
      </w:r>
      <w:r w:rsidRPr="0023432A">
        <w:rPr>
          <w:rFonts w:eastAsia="Times New Roman"/>
          <w:b/>
          <w:bCs/>
          <w:rtl/>
          <w:lang w:eastAsia="de-DE"/>
        </w:rPr>
        <w:t>מִשְׁפָּט</w:t>
      </w:r>
      <w:r w:rsidRPr="0023432A">
        <w:rPr>
          <w:rFonts w:eastAsia="Times New Roman"/>
          <w:lang w:eastAsia="de-DE"/>
        </w:rPr>
        <w:t xml:space="preserve">, „Rechtsvorschrift", Plural mit Artikel). Die Struktur ist syntaktisch ambivalent: entweder ist </w:t>
      </w:r>
      <w:r w:rsidRPr="0023432A">
        <w:rPr>
          <w:rFonts w:eastAsia="Times New Roman"/>
          <w:b/>
          <w:bCs/>
          <w:rtl/>
          <w:lang w:eastAsia="de-DE"/>
        </w:rPr>
        <w:t>הַמִּצְוָה</w:t>
      </w:r>
      <w:r w:rsidRPr="0023432A">
        <w:rPr>
          <w:rFonts w:eastAsia="Times New Roman"/>
          <w:rtl/>
          <w:lang w:eastAsia="de-DE"/>
        </w:rPr>
        <w:t xml:space="preserve"> </w:t>
      </w:r>
      <w:r w:rsidRPr="0023432A">
        <w:rPr>
          <w:rFonts w:eastAsia="Times New Roman"/>
          <w:lang w:eastAsia="de-DE"/>
        </w:rPr>
        <w:t>Singular kollektiv mit appositiver Pluralausfaltung, oder es handelt sich um eine dreigliedrige Aufzählung.</w:t>
      </w:r>
    </w:p>
    <w:p w14:paraId="776D5EB6"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rtl/>
          <w:lang w:eastAsia="de-DE"/>
        </w:rPr>
        <w:t>אֲשֶׁר צִוָּה יְהוָה אֱלֹהֵיכֶם לְלַמֵּד אֶתְכֶם</w:t>
      </w:r>
      <w:r w:rsidRPr="0023432A">
        <w:rPr>
          <w:rFonts w:eastAsia="Times New Roman"/>
          <w:rtl/>
          <w:lang w:eastAsia="de-DE"/>
        </w:rPr>
        <w:t xml:space="preserve"> </w:t>
      </w:r>
      <w:r w:rsidRPr="0023432A">
        <w:rPr>
          <w:rFonts w:eastAsia="Times New Roman"/>
          <w:lang w:eastAsia="de-DE"/>
        </w:rPr>
        <w:t xml:space="preserve">ist ein Relativsatz: </w:t>
      </w:r>
      <w:r w:rsidRPr="0023432A">
        <w:rPr>
          <w:rFonts w:eastAsia="Times New Roman"/>
          <w:b/>
          <w:bCs/>
          <w:rtl/>
          <w:lang w:eastAsia="de-DE"/>
        </w:rPr>
        <w:t>אֲשֶׁר</w:t>
      </w:r>
      <w:r w:rsidRPr="0023432A">
        <w:rPr>
          <w:rFonts w:eastAsia="Times New Roman"/>
          <w:rtl/>
          <w:lang w:eastAsia="de-DE"/>
        </w:rPr>
        <w:t xml:space="preserve"> </w:t>
      </w:r>
      <w:r w:rsidRPr="0023432A">
        <w:rPr>
          <w:rFonts w:eastAsia="Times New Roman"/>
          <w:lang w:eastAsia="de-DE"/>
        </w:rPr>
        <w:t xml:space="preserve">als Relativpronomen, </w:t>
      </w:r>
      <w:r w:rsidRPr="0023432A">
        <w:rPr>
          <w:rFonts w:eastAsia="Times New Roman"/>
          <w:b/>
          <w:bCs/>
          <w:rtl/>
          <w:lang w:eastAsia="de-DE"/>
        </w:rPr>
        <w:t>צִוָּה</w:t>
      </w:r>
      <w:r w:rsidRPr="0023432A">
        <w:rPr>
          <w:rFonts w:eastAsia="Times New Roman"/>
          <w:rtl/>
          <w:lang w:eastAsia="de-DE"/>
        </w:rPr>
        <w:t xml:space="preserve"> </w:t>
      </w:r>
      <w:r w:rsidRPr="0023432A">
        <w:rPr>
          <w:rFonts w:eastAsia="Times New Roman"/>
          <w:lang w:eastAsia="de-DE"/>
        </w:rPr>
        <w:t xml:space="preserve">als Piel Perfekt, 3. Person Singular maskulin von </w:t>
      </w:r>
      <w:r w:rsidRPr="0023432A">
        <w:rPr>
          <w:rFonts w:eastAsia="Times New Roman"/>
          <w:b/>
          <w:bCs/>
          <w:rtl/>
          <w:lang w:eastAsia="de-DE"/>
        </w:rPr>
        <w:t>צוה</w:t>
      </w:r>
      <w:r w:rsidRPr="0023432A">
        <w:rPr>
          <w:rFonts w:eastAsia="Times New Roman"/>
          <w:rtl/>
          <w:lang w:eastAsia="de-DE"/>
        </w:rPr>
        <w:t xml:space="preserve"> </w:t>
      </w:r>
      <w:r w:rsidRPr="0023432A">
        <w:rPr>
          <w:rFonts w:eastAsia="Times New Roman"/>
          <w:lang w:eastAsia="de-DE"/>
        </w:rPr>
        <w:t xml:space="preserve">(„befehlen, gebieten"), </w:t>
      </w:r>
      <w:r w:rsidRPr="0023432A">
        <w:rPr>
          <w:rFonts w:eastAsia="Times New Roman"/>
          <w:b/>
          <w:bCs/>
          <w:rtl/>
          <w:lang w:eastAsia="de-DE"/>
        </w:rPr>
        <w:t>יְהוָה אֱלֹהֵיכֶם</w:t>
      </w:r>
      <w:r w:rsidRPr="0023432A">
        <w:rPr>
          <w:rFonts w:eastAsia="Times New Roman"/>
          <w:rtl/>
          <w:lang w:eastAsia="de-DE"/>
        </w:rPr>
        <w:t xml:space="preserve"> </w:t>
      </w:r>
      <w:r w:rsidRPr="0023432A">
        <w:rPr>
          <w:rFonts w:eastAsia="Times New Roman"/>
          <w:lang w:eastAsia="de-DE"/>
        </w:rPr>
        <w:t xml:space="preserve">als erweitertes Subjekt, </w:t>
      </w:r>
      <w:r w:rsidRPr="0023432A">
        <w:rPr>
          <w:rFonts w:eastAsia="Times New Roman"/>
          <w:b/>
          <w:bCs/>
          <w:rtl/>
          <w:lang w:eastAsia="de-DE"/>
        </w:rPr>
        <w:t>לְלַמֵּד אֶתְכֶם</w:t>
      </w:r>
      <w:r w:rsidRPr="0023432A">
        <w:rPr>
          <w:rFonts w:eastAsia="Times New Roman"/>
          <w:rtl/>
          <w:lang w:eastAsia="de-DE"/>
        </w:rPr>
        <w:t xml:space="preserve"> </w:t>
      </w:r>
      <w:r w:rsidRPr="0023432A">
        <w:rPr>
          <w:rFonts w:eastAsia="Times New Roman"/>
          <w:lang w:eastAsia="de-DE"/>
        </w:rPr>
        <w:t xml:space="preserve">als finaler Infinitiv (Piel Infinitiv Construct von </w:t>
      </w:r>
      <w:r w:rsidRPr="0023432A">
        <w:rPr>
          <w:rFonts w:eastAsia="Times New Roman"/>
          <w:b/>
          <w:bCs/>
          <w:rtl/>
          <w:lang w:eastAsia="de-DE"/>
        </w:rPr>
        <w:t>למד</w:t>
      </w:r>
      <w:r w:rsidRPr="0023432A">
        <w:rPr>
          <w:rFonts w:eastAsia="Times New Roman"/>
          <w:lang w:eastAsia="de-DE"/>
        </w:rPr>
        <w:t xml:space="preserve">, „lehren", mit </w:t>
      </w:r>
      <w:r w:rsidRPr="0023432A">
        <w:rPr>
          <w:rFonts w:eastAsia="Times New Roman"/>
          <w:b/>
          <w:bCs/>
          <w:rtl/>
          <w:lang w:eastAsia="de-DE"/>
        </w:rPr>
        <w:t>לְ</w:t>
      </w:r>
      <w:r w:rsidRPr="0023432A">
        <w:rPr>
          <w:rFonts w:eastAsia="Times New Roman"/>
          <w:rtl/>
          <w:lang w:eastAsia="de-DE"/>
        </w:rPr>
        <w:t xml:space="preserve"> </w:t>
      </w:r>
      <w:r w:rsidRPr="0023432A">
        <w:rPr>
          <w:rFonts w:eastAsia="Times New Roman"/>
          <w:lang w:eastAsia="de-DE"/>
        </w:rPr>
        <w:t xml:space="preserve">und </w:t>
      </w:r>
      <w:r w:rsidRPr="0023432A">
        <w:rPr>
          <w:rFonts w:eastAsia="Times New Roman"/>
          <w:b/>
          <w:bCs/>
          <w:rtl/>
          <w:lang w:eastAsia="de-DE"/>
        </w:rPr>
        <w:t>אֶתְכֶם</w:t>
      </w:r>
      <w:r w:rsidRPr="0023432A">
        <w:rPr>
          <w:rFonts w:eastAsia="Times New Roman"/>
          <w:rtl/>
          <w:lang w:eastAsia="de-DE"/>
        </w:rPr>
        <w:t xml:space="preserve"> </w:t>
      </w:r>
      <w:r w:rsidRPr="0023432A">
        <w:rPr>
          <w:rFonts w:eastAsia="Times New Roman"/>
          <w:lang w:eastAsia="de-DE"/>
        </w:rPr>
        <w:t>als direktes Objekt). Die Verdoppelung des Lamed (</w:t>
      </w:r>
      <w:r w:rsidRPr="0023432A">
        <w:rPr>
          <w:rFonts w:eastAsia="Times New Roman"/>
          <w:b/>
          <w:bCs/>
          <w:rtl/>
          <w:lang w:eastAsia="de-DE"/>
        </w:rPr>
        <w:t>לְלַמֵּד</w:t>
      </w:r>
      <w:r w:rsidRPr="0023432A">
        <w:rPr>
          <w:rFonts w:eastAsia="Times New Roman"/>
          <w:lang w:eastAsia="de-DE"/>
        </w:rPr>
        <w:t>) zeigt die Verbindung der finalen Präposition mit dem Infinitiv.</w:t>
      </w:r>
    </w:p>
    <w:p w14:paraId="39D76A5F"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rtl/>
          <w:lang w:eastAsia="de-DE"/>
        </w:rPr>
        <w:t>לַעֲשׂוֹת בָּאָרֶץ אֲשֶׁר אַתֶּם עֹבְרִים שָׁמָּה לְרִשְׁתָּהּ</w:t>
      </w:r>
      <w:r w:rsidRPr="0023432A">
        <w:rPr>
          <w:rFonts w:eastAsia="Times New Roman"/>
          <w:rtl/>
          <w:lang w:eastAsia="de-DE"/>
        </w:rPr>
        <w:t xml:space="preserve"> </w:t>
      </w:r>
      <w:r w:rsidRPr="0023432A">
        <w:rPr>
          <w:rFonts w:eastAsia="Times New Roman"/>
          <w:lang w:eastAsia="de-DE"/>
        </w:rPr>
        <w:t xml:space="preserve">ist eine weitere finale Konstruktion: </w:t>
      </w:r>
      <w:r w:rsidRPr="0023432A">
        <w:rPr>
          <w:rFonts w:eastAsia="Times New Roman"/>
          <w:b/>
          <w:bCs/>
          <w:rtl/>
          <w:lang w:eastAsia="de-DE"/>
        </w:rPr>
        <w:t>לַעֲשׂוֹת</w:t>
      </w:r>
      <w:r w:rsidRPr="0023432A">
        <w:rPr>
          <w:rFonts w:eastAsia="Times New Roman"/>
          <w:rtl/>
          <w:lang w:eastAsia="de-DE"/>
        </w:rPr>
        <w:t xml:space="preserve"> </w:t>
      </w:r>
      <w:r w:rsidRPr="0023432A">
        <w:rPr>
          <w:rFonts w:eastAsia="Times New Roman"/>
          <w:lang w:eastAsia="de-DE"/>
        </w:rPr>
        <w:t xml:space="preserve">(Qal Infinitiv Construct von </w:t>
      </w:r>
      <w:r w:rsidRPr="0023432A">
        <w:rPr>
          <w:rFonts w:eastAsia="Times New Roman"/>
          <w:b/>
          <w:bCs/>
          <w:rtl/>
          <w:lang w:eastAsia="de-DE"/>
        </w:rPr>
        <w:t>עשׂה</w:t>
      </w:r>
      <w:r w:rsidRPr="0023432A">
        <w:rPr>
          <w:rFonts w:eastAsia="Times New Roman"/>
          <w:lang w:eastAsia="de-DE"/>
        </w:rPr>
        <w:t xml:space="preserve">, „tun", mit </w:t>
      </w:r>
      <w:r w:rsidRPr="0023432A">
        <w:rPr>
          <w:rFonts w:eastAsia="Times New Roman"/>
          <w:b/>
          <w:bCs/>
          <w:rtl/>
          <w:lang w:eastAsia="de-DE"/>
        </w:rPr>
        <w:t>לְ</w:t>
      </w:r>
      <w:r w:rsidRPr="0023432A">
        <w:rPr>
          <w:rFonts w:eastAsia="Times New Roman"/>
          <w:lang w:eastAsia="de-DE"/>
        </w:rPr>
        <w:t xml:space="preserve">), </w:t>
      </w:r>
      <w:r w:rsidRPr="0023432A">
        <w:rPr>
          <w:rFonts w:eastAsia="Times New Roman"/>
          <w:b/>
          <w:bCs/>
          <w:rtl/>
          <w:lang w:eastAsia="de-DE"/>
        </w:rPr>
        <w:t>בָּאָרֶץ</w:t>
      </w:r>
      <w:r w:rsidRPr="0023432A">
        <w:rPr>
          <w:rFonts w:eastAsia="Times New Roman"/>
          <w:rtl/>
          <w:lang w:eastAsia="de-DE"/>
        </w:rPr>
        <w:t xml:space="preserve"> </w:t>
      </w:r>
      <w:r w:rsidRPr="0023432A">
        <w:rPr>
          <w:rFonts w:eastAsia="Times New Roman"/>
          <w:lang w:eastAsia="de-DE"/>
        </w:rPr>
        <w:t xml:space="preserve">als Ortsangabe, </w:t>
      </w:r>
      <w:r w:rsidRPr="0023432A">
        <w:rPr>
          <w:rFonts w:eastAsia="Times New Roman"/>
          <w:b/>
          <w:bCs/>
          <w:rtl/>
          <w:lang w:eastAsia="de-DE"/>
        </w:rPr>
        <w:t>אֲשֶׁר אַתֶּם עֹבְרִים שָׁמָּה</w:t>
      </w:r>
      <w:r w:rsidRPr="0023432A">
        <w:rPr>
          <w:rFonts w:eastAsia="Times New Roman"/>
          <w:rtl/>
          <w:lang w:eastAsia="de-DE"/>
        </w:rPr>
        <w:t xml:space="preserve"> </w:t>
      </w:r>
      <w:r w:rsidRPr="0023432A">
        <w:rPr>
          <w:rFonts w:eastAsia="Times New Roman"/>
          <w:lang w:eastAsia="de-DE"/>
        </w:rPr>
        <w:t>als Relativsatz (</w:t>
      </w:r>
      <w:r w:rsidRPr="0023432A">
        <w:rPr>
          <w:rFonts w:eastAsia="Times New Roman"/>
          <w:b/>
          <w:bCs/>
          <w:rtl/>
          <w:lang w:eastAsia="de-DE"/>
        </w:rPr>
        <w:t>אֲשֶׁר</w:t>
      </w:r>
      <w:r w:rsidRPr="0023432A">
        <w:rPr>
          <w:rFonts w:eastAsia="Times New Roman"/>
          <w:rtl/>
          <w:lang w:eastAsia="de-DE"/>
        </w:rPr>
        <w:t xml:space="preserve"> </w:t>
      </w:r>
      <w:r w:rsidRPr="0023432A">
        <w:rPr>
          <w:rFonts w:eastAsia="Times New Roman"/>
          <w:lang w:eastAsia="de-DE"/>
        </w:rPr>
        <w:t xml:space="preserve">mit </w:t>
      </w:r>
      <w:r w:rsidRPr="0023432A">
        <w:rPr>
          <w:rFonts w:eastAsia="Times New Roman"/>
          <w:b/>
          <w:bCs/>
          <w:rtl/>
          <w:lang w:eastAsia="de-DE"/>
        </w:rPr>
        <w:t>אַתֶּם</w:t>
      </w:r>
      <w:r w:rsidRPr="0023432A">
        <w:rPr>
          <w:rFonts w:eastAsia="Times New Roman"/>
          <w:rtl/>
          <w:lang w:eastAsia="de-DE"/>
        </w:rPr>
        <w:t xml:space="preserve"> </w:t>
      </w:r>
      <w:r w:rsidRPr="0023432A">
        <w:rPr>
          <w:rFonts w:eastAsia="Times New Roman"/>
          <w:lang w:eastAsia="de-DE"/>
        </w:rPr>
        <w:t xml:space="preserve">als Subjekt, </w:t>
      </w:r>
      <w:r w:rsidRPr="0023432A">
        <w:rPr>
          <w:rFonts w:eastAsia="Times New Roman"/>
          <w:b/>
          <w:bCs/>
          <w:rtl/>
          <w:lang w:eastAsia="de-DE"/>
        </w:rPr>
        <w:t>עֹבְרִים</w:t>
      </w:r>
      <w:r w:rsidRPr="0023432A">
        <w:rPr>
          <w:rFonts w:eastAsia="Times New Roman"/>
          <w:rtl/>
          <w:lang w:eastAsia="de-DE"/>
        </w:rPr>
        <w:t xml:space="preserve"> </w:t>
      </w:r>
      <w:r w:rsidRPr="0023432A">
        <w:rPr>
          <w:rFonts w:eastAsia="Times New Roman"/>
          <w:lang w:eastAsia="de-DE"/>
        </w:rPr>
        <w:t xml:space="preserve">als Qal Partizip Plural maskulin von </w:t>
      </w:r>
      <w:r w:rsidRPr="0023432A">
        <w:rPr>
          <w:rFonts w:eastAsia="Times New Roman"/>
          <w:b/>
          <w:bCs/>
          <w:rtl/>
          <w:lang w:eastAsia="de-DE"/>
        </w:rPr>
        <w:t>עבר</w:t>
      </w:r>
      <w:r w:rsidRPr="0023432A">
        <w:rPr>
          <w:rFonts w:eastAsia="Times New Roman"/>
          <w:lang w:eastAsia="de-DE"/>
        </w:rPr>
        <w:t xml:space="preserve">, „hinübergehen", </w:t>
      </w:r>
      <w:r w:rsidRPr="0023432A">
        <w:rPr>
          <w:rFonts w:eastAsia="Times New Roman"/>
          <w:b/>
          <w:bCs/>
          <w:rtl/>
          <w:lang w:eastAsia="de-DE"/>
        </w:rPr>
        <w:t>שָׁמָּה</w:t>
      </w:r>
      <w:r w:rsidRPr="0023432A">
        <w:rPr>
          <w:rFonts w:eastAsia="Times New Roman"/>
          <w:rtl/>
          <w:lang w:eastAsia="de-DE"/>
        </w:rPr>
        <w:t xml:space="preserve"> </w:t>
      </w:r>
      <w:r w:rsidRPr="0023432A">
        <w:rPr>
          <w:rFonts w:eastAsia="Times New Roman"/>
          <w:lang w:eastAsia="de-DE"/>
        </w:rPr>
        <w:t xml:space="preserve">als Richtungsadverb – „wohin ihr hinübergehend seid"), </w:t>
      </w:r>
      <w:r w:rsidRPr="0023432A">
        <w:rPr>
          <w:rFonts w:eastAsia="Times New Roman"/>
          <w:b/>
          <w:bCs/>
          <w:rtl/>
          <w:lang w:eastAsia="de-DE"/>
        </w:rPr>
        <w:t>לְרִשְׁתָּהּ</w:t>
      </w:r>
      <w:r w:rsidRPr="0023432A">
        <w:rPr>
          <w:rFonts w:eastAsia="Times New Roman"/>
          <w:rtl/>
          <w:lang w:eastAsia="de-DE"/>
        </w:rPr>
        <w:t xml:space="preserve"> </w:t>
      </w:r>
      <w:r w:rsidRPr="0023432A">
        <w:rPr>
          <w:rFonts w:eastAsia="Times New Roman"/>
          <w:lang w:eastAsia="de-DE"/>
        </w:rPr>
        <w:t xml:space="preserve">als weiterer finaler Infinitiv (Qal Infinitiv Construct von </w:t>
      </w:r>
      <w:r w:rsidRPr="0023432A">
        <w:rPr>
          <w:rFonts w:eastAsia="Times New Roman"/>
          <w:b/>
          <w:bCs/>
          <w:rtl/>
          <w:lang w:eastAsia="de-DE"/>
        </w:rPr>
        <w:t>ירשׁ</w:t>
      </w:r>
      <w:r w:rsidRPr="0023432A">
        <w:rPr>
          <w:rFonts w:eastAsia="Times New Roman"/>
          <w:lang w:eastAsia="de-DE"/>
        </w:rPr>
        <w:t xml:space="preserve">, „in Besitz nehmen", mit </w:t>
      </w:r>
      <w:r w:rsidRPr="0023432A">
        <w:rPr>
          <w:rFonts w:eastAsia="Times New Roman"/>
          <w:b/>
          <w:bCs/>
          <w:rtl/>
          <w:lang w:eastAsia="de-DE"/>
        </w:rPr>
        <w:t>לְ</w:t>
      </w:r>
      <w:r w:rsidRPr="0023432A">
        <w:rPr>
          <w:rFonts w:eastAsia="Times New Roman"/>
          <w:rtl/>
          <w:lang w:eastAsia="de-DE"/>
        </w:rPr>
        <w:t xml:space="preserve"> </w:t>
      </w:r>
      <w:r w:rsidRPr="0023432A">
        <w:rPr>
          <w:rFonts w:eastAsia="Times New Roman"/>
          <w:lang w:eastAsia="de-DE"/>
        </w:rPr>
        <w:t>und Suffix 3. Person Singular feminin).</w:t>
      </w:r>
    </w:p>
    <w:p w14:paraId="18189AE7"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lang w:eastAsia="de-DE"/>
        </w:rPr>
        <w:t xml:space="preserve">Der Vers knüpft direkt an 5,31 an und bildet die Überschrift für die folgende paränetische Rede. Die dreigliedrige Terminologie </w:t>
      </w:r>
      <w:r w:rsidRPr="0023432A">
        <w:rPr>
          <w:rFonts w:eastAsia="Times New Roman"/>
          <w:b/>
          <w:bCs/>
          <w:rtl/>
          <w:lang w:eastAsia="de-DE"/>
        </w:rPr>
        <w:t>מִצְוָה</w:t>
      </w:r>
      <w:r w:rsidRPr="0023432A">
        <w:rPr>
          <w:rFonts w:eastAsia="Times New Roman"/>
          <w:lang w:eastAsia="de-DE"/>
        </w:rPr>
        <w:t xml:space="preserve">, </w:t>
      </w:r>
      <w:r w:rsidRPr="0023432A">
        <w:rPr>
          <w:rFonts w:eastAsia="Times New Roman"/>
          <w:b/>
          <w:bCs/>
          <w:rtl/>
          <w:lang w:eastAsia="de-DE"/>
        </w:rPr>
        <w:t>חֻקִּים</w:t>
      </w:r>
      <w:r w:rsidRPr="0023432A">
        <w:rPr>
          <w:rFonts w:eastAsia="Times New Roman"/>
          <w:lang w:eastAsia="de-DE"/>
        </w:rPr>
        <w:t xml:space="preserve">, </w:t>
      </w:r>
      <w:r w:rsidRPr="0023432A">
        <w:rPr>
          <w:rFonts w:eastAsia="Times New Roman"/>
          <w:b/>
          <w:bCs/>
          <w:rtl/>
          <w:lang w:eastAsia="de-DE"/>
        </w:rPr>
        <w:t>מִשְׁפָּטִים</w:t>
      </w:r>
      <w:r w:rsidRPr="0023432A">
        <w:rPr>
          <w:rFonts w:eastAsia="Times New Roman"/>
          <w:rtl/>
          <w:lang w:eastAsia="de-DE"/>
        </w:rPr>
        <w:t xml:space="preserve"> </w:t>
      </w:r>
      <w:r w:rsidRPr="0023432A">
        <w:rPr>
          <w:rFonts w:eastAsia="Times New Roman"/>
          <w:lang w:eastAsia="de-DE"/>
        </w:rPr>
        <w:t>umfasst das gesamte Gesetzeskorpus. Die verschachtelte finale Struktur (</w:t>
      </w:r>
      <w:r w:rsidRPr="0023432A">
        <w:rPr>
          <w:rFonts w:eastAsia="Times New Roman"/>
          <w:b/>
          <w:bCs/>
          <w:rtl/>
          <w:lang w:eastAsia="de-DE"/>
        </w:rPr>
        <w:t>לְלַמֵּד... לַעֲשׂוֹת... לְרִשְׁתָּהּ</w:t>
      </w:r>
      <w:r w:rsidRPr="0023432A">
        <w:rPr>
          <w:rFonts w:eastAsia="Times New Roman"/>
          <w:lang w:eastAsia="de-DE"/>
        </w:rPr>
        <w:t>) zeigt die Zweckkette: Gebot → Lehre → Tun im Land → Landnahme.</w:t>
      </w:r>
    </w:p>
    <w:p w14:paraId="02FB41F9"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lang w:eastAsia="de-DE"/>
        </w:rPr>
        <w:lastRenderedPageBreak/>
        <w:t>Die Satzstruktur ist ein nominaler Satz mit Demonstrativpronomen und dreigliedriger Prädikatsaufzählung, erweitert durch einen Relativsatz mit Prädikat, erweitertem Subjekt und finalem Infinitiv mit Objekt, sowie eine weitere verschachtelte finale Konstruktion mit Ortsangabe, Relativsatz (mit partizipialem Prädikat und Richtungsadverb) und weiterem finalem Infinitiv mit Suffix. Die komplexe Struktur etabliert die Zielsetzung der folgenden Gesetzesunterweisung.</w:t>
      </w:r>
    </w:p>
    <w:p w14:paraId="7C1EADD1"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lang w:eastAsia="de-DE"/>
        </w:rPr>
        <w:t>Der Vers bildet die programmatische Überschrift für Kapitel 6 (und darüber hinaus): Dies ist das Gebot/die Gebote, die JHWH befohlen hat zu lehren, damit Israel sie im verheißenen Land tue.</w:t>
      </w:r>
    </w:p>
    <w:p w14:paraId="3FFF2C41" w14:textId="77777777" w:rsidR="0023432A" w:rsidRPr="0023432A" w:rsidRDefault="0023432A" w:rsidP="0023432A">
      <w:pPr>
        <w:spacing w:before="100" w:beforeAutospacing="1" w:after="100" w:afterAutospacing="1" w:line="240" w:lineRule="auto"/>
        <w:outlineLvl w:val="1"/>
        <w:rPr>
          <w:rFonts w:eastAsia="Times New Roman"/>
          <w:b/>
          <w:bCs/>
          <w:sz w:val="36"/>
          <w:szCs w:val="36"/>
          <w:lang w:eastAsia="de-DE"/>
        </w:rPr>
      </w:pPr>
      <w:r w:rsidRPr="0023432A">
        <w:rPr>
          <w:rFonts w:eastAsia="Times New Roman"/>
          <w:b/>
          <w:bCs/>
          <w:sz w:val="36"/>
          <w:szCs w:val="36"/>
          <w:lang w:eastAsia="de-DE"/>
        </w:rPr>
        <w:t>Deuteronomium 6,2</w:t>
      </w:r>
    </w:p>
    <w:p w14:paraId="3B5197CC"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lang w:eastAsia="de-DE"/>
        </w:rPr>
        <w:t>Hebräisch:</w:t>
      </w:r>
      <w:r w:rsidRPr="0023432A">
        <w:rPr>
          <w:rFonts w:eastAsia="Times New Roman"/>
          <w:lang w:eastAsia="de-DE"/>
        </w:rPr>
        <w:t xml:space="preserve"> </w:t>
      </w:r>
      <w:r w:rsidRPr="0023432A">
        <w:rPr>
          <w:rFonts w:eastAsia="Times New Roman"/>
          <w:rtl/>
          <w:lang w:eastAsia="de-DE"/>
        </w:rPr>
        <w:t>לְמַעַן תִּירָא אֶת־יְהוָה אֱלֹהֶיךָ לִשְׁמֹר אֶת־כָּל־חֻקֹּתָיו וּמִצְוֹתָיו אֲשֶׁר אָנֹכִי מְצַוֶּךָ אַתָּה וּבִנְךָ וּבֶן־בִּנְךָ כֹּל יְמֵי חַיֶּיךָ וּלְמַעַן יַאֲרִכֻן יָמֶיךָ׃</w:t>
      </w:r>
    </w:p>
    <w:p w14:paraId="44395350"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lang w:eastAsia="de-DE"/>
        </w:rPr>
        <w:t>Deutsch:</w:t>
      </w:r>
      <w:r w:rsidRPr="0023432A">
        <w:rPr>
          <w:rFonts w:eastAsia="Times New Roman"/>
          <w:lang w:eastAsia="de-DE"/>
        </w:rPr>
        <w:t xml:space="preserve"> damit du fürchtest den Ewigen, deinen Gott, um zu bewahren alle seine Gesetze und seine Gebote, die ich dir gebiete, du und dein Sohn und deines Sohnes Sohn, alle Tage deines Lebens, und damit deine Tage lang werden.</w:t>
      </w:r>
    </w:p>
    <w:p w14:paraId="663DF49C" w14:textId="77777777" w:rsidR="0023432A" w:rsidRPr="0023432A" w:rsidRDefault="004F5CEB" w:rsidP="0023432A">
      <w:pPr>
        <w:spacing w:after="0" w:line="240" w:lineRule="auto"/>
        <w:rPr>
          <w:rFonts w:eastAsia="Times New Roman"/>
          <w:lang w:eastAsia="de-DE"/>
        </w:rPr>
      </w:pPr>
      <w:r>
        <w:rPr>
          <w:rFonts w:eastAsia="Times New Roman"/>
          <w:noProof/>
          <w:lang w:eastAsia="de-DE"/>
        </w:rPr>
        <w:pict w14:anchorId="6E02098D">
          <v:rect id="_x0000_i1220" style="width:0;height:1.5pt" o:hralign="center" o:hrstd="t" o:hr="t" fillcolor="#a0a0a0" stroked="f"/>
        </w:pict>
      </w:r>
    </w:p>
    <w:p w14:paraId="71DDE8A0"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lang w:eastAsia="de-DE"/>
        </w:rPr>
        <w:t>Kommentar:</w:t>
      </w:r>
      <w:r w:rsidRPr="0023432A">
        <w:rPr>
          <w:rFonts w:eastAsia="Times New Roman"/>
          <w:lang w:eastAsia="de-DE"/>
        </w:rPr>
        <w:t xml:space="preserve"> </w:t>
      </w:r>
      <w:r w:rsidRPr="0023432A">
        <w:rPr>
          <w:rFonts w:eastAsia="Times New Roman"/>
          <w:b/>
          <w:bCs/>
          <w:rtl/>
          <w:lang w:eastAsia="de-DE"/>
        </w:rPr>
        <w:t>לְמַעַן תִּירָא אֶת־יְהוָה אֱלֹהֶיךָ</w:t>
      </w:r>
      <w:r w:rsidRPr="0023432A">
        <w:rPr>
          <w:rFonts w:eastAsia="Times New Roman"/>
          <w:rtl/>
          <w:lang w:eastAsia="de-DE"/>
        </w:rPr>
        <w:t xml:space="preserve"> </w:t>
      </w:r>
      <w:r w:rsidRPr="0023432A">
        <w:rPr>
          <w:rFonts w:eastAsia="Times New Roman"/>
          <w:lang w:eastAsia="de-DE"/>
        </w:rPr>
        <w:t xml:space="preserve">ist eine finale Konstruktion: </w:t>
      </w:r>
      <w:r w:rsidRPr="0023432A">
        <w:rPr>
          <w:rFonts w:eastAsia="Times New Roman"/>
          <w:b/>
          <w:bCs/>
          <w:rtl/>
          <w:lang w:eastAsia="de-DE"/>
        </w:rPr>
        <w:t>לְמַעַן</w:t>
      </w:r>
      <w:r w:rsidRPr="0023432A">
        <w:rPr>
          <w:rFonts w:eastAsia="Times New Roman"/>
          <w:rtl/>
          <w:lang w:eastAsia="de-DE"/>
        </w:rPr>
        <w:t xml:space="preserve"> </w:t>
      </w:r>
      <w:r w:rsidRPr="0023432A">
        <w:rPr>
          <w:rFonts w:eastAsia="Times New Roman"/>
          <w:lang w:eastAsia="de-DE"/>
        </w:rPr>
        <w:t xml:space="preserve">(„damit"), </w:t>
      </w:r>
      <w:r w:rsidRPr="0023432A">
        <w:rPr>
          <w:rFonts w:eastAsia="Times New Roman"/>
          <w:b/>
          <w:bCs/>
          <w:rtl/>
          <w:lang w:eastAsia="de-DE"/>
        </w:rPr>
        <w:t>תִּירָא</w:t>
      </w:r>
      <w:r w:rsidRPr="0023432A">
        <w:rPr>
          <w:rFonts w:eastAsia="Times New Roman"/>
          <w:rtl/>
          <w:lang w:eastAsia="de-DE"/>
        </w:rPr>
        <w:t xml:space="preserve"> </w:t>
      </w:r>
      <w:r w:rsidRPr="0023432A">
        <w:rPr>
          <w:rFonts w:eastAsia="Times New Roman"/>
          <w:lang w:eastAsia="de-DE"/>
        </w:rPr>
        <w:t xml:space="preserve">als Qal Imperfekt, 2. Person Singular maskulin von </w:t>
      </w:r>
      <w:r w:rsidRPr="0023432A">
        <w:rPr>
          <w:rFonts w:eastAsia="Times New Roman"/>
          <w:b/>
          <w:bCs/>
          <w:rtl/>
          <w:lang w:eastAsia="de-DE"/>
        </w:rPr>
        <w:t>ירא</w:t>
      </w:r>
      <w:r w:rsidRPr="0023432A">
        <w:rPr>
          <w:rFonts w:eastAsia="Times New Roman"/>
          <w:rtl/>
          <w:lang w:eastAsia="de-DE"/>
        </w:rPr>
        <w:t xml:space="preserve"> </w:t>
      </w:r>
      <w:r w:rsidRPr="0023432A">
        <w:rPr>
          <w:rFonts w:eastAsia="Times New Roman"/>
          <w:lang w:eastAsia="de-DE"/>
        </w:rPr>
        <w:t xml:space="preserve">(„fürchten"), </w:t>
      </w:r>
      <w:r w:rsidRPr="0023432A">
        <w:rPr>
          <w:rFonts w:eastAsia="Times New Roman"/>
          <w:b/>
          <w:bCs/>
          <w:rtl/>
          <w:lang w:eastAsia="de-DE"/>
        </w:rPr>
        <w:t>אֶת־יְהוָה אֱלֹהֶיךָ</w:t>
      </w:r>
      <w:r w:rsidRPr="0023432A">
        <w:rPr>
          <w:rFonts w:eastAsia="Times New Roman"/>
          <w:rtl/>
          <w:lang w:eastAsia="de-DE"/>
        </w:rPr>
        <w:t xml:space="preserve"> </w:t>
      </w:r>
      <w:r w:rsidRPr="0023432A">
        <w:rPr>
          <w:rFonts w:eastAsia="Times New Roman"/>
          <w:lang w:eastAsia="de-DE"/>
        </w:rPr>
        <w:t xml:space="preserve">als direktes Objekt mit erweiterter Gottesbezeichnung. </w:t>
      </w:r>
      <w:r w:rsidRPr="0023432A">
        <w:rPr>
          <w:rFonts w:eastAsia="Times New Roman"/>
          <w:b/>
          <w:bCs/>
          <w:rtl/>
          <w:lang w:eastAsia="de-DE"/>
        </w:rPr>
        <w:t>לִשְׁמֹר אֶת־כָּל־חֻקֹּתָיו וּמִצְוֹתָיו</w:t>
      </w:r>
      <w:r w:rsidRPr="0023432A">
        <w:rPr>
          <w:rFonts w:eastAsia="Times New Roman"/>
          <w:rtl/>
          <w:lang w:eastAsia="de-DE"/>
        </w:rPr>
        <w:t xml:space="preserve"> </w:t>
      </w:r>
      <w:r w:rsidRPr="0023432A">
        <w:rPr>
          <w:rFonts w:eastAsia="Times New Roman"/>
          <w:lang w:eastAsia="de-DE"/>
        </w:rPr>
        <w:t xml:space="preserve">ist eine weitere finale bzw. gerundiale Infinitivkonstruktion: </w:t>
      </w:r>
      <w:r w:rsidRPr="0023432A">
        <w:rPr>
          <w:rFonts w:eastAsia="Times New Roman"/>
          <w:b/>
          <w:bCs/>
          <w:rtl/>
          <w:lang w:eastAsia="de-DE"/>
        </w:rPr>
        <w:t>לִשְׁמֹר</w:t>
      </w:r>
      <w:r w:rsidRPr="0023432A">
        <w:rPr>
          <w:rFonts w:eastAsia="Times New Roman"/>
          <w:rtl/>
          <w:lang w:eastAsia="de-DE"/>
        </w:rPr>
        <w:t xml:space="preserve"> </w:t>
      </w:r>
      <w:r w:rsidRPr="0023432A">
        <w:rPr>
          <w:rFonts w:eastAsia="Times New Roman"/>
          <w:lang w:eastAsia="de-DE"/>
        </w:rPr>
        <w:t xml:space="preserve">(Qal Infinitiv Construct von </w:t>
      </w:r>
      <w:r w:rsidRPr="0023432A">
        <w:rPr>
          <w:rFonts w:eastAsia="Times New Roman"/>
          <w:b/>
          <w:bCs/>
          <w:rtl/>
          <w:lang w:eastAsia="de-DE"/>
        </w:rPr>
        <w:t>שׁמר</w:t>
      </w:r>
      <w:r w:rsidRPr="0023432A">
        <w:rPr>
          <w:rFonts w:eastAsia="Times New Roman"/>
          <w:lang w:eastAsia="de-DE"/>
        </w:rPr>
        <w:t xml:space="preserve">, „bewahren", mit </w:t>
      </w:r>
      <w:r w:rsidRPr="0023432A">
        <w:rPr>
          <w:rFonts w:eastAsia="Times New Roman"/>
          <w:b/>
          <w:bCs/>
          <w:rtl/>
          <w:lang w:eastAsia="de-DE"/>
        </w:rPr>
        <w:t>לְ</w:t>
      </w:r>
      <w:r w:rsidRPr="0023432A">
        <w:rPr>
          <w:rFonts w:eastAsia="Times New Roman"/>
          <w:lang w:eastAsia="de-DE"/>
        </w:rPr>
        <w:t xml:space="preserve">), </w:t>
      </w:r>
      <w:r w:rsidRPr="0023432A">
        <w:rPr>
          <w:rFonts w:eastAsia="Times New Roman"/>
          <w:b/>
          <w:bCs/>
          <w:rtl/>
          <w:lang w:eastAsia="de-DE"/>
        </w:rPr>
        <w:t>אֶת־כָּל־חֻקֹּתָיו וּמִצְוֹתָיו</w:t>
      </w:r>
      <w:r w:rsidRPr="0023432A">
        <w:rPr>
          <w:rFonts w:eastAsia="Times New Roman"/>
          <w:rtl/>
          <w:lang w:eastAsia="de-DE"/>
        </w:rPr>
        <w:t xml:space="preserve"> </w:t>
      </w:r>
      <w:r w:rsidRPr="0023432A">
        <w:rPr>
          <w:rFonts w:eastAsia="Times New Roman"/>
          <w:lang w:eastAsia="de-DE"/>
        </w:rPr>
        <w:t>als zweigliedrige koordinierte Objektkette (</w:t>
      </w:r>
      <w:r w:rsidRPr="0023432A">
        <w:rPr>
          <w:rFonts w:eastAsia="Times New Roman"/>
          <w:b/>
          <w:bCs/>
          <w:rtl/>
          <w:lang w:eastAsia="de-DE"/>
        </w:rPr>
        <w:t>כָּל</w:t>
      </w:r>
      <w:r w:rsidRPr="0023432A">
        <w:rPr>
          <w:rFonts w:eastAsia="Times New Roman"/>
          <w:rtl/>
          <w:lang w:eastAsia="de-DE"/>
        </w:rPr>
        <w:t xml:space="preserve"> </w:t>
      </w:r>
      <w:r w:rsidRPr="0023432A">
        <w:rPr>
          <w:rFonts w:eastAsia="Times New Roman"/>
          <w:lang w:eastAsia="de-DE"/>
        </w:rPr>
        <w:t xml:space="preserve">im Construct mit </w:t>
      </w:r>
      <w:r w:rsidRPr="0023432A">
        <w:rPr>
          <w:rFonts w:eastAsia="Times New Roman"/>
          <w:b/>
          <w:bCs/>
          <w:rtl/>
          <w:lang w:eastAsia="de-DE"/>
        </w:rPr>
        <w:t>חֻקָּה</w:t>
      </w:r>
      <w:r w:rsidRPr="0023432A">
        <w:rPr>
          <w:rFonts w:eastAsia="Times New Roman"/>
          <w:lang w:eastAsia="de-DE"/>
        </w:rPr>
        <w:t xml:space="preserve">, „Gesetz, Satzung", Plural feminin und Suffix 3. Person Singular maskulin, koordiniert mit </w:t>
      </w:r>
      <w:r w:rsidRPr="0023432A">
        <w:rPr>
          <w:rFonts w:eastAsia="Times New Roman"/>
          <w:b/>
          <w:bCs/>
          <w:rtl/>
          <w:lang w:eastAsia="de-DE"/>
        </w:rPr>
        <w:t>מִצְוָה</w:t>
      </w:r>
      <w:r w:rsidRPr="0023432A">
        <w:rPr>
          <w:rFonts w:eastAsia="Times New Roman"/>
          <w:lang w:eastAsia="de-DE"/>
        </w:rPr>
        <w:t>, „Gebot", Plural und Suffix).</w:t>
      </w:r>
    </w:p>
    <w:p w14:paraId="693227CD"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rtl/>
          <w:lang w:eastAsia="de-DE"/>
        </w:rPr>
        <w:t>אֲשֶׁר אָנֹכִי מְצַוֶּךָ</w:t>
      </w:r>
      <w:r w:rsidRPr="0023432A">
        <w:rPr>
          <w:rFonts w:eastAsia="Times New Roman"/>
          <w:rtl/>
          <w:lang w:eastAsia="de-DE"/>
        </w:rPr>
        <w:t xml:space="preserve"> </w:t>
      </w:r>
      <w:r w:rsidRPr="0023432A">
        <w:rPr>
          <w:rFonts w:eastAsia="Times New Roman"/>
          <w:lang w:eastAsia="de-DE"/>
        </w:rPr>
        <w:t xml:space="preserve">ist ein Relativsatz: </w:t>
      </w:r>
      <w:r w:rsidRPr="0023432A">
        <w:rPr>
          <w:rFonts w:eastAsia="Times New Roman"/>
          <w:b/>
          <w:bCs/>
          <w:rtl/>
          <w:lang w:eastAsia="de-DE"/>
        </w:rPr>
        <w:t>אֲשֶׁר</w:t>
      </w:r>
      <w:r w:rsidRPr="0023432A">
        <w:rPr>
          <w:rFonts w:eastAsia="Times New Roman"/>
          <w:rtl/>
          <w:lang w:eastAsia="de-DE"/>
        </w:rPr>
        <w:t xml:space="preserve"> </w:t>
      </w:r>
      <w:r w:rsidRPr="0023432A">
        <w:rPr>
          <w:rFonts w:eastAsia="Times New Roman"/>
          <w:lang w:eastAsia="de-DE"/>
        </w:rPr>
        <w:t xml:space="preserve">als Relativpronomen, </w:t>
      </w:r>
      <w:r w:rsidRPr="0023432A">
        <w:rPr>
          <w:rFonts w:eastAsia="Times New Roman"/>
          <w:b/>
          <w:bCs/>
          <w:rtl/>
          <w:lang w:eastAsia="de-DE"/>
        </w:rPr>
        <w:t>אָנֹכִי</w:t>
      </w:r>
      <w:r w:rsidRPr="0023432A">
        <w:rPr>
          <w:rFonts w:eastAsia="Times New Roman"/>
          <w:rtl/>
          <w:lang w:eastAsia="de-DE"/>
        </w:rPr>
        <w:t xml:space="preserve"> </w:t>
      </w:r>
      <w:r w:rsidRPr="0023432A">
        <w:rPr>
          <w:rFonts w:eastAsia="Times New Roman"/>
          <w:lang w:eastAsia="de-DE"/>
        </w:rPr>
        <w:t xml:space="preserve">als emphatisches Personalpronomen, </w:t>
      </w:r>
      <w:r w:rsidRPr="0023432A">
        <w:rPr>
          <w:rFonts w:eastAsia="Times New Roman"/>
          <w:b/>
          <w:bCs/>
          <w:rtl/>
          <w:lang w:eastAsia="de-DE"/>
        </w:rPr>
        <w:t>מְצַוֶּךָ</w:t>
      </w:r>
      <w:r w:rsidRPr="0023432A">
        <w:rPr>
          <w:rFonts w:eastAsia="Times New Roman"/>
          <w:rtl/>
          <w:lang w:eastAsia="de-DE"/>
        </w:rPr>
        <w:t xml:space="preserve"> </w:t>
      </w:r>
      <w:r w:rsidRPr="0023432A">
        <w:rPr>
          <w:rFonts w:eastAsia="Times New Roman"/>
          <w:lang w:eastAsia="de-DE"/>
        </w:rPr>
        <w:t xml:space="preserve">als Piel Partizip Singular maskulin von </w:t>
      </w:r>
      <w:r w:rsidRPr="0023432A">
        <w:rPr>
          <w:rFonts w:eastAsia="Times New Roman"/>
          <w:b/>
          <w:bCs/>
          <w:rtl/>
          <w:lang w:eastAsia="de-DE"/>
        </w:rPr>
        <w:t>צוה</w:t>
      </w:r>
      <w:r w:rsidRPr="0023432A">
        <w:rPr>
          <w:rFonts w:eastAsia="Times New Roman"/>
          <w:rtl/>
          <w:lang w:eastAsia="de-DE"/>
        </w:rPr>
        <w:t xml:space="preserve"> </w:t>
      </w:r>
      <w:r w:rsidRPr="0023432A">
        <w:rPr>
          <w:rFonts w:eastAsia="Times New Roman"/>
          <w:lang w:eastAsia="de-DE"/>
        </w:rPr>
        <w:t xml:space="preserve">mit Suffix 2. Person Singular maskulin als direktes Objekt. </w:t>
      </w:r>
      <w:r w:rsidRPr="0023432A">
        <w:rPr>
          <w:rFonts w:eastAsia="Times New Roman"/>
          <w:b/>
          <w:bCs/>
          <w:rtl/>
          <w:lang w:eastAsia="de-DE"/>
        </w:rPr>
        <w:t>אַתָּה וּבִנְךָ וּבֶן־בִּנְךָ</w:t>
      </w:r>
      <w:r w:rsidRPr="0023432A">
        <w:rPr>
          <w:rFonts w:eastAsia="Times New Roman"/>
          <w:rtl/>
          <w:lang w:eastAsia="de-DE"/>
        </w:rPr>
        <w:t xml:space="preserve"> </w:t>
      </w:r>
      <w:r w:rsidRPr="0023432A">
        <w:rPr>
          <w:rFonts w:eastAsia="Times New Roman"/>
          <w:lang w:eastAsia="de-DE"/>
        </w:rPr>
        <w:t xml:space="preserve">ist eine dreigliedrige Subjektaufzählung: </w:t>
      </w:r>
      <w:r w:rsidRPr="0023432A">
        <w:rPr>
          <w:rFonts w:eastAsia="Times New Roman"/>
          <w:b/>
          <w:bCs/>
          <w:rtl/>
          <w:lang w:eastAsia="de-DE"/>
        </w:rPr>
        <w:t>אַתָּה</w:t>
      </w:r>
      <w:r w:rsidRPr="0023432A">
        <w:rPr>
          <w:rFonts w:eastAsia="Times New Roman"/>
          <w:rtl/>
          <w:lang w:eastAsia="de-DE"/>
        </w:rPr>
        <w:t xml:space="preserve"> </w:t>
      </w:r>
      <w:r w:rsidRPr="0023432A">
        <w:rPr>
          <w:rFonts w:eastAsia="Times New Roman"/>
          <w:lang w:eastAsia="de-DE"/>
        </w:rPr>
        <w:t xml:space="preserve">als Personalpronomen, </w:t>
      </w:r>
      <w:r w:rsidRPr="0023432A">
        <w:rPr>
          <w:rFonts w:eastAsia="Times New Roman"/>
          <w:b/>
          <w:bCs/>
          <w:rtl/>
          <w:lang w:eastAsia="de-DE"/>
        </w:rPr>
        <w:t>וּבִנְךָ</w:t>
      </w:r>
      <w:r w:rsidRPr="0023432A">
        <w:rPr>
          <w:rFonts w:eastAsia="Times New Roman"/>
          <w:rtl/>
          <w:lang w:eastAsia="de-DE"/>
        </w:rPr>
        <w:t xml:space="preserve"> </w:t>
      </w:r>
      <w:r w:rsidRPr="0023432A">
        <w:rPr>
          <w:rFonts w:eastAsia="Times New Roman"/>
          <w:lang w:eastAsia="de-DE"/>
        </w:rPr>
        <w:t>(</w:t>
      </w:r>
      <w:r w:rsidRPr="0023432A">
        <w:rPr>
          <w:rFonts w:eastAsia="Times New Roman"/>
          <w:b/>
          <w:bCs/>
          <w:rtl/>
          <w:lang w:eastAsia="de-DE"/>
        </w:rPr>
        <w:t>בֵּן</w:t>
      </w:r>
      <w:r w:rsidRPr="0023432A">
        <w:rPr>
          <w:rFonts w:eastAsia="Times New Roman"/>
          <w:rtl/>
          <w:lang w:eastAsia="de-DE"/>
        </w:rPr>
        <w:t xml:space="preserve"> </w:t>
      </w:r>
      <w:r w:rsidRPr="0023432A">
        <w:rPr>
          <w:rFonts w:eastAsia="Times New Roman"/>
          <w:lang w:eastAsia="de-DE"/>
        </w:rPr>
        <w:t xml:space="preserve">mit Suffix 2. Person Singular maskulin), </w:t>
      </w:r>
      <w:r w:rsidRPr="0023432A">
        <w:rPr>
          <w:rFonts w:eastAsia="Times New Roman"/>
          <w:b/>
          <w:bCs/>
          <w:rtl/>
          <w:lang w:eastAsia="de-DE"/>
        </w:rPr>
        <w:t>וּבֶן־בִּנְךָ</w:t>
      </w:r>
      <w:r w:rsidRPr="0023432A">
        <w:rPr>
          <w:rFonts w:eastAsia="Times New Roman"/>
          <w:rtl/>
          <w:lang w:eastAsia="de-DE"/>
        </w:rPr>
        <w:t xml:space="preserve"> </w:t>
      </w:r>
      <w:r w:rsidRPr="0023432A">
        <w:rPr>
          <w:rFonts w:eastAsia="Times New Roman"/>
          <w:lang w:eastAsia="de-DE"/>
        </w:rPr>
        <w:t>(</w:t>
      </w:r>
      <w:r w:rsidRPr="0023432A">
        <w:rPr>
          <w:rFonts w:eastAsia="Times New Roman"/>
          <w:b/>
          <w:bCs/>
          <w:rtl/>
          <w:lang w:eastAsia="de-DE"/>
        </w:rPr>
        <w:t>בֶן</w:t>
      </w:r>
      <w:r w:rsidRPr="0023432A">
        <w:rPr>
          <w:rFonts w:eastAsia="Times New Roman"/>
          <w:rtl/>
          <w:lang w:eastAsia="de-DE"/>
        </w:rPr>
        <w:t xml:space="preserve"> </w:t>
      </w:r>
      <w:r w:rsidRPr="0023432A">
        <w:rPr>
          <w:rFonts w:eastAsia="Times New Roman"/>
          <w:lang w:eastAsia="de-DE"/>
        </w:rPr>
        <w:t xml:space="preserve">im Construct mit </w:t>
      </w:r>
      <w:r w:rsidRPr="0023432A">
        <w:rPr>
          <w:rFonts w:eastAsia="Times New Roman"/>
          <w:b/>
          <w:bCs/>
          <w:rtl/>
          <w:lang w:eastAsia="de-DE"/>
        </w:rPr>
        <w:t>בֵּן</w:t>
      </w:r>
      <w:r w:rsidRPr="0023432A">
        <w:rPr>
          <w:rFonts w:eastAsia="Times New Roman"/>
          <w:rtl/>
          <w:lang w:eastAsia="de-DE"/>
        </w:rPr>
        <w:t xml:space="preserve"> </w:t>
      </w:r>
      <w:r w:rsidRPr="0023432A">
        <w:rPr>
          <w:rFonts w:eastAsia="Times New Roman"/>
          <w:lang w:eastAsia="de-DE"/>
        </w:rPr>
        <w:t xml:space="preserve">und Suffix – „Sohn deines Sohnes, Enkel"). </w:t>
      </w:r>
      <w:r w:rsidRPr="0023432A">
        <w:rPr>
          <w:rFonts w:eastAsia="Times New Roman"/>
          <w:b/>
          <w:bCs/>
          <w:rtl/>
          <w:lang w:eastAsia="de-DE"/>
        </w:rPr>
        <w:t>כֹּל יְמֵי חַיֶּיךָ</w:t>
      </w:r>
      <w:r w:rsidRPr="0023432A">
        <w:rPr>
          <w:rFonts w:eastAsia="Times New Roman"/>
          <w:rtl/>
          <w:lang w:eastAsia="de-DE"/>
        </w:rPr>
        <w:t xml:space="preserve"> </w:t>
      </w:r>
      <w:r w:rsidRPr="0023432A">
        <w:rPr>
          <w:rFonts w:eastAsia="Times New Roman"/>
          <w:lang w:eastAsia="de-DE"/>
        </w:rPr>
        <w:t xml:space="preserve">ist eine temporale Bestimmung: </w:t>
      </w:r>
      <w:r w:rsidRPr="0023432A">
        <w:rPr>
          <w:rFonts w:eastAsia="Times New Roman"/>
          <w:b/>
          <w:bCs/>
          <w:rtl/>
          <w:lang w:eastAsia="de-DE"/>
        </w:rPr>
        <w:t>כֹּל</w:t>
      </w:r>
      <w:r w:rsidRPr="0023432A">
        <w:rPr>
          <w:rFonts w:eastAsia="Times New Roman"/>
          <w:rtl/>
          <w:lang w:eastAsia="de-DE"/>
        </w:rPr>
        <w:t xml:space="preserve"> </w:t>
      </w:r>
      <w:r w:rsidRPr="0023432A">
        <w:rPr>
          <w:rFonts w:eastAsia="Times New Roman"/>
          <w:lang w:eastAsia="de-DE"/>
        </w:rPr>
        <w:t xml:space="preserve">im Construct mit </w:t>
      </w:r>
      <w:r w:rsidRPr="0023432A">
        <w:rPr>
          <w:rFonts w:eastAsia="Times New Roman"/>
          <w:b/>
          <w:bCs/>
          <w:rtl/>
          <w:lang w:eastAsia="de-DE"/>
        </w:rPr>
        <w:t>יוֹם</w:t>
      </w:r>
      <w:r w:rsidRPr="0023432A">
        <w:rPr>
          <w:rFonts w:eastAsia="Times New Roman"/>
          <w:lang w:eastAsia="de-DE"/>
        </w:rPr>
        <w:t>, Plural Construct (</w:t>
      </w:r>
      <w:r w:rsidRPr="0023432A">
        <w:rPr>
          <w:rFonts w:eastAsia="Times New Roman"/>
          <w:b/>
          <w:bCs/>
          <w:rtl/>
          <w:lang w:eastAsia="de-DE"/>
        </w:rPr>
        <w:t>יְמֵי</w:t>
      </w:r>
      <w:r w:rsidRPr="0023432A">
        <w:rPr>
          <w:rFonts w:eastAsia="Times New Roman"/>
          <w:lang w:eastAsia="de-DE"/>
        </w:rPr>
        <w:t xml:space="preserve">), dieser im Construct mit </w:t>
      </w:r>
      <w:r w:rsidRPr="0023432A">
        <w:rPr>
          <w:rFonts w:eastAsia="Times New Roman"/>
          <w:b/>
          <w:bCs/>
          <w:rtl/>
          <w:lang w:eastAsia="de-DE"/>
        </w:rPr>
        <w:t>חַיִּים</w:t>
      </w:r>
      <w:r w:rsidRPr="0023432A">
        <w:rPr>
          <w:rFonts w:eastAsia="Times New Roman"/>
          <w:lang w:eastAsia="de-DE"/>
        </w:rPr>
        <w:t>, Plural (</w:t>
      </w:r>
      <w:r w:rsidRPr="0023432A">
        <w:rPr>
          <w:rFonts w:eastAsia="Times New Roman"/>
          <w:b/>
          <w:bCs/>
          <w:rtl/>
          <w:lang w:eastAsia="de-DE"/>
        </w:rPr>
        <w:t>חַיֶּיךָ</w:t>
      </w:r>
      <w:r w:rsidRPr="0023432A">
        <w:rPr>
          <w:rFonts w:eastAsia="Times New Roman"/>
          <w:lang w:eastAsia="de-DE"/>
        </w:rPr>
        <w:t>) und Suffix 2. Person Singular maskulin – „alle Tage deines Lebens".</w:t>
      </w:r>
    </w:p>
    <w:p w14:paraId="442DD00B"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rtl/>
          <w:lang w:eastAsia="de-DE"/>
        </w:rPr>
        <w:t>וּלְמַעַן יַאֲרִכֻן יָמֶיךָ</w:t>
      </w:r>
      <w:r w:rsidRPr="0023432A">
        <w:rPr>
          <w:rFonts w:eastAsia="Times New Roman"/>
          <w:rtl/>
          <w:lang w:eastAsia="de-DE"/>
        </w:rPr>
        <w:t xml:space="preserve"> </w:t>
      </w:r>
      <w:r w:rsidRPr="0023432A">
        <w:rPr>
          <w:rFonts w:eastAsia="Times New Roman"/>
          <w:lang w:eastAsia="de-DE"/>
        </w:rPr>
        <w:t xml:space="preserve">ist eine koordinierte finale Konstruktion: </w:t>
      </w:r>
      <w:r w:rsidRPr="0023432A">
        <w:rPr>
          <w:rFonts w:eastAsia="Times New Roman"/>
          <w:b/>
          <w:bCs/>
          <w:rtl/>
          <w:lang w:eastAsia="de-DE"/>
        </w:rPr>
        <w:t>וּלְמַעַן</w:t>
      </w:r>
      <w:r w:rsidRPr="0023432A">
        <w:rPr>
          <w:rFonts w:eastAsia="Times New Roman"/>
          <w:rtl/>
          <w:lang w:eastAsia="de-DE"/>
        </w:rPr>
        <w:t xml:space="preserve"> </w:t>
      </w:r>
      <w:r w:rsidRPr="0023432A">
        <w:rPr>
          <w:rFonts w:eastAsia="Times New Roman"/>
          <w:lang w:eastAsia="de-DE"/>
        </w:rPr>
        <w:t xml:space="preserve">mit </w:t>
      </w:r>
      <w:r w:rsidRPr="0023432A">
        <w:rPr>
          <w:rFonts w:eastAsia="Times New Roman"/>
          <w:b/>
          <w:bCs/>
          <w:rtl/>
          <w:lang w:eastAsia="de-DE"/>
        </w:rPr>
        <w:t>יַאֲרִכֻן</w:t>
      </w:r>
      <w:r w:rsidRPr="0023432A">
        <w:rPr>
          <w:rFonts w:eastAsia="Times New Roman"/>
          <w:rtl/>
          <w:lang w:eastAsia="de-DE"/>
        </w:rPr>
        <w:t xml:space="preserve"> </w:t>
      </w:r>
      <w:r w:rsidRPr="0023432A">
        <w:rPr>
          <w:rFonts w:eastAsia="Times New Roman"/>
          <w:lang w:eastAsia="de-DE"/>
        </w:rPr>
        <w:t xml:space="preserve">(Hifil Imperfekt, 3. Person Plural maskulin von </w:t>
      </w:r>
      <w:r w:rsidRPr="0023432A">
        <w:rPr>
          <w:rFonts w:eastAsia="Times New Roman"/>
          <w:b/>
          <w:bCs/>
          <w:rtl/>
          <w:lang w:eastAsia="de-DE"/>
        </w:rPr>
        <w:t>ארך</w:t>
      </w:r>
      <w:r w:rsidRPr="0023432A">
        <w:rPr>
          <w:rFonts w:eastAsia="Times New Roman"/>
          <w:lang w:eastAsia="de-DE"/>
        </w:rPr>
        <w:t xml:space="preserve">, „verlängern, lang machen", mit paragogischem Nun – unpersönlich „damit lang werden"), </w:t>
      </w:r>
      <w:r w:rsidRPr="0023432A">
        <w:rPr>
          <w:rFonts w:eastAsia="Times New Roman"/>
          <w:b/>
          <w:bCs/>
          <w:rtl/>
          <w:lang w:eastAsia="de-DE"/>
        </w:rPr>
        <w:t>יָמֶיךָ</w:t>
      </w:r>
      <w:r w:rsidRPr="0023432A">
        <w:rPr>
          <w:rFonts w:eastAsia="Times New Roman"/>
          <w:rtl/>
          <w:lang w:eastAsia="de-DE"/>
        </w:rPr>
        <w:t xml:space="preserve"> </w:t>
      </w:r>
      <w:r w:rsidRPr="0023432A">
        <w:rPr>
          <w:rFonts w:eastAsia="Times New Roman"/>
          <w:lang w:eastAsia="de-DE"/>
        </w:rPr>
        <w:t>als Subjekt mit Suffix. Die unpersönliche Konstruktion mit Plural-Verb und Singular-Subjekt ist idiomatisch für „damit deine Tage lang werden".</w:t>
      </w:r>
    </w:p>
    <w:p w14:paraId="2C931768"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lang w:eastAsia="de-DE"/>
        </w:rPr>
        <w:t>Die dreigliedrige Generationenfolge (</w:t>
      </w:r>
      <w:r w:rsidRPr="0023432A">
        <w:rPr>
          <w:rFonts w:eastAsia="Times New Roman"/>
          <w:b/>
          <w:bCs/>
          <w:rtl/>
          <w:lang w:eastAsia="de-DE"/>
        </w:rPr>
        <w:t>אַתָּה וּבִנְךָ וּבֶן־בִּנְךָ</w:t>
      </w:r>
      <w:r w:rsidRPr="0023432A">
        <w:rPr>
          <w:rFonts w:eastAsia="Times New Roman"/>
          <w:lang w:eastAsia="de-DE"/>
        </w:rPr>
        <w:t xml:space="preserve">) betont die dauerhafte, generationenübergreifende Gültigkeit der Gebote. Die doppelte </w:t>
      </w:r>
      <w:r w:rsidRPr="0023432A">
        <w:rPr>
          <w:rFonts w:eastAsia="Times New Roman"/>
          <w:b/>
          <w:bCs/>
          <w:rtl/>
          <w:lang w:eastAsia="de-DE"/>
        </w:rPr>
        <w:t>לְמַעַן</w:t>
      </w:r>
      <w:r w:rsidRPr="0023432A">
        <w:rPr>
          <w:rFonts w:eastAsia="Times New Roman"/>
          <w:lang w:eastAsia="de-DE"/>
        </w:rPr>
        <w:t xml:space="preserve">-Konstruktion nennt zwei </w:t>
      </w:r>
      <w:r w:rsidRPr="0023432A">
        <w:rPr>
          <w:rFonts w:eastAsia="Times New Roman"/>
          <w:lang w:eastAsia="de-DE"/>
        </w:rPr>
        <w:lastRenderedPageBreak/>
        <w:t xml:space="preserve">Zwecke: Gottesfurcht und Gebotstreue (erste) sowie langes Leben (zweite). Die Wendung </w:t>
      </w:r>
      <w:r w:rsidRPr="0023432A">
        <w:rPr>
          <w:rFonts w:eastAsia="Times New Roman"/>
          <w:b/>
          <w:bCs/>
          <w:rtl/>
          <w:lang w:eastAsia="de-DE"/>
        </w:rPr>
        <w:t>כֹּל יְמֵי חַיֶּיךָ</w:t>
      </w:r>
      <w:r w:rsidRPr="0023432A">
        <w:rPr>
          <w:rFonts w:eastAsia="Times New Roman"/>
          <w:rtl/>
          <w:lang w:eastAsia="de-DE"/>
        </w:rPr>
        <w:t xml:space="preserve"> </w:t>
      </w:r>
      <w:r w:rsidRPr="0023432A">
        <w:rPr>
          <w:rFonts w:eastAsia="Times New Roman"/>
          <w:lang w:eastAsia="de-DE"/>
        </w:rPr>
        <w:t>ist eine emphatische Zeitangabe für „lebenslang, dein ganzes Leben".</w:t>
      </w:r>
    </w:p>
    <w:p w14:paraId="21F5A95B"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lang w:eastAsia="de-DE"/>
        </w:rPr>
        <w:t>Die Satzstruktur ist eine finale Konstruktion mit Prädikat und direktem Objekt, gefolgt von einer gerundial-finalen Infinitivkonstruktion mit zweigliedriger koordinierter Objektkette, einem Relativsatz mit emphatischem Pronomen und partizipialem Prädikat mit Suffix-Objekt, einer dreigliedrigen Subjektaufzählung (die über drei Generationen reicht), einer temporalen Bestimmung in dreifacher Construct-Verbindung, und einer koordinierten finalen Konstruktion mit unpersönlichem Prädikat und Subjekt mit Suffix. Die verschachtelte Struktur betont die lebenslange, generationenübergreifende Verpflichtung.</w:t>
      </w:r>
    </w:p>
    <w:p w14:paraId="686EC0DA"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lang w:eastAsia="de-DE"/>
        </w:rPr>
        <w:t>Der Vers nennt den ersten Zweck der Gebote: Gottesfurcht und deren Bewahrung durch alle Generationen hindurch, lebenslang, damit die Tage lang werden – die klassische deuteronomische Bundeszusage.</w:t>
      </w:r>
    </w:p>
    <w:p w14:paraId="7BE95F42" w14:textId="77777777" w:rsidR="0023432A" w:rsidRPr="0023432A" w:rsidRDefault="0023432A" w:rsidP="0023432A">
      <w:pPr>
        <w:spacing w:before="100" w:beforeAutospacing="1" w:after="100" w:afterAutospacing="1" w:line="240" w:lineRule="auto"/>
        <w:outlineLvl w:val="1"/>
        <w:rPr>
          <w:rFonts w:eastAsia="Times New Roman"/>
          <w:b/>
          <w:bCs/>
          <w:sz w:val="36"/>
          <w:szCs w:val="36"/>
          <w:lang w:eastAsia="de-DE"/>
        </w:rPr>
      </w:pPr>
      <w:r w:rsidRPr="0023432A">
        <w:rPr>
          <w:rFonts w:eastAsia="Times New Roman"/>
          <w:b/>
          <w:bCs/>
          <w:sz w:val="36"/>
          <w:szCs w:val="36"/>
          <w:lang w:eastAsia="de-DE"/>
        </w:rPr>
        <w:t>Deuteronomium 6,3</w:t>
      </w:r>
    </w:p>
    <w:p w14:paraId="42F84EAD"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lang w:eastAsia="de-DE"/>
        </w:rPr>
        <w:t>Hebräisch:</w:t>
      </w:r>
      <w:r w:rsidRPr="0023432A">
        <w:rPr>
          <w:rFonts w:eastAsia="Times New Roman"/>
          <w:lang w:eastAsia="de-DE"/>
        </w:rPr>
        <w:t xml:space="preserve"> </w:t>
      </w:r>
      <w:r w:rsidRPr="0023432A">
        <w:rPr>
          <w:rFonts w:eastAsia="Times New Roman"/>
          <w:rtl/>
          <w:lang w:eastAsia="de-DE"/>
        </w:rPr>
        <w:t>וְשָׁמַעְתָּ יִשְׂרָאֵל וְשָׁמַרְתָּ לַעֲשׂוֹת אֲשֶׁר יִיטַב לְךָ וַאֲשֶׁר תִּרְבּוּן מְאֹד כַּאֲשֶׁר דִּבֶּר יְהוָה אֱלֹהֵי אֲבֹתֶיךָ לָךְ אֶרֶץ זָבַת חָלָב וּדְבָשׁ׃</w:t>
      </w:r>
    </w:p>
    <w:p w14:paraId="4AEF2BAC"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lang w:eastAsia="de-DE"/>
        </w:rPr>
        <w:t>Deutsch:</w:t>
      </w:r>
      <w:r w:rsidRPr="0023432A">
        <w:rPr>
          <w:rFonts w:eastAsia="Times New Roman"/>
          <w:lang w:eastAsia="de-DE"/>
        </w:rPr>
        <w:t xml:space="preserve"> So höre denn, Jisra'el, und achte darauf, es zu tun, damit es dir wohl geht und ihr euch sehr mehrt - so wie der Ewige, der Gott deiner Väter, zu dir geredet hat - in einem Land, fließend von Milch und Honig!</w:t>
      </w:r>
    </w:p>
    <w:p w14:paraId="546B43BE" w14:textId="77777777" w:rsidR="0023432A" w:rsidRPr="0023432A" w:rsidRDefault="004F5CEB" w:rsidP="0023432A">
      <w:pPr>
        <w:spacing w:after="0" w:line="240" w:lineRule="auto"/>
        <w:rPr>
          <w:rFonts w:eastAsia="Times New Roman"/>
          <w:lang w:eastAsia="de-DE"/>
        </w:rPr>
      </w:pPr>
      <w:r>
        <w:rPr>
          <w:rFonts w:eastAsia="Times New Roman"/>
          <w:noProof/>
          <w:lang w:eastAsia="de-DE"/>
        </w:rPr>
        <w:pict w14:anchorId="5F356287">
          <v:rect id="_x0000_i1221" style="width:0;height:1.5pt" o:hralign="center" o:hrstd="t" o:hr="t" fillcolor="#a0a0a0" stroked="f"/>
        </w:pict>
      </w:r>
    </w:p>
    <w:p w14:paraId="3212BD32"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lang w:eastAsia="de-DE"/>
        </w:rPr>
        <w:t>Kommentar:</w:t>
      </w:r>
      <w:r w:rsidRPr="0023432A">
        <w:rPr>
          <w:rFonts w:eastAsia="Times New Roman"/>
          <w:lang w:eastAsia="de-DE"/>
        </w:rPr>
        <w:t xml:space="preserve"> </w:t>
      </w:r>
      <w:r w:rsidRPr="0023432A">
        <w:rPr>
          <w:rFonts w:eastAsia="Times New Roman"/>
          <w:b/>
          <w:bCs/>
          <w:rtl/>
          <w:lang w:eastAsia="de-DE"/>
        </w:rPr>
        <w:t>וְשָׁמַעְתָּ יִשְׂרָאֵל וְשָׁמַרְתָּ לַעֲשׂוֹת</w:t>
      </w:r>
      <w:r w:rsidRPr="0023432A">
        <w:rPr>
          <w:rFonts w:eastAsia="Times New Roman"/>
          <w:rtl/>
          <w:lang w:eastAsia="de-DE"/>
        </w:rPr>
        <w:t xml:space="preserve"> </w:t>
      </w:r>
      <w:r w:rsidRPr="0023432A">
        <w:rPr>
          <w:rFonts w:eastAsia="Times New Roman"/>
          <w:lang w:eastAsia="de-DE"/>
        </w:rPr>
        <w:t xml:space="preserve">besteht aus zwei koordinierten Imperativen: </w:t>
      </w:r>
      <w:r w:rsidRPr="0023432A">
        <w:rPr>
          <w:rFonts w:eastAsia="Times New Roman"/>
          <w:b/>
          <w:bCs/>
          <w:rtl/>
          <w:lang w:eastAsia="de-DE"/>
        </w:rPr>
        <w:t>וְשָׁמַעְתָּ</w:t>
      </w:r>
      <w:r w:rsidRPr="0023432A">
        <w:rPr>
          <w:rFonts w:eastAsia="Times New Roman"/>
          <w:rtl/>
          <w:lang w:eastAsia="de-DE"/>
        </w:rPr>
        <w:t xml:space="preserve"> </w:t>
      </w:r>
      <w:r w:rsidRPr="0023432A">
        <w:rPr>
          <w:rFonts w:eastAsia="Times New Roman"/>
          <w:lang w:eastAsia="de-DE"/>
        </w:rPr>
        <w:t xml:space="preserve">(Qal Perfekt consecutivum, 2. Person Singular maskulin von </w:t>
      </w:r>
      <w:r w:rsidRPr="0023432A">
        <w:rPr>
          <w:rFonts w:eastAsia="Times New Roman"/>
          <w:b/>
          <w:bCs/>
          <w:rtl/>
          <w:lang w:eastAsia="de-DE"/>
        </w:rPr>
        <w:t>שׁמע</w:t>
      </w:r>
      <w:r w:rsidRPr="0023432A">
        <w:rPr>
          <w:rFonts w:eastAsia="Times New Roman"/>
          <w:lang w:eastAsia="de-DE"/>
        </w:rPr>
        <w:t xml:space="preserve">, „hören", mit </w:t>
      </w:r>
      <w:r w:rsidRPr="0023432A">
        <w:rPr>
          <w:rFonts w:eastAsia="Times New Roman"/>
          <w:b/>
          <w:bCs/>
          <w:rtl/>
          <w:lang w:eastAsia="de-DE"/>
        </w:rPr>
        <w:t>וְ</w:t>
      </w:r>
      <w:r w:rsidRPr="0023432A">
        <w:rPr>
          <w:rFonts w:eastAsia="Times New Roman"/>
          <w:rtl/>
          <w:lang w:eastAsia="de-DE"/>
        </w:rPr>
        <w:t xml:space="preserve"> </w:t>
      </w:r>
      <w:r w:rsidRPr="0023432A">
        <w:rPr>
          <w:rFonts w:eastAsia="Times New Roman"/>
          <w:lang w:eastAsia="de-DE"/>
        </w:rPr>
        <w:t xml:space="preserve">– hier in imperativischer Funktion), </w:t>
      </w:r>
      <w:r w:rsidRPr="0023432A">
        <w:rPr>
          <w:rFonts w:eastAsia="Times New Roman"/>
          <w:b/>
          <w:bCs/>
          <w:rtl/>
          <w:lang w:eastAsia="de-DE"/>
        </w:rPr>
        <w:t>יִשְׂרָאֵל</w:t>
      </w:r>
      <w:r w:rsidRPr="0023432A">
        <w:rPr>
          <w:rFonts w:eastAsia="Times New Roman"/>
          <w:rtl/>
          <w:lang w:eastAsia="de-DE"/>
        </w:rPr>
        <w:t xml:space="preserve"> </w:t>
      </w:r>
      <w:r w:rsidRPr="0023432A">
        <w:rPr>
          <w:rFonts w:eastAsia="Times New Roman"/>
          <w:lang w:eastAsia="de-DE"/>
        </w:rPr>
        <w:t xml:space="preserve">als Vokativ, </w:t>
      </w:r>
      <w:r w:rsidRPr="0023432A">
        <w:rPr>
          <w:rFonts w:eastAsia="Times New Roman"/>
          <w:b/>
          <w:bCs/>
          <w:rtl/>
          <w:lang w:eastAsia="de-DE"/>
        </w:rPr>
        <w:t>וְשָׁמַרְתָּ</w:t>
      </w:r>
      <w:r w:rsidRPr="0023432A">
        <w:rPr>
          <w:rFonts w:eastAsia="Times New Roman"/>
          <w:rtl/>
          <w:lang w:eastAsia="de-DE"/>
        </w:rPr>
        <w:t xml:space="preserve"> </w:t>
      </w:r>
      <w:r w:rsidRPr="0023432A">
        <w:rPr>
          <w:rFonts w:eastAsia="Times New Roman"/>
          <w:lang w:eastAsia="de-DE"/>
        </w:rPr>
        <w:t xml:space="preserve">(Qal Perfekt consecutivum, 2. Person Singular maskulin von </w:t>
      </w:r>
      <w:r w:rsidRPr="0023432A">
        <w:rPr>
          <w:rFonts w:eastAsia="Times New Roman"/>
          <w:b/>
          <w:bCs/>
          <w:rtl/>
          <w:lang w:eastAsia="de-DE"/>
        </w:rPr>
        <w:t>שׁמר</w:t>
      </w:r>
      <w:r w:rsidRPr="0023432A">
        <w:rPr>
          <w:rFonts w:eastAsia="Times New Roman"/>
          <w:lang w:eastAsia="de-DE"/>
        </w:rPr>
        <w:t xml:space="preserve">, „achten, bewahren", mit </w:t>
      </w:r>
      <w:r w:rsidRPr="0023432A">
        <w:rPr>
          <w:rFonts w:eastAsia="Times New Roman"/>
          <w:b/>
          <w:bCs/>
          <w:rtl/>
          <w:lang w:eastAsia="de-DE"/>
        </w:rPr>
        <w:t>וְ</w:t>
      </w:r>
      <w:r w:rsidRPr="0023432A">
        <w:rPr>
          <w:rFonts w:eastAsia="Times New Roman"/>
          <w:lang w:eastAsia="de-DE"/>
        </w:rPr>
        <w:t xml:space="preserve">), </w:t>
      </w:r>
      <w:r w:rsidRPr="0023432A">
        <w:rPr>
          <w:rFonts w:eastAsia="Times New Roman"/>
          <w:b/>
          <w:bCs/>
          <w:rtl/>
          <w:lang w:eastAsia="de-DE"/>
        </w:rPr>
        <w:t>לַעֲשׂוֹת</w:t>
      </w:r>
      <w:r w:rsidRPr="0023432A">
        <w:rPr>
          <w:rFonts w:eastAsia="Times New Roman"/>
          <w:rtl/>
          <w:lang w:eastAsia="de-DE"/>
        </w:rPr>
        <w:t xml:space="preserve"> </w:t>
      </w:r>
      <w:r w:rsidRPr="0023432A">
        <w:rPr>
          <w:rFonts w:eastAsia="Times New Roman"/>
          <w:lang w:eastAsia="de-DE"/>
        </w:rPr>
        <w:t xml:space="preserve">als finaler bzw. gerundial​er Infinitiv (Qal Infinitiv Construct von </w:t>
      </w:r>
      <w:r w:rsidRPr="0023432A">
        <w:rPr>
          <w:rFonts w:eastAsia="Times New Roman"/>
          <w:b/>
          <w:bCs/>
          <w:rtl/>
          <w:lang w:eastAsia="de-DE"/>
        </w:rPr>
        <w:t>עשׂה</w:t>
      </w:r>
      <w:r w:rsidRPr="0023432A">
        <w:rPr>
          <w:rFonts w:eastAsia="Times New Roman"/>
          <w:rtl/>
          <w:lang w:eastAsia="de-DE"/>
        </w:rPr>
        <w:t xml:space="preserve"> </w:t>
      </w:r>
      <w:r w:rsidRPr="0023432A">
        <w:rPr>
          <w:rFonts w:eastAsia="Times New Roman"/>
          <w:lang w:eastAsia="de-DE"/>
        </w:rPr>
        <w:t xml:space="preserve">mit </w:t>
      </w:r>
      <w:r w:rsidRPr="0023432A">
        <w:rPr>
          <w:rFonts w:eastAsia="Times New Roman"/>
          <w:b/>
          <w:bCs/>
          <w:rtl/>
          <w:lang w:eastAsia="de-DE"/>
        </w:rPr>
        <w:t>לְ</w:t>
      </w:r>
      <w:r w:rsidRPr="0023432A">
        <w:rPr>
          <w:rFonts w:eastAsia="Times New Roman"/>
          <w:rtl/>
          <w:lang w:eastAsia="de-DE"/>
        </w:rPr>
        <w:t xml:space="preserve"> </w:t>
      </w:r>
      <w:r w:rsidRPr="0023432A">
        <w:rPr>
          <w:rFonts w:eastAsia="Times New Roman"/>
          <w:lang w:eastAsia="de-DE"/>
        </w:rPr>
        <w:t>– „um zu tun, zu tun").</w:t>
      </w:r>
    </w:p>
    <w:p w14:paraId="13F0F398"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rtl/>
          <w:lang w:eastAsia="de-DE"/>
        </w:rPr>
        <w:t>אֲשֶׁר יִיטַב לְךָ וַאֲשֶׁר תִּרְבּוּן מְאֹד</w:t>
      </w:r>
      <w:r w:rsidRPr="0023432A">
        <w:rPr>
          <w:rFonts w:eastAsia="Times New Roman"/>
          <w:rtl/>
          <w:lang w:eastAsia="de-DE"/>
        </w:rPr>
        <w:t xml:space="preserve"> </w:t>
      </w:r>
      <w:r w:rsidRPr="0023432A">
        <w:rPr>
          <w:rFonts w:eastAsia="Times New Roman"/>
          <w:lang w:eastAsia="de-DE"/>
        </w:rPr>
        <w:t xml:space="preserve">ist eine zweigliedrige finale Relativkonstruktion: </w:t>
      </w:r>
      <w:r w:rsidRPr="0023432A">
        <w:rPr>
          <w:rFonts w:eastAsia="Times New Roman"/>
          <w:b/>
          <w:bCs/>
          <w:rtl/>
          <w:lang w:eastAsia="de-DE"/>
        </w:rPr>
        <w:t>אֲשֶׁר יִיטַב לְךָ</w:t>
      </w:r>
      <w:r w:rsidRPr="0023432A">
        <w:rPr>
          <w:rFonts w:eastAsia="Times New Roman"/>
          <w:rtl/>
          <w:lang w:eastAsia="de-DE"/>
        </w:rPr>
        <w:t xml:space="preserve"> </w:t>
      </w:r>
      <w:r w:rsidRPr="0023432A">
        <w:rPr>
          <w:rFonts w:eastAsia="Times New Roman"/>
          <w:lang w:eastAsia="de-DE"/>
        </w:rPr>
        <w:t xml:space="preserve">(Relativpronomen mit Qal Imperfekt, 3. Person Singular maskulin von </w:t>
      </w:r>
      <w:r w:rsidRPr="0023432A">
        <w:rPr>
          <w:rFonts w:eastAsia="Times New Roman"/>
          <w:b/>
          <w:bCs/>
          <w:rtl/>
          <w:lang w:eastAsia="de-DE"/>
        </w:rPr>
        <w:t>יטב</w:t>
      </w:r>
      <w:r w:rsidRPr="0023432A">
        <w:rPr>
          <w:rFonts w:eastAsia="Times New Roman"/>
          <w:lang w:eastAsia="de-DE"/>
        </w:rPr>
        <w:t xml:space="preserve">, „gut sein, gut gehen", und Dativ – „damit es dir gut geht"), </w:t>
      </w:r>
      <w:r w:rsidRPr="0023432A">
        <w:rPr>
          <w:rFonts w:eastAsia="Times New Roman"/>
          <w:b/>
          <w:bCs/>
          <w:rtl/>
          <w:lang w:eastAsia="de-DE"/>
        </w:rPr>
        <w:t>וַאֲשֶׁר תִּרְבּוּן מְאֹד</w:t>
      </w:r>
      <w:r w:rsidRPr="0023432A">
        <w:rPr>
          <w:rFonts w:eastAsia="Times New Roman"/>
          <w:rtl/>
          <w:lang w:eastAsia="de-DE"/>
        </w:rPr>
        <w:t xml:space="preserve"> </w:t>
      </w:r>
      <w:r w:rsidRPr="0023432A">
        <w:rPr>
          <w:rFonts w:eastAsia="Times New Roman"/>
          <w:lang w:eastAsia="de-DE"/>
        </w:rPr>
        <w:t>koordiniert (</w:t>
      </w:r>
      <w:r w:rsidRPr="0023432A">
        <w:rPr>
          <w:rFonts w:eastAsia="Times New Roman"/>
          <w:b/>
          <w:bCs/>
          <w:rtl/>
          <w:lang w:eastAsia="de-DE"/>
        </w:rPr>
        <w:t>וְ</w:t>
      </w:r>
      <w:r w:rsidRPr="0023432A">
        <w:rPr>
          <w:rFonts w:eastAsia="Times New Roman"/>
          <w:rtl/>
          <w:lang w:eastAsia="de-DE"/>
        </w:rPr>
        <w:t xml:space="preserve"> </w:t>
      </w:r>
      <w:r w:rsidRPr="0023432A">
        <w:rPr>
          <w:rFonts w:eastAsia="Times New Roman"/>
          <w:lang w:eastAsia="de-DE"/>
        </w:rPr>
        <w:t xml:space="preserve">mit </w:t>
      </w:r>
      <w:r w:rsidRPr="0023432A">
        <w:rPr>
          <w:rFonts w:eastAsia="Times New Roman"/>
          <w:b/>
          <w:bCs/>
          <w:rtl/>
          <w:lang w:eastAsia="de-DE"/>
        </w:rPr>
        <w:t>אֲשֶׁר</w:t>
      </w:r>
      <w:r w:rsidRPr="0023432A">
        <w:rPr>
          <w:rFonts w:eastAsia="Times New Roman"/>
          <w:lang w:eastAsia="de-DE"/>
        </w:rPr>
        <w:t xml:space="preserve">, </w:t>
      </w:r>
      <w:r w:rsidRPr="0023432A">
        <w:rPr>
          <w:rFonts w:eastAsia="Times New Roman"/>
          <w:b/>
          <w:bCs/>
          <w:rtl/>
          <w:lang w:eastAsia="de-DE"/>
        </w:rPr>
        <w:t>תִּרְבּוּן</w:t>
      </w:r>
      <w:r w:rsidRPr="0023432A">
        <w:rPr>
          <w:rFonts w:eastAsia="Times New Roman"/>
          <w:rtl/>
          <w:lang w:eastAsia="de-DE"/>
        </w:rPr>
        <w:t xml:space="preserve"> </w:t>
      </w:r>
      <w:r w:rsidRPr="0023432A">
        <w:rPr>
          <w:rFonts w:eastAsia="Times New Roman"/>
          <w:lang w:eastAsia="de-DE"/>
        </w:rPr>
        <w:t xml:space="preserve">als Qal Imperfekt, 2. Person Plural maskulin von </w:t>
      </w:r>
      <w:r w:rsidRPr="0023432A">
        <w:rPr>
          <w:rFonts w:eastAsia="Times New Roman"/>
          <w:b/>
          <w:bCs/>
          <w:rtl/>
          <w:lang w:eastAsia="de-DE"/>
        </w:rPr>
        <w:t>רבה</w:t>
      </w:r>
      <w:r w:rsidRPr="0023432A">
        <w:rPr>
          <w:rFonts w:eastAsia="Times New Roman"/>
          <w:lang w:eastAsia="de-DE"/>
        </w:rPr>
        <w:t xml:space="preserve">, „sich mehren", mit paragogischem Nun, </w:t>
      </w:r>
      <w:r w:rsidRPr="0023432A">
        <w:rPr>
          <w:rFonts w:eastAsia="Times New Roman"/>
          <w:b/>
          <w:bCs/>
          <w:rtl/>
          <w:lang w:eastAsia="de-DE"/>
        </w:rPr>
        <w:t>מְאֹד</w:t>
      </w:r>
      <w:r w:rsidRPr="0023432A">
        <w:rPr>
          <w:rFonts w:eastAsia="Times New Roman"/>
          <w:rtl/>
          <w:lang w:eastAsia="de-DE"/>
        </w:rPr>
        <w:t xml:space="preserve"> </w:t>
      </w:r>
      <w:r w:rsidRPr="0023432A">
        <w:rPr>
          <w:rFonts w:eastAsia="Times New Roman"/>
          <w:lang w:eastAsia="de-DE"/>
        </w:rPr>
        <w:t>als Adverb – „sehr").</w:t>
      </w:r>
    </w:p>
    <w:p w14:paraId="1DBDCC30" w14:textId="45F105B3"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rtl/>
          <w:lang w:eastAsia="de-DE"/>
        </w:rPr>
        <w:t>כַּאֲשֶׁר דִּבֶּר יְהוָה אֱלֹהֵי אֲבֹתֶיךָ לָךְ אֶרֶץ זָבַת חָלָב וּדְבָשׁ</w:t>
      </w:r>
      <w:r w:rsidRPr="0023432A">
        <w:rPr>
          <w:rFonts w:eastAsia="Times New Roman"/>
          <w:rtl/>
          <w:lang w:eastAsia="de-DE"/>
        </w:rPr>
        <w:t xml:space="preserve"> </w:t>
      </w:r>
      <w:r w:rsidRPr="0023432A">
        <w:rPr>
          <w:rFonts w:eastAsia="Times New Roman"/>
          <w:lang w:eastAsia="de-DE"/>
        </w:rPr>
        <w:t xml:space="preserve">ist ein Vergleichssatz: </w:t>
      </w:r>
      <w:r w:rsidRPr="0023432A">
        <w:rPr>
          <w:rFonts w:eastAsia="Times New Roman"/>
          <w:b/>
          <w:bCs/>
          <w:rtl/>
          <w:lang w:eastAsia="de-DE"/>
        </w:rPr>
        <w:t>כַּאֲשֶׁר</w:t>
      </w:r>
      <w:r w:rsidRPr="0023432A">
        <w:rPr>
          <w:rFonts w:eastAsia="Times New Roman"/>
          <w:rtl/>
          <w:lang w:eastAsia="de-DE"/>
        </w:rPr>
        <w:t xml:space="preserve"> </w:t>
      </w:r>
      <w:r w:rsidR="00D84597">
        <w:rPr>
          <w:rFonts w:eastAsia="Times New Roman"/>
          <w:lang w:eastAsia="de-DE"/>
        </w:rPr>
        <w:t>(„wie, sowie“)</w:t>
      </w:r>
      <w:r w:rsidRPr="0023432A">
        <w:rPr>
          <w:rFonts w:eastAsia="Times New Roman"/>
          <w:lang w:eastAsia="de-DE"/>
        </w:rPr>
        <w:t xml:space="preserve">, </w:t>
      </w:r>
      <w:r w:rsidRPr="0023432A">
        <w:rPr>
          <w:rFonts w:eastAsia="Times New Roman"/>
          <w:b/>
          <w:bCs/>
          <w:rtl/>
          <w:lang w:eastAsia="de-DE"/>
        </w:rPr>
        <w:t>דִּבֶּר</w:t>
      </w:r>
      <w:r w:rsidRPr="0023432A">
        <w:rPr>
          <w:rFonts w:eastAsia="Times New Roman"/>
          <w:rtl/>
          <w:lang w:eastAsia="de-DE"/>
        </w:rPr>
        <w:t xml:space="preserve"> </w:t>
      </w:r>
      <w:r w:rsidRPr="0023432A">
        <w:rPr>
          <w:rFonts w:eastAsia="Times New Roman"/>
          <w:lang w:eastAsia="de-DE"/>
        </w:rPr>
        <w:t xml:space="preserve">als Piel Perfekt, 3. Person Singular maskulin von </w:t>
      </w:r>
      <w:r w:rsidRPr="0023432A">
        <w:rPr>
          <w:rFonts w:eastAsia="Times New Roman"/>
          <w:b/>
          <w:bCs/>
          <w:rtl/>
          <w:lang w:eastAsia="de-DE"/>
        </w:rPr>
        <w:t>דבר</w:t>
      </w:r>
      <w:r w:rsidRPr="0023432A">
        <w:rPr>
          <w:rFonts w:eastAsia="Times New Roman"/>
          <w:lang w:eastAsia="de-DE"/>
        </w:rPr>
        <w:t xml:space="preserve">, </w:t>
      </w:r>
      <w:r w:rsidRPr="0023432A">
        <w:rPr>
          <w:rFonts w:eastAsia="Times New Roman"/>
          <w:b/>
          <w:bCs/>
          <w:rtl/>
          <w:lang w:eastAsia="de-DE"/>
        </w:rPr>
        <w:t>יְהוָה אֱלֹהֵי אֲבֹתֶיךָ</w:t>
      </w:r>
      <w:r w:rsidRPr="0023432A">
        <w:rPr>
          <w:rFonts w:eastAsia="Times New Roman"/>
          <w:rtl/>
          <w:lang w:eastAsia="de-DE"/>
        </w:rPr>
        <w:t xml:space="preserve"> </w:t>
      </w:r>
      <w:r w:rsidRPr="0023432A">
        <w:rPr>
          <w:rFonts w:eastAsia="Times New Roman"/>
          <w:lang w:eastAsia="de-DE"/>
        </w:rPr>
        <w:t>als erweitertes Subjekt (</w:t>
      </w:r>
      <w:r w:rsidRPr="0023432A">
        <w:rPr>
          <w:rFonts w:eastAsia="Times New Roman"/>
          <w:b/>
          <w:bCs/>
          <w:rtl/>
          <w:lang w:eastAsia="de-DE"/>
        </w:rPr>
        <w:t>אֱלֹהֵי</w:t>
      </w:r>
      <w:r w:rsidRPr="0023432A">
        <w:rPr>
          <w:rFonts w:eastAsia="Times New Roman"/>
          <w:rtl/>
          <w:lang w:eastAsia="de-DE"/>
        </w:rPr>
        <w:t xml:space="preserve"> </w:t>
      </w:r>
      <w:r w:rsidRPr="0023432A">
        <w:rPr>
          <w:rFonts w:eastAsia="Times New Roman"/>
          <w:lang w:eastAsia="de-DE"/>
        </w:rPr>
        <w:t xml:space="preserve">im Construct mit </w:t>
      </w:r>
      <w:r w:rsidRPr="0023432A">
        <w:rPr>
          <w:rFonts w:eastAsia="Times New Roman"/>
          <w:b/>
          <w:bCs/>
          <w:rtl/>
          <w:lang w:eastAsia="de-DE"/>
        </w:rPr>
        <w:t>אָבוֹת</w:t>
      </w:r>
      <w:r w:rsidRPr="0023432A">
        <w:rPr>
          <w:rFonts w:eastAsia="Times New Roman"/>
          <w:lang w:eastAsia="de-DE"/>
        </w:rPr>
        <w:t xml:space="preserve">, Plural, und Suffix 2. Person Singular maskulin), </w:t>
      </w:r>
      <w:r w:rsidRPr="0023432A">
        <w:rPr>
          <w:rFonts w:eastAsia="Times New Roman"/>
          <w:b/>
          <w:bCs/>
          <w:rtl/>
          <w:lang w:eastAsia="de-DE"/>
        </w:rPr>
        <w:t>לָךְ</w:t>
      </w:r>
      <w:r w:rsidRPr="0023432A">
        <w:rPr>
          <w:rFonts w:eastAsia="Times New Roman"/>
          <w:rtl/>
          <w:lang w:eastAsia="de-DE"/>
        </w:rPr>
        <w:t xml:space="preserve"> </w:t>
      </w:r>
      <w:r w:rsidRPr="0023432A">
        <w:rPr>
          <w:rFonts w:eastAsia="Times New Roman"/>
          <w:lang w:eastAsia="de-DE"/>
        </w:rPr>
        <w:t xml:space="preserve">als indirektes Objekt, </w:t>
      </w:r>
      <w:r w:rsidRPr="0023432A">
        <w:rPr>
          <w:rFonts w:eastAsia="Times New Roman"/>
          <w:b/>
          <w:bCs/>
          <w:rtl/>
          <w:lang w:eastAsia="de-DE"/>
        </w:rPr>
        <w:t>אֶרֶץ זָבַת חָלָב וּדְבָשׁ</w:t>
      </w:r>
      <w:r w:rsidRPr="0023432A">
        <w:rPr>
          <w:rFonts w:eastAsia="Times New Roman"/>
          <w:rtl/>
          <w:lang w:eastAsia="de-DE"/>
        </w:rPr>
        <w:t xml:space="preserve"> </w:t>
      </w:r>
      <w:r w:rsidRPr="0023432A">
        <w:rPr>
          <w:rFonts w:eastAsia="Times New Roman"/>
          <w:lang w:eastAsia="de-DE"/>
        </w:rPr>
        <w:t>als direktes Objekt bzw. nähere Bestimmung (</w:t>
      </w:r>
      <w:r w:rsidRPr="0023432A">
        <w:rPr>
          <w:rFonts w:eastAsia="Times New Roman"/>
          <w:b/>
          <w:bCs/>
          <w:rtl/>
          <w:lang w:eastAsia="de-DE"/>
        </w:rPr>
        <w:t>אֶרֶץ</w:t>
      </w:r>
      <w:r w:rsidRPr="0023432A">
        <w:rPr>
          <w:rFonts w:eastAsia="Times New Roman"/>
          <w:lang w:eastAsia="de-DE"/>
        </w:rPr>
        <w:t xml:space="preserve">, „Land", mit Qal Partizip feminin Singular von </w:t>
      </w:r>
      <w:r w:rsidRPr="0023432A">
        <w:rPr>
          <w:rFonts w:eastAsia="Times New Roman"/>
          <w:b/>
          <w:bCs/>
          <w:rtl/>
          <w:lang w:eastAsia="de-DE"/>
        </w:rPr>
        <w:t>זוב</w:t>
      </w:r>
      <w:r w:rsidRPr="0023432A">
        <w:rPr>
          <w:rFonts w:eastAsia="Times New Roman"/>
          <w:lang w:eastAsia="de-DE"/>
        </w:rPr>
        <w:t xml:space="preserve">, „fließen", im Construct mit </w:t>
      </w:r>
      <w:r w:rsidRPr="0023432A">
        <w:rPr>
          <w:rFonts w:eastAsia="Times New Roman"/>
          <w:b/>
          <w:bCs/>
          <w:rtl/>
          <w:lang w:eastAsia="de-DE"/>
        </w:rPr>
        <w:t>חָלָב וּדְבָשׁ</w:t>
      </w:r>
      <w:r w:rsidRPr="0023432A">
        <w:rPr>
          <w:rFonts w:eastAsia="Times New Roman"/>
          <w:rtl/>
          <w:lang w:eastAsia="de-DE"/>
        </w:rPr>
        <w:t xml:space="preserve"> </w:t>
      </w:r>
      <w:r w:rsidRPr="0023432A">
        <w:rPr>
          <w:rFonts w:eastAsia="Times New Roman"/>
          <w:lang w:eastAsia="de-DE"/>
        </w:rPr>
        <w:t xml:space="preserve">– koordiniert: </w:t>
      </w:r>
      <w:r w:rsidRPr="0023432A">
        <w:rPr>
          <w:rFonts w:eastAsia="Times New Roman"/>
          <w:b/>
          <w:bCs/>
          <w:rtl/>
          <w:lang w:eastAsia="de-DE"/>
        </w:rPr>
        <w:t>חָלָב</w:t>
      </w:r>
      <w:r w:rsidRPr="0023432A">
        <w:rPr>
          <w:rFonts w:eastAsia="Times New Roman"/>
          <w:lang w:eastAsia="de-DE"/>
        </w:rPr>
        <w:t xml:space="preserve">, „Milch", und </w:t>
      </w:r>
      <w:r w:rsidRPr="0023432A">
        <w:rPr>
          <w:rFonts w:eastAsia="Times New Roman"/>
          <w:b/>
          <w:bCs/>
          <w:rtl/>
          <w:lang w:eastAsia="de-DE"/>
        </w:rPr>
        <w:t>דְּבַשׁ</w:t>
      </w:r>
      <w:r w:rsidRPr="0023432A">
        <w:rPr>
          <w:rFonts w:eastAsia="Times New Roman"/>
          <w:lang w:eastAsia="de-DE"/>
        </w:rPr>
        <w:t>, „Honig" – die klassische Formel „Land, fließend von Milch und Honig").</w:t>
      </w:r>
    </w:p>
    <w:p w14:paraId="154F093C"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lang w:eastAsia="de-DE"/>
        </w:rPr>
        <w:lastRenderedPageBreak/>
        <w:t>Der Wechsel von Singular (</w:t>
      </w:r>
      <w:r w:rsidRPr="0023432A">
        <w:rPr>
          <w:rFonts w:eastAsia="Times New Roman"/>
          <w:b/>
          <w:bCs/>
          <w:rtl/>
          <w:lang w:eastAsia="de-DE"/>
        </w:rPr>
        <w:t>יִיטַב לְךָ</w:t>
      </w:r>
      <w:r w:rsidRPr="0023432A">
        <w:rPr>
          <w:rFonts w:eastAsia="Times New Roman"/>
          <w:lang w:eastAsia="de-DE"/>
        </w:rPr>
        <w:t>) zu Plural (</w:t>
      </w:r>
      <w:r w:rsidRPr="0023432A">
        <w:rPr>
          <w:rFonts w:eastAsia="Times New Roman"/>
          <w:b/>
          <w:bCs/>
          <w:rtl/>
          <w:lang w:eastAsia="de-DE"/>
        </w:rPr>
        <w:t>תִּרְבּוּן</w:t>
      </w:r>
      <w:r w:rsidRPr="0023432A">
        <w:rPr>
          <w:rFonts w:eastAsia="Times New Roman"/>
          <w:lang w:eastAsia="de-DE"/>
        </w:rPr>
        <w:t xml:space="preserve">) ist charakteristisch deuteronomisch. Die Formel </w:t>
      </w:r>
      <w:r w:rsidRPr="0023432A">
        <w:rPr>
          <w:rFonts w:eastAsia="Times New Roman"/>
          <w:b/>
          <w:bCs/>
          <w:rtl/>
          <w:lang w:eastAsia="de-DE"/>
        </w:rPr>
        <w:t>אֶרֶץ זָבַת חָלָב וּדְבָשׁ</w:t>
      </w:r>
      <w:r w:rsidRPr="0023432A">
        <w:rPr>
          <w:rFonts w:eastAsia="Times New Roman"/>
          <w:rtl/>
          <w:lang w:eastAsia="de-DE"/>
        </w:rPr>
        <w:t xml:space="preserve"> </w:t>
      </w:r>
      <w:r w:rsidRPr="0023432A">
        <w:rPr>
          <w:rFonts w:eastAsia="Times New Roman"/>
          <w:lang w:eastAsia="de-DE"/>
        </w:rPr>
        <w:t xml:space="preserve">ist eine feststehende Wendung für das verheißene Land (vgl. Ex 3,8.17; 13,5; 33,3; Lev 20,24; Num 13,27; 14,8; Dtn 11,9; 26,9.15; 27,3; 31,20; Jos 5,6). Das Partizip </w:t>
      </w:r>
      <w:r w:rsidRPr="0023432A">
        <w:rPr>
          <w:rFonts w:eastAsia="Times New Roman"/>
          <w:b/>
          <w:bCs/>
          <w:rtl/>
          <w:lang w:eastAsia="de-DE"/>
        </w:rPr>
        <w:t>זָבַת</w:t>
      </w:r>
      <w:r w:rsidRPr="0023432A">
        <w:rPr>
          <w:rFonts w:eastAsia="Times New Roman"/>
          <w:rtl/>
          <w:lang w:eastAsia="de-DE"/>
        </w:rPr>
        <w:t xml:space="preserve"> </w:t>
      </w:r>
      <w:r w:rsidRPr="0023432A">
        <w:rPr>
          <w:rFonts w:eastAsia="Times New Roman"/>
          <w:lang w:eastAsia="de-DE"/>
        </w:rPr>
        <w:t>drückt einen Dauerzustand aus: das Land fließt beständig.</w:t>
      </w:r>
    </w:p>
    <w:p w14:paraId="1421F454"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lang w:eastAsia="de-DE"/>
        </w:rPr>
        <w:t>Die Satzstruktur ist komplex: zwei koordinierte imperativische Verben mit Vokativ bzw. finalem Infinitiv, eine zweigliedrige finale Relativkonstruktion (die erste mit Singular-, die zweite mit Plural-Prädikat und paragogischem Nun sowie Adverb), und ein Vergleichssatz mit Prädikat, erweitertem Subjekt in Construct-Verbindung, indirektem Objekt und direktem Objekt mit partizipialem Attribut in Construct-Verbindung. Die Struktur verbindet Imperativ, Zweckangabe und Verheißungsbestätigung.</w:t>
      </w:r>
    </w:p>
    <w:p w14:paraId="75A6F076"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lang w:eastAsia="de-DE"/>
        </w:rPr>
        <w:t>Der Vers ruft Israel zum Hören und Beachten auf, verbunden mit der Verheißung von Wohlergehen und Mehrung im Land, das von Milch und Honig fließt – die Erfüllung der Väterverheißung.</w:t>
      </w:r>
    </w:p>
    <w:p w14:paraId="2063D6AE" w14:textId="77777777" w:rsidR="0023432A" w:rsidRPr="0023432A" w:rsidRDefault="0023432A" w:rsidP="0023432A">
      <w:pPr>
        <w:spacing w:before="100" w:beforeAutospacing="1" w:after="100" w:afterAutospacing="1" w:line="240" w:lineRule="auto"/>
        <w:outlineLvl w:val="1"/>
        <w:rPr>
          <w:rFonts w:eastAsia="Times New Roman"/>
          <w:b/>
          <w:bCs/>
          <w:sz w:val="36"/>
          <w:szCs w:val="36"/>
          <w:lang w:eastAsia="de-DE"/>
        </w:rPr>
      </w:pPr>
      <w:r w:rsidRPr="0023432A">
        <w:rPr>
          <w:rFonts w:eastAsia="Times New Roman"/>
          <w:b/>
          <w:bCs/>
          <w:sz w:val="36"/>
          <w:szCs w:val="36"/>
          <w:lang w:eastAsia="de-DE"/>
        </w:rPr>
        <w:t>Deuteronomium 6,4</w:t>
      </w:r>
    </w:p>
    <w:p w14:paraId="312F95C6"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lang w:eastAsia="de-DE"/>
        </w:rPr>
        <w:t>Hebräisch:</w:t>
      </w:r>
      <w:r w:rsidRPr="0023432A">
        <w:rPr>
          <w:rFonts w:eastAsia="Times New Roman"/>
          <w:lang w:eastAsia="de-DE"/>
        </w:rPr>
        <w:t xml:space="preserve"> </w:t>
      </w:r>
      <w:r w:rsidRPr="0023432A">
        <w:rPr>
          <w:rFonts w:eastAsia="Times New Roman"/>
          <w:rtl/>
          <w:lang w:eastAsia="de-DE"/>
        </w:rPr>
        <w:t>שְׁמַע יִשְׂרָאֵל יְהוָה אֱלֹהֵינוּ יְהוָה אֶחָד׃</w:t>
      </w:r>
    </w:p>
    <w:p w14:paraId="09918820"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lang w:eastAsia="de-DE"/>
        </w:rPr>
        <w:t>Deutsch:</w:t>
      </w:r>
      <w:r w:rsidRPr="0023432A">
        <w:rPr>
          <w:rFonts w:eastAsia="Times New Roman"/>
          <w:lang w:eastAsia="de-DE"/>
        </w:rPr>
        <w:t xml:space="preserve"> Höre, Jisra'el: Der Ewige, unser Gott, der Ewige ist einer!</w:t>
      </w:r>
    </w:p>
    <w:p w14:paraId="2F1FFA22" w14:textId="77777777" w:rsidR="0023432A" w:rsidRPr="0023432A" w:rsidRDefault="004F5CEB" w:rsidP="0023432A">
      <w:pPr>
        <w:spacing w:after="0" w:line="240" w:lineRule="auto"/>
        <w:rPr>
          <w:rFonts w:eastAsia="Times New Roman"/>
          <w:lang w:eastAsia="de-DE"/>
        </w:rPr>
      </w:pPr>
      <w:r>
        <w:rPr>
          <w:rFonts w:eastAsia="Times New Roman"/>
          <w:noProof/>
          <w:lang w:eastAsia="de-DE"/>
        </w:rPr>
        <w:pict w14:anchorId="1E11BC12">
          <v:rect id="_x0000_i1222" style="width:0;height:1.5pt" o:hralign="center" o:hrstd="t" o:hr="t" fillcolor="#a0a0a0" stroked="f"/>
        </w:pict>
      </w:r>
    </w:p>
    <w:p w14:paraId="78CBC144"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lang w:eastAsia="de-DE"/>
        </w:rPr>
        <w:t>Kommentar:</w:t>
      </w:r>
      <w:r w:rsidRPr="0023432A">
        <w:rPr>
          <w:rFonts w:eastAsia="Times New Roman"/>
          <w:lang w:eastAsia="de-DE"/>
        </w:rPr>
        <w:t xml:space="preserve"> </w:t>
      </w:r>
      <w:r w:rsidRPr="0023432A">
        <w:rPr>
          <w:rFonts w:eastAsia="Times New Roman"/>
          <w:b/>
          <w:bCs/>
          <w:rtl/>
          <w:lang w:eastAsia="de-DE"/>
        </w:rPr>
        <w:t>שְׁמַע יִשְׂרָאֵל</w:t>
      </w:r>
      <w:r w:rsidRPr="0023432A">
        <w:rPr>
          <w:rFonts w:eastAsia="Times New Roman"/>
          <w:rtl/>
          <w:lang w:eastAsia="de-DE"/>
        </w:rPr>
        <w:t xml:space="preserve"> </w:t>
      </w:r>
      <w:r w:rsidRPr="0023432A">
        <w:rPr>
          <w:rFonts w:eastAsia="Times New Roman"/>
          <w:lang w:eastAsia="de-DE"/>
        </w:rPr>
        <w:t xml:space="preserve">ist die klassische Anrede: </w:t>
      </w:r>
      <w:r w:rsidRPr="0023432A">
        <w:rPr>
          <w:rFonts w:eastAsia="Times New Roman"/>
          <w:b/>
          <w:bCs/>
          <w:rtl/>
          <w:lang w:eastAsia="de-DE"/>
        </w:rPr>
        <w:t>שְׁמַע</w:t>
      </w:r>
      <w:r w:rsidRPr="0023432A">
        <w:rPr>
          <w:rFonts w:eastAsia="Times New Roman"/>
          <w:rtl/>
          <w:lang w:eastAsia="de-DE"/>
        </w:rPr>
        <w:t xml:space="preserve"> </w:t>
      </w:r>
      <w:r w:rsidRPr="0023432A">
        <w:rPr>
          <w:rFonts w:eastAsia="Times New Roman"/>
          <w:lang w:eastAsia="de-DE"/>
        </w:rPr>
        <w:t xml:space="preserve">als Qal Imperativ, 2. Person Singular maskulin von </w:t>
      </w:r>
      <w:r w:rsidRPr="0023432A">
        <w:rPr>
          <w:rFonts w:eastAsia="Times New Roman"/>
          <w:b/>
          <w:bCs/>
          <w:rtl/>
          <w:lang w:eastAsia="de-DE"/>
        </w:rPr>
        <w:t>שׁמע</w:t>
      </w:r>
      <w:r w:rsidRPr="0023432A">
        <w:rPr>
          <w:rFonts w:eastAsia="Times New Roman"/>
          <w:rtl/>
          <w:lang w:eastAsia="de-DE"/>
        </w:rPr>
        <w:t xml:space="preserve"> </w:t>
      </w:r>
      <w:r w:rsidRPr="0023432A">
        <w:rPr>
          <w:rFonts w:eastAsia="Times New Roman"/>
          <w:lang w:eastAsia="de-DE"/>
        </w:rPr>
        <w:t xml:space="preserve">(„hören"), </w:t>
      </w:r>
      <w:r w:rsidRPr="0023432A">
        <w:rPr>
          <w:rFonts w:eastAsia="Times New Roman"/>
          <w:b/>
          <w:bCs/>
          <w:rtl/>
          <w:lang w:eastAsia="de-DE"/>
        </w:rPr>
        <w:t>יִשְׂרָאֵל</w:t>
      </w:r>
      <w:r w:rsidRPr="0023432A">
        <w:rPr>
          <w:rFonts w:eastAsia="Times New Roman"/>
          <w:rtl/>
          <w:lang w:eastAsia="de-DE"/>
        </w:rPr>
        <w:t xml:space="preserve"> </w:t>
      </w:r>
      <w:r w:rsidRPr="0023432A">
        <w:rPr>
          <w:rFonts w:eastAsia="Times New Roman"/>
          <w:lang w:eastAsia="de-DE"/>
        </w:rPr>
        <w:t xml:space="preserve">als Vokativ. </w:t>
      </w:r>
      <w:r w:rsidRPr="0023432A">
        <w:rPr>
          <w:rFonts w:eastAsia="Times New Roman"/>
          <w:b/>
          <w:bCs/>
          <w:rtl/>
          <w:lang w:eastAsia="de-DE"/>
        </w:rPr>
        <w:t>יְהוָה אֱלֹהֵינוּ יְהוָה אֶחָד</w:t>
      </w:r>
      <w:r w:rsidRPr="0023432A">
        <w:rPr>
          <w:rFonts w:eastAsia="Times New Roman"/>
          <w:rtl/>
          <w:lang w:eastAsia="de-DE"/>
        </w:rPr>
        <w:t xml:space="preserve"> </w:t>
      </w:r>
      <w:r w:rsidRPr="0023432A">
        <w:rPr>
          <w:rFonts w:eastAsia="Times New Roman"/>
          <w:lang w:eastAsia="de-DE"/>
        </w:rPr>
        <w:t>ist ein nominaler Identifikationssatz, dessen genaue syntaktische Struktur umstritten ist. Mögliche Deutungen:</w:t>
      </w:r>
    </w:p>
    <w:p w14:paraId="3BC24284" w14:textId="77777777" w:rsidR="0023432A" w:rsidRPr="0023432A" w:rsidRDefault="0023432A" w:rsidP="0023432A">
      <w:pPr>
        <w:numPr>
          <w:ilvl w:val="0"/>
          <w:numId w:val="16"/>
        </w:numPr>
        <w:spacing w:before="100" w:beforeAutospacing="1" w:after="100" w:afterAutospacing="1" w:line="240" w:lineRule="auto"/>
        <w:rPr>
          <w:rFonts w:eastAsia="Times New Roman"/>
          <w:lang w:eastAsia="de-DE"/>
        </w:rPr>
      </w:pPr>
      <w:r w:rsidRPr="0023432A">
        <w:rPr>
          <w:rFonts w:eastAsia="Times New Roman"/>
          <w:b/>
          <w:bCs/>
          <w:rtl/>
          <w:lang w:eastAsia="de-DE"/>
        </w:rPr>
        <w:t>יְהוָה</w:t>
      </w:r>
      <w:r w:rsidRPr="0023432A">
        <w:rPr>
          <w:rFonts w:eastAsia="Times New Roman"/>
          <w:rtl/>
          <w:lang w:eastAsia="de-DE"/>
        </w:rPr>
        <w:t xml:space="preserve"> </w:t>
      </w:r>
      <w:r w:rsidRPr="0023432A">
        <w:rPr>
          <w:rFonts w:eastAsia="Times New Roman"/>
          <w:lang w:eastAsia="de-DE"/>
        </w:rPr>
        <w:t xml:space="preserve">als Subjekt, </w:t>
      </w:r>
      <w:r w:rsidRPr="0023432A">
        <w:rPr>
          <w:rFonts w:eastAsia="Times New Roman"/>
          <w:b/>
          <w:bCs/>
          <w:rtl/>
          <w:lang w:eastAsia="de-DE"/>
        </w:rPr>
        <w:t>אֱלֹהֵינוּ</w:t>
      </w:r>
      <w:r w:rsidRPr="0023432A">
        <w:rPr>
          <w:rFonts w:eastAsia="Times New Roman"/>
          <w:rtl/>
          <w:lang w:eastAsia="de-DE"/>
        </w:rPr>
        <w:t xml:space="preserve"> </w:t>
      </w:r>
      <w:r w:rsidRPr="0023432A">
        <w:rPr>
          <w:rFonts w:eastAsia="Times New Roman"/>
          <w:lang w:eastAsia="de-DE"/>
        </w:rPr>
        <w:t xml:space="preserve">als erstes Prädikatsnomen, </w:t>
      </w:r>
      <w:r w:rsidRPr="0023432A">
        <w:rPr>
          <w:rFonts w:eastAsia="Times New Roman"/>
          <w:b/>
          <w:bCs/>
          <w:rtl/>
          <w:lang w:eastAsia="de-DE"/>
        </w:rPr>
        <w:t>יְהוָה אֶחָד</w:t>
      </w:r>
      <w:r w:rsidRPr="0023432A">
        <w:rPr>
          <w:rFonts w:eastAsia="Times New Roman"/>
          <w:rtl/>
          <w:lang w:eastAsia="de-DE"/>
        </w:rPr>
        <w:t xml:space="preserve"> </w:t>
      </w:r>
      <w:r w:rsidRPr="0023432A">
        <w:rPr>
          <w:rFonts w:eastAsia="Times New Roman"/>
          <w:lang w:eastAsia="de-DE"/>
        </w:rPr>
        <w:t>als zweites Prädikatsnomen („JHWH [ist] unser Gott, JHWH [ist] einer")</w:t>
      </w:r>
    </w:p>
    <w:p w14:paraId="267EA2B0" w14:textId="77777777" w:rsidR="0023432A" w:rsidRPr="0023432A" w:rsidRDefault="0023432A" w:rsidP="0023432A">
      <w:pPr>
        <w:numPr>
          <w:ilvl w:val="0"/>
          <w:numId w:val="16"/>
        </w:numPr>
        <w:spacing w:before="100" w:beforeAutospacing="1" w:after="100" w:afterAutospacing="1" w:line="240" w:lineRule="auto"/>
        <w:rPr>
          <w:rFonts w:eastAsia="Times New Roman"/>
          <w:lang w:eastAsia="de-DE"/>
        </w:rPr>
      </w:pPr>
      <w:r w:rsidRPr="0023432A">
        <w:rPr>
          <w:rFonts w:eastAsia="Times New Roman"/>
          <w:b/>
          <w:bCs/>
          <w:rtl/>
          <w:lang w:eastAsia="de-DE"/>
        </w:rPr>
        <w:t>יְהוָה אֱלֹהֵינוּ</w:t>
      </w:r>
      <w:r w:rsidRPr="0023432A">
        <w:rPr>
          <w:rFonts w:eastAsia="Times New Roman"/>
          <w:rtl/>
          <w:lang w:eastAsia="de-DE"/>
        </w:rPr>
        <w:t xml:space="preserve"> </w:t>
      </w:r>
      <w:r w:rsidRPr="0023432A">
        <w:rPr>
          <w:rFonts w:eastAsia="Times New Roman"/>
          <w:lang w:eastAsia="de-DE"/>
        </w:rPr>
        <w:t xml:space="preserve">als erweitertes Subjekt, </w:t>
      </w:r>
      <w:r w:rsidRPr="0023432A">
        <w:rPr>
          <w:rFonts w:eastAsia="Times New Roman"/>
          <w:b/>
          <w:bCs/>
          <w:rtl/>
          <w:lang w:eastAsia="de-DE"/>
        </w:rPr>
        <w:t>יְהוָה אֶחָד</w:t>
      </w:r>
      <w:r w:rsidRPr="0023432A">
        <w:rPr>
          <w:rFonts w:eastAsia="Times New Roman"/>
          <w:rtl/>
          <w:lang w:eastAsia="de-DE"/>
        </w:rPr>
        <w:t xml:space="preserve"> </w:t>
      </w:r>
      <w:r w:rsidRPr="0023432A">
        <w:rPr>
          <w:rFonts w:eastAsia="Times New Roman"/>
          <w:lang w:eastAsia="de-DE"/>
        </w:rPr>
        <w:t>als Prädikatsnomen („JHWH, unser Gott, JHWH [ist] einer")</w:t>
      </w:r>
    </w:p>
    <w:p w14:paraId="63340085" w14:textId="77777777" w:rsidR="0023432A" w:rsidRPr="0023432A" w:rsidRDefault="0023432A" w:rsidP="0023432A">
      <w:pPr>
        <w:numPr>
          <w:ilvl w:val="0"/>
          <w:numId w:val="16"/>
        </w:numPr>
        <w:spacing w:before="100" w:beforeAutospacing="1" w:after="100" w:afterAutospacing="1" w:line="240" w:lineRule="auto"/>
        <w:rPr>
          <w:rFonts w:eastAsia="Times New Roman"/>
          <w:lang w:eastAsia="de-DE"/>
        </w:rPr>
      </w:pPr>
      <w:r w:rsidRPr="0023432A">
        <w:rPr>
          <w:rFonts w:eastAsia="Times New Roman"/>
          <w:b/>
          <w:bCs/>
          <w:rtl/>
          <w:lang w:eastAsia="de-DE"/>
        </w:rPr>
        <w:t>יְהוָה</w:t>
      </w:r>
      <w:r w:rsidRPr="0023432A">
        <w:rPr>
          <w:rFonts w:eastAsia="Times New Roman"/>
          <w:rtl/>
          <w:lang w:eastAsia="de-DE"/>
        </w:rPr>
        <w:t xml:space="preserve"> </w:t>
      </w:r>
      <w:r w:rsidRPr="0023432A">
        <w:rPr>
          <w:rFonts w:eastAsia="Times New Roman"/>
          <w:lang w:eastAsia="de-DE"/>
        </w:rPr>
        <w:t xml:space="preserve">als Subjekt, </w:t>
      </w:r>
      <w:r w:rsidRPr="0023432A">
        <w:rPr>
          <w:rFonts w:eastAsia="Times New Roman"/>
          <w:b/>
          <w:bCs/>
          <w:rtl/>
          <w:lang w:eastAsia="de-DE"/>
        </w:rPr>
        <w:t>אֱלֹהֵינוּ יְהוָה</w:t>
      </w:r>
      <w:r w:rsidRPr="0023432A">
        <w:rPr>
          <w:rFonts w:eastAsia="Times New Roman"/>
          <w:rtl/>
          <w:lang w:eastAsia="de-DE"/>
        </w:rPr>
        <w:t xml:space="preserve"> </w:t>
      </w:r>
      <w:r w:rsidRPr="0023432A">
        <w:rPr>
          <w:rFonts w:eastAsia="Times New Roman"/>
          <w:lang w:eastAsia="de-DE"/>
        </w:rPr>
        <w:t xml:space="preserve">als Prädikatsnomen, </w:t>
      </w:r>
      <w:r w:rsidRPr="0023432A">
        <w:rPr>
          <w:rFonts w:eastAsia="Times New Roman"/>
          <w:b/>
          <w:bCs/>
          <w:rtl/>
          <w:lang w:eastAsia="de-DE"/>
        </w:rPr>
        <w:t>אֶחָד</w:t>
      </w:r>
      <w:r w:rsidRPr="0023432A">
        <w:rPr>
          <w:rFonts w:eastAsia="Times New Roman"/>
          <w:rtl/>
          <w:lang w:eastAsia="de-DE"/>
        </w:rPr>
        <w:t xml:space="preserve"> </w:t>
      </w:r>
      <w:r w:rsidRPr="0023432A">
        <w:rPr>
          <w:rFonts w:eastAsia="Times New Roman"/>
          <w:lang w:eastAsia="de-DE"/>
        </w:rPr>
        <w:t>als Apposition („JHWH [ist] unser Gott, JHWH, [der] eine")</w:t>
      </w:r>
    </w:p>
    <w:p w14:paraId="5D04CC33" w14:textId="77777777" w:rsidR="0023432A" w:rsidRPr="0023432A" w:rsidRDefault="0023432A" w:rsidP="0023432A">
      <w:pPr>
        <w:numPr>
          <w:ilvl w:val="0"/>
          <w:numId w:val="16"/>
        </w:numPr>
        <w:spacing w:before="100" w:beforeAutospacing="1" w:after="100" w:afterAutospacing="1" w:line="240" w:lineRule="auto"/>
        <w:rPr>
          <w:rFonts w:eastAsia="Times New Roman"/>
          <w:lang w:eastAsia="de-DE"/>
        </w:rPr>
      </w:pPr>
      <w:r w:rsidRPr="0023432A">
        <w:rPr>
          <w:rFonts w:eastAsia="Times New Roman"/>
          <w:lang w:eastAsia="de-DE"/>
        </w:rPr>
        <w:t>Vollständig nominale Gleichsetzung: „JHWH - unser Gott - JHWH - einer" (alle vier Elemente gleichwertig)</w:t>
      </w:r>
    </w:p>
    <w:p w14:paraId="1C1AB139"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lang w:eastAsia="de-DE"/>
        </w:rPr>
        <w:t xml:space="preserve">Die wahrscheinlichste Deutung ist die zweite: </w:t>
      </w:r>
      <w:r w:rsidRPr="0023432A">
        <w:rPr>
          <w:rFonts w:eastAsia="Times New Roman"/>
          <w:b/>
          <w:bCs/>
          <w:rtl/>
          <w:lang w:eastAsia="de-DE"/>
        </w:rPr>
        <w:t>יְהוָה אֱלֹהֵינוּ</w:t>
      </w:r>
      <w:r w:rsidRPr="0023432A">
        <w:rPr>
          <w:rFonts w:eastAsia="Times New Roman"/>
          <w:rtl/>
          <w:lang w:eastAsia="de-DE"/>
        </w:rPr>
        <w:t xml:space="preserve"> </w:t>
      </w:r>
      <w:r w:rsidRPr="0023432A">
        <w:rPr>
          <w:rFonts w:eastAsia="Times New Roman"/>
          <w:lang w:eastAsia="de-DE"/>
        </w:rPr>
        <w:t xml:space="preserve">(„JHWH, unser Gott") als erweitertes Subjekt und </w:t>
      </w:r>
      <w:r w:rsidRPr="0023432A">
        <w:rPr>
          <w:rFonts w:eastAsia="Times New Roman"/>
          <w:b/>
          <w:bCs/>
          <w:rtl/>
          <w:lang w:eastAsia="de-DE"/>
        </w:rPr>
        <w:t>יְהוָה אֶחָד</w:t>
      </w:r>
      <w:r w:rsidRPr="0023432A">
        <w:rPr>
          <w:rFonts w:eastAsia="Times New Roman"/>
          <w:rtl/>
          <w:lang w:eastAsia="de-DE"/>
        </w:rPr>
        <w:t xml:space="preserve"> </w:t>
      </w:r>
      <w:r w:rsidRPr="0023432A">
        <w:rPr>
          <w:rFonts w:eastAsia="Times New Roman"/>
          <w:lang w:eastAsia="de-DE"/>
        </w:rPr>
        <w:t>(„JHWH [ist] einer/einzig") als Prädikatsnomen. Die Wiederholung des Gottesnamens betont sowohl die Identität (es ist derselbe JHWH) als auch die Einzigkeit.</w:t>
      </w:r>
    </w:p>
    <w:p w14:paraId="470D9260"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lang w:eastAsia="de-DE"/>
        </w:rPr>
        <w:t xml:space="preserve">Das Zahlwort </w:t>
      </w:r>
      <w:r w:rsidRPr="0023432A">
        <w:rPr>
          <w:rFonts w:eastAsia="Times New Roman"/>
          <w:b/>
          <w:bCs/>
          <w:rtl/>
          <w:lang w:eastAsia="de-DE"/>
        </w:rPr>
        <w:t>אֶחָד</w:t>
      </w:r>
      <w:r w:rsidRPr="0023432A">
        <w:rPr>
          <w:rFonts w:eastAsia="Times New Roman"/>
          <w:rtl/>
          <w:lang w:eastAsia="de-DE"/>
        </w:rPr>
        <w:t xml:space="preserve"> </w:t>
      </w:r>
      <w:r w:rsidRPr="0023432A">
        <w:rPr>
          <w:rFonts w:eastAsia="Times New Roman"/>
          <w:lang w:eastAsia="de-DE"/>
        </w:rPr>
        <w:t xml:space="preserve">kann bedeuten: (1) „einer" im Sinne von numerischer Einheit, (2) „einzig" im Sinne von Einzigartigkeit, (3) „allein" im Sinne von Exklusivität. Alle drei Bedeutungen schwingen mit. Das </w:t>
      </w:r>
      <w:proofErr w:type="spellStart"/>
      <w:r w:rsidRPr="0023432A">
        <w:rPr>
          <w:rFonts w:eastAsia="Times New Roman"/>
          <w:b/>
          <w:bCs/>
          <w:lang w:eastAsia="de-DE"/>
        </w:rPr>
        <w:t>Shema</w:t>
      </w:r>
      <w:proofErr w:type="spellEnd"/>
      <w:r w:rsidRPr="0023432A">
        <w:rPr>
          <w:rFonts w:eastAsia="Times New Roman"/>
          <w:b/>
          <w:bCs/>
          <w:lang w:eastAsia="de-DE"/>
        </w:rPr>
        <w:t xml:space="preserve"> Yisrael</w:t>
      </w:r>
      <w:r w:rsidRPr="0023432A">
        <w:rPr>
          <w:rFonts w:eastAsia="Times New Roman"/>
          <w:lang w:eastAsia="de-DE"/>
        </w:rPr>
        <w:t xml:space="preserve"> (wie dieser Vers im Judentum heißt) ist das zentrale Glaubensbekenntnis des Judentums und wird zweimal täglich rezitiert.</w:t>
      </w:r>
    </w:p>
    <w:p w14:paraId="6EB54F54"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lang w:eastAsia="de-DE"/>
        </w:rPr>
        <w:lastRenderedPageBreak/>
        <w:t xml:space="preserve">Die Satzstruktur ist eine imperative Anrede mit Vokativ, gefolgt von einem nominalen Identifikationssatz in Vierer-Struktur. Die extreme Kürze und die </w:t>
      </w:r>
      <w:proofErr w:type="spellStart"/>
      <w:r w:rsidRPr="0023432A">
        <w:rPr>
          <w:rFonts w:eastAsia="Times New Roman"/>
          <w:lang w:eastAsia="de-DE"/>
        </w:rPr>
        <w:t>chiasmusartige</w:t>
      </w:r>
      <w:proofErr w:type="spellEnd"/>
      <w:r w:rsidRPr="0023432A">
        <w:rPr>
          <w:rFonts w:eastAsia="Times New Roman"/>
          <w:lang w:eastAsia="de-DE"/>
        </w:rPr>
        <w:t xml:space="preserve"> Wiederholung von </w:t>
      </w:r>
      <w:r w:rsidRPr="0023432A">
        <w:rPr>
          <w:rFonts w:eastAsia="Times New Roman"/>
          <w:b/>
          <w:bCs/>
          <w:rtl/>
          <w:lang w:eastAsia="de-DE"/>
        </w:rPr>
        <w:t>יְהוָה</w:t>
      </w:r>
      <w:r w:rsidRPr="0023432A">
        <w:rPr>
          <w:rFonts w:eastAsia="Times New Roman"/>
          <w:rtl/>
          <w:lang w:eastAsia="de-DE"/>
        </w:rPr>
        <w:t xml:space="preserve"> </w:t>
      </w:r>
      <w:r w:rsidRPr="0023432A">
        <w:rPr>
          <w:rFonts w:eastAsia="Times New Roman"/>
          <w:lang w:eastAsia="de-DE"/>
        </w:rPr>
        <w:t xml:space="preserve">verleihen dem Satz liturgische </w:t>
      </w:r>
      <w:proofErr w:type="spellStart"/>
      <w:r w:rsidRPr="0023432A">
        <w:rPr>
          <w:rFonts w:eastAsia="Times New Roman"/>
          <w:lang w:eastAsia="de-DE"/>
        </w:rPr>
        <w:t>Prägnan</w:t>
      </w:r>
      <w:proofErr w:type="spellEnd"/>
      <w:r w:rsidRPr="0023432A">
        <w:rPr>
          <w:rFonts w:eastAsia="Times New Roman"/>
          <w:lang w:eastAsia="de-DE"/>
        </w:rPr>
        <w:t>​z und machen ihn einprägsam.</w:t>
      </w:r>
    </w:p>
    <w:p w14:paraId="3CB13D48"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lang w:eastAsia="de-DE"/>
        </w:rPr>
        <w:t>Der Vers formuliert das zentrale monotheistische Bekenntnis Israels: JHWH, Israels Gott, ist einzig/einer/allein – eine der bedeutendsten theologischen Aussagen des Alten Testaments.</w:t>
      </w:r>
    </w:p>
    <w:p w14:paraId="7688BF0E" w14:textId="77777777" w:rsidR="0023432A" w:rsidRPr="0023432A" w:rsidRDefault="0023432A" w:rsidP="0023432A">
      <w:pPr>
        <w:spacing w:before="100" w:beforeAutospacing="1" w:after="100" w:afterAutospacing="1" w:line="240" w:lineRule="auto"/>
        <w:outlineLvl w:val="1"/>
        <w:rPr>
          <w:rFonts w:eastAsia="Times New Roman"/>
          <w:b/>
          <w:bCs/>
          <w:sz w:val="36"/>
          <w:szCs w:val="36"/>
          <w:lang w:eastAsia="de-DE"/>
        </w:rPr>
      </w:pPr>
      <w:r w:rsidRPr="0023432A">
        <w:rPr>
          <w:rFonts w:eastAsia="Times New Roman"/>
          <w:b/>
          <w:bCs/>
          <w:sz w:val="36"/>
          <w:szCs w:val="36"/>
          <w:lang w:eastAsia="de-DE"/>
        </w:rPr>
        <w:t>Deuteronomium 6,5</w:t>
      </w:r>
    </w:p>
    <w:p w14:paraId="77167C5C"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lang w:eastAsia="de-DE"/>
        </w:rPr>
        <w:t>Hebräisch:</w:t>
      </w:r>
      <w:r w:rsidRPr="0023432A">
        <w:rPr>
          <w:rFonts w:eastAsia="Times New Roman"/>
          <w:lang w:eastAsia="de-DE"/>
        </w:rPr>
        <w:t xml:space="preserve"> </w:t>
      </w:r>
      <w:r w:rsidRPr="0023432A">
        <w:rPr>
          <w:rFonts w:eastAsia="Times New Roman"/>
          <w:rtl/>
          <w:lang w:eastAsia="de-DE"/>
        </w:rPr>
        <w:t>וְאָהַבְתָּ אֵת יְהוָה אֱלֹהֶיךָ בְּכָל־לְבָבְךָ וּבְכָל־נַפְשְׁךָ וּבְכָל־מְאֹדֶךָ׃</w:t>
      </w:r>
    </w:p>
    <w:p w14:paraId="34ADD46D"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lang w:eastAsia="de-DE"/>
        </w:rPr>
        <w:t>Deutsch:</w:t>
      </w:r>
      <w:r w:rsidRPr="0023432A">
        <w:rPr>
          <w:rFonts w:eastAsia="Times New Roman"/>
          <w:lang w:eastAsia="de-DE"/>
        </w:rPr>
        <w:t xml:space="preserve"> Und du sollst lieben den Ewigen, deinen Gott, mit deinem ganzen Herzen und mit deiner ganzen Seele und mit deiner ganzen Kraft.</w:t>
      </w:r>
    </w:p>
    <w:p w14:paraId="0BBB2EF2" w14:textId="77777777" w:rsidR="0023432A" w:rsidRPr="0023432A" w:rsidRDefault="004F5CEB" w:rsidP="0023432A">
      <w:pPr>
        <w:spacing w:after="0" w:line="240" w:lineRule="auto"/>
        <w:rPr>
          <w:rFonts w:eastAsia="Times New Roman"/>
          <w:lang w:eastAsia="de-DE"/>
        </w:rPr>
      </w:pPr>
      <w:r>
        <w:rPr>
          <w:rFonts w:eastAsia="Times New Roman"/>
          <w:noProof/>
          <w:lang w:eastAsia="de-DE"/>
        </w:rPr>
        <w:pict w14:anchorId="2968CF04">
          <v:rect id="_x0000_i1223" style="width:0;height:1.5pt" o:hralign="center" o:hrstd="t" o:hr="t" fillcolor="#a0a0a0" stroked="f"/>
        </w:pict>
      </w:r>
    </w:p>
    <w:p w14:paraId="2704A91F"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lang w:eastAsia="de-DE"/>
        </w:rPr>
        <w:t>Kommentar:</w:t>
      </w:r>
      <w:r w:rsidRPr="0023432A">
        <w:rPr>
          <w:rFonts w:eastAsia="Times New Roman"/>
          <w:lang w:eastAsia="de-DE"/>
        </w:rPr>
        <w:t xml:space="preserve"> </w:t>
      </w:r>
      <w:r w:rsidRPr="0023432A">
        <w:rPr>
          <w:rFonts w:eastAsia="Times New Roman"/>
          <w:b/>
          <w:bCs/>
          <w:rtl/>
          <w:lang w:eastAsia="de-DE"/>
        </w:rPr>
        <w:t>וְאָהַבְתָּ אֵת יְהוָה אֱלֹהֶיךָ</w:t>
      </w:r>
      <w:r w:rsidRPr="0023432A">
        <w:rPr>
          <w:rFonts w:eastAsia="Times New Roman"/>
          <w:rtl/>
          <w:lang w:eastAsia="de-DE"/>
        </w:rPr>
        <w:t xml:space="preserve"> </w:t>
      </w:r>
      <w:r w:rsidRPr="0023432A">
        <w:rPr>
          <w:rFonts w:eastAsia="Times New Roman"/>
          <w:lang w:eastAsia="de-DE"/>
        </w:rPr>
        <w:t xml:space="preserve">ist Qal Perfekt consecutivum, 2. Person Singular maskulin von </w:t>
      </w:r>
      <w:r w:rsidRPr="0023432A">
        <w:rPr>
          <w:rFonts w:eastAsia="Times New Roman"/>
          <w:b/>
          <w:bCs/>
          <w:rtl/>
          <w:lang w:eastAsia="de-DE"/>
        </w:rPr>
        <w:t>אהב</w:t>
      </w:r>
      <w:r w:rsidRPr="0023432A">
        <w:rPr>
          <w:rFonts w:eastAsia="Times New Roman"/>
          <w:rtl/>
          <w:lang w:eastAsia="de-DE"/>
        </w:rPr>
        <w:t xml:space="preserve"> </w:t>
      </w:r>
      <w:r w:rsidRPr="0023432A">
        <w:rPr>
          <w:rFonts w:eastAsia="Times New Roman"/>
          <w:lang w:eastAsia="de-DE"/>
        </w:rPr>
        <w:t xml:space="preserve">(„lieben") mit </w:t>
      </w:r>
      <w:r w:rsidRPr="0023432A">
        <w:rPr>
          <w:rFonts w:eastAsia="Times New Roman"/>
          <w:b/>
          <w:bCs/>
          <w:rtl/>
          <w:lang w:eastAsia="de-DE"/>
        </w:rPr>
        <w:t>וְ</w:t>
      </w:r>
      <w:r w:rsidRPr="0023432A">
        <w:rPr>
          <w:rFonts w:eastAsia="Times New Roman"/>
          <w:rtl/>
          <w:lang w:eastAsia="de-DE"/>
        </w:rPr>
        <w:t xml:space="preserve"> </w:t>
      </w:r>
      <w:r w:rsidRPr="0023432A">
        <w:rPr>
          <w:rFonts w:eastAsia="Times New Roman"/>
          <w:lang w:eastAsia="de-DE"/>
        </w:rPr>
        <w:t xml:space="preserve">– hier in imperativischer Funktion („du sollst lieben"), </w:t>
      </w:r>
      <w:r w:rsidRPr="0023432A">
        <w:rPr>
          <w:rFonts w:eastAsia="Times New Roman"/>
          <w:b/>
          <w:bCs/>
          <w:rtl/>
          <w:lang w:eastAsia="de-DE"/>
        </w:rPr>
        <w:t>אֵת יְהוָה אֱלֹהֶיךָ</w:t>
      </w:r>
      <w:r w:rsidRPr="0023432A">
        <w:rPr>
          <w:rFonts w:eastAsia="Times New Roman"/>
          <w:rtl/>
          <w:lang w:eastAsia="de-DE"/>
        </w:rPr>
        <w:t xml:space="preserve"> </w:t>
      </w:r>
      <w:r w:rsidRPr="0023432A">
        <w:rPr>
          <w:rFonts w:eastAsia="Times New Roman"/>
          <w:lang w:eastAsia="de-DE"/>
        </w:rPr>
        <w:t>als direktes Objekt mit erweiterter Gottesbezeichnung. Das Gebot der Gottesliebe ist im Alten Testament außergewöhnlich; normalerweise wird Gottesfurcht gefordert. Die Verbindung von Liebe als gebotener Haltung ist paradox und deutet auf eine innere, totale Hingabe.</w:t>
      </w:r>
    </w:p>
    <w:p w14:paraId="78D8CE5E"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rtl/>
          <w:lang w:eastAsia="de-DE"/>
        </w:rPr>
        <w:t>בְּכָל־לְבָבְךָ וּבְכָל־נַפְשְׁךָ וּבְכָל־מְאֹדֶךָ</w:t>
      </w:r>
      <w:r w:rsidRPr="0023432A">
        <w:rPr>
          <w:rFonts w:eastAsia="Times New Roman"/>
          <w:rtl/>
          <w:lang w:eastAsia="de-DE"/>
        </w:rPr>
        <w:t xml:space="preserve"> </w:t>
      </w:r>
      <w:r w:rsidRPr="0023432A">
        <w:rPr>
          <w:rFonts w:eastAsia="Times New Roman"/>
          <w:lang w:eastAsia="de-DE"/>
        </w:rPr>
        <w:t xml:space="preserve">ist eine dreigliedrige koordinierte modale Bestimmung: </w:t>
      </w:r>
      <w:r w:rsidRPr="0023432A">
        <w:rPr>
          <w:rFonts w:eastAsia="Times New Roman"/>
          <w:b/>
          <w:bCs/>
          <w:rtl/>
          <w:lang w:eastAsia="de-DE"/>
        </w:rPr>
        <w:t>בְּכָל־לְבָבְךָ</w:t>
      </w:r>
      <w:r w:rsidRPr="0023432A">
        <w:rPr>
          <w:rFonts w:eastAsia="Times New Roman"/>
          <w:rtl/>
          <w:lang w:eastAsia="de-DE"/>
        </w:rPr>
        <w:t xml:space="preserve"> </w:t>
      </w:r>
      <w:r w:rsidRPr="0023432A">
        <w:rPr>
          <w:rFonts w:eastAsia="Times New Roman"/>
          <w:lang w:eastAsia="de-DE"/>
        </w:rPr>
        <w:t>(</w:t>
      </w:r>
      <w:r w:rsidRPr="0023432A">
        <w:rPr>
          <w:rFonts w:eastAsia="Times New Roman"/>
          <w:b/>
          <w:bCs/>
          <w:rtl/>
          <w:lang w:eastAsia="de-DE"/>
        </w:rPr>
        <w:t>בְּ</w:t>
      </w:r>
      <w:r w:rsidRPr="0023432A">
        <w:rPr>
          <w:rFonts w:eastAsia="Times New Roman"/>
          <w:rtl/>
          <w:lang w:eastAsia="de-DE"/>
        </w:rPr>
        <w:t xml:space="preserve"> </w:t>
      </w:r>
      <w:r w:rsidRPr="0023432A">
        <w:rPr>
          <w:rFonts w:eastAsia="Times New Roman"/>
          <w:lang w:eastAsia="de-DE"/>
        </w:rPr>
        <w:t xml:space="preserve">mit </w:t>
      </w:r>
      <w:r w:rsidRPr="0023432A">
        <w:rPr>
          <w:rFonts w:eastAsia="Times New Roman"/>
          <w:b/>
          <w:bCs/>
          <w:rtl/>
          <w:lang w:eastAsia="de-DE"/>
        </w:rPr>
        <w:t>כָּל</w:t>
      </w:r>
      <w:r w:rsidRPr="0023432A">
        <w:rPr>
          <w:rFonts w:eastAsia="Times New Roman"/>
          <w:rtl/>
          <w:lang w:eastAsia="de-DE"/>
        </w:rPr>
        <w:t xml:space="preserve"> </w:t>
      </w:r>
      <w:r w:rsidRPr="0023432A">
        <w:rPr>
          <w:rFonts w:eastAsia="Times New Roman"/>
          <w:lang w:eastAsia="de-DE"/>
        </w:rPr>
        <w:t xml:space="preserve">im Construct, </w:t>
      </w:r>
      <w:r w:rsidRPr="0023432A">
        <w:rPr>
          <w:rFonts w:eastAsia="Times New Roman"/>
          <w:b/>
          <w:bCs/>
          <w:rtl/>
          <w:lang w:eastAsia="de-DE"/>
        </w:rPr>
        <w:t>לֵבָב</w:t>
      </w:r>
      <w:r w:rsidRPr="0023432A">
        <w:rPr>
          <w:rFonts w:eastAsia="Times New Roman"/>
          <w:lang w:eastAsia="de-DE"/>
        </w:rPr>
        <w:t xml:space="preserve">, „Herz", mit Suffix 2. Person Singular maskulin), </w:t>
      </w:r>
      <w:r w:rsidRPr="0023432A">
        <w:rPr>
          <w:rFonts w:eastAsia="Times New Roman"/>
          <w:b/>
          <w:bCs/>
          <w:rtl/>
          <w:lang w:eastAsia="de-DE"/>
        </w:rPr>
        <w:t>וּבְכָל־נַפְשְׁךָ</w:t>
      </w:r>
      <w:r w:rsidRPr="0023432A">
        <w:rPr>
          <w:rFonts w:eastAsia="Times New Roman"/>
          <w:rtl/>
          <w:lang w:eastAsia="de-DE"/>
        </w:rPr>
        <w:t xml:space="preserve"> </w:t>
      </w:r>
      <w:r w:rsidRPr="0023432A">
        <w:rPr>
          <w:rFonts w:eastAsia="Times New Roman"/>
          <w:lang w:eastAsia="de-DE"/>
        </w:rPr>
        <w:t>koordiniert (</w:t>
      </w:r>
      <w:r w:rsidRPr="0023432A">
        <w:rPr>
          <w:rFonts w:eastAsia="Times New Roman"/>
          <w:b/>
          <w:bCs/>
          <w:rtl/>
          <w:lang w:eastAsia="de-DE"/>
        </w:rPr>
        <w:t>נֶפֶשׁ</w:t>
      </w:r>
      <w:r w:rsidRPr="0023432A">
        <w:rPr>
          <w:rFonts w:eastAsia="Times New Roman"/>
          <w:lang w:eastAsia="de-DE"/>
        </w:rPr>
        <w:t xml:space="preserve">, „Seele, Leben", mit Suffix), </w:t>
      </w:r>
      <w:r w:rsidRPr="0023432A">
        <w:rPr>
          <w:rFonts w:eastAsia="Times New Roman"/>
          <w:b/>
          <w:bCs/>
          <w:rtl/>
          <w:lang w:eastAsia="de-DE"/>
        </w:rPr>
        <w:t>וּבְכָל־מְאֹדֶךָ</w:t>
      </w:r>
      <w:r w:rsidRPr="0023432A">
        <w:rPr>
          <w:rFonts w:eastAsia="Times New Roman"/>
          <w:rtl/>
          <w:lang w:eastAsia="de-DE"/>
        </w:rPr>
        <w:t xml:space="preserve"> </w:t>
      </w:r>
      <w:r w:rsidRPr="0023432A">
        <w:rPr>
          <w:rFonts w:eastAsia="Times New Roman"/>
          <w:lang w:eastAsia="de-DE"/>
        </w:rPr>
        <w:t>koordiniert (</w:t>
      </w:r>
      <w:r w:rsidRPr="0023432A">
        <w:rPr>
          <w:rFonts w:eastAsia="Times New Roman"/>
          <w:b/>
          <w:bCs/>
          <w:rtl/>
          <w:lang w:eastAsia="de-DE"/>
        </w:rPr>
        <w:t>מְאֹד</w:t>
      </w:r>
      <w:r w:rsidRPr="0023432A">
        <w:rPr>
          <w:rFonts w:eastAsia="Times New Roman"/>
          <w:rtl/>
          <w:lang w:eastAsia="de-DE"/>
        </w:rPr>
        <w:t xml:space="preserve"> </w:t>
      </w:r>
      <w:r w:rsidRPr="0023432A">
        <w:rPr>
          <w:rFonts w:eastAsia="Times New Roman"/>
          <w:lang w:eastAsia="de-DE"/>
        </w:rPr>
        <w:t>hier substantiviert, „Kraft, Vermögen, Sehr" – möglicherweise „mit deiner ganzen Kraft" oder „mit deinem ganzen Sehr/Vermögen", mit Suffix).</w:t>
      </w:r>
    </w:p>
    <w:p w14:paraId="3071F09F"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lang w:eastAsia="de-DE"/>
        </w:rPr>
        <w:t xml:space="preserve">Die drei Begriffe </w:t>
      </w:r>
      <w:r w:rsidRPr="0023432A">
        <w:rPr>
          <w:rFonts w:eastAsia="Times New Roman"/>
          <w:b/>
          <w:bCs/>
          <w:rtl/>
          <w:lang w:eastAsia="de-DE"/>
        </w:rPr>
        <w:t>לֵבָב</w:t>
      </w:r>
      <w:r w:rsidRPr="0023432A">
        <w:rPr>
          <w:rFonts w:eastAsia="Times New Roman"/>
          <w:lang w:eastAsia="de-DE"/>
        </w:rPr>
        <w:t xml:space="preserve">, </w:t>
      </w:r>
      <w:r w:rsidRPr="0023432A">
        <w:rPr>
          <w:rFonts w:eastAsia="Times New Roman"/>
          <w:b/>
          <w:bCs/>
          <w:rtl/>
          <w:lang w:eastAsia="de-DE"/>
        </w:rPr>
        <w:t>נֶפֶשׁ</w:t>
      </w:r>
      <w:r w:rsidRPr="0023432A">
        <w:rPr>
          <w:rFonts w:eastAsia="Times New Roman"/>
          <w:lang w:eastAsia="de-DE"/>
        </w:rPr>
        <w:t xml:space="preserve">, </w:t>
      </w:r>
      <w:r w:rsidRPr="0023432A">
        <w:rPr>
          <w:rFonts w:eastAsia="Times New Roman"/>
          <w:b/>
          <w:bCs/>
          <w:rtl/>
          <w:lang w:eastAsia="de-DE"/>
        </w:rPr>
        <w:t>מְאֹד</w:t>
      </w:r>
      <w:r w:rsidRPr="0023432A">
        <w:rPr>
          <w:rFonts w:eastAsia="Times New Roman"/>
          <w:rtl/>
          <w:lang w:eastAsia="de-DE"/>
        </w:rPr>
        <w:t xml:space="preserve"> </w:t>
      </w:r>
      <w:r w:rsidRPr="0023432A">
        <w:rPr>
          <w:rFonts w:eastAsia="Times New Roman"/>
          <w:lang w:eastAsia="de-DE"/>
        </w:rPr>
        <w:t xml:space="preserve">umfassen die Totalität der Person: </w:t>
      </w:r>
      <w:r w:rsidRPr="0023432A">
        <w:rPr>
          <w:rFonts w:eastAsia="Times New Roman"/>
          <w:b/>
          <w:bCs/>
          <w:rtl/>
          <w:lang w:eastAsia="de-DE"/>
        </w:rPr>
        <w:t>לֵבָב</w:t>
      </w:r>
      <w:r w:rsidRPr="0023432A">
        <w:rPr>
          <w:rFonts w:eastAsia="Times New Roman"/>
          <w:rtl/>
          <w:lang w:eastAsia="de-DE"/>
        </w:rPr>
        <w:t xml:space="preserve"> </w:t>
      </w:r>
      <w:r w:rsidRPr="0023432A">
        <w:rPr>
          <w:rFonts w:eastAsia="Times New Roman"/>
          <w:lang w:eastAsia="de-DE"/>
        </w:rPr>
        <w:t xml:space="preserve">(„Herz") bezeichnet im Hebräischen primär den Verstand, das Denken, die innere Person; </w:t>
      </w:r>
      <w:r w:rsidRPr="0023432A">
        <w:rPr>
          <w:rFonts w:eastAsia="Times New Roman"/>
          <w:b/>
          <w:bCs/>
          <w:rtl/>
          <w:lang w:eastAsia="de-DE"/>
        </w:rPr>
        <w:t>נֶפֶשׁ</w:t>
      </w:r>
      <w:r w:rsidRPr="0023432A">
        <w:rPr>
          <w:rFonts w:eastAsia="Times New Roman"/>
          <w:rtl/>
          <w:lang w:eastAsia="de-DE"/>
        </w:rPr>
        <w:t xml:space="preserve"> </w:t>
      </w:r>
      <w:r w:rsidRPr="0023432A">
        <w:rPr>
          <w:rFonts w:eastAsia="Times New Roman"/>
          <w:lang w:eastAsia="de-DE"/>
        </w:rPr>
        <w:t xml:space="preserve">(„Seele") bezeichnet das vitale Leben, die Lebenskraft, das Selbst; </w:t>
      </w:r>
      <w:r w:rsidRPr="0023432A">
        <w:rPr>
          <w:rFonts w:eastAsia="Times New Roman"/>
          <w:b/>
          <w:bCs/>
          <w:rtl/>
          <w:lang w:eastAsia="de-DE"/>
        </w:rPr>
        <w:t>מְאֹד</w:t>
      </w:r>
      <w:r w:rsidRPr="0023432A">
        <w:rPr>
          <w:rFonts w:eastAsia="Times New Roman"/>
          <w:rtl/>
          <w:lang w:eastAsia="de-DE"/>
        </w:rPr>
        <w:t xml:space="preserve"> </w:t>
      </w:r>
      <w:r w:rsidRPr="0023432A">
        <w:rPr>
          <w:rFonts w:eastAsia="Times New Roman"/>
          <w:lang w:eastAsia="de-DE"/>
        </w:rPr>
        <w:t>ist einzigartig und schwer zu übersetzen – möglicherweise „Kraft, Vermögen, Besitz" oder einfach „Sehr" im Sinne von „mit deinem ganzen Sehr". Die Dreifachformel drückt totale, ungeteilte Hingabe aus.</w:t>
      </w:r>
    </w:p>
    <w:p w14:paraId="1E28E2FF"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lang w:eastAsia="de-DE"/>
        </w:rPr>
        <w:t xml:space="preserve">Die Satzstruktur ist ein imperativisches Perfekt consecutivum mit direktem Objekt und dreigliedriger koordinierter modaler Bestimmung, wobei jedes Glied aus Präposition, </w:t>
      </w:r>
      <w:r w:rsidRPr="0023432A">
        <w:rPr>
          <w:rFonts w:eastAsia="Times New Roman"/>
          <w:b/>
          <w:bCs/>
          <w:rtl/>
          <w:lang w:eastAsia="de-DE"/>
        </w:rPr>
        <w:t>כָּל</w:t>
      </w:r>
      <w:r w:rsidRPr="0023432A">
        <w:rPr>
          <w:rFonts w:eastAsia="Times New Roman"/>
          <w:rtl/>
          <w:lang w:eastAsia="de-DE"/>
        </w:rPr>
        <w:t xml:space="preserve"> </w:t>
      </w:r>
      <w:r w:rsidRPr="0023432A">
        <w:rPr>
          <w:rFonts w:eastAsia="Times New Roman"/>
          <w:lang w:eastAsia="de-DE"/>
        </w:rPr>
        <w:t xml:space="preserve">im Construct und einem Substantiv mit Suffix besteht. Die dreifache Parallelstruktur mit der dreifachen Verwendung von </w:t>
      </w:r>
      <w:r w:rsidRPr="0023432A">
        <w:rPr>
          <w:rFonts w:eastAsia="Times New Roman"/>
          <w:b/>
          <w:bCs/>
          <w:rtl/>
          <w:lang w:eastAsia="de-DE"/>
        </w:rPr>
        <w:t>כָּל</w:t>
      </w:r>
      <w:r w:rsidRPr="0023432A">
        <w:rPr>
          <w:rFonts w:eastAsia="Times New Roman"/>
          <w:rtl/>
          <w:lang w:eastAsia="de-DE"/>
        </w:rPr>
        <w:t xml:space="preserve"> </w:t>
      </w:r>
      <w:r w:rsidRPr="0023432A">
        <w:rPr>
          <w:rFonts w:eastAsia="Times New Roman"/>
          <w:lang w:eastAsia="de-DE"/>
        </w:rPr>
        <w:t>(„ganz") unterstreicht die Totalität der geforderten Hingabe.</w:t>
      </w:r>
    </w:p>
    <w:p w14:paraId="2199254F"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lang w:eastAsia="de-DE"/>
        </w:rPr>
        <w:t>Der Vers formuliert das große Gebot der Gottesliebe: Israel soll JHWH mit dem ganzen Herzen, der ganzen Seele und der ganzen Kraft lieben – eine totale, ungeteilte Hingabe an Gott. Jesus zitiert diesen Vers als das größte Gebot (Mt 22,37; Mk 12,30; Lk 10,27).</w:t>
      </w:r>
    </w:p>
    <w:p w14:paraId="0B3904EB" w14:textId="77777777" w:rsidR="0023432A" w:rsidRPr="0023432A" w:rsidRDefault="0023432A" w:rsidP="0023432A">
      <w:pPr>
        <w:spacing w:before="100" w:beforeAutospacing="1" w:after="100" w:afterAutospacing="1" w:line="240" w:lineRule="auto"/>
        <w:outlineLvl w:val="1"/>
        <w:rPr>
          <w:rFonts w:eastAsia="Times New Roman"/>
          <w:b/>
          <w:bCs/>
          <w:sz w:val="36"/>
          <w:szCs w:val="36"/>
          <w:lang w:eastAsia="de-DE"/>
        </w:rPr>
      </w:pPr>
      <w:r w:rsidRPr="0023432A">
        <w:rPr>
          <w:rFonts w:eastAsia="Times New Roman"/>
          <w:b/>
          <w:bCs/>
          <w:sz w:val="36"/>
          <w:szCs w:val="36"/>
          <w:lang w:eastAsia="de-DE"/>
        </w:rPr>
        <w:t>Deuteronomium 6,6</w:t>
      </w:r>
    </w:p>
    <w:p w14:paraId="257E6E36"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lang w:eastAsia="de-DE"/>
        </w:rPr>
        <w:t>Hebräisch:</w:t>
      </w:r>
      <w:r w:rsidRPr="0023432A">
        <w:rPr>
          <w:rFonts w:eastAsia="Times New Roman"/>
          <w:lang w:eastAsia="de-DE"/>
        </w:rPr>
        <w:t xml:space="preserve"> </w:t>
      </w:r>
      <w:r w:rsidRPr="0023432A">
        <w:rPr>
          <w:rFonts w:eastAsia="Times New Roman"/>
          <w:rtl/>
          <w:lang w:eastAsia="de-DE"/>
        </w:rPr>
        <w:t>וְהָיוּ הַדְּבָרִים הָאֵלֶּה אֲשֶׁר אָנֹכִי מְצַוְּךָ הַיּוֹם עַל־לְבָבֶךָ׃</w:t>
      </w:r>
    </w:p>
    <w:p w14:paraId="7E56C1FD"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lang w:eastAsia="de-DE"/>
        </w:rPr>
        <w:lastRenderedPageBreak/>
        <w:t>Deutsch:</w:t>
      </w:r>
      <w:r w:rsidRPr="0023432A">
        <w:rPr>
          <w:rFonts w:eastAsia="Times New Roman"/>
          <w:lang w:eastAsia="de-DE"/>
        </w:rPr>
        <w:t xml:space="preserve"> Und diese Worte, die ich dir heute gebiete, sollen auf deinem Herzen sein.</w:t>
      </w:r>
    </w:p>
    <w:p w14:paraId="615D05D6" w14:textId="77777777" w:rsidR="0023432A" w:rsidRPr="0023432A" w:rsidRDefault="004F5CEB" w:rsidP="0023432A">
      <w:pPr>
        <w:spacing w:after="0" w:line="240" w:lineRule="auto"/>
        <w:rPr>
          <w:rFonts w:eastAsia="Times New Roman"/>
          <w:lang w:eastAsia="de-DE"/>
        </w:rPr>
      </w:pPr>
      <w:r>
        <w:rPr>
          <w:rFonts w:eastAsia="Times New Roman"/>
          <w:noProof/>
          <w:lang w:eastAsia="de-DE"/>
        </w:rPr>
        <w:pict w14:anchorId="34DA8314">
          <v:rect id="_x0000_i1224" style="width:0;height:1.5pt" o:hralign="center" o:hrstd="t" o:hr="t" fillcolor="#a0a0a0" stroked="f"/>
        </w:pict>
      </w:r>
    </w:p>
    <w:p w14:paraId="48B5D78E"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lang w:eastAsia="de-DE"/>
        </w:rPr>
        <w:t>Kommentar:</w:t>
      </w:r>
      <w:r w:rsidRPr="0023432A">
        <w:rPr>
          <w:rFonts w:eastAsia="Times New Roman"/>
          <w:lang w:eastAsia="de-DE"/>
        </w:rPr>
        <w:t xml:space="preserve"> </w:t>
      </w:r>
      <w:r w:rsidRPr="0023432A">
        <w:rPr>
          <w:rFonts w:eastAsia="Times New Roman"/>
          <w:b/>
          <w:bCs/>
          <w:rtl/>
          <w:lang w:eastAsia="de-DE"/>
        </w:rPr>
        <w:t>וְהָיוּ הַדְּבָרִים הָאֵלֶּה... עַל־לְבָבֶךָ</w:t>
      </w:r>
      <w:r w:rsidRPr="0023432A">
        <w:rPr>
          <w:rFonts w:eastAsia="Times New Roman"/>
          <w:rtl/>
          <w:lang w:eastAsia="de-DE"/>
        </w:rPr>
        <w:t xml:space="preserve"> </w:t>
      </w:r>
      <w:r w:rsidRPr="0023432A">
        <w:rPr>
          <w:rFonts w:eastAsia="Times New Roman"/>
          <w:lang w:eastAsia="de-DE"/>
        </w:rPr>
        <w:t xml:space="preserve">ist Qal Perfekt consecutivum, 3. Person Plural von </w:t>
      </w:r>
      <w:r w:rsidRPr="0023432A">
        <w:rPr>
          <w:rFonts w:eastAsia="Times New Roman"/>
          <w:b/>
          <w:bCs/>
          <w:rtl/>
          <w:lang w:eastAsia="de-DE"/>
        </w:rPr>
        <w:t>היה</w:t>
      </w:r>
      <w:r w:rsidRPr="0023432A">
        <w:rPr>
          <w:rFonts w:eastAsia="Times New Roman"/>
          <w:rtl/>
          <w:lang w:eastAsia="de-DE"/>
        </w:rPr>
        <w:t xml:space="preserve"> </w:t>
      </w:r>
      <w:r w:rsidRPr="0023432A">
        <w:rPr>
          <w:rFonts w:eastAsia="Times New Roman"/>
          <w:lang w:eastAsia="de-DE"/>
        </w:rPr>
        <w:t xml:space="preserve">(„sein") mit </w:t>
      </w:r>
      <w:r w:rsidRPr="0023432A">
        <w:rPr>
          <w:rFonts w:eastAsia="Times New Roman"/>
          <w:b/>
          <w:bCs/>
          <w:rtl/>
          <w:lang w:eastAsia="de-DE"/>
        </w:rPr>
        <w:t>וְ</w:t>
      </w:r>
      <w:r w:rsidRPr="0023432A">
        <w:rPr>
          <w:rFonts w:eastAsia="Times New Roman"/>
          <w:lang w:eastAsia="de-DE"/>
        </w:rPr>
        <w:t xml:space="preserve">, </w:t>
      </w:r>
      <w:r w:rsidRPr="0023432A">
        <w:rPr>
          <w:rFonts w:eastAsia="Times New Roman"/>
          <w:b/>
          <w:bCs/>
          <w:rtl/>
          <w:lang w:eastAsia="de-DE"/>
        </w:rPr>
        <w:t>הַדְּבָרִים הָאֵלֶּה</w:t>
      </w:r>
      <w:r w:rsidRPr="0023432A">
        <w:rPr>
          <w:rFonts w:eastAsia="Times New Roman"/>
          <w:rtl/>
          <w:lang w:eastAsia="de-DE"/>
        </w:rPr>
        <w:t xml:space="preserve"> </w:t>
      </w:r>
      <w:r w:rsidRPr="0023432A">
        <w:rPr>
          <w:rFonts w:eastAsia="Times New Roman"/>
          <w:lang w:eastAsia="de-DE"/>
        </w:rPr>
        <w:t>als Subjekt (</w:t>
      </w:r>
      <w:r w:rsidRPr="0023432A">
        <w:rPr>
          <w:rFonts w:eastAsia="Times New Roman"/>
          <w:b/>
          <w:bCs/>
          <w:rtl/>
          <w:lang w:eastAsia="de-DE"/>
        </w:rPr>
        <w:t>דָּבָר</w:t>
      </w:r>
      <w:r w:rsidRPr="0023432A">
        <w:rPr>
          <w:rFonts w:eastAsia="Times New Roman"/>
          <w:lang w:eastAsia="de-DE"/>
        </w:rPr>
        <w:t xml:space="preserve">, „Wort", Plural mit Artikel und Demonstrativpronomen </w:t>
      </w:r>
      <w:r w:rsidRPr="0023432A">
        <w:rPr>
          <w:rFonts w:eastAsia="Times New Roman"/>
          <w:b/>
          <w:bCs/>
          <w:rtl/>
          <w:lang w:eastAsia="de-DE"/>
        </w:rPr>
        <w:t>הָאֵלֶּה</w:t>
      </w:r>
      <w:r w:rsidRPr="0023432A">
        <w:rPr>
          <w:rFonts w:eastAsia="Times New Roman"/>
          <w:lang w:eastAsia="de-DE"/>
        </w:rPr>
        <w:t xml:space="preserve">), </w:t>
      </w:r>
      <w:r w:rsidRPr="0023432A">
        <w:rPr>
          <w:rFonts w:eastAsia="Times New Roman"/>
          <w:b/>
          <w:bCs/>
          <w:rtl/>
          <w:lang w:eastAsia="de-DE"/>
        </w:rPr>
        <w:t>עַל־לְבָבֶךָ</w:t>
      </w:r>
      <w:r w:rsidRPr="0023432A">
        <w:rPr>
          <w:rFonts w:eastAsia="Times New Roman"/>
          <w:rtl/>
          <w:lang w:eastAsia="de-DE"/>
        </w:rPr>
        <w:t xml:space="preserve"> </w:t>
      </w:r>
      <w:r w:rsidRPr="0023432A">
        <w:rPr>
          <w:rFonts w:eastAsia="Times New Roman"/>
          <w:lang w:eastAsia="de-DE"/>
        </w:rPr>
        <w:t>als Ortsangabe (</w:t>
      </w:r>
      <w:r w:rsidRPr="0023432A">
        <w:rPr>
          <w:rFonts w:eastAsia="Times New Roman"/>
          <w:b/>
          <w:bCs/>
          <w:rtl/>
          <w:lang w:eastAsia="de-DE"/>
        </w:rPr>
        <w:t>עַל</w:t>
      </w:r>
      <w:r w:rsidRPr="0023432A">
        <w:rPr>
          <w:rFonts w:eastAsia="Times New Roman"/>
          <w:rtl/>
          <w:lang w:eastAsia="de-DE"/>
        </w:rPr>
        <w:t xml:space="preserve"> </w:t>
      </w:r>
      <w:r w:rsidRPr="0023432A">
        <w:rPr>
          <w:rFonts w:eastAsia="Times New Roman"/>
          <w:lang w:eastAsia="de-DE"/>
        </w:rPr>
        <w:t xml:space="preserve">mit </w:t>
      </w:r>
      <w:r w:rsidRPr="0023432A">
        <w:rPr>
          <w:rFonts w:eastAsia="Times New Roman"/>
          <w:b/>
          <w:bCs/>
          <w:rtl/>
          <w:lang w:eastAsia="de-DE"/>
        </w:rPr>
        <w:t>לֵבָב</w:t>
      </w:r>
      <w:r w:rsidRPr="0023432A">
        <w:rPr>
          <w:rFonts w:eastAsia="Times New Roman"/>
          <w:rtl/>
          <w:lang w:eastAsia="de-DE"/>
        </w:rPr>
        <w:t xml:space="preserve"> </w:t>
      </w:r>
      <w:r w:rsidRPr="0023432A">
        <w:rPr>
          <w:rFonts w:eastAsia="Times New Roman"/>
          <w:lang w:eastAsia="de-DE"/>
        </w:rPr>
        <w:t xml:space="preserve">und Suffix 2. Person Singular maskulin – „auf deinem Herzen"). Die idiomatische Wendung </w:t>
      </w:r>
      <w:r w:rsidRPr="0023432A">
        <w:rPr>
          <w:rFonts w:eastAsia="Times New Roman"/>
          <w:b/>
          <w:bCs/>
          <w:rtl/>
          <w:lang w:eastAsia="de-DE"/>
        </w:rPr>
        <w:t>על־לֵבָב</w:t>
      </w:r>
      <w:r w:rsidRPr="0023432A">
        <w:rPr>
          <w:rFonts w:eastAsia="Times New Roman"/>
          <w:rtl/>
          <w:lang w:eastAsia="de-DE"/>
        </w:rPr>
        <w:t xml:space="preserve"> </w:t>
      </w:r>
      <w:r w:rsidRPr="0023432A">
        <w:rPr>
          <w:rFonts w:eastAsia="Times New Roman"/>
          <w:lang w:eastAsia="de-DE"/>
        </w:rPr>
        <w:t>bedeutet „auf dem Herzen sein" = „im Herzen bewahren, beherzigen, sich zu Herzen nehmen".</w:t>
      </w:r>
    </w:p>
    <w:p w14:paraId="031B433F"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rtl/>
          <w:lang w:eastAsia="de-DE"/>
        </w:rPr>
        <w:t>אֲשֶׁר אָנֹכִי מְצַוְּךָ הַיּוֹם</w:t>
      </w:r>
      <w:r w:rsidRPr="0023432A">
        <w:rPr>
          <w:rFonts w:eastAsia="Times New Roman"/>
          <w:rtl/>
          <w:lang w:eastAsia="de-DE"/>
        </w:rPr>
        <w:t xml:space="preserve"> </w:t>
      </w:r>
      <w:r w:rsidRPr="0023432A">
        <w:rPr>
          <w:rFonts w:eastAsia="Times New Roman"/>
          <w:lang w:eastAsia="de-DE"/>
        </w:rPr>
        <w:t xml:space="preserve">ist ein Relativsatz: </w:t>
      </w:r>
      <w:r w:rsidRPr="0023432A">
        <w:rPr>
          <w:rFonts w:eastAsia="Times New Roman"/>
          <w:b/>
          <w:bCs/>
          <w:rtl/>
          <w:lang w:eastAsia="de-DE"/>
        </w:rPr>
        <w:t>אֲשֶׁר</w:t>
      </w:r>
      <w:r w:rsidRPr="0023432A">
        <w:rPr>
          <w:rFonts w:eastAsia="Times New Roman"/>
          <w:rtl/>
          <w:lang w:eastAsia="de-DE"/>
        </w:rPr>
        <w:t xml:space="preserve"> </w:t>
      </w:r>
      <w:r w:rsidRPr="0023432A">
        <w:rPr>
          <w:rFonts w:eastAsia="Times New Roman"/>
          <w:lang w:eastAsia="de-DE"/>
        </w:rPr>
        <w:t xml:space="preserve">als Relativpronomen, </w:t>
      </w:r>
      <w:r w:rsidRPr="0023432A">
        <w:rPr>
          <w:rFonts w:eastAsia="Times New Roman"/>
          <w:b/>
          <w:bCs/>
          <w:rtl/>
          <w:lang w:eastAsia="de-DE"/>
        </w:rPr>
        <w:t>אָנֹכִי</w:t>
      </w:r>
      <w:r w:rsidRPr="0023432A">
        <w:rPr>
          <w:rFonts w:eastAsia="Times New Roman"/>
          <w:rtl/>
          <w:lang w:eastAsia="de-DE"/>
        </w:rPr>
        <w:t xml:space="preserve"> </w:t>
      </w:r>
      <w:r w:rsidRPr="0023432A">
        <w:rPr>
          <w:rFonts w:eastAsia="Times New Roman"/>
          <w:lang w:eastAsia="de-DE"/>
        </w:rPr>
        <w:t xml:space="preserve">als emphatisches Personalpronomen, </w:t>
      </w:r>
      <w:r w:rsidRPr="0023432A">
        <w:rPr>
          <w:rFonts w:eastAsia="Times New Roman"/>
          <w:b/>
          <w:bCs/>
          <w:rtl/>
          <w:lang w:eastAsia="de-DE"/>
        </w:rPr>
        <w:t>מְצַוְּךָ</w:t>
      </w:r>
      <w:r w:rsidRPr="0023432A">
        <w:rPr>
          <w:rFonts w:eastAsia="Times New Roman"/>
          <w:rtl/>
          <w:lang w:eastAsia="de-DE"/>
        </w:rPr>
        <w:t xml:space="preserve"> </w:t>
      </w:r>
      <w:r w:rsidRPr="0023432A">
        <w:rPr>
          <w:rFonts w:eastAsia="Times New Roman"/>
          <w:lang w:eastAsia="de-DE"/>
        </w:rPr>
        <w:t xml:space="preserve">als Piel Partizip Singular maskulin von </w:t>
      </w:r>
      <w:r w:rsidRPr="0023432A">
        <w:rPr>
          <w:rFonts w:eastAsia="Times New Roman"/>
          <w:b/>
          <w:bCs/>
          <w:rtl/>
          <w:lang w:eastAsia="de-DE"/>
        </w:rPr>
        <w:t>צוה</w:t>
      </w:r>
      <w:r w:rsidRPr="0023432A">
        <w:rPr>
          <w:rFonts w:eastAsia="Times New Roman"/>
          <w:rtl/>
          <w:lang w:eastAsia="de-DE"/>
        </w:rPr>
        <w:t xml:space="preserve"> </w:t>
      </w:r>
      <w:r w:rsidRPr="0023432A">
        <w:rPr>
          <w:rFonts w:eastAsia="Times New Roman"/>
          <w:lang w:eastAsia="de-DE"/>
        </w:rPr>
        <w:t xml:space="preserve">mit Suffix 2. Person Singular maskulin als direktes Objekt, </w:t>
      </w:r>
      <w:r w:rsidRPr="0023432A">
        <w:rPr>
          <w:rFonts w:eastAsia="Times New Roman"/>
          <w:b/>
          <w:bCs/>
          <w:rtl/>
          <w:lang w:eastAsia="de-DE"/>
        </w:rPr>
        <w:t>הַיּוֹם</w:t>
      </w:r>
      <w:r w:rsidRPr="0023432A">
        <w:rPr>
          <w:rFonts w:eastAsia="Times New Roman"/>
          <w:rtl/>
          <w:lang w:eastAsia="de-DE"/>
        </w:rPr>
        <w:t xml:space="preserve"> </w:t>
      </w:r>
      <w:r w:rsidRPr="0023432A">
        <w:rPr>
          <w:rFonts w:eastAsia="Times New Roman"/>
          <w:lang w:eastAsia="de-DE"/>
        </w:rPr>
        <w:t xml:space="preserve">als temporales Adverb. Die Betonung </w:t>
      </w:r>
      <w:r w:rsidRPr="0023432A">
        <w:rPr>
          <w:rFonts w:eastAsia="Times New Roman"/>
          <w:b/>
          <w:bCs/>
          <w:rtl/>
          <w:lang w:eastAsia="de-DE"/>
        </w:rPr>
        <w:t>אָנֹכִי</w:t>
      </w:r>
      <w:r w:rsidRPr="0023432A">
        <w:rPr>
          <w:rFonts w:eastAsia="Times New Roman"/>
          <w:rtl/>
          <w:lang w:eastAsia="de-DE"/>
        </w:rPr>
        <w:t xml:space="preserve"> </w:t>
      </w:r>
      <w:r w:rsidRPr="0023432A">
        <w:rPr>
          <w:rFonts w:eastAsia="Times New Roman"/>
          <w:lang w:eastAsia="de-DE"/>
        </w:rPr>
        <w:t xml:space="preserve">unterstreicht die mosaische Autorität, die Betonung </w:t>
      </w:r>
      <w:r w:rsidRPr="0023432A">
        <w:rPr>
          <w:rFonts w:eastAsia="Times New Roman"/>
          <w:b/>
          <w:bCs/>
          <w:rtl/>
          <w:lang w:eastAsia="de-DE"/>
        </w:rPr>
        <w:t>הַיּוֹם</w:t>
      </w:r>
      <w:r w:rsidRPr="0023432A">
        <w:rPr>
          <w:rFonts w:eastAsia="Times New Roman"/>
          <w:rtl/>
          <w:lang w:eastAsia="de-DE"/>
        </w:rPr>
        <w:t xml:space="preserve"> </w:t>
      </w:r>
      <w:r w:rsidRPr="0023432A">
        <w:rPr>
          <w:rFonts w:eastAsia="Times New Roman"/>
          <w:lang w:eastAsia="de-DE"/>
        </w:rPr>
        <w:t>die Aktualität der Verkündigung.</w:t>
      </w:r>
    </w:p>
    <w:p w14:paraId="47EF8780"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lang w:eastAsia="de-DE"/>
        </w:rPr>
        <w:t>Der Ausdruck „auf dem Herzen sein" bedeutet mehr als bloßes Auswendiglernen; es geht um Verinnerlichung, um eine Haltung, in der die Gebote zum integralen Bestandteil der Person werden. Das Herz (</w:t>
      </w:r>
      <w:r w:rsidRPr="0023432A">
        <w:rPr>
          <w:rFonts w:eastAsia="Times New Roman"/>
          <w:b/>
          <w:bCs/>
          <w:rtl/>
          <w:lang w:eastAsia="de-DE"/>
        </w:rPr>
        <w:t>לֵבָב</w:t>
      </w:r>
      <w:r w:rsidRPr="0023432A">
        <w:rPr>
          <w:rFonts w:eastAsia="Times New Roman"/>
          <w:lang w:eastAsia="de-DE"/>
        </w:rPr>
        <w:t>) ist im hebräischen Denken der Sitz des Verstandes und des Willens.</w:t>
      </w:r>
    </w:p>
    <w:p w14:paraId="4B2E1B82"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lang w:eastAsia="de-DE"/>
        </w:rPr>
        <w:t>Die Satzstruktur ist ein Perfekt consecutivum mit Subjekt (mit Demonstrativpronomen), Relativsatz (mit emphatischem Pronomen, partizipialem Prädikat mit Suffix-Objekt und temporalem Adverb) und idiomatischer Ortsangabe. Die Struktur betont die Verinnerlichung der gegenwärtig verkündeten Gebote.</w:t>
      </w:r>
    </w:p>
    <w:p w14:paraId="42E22B2F"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lang w:eastAsia="de-DE"/>
        </w:rPr>
        <w:t>Der Vers fordert die Verinnerlichung der Gebote: Die heute verkündeten Worte sollen auf dem Herzen sein, d.h. tief im Inneren bewahrt und beherzigt werden.</w:t>
      </w:r>
    </w:p>
    <w:p w14:paraId="799F858F" w14:textId="77777777" w:rsidR="0023432A" w:rsidRPr="0023432A" w:rsidRDefault="0023432A" w:rsidP="0023432A">
      <w:pPr>
        <w:spacing w:before="100" w:beforeAutospacing="1" w:after="100" w:afterAutospacing="1" w:line="240" w:lineRule="auto"/>
        <w:outlineLvl w:val="1"/>
        <w:rPr>
          <w:rFonts w:eastAsia="Times New Roman"/>
          <w:b/>
          <w:bCs/>
          <w:sz w:val="36"/>
          <w:szCs w:val="36"/>
          <w:lang w:eastAsia="de-DE"/>
        </w:rPr>
      </w:pPr>
      <w:r w:rsidRPr="0023432A">
        <w:rPr>
          <w:rFonts w:eastAsia="Times New Roman"/>
          <w:b/>
          <w:bCs/>
          <w:sz w:val="36"/>
          <w:szCs w:val="36"/>
          <w:lang w:eastAsia="de-DE"/>
        </w:rPr>
        <w:t>Deuteronomium 6,7</w:t>
      </w:r>
    </w:p>
    <w:p w14:paraId="77D3B6D5"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lang w:eastAsia="de-DE"/>
        </w:rPr>
        <w:t>Hebräisch:</w:t>
      </w:r>
      <w:r w:rsidRPr="0023432A">
        <w:rPr>
          <w:rFonts w:eastAsia="Times New Roman"/>
          <w:lang w:eastAsia="de-DE"/>
        </w:rPr>
        <w:t xml:space="preserve"> </w:t>
      </w:r>
      <w:r w:rsidRPr="0023432A">
        <w:rPr>
          <w:rFonts w:eastAsia="Times New Roman"/>
          <w:rtl/>
          <w:lang w:eastAsia="de-DE"/>
        </w:rPr>
        <w:t>וְשִׁנַּנְתָּם לְבָנֶיךָ וְדִבַּרְתָּ בָּם בְּשִׁבְתְּךָ בְּבֵיתֶךָ וּבְלֶכְתְּךָ בַדֶּרֶךְ וּבְשָׁכְבְּךָ וּבְקוּמֶךָ׃</w:t>
      </w:r>
    </w:p>
    <w:p w14:paraId="1019FB33"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lang w:eastAsia="de-DE"/>
        </w:rPr>
        <w:t>Deutsch:</w:t>
      </w:r>
      <w:r w:rsidRPr="0023432A">
        <w:rPr>
          <w:rFonts w:eastAsia="Times New Roman"/>
          <w:lang w:eastAsia="de-DE"/>
        </w:rPr>
        <w:t xml:space="preserve"> Und du sollst sie einschärfen deinen Söhnen und davon reden, wenn du sitzt in deinem Haus und wenn du gehst auf dem Weg und wenn du dich hinlegst und wenn du aufstehst.</w:t>
      </w:r>
    </w:p>
    <w:p w14:paraId="4FC683B5" w14:textId="77777777" w:rsidR="0023432A" w:rsidRPr="0023432A" w:rsidRDefault="004F5CEB" w:rsidP="0023432A">
      <w:pPr>
        <w:spacing w:after="0" w:line="240" w:lineRule="auto"/>
        <w:rPr>
          <w:rFonts w:eastAsia="Times New Roman"/>
          <w:lang w:eastAsia="de-DE"/>
        </w:rPr>
      </w:pPr>
      <w:r>
        <w:rPr>
          <w:rFonts w:eastAsia="Times New Roman"/>
          <w:noProof/>
          <w:lang w:eastAsia="de-DE"/>
        </w:rPr>
        <w:pict w14:anchorId="3DE359B4">
          <v:rect id="_x0000_i1225" style="width:0;height:1.5pt" o:hralign="center" o:hrstd="t" o:hr="t" fillcolor="#a0a0a0" stroked="f"/>
        </w:pict>
      </w:r>
    </w:p>
    <w:p w14:paraId="0DB788BB"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lang w:eastAsia="de-DE"/>
        </w:rPr>
        <w:t>Kommentar:</w:t>
      </w:r>
      <w:r w:rsidRPr="0023432A">
        <w:rPr>
          <w:rFonts w:eastAsia="Times New Roman"/>
          <w:lang w:eastAsia="de-DE"/>
        </w:rPr>
        <w:t xml:space="preserve"> </w:t>
      </w:r>
      <w:r w:rsidRPr="0023432A">
        <w:rPr>
          <w:rFonts w:eastAsia="Times New Roman"/>
          <w:b/>
          <w:bCs/>
          <w:rtl/>
          <w:lang w:eastAsia="de-DE"/>
        </w:rPr>
        <w:t>וְשִׁנַּנְתָּם לְבָנֶיךָ</w:t>
      </w:r>
      <w:r w:rsidRPr="0023432A">
        <w:rPr>
          <w:rFonts w:eastAsia="Times New Roman"/>
          <w:rtl/>
          <w:lang w:eastAsia="de-DE"/>
        </w:rPr>
        <w:t xml:space="preserve"> </w:t>
      </w:r>
      <w:r w:rsidRPr="0023432A">
        <w:rPr>
          <w:rFonts w:eastAsia="Times New Roman"/>
          <w:lang w:eastAsia="de-DE"/>
        </w:rPr>
        <w:t xml:space="preserve">ist Piel Perfekt consecutivum, 2. Person Singular maskulin von </w:t>
      </w:r>
      <w:r w:rsidRPr="0023432A">
        <w:rPr>
          <w:rFonts w:eastAsia="Times New Roman"/>
          <w:b/>
          <w:bCs/>
          <w:rtl/>
          <w:lang w:eastAsia="de-DE"/>
        </w:rPr>
        <w:t>שׁנן</w:t>
      </w:r>
      <w:r w:rsidRPr="0023432A">
        <w:rPr>
          <w:rFonts w:eastAsia="Times New Roman"/>
          <w:rtl/>
          <w:lang w:eastAsia="de-DE"/>
        </w:rPr>
        <w:t xml:space="preserve"> </w:t>
      </w:r>
      <w:r w:rsidRPr="0023432A">
        <w:rPr>
          <w:rFonts w:eastAsia="Times New Roman"/>
          <w:lang w:eastAsia="de-DE"/>
        </w:rPr>
        <w:t xml:space="preserve">(„schärfen, einschärfen, einprägen") mit </w:t>
      </w:r>
      <w:r w:rsidRPr="0023432A">
        <w:rPr>
          <w:rFonts w:eastAsia="Times New Roman"/>
          <w:b/>
          <w:bCs/>
          <w:rtl/>
          <w:lang w:eastAsia="de-DE"/>
        </w:rPr>
        <w:t>וְ</w:t>
      </w:r>
      <w:r w:rsidRPr="0023432A">
        <w:rPr>
          <w:rFonts w:eastAsia="Times New Roman"/>
          <w:rtl/>
          <w:lang w:eastAsia="de-DE"/>
        </w:rPr>
        <w:t xml:space="preserve"> </w:t>
      </w:r>
      <w:r w:rsidRPr="0023432A">
        <w:rPr>
          <w:rFonts w:eastAsia="Times New Roman"/>
          <w:lang w:eastAsia="de-DE"/>
        </w:rPr>
        <w:t xml:space="preserve">und Suffix 3. Person Plural maskulin als direktes Objekt (bezogen auf </w:t>
      </w:r>
      <w:r w:rsidRPr="0023432A">
        <w:rPr>
          <w:rFonts w:eastAsia="Times New Roman"/>
          <w:b/>
          <w:bCs/>
          <w:rtl/>
          <w:lang w:eastAsia="de-DE"/>
        </w:rPr>
        <w:t>הַדְּבָרִים</w:t>
      </w:r>
      <w:r w:rsidRPr="0023432A">
        <w:rPr>
          <w:rFonts w:eastAsia="Times New Roman"/>
          <w:rtl/>
          <w:lang w:eastAsia="de-DE"/>
        </w:rPr>
        <w:t xml:space="preserve"> </w:t>
      </w:r>
      <w:r w:rsidRPr="0023432A">
        <w:rPr>
          <w:rFonts w:eastAsia="Times New Roman"/>
          <w:lang w:eastAsia="de-DE"/>
        </w:rPr>
        <w:t xml:space="preserve">in V. 6), </w:t>
      </w:r>
      <w:r w:rsidRPr="0023432A">
        <w:rPr>
          <w:rFonts w:eastAsia="Times New Roman"/>
          <w:b/>
          <w:bCs/>
          <w:rtl/>
          <w:lang w:eastAsia="de-DE"/>
        </w:rPr>
        <w:t>לְבָנֶיךָ</w:t>
      </w:r>
      <w:r w:rsidRPr="0023432A">
        <w:rPr>
          <w:rFonts w:eastAsia="Times New Roman"/>
          <w:rtl/>
          <w:lang w:eastAsia="de-DE"/>
        </w:rPr>
        <w:t xml:space="preserve"> </w:t>
      </w:r>
      <w:r w:rsidRPr="0023432A">
        <w:rPr>
          <w:rFonts w:eastAsia="Times New Roman"/>
          <w:lang w:eastAsia="de-DE"/>
        </w:rPr>
        <w:t>als indirektes Objekt (</w:t>
      </w:r>
      <w:r w:rsidRPr="0023432A">
        <w:rPr>
          <w:rFonts w:eastAsia="Times New Roman"/>
          <w:b/>
          <w:bCs/>
          <w:rtl/>
          <w:lang w:eastAsia="de-DE"/>
        </w:rPr>
        <w:t>לְ</w:t>
      </w:r>
      <w:r w:rsidRPr="0023432A">
        <w:rPr>
          <w:rFonts w:eastAsia="Times New Roman"/>
          <w:rtl/>
          <w:lang w:eastAsia="de-DE"/>
        </w:rPr>
        <w:t xml:space="preserve"> </w:t>
      </w:r>
      <w:r w:rsidRPr="0023432A">
        <w:rPr>
          <w:rFonts w:eastAsia="Times New Roman"/>
          <w:lang w:eastAsia="de-DE"/>
        </w:rPr>
        <w:t xml:space="preserve">mit </w:t>
      </w:r>
      <w:r w:rsidRPr="0023432A">
        <w:rPr>
          <w:rFonts w:eastAsia="Times New Roman"/>
          <w:b/>
          <w:bCs/>
          <w:rtl/>
          <w:lang w:eastAsia="de-DE"/>
        </w:rPr>
        <w:t>בֵּן</w:t>
      </w:r>
      <w:r w:rsidRPr="0023432A">
        <w:rPr>
          <w:rFonts w:eastAsia="Times New Roman"/>
          <w:lang w:eastAsia="de-DE"/>
        </w:rPr>
        <w:t xml:space="preserve">, „Sohn", Plural und Suffix 2. Person Singular maskulin). Das Verb </w:t>
      </w:r>
      <w:r w:rsidRPr="0023432A">
        <w:rPr>
          <w:rFonts w:eastAsia="Times New Roman"/>
          <w:b/>
          <w:bCs/>
          <w:rtl/>
          <w:lang w:eastAsia="de-DE"/>
        </w:rPr>
        <w:t>שׁנן</w:t>
      </w:r>
      <w:r w:rsidRPr="0023432A">
        <w:rPr>
          <w:rFonts w:eastAsia="Times New Roman"/>
          <w:rtl/>
          <w:lang w:eastAsia="de-DE"/>
        </w:rPr>
        <w:t xml:space="preserve"> </w:t>
      </w:r>
      <w:r w:rsidRPr="0023432A">
        <w:rPr>
          <w:rFonts w:eastAsia="Times New Roman"/>
          <w:lang w:eastAsia="de-DE"/>
        </w:rPr>
        <w:t>in Piel bedeutet wörtlich „schärfen" (von einer Waffenschneide) und metaphorisch „einschärfen, einprägen" – intensives, wiederholtes Lehren.</w:t>
      </w:r>
    </w:p>
    <w:p w14:paraId="55051678"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rtl/>
          <w:lang w:eastAsia="de-DE"/>
        </w:rPr>
        <w:t>וְדִבַּרְתָּ בָּם</w:t>
      </w:r>
      <w:r w:rsidRPr="0023432A">
        <w:rPr>
          <w:rFonts w:eastAsia="Times New Roman"/>
          <w:rtl/>
          <w:lang w:eastAsia="de-DE"/>
        </w:rPr>
        <w:t xml:space="preserve"> </w:t>
      </w:r>
      <w:r w:rsidRPr="0023432A">
        <w:rPr>
          <w:rFonts w:eastAsia="Times New Roman"/>
          <w:lang w:eastAsia="de-DE"/>
        </w:rPr>
        <w:t xml:space="preserve">ist koordiniert: Piel Perfekt consecutivum, 2. Person Singular maskulin von </w:t>
      </w:r>
      <w:r w:rsidRPr="0023432A">
        <w:rPr>
          <w:rFonts w:eastAsia="Times New Roman"/>
          <w:b/>
          <w:bCs/>
          <w:rtl/>
          <w:lang w:eastAsia="de-DE"/>
        </w:rPr>
        <w:t>דבר</w:t>
      </w:r>
      <w:r w:rsidRPr="0023432A">
        <w:rPr>
          <w:rFonts w:eastAsia="Times New Roman"/>
          <w:rtl/>
          <w:lang w:eastAsia="de-DE"/>
        </w:rPr>
        <w:t xml:space="preserve"> </w:t>
      </w:r>
      <w:r w:rsidRPr="0023432A">
        <w:rPr>
          <w:rFonts w:eastAsia="Times New Roman"/>
          <w:lang w:eastAsia="de-DE"/>
        </w:rPr>
        <w:t xml:space="preserve">(„reden, sprechen") mit </w:t>
      </w:r>
      <w:r w:rsidRPr="0023432A">
        <w:rPr>
          <w:rFonts w:eastAsia="Times New Roman"/>
          <w:b/>
          <w:bCs/>
          <w:rtl/>
          <w:lang w:eastAsia="de-DE"/>
        </w:rPr>
        <w:t>וְ</w:t>
      </w:r>
      <w:r w:rsidRPr="0023432A">
        <w:rPr>
          <w:rFonts w:eastAsia="Times New Roman"/>
          <w:lang w:eastAsia="de-DE"/>
        </w:rPr>
        <w:t xml:space="preserve">, </w:t>
      </w:r>
      <w:r w:rsidRPr="0023432A">
        <w:rPr>
          <w:rFonts w:eastAsia="Times New Roman"/>
          <w:b/>
          <w:bCs/>
          <w:rtl/>
          <w:lang w:eastAsia="de-DE"/>
        </w:rPr>
        <w:t>בָּם</w:t>
      </w:r>
      <w:r w:rsidRPr="0023432A">
        <w:rPr>
          <w:rFonts w:eastAsia="Times New Roman"/>
          <w:rtl/>
          <w:lang w:eastAsia="de-DE"/>
        </w:rPr>
        <w:t xml:space="preserve"> </w:t>
      </w:r>
      <w:r w:rsidRPr="0023432A">
        <w:rPr>
          <w:rFonts w:eastAsia="Times New Roman"/>
          <w:lang w:eastAsia="de-DE"/>
        </w:rPr>
        <w:t xml:space="preserve">als Präposition </w:t>
      </w:r>
      <w:r w:rsidRPr="0023432A">
        <w:rPr>
          <w:rFonts w:eastAsia="Times New Roman"/>
          <w:b/>
          <w:bCs/>
          <w:rtl/>
          <w:lang w:eastAsia="de-DE"/>
        </w:rPr>
        <w:t>בְּ</w:t>
      </w:r>
      <w:r w:rsidRPr="0023432A">
        <w:rPr>
          <w:rFonts w:eastAsia="Times New Roman"/>
          <w:rtl/>
          <w:lang w:eastAsia="de-DE"/>
        </w:rPr>
        <w:t xml:space="preserve"> </w:t>
      </w:r>
      <w:r w:rsidRPr="0023432A">
        <w:rPr>
          <w:rFonts w:eastAsia="Times New Roman"/>
          <w:lang w:eastAsia="de-DE"/>
        </w:rPr>
        <w:t xml:space="preserve">mit Suffix 3. Person Plural maskulin („über sie, von ihnen"). </w:t>
      </w:r>
      <w:r w:rsidRPr="0023432A">
        <w:rPr>
          <w:rFonts w:eastAsia="Times New Roman"/>
          <w:b/>
          <w:bCs/>
          <w:rtl/>
          <w:lang w:eastAsia="de-DE"/>
        </w:rPr>
        <w:t>בְּשִׁבְתְּךָ בְּבֵיתֶךָ וּבְלֶכְתְּךָ בַדֶּרֶךְ וּבְשָׁכְבְּךָ וּבְקוּמֶךָ</w:t>
      </w:r>
      <w:r w:rsidRPr="0023432A">
        <w:rPr>
          <w:rFonts w:eastAsia="Times New Roman"/>
          <w:rtl/>
          <w:lang w:eastAsia="de-DE"/>
        </w:rPr>
        <w:t xml:space="preserve"> </w:t>
      </w:r>
      <w:r w:rsidRPr="0023432A">
        <w:rPr>
          <w:rFonts w:eastAsia="Times New Roman"/>
          <w:lang w:eastAsia="de-DE"/>
        </w:rPr>
        <w:t xml:space="preserve">ist eine viergliedrige temporale </w:t>
      </w:r>
      <w:r w:rsidRPr="0023432A">
        <w:rPr>
          <w:rFonts w:eastAsia="Times New Roman"/>
          <w:lang w:eastAsia="de-DE"/>
        </w:rPr>
        <w:lastRenderedPageBreak/>
        <w:t xml:space="preserve">Bestimmung: </w:t>
      </w:r>
      <w:r w:rsidRPr="0023432A">
        <w:rPr>
          <w:rFonts w:eastAsia="Times New Roman"/>
          <w:b/>
          <w:bCs/>
          <w:rtl/>
          <w:lang w:eastAsia="de-DE"/>
        </w:rPr>
        <w:t>בְּשִׁבְתְּךָ בְּבֵיתֶךָ</w:t>
      </w:r>
      <w:r w:rsidRPr="0023432A">
        <w:rPr>
          <w:rFonts w:eastAsia="Times New Roman"/>
          <w:rtl/>
          <w:lang w:eastAsia="de-DE"/>
        </w:rPr>
        <w:t xml:space="preserve"> </w:t>
      </w:r>
      <w:r w:rsidRPr="0023432A">
        <w:rPr>
          <w:rFonts w:eastAsia="Times New Roman"/>
          <w:lang w:eastAsia="de-DE"/>
        </w:rPr>
        <w:t>(</w:t>
      </w:r>
      <w:r w:rsidRPr="0023432A">
        <w:rPr>
          <w:rFonts w:eastAsia="Times New Roman"/>
          <w:b/>
          <w:bCs/>
          <w:rtl/>
          <w:lang w:eastAsia="de-DE"/>
        </w:rPr>
        <w:t>בְּ</w:t>
      </w:r>
      <w:r w:rsidRPr="0023432A">
        <w:rPr>
          <w:rFonts w:eastAsia="Times New Roman"/>
          <w:rtl/>
          <w:lang w:eastAsia="de-DE"/>
        </w:rPr>
        <w:t xml:space="preserve"> </w:t>
      </w:r>
      <w:r w:rsidRPr="0023432A">
        <w:rPr>
          <w:rFonts w:eastAsia="Times New Roman"/>
          <w:lang w:eastAsia="de-DE"/>
        </w:rPr>
        <w:t xml:space="preserve">mit Qal Infinitiv Construct von </w:t>
      </w:r>
      <w:r w:rsidRPr="0023432A">
        <w:rPr>
          <w:rFonts w:eastAsia="Times New Roman"/>
          <w:b/>
          <w:bCs/>
          <w:rtl/>
          <w:lang w:eastAsia="de-DE"/>
        </w:rPr>
        <w:t>ישׁב</w:t>
      </w:r>
      <w:r w:rsidRPr="0023432A">
        <w:rPr>
          <w:rFonts w:eastAsia="Times New Roman"/>
          <w:lang w:eastAsia="de-DE"/>
        </w:rPr>
        <w:t xml:space="preserve">, „sitzen", und Suffix 2. Person Singular maskulin als Subjekt, </w:t>
      </w:r>
      <w:r w:rsidRPr="0023432A">
        <w:rPr>
          <w:rFonts w:eastAsia="Times New Roman"/>
          <w:b/>
          <w:bCs/>
          <w:rtl/>
          <w:lang w:eastAsia="de-DE"/>
        </w:rPr>
        <w:t>בְּבֵיתֶךָ</w:t>
      </w:r>
      <w:r w:rsidRPr="0023432A">
        <w:rPr>
          <w:rFonts w:eastAsia="Times New Roman"/>
          <w:rtl/>
          <w:lang w:eastAsia="de-DE"/>
        </w:rPr>
        <w:t xml:space="preserve"> </w:t>
      </w:r>
      <w:r w:rsidRPr="0023432A">
        <w:rPr>
          <w:rFonts w:eastAsia="Times New Roman"/>
          <w:lang w:eastAsia="de-DE"/>
        </w:rPr>
        <w:t xml:space="preserve">als Ortsangabe – </w:t>
      </w:r>
      <w:r w:rsidRPr="0023432A">
        <w:rPr>
          <w:rFonts w:eastAsia="Times New Roman"/>
          <w:b/>
          <w:bCs/>
          <w:rtl/>
          <w:lang w:eastAsia="de-DE"/>
        </w:rPr>
        <w:t>בֵּית</w:t>
      </w:r>
      <w:r w:rsidRPr="0023432A">
        <w:rPr>
          <w:rFonts w:eastAsia="Times New Roman"/>
          <w:rtl/>
          <w:lang w:eastAsia="de-DE"/>
        </w:rPr>
        <w:t xml:space="preserve"> </w:t>
      </w:r>
      <w:r w:rsidRPr="0023432A">
        <w:rPr>
          <w:rFonts w:eastAsia="Times New Roman"/>
          <w:lang w:eastAsia="de-DE"/>
        </w:rPr>
        <w:t xml:space="preserve">mit Suffix), </w:t>
      </w:r>
      <w:r w:rsidRPr="0023432A">
        <w:rPr>
          <w:rFonts w:eastAsia="Times New Roman"/>
          <w:b/>
          <w:bCs/>
          <w:rtl/>
          <w:lang w:eastAsia="de-DE"/>
        </w:rPr>
        <w:t>וּבְלֶכְתְּךָ בַדֶּרֶךְ</w:t>
      </w:r>
      <w:r w:rsidRPr="0023432A">
        <w:rPr>
          <w:rFonts w:eastAsia="Times New Roman"/>
          <w:rtl/>
          <w:lang w:eastAsia="de-DE"/>
        </w:rPr>
        <w:t xml:space="preserve"> </w:t>
      </w:r>
      <w:r w:rsidRPr="0023432A">
        <w:rPr>
          <w:rFonts w:eastAsia="Times New Roman"/>
          <w:lang w:eastAsia="de-DE"/>
        </w:rPr>
        <w:t>koordiniert (</w:t>
      </w:r>
      <w:r w:rsidRPr="0023432A">
        <w:rPr>
          <w:rFonts w:eastAsia="Times New Roman"/>
          <w:b/>
          <w:bCs/>
          <w:rtl/>
          <w:lang w:eastAsia="de-DE"/>
        </w:rPr>
        <w:t>בְּ</w:t>
      </w:r>
      <w:r w:rsidRPr="0023432A">
        <w:rPr>
          <w:rFonts w:eastAsia="Times New Roman"/>
          <w:rtl/>
          <w:lang w:eastAsia="de-DE"/>
        </w:rPr>
        <w:t xml:space="preserve"> </w:t>
      </w:r>
      <w:r w:rsidRPr="0023432A">
        <w:rPr>
          <w:rFonts w:eastAsia="Times New Roman"/>
          <w:lang w:eastAsia="de-DE"/>
        </w:rPr>
        <w:t xml:space="preserve">mit Qal Infinitiv Construct von </w:t>
      </w:r>
      <w:r w:rsidRPr="0023432A">
        <w:rPr>
          <w:rFonts w:eastAsia="Times New Roman"/>
          <w:b/>
          <w:bCs/>
          <w:rtl/>
          <w:lang w:eastAsia="de-DE"/>
        </w:rPr>
        <w:t>הלך</w:t>
      </w:r>
      <w:r w:rsidRPr="0023432A">
        <w:rPr>
          <w:rFonts w:eastAsia="Times New Roman"/>
          <w:lang w:eastAsia="de-DE"/>
        </w:rPr>
        <w:t xml:space="preserve">, „gehen", und Suffix, </w:t>
      </w:r>
      <w:r w:rsidRPr="0023432A">
        <w:rPr>
          <w:rFonts w:eastAsia="Times New Roman"/>
          <w:b/>
          <w:bCs/>
          <w:rtl/>
          <w:lang w:eastAsia="de-DE"/>
        </w:rPr>
        <w:t>בַדֶּרֶךְ</w:t>
      </w:r>
      <w:r w:rsidRPr="0023432A">
        <w:rPr>
          <w:rFonts w:eastAsia="Times New Roman"/>
          <w:rtl/>
          <w:lang w:eastAsia="de-DE"/>
        </w:rPr>
        <w:t xml:space="preserve"> </w:t>
      </w:r>
      <w:r w:rsidRPr="0023432A">
        <w:rPr>
          <w:rFonts w:eastAsia="Times New Roman"/>
          <w:lang w:eastAsia="de-DE"/>
        </w:rPr>
        <w:t xml:space="preserve">als Ortsangabe – </w:t>
      </w:r>
      <w:r w:rsidRPr="0023432A">
        <w:rPr>
          <w:rFonts w:eastAsia="Times New Roman"/>
          <w:b/>
          <w:bCs/>
          <w:rtl/>
          <w:lang w:eastAsia="de-DE"/>
        </w:rPr>
        <w:t>דֶּרֶךְ</w:t>
      </w:r>
      <w:r w:rsidRPr="0023432A">
        <w:rPr>
          <w:rFonts w:eastAsia="Times New Roman"/>
          <w:lang w:eastAsia="de-DE"/>
        </w:rPr>
        <w:t xml:space="preserve">, „Weg", mit Artikel), </w:t>
      </w:r>
      <w:r w:rsidRPr="0023432A">
        <w:rPr>
          <w:rFonts w:eastAsia="Times New Roman"/>
          <w:b/>
          <w:bCs/>
          <w:rtl/>
          <w:lang w:eastAsia="de-DE"/>
        </w:rPr>
        <w:t>וּבְשָׁכְבְּךָ</w:t>
      </w:r>
      <w:r w:rsidRPr="0023432A">
        <w:rPr>
          <w:rFonts w:eastAsia="Times New Roman"/>
          <w:rtl/>
          <w:lang w:eastAsia="de-DE"/>
        </w:rPr>
        <w:t xml:space="preserve"> </w:t>
      </w:r>
      <w:r w:rsidRPr="0023432A">
        <w:rPr>
          <w:rFonts w:eastAsia="Times New Roman"/>
          <w:lang w:eastAsia="de-DE"/>
        </w:rPr>
        <w:t>koordiniert (</w:t>
      </w:r>
      <w:r w:rsidRPr="0023432A">
        <w:rPr>
          <w:rFonts w:eastAsia="Times New Roman"/>
          <w:b/>
          <w:bCs/>
          <w:rtl/>
          <w:lang w:eastAsia="de-DE"/>
        </w:rPr>
        <w:t>בְּ</w:t>
      </w:r>
      <w:r w:rsidRPr="0023432A">
        <w:rPr>
          <w:rFonts w:eastAsia="Times New Roman"/>
          <w:rtl/>
          <w:lang w:eastAsia="de-DE"/>
        </w:rPr>
        <w:t xml:space="preserve"> </w:t>
      </w:r>
      <w:r w:rsidRPr="0023432A">
        <w:rPr>
          <w:rFonts w:eastAsia="Times New Roman"/>
          <w:lang w:eastAsia="de-DE"/>
        </w:rPr>
        <w:t xml:space="preserve">mit Qal Infinitiv Construct von </w:t>
      </w:r>
      <w:r w:rsidRPr="0023432A">
        <w:rPr>
          <w:rFonts w:eastAsia="Times New Roman"/>
          <w:b/>
          <w:bCs/>
          <w:rtl/>
          <w:lang w:eastAsia="de-DE"/>
        </w:rPr>
        <w:t>שׁכב</w:t>
      </w:r>
      <w:r w:rsidRPr="0023432A">
        <w:rPr>
          <w:rFonts w:eastAsia="Times New Roman"/>
          <w:lang w:eastAsia="de-DE"/>
        </w:rPr>
        <w:t xml:space="preserve">, „sich hinlegen, liegen", und Suffix), </w:t>
      </w:r>
      <w:r w:rsidRPr="0023432A">
        <w:rPr>
          <w:rFonts w:eastAsia="Times New Roman"/>
          <w:b/>
          <w:bCs/>
          <w:rtl/>
          <w:lang w:eastAsia="de-DE"/>
        </w:rPr>
        <w:t>וּבְקוּמֶךָ</w:t>
      </w:r>
      <w:r w:rsidRPr="0023432A">
        <w:rPr>
          <w:rFonts w:eastAsia="Times New Roman"/>
          <w:rtl/>
          <w:lang w:eastAsia="de-DE"/>
        </w:rPr>
        <w:t xml:space="preserve"> </w:t>
      </w:r>
      <w:r w:rsidRPr="0023432A">
        <w:rPr>
          <w:rFonts w:eastAsia="Times New Roman"/>
          <w:lang w:eastAsia="de-DE"/>
        </w:rPr>
        <w:t>koordiniert (</w:t>
      </w:r>
      <w:r w:rsidRPr="0023432A">
        <w:rPr>
          <w:rFonts w:eastAsia="Times New Roman"/>
          <w:b/>
          <w:bCs/>
          <w:rtl/>
          <w:lang w:eastAsia="de-DE"/>
        </w:rPr>
        <w:t>בְּ</w:t>
      </w:r>
      <w:r w:rsidRPr="0023432A">
        <w:rPr>
          <w:rFonts w:eastAsia="Times New Roman"/>
          <w:rtl/>
          <w:lang w:eastAsia="de-DE"/>
        </w:rPr>
        <w:t xml:space="preserve"> </w:t>
      </w:r>
      <w:r w:rsidRPr="0023432A">
        <w:rPr>
          <w:rFonts w:eastAsia="Times New Roman"/>
          <w:lang w:eastAsia="de-DE"/>
        </w:rPr>
        <w:t xml:space="preserve">mit Qal Infinitiv Construct von </w:t>
      </w:r>
      <w:r w:rsidRPr="0023432A">
        <w:rPr>
          <w:rFonts w:eastAsia="Times New Roman"/>
          <w:b/>
          <w:bCs/>
          <w:rtl/>
          <w:lang w:eastAsia="de-DE"/>
        </w:rPr>
        <w:t>קום</w:t>
      </w:r>
      <w:r w:rsidRPr="0023432A">
        <w:rPr>
          <w:rFonts w:eastAsia="Times New Roman"/>
          <w:lang w:eastAsia="de-DE"/>
        </w:rPr>
        <w:t>, „aufstehen", und Suffix).</w:t>
      </w:r>
    </w:p>
    <w:p w14:paraId="3F3BDDB3"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lang w:eastAsia="de-DE"/>
        </w:rPr>
        <w:t>Die viergliedrige temporale Aufzählung ist ein Merismus für „zu jeder Zeit": zu Hause und unterwegs (räumlicher Merismus), beim Hinlegen und Aufstehen (zeitlicher Merismus für Abend und Morgen). Zusammen bedeutet dies: ständig, zu jeder Tages- und Nachtzeit, in jeder Lebenssituation. Die Gebote sollen den gesamten Alltag durchdringen.</w:t>
      </w:r>
    </w:p>
    <w:p w14:paraId="76B4E947"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lang w:eastAsia="de-DE"/>
        </w:rPr>
        <w:t>Die Satzstruktur besteht aus zwei koordinierten imperativischen Perfekt-consecutivum-Verben (das erste mit Suffix-Objekt und indirektem Objekt, das zweite mit präpositionalem Objekt) und einer viergliedrigen koordinierten temporalen Bestimmung, wobei jedes Glied aus Präposition, Infinitiv Construct mit Suffix als Subjekt besteht (die ersten beiden zusätzlich mit Ortsangabe). Die kumulative Struktur unterstreicht die allumfassende, ständige Beschäftigung mit den Geboten.</w:t>
      </w:r>
    </w:p>
    <w:p w14:paraId="15662D0D"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lang w:eastAsia="de-DE"/>
        </w:rPr>
        <w:t>Der Vers fordert intensive Weitergabe der Gebote an die nächste Generation und ständiges Reden darüber – zu Hause und unterwegs, abends und morgens, in allen Lebenssituationen.</w:t>
      </w:r>
    </w:p>
    <w:p w14:paraId="0BDB00B3" w14:textId="77777777" w:rsidR="0023432A" w:rsidRPr="0023432A" w:rsidRDefault="0023432A" w:rsidP="0023432A">
      <w:pPr>
        <w:spacing w:before="100" w:beforeAutospacing="1" w:after="100" w:afterAutospacing="1" w:line="240" w:lineRule="auto"/>
        <w:outlineLvl w:val="1"/>
        <w:rPr>
          <w:rFonts w:eastAsia="Times New Roman"/>
          <w:b/>
          <w:bCs/>
          <w:sz w:val="36"/>
          <w:szCs w:val="36"/>
          <w:lang w:eastAsia="de-DE"/>
        </w:rPr>
      </w:pPr>
      <w:r w:rsidRPr="0023432A">
        <w:rPr>
          <w:rFonts w:eastAsia="Times New Roman"/>
          <w:b/>
          <w:bCs/>
          <w:sz w:val="36"/>
          <w:szCs w:val="36"/>
          <w:lang w:eastAsia="de-DE"/>
        </w:rPr>
        <w:t>Deuteronomium 6,8</w:t>
      </w:r>
    </w:p>
    <w:p w14:paraId="6BB6969C"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lang w:eastAsia="de-DE"/>
        </w:rPr>
        <w:t>Hebräisch:</w:t>
      </w:r>
      <w:r w:rsidRPr="0023432A">
        <w:rPr>
          <w:rFonts w:eastAsia="Times New Roman"/>
          <w:lang w:eastAsia="de-DE"/>
        </w:rPr>
        <w:t xml:space="preserve"> </w:t>
      </w:r>
      <w:r w:rsidRPr="0023432A">
        <w:rPr>
          <w:rFonts w:eastAsia="Times New Roman"/>
          <w:rtl/>
          <w:lang w:eastAsia="de-DE"/>
        </w:rPr>
        <w:t>וּקְשַׁרְתָּם לְאוֹת עַל־יָדֶךָ וְהָיוּ לְטֹטָפֹת בֵּין עֵינֶיךָ׃</w:t>
      </w:r>
    </w:p>
    <w:p w14:paraId="56BCD8BB"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lang w:eastAsia="de-DE"/>
        </w:rPr>
        <w:t>Deutsch:</w:t>
      </w:r>
      <w:r w:rsidRPr="0023432A">
        <w:rPr>
          <w:rFonts w:eastAsia="Times New Roman"/>
          <w:lang w:eastAsia="de-DE"/>
        </w:rPr>
        <w:t xml:space="preserve"> Und du sollst sie binden zum Zeichen an deine Hand, und sie sollen zum Stirnband zwischen deinen Augen sein.</w:t>
      </w:r>
    </w:p>
    <w:p w14:paraId="25D353BA" w14:textId="77777777" w:rsidR="0023432A" w:rsidRPr="0023432A" w:rsidRDefault="004F5CEB" w:rsidP="0023432A">
      <w:pPr>
        <w:spacing w:after="0" w:line="240" w:lineRule="auto"/>
        <w:rPr>
          <w:rFonts w:eastAsia="Times New Roman"/>
          <w:lang w:eastAsia="de-DE"/>
        </w:rPr>
      </w:pPr>
      <w:r>
        <w:rPr>
          <w:rFonts w:eastAsia="Times New Roman"/>
          <w:noProof/>
          <w:lang w:eastAsia="de-DE"/>
        </w:rPr>
        <w:pict w14:anchorId="55F51426">
          <v:rect id="_x0000_i1226" style="width:0;height:1.5pt" o:hralign="center" o:hrstd="t" o:hr="t" fillcolor="#a0a0a0" stroked="f"/>
        </w:pict>
      </w:r>
    </w:p>
    <w:p w14:paraId="373FDF96"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lang w:eastAsia="de-DE"/>
        </w:rPr>
        <w:t>Kommentar:</w:t>
      </w:r>
      <w:r w:rsidRPr="0023432A">
        <w:rPr>
          <w:rFonts w:eastAsia="Times New Roman"/>
          <w:lang w:eastAsia="de-DE"/>
        </w:rPr>
        <w:t xml:space="preserve"> </w:t>
      </w:r>
      <w:r w:rsidRPr="0023432A">
        <w:rPr>
          <w:rFonts w:eastAsia="Times New Roman"/>
          <w:b/>
          <w:bCs/>
          <w:rtl/>
          <w:lang w:eastAsia="de-DE"/>
        </w:rPr>
        <w:t>וּקְשַׁרְתָּם לְאוֹת עַל־יָדֶךָ</w:t>
      </w:r>
      <w:r w:rsidRPr="0023432A">
        <w:rPr>
          <w:rFonts w:eastAsia="Times New Roman"/>
          <w:rtl/>
          <w:lang w:eastAsia="de-DE"/>
        </w:rPr>
        <w:t xml:space="preserve"> </w:t>
      </w:r>
      <w:r w:rsidRPr="0023432A">
        <w:rPr>
          <w:rFonts w:eastAsia="Times New Roman"/>
          <w:lang w:eastAsia="de-DE"/>
        </w:rPr>
        <w:t xml:space="preserve">ist Qal Perfekt consecutivum, 2. Person Singular maskulin von </w:t>
      </w:r>
      <w:r w:rsidRPr="0023432A">
        <w:rPr>
          <w:rFonts w:eastAsia="Times New Roman"/>
          <w:b/>
          <w:bCs/>
          <w:rtl/>
          <w:lang w:eastAsia="de-DE"/>
        </w:rPr>
        <w:t>קשׁר</w:t>
      </w:r>
      <w:r w:rsidRPr="0023432A">
        <w:rPr>
          <w:rFonts w:eastAsia="Times New Roman"/>
          <w:rtl/>
          <w:lang w:eastAsia="de-DE"/>
        </w:rPr>
        <w:t xml:space="preserve"> </w:t>
      </w:r>
      <w:r w:rsidRPr="0023432A">
        <w:rPr>
          <w:rFonts w:eastAsia="Times New Roman"/>
          <w:lang w:eastAsia="de-DE"/>
        </w:rPr>
        <w:t xml:space="preserve">(„binden, knüpfen") mit </w:t>
      </w:r>
      <w:r w:rsidRPr="0023432A">
        <w:rPr>
          <w:rFonts w:eastAsia="Times New Roman"/>
          <w:b/>
          <w:bCs/>
          <w:rtl/>
          <w:lang w:eastAsia="de-DE"/>
        </w:rPr>
        <w:t>וְ</w:t>
      </w:r>
      <w:r w:rsidRPr="0023432A">
        <w:rPr>
          <w:rFonts w:eastAsia="Times New Roman"/>
          <w:rtl/>
          <w:lang w:eastAsia="de-DE"/>
        </w:rPr>
        <w:t xml:space="preserve"> </w:t>
      </w:r>
      <w:r w:rsidRPr="0023432A">
        <w:rPr>
          <w:rFonts w:eastAsia="Times New Roman"/>
          <w:lang w:eastAsia="de-DE"/>
        </w:rPr>
        <w:t xml:space="preserve">und Suffix 3. Person Plural maskulin als direktes Objekt, </w:t>
      </w:r>
      <w:r w:rsidRPr="0023432A">
        <w:rPr>
          <w:rFonts w:eastAsia="Times New Roman"/>
          <w:b/>
          <w:bCs/>
          <w:rtl/>
          <w:lang w:eastAsia="de-DE"/>
        </w:rPr>
        <w:t>לְאוֹת</w:t>
      </w:r>
      <w:r w:rsidRPr="0023432A">
        <w:rPr>
          <w:rFonts w:eastAsia="Times New Roman"/>
          <w:rtl/>
          <w:lang w:eastAsia="de-DE"/>
        </w:rPr>
        <w:t xml:space="preserve"> </w:t>
      </w:r>
      <w:r w:rsidRPr="0023432A">
        <w:rPr>
          <w:rFonts w:eastAsia="Times New Roman"/>
          <w:lang w:eastAsia="de-DE"/>
        </w:rPr>
        <w:t>als finale bzw. modale Bestimmung (</w:t>
      </w:r>
      <w:r w:rsidRPr="0023432A">
        <w:rPr>
          <w:rFonts w:eastAsia="Times New Roman"/>
          <w:b/>
          <w:bCs/>
          <w:rtl/>
          <w:lang w:eastAsia="de-DE"/>
        </w:rPr>
        <w:t>לְ</w:t>
      </w:r>
      <w:r w:rsidRPr="0023432A">
        <w:rPr>
          <w:rFonts w:eastAsia="Times New Roman"/>
          <w:rtl/>
          <w:lang w:eastAsia="de-DE"/>
        </w:rPr>
        <w:t xml:space="preserve"> </w:t>
      </w:r>
      <w:r w:rsidRPr="0023432A">
        <w:rPr>
          <w:rFonts w:eastAsia="Times New Roman"/>
          <w:lang w:eastAsia="de-DE"/>
        </w:rPr>
        <w:t xml:space="preserve">mit </w:t>
      </w:r>
      <w:r w:rsidRPr="0023432A">
        <w:rPr>
          <w:rFonts w:eastAsia="Times New Roman"/>
          <w:b/>
          <w:bCs/>
          <w:rtl/>
          <w:lang w:eastAsia="de-DE"/>
        </w:rPr>
        <w:t>אוֹת</w:t>
      </w:r>
      <w:r w:rsidRPr="0023432A">
        <w:rPr>
          <w:rFonts w:eastAsia="Times New Roman"/>
          <w:lang w:eastAsia="de-DE"/>
        </w:rPr>
        <w:t xml:space="preserve">, „Zeichen"), </w:t>
      </w:r>
      <w:r w:rsidRPr="0023432A">
        <w:rPr>
          <w:rFonts w:eastAsia="Times New Roman"/>
          <w:b/>
          <w:bCs/>
          <w:rtl/>
          <w:lang w:eastAsia="de-DE"/>
        </w:rPr>
        <w:t>עַל־יָדֶךָ</w:t>
      </w:r>
      <w:r w:rsidRPr="0023432A">
        <w:rPr>
          <w:rFonts w:eastAsia="Times New Roman"/>
          <w:rtl/>
          <w:lang w:eastAsia="de-DE"/>
        </w:rPr>
        <w:t xml:space="preserve"> </w:t>
      </w:r>
      <w:r w:rsidRPr="0023432A">
        <w:rPr>
          <w:rFonts w:eastAsia="Times New Roman"/>
          <w:lang w:eastAsia="de-DE"/>
        </w:rPr>
        <w:t>als Ortsangabe (</w:t>
      </w:r>
      <w:r w:rsidRPr="0023432A">
        <w:rPr>
          <w:rFonts w:eastAsia="Times New Roman"/>
          <w:b/>
          <w:bCs/>
          <w:rtl/>
          <w:lang w:eastAsia="de-DE"/>
        </w:rPr>
        <w:t>עַל</w:t>
      </w:r>
      <w:r w:rsidRPr="0023432A">
        <w:rPr>
          <w:rFonts w:eastAsia="Times New Roman"/>
          <w:rtl/>
          <w:lang w:eastAsia="de-DE"/>
        </w:rPr>
        <w:t xml:space="preserve"> </w:t>
      </w:r>
      <w:r w:rsidRPr="0023432A">
        <w:rPr>
          <w:rFonts w:eastAsia="Times New Roman"/>
          <w:lang w:eastAsia="de-DE"/>
        </w:rPr>
        <w:t xml:space="preserve">mit </w:t>
      </w:r>
      <w:r w:rsidRPr="0023432A">
        <w:rPr>
          <w:rFonts w:eastAsia="Times New Roman"/>
          <w:b/>
          <w:bCs/>
          <w:rtl/>
          <w:lang w:eastAsia="de-DE"/>
        </w:rPr>
        <w:t>יָד</w:t>
      </w:r>
      <w:r w:rsidRPr="0023432A">
        <w:rPr>
          <w:rFonts w:eastAsia="Times New Roman"/>
          <w:lang w:eastAsia="de-DE"/>
        </w:rPr>
        <w:t>, „Hand", und Suffix 2. Person Singular maskulin).</w:t>
      </w:r>
    </w:p>
    <w:p w14:paraId="28714F3E"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rtl/>
          <w:lang w:eastAsia="de-DE"/>
        </w:rPr>
        <w:t>וְהָיוּ לְטֹטָפֹת בֵּין עֵינֶיךָ</w:t>
      </w:r>
      <w:r w:rsidRPr="0023432A">
        <w:rPr>
          <w:rFonts w:eastAsia="Times New Roman"/>
          <w:rtl/>
          <w:lang w:eastAsia="de-DE"/>
        </w:rPr>
        <w:t xml:space="preserve"> </w:t>
      </w:r>
      <w:r w:rsidRPr="0023432A">
        <w:rPr>
          <w:rFonts w:eastAsia="Times New Roman"/>
          <w:lang w:eastAsia="de-DE"/>
        </w:rPr>
        <w:t xml:space="preserve">ist koordiniert: Qal Perfekt consecutivum, 3. Person Plural von </w:t>
      </w:r>
      <w:r w:rsidRPr="0023432A">
        <w:rPr>
          <w:rFonts w:eastAsia="Times New Roman"/>
          <w:b/>
          <w:bCs/>
          <w:rtl/>
          <w:lang w:eastAsia="de-DE"/>
        </w:rPr>
        <w:t>היה</w:t>
      </w:r>
      <w:r w:rsidRPr="0023432A">
        <w:rPr>
          <w:rFonts w:eastAsia="Times New Roman"/>
          <w:rtl/>
          <w:lang w:eastAsia="de-DE"/>
        </w:rPr>
        <w:t xml:space="preserve"> </w:t>
      </w:r>
      <w:r w:rsidRPr="0023432A">
        <w:rPr>
          <w:rFonts w:eastAsia="Times New Roman"/>
          <w:lang w:eastAsia="de-DE"/>
        </w:rPr>
        <w:t xml:space="preserve">mit </w:t>
      </w:r>
      <w:r w:rsidRPr="0023432A">
        <w:rPr>
          <w:rFonts w:eastAsia="Times New Roman"/>
          <w:b/>
          <w:bCs/>
          <w:rtl/>
          <w:lang w:eastAsia="de-DE"/>
        </w:rPr>
        <w:t>וְ</w:t>
      </w:r>
      <w:r w:rsidRPr="0023432A">
        <w:rPr>
          <w:rFonts w:eastAsia="Times New Roman"/>
          <w:lang w:eastAsia="de-DE"/>
        </w:rPr>
        <w:t xml:space="preserve">, </w:t>
      </w:r>
      <w:r w:rsidRPr="0023432A">
        <w:rPr>
          <w:rFonts w:eastAsia="Times New Roman"/>
          <w:b/>
          <w:bCs/>
          <w:rtl/>
          <w:lang w:eastAsia="de-DE"/>
        </w:rPr>
        <w:t>לְטֹטָפֹת</w:t>
      </w:r>
      <w:r w:rsidRPr="0023432A">
        <w:rPr>
          <w:rFonts w:eastAsia="Times New Roman"/>
          <w:rtl/>
          <w:lang w:eastAsia="de-DE"/>
        </w:rPr>
        <w:t xml:space="preserve"> </w:t>
      </w:r>
      <w:r w:rsidRPr="0023432A">
        <w:rPr>
          <w:rFonts w:eastAsia="Times New Roman"/>
          <w:lang w:eastAsia="de-DE"/>
        </w:rPr>
        <w:t>als Prädikatsnomen (</w:t>
      </w:r>
      <w:r w:rsidRPr="0023432A">
        <w:rPr>
          <w:rFonts w:eastAsia="Times New Roman"/>
          <w:b/>
          <w:bCs/>
          <w:rtl/>
          <w:lang w:eastAsia="de-DE"/>
        </w:rPr>
        <w:t>לְ</w:t>
      </w:r>
      <w:r w:rsidRPr="0023432A">
        <w:rPr>
          <w:rFonts w:eastAsia="Times New Roman"/>
          <w:rtl/>
          <w:lang w:eastAsia="de-DE"/>
        </w:rPr>
        <w:t xml:space="preserve"> </w:t>
      </w:r>
      <w:r w:rsidRPr="0023432A">
        <w:rPr>
          <w:rFonts w:eastAsia="Times New Roman"/>
          <w:lang w:eastAsia="de-DE"/>
        </w:rPr>
        <w:t xml:space="preserve">mit </w:t>
      </w:r>
      <w:r w:rsidRPr="0023432A">
        <w:rPr>
          <w:rFonts w:eastAsia="Times New Roman"/>
          <w:b/>
          <w:bCs/>
          <w:rtl/>
          <w:lang w:eastAsia="de-DE"/>
        </w:rPr>
        <w:t>טֹטָפֹת</w:t>
      </w:r>
      <w:r w:rsidRPr="0023432A">
        <w:rPr>
          <w:rFonts w:eastAsia="Times New Roman"/>
          <w:lang w:eastAsia="de-DE"/>
        </w:rPr>
        <w:t xml:space="preserve">, ein seltenes Wort, möglicherweise „Stirnband, Diadem, Kopfschmuck" – die genaue Bedeutung ist umstritten), </w:t>
      </w:r>
      <w:r w:rsidRPr="0023432A">
        <w:rPr>
          <w:rFonts w:eastAsia="Times New Roman"/>
          <w:b/>
          <w:bCs/>
          <w:rtl/>
          <w:lang w:eastAsia="de-DE"/>
        </w:rPr>
        <w:t>בֵּין עֵינֶיךָ</w:t>
      </w:r>
      <w:r w:rsidRPr="0023432A">
        <w:rPr>
          <w:rFonts w:eastAsia="Times New Roman"/>
          <w:rtl/>
          <w:lang w:eastAsia="de-DE"/>
        </w:rPr>
        <w:t xml:space="preserve"> </w:t>
      </w:r>
      <w:r w:rsidRPr="0023432A">
        <w:rPr>
          <w:rFonts w:eastAsia="Times New Roman"/>
          <w:lang w:eastAsia="de-DE"/>
        </w:rPr>
        <w:t>als Ortsangabe (</w:t>
      </w:r>
      <w:r w:rsidRPr="0023432A">
        <w:rPr>
          <w:rFonts w:eastAsia="Times New Roman"/>
          <w:b/>
          <w:bCs/>
          <w:rtl/>
          <w:lang w:eastAsia="de-DE"/>
        </w:rPr>
        <w:t>בֵּין</w:t>
      </w:r>
      <w:r w:rsidRPr="0023432A">
        <w:rPr>
          <w:rFonts w:eastAsia="Times New Roman"/>
          <w:lang w:eastAsia="de-DE"/>
        </w:rPr>
        <w:t xml:space="preserve">, „zwischen", mit </w:t>
      </w:r>
      <w:r w:rsidRPr="0023432A">
        <w:rPr>
          <w:rFonts w:eastAsia="Times New Roman"/>
          <w:b/>
          <w:bCs/>
          <w:rtl/>
          <w:lang w:eastAsia="de-DE"/>
        </w:rPr>
        <w:t>עַיִן</w:t>
      </w:r>
      <w:r w:rsidRPr="0023432A">
        <w:rPr>
          <w:rFonts w:eastAsia="Times New Roman"/>
          <w:lang w:eastAsia="de-DE"/>
        </w:rPr>
        <w:t>, „Auge", Dual und Suffix 2. Person Singular maskulin).</w:t>
      </w:r>
    </w:p>
    <w:p w14:paraId="1DF9B785"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lang w:eastAsia="de-DE"/>
        </w:rPr>
        <w:t xml:space="preserve">Diese Verse (V. 8-9) werden im Judentum wörtlich befolgt: Die </w:t>
      </w:r>
      <w:r w:rsidRPr="0023432A">
        <w:rPr>
          <w:rFonts w:eastAsia="Times New Roman"/>
          <w:b/>
          <w:bCs/>
          <w:lang w:eastAsia="de-DE"/>
        </w:rPr>
        <w:t>Tefillin</w:t>
      </w:r>
      <w:r w:rsidRPr="0023432A">
        <w:rPr>
          <w:rFonts w:eastAsia="Times New Roman"/>
          <w:lang w:eastAsia="de-DE"/>
        </w:rPr>
        <w:t xml:space="preserve"> (Gebetsriemen) werden am Arm und an der Stirn getragen, die </w:t>
      </w:r>
      <w:r w:rsidRPr="0023432A">
        <w:rPr>
          <w:rFonts w:eastAsia="Times New Roman"/>
          <w:b/>
          <w:bCs/>
          <w:lang w:eastAsia="de-DE"/>
        </w:rPr>
        <w:t>Mesusa</w:t>
      </w:r>
      <w:r w:rsidRPr="0023432A">
        <w:rPr>
          <w:rFonts w:eastAsia="Times New Roman"/>
          <w:lang w:eastAsia="de-DE"/>
        </w:rPr>
        <w:t xml:space="preserve"> (eine Kapsel mit Bibeltext) wird an den Türpfosten angebracht (V. 9). Die Frage, ob diese Gebote ursprünglich wörtlich oder metaphorisch gemeint waren, ist umstritten. Wahrscheinlich waren sie zunächst metaphorisch gemeint (die Gebote sollen ständig vor Augen und in der Hand sein), wurden aber später wörtlich verstanden und praktiziert.</w:t>
      </w:r>
    </w:p>
    <w:p w14:paraId="1002336C"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lang w:eastAsia="de-DE"/>
        </w:rPr>
        <w:lastRenderedPageBreak/>
        <w:t>Die Satzstruktur besteht aus zwei koordinierten Verben: das erste ein Perfekt consecutivum mit Suffix-Objekt, finaler bzw. modaler Bestimmung und Ortsangabe; das zweite ein Perfekt consecutivum mit Prädikatsnomen und Ortsangabe. Die beiden Ortsangaben (</w:t>
      </w:r>
      <w:r w:rsidRPr="0023432A">
        <w:rPr>
          <w:rFonts w:eastAsia="Times New Roman"/>
          <w:b/>
          <w:bCs/>
          <w:rtl/>
          <w:lang w:eastAsia="de-DE"/>
        </w:rPr>
        <w:t>עַל־יָדֶךָ</w:t>
      </w:r>
      <w:r w:rsidRPr="0023432A">
        <w:rPr>
          <w:rFonts w:eastAsia="Times New Roman"/>
          <w:rtl/>
          <w:lang w:eastAsia="de-DE"/>
        </w:rPr>
        <w:t xml:space="preserve"> </w:t>
      </w:r>
      <w:r w:rsidRPr="0023432A">
        <w:rPr>
          <w:rFonts w:eastAsia="Times New Roman"/>
          <w:lang w:eastAsia="de-DE"/>
        </w:rPr>
        <w:t xml:space="preserve">und </w:t>
      </w:r>
      <w:r w:rsidRPr="0023432A">
        <w:rPr>
          <w:rFonts w:eastAsia="Times New Roman"/>
          <w:b/>
          <w:bCs/>
          <w:rtl/>
          <w:lang w:eastAsia="de-DE"/>
        </w:rPr>
        <w:t>בֵּין עֵינֶיךָ</w:t>
      </w:r>
      <w:r w:rsidRPr="0023432A">
        <w:rPr>
          <w:rFonts w:eastAsia="Times New Roman"/>
          <w:lang w:eastAsia="de-DE"/>
        </w:rPr>
        <w:t>) bezeichnen prominente, ständig sichtbare Körperstellen.</w:t>
      </w:r>
    </w:p>
    <w:p w14:paraId="3F7B825D"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lang w:eastAsia="de-DE"/>
        </w:rPr>
        <w:t>Der Vers fordert, die Gebote als Zeichen an die Hand zu binden und als Stirnband zwischen den Augen zu tragen – ob wörtlich oder metaphorisch: Die Gebote sollen ständig präsent und sichtbar sein.</w:t>
      </w:r>
    </w:p>
    <w:p w14:paraId="0044F23F" w14:textId="77777777" w:rsidR="0023432A" w:rsidRPr="0023432A" w:rsidRDefault="0023432A" w:rsidP="0023432A">
      <w:pPr>
        <w:spacing w:before="100" w:beforeAutospacing="1" w:after="100" w:afterAutospacing="1" w:line="240" w:lineRule="auto"/>
        <w:outlineLvl w:val="1"/>
        <w:rPr>
          <w:rFonts w:eastAsia="Times New Roman"/>
          <w:b/>
          <w:bCs/>
          <w:sz w:val="36"/>
          <w:szCs w:val="36"/>
          <w:lang w:eastAsia="de-DE"/>
        </w:rPr>
      </w:pPr>
      <w:r w:rsidRPr="0023432A">
        <w:rPr>
          <w:rFonts w:eastAsia="Times New Roman"/>
          <w:b/>
          <w:bCs/>
          <w:sz w:val="36"/>
          <w:szCs w:val="36"/>
          <w:lang w:eastAsia="de-DE"/>
        </w:rPr>
        <w:t>Deuteronomium 6,9</w:t>
      </w:r>
    </w:p>
    <w:p w14:paraId="700E00CC"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lang w:eastAsia="de-DE"/>
        </w:rPr>
        <w:t>Hebräisch:</w:t>
      </w:r>
      <w:r w:rsidRPr="0023432A">
        <w:rPr>
          <w:rFonts w:eastAsia="Times New Roman"/>
          <w:lang w:eastAsia="de-DE"/>
        </w:rPr>
        <w:t xml:space="preserve"> </w:t>
      </w:r>
      <w:r w:rsidRPr="0023432A">
        <w:rPr>
          <w:rFonts w:eastAsia="Times New Roman"/>
          <w:rtl/>
          <w:lang w:eastAsia="de-DE"/>
        </w:rPr>
        <w:t>וּכְתַבְתָּם עַל־מְזוּזֹת בֵּיתֶךָ וּבִשְׁעָרֶיךָ׃</w:t>
      </w:r>
    </w:p>
    <w:p w14:paraId="64418EDD"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lang w:eastAsia="de-DE"/>
        </w:rPr>
        <w:t>Deutsch:</w:t>
      </w:r>
      <w:r w:rsidRPr="0023432A">
        <w:rPr>
          <w:rFonts w:eastAsia="Times New Roman"/>
          <w:lang w:eastAsia="de-DE"/>
        </w:rPr>
        <w:t xml:space="preserve"> Und du sollst sie schreiben auf die Pfosten deines Hauses und an deine Tore.</w:t>
      </w:r>
    </w:p>
    <w:p w14:paraId="4212AD25" w14:textId="77777777" w:rsidR="0023432A" w:rsidRPr="0023432A" w:rsidRDefault="004F5CEB" w:rsidP="0023432A">
      <w:pPr>
        <w:spacing w:after="0" w:line="240" w:lineRule="auto"/>
        <w:rPr>
          <w:rFonts w:eastAsia="Times New Roman"/>
          <w:lang w:eastAsia="de-DE"/>
        </w:rPr>
      </w:pPr>
      <w:r>
        <w:rPr>
          <w:rFonts w:eastAsia="Times New Roman"/>
          <w:noProof/>
          <w:lang w:eastAsia="de-DE"/>
        </w:rPr>
        <w:pict w14:anchorId="3612D3C4">
          <v:rect id="_x0000_i1227" style="width:0;height:1.5pt" o:hralign="center" o:hrstd="t" o:hr="t" fillcolor="#a0a0a0" stroked="f"/>
        </w:pict>
      </w:r>
    </w:p>
    <w:p w14:paraId="61893DC1"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lang w:eastAsia="de-DE"/>
        </w:rPr>
        <w:t>Kommentar:</w:t>
      </w:r>
      <w:r w:rsidRPr="0023432A">
        <w:rPr>
          <w:rFonts w:eastAsia="Times New Roman"/>
          <w:lang w:eastAsia="de-DE"/>
        </w:rPr>
        <w:t xml:space="preserve"> </w:t>
      </w:r>
      <w:r w:rsidRPr="0023432A">
        <w:rPr>
          <w:rFonts w:eastAsia="Times New Roman"/>
          <w:b/>
          <w:bCs/>
          <w:rtl/>
          <w:lang w:eastAsia="de-DE"/>
        </w:rPr>
        <w:t>וּכְתַבְתָּם עַל־מְזוּזֹת בֵּיתֶךָ וּבִשְׁעָרֶיךָ</w:t>
      </w:r>
      <w:r w:rsidRPr="0023432A">
        <w:rPr>
          <w:rFonts w:eastAsia="Times New Roman"/>
          <w:rtl/>
          <w:lang w:eastAsia="de-DE"/>
        </w:rPr>
        <w:t xml:space="preserve"> </w:t>
      </w:r>
      <w:r w:rsidRPr="0023432A">
        <w:rPr>
          <w:rFonts w:eastAsia="Times New Roman"/>
          <w:lang w:eastAsia="de-DE"/>
        </w:rPr>
        <w:t xml:space="preserve">ist Qal Perfekt consecutivum, 2. Person Singular maskulin von </w:t>
      </w:r>
      <w:r w:rsidRPr="0023432A">
        <w:rPr>
          <w:rFonts w:eastAsia="Times New Roman"/>
          <w:b/>
          <w:bCs/>
          <w:rtl/>
          <w:lang w:eastAsia="de-DE"/>
        </w:rPr>
        <w:t>כתב</w:t>
      </w:r>
      <w:r w:rsidRPr="0023432A">
        <w:rPr>
          <w:rFonts w:eastAsia="Times New Roman"/>
          <w:rtl/>
          <w:lang w:eastAsia="de-DE"/>
        </w:rPr>
        <w:t xml:space="preserve"> </w:t>
      </w:r>
      <w:r w:rsidRPr="0023432A">
        <w:rPr>
          <w:rFonts w:eastAsia="Times New Roman"/>
          <w:lang w:eastAsia="de-DE"/>
        </w:rPr>
        <w:t xml:space="preserve">(„schreiben") mit </w:t>
      </w:r>
      <w:r w:rsidRPr="0023432A">
        <w:rPr>
          <w:rFonts w:eastAsia="Times New Roman"/>
          <w:b/>
          <w:bCs/>
          <w:rtl/>
          <w:lang w:eastAsia="de-DE"/>
        </w:rPr>
        <w:t>וְ</w:t>
      </w:r>
      <w:r w:rsidRPr="0023432A">
        <w:rPr>
          <w:rFonts w:eastAsia="Times New Roman"/>
          <w:rtl/>
          <w:lang w:eastAsia="de-DE"/>
        </w:rPr>
        <w:t xml:space="preserve"> </w:t>
      </w:r>
      <w:r w:rsidRPr="0023432A">
        <w:rPr>
          <w:rFonts w:eastAsia="Times New Roman"/>
          <w:lang w:eastAsia="de-DE"/>
        </w:rPr>
        <w:t xml:space="preserve">und Suffix 3. Person Plural maskulin als direktes Objekt, </w:t>
      </w:r>
      <w:r w:rsidRPr="0023432A">
        <w:rPr>
          <w:rFonts w:eastAsia="Times New Roman"/>
          <w:b/>
          <w:bCs/>
          <w:rtl/>
          <w:lang w:eastAsia="de-DE"/>
        </w:rPr>
        <w:t>עַל־מְזוּזֹת בֵּיתֶךָ</w:t>
      </w:r>
      <w:r w:rsidRPr="0023432A">
        <w:rPr>
          <w:rFonts w:eastAsia="Times New Roman"/>
          <w:rtl/>
          <w:lang w:eastAsia="de-DE"/>
        </w:rPr>
        <w:t xml:space="preserve"> </w:t>
      </w:r>
      <w:r w:rsidRPr="0023432A">
        <w:rPr>
          <w:rFonts w:eastAsia="Times New Roman"/>
          <w:lang w:eastAsia="de-DE"/>
        </w:rPr>
        <w:t>als erste Ortsangabe (</w:t>
      </w:r>
      <w:r w:rsidRPr="0023432A">
        <w:rPr>
          <w:rFonts w:eastAsia="Times New Roman"/>
          <w:b/>
          <w:bCs/>
          <w:rtl/>
          <w:lang w:eastAsia="de-DE"/>
        </w:rPr>
        <w:t>עַל</w:t>
      </w:r>
      <w:r w:rsidRPr="0023432A">
        <w:rPr>
          <w:rFonts w:eastAsia="Times New Roman"/>
          <w:rtl/>
          <w:lang w:eastAsia="de-DE"/>
        </w:rPr>
        <w:t xml:space="preserve"> </w:t>
      </w:r>
      <w:r w:rsidRPr="0023432A">
        <w:rPr>
          <w:rFonts w:eastAsia="Times New Roman"/>
          <w:lang w:eastAsia="de-DE"/>
        </w:rPr>
        <w:t xml:space="preserve">mit </w:t>
      </w:r>
      <w:r w:rsidRPr="0023432A">
        <w:rPr>
          <w:rFonts w:eastAsia="Times New Roman"/>
          <w:b/>
          <w:bCs/>
          <w:rtl/>
          <w:lang w:eastAsia="de-DE"/>
        </w:rPr>
        <w:t>מְזוּזָה</w:t>
      </w:r>
      <w:r w:rsidRPr="0023432A">
        <w:rPr>
          <w:rFonts w:eastAsia="Times New Roman"/>
          <w:lang w:eastAsia="de-DE"/>
        </w:rPr>
        <w:t xml:space="preserve">, „Türpfosten", Plural Construct, und </w:t>
      </w:r>
      <w:r w:rsidRPr="0023432A">
        <w:rPr>
          <w:rFonts w:eastAsia="Times New Roman"/>
          <w:b/>
          <w:bCs/>
          <w:rtl/>
          <w:lang w:eastAsia="de-DE"/>
        </w:rPr>
        <w:t>בַּיִת</w:t>
      </w:r>
      <w:r w:rsidRPr="0023432A">
        <w:rPr>
          <w:rFonts w:eastAsia="Times New Roman"/>
          <w:rtl/>
          <w:lang w:eastAsia="de-DE"/>
        </w:rPr>
        <w:t xml:space="preserve"> </w:t>
      </w:r>
      <w:r w:rsidRPr="0023432A">
        <w:rPr>
          <w:rFonts w:eastAsia="Times New Roman"/>
          <w:lang w:eastAsia="de-DE"/>
        </w:rPr>
        <w:t xml:space="preserve">mit Suffix 2. Person Singular maskulin), </w:t>
      </w:r>
      <w:r w:rsidRPr="0023432A">
        <w:rPr>
          <w:rFonts w:eastAsia="Times New Roman"/>
          <w:b/>
          <w:bCs/>
          <w:rtl/>
          <w:lang w:eastAsia="de-DE"/>
        </w:rPr>
        <w:t>וּבִשְׁעָרֶיךָ</w:t>
      </w:r>
      <w:r w:rsidRPr="0023432A">
        <w:rPr>
          <w:rFonts w:eastAsia="Times New Roman"/>
          <w:rtl/>
          <w:lang w:eastAsia="de-DE"/>
        </w:rPr>
        <w:t xml:space="preserve"> </w:t>
      </w:r>
      <w:r w:rsidRPr="0023432A">
        <w:rPr>
          <w:rFonts w:eastAsia="Times New Roman"/>
          <w:lang w:eastAsia="de-DE"/>
        </w:rPr>
        <w:t>als zweite koordinierte Ortsangabe (</w:t>
      </w:r>
      <w:r w:rsidRPr="0023432A">
        <w:rPr>
          <w:rFonts w:eastAsia="Times New Roman"/>
          <w:b/>
          <w:bCs/>
          <w:rtl/>
          <w:lang w:eastAsia="de-DE"/>
        </w:rPr>
        <w:t>וְ</w:t>
      </w:r>
      <w:r w:rsidRPr="0023432A">
        <w:rPr>
          <w:rFonts w:eastAsia="Times New Roman"/>
          <w:rtl/>
          <w:lang w:eastAsia="de-DE"/>
        </w:rPr>
        <w:t xml:space="preserve"> </w:t>
      </w:r>
      <w:r w:rsidRPr="0023432A">
        <w:rPr>
          <w:rFonts w:eastAsia="Times New Roman"/>
          <w:lang w:eastAsia="de-DE"/>
        </w:rPr>
        <w:t xml:space="preserve">mit </w:t>
      </w:r>
      <w:r w:rsidRPr="0023432A">
        <w:rPr>
          <w:rFonts w:eastAsia="Times New Roman"/>
          <w:b/>
          <w:bCs/>
          <w:rtl/>
          <w:lang w:eastAsia="de-DE"/>
        </w:rPr>
        <w:t>בְּ</w:t>
      </w:r>
      <w:r w:rsidRPr="0023432A">
        <w:rPr>
          <w:rFonts w:eastAsia="Times New Roman"/>
          <w:lang w:eastAsia="de-DE"/>
        </w:rPr>
        <w:t xml:space="preserve">, </w:t>
      </w:r>
      <w:r w:rsidRPr="0023432A">
        <w:rPr>
          <w:rFonts w:eastAsia="Times New Roman"/>
          <w:b/>
          <w:bCs/>
          <w:rtl/>
          <w:lang w:eastAsia="de-DE"/>
        </w:rPr>
        <w:t>שַׁעַר</w:t>
      </w:r>
      <w:r w:rsidRPr="0023432A">
        <w:rPr>
          <w:rFonts w:eastAsia="Times New Roman"/>
          <w:lang w:eastAsia="de-DE"/>
        </w:rPr>
        <w:t>, „Tor", Plural und Suffix).</w:t>
      </w:r>
    </w:p>
    <w:p w14:paraId="691302BB"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lang w:eastAsia="de-DE"/>
        </w:rPr>
        <w:t xml:space="preserve">Das Wort </w:t>
      </w:r>
      <w:r w:rsidRPr="0023432A">
        <w:rPr>
          <w:rFonts w:eastAsia="Times New Roman"/>
          <w:b/>
          <w:bCs/>
          <w:rtl/>
          <w:lang w:eastAsia="de-DE"/>
        </w:rPr>
        <w:t>מְזוּזָה</w:t>
      </w:r>
      <w:r w:rsidRPr="0023432A">
        <w:rPr>
          <w:rFonts w:eastAsia="Times New Roman"/>
          <w:rtl/>
          <w:lang w:eastAsia="de-DE"/>
        </w:rPr>
        <w:t xml:space="preserve"> </w:t>
      </w:r>
      <w:r w:rsidRPr="0023432A">
        <w:rPr>
          <w:rFonts w:eastAsia="Times New Roman"/>
          <w:lang w:eastAsia="de-DE"/>
        </w:rPr>
        <w:t xml:space="preserve">(Plural </w:t>
      </w:r>
      <w:r w:rsidRPr="0023432A">
        <w:rPr>
          <w:rFonts w:eastAsia="Times New Roman"/>
          <w:b/>
          <w:bCs/>
          <w:rtl/>
          <w:lang w:eastAsia="de-DE"/>
        </w:rPr>
        <w:t>מְזוּזוֹת</w:t>
      </w:r>
      <w:r w:rsidRPr="0023432A">
        <w:rPr>
          <w:rFonts w:eastAsia="Times New Roman"/>
          <w:lang w:eastAsia="de-DE"/>
        </w:rPr>
        <w:t xml:space="preserve">) bezeichnet ursprünglich den Türpfosten. Im späteren Judentum wurde </w:t>
      </w:r>
      <w:r w:rsidRPr="0023432A">
        <w:rPr>
          <w:rFonts w:eastAsia="Times New Roman"/>
          <w:b/>
          <w:bCs/>
          <w:lang w:eastAsia="de-DE"/>
        </w:rPr>
        <w:t>Mesusa</w:t>
      </w:r>
      <w:r w:rsidRPr="0023432A">
        <w:rPr>
          <w:rFonts w:eastAsia="Times New Roman"/>
          <w:lang w:eastAsia="de-DE"/>
        </w:rPr>
        <w:t xml:space="preserve"> zum Namen für die kleine Kapsel mit Bibeltext (Dtn 6,4-9; 11,13-21), die am Türpfosten angebracht wird. Die Parallelität von </w:t>
      </w:r>
      <w:r w:rsidRPr="0023432A">
        <w:rPr>
          <w:rFonts w:eastAsia="Times New Roman"/>
          <w:b/>
          <w:bCs/>
          <w:rtl/>
          <w:lang w:eastAsia="de-DE"/>
        </w:rPr>
        <w:t>בֵּיתֶךָ</w:t>
      </w:r>
      <w:r w:rsidRPr="0023432A">
        <w:rPr>
          <w:rFonts w:eastAsia="Times New Roman"/>
          <w:rtl/>
          <w:lang w:eastAsia="de-DE"/>
        </w:rPr>
        <w:t xml:space="preserve"> </w:t>
      </w:r>
      <w:r w:rsidRPr="0023432A">
        <w:rPr>
          <w:rFonts w:eastAsia="Times New Roman"/>
          <w:lang w:eastAsia="de-DE"/>
        </w:rPr>
        <w:t xml:space="preserve">(„dein Haus") und </w:t>
      </w:r>
      <w:r w:rsidRPr="0023432A">
        <w:rPr>
          <w:rFonts w:eastAsia="Times New Roman"/>
          <w:b/>
          <w:bCs/>
          <w:rtl/>
          <w:lang w:eastAsia="de-DE"/>
        </w:rPr>
        <w:t>שְׁעָרֶיךָ</w:t>
      </w:r>
      <w:r w:rsidRPr="0023432A">
        <w:rPr>
          <w:rFonts w:eastAsia="Times New Roman"/>
          <w:rtl/>
          <w:lang w:eastAsia="de-DE"/>
        </w:rPr>
        <w:t xml:space="preserve"> </w:t>
      </w:r>
      <w:r w:rsidRPr="0023432A">
        <w:rPr>
          <w:rFonts w:eastAsia="Times New Roman"/>
          <w:lang w:eastAsia="de-DE"/>
        </w:rPr>
        <w:t>(„deine Tore") bezeichnet den privaten Wohnbereich und die öffentlichen Stadttore.</w:t>
      </w:r>
    </w:p>
    <w:p w14:paraId="195CB62C"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lang w:eastAsia="de-DE"/>
        </w:rPr>
        <w:t xml:space="preserve">Die Satzstruktur ist ein </w:t>
      </w:r>
      <w:proofErr w:type="gramStart"/>
      <w:r w:rsidRPr="0023432A">
        <w:rPr>
          <w:rFonts w:eastAsia="Times New Roman"/>
          <w:lang w:eastAsia="de-DE"/>
        </w:rPr>
        <w:t>einfaches</w:t>
      </w:r>
      <w:proofErr w:type="gramEnd"/>
      <w:r w:rsidRPr="0023432A">
        <w:rPr>
          <w:rFonts w:eastAsia="Times New Roman"/>
          <w:lang w:eastAsia="de-DE"/>
        </w:rPr>
        <w:t xml:space="preserve"> Perfekt consecutivum mit Suffix-Objekt und zweigliedriger koordinierter Ortsangabe (beide in Construct-Verbindung bzw. mit Suffix). Die Struktur schließt die dreiteilige Anweisung zur sichtbaren Präsenz der Gebote ab (V. 8-9).</w:t>
      </w:r>
    </w:p>
    <w:p w14:paraId="14C58197"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lang w:eastAsia="de-DE"/>
        </w:rPr>
        <w:t>Der Vers fordert, die Gebote auf die Türpfosten und Tore zu schreiben – sie sollen auch im häuslichen und öffentlichen Raum ständig sichtbar und präsent sein.</w:t>
      </w:r>
    </w:p>
    <w:p w14:paraId="78093BE5" w14:textId="77777777" w:rsidR="0023432A" w:rsidRPr="0023432A" w:rsidRDefault="0023432A" w:rsidP="0023432A">
      <w:pPr>
        <w:spacing w:before="100" w:beforeAutospacing="1" w:after="100" w:afterAutospacing="1" w:line="240" w:lineRule="auto"/>
        <w:outlineLvl w:val="1"/>
        <w:rPr>
          <w:rFonts w:eastAsia="Times New Roman"/>
          <w:b/>
          <w:bCs/>
          <w:sz w:val="36"/>
          <w:szCs w:val="36"/>
          <w:lang w:eastAsia="de-DE"/>
        </w:rPr>
      </w:pPr>
      <w:r w:rsidRPr="0023432A">
        <w:rPr>
          <w:rFonts w:eastAsia="Times New Roman"/>
          <w:b/>
          <w:bCs/>
          <w:sz w:val="36"/>
          <w:szCs w:val="36"/>
          <w:lang w:eastAsia="de-DE"/>
        </w:rPr>
        <w:t>Deuteronomium 6,10</w:t>
      </w:r>
    </w:p>
    <w:p w14:paraId="154BA952"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lang w:eastAsia="de-DE"/>
        </w:rPr>
        <w:t>Hebräisch:</w:t>
      </w:r>
      <w:r w:rsidRPr="0023432A">
        <w:rPr>
          <w:rFonts w:eastAsia="Times New Roman"/>
          <w:lang w:eastAsia="de-DE"/>
        </w:rPr>
        <w:t xml:space="preserve"> </w:t>
      </w:r>
      <w:r w:rsidRPr="0023432A">
        <w:rPr>
          <w:rFonts w:eastAsia="Times New Roman"/>
          <w:rtl/>
          <w:lang w:eastAsia="de-DE"/>
        </w:rPr>
        <w:t>וְהָיָה כִּי יְבִיאֲךָ יְהוָה אֱלֹהֶיךָ אֶל־הָאָרֶץ אֲשֶׁר נִשְׁבַּע לַאֲבֹתֶיךָ לְאַבְרָהָם לְיִצְחָק וּלְיַעֲקֹב לָתֶת לָךְ עָרִים גְּדֹלֹת וְטֹבֹת אֲשֶׁר לֹא־בָנִיתָ׃</w:t>
      </w:r>
    </w:p>
    <w:p w14:paraId="12AB5C46"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lang w:eastAsia="de-DE"/>
        </w:rPr>
        <w:t>Deutsch:</w:t>
      </w:r>
      <w:r w:rsidRPr="0023432A">
        <w:rPr>
          <w:rFonts w:eastAsia="Times New Roman"/>
          <w:lang w:eastAsia="de-DE"/>
        </w:rPr>
        <w:t xml:space="preserve"> Und es soll geschehen, wenn der Ewige, dein Gott, dich bringt in das Land, das er deinen Vätern, 'Avraham, Jitzchak und Ja'akov, geschworen hat, dir zu geben: große und gute Städte, die du nicht gebaut hast,</w:t>
      </w:r>
    </w:p>
    <w:p w14:paraId="52FFA6B8" w14:textId="77777777" w:rsidR="0023432A" w:rsidRPr="0023432A" w:rsidRDefault="004F5CEB" w:rsidP="0023432A">
      <w:pPr>
        <w:spacing w:after="0" w:line="240" w:lineRule="auto"/>
        <w:rPr>
          <w:rFonts w:eastAsia="Times New Roman"/>
          <w:lang w:eastAsia="de-DE"/>
        </w:rPr>
      </w:pPr>
      <w:r>
        <w:rPr>
          <w:rFonts w:eastAsia="Times New Roman"/>
          <w:noProof/>
          <w:lang w:eastAsia="de-DE"/>
        </w:rPr>
        <w:pict w14:anchorId="0B52D781">
          <v:rect id="_x0000_i1228" style="width:0;height:1.5pt" o:hralign="center" o:hrstd="t" o:hr="t" fillcolor="#a0a0a0" stroked="f"/>
        </w:pict>
      </w:r>
    </w:p>
    <w:p w14:paraId="34ABD103"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lang w:eastAsia="de-DE"/>
        </w:rPr>
        <w:lastRenderedPageBreak/>
        <w:t>Kommentar:</w:t>
      </w:r>
      <w:r w:rsidRPr="0023432A">
        <w:rPr>
          <w:rFonts w:eastAsia="Times New Roman"/>
          <w:lang w:eastAsia="de-DE"/>
        </w:rPr>
        <w:t xml:space="preserve"> </w:t>
      </w:r>
      <w:r w:rsidRPr="0023432A">
        <w:rPr>
          <w:rFonts w:eastAsia="Times New Roman"/>
          <w:b/>
          <w:bCs/>
          <w:rtl/>
          <w:lang w:eastAsia="de-DE"/>
        </w:rPr>
        <w:t>וְהָיָה כִּי יְבִיאֲךָ יְהוָה אֱלֹהֶיךָ אֶל־הָאָרֶץ</w:t>
      </w:r>
      <w:r w:rsidRPr="0023432A">
        <w:rPr>
          <w:rFonts w:eastAsia="Times New Roman"/>
          <w:rtl/>
          <w:lang w:eastAsia="de-DE"/>
        </w:rPr>
        <w:t xml:space="preserve"> </w:t>
      </w:r>
      <w:r w:rsidRPr="0023432A">
        <w:rPr>
          <w:rFonts w:eastAsia="Times New Roman"/>
          <w:lang w:eastAsia="de-DE"/>
        </w:rPr>
        <w:t xml:space="preserve">ist die klassische narrative Einleitung mit Temporalsatz: </w:t>
      </w:r>
      <w:r w:rsidRPr="0023432A">
        <w:rPr>
          <w:rFonts w:eastAsia="Times New Roman"/>
          <w:b/>
          <w:bCs/>
          <w:rtl/>
          <w:lang w:eastAsia="de-DE"/>
        </w:rPr>
        <w:t>וְהָיָה</w:t>
      </w:r>
      <w:r w:rsidRPr="0023432A">
        <w:rPr>
          <w:rFonts w:eastAsia="Times New Roman"/>
          <w:rtl/>
          <w:lang w:eastAsia="de-DE"/>
        </w:rPr>
        <w:t xml:space="preserve"> </w:t>
      </w:r>
      <w:r w:rsidRPr="0023432A">
        <w:rPr>
          <w:rFonts w:eastAsia="Times New Roman"/>
          <w:lang w:eastAsia="de-DE"/>
        </w:rPr>
        <w:t xml:space="preserve">(Qal Perfekt consecutivum, 3. Person Singular maskulin von </w:t>
      </w:r>
      <w:r w:rsidRPr="0023432A">
        <w:rPr>
          <w:rFonts w:eastAsia="Times New Roman"/>
          <w:b/>
          <w:bCs/>
          <w:rtl/>
          <w:lang w:eastAsia="de-DE"/>
        </w:rPr>
        <w:t>היה</w:t>
      </w:r>
      <w:r w:rsidRPr="0023432A">
        <w:rPr>
          <w:rFonts w:eastAsia="Times New Roman"/>
          <w:rtl/>
          <w:lang w:eastAsia="de-DE"/>
        </w:rPr>
        <w:t xml:space="preserve"> </w:t>
      </w:r>
      <w:r w:rsidRPr="0023432A">
        <w:rPr>
          <w:rFonts w:eastAsia="Times New Roman"/>
          <w:lang w:eastAsia="de-DE"/>
        </w:rPr>
        <w:t xml:space="preserve">mit </w:t>
      </w:r>
      <w:r w:rsidRPr="0023432A">
        <w:rPr>
          <w:rFonts w:eastAsia="Times New Roman"/>
          <w:b/>
          <w:bCs/>
          <w:rtl/>
          <w:lang w:eastAsia="de-DE"/>
        </w:rPr>
        <w:t>וְ</w:t>
      </w:r>
      <w:r w:rsidRPr="0023432A">
        <w:rPr>
          <w:rFonts w:eastAsia="Times New Roman"/>
          <w:rtl/>
          <w:lang w:eastAsia="de-DE"/>
        </w:rPr>
        <w:t xml:space="preserve"> </w:t>
      </w:r>
      <w:r w:rsidRPr="0023432A">
        <w:rPr>
          <w:rFonts w:eastAsia="Times New Roman"/>
          <w:lang w:eastAsia="de-DE"/>
        </w:rPr>
        <w:t xml:space="preserve">– „und es wird geschehen"), </w:t>
      </w:r>
      <w:r w:rsidRPr="0023432A">
        <w:rPr>
          <w:rFonts w:eastAsia="Times New Roman"/>
          <w:b/>
          <w:bCs/>
          <w:rtl/>
          <w:lang w:eastAsia="de-DE"/>
        </w:rPr>
        <w:t>כִּי</w:t>
      </w:r>
      <w:r w:rsidRPr="0023432A">
        <w:rPr>
          <w:rFonts w:eastAsia="Times New Roman"/>
          <w:rtl/>
          <w:lang w:eastAsia="de-DE"/>
        </w:rPr>
        <w:t xml:space="preserve"> </w:t>
      </w:r>
      <w:r w:rsidRPr="0023432A">
        <w:rPr>
          <w:rFonts w:eastAsia="Times New Roman"/>
          <w:lang w:eastAsia="de-DE"/>
        </w:rPr>
        <w:t xml:space="preserve">als temporale Konjunktion („wenn"), </w:t>
      </w:r>
      <w:r w:rsidRPr="0023432A">
        <w:rPr>
          <w:rFonts w:eastAsia="Times New Roman"/>
          <w:b/>
          <w:bCs/>
          <w:rtl/>
          <w:lang w:eastAsia="de-DE"/>
        </w:rPr>
        <w:t>יְבִיאֲךָ</w:t>
      </w:r>
      <w:r w:rsidRPr="0023432A">
        <w:rPr>
          <w:rFonts w:eastAsia="Times New Roman"/>
          <w:rtl/>
          <w:lang w:eastAsia="de-DE"/>
        </w:rPr>
        <w:t xml:space="preserve"> </w:t>
      </w:r>
      <w:r w:rsidRPr="0023432A">
        <w:rPr>
          <w:rFonts w:eastAsia="Times New Roman"/>
          <w:lang w:eastAsia="de-DE"/>
        </w:rPr>
        <w:t xml:space="preserve">als Hifil Imperfekt, 3. Person Singular maskulin von </w:t>
      </w:r>
      <w:r w:rsidRPr="0023432A">
        <w:rPr>
          <w:rFonts w:eastAsia="Times New Roman"/>
          <w:b/>
          <w:bCs/>
          <w:rtl/>
          <w:lang w:eastAsia="de-DE"/>
        </w:rPr>
        <w:t>בוא</w:t>
      </w:r>
      <w:r w:rsidRPr="0023432A">
        <w:rPr>
          <w:rFonts w:eastAsia="Times New Roman"/>
          <w:rtl/>
          <w:lang w:eastAsia="de-DE"/>
        </w:rPr>
        <w:t xml:space="preserve"> </w:t>
      </w:r>
      <w:r w:rsidRPr="0023432A">
        <w:rPr>
          <w:rFonts w:eastAsia="Times New Roman"/>
          <w:lang w:eastAsia="de-DE"/>
        </w:rPr>
        <w:t xml:space="preserve">(„bringen") mit Suffix 2. Person Singular maskulin als direktes Objekt, </w:t>
      </w:r>
      <w:r w:rsidRPr="0023432A">
        <w:rPr>
          <w:rFonts w:eastAsia="Times New Roman"/>
          <w:b/>
          <w:bCs/>
          <w:rtl/>
          <w:lang w:eastAsia="de-DE"/>
        </w:rPr>
        <w:t>יְהוָה אֱלֹהֶיךָ</w:t>
      </w:r>
      <w:r w:rsidRPr="0023432A">
        <w:rPr>
          <w:rFonts w:eastAsia="Times New Roman"/>
          <w:rtl/>
          <w:lang w:eastAsia="de-DE"/>
        </w:rPr>
        <w:t xml:space="preserve"> </w:t>
      </w:r>
      <w:r w:rsidRPr="0023432A">
        <w:rPr>
          <w:rFonts w:eastAsia="Times New Roman"/>
          <w:lang w:eastAsia="de-DE"/>
        </w:rPr>
        <w:t xml:space="preserve">als erweitertes Subjekt, </w:t>
      </w:r>
      <w:r w:rsidRPr="0023432A">
        <w:rPr>
          <w:rFonts w:eastAsia="Times New Roman"/>
          <w:b/>
          <w:bCs/>
          <w:rtl/>
          <w:lang w:eastAsia="de-DE"/>
        </w:rPr>
        <w:t>אֶל־הָאָרֶץ</w:t>
      </w:r>
      <w:r w:rsidRPr="0023432A">
        <w:rPr>
          <w:rFonts w:eastAsia="Times New Roman"/>
          <w:rtl/>
          <w:lang w:eastAsia="de-DE"/>
        </w:rPr>
        <w:t xml:space="preserve"> </w:t>
      </w:r>
      <w:r w:rsidRPr="0023432A">
        <w:rPr>
          <w:rFonts w:eastAsia="Times New Roman"/>
          <w:lang w:eastAsia="de-DE"/>
        </w:rPr>
        <w:t>als Richtungsangabe.</w:t>
      </w:r>
    </w:p>
    <w:p w14:paraId="3E7E36B5"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rtl/>
          <w:lang w:eastAsia="de-DE"/>
        </w:rPr>
        <w:t>אֲשֶׁר נִשְׁבַּע לַאֲבֹתֶיךָ לְאַבְרָהָם לְיִצְחָק וּלְיַעֲקֹב</w:t>
      </w:r>
      <w:r w:rsidRPr="0023432A">
        <w:rPr>
          <w:rFonts w:eastAsia="Times New Roman"/>
          <w:rtl/>
          <w:lang w:eastAsia="de-DE"/>
        </w:rPr>
        <w:t xml:space="preserve"> </w:t>
      </w:r>
      <w:r w:rsidRPr="0023432A">
        <w:rPr>
          <w:rFonts w:eastAsia="Times New Roman"/>
          <w:lang w:eastAsia="de-DE"/>
        </w:rPr>
        <w:t xml:space="preserve">ist ein Relativsatz: </w:t>
      </w:r>
      <w:r w:rsidRPr="0023432A">
        <w:rPr>
          <w:rFonts w:eastAsia="Times New Roman"/>
          <w:b/>
          <w:bCs/>
          <w:rtl/>
          <w:lang w:eastAsia="de-DE"/>
        </w:rPr>
        <w:t>אֲשֶׁר</w:t>
      </w:r>
      <w:r w:rsidRPr="0023432A">
        <w:rPr>
          <w:rFonts w:eastAsia="Times New Roman"/>
          <w:rtl/>
          <w:lang w:eastAsia="de-DE"/>
        </w:rPr>
        <w:t xml:space="preserve"> </w:t>
      </w:r>
      <w:r w:rsidRPr="0023432A">
        <w:rPr>
          <w:rFonts w:eastAsia="Times New Roman"/>
          <w:lang w:eastAsia="de-DE"/>
        </w:rPr>
        <w:t xml:space="preserve">als Relativpronomen, </w:t>
      </w:r>
      <w:r w:rsidRPr="0023432A">
        <w:rPr>
          <w:rFonts w:eastAsia="Times New Roman"/>
          <w:b/>
          <w:bCs/>
          <w:rtl/>
          <w:lang w:eastAsia="de-DE"/>
        </w:rPr>
        <w:t>נִשְׁבַּע</w:t>
      </w:r>
      <w:r w:rsidRPr="0023432A">
        <w:rPr>
          <w:rFonts w:eastAsia="Times New Roman"/>
          <w:rtl/>
          <w:lang w:eastAsia="de-DE"/>
        </w:rPr>
        <w:t xml:space="preserve"> </w:t>
      </w:r>
      <w:r w:rsidRPr="0023432A">
        <w:rPr>
          <w:rFonts w:eastAsia="Times New Roman"/>
          <w:lang w:eastAsia="de-DE"/>
        </w:rPr>
        <w:t xml:space="preserve">als Nifal Perfekt, 3. Person Singular maskulin von </w:t>
      </w:r>
      <w:r w:rsidRPr="0023432A">
        <w:rPr>
          <w:rFonts w:eastAsia="Times New Roman"/>
          <w:b/>
          <w:bCs/>
          <w:rtl/>
          <w:lang w:eastAsia="de-DE"/>
        </w:rPr>
        <w:t>שׁבע</w:t>
      </w:r>
      <w:r w:rsidRPr="0023432A">
        <w:rPr>
          <w:rFonts w:eastAsia="Times New Roman"/>
          <w:rtl/>
          <w:lang w:eastAsia="de-DE"/>
        </w:rPr>
        <w:t xml:space="preserve"> </w:t>
      </w:r>
      <w:r w:rsidRPr="0023432A">
        <w:rPr>
          <w:rFonts w:eastAsia="Times New Roman"/>
          <w:lang w:eastAsia="de-DE"/>
        </w:rPr>
        <w:t xml:space="preserve">(„schwören"), </w:t>
      </w:r>
      <w:r w:rsidRPr="0023432A">
        <w:rPr>
          <w:rFonts w:eastAsia="Times New Roman"/>
          <w:b/>
          <w:bCs/>
          <w:rtl/>
          <w:lang w:eastAsia="de-DE"/>
        </w:rPr>
        <w:t>לַאֲבֹתֶיךָ</w:t>
      </w:r>
      <w:r w:rsidRPr="0023432A">
        <w:rPr>
          <w:rFonts w:eastAsia="Times New Roman"/>
          <w:rtl/>
          <w:lang w:eastAsia="de-DE"/>
        </w:rPr>
        <w:t xml:space="preserve"> </w:t>
      </w:r>
      <w:r w:rsidRPr="0023432A">
        <w:rPr>
          <w:rFonts w:eastAsia="Times New Roman"/>
          <w:lang w:eastAsia="de-DE"/>
        </w:rPr>
        <w:t>als indirektes Objekt (</w:t>
      </w:r>
      <w:r w:rsidRPr="0023432A">
        <w:rPr>
          <w:rFonts w:eastAsia="Times New Roman"/>
          <w:b/>
          <w:bCs/>
          <w:rtl/>
          <w:lang w:eastAsia="de-DE"/>
        </w:rPr>
        <w:t>לְ</w:t>
      </w:r>
      <w:r w:rsidRPr="0023432A">
        <w:rPr>
          <w:rFonts w:eastAsia="Times New Roman"/>
          <w:rtl/>
          <w:lang w:eastAsia="de-DE"/>
        </w:rPr>
        <w:t xml:space="preserve"> </w:t>
      </w:r>
      <w:r w:rsidRPr="0023432A">
        <w:rPr>
          <w:rFonts w:eastAsia="Times New Roman"/>
          <w:lang w:eastAsia="de-DE"/>
        </w:rPr>
        <w:t xml:space="preserve">mit </w:t>
      </w:r>
      <w:r w:rsidRPr="0023432A">
        <w:rPr>
          <w:rFonts w:eastAsia="Times New Roman"/>
          <w:b/>
          <w:bCs/>
          <w:rtl/>
          <w:lang w:eastAsia="de-DE"/>
        </w:rPr>
        <w:t>אָבוֹת</w:t>
      </w:r>
      <w:r w:rsidRPr="0023432A">
        <w:rPr>
          <w:rFonts w:eastAsia="Times New Roman"/>
          <w:lang w:eastAsia="de-DE"/>
        </w:rPr>
        <w:t xml:space="preserve">, Plural, und Suffix 2. Person Singular maskulin), </w:t>
      </w:r>
      <w:r w:rsidRPr="0023432A">
        <w:rPr>
          <w:rFonts w:eastAsia="Times New Roman"/>
          <w:b/>
          <w:bCs/>
          <w:rtl/>
          <w:lang w:eastAsia="de-DE"/>
        </w:rPr>
        <w:t>לְאַבְרָהָם לְיִצְחָק וּלְיַעֲקֹב</w:t>
      </w:r>
      <w:r w:rsidRPr="0023432A">
        <w:rPr>
          <w:rFonts w:eastAsia="Times New Roman"/>
          <w:rtl/>
          <w:lang w:eastAsia="de-DE"/>
        </w:rPr>
        <w:t xml:space="preserve"> </w:t>
      </w:r>
      <w:r w:rsidRPr="0023432A">
        <w:rPr>
          <w:rFonts w:eastAsia="Times New Roman"/>
          <w:lang w:eastAsia="de-DE"/>
        </w:rPr>
        <w:t xml:space="preserve">als appositionelle Aufzählung der drei Erzväter (alle mit </w:t>
      </w:r>
      <w:r w:rsidRPr="0023432A">
        <w:rPr>
          <w:rFonts w:eastAsia="Times New Roman"/>
          <w:b/>
          <w:bCs/>
          <w:rtl/>
          <w:lang w:eastAsia="de-DE"/>
        </w:rPr>
        <w:t>לְ</w:t>
      </w:r>
      <w:r w:rsidRPr="0023432A">
        <w:rPr>
          <w:rFonts w:eastAsia="Times New Roman"/>
          <w:lang w:eastAsia="de-DE"/>
        </w:rPr>
        <w:t xml:space="preserve">). </w:t>
      </w:r>
      <w:r w:rsidRPr="0023432A">
        <w:rPr>
          <w:rFonts w:eastAsia="Times New Roman"/>
          <w:b/>
          <w:bCs/>
          <w:rtl/>
          <w:lang w:eastAsia="de-DE"/>
        </w:rPr>
        <w:t>לָתֶת לָךְ</w:t>
      </w:r>
      <w:r w:rsidRPr="0023432A">
        <w:rPr>
          <w:rFonts w:eastAsia="Times New Roman"/>
          <w:rtl/>
          <w:lang w:eastAsia="de-DE"/>
        </w:rPr>
        <w:t xml:space="preserve"> </w:t>
      </w:r>
      <w:r w:rsidRPr="0023432A">
        <w:rPr>
          <w:rFonts w:eastAsia="Times New Roman"/>
          <w:lang w:eastAsia="de-DE"/>
        </w:rPr>
        <w:t xml:space="preserve">ist ein finaler Infinitiv: Qal Infinitiv Construct von </w:t>
      </w:r>
      <w:r w:rsidRPr="0023432A">
        <w:rPr>
          <w:rFonts w:eastAsia="Times New Roman"/>
          <w:b/>
          <w:bCs/>
          <w:rtl/>
          <w:lang w:eastAsia="de-DE"/>
        </w:rPr>
        <w:t>נתן</w:t>
      </w:r>
      <w:r w:rsidRPr="0023432A">
        <w:rPr>
          <w:rFonts w:eastAsia="Times New Roman"/>
          <w:rtl/>
          <w:lang w:eastAsia="de-DE"/>
        </w:rPr>
        <w:t xml:space="preserve"> </w:t>
      </w:r>
      <w:r w:rsidRPr="0023432A">
        <w:rPr>
          <w:rFonts w:eastAsia="Times New Roman"/>
          <w:lang w:eastAsia="de-DE"/>
        </w:rPr>
        <w:t xml:space="preserve">(„geben") mit </w:t>
      </w:r>
      <w:r w:rsidRPr="0023432A">
        <w:rPr>
          <w:rFonts w:eastAsia="Times New Roman"/>
          <w:b/>
          <w:bCs/>
          <w:rtl/>
          <w:lang w:eastAsia="de-DE"/>
        </w:rPr>
        <w:t>לְ</w:t>
      </w:r>
      <w:r w:rsidRPr="0023432A">
        <w:rPr>
          <w:rFonts w:eastAsia="Times New Roman"/>
          <w:rtl/>
          <w:lang w:eastAsia="de-DE"/>
        </w:rPr>
        <w:t xml:space="preserve"> </w:t>
      </w:r>
      <w:r w:rsidRPr="0023432A">
        <w:rPr>
          <w:rFonts w:eastAsia="Times New Roman"/>
          <w:lang w:eastAsia="de-DE"/>
        </w:rPr>
        <w:t xml:space="preserve">und </w:t>
      </w:r>
      <w:r w:rsidRPr="0023432A">
        <w:rPr>
          <w:rFonts w:eastAsia="Times New Roman"/>
          <w:b/>
          <w:bCs/>
          <w:rtl/>
          <w:lang w:eastAsia="de-DE"/>
        </w:rPr>
        <w:t>לָךְ</w:t>
      </w:r>
      <w:r w:rsidRPr="0023432A">
        <w:rPr>
          <w:rFonts w:eastAsia="Times New Roman"/>
          <w:rtl/>
          <w:lang w:eastAsia="de-DE"/>
        </w:rPr>
        <w:t xml:space="preserve"> </w:t>
      </w:r>
      <w:r w:rsidRPr="0023432A">
        <w:rPr>
          <w:rFonts w:eastAsia="Times New Roman"/>
          <w:lang w:eastAsia="de-DE"/>
        </w:rPr>
        <w:t>als indirektes Objekt.</w:t>
      </w:r>
    </w:p>
    <w:p w14:paraId="0B0596B3"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b/>
          <w:bCs/>
          <w:rtl/>
          <w:lang w:eastAsia="de-DE"/>
        </w:rPr>
        <w:t>עָרִים גְּדֹלֹת וְטֹבֹת אֲשֶׁר לֹא־בָנִיתָ</w:t>
      </w:r>
      <w:r w:rsidRPr="0023432A">
        <w:rPr>
          <w:rFonts w:eastAsia="Times New Roman"/>
          <w:rtl/>
          <w:lang w:eastAsia="de-DE"/>
        </w:rPr>
        <w:t xml:space="preserve"> </w:t>
      </w:r>
      <w:r w:rsidRPr="0023432A">
        <w:rPr>
          <w:rFonts w:eastAsia="Times New Roman"/>
          <w:lang w:eastAsia="de-DE"/>
        </w:rPr>
        <w:t xml:space="preserve">ist eine appositionelle Erweiterung zu </w:t>
      </w:r>
      <w:r w:rsidRPr="0023432A">
        <w:rPr>
          <w:rFonts w:eastAsia="Times New Roman"/>
          <w:b/>
          <w:bCs/>
          <w:rtl/>
          <w:lang w:eastAsia="de-DE"/>
        </w:rPr>
        <w:t>הָאָרֶץ</w:t>
      </w:r>
      <w:r w:rsidRPr="0023432A">
        <w:rPr>
          <w:rFonts w:eastAsia="Times New Roman"/>
          <w:lang w:eastAsia="de-DE"/>
        </w:rPr>
        <w:t xml:space="preserve">: </w:t>
      </w:r>
      <w:r w:rsidRPr="0023432A">
        <w:rPr>
          <w:rFonts w:eastAsia="Times New Roman"/>
          <w:b/>
          <w:bCs/>
          <w:rtl/>
          <w:lang w:eastAsia="de-DE"/>
        </w:rPr>
        <w:t>עָרִים גְּדֹלֹת וְטֹבֹת</w:t>
      </w:r>
      <w:r w:rsidRPr="0023432A">
        <w:rPr>
          <w:rFonts w:eastAsia="Times New Roman"/>
          <w:rtl/>
          <w:lang w:eastAsia="de-DE"/>
        </w:rPr>
        <w:t xml:space="preserve"> </w:t>
      </w:r>
      <w:r w:rsidRPr="0023432A">
        <w:rPr>
          <w:rFonts w:eastAsia="Times New Roman"/>
          <w:lang w:eastAsia="de-DE"/>
        </w:rPr>
        <w:t>(</w:t>
      </w:r>
      <w:r w:rsidRPr="0023432A">
        <w:rPr>
          <w:rFonts w:eastAsia="Times New Roman"/>
          <w:b/>
          <w:bCs/>
          <w:rtl/>
          <w:lang w:eastAsia="de-DE"/>
        </w:rPr>
        <w:t>עִיר</w:t>
      </w:r>
      <w:r w:rsidRPr="0023432A">
        <w:rPr>
          <w:rFonts w:eastAsia="Times New Roman"/>
          <w:lang w:eastAsia="de-DE"/>
        </w:rPr>
        <w:t xml:space="preserve">, „Stadt", Plural feminin, mit zwei koordinierten Adjektiven: </w:t>
      </w:r>
      <w:r w:rsidRPr="0023432A">
        <w:rPr>
          <w:rFonts w:eastAsia="Times New Roman"/>
          <w:b/>
          <w:bCs/>
          <w:rtl/>
          <w:lang w:eastAsia="de-DE"/>
        </w:rPr>
        <w:t>גְּדֹלֹת</w:t>
      </w:r>
      <w:r w:rsidRPr="0023432A">
        <w:rPr>
          <w:rFonts w:eastAsia="Times New Roman"/>
          <w:lang w:eastAsia="de-DE"/>
        </w:rPr>
        <w:t xml:space="preserve">, „große", und </w:t>
      </w:r>
      <w:r w:rsidRPr="0023432A">
        <w:rPr>
          <w:rFonts w:eastAsia="Times New Roman"/>
          <w:b/>
          <w:bCs/>
          <w:rtl/>
          <w:lang w:eastAsia="de-DE"/>
        </w:rPr>
        <w:t>טֹבֹת</w:t>
      </w:r>
      <w:r w:rsidRPr="0023432A">
        <w:rPr>
          <w:rFonts w:eastAsia="Times New Roman"/>
          <w:lang w:eastAsia="de-DE"/>
        </w:rPr>
        <w:t xml:space="preserve">, „gute", beide Plural feminin), </w:t>
      </w:r>
      <w:r w:rsidRPr="0023432A">
        <w:rPr>
          <w:rFonts w:eastAsia="Times New Roman"/>
          <w:b/>
          <w:bCs/>
          <w:rtl/>
          <w:lang w:eastAsia="de-DE"/>
        </w:rPr>
        <w:t>אֲשֶׁר לֹא־בָנִיתָ</w:t>
      </w:r>
      <w:r w:rsidRPr="0023432A">
        <w:rPr>
          <w:rFonts w:eastAsia="Times New Roman"/>
          <w:rtl/>
          <w:lang w:eastAsia="de-DE"/>
        </w:rPr>
        <w:t xml:space="preserve"> </w:t>
      </w:r>
      <w:r w:rsidRPr="0023432A">
        <w:rPr>
          <w:rFonts w:eastAsia="Times New Roman"/>
          <w:lang w:eastAsia="de-DE"/>
        </w:rPr>
        <w:t xml:space="preserve">als Relativsatz (mit Negation und Qal Perfekt, 2. Person Singular maskulin von </w:t>
      </w:r>
      <w:r w:rsidRPr="0023432A">
        <w:rPr>
          <w:rFonts w:eastAsia="Times New Roman"/>
          <w:b/>
          <w:bCs/>
          <w:rtl/>
          <w:lang w:eastAsia="de-DE"/>
        </w:rPr>
        <w:t>בנה</w:t>
      </w:r>
      <w:r w:rsidRPr="0023432A">
        <w:rPr>
          <w:rFonts w:eastAsia="Times New Roman"/>
          <w:lang w:eastAsia="de-DE"/>
        </w:rPr>
        <w:t>, „bauen").</w:t>
      </w:r>
    </w:p>
    <w:p w14:paraId="7072F571" w14:textId="0D041669"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lang w:eastAsia="de-DE"/>
        </w:rPr>
        <w:t xml:space="preserve">Der Hinweis auf die Erzväter und den Schwur betont die Kontinuität der Verheißung von Abraham bis zur gegenwärtigen Generation. Die Betonung, dass Israel die Städte nicht gebaut hat, bereitet die Warnung vor (V. 10-12): Im Wohlstand des Landes besteht die </w:t>
      </w:r>
      <w:r w:rsidR="00D84597">
        <w:rPr>
          <w:rFonts w:eastAsia="Times New Roman"/>
          <w:lang w:eastAsia="de-DE"/>
        </w:rPr>
        <w:t>Gefahr</w:t>
      </w:r>
      <w:r w:rsidRPr="0023432A">
        <w:rPr>
          <w:rFonts w:eastAsia="Times New Roman"/>
          <w:lang w:eastAsia="de-DE"/>
        </w:rPr>
        <w:t>, JHWH zu vergessen.</w:t>
      </w:r>
    </w:p>
    <w:p w14:paraId="053ED489"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lang w:eastAsia="de-DE"/>
        </w:rPr>
        <w:t xml:space="preserve">Die Satzstruktur ist eine narrative Einleitung mit </w:t>
      </w:r>
      <w:r w:rsidRPr="0023432A">
        <w:rPr>
          <w:rFonts w:eastAsia="Times New Roman"/>
          <w:b/>
          <w:bCs/>
          <w:rtl/>
          <w:lang w:eastAsia="de-DE"/>
        </w:rPr>
        <w:t>וְהָיָה</w:t>
      </w:r>
      <w:r w:rsidRPr="0023432A">
        <w:rPr>
          <w:rFonts w:eastAsia="Times New Roman"/>
          <w:rtl/>
          <w:lang w:eastAsia="de-DE"/>
        </w:rPr>
        <w:t xml:space="preserve"> </w:t>
      </w:r>
      <w:r w:rsidRPr="0023432A">
        <w:rPr>
          <w:rFonts w:eastAsia="Times New Roman"/>
          <w:lang w:eastAsia="de-DE"/>
        </w:rPr>
        <w:t xml:space="preserve">und temporalem </w:t>
      </w:r>
      <w:r w:rsidRPr="0023432A">
        <w:rPr>
          <w:rFonts w:eastAsia="Times New Roman"/>
          <w:b/>
          <w:bCs/>
          <w:rtl/>
          <w:lang w:eastAsia="de-DE"/>
        </w:rPr>
        <w:t>כִּי</w:t>
      </w:r>
      <w:r w:rsidRPr="0023432A">
        <w:rPr>
          <w:rFonts w:eastAsia="Times New Roman"/>
          <w:lang w:eastAsia="de-DE"/>
        </w:rPr>
        <w:t>-Satz (mit Prädikat und Suffix-Objekt, erweitertem Subjekt und Richtungsangabe), einem Relativsatz (mit Prädikat, indirektem Objekt und dreigliedriger appositiver Aufzählung) und finalem Infinitiv mit indirektem Objekt, sowie einer appositiven Erweiterung (mit zwei koordinierten Adjektiven und Relativsatz mit Negation). Die Struktur leitet eine Warnung ein.</w:t>
      </w:r>
    </w:p>
    <w:p w14:paraId="566C2F36" w14:textId="77777777" w:rsidR="0023432A" w:rsidRPr="0023432A" w:rsidRDefault="0023432A" w:rsidP="0023432A">
      <w:pPr>
        <w:spacing w:before="100" w:beforeAutospacing="1" w:after="100" w:afterAutospacing="1" w:line="240" w:lineRule="auto"/>
        <w:rPr>
          <w:rFonts w:eastAsia="Times New Roman"/>
          <w:lang w:eastAsia="de-DE"/>
        </w:rPr>
      </w:pPr>
      <w:r w:rsidRPr="0023432A">
        <w:rPr>
          <w:rFonts w:eastAsia="Times New Roman"/>
          <w:lang w:eastAsia="de-DE"/>
        </w:rPr>
        <w:t>Der Vers beginnt eine Mahnung: Wenn JHWH Israel in das den Erzvätern verheißene Land bringt – ein Land mit großen, fertigen Städten, die Israel nicht gebaut hat...</w:t>
      </w:r>
    </w:p>
    <w:p w14:paraId="250FDF30" w14:textId="77777777" w:rsidR="00324616" w:rsidRPr="00324616" w:rsidRDefault="00324616" w:rsidP="00324616">
      <w:pPr>
        <w:spacing w:before="100" w:beforeAutospacing="1" w:after="100" w:afterAutospacing="1" w:line="240" w:lineRule="auto"/>
        <w:outlineLvl w:val="1"/>
        <w:rPr>
          <w:rFonts w:eastAsia="Times New Roman"/>
          <w:b/>
          <w:bCs/>
          <w:sz w:val="36"/>
          <w:szCs w:val="36"/>
          <w:lang w:eastAsia="de-DE"/>
        </w:rPr>
      </w:pPr>
      <w:r w:rsidRPr="00324616">
        <w:rPr>
          <w:rFonts w:eastAsia="Times New Roman"/>
          <w:b/>
          <w:bCs/>
          <w:sz w:val="36"/>
          <w:szCs w:val="36"/>
          <w:lang w:eastAsia="de-DE"/>
        </w:rPr>
        <w:t>Deuteronomium 6,11</w:t>
      </w:r>
    </w:p>
    <w:p w14:paraId="6CF1ECEE"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Hebräisch:</w:t>
      </w:r>
      <w:r w:rsidRPr="00324616">
        <w:rPr>
          <w:rFonts w:eastAsia="Times New Roman"/>
          <w:lang w:eastAsia="de-DE"/>
        </w:rPr>
        <w:t xml:space="preserve"> </w:t>
      </w:r>
      <w:r w:rsidRPr="00324616">
        <w:rPr>
          <w:rFonts w:eastAsia="Times New Roman"/>
          <w:rtl/>
          <w:lang w:eastAsia="de-DE"/>
        </w:rPr>
        <w:t>וּבָתִּים מְלֵאִים כָּל־טוּב אֲשֶׁר לֹא־מִלֵּאתָ וּבֹרֹת חֲצוּבִים אֲשֶׁר לֹא־חָצַבְתָּ כְּרָמִים וְזֵיתִים אֲשֶׁר לֹא־נָטָעְתָּ וְאָכַלְתָּ וְשָׂבָעְתָּ׃</w:t>
      </w:r>
    </w:p>
    <w:p w14:paraId="181B6505"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Deutsch:</w:t>
      </w:r>
      <w:r w:rsidRPr="00324616">
        <w:rPr>
          <w:rFonts w:eastAsia="Times New Roman"/>
          <w:lang w:eastAsia="de-DE"/>
        </w:rPr>
        <w:t xml:space="preserve"> und Häuser, voll von allem Guten, die du nicht gefüllt hast, und ausgehauene Zisternen, die du nicht ausgehauen hast, Weinberge und Olivenbäume, die du nicht gepflanzt hast, und du isst und satt wirst:</w:t>
      </w:r>
    </w:p>
    <w:p w14:paraId="6DFF1C59" w14:textId="77777777" w:rsidR="00324616" w:rsidRPr="00324616" w:rsidRDefault="004F5CEB" w:rsidP="00324616">
      <w:pPr>
        <w:spacing w:after="0" w:line="240" w:lineRule="auto"/>
        <w:rPr>
          <w:rFonts w:eastAsia="Times New Roman"/>
          <w:lang w:eastAsia="de-DE"/>
        </w:rPr>
      </w:pPr>
      <w:r>
        <w:rPr>
          <w:rFonts w:eastAsia="Times New Roman"/>
          <w:noProof/>
          <w:lang w:eastAsia="de-DE"/>
        </w:rPr>
        <w:pict w14:anchorId="6A7ABB83">
          <v:rect id="_x0000_i1229" style="width:0;height:1.5pt" o:hralign="center" o:hrstd="t" o:hr="t" fillcolor="#a0a0a0" stroked="f"/>
        </w:pict>
      </w:r>
    </w:p>
    <w:p w14:paraId="6EEF70A0"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Kommentar:</w:t>
      </w:r>
      <w:r w:rsidRPr="00324616">
        <w:rPr>
          <w:rFonts w:eastAsia="Times New Roman"/>
          <w:lang w:eastAsia="de-DE"/>
        </w:rPr>
        <w:t xml:space="preserve"> </w:t>
      </w:r>
      <w:r w:rsidRPr="00324616">
        <w:rPr>
          <w:rFonts w:eastAsia="Times New Roman"/>
          <w:b/>
          <w:bCs/>
          <w:rtl/>
          <w:lang w:eastAsia="de-DE"/>
        </w:rPr>
        <w:t>וּבָתִּים מְלֵאִים כָּל־טוּב אֲשֶׁר לֹא־מִלֵּאתָ</w:t>
      </w:r>
      <w:r w:rsidRPr="00324616">
        <w:rPr>
          <w:rFonts w:eastAsia="Times New Roman"/>
          <w:rtl/>
          <w:lang w:eastAsia="de-DE"/>
        </w:rPr>
        <w:t xml:space="preserve"> </w:t>
      </w:r>
      <w:r w:rsidRPr="00324616">
        <w:rPr>
          <w:rFonts w:eastAsia="Times New Roman"/>
          <w:lang w:eastAsia="de-DE"/>
        </w:rPr>
        <w:t xml:space="preserve">ist eine weitere appositionelle Aufzählung: </w:t>
      </w:r>
      <w:r w:rsidRPr="00324616">
        <w:rPr>
          <w:rFonts w:eastAsia="Times New Roman"/>
          <w:b/>
          <w:bCs/>
          <w:rtl/>
          <w:lang w:eastAsia="de-DE"/>
        </w:rPr>
        <w:t>וּבָתִּים</w:t>
      </w:r>
      <w:r w:rsidRPr="00324616">
        <w:rPr>
          <w:rFonts w:eastAsia="Times New Roman"/>
          <w:rtl/>
          <w:lang w:eastAsia="de-DE"/>
        </w:rPr>
        <w:t xml:space="preserve"> </w:t>
      </w:r>
      <w:r w:rsidRPr="00324616">
        <w:rPr>
          <w:rFonts w:eastAsia="Times New Roman"/>
          <w:lang w:eastAsia="de-DE"/>
        </w:rPr>
        <w:t>(</w:t>
      </w:r>
      <w:r w:rsidRPr="00324616">
        <w:rPr>
          <w:rFonts w:eastAsia="Times New Roman"/>
          <w:b/>
          <w:bCs/>
          <w:rtl/>
          <w:lang w:eastAsia="de-DE"/>
        </w:rPr>
        <w:t>וְ</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בַּיִת</w:t>
      </w:r>
      <w:r w:rsidRPr="00324616">
        <w:rPr>
          <w:rFonts w:eastAsia="Times New Roman"/>
          <w:lang w:eastAsia="de-DE"/>
        </w:rPr>
        <w:t xml:space="preserve">, „Haus", Plural), </w:t>
      </w:r>
      <w:r w:rsidRPr="00324616">
        <w:rPr>
          <w:rFonts w:eastAsia="Times New Roman"/>
          <w:b/>
          <w:bCs/>
          <w:rtl/>
          <w:lang w:eastAsia="de-DE"/>
        </w:rPr>
        <w:t>מְלֵאִים כָּל־טוּב</w:t>
      </w:r>
      <w:r w:rsidRPr="00324616">
        <w:rPr>
          <w:rFonts w:eastAsia="Times New Roman"/>
          <w:rtl/>
          <w:lang w:eastAsia="de-DE"/>
        </w:rPr>
        <w:t xml:space="preserve"> </w:t>
      </w:r>
      <w:r w:rsidRPr="00324616">
        <w:rPr>
          <w:rFonts w:eastAsia="Times New Roman"/>
          <w:lang w:eastAsia="de-DE"/>
        </w:rPr>
        <w:t xml:space="preserve">als attributive Bestimmung (Qal Partizip Plural maskulin von </w:t>
      </w:r>
      <w:r w:rsidRPr="00324616">
        <w:rPr>
          <w:rFonts w:eastAsia="Times New Roman"/>
          <w:b/>
          <w:bCs/>
          <w:rtl/>
          <w:lang w:eastAsia="de-DE"/>
        </w:rPr>
        <w:t>מלא</w:t>
      </w:r>
      <w:r w:rsidRPr="00324616">
        <w:rPr>
          <w:rFonts w:eastAsia="Times New Roman"/>
          <w:lang w:eastAsia="de-DE"/>
        </w:rPr>
        <w:t xml:space="preserve">, „voll sein", mit </w:t>
      </w:r>
      <w:r w:rsidRPr="00324616">
        <w:rPr>
          <w:rFonts w:eastAsia="Times New Roman"/>
          <w:b/>
          <w:bCs/>
          <w:rtl/>
          <w:lang w:eastAsia="de-DE"/>
        </w:rPr>
        <w:t>כָּל־טוּב</w:t>
      </w:r>
      <w:r w:rsidRPr="00324616">
        <w:rPr>
          <w:rFonts w:eastAsia="Times New Roman"/>
          <w:rtl/>
          <w:lang w:eastAsia="de-DE"/>
        </w:rPr>
        <w:t xml:space="preserve"> </w:t>
      </w:r>
      <w:r w:rsidRPr="00324616">
        <w:rPr>
          <w:rFonts w:eastAsia="Times New Roman"/>
          <w:lang w:eastAsia="de-DE"/>
        </w:rPr>
        <w:t xml:space="preserve">– </w:t>
      </w:r>
      <w:r w:rsidRPr="00324616">
        <w:rPr>
          <w:rFonts w:eastAsia="Times New Roman"/>
          <w:b/>
          <w:bCs/>
          <w:rtl/>
          <w:lang w:eastAsia="de-DE"/>
        </w:rPr>
        <w:t>כָּל</w:t>
      </w:r>
      <w:r w:rsidRPr="00324616">
        <w:rPr>
          <w:rFonts w:eastAsia="Times New Roman"/>
          <w:rtl/>
          <w:lang w:eastAsia="de-DE"/>
        </w:rPr>
        <w:t xml:space="preserve"> </w:t>
      </w:r>
      <w:r w:rsidRPr="00324616">
        <w:rPr>
          <w:rFonts w:eastAsia="Times New Roman"/>
          <w:lang w:eastAsia="de-DE"/>
        </w:rPr>
        <w:t xml:space="preserve">im Construct mit </w:t>
      </w:r>
      <w:r w:rsidRPr="00324616">
        <w:rPr>
          <w:rFonts w:eastAsia="Times New Roman"/>
          <w:b/>
          <w:bCs/>
          <w:rtl/>
          <w:lang w:eastAsia="de-DE"/>
        </w:rPr>
        <w:t>טוּב</w:t>
      </w:r>
      <w:r w:rsidRPr="00324616">
        <w:rPr>
          <w:rFonts w:eastAsia="Times New Roman"/>
          <w:lang w:eastAsia="de-DE"/>
        </w:rPr>
        <w:t xml:space="preserve">, „Gut[es]" – „voll von allem Guten"), </w:t>
      </w:r>
      <w:r w:rsidRPr="00324616">
        <w:rPr>
          <w:rFonts w:eastAsia="Times New Roman"/>
          <w:b/>
          <w:bCs/>
          <w:rtl/>
          <w:lang w:eastAsia="de-DE"/>
        </w:rPr>
        <w:t>אֲשֶׁר לֹא־מִלֵּאתָ</w:t>
      </w:r>
      <w:r w:rsidRPr="00324616">
        <w:rPr>
          <w:rFonts w:eastAsia="Times New Roman"/>
          <w:rtl/>
          <w:lang w:eastAsia="de-DE"/>
        </w:rPr>
        <w:t xml:space="preserve"> </w:t>
      </w:r>
      <w:r w:rsidRPr="00324616">
        <w:rPr>
          <w:rFonts w:eastAsia="Times New Roman"/>
          <w:lang w:eastAsia="de-DE"/>
        </w:rPr>
        <w:t xml:space="preserve">als Relativsatz (mit Negation und Piel Perfekt, 2. Person Singular maskulin von </w:t>
      </w:r>
      <w:r w:rsidRPr="00324616">
        <w:rPr>
          <w:rFonts w:eastAsia="Times New Roman"/>
          <w:b/>
          <w:bCs/>
          <w:rtl/>
          <w:lang w:eastAsia="de-DE"/>
        </w:rPr>
        <w:t>מלא</w:t>
      </w:r>
      <w:r w:rsidRPr="00324616">
        <w:rPr>
          <w:rFonts w:eastAsia="Times New Roman"/>
          <w:lang w:eastAsia="de-DE"/>
        </w:rPr>
        <w:t>, „füllen").</w:t>
      </w:r>
    </w:p>
    <w:p w14:paraId="72C09259"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rtl/>
          <w:lang w:eastAsia="de-DE"/>
        </w:rPr>
        <w:lastRenderedPageBreak/>
        <w:t>וּבֹרֹת חֲצוּבִים אֲשֶׁר לֹא־חָצַבְתָּ</w:t>
      </w:r>
      <w:r w:rsidRPr="00324616">
        <w:rPr>
          <w:rFonts w:eastAsia="Times New Roman"/>
          <w:rtl/>
          <w:lang w:eastAsia="de-DE"/>
        </w:rPr>
        <w:t xml:space="preserve"> </w:t>
      </w:r>
      <w:r w:rsidRPr="00324616">
        <w:rPr>
          <w:rFonts w:eastAsia="Times New Roman"/>
          <w:lang w:eastAsia="de-DE"/>
        </w:rPr>
        <w:t xml:space="preserve">ist parallel strukturiert: </w:t>
      </w:r>
      <w:r w:rsidRPr="00324616">
        <w:rPr>
          <w:rFonts w:eastAsia="Times New Roman"/>
          <w:b/>
          <w:bCs/>
          <w:rtl/>
          <w:lang w:eastAsia="de-DE"/>
        </w:rPr>
        <w:t>וּבֹרֹת</w:t>
      </w:r>
      <w:r w:rsidRPr="00324616">
        <w:rPr>
          <w:rFonts w:eastAsia="Times New Roman"/>
          <w:rtl/>
          <w:lang w:eastAsia="de-DE"/>
        </w:rPr>
        <w:t xml:space="preserve"> </w:t>
      </w:r>
      <w:r w:rsidRPr="00324616">
        <w:rPr>
          <w:rFonts w:eastAsia="Times New Roman"/>
          <w:lang w:eastAsia="de-DE"/>
        </w:rPr>
        <w:t>(</w:t>
      </w:r>
      <w:r w:rsidRPr="00324616">
        <w:rPr>
          <w:rFonts w:eastAsia="Times New Roman"/>
          <w:b/>
          <w:bCs/>
          <w:rtl/>
          <w:lang w:eastAsia="de-DE"/>
        </w:rPr>
        <w:t>וְ</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בּוֹר</w:t>
      </w:r>
      <w:r w:rsidRPr="00324616">
        <w:rPr>
          <w:rFonts w:eastAsia="Times New Roman"/>
          <w:lang w:eastAsia="de-DE"/>
        </w:rPr>
        <w:t xml:space="preserve">, „Zisterne, Grube", Plural), </w:t>
      </w:r>
      <w:r w:rsidRPr="00324616">
        <w:rPr>
          <w:rFonts w:eastAsia="Times New Roman"/>
          <w:b/>
          <w:bCs/>
          <w:rtl/>
          <w:lang w:eastAsia="de-DE"/>
        </w:rPr>
        <w:t>חֲצוּבִים</w:t>
      </w:r>
      <w:r w:rsidRPr="00324616">
        <w:rPr>
          <w:rFonts w:eastAsia="Times New Roman"/>
          <w:rtl/>
          <w:lang w:eastAsia="de-DE"/>
        </w:rPr>
        <w:t xml:space="preserve"> </w:t>
      </w:r>
      <w:r w:rsidRPr="00324616">
        <w:rPr>
          <w:rFonts w:eastAsia="Times New Roman"/>
          <w:lang w:eastAsia="de-DE"/>
        </w:rPr>
        <w:t xml:space="preserve">als Attribut (Qal Passiv Partizip Plural maskulin von </w:t>
      </w:r>
      <w:r w:rsidRPr="00324616">
        <w:rPr>
          <w:rFonts w:eastAsia="Times New Roman"/>
          <w:b/>
          <w:bCs/>
          <w:rtl/>
          <w:lang w:eastAsia="de-DE"/>
        </w:rPr>
        <w:t>חצב</w:t>
      </w:r>
      <w:r w:rsidRPr="00324616">
        <w:rPr>
          <w:rFonts w:eastAsia="Times New Roman"/>
          <w:lang w:eastAsia="de-DE"/>
        </w:rPr>
        <w:t xml:space="preserve">, „aushauen, behauen" – „ausgehauene"), </w:t>
      </w:r>
      <w:r w:rsidRPr="00324616">
        <w:rPr>
          <w:rFonts w:eastAsia="Times New Roman"/>
          <w:b/>
          <w:bCs/>
          <w:rtl/>
          <w:lang w:eastAsia="de-DE"/>
        </w:rPr>
        <w:t>אֲשֶׁר לֹא־חָצַבְתָּ</w:t>
      </w:r>
      <w:r w:rsidRPr="00324616">
        <w:rPr>
          <w:rFonts w:eastAsia="Times New Roman"/>
          <w:rtl/>
          <w:lang w:eastAsia="de-DE"/>
        </w:rPr>
        <w:t xml:space="preserve"> </w:t>
      </w:r>
      <w:r w:rsidRPr="00324616">
        <w:rPr>
          <w:rFonts w:eastAsia="Times New Roman"/>
          <w:lang w:eastAsia="de-DE"/>
        </w:rPr>
        <w:t xml:space="preserve">als Relativsatz (mit Negation und Qal Perfekt, 2. Person Singular maskulin von </w:t>
      </w:r>
      <w:r w:rsidRPr="00324616">
        <w:rPr>
          <w:rFonts w:eastAsia="Times New Roman"/>
          <w:b/>
          <w:bCs/>
          <w:rtl/>
          <w:lang w:eastAsia="de-DE"/>
        </w:rPr>
        <w:t>חצב</w:t>
      </w:r>
      <w:r w:rsidRPr="00324616">
        <w:rPr>
          <w:rFonts w:eastAsia="Times New Roman"/>
          <w:lang w:eastAsia="de-DE"/>
        </w:rPr>
        <w:t>).</w:t>
      </w:r>
    </w:p>
    <w:p w14:paraId="60BB53A5"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rtl/>
          <w:lang w:eastAsia="de-DE"/>
        </w:rPr>
        <w:t>כְּרָמִים וְזֵיתִים אֲשֶׁר לֹא־נָטָעְתָּ</w:t>
      </w:r>
      <w:r w:rsidRPr="00324616">
        <w:rPr>
          <w:rFonts w:eastAsia="Times New Roman"/>
          <w:rtl/>
          <w:lang w:eastAsia="de-DE"/>
        </w:rPr>
        <w:t xml:space="preserve"> </w:t>
      </w:r>
      <w:r w:rsidRPr="00324616">
        <w:rPr>
          <w:rFonts w:eastAsia="Times New Roman"/>
          <w:lang w:eastAsia="de-DE"/>
        </w:rPr>
        <w:t xml:space="preserve">ist die dritte parallele Struktur: </w:t>
      </w:r>
      <w:r w:rsidRPr="00324616">
        <w:rPr>
          <w:rFonts w:eastAsia="Times New Roman"/>
          <w:b/>
          <w:bCs/>
          <w:rtl/>
          <w:lang w:eastAsia="de-DE"/>
        </w:rPr>
        <w:t>כְּרָמִים וְזֵיתִים</w:t>
      </w:r>
      <w:r w:rsidRPr="00324616">
        <w:rPr>
          <w:rFonts w:eastAsia="Times New Roman"/>
          <w:rtl/>
          <w:lang w:eastAsia="de-DE"/>
        </w:rPr>
        <w:t xml:space="preserve"> </w:t>
      </w:r>
      <w:r w:rsidRPr="00324616">
        <w:rPr>
          <w:rFonts w:eastAsia="Times New Roman"/>
          <w:lang w:eastAsia="de-DE"/>
        </w:rPr>
        <w:t xml:space="preserve">(koordiniert: </w:t>
      </w:r>
      <w:r w:rsidRPr="00324616">
        <w:rPr>
          <w:rFonts w:eastAsia="Times New Roman"/>
          <w:b/>
          <w:bCs/>
          <w:rtl/>
          <w:lang w:eastAsia="de-DE"/>
        </w:rPr>
        <w:t>כֶּרֶם</w:t>
      </w:r>
      <w:r w:rsidRPr="00324616">
        <w:rPr>
          <w:rFonts w:eastAsia="Times New Roman"/>
          <w:lang w:eastAsia="de-DE"/>
        </w:rPr>
        <w:t xml:space="preserve">, „Weinberg", Plural, und </w:t>
      </w:r>
      <w:r w:rsidRPr="00324616">
        <w:rPr>
          <w:rFonts w:eastAsia="Times New Roman"/>
          <w:b/>
          <w:bCs/>
          <w:rtl/>
          <w:lang w:eastAsia="de-DE"/>
        </w:rPr>
        <w:t>זַיִת</w:t>
      </w:r>
      <w:r w:rsidRPr="00324616">
        <w:rPr>
          <w:rFonts w:eastAsia="Times New Roman"/>
          <w:lang w:eastAsia="de-DE"/>
        </w:rPr>
        <w:t xml:space="preserve">, „Olivenbaum, Olive", Plural), </w:t>
      </w:r>
      <w:r w:rsidRPr="00324616">
        <w:rPr>
          <w:rFonts w:eastAsia="Times New Roman"/>
          <w:b/>
          <w:bCs/>
          <w:rtl/>
          <w:lang w:eastAsia="de-DE"/>
        </w:rPr>
        <w:t>אֲשֶׁר לֹא־נָטָעְתָּ</w:t>
      </w:r>
      <w:r w:rsidRPr="00324616">
        <w:rPr>
          <w:rFonts w:eastAsia="Times New Roman"/>
          <w:rtl/>
          <w:lang w:eastAsia="de-DE"/>
        </w:rPr>
        <w:t xml:space="preserve"> </w:t>
      </w:r>
      <w:r w:rsidRPr="00324616">
        <w:rPr>
          <w:rFonts w:eastAsia="Times New Roman"/>
          <w:lang w:eastAsia="de-DE"/>
        </w:rPr>
        <w:t xml:space="preserve">als Relativsatz (mit Negation und Qal Perfekt, 2. Person Singular maskulin von </w:t>
      </w:r>
      <w:r w:rsidRPr="00324616">
        <w:rPr>
          <w:rFonts w:eastAsia="Times New Roman"/>
          <w:b/>
          <w:bCs/>
          <w:rtl/>
          <w:lang w:eastAsia="de-DE"/>
        </w:rPr>
        <w:t>נטע</w:t>
      </w:r>
      <w:r w:rsidRPr="00324616">
        <w:rPr>
          <w:rFonts w:eastAsia="Times New Roman"/>
          <w:lang w:eastAsia="de-DE"/>
        </w:rPr>
        <w:t>, „pflanzen").</w:t>
      </w:r>
    </w:p>
    <w:p w14:paraId="0D84CFC4"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rtl/>
          <w:lang w:eastAsia="de-DE"/>
        </w:rPr>
        <w:t>וְאָכַלְתָּ וְשָׂבָעְתָּ</w:t>
      </w:r>
      <w:r w:rsidRPr="00324616">
        <w:rPr>
          <w:rFonts w:eastAsia="Times New Roman"/>
          <w:rtl/>
          <w:lang w:eastAsia="de-DE"/>
        </w:rPr>
        <w:t xml:space="preserve"> </w:t>
      </w:r>
      <w:r w:rsidRPr="00324616">
        <w:rPr>
          <w:rFonts w:eastAsia="Times New Roman"/>
          <w:lang w:eastAsia="de-DE"/>
        </w:rPr>
        <w:t xml:space="preserve">ist die Apodosis: </w:t>
      </w:r>
      <w:r w:rsidRPr="00324616">
        <w:rPr>
          <w:rFonts w:eastAsia="Times New Roman"/>
          <w:b/>
          <w:bCs/>
          <w:rtl/>
          <w:lang w:eastAsia="de-DE"/>
        </w:rPr>
        <w:t>וְאָכַלְתָּ</w:t>
      </w:r>
      <w:r w:rsidRPr="00324616">
        <w:rPr>
          <w:rFonts w:eastAsia="Times New Roman"/>
          <w:rtl/>
          <w:lang w:eastAsia="de-DE"/>
        </w:rPr>
        <w:t xml:space="preserve"> </w:t>
      </w:r>
      <w:r w:rsidRPr="00324616">
        <w:rPr>
          <w:rFonts w:eastAsia="Times New Roman"/>
          <w:lang w:eastAsia="de-DE"/>
        </w:rPr>
        <w:t xml:space="preserve">(Qal Perfekt consecutivum, 2. Person Singular maskulin von </w:t>
      </w:r>
      <w:r w:rsidRPr="00324616">
        <w:rPr>
          <w:rFonts w:eastAsia="Times New Roman"/>
          <w:b/>
          <w:bCs/>
          <w:rtl/>
          <w:lang w:eastAsia="de-DE"/>
        </w:rPr>
        <w:t>אכל</w:t>
      </w:r>
      <w:r w:rsidRPr="00324616">
        <w:rPr>
          <w:rFonts w:eastAsia="Times New Roman"/>
          <w:lang w:eastAsia="de-DE"/>
        </w:rPr>
        <w:t xml:space="preserve">, „essen", mit </w:t>
      </w:r>
      <w:r w:rsidRPr="00324616">
        <w:rPr>
          <w:rFonts w:eastAsia="Times New Roman"/>
          <w:b/>
          <w:bCs/>
          <w:rtl/>
          <w:lang w:eastAsia="de-DE"/>
        </w:rPr>
        <w:t>וְ</w:t>
      </w:r>
      <w:r w:rsidRPr="00324616">
        <w:rPr>
          <w:rFonts w:eastAsia="Times New Roman"/>
          <w:lang w:eastAsia="de-DE"/>
        </w:rPr>
        <w:t xml:space="preserve">), </w:t>
      </w:r>
      <w:r w:rsidRPr="00324616">
        <w:rPr>
          <w:rFonts w:eastAsia="Times New Roman"/>
          <w:b/>
          <w:bCs/>
          <w:rtl/>
          <w:lang w:eastAsia="de-DE"/>
        </w:rPr>
        <w:t>וְשָׂבָעְתָּ</w:t>
      </w:r>
      <w:r w:rsidRPr="00324616">
        <w:rPr>
          <w:rFonts w:eastAsia="Times New Roman"/>
          <w:rtl/>
          <w:lang w:eastAsia="de-DE"/>
        </w:rPr>
        <w:t xml:space="preserve"> </w:t>
      </w:r>
      <w:r w:rsidRPr="00324616">
        <w:rPr>
          <w:rFonts w:eastAsia="Times New Roman"/>
          <w:lang w:eastAsia="de-DE"/>
        </w:rPr>
        <w:t xml:space="preserve">koordiniert (Qal Perfekt consecutivum, 2. Person Singular maskulin von </w:t>
      </w:r>
      <w:r w:rsidRPr="00324616">
        <w:rPr>
          <w:rFonts w:eastAsia="Times New Roman"/>
          <w:b/>
          <w:bCs/>
          <w:rtl/>
          <w:lang w:eastAsia="de-DE"/>
        </w:rPr>
        <w:t>שׂבע</w:t>
      </w:r>
      <w:r w:rsidRPr="00324616">
        <w:rPr>
          <w:rFonts w:eastAsia="Times New Roman"/>
          <w:lang w:eastAsia="de-DE"/>
        </w:rPr>
        <w:t xml:space="preserve">, „satt werden, sich sättigen", mit </w:t>
      </w:r>
      <w:r w:rsidRPr="00324616">
        <w:rPr>
          <w:rFonts w:eastAsia="Times New Roman"/>
          <w:b/>
          <w:bCs/>
          <w:rtl/>
          <w:lang w:eastAsia="de-DE"/>
        </w:rPr>
        <w:t>וְ</w:t>
      </w:r>
      <w:r w:rsidRPr="00324616">
        <w:rPr>
          <w:rFonts w:eastAsia="Times New Roman"/>
          <w:lang w:eastAsia="de-DE"/>
        </w:rPr>
        <w:t>).</w:t>
      </w:r>
    </w:p>
    <w:p w14:paraId="3B23381E"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 xml:space="preserve">Die vierfache Aufzählung (Städte – Häuser – Zisternen – Weinberge/Olivenbäume) mit der jeweils gleichen Struktur (Substantiv + Attribut + Relativsatz mit Negation) schafft eine eindringliche Klimax: All diese Segnungen sind unverdiente Gaben, nicht das Ergebnis eigener Arbeit. Die Wendung </w:t>
      </w:r>
      <w:r w:rsidRPr="00324616">
        <w:rPr>
          <w:rFonts w:eastAsia="Times New Roman"/>
          <w:b/>
          <w:bCs/>
          <w:rtl/>
          <w:lang w:eastAsia="de-DE"/>
        </w:rPr>
        <w:t>וְאָכַלְתָּ וְשָׂבָעְתָּ</w:t>
      </w:r>
      <w:r w:rsidRPr="00324616">
        <w:rPr>
          <w:rFonts w:eastAsia="Times New Roman"/>
          <w:rtl/>
          <w:lang w:eastAsia="de-DE"/>
        </w:rPr>
        <w:t xml:space="preserve"> </w:t>
      </w:r>
      <w:r w:rsidRPr="00324616">
        <w:rPr>
          <w:rFonts w:eastAsia="Times New Roman"/>
          <w:lang w:eastAsia="de-DE"/>
        </w:rPr>
        <w:t>(„du isst und wirst satt") ist eine klassische deuteronomische Formel für Wohlstand und wird oft mit der Warnung vor dem Vergessen Gottes verbunden (vgl. 8,10.12; 11,15; 14,29; 31,20).</w:t>
      </w:r>
    </w:p>
    <w:p w14:paraId="512CAD4A"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Die Satzstruktur besteht aus drei parallel strukturierten appositiven Erweiterungen (jeweils mit Substantiv, attributivem Partizip bzw. Construct-Verbindung und Relativsatz mit Negation und Perfekt-Prädikat) und einer zweigliedrigen koordinierten Apodosis. Die dreifache Parallelstruktur mit anschließender Konsequenz unterstreicht die Fülle der unverdient empfangenen Gaben und leitet zur Warnung über.</w:t>
      </w:r>
    </w:p>
    <w:p w14:paraId="3A00DA48"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Der Vers setzt die Aufzählung fort: volle Häuser, fertige Zisternen, angepflanzte Weinberge und Olivenbäume – alles fertig vorgefunden, nicht selbst erarbeitet. Die Folge: Essen und Sattsein, Wohlstand.</w:t>
      </w:r>
    </w:p>
    <w:p w14:paraId="4DC2D34C" w14:textId="77777777" w:rsidR="00324616" w:rsidRPr="00324616" w:rsidRDefault="00324616" w:rsidP="00324616">
      <w:pPr>
        <w:spacing w:before="100" w:beforeAutospacing="1" w:after="100" w:afterAutospacing="1" w:line="240" w:lineRule="auto"/>
        <w:outlineLvl w:val="1"/>
        <w:rPr>
          <w:rFonts w:eastAsia="Times New Roman"/>
          <w:b/>
          <w:bCs/>
          <w:sz w:val="36"/>
          <w:szCs w:val="36"/>
          <w:lang w:eastAsia="de-DE"/>
        </w:rPr>
      </w:pPr>
      <w:r w:rsidRPr="00324616">
        <w:rPr>
          <w:rFonts w:eastAsia="Times New Roman"/>
          <w:b/>
          <w:bCs/>
          <w:sz w:val="36"/>
          <w:szCs w:val="36"/>
          <w:lang w:eastAsia="de-DE"/>
        </w:rPr>
        <w:t>Deuteronomium 6,12</w:t>
      </w:r>
    </w:p>
    <w:p w14:paraId="4630EDF7"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Hebräisch:</w:t>
      </w:r>
      <w:r w:rsidRPr="00324616">
        <w:rPr>
          <w:rFonts w:eastAsia="Times New Roman"/>
          <w:lang w:eastAsia="de-DE"/>
        </w:rPr>
        <w:t xml:space="preserve"> </w:t>
      </w:r>
      <w:r w:rsidRPr="00324616">
        <w:rPr>
          <w:rFonts w:eastAsia="Times New Roman"/>
          <w:rtl/>
          <w:lang w:eastAsia="de-DE"/>
        </w:rPr>
        <w:t>הִשָּׁמֶר לְךָ פֶּן־תִּשְׁכַּח אֶת־יְהוָה אֲשֶׁר הוֹצִיאֲךָ מֵאֶרֶץ מִצְרַיִם מִבֵּית עֲבָדִים׃</w:t>
      </w:r>
    </w:p>
    <w:p w14:paraId="5E25F106"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Deutsch:</w:t>
      </w:r>
      <w:r w:rsidRPr="00324616">
        <w:rPr>
          <w:rFonts w:eastAsia="Times New Roman"/>
          <w:lang w:eastAsia="de-DE"/>
        </w:rPr>
        <w:t xml:space="preserve"> So hüte dich, dass du nicht vergisst den Ewigen, der dich herausgeführt hat aus dem Land Mizrajim, aus dem Haus der Knechtschaft.</w:t>
      </w:r>
    </w:p>
    <w:p w14:paraId="709C5A47" w14:textId="77777777" w:rsidR="00324616" w:rsidRPr="00324616" w:rsidRDefault="004F5CEB" w:rsidP="00324616">
      <w:pPr>
        <w:spacing w:after="0" w:line="240" w:lineRule="auto"/>
        <w:rPr>
          <w:rFonts w:eastAsia="Times New Roman"/>
          <w:lang w:eastAsia="de-DE"/>
        </w:rPr>
      </w:pPr>
      <w:r>
        <w:rPr>
          <w:rFonts w:eastAsia="Times New Roman"/>
          <w:noProof/>
          <w:lang w:eastAsia="de-DE"/>
        </w:rPr>
        <w:pict w14:anchorId="01788FF9">
          <v:rect id="_x0000_i1230" style="width:0;height:1.5pt" o:hralign="center" o:hrstd="t" o:hr="t" fillcolor="#a0a0a0" stroked="f"/>
        </w:pict>
      </w:r>
    </w:p>
    <w:p w14:paraId="39405399"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Kommentar:</w:t>
      </w:r>
      <w:r w:rsidRPr="00324616">
        <w:rPr>
          <w:rFonts w:eastAsia="Times New Roman"/>
          <w:lang w:eastAsia="de-DE"/>
        </w:rPr>
        <w:t xml:space="preserve"> </w:t>
      </w:r>
      <w:r w:rsidRPr="00324616">
        <w:rPr>
          <w:rFonts w:eastAsia="Times New Roman"/>
          <w:b/>
          <w:bCs/>
          <w:rtl/>
          <w:lang w:eastAsia="de-DE"/>
        </w:rPr>
        <w:t>הִשָּׁמֶר לְךָ פֶּן־תִּשְׁכַּח אֶת־יְהוָה</w:t>
      </w:r>
      <w:r w:rsidRPr="00324616">
        <w:rPr>
          <w:rFonts w:eastAsia="Times New Roman"/>
          <w:rtl/>
          <w:lang w:eastAsia="de-DE"/>
        </w:rPr>
        <w:t xml:space="preserve"> </w:t>
      </w:r>
      <w:r w:rsidRPr="00324616">
        <w:rPr>
          <w:rFonts w:eastAsia="Times New Roman"/>
          <w:lang w:eastAsia="de-DE"/>
        </w:rPr>
        <w:t xml:space="preserve">ist ein </w:t>
      </w:r>
      <w:proofErr w:type="spellStart"/>
      <w:r w:rsidRPr="00324616">
        <w:rPr>
          <w:rFonts w:eastAsia="Times New Roman"/>
          <w:lang w:eastAsia="de-DE"/>
        </w:rPr>
        <w:t>Warnsatz</w:t>
      </w:r>
      <w:proofErr w:type="spellEnd"/>
      <w:r w:rsidRPr="00324616">
        <w:rPr>
          <w:rFonts w:eastAsia="Times New Roman"/>
          <w:lang w:eastAsia="de-DE"/>
        </w:rPr>
        <w:t xml:space="preserve">: </w:t>
      </w:r>
      <w:r w:rsidRPr="00324616">
        <w:rPr>
          <w:rFonts w:eastAsia="Times New Roman"/>
          <w:b/>
          <w:bCs/>
          <w:rtl/>
          <w:lang w:eastAsia="de-DE"/>
        </w:rPr>
        <w:t>הִשָּׁמֶר</w:t>
      </w:r>
      <w:r w:rsidRPr="00324616">
        <w:rPr>
          <w:rFonts w:eastAsia="Times New Roman"/>
          <w:rtl/>
          <w:lang w:eastAsia="de-DE"/>
        </w:rPr>
        <w:t xml:space="preserve"> </w:t>
      </w:r>
      <w:r w:rsidRPr="00324616">
        <w:rPr>
          <w:rFonts w:eastAsia="Times New Roman"/>
          <w:lang w:eastAsia="de-DE"/>
        </w:rPr>
        <w:t xml:space="preserve">als Nifal Imperativ, 2. Person Singular maskulin von </w:t>
      </w:r>
      <w:r w:rsidRPr="00324616">
        <w:rPr>
          <w:rFonts w:eastAsia="Times New Roman"/>
          <w:b/>
          <w:bCs/>
          <w:rtl/>
          <w:lang w:eastAsia="de-DE"/>
        </w:rPr>
        <w:t>שׁמר</w:t>
      </w:r>
      <w:r w:rsidRPr="00324616">
        <w:rPr>
          <w:rFonts w:eastAsia="Times New Roman"/>
          <w:rtl/>
          <w:lang w:eastAsia="de-DE"/>
        </w:rPr>
        <w:t xml:space="preserve"> </w:t>
      </w:r>
      <w:r w:rsidRPr="00324616">
        <w:rPr>
          <w:rFonts w:eastAsia="Times New Roman"/>
          <w:lang w:eastAsia="de-DE"/>
        </w:rPr>
        <w:t xml:space="preserve">(„hüten, sich hüten"), </w:t>
      </w:r>
      <w:r w:rsidRPr="00324616">
        <w:rPr>
          <w:rFonts w:eastAsia="Times New Roman"/>
          <w:b/>
          <w:bCs/>
          <w:rtl/>
          <w:lang w:eastAsia="de-DE"/>
        </w:rPr>
        <w:t>לְךָ</w:t>
      </w:r>
      <w:r w:rsidRPr="00324616">
        <w:rPr>
          <w:rFonts w:eastAsia="Times New Roman"/>
          <w:rtl/>
          <w:lang w:eastAsia="de-DE"/>
        </w:rPr>
        <w:t xml:space="preserve"> </w:t>
      </w:r>
      <w:r w:rsidRPr="00324616">
        <w:rPr>
          <w:rFonts w:eastAsia="Times New Roman"/>
          <w:lang w:eastAsia="de-DE"/>
        </w:rPr>
        <w:t xml:space="preserve">als ethischer bzw. reflexiver Dativ („für dich, dir"), </w:t>
      </w:r>
      <w:r w:rsidRPr="00324616">
        <w:rPr>
          <w:rFonts w:eastAsia="Times New Roman"/>
          <w:b/>
          <w:bCs/>
          <w:rtl/>
          <w:lang w:eastAsia="de-DE"/>
        </w:rPr>
        <w:t>פֶּן־תִּשְׁכַּח</w:t>
      </w:r>
      <w:r w:rsidRPr="00324616">
        <w:rPr>
          <w:rFonts w:eastAsia="Times New Roman"/>
          <w:rtl/>
          <w:lang w:eastAsia="de-DE"/>
        </w:rPr>
        <w:t xml:space="preserve"> </w:t>
      </w:r>
      <w:r w:rsidRPr="00324616">
        <w:rPr>
          <w:rFonts w:eastAsia="Times New Roman"/>
          <w:lang w:eastAsia="de-DE"/>
        </w:rPr>
        <w:t>als finale bzw. konsekutive Negation (</w:t>
      </w:r>
      <w:r w:rsidRPr="00324616">
        <w:rPr>
          <w:rFonts w:eastAsia="Times New Roman"/>
          <w:b/>
          <w:bCs/>
          <w:rtl/>
          <w:lang w:eastAsia="de-DE"/>
        </w:rPr>
        <w:t>פֶּן</w:t>
      </w:r>
      <w:r w:rsidRPr="00324616">
        <w:rPr>
          <w:rFonts w:eastAsia="Times New Roman"/>
          <w:lang w:eastAsia="de-DE"/>
        </w:rPr>
        <w:t xml:space="preserve">, „damit nicht, dass nicht", mit Qal Imperfekt, 2. Person Singular maskulin von </w:t>
      </w:r>
      <w:r w:rsidRPr="00324616">
        <w:rPr>
          <w:rFonts w:eastAsia="Times New Roman"/>
          <w:b/>
          <w:bCs/>
          <w:rtl/>
          <w:lang w:eastAsia="de-DE"/>
        </w:rPr>
        <w:t>שׁכח</w:t>
      </w:r>
      <w:r w:rsidRPr="00324616">
        <w:rPr>
          <w:rFonts w:eastAsia="Times New Roman"/>
          <w:lang w:eastAsia="de-DE"/>
        </w:rPr>
        <w:t xml:space="preserve">, „vergessen"), </w:t>
      </w:r>
      <w:r w:rsidRPr="00324616">
        <w:rPr>
          <w:rFonts w:eastAsia="Times New Roman"/>
          <w:b/>
          <w:bCs/>
          <w:rtl/>
          <w:lang w:eastAsia="de-DE"/>
        </w:rPr>
        <w:t>אֶת־יְהוָה</w:t>
      </w:r>
      <w:r w:rsidRPr="00324616">
        <w:rPr>
          <w:rFonts w:eastAsia="Times New Roman"/>
          <w:rtl/>
          <w:lang w:eastAsia="de-DE"/>
        </w:rPr>
        <w:t xml:space="preserve"> </w:t>
      </w:r>
      <w:r w:rsidRPr="00324616">
        <w:rPr>
          <w:rFonts w:eastAsia="Times New Roman"/>
          <w:lang w:eastAsia="de-DE"/>
        </w:rPr>
        <w:t>als direktes Objekt.</w:t>
      </w:r>
    </w:p>
    <w:p w14:paraId="73D3ED85"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rtl/>
          <w:lang w:eastAsia="de-DE"/>
        </w:rPr>
        <w:t>אֲשֶׁר הוֹצִיאֲךָ מֵאֶרֶץ מִצְרַיִם מִבֵּית עֲבָדִים</w:t>
      </w:r>
      <w:r w:rsidRPr="00324616">
        <w:rPr>
          <w:rFonts w:eastAsia="Times New Roman"/>
          <w:rtl/>
          <w:lang w:eastAsia="de-DE"/>
        </w:rPr>
        <w:t xml:space="preserve"> </w:t>
      </w:r>
      <w:r w:rsidRPr="00324616">
        <w:rPr>
          <w:rFonts w:eastAsia="Times New Roman"/>
          <w:lang w:eastAsia="de-DE"/>
        </w:rPr>
        <w:t xml:space="preserve">ist ein Relativsatz: </w:t>
      </w:r>
      <w:r w:rsidRPr="00324616">
        <w:rPr>
          <w:rFonts w:eastAsia="Times New Roman"/>
          <w:b/>
          <w:bCs/>
          <w:rtl/>
          <w:lang w:eastAsia="de-DE"/>
        </w:rPr>
        <w:t>אֲשֶׁר</w:t>
      </w:r>
      <w:r w:rsidRPr="00324616">
        <w:rPr>
          <w:rFonts w:eastAsia="Times New Roman"/>
          <w:rtl/>
          <w:lang w:eastAsia="de-DE"/>
        </w:rPr>
        <w:t xml:space="preserve"> </w:t>
      </w:r>
      <w:r w:rsidRPr="00324616">
        <w:rPr>
          <w:rFonts w:eastAsia="Times New Roman"/>
          <w:lang w:eastAsia="de-DE"/>
        </w:rPr>
        <w:t xml:space="preserve">als Relativpronomen, </w:t>
      </w:r>
      <w:r w:rsidRPr="00324616">
        <w:rPr>
          <w:rFonts w:eastAsia="Times New Roman"/>
          <w:b/>
          <w:bCs/>
          <w:rtl/>
          <w:lang w:eastAsia="de-DE"/>
        </w:rPr>
        <w:t>הוֹצִיאֲךָ</w:t>
      </w:r>
      <w:r w:rsidRPr="00324616">
        <w:rPr>
          <w:rFonts w:eastAsia="Times New Roman"/>
          <w:rtl/>
          <w:lang w:eastAsia="de-DE"/>
        </w:rPr>
        <w:t xml:space="preserve"> </w:t>
      </w:r>
      <w:r w:rsidRPr="00324616">
        <w:rPr>
          <w:rFonts w:eastAsia="Times New Roman"/>
          <w:lang w:eastAsia="de-DE"/>
        </w:rPr>
        <w:t xml:space="preserve">als Hifil Perfekt, 3. Person Singular maskulin von </w:t>
      </w:r>
      <w:r w:rsidRPr="00324616">
        <w:rPr>
          <w:rFonts w:eastAsia="Times New Roman"/>
          <w:b/>
          <w:bCs/>
          <w:rtl/>
          <w:lang w:eastAsia="de-DE"/>
        </w:rPr>
        <w:t>יצא</w:t>
      </w:r>
      <w:r w:rsidRPr="00324616">
        <w:rPr>
          <w:rFonts w:eastAsia="Times New Roman"/>
          <w:rtl/>
          <w:lang w:eastAsia="de-DE"/>
        </w:rPr>
        <w:t xml:space="preserve"> </w:t>
      </w:r>
      <w:r w:rsidRPr="00324616">
        <w:rPr>
          <w:rFonts w:eastAsia="Times New Roman"/>
          <w:lang w:eastAsia="de-DE"/>
        </w:rPr>
        <w:t xml:space="preserve">(„herausführen") mit Suffix 2. Person </w:t>
      </w:r>
      <w:r w:rsidRPr="00324616">
        <w:rPr>
          <w:rFonts w:eastAsia="Times New Roman"/>
          <w:lang w:eastAsia="de-DE"/>
        </w:rPr>
        <w:lastRenderedPageBreak/>
        <w:t xml:space="preserve">Singular maskulin als direktes Objekt, </w:t>
      </w:r>
      <w:r w:rsidRPr="00324616">
        <w:rPr>
          <w:rFonts w:eastAsia="Times New Roman"/>
          <w:b/>
          <w:bCs/>
          <w:rtl/>
          <w:lang w:eastAsia="de-DE"/>
        </w:rPr>
        <w:t>מֵאֶרֶץ מִצְרַיִם</w:t>
      </w:r>
      <w:r w:rsidRPr="00324616">
        <w:rPr>
          <w:rFonts w:eastAsia="Times New Roman"/>
          <w:rtl/>
          <w:lang w:eastAsia="de-DE"/>
        </w:rPr>
        <w:t xml:space="preserve"> </w:t>
      </w:r>
      <w:r w:rsidRPr="00324616">
        <w:rPr>
          <w:rFonts w:eastAsia="Times New Roman"/>
          <w:lang w:eastAsia="de-DE"/>
        </w:rPr>
        <w:t>als Herkunftsangabe (</w:t>
      </w:r>
      <w:r w:rsidRPr="00324616">
        <w:rPr>
          <w:rFonts w:eastAsia="Times New Roman"/>
          <w:b/>
          <w:bCs/>
          <w:rtl/>
          <w:lang w:eastAsia="de-DE"/>
        </w:rPr>
        <w:t>מִן</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אֶרֶץ</w:t>
      </w:r>
      <w:r w:rsidRPr="00324616">
        <w:rPr>
          <w:rFonts w:eastAsia="Times New Roman"/>
          <w:rtl/>
          <w:lang w:eastAsia="de-DE"/>
        </w:rPr>
        <w:t xml:space="preserve"> </w:t>
      </w:r>
      <w:r w:rsidRPr="00324616">
        <w:rPr>
          <w:rFonts w:eastAsia="Times New Roman"/>
          <w:lang w:eastAsia="de-DE"/>
        </w:rPr>
        <w:t xml:space="preserve">im Construct und </w:t>
      </w:r>
      <w:r w:rsidRPr="00324616">
        <w:rPr>
          <w:rFonts w:eastAsia="Times New Roman"/>
          <w:b/>
          <w:bCs/>
          <w:rtl/>
          <w:lang w:eastAsia="de-DE"/>
        </w:rPr>
        <w:t>מִצְרַיִם</w:t>
      </w:r>
      <w:r w:rsidRPr="00324616">
        <w:rPr>
          <w:rFonts w:eastAsia="Times New Roman"/>
          <w:lang w:eastAsia="de-DE"/>
        </w:rPr>
        <w:t xml:space="preserve">), </w:t>
      </w:r>
      <w:r w:rsidRPr="00324616">
        <w:rPr>
          <w:rFonts w:eastAsia="Times New Roman"/>
          <w:b/>
          <w:bCs/>
          <w:rtl/>
          <w:lang w:eastAsia="de-DE"/>
        </w:rPr>
        <w:t>מִבֵּית עֲבָדִים</w:t>
      </w:r>
      <w:r w:rsidRPr="00324616">
        <w:rPr>
          <w:rFonts w:eastAsia="Times New Roman"/>
          <w:rtl/>
          <w:lang w:eastAsia="de-DE"/>
        </w:rPr>
        <w:t xml:space="preserve"> </w:t>
      </w:r>
      <w:r w:rsidRPr="00324616">
        <w:rPr>
          <w:rFonts w:eastAsia="Times New Roman"/>
          <w:lang w:eastAsia="de-DE"/>
        </w:rPr>
        <w:t>als parallele, appositionelle Herkunftsangabe (</w:t>
      </w:r>
      <w:r w:rsidRPr="00324616">
        <w:rPr>
          <w:rFonts w:eastAsia="Times New Roman"/>
          <w:b/>
          <w:bCs/>
          <w:rtl/>
          <w:lang w:eastAsia="de-DE"/>
        </w:rPr>
        <w:t>מִן</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בַּיִת</w:t>
      </w:r>
      <w:r w:rsidRPr="00324616">
        <w:rPr>
          <w:rFonts w:eastAsia="Times New Roman"/>
          <w:rtl/>
          <w:lang w:eastAsia="de-DE"/>
        </w:rPr>
        <w:t xml:space="preserve"> </w:t>
      </w:r>
      <w:r w:rsidRPr="00324616">
        <w:rPr>
          <w:rFonts w:eastAsia="Times New Roman"/>
          <w:lang w:eastAsia="de-DE"/>
        </w:rPr>
        <w:t xml:space="preserve">im Construct und </w:t>
      </w:r>
      <w:r w:rsidRPr="00324616">
        <w:rPr>
          <w:rFonts w:eastAsia="Times New Roman"/>
          <w:b/>
          <w:bCs/>
          <w:rtl/>
          <w:lang w:eastAsia="de-DE"/>
        </w:rPr>
        <w:t>עֲבָדִים</w:t>
      </w:r>
      <w:r w:rsidRPr="00324616">
        <w:rPr>
          <w:rFonts w:eastAsia="Times New Roman"/>
          <w:lang w:eastAsia="de-DE"/>
        </w:rPr>
        <w:t>, Plural – „aus dem Haus der Knechtschaft").</w:t>
      </w:r>
    </w:p>
    <w:p w14:paraId="244BF876" w14:textId="53E4B8BE"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 xml:space="preserve">Dies ist die Pointe der Warnung (V. 10-12): Der unverdiente Wohlstand im Land birgt die </w:t>
      </w:r>
      <w:r w:rsidR="00D84597">
        <w:rPr>
          <w:rFonts w:eastAsia="Times New Roman"/>
          <w:lang w:eastAsia="de-DE"/>
        </w:rPr>
        <w:t>Gefahr</w:t>
      </w:r>
      <w:r w:rsidRPr="00324616">
        <w:rPr>
          <w:rFonts w:eastAsia="Times New Roman"/>
          <w:lang w:eastAsia="de-DE"/>
        </w:rPr>
        <w:t xml:space="preserve">, JHWH zu vergessen. Die Erinnerung an den Exodus aus der Sklaverei soll als Antidot gegen das Vergessen dienen. Die Formel </w:t>
      </w:r>
      <w:r w:rsidRPr="00324616">
        <w:rPr>
          <w:rFonts w:eastAsia="Times New Roman"/>
          <w:b/>
          <w:bCs/>
          <w:rtl/>
          <w:lang w:eastAsia="de-DE"/>
        </w:rPr>
        <w:t>מִבֵּית עֲבָדִים</w:t>
      </w:r>
      <w:r w:rsidRPr="00324616">
        <w:rPr>
          <w:rFonts w:eastAsia="Times New Roman"/>
          <w:rtl/>
          <w:lang w:eastAsia="de-DE"/>
        </w:rPr>
        <w:t xml:space="preserve"> </w:t>
      </w:r>
      <w:r w:rsidRPr="00324616">
        <w:rPr>
          <w:rFonts w:eastAsia="Times New Roman"/>
          <w:lang w:eastAsia="de-DE"/>
        </w:rPr>
        <w:t xml:space="preserve">ist die klassische Exodusformel (vgl. 5,6; Ex 13,3.14; 20,2). Die Konstruktion </w:t>
      </w:r>
      <w:r w:rsidRPr="00324616">
        <w:rPr>
          <w:rFonts w:eastAsia="Times New Roman"/>
          <w:b/>
          <w:bCs/>
          <w:rtl/>
          <w:lang w:eastAsia="de-DE"/>
        </w:rPr>
        <w:t>הִשָּׁמֶר... פֶּן</w:t>
      </w:r>
      <w:r w:rsidRPr="00324616">
        <w:rPr>
          <w:rFonts w:eastAsia="Times New Roman"/>
          <w:rtl/>
          <w:lang w:eastAsia="de-DE"/>
        </w:rPr>
        <w:t xml:space="preserve"> </w:t>
      </w:r>
      <w:r w:rsidRPr="00324616">
        <w:rPr>
          <w:rFonts w:eastAsia="Times New Roman"/>
          <w:lang w:eastAsia="de-DE"/>
        </w:rPr>
        <w:t>(„hüte dich... damit nicht") ist eine typisch deuteronomische Warnformel (vgl. 4,9.23; 6,12; 8,11; 11,16; 12,13.19.30; 15,9).</w:t>
      </w:r>
    </w:p>
    <w:p w14:paraId="11878523"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 xml:space="preserve">Die Satzstruktur ist ein Nifal-Imperativ mit ethischem Dativ, einer </w:t>
      </w:r>
      <w:r w:rsidRPr="00324616">
        <w:rPr>
          <w:rFonts w:eastAsia="Times New Roman"/>
          <w:b/>
          <w:bCs/>
          <w:rtl/>
          <w:lang w:eastAsia="de-DE"/>
        </w:rPr>
        <w:t>פֶּן</w:t>
      </w:r>
      <w:r w:rsidRPr="00324616">
        <w:rPr>
          <w:rFonts w:eastAsia="Times New Roman"/>
          <w:lang w:eastAsia="de-DE"/>
        </w:rPr>
        <w:t>-Konstruktion (mit Imperfekt und direktem Objekt) und einem Relativsatz (mit Prädikat und Suffix-Objekt sowie zweigliedriger Herkunftsangabe in Construct-Verbindung). Die Struktur verbindet eindringliche Warnung mit heilsgeschichtlicher Begründung.</w:t>
      </w:r>
    </w:p>
    <w:p w14:paraId="170B4105" w14:textId="1F50205F"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 xml:space="preserve">Der Vers formuliert die zentrale Warnung: Hüte dich, JHWH, deinen Befreier aus Ägypten, zu vergessen! Die </w:t>
      </w:r>
      <w:r w:rsidR="00D84597">
        <w:rPr>
          <w:rFonts w:eastAsia="Times New Roman"/>
          <w:lang w:eastAsia="de-DE"/>
        </w:rPr>
        <w:t>Gefahr</w:t>
      </w:r>
      <w:r w:rsidRPr="00324616">
        <w:rPr>
          <w:rFonts w:eastAsia="Times New Roman"/>
          <w:lang w:eastAsia="de-DE"/>
        </w:rPr>
        <w:t xml:space="preserve"> des Vergessens im Wohlstand ist das Hauptthema dieser Perikope.</w:t>
      </w:r>
    </w:p>
    <w:p w14:paraId="25CA243A" w14:textId="77777777" w:rsidR="00324616" w:rsidRPr="00324616" w:rsidRDefault="00324616" w:rsidP="00324616">
      <w:pPr>
        <w:spacing w:before="100" w:beforeAutospacing="1" w:after="100" w:afterAutospacing="1" w:line="240" w:lineRule="auto"/>
        <w:outlineLvl w:val="1"/>
        <w:rPr>
          <w:rFonts w:eastAsia="Times New Roman"/>
          <w:b/>
          <w:bCs/>
          <w:sz w:val="36"/>
          <w:szCs w:val="36"/>
          <w:lang w:eastAsia="de-DE"/>
        </w:rPr>
      </w:pPr>
      <w:r w:rsidRPr="00324616">
        <w:rPr>
          <w:rFonts w:eastAsia="Times New Roman"/>
          <w:b/>
          <w:bCs/>
          <w:sz w:val="36"/>
          <w:szCs w:val="36"/>
          <w:lang w:eastAsia="de-DE"/>
        </w:rPr>
        <w:t>Deuteronomium 6,13</w:t>
      </w:r>
    </w:p>
    <w:p w14:paraId="56DC7C84"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Hebräisch:</w:t>
      </w:r>
      <w:r w:rsidRPr="00324616">
        <w:rPr>
          <w:rFonts w:eastAsia="Times New Roman"/>
          <w:lang w:eastAsia="de-DE"/>
        </w:rPr>
        <w:t xml:space="preserve"> </w:t>
      </w:r>
      <w:r w:rsidRPr="00324616">
        <w:rPr>
          <w:rFonts w:eastAsia="Times New Roman"/>
          <w:rtl/>
          <w:lang w:eastAsia="de-DE"/>
        </w:rPr>
        <w:t>אֶת־יְהוָה אֱלֹהֶיךָ תִּירָא וְאֹתוֹ תַעֲבֹד וּבִשְׁמוֹ תִּשָּׁבֵעַ׃</w:t>
      </w:r>
    </w:p>
    <w:p w14:paraId="63A1BDAD"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Deutsch:</w:t>
      </w:r>
      <w:r w:rsidRPr="00324616">
        <w:rPr>
          <w:rFonts w:eastAsia="Times New Roman"/>
          <w:lang w:eastAsia="de-DE"/>
        </w:rPr>
        <w:t xml:space="preserve"> Den Ewigen, deinen Gott, sollst du fürchten und ihm dienen, und bei seinem Namen sollst du schwören.</w:t>
      </w:r>
    </w:p>
    <w:p w14:paraId="4EF67B00" w14:textId="77777777" w:rsidR="00324616" w:rsidRPr="00324616" w:rsidRDefault="004F5CEB" w:rsidP="00324616">
      <w:pPr>
        <w:spacing w:after="0" w:line="240" w:lineRule="auto"/>
        <w:rPr>
          <w:rFonts w:eastAsia="Times New Roman"/>
          <w:lang w:eastAsia="de-DE"/>
        </w:rPr>
      </w:pPr>
      <w:r>
        <w:rPr>
          <w:rFonts w:eastAsia="Times New Roman"/>
          <w:noProof/>
          <w:lang w:eastAsia="de-DE"/>
        </w:rPr>
        <w:pict w14:anchorId="0937EED8">
          <v:rect id="_x0000_i1231" style="width:0;height:1.5pt" o:hralign="center" o:hrstd="t" o:hr="t" fillcolor="#a0a0a0" stroked="f"/>
        </w:pict>
      </w:r>
    </w:p>
    <w:p w14:paraId="60D99114"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Kommentar:</w:t>
      </w:r>
      <w:r w:rsidRPr="00324616">
        <w:rPr>
          <w:rFonts w:eastAsia="Times New Roman"/>
          <w:lang w:eastAsia="de-DE"/>
        </w:rPr>
        <w:t xml:space="preserve"> </w:t>
      </w:r>
      <w:r w:rsidRPr="00324616">
        <w:rPr>
          <w:rFonts w:eastAsia="Times New Roman"/>
          <w:b/>
          <w:bCs/>
          <w:rtl/>
          <w:lang w:eastAsia="de-DE"/>
        </w:rPr>
        <w:t>אֶת־יְהוָה אֱלֹהֶיךָ תִּירָא</w:t>
      </w:r>
      <w:r w:rsidRPr="00324616">
        <w:rPr>
          <w:rFonts w:eastAsia="Times New Roman"/>
          <w:rtl/>
          <w:lang w:eastAsia="de-DE"/>
        </w:rPr>
        <w:t xml:space="preserve"> </w:t>
      </w:r>
      <w:r w:rsidRPr="00324616">
        <w:rPr>
          <w:rFonts w:eastAsia="Times New Roman"/>
          <w:lang w:eastAsia="de-DE"/>
        </w:rPr>
        <w:t xml:space="preserve">ist ein Hauptsatz mit vorausgestelltem direktem Objekt: </w:t>
      </w:r>
      <w:r w:rsidRPr="00324616">
        <w:rPr>
          <w:rFonts w:eastAsia="Times New Roman"/>
          <w:b/>
          <w:bCs/>
          <w:rtl/>
          <w:lang w:eastAsia="de-DE"/>
        </w:rPr>
        <w:t>אֶת־יְהוָה אֱלֹהֶיךָ</w:t>
      </w:r>
      <w:r w:rsidRPr="00324616">
        <w:rPr>
          <w:rFonts w:eastAsia="Times New Roman"/>
          <w:rtl/>
          <w:lang w:eastAsia="de-DE"/>
        </w:rPr>
        <w:t xml:space="preserve"> </w:t>
      </w:r>
      <w:r w:rsidRPr="00324616">
        <w:rPr>
          <w:rFonts w:eastAsia="Times New Roman"/>
          <w:lang w:eastAsia="de-DE"/>
        </w:rPr>
        <w:t xml:space="preserve">(nota accusativi mit erweiterter Gottesbezeichnung – </w:t>
      </w:r>
      <w:r w:rsidRPr="00324616">
        <w:rPr>
          <w:rFonts w:eastAsia="Times New Roman"/>
          <w:b/>
          <w:bCs/>
          <w:rtl/>
          <w:lang w:eastAsia="de-DE"/>
        </w:rPr>
        <w:t>אֱלֹהִים</w:t>
      </w:r>
      <w:r w:rsidRPr="00324616">
        <w:rPr>
          <w:rFonts w:eastAsia="Times New Roman"/>
          <w:rtl/>
          <w:lang w:eastAsia="de-DE"/>
        </w:rPr>
        <w:t xml:space="preserve"> </w:t>
      </w:r>
      <w:r w:rsidRPr="00324616">
        <w:rPr>
          <w:rFonts w:eastAsia="Times New Roman"/>
          <w:lang w:eastAsia="de-DE"/>
        </w:rPr>
        <w:t xml:space="preserve">mit Suffix 2. Person Singular maskulin) zur Emphase vorangestellt, </w:t>
      </w:r>
      <w:r w:rsidRPr="00324616">
        <w:rPr>
          <w:rFonts w:eastAsia="Times New Roman"/>
          <w:b/>
          <w:bCs/>
          <w:rtl/>
          <w:lang w:eastAsia="de-DE"/>
        </w:rPr>
        <w:t>תִּירָא</w:t>
      </w:r>
      <w:r w:rsidRPr="00324616">
        <w:rPr>
          <w:rFonts w:eastAsia="Times New Roman"/>
          <w:rtl/>
          <w:lang w:eastAsia="de-DE"/>
        </w:rPr>
        <w:t xml:space="preserve"> </w:t>
      </w:r>
      <w:r w:rsidRPr="00324616">
        <w:rPr>
          <w:rFonts w:eastAsia="Times New Roman"/>
          <w:lang w:eastAsia="de-DE"/>
        </w:rPr>
        <w:t xml:space="preserve">als Qal Imperfekt, 2. Person Singular maskulin von </w:t>
      </w:r>
      <w:r w:rsidRPr="00324616">
        <w:rPr>
          <w:rFonts w:eastAsia="Times New Roman"/>
          <w:b/>
          <w:bCs/>
          <w:rtl/>
          <w:lang w:eastAsia="de-DE"/>
        </w:rPr>
        <w:t>ירא</w:t>
      </w:r>
      <w:r w:rsidRPr="00324616">
        <w:rPr>
          <w:rFonts w:eastAsia="Times New Roman"/>
          <w:rtl/>
          <w:lang w:eastAsia="de-DE"/>
        </w:rPr>
        <w:t xml:space="preserve"> </w:t>
      </w:r>
      <w:r w:rsidRPr="00324616">
        <w:rPr>
          <w:rFonts w:eastAsia="Times New Roman"/>
          <w:lang w:eastAsia="de-DE"/>
        </w:rPr>
        <w:t>(„fürchten") – hier in jussivischer bzw. imperativischer Funktion.</w:t>
      </w:r>
    </w:p>
    <w:p w14:paraId="159FA38E"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rtl/>
          <w:lang w:eastAsia="de-DE"/>
        </w:rPr>
        <w:t>וְאֹתוֹ תַעֲבֹד</w:t>
      </w:r>
      <w:r w:rsidRPr="00324616">
        <w:rPr>
          <w:rFonts w:eastAsia="Times New Roman"/>
          <w:rtl/>
          <w:lang w:eastAsia="de-DE"/>
        </w:rPr>
        <w:t xml:space="preserve"> </w:t>
      </w:r>
      <w:r w:rsidRPr="00324616">
        <w:rPr>
          <w:rFonts w:eastAsia="Times New Roman"/>
          <w:lang w:eastAsia="de-DE"/>
        </w:rPr>
        <w:t xml:space="preserve">ist koordiniert: </w:t>
      </w:r>
      <w:r w:rsidRPr="00324616">
        <w:rPr>
          <w:rFonts w:eastAsia="Times New Roman"/>
          <w:b/>
          <w:bCs/>
          <w:rtl/>
          <w:lang w:eastAsia="de-DE"/>
        </w:rPr>
        <w:t>וְ</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אֹתוֹ</w:t>
      </w:r>
      <w:r w:rsidRPr="00324616">
        <w:rPr>
          <w:rFonts w:eastAsia="Times New Roman"/>
          <w:rtl/>
          <w:lang w:eastAsia="de-DE"/>
        </w:rPr>
        <w:t xml:space="preserve"> </w:t>
      </w:r>
      <w:r w:rsidRPr="00324616">
        <w:rPr>
          <w:rFonts w:eastAsia="Times New Roman"/>
          <w:lang w:eastAsia="de-DE"/>
        </w:rPr>
        <w:t xml:space="preserve">(nota accusativi mit Suffix 3. Person Singular maskulin – „ihn") als vorausgestelltem direktem Objekt, </w:t>
      </w:r>
      <w:r w:rsidRPr="00324616">
        <w:rPr>
          <w:rFonts w:eastAsia="Times New Roman"/>
          <w:b/>
          <w:bCs/>
          <w:rtl/>
          <w:lang w:eastAsia="de-DE"/>
        </w:rPr>
        <w:t>תַעֲבֹד</w:t>
      </w:r>
      <w:r w:rsidRPr="00324616">
        <w:rPr>
          <w:rFonts w:eastAsia="Times New Roman"/>
          <w:rtl/>
          <w:lang w:eastAsia="de-DE"/>
        </w:rPr>
        <w:t xml:space="preserve"> </w:t>
      </w:r>
      <w:r w:rsidRPr="00324616">
        <w:rPr>
          <w:rFonts w:eastAsia="Times New Roman"/>
          <w:lang w:eastAsia="de-DE"/>
        </w:rPr>
        <w:t xml:space="preserve">als Qal Imperfekt, 2. Person Singular maskulin von </w:t>
      </w:r>
      <w:r w:rsidRPr="00324616">
        <w:rPr>
          <w:rFonts w:eastAsia="Times New Roman"/>
          <w:b/>
          <w:bCs/>
          <w:rtl/>
          <w:lang w:eastAsia="de-DE"/>
        </w:rPr>
        <w:t>עבד</w:t>
      </w:r>
      <w:r w:rsidRPr="00324616">
        <w:rPr>
          <w:rFonts w:eastAsia="Times New Roman"/>
          <w:rtl/>
          <w:lang w:eastAsia="de-DE"/>
        </w:rPr>
        <w:t xml:space="preserve"> </w:t>
      </w:r>
      <w:r w:rsidRPr="00324616">
        <w:rPr>
          <w:rFonts w:eastAsia="Times New Roman"/>
          <w:lang w:eastAsia="de-DE"/>
        </w:rPr>
        <w:t xml:space="preserve">(„dienen") – ebenfalls in imperativischer Funktion. </w:t>
      </w:r>
      <w:r w:rsidRPr="00324616">
        <w:rPr>
          <w:rFonts w:eastAsia="Times New Roman"/>
          <w:b/>
          <w:bCs/>
          <w:rtl/>
          <w:lang w:eastAsia="de-DE"/>
        </w:rPr>
        <w:t>וּבִשְׁמוֹ תִּשָּׁבֵעַ</w:t>
      </w:r>
      <w:r w:rsidRPr="00324616">
        <w:rPr>
          <w:rFonts w:eastAsia="Times New Roman"/>
          <w:rtl/>
          <w:lang w:eastAsia="de-DE"/>
        </w:rPr>
        <w:t xml:space="preserve"> </w:t>
      </w:r>
      <w:r w:rsidRPr="00324616">
        <w:rPr>
          <w:rFonts w:eastAsia="Times New Roman"/>
          <w:lang w:eastAsia="de-DE"/>
        </w:rPr>
        <w:t xml:space="preserve">ist die dritte Koordination: </w:t>
      </w:r>
      <w:r w:rsidRPr="00324616">
        <w:rPr>
          <w:rFonts w:eastAsia="Times New Roman"/>
          <w:b/>
          <w:bCs/>
          <w:rtl/>
          <w:lang w:eastAsia="de-DE"/>
        </w:rPr>
        <w:t>וְ</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בִּשְׁמוֹ</w:t>
      </w:r>
      <w:r w:rsidRPr="00324616">
        <w:rPr>
          <w:rFonts w:eastAsia="Times New Roman"/>
          <w:rtl/>
          <w:lang w:eastAsia="de-DE"/>
        </w:rPr>
        <w:t xml:space="preserve"> </w:t>
      </w:r>
      <w:r w:rsidRPr="00324616">
        <w:rPr>
          <w:rFonts w:eastAsia="Times New Roman"/>
          <w:lang w:eastAsia="de-DE"/>
        </w:rPr>
        <w:t>als instrumentale bzw. modale Bestimmung (</w:t>
      </w:r>
      <w:r w:rsidRPr="00324616">
        <w:rPr>
          <w:rFonts w:eastAsia="Times New Roman"/>
          <w:b/>
          <w:bCs/>
          <w:rtl/>
          <w:lang w:eastAsia="de-DE"/>
        </w:rPr>
        <w:t>בְּ</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שֵׁם</w:t>
      </w:r>
      <w:r w:rsidRPr="00324616">
        <w:rPr>
          <w:rFonts w:eastAsia="Times New Roman"/>
          <w:rtl/>
          <w:lang w:eastAsia="de-DE"/>
        </w:rPr>
        <w:t xml:space="preserve"> </w:t>
      </w:r>
      <w:r w:rsidRPr="00324616">
        <w:rPr>
          <w:rFonts w:eastAsia="Times New Roman"/>
          <w:lang w:eastAsia="de-DE"/>
        </w:rPr>
        <w:t xml:space="preserve">und Suffix 3. Person Singular maskulin – „bei seinem Namen, in seinem Namen"), </w:t>
      </w:r>
      <w:r w:rsidRPr="00324616">
        <w:rPr>
          <w:rFonts w:eastAsia="Times New Roman"/>
          <w:b/>
          <w:bCs/>
          <w:rtl/>
          <w:lang w:eastAsia="de-DE"/>
        </w:rPr>
        <w:t>תִּשָּׁבֵעַ</w:t>
      </w:r>
      <w:r w:rsidRPr="00324616">
        <w:rPr>
          <w:rFonts w:eastAsia="Times New Roman"/>
          <w:rtl/>
          <w:lang w:eastAsia="de-DE"/>
        </w:rPr>
        <w:t xml:space="preserve"> </w:t>
      </w:r>
      <w:r w:rsidRPr="00324616">
        <w:rPr>
          <w:rFonts w:eastAsia="Times New Roman"/>
          <w:lang w:eastAsia="de-DE"/>
        </w:rPr>
        <w:t xml:space="preserve">als Nifal Imperfekt, 2. Person Singular maskulin von </w:t>
      </w:r>
      <w:r w:rsidRPr="00324616">
        <w:rPr>
          <w:rFonts w:eastAsia="Times New Roman"/>
          <w:b/>
          <w:bCs/>
          <w:rtl/>
          <w:lang w:eastAsia="de-DE"/>
        </w:rPr>
        <w:t>שׁבע</w:t>
      </w:r>
      <w:r w:rsidRPr="00324616">
        <w:rPr>
          <w:rFonts w:eastAsia="Times New Roman"/>
          <w:rtl/>
          <w:lang w:eastAsia="de-DE"/>
        </w:rPr>
        <w:t xml:space="preserve"> </w:t>
      </w:r>
      <w:r w:rsidRPr="00324616">
        <w:rPr>
          <w:rFonts w:eastAsia="Times New Roman"/>
          <w:lang w:eastAsia="de-DE"/>
        </w:rPr>
        <w:t>(„schwören") – ebenfalls imperativisch.</w:t>
      </w:r>
    </w:p>
    <w:p w14:paraId="64B35C50" w14:textId="77777777" w:rsidR="008A3A15"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 xml:space="preserve">Die dreigliedrige Formulierung (fürchten – dienen – schwören) umfasst die totale religiöse Hingabe. Das Schwören bei JHWHs Namen (und bei keinem anderen) ist Ausdruck ausschließlicher Loyalität. </w:t>
      </w:r>
    </w:p>
    <w:p w14:paraId="285238A8" w14:textId="2EB80562"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Die LXX</w:t>
      </w:r>
      <w:r w:rsidRPr="00324616">
        <w:rPr>
          <w:rFonts w:eastAsia="Times New Roman"/>
          <w:lang w:eastAsia="de-DE"/>
        </w:rPr>
        <w:t xml:space="preserve"> liest in V. 13: </w:t>
      </w:r>
      <w:proofErr w:type="spellStart"/>
      <w:r w:rsidRPr="00324616">
        <w:rPr>
          <w:rFonts w:eastAsia="Times New Roman"/>
          <w:b/>
          <w:bCs/>
          <w:lang w:eastAsia="de-DE"/>
        </w:rPr>
        <w:t>κύριον</w:t>
      </w:r>
      <w:proofErr w:type="spellEnd"/>
      <w:r w:rsidRPr="00324616">
        <w:rPr>
          <w:rFonts w:eastAsia="Times New Roman"/>
          <w:b/>
          <w:bCs/>
          <w:lang w:eastAsia="de-DE"/>
        </w:rPr>
        <w:t xml:space="preserve"> </w:t>
      </w:r>
      <w:proofErr w:type="spellStart"/>
      <w:r w:rsidRPr="00324616">
        <w:rPr>
          <w:rFonts w:eastAsia="Times New Roman"/>
          <w:b/>
          <w:bCs/>
          <w:lang w:eastAsia="de-DE"/>
        </w:rPr>
        <w:t>τὸν</w:t>
      </w:r>
      <w:proofErr w:type="spellEnd"/>
      <w:r w:rsidRPr="00324616">
        <w:rPr>
          <w:rFonts w:eastAsia="Times New Roman"/>
          <w:b/>
          <w:bCs/>
          <w:lang w:eastAsia="de-DE"/>
        </w:rPr>
        <w:t xml:space="preserve"> </w:t>
      </w:r>
      <w:proofErr w:type="spellStart"/>
      <w:r w:rsidRPr="00324616">
        <w:rPr>
          <w:rFonts w:eastAsia="Times New Roman"/>
          <w:b/>
          <w:bCs/>
          <w:lang w:eastAsia="de-DE"/>
        </w:rPr>
        <w:t>θεόν</w:t>
      </w:r>
      <w:proofErr w:type="spellEnd"/>
      <w:r w:rsidRPr="00324616">
        <w:rPr>
          <w:rFonts w:eastAsia="Times New Roman"/>
          <w:b/>
          <w:bCs/>
          <w:lang w:eastAsia="de-DE"/>
        </w:rPr>
        <w:t xml:space="preserve"> </w:t>
      </w:r>
      <w:proofErr w:type="spellStart"/>
      <w:r w:rsidRPr="00324616">
        <w:rPr>
          <w:rFonts w:eastAsia="Times New Roman"/>
          <w:b/>
          <w:bCs/>
          <w:lang w:eastAsia="de-DE"/>
        </w:rPr>
        <w:t>σου</w:t>
      </w:r>
      <w:proofErr w:type="spellEnd"/>
      <w:r w:rsidRPr="00324616">
        <w:rPr>
          <w:rFonts w:eastAsia="Times New Roman"/>
          <w:b/>
          <w:bCs/>
          <w:lang w:eastAsia="de-DE"/>
        </w:rPr>
        <w:t xml:space="preserve"> </w:t>
      </w:r>
      <w:proofErr w:type="spellStart"/>
      <w:r w:rsidRPr="00324616">
        <w:rPr>
          <w:rFonts w:eastAsia="Times New Roman"/>
          <w:b/>
          <w:bCs/>
          <w:lang w:eastAsia="de-DE"/>
        </w:rPr>
        <w:t>φο</w:t>
      </w:r>
      <w:proofErr w:type="spellEnd"/>
      <w:r w:rsidRPr="00324616">
        <w:rPr>
          <w:rFonts w:eastAsia="Times New Roman"/>
          <w:b/>
          <w:bCs/>
          <w:lang w:eastAsia="de-DE"/>
        </w:rPr>
        <w:t>βηθήσῃ καὶ α</w:t>
      </w:r>
      <w:proofErr w:type="spellStart"/>
      <w:r w:rsidRPr="00324616">
        <w:rPr>
          <w:rFonts w:eastAsia="Times New Roman"/>
          <w:b/>
          <w:bCs/>
          <w:lang w:eastAsia="de-DE"/>
        </w:rPr>
        <w:t>ὐτῷ</w:t>
      </w:r>
      <w:proofErr w:type="spellEnd"/>
      <w:r w:rsidRPr="00324616">
        <w:rPr>
          <w:rFonts w:eastAsia="Times New Roman"/>
          <w:b/>
          <w:bCs/>
          <w:lang w:eastAsia="de-DE"/>
        </w:rPr>
        <w:t xml:space="preserve"> λα</w:t>
      </w:r>
      <w:proofErr w:type="spellStart"/>
      <w:r w:rsidRPr="00324616">
        <w:rPr>
          <w:rFonts w:eastAsia="Times New Roman"/>
          <w:b/>
          <w:bCs/>
          <w:lang w:eastAsia="de-DE"/>
        </w:rPr>
        <w:t>τρεύσεις</w:t>
      </w:r>
      <w:proofErr w:type="spellEnd"/>
      <w:r w:rsidRPr="00324616">
        <w:rPr>
          <w:rFonts w:eastAsia="Times New Roman"/>
          <w:b/>
          <w:bCs/>
          <w:lang w:eastAsia="de-DE"/>
        </w:rPr>
        <w:t xml:space="preserve"> καὶ π</w:t>
      </w:r>
      <w:proofErr w:type="spellStart"/>
      <w:r w:rsidRPr="00324616">
        <w:rPr>
          <w:rFonts w:eastAsia="Times New Roman"/>
          <w:b/>
          <w:bCs/>
          <w:lang w:eastAsia="de-DE"/>
        </w:rPr>
        <w:t>ρὸς</w:t>
      </w:r>
      <w:proofErr w:type="spellEnd"/>
      <w:r w:rsidRPr="00324616">
        <w:rPr>
          <w:rFonts w:eastAsia="Times New Roman"/>
          <w:b/>
          <w:bCs/>
          <w:lang w:eastAsia="de-DE"/>
        </w:rPr>
        <w:t xml:space="preserve"> α</w:t>
      </w:r>
      <w:proofErr w:type="spellStart"/>
      <w:r w:rsidRPr="00324616">
        <w:rPr>
          <w:rFonts w:eastAsia="Times New Roman"/>
          <w:b/>
          <w:bCs/>
          <w:lang w:eastAsia="de-DE"/>
        </w:rPr>
        <w:t>ὐτὸν</w:t>
      </w:r>
      <w:proofErr w:type="spellEnd"/>
      <w:r w:rsidRPr="00324616">
        <w:rPr>
          <w:rFonts w:eastAsia="Times New Roman"/>
          <w:b/>
          <w:bCs/>
          <w:lang w:eastAsia="de-DE"/>
        </w:rPr>
        <w:t xml:space="preserve"> </w:t>
      </w:r>
      <w:proofErr w:type="spellStart"/>
      <w:r w:rsidRPr="00324616">
        <w:rPr>
          <w:rFonts w:eastAsia="Times New Roman"/>
          <w:b/>
          <w:bCs/>
          <w:lang w:eastAsia="de-DE"/>
        </w:rPr>
        <w:t>κολληθήσῃ</w:t>
      </w:r>
      <w:proofErr w:type="spellEnd"/>
      <w:r w:rsidRPr="00324616">
        <w:rPr>
          <w:rFonts w:eastAsia="Times New Roman"/>
          <w:b/>
          <w:bCs/>
          <w:lang w:eastAsia="de-DE"/>
        </w:rPr>
        <w:t xml:space="preserve"> καὶ </w:t>
      </w:r>
      <w:proofErr w:type="spellStart"/>
      <w:r w:rsidRPr="00324616">
        <w:rPr>
          <w:rFonts w:eastAsia="Times New Roman"/>
          <w:b/>
          <w:bCs/>
          <w:lang w:eastAsia="de-DE"/>
        </w:rPr>
        <w:t>τῷ</w:t>
      </w:r>
      <w:proofErr w:type="spellEnd"/>
      <w:r w:rsidRPr="00324616">
        <w:rPr>
          <w:rFonts w:eastAsia="Times New Roman"/>
          <w:b/>
          <w:bCs/>
          <w:lang w:eastAsia="de-DE"/>
        </w:rPr>
        <w:t xml:space="preserve"> </w:t>
      </w:r>
      <w:proofErr w:type="spellStart"/>
      <w:r w:rsidRPr="00324616">
        <w:rPr>
          <w:rFonts w:eastAsia="Times New Roman"/>
          <w:b/>
          <w:bCs/>
          <w:lang w:eastAsia="de-DE"/>
        </w:rPr>
        <w:t>ὀνόμ</w:t>
      </w:r>
      <w:proofErr w:type="spellEnd"/>
      <w:r w:rsidRPr="00324616">
        <w:rPr>
          <w:rFonts w:eastAsia="Times New Roman"/>
          <w:b/>
          <w:bCs/>
          <w:lang w:eastAsia="de-DE"/>
        </w:rPr>
        <w:t>ατι α</w:t>
      </w:r>
      <w:proofErr w:type="spellStart"/>
      <w:r w:rsidRPr="00324616">
        <w:rPr>
          <w:rFonts w:eastAsia="Times New Roman"/>
          <w:b/>
          <w:bCs/>
          <w:lang w:eastAsia="de-DE"/>
        </w:rPr>
        <w:t>ὐτοῦ</w:t>
      </w:r>
      <w:proofErr w:type="spellEnd"/>
      <w:r w:rsidRPr="00324616">
        <w:rPr>
          <w:rFonts w:eastAsia="Times New Roman"/>
          <w:b/>
          <w:bCs/>
          <w:lang w:eastAsia="de-DE"/>
        </w:rPr>
        <w:t xml:space="preserve"> </w:t>
      </w:r>
      <w:proofErr w:type="spellStart"/>
      <w:r w:rsidRPr="00324616">
        <w:rPr>
          <w:rFonts w:eastAsia="Times New Roman"/>
          <w:b/>
          <w:bCs/>
          <w:lang w:eastAsia="de-DE"/>
        </w:rPr>
        <w:t>ὀμῇ</w:t>
      </w:r>
      <w:proofErr w:type="spellEnd"/>
      <w:r w:rsidRPr="00324616">
        <w:rPr>
          <w:rFonts w:eastAsia="Times New Roman"/>
          <w:lang w:eastAsia="de-DE"/>
        </w:rPr>
        <w:t xml:space="preserve"> – hier erscheint eine vierfache Struktur durch die Hinzufügung von </w:t>
      </w:r>
      <w:r w:rsidRPr="00324616">
        <w:rPr>
          <w:rFonts w:eastAsia="Times New Roman"/>
          <w:b/>
          <w:bCs/>
          <w:lang w:eastAsia="de-DE"/>
        </w:rPr>
        <w:t>καὶ π</w:t>
      </w:r>
      <w:proofErr w:type="spellStart"/>
      <w:r w:rsidRPr="00324616">
        <w:rPr>
          <w:rFonts w:eastAsia="Times New Roman"/>
          <w:b/>
          <w:bCs/>
          <w:lang w:eastAsia="de-DE"/>
        </w:rPr>
        <w:t>ρὸς</w:t>
      </w:r>
      <w:proofErr w:type="spellEnd"/>
      <w:r w:rsidRPr="00324616">
        <w:rPr>
          <w:rFonts w:eastAsia="Times New Roman"/>
          <w:b/>
          <w:bCs/>
          <w:lang w:eastAsia="de-DE"/>
        </w:rPr>
        <w:t xml:space="preserve"> α</w:t>
      </w:r>
      <w:proofErr w:type="spellStart"/>
      <w:r w:rsidRPr="00324616">
        <w:rPr>
          <w:rFonts w:eastAsia="Times New Roman"/>
          <w:b/>
          <w:bCs/>
          <w:lang w:eastAsia="de-DE"/>
        </w:rPr>
        <w:t>ὐτὸν</w:t>
      </w:r>
      <w:proofErr w:type="spellEnd"/>
      <w:r w:rsidRPr="00324616">
        <w:rPr>
          <w:rFonts w:eastAsia="Times New Roman"/>
          <w:b/>
          <w:bCs/>
          <w:lang w:eastAsia="de-DE"/>
        </w:rPr>
        <w:t xml:space="preserve"> </w:t>
      </w:r>
      <w:proofErr w:type="spellStart"/>
      <w:r w:rsidRPr="00324616">
        <w:rPr>
          <w:rFonts w:eastAsia="Times New Roman"/>
          <w:b/>
          <w:bCs/>
          <w:lang w:eastAsia="de-DE"/>
        </w:rPr>
        <w:t>κολληθήσῃ</w:t>
      </w:r>
      <w:proofErr w:type="spellEnd"/>
      <w:r w:rsidRPr="00324616">
        <w:rPr>
          <w:rFonts w:eastAsia="Times New Roman"/>
          <w:lang w:eastAsia="de-DE"/>
        </w:rPr>
        <w:t xml:space="preserve"> („und ihm sollst du anhangen"), die im MT fehlt. Diese Lesart findet sich auch in Dtn 10,20 und 13,5 im MT.</w:t>
      </w:r>
    </w:p>
    <w:p w14:paraId="7554561A"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lastRenderedPageBreak/>
        <w:t xml:space="preserve">Die Satzstruktur besteht aus drei koordinierten </w:t>
      </w:r>
      <w:proofErr w:type="spellStart"/>
      <w:r w:rsidRPr="00324616">
        <w:rPr>
          <w:rFonts w:eastAsia="Times New Roman"/>
          <w:lang w:eastAsia="de-DE"/>
        </w:rPr>
        <w:t>jussivisch</w:t>
      </w:r>
      <w:proofErr w:type="spellEnd"/>
      <w:r w:rsidRPr="00324616">
        <w:rPr>
          <w:rFonts w:eastAsia="Times New Roman"/>
          <w:lang w:eastAsia="de-DE"/>
        </w:rPr>
        <w:t>-imperativischen Sätzen: der erste mit vorausgestelltem direktem Objekt (erweiterte Gottesbezeichnung) und Prädikat, der zweite mit vorausgestelltem direktem Objekt (Pronomen mit nota accusativi) und Prädikat, der dritte mit instrumentaler bzw. modaler Bestimmung und Prädikat. Die dreifache Parallelstruktur unterstreicht die umfassende religiöse Verpflichtung.</w:t>
      </w:r>
    </w:p>
    <w:p w14:paraId="3F7811D1" w14:textId="5586C81E"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Die LXX</w:t>
      </w:r>
      <w:r w:rsidRPr="00324616">
        <w:rPr>
          <w:rFonts w:eastAsia="Times New Roman"/>
          <w:lang w:eastAsia="de-DE"/>
        </w:rPr>
        <w:t xml:space="preserve"> fügt </w:t>
      </w:r>
      <w:r w:rsidRPr="00324616">
        <w:rPr>
          <w:rFonts w:eastAsia="Times New Roman"/>
          <w:b/>
          <w:bCs/>
          <w:lang w:eastAsia="de-DE"/>
        </w:rPr>
        <w:t>καὶ π</w:t>
      </w:r>
      <w:proofErr w:type="spellStart"/>
      <w:r w:rsidRPr="00324616">
        <w:rPr>
          <w:rFonts w:eastAsia="Times New Roman"/>
          <w:b/>
          <w:bCs/>
          <w:lang w:eastAsia="de-DE"/>
        </w:rPr>
        <w:t>ρὸς</w:t>
      </w:r>
      <w:proofErr w:type="spellEnd"/>
      <w:r w:rsidRPr="00324616">
        <w:rPr>
          <w:rFonts w:eastAsia="Times New Roman"/>
          <w:b/>
          <w:bCs/>
          <w:lang w:eastAsia="de-DE"/>
        </w:rPr>
        <w:t xml:space="preserve"> α</w:t>
      </w:r>
      <w:proofErr w:type="spellStart"/>
      <w:r w:rsidRPr="00324616">
        <w:rPr>
          <w:rFonts w:eastAsia="Times New Roman"/>
          <w:b/>
          <w:bCs/>
          <w:lang w:eastAsia="de-DE"/>
        </w:rPr>
        <w:t>ὐτὸν</w:t>
      </w:r>
      <w:proofErr w:type="spellEnd"/>
      <w:r w:rsidRPr="00324616">
        <w:rPr>
          <w:rFonts w:eastAsia="Times New Roman"/>
          <w:b/>
          <w:bCs/>
          <w:lang w:eastAsia="de-DE"/>
        </w:rPr>
        <w:t xml:space="preserve"> </w:t>
      </w:r>
      <w:proofErr w:type="spellStart"/>
      <w:r w:rsidRPr="00324616">
        <w:rPr>
          <w:rFonts w:eastAsia="Times New Roman"/>
          <w:b/>
          <w:bCs/>
          <w:lang w:eastAsia="de-DE"/>
        </w:rPr>
        <w:t>κολληθήσῃ</w:t>
      </w:r>
      <w:proofErr w:type="spellEnd"/>
      <w:r w:rsidRPr="00324616">
        <w:rPr>
          <w:rFonts w:eastAsia="Times New Roman"/>
          <w:lang w:eastAsia="de-DE"/>
        </w:rPr>
        <w:t xml:space="preserve"> hinzu – vermutlich eine harmonisierende Angleichung an 10,20; 11,22; 13,5; 30,20, wo das Anhangen an JHWH explizit gefordert wird. Diese Hinzufügung betont noch stärker die totale, persönliche Bindung an JHWH.</w:t>
      </w:r>
    </w:p>
    <w:p w14:paraId="7C5047D4"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Der Vers formuliert die positive Alternative zum Vergessen (V. 12): Israel soll JHWH fürchten, ihm dienen und bei seinem Namen schwören – totale religiöse Hingabe als Gegenmittel zum Vergessen. Jesus zitiert diesen Vers in Mt 4,10 und Lk 4,8 in der Versuchungsgeschichte.</w:t>
      </w:r>
    </w:p>
    <w:p w14:paraId="2EE0861B" w14:textId="77777777" w:rsidR="00324616" w:rsidRPr="00324616" w:rsidRDefault="00324616" w:rsidP="00324616">
      <w:pPr>
        <w:spacing w:before="100" w:beforeAutospacing="1" w:after="100" w:afterAutospacing="1" w:line="240" w:lineRule="auto"/>
        <w:outlineLvl w:val="1"/>
        <w:rPr>
          <w:rFonts w:eastAsia="Times New Roman"/>
          <w:b/>
          <w:bCs/>
          <w:sz w:val="36"/>
          <w:szCs w:val="36"/>
          <w:lang w:eastAsia="de-DE"/>
        </w:rPr>
      </w:pPr>
      <w:r w:rsidRPr="00324616">
        <w:rPr>
          <w:rFonts w:eastAsia="Times New Roman"/>
          <w:b/>
          <w:bCs/>
          <w:sz w:val="36"/>
          <w:szCs w:val="36"/>
          <w:lang w:eastAsia="de-DE"/>
        </w:rPr>
        <w:t>Deuteronomium 6,14</w:t>
      </w:r>
    </w:p>
    <w:p w14:paraId="76857779"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Hebräisch:</w:t>
      </w:r>
      <w:r w:rsidRPr="00324616">
        <w:rPr>
          <w:rFonts w:eastAsia="Times New Roman"/>
          <w:lang w:eastAsia="de-DE"/>
        </w:rPr>
        <w:t xml:space="preserve"> </w:t>
      </w:r>
      <w:r w:rsidRPr="00324616">
        <w:rPr>
          <w:rFonts w:eastAsia="Times New Roman"/>
          <w:rtl/>
          <w:lang w:eastAsia="de-DE"/>
        </w:rPr>
        <w:t>לֹא תֵלְכוּן אַחֲרֵי אֱלֹהִים אֲחֵרִים מֵאֱלֹהֵי הָעַמִּים אֲשֶׁר סְבִיבוֹתֵיכֶם׃</w:t>
      </w:r>
    </w:p>
    <w:p w14:paraId="7945499A"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Deutsch:</w:t>
      </w:r>
      <w:r w:rsidRPr="00324616">
        <w:rPr>
          <w:rFonts w:eastAsia="Times New Roman"/>
          <w:lang w:eastAsia="de-DE"/>
        </w:rPr>
        <w:t xml:space="preserve"> Ihr sollt nicht gehen hinter anderen Göttern, von den Göttern der Völker, die rings um euch her sind.</w:t>
      </w:r>
    </w:p>
    <w:p w14:paraId="72258178" w14:textId="77777777" w:rsidR="00324616" w:rsidRPr="00324616" w:rsidRDefault="004F5CEB" w:rsidP="00324616">
      <w:pPr>
        <w:spacing w:after="0" w:line="240" w:lineRule="auto"/>
        <w:rPr>
          <w:rFonts w:eastAsia="Times New Roman"/>
          <w:lang w:eastAsia="de-DE"/>
        </w:rPr>
      </w:pPr>
      <w:r>
        <w:rPr>
          <w:rFonts w:eastAsia="Times New Roman"/>
          <w:noProof/>
          <w:lang w:eastAsia="de-DE"/>
        </w:rPr>
        <w:pict w14:anchorId="41D28E77">
          <v:rect id="_x0000_i1232" style="width:0;height:1.5pt" o:hralign="center" o:hrstd="t" o:hr="t" fillcolor="#a0a0a0" stroked="f"/>
        </w:pict>
      </w:r>
    </w:p>
    <w:p w14:paraId="23E4C16C"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Kommentar:</w:t>
      </w:r>
      <w:r w:rsidRPr="00324616">
        <w:rPr>
          <w:rFonts w:eastAsia="Times New Roman"/>
          <w:lang w:eastAsia="de-DE"/>
        </w:rPr>
        <w:t xml:space="preserve"> </w:t>
      </w:r>
      <w:r w:rsidRPr="00324616">
        <w:rPr>
          <w:rFonts w:eastAsia="Times New Roman"/>
          <w:b/>
          <w:bCs/>
          <w:rtl/>
          <w:lang w:eastAsia="de-DE"/>
        </w:rPr>
        <w:t>לֹא תֵלְכוּן אַחֲרֵי אֱלֹהִים אֲחֵרִים</w:t>
      </w:r>
      <w:r w:rsidRPr="00324616">
        <w:rPr>
          <w:rFonts w:eastAsia="Times New Roman"/>
          <w:rtl/>
          <w:lang w:eastAsia="de-DE"/>
        </w:rPr>
        <w:t xml:space="preserve"> </w:t>
      </w:r>
      <w:r w:rsidRPr="00324616">
        <w:rPr>
          <w:rFonts w:eastAsia="Times New Roman"/>
          <w:lang w:eastAsia="de-DE"/>
        </w:rPr>
        <w:t xml:space="preserve">ist ein prohibitiver Satz: </w:t>
      </w:r>
      <w:r w:rsidRPr="00324616">
        <w:rPr>
          <w:rFonts w:eastAsia="Times New Roman"/>
          <w:b/>
          <w:bCs/>
          <w:rtl/>
          <w:lang w:eastAsia="de-DE"/>
        </w:rPr>
        <w:t>לֹא</w:t>
      </w:r>
      <w:r w:rsidRPr="00324616">
        <w:rPr>
          <w:rFonts w:eastAsia="Times New Roman"/>
          <w:rtl/>
          <w:lang w:eastAsia="de-DE"/>
        </w:rPr>
        <w:t xml:space="preserve"> </w:t>
      </w:r>
      <w:r w:rsidRPr="00324616">
        <w:rPr>
          <w:rFonts w:eastAsia="Times New Roman"/>
          <w:lang w:eastAsia="de-DE"/>
        </w:rPr>
        <w:t xml:space="preserve">als Negation, </w:t>
      </w:r>
      <w:r w:rsidRPr="00324616">
        <w:rPr>
          <w:rFonts w:eastAsia="Times New Roman"/>
          <w:b/>
          <w:bCs/>
          <w:rtl/>
          <w:lang w:eastAsia="de-DE"/>
        </w:rPr>
        <w:t>תֵלְכוּן</w:t>
      </w:r>
      <w:r w:rsidRPr="00324616">
        <w:rPr>
          <w:rFonts w:eastAsia="Times New Roman"/>
          <w:rtl/>
          <w:lang w:eastAsia="de-DE"/>
        </w:rPr>
        <w:t xml:space="preserve"> </w:t>
      </w:r>
      <w:r w:rsidRPr="00324616">
        <w:rPr>
          <w:rFonts w:eastAsia="Times New Roman"/>
          <w:lang w:eastAsia="de-DE"/>
        </w:rPr>
        <w:t xml:space="preserve">als Qal Imperfekt, 2. Person Plural maskulin von </w:t>
      </w:r>
      <w:r w:rsidRPr="00324616">
        <w:rPr>
          <w:rFonts w:eastAsia="Times New Roman"/>
          <w:b/>
          <w:bCs/>
          <w:rtl/>
          <w:lang w:eastAsia="de-DE"/>
        </w:rPr>
        <w:t>הלך</w:t>
      </w:r>
      <w:r w:rsidRPr="00324616">
        <w:rPr>
          <w:rFonts w:eastAsia="Times New Roman"/>
          <w:rtl/>
          <w:lang w:eastAsia="de-DE"/>
        </w:rPr>
        <w:t xml:space="preserve"> </w:t>
      </w:r>
      <w:r w:rsidRPr="00324616">
        <w:rPr>
          <w:rFonts w:eastAsia="Times New Roman"/>
          <w:lang w:eastAsia="de-DE"/>
        </w:rPr>
        <w:t xml:space="preserve">(„gehen") mit paragogischem Nun, </w:t>
      </w:r>
      <w:r w:rsidRPr="00324616">
        <w:rPr>
          <w:rFonts w:eastAsia="Times New Roman"/>
          <w:b/>
          <w:bCs/>
          <w:rtl/>
          <w:lang w:eastAsia="de-DE"/>
        </w:rPr>
        <w:t>אַחֲרֵי אֱלֹהִים אֲחֵרִים</w:t>
      </w:r>
      <w:r w:rsidRPr="00324616">
        <w:rPr>
          <w:rFonts w:eastAsia="Times New Roman"/>
          <w:rtl/>
          <w:lang w:eastAsia="de-DE"/>
        </w:rPr>
        <w:t xml:space="preserve"> </w:t>
      </w:r>
      <w:r w:rsidRPr="00324616">
        <w:rPr>
          <w:rFonts w:eastAsia="Times New Roman"/>
          <w:lang w:eastAsia="de-DE"/>
        </w:rPr>
        <w:t>als präpositionale Richtungsangabe (</w:t>
      </w:r>
      <w:r w:rsidRPr="00324616">
        <w:rPr>
          <w:rFonts w:eastAsia="Times New Roman"/>
          <w:b/>
          <w:bCs/>
          <w:rtl/>
          <w:lang w:eastAsia="de-DE"/>
        </w:rPr>
        <w:t>אַחֲרֵי</w:t>
      </w:r>
      <w:r w:rsidRPr="00324616">
        <w:rPr>
          <w:rFonts w:eastAsia="Times New Roman"/>
          <w:lang w:eastAsia="de-DE"/>
        </w:rPr>
        <w:t xml:space="preserve">, „hinter, nach", mit </w:t>
      </w:r>
      <w:r w:rsidRPr="00324616">
        <w:rPr>
          <w:rFonts w:eastAsia="Times New Roman"/>
          <w:b/>
          <w:bCs/>
          <w:rtl/>
          <w:lang w:eastAsia="de-DE"/>
        </w:rPr>
        <w:t>אֱלֹהִים אֲחֵרִים</w:t>
      </w:r>
      <w:r w:rsidRPr="00324616">
        <w:rPr>
          <w:rFonts w:eastAsia="Times New Roman"/>
          <w:rtl/>
          <w:lang w:eastAsia="de-DE"/>
        </w:rPr>
        <w:t xml:space="preserve"> </w:t>
      </w:r>
      <w:r w:rsidRPr="00324616">
        <w:rPr>
          <w:rFonts w:eastAsia="Times New Roman"/>
          <w:lang w:eastAsia="de-DE"/>
        </w:rPr>
        <w:t xml:space="preserve">– </w:t>
      </w:r>
      <w:r w:rsidRPr="00324616">
        <w:rPr>
          <w:rFonts w:eastAsia="Times New Roman"/>
          <w:b/>
          <w:bCs/>
          <w:rtl/>
          <w:lang w:eastAsia="de-DE"/>
        </w:rPr>
        <w:t>אֱלֹהִים</w:t>
      </w:r>
      <w:r w:rsidRPr="00324616">
        <w:rPr>
          <w:rFonts w:eastAsia="Times New Roman"/>
          <w:rtl/>
          <w:lang w:eastAsia="de-DE"/>
        </w:rPr>
        <w:t xml:space="preserve"> </w:t>
      </w:r>
      <w:r w:rsidRPr="00324616">
        <w:rPr>
          <w:rFonts w:eastAsia="Times New Roman"/>
          <w:lang w:eastAsia="de-DE"/>
        </w:rPr>
        <w:t xml:space="preserve">mit Adjektiv </w:t>
      </w:r>
      <w:r w:rsidRPr="00324616">
        <w:rPr>
          <w:rFonts w:eastAsia="Times New Roman"/>
          <w:b/>
          <w:bCs/>
          <w:rtl/>
          <w:lang w:eastAsia="de-DE"/>
        </w:rPr>
        <w:t>אֲחֵרִים</w:t>
      </w:r>
      <w:r w:rsidRPr="00324616">
        <w:rPr>
          <w:rFonts w:eastAsia="Times New Roman"/>
          <w:lang w:eastAsia="de-DE"/>
        </w:rPr>
        <w:t xml:space="preserve">, „andere", Plural maskulin). Die idiomatische Wendung </w:t>
      </w:r>
      <w:r w:rsidRPr="00324616">
        <w:rPr>
          <w:rFonts w:eastAsia="Times New Roman"/>
          <w:b/>
          <w:bCs/>
          <w:rtl/>
          <w:lang w:eastAsia="de-DE"/>
        </w:rPr>
        <w:t>הלך אַחֲרֵי</w:t>
      </w:r>
      <w:r w:rsidRPr="00324616">
        <w:rPr>
          <w:rFonts w:eastAsia="Times New Roman"/>
          <w:rtl/>
          <w:lang w:eastAsia="de-DE"/>
        </w:rPr>
        <w:t xml:space="preserve"> </w:t>
      </w:r>
      <w:r w:rsidRPr="00324616">
        <w:rPr>
          <w:rFonts w:eastAsia="Times New Roman"/>
          <w:lang w:eastAsia="de-DE"/>
        </w:rPr>
        <w:t>(„hinter jemandem hergehen") bedeutet „jemandem nachfolgen, jemanden verehren".</w:t>
      </w:r>
    </w:p>
    <w:p w14:paraId="19DD0435"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rtl/>
          <w:lang w:eastAsia="de-DE"/>
        </w:rPr>
        <w:t>מֵאֱלֹהֵי הָעַמִּים אֲשֶׁר סְבִיבוֹתֵיכֶם</w:t>
      </w:r>
      <w:r w:rsidRPr="00324616">
        <w:rPr>
          <w:rFonts w:eastAsia="Times New Roman"/>
          <w:rtl/>
          <w:lang w:eastAsia="de-DE"/>
        </w:rPr>
        <w:t xml:space="preserve"> </w:t>
      </w:r>
      <w:r w:rsidRPr="00324616">
        <w:rPr>
          <w:rFonts w:eastAsia="Times New Roman"/>
          <w:lang w:eastAsia="de-DE"/>
        </w:rPr>
        <w:t xml:space="preserve">ist eine appositionelle bzw. partitive Erweiterung: </w:t>
      </w:r>
      <w:r w:rsidRPr="00324616">
        <w:rPr>
          <w:rFonts w:eastAsia="Times New Roman"/>
          <w:b/>
          <w:bCs/>
          <w:rtl/>
          <w:lang w:eastAsia="de-DE"/>
        </w:rPr>
        <w:t>מֵאֱלֹהֵי הָעַמִּים</w:t>
      </w:r>
      <w:r w:rsidRPr="00324616">
        <w:rPr>
          <w:rFonts w:eastAsia="Times New Roman"/>
          <w:rtl/>
          <w:lang w:eastAsia="de-DE"/>
        </w:rPr>
        <w:t xml:space="preserve"> </w:t>
      </w:r>
      <w:r w:rsidRPr="00324616">
        <w:rPr>
          <w:rFonts w:eastAsia="Times New Roman"/>
          <w:lang w:eastAsia="de-DE"/>
        </w:rPr>
        <w:t>(</w:t>
      </w:r>
      <w:r w:rsidRPr="00324616">
        <w:rPr>
          <w:rFonts w:eastAsia="Times New Roman"/>
          <w:b/>
          <w:bCs/>
          <w:rtl/>
          <w:lang w:eastAsia="de-DE"/>
        </w:rPr>
        <w:t>מִן</w:t>
      </w:r>
      <w:r w:rsidRPr="00324616">
        <w:rPr>
          <w:rFonts w:eastAsia="Times New Roman"/>
          <w:rtl/>
          <w:lang w:eastAsia="de-DE"/>
        </w:rPr>
        <w:t xml:space="preserve"> </w:t>
      </w:r>
      <w:r w:rsidRPr="00324616">
        <w:rPr>
          <w:rFonts w:eastAsia="Times New Roman"/>
          <w:lang w:eastAsia="de-DE"/>
        </w:rPr>
        <w:t xml:space="preserve">partitiv mit </w:t>
      </w:r>
      <w:r w:rsidRPr="00324616">
        <w:rPr>
          <w:rFonts w:eastAsia="Times New Roman"/>
          <w:b/>
          <w:bCs/>
          <w:rtl/>
          <w:lang w:eastAsia="de-DE"/>
        </w:rPr>
        <w:t>אֱלֹהִים</w:t>
      </w:r>
      <w:r w:rsidRPr="00324616">
        <w:rPr>
          <w:rFonts w:eastAsia="Times New Roman"/>
          <w:lang w:eastAsia="de-DE"/>
        </w:rPr>
        <w:t xml:space="preserve">, Plural Construct, und </w:t>
      </w:r>
      <w:r w:rsidRPr="00324616">
        <w:rPr>
          <w:rFonts w:eastAsia="Times New Roman"/>
          <w:b/>
          <w:bCs/>
          <w:rtl/>
          <w:lang w:eastAsia="de-DE"/>
        </w:rPr>
        <w:t>עַם</w:t>
      </w:r>
      <w:r w:rsidRPr="00324616">
        <w:rPr>
          <w:rFonts w:eastAsia="Times New Roman"/>
          <w:lang w:eastAsia="de-DE"/>
        </w:rPr>
        <w:t xml:space="preserve">, „Volk", Plural mit Artikel – „von den Göttern der Völker"), </w:t>
      </w:r>
      <w:r w:rsidRPr="00324616">
        <w:rPr>
          <w:rFonts w:eastAsia="Times New Roman"/>
          <w:b/>
          <w:bCs/>
          <w:rtl/>
          <w:lang w:eastAsia="de-DE"/>
        </w:rPr>
        <w:t>אֲשֶׁר סְבִיבוֹתֵיכֶם</w:t>
      </w:r>
      <w:r w:rsidRPr="00324616">
        <w:rPr>
          <w:rFonts w:eastAsia="Times New Roman"/>
          <w:rtl/>
          <w:lang w:eastAsia="de-DE"/>
        </w:rPr>
        <w:t xml:space="preserve"> </w:t>
      </w:r>
      <w:r w:rsidRPr="00324616">
        <w:rPr>
          <w:rFonts w:eastAsia="Times New Roman"/>
          <w:lang w:eastAsia="de-DE"/>
        </w:rPr>
        <w:t>als Relativsatz (</w:t>
      </w:r>
      <w:r w:rsidRPr="00324616">
        <w:rPr>
          <w:rFonts w:eastAsia="Times New Roman"/>
          <w:b/>
          <w:bCs/>
          <w:rtl/>
          <w:lang w:eastAsia="de-DE"/>
        </w:rPr>
        <w:t>אֲשֶׁר</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סָבִיב</w:t>
      </w:r>
      <w:r w:rsidRPr="00324616">
        <w:rPr>
          <w:rFonts w:eastAsia="Times New Roman"/>
          <w:lang w:eastAsia="de-DE"/>
        </w:rPr>
        <w:t>, „ringsum", Plural Construct – substantiviert „Umgebung" – und Suffix 2. Person Plural maskulin – „die rings um euch [sind]").</w:t>
      </w:r>
    </w:p>
    <w:p w14:paraId="4EF73307"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 xml:space="preserve">Der Wechsel von Singular (V. 13: </w:t>
      </w:r>
      <w:r w:rsidRPr="00324616">
        <w:rPr>
          <w:rFonts w:eastAsia="Times New Roman"/>
          <w:b/>
          <w:bCs/>
          <w:rtl/>
          <w:lang w:eastAsia="de-DE"/>
        </w:rPr>
        <w:t>תִּירָא</w:t>
      </w:r>
      <w:r w:rsidRPr="00324616">
        <w:rPr>
          <w:rFonts w:eastAsia="Times New Roman"/>
          <w:lang w:eastAsia="de-DE"/>
        </w:rPr>
        <w:t>) zu Plural (</w:t>
      </w:r>
      <w:r w:rsidRPr="00324616">
        <w:rPr>
          <w:rFonts w:eastAsia="Times New Roman"/>
          <w:b/>
          <w:bCs/>
          <w:rtl/>
          <w:lang w:eastAsia="de-DE"/>
        </w:rPr>
        <w:t>תֵלְכוּן</w:t>
      </w:r>
      <w:r w:rsidRPr="00324616">
        <w:rPr>
          <w:rFonts w:eastAsia="Times New Roman"/>
          <w:lang w:eastAsia="de-DE"/>
        </w:rPr>
        <w:t xml:space="preserve">) ist charakteristisch deuteronomisch und unterstreicht die kollektive Verantwortung beim Verbot der Fremdgötterverehrung. Das paragogische Nun an </w:t>
      </w:r>
      <w:r w:rsidRPr="00324616">
        <w:rPr>
          <w:rFonts w:eastAsia="Times New Roman"/>
          <w:b/>
          <w:bCs/>
          <w:rtl/>
          <w:lang w:eastAsia="de-DE"/>
        </w:rPr>
        <w:t>תֵלְכוּן</w:t>
      </w:r>
      <w:r w:rsidRPr="00324616">
        <w:rPr>
          <w:rFonts w:eastAsia="Times New Roman"/>
          <w:rtl/>
          <w:lang w:eastAsia="de-DE"/>
        </w:rPr>
        <w:t xml:space="preserve"> </w:t>
      </w:r>
      <w:r w:rsidRPr="00324616">
        <w:rPr>
          <w:rFonts w:eastAsia="Times New Roman"/>
          <w:lang w:eastAsia="de-DE"/>
        </w:rPr>
        <w:t xml:space="preserve">verleiht dem Verbot feierlichen Nachdruck. Die Wendung </w:t>
      </w:r>
      <w:r w:rsidRPr="00324616">
        <w:rPr>
          <w:rFonts w:eastAsia="Times New Roman"/>
          <w:b/>
          <w:bCs/>
          <w:rtl/>
          <w:lang w:eastAsia="de-DE"/>
        </w:rPr>
        <w:t>אֱלֹהֵי הָעַמִּים</w:t>
      </w:r>
      <w:r w:rsidRPr="00324616">
        <w:rPr>
          <w:rFonts w:eastAsia="Times New Roman"/>
          <w:rtl/>
          <w:lang w:eastAsia="de-DE"/>
        </w:rPr>
        <w:t xml:space="preserve"> </w:t>
      </w:r>
      <w:r w:rsidRPr="00324616">
        <w:rPr>
          <w:rFonts w:eastAsia="Times New Roman"/>
          <w:lang w:eastAsia="de-DE"/>
        </w:rPr>
        <w:t>(„Götter der Völker") ist typisch deuteronomisch und betont den Kontrast zwischen JHWH, dem Gott Israels, und den Göttern der umgebenden Völker.</w:t>
      </w:r>
    </w:p>
    <w:p w14:paraId="7C6D8235"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Die Satzstruktur ist ein prohibitiver Satz mit Negation, Prädikat mit paragogischem Nun und idiomatischer Richtungsangabe, erweitert durch eine partitive Apposition (in Construct-Verbindung) mit Relativsatz. Die Struktur warnt vor der konkreten Versuchung durch die Götter der Nachbarvölker.</w:t>
      </w:r>
    </w:p>
    <w:p w14:paraId="10293653"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lastRenderedPageBreak/>
        <w:t>Der Vers warnt vor dem Götzendienst: Israel soll nicht den Göttern der umgebenden Völker nachfolgen – eine ständige Versuchung nach der Landnahme.</w:t>
      </w:r>
    </w:p>
    <w:p w14:paraId="1815C66D" w14:textId="77777777" w:rsidR="00324616" w:rsidRPr="00324616" w:rsidRDefault="00324616" w:rsidP="00324616">
      <w:pPr>
        <w:spacing w:before="100" w:beforeAutospacing="1" w:after="100" w:afterAutospacing="1" w:line="240" w:lineRule="auto"/>
        <w:outlineLvl w:val="1"/>
        <w:rPr>
          <w:rFonts w:eastAsia="Times New Roman"/>
          <w:b/>
          <w:bCs/>
          <w:sz w:val="36"/>
          <w:szCs w:val="36"/>
          <w:lang w:eastAsia="de-DE"/>
        </w:rPr>
      </w:pPr>
      <w:r w:rsidRPr="00324616">
        <w:rPr>
          <w:rFonts w:eastAsia="Times New Roman"/>
          <w:b/>
          <w:bCs/>
          <w:sz w:val="36"/>
          <w:szCs w:val="36"/>
          <w:lang w:eastAsia="de-DE"/>
        </w:rPr>
        <w:t>Deuteronomium 6,15</w:t>
      </w:r>
    </w:p>
    <w:p w14:paraId="166A06E3"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Hebräisch:</w:t>
      </w:r>
      <w:r w:rsidRPr="00324616">
        <w:rPr>
          <w:rFonts w:eastAsia="Times New Roman"/>
          <w:lang w:eastAsia="de-DE"/>
        </w:rPr>
        <w:t xml:space="preserve"> </w:t>
      </w:r>
      <w:r w:rsidRPr="00324616">
        <w:rPr>
          <w:rFonts w:eastAsia="Times New Roman"/>
          <w:rtl/>
          <w:lang w:eastAsia="de-DE"/>
        </w:rPr>
        <w:t>כִּי אֵל קַנָּא יְהוָה אֱלֹהֶיךָ בְּקִרְבֶּךָ פֶּן־יֶחֱרֶה אַף־יְהוָה אֱלֹהֶיךָ בָּךְ וְהִשְׁמִידְךָ מֵעַל פְּנֵי הָאֲדָמָה׃</w:t>
      </w:r>
    </w:p>
    <w:p w14:paraId="7C96EA48"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Deutsch:</w:t>
      </w:r>
      <w:r w:rsidRPr="00324616">
        <w:rPr>
          <w:rFonts w:eastAsia="Times New Roman"/>
          <w:lang w:eastAsia="de-DE"/>
        </w:rPr>
        <w:t xml:space="preserve"> denn ein eifersüchtiger Gott ist der Ewige, dein Gott, in deiner Mitte: damit nicht entbrenne der Zorn des Ewigen, deines Gottes, gegen dich und er dich vertilge vom Angesicht des Erdbodens.</w:t>
      </w:r>
    </w:p>
    <w:p w14:paraId="44A6D8B9" w14:textId="77777777" w:rsidR="00324616" w:rsidRPr="00324616" w:rsidRDefault="004F5CEB" w:rsidP="00324616">
      <w:pPr>
        <w:spacing w:after="0" w:line="240" w:lineRule="auto"/>
        <w:rPr>
          <w:rFonts w:eastAsia="Times New Roman"/>
          <w:lang w:eastAsia="de-DE"/>
        </w:rPr>
      </w:pPr>
      <w:r>
        <w:rPr>
          <w:rFonts w:eastAsia="Times New Roman"/>
          <w:noProof/>
          <w:lang w:eastAsia="de-DE"/>
        </w:rPr>
        <w:pict w14:anchorId="45B040D6">
          <v:rect id="_x0000_i1233" style="width:0;height:1.5pt" o:hralign="center" o:hrstd="t" o:hr="t" fillcolor="#a0a0a0" stroked="f"/>
        </w:pict>
      </w:r>
    </w:p>
    <w:p w14:paraId="4FD501C1"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Kommentar:</w:t>
      </w:r>
      <w:r w:rsidRPr="00324616">
        <w:rPr>
          <w:rFonts w:eastAsia="Times New Roman"/>
          <w:lang w:eastAsia="de-DE"/>
        </w:rPr>
        <w:t xml:space="preserve"> </w:t>
      </w:r>
      <w:r w:rsidRPr="00324616">
        <w:rPr>
          <w:rFonts w:eastAsia="Times New Roman"/>
          <w:b/>
          <w:bCs/>
          <w:rtl/>
          <w:lang w:eastAsia="de-DE"/>
        </w:rPr>
        <w:t>כִּי אֵל קַנָּא יְהוָה אֱלֹהֶיךָ בְּקִרְבֶּךָ</w:t>
      </w:r>
      <w:r w:rsidRPr="00324616">
        <w:rPr>
          <w:rFonts w:eastAsia="Times New Roman"/>
          <w:rtl/>
          <w:lang w:eastAsia="de-DE"/>
        </w:rPr>
        <w:t xml:space="preserve"> </w:t>
      </w:r>
      <w:r w:rsidRPr="00324616">
        <w:rPr>
          <w:rFonts w:eastAsia="Times New Roman"/>
          <w:lang w:eastAsia="de-DE"/>
        </w:rPr>
        <w:t xml:space="preserve">ist ein kausaler nominaler Satz: </w:t>
      </w:r>
      <w:r w:rsidRPr="00324616">
        <w:rPr>
          <w:rFonts w:eastAsia="Times New Roman"/>
          <w:b/>
          <w:bCs/>
          <w:rtl/>
          <w:lang w:eastAsia="de-DE"/>
        </w:rPr>
        <w:t>כִּי</w:t>
      </w:r>
      <w:r w:rsidRPr="00324616">
        <w:rPr>
          <w:rFonts w:eastAsia="Times New Roman"/>
          <w:rtl/>
          <w:lang w:eastAsia="de-DE"/>
        </w:rPr>
        <w:t xml:space="preserve"> </w:t>
      </w:r>
      <w:r w:rsidRPr="00324616">
        <w:rPr>
          <w:rFonts w:eastAsia="Times New Roman"/>
          <w:lang w:eastAsia="de-DE"/>
        </w:rPr>
        <w:t xml:space="preserve">als Konjunktion („denn"), </w:t>
      </w:r>
      <w:r w:rsidRPr="00324616">
        <w:rPr>
          <w:rFonts w:eastAsia="Times New Roman"/>
          <w:b/>
          <w:bCs/>
          <w:rtl/>
          <w:lang w:eastAsia="de-DE"/>
        </w:rPr>
        <w:t>אֵל קַנָּא</w:t>
      </w:r>
      <w:r w:rsidRPr="00324616">
        <w:rPr>
          <w:rFonts w:eastAsia="Times New Roman"/>
          <w:rtl/>
          <w:lang w:eastAsia="de-DE"/>
        </w:rPr>
        <w:t xml:space="preserve"> </w:t>
      </w:r>
      <w:r w:rsidRPr="00324616">
        <w:rPr>
          <w:rFonts w:eastAsia="Times New Roman"/>
          <w:lang w:eastAsia="de-DE"/>
        </w:rPr>
        <w:t>als vorausgestelltes Prädikatsnomen (</w:t>
      </w:r>
      <w:r w:rsidRPr="00324616">
        <w:rPr>
          <w:rFonts w:eastAsia="Times New Roman"/>
          <w:b/>
          <w:bCs/>
          <w:rtl/>
          <w:lang w:eastAsia="de-DE"/>
        </w:rPr>
        <w:t>אֵל</w:t>
      </w:r>
      <w:r w:rsidRPr="00324616">
        <w:rPr>
          <w:rFonts w:eastAsia="Times New Roman"/>
          <w:lang w:eastAsia="de-DE"/>
        </w:rPr>
        <w:t xml:space="preserve">, „Gott", mit </w:t>
      </w:r>
      <w:r w:rsidRPr="00324616">
        <w:rPr>
          <w:rFonts w:eastAsia="Times New Roman"/>
          <w:b/>
          <w:bCs/>
          <w:rtl/>
          <w:lang w:eastAsia="de-DE"/>
        </w:rPr>
        <w:t>קַנָּא</w:t>
      </w:r>
      <w:r w:rsidRPr="00324616">
        <w:rPr>
          <w:rFonts w:eastAsia="Times New Roman"/>
          <w:rtl/>
          <w:lang w:eastAsia="de-DE"/>
        </w:rPr>
        <w:t xml:space="preserve"> </w:t>
      </w:r>
      <w:r w:rsidRPr="00324616">
        <w:rPr>
          <w:rFonts w:eastAsia="Times New Roman"/>
          <w:lang w:eastAsia="de-DE"/>
        </w:rPr>
        <w:t xml:space="preserve">– Adjektiv bzw. Qal Partizip von </w:t>
      </w:r>
      <w:r w:rsidRPr="00324616">
        <w:rPr>
          <w:rFonts w:eastAsia="Times New Roman"/>
          <w:b/>
          <w:bCs/>
          <w:rtl/>
          <w:lang w:eastAsia="de-DE"/>
        </w:rPr>
        <w:t>קנא</w:t>
      </w:r>
      <w:r w:rsidRPr="00324616">
        <w:rPr>
          <w:rFonts w:eastAsia="Times New Roman"/>
          <w:lang w:eastAsia="de-DE"/>
        </w:rPr>
        <w:t xml:space="preserve">, „eifersüchtig sein, eifern" – „eifersüchtiger Gott"), </w:t>
      </w:r>
      <w:r w:rsidRPr="00324616">
        <w:rPr>
          <w:rFonts w:eastAsia="Times New Roman"/>
          <w:b/>
          <w:bCs/>
          <w:rtl/>
          <w:lang w:eastAsia="de-DE"/>
        </w:rPr>
        <w:t>יְהוָה אֱלֹהֶיךָ</w:t>
      </w:r>
      <w:r w:rsidRPr="00324616">
        <w:rPr>
          <w:rFonts w:eastAsia="Times New Roman"/>
          <w:rtl/>
          <w:lang w:eastAsia="de-DE"/>
        </w:rPr>
        <w:t xml:space="preserve"> </w:t>
      </w:r>
      <w:r w:rsidRPr="00324616">
        <w:rPr>
          <w:rFonts w:eastAsia="Times New Roman"/>
          <w:lang w:eastAsia="de-DE"/>
        </w:rPr>
        <w:t xml:space="preserve">als erweitertes Subjekt, </w:t>
      </w:r>
      <w:r w:rsidRPr="00324616">
        <w:rPr>
          <w:rFonts w:eastAsia="Times New Roman"/>
          <w:b/>
          <w:bCs/>
          <w:rtl/>
          <w:lang w:eastAsia="de-DE"/>
        </w:rPr>
        <w:t>בְּקִרְבֶּךָ</w:t>
      </w:r>
      <w:r w:rsidRPr="00324616">
        <w:rPr>
          <w:rFonts w:eastAsia="Times New Roman"/>
          <w:rtl/>
          <w:lang w:eastAsia="de-DE"/>
        </w:rPr>
        <w:t xml:space="preserve"> </w:t>
      </w:r>
      <w:r w:rsidRPr="00324616">
        <w:rPr>
          <w:rFonts w:eastAsia="Times New Roman"/>
          <w:lang w:eastAsia="de-DE"/>
        </w:rPr>
        <w:t>als Ortsangabe (</w:t>
      </w:r>
      <w:r w:rsidRPr="00324616">
        <w:rPr>
          <w:rFonts w:eastAsia="Times New Roman"/>
          <w:b/>
          <w:bCs/>
          <w:rtl/>
          <w:lang w:eastAsia="de-DE"/>
        </w:rPr>
        <w:t>בְּ</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קֶרֶב</w:t>
      </w:r>
      <w:r w:rsidRPr="00324616">
        <w:rPr>
          <w:rFonts w:eastAsia="Times New Roman"/>
          <w:lang w:eastAsia="de-DE"/>
        </w:rPr>
        <w:t>, „Inneres, Mitte", und Suffix 2. Person Singular maskulin – „in deiner Mitte").</w:t>
      </w:r>
    </w:p>
    <w:p w14:paraId="39B12D11" w14:textId="6ECCDC9D"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rtl/>
          <w:lang w:eastAsia="de-DE"/>
        </w:rPr>
        <w:t>פֶּן־יֶחֱרֶה אַף־יְהוָה אֱלֹהֶיךָ בָּךְ</w:t>
      </w:r>
      <w:r w:rsidRPr="00324616">
        <w:rPr>
          <w:rFonts w:eastAsia="Times New Roman"/>
          <w:rtl/>
          <w:lang w:eastAsia="de-DE"/>
        </w:rPr>
        <w:t xml:space="preserve"> </w:t>
      </w:r>
      <w:r w:rsidRPr="00324616">
        <w:rPr>
          <w:rFonts w:eastAsia="Times New Roman"/>
          <w:lang w:eastAsia="de-DE"/>
        </w:rPr>
        <w:t xml:space="preserve">ist eine konsekutive Warnung: </w:t>
      </w:r>
      <w:r w:rsidRPr="00324616">
        <w:rPr>
          <w:rFonts w:eastAsia="Times New Roman"/>
          <w:b/>
          <w:bCs/>
          <w:rtl/>
          <w:lang w:eastAsia="de-DE"/>
        </w:rPr>
        <w:t>פֶּן</w:t>
      </w:r>
      <w:r w:rsidRPr="00324616">
        <w:rPr>
          <w:rFonts w:eastAsia="Times New Roman"/>
          <w:rtl/>
          <w:lang w:eastAsia="de-DE"/>
        </w:rPr>
        <w:t xml:space="preserve"> </w:t>
      </w:r>
      <w:r w:rsidRPr="00324616">
        <w:rPr>
          <w:rFonts w:eastAsia="Times New Roman"/>
          <w:lang w:eastAsia="de-DE"/>
        </w:rPr>
        <w:t xml:space="preserve">(„damit nicht, dass nicht"), </w:t>
      </w:r>
      <w:r w:rsidRPr="00324616">
        <w:rPr>
          <w:rFonts w:eastAsia="Times New Roman"/>
          <w:b/>
          <w:bCs/>
          <w:rtl/>
          <w:lang w:eastAsia="de-DE"/>
        </w:rPr>
        <w:t>יֶחֱרֶה</w:t>
      </w:r>
      <w:r w:rsidRPr="00324616">
        <w:rPr>
          <w:rFonts w:eastAsia="Times New Roman"/>
          <w:rtl/>
          <w:lang w:eastAsia="de-DE"/>
        </w:rPr>
        <w:t xml:space="preserve"> </w:t>
      </w:r>
      <w:r w:rsidRPr="00324616">
        <w:rPr>
          <w:rFonts w:eastAsia="Times New Roman"/>
          <w:lang w:eastAsia="de-DE"/>
        </w:rPr>
        <w:t xml:space="preserve">als Qal Imperfekt, 3. Person Singular maskulin von </w:t>
      </w:r>
      <w:r w:rsidRPr="00324616">
        <w:rPr>
          <w:rFonts w:eastAsia="Times New Roman"/>
          <w:b/>
          <w:bCs/>
          <w:rtl/>
          <w:lang w:eastAsia="de-DE"/>
        </w:rPr>
        <w:t>חרה</w:t>
      </w:r>
      <w:r w:rsidRPr="00324616">
        <w:rPr>
          <w:rFonts w:eastAsia="Times New Roman"/>
          <w:rtl/>
          <w:lang w:eastAsia="de-DE"/>
        </w:rPr>
        <w:t xml:space="preserve"> </w:t>
      </w:r>
      <w:r w:rsidRPr="00324616">
        <w:rPr>
          <w:rFonts w:eastAsia="Times New Roman"/>
          <w:lang w:eastAsia="de-DE"/>
        </w:rPr>
        <w:t xml:space="preserve">(„brennen, entbrennen"), </w:t>
      </w:r>
      <w:r w:rsidRPr="00324616">
        <w:rPr>
          <w:rFonts w:eastAsia="Times New Roman"/>
          <w:b/>
          <w:bCs/>
          <w:rtl/>
          <w:lang w:eastAsia="de-DE"/>
        </w:rPr>
        <w:t>אַף־יְהוָה אֱלֹהֶיךָ</w:t>
      </w:r>
      <w:r w:rsidRPr="00324616">
        <w:rPr>
          <w:rFonts w:eastAsia="Times New Roman"/>
          <w:rtl/>
          <w:lang w:eastAsia="de-DE"/>
        </w:rPr>
        <w:t xml:space="preserve"> </w:t>
      </w:r>
      <w:r w:rsidRPr="00324616">
        <w:rPr>
          <w:rFonts w:eastAsia="Times New Roman"/>
          <w:lang w:eastAsia="de-DE"/>
        </w:rPr>
        <w:t>als Subjekt (</w:t>
      </w:r>
      <w:r w:rsidRPr="00324616">
        <w:rPr>
          <w:rFonts w:eastAsia="Times New Roman"/>
          <w:b/>
          <w:bCs/>
          <w:rtl/>
          <w:lang w:eastAsia="de-DE"/>
        </w:rPr>
        <w:t>אַף</w:t>
      </w:r>
      <w:r w:rsidRPr="00324616">
        <w:rPr>
          <w:rFonts w:eastAsia="Times New Roman"/>
          <w:lang w:eastAsia="de-DE"/>
        </w:rPr>
        <w:t xml:space="preserve">, „Zorn, Nase", mit </w:t>
      </w:r>
      <w:r>
        <w:rPr>
          <w:rFonts w:eastAsia="Times New Roman"/>
          <w:lang w:eastAsia="de-DE"/>
        </w:rPr>
        <w:t>Maqqef</w:t>
      </w:r>
      <w:r w:rsidRPr="00324616">
        <w:rPr>
          <w:rFonts w:eastAsia="Times New Roman"/>
          <w:lang w:eastAsia="de-DE"/>
        </w:rPr>
        <w:t xml:space="preserve">, </w:t>
      </w:r>
      <w:r w:rsidRPr="00324616">
        <w:rPr>
          <w:rFonts w:eastAsia="Times New Roman"/>
          <w:b/>
          <w:bCs/>
          <w:rtl/>
          <w:lang w:eastAsia="de-DE"/>
        </w:rPr>
        <w:t>יְהוָה אֱלֹהֶיךָ</w:t>
      </w:r>
      <w:r w:rsidRPr="00324616">
        <w:rPr>
          <w:rFonts w:eastAsia="Times New Roman"/>
          <w:rtl/>
          <w:lang w:eastAsia="de-DE"/>
        </w:rPr>
        <w:t xml:space="preserve"> </w:t>
      </w:r>
      <w:r w:rsidRPr="00324616">
        <w:rPr>
          <w:rFonts w:eastAsia="Times New Roman"/>
          <w:lang w:eastAsia="de-DE"/>
        </w:rPr>
        <w:t xml:space="preserve">– „der Zorn JHWHs, deines Gottes"), </w:t>
      </w:r>
      <w:r w:rsidRPr="00324616">
        <w:rPr>
          <w:rFonts w:eastAsia="Times New Roman"/>
          <w:b/>
          <w:bCs/>
          <w:rtl/>
          <w:lang w:eastAsia="de-DE"/>
        </w:rPr>
        <w:t>בָּךְ</w:t>
      </w:r>
      <w:r w:rsidRPr="00324616">
        <w:rPr>
          <w:rFonts w:eastAsia="Times New Roman"/>
          <w:rtl/>
          <w:lang w:eastAsia="de-DE"/>
        </w:rPr>
        <w:t xml:space="preserve"> </w:t>
      </w:r>
      <w:r w:rsidRPr="00324616">
        <w:rPr>
          <w:rFonts w:eastAsia="Times New Roman"/>
          <w:lang w:eastAsia="de-DE"/>
        </w:rPr>
        <w:t>als Richtungsangabe (</w:t>
      </w:r>
      <w:r w:rsidRPr="00324616">
        <w:rPr>
          <w:rFonts w:eastAsia="Times New Roman"/>
          <w:b/>
          <w:bCs/>
          <w:rtl/>
          <w:lang w:eastAsia="de-DE"/>
        </w:rPr>
        <w:t>בְּ</w:t>
      </w:r>
      <w:r w:rsidRPr="00324616">
        <w:rPr>
          <w:rFonts w:eastAsia="Times New Roman"/>
          <w:rtl/>
          <w:lang w:eastAsia="de-DE"/>
        </w:rPr>
        <w:t xml:space="preserve"> </w:t>
      </w:r>
      <w:r w:rsidRPr="00324616">
        <w:rPr>
          <w:rFonts w:eastAsia="Times New Roman"/>
          <w:lang w:eastAsia="de-DE"/>
        </w:rPr>
        <w:t xml:space="preserve">mit Suffix 2. Person Singular maskulin – „gegen dich"). Die Wendung </w:t>
      </w:r>
      <w:r w:rsidRPr="00324616">
        <w:rPr>
          <w:rFonts w:eastAsia="Times New Roman"/>
          <w:b/>
          <w:bCs/>
          <w:rtl/>
          <w:lang w:eastAsia="de-DE"/>
        </w:rPr>
        <w:t>חרה אַף</w:t>
      </w:r>
      <w:r w:rsidRPr="00324616">
        <w:rPr>
          <w:rFonts w:eastAsia="Times New Roman"/>
          <w:rtl/>
          <w:lang w:eastAsia="de-DE"/>
        </w:rPr>
        <w:t xml:space="preserve"> </w:t>
      </w:r>
      <w:r w:rsidRPr="00324616">
        <w:rPr>
          <w:rFonts w:eastAsia="Times New Roman"/>
          <w:lang w:eastAsia="de-DE"/>
        </w:rPr>
        <w:t>(„der Zorn entbrennt") ist eine feststehende Formel für göttlichen Zorn (wörtlich: „die Nase brennt").</w:t>
      </w:r>
    </w:p>
    <w:p w14:paraId="5D1ACADA"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rtl/>
          <w:lang w:eastAsia="de-DE"/>
        </w:rPr>
        <w:t>וְהִשְׁמִידְךָ מֵעַל פְּנֵי הָאֲדָמָה</w:t>
      </w:r>
      <w:r w:rsidRPr="00324616">
        <w:rPr>
          <w:rFonts w:eastAsia="Times New Roman"/>
          <w:rtl/>
          <w:lang w:eastAsia="de-DE"/>
        </w:rPr>
        <w:t xml:space="preserve"> </w:t>
      </w:r>
      <w:r w:rsidRPr="00324616">
        <w:rPr>
          <w:rFonts w:eastAsia="Times New Roman"/>
          <w:lang w:eastAsia="de-DE"/>
        </w:rPr>
        <w:t xml:space="preserve">ist koordiniert: </w:t>
      </w:r>
      <w:r w:rsidRPr="00324616">
        <w:rPr>
          <w:rFonts w:eastAsia="Times New Roman"/>
          <w:b/>
          <w:bCs/>
          <w:rtl/>
          <w:lang w:eastAsia="de-DE"/>
        </w:rPr>
        <w:t>וְהִשְׁמִידְךָ</w:t>
      </w:r>
      <w:r w:rsidRPr="00324616">
        <w:rPr>
          <w:rFonts w:eastAsia="Times New Roman"/>
          <w:rtl/>
          <w:lang w:eastAsia="de-DE"/>
        </w:rPr>
        <w:t xml:space="preserve"> </w:t>
      </w:r>
      <w:r w:rsidRPr="00324616">
        <w:rPr>
          <w:rFonts w:eastAsia="Times New Roman"/>
          <w:lang w:eastAsia="de-DE"/>
        </w:rPr>
        <w:t xml:space="preserve">(Hifil Perfekt consecutivum, 3. Person Singular maskulin von </w:t>
      </w:r>
      <w:r w:rsidRPr="00324616">
        <w:rPr>
          <w:rFonts w:eastAsia="Times New Roman"/>
          <w:b/>
          <w:bCs/>
          <w:rtl/>
          <w:lang w:eastAsia="de-DE"/>
        </w:rPr>
        <w:t>שׁמד</w:t>
      </w:r>
      <w:r w:rsidRPr="00324616">
        <w:rPr>
          <w:rFonts w:eastAsia="Times New Roman"/>
          <w:lang w:eastAsia="de-DE"/>
        </w:rPr>
        <w:t xml:space="preserve">, „vernichten, vertilgen", mit </w:t>
      </w:r>
      <w:r w:rsidRPr="00324616">
        <w:rPr>
          <w:rFonts w:eastAsia="Times New Roman"/>
          <w:b/>
          <w:bCs/>
          <w:rtl/>
          <w:lang w:eastAsia="de-DE"/>
        </w:rPr>
        <w:t>וְ</w:t>
      </w:r>
      <w:r w:rsidRPr="00324616">
        <w:rPr>
          <w:rFonts w:eastAsia="Times New Roman"/>
          <w:rtl/>
          <w:lang w:eastAsia="de-DE"/>
        </w:rPr>
        <w:t xml:space="preserve"> </w:t>
      </w:r>
      <w:r w:rsidRPr="00324616">
        <w:rPr>
          <w:rFonts w:eastAsia="Times New Roman"/>
          <w:lang w:eastAsia="de-DE"/>
        </w:rPr>
        <w:t xml:space="preserve">und Suffix 2. Person Singular maskulin als direktes Objekt), </w:t>
      </w:r>
      <w:r w:rsidRPr="00324616">
        <w:rPr>
          <w:rFonts w:eastAsia="Times New Roman"/>
          <w:b/>
          <w:bCs/>
          <w:rtl/>
          <w:lang w:eastAsia="de-DE"/>
        </w:rPr>
        <w:t>מֵעַל פְּנֵי הָאֲדָמָה</w:t>
      </w:r>
      <w:r w:rsidRPr="00324616">
        <w:rPr>
          <w:rFonts w:eastAsia="Times New Roman"/>
          <w:rtl/>
          <w:lang w:eastAsia="de-DE"/>
        </w:rPr>
        <w:t xml:space="preserve"> </w:t>
      </w:r>
      <w:r w:rsidRPr="00324616">
        <w:rPr>
          <w:rFonts w:eastAsia="Times New Roman"/>
          <w:lang w:eastAsia="de-DE"/>
        </w:rPr>
        <w:t>als Herkunftsangabe (</w:t>
      </w:r>
      <w:r w:rsidRPr="00324616">
        <w:rPr>
          <w:rFonts w:eastAsia="Times New Roman"/>
          <w:b/>
          <w:bCs/>
          <w:rtl/>
          <w:lang w:eastAsia="de-DE"/>
        </w:rPr>
        <w:t>מֵעַל פְּנֵי</w:t>
      </w:r>
      <w:r w:rsidRPr="00324616">
        <w:rPr>
          <w:rFonts w:eastAsia="Times New Roman"/>
          <w:rtl/>
          <w:lang w:eastAsia="de-DE"/>
        </w:rPr>
        <w:t xml:space="preserve"> </w:t>
      </w:r>
      <w:r w:rsidRPr="00324616">
        <w:rPr>
          <w:rFonts w:eastAsia="Times New Roman"/>
          <w:lang w:eastAsia="de-DE"/>
        </w:rPr>
        <w:t xml:space="preserve">– „von der Oberfläche von", mit </w:t>
      </w:r>
      <w:r w:rsidRPr="00324616">
        <w:rPr>
          <w:rFonts w:eastAsia="Times New Roman"/>
          <w:b/>
          <w:bCs/>
          <w:rtl/>
          <w:lang w:eastAsia="de-DE"/>
        </w:rPr>
        <w:t>אֲדָמָה</w:t>
      </w:r>
      <w:r w:rsidRPr="00324616">
        <w:rPr>
          <w:rFonts w:eastAsia="Times New Roman"/>
          <w:lang w:eastAsia="de-DE"/>
        </w:rPr>
        <w:t>, „Erdboden, Ackerland", mit Artikel).</w:t>
      </w:r>
    </w:p>
    <w:p w14:paraId="67E4F9B0" w14:textId="132C557F"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 xml:space="preserve">Die Begründung mit JHWHs eifersüchtigem Wesen greift 5,9 auf. Der Begriff </w:t>
      </w:r>
      <w:r w:rsidRPr="00324616">
        <w:rPr>
          <w:rFonts w:eastAsia="Times New Roman"/>
          <w:b/>
          <w:bCs/>
          <w:rtl/>
          <w:lang w:eastAsia="de-DE"/>
        </w:rPr>
        <w:t>אֵל קַנָּא</w:t>
      </w:r>
      <w:r w:rsidRPr="00324616">
        <w:rPr>
          <w:rFonts w:eastAsia="Times New Roman"/>
          <w:rtl/>
          <w:lang w:eastAsia="de-DE"/>
        </w:rPr>
        <w:t xml:space="preserve"> </w:t>
      </w:r>
      <w:r w:rsidRPr="00324616">
        <w:rPr>
          <w:rFonts w:eastAsia="Times New Roman"/>
          <w:lang w:eastAsia="de-DE"/>
        </w:rPr>
        <w:t xml:space="preserve">drückt JHWHs ausschließlichen Anspruch auf Israels Verehrung aus. Die Betonung </w:t>
      </w:r>
      <w:r w:rsidRPr="00324616">
        <w:rPr>
          <w:rFonts w:eastAsia="Times New Roman"/>
          <w:b/>
          <w:bCs/>
          <w:rtl/>
          <w:lang w:eastAsia="de-DE"/>
        </w:rPr>
        <w:t>בְּקִרְבֶּךָ</w:t>
      </w:r>
      <w:r w:rsidRPr="00324616">
        <w:rPr>
          <w:rFonts w:eastAsia="Times New Roman"/>
          <w:rtl/>
          <w:lang w:eastAsia="de-DE"/>
        </w:rPr>
        <w:t xml:space="preserve"> </w:t>
      </w:r>
      <w:r w:rsidRPr="00324616">
        <w:rPr>
          <w:rFonts w:eastAsia="Times New Roman"/>
          <w:lang w:eastAsia="de-DE"/>
        </w:rPr>
        <w:t xml:space="preserve">(„in deiner Mitte") unterstreicht JHWHs unmittelbare Präsenz mitten in Israel, was die </w:t>
      </w:r>
      <w:r w:rsidR="00D84597">
        <w:rPr>
          <w:rFonts w:eastAsia="Times New Roman"/>
          <w:lang w:eastAsia="de-DE"/>
        </w:rPr>
        <w:t>Gefahr</w:t>
      </w:r>
      <w:r w:rsidRPr="00324616">
        <w:rPr>
          <w:rFonts w:eastAsia="Times New Roman"/>
          <w:lang w:eastAsia="de-DE"/>
        </w:rPr>
        <w:t xml:space="preserve"> des Zorns bei Untreue erhöht. Die drastische Formulierung </w:t>
      </w:r>
      <w:r w:rsidRPr="00324616">
        <w:rPr>
          <w:rFonts w:eastAsia="Times New Roman"/>
          <w:b/>
          <w:bCs/>
          <w:rtl/>
          <w:lang w:eastAsia="de-DE"/>
        </w:rPr>
        <w:t>וְהִשְׁמִידְךָ מֵעַל פְּנֵי הָאֲדָמָה</w:t>
      </w:r>
      <w:r w:rsidRPr="00324616">
        <w:rPr>
          <w:rFonts w:eastAsia="Times New Roman"/>
          <w:rtl/>
          <w:lang w:eastAsia="de-DE"/>
        </w:rPr>
        <w:t xml:space="preserve"> </w:t>
      </w:r>
      <w:r w:rsidRPr="00324616">
        <w:rPr>
          <w:rFonts w:eastAsia="Times New Roman"/>
          <w:lang w:eastAsia="de-DE"/>
        </w:rPr>
        <w:t>(„dich vertilgen vom Angesicht des Erdbodens") drückt die totale Vernichtung aus.</w:t>
      </w:r>
    </w:p>
    <w:p w14:paraId="564BD5BD"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 xml:space="preserve">Die Satzstruktur ist ein kausaler nominaler Satz mit vorausgestelltem Prädikatsnomen, erweitertem Subjekt und Ortsangabe, gefolgt von einer </w:t>
      </w:r>
      <w:r w:rsidRPr="00324616">
        <w:rPr>
          <w:rFonts w:eastAsia="Times New Roman"/>
          <w:b/>
          <w:bCs/>
          <w:rtl/>
          <w:lang w:eastAsia="de-DE"/>
        </w:rPr>
        <w:t>פֶּן</w:t>
      </w:r>
      <w:r w:rsidRPr="00324616">
        <w:rPr>
          <w:rFonts w:eastAsia="Times New Roman"/>
          <w:lang w:eastAsia="de-DE"/>
        </w:rPr>
        <w:t>-Warnung (mit Prädikat, Subjekt in Construct-Verbindung und Richtungsangabe) und einem koordinierten Perfekt consecutivum mit Suffix-Objekt und Herkunftsangabe. Die Struktur verbindet die theologische Begründung (JHWHs eifersüchtiges Wesen) mit der drastischen Konsequenz (Vernichtung).</w:t>
      </w:r>
    </w:p>
    <w:p w14:paraId="365396B7"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Der Vers begründet das Verbot von V. 14: JHWH ist ein eifersüchtiger Gott, der mitten in Israel gegenwärtig ist. Götzendienst könnte seinen Zorn entfachen und zur völligen Vernichtung Israels führen.</w:t>
      </w:r>
    </w:p>
    <w:p w14:paraId="3FC9C944" w14:textId="77777777" w:rsidR="00324616" w:rsidRPr="00324616" w:rsidRDefault="00324616" w:rsidP="00324616">
      <w:pPr>
        <w:spacing w:before="100" w:beforeAutospacing="1" w:after="100" w:afterAutospacing="1" w:line="240" w:lineRule="auto"/>
        <w:outlineLvl w:val="1"/>
        <w:rPr>
          <w:rFonts w:eastAsia="Times New Roman"/>
          <w:b/>
          <w:bCs/>
          <w:sz w:val="36"/>
          <w:szCs w:val="36"/>
          <w:lang w:eastAsia="de-DE"/>
        </w:rPr>
      </w:pPr>
      <w:r w:rsidRPr="00324616">
        <w:rPr>
          <w:rFonts w:eastAsia="Times New Roman"/>
          <w:b/>
          <w:bCs/>
          <w:sz w:val="36"/>
          <w:szCs w:val="36"/>
          <w:lang w:eastAsia="de-DE"/>
        </w:rPr>
        <w:lastRenderedPageBreak/>
        <w:t>Deuteronomium 6,16</w:t>
      </w:r>
    </w:p>
    <w:p w14:paraId="3B3B06ED"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Hebräisch:</w:t>
      </w:r>
      <w:r w:rsidRPr="00324616">
        <w:rPr>
          <w:rFonts w:eastAsia="Times New Roman"/>
          <w:lang w:eastAsia="de-DE"/>
        </w:rPr>
        <w:t xml:space="preserve"> </w:t>
      </w:r>
      <w:r w:rsidRPr="00324616">
        <w:rPr>
          <w:rFonts w:eastAsia="Times New Roman"/>
          <w:rtl/>
          <w:lang w:eastAsia="de-DE"/>
        </w:rPr>
        <w:t>לֹא תְנַסּוּ אֶת־יְהוָה אֱלֹהֵיכֶם כַּאֲשֶׁר נִסִּיתֶם בַּמַּסָּה׃</w:t>
      </w:r>
    </w:p>
    <w:p w14:paraId="6285880A"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Deutsch:</w:t>
      </w:r>
      <w:r w:rsidRPr="00324616">
        <w:rPr>
          <w:rFonts w:eastAsia="Times New Roman"/>
          <w:lang w:eastAsia="de-DE"/>
        </w:rPr>
        <w:t xml:space="preserve"> Ihr sollt den Ewigen, euren Gott, nicht versuchen, wie ihr ihn versucht habt in Massa.</w:t>
      </w:r>
    </w:p>
    <w:p w14:paraId="37C0CE96" w14:textId="77777777" w:rsidR="00324616" w:rsidRPr="00324616" w:rsidRDefault="004F5CEB" w:rsidP="00324616">
      <w:pPr>
        <w:spacing w:after="0" w:line="240" w:lineRule="auto"/>
        <w:rPr>
          <w:rFonts w:eastAsia="Times New Roman"/>
          <w:lang w:eastAsia="de-DE"/>
        </w:rPr>
      </w:pPr>
      <w:r>
        <w:rPr>
          <w:rFonts w:eastAsia="Times New Roman"/>
          <w:noProof/>
          <w:lang w:eastAsia="de-DE"/>
        </w:rPr>
        <w:pict w14:anchorId="15B42C8F">
          <v:rect id="_x0000_i1234" style="width:0;height:1.5pt" o:hralign="center" o:hrstd="t" o:hr="t" fillcolor="#a0a0a0" stroked="f"/>
        </w:pict>
      </w:r>
    </w:p>
    <w:p w14:paraId="7AC219FE"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Kommentar:</w:t>
      </w:r>
      <w:r w:rsidRPr="00324616">
        <w:rPr>
          <w:rFonts w:eastAsia="Times New Roman"/>
          <w:lang w:eastAsia="de-DE"/>
        </w:rPr>
        <w:t xml:space="preserve"> </w:t>
      </w:r>
      <w:r w:rsidRPr="00324616">
        <w:rPr>
          <w:rFonts w:eastAsia="Times New Roman"/>
          <w:b/>
          <w:bCs/>
          <w:rtl/>
          <w:lang w:eastAsia="de-DE"/>
        </w:rPr>
        <w:t>לֹא תְנַסּוּ אֶת־יְהוָה אֱלֹהֵיכֶם</w:t>
      </w:r>
      <w:r w:rsidRPr="00324616">
        <w:rPr>
          <w:rFonts w:eastAsia="Times New Roman"/>
          <w:rtl/>
          <w:lang w:eastAsia="de-DE"/>
        </w:rPr>
        <w:t xml:space="preserve"> </w:t>
      </w:r>
      <w:r w:rsidRPr="00324616">
        <w:rPr>
          <w:rFonts w:eastAsia="Times New Roman"/>
          <w:lang w:eastAsia="de-DE"/>
        </w:rPr>
        <w:t xml:space="preserve">ist ein prohibitiver Satz: </w:t>
      </w:r>
      <w:r w:rsidRPr="00324616">
        <w:rPr>
          <w:rFonts w:eastAsia="Times New Roman"/>
          <w:b/>
          <w:bCs/>
          <w:rtl/>
          <w:lang w:eastAsia="de-DE"/>
        </w:rPr>
        <w:t>לֹא</w:t>
      </w:r>
      <w:r w:rsidRPr="00324616">
        <w:rPr>
          <w:rFonts w:eastAsia="Times New Roman"/>
          <w:rtl/>
          <w:lang w:eastAsia="de-DE"/>
        </w:rPr>
        <w:t xml:space="preserve"> </w:t>
      </w:r>
      <w:r w:rsidRPr="00324616">
        <w:rPr>
          <w:rFonts w:eastAsia="Times New Roman"/>
          <w:lang w:eastAsia="de-DE"/>
        </w:rPr>
        <w:t xml:space="preserve">als Negation, </w:t>
      </w:r>
      <w:r w:rsidRPr="00324616">
        <w:rPr>
          <w:rFonts w:eastAsia="Times New Roman"/>
          <w:b/>
          <w:bCs/>
          <w:rtl/>
          <w:lang w:eastAsia="de-DE"/>
        </w:rPr>
        <w:t>תְנַסּוּ</w:t>
      </w:r>
      <w:r w:rsidRPr="00324616">
        <w:rPr>
          <w:rFonts w:eastAsia="Times New Roman"/>
          <w:rtl/>
          <w:lang w:eastAsia="de-DE"/>
        </w:rPr>
        <w:t xml:space="preserve"> </w:t>
      </w:r>
      <w:r w:rsidRPr="00324616">
        <w:rPr>
          <w:rFonts w:eastAsia="Times New Roman"/>
          <w:lang w:eastAsia="de-DE"/>
        </w:rPr>
        <w:t xml:space="preserve">als Piel Imperfekt, 2. Person Plural maskulin von </w:t>
      </w:r>
      <w:r w:rsidRPr="00324616">
        <w:rPr>
          <w:rFonts w:eastAsia="Times New Roman"/>
          <w:b/>
          <w:bCs/>
          <w:rtl/>
          <w:lang w:eastAsia="de-DE"/>
        </w:rPr>
        <w:t>נסה</w:t>
      </w:r>
      <w:r w:rsidRPr="00324616">
        <w:rPr>
          <w:rFonts w:eastAsia="Times New Roman"/>
          <w:rtl/>
          <w:lang w:eastAsia="de-DE"/>
        </w:rPr>
        <w:t xml:space="preserve"> </w:t>
      </w:r>
      <w:r w:rsidRPr="00324616">
        <w:rPr>
          <w:rFonts w:eastAsia="Times New Roman"/>
          <w:lang w:eastAsia="de-DE"/>
        </w:rPr>
        <w:t xml:space="preserve">(„versuchen, prüfen, auf die Probe stellen"), </w:t>
      </w:r>
      <w:r w:rsidRPr="00324616">
        <w:rPr>
          <w:rFonts w:eastAsia="Times New Roman"/>
          <w:b/>
          <w:bCs/>
          <w:rtl/>
          <w:lang w:eastAsia="de-DE"/>
        </w:rPr>
        <w:t>אֶת־יְהוָה אֱלֹהֵיכֶם</w:t>
      </w:r>
      <w:r w:rsidRPr="00324616">
        <w:rPr>
          <w:rFonts w:eastAsia="Times New Roman"/>
          <w:rtl/>
          <w:lang w:eastAsia="de-DE"/>
        </w:rPr>
        <w:t xml:space="preserve"> </w:t>
      </w:r>
      <w:r w:rsidRPr="00324616">
        <w:rPr>
          <w:rFonts w:eastAsia="Times New Roman"/>
          <w:lang w:eastAsia="de-DE"/>
        </w:rPr>
        <w:t xml:space="preserve">als direktes Objekt mit erweiterter Gottesbezeichnung. Das Piel von </w:t>
      </w:r>
      <w:r w:rsidRPr="00324616">
        <w:rPr>
          <w:rFonts w:eastAsia="Times New Roman"/>
          <w:b/>
          <w:bCs/>
          <w:rtl/>
          <w:lang w:eastAsia="de-DE"/>
        </w:rPr>
        <w:t>נסה</w:t>
      </w:r>
      <w:r w:rsidRPr="00324616">
        <w:rPr>
          <w:rFonts w:eastAsia="Times New Roman"/>
          <w:rtl/>
          <w:lang w:eastAsia="de-DE"/>
        </w:rPr>
        <w:t xml:space="preserve"> </w:t>
      </w:r>
      <w:r w:rsidRPr="00324616">
        <w:rPr>
          <w:rFonts w:eastAsia="Times New Roman"/>
          <w:lang w:eastAsia="de-DE"/>
        </w:rPr>
        <w:t>bedeutet „versuchen, auf die Probe stellen" – nicht im positiven Sinn des Prüfens, sondern im negativen Sinn des Herausforderns oder In-Frage-Stellens.</w:t>
      </w:r>
    </w:p>
    <w:p w14:paraId="036C2CBF"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rtl/>
          <w:lang w:eastAsia="de-DE"/>
        </w:rPr>
        <w:t>כַּאֲשֶׁר נִסִּיתֶם בַּמַּסָּה</w:t>
      </w:r>
      <w:r w:rsidRPr="00324616">
        <w:rPr>
          <w:rFonts w:eastAsia="Times New Roman"/>
          <w:rtl/>
          <w:lang w:eastAsia="de-DE"/>
        </w:rPr>
        <w:t xml:space="preserve"> </w:t>
      </w:r>
      <w:r w:rsidRPr="00324616">
        <w:rPr>
          <w:rFonts w:eastAsia="Times New Roman"/>
          <w:lang w:eastAsia="de-DE"/>
        </w:rPr>
        <w:t xml:space="preserve">ist ein Vergleichssatz: </w:t>
      </w:r>
      <w:r w:rsidRPr="00324616">
        <w:rPr>
          <w:rFonts w:eastAsia="Times New Roman"/>
          <w:b/>
          <w:bCs/>
          <w:rtl/>
          <w:lang w:eastAsia="de-DE"/>
        </w:rPr>
        <w:t>כַּאֲשֶׁר</w:t>
      </w:r>
      <w:r w:rsidRPr="00324616">
        <w:rPr>
          <w:rFonts w:eastAsia="Times New Roman"/>
          <w:rtl/>
          <w:lang w:eastAsia="de-DE"/>
        </w:rPr>
        <w:t xml:space="preserve"> </w:t>
      </w:r>
      <w:r w:rsidRPr="00324616">
        <w:rPr>
          <w:rFonts w:eastAsia="Times New Roman"/>
          <w:lang w:eastAsia="de-DE"/>
        </w:rPr>
        <w:t xml:space="preserve">(„wie"), </w:t>
      </w:r>
      <w:r w:rsidRPr="00324616">
        <w:rPr>
          <w:rFonts w:eastAsia="Times New Roman"/>
          <w:b/>
          <w:bCs/>
          <w:rtl/>
          <w:lang w:eastAsia="de-DE"/>
        </w:rPr>
        <w:t>נִסִּיתֶם</w:t>
      </w:r>
      <w:r w:rsidRPr="00324616">
        <w:rPr>
          <w:rFonts w:eastAsia="Times New Roman"/>
          <w:rtl/>
          <w:lang w:eastAsia="de-DE"/>
        </w:rPr>
        <w:t xml:space="preserve"> </w:t>
      </w:r>
      <w:r w:rsidRPr="00324616">
        <w:rPr>
          <w:rFonts w:eastAsia="Times New Roman"/>
          <w:lang w:eastAsia="de-DE"/>
        </w:rPr>
        <w:t xml:space="preserve">als Piel Perfekt, 2. Person Plural maskulin von </w:t>
      </w:r>
      <w:r w:rsidRPr="00324616">
        <w:rPr>
          <w:rFonts w:eastAsia="Times New Roman"/>
          <w:b/>
          <w:bCs/>
          <w:rtl/>
          <w:lang w:eastAsia="de-DE"/>
        </w:rPr>
        <w:t>נסה</w:t>
      </w:r>
      <w:r w:rsidRPr="00324616">
        <w:rPr>
          <w:rFonts w:eastAsia="Times New Roman"/>
          <w:lang w:eastAsia="de-DE"/>
        </w:rPr>
        <w:t xml:space="preserve">, </w:t>
      </w:r>
      <w:r w:rsidRPr="00324616">
        <w:rPr>
          <w:rFonts w:eastAsia="Times New Roman"/>
          <w:b/>
          <w:bCs/>
          <w:rtl/>
          <w:lang w:eastAsia="de-DE"/>
        </w:rPr>
        <w:t>בַּמַּסָּה</w:t>
      </w:r>
      <w:r w:rsidRPr="00324616">
        <w:rPr>
          <w:rFonts w:eastAsia="Times New Roman"/>
          <w:rtl/>
          <w:lang w:eastAsia="de-DE"/>
        </w:rPr>
        <w:t xml:space="preserve"> </w:t>
      </w:r>
      <w:r w:rsidRPr="00324616">
        <w:rPr>
          <w:rFonts w:eastAsia="Times New Roman"/>
          <w:lang w:eastAsia="de-DE"/>
        </w:rPr>
        <w:t>als Ortsangabe (</w:t>
      </w:r>
      <w:r w:rsidRPr="00324616">
        <w:rPr>
          <w:rFonts w:eastAsia="Times New Roman"/>
          <w:b/>
          <w:bCs/>
          <w:rtl/>
          <w:lang w:eastAsia="de-DE"/>
        </w:rPr>
        <w:t>בְּ</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מַסָּה</w:t>
      </w:r>
      <w:r w:rsidRPr="00324616">
        <w:rPr>
          <w:rFonts w:eastAsia="Times New Roman"/>
          <w:lang w:eastAsia="de-DE"/>
        </w:rPr>
        <w:t xml:space="preserve">, „Massa" – wörtlich „Versuchung, Prüfung", Name des Ortes bei Refidim). Der Bezug ist zu Ex 17,1-7, wo das Volk wegen Wassermangels gegen Mose und JHWH murrte und den Ort </w:t>
      </w:r>
      <w:r w:rsidRPr="00324616">
        <w:rPr>
          <w:rFonts w:eastAsia="Times New Roman"/>
          <w:b/>
          <w:bCs/>
          <w:rtl/>
          <w:lang w:eastAsia="de-DE"/>
        </w:rPr>
        <w:t>מַסָּה</w:t>
      </w:r>
      <w:r w:rsidRPr="00324616">
        <w:rPr>
          <w:rFonts w:eastAsia="Times New Roman"/>
          <w:rtl/>
          <w:lang w:eastAsia="de-DE"/>
        </w:rPr>
        <w:t xml:space="preserve"> </w:t>
      </w:r>
      <w:r w:rsidRPr="00324616">
        <w:rPr>
          <w:rFonts w:eastAsia="Times New Roman"/>
          <w:lang w:eastAsia="de-DE"/>
        </w:rPr>
        <w:t xml:space="preserve">(„Versuchung") und </w:t>
      </w:r>
      <w:r w:rsidRPr="00324616">
        <w:rPr>
          <w:rFonts w:eastAsia="Times New Roman"/>
          <w:b/>
          <w:bCs/>
          <w:rtl/>
          <w:lang w:eastAsia="de-DE"/>
        </w:rPr>
        <w:t>מְרִיבָה</w:t>
      </w:r>
      <w:r w:rsidRPr="00324616">
        <w:rPr>
          <w:rFonts w:eastAsia="Times New Roman"/>
          <w:rtl/>
          <w:lang w:eastAsia="de-DE"/>
        </w:rPr>
        <w:t xml:space="preserve"> </w:t>
      </w:r>
      <w:r w:rsidRPr="00324616">
        <w:rPr>
          <w:rFonts w:eastAsia="Times New Roman"/>
          <w:lang w:eastAsia="de-DE"/>
        </w:rPr>
        <w:t>(„Streit") nannte.</w:t>
      </w:r>
    </w:p>
    <w:p w14:paraId="771DF647" w14:textId="77777777" w:rsidR="008A3A15"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 xml:space="preserve">Die Warnung, JHWH nicht zu versuchen, bedeutet konkret: nicht seine Treue, Macht oder Präsenz in Frage zu stellen, nicht durch Murren oder Ungehorsam seine Geduld herausfordern. Jesus zitiert diesen Vers in Mt 4,7 und Lk 4,12 bei der Versuchung auf der Zinne des Tempels. </w:t>
      </w:r>
    </w:p>
    <w:p w14:paraId="67FD5E72" w14:textId="10FDE3EF"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Die LXX</w:t>
      </w:r>
      <w:r w:rsidRPr="00324616">
        <w:rPr>
          <w:rFonts w:eastAsia="Times New Roman"/>
          <w:lang w:eastAsia="de-DE"/>
        </w:rPr>
        <w:t xml:space="preserve"> liest: </w:t>
      </w:r>
      <w:proofErr w:type="spellStart"/>
      <w:r w:rsidRPr="00324616">
        <w:rPr>
          <w:rFonts w:eastAsia="Times New Roman"/>
          <w:b/>
          <w:bCs/>
          <w:lang w:eastAsia="de-DE"/>
        </w:rPr>
        <w:t>οὐκ</w:t>
      </w:r>
      <w:proofErr w:type="spellEnd"/>
      <w:r w:rsidRPr="00324616">
        <w:rPr>
          <w:rFonts w:eastAsia="Times New Roman"/>
          <w:b/>
          <w:bCs/>
          <w:lang w:eastAsia="de-DE"/>
        </w:rPr>
        <w:t xml:space="preserve"> </w:t>
      </w:r>
      <w:proofErr w:type="spellStart"/>
      <w:r w:rsidRPr="00324616">
        <w:rPr>
          <w:rFonts w:eastAsia="Times New Roman"/>
          <w:b/>
          <w:bCs/>
          <w:lang w:eastAsia="de-DE"/>
        </w:rPr>
        <w:t>ἐκ</w:t>
      </w:r>
      <w:proofErr w:type="spellEnd"/>
      <w:r w:rsidRPr="00324616">
        <w:rPr>
          <w:rFonts w:eastAsia="Times New Roman"/>
          <w:b/>
          <w:bCs/>
          <w:lang w:eastAsia="de-DE"/>
        </w:rPr>
        <w:t xml:space="preserve">πειράσεις </w:t>
      </w:r>
      <w:proofErr w:type="spellStart"/>
      <w:r w:rsidRPr="00324616">
        <w:rPr>
          <w:rFonts w:eastAsia="Times New Roman"/>
          <w:b/>
          <w:bCs/>
          <w:lang w:eastAsia="de-DE"/>
        </w:rPr>
        <w:t>κύριον</w:t>
      </w:r>
      <w:proofErr w:type="spellEnd"/>
      <w:r w:rsidRPr="00324616">
        <w:rPr>
          <w:rFonts w:eastAsia="Times New Roman"/>
          <w:b/>
          <w:bCs/>
          <w:lang w:eastAsia="de-DE"/>
        </w:rPr>
        <w:t xml:space="preserve"> </w:t>
      </w:r>
      <w:proofErr w:type="spellStart"/>
      <w:r w:rsidRPr="00324616">
        <w:rPr>
          <w:rFonts w:eastAsia="Times New Roman"/>
          <w:b/>
          <w:bCs/>
          <w:lang w:eastAsia="de-DE"/>
        </w:rPr>
        <w:t>τὸν</w:t>
      </w:r>
      <w:proofErr w:type="spellEnd"/>
      <w:r w:rsidRPr="00324616">
        <w:rPr>
          <w:rFonts w:eastAsia="Times New Roman"/>
          <w:b/>
          <w:bCs/>
          <w:lang w:eastAsia="de-DE"/>
        </w:rPr>
        <w:t xml:space="preserve"> </w:t>
      </w:r>
      <w:proofErr w:type="spellStart"/>
      <w:r w:rsidRPr="00324616">
        <w:rPr>
          <w:rFonts w:eastAsia="Times New Roman"/>
          <w:b/>
          <w:bCs/>
          <w:lang w:eastAsia="de-DE"/>
        </w:rPr>
        <w:t>θεόν</w:t>
      </w:r>
      <w:proofErr w:type="spellEnd"/>
      <w:r w:rsidRPr="00324616">
        <w:rPr>
          <w:rFonts w:eastAsia="Times New Roman"/>
          <w:b/>
          <w:bCs/>
          <w:lang w:eastAsia="de-DE"/>
        </w:rPr>
        <w:t xml:space="preserve"> </w:t>
      </w:r>
      <w:proofErr w:type="spellStart"/>
      <w:r w:rsidRPr="00324616">
        <w:rPr>
          <w:rFonts w:eastAsia="Times New Roman"/>
          <w:b/>
          <w:bCs/>
          <w:lang w:eastAsia="de-DE"/>
        </w:rPr>
        <w:t>σου</w:t>
      </w:r>
      <w:proofErr w:type="spellEnd"/>
      <w:r w:rsidRPr="00324616">
        <w:rPr>
          <w:rFonts w:eastAsia="Times New Roman"/>
          <w:b/>
          <w:bCs/>
          <w:lang w:eastAsia="de-DE"/>
        </w:rPr>
        <w:t xml:space="preserve"> </w:t>
      </w:r>
      <w:proofErr w:type="spellStart"/>
      <w:r w:rsidRPr="00324616">
        <w:rPr>
          <w:rFonts w:eastAsia="Times New Roman"/>
          <w:b/>
          <w:bCs/>
          <w:lang w:eastAsia="de-DE"/>
        </w:rPr>
        <w:t>ὃν</w:t>
      </w:r>
      <w:proofErr w:type="spellEnd"/>
      <w:r w:rsidRPr="00324616">
        <w:rPr>
          <w:rFonts w:eastAsia="Times New Roman"/>
          <w:b/>
          <w:bCs/>
          <w:lang w:eastAsia="de-DE"/>
        </w:rPr>
        <w:t xml:space="preserve"> </w:t>
      </w:r>
      <w:proofErr w:type="spellStart"/>
      <w:r w:rsidRPr="00324616">
        <w:rPr>
          <w:rFonts w:eastAsia="Times New Roman"/>
          <w:b/>
          <w:bCs/>
          <w:lang w:eastAsia="de-DE"/>
        </w:rPr>
        <w:t>τρό</w:t>
      </w:r>
      <w:proofErr w:type="spellEnd"/>
      <w:r w:rsidRPr="00324616">
        <w:rPr>
          <w:rFonts w:eastAsia="Times New Roman"/>
          <w:b/>
          <w:bCs/>
          <w:lang w:eastAsia="de-DE"/>
        </w:rPr>
        <w:t xml:space="preserve">πον </w:t>
      </w:r>
      <w:proofErr w:type="spellStart"/>
      <w:r w:rsidRPr="00324616">
        <w:rPr>
          <w:rFonts w:eastAsia="Times New Roman"/>
          <w:b/>
          <w:bCs/>
          <w:lang w:eastAsia="de-DE"/>
        </w:rPr>
        <w:t>ἐξε</w:t>
      </w:r>
      <w:proofErr w:type="spellEnd"/>
      <w:r w:rsidRPr="00324616">
        <w:rPr>
          <w:rFonts w:eastAsia="Times New Roman"/>
          <w:b/>
          <w:bCs/>
          <w:lang w:eastAsia="de-DE"/>
        </w:rPr>
        <w:t xml:space="preserve">πειράσασθε </w:t>
      </w:r>
      <w:proofErr w:type="spellStart"/>
      <w:r w:rsidRPr="00324616">
        <w:rPr>
          <w:rFonts w:eastAsia="Times New Roman"/>
          <w:b/>
          <w:bCs/>
          <w:lang w:eastAsia="de-DE"/>
        </w:rPr>
        <w:t>ἐν</w:t>
      </w:r>
      <w:proofErr w:type="spellEnd"/>
      <w:r w:rsidRPr="00324616">
        <w:rPr>
          <w:rFonts w:eastAsia="Times New Roman"/>
          <w:b/>
          <w:bCs/>
          <w:lang w:eastAsia="de-DE"/>
        </w:rPr>
        <w:t xml:space="preserve"> </w:t>
      </w:r>
      <w:proofErr w:type="spellStart"/>
      <w:r w:rsidRPr="00324616">
        <w:rPr>
          <w:rFonts w:eastAsia="Times New Roman"/>
          <w:b/>
          <w:bCs/>
          <w:lang w:eastAsia="de-DE"/>
        </w:rPr>
        <w:t>τῷ</w:t>
      </w:r>
      <w:proofErr w:type="spellEnd"/>
      <w:r w:rsidRPr="00324616">
        <w:rPr>
          <w:rFonts w:eastAsia="Times New Roman"/>
          <w:b/>
          <w:bCs/>
          <w:lang w:eastAsia="de-DE"/>
        </w:rPr>
        <w:t xml:space="preserve"> </w:t>
      </w:r>
      <w:proofErr w:type="spellStart"/>
      <w:r w:rsidRPr="00324616">
        <w:rPr>
          <w:rFonts w:eastAsia="Times New Roman"/>
          <w:b/>
          <w:bCs/>
          <w:lang w:eastAsia="de-DE"/>
        </w:rPr>
        <w:t>Πειρ</w:t>
      </w:r>
      <w:proofErr w:type="spellEnd"/>
      <w:r w:rsidRPr="00324616">
        <w:rPr>
          <w:rFonts w:eastAsia="Times New Roman"/>
          <w:b/>
          <w:bCs/>
          <w:lang w:eastAsia="de-DE"/>
        </w:rPr>
        <w:t>ασμῷ</w:t>
      </w:r>
      <w:r w:rsidRPr="00324616">
        <w:rPr>
          <w:rFonts w:eastAsia="Times New Roman"/>
          <w:lang w:eastAsia="de-DE"/>
        </w:rPr>
        <w:t xml:space="preserve"> – hier erscheint </w:t>
      </w:r>
      <w:proofErr w:type="spellStart"/>
      <w:r w:rsidRPr="00324616">
        <w:rPr>
          <w:rFonts w:eastAsia="Times New Roman"/>
          <w:b/>
          <w:bCs/>
          <w:lang w:eastAsia="de-DE"/>
        </w:rPr>
        <w:t>ἐν</w:t>
      </w:r>
      <w:proofErr w:type="spellEnd"/>
      <w:r w:rsidRPr="00324616">
        <w:rPr>
          <w:rFonts w:eastAsia="Times New Roman"/>
          <w:b/>
          <w:bCs/>
          <w:lang w:eastAsia="de-DE"/>
        </w:rPr>
        <w:t xml:space="preserve"> </w:t>
      </w:r>
      <w:proofErr w:type="spellStart"/>
      <w:r w:rsidRPr="00324616">
        <w:rPr>
          <w:rFonts w:eastAsia="Times New Roman"/>
          <w:b/>
          <w:bCs/>
          <w:lang w:eastAsia="de-DE"/>
        </w:rPr>
        <w:t>τῷ</w:t>
      </w:r>
      <w:proofErr w:type="spellEnd"/>
      <w:r w:rsidRPr="00324616">
        <w:rPr>
          <w:rFonts w:eastAsia="Times New Roman"/>
          <w:b/>
          <w:bCs/>
          <w:lang w:eastAsia="de-DE"/>
        </w:rPr>
        <w:t xml:space="preserve"> </w:t>
      </w:r>
      <w:proofErr w:type="spellStart"/>
      <w:r w:rsidRPr="00324616">
        <w:rPr>
          <w:rFonts w:eastAsia="Times New Roman"/>
          <w:b/>
          <w:bCs/>
          <w:lang w:eastAsia="de-DE"/>
        </w:rPr>
        <w:t>Πειρ</w:t>
      </w:r>
      <w:proofErr w:type="spellEnd"/>
      <w:r w:rsidRPr="00324616">
        <w:rPr>
          <w:rFonts w:eastAsia="Times New Roman"/>
          <w:b/>
          <w:bCs/>
          <w:lang w:eastAsia="de-DE"/>
        </w:rPr>
        <w:t>ασμῷ</w:t>
      </w:r>
      <w:r w:rsidRPr="00324616">
        <w:rPr>
          <w:rFonts w:eastAsia="Times New Roman"/>
          <w:lang w:eastAsia="de-DE"/>
        </w:rPr>
        <w:t xml:space="preserve"> als Übersetzung von </w:t>
      </w:r>
      <w:r w:rsidRPr="00324616">
        <w:rPr>
          <w:rFonts w:eastAsia="Times New Roman"/>
          <w:b/>
          <w:bCs/>
          <w:rtl/>
          <w:lang w:eastAsia="de-DE"/>
        </w:rPr>
        <w:t>בַּמַּסָּה</w:t>
      </w:r>
      <w:r w:rsidRPr="00324616">
        <w:rPr>
          <w:rFonts w:eastAsia="Times New Roman"/>
          <w:lang w:eastAsia="de-DE"/>
        </w:rPr>
        <w:t>, wobei das Wort seinen Bedeutungsgehalt „Versuchung, Prüfung" behält.</w:t>
      </w:r>
    </w:p>
    <w:p w14:paraId="7E1D2B0E"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Die Satzstruktur ist ein prohibitiver Satz mit Negation, Prädikat und direktem Objekt (erweiterte Gottesbezeichnung), gefolgt von einem Vergleichssatz mit Prädikat und Ortsangabe. Die Struktur verbindet das Verbot mit der warnenden historischen Erinnerung.</w:t>
      </w:r>
    </w:p>
    <w:p w14:paraId="4009AAA7"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Der Vers verbietet, JHWH zu versuchen, wie Israel es in Massa getan hat – ein Verweis auf die Wüstenzeit und das Murren gegen Gott. Das Vertrauen auf JHWHs Treue soll nicht durch Herausforderung auf die Probe gestellt werden.</w:t>
      </w:r>
    </w:p>
    <w:p w14:paraId="4DE4982B" w14:textId="77777777" w:rsidR="00324616" w:rsidRPr="00324616" w:rsidRDefault="00324616" w:rsidP="00324616">
      <w:pPr>
        <w:spacing w:before="100" w:beforeAutospacing="1" w:after="100" w:afterAutospacing="1" w:line="240" w:lineRule="auto"/>
        <w:outlineLvl w:val="1"/>
        <w:rPr>
          <w:rFonts w:eastAsia="Times New Roman"/>
          <w:b/>
          <w:bCs/>
          <w:sz w:val="36"/>
          <w:szCs w:val="36"/>
          <w:lang w:eastAsia="de-DE"/>
        </w:rPr>
      </w:pPr>
      <w:r w:rsidRPr="00324616">
        <w:rPr>
          <w:rFonts w:eastAsia="Times New Roman"/>
          <w:b/>
          <w:bCs/>
          <w:sz w:val="36"/>
          <w:szCs w:val="36"/>
          <w:lang w:eastAsia="de-DE"/>
        </w:rPr>
        <w:t>Deuteronomium 6,17</w:t>
      </w:r>
    </w:p>
    <w:p w14:paraId="55AE78BF"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Hebräisch:</w:t>
      </w:r>
      <w:r w:rsidRPr="00324616">
        <w:rPr>
          <w:rFonts w:eastAsia="Times New Roman"/>
          <w:lang w:eastAsia="de-DE"/>
        </w:rPr>
        <w:t xml:space="preserve"> </w:t>
      </w:r>
      <w:r w:rsidRPr="00324616">
        <w:rPr>
          <w:rFonts w:eastAsia="Times New Roman"/>
          <w:rtl/>
          <w:lang w:eastAsia="de-DE"/>
        </w:rPr>
        <w:t>שָׁמוֹר תִּשְׁמְרוּן אֶת־מִצְוֹת יְהוָה אֱלֹהֵיכֶם וְעֵדֹתָיו וְחֻקָּיו אֲשֶׁר צִוָּךְ׃</w:t>
      </w:r>
    </w:p>
    <w:p w14:paraId="215B0A09"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Deutsch:</w:t>
      </w:r>
      <w:r w:rsidRPr="00324616">
        <w:rPr>
          <w:rFonts w:eastAsia="Times New Roman"/>
          <w:lang w:eastAsia="de-DE"/>
        </w:rPr>
        <w:t xml:space="preserve"> Ihr sollt gewiss bewahren die Gebote des Ewigen, eures Gottes, und seine Zeugnisse und seine Gesetze, die er dir geboten hat.</w:t>
      </w:r>
    </w:p>
    <w:p w14:paraId="3C9CBC28" w14:textId="77777777" w:rsidR="00324616" w:rsidRPr="00324616" w:rsidRDefault="004F5CEB" w:rsidP="00324616">
      <w:pPr>
        <w:spacing w:after="0" w:line="240" w:lineRule="auto"/>
        <w:rPr>
          <w:rFonts w:eastAsia="Times New Roman"/>
          <w:lang w:eastAsia="de-DE"/>
        </w:rPr>
      </w:pPr>
      <w:r>
        <w:rPr>
          <w:rFonts w:eastAsia="Times New Roman"/>
          <w:noProof/>
          <w:lang w:eastAsia="de-DE"/>
        </w:rPr>
        <w:pict w14:anchorId="3C1E231F">
          <v:rect id="_x0000_i1235" style="width:0;height:1.5pt" o:hralign="center" o:hrstd="t" o:hr="t" fillcolor="#a0a0a0" stroked="f"/>
        </w:pict>
      </w:r>
    </w:p>
    <w:p w14:paraId="63EB2FE8"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lastRenderedPageBreak/>
        <w:t>Kommentar:</w:t>
      </w:r>
      <w:r w:rsidRPr="00324616">
        <w:rPr>
          <w:rFonts w:eastAsia="Times New Roman"/>
          <w:lang w:eastAsia="de-DE"/>
        </w:rPr>
        <w:t xml:space="preserve"> </w:t>
      </w:r>
      <w:r w:rsidRPr="00324616">
        <w:rPr>
          <w:rFonts w:eastAsia="Times New Roman"/>
          <w:b/>
          <w:bCs/>
          <w:rtl/>
          <w:lang w:eastAsia="de-DE"/>
        </w:rPr>
        <w:t>שָׁמוֹר תִּשְׁמְרוּן אֶת־מִצְוֹת יְהוָה אֱלֹהֵיכֶם</w:t>
      </w:r>
      <w:r w:rsidRPr="00324616">
        <w:rPr>
          <w:rFonts w:eastAsia="Times New Roman"/>
          <w:rtl/>
          <w:lang w:eastAsia="de-DE"/>
        </w:rPr>
        <w:t xml:space="preserve"> </w:t>
      </w:r>
      <w:r w:rsidRPr="00324616">
        <w:rPr>
          <w:rFonts w:eastAsia="Times New Roman"/>
          <w:lang w:eastAsia="de-DE"/>
        </w:rPr>
        <w:t xml:space="preserve">ist ein emphatischer Satz mit Infinitivus absolutus: </w:t>
      </w:r>
      <w:r w:rsidRPr="00324616">
        <w:rPr>
          <w:rFonts w:eastAsia="Times New Roman"/>
          <w:b/>
          <w:bCs/>
          <w:rtl/>
          <w:lang w:eastAsia="de-DE"/>
        </w:rPr>
        <w:t>שָׁמוֹר</w:t>
      </w:r>
      <w:r w:rsidRPr="00324616">
        <w:rPr>
          <w:rFonts w:eastAsia="Times New Roman"/>
          <w:rtl/>
          <w:lang w:eastAsia="de-DE"/>
        </w:rPr>
        <w:t xml:space="preserve"> </w:t>
      </w:r>
      <w:r w:rsidRPr="00324616">
        <w:rPr>
          <w:rFonts w:eastAsia="Times New Roman"/>
          <w:lang w:eastAsia="de-DE"/>
        </w:rPr>
        <w:t xml:space="preserve">als Qal Infinitiv Absolut von </w:t>
      </w:r>
      <w:r w:rsidRPr="00324616">
        <w:rPr>
          <w:rFonts w:eastAsia="Times New Roman"/>
          <w:b/>
          <w:bCs/>
          <w:rtl/>
          <w:lang w:eastAsia="de-DE"/>
        </w:rPr>
        <w:t>שׁמר</w:t>
      </w:r>
      <w:r w:rsidRPr="00324616">
        <w:rPr>
          <w:rFonts w:eastAsia="Times New Roman"/>
          <w:rtl/>
          <w:lang w:eastAsia="de-DE"/>
        </w:rPr>
        <w:t xml:space="preserve"> </w:t>
      </w:r>
      <w:r w:rsidRPr="00324616">
        <w:rPr>
          <w:rFonts w:eastAsia="Times New Roman"/>
          <w:lang w:eastAsia="de-DE"/>
        </w:rPr>
        <w:t xml:space="preserve">(„bewahren, achten"), </w:t>
      </w:r>
      <w:r w:rsidRPr="00324616">
        <w:rPr>
          <w:rFonts w:eastAsia="Times New Roman"/>
          <w:b/>
          <w:bCs/>
          <w:rtl/>
          <w:lang w:eastAsia="de-DE"/>
        </w:rPr>
        <w:t>תִּשְׁמְרוּן</w:t>
      </w:r>
      <w:r w:rsidRPr="00324616">
        <w:rPr>
          <w:rFonts w:eastAsia="Times New Roman"/>
          <w:rtl/>
          <w:lang w:eastAsia="de-DE"/>
        </w:rPr>
        <w:t xml:space="preserve"> </w:t>
      </w:r>
      <w:r w:rsidRPr="00324616">
        <w:rPr>
          <w:rFonts w:eastAsia="Times New Roman"/>
          <w:lang w:eastAsia="de-DE"/>
        </w:rPr>
        <w:t xml:space="preserve">als Qal Imperfekt, 2. Person Plural maskulin von </w:t>
      </w:r>
      <w:r w:rsidRPr="00324616">
        <w:rPr>
          <w:rFonts w:eastAsia="Times New Roman"/>
          <w:b/>
          <w:bCs/>
          <w:rtl/>
          <w:lang w:eastAsia="de-DE"/>
        </w:rPr>
        <w:t>שׁמר</w:t>
      </w:r>
      <w:r w:rsidRPr="00324616">
        <w:rPr>
          <w:rFonts w:eastAsia="Times New Roman"/>
          <w:rtl/>
          <w:lang w:eastAsia="de-DE"/>
        </w:rPr>
        <w:t xml:space="preserve"> </w:t>
      </w:r>
      <w:r w:rsidRPr="00324616">
        <w:rPr>
          <w:rFonts w:eastAsia="Times New Roman"/>
          <w:lang w:eastAsia="de-DE"/>
        </w:rPr>
        <w:t xml:space="preserve">mit paragogischem Nun – in imperativischer Funktion, </w:t>
      </w:r>
      <w:r w:rsidRPr="00324616">
        <w:rPr>
          <w:rFonts w:eastAsia="Times New Roman"/>
          <w:b/>
          <w:bCs/>
          <w:rtl/>
          <w:lang w:eastAsia="de-DE"/>
        </w:rPr>
        <w:t>אֶת־מִצְוֹת יְהוָה אֱלֹהֵיכֶם</w:t>
      </w:r>
      <w:r w:rsidRPr="00324616">
        <w:rPr>
          <w:rFonts w:eastAsia="Times New Roman"/>
          <w:rtl/>
          <w:lang w:eastAsia="de-DE"/>
        </w:rPr>
        <w:t xml:space="preserve"> </w:t>
      </w:r>
      <w:r w:rsidRPr="00324616">
        <w:rPr>
          <w:rFonts w:eastAsia="Times New Roman"/>
          <w:lang w:eastAsia="de-DE"/>
        </w:rPr>
        <w:t>als direktes Objekt (</w:t>
      </w:r>
      <w:r w:rsidRPr="00324616">
        <w:rPr>
          <w:rFonts w:eastAsia="Times New Roman"/>
          <w:b/>
          <w:bCs/>
          <w:rtl/>
          <w:lang w:eastAsia="de-DE"/>
        </w:rPr>
        <w:t>מִצְוָה</w:t>
      </w:r>
      <w:r w:rsidRPr="00324616">
        <w:rPr>
          <w:rFonts w:eastAsia="Times New Roman"/>
          <w:lang w:eastAsia="de-DE"/>
        </w:rPr>
        <w:t xml:space="preserve">, „Gebot", Plural Construct mit erweiterter Gottesbezeichnung). Die Konstruktion </w:t>
      </w:r>
      <w:r w:rsidRPr="00324616">
        <w:rPr>
          <w:rFonts w:eastAsia="Times New Roman"/>
          <w:b/>
          <w:bCs/>
          <w:lang w:eastAsia="de-DE"/>
        </w:rPr>
        <w:t>Infinitivus absolutus + finites Verb</w:t>
      </w:r>
      <w:r w:rsidRPr="00324616">
        <w:rPr>
          <w:rFonts w:eastAsia="Times New Roman"/>
          <w:lang w:eastAsia="de-DE"/>
        </w:rPr>
        <w:t xml:space="preserve"> drückt Emphase aus: „gewiss, sicherlich bewahren, unbedingt bewahren".</w:t>
      </w:r>
    </w:p>
    <w:p w14:paraId="5099CE44"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rtl/>
          <w:lang w:eastAsia="de-DE"/>
        </w:rPr>
        <w:t>וְעֵדֹתָיו וְחֻקָּיו אֲשֶׁר צִוָּךְ</w:t>
      </w:r>
      <w:r w:rsidRPr="00324616">
        <w:rPr>
          <w:rFonts w:eastAsia="Times New Roman"/>
          <w:rtl/>
          <w:lang w:eastAsia="de-DE"/>
        </w:rPr>
        <w:t xml:space="preserve"> </w:t>
      </w:r>
      <w:r w:rsidRPr="00324616">
        <w:rPr>
          <w:rFonts w:eastAsia="Times New Roman"/>
          <w:lang w:eastAsia="de-DE"/>
        </w:rPr>
        <w:t xml:space="preserve">ist eine koordinierte Erweiterung: </w:t>
      </w:r>
      <w:r w:rsidRPr="00324616">
        <w:rPr>
          <w:rFonts w:eastAsia="Times New Roman"/>
          <w:b/>
          <w:bCs/>
          <w:rtl/>
          <w:lang w:eastAsia="de-DE"/>
        </w:rPr>
        <w:t>וְעֵדֹתָיו</w:t>
      </w:r>
      <w:r w:rsidRPr="00324616">
        <w:rPr>
          <w:rFonts w:eastAsia="Times New Roman"/>
          <w:rtl/>
          <w:lang w:eastAsia="de-DE"/>
        </w:rPr>
        <w:t xml:space="preserve"> </w:t>
      </w:r>
      <w:r w:rsidRPr="00324616">
        <w:rPr>
          <w:rFonts w:eastAsia="Times New Roman"/>
          <w:lang w:eastAsia="de-DE"/>
        </w:rPr>
        <w:t>(</w:t>
      </w:r>
      <w:r w:rsidRPr="00324616">
        <w:rPr>
          <w:rFonts w:eastAsia="Times New Roman"/>
          <w:b/>
          <w:bCs/>
          <w:rtl/>
          <w:lang w:eastAsia="de-DE"/>
        </w:rPr>
        <w:t>וְ</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עֵדָה</w:t>
      </w:r>
      <w:r w:rsidRPr="00324616">
        <w:rPr>
          <w:rFonts w:eastAsia="Times New Roman"/>
          <w:rtl/>
          <w:lang w:eastAsia="de-DE"/>
        </w:rPr>
        <w:t xml:space="preserve"> </w:t>
      </w:r>
      <w:r w:rsidRPr="00324616">
        <w:rPr>
          <w:rFonts w:eastAsia="Times New Roman"/>
          <w:lang w:eastAsia="de-DE"/>
        </w:rPr>
        <w:t xml:space="preserve">oder </w:t>
      </w:r>
      <w:r w:rsidRPr="00324616">
        <w:rPr>
          <w:rFonts w:eastAsia="Times New Roman"/>
          <w:b/>
          <w:bCs/>
          <w:rtl/>
          <w:lang w:eastAsia="de-DE"/>
        </w:rPr>
        <w:t>עֵדוּת</w:t>
      </w:r>
      <w:r w:rsidRPr="00324616">
        <w:rPr>
          <w:rFonts w:eastAsia="Times New Roman"/>
          <w:lang w:eastAsia="de-DE"/>
        </w:rPr>
        <w:t xml:space="preserve">, „Zeugnis, Zeugnisse", Plural mit Suffix 3. Person Singular maskulin), </w:t>
      </w:r>
      <w:r w:rsidRPr="00324616">
        <w:rPr>
          <w:rFonts w:eastAsia="Times New Roman"/>
          <w:b/>
          <w:bCs/>
          <w:rtl/>
          <w:lang w:eastAsia="de-DE"/>
        </w:rPr>
        <w:t>וְחֻקָּיו</w:t>
      </w:r>
      <w:r w:rsidRPr="00324616">
        <w:rPr>
          <w:rFonts w:eastAsia="Times New Roman"/>
          <w:rtl/>
          <w:lang w:eastAsia="de-DE"/>
        </w:rPr>
        <w:t xml:space="preserve"> </w:t>
      </w:r>
      <w:r w:rsidRPr="00324616">
        <w:rPr>
          <w:rFonts w:eastAsia="Times New Roman"/>
          <w:lang w:eastAsia="de-DE"/>
        </w:rPr>
        <w:t>koordiniert (</w:t>
      </w:r>
      <w:r w:rsidRPr="00324616">
        <w:rPr>
          <w:rFonts w:eastAsia="Times New Roman"/>
          <w:b/>
          <w:bCs/>
          <w:rtl/>
          <w:lang w:eastAsia="de-DE"/>
        </w:rPr>
        <w:t>חֹק</w:t>
      </w:r>
      <w:r w:rsidRPr="00324616">
        <w:rPr>
          <w:rFonts w:eastAsia="Times New Roman"/>
          <w:lang w:eastAsia="de-DE"/>
        </w:rPr>
        <w:t xml:space="preserve">, „Gesetz, Satzung", Plural mit Suffix), </w:t>
      </w:r>
      <w:r w:rsidRPr="00324616">
        <w:rPr>
          <w:rFonts w:eastAsia="Times New Roman"/>
          <w:b/>
          <w:bCs/>
          <w:rtl/>
          <w:lang w:eastAsia="de-DE"/>
        </w:rPr>
        <w:t>אֲשֶׁר צִוָּךְ</w:t>
      </w:r>
      <w:r w:rsidRPr="00324616">
        <w:rPr>
          <w:rFonts w:eastAsia="Times New Roman"/>
          <w:rtl/>
          <w:lang w:eastAsia="de-DE"/>
        </w:rPr>
        <w:t xml:space="preserve"> </w:t>
      </w:r>
      <w:r w:rsidRPr="00324616">
        <w:rPr>
          <w:rFonts w:eastAsia="Times New Roman"/>
          <w:lang w:eastAsia="de-DE"/>
        </w:rPr>
        <w:t>als Relativsatz (</w:t>
      </w:r>
      <w:r w:rsidRPr="00324616">
        <w:rPr>
          <w:rFonts w:eastAsia="Times New Roman"/>
          <w:b/>
          <w:bCs/>
          <w:rtl/>
          <w:lang w:eastAsia="de-DE"/>
        </w:rPr>
        <w:t>אֲשֶׁר</w:t>
      </w:r>
      <w:r w:rsidRPr="00324616">
        <w:rPr>
          <w:rFonts w:eastAsia="Times New Roman"/>
          <w:rtl/>
          <w:lang w:eastAsia="de-DE"/>
        </w:rPr>
        <w:t xml:space="preserve"> </w:t>
      </w:r>
      <w:r w:rsidRPr="00324616">
        <w:rPr>
          <w:rFonts w:eastAsia="Times New Roman"/>
          <w:lang w:eastAsia="de-DE"/>
        </w:rPr>
        <w:t xml:space="preserve">mit Piel Perfekt, 3. Person Singular maskulin von </w:t>
      </w:r>
      <w:r w:rsidRPr="00324616">
        <w:rPr>
          <w:rFonts w:eastAsia="Times New Roman"/>
          <w:b/>
          <w:bCs/>
          <w:rtl/>
          <w:lang w:eastAsia="de-DE"/>
        </w:rPr>
        <w:t>צוה</w:t>
      </w:r>
      <w:r w:rsidRPr="00324616">
        <w:rPr>
          <w:rFonts w:eastAsia="Times New Roman"/>
          <w:lang w:eastAsia="de-DE"/>
        </w:rPr>
        <w:t xml:space="preserve">, „befehlen", und Suffix 2. Person Singular maskulin – bemerkenswert ist der Wechsel von Plural </w:t>
      </w:r>
      <w:r w:rsidRPr="00324616">
        <w:rPr>
          <w:rFonts w:eastAsia="Times New Roman"/>
          <w:b/>
          <w:bCs/>
          <w:rtl/>
          <w:lang w:eastAsia="de-DE"/>
        </w:rPr>
        <w:t>אֱלֹהֵיכֶם</w:t>
      </w:r>
      <w:r w:rsidRPr="00324616">
        <w:rPr>
          <w:rFonts w:eastAsia="Times New Roman"/>
          <w:rtl/>
          <w:lang w:eastAsia="de-DE"/>
        </w:rPr>
        <w:t xml:space="preserve"> </w:t>
      </w:r>
      <w:r w:rsidRPr="00324616">
        <w:rPr>
          <w:rFonts w:eastAsia="Times New Roman"/>
          <w:lang w:eastAsia="de-DE"/>
        </w:rPr>
        <w:t xml:space="preserve">zu Singular </w:t>
      </w:r>
      <w:r w:rsidRPr="00324616">
        <w:rPr>
          <w:rFonts w:eastAsia="Times New Roman"/>
          <w:b/>
          <w:bCs/>
          <w:rtl/>
          <w:lang w:eastAsia="de-DE"/>
        </w:rPr>
        <w:t>צִוָּךְ</w:t>
      </w:r>
      <w:r w:rsidRPr="00324616">
        <w:rPr>
          <w:rFonts w:eastAsia="Times New Roman"/>
          <w:lang w:eastAsia="de-DE"/>
        </w:rPr>
        <w:t>).</w:t>
      </w:r>
    </w:p>
    <w:p w14:paraId="378AF1A0"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 xml:space="preserve">Die dreigliedrige Terminologie </w:t>
      </w:r>
      <w:r w:rsidRPr="00324616">
        <w:rPr>
          <w:rFonts w:eastAsia="Times New Roman"/>
          <w:b/>
          <w:bCs/>
          <w:rtl/>
          <w:lang w:eastAsia="de-DE"/>
        </w:rPr>
        <w:t>מִצְוֹת</w:t>
      </w:r>
      <w:r w:rsidRPr="00324616">
        <w:rPr>
          <w:rFonts w:eastAsia="Times New Roman"/>
          <w:lang w:eastAsia="de-DE"/>
        </w:rPr>
        <w:t xml:space="preserve">, </w:t>
      </w:r>
      <w:r w:rsidRPr="00324616">
        <w:rPr>
          <w:rFonts w:eastAsia="Times New Roman"/>
          <w:b/>
          <w:bCs/>
          <w:rtl/>
          <w:lang w:eastAsia="de-DE"/>
        </w:rPr>
        <w:t>עֵדֹת</w:t>
      </w:r>
      <w:r w:rsidRPr="00324616">
        <w:rPr>
          <w:rFonts w:eastAsia="Times New Roman"/>
          <w:lang w:eastAsia="de-DE"/>
        </w:rPr>
        <w:t xml:space="preserve">, </w:t>
      </w:r>
      <w:r w:rsidRPr="00324616">
        <w:rPr>
          <w:rFonts w:eastAsia="Times New Roman"/>
          <w:b/>
          <w:bCs/>
          <w:rtl/>
          <w:lang w:eastAsia="de-DE"/>
        </w:rPr>
        <w:t>חֻקִּים</w:t>
      </w:r>
      <w:r w:rsidRPr="00324616">
        <w:rPr>
          <w:rFonts w:eastAsia="Times New Roman"/>
          <w:rtl/>
          <w:lang w:eastAsia="de-DE"/>
        </w:rPr>
        <w:t xml:space="preserve"> </w:t>
      </w:r>
      <w:r w:rsidRPr="00324616">
        <w:rPr>
          <w:rFonts w:eastAsia="Times New Roman"/>
          <w:lang w:eastAsia="de-DE"/>
        </w:rPr>
        <w:t xml:space="preserve">ist wieder eine umfassende Bezeichnung für das Gesetzeskorpus. </w:t>
      </w:r>
      <w:r w:rsidRPr="00324616">
        <w:rPr>
          <w:rFonts w:eastAsia="Times New Roman"/>
          <w:b/>
          <w:bCs/>
          <w:rtl/>
          <w:lang w:eastAsia="de-DE"/>
        </w:rPr>
        <w:t>עֵדֹת</w:t>
      </w:r>
      <w:r w:rsidRPr="00324616">
        <w:rPr>
          <w:rFonts w:eastAsia="Times New Roman"/>
          <w:rtl/>
          <w:lang w:eastAsia="de-DE"/>
        </w:rPr>
        <w:t xml:space="preserve"> </w:t>
      </w:r>
      <w:r w:rsidRPr="00324616">
        <w:rPr>
          <w:rFonts w:eastAsia="Times New Roman"/>
          <w:lang w:eastAsia="de-DE"/>
        </w:rPr>
        <w:t xml:space="preserve">(von </w:t>
      </w:r>
      <w:r w:rsidRPr="00324616">
        <w:rPr>
          <w:rFonts w:eastAsia="Times New Roman"/>
          <w:b/>
          <w:bCs/>
          <w:rtl/>
          <w:lang w:eastAsia="de-DE"/>
        </w:rPr>
        <w:t>עוד</w:t>
      </w:r>
      <w:r w:rsidRPr="00324616">
        <w:rPr>
          <w:rFonts w:eastAsia="Times New Roman"/>
          <w:lang w:eastAsia="de-DE"/>
        </w:rPr>
        <w:t>, „bezeugen") bezeichnet die „Zeugnisse" – möglicherweise die grundlegenden Bundesbestimmungen, besonders den Dekalog. Der Wechsel zwischen Plural und Singular ist typisch deuteronomisch und unterstreicht sowohl die kollektive als auch die individuelle Verantwortung.</w:t>
      </w:r>
    </w:p>
    <w:p w14:paraId="686468AE"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Die Satzstruktur ist ein emphatischer Satz mit Infinitivus absolutus, finitem Verb mit paragogischem Nun und direktem Objekt in Construct-Verbindung, erweitert durch eine zweigliedrige koordinierte Objektkette (beide mit Suffix) und einen Relativsatz mit Prädikat und Suffix-Objekt. Die Struktur betont durch den Infinitivus absolutus und das paragogische Nun die Dringlichkeit der Gebotsbefolgung.</w:t>
      </w:r>
    </w:p>
    <w:p w14:paraId="6F10C814"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Der Vers fordert nachdrücklich zur gewissenhaften Bewahrung aller göttlichen Gebote, Zeugnisse und Gesetze auf – eine umfassende Mahnung zur Gesetzestreue.</w:t>
      </w:r>
    </w:p>
    <w:p w14:paraId="71D8A48B" w14:textId="77777777" w:rsidR="00324616" w:rsidRPr="00324616" w:rsidRDefault="00324616" w:rsidP="00324616">
      <w:pPr>
        <w:spacing w:before="100" w:beforeAutospacing="1" w:after="100" w:afterAutospacing="1" w:line="240" w:lineRule="auto"/>
        <w:outlineLvl w:val="1"/>
        <w:rPr>
          <w:rFonts w:eastAsia="Times New Roman"/>
          <w:b/>
          <w:bCs/>
          <w:sz w:val="36"/>
          <w:szCs w:val="36"/>
          <w:lang w:eastAsia="de-DE"/>
        </w:rPr>
      </w:pPr>
      <w:r w:rsidRPr="00324616">
        <w:rPr>
          <w:rFonts w:eastAsia="Times New Roman"/>
          <w:b/>
          <w:bCs/>
          <w:sz w:val="36"/>
          <w:szCs w:val="36"/>
          <w:lang w:eastAsia="de-DE"/>
        </w:rPr>
        <w:t>Deuteronomium 6,18</w:t>
      </w:r>
    </w:p>
    <w:p w14:paraId="1F2D5D50"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Hebräisch:</w:t>
      </w:r>
      <w:r w:rsidRPr="00324616">
        <w:rPr>
          <w:rFonts w:eastAsia="Times New Roman"/>
          <w:lang w:eastAsia="de-DE"/>
        </w:rPr>
        <w:t xml:space="preserve"> </w:t>
      </w:r>
      <w:r w:rsidRPr="00324616">
        <w:rPr>
          <w:rFonts w:eastAsia="Times New Roman"/>
          <w:rtl/>
          <w:lang w:eastAsia="de-DE"/>
        </w:rPr>
        <w:t>וְעָשִׂיתָ הַיָּשָׁר וְהַטּוֹב בְּעֵינֵי יְהוָה לְמַעַן יִיטַב לָךְ וּבָאתָ וְיָרַשְׁתָּ אֶת־הָאָרֶץ הַטֹּבָה אֲשֶׁר־נִשְׁבַּע יְהוָה לַאֲבֹתֶיךָ׃</w:t>
      </w:r>
    </w:p>
    <w:p w14:paraId="2A61806F"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Deutsch:</w:t>
      </w:r>
      <w:r w:rsidRPr="00324616">
        <w:rPr>
          <w:rFonts w:eastAsia="Times New Roman"/>
          <w:lang w:eastAsia="de-DE"/>
        </w:rPr>
        <w:t xml:space="preserve"> Und du sollst tun, was recht und gut ist in den Augen des Ewigen, damit es dir wohl gehe und du hineinkommst und in Besitz nimmst das gute Land, das der Ewige deinen Vätern zugeschworen hat.</w:t>
      </w:r>
    </w:p>
    <w:p w14:paraId="7988E8E7" w14:textId="77777777" w:rsidR="00324616" w:rsidRPr="00324616" w:rsidRDefault="004F5CEB" w:rsidP="00324616">
      <w:pPr>
        <w:spacing w:after="0" w:line="240" w:lineRule="auto"/>
        <w:rPr>
          <w:rFonts w:eastAsia="Times New Roman"/>
          <w:lang w:eastAsia="de-DE"/>
        </w:rPr>
      </w:pPr>
      <w:r>
        <w:rPr>
          <w:rFonts w:eastAsia="Times New Roman"/>
          <w:noProof/>
          <w:lang w:eastAsia="de-DE"/>
        </w:rPr>
        <w:pict w14:anchorId="6B362670">
          <v:rect id="_x0000_i1236" style="width:0;height:1.5pt" o:hralign="center" o:hrstd="t" o:hr="t" fillcolor="#a0a0a0" stroked="f"/>
        </w:pict>
      </w:r>
    </w:p>
    <w:p w14:paraId="145BEA2B"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Kommentar:</w:t>
      </w:r>
      <w:r w:rsidRPr="00324616">
        <w:rPr>
          <w:rFonts w:eastAsia="Times New Roman"/>
          <w:lang w:eastAsia="de-DE"/>
        </w:rPr>
        <w:t xml:space="preserve"> </w:t>
      </w:r>
      <w:r w:rsidRPr="00324616">
        <w:rPr>
          <w:rFonts w:eastAsia="Times New Roman"/>
          <w:b/>
          <w:bCs/>
          <w:rtl/>
          <w:lang w:eastAsia="de-DE"/>
        </w:rPr>
        <w:t>וְעָשִׂיתָ הַיָּשָׁר וְהַטּוֹב בְּעֵינֵי יְהוָה</w:t>
      </w:r>
      <w:r w:rsidRPr="00324616">
        <w:rPr>
          <w:rFonts w:eastAsia="Times New Roman"/>
          <w:rtl/>
          <w:lang w:eastAsia="de-DE"/>
        </w:rPr>
        <w:t xml:space="preserve"> </w:t>
      </w:r>
      <w:r w:rsidRPr="00324616">
        <w:rPr>
          <w:rFonts w:eastAsia="Times New Roman"/>
          <w:lang w:eastAsia="de-DE"/>
        </w:rPr>
        <w:t xml:space="preserve">ist Qal Perfekt consecutivum, 2. Person Singular maskulin von </w:t>
      </w:r>
      <w:r w:rsidRPr="00324616">
        <w:rPr>
          <w:rFonts w:eastAsia="Times New Roman"/>
          <w:b/>
          <w:bCs/>
          <w:rtl/>
          <w:lang w:eastAsia="de-DE"/>
        </w:rPr>
        <w:t>עשׂה</w:t>
      </w:r>
      <w:r w:rsidRPr="00324616">
        <w:rPr>
          <w:rFonts w:eastAsia="Times New Roman"/>
          <w:rtl/>
          <w:lang w:eastAsia="de-DE"/>
        </w:rPr>
        <w:t xml:space="preserve"> </w:t>
      </w:r>
      <w:r w:rsidRPr="00324616">
        <w:rPr>
          <w:rFonts w:eastAsia="Times New Roman"/>
          <w:lang w:eastAsia="de-DE"/>
        </w:rPr>
        <w:t xml:space="preserve">(„tun, machen") mit </w:t>
      </w:r>
      <w:r w:rsidRPr="00324616">
        <w:rPr>
          <w:rFonts w:eastAsia="Times New Roman"/>
          <w:b/>
          <w:bCs/>
          <w:rtl/>
          <w:lang w:eastAsia="de-DE"/>
        </w:rPr>
        <w:t>וְ</w:t>
      </w:r>
      <w:r w:rsidRPr="00324616">
        <w:rPr>
          <w:rFonts w:eastAsia="Times New Roman"/>
          <w:rtl/>
          <w:lang w:eastAsia="de-DE"/>
        </w:rPr>
        <w:t xml:space="preserve"> </w:t>
      </w:r>
      <w:r w:rsidRPr="00324616">
        <w:rPr>
          <w:rFonts w:eastAsia="Times New Roman"/>
          <w:lang w:eastAsia="de-DE"/>
        </w:rPr>
        <w:t xml:space="preserve">– in imperativischer Funktion, </w:t>
      </w:r>
      <w:r w:rsidRPr="00324616">
        <w:rPr>
          <w:rFonts w:eastAsia="Times New Roman"/>
          <w:b/>
          <w:bCs/>
          <w:rtl/>
          <w:lang w:eastAsia="de-DE"/>
        </w:rPr>
        <w:t>הַיָּשָׁר וְהַטּוֹב</w:t>
      </w:r>
      <w:r w:rsidRPr="00324616">
        <w:rPr>
          <w:rFonts w:eastAsia="Times New Roman"/>
          <w:rtl/>
          <w:lang w:eastAsia="de-DE"/>
        </w:rPr>
        <w:t xml:space="preserve"> </w:t>
      </w:r>
      <w:r w:rsidRPr="00324616">
        <w:rPr>
          <w:rFonts w:eastAsia="Times New Roman"/>
          <w:lang w:eastAsia="de-DE"/>
        </w:rPr>
        <w:t xml:space="preserve">als zweigliedrige koordinierte Objektkette (beide substantiviert: </w:t>
      </w:r>
      <w:r w:rsidRPr="00324616">
        <w:rPr>
          <w:rFonts w:eastAsia="Times New Roman"/>
          <w:b/>
          <w:bCs/>
          <w:rtl/>
          <w:lang w:eastAsia="de-DE"/>
        </w:rPr>
        <w:t>יָשָׁר</w:t>
      </w:r>
      <w:r w:rsidRPr="00324616">
        <w:rPr>
          <w:rFonts w:eastAsia="Times New Roman"/>
          <w:lang w:eastAsia="de-DE"/>
        </w:rPr>
        <w:t xml:space="preserve">, Adjektiv „gerade, recht", mit Artikel – „das Rechte", und </w:t>
      </w:r>
      <w:r w:rsidRPr="00324616">
        <w:rPr>
          <w:rFonts w:eastAsia="Times New Roman"/>
          <w:b/>
          <w:bCs/>
          <w:rtl/>
          <w:lang w:eastAsia="de-DE"/>
        </w:rPr>
        <w:t>טוֹב</w:t>
      </w:r>
      <w:r w:rsidRPr="00324616">
        <w:rPr>
          <w:rFonts w:eastAsia="Times New Roman"/>
          <w:lang w:eastAsia="de-DE"/>
        </w:rPr>
        <w:t xml:space="preserve">, Adjektiv „gut", mit Artikel – „das Gute"), </w:t>
      </w:r>
      <w:r w:rsidRPr="00324616">
        <w:rPr>
          <w:rFonts w:eastAsia="Times New Roman"/>
          <w:b/>
          <w:bCs/>
          <w:rtl/>
          <w:lang w:eastAsia="de-DE"/>
        </w:rPr>
        <w:t>בְּעֵינֵי יְהוָה</w:t>
      </w:r>
      <w:r w:rsidRPr="00324616">
        <w:rPr>
          <w:rFonts w:eastAsia="Times New Roman"/>
          <w:rtl/>
          <w:lang w:eastAsia="de-DE"/>
        </w:rPr>
        <w:t xml:space="preserve"> </w:t>
      </w:r>
      <w:r w:rsidRPr="00324616">
        <w:rPr>
          <w:rFonts w:eastAsia="Times New Roman"/>
          <w:lang w:eastAsia="de-DE"/>
        </w:rPr>
        <w:t>als modale Bestimmung (</w:t>
      </w:r>
      <w:r w:rsidRPr="00324616">
        <w:rPr>
          <w:rFonts w:eastAsia="Times New Roman"/>
          <w:b/>
          <w:bCs/>
          <w:rtl/>
          <w:lang w:eastAsia="de-DE"/>
        </w:rPr>
        <w:t>בְּ</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עַיִן</w:t>
      </w:r>
      <w:r w:rsidRPr="00324616">
        <w:rPr>
          <w:rFonts w:eastAsia="Times New Roman"/>
          <w:lang w:eastAsia="de-DE"/>
        </w:rPr>
        <w:t xml:space="preserve">, „Auge", Dual Construct, und </w:t>
      </w:r>
      <w:r w:rsidRPr="00324616">
        <w:rPr>
          <w:rFonts w:eastAsia="Times New Roman"/>
          <w:b/>
          <w:bCs/>
          <w:rtl/>
          <w:lang w:eastAsia="de-DE"/>
        </w:rPr>
        <w:t>יְהוָה</w:t>
      </w:r>
      <w:r w:rsidRPr="00324616">
        <w:rPr>
          <w:rFonts w:eastAsia="Times New Roman"/>
          <w:rtl/>
          <w:lang w:eastAsia="de-DE"/>
        </w:rPr>
        <w:t xml:space="preserve"> </w:t>
      </w:r>
      <w:r w:rsidRPr="00324616">
        <w:rPr>
          <w:rFonts w:eastAsia="Times New Roman"/>
          <w:lang w:eastAsia="de-DE"/>
        </w:rPr>
        <w:t>– idiomatisch „in den Augen JHWHs" = „nach JHWHs Urteil, was JHWH gefällt").</w:t>
      </w:r>
    </w:p>
    <w:p w14:paraId="25333E07"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rtl/>
          <w:lang w:eastAsia="de-DE"/>
        </w:rPr>
        <w:lastRenderedPageBreak/>
        <w:t>לְמַעַן יִיטַב לָךְ</w:t>
      </w:r>
      <w:r w:rsidRPr="00324616">
        <w:rPr>
          <w:rFonts w:eastAsia="Times New Roman"/>
          <w:rtl/>
          <w:lang w:eastAsia="de-DE"/>
        </w:rPr>
        <w:t xml:space="preserve"> </w:t>
      </w:r>
      <w:r w:rsidRPr="00324616">
        <w:rPr>
          <w:rFonts w:eastAsia="Times New Roman"/>
          <w:lang w:eastAsia="de-DE"/>
        </w:rPr>
        <w:t xml:space="preserve">ist eine finale Konstruktion: </w:t>
      </w:r>
      <w:r w:rsidRPr="00324616">
        <w:rPr>
          <w:rFonts w:eastAsia="Times New Roman"/>
          <w:b/>
          <w:bCs/>
          <w:rtl/>
          <w:lang w:eastAsia="de-DE"/>
        </w:rPr>
        <w:t>לְמַעַן</w:t>
      </w:r>
      <w:r w:rsidRPr="00324616">
        <w:rPr>
          <w:rFonts w:eastAsia="Times New Roman"/>
          <w:rtl/>
          <w:lang w:eastAsia="de-DE"/>
        </w:rPr>
        <w:t xml:space="preserve"> </w:t>
      </w:r>
      <w:r w:rsidRPr="00324616">
        <w:rPr>
          <w:rFonts w:eastAsia="Times New Roman"/>
          <w:lang w:eastAsia="de-DE"/>
        </w:rPr>
        <w:t xml:space="preserve">(„damit"), </w:t>
      </w:r>
      <w:r w:rsidRPr="00324616">
        <w:rPr>
          <w:rFonts w:eastAsia="Times New Roman"/>
          <w:b/>
          <w:bCs/>
          <w:rtl/>
          <w:lang w:eastAsia="de-DE"/>
        </w:rPr>
        <w:t>יִיטַב</w:t>
      </w:r>
      <w:r w:rsidRPr="00324616">
        <w:rPr>
          <w:rFonts w:eastAsia="Times New Roman"/>
          <w:rtl/>
          <w:lang w:eastAsia="de-DE"/>
        </w:rPr>
        <w:t xml:space="preserve"> </w:t>
      </w:r>
      <w:r w:rsidRPr="00324616">
        <w:rPr>
          <w:rFonts w:eastAsia="Times New Roman"/>
          <w:lang w:eastAsia="de-DE"/>
        </w:rPr>
        <w:t xml:space="preserve">als Qal Imperfekt, 3. Person Singular maskulin von </w:t>
      </w:r>
      <w:r w:rsidRPr="00324616">
        <w:rPr>
          <w:rFonts w:eastAsia="Times New Roman"/>
          <w:b/>
          <w:bCs/>
          <w:rtl/>
          <w:lang w:eastAsia="de-DE"/>
        </w:rPr>
        <w:t>יטב</w:t>
      </w:r>
      <w:r w:rsidRPr="00324616">
        <w:rPr>
          <w:rFonts w:eastAsia="Times New Roman"/>
          <w:rtl/>
          <w:lang w:eastAsia="de-DE"/>
        </w:rPr>
        <w:t xml:space="preserve"> </w:t>
      </w:r>
      <w:r w:rsidRPr="00324616">
        <w:rPr>
          <w:rFonts w:eastAsia="Times New Roman"/>
          <w:lang w:eastAsia="de-DE"/>
        </w:rPr>
        <w:t xml:space="preserve">(„gut sein, gut gehen"), </w:t>
      </w:r>
      <w:r w:rsidRPr="00324616">
        <w:rPr>
          <w:rFonts w:eastAsia="Times New Roman"/>
          <w:b/>
          <w:bCs/>
          <w:rtl/>
          <w:lang w:eastAsia="de-DE"/>
        </w:rPr>
        <w:t>לָךְ</w:t>
      </w:r>
      <w:r w:rsidRPr="00324616">
        <w:rPr>
          <w:rFonts w:eastAsia="Times New Roman"/>
          <w:rtl/>
          <w:lang w:eastAsia="de-DE"/>
        </w:rPr>
        <w:t xml:space="preserve"> </w:t>
      </w:r>
      <w:r w:rsidRPr="00324616">
        <w:rPr>
          <w:rFonts w:eastAsia="Times New Roman"/>
          <w:lang w:eastAsia="de-DE"/>
        </w:rPr>
        <w:t xml:space="preserve">als Dativ. </w:t>
      </w:r>
      <w:r w:rsidRPr="00324616">
        <w:rPr>
          <w:rFonts w:eastAsia="Times New Roman"/>
          <w:b/>
          <w:bCs/>
          <w:rtl/>
          <w:lang w:eastAsia="de-DE"/>
        </w:rPr>
        <w:t>וּבָאתָ וְיָרַשְׁתָּ אֶת־הָאָרֶץ הַטֹּבָה</w:t>
      </w:r>
      <w:r w:rsidRPr="00324616">
        <w:rPr>
          <w:rFonts w:eastAsia="Times New Roman"/>
          <w:rtl/>
          <w:lang w:eastAsia="de-DE"/>
        </w:rPr>
        <w:t xml:space="preserve"> </w:t>
      </w:r>
      <w:r w:rsidRPr="00324616">
        <w:rPr>
          <w:rFonts w:eastAsia="Times New Roman"/>
          <w:lang w:eastAsia="de-DE"/>
        </w:rPr>
        <w:t xml:space="preserve">ist koordiniert: </w:t>
      </w:r>
      <w:r w:rsidRPr="00324616">
        <w:rPr>
          <w:rFonts w:eastAsia="Times New Roman"/>
          <w:b/>
          <w:bCs/>
          <w:rtl/>
          <w:lang w:eastAsia="de-DE"/>
        </w:rPr>
        <w:t>וּבָאתָ</w:t>
      </w:r>
      <w:r w:rsidRPr="00324616">
        <w:rPr>
          <w:rFonts w:eastAsia="Times New Roman"/>
          <w:rtl/>
          <w:lang w:eastAsia="de-DE"/>
        </w:rPr>
        <w:t xml:space="preserve"> </w:t>
      </w:r>
      <w:r w:rsidRPr="00324616">
        <w:rPr>
          <w:rFonts w:eastAsia="Times New Roman"/>
          <w:lang w:eastAsia="de-DE"/>
        </w:rPr>
        <w:t xml:space="preserve">(Qal Perfekt consecutivum, 2. Person Singular maskulin von </w:t>
      </w:r>
      <w:r w:rsidRPr="00324616">
        <w:rPr>
          <w:rFonts w:eastAsia="Times New Roman"/>
          <w:b/>
          <w:bCs/>
          <w:rtl/>
          <w:lang w:eastAsia="de-DE"/>
        </w:rPr>
        <w:t>בוא</w:t>
      </w:r>
      <w:r w:rsidRPr="00324616">
        <w:rPr>
          <w:rFonts w:eastAsia="Times New Roman"/>
          <w:lang w:eastAsia="de-DE"/>
        </w:rPr>
        <w:t xml:space="preserve">, „kommen, hineinkommen", mit </w:t>
      </w:r>
      <w:r w:rsidRPr="00324616">
        <w:rPr>
          <w:rFonts w:eastAsia="Times New Roman"/>
          <w:b/>
          <w:bCs/>
          <w:rtl/>
          <w:lang w:eastAsia="de-DE"/>
        </w:rPr>
        <w:t>וְ</w:t>
      </w:r>
      <w:r w:rsidRPr="00324616">
        <w:rPr>
          <w:rFonts w:eastAsia="Times New Roman"/>
          <w:lang w:eastAsia="de-DE"/>
        </w:rPr>
        <w:t xml:space="preserve">), </w:t>
      </w:r>
      <w:r w:rsidRPr="00324616">
        <w:rPr>
          <w:rFonts w:eastAsia="Times New Roman"/>
          <w:b/>
          <w:bCs/>
          <w:rtl/>
          <w:lang w:eastAsia="de-DE"/>
        </w:rPr>
        <w:t>וְיָרַשְׁתָּ</w:t>
      </w:r>
      <w:r w:rsidRPr="00324616">
        <w:rPr>
          <w:rFonts w:eastAsia="Times New Roman"/>
          <w:rtl/>
          <w:lang w:eastAsia="de-DE"/>
        </w:rPr>
        <w:t xml:space="preserve"> </w:t>
      </w:r>
      <w:r w:rsidRPr="00324616">
        <w:rPr>
          <w:rFonts w:eastAsia="Times New Roman"/>
          <w:lang w:eastAsia="de-DE"/>
        </w:rPr>
        <w:t xml:space="preserve">koordiniert (Qal Perfekt consecutivum, 2. Person Singular maskulin von </w:t>
      </w:r>
      <w:r w:rsidRPr="00324616">
        <w:rPr>
          <w:rFonts w:eastAsia="Times New Roman"/>
          <w:b/>
          <w:bCs/>
          <w:rtl/>
          <w:lang w:eastAsia="de-DE"/>
        </w:rPr>
        <w:t>ירשׁ</w:t>
      </w:r>
      <w:r w:rsidRPr="00324616">
        <w:rPr>
          <w:rFonts w:eastAsia="Times New Roman"/>
          <w:lang w:eastAsia="de-DE"/>
        </w:rPr>
        <w:t xml:space="preserve">, „in Besitz nehmen", mit </w:t>
      </w:r>
      <w:r w:rsidRPr="00324616">
        <w:rPr>
          <w:rFonts w:eastAsia="Times New Roman"/>
          <w:b/>
          <w:bCs/>
          <w:rtl/>
          <w:lang w:eastAsia="de-DE"/>
        </w:rPr>
        <w:t>וְ</w:t>
      </w:r>
      <w:r w:rsidRPr="00324616">
        <w:rPr>
          <w:rFonts w:eastAsia="Times New Roman"/>
          <w:lang w:eastAsia="de-DE"/>
        </w:rPr>
        <w:t xml:space="preserve">), </w:t>
      </w:r>
      <w:r w:rsidRPr="00324616">
        <w:rPr>
          <w:rFonts w:eastAsia="Times New Roman"/>
          <w:b/>
          <w:bCs/>
          <w:rtl/>
          <w:lang w:eastAsia="de-DE"/>
        </w:rPr>
        <w:t>אֶת־הָאָרֶץ הַטֹּבָה</w:t>
      </w:r>
      <w:r w:rsidRPr="00324616">
        <w:rPr>
          <w:rFonts w:eastAsia="Times New Roman"/>
          <w:rtl/>
          <w:lang w:eastAsia="de-DE"/>
        </w:rPr>
        <w:t xml:space="preserve"> </w:t>
      </w:r>
      <w:r w:rsidRPr="00324616">
        <w:rPr>
          <w:rFonts w:eastAsia="Times New Roman"/>
          <w:lang w:eastAsia="de-DE"/>
        </w:rPr>
        <w:t>als direktes Objekt (</w:t>
      </w:r>
      <w:r w:rsidRPr="00324616">
        <w:rPr>
          <w:rFonts w:eastAsia="Times New Roman"/>
          <w:b/>
          <w:bCs/>
          <w:rtl/>
          <w:lang w:eastAsia="de-DE"/>
        </w:rPr>
        <w:t>אֶרֶץ</w:t>
      </w:r>
      <w:r w:rsidRPr="00324616">
        <w:rPr>
          <w:rFonts w:eastAsia="Times New Roman"/>
          <w:rtl/>
          <w:lang w:eastAsia="de-DE"/>
        </w:rPr>
        <w:t xml:space="preserve"> </w:t>
      </w:r>
      <w:r w:rsidRPr="00324616">
        <w:rPr>
          <w:rFonts w:eastAsia="Times New Roman"/>
          <w:lang w:eastAsia="de-DE"/>
        </w:rPr>
        <w:t xml:space="preserve">mit Artikel und Adjektiv </w:t>
      </w:r>
      <w:r w:rsidRPr="00324616">
        <w:rPr>
          <w:rFonts w:eastAsia="Times New Roman"/>
          <w:b/>
          <w:bCs/>
          <w:rtl/>
          <w:lang w:eastAsia="de-DE"/>
        </w:rPr>
        <w:t>הַטֹּבָה</w:t>
      </w:r>
      <w:r w:rsidRPr="00324616">
        <w:rPr>
          <w:rFonts w:eastAsia="Times New Roman"/>
          <w:lang w:eastAsia="de-DE"/>
        </w:rPr>
        <w:t>).</w:t>
      </w:r>
    </w:p>
    <w:p w14:paraId="39DF542E"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rtl/>
          <w:lang w:eastAsia="de-DE"/>
        </w:rPr>
        <w:t>אֲשֶׁר־נִשְׁבַּע יְהוָה לַאֲבֹתֶיךָ</w:t>
      </w:r>
      <w:r w:rsidRPr="00324616">
        <w:rPr>
          <w:rFonts w:eastAsia="Times New Roman"/>
          <w:rtl/>
          <w:lang w:eastAsia="de-DE"/>
        </w:rPr>
        <w:t xml:space="preserve"> </w:t>
      </w:r>
      <w:r w:rsidRPr="00324616">
        <w:rPr>
          <w:rFonts w:eastAsia="Times New Roman"/>
          <w:lang w:eastAsia="de-DE"/>
        </w:rPr>
        <w:t xml:space="preserve">ist ein Relativsatz: </w:t>
      </w:r>
      <w:r w:rsidRPr="00324616">
        <w:rPr>
          <w:rFonts w:eastAsia="Times New Roman"/>
          <w:b/>
          <w:bCs/>
          <w:rtl/>
          <w:lang w:eastAsia="de-DE"/>
        </w:rPr>
        <w:t>אֲשֶׁר</w:t>
      </w:r>
      <w:r w:rsidRPr="00324616">
        <w:rPr>
          <w:rFonts w:eastAsia="Times New Roman"/>
          <w:rtl/>
          <w:lang w:eastAsia="de-DE"/>
        </w:rPr>
        <w:t xml:space="preserve"> </w:t>
      </w:r>
      <w:r w:rsidRPr="00324616">
        <w:rPr>
          <w:rFonts w:eastAsia="Times New Roman"/>
          <w:lang w:eastAsia="de-DE"/>
        </w:rPr>
        <w:t xml:space="preserve">als Relativpronomen, </w:t>
      </w:r>
      <w:r w:rsidRPr="00324616">
        <w:rPr>
          <w:rFonts w:eastAsia="Times New Roman"/>
          <w:b/>
          <w:bCs/>
          <w:rtl/>
          <w:lang w:eastAsia="de-DE"/>
        </w:rPr>
        <w:t>נִשְׁבַּע</w:t>
      </w:r>
      <w:r w:rsidRPr="00324616">
        <w:rPr>
          <w:rFonts w:eastAsia="Times New Roman"/>
          <w:rtl/>
          <w:lang w:eastAsia="de-DE"/>
        </w:rPr>
        <w:t xml:space="preserve"> </w:t>
      </w:r>
      <w:r w:rsidRPr="00324616">
        <w:rPr>
          <w:rFonts w:eastAsia="Times New Roman"/>
          <w:lang w:eastAsia="de-DE"/>
        </w:rPr>
        <w:t xml:space="preserve">als Nifal Perfekt, 3. Person Singular maskulin von </w:t>
      </w:r>
      <w:r w:rsidRPr="00324616">
        <w:rPr>
          <w:rFonts w:eastAsia="Times New Roman"/>
          <w:b/>
          <w:bCs/>
          <w:rtl/>
          <w:lang w:eastAsia="de-DE"/>
        </w:rPr>
        <w:t>שׁבע</w:t>
      </w:r>
      <w:r w:rsidRPr="00324616">
        <w:rPr>
          <w:rFonts w:eastAsia="Times New Roman"/>
          <w:rtl/>
          <w:lang w:eastAsia="de-DE"/>
        </w:rPr>
        <w:t xml:space="preserve"> </w:t>
      </w:r>
      <w:r w:rsidRPr="00324616">
        <w:rPr>
          <w:rFonts w:eastAsia="Times New Roman"/>
          <w:lang w:eastAsia="de-DE"/>
        </w:rPr>
        <w:t xml:space="preserve">(„schwören"), </w:t>
      </w:r>
      <w:r w:rsidRPr="00324616">
        <w:rPr>
          <w:rFonts w:eastAsia="Times New Roman"/>
          <w:b/>
          <w:bCs/>
          <w:rtl/>
          <w:lang w:eastAsia="de-DE"/>
        </w:rPr>
        <w:t>יְהוָה</w:t>
      </w:r>
      <w:r w:rsidRPr="00324616">
        <w:rPr>
          <w:rFonts w:eastAsia="Times New Roman"/>
          <w:rtl/>
          <w:lang w:eastAsia="de-DE"/>
        </w:rPr>
        <w:t xml:space="preserve"> </w:t>
      </w:r>
      <w:r w:rsidRPr="00324616">
        <w:rPr>
          <w:rFonts w:eastAsia="Times New Roman"/>
          <w:lang w:eastAsia="de-DE"/>
        </w:rPr>
        <w:t xml:space="preserve">als Subjekt, </w:t>
      </w:r>
      <w:r w:rsidRPr="00324616">
        <w:rPr>
          <w:rFonts w:eastAsia="Times New Roman"/>
          <w:b/>
          <w:bCs/>
          <w:rtl/>
          <w:lang w:eastAsia="de-DE"/>
        </w:rPr>
        <w:t>לַאֲבֹתֶיךָ</w:t>
      </w:r>
      <w:r w:rsidRPr="00324616">
        <w:rPr>
          <w:rFonts w:eastAsia="Times New Roman"/>
          <w:rtl/>
          <w:lang w:eastAsia="de-DE"/>
        </w:rPr>
        <w:t xml:space="preserve"> </w:t>
      </w:r>
      <w:r w:rsidRPr="00324616">
        <w:rPr>
          <w:rFonts w:eastAsia="Times New Roman"/>
          <w:lang w:eastAsia="de-DE"/>
        </w:rPr>
        <w:t>als indirektes Objekt (</w:t>
      </w:r>
      <w:r w:rsidRPr="00324616">
        <w:rPr>
          <w:rFonts w:eastAsia="Times New Roman"/>
          <w:b/>
          <w:bCs/>
          <w:rtl/>
          <w:lang w:eastAsia="de-DE"/>
        </w:rPr>
        <w:t>לְ</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אָבוֹת</w:t>
      </w:r>
      <w:r w:rsidRPr="00324616">
        <w:rPr>
          <w:rFonts w:eastAsia="Times New Roman"/>
          <w:lang w:eastAsia="de-DE"/>
        </w:rPr>
        <w:t>, Plural, und Suffix 2. Person Singular maskulin).</w:t>
      </w:r>
    </w:p>
    <w:p w14:paraId="47AD470C"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 xml:space="preserve">Die Formulierung </w:t>
      </w:r>
      <w:r w:rsidRPr="00324616">
        <w:rPr>
          <w:rFonts w:eastAsia="Times New Roman"/>
          <w:b/>
          <w:bCs/>
          <w:rtl/>
          <w:lang w:eastAsia="de-DE"/>
        </w:rPr>
        <w:t>הַיָּשָׁר וְהַטּוֹב בְּעֵינֵי יְהוָה</w:t>
      </w:r>
      <w:r w:rsidRPr="00324616">
        <w:rPr>
          <w:rFonts w:eastAsia="Times New Roman"/>
          <w:rtl/>
          <w:lang w:eastAsia="de-DE"/>
        </w:rPr>
        <w:t xml:space="preserve"> </w:t>
      </w:r>
      <w:r w:rsidRPr="00324616">
        <w:rPr>
          <w:rFonts w:eastAsia="Times New Roman"/>
          <w:lang w:eastAsia="de-DE"/>
        </w:rPr>
        <w:t xml:space="preserve">(„das Rechte und Gute in den Augen JHWHs") ist eine klassische deuteronomische Wendung (vgl. 12,25.28; 13,19; 21,9), die über die bloße Gesetzeserfüllung hinausgeht und ethisches Handeln nach göttlichem Maßstab fordert. Die Wendung </w:t>
      </w:r>
      <w:r w:rsidRPr="00324616">
        <w:rPr>
          <w:rFonts w:eastAsia="Times New Roman"/>
          <w:b/>
          <w:bCs/>
          <w:rtl/>
          <w:lang w:eastAsia="de-DE"/>
        </w:rPr>
        <w:t>בְּעֵינֵי</w:t>
      </w:r>
      <w:r w:rsidRPr="00324616">
        <w:rPr>
          <w:rFonts w:eastAsia="Times New Roman"/>
          <w:rtl/>
          <w:lang w:eastAsia="de-DE"/>
        </w:rPr>
        <w:t xml:space="preserve"> </w:t>
      </w:r>
      <w:r w:rsidRPr="00324616">
        <w:rPr>
          <w:rFonts w:eastAsia="Times New Roman"/>
          <w:lang w:eastAsia="de-DE"/>
        </w:rPr>
        <w:t>(„in den Augen von") drückt Perspektive oder Urteil aus.</w:t>
      </w:r>
    </w:p>
    <w:p w14:paraId="5D8B6522"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Die Satzstruktur ist ein imperativisches Perfekt consecutivum mit zweigliedriger koordinierter Objektkette (beide substantivierte Adjektive) und modaler Bestimmung, gefolgt von einer finalen Konstruktion mit Prädikat und Dativ, zwei koordinierten Perfekt-consecutivum-Verben (das zweite mit direktem Objekt mit Artikel und Adjektiv) und einem Relativsatz mit Prädikat, Subjekt und indirektem Objekt. Die verschachtelte Struktur verbindet ethisches Handeln mit der Verheißung von Wohlergehen und Landbesitz.</w:t>
      </w:r>
    </w:p>
    <w:p w14:paraId="47B3B805"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Der Vers fordert zu umfassendem ethischem Handeln auf – nicht nur Gesetzeserfüllung, sondern das Tun dessen, was in JHWHs Augen recht und gut ist, damit Israel ins verheißene Land kommt und es besitzt.</w:t>
      </w:r>
    </w:p>
    <w:p w14:paraId="54A77C85" w14:textId="77777777" w:rsidR="00324616" w:rsidRPr="00324616" w:rsidRDefault="00324616" w:rsidP="00324616">
      <w:pPr>
        <w:spacing w:before="100" w:beforeAutospacing="1" w:after="100" w:afterAutospacing="1" w:line="240" w:lineRule="auto"/>
        <w:outlineLvl w:val="1"/>
        <w:rPr>
          <w:rFonts w:eastAsia="Times New Roman"/>
          <w:b/>
          <w:bCs/>
          <w:sz w:val="36"/>
          <w:szCs w:val="36"/>
          <w:lang w:eastAsia="de-DE"/>
        </w:rPr>
      </w:pPr>
      <w:r w:rsidRPr="00324616">
        <w:rPr>
          <w:rFonts w:eastAsia="Times New Roman"/>
          <w:b/>
          <w:bCs/>
          <w:sz w:val="36"/>
          <w:szCs w:val="36"/>
          <w:lang w:eastAsia="de-DE"/>
        </w:rPr>
        <w:t>Deuteronomium 6,19</w:t>
      </w:r>
    </w:p>
    <w:p w14:paraId="3860D8F4"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Hebräisch:</w:t>
      </w:r>
      <w:r w:rsidRPr="00324616">
        <w:rPr>
          <w:rFonts w:eastAsia="Times New Roman"/>
          <w:lang w:eastAsia="de-DE"/>
        </w:rPr>
        <w:t xml:space="preserve"> </w:t>
      </w:r>
      <w:r w:rsidRPr="00324616">
        <w:rPr>
          <w:rFonts w:eastAsia="Times New Roman"/>
          <w:rtl/>
          <w:lang w:eastAsia="de-DE"/>
        </w:rPr>
        <w:t>לַהֲדֹף אֶת־כָּל־אֹיְבֶיךָ מִפָּנֶיךָ כַּאֲשֶׁר דִּבֶּר יְהוָה׃</w:t>
      </w:r>
    </w:p>
    <w:p w14:paraId="766FCBEC"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Deutsch:</w:t>
      </w:r>
      <w:r w:rsidRPr="00324616">
        <w:rPr>
          <w:rFonts w:eastAsia="Times New Roman"/>
          <w:lang w:eastAsia="de-DE"/>
        </w:rPr>
        <w:t xml:space="preserve"> indem er ausstößt alle deine Feinde vor dir, so wie der Ewige geredet hat.</w:t>
      </w:r>
    </w:p>
    <w:p w14:paraId="39EF2149" w14:textId="77777777" w:rsidR="00324616" w:rsidRPr="00324616" w:rsidRDefault="004F5CEB" w:rsidP="00324616">
      <w:pPr>
        <w:spacing w:after="0" w:line="240" w:lineRule="auto"/>
        <w:rPr>
          <w:rFonts w:eastAsia="Times New Roman"/>
          <w:lang w:eastAsia="de-DE"/>
        </w:rPr>
      </w:pPr>
      <w:r>
        <w:rPr>
          <w:rFonts w:eastAsia="Times New Roman"/>
          <w:noProof/>
          <w:lang w:eastAsia="de-DE"/>
        </w:rPr>
        <w:pict w14:anchorId="176D9026">
          <v:rect id="_x0000_i1237" style="width:0;height:1.5pt" o:hralign="center" o:hrstd="t" o:hr="t" fillcolor="#a0a0a0" stroked="f"/>
        </w:pict>
      </w:r>
    </w:p>
    <w:p w14:paraId="25DCAD6F"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Kommentar:</w:t>
      </w:r>
      <w:r w:rsidRPr="00324616">
        <w:rPr>
          <w:rFonts w:eastAsia="Times New Roman"/>
          <w:lang w:eastAsia="de-DE"/>
        </w:rPr>
        <w:t xml:space="preserve"> </w:t>
      </w:r>
      <w:r w:rsidRPr="00324616">
        <w:rPr>
          <w:rFonts w:eastAsia="Times New Roman"/>
          <w:b/>
          <w:bCs/>
          <w:rtl/>
          <w:lang w:eastAsia="de-DE"/>
        </w:rPr>
        <w:t>לַהֲדֹף אֶת־כָּל־אֹיְבֶיךָ מִפָּנֶיךָ</w:t>
      </w:r>
      <w:r w:rsidRPr="00324616">
        <w:rPr>
          <w:rFonts w:eastAsia="Times New Roman"/>
          <w:rtl/>
          <w:lang w:eastAsia="de-DE"/>
        </w:rPr>
        <w:t xml:space="preserve"> </w:t>
      </w:r>
      <w:r w:rsidRPr="00324616">
        <w:rPr>
          <w:rFonts w:eastAsia="Times New Roman"/>
          <w:lang w:eastAsia="de-DE"/>
        </w:rPr>
        <w:t xml:space="preserve">ist ein finaler bzw. gerundial​er Infinitiv: </w:t>
      </w:r>
      <w:r w:rsidRPr="00324616">
        <w:rPr>
          <w:rFonts w:eastAsia="Times New Roman"/>
          <w:b/>
          <w:bCs/>
          <w:rtl/>
          <w:lang w:eastAsia="de-DE"/>
        </w:rPr>
        <w:t>לַהֲדֹף</w:t>
      </w:r>
      <w:r w:rsidRPr="00324616">
        <w:rPr>
          <w:rFonts w:eastAsia="Times New Roman"/>
          <w:rtl/>
          <w:lang w:eastAsia="de-DE"/>
        </w:rPr>
        <w:t xml:space="preserve"> </w:t>
      </w:r>
      <w:r w:rsidRPr="00324616">
        <w:rPr>
          <w:rFonts w:eastAsia="Times New Roman"/>
          <w:lang w:eastAsia="de-DE"/>
        </w:rPr>
        <w:t xml:space="preserve">(Qal Infinitiv Construct von </w:t>
      </w:r>
      <w:r w:rsidRPr="00324616">
        <w:rPr>
          <w:rFonts w:eastAsia="Times New Roman"/>
          <w:b/>
          <w:bCs/>
          <w:rtl/>
          <w:lang w:eastAsia="de-DE"/>
        </w:rPr>
        <w:t>הדף</w:t>
      </w:r>
      <w:r w:rsidRPr="00324616">
        <w:rPr>
          <w:rFonts w:eastAsia="Times New Roman"/>
          <w:lang w:eastAsia="de-DE"/>
        </w:rPr>
        <w:t xml:space="preserve">, „wegstoßen, vertreiben", mit </w:t>
      </w:r>
      <w:r w:rsidRPr="00324616">
        <w:rPr>
          <w:rFonts w:eastAsia="Times New Roman"/>
          <w:b/>
          <w:bCs/>
          <w:rtl/>
          <w:lang w:eastAsia="de-DE"/>
        </w:rPr>
        <w:t>לְ</w:t>
      </w:r>
      <w:r w:rsidRPr="00324616">
        <w:rPr>
          <w:rFonts w:eastAsia="Times New Roman"/>
          <w:lang w:eastAsia="de-DE"/>
        </w:rPr>
        <w:t xml:space="preserve">), </w:t>
      </w:r>
      <w:r w:rsidRPr="00324616">
        <w:rPr>
          <w:rFonts w:eastAsia="Times New Roman"/>
          <w:b/>
          <w:bCs/>
          <w:rtl/>
          <w:lang w:eastAsia="de-DE"/>
        </w:rPr>
        <w:t>אֶת־כָּל־אֹיְבֶיךָ</w:t>
      </w:r>
      <w:r w:rsidRPr="00324616">
        <w:rPr>
          <w:rFonts w:eastAsia="Times New Roman"/>
          <w:rtl/>
          <w:lang w:eastAsia="de-DE"/>
        </w:rPr>
        <w:t xml:space="preserve"> </w:t>
      </w:r>
      <w:r w:rsidRPr="00324616">
        <w:rPr>
          <w:rFonts w:eastAsia="Times New Roman"/>
          <w:lang w:eastAsia="de-DE"/>
        </w:rPr>
        <w:t>als direktes Objekt (</w:t>
      </w:r>
      <w:r w:rsidRPr="00324616">
        <w:rPr>
          <w:rFonts w:eastAsia="Times New Roman"/>
          <w:b/>
          <w:bCs/>
          <w:rtl/>
          <w:lang w:eastAsia="de-DE"/>
        </w:rPr>
        <w:t>כָּל</w:t>
      </w:r>
      <w:r w:rsidRPr="00324616">
        <w:rPr>
          <w:rFonts w:eastAsia="Times New Roman"/>
          <w:rtl/>
          <w:lang w:eastAsia="de-DE"/>
        </w:rPr>
        <w:t xml:space="preserve"> </w:t>
      </w:r>
      <w:r w:rsidRPr="00324616">
        <w:rPr>
          <w:rFonts w:eastAsia="Times New Roman"/>
          <w:lang w:eastAsia="de-DE"/>
        </w:rPr>
        <w:t xml:space="preserve">im Construct mit </w:t>
      </w:r>
      <w:r w:rsidRPr="00324616">
        <w:rPr>
          <w:rFonts w:eastAsia="Times New Roman"/>
          <w:b/>
          <w:bCs/>
          <w:rtl/>
          <w:lang w:eastAsia="de-DE"/>
        </w:rPr>
        <w:t>אֹיֵב</w:t>
      </w:r>
      <w:r w:rsidRPr="00324616">
        <w:rPr>
          <w:rFonts w:eastAsia="Times New Roman"/>
          <w:lang w:eastAsia="de-DE"/>
        </w:rPr>
        <w:t xml:space="preserve">, „Feind", Plural und Suffix 2. Person Singular maskulin), </w:t>
      </w:r>
      <w:r w:rsidRPr="00324616">
        <w:rPr>
          <w:rFonts w:eastAsia="Times New Roman"/>
          <w:b/>
          <w:bCs/>
          <w:rtl/>
          <w:lang w:eastAsia="de-DE"/>
        </w:rPr>
        <w:t>מִפָּנֶיךָ</w:t>
      </w:r>
      <w:r w:rsidRPr="00324616">
        <w:rPr>
          <w:rFonts w:eastAsia="Times New Roman"/>
          <w:rtl/>
          <w:lang w:eastAsia="de-DE"/>
        </w:rPr>
        <w:t xml:space="preserve"> </w:t>
      </w:r>
      <w:r w:rsidRPr="00324616">
        <w:rPr>
          <w:rFonts w:eastAsia="Times New Roman"/>
          <w:lang w:eastAsia="de-DE"/>
        </w:rPr>
        <w:t>als Herkunftsangabe (</w:t>
      </w:r>
      <w:r w:rsidRPr="00324616">
        <w:rPr>
          <w:rFonts w:eastAsia="Times New Roman"/>
          <w:b/>
          <w:bCs/>
          <w:rtl/>
          <w:lang w:eastAsia="de-DE"/>
        </w:rPr>
        <w:t>מִן</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פָּנֶה</w:t>
      </w:r>
      <w:r w:rsidRPr="00324616">
        <w:rPr>
          <w:rFonts w:eastAsia="Times New Roman"/>
          <w:lang w:eastAsia="de-DE"/>
        </w:rPr>
        <w:t>, Plural („Angesicht"), und Suffix 2. Person Singular maskulin – „vor dir weg, von dir weg").</w:t>
      </w:r>
    </w:p>
    <w:p w14:paraId="1DF652D8" w14:textId="6F55DE9D"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rtl/>
          <w:lang w:eastAsia="de-DE"/>
        </w:rPr>
        <w:t>כַּאֲשֶׁר דִּבֶּר יְהוָה</w:t>
      </w:r>
      <w:r w:rsidRPr="00324616">
        <w:rPr>
          <w:rFonts w:eastAsia="Times New Roman"/>
          <w:rtl/>
          <w:lang w:eastAsia="de-DE"/>
        </w:rPr>
        <w:t xml:space="preserve"> </w:t>
      </w:r>
      <w:r w:rsidRPr="00324616">
        <w:rPr>
          <w:rFonts w:eastAsia="Times New Roman"/>
          <w:lang w:eastAsia="de-DE"/>
        </w:rPr>
        <w:t xml:space="preserve">ist ein Vergleichssatz: </w:t>
      </w:r>
      <w:r w:rsidRPr="00324616">
        <w:rPr>
          <w:rFonts w:eastAsia="Times New Roman"/>
          <w:b/>
          <w:bCs/>
          <w:rtl/>
          <w:lang w:eastAsia="de-DE"/>
        </w:rPr>
        <w:t>כַּאֲשֶׁר</w:t>
      </w:r>
      <w:r w:rsidRPr="00324616">
        <w:rPr>
          <w:rFonts w:eastAsia="Times New Roman"/>
          <w:rtl/>
          <w:lang w:eastAsia="de-DE"/>
        </w:rPr>
        <w:t xml:space="preserve"> </w:t>
      </w:r>
      <w:r w:rsidR="00D84597">
        <w:rPr>
          <w:rFonts w:eastAsia="Times New Roman"/>
          <w:lang w:eastAsia="de-DE"/>
        </w:rPr>
        <w:t>(„wie, sowie“)</w:t>
      </w:r>
      <w:r w:rsidRPr="00324616">
        <w:rPr>
          <w:rFonts w:eastAsia="Times New Roman"/>
          <w:lang w:eastAsia="de-DE"/>
        </w:rPr>
        <w:t xml:space="preserve">, </w:t>
      </w:r>
      <w:r w:rsidRPr="00324616">
        <w:rPr>
          <w:rFonts w:eastAsia="Times New Roman"/>
          <w:b/>
          <w:bCs/>
          <w:rtl/>
          <w:lang w:eastAsia="de-DE"/>
        </w:rPr>
        <w:t>דִּבֶּר</w:t>
      </w:r>
      <w:r w:rsidRPr="00324616">
        <w:rPr>
          <w:rFonts w:eastAsia="Times New Roman"/>
          <w:rtl/>
          <w:lang w:eastAsia="de-DE"/>
        </w:rPr>
        <w:t xml:space="preserve"> </w:t>
      </w:r>
      <w:r w:rsidRPr="00324616">
        <w:rPr>
          <w:rFonts w:eastAsia="Times New Roman"/>
          <w:lang w:eastAsia="de-DE"/>
        </w:rPr>
        <w:t xml:space="preserve">als Piel Perfekt, 3. Person Singular maskulin von </w:t>
      </w:r>
      <w:r w:rsidRPr="00324616">
        <w:rPr>
          <w:rFonts w:eastAsia="Times New Roman"/>
          <w:b/>
          <w:bCs/>
          <w:rtl/>
          <w:lang w:eastAsia="de-DE"/>
        </w:rPr>
        <w:t>דבר</w:t>
      </w:r>
      <w:r w:rsidRPr="00324616">
        <w:rPr>
          <w:rFonts w:eastAsia="Times New Roman"/>
          <w:rtl/>
          <w:lang w:eastAsia="de-DE"/>
        </w:rPr>
        <w:t xml:space="preserve"> </w:t>
      </w:r>
      <w:r w:rsidRPr="00324616">
        <w:rPr>
          <w:rFonts w:eastAsia="Times New Roman"/>
          <w:lang w:eastAsia="de-DE"/>
        </w:rPr>
        <w:t xml:space="preserve">(„reden, sprechen"), </w:t>
      </w:r>
      <w:r w:rsidRPr="00324616">
        <w:rPr>
          <w:rFonts w:eastAsia="Times New Roman"/>
          <w:b/>
          <w:bCs/>
          <w:rtl/>
          <w:lang w:eastAsia="de-DE"/>
        </w:rPr>
        <w:t>יְהוָה</w:t>
      </w:r>
      <w:r w:rsidRPr="00324616">
        <w:rPr>
          <w:rFonts w:eastAsia="Times New Roman"/>
          <w:rtl/>
          <w:lang w:eastAsia="de-DE"/>
        </w:rPr>
        <w:t xml:space="preserve"> </w:t>
      </w:r>
      <w:r w:rsidRPr="00324616">
        <w:rPr>
          <w:rFonts w:eastAsia="Times New Roman"/>
          <w:lang w:eastAsia="de-DE"/>
        </w:rPr>
        <w:t>als Subjekt.</w:t>
      </w:r>
    </w:p>
    <w:p w14:paraId="0DD4E1F1"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 xml:space="preserve">Dieser Vers ist syntaktisch vom vorangehenden abhängig: Der Infinitiv </w:t>
      </w:r>
      <w:r w:rsidRPr="00324616">
        <w:rPr>
          <w:rFonts w:eastAsia="Times New Roman"/>
          <w:b/>
          <w:bCs/>
          <w:rtl/>
          <w:lang w:eastAsia="de-DE"/>
        </w:rPr>
        <w:t>לַהֲדֹף</w:t>
      </w:r>
      <w:r w:rsidRPr="00324616">
        <w:rPr>
          <w:rFonts w:eastAsia="Times New Roman"/>
          <w:rtl/>
          <w:lang w:eastAsia="de-DE"/>
        </w:rPr>
        <w:t xml:space="preserve"> </w:t>
      </w:r>
      <w:r w:rsidRPr="00324616">
        <w:rPr>
          <w:rFonts w:eastAsia="Times New Roman"/>
          <w:lang w:eastAsia="de-DE"/>
        </w:rPr>
        <w:t xml:space="preserve">kann entweder final („damit er ausstößt") oder gerundial („indem er ausstößt") verstanden werden. Die zweite Deutung ist wahrscheinlicher: JHWH wird die Feinde vertreiben, während Israel das </w:t>
      </w:r>
      <w:r w:rsidRPr="00324616">
        <w:rPr>
          <w:rFonts w:eastAsia="Times New Roman"/>
          <w:lang w:eastAsia="de-DE"/>
        </w:rPr>
        <w:lastRenderedPageBreak/>
        <w:t xml:space="preserve">Land in Besitz nimmt. Die Wendung </w:t>
      </w:r>
      <w:r w:rsidRPr="00324616">
        <w:rPr>
          <w:rFonts w:eastAsia="Times New Roman"/>
          <w:b/>
          <w:bCs/>
          <w:rtl/>
          <w:lang w:eastAsia="de-DE"/>
        </w:rPr>
        <w:t>מִפָּנֶיךָ</w:t>
      </w:r>
      <w:r w:rsidRPr="00324616">
        <w:rPr>
          <w:rFonts w:eastAsia="Times New Roman"/>
          <w:rtl/>
          <w:lang w:eastAsia="de-DE"/>
        </w:rPr>
        <w:t xml:space="preserve"> </w:t>
      </w:r>
      <w:r w:rsidRPr="00324616">
        <w:rPr>
          <w:rFonts w:eastAsia="Times New Roman"/>
          <w:lang w:eastAsia="de-DE"/>
        </w:rPr>
        <w:t xml:space="preserve">(„vor dir") betont, dass JHWH für Israel kämpft. Die Formulierung </w:t>
      </w:r>
      <w:r w:rsidRPr="00324616">
        <w:rPr>
          <w:rFonts w:eastAsia="Times New Roman"/>
          <w:b/>
          <w:bCs/>
          <w:rtl/>
          <w:lang w:eastAsia="de-DE"/>
        </w:rPr>
        <w:t>כַּאֲשֶׁר דִּבֶּר יְהוָה</w:t>
      </w:r>
      <w:r w:rsidRPr="00324616">
        <w:rPr>
          <w:rFonts w:eastAsia="Times New Roman"/>
          <w:rtl/>
          <w:lang w:eastAsia="de-DE"/>
        </w:rPr>
        <w:t xml:space="preserve"> </w:t>
      </w:r>
      <w:r w:rsidRPr="00324616">
        <w:rPr>
          <w:rFonts w:eastAsia="Times New Roman"/>
          <w:lang w:eastAsia="de-DE"/>
        </w:rPr>
        <w:t>verweist auf frühere Verheißungen (vgl. Ex 23,27-30; 33,2; 34,11.24; Dtn 7,1-2.22-24; 9,3-5).</w:t>
      </w:r>
    </w:p>
    <w:p w14:paraId="3AEC9A3E"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Die Satzstruktur ist ein finaler bzw. gerundialer Infinitiv mit direktem Objekt in Construct-Verbindung und Herkunftsangabe, gefolgt von einem kurzen Vergleichssatz mit Prädikat und Subjekt. Die Struktur betont JHWHs Handeln bei der Landnahme gemäß seiner Verheißung.</w:t>
      </w:r>
    </w:p>
    <w:p w14:paraId="21E5FF23"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Der Vers erläutert, wie die Landnahme erfolgt: JHWH selbst wird Israels Feinde vertreiben, so wie er es verheißen hat – Israel muss nur gehorsam sein (V. 18).</w:t>
      </w:r>
    </w:p>
    <w:p w14:paraId="0F79A78D" w14:textId="77777777" w:rsidR="00324616" w:rsidRPr="00324616" w:rsidRDefault="00324616" w:rsidP="00324616">
      <w:pPr>
        <w:spacing w:before="100" w:beforeAutospacing="1" w:after="100" w:afterAutospacing="1" w:line="240" w:lineRule="auto"/>
        <w:outlineLvl w:val="1"/>
        <w:rPr>
          <w:rFonts w:eastAsia="Times New Roman"/>
          <w:b/>
          <w:bCs/>
          <w:sz w:val="36"/>
          <w:szCs w:val="36"/>
          <w:lang w:eastAsia="de-DE"/>
        </w:rPr>
      </w:pPr>
      <w:r w:rsidRPr="00324616">
        <w:rPr>
          <w:rFonts w:eastAsia="Times New Roman"/>
          <w:b/>
          <w:bCs/>
          <w:sz w:val="36"/>
          <w:szCs w:val="36"/>
          <w:lang w:eastAsia="de-DE"/>
        </w:rPr>
        <w:t>Deuteronomium 6,20</w:t>
      </w:r>
    </w:p>
    <w:p w14:paraId="491D8ACA"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Hebräisch:</w:t>
      </w:r>
      <w:r w:rsidRPr="00324616">
        <w:rPr>
          <w:rFonts w:eastAsia="Times New Roman"/>
          <w:lang w:eastAsia="de-DE"/>
        </w:rPr>
        <w:t xml:space="preserve"> </w:t>
      </w:r>
      <w:r w:rsidRPr="00324616">
        <w:rPr>
          <w:rFonts w:eastAsia="Times New Roman"/>
          <w:rtl/>
          <w:lang w:eastAsia="de-DE"/>
        </w:rPr>
        <w:t>כִּי־יִשְׁאָלְךָ בִנְךָ מָחָר לֵאמֹר מָה הָעֵדֹת וְהַחֻקִּים וְהַמִּשְׁפָּטִים אֲשֶׁר צִוָּה יְהוָה אֱלֹהֵינוּ אֶתְכֶם׃</w:t>
      </w:r>
    </w:p>
    <w:p w14:paraId="0D623490"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Deutsch:</w:t>
      </w:r>
      <w:r w:rsidRPr="00324616">
        <w:rPr>
          <w:rFonts w:eastAsia="Times New Roman"/>
          <w:lang w:eastAsia="de-DE"/>
        </w:rPr>
        <w:t xml:space="preserve"> Wenn dein Sohn dich morgen fragt, sagend: Was sind die Zeugnisse und die Gesetze und die Rechtsvorschriften, die der Ewige, unser Gott, euch geboten hat?</w:t>
      </w:r>
    </w:p>
    <w:p w14:paraId="0B872F3D" w14:textId="77777777" w:rsidR="00324616" w:rsidRPr="00324616" w:rsidRDefault="004F5CEB" w:rsidP="00324616">
      <w:pPr>
        <w:spacing w:after="0" w:line="240" w:lineRule="auto"/>
        <w:rPr>
          <w:rFonts w:eastAsia="Times New Roman"/>
          <w:lang w:eastAsia="de-DE"/>
        </w:rPr>
      </w:pPr>
      <w:r>
        <w:rPr>
          <w:rFonts w:eastAsia="Times New Roman"/>
          <w:noProof/>
          <w:lang w:eastAsia="de-DE"/>
        </w:rPr>
        <w:pict w14:anchorId="613FC636">
          <v:rect id="_x0000_i1238" style="width:0;height:1.5pt" o:hralign="center" o:hrstd="t" o:hr="t" fillcolor="#a0a0a0" stroked="f"/>
        </w:pict>
      </w:r>
    </w:p>
    <w:p w14:paraId="5C2BF01B"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Kommentar:</w:t>
      </w:r>
      <w:r w:rsidRPr="00324616">
        <w:rPr>
          <w:rFonts w:eastAsia="Times New Roman"/>
          <w:lang w:eastAsia="de-DE"/>
        </w:rPr>
        <w:t xml:space="preserve"> </w:t>
      </w:r>
      <w:r w:rsidRPr="00324616">
        <w:rPr>
          <w:rFonts w:eastAsia="Times New Roman"/>
          <w:b/>
          <w:bCs/>
          <w:rtl/>
          <w:lang w:eastAsia="de-DE"/>
        </w:rPr>
        <w:t>כִּי־יִשְׁאָלְךָ בִנְךָ מָחָר לֵאמֹר</w:t>
      </w:r>
      <w:r w:rsidRPr="00324616">
        <w:rPr>
          <w:rFonts w:eastAsia="Times New Roman"/>
          <w:rtl/>
          <w:lang w:eastAsia="de-DE"/>
        </w:rPr>
        <w:t xml:space="preserve"> </w:t>
      </w:r>
      <w:r w:rsidRPr="00324616">
        <w:rPr>
          <w:rFonts w:eastAsia="Times New Roman"/>
          <w:lang w:eastAsia="de-DE"/>
        </w:rPr>
        <w:t xml:space="preserve">ist ein Konditionalsatz: </w:t>
      </w:r>
      <w:r w:rsidRPr="00324616">
        <w:rPr>
          <w:rFonts w:eastAsia="Times New Roman"/>
          <w:b/>
          <w:bCs/>
          <w:rtl/>
          <w:lang w:eastAsia="de-DE"/>
        </w:rPr>
        <w:t>כִּי</w:t>
      </w:r>
      <w:r w:rsidRPr="00324616">
        <w:rPr>
          <w:rFonts w:eastAsia="Times New Roman"/>
          <w:rtl/>
          <w:lang w:eastAsia="de-DE"/>
        </w:rPr>
        <w:t xml:space="preserve"> </w:t>
      </w:r>
      <w:r w:rsidRPr="00324616">
        <w:rPr>
          <w:rFonts w:eastAsia="Times New Roman"/>
          <w:lang w:eastAsia="de-DE"/>
        </w:rPr>
        <w:t xml:space="preserve">temporal-konditional („wenn"), </w:t>
      </w:r>
      <w:r w:rsidRPr="00324616">
        <w:rPr>
          <w:rFonts w:eastAsia="Times New Roman"/>
          <w:b/>
          <w:bCs/>
          <w:rtl/>
          <w:lang w:eastAsia="de-DE"/>
        </w:rPr>
        <w:t>יִשְׁאָלְךָ</w:t>
      </w:r>
      <w:r w:rsidRPr="00324616">
        <w:rPr>
          <w:rFonts w:eastAsia="Times New Roman"/>
          <w:rtl/>
          <w:lang w:eastAsia="de-DE"/>
        </w:rPr>
        <w:t xml:space="preserve"> </w:t>
      </w:r>
      <w:r w:rsidRPr="00324616">
        <w:rPr>
          <w:rFonts w:eastAsia="Times New Roman"/>
          <w:lang w:eastAsia="de-DE"/>
        </w:rPr>
        <w:t xml:space="preserve">als Qal Imperfekt, 3. Person Singular maskulin von </w:t>
      </w:r>
      <w:r w:rsidRPr="00324616">
        <w:rPr>
          <w:rFonts w:eastAsia="Times New Roman"/>
          <w:b/>
          <w:bCs/>
          <w:rtl/>
          <w:lang w:eastAsia="de-DE"/>
        </w:rPr>
        <w:t>שׁאל</w:t>
      </w:r>
      <w:r w:rsidRPr="00324616">
        <w:rPr>
          <w:rFonts w:eastAsia="Times New Roman"/>
          <w:rtl/>
          <w:lang w:eastAsia="de-DE"/>
        </w:rPr>
        <w:t xml:space="preserve"> </w:t>
      </w:r>
      <w:r w:rsidRPr="00324616">
        <w:rPr>
          <w:rFonts w:eastAsia="Times New Roman"/>
          <w:lang w:eastAsia="de-DE"/>
        </w:rPr>
        <w:t xml:space="preserve">(„fragen") mit Suffix 2. Person Singular maskulin als direktes Objekt, </w:t>
      </w:r>
      <w:r w:rsidRPr="00324616">
        <w:rPr>
          <w:rFonts w:eastAsia="Times New Roman"/>
          <w:b/>
          <w:bCs/>
          <w:rtl/>
          <w:lang w:eastAsia="de-DE"/>
        </w:rPr>
        <w:t>בִנְךָ</w:t>
      </w:r>
      <w:r w:rsidRPr="00324616">
        <w:rPr>
          <w:rFonts w:eastAsia="Times New Roman"/>
          <w:rtl/>
          <w:lang w:eastAsia="de-DE"/>
        </w:rPr>
        <w:t xml:space="preserve"> </w:t>
      </w:r>
      <w:r w:rsidRPr="00324616">
        <w:rPr>
          <w:rFonts w:eastAsia="Times New Roman"/>
          <w:lang w:eastAsia="de-DE"/>
        </w:rPr>
        <w:t>als Subjekt (</w:t>
      </w:r>
      <w:r w:rsidRPr="00324616">
        <w:rPr>
          <w:rFonts w:eastAsia="Times New Roman"/>
          <w:b/>
          <w:bCs/>
          <w:rtl/>
          <w:lang w:eastAsia="de-DE"/>
        </w:rPr>
        <w:t>בֵּן</w:t>
      </w:r>
      <w:r w:rsidRPr="00324616">
        <w:rPr>
          <w:rFonts w:eastAsia="Times New Roman"/>
          <w:rtl/>
          <w:lang w:eastAsia="de-DE"/>
        </w:rPr>
        <w:t xml:space="preserve"> </w:t>
      </w:r>
      <w:r w:rsidRPr="00324616">
        <w:rPr>
          <w:rFonts w:eastAsia="Times New Roman"/>
          <w:lang w:eastAsia="de-DE"/>
        </w:rPr>
        <w:t xml:space="preserve">mit Suffix 2. Person Singular maskulin), </w:t>
      </w:r>
      <w:r w:rsidRPr="00324616">
        <w:rPr>
          <w:rFonts w:eastAsia="Times New Roman"/>
          <w:b/>
          <w:bCs/>
          <w:rtl/>
          <w:lang w:eastAsia="de-DE"/>
        </w:rPr>
        <w:t>מָחָר</w:t>
      </w:r>
      <w:r w:rsidRPr="00324616">
        <w:rPr>
          <w:rFonts w:eastAsia="Times New Roman"/>
          <w:rtl/>
          <w:lang w:eastAsia="de-DE"/>
        </w:rPr>
        <w:t xml:space="preserve"> </w:t>
      </w:r>
      <w:r w:rsidRPr="00324616">
        <w:rPr>
          <w:rFonts w:eastAsia="Times New Roman"/>
          <w:lang w:eastAsia="de-DE"/>
        </w:rPr>
        <w:t xml:space="preserve">als temporales Adverb („morgen" – hier im übertragenen Sinn „in Zukunft, künftig"), </w:t>
      </w:r>
      <w:r w:rsidRPr="00324616">
        <w:rPr>
          <w:rFonts w:eastAsia="Times New Roman"/>
          <w:b/>
          <w:bCs/>
          <w:rtl/>
          <w:lang w:eastAsia="de-DE"/>
        </w:rPr>
        <w:t>לֵאמֹר</w:t>
      </w:r>
      <w:r w:rsidRPr="00324616">
        <w:rPr>
          <w:rFonts w:eastAsia="Times New Roman"/>
          <w:rtl/>
          <w:lang w:eastAsia="de-DE"/>
        </w:rPr>
        <w:t xml:space="preserve"> </w:t>
      </w:r>
      <w:r w:rsidRPr="00324616">
        <w:rPr>
          <w:rFonts w:eastAsia="Times New Roman"/>
          <w:lang w:eastAsia="de-DE"/>
        </w:rPr>
        <w:t xml:space="preserve">als Qal Infinitiv Construct von </w:t>
      </w:r>
      <w:r w:rsidRPr="00324616">
        <w:rPr>
          <w:rFonts w:eastAsia="Times New Roman"/>
          <w:b/>
          <w:bCs/>
          <w:rtl/>
          <w:lang w:eastAsia="de-DE"/>
        </w:rPr>
        <w:t>אמר</w:t>
      </w:r>
      <w:r w:rsidRPr="00324616">
        <w:rPr>
          <w:rFonts w:eastAsia="Times New Roman"/>
          <w:rtl/>
          <w:lang w:eastAsia="de-DE"/>
        </w:rPr>
        <w:t xml:space="preserve"> </w:t>
      </w:r>
      <w:r w:rsidRPr="00324616">
        <w:rPr>
          <w:rFonts w:eastAsia="Times New Roman"/>
          <w:lang w:eastAsia="de-DE"/>
        </w:rPr>
        <w:t xml:space="preserve">(„sagen") mit </w:t>
      </w:r>
      <w:r w:rsidRPr="00324616">
        <w:rPr>
          <w:rFonts w:eastAsia="Times New Roman"/>
          <w:b/>
          <w:bCs/>
          <w:rtl/>
          <w:lang w:eastAsia="de-DE"/>
        </w:rPr>
        <w:t>לְ</w:t>
      </w:r>
      <w:r w:rsidRPr="00324616">
        <w:rPr>
          <w:rFonts w:eastAsia="Times New Roman"/>
          <w:rtl/>
          <w:lang w:eastAsia="de-DE"/>
        </w:rPr>
        <w:t xml:space="preserve"> </w:t>
      </w:r>
      <w:r w:rsidRPr="00324616">
        <w:rPr>
          <w:rFonts w:eastAsia="Times New Roman"/>
          <w:lang w:eastAsia="de-DE"/>
        </w:rPr>
        <w:t>– einleitend für direkte Rede („sagend, indem er sagt").</w:t>
      </w:r>
    </w:p>
    <w:p w14:paraId="1CA71773"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rtl/>
          <w:lang w:eastAsia="de-DE"/>
        </w:rPr>
        <w:t>מָה הָעֵדֹת וְהַחֻקִּים וְהַמִּשְׁפָּטִים אֲשֶׁר צִוָּה יְהוָה אֱלֹהֵינוּ אֶתְכֶם</w:t>
      </w:r>
      <w:r w:rsidRPr="00324616">
        <w:rPr>
          <w:rFonts w:eastAsia="Times New Roman"/>
          <w:rtl/>
          <w:lang w:eastAsia="de-DE"/>
        </w:rPr>
        <w:t xml:space="preserve"> </w:t>
      </w:r>
      <w:r w:rsidRPr="00324616">
        <w:rPr>
          <w:rFonts w:eastAsia="Times New Roman"/>
          <w:lang w:eastAsia="de-DE"/>
        </w:rPr>
        <w:t xml:space="preserve">ist die direkte Frage: </w:t>
      </w:r>
      <w:r w:rsidRPr="00324616">
        <w:rPr>
          <w:rFonts w:eastAsia="Times New Roman"/>
          <w:b/>
          <w:bCs/>
          <w:rtl/>
          <w:lang w:eastAsia="de-DE"/>
        </w:rPr>
        <w:t>מָה</w:t>
      </w:r>
      <w:r w:rsidRPr="00324616">
        <w:rPr>
          <w:rFonts w:eastAsia="Times New Roman"/>
          <w:rtl/>
          <w:lang w:eastAsia="de-DE"/>
        </w:rPr>
        <w:t xml:space="preserve"> </w:t>
      </w:r>
      <w:r w:rsidRPr="00324616">
        <w:rPr>
          <w:rFonts w:eastAsia="Times New Roman"/>
          <w:lang w:eastAsia="de-DE"/>
        </w:rPr>
        <w:t xml:space="preserve">als Fragepronomen („was"), </w:t>
      </w:r>
      <w:r w:rsidRPr="00324616">
        <w:rPr>
          <w:rFonts w:eastAsia="Times New Roman"/>
          <w:b/>
          <w:bCs/>
          <w:rtl/>
          <w:lang w:eastAsia="de-DE"/>
        </w:rPr>
        <w:t>הָעֵדֹת וְהַחֻקִּים וְהַמִּשְׁפָּטִים</w:t>
      </w:r>
      <w:r w:rsidRPr="00324616">
        <w:rPr>
          <w:rFonts w:eastAsia="Times New Roman"/>
          <w:rtl/>
          <w:lang w:eastAsia="de-DE"/>
        </w:rPr>
        <w:t xml:space="preserve"> </w:t>
      </w:r>
      <w:r w:rsidRPr="00324616">
        <w:rPr>
          <w:rFonts w:eastAsia="Times New Roman"/>
          <w:lang w:eastAsia="de-DE"/>
        </w:rPr>
        <w:t>als dreigliedrige koordinierte Subjektaufzählung (</w:t>
      </w:r>
      <w:r w:rsidRPr="00324616">
        <w:rPr>
          <w:rFonts w:eastAsia="Times New Roman"/>
          <w:b/>
          <w:bCs/>
          <w:rtl/>
          <w:lang w:eastAsia="de-DE"/>
        </w:rPr>
        <w:t>עֵדוּת</w:t>
      </w:r>
      <w:r w:rsidRPr="00324616">
        <w:rPr>
          <w:rFonts w:eastAsia="Times New Roman"/>
          <w:lang w:eastAsia="de-DE"/>
        </w:rPr>
        <w:t xml:space="preserve">, „Zeugnis, Zeugnisse", Plural mit Artikel, </w:t>
      </w:r>
      <w:r w:rsidRPr="00324616">
        <w:rPr>
          <w:rFonts w:eastAsia="Times New Roman"/>
          <w:b/>
          <w:bCs/>
          <w:rtl/>
          <w:lang w:eastAsia="de-DE"/>
        </w:rPr>
        <w:t>חֹק</w:t>
      </w:r>
      <w:r w:rsidRPr="00324616">
        <w:rPr>
          <w:rFonts w:eastAsia="Times New Roman"/>
          <w:lang w:eastAsia="de-DE"/>
        </w:rPr>
        <w:t xml:space="preserve">, „Gesetz", Plural mit Artikel, und </w:t>
      </w:r>
      <w:r w:rsidRPr="00324616">
        <w:rPr>
          <w:rFonts w:eastAsia="Times New Roman"/>
          <w:b/>
          <w:bCs/>
          <w:rtl/>
          <w:lang w:eastAsia="de-DE"/>
        </w:rPr>
        <w:t>מִשְׁפָּט</w:t>
      </w:r>
      <w:r w:rsidRPr="00324616">
        <w:rPr>
          <w:rFonts w:eastAsia="Times New Roman"/>
          <w:lang w:eastAsia="de-DE"/>
        </w:rPr>
        <w:t xml:space="preserve">, „Rechtsvorschrift", Plural mit Artikel), </w:t>
      </w:r>
      <w:r w:rsidRPr="00324616">
        <w:rPr>
          <w:rFonts w:eastAsia="Times New Roman"/>
          <w:b/>
          <w:bCs/>
          <w:rtl/>
          <w:lang w:eastAsia="de-DE"/>
        </w:rPr>
        <w:t>אֲשֶׁר צִוָּה יְהוָה אֱלֹהֵינוּ אֶתְכֶם</w:t>
      </w:r>
      <w:r w:rsidRPr="00324616">
        <w:rPr>
          <w:rFonts w:eastAsia="Times New Roman"/>
          <w:rtl/>
          <w:lang w:eastAsia="de-DE"/>
        </w:rPr>
        <w:t xml:space="preserve"> </w:t>
      </w:r>
      <w:r w:rsidRPr="00324616">
        <w:rPr>
          <w:rFonts w:eastAsia="Times New Roman"/>
          <w:lang w:eastAsia="de-DE"/>
        </w:rPr>
        <w:t xml:space="preserve">als Relativsatz (Piel Perfekt, 3. Person Singular maskulin von </w:t>
      </w:r>
      <w:r w:rsidRPr="00324616">
        <w:rPr>
          <w:rFonts w:eastAsia="Times New Roman"/>
          <w:b/>
          <w:bCs/>
          <w:rtl/>
          <w:lang w:eastAsia="de-DE"/>
        </w:rPr>
        <w:t>צוה</w:t>
      </w:r>
      <w:r w:rsidRPr="00324616">
        <w:rPr>
          <w:rFonts w:eastAsia="Times New Roman"/>
          <w:lang w:eastAsia="de-DE"/>
        </w:rPr>
        <w:t xml:space="preserve">, erweitertes Subjekt mit </w:t>
      </w:r>
      <w:r w:rsidRPr="00324616">
        <w:rPr>
          <w:rFonts w:eastAsia="Times New Roman"/>
          <w:b/>
          <w:bCs/>
          <w:rtl/>
          <w:lang w:eastAsia="de-DE"/>
        </w:rPr>
        <w:t>אֱלֹהֵינוּ</w:t>
      </w:r>
      <w:r w:rsidRPr="00324616">
        <w:rPr>
          <w:rFonts w:eastAsia="Times New Roman"/>
          <w:rtl/>
          <w:lang w:eastAsia="de-DE"/>
        </w:rPr>
        <w:t xml:space="preserve"> </w:t>
      </w:r>
      <w:r w:rsidRPr="00324616">
        <w:rPr>
          <w:rFonts w:eastAsia="Times New Roman"/>
          <w:lang w:eastAsia="de-DE"/>
        </w:rPr>
        <w:t xml:space="preserve">– bemerkenswert ist das Possessivpronomen 1. Person Plural „unser Gott" aus der Perspektive des Sohnes – und </w:t>
      </w:r>
      <w:r w:rsidRPr="00324616">
        <w:rPr>
          <w:rFonts w:eastAsia="Times New Roman"/>
          <w:b/>
          <w:bCs/>
          <w:rtl/>
          <w:lang w:eastAsia="de-DE"/>
        </w:rPr>
        <w:t>אֶתְכֶם</w:t>
      </w:r>
      <w:r w:rsidRPr="00324616">
        <w:rPr>
          <w:rFonts w:eastAsia="Times New Roman"/>
          <w:rtl/>
          <w:lang w:eastAsia="de-DE"/>
        </w:rPr>
        <w:t xml:space="preserve"> </w:t>
      </w:r>
      <w:r w:rsidRPr="00324616">
        <w:rPr>
          <w:rFonts w:eastAsia="Times New Roman"/>
          <w:lang w:eastAsia="de-DE"/>
        </w:rPr>
        <w:t>als direktes Objekt).</w:t>
      </w:r>
    </w:p>
    <w:p w14:paraId="513B4FDF"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 xml:space="preserve">Dies ist die klassische katechetische Situation: Die nächste Generation fragt nach der Bedeutung der Gebote. Das Wort </w:t>
      </w:r>
      <w:r w:rsidRPr="00324616">
        <w:rPr>
          <w:rFonts w:eastAsia="Times New Roman"/>
          <w:b/>
          <w:bCs/>
          <w:rtl/>
          <w:lang w:eastAsia="de-DE"/>
        </w:rPr>
        <w:t>מָחָר</w:t>
      </w:r>
      <w:r w:rsidRPr="00324616">
        <w:rPr>
          <w:rFonts w:eastAsia="Times New Roman"/>
          <w:rtl/>
          <w:lang w:eastAsia="de-DE"/>
        </w:rPr>
        <w:t xml:space="preserve"> </w:t>
      </w:r>
      <w:r w:rsidRPr="00324616">
        <w:rPr>
          <w:rFonts w:eastAsia="Times New Roman"/>
          <w:lang w:eastAsia="de-DE"/>
        </w:rPr>
        <w:t xml:space="preserve">(„morgen") bezeichnet hier nicht nur den nächsten Tag, sondern die Zukunft allgemein – wenn die nachfolgende Generation nach dem Sinn der Gebote fragt. Die dreigliedrige Terminologie umfasst wieder das gesamte Gesetzeskorpus. Bemerkenswert ist, dass der Sohn </w:t>
      </w:r>
      <w:r w:rsidRPr="00324616">
        <w:rPr>
          <w:rFonts w:eastAsia="Times New Roman"/>
          <w:b/>
          <w:bCs/>
          <w:rtl/>
          <w:lang w:eastAsia="de-DE"/>
        </w:rPr>
        <w:t>אֱלֹהֵינוּ</w:t>
      </w:r>
      <w:r w:rsidRPr="00324616">
        <w:rPr>
          <w:rFonts w:eastAsia="Times New Roman"/>
          <w:rtl/>
          <w:lang w:eastAsia="de-DE"/>
        </w:rPr>
        <w:t xml:space="preserve"> </w:t>
      </w:r>
      <w:r w:rsidRPr="00324616">
        <w:rPr>
          <w:rFonts w:eastAsia="Times New Roman"/>
          <w:lang w:eastAsia="de-DE"/>
        </w:rPr>
        <w:t>(„unser Gott") sagt – er identifiziert sich bereits mit der Gottesbeziehung seiner Eltern.</w:t>
      </w:r>
    </w:p>
    <w:p w14:paraId="6B740795"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 xml:space="preserve">Die Satzstruktur ist ein konditional-temporaler </w:t>
      </w:r>
      <w:r w:rsidRPr="00324616">
        <w:rPr>
          <w:rFonts w:eastAsia="Times New Roman"/>
          <w:b/>
          <w:bCs/>
          <w:rtl/>
          <w:lang w:eastAsia="de-DE"/>
        </w:rPr>
        <w:t>כִּי</w:t>
      </w:r>
      <w:r w:rsidRPr="00324616">
        <w:rPr>
          <w:rFonts w:eastAsia="Times New Roman"/>
          <w:lang w:eastAsia="de-DE"/>
        </w:rPr>
        <w:t xml:space="preserve">-Satz mit Prädikat und Suffix-Objekt, Subjekt, temporalem Adverb und </w:t>
      </w:r>
      <w:r w:rsidRPr="00324616">
        <w:rPr>
          <w:rFonts w:eastAsia="Times New Roman"/>
          <w:b/>
          <w:bCs/>
          <w:rtl/>
          <w:lang w:eastAsia="de-DE"/>
        </w:rPr>
        <w:t>לֵאמֹר</w:t>
      </w:r>
      <w:r w:rsidRPr="00324616">
        <w:rPr>
          <w:rFonts w:eastAsia="Times New Roman"/>
          <w:rtl/>
          <w:lang w:eastAsia="de-DE"/>
        </w:rPr>
        <w:t xml:space="preserve"> </w:t>
      </w:r>
      <w:r w:rsidRPr="00324616">
        <w:rPr>
          <w:rFonts w:eastAsia="Times New Roman"/>
          <w:lang w:eastAsia="de-DE"/>
        </w:rPr>
        <w:t>zur Einleitung direkter Rede, gefolgt von einer Frage mit Fragepronomen, dreigliedriger koordinierter Subjektaufzählung und Relativsatz (mit Prädikat, erweitertem Subjekt und direktem Objekt). Die Struktur etabliert die katechetische Situation.</w:t>
      </w:r>
    </w:p>
    <w:p w14:paraId="5D53DCB5"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lastRenderedPageBreak/>
        <w:t>Der Vers leitet eine katechetische Passage ein: Wenn künftig der Sohn nach der Bedeutung der Gebote fragt, soll der Vater antworten – Beginn der klassischen Katechese-Struktur.</w:t>
      </w:r>
    </w:p>
    <w:p w14:paraId="7546F613" w14:textId="77777777" w:rsidR="00324616" w:rsidRPr="00324616" w:rsidRDefault="00324616" w:rsidP="00324616">
      <w:pPr>
        <w:spacing w:before="100" w:beforeAutospacing="1" w:after="100" w:afterAutospacing="1" w:line="240" w:lineRule="auto"/>
        <w:outlineLvl w:val="1"/>
        <w:rPr>
          <w:rFonts w:eastAsia="Times New Roman"/>
          <w:b/>
          <w:bCs/>
          <w:sz w:val="36"/>
          <w:szCs w:val="36"/>
          <w:lang w:eastAsia="de-DE"/>
        </w:rPr>
      </w:pPr>
      <w:r w:rsidRPr="00324616">
        <w:rPr>
          <w:rFonts w:eastAsia="Times New Roman"/>
          <w:b/>
          <w:bCs/>
          <w:sz w:val="36"/>
          <w:szCs w:val="36"/>
          <w:lang w:eastAsia="de-DE"/>
        </w:rPr>
        <w:t>Deuteronomium 6,21</w:t>
      </w:r>
    </w:p>
    <w:p w14:paraId="3E5B2D70"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Hebräisch:</w:t>
      </w:r>
      <w:r w:rsidRPr="00324616">
        <w:rPr>
          <w:rFonts w:eastAsia="Times New Roman"/>
          <w:lang w:eastAsia="de-DE"/>
        </w:rPr>
        <w:t xml:space="preserve"> </w:t>
      </w:r>
      <w:r w:rsidRPr="00324616">
        <w:rPr>
          <w:rFonts w:eastAsia="Times New Roman"/>
          <w:rtl/>
          <w:lang w:eastAsia="de-DE"/>
        </w:rPr>
        <w:t>וְאָמַרְתָּ לְבִנְךָ עֲבָדִים הָיִינוּ לְפַרְעֹה בְּמִצְרָיִם וַיּוֹצִיאֵנוּ יְהוָה מִמִּצְרַיִם בְּיָד חֲזָקָה׃</w:t>
      </w:r>
    </w:p>
    <w:p w14:paraId="4AEB0950"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Deutsch:</w:t>
      </w:r>
      <w:r w:rsidRPr="00324616">
        <w:rPr>
          <w:rFonts w:eastAsia="Times New Roman"/>
          <w:lang w:eastAsia="de-DE"/>
        </w:rPr>
        <w:t xml:space="preserve"> so sollst du sagen zu deinem Sohn: Wir waren Knechte des Par'o in Mizrajim; aber der Ewige hat uns herausgeführt aus Mizrajim mit starker Hand.</w:t>
      </w:r>
    </w:p>
    <w:p w14:paraId="35D123EB" w14:textId="77777777" w:rsidR="00324616" w:rsidRPr="00324616" w:rsidRDefault="004F5CEB" w:rsidP="00324616">
      <w:pPr>
        <w:spacing w:after="0" w:line="240" w:lineRule="auto"/>
        <w:rPr>
          <w:rFonts w:eastAsia="Times New Roman"/>
          <w:lang w:eastAsia="de-DE"/>
        </w:rPr>
      </w:pPr>
      <w:r>
        <w:rPr>
          <w:rFonts w:eastAsia="Times New Roman"/>
          <w:noProof/>
          <w:lang w:eastAsia="de-DE"/>
        </w:rPr>
        <w:pict w14:anchorId="66A3FF99">
          <v:rect id="_x0000_i1239" style="width:0;height:1.5pt" o:hralign="center" o:hrstd="t" o:hr="t" fillcolor="#a0a0a0" stroked="f"/>
        </w:pict>
      </w:r>
    </w:p>
    <w:p w14:paraId="335BD0C1" w14:textId="6AEAB4B6"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Kommentar:</w:t>
      </w:r>
      <w:r w:rsidRPr="00324616">
        <w:rPr>
          <w:rFonts w:eastAsia="Times New Roman"/>
          <w:lang w:eastAsia="de-DE"/>
        </w:rPr>
        <w:t xml:space="preserve"> </w:t>
      </w:r>
      <w:r w:rsidRPr="00324616">
        <w:rPr>
          <w:rFonts w:eastAsia="Times New Roman"/>
          <w:b/>
          <w:bCs/>
          <w:rtl/>
          <w:lang w:eastAsia="de-DE"/>
        </w:rPr>
        <w:t>וְאָמַרְתָּ לְבִנְךָ</w:t>
      </w:r>
      <w:r w:rsidRPr="00324616">
        <w:rPr>
          <w:rFonts w:eastAsia="Times New Roman"/>
          <w:rtl/>
          <w:lang w:eastAsia="de-DE"/>
        </w:rPr>
        <w:t xml:space="preserve"> </w:t>
      </w:r>
      <w:r w:rsidRPr="00324616">
        <w:rPr>
          <w:rFonts w:eastAsia="Times New Roman"/>
          <w:lang w:eastAsia="de-DE"/>
        </w:rPr>
        <w:t xml:space="preserve">ist Qal Perfekt consecutivum, 2. Person Singular maskulin von </w:t>
      </w:r>
      <w:r w:rsidRPr="00324616">
        <w:rPr>
          <w:rFonts w:eastAsia="Times New Roman"/>
          <w:b/>
          <w:bCs/>
          <w:rtl/>
          <w:lang w:eastAsia="de-DE"/>
        </w:rPr>
        <w:t>אמר</w:t>
      </w:r>
      <w:r w:rsidRPr="00324616">
        <w:rPr>
          <w:rFonts w:eastAsia="Times New Roman"/>
          <w:rtl/>
          <w:lang w:eastAsia="de-DE"/>
        </w:rPr>
        <w:t xml:space="preserve"> </w:t>
      </w:r>
      <w:r w:rsidRPr="00324616">
        <w:rPr>
          <w:rFonts w:eastAsia="Times New Roman"/>
          <w:lang w:eastAsia="de-DE"/>
        </w:rPr>
        <w:t xml:space="preserve">(„sagen, sprechen") mit </w:t>
      </w:r>
      <w:r w:rsidRPr="00324616">
        <w:rPr>
          <w:rFonts w:eastAsia="Times New Roman"/>
          <w:b/>
          <w:bCs/>
          <w:rtl/>
          <w:lang w:eastAsia="de-DE"/>
        </w:rPr>
        <w:t>וְ</w:t>
      </w:r>
      <w:r w:rsidRPr="00324616">
        <w:rPr>
          <w:rFonts w:eastAsia="Times New Roman"/>
          <w:rtl/>
          <w:lang w:eastAsia="de-DE"/>
        </w:rPr>
        <w:t xml:space="preserve"> </w:t>
      </w:r>
      <w:r w:rsidRPr="00324616">
        <w:rPr>
          <w:rFonts w:eastAsia="Times New Roman"/>
          <w:lang w:eastAsia="de-DE"/>
        </w:rPr>
        <w:t xml:space="preserve">– in imperativischer Funktion, </w:t>
      </w:r>
      <w:r w:rsidRPr="00324616">
        <w:rPr>
          <w:rFonts w:eastAsia="Times New Roman"/>
          <w:b/>
          <w:bCs/>
          <w:rtl/>
          <w:lang w:eastAsia="de-DE"/>
        </w:rPr>
        <w:t>לְבִנְךָ</w:t>
      </w:r>
      <w:r w:rsidRPr="00324616">
        <w:rPr>
          <w:rFonts w:eastAsia="Times New Roman"/>
          <w:rtl/>
          <w:lang w:eastAsia="de-DE"/>
        </w:rPr>
        <w:t xml:space="preserve"> </w:t>
      </w:r>
      <w:r w:rsidRPr="00324616">
        <w:rPr>
          <w:rFonts w:eastAsia="Times New Roman"/>
          <w:lang w:eastAsia="de-DE"/>
        </w:rPr>
        <w:t>als indirektes Objekt (</w:t>
      </w:r>
      <w:r w:rsidRPr="00324616">
        <w:rPr>
          <w:rFonts w:eastAsia="Times New Roman"/>
          <w:b/>
          <w:bCs/>
          <w:rtl/>
          <w:lang w:eastAsia="de-DE"/>
        </w:rPr>
        <w:t>לְ</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בֵּן</w:t>
      </w:r>
      <w:r w:rsidRPr="00324616">
        <w:rPr>
          <w:rFonts w:eastAsia="Times New Roman"/>
          <w:rtl/>
          <w:lang w:eastAsia="de-DE"/>
        </w:rPr>
        <w:t xml:space="preserve"> </w:t>
      </w:r>
      <w:r w:rsidRPr="00324616">
        <w:rPr>
          <w:rFonts w:eastAsia="Times New Roman"/>
          <w:lang w:eastAsia="de-DE"/>
        </w:rPr>
        <w:t xml:space="preserve">und Suffix 2. Person Singular maskulin). </w:t>
      </w:r>
      <w:r w:rsidRPr="00324616">
        <w:rPr>
          <w:rFonts w:eastAsia="Times New Roman"/>
          <w:b/>
          <w:bCs/>
          <w:rtl/>
          <w:lang w:eastAsia="de-DE"/>
        </w:rPr>
        <w:t>עֲבָדִים הָיִינוּ לְפַרְעֹה בְּמִצְרָיִם</w:t>
      </w:r>
      <w:r w:rsidRPr="00324616">
        <w:rPr>
          <w:rFonts w:eastAsia="Times New Roman"/>
          <w:rtl/>
          <w:lang w:eastAsia="de-DE"/>
        </w:rPr>
        <w:t xml:space="preserve"> </w:t>
      </w:r>
      <w:r w:rsidRPr="00324616">
        <w:rPr>
          <w:rFonts w:eastAsia="Times New Roman"/>
          <w:lang w:eastAsia="de-DE"/>
        </w:rPr>
        <w:t xml:space="preserve">ist die Antwort – ein nominaler Satz: </w:t>
      </w:r>
      <w:r w:rsidRPr="00324616">
        <w:rPr>
          <w:rFonts w:eastAsia="Times New Roman"/>
          <w:b/>
          <w:bCs/>
          <w:rtl/>
          <w:lang w:eastAsia="de-DE"/>
        </w:rPr>
        <w:t>עֲבָדִים</w:t>
      </w:r>
      <w:r w:rsidRPr="00324616">
        <w:rPr>
          <w:rFonts w:eastAsia="Times New Roman"/>
          <w:rtl/>
          <w:lang w:eastAsia="de-DE"/>
        </w:rPr>
        <w:t xml:space="preserve"> </w:t>
      </w:r>
      <w:r w:rsidRPr="00324616">
        <w:rPr>
          <w:rFonts w:eastAsia="Times New Roman"/>
          <w:lang w:eastAsia="de-DE"/>
        </w:rPr>
        <w:t>als Prädikatsnomen (</w:t>
      </w:r>
      <w:r w:rsidRPr="00324616">
        <w:rPr>
          <w:rFonts w:eastAsia="Times New Roman"/>
          <w:b/>
          <w:bCs/>
          <w:rtl/>
          <w:lang w:eastAsia="de-DE"/>
        </w:rPr>
        <w:t>עֶבֶד</w:t>
      </w:r>
      <w:r w:rsidRPr="00324616">
        <w:rPr>
          <w:rFonts w:eastAsia="Times New Roman"/>
          <w:lang w:eastAsia="de-DE"/>
        </w:rPr>
        <w:t xml:space="preserve">, „Knecht, Sklave", Plural), </w:t>
      </w:r>
      <w:r w:rsidRPr="00324616">
        <w:rPr>
          <w:rFonts w:eastAsia="Times New Roman"/>
          <w:b/>
          <w:bCs/>
          <w:rtl/>
          <w:lang w:eastAsia="de-DE"/>
        </w:rPr>
        <w:t>הָיִינוּ</w:t>
      </w:r>
      <w:r w:rsidRPr="00324616">
        <w:rPr>
          <w:rFonts w:eastAsia="Times New Roman"/>
          <w:rtl/>
          <w:lang w:eastAsia="de-DE"/>
        </w:rPr>
        <w:t xml:space="preserve"> </w:t>
      </w:r>
      <w:r w:rsidRPr="00324616">
        <w:rPr>
          <w:rFonts w:eastAsia="Times New Roman"/>
          <w:lang w:eastAsia="de-DE"/>
        </w:rPr>
        <w:t xml:space="preserve">als Qal Perfekt, 1. Person Plural von </w:t>
      </w:r>
      <w:r w:rsidRPr="00324616">
        <w:rPr>
          <w:rFonts w:eastAsia="Times New Roman"/>
          <w:b/>
          <w:bCs/>
          <w:rtl/>
          <w:lang w:eastAsia="de-DE"/>
        </w:rPr>
        <w:t>היה</w:t>
      </w:r>
      <w:r w:rsidRPr="00324616">
        <w:rPr>
          <w:rFonts w:eastAsia="Times New Roman"/>
          <w:rtl/>
          <w:lang w:eastAsia="de-DE"/>
        </w:rPr>
        <w:t xml:space="preserve"> </w:t>
      </w:r>
      <w:r w:rsidRPr="00324616">
        <w:rPr>
          <w:rFonts w:eastAsia="Times New Roman"/>
          <w:lang w:eastAsia="de-DE"/>
        </w:rPr>
        <w:t xml:space="preserve">(„sein") – Kopula, </w:t>
      </w:r>
      <w:r w:rsidRPr="00324616">
        <w:rPr>
          <w:rFonts w:eastAsia="Times New Roman"/>
          <w:b/>
          <w:bCs/>
          <w:rtl/>
          <w:lang w:eastAsia="de-DE"/>
        </w:rPr>
        <w:t>לְפַרְעֹה</w:t>
      </w:r>
      <w:r w:rsidRPr="00324616">
        <w:rPr>
          <w:rFonts w:eastAsia="Times New Roman"/>
          <w:rtl/>
          <w:lang w:eastAsia="de-DE"/>
        </w:rPr>
        <w:t xml:space="preserve"> </w:t>
      </w:r>
      <w:r w:rsidRPr="00324616">
        <w:rPr>
          <w:rFonts w:eastAsia="Times New Roman"/>
          <w:lang w:eastAsia="de-DE"/>
        </w:rPr>
        <w:t>als Dativ bzw. Zugehörigkeitsangabe (</w:t>
      </w:r>
      <w:r w:rsidRPr="00324616">
        <w:rPr>
          <w:rFonts w:eastAsia="Times New Roman"/>
          <w:b/>
          <w:bCs/>
          <w:rtl/>
          <w:lang w:eastAsia="de-DE"/>
        </w:rPr>
        <w:t>לְ</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פַּרְעֹה</w:t>
      </w:r>
      <w:r w:rsidRPr="00324616">
        <w:rPr>
          <w:rFonts w:eastAsia="Times New Roman"/>
          <w:lang w:eastAsia="de-DE"/>
        </w:rPr>
        <w:t>, „</w:t>
      </w:r>
      <w:r w:rsidR="003F0E7B">
        <w:rPr>
          <w:rFonts w:eastAsia="Times New Roman"/>
          <w:lang w:eastAsia="de-DE"/>
        </w:rPr>
        <w:t>Par’o</w:t>
      </w:r>
      <w:r w:rsidRPr="00324616">
        <w:rPr>
          <w:rFonts w:eastAsia="Times New Roman"/>
          <w:lang w:eastAsia="de-DE"/>
        </w:rPr>
        <w:t xml:space="preserve">"), </w:t>
      </w:r>
      <w:r w:rsidRPr="00324616">
        <w:rPr>
          <w:rFonts w:eastAsia="Times New Roman"/>
          <w:b/>
          <w:bCs/>
          <w:rtl/>
          <w:lang w:eastAsia="de-DE"/>
        </w:rPr>
        <w:t>בְּמִצְרָיִם</w:t>
      </w:r>
      <w:r w:rsidRPr="00324616">
        <w:rPr>
          <w:rFonts w:eastAsia="Times New Roman"/>
          <w:rtl/>
          <w:lang w:eastAsia="de-DE"/>
        </w:rPr>
        <w:t xml:space="preserve"> </w:t>
      </w:r>
      <w:r w:rsidRPr="00324616">
        <w:rPr>
          <w:rFonts w:eastAsia="Times New Roman"/>
          <w:lang w:eastAsia="de-DE"/>
        </w:rPr>
        <w:t>als Ortsangabe.</w:t>
      </w:r>
    </w:p>
    <w:p w14:paraId="6464428B"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rtl/>
          <w:lang w:eastAsia="de-DE"/>
        </w:rPr>
        <w:t>וַיּוֹצִיאֵנוּ יְהוָה מִמִּצְרַיִם בְּיָד חֲזָקָה</w:t>
      </w:r>
      <w:r w:rsidRPr="00324616">
        <w:rPr>
          <w:rFonts w:eastAsia="Times New Roman"/>
          <w:rtl/>
          <w:lang w:eastAsia="de-DE"/>
        </w:rPr>
        <w:t xml:space="preserve"> </w:t>
      </w:r>
      <w:r w:rsidRPr="00324616">
        <w:rPr>
          <w:rFonts w:eastAsia="Times New Roman"/>
          <w:lang w:eastAsia="de-DE"/>
        </w:rPr>
        <w:t xml:space="preserve">ist koordiniert: </w:t>
      </w:r>
      <w:r w:rsidRPr="00324616">
        <w:rPr>
          <w:rFonts w:eastAsia="Times New Roman"/>
          <w:b/>
          <w:bCs/>
          <w:rtl/>
          <w:lang w:eastAsia="de-DE"/>
        </w:rPr>
        <w:t>וַיּוֹצִיאֵנוּ</w:t>
      </w:r>
      <w:r w:rsidRPr="00324616">
        <w:rPr>
          <w:rFonts w:eastAsia="Times New Roman"/>
          <w:rtl/>
          <w:lang w:eastAsia="de-DE"/>
        </w:rPr>
        <w:t xml:space="preserve"> </w:t>
      </w:r>
      <w:r w:rsidRPr="00324616">
        <w:rPr>
          <w:rFonts w:eastAsia="Times New Roman"/>
          <w:lang w:eastAsia="de-DE"/>
        </w:rPr>
        <w:t xml:space="preserve">(Hifil Imperfekt consecutivum, 3. Person Singular maskulin von </w:t>
      </w:r>
      <w:r w:rsidRPr="00324616">
        <w:rPr>
          <w:rFonts w:eastAsia="Times New Roman"/>
          <w:b/>
          <w:bCs/>
          <w:rtl/>
          <w:lang w:eastAsia="de-DE"/>
        </w:rPr>
        <w:t>יצא</w:t>
      </w:r>
      <w:r w:rsidRPr="00324616">
        <w:rPr>
          <w:rFonts w:eastAsia="Times New Roman"/>
          <w:lang w:eastAsia="de-DE"/>
        </w:rPr>
        <w:t xml:space="preserve">, „herausführen", mit Waw und Suffix 1. Person Plural als direktes Objekt), </w:t>
      </w:r>
      <w:r w:rsidRPr="00324616">
        <w:rPr>
          <w:rFonts w:eastAsia="Times New Roman"/>
          <w:b/>
          <w:bCs/>
          <w:rtl/>
          <w:lang w:eastAsia="de-DE"/>
        </w:rPr>
        <w:t>יְהוָה</w:t>
      </w:r>
      <w:r w:rsidRPr="00324616">
        <w:rPr>
          <w:rFonts w:eastAsia="Times New Roman"/>
          <w:rtl/>
          <w:lang w:eastAsia="de-DE"/>
        </w:rPr>
        <w:t xml:space="preserve"> </w:t>
      </w:r>
      <w:r w:rsidRPr="00324616">
        <w:rPr>
          <w:rFonts w:eastAsia="Times New Roman"/>
          <w:lang w:eastAsia="de-DE"/>
        </w:rPr>
        <w:t xml:space="preserve">als Subjekt, </w:t>
      </w:r>
      <w:r w:rsidRPr="00324616">
        <w:rPr>
          <w:rFonts w:eastAsia="Times New Roman"/>
          <w:b/>
          <w:bCs/>
          <w:rtl/>
          <w:lang w:eastAsia="de-DE"/>
        </w:rPr>
        <w:t>מִמִּצְרַיִם</w:t>
      </w:r>
      <w:r w:rsidRPr="00324616">
        <w:rPr>
          <w:rFonts w:eastAsia="Times New Roman"/>
          <w:rtl/>
          <w:lang w:eastAsia="de-DE"/>
        </w:rPr>
        <w:t xml:space="preserve"> </w:t>
      </w:r>
      <w:r w:rsidRPr="00324616">
        <w:rPr>
          <w:rFonts w:eastAsia="Times New Roman"/>
          <w:lang w:eastAsia="de-DE"/>
        </w:rPr>
        <w:t>als Herkunftsangabe (</w:t>
      </w:r>
      <w:r w:rsidRPr="00324616">
        <w:rPr>
          <w:rFonts w:eastAsia="Times New Roman"/>
          <w:b/>
          <w:bCs/>
          <w:rtl/>
          <w:lang w:eastAsia="de-DE"/>
        </w:rPr>
        <w:t>מִן</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מִצְרַיִם</w:t>
      </w:r>
      <w:r w:rsidRPr="00324616">
        <w:rPr>
          <w:rFonts w:eastAsia="Times New Roman"/>
          <w:lang w:eastAsia="de-DE"/>
        </w:rPr>
        <w:t xml:space="preserve">), </w:t>
      </w:r>
      <w:r w:rsidRPr="00324616">
        <w:rPr>
          <w:rFonts w:eastAsia="Times New Roman"/>
          <w:b/>
          <w:bCs/>
          <w:rtl/>
          <w:lang w:eastAsia="de-DE"/>
        </w:rPr>
        <w:t>בְּיָד חֲזָקָה</w:t>
      </w:r>
      <w:r w:rsidRPr="00324616">
        <w:rPr>
          <w:rFonts w:eastAsia="Times New Roman"/>
          <w:rtl/>
          <w:lang w:eastAsia="de-DE"/>
        </w:rPr>
        <w:t xml:space="preserve"> </w:t>
      </w:r>
      <w:r w:rsidRPr="00324616">
        <w:rPr>
          <w:rFonts w:eastAsia="Times New Roman"/>
          <w:lang w:eastAsia="de-DE"/>
        </w:rPr>
        <w:t>als modale bzw. instrumentale Bestimmung (</w:t>
      </w:r>
      <w:r w:rsidRPr="00324616">
        <w:rPr>
          <w:rFonts w:eastAsia="Times New Roman"/>
          <w:b/>
          <w:bCs/>
          <w:rtl/>
          <w:lang w:eastAsia="de-DE"/>
        </w:rPr>
        <w:t>בְּ</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יָד</w:t>
      </w:r>
      <w:r w:rsidRPr="00324616">
        <w:rPr>
          <w:rFonts w:eastAsia="Times New Roman"/>
          <w:rtl/>
          <w:lang w:eastAsia="de-DE"/>
        </w:rPr>
        <w:t xml:space="preserve"> </w:t>
      </w:r>
      <w:r w:rsidRPr="00324616">
        <w:rPr>
          <w:rFonts w:eastAsia="Times New Roman"/>
          <w:lang w:eastAsia="de-DE"/>
        </w:rPr>
        <w:t xml:space="preserve">im Construct und Adjektiv </w:t>
      </w:r>
      <w:r w:rsidRPr="00324616">
        <w:rPr>
          <w:rFonts w:eastAsia="Times New Roman"/>
          <w:b/>
          <w:bCs/>
          <w:rtl/>
          <w:lang w:eastAsia="de-DE"/>
        </w:rPr>
        <w:t>חֲזָקָה</w:t>
      </w:r>
      <w:r w:rsidRPr="00324616">
        <w:rPr>
          <w:rFonts w:eastAsia="Times New Roman"/>
          <w:rtl/>
          <w:lang w:eastAsia="de-DE"/>
        </w:rPr>
        <w:t xml:space="preserve"> </w:t>
      </w:r>
      <w:r w:rsidRPr="00324616">
        <w:rPr>
          <w:rFonts w:eastAsia="Times New Roman"/>
          <w:lang w:eastAsia="de-DE"/>
        </w:rPr>
        <w:t>– „mit starker Hand").</w:t>
      </w:r>
    </w:p>
    <w:p w14:paraId="7559C4CE"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Die Antwort beginnt nicht mit abstrakten Definitionen der Gebote, sondern mit der Heilsgeschichte: „Wir waren Sklaven..." Die Verwendung der 1. Person Plural (</w:t>
      </w:r>
      <w:r w:rsidRPr="00324616">
        <w:rPr>
          <w:rFonts w:eastAsia="Times New Roman"/>
          <w:b/>
          <w:bCs/>
          <w:rtl/>
          <w:lang w:eastAsia="de-DE"/>
        </w:rPr>
        <w:t>הָיִינוּ</w:t>
      </w:r>
      <w:r w:rsidRPr="00324616">
        <w:rPr>
          <w:rFonts w:eastAsia="Times New Roman"/>
          <w:lang w:eastAsia="de-DE"/>
        </w:rPr>
        <w:t xml:space="preserve">, „wir waren") schließt auch die gegenwärtige Generation in die Exoduserfahrung ein – jede Generation soll sich als aus Ägypten befreit verstehen. Diese Identifikation ist zentral für das jüdische Pessach-Fest. Die Formel </w:t>
      </w:r>
      <w:r w:rsidRPr="00324616">
        <w:rPr>
          <w:rFonts w:eastAsia="Times New Roman"/>
          <w:b/>
          <w:bCs/>
          <w:rtl/>
          <w:lang w:eastAsia="de-DE"/>
        </w:rPr>
        <w:t>בְּיָד חֲזָקָה</w:t>
      </w:r>
      <w:r w:rsidRPr="00324616">
        <w:rPr>
          <w:rFonts w:eastAsia="Times New Roman"/>
          <w:rtl/>
          <w:lang w:eastAsia="de-DE"/>
        </w:rPr>
        <w:t xml:space="preserve"> </w:t>
      </w:r>
      <w:r w:rsidRPr="00324616">
        <w:rPr>
          <w:rFonts w:eastAsia="Times New Roman"/>
          <w:lang w:eastAsia="de-DE"/>
        </w:rPr>
        <w:t>(„mit starker Hand") ist eine klassische Exodusformel (vgl. 4,34; 5,15; 7,8.19; 9,26; 11,2; 26,8; Ex 3,19; 6,1; 13,3.9.14.16; 32,11).</w:t>
      </w:r>
    </w:p>
    <w:p w14:paraId="0FE00BC6"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Die Satzstruktur ist ein imperativisches Perfekt consecutivum mit indirektem Objekt, gefolgt von einem nominalen Satz mit Prädikatsnomen, Kopula, Dativangabe und Ortsangabe, sowie einem koordinierten Hauptsatz mit Prädikat und Suffix-Objekt, Subjekt, Herkunftsangabe und modaler bzw. instrumentaler Bestimmung. Die Struktur etabliert die heilsgeschichtliche Antwort als Ausgangspunkt der Katechese.</w:t>
      </w:r>
    </w:p>
    <w:p w14:paraId="21306500"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Der Vers gibt die vorgeschriebene Antwort: Beginne mit der Heilsgeschichte – „Wir waren Sklaven in Ägypten, aber JHWH hat uns mit starker Hand herausgeführt." Die Gebote gründen in der Erfahrung der Befreiung.</w:t>
      </w:r>
    </w:p>
    <w:p w14:paraId="589F8212" w14:textId="77777777" w:rsidR="00324616" w:rsidRPr="00324616" w:rsidRDefault="00324616" w:rsidP="00324616">
      <w:pPr>
        <w:spacing w:before="100" w:beforeAutospacing="1" w:after="100" w:afterAutospacing="1" w:line="240" w:lineRule="auto"/>
        <w:outlineLvl w:val="1"/>
        <w:rPr>
          <w:rFonts w:eastAsia="Times New Roman"/>
          <w:b/>
          <w:bCs/>
          <w:sz w:val="36"/>
          <w:szCs w:val="36"/>
          <w:lang w:eastAsia="de-DE"/>
        </w:rPr>
      </w:pPr>
      <w:r w:rsidRPr="00324616">
        <w:rPr>
          <w:rFonts w:eastAsia="Times New Roman"/>
          <w:b/>
          <w:bCs/>
          <w:sz w:val="36"/>
          <w:szCs w:val="36"/>
          <w:lang w:eastAsia="de-DE"/>
        </w:rPr>
        <w:t>Deuteronomium 6,22</w:t>
      </w:r>
    </w:p>
    <w:p w14:paraId="7A4DDAE8"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Hebräisch:</w:t>
      </w:r>
      <w:r w:rsidRPr="00324616">
        <w:rPr>
          <w:rFonts w:eastAsia="Times New Roman"/>
          <w:lang w:eastAsia="de-DE"/>
        </w:rPr>
        <w:t xml:space="preserve"> </w:t>
      </w:r>
      <w:r w:rsidRPr="00324616">
        <w:rPr>
          <w:rFonts w:eastAsia="Times New Roman"/>
          <w:rtl/>
          <w:lang w:eastAsia="de-DE"/>
        </w:rPr>
        <w:t>וַיִּתֵּן יְהוָה אוֹתֹת וּמֹפְתִים גְּדֹלִים וְרָעִים בְּמִצְרַיִם בְּפַרְעֹה וּבְכָל־בֵּיתוֹ לְעֵינֵינוּ׃</w:t>
      </w:r>
    </w:p>
    <w:p w14:paraId="17D3E57A"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lastRenderedPageBreak/>
        <w:t>Deutsch:</w:t>
      </w:r>
      <w:r w:rsidRPr="00324616">
        <w:rPr>
          <w:rFonts w:eastAsia="Times New Roman"/>
          <w:lang w:eastAsia="de-DE"/>
        </w:rPr>
        <w:t xml:space="preserve"> Und der Ewige gab Zeichen und große und böse Wunder an Mizrajim, an Par'o und an seinem ganzen Haus, vor unseren Augen.</w:t>
      </w:r>
    </w:p>
    <w:p w14:paraId="37174214" w14:textId="77777777" w:rsidR="00324616" w:rsidRPr="00324616" w:rsidRDefault="004F5CEB" w:rsidP="00324616">
      <w:pPr>
        <w:spacing w:after="0" w:line="240" w:lineRule="auto"/>
        <w:rPr>
          <w:rFonts w:eastAsia="Times New Roman"/>
          <w:lang w:eastAsia="de-DE"/>
        </w:rPr>
      </w:pPr>
      <w:r>
        <w:rPr>
          <w:rFonts w:eastAsia="Times New Roman"/>
          <w:noProof/>
          <w:lang w:eastAsia="de-DE"/>
        </w:rPr>
        <w:pict w14:anchorId="3C9185B2">
          <v:rect id="_x0000_i1240" style="width:0;height:1.5pt" o:hralign="center" o:hrstd="t" o:hr="t" fillcolor="#a0a0a0" stroked="f"/>
        </w:pict>
      </w:r>
    </w:p>
    <w:p w14:paraId="124EBB0E"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Kommentar:</w:t>
      </w:r>
      <w:r w:rsidRPr="00324616">
        <w:rPr>
          <w:rFonts w:eastAsia="Times New Roman"/>
          <w:lang w:eastAsia="de-DE"/>
        </w:rPr>
        <w:t xml:space="preserve"> </w:t>
      </w:r>
      <w:r w:rsidRPr="00324616">
        <w:rPr>
          <w:rFonts w:eastAsia="Times New Roman"/>
          <w:b/>
          <w:bCs/>
          <w:rtl/>
          <w:lang w:eastAsia="de-DE"/>
        </w:rPr>
        <w:t>וַיִּתֵּן יְהוָה אוֹתֹת וּמֹפְתִים גְּדֹלִים וְרָעִים בְּמִצְרַיִם</w:t>
      </w:r>
      <w:r w:rsidRPr="00324616">
        <w:rPr>
          <w:rFonts w:eastAsia="Times New Roman"/>
          <w:rtl/>
          <w:lang w:eastAsia="de-DE"/>
        </w:rPr>
        <w:t xml:space="preserve"> </w:t>
      </w:r>
      <w:r w:rsidRPr="00324616">
        <w:rPr>
          <w:rFonts w:eastAsia="Times New Roman"/>
          <w:lang w:eastAsia="de-DE"/>
        </w:rPr>
        <w:t xml:space="preserve">ist Qal Imperfekt consecutivum, 3. Person Singular maskulin von </w:t>
      </w:r>
      <w:r w:rsidRPr="00324616">
        <w:rPr>
          <w:rFonts w:eastAsia="Times New Roman"/>
          <w:b/>
          <w:bCs/>
          <w:rtl/>
          <w:lang w:eastAsia="de-DE"/>
        </w:rPr>
        <w:t>נתן</w:t>
      </w:r>
      <w:r w:rsidRPr="00324616">
        <w:rPr>
          <w:rFonts w:eastAsia="Times New Roman"/>
          <w:rtl/>
          <w:lang w:eastAsia="de-DE"/>
        </w:rPr>
        <w:t xml:space="preserve"> </w:t>
      </w:r>
      <w:r w:rsidRPr="00324616">
        <w:rPr>
          <w:rFonts w:eastAsia="Times New Roman"/>
          <w:lang w:eastAsia="de-DE"/>
        </w:rPr>
        <w:t xml:space="preserve">(„geben, tun, wirken") mit Waw, </w:t>
      </w:r>
      <w:r w:rsidRPr="00324616">
        <w:rPr>
          <w:rFonts w:eastAsia="Times New Roman"/>
          <w:b/>
          <w:bCs/>
          <w:rtl/>
          <w:lang w:eastAsia="de-DE"/>
        </w:rPr>
        <w:t>יְהוָה</w:t>
      </w:r>
      <w:r w:rsidRPr="00324616">
        <w:rPr>
          <w:rFonts w:eastAsia="Times New Roman"/>
          <w:rtl/>
          <w:lang w:eastAsia="de-DE"/>
        </w:rPr>
        <w:t xml:space="preserve"> </w:t>
      </w:r>
      <w:r w:rsidRPr="00324616">
        <w:rPr>
          <w:rFonts w:eastAsia="Times New Roman"/>
          <w:lang w:eastAsia="de-DE"/>
        </w:rPr>
        <w:t xml:space="preserve">als Subjekt, </w:t>
      </w:r>
      <w:r w:rsidRPr="00324616">
        <w:rPr>
          <w:rFonts w:eastAsia="Times New Roman"/>
          <w:b/>
          <w:bCs/>
          <w:rtl/>
          <w:lang w:eastAsia="de-DE"/>
        </w:rPr>
        <w:t>אוֹתֹת וּמֹפְתִים גְּדֹלִים וְרָעִים</w:t>
      </w:r>
      <w:r w:rsidRPr="00324616">
        <w:rPr>
          <w:rFonts w:eastAsia="Times New Roman"/>
          <w:rtl/>
          <w:lang w:eastAsia="de-DE"/>
        </w:rPr>
        <w:t xml:space="preserve"> </w:t>
      </w:r>
      <w:r w:rsidRPr="00324616">
        <w:rPr>
          <w:rFonts w:eastAsia="Times New Roman"/>
          <w:lang w:eastAsia="de-DE"/>
        </w:rPr>
        <w:t>als direktes Objekt – eine zweigliedrige koordinierte Objektkette mit gemeinsamen Attributen (</w:t>
      </w:r>
      <w:r w:rsidRPr="00324616">
        <w:rPr>
          <w:rFonts w:eastAsia="Times New Roman"/>
          <w:b/>
          <w:bCs/>
          <w:rtl/>
          <w:lang w:eastAsia="de-DE"/>
        </w:rPr>
        <w:t>אוֹת</w:t>
      </w:r>
      <w:r w:rsidRPr="00324616">
        <w:rPr>
          <w:rFonts w:eastAsia="Times New Roman"/>
          <w:lang w:eastAsia="de-DE"/>
        </w:rPr>
        <w:t xml:space="preserve">, „Zeichen", Plural, und </w:t>
      </w:r>
      <w:r w:rsidRPr="00324616">
        <w:rPr>
          <w:rFonts w:eastAsia="Times New Roman"/>
          <w:b/>
          <w:bCs/>
          <w:rtl/>
          <w:lang w:eastAsia="de-DE"/>
        </w:rPr>
        <w:t>מוֹפֵת</w:t>
      </w:r>
      <w:r w:rsidRPr="00324616">
        <w:rPr>
          <w:rFonts w:eastAsia="Times New Roman"/>
          <w:lang w:eastAsia="de-DE"/>
        </w:rPr>
        <w:t xml:space="preserve">, „Wunder, Zeichen", Plural, beide mit den Adjektiven </w:t>
      </w:r>
      <w:r w:rsidRPr="00324616">
        <w:rPr>
          <w:rFonts w:eastAsia="Times New Roman"/>
          <w:b/>
          <w:bCs/>
          <w:rtl/>
          <w:lang w:eastAsia="de-DE"/>
        </w:rPr>
        <w:t>גְּדֹלִים</w:t>
      </w:r>
      <w:r w:rsidRPr="00324616">
        <w:rPr>
          <w:rFonts w:eastAsia="Times New Roman"/>
          <w:lang w:eastAsia="de-DE"/>
        </w:rPr>
        <w:t xml:space="preserve">, „große", und </w:t>
      </w:r>
      <w:r w:rsidRPr="00324616">
        <w:rPr>
          <w:rFonts w:eastAsia="Times New Roman"/>
          <w:b/>
          <w:bCs/>
          <w:rtl/>
          <w:lang w:eastAsia="de-DE"/>
        </w:rPr>
        <w:t>רָעִים</w:t>
      </w:r>
      <w:r w:rsidRPr="00324616">
        <w:rPr>
          <w:rFonts w:eastAsia="Times New Roman"/>
          <w:lang w:eastAsia="de-DE"/>
        </w:rPr>
        <w:t xml:space="preserve">, „böse, schlimm", Plural maskulin), </w:t>
      </w:r>
      <w:r w:rsidRPr="00324616">
        <w:rPr>
          <w:rFonts w:eastAsia="Times New Roman"/>
          <w:b/>
          <w:bCs/>
          <w:rtl/>
          <w:lang w:eastAsia="de-DE"/>
        </w:rPr>
        <w:t>בְּמִצְרַיִם</w:t>
      </w:r>
      <w:r w:rsidRPr="00324616">
        <w:rPr>
          <w:rFonts w:eastAsia="Times New Roman"/>
          <w:rtl/>
          <w:lang w:eastAsia="de-DE"/>
        </w:rPr>
        <w:t xml:space="preserve"> </w:t>
      </w:r>
      <w:r w:rsidRPr="00324616">
        <w:rPr>
          <w:rFonts w:eastAsia="Times New Roman"/>
          <w:lang w:eastAsia="de-DE"/>
        </w:rPr>
        <w:t>als Ortsangabe.</w:t>
      </w:r>
    </w:p>
    <w:p w14:paraId="716ACDFE" w14:textId="12C69609"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rtl/>
          <w:lang w:eastAsia="de-DE"/>
        </w:rPr>
        <w:t>בְּפַרְעֹה וּבְכָל־בֵּיתוֹ</w:t>
      </w:r>
      <w:r w:rsidRPr="00324616">
        <w:rPr>
          <w:rFonts w:eastAsia="Times New Roman"/>
          <w:rtl/>
          <w:lang w:eastAsia="de-DE"/>
        </w:rPr>
        <w:t xml:space="preserve"> </w:t>
      </w:r>
      <w:r w:rsidRPr="00324616">
        <w:rPr>
          <w:rFonts w:eastAsia="Times New Roman"/>
          <w:lang w:eastAsia="de-DE"/>
        </w:rPr>
        <w:t xml:space="preserve">ist eine zweigliedrige Erweiterung: </w:t>
      </w:r>
      <w:r w:rsidRPr="00324616">
        <w:rPr>
          <w:rFonts w:eastAsia="Times New Roman"/>
          <w:b/>
          <w:bCs/>
          <w:rtl/>
          <w:lang w:eastAsia="de-DE"/>
        </w:rPr>
        <w:t>בְּפַרְעֹה</w:t>
      </w:r>
      <w:r w:rsidRPr="00324616">
        <w:rPr>
          <w:rFonts w:eastAsia="Times New Roman"/>
          <w:rtl/>
          <w:lang w:eastAsia="de-DE"/>
        </w:rPr>
        <w:t xml:space="preserve"> </w:t>
      </w:r>
      <w:r w:rsidRPr="00324616">
        <w:rPr>
          <w:rFonts w:eastAsia="Times New Roman"/>
          <w:lang w:eastAsia="de-DE"/>
        </w:rPr>
        <w:t>(</w:t>
      </w:r>
      <w:r w:rsidRPr="00324616">
        <w:rPr>
          <w:rFonts w:eastAsia="Times New Roman"/>
          <w:b/>
          <w:bCs/>
          <w:rtl/>
          <w:lang w:eastAsia="de-DE"/>
        </w:rPr>
        <w:t>בְּ</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פַּרְעֹה</w:t>
      </w:r>
      <w:r w:rsidRPr="00324616">
        <w:rPr>
          <w:rFonts w:eastAsia="Times New Roman"/>
          <w:rtl/>
          <w:lang w:eastAsia="de-DE"/>
        </w:rPr>
        <w:t xml:space="preserve"> </w:t>
      </w:r>
      <w:r w:rsidRPr="00324616">
        <w:rPr>
          <w:rFonts w:eastAsia="Times New Roman"/>
          <w:lang w:eastAsia="de-DE"/>
        </w:rPr>
        <w:t xml:space="preserve">– hier wohl „an </w:t>
      </w:r>
      <w:r w:rsidR="003F0E7B">
        <w:rPr>
          <w:rFonts w:eastAsia="Times New Roman"/>
          <w:lang w:eastAsia="de-DE"/>
        </w:rPr>
        <w:t>Par’o</w:t>
      </w:r>
      <w:r w:rsidRPr="00324616">
        <w:rPr>
          <w:rFonts w:eastAsia="Times New Roman"/>
          <w:lang w:eastAsia="de-DE"/>
        </w:rPr>
        <w:t xml:space="preserve">, gegen </w:t>
      </w:r>
      <w:r w:rsidR="003F0E7B">
        <w:rPr>
          <w:rFonts w:eastAsia="Times New Roman"/>
          <w:lang w:eastAsia="de-DE"/>
        </w:rPr>
        <w:t>Par’o</w:t>
      </w:r>
      <w:r w:rsidRPr="00324616">
        <w:rPr>
          <w:rFonts w:eastAsia="Times New Roman"/>
          <w:lang w:eastAsia="de-DE"/>
        </w:rPr>
        <w:t xml:space="preserve">"), </w:t>
      </w:r>
      <w:r w:rsidRPr="00324616">
        <w:rPr>
          <w:rFonts w:eastAsia="Times New Roman"/>
          <w:b/>
          <w:bCs/>
          <w:rtl/>
          <w:lang w:eastAsia="de-DE"/>
        </w:rPr>
        <w:t>וּבְכָל־בֵּיתוֹ</w:t>
      </w:r>
      <w:r w:rsidRPr="00324616">
        <w:rPr>
          <w:rFonts w:eastAsia="Times New Roman"/>
          <w:rtl/>
          <w:lang w:eastAsia="de-DE"/>
        </w:rPr>
        <w:t xml:space="preserve"> </w:t>
      </w:r>
      <w:r w:rsidRPr="00324616">
        <w:rPr>
          <w:rFonts w:eastAsia="Times New Roman"/>
          <w:lang w:eastAsia="de-DE"/>
        </w:rPr>
        <w:t>koordiniert (</w:t>
      </w:r>
      <w:r w:rsidRPr="00324616">
        <w:rPr>
          <w:rFonts w:eastAsia="Times New Roman"/>
          <w:b/>
          <w:bCs/>
          <w:rtl/>
          <w:lang w:eastAsia="de-DE"/>
        </w:rPr>
        <w:t>בְּ</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כָּל</w:t>
      </w:r>
      <w:r w:rsidRPr="00324616">
        <w:rPr>
          <w:rFonts w:eastAsia="Times New Roman"/>
          <w:rtl/>
          <w:lang w:eastAsia="de-DE"/>
        </w:rPr>
        <w:t xml:space="preserve"> </w:t>
      </w:r>
      <w:r w:rsidRPr="00324616">
        <w:rPr>
          <w:rFonts w:eastAsia="Times New Roman"/>
          <w:lang w:eastAsia="de-DE"/>
        </w:rPr>
        <w:t xml:space="preserve">im Construct, </w:t>
      </w:r>
      <w:r w:rsidRPr="00324616">
        <w:rPr>
          <w:rFonts w:eastAsia="Times New Roman"/>
          <w:b/>
          <w:bCs/>
          <w:rtl/>
          <w:lang w:eastAsia="de-DE"/>
        </w:rPr>
        <w:t>בַּיִת</w:t>
      </w:r>
      <w:r w:rsidRPr="00324616">
        <w:rPr>
          <w:rFonts w:eastAsia="Times New Roman"/>
          <w:rtl/>
          <w:lang w:eastAsia="de-DE"/>
        </w:rPr>
        <w:t xml:space="preserve"> </w:t>
      </w:r>
      <w:r w:rsidRPr="00324616">
        <w:rPr>
          <w:rFonts w:eastAsia="Times New Roman"/>
          <w:lang w:eastAsia="de-DE"/>
        </w:rPr>
        <w:t xml:space="preserve">und Suffix 3. Person Singular maskulin – „an/gegen sein ganzes Haus"). </w:t>
      </w:r>
      <w:r w:rsidRPr="00324616">
        <w:rPr>
          <w:rFonts w:eastAsia="Times New Roman"/>
          <w:b/>
          <w:bCs/>
          <w:rtl/>
          <w:lang w:eastAsia="de-DE"/>
        </w:rPr>
        <w:t>לְעֵינֵינוּ</w:t>
      </w:r>
      <w:r w:rsidRPr="00324616">
        <w:rPr>
          <w:rFonts w:eastAsia="Times New Roman"/>
          <w:rtl/>
          <w:lang w:eastAsia="de-DE"/>
        </w:rPr>
        <w:t xml:space="preserve"> </w:t>
      </w:r>
      <w:r w:rsidRPr="00324616">
        <w:rPr>
          <w:rFonts w:eastAsia="Times New Roman"/>
          <w:lang w:eastAsia="de-DE"/>
        </w:rPr>
        <w:t xml:space="preserve">ist eine modale bzw. lokale Bestimmung: </w:t>
      </w:r>
      <w:r w:rsidRPr="00324616">
        <w:rPr>
          <w:rFonts w:eastAsia="Times New Roman"/>
          <w:b/>
          <w:bCs/>
          <w:rtl/>
          <w:lang w:eastAsia="de-DE"/>
        </w:rPr>
        <w:t>לְ</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עַיִן</w:t>
      </w:r>
      <w:r w:rsidRPr="00324616">
        <w:rPr>
          <w:rFonts w:eastAsia="Times New Roman"/>
          <w:lang w:eastAsia="de-DE"/>
        </w:rPr>
        <w:t>, Dual („Auge[n]"), und Suffix 1. Person Plural – „vor unseren Augen, in unserem Angesicht".</w:t>
      </w:r>
    </w:p>
    <w:p w14:paraId="296D752C"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 xml:space="preserve">Die Wendung </w:t>
      </w:r>
      <w:r w:rsidRPr="00324616">
        <w:rPr>
          <w:rFonts w:eastAsia="Times New Roman"/>
          <w:b/>
          <w:bCs/>
          <w:rtl/>
          <w:lang w:eastAsia="de-DE"/>
        </w:rPr>
        <w:t>אוֹתֹת וּמֹפְתִים</w:t>
      </w:r>
      <w:r w:rsidRPr="00324616">
        <w:rPr>
          <w:rFonts w:eastAsia="Times New Roman"/>
          <w:rtl/>
          <w:lang w:eastAsia="de-DE"/>
        </w:rPr>
        <w:t xml:space="preserve"> </w:t>
      </w:r>
      <w:r w:rsidRPr="00324616">
        <w:rPr>
          <w:rFonts w:eastAsia="Times New Roman"/>
          <w:lang w:eastAsia="de-DE"/>
        </w:rPr>
        <w:t xml:space="preserve">(„Zeichen und Wunder") ist eine feststehende Formel für die Plagen und Wunder beim Exodus (vgl. 4,34; 7,19; 26,8; 29,2; 34,11; Ex 7,3; 11,9.10). Die Adjektive </w:t>
      </w:r>
      <w:r w:rsidRPr="00324616">
        <w:rPr>
          <w:rFonts w:eastAsia="Times New Roman"/>
          <w:b/>
          <w:bCs/>
          <w:rtl/>
          <w:lang w:eastAsia="de-DE"/>
        </w:rPr>
        <w:t>גְּדֹלִים וְרָעִים</w:t>
      </w:r>
      <w:r w:rsidRPr="00324616">
        <w:rPr>
          <w:rFonts w:eastAsia="Times New Roman"/>
          <w:rtl/>
          <w:lang w:eastAsia="de-DE"/>
        </w:rPr>
        <w:t xml:space="preserve"> </w:t>
      </w:r>
      <w:r w:rsidRPr="00324616">
        <w:rPr>
          <w:rFonts w:eastAsia="Times New Roman"/>
          <w:lang w:eastAsia="de-DE"/>
        </w:rPr>
        <w:t xml:space="preserve">(„groß und böse/schlimm") betonen sowohl die Macht als auch den verheerenden Charakter der Plagen für Ägypten. Die Wendung </w:t>
      </w:r>
      <w:r w:rsidRPr="00324616">
        <w:rPr>
          <w:rFonts w:eastAsia="Times New Roman"/>
          <w:b/>
          <w:bCs/>
          <w:rtl/>
          <w:lang w:eastAsia="de-DE"/>
        </w:rPr>
        <w:t>לְעֵינֵינוּ</w:t>
      </w:r>
      <w:r w:rsidRPr="00324616">
        <w:rPr>
          <w:rFonts w:eastAsia="Times New Roman"/>
          <w:rtl/>
          <w:lang w:eastAsia="de-DE"/>
        </w:rPr>
        <w:t xml:space="preserve"> </w:t>
      </w:r>
      <w:r w:rsidRPr="00324616">
        <w:rPr>
          <w:rFonts w:eastAsia="Times New Roman"/>
          <w:lang w:eastAsia="de-DE"/>
        </w:rPr>
        <w:t>(„vor unseren Augen") unterstreicht wieder die Identifikation der gegenwärtigen Generation mit der Exodusgeneration – jede Generation soll sich als Augenzeugin verstehen.</w:t>
      </w:r>
    </w:p>
    <w:p w14:paraId="6734E20A"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 xml:space="preserve">Die Satzstruktur ist ein konsekutives Verb mit Subjekt, zweigliedriger koordinierter Objektkette (mit gemeinsamen Attributen), Ortsangabe, zweigliedriger Erweiterung (beide mit </w:t>
      </w:r>
      <w:r w:rsidRPr="00324616">
        <w:rPr>
          <w:rFonts w:eastAsia="Times New Roman"/>
          <w:b/>
          <w:bCs/>
          <w:rtl/>
          <w:lang w:eastAsia="de-DE"/>
        </w:rPr>
        <w:t>בְּ</w:t>
      </w:r>
      <w:r w:rsidRPr="00324616">
        <w:rPr>
          <w:rFonts w:eastAsia="Times New Roman"/>
          <w:lang w:eastAsia="de-DE"/>
        </w:rPr>
        <w:t>) und modaler bzw. lokaler Bestimmung. Die Struktur setzt die Heilsgeschichtserzählung fort.</w:t>
      </w:r>
    </w:p>
    <w:p w14:paraId="72D0774A" w14:textId="4B452115"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 xml:space="preserve">Der Vers setzt die katechetische Antwort fort: JHWH wirkte große und schreckliche Zeichen und Wunder in Ägypten gegen </w:t>
      </w:r>
      <w:r w:rsidR="003F0E7B">
        <w:rPr>
          <w:rFonts w:eastAsia="Times New Roman"/>
          <w:lang w:eastAsia="de-DE"/>
        </w:rPr>
        <w:t>Par’o</w:t>
      </w:r>
      <w:r w:rsidRPr="00324616">
        <w:rPr>
          <w:rFonts w:eastAsia="Times New Roman"/>
          <w:lang w:eastAsia="de-DE"/>
        </w:rPr>
        <w:t xml:space="preserve"> und sein ganzes Haus – vor den Augen Israels.</w:t>
      </w:r>
    </w:p>
    <w:p w14:paraId="427D5409" w14:textId="77777777" w:rsidR="00324616" w:rsidRPr="00324616" w:rsidRDefault="00324616" w:rsidP="00324616">
      <w:pPr>
        <w:spacing w:before="100" w:beforeAutospacing="1" w:after="100" w:afterAutospacing="1" w:line="240" w:lineRule="auto"/>
        <w:outlineLvl w:val="1"/>
        <w:rPr>
          <w:rFonts w:eastAsia="Times New Roman"/>
          <w:b/>
          <w:bCs/>
          <w:sz w:val="36"/>
          <w:szCs w:val="36"/>
          <w:lang w:eastAsia="de-DE"/>
        </w:rPr>
      </w:pPr>
      <w:r w:rsidRPr="00324616">
        <w:rPr>
          <w:rFonts w:eastAsia="Times New Roman"/>
          <w:b/>
          <w:bCs/>
          <w:sz w:val="36"/>
          <w:szCs w:val="36"/>
          <w:lang w:eastAsia="de-DE"/>
        </w:rPr>
        <w:t>Deuteronomium 6,23</w:t>
      </w:r>
    </w:p>
    <w:p w14:paraId="5D0DA460"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Hebräisch:</w:t>
      </w:r>
      <w:r w:rsidRPr="00324616">
        <w:rPr>
          <w:rFonts w:eastAsia="Times New Roman"/>
          <w:lang w:eastAsia="de-DE"/>
        </w:rPr>
        <w:t xml:space="preserve"> </w:t>
      </w:r>
      <w:r w:rsidRPr="00324616">
        <w:rPr>
          <w:rFonts w:eastAsia="Times New Roman"/>
          <w:rtl/>
          <w:lang w:eastAsia="de-DE"/>
        </w:rPr>
        <w:t>וְאוֹתָנוּ הוֹצִיא מִשָּׁם לְמַעַן הָבִיא אֹתָנוּ לָתֶת לָנוּ אֶת־הָאָרֶץ אֲשֶׁר נִשְׁבַּע לַאֲבֹתֵינוּ׃</w:t>
      </w:r>
    </w:p>
    <w:p w14:paraId="6F67DF2C"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Deutsch:</w:t>
      </w:r>
      <w:r w:rsidRPr="00324616">
        <w:rPr>
          <w:rFonts w:eastAsia="Times New Roman"/>
          <w:lang w:eastAsia="de-DE"/>
        </w:rPr>
        <w:t xml:space="preserve"> Und uns führte er von dort heraus, um uns hierher zu bringen, uns zu geben das Land, das er unseren Vätern zugeschworen hat.</w:t>
      </w:r>
    </w:p>
    <w:p w14:paraId="7EE99530" w14:textId="77777777" w:rsidR="00324616" w:rsidRPr="00324616" w:rsidRDefault="004F5CEB" w:rsidP="00324616">
      <w:pPr>
        <w:spacing w:after="0" w:line="240" w:lineRule="auto"/>
        <w:rPr>
          <w:rFonts w:eastAsia="Times New Roman"/>
          <w:lang w:eastAsia="de-DE"/>
        </w:rPr>
      </w:pPr>
      <w:r>
        <w:rPr>
          <w:rFonts w:eastAsia="Times New Roman"/>
          <w:noProof/>
          <w:lang w:eastAsia="de-DE"/>
        </w:rPr>
        <w:pict w14:anchorId="35C2D3D5">
          <v:rect id="_x0000_i1241" style="width:0;height:1.5pt" o:hralign="center" o:hrstd="t" o:hr="t" fillcolor="#a0a0a0" stroked="f"/>
        </w:pict>
      </w:r>
    </w:p>
    <w:p w14:paraId="620D5C87"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Kommentar:</w:t>
      </w:r>
      <w:r w:rsidRPr="00324616">
        <w:rPr>
          <w:rFonts w:eastAsia="Times New Roman"/>
          <w:lang w:eastAsia="de-DE"/>
        </w:rPr>
        <w:t xml:space="preserve"> </w:t>
      </w:r>
      <w:r w:rsidRPr="00324616">
        <w:rPr>
          <w:rFonts w:eastAsia="Times New Roman"/>
          <w:b/>
          <w:bCs/>
          <w:rtl/>
          <w:lang w:eastAsia="de-DE"/>
        </w:rPr>
        <w:t>וְאוֹתָנוּ הוֹצִיא מִשָּׁם</w:t>
      </w:r>
      <w:r w:rsidRPr="00324616">
        <w:rPr>
          <w:rFonts w:eastAsia="Times New Roman"/>
          <w:rtl/>
          <w:lang w:eastAsia="de-DE"/>
        </w:rPr>
        <w:t xml:space="preserve"> </w:t>
      </w:r>
      <w:r w:rsidRPr="00324616">
        <w:rPr>
          <w:rFonts w:eastAsia="Times New Roman"/>
          <w:lang w:eastAsia="de-DE"/>
        </w:rPr>
        <w:t xml:space="preserve">ist ein Hauptsatz mit vorausgestelltem direktem Objekt: </w:t>
      </w:r>
      <w:r w:rsidRPr="00324616">
        <w:rPr>
          <w:rFonts w:eastAsia="Times New Roman"/>
          <w:b/>
          <w:bCs/>
          <w:rtl/>
          <w:lang w:eastAsia="de-DE"/>
        </w:rPr>
        <w:t>וְאוֹתָנוּ</w:t>
      </w:r>
      <w:r w:rsidRPr="00324616">
        <w:rPr>
          <w:rFonts w:eastAsia="Times New Roman"/>
          <w:rtl/>
          <w:lang w:eastAsia="de-DE"/>
        </w:rPr>
        <w:t xml:space="preserve"> </w:t>
      </w:r>
      <w:r w:rsidRPr="00324616">
        <w:rPr>
          <w:rFonts w:eastAsia="Times New Roman"/>
          <w:lang w:eastAsia="de-DE"/>
        </w:rPr>
        <w:t>(</w:t>
      </w:r>
      <w:r w:rsidRPr="00324616">
        <w:rPr>
          <w:rFonts w:eastAsia="Times New Roman"/>
          <w:b/>
          <w:bCs/>
          <w:rtl/>
          <w:lang w:eastAsia="de-DE"/>
        </w:rPr>
        <w:t>וְ</w:t>
      </w:r>
      <w:r w:rsidRPr="00324616">
        <w:rPr>
          <w:rFonts w:eastAsia="Times New Roman"/>
          <w:rtl/>
          <w:lang w:eastAsia="de-DE"/>
        </w:rPr>
        <w:t xml:space="preserve"> </w:t>
      </w:r>
      <w:r w:rsidRPr="00324616">
        <w:rPr>
          <w:rFonts w:eastAsia="Times New Roman"/>
          <w:lang w:eastAsia="de-DE"/>
        </w:rPr>
        <w:t xml:space="preserve">mit nota accusativi und Suffix 1. Person Plural – „und uns") zur Emphase vorangestellt, </w:t>
      </w:r>
      <w:r w:rsidRPr="00324616">
        <w:rPr>
          <w:rFonts w:eastAsia="Times New Roman"/>
          <w:b/>
          <w:bCs/>
          <w:rtl/>
          <w:lang w:eastAsia="de-DE"/>
        </w:rPr>
        <w:t>הוֹצִיא</w:t>
      </w:r>
      <w:r w:rsidRPr="00324616">
        <w:rPr>
          <w:rFonts w:eastAsia="Times New Roman"/>
          <w:rtl/>
          <w:lang w:eastAsia="de-DE"/>
        </w:rPr>
        <w:t xml:space="preserve"> </w:t>
      </w:r>
      <w:r w:rsidRPr="00324616">
        <w:rPr>
          <w:rFonts w:eastAsia="Times New Roman"/>
          <w:lang w:eastAsia="de-DE"/>
        </w:rPr>
        <w:t xml:space="preserve">als Hifil Perfekt, 3. Person Singular maskulin von </w:t>
      </w:r>
      <w:r w:rsidRPr="00324616">
        <w:rPr>
          <w:rFonts w:eastAsia="Times New Roman"/>
          <w:b/>
          <w:bCs/>
          <w:rtl/>
          <w:lang w:eastAsia="de-DE"/>
        </w:rPr>
        <w:t>יצא</w:t>
      </w:r>
      <w:r w:rsidRPr="00324616">
        <w:rPr>
          <w:rFonts w:eastAsia="Times New Roman"/>
          <w:rtl/>
          <w:lang w:eastAsia="de-DE"/>
        </w:rPr>
        <w:t xml:space="preserve"> </w:t>
      </w:r>
      <w:r w:rsidRPr="00324616">
        <w:rPr>
          <w:rFonts w:eastAsia="Times New Roman"/>
          <w:lang w:eastAsia="de-DE"/>
        </w:rPr>
        <w:t xml:space="preserve">(„herausführen"), </w:t>
      </w:r>
      <w:r w:rsidRPr="00324616">
        <w:rPr>
          <w:rFonts w:eastAsia="Times New Roman"/>
          <w:b/>
          <w:bCs/>
          <w:rtl/>
          <w:lang w:eastAsia="de-DE"/>
        </w:rPr>
        <w:t>מִשָּׁם</w:t>
      </w:r>
      <w:r w:rsidRPr="00324616">
        <w:rPr>
          <w:rFonts w:eastAsia="Times New Roman"/>
          <w:rtl/>
          <w:lang w:eastAsia="de-DE"/>
        </w:rPr>
        <w:t xml:space="preserve"> </w:t>
      </w:r>
      <w:r w:rsidRPr="00324616">
        <w:rPr>
          <w:rFonts w:eastAsia="Times New Roman"/>
          <w:lang w:eastAsia="de-DE"/>
        </w:rPr>
        <w:t>als Herkunftsangabe (</w:t>
      </w:r>
      <w:r w:rsidRPr="00324616">
        <w:rPr>
          <w:rFonts w:eastAsia="Times New Roman"/>
          <w:b/>
          <w:bCs/>
          <w:rtl/>
          <w:lang w:eastAsia="de-DE"/>
        </w:rPr>
        <w:t>מִן</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שָׁם</w:t>
      </w:r>
      <w:r w:rsidRPr="00324616">
        <w:rPr>
          <w:rFonts w:eastAsia="Times New Roman"/>
          <w:lang w:eastAsia="de-DE"/>
        </w:rPr>
        <w:t>, „dort" – „von dort").</w:t>
      </w:r>
    </w:p>
    <w:p w14:paraId="35A39E41"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rtl/>
          <w:lang w:eastAsia="de-DE"/>
        </w:rPr>
        <w:lastRenderedPageBreak/>
        <w:t>לְמַעַן הָבִיא אֹתָנוּ לָתֶת לָנוּ אֶת־הָאָרֶץ</w:t>
      </w:r>
      <w:r w:rsidRPr="00324616">
        <w:rPr>
          <w:rFonts w:eastAsia="Times New Roman"/>
          <w:rtl/>
          <w:lang w:eastAsia="de-DE"/>
        </w:rPr>
        <w:t xml:space="preserve"> </w:t>
      </w:r>
      <w:r w:rsidRPr="00324616">
        <w:rPr>
          <w:rFonts w:eastAsia="Times New Roman"/>
          <w:lang w:eastAsia="de-DE"/>
        </w:rPr>
        <w:t xml:space="preserve">ist eine finale Konstruktion: </w:t>
      </w:r>
      <w:r w:rsidRPr="00324616">
        <w:rPr>
          <w:rFonts w:eastAsia="Times New Roman"/>
          <w:b/>
          <w:bCs/>
          <w:rtl/>
          <w:lang w:eastAsia="de-DE"/>
        </w:rPr>
        <w:t>לְמַעַן</w:t>
      </w:r>
      <w:r w:rsidRPr="00324616">
        <w:rPr>
          <w:rFonts w:eastAsia="Times New Roman"/>
          <w:rtl/>
          <w:lang w:eastAsia="de-DE"/>
        </w:rPr>
        <w:t xml:space="preserve"> </w:t>
      </w:r>
      <w:r w:rsidRPr="00324616">
        <w:rPr>
          <w:rFonts w:eastAsia="Times New Roman"/>
          <w:lang w:eastAsia="de-DE"/>
        </w:rPr>
        <w:t xml:space="preserve">(„damit, um zu"), </w:t>
      </w:r>
      <w:r w:rsidRPr="00324616">
        <w:rPr>
          <w:rFonts w:eastAsia="Times New Roman"/>
          <w:b/>
          <w:bCs/>
          <w:rtl/>
          <w:lang w:eastAsia="de-DE"/>
        </w:rPr>
        <w:t>הָבִיא</w:t>
      </w:r>
      <w:r w:rsidRPr="00324616">
        <w:rPr>
          <w:rFonts w:eastAsia="Times New Roman"/>
          <w:rtl/>
          <w:lang w:eastAsia="de-DE"/>
        </w:rPr>
        <w:t xml:space="preserve"> </w:t>
      </w:r>
      <w:r w:rsidRPr="00324616">
        <w:rPr>
          <w:rFonts w:eastAsia="Times New Roman"/>
          <w:lang w:eastAsia="de-DE"/>
        </w:rPr>
        <w:t xml:space="preserve">als Hifil Infinitiv Construct von </w:t>
      </w:r>
      <w:r w:rsidRPr="00324616">
        <w:rPr>
          <w:rFonts w:eastAsia="Times New Roman"/>
          <w:b/>
          <w:bCs/>
          <w:rtl/>
          <w:lang w:eastAsia="de-DE"/>
        </w:rPr>
        <w:t>בוא</w:t>
      </w:r>
      <w:r w:rsidRPr="00324616">
        <w:rPr>
          <w:rFonts w:eastAsia="Times New Roman"/>
          <w:rtl/>
          <w:lang w:eastAsia="de-DE"/>
        </w:rPr>
        <w:t xml:space="preserve"> </w:t>
      </w:r>
      <w:r w:rsidRPr="00324616">
        <w:rPr>
          <w:rFonts w:eastAsia="Times New Roman"/>
          <w:lang w:eastAsia="de-DE"/>
        </w:rPr>
        <w:t xml:space="preserve">(„bringen") mit Artikel, </w:t>
      </w:r>
      <w:r w:rsidRPr="00324616">
        <w:rPr>
          <w:rFonts w:eastAsia="Times New Roman"/>
          <w:b/>
          <w:bCs/>
          <w:rtl/>
          <w:lang w:eastAsia="de-DE"/>
        </w:rPr>
        <w:t>אֹתָנוּ</w:t>
      </w:r>
      <w:r w:rsidRPr="00324616">
        <w:rPr>
          <w:rFonts w:eastAsia="Times New Roman"/>
          <w:rtl/>
          <w:lang w:eastAsia="de-DE"/>
        </w:rPr>
        <w:t xml:space="preserve"> </w:t>
      </w:r>
      <w:r w:rsidRPr="00324616">
        <w:rPr>
          <w:rFonts w:eastAsia="Times New Roman"/>
          <w:lang w:eastAsia="de-DE"/>
        </w:rPr>
        <w:t xml:space="preserve">als direktes Objekt, </w:t>
      </w:r>
      <w:r w:rsidRPr="00324616">
        <w:rPr>
          <w:rFonts w:eastAsia="Times New Roman"/>
          <w:b/>
          <w:bCs/>
          <w:rtl/>
          <w:lang w:eastAsia="de-DE"/>
        </w:rPr>
        <w:t>לָתֶת לָנוּ אֶת־הָאָרֶץ</w:t>
      </w:r>
      <w:r w:rsidRPr="00324616">
        <w:rPr>
          <w:rFonts w:eastAsia="Times New Roman"/>
          <w:rtl/>
          <w:lang w:eastAsia="de-DE"/>
        </w:rPr>
        <w:t xml:space="preserve"> </w:t>
      </w:r>
      <w:r w:rsidRPr="00324616">
        <w:rPr>
          <w:rFonts w:eastAsia="Times New Roman"/>
          <w:lang w:eastAsia="de-DE"/>
        </w:rPr>
        <w:t xml:space="preserve">als weitere finale Konstruktion (Qal Infinitiv Construct von </w:t>
      </w:r>
      <w:r w:rsidRPr="00324616">
        <w:rPr>
          <w:rFonts w:eastAsia="Times New Roman"/>
          <w:b/>
          <w:bCs/>
          <w:rtl/>
          <w:lang w:eastAsia="de-DE"/>
        </w:rPr>
        <w:t>נתן</w:t>
      </w:r>
      <w:r w:rsidRPr="00324616">
        <w:rPr>
          <w:rFonts w:eastAsia="Times New Roman"/>
          <w:lang w:eastAsia="de-DE"/>
        </w:rPr>
        <w:t xml:space="preserve">, „geben", mit </w:t>
      </w:r>
      <w:r w:rsidRPr="00324616">
        <w:rPr>
          <w:rFonts w:eastAsia="Times New Roman"/>
          <w:b/>
          <w:bCs/>
          <w:rtl/>
          <w:lang w:eastAsia="de-DE"/>
        </w:rPr>
        <w:t>לְ</w:t>
      </w:r>
      <w:r w:rsidRPr="00324616">
        <w:rPr>
          <w:rFonts w:eastAsia="Times New Roman"/>
          <w:lang w:eastAsia="de-DE"/>
        </w:rPr>
        <w:t xml:space="preserve">, </w:t>
      </w:r>
      <w:r w:rsidRPr="00324616">
        <w:rPr>
          <w:rFonts w:eastAsia="Times New Roman"/>
          <w:b/>
          <w:bCs/>
          <w:rtl/>
          <w:lang w:eastAsia="de-DE"/>
        </w:rPr>
        <w:t>לָנוּ</w:t>
      </w:r>
      <w:r w:rsidRPr="00324616">
        <w:rPr>
          <w:rFonts w:eastAsia="Times New Roman"/>
          <w:rtl/>
          <w:lang w:eastAsia="de-DE"/>
        </w:rPr>
        <w:t xml:space="preserve"> </w:t>
      </w:r>
      <w:r w:rsidRPr="00324616">
        <w:rPr>
          <w:rFonts w:eastAsia="Times New Roman"/>
          <w:lang w:eastAsia="de-DE"/>
        </w:rPr>
        <w:t xml:space="preserve">als indirektem Objekt und </w:t>
      </w:r>
      <w:r w:rsidRPr="00324616">
        <w:rPr>
          <w:rFonts w:eastAsia="Times New Roman"/>
          <w:b/>
          <w:bCs/>
          <w:rtl/>
          <w:lang w:eastAsia="de-DE"/>
        </w:rPr>
        <w:t>אֶת־הָאָרֶץ</w:t>
      </w:r>
      <w:r w:rsidRPr="00324616">
        <w:rPr>
          <w:rFonts w:eastAsia="Times New Roman"/>
          <w:rtl/>
          <w:lang w:eastAsia="de-DE"/>
        </w:rPr>
        <w:t xml:space="preserve"> </w:t>
      </w:r>
      <w:r w:rsidRPr="00324616">
        <w:rPr>
          <w:rFonts w:eastAsia="Times New Roman"/>
          <w:lang w:eastAsia="de-DE"/>
        </w:rPr>
        <w:t>als direktem Objekt).</w:t>
      </w:r>
    </w:p>
    <w:p w14:paraId="60FAFD13"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rtl/>
          <w:lang w:eastAsia="de-DE"/>
        </w:rPr>
        <w:t>אֲשֶׁר נִשְׁבַּע לַאֲבֹתֵינוּ</w:t>
      </w:r>
      <w:r w:rsidRPr="00324616">
        <w:rPr>
          <w:rFonts w:eastAsia="Times New Roman"/>
          <w:rtl/>
          <w:lang w:eastAsia="de-DE"/>
        </w:rPr>
        <w:t xml:space="preserve"> </w:t>
      </w:r>
      <w:r w:rsidRPr="00324616">
        <w:rPr>
          <w:rFonts w:eastAsia="Times New Roman"/>
          <w:lang w:eastAsia="de-DE"/>
        </w:rPr>
        <w:t xml:space="preserve">ist ein Relativsatz: </w:t>
      </w:r>
      <w:r w:rsidRPr="00324616">
        <w:rPr>
          <w:rFonts w:eastAsia="Times New Roman"/>
          <w:b/>
          <w:bCs/>
          <w:rtl/>
          <w:lang w:eastAsia="de-DE"/>
        </w:rPr>
        <w:t>אֲשֶׁר</w:t>
      </w:r>
      <w:r w:rsidRPr="00324616">
        <w:rPr>
          <w:rFonts w:eastAsia="Times New Roman"/>
          <w:rtl/>
          <w:lang w:eastAsia="de-DE"/>
        </w:rPr>
        <w:t xml:space="preserve"> </w:t>
      </w:r>
      <w:r w:rsidRPr="00324616">
        <w:rPr>
          <w:rFonts w:eastAsia="Times New Roman"/>
          <w:lang w:eastAsia="de-DE"/>
        </w:rPr>
        <w:t xml:space="preserve">als Relativpronomen, </w:t>
      </w:r>
      <w:r w:rsidRPr="00324616">
        <w:rPr>
          <w:rFonts w:eastAsia="Times New Roman"/>
          <w:b/>
          <w:bCs/>
          <w:rtl/>
          <w:lang w:eastAsia="de-DE"/>
        </w:rPr>
        <w:t>נִשְׁבַּע</w:t>
      </w:r>
      <w:r w:rsidRPr="00324616">
        <w:rPr>
          <w:rFonts w:eastAsia="Times New Roman"/>
          <w:rtl/>
          <w:lang w:eastAsia="de-DE"/>
        </w:rPr>
        <w:t xml:space="preserve"> </w:t>
      </w:r>
      <w:r w:rsidRPr="00324616">
        <w:rPr>
          <w:rFonts w:eastAsia="Times New Roman"/>
          <w:lang w:eastAsia="de-DE"/>
        </w:rPr>
        <w:t xml:space="preserve">als Nifal Perfekt, 3. Person Singular maskulin von </w:t>
      </w:r>
      <w:r w:rsidRPr="00324616">
        <w:rPr>
          <w:rFonts w:eastAsia="Times New Roman"/>
          <w:b/>
          <w:bCs/>
          <w:rtl/>
          <w:lang w:eastAsia="de-DE"/>
        </w:rPr>
        <w:t>שׁבע</w:t>
      </w:r>
      <w:r w:rsidRPr="00324616">
        <w:rPr>
          <w:rFonts w:eastAsia="Times New Roman"/>
          <w:rtl/>
          <w:lang w:eastAsia="de-DE"/>
        </w:rPr>
        <w:t xml:space="preserve"> </w:t>
      </w:r>
      <w:r w:rsidRPr="00324616">
        <w:rPr>
          <w:rFonts w:eastAsia="Times New Roman"/>
          <w:lang w:eastAsia="de-DE"/>
        </w:rPr>
        <w:t xml:space="preserve">(„schwören"), </w:t>
      </w:r>
      <w:r w:rsidRPr="00324616">
        <w:rPr>
          <w:rFonts w:eastAsia="Times New Roman"/>
          <w:b/>
          <w:bCs/>
          <w:rtl/>
          <w:lang w:eastAsia="de-DE"/>
        </w:rPr>
        <w:t>לַאֲבֹתֵינוּ</w:t>
      </w:r>
      <w:r w:rsidRPr="00324616">
        <w:rPr>
          <w:rFonts w:eastAsia="Times New Roman"/>
          <w:rtl/>
          <w:lang w:eastAsia="de-DE"/>
        </w:rPr>
        <w:t xml:space="preserve"> </w:t>
      </w:r>
      <w:r w:rsidRPr="00324616">
        <w:rPr>
          <w:rFonts w:eastAsia="Times New Roman"/>
          <w:lang w:eastAsia="de-DE"/>
        </w:rPr>
        <w:t>als indirektes Objekt (</w:t>
      </w:r>
      <w:r w:rsidRPr="00324616">
        <w:rPr>
          <w:rFonts w:eastAsia="Times New Roman"/>
          <w:b/>
          <w:bCs/>
          <w:rtl/>
          <w:lang w:eastAsia="de-DE"/>
        </w:rPr>
        <w:t>לְ</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אָבוֹת</w:t>
      </w:r>
      <w:r w:rsidRPr="00324616">
        <w:rPr>
          <w:rFonts w:eastAsia="Times New Roman"/>
          <w:lang w:eastAsia="de-DE"/>
        </w:rPr>
        <w:t>, Plural, und Suffix 1. Person Plural).</w:t>
      </w:r>
    </w:p>
    <w:p w14:paraId="17CBBD76"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 xml:space="preserve">Die emphatische Voranstellung von </w:t>
      </w:r>
      <w:r w:rsidRPr="00324616">
        <w:rPr>
          <w:rFonts w:eastAsia="Times New Roman"/>
          <w:b/>
          <w:bCs/>
          <w:rtl/>
          <w:lang w:eastAsia="de-DE"/>
        </w:rPr>
        <w:t>וְאוֹתָנוּ</w:t>
      </w:r>
      <w:r w:rsidRPr="00324616">
        <w:rPr>
          <w:rFonts w:eastAsia="Times New Roman"/>
          <w:rtl/>
          <w:lang w:eastAsia="de-DE"/>
        </w:rPr>
        <w:t xml:space="preserve"> </w:t>
      </w:r>
      <w:r w:rsidRPr="00324616">
        <w:rPr>
          <w:rFonts w:eastAsia="Times New Roman"/>
          <w:lang w:eastAsia="de-DE"/>
        </w:rPr>
        <w:t>(„und uns") schafft einen starken Kontrast zum vorangehenden Vers: Gegen Ägypten wüteten die Plagen, aber uns führte JHWH heraus. Die doppelte finale Konstruktion (</w:t>
      </w:r>
      <w:r w:rsidRPr="00324616">
        <w:rPr>
          <w:rFonts w:eastAsia="Times New Roman"/>
          <w:b/>
          <w:bCs/>
          <w:rtl/>
          <w:lang w:eastAsia="de-DE"/>
        </w:rPr>
        <w:t>לְמַעַן הָבִיא... לָתֶת</w:t>
      </w:r>
      <w:r w:rsidRPr="00324616">
        <w:rPr>
          <w:rFonts w:eastAsia="Times New Roman"/>
          <w:lang w:eastAsia="de-DE"/>
        </w:rPr>
        <w:t>) zeigt die Zweckkette: Herausführung aus Ägypten → Hineinführung ins Land → Gabe des Landes. Wieder wird die 1. Person Plural verwendet, um alle Generationen in die Heilsgeschichte einzuschließen.</w:t>
      </w:r>
    </w:p>
    <w:p w14:paraId="7E301F7F"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Die Satzstruktur ist ein Hauptsatz mit emphatisch vorausgestelltem direktem Objekt, Prädikat und Herkunftsangabe, gefolgt von einer finalen Konstruktion mit Infinitiv, direktem Objekt und eingebetteter finaler Infinitivkonstruktion (mit indirektem und direktem Objekt), sowie einem Relativsatz mit Prädikat und indirektem Objekt. Die verschachtelte finale Struktur betont die Zielsetzung des Exodus: Landgabe gemäß der Väterverheißung.</w:t>
      </w:r>
    </w:p>
    <w:p w14:paraId="17353DDB"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Der Vers erklärt den Zweck des Exodus: JHWH führte Israel aus Ägypten heraus, um es ins verheißene Land zu bringen und es ihnen zu geben, wie er den Vätern geschworen hatte.</w:t>
      </w:r>
    </w:p>
    <w:p w14:paraId="7092B1A1" w14:textId="77777777" w:rsidR="00324616" w:rsidRPr="00324616" w:rsidRDefault="00324616" w:rsidP="00324616">
      <w:pPr>
        <w:spacing w:before="100" w:beforeAutospacing="1" w:after="100" w:afterAutospacing="1" w:line="240" w:lineRule="auto"/>
        <w:outlineLvl w:val="1"/>
        <w:rPr>
          <w:rFonts w:eastAsia="Times New Roman"/>
          <w:b/>
          <w:bCs/>
          <w:sz w:val="36"/>
          <w:szCs w:val="36"/>
          <w:lang w:eastAsia="de-DE"/>
        </w:rPr>
      </w:pPr>
      <w:r w:rsidRPr="00324616">
        <w:rPr>
          <w:rFonts w:eastAsia="Times New Roman"/>
          <w:b/>
          <w:bCs/>
          <w:sz w:val="36"/>
          <w:szCs w:val="36"/>
          <w:lang w:eastAsia="de-DE"/>
        </w:rPr>
        <w:t>Deuteronomium 6,24</w:t>
      </w:r>
    </w:p>
    <w:p w14:paraId="46B55ABC"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Hebräisch:</w:t>
      </w:r>
      <w:r w:rsidRPr="00324616">
        <w:rPr>
          <w:rFonts w:eastAsia="Times New Roman"/>
          <w:lang w:eastAsia="de-DE"/>
        </w:rPr>
        <w:t xml:space="preserve"> </w:t>
      </w:r>
      <w:r w:rsidRPr="00324616">
        <w:rPr>
          <w:rFonts w:eastAsia="Times New Roman"/>
          <w:rtl/>
          <w:lang w:eastAsia="de-DE"/>
        </w:rPr>
        <w:t>וַיְצַוֵּנוּ יְהוָה לַעֲשׂוֹת אֶת־כָּל־הַחֻקִּים הָאֵלֶּה לְיִרְאָה אֶת־יְהוָה אֱלֹהֵינוּ לְטוֹב לָנוּ כָּל־הַיָּמִים לְחַיֹּתֵנוּ כְּהַיּוֹם הַזֶּה׃</w:t>
      </w:r>
    </w:p>
    <w:p w14:paraId="3666B1D8"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Deutsch:</w:t>
      </w:r>
      <w:r w:rsidRPr="00324616">
        <w:rPr>
          <w:rFonts w:eastAsia="Times New Roman"/>
          <w:lang w:eastAsia="de-DE"/>
        </w:rPr>
        <w:t xml:space="preserve"> Und der Ewige hat uns geboten, alle diese Gesetze zu tun, den Ewigen, unseren Gott, zu fürchten, damit es uns wohl gehe alle Tage und er uns am Leben erhalte, wie es heute ist.</w:t>
      </w:r>
    </w:p>
    <w:p w14:paraId="1CC17341" w14:textId="77777777" w:rsidR="00324616" w:rsidRPr="00324616" w:rsidRDefault="004F5CEB" w:rsidP="00324616">
      <w:pPr>
        <w:spacing w:after="0" w:line="240" w:lineRule="auto"/>
        <w:rPr>
          <w:rFonts w:eastAsia="Times New Roman"/>
          <w:lang w:eastAsia="de-DE"/>
        </w:rPr>
      </w:pPr>
      <w:r>
        <w:rPr>
          <w:rFonts w:eastAsia="Times New Roman"/>
          <w:noProof/>
          <w:lang w:eastAsia="de-DE"/>
        </w:rPr>
        <w:pict w14:anchorId="0E4567E0">
          <v:rect id="_x0000_i1242" style="width:0;height:1.5pt" o:hralign="center" o:hrstd="t" o:hr="t" fillcolor="#a0a0a0" stroked="f"/>
        </w:pict>
      </w:r>
    </w:p>
    <w:p w14:paraId="446F388A"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Kommentar:</w:t>
      </w:r>
      <w:r w:rsidRPr="00324616">
        <w:rPr>
          <w:rFonts w:eastAsia="Times New Roman"/>
          <w:lang w:eastAsia="de-DE"/>
        </w:rPr>
        <w:t xml:space="preserve"> </w:t>
      </w:r>
      <w:r w:rsidRPr="00324616">
        <w:rPr>
          <w:rFonts w:eastAsia="Times New Roman"/>
          <w:b/>
          <w:bCs/>
          <w:rtl/>
          <w:lang w:eastAsia="de-DE"/>
        </w:rPr>
        <w:t>וַיְצַוֵּנוּ יְהוָה לַעֲשׂוֹת אֶת־כָּל־הַחֻקִּים הָאֵלֶּה</w:t>
      </w:r>
      <w:r w:rsidRPr="00324616">
        <w:rPr>
          <w:rFonts w:eastAsia="Times New Roman"/>
          <w:rtl/>
          <w:lang w:eastAsia="de-DE"/>
        </w:rPr>
        <w:t xml:space="preserve"> </w:t>
      </w:r>
      <w:r w:rsidRPr="00324616">
        <w:rPr>
          <w:rFonts w:eastAsia="Times New Roman"/>
          <w:lang w:eastAsia="de-DE"/>
        </w:rPr>
        <w:t xml:space="preserve">ist Piel Imperfekt consecutivum, 3. Person Singular maskulin von </w:t>
      </w:r>
      <w:r w:rsidRPr="00324616">
        <w:rPr>
          <w:rFonts w:eastAsia="Times New Roman"/>
          <w:b/>
          <w:bCs/>
          <w:rtl/>
          <w:lang w:eastAsia="de-DE"/>
        </w:rPr>
        <w:t>צוה</w:t>
      </w:r>
      <w:r w:rsidRPr="00324616">
        <w:rPr>
          <w:rFonts w:eastAsia="Times New Roman"/>
          <w:rtl/>
          <w:lang w:eastAsia="de-DE"/>
        </w:rPr>
        <w:t xml:space="preserve"> </w:t>
      </w:r>
      <w:r w:rsidRPr="00324616">
        <w:rPr>
          <w:rFonts w:eastAsia="Times New Roman"/>
          <w:lang w:eastAsia="de-DE"/>
        </w:rPr>
        <w:t xml:space="preserve">(„befehlen, gebieten") mit Waw und Suffix 1. Person Plural als indirektes Objekt, </w:t>
      </w:r>
      <w:r w:rsidRPr="00324616">
        <w:rPr>
          <w:rFonts w:eastAsia="Times New Roman"/>
          <w:b/>
          <w:bCs/>
          <w:rtl/>
          <w:lang w:eastAsia="de-DE"/>
        </w:rPr>
        <w:t>יְהוָה</w:t>
      </w:r>
      <w:r w:rsidRPr="00324616">
        <w:rPr>
          <w:rFonts w:eastAsia="Times New Roman"/>
          <w:rtl/>
          <w:lang w:eastAsia="de-DE"/>
        </w:rPr>
        <w:t xml:space="preserve"> </w:t>
      </w:r>
      <w:r w:rsidRPr="00324616">
        <w:rPr>
          <w:rFonts w:eastAsia="Times New Roman"/>
          <w:lang w:eastAsia="de-DE"/>
        </w:rPr>
        <w:t xml:space="preserve">als Subjekt, </w:t>
      </w:r>
      <w:r w:rsidRPr="00324616">
        <w:rPr>
          <w:rFonts w:eastAsia="Times New Roman"/>
          <w:b/>
          <w:bCs/>
          <w:rtl/>
          <w:lang w:eastAsia="de-DE"/>
        </w:rPr>
        <w:t>לַעֲשׂוֹת אֶת־כָּל־הַחֻקִּים הָאֵלֶּה</w:t>
      </w:r>
      <w:r w:rsidRPr="00324616">
        <w:rPr>
          <w:rFonts w:eastAsia="Times New Roman"/>
          <w:rtl/>
          <w:lang w:eastAsia="de-DE"/>
        </w:rPr>
        <w:t xml:space="preserve"> </w:t>
      </w:r>
      <w:r w:rsidRPr="00324616">
        <w:rPr>
          <w:rFonts w:eastAsia="Times New Roman"/>
          <w:lang w:eastAsia="de-DE"/>
        </w:rPr>
        <w:t xml:space="preserve">als finaler bzw. objektiver Infinitiv (Qal Infinitiv Construct von </w:t>
      </w:r>
      <w:r w:rsidRPr="00324616">
        <w:rPr>
          <w:rFonts w:eastAsia="Times New Roman"/>
          <w:b/>
          <w:bCs/>
          <w:rtl/>
          <w:lang w:eastAsia="de-DE"/>
        </w:rPr>
        <w:t>עשׂה</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לְ</w:t>
      </w:r>
      <w:r w:rsidRPr="00324616">
        <w:rPr>
          <w:rFonts w:eastAsia="Times New Roman"/>
          <w:rtl/>
          <w:lang w:eastAsia="de-DE"/>
        </w:rPr>
        <w:t xml:space="preserve"> </w:t>
      </w:r>
      <w:r w:rsidRPr="00324616">
        <w:rPr>
          <w:rFonts w:eastAsia="Times New Roman"/>
          <w:lang w:eastAsia="de-DE"/>
        </w:rPr>
        <w:t xml:space="preserve">und direktem Objekt: </w:t>
      </w:r>
      <w:r w:rsidRPr="00324616">
        <w:rPr>
          <w:rFonts w:eastAsia="Times New Roman"/>
          <w:b/>
          <w:bCs/>
          <w:rtl/>
          <w:lang w:eastAsia="de-DE"/>
        </w:rPr>
        <w:t>כָּל</w:t>
      </w:r>
      <w:r w:rsidRPr="00324616">
        <w:rPr>
          <w:rFonts w:eastAsia="Times New Roman"/>
          <w:rtl/>
          <w:lang w:eastAsia="de-DE"/>
        </w:rPr>
        <w:t xml:space="preserve"> </w:t>
      </w:r>
      <w:r w:rsidRPr="00324616">
        <w:rPr>
          <w:rFonts w:eastAsia="Times New Roman"/>
          <w:lang w:eastAsia="de-DE"/>
        </w:rPr>
        <w:t xml:space="preserve">im Construct mit </w:t>
      </w:r>
      <w:r w:rsidRPr="00324616">
        <w:rPr>
          <w:rFonts w:eastAsia="Times New Roman"/>
          <w:b/>
          <w:bCs/>
          <w:rtl/>
          <w:lang w:eastAsia="de-DE"/>
        </w:rPr>
        <w:t>חֹק</w:t>
      </w:r>
      <w:r w:rsidRPr="00324616">
        <w:rPr>
          <w:rFonts w:eastAsia="Times New Roman"/>
          <w:lang w:eastAsia="de-DE"/>
        </w:rPr>
        <w:t xml:space="preserve">, Plural, und Demonstrativpronomen </w:t>
      </w:r>
      <w:r w:rsidRPr="00324616">
        <w:rPr>
          <w:rFonts w:eastAsia="Times New Roman"/>
          <w:b/>
          <w:bCs/>
          <w:rtl/>
          <w:lang w:eastAsia="de-DE"/>
        </w:rPr>
        <w:t>הָאֵלֶּה</w:t>
      </w:r>
      <w:r w:rsidRPr="00324616">
        <w:rPr>
          <w:rFonts w:eastAsia="Times New Roman"/>
          <w:lang w:eastAsia="de-DE"/>
        </w:rPr>
        <w:t>).</w:t>
      </w:r>
    </w:p>
    <w:p w14:paraId="79D8DB40"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rtl/>
          <w:lang w:eastAsia="de-DE"/>
        </w:rPr>
        <w:t>לְיִרְאָה אֶת־יְהוָה אֱלֹהֵינוּ</w:t>
      </w:r>
      <w:r w:rsidRPr="00324616">
        <w:rPr>
          <w:rFonts w:eastAsia="Times New Roman"/>
          <w:rtl/>
          <w:lang w:eastAsia="de-DE"/>
        </w:rPr>
        <w:t xml:space="preserve"> </w:t>
      </w:r>
      <w:r w:rsidRPr="00324616">
        <w:rPr>
          <w:rFonts w:eastAsia="Times New Roman"/>
          <w:lang w:eastAsia="de-DE"/>
        </w:rPr>
        <w:t xml:space="preserve">ist eine weitere finale Infinitivkonstruktion: </w:t>
      </w:r>
      <w:r w:rsidRPr="00324616">
        <w:rPr>
          <w:rFonts w:eastAsia="Times New Roman"/>
          <w:b/>
          <w:bCs/>
          <w:rtl/>
          <w:lang w:eastAsia="de-DE"/>
        </w:rPr>
        <w:t>לְיִרְאָה</w:t>
      </w:r>
      <w:r w:rsidRPr="00324616">
        <w:rPr>
          <w:rFonts w:eastAsia="Times New Roman"/>
          <w:rtl/>
          <w:lang w:eastAsia="de-DE"/>
        </w:rPr>
        <w:t xml:space="preserve"> </w:t>
      </w:r>
      <w:r w:rsidRPr="00324616">
        <w:rPr>
          <w:rFonts w:eastAsia="Times New Roman"/>
          <w:lang w:eastAsia="de-DE"/>
        </w:rPr>
        <w:t xml:space="preserve">(Qal Infinitiv Construct von </w:t>
      </w:r>
      <w:r w:rsidRPr="00324616">
        <w:rPr>
          <w:rFonts w:eastAsia="Times New Roman"/>
          <w:b/>
          <w:bCs/>
          <w:rtl/>
          <w:lang w:eastAsia="de-DE"/>
        </w:rPr>
        <w:t>ירא</w:t>
      </w:r>
      <w:r w:rsidRPr="00324616">
        <w:rPr>
          <w:rFonts w:eastAsia="Times New Roman"/>
          <w:lang w:eastAsia="de-DE"/>
        </w:rPr>
        <w:t xml:space="preserve">, „fürchten", mit </w:t>
      </w:r>
      <w:r w:rsidRPr="00324616">
        <w:rPr>
          <w:rFonts w:eastAsia="Times New Roman"/>
          <w:b/>
          <w:bCs/>
          <w:rtl/>
          <w:lang w:eastAsia="de-DE"/>
        </w:rPr>
        <w:t>לְ</w:t>
      </w:r>
      <w:r w:rsidRPr="00324616">
        <w:rPr>
          <w:rFonts w:eastAsia="Times New Roman"/>
          <w:lang w:eastAsia="de-DE"/>
        </w:rPr>
        <w:t xml:space="preserve">), </w:t>
      </w:r>
      <w:r w:rsidRPr="00324616">
        <w:rPr>
          <w:rFonts w:eastAsia="Times New Roman"/>
          <w:b/>
          <w:bCs/>
          <w:rtl/>
          <w:lang w:eastAsia="de-DE"/>
        </w:rPr>
        <w:t>אֶת־יְהוָה אֱלֹהֵינוּ</w:t>
      </w:r>
      <w:r w:rsidRPr="00324616">
        <w:rPr>
          <w:rFonts w:eastAsia="Times New Roman"/>
          <w:rtl/>
          <w:lang w:eastAsia="de-DE"/>
        </w:rPr>
        <w:t xml:space="preserve"> </w:t>
      </w:r>
      <w:r w:rsidRPr="00324616">
        <w:rPr>
          <w:rFonts w:eastAsia="Times New Roman"/>
          <w:lang w:eastAsia="de-DE"/>
        </w:rPr>
        <w:t xml:space="preserve">als direktes Objekt mit erweiterter Gottesbezeichnung. </w:t>
      </w:r>
      <w:r w:rsidRPr="00324616">
        <w:rPr>
          <w:rFonts w:eastAsia="Times New Roman"/>
          <w:b/>
          <w:bCs/>
          <w:rtl/>
          <w:lang w:eastAsia="de-DE"/>
        </w:rPr>
        <w:t>לְטוֹב לָנוּ כָּל־הַיָּמִים</w:t>
      </w:r>
      <w:r w:rsidRPr="00324616">
        <w:rPr>
          <w:rFonts w:eastAsia="Times New Roman"/>
          <w:rtl/>
          <w:lang w:eastAsia="de-DE"/>
        </w:rPr>
        <w:t xml:space="preserve"> </w:t>
      </w:r>
      <w:r w:rsidRPr="00324616">
        <w:rPr>
          <w:rFonts w:eastAsia="Times New Roman"/>
          <w:lang w:eastAsia="de-DE"/>
        </w:rPr>
        <w:t xml:space="preserve">ist eine dritte finale Konstruktion: </w:t>
      </w:r>
      <w:r w:rsidRPr="00324616">
        <w:rPr>
          <w:rFonts w:eastAsia="Times New Roman"/>
          <w:b/>
          <w:bCs/>
          <w:rtl/>
          <w:lang w:eastAsia="de-DE"/>
        </w:rPr>
        <w:t>לְטוֹב</w:t>
      </w:r>
      <w:r w:rsidRPr="00324616">
        <w:rPr>
          <w:rFonts w:eastAsia="Times New Roman"/>
          <w:rtl/>
          <w:lang w:eastAsia="de-DE"/>
        </w:rPr>
        <w:t xml:space="preserve"> </w:t>
      </w:r>
      <w:r w:rsidRPr="00324616">
        <w:rPr>
          <w:rFonts w:eastAsia="Times New Roman"/>
          <w:lang w:eastAsia="de-DE"/>
        </w:rPr>
        <w:t>(</w:t>
      </w:r>
      <w:r w:rsidRPr="00324616">
        <w:rPr>
          <w:rFonts w:eastAsia="Times New Roman"/>
          <w:b/>
          <w:bCs/>
          <w:rtl/>
          <w:lang w:eastAsia="de-DE"/>
        </w:rPr>
        <w:t>לְ</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טוֹב</w:t>
      </w:r>
      <w:r w:rsidRPr="00324616">
        <w:rPr>
          <w:rFonts w:eastAsia="Times New Roman"/>
          <w:lang w:eastAsia="de-DE"/>
        </w:rPr>
        <w:t xml:space="preserve">, „Gut[es]" – substantiviert „zum Guten, damit es gut geht"), </w:t>
      </w:r>
      <w:r w:rsidRPr="00324616">
        <w:rPr>
          <w:rFonts w:eastAsia="Times New Roman"/>
          <w:b/>
          <w:bCs/>
          <w:rtl/>
          <w:lang w:eastAsia="de-DE"/>
        </w:rPr>
        <w:t>לָנוּ</w:t>
      </w:r>
      <w:r w:rsidRPr="00324616">
        <w:rPr>
          <w:rFonts w:eastAsia="Times New Roman"/>
          <w:rtl/>
          <w:lang w:eastAsia="de-DE"/>
        </w:rPr>
        <w:t xml:space="preserve"> </w:t>
      </w:r>
      <w:r w:rsidRPr="00324616">
        <w:rPr>
          <w:rFonts w:eastAsia="Times New Roman"/>
          <w:lang w:eastAsia="de-DE"/>
        </w:rPr>
        <w:t xml:space="preserve">als Dativ, </w:t>
      </w:r>
      <w:r w:rsidRPr="00324616">
        <w:rPr>
          <w:rFonts w:eastAsia="Times New Roman"/>
          <w:b/>
          <w:bCs/>
          <w:rtl/>
          <w:lang w:eastAsia="de-DE"/>
        </w:rPr>
        <w:t>כָּל־הַיָּמִים</w:t>
      </w:r>
      <w:r w:rsidRPr="00324616">
        <w:rPr>
          <w:rFonts w:eastAsia="Times New Roman"/>
          <w:rtl/>
          <w:lang w:eastAsia="de-DE"/>
        </w:rPr>
        <w:t xml:space="preserve"> </w:t>
      </w:r>
      <w:r w:rsidRPr="00324616">
        <w:rPr>
          <w:rFonts w:eastAsia="Times New Roman"/>
          <w:lang w:eastAsia="de-DE"/>
        </w:rPr>
        <w:t>als temporale Bestimmung (</w:t>
      </w:r>
      <w:r w:rsidRPr="00324616">
        <w:rPr>
          <w:rFonts w:eastAsia="Times New Roman"/>
          <w:b/>
          <w:bCs/>
          <w:rtl/>
          <w:lang w:eastAsia="de-DE"/>
        </w:rPr>
        <w:t>כָּל</w:t>
      </w:r>
      <w:r w:rsidRPr="00324616">
        <w:rPr>
          <w:rFonts w:eastAsia="Times New Roman"/>
          <w:rtl/>
          <w:lang w:eastAsia="de-DE"/>
        </w:rPr>
        <w:t xml:space="preserve"> </w:t>
      </w:r>
      <w:r w:rsidRPr="00324616">
        <w:rPr>
          <w:rFonts w:eastAsia="Times New Roman"/>
          <w:lang w:eastAsia="de-DE"/>
        </w:rPr>
        <w:t xml:space="preserve">im Construct mit </w:t>
      </w:r>
      <w:r w:rsidRPr="00324616">
        <w:rPr>
          <w:rFonts w:eastAsia="Times New Roman"/>
          <w:b/>
          <w:bCs/>
          <w:rtl/>
          <w:lang w:eastAsia="de-DE"/>
        </w:rPr>
        <w:t>יוֹם</w:t>
      </w:r>
      <w:r w:rsidRPr="00324616">
        <w:rPr>
          <w:rFonts w:eastAsia="Times New Roman"/>
          <w:lang w:eastAsia="de-DE"/>
        </w:rPr>
        <w:t>, Plural, mit Artikel – „alle Tage, immer").</w:t>
      </w:r>
    </w:p>
    <w:p w14:paraId="0F600D48"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rtl/>
          <w:lang w:eastAsia="de-DE"/>
        </w:rPr>
        <w:lastRenderedPageBreak/>
        <w:t>לְחַיֹּתֵנוּ כְּהַיּוֹם הַזֶּה</w:t>
      </w:r>
      <w:r w:rsidRPr="00324616">
        <w:rPr>
          <w:rFonts w:eastAsia="Times New Roman"/>
          <w:rtl/>
          <w:lang w:eastAsia="de-DE"/>
        </w:rPr>
        <w:t xml:space="preserve"> </w:t>
      </w:r>
      <w:r w:rsidRPr="00324616">
        <w:rPr>
          <w:rFonts w:eastAsia="Times New Roman"/>
          <w:lang w:eastAsia="de-DE"/>
        </w:rPr>
        <w:t xml:space="preserve">ist eine vierte finale Konstruktion: </w:t>
      </w:r>
      <w:r w:rsidRPr="00324616">
        <w:rPr>
          <w:rFonts w:eastAsia="Times New Roman"/>
          <w:b/>
          <w:bCs/>
          <w:rtl/>
          <w:lang w:eastAsia="de-DE"/>
        </w:rPr>
        <w:t>לְחַיֹּתֵנוּ</w:t>
      </w:r>
      <w:r w:rsidRPr="00324616">
        <w:rPr>
          <w:rFonts w:eastAsia="Times New Roman"/>
          <w:rtl/>
          <w:lang w:eastAsia="de-DE"/>
        </w:rPr>
        <w:t xml:space="preserve"> </w:t>
      </w:r>
      <w:r w:rsidRPr="00324616">
        <w:rPr>
          <w:rFonts w:eastAsia="Times New Roman"/>
          <w:lang w:eastAsia="de-DE"/>
        </w:rPr>
        <w:t xml:space="preserve">(Piel Infinitiv Construct von </w:t>
      </w:r>
      <w:r w:rsidRPr="00324616">
        <w:rPr>
          <w:rFonts w:eastAsia="Times New Roman"/>
          <w:b/>
          <w:bCs/>
          <w:rtl/>
          <w:lang w:eastAsia="de-DE"/>
        </w:rPr>
        <w:t>חיה</w:t>
      </w:r>
      <w:r w:rsidRPr="00324616">
        <w:rPr>
          <w:rFonts w:eastAsia="Times New Roman"/>
          <w:lang w:eastAsia="de-DE"/>
        </w:rPr>
        <w:t xml:space="preserve">, „am Leben erhalten, lebendig machen", mit </w:t>
      </w:r>
      <w:r w:rsidRPr="00324616">
        <w:rPr>
          <w:rFonts w:eastAsia="Times New Roman"/>
          <w:b/>
          <w:bCs/>
          <w:rtl/>
          <w:lang w:eastAsia="de-DE"/>
        </w:rPr>
        <w:t>לְ</w:t>
      </w:r>
      <w:r w:rsidRPr="00324616">
        <w:rPr>
          <w:rFonts w:eastAsia="Times New Roman"/>
          <w:rtl/>
          <w:lang w:eastAsia="de-DE"/>
        </w:rPr>
        <w:t xml:space="preserve"> </w:t>
      </w:r>
      <w:r w:rsidRPr="00324616">
        <w:rPr>
          <w:rFonts w:eastAsia="Times New Roman"/>
          <w:lang w:eastAsia="de-DE"/>
        </w:rPr>
        <w:t xml:space="preserve">und Suffix 1. Person Plural als direktes Objekt – „um uns am Leben zu erhalten"), </w:t>
      </w:r>
      <w:r w:rsidRPr="00324616">
        <w:rPr>
          <w:rFonts w:eastAsia="Times New Roman"/>
          <w:b/>
          <w:bCs/>
          <w:rtl/>
          <w:lang w:eastAsia="de-DE"/>
        </w:rPr>
        <w:t>כְּהַיּוֹם הַזֶּה</w:t>
      </w:r>
      <w:r w:rsidRPr="00324616">
        <w:rPr>
          <w:rFonts w:eastAsia="Times New Roman"/>
          <w:rtl/>
          <w:lang w:eastAsia="de-DE"/>
        </w:rPr>
        <w:t xml:space="preserve"> </w:t>
      </w:r>
      <w:r w:rsidRPr="00324616">
        <w:rPr>
          <w:rFonts w:eastAsia="Times New Roman"/>
          <w:lang w:eastAsia="de-DE"/>
        </w:rPr>
        <w:t>als Vergleichskonstruktion (</w:t>
      </w:r>
      <w:r w:rsidRPr="00324616">
        <w:rPr>
          <w:rFonts w:eastAsia="Times New Roman"/>
          <w:b/>
          <w:bCs/>
          <w:rtl/>
          <w:lang w:eastAsia="de-DE"/>
        </w:rPr>
        <w:t>כְּ</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יוֹם</w:t>
      </w:r>
      <w:r w:rsidRPr="00324616">
        <w:rPr>
          <w:rFonts w:eastAsia="Times New Roman"/>
          <w:rtl/>
          <w:lang w:eastAsia="de-DE"/>
        </w:rPr>
        <w:t xml:space="preserve"> </w:t>
      </w:r>
      <w:r w:rsidRPr="00324616">
        <w:rPr>
          <w:rFonts w:eastAsia="Times New Roman"/>
          <w:lang w:eastAsia="de-DE"/>
        </w:rPr>
        <w:t xml:space="preserve">mit Artikel und Demonstrativpronomen </w:t>
      </w:r>
      <w:r w:rsidRPr="00324616">
        <w:rPr>
          <w:rFonts w:eastAsia="Times New Roman"/>
          <w:b/>
          <w:bCs/>
          <w:rtl/>
          <w:lang w:eastAsia="de-DE"/>
        </w:rPr>
        <w:t>הַזֶּה</w:t>
      </w:r>
      <w:r w:rsidRPr="00324616">
        <w:rPr>
          <w:rFonts w:eastAsia="Times New Roman"/>
          <w:rtl/>
          <w:lang w:eastAsia="de-DE"/>
        </w:rPr>
        <w:t xml:space="preserve"> </w:t>
      </w:r>
      <w:r w:rsidRPr="00324616">
        <w:rPr>
          <w:rFonts w:eastAsia="Times New Roman"/>
          <w:lang w:eastAsia="de-DE"/>
        </w:rPr>
        <w:t>– „wie [an] diesem Tag, wie heute").</w:t>
      </w:r>
    </w:p>
    <w:p w14:paraId="72EA2D57"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 xml:space="preserve">Die vierfache finale Struktur zeigt die Zweckkette der Gebote: (1) tun der Gesetze, (2) fürchten JHWHs, (3) Wohlergehen alle Tage, (4) am Leben erhalten. Dies ist die klassische deuteronomische Bundestheologie: Gehorsam → Leben und Segen. Die Wendung </w:t>
      </w:r>
      <w:r w:rsidRPr="00324616">
        <w:rPr>
          <w:rFonts w:eastAsia="Times New Roman"/>
          <w:b/>
          <w:bCs/>
          <w:rtl/>
          <w:lang w:eastAsia="de-DE"/>
        </w:rPr>
        <w:t>כְּהַיּוֹם הַזֶּה</w:t>
      </w:r>
      <w:r w:rsidRPr="00324616">
        <w:rPr>
          <w:rFonts w:eastAsia="Times New Roman"/>
          <w:rtl/>
          <w:lang w:eastAsia="de-DE"/>
        </w:rPr>
        <w:t xml:space="preserve"> </w:t>
      </w:r>
      <w:r w:rsidRPr="00324616">
        <w:rPr>
          <w:rFonts w:eastAsia="Times New Roman"/>
          <w:lang w:eastAsia="de-DE"/>
        </w:rPr>
        <w:t>(„wie [es] heute [ist]") verweist auf die gegenwärtige Situation – Israel lebt noch, weil JHWH es erhält.</w:t>
      </w:r>
    </w:p>
    <w:p w14:paraId="1CDA4690"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Die Satzstruktur ist ein konsekutives Verb mit Suffix als indirektem Objekt, Subjekt und objektiver Infinitivkonstruktion mit direktem Objekt, gefolgt von drei weiteren finalen Infinitivkonstruktionen (die zweite und dritte mit Dativ bzw. Suffix-Objekt und temporaler Bestimmung bzw. Vergleichskonstruktion). Die vierfach verschachtelte finale Struktur betont die umfassende Zielsetzung der Gebote.</w:t>
      </w:r>
    </w:p>
    <w:p w14:paraId="7CD1C1C6"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Der Vers erklärt den Zweck der Gebote: JHWH gebot sie, damit Israel sie tue, ihn fürchte, es ihnen wohlergehe und er sie am Leben erhalte – wie es heute noch der Fall ist. Die Gebote dienen dem Leben.</w:t>
      </w:r>
    </w:p>
    <w:p w14:paraId="1603C35E" w14:textId="77777777" w:rsidR="00324616" w:rsidRPr="00324616" w:rsidRDefault="00324616" w:rsidP="00324616">
      <w:pPr>
        <w:spacing w:before="100" w:beforeAutospacing="1" w:after="100" w:afterAutospacing="1" w:line="240" w:lineRule="auto"/>
        <w:outlineLvl w:val="1"/>
        <w:rPr>
          <w:rFonts w:eastAsia="Times New Roman"/>
          <w:b/>
          <w:bCs/>
          <w:sz w:val="36"/>
          <w:szCs w:val="36"/>
          <w:lang w:eastAsia="de-DE"/>
        </w:rPr>
      </w:pPr>
      <w:r w:rsidRPr="00324616">
        <w:rPr>
          <w:rFonts w:eastAsia="Times New Roman"/>
          <w:b/>
          <w:bCs/>
          <w:sz w:val="36"/>
          <w:szCs w:val="36"/>
          <w:lang w:eastAsia="de-DE"/>
        </w:rPr>
        <w:t>Deuteronomium 6,25</w:t>
      </w:r>
    </w:p>
    <w:p w14:paraId="296A9922"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Hebräisch:</w:t>
      </w:r>
      <w:r w:rsidRPr="00324616">
        <w:rPr>
          <w:rFonts w:eastAsia="Times New Roman"/>
          <w:lang w:eastAsia="de-DE"/>
        </w:rPr>
        <w:t xml:space="preserve"> </w:t>
      </w:r>
      <w:r w:rsidRPr="00324616">
        <w:rPr>
          <w:rFonts w:eastAsia="Times New Roman"/>
          <w:rtl/>
          <w:lang w:eastAsia="de-DE"/>
        </w:rPr>
        <w:t>וּצְדָקָה תִּהְיֶה־לָּנוּ כִּי־נִשְׁמֹר לַעֲשׂוֹת אֶת־כָּל־הַמִּצְוָה הַזֹּאת לִפְנֵי יְהוָה אֱלֹהֵינוּ כַּאֲשֶׁר צִוָּנוּ׃</w:t>
      </w:r>
    </w:p>
    <w:p w14:paraId="798178BA"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Deutsch:</w:t>
      </w:r>
      <w:r w:rsidRPr="00324616">
        <w:rPr>
          <w:rFonts w:eastAsia="Times New Roman"/>
          <w:lang w:eastAsia="de-DE"/>
        </w:rPr>
        <w:t xml:space="preserve"> Und es wird unsere Gerechtigkeit sein, wenn wir darauf achten, dieses ganze Gebot vor dem Ewigen, unserem Gott, zu tun, so wie er uns geboten hat.</w:t>
      </w:r>
    </w:p>
    <w:p w14:paraId="77016D6E" w14:textId="77777777" w:rsidR="00324616" w:rsidRPr="00324616" w:rsidRDefault="004F5CEB" w:rsidP="00324616">
      <w:pPr>
        <w:spacing w:after="0" w:line="240" w:lineRule="auto"/>
        <w:rPr>
          <w:rFonts w:eastAsia="Times New Roman"/>
          <w:lang w:eastAsia="de-DE"/>
        </w:rPr>
      </w:pPr>
      <w:r>
        <w:rPr>
          <w:rFonts w:eastAsia="Times New Roman"/>
          <w:noProof/>
          <w:lang w:eastAsia="de-DE"/>
        </w:rPr>
        <w:pict w14:anchorId="17AEB985">
          <v:rect id="_x0000_i1243" style="width:0;height:1.5pt" o:hralign="center" o:hrstd="t" o:hr="t" fillcolor="#a0a0a0" stroked="f"/>
        </w:pict>
      </w:r>
    </w:p>
    <w:p w14:paraId="0CD00A87"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Kommentar:</w:t>
      </w:r>
      <w:r w:rsidRPr="00324616">
        <w:rPr>
          <w:rFonts w:eastAsia="Times New Roman"/>
          <w:lang w:eastAsia="de-DE"/>
        </w:rPr>
        <w:t xml:space="preserve"> </w:t>
      </w:r>
      <w:r w:rsidRPr="00324616">
        <w:rPr>
          <w:rFonts w:eastAsia="Times New Roman"/>
          <w:b/>
          <w:bCs/>
          <w:rtl/>
          <w:lang w:eastAsia="de-DE"/>
        </w:rPr>
        <w:t>וּצְדָקָה תִּהְיֶה־לָּנוּ</w:t>
      </w:r>
      <w:r w:rsidRPr="00324616">
        <w:rPr>
          <w:rFonts w:eastAsia="Times New Roman"/>
          <w:rtl/>
          <w:lang w:eastAsia="de-DE"/>
        </w:rPr>
        <w:t xml:space="preserve"> </w:t>
      </w:r>
      <w:r w:rsidRPr="00324616">
        <w:rPr>
          <w:rFonts w:eastAsia="Times New Roman"/>
          <w:lang w:eastAsia="de-DE"/>
        </w:rPr>
        <w:t xml:space="preserve">ist ein nominaler Satz: </w:t>
      </w:r>
      <w:r w:rsidRPr="00324616">
        <w:rPr>
          <w:rFonts w:eastAsia="Times New Roman"/>
          <w:b/>
          <w:bCs/>
          <w:rtl/>
          <w:lang w:eastAsia="de-DE"/>
        </w:rPr>
        <w:t>וּצְדָקָה</w:t>
      </w:r>
      <w:r w:rsidRPr="00324616">
        <w:rPr>
          <w:rFonts w:eastAsia="Times New Roman"/>
          <w:rtl/>
          <w:lang w:eastAsia="de-DE"/>
        </w:rPr>
        <w:t xml:space="preserve"> </w:t>
      </w:r>
      <w:r w:rsidRPr="00324616">
        <w:rPr>
          <w:rFonts w:eastAsia="Times New Roman"/>
          <w:lang w:eastAsia="de-DE"/>
        </w:rPr>
        <w:t>(</w:t>
      </w:r>
      <w:r w:rsidRPr="00324616">
        <w:rPr>
          <w:rFonts w:eastAsia="Times New Roman"/>
          <w:b/>
          <w:bCs/>
          <w:rtl/>
          <w:lang w:eastAsia="de-DE"/>
        </w:rPr>
        <w:t>וְ</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צְדָקָה</w:t>
      </w:r>
      <w:r w:rsidRPr="00324616">
        <w:rPr>
          <w:rFonts w:eastAsia="Times New Roman"/>
          <w:lang w:eastAsia="de-DE"/>
        </w:rPr>
        <w:t xml:space="preserve">, „Gerechtigkeit, gerechtes Verhalten") als Subjekt, </w:t>
      </w:r>
      <w:r w:rsidRPr="00324616">
        <w:rPr>
          <w:rFonts w:eastAsia="Times New Roman"/>
          <w:b/>
          <w:bCs/>
          <w:rtl/>
          <w:lang w:eastAsia="de-DE"/>
        </w:rPr>
        <w:t>תִּהְיֶה</w:t>
      </w:r>
      <w:r w:rsidRPr="00324616">
        <w:rPr>
          <w:rFonts w:eastAsia="Times New Roman"/>
          <w:rtl/>
          <w:lang w:eastAsia="de-DE"/>
        </w:rPr>
        <w:t xml:space="preserve"> </w:t>
      </w:r>
      <w:r w:rsidRPr="00324616">
        <w:rPr>
          <w:rFonts w:eastAsia="Times New Roman"/>
          <w:lang w:eastAsia="de-DE"/>
        </w:rPr>
        <w:t xml:space="preserve">als Qal Imperfekt, 3. Person Singular feminin von </w:t>
      </w:r>
      <w:r w:rsidRPr="00324616">
        <w:rPr>
          <w:rFonts w:eastAsia="Times New Roman"/>
          <w:b/>
          <w:bCs/>
          <w:rtl/>
          <w:lang w:eastAsia="de-DE"/>
        </w:rPr>
        <w:t>היה</w:t>
      </w:r>
      <w:r w:rsidRPr="00324616">
        <w:rPr>
          <w:rFonts w:eastAsia="Times New Roman"/>
          <w:rtl/>
          <w:lang w:eastAsia="de-DE"/>
        </w:rPr>
        <w:t xml:space="preserve"> </w:t>
      </w:r>
      <w:r w:rsidRPr="00324616">
        <w:rPr>
          <w:rFonts w:eastAsia="Times New Roman"/>
          <w:lang w:eastAsia="de-DE"/>
        </w:rPr>
        <w:t xml:space="preserve">(„sein") – Kopula, </w:t>
      </w:r>
      <w:r w:rsidRPr="00324616">
        <w:rPr>
          <w:rFonts w:eastAsia="Times New Roman"/>
          <w:b/>
          <w:bCs/>
          <w:rtl/>
          <w:lang w:eastAsia="de-DE"/>
        </w:rPr>
        <w:t>לָּנוּ</w:t>
      </w:r>
      <w:r w:rsidRPr="00324616">
        <w:rPr>
          <w:rFonts w:eastAsia="Times New Roman"/>
          <w:rtl/>
          <w:lang w:eastAsia="de-DE"/>
        </w:rPr>
        <w:t xml:space="preserve"> </w:t>
      </w:r>
      <w:r w:rsidRPr="00324616">
        <w:rPr>
          <w:rFonts w:eastAsia="Times New Roman"/>
          <w:lang w:eastAsia="de-DE"/>
        </w:rPr>
        <w:t xml:space="preserve">als Dativ („für uns"). Das Wort </w:t>
      </w:r>
      <w:r w:rsidRPr="00324616">
        <w:rPr>
          <w:rFonts w:eastAsia="Times New Roman"/>
          <w:b/>
          <w:bCs/>
          <w:rtl/>
          <w:lang w:eastAsia="de-DE"/>
        </w:rPr>
        <w:t>צְדָקָה</w:t>
      </w:r>
      <w:r w:rsidRPr="00324616">
        <w:rPr>
          <w:rFonts w:eastAsia="Times New Roman"/>
          <w:rtl/>
          <w:lang w:eastAsia="de-DE"/>
        </w:rPr>
        <w:t xml:space="preserve"> </w:t>
      </w:r>
      <w:r w:rsidRPr="00324616">
        <w:rPr>
          <w:rFonts w:eastAsia="Times New Roman"/>
          <w:lang w:eastAsia="de-DE"/>
        </w:rPr>
        <w:t>bezeichnet im Hebräischen nicht primär eine abstrakte moralische Qualität, sondern „Gerechtigkeit, gerechtes Verhalten, Rechtsverhalten" – hier im Sinne von „rechtes Verhalten vor Gott, das der Bundesbeziehung entspricht".</w:t>
      </w:r>
    </w:p>
    <w:p w14:paraId="2430905F"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rtl/>
          <w:lang w:eastAsia="de-DE"/>
        </w:rPr>
        <w:t>כִּי־נִשְׁמֹר לַעֲשׂוֹת אֶת־כָּל־הַמִּצְוָה הַזֹּאת לִפְנֵי יְהוָה אֱלֹהֵינוּ כַּאֲשֶׁר צִוָּנוּ</w:t>
      </w:r>
      <w:r w:rsidRPr="00324616">
        <w:rPr>
          <w:rFonts w:eastAsia="Times New Roman"/>
          <w:rtl/>
          <w:lang w:eastAsia="de-DE"/>
        </w:rPr>
        <w:t xml:space="preserve"> </w:t>
      </w:r>
      <w:r w:rsidRPr="00324616">
        <w:rPr>
          <w:rFonts w:eastAsia="Times New Roman"/>
          <w:lang w:eastAsia="de-DE"/>
        </w:rPr>
        <w:t xml:space="preserve">ist ein konditionaler </w:t>
      </w:r>
      <w:r w:rsidRPr="00324616">
        <w:rPr>
          <w:rFonts w:eastAsia="Times New Roman"/>
          <w:b/>
          <w:bCs/>
          <w:rtl/>
          <w:lang w:eastAsia="de-DE"/>
        </w:rPr>
        <w:t>כִּי</w:t>
      </w:r>
      <w:r w:rsidRPr="00324616">
        <w:rPr>
          <w:rFonts w:eastAsia="Times New Roman"/>
          <w:lang w:eastAsia="de-DE"/>
        </w:rPr>
        <w:t xml:space="preserve">-Satz: </w:t>
      </w:r>
      <w:r w:rsidRPr="00324616">
        <w:rPr>
          <w:rFonts w:eastAsia="Times New Roman"/>
          <w:b/>
          <w:bCs/>
          <w:rtl/>
          <w:lang w:eastAsia="de-DE"/>
        </w:rPr>
        <w:t>כִּי</w:t>
      </w:r>
      <w:r w:rsidRPr="00324616">
        <w:rPr>
          <w:rFonts w:eastAsia="Times New Roman"/>
          <w:rtl/>
          <w:lang w:eastAsia="de-DE"/>
        </w:rPr>
        <w:t xml:space="preserve"> </w:t>
      </w:r>
      <w:r w:rsidRPr="00324616">
        <w:rPr>
          <w:rFonts w:eastAsia="Times New Roman"/>
          <w:lang w:eastAsia="de-DE"/>
        </w:rPr>
        <w:t xml:space="preserve">(„wenn"), </w:t>
      </w:r>
      <w:r w:rsidRPr="00324616">
        <w:rPr>
          <w:rFonts w:eastAsia="Times New Roman"/>
          <w:b/>
          <w:bCs/>
          <w:rtl/>
          <w:lang w:eastAsia="de-DE"/>
        </w:rPr>
        <w:t>נִשְׁמֹר</w:t>
      </w:r>
      <w:r w:rsidRPr="00324616">
        <w:rPr>
          <w:rFonts w:eastAsia="Times New Roman"/>
          <w:rtl/>
          <w:lang w:eastAsia="de-DE"/>
        </w:rPr>
        <w:t xml:space="preserve"> </w:t>
      </w:r>
      <w:r w:rsidRPr="00324616">
        <w:rPr>
          <w:rFonts w:eastAsia="Times New Roman"/>
          <w:lang w:eastAsia="de-DE"/>
        </w:rPr>
        <w:t xml:space="preserve">als Qal Imperfekt, 1. Person Plural von </w:t>
      </w:r>
      <w:r w:rsidRPr="00324616">
        <w:rPr>
          <w:rFonts w:eastAsia="Times New Roman"/>
          <w:b/>
          <w:bCs/>
          <w:rtl/>
          <w:lang w:eastAsia="de-DE"/>
        </w:rPr>
        <w:t>שׁמר</w:t>
      </w:r>
      <w:r w:rsidRPr="00324616">
        <w:rPr>
          <w:rFonts w:eastAsia="Times New Roman"/>
          <w:rtl/>
          <w:lang w:eastAsia="de-DE"/>
        </w:rPr>
        <w:t xml:space="preserve"> </w:t>
      </w:r>
      <w:r w:rsidRPr="00324616">
        <w:rPr>
          <w:rFonts w:eastAsia="Times New Roman"/>
          <w:lang w:eastAsia="de-DE"/>
        </w:rPr>
        <w:t xml:space="preserve">(„achten, bewahren"), </w:t>
      </w:r>
      <w:r w:rsidRPr="00324616">
        <w:rPr>
          <w:rFonts w:eastAsia="Times New Roman"/>
          <w:b/>
          <w:bCs/>
          <w:rtl/>
          <w:lang w:eastAsia="de-DE"/>
        </w:rPr>
        <w:t>לַעֲשׂוֹת אֶת־כָּל־הַמִּצְוָה הַזֹּאת</w:t>
      </w:r>
      <w:r w:rsidRPr="00324616">
        <w:rPr>
          <w:rFonts w:eastAsia="Times New Roman"/>
          <w:rtl/>
          <w:lang w:eastAsia="de-DE"/>
        </w:rPr>
        <w:t xml:space="preserve"> </w:t>
      </w:r>
      <w:r w:rsidRPr="00324616">
        <w:rPr>
          <w:rFonts w:eastAsia="Times New Roman"/>
          <w:lang w:eastAsia="de-DE"/>
        </w:rPr>
        <w:t xml:space="preserve">als finaler bzw. gerundial​er Infinitiv (Qal Infinitiv Construct von </w:t>
      </w:r>
      <w:r w:rsidRPr="00324616">
        <w:rPr>
          <w:rFonts w:eastAsia="Times New Roman"/>
          <w:b/>
          <w:bCs/>
          <w:rtl/>
          <w:lang w:eastAsia="de-DE"/>
        </w:rPr>
        <w:t>עשׂה</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לְ</w:t>
      </w:r>
      <w:r w:rsidRPr="00324616">
        <w:rPr>
          <w:rFonts w:eastAsia="Times New Roman"/>
          <w:rtl/>
          <w:lang w:eastAsia="de-DE"/>
        </w:rPr>
        <w:t xml:space="preserve"> </w:t>
      </w:r>
      <w:r w:rsidRPr="00324616">
        <w:rPr>
          <w:rFonts w:eastAsia="Times New Roman"/>
          <w:lang w:eastAsia="de-DE"/>
        </w:rPr>
        <w:t xml:space="preserve">und direktem Objekt: </w:t>
      </w:r>
      <w:r w:rsidRPr="00324616">
        <w:rPr>
          <w:rFonts w:eastAsia="Times New Roman"/>
          <w:b/>
          <w:bCs/>
          <w:rtl/>
          <w:lang w:eastAsia="de-DE"/>
        </w:rPr>
        <w:t>כָּל</w:t>
      </w:r>
      <w:r w:rsidRPr="00324616">
        <w:rPr>
          <w:rFonts w:eastAsia="Times New Roman"/>
          <w:rtl/>
          <w:lang w:eastAsia="de-DE"/>
        </w:rPr>
        <w:t xml:space="preserve"> </w:t>
      </w:r>
      <w:r w:rsidRPr="00324616">
        <w:rPr>
          <w:rFonts w:eastAsia="Times New Roman"/>
          <w:lang w:eastAsia="de-DE"/>
        </w:rPr>
        <w:t xml:space="preserve">im Construct mit </w:t>
      </w:r>
      <w:r w:rsidRPr="00324616">
        <w:rPr>
          <w:rFonts w:eastAsia="Times New Roman"/>
          <w:b/>
          <w:bCs/>
          <w:rtl/>
          <w:lang w:eastAsia="de-DE"/>
        </w:rPr>
        <w:t>מִצְוָה</w:t>
      </w:r>
      <w:r w:rsidRPr="00324616">
        <w:rPr>
          <w:rFonts w:eastAsia="Times New Roman"/>
          <w:rtl/>
          <w:lang w:eastAsia="de-DE"/>
        </w:rPr>
        <w:t xml:space="preserve"> </w:t>
      </w:r>
      <w:r w:rsidRPr="00324616">
        <w:rPr>
          <w:rFonts w:eastAsia="Times New Roman"/>
          <w:lang w:eastAsia="de-DE"/>
        </w:rPr>
        <w:t xml:space="preserve">und Demonstrativpronomen </w:t>
      </w:r>
      <w:r w:rsidRPr="00324616">
        <w:rPr>
          <w:rFonts w:eastAsia="Times New Roman"/>
          <w:b/>
          <w:bCs/>
          <w:rtl/>
          <w:lang w:eastAsia="de-DE"/>
        </w:rPr>
        <w:t>הַזֹּאת</w:t>
      </w:r>
      <w:r w:rsidRPr="00324616">
        <w:rPr>
          <w:rFonts w:eastAsia="Times New Roman"/>
          <w:rtl/>
          <w:lang w:eastAsia="de-DE"/>
        </w:rPr>
        <w:t xml:space="preserve"> </w:t>
      </w:r>
      <w:r w:rsidRPr="00324616">
        <w:rPr>
          <w:rFonts w:eastAsia="Times New Roman"/>
          <w:lang w:eastAsia="de-DE"/>
        </w:rPr>
        <w:t xml:space="preserve">– bemerkenswert ist der Singular </w:t>
      </w:r>
      <w:r w:rsidRPr="00324616">
        <w:rPr>
          <w:rFonts w:eastAsia="Times New Roman"/>
          <w:b/>
          <w:bCs/>
          <w:rtl/>
          <w:lang w:eastAsia="de-DE"/>
        </w:rPr>
        <w:t>הַמִּצְוָה</w:t>
      </w:r>
      <w:r w:rsidRPr="00324616">
        <w:rPr>
          <w:rFonts w:eastAsia="Times New Roman"/>
          <w:lang w:eastAsia="de-DE"/>
        </w:rPr>
        <w:t xml:space="preserve">, kollektiv für das gesamte Gebot), </w:t>
      </w:r>
      <w:r w:rsidRPr="00324616">
        <w:rPr>
          <w:rFonts w:eastAsia="Times New Roman"/>
          <w:b/>
          <w:bCs/>
          <w:rtl/>
          <w:lang w:eastAsia="de-DE"/>
        </w:rPr>
        <w:t>לִפְנֵי יְהוָה אֱלֹהֵינוּ</w:t>
      </w:r>
      <w:r w:rsidRPr="00324616">
        <w:rPr>
          <w:rFonts w:eastAsia="Times New Roman"/>
          <w:rtl/>
          <w:lang w:eastAsia="de-DE"/>
        </w:rPr>
        <w:t xml:space="preserve"> </w:t>
      </w:r>
      <w:r w:rsidRPr="00324616">
        <w:rPr>
          <w:rFonts w:eastAsia="Times New Roman"/>
          <w:lang w:eastAsia="de-DE"/>
        </w:rPr>
        <w:t>als modale bzw. lokale Bestimmung (</w:t>
      </w:r>
      <w:r w:rsidRPr="00324616">
        <w:rPr>
          <w:rFonts w:eastAsia="Times New Roman"/>
          <w:b/>
          <w:bCs/>
          <w:rtl/>
          <w:lang w:eastAsia="de-DE"/>
        </w:rPr>
        <w:t>לִפְנֵי</w:t>
      </w:r>
      <w:r w:rsidRPr="00324616">
        <w:rPr>
          <w:rFonts w:eastAsia="Times New Roman"/>
          <w:lang w:eastAsia="de-DE"/>
        </w:rPr>
        <w:t xml:space="preserve">, „vor dem Angesicht von", mit erweiterter Gottesbezeichnung), </w:t>
      </w:r>
      <w:r w:rsidRPr="00324616">
        <w:rPr>
          <w:rFonts w:eastAsia="Times New Roman"/>
          <w:b/>
          <w:bCs/>
          <w:rtl/>
          <w:lang w:eastAsia="de-DE"/>
        </w:rPr>
        <w:t>כַּאֲשֶׁר צִוָּנוּ</w:t>
      </w:r>
      <w:r w:rsidRPr="00324616">
        <w:rPr>
          <w:rFonts w:eastAsia="Times New Roman"/>
          <w:rtl/>
          <w:lang w:eastAsia="de-DE"/>
        </w:rPr>
        <w:t xml:space="preserve"> </w:t>
      </w:r>
      <w:r w:rsidRPr="00324616">
        <w:rPr>
          <w:rFonts w:eastAsia="Times New Roman"/>
          <w:lang w:eastAsia="de-DE"/>
        </w:rPr>
        <w:t>als Vergleichssatz (</w:t>
      </w:r>
      <w:r w:rsidRPr="00324616">
        <w:rPr>
          <w:rFonts w:eastAsia="Times New Roman"/>
          <w:b/>
          <w:bCs/>
          <w:rtl/>
          <w:lang w:eastAsia="de-DE"/>
        </w:rPr>
        <w:t>כַּאֲשֶׁר</w:t>
      </w:r>
      <w:r w:rsidRPr="00324616">
        <w:rPr>
          <w:rFonts w:eastAsia="Times New Roman"/>
          <w:rtl/>
          <w:lang w:eastAsia="de-DE"/>
        </w:rPr>
        <w:t xml:space="preserve"> </w:t>
      </w:r>
      <w:r w:rsidRPr="00324616">
        <w:rPr>
          <w:rFonts w:eastAsia="Times New Roman"/>
          <w:lang w:eastAsia="de-DE"/>
        </w:rPr>
        <w:t xml:space="preserve">mit Piel Perfekt, 3. Person Singular maskulin von </w:t>
      </w:r>
      <w:r w:rsidRPr="00324616">
        <w:rPr>
          <w:rFonts w:eastAsia="Times New Roman"/>
          <w:b/>
          <w:bCs/>
          <w:rtl/>
          <w:lang w:eastAsia="de-DE"/>
        </w:rPr>
        <w:t>צוה</w:t>
      </w:r>
      <w:r w:rsidRPr="00324616">
        <w:rPr>
          <w:rFonts w:eastAsia="Times New Roman"/>
          <w:rtl/>
          <w:lang w:eastAsia="de-DE"/>
        </w:rPr>
        <w:t xml:space="preserve"> </w:t>
      </w:r>
      <w:r w:rsidRPr="00324616">
        <w:rPr>
          <w:rFonts w:eastAsia="Times New Roman"/>
          <w:lang w:eastAsia="de-DE"/>
        </w:rPr>
        <w:t>und Suffix 1. Person Plural).</w:t>
      </w:r>
    </w:p>
    <w:p w14:paraId="761F503E"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lastRenderedPageBreak/>
        <w:t xml:space="preserve">Der Begriff </w:t>
      </w:r>
      <w:r w:rsidRPr="00324616">
        <w:rPr>
          <w:rFonts w:eastAsia="Times New Roman"/>
          <w:b/>
          <w:bCs/>
          <w:rtl/>
          <w:lang w:eastAsia="de-DE"/>
        </w:rPr>
        <w:t>צְדָקָה</w:t>
      </w:r>
      <w:r w:rsidRPr="00324616">
        <w:rPr>
          <w:rFonts w:eastAsia="Times New Roman"/>
          <w:rtl/>
          <w:lang w:eastAsia="de-DE"/>
        </w:rPr>
        <w:t xml:space="preserve"> </w:t>
      </w:r>
      <w:r w:rsidRPr="00324616">
        <w:rPr>
          <w:rFonts w:eastAsia="Times New Roman"/>
          <w:lang w:eastAsia="de-DE"/>
        </w:rPr>
        <w:t xml:space="preserve">ist hier nicht im Sinne forensischer Rechtfertigung zu verstehen (wie später in der paulinischen Theologie), sondern als „gerechtes, bundesgemäßes Verhalten". Der Gehorsam gegenüber den Geboten ist das, was vor JHWH als </w:t>
      </w:r>
      <w:r w:rsidRPr="00324616">
        <w:rPr>
          <w:rFonts w:eastAsia="Times New Roman"/>
          <w:b/>
          <w:bCs/>
          <w:rtl/>
          <w:lang w:eastAsia="de-DE"/>
        </w:rPr>
        <w:t>צְדָקָה</w:t>
      </w:r>
      <w:r w:rsidRPr="00324616">
        <w:rPr>
          <w:rFonts w:eastAsia="Times New Roman"/>
          <w:rtl/>
          <w:lang w:eastAsia="de-DE"/>
        </w:rPr>
        <w:t xml:space="preserve"> </w:t>
      </w:r>
      <w:r w:rsidRPr="00324616">
        <w:rPr>
          <w:rFonts w:eastAsia="Times New Roman"/>
          <w:lang w:eastAsia="de-DE"/>
        </w:rPr>
        <w:t xml:space="preserve">gilt – als dem Bund entsprechendes Verhalten. Die Wendung </w:t>
      </w:r>
      <w:r w:rsidRPr="00324616">
        <w:rPr>
          <w:rFonts w:eastAsia="Times New Roman"/>
          <w:b/>
          <w:bCs/>
          <w:rtl/>
          <w:lang w:eastAsia="de-DE"/>
        </w:rPr>
        <w:t>לִפְנֵי יְהוָה</w:t>
      </w:r>
      <w:r w:rsidRPr="00324616">
        <w:rPr>
          <w:rFonts w:eastAsia="Times New Roman"/>
          <w:rtl/>
          <w:lang w:eastAsia="de-DE"/>
        </w:rPr>
        <w:t xml:space="preserve"> </w:t>
      </w:r>
      <w:r w:rsidRPr="00324616">
        <w:rPr>
          <w:rFonts w:eastAsia="Times New Roman"/>
          <w:lang w:eastAsia="de-DE"/>
        </w:rPr>
        <w:t xml:space="preserve">(„vor JHWH") betont, dass das Tun der Gebote coram Deo geschieht, in der Gegenwart Gottes. Der Singular </w:t>
      </w:r>
      <w:r w:rsidRPr="00324616">
        <w:rPr>
          <w:rFonts w:eastAsia="Times New Roman"/>
          <w:b/>
          <w:bCs/>
          <w:rtl/>
          <w:lang w:eastAsia="de-DE"/>
        </w:rPr>
        <w:t>הַמִּצְוָה</w:t>
      </w:r>
      <w:r w:rsidRPr="00324616">
        <w:rPr>
          <w:rFonts w:eastAsia="Times New Roman"/>
          <w:rtl/>
          <w:lang w:eastAsia="de-DE"/>
        </w:rPr>
        <w:t xml:space="preserve"> </w:t>
      </w:r>
      <w:r w:rsidRPr="00324616">
        <w:rPr>
          <w:rFonts w:eastAsia="Times New Roman"/>
          <w:lang w:eastAsia="de-DE"/>
        </w:rPr>
        <w:t>(kollektiv) betont die Einheit und Unteilbarkeit des göttlichen Gebots.</w:t>
      </w:r>
    </w:p>
    <w:p w14:paraId="2A566285"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 xml:space="preserve">Die Satzstruktur ist ein nominaler Satz mit Subjekt, Kopula und Dativ, gefolgt von einem konditionalen </w:t>
      </w:r>
      <w:r w:rsidRPr="00324616">
        <w:rPr>
          <w:rFonts w:eastAsia="Times New Roman"/>
          <w:b/>
          <w:bCs/>
          <w:rtl/>
          <w:lang w:eastAsia="de-DE"/>
        </w:rPr>
        <w:t>כִּי</w:t>
      </w:r>
      <w:r w:rsidRPr="00324616">
        <w:rPr>
          <w:rFonts w:eastAsia="Times New Roman"/>
          <w:lang w:eastAsia="de-DE"/>
        </w:rPr>
        <w:t xml:space="preserve">-Satz mit Prädikat, finaler bzw. gerundialer Infinitivkonstruktion (mit direktem Objekt), modaler bzw. lokaler Bestimmung und abschließendem Vergleichssatz mit Prädikat und Suffix-Objekt. Die Struktur definiert </w:t>
      </w:r>
      <w:r w:rsidRPr="00324616">
        <w:rPr>
          <w:rFonts w:eastAsia="Times New Roman"/>
          <w:b/>
          <w:bCs/>
          <w:rtl/>
          <w:lang w:eastAsia="de-DE"/>
        </w:rPr>
        <w:t>צְדָקָה</w:t>
      </w:r>
      <w:r w:rsidRPr="00324616">
        <w:rPr>
          <w:rFonts w:eastAsia="Times New Roman"/>
          <w:rtl/>
          <w:lang w:eastAsia="de-DE"/>
        </w:rPr>
        <w:t xml:space="preserve"> </w:t>
      </w:r>
      <w:r w:rsidRPr="00324616">
        <w:rPr>
          <w:rFonts w:eastAsia="Times New Roman"/>
          <w:lang w:eastAsia="de-DE"/>
        </w:rPr>
        <w:t>als Ergebnis treuen Gehorsams.</w:t>
      </w:r>
    </w:p>
    <w:p w14:paraId="4F0E55DE"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 xml:space="preserve">Der Vers schließt die katechetische Antwort ab: Gehorsam gegenüber den Geboten wird vor JHWH als </w:t>
      </w:r>
      <w:r w:rsidRPr="00324616">
        <w:rPr>
          <w:rFonts w:eastAsia="Times New Roman"/>
          <w:b/>
          <w:bCs/>
          <w:rtl/>
          <w:lang w:eastAsia="de-DE"/>
        </w:rPr>
        <w:t>צְדָקָה</w:t>
      </w:r>
      <w:r w:rsidRPr="00324616">
        <w:rPr>
          <w:rFonts w:eastAsia="Times New Roman"/>
          <w:lang w:eastAsia="de-DE"/>
        </w:rPr>
        <w:t>, als bundesgemäßes, gerechtes Verhalten gelten – wenn Israel achtsam das gesamte Gebot tut, wie JHWH es befohlen hat.</w:t>
      </w:r>
    </w:p>
    <w:p w14:paraId="2411F557" w14:textId="77777777" w:rsidR="00324616" w:rsidRPr="00324616" w:rsidRDefault="00324616" w:rsidP="00324616">
      <w:pPr>
        <w:spacing w:before="100" w:beforeAutospacing="1" w:after="100" w:afterAutospacing="1" w:line="240" w:lineRule="auto"/>
        <w:outlineLvl w:val="1"/>
        <w:rPr>
          <w:rFonts w:eastAsia="Times New Roman"/>
          <w:b/>
          <w:bCs/>
          <w:sz w:val="36"/>
          <w:szCs w:val="36"/>
          <w:lang w:eastAsia="de-DE"/>
        </w:rPr>
      </w:pPr>
      <w:r w:rsidRPr="00324616">
        <w:rPr>
          <w:rFonts w:eastAsia="Times New Roman"/>
          <w:b/>
          <w:bCs/>
          <w:sz w:val="36"/>
          <w:szCs w:val="36"/>
          <w:lang w:eastAsia="de-DE"/>
        </w:rPr>
        <w:t>Deuteronomium 7,1</w:t>
      </w:r>
    </w:p>
    <w:p w14:paraId="5FFDC606"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Hebräisch:</w:t>
      </w:r>
      <w:r w:rsidRPr="00324616">
        <w:rPr>
          <w:rFonts w:eastAsia="Times New Roman"/>
          <w:lang w:eastAsia="de-DE"/>
        </w:rPr>
        <w:t xml:space="preserve"> </w:t>
      </w:r>
      <w:r w:rsidRPr="00324616">
        <w:rPr>
          <w:rFonts w:eastAsia="Times New Roman"/>
          <w:rtl/>
          <w:lang w:eastAsia="de-DE"/>
        </w:rPr>
        <w:t>כִּי יְבִיאֲךָ יְהוָה אֱלֹהֶיךָ אֶל־הָאָרֶץ אֲשֶׁר־אַתָּה בָא־שָׁמָּה לְרִשְׁתָּהּ וְנָשַׁל גּוֹיִם־רַבִּים מִפָּנֶיךָ הַחִתִּי וְהַגִּרְגָּשִׁי וְהָאֱמֹרִי וְהַכְּנַעֲנִי וְהַפְּרִזִּי וְהַחִוִּי וְהַיְבוּסִי שִׁבְעָה גוֹיִם רַבִּים וַעֲצוּמִים מִמֶּךָּ׃</w:t>
      </w:r>
    </w:p>
    <w:p w14:paraId="25A2AF98"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Deutsch:</w:t>
      </w:r>
      <w:r w:rsidRPr="00324616">
        <w:rPr>
          <w:rFonts w:eastAsia="Times New Roman"/>
          <w:lang w:eastAsia="de-DE"/>
        </w:rPr>
        <w:t xml:space="preserve"> Wenn der Ewige, dein Gott, dich in das Land bringt, in das du kommst, um es in Besitz zu nehmen, und viele Nationen vor dir vertreibt: den Chitti und den Girgaschi und den Emori und den Kena'ani und den Perisi und den Chivi und den Jevusi, sieben Nationen, größer und stärker als du,</w:t>
      </w:r>
    </w:p>
    <w:p w14:paraId="6D3724C5" w14:textId="77777777" w:rsidR="00324616" w:rsidRPr="00324616" w:rsidRDefault="004F5CEB" w:rsidP="00324616">
      <w:pPr>
        <w:spacing w:after="0" w:line="240" w:lineRule="auto"/>
        <w:rPr>
          <w:rFonts w:eastAsia="Times New Roman"/>
          <w:lang w:eastAsia="de-DE"/>
        </w:rPr>
      </w:pPr>
      <w:r>
        <w:rPr>
          <w:rFonts w:eastAsia="Times New Roman"/>
          <w:noProof/>
          <w:lang w:eastAsia="de-DE"/>
        </w:rPr>
        <w:pict w14:anchorId="3872CF23">
          <v:rect id="_x0000_i1244" style="width:0;height:1.5pt" o:hralign="center" o:hrstd="t" o:hr="t" fillcolor="#a0a0a0" stroked="f"/>
        </w:pict>
      </w:r>
    </w:p>
    <w:p w14:paraId="778A8F80"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Kommentar:</w:t>
      </w:r>
      <w:r w:rsidRPr="00324616">
        <w:rPr>
          <w:rFonts w:eastAsia="Times New Roman"/>
          <w:lang w:eastAsia="de-DE"/>
        </w:rPr>
        <w:t xml:space="preserve"> </w:t>
      </w:r>
      <w:r w:rsidRPr="00324616">
        <w:rPr>
          <w:rFonts w:eastAsia="Times New Roman"/>
          <w:b/>
          <w:bCs/>
          <w:rtl/>
          <w:lang w:eastAsia="de-DE"/>
        </w:rPr>
        <w:t>כִּי יְבִיאֲךָ יְהוָה אֱלֹהֶיךָ אֶל־הָאָרֶץ</w:t>
      </w:r>
      <w:r w:rsidRPr="00324616">
        <w:rPr>
          <w:rFonts w:eastAsia="Times New Roman"/>
          <w:rtl/>
          <w:lang w:eastAsia="de-DE"/>
        </w:rPr>
        <w:t xml:space="preserve"> </w:t>
      </w:r>
      <w:r w:rsidRPr="00324616">
        <w:rPr>
          <w:rFonts w:eastAsia="Times New Roman"/>
          <w:lang w:eastAsia="de-DE"/>
        </w:rPr>
        <w:t xml:space="preserve">ist ein temporaler Konditionalsatz: </w:t>
      </w:r>
      <w:r w:rsidRPr="00324616">
        <w:rPr>
          <w:rFonts w:eastAsia="Times New Roman"/>
          <w:b/>
          <w:bCs/>
          <w:rtl/>
          <w:lang w:eastAsia="de-DE"/>
        </w:rPr>
        <w:t>כִּי</w:t>
      </w:r>
      <w:r w:rsidRPr="00324616">
        <w:rPr>
          <w:rFonts w:eastAsia="Times New Roman"/>
          <w:rtl/>
          <w:lang w:eastAsia="de-DE"/>
        </w:rPr>
        <w:t xml:space="preserve"> </w:t>
      </w:r>
      <w:r w:rsidRPr="00324616">
        <w:rPr>
          <w:rFonts w:eastAsia="Times New Roman"/>
          <w:lang w:eastAsia="de-DE"/>
        </w:rPr>
        <w:t xml:space="preserve">(„wenn"), </w:t>
      </w:r>
      <w:r w:rsidRPr="00324616">
        <w:rPr>
          <w:rFonts w:eastAsia="Times New Roman"/>
          <w:b/>
          <w:bCs/>
          <w:rtl/>
          <w:lang w:eastAsia="de-DE"/>
        </w:rPr>
        <w:t>יְבִיאֲךָ</w:t>
      </w:r>
      <w:r w:rsidRPr="00324616">
        <w:rPr>
          <w:rFonts w:eastAsia="Times New Roman"/>
          <w:rtl/>
          <w:lang w:eastAsia="de-DE"/>
        </w:rPr>
        <w:t xml:space="preserve"> </w:t>
      </w:r>
      <w:r w:rsidRPr="00324616">
        <w:rPr>
          <w:rFonts w:eastAsia="Times New Roman"/>
          <w:lang w:eastAsia="de-DE"/>
        </w:rPr>
        <w:t xml:space="preserve">als Hifil Imperfekt, 3. Person Singular maskulin von </w:t>
      </w:r>
      <w:r w:rsidRPr="00324616">
        <w:rPr>
          <w:rFonts w:eastAsia="Times New Roman"/>
          <w:b/>
          <w:bCs/>
          <w:rtl/>
          <w:lang w:eastAsia="de-DE"/>
        </w:rPr>
        <w:t>בוא</w:t>
      </w:r>
      <w:r w:rsidRPr="00324616">
        <w:rPr>
          <w:rFonts w:eastAsia="Times New Roman"/>
          <w:rtl/>
          <w:lang w:eastAsia="de-DE"/>
        </w:rPr>
        <w:t xml:space="preserve"> </w:t>
      </w:r>
      <w:r w:rsidRPr="00324616">
        <w:rPr>
          <w:rFonts w:eastAsia="Times New Roman"/>
          <w:lang w:eastAsia="de-DE"/>
        </w:rPr>
        <w:t xml:space="preserve">(„bringen") mit Suffix 2. Person Singular maskulin als direktes Objekt, </w:t>
      </w:r>
      <w:r w:rsidRPr="00324616">
        <w:rPr>
          <w:rFonts w:eastAsia="Times New Roman"/>
          <w:b/>
          <w:bCs/>
          <w:rtl/>
          <w:lang w:eastAsia="de-DE"/>
        </w:rPr>
        <w:t>יְהוָה אֱלֹהֶיךָ</w:t>
      </w:r>
      <w:r w:rsidRPr="00324616">
        <w:rPr>
          <w:rFonts w:eastAsia="Times New Roman"/>
          <w:rtl/>
          <w:lang w:eastAsia="de-DE"/>
        </w:rPr>
        <w:t xml:space="preserve"> </w:t>
      </w:r>
      <w:r w:rsidRPr="00324616">
        <w:rPr>
          <w:rFonts w:eastAsia="Times New Roman"/>
          <w:lang w:eastAsia="de-DE"/>
        </w:rPr>
        <w:t xml:space="preserve">als erweitertes Subjekt, </w:t>
      </w:r>
      <w:r w:rsidRPr="00324616">
        <w:rPr>
          <w:rFonts w:eastAsia="Times New Roman"/>
          <w:b/>
          <w:bCs/>
          <w:rtl/>
          <w:lang w:eastAsia="de-DE"/>
        </w:rPr>
        <w:t>אֶל־הָאָרֶץ</w:t>
      </w:r>
      <w:r w:rsidRPr="00324616">
        <w:rPr>
          <w:rFonts w:eastAsia="Times New Roman"/>
          <w:rtl/>
          <w:lang w:eastAsia="de-DE"/>
        </w:rPr>
        <w:t xml:space="preserve"> </w:t>
      </w:r>
      <w:r w:rsidRPr="00324616">
        <w:rPr>
          <w:rFonts w:eastAsia="Times New Roman"/>
          <w:lang w:eastAsia="de-DE"/>
        </w:rPr>
        <w:t xml:space="preserve">als Richtungsangabe. </w:t>
      </w:r>
      <w:r w:rsidRPr="00324616">
        <w:rPr>
          <w:rFonts w:eastAsia="Times New Roman"/>
          <w:b/>
          <w:bCs/>
          <w:rtl/>
          <w:lang w:eastAsia="de-DE"/>
        </w:rPr>
        <w:t>אֲשֶׁר־אַתָּה בָא־שָׁמָּה לְרִשְׁתָּהּ</w:t>
      </w:r>
      <w:r w:rsidRPr="00324616">
        <w:rPr>
          <w:rFonts w:eastAsia="Times New Roman"/>
          <w:rtl/>
          <w:lang w:eastAsia="de-DE"/>
        </w:rPr>
        <w:t xml:space="preserve"> </w:t>
      </w:r>
      <w:r w:rsidRPr="00324616">
        <w:rPr>
          <w:rFonts w:eastAsia="Times New Roman"/>
          <w:lang w:eastAsia="de-DE"/>
        </w:rPr>
        <w:t xml:space="preserve">ist ein Relativsatz: </w:t>
      </w:r>
      <w:r w:rsidRPr="00324616">
        <w:rPr>
          <w:rFonts w:eastAsia="Times New Roman"/>
          <w:b/>
          <w:bCs/>
          <w:rtl/>
          <w:lang w:eastAsia="de-DE"/>
        </w:rPr>
        <w:t>אֲשֶׁר</w:t>
      </w:r>
      <w:r w:rsidRPr="00324616">
        <w:rPr>
          <w:rFonts w:eastAsia="Times New Roman"/>
          <w:rtl/>
          <w:lang w:eastAsia="de-DE"/>
        </w:rPr>
        <w:t xml:space="preserve"> </w:t>
      </w:r>
      <w:r w:rsidRPr="00324616">
        <w:rPr>
          <w:rFonts w:eastAsia="Times New Roman"/>
          <w:lang w:eastAsia="de-DE"/>
        </w:rPr>
        <w:t xml:space="preserve">als Relativpronomen, </w:t>
      </w:r>
      <w:r w:rsidRPr="00324616">
        <w:rPr>
          <w:rFonts w:eastAsia="Times New Roman"/>
          <w:b/>
          <w:bCs/>
          <w:rtl/>
          <w:lang w:eastAsia="de-DE"/>
        </w:rPr>
        <w:t>אַתָּה</w:t>
      </w:r>
      <w:r w:rsidRPr="00324616">
        <w:rPr>
          <w:rFonts w:eastAsia="Times New Roman"/>
          <w:rtl/>
          <w:lang w:eastAsia="de-DE"/>
        </w:rPr>
        <w:t xml:space="preserve"> </w:t>
      </w:r>
      <w:r w:rsidRPr="00324616">
        <w:rPr>
          <w:rFonts w:eastAsia="Times New Roman"/>
          <w:lang w:eastAsia="de-DE"/>
        </w:rPr>
        <w:t xml:space="preserve">als Subjekt, </w:t>
      </w:r>
      <w:r w:rsidRPr="00324616">
        <w:rPr>
          <w:rFonts w:eastAsia="Times New Roman"/>
          <w:b/>
          <w:bCs/>
          <w:rtl/>
          <w:lang w:eastAsia="de-DE"/>
        </w:rPr>
        <w:t>בָא</w:t>
      </w:r>
      <w:r w:rsidRPr="00324616">
        <w:rPr>
          <w:rFonts w:eastAsia="Times New Roman"/>
          <w:rtl/>
          <w:lang w:eastAsia="de-DE"/>
        </w:rPr>
        <w:t xml:space="preserve"> </w:t>
      </w:r>
      <w:r w:rsidRPr="00324616">
        <w:rPr>
          <w:rFonts w:eastAsia="Times New Roman"/>
          <w:lang w:eastAsia="de-DE"/>
        </w:rPr>
        <w:t xml:space="preserve">als Qal Partizip Singular maskulin von </w:t>
      </w:r>
      <w:r w:rsidRPr="00324616">
        <w:rPr>
          <w:rFonts w:eastAsia="Times New Roman"/>
          <w:b/>
          <w:bCs/>
          <w:rtl/>
          <w:lang w:eastAsia="de-DE"/>
        </w:rPr>
        <w:t>בוא</w:t>
      </w:r>
      <w:r w:rsidRPr="00324616">
        <w:rPr>
          <w:rFonts w:eastAsia="Times New Roman"/>
          <w:rtl/>
          <w:lang w:eastAsia="de-DE"/>
        </w:rPr>
        <w:t xml:space="preserve"> </w:t>
      </w:r>
      <w:r w:rsidRPr="00324616">
        <w:rPr>
          <w:rFonts w:eastAsia="Times New Roman"/>
          <w:lang w:eastAsia="de-DE"/>
        </w:rPr>
        <w:t xml:space="preserve">(„kommen, hineinkommen"), </w:t>
      </w:r>
      <w:r w:rsidRPr="00324616">
        <w:rPr>
          <w:rFonts w:eastAsia="Times New Roman"/>
          <w:b/>
          <w:bCs/>
          <w:rtl/>
          <w:lang w:eastAsia="de-DE"/>
        </w:rPr>
        <w:t>שָׁמָּה</w:t>
      </w:r>
      <w:r w:rsidRPr="00324616">
        <w:rPr>
          <w:rFonts w:eastAsia="Times New Roman"/>
          <w:rtl/>
          <w:lang w:eastAsia="de-DE"/>
        </w:rPr>
        <w:t xml:space="preserve"> </w:t>
      </w:r>
      <w:r w:rsidRPr="00324616">
        <w:rPr>
          <w:rFonts w:eastAsia="Times New Roman"/>
          <w:lang w:eastAsia="de-DE"/>
        </w:rPr>
        <w:t xml:space="preserve">als Richtungsadverb („dorthin"), </w:t>
      </w:r>
      <w:r w:rsidRPr="00324616">
        <w:rPr>
          <w:rFonts w:eastAsia="Times New Roman"/>
          <w:b/>
          <w:bCs/>
          <w:rtl/>
          <w:lang w:eastAsia="de-DE"/>
        </w:rPr>
        <w:t>לְרִשְׁתָּהּ</w:t>
      </w:r>
      <w:r w:rsidRPr="00324616">
        <w:rPr>
          <w:rFonts w:eastAsia="Times New Roman"/>
          <w:rtl/>
          <w:lang w:eastAsia="de-DE"/>
        </w:rPr>
        <w:t xml:space="preserve"> </w:t>
      </w:r>
      <w:r w:rsidRPr="00324616">
        <w:rPr>
          <w:rFonts w:eastAsia="Times New Roman"/>
          <w:lang w:eastAsia="de-DE"/>
        </w:rPr>
        <w:t xml:space="preserve">als finaler Infinitiv (Qal Infinitiv Construct von </w:t>
      </w:r>
      <w:r w:rsidRPr="00324616">
        <w:rPr>
          <w:rFonts w:eastAsia="Times New Roman"/>
          <w:b/>
          <w:bCs/>
          <w:rtl/>
          <w:lang w:eastAsia="de-DE"/>
        </w:rPr>
        <w:t>ירשׁ</w:t>
      </w:r>
      <w:r w:rsidRPr="00324616">
        <w:rPr>
          <w:rFonts w:eastAsia="Times New Roman"/>
          <w:lang w:eastAsia="de-DE"/>
        </w:rPr>
        <w:t xml:space="preserve">, „in Besitz nehmen", mit </w:t>
      </w:r>
      <w:r w:rsidRPr="00324616">
        <w:rPr>
          <w:rFonts w:eastAsia="Times New Roman"/>
          <w:b/>
          <w:bCs/>
          <w:rtl/>
          <w:lang w:eastAsia="de-DE"/>
        </w:rPr>
        <w:t>לְ</w:t>
      </w:r>
      <w:r w:rsidRPr="00324616">
        <w:rPr>
          <w:rFonts w:eastAsia="Times New Roman"/>
          <w:rtl/>
          <w:lang w:eastAsia="de-DE"/>
        </w:rPr>
        <w:t xml:space="preserve"> </w:t>
      </w:r>
      <w:r w:rsidRPr="00324616">
        <w:rPr>
          <w:rFonts w:eastAsia="Times New Roman"/>
          <w:lang w:eastAsia="de-DE"/>
        </w:rPr>
        <w:t>und Suffix 3. Person Singular feminin).</w:t>
      </w:r>
    </w:p>
    <w:p w14:paraId="19B01E1C" w14:textId="329EC275"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rtl/>
          <w:lang w:eastAsia="de-DE"/>
        </w:rPr>
        <w:t>וְנָשַׁל גּוֹיִם־רַבִּים מִפָּנֶיךָ</w:t>
      </w:r>
      <w:r w:rsidRPr="00324616">
        <w:rPr>
          <w:rFonts w:eastAsia="Times New Roman"/>
          <w:rtl/>
          <w:lang w:eastAsia="de-DE"/>
        </w:rPr>
        <w:t xml:space="preserve"> </w:t>
      </w:r>
      <w:r w:rsidRPr="00324616">
        <w:rPr>
          <w:rFonts w:eastAsia="Times New Roman"/>
          <w:lang w:eastAsia="de-DE"/>
        </w:rPr>
        <w:t xml:space="preserve">ist Qal Perfekt consecutivum, 3. Person Singular maskulin von </w:t>
      </w:r>
      <w:r w:rsidRPr="00324616">
        <w:rPr>
          <w:rFonts w:eastAsia="Times New Roman"/>
          <w:b/>
          <w:bCs/>
          <w:rtl/>
          <w:lang w:eastAsia="de-DE"/>
        </w:rPr>
        <w:t>נשׁל</w:t>
      </w:r>
      <w:r w:rsidRPr="00324616">
        <w:rPr>
          <w:rFonts w:eastAsia="Times New Roman"/>
          <w:rtl/>
          <w:lang w:eastAsia="de-DE"/>
        </w:rPr>
        <w:t xml:space="preserve"> </w:t>
      </w:r>
      <w:r w:rsidRPr="00324616">
        <w:rPr>
          <w:rFonts w:eastAsia="Times New Roman"/>
          <w:lang w:eastAsia="de-DE"/>
        </w:rPr>
        <w:t xml:space="preserve">(„vertreiben, ausreißen") mit </w:t>
      </w:r>
      <w:r w:rsidRPr="00324616">
        <w:rPr>
          <w:rFonts w:eastAsia="Times New Roman"/>
          <w:b/>
          <w:bCs/>
          <w:rtl/>
          <w:lang w:eastAsia="de-DE"/>
        </w:rPr>
        <w:t>וְ</w:t>
      </w:r>
      <w:r w:rsidRPr="00324616">
        <w:rPr>
          <w:rFonts w:eastAsia="Times New Roman"/>
          <w:lang w:eastAsia="de-DE"/>
        </w:rPr>
        <w:t xml:space="preserve">, </w:t>
      </w:r>
      <w:r w:rsidRPr="00324616">
        <w:rPr>
          <w:rFonts w:eastAsia="Times New Roman"/>
          <w:b/>
          <w:bCs/>
          <w:rtl/>
          <w:lang w:eastAsia="de-DE"/>
        </w:rPr>
        <w:t>גּוֹיִם־רַבִּים</w:t>
      </w:r>
      <w:r w:rsidRPr="00324616">
        <w:rPr>
          <w:rFonts w:eastAsia="Times New Roman"/>
          <w:rtl/>
          <w:lang w:eastAsia="de-DE"/>
        </w:rPr>
        <w:t xml:space="preserve"> </w:t>
      </w:r>
      <w:r w:rsidRPr="00324616">
        <w:rPr>
          <w:rFonts w:eastAsia="Times New Roman"/>
          <w:lang w:eastAsia="de-DE"/>
        </w:rPr>
        <w:t>als direktes Objekt (</w:t>
      </w:r>
      <w:r w:rsidRPr="00324616">
        <w:rPr>
          <w:rFonts w:eastAsia="Times New Roman"/>
          <w:b/>
          <w:bCs/>
          <w:rtl/>
          <w:lang w:eastAsia="de-DE"/>
        </w:rPr>
        <w:t>גּוֹי</w:t>
      </w:r>
      <w:r w:rsidRPr="00324616">
        <w:rPr>
          <w:rFonts w:eastAsia="Times New Roman"/>
          <w:lang w:eastAsia="de-DE"/>
        </w:rPr>
        <w:t xml:space="preserve">, „Nation, Volk", Plural, mit Adjektiv </w:t>
      </w:r>
      <w:r w:rsidRPr="00324616">
        <w:rPr>
          <w:rFonts w:eastAsia="Times New Roman"/>
          <w:b/>
          <w:bCs/>
          <w:rtl/>
          <w:lang w:eastAsia="de-DE"/>
        </w:rPr>
        <w:t>רַבִּים</w:t>
      </w:r>
      <w:r w:rsidRPr="00324616">
        <w:rPr>
          <w:rFonts w:eastAsia="Times New Roman"/>
          <w:lang w:eastAsia="de-DE"/>
        </w:rPr>
        <w:t xml:space="preserve">, „viele", und </w:t>
      </w:r>
      <w:r w:rsidR="00D84597">
        <w:rPr>
          <w:rFonts w:eastAsia="Times New Roman"/>
          <w:lang w:eastAsia="de-DE"/>
        </w:rPr>
        <w:t>Maqqef</w:t>
      </w:r>
      <w:r w:rsidRPr="00324616">
        <w:rPr>
          <w:rFonts w:eastAsia="Times New Roman"/>
          <w:lang w:eastAsia="de-DE"/>
        </w:rPr>
        <w:t xml:space="preserve">), </w:t>
      </w:r>
      <w:r w:rsidRPr="00324616">
        <w:rPr>
          <w:rFonts w:eastAsia="Times New Roman"/>
          <w:b/>
          <w:bCs/>
          <w:rtl/>
          <w:lang w:eastAsia="de-DE"/>
        </w:rPr>
        <w:t>מִפָּנֶיךָ</w:t>
      </w:r>
      <w:r w:rsidRPr="00324616">
        <w:rPr>
          <w:rFonts w:eastAsia="Times New Roman"/>
          <w:rtl/>
          <w:lang w:eastAsia="de-DE"/>
        </w:rPr>
        <w:t xml:space="preserve"> </w:t>
      </w:r>
      <w:r w:rsidRPr="00324616">
        <w:rPr>
          <w:rFonts w:eastAsia="Times New Roman"/>
          <w:lang w:eastAsia="de-DE"/>
        </w:rPr>
        <w:t>als Herkunftsangabe (</w:t>
      </w:r>
      <w:r w:rsidRPr="00324616">
        <w:rPr>
          <w:rFonts w:eastAsia="Times New Roman"/>
          <w:b/>
          <w:bCs/>
          <w:rtl/>
          <w:lang w:eastAsia="de-DE"/>
        </w:rPr>
        <w:t>מִן</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פָּנֶה</w:t>
      </w:r>
      <w:r w:rsidRPr="00324616">
        <w:rPr>
          <w:rFonts w:eastAsia="Times New Roman"/>
          <w:lang w:eastAsia="de-DE"/>
        </w:rPr>
        <w:t>, Plural, und Suffix 2. Person Singular maskulin – „vor dir weg").</w:t>
      </w:r>
    </w:p>
    <w:p w14:paraId="147FCE59"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rtl/>
          <w:lang w:eastAsia="de-DE"/>
        </w:rPr>
        <w:t>הַחִתִּי וְהַגִּרְגָּשִׁי וְהָאֱמֹרִי וְהַכְּנַעֲנִי וְהַפְּרִזִּי וְהַחִוִּי וְהַיְבוּסִי</w:t>
      </w:r>
      <w:r w:rsidRPr="00324616">
        <w:rPr>
          <w:rFonts w:eastAsia="Times New Roman"/>
          <w:rtl/>
          <w:lang w:eastAsia="de-DE"/>
        </w:rPr>
        <w:t xml:space="preserve"> </w:t>
      </w:r>
      <w:r w:rsidRPr="00324616">
        <w:rPr>
          <w:rFonts w:eastAsia="Times New Roman"/>
          <w:lang w:eastAsia="de-DE"/>
        </w:rPr>
        <w:t xml:space="preserve">ist eine siebengliedrige appositionelle Aufzählung der Völker: </w:t>
      </w:r>
      <w:r w:rsidRPr="00324616">
        <w:rPr>
          <w:rFonts w:eastAsia="Times New Roman"/>
          <w:b/>
          <w:bCs/>
          <w:rtl/>
          <w:lang w:eastAsia="de-DE"/>
        </w:rPr>
        <w:t>חִתִּי</w:t>
      </w:r>
      <w:r w:rsidRPr="00324616">
        <w:rPr>
          <w:rFonts w:eastAsia="Times New Roman"/>
          <w:rtl/>
          <w:lang w:eastAsia="de-DE"/>
        </w:rPr>
        <w:t xml:space="preserve"> </w:t>
      </w:r>
      <w:r w:rsidRPr="00324616">
        <w:rPr>
          <w:rFonts w:eastAsia="Times New Roman"/>
          <w:lang w:eastAsia="de-DE"/>
        </w:rPr>
        <w:t xml:space="preserve">(Hethiter), </w:t>
      </w:r>
      <w:r w:rsidRPr="00324616">
        <w:rPr>
          <w:rFonts w:eastAsia="Times New Roman"/>
          <w:b/>
          <w:bCs/>
          <w:rtl/>
          <w:lang w:eastAsia="de-DE"/>
        </w:rPr>
        <w:t>גִּרְגָּשִׁי</w:t>
      </w:r>
      <w:r w:rsidRPr="00324616">
        <w:rPr>
          <w:rFonts w:eastAsia="Times New Roman"/>
          <w:rtl/>
          <w:lang w:eastAsia="de-DE"/>
        </w:rPr>
        <w:t xml:space="preserve"> </w:t>
      </w:r>
      <w:r w:rsidRPr="00324616">
        <w:rPr>
          <w:rFonts w:eastAsia="Times New Roman"/>
          <w:lang w:eastAsia="de-DE"/>
        </w:rPr>
        <w:t xml:space="preserve">(Girgaschiter), </w:t>
      </w:r>
      <w:r w:rsidRPr="00324616">
        <w:rPr>
          <w:rFonts w:eastAsia="Times New Roman"/>
          <w:b/>
          <w:bCs/>
          <w:rtl/>
          <w:lang w:eastAsia="de-DE"/>
        </w:rPr>
        <w:t>אֱמֹרִי</w:t>
      </w:r>
      <w:r w:rsidRPr="00324616">
        <w:rPr>
          <w:rFonts w:eastAsia="Times New Roman"/>
          <w:rtl/>
          <w:lang w:eastAsia="de-DE"/>
        </w:rPr>
        <w:t xml:space="preserve"> </w:t>
      </w:r>
      <w:r w:rsidRPr="00324616">
        <w:rPr>
          <w:rFonts w:eastAsia="Times New Roman"/>
          <w:lang w:eastAsia="de-DE"/>
        </w:rPr>
        <w:t xml:space="preserve">(Amoriter), </w:t>
      </w:r>
      <w:r w:rsidRPr="00324616">
        <w:rPr>
          <w:rFonts w:eastAsia="Times New Roman"/>
          <w:b/>
          <w:bCs/>
          <w:rtl/>
          <w:lang w:eastAsia="de-DE"/>
        </w:rPr>
        <w:t>כְּנַעֲנִי</w:t>
      </w:r>
      <w:r w:rsidRPr="00324616">
        <w:rPr>
          <w:rFonts w:eastAsia="Times New Roman"/>
          <w:rtl/>
          <w:lang w:eastAsia="de-DE"/>
        </w:rPr>
        <w:t xml:space="preserve"> </w:t>
      </w:r>
      <w:r w:rsidRPr="00324616">
        <w:rPr>
          <w:rFonts w:eastAsia="Times New Roman"/>
          <w:lang w:eastAsia="de-DE"/>
        </w:rPr>
        <w:t xml:space="preserve">(Kanaaniter), </w:t>
      </w:r>
      <w:r w:rsidRPr="00324616">
        <w:rPr>
          <w:rFonts w:eastAsia="Times New Roman"/>
          <w:b/>
          <w:bCs/>
          <w:rtl/>
          <w:lang w:eastAsia="de-DE"/>
        </w:rPr>
        <w:t>פְּרִזִּי</w:t>
      </w:r>
      <w:r w:rsidRPr="00324616">
        <w:rPr>
          <w:rFonts w:eastAsia="Times New Roman"/>
          <w:rtl/>
          <w:lang w:eastAsia="de-DE"/>
        </w:rPr>
        <w:t xml:space="preserve"> </w:t>
      </w:r>
      <w:r w:rsidRPr="00324616">
        <w:rPr>
          <w:rFonts w:eastAsia="Times New Roman"/>
          <w:lang w:eastAsia="de-DE"/>
        </w:rPr>
        <w:t xml:space="preserve">(Perisiter), </w:t>
      </w:r>
      <w:r w:rsidRPr="00324616">
        <w:rPr>
          <w:rFonts w:eastAsia="Times New Roman"/>
          <w:b/>
          <w:bCs/>
          <w:rtl/>
          <w:lang w:eastAsia="de-DE"/>
        </w:rPr>
        <w:t>חִוִּי</w:t>
      </w:r>
      <w:r w:rsidRPr="00324616">
        <w:rPr>
          <w:rFonts w:eastAsia="Times New Roman"/>
          <w:rtl/>
          <w:lang w:eastAsia="de-DE"/>
        </w:rPr>
        <w:t xml:space="preserve"> </w:t>
      </w:r>
      <w:r w:rsidRPr="00324616">
        <w:rPr>
          <w:rFonts w:eastAsia="Times New Roman"/>
          <w:lang w:eastAsia="de-DE"/>
        </w:rPr>
        <w:t xml:space="preserve">(Hiwiter), </w:t>
      </w:r>
      <w:r w:rsidRPr="00324616">
        <w:rPr>
          <w:rFonts w:eastAsia="Times New Roman"/>
          <w:b/>
          <w:bCs/>
          <w:rtl/>
          <w:lang w:eastAsia="de-DE"/>
        </w:rPr>
        <w:t>יְבוּסִי</w:t>
      </w:r>
      <w:r w:rsidRPr="00324616">
        <w:rPr>
          <w:rFonts w:eastAsia="Times New Roman"/>
          <w:rtl/>
          <w:lang w:eastAsia="de-DE"/>
        </w:rPr>
        <w:t xml:space="preserve"> </w:t>
      </w:r>
      <w:r w:rsidRPr="00324616">
        <w:rPr>
          <w:rFonts w:eastAsia="Times New Roman"/>
          <w:lang w:eastAsia="de-DE"/>
        </w:rPr>
        <w:t xml:space="preserve">(Jebusiter) – alle mit Artikel als Völkernamen. </w:t>
      </w:r>
      <w:r w:rsidRPr="00324616">
        <w:rPr>
          <w:rFonts w:eastAsia="Times New Roman"/>
          <w:b/>
          <w:bCs/>
          <w:rtl/>
          <w:lang w:eastAsia="de-DE"/>
        </w:rPr>
        <w:t>שִׁבְעָה גוֹיִם רַבִּים וַעֲצוּמִים מִמֶּךָּ</w:t>
      </w:r>
      <w:r w:rsidRPr="00324616">
        <w:rPr>
          <w:rFonts w:eastAsia="Times New Roman"/>
          <w:rtl/>
          <w:lang w:eastAsia="de-DE"/>
        </w:rPr>
        <w:t xml:space="preserve"> </w:t>
      </w:r>
      <w:r w:rsidRPr="00324616">
        <w:rPr>
          <w:rFonts w:eastAsia="Times New Roman"/>
          <w:lang w:eastAsia="de-DE"/>
        </w:rPr>
        <w:t xml:space="preserve">ist eine zusammenfassende Apposition: </w:t>
      </w:r>
      <w:r w:rsidRPr="00324616">
        <w:rPr>
          <w:rFonts w:eastAsia="Times New Roman"/>
          <w:b/>
          <w:bCs/>
          <w:rtl/>
          <w:lang w:eastAsia="de-DE"/>
        </w:rPr>
        <w:t>שִׁבְעָה</w:t>
      </w:r>
      <w:r w:rsidRPr="00324616">
        <w:rPr>
          <w:rFonts w:eastAsia="Times New Roman"/>
          <w:rtl/>
          <w:lang w:eastAsia="de-DE"/>
        </w:rPr>
        <w:t xml:space="preserve"> </w:t>
      </w:r>
      <w:r w:rsidRPr="00324616">
        <w:rPr>
          <w:rFonts w:eastAsia="Times New Roman"/>
          <w:lang w:eastAsia="de-DE"/>
        </w:rPr>
        <w:t xml:space="preserve">(Zahlwort „sieben"), </w:t>
      </w:r>
      <w:r w:rsidRPr="00324616">
        <w:rPr>
          <w:rFonts w:eastAsia="Times New Roman"/>
          <w:b/>
          <w:bCs/>
          <w:rtl/>
          <w:lang w:eastAsia="de-DE"/>
        </w:rPr>
        <w:t>גוֹיִם</w:t>
      </w:r>
      <w:r w:rsidRPr="00324616">
        <w:rPr>
          <w:rFonts w:eastAsia="Times New Roman"/>
          <w:rtl/>
          <w:lang w:eastAsia="de-DE"/>
        </w:rPr>
        <w:t xml:space="preserve"> </w:t>
      </w:r>
      <w:r w:rsidRPr="00324616">
        <w:rPr>
          <w:rFonts w:eastAsia="Times New Roman"/>
          <w:lang w:eastAsia="de-DE"/>
        </w:rPr>
        <w:t xml:space="preserve">(„Nationen"), </w:t>
      </w:r>
      <w:r w:rsidRPr="00324616">
        <w:rPr>
          <w:rFonts w:eastAsia="Times New Roman"/>
          <w:b/>
          <w:bCs/>
          <w:rtl/>
          <w:lang w:eastAsia="de-DE"/>
        </w:rPr>
        <w:t>רַבִּים וַעֲצוּמִים</w:t>
      </w:r>
      <w:r w:rsidRPr="00324616">
        <w:rPr>
          <w:rFonts w:eastAsia="Times New Roman"/>
          <w:rtl/>
          <w:lang w:eastAsia="de-DE"/>
        </w:rPr>
        <w:t xml:space="preserve"> </w:t>
      </w:r>
      <w:r w:rsidRPr="00324616">
        <w:rPr>
          <w:rFonts w:eastAsia="Times New Roman"/>
          <w:lang w:eastAsia="de-DE"/>
        </w:rPr>
        <w:t xml:space="preserve">als zweigliedrige koordinierte Attributkette (beide Plural maskulin: </w:t>
      </w:r>
      <w:r w:rsidRPr="00324616">
        <w:rPr>
          <w:rFonts w:eastAsia="Times New Roman"/>
          <w:b/>
          <w:bCs/>
          <w:rtl/>
          <w:lang w:eastAsia="de-DE"/>
        </w:rPr>
        <w:t>רַב</w:t>
      </w:r>
      <w:r w:rsidRPr="00324616">
        <w:rPr>
          <w:rFonts w:eastAsia="Times New Roman"/>
          <w:lang w:eastAsia="de-DE"/>
        </w:rPr>
        <w:t xml:space="preserve">, „viel, zahlreich", und </w:t>
      </w:r>
      <w:r w:rsidRPr="00324616">
        <w:rPr>
          <w:rFonts w:eastAsia="Times New Roman"/>
          <w:b/>
          <w:bCs/>
          <w:rtl/>
          <w:lang w:eastAsia="de-DE"/>
        </w:rPr>
        <w:t>עָצוּם</w:t>
      </w:r>
      <w:r w:rsidRPr="00324616">
        <w:rPr>
          <w:rFonts w:eastAsia="Times New Roman"/>
          <w:lang w:eastAsia="de-DE"/>
        </w:rPr>
        <w:t xml:space="preserve">, „stark, mächtig"), </w:t>
      </w:r>
      <w:r w:rsidRPr="00324616">
        <w:rPr>
          <w:rFonts w:eastAsia="Times New Roman"/>
          <w:b/>
          <w:bCs/>
          <w:rtl/>
          <w:lang w:eastAsia="de-DE"/>
        </w:rPr>
        <w:t>מִמֶּךָּ</w:t>
      </w:r>
      <w:r w:rsidRPr="00324616">
        <w:rPr>
          <w:rFonts w:eastAsia="Times New Roman"/>
          <w:rtl/>
          <w:lang w:eastAsia="de-DE"/>
        </w:rPr>
        <w:t xml:space="preserve"> </w:t>
      </w:r>
      <w:r w:rsidRPr="00324616">
        <w:rPr>
          <w:rFonts w:eastAsia="Times New Roman"/>
          <w:lang w:eastAsia="de-DE"/>
        </w:rPr>
        <w:t xml:space="preserve">als </w:t>
      </w:r>
      <w:r w:rsidRPr="00324616">
        <w:rPr>
          <w:rFonts w:eastAsia="Times New Roman"/>
          <w:lang w:eastAsia="de-DE"/>
        </w:rPr>
        <w:lastRenderedPageBreak/>
        <w:t>Vergleichskonstruktion (</w:t>
      </w:r>
      <w:r w:rsidRPr="00324616">
        <w:rPr>
          <w:rFonts w:eastAsia="Times New Roman"/>
          <w:b/>
          <w:bCs/>
          <w:rtl/>
          <w:lang w:eastAsia="de-DE"/>
        </w:rPr>
        <w:t>מִן</w:t>
      </w:r>
      <w:r w:rsidRPr="00324616">
        <w:rPr>
          <w:rFonts w:eastAsia="Times New Roman"/>
          <w:rtl/>
          <w:lang w:eastAsia="de-DE"/>
        </w:rPr>
        <w:t xml:space="preserve"> </w:t>
      </w:r>
      <w:r w:rsidRPr="00324616">
        <w:rPr>
          <w:rFonts w:eastAsia="Times New Roman"/>
          <w:lang w:eastAsia="de-DE"/>
        </w:rPr>
        <w:t>komparativ mit Suffix 2. Person Singular maskulin – „mehr/stärker als du").</w:t>
      </w:r>
    </w:p>
    <w:p w14:paraId="0D7D0A39" w14:textId="77777777" w:rsidR="008A3A15"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 xml:space="preserve">Die klassische Liste der sieben Völker Kanaans findet sich auch in 20,17; Jos 3,10; 24,11. Die Zahl Sieben ist symbolisch vollständig. </w:t>
      </w:r>
    </w:p>
    <w:p w14:paraId="061BEC53" w14:textId="2E6FAE43"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Die LXX</w:t>
      </w:r>
      <w:r w:rsidRPr="00324616">
        <w:rPr>
          <w:rFonts w:eastAsia="Times New Roman"/>
          <w:lang w:eastAsia="de-DE"/>
        </w:rPr>
        <w:t xml:space="preserve"> liest: </w:t>
      </w:r>
      <w:proofErr w:type="spellStart"/>
      <w:r w:rsidRPr="00324616">
        <w:rPr>
          <w:rFonts w:eastAsia="Times New Roman"/>
          <w:b/>
          <w:bCs/>
          <w:lang w:eastAsia="de-DE"/>
        </w:rPr>
        <w:t>ἔθνη</w:t>
      </w:r>
      <w:proofErr w:type="spellEnd"/>
      <w:r w:rsidRPr="00324616">
        <w:rPr>
          <w:rFonts w:eastAsia="Times New Roman"/>
          <w:b/>
          <w:bCs/>
          <w:lang w:eastAsia="de-DE"/>
        </w:rPr>
        <w:t xml:space="preserve"> π</w:t>
      </w:r>
      <w:proofErr w:type="spellStart"/>
      <w:r w:rsidRPr="00324616">
        <w:rPr>
          <w:rFonts w:eastAsia="Times New Roman"/>
          <w:b/>
          <w:bCs/>
          <w:lang w:eastAsia="de-DE"/>
        </w:rPr>
        <w:t>ολλὰ</w:t>
      </w:r>
      <w:proofErr w:type="spellEnd"/>
      <w:r w:rsidRPr="00324616">
        <w:rPr>
          <w:rFonts w:eastAsia="Times New Roman"/>
          <w:b/>
          <w:bCs/>
          <w:lang w:eastAsia="de-DE"/>
        </w:rPr>
        <w:t xml:space="preserve"> καὶ </w:t>
      </w:r>
      <w:proofErr w:type="spellStart"/>
      <w:r w:rsidRPr="00324616">
        <w:rPr>
          <w:rFonts w:eastAsia="Times New Roman"/>
          <w:b/>
          <w:bCs/>
          <w:lang w:eastAsia="de-DE"/>
        </w:rPr>
        <w:t>ἰσχυρότερά</w:t>
      </w:r>
      <w:proofErr w:type="spellEnd"/>
      <w:r w:rsidRPr="00324616">
        <w:rPr>
          <w:rFonts w:eastAsia="Times New Roman"/>
          <w:b/>
          <w:bCs/>
          <w:lang w:eastAsia="de-DE"/>
        </w:rPr>
        <w:t xml:space="preserve"> </w:t>
      </w:r>
      <w:proofErr w:type="spellStart"/>
      <w:r w:rsidRPr="00324616">
        <w:rPr>
          <w:rFonts w:eastAsia="Times New Roman"/>
          <w:b/>
          <w:bCs/>
          <w:lang w:eastAsia="de-DE"/>
        </w:rPr>
        <w:t>σου</w:t>
      </w:r>
      <w:proofErr w:type="spellEnd"/>
      <w:r w:rsidRPr="00324616">
        <w:rPr>
          <w:rFonts w:eastAsia="Times New Roman"/>
          <w:lang w:eastAsia="de-DE"/>
        </w:rPr>
        <w:t xml:space="preserve"> („Völker, viele und stärker als du"). Die Betonung, dass diese Völker größer und stärker sind, unterstreicht, dass allein JHWH die Landnahme ermöglicht.</w:t>
      </w:r>
    </w:p>
    <w:p w14:paraId="7845E445"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 xml:space="preserve">Die Satzstruktur ist ein temporal-konditionaler </w:t>
      </w:r>
      <w:r w:rsidRPr="00324616">
        <w:rPr>
          <w:rFonts w:eastAsia="Times New Roman"/>
          <w:b/>
          <w:bCs/>
          <w:rtl/>
          <w:lang w:eastAsia="de-DE"/>
        </w:rPr>
        <w:t>כִּי</w:t>
      </w:r>
      <w:r w:rsidRPr="00324616">
        <w:rPr>
          <w:rFonts w:eastAsia="Times New Roman"/>
          <w:lang w:eastAsia="de-DE"/>
        </w:rPr>
        <w:t xml:space="preserve">-Satz mit Prädikat und Suffix-Objekt, erweitertem Subjekt und Richtungsangabe, erweitert durch einen Relativsatz (mit Subjekt, partizipialem Prädikat, Richtungsadverb und finalem Infinitiv mit Suffix), gefolgt von einem Perfekt consecutivum mit direktem Objekt und Herkunftsangabe, einer siebengliedrigen appositiven Aufzählung und einer zusammenfassenden Apposition (mit Zahlwort, Substantiv, zweigliedriger Attributkette und komparativem </w:t>
      </w:r>
      <w:r w:rsidRPr="00324616">
        <w:rPr>
          <w:rFonts w:eastAsia="Times New Roman"/>
          <w:b/>
          <w:bCs/>
          <w:rtl/>
          <w:lang w:eastAsia="de-DE"/>
        </w:rPr>
        <w:t>מִן</w:t>
      </w:r>
      <w:r w:rsidRPr="00324616">
        <w:rPr>
          <w:rFonts w:eastAsia="Times New Roman"/>
          <w:lang w:eastAsia="de-DE"/>
        </w:rPr>
        <w:t>). Die umfangreiche Struktur etabliert die Ausgangssituation der Landnahme.</w:t>
      </w:r>
    </w:p>
    <w:p w14:paraId="2C532D25"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Der Vers leitet Kapitel 7 ein: Wenn JHWH Israel ins verheißene Land bringt und die sieben mächtigen Völker Kanaans vertreibt...</w:t>
      </w:r>
    </w:p>
    <w:p w14:paraId="0DF7A482" w14:textId="77777777" w:rsidR="00324616" w:rsidRPr="00324616" w:rsidRDefault="00324616" w:rsidP="00324616">
      <w:pPr>
        <w:spacing w:before="100" w:beforeAutospacing="1" w:after="100" w:afterAutospacing="1" w:line="240" w:lineRule="auto"/>
        <w:outlineLvl w:val="1"/>
        <w:rPr>
          <w:rFonts w:eastAsia="Times New Roman"/>
          <w:b/>
          <w:bCs/>
          <w:sz w:val="36"/>
          <w:szCs w:val="36"/>
          <w:lang w:eastAsia="de-DE"/>
        </w:rPr>
      </w:pPr>
      <w:r w:rsidRPr="00324616">
        <w:rPr>
          <w:rFonts w:eastAsia="Times New Roman"/>
          <w:b/>
          <w:bCs/>
          <w:sz w:val="36"/>
          <w:szCs w:val="36"/>
          <w:lang w:eastAsia="de-DE"/>
        </w:rPr>
        <w:t>Deuteronomium 7,2</w:t>
      </w:r>
    </w:p>
    <w:p w14:paraId="706ECE50"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Hebräisch:</w:t>
      </w:r>
      <w:r w:rsidRPr="00324616">
        <w:rPr>
          <w:rFonts w:eastAsia="Times New Roman"/>
          <w:lang w:eastAsia="de-DE"/>
        </w:rPr>
        <w:t xml:space="preserve"> </w:t>
      </w:r>
      <w:r w:rsidRPr="00324616">
        <w:rPr>
          <w:rFonts w:eastAsia="Times New Roman"/>
          <w:rtl/>
          <w:lang w:eastAsia="de-DE"/>
        </w:rPr>
        <w:t>וּנְתָנָם יְהוָה אֱלֹהֶיךָ לְפָנֶיךָ וְהִכִּיתָם הַחֲרֵם תַּחֲרִים אֹתָם לֹא־תִכְרֹת לָהֶם בְּרִית וְלֹא תְחָנֵּם׃</w:t>
      </w:r>
    </w:p>
    <w:p w14:paraId="65EDD104"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Deutsch:</w:t>
      </w:r>
      <w:r w:rsidRPr="00324616">
        <w:rPr>
          <w:rFonts w:eastAsia="Times New Roman"/>
          <w:lang w:eastAsia="de-DE"/>
        </w:rPr>
        <w:t xml:space="preserve"> und wenn der Ewige, dein Gott, sie vor dir dahingibt und du sie schlägst, so sollst du sie gewiss mit dem Bann belegen; du sollst keinen Bund mit ihnen schließen und ihnen keine Gnade erweisen.</w:t>
      </w:r>
    </w:p>
    <w:p w14:paraId="6F786D54" w14:textId="77777777" w:rsidR="00324616" w:rsidRPr="00324616" w:rsidRDefault="004F5CEB" w:rsidP="00324616">
      <w:pPr>
        <w:spacing w:after="0" w:line="240" w:lineRule="auto"/>
        <w:rPr>
          <w:rFonts w:eastAsia="Times New Roman"/>
          <w:lang w:eastAsia="de-DE"/>
        </w:rPr>
      </w:pPr>
      <w:r>
        <w:rPr>
          <w:rFonts w:eastAsia="Times New Roman"/>
          <w:noProof/>
          <w:lang w:eastAsia="de-DE"/>
        </w:rPr>
        <w:pict w14:anchorId="27814A0F">
          <v:rect id="_x0000_i1245" style="width:0;height:1.5pt" o:hralign="center" o:hrstd="t" o:hr="t" fillcolor="#a0a0a0" stroked="f"/>
        </w:pict>
      </w:r>
    </w:p>
    <w:p w14:paraId="7A071869"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Kommentar:</w:t>
      </w:r>
      <w:r w:rsidRPr="00324616">
        <w:rPr>
          <w:rFonts w:eastAsia="Times New Roman"/>
          <w:lang w:eastAsia="de-DE"/>
        </w:rPr>
        <w:t xml:space="preserve"> </w:t>
      </w:r>
      <w:r w:rsidRPr="00324616">
        <w:rPr>
          <w:rFonts w:eastAsia="Times New Roman"/>
          <w:b/>
          <w:bCs/>
          <w:rtl/>
          <w:lang w:eastAsia="de-DE"/>
        </w:rPr>
        <w:t>וּנְתָנָם יְהוָה אֱלֹהֶיךָ לְפָנֶיךָ</w:t>
      </w:r>
      <w:r w:rsidRPr="00324616">
        <w:rPr>
          <w:rFonts w:eastAsia="Times New Roman"/>
          <w:rtl/>
          <w:lang w:eastAsia="de-DE"/>
        </w:rPr>
        <w:t xml:space="preserve"> </w:t>
      </w:r>
      <w:r w:rsidRPr="00324616">
        <w:rPr>
          <w:rFonts w:eastAsia="Times New Roman"/>
          <w:lang w:eastAsia="de-DE"/>
        </w:rPr>
        <w:t xml:space="preserve">ist Qal Perfekt consecutivum, 3. Person Singular maskulin von </w:t>
      </w:r>
      <w:r w:rsidRPr="00324616">
        <w:rPr>
          <w:rFonts w:eastAsia="Times New Roman"/>
          <w:b/>
          <w:bCs/>
          <w:rtl/>
          <w:lang w:eastAsia="de-DE"/>
        </w:rPr>
        <w:t>נתן</w:t>
      </w:r>
      <w:r w:rsidRPr="00324616">
        <w:rPr>
          <w:rFonts w:eastAsia="Times New Roman"/>
          <w:rtl/>
          <w:lang w:eastAsia="de-DE"/>
        </w:rPr>
        <w:t xml:space="preserve"> </w:t>
      </w:r>
      <w:r w:rsidRPr="00324616">
        <w:rPr>
          <w:rFonts w:eastAsia="Times New Roman"/>
          <w:lang w:eastAsia="de-DE"/>
        </w:rPr>
        <w:t xml:space="preserve">(„geben, dahingeben") mit </w:t>
      </w:r>
      <w:r w:rsidRPr="00324616">
        <w:rPr>
          <w:rFonts w:eastAsia="Times New Roman"/>
          <w:b/>
          <w:bCs/>
          <w:rtl/>
          <w:lang w:eastAsia="de-DE"/>
        </w:rPr>
        <w:t>וְ</w:t>
      </w:r>
      <w:r w:rsidRPr="00324616">
        <w:rPr>
          <w:rFonts w:eastAsia="Times New Roman"/>
          <w:rtl/>
          <w:lang w:eastAsia="de-DE"/>
        </w:rPr>
        <w:t xml:space="preserve"> </w:t>
      </w:r>
      <w:r w:rsidRPr="00324616">
        <w:rPr>
          <w:rFonts w:eastAsia="Times New Roman"/>
          <w:lang w:eastAsia="de-DE"/>
        </w:rPr>
        <w:t xml:space="preserve">und Suffix 3. Person Plural maskulin als direktes Objekt, </w:t>
      </w:r>
      <w:r w:rsidRPr="00324616">
        <w:rPr>
          <w:rFonts w:eastAsia="Times New Roman"/>
          <w:b/>
          <w:bCs/>
          <w:rtl/>
          <w:lang w:eastAsia="de-DE"/>
        </w:rPr>
        <w:t>יְהוָה אֱלֹהֶיךָ</w:t>
      </w:r>
      <w:r w:rsidRPr="00324616">
        <w:rPr>
          <w:rFonts w:eastAsia="Times New Roman"/>
          <w:rtl/>
          <w:lang w:eastAsia="de-DE"/>
        </w:rPr>
        <w:t xml:space="preserve"> </w:t>
      </w:r>
      <w:r w:rsidRPr="00324616">
        <w:rPr>
          <w:rFonts w:eastAsia="Times New Roman"/>
          <w:lang w:eastAsia="de-DE"/>
        </w:rPr>
        <w:t xml:space="preserve">als erweitertes Subjekt, </w:t>
      </w:r>
      <w:r w:rsidRPr="00324616">
        <w:rPr>
          <w:rFonts w:eastAsia="Times New Roman"/>
          <w:b/>
          <w:bCs/>
          <w:rtl/>
          <w:lang w:eastAsia="de-DE"/>
        </w:rPr>
        <w:t>לְפָנֶיךָ</w:t>
      </w:r>
      <w:r w:rsidRPr="00324616">
        <w:rPr>
          <w:rFonts w:eastAsia="Times New Roman"/>
          <w:rtl/>
          <w:lang w:eastAsia="de-DE"/>
        </w:rPr>
        <w:t xml:space="preserve"> </w:t>
      </w:r>
      <w:r w:rsidRPr="00324616">
        <w:rPr>
          <w:rFonts w:eastAsia="Times New Roman"/>
          <w:lang w:eastAsia="de-DE"/>
        </w:rPr>
        <w:t>als Richtungsangabe (</w:t>
      </w:r>
      <w:r w:rsidRPr="00324616">
        <w:rPr>
          <w:rFonts w:eastAsia="Times New Roman"/>
          <w:b/>
          <w:bCs/>
          <w:rtl/>
          <w:lang w:eastAsia="de-DE"/>
        </w:rPr>
        <w:t>לְ</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פָּנֶה</w:t>
      </w:r>
      <w:r w:rsidRPr="00324616">
        <w:rPr>
          <w:rFonts w:eastAsia="Times New Roman"/>
          <w:lang w:eastAsia="de-DE"/>
        </w:rPr>
        <w:t>, Plural, und Suffix – „vor dich, in deine Gewalt").</w:t>
      </w:r>
    </w:p>
    <w:p w14:paraId="7D407FBC"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rtl/>
          <w:lang w:eastAsia="de-DE"/>
        </w:rPr>
        <w:t>וְהִכִּיתָם הַחֲרֵם תַּחֲרִים אֹתָם</w:t>
      </w:r>
      <w:r w:rsidRPr="00324616">
        <w:rPr>
          <w:rFonts w:eastAsia="Times New Roman"/>
          <w:rtl/>
          <w:lang w:eastAsia="de-DE"/>
        </w:rPr>
        <w:t xml:space="preserve"> </w:t>
      </w:r>
      <w:r w:rsidRPr="00324616">
        <w:rPr>
          <w:rFonts w:eastAsia="Times New Roman"/>
          <w:lang w:eastAsia="de-DE"/>
        </w:rPr>
        <w:t xml:space="preserve">besteht aus zwei koordinierten Sätzen: </w:t>
      </w:r>
      <w:r w:rsidRPr="00324616">
        <w:rPr>
          <w:rFonts w:eastAsia="Times New Roman"/>
          <w:b/>
          <w:bCs/>
          <w:rtl/>
          <w:lang w:eastAsia="de-DE"/>
        </w:rPr>
        <w:t>וְהִכִּיתָם</w:t>
      </w:r>
      <w:r w:rsidRPr="00324616">
        <w:rPr>
          <w:rFonts w:eastAsia="Times New Roman"/>
          <w:rtl/>
          <w:lang w:eastAsia="de-DE"/>
        </w:rPr>
        <w:t xml:space="preserve"> </w:t>
      </w:r>
      <w:r w:rsidRPr="00324616">
        <w:rPr>
          <w:rFonts w:eastAsia="Times New Roman"/>
          <w:lang w:eastAsia="de-DE"/>
        </w:rPr>
        <w:t xml:space="preserve">(Hifil Perfekt consecutivum, 2. Person Singular maskulin von </w:t>
      </w:r>
      <w:r w:rsidRPr="00324616">
        <w:rPr>
          <w:rFonts w:eastAsia="Times New Roman"/>
          <w:b/>
          <w:bCs/>
          <w:rtl/>
          <w:lang w:eastAsia="de-DE"/>
        </w:rPr>
        <w:t>נכה</w:t>
      </w:r>
      <w:r w:rsidRPr="00324616">
        <w:rPr>
          <w:rFonts w:eastAsia="Times New Roman"/>
          <w:lang w:eastAsia="de-DE"/>
        </w:rPr>
        <w:t xml:space="preserve">, „schlagen, besiegen", mit </w:t>
      </w:r>
      <w:r w:rsidRPr="00324616">
        <w:rPr>
          <w:rFonts w:eastAsia="Times New Roman"/>
          <w:b/>
          <w:bCs/>
          <w:rtl/>
          <w:lang w:eastAsia="de-DE"/>
        </w:rPr>
        <w:t>וְ</w:t>
      </w:r>
      <w:r w:rsidRPr="00324616">
        <w:rPr>
          <w:rFonts w:eastAsia="Times New Roman"/>
          <w:rtl/>
          <w:lang w:eastAsia="de-DE"/>
        </w:rPr>
        <w:t xml:space="preserve"> </w:t>
      </w:r>
      <w:r w:rsidRPr="00324616">
        <w:rPr>
          <w:rFonts w:eastAsia="Times New Roman"/>
          <w:lang w:eastAsia="de-DE"/>
        </w:rPr>
        <w:t xml:space="preserve">und Suffix 3. Person Plural maskulin), </w:t>
      </w:r>
      <w:r w:rsidRPr="00324616">
        <w:rPr>
          <w:rFonts w:eastAsia="Times New Roman"/>
          <w:b/>
          <w:bCs/>
          <w:rtl/>
          <w:lang w:eastAsia="de-DE"/>
        </w:rPr>
        <w:t>הַחֲרֵם תַּחֲרִים אֹתָם</w:t>
      </w:r>
      <w:r w:rsidRPr="00324616">
        <w:rPr>
          <w:rFonts w:eastAsia="Times New Roman"/>
          <w:rtl/>
          <w:lang w:eastAsia="de-DE"/>
        </w:rPr>
        <w:t xml:space="preserve"> </w:t>
      </w:r>
      <w:r w:rsidRPr="00324616">
        <w:rPr>
          <w:rFonts w:eastAsia="Times New Roman"/>
          <w:lang w:eastAsia="de-DE"/>
        </w:rPr>
        <w:t>als emphatische Konstruktion mit Infinitivus absolutus (</w:t>
      </w:r>
      <w:r w:rsidRPr="00324616">
        <w:rPr>
          <w:rFonts w:eastAsia="Times New Roman"/>
          <w:b/>
          <w:bCs/>
          <w:rtl/>
          <w:lang w:eastAsia="de-DE"/>
        </w:rPr>
        <w:t>הַחֲרֵם</w:t>
      </w:r>
      <w:r w:rsidRPr="00324616">
        <w:rPr>
          <w:rFonts w:eastAsia="Times New Roman"/>
          <w:rtl/>
          <w:lang w:eastAsia="de-DE"/>
        </w:rPr>
        <w:t xml:space="preserve"> </w:t>
      </w:r>
      <w:r w:rsidRPr="00324616">
        <w:rPr>
          <w:rFonts w:eastAsia="Times New Roman"/>
          <w:lang w:eastAsia="de-DE"/>
        </w:rPr>
        <w:t xml:space="preserve">– Hifil Infinitiv Absolut von </w:t>
      </w:r>
      <w:r w:rsidRPr="00324616">
        <w:rPr>
          <w:rFonts w:eastAsia="Times New Roman"/>
          <w:b/>
          <w:bCs/>
          <w:rtl/>
          <w:lang w:eastAsia="de-DE"/>
        </w:rPr>
        <w:t>חרם</w:t>
      </w:r>
      <w:r w:rsidRPr="00324616">
        <w:rPr>
          <w:rFonts w:eastAsia="Times New Roman"/>
          <w:lang w:eastAsia="de-DE"/>
        </w:rPr>
        <w:t xml:space="preserve">, „mit dem Bann belegen, dem Verderben weihen", mit Artikel, </w:t>
      </w:r>
      <w:r w:rsidRPr="00324616">
        <w:rPr>
          <w:rFonts w:eastAsia="Times New Roman"/>
          <w:b/>
          <w:bCs/>
          <w:rtl/>
          <w:lang w:eastAsia="de-DE"/>
        </w:rPr>
        <w:t>תַּחֲרִים</w:t>
      </w:r>
      <w:r w:rsidRPr="00324616">
        <w:rPr>
          <w:rFonts w:eastAsia="Times New Roman"/>
          <w:rtl/>
          <w:lang w:eastAsia="de-DE"/>
        </w:rPr>
        <w:t xml:space="preserve"> </w:t>
      </w:r>
      <w:r w:rsidRPr="00324616">
        <w:rPr>
          <w:rFonts w:eastAsia="Times New Roman"/>
          <w:lang w:eastAsia="de-DE"/>
        </w:rPr>
        <w:t xml:space="preserve">als Hifil Imperfekt, 2. Person Singular maskulin von </w:t>
      </w:r>
      <w:r w:rsidRPr="00324616">
        <w:rPr>
          <w:rFonts w:eastAsia="Times New Roman"/>
          <w:b/>
          <w:bCs/>
          <w:rtl/>
          <w:lang w:eastAsia="de-DE"/>
        </w:rPr>
        <w:t>חרם</w:t>
      </w:r>
      <w:r w:rsidRPr="00324616">
        <w:rPr>
          <w:rFonts w:eastAsia="Times New Roman"/>
          <w:rtl/>
          <w:lang w:eastAsia="de-DE"/>
        </w:rPr>
        <w:t xml:space="preserve"> </w:t>
      </w:r>
      <w:r w:rsidRPr="00324616">
        <w:rPr>
          <w:rFonts w:eastAsia="Times New Roman"/>
          <w:lang w:eastAsia="de-DE"/>
        </w:rPr>
        <w:t xml:space="preserve">– hier in imperativischer Funktion, </w:t>
      </w:r>
      <w:r w:rsidRPr="00324616">
        <w:rPr>
          <w:rFonts w:eastAsia="Times New Roman"/>
          <w:b/>
          <w:bCs/>
          <w:rtl/>
          <w:lang w:eastAsia="de-DE"/>
        </w:rPr>
        <w:t>אֹתָם</w:t>
      </w:r>
      <w:r w:rsidRPr="00324616">
        <w:rPr>
          <w:rFonts w:eastAsia="Times New Roman"/>
          <w:rtl/>
          <w:lang w:eastAsia="de-DE"/>
        </w:rPr>
        <w:t xml:space="preserve"> </w:t>
      </w:r>
      <w:r w:rsidRPr="00324616">
        <w:rPr>
          <w:rFonts w:eastAsia="Times New Roman"/>
          <w:lang w:eastAsia="de-DE"/>
        </w:rPr>
        <w:t>als direktes Objekt – „gewiss sollst du sie mit dem Bann belegen").</w:t>
      </w:r>
    </w:p>
    <w:p w14:paraId="2E71386C"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rtl/>
          <w:lang w:eastAsia="de-DE"/>
        </w:rPr>
        <w:t>לֹא־תִכְרֹת לָהֶם בְּרִית וְלֹא תְחָנֵּם</w:t>
      </w:r>
      <w:r w:rsidRPr="00324616">
        <w:rPr>
          <w:rFonts w:eastAsia="Times New Roman"/>
          <w:rtl/>
          <w:lang w:eastAsia="de-DE"/>
        </w:rPr>
        <w:t xml:space="preserve"> </w:t>
      </w:r>
      <w:r w:rsidRPr="00324616">
        <w:rPr>
          <w:rFonts w:eastAsia="Times New Roman"/>
          <w:lang w:eastAsia="de-DE"/>
        </w:rPr>
        <w:t xml:space="preserve">ist eine zweigliedrige prohibitive Koordination: </w:t>
      </w:r>
      <w:r w:rsidRPr="00324616">
        <w:rPr>
          <w:rFonts w:eastAsia="Times New Roman"/>
          <w:b/>
          <w:bCs/>
          <w:rtl/>
          <w:lang w:eastAsia="de-DE"/>
        </w:rPr>
        <w:t>לֹא־תִכְרֹת לָהֶם בְּרִית</w:t>
      </w:r>
      <w:r w:rsidRPr="00324616">
        <w:rPr>
          <w:rFonts w:eastAsia="Times New Roman"/>
          <w:rtl/>
          <w:lang w:eastAsia="de-DE"/>
        </w:rPr>
        <w:t xml:space="preserve"> </w:t>
      </w:r>
      <w:r w:rsidRPr="00324616">
        <w:rPr>
          <w:rFonts w:eastAsia="Times New Roman"/>
          <w:lang w:eastAsia="de-DE"/>
        </w:rPr>
        <w:t>(</w:t>
      </w:r>
      <w:r w:rsidRPr="00324616">
        <w:rPr>
          <w:rFonts w:eastAsia="Times New Roman"/>
          <w:b/>
          <w:bCs/>
          <w:rtl/>
          <w:lang w:eastAsia="de-DE"/>
        </w:rPr>
        <w:t>לֹא</w:t>
      </w:r>
      <w:r w:rsidRPr="00324616">
        <w:rPr>
          <w:rFonts w:eastAsia="Times New Roman"/>
          <w:rtl/>
          <w:lang w:eastAsia="de-DE"/>
        </w:rPr>
        <w:t xml:space="preserve"> </w:t>
      </w:r>
      <w:r w:rsidRPr="00324616">
        <w:rPr>
          <w:rFonts w:eastAsia="Times New Roman"/>
          <w:lang w:eastAsia="de-DE"/>
        </w:rPr>
        <w:t xml:space="preserve">mit Qal Imperfekt, 2. Person Singular maskulin von </w:t>
      </w:r>
      <w:r w:rsidRPr="00324616">
        <w:rPr>
          <w:rFonts w:eastAsia="Times New Roman"/>
          <w:b/>
          <w:bCs/>
          <w:rtl/>
          <w:lang w:eastAsia="de-DE"/>
        </w:rPr>
        <w:t>כרת</w:t>
      </w:r>
      <w:r w:rsidRPr="00324616">
        <w:rPr>
          <w:rFonts w:eastAsia="Times New Roman"/>
          <w:lang w:eastAsia="de-DE"/>
        </w:rPr>
        <w:t xml:space="preserve">, „schneiden" – idiomatisch </w:t>
      </w:r>
      <w:r w:rsidRPr="00324616">
        <w:rPr>
          <w:rFonts w:eastAsia="Times New Roman"/>
          <w:b/>
          <w:bCs/>
          <w:rtl/>
          <w:lang w:eastAsia="de-DE"/>
        </w:rPr>
        <w:t>כרת בְּרִית</w:t>
      </w:r>
      <w:r w:rsidRPr="00324616">
        <w:rPr>
          <w:rFonts w:eastAsia="Times New Roman"/>
          <w:lang w:eastAsia="de-DE"/>
        </w:rPr>
        <w:t xml:space="preserve">, „einen Bund schließen", </w:t>
      </w:r>
      <w:r w:rsidRPr="00324616">
        <w:rPr>
          <w:rFonts w:eastAsia="Times New Roman"/>
          <w:b/>
          <w:bCs/>
          <w:rtl/>
          <w:lang w:eastAsia="de-DE"/>
        </w:rPr>
        <w:t>לָהֶם</w:t>
      </w:r>
      <w:r w:rsidRPr="00324616">
        <w:rPr>
          <w:rFonts w:eastAsia="Times New Roman"/>
          <w:rtl/>
          <w:lang w:eastAsia="de-DE"/>
        </w:rPr>
        <w:t xml:space="preserve"> </w:t>
      </w:r>
      <w:r w:rsidRPr="00324616">
        <w:rPr>
          <w:rFonts w:eastAsia="Times New Roman"/>
          <w:lang w:eastAsia="de-DE"/>
        </w:rPr>
        <w:t xml:space="preserve">als indirektes Objekt, </w:t>
      </w:r>
      <w:r w:rsidRPr="00324616">
        <w:rPr>
          <w:rFonts w:eastAsia="Times New Roman"/>
          <w:b/>
          <w:bCs/>
          <w:rtl/>
          <w:lang w:eastAsia="de-DE"/>
        </w:rPr>
        <w:t>בְּרִית</w:t>
      </w:r>
      <w:r w:rsidRPr="00324616">
        <w:rPr>
          <w:rFonts w:eastAsia="Times New Roman"/>
          <w:rtl/>
          <w:lang w:eastAsia="de-DE"/>
        </w:rPr>
        <w:t xml:space="preserve"> </w:t>
      </w:r>
      <w:r w:rsidRPr="00324616">
        <w:rPr>
          <w:rFonts w:eastAsia="Times New Roman"/>
          <w:lang w:eastAsia="de-DE"/>
        </w:rPr>
        <w:t xml:space="preserve">als direktes Objekt), </w:t>
      </w:r>
      <w:r w:rsidRPr="00324616">
        <w:rPr>
          <w:rFonts w:eastAsia="Times New Roman"/>
          <w:b/>
          <w:bCs/>
          <w:rtl/>
          <w:lang w:eastAsia="de-DE"/>
        </w:rPr>
        <w:t>וְלֹא תְחָנֵּם</w:t>
      </w:r>
      <w:r w:rsidRPr="00324616">
        <w:rPr>
          <w:rFonts w:eastAsia="Times New Roman"/>
          <w:rtl/>
          <w:lang w:eastAsia="de-DE"/>
        </w:rPr>
        <w:t xml:space="preserve"> </w:t>
      </w:r>
      <w:r w:rsidRPr="00324616">
        <w:rPr>
          <w:rFonts w:eastAsia="Times New Roman"/>
          <w:lang w:eastAsia="de-DE"/>
        </w:rPr>
        <w:lastRenderedPageBreak/>
        <w:t xml:space="preserve">koordiniert (Qal Imperfekt, 2. Person Singular maskulin von </w:t>
      </w:r>
      <w:r w:rsidRPr="00324616">
        <w:rPr>
          <w:rFonts w:eastAsia="Times New Roman"/>
          <w:b/>
          <w:bCs/>
          <w:rtl/>
          <w:lang w:eastAsia="de-DE"/>
        </w:rPr>
        <w:t>חנן</w:t>
      </w:r>
      <w:r w:rsidRPr="00324616">
        <w:rPr>
          <w:rFonts w:eastAsia="Times New Roman"/>
          <w:lang w:eastAsia="de-DE"/>
        </w:rPr>
        <w:t>, „Gnade erweisen, gnädig sein", mit Suffix 3. Person Plural maskulin).</w:t>
      </w:r>
    </w:p>
    <w:p w14:paraId="4CD8A646" w14:textId="12BD4829" w:rsidR="008A3A15"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 xml:space="preserve">Der </w:t>
      </w:r>
      <w:r w:rsidRPr="00324616">
        <w:rPr>
          <w:rFonts w:eastAsia="Times New Roman"/>
          <w:b/>
          <w:bCs/>
          <w:rtl/>
          <w:lang w:eastAsia="de-DE"/>
        </w:rPr>
        <w:t>חֵרֶם</w:t>
      </w:r>
      <w:r w:rsidRPr="00324616">
        <w:rPr>
          <w:rFonts w:eastAsia="Times New Roman"/>
          <w:rtl/>
          <w:lang w:eastAsia="de-DE"/>
        </w:rPr>
        <w:t xml:space="preserve"> </w:t>
      </w:r>
      <w:r w:rsidRPr="00324616">
        <w:rPr>
          <w:rFonts w:eastAsia="Times New Roman"/>
          <w:lang w:eastAsia="de-DE"/>
        </w:rPr>
        <w:t xml:space="preserve">(„Bann") ist die totale Weihung an JHWH durch Vernichtung – ein schwieriges Konzept (vgl. 2,34; 3,6; 13,16-18; 20,17; Jos 6,17-21; </w:t>
      </w:r>
      <w:r w:rsidR="00664EB6">
        <w:rPr>
          <w:rFonts w:eastAsia="Times New Roman"/>
          <w:lang w:eastAsia="de-DE"/>
        </w:rPr>
        <w:t>1Sam</w:t>
      </w:r>
      <w:r w:rsidRPr="00324616">
        <w:rPr>
          <w:rFonts w:eastAsia="Times New Roman"/>
          <w:lang w:eastAsia="de-DE"/>
        </w:rPr>
        <w:t xml:space="preserve"> 15). Die Konstruktion mit Infinitivus absolutus (</w:t>
      </w:r>
      <w:r w:rsidRPr="00324616">
        <w:rPr>
          <w:rFonts w:eastAsia="Times New Roman"/>
          <w:b/>
          <w:bCs/>
          <w:rtl/>
          <w:lang w:eastAsia="de-DE"/>
        </w:rPr>
        <w:t>הַחֲרֵם תַּחֲרִים</w:t>
      </w:r>
      <w:r w:rsidRPr="00324616">
        <w:rPr>
          <w:rFonts w:eastAsia="Times New Roman"/>
          <w:lang w:eastAsia="de-DE"/>
        </w:rPr>
        <w:t xml:space="preserve">) verleiht höchste Emphase. Das Verbot, einen Bund zu schließen oder Gnade zu erweisen, soll die religiöse Vermischung verhindern. </w:t>
      </w:r>
    </w:p>
    <w:p w14:paraId="4848358F" w14:textId="6F3D6759" w:rsidR="00560E23" w:rsidRPr="00560E23" w:rsidRDefault="00560E23" w:rsidP="00117C17">
      <w:pPr>
        <w:pStyle w:val="KeinLeerraum"/>
        <w:rPr>
          <w:b/>
          <w:bCs/>
        </w:rPr>
      </w:pPr>
      <w:r w:rsidRPr="00560E23">
        <w:rPr>
          <w:b/>
          <w:bCs/>
        </w:rPr>
        <w:t>A) Kanonisch-theologischer Ansatz</w:t>
      </w:r>
    </w:p>
    <w:p w14:paraId="2B2EAC40" w14:textId="0EF630A6" w:rsidR="00146FBA" w:rsidRDefault="00146FBA" w:rsidP="00117C17">
      <w:pPr>
        <w:pStyle w:val="KeinLeerraum"/>
      </w:pPr>
      <w:r>
        <w:t>Psalm 136 verbindet Gottes „ewige Güte" (</w:t>
      </w:r>
      <w:r w:rsidRPr="00664BA3">
        <w:rPr>
          <w:b/>
          <w:bCs/>
          <w:rtl/>
        </w:rPr>
        <w:t>חֶסֶד</w:t>
      </w:r>
      <w:r>
        <w:t>) mit seinen Gerichtstaten. Aus kanonischer Perspektive ist Ehrfurcht vor Gottes souveränem Handeln geboten, auch wenn Spannung zu unserem moralischen Empfinden besteht. Die Schrift bezeugt die Güte und Gerechtigkeit Gottes als Grundkonstanten, auch wo sein Handeln unserem Verstehen entzogen bleibt (vgl.</w:t>
      </w:r>
      <w:r w:rsidR="00560E23">
        <w:rPr>
          <w:rFonts w:hint="cs"/>
          <w:rtl/>
        </w:rPr>
        <w:t xml:space="preserve"> </w:t>
      </w:r>
      <w:r w:rsidR="00560E23">
        <w:t>Jes 55,8-9</w:t>
      </w:r>
      <w:r>
        <w:t>).</w:t>
      </w:r>
      <w:r w:rsidR="00CE2C60">
        <w:t xml:space="preserve"> Dabei geht es nicht um eine ethnische Auslöschung, sondern um ein theologisch begründetes Gericht über kultische und moralische Verderbnis (Dtn 9,5).</w:t>
      </w:r>
      <w:r w:rsidR="00664BA3">
        <w:t xml:space="preserve"> Neutestamentliche Parallelisierungen sind hier nur eingeschränkt möglich, da der Text in einem klar umrissenen heilsgeschichtlichen Abschnitt des Alten Testaments verortet ist, in dem der Sinai-Bund exklusiv für Israel maßgeblich war. Diese bundestheologische Konstellation unterscheidet sich strukturell und funktional vom neutestamentlichen Ordnungsrahmen, sodass direkte Analogiebildungen nur unter sorgfältiger Berücksichtigung der unterschiedlichen Offenbarungs- und Bundesstufen verantwortet werden können.</w:t>
      </w:r>
      <w:r w:rsidR="00CB4F6A">
        <w:t xml:space="preserve"> Auch beschreibt Deu 7,2 keinen „Heiligen Krieg“ im engeren religionsgeschichtlichen Sinne, sondern einen </w:t>
      </w:r>
      <w:r w:rsidR="00CB4F6A" w:rsidRPr="00CB4F6A">
        <w:rPr>
          <w:rStyle w:val="Fett"/>
          <w:b w:val="0"/>
          <w:bCs w:val="0"/>
        </w:rPr>
        <w:t>heilsgeschichtlich limitierten, bundesrechtlich motivierten Gerichtsvollzug</w:t>
      </w:r>
      <w:r w:rsidR="00CB4F6A">
        <w:t>, der theologisch aus dem exklusiven Verhältnis zwischen JHWH und Israel resultiert und weder als universales Kriegsmodell noch als normative Kriegsethik für spätere Generationen intendiert ist.</w:t>
      </w:r>
    </w:p>
    <w:p w14:paraId="77568042" w14:textId="77777777" w:rsidR="00146FBA" w:rsidRDefault="00146FBA" w:rsidP="00117C17">
      <w:pPr>
        <w:pStyle w:val="KeinLeerraum"/>
      </w:pPr>
    </w:p>
    <w:p w14:paraId="571F176C" w14:textId="4C321BE9" w:rsidR="00560E23" w:rsidRPr="00560E23" w:rsidRDefault="00560E23" w:rsidP="00117C17">
      <w:pPr>
        <w:pStyle w:val="KeinLeerraum"/>
        <w:rPr>
          <w:b/>
          <w:bCs/>
        </w:rPr>
      </w:pPr>
      <w:r w:rsidRPr="00560E23">
        <w:rPr>
          <w:b/>
          <w:bCs/>
        </w:rPr>
        <w:t>B) Historisch-kritischer Ansatz</w:t>
      </w:r>
    </w:p>
    <w:p w14:paraId="32CC47CC" w14:textId="270DCA85" w:rsidR="00117C17" w:rsidRDefault="00117C17" w:rsidP="00117C17">
      <w:pPr>
        <w:pStyle w:val="KeinLeerraum"/>
      </w:pPr>
      <w:r>
        <w:t>Die historisch-kritische Exegese bewertet diesen Text unter Berücksichtigung seiner Entstehungsbedingungen, innerbiblischen Entwicklung und gegenwärtiger ethischer Maßstäbe und kommt zu folgendem Ergebnis:</w:t>
      </w:r>
    </w:p>
    <w:p w14:paraId="685A7FBD" w14:textId="77777777" w:rsidR="00117C17" w:rsidRPr="00117C17" w:rsidRDefault="00117C17" w:rsidP="00117C17">
      <w:pPr>
        <w:pStyle w:val="KeinLeerraum"/>
        <w:rPr>
          <w:sz w:val="16"/>
          <w:szCs w:val="16"/>
        </w:rPr>
      </w:pPr>
    </w:p>
    <w:p w14:paraId="713CFB57" w14:textId="77777777" w:rsidR="00117C17" w:rsidRDefault="00117C17" w:rsidP="00117C17">
      <w:pPr>
        <w:pStyle w:val="KeinLeerraum"/>
      </w:pPr>
      <w:r>
        <w:t>Dieses Kapitel gehört zu den ethisch problematischsten Texten der Bibel. Die Forderung der totalen Vernichtung (</w:t>
      </w:r>
      <w:r>
        <w:rPr>
          <w:rtl/>
        </w:rPr>
        <w:t>חֵרֶם</w:t>
      </w:r>
      <w:r>
        <w:t xml:space="preserve">) der kanaanitischen Völker widerspricht fundamentalen ethischen Prinzipien und kann nicht als göttlicher Befehl oder ethische Norm verstanden werden. </w:t>
      </w:r>
    </w:p>
    <w:p w14:paraId="00643A33" w14:textId="77777777" w:rsidR="00117C17" w:rsidRDefault="00117C17" w:rsidP="00117C17">
      <w:pPr>
        <w:pStyle w:val="KeinLeerraum"/>
      </w:pPr>
    </w:p>
    <w:p w14:paraId="09DF1BB9" w14:textId="77777777" w:rsidR="00117C17" w:rsidRDefault="00117C17" w:rsidP="00117C17">
      <w:pPr>
        <w:pStyle w:val="KeinLeerraum"/>
      </w:pPr>
      <w:r>
        <w:t xml:space="preserve">Historisch-kritisch: Der Text stammt aus der deuteronomistischen Schule des 7.-6. Jh. v. Chr. und ist keine historiographische Darstellung der Landnahme, sondern eine </w:t>
      </w:r>
      <w:proofErr w:type="spellStart"/>
      <w:r>
        <w:t>retrojizierte</w:t>
      </w:r>
      <w:proofErr w:type="spellEnd"/>
      <w:r>
        <w:t xml:space="preserve"> Ideologie zur Identitätsbildung im babylonischen Exil. Archäologisch gibt es keine Evidenz für eine totale Vernichtung der Kanaaniter. </w:t>
      </w:r>
    </w:p>
    <w:p w14:paraId="7A229485" w14:textId="77777777" w:rsidR="00117C17" w:rsidRDefault="00117C17" w:rsidP="00117C17">
      <w:pPr>
        <w:pStyle w:val="KeinLeerraum"/>
      </w:pPr>
    </w:p>
    <w:p w14:paraId="1397EA28" w14:textId="0393F8A8" w:rsidR="00117C17" w:rsidRDefault="00117C17" w:rsidP="00117C17">
      <w:pPr>
        <w:pStyle w:val="KeinLeerraum"/>
      </w:pPr>
      <w:r>
        <w:t xml:space="preserve">Theologisch: </w:t>
      </w:r>
      <w:r w:rsidR="00E235C0">
        <w:t xml:space="preserve">Die Banntheologie steht in fundamentaler Spannung zu anderen biblischen Traditionen: Ruth die Moabiterin wird Stammmutter Davids und damit des Messias (Rut 4,13-22; Mt 1,5); Jona wird gesandt, Ninive zur Umkehr zu rufen statt es zu vernichten (Jona 3-4); Jesaja prophezeit Ägyptens und Assyriens Rettung und nennt sie "mein Volk" gleichrangig mit Israel (Jes 19,24-25); die Völkerwallfahrt zum Zion (Jes 2,2-4) erwartet friedliche Integration statt Vernichtung. Diese Texte bezeugen eine gegenläufige Tradition der Völkerinklusion. Im NT wird die Banntheologie durch Jesus Christus fundamental korrigiert </w:t>
      </w:r>
      <w:r w:rsidR="00E235C0">
        <w:lastRenderedPageBreak/>
        <w:t>und überwunden (Mt 5,43-48: Feindesliebe statt Feindvernichtung; Lk 9,51-56: Ablehnung des Gerichtsfeuer-Wunsches; Eph 2,14-16: Christus als Friedensstifter, der die Trennmauer niederreißt). Die christliche Theologie verwirft die Ideologie religiös motivierter Gewalt als mit dem Evangelium unvereinbar.</w:t>
      </w:r>
      <w:r>
        <w:t xml:space="preserve"> </w:t>
      </w:r>
    </w:p>
    <w:p w14:paraId="58749514" w14:textId="77777777" w:rsidR="00117C17" w:rsidRDefault="00117C17" w:rsidP="00117C17">
      <w:pPr>
        <w:pStyle w:val="KeinLeerraum"/>
      </w:pPr>
    </w:p>
    <w:p w14:paraId="4A24BE5B" w14:textId="45FEBBB9" w:rsidR="00117C17" w:rsidRDefault="00117C17" w:rsidP="00117C17">
      <w:pPr>
        <w:pStyle w:val="KeinLeerraum"/>
        <w:rPr>
          <w:rFonts w:eastAsia="Times New Roman"/>
          <w:lang w:eastAsia="de-DE"/>
        </w:rPr>
      </w:pPr>
      <w:r>
        <w:t>Hermeneutisch: Diese Texte erfordern kritische Lektüre im Bewusstsein der innerbiblischen Entwicklung und der christologischen Perspektive. Sie dürfen nicht als direkte Handlungsanweisungen missverstanden werden.</w:t>
      </w:r>
    </w:p>
    <w:p w14:paraId="488E5B14" w14:textId="70A3DE9A"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Die LXX</w:t>
      </w:r>
      <w:r w:rsidRPr="00324616">
        <w:rPr>
          <w:rFonts w:eastAsia="Times New Roman"/>
          <w:lang w:eastAsia="de-DE"/>
        </w:rPr>
        <w:t xml:space="preserve"> übersetzt </w:t>
      </w:r>
      <w:r w:rsidRPr="00324616">
        <w:rPr>
          <w:rFonts w:eastAsia="Times New Roman"/>
          <w:b/>
          <w:bCs/>
          <w:rtl/>
          <w:lang w:eastAsia="de-DE"/>
        </w:rPr>
        <w:t>חרם</w:t>
      </w:r>
      <w:r w:rsidRPr="00324616">
        <w:rPr>
          <w:rFonts w:eastAsia="Times New Roman"/>
          <w:rtl/>
          <w:lang w:eastAsia="de-DE"/>
        </w:rPr>
        <w:t xml:space="preserve"> </w:t>
      </w:r>
      <w:r w:rsidRPr="00324616">
        <w:rPr>
          <w:rFonts w:eastAsia="Times New Roman"/>
          <w:lang w:eastAsia="de-DE"/>
        </w:rPr>
        <w:t xml:space="preserve">mit </w:t>
      </w:r>
      <w:proofErr w:type="spellStart"/>
      <w:r w:rsidRPr="00324616">
        <w:rPr>
          <w:rFonts w:eastAsia="Times New Roman"/>
          <w:b/>
          <w:bCs/>
          <w:lang w:eastAsia="de-DE"/>
        </w:rPr>
        <w:t>ἀν</w:t>
      </w:r>
      <w:proofErr w:type="spellEnd"/>
      <w:r w:rsidRPr="00324616">
        <w:rPr>
          <w:rFonts w:eastAsia="Times New Roman"/>
          <w:b/>
          <w:bCs/>
          <w:lang w:eastAsia="de-DE"/>
        </w:rPr>
        <w:t xml:space="preserve">αθέματι </w:t>
      </w:r>
      <w:proofErr w:type="spellStart"/>
      <w:r w:rsidRPr="00324616">
        <w:rPr>
          <w:rFonts w:eastAsia="Times New Roman"/>
          <w:b/>
          <w:bCs/>
          <w:lang w:eastAsia="de-DE"/>
        </w:rPr>
        <w:t>ἀν</w:t>
      </w:r>
      <w:proofErr w:type="spellEnd"/>
      <w:r w:rsidRPr="00324616">
        <w:rPr>
          <w:rFonts w:eastAsia="Times New Roman"/>
          <w:b/>
          <w:bCs/>
          <w:lang w:eastAsia="de-DE"/>
        </w:rPr>
        <w:t>αθεματιεῖτε</w:t>
      </w:r>
      <w:r w:rsidRPr="00324616">
        <w:rPr>
          <w:rFonts w:eastAsia="Times New Roman"/>
          <w:lang w:eastAsia="de-DE"/>
        </w:rPr>
        <w:t xml:space="preserve"> („</w:t>
      </w:r>
      <w:r w:rsidR="00DE4665">
        <w:rPr>
          <w:rFonts w:eastAsia="Times New Roman"/>
          <w:lang w:eastAsia="de-DE"/>
        </w:rPr>
        <w:t>völlig vernichten</w:t>
      </w:r>
      <w:r w:rsidRPr="00324616">
        <w:rPr>
          <w:rFonts w:eastAsia="Times New Roman"/>
          <w:lang w:eastAsia="de-DE"/>
        </w:rPr>
        <w:t>").</w:t>
      </w:r>
    </w:p>
    <w:p w14:paraId="1848F1EC"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Die Satzstruktur ist ein Perfekt consecutivum mit Suffix-Objekt, erweitertem Subjekt und Richtungsangabe, gefolgt von einem konsekutiven Verb mit Suffix-Objekt, einer emphatischen Konstruktion mit Infinitivus absolutus, finitem Verb und direktem Objekt, sowie einer zweigliedrigen prohibitiven Koordination (die erste mit indirektem und direktem Objekt, die zweite mit Suffix-Objekt). Die Struktur verbindet göttliches Handeln mit imperativischen Forderungen.</w:t>
      </w:r>
    </w:p>
    <w:p w14:paraId="4175B48A" w14:textId="1E38D5FC"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 xml:space="preserve">Der Vers formuliert die scharfe Bannforderung: Wenn JHWH die Völker dahingibt und Israel sie besiegt, soll Israel sie mit dem Bann belegen, keinen Bund mit ihnen schließen und keine Gnade zeigen – </w:t>
      </w:r>
      <w:r w:rsidR="009772EE">
        <w:rPr>
          <w:rFonts w:eastAsia="Times New Roman"/>
          <w:lang w:eastAsia="de-DE"/>
        </w:rPr>
        <w:t>absolute</w:t>
      </w:r>
      <w:r w:rsidRPr="00324616">
        <w:rPr>
          <w:rFonts w:eastAsia="Times New Roman"/>
          <w:lang w:eastAsia="de-DE"/>
        </w:rPr>
        <w:t xml:space="preserve"> Abgrenzung.</w:t>
      </w:r>
    </w:p>
    <w:p w14:paraId="5B9BE8C0" w14:textId="77777777" w:rsidR="00324616" w:rsidRPr="00324616" w:rsidRDefault="00324616" w:rsidP="00324616">
      <w:pPr>
        <w:spacing w:before="100" w:beforeAutospacing="1" w:after="100" w:afterAutospacing="1" w:line="240" w:lineRule="auto"/>
        <w:outlineLvl w:val="1"/>
        <w:rPr>
          <w:rFonts w:eastAsia="Times New Roman"/>
          <w:b/>
          <w:bCs/>
          <w:sz w:val="36"/>
          <w:szCs w:val="36"/>
          <w:lang w:eastAsia="de-DE"/>
        </w:rPr>
      </w:pPr>
      <w:r w:rsidRPr="00324616">
        <w:rPr>
          <w:rFonts w:eastAsia="Times New Roman"/>
          <w:b/>
          <w:bCs/>
          <w:sz w:val="36"/>
          <w:szCs w:val="36"/>
          <w:lang w:eastAsia="de-DE"/>
        </w:rPr>
        <w:t>Deuteronomium 7,3</w:t>
      </w:r>
    </w:p>
    <w:p w14:paraId="073CE6B2"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Hebräisch:</w:t>
      </w:r>
      <w:r w:rsidRPr="00324616">
        <w:rPr>
          <w:rFonts w:eastAsia="Times New Roman"/>
          <w:lang w:eastAsia="de-DE"/>
        </w:rPr>
        <w:t xml:space="preserve"> </w:t>
      </w:r>
      <w:r w:rsidRPr="00324616">
        <w:rPr>
          <w:rFonts w:eastAsia="Times New Roman"/>
          <w:rtl/>
          <w:lang w:eastAsia="de-DE"/>
        </w:rPr>
        <w:t>וְלֹא תִתְחַתֵּן בָּם בִּתְּךָ לֹא־תִתֵּן לִבְנוֹ וּבִתּוֹ לֹא־תִקַּח לִבְנֶךָ׃</w:t>
      </w:r>
    </w:p>
    <w:p w14:paraId="466ADF14"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Deutsch:</w:t>
      </w:r>
      <w:r w:rsidRPr="00324616">
        <w:rPr>
          <w:rFonts w:eastAsia="Times New Roman"/>
          <w:lang w:eastAsia="de-DE"/>
        </w:rPr>
        <w:t xml:space="preserve"> Und du sollst dich nicht mit ihnen verschwägern: Deine Tochter sollst du nicht seinem Sohn geben, und seine Tochter sollst du nicht für deinen Sohn nehmen.</w:t>
      </w:r>
    </w:p>
    <w:p w14:paraId="0CFCE6BF" w14:textId="77777777" w:rsidR="00324616" w:rsidRPr="00324616" w:rsidRDefault="004F5CEB" w:rsidP="00324616">
      <w:pPr>
        <w:spacing w:after="0" w:line="240" w:lineRule="auto"/>
        <w:rPr>
          <w:rFonts w:eastAsia="Times New Roman"/>
          <w:lang w:eastAsia="de-DE"/>
        </w:rPr>
      </w:pPr>
      <w:r>
        <w:rPr>
          <w:rFonts w:eastAsia="Times New Roman"/>
          <w:noProof/>
          <w:lang w:eastAsia="de-DE"/>
        </w:rPr>
        <w:pict w14:anchorId="2602DAD9">
          <v:rect id="_x0000_i1246" style="width:0;height:1.5pt" o:hralign="center" o:hrstd="t" o:hr="t" fillcolor="#a0a0a0" stroked="f"/>
        </w:pict>
      </w:r>
    </w:p>
    <w:p w14:paraId="5D2CF71D"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Kommentar:</w:t>
      </w:r>
      <w:r w:rsidRPr="00324616">
        <w:rPr>
          <w:rFonts w:eastAsia="Times New Roman"/>
          <w:lang w:eastAsia="de-DE"/>
        </w:rPr>
        <w:t xml:space="preserve"> </w:t>
      </w:r>
      <w:r w:rsidRPr="00324616">
        <w:rPr>
          <w:rFonts w:eastAsia="Times New Roman"/>
          <w:b/>
          <w:bCs/>
          <w:rtl/>
          <w:lang w:eastAsia="de-DE"/>
        </w:rPr>
        <w:t>וְלֹא תִתְחַתֵּן בָּם</w:t>
      </w:r>
      <w:r w:rsidRPr="00324616">
        <w:rPr>
          <w:rFonts w:eastAsia="Times New Roman"/>
          <w:rtl/>
          <w:lang w:eastAsia="de-DE"/>
        </w:rPr>
        <w:t xml:space="preserve"> </w:t>
      </w:r>
      <w:r w:rsidRPr="00324616">
        <w:rPr>
          <w:rFonts w:eastAsia="Times New Roman"/>
          <w:lang w:eastAsia="de-DE"/>
        </w:rPr>
        <w:t xml:space="preserve">ist ein prohibitiver Satz: </w:t>
      </w:r>
      <w:r w:rsidRPr="00324616">
        <w:rPr>
          <w:rFonts w:eastAsia="Times New Roman"/>
          <w:b/>
          <w:bCs/>
          <w:rtl/>
          <w:lang w:eastAsia="de-DE"/>
        </w:rPr>
        <w:t>וְלֹא</w:t>
      </w:r>
      <w:r w:rsidRPr="00324616">
        <w:rPr>
          <w:rFonts w:eastAsia="Times New Roman"/>
          <w:rtl/>
          <w:lang w:eastAsia="de-DE"/>
        </w:rPr>
        <w:t xml:space="preserve"> </w:t>
      </w:r>
      <w:r w:rsidRPr="00324616">
        <w:rPr>
          <w:rFonts w:eastAsia="Times New Roman"/>
          <w:lang w:eastAsia="de-DE"/>
        </w:rPr>
        <w:t xml:space="preserve">als Negation mit </w:t>
      </w:r>
      <w:r w:rsidRPr="00324616">
        <w:rPr>
          <w:rFonts w:eastAsia="Times New Roman"/>
          <w:b/>
          <w:bCs/>
          <w:rtl/>
          <w:lang w:eastAsia="de-DE"/>
        </w:rPr>
        <w:t>וְ</w:t>
      </w:r>
      <w:r w:rsidRPr="00324616">
        <w:rPr>
          <w:rFonts w:eastAsia="Times New Roman"/>
          <w:lang w:eastAsia="de-DE"/>
        </w:rPr>
        <w:t xml:space="preserve">, </w:t>
      </w:r>
      <w:r w:rsidRPr="00324616">
        <w:rPr>
          <w:rFonts w:eastAsia="Times New Roman"/>
          <w:b/>
          <w:bCs/>
          <w:rtl/>
          <w:lang w:eastAsia="de-DE"/>
        </w:rPr>
        <w:t>תִתְחַתֵּן</w:t>
      </w:r>
      <w:r w:rsidRPr="00324616">
        <w:rPr>
          <w:rFonts w:eastAsia="Times New Roman"/>
          <w:rtl/>
          <w:lang w:eastAsia="de-DE"/>
        </w:rPr>
        <w:t xml:space="preserve"> </w:t>
      </w:r>
      <w:r w:rsidRPr="00324616">
        <w:rPr>
          <w:rFonts w:eastAsia="Times New Roman"/>
          <w:lang w:eastAsia="de-DE"/>
        </w:rPr>
        <w:t xml:space="preserve">als Hitpael Imperfekt, 2. Person Singular maskulin von </w:t>
      </w:r>
      <w:r w:rsidRPr="00324616">
        <w:rPr>
          <w:rFonts w:eastAsia="Times New Roman"/>
          <w:b/>
          <w:bCs/>
          <w:rtl/>
          <w:lang w:eastAsia="de-DE"/>
        </w:rPr>
        <w:t>חתן</w:t>
      </w:r>
      <w:r w:rsidRPr="00324616">
        <w:rPr>
          <w:rFonts w:eastAsia="Times New Roman"/>
          <w:rtl/>
          <w:lang w:eastAsia="de-DE"/>
        </w:rPr>
        <w:t xml:space="preserve"> </w:t>
      </w:r>
      <w:r w:rsidRPr="00324616">
        <w:rPr>
          <w:rFonts w:eastAsia="Times New Roman"/>
          <w:lang w:eastAsia="de-DE"/>
        </w:rPr>
        <w:t xml:space="preserve">(„sich verschwägern, verwandt werden durch Heirat"), </w:t>
      </w:r>
      <w:r w:rsidRPr="00324616">
        <w:rPr>
          <w:rFonts w:eastAsia="Times New Roman"/>
          <w:b/>
          <w:bCs/>
          <w:rtl/>
          <w:lang w:eastAsia="de-DE"/>
        </w:rPr>
        <w:t>בָּם</w:t>
      </w:r>
      <w:r w:rsidRPr="00324616">
        <w:rPr>
          <w:rFonts w:eastAsia="Times New Roman"/>
          <w:rtl/>
          <w:lang w:eastAsia="de-DE"/>
        </w:rPr>
        <w:t xml:space="preserve"> </w:t>
      </w:r>
      <w:r w:rsidRPr="00324616">
        <w:rPr>
          <w:rFonts w:eastAsia="Times New Roman"/>
          <w:lang w:eastAsia="de-DE"/>
        </w:rPr>
        <w:t>als präpositionale Ergänzung (</w:t>
      </w:r>
      <w:r w:rsidRPr="00324616">
        <w:rPr>
          <w:rFonts w:eastAsia="Times New Roman"/>
          <w:b/>
          <w:bCs/>
          <w:rtl/>
          <w:lang w:eastAsia="de-DE"/>
        </w:rPr>
        <w:t>בְּ</w:t>
      </w:r>
      <w:r w:rsidRPr="00324616">
        <w:rPr>
          <w:rFonts w:eastAsia="Times New Roman"/>
          <w:rtl/>
          <w:lang w:eastAsia="de-DE"/>
        </w:rPr>
        <w:t xml:space="preserve"> </w:t>
      </w:r>
      <w:r w:rsidRPr="00324616">
        <w:rPr>
          <w:rFonts w:eastAsia="Times New Roman"/>
          <w:lang w:eastAsia="de-DE"/>
        </w:rPr>
        <w:t>mit Suffix 3. Person Plural maskulin – „mit ihnen").</w:t>
      </w:r>
    </w:p>
    <w:p w14:paraId="2111098D" w14:textId="7788A781"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rtl/>
          <w:lang w:eastAsia="de-DE"/>
        </w:rPr>
        <w:t>בִּתְּךָ לֹא־תִתֵּן לִבְנוֹ וּבִתּוֹ לֹא־תִקַּח לִבְנֶךָ</w:t>
      </w:r>
      <w:r w:rsidRPr="00324616">
        <w:rPr>
          <w:rFonts w:eastAsia="Times New Roman"/>
          <w:rtl/>
          <w:lang w:eastAsia="de-DE"/>
        </w:rPr>
        <w:t xml:space="preserve"> </w:t>
      </w:r>
      <w:r w:rsidRPr="00324616">
        <w:rPr>
          <w:rFonts w:eastAsia="Times New Roman"/>
          <w:lang w:eastAsia="de-DE"/>
        </w:rPr>
        <w:t xml:space="preserve">ist eine zweigliedrige Konkretisierung: </w:t>
      </w:r>
      <w:r w:rsidRPr="00324616">
        <w:rPr>
          <w:rFonts w:eastAsia="Times New Roman"/>
          <w:b/>
          <w:bCs/>
          <w:rtl/>
          <w:lang w:eastAsia="de-DE"/>
        </w:rPr>
        <w:t>בִּתְּךָ לֹא־תִתֵּן לִבְנוֹ</w:t>
      </w:r>
      <w:r w:rsidRPr="00324616">
        <w:rPr>
          <w:rFonts w:eastAsia="Times New Roman"/>
          <w:rtl/>
          <w:lang w:eastAsia="de-DE"/>
        </w:rPr>
        <w:t xml:space="preserve"> </w:t>
      </w:r>
      <w:r w:rsidRPr="00324616">
        <w:rPr>
          <w:rFonts w:eastAsia="Times New Roman"/>
          <w:lang w:eastAsia="de-DE"/>
        </w:rPr>
        <w:t>(</w:t>
      </w:r>
      <w:r w:rsidRPr="00324616">
        <w:rPr>
          <w:rFonts w:eastAsia="Times New Roman"/>
          <w:b/>
          <w:bCs/>
          <w:rtl/>
          <w:lang w:eastAsia="de-DE"/>
        </w:rPr>
        <w:t>בַּת</w:t>
      </w:r>
      <w:r w:rsidRPr="00324616">
        <w:rPr>
          <w:rFonts w:eastAsia="Times New Roman"/>
          <w:lang w:eastAsia="de-DE"/>
        </w:rPr>
        <w:t xml:space="preserve">, „Tochter", mit Suffix 2. Person Singular maskulin, als vorausgestelltes direktes Objekt, </w:t>
      </w:r>
      <w:r w:rsidRPr="00324616">
        <w:rPr>
          <w:rFonts w:eastAsia="Times New Roman"/>
          <w:b/>
          <w:bCs/>
          <w:rtl/>
          <w:lang w:eastAsia="de-DE"/>
        </w:rPr>
        <w:t>לֹא־תִתֵּן</w:t>
      </w:r>
      <w:r w:rsidRPr="00324616">
        <w:rPr>
          <w:rFonts w:eastAsia="Times New Roman"/>
          <w:rtl/>
          <w:lang w:eastAsia="de-DE"/>
        </w:rPr>
        <w:t xml:space="preserve"> </w:t>
      </w:r>
      <w:r w:rsidRPr="00324616">
        <w:rPr>
          <w:rFonts w:eastAsia="Times New Roman"/>
          <w:lang w:eastAsia="de-DE"/>
        </w:rPr>
        <w:t xml:space="preserve">als Qal Imperfekt, 2. Person Singular maskulin von </w:t>
      </w:r>
      <w:r w:rsidRPr="00324616">
        <w:rPr>
          <w:rFonts w:eastAsia="Times New Roman"/>
          <w:b/>
          <w:bCs/>
          <w:rtl/>
          <w:lang w:eastAsia="de-DE"/>
        </w:rPr>
        <w:t>נתן</w:t>
      </w:r>
      <w:r w:rsidRPr="00324616">
        <w:rPr>
          <w:rFonts w:eastAsia="Times New Roman"/>
          <w:lang w:eastAsia="de-DE"/>
        </w:rPr>
        <w:t xml:space="preserve">, „geben", mit Negation, </w:t>
      </w:r>
      <w:r w:rsidRPr="00324616">
        <w:rPr>
          <w:rFonts w:eastAsia="Times New Roman"/>
          <w:b/>
          <w:bCs/>
          <w:rtl/>
          <w:lang w:eastAsia="de-DE"/>
        </w:rPr>
        <w:t>לִבְנוֹ</w:t>
      </w:r>
      <w:r w:rsidRPr="00324616">
        <w:rPr>
          <w:rFonts w:eastAsia="Times New Roman"/>
          <w:rtl/>
          <w:lang w:eastAsia="de-DE"/>
        </w:rPr>
        <w:t xml:space="preserve"> </w:t>
      </w:r>
      <w:r w:rsidRPr="00324616">
        <w:rPr>
          <w:rFonts w:eastAsia="Times New Roman"/>
          <w:lang w:eastAsia="de-DE"/>
        </w:rPr>
        <w:t xml:space="preserve">als indirektes Objekt – </w:t>
      </w:r>
      <w:r w:rsidRPr="00324616">
        <w:rPr>
          <w:rFonts w:eastAsia="Times New Roman"/>
          <w:b/>
          <w:bCs/>
          <w:rtl/>
          <w:lang w:eastAsia="de-DE"/>
        </w:rPr>
        <w:t>לְ</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בֵּן</w:t>
      </w:r>
      <w:r w:rsidRPr="00324616">
        <w:rPr>
          <w:rFonts w:eastAsia="Times New Roman"/>
          <w:rtl/>
          <w:lang w:eastAsia="de-DE"/>
        </w:rPr>
        <w:t xml:space="preserve"> </w:t>
      </w:r>
      <w:r w:rsidRPr="00324616">
        <w:rPr>
          <w:rFonts w:eastAsia="Times New Roman"/>
          <w:lang w:eastAsia="de-DE"/>
        </w:rPr>
        <w:t xml:space="preserve">und Suffix 3. Person Singular maskulin – „seinem Sohn"), </w:t>
      </w:r>
      <w:r w:rsidRPr="00324616">
        <w:rPr>
          <w:rFonts w:eastAsia="Times New Roman"/>
          <w:b/>
          <w:bCs/>
          <w:rtl/>
          <w:lang w:eastAsia="de-DE"/>
        </w:rPr>
        <w:t>וּבִתּוֹ לֹא־תִקַּח לִבְנֶךָ</w:t>
      </w:r>
      <w:r w:rsidRPr="00324616">
        <w:rPr>
          <w:rFonts w:eastAsia="Times New Roman"/>
          <w:rtl/>
          <w:lang w:eastAsia="de-DE"/>
        </w:rPr>
        <w:t xml:space="preserve"> </w:t>
      </w:r>
      <w:r w:rsidRPr="00324616">
        <w:rPr>
          <w:rFonts w:eastAsia="Times New Roman"/>
          <w:lang w:eastAsia="de-DE"/>
        </w:rPr>
        <w:t>koordiniert (</w:t>
      </w:r>
      <w:r w:rsidRPr="00324616">
        <w:rPr>
          <w:rFonts w:eastAsia="Times New Roman"/>
          <w:b/>
          <w:bCs/>
          <w:rtl/>
          <w:lang w:eastAsia="de-DE"/>
        </w:rPr>
        <w:t>בַּת</w:t>
      </w:r>
      <w:r w:rsidRPr="00324616">
        <w:rPr>
          <w:rFonts w:eastAsia="Times New Roman"/>
          <w:rtl/>
          <w:lang w:eastAsia="de-DE"/>
        </w:rPr>
        <w:t xml:space="preserve"> </w:t>
      </w:r>
      <w:r w:rsidRPr="00324616">
        <w:rPr>
          <w:rFonts w:eastAsia="Times New Roman"/>
          <w:lang w:eastAsia="de-DE"/>
        </w:rPr>
        <w:t xml:space="preserve">mit Suffix 3. Person Singular maskulin als vorausgestelltes direktes Objekt, </w:t>
      </w:r>
      <w:r w:rsidRPr="00324616">
        <w:rPr>
          <w:rFonts w:eastAsia="Times New Roman"/>
          <w:b/>
          <w:bCs/>
          <w:rtl/>
          <w:lang w:eastAsia="de-DE"/>
        </w:rPr>
        <w:t>לֹא־תִקַּח</w:t>
      </w:r>
      <w:r w:rsidRPr="00324616">
        <w:rPr>
          <w:rFonts w:eastAsia="Times New Roman"/>
          <w:rtl/>
          <w:lang w:eastAsia="de-DE"/>
        </w:rPr>
        <w:t xml:space="preserve"> </w:t>
      </w:r>
      <w:r w:rsidRPr="00324616">
        <w:rPr>
          <w:rFonts w:eastAsia="Times New Roman"/>
          <w:lang w:eastAsia="de-DE"/>
        </w:rPr>
        <w:t xml:space="preserve">als Qal Imperfekt, 2. Person Singular maskulin von </w:t>
      </w:r>
      <w:r w:rsidRPr="00324616">
        <w:rPr>
          <w:rFonts w:eastAsia="Times New Roman"/>
          <w:b/>
          <w:bCs/>
          <w:rtl/>
          <w:lang w:eastAsia="de-DE"/>
        </w:rPr>
        <w:t>לקח</w:t>
      </w:r>
      <w:r w:rsidRPr="00324616">
        <w:rPr>
          <w:rFonts w:eastAsia="Times New Roman"/>
          <w:lang w:eastAsia="de-DE"/>
        </w:rPr>
        <w:t xml:space="preserve">, „nehmen", mit Negation, </w:t>
      </w:r>
      <w:r w:rsidRPr="00324616">
        <w:rPr>
          <w:rFonts w:eastAsia="Times New Roman"/>
          <w:b/>
          <w:bCs/>
          <w:rtl/>
          <w:lang w:eastAsia="de-DE"/>
        </w:rPr>
        <w:t>לִבְנֶךָ</w:t>
      </w:r>
      <w:r w:rsidRPr="00324616">
        <w:rPr>
          <w:rFonts w:eastAsia="Times New Roman"/>
          <w:rtl/>
          <w:lang w:eastAsia="de-DE"/>
        </w:rPr>
        <w:t xml:space="preserve"> </w:t>
      </w:r>
      <w:r w:rsidRPr="00324616">
        <w:rPr>
          <w:rFonts w:eastAsia="Times New Roman"/>
          <w:lang w:eastAsia="de-DE"/>
        </w:rPr>
        <w:t xml:space="preserve">als finale bzw. </w:t>
      </w:r>
      <w:r w:rsidR="00D84597">
        <w:rPr>
          <w:rFonts w:eastAsia="Times New Roman"/>
          <w:lang w:eastAsia="de-DE"/>
        </w:rPr>
        <w:t xml:space="preserve">benefaktive </w:t>
      </w:r>
      <w:r w:rsidRPr="00324616">
        <w:rPr>
          <w:rFonts w:eastAsia="Times New Roman"/>
          <w:lang w:eastAsia="de-DE"/>
        </w:rPr>
        <w:t xml:space="preserve">Bestimmung – </w:t>
      </w:r>
      <w:r w:rsidRPr="00324616">
        <w:rPr>
          <w:rFonts w:eastAsia="Times New Roman"/>
          <w:b/>
          <w:bCs/>
          <w:rtl/>
          <w:lang w:eastAsia="de-DE"/>
        </w:rPr>
        <w:t>לְ</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בֵּן</w:t>
      </w:r>
      <w:r w:rsidRPr="00324616">
        <w:rPr>
          <w:rFonts w:eastAsia="Times New Roman"/>
          <w:rtl/>
          <w:lang w:eastAsia="de-DE"/>
        </w:rPr>
        <w:t xml:space="preserve"> </w:t>
      </w:r>
      <w:r w:rsidRPr="00324616">
        <w:rPr>
          <w:rFonts w:eastAsia="Times New Roman"/>
          <w:lang w:eastAsia="de-DE"/>
        </w:rPr>
        <w:t>und Suffix 2. Person Singular maskulin – „für deinen Sohn").</w:t>
      </w:r>
    </w:p>
    <w:p w14:paraId="25A81CEC" w14:textId="2D7403B3"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 xml:space="preserve">Das Mischeheverbot ist eine zentrale deuteronomische Forderung zur Bewahrung der religiösen Identität (vgl. Ex 34,16; Jos 23,12; </w:t>
      </w:r>
      <w:r w:rsidR="00664EB6">
        <w:rPr>
          <w:rFonts w:eastAsia="Times New Roman"/>
          <w:lang w:eastAsia="de-DE"/>
        </w:rPr>
        <w:t>1Kön</w:t>
      </w:r>
      <w:r w:rsidRPr="00324616">
        <w:rPr>
          <w:rFonts w:eastAsia="Times New Roman"/>
          <w:lang w:eastAsia="de-DE"/>
        </w:rPr>
        <w:t xml:space="preserve"> 11,1-8; Esr 9-10; Neh 13,23-27). Die </w:t>
      </w:r>
      <w:r w:rsidRPr="00324616">
        <w:rPr>
          <w:rFonts w:eastAsia="Times New Roman"/>
          <w:lang w:eastAsia="de-DE"/>
        </w:rPr>
        <w:lastRenderedPageBreak/>
        <w:t>beiden Verbote sind chiastisch strukturiert: eigene Tochter → sein Sohn / seine Tochter → eigener Sohn. Die verschiedenen Verben (</w:t>
      </w:r>
      <w:r w:rsidRPr="00324616">
        <w:rPr>
          <w:rFonts w:eastAsia="Times New Roman"/>
          <w:b/>
          <w:bCs/>
          <w:rtl/>
          <w:lang w:eastAsia="de-DE"/>
        </w:rPr>
        <w:t>נתן</w:t>
      </w:r>
      <w:r w:rsidRPr="00324616">
        <w:rPr>
          <w:rFonts w:eastAsia="Times New Roman"/>
          <w:rtl/>
          <w:lang w:eastAsia="de-DE"/>
        </w:rPr>
        <w:t xml:space="preserve"> </w:t>
      </w:r>
      <w:r w:rsidRPr="00324616">
        <w:rPr>
          <w:rFonts w:eastAsia="Times New Roman"/>
          <w:lang w:eastAsia="de-DE"/>
        </w:rPr>
        <w:t xml:space="preserve">und </w:t>
      </w:r>
      <w:r w:rsidRPr="00324616">
        <w:rPr>
          <w:rFonts w:eastAsia="Times New Roman"/>
          <w:b/>
          <w:bCs/>
          <w:rtl/>
          <w:lang w:eastAsia="de-DE"/>
        </w:rPr>
        <w:t>לקח</w:t>
      </w:r>
      <w:r w:rsidRPr="00324616">
        <w:rPr>
          <w:rFonts w:eastAsia="Times New Roman"/>
          <w:lang w:eastAsia="de-DE"/>
        </w:rPr>
        <w:t>) entsprechen der damaligen Eheschließungspraxis: Der Vater „gibt" die Tochter und „nimmt" eine</w:t>
      </w:r>
      <w:r w:rsidR="00D84597">
        <w:rPr>
          <w:rFonts w:eastAsia="Times New Roman"/>
          <w:lang w:eastAsia="de-DE"/>
        </w:rPr>
        <w:t xml:space="preserve"> </w:t>
      </w:r>
      <w:r w:rsidRPr="00324616">
        <w:rPr>
          <w:rFonts w:eastAsia="Times New Roman"/>
          <w:lang w:eastAsia="de-DE"/>
        </w:rPr>
        <w:t>Frau für den Sohn.</w:t>
      </w:r>
    </w:p>
    <w:p w14:paraId="3D6A5423" w14:textId="38E88E51"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 xml:space="preserve">Die Satzstruktur ist ein prohibitiver Hitpael-Satz mit präpositionaler Ergänzung, gefolgt von zwei chiastisch koordinierten prohibitiven Konkretisierungen (beide mit vorausgestelltem direktem Objekt, Negation, Prädikat und indirektem bzw. </w:t>
      </w:r>
      <w:r w:rsidR="00D84597">
        <w:rPr>
          <w:rFonts w:eastAsia="Times New Roman"/>
          <w:lang w:eastAsia="de-DE"/>
        </w:rPr>
        <w:t>b</w:t>
      </w:r>
      <w:r w:rsidR="00D84597" w:rsidRPr="00324616">
        <w:rPr>
          <w:rFonts w:eastAsia="Times New Roman"/>
          <w:lang w:eastAsia="de-DE"/>
        </w:rPr>
        <w:t>en</w:t>
      </w:r>
      <w:r w:rsidR="00D84597">
        <w:rPr>
          <w:rFonts w:eastAsia="Times New Roman"/>
          <w:lang w:eastAsia="de-DE"/>
        </w:rPr>
        <w:t>efa</w:t>
      </w:r>
      <w:r w:rsidR="00D84597" w:rsidRPr="00324616">
        <w:rPr>
          <w:rFonts w:eastAsia="Times New Roman"/>
          <w:lang w:eastAsia="de-DE"/>
        </w:rPr>
        <w:t>ktive</w:t>
      </w:r>
      <w:r w:rsidR="00D84597">
        <w:rPr>
          <w:rFonts w:eastAsia="Times New Roman"/>
          <w:lang w:eastAsia="de-DE"/>
        </w:rPr>
        <w:t xml:space="preserve">m </w:t>
      </w:r>
      <w:r w:rsidRPr="00324616">
        <w:rPr>
          <w:rFonts w:eastAsia="Times New Roman"/>
          <w:lang w:eastAsia="de-DE"/>
        </w:rPr>
        <w:t>Objekt). Die Struktur verdeutlicht das umfassende Mischeheverbot.</w:t>
      </w:r>
    </w:p>
    <w:p w14:paraId="332AAAB7"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Der Vers konkretisiert das Abgrenzungsgebot: Kein Heiraten mit den Kanaanitern – weder sollen israelitische Töchter an kanaanitische Söhne gegeben noch kanaanitische Töchter für israelitische Söhne genommen werden.</w:t>
      </w:r>
    </w:p>
    <w:p w14:paraId="06E40CD2" w14:textId="77777777" w:rsidR="00324616" w:rsidRPr="00324616" w:rsidRDefault="00324616" w:rsidP="00324616">
      <w:pPr>
        <w:spacing w:before="100" w:beforeAutospacing="1" w:after="100" w:afterAutospacing="1" w:line="240" w:lineRule="auto"/>
        <w:outlineLvl w:val="1"/>
        <w:rPr>
          <w:rFonts w:eastAsia="Times New Roman"/>
          <w:b/>
          <w:bCs/>
          <w:sz w:val="36"/>
          <w:szCs w:val="36"/>
          <w:lang w:eastAsia="de-DE"/>
        </w:rPr>
      </w:pPr>
      <w:r w:rsidRPr="00324616">
        <w:rPr>
          <w:rFonts w:eastAsia="Times New Roman"/>
          <w:b/>
          <w:bCs/>
          <w:sz w:val="36"/>
          <w:szCs w:val="36"/>
          <w:lang w:eastAsia="de-DE"/>
        </w:rPr>
        <w:t>Deuteronomium 7,4</w:t>
      </w:r>
    </w:p>
    <w:p w14:paraId="75CC7BB3"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Hebräisch:</w:t>
      </w:r>
      <w:r w:rsidRPr="00324616">
        <w:rPr>
          <w:rFonts w:eastAsia="Times New Roman"/>
          <w:lang w:eastAsia="de-DE"/>
        </w:rPr>
        <w:t xml:space="preserve"> </w:t>
      </w:r>
      <w:r w:rsidRPr="00324616">
        <w:rPr>
          <w:rFonts w:eastAsia="Times New Roman"/>
          <w:rtl/>
          <w:lang w:eastAsia="de-DE"/>
        </w:rPr>
        <w:t>כִּי־יָסִיר אֶת־בִּנְךָ מֵאַחֲרַי וְעָבְדוּ אֱלֹהִים אֲחֵרִים וְחָרָה אַף־יְהוָה בָּכֶם וְהִשְׁמִידְךָ מַהֵר׃</w:t>
      </w:r>
    </w:p>
    <w:p w14:paraId="40B270B2"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Deutsch:</w:t>
      </w:r>
      <w:r w:rsidRPr="00324616">
        <w:rPr>
          <w:rFonts w:eastAsia="Times New Roman"/>
          <w:lang w:eastAsia="de-DE"/>
        </w:rPr>
        <w:t xml:space="preserve"> denn sie werden deinen Sohn von mir abwendig machen, und sie werden anderen Göttern dienen; und der Zorn des Ewigen entbrennt gegen euch, und er vertilgt dich schnell.</w:t>
      </w:r>
    </w:p>
    <w:p w14:paraId="189A4172" w14:textId="77777777" w:rsidR="00324616" w:rsidRPr="00324616" w:rsidRDefault="004F5CEB" w:rsidP="00324616">
      <w:pPr>
        <w:spacing w:after="0" w:line="240" w:lineRule="auto"/>
        <w:rPr>
          <w:rFonts w:eastAsia="Times New Roman"/>
          <w:lang w:eastAsia="de-DE"/>
        </w:rPr>
      </w:pPr>
      <w:r>
        <w:rPr>
          <w:rFonts w:eastAsia="Times New Roman"/>
          <w:noProof/>
          <w:lang w:eastAsia="de-DE"/>
        </w:rPr>
        <w:pict w14:anchorId="56926F8D">
          <v:rect id="_x0000_i1247" style="width:0;height:1.5pt" o:hralign="center" o:hrstd="t" o:hr="t" fillcolor="#a0a0a0" stroked="f"/>
        </w:pict>
      </w:r>
    </w:p>
    <w:p w14:paraId="70CD71A7"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Kommentar:</w:t>
      </w:r>
      <w:r w:rsidRPr="00324616">
        <w:rPr>
          <w:rFonts w:eastAsia="Times New Roman"/>
          <w:lang w:eastAsia="de-DE"/>
        </w:rPr>
        <w:t xml:space="preserve"> </w:t>
      </w:r>
      <w:r w:rsidRPr="00324616">
        <w:rPr>
          <w:rFonts w:eastAsia="Times New Roman"/>
          <w:b/>
          <w:bCs/>
          <w:rtl/>
          <w:lang w:eastAsia="de-DE"/>
        </w:rPr>
        <w:t>כִּי־יָסִיר אֶת־בִּנְךָ מֵאַחֲרַי</w:t>
      </w:r>
      <w:r w:rsidRPr="00324616">
        <w:rPr>
          <w:rFonts w:eastAsia="Times New Roman"/>
          <w:rtl/>
          <w:lang w:eastAsia="de-DE"/>
        </w:rPr>
        <w:t xml:space="preserve"> </w:t>
      </w:r>
      <w:r w:rsidRPr="00324616">
        <w:rPr>
          <w:rFonts w:eastAsia="Times New Roman"/>
          <w:lang w:eastAsia="de-DE"/>
        </w:rPr>
        <w:t xml:space="preserve">ist ein kausaler Satz: </w:t>
      </w:r>
      <w:r w:rsidRPr="00324616">
        <w:rPr>
          <w:rFonts w:eastAsia="Times New Roman"/>
          <w:b/>
          <w:bCs/>
          <w:rtl/>
          <w:lang w:eastAsia="de-DE"/>
        </w:rPr>
        <w:t>כִּי</w:t>
      </w:r>
      <w:r w:rsidRPr="00324616">
        <w:rPr>
          <w:rFonts w:eastAsia="Times New Roman"/>
          <w:rtl/>
          <w:lang w:eastAsia="de-DE"/>
        </w:rPr>
        <w:t xml:space="preserve"> </w:t>
      </w:r>
      <w:r w:rsidRPr="00324616">
        <w:rPr>
          <w:rFonts w:eastAsia="Times New Roman"/>
          <w:lang w:eastAsia="de-DE"/>
        </w:rPr>
        <w:t xml:space="preserve">als Konjunktion („denn"), </w:t>
      </w:r>
      <w:r w:rsidRPr="00324616">
        <w:rPr>
          <w:rFonts w:eastAsia="Times New Roman"/>
          <w:b/>
          <w:bCs/>
          <w:rtl/>
          <w:lang w:eastAsia="de-DE"/>
        </w:rPr>
        <w:t>יָסִיר</w:t>
      </w:r>
      <w:r w:rsidRPr="00324616">
        <w:rPr>
          <w:rFonts w:eastAsia="Times New Roman"/>
          <w:rtl/>
          <w:lang w:eastAsia="de-DE"/>
        </w:rPr>
        <w:t xml:space="preserve"> </w:t>
      </w:r>
      <w:r w:rsidRPr="00324616">
        <w:rPr>
          <w:rFonts w:eastAsia="Times New Roman"/>
          <w:lang w:eastAsia="de-DE"/>
        </w:rPr>
        <w:t xml:space="preserve">als Hifil Imperfekt, 3. Person Singular maskulin von </w:t>
      </w:r>
      <w:r w:rsidRPr="00324616">
        <w:rPr>
          <w:rFonts w:eastAsia="Times New Roman"/>
          <w:b/>
          <w:bCs/>
          <w:rtl/>
          <w:lang w:eastAsia="de-DE"/>
        </w:rPr>
        <w:t>סור</w:t>
      </w:r>
      <w:r w:rsidRPr="00324616">
        <w:rPr>
          <w:rFonts w:eastAsia="Times New Roman"/>
          <w:rtl/>
          <w:lang w:eastAsia="de-DE"/>
        </w:rPr>
        <w:t xml:space="preserve"> </w:t>
      </w:r>
      <w:r w:rsidRPr="00324616">
        <w:rPr>
          <w:rFonts w:eastAsia="Times New Roman"/>
          <w:lang w:eastAsia="de-DE"/>
        </w:rPr>
        <w:t xml:space="preserve">(„abwenden, wegwenden"), </w:t>
      </w:r>
      <w:r w:rsidRPr="00324616">
        <w:rPr>
          <w:rFonts w:eastAsia="Times New Roman"/>
          <w:b/>
          <w:bCs/>
          <w:rtl/>
          <w:lang w:eastAsia="de-DE"/>
        </w:rPr>
        <w:t>אֶת־בִּנְךָ</w:t>
      </w:r>
      <w:r w:rsidRPr="00324616">
        <w:rPr>
          <w:rFonts w:eastAsia="Times New Roman"/>
          <w:rtl/>
          <w:lang w:eastAsia="de-DE"/>
        </w:rPr>
        <w:t xml:space="preserve"> </w:t>
      </w:r>
      <w:r w:rsidRPr="00324616">
        <w:rPr>
          <w:rFonts w:eastAsia="Times New Roman"/>
          <w:lang w:eastAsia="de-DE"/>
        </w:rPr>
        <w:t>als direktes Objekt (</w:t>
      </w:r>
      <w:r w:rsidRPr="00324616">
        <w:rPr>
          <w:rFonts w:eastAsia="Times New Roman"/>
          <w:b/>
          <w:bCs/>
          <w:rtl/>
          <w:lang w:eastAsia="de-DE"/>
        </w:rPr>
        <w:t>בֵּן</w:t>
      </w:r>
      <w:r w:rsidRPr="00324616">
        <w:rPr>
          <w:rFonts w:eastAsia="Times New Roman"/>
          <w:rtl/>
          <w:lang w:eastAsia="de-DE"/>
        </w:rPr>
        <w:t xml:space="preserve"> </w:t>
      </w:r>
      <w:r w:rsidRPr="00324616">
        <w:rPr>
          <w:rFonts w:eastAsia="Times New Roman"/>
          <w:lang w:eastAsia="de-DE"/>
        </w:rPr>
        <w:t xml:space="preserve">mit Suffix 2. Person Singular maskulin), </w:t>
      </w:r>
      <w:r w:rsidRPr="00324616">
        <w:rPr>
          <w:rFonts w:eastAsia="Times New Roman"/>
          <w:b/>
          <w:bCs/>
          <w:rtl/>
          <w:lang w:eastAsia="de-DE"/>
        </w:rPr>
        <w:t>מֵאַחֲרַי</w:t>
      </w:r>
      <w:r w:rsidRPr="00324616">
        <w:rPr>
          <w:rFonts w:eastAsia="Times New Roman"/>
          <w:rtl/>
          <w:lang w:eastAsia="de-DE"/>
        </w:rPr>
        <w:t xml:space="preserve"> </w:t>
      </w:r>
      <w:r w:rsidRPr="00324616">
        <w:rPr>
          <w:rFonts w:eastAsia="Times New Roman"/>
          <w:lang w:eastAsia="de-DE"/>
        </w:rPr>
        <w:t>als Herkunftsangabe (</w:t>
      </w:r>
      <w:r w:rsidRPr="00324616">
        <w:rPr>
          <w:rFonts w:eastAsia="Times New Roman"/>
          <w:b/>
          <w:bCs/>
          <w:rtl/>
          <w:lang w:eastAsia="de-DE"/>
        </w:rPr>
        <w:t>מִן</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אַחֲרֵי</w:t>
      </w:r>
      <w:r w:rsidRPr="00324616">
        <w:rPr>
          <w:rFonts w:eastAsia="Times New Roman"/>
          <w:lang w:eastAsia="de-DE"/>
        </w:rPr>
        <w:t>, „hinter, nach", und Suffix 1. Person Singular – „von [hinter] mir weg"). Das Subjekt ist implizit aus V. 3: die kanaanitische Frau oder ihr Volk.</w:t>
      </w:r>
    </w:p>
    <w:p w14:paraId="148DF933"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rtl/>
          <w:lang w:eastAsia="de-DE"/>
        </w:rPr>
        <w:t>וְעָבְדוּ אֱלֹהִים אֲחֵרִים</w:t>
      </w:r>
      <w:r w:rsidRPr="00324616">
        <w:rPr>
          <w:rFonts w:eastAsia="Times New Roman"/>
          <w:rtl/>
          <w:lang w:eastAsia="de-DE"/>
        </w:rPr>
        <w:t xml:space="preserve"> </w:t>
      </w:r>
      <w:r w:rsidRPr="00324616">
        <w:rPr>
          <w:rFonts w:eastAsia="Times New Roman"/>
          <w:lang w:eastAsia="de-DE"/>
        </w:rPr>
        <w:t xml:space="preserve">ist koordiniert: </w:t>
      </w:r>
      <w:r w:rsidRPr="00324616">
        <w:rPr>
          <w:rFonts w:eastAsia="Times New Roman"/>
          <w:b/>
          <w:bCs/>
          <w:rtl/>
          <w:lang w:eastAsia="de-DE"/>
        </w:rPr>
        <w:t>וְעָבְדוּ</w:t>
      </w:r>
      <w:r w:rsidRPr="00324616">
        <w:rPr>
          <w:rFonts w:eastAsia="Times New Roman"/>
          <w:rtl/>
          <w:lang w:eastAsia="de-DE"/>
        </w:rPr>
        <w:t xml:space="preserve"> </w:t>
      </w:r>
      <w:r w:rsidRPr="00324616">
        <w:rPr>
          <w:rFonts w:eastAsia="Times New Roman"/>
          <w:lang w:eastAsia="de-DE"/>
        </w:rPr>
        <w:t xml:space="preserve">(Qal Perfekt consecutivum, 3. Person Plural von </w:t>
      </w:r>
      <w:r w:rsidRPr="00324616">
        <w:rPr>
          <w:rFonts w:eastAsia="Times New Roman"/>
          <w:b/>
          <w:bCs/>
          <w:rtl/>
          <w:lang w:eastAsia="de-DE"/>
        </w:rPr>
        <w:t>עבד</w:t>
      </w:r>
      <w:r w:rsidRPr="00324616">
        <w:rPr>
          <w:rFonts w:eastAsia="Times New Roman"/>
          <w:lang w:eastAsia="de-DE"/>
        </w:rPr>
        <w:t xml:space="preserve">, „dienen", mit </w:t>
      </w:r>
      <w:r w:rsidRPr="00324616">
        <w:rPr>
          <w:rFonts w:eastAsia="Times New Roman"/>
          <w:b/>
          <w:bCs/>
          <w:rtl/>
          <w:lang w:eastAsia="de-DE"/>
        </w:rPr>
        <w:t>וְ</w:t>
      </w:r>
      <w:r w:rsidRPr="00324616">
        <w:rPr>
          <w:rFonts w:eastAsia="Times New Roman"/>
          <w:lang w:eastAsia="de-DE"/>
        </w:rPr>
        <w:t xml:space="preserve">), </w:t>
      </w:r>
      <w:r w:rsidRPr="00324616">
        <w:rPr>
          <w:rFonts w:eastAsia="Times New Roman"/>
          <w:b/>
          <w:bCs/>
          <w:rtl/>
          <w:lang w:eastAsia="de-DE"/>
        </w:rPr>
        <w:t>אֱלֹהִים אֲחֵרִים</w:t>
      </w:r>
      <w:r w:rsidRPr="00324616">
        <w:rPr>
          <w:rFonts w:eastAsia="Times New Roman"/>
          <w:rtl/>
          <w:lang w:eastAsia="de-DE"/>
        </w:rPr>
        <w:t xml:space="preserve"> </w:t>
      </w:r>
      <w:r w:rsidRPr="00324616">
        <w:rPr>
          <w:rFonts w:eastAsia="Times New Roman"/>
          <w:lang w:eastAsia="de-DE"/>
        </w:rPr>
        <w:t xml:space="preserve">als direktes Objekt (Akkusativmarker fehlt – </w:t>
      </w:r>
      <w:r w:rsidRPr="00324616">
        <w:rPr>
          <w:rFonts w:eastAsia="Times New Roman"/>
          <w:b/>
          <w:bCs/>
          <w:rtl/>
          <w:lang w:eastAsia="de-DE"/>
        </w:rPr>
        <w:t>אֱלֹהִים</w:t>
      </w:r>
      <w:r w:rsidRPr="00324616">
        <w:rPr>
          <w:rFonts w:eastAsia="Times New Roman"/>
          <w:rtl/>
          <w:lang w:eastAsia="de-DE"/>
        </w:rPr>
        <w:t xml:space="preserve"> </w:t>
      </w:r>
      <w:r w:rsidRPr="00324616">
        <w:rPr>
          <w:rFonts w:eastAsia="Times New Roman"/>
          <w:lang w:eastAsia="de-DE"/>
        </w:rPr>
        <w:t xml:space="preserve">mit Adjektiv </w:t>
      </w:r>
      <w:r w:rsidRPr="00324616">
        <w:rPr>
          <w:rFonts w:eastAsia="Times New Roman"/>
          <w:b/>
          <w:bCs/>
          <w:rtl/>
          <w:lang w:eastAsia="de-DE"/>
        </w:rPr>
        <w:t>אֲחֵרִים</w:t>
      </w:r>
      <w:r w:rsidRPr="00324616">
        <w:rPr>
          <w:rFonts w:eastAsia="Times New Roman"/>
          <w:lang w:eastAsia="de-DE"/>
        </w:rPr>
        <w:t>, „andere", Plural maskulin).</w:t>
      </w:r>
    </w:p>
    <w:p w14:paraId="259DD1CD" w14:textId="25C7393A"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rtl/>
          <w:lang w:eastAsia="de-DE"/>
        </w:rPr>
        <w:t>וְחָרָה אַף־יְהוָה בָּכֶם</w:t>
      </w:r>
      <w:r w:rsidRPr="00324616">
        <w:rPr>
          <w:rFonts w:eastAsia="Times New Roman"/>
          <w:rtl/>
          <w:lang w:eastAsia="de-DE"/>
        </w:rPr>
        <w:t xml:space="preserve"> </w:t>
      </w:r>
      <w:r w:rsidRPr="00324616">
        <w:rPr>
          <w:rFonts w:eastAsia="Times New Roman"/>
          <w:lang w:eastAsia="de-DE"/>
        </w:rPr>
        <w:t xml:space="preserve">ist koordiniert: </w:t>
      </w:r>
      <w:r w:rsidRPr="00324616">
        <w:rPr>
          <w:rFonts w:eastAsia="Times New Roman"/>
          <w:b/>
          <w:bCs/>
          <w:rtl/>
          <w:lang w:eastAsia="de-DE"/>
        </w:rPr>
        <w:t>וְחָרָה</w:t>
      </w:r>
      <w:r w:rsidRPr="00324616">
        <w:rPr>
          <w:rFonts w:eastAsia="Times New Roman"/>
          <w:rtl/>
          <w:lang w:eastAsia="de-DE"/>
        </w:rPr>
        <w:t xml:space="preserve"> </w:t>
      </w:r>
      <w:r w:rsidRPr="00324616">
        <w:rPr>
          <w:rFonts w:eastAsia="Times New Roman"/>
          <w:lang w:eastAsia="de-DE"/>
        </w:rPr>
        <w:t xml:space="preserve">(Qal Perfekt consecutivum, 3. Person Singular maskulin von </w:t>
      </w:r>
      <w:r w:rsidRPr="00324616">
        <w:rPr>
          <w:rFonts w:eastAsia="Times New Roman"/>
          <w:b/>
          <w:bCs/>
          <w:rtl/>
          <w:lang w:eastAsia="de-DE"/>
        </w:rPr>
        <w:t>חרה</w:t>
      </w:r>
      <w:r w:rsidRPr="00324616">
        <w:rPr>
          <w:rFonts w:eastAsia="Times New Roman"/>
          <w:lang w:eastAsia="de-DE"/>
        </w:rPr>
        <w:t xml:space="preserve">, „brennen, entbrennen", mit </w:t>
      </w:r>
      <w:r w:rsidRPr="00324616">
        <w:rPr>
          <w:rFonts w:eastAsia="Times New Roman"/>
          <w:b/>
          <w:bCs/>
          <w:rtl/>
          <w:lang w:eastAsia="de-DE"/>
        </w:rPr>
        <w:t>וְ</w:t>
      </w:r>
      <w:r w:rsidRPr="00324616">
        <w:rPr>
          <w:rFonts w:eastAsia="Times New Roman"/>
          <w:lang w:eastAsia="de-DE"/>
        </w:rPr>
        <w:t xml:space="preserve">), </w:t>
      </w:r>
      <w:r w:rsidRPr="00324616">
        <w:rPr>
          <w:rFonts w:eastAsia="Times New Roman"/>
          <w:b/>
          <w:bCs/>
          <w:rtl/>
          <w:lang w:eastAsia="de-DE"/>
        </w:rPr>
        <w:t>אַף־יְהוָה</w:t>
      </w:r>
      <w:r w:rsidRPr="00324616">
        <w:rPr>
          <w:rFonts w:eastAsia="Times New Roman"/>
          <w:rtl/>
          <w:lang w:eastAsia="de-DE"/>
        </w:rPr>
        <w:t xml:space="preserve"> </w:t>
      </w:r>
      <w:r w:rsidRPr="00324616">
        <w:rPr>
          <w:rFonts w:eastAsia="Times New Roman"/>
          <w:lang w:eastAsia="de-DE"/>
        </w:rPr>
        <w:t>als Subjekt (</w:t>
      </w:r>
      <w:r w:rsidRPr="00324616">
        <w:rPr>
          <w:rFonts w:eastAsia="Times New Roman"/>
          <w:b/>
          <w:bCs/>
          <w:rtl/>
          <w:lang w:eastAsia="de-DE"/>
        </w:rPr>
        <w:t>אַף</w:t>
      </w:r>
      <w:r w:rsidRPr="00324616">
        <w:rPr>
          <w:rFonts w:eastAsia="Times New Roman"/>
          <w:lang w:eastAsia="de-DE"/>
        </w:rPr>
        <w:t xml:space="preserve">, „Zorn, Nase", im Construct mit </w:t>
      </w:r>
      <w:r w:rsidRPr="00324616">
        <w:rPr>
          <w:rFonts w:eastAsia="Times New Roman"/>
          <w:b/>
          <w:bCs/>
          <w:rtl/>
          <w:lang w:eastAsia="de-DE"/>
        </w:rPr>
        <w:t>יְהוָה</w:t>
      </w:r>
      <w:r w:rsidRPr="00324616">
        <w:rPr>
          <w:rFonts w:eastAsia="Times New Roman"/>
          <w:lang w:eastAsia="de-DE"/>
        </w:rPr>
        <w:t xml:space="preserve">, durch </w:t>
      </w:r>
      <w:r w:rsidR="00D84597">
        <w:rPr>
          <w:rFonts w:eastAsia="Times New Roman"/>
          <w:lang w:eastAsia="de-DE"/>
        </w:rPr>
        <w:t>Maqqef</w:t>
      </w:r>
      <w:r w:rsidRPr="00324616">
        <w:rPr>
          <w:rFonts w:eastAsia="Times New Roman"/>
          <w:lang w:eastAsia="de-DE"/>
        </w:rPr>
        <w:t xml:space="preserve"> verbunden – „der Zorn JHWHs"), </w:t>
      </w:r>
      <w:r w:rsidRPr="00324616">
        <w:rPr>
          <w:rFonts w:eastAsia="Times New Roman"/>
          <w:b/>
          <w:bCs/>
          <w:rtl/>
          <w:lang w:eastAsia="de-DE"/>
        </w:rPr>
        <w:t>בָּכֶם</w:t>
      </w:r>
      <w:r w:rsidRPr="00324616">
        <w:rPr>
          <w:rFonts w:eastAsia="Times New Roman"/>
          <w:rtl/>
          <w:lang w:eastAsia="de-DE"/>
        </w:rPr>
        <w:t xml:space="preserve"> </w:t>
      </w:r>
      <w:r w:rsidRPr="00324616">
        <w:rPr>
          <w:rFonts w:eastAsia="Times New Roman"/>
          <w:lang w:eastAsia="de-DE"/>
        </w:rPr>
        <w:t>als Richtungsangabe (</w:t>
      </w:r>
      <w:r w:rsidRPr="00324616">
        <w:rPr>
          <w:rFonts w:eastAsia="Times New Roman"/>
          <w:b/>
          <w:bCs/>
          <w:rtl/>
          <w:lang w:eastAsia="de-DE"/>
        </w:rPr>
        <w:t>בְּ</w:t>
      </w:r>
      <w:r w:rsidRPr="00324616">
        <w:rPr>
          <w:rFonts w:eastAsia="Times New Roman"/>
          <w:rtl/>
          <w:lang w:eastAsia="de-DE"/>
        </w:rPr>
        <w:t xml:space="preserve"> </w:t>
      </w:r>
      <w:r w:rsidRPr="00324616">
        <w:rPr>
          <w:rFonts w:eastAsia="Times New Roman"/>
          <w:lang w:eastAsia="de-DE"/>
        </w:rPr>
        <w:t xml:space="preserve">mit Suffix 2. Person Plural maskulin – „gegen euch"). </w:t>
      </w:r>
      <w:r w:rsidRPr="00324616">
        <w:rPr>
          <w:rFonts w:eastAsia="Times New Roman"/>
          <w:b/>
          <w:bCs/>
          <w:rtl/>
          <w:lang w:eastAsia="de-DE"/>
        </w:rPr>
        <w:t>וְהִשְׁמִידְךָ מַהֵר</w:t>
      </w:r>
      <w:r w:rsidRPr="00324616">
        <w:rPr>
          <w:rFonts w:eastAsia="Times New Roman"/>
          <w:rtl/>
          <w:lang w:eastAsia="de-DE"/>
        </w:rPr>
        <w:t xml:space="preserve"> </w:t>
      </w:r>
      <w:r w:rsidRPr="00324616">
        <w:rPr>
          <w:rFonts w:eastAsia="Times New Roman"/>
          <w:lang w:eastAsia="de-DE"/>
        </w:rPr>
        <w:t xml:space="preserve">ist koordiniert: </w:t>
      </w:r>
      <w:r w:rsidRPr="00324616">
        <w:rPr>
          <w:rFonts w:eastAsia="Times New Roman"/>
          <w:b/>
          <w:bCs/>
          <w:rtl/>
          <w:lang w:eastAsia="de-DE"/>
        </w:rPr>
        <w:t>וְהִשְׁמִידְךָ</w:t>
      </w:r>
      <w:r w:rsidRPr="00324616">
        <w:rPr>
          <w:rFonts w:eastAsia="Times New Roman"/>
          <w:rtl/>
          <w:lang w:eastAsia="de-DE"/>
        </w:rPr>
        <w:t xml:space="preserve"> </w:t>
      </w:r>
      <w:r w:rsidRPr="00324616">
        <w:rPr>
          <w:rFonts w:eastAsia="Times New Roman"/>
          <w:lang w:eastAsia="de-DE"/>
        </w:rPr>
        <w:t xml:space="preserve">(Hifil Perfekt consecutivum, 3. Person Singular maskulin von </w:t>
      </w:r>
      <w:r w:rsidRPr="00324616">
        <w:rPr>
          <w:rFonts w:eastAsia="Times New Roman"/>
          <w:b/>
          <w:bCs/>
          <w:rtl/>
          <w:lang w:eastAsia="de-DE"/>
        </w:rPr>
        <w:t>שׁמד</w:t>
      </w:r>
      <w:r w:rsidRPr="00324616">
        <w:rPr>
          <w:rFonts w:eastAsia="Times New Roman"/>
          <w:lang w:eastAsia="de-DE"/>
        </w:rPr>
        <w:t xml:space="preserve">, „vernichten, vertilgen", mit </w:t>
      </w:r>
      <w:r w:rsidRPr="00324616">
        <w:rPr>
          <w:rFonts w:eastAsia="Times New Roman"/>
          <w:b/>
          <w:bCs/>
          <w:rtl/>
          <w:lang w:eastAsia="de-DE"/>
        </w:rPr>
        <w:t>וְ</w:t>
      </w:r>
      <w:r w:rsidRPr="00324616">
        <w:rPr>
          <w:rFonts w:eastAsia="Times New Roman"/>
          <w:rtl/>
          <w:lang w:eastAsia="de-DE"/>
        </w:rPr>
        <w:t xml:space="preserve"> </w:t>
      </w:r>
      <w:r w:rsidRPr="00324616">
        <w:rPr>
          <w:rFonts w:eastAsia="Times New Roman"/>
          <w:lang w:eastAsia="de-DE"/>
        </w:rPr>
        <w:t xml:space="preserve">und Suffix 2. Person Singular maskulin), </w:t>
      </w:r>
      <w:r w:rsidRPr="00324616">
        <w:rPr>
          <w:rFonts w:eastAsia="Times New Roman"/>
          <w:b/>
          <w:bCs/>
          <w:rtl/>
          <w:lang w:eastAsia="de-DE"/>
        </w:rPr>
        <w:t>מַהֵר</w:t>
      </w:r>
      <w:r w:rsidRPr="00324616">
        <w:rPr>
          <w:rFonts w:eastAsia="Times New Roman"/>
          <w:rtl/>
          <w:lang w:eastAsia="de-DE"/>
        </w:rPr>
        <w:t xml:space="preserve"> </w:t>
      </w:r>
      <w:r w:rsidRPr="00324616">
        <w:rPr>
          <w:rFonts w:eastAsia="Times New Roman"/>
          <w:lang w:eastAsia="de-DE"/>
        </w:rPr>
        <w:t>als Adverb („schnell, rasch").</w:t>
      </w:r>
    </w:p>
    <w:p w14:paraId="328668C2"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Die Begründung für das Mischeheverbot ist religiös: Es führt zum Abfall von JHWH und zur Verehrung fremder Götter, was göttlichen Zorn und Vernichtung nach sich zieht. Der Wechsel von Plural (</w:t>
      </w:r>
      <w:r w:rsidRPr="00324616">
        <w:rPr>
          <w:rFonts w:eastAsia="Times New Roman"/>
          <w:b/>
          <w:bCs/>
          <w:rtl/>
          <w:lang w:eastAsia="de-DE"/>
        </w:rPr>
        <w:t>בָּכֶם</w:t>
      </w:r>
      <w:r w:rsidRPr="00324616">
        <w:rPr>
          <w:rFonts w:eastAsia="Times New Roman"/>
          <w:lang w:eastAsia="de-DE"/>
        </w:rPr>
        <w:t>, „gegen euch") zu Singular (</w:t>
      </w:r>
      <w:r w:rsidRPr="00324616">
        <w:rPr>
          <w:rFonts w:eastAsia="Times New Roman"/>
          <w:b/>
          <w:bCs/>
          <w:rtl/>
          <w:lang w:eastAsia="de-DE"/>
        </w:rPr>
        <w:t>וְהִשְׁמִידְךָ</w:t>
      </w:r>
      <w:r w:rsidRPr="00324616">
        <w:rPr>
          <w:rFonts w:eastAsia="Times New Roman"/>
          <w:lang w:eastAsia="de-DE"/>
        </w:rPr>
        <w:t xml:space="preserve">, „dich") ist charakteristisch deuteronomisch. Die Wendung </w:t>
      </w:r>
      <w:r w:rsidRPr="00324616">
        <w:rPr>
          <w:rFonts w:eastAsia="Times New Roman"/>
          <w:b/>
          <w:bCs/>
          <w:rtl/>
          <w:lang w:eastAsia="de-DE"/>
        </w:rPr>
        <w:t>חרה אַף</w:t>
      </w:r>
      <w:r w:rsidRPr="00324616">
        <w:rPr>
          <w:rFonts w:eastAsia="Times New Roman"/>
          <w:rtl/>
          <w:lang w:eastAsia="de-DE"/>
        </w:rPr>
        <w:t xml:space="preserve"> </w:t>
      </w:r>
      <w:r w:rsidRPr="00324616">
        <w:rPr>
          <w:rFonts w:eastAsia="Times New Roman"/>
          <w:lang w:eastAsia="de-DE"/>
        </w:rPr>
        <w:t>(„der Zorn entbrennt") ist eine feststehende Formel (vgl. 6,15; 11,17; 29,26; 31,17).</w:t>
      </w:r>
    </w:p>
    <w:p w14:paraId="696DB8A9"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 xml:space="preserve">Die Satzstruktur ist ein kausaler Satz mit Prädikat, direktem Objekt und Herkunftsangabe, gefolgt von drei koordinierten Perfekt-consecutivum-Sätzen (der erste mit direktem Objekt </w:t>
      </w:r>
      <w:r w:rsidRPr="00324616">
        <w:rPr>
          <w:rFonts w:eastAsia="Times New Roman"/>
          <w:lang w:eastAsia="de-DE"/>
        </w:rPr>
        <w:lastRenderedPageBreak/>
        <w:t>ohne Akkusativmarker, der zweite mit Subjekt in Construct-Verbindung und Richtungsangabe, der dritte mit Suffix-Objekt und Adverb). Die Kausalkette zeigt: Mischehe → Abfall → Zorn → Vernichtung.</w:t>
      </w:r>
    </w:p>
    <w:p w14:paraId="31521199"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Der Vers begründet das Mischeheverbot: Die fremde Frau wird den israelitischen Sohn von JHWH abwenden, es kommt zum Götzendienst, JHWHs Zorn entbrennt und Israel wird schnell vernichtet – eine drastische Warnung.</w:t>
      </w:r>
    </w:p>
    <w:p w14:paraId="3479EB22" w14:textId="77777777" w:rsidR="00324616" w:rsidRPr="00324616" w:rsidRDefault="00324616" w:rsidP="00324616">
      <w:pPr>
        <w:spacing w:before="100" w:beforeAutospacing="1" w:after="100" w:afterAutospacing="1" w:line="240" w:lineRule="auto"/>
        <w:outlineLvl w:val="1"/>
        <w:rPr>
          <w:rFonts w:eastAsia="Times New Roman"/>
          <w:b/>
          <w:bCs/>
          <w:sz w:val="36"/>
          <w:szCs w:val="36"/>
          <w:lang w:eastAsia="de-DE"/>
        </w:rPr>
      </w:pPr>
      <w:r w:rsidRPr="00324616">
        <w:rPr>
          <w:rFonts w:eastAsia="Times New Roman"/>
          <w:b/>
          <w:bCs/>
          <w:sz w:val="36"/>
          <w:szCs w:val="36"/>
          <w:lang w:eastAsia="de-DE"/>
        </w:rPr>
        <w:t>Deuteronomium 7,5</w:t>
      </w:r>
    </w:p>
    <w:p w14:paraId="443E34F1"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Hebräisch:</w:t>
      </w:r>
      <w:r w:rsidRPr="00324616">
        <w:rPr>
          <w:rFonts w:eastAsia="Times New Roman"/>
          <w:lang w:eastAsia="de-DE"/>
        </w:rPr>
        <w:t xml:space="preserve"> </w:t>
      </w:r>
      <w:r w:rsidRPr="00324616">
        <w:rPr>
          <w:rFonts w:eastAsia="Times New Roman"/>
          <w:rtl/>
          <w:lang w:eastAsia="de-DE"/>
        </w:rPr>
        <w:t>כִּי־אִם־כֹּה תַעֲשׂוּ לָהֶם מִזְבְּחֹתֵיהֶם תִּתֹּצוּ וּמַצֵּבֹתָם תְּשַׁבֵּרוּ וַאֲשֵׁירֵהֶם תְּגַדֵּעוּן וּפְסִילֵיהֶם תִּשְׂרְפוּן בָּאֵשׁ׃</w:t>
      </w:r>
    </w:p>
    <w:p w14:paraId="2181E73B"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Deutsch:</w:t>
      </w:r>
      <w:r w:rsidRPr="00324616">
        <w:rPr>
          <w:rFonts w:eastAsia="Times New Roman"/>
          <w:lang w:eastAsia="de-DE"/>
        </w:rPr>
        <w:t xml:space="preserve"> Sondern so sollt ihr mit ihnen tun: Ihre Altäre sollt ihr niederreißen und ihre Gedenksteine zerbrechen und ihre Ascherim umhauen und ihre geschnitzten Bilder mit Feuer verbrennen.</w:t>
      </w:r>
    </w:p>
    <w:p w14:paraId="0F908892" w14:textId="77777777" w:rsidR="00324616" w:rsidRPr="00324616" w:rsidRDefault="004F5CEB" w:rsidP="00324616">
      <w:pPr>
        <w:spacing w:after="0" w:line="240" w:lineRule="auto"/>
        <w:rPr>
          <w:rFonts w:eastAsia="Times New Roman"/>
          <w:lang w:eastAsia="de-DE"/>
        </w:rPr>
      </w:pPr>
      <w:r>
        <w:rPr>
          <w:rFonts w:eastAsia="Times New Roman"/>
          <w:noProof/>
          <w:lang w:eastAsia="de-DE"/>
        </w:rPr>
        <w:pict w14:anchorId="4ACE6151">
          <v:rect id="_x0000_i1248" style="width:0;height:1.5pt" o:hralign="center" o:hrstd="t" o:hr="t" fillcolor="#a0a0a0" stroked="f"/>
        </w:pict>
      </w:r>
    </w:p>
    <w:p w14:paraId="36D3FD1D"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Kommentar:</w:t>
      </w:r>
      <w:r w:rsidRPr="00324616">
        <w:rPr>
          <w:rFonts w:eastAsia="Times New Roman"/>
          <w:lang w:eastAsia="de-DE"/>
        </w:rPr>
        <w:t xml:space="preserve"> </w:t>
      </w:r>
      <w:r w:rsidRPr="00324616">
        <w:rPr>
          <w:rFonts w:eastAsia="Times New Roman"/>
          <w:b/>
          <w:bCs/>
          <w:rtl/>
          <w:lang w:eastAsia="de-DE"/>
        </w:rPr>
        <w:t>כִּי־אִם־כֹּה תַעֲשׂוּ לָהֶם</w:t>
      </w:r>
      <w:r w:rsidRPr="00324616">
        <w:rPr>
          <w:rFonts w:eastAsia="Times New Roman"/>
          <w:rtl/>
          <w:lang w:eastAsia="de-DE"/>
        </w:rPr>
        <w:t xml:space="preserve"> </w:t>
      </w:r>
      <w:r w:rsidRPr="00324616">
        <w:rPr>
          <w:rFonts w:eastAsia="Times New Roman"/>
          <w:lang w:eastAsia="de-DE"/>
        </w:rPr>
        <w:t xml:space="preserve">ist eine adversative Einleitung: </w:t>
      </w:r>
      <w:r w:rsidRPr="00324616">
        <w:rPr>
          <w:rFonts w:eastAsia="Times New Roman"/>
          <w:b/>
          <w:bCs/>
          <w:rtl/>
          <w:lang w:eastAsia="de-DE"/>
        </w:rPr>
        <w:t>כִּי־אִם</w:t>
      </w:r>
      <w:r w:rsidRPr="00324616">
        <w:rPr>
          <w:rFonts w:eastAsia="Times New Roman"/>
          <w:rtl/>
          <w:lang w:eastAsia="de-DE"/>
        </w:rPr>
        <w:t xml:space="preserve"> </w:t>
      </w:r>
      <w:r w:rsidRPr="00324616">
        <w:rPr>
          <w:rFonts w:eastAsia="Times New Roman"/>
          <w:lang w:eastAsia="de-DE"/>
        </w:rPr>
        <w:t xml:space="preserve">als adversative Wendung („sondern, vielmehr"), </w:t>
      </w:r>
      <w:r w:rsidRPr="00324616">
        <w:rPr>
          <w:rFonts w:eastAsia="Times New Roman"/>
          <w:b/>
          <w:bCs/>
          <w:rtl/>
          <w:lang w:eastAsia="de-DE"/>
        </w:rPr>
        <w:t>כֹּה</w:t>
      </w:r>
      <w:r w:rsidRPr="00324616">
        <w:rPr>
          <w:rFonts w:eastAsia="Times New Roman"/>
          <w:rtl/>
          <w:lang w:eastAsia="de-DE"/>
        </w:rPr>
        <w:t xml:space="preserve"> </w:t>
      </w:r>
      <w:r w:rsidRPr="00324616">
        <w:rPr>
          <w:rFonts w:eastAsia="Times New Roman"/>
          <w:lang w:eastAsia="de-DE"/>
        </w:rPr>
        <w:t xml:space="preserve">als Adverb („so"), </w:t>
      </w:r>
      <w:r w:rsidRPr="00324616">
        <w:rPr>
          <w:rFonts w:eastAsia="Times New Roman"/>
          <w:b/>
          <w:bCs/>
          <w:rtl/>
          <w:lang w:eastAsia="de-DE"/>
        </w:rPr>
        <w:t>תַעֲשׂוּ</w:t>
      </w:r>
      <w:r w:rsidRPr="00324616">
        <w:rPr>
          <w:rFonts w:eastAsia="Times New Roman"/>
          <w:rtl/>
          <w:lang w:eastAsia="de-DE"/>
        </w:rPr>
        <w:t xml:space="preserve"> </w:t>
      </w:r>
      <w:r w:rsidRPr="00324616">
        <w:rPr>
          <w:rFonts w:eastAsia="Times New Roman"/>
          <w:lang w:eastAsia="de-DE"/>
        </w:rPr>
        <w:t xml:space="preserve">als Qal Imperfekt, 2. Person Plural maskulin von </w:t>
      </w:r>
      <w:r w:rsidRPr="00324616">
        <w:rPr>
          <w:rFonts w:eastAsia="Times New Roman"/>
          <w:b/>
          <w:bCs/>
          <w:rtl/>
          <w:lang w:eastAsia="de-DE"/>
        </w:rPr>
        <w:t>עשׂה</w:t>
      </w:r>
      <w:r w:rsidRPr="00324616">
        <w:rPr>
          <w:rFonts w:eastAsia="Times New Roman"/>
          <w:rtl/>
          <w:lang w:eastAsia="de-DE"/>
        </w:rPr>
        <w:t xml:space="preserve"> </w:t>
      </w:r>
      <w:r w:rsidRPr="00324616">
        <w:rPr>
          <w:rFonts w:eastAsia="Times New Roman"/>
          <w:lang w:eastAsia="de-DE"/>
        </w:rPr>
        <w:t xml:space="preserve">(„tun"), </w:t>
      </w:r>
      <w:r w:rsidRPr="00324616">
        <w:rPr>
          <w:rFonts w:eastAsia="Times New Roman"/>
          <w:b/>
          <w:bCs/>
          <w:rtl/>
          <w:lang w:eastAsia="de-DE"/>
        </w:rPr>
        <w:t>לָהֶם</w:t>
      </w:r>
      <w:r w:rsidRPr="00324616">
        <w:rPr>
          <w:rFonts w:eastAsia="Times New Roman"/>
          <w:rtl/>
          <w:lang w:eastAsia="de-DE"/>
        </w:rPr>
        <w:t xml:space="preserve"> </w:t>
      </w:r>
      <w:r w:rsidRPr="00324616">
        <w:rPr>
          <w:rFonts w:eastAsia="Times New Roman"/>
          <w:lang w:eastAsia="de-DE"/>
        </w:rPr>
        <w:t>als indirektes Objekt (</w:t>
      </w:r>
      <w:r w:rsidRPr="00324616">
        <w:rPr>
          <w:rFonts w:eastAsia="Times New Roman"/>
          <w:b/>
          <w:bCs/>
          <w:rtl/>
          <w:lang w:eastAsia="de-DE"/>
        </w:rPr>
        <w:t>לְ</w:t>
      </w:r>
      <w:r w:rsidRPr="00324616">
        <w:rPr>
          <w:rFonts w:eastAsia="Times New Roman"/>
          <w:rtl/>
          <w:lang w:eastAsia="de-DE"/>
        </w:rPr>
        <w:t xml:space="preserve"> </w:t>
      </w:r>
      <w:r w:rsidRPr="00324616">
        <w:rPr>
          <w:rFonts w:eastAsia="Times New Roman"/>
          <w:lang w:eastAsia="de-DE"/>
        </w:rPr>
        <w:t>mit Suffix 3. Person Plural maskulin – „mit ihnen, ihnen").</w:t>
      </w:r>
    </w:p>
    <w:p w14:paraId="7DA22496"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rtl/>
          <w:lang w:eastAsia="de-DE"/>
        </w:rPr>
        <w:t>מִזְבְּחֹתֵיהֶם תִּתֹּצוּ וּמַצֵּבֹתָם תְּשַׁבֵּרוּ וַאֲשֵׁירֵהֶם תְּגַדֵּעוּן וּפְסִילֵיהֶם תִּשְׂרְפוּן בָּאֵשׁ</w:t>
      </w:r>
      <w:r w:rsidRPr="00324616">
        <w:rPr>
          <w:rFonts w:eastAsia="Times New Roman"/>
          <w:rtl/>
          <w:lang w:eastAsia="de-DE"/>
        </w:rPr>
        <w:t xml:space="preserve"> </w:t>
      </w:r>
      <w:r w:rsidRPr="00324616">
        <w:rPr>
          <w:rFonts w:eastAsia="Times New Roman"/>
          <w:lang w:eastAsia="de-DE"/>
        </w:rPr>
        <w:t xml:space="preserve">ist eine viergliedrige koordinierte Aufzählung kultischer Zerstörungsgebote: </w:t>
      </w:r>
      <w:r w:rsidRPr="00324616">
        <w:rPr>
          <w:rFonts w:eastAsia="Times New Roman"/>
          <w:b/>
          <w:bCs/>
          <w:rtl/>
          <w:lang w:eastAsia="de-DE"/>
        </w:rPr>
        <w:t>מִזְבְּחֹתֵיהֶם תִּתֹּצוּ</w:t>
      </w:r>
      <w:r w:rsidRPr="00324616">
        <w:rPr>
          <w:rFonts w:eastAsia="Times New Roman"/>
          <w:rtl/>
          <w:lang w:eastAsia="de-DE"/>
        </w:rPr>
        <w:t xml:space="preserve"> </w:t>
      </w:r>
      <w:r w:rsidRPr="00324616">
        <w:rPr>
          <w:rFonts w:eastAsia="Times New Roman"/>
          <w:lang w:eastAsia="de-DE"/>
        </w:rPr>
        <w:t>(</w:t>
      </w:r>
      <w:r w:rsidRPr="00324616">
        <w:rPr>
          <w:rFonts w:eastAsia="Times New Roman"/>
          <w:b/>
          <w:bCs/>
          <w:rtl/>
          <w:lang w:eastAsia="de-DE"/>
        </w:rPr>
        <w:t>מִזְבֵּחַ</w:t>
      </w:r>
      <w:r w:rsidRPr="00324616">
        <w:rPr>
          <w:rFonts w:eastAsia="Times New Roman"/>
          <w:lang w:eastAsia="de-DE"/>
        </w:rPr>
        <w:t xml:space="preserve">, „Altar", Plural Construct mit Suffix 3. Person Plural maskulin, als vorausgestelltes direktes Objekt, </w:t>
      </w:r>
      <w:r w:rsidRPr="00324616">
        <w:rPr>
          <w:rFonts w:eastAsia="Times New Roman"/>
          <w:b/>
          <w:bCs/>
          <w:rtl/>
          <w:lang w:eastAsia="de-DE"/>
        </w:rPr>
        <w:t>תִּתֹּצוּ</w:t>
      </w:r>
      <w:r w:rsidRPr="00324616">
        <w:rPr>
          <w:rFonts w:eastAsia="Times New Roman"/>
          <w:rtl/>
          <w:lang w:eastAsia="de-DE"/>
        </w:rPr>
        <w:t xml:space="preserve"> </w:t>
      </w:r>
      <w:r w:rsidRPr="00324616">
        <w:rPr>
          <w:rFonts w:eastAsia="Times New Roman"/>
          <w:lang w:eastAsia="de-DE"/>
        </w:rPr>
        <w:t xml:space="preserve">als Qal Imperfekt, 2. Person Plural maskulin von </w:t>
      </w:r>
      <w:r w:rsidRPr="00324616">
        <w:rPr>
          <w:rFonts w:eastAsia="Times New Roman"/>
          <w:b/>
          <w:bCs/>
          <w:rtl/>
          <w:lang w:eastAsia="de-DE"/>
        </w:rPr>
        <w:t>נתץ</w:t>
      </w:r>
      <w:r w:rsidRPr="00324616">
        <w:rPr>
          <w:rFonts w:eastAsia="Times New Roman"/>
          <w:lang w:eastAsia="de-DE"/>
        </w:rPr>
        <w:t xml:space="preserve">, „niederreißen, einreißen"), </w:t>
      </w:r>
      <w:r w:rsidRPr="00324616">
        <w:rPr>
          <w:rFonts w:eastAsia="Times New Roman"/>
          <w:b/>
          <w:bCs/>
          <w:rtl/>
          <w:lang w:eastAsia="de-DE"/>
        </w:rPr>
        <w:t>וּמַצֵּבֹתָם תְּשַׁבֵּרוּ</w:t>
      </w:r>
      <w:r w:rsidRPr="00324616">
        <w:rPr>
          <w:rFonts w:eastAsia="Times New Roman"/>
          <w:rtl/>
          <w:lang w:eastAsia="de-DE"/>
        </w:rPr>
        <w:t xml:space="preserve"> </w:t>
      </w:r>
      <w:r w:rsidRPr="00324616">
        <w:rPr>
          <w:rFonts w:eastAsia="Times New Roman"/>
          <w:lang w:eastAsia="de-DE"/>
        </w:rPr>
        <w:t>koordiniert (</w:t>
      </w:r>
      <w:r w:rsidRPr="00324616">
        <w:rPr>
          <w:rFonts w:eastAsia="Times New Roman"/>
          <w:b/>
          <w:bCs/>
          <w:rtl/>
          <w:lang w:eastAsia="de-DE"/>
        </w:rPr>
        <w:t>מַצֵּבָה</w:t>
      </w:r>
      <w:r w:rsidRPr="00324616">
        <w:rPr>
          <w:rFonts w:eastAsia="Times New Roman"/>
          <w:lang w:eastAsia="de-DE"/>
        </w:rPr>
        <w:t xml:space="preserve">, „Gedenkstein, Steinsäule", Plural mit Suffix, </w:t>
      </w:r>
      <w:r w:rsidRPr="00324616">
        <w:rPr>
          <w:rFonts w:eastAsia="Times New Roman"/>
          <w:b/>
          <w:bCs/>
          <w:rtl/>
          <w:lang w:eastAsia="de-DE"/>
        </w:rPr>
        <w:t>תְּשַׁבֵּרוּ</w:t>
      </w:r>
      <w:r w:rsidRPr="00324616">
        <w:rPr>
          <w:rFonts w:eastAsia="Times New Roman"/>
          <w:rtl/>
          <w:lang w:eastAsia="de-DE"/>
        </w:rPr>
        <w:t xml:space="preserve"> </w:t>
      </w:r>
      <w:r w:rsidRPr="00324616">
        <w:rPr>
          <w:rFonts w:eastAsia="Times New Roman"/>
          <w:lang w:eastAsia="de-DE"/>
        </w:rPr>
        <w:t xml:space="preserve">als Piel Imperfekt, 2. Person Plural maskulin von </w:t>
      </w:r>
      <w:r w:rsidRPr="00324616">
        <w:rPr>
          <w:rFonts w:eastAsia="Times New Roman"/>
          <w:b/>
          <w:bCs/>
          <w:rtl/>
          <w:lang w:eastAsia="de-DE"/>
        </w:rPr>
        <w:t>שׁבר</w:t>
      </w:r>
      <w:r w:rsidRPr="00324616">
        <w:rPr>
          <w:rFonts w:eastAsia="Times New Roman"/>
          <w:lang w:eastAsia="de-DE"/>
        </w:rPr>
        <w:t xml:space="preserve">, „zerbrechen"), </w:t>
      </w:r>
      <w:r w:rsidRPr="00324616">
        <w:rPr>
          <w:rFonts w:eastAsia="Times New Roman"/>
          <w:b/>
          <w:bCs/>
          <w:rtl/>
          <w:lang w:eastAsia="de-DE"/>
        </w:rPr>
        <w:t>וַאֲשֵׁירֵהֶם תְּגַדֵּעוּן</w:t>
      </w:r>
      <w:r w:rsidRPr="00324616">
        <w:rPr>
          <w:rFonts w:eastAsia="Times New Roman"/>
          <w:rtl/>
          <w:lang w:eastAsia="de-DE"/>
        </w:rPr>
        <w:t xml:space="preserve"> </w:t>
      </w:r>
      <w:r w:rsidRPr="00324616">
        <w:rPr>
          <w:rFonts w:eastAsia="Times New Roman"/>
          <w:lang w:eastAsia="de-DE"/>
        </w:rPr>
        <w:t>koordiniert (</w:t>
      </w:r>
      <w:r w:rsidRPr="00324616">
        <w:rPr>
          <w:rFonts w:eastAsia="Times New Roman"/>
          <w:b/>
          <w:bCs/>
          <w:rtl/>
          <w:lang w:eastAsia="de-DE"/>
        </w:rPr>
        <w:t>אֲשֵׁרָה</w:t>
      </w:r>
      <w:r w:rsidRPr="00324616">
        <w:rPr>
          <w:rFonts w:eastAsia="Times New Roman"/>
          <w:lang w:eastAsia="de-DE"/>
        </w:rPr>
        <w:t xml:space="preserve">, „Aschera" [Kultpfahl oder heiliger Baum], Plural mit Suffix, </w:t>
      </w:r>
      <w:r w:rsidRPr="00324616">
        <w:rPr>
          <w:rFonts w:eastAsia="Times New Roman"/>
          <w:b/>
          <w:bCs/>
          <w:rtl/>
          <w:lang w:eastAsia="de-DE"/>
        </w:rPr>
        <w:t>תְּגַדֵּעוּן</w:t>
      </w:r>
      <w:r w:rsidRPr="00324616">
        <w:rPr>
          <w:rFonts w:eastAsia="Times New Roman"/>
          <w:rtl/>
          <w:lang w:eastAsia="de-DE"/>
        </w:rPr>
        <w:t xml:space="preserve"> </w:t>
      </w:r>
      <w:r w:rsidRPr="00324616">
        <w:rPr>
          <w:rFonts w:eastAsia="Times New Roman"/>
          <w:lang w:eastAsia="de-DE"/>
        </w:rPr>
        <w:t xml:space="preserve">als Piel Imperfekt, 2. Person Plural maskulin von </w:t>
      </w:r>
      <w:r w:rsidRPr="00324616">
        <w:rPr>
          <w:rFonts w:eastAsia="Times New Roman"/>
          <w:b/>
          <w:bCs/>
          <w:rtl/>
          <w:lang w:eastAsia="de-DE"/>
        </w:rPr>
        <w:t>גדע</w:t>
      </w:r>
      <w:r w:rsidRPr="00324616">
        <w:rPr>
          <w:rFonts w:eastAsia="Times New Roman"/>
          <w:lang w:eastAsia="de-DE"/>
        </w:rPr>
        <w:t xml:space="preserve">, „abhauen, umhauen", mit paragogischem Nun), </w:t>
      </w:r>
      <w:r w:rsidRPr="00324616">
        <w:rPr>
          <w:rFonts w:eastAsia="Times New Roman"/>
          <w:b/>
          <w:bCs/>
          <w:rtl/>
          <w:lang w:eastAsia="de-DE"/>
        </w:rPr>
        <w:t>וּפְסִילֵיהֶם תִּשְׂרְפוּן בָּאֵשׁ</w:t>
      </w:r>
      <w:r w:rsidRPr="00324616">
        <w:rPr>
          <w:rFonts w:eastAsia="Times New Roman"/>
          <w:rtl/>
          <w:lang w:eastAsia="de-DE"/>
        </w:rPr>
        <w:t xml:space="preserve"> </w:t>
      </w:r>
      <w:r w:rsidRPr="00324616">
        <w:rPr>
          <w:rFonts w:eastAsia="Times New Roman"/>
          <w:lang w:eastAsia="de-DE"/>
        </w:rPr>
        <w:t>koordiniert (</w:t>
      </w:r>
      <w:r w:rsidRPr="00324616">
        <w:rPr>
          <w:rFonts w:eastAsia="Times New Roman"/>
          <w:b/>
          <w:bCs/>
          <w:rtl/>
          <w:lang w:eastAsia="de-DE"/>
        </w:rPr>
        <w:t>פֶּסֶל</w:t>
      </w:r>
      <w:r w:rsidRPr="00324616">
        <w:rPr>
          <w:rFonts w:eastAsia="Times New Roman"/>
          <w:lang w:eastAsia="de-DE"/>
        </w:rPr>
        <w:t xml:space="preserve">, „geschnitztes Bild, Götzenbild", Plural mit Suffix, </w:t>
      </w:r>
      <w:r w:rsidRPr="00324616">
        <w:rPr>
          <w:rFonts w:eastAsia="Times New Roman"/>
          <w:b/>
          <w:bCs/>
          <w:rtl/>
          <w:lang w:eastAsia="de-DE"/>
        </w:rPr>
        <w:t>תִּשְׂרְפוּן</w:t>
      </w:r>
      <w:r w:rsidRPr="00324616">
        <w:rPr>
          <w:rFonts w:eastAsia="Times New Roman"/>
          <w:rtl/>
          <w:lang w:eastAsia="de-DE"/>
        </w:rPr>
        <w:t xml:space="preserve"> </w:t>
      </w:r>
      <w:r w:rsidRPr="00324616">
        <w:rPr>
          <w:rFonts w:eastAsia="Times New Roman"/>
          <w:lang w:eastAsia="de-DE"/>
        </w:rPr>
        <w:t xml:space="preserve">als Qal Imperfekt, 2. Person Plural maskulin von </w:t>
      </w:r>
      <w:r w:rsidRPr="00324616">
        <w:rPr>
          <w:rFonts w:eastAsia="Times New Roman"/>
          <w:b/>
          <w:bCs/>
          <w:rtl/>
          <w:lang w:eastAsia="de-DE"/>
        </w:rPr>
        <w:t>שׂרף</w:t>
      </w:r>
      <w:r w:rsidRPr="00324616">
        <w:rPr>
          <w:rFonts w:eastAsia="Times New Roman"/>
          <w:lang w:eastAsia="de-DE"/>
        </w:rPr>
        <w:t xml:space="preserve">, „verbrennen", mit paragogischem Nun, </w:t>
      </w:r>
      <w:r w:rsidRPr="00324616">
        <w:rPr>
          <w:rFonts w:eastAsia="Times New Roman"/>
          <w:b/>
          <w:bCs/>
          <w:rtl/>
          <w:lang w:eastAsia="de-DE"/>
        </w:rPr>
        <w:t>בָּאֵשׁ</w:t>
      </w:r>
      <w:r w:rsidRPr="00324616">
        <w:rPr>
          <w:rFonts w:eastAsia="Times New Roman"/>
          <w:rtl/>
          <w:lang w:eastAsia="de-DE"/>
        </w:rPr>
        <w:t xml:space="preserve"> </w:t>
      </w:r>
      <w:r w:rsidRPr="00324616">
        <w:rPr>
          <w:rFonts w:eastAsia="Times New Roman"/>
          <w:lang w:eastAsia="de-DE"/>
        </w:rPr>
        <w:t xml:space="preserve">als instrumentale Bestimmung – </w:t>
      </w:r>
      <w:r w:rsidRPr="00324616">
        <w:rPr>
          <w:rFonts w:eastAsia="Times New Roman"/>
          <w:b/>
          <w:bCs/>
          <w:rtl/>
          <w:lang w:eastAsia="de-DE"/>
        </w:rPr>
        <w:t>בְּ</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אֵשׁ</w:t>
      </w:r>
      <w:r w:rsidRPr="00324616">
        <w:rPr>
          <w:rFonts w:eastAsia="Times New Roman"/>
          <w:lang w:eastAsia="de-DE"/>
        </w:rPr>
        <w:t>, „Feuer").</w:t>
      </w:r>
    </w:p>
    <w:p w14:paraId="506293A4"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 xml:space="preserve">Die vier Objekte repräsentieren die kanaanitische Kultpraxis: </w:t>
      </w:r>
      <w:r w:rsidRPr="00324616">
        <w:rPr>
          <w:rFonts w:eastAsia="Times New Roman"/>
          <w:b/>
          <w:bCs/>
          <w:rtl/>
          <w:lang w:eastAsia="de-DE"/>
        </w:rPr>
        <w:t>מִזְבֵּחַ</w:t>
      </w:r>
      <w:r w:rsidRPr="00324616">
        <w:rPr>
          <w:rFonts w:eastAsia="Times New Roman"/>
          <w:rtl/>
          <w:lang w:eastAsia="de-DE"/>
        </w:rPr>
        <w:t xml:space="preserve"> </w:t>
      </w:r>
      <w:r w:rsidRPr="00324616">
        <w:rPr>
          <w:rFonts w:eastAsia="Times New Roman"/>
          <w:lang w:eastAsia="de-DE"/>
        </w:rPr>
        <w:t xml:space="preserve">(Altäre), </w:t>
      </w:r>
      <w:r w:rsidRPr="00324616">
        <w:rPr>
          <w:rFonts w:eastAsia="Times New Roman"/>
          <w:b/>
          <w:bCs/>
          <w:rtl/>
          <w:lang w:eastAsia="de-DE"/>
        </w:rPr>
        <w:t>מַצֵּבָה</w:t>
      </w:r>
      <w:r w:rsidRPr="00324616">
        <w:rPr>
          <w:rFonts w:eastAsia="Times New Roman"/>
          <w:rtl/>
          <w:lang w:eastAsia="de-DE"/>
        </w:rPr>
        <w:t xml:space="preserve"> </w:t>
      </w:r>
      <w:r w:rsidRPr="00324616">
        <w:rPr>
          <w:rFonts w:eastAsia="Times New Roman"/>
          <w:lang w:eastAsia="de-DE"/>
        </w:rPr>
        <w:t xml:space="preserve">(Steinsäulen, möglicherweise phallische Symbole oder Gedenksteine für Gottheiten), </w:t>
      </w:r>
      <w:r w:rsidRPr="00324616">
        <w:rPr>
          <w:rFonts w:eastAsia="Times New Roman"/>
          <w:b/>
          <w:bCs/>
          <w:rtl/>
          <w:lang w:eastAsia="de-DE"/>
        </w:rPr>
        <w:t>אֲשֵׁרָה</w:t>
      </w:r>
      <w:r w:rsidRPr="00324616">
        <w:rPr>
          <w:rFonts w:eastAsia="Times New Roman"/>
          <w:rtl/>
          <w:lang w:eastAsia="de-DE"/>
        </w:rPr>
        <w:t xml:space="preserve"> </w:t>
      </w:r>
      <w:r w:rsidRPr="00324616">
        <w:rPr>
          <w:rFonts w:eastAsia="Times New Roman"/>
          <w:lang w:eastAsia="de-DE"/>
        </w:rPr>
        <w:t xml:space="preserve">(Kultpfähle oder heilige Bäume, verbunden mit der Göttin Aschera), </w:t>
      </w:r>
      <w:r w:rsidRPr="00324616">
        <w:rPr>
          <w:rFonts w:eastAsia="Times New Roman"/>
          <w:b/>
          <w:bCs/>
          <w:rtl/>
          <w:lang w:eastAsia="de-DE"/>
        </w:rPr>
        <w:t>פֶּסֶל</w:t>
      </w:r>
      <w:r w:rsidRPr="00324616">
        <w:rPr>
          <w:rFonts w:eastAsia="Times New Roman"/>
          <w:rtl/>
          <w:lang w:eastAsia="de-DE"/>
        </w:rPr>
        <w:t xml:space="preserve"> </w:t>
      </w:r>
      <w:r w:rsidRPr="00324616">
        <w:rPr>
          <w:rFonts w:eastAsia="Times New Roman"/>
          <w:lang w:eastAsia="de-DE"/>
        </w:rPr>
        <w:t xml:space="preserve">(geschnitzte Götzenbilder). Ähnliche Listen finden sich in Ex 34,13; Dtn 12,3; Ri 6,25-26. Das paragogische Nun an </w:t>
      </w:r>
      <w:r w:rsidRPr="00324616">
        <w:rPr>
          <w:rFonts w:eastAsia="Times New Roman"/>
          <w:b/>
          <w:bCs/>
          <w:rtl/>
          <w:lang w:eastAsia="de-DE"/>
        </w:rPr>
        <w:t>תְּגַדֵּעוּן</w:t>
      </w:r>
      <w:r w:rsidRPr="00324616">
        <w:rPr>
          <w:rFonts w:eastAsia="Times New Roman"/>
          <w:rtl/>
          <w:lang w:eastAsia="de-DE"/>
        </w:rPr>
        <w:t xml:space="preserve"> </w:t>
      </w:r>
      <w:r w:rsidRPr="00324616">
        <w:rPr>
          <w:rFonts w:eastAsia="Times New Roman"/>
          <w:lang w:eastAsia="de-DE"/>
        </w:rPr>
        <w:t xml:space="preserve">und </w:t>
      </w:r>
      <w:r w:rsidRPr="00324616">
        <w:rPr>
          <w:rFonts w:eastAsia="Times New Roman"/>
          <w:b/>
          <w:bCs/>
          <w:rtl/>
          <w:lang w:eastAsia="de-DE"/>
        </w:rPr>
        <w:t>תִּשְׂרְפוּן</w:t>
      </w:r>
      <w:r w:rsidRPr="00324616">
        <w:rPr>
          <w:rFonts w:eastAsia="Times New Roman"/>
          <w:rtl/>
          <w:lang w:eastAsia="de-DE"/>
        </w:rPr>
        <w:t xml:space="preserve"> </w:t>
      </w:r>
      <w:r w:rsidRPr="00324616">
        <w:rPr>
          <w:rFonts w:eastAsia="Times New Roman"/>
          <w:lang w:eastAsia="de-DE"/>
        </w:rPr>
        <w:t>verleiht den Geboten feierlichen Nachdruck.</w:t>
      </w:r>
    </w:p>
    <w:p w14:paraId="70C6CBDF"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Die Satzstruktur ist eine adversative Einleitung mit Adverb, Prädikat und indirektem Objekt, gefolgt von vier koordinierten Gebotssätzen (alle mit vorausgestelltem direktem Objekt mit Suffix und Prädikat, das letzte zusätzlich mit instrumentaler Bestimmung, zwei mit paragogischem Nun). Die parallele Struktur unterstreicht die vollständige Beseitigung aller heidnischen Kultobjekte.</w:t>
      </w:r>
    </w:p>
    <w:p w14:paraId="15882D4A"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lastRenderedPageBreak/>
        <w:t>Der Vers formuliert das positive Gegengebot: Statt Mischehen und Götzendienst sollen alle kanaanitischen Kultobjekte vernichtet werden – Altäre, Steinsäulen, Aschera-Pfähle und Götzenbilder.</w:t>
      </w:r>
    </w:p>
    <w:p w14:paraId="243E2C5A" w14:textId="77777777" w:rsidR="00324616" w:rsidRPr="00324616" w:rsidRDefault="00324616" w:rsidP="00324616">
      <w:pPr>
        <w:spacing w:before="100" w:beforeAutospacing="1" w:after="100" w:afterAutospacing="1" w:line="240" w:lineRule="auto"/>
        <w:outlineLvl w:val="1"/>
        <w:rPr>
          <w:rFonts w:eastAsia="Times New Roman"/>
          <w:b/>
          <w:bCs/>
          <w:sz w:val="36"/>
          <w:szCs w:val="36"/>
          <w:lang w:eastAsia="de-DE"/>
        </w:rPr>
      </w:pPr>
      <w:r w:rsidRPr="00324616">
        <w:rPr>
          <w:rFonts w:eastAsia="Times New Roman"/>
          <w:b/>
          <w:bCs/>
          <w:sz w:val="36"/>
          <w:szCs w:val="36"/>
          <w:lang w:eastAsia="de-DE"/>
        </w:rPr>
        <w:t>Deuteronomium 7,6</w:t>
      </w:r>
    </w:p>
    <w:p w14:paraId="00384294"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Hebräisch:</w:t>
      </w:r>
      <w:r w:rsidRPr="00324616">
        <w:rPr>
          <w:rFonts w:eastAsia="Times New Roman"/>
          <w:lang w:eastAsia="de-DE"/>
        </w:rPr>
        <w:t xml:space="preserve"> </w:t>
      </w:r>
      <w:r w:rsidRPr="00324616">
        <w:rPr>
          <w:rFonts w:eastAsia="Times New Roman"/>
          <w:rtl/>
          <w:lang w:eastAsia="de-DE"/>
        </w:rPr>
        <w:t>כִּי עַם קָדוֹשׁ אַתָּה לַיהוָה אֱלֹהֶיךָ בְּךָ בָּחַר יְהוָה אֱלֹהֶיךָ לִהְיוֹת לוֹ לְעַם סְגֻלָּה מִכֹּל הָעַמִּים אֲשֶׁר עַל־פְּנֵי הָאֲדָמָה׃</w:t>
      </w:r>
    </w:p>
    <w:p w14:paraId="095EDEFE"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Deutsch:</w:t>
      </w:r>
      <w:r w:rsidRPr="00324616">
        <w:rPr>
          <w:rFonts w:eastAsia="Times New Roman"/>
          <w:lang w:eastAsia="de-DE"/>
        </w:rPr>
        <w:t xml:space="preserve"> Denn du bist ein heiliges Volk dem Ewigen, deinem Gott; dich hat der Ewige, dein Gott, erwählt, ihm ein Volk des Eigentums zu sein aus allen Völkern, die auf dem Erdboden sind.</w:t>
      </w:r>
    </w:p>
    <w:p w14:paraId="179D64BC" w14:textId="77777777" w:rsidR="00324616" w:rsidRPr="00324616" w:rsidRDefault="004F5CEB" w:rsidP="00324616">
      <w:pPr>
        <w:spacing w:after="0" w:line="240" w:lineRule="auto"/>
        <w:rPr>
          <w:rFonts w:eastAsia="Times New Roman"/>
          <w:lang w:eastAsia="de-DE"/>
        </w:rPr>
      </w:pPr>
      <w:r>
        <w:rPr>
          <w:rFonts w:eastAsia="Times New Roman"/>
          <w:noProof/>
          <w:lang w:eastAsia="de-DE"/>
        </w:rPr>
        <w:pict w14:anchorId="6A784C3F">
          <v:rect id="_x0000_i1249" style="width:0;height:1.5pt" o:hralign="center" o:hrstd="t" o:hr="t" fillcolor="#a0a0a0" stroked="f"/>
        </w:pict>
      </w:r>
    </w:p>
    <w:p w14:paraId="0C2E3378"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Kommentar:</w:t>
      </w:r>
      <w:r w:rsidRPr="00324616">
        <w:rPr>
          <w:rFonts w:eastAsia="Times New Roman"/>
          <w:lang w:eastAsia="de-DE"/>
        </w:rPr>
        <w:t xml:space="preserve"> </w:t>
      </w:r>
      <w:r w:rsidRPr="00324616">
        <w:rPr>
          <w:rFonts w:eastAsia="Times New Roman"/>
          <w:b/>
          <w:bCs/>
          <w:rtl/>
          <w:lang w:eastAsia="de-DE"/>
        </w:rPr>
        <w:t>כִּי עַם קָדוֹשׁ אַתָּה לַיהוָה אֱלֹהֶיךָ</w:t>
      </w:r>
      <w:r w:rsidRPr="00324616">
        <w:rPr>
          <w:rFonts w:eastAsia="Times New Roman"/>
          <w:rtl/>
          <w:lang w:eastAsia="de-DE"/>
        </w:rPr>
        <w:t xml:space="preserve"> </w:t>
      </w:r>
      <w:r w:rsidRPr="00324616">
        <w:rPr>
          <w:rFonts w:eastAsia="Times New Roman"/>
          <w:lang w:eastAsia="de-DE"/>
        </w:rPr>
        <w:t xml:space="preserve">ist ein kausaler nominaler Satz: </w:t>
      </w:r>
      <w:r w:rsidRPr="00324616">
        <w:rPr>
          <w:rFonts w:eastAsia="Times New Roman"/>
          <w:b/>
          <w:bCs/>
          <w:rtl/>
          <w:lang w:eastAsia="de-DE"/>
        </w:rPr>
        <w:t>כִּי</w:t>
      </w:r>
      <w:r w:rsidRPr="00324616">
        <w:rPr>
          <w:rFonts w:eastAsia="Times New Roman"/>
          <w:rtl/>
          <w:lang w:eastAsia="de-DE"/>
        </w:rPr>
        <w:t xml:space="preserve"> </w:t>
      </w:r>
      <w:r w:rsidRPr="00324616">
        <w:rPr>
          <w:rFonts w:eastAsia="Times New Roman"/>
          <w:lang w:eastAsia="de-DE"/>
        </w:rPr>
        <w:t xml:space="preserve">als Konjunktion („denn"), </w:t>
      </w:r>
      <w:r w:rsidRPr="00324616">
        <w:rPr>
          <w:rFonts w:eastAsia="Times New Roman"/>
          <w:b/>
          <w:bCs/>
          <w:rtl/>
          <w:lang w:eastAsia="de-DE"/>
        </w:rPr>
        <w:t>עַם קָדוֹשׁ</w:t>
      </w:r>
      <w:r w:rsidRPr="00324616">
        <w:rPr>
          <w:rFonts w:eastAsia="Times New Roman"/>
          <w:rtl/>
          <w:lang w:eastAsia="de-DE"/>
        </w:rPr>
        <w:t xml:space="preserve"> </w:t>
      </w:r>
      <w:r w:rsidRPr="00324616">
        <w:rPr>
          <w:rFonts w:eastAsia="Times New Roman"/>
          <w:lang w:eastAsia="de-DE"/>
        </w:rPr>
        <w:t>als Prädikatsnomen (</w:t>
      </w:r>
      <w:r w:rsidRPr="00324616">
        <w:rPr>
          <w:rFonts w:eastAsia="Times New Roman"/>
          <w:b/>
          <w:bCs/>
          <w:rtl/>
          <w:lang w:eastAsia="de-DE"/>
        </w:rPr>
        <w:t>עַם</w:t>
      </w:r>
      <w:r w:rsidRPr="00324616">
        <w:rPr>
          <w:rFonts w:eastAsia="Times New Roman"/>
          <w:lang w:eastAsia="de-DE"/>
        </w:rPr>
        <w:t xml:space="preserve">, „Volk", mit Adjektiv </w:t>
      </w:r>
      <w:r w:rsidRPr="00324616">
        <w:rPr>
          <w:rFonts w:eastAsia="Times New Roman"/>
          <w:b/>
          <w:bCs/>
          <w:rtl/>
          <w:lang w:eastAsia="de-DE"/>
        </w:rPr>
        <w:t>קָדוֹשׁ</w:t>
      </w:r>
      <w:r w:rsidRPr="00324616">
        <w:rPr>
          <w:rFonts w:eastAsia="Times New Roman"/>
          <w:lang w:eastAsia="de-DE"/>
        </w:rPr>
        <w:t xml:space="preserve">, „heilig"), </w:t>
      </w:r>
      <w:r w:rsidRPr="00324616">
        <w:rPr>
          <w:rFonts w:eastAsia="Times New Roman"/>
          <w:b/>
          <w:bCs/>
          <w:rtl/>
          <w:lang w:eastAsia="de-DE"/>
        </w:rPr>
        <w:t>אַתָּה</w:t>
      </w:r>
      <w:r w:rsidRPr="00324616">
        <w:rPr>
          <w:rFonts w:eastAsia="Times New Roman"/>
          <w:rtl/>
          <w:lang w:eastAsia="de-DE"/>
        </w:rPr>
        <w:t xml:space="preserve"> </w:t>
      </w:r>
      <w:r w:rsidRPr="00324616">
        <w:rPr>
          <w:rFonts w:eastAsia="Times New Roman"/>
          <w:lang w:eastAsia="de-DE"/>
        </w:rPr>
        <w:t xml:space="preserve">als Subjekt (Personalpronomen 2. Person Singular maskulin), </w:t>
      </w:r>
      <w:r w:rsidRPr="00324616">
        <w:rPr>
          <w:rFonts w:eastAsia="Times New Roman"/>
          <w:b/>
          <w:bCs/>
          <w:rtl/>
          <w:lang w:eastAsia="de-DE"/>
        </w:rPr>
        <w:t>לַיהוָה אֱלֹהֶיךָ</w:t>
      </w:r>
      <w:r w:rsidRPr="00324616">
        <w:rPr>
          <w:rFonts w:eastAsia="Times New Roman"/>
          <w:rtl/>
          <w:lang w:eastAsia="de-DE"/>
        </w:rPr>
        <w:t xml:space="preserve"> </w:t>
      </w:r>
      <w:r w:rsidRPr="00324616">
        <w:rPr>
          <w:rFonts w:eastAsia="Times New Roman"/>
          <w:lang w:eastAsia="de-DE"/>
        </w:rPr>
        <w:t>als Dativ bzw. Zugehörigkeitsangabe (</w:t>
      </w:r>
      <w:r w:rsidRPr="00324616">
        <w:rPr>
          <w:rFonts w:eastAsia="Times New Roman"/>
          <w:b/>
          <w:bCs/>
          <w:rtl/>
          <w:lang w:eastAsia="de-DE"/>
        </w:rPr>
        <w:t>לְ</w:t>
      </w:r>
      <w:r w:rsidRPr="00324616">
        <w:rPr>
          <w:rFonts w:eastAsia="Times New Roman"/>
          <w:rtl/>
          <w:lang w:eastAsia="de-DE"/>
        </w:rPr>
        <w:t xml:space="preserve"> </w:t>
      </w:r>
      <w:r w:rsidRPr="00324616">
        <w:rPr>
          <w:rFonts w:eastAsia="Times New Roman"/>
          <w:lang w:eastAsia="de-DE"/>
        </w:rPr>
        <w:t>mit erweiterter Gottesbezeichnung – „für JHWH, deinen Gott, dem JHWH, deinem Gott [gehörig]").</w:t>
      </w:r>
    </w:p>
    <w:p w14:paraId="63792924"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rtl/>
          <w:lang w:eastAsia="de-DE"/>
        </w:rPr>
        <w:t>בְּךָ בָּחַר יְהוָה אֱלֹהֶיךָ לִהְיוֹת לוֹ לְעַם סְגֻלָּה מִכֹּל הָעַמִּים</w:t>
      </w:r>
      <w:r w:rsidRPr="00324616">
        <w:rPr>
          <w:rFonts w:eastAsia="Times New Roman"/>
          <w:rtl/>
          <w:lang w:eastAsia="de-DE"/>
        </w:rPr>
        <w:t xml:space="preserve"> </w:t>
      </w:r>
      <w:r w:rsidRPr="00324616">
        <w:rPr>
          <w:rFonts w:eastAsia="Times New Roman"/>
          <w:lang w:eastAsia="de-DE"/>
        </w:rPr>
        <w:t xml:space="preserve">ist ein zweiter Hauptsatz: </w:t>
      </w:r>
      <w:r w:rsidRPr="00324616">
        <w:rPr>
          <w:rFonts w:eastAsia="Times New Roman"/>
          <w:b/>
          <w:bCs/>
          <w:rtl/>
          <w:lang w:eastAsia="de-DE"/>
        </w:rPr>
        <w:t>בְּךָ</w:t>
      </w:r>
      <w:r w:rsidRPr="00324616">
        <w:rPr>
          <w:rFonts w:eastAsia="Times New Roman"/>
          <w:rtl/>
          <w:lang w:eastAsia="de-DE"/>
        </w:rPr>
        <w:t xml:space="preserve"> </w:t>
      </w:r>
      <w:r w:rsidRPr="00324616">
        <w:rPr>
          <w:rFonts w:eastAsia="Times New Roman"/>
          <w:lang w:eastAsia="de-DE"/>
        </w:rPr>
        <w:t>als vorausgestelltes direktes Objekt zur Emphase (</w:t>
      </w:r>
      <w:r w:rsidRPr="00324616">
        <w:rPr>
          <w:rFonts w:eastAsia="Times New Roman"/>
          <w:b/>
          <w:bCs/>
          <w:rtl/>
          <w:lang w:eastAsia="de-DE"/>
        </w:rPr>
        <w:t>בְּ</w:t>
      </w:r>
      <w:r w:rsidRPr="00324616">
        <w:rPr>
          <w:rFonts w:eastAsia="Times New Roman"/>
          <w:rtl/>
          <w:lang w:eastAsia="de-DE"/>
        </w:rPr>
        <w:t xml:space="preserve"> </w:t>
      </w:r>
      <w:r w:rsidRPr="00324616">
        <w:rPr>
          <w:rFonts w:eastAsia="Times New Roman"/>
          <w:lang w:eastAsia="de-DE"/>
        </w:rPr>
        <w:t xml:space="preserve">mit Suffix 2. Person Singular maskulin – hier nicht „in dir", sondern </w:t>
      </w:r>
      <w:r w:rsidRPr="00324616">
        <w:rPr>
          <w:rFonts w:eastAsia="Times New Roman"/>
          <w:b/>
          <w:bCs/>
          <w:rtl/>
          <w:lang w:eastAsia="de-DE"/>
        </w:rPr>
        <w:t>בְּ</w:t>
      </w:r>
      <w:r w:rsidRPr="00324616">
        <w:rPr>
          <w:rFonts w:eastAsia="Times New Roman"/>
          <w:rtl/>
          <w:lang w:eastAsia="de-DE"/>
        </w:rPr>
        <w:t xml:space="preserve"> </w:t>
      </w:r>
      <w:r w:rsidRPr="00324616">
        <w:rPr>
          <w:rFonts w:eastAsia="Times New Roman"/>
          <w:lang w:eastAsia="de-DE"/>
        </w:rPr>
        <w:t xml:space="preserve">als nota accusativi-Ersatz „dich"), </w:t>
      </w:r>
      <w:r w:rsidRPr="00324616">
        <w:rPr>
          <w:rFonts w:eastAsia="Times New Roman"/>
          <w:b/>
          <w:bCs/>
          <w:rtl/>
          <w:lang w:eastAsia="de-DE"/>
        </w:rPr>
        <w:t>בָּחַר</w:t>
      </w:r>
      <w:r w:rsidRPr="00324616">
        <w:rPr>
          <w:rFonts w:eastAsia="Times New Roman"/>
          <w:rtl/>
          <w:lang w:eastAsia="de-DE"/>
        </w:rPr>
        <w:t xml:space="preserve"> </w:t>
      </w:r>
      <w:r w:rsidRPr="00324616">
        <w:rPr>
          <w:rFonts w:eastAsia="Times New Roman"/>
          <w:lang w:eastAsia="de-DE"/>
        </w:rPr>
        <w:t xml:space="preserve">als Qal Perfekt, 3. Person Singular maskulin von </w:t>
      </w:r>
      <w:r w:rsidRPr="00324616">
        <w:rPr>
          <w:rFonts w:eastAsia="Times New Roman"/>
          <w:b/>
          <w:bCs/>
          <w:rtl/>
          <w:lang w:eastAsia="de-DE"/>
        </w:rPr>
        <w:t>בחר</w:t>
      </w:r>
      <w:r w:rsidRPr="00324616">
        <w:rPr>
          <w:rFonts w:eastAsia="Times New Roman"/>
          <w:rtl/>
          <w:lang w:eastAsia="de-DE"/>
        </w:rPr>
        <w:t xml:space="preserve"> </w:t>
      </w:r>
      <w:r w:rsidRPr="00324616">
        <w:rPr>
          <w:rFonts w:eastAsia="Times New Roman"/>
          <w:lang w:eastAsia="de-DE"/>
        </w:rPr>
        <w:t xml:space="preserve">(„erwählen, auswählen"), </w:t>
      </w:r>
      <w:r w:rsidRPr="00324616">
        <w:rPr>
          <w:rFonts w:eastAsia="Times New Roman"/>
          <w:b/>
          <w:bCs/>
          <w:rtl/>
          <w:lang w:eastAsia="de-DE"/>
        </w:rPr>
        <w:t>יְהוָה אֱלֹהֶיךָ</w:t>
      </w:r>
      <w:r w:rsidRPr="00324616">
        <w:rPr>
          <w:rFonts w:eastAsia="Times New Roman"/>
          <w:rtl/>
          <w:lang w:eastAsia="de-DE"/>
        </w:rPr>
        <w:t xml:space="preserve"> </w:t>
      </w:r>
      <w:r w:rsidRPr="00324616">
        <w:rPr>
          <w:rFonts w:eastAsia="Times New Roman"/>
          <w:lang w:eastAsia="de-DE"/>
        </w:rPr>
        <w:t xml:space="preserve">als erweitertes Subjekt, </w:t>
      </w:r>
      <w:r w:rsidRPr="00324616">
        <w:rPr>
          <w:rFonts w:eastAsia="Times New Roman"/>
          <w:b/>
          <w:bCs/>
          <w:rtl/>
          <w:lang w:eastAsia="de-DE"/>
        </w:rPr>
        <w:t>לִהְיוֹת לוֹ לְעַם סְגֻלָּה</w:t>
      </w:r>
      <w:r w:rsidRPr="00324616">
        <w:rPr>
          <w:rFonts w:eastAsia="Times New Roman"/>
          <w:rtl/>
          <w:lang w:eastAsia="de-DE"/>
        </w:rPr>
        <w:t xml:space="preserve"> </w:t>
      </w:r>
      <w:r w:rsidRPr="00324616">
        <w:rPr>
          <w:rFonts w:eastAsia="Times New Roman"/>
          <w:lang w:eastAsia="de-DE"/>
        </w:rPr>
        <w:t xml:space="preserve">als finaler Infinitiv (Qal Infinitiv Construct von </w:t>
      </w:r>
      <w:r w:rsidRPr="00324616">
        <w:rPr>
          <w:rFonts w:eastAsia="Times New Roman"/>
          <w:b/>
          <w:bCs/>
          <w:rtl/>
          <w:lang w:eastAsia="de-DE"/>
        </w:rPr>
        <w:t>היה</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לְ</w:t>
      </w:r>
      <w:r w:rsidRPr="00324616">
        <w:rPr>
          <w:rFonts w:eastAsia="Times New Roman"/>
          <w:lang w:eastAsia="de-DE"/>
        </w:rPr>
        <w:t xml:space="preserve">, </w:t>
      </w:r>
      <w:r w:rsidRPr="00324616">
        <w:rPr>
          <w:rFonts w:eastAsia="Times New Roman"/>
          <w:b/>
          <w:bCs/>
          <w:rtl/>
          <w:lang w:eastAsia="de-DE"/>
        </w:rPr>
        <w:t>לוֹ</w:t>
      </w:r>
      <w:r w:rsidRPr="00324616">
        <w:rPr>
          <w:rFonts w:eastAsia="Times New Roman"/>
          <w:rtl/>
          <w:lang w:eastAsia="de-DE"/>
        </w:rPr>
        <w:t xml:space="preserve"> </w:t>
      </w:r>
      <w:r w:rsidRPr="00324616">
        <w:rPr>
          <w:rFonts w:eastAsia="Times New Roman"/>
          <w:lang w:eastAsia="de-DE"/>
        </w:rPr>
        <w:t xml:space="preserve">als Dativ, </w:t>
      </w:r>
      <w:r w:rsidRPr="00324616">
        <w:rPr>
          <w:rFonts w:eastAsia="Times New Roman"/>
          <w:b/>
          <w:bCs/>
          <w:rtl/>
          <w:lang w:eastAsia="de-DE"/>
        </w:rPr>
        <w:t>לְעַם סְגֻלָּה</w:t>
      </w:r>
      <w:r w:rsidRPr="00324616">
        <w:rPr>
          <w:rFonts w:eastAsia="Times New Roman"/>
          <w:rtl/>
          <w:lang w:eastAsia="de-DE"/>
        </w:rPr>
        <w:t xml:space="preserve"> </w:t>
      </w:r>
      <w:r w:rsidRPr="00324616">
        <w:rPr>
          <w:rFonts w:eastAsia="Times New Roman"/>
          <w:lang w:eastAsia="de-DE"/>
        </w:rPr>
        <w:t xml:space="preserve">als Prädikatsnomen – </w:t>
      </w:r>
      <w:r w:rsidRPr="00324616">
        <w:rPr>
          <w:rFonts w:eastAsia="Times New Roman"/>
          <w:b/>
          <w:bCs/>
          <w:rtl/>
          <w:lang w:eastAsia="de-DE"/>
        </w:rPr>
        <w:t>לְ</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עַם</w:t>
      </w:r>
      <w:r w:rsidRPr="00324616">
        <w:rPr>
          <w:rFonts w:eastAsia="Times New Roman"/>
          <w:rtl/>
          <w:lang w:eastAsia="de-DE"/>
        </w:rPr>
        <w:t xml:space="preserve"> </w:t>
      </w:r>
      <w:r w:rsidRPr="00324616">
        <w:rPr>
          <w:rFonts w:eastAsia="Times New Roman"/>
          <w:lang w:eastAsia="de-DE"/>
        </w:rPr>
        <w:t xml:space="preserve">und </w:t>
      </w:r>
      <w:r w:rsidRPr="00324616">
        <w:rPr>
          <w:rFonts w:eastAsia="Times New Roman"/>
          <w:b/>
          <w:bCs/>
          <w:rtl/>
          <w:lang w:eastAsia="de-DE"/>
        </w:rPr>
        <w:t>סְגֻלָּה</w:t>
      </w:r>
      <w:r w:rsidRPr="00324616">
        <w:rPr>
          <w:rFonts w:eastAsia="Times New Roman"/>
          <w:lang w:eastAsia="de-DE"/>
        </w:rPr>
        <w:t xml:space="preserve">, „Eigentum, Schatz, besonderer Besitz"), </w:t>
      </w:r>
      <w:r w:rsidRPr="00324616">
        <w:rPr>
          <w:rFonts w:eastAsia="Times New Roman"/>
          <w:b/>
          <w:bCs/>
          <w:rtl/>
          <w:lang w:eastAsia="de-DE"/>
        </w:rPr>
        <w:t>מִכֹּל הָעַמִּים</w:t>
      </w:r>
      <w:r w:rsidRPr="00324616">
        <w:rPr>
          <w:rFonts w:eastAsia="Times New Roman"/>
          <w:rtl/>
          <w:lang w:eastAsia="de-DE"/>
        </w:rPr>
        <w:t xml:space="preserve"> </w:t>
      </w:r>
      <w:r w:rsidRPr="00324616">
        <w:rPr>
          <w:rFonts w:eastAsia="Times New Roman"/>
          <w:lang w:eastAsia="de-DE"/>
        </w:rPr>
        <w:t>als partitive Angabe (</w:t>
      </w:r>
      <w:r w:rsidRPr="00324616">
        <w:rPr>
          <w:rFonts w:eastAsia="Times New Roman"/>
          <w:b/>
          <w:bCs/>
          <w:rtl/>
          <w:lang w:eastAsia="de-DE"/>
        </w:rPr>
        <w:t>מִן</w:t>
      </w:r>
      <w:r w:rsidRPr="00324616">
        <w:rPr>
          <w:rFonts w:eastAsia="Times New Roman"/>
          <w:rtl/>
          <w:lang w:eastAsia="de-DE"/>
        </w:rPr>
        <w:t xml:space="preserve"> </w:t>
      </w:r>
      <w:r w:rsidRPr="00324616">
        <w:rPr>
          <w:rFonts w:eastAsia="Times New Roman"/>
          <w:lang w:eastAsia="de-DE"/>
        </w:rPr>
        <w:t xml:space="preserve">mit </w:t>
      </w:r>
      <w:r w:rsidRPr="00324616">
        <w:rPr>
          <w:rFonts w:eastAsia="Times New Roman"/>
          <w:b/>
          <w:bCs/>
          <w:rtl/>
          <w:lang w:eastAsia="de-DE"/>
        </w:rPr>
        <w:t>כָּל</w:t>
      </w:r>
      <w:r w:rsidRPr="00324616">
        <w:rPr>
          <w:rFonts w:eastAsia="Times New Roman"/>
          <w:rtl/>
          <w:lang w:eastAsia="de-DE"/>
        </w:rPr>
        <w:t xml:space="preserve"> </w:t>
      </w:r>
      <w:r w:rsidRPr="00324616">
        <w:rPr>
          <w:rFonts w:eastAsia="Times New Roman"/>
          <w:lang w:eastAsia="de-DE"/>
        </w:rPr>
        <w:t xml:space="preserve">und </w:t>
      </w:r>
      <w:r w:rsidRPr="00324616">
        <w:rPr>
          <w:rFonts w:eastAsia="Times New Roman"/>
          <w:b/>
          <w:bCs/>
          <w:rtl/>
          <w:lang w:eastAsia="de-DE"/>
        </w:rPr>
        <w:t>עַם</w:t>
      </w:r>
      <w:r w:rsidRPr="00324616">
        <w:rPr>
          <w:rFonts w:eastAsia="Times New Roman"/>
          <w:lang w:eastAsia="de-DE"/>
        </w:rPr>
        <w:t>, Plural, mit Artikel – „aus allen Völkern").</w:t>
      </w:r>
    </w:p>
    <w:p w14:paraId="3A2C4885"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rtl/>
          <w:lang w:eastAsia="de-DE"/>
        </w:rPr>
        <w:t>אֲשֶׁר עַל־פְּנֵי הָאֲדָמָה</w:t>
      </w:r>
      <w:r w:rsidRPr="00324616">
        <w:rPr>
          <w:rFonts w:eastAsia="Times New Roman"/>
          <w:rtl/>
          <w:lang w:eastAsia="de-DE"/>
        </w:rPr>
        <w:t xml:space="preserve"> </w:t>
      </w:r>
      <w:r w:rsidRPr="00324616">
        <w:rPr>
          <w:rFonts w:eastAsia="Times New Roman"/>
          <w:lang w:eastAsia="de-DE"/>
        </w:rPr>
        <w:t xml:space="preserve">ist ein Relativsatz: </w:t>
      </w:r>
      <w:r w:rsidRPr="00324616">
        <w:rPr>
          <w:rFonts w:eastAsia="Times New Roman"/>
          <w:b/>
          <w:bCs/>
          <w:rtl/>
          <w:lang w:eastAsia="de-DE"/>
        </w:rPr>
        <w:t>אֲשֶׁר</w:t>
      </w:r>
      <w:r w:rsidRPr="00324616">
        <w:rPr>
          <w:rFonts w:eastAsia="Times New Roman"/>
          <w:rtl/>
          <w:lang w:eastAsia="de-DE"/>
        </w:rPr>
        <w:t xml:space="preserve"> </w:t>
      </w:r>
      <w:r w:rsidRPr="00324616">
        <w:rPr>
          <w:rFonts w:eastAsia="Times New Roman"/>
          <w:lang w:eastAsia="de-DE"/>
        </w:rPr>
        <w:t xml:space="preserve">als Relativpronomen, </w:t>
      </w:r>
      <w:r w:rsidRPr="00324616">
        <w:rPr>
          <w:rFonts w:eastAsia="Times New Roman"/>
          <w:b/>
          <w:bCs/>
          <w:rtl/>
          <w:lang w:eastAsia="de-DE"/>
        </w:rPr>
        <w:t>עַל־פְּנֵי הָאֲדָמָה</w:t>
      </w:r>
      <w:r w:rsidRPr="00324616">
        <w:rPr>
          <w:rFonts w:eastAsia="Times New Roman"/>
          <w:rtl/>
          <w:lang w:eastAsia="de-DE"/>
        </w:rPr>
        <w:t xml:space="preserve"> </w:t>
      </w:r>
      <w:r w:rsidRPr="00324616">
        <w:rPr>
          <w:rFonts w:eastAsia="Times New Roman"/>
          <w:lang w:eastAsia="de-DE"/>
        </w:rPr>
        <w:t>als Ortsangabe (</w:t>
      </w:r>
      <w:r w:rsidRPr="00324616">
        <w:rPr>
          <w:rFonts w:eastAsia="Times New Roman"/>
          <w:b/>
          <w:bCs/>
          <w:rtl/>
          <w:lang w:eastAsia="de-DE"/>
        </w:rPr>
        <w:t>עַל פְּנֵי</w:t>
      </w:r>
      <w:r w:rsidRPr="00324616">
        <w:rPr>
          <w:rFonts w:eastAsia="Times New Roman"/>
          <w:lang w:eastAsia="de-DE"/>
        </w:rPr>
        <w:t xml:space="preserve">, „auf der Oberfläche von", mit </w:t>
      </w:r>
      <w:r w:rsidRPr="00324616">
        <w:rPr>
          <w:rFonts w:eastAsia="Times New Roman"/>
          <w:b/>
          <w:bCs/>
          <w:rtl/>
          <w:lang w:eastAsia="de-DE"/>
        </w:rPr>
        <w:t>אֲדָמָה</w:t>
      </w:r>
      <w:r w:rsidRPr="00324616">
        <w:rPr>
          <w:rFonts w:eastAsia="Times New Roman"/>
          <w:lang w:eastAsia="de-DE"/>
        </w:rPr>
        <w:t>, „Erdboden", mit Artikel).</w:t>
      </w:r>
    </w:p>
    <w:p w14:paraId="68DFE44C" w14:textId="77777777" w:rsidR="008A3A15"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 xml:space="preserve">Der Begriff </w:t>
      </w:r>
      <w:r w:rsidRPr="00324616">
        <w:rPr>
          <w:rFonts w:eastAsia="Times New Roman"/>
          <w:b/>
          <w:bCs/>
          <w:rtl/>
          <w:lang w:eastAsia="de-DE"/>
        </w:rPr>
        <w:t>עַם קָדוֹשׁ</w:t>
      </w:r>
      <w:r w:rsidRPr="00324616">
        <w:rPr>
          <w:rFonts w:eastAsia="Times New Roman"/>
          <w:rtl/>
          <w:lang w:eastAsia="de-DE"/>
        </w:rPr>
        <w:t xml:space="preserve"> </w:t>
      </w:r>
      <w:r w:rsidRPr="00324616">
        <w:rPr>
          <w:rFonts w:eastAsia="Times New Roman"/>
          <w:lang w:eastAsia="de-DE"/>
        </w:rPr>
        <w:t xml:space="preserve">(„heiliges Volk") bezeichnet Israels Aussonderung für JHWH – nicht moralische Überlegenheit, sondern Zugehörigkeit zu JHWH und Trennung von anderen Völkern (vgl. 14,2.21; 26,19; 28,9; Ex 19,6; Lev 19,2; 20,26). Das Wort </w:t>
      </w:r>
      <w:r w:rsidRPr="00324616">
        <w:rPr>
          <w:rFonts w:eastAsia="Times New Roman"/>
          <w:b/>
          <w:bCs/>
          <w:rtl/>
          <w:lang w:eastAsia="de-DE"/>
        </w:rPr>
        <w:t>סְגֻלָּה</w:t>
      </w:r>
      <w:r w:rsidRPr="00324616">
        <w:rPr>
          <w:rFonts w:eastAsia="Times New Roman"/>
          <w:rtl/>
          <w:lang w:eastAsia="de-DE"/>
        </w:rPr>
        <w:t xml:space="preserve"> </w:t>
      </w:r>
      <w:r w:rsidRPr="00324616">
        <w:rPr>
          <w:rFonts w:eastAsia="Times New Roman"/>
          <w:lang w:eastAsia="de-DE"/>
        </w:rPr>
        <w:t xml:space="preserve">(„Eigentum, Schatz") bezeichnet persönlichen, wertvollen Besitz (vgl. 14,2; 26,18; Ex 19,5; Ps 135,4; Mal 3,17). </w:t>
      </w:r>
    </w:p>
    <w:p w14:paraId="4FE6F0D4" w14:textId="6AEB887C"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b/>
          <w:bCs/>
          <w:lang w:eastAsia="de-DE"/>
        </w:rPr>
        <w:t>Die LXX</w:t>
      </w:r>
      <w:r w:rsidRPr="00324616">
        <w:rPr>
          <w:rFonts w:eastAsia="Times New Roman"/>
          <w:lang w:eastAsia="de-DE"/>
        </w:rPr>
        <w:t xml:space="preserve"> übersetzt </w:t>
      </w:r>
      <w:r w:rsidRPr="00324616">
        <w:rPr>
          <w:rFonts w:eastAsia="Times New Roman"/>
          <w:b/>
          <w:bCs/>
          <w:lang w:eastAsia="de-DE"/>
        </w:rPr>
        <w:t>λα</w:t>
      </w:r>
      <w:proofErr w:type="spellStart"/>
      <w:r w:rsidRPr="00324616">
        <w:rPr>
          <w:rFonts w:eastAsia="Times New Roman"/>
          <w:b/>
          <w:bCs/>
          <w:lang w:eastAsia="de-DE"/>
        </w:rPr>
        <w:t>ὸν</w:t>
      </w:r>
      <w:proofErr w:type="spellEnd"/>
      <w:r w:rsidRPr="00324616">
        <w:rPr>
          <w:rFonts w:eastAsia="Times New Roman"/>
          <w:b/>
          <w:bCs/>
          <w:lang w:eastAsia="de-DE"/>
        </w:rPr>
        <w:t xml:space="preserve"> π</w:t>
      </w:r>
      <w:proofErr w:type="spellStart"/>
      <w:r w:rsidRPr="00324616">
        <w:rPr>
          <w:rFonts w:eastAsia="Times New Roman"/>
          <w:b/>
          <w:bCs/>
          <w:lang w:eastAsia="de-DE"/>
        </w:rPr>
        <w:t>εριούσιον</w:t>
      </w:r>
      <w:proofErr w:type="spellEnd"/>
      <w:r w:rsidRPr="00324616">
        <w:rPr>
          <w:rFonts w:eastAsia="Times New Roman"/>
          <w:lang w:eastAsia="de-DE"/>
        </w:rPr>
        <w:t xml:space="preserve"> („ein Volk [als besonderen] Besitz"). Diese Erwählungsaussage ist zentral für Israels Selbstverständnis.</w:t>
      </w:r>
    </w:p>
    <w:p w14:paraId="69B1DF09"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t>Die Satzstruktur ist ein kausaler nominaler Satz mit Prädikatsnomen, Subjekt und Dativangabe, gefolgt von einem Hauptsatz mit emphatisch vorausgestelltem direktem Objekt, Prädikat, erweitertem Subjekt, finalem Infinitiv (mit Dativ und Prädikatsnomen) und partitiver Angabe, erweitert durch einen Relativsatz mit Ortsangabe. Die Struktur begründet die Abgrenzungsgebote mit Israels Heiligkeit und Erwählung.</w:t>
      </w:r>
    </w:p>
    <w:p w14:paraId="67C65D4B" w14:textId="77777777" w:rsidR="00324616" w:rsidRPr="00324616" w:rsidRDefault="00324616" w:rsidP="00324616">
      <w:pPr>
        <w:spacing w:before="100" w:beforeAutospacing="1" w:after="100" w:afterAutospacing="1" w:line="240" w:lineRule="auto"/>
        <w:rPr>
          <w:rFonts w:eastAsia="Times New Roman"/>
          <w:lang w:eastAsia="de-DE"/>
        </w:rPr>
      </w:pPr>
      <w:r w:rsidRPr="00324616">
        <w:rPr>
          <w:rFonts w:eastAsia="Times New Roman"/>
          <w:lang w:eastAsia="de-DE"/>
        </w:rPr>
        <w:lastRenderedPageBreak/>
        <w:t>Der Vers begründet die scharfen Abgrenzungsgebote theologisch: Israel ist ein heiliges, JHWH gehöriges Volk, das JHWH aus allen Völkern der Erde zu seinem besonderen Eigentum erwählt hat – eine zentrale Erwählungsaussage.</w:t>
      </w:r>
    </w:p>
    <w:p w14:paraId="5216417F" w14:textId="77777777" w:rsidR="008A3A15" w:rsidRPr="008A3A15" w:rsidRDefault="008A3A15" w:rsidP="008A3A15">
      <w:pPr>
        <w:spacing w:before="100" w:beforeAutospacing="1" w:after="100" w:afterAutospacing="1" w:line="240" w:lineRule="auto"/>
        <w:outlineLvl w:val="1"/>
        <w:rPr>
          <w:rFonts w:eastAsia="Times New Roman"/>
          <w:b/>
          <w:bCs/>
          <w:sz w:val="36"/>
          <w:szCs w:val="36"/>
          <w:lang w:eastAsia="de-DE"/>
        </w:rPr>
      </w:pPr>
      <w:r w:rsidRPr="008A3A15">
        <w:rPr>
          <w:rFonts w:eastAsia="Times New Roman"/>
          <w:b/>
          <w:bCs/>
          <w:sz w:val="36"/>
          <w:szCs w:val="36"/>
          <w:lang w:eastAsia="de-DE"/>
        </w:rPr>
        <w:t>Deuteronomium 7,7</w:t>
      </w:r>
    </w:p>
    <w:p w14:paraId="3ADB8FAF"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lang w:eastAsia="de-DE"/>
        </w:rPr>
        <w:t>Hebräisch:</w:t>
      </w:r>
      <w:r w:rsidRPr="008A3A15">
        <w:rPr>
          <w:rFonts w:eastAsia="Times New Roman"/>
          <w:lang w:eastAsia="de-DE"/>
        </w:rPr>
        <w:t xml:space="preserve"> </w:t>
      </w:r>
      <w:r w:rsidRPr="008A3A15">
        <w:rPr>
          <w:rFonts w:eastAsia="Times New Roman"/>
          <w:rtl/>
          <w:lang w:eastAsia="de-DE"/>
        </w:rPr>
        <w:t>לֹא מֵרֻבְּכֶם מִכָּל־הָעַמִּים חָשַׁק יְהוָה בָּכֶם וַיִּבְחַר בָּכֶם כִּי־אַתֶּם הַמְעַט מִכָּל־הָעַמִּים׃</w:t>
      </w:r>
    </w:p>
    <w:p w14:paraId="142411A8"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lang w:eastAsia="de-DE"/>
        </w:rPr>
        <w:t>Deutsch:</w:t>
      </w:r>
      <w:r w:rsidRPr="008A3A15">
        <w:rPr>
          <w:rFonts w:eastAsia="Times New Roman"/>
          <w:lang w:eastAsia="de-DE"/>
        </w:rPr>
        <w:t xml:space="preserve"> Nicht weil ihr mehr </w:t>
      </w:r>
      <w:proofErr w:type="spellStart"/>
      <w:r w:rsidRPr="008A3A15">
        <w:rPr>
          <w:rFonts w:eastAsia="Times New Roman"/>
          <w:lang w:eastAsia="de-DE"/>
        </w:rPr>
        <w:t>wärt</w:t>
      </w:r>
      <w:proofErr w:type="spellEnd"/>
      <w:r w:rsidRPr="008A3A15">
        <w:rPr>
          <w:rFonts w:eastAsia="Times New Roman"/>
          <w:lang w:eastAsia="de-DE"/>
        </w:rPr>
        <w:t xml:space="preserve"> als alle Völker, hat der Ewige sich euch zugeneigt und euch erwählt; denn ihr seid das Geringste unter allen Völkern.</w:t>
      </w:r>
    </w:p>
    <w:p w14:paraId="46C60EC8" w14:textId="77777777" w:rsidR="008A3A15" w:rsidRPr="008A3A15" w:rsidRDefault="004F5CEB" w:rsidP="008A3A15">
      <w:pPr>
        <w:spacing w:after="0" w:line="240" w:lineRule="auto"/>
        <w:rPr>
          <w:rFonts w:eastAsia="Times New Roman"/>
          <w:lang w:eastAsia="de-DE"/>
        </w:rPr>
      </w:pPr>
      <w:r>
        <w:rPr>
          <w:rFonts w:eastAsia="Times New Roman"/>
          <w:noProof/>
          <w:lang w:eastAsia="de-DE"/>
        </w:rPr>
        <w:pict w14:anchorId="7AEDC9DC">
          <v:rect id="_x0000_i1250" style="width:0;height:1.5pt" o:hralign="center" o:hrstd="t" o:hr="t" fillcolor="#a0a0a0" stroked="f"/>
        </w:pict>
      </w:r>
    </w:p>
    <w:p w14:paraId="3731E3B3" w14:textId="08ACF73D"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lang w:eastAsia="de-DE"/>
        </w:rPr>
        <w:t>Kommentar:</w:t>
      </w:r>
      <w:r w:rsidRPr="008A3A15">
        <w:rPr>
          <w:rFonts w:eastAsia="Times New Roman"/>
          <w:lang w:eastAsia="de-DE"/>
        </w:rPr>
        <w:t xml:space="preserve"> </w:t>
      </w:r>
      <w:r w:rsidRPr="008A3A15">
        <w:rPr>
          <w:rFonts w:eastAsia="Times New Roman"/>
          <w:b/>
          <w:bCs/>
          <w:rtl/>
          <w:lang w:eastAsia="de-DE"/>
        </w:rPr>
        <w:t>לֹא מֵרֻבְּכֶם מִכָּל־הָעַמִּים חָשַׁק יְהוָה בָּכֶם</w:t>
      </w:r>
      <w:r w:rsidRPr="008A3A15">
        <w:rPr>
          <w:rFonts w:eastAsia="Times New Roman"/>
          <w:rtl/>
          <w:lang w:eastAsia="de-DE"/>
        </w:rPr>
        <w:t xml:space="preserve"> </w:t>
      </w:r>
      <w:r w:rsidRPr="008A3A15">
        <w:rPr>
          <w:rFonts w:eastAsia="Times New Roman"/>
          <w:lang w:eastAsia="de-DE"/>
        </w:rPr>
        <w:t xml:space="preserve">ist ein negierter Kausalsatz: </w:t>
      </w:r>
      <w:r w:rsidRPr="008A3A15">
        <w:rPr>
          <w:rFonts w:eastAsia="Times New Roman"/>
          <w:b/>
          <w:bCs/>
          <w:rtl/>
          <w:lang w:eastAsia="de-DE"/>
        </w:rPr>
        <w:t>לֹא</w:t>
      </w:r>
      <w:r w:rsidRPr="008A3A15">
        <w:rPr>
          <w:rFonts w:eastAsia="Times New Roman"/>
          <w:rtl/>
          <w:lang w:eastAsia="de-DE"/>
        </w:rPr>
        <w:t xml:space="preserve"> </w:t>
      </w:r>
      <w:r w:rsidRPr="008A3A15">
        <w:rPr>
          <w:rFonts w:eastAsia="Times New Roman"/>
          <w:lang w:eastAsia="de-DE"/>
        </w:rPr>
        <w:t xml:space="preserve">als Negation, </w:t>
      </w:r>
      <w:r w:rsidRPr="008A3A15">
        <w:rPr>
          <w:rFonts w:eastAsia="Times New Roman"/>
          <w:b/>
          <w:bCs/>
          <w:rtl/>
          <w:lang w:eastAsia="de-DE"/>
        </w:rPr>
        <w:t>מֵרֻבְּכֶם מִכָּל־הָעַמִּים</w:t>
      </w:r>
      <w:r w:rsidRPr="008A3A15">
        <w:rPr>
          <w:rFonts w:eastAsia="Times New Roman"/>
          <w:rtl/>
          <w:lang w:eastAsia="de-DE"/>
        </w:rPr>
        <w:t xml:space="preserve"> </w:t>
      </w:r>
      <w:r w:rsidRPr="008A3A15">
        <w:rPr>
          <w:rFonts w:eastAsia="Times New Roman"/>
          <w:lang w:eastAsia="de-DE"/>
        </w:rPr>
        <w:t>als kausale bzw. modale Bestimmung (</w:t>
      </w:r>
      <w:r w:rsidRPr="008A3A15">
        <w:rPr>
          <w:rFonts w:eastAsia="Times New Roman"/>
          <w:b/>
          <w:bCs/>
          <w:rtl/>
          <w:lang w:eastAsia="de-DE"/>
        </w:rPr>
        <w:t>מִן</w:t>
      </w:r>
      <w:r w:rsidRPr="008A3A15">
        <w:rPr>
          <w:rFonts w:eastAsia="Times New Roman"/>
          <w:rtl/>
          <w:lang w:eastAsia="de-DE"/>
        </w:rPr>
        <w:t xml:space="preserve"> </w:t>
      </w:r>
      <w:r w:rsidRPr="008A3A15">
        <w:rPr>
          <w:rFonts w:eastAsia="Times New Roman"/>
          <w:lang w:eastAsia="de-DE"/>
        </w:rPr>
        <w:t xml:space="preserve">mit Qal Infinitiv Construct von </w:t>
      </w:r>
      <w:r w:rsidRPr="008A3A15">
        <w:rPr>
          <w:rFonts w:eastAsia="Times New Roman"/>
          <w:b/>
          <w:bCs/>
          <w:rtl/>
          <w:lang w:eastAsia="de-DE"/>
        </w:rPr>
        <w:t>רבה</w:t>
      </w:r>
      <w:r w:rsidRPr="008A3A15">
        <w:rPr>
          <w:rFonts w:eastAsia="Times New Roman"/>
          <w:lang w:eastAsia="de-DE"/>
        </w:rPr>
        <w:t xml:space="preserve">, „viel sein, zahlreich sein", und Suffix 2. Person Plural maskulin als Subjekt, </w:t>
      </w:r>
      <w:r w:rsidRPr="008A3A15">
        <w:rPr>
          <w:rFonts w:eastAsia="Times New Roman"/>
          <w:b/>
          <w:bCs/>
          <w:rtl/>
          <w:lang w:eastAsia="de-DE"/>
        </w:rPr>
        <w:t>מִכָּל־הָעַמִּים</w:t>
      </w:r>
      <w:r w:rsidRPr="008A3A15">
        <w:rPr>
          <w:rFonts w:eastAsia="Times New Roman"/>
          <w:rtl/>
          <w:lang w:eastAsia="de-DE"/>
        </w:rPr>
        <w:t xml:space="preserve"> </w:t>
      </w:r>
      <w:r w:rsidRPr="008A3A15">
        <w:rPr>
          <w:rFonts w:eastAsia="Times New Roman"/>
          <w:lang w:eastAsia="de-DE"/>
        </w:rPr>
        <w:t xml:space="preserve">als Vergleichskonstruktion – </w:t>
      </w:r>
      <w:r w:rsidRPr="008A3A15">
        <w:rPr>
          <w:rFonts w:eastAsia="Times New Roman"/>
          <w:b/>
          <w:bCs/>
          <w:rtl/>
          <w:lang w:eastAsia="de-DE"/>
        </w:rPr>
        <w:t>מִן</w:t>
      </w:r>
      <w:r w:rsidRPr="008A3A15">
        <w:rPr>
          <w:rFonts w:eastAsia="Times New Roman"/>
          <w:rtl/>
          <w:lang w:eastAsia="de-DE"/>
        </w:rPr>
        <w:t xml:space="preserve"> </w:t>
      </w:r>
      <w:r w:rsidRPr="008A3A15">
        <w:rPr>
          <w:rFonts w:eastAsia="Times New Roman"/>
          <w:lang w:eastAsia="de-DE"/>
        </w:rPr>
        <w:t xml:space="preserve">komparativ mit </w:t>
      </w:r>
      <w:r w:rsidRPr="008A3A15">
        <w:rPr>
          <w:rFonts w:eastAsia="Times New Roman"/>
          <w:b/>
          <w:bCs/>
          <w:rtl/>
          <w:lang w:eastAsia="de-DE"/>
        </w:rPr>
        <w:t>כָּל</w:t>
      </w:r>
      <w:r w:rsidRPr="008A3A15">
        <w:rPr>
          <w:rFonts w:eastAsia="Times New Roman"/>
          <w:rtl/>
          <w:lang w:eastAsia="de-DE"/>
        </w:rPr>
        <w:t xml:space="preserve"> </w:t>
      </w:r>
      <w:r w:rsidRPr="008A3A15">
        <w:rPr>
          <w:rFonts w:eastAsia="Times New Roman"/>
          <w:lang w:eastAsia="de-DE"/>
        </w:rPr>
        <w:t xml:space="preserve">und </w:t>
      </w:r>
      <w:r w:rsidRPr="008A3A15">
        <w:rPr>
          <w:rFonts w:eastAsia="Times New Roman"/>
          <w:b/>
          <w:bCs/>
          <w:rtl/>
          <w:lang w:eastAsia="de-DE"/>
        </w:rPr>
        <w:t>עַם</w:t>
      </w:r>
      <w:r w:rsidRPr="008A3A15">
        <w:rPr>
          <w:rFonts w:eastAsia="Times New Roman"/>
          <w:lang w:eastAsia="de-DE"/>
        </w:rPr>
        <w:t xml:space="preserve">, Plural, mit Artikel – „mehr als alle Völker"), </w:t>
      </w:r>
      <w:r w:rsidRPr="008A3A15">
        <w:rPr>
          <w:rFonts w:eastAsia="Times New Roman"/>
          <w:b/>
          <w:bCs/>
          <w:rtl/>
          <w:lang w:eastAsia="de-DE"/>
        </w:rPr>
        <w:t>חָשַׁק</w:t>
      </w:r>
      <w:r w:rsidRPr="008A3A15">
        <w:rPr>
          <w:rFonts w:eastAsia="Times New Roman"/>
          <w:rtl/>
          <w:lang w:eastAsia="de-DE"/>
        </w:rPr>
        <w:t xml:space="preserve"> </w:t>
      </w:r>
      <w:r w:rsidRPr="008A3A15">
        <w:rPr>
          <w:rFonts w:eastAsia="Times New Roman"/>
          <w:lang w:eastAsia="de-DE"/>
        </w:rPr>
        <w:t xml:space="preserve">als Qal Perfekt, 3. Person Singular maskulin von </w:t>
      </w:r>
      <w:r w:rsidRPr="008A3A15">
        <w:rPr>
          <w:rFonts w:eastAsia="Times New Roman"/>
          <w:b/>
          <w:bCs/>
          <w:rtl/>
          <w:lang w:eastAsia="de-DE"/>
        </w:rPr>
        <w:t>חשׁק</w:t>
      </w:r>
      <w:r w:rsidRPr="008A3A15">
        <w:rPr>
          <w:rFonts w:eastAsia="Times New Roman"/>
          <w:rtl/>
          <w:lang w:eastAsia="de-DE"/>
        </w:rPr>
        <w:t xml:space="preserve"> </w:t>
      </w:r>
      <w:r w:rsidRPr="008A3A15">
        <w:rPr>
          <w:rFonts w:eastAsia="Times New Roman"/>
          <w:lang w:eastAsia="de-DE"/>
        </w:rPr>
        <w:t xml:space="preserve">(„sich zuneigen, </w:t>
      </w:r>
      <w:r w:rsidR="00D47758">
        <w:rPr>
          <w:rFonts w:eastAsia="Times New Roman"/>
          <w:lang w:eastAsia="de-DE"/>
        </w:rPr>
        <w:t>Gefallen</w:t>
      </w:r>
      <w:r w:rsidRPr="008A3A15">
        <w:rPr>
          <w:rFonts w:eastAsia="Times New Roman"/>
          <w:lang w:eastAsia="de-DE"/>
        </w:rPr>
        <w:t xml:space="preserve"> finden, verlangen nach"), </w:t>
      </w:r>
      <w:r w:rsidRPr="008A3A15">
        <w:rPr>
          <w:rFonts w:eastAsia="Times New Roman"/>
          <w:b/>
          <w:bCs/>
          <w:rtl/>
          <w:lang w:eastAsia="de-DE"/>
        </w:rPr>
        <w:t>יְהוָה</w:t>
      </w:r>
      <w:r w:rsidRPr="008A3A15">
        <w:rPr>
          <w:rFonts w:eastAsia="Times New Roman"/>
          <w:rtl/>
          <w:lang w:eastAsia="de-DE"/>
        </w:rPr>
        <w:t xml:space="preserve"> </w:t>
      </w:r>
      <w:r w:rsidRPr="008A3A15">
        <w:rPr>
          <w:rFonts w:eastAsia="Times New Roman"/>
          <w:lang w:eastAsia="de-DE"/>
        </w:rPr>
        <w:t xml:space="preserve">als Subjekt, </w:t>
      </w:r>
      <w:r w:rsidRPr="008A3A15">
        <w:rPr>
          <w:rFonts w:eastAsia="Times New Roman"/>
          <w:b/>
          <w:bCs/>
          <w:rtl/>
          <w:lang w:eastAsia="de-DE"/>
        </w:rPr>
        <w:t>בָּכֶם</w:t>
      </w:r>
      <w:r w:rsidRPr="008A3A15">
        <w:rPr>
          <w:rFonts w:eastAsia="Times New Roman"/>
          <w:rtl/>
          <w:lang w:eastAsia="de-DE"/>
        </w:rPr>
        <w:t xml:space="preserve"> </w:t>
      </w:r>
      <w:r w:rsidRPr="008A3A15">
        <w:rPr>
          <w:rFonts w:eastAsia="Times New Roman"/>
          <w:lang w:eastAsia="de-DE"/>
        </w:rPr>
        <w:t>als präpositionale Ergänzung (</w:t>
      </w:r>
      <w:r w:rsidRPr="008A3A15">
        <w:rPr>
          <w:rFonts w:eastAsia="Times New Roman"/>
          <w:b/>
          <w:bCs/>
          <w:rtl/>
          <w:lang w:eastAsia="de-DE"/>
        </w:rPr>
        <w:t>בְּ</w:t>
      </w:r>
      <w:r w:rsidRPr="008A3A15">
        <w:rPr>
          <w:rFonts w:eastAsia="Times New Roman"/>
          <w:rtl/>
          <w:lang w:eastAsia="de-DE"/>
        </w:rPr>
        <w:t xml:space="preserve"> </w:t>
      </w:r>
      <w:r w:rsidRPr="008A3A15">
        <w:rPr>
          <w:rFonts w:eastAsia="Times New Roman"/>
          <w:lang w:eastAsia="de-DE"/>
        </w:rPr>
        <w:t>mit Suffix 2. Person Plural maskulin – „an euch, euch").</w:t>
      </w:r>
    </w:p>
    <w:p w14:paraId="0FF92A17"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rtl/>
          <w:lang w:eastAsia="de-DE"/>
        </w:rPr>
        <w:t>וַיִּבְחַר בָּכֶם</w:t>
      </w:r>
      <w:r w:rsidRPr="008A3A15">
        <w:rPr>
          <w:rFonts w:eastAsia="Times New Roman"/>
          <w:rtl/>
          <w:lang w:eastAsia="de-DE"/>
        </w:rPr>
        <w:t xml:space="preserve"> </w:t>
      </w:r>
      <w:r w:rsidRPr="008A3A15">
        <w:rPr>
          <w:rFonts w:eastAsia="Times New Roman"/>
          <w:lang w:eastAsia="de-DE"/>
        </w:rPr>
        <w:t xml:space="preserve">ist koordiniert: </w:t>
      </w:r>
      <w:r w:rsidRPr="008A3A15">
        <w:rPr>
          <w:rFonts w:eastAsia="Times New Roman"/>
          <w:b/>
          <w:bCs/>
          <w:rtl/>
          <w:lang w:eastAsia="de-DE"/>
        </w:rPr>
        <w:t>וַיִּבְחַר</w:t>
      </w:r>
      <w:r w:rsidRPr="008A3A15">
        <w:rPr>
          <w:rFonts w:eastAsia="Times New Roman"/>
          <w:rtl/>
          <w:lang w:eastAsia="de-DE"/>
        </w:rPr>
        <w:t xml:space="preserve"> </w:t>
      </w:r>
      <w:r w:rsidRPr="008A3A15">
        <w:rPr>
          <w:rFonts w:eastAsia="Times New Roman"/>
          <w:lang w:eastAsia="de-DE"/>
        </w:rPr>
        <w:t xml:space="preserve">(Qal Imperfekt consecutivum, 3. Person Singular maskulin von </w:t>
      </w:r>
      <w:r w:rsidRPr="008A3A15">
        <w:rPr>
          <w:rFonts w:eastAsia="Times New Roman"/>
          <w:b/>
          <w:bCs/>
          <w:rtl/>
          <w:lang w:eastAsia="de-DE"/>
        </w:rPr>
        <w:t>בחר</w:t>
      </w:r>
      <w:r w:rsidRPr="008A3A15">
        <w:rPr>
          <w:rFonts w:eastAsia="Times New Roman"/>
          <w:lang w:eastAsia="de-DE"/>
        </w:rPr>
        <w:t xml:space="preserve">, „erwählen", mit Waw), </w:t>
      </w:r>
      <w:r w:rsidRPr="008A3A15">
        <w:rPr>
          <w:rFonts w:eastAsia="Times New Roman"/>
          <w:b/>
          <w:bCs/>
          <w:rtl/>
          <w:lang w:eastAsia="de-DE"/>
        </w:rPr>
        <w:t>בָּכֶם</w:t>
      </w:r>
      <w:r w:rsidRPr="008A3A15">
        <w:rPr>
          <w:rFonts w:eastAsia="Times New Roman"/>
          <w:rtl/>
          <w:lang w:eastAsia="de-DE"/>
        </w:rPr>
        <w:t xml:space="preserve"> </w:t>
      </w:r>
      <w:r w:rsidRPr="008A3A15">
        <w:rPr>
          <w:rFonts w:eastAsia="Times New Roman"/>
          <w:lang w:eastAsia="de-DE"/>
        </w:rPr>
        <w:t>als präpositionale Ergänzung.</w:t>
      </w:r>
    </w:p>
    <w:p w14:paraId="64D06296"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rtl/>
          <w:lang w:eastAsia="de-DE"/>
        </w:rPr>
        <w:t>כִּי־אַתֶּם הַמְעַט מִכָּל־הָעַמִּים</w:t>
      </w:r>
      <w:r w:rsidRPr="008A3A15">
        <w:rPr>
          <w:rFonts w:eastAsia="Times New Roman"/>
          <w:rtl/>
          <w:lang w:eastAsia="de-DE"/>
        </w:rPr>
        <w:t xml:space="preserve"> </w:t>
      </w:r>
      <w:r w:rsidRPr="008A3A15">
        <w:rPr>
          <w:rFonts w:eastAsia="Times New Roman"/>
          <w:lang w:eastAsia="de-DE"/>
        </w:rPr>
        <w:t xml:space="preserve">ist ein kausaler nominaler Satz: </w:t>
      </w:r>
      <w:r w:rsidRPr="008A3A15">
        <w:rPr>
          <w:rFonts w:eastAsia="Times New Roman"/>
          <w:b/>
          <w:bCs/>
          <w:rtl/>
          <w:lang w:eastAsia="de-DE"/>
        </w:rPr>
        <w:t>כִּי</w:t>
      </w:r>
      <w:r w:rsidRPr="008A3A15">
        <w:rPr>
          <w:rFonts w:eastAsia="Times New Roman"/>
          <w:rtl/>
          <w:lang w:eastAsia="de-DE"/>
        </w:rPr>
        <w:t xml:space="preserve"> </w:t>
      </w:r>
      <w:r w:rsidRPr="008A3A15">
        <w:rPr>
          <w:rFonts w:eastAsia="Times New Roman"/>
          <w:lang w:eastAsia="de-DE"/>
        </w:rPr>
        <w:t xml:space="preserve">als Konjunktion („denn"), </w:t>
      </w:r>
      <w:r w:rsidRPr="008A3A15">
        <w:rPr>
          <w:rFonts w:eastAsia="Times New Roman"/>
          <w:b/>
          <w:bCs/>
          <w:rtl/>
          <w:lang w:eastAsia="de-DE"/>
        </w:rPr>
        <w:t>אַתֶּם</w:t>
      </w:r>
      <w:r w:rsidRPr="008A3A15">
        <w:rPr>
          <w:rFonts w:eastAsia="Times New Roman"/>
          <w:rtl/>
          <w:lang w:eastAsia="de-DE"/>
        </w:rPr>
        <w:t xml:space="preserve"> </w:t>
      </w:r>
      <w:r w:rsidRPr="008A3A15">
        <w:rPr>
          <w:rFonts w:eastAsia="Times New Roman"/>
          <w:lang w:eastAsia="de-DE"/>
        </w:rPr>
        <w:t xml:space="preserve">als Subjekt (Personalpronomen 2. Person Plural maskulin), </w:t>
      </w:r>
      <w:r w:rsidRPr="008A3A15">
        <w:rPr>
          <w:rFonts w:eastAsia="Times New Roman"/>
          <w:b/>
          <w:bCs/>
          <w:rtl/>
          <w:lang w:eastAsia="de-DE"/>
        </w:rPr>
        <w:t>הַמְעַט</w:t>
      </w:r>
      <w:r w:rsidRPr="008A3A15">
        <w:rPr>
          <w:rFonts w:eastAsia="Times New Roman"/>
          <w:rtl/>
          <w:lang w:eastAsia="de-DE"/>
        </w:rPr>
        <w:t xml:space="preserve"> </w:t>
      </w:r>
      <w:r w:rsidRPr="008A3A15">
        <w:rPr>
          <w:rFonts w:eastAsia="Times New Roman"/>
          <w:lang w:eastAsia="de-DE"/>
        </w:rPr>
        <w:t xml:space="preserve">als Prädikatsnomen (Qal Partizip Singular maskulin von </w:t>
      </w:r>
      <w:r w:rsidRPr="008A3A15">
        <w:rPr>
          <w:rFonts w:eastAsia="Times New Roman"/>
          <w:b/>
          <w:bCs/>
          <w:rtl/>
          <w:lang w:eastAsia="de-DE"/>
        </w:rPr>
        <w:t>מעט</w:t>
      </w:r>
      <w:r w:rsidRPr="008A3A15">
        <w:rPr>
          <w:rFonts w:eastAsia="Times New Roman"/>
          <w:lang w:eastAsia="de-DE"/>
        </w:rPr>
        <w:t xml:space="preserve">, „gering sein, wenig sein", mit Artikel – substantiviert „das Geringste, der Kleinste"), </w:t>
      </w:r>
      <w:r w:rsidRPr="008A3A15">
        <w:rPr>
          <w:rFonts w:eastAsia="Times New Roman"/>
          <w:b/>
          <w:bCs/>
          <w:rtl/>
          <w:lang w:eastAsia="de-DE"/>
        </w:rPr>
        <w:t>מִכָּל־הָעַמִּים</w:t>
      </w:r>
      <w:r w:rsidRPr="008A3A15">
        <w:rPr>
          <w:rFonts w:eastAsia="Times New Roman"/>
          <w:rtl/>
          <w:lang w:eastAsia="de-DE"/>
        </w:rPr>
        <w:t xml:space="preserve"> </w:t>
      </w:r>
      <w:r w:rsidRPr="008A3A15">
        <w:rPr>
          <w:rFonts w:eastAsia="Times New Roman"/>
          <w:lang w:eastAsia="de-DE"/>
        </w:rPr>
        <w:t>als Vergleichskonstruktion (</w:t>
      </w:r>
      <w:r w:rsidRPr="008A3A15">
        <w:rPr>
          <w:rFonts w:eastAsia="Times New Roman"/>
          <w:b/>
          <w:bCs/>
          <w:rtl/>
          <w:lang w:eastAsia="de-DE"/>
        </w:rPr>
        <w:t>מִן</w:t>
      </w:r>
      <w:r w:rsidRPr="008A3A15">
        <w:rPr>
          <w:rFonts w:eastAsia="Times New Roman"/>
          <w:rtl/>
          <w:lang w:eastAsia="de-DE"/>
        </w:rPr>
        <w:t xml:space="preserve"> </w:t>
      </w:r>
      <w:r w:rsidRPr="008A3A15">
        <w:rPr>
          <w:rFonts w:eastAsia="Times New Roman"/>
          <w:lang w:eastAsia="de-DE"/>
        </w:rPr>
        <w:t xml:space="preserve">komparativ mit </w:t>
      </w:r>
      <w:r w:rsidRPr="008A3A15">
        <w:rPr>
          <w:rFonts w:eastAsia="Times New Roman"/>
          <w:b/>
          <w:bCs/>
          <w:rtl/>
          <w:lang w:eastAsia="de-DE"/>
        </w:rPr>
        <w:t>כָּל</w:t>
      </w:r>
      <w:r w:rsidRPr="008A3A15">
        <w:rPr>
          <w:rFonts w:eastAsia="Times New Roman"/>
          <w:rtl/>
          <w:lang w:eastAsia="de-DE"/>
        </w:rPr>
        <w:t xml:space="preserve"> </w:t>
      </w:r>
      <w:r w:rsidRPr="008A3A15">
        <w:rPr>
          <w:rFonts w:eastAsia="Times New Roman"/>
          <w:lang w:eastAsia="de-DE"/>
        </w:rPr>
        <w:t xml:space="preserve">und </w:t>
      </w:r>
      <w:r w:rsidRPr="008A3A15">
        <w:rPr>
          <w:rFonts w:eastAsia="Times New Roman"/>
          <w:b/>
          <w:bCs/>
          <w:rtl/>
          <w:lang w:eastAsia="de-DE"/>
        </w:rPr>
        <w:t>עַם</w:t>
      </w:r>
      <w:r w:rsidRPr="008A3A15">
        <w:rPr>
          <w:rFonts w:eastAsia="Times New Roman"/>
          <w:lang w:eastAsia="de-DE"/>
        </w:rPr>
        <w:t>, Plural, mit Artikel – „mehr als alle Völker" = „das Geringste unter allen Völkern").</w:t>
      </w:r>
    </w:p>
    <w:p w14:paraId="7F58282B" w14:textId="77777777" w:rsidR="008A3A15" w:rsidRDefault="008A3A15" w:rsidP="008A3A15">
      <w:pPr>
        <w:spacing w:before="100" w:beforeAutospacing="1" w:after="100" w:afterAutospacing="1" w:line="240" w:lineRule="auto"/>
        <w:rPr>
          <w:rFonts w:eastAsia="Times New Roman"/>
          <w:lang w:eastAsia="de-DE"/>
        </w:rPr>
      </w:pPr>
      <w:r w:rsidRPr="008A3A15">
        <w:rPr>
          <w:rFonts w:eastAsia="Times New Roman"/>
          <w:lang w:eastAsia="de-DE"/>
        </w:rPr>
        <w:t xml:space="preserve">Die Aussage ist theologisch bemerkenswert: JHWHs Erwählung Israels beruht nicht auf Israels Größe oder Verdienst, sondern auf seiner freien Gnade. Dies widerspricht jeglichem nationalen Stolz. Das Verb </w:t>
      </w:r>
      <w:r w:rsidRPr="008A3A15">
        <w:rPr>
          <w:rFonts w:eastAsia="Times New Roman"/>
          <w:b/>
          <w:bCs/>
          <w:rtl/>
          <w:lang w:eastAsia="de-DE"/>
        </w:rPr>
        <w:t>חשׁק</w:t>
      </w:r>
      <w:r w:rsidRPr="008A3A15">
        <w:rPr>
          <w:rFonts w:eastAsia="Times New Roman"/>
          <w:rtl/>
          <w:lang w:eastAsia="de-DE"/>
        </w:rPr>
        <w:t xml:space="preserve"> </w:t>
      </w:r>
      <w:r w:rsidRPr="008A3A15">
        <w:rPr>
          <w:rFonts w:eastAsia="Times New Roman"/>
          <w:lang w:eastAsia="de-DE"/>
        </w:rPr>
        <w:t xml:space="preserve">(„sich zuneigen, verlangen") drückt eine affektive, emotionale Hinwendung aus – stärker als </w:t>
      </w:r>
      <w:r w:rsidRPr="008A3A15">
        <w:rPr>
          <w:rFonts w:eastAsia="Times New Roman"/>
          <w:b/>
          <w:bCs/>
          <w:rtl/>
          <w:lang w:eastAsia="de-DE"/>
        </w:rPr>
        <w:t>אהב</w:t>
      </w:r>
      <w:r w:rsidRPr="008A3A15">
        <w:rPr>
          <w:rFonts w:eastAsia="Times New Roman"/>
          <w:rtl/>
          <w:lang w:eastAsia="de-DE"/>
        </w:rPr>
        <w:t xml:space="preserve"> </w:t>
      </w:r>
      <w:r w:rsidRPr="008A3A15">
        <w:rPr>
          <w:rFonts w:eastAsia="Times New Roman"/>
          <w:lang w:eastAsia="de-DE"/>
        </w:rPr>
        <w:t xml:space="preserve">(„lieben"). </w:t>
      </w:r>
    </w:p>
    <w:p w14:paraId="2962F11B" w14:textId="30B3DDFE"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lang w:eastAsia="de-DE"/>
        </w:rPr>
        <w:t>Die LXX</w:t>
      </w:r>
      <w:r w:rsidRPr="008A3A15">
        <w:rPr>
          <w:rFonts w:eastAsia="Times New Roman"/>
          <w:lang w:eastAsia="de-DE"/>
        </w:rPr>
        <w:t xml:space="preserve"> übersetzt: </w:t>
      </w:r>
      <w:proofErr w:type="spellStart"/>
      <w:r w:rsidRPr="008A3A15">
        <w:rPr>
          <w:rFonts w:eastAsia="Times New Roman"/>
          <w:b/>
          <w:bCs/>
          <w:lang w:eastAsia="de-DE"/>
        </w:rPr>
        <w:t>οὐχ</w:t>
      </w:r>
      <w:proofErr w:type="spellEnd"/>
      <w:r w:rsidRPr="008A3A15">
        <w:rPr>
          <w:rFonts w:eastAsia="Times New Roman"/>
          <w:b/>
          <w:bCs/>
          <w:lang w:eastAsia="de-DE"/>
        </w:rPr>
        <w:t xml:space="preserve"> </w:t>
      </w:r>
      <w:proofErr w:type="spellStart"/>
      <w:r w:rsidRPr="008A3A15">
        <w:rPr>
          <w:rFonts w:eastAsia="Times New Roman"/>
          <w:b/>
          <w:bCs/>
          <w:lang w:eastAsia="de-DE"/>
        </w:rPr>
        <w:t>ὅτι</w:t>
      </w:r>
      <w:proofErr w:type="spellEnd"/>
      <w:r w:rsidRPr="008A3A15">
        <w:rPr>
          <w:rFonts w:eastAsia="Times New Roman"/>
          <w:b/>
          <w:bCs/>
          <w:lang w:eastAsia="de-DE"/>
        </w:rPr>
        <w:t xml:space="preserve"> π</w:t>
      </w:r>
      <w:proofErr w:type="spellStart"/>
      <w:r w:rsidRPr="008A3A15">
        <w:rPr>
          <w:rFonts w:eastAsia="Times New Roman"/>
          <w:b/>
          <w:bCs/>
          <w:lang w:eastAsia="de-DE"/>
        </w:rPr>
        <w:t>ολυ</w:t>
      </w:r>
      <w:proofErr w:type="spellEnd"/>
      <w:r w:rsidRPr="008A3A15">
        <w:rPr>
          <w:rFonts w:eastAsia="Times New Roman"/>
          <w:b/>
          <w:bCs/>
          <w:lang w:eastAsia="de-DE"/>
        </w:rPr>
        <w:t>πλασιάζετε πα</w:t>
      </w:r>
      <w:proofErr w:type="spellStart"/>
      <w:r w:rsidRPr="008A3A15">
        <w:rPr>
          <w:rFonts w:eastAsia="Times New Roman"/>
          <w:b/>
          <w:bCs/>
          <w:lang w:eastAsia="de-DE"/>
        </w:rPr>
        <w:t>ρὰ</w:t>
      </w:r>
      <w:proofErr w:type="spellEnd"/>
      <w:r w:rsidRPr="008A3A15">
        <w:rPr>
          <w:rFonts w:eastAsia="Times New Roman"/>
          <w:b/>
          <w:bCs/>
          <w:lang w:eastAsia="de-DE"/>
        </w:rPr>
        <w:t xml:space="preserve"> π</w:t>
      </w:r>
      <w:proofErr w:type="spellStart"/>
      <w:r w:rsidRPr="008A3A15">
        <w:rPr>
          <w:rFonts w:eastAsia="Times New Roman"/>
          <w:b/>
          <w:bCs/>
          <w:lang w:eastAsia="de-DE"/>
        </w:rPr>
        <w:t>άντ</w:t>
      </w:r>
      <w:proofErr w:type="spellEnd"/>
      <w:r w:rsidRPr="008A3A15">
        <w:rPr>
          <w:rFonts w:eastAsia="Times New Roman"/>
          <w:b/>
          <w:bCs/>
          <w:lang w:eastAsia="de-DE"/>
        </w:rPr>
        <w:t xml:space="preserve">α </w:t>
      </w:r>
      <w:proofErr w:type="spellStart"/>
      <w:r w:rsidRPr="008A3A15">
        <w:rPr>
          <w:rFonts w:eastAsia="Times New Roman"/>
          <w:b/>
          <w:bCs/>
          <w:lang w:eastAsia="de-DE"/>
        </w:rPr>
        <w:t>τὰ</w:t>
      </w:r>
      <w:proofErr w:type="spellEnd"/>
      <w:r w:rsidRPr="008A3A15">
        <w:rPr>
          <w:rFonts w:eastAsia="Times New Roman"/>
          <w:b/>
          <w:bCs/>
          <w:lang w:eastAsia="de-DE"/>
        </w:rPr>
        <w:t xml:space="preserve"> </w:t>
      </w:r>
      <w:proofErr w:type="spellStart"/>
      <w:r w:rsidRPr="008A3A15">
        <w:rPr>
          <w:rFonts w:eastAsia="Times New Roman"/>
          <w:b/>
          <w:bCs/>
          <w:lang w:eastAsia="de-DE"/>
        </w:rPr>
        <w:t>ἔθνη</w:t>
      </w:r>
      <w:proofErr w:type="spellEnd"/>
      <w:r w:rsidRPr="008A3A15">
        <w:rPr>
          <w:rFonts w:eastAsia="Times New Roman"/>
          <w:b/>
          <w:bCs/>
          <w:lang w:eastAsia="de-DE"/>
        </w:rPr>
        <w:t xml:space="preserve"> π</w:t>
      </w:r>
      <w:proofErr w:type="spellStart"/>
      <w:r w:rsidRPr="008A3A15">
        <w:rPr>
          <w:rFonts w:eastAsia="Times New Roman"/>
          <w:b/>
          <w:bCs/>
          <w:lang w:eastAsia="de-DE"/>
        </w:rPr>
        <w:t>ροείλ</w:t>
      </w:r>
      <w:proofErr w:type="spellEnd"/>
      <w:r w:rsidRPr="008A3A15">
        <w:rPr>
          <w:rFonts w:eastAsia="Times New Roman"/>
          <w:b/>
          <w:bCs/>
          <w:lang w:eastAsia="de-DE"/>
        </w:rPr>
        <w:t xml:space="preserve">ατο </w:t>
      </w:r>
      <w:proofErr w:type="spellStart"/>
      <w:r w:rsidRPr="008A3A15">
        <w:rPr>
          <w:rFonts w:eastAsia="Times New Roman"/>
          <w:b/>
          <w:bCs/>
          <w:lang w:eastAsia="de-DE"/>
        </w:rPr>
        <w:t>κύριος</w:t>
      </w:r>
      <w:proofErr w:type="spellEnd"/>
      <w:r w:rsidRPr="008A3A15">
        <w:rPr>
          <w:rFonts w:eastAsia="Times New Roman"/>
          <w:b/>
          <w:bCs/>
          <w:lang w:eastAsia="de-DE"/>
        </w:rPr>
        <w:t xml:space="preserve"> </w:t>
      </w:r>
      <w:proofErr w:type="spellStart"/>
      <w:r w:rsidRPr="008A3A15">
        <w:rPr>
          <w:rFonts w:eastAsia="Times New Roman"/>
          <w:b/>
          <w:bCs/>
          <w:lang w:eastAsia="de-DE"/>
        </w:rPr>
        <w:t>ὑμᾶς</w:t>
      </w:r>
      <w:proofErr w:type="spellEnd"/>
      <w:r w:rsidRPr="008A3A15">
        <w:rPr>
          <w:rFonts w:eastAsia="Times New Roman"/>
          <w:b/>
          <w:bCs/>
          <w:lang w:eastAsia="de-DE"/>
        </w:rPr>
        <w:t xml:space="preserve"> καὶ </w:t>
      </w:r>
      <w:proofErr w:type="spellStart"/>
      <w:r w:rsidRPr="008A3A15">
        <w:rPr>
          <w:rFonts w:eastAsia="Times New Roman"/>
          <w:b/>
          <w:bCs/>
          <w:lang w:eastAsia="de-DE"/>
        </w:rPr>
        <w:t>ἐξελέξ</w:t>
      </w:r>
      <w:proofErr w:type="spellEnd"/>
      <w:r w:rsidRPr="008A3A15">
        <w:rPr>
          <w:rFonts w:eastAsia="Times New Roman"/>
          <w:b/>
          <w:bCs/>
          <w:lang w:eastAsia="de-DE"/>
        </w:rPr>
        <w:t xml:space="preserve">ατο </w:t>
      </w:r>
      <w:proofErr w:type="spellStart"/>
      <w:r w:rsidRPr="008A3A15">
        <w:rPr>
          <w:rFonts w:eastAsia="Times New Roman"/>
          <w:b/>
          <w:bCs/>
          <w:lang w:eastAsia="de-DE"/>
        </w:rPr>
        <w:t>ὑμᾶς</w:t>
      </w:r>
      <w:proofErr w:type="spellEnd"/>
      <w:r w:rsidRPr="008A3A15">
        <w:rPr>
          <w:rFonts w:eastAsia="Times New Roman"/>
          <w:lang w:eastAsia="de-DE"/>
        </w:rPr>
        <w:t xml:space="preserve"> („nicht weil ihr euch mehrt über alle Völker hinaus, hat der Herr euch vorerwählt und euch auserwählt").</w:t>
      </w:r>
    </w:p>
    <w:p w14:paraId="53C85FC4"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lang w:eastAsia="de-DE"/>
        </w:rPr>
        <w:t>Die Satzstruktur ist ein negierter Satz mit kausaler bzw. modaler Infinitivkonstruktion (mit Suffix als Subjekt) und komparativer Angabe, Prädikat, Subjekt und präpositionaler Ergänzung, gefolgt von einem koordinierten Verb mit präpositionaler Ergänzung und einem kausalen nominalen Satz mit Subjekt, Prädikatsnomen (substantiviertes Partizip) und komparativer Angabe. Die Struktur betont die paradoxe Grundlage der Erwählung: gerade die Kleinheit Israels.</w:t>
      </w:r>
    </w:p>
    <w:p w14:paraId="490EBC91"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lang w:eastAsia="de-DE"/>
        </w:rPr>
        <w:lastRenderedPageBreak/>
        <w:t>Der Vers korrigiert möglichen Stolz: JHWH erwählte Israel nicht wegen seiner Größe oder Stärke – im Gegenteil, Israel ist das kleinste unter allen Völkern. Die Erwählung beruht allein auf JHWHs freier Zuneigung.</w:t>
      </w:r>
    </w:p>
    <w:p w14:paraId="5564E2C3" w14:textId="77777777" w:rsidR="008A3A15" w:rsidRPr="008A3A15" w:rsidRDefault="008A3A15" w:rsidP="008A3A15">
      <w:pPr>
        <w:spacing w:before="100" w:beforeAutospacing="1" w:after="100" w:afterAutospacing="1" w:line="240" w:lineRule="auto"/>
        <w:outlineLvl w:val="1"/>
        <w:rPr>
          <w:rFonts w:eastAsia="Times New Roman"/>
          <w:b/>
          <w:bCs/>
          <w:sz w:val="36"/>
          <w:szCs w:val="36"/>
          <w:lang w:eastAsia="de-DE"/>
        </w:rPr>
      </w:pPr>
      <w:r w:rsidRPr="008A3A15">
        <w:rPr>
          <w:rFonts w:eastAsia="Times New Roman"/>
          <w:b/>
          <w:bCs/>
          <w:sz w:val="36"/>
          <w:szCs w:val="36"/>
          <w:lang w:eastAsia="de-DE"/>
        </w:rPr>
        <w:t>Deuteronomium 7,8</w:t>
      </w:r>
    </w:p>
    <w:p w14:paraId="1A5C35BF"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lang w:eastAsia="de-DE"/>
        </w:rPr>
        <w:t>Hebräisch:</w:t>
      </w:r>
      <w:r w:rsidRPr="008A3A15">
        <w:rPr>
          <w:rFonts w:eastAsia="Times New Roman"/>
          <w:lang w:eastAsia="de-DE"/>
        </w:rPr>
        <w:t xml:space="preserve"> </w:t>
      </w:r>
      <w:r w:rsidRPr="008A3A15">
        <w:rPr>
          <w:rFonts w:eastAsia="Times New Roman"/>
          <w:rtl/>
          <w:lang w:eastAsia="de-DE"/>
        </w:rPr>
        <w:t>כִּי מֵאַהֲבַת יְהוָה אֶתְכֶם וּמִשָּׁמְרוֹ אֶת־הַשְּׁבֻעָה אֲשֶׁר נִשְׁבַּע לַאֲבֹתֵיכֶם הוֹצִיא יְהוָה אֶתְכֶם בְּיָד חֲזָקָה וַיִּפְדְּךָ מִבֵּית עֲבָדִים מִיַּד פַּרְעֹה מֶלֶךְ־מִצְרָיִם׃</w:t>
      </w:r>
    </w:p>
    <w:p w14:paraId="5E86B13C"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lang w:eastAsia="de-DE"/>
        </w:rPr>
        <w:t>Deutsch:</w:t>
      </w:r>
      <w:r w:rsidRPr="008A3A15">
        <w:rPr>
          <w:rFonts w:eastAsia="Times New Roman"/>
          <w:lang w:eastAsia="de-DE"/>
        </w:rPr>
        <w:t xml:space="preserve"> sondern wegen der Liebe des Ewigen zu euch, und weil er den Eid hielt, den er euren Vätern geschworen hat, hat der Ewige euch mit starker Hand herausgeführt und dich erlöst aus dem Haus der Knechtschaft, aus der Hand des Par'o, des Königs von Mizrajim.</w:t>
      </w:r>
    </w:p>
    <w:p w14:paraId="704A2442" w14:textId="77777777" w:rsidR="008A3A15" w:rsidRPr="008A3A15" w:rsidRDefault="004F5CEB" w:rsidP="008A3A15">
      <w:pPr>
        <w:spacing w:after="0" w:line="240" w:lineRule="auto"/>
        <w:rPr>
          <w:rFonts w:eastAsia="Times New Roman"/>
          <w:lang w:eastAsia="de-DE"/>
        </w:rPr>
      </w:pPr>
      <w:r>
        <w:rPr>
          <w:rFonts w:eastAsia="Times New Roman"/>
          <w:noProof/>
          <w:lang w:eastAsia="de-DE"/>
        </w:rPr>
        <w:pict w14:anchorId="0F65F1D0">
          <v:rect id="_x0000_i1251" style="width:0;height:1.5pt" o:hralign="center" o:hrstd="t" o:hr="t" fillcolor="#a0a0a0" stroked="f"/>
        </w:pict>
      </w:r>
    </w:p>
    <w:p w14:paraId="675DF388"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lang w:eastAsia="de-DE"/>
        </w:rPr>
        <w:t>Kommentar:</w:t>
      </w:r>
      <w:r w:rsidRPr="008A3A15">
        <w:rPr>
          <w:rFonts w:eastAsia="Times New Roman"/>
          <w:lang w:eastAsia="de-DE"/>
        </w:rPr>
        <w:t xml:space="preserve"> </w:t>
      </w:r>
      <w:r w:rsidRPr="008A3A15">
        <w:rPr>
          <w:rFonts w:eastAsia="Times New Roman"/>
          <w:b/>
          <w:bCs/>
          <w:rtl/>
          <w:lang w:eastAsia="de-DE"/>
        </w:rPr>
        <w:t>כִּי מֵאַהֲבַת יְהוָה אֶתְכֶם וּמִשָּׁמְרוֹ אֶת־הַשְּׁבֻעָה אֲשֶׁר נִשְׁבַּע לַאֲבֹתֵיכֶם</w:t>
      </w:r>
      <w:r w:rsidRPr="008A3A15">
        <w:rPr>
          <w:rFonts w:eastAsia="Times New Roman"/>
          <w:rtl/>
          <w:lang w:eastAsia="de-DE"/>
        </w:rPr>
        <w:t xml:space="preserve"> </w:t>
      </w:r>
      <w:r w:rsidRPr="008A3A15">
        <w:rPr>
          <w:rFonts w:eastAsia="Times New Roman"/>
          <w:lang w:eastAsia="de-DE"/>
        </w:rPr>
        <w:t xml:space="preserve">ist eine zweigliedrige kausale Konstruktion: </w:t>
      </w:r>
      <w:r w:rsidRPr="008A3A15">
        <w:rPr>
          <w:rFonts w:eastAsia="Times New Roman"/>
          <w:b/>
          <w:bCs/>
          <w:rtl/>
          <w:lang w:eastAsia="de-DE"/>
        </w:rPr>
        <w:t>כִּי</w:t>
      </w:r>
      <w:r w:rsidRPr="008A3A15">
        <w:rPr>
          <w:rFonts w:eastAsia="Times New Roman"/>
          <w:rtl/>
          <w:lang w:eastAsia="de-DE"/>
        </w:rPr>
        <w:t xml:space="preserve"> </w:t>
      </w:r>
      <w:r w:rsidRPr="008A3A15">
        <w:rPr>
          <w:rFonts w:eastAsia="Times New Roman"/>
          <w:lang w:eastAsia="de-DE"/>
        </w:rPr>
        <w:t xml:space="preserve">als adversative Konjunktion („sondern"), </w:t>
      </w:r>
      <w:r w:rsidRPr="008A3A15">
        <w:rPr>
          <w:rFonts w:eastAsia="Times New Roman"/>
          <w:b/>
          <w:bCs/>
          <w:rtl/>
          <w:lang w:eastAsia="de-DE"/>
        </w:rPr>
        <w:t>מֵאַהֲבַת יְהוָה אֶתְכֶם</w:t>
      </w:r>
      <w:r w:rsidRPr="008A3A15">
        <w:rPr>
          <w:rFonts w:eastAsia="Times New Roman"/>
          <w:rtl/>
          <w:lang w:eastAsia="de-DE"/>
        </w:rPr>
        <w:t xml:space="preserve"> </w:t>
      </w:r>
      <w:r w:rsidRPr="008A3A15">
        <w:rPr>
          <w:rFonts w:eastAsia="Times New Roman"/>
          <w:lang w:eastAsia="de-DE"/>
        </w:rPr>
        <w:t>als erste Begründung (</w:t>
      </w:r>
      <w:r w:rsidRPr="008A3A15">
        <w:rPr>
          <w:rFonts w:eastAsia="Times New Roman"/>
          <w:b/>
          <w:bCs/>
          <w:rtl/>
          <w:lang w:eastAsia="de-DE"/>
        </w:rPr>
        <w:t>מִן</w:t>
      </w:r>
      <w:r w:rsidRPr="008A3A15">
        <w:rPr>
          <w:rFonts w:eastAsia="Times New Roman"/>
          <w:rtl/>
          <w:lang w:eastAsia="de-DE"/>
        </w:rPr>
        <w:t xml:space="preserve"> </w:t>
      </w:r>
      <w:r w:rsidRPr="008A3A15">
        <w:rPr>
          <w:rFonts w:eastAsia="Times New Roman"/>
          <w:lang w:eastAsia="de-DE"/>
        </w:rPr>
        <w:t xml:space="preserve">kausal mit </w:t>
      </w:r>
      <w:r w:rsidRPr="008A3A15">
        <w:rPr>
          <w:rFonts w:eastAsia="Times New Roman"/>
          <w:b/>
          <w:bCs/>
          <w:rtl/>
          <w:lang w:eastAsia="de-DE"/>
        </w:rPr>
        <w:t>אַהֲבָה</w:t>
      </w:r>
      <w:r w:rsidRPr="008A3A15">
        <w:rPr>
          <w:rFonts w:eastAsia="Times New Roman"/>
          <w:lang w:eastAsia="de-DE"/>
        </w:rPr>
        <w:t xml:space="preserve">, „Liebe", Construct, </w:t>
      </w:r>
      <w:r w:rsidRPr="008A3A15">
        <w:rPr>
          <w:rFonts w:eastAsia="Times New Roman"/>
          <w:b/>
          <w:bCs/>
          <w:rtl/>
          <w:lang w:eastAsia="de-DE"/>
        </w:rPr>
        <w:t>יְהוָה</w:t>
      </w:r>
      <w:r w:rsidRPr="008A3A15">
        <w:rPr>
          <w:rFonts w:eastAsia="Times New Roman"/>
          <w:rtl/>
          <w:lang w:eastAsia="de-DE"/>
        </w:rPr>
        <w:t xml:space="preserve"> </w:t>
      </w:r>
      <w:r w:rsidRPr="008A3A15">
        <w:rPr>
          <w:rFonts w:eastAsia="Times New Roman"/>
          <w:lang w:eastAsia="de-DE"/>
        </w:rPr>
        <w:t xml:space="preserve">als Genitivattribut, </w:t>
      </w:r>
      <w:r w:rsidRPr="008A3A15">
        <w:rPr>
          <w:rFonts w:eastAsia="Times New Roman"/>
          <w:b/>
          <w:bCs/>
          <w:rtl/>
          <w:lang w:eastAsia="de-DE"/>
        </w:rPr>
        <w:t>אֶתְכֶם</w:t>
      </w:r>
      <w:r w:rsidRPr="008A3A15">
        <w:rPr>
          <w:rFonts w:eastAsia="Times New Roman"/>
          <w:rtl/>
          <w:lang w:eastAsia="de-DE"/>
        </w:rPr>
        <w:t xml:space="preserve"> </w:t>
      </w:r>
      <w:r w:rsidRPr="008A3A15">
        <w:rPr>
          <w:rFonts w:eastAsia="Times New Roman"/>
          <w:lang w:eastAsia="de-DE"/>
        </w:rPr>
        <w:t xml:space="preserve">als direktes Objekt zum Verbalsubstantiv – „wegen der Liebe JHWHs zu euch"), </w:t>
      </w:r>
      <w:r w:rsidRPr="008A3A15">
        <w:rPr>
          <w:rFonts w:eastAsia="Times New Roman"/>
          <w:b/>
          <w:bCs/>
          <w:rtl/>
          <w:lang w:eastAsia="de-DE"/>
        </w:rPr>
        <w:t>וּמִשָּׁמְרוֹ אֶת־הַשְּׁבֻעָה</w:t>
      </w:r>
      <w:r w:rsidRPr="008A3A15">
        <w:rPr>
          <w:rFonts w:eastAsia="Times New Roman"/>
          <w:rtl/>
          <w:lang w:eastAsia="de-DE"/>
        </w:rPr>
        <w:t xml:space="preserve"> </w:t>
      </w:r>
      <w:r w:rsidRPr="008A3A15">
        <w:rPr>
          <w:rFonts w:eastAsia="Times New Roman"/>
          <w:lang w:eastAsia="de-DE"/>
        </w:rPr>
        <w:t>als zweite koordinierte Begründung (</w:t>
      </w:r>
      <w:r w:rsidRPr="008A3A15">
        <w:rPr>
          <w:rFonts w:eastAsia="Times New Roman"/>
          <w:b/>
          <w:bCs/>
          <w:rtl/>
          <w:lang w:eastAsia="de-DE"/>
        </w:rPr>
        <w:t>וְ</w:t>
      </w:r>
      <w:r w:rsidRPr="008A3A15">
        <w:rPr>
          <w:rFonts w:eastAsia="Times New Roman"/>
          <w:rtl/>
          <w:lang w:eastAsia="de-DE"/>
        </w:rPr>
        <w:t xml:space="preserve"> </w:t>
      </w:r>
      <w:r w:rsidRPr="008A3A15">
        <w:rPr>
          <w:rFonts w:eastAsia="Times New Roman"/>
          <w:lang w:eastAsia="de-DE"/>
        </w:rPr>
        <w:t xml:space="preserve">mit </w:t>
      </w:r>
      <w:r w:rsidRPr="008A3A15">
        <w:rPr>
          <w:rFonts w:eastAsia="Times New Roman"/>
          <w:b/>
          <w:bCs/>
          <w:rtl/>
          <w:lang w:eastAsia="de-DE"/>
        </w:rPr>
        <w:t>מִן</w:t>
      </w:r>
      <w:r w:rsidRPr="008A3A15">
        <w:rPr>
          <w:rFonts w:eastAsia="Times New Roman"/>
          <w:rtl/>
          <w:lang w:eastAsia="de-DE"/>
        </w:rPr>
        <w:t xml:space="preserve"> </w:t>
      </w:r>
      <w:r w:rsidRPr="008A3A15">
        <w:rPr>
          <w:rFonts w:eastAsia="Times New Roman"/>
          <w:lang w:eastAsia="de-DE"/>
        </w:rPr>
        <w:t xml:space="preserve">kausal, Qal Infinitiv Construct von </w:t>
      </w:r>
      <w:r w:rsidRPr="008A3A15">
        <w:rPr>
          <w:rFonts w:eastAsia="Times New Roman"/>
          <w:b/>
          <w:bCs/>
          <w:rtl/>
          <w:lang w:eastAsia="de-DE"/>
        </w:rPr>
        <w:t>שׁמר</w:t>
      </w:r>
      <w:r w:rsidRPr="008A3A15">
        <w:rPr>
          <w:rFonts w:eastAsia="Times New Roman"/>
          <w:lang w:eastAsia="de-DE"/>
        </w:rPr>
        <w:t xml:space="preserve">, „bewahren, halten", mit Suffix 3. Person Singular maskulin als Subjekt, </w:t>
      </w:r>
      <w:r w:rsidRPr="008A3A15">
        <w:rPr>
          <w:rFonts w:eastAsia="Times New Roman"/>
          <w:b/>
          <w:bCs/>
          <w:rtl/>
          <w:lang w:eastAsia="de-DE"/>
        </w:rPr>
        <w:t>אֶת־הַשְּׁבֻעָה</w:t>
      </w:r>
      <w:r w:rsidRPr="008A3A15">
        <w:rPr>
          <w:rFonts w:eastAsia="Times New Roman"/>
          <w:rtl/>
          <w:lang w:eastAsia="de-DE"/>
        </w:rPr>
        <w:t xml:space="preserve"> </w:t>
      </w:r>
      <w:r w:rsidRPr="008A3A15">
        <w:rPr>
          <w:rFonts w:eastAsia="Times New Roman"/>
          <w:lang w:eastAsia="de-DE"/>
        </w:rPr>
        <w:t xml:space="preserve">als direktes Objekt – </w:t>
      </w:r>
      <w:r w:rsidRPr="008A3A15">
        <w:rPr>
          <w:rFonts w:eastAsia="Times New Roman"/>
          <w:b/>
          <w:bCs/>
          <w:rtl/>
          <w:lang w:eastAsia="de-DE"/>
        </w:rPr>
        <w:t>שְׁבוּעָה</w:t>
      </w:r>
      <w:r w:rsidRPr="008A3A15">
        <w:rPr>
          <w:rFonts w:eastAsia="Times New Roman"/>
          <w:lang w:eastAsia="de-DE"/>
        </w:rPr>
        <w:t xml:space="preserve">, „Eid, Schwur", mit Artikel), </w:t>
      </w:r>
      <w:r w:rsidRPr="008A3A15">
        <w:rPr>
          <w:rFonts w:eastAsia="Times New Roman"/>
          <w:b/>
          <w:bCs/>
          <w:rtl/>
          <w:lang w:eastAsia="de-DE"/>
        </w:rPr>
        <w:t>אֲשֶׁר נִשְׁבַּע לַאֲבֹתֵיכֶם</w:t>
      </w:r>
      <w:r w:rsidRPr="008A3A15">
        <w:rPr>
          <w:rFonts w:eastAsia="Times New Roman"/>
          <w:rtl/>
          <w:lang w:eastAsia="de-DE"/>
        </w:rPr>
        <w:t xml:space="preserve"> </w:t>
      </w:r>
      <w:r w:rsidRPr="008A3A15">
        <w:rPr>
          <w:rFonts w:eastAsia="Times New Roman"/>
          <w:lang w:eastAsia="de-DE"/>
        </w:rPr>
        <w:t xml:space="preserve">als Relativsatz (Nifal Perfekt, 3. Person Singular maskulin von </w:t>
      </w:r>
      <w:r w:rsidRPr="008A3A15">
        <w:rPr>
          <w:rFonts w:eastAsia="Times New Roman"/>
          <w:b/>
          <w:bCs/>
          <w:rtl/>
          <w:lang w:eastAsia="de-DE"/>
        </w:rPr>
        <w:t>שׁבע</w:t>
      </w:r>
      <w:r w:rsidRPr="008A3A15">
        <w:rPr>
          <w:rFonts w:eastAsia="Times New Roman"/>
          <w:lang w:eastAsia="de-DE"/>
        </w:rPr>
        <w:t xml:space="preserve">, „schwören", </w:t>
      </w:r>
      <w:r w:rsidRPr="008A3A15">
        <w:rPr>
          <w:rFonts w:eastAsia="Times New Roman"/>
          <w:b/>
          <w:bCs/>
          <w:rtl/>
          <w:lang w:eastAsia="de-DE"/>
        </w:rPr>
        <w:t>לַאֲבֹתֵיכֶם</w:t>
      </w:r>
      <w:r w:rsidRPr="008A3A15">
        <w:rPr>
          <w:rFonts w:eastAsia="Times New Roman"/>
          <w:rtl/>
          <w:lang w:eastAsia="de-DE"/>
        </w:rPr>
        <w:t xml:space="preserve"> </w:t>
      </w:r>
      <w:r w:rsidRPr="008A3A15">
        <w:rPr>
          <w:rFonts w:eastAsia="Times New Roman"/>
          <w:lang w:eastAsia="de-DE"/>
        </w:rPr>
        <w:t xml:space="preserve">als indirektes Objekt – </w:t>
      </w:r>
      <w:r w:rsidRPr="008A3A15">
        <w:rPr>
          <w:rFonts w:eastAsia="Times New Roman"/>
          <w:b/>
          <w:bCs/>
          <w:rtl/>
          <w:lang w:eastAsia="de-DE"/>
        </w:rPr>
        <w:t>לְ</w:t>
      </w:r>
      <w:r w:rsidRPr="008A3A15">
        <w:rPr>
          <w:rFonts w:eastAsia="Times New Roman"/>
          <w:rtl/>
          <w:lang w:eastAsia="de-DE"/>
        </w:rPr>
        <w:t xml:space="preserve"> </w:t>
      </w:r>
      <w:r w:rsidRPr="008A3A15">
        <w:rPr>
          <w:rFonts w:eastAsia="Times New Roman"/>
          <w:lang w:eastAsia="de-DE"/>
        </w:rPr>
        <w:t xml:space="preserve">mit </w:t>
      </w:r>
      <w:r w:rsidRPr="008A3A15">
        <w:rPr>
          <w:rFonts w:eastAsia="Times New Roman"/>
          <w:b/>
          <w:bCs/>
          <w:rtl/>
          <w:lang w:eastAsia="de-DE"/>
        </w:rPr>
        <w:t>אָבוֹת</w:t>
      </w:r>
      <w:r w:rsidRPr="008A3A15">
        <w:rPr>
          <w:rFonts w:eastAsia="Times New Roman"/>
          <w:lang w:eastAsia="de-DE"/>
        </w:rPr>
        <w:t>, Plural, und Suffix 2. Person Plural maskulin).</w:t>
      </w:r>
    </w:p>
    <w:p w14:paraId="1A54967B"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rtl/>
          <w:lang w:eastAsia="de-DE"/>
        </w:rPr>
        <w:t>הוֹצִיא יְהוָה אֶתְכֶם בְּיָד חֲזָקָה</w:t>
      </w:r>
      <w:r w:rsidRPr="008A3A15">
        <w:rPr>
          <w:rFonts w:eastAsia="Times New Roman"/>
          <w:rtl/>
          <w:lang w:eastAsia="de-DE"/>
        </w:rPr>
        <w:t xml:space="preserve"> </w:t>
      </w:r>
      <w:r w:rsidRPr="008A3A15">
        <w:rPr>
          <w:rFonts w:eastAsia="Times New Roman"/>
          <w:lang w:eastAsia="de-DE"/>
        </w:rPr>
        <w:t xml:space="preserve">ist der Hauptsatz: </w:t>
      </w:r>
      <w:r w:rsidRPr="008A3A15">
        <w:rPr>
          <w:rFonts w:eastAsia="Times New Roman"/>
          <w:b/>
          <w:bCs/>
          <w:rtl/>
          <w:lang w:eastAsia="de-DE"/>
        </w:rPr>
        <w:t>הוֹצִיא</w:t>
      </w:r>
      <w:r w:rsidRPr="008A3A15">
        <w:rPr>
          <w:rFonts w:eastAsia="Times New Roman"/>
          <w:rtl/>
          <w:lang w:eastAsia="de-DE"/>
        </w:rPr>
        <w:t xml:space="preserve"> </w:t>
      </w:r>
      <w:r w:rsidRPr="008A3A15">
        <w:rPr>
          <w:rFonts w:eastAsia="Times New Roman"/>
          <w:lang w:eastAsia="de-DE"/>
        </w:rPr>
        <w:t xml:space="preserve">als Hifil Perfekt, 3. Person Singular maskulin von </w:t>
      </w:r>
      <w:r w:rsidRPr="008A3A15">
        <w:rPr>
          <w:rFonts w:eastAsia="Times New Roman"/>
          <w:b/>
          <w:bCs/>
          <w:rtl/>
          <w:lang w:eastAsia="de-DE"/>
        </w:rPr>
        <w:t>יצא</w:t>
      </w:r>
      <w:r w:rsidRPr="008A3A15">
        <w:rPr>
          <w:rFonts w:eastAsia="Times New Roman"/>
          <w:rtl/>
          <w:lang w:eastAsia="de-DE"/>
        </w:rPr>
        <w:t xml:space="preserve"> </w:t>
      </w:r>
      <w:r w:rsidRPr="008A3A15">
        <w:rPr>
          <w:rFonts w:eastAsia="Times New Roman"/>
          <w:lang w:eastAsia="de-DE"/>
        </w:rPr>
        <w:t xml:space="preserve">(„herausführen"), </w:t>
      </w:r>
      <w:r w:rsidRPr="008A3A15">
        <w:rPr>
          <w:rFonts w:eastAsia="Times New Roman"/>
          <w:b/>
          <w:bCs/>
          <w:rtl/>
          <w:lang w:eastAsia="de-DE"/>
        </w:rPr>
        <w:t>יְהוָה</w:t>
      </w:r>
      <w:r w:rsidRPr="008A3A15">
        <w:rPr>
          <w:rFonts w:eastAsia="Times New Roman"/>
          <w:rtl/>
          <w:lang w:eastAsia="de-DE"/>
        </w:rPr>
        <w:t xml:space="preserve"> </w:t>
      </w:r>
      <w:r w:rsidRPr="008A3A15">
        <w:rPr>
          <w:rFonts w:eastAsia="Times New Roman"/>
          <w:lang w:eastAsia="de-DE"/>
        </w:rPr>
        <w:t xml:space="preserve">als Subjekt, </w:t>
      </w:r>
      <w:r w:rsidRPr="008A3A15">
        <w:rPr>
          <w:rFonts w:eastAsia="Times New Roman"/>
          <w:b/>
          <w:bCs/>
          <w:rtl/>
          <w:lang w:eastAsia="de-DE"/>
        </w:rPr>
        <w:t>אֶתְכֶם</w:t>
      </w:r>
      <w:r w:rsidRPr="008A3A15">
        <w:rPr>
          <w:rFonts w:eastAsia="Times New Roman"/>
          <w:rtl/>
          <w:lang w:eastAsia="de-DE"/>
        </w:rPr>
        <w:t xml:space="preserve"> </w:t>
      </w:r>
      <w:r w:rsidRPr="008A3A15">
        <w:rPr>
          <w:rFonts w:eastAsia="Times New Roman"/>
          <w:lang w:eastAsia="de-DE"/>
        </w:rPr>
        <w:t xml:space="preserve">als direktes Objekt, </w:t>
      </w:r>
      <w:r w:rsidRPr="008A3A15">
        <w:rPr>
          <w:rFonts w:eastAsia="Times New Roman"/>
          <w:b/>
          <w:bCs/>
          <w:rtl/>
          <w:lang w:eastAsia="de-DE"/>
        </w:rPr>
        <w:t>בְּיָד חֲזָקָה</w:t>
      </w:r>
      <w:r w:rsidRPr="008A3A15">
        <w:rPr>
          <w:rFonts w:eastAsia="Times New Roman"/>
          <w:rtl/>
          <w:lang w:eastAsia="de-DE"/>
        </w:rPr>
        <w:t xml:space="preserve"> </w:t>
      </w:r>
      <w:r w:rsidRPr="008A3A15">
        <w:rPr>
          <w:rFonts w:eastAsia="Times New Roman"/>
          <w:lang w:eastAsia="de-DE"/>
        </w:rPr>
        <w:t>als modale bzw. instrumentale Bestimmung (</w:t>
      </w:r>
      <w:r w:rsidRPr="008A3A15">
        <w:rPr>
          <w:rFonts w:eastAsia="Times New Roman"/>
          <w:b/>
          <w:bCs/>
          <w:rtl/>
          <w:lang w:eastAsia="de-DE"/>
        </w:rPr>
        <w:t>בְּ</w:t>
      </w:r>
      <w:r w:rsidRPr="008A3A15">
        <w:rPr>
          <w:rFonts w:eastAsia="Times New Roman"/>
          <w:rtl/>
          <w:lang w:eastAsia="de-DE"/>
        </w:rPr>
        <w:t xml:space="preserve"> </w:t>
      </w:r>
      <w:r w:rsidRPr="008A3A15">
        <w:rPr>
          <w:rFonts w:eastAsia="Times New Roman"/>
          <w:lang w:eastAsia="de-DE"/>
        </w:rPr>
        <w:t xml:space="preserve">mit </w:t>
      </w:r>
      <w:r w:rsidRPr="008A3A15">
        <w:rPr>
          <w:rFonts w:eastAsia="Times New Roman"/>
          <w:b/>
          <w:bCs/>
          <w:rtl/>
          <w:lang w:eastAsia="de-DE"/>
        </w:rPr>
        <w:t>יָד</w:t>
      </w:r>
      <w:r w:rsidRPr="008A3A15">
        <w:rPr>
          <w:rFonts w:eastAsia="Times New Roman"/>
          <w:rtl/>
          <w:lang w:eastAsia="de-DE"/>
        </w:rPr>
        <w:t xml:space="preserve"> </w:t>
      </w:r>
      <w:r w:rsidRPr="008A3A15">
        <w:rPr>
          <w:rFonts w:eastAsia="Times New Roman"/>
          <w:lang w:eastAsia="de-DE"/>
        </w:rPr>
        <w:t xml:space="preserve">im Construct und Adjektiv </w:t>
      </w:r>
      <w:r w:rsidRPr="008A3A15">
        <w:rPr>
          <w:rFonts w:eastAsia="Times New Roman"/>
          <w:b/>
          <w:bCs/>
          <w:rtl/>
          <w:lang w:eastAsia="de-DE"/>
        </w:rPr>
        <w:t>חֲזָקָה</w:t>
      </w:r>
      <w:r w:rsidRPr="008A3A15">
        <w:rPr>
          <w:rFonts w:eastAsia="Times New Roman"/>
          <w:rtl/>
          <w:lang w:eastAsia="de-DE"/>
        </w:rPr>
        <w:t xml:space="preserve"> </w:t>
      </w:r>
      <w:r w:rsidRPr="008A3A15">
        <w:rPr>
          <w:rFonts w:eastAsia="Times New Roman"/>
          <w:lang w:eastAsia="de-DE"/>
        </w:rPr>
        <w:t>– „mit starker Hand").</w:t>
      </w:r>
    </w:p>
    <w:p w14:paraId="3A1D99A4" w14:textId="191C3CB0"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rtl/>
          <w:lang w:eastAsia="de-DE"/>
        </w:rPr>
        <w:t>וַיִּפְדְּךָ מִבֵּית עֲבָדִים מִיַּד פַּרְעֹה מֶלֶךְ־מִצְרָיִם</w:t>
      </w:r>
      <w:r w:rsidRPr="008A3A15">
        <w:rPr>
          <w:rFonts w:eastAsia="Times New Roman"/>
          <w:rtl/>
          <w:lang w:eastAsia="de-DE"/>
        </w:rPr>
        <w:t xml:space="preserve"> </w:t>
      </w:r>
      <w:r w:rsidRPr="008A3A15">
        <w:rPr>
          <w:rFonts w:eastAsia="Times New Roman"/>
          <w:lang w:eastAsia="de-DE"/>
        </w:rPr>
        <w:t xml:space="preserve">ist koordiniert: </w:t>
      </w:r>
      <w:r w:rsidRPr="008A3A15">
        <w:rPr>
          <w:rFonts w:eastAsia="Times New Roman"/>
          <w:b/>
          <w:bCs/>
          <w:rtl/>
          <w:lang w:eastAsia="de-DE"/>
        </w:rPr>
        <w:t>וַיִּפְדְּךָ</w:t>
      </w:r>
      <w:r w:rsidRPr="008A3A15">
        <w:rPr>
          <w:rFonts w:eastAsia="Times New Roman"/>
          <w:rtl/>
          <w:lang w:eastAsia="de-DE"/>
        </w:rPr>
        <w:t xml:space="preserve"> </w:t>
      </w:r>
      <w:r w:rsidRPr="008A3A15">
        <w:rPr>
          <w:rFonts w:eastAsia="Times New Roman"/>
          <w:lang w:eastAsia="de-DE"/>
        </w:rPr>
        <w:t xml:space="preserve">(Qal Imperfekt consecutivum, 3. Person Singular maskulin von </w:t>
      </w:r>
      <w:r w:rsidRPr="008A3A15">
        <w:rPr>
          <w:rFonts w:eastAsia="Times New Roman"/>
          <w:b/>
          <w:bCs/>
          <w:rtl/>
          <w:lang w:eastAsia="de-DE"/>
        </w:rPr>
        <w:t>פדה</w:t>
      </w:r>
      <w:r w:rsidRPr="008A3A15">
        <w:rPr>
          <w:rFonts w:eastAsia="Times New Roman"/>
          <w:lang w:eastAsia="de-DE"/>
        </w:rPr>
        <w:t xml:space="preserve">, „erlösen, loskaufen", mit Waw und Suffix 2. Person Singular maskulin – bemerkenswert ist der Wechsel von Plural </w:t>
      </w:r>
      <w:r w:rsidRPr="008A3A15">
        <w:rPr>
          <w:rFonts w:eastAsia="Times New Roman"/>
          <w:b/>
          <w:bCs/>
          <w:rtl/>
          <w:lang w:eastAsia="de-DE"/>
        </w:rPr>
        <w:t>אֶתְכֶם</w:t>
      </w:r>
      <w:r w:rsidRPr="008A3A15">
        <w:rPr>
          <w:rFonts w:eastAsia="Times New Roman"/>
          <w:rtl/>
          <w:lang w:eastAsia="de-DE"/>
        </w:rPr>
        <w:t xml:space="preserve"> </w:t>
      </w:r>
      <w:r w:rsidRPr="008A3A15">
        <w:rPr>
          <w:rFonts w:eastAsia="Times New Roman"/>
          <w:lang w:eastAsia="de-DE"/>
        </w:rPr>
        <w:t xml:space="preserve">zu Singular </w:t>
      </w:r>
      <w:r w:rsidRPr="008A3A15">
        <w:rPr>
          <w:rFonts w:eastAsia="Times New Roman"/>
          <w:b/>
          <w:bCs/>
          <w:rtl/>
          <w:lang w:eastAsia="de-DE"/>
        </w:rPr>
        <w:t>וַיִּפְדְּךָ</w:t>
      </w:r>
      <w:r w:rsidRPr="008A3A15">
        <w:rPr>
          <w:rFonts w:eastAsia="Times New Roman"/>
          <w:lang w:eastAsia="de-DE"/>
        </w:rPr>
        <w:t xml:space="preserve">), </w:t>
      </w:r>
      <w:r w:rsidRPr="008A3A15">
        <w:rPr>
          <w:rFonts w:eastAsia="Times New Roman"/>
          <w:b/>
          <w:bCs/>
          <w:rtl/>
          <w:lang w:eastAsia="de-DE"/>
        </w:rPr>
        <w:t>מִבֵּית עֲבָדִים</w:t>
      </w:r>
      <w:r w:rsidRPr="008A3A15">
        <w:rPr>
          <w:rFonts w:eastAsia="Times New Roman"/>
          <w:rtl/>
          <w:lang w:eastAsia="de-DE"/>
        </w:rPr>
        <w:t xml:space="preserve"> </w:t>
      </w:r>
      <w:r w:rsidRPr="008A3A15">
        <w:rPr>
          <w:rFonts w:eastAsia="Times New Roman"/>
          <w:lang w:eastAsia="de-DE"/>
        </w:rPr>
        <w:t>als Herkunftsangabe (</w:t>
      </w:r>
      <w:r w:rsidRPr="008A3A15">
        <w:rPr>
          <w:rFonts w:eastAsia="Times New Roman"/>
          <w:b/>
          <w:bCs/>
          <w:rtl/>
          <w:lang w:eastAsia="de-DE"/>
        </w:rPr>
        <w:t>מִן</w:t>
      </w:r>
      <w:r w:rsidRPr="008A3A15">
        <w:rPr>
          <w:rFonts w:eastAsia="Times New Roman"/>
          <w:rtl/>
          <w:lang w:eastAsia="de-DE"/>
        </w:rPr>
        <w:t xml:space="preserve"> </w:t>
      </w:r>
      <w:r w:rsidRPr="008A3A15">
        <w:rPr>
          <w:rFonts w:eastAsia="Times New Roman"/>
          <w:lang w:eastAsia="de-DE"/>
        </w:rPr>
        <w:t xml:space="preserve">mit </w:t>
      </w:r>
      <w:r w:rsidRPr="008A3A15">
        <w:rPr>
          <w:rFonts w:eastAsia="Times New Roman"/>
          <w:b/>
          <w:bCs/>
          <w:rtl/>
          <w:lang w:eastAsia="de-DE"/>
        </w:rPr>
        <w:t>בַּיִת</w:t>
      </w:r>
      <w:r w:rsidRPr="008A3A15">
        <w:rPr>
          <w:rFonts w:eastAsia="Times New Roman"/>
          <w:rtl/>
          <w:lang w:eastAsia="de-DE"/>
        </w:rPr>
        <w:t xml:space="preserve"> </w:t>
      </w:r>
      <w:r w:rsidRPr="008A3A15">
        <w:rPr>
          <w:rFonts w:eastAsia="Times New Roman"/>
          <w:lang w:eastAsia="de-DE"/>
        </w:rPr>
        <w:t xml:space="preserve">im Construct und </w:t>
      </w:r>
      <w:r w:rsidRPr="008A3A15">
        <w:rPr>
          <w:rFonts w:eastAsia="Times New Roman"/>
          <w:b/>
          <w:bCs/>
          <w:rtl/>
          <w:lang w:eastAsia="de-DE"/>
        </w:rPr>
        <w:t>עֲבָדִים</w:t>
      </w:r>
      <w:r w:rsidRPr="008A3A15">
        <w:rPr>
          <w:rFonts w:eastAsia="Times New Roman"/>
          <w:lang w:eastAsia="de-DE"/>
        </w:rPr>
        <w:t xml:space="preserve">, Plural – „aus dem Haus der Knechtschaft"), </w:t>
      </w:r>
      <w:r w:rsidRPr="008A3A15">
        <w:rPr>
          <w:rFonts w:eastAsia="Times New Roman"/>
          <w:b/>
          <w:bCs/>
          <w:rtl/>
          <w:lang w:eastAsia="de-DE"/>
        </w:rPr>
        <w:t>מִיַּד פַּרְעֹה מֶלֶךְ־מִצְרָיִם</w:t>
      </w:r>
      <w:r w:rsidRPr="008A3A15">
        <w:rPr>
          <w:rFonts w:eastAsia="Times New Roman"/>
          <w:rtl/>
          <w:lang w:eastAsia="de-DE"/>
        </w:rPr>
        <w:t xml:space="preserve"> </w:t>
      </w:r>
      <w:r w:rsidRPr="008A3A15">
        <w:rPr>
          <w:rFonts w:eastAsia="Times New Roman"/>
          <w:lang w:eastAsia="de-DE"/>
        </w:rPr>
        <w:t>als parallele, appositionelle Herkunftsangabe (</w:t>
      </w:r>
      <w:r w:rsidRPr="008A3A15">
        <w:rPr>
          <w:rFonts w:eastAsia="Times New Roman"/>
          <w:b/>
          <w:bCs/>
          <w:rtl/>
          <w:lang w:eastAsia="de-DE"/>
        </w:rPr>
        <w:t>מִן</w:t>
      </w:r>
      <w:r w:rsidRPr="008A3A15">
        <w:rPr>
          <w:rFonts w:eastAsia="Times New Roman"/>
          <w:rtl/>
          <w:lang w:eastAsia="de-DE"/>
        </w:rPr>
        <w:t xml:space="preserve"> </w:t>
      </w:r>
      <w:r w:rsidRPr="008A3A15">
        <w:rPr>
          <w:rFonts w:eastAsia="Times New Roman"/>
          <w:lang w:eastAsia="de-DE"/>
        </w:rPr>
        <w:t xml:space="preserve">mit </w:t>
      </w:r>
      <w:r w:rsidRPr="008A3A15">
        <w:rPr>
          <w:rFonts w:eastAsia="Times New Roman"/>
          <w:b/>
          <w:bCs/>
          <w:rtl/>
          <w:lang w:eastAsia="de-DE"/>
        </w:rPr>
        <w:t>יָד</w:t>
      </w:r>
      <w:r w:rsidRPr="008A3A15">
        <w:rPr>
          <w:rFonts w:eastAsia="Times New Roman"/>
          <w:rtl/>
          <w:lang w:eastAsia="de-DE"/>
        </w:rPr>
        <w:t xml:space="preserve"> </w:t>
      </w:r>
      <w:r w:rsidRPr="008A3A15">
        <w:rPr>
          <w:rFonts w:eastAsia="Times New Roman"/>
          <w:lang w:eastAsia="de-DE"/>
        </w:rPr>
        <w:t xml:space="preserve">im Construct, </w:t>
      </w:r>
      <w:r w:rsidRPr="008A3A15">
        <w:rPr>
          <w:rFonts w:eastAsia="Times New Roman"/>
          <w:b/>
          <w:bCs/>
          <w:rtl/>
          <w:lang w:eastAsia="de-DE"/>
        </w:rPr>
        <w:t>פַּרְעֹה</w:t>
      </w:r>
      <w:r w:rsidRPr="008A3A15">
        <w:rPr>
          <w:rFonts w:eastAsia="Times New Roman"/>
          <w:lang w:eastAsia="de-DE"/>
        </w:rPr>
        <w:t xml:space="preserve">, erweitert durch </w:t>
      </w:r>
      <w:r w:rsidRPr="008A3A15">
        <w:rPr>
          <w:rFonts w:eastAsia="Times New Roman"/>
          <w:b/>
          <w:bCs/>
          <w:rtl/>
          <w:lang w:eastAsia="de-DE"/>
        </w:rPr>
        <w:t>מֶלֶךְ־מִצְרַיִם</w:t>
      </w:r>
      <w:r w:rsidRPr="008A3A15">
        <w:rPr>
          <w:rFonts w:eastAsia="Times New Roman"/>
          <w:rtl/>
          <w:lang w:eastAsia="de-DE"/>
        </w:rPr>
        <w:t xml:space="preserve"> </w:t>
      </w:r>
      <w:r w:rsidRPr="008A3A15">
        <w:rPr>
          <w:rFonts w:eastAsia="Times New Roman"/>
          <w:lang w:eastAsia="de-DE"/>
        </w:rPr>
        <w:t xml:space="preserve">als Apposition mit </w:t>
      </w:r>
      <w:r w:rsidR="00D84597">
        <w:rPr>
          <w:rFonts w:eastAsia="Times New Roman"/>
          <w:lang w:eastAsia="de-DE"/>
        </w:rPr>
        <w:t>Maqqef</w:t>
      </w:r>
      <w:r w:rsidRPr="008A3A15">
        <w:rPr>
          <w:rFonts w:eastAsia="Times New Roman"/>
          <w:lang w:eastAsia="de-DE"/>
        </w:rPr>
        <w:t>).</w:t>
      </w:r>
    </w:p>
    <w:p w14:paraId="1C9C01D2"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lang w:eastAsia="de-DE"/>
        </w:rPr>
        <w:t xml:space="preserve">Die doppelte Begründung der Erwählung – Liebe und Bundestreue – ist charakteristisch deuteronomisch. Das Verb </w:t>
      </w:r>
      <w:r w:rsidRPr="008A3A15">
        <w:rPr>
          <w:rFonts w:eastAsia="Times New Roman"/>
          <w:b/>
          <w:bCs/>
          <w:rtl/>
          <w:lang w:eastAsia="de-DE"/>
        </w:rPr>
        <w:t>פדה</w:t>
      </w:r>
      <w:r w:rsidRPr="008A3A15">
        <w:rPr>
          <w:rFonts w:eastAsia="Times New Roman"/>
          <w:rtl/>
          <w:lang w:eastAsia="de-DE"/>
        </w:rPr>
        <w:t xml:space="preserve"> </w:t>
      </w:r>
      <w:r w:rsidRPr="008A3A15">
        <w:rPr>
          <w:rFonts w:eastAsia="Times New Roman"/>
          <w:lang w:eastAsia="de-DE"/>
        </w:rPr>
        <w:t xml:space="preserve">(„erlösen, loskaufen") betont stärker als </w:t>
      </w:r>
      <w:r w:rsidRPr="008A3A15">
        <w:rPr>
          <w:rFonts w:eastAsia="Times New Roman"/>
          <w:b/>
          <w:bCs/>
          <w:rtl/>
          <w:lang w:eastAsia="de-DE"/>
        </w:rPr>
        <w:t>יצא</w:t>
      </w:r>
      <w:r w:rsidRPr="008A3A15">
        <w:rPr>
          <w:rFonts w:eastAsia="Times New Roman"/>
          <w:rtl/>
          <w:lang w:eastAsia="de-DE"/>
        </w:rPr>
        <w:t xml:space="preserve"> </w:t>
      </w:r>
      <w:r w:rsidRPr="008A3A15">
        <w:rPr>
          <w:rFonts w:eastAsia="Times New Roman"/>
          <w:lang w:eastAsia="de-DE"/>
        </w:rPr>
        <w:t xml:space="preserve">den Aspekt der Befreiung aus Sklaverei durch Loskauf. Die klassische Exodusformel </w:t>
      </w:r>
      <w:r w:rsidRPr="008A3A15">
        <w:rPr>
          <w:rFonts w:eastAsia="Times New Roman"/>
          <w:b/>
          <w:bCs/>
          <w:rtl/>
          <w:lang w:eastAsia="de-DE"/>
        </w:rPr>
        <w:t>בְּיָד חֲזָקָה</w:t>
      </w:r>
      <w:r w:rsidRPr="008A3A15">
        <w:rPr>
          <w:rFonts w:eastAsia="Times New Roman"/>
          <w:rtl/>
          <w:lang w:eastAsia="de-DE"/>
        </w:rPr>
        <w:t xml:space="preserve"> </w:t>
      </w:r>
      <w:r w:rsidRPr="008A3A15">
        <w:rPr>
          <w:rFonts w:eastAsia="Times New Roman"/>
          <w:lang w:eastAsia="de-DE"/>
        </w:rPr>
        <w:t>erscheint wieder (vgl. 4,34; 5,15; 6,21; 9,26; 11,2; 26,8). Der Wechsel zwischen Plural und Singular ist typisch deuteronomisch und unterstreicht sowohl die kollektive als auch die individuelle Dimension der Befreiung.</w:t>
      </w:r>
    </w:p>
    <w:p w14:paraId="27FE9594"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lang w:eastAsia="de-DE"/>
        </w:rPr>
        <w:t xml:space="preserve">Die Satzstruktur ist eine zweigliedrige kausale adversative Konstruktion (die erste mit Verbalsubstantiv in Construct-Verbindung und direktem Objekt, die zweite mit Infinitiv Construct mit Suffix als Subjekt, direktem Objekt und Relativsatz), gefolgt von einem </w:t>
      </w:r>
      <w:r w:rsidRPr="008A3A15">
        <w:rPr>
          <w:rFonts w:eastAsia="Times New Roman"/>
          <w:lang w:eastAsia="de-DE"/>
        </w:rPr>
        <w:lastRenderedPageBreak/>
        <w:t>Hauptsatz mit Prädikat, Subjekt, direktem Objekt und modaler bzw. instrumentaler Bestimmung, sowie einem koordinierten Verb mit Suffix-Objekt und zweigliedriger Herkunftsangabe (die zweite mit Apposition). Die Struktur nennt die wahren Gründe der Erwählung: Liebe und Bundestreue.</w:t>
      </w:r>
    </w:p>
    <w:p w14:paraId="6CBD22C2"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lang w:eastAsia="de-DE"/>
        </w:rPr>
        <w:t>Der Vers nennt die wahren Gründe für Israels Erwählung und Befreiung: JHWHs Liebe zu Israel und seine Treue zum Eid, den er den Vätern geschworen hat. Daraufhin führte JHWH Israel mit starker Hand heraus und erlöste es aus der ägyptischen Sklaverei.</w:t>
      </w:r>
    </w:p>
    <w:p w14:paraId="2EEB5E12" w14:textId="77777777" w:rsidR="008A3A15" w:rsidRPr="008A3A15" w:rsidRDefault="008A3A15" w:rsidP="008A3A15">
      <w:pPr>
        <w:spacing w:before="100" w:beforeAutospacing="1" w:after="100" w:afterAutospacing="1" w:line="240" w:lineRule="auto"/>
        <w:outlineLvl w:val="1"/>
        <w:rPr>
          <w:rFonts w:eastAsia="Times New Roman"/>
          <w:b/>
          <w:bCs/>
          <w:sz w:val="36"/>
          <w:szCs w:val="36"/>
          <w:lang w:eastAsia="de-DE"/>
        </w:rPr>
      </w:pPr>
      <w:r w:rsidRPr="008A3A15">
        <w:rPr>
          <w:rFonts w:eastAsia="Times New Roman"/>
          <w:b/>
          <w:bCs/>
          <w:sz w:val="36"/>
          <w:szCs w:val="36"/>
          <w:lang w:eastAsia="de-DE"/>
        </w:rPr>
        <w:t>Deuteronomium 7,9</w:t>
      </w:r>
    </w:p>
    <w:p w14:paraId="16849A1B"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lang w:eastAsia="de-DE"/>
        </w:rPr>
        <w:t>Hebräisch:</w:t>
      </w:r>
      <w:r w:rsidRPr="008A3A15">
        <w:rPr>
          <w:rFonts w:eastAsia="Times New Roman"/>
          <w:lang w:eastAsia="de-DE"/>
        </w:rPr>
        <w:t xml:space="preserve"> </w:t>
      </w:r>
      <w:r w:rsidRPr="008A3A15">
        <w:rPr>
          <w:rFonts w:eastAsia="Times New Roman"/>
          <w:rtl/>
          <w:lang w:eastAsia="de-DE"/>
        </w:rPr>
        <w:t>וְיָדַעְתָּ כִּי־יְהוָה אֱלֹהֶיךָ הוּא הָאֱלֹהִים הָאֵל הַנֶּאֱמָן שֹׁמֵר הַבְּרִית וְהַחֶסֶד לְאֹהֲבָיו וּלְשֹׁמְרֵי מִצְוֹתוֹ לְאֶלֶף דּוֹר׃</w:t>
      </w:r>
    </w:p>
    <w:p w14:paraId="7818AECF"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lang w:eastAsia="de-DE"/>
        </w:rPr>
        <w:t>Deutsch:</w:t>
      </w:r>
      <w:r w:rsidRPr="008A3A15">
        <w:rPr>
          <w:rFonts w:eastAsia="Times New Roman"/>
          <w:lang w:eastAsia="de-DE"/>
        </w:rPr>
        <w:t xml:space="preserve"> So erkenne denn, dass der Ewige, dein Gott, Gott ist, der treue Gott, der den Bund und die Güte auf 1.000 Generationen hin denen bewahrend ist, die ihn lieben und seine Gebote halten.</w:t>
      </w:r>
    </w:p>
    <w:p w14:paraId="65F73375" w14:textId="77777777" w:rsidR="008A3A15" w:rsidRPr="008A3A15" w:rsidRDefault="004F5CEB" w:rsidP="008A3A15">
      <w:pPr>
        <w:spacing w:after="0" w:line="240" w:lineRule="auto"/>
        <w:rPr>
          <w:rFonts w:eastAsia="Times New Roman"/>
          <w:lang w:eastAsia="de-DE"/>
        </w:rPr>
      </w:pPr>
      <w:r>
        <w:rPr>
          <w:rFonts w:eastAsia="Times New Roman"/>
          <w:noProof/>
          <w:lang w:eastAsia="de-DE"/>
        </w:rPr>
        <w:pict w14:anchorId="54FA79D3">
          <v:rect id="_x0000_i1252" style="width:0;height:1.5pt" o:hralign="center" o:hrstd="t" o:hr="t" fillcolor="#a0a0a0" stroked="f"/>
        </w:pict>
      </w:r>
    </w:p>
    <w:p w14:paraId="577DFDDF"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lang w:eastAsia="de-DE"/>
        </w:rPr>
        <w:t>Kommentar:</w:t>
      </w:r>
      <w:r w:rsidRPr="008A3A15">
        <w:rPr>
          <w:rFonts w:eastAsia="Times New Roman"/>
          <w:lang w:eastAsia="de-DE"/>
        </w:rPr>
        <w:t xml:space="preserve"> </w:t>
      </w:r>
      <w:r w:rsidRPr="008A3A15">
        <w:rPr>
          <w:rFonts w:eastAsia="Times New Roman"/>
          <w:b/>
          <w:bCs/>
          <w:rtl/>
          <w:lang w:eastAsia="de-DE"/>
        </w:rPr>
        <w:t>וְיָדַעְתָּ כִּי־יְהוָה אֱלֹהֶיךָ הוּא הָאֱלֹהִים</w:t>
      </w:r>
      <w:r w:rsidRPr="008A3A15">
        <w:rPr>
          <w:rFonts w:eastAsia="Times New Roman"/>
          <w:rtl/>
          <w:lang w:eastAsia="de-DE"/>
        </w:rPr>
        <w:t xml:space="preserve"> </w:t>
      </w:r>
      <w:r w:rsidRPr="008A3A15">
        <w:rPr>
          <w:rFonts w:eastAsia="Times New Roman"/>
          <w:lang w:eastAsia="de-DE"/>
        </w:rPr>
        <w:t xml:space="preserve">ist Qal Perfekt consecutivum, 2. Person Singular maskulin von </w:t>
      </w:r>
      <w:r w:rsidRPr="008A3A15">
        <w:rPr>
          <w:rFonts w:eastAsia="Times New Roman"/>
          <w:b/>
          <w:bCs/>
          <w:rtl/>
          <w:lang w:eastAsia="de-DE"/>
        </w:rPr>
        <w:t>ידע</w:t>
      </w:r>
      <w:r w:rsidRPr="008A3A15">
        <w:rPr>
          <w:rFonts w:eastAsia="Times New Roman"/>
          <w:rtl/>
          <w:lang w:eastAsia="de-DE"/>
        </w:rPr>
        <w:t xml:space="preserve"> </w:t>
      </w:r>
      <w:r w:rsidRPr="008A3A15">
        <w:rPr>
          <w:rFonts w:eastAsia="Times New Roman"/>
          <w:lang w:eastAsia="de-DE"/>
        </w:rPr>
        <w:t xml:space="preserve">(„erkennen, wissen") mit </w:t>
      </w:r>
      <w:r w:rsidRPr="008A3A15">
        <w:rPr>
          <w:rFonts w:eastAsia="Times New Roman"/>
          <w:b/>
          <w:bCs/>
          <w:rtl/>
          <w:lang w:eastAsia="de-DE"/>
        </w:rPr>
        <w:t>וְ</w:t>
      </w:r>
      <w:r w:rsidRPr="008A3A15">
        <w:rPr>
          <w:rFonts w:eastAsia="Times New Roman"/>
          <w:rtl/>
          <w:lang w:eastAsia="de-DE"/>
        </w:rPr>
        <w:t xml:space="preserve"> </w:t>
      </w:r>
      <w:r w:rsidRPr="008A3A15">
        <w:rPr>
          <w:rFonts w:eastAsia="Times New Roman"/>
          <w:lang w:eastAsia="de-DE"/>
        </w:rPr>
        <w:t xml:space="preserve">– hier in imperativischer Funktion („so erkenne denn"), </w:t>
      </w:r>
      <w:r w:rsidRPr="008A3A15">
        <w:rPr>
          <w:rFonts w:eastAsia="Times New Roman"/>
          <w:b/>
          <w:bCs/>
          <w:rtl/>
          <w:lang w:eastAsia="de-DE"/>
        </w:rPr>
        <w:t>כִּי־יְהוָה אֱלֹהֶיךָ הוּא הָאֱלֹהִים</w:t>
      </w:r>
      <w:r w:rsidRPr="008A3A15">
        <w:rPr>
          <w:rFonts w:eastAsia="Times New Roman"/>
          <w:rtl/>
          <w:lang w:eastAsia="de-DE"/>
        </w:rPr>
        <w:t xml:space="preserve"> </w:t>
      </w:r>
      <w:r w:rsidRPr="008A3A15">
        <w:rPr>
          <w:rFonts w:eastAsia="Times New Roman"/>
          <w:lang w:eastAsia="de-DE"/>
        </w:rPr>
        <w:t xml:space="preserve">als </w:t>
      </w:r>
      <w:r w:rsidRPr="008A3A15">
        <w:rPr>
          <w:rFonts w:eastAsia="Times New Roman"/>
          <w:b/>
          <w:bCs/>
          <w:rtl/>
          <w:lang w:eastAsia="de-DE"/>
        </w:rPr>
        <w:t>כִּי</w:t>
      </w:r>
      <w:r w:rsidRPr="008A3A15">
        <w:rPr>
          <w:rFonts w:eastAsia="Times New Roman"/>
          <w:lang w:eastAsia="de-DE"/>
        </w:rPr>
        <w:t xml:space="preserve">-Objektsatz (nominaler Identifikationssatz: </w:t>
      </w:r>
      <w:r w:rsidRPr="008A3A15">
        <w:rPr>
          <w:rFonts w:eastAsia="Times New Roman"/>
          <w:b/>
          <w:bCs/>
          <w:rtl/>
          <w:lang w:eastAsia="de-DE"/>
        </w:rPr>
        <w:t>יְהוָה אֱלֹהֶיךָ</w:t>
      </w:r>
      <w:r w:rsidRPr="008A3A15">
        <w:rPr>
          <w:rFonts w:eastAsia="Times New Roman"/>
          <w:rtl/>
          <w:lang w:eastAsia="de-DE"/>
        </w:rPr>
        <w:t xml:space="preserve"> </w:t>
      </w:r>
      <w:r w:rsidRPr="008A3A15">
        <w:rPr>
          <w:rFonts w:eastAsia="Times New Roman"/>
          <w:lang w:eastAsia="de-DE"/>
        </w:rPr>
        <w:t xml:space="preserve">als erweitertes Subjekt, </w:t>
      </w:r>
      <w:r w:rsidRPr="008A3A15">
        <w:rPr>
          <w:rFonts w:eastAsia="Times New Roman"/>
          <w:b/>
          <w:bCs/>
          <w:rtl/>
          <w:lang w:eastAsia="de-DE"/>
        </w:rPr>
        <w:t>הוּא</w:t>
      </w:r>
      <w:r w:rsidRPr="008A3A15">
        <w:rPr>
          <w:rFonts w:eastAsia="Times New Roman"/>
          <w:rtl/>
          <w:lang w:eastAsia="de-DE"/>
        </w:rPr>
        <w:t xml:space="preserve"> </w:t>
      </w:r>
      <w:r w:rsidRPr="008A3A15">
        <w:rPr>
          <w:rFonts w:eastAsia="Times New Roman"/>
          <w:lang w:eastAsia="de-DE"/>
        </w:rPr>
        <w:t xml:space="preserve">als emphatisches Pronomen, </w:t>
      </w:r>
      <w:r w:rsidRPr="008A3A15">
        <w:rPr>
          <w:rFonts w:eastAsia="Times New Roman"/>
          <w:b/>
          <w:bCs/>
          <w:rtl/>
          <w:lang w:eastAsia="de-DE"/>
        </w:rPr>
        <w:t>הָאֱלֹהִים</w:t>
      </w:r>
      <w:r w:rsidRPr="008A3A15">
        <w:rPr>
          <w:rFonts w:eastAsia="Times New Roman"/>
          <w:rtl/>
          <w:lang w:eastAsia="de-DE"/>
        </w:rPr>
        <w:t xml:space="preserve"> </w:t>
      </w:r>
      <w:r w:rsidRPr="008A3A15">
        <w:rPr>
          <w:rFonts w:eastAsia="Times New Roman"/>
          <w:lang w:eastAsia="de-DE"/>
        </w:rPr>
        <w:t>als Prädikatsnomen mit Artikel – „JHWH, dein Gott, ist [der wahre] Gott").</w:t>
      </w:r>
    </w:p>
    <w:p w14:paraId="17814335"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rtl/>
          <w:lang w:eastAsia="de-DE"/>
        </w:rPr>
        <w:t>הָאֵל הַנֶּאֱמָן שֹׁמֵר הַבְּרִית וְהַחֶסֶד לְאֹהֲבָיו וּלְשֹׁמְרֵי מִצְוֹתוֹ לְאֶלֶף דּוֹר</w:t>
      </w:r>
      <w:r w:rsidRPr="008A3A15">
        <w:rPr>
          <w:rFonts w:eastAsia="Times New Roman"/>
          <w:rtl/>
          <w:lang w:eastAsia="de-DE"/>
        </w:rPr>
        <w:t xml:space="preserve"> </w:t>
      </w:r>
      <w:r w:rsidRPr="008A3A15">
        <w:rPr>
          <w:rFonts w:eastAsia="Times New Roman"/>
          <w:lang w:eastAsia="de-DE"/>
        </w:rPr>
        <w:t xml:space="preserve">ist eine appositionelle Erweiterung: </w:t>
      </w:r>
      <w:r w:rsidRPr="008A3A15">
        <w:rPr>
          <w:rFonts w:eastAsia="Times New Roman"/>
          <w:b/>
          <w:bCs/>
          <w:rtl/>
          <w:lang w:eastAsia="de-DE"/>
        </w:rPr>
        <w:t>הָאֵל הַנֶּאֱמָן</w:t>
      </w:r>
      <w:r w:rsidRPr="008A3A15">
        <w:rPr>
          <w:rFonts w:eastAsia="Times New Roman"/>
          <w:rtl/>
          <w:lang w:eastAsia="de-DE"/>
        </w:rPr>
        <w:t xml:space="preserve"> </w:t>
      </w:r>
      <w:r w:rsidRPr="008A3A15">
        <w:rPr>
          <w:rFonts w:eastAsia="Times New Roman"/>
          <w:lang w:eastAsia="de-DE"/>
        </w:rPr>
        <w:t xml:space="preserve">(Apposition zu </w:t>
      </w:r>
      <w:r w:rsidRPr="008A3A15">
        <w:rPr>
          <w:rFonts w:eastAsia="Times New Roman"/>
          <w:b/>
          <w:bCs/>
          <w:rtl/>
          <w:lang w:eastAsia="de-DE"/>
        </w:rPr>
        <w:t>הָאֱלֹהִים</w:t>
      </w:r>
      <w:r w:rsidRPr="008A3A15">
        <w:rPr>
          <w:rFonts w:eastAsia="Times New Roman"/>
          <w:rtl/>
          <w:lang w:eastAsia="de-DE"/>
        </w:rPr>
        <w:t xml:space="preserve"> </w:t>
      </w:r>
      <w:r w:rsidRPr="008A3A15">
        <w:rPr>
          <w:rFonts w:eastAsia="Times New Roman"/>
          <w:lang w:eastAsia="de-DE"/>
        </w:rPr>
        <w:t xml:space="preserve">– </w:t>
      </w:r>
      <w:r w:rsidRPr="008A3A15">
        <w:rPr>
          <w:rFonts w:eastAsia="Times New Roman"/>
          <w:b/>
          <w:bCs/>
          <w:rtl/>
          <w:lang w:eastAsia="de-DE"/>
        </w:rPr>
        <w:t>אֵל</w:t>
      </w:r>
      <w:r w:rsidRPr="008A3A15">
        <w:rPr>
          <w:rFonts w:eastAsia="Times New Roman"/>
          <w:lang w:eastAsia="de-DE"/>
        </w:rPr>
        <w:t xml:space="preserve">, „Gott", mit Artikel und Nifal Partizip Singular maskulin von </w:t>
      </w:r>
      <w:r w:rsidRPr="008A3A15">
        <w:rPr>
          <w:rFonts w:eastAsia="Times New Roman"/>
          <w:b/>
          <w:bCs/>
          <w:rtl/>
          <w:lang w:eastAsia="de-DE"/>
        </w:rPr>
        <w:t>אמן</w:t>
      </w:r>
      <w:r w:rsidRPr="008A3A15">
        <w:rPr>
          <w:rFonts w:eastAsia="Times New Roman"/>
          <w:lang w:eastAsia="de-DE"/>
        </w:rPr>
        <w:t xml:space="preserve">, „treu sein, zuverlässig sein", mit Artikel – </w:t>
      </w:r>
      <w:r w:rsidRPr="008A3A15">
        <w:rPr>
          <w:rFonts w:eastAsia="Times New Roman"/>
          <w:b/>
          <w:bCs/>
          <w:rtl/>
          <w:lang w:eastAsia="de-DE"/>
        </w:rPr>
        <w:t>הַנֶּאֱמָן</w:t>
      </w:r>
      <w:r w:rsidRPr="008A3A15">
        <w:rPr>
          <w:rFonts w:eastAsia="Times New Roman"/>
          <w:lang w:eastAsia="de-DE"/>
        </w:rPr>
        <w:t xml:space="preserve">, „der treue"), </w:t>
      </w:r>
      <w:r w:rsidRPr="008A3A15">
        <w:rPr>
          <w:rFonts w:eastAsia="Times New Roman"/>
          <w:b/>
          <w:bCs/>
          <w:rtl/>
          <w:lang w:eastAsia="de-DE"/>
        </w:rPr>
        <w:t>שֹׁמֵר הַבְּרִית וְהַחֶסֶד</w:t>
      </w:r>
      <w:r w:rsidRPr="008A3A15">
        <w:rPr>
          <w:rFonts w:eastAsia="Times New Roman"/>
          <w:rtl/>
          <w:lang w:eastAsia="de-DE"/>
        </w:rPr>
        <w:t xml:space="preserve"> </w:t>
      </w:r>
      <w:r w:rsidRPr="008A3A15">
        <w:rPr>
          <w:rFonts w:eastAsia="Times New Roman"/>
          <w:lang w:eastAsia="de-DE"/>
        </w:rPr>
        <w:t xml:space="preserve">als weitere Apposition (Qal Partizip Singular maskulin von </w:t>
      </w:r>
      <w:r w:rsidRPr="008A3A15">
        <w:rPr>
          <w:rFonts w:eastAsia="Times New Roman"/>
          <w:b/>
          <w:bCs/>
          <w:rtl/>
          <w:lang w:eastAsia="de-DE"/>
        </w:rPr>
        <w:t>שׁמר</w:t>
      </w:r>
      <w:r w:rsidRPr="008A3A15">
        <w:rPr>
          <w:rFonts w:eastAsia="Times New Roman"/>
          <w:lang w:eastAsia="de-DE"/>
        </w:rPr>
        <w:t xml:space="preserve">, „bewahren, halten", im Construct mit zweigliedrigem koordiniertem Objekt: </w:t>
      </w:r>
      <w:r w:rsidRPr="008A3A15">
        <w:rPr>
          <w:rFonts w:eastAsia="Times New Roman"/>
          <w:b/>
          <w:bCs/>
          <w:rtl/>
          <w:lang w:eastAsia="de-DE"/>
        </w:rPr>
        <w:t>בְּרִית</w:t>
      </w:r>
      <w:r w:rsidRPr="008A3A15">
        <w:rPr>
          <w:rFonts w:eastAsia="Times New Roman"/>
          <w:lang w:eastAsia="de-DE"/>
        </w:rPr>
        <w:t xml:space="preserve">, „Bund", und </w:t>
      </w:r>
      <w:r w:rsidRPr="008A3A15">
        <w:rPr>
          <w:rFonts w:eastAsia="Times New Roman"/>
          <w:b/>
          <w:bCs/>
          <w:rtl/>
          <w:lang w:eastAsia="de-DE"/>
        </w:rPr>
        <w:t>חֶסֶד</w:t>
      </w:r>
      <w:r w:rsidRPr="008A3A15">
        <w:rPr>
          <w:rFonts w:eastAsia="Times New Roman"/>
          <w:lang w:eastAsia="de-DE"/>
        </w:rPr>
        <w:t xml:space="preserve">, „Güte, Bundestreue", beide mit Artikel), </w:t>
      </w:r>
      <w:r w:rsidRPr="008A3A15">
        <w:rPr>
          <w:rFonts w:eastAsia="Times New Roman"/>
          <w:b/>
          <w:bCs/>
          <w:rtl/>
          <w:lang w:eastAsia="de-DE"/>
        </w:rPr>
        <w:t>לְאֹהֲבָיו וּלְשֹׁמְרֵי מִצְוֹתוֹ</w:t>
      </w:r>
      <w:r w:rsidRPr="008A3A15">
        <w:rPr>
          <w:rFonts w:eastAsia="Times New Roman"/>
          <w:rtl/>
          <w:lang w:eastAsia="de-DE"/>
        </w:rPr>
        <w:t xml:space="preserve"> </w:t>
      </w:r>
      <w:r w:rsidRPr="008A3A15">
        <w:rPr>
          <w:rFonts w:eastAsia="Times New Roman"/>
          <w:lang w:eastAsia="de-DE"/>
        </w:rPr>
        <w:t>als zweigliedrige Empfängerbestimmung (</w:t>
      </w:r>
      <w:r w:rsidRPr="008A3A15">
        <w:rPr>
          <w:rFonts w:eastAsia="Times New Roman"/>
          <w:b/>
          <w:bCs/>
          <w:rtl/>
          <w:lang w:eastAsia="de-DE"/>
        </w:rPr>
        <w:t>לְ</w:t>
      </w:r>
      <w:r w:rsidRPr="008A3A15">
        <w:rPr>
          <w:rFonts w:eastAsia="Times New Roman"/>
          <w:rtl/>
          <w:lang w:eastAsia="de-DE"/>
        </w:rPr>
        <w:t xml:space="preserve"> </w:t>
      </w:r>
      <w:r w:rsidRPr="008A3A15">
        <w:rPr>
          <w:rFonts w:eastAsia="Times New Roman"/>
          <w:lang w:eastAsia="de-DE"/>
        </w:rPr>
        <w:t xml:space="preserve">mit Qal Partizip Plural maskulin von </w:t>
      </w:r>
      <w:r w:rsidRPr="008A3A15">
        <w:rPr>
          <w:rFonts w:eastAsia="Times New Roman"/>
          <w:b/>
          <w:bCs/>
          <w:rtl/>
          <w:lang w:eastAsia="de-DE"/>
        </w:rPr>
        <w:t>אהב</w:t>
      </w:r>
      <w:r w:rsidRPr="008A3A15">
        <w:rPr>
          <w:rFonts w:eastAsia="Times New Roman"/>
          <w:lang w:eastAsia="de-DE"/>
        </w:rPr>
        <w:t xml:space="preserve">, „lieben", und Suffix 3. Person Singular maskulin – „denen, die ihn lieben", koordiniert mit </w:t>
      </w:r>
      <w:r w:rsidRPr="008A3A15">
        <w:rPr>
          <w:rFonts w:eastAsia="Times New Roman"/>
          <w:b/>
          <w:bCs/>
          <w:rtl/>
          <w:lang w:eastAsia="de-DE"/>
        </w:rPr>
        <w:t>לְ</w:t>
      </w:r>
      <w:r w:rsidRPr="008A3A15">
        <w:rPr>
          <w:rFonts w:eastAsia="Times New Roman"/>
          <w:rtl/>
          <w:lang w:eastAsia="de-DE"/>
        </w:rPr>
        <w:t xml:space="preserve"> </w:t>
      </w:r>
      <w:r w:rsidRPr="008A3A15">
        <w:rPr>
          <w:rFonts w:eastAsia="Times New Roman"/>
          <w:lang w:eastAsia="de-DE"/>
        </w:rPr>
        <w:t xml:space="preserve">und Qal Partizip Plural maskulin von </w:t>
      </w:r>
      <w:r w:rsidRPr="008A3A15">
        <w:rPr>
          <w:rFonts w:eastAsia="Times New Roman"/>
          <w:b/>
          <w:bCs/>
          <w:rtl/>
          <w:lang w:eastAsia="de-DE"/>
        </w:rPr>
        <w:t>שׁמר</w:t>
      </w:r>
      <w:r w:rsidRPr="008A3A15">
        <w:rPr>
          <w:rFonts w:eastAsia="Times New Roman"/>
          <w:rtl/>
          <w:lang w:eastAsia="de-DE"/>
        </w:rPr>
        <w:t xml:space="preserve"> </w:t>
      </w:r>
      <w:r w:rsidRPr="008A3A15">
        <w:rPr>
          <w:rFonts w:eastAsia="Times New Roman"/>
          <w:lang w:eastAsia="de-DE"/>
        </w:rPr>
        <w:t xml:space="preserve">im Construct mit </w:t>
      </w:r>
      <w:r w:rsidRPr="008A3A15">
        <w:rPr>
          <w:rFonts w:eastAsia="Times New Roman"/>
          <w:b/>
          <w:bCs/>
          <w:rtl/>
          <w:lang w:eastAsia="de-DE"/>
        </w:rPr>
        <w:t>מִצְוָה</w:t>
      </w:r>
      <w:r w:rsidRPr="008A3A15">
        <w:rPr>
          <w:rFonts w:eastAsia="Times New Roman"/>
          <w:lang w:eastAsia="de-DE"/>
        </w:rPr>
        <w:t xml:space="preserve">, Plural, und Suffix 3. Person Singular maskulin – „denen, die seine Gebote bewahren"), </w:t>
      </w:r>
      <w:r w:rsidRPr="008A3A15">
        <w:rPr>
          <w:rFonts w:eastAsia="Times New Roman"/>
          <w:b/>
          <w:bCs/>
          <w:rtl/>
          <w:lang w:eastAsia="de-DE"/>
        </w:rPr>
        <w:t>לְאֶלֶף דּוֹר</w:t>
      </w:r>
      <w:r w:rsidRPr="008A3A15">
        <w:rPr>
          <w:rFonts w:eastAsia="Times New Roman"/>
          <w:rtl/>
          <w:lang w:eastAsia="de-DE"/>
        </w:rPr>
        <w:t xml:space="preserve"> </w:t>
      </w:r>
      <w:r w:rsidRPr="008A3A15">
        <w:rPr>
          <w:rFonts w:eastAsia="Times New Roman"/>
          <w:lang w:eastAsia="de-DE"/>
        </w:rPr>
        <w:t>als temporale Bestimmung (</w:t>
      </w:r>
      <w:r w:rsidRPr="008A3A15">
        <w:rPr>
          <w:rFonts w:eastAsia="Times New Roman"/>
          <w:b/>
          <w:bCs/>
          <w:rtl/>
          <w:lang w:eastAsia="de-DE"/>
        </w:rPr>
        <w:t>לְ</w:t>
      </w:r>
      <w:r w:rsidRPr="008A3A15">
        <w:rPr>
          <w:rFonts w:eastAsia="Times New Roman"/>
          <w:rtl/>
          <w:lang w:eastAsia="de-DE"/>
        </w:rPr>
        <w:t xml:space="preserve"> </w:t>
      </w:r>
      <w:r w:rsidRPr="008A3A15">
        <w:rPr>
          <w:rFonts w:eastAsia="Times New Roman"/>
          <w:lang w:eastAsia="de-DE"/>
        </w:rPr>
        <w:t xml:space="preserve">mit </w:t>
      </w:r>
      <w:r w:rsidRPr="008A3A15">
        <w:rPr>
          <w:rFonts w:eastAsia="Times New Roman"/>
          <w:b/>
          <w:bCs/>
          <w:rtl/>
          <w:lang w:eastAsia="de-DE"/>
        </w:rPr>
        <w:t>אֶלֶף</w:t>
      </w:r>
      <w:r w:rsidRPr="008A3A15">
        <w:rPr>
          <w:rFonts w:eastAsia="Times New Roman"/>
          <w:lang w:eastAsia="de-DE"/>
        </w:rPr>
        <w:t xml:space="preserve">, „Tausend", und </w:t>
      </w:r>
      <w:r w:rsidRPr="008A3A15">
        <w:rPr>
          <w:rFonts w:eastAsia="Times New Roman"/>
          <w:b/>
          <w:bCs/>
          <w:rtl/>
          <w:lang w:eastAsia="de-DE"/>
        </w:rPr>
        <w:t>דּוֹר</w:t>
      </w:r>
      <w:r w:rsidRPr="008A3A15">
        <w:rPr>
          <w:rFonts w:eastAsia="Times New Roman"/>
          <w:lang w:eastAsia="de-DE"/>
        </w:rPr>
        <w:t>, „Generation" – „auf tausend Generationen hin").</w:t>
      </w:r>
    </w:p>
    <w:p w14:paraId="3F4BB39B" w14:textId="77777777" w:rsidR="008A3A15" w:rsidRDefault="008A3A15" w:rsidP="008A3A15">
      <w:pPr>
        <w:spacing w:before="100" w:beforeAutospacing="1" w:after="100" w:afterAutospacing="1" w:line="240" w:lineRule="auto"/>
        <w:rPr>
          <w:rFonts w:eastAsia="Times New Roman"/>
          <w:lang w:eastAsia="de-DE"/>
        </w:rPr>
      </w:pPr>
      <w:r w:rsidRPr="008A3A15">
        <w:rPr>
          <w:rFonts w:eastAsia="Times New Roman"/>
          <w:lang w:eastAsia="de-DE"/>
        </w:rPr>
        <w:t xml:space="preserve">Die Formulierung </w:t>
      </w:r>
      <w:r w:rsidRPr="008A3A15">
        <w:rPr>
          <w:rFonts w:eastAsia="Times New Roman"/>
          <w:b/>
          <w:bCs/>
          <w:rtl/>
          <w:lang w:eastAsia="de-DE"/>
        </w:rPr>
        <w:t>הָאֵל הַנֶּאֱמָן</w:t>
      </w:r>
      <w:r w:rsidRPr="008A3A15">
        <w:rPr>
          <w:rFonts w:eastAsia="Times New Roman"/>
          <w:rtl/>
          <w:lang w:eastAsia="de-DE"/>
        </w:rPr>
        <w:t xml:space="preserve"> </w:t>
      </w:r>
      <w:r w:rsidRPr="008A3A15">
        <w:rPr>
          <w:rFonts w:eastAsia="Times New Roman"/>
          <w:lang w:eastAsia="de-DE"/>
        </w:rPr>
        <w:t xml:space="preserve">(„der treue Gott") betont JHWHs Zuverlässigkeit in der Bundesbeziehung. Die Wendung </w:t>
      </w:r>
      <w:r w:rsidRPr="008A3A15">
        <w:rPr>
          <w:rFonts w:eastAsia="Times New Roman"/>
          <w:b/>
          <w:bCs/>
          <w:rtl/>
          <w:lang w:eastAsia="de-DE"/>
        </w:rPr>
        <w:t>לְאֶלֶף דּוֹר</w:t>
      </w:r>
      <w:r w:rsidRPr="008A3A15">
        <w:rPr>
          <w:rFonts w:eastAsia="Times New Roman"/>
          <w:rtl/>
          <w:lang w:eastAsia="de-DE"/>
        </w:rPr>
        <w:t xml:space="preserve"> </w:t>
      </w:r>
      <w:r w:rsidRPr="008A3A15">
        <w:rPr>
          <w:rFonts w:eastAsia="Times New Roman"/>
          <w:lang w:eastAsia="de-DE"/>
        </w:rPr>
        <w:t xml:space="preserve">(„auf tausend Generationen") greift 5,10 auf und kontrastiert mit der Strafe „auf drei und vier Generationen" (5,9) – die Gnade überwiegt die Strenge bei weitem. </w:t>
      </w:r>
    </w:p>
    <w:p w14:paraId="54FC1102" w14:textId="740A0416"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lang w:eastAsia="de-DE"/>
        </w:rPr>
        <w:t>Die LXX</w:t>
      </w:r>
      <w:r w:rsidRPr="008A3A15">
        <w:rPr>
          <w:rFonts w:eastAsia="Times New Roman"/>
          <w:lang w:eastAsia="de-DE"/>
        </w:rPr>
        <w:t xml:space="preserve"> übersetzt: </w:t>
      </w:r>
      <w:r w:rsidRPr="008A3A15">
        <w:rPr>
          <w:rFonts w:eastAsia="Times New Roman"/>
          <w:b/>
          <w:bCs/>
          <w:lang w:eastAsia="de-DE"/>
        </w:rPr>
        <w:t xml:space="preserve">ὁ </w:t>
      </w:r>
      <w:proofErr w:type="spellStart"/>
      <w:r w:rsidRPr="008A3A15">
        <w:rPr>
          <w:rFonts w:eastAsia="Times New Roman"/>
          <w:b/>
          <w:bCs/>
          <w:lang w:eastAsia="de-DE"/>
        </w:rPr>
        <w:t>θεὸς</w:t>
      </w:r>
      <w:proofErr w:type="spellEnd"/>
      <w:r w:rsidRPr="008A3A15">
        <w:rPr>
          <w:rFonts w:eastAsia="Times New Roman"/>
          <w:b/>
          <w:bCs/>
          <w:lang w:eastAsia="de-DE"/>
        </w:rPr>
        <w:t xml:space="preserve"> ὁ π</w:t>
      </w:r>
      <w:proofErr w:type="spellStart"/>
      <w:r w:rsidRPr="008A3A15">
        <w:rPr>
          <w:rFonts w:eastAsia="Times New Roman"/>
          <w:b/>
          <w:bCs/>
          <w:lang w:eastAsia="de-DE"/>
        </w:rPr>
        <w:t>ιστός</w:t>
      </w:r>
      <w:proofErr w:type="spellEnd"/>
      <w:r w:rsidRPr="008A3A15">
        <w:rPr>
          <w:rFonts w:eastAsia="Times New Roman"/>
          <w:b/>
          <w:bCs/>
          <w:lang w:eastAsia="de-DE"/>
        </w:rPr>
        <w:t xml:space="preserve">, ὁ </w:t>
      </w:r>
      <w:proofErr w:type="spellStart"/>
      <w:r w:rsidRPr="008A3A15">
        <w:rPr>
          <w:rFonts w:eastAsia="Times New Roman"/>
          <w:b/>
          <w:bCs/>
          <w:lang w:eastAsia="de-DE"/>
        </w:rPr>
        <w:t>φυλάσσων</w:t>
      </w:r>
      <w:proofErr w:type="spellEnd"/>
      <w:r w:rsidRPr="008A3A15">
        <w:rPr>
          <w:rFonts w:eastAsia="Times New Roman"/>
          <w:b/>
          <w:bCs/>
          <w:lang w:eastAsia="de-DE"/>
        </w:rPr>
        <w:t xml:space="preserve"> </w:t>
      </w:r>
      <w:proofErr w:type="spellStart"/>
      <w:r w:rsidRPr="008A3A15">
        <w:rPr>
          <w:rFonts w:eastAsia="Times New Roman"/>
          <w:b/>
          <w:bCs/>
          <w:lang w:eastAsia="de-DE"/>
        </w:rPr>
        <w:t>δι</w:t>
      </w:r>
      <w:proofErr w:type="spellEnd"/>
      <w:r w:rsidRPr="008A3A15">
        <w:rPr>
          <w:rFonts w:eastAsia="Times New Roman"/>
          <w:b/>
          <w:bCs/>
          <w:lang w:eastAsia="de-DE"/>
        </w:rPr>
        <w:t xml:space="preserve">αθήκην καὶ </w:t>
      </w:r>
      <w:proofErr w:type="spellStart"/>
      <w:r w:rsidRPr="008A3A15">
        <w:rPr>
          <w:rFonts w:eastAsia="Times New Roman"/>
          <w:b/>
          <w:bCs/>
          <w:lang w:eastAsia="de-DE"/>
        </w:rPr>
        <w:t>ἔλεος</w:t>
      </w:r>
      <w:proofErr w:type="spellEnd"/>
      <w:r w:rsidRPr="008A3A15">
        <w:rPr>
          <w:rFonts w:eastAsia="Times New Roman"/>
          <w:b/>
          <w:bCs/>
          <w:lang w:eastAsia="de-DE"/>
        </w:rPr>
        <w:t xml:space="preserve"> </w:t>
      </w:r>
      <w:proofErr w:type="spellStart"/>
      <w:r w:rsidRPr="008A3A15">
        <w:rPr>
          <w:rFonts w:eastAsia="Times New Roman"/>
          <w:b/>
          <w:bCs/>
          <w:lang w:eastAsia="de-DE"/>
        </w:rPr>
        <w:t>τοῖς</w:t>
      </w:r>
      <w:proofErr w:type="spellEnd"/>
      <w:r w:rsidRPr="008A3A15">
        <w:rPr>
          <w:rFonts w:eastAsia="Times New Roman"/>
          <w:b/>
          <w:bCs/>
          <w:lang w:eastAsia="de-DE"/>
        </w:rPr>
        <w:t xml:space="preserve"> </w:t>
      </w:r>
      <w:proofErr w:type="spellStart"/>
      <w:r w:rsidRPr="008A3A15">
        <w:rPr>
          <w:rFonts w:eastAsia="Times New Roman"/>
          <w:b/>
          <w:bCs/>
          <w:lang w:eastAsia="de-DE"/>
        </w:rPr>
        <w:t>ἀγ</w:t>
      </w:r>
      <w:proofErr w:type="spellEnd"/>
      <w:r w:rsidRPr="008A3A15">
        <w:rPr>
          <w:rFonts w:eastAsia="Times New Roman"/>
          <w:b/>
          <w:bCs/>
          <w:lang w:eastAsia="de-DE"/>
        </w:rPr>
        <w:t>απῶσιν α</w:t>
      </w:r>
      <w:proofErr w:type="spellStart"/>
      <w:r w:rsidRPr="008A3A15">
        <w:rPr>
          <w:rFonts w:eastAsia="Times New Roman"/>
          <w:b/>
          <w:bCs/>
          <w:lang w:eastAsia="de-DE"/>
        </w:rPr>
        <w:t>ὐτὸν</w:t>
      </w:r>
      <w:proofErr w:type="spellEnd"/>
      <w:r w:rsidRPr="008A3A15">
        <w:rPr>
          <w:rFonts w:eastAsia="Times New Roman"/>
          <w:b/>
          <w:bCs/>
          <w:lang w:eastAsia="de-DE"/>
        </w:rPr>
        <w:t xml:space="preserve"> καὶ </w:t>
      </w:r>
      <w:proofErr w:type="spellStart"/>
      <w:r w:rsidRPr="008A3A15">
        <w:rPr>
          <w:rFonts w:eastAsia="Times New Roman"/>
          <w:b/>
          <w:bCs/>
          <w:lang w:eastAsia="de-DE"/>
        </w:rPr>
        <w:t>τοῖς</w:t>
      </w:r>
      <w:proofErr w:type="spellEnd"/>
      <w:r w:rsidRPr="008A3A15">
        <w:rPr>
          <w:rFonts w:eastAsia="Times New Roman"/>
          <w:b/>
          <w:bCs/>
          <w:lang w:eastAsia="de-DE"/>
        </w:rPr>
        <w:t xml:space="preserve"> </w:t>
      </w:r>
      <w:proofErr w:type="spellStart"/>
      <w:r w:rsidRPr="008A3A15">
        <w:rPr>
          <w:rFonts w:eastAsia="Times New Roman"/>
          <w:b/>
          <w:bCs/>
          <w:lang w:eastAsia="de-DE"/>
        </w:rPr>
        <w:t>φυλάσσουσιν</w:t>
      </w:r>
      <w:proofErr w:type="spellEnd"/>
      <w:r w:rsidRPr="008A3A15">
        <w:rPr>
          <w:rFonts w:eastAsia="Times New Roman"/>
          <w:b/>
          <w:bCs/>
          <w:lang w:eastAsia="de-DE"/>
        </w:rPr>
        <w:t xml:space="preserve"> </w:t>
      </w:r>
      <w:proofErr w:type="spellStart"/>
      <w:r w:rsidRPr="008A3A15">
        <w:rPr>
          <w:rFonts w:eastAsia="Times New Roman"/>
          <w:b/>
          <w:bCs/>
          <w:lang w:eastAsia="de-DE"/>
        </w:rPr>
        <w:t>τὰ</w:t>
      </w:r>
      <w:proofErr w:type="spellEnd"/>
      <w:r w:rsidRPr="008A3A15">
        <w:rPr>
          <w:rFonts w:eastAsia="Times New Roman"/>
          <w:b/>
          <w:bCs/>
          <w:lang w:eastAsia="de-DE"/>
        </w:rPr>
        <w:t xml:space="preserve"> π</w:t>
      </w:r>
      <w:proofErr w:type="spellStart"/>
      <w:r w:rsidRPr="008A3A15">
        <w:rPr>
          <w:rFonts w:eastAsia="Times New Roman"/>
          <w:b/>
          <w:bCs/>
          <w:lang w:eastAsia="de-DE"/>
        </w:rPr>
        <w:t>ροστάγμ</w:t>
      </w:r>
      <w:proofErr w:type="spellEnd"/>
      <w:r w:rsidRPr="008A3A15">
        <w:rPr>
          <w:rFonts w:eastAsia="Times New Roman"/>
          <w:b/>
          <w:bCs/>
          <w:lang w:eastAsia="de-DE"/>
        </w:rPr>
        <w:t>ατα α</w:t>
      </w:r>
      <w:proofErr w:type="spellStart"/>
      <w:r w:rsidRPr="008A3A15">
        <w:rPr>
          <w:rFonts w:eastAsia="Times New Roman"/>
          <w:b/>
          <w:bCs/>
          <w:lang w:eastAsia="de-DE"/>
        </w:rPr>
        <w:t>ὐτοῦ</w:t>
      </w:r>
      <w:proofErr w:type="spellEnd"/>
      <w:r w:rsidRPr="008A3A15">
        <w:rPr>
          <w:rFonts w:eastAsia="Times New Roman"/>
          <w:b/>
          <w:bCs/>
          <w:lang w:eastAsia="de-DE"/>
        </w:rPr>
        <w:t xml:space="preserve"> </w:t>
      </w:r>
      <w:proofErr w:type="spellStart"/>
      <w:r w:rsidRPr="008A3A15">
        <w:rPr>
          <w:rFonts w:eastAsia="Times New Roman"/>
          <w:b/>
          <w:bCs/>
          <w:lang w:eastAsia="de-DE"/>
        </w:rPr>
        <w:t>εἰς</w:t>
      </w:r>
      <w:proofErr w:type="spellEnd"/>
      <w:r w:rsidRPr="008A3A15">
        <w:rPr>
          <w:rFonts w:eastAsia="Times New Roman"/>
          <w:b/>
          <w:bCs/>
          <w:lang w:eastAsia="de-DE"/>
        </w:rPr>
        <w:t xml:space="preserve"> </w:t>
      </w:r>
      <w:proofErr w:type="spellStart"/>
      <w:r w:rsidRPr="008A3A15">
        <w:rPr>
          <w:rFonts w:eastAsia="Times New Roman"/>
          <w:b/>
          <w:bCs/>
          <w:lang w:eastAsia="de-DE"/>
        </w:rPr>
        <w:t>χιλί</w:t>
      </w:r>
      <w:proofErr w:type="spellEnd"/>
      <w:r w:rsidRPr="008A3A15">
        <w:rPr>
          <w:rFonts w:eastAsia="Times New Roman"/>
          <w:b/>
          <w:bCs/>
          <w:lang w:eastAsia="de-DE"/>
        </w:rPr>
        <w:t xml:space="preserve">ας </w:t>
      </w:r>
      <w:proofErr w:type="spellStart"/>
      <w:r w:rsidRPr="008A3A15">
        <w:rPr>
          <w:rFonts w:eastAsia="Times New Roman"/>
          <w:b/>
          <w:bCs/>
          <w:lang w:eastAsia="de-DE"/>
        </w:rPr>
        <w:t>γενεάς</w:t>
      </w:r>
      <w:proofErr w:type="spellEnd"/>
      <w:r w:rsidRPr="008A3A15">
        <w:rPr>
          <w:rFonts w:eastAsia="Times New Roman"/>
          <w:lang w:eastAsia="de-DE"/>
        </w:rPr>
        <w:t xml:space="preserve"> („der treue Gott, der Bund und Erbarmen bewahrt denen, die ihn lieben und die seine Gebote bewahren, auf tausend Generationen").</w:t>
      </w:r>
    </w:p>
    <w:p w14:paraId="652561E0"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lang w:eastAsia="de-DE"/>
        </w:rPr>
        <w:lastRenderedPageBreak/>
        <w:t xml:space="preserve">Die Satzstruktur ist ein imperativisches Perfekt consecutivum mit </w:t>
      </w:r>
      <w:r w:rsidRPr="008A3A15">
        <w:rPr>
          <w:rFonts w:eastAsia="Times New Roman"/>
          <w:b/>
          <w:bCs/>
          <w:rtl/>
          <w:lang w:eastAsia="de-DE"/>
        </w:rPr>
        <w:t>כִּי</w:t>
      </w:r>
      <w:r w:rsidRPr="008A3A15">
        <w:rPr>
          <w:rFonts w:eastAsia="Times New Roman"/>
          <w:lang w:eastAsia="de-DE"/>
        </w:rPr>
        <w:t>-Objektsatz (nominaler Identifikationssatz mit erweitertem Subjekt, emphatischem Pronomen und Prädikatsnomen), erweitert durch eine mehrfache Apposition (substantivisches Partizip mit Artikel, partizipiales Attribut, Partizip im Construct mit zweigliedriger koordinierter Objektkette, zweigliedrige koordinierte Empfängerbestimmung mit partizipialen Konstruktionen und Suffixen, temporale Bestimmung). Die komplexe Struktur entfaltet JHWHs Wesen und sein Bundeshandeln.</w:t>
      </w:r>
    </w:p>
    <w:p w14:paraId="6628BAA5"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lang w:eastAsia="de-DE"/>
        </w:rPr>
        <w:t>Der Vers zieht die Folgerung: Israel soll erkennen, dass JHWH der wahre, treue Gott ist, der Bund und Güte tausend Generationen lang denen bewahrt, die ihn lieben und seine Gebote halten – eine Zusicherung göttlicher Bundestreue.</w:t>
      </w:r>
    </w:p>
    <w:p w14:paraId="438D37D7" w14:textId="77777777" w:rsidR="008A3A15" w:rsidRPr="008A3A15" w:rsidRDefault="008A3A15" w:rsidP="008A3A15">
      <w:pPr>
        <w:spacing w:before="100" w:beforeAutospacing="1" w:after="100" w:afterAutospacing="1" w:line="240" w:lineRule="auto"/>
        <w:outlineLvl w:val="1"/>
        <w:rPr>
          <w:rFonts w:eastAsia="Times New Roman"/>
          <w:b/>
          <w:bCs/>
          <w:sz w:val="36"/>
          <w:szCs w:val="36"/>
          <w:lang w:eastAsia="de-DE"/>
        </w:rPr>
      </w:pPr>
      <w:r w:rsidRPr="008A3A15">
        <w:rPr>
          <w:rFonts w:eastAsia="Times New Roman"/>
          <w:b/>
          <w:bCs/>
          <w:sz w:val="36"/>
          <w:szCs w:val="36"/>
          <w:lang w:eastAsia="de-DE"/>
        </w:rPr>
        <w:t>Deuteronomium 7,10</w:t>
      </w:r>
    </w:p>
    <w:p w14:paraId="1BA3FC2A"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lang w:eastAsia="de-DE"/>
        </w:rPr>
        <w:t>Hebräisch:</w:t>
      </w:r>
      <w:r w:rsidRPr="008A3A15">
        <w:rPr>
          <w:rFonts w:eastAsia="Times New Roman"/>
          <w:lang w:eastAsia="de-DE"/>
        </w:rPr>
        <w:t xml:space="preserve"> </w:t>
      </w:r>
      <w:r w:rsidRPr="008A3A15">
        <w:rPr>
          <w:rFonts w:eastAsia="Times New Roman"/>
          <w:rtl/>
          <w:lang w:eastAsia="de-DE"/>
        </w:rPr>
        <w:t>וּמְשַׁלֵּם לְשֹׂנְאָיו אֶל־פָּנָיו לְהַאֲבִידוֹ לֹא יְאַחֵר לְשֹׂנְאוֹ אֶל־פָּנָיו יְשַׁלֶּם־לוֹ׃</w:t>
      </w:r>
    </w:p>
    <w:p w14:paraId="7D0D8E8D"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lang w:eastAsia="de-DE"/>
        </w:rPr>
        <w:t>Deutsch:</w:t>
      </w:r>
      <w:r w:rsidRPr="008A3A15">
        <w:rPr>
          <w:rFonts w:eastAsia="Times New Roman"/>
          <w:lang w:eastAsia="de-DE"/>
        </w:rPr>
        <w:t xml:space="preserve"> und denen, die ihn hassen, ins Angesicht vergilt, sie zu vernichten. Er zögert nicht gegenüber dem, der ihn hasst; ins Angesicht vergilt er ihm.</w:t>
      </w:r>
    </w:p>
    <w:p w14:paraId="0C22B960" w14:textId="77777777" w:rsidR="008A3A15" w:rsidRPr="008A3A15" w:rsidRDefault="004F5CEB" w:rsidP="008A3A15">
      <w:pPr>
        <w:spacing w:after="0" w:line="240" w:lineRule="auto"/>
        <w:rPr>
          <w:rFonts w:eastAsia="Times New Roman"/>
          <w:lang w:eastAsia="de-DE"/>
        </w:rPr>
      </w:pPr>
      <w:r>
        <w:rPr>
          <w:rFonts w:eastAsia="Times New Roman"/>
          <w:noProof/>
          <w:lang w:eastAsia="de-DE"/>
        </w:rPr>
        <w:pict w14:anchorId="28207583">
          <v:rect id="_x0000_i1253" style="width:0;height:1.5pt" o:hralign="center" o:hrstd="t" o:hr="t" fillcolor="#a0a0a0" stroked="f"/>
        </w:pict>
      </w:r>
    </w:p>
    <w:p w14:paraId="2B2E5EFC"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lang w:eastAsia="de-DE"/>
        </w:rPr>
        <w:t>Kommentar:</w:t>
      </w:r>
      <w:r w:rsidRPr="008A3A15">
        <w:rPr>
          <w:rFonts w:eastAsia="Times New Roman"/>
          <w:lang w:eastAsia="de-DE"/>
        </w:rPr>
        <w:t xml:space="preserve"> </w:t>
      </w:r>
      <w:r w:rsidRPr="008A3A15">
        <w:rPr>
          <w:rFonts w:eastAsia="Times New Roman"/>
          <w:b/>
          <w:bCs/>
          <w:rtl/>
          <w:lang w:eastAsia="de-DE"/>
        </w:rPr>
        <w:t>וּמְשַׁלֵּם לְשֹׂנְאָיו אֶל־פָּנָיו לְהַאֲבִידוֹ</w:t>
      </w:r>
      <w:r w:rsidRPr="008A3A15">
        <w:rPr>
          <w:rFonts w:eastAsia="Times New Roman"/>
          <w:rtl/>
          <w:lang w:eastAsia="de-DE"/>
        </w:rPr>
        <w:t xml:space="preserve"> </w:t>
      </w:r>
      <w:r w:rsidRPr="008A3A15">
        <w:rPr>
          <w:rFonts w:eastAsia="Times New Roman"/>
          <w:lang w:eastAsia="de-DE"/>
        </w:rPr>
        <w:t xml:space="preserve">ist eine koordinierte partizipiale Konstruktion: </w:t>
      </w:r>
      <w:r w:rsidRPr="008A3A15">
        <w:rPr>
          <w:rFonts w:eastAsia="Times New Roman"/>
          <w:b/>
          <w:bCs/>
          <w:rtl/>
          <w:lang w:eastAsia="de-DE"/>
        </w:rPr>
        <w:t>וּמְשַׁלֵּם</w:t>
      </w:r>
      <w:r w:rsidRPr="008A3A15">
        <w:rPr>
          <w:rFonts w:eastAsia="Times New Roman"/>
          <w:rtl/>
          <w:lang w:eastAsia="de-DE"/>
        </w:rPr>
        <w:t xml:space="preserve"> </w:t>
      </w:r>
      <w:r w:rsidRPr="008A3A15">
        <w:rPr>
          <w:rFonts w:eastAsia="Times New Roman"/>
          <w:lang w:eastAsia="de-DE"/>
        </w:rPr>
        <w:t xml:space="preserve">(Piel Partizip Singular maskulin von </w:t>
      </w:r>
      <w:r w:rsidRPr="008A3A15">
        <w:rPr>
          <w:rFonts w:eastAsia="Times New Roman"/>
          <w:b/>
          <w:bCs/>
          <w:rtl/>
          <w:lang w:eastAsia="de-DE"/>
        </w:rPr>
        <w:t>שׁלם</w:t>
      </w:r>
      <w:r w:rsidRPr="008A3A15">
        <w:rPr>
          <w:rFonts w:eastAsia="Times New Roman"/>
          <w:lang w:eastAsia="de-DE"/>
        </w:rPr>
        <w:t xml:space="preserve">, „vergelten, bezahlen", mit </w:t>
      </w:r>
      <w:r w:rsidRPr="008A3A15">
        <w:rPr>
          <w:rFonts w:eastAsia="Times New Roman"/>
          <w:b/>
          <w:bCs/>
          <w:rtl/>
          <w:lang w:eastAsia="de-DE"/>
        </w:rPr>
        <w:t>וְ</w:t>
      </w:r>
      <w:r w:rsidRPr="008A3A15">
        <w:rPr>
          <w:rFonts w:eastAsia="Times New Roman"/>
          <w:rtl/>
          <w:lang w:eastAsia="de-DE"/>
        </w:rPr>
        <w:t xml:space="preserve"> </w:t>
      </w:r>
      <w:r w:rsidRPr="008A3A15">
        <w:rPr>
          <w:rFonts w:eastAsia="Times New Roman"/>
          <w:lang w:eastAsia="de-DE"/>
        </w:rPr>
        <w:t xml:space="preserve">– koordiniert zu </w:t>
      </w:r>
      <w:r w:rsidRPr="008A3A15">
        <w:rPr>
          <w:rFonts w:eastAsia="Times New Roman"/>
          <w:b/>
          <w:bCs/>
          <w:rtl/>
          <w:lang w:eastAsia="de-DE"/>
        </w:rPr>
        <w:t>שֹׁמֵר</w:t>
      </w:r>
      <w:r w:rsidRPr="008A3A15">
        <w:rPr>
          <w:rFonts w:eastAsia="Times New Roman"/>
          <w:rtl/>
          <w:lang w:eastAsia="de-DE"/>
        </w:rPr>
        <w:t xml:space="preserve"> </w:t>
      </w:r>
      <w:r w:rsidRPr="008A3A15">
        <w:rPr>
          <w:rFonts w:eastAsia="Times New Roman"/>
          <w:lang w:eastAsia="de-DE"/>
        </w:rPr>
        <w:t xml:space="preserve">in V. 9), </w:t>
      </w:r>
      <w:r w:rsidRPr="008A3A15">
        <w:rPr>
          <w:rFonts w:eastAsia="Times New Roman"/>
          <w:b/>
          <w:bCs/>
          <w:rtl/>
          <w:lang w:eastAsia="de-DE"/>
        </w:rPr>
        <w:t>לְשֹׂנְאָיו</w:t>
      </w:r>
      <w:r w:rsidRPr="008A3A15">
        <w:rPr>
          <w:rFonts w:eastAsia="Times New Roman"/>
          <w:rtl/>
          <w:lang w:eastAsia="de-DE"/>
        </w:rPr>
        <w:t xml:space="preserve"> </w:t>
      </w:r>
      <w:r w:rsidRPr="008A3A15">
        <w:rPr>
          <w:rFonts w:eastAsia="Times New Roman"/>
          <w:lang w:eastAsia="de-DE"/>
        </w:rPr>
        <w:t>als indirektes Objekt (</w:t>
      </w:r>
      <w:r w:rsidRPr="008A3A15">
        <w:rPr>
          <w:rFonts w:eastAsia="Times New Roman"/>
          <w:b/>
          <w:bCs/>
          <w:rtl/>
          <w:lang w:eastAsia="de-DE"/>
        </w:rPr>
        <w:t>לְ</w:t>
      </w:r>
      <w:r w:rsidRPr="008A3A15">
        <w:rPr>
          <w:rFonts w:eastAsia="Times New Roman"/>
          <w:rtl/>
          <w:lang w:eastAsia="de-DE"/>
        </w:rPr>
        <w:t xml:space="preserve"> </w:t>
      </w:r>
      <w:r w:rsidRPr="008A3A15">
        <w:rPr>
          <w:rFonts w:eastAsia="Times New Roman"/>
          <w:lang w:eastAsia="de-DE"/>
        </w:rPr>
        <w:t xml:space="preserve">mit Qal Partizip Plural maskulin von </w:t>
      </w:r>
      <w:r w:rsidRPr="008A3A15">
        <w:rPr>
          <w:rFonts w:eastAsia="Times New Roman"/>
          <w:b/>
          <w:bCs/>
          <w:rtl/>
          <w:lang w:eastAsia="de-DE"/>
        </w:rPr>
        <w:t>שׂנא</w:t>
      </w:r>
      <w:r w:rsidRPr="008A3A15">
        <w:rPr>
          <w:rFonts w:eastAsia="Times New Roman"/>
          <w:lang w:eastAsia="de-DE"/>
        </w:rPr>
        <w:t xml:space="preserve">, „hassen", und Suffix 3. Person Singular maskulin – „denen, die ihn hassen, seinen Hassern"), </w:t>
      </w:r>
      <w:r w:rsidRPr="008A3A15">
        <w:rPr>
          <w:rFonts w:eastAsia="Times New Roman"/>
          <w:b/>
          <w:bCs/>
          <w:rtl/>
          <w:lang w:eastAsia="de-DE"/>
        </w:rPr>
        <w:t>אֶל־פָּנָיו</w:t>
      </w:r>
      <w:r w:rsidRPr="008A3A15">
        <w:rPr>
          <w:rFonts w:eastAsia="Times New Roman"/>
          <w:rtl/>
          <w:lang w:eastAsia="de-DE"/>
        </w:rPr>
        <w:t xml:space="preserve"> </w:t>
      </w:r>
      <w:r w:rsidRPr="008A3A15">
        <w:rPr>
          <w:rFonts w:eastAsia="Times New Roman"/>
          <w:lang w:eastAsia="de-DE"/>
        </w:rPr>
        <w:t>als modale bzw. lokale Bestimmung (</w:t>
      </w:r>
      <w:r w:rsidRPr="008A3A15">
        <w:rPr>
          <w:rFonts w:eastAsia="Times New Roman"/>
          <w:b/>
          <w:bCs/>
          <w:rtl/>
          <w:lang w:eastAsia="de-DE"/>
        </w:rPr>
        <w:t>אֶל</w:t>
      </w:r>
      <w:r w:rsidRPr="008A3A15">
        <w:rPr>
          <w:rFonts w:eastAsia="Times New Roman"/>
          <w:rtl/>
          <w:lang w:eastAsia="de-DE"/>
        </w:rPr>
        <w:t xml:space="preserve"> </w:t>
      </w:r>
      <w:r w:rsidRPr="008A3A15">
        <w:rPr>
          <w:rFonts w:eastAsia="Times New Roman"/>
          <w:lang w:eastAsia="de-DE"/>
        </w:rPr>
        <w:t xml:space="preserve">mit </w:t>
      </w:r>
      <w:r w:rsidRPr="008A3A15">
        <w:rPr>
          <w:rFonts w:eastAsia="Times New Roman"/>
          <w:b/>
          <w:bCs/>
          <w:rtl/>
          <w:lang w:eastAsia="de-DE"/>
        </w:rPr>
        <w:t>פָּנֶה</w:t>
      </w:r>
      <w:r w:rsidRPr="008A3A15">
        <w:rPr>
          <w:rFonts w:eastAsia="Times New Roman"/>
          <w:lang w:eastAsia="de-DE"/>
        </w:rPr>
        <w:t xml:space="preserve">, Plural, und Suffix 3. Person Singular maskulin – „ins Angesicht, direkt, persönlich"), </w:t>
      </w:r>
      <w:r w:rsidRPr="008A3A15">
        <w:rPr>
          <w:rFonts w:eastAsia="Times New Roman"/>
          <w:b/>
          <w:bCs/>
          <w:rtl/>
          <w:lang w:eastAsia="de-DE"/>
        </w:rPr>
        <w:t>לְהַאֲבִידוֹ</w:t>
      </w:r>
      <w:r w:rsidRPr="008A3A15">
        <w:rPr>
          <w:rFonts w:eastAsia="Times New Roman"/>
          <w:rtl/>
          <w:lang w:eastAsia="de-DE"/>
        </w:rPr>
        <w:t xml:space="preserve"> </w:t>
      </w:r>
      <w:r w:rsidRPr="008A3A15">
        <w:rPr>
          <w:rFonts w:eastAsia="Times New Roman"/>
          <w:lang w:eastAsia="de-DE"/>
        </w:rPr>
        <w:t xml:space="preserve">als finaler Infinitiv (Hifil Infinitiv Construct von </w:t>
      </w:r>
      <w:r w:rsidRPr="008A3A15">
        <w:rPr>
          <w:rFonts w:eastAsia="Times New Roman"/>
          <w:b/>
          <w:bCs/>
          <w:rtl/>
          <w:lang w:eastAsia="de-DE"/>
        </w:rPr>
        <w:t>אבד</w:t>
      </w:r>
      <w:r w:rsidRPr="008A3A15">
        <w:rPr>
          <w:rFonts w:eastAsia="Times New Roman"/>
          <w:lang w:eastAsia="de-DE"/>
        </w:rPr>
        <w:t xml:space="preserve">, „vernichten, zugrunde richten", mit </w:t>
      </w:r>
      <w:r w:rsidRPr="008A3A15">
        <w:rPr>
          <w:rFonts w:eastAsia="Times New Roman"/>
          <w:b/>
          <w:bCs/>
          <w:rtl/>
          <w:lang w:eastAsia="de-DE"/>
        </w:rPr>
        <w:t>לְ</w:t>
      </w:r>
      <w:r w:rsidRPr="008A3A15">
        <w:rPr>
          <w:rFonts w:eastAsia="Times New Roman"/>
          <w:rtl/>
          <w:lang w:eastAsia="de-DE"/>
        </w:rPr>
        <w:t xml:space="preserve"> </w:t>
      </w:r>
      <w:r w:rsidRPr="008A3A15">
        <w:rPr>
          <w:rFonts w:eastAsia="Times New Roman"/>
          <w:lang w:eastAsia="de-DE"/>
        </w:rPr>
        <w:t>und Suffix 3. Person Singular maskulin – „um ihn zu vernichten").</w:t>
      </w:r>
    </w:p>
    <w:p w14:paraId="2CFEAB7C" w14:textId="18B755C3"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rtl/>
          <w:lang w:eastAsia="de-DE"/>
        </w:rPr>
        <w:t>לֹא יְאַחֵר לְשֹׂנְאוֹ אֶל־פָּנָיו יְשַׁלֶּם־לוֹ</w:t>
      </w:r>
      <w:r w:rsidRPr="008A3A15">
        <w:rPr>
          <w:rFonts w:eastAsia="Times New Roman"/>
          <w:rtl/>
          <w:lang w:eastAsia="de-DE"/>
        </w:rPr>
        <w:t xml:space="preserve"> </w:t>
      </w:r>
      <w:r w:rsidRPr="008A3A15">
        <w:rPr>
          <w:rFonts w:eastAsia="Times New Roman"/>
          <w:lang w:eastAsia="de-DE"/>
        </w:rPr>
        <w:t xml:space="preserve">ist eine zweigliedrige koordinierte Aussage: </w:t>
      </w:r>
      <w:r w:rsidRPr="008A3A15">
        <w:rPr>
          <w:rFonts w:eastAsia="Times New Roman"/>
          <w:b/>
          <w:bCs/>
          <w:rtl/>
          <w:lang w:eastAsia="de-DE"/>
        </w:rPr>
        <w:t>לֹא יְאַחֵר לְשֹׂנְאוֹ</w:t>
      </w:r>
      <w:r w:rsidRPr="008A3A15">
        <w:rPr>
          <w:rFonts w:eastAsia="Times New Roman"/>
          <w:rtl/>
          <w:lang w:eastAsia="de-DE"/>
        </w:rPr>
        <w:t xml:space="preserve"> </w:t>
      </w:r>
      <w:r w:rsidRPr="008A3A15">
        <w:rPr>
          <w:rFonts w:eastAsia="Times New Roman"/>
          <w:lang w:eastAsia="de-DE"/>
        </w:rPr>
        <w:t>(</w:t>
      </w:r>
      <w:r w:rsidRPr="008A3A15">
        <w:rPr>
          <w:rFonts w:eastAsia="Times New Roman"/>
          <w:b/>
          <w:bCs/>
          <w:rtl/>
          <w:lang w:eastAsia="de-DE"/>
        </w:rPr>
        <w:t>לֹא</w:t>
      </w:r>
      <w:r w:rsidRPr="008A3A15">
        <w:rPr>
          <w:rFonts w:eastAsia="Times New Roman"/>
          <w:rtl/>
          <w:lang w:eastAsia="de-DE"/>
        </w:rPr>
        <w:t xml:space="preserve"> </w:t>
      </w:r>
      <w:r w:rsidRPr="008A3A15">
        <w:rPr>
          <w:rFonts w:eastAsia="Times New Roman"/>
          <w:lang w:eastAsia="de-DE"/>
        </w:rPr>
        <w:t xml:space="preserve">als Negation, </w:t>
      </w:r>
      <w:r w:rsidRPr="008A3A15">
        <w:rPr>
          <w:rFonts w:eastAsia="Times New Roman"/>
          <w:b/>
          <w:bCs/>
          <w:rtl/>
          <w:lang w:eastAsia="de-DE"/>
        </w:rPr>
        <w:t>יְאַחֵר</w:t>
      </w:r>
      <w:r w:rsidRPr="008A3A15">
        <w:rPr>
          <w:rFonts w:eastAsia="Times New Roman"/>
          <w:rtl/>
          <w:lang w:eastAsia="de-DE"/>
        </w:rPr>
        <w:t xml:space="preserve"> </w:t>
      </w:r>
      <w:r w:rsidRPr="008A3A15">
        <w:rPr>
          <w:rFonts w:eastAsia="Times New Roman"/>
          <w:lang w:eastAsia="de-DE"/>
        </w:rPr>
        <w:t xml:space="preserve">als Piel Imperfekt, 3. Person Singular maskulin von </w:t>
      </w:r>
      <w:r w:rsidRPr="008A3A15">
        <w:rPr>
          <w:rFonts w:eastAsia="Times New Roman"/>
          <w:b/>
          <w:bCs/>
          <w:rtl/>
          <w:lang w:eastAsia="de-DE"/>
        </w:rPr>
        <w:t>אחר</w:t>
      </w:r>
      <w:r w:rsidRPr="008A3A15">
        <w:rPr>
          <w:rFonts w:eastAsia="Times New Roman"/>
          <w:lang w:eastAsia="de-DE"/>
        </w:rPr>
        <w:t xml:space="preserve">, „zögern, verzögern", </w:t>
      </w:r>
      <w:r w:rsidRPr="008A3A15">
        <w:rPr>
          <w:rFonts w:eastAsia="Times New Roman"/>
          <w:b/>
          <w:bCs/>
          <w:rtl/>
          <w:lang w:eastAsia="de-DE"/>
        </w:rPr>
        <w:t>לְשֹׂנְאוֹ</w:t>
      </w:r>
      <w:r w:rsidRPr="008A3A15">
        <w:rPr>
          <w:rFonts w:eastAsia="Times New Roman"/>
          <w:rtl/>
          <w:lang w:eastAsia="de-DE"/>
        </w:rPr>
        <w:t xml:space="preserve"> </w:t>
      </w:r>
      <w:r w:rsidRPr="008A3A15">
        <w:rPr>
          <w:rFonts w:eastAsia="Times New Roman"/>
          <w:lang w:eastAsia="de-DE"/>
        </w:rPr>
        <w:t xml:space="preserve">als indirektes Objekt – </w:t>
      </w:r>
      <w:r w:rsidRPr="008A3A15">
        <w:rPr>
          <w:rFonts w:eastAsia="Times New Roman"/>
          <w:b/>
          <w:bCs/>
          <w:rtl/>
          <w:lang w:eastAsia="de-DE"/>
        </w:rPr>
        <w:t>לְ</w:t>
      </w:r>
      <w:r w:rsidRPr="008A3A15">
        <w:rPr>
          <w:rFonts w:eastAsia="Times New Roman"/>
          <w:rtl/>
          <w:lang w:eastAsia="de-DE"/>
        </w:rPr>
        <w:t xml:space="preserve"> </w:t>
      </w:r>
      <w:r w:rsidRPr="008A3A15">
        <w:rPr>
          <w:rFonts w:eastAsia="Times New Roman"/>
          <w:lang w:eastAsia="de-DE"/>
        </w:rPr>
        <w:t xml:space="preserve">mit Qal Partizip Singular maskulin von </w:t>
      </w:r>
      <w:r w:rsidRPr="008A3A15">
        <w:rPr>
          <w:rFonts w:eastAsia="Times New Roman"/>
          <w:b/>
          <w:bCs/>
          <w:rtl/>
          <w:lang w:eastAsia="de-DE"/>
        </w:rPr>
        <w:t>שׂנא</w:t>
      </w:r>
      <w:r w:rsidRPr="008A3A15">
        <w:rPr>
          <w:rFonts w:eastAsia="Times New Roman"/>
          <w:rtl/>
          <w:lang w:eastAsia="de-DE"/>
        </w:rPr>
        <w:t xml:space="preserve"> </w:t>
      </w:r>
      <w:r w:rsidRPr="008A3A15">
        <w:rPr>
          <w:rFonts w:eastAsia="Times New Roman"/>
          <w:lang w:eastAsia="de-DE"/>
        </w:rPr>
        <w:t xml:space="preserve">und Suffix 3. Person Singular maskulin – „gegenüber dem, der ihn hasst, seinem Hasser"), </w:t>
      </w:r>
      <w:r w:rsidRPr="008A3A15">
        <w:rPr>
          <w:rFonts w:eastAsia="Times New Roman"/>
          <w:b/>
          <w:bCs/>
          <w:rtl/>
          <w:lang w:eastAsia="de-DE"/>
        </w:rPr>
        <w:t>אֶל־פָּנָיו יְשַׁלֶּם־לוֹ</w:t>
      </w:r>
      <w:r w:rsidRPr="008A3A15">
        <w:rPr>
          <w:rFonts w:eastAsia="Times New Roman"/>
          <w:rtl/>
          <w:lang w:eastAsia="de-DE"/>
        </w:rPr>
        <w:t xml:space="preserve"> </w:t>
      </w:r>
      <w:r w:rsidRPr="008A3A15">
        <w:rPr>
          <w:rFonts w:eastAsia="Times New Roman"/>
          <w:lang w:eastAsia="de-DE"/>
        </w:rPr>
        <w:t>(</w:t>
      </w:r>
      <w:r w:rsidRPr="008A3A15">
        <w:rPr>
          <w:rFonts w:eastAsia="Times New Roman"/>
          <w:b/>
          <w:bCs/>
          <w:rtl/>
          <w:lang w:eastAsia="de-DE"/>
        </w:rPr>
        <w:t>אֶל־פָּנָיו</w:t>
      </w:r>
      <w:r w:rsidRPr="008A3A15">
        <w:rPr>
          <w:rFonts w:eastAsia="Times New Roman"/>
          <w:rtl/>
          <w:lang w:eastAsia="de-DE"/>
        </w:rPr>
        <w:t xml:space="preserve"> </w:t>
      </w:r>
      <w:r w:rsidRPr="008A3A15">
        <w:rPr>
          <w:rFonts w:eastAsia="Times New Roman"/>
          <w:lang w:eastAsia="de-DE"/>
        </w:rPr>
        <w:t xml:space="preserve">als emphatisch vorausgestellte modale Bestimmung, </w:t>
      </w:r>
      <w:r w:rsidRPr="008A3A15">
        <w:rPr>
          <w:rFonts w:eastAsia="Times New Roman"/>
          <w:b/>
          <w:bCs/>
          <w:rtl/>
          <w:lang w:eastAsia="de-DE"/>
        </w:rPr>
        <w:t>יְשַׁלֶּם</w:t>
      </w:r>
      <w:r w:rsidRPr="008A3A15">
        <w:rPr>
          <w:rFonts w:eastAsia="Times New Roman"/>
          <w:rtl/>
          <w:lang w:eastAsia="de-DE"/>
        </w:rPr>
        <w:t xml:space="preserve"> </w:t>
      </w:r>
      <w:r w:rsidRPr="008A3A15">
        <w:rPr>
          <w:rFonts w:eastAsia="Times New Roman"/>
          <w:lang w:eastAsia="de-DE"/>
        </w:rPr>
        <w:t xml:space="preserve">als Piel Imperfekt, 3. Person Singular maskulin von </w:t>
      </w:r>
      <w:r w:rsidRPr="008A3A15">
        <w:rPr>
          <w:rFonts w:eastAsia="Times New Roman"/>
          <w:b/>
          <w:bCs/>
          <w:rtl/>
          <w:lang w:eastAsia="de-DE"/>
        </w:rPr>
        <w:t>שׁלם</w:t>
      </w:r>
      <w:r w:rsidRPr="008A3A15">
        <w:rPr>
          <w:rFonts w:eastAsia="Times New Roman"/>
          <w:lang w:eastAsia="de-DE"/>
        </w:rPr>
        <w:t xml:space="preserve">, </w:t>
      </w:r>
      <w:r w:rsidRPr="008A3A15">
        <w:rPr>
          <w:rFonts w:eastAsia="Times New Roman"/>
          <w:b/>
          <w:bCs/>
          <w:rtl/>
          <w:lang w:eastAsia="de-DE"/>
        </w:rPr>
        <w:t>לוֹ</w:t>
      </w:r>
      <w:r w:rsidRPr="008A3A15">
        <w:rPr>
          <w:rFonts w:eastAsia="Times New Roman"/>
          <w:rtl/>
          <w:lang w:eastAsia="de-DE"/>
        </w:rPr>
        <w:t xml:space="preserve"> </w:t>
      </w:r>
      <w:r w:rsidRPr="008A3A15">
        <w:rPr>
          <w:rFonts w:eastAsia="Times New Roman"/>
          <w:lang w:eastAsia="de-DE"/>
        </w:rPr>
        <w:t xml:space="preserve">als indirektes Objekt durch </w:t>
      </w:r>
      <w:r w:rsidR="00D84597">
        <w:rPr>
          <w:rFonts w:eastAsia="Times New Roman"/>
          <w:lang w:eastAsia="de-DE"/>
        </w:rPr>
        <w:t>Maqqef</w:t>
      </w:r>
      <w:r w:rsidRPr="008A3A15">
        <w:rPr>
          <w:rFonts w:eastAsia="Times New Roman"/>
          <w:lang w:eastAsia="de-DE"/>
        </w:rPr>
        <w:t xml:space="preserve"> verbunden).</w:t>
      </w:r>
    </w:p>
    <w:p w14:paraId="410587E4"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lang w:eastAsia="de-DE"/>
        </w:rPr>
        <w:t xml:space="preserve">Die Wendung </w:t>
      </w:r>
      <w:r w:rsidRPr="008A3A15">
        <w:rPr>
          <w:rFonts w:eastAsia="Times New Roman"/>
          <w:b/>
          <w:bCs/>
          <w:rtl/>
          <w:lang w:eastAsia="de-DE"/>
        </w:rPr>
        <w:t>אֶל־פָּנָיו</w:t>
      </w:r>
      <w:r w:rsidRPr="008A3A15">
        <w:rPr>
          <w:rFonts w:eastAsia="Times New Roman"/>
          <w:rtl/>
          <w:lang w:eastAsia="de-DE"/>
        </w:rPr>
        <w:t xml:space="preserve"> </w:t>
      </w:r>
      <w:r w:rsidRPr="008A3A15">
        <w:rPr>
          <w:rFonts w:eastAsia="Times New Roman"/>
          <w:lang w:eastAsia="de-DE"/>
        </w:rPr>
        <w:t xml:space="preserve">(„ins Angesicht") betont die Unmittelbarkeit und Direktheit der göttlichen Vergeltung. Die Formulierung bildet einen scharfen Kontrast zu V. 9: Denen, die JHWH lieben und seine Gebote halten, erweist er Güte auf tausend Generationen; denen, die ihn hassen, vergilt er sofort und direkt mit Vernichtung. Die Wiederholung von </w:t>
      </w:r>
      <w:r w:rsidRPr="008A3A15">
        <w:rPr>
          <w:rFonts w:eastAsia="Times New Roman"/>
          <w:b/>
          <w:bCs/>
          <w:rtl/>
          <w:lang w:eastAsia="de-DE"/>
        </w:rPr>
        <w:t>אֶל־פָּנָיו</w:t>
      </w:r>
      <w:r w:rsidRPr="008A3A15">
        <w:rPr>
          <w:rFonts w:eastAsia="Times New Roman"/>
          <w:rtl/>
          <w:lang w:eastAsia="de-DE"/>
        </w:rPr>
        <w:t xml:space="preserve"> </w:t>
      </w:r>
      <w:r w:rsidRPr="008A3A15">
        <w:rPr>
          <w:rFonts w:eastAsia="Times New Roman"/>
          <w:lang w:eastAsia="de-DE"/>
        </w:rPr>
        <w:t xml:space="preserve">und </w:t>
      </w:r>
      <w:r w:rsidRPr="008A3A15">
        <w:rPr>
          <w:rFonts w:eastAsia="Times New Roman"/>
          <w:b/>
          <w:bCs/>
          <w:rtl/>
          <w:lang w:eastAsia="de-DE"/>
        </w:rPr>
        <w:t>יְשַׁלֶּם</w:t>
      </w:r>
      <w:r w:rsidRPr="008A3A15">
        <w:rPr>
          <w:rFonts w:eastAsia="Times New Roman"/>
          <w:rtl/>
          <w:lang w:eastAsia="de-DE"/>
        </w:rPr>
        <w:t xml:space="preserve"> </w:t>
      </w:r>
      <w:r w:rsidRPr="008A3A15">
        <w:rPr>
          <w:rFonts w:eastAsia="Times New Roman"/>
          <w:lang w:eastAsia="de-DE"/>
        </w:rPr>
        <w:t xml:space="preserve">verstärkt die Emphase. Der Singular </w:t>
      </w:r>
      <w:r w:rsidRPr="008A3A15">
        <w:rPr>
          <w:rFonts w:eastAsia="Times New Roman"/>
          <w:b/>
          <w:bCs/>
          <w:rtl/>
          <w:lang w:eastAsia="de-DE"/>
        </w:rPr>
        <w:t>לְשֹׂנְאוֹ</w:t>
      </w:r>
      <w:r w:rsidRPr="008A3A15">
        <w:rPr>
          <w:rFonts w:eastAsia="Times New Roman"/>
          <w:rtl/>
          <w:lang w:eastAsia="de-DE"/>
        </w:rPr>
        <w:t xml:space="preserve"> </w:t>
      </w:r>
      <w:r w:rsidRPr="008A3A15">
        <w:rPr>
          <w:rFonts w:eastAsia="Times New Roman"/>
          <w:lang w:eastAsia="de-DE"/>
        </w:rPr>
        <w:t xml:space="preserve">(gegenüber dem Plural </w:t>
      </w:r>
      <w:r w:rsidRPr="008A3A15">
        <w:rPr>
          <w:rFonts w:eastAsia="Times New Roman"/>
          <w:b/>
          <w:bCs/>
          <w:rtl/>
          <w:lang w:eastAsia="de-DE"/>
        </w:rPr>
        <w:t>לְשֹׂנְאָיו</w:t>
      </w:r>
      <w:r w:rsidRPr="008A3A15">
        <w:rPr>
          <w:rFonts w:eastAsia="Times New Roman"/>
          <w:lang w:eastAsia="de-DE"/>
        </w:rPr>
        <w:t>) individualisiert die Vergeltung.</w:t>
      </w:r>
    </w:p>
    <w:p w14:paraId="0C3B197C"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lang w:eastAsia="de-DE"/>
        </w:rPr>
        <w:t xml:space="preserve">Die Satzstruktur ist eine koordinierte partizipiale Konstruktion mit indirektem Objekt (partizipial mit Suffix), modaler bzw. lokaler Bestimmung und finalem Infinitiv mit Suffix, gefolgt von einem negierten Satz mit Prädikat und indirektem Objekt (partizipial mit Suffix), sowie einem Satz mit emphatisch vorausgestellter modaler Bestimmung, Prädikat und </w:t>
      </w:r>
      <w:r w:rsidRPr="008A3A15">
        <w:rPr>
          <w:rFonts w:eastAsia="Times New Roman"/>
          <w:lang w:eastAsia="de-DE"/>
        </w:rPr>
        <w:lastRenderedPageBreak/>
        <w:t>indirektem Objekt. Die Struktur betont durch Wiederholung und Umstellung die Unmittelbarkeit der Vergeltung.</w:t>
      </w:r>
    </w:p>
    <w:p w14:paraId="524D73DA"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lang w:eastAsia="de-DE"/>
        </w:rPr>
        <w:t>Der Vers bildet den Gegenpol zu V. 9: Denen, die JHWH hassen, vergilt er direkt ins Angesicht, um sie zu vernichten. Er zögert nicht – die Strafe trifft den Gotteshasser unmittelbar und persönlich.</w:t>
      </w:r>
    </w:p>
    <w:p w14:paraId="006248D1" w14:textId="77777777" w:rsidR="008A3A15" w:rsidRPr="008A3A15" w:rsidRDefault="008A3A15" w:rsidP="008A3A15">
      <w:pPr>
        <w:spacing w:before="100" w:beforeAutospacing="1" w:after="100" w:afterAutospacing="1" w:line="240" w:lineRule="auto"/>
        <w:outlineLvl w:val="1"/>
        <w:rPr>
          <w:rFonts w:eastAsia="Times New Roman"/>
          <w:b/>
          <w:bCs/>
          <w:sz w:val="36"/>
          <w:szCs w:val="36"/>
          <w:lang w:eastAsia="de-DE"/>
        </w:rPr>
      </w:pPr>
      <w:r w:rsidRPr="008A3A15">
        <w:rPr>
          <w:rFonts w:eastAsia="Times New Roman"/>
          <w:b/>
          <w:bCs/>
          <w:sz w:val="36"/>
          <w:szCs w:val="36"/>
          <w:lang w:eastAsia="de-DE"/>
        </w:rPr>
        <w:t>Deuteronomium 7,11</w:t>
      </w:r>
    </w:p>
    <w:p w14:paraId="55902C80"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lang w:eastAsia="de-DE"/>
        </w:rPr>
        <w:t>Hebräisch:</w:t>
      </w:r>
      <w:r w:rsidRPr="008A3A15">
        <w:rPr>
          <w:rFonts w:eastAsia="Times New Roman"/>
          <w:lang w:eastAsia="de-DE"/>
        </w:rPr>
        <w:t xml:space="preserve"> </w:t>
      </w:r>
      <w:r w:rsidRPr="008A3A15">
        <w:rPr>
          <w:rFonts w:eastAsia="Times New Roman"/>
          <w:rtl/>
          <w:lang w:eastAsia="de-DE"/>
        </w:rPr>
        <w:t>וְשָׁמַרְתָּ אֶת־הַמִּצְוָה וְאֶת־הַחֻקִּים וְאֶת־הַמִּשְׁפָּטִים אֲשֶׁר אָנֹכִי מְצַוְּךָ הַיּוֹם לַעֲשׂוֹתָם׃</w:t>
      </w:r>
    </w:p>
    <w:p w14:paraId="17081BA5"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lang w:eastAsia="de-DE"/>
        </w:rPr>
        <w:t>Deutsch:</w:t>
      </w:r>
      <w:r w:rsidRPr="008A3A15">
        <w:rPr>
          <w:rFonts w:eastAsia="Times New Roman"/>
          <w:lang w:eastAsia="de-DE"/>
        </w:rPr>
        <w:t xml:space="preserve"> So sollst du das Gebot und die Gesetze und die Rechtsvorschriften halten, die ich dir heute gebiete, sie zu tun.</w:t>
      </w:r>
    </w:p>
    <w:p w14:paraId="2D195572" w14:textId="77777777" w:rsidR="008A3A15" w:rsidRPr="008A3A15" w:rsidRDefault="004F5CEB" w:rsidP="008A3A15">
      <w:pPr>
        <w:spacing w:after="0" w:line="240" w:lineRule="auto"/>
        <w:rPr>
          <w:rFonts w:eastAsia="Times New Roman"/>
          <w:lang w:eastAsia="de-DE"/>
        </w:rPr>
      </w:pPr>
      <w:r>
        <w:rPr>
          <w:rFonts w:eastAsia="Times New Roman"/>
          <w:noProof/>
          <w:lang w:eastAsia="de-DE"/>
        </w:rPr>
        <w:pict w14:anchorId="0048DE9D">
          <v:rect id="_x0000_i1254" style="width:0;height:1.5pt" o:hralign="center" o:hrstd="t" o:hr="t" fillcolor="#a0a0a0" stroked="f"/>
        </w:pict>
      </w:r>
    </w:p>
    <w:p w14:paraId="3FEFBB59"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lang w:eastAsia="de-DE"/>
        </w:rPr>
        <w:t>Kommentar:</w:t>
      </w:r>
      <w:r w:rsidRPr="008A3A15">
        <w:rPr>
          <w:rFonts w:eastAsia="Times New Roman"/>
          <w:lang w:eastAsia="de-DE"/>
        </w:rPr>
        <w:t xml:space="preserve"> </w:t>
      </w:r>
      <w:r w:rsidRPr="008A3A15">
        <w:rPr>
          <w:rFonts w:eastAsia="Times New Roman"/>
          <w:b/>
          <w:bCs/>
          <w:rtl/>
          <w:lang w:eastAsia="de-DE"/>
        </w:rPr>
        <w:t>וְשָׁמַרְתָּ אֶת־הַמִּצְוָה וְאֶת־הַחֻקִּים וְאֶת־הַמִּשְׁפָּטִים</w:t>
      </w:r>
      <w:r w:rsidRPr="008A3A15">
        <w:rPr>
          <w:rFonts w:eastAsia="Times New Roman"/>
          <w:rtl/>
          <w:lang w:eastAsia="de-DE"/>
        </w:rPr>
        <w:t xml:space="preserve"> </w:t>
      </w:r>
      <w:r w:rsidRPr="008A3A15">
        <w:rPr>
          <w:rFonts w:eastAsia="Times New Roman"/>
          <w:lang w:eastAsia="de-DE"/>
        </w:rPr>
        <w:t xml:space="preserve">ist Qal Perfekt consecutivum, 2. Person Singular maskulin von </w:t>
      </w:r>
      <w:r w:rsidRPr="008A3A15">
        <w:rPr>
          <w:rFonts w:eastAsia="Times New Roman"/>
          <w:b/>
          <w:bCs/>
          <w:rtl/>
          <w:lang w:eastAsia="de-DE"/>
        </w:rPr>
        <w:t>שׁמר</w:t>
      </w:r>
      <w:r w:rsidRPr="008A3A15">
        <w:rPr>
          <w:rFonts w:eastAsia="Times New Roman"/>
          <w:rtl/>
          <w:lang w:eastAsia="de-DE"/>
        </w:rPr>
        <w:t xml:space="preserve"> </w:t>
      </w:r>
      <w:r w:rsidRPr="008A3A15">
        <w:rPr>
          <w:rFonts w:eastAsia="Times New Roman"/>
          <w:lang w:eastAsia="de-DE"/>
        </w:rPr>
        <w:t xml:space="preserve">(„bewahren, halten") mit </w:t>
      </w:r>
      <w:r w:rsidRPr="008A3A15">
        <w:rPr>
          <w:rFonts w:eastAsia="Times New Roman"/>
          <w:b/>
          <w:bCs/>
          <w:rtl/>
          <w:lang w:eastAsia="de-DE"/>
        </w:rPr>
        <w:t>וְ</w:t>
      </w:r>
      <w:r w:rsidRPr="008A3A15">
        <w:rPr>
          <w:rFonts w:eastAsia="Times New Roman"/>
          <w:rtl/>
          <w:lang w:eastAsia="de-DE"/>
        </w:rPr>
        <w:t xml:space="preserve"> </w:t>
      </w:r>
      <w:r w:rsidRPr="008A3A15">
        <w:rPr>
          <w:rFonts w:eastAsia="Times New Roman"/>
          <w:lang w:eastAsia="de-DE"/>
        </w:rPr>
        <w:t xml:space="preserve">– in imperativischer Funktion, </w:t>
      </w:r>
      <w:r w:rsidRPr="008A3A15">
        <w:rPr>
          <w:rFonts w:eastAsia="Times New Roman"/>
          <w:b/>
          <w:bCs/>
          <w:rtl/>
          <w:lang w:eastAsia="de-DE"/>
        </w:rPr>
        <w:t>אֶת־הַמִּצְוָה וְאֶת־הַחֻקִּים וְאֶת־הַמִּשְׁפָּטִים</w:t>
      </w:r>
      <w:r w:rsidRPr="008A3A15">
        <w:rPr>
          <w:rFonts w:eastAsia="Times New Roman"/>
          <w:rtl/>
          <w:lang w:eastAsia="de-DE"/>
        </w:rPr>
        <w:t xml:space="preserve"> </w:t>
      </w:r>
      <w:r w:rsidRPr="008A3A15">
        <w:rPr>
          <w:rFonts w:eastAsia="Times New Roman"/>
          <w:lang w:eastAsia="de-DE"/>
        </w:rPr>
        <w:t xml:space="preserve">als dreigliedrige koordinierte Objektkette (die klassische Trias: </w:t>
      </w:r>
      <w:r w:rsidRPr="008A3A15">
        <w:rPr>
          <w:rFonts w:eastAsia="Times New Roman"/>
          <w:b/>
          <w:bCs/>
          <w:rtl/>
          <w:lang w:eastAsia="de-DE"/>
        </w:rPr>
        <w:t>מִצְוָה</w:t>
      </w:r>
      <w:r w:rsidRPr="008A3A15">
        <w:rPr>
          <w:rFonts w:eastAsia="Times New Roman"/>
          <w:lang w:eastAsia="de-DE"/>
        </w:rPr>
        <w:t xml:space="preserve">, „Gebot", Singular mit Artikel – möglicherweise kollektiv, </w:t>
      </w:r>
      <w:r w:rsidRPr="008A3A15">
        <w:rPr>
          <w:rFonts w:eastAsia="Times New Roman"/>
          <w:b/>
          <w:bCs/>
          <w:rtl/>
          <w:lang w:eastAsia="de-DE"/>
        </w:rPr>
        <w:t>חֹק</w:t>
      </w:r>
      <w:r w:rsidRPr="008A3A15">
        <w:rPr>
          <w:rFonts w:eastAsia="Times New Roman"/>
          <w:lang w:eastAsia="de-DE"/>
        </w:rPr>
        <w:t xml:space="preserve">, „Gesetz", Plural mit Artikel, und </w:t>
      </w:r>
      <w:r w:rsidRPr="008A3A15">
        <w:rPr>
          <w:rFonts w:eastAsia="Times New Roman"/>
          <w:b/>
          <w:bCs/>
          <w:rtl/>
          <w:lang w:eastAsia="de-DE"/>
        </w:rPr>
        <w:t>מִשְׁפָּט</w:t>
      </w:r>
      <w:r w:rsidRPr="008A3A15">
        <w:rPr>
          <w:rFonts w:eastAsia="Times New Roman"/>
          <w:lang w:eastAsia="de-DE"/>
        </w:rPr>
        <w:t>, „Rechtsvorschrift", Plural mit Artikel).</w:t>
      </w:r>
    </w:p>
    <w:p w14:paraId="6AF3235D"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rtl/>
          <w:lang w:eastAsia="de-DE"/>
        </w:rPr>
        <w:t>אֲשֶׁר אָנֹכִי מְצַוְּךָ הַיּוֹם לַעֲשׂוֹתָם</w:t>
      </w:r>
      <w:r w:rsidRPr="008A3A15">
        <w:rPr>
          <w:rFonts w:eastAsia="Times New Roman"/>
          <w:rtl/>
          <w:lang w:eastAsia="de-DE"/>
        </w:rPr>
        <w:t xml:space="preserve"> </w:t>
      </w:r>
      <w:r w:rsidRPr="008A3A15">
        <w:rPr>
          <w:rFonts w:eastAsia="Times New Roman"/>
          <w:lang w:eastAsia="de-DE"/>
        </w:rPr>
        <w:t xml:space="preserve">ist ein Relativsatz: </w:t>
      </w:r>
      <w:r w:rsidRPr="008A3A15">
        <w:rPr>
          <w:rFonts w:eastAsia="Times New Roman"/>
          <w:b/>
          <w:bCs/>
          <w:rtl/>
          <w:lang w:eastAsia="de-DE"/>
        </w:rPr>
        <w:t>אֲשֶׁר</w:t>
      </w:r>
      <w:r w:rsidRPr="008A3A15">
        <w:rPr>
          <w:rFonts w:eastAsia="Times New Roman"/>
          <w:rtl/>
          <w:lang w:eastAsia="de-DE"/>
        </w:rPr>
        <w:t xml:space="preserve"> </w:t>
      </w:r>
      <w:r w:rsidRPr="008A3A15">
        <w:rPr>
          <w:rFonts w:eastAsia="Times New Roman"/>
          <w:lang w:eastAsia="de-DE"/>
        </w:rPr>
        <w:t xml:space="preserve">als Relativpronomen, </w:t>
      </w:r>
      <w:r w:rsidRPr="008A3A15">
        <w:rPr>
          <w:rFonts w:eastAsia="Times New Roman"/>
          <w:b/>
          <w:bCs/>
          <w:rtl/>
          <w:lang w:eastAsia="de-DE"/>
        </w:rPr>
        <w:t>אָנֹכִי</w:t>
      </w:r>
      <w:r w:rsidRPr="008A3A15">
        <w:rPr>
          <w:rFonts w:eastAsia="Times New Roman"/>
          <w:rtl/>
          <w:lang w:eastAsia="de-DE"/>
        </w:rPr>
        <w:t xml:space="preserve"> </w:t>
      </w:r>
      <w:r w:rsidRPr="008A3A15">
        <w:rPr>
          <w:rFonts w:eastAsia="Times New Roman"/>
          <w:lang w:eastAsia="de-DE"/>
        </w:rPr>
        <w:t xml:space="preserve">als emphatisches Personalpronomen, </w:t>
      </w:r>
      <w:r w:rsidRPr="008A3A15">
        <w:rPr>
          <w:rFonts w:eastAsia="Times New Roman"/>
          <w:b/>
          <w:bCs/>
          <w:rtl/>
          <w:lang w:eastAsia="de-DE"/>
        </w:rPr>
        <w:t>מְצַוְּךָ</w:t>
      </w:r>
      <w:r w:rsidRPr="008A3A15">
        <w:rPr>
          <w:rFonts w:eastAsia="Times New Roman"/>
          <w:rtl/>
          <w:lang w:eastAsia="de-DE"/>
        </w:rPr>
        <w:t xml:space="preserve"> </w:t>
      </w:r>
      <w:r w:rsidRPr="008A3A15">
        <w:rPr>
          <w:rFonts w:eastAsia="Times New Roman"/>
          <w:lang w:eastAsia="de-DE"/>
        </w:rPr>
        <w:t xml:space="preserve">als Piel Partizip Singular maskulin von </w:t>
      </w:r>
      <w:r w:rsidRPr="008A3A15">
        <w:rPr>
          <w:rFonts w:eastAsia="Times New Roman"/>
          <w:b/>
          <w:bCs/>
          <w:rtl/>
          <w:lang w:eastAsia="de-DE"/>
        </w:rPr>
        <w:t>צוה</w:t>
      </w:r>
      <w:r w:rsidRPr="008A3A15">
        <w:rPr>
          <w:rFonts w:eastAsia="Times New Roman"/>
          <w:rtl/>
          <w:lang w:eastAsia="de-DE"/>
        </w:rPr>
        <w:t xml:space="preserve"> </w:t>
      </w:r>
      <w:r w:rsidRPr="008A3A15">
        <w:rPr>
          <w:rFonts w:eastAsia="Times New Roman"/>
          <w:lang w:eastAsia="de-DE"/>
        </w:rPr>
        <w:t xml:space="preserve">(„befehlen, gebieten") mit Suffix 2. Person Singular maskulin als direktes Objekt, </w:t>
      </w:r>
      <w:r w:rsidRPr="008A3A15">
        <w:rPr>
          <w:rFonts w:eastAsia="Times New Roman"/>
          <w:b/>
          <w:bCs/>
          <w:rtl/>
          <w:lang w:eastAsia="de-DE"/>
        </w:rPr>
        <w:t>הַיּוֹם</w:t>
      </w:r>
      <w:r w:rsidRPr="008A3A15">
        <w:rPr>
          <w:rFonts w:eastAsia="Times New Roman"/>
          <w:rtl/>
          <w:lang w:eastAsia="de-DE"/>
        </w:rPr>
        <w:t xml:space="preserve"> </w:t>
      </w:r>
      <w:r w:rsidRPr="008A3A15">
        <w:rPr>
          <w:rFonts w:eastAsia="Times New Roman"/>
          <w:lang w:eastAsia="de-DE"/>
        </w:rPr>
        <w:t xml:space="preserve">als temporales Adverb („heute"), </w:t>
      </w:r>
      <w:r w:rsidRPr="008A3A15">
        <w:rPr>
          <w:rFonts w:eastAsia="Times New Roman"/>
          <w:b/>
          <w:bCs/>
          <w:rtl/>
          <w:lang w:eastAsia="de-DE"/>
        </w:rPr>
        <w:t>לַעֲשׂוֹתָם</w:t>
      </w:r>
      <w:r w:rsidRPr="008A3A15">
        <w:rPr>
          <w:rFonts w:eastAsia="Times New Roman"/>
          <w:rtl/>
          <w:lang w:eastAsia="de-DE"/>
        </w:rPr>
        <w:t xml:space="preserve"> </w:t>
      </w:r>
      <w:r w:rsidRPr="008A3A15">
        <w:rPr>
          <w:rFonts w:eastAsia="Times New Roman"/>
          <w:lang w:eastAsia="de-DE"/>
        </w:rPr>
        <w:t xml:space="preserve">als finaler bzw. objektiver Infinitiv (Qal Infinitiv Construct von </w:t>
      </w:r>
      <w:r w:rsidRPr="008A3A15">
        <w:rPr>
          <w:rFonts w:eastAsia="Times New Roman"/>
          <w:b/>
          <w:bCs/>
          <w:rtl/>
          <w:lang w:eastAsia="de-DE"/>
        </w:rPr>
        <w:t>עשׂה</w:t>
      </w:r>
      <w:r w:rsidRPr="008A3A15">
        <w:rPr>
          <w:rFonts w:eastAsia="Times New Roman"/>
          <w:rtl/>
          <w:lang w:eastAsia="de-DE"/>
        </w:rPr>
        <w:t xml:space="preserve"> </w:t>
      </w:r>
      <w:r w:rsidRPr="008A3A15">
        <w:rPr>
          <w:rFonts w:eastAsia="Times New Roman"/>
          <w:lang w:eastAsia="de-DE"/>
        </w:rPr>
        <w:t xml:space="preserve">mit </w:t>
      </w:r>
      <w:r w:rsidRPr="008A3A15">
        <w:rPr>
          <w:rFonts w:eastAsia="Times New Roman"/>
          <w:b/>
          <w:bCs/>
          <w:rtl/>
          <w:lang w:eastAsia="de-DE"/>
        </w:rPr>
        <w:t>לְ</w:t>
      </w:r>
      <w:r w:rsidRPr="008A3A15">
        <w:rPr>
          <w:rFonts w:eastAsia="Times New Roman"/>
          <w:rtl/>
          <w:lang w:eastAsia="de-DE"/>
        </w:rPr>
        <w:t xml:space="preserve"> </w:t>
      </w:r>
      <w:r w:rsidRPr="008A3A15">
        <w:rPr>
          <w:rFonts w:eastAsia="Times New Roman"/>
          <w:lang w:eastAsia="de-DE"/>
        </w:rPr>
        <w:t>und Suffix 3. Person Plural maskulin – „sie zu tun").</w:t>
      </w:r>
    </w:p>
    <w:p w14:paraId="0CA0A56B"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lang w:eastAsia="de-DE"/>
        </w:rPr>
        <w:t xml:space="preserve">Der Vers bildet den Abschluss der Begründungspassage (V. 6-10) und die Überleitung zur Segensverheißung (V. 12ff.). Die dreigliedrige Terminologie umfasst wieder das gesamte Gesetzeskorpus. Die Betonung </w:t>
      </w:r>
      <w:r w:rsidRPr="008A3A15">
        <w:rPr>
          <w:rFonts w:eastAsia="Times New Roman"/>
          <w:b/>
          <w:bCs/>
          <w:rtl/>
          <w:lang w:eastAsia="de-DE"/>
        </w:rPr>
        <w:t>אָנֹכִי</w:t>
      </w:r>
      <w:r w:rsidRPr="008A3A15">
        <w:rPr>
          <w:rFonts w:eastAsia="Times New Roman"/>
          <w:rtl/>
          <w:lang w:eastAsia="de-DE"/>
        </w:rPr>
        <w:t xml:space="preserve"> </w:t>
      </w:r>
      <w:r w:rsidRPr="008A3A15">
        <w:rPr>
          <w:rFonts w:eastAsia="Times New Roman"/>
          <w:lang w:eastAsia="de-DE"/>
        </w:rPr>
        <w:t xml:space="preserve">(„ich") unterstreicht Moses Autorität als Gesetzesmittler, </w:t>
      </w:r>
      <w:r w:rsidRPr="008A3A15">
        <w:rPr>
          <w:rFonts w:eastAsia="Times New Roman"/>
          <w:b/>
          <w:bCs/>
          <w:rtl/>
          <w:lang w:eastAsia="de-DE"/>
        </w:rPr>
        <w:t>הַיּוֹם</w:t>
      </w:r>
      <w:r w:rsidRPr="008A3A15">
        <w:rPr>
          <w:rFonts w:eastAsia="Times New Roman"/>
          <w:rtl/>
          <w:lang w:eastAsia="de-DE"/>
        </w:rPr>
        <w:t xml:space="preserve"> </w:t>
      </w:r>
      <w:r w:rsidRPr="008A3A15">
        <w:rPr>
          <w:rFonts w:eastAsia="Times New Roman"/>
          <w:lang w:eastAsia="de-DE"/>
        </w:rPr>
        <w:t>(„heute") die Aktualität und Gegenwärtigkeit der Verkündigung. Die Struktur ist ähnlich wie 6,17 und nimmt 5,31-33 auf.</w:t>
      </w:r>
    </w:p>
    <w:p w14:paraId="09F6AC74"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lang w:eastAsia="de-DE"/>
        </w:rPr>
        <w:t xml:space="preserve">Die Satzstruktur ist ein imperativisches Perfekt consecutivum mit dreigliedriger koordinierter Objektkette, erweitert durch einen Relativsatz mit emphatischem Pronomen, partizipialem Prädikat mit Suffix-Objekt, temporalem Adverb und finalem bzw. objektivem Infinitiv mit Suffix. Die Struktur fordert umfassenden Gehorsam gegenüber allen </w:t>
      </w:r>
      <w:proofErr w:type="spellStart"/>
      <w:r w:rsidRPr="008A3A15">
        <w:rPr>
          <w:rFonts w:eastAsia="Times New Roman"/>
          <w:lang w:eastAsia="de-DE"/>
        </w:rPr>
        <w:t>Geboten</w:t>
      </w:r>
      <w:proofErr w:type="spellEnd"/>
      <w:r w:rsidRPr="008A3A15">
        <w:rPr>
          <w:rFonts w:eastAsia="Times New Roman"/>
          <w:lang w:eastAsia="de-DE"/>
        </w:rPr>
        <w:t>.</w:t>
      </w:r>
    </w:p>
    <w:p w14:paraId="5742828E"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lang w:eastAsia="de-DE"/>
        </w:rPr>
        <w:t>Der Vers zieht die praktische Konsequenz aus der theologischen Begründung (V. 6-10): Israel soll alle Gebote, die Mose heute verkündet, bewahren und tun – Gehorsam als Antwort auf Erwählung und Bundestreue.</w:t>
      </w:r>
    </w:p>
    <w:p w14:paraId="2D976611" w14:textId="77777777" w:rsidR="008A3A15" w:rsidRPr="008A3A15" w:rsidRDefault="008A3A15" w:rsidP="008A3A15">
      <w:pPr>
        <w:spacing w:before="100" w:beforeAutospacing="1" w:after="100" w:afterAutospacing="1" w:line="240" w:lineRule="auto"/>
        <w:outlineLvl w:val="1"/>
        <w:rPr>
          <w:rFonts w:eastAsia="Times New Roman"/>
          <w:b/>
          <w:bCs/>
          <w:sz w:val="36"/>
          <w:szCs w:val="36"/>
          <w:lang w:eastAsia="de-DE"/>
        </w:rPr>
      </w:pPr>
      <w:r w:rsidRPr="008A3A15">
        <w:rPr>
          <w:rFonts w:eastAsia="Times New Roman"/>
          <w:b/>
          <w:bCs/>
          <w:sz w:val="36"/>
          <w:szCs w:val="36"/>
          <w:lang w:eastAsia="de-DE"/>
        </w:rPr>
        <w:t>Deuteronomium 7,12</w:t>
      </w:r>
    </w:p>
    <w:p w14:paraId="243363E8"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lang w:eastAsia="de-DE"/>
        </w:rPr>
        <w:t>Hebräisch:</w:t>
      </w:r>
      <w:r w:rsidRPr="008A3A15">
        <w:rPr>
          <w:rFonts w:eastAsia="Times New Roman"/>
          <w:lang w:eastAsia="de-DE"/>
        </w:rPr>
        <w:t xml:space="preserve"> </w:t>
      </w:r>
      <w:r w:rsidRPr="008A3A15">
        <w:rPr>
          <w:rFonts w:eastAsia="Times New Roman"/>
          <w:rtl/>
          <w:lang w:eastAsia="de-DE"/>
        </w:rPr>
        <w:t>וְהָיָה עֵקֶב תִּשְׁמְעוּן אֵת הַמִּשְׁפָּטִים הָאֵלֶּה וּשְׁמַרְתֶּם וַעֲשִׂיתֶם אֹתָם וְשָׁמַר יְהוָה אֱלֹהֶיךָ לְךָ אֶת־הַבְּרִית וְאֶת־הַחֶסֶד אֲשֶׁר נִשְׁבַּע לַאֲבֹתֶיךָ׃</w:t>
      </w:r>
    </w:p>
    <w:p w14:paraId="628C8AEE"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lang w:eastAsia="de-DE"/>
        </w:rPr>
        <w:lastRenderedPageBreak/>
        <w:t>Deutsch:</w:t>
      </w:r>
      <w:r w:rsidRPr="008A3A15">
        <w:rPr>
          <w:rFonts w:eastAsia="Times New Roman"/>
          <w:lang w:eastAsia="de-DE"/>
        </w:rPr>
        <w:t xml:space="preserve"> Und es wird geschehen: Dafür, dass ihr diese Gesetze hört und sie haltet und tut, wird der Ewige, dein Gott, dir den Bund und die Güte bewahren, die er deinen Vätern geschworen hat.</w:t>
      </w:r>
    </w:p>
    <w:p w14:paraId="44BAA986" w14:textId="77777777" w:rsidR="008A3A15" w:rsidRPr="008A3A15" w:rsidRDefault="004F5CEB" w:rsidP="008A3A15">
      <w:pPr>
        <w:spacing w:after="0" w:line="240" w:lineRule="auto"/>
        <w:rPr>
          <w:rFonts w:eastAsia="Times New Roman"/>
          <w:lang w:eastAsia="de-DE"/>
        </w:rPr>
      </w:pPr>
      <w:r>
        <w:rPr>
          <w:rFonts w:eastAsia="Times New Roman"/>
          <w:noProof/>
          <w:lang w:eastAsia="de-DE"/>
        </w:rPr>
        <w:pict w14:anchorId="0690CD1C">
          <v:rect id="_x0000_i1255" style="width:0;height:1.5pt" o:hralign="center" o:hrstd="t" o:hr="t" fillcolor="#a0a0a0" stroked="f"/>
        </w:pict>
      </w:r>
    </w:p>
    <w:p w14:paraId="48064415"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lang w:eastAsia="de-DE"/>
        </w:rPr>
        <w:t>Kommentar:</w:t>
      </w:r>
      <w:r w:rsidRPr="008A3A15">
        <w:rPr>
          <w:rFonts w:eastAsia="Times New Roman"/>
          <w:lang w:eastAsia="de-DE"/>
        </w:rPr>
        <w:t xml:space="preserve"> </w:t>
      </w:r>
      <w:r w:rsidRPr="008A3A15">
        <w:rPr>
          <w:rFonts w:eastAsia="Times New Roman"/>
          <w:b/>
          <w:bCs/>
          <w:rtl/>
          <w:lang w:eastAsia="de-DE"/>
        </w:rPr>
        <w:t>וְהָיָה עֵקֶב תִּשְׁמְעוּן אֵת הַמִּשְׁפָּטִים הָאֵלֶּה</w:t>
      </w:r>
      <w:r w:rsidRPr="008A3A15">
        <w:rPr>
          <w:rFonts w:eastAsia="Times New Roman"/>
          <w:rtl/>
          <w:lang w:eastAsia="de-DE"/>
        </w:rPr>
        <w:t xml:space="preserve"> </w:t>
      </w:r>
      <w:r w:rsidRPr="008A3A15">
        <w:rPr>
          <w:rFonts w:eastAsia="Times New Roman"/>
          <w:lang w:eastAsia="de-DE"/>
        </w:rPr>
        <w:t xml:space="preserve">ist die klassische narrative Einleitung mit kausalem Bezug: </w:t>
      </w:r>
      <w:r w:rsidRPr="008A3A15">
        <w:rPr>
          <w:rFonts w:eastAsia="Times New Roman"/>
          <w:b/>
          <w:bCs/>
          <w:rtl/>
          <w:lang w:eastAsia="de-DE"/>
        </w:rPr>
        <w:t>וְהָיָה</w:t>
      </w:r>
      <w:r w:rsidRPr="008A3A15">
        <w:rPr>
          <w:rFonts w:eastAsia="Times New Roman"/>
          <w:rtl/>
          <w:lang w:eastAsia="de-DE"/>
        </w:rPr>
        <w:t xml:space="preserve"> </w:t>
      </w:r>
      <w:r w:rsidRPr="008A3A15">
        <w:rPr>
          <w:rFonts w:eastAsia="Times New Roman"/>
          <w:lang w:eastAsia="de-DE"/>
        </w:rPr>
        <w:t xml:space="preserve">(Qal Perfekt consecutivum, 3. Person Singular maskulin von </w:t>
      </w:r>
      <w:r w:rsidRPr="008A3A15">
        <w:rPr>
          <w:rFonts w:eastAsia="Times New Roman"/>
          <w:b/>
          <w:bCs/>
          <w:rtl/>
          <w:lang w:eastAsia="de-DE"/>
        </w:rPr>
        <w:t>היה</w:t>
      </w:r>
      <w:r w:rsidRPr="008A3A15">
        <w:rPr>
          <w:rFonts w:eastAsia="Times New Roman"/>
          <w:rtl/>
          <w:lang w:eastAsia="de-DE"/>
        </w:rPr>
        <w:t xml:space="preserve"> </w:t>
      </w:r>
      <w:r w:rsidRPr="008A3A15">
        <w:rPr>
          <w:rFonts w:eastAsia="Times New Roman"/>
          <w:lang w:eastAsia="de-DE"/>
        </w:rPr>
        <w:t xml:space="preserve">mit </w:t>
      </w:r>
      <w:r w:rsidRPr="008A3A15">
        <w:rPr>
          <w:rFonts w:eastAsia="Times New Roman"/>
          <w:b/>
          <w:bCs/>
          <w:rtl/>
          <w:lang w:eastAsia="de-DE"/>
        </w:rPr>
        <w:t>וְ</w:t>
      </w:r>
      <w:r w:rsidRPr="008A3A15">
        <w:rPr>
          <w:rFonts w:eastAsia="Times New Roman"/>
          <w:rtl/>
          <w:lang w:eastAsia="de-DE"/>
        </w:rPr>
        <w:t xml:space="preserve"> </w:t>
      </w:r>
      <w:r w:rsidRPr="008A3A15">
        <w:rPr>
          <w:rFonts w:eastAsia="Times New Roman"/>
          <w:lang w:eastAsia="de-DE"/>
        </w:rPr>
        <w:t xml:space="preserve">– „und es wird geschehen"), </w:t>
      </w:r>
      <w:r w:rsidRPr="008A3A15">
        <w:rPr>
          <w:rFonts w:eastAsia="Times New Roman"/>
          <w:b/>
          <w:bCs/>
          <w:rtl/>
          <w:lang w:eastAsia="de-DE"/>
        </w:rPr>
        <w:t>עֵקֶב</w:t>
      </w:r>
      <w:r w:rsidRPr="008A3A15">
        <w:rPr>
          <w:rFonts w:eastAsia="Times New Roman"/>
          <w:rtl/>
          <w:lang w:eastAsia="de-DE"/>
        </w:rPr>
        <w:t xml:space="preserve"> </w:t>
      </w:r>
      <w:r w:rsidRPr="008A3A15">
        <w:rPr>
          <w:rFonts w:eastAsia="Times New Roman"/>
          <w:lang w:eastAsia="de-DE"/>
        </w:rPr>
        <w:t xml:space="preserve">als kausale bzw. konditionale Präposition („weil, dafür dass, als Folge davon dass"), </w:t>
      </w:r>
      <w:r w:rsidRPr="008A3A15">
        <w:rPr>
          <w:rFonts w:eastAsia="Times New Roman"/>
          <w:b/>
          <w:bCs/>
          <w:rtl/>
          <w:lang w:eastAsia="de-DE"/>
        </w:rPr>
        <w:t>תִּשְׁמְעוּן</w:t>
      </w:r>
      <w:r w:rsidRPr="008A3A15">
        <w:rPr>
          <w:rFonts w:eastAsia="Times New Roman"/>
          <w:rtl/>
          <w:lang w:eastAsia="de-DE"/>
        </w:rPr>
        <w:t xml:space="preserve"> </w:t>
      </w:r>
      <w:r w:rsidRPr="008A3A15">
        <w:rPr>
          <w:rFonts w:eastAsia="Times New Roman"/>
          <w:lang w:eastAsia="de-DE"/>
        </w:rPr>
        <w:t xml:space="preserve">als Qal Imperfekt, 2. Person Plural maskulin von </w:t>
      </w:r>
      <w:r w:rsidRPr="008A3A15">
        <w:rPr>
          <w:rFonts w:eastAsia="Times New Roman"/>
          <w:b/>
          <w:bCs/>
          <w:rtl/>
          <w:lang w:eastAsia="de-DE"/>
        </w:rPr>
        <w:t>שׁמע</w:t>
      </w:r>
      <w:r w:rsidRPr="008A3A15">
        <w:rPr>
          <w:rFonts w:eastAsia="Times New Roman"/>
          <w:rtl/>
          <w:lang w:eastAsia="de-DE"/>
        </w:rPr>
        <w:t xml:space="preserve"> </w:t>
      </w:r>
      <w:r w:rsidRPr="008A3A15">
        <w:rPr>
          <w:rFonts w:eastAsia="Times New Roman"/>
          <w:lang w:eastAsia="de-DE"/>
        </w:rPr>
        <w:t xml:space="preserve">(„hören") mit paragogischem Nun, </w:t>
      </w:r>
      <w:r w:rsidRPr="008A3A15">
        <w:rPr>
          <w:rFonts w:eastAsia="Times New Roman"/>
          <w:b/>
          <w:bCs/>
          <w:rtl/>
          <w:lang w:eastAsia="de-DE"/>
        </w:rPr>
        <w:t>אֵת הַמִּשְׁפָּטִים הָאֵלֶּה</w:t>
      </w:r>
      <w:r w:rsidRPr="008A3A15">
        <w:rPr>
          <w:rFonts w:eastAsia="Times New Roman"/>
          <w:rtl/>
          <w:lang w:eastAsia="de-DE"/>
        </w:rPr>
        <w:t xml:space="preserve"> </w:t>
      </w:r>
      <w:r w:rsidRPr="008A3A15">
        <w:rPr>
          <w:rFonts w:eastAsia="Times New Roman"/>
          <w:lang w:eastAsia="de-DE"/>
        </w:rPr>
        <w:t>als direktes Objekt (</w:t>
      </w:r>
      <w:r w:rsidRPr="008A3A15">
        <w:rPr>
          <w:rFonts w:eastAsia="Times New Roman"/>
          <w:b/>
          <w:bCs/>
          <w:rtl/>
          <w:lang w:eastAsia="de-DE"/>
        </w:rPr>
        <w:t>מִשְׁפָּט</w:t>
      </w:r>
      <w:r w:rsidRPr="008A3A15">
        <w:rPr>
          <w:rFonts w:eastAsia="Times New Roman"/>
          <w:lang w:eastAsia="de-DE"/>
        </w:rPr>
        <w:t xml:space="preserve">, Plural, mit Artikel und Demonstrativpronomen </w:t>
      </w:r>
      <w:r w:rsidRPr="008A3A15">
        <w:rPr>
          <w:rFonts w:eastAsia="Times New Roman"/>
          <w:b/>
          <w:bCs/>
          <w:rtl/>
          <w:lang w:eastAsia="de-DE"/>
        </w:rPr>
        <w:t>הָאֵלֶּה</w:t>
      </w:r>
      <w:r w:rsidRPr="008A3A15">
        <w:rPr>
          <w:rFonts w:eastAsia="Times New Roman"/>
          <w:lang w:eastAsia="de-DE"/>
        </w:rPr>
        <w:t>).</w:t>
      </w:r>
    </w:p>
    <w:p w14:paraId="336EC1A1"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rtl/>
          <w:lang w:eastAsia="de-DE"/>
        </w:rPr>
        <w:t>וּשְׁמַרְתֶּם וַעֲשִׂיתֶם אֹתָם</w:t>
      </w:r>
      <w:r w:rsidRPr="008A3A15">
        <w:rPr>
          <w:rFonts w:eastAsia="Times New Roman"/>
          <w:rtl/>
          <w:lang w:eastAsia="de-DE"/>
        </w:rPr>
        <w:t xml:space="preserve"> </w:t>
      </w:r>
      <w:r w:rsidRPr="008A3A15">
        <w:rPr>
          <w:rFonts w:eastAsia="Times New Roman"/>
          <w:lang w:eastAsia="de-DE"/>
        </w:rPr>
        <w:t xml:space="preserve">ist eine zweigliedrige koordinierte Fortsetzung: </w:t>
      </w:r>
      <w:r w:rsidRPr="008A3A15">
        <w:rPr>
          <w:rFonts w:eastAsia="Times New Roman"/>
          <w:b/>
          <w:bCs/>
          <w:rtl/>
          <w:lang w:eastAsia="de-DE"/>
        </w:rPr>
        <w:t>וּשְׁמַרְתֶּם</w:t>
      </w:r>
      <w:r w:rsidRPr="008A3A15">
        <w:rPr>
          <w:rFonts w:eastAsia="Times New Roman"/>
          <w:rtl/>
          <w:lang w:eastAsia="de-DE"/>
        </w:rPr>
        <w:t xml:space="preserve"> </w:t>
      </w:r>
      <w:r w:rsidRPr="008A3A15">
        <w:rPr>
          <w:rFonts w:eastAsia="Times New Roman"/>
          <w:lang w:eastAsia="de-DE"/>
        </w:rPr>
        <w:t xml:space="preserve">(Qal Perfekt consecutivum, 2. Person Plural maskulin von </w:t>
      </w:r>
      <w:r w:rsidRPr="008A3A15">
        <w:rPr>
          <w:rFonts w:eastAsia="Times New Roman"/>
          <w:b/>
          <w:bCs/>
          <w:rtl/>
          <w:lang w:eastAsia="de-DE"/>
        </w:rPr>
        <w:t>שׁמר</w:t>
      </w:r>
      <w:r w:rsidRPr="008A3A15">
        <w:rPr>
          <w:rFonts w:eastAsia="Times New Roman"/>
          <w:rtl/>
          <w:lang w:eastAsia="de-DE"/>
        </w:rPr>
        <w:t xml:space="preserve"> </w:t>
      </w:r>
      <w:r w:rsidRPr="008A3A15">
        <w:rPr>
          <w:rFonts w:eastAsia="Times New Roman"/>
          <w:lang w:eastAsia="de-DE"/>
        </w:rPr>
        <w:t xml:space="preserve">mit </w:t>
      </w:r>
      <w:r w:rsidRPr="008A3A15">
        <w:rPr>
          <w:rFonts w:eastAsia="Times New Roman"/>
          <w:b/>
          <w:bCs/>
          <w:rtl/>
          <w:lang w:eastAsia="de-DE"/>
        </w:rPr>
        <w:t>וְ</w:t>
      </w:r>
      <w:r w:rsidRPr="008A3A15">
        <w:rPr>
          <w:rFonts w:eastAsia="Times New Roman"/>
          <w:lang w:eastAsia="de-DE"/>
        </w:rPr>
        <w:t xml:space="preserve">), </w:t>
      </w:r>
      <w:r w:rsidRPr="008A3A15">
        <w:rPr>
          <w:rFonts w:eastAsia="Times New Roman"/>
          <w:b/>
          <w:bCs/>
          <w:rtl/>
          <w:lang w:eastAsia="de-DE"/>
        </w:rPr>
        <w:t>וַעֲשִׂיתֶם</w:t>
      </w:r>
      <w:r w:rsidRPr="008A3A15">
        <w:rPr>
          <w:rFonts w:eastAsia="Times New Roman"/>
          <w:rtl/>
          <w:lang w:eastAsia="de-DE"/>
        </w:rPr>
        <w:t xml:space="preserve"> </w:t>
      </w:r>
      <w:r w:rsidRPr="008A3A15">
        <w:rPr>
          <w:rFonts w:eastAsia="Times New Roman"/>
          <w:lang w:eastAsia="de-DE"/>
        </w:rPr>
        <w:t xml:space="preserve">koordiniert (Qal Perfekt consecutivum, 2. Person Plural maskulin von </w:t>
      </w:r>
      <w:r w:rsidRPr="008A3A15">
        <w:rPr>
          <w:rFonts w:eastAsia="Times New Roman"/>
          <w:b/>
          <w:bCs/>
          <w:rtl/>
          <w:lang w:eastAsia="de-DE"/>
        </w:rPr>
        <w:t>עשׂה</w:t>
      </w:r>
      <w:r w:rsidRPr="008A3A15">
        <w:rPr>
          <w:rFonts w:eastAsia="Times New Roman"/>
          <w:rtl/>
          <w:lang w:eastAsia="de-DE"/>
        </w:rPr>
        <w:t xml:space="preserve"> </w:t>
      </w:r>
      <w:r w:rsidRPr="008A3A15">
        <w:rPr>
          <w:rFonts w:eastAsia="Times New Roman"/>
          <w:lang w:eastAsia="de-DE"/>
        </w:rPr>
        <w:t xml:space="preserve">mit </w:t>
      </w:r>
      <w:r w:rsidRPr="008A3A15">
        <w:rPr>
          <w:rFonts w:eastAsia="Times New Roman"/>
          <w:b/>
          <w:bCs/>
          <w:rtl/>
          <w:lang w:eastAsia="de-DE"/>
        </w:rPr>
        <w:t>וְ</w:t>
      </w:r>
      <w:r w:rsidRPr="008A3A15">
        <w:rPr>
          <w:rFonts w:eastAsia="Times New Roman"/>
          <w:lang w:eastAsia="de-DE"/>
        </w:rPr>
        <w:t xml:space="preserve">), </w:t>
      </w:r>
      <w:r w:rsidRPr="008A3A15">
        <w:rPr>
          <w:rFonts w:eastAsia="Times New Roman"/>
          <w:b/>
          <w:bCs/>
          <w:rtl/>
          <w:lang w:eastAsia="de-DE"/>
        </w:rPr>
        <w:t>אֹתָם</w:t>
      </w:r>
      <w:r w:rsidRPr="008A3A15">
        <w:rPr>
          <w:rFonts w:eastAsia="Times New Roman"/>
          <w:rtl/>
          <w:lang w:eastAsia="de-DE"/>
        </w:rPr>
        <w:t xml:space="preserve"> </w:t>
      </w:r>
      <w:r w:rsidRPr="008A3A15">
        <w:rPr>
          <w:rFonts w:eastAsia="Times New Roman"/>
          <w:lang w:eastAsia="de-DE"/>
        </w:rPr>
        <w:t>als direktes Objekt für beide Verben.</w:t>
      </w:r>
    </w:p>
    <w:p w14:paraId="3B071BD3"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rtl/>
          <w:lang w:eastAsia="de-DE"/>
        </w:rPr>
        <w:t>וְשָׁמַר יְהוָה אֱלֹהֶיךָ לְךָ אֶת־הַבְּרִית וְאֶת־הַחֶסֶד</w:t>
      </w:r>
      <w:r w:rsidRPr="008A3A15">
        <w:rPr>
          <w:rFonts w:eastAsia="Times New Roman"/>
          <w:rtl/>
          <w:lang w:eastAsia="de-DE"/>
        </w:rPr>
        <w:t xml:space="preserve"> </w:t>
      </w:r>
      <w:r w:rsidRPr="008A3A15">
        <w:rPr>
          <w:rFonts w:eastAsia="Times New Roman"/>
          <w:lang w:eastAsia="de-DE"/>
        </w:rPr>
        <w:t xml:space="preserve">ist die Apodosis: </w:t>
      </w:r>
      <w:r w:rsidRPr="008A3A15">
        <w:rPr>
          <w:rFonts w:eastAsia="Times New Roman"/>
          <w:b/>
          <w:bCs/>
          <w:rtl/>
          <w:lang w:eastAsia="de-DE"/>
        </w:rPr>
        <w:t>וְשָׁמַר</w:t>
      </w:r>
      <w:r w:rsidRPr="008A3A15">
        <w:rPr>
          <w:rFonts w:eastAsia="Times New Roman"/>
          <w:rtl/>
          <w:lang w:eastAsia="de-DE"/>
        </w:rPr>
        <w:t xml:space="preserve"> </w:t>
      </w:r>
      <w:r w:rsidRPr="008A3A15">
        <w:rPr>
          <w:rFonts w:eastAsia="Times New Roman"/>
          <w:lang w:eastAsia="de-DE"/>
        </w:rPr>
        <w:t xml:space="preserve">(Qal Perfekt consecutivum, 3. Person Singular maskulin von </w:t>
      </w:r>
      <w:r w:rsidRPr="008A3A15">
        <w:rPr>
          <w:rFonts w:eastAsia="Times New Roman"/>
          <w:b/>
          <w:bCs/>
          <w:rtl/>
          <w:lang w:eastAsia="de-DE"/>
        </w:rPr>
        <w:t>שׁמר</w:t>
      </w:r>
      <w:r w:rsidRPr="008A3A15">
        <w:rPr>
          <w:rFonts w:eastAsia="Times New Roman"/>
          <w:rtl/>
          <w:lang w:eastAsia="de-DE"/>
        </w:rPr>
        <w:t xml:space="preserve"> </w:t>
      </w:r>
      <w:r w:rsidRPr="008A3A15">
        <w:rPr>
          <w:rFonts w:eastAsia="Times New Roman"/>
          <w:lang w:eastAsia="de-DE"/>
        </w:rPr>
        <w:t xml:space="preserve">mit </w:t>
      </w:r>
      <w:r w:rsidRPr="008A3A15">
        <w:rPr>
          <w:rFonts w:eastAsia="Times New Roman"/>
          <w:b/>
          <w:bCs/>
          <w:rtl/>
          <w:lang w:eastAsia="de-DE"/>
        </w:rPr>
        <w:t>וְ</w:t>
      </w:r>
      <w:r w:rsidRPr="008A3A15">
        <w:rPr>
          <w:rFonts w:eastAsia="Times New Roman"/>
          <w:lang w:eastAsia="de-DE"/>
        </w:rPr>
        <w:t xml:space="preserve">), </w:t>
      </w:r>
      <w:r w:rsidRPr="008A3A15">
        <w:rPr>
          <w:rFonts w:eastAsia="Times New Roman"/>
          <w:b/>
          <w:bCs/>
          <w:rtl/>
          <w:lang w:eastAsia="de-DE"/>
        </w:rPr>
        <w:t>יְהוָה אֱלֹהֶיךָ</w:t>
      </w:r>
      <w:r w:rsidRPr="008A3A15">
        <w:rPr>
          <w:rFonts w:eastAsia="Times New Roman"/>
          <w:rtl/>
          <w:lang w:eastAsia="de-DE"/>
        </w:rPr>
        <w:t xml:space="preserve"> </w:t>
      </w:r>
      <w:r w:rsidRPr="008A3A15">
        <w:rPr>
          <w:rFonts w:eastAsia="Times New Roman"/>
          <w:lang w:eastAsia="de-DE"/>
        </w:rPr>
        <w:t xml:space="preserve">als erweitertes Subjekt (bemerkenswert ist der Wechsel von Plural </w:t>
      </w:r>
      <w:r w:rsidRPr="008A3A15">
        <w:rPr>
          <w:rFonts w:eastAsia="Times New Roman"/>
          <w:b/>
          <w:bCs/>
          <w:rtl/>
          <w:lang w:eastAsia="de-DE"/>
        </w:rPr>
        <w:t>תִּשְׁמְעוּן</w:t>
      </w:r>
      <w:r w:rsidRPr="008A3A15">
        <w:rPr>
          <w:rFonts w:eastAsia="Times New Roman"/>
          <w:rtl/>
          <w:lang w:eastAsia="de-DE"/>
        </w:rPr>
        <w:t xml:space="preserve"> </w:t>
      </w:r>
      <w:r w:rsidRPr="008A3A15">
        <w:rPr>
          <w:rFonts w:eastAsia="Times New Roman"/>
          <w:lang w:eastAsia="de-DE"/>
        </w:rPr>
        <w:t xml:space="preserve">zu Singular </w:t>
      </w:r>
      <w:r w:rsidRPr="008A3A15">
        <w:rPr>
          <w:rFonts w:eastAsia="Times New Roman"/>
          <w:b/>
          <w:bCs/>
          <w:rtl/>
          <w:lang w:eastAsia="de-DE"/>
        </w:rPr>
        <w:t>אֱלֹהֶיךָ</w:t>
      </w:r>
      <w:r w:rsidRPr="008A3A15">
        <w:rPr>
          <w:rFonts w:eastAsia="Times New Roman"/>
          <w:lang w:eastAsia="de-DE"/>
        </w:rPr>
        <w:t xml:space="preserve">), </w:t>
      </w:r>
      <w:r w:rsidRPr="008A3A15">
        <w:rPr>
          <w:rFonts w:eastAsia="Times New Roman"/>
          <w:b/>
          <w:bCs/>
          <w:rtl/>
          <w:lang w:eastAsia="de-DE"/>
        </w:rPr>
        <w:t>לְךָ</w:t>
      </w:r>
      <w:r w:rsidRPr="008A3A15">
        <w:rPr>
          <w:rFonts w:eastAsia="Times New Roman"/>
          <w:rtl/>
          <w:lang w:eastAsia="de-DE"/>
        </w:rPr>
        <w:t xml:space="preserve"> </w:t>
      </w:r>
      <w:r w:rsidRPr="008A3A15">
        <w:rPr>
          <w:rFonts w:eastAsia="Times New Roman"/>
          <w:lang w:eastAsia="de-DE"/>
        </w:rPr>
        <w:t xml:space="preserve">als Dativ, </w:t>
      </w:r>
      <w:r w:rsidRPr="008A3A15">
        <w:rPr>
          <w:rFonts w:eastAsia="Times New Roman"/>
          <w:b/>
          <w:bCs/>
          <w:rtl/>
          <w:lang w:eastAsia="de-DE"/>
        </w:rPr>
        <w:t>אֶת־הַבְּרִית וְאֶת־הַחֶסֶד</w:t>
      </w:r>
      <w:r w:rsidRPr="008A3A15">
        <w:rPr>
          <w:rFonts w:eastAsia="Times New Roman"/>
          <w:rtl/>
          <w:lang w:eastAsia="de-DE"/>
        </w:rPr>
        <w:t xml:space="preserve"> </w:t>
      </w:r>
      <w:r w:rsidRPr="008A3A15">
        <w:rPr>
          <w:rFonts w:eastAsia="Times New Roman"/>
          <w:lang w:eastAsia="de-DE"/>
        </w:rPr>
        <w:t>als zweigliedrige koordinierte Objektkette.</w:t>
      </w:r>
    </w:p>
    <w:p w14:paraId="1AC33B6E"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rtl/>
          <w:lang w:eastAsia="de-DE"/>
        </w:rPr>
        <w:t>אֲשֶׁר נִשְׁבַּע לַאֲבֹתֶיךָ</w:t>
      </w:r>
      <w:r w:rsidRPr="008A3A15">
        <w:rPr>
          <w:rFonts w:eastAsia="Times New Roman"/>
          <w:rtl/>
          <w:lang w:eastAsia="de-DE"/>
        </w:rPr>
        <w:t xml:space="preserve"> </w:t>
      </w:r>
      <w:r w:rsidRPr="008A3A15">
        <w:rPr>
          <w:rFonts w:eastAsia="Times New Roman"/>
          <w:lang w:eastAsia="de-DE"/>
        </w:rPr>
        <w:t xml:space="preserve">ist ein Relativsatz: </w:t>
      </w:r>
      <w:r w:rsidRPr="008A3A15">
        <w:rPr>
          <w:rFonts w:eastAsia="Times New Roman"/>
          <w:b/>
          <w:bCs/>
          <w:rtl/>
          <w:lang w:eastAsia="de-DE"/>
        </w:rPr>
        <w:t>אֲשֶׁר</w:t>
      </w:r>
      <w:r w:rsidRPr="008A3A15">
        <w:rPr>
          <w:rFonts w:eastAsia="Times New Roman"/>
          <w:rtl/>
          <w:lang w:eastAsia="de-DE"/>
        </w:rPr>
        <w:t xml:space="preserve"> </w:t>
      </w:r>
      <w:r w:rsidRPr="008A3A15">
        <w:rPr>
          <w:rFonts w:eastAsia="Times New Roman"/>
          <w:lang w:eastAsia="de-DE"/>
        </w:rPr>
        <w:t xml:space="preserve">als Relativpronomen, </w:t>
      </w:r>
      <w:r w:rsidRPr="008A3A15">
        <w:rPr>
          <w:rFonts w:eastAsia="Times New Roman"/>
          <w:b/>
          <w:bCs/>
          <w:rtl/>
          <w:lang w:eastAsia="de-DE"/>
        </w:rPr>
        <w:t>נִשְׁבַּע</w:t>
      </w:r>
      <w:r w:rsidRPr="008A3A15">
        <w:rPr>
          <w:rFonts w:eastAsia="Times New Roman"/>
          <w:rtl/>
          <w:lang w:eastAsia="de-DE"/>
        </w:rPr>
        <w:t xml:space="preserve"> </w:t>
      </w:r>
      <w:r w:rsidRPr="008A3A15">
        <w:rPr>
          <w:rFonts w:eastAsia="Times New Roman"/>
          <w:lang w:eastAsia="de-DE"/>
        </w:rPr>
        <w:t xml:space="preserve">als Nifal Perfekt, 3. Person Singular maskulin von </w:t>
      </w:r>
      <w:r w:rsidRPr="008A3A15">
        <w:rPr>
          <w:rFonts w:eastAsia="Times New Roman"/>
          <w:b/>
          <w:bCs/>
          <w:rtl/>
          <w:lang w:eastAsia="de-DE"/>
        </w:rPr>
        <w:t>שׁבע</w:t>
      </w:r>
      <w:r w:rsidRPr="008A3A15">
        <w:rPr>
          <w:rFonts w:eastAsia="Times New Roman"/>
          <w:rtl/>
          <w:lang w:eastAsia="de-DE"/>
        </w:rPr>
        <w:t xml:space="preserve"> </w:t>
      </w:r>
      <w:r w:rsidRPr="008A3A15">
        <w:rPr>
          <w:rFonts w:eastAsia="Times New Roman"/>
          <w:lang w:eastAsia="de-DE"/>
        </w:rPr>
        <w:t xml:space="preserve">(„schwören"), </w:t>
      </w:r>
      <w:r w:rsidRPr="008A3A15">
        <w:rPr>
          <w:rFonts w:eastAsia="Times New Roman"/>
          <w:b/>
          <w:bCs/>
          <w:rtl/>
          <w:lang w:eastAsia="de-DE"/>
        </w:rPr>
        <w:t>לַאֲבֹתֶיךָ</w:t>
      </w:r>
      <w:r w:rsidRPr="008A3A15">
        <w:rPr>
          <w:rFonts w:eastAsia="Times New Roman"/>
          <w:rtl/>
          <w:lang w:eastAsia="de-DE"/>
        </w:rPr>
        <w:t xml:space="preserve"> </w:t>
      </w:r>
      <w:r w:rsidRPr="008A3A15">
        <w:rPr>
          <w:rFonts w:eastAsia="Times New Roman"/>
          <w:lang w:eastAsia="de-DE"/>
        </w:rPr>
        <w:t>als indirektes Objekt.</w:t>
      </w:r>
    </w:p>
    <w:p w14:paraId="4ECBB344"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lang w:eastAsia="de-DE"/>
        </w:rPr>
        <w:t xml:space="preserve">Das Wort </w:t>
      </w:r>
      <w:r w:rsidRPr="008A3A15">
        <w:rPr>
          <w:rFonts w:eastAsia="Times New Roman"/>
          <w:b/>
          <w:bCs/>
          <w:rtl/>
          <w:lang w:eastAsia="de-DE"/>
        </w:rPr>
        <w:t>עֵקֶב</w:t>
      </w:r>
      <w:r w:rsidRPr="008A3A15">
        <w:rPr>
          <w:rFonts w:eastAsia="Times New Roman"/>
          <w:rtl/>
          <w:lang w:eastAsia="de-DE"/>
        </w:rPr>
        <w:t xml:space="preserve"> </w:t>
      </w:r>
      <w:r w:rsidRPr="008A3A15">
        <w:rPr>
          <w:rFonts w:eastAsia="Times New Roman"/>
          <w:lang w:eastAsia="de-DE"/>
        </w:rPr>
        <w:t xml:space="preserve">ist etymologisch mit </w:t>
      </w:r>
      <w:r w:rsidRPr="008A3A15">
        <w:rPr>
          <w:rFonts w:eastAsia="Times New Roman"/>
          <w:b/>
          <w:bCs/>
          <w:rtl/>
          <w:lang w:eastAsia="de-DE"/>
        </w:rPr>
        <w:t>עָקֵב</w:t>
      </w:r>
      <w:r w:rsidRPr="008A3A15">
        <w:rPr>
          <w:rFonts w:eastAsia="Times New Roman"/>
          <w:rtl/>
          <w:lang w:eastAsia="de-DE"/>
        </w:rPr>
        <w:t xml:space="preserve"> </w:t>
      </w:r>
      <w:r w:rsidRPr="008A3A15">
        <w:rPr>
          <w:rFonts w:eastAsia="Times New Roman"/>
          <w:lang w:eastAsia="de-DE"/>
        </w:rPr>
        <w:t>(„Ferse") verwandt und kann bedeuten: „wegen, als Lohn für, als Folge von". Es betont den Zusammenhang zwischen Gehorsam und Segen. Die dreifache Forderung (hören – bewahren – tun) ist charakteristisch deuteronomisch und betont die umfassende Gesetzestreue. Die zweigliedrige Zusage (</w:t>
      </w:r>
      <w:r w:rsidRPr="008A3A15">
        <w:rPr>
          <w:rFonts w:eastAsia="Times New Roman"/>
          <w:b/>
          <w:bCs/>
          <w:rtl/>
          <w:lang w:eastAsia="de-DE"/>
        </w:rPr>
        <w:t>בְּרִית</w:t>
      </w:r>
      <w:r w:rsidRPr="008A3A15">
        <w:rPr>
          <w:rFonts w:eastAsia="Times New Roman"/>
          <w:rtl/>
          <w:lang w:eastAsia="de-DE"/>
        </w:rPr>
        <w:t xml:space="preserve"> </w:t>
      </w:r>
      <w:r w:rsidRPr="008A3A15">
        <w:rPr>
          <w:rFonts w:eastAsia="Times New Roman"/>
          <w:lang w:eastAsia="de-DE"/>
        </w:rPr>
        <w:t xml:space="preserve">und </w:t>
      </w:r>
      <w:r w:rsidRPr="008A3A15">
        <w:rPr>
          <w:rFonts w:eastAsia="Times New Roman"/>
          <w:b/>
          <w:bCs/>
          <w:rtl/>
          <w:lang w:eastAsia="de-DE"/>
        </w:rPr>
        <w:t>חֶסֶד</w:t>
      </w:r>
      <w:r w:rsidRPr="008A3A15">
        <w:rPr>
          <w:rFonts w:eastAsia="Times New Roman"/>
          <w:lang w:eastAsia="de-DE"/>
        </w:rPr>
        <w:t>) greift V. 9 auf und betont die Kontinuität mit der Väterverheißung.</w:t>
      </w:r>
    </w:p>
    <w:p w14:paraId="77A91C67"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lang w:eastAsia="de-DE"/>
        </w:rPr>
        <w:t xml:space="preserve">Die Satzstruktur ist eine narrative Einleitung mit </w:t>
      </w:r>
      <w:r w:rsidRPr="008A3A15">
        <w:rPr>
          <w:rFonts w:eastAsia="Times New Roman"/>
          <w:b/>
          <w:bCs/>
          <w:rtl/>
          <w:lang w:eastAsia="de-DE"/>
        </w:rPr>
        <w:t>וְהָיָה</w:t>
      </w:r>
      <w:r w:rsidRPr="008A3A15">
        <w:rPr>
          <w:rFonts w:eastAsia="Times New Roman"/>
          <w:rtl/>
          <w:lang w:eastAsia="de-DE"/>
        </w:rPr>
        <w:t xml:space="preserve"> </w:t>
      </w:r>
      <w:r w:rsidRPr="008A3A15">
        <w:rPr>
          <w:rFonts w:eastAsia="Times New Roman"/>
          <w:lang w:eastAsia="de-DE"/>
        </w:rPr>
        <w:t>und kausaler Präposition, Prädikat mit paragogischem Nun und direktem Objekt, gefolgt von zwei koordinierten Verben mit gemeinsamem direktem Objekt, einer Apodosis mit Prädikat, erweitertem Subjekt, Dativ und zweigliedriger koordinierter Objektkette, sowie einem Relativsatz mit Prädikat und indirektem Objekt. Die Struktur etabliert die Bundeslogik: Gehorsam → göttliche Bundestreue.</w:t>
      </w:r>
    </w:p>
    <w:p w14:paraId="2DB3A06B"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lang w:eastAsia="de-DE"/>
        </w:rPr>
        <w:t>Der Vers leitet die Segensverheißung ein: Wenn Israel die Gebote hört, bewahrt und tut, wird JHWH den Bund und die Güte bewahren, die er den Vätern geschworen hat – die klassische Bundeslogik.</w:t>
      </w:r>
    </w:p>
    <w:p w14:paraId="5F1DEC3B" w14:textId="77777777" w:rsidR="008A3A15" w:rsidRPr="008A3A15" w:rsidRDefault="008A3A15" w:rsidP="008A3A15">
      <w:pPr>
        <w:spacing w:before="100" w:beforeAutospacing="1" w:after="100" w:afterAutospacing="1" w:line="240" w:lineRule="auto"/>
        <w:outlineLvl w:val="1"/>
        <w:rPr>
          <w:rFonts w:eastAsia="Times New Roman"/>
          <w:b/>
          <w:bCs/>
          <w:sz w:val="36"/>
          <w:szCs w:val="36"/>
          <w:lang w:eastAsia="de-DE"/>
        </w:rPr>
      </w:pPr>
      <w:r w:rsidRPr="008A3A15">
        <w:rPr>
          <w:rFonts w:eastAsia="Times New Roman"/>
          <w:b/>
          <w:bCs/>
          <w:sz w:val="36"/>
          <w:szCs w:val="36"/>
          <w:lang w:eastAsia="de-DE"/>
        </w:rPr>
        <w:t>Deuteronomium 7,13</w:t>
      </w:r>
    </w:p>
    <w:p w14:paraId="19FC7897"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lang w:eastAsia="de-DE"/>
        </w:rPr>
        <w:t>Hebräisch:</w:t>
      </w:r>
      <w:r w:rsidRPr="008A3A15">
        <w:rPr>
          <w:rFonts w:eastAsia="Times New Roman"/>
          <w:lang w:eastAsia="de-DE"/>
        </w:rPr>
        <w:t xml:space="preserve"> </w:t>
      </w:r>
      <w:r w:rsidRPr="008A3A15">
        <w:rPr>
          <w:rFonts w:eastAsia="Times New Roman"/>
          <w:rtl/>
          <w:lang w:eastAsia="de-DE"/>
        </w:rPr>
        <w:t>וַאֲהֵבְךָ וּבֵרַכְךָ וְהִרְבֶּךָ וּבֵרַךְ פְּרִי־בִטְנְךָ וּפְרִי־אַדְמָתֶךָ דְּגָנְךָ וְתִירֹשְׁךָ וְיִצְהָרֶךָ שְׁגַר־אֲלָפֶיךָ וְעַשְׁתְּרֹת צֹאנֶךָ עַל הָאֲדָמָה אֲשֶׁר־נִשְׁבַּע לַאֲבֹתֶיךָ לָתֶת לָךְ׃</w:t>
      </w:r>
    </w:p>
    <w:p w14:paraId="05AAF494"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lang w:eastAsia="de-DE"/>
        </w:rPr>
        <w:lastRenderedPageBreak/>
        <w:t>Deutsch:</w:t>
      </w:r>
      <w:r w:rsidRPr="008A3A15">
        <w:rPr>
          <w:rFonts w:eastAsia="Times New Roman"/>
          <w:lang w:eastAsia="de-DE"/>
        </w:rPr>
        <w:t xml:space="preserve"> und er wird dich lieben und dich segnen und dich mehren: Er wird segnen die Frucht deines Leibes und die Frucht deines Landes, dein Getreide und deinen Most und dein Öl, den Wurf deiner Rinder und den Zuwachs deines Kleinviehs, in dem Land, das er deinen Vätern geschworen hat, dir zu geben.</w:t>
      </w:r>
    </w:p>
    <w:p w14:paraId="0A757C54" w14:textId="77777777" w:rsidR="008A3A15" w:rsidRPr="008A3A15" w:rsidRDefault="004F5CEB" w:rsidP="008A3A15">
      <w:pPr>
        <w:spacing w:after="0" w:line="240" w:lineRule="auto"/>
        <w:rPr>
          <w:rFonts w:eastAsia="Times New Roman"/>
          <w:lang w:eastAsia="de-DE"/>
        </w:rPr>
      </w:pPr>
      <w:r>
        <w:rPr>
          <w:rFonts w:eastAsia="Times New Roman"/>
          <w:noProof/>
          <w:lang w:eastAsia="de-DE"/>
        </w:rPr>
        <w:pict w14:anchorId="7C1954C1">
          <v:rect id="_x0000_i1256" style="width:0;height:1.5pt" o:hralign="center" o:hrstd="t" o:hr="t" fillcolor="#a0a0a0" stroked="f"/>
        </w:pict>
      </w:r>
    </w:p>
    <w:p w14:paraId="582F5C95"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lang w:eastAsia="de-DE"/>
        </w:rPr>
        <w:t>Kommentar:</w:t>
      </w:r>
      <w:r w:rsidRPr="008A3A15">
        <w:rPr>
          <w:rFonts w:eastAsia="Times New Roman"/>
          <w:lang w:eastAsia="de-DE"/>
        </w:rPr>
        <w:t xml:space="preserve"> </w:t>
      </w:r>
      <w:r w:rsidRPr="008A3A15">
        <w:rPr>
          <w:rFonts w:eastAsia="Times New Roman"/>
          <w:b/>
          <w:bCs/>
          <w:rtl/>
          <w:lang w:eastAsia="de-DE"/>
        </w:rPr>
        <w:t>וַאֲהֵבְךָ וּבֵרַכְךָ וְהִרְבֶּךָ</w:t>
      </w:r>
      <w:r w:rsidRPr="008A3A15">
        <w:rPr>
          <w:rFonts w:eastAsia="Times New Roman"/>
          <w:rtl/>
          <w:lang w:eastAsia="de-DE"/>
        </w:rPr>
        <w:t xml:space="preserve"> </w:t>
      </w:r>
      <w:r w:rsidRPr="008A3A15">
        <w:rPr>
          <w:rFonts w:eastAsia="Times New Roman"/>
          <w:lang w:eastAsia="de-DE"/>
        </w:rPr>
        <w:t xml:space="preserve">ist eine dreigliedrige koordinierte Segensankündigung: </w:t>
      </w:r>
      <w:r w:rsidRPr="008A3A15">
        <w:rPr>
          <w:rFonts w:eastAsia="Times New Roman"/>
          <w:b/>
          <w:bCs/>
          <w:rtl/>
          <w:lang w:eastAsia="de-DE"/>
        </w:rPr>
        <w:t>וַאֲהֵבְךָ</w:t>
      </w:r>
      <w:r w:rsidRPr="008A3A15">
        <w:rPr>
          <w:rFonts w:eastAsia="Times New Roman"/>
          <w:rtl/>
          <w:lang w:eastAsia="de-DE"/>
        </w:rPr>
        <w:t xml:space="preserve"> </w:t>
      </w:r>
      <w:r w:rsidRPr="008A3A15">
        <w:rPr>
          <w:rFonts w:eastAsia="Times New Roman"/>
          <w:lang w:eastAsia="de-DE"/>
        </w:rPr>
        <w:t xml:space="preserve">(Qal Perfekt consecutivum, 3. Person Singular maskulin von </w:t>
      </w:r>
      <w:r w:rsidRPr="008A3A15">
        <w:rPr>
          <w:rFonts w:eastAsia="Times New Roman"/>
          <w:b/>
          <w:bCs/>
          <w:rtl/>
          <w:lang w:eastAsia="de-DE"/>
        </w:rPr>
        <w:t>אהב</w:t>
      </w:r>
      <w:r w:rsidRPr="008A3A15">
        <w:rPr>
          <w:rFonts w:eastAsia="Times New Roman"/>
          <w:lang w:eastAsia="de-DE"/>
        </w:rPr>
        <w:t xml:space="preserve">, „lieben", mit </w:t>
      </w:r>
      <w:r w:rsidRPr="008A3A15">
        <w:rPr>
          <w:rFonts w:eastAsia="Times New Roman"/>
          <w:b/>
          <w:bCs/>
          <w:rtl/>
          <w:lang w:eastAsia="de-DE"/>
        </w:rPr>
        <w:t>וְ</w:t>
      </w:r>
      <w:r w:rsidRPr="008A3A15">
        <w:rPr>
          <w:rFonts w:eastAsia="Times New Roman"/>
          <w:rtl/>
          <w:lang w:eastAsia="de-DE"/>
        </w:rPr>
        <w:t xml:space="preserve"> </w:t>
      </w:r>
      <w:r w:rsidRPr="008A3A15">
        <w:rPr>
          <w:rFonts w:eastAsia="Times New Roman"/>
          <w:lang w:eastAsia="de-DE"/>
        </w:rPr>
        <w:t xml:space="preserve">und Suffix 2. Person Singular maskulin), </w:t>
      </w:r>
      <w:r w:rsidRPr="008A3A15">
        <w:rPr>
          <w:rFonts w:eastAsia="Times New Roman"/>
          <w:b/>
          <w:bCs/>
          <w:rtl/>
          <w:lang w:eastAsia="de-DE"/>
        </w:rPr>
        <w:t>וּבֵרַכְךָ</w:t>
      </w:r>
      <w:r w:rsidRPr="008A3A15">
        <w:rPr>
          <w:rFonts w:eastAsia="Times New Roman"/>
          <w:rtl/>
          <w:lang w:eastAsia="de-DE"/>
        </w:rPr>
        <w:t xml:space="preserve"> </w:t>
      </w:r>
      <w:r w:rsidRPr="008A3A15">
        <w:rPr>
          <w:rFonts w:eastAsia="Times New Roman"/>
          <w:lang w:eastAsia="de-DE"/>
        </w:rPr>
        <w:t xml:space="preserve">koordiniert (Piel Perfekt consecutivum, 3. Person Singular maskulin von </w:t>
      </w:r>
      <w:r w:rsidRPr="008A3A15">
        <w:rPr>
          <w:rFonts w:eastAsia="Times New Roman"/>
          <w:b/>
          <w:bCs/>
          <w:rtl/>
          <w:lang w:eastAsia="de-DE"/>
        </w:rPr>
        <w:t>ברך</w:t>
      </w:r>
      <w:r w:rsidRPr="008A3A15">
        <w:rPr>
          <w:rFonts w:eastAsia="Times New Roman"/>
          <w:lang w:eastAsia="de-DE"/>
        </w:rPr>
        <w:t xml:space="preserve">, „segnen", mit </w:t>
      </w:r>
      <w:r w:rsidRPr="008A3A15">
        <w:rPr>
          <w:rFonts w:eastAsia="Times New Roman"/>
          <w:b/>
          <w:bCs/>
          <w:rtl/>
          <w:lang w:eastAsia="de-DE"/>
        </w:rPr>
        <w:t>וְ</w:t>
      </w:r>
      <w:r w:rsidRPr="008A3A15">
        <w:rPr>
          <w:rFonts w:eastAsia="Times New Roman"/>
          <w:rtl/>
          <w:lang w:eastAsia="de-DE"/>
        </w:rPr>
        <w:t xml:space="preserve"> </w:t>
      </w:r>
      <w:r w:rsidRPr="008A3A15">
        <w:rPr>
          <w:rFonts w:eastAsia="Times New Roman"/>
          <w:lang w:eastAsia="de-DE"/>
        </w:rPr>
        <w:t xml:space="preserve">und Suffix), </w:t>
      </w:r>
      <w:r w:rsidRPr="008A3A15">
        <w:rPr>
          <w:rFonts w:eastAsia="Times New Roman"/>
          <w:b/>
          <w:bCs/>
          <w:rtl/>
          <w:lang w:eastAsia="de-DE"/>
        </w:rPr>
        <w:t>וְהִרְבֶּךָ</w:t>
      </w:r>
      <w:r w:rsidRPr="008A3A15">
        <w:rPr>
          <w:rFonts w:eastAsia="Times New Roman"/>
          <w:rtl/>
          <w:lang w:eastAsia="de-DE"/>
        </w:rPr>
        <w:t xml:space="preserve"> </w:t>
      </w:r>
      <w:r w:rsidRPr="008A3A15">
        <w:rPr>
          <w:rFonts w:eastAsia="Times New Roman"/>
          <w:lang w:eastAsia="de-DE"/>
        </w:rPr>
        <w:t xml:space="preserve">koordiniert (Hifil Perfekt consecutivum, 3. Person Singular maskulin von </w:t>
      </w:r>
      <w:r w:rsidRPr="008A3A15">
        <w:rPr>
          <w:rFonts w:eastAsia="Times New Roman"/>
          <w:b/>
          <w:bCs/>
          <w:rtl/>
          <w:lang w:eastAsia="de-DE"/>
        </w:rPr>
        <w:t>רבה</w:t>
      </w:r>
      <w:r w:rsidRPr="008A3A15">
        <w:rPr>
          <w:rFonts w:eastAsia="Times New Roman"/>
          <w:lang w:eastAsia="de-DE"/>
        </w:rPr>
        <w:t xml:space="preserve">, „mehren", mit </w:t>
      </w:r>
      <w:r w:rsidRPr="008A3A15">
        <w:rPr>
          <w:rFonts w:eastAsia="Times New Roman"/>
          <w:b/>
          <w:bCs/>
          <w:rtl/>
          <w:lang w:eastAsia="de-DE"/>
        </w:rPr>
        <w:t>וְ</w:t>
      </w:r>
      <w:r w:rsidRPr="008A3A15">
        <w:rPr>
          <w:rFonts w:eastAsia="Times New Roman"/>
          <w:rtl/>
          <w:lang w:eastAsia="de-DE"/>
        </w:rPr>
        <w:t xml:space="preserve"> </w:t>
      </w:r>
      <w:r w:rsidRPr="008A3A15">
        <w:rPr>
          <w:rFonts w:eastAsia="Times New Roman"/>
          <w:lang w:eastAsia="de-DE"/>
        </w:rPr>
        <w:t>und Suffix).</w:t>
      </w:r>
    </w:p>
    <w:p w14:paraId="2BFFB791" w14:textId="5DF4BAC5"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rtl/>
          <w:lang w:eastAsia="de-DE"/>
        </w:rPr>
        <w:t>וּבֵרַךְ פְּרִי־בִטְנְךָ וּפְרִי־אַדְמָתֶךָ דְּגָנְךָ וְתִירֹשְׁךָ וְיִצְהָרֶךָ שְׁגַר־אֲלָפֶיךָ וְעַשְׁתְּרֹת צֹאנֶךָ</w:t>
      </w:r>
      <w:r w:rsidRPr="008A3A15">
        <w:rPr>
          <w:rFonts w:eastAsia="Times New Roman"/>
          <w:rtl/>
          <w:lang w:eastAsia="de-DE"/>
        </w:rPr>
        <w:t xml:space="preserve"> </w:t>
      </w:r>
      <w:r w:rsidRPr="008A3A15">
        <w:rPr>
          <w:rFonts w:eastAsia="Times New Roman"/>
          <w:lang w:eastAsia="de-DE"/>
        </w:rPr>
        <w:t xml:space="preserve">ist eine detaillierte Entfaltung des Segens: </w:t>
      </w:r>
      <w:r w:rsidRPr="008A3A15">
        <w:rPr>
          <w:rFonts w:eastAsia="Times New Roman"/>
          <w:b/>
          <w:bCs/>
          <w:rtl/>
          <w:lang w:eastAsia="de-DE"/>
        </w:rPr>
        <w:t>וּבֵרַךְ פְּרִי־בִטְנְךָ וּפְרִי־אַדְמָתֶךָ</w:t>
      </w:r>
      <w:r w:rsidRPr="008A3A15">
        <w:rPr>
          <w:rFonts w:eastAsia="Times New Roman"/>
          <w:rtl/>
          <w:lang w:eastAsia="de-DE"/>
        </w:rPr>
        <w:t xml:space="preserve"> </w:t>
      </w:r>
      <w:r w:rsidRPr="008A3A15">
        <w:rPr>
          <w:rFonts w:eastAsia="Times New Roman"/>
          <w:lang w:eastAsia="de-DE"/>
        </w:rPr>
        <w:t xml:space="preserve">als zweigliedrige Grundstruktur (Piel Perfekt consecutivum, 3. Person Singular maskulin von </w:t>
      </w:r>
      <w:r w:rsidRPr="008A3A15">
        <w:rPr>
          <w:rFonts w:eastAsia="Times New Roman"/>
          <w:b/>
          <w:bCs/>
          <w:rtl/>
          <w:lang w:eastAsia="de-DE"/>
        </w:rPr>
        <w:t>ברך</w:t>
      </w:r>
      <w:r w:rsidRPr="008A3A15">
        <w:rPr>
          <w:rFonts w:eastAsia="Times New Roman"/>
          <w:rtl/>
          <w:lang w:eastAsia="de-DE"/>
        </w:rPr>
        <w:t xml:space="preserve"> </w:t>
      </w:r>
      <w:r w:rsidRPr="008A3A15">
        <w:rPr>
          <w:rFonts w:eastAsia="Times New Roman"/>
          <w:lang w:eastAsia="de-DE"/>
        </w:rPr>
        <w:t xml:space="preserve">mit </w:t>
      </w:r>
      <w:r w:rsidRPr="008A3A15">
        <w:rPr>
          <w:rFonts w:eastAsia="Times New Roman"/>
          <w:b/>
          <w:bCs/>
          <w:rtl/>
          <w:lang w:eastAsia="de-DE"/>
        </w:rPr>
        <w:t>וְ</w:t>
      </w:r>
      <w:r w:rsidRPr="008A3A15">
        <w:rPr>
          <w:rFonts w:eastAsia="Times New Roman"/>
          <w:lang w:eastAsia="de-DE"/>
        </w:rPr>
        <w:t xml:space="preserve">, </w:t>
      </w:r>
      <w:r w:rsidRPr="008A3A15">
        <w:rPr>
          <w:rFonts w:eastAsia="Times New Roman"/>
          <w:b/>
          <w:bCs/>
          <w:rtl/>
          <w:lang w:eastAsia="de-DE"/>
        </w:rPr>
        <w:t>פְּרִי־בִטְנְךָ</w:t>
      </w:r>
      <w:r w:rsidRPr="008A3A15">
        <w:rPr>
          <w:rFonts w:eastAsia="Times New Roman"/>
          <w:rtl/>
          <w:lang w:eastAsia="de-DE"/>
        </w:rPr>
        <w:t xml:space="preserve"> </w:t>
      </w:r>
      <w:r w:rsidRPr="008A3A15">
        <w:rPr>
          <w:rFonts w:eastAsia="Times New Roman"/>
          <w:lang w:eastAsia="de-DE"/>
        </w:rPr>
        <w:t xml:space="preserve">als erstes direktes Objekt – </w:t>
      </w:r>
      <w:r w:rsidRPr="008A3A15">
        <w:rPr>
          <w:rFonts w:eastAsia="Times New Roman"/>
          <w:b/>
          <w:bCs/>
          <w:rtl/>
          <w:lang w:eastAsia="de-DE"/>
        </w:rPr>
        <w:t>פְּרִי</w:t>
      </w:r>
      <w:r w:rsidRPr="008A3A15">
        <w:rPr>
          <w:rFonts w:eastAsia="Times New Roman"/>
          <w:lang w:eastAsia="de-DE"/>
        </w:rPr>
        <w:t xml:space="preserve">, „Frucht", im Construct mit </w:t>
      </w:r>
      <w:r w:rsidRPr="008A3A15">
        <w:rPr>
          <w:rFonts w:eastAsia="Times New Roman"/>
          <w:b/>
          <w:bCs/>
          <w:rtl/>
          <w:lang w:eastAsia="de-DE"/>
        </w:rPr>
        <w:t>בֶּטֶן</w:t>
      </w:r>
      <w:r w:rsidRPr="008A3A15">
        <w:rPr>
          <w:rFonts w:eastAsia="Times New Roman"/>
          <w:lang w:eastAsia="de-DE"/>
        </w:rPr>
        <w:t xml:space="preserve">, „Leib, Mutterleib", und Suffix, durch </w:t>
      </w:r>
      <w:r w:rsidR="00D84597">
        <w:rPr>
          <w:rFonts w:eastAsia="Times New Roman"/>
          <w:lang w:eastAsia="de-DE"/>
        </w:rPr>
        <w:t>Maqqef</w:t>
      </w:r>
      <w:r w:rsidRPr="008A3A15">
        <w:rPr>
          <w:rFonts w:eastAsia="Times New Roman"/>
          <w:lang w:eastAsia="de-DE"/>
        </w:rPr>
        <w:t xml:space="preserve"> verbunden, </w:t>
      </w:r>
      <w:r w:rsidRPr="008A3A15">
        <w:rPr>
          <w:rFonts w:eastAsia="Times New Roman"/>
          <w:b/>
          <w:bCs/>
          <w:rtl/>
          <w:lang w:eastAsia="de-DE"/>
        </w:rPr>
        <w:t>וּפְרִי־אַדְמָתֶךָ</w:t>
      </w:r>
      <w:r w:rsidRPr="008A3A15">
        <w:rPr>
          <w:rFonts w:eastAsia="Times New Roman"/>
          <w:rtl/>
          <w:lang w:eastAsia="de-DE"/>
        </w:rPr>
        <w:t xml:space="preserve"> </w:t>
      </w:r>
      <w:r w:rsidRPr="008A3A15">
        <w:rPr>
          <w:rFonts w:eastAsia="Times New Roman"/>
          <w:lang w:eastAsia="de-DE"/>
        </w:rPr>
        <w:t xml:space="preserve">koordiniert – </w:t>
      </w:r>
      <w:r w:rsidRPr="008A3A15">
        <w:rPr>
          <w:rFonts w:eastAsia="Times New Roman"/>
          <w:b/>
          <w:bCs/>
          <w:rtl/>
          <w:lang w:eastAsia="de-DE"/>
        </w:rPr>
        <w:t>אֲדָמָה</w:t>
      </w:r>
      <w:r w:rsidRPr="008A3A15">
        <w:rPr>
          <w:rFonts w:eastAsia="Times New Roman"/>
          <w:lang w:eastAsia="de-DE"/>
        </w:rPr>
        <w:t xml:space="preserve">, „Erdboden, Ackerland", mit Suffix), </w:t>
      </w:r>
      <w:r w:rsidRPr="008A3A15">
        <w:rPr>
          <w:rFonts w:eastAsia="Times New Roman"/>
          <w:b/>
          <w:bCs/>
          <w:rtl/>
          <w:lang w:eastAsia="de-DE"/>
        </w:rPr>
        <w:t>דְּגָנְךָ וְתִירֹשְׁךָ וְיִצְהָרֶךָ</w:t>
      </w:r>
      <w:r w:rsidRPr="008A3A15">
        <w:rPr>
          <w:rFonts w:eastAsia="Times New Roman"/>
          <w:rtl/>
          <w:lang w:eastAsia="de-DE"/>
        </w:rPr>
        <w:t xml:space="preserve"> </w:t>
      </w:r>
      <w:r w:rsidRPr="008A3A15">
        <w:rPr>
          <w:rFonts w:eastAsia="Times New Roman"/>
          <w:lang w:eastAsia="de-DE"/>
        </w:rPr>
        <w:t xml:space="preserve">als dreigliedrige appositionelle Entfaltung zu </w:t>
      </w:r>
      <w:r w:rsidRPr="008A3A15">
        <w:rPr>
          <w:rFonts w:eastAsia="Times New Roman"/>
          <w:b/>
          <w:bCs/>
          <w:rtl/>
          <w:lang w:eastAsia="de-DE"/>
        </w:rPr>
        <w:t>פְּרִי־אַדְמָתֶךָ</w:t>
      </w:r>
      <w:r w:rsidRPr="008A3A15">
        <w:rPr>
          <w:rFonts w:eastAsia="Times New Roman"/>
          <w:rtl/>
          <w:lang w:eastAsia="de-DE"/>
        </w:rPr>
        <w:t xml:space="preserve"> </w:t>
      </w:r>
      <w:r w:rsidRPr="008A3A15">
        <w:rPr>
          <w:rFonts w:eastAsia="Times New Roman"/>
          <w:lang w:eastAsia="de-DE"/>
        </w:rPr>
        <w:t>(</w:t>
      </w:r>
      <w:r w:rsidRPr="008A3A15">
        <w:rPr>
          <w:rFonts w:eastAsia="Times New Roman"/>
          <w:b/>
          <w:bCs/>
          <w:rtl/>
          <w:lang w:eastAsia="de-DE"/>
        </w:rPr>
        <w:t>דָּגָן</w:t>
      </w:r>
      <w:r w:rsidRPr="008A3A15">
        <w:rPr>
          <w:rFonts w:eastAsia="Times New Roman"/>
          <w:lang w:eastAsia="de-DE"/>
        </w:rPr>
        <w:t xml:space="preserve">, „Getreide", </w:t>
      </w:r>
      <w:r w:rsidRPr="008A3A15">
        <w:rPr>
          <w:rFonts w:eastAsia="Times New Roman"/>
          <w:b/>
          <w:bCs/>
          <w:rtl/>
          <w:lang w:eastAsia="de-DE"/>
        </w:rPr>
        <w:t>תִּירוֹשׁ</w:t>
      </w:r>
      <w:r w:rsidRPr="008A3A15">
        <w:rPr>
          <w:rFonts w:eastAsia="Times New Roman"/>
          <w:lang w:eastAsia="de-DE"/>
        </w:rPr>
        <w:t xml:space="preserve">, „Most, neuer Wein", und </w:t>
      </w:r>
      <w:r w:rsidRPr="008A3A15">
        <w:rPr>
          <w:rFonts w:eastAsia="Times New Roman"/>
          <w:b/>
          <w:bCs/>
          <w:rtl/>
          <w:lang w:eastAsia="de-DE"/>
        </w:rPr>
        <w:t>יִצְהָר</w:t>
      </w:r>
      <w:r w:rsidRPr="008A3A15">
        <w:rPr>
          <w:rFonts w:eastAsia="Times New Roman"/>
          <w:lang w:eastAsia="de-DE"/>
        </w:rPr>
        <w:t xml:space="preserve">, „Öl" – die klassische Trias der Ackerfrüchte, alle mit Suffix), </w:t>
      </w:r>
      <w:r w:rsidRPr="008A3A15">
        <w:rPr>
          <w:rFonts w:eastAsia="Times New Roman"/>
          <w:b/>
          <w:bCs/>
          <w:rtl/>
          <w:lang w:eastAsia="de-DE"/>
        </w:rPr>
        <w:t>שְׁגַר־אֲלָפֶיךָ וְעַשְׁתְּרֹת צֹאנֶךָ</w:t>
      </w:r>
      <w:r w:rsidRPr="008A3A15">
        <w:rPr>
          <w:rFonts w:eastAsia="Times New Roman"/>
          <w:rtl/>
          <w:lang w:eastAsia="de-DE"/>
        </w:rPr>
        <w:t xml:space="preserve"> </w:t>
      </w:r>
      <w:r w:rsidRPr="008A3A15">
        <w:rPr>
          <w:rFonts w:eastAsia="Times New Roman"/>
          <w:lang w:eastAsia="de-DE"/>
        </w:rPr>
        <w:t>als zweigliedrige weitere Entfaltung (</w:t>
      </w:r>
      <w:r w:rsidRPr="008A3A15">
        <w:rPr>
          <w:rFonts w:eastAsia="Times New Roman"/>
          <w:b/>
          <w:bCs/>
          <w:rtl/>
          <w:lang w:eastAsia="de-DE"/>
        </w:rPr>
        <w:t>שֶׁגֶר</w:t>
      </w:r>
      <w:r w:rsidRPr="008A3A15">
        <w:rPr>
          <w:rFonts w:eastAsia="Times New Roman"/>
          <w:lang w:eastAsia="de-DE"/>
        </w:rPr>
        <w:t xml:space="preserve">, „Wurf, Nachwuchs", im Construct mit </w:t>
      </w:r>
      <w:r w:rsidRPr="008A3A15">
        <w:rPr>
          <w:rFonts w:eastAsia="Times New Roman"/>
          <w:b/>
          <w:bCs/>
          <w:rtl/>
          <w:lang w:eastAsia="de-DE"/>
        </w:rPr>
        <w:t>אֶלֶף</w:t>
      </w:r>
      <w:r w:rsidRPr="008A3A15">
        <w:rPr>
          <w:rFonts w:eastAsia="Times New Roman"/>
          <w:lang w:eastAsia="de-DE"/>
        </w:rPr>
        <w:t xml:space="preserve">, „Rind", Plural, und Suffix, </w:t>
      </w:r>
      <w:r w:rsidRPr="008A3A15">
        <w:rPr>
          <w:rFonts w:eastAsia="Times New Roman"/>
          <w:b/>
          <w:bCs/>
          <w:rtl/>
          <w:lang w:eastAsia="de-DE"/>
        </w:rPr>
        <w:t>עַשְׁתְּרוֹת</w:t>
      </w:r>
      <w:r w:rsidRPr="008A3A15">
        <w:rPr>
          <w:rFonts w:eastAsia="Times New Roman"/>
          <w:lang w:eastAsia="de-DE"/>
        </w:rPr>
        <w:t xml:space="preserve">, „Zuwachs, Nachwuchs" [von der Göttin </w:t>
      </w:r>
      <w:proofErr w:type="spellStart"/>
      <w:r w:rsidRPr="008A3A15">
        <w:rPr>
          <w:rFonts w:eastAsia="Times New Roman"/>
          <w:lang w:eastAsia="de-DE"/>
        </w:rPr>
        <w:t>Aschtarte</w:t>
      </w:r>
      <w:proofErr w:type="spellEnd"/>
      <w:r w:rsidRPr="008A3A15">
        <w:rPr>
          <w:rFonts w:eastAsia="Times New Roman"/>
          <w:lang w:eastAsia="de-DE"/>
        </w:rPr>
        <w:t xml:space="preserve"> abgeleitet], Plural Construct mit </w:t>
      </w:r>
      <w:r w:rsidRPr="008A3A15">
        <w:rPr>
          <w:rFonts w:eastAsia="Times New Roman"/>
          <w:b/>
          <w:bCs/>
          <w:rtl/>
          <w:lang w:eastAsia="de-DE"/>
        </w:rPr>
        <w:t>צֹאן</w:t>
      </w:r>
      <w:r w:rsidRPr="008A3A15">
        <w:rPr>
          <w:rFonts w:eastAsia="Times New Roman"/>
          <w:lang w:eastAsia="de-DE"/>
        </w:rPr>
        <w:t>, „Kleinvieh", und Suffix).</w:t>
      </w:r>
    </w:p>
    <w:p w14:paraId="0C31FDAF"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rtl/>
          <w:lang w:eastAsia="de-DE"/>
        </w:rPr>
        <w:t>עַל הָאֲדָמָה אֲשֶׁר־נִשְׁבַּע לַאֲבֹתֶיךָ לָתֶת לָךְ</w:t>
      </w:r>
      <w:r w:rsidRPr="008A3A15">
        <w:rPr>
          <w:rFonts w:eastAsia="Times New Roman"/>
          <w:rtl/>
          <w:lang w:eastAsia="de-DE"/>
        </w:rPr>
        <w:t xml:space="preserve"> </w:t>
      </w:r>
      <w:r w:rsidRPr="008A3A15">
        <w:rPr>
          <w:rFonts w:eastAsia="Times New Roman"/>
          <w:lang w:eastAsia="de-DE"/>
        </w:rPr>
        <w:t xml:space="preserve">ist eine Ortsangabe mit Relativsatz: </w:t>
      </w:r>
      <w:r w:rsidRPr="008A3A15">
        <w:rPr>
          <w:rFonts w:eastAsia="Times New Roman"/>
          <w:b/>
          <w:bCs/>
          <w:rtl/>
          <w:lang w:eastAsia="de-DE"/>
        </w:rPr>
        <w:t>עַל הָאֲדָמָה</w:t>
      </w:r>
      <w:r w:rsidRPr="008A3A15">
        <w:rPr>
          <w:rFonts w:eastAsia="Times New Roman"/>
          <w:rtl/>
          <w:lang w:eastAsia="de-DE"/>
        </w:rPr>
        <w:t xml:space="preserve"> </w:t>
      </w:r>
      <w:r w:rsidRPr="008A3A15">
        <w:rPr>
          <w:rFonts w:eastAsia="Times New Roman"/>
          <w:lang w:eastAsia="de-DE"/>
        </w:rPr>
        <w:t>(</w:t>
      </w:r>
      <w:r w:rsidRPr="008A3A15">
        <w:rPr>
          <w:rFonts w:eastAsia="Times New Roman"/>
          <w:b/>
          <w:bCs/>
          <w:rtl/>
          <w:lang w:eastAsia="de-DE"/>
        </w:rPr>
        <w:t>עַל</w:t>
      </w:r>
      <w:r w:rsidRPr="008A3A15">
        <w:rPr>
          <w:rFonts w:eastAsia="Times New Roman"/>
          <w:lang w:eastAsia="de-DE"/>
        </w:rPr>
        <w:t xml:space="preserve">, „auf", mit </w:t>
      </w:r>
      <w:r w:rsidRPr="008A3A15">
        <w:rPr>
          <w:rFonts w:eastAsia="Times New Roman"/>
          <w:b/>
          <w:bCs/>
          <w:rtl/>
          <w:lang w:eastAsia="de-DE"/>
        </w:rPr>
        <w:t>אֲדָמָה</w:t>
      </w:r>
      <w:r w:rsidRPr="008A3A15">
        <w:rPr>
          <w:rFonts w:eastAsia="Times New Roman"/>
          <w:rtl/>
          <w:lang w:eastAsia="de-DE"/>
        </w:rPr>
        <w:t xml:space="preserve"> </w:t>
      </w:r>
      <w:r w:rsidRPr="008A3A15">
        <w:rPr>
          <w:rFonts w:eastAsia="Times New Roman"/>
          <w:lang w:eastAsia="de-DE"/>
        </w:rPr>
        <w:t xml:space="preserve">mit Artikel), </w:t>
      </w:r>
      <w:r w:rsidRPr="008A3A15">
        <w:rPr>
          <w:rFonts w:eastAsia="Times New Roman"/>
          <w:b/>
          <w:bCs/>
          <w:rtl/>
          <w:lang w:eastAsia="de-DE"/>
        </w:rPr>
        <w:t>אֲשֶׁר־נִשְׁבַּע לַאֲבֹתֶיךָ לָתֶת לָךְ</w:t>
      </w:r>
      <w:r w:rsidRPr="008A3A15">
        <w:rPr>
          <w:rFonts w:eastAsia="Times New Roman"/>
          <w:rtl/>
          <w:lang w:eastAsia="de-DE"/>
        </w:rPr>
        <w:t xml:space="preserve"> </w:t>
      </w:r>
      <w:r w:rsidRPr="008A3A15">
        <w:rPr>
          <w:rFonts w:eastAsia="Times New Roman"/>
          <w:lang w:eastAsia="de-DE"/>
        </w:rPr>
        <w:t xml:space="preserve">(Relativsatz mit Nifal Perfekt, 3. Person Singular maskulin von </w:t>
      </w:r>
      <w:r w:rsidRPr="008A3A15">
        <w:rPr>
          <w:rFonts w:eastAsia="Times New Roman"/>
          <w:b/>
          <w:bCs/>
          <w:rtl/>
          <w:lang w:eastAsia="de-DE"/>
        </w:rPr>
        <w:t>שׁבע</w:t>
      </w:r>
      <w:r w:rsidRPr="008A3A15">
        <w:rPr>
          <w:rFonts w:eastAsia="Times New Roman"/>
          <w:lang w:eastAsia="de-DE"/>
        </w:rPr>
        <w:t xml:space="preserve">, indirektem Objekt und finalem Infinitiv – Qal Infinitiv Construct von </w:t>
      </w:r>
      <w:r w:rsidRPr="008A3A15">
        <w:rPr>
          <w:rFonts w:eastAsia="Times New Roman"/>
          <w:b/>
          <w:bCs/>
          <w:rtl/>
          <w:lang w:eastAsia="de-DE"/>
        </w:rPr>
        <w:t>נתן</w:t>
      </w:r>
      <w:r w:rsidRPr="008A3A15">
        <w:rPr>
          <w:rFonts w:eastAsia="Times New Roman"/>
          <w:rtl/>
          <w:lang w:eastAsia="de-DE"/>
        </w:rPr>
        <w:t xml:space="preserve"> </w:t>
      </w:r>
      <w:r w:rsidRPr="008A3A15">
        <w:rPr>
          <w:rFonts w:eastAsia="Times New Roman"/>
          <w:lang w:eastAsia="de-DE"/>
        </w:rPr>
        <w:t xml:space="preserve">mit </w:t>
      </w:r>
      <w:r w:rsidRPr="008A3A15">
        <w:rPr>
          <w:rFonts w:eastAsia="Times New Roman"/>
          <w:b/>
          <w:bCs/>
          <w:rtl/>
          <w:lang w:eastAsia="de-DE"/>
        </w:rPr>
        <w:t>לְ</w:t>
      </w:r>
      <w:r w:rsidRPr="008A3A15">
        <w:rPr>
          <w:rFonts w:eastAsia="Times New Roman"/>
          <w:rtl/>
          <w:lang w:eastAsia="de-DE"/>
        </w:rPr>
        <w:t xml:space="preserve"> </w:t>
      </w:r>
      <w:r w:rsidRPr="008A3A15">
        <w:rPr>
          <w:rFonts w:eastAsia="Times New Roman"/>
          <w:lang w:eastAsia="de-DE"/>
        </w:rPr>
        <w:t xml:space="preserve">und </w:t>
      </w:r>
      <w:r w:rsidRPr="008A3A15">
        <w:rPr>
          <w:rFonts w:eastAsia="Times New Roman"/>
          <w:b/>
          <w:bCs/>
          <w:rtl/>
          <w:lang w:eastAsia="de-DE"/>
        </w:rPr>
        <w:t>לָךְ</w:t>
      </w:r>
      <w:r w:rsidRPr="008A3A15">
        <w:rPr>
          <w:rFonts w:eastAsia="Times New Roman"/>
          <w:rtl/>
          <w:lang w:eastAsia="de-DE"/>
        </w:rPr>
        <w:t xml:space="preserve"> </w:t>
      </w:r>
      <w:r w:rsidRPr="008A3A15">
        <w:rPr>
          <w:rFonts w:eastAsia="Times New Roman"/>
          <w:lang w:eastAsia="de-DE"/>
        </w:rPr>
        <w:t>als indirektem Objekt).</w:t>
      </w:r>
    </w:p>
    <w:p w14:paraId="74DDEB67"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lang w:eastAsia="de-DE"/>
        </w:rPr>
        <w:t>Die Segensverheißung umfasst alle Lebensbereiche: menschliche Fruchtbarkeit (</w:t>
      </w:r>
      <w:r w:rsidRPr="008A3A15">
        <w:rPr>
          <w:rFonts w:eastAsia="Times New Roman"/>
          <w:b/>
          <w:bCs/>
          <w:rtl/>
          <w:lang w:eastAsia="de-DE"/>
        </w:rPr>
        <w:t>פְּרִי־בִטְנְךָ</w:t>
      </w:r>
      <w:r w:rsidRPr="008A3A15">
        <w:rPr>
          <w:rFonts w:eastAsia="Times New Roman"/>
          <w:lang w:eastAsia="de-DE"/>
        </w:rPr>
        <w:t>), landwirtschaftlicher Ertrag (</w:t>
      </w:r>
      <w:r w:rsidRPr="008A3A15">
        <w:rPr>
          <w:rFonts w:eastAsia="Times New Roman"/>
          <w:b/>
          <w:bCs/>
          <w:rtl/>
          <w:lang w:eastAsia="de-DE"/>
        </w:rPr>
        <w:t>פְּרִי־אַדְמָתֶךָ</w:t>
      </w:r>
      <w:r w:rsidRPr="008A3A15">
        <w:rPr>
          <w:rFonts w:eastAsia="Times New Roman"/>
          <w:lang w:eastAsia="de-DE"/>
        </w:rPr>
        <w:t xml:space="preserve">: Getreide, Wein, Öl) und Viehzucht (Rinder und Kleinvieh). Die klassische Trias </w:t>
      </w:r>
      <w:r w:rsidRPr="008A3A15">
        <w:rPr>
          <w:rFonts w:eastAsia="Times New Roman"/>
          <w:b/>
          <w:bCs/>
          <w:rtl/>
          <w:lang w:eastAsia="de-DE"/>
        </w:rPr>
        <w:t>דָּגָן</w:t>
      </w:r>
      <w:r w:rsidRPr="008A3A15">
        <w:rPr>
          <w:rFonts w:eastAsia="Times New Roman"/>
          <w:lang w:eastAsia="de-DE"/>
        </w:rPr>
        <w:t xml:space="preserve">, </w:t>
      </w:r>
      <w:r w:rsidRPr="008A3A15">
        <w:rPr>
          <w:rFonts w:eastAsia="Times New Roman"/>
          <w:b/>
          <w:bCs/>
          <w:rtl/>
          <w:lang w:eastAsia="de-DE"/>
        </w:rPr>
        <w:t>תִּירוֹשׁ</w:t>
      </w:r>
      <w:r w:rsidRPr="008A3A15">
        <w:rPr>
          <w:rFonts w:eastAsia="Times New Roman"/>
          <w:lang w:eastAsia="de-DE"/>
        </w:rPr>
        <w:t xml:space="preserve">, </w:t>
      </w:r>
      <w:r w:rsidRPr="008A3A15">
        <w:rPr>
          <w:rFonts w:eastAsia="Times New Roman"/>
          <w:b/>
          <w:bCs/>
          <w:rtl/>
          <w:lang w:eastAsia="de-DE"/>
        </w:rPr>
        <w:t>יִצְהָר</w:t>
      </w:r>
      <w:r w:rsidRPr="008A3A15">
        <w:rPr>
          <w:rFonts w:eastAsia="Times New Roman"/>
          <w:rtl/>
          <w:lang w:eastAsia="de-DE"/>
        </w:rPr>
        <w:t xml:space="preserve"> </w:t>
      </w:r>
      <w:r w:rsidRPr="008A3A15">
        <w:rPr>
          <w:rFonts w:eastAsia="Times New Roman"/>
          <w:lang w:eastAsia="de-DE"/>
        </w:rPr>
        <w:t xml:space="preserve">erscheint häufig im Deuteronomium (11,14; 12,17; 14,23; 18,4; 28,51; 33,28). Das Wort </w:t>
      </w:r>
      <w:r w:rsidRPr="008A3A15">
        <w:rPr>
          <w:rFonts w:eastAsia="Times New Roman"/>
          <w:b/>
          <w:bCs/>
          <w:rtl/>
          <w:lang w:eastAsia="de-DE"/>
        </w:rPr>
        <w:t>עַשְׁתְּרוֹת</w:t>
      </w:r>
      <w:r w:rsidRPr="008A3A15">
        <w:rPr>
          <w:rFonts w:eastAsia="Times New Roman"/>
          <w:rtl/>
          <w:lang w:eastAsia="de-DE"/>
        </w:rPr>
        <w:t xml:space="preserve"> </w:t>
      </w:r>
      <w:r w:rsidRPr="008A3A15">
        <w:rPr>
          <w:rFonts w:eastAsia="Times New Roman"/>
          <w:lang w:eastAsia="de-DE"/>
        </w:rPr>
        <w:t xml:space="preserve">(Plural) ist etymologisch mit der Göttin </w:t>
      </w:r>
      <w:r w:rsidRPr="008A3A15">
        <w:rPr>
          <w:rFonts w:eastAsia="Times New Roman"/>
          <w:b/>
          <w:bCs/>
          <w:rtl/>
          <w:lang w:eastAsia="de-DE"/>
        </w:rPr>
        <w:t>עַשְׁתֹּרֶת</w:t>
      </w:r>
      <w:r w:rsidRPr="008A3A15">
        <w:rPr>
          <w:rFonts w:eastAsia="Times New Roman"/>
          <w:rtl/>
          <w:lang w:eastAsia="de-DE"/>
        </w:rPr>
        <w:t xml:space="preserve"> </w:t>
      </w:r>
      <w:r w:rsidRPr="008A3A15">
        <w:rPr>
          <w:rFonts w:eastAsia="Times New Roman"/>
          <w:lang w:eastAsia="de-DE"/>
        </w:rPr>
        <w:t>(</w:t>
      </w:r>
      <w:proofErr w:type="spellStart"/>
      <w:r w:rsidRPr="008A3A15">
        <w:rPr>
          <w:rFonts w:eastAsia="Times New Roman"/>
          <w:lang w:eastAsia="de-DE"/>
        </w:rPr>
        <w:t>Aschtarte</w:t>
      </w:r>
      <w:proofErr w:type="spellEnd"/>
      <w:r w:rsidRPr="008A3A15">
        <w:rPr>
          <w:rFonts w:eastAsia="Times New Roman"/>
          <w:lang w:eastAsia="de-DE"/>
        </w:rPr>
        <w:t>) verbunden, hier aber entmythologisiert als Begriff für Viehnachwuchs.</w:t>
      </w:r>
    </w:p>
    <w:p w14:paraId="009CBD8A"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lang w:eastAsia="de-DE"/>
        </w:rPr>
        <w:t>Die Satzstruktur ist eine dreigliedrige koordinierte Segensankündigung (alle mit Suffix-Objekt), gefolgt von einer detaillierten Entfaltung mit zweigliedriger Grundstruktur (beide in Construct-Verbindung mit Suffix), dreigliedriger appositiver Entfaltung des zweiten Gliedes und zweigliedriger weiterer Entfaltung (beide in Construct-Verbindung mit Suffix), sowie einer Ortsangabe mit Relativsatz (mit Prädikat, indirektem Objekt und finalem Infinitiv mit indirektem Objekt). Die kumulative Struktur betont die Fülle des Segens.</w:t>
      </w:r>
    </w:p>
    <w:p w14:paraId="182018FF"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lang w:eastAsia="de-DE"/>
        </w:rPr>
        <w:t>Der Vers entfaltet den Segen: JHWH wird Israel lieben, segnen und mehren – konkret: Kindersegen, reiche Ernten (Getreide, Wein, Öl) und fruchtbare Viehherden im verheißenen Land.</w:t>
      </w:r>
    </w:p>
    <w:p w14:paraId="226BBB84" w14:textId="77777777" w:rsidR="008A3A15" w:rsidRPr="008A3A15" w:rsidRDefault="008A3A15" w:rsidP="008A3A15">
      <w:pPr>
        <w:spacing w:before="100" w:beforeAutospacing="1" w:after="100" w:afterAutospacing="1" w:line="240" w:lineRule="auto"/>
        <w:outlineLvl w:val="1"/>
        <w:rPr>
          <w:rFonts w:eastAsia="Times New Roman"/>
          <w:b/>
          <w:bCs/>
          <w:sz w:val="36"/>
          <w:szCs w:val="36"/>
          <w:lang w:eastAsia="de-DE"/>
        </w:rPr>
      </w:pPr>
      <w:r w:rsidRPr="008A3A15">
        <w:rPr>
          <w:rFonts w:eastAsia="Times New Roman"/>
          <w:b/>
          <w:bCs/>
          <w:sz w:val="36"/>
          <w:szCs w:val="36"/>
          <w:lang w:eastAsia="de-DE"/>
        </w:rPr>
        <w:t>Deuteronomium 7,14</w:t>
      </w:r>
    </w:p>
    <w:p w14:paraId="1A0583DF"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lang w:eastAsia="de-DE"/>
        </w:rPr>
        <w:lastRenderedPageBreak/>
        <w:t>Hebräisch:</w:t>
      </w:r>
      <w:r w:rsidRPr="008A3A15">
        <w:rPr>
          <w:rFonts w:eastAsia="Times New Roman"/>
          <w:lang w:eastAsia="de-DE"/>
        </w:rPr>
        <w:t xml:space="preserve"> </w:t>
      </w:r>
      <w:r w:rsidRPr="008A3A15">
        <w:rPr>
          <w:rFonts w:eastAsia="Times New Roman"/>
          <w:rtl/>
          <w:lang w:eastAsia="de-DE"/>
        </w:rPr>
        <w:t>בָּרוּךְ תִּהְיֶה מִכָּל־הָעַמִּים לֹא־יִהְיֶה בְךָ עָקָר וַעֲקָרָה וּבִבְהֶמְתֶּךָ׃</w:t>
      </w:r>
    </w:p>
    <w:p w14:paraId="60A0B3BA"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lang w:eastAsia="de-DE"/>
        </w:rPr>
        <w:t>Deutsch:</w:t>
      </w:r>
      <w:r w:rsidRPr="008A3A15">
        <w:rPr>
          <w:rFonts w:eastAsia="Times New Roman"/>
          <w:lang w:eastAsia="de-DE"/>
        </w:rPr>
        <w:t xml:space="preserve"> Gesegnet wirst du sein vor allen Völkern. Kein Unfruchtbarer und keine Unfruchtbare wird unter dir sein, auch nicht unter deinem Vieh.</w:t>
      </w:r>
    </w:p>
    <w:p w14:paraId="101BC120" w14:textId="77777777" w:rsidR="008A3A15" w:rsidRPr="008A3A15" w:rsidRDefault="004F5CEB" w:rsidP="008A3A15">
      <w:pPr>
        <w:spacing w:after="0" w:line="240" w:lineRule="auto"/>
        <w:rPr>
          <w:rFonts w:eastAsia="Times New Roman"/>
          <w:lang w:eastAsia="de-DE"/>
        </w:rPr>
      </w:pPr>
      <w:r>
        <w:rPr>
          <w:rFonts w:eastAsia="Times New Roman"/>
          <w:noProof/>
          <w:lang w:eastAsia="de-DE"/>
        </w:rPr>
        <w:pict w14:anchorId="72D5776B">
          <v:rect id="_x0000_i1257" style="width:0;height:1.5pt" o:hralign="center" o:hrstd="t" o:hr="t" fillcolor="#a0a0a0" stroked="f"/>
        </w:pict>
      </w:r>
    </w:p>
    <w:p w14:paraId="13CC9CA1"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lang w:eastAsia="de-DE"/>
        </w:rPr>
        <w:t>Kommentar:</w:t>
      </w:r>
      <w:r w:rsidRPr="008A3A15">
        <w:rPr>
          <w:rFonts w:eastAsia="Times New Roman"/>
          <w:lang w:eastAsia="de-DE"/>
        </w:rPr>
        <w:t xml:space="preserve"> </w:t>
      </w:r>
      <w:r w:rsidRPr="008A3A15">
        <w:rPr>
          <w:rFonts w:eastAsia="Times New Roman"/>
          <w:b/>
          <w:bCs/>
          <w:rtl/>
          <w:lang w:eastAsia="de-DE"/>
        </w:rPr>
        <w:t>בָּרוּךְ תִּהְיֶה מִכָּל־הָעַמִּים</w:t>
      </w:r>
      <w:r w:rsidRPr="008A3A15">
        <w:rPr>
          <w:rFonts w:eastAsia="Times New Roman"/>
          <w:rtl/>
          <w:lang w:eastAsia="de-DE"/>
        </w:rPr>
        <w:t xml:space="preserve"> </w:t>
      </w:r>
      <w:r w:rsidRPr="008A3A15">
        <w:rPr>
          <w:rFonts w:eastAsia="Times New Roman"/>
          <w:lang w:eastAsia="de-DE"/>
        </w:rPr>
        <w:t xml:space="preserve">ist ein nominaler Satz mit Kopula: </w:t>
      </w:r>
      <w:r w:rsidRPr="008A3A15">
        <w:rPr>
          <w:rFonts w:eastAsia="Times New Roman"/>
          <w:b/>
          <w:bCs/>
          <w:rtl/>
          <w:lang w:eastAsia="de-DE"/>
        </w:rPr>
        <w:t>בָּרוּךְ</w:t>
      </w:r>
      <w:r w:rsidRPr="008A3A15">
        <w:rPr>
          <w:rFonts w:eastAsia="Times New Roman"/>
          <w:rtl/>
          <w:lang w:eastAsia="de-DE"/>
        </w:rPr>
        <w:t xml:space="preserve"> </w:t>
      </w:r>
      <w:r w:rsidRPr="008A3A15">
        <w:rPr>
          <w:rFonts w:eastAsia="Times New Roman"/>
          <w:lang w:eastAsia="de-DE"/>
        </w:rPr>
        <w:t xml:space="preserve">als Prädikatsnomen (Qal Passiv Partizip Singular maskulin von </w:t>
      </w:r>
      <w:r w:rsidRPr="008A3A15">
        <w:rPr>
          <w:rFonts w:eastAsia="Times New Roman"/>
          <w:b/>
          <w:bCs/>
          <w:rtl/>
          <w:lang w:eastAsia="de-DE"/>
        </w:rPr>
        <w:t>ברך</w:t>
      </w:r>
      <w:r w:rsidRPr="008A3A15">
        <w:rPr>
          <w:rFonts w:eastAsia="Times New Roman"/>
          <w:lang w:eastAsia="de-DE"/>
        </w:rPr>
        <w:t xml:space="preserve">, „segnen" – „gesegnet"), </w:t>
      </w:r>
      <w:r w:rsidRPr="008A3A15">
        <w:rPr>
          <w:rFonts w:eastAsia="Times New Roman"/>
          <w:b/>
          <w:bCs/>
          <w:rtl/>
          <w:lang w:eastAsia="de-DE"/>
        </w:rPr>
        <w:t>תִּהְיֶה</w:t>
      </w:r>
      <w:r w:rsidRPr="008A3A15">
        <w:rPr>
          <w:rFonts w:eastAsia="Times New Roman"/>
          <w:rtl/>
          <w:lang w:eastAsia="de-DE"/>
        </w:rPr>
        <w:t xml:space="preserve"> </w:t>
      </w:r>
      <w:r w:rsidRPr="008A3A15">
        <w:rPr>
          <w:rFonts w:eastAsia="Times New Roman"/>
          <w:lang w:eastAsia="de-DE"/>
        </w:rPr>
        <w:t xml:space="preserve">als Qal Imperfekt, 2. Person Singular maskulin von </w:t>
      </w:r>
      <w:r w:rsidRPr="008A3A15">
        <w:rPr>
          <w:rFonts w:eastAsia="Times New Roman"/>
          <w:b/>
          <w:bCs/>
          <w:rtl/>
          <w:lang w:eastAsia="de-DE"/>
        </w:rPr>
        <w:t>היה</w:t>
      </w:r>
      <w:r w:rsidRPr="008A3A15">
        <w:rPr>
          <w:rFonts w:eastAsia="Times New Roman"/>
          <w:rtl/>
          <w:lang w:eastAsia="de-DE"/>
        </w:rPr>
        <w:t xml:space="preserve"> </w:t>
      </w:r>
      <w:r w:rsidRPr="008A3A15">
        <w:rPr>
          <w:rFonts w:eastAsia="Times New Roman"/>
          <w:lang w:eastAsia="de-DE"/>
        </w:rPr>
        <w:t xml:space="preserve">(„sein") – Kopula, </w:t>
      </w:r>
      <w:r w:rsidRPr="008A3A15">
        <w:rPr>
          <w:rFonts w:eastAsia="Times New Roman"/>
          <w:b/>
          <w:bCs/>
          <w:rtl/>
          <w:lang w:eastAsia="de-DE"/>
        </w:rPr>
        <w:t>מִכָּל־הָעַמִּים</w:t>
      </w:r>
      <w:r w:rsidRPr="008A3A15">
        <w:rPr>
          <w:rFonts w:eastAsia="Times New Roman"/>
          <w:rtl/>
          <w:lang w:eastAsia="de-DE"/>
        </w:rPr>
        <w:t xml:space="preserve"> </w:t>
      </w:r>
      <w:r w:rsidRPr="008A3A15">
        <w:rPr>
          <w:rFonts w:eastAsia="Times New Roman"/>
          <w:lang w:eastAsia="de-DE"/>
        </w:rPr>
        <w:t>als Vergleichskonstruktion (</w:t>
      </w:r>
      <w:r w:rsidRPr="008A3A15">
        <w:rPr>
          <w:rFonts w:eastAsia="Times New Roman"/>
          <w:b/>
          <w:bCs/>
          <w:rtl/>
          <w:lang w:eastAsia="de-DE"/>
        </w:rPr>
        <w:t>מִן</w:t>
      </w:r>
      <w:r w:rsidRPr="008A3A15">
        <w:rPr>
          <w:rFonts w:eastAsia="Times New Roman"/>
          <w:rtl/>
          <w:lang w:eastAsia="de-DE"/>
        </w:rPr>
        <w:t xml:space="preserve"> </w:t>
      </w:r>
      <w:r w:rsidRPr="008A3A15">
        <w:rPr>
          <w:rFonts w:eastAsia="Times New Roman"/>
          <w:lang w:eastAsia="de-DE"/>
        </w:rPr>
        <w:t xml:space="preserve">komparativ mit </w:t>
      </w:r>
      <w:r w:rsidRPr="008A3A15">
        <w:rPr>
          <w:rFonts w:eastAsia="Times New Roman"/>
          <w:b/>
          <w:bCs/>
          <w:rtl/>
          <w:lang w:eastAsia="de-DE"/>
        </w:rPr>
        <w:t>כָּל</w:t>
      </w:r>
      <w:r w:rsidRPr="008A3A15">
        <w:rPr>
          <w:rFonts w:eastAsia="Times New Roman"/>
          <w:rtl/>
          <w:lang w:eastAsia="de-DE"/>
        </w:rPr>
        <w:t xml:space="preserve"> </w:t>
      </w:r>
      <w:r w:rsidRPr="008A3A15">
        <w:rPr>
          <w:rFonts w:eastAsia="Times New Roman"/>
          <w:lang w:eastAsia="de-DE"/>
        </w:rPr>
        <w:t xml:space="preserve">und </w:t>
      </w:r>
      <w:r w:rsidRPr="008A3A15">
        <w:rPr>
          <w:rFonts w:eastAsia="Times New Roman"/>
          <w:b/>
          <w:bCs/>
          <w:rtl/>
          <w:lang w:eastAsia="de-DE"/>
        </w:rPr>
        <w:t>עַם</w:t>
      </w:r>
      <w:r w:rsidRPr="008A3A15">
        <w:rPr>
          <w:rFonts w:eastAsia="Times New Roman"/>
          <w:lang w:eastAsia="de-DE"/>
        </w:rPr>
        <w:t>, Plural, mit Artikel – „mehr als alle Völker" = „vor allen Völkern").</w:t>
      </w:r>
    </w:p>
    <w:p w14:paraId="2BA18237"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rtl/>
          <w:lang w:eastAsia="de-DE"/>
        </w:rPr>
        <w:t>לֹא־יִהְיֶה בְךָ עָקָר וַעֲקָרָה וּבִבְהֶמְתֶּךָ</w:t>
      </w:r>
      <w:r w:rsidRPr="008A3A15">
        <w:rPr>
          <w:rFonts w:eastAsia="Times New Roman"/>
          <w:rtl/>
          <w:lang w:eastAsia="de-DE"/>
        </w:rPr>
        <w:t xml:space="preserve"> </w:t>
      </w:r>
      <w:r w:rsidRPr="008A3A15">
        <w:rPr>
          <w:rFonts w:eastAsia="Times New Roman"/>
          <w:lang w:eastAsia="de-DE"/>
        </w:rPr>
        <w:t xml:space="preserve">ist eine konkretisierende Negation: </w:t>
      </w:r>
      <w:r w:rsidRPr="008A3A15">
        <w:rPr>
          <w:rFonts w:eastAsia="Times New Roman"/>
          <w:b/>
          <w:bCs/>
          <w:rtl/>
          <w:lang w:eastAsia="de-DE"/>
        </w:rPr>
        <w:t>לֹא־יִהְיֶה</w:t>
      </w:r>
      <w:r w:rsidRPr="008A3A15">
        <w:rPr>
          <w:rFonts w:eastAsia="Times New Roman"/>
          <w:rtl/>
          <w:lang w:eastAsia="de-DE"/>
        </w:rPr>
        <w:t xml:space="preserve"> </w:t>
      </w:r>
      <w:r w:rsidRPr="008A3A15">
        <w:rPr>
          <w:rFonts w:eastAsia="Times New Roman"/>
          <w:lang w:eastAsia="de-DE"/>
        </w:rPr>
        <w:t xml:space="preserve">(Qal Imperfekt, 3. Person Singular maskulin von </w:t>
      </w:r>
      <w:r w:rsidRPr="008A3A15">
        <w:rPr>
          <w:rFonts w:eastAsia="Times New Roman"/>
          <w:b/>
          <w:bCs/>
          <w:rtl/>
          <w:lang w:eastAsia="de-DE"/>
        </w:rPr>
        <w:t>היה</w:t>
      </w:r>
      <w:r w:rsidRPr="008A3A15">
        <w:rPr>
          <w:rFonts w:eastAsia="Times New Roman"/>
          <w:rtl/>
          <w:lang w:eastAsia="de-DE"/>
        </w:rPr>
        <w:t xml:space="preserve"> </w:t>
      </w:r>
      <w:r w:rsidRPr="008A3A15">
        <w:rPr>
          <w:rFonts w:eastAsia="Times New Roman"/>
          <w:lang w:eastAsia="de-DE"/>
        </w:rPr>
        <w:t xml:space="preserve">mit Negation – „es wird nicht sein"), </w:t>
      </w:r>
      <w:r w:rsidRPr="008A3A15">
        <w:rPr>
          <w:rFonts w:eastAsia="Times New Roman"/>
          <w:b/>
          <w:bCs/>
          <w:rtl/>
          <w:lang w:eastAsia="de-DE"/>
        </w:rPr>
        <w:t>בְךָ</w:t>
      </w:r>
      <w:r w:rsidRPr="008A3A15">
        <w:rPr>
          <w:rFonts w:eastAsia="Times New Roman"/>
          <w:rtl/>
          <w:lang w:eastAsia="de-DE"/>
        </w:rPr>
        <w:t xml:space="preserve"> </w:t>
      </w:r>
      <w:r w:rsidRPr="008A3A15">
        <w:rPr>
          <w:rFonts w:eastAsia="Times New Roman"/>
          <w:lang w:eastAsia="de-DE"/>
        </w:rPr>
        <w:t>als Ortsangabe (</w:t>
      </w:r>
      <w:r w:rsidRPr="008A3A15">
        <w:rPr>
          <w:rFonts w:eastAsia="Times New Roman"/>
          <w:b/>
          <w:bCs/>
          <w:rtl/>
          <w:lang w:eastAsia="de-DE"/>
        </w:rPr>
        <w:t>בְּ</w:t>
      </w:r>
      <w:r w:rsidRPr="008A3A15">
        <w:rPr>
          <w:rFonts w:eastAsia="Times New Roman"/>
          <w:rtl/>
          <w:lang w:eastAsia="de-DE"/>
        </w:rPr>
        <w:t xml:space="preserve"> </w:t>
      </w:r>
      <w:r w:rsidRPr="008A3A15">
        <w:rPr>
          <w:rFonts w:eastAsia="Times New Roman"/>
          <w:lang w:eastAsia="de-DE"/>
        </w:rPr>
        <w:t xml:space="preserve">mit Suffix 2. Person Singular maskulin – „in dir, unter dir"), </w:t>
      </w:r>
      <w:r w:rsidRPr="008A3A15">
        <w:rPr>
          <w:rFonts w:eastAsia="Times New Roman"/>
          <w:b/>
          <w:bCs/>
          <w:rtl/>
          <w:lang w:eastAsia="de-DE"/>
        </w:rPr>
        <w:t>עָקָר וַעֲקָרָה</w:t>
      </w:r>
      <w:r w:rsidRPr="008A3A15">
        <w:rPr>
          <w:rFonts w:eastAsia="Times New Roman"/>
          <w:rtl/>
          <w:lang w:eastAsia="de-DE"/>
        </w:rPr>
        <w:t xml:space="preserve"> </w:t>
      </w:r>
      <w:r w:rsidRPr="008A3A15">
        <w:rPr>
          <w:rFonts w:eastAsia="Times New Roman"/>
          <w:lang w:eastAsia="de-DE"/>
        </w:rPr>
        <w:t>als zweigliedrige koordinierte Subjektaufzählung (</w:t>
      </w:r>
      <w:r w:rsidRPr="008A3A15">
        <w:rPr>
          <w:rFonts w:eastAsia="Times New Roman"/>
          <w:b/>
          <w:bCs/>
          <w:rtl/>
          <w:lang w:eastAsia="de-DE"/>
        </w:rPr>
        <w:t>עָקָר</w:t>
      </w:r>
      <w:r w:rsidRPr="008A3A15">
        <w:rPr>
          <w:rFonts w:eastAsia="Times New Roman"/>
          <w:lang w:eastAsia="de-DE"/>
        </w:rPr>
        <w:t xml:space="preserve">, „unfruchtbar" [maskulin], und </w:t>
      </w:r>
      <w:r w:rsidRPr="008A3A15">
        <w:rPr>
          <w:rFonts w:eastAsia="Times New Roman"/>
          <w:b/>
          <w:bCs/>
          <w:rtl/>
          <w:lang w:eastAsia="de-DE"/>
        </w:rPr>
        <w:t>עֲקָרָה</w:t>
      </w:r>
      <w:r w:rsidRPr="008A3A15">
        <w:rPr>
          <w:rFonts w:eastAsia="Times New Roman"/>
          <w:lang w:eastAsia="de-DE"/>
        </w:rPr>
        <w:t xml:space="preserve">, „unfruchtbar" [feminin] – beide substantiviert), </w:t>
      </w:r>
      <w:r w:rsidRPr="008A3A15">
        <w:rPr>
          <w:rFonts w:eastAsia="Times New Roman"/>
          <w:b/>
          <w:bCs/>
          <w:rtl/>
          <w:lang w:eastAsia="de-DE"/>
        </w:rPr>
        <w:t>וּבִבְהֶמְתֶּךָ</w:t>
      </w:r>
      <w:r w:rsidRPr="008A3A15">
        <w:rPr>
          <w:rFonts w:eastAsia="Times New Roman"/>
          <w:rtl/>
          <w:lang w:eastAsia="de-DE"/>
        </w:rPr>
        <w:t xml:space="preserve"> </w:t>
      </w:r>
      <w:r w:rsidRPr="008A3A15">
        <w:rPr>
          <w:rFonts w:eastAsia="Times New Roman"/>
          <w:lang w:eastAsia="de-DE"/>
        </w:rPr>
        <w:t>als koordinierte Erweiterung der Ortsangabe (</w:t>
      </w:r>
      <w:r w:rsidRPr="008A3A15">
        <w:rPr>
          <w:rFonts w:eastAsia="Times New Roman"/>
          <w:b/>
          <w:bCs/>
          <w:rtl/>
          <w:lang w:eastAsia="de-DE"/>
        </w:rPr>
        <w:t>וְ</w:t>
      </w:r>
      <w:r w:rsidRPr="008A3A15">
        <w:rPr>
          <w:rFonts w:eastAsia="Times New Roman"/>
          <w:rtl/>
          <w:lang w:eastAsia="de-DE"/>
        </w:rPr>
        <w:t xml:space="preserve"> </w:t>
      </w:r>
      <w:r w:rsidRPr="008A3A15">
        <w:rPr>
          <w:rFonts w:eastAsia="Times New Roman"/>
          <w:lang w:eastAsia="de-DE"/>
        </w:rPr>
        <w:t xml:space="preserve">mit </w:t>
      </w:r>
      <w:r w:rsidRPr="008A3A15">
        <w:rPr>
          <w:rFonts w:eastAsia="Times New Roman"/>
          <w:b/>
          <w:bCs/>
          <w:rtl/>
          <w:lang w:eastAsia="de-DE"/>
        </w:rPr>
        <w:t>בְּ</w:t>
      </w:r>
      <w:r w:rsidRPr="008A3A15">
        <w:rPr>
          <w:rFonts w:eastAsia="Times New Roman"/>
          <w:lang w:eastAsia="de-DE"/>
        </w:rPr>
        <w:t xml:space="preserve">, </w:t>
      </w:r>
      <w:r w:rsidRPr="008A3A15">
        <w:rPr>
          <w:rFonts w:eastAsia="Times New Roman"/>
          <w:b/>
          <w:bCs/>
          <w:rtl/>
          <w:lang w:eastAsia="de-DE"/>
        </w:rPr>
        <w:t>בְּהֵמָה</w:t>
      </w:r>
      <w:r w:rsidRPr="008A3A15">
        <w:rPr>
          <w:rFonts w:eastAsia="Times New Roman"/>
          <w:lang w:eastAsia="de-DE"/>
        </w:rPr>
        <w:t>, „Vieh", und Suffix – „und [nicht] unter deinem Vieh").</w:t>
      </w:r>
    </w:p>
    <w:p w14:paraId="764EC05E" w14:textId="68A0FB81" w:rsidR="008A3A15" w:rsidRDefault="008A3A15" w:rsidP="008A3A15">
      <w:pPr>
        <w:spacing w:before="100" w:beforeAutospacing="1" w:after="100" w:afterAutospacing="1" w:line="240" w:lineRule="auto"/>
        <w:rPr>
          <w:rFonts w:eastAsia="Times New Roman"/>
          <w:lang w:eastAsia="de-DE"/>
        </w:rPr>
      </w:pPr>
      <w:r w:rsidRPr="008A3A15">
        <w:rPr>
          <w:rFonts w:eastAsia="Times New Roman"/>
          <w:lang w:eastAsia="de-DE"/>
        </w:rPr>
        <w:t xml:space="preserve">Die Verheißung der Fruchtbarkeit ist im alten Orient von zentraler Bedeutung. Unfruchtbarkeit galt als Fluch (vgl. Gen 11,30; 25,21; 29,31; </w:t>
      </w:r>
      <w:r w:rsidR="00664EB6">
        <w:rPr>
          <w:rFonts w:eastAsia="Times New Roman"/>
          <w:lang w:eastAsia="de-DE"/>
        </w:rPr>
        <w:t>1Sam</w:t>
      </w:r>
      <w:r w:rsidRPr="008A3A15">
        <w:rPr>
          <w:rFonts w:eastAsia="Times New Roman"/>
          <w:lang w:eastAsia="de-DE"/>
        </w:rPr>
        <w:t xml:space="preserve"> 1,5-6; Lk 1,7.25). Die Zusage umfasst sowohl Menschen als auch Vieh. Die Formulierung </w:t>
      </w:r>
      <w:r w:rsidRPr="008A3A15">
        <w:rPr>
          <w:rFonts w:eastAsia="Times New Roman"/>
          <w:b/>
          <w:bCs/>
          <w:rtl/>
          <w:lang w:eastAsia="de-DE"/>
        </w:rPr>
        <w:t>בָּרוּךְ תִּהְיֶה</w:t>
      </w:r>
      <w:r w:rsidRPr="008A3A15">
        <w:rPr>
          <w:rFonts w:eastAsia="Times New Roman"/>
          <w:rtl/>
          <w:lang w:eastAsia="de-DE"/>
        </w:rPr>
        <w:t xml:space="preserve"> </w:t>
      </w:r>
      <w:r w:rsidRPr="008A3A15">
        <w:rPr>
          <w:rFonts w:eastAsia="Times New Roman"/>
          <w:lang w:eastAsia="de-DE"/>
        </w:rPr>
        <w:t xml:space="preserve">erinnert an die Segensformeln in 28,3-6. </w:t>
      </w:r>
    </w:p>
    <w:p w14:paraId="6E0D3485" w14:textId="563625A3"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lang w:eastAsia="de-DE"/>
        </w:rPr>
        <w:t>Die LXX</w:t>
      </w:r>
      <w:r w:rsidRPr="008A3A15">
        <w:rPr>
          <w:rFonts w:eastAsia="Times New Roman"/>
          <w:lang w:eastAsia="de-DE"/>
        </w:rPr>
        <w:t xml:space="preserve"> übersetzt: </w:t>
      </w:r>
      <w:proofErr w:type="spellStart"/>
      <w:r w:rsidRPr="008A3A15">
        <w:rPr>
          <w:rFonts w:eastAsia="Times New Roman"/>
          <w:b/>
          <w:bCs/>
          <w:lang w:eastAsia="de-DE"/>
        </w:rPr>
        <w:t>εὐλογητὸς</w:t>
      </w:r>
      <w:proofErr w:type="spellEnd"/>
      <w:r w:rsidRPr="008A3A15">
        <w:rPr>
          <w:rFonts w:eastAsia="Times New Roman"/>
          <w:b/>
          <w:bCs/>
          <w:lang w:eastAsia="de-DE"/>
        </w:rPr>
        <w:t xml:space="preserve"> </w:t>
      </w:r>
      <w:proofErr w:type="spellStart"/>
      <w:r w:rsidRPr="008A3A15">
        <w:rPr>
          <w:rFonts w:eastAsia="Times New Roman"/>
          <w:b/>
          <w:bCs/>
          <w:lang w:eastAsia="de-DE"/>
        </w:rPr>
        <w:t>ἔσῃ</w:t>
      </w:r>
      <w:proofErr w:type="spellEnd"/>
      <w:r w:rsidRPr="008A3A15">
        <w:rPr>
          <w:rFonts w:eastAsia="Times New Roman"/>
          <w:b/>
          <w:bCs/>
          <w:lang w:eastAsia="de-DE"/>
        </w:rPr>
        <w:t xml:space="preserve"> πα</w:t>
      </w:r>
      <w:proofErr w:type="spellStart"/>
      <w:r w:rsidRPr="008A3A15">
        <w:rPr>
          <w:rFonts w:eastAsia="Times New Roman"/>
          <w:b/>
          <w:bCs/>
          <w:lang w:eastAsia="de-DE"/>
        </w:rPr>
        <w:t>ρὰ</w:t>
      </w:r>
      <w:proofErr w:type="spellEnd"/>
      <w:r w:rsidRPr="008A3A15">
        <w:rPr>
          <w:rFonts w:eastAsia="Times New Roman"/>
          <w:b/>
          <w:bCs/>
          <w:lang w:eastAsia="de-DE"/>
        </w:rPr>
        <w:t xml:space="preserve"> π</w:t>
      </w:r>
      <w:proofErr w:type="spellStart"/>
      <w:r w:rsidRPr="008A3A15">
        <w:rPr>
          <w:rFonts w:eastAsia="Times New Roman"/>
          <w:b/>
          <w:bCs/>
          <w:lang w:eastAsia="de-DE"/>
        </w:rPr>
        <w:t>άντ</w:t>
      </w:r>
      <w:proofErr w:type="spellEnd"/>
      <w:r w:rsidRPr="008A3A15">
        <w:rPr>
          <w:rFonts w:eastAsia="Times New Roman"/>
          <w:b/>
          <w:bCs/>
          <w:lang w:eastAsia="de-DE"/>
        </w:rPr>
        <w:t xml:space="preserve">α </w:t>
      </w:r>
      <w:proofErr w:type="spellStart"/>
      <w:r w:rsidRPr="008A3A15">
        <w:rPr>
          <w:rFonts w:eastAsia="Times New Roman"/>
          <w:b/>
          <w:bCs/>
          <w:lang w:eastAsia="de-DE"/>
        </w:rPr>
        <w:t>τὰ</w:t>
      </w:r>
      <w:proofErr w:type="spellEnd"/>
      <w:r w:rsidRPr="008A3A15">
        <w:rPr>
          <w:rFonts w:eastAsia="Times New Roman"/>
          <w:b/>
          <w:bCs/>
          <w:lang w:eastAsia="de-DE"/>
        </w:rPr>
        <w:t xml:space="preserve"> </w:t>
      </w:r>
      <w:proofErr w:type="spellStart"/>
      <w:r w:rsidRPr="008A3A15">
        <w:rPr>
          <w:rFonts w:eastAsia="Times New Roman"/>
          <w:b/>
          <w:bCs/>
          <w:lang w:eastAsia="de-DE"/>
        </w:rPr>
        <w:t>ἔθνη</w:t>
      </w:r>
      <w:proofErr w:type="spellEnd"/>
      <w:r w:rsidRPr="008A3A15">
        <w:rPr>
          <w:rFonts w:eastAsia="Times New Roman"/>
          <w:lang w:eastAsia="de-DE"/>
        </w:rPr>
        <w:t xml:space="preserve"> („gesegnet wirst du sein vor allen Völkern").</w:t>
      </w:r>
    </w:p>
    <w:p w14:paraId="0BA4C988"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lang w:eastAsia="de-DE"/>
        </w:rPr>
        <w:t>Die Satzstruktur ist ein nominaler Satz mit partizipialem Prädikatsnomen, Kopula und komparativer Angabe, gefolgt von einem negierten Existenzsatz mit Prädikat, Ortsangabe, zweigliedriger koordinierter Subjektaufzählung und koordinierter Erweiterung der Ortsangabe. Die Struktur konkretisiert den Segen als Fruchtbarkeit.</w:t>
      </w:r>
    </w:p>
    <w:p w14:paraId="4BD41995"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lang w:eastAsia="de-DE"/>
        </w:rPr>
        <w:t>Der Vers konkretisiert den Segen: Israel wird gesegneter sein als alle Völker – kein Unfruchtbarer oder Unfruchtbare wird unter den Menschen oder dem Vieh sein. Fruchtbarkeit als Zeichen göttlichen Segens.</w:t>
      </w:r>
    </w:p>
    <w:p w14:paraId="22E6454B" w14:textId="77777777" w:rsidR="008A3A15" w:rsidRPr="008A3A15" w:rsidRDefault="008A3A15" w:rsidP="008A3A15">
      <w:pPr>
        <w:spacing w:before="100" w:beforeAutospacing="1" w:after="100" w:afterAutospacing="1" w:line="240" w:lineRule="auto"/>
        <w:outlineLvl w:val="1"/>
        <w:rPr>
          <w:rFonts w:eastAsia="Times New Roman"/>
          <w:b/>
          <w:bCs/>
          <w:sz w:val="36"/>
          <w:szCs w:val="36"/>
          <w:lang w:eastAsia="de-DE"/>
        </w:rPr>
      </w:pPr>
      <w:r w:rsidRPr="008A3A15">
        <w:rPr>
          <w:rFonts w:eastAsia="Times New Roman"/>
          <w:b/>
          <w:bCs/>
          <w:sz w:val="36"/>
          <w:szCs w:val="36"/>
          <w:lang w:eastAsia="de-DE"/>
        </w:rPr>
        <w:t>Deuteronomium 7,15</w:t>
      </w:r>
    </w:p>
    <w:p w14:paraId="76FD11C1"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lang w:eastAsia="de-DE"/>
        </w:rPr>
        <w:t>Hebräisch:</w:t>
      </w:r>
      <w:r w:rsidRPr="008A3A15">
        <w:rPr>
          <w:rFonts w:eastAsia="Times New Roman"/>
          <w:lang w:eastAsia="de-DE"/>
        </w:rPr>
        <w:t xml:space="preserve"> </w:t>
      </w:r>
      <w:r w:rsidRPr="008A3A15">
        <w:rPr>
          <w:rFonts w:eastAsia="Times New Roman"/>
          <w:rtl/>
          <w:lang w:eastAsia="de-DE"/>
        </w:rPr>
        <w:t>וְהֵסִיר יְהוָה מִמְּךָ כָּל־חֹלִי וְכָל־מַדְוֵי מִצְרַיִם הָרָעִים אֲשֶׁר יָדַעְתָּ לֹא יְשִׂימָם בָּךְ וּנְתָנָם בְּכָל־שֹׂנְאֶיךָ׃</w:t>
      </w:r>
    </w:p>
    <w:p w14:paraId="659F0C33"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lang w:eastAsia="de-DE"/>
        </w:rPr>
        <w:t>Deutsch:</w:t>
      </w:r>
      <w:r w:rsidRPr="008A3A15">
        <w:rPr>
          <w:rFonts w:eastAsia="Times New Roman"/>
          <w:lang w:eastAsia="de-DE"/>
        </w:rPr>
        <w:t xml:space="preserve"> Und der Ewige wird jede Krankheit von dir abwenden; und keine der bösen Seuchen Mizrajims, die du kennst, wird er auf dich legen, sondern er wird sie auf alle deine Hasser bringen.</w:t>
      </w:r>
    </w:p>
    <w:p w14:paraId="21A400BB" w14:textId="77777777" w:rsidR="008A3A15" w:rsidRPr="008A3A15" w:rsidRDefault="004F5CEB" w:rsidP="008A3A15">
      <w:pPr>
        <w:spacing w:after="0" w:line="240" w:lineRule="auto"/>
        <w:rPr>
          <w:rFonts w:eastAsia="Times New Roman"/>
          <w:lang w:eastAsia="de-DE"/>
        </w:rPr>
      </w:pPr>
      <w:r>
        <w:rPr>
          <w:rFonts w:eastAsia="Times New Roman"/>
          <w:noProof/>
          <w:lang w:eastAsia="de-DE"/>
        </w:rPr>
        <w:pict w14:anchorId="02532EF3">
          <v:rect id="_x0000_i1258" style="width:0;height:1.5pt" o:hralign="center" o:hrstd="t" o:hr="t" fillcolor="#a0a0a0" stroked="f"/>
        </w:pict>
      </w:r>
    </w:p>
    <w:p w14:paraId="2BBCD79B"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lang w:eastAsia="de-DE"/>
        </w:rPr>
        <w:lastRenderedPageBreak/>
        <w:t>Kommentar:</w:t>
      </w:r>
      <w:r w:rsidRPr="008A3A15">
        <w:rPr>
          <w:rFonts w:eastAsia="Times New Roman"/>
          <w:lang w:eastAsia="de-DE"/>
        </w:rPr>
        <w:t xml:space="preserve"> </w:t>
      </w:r>
      <w:r w:rsidRPr="008A3A15">
        <w:rPr>
          <w:rFonts w:eastAsia="Times New Roman"/>
          <w:b/>
          <w:bCs/>
          <w:rtl/>
          <w:lang w:eastAsia="de-DE"/>
        </w:rPr>
        <w:t>וְהֵסִיר יְהוָה מִמְּךָ כָּל־חֹלִי</w:t>
      </w:r>
      <w:r w:rsidRPr="008A3A15">
        <w:rPr>
          <w:rFonts w:eastAsia="Times New Roman"/>
          <w:rtl/>
          <w:lang w:eastAsia="de-DE"/>
        </w:rPr>
        <w:t xml:space="preserve"> </w:t>
      </w:r>
      <w:r w:rsidRPr="008A3A15">
        <w:rPr>
          <w:rFonts w:eastAsia="Times New Roman"/>
          <w:lang w:eastAsia="de-DE"/>
        </w:rPr>
        <w:t xml:space="preserve">ist Hifil Perfekt consecutivum, 3. Person Singular maskulin von </w:t>
      </w:r>
      <w:r w:rsidRPr="008A3A15">
        <w:rPr>
          <w:rFonts w:eastAsia="Times New Roman"/>
          <w:b/>
          <w:bCs/>
          <w:rtl/>
          <w:lang w:eastAsia="de-DE"/>
        </w:rPr>
        <w:t>סור</w:t>
      </w:r>
      <w:r w:rsidRPr="008A3A15">
        <w:rPr>
          <w:rFonts w:eastAsia="Times New Roman"/>
          <w:rtl/>
          <w:lang w:eastAsia="de-DE"/>
        </w:rPr>
        <w:t xml:space="preserve"> </w:t>
      </w:r>
      <w:r w:rsidRPr="008A3A15">
        <w:rPr>
          <w:rFonts w:eastAsia="Times New Roman"/>
          <w:lang w:eastAsia="de-DE"/>
        </w:rPr>
        <w:t xml:space="preserve">(„abwenden, entfernen") mit </w:t>
      </w:r>
      <w:r w:rsidRPr="008A3A15">
        <w:rPr>
          <w:rFonts w:eastAsia="Times New Roman"/>
          <w:b/>
          <w:bCs/>
          <w:rtl/>
          <w:lang w:eastAsia="de-DE"/>
        </w:rPr>
        <w:t>וְ</w:t>
      </w:r>
      <w:r w:rsidRPr="008A3A15">
        <w:rPr>
          <w:rFonts w:eastAsia="Times New Roman"/>
          <w:lang w:eastAsia="de-DE"/>
        </w:rPr>
        <w:t xml:space="preserve">, </w:t>
      </w:r>
      <w:r w:rsidRPr="008A3A15">
        <w:rPr>
          <w:rFonts w:eastAsia="Times New Roman"/>
          <w:b/>
          <w:bCs/>
          <w:rtl/>
          <w:lang w:eastAsia="de-DE"/>
        </w:rPr>
        <w:t>יְהוָה</w:t>
      </w:r>
      <w:r w:rsidRPr="008A3A15">
        <w:rPr>
          <w:rFonts w:eastAsia="Times New Roman"/>
          <w:rtl/>
          <w:lang w:eastAsia="de-DE"/>
        </w:rPr>
        <w:t xml:space="preserve"> </w:t>
      </w:r>
      <w:r w:rsidRPr="008A3A15">
        <w:rPr>
          <w:rFonts w:eastAsia="Times New Roman"/>
          <w:lang w:eastAsia="de-DE"/>
        </w:rPr>
        <w:t xml:space="preserve">als Subjekt, </w:t>
      </w:r>
      <w:r w:rsidRPr="008A3A15">
        <w:rPr>
          <w:rFonts w:eastAsia="Times New Roman"/>
          <w:b/>
          <w:bCs/>
          <w:rtl/>
          <w:lang w:eastAsia="de-DE"/>
        </w:rPr>
        <w:t>מִמְּךָ</w:t>
      </w:r>
      <w:r w:rsidRPr="008A3A15">
        <w:rPr>
          <w:rFonts w:eastAsia="Times New Roman"/>
          <w:rtl/>
          <w:lang w:eastAsia="de-DE"/>
        </w:rPr>
        <w:t xml:space="preserve"> </w:t>
      </w:r>
      <w:r w:rsidRPr="008A3A15">
        <w:rPr>
          <w:rFonts w:eastAsia="Times New Roman"/>
          <w:lang w:eastAsia="de-DE"/>
        </w:rPr>
        <w:t>als Herkunftsangabe (</w:t>
      </w:r>
      <w:r w:rsidRPr="008A3A15">
        <w:rPr>
          <w:rFonts w:eastAsia="Times New Roman"/>
          <w:b/>
          <w:bCs/>
          <w:rtl/>
          <w:lang w:eastAsia="de-DE"/>
        </w:rPr>
        <w:t>מִן</w:t>
      </w:r>
      <w:r w:rsidRPr="008A3A15">
        <w:rPr>
          <w:rFonts w:eastAsia="Times New Roman"/>
          <w:rtl/>
          <w:lang w:eastAsia="de-DE"/>
        </w:rPr>
        <w:t xml:space="preserve"> </w:t>
      </w:r>
      <w:r w:rsidRPr="008A3A15">
        <w:rPr>
          <w:rFonts w:eastAsia="Times New Roman"/>
          <w:lang w:eastAsia="de-DE"/>
        </w:rPr>
        <w:t xml:space="preserve">mit Suffix 2. Person Singular maskulin – „von dir"), </w:t>
      </w:r>
      <w:r w:rsidRPr="008A3A15">
        <w:rPr>
          <w:rFonts w:eastAsia="Times New Roman"/>
          <w:b/>
          <w:bCs/>
          <w:rtl/>
          <w:lang w:eastAsia="de-DE"/>
        </w:rPr>
        <w:t>כָּל־חֹלִי</w:t>
      </w:r>
      <w:r w:rsidRPr="008A3A15">
        <w:rPr>
          <w:rFonts w:eastAsia="Times New Roman"/>
          <w:rtl/>
          <w:lang w:eastAsia="de-DE"/>
        </w:rPr>
        <w:t xml:space="preserve"> </w:t>
      </w:r>
      <w:r w:rsidRPr="008A3A15">
        <w:rPr>
          <w:rFonts w:eastAsia="Times New Roman"/>
          <w:lang w:eastAsia="de-DE"/>
        </w:rPr>
        <w:t>als direktes Objekt (</w:t>
      </w:r>
      <w:r w:rsidRPr="008A3A15">
        <w:rPr>
          <w:rFonts w:eastAsia="Times New Roman"/>
          <w:b/>
          <w:bCs/>
          <w:rtl/>
          <w:lang w:eastAsia="de-DE"/>
        </w:rPr>
        <w:t>כָּל</w:t>
      </w:r>
      <w:r w:rsidRPr="008A3A15">
        <w:rPr>
          <w:rFonts w:eastAsia="Times New Roman"/>
          <w:rtl/>
          <w:lang w:eastAsia="de-DE"/>
        </w:rPr>
        <w:t xml:space="preserve"> </w:t>
      </w:r>
      <w:r w:rsidRPr="008A3A15">
        <w:rPr>
          <w:rFonts w:eastAsia="Times New Roman"/>
          <w:lang w:eastAsia="de-DE"/>
        </w:rPr>
        <w:t xml:space="preserve">im Construct mit </w:t>
      </w:r>
      <w:r w:rsidRPr="008A3A15">
        <w:rPr>
          <w:rFonts w:eastAsia="Times New Roman"/>
          <w:b/>
          <w:bCs/>
          <w:rtl/>
          <w:lang w:eastAsia="de-DE"/>
        </w:rPr>
        <w:t>חֳלִי</w:t>
      </w:r>
      <w:r w:rsidRPr="008A3A15">
        <w:rPr>
          <w:rFonts w:eastAsia="Times New Roman"/>
          <w:lang w:eastAsia="de-DE"/>
        </w:rPr>
        <w:t>, „Krankheit" – „jede Krankheit").</w:t>
      </w:r>
    </w:p>
    <w:p w14:paraId="06A82EB4"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rtl/>
          <w:lang w:eastAsia="de-DE"/>
        </w:rPr>
        <w:t>וְכָל־מַדְוֵי מִצְרַיִם הָרָעִים אֲשֶׁר יָדַעְתָּ לֹא יְשִׂימָם בָּךְ</w:t>
      </w:r>
      <w:r w:rsidRPr="008A3A15">
        <w:rPr>
          <w:rFonts w:eastAsia="Times New Roman"/>
          <w:rtl/>
          <w:lang w:eastAsia="de-DE"/>
        </w:rPr>
        <w:t xml:space="preserve"> </w:t>
      </w:r>
      <w:r w:rsidRPr="008A3A15">
        <w:rPr>
          <w:rFonts w:eastAsia="Times New Roman"/>
          <w:lang w:eastAsia="de-DE"/>
        </w:rPr>
        <w:t xml:space="preserve">ist eine erweiterte Negation: </w:t>
      </w:r>
      <w:r w:rsidRPr="008A3A15">
        <w:rPr>
          <w:rFonts w:eastAsia="Times New Roman"/>
          <w:b/>
          <w:bCs/>
          <w:rtl/>
          <w:lang w:eastAsia="de-DE"/>
        </w:rPr>
        <w:t>וְכָל־מַדְוֵי מִצְרַיִם הָרָעִים</w:t>
      </w:r>
      <w:r w:rsidRPr="008A3A15">
        <w:rPr>
          <w:rFonts w:eastAsia="Times New Roman"/>
          <w:rtl/>
          <w:lang w:eastAsia="de-DE"/>
        </w:rPr>
        <w:t xml:space="preserve"> </w:t>
      </w:r>
      <w:r w:rsidRPr="008A3A15">
        <w:rPr>
          <w:rFonts w:eastAsia="Times New Roman"/>
          <w:lang w:eastAsia="de-DE"/>
        </w:rPr>
        <w:t>als vorausgestelltes direktes Objekt zur Emphase (</w:t>
      </w:r>
      <w:r w:rsidRPr="008A3A15">
        <w:rPr>
          <w:rFonts w:eastAsia="Times New Roman"/>
          <w:b/>
          <w:bCs/>
          <w:rtl/>
          <w:lang w:eastAsia="de-DE"/>
        </w:rPr>
        <w:t>וְ</w:t>
      </w:r>
      <w:r w:rsidRPr="008A3A15">
        <w:rPr>
          <w:rFonts w:eastAsia="Times New Roman"/>
          <w:rtl/>
          <w:lang w:eastAsia="de-DE"/>
        </w:rPr>
        <w:t xml:space="preserve"> </w:t>
      </w:r>
      <w:r w:rsidRPr="008A3A15">
        <w:rPr>
          <w:rFonts w:eastAsia="Times New Roman"/>
          <w:lang w:eastAsia="de-DE"/>
        </w:rPr>
        <w:t xml:space="preserve">mit </w:t>
      </w:r>
      <w:r w:rsidRPr="008A3A15">
        <w:rPr>
          <w:rFonts w:eastAsia="Times New Roman"/>
          <w:b/>
          <w:bCs/>
          <w:rtl/>
          <w:lang w:eastAsia="de-DE"/>
        </w:rPr>
        <w:t>כָּל</w:t>
      </w:r>
      <w:r w:rsidRPr="008A3A15">
        <w:rPr>
          <w:rFonts w:eastAsia="Times New Roman"/>
          <w:rtl/>
          <w:lang w:eastAsia="de-DE"/>
        </w:rPr>
        <w:t xml:space="preserve"> </w:t>
      </w:r>
      <w:r w:rsidRPr="008A3A15">
        <w:rPr>
          <w:rFonts w:eastAsia="Times New Roman"/>
          <w:lang w:eastAsia="de-DE"/>
        </w:rPr>
        <w:t xml:space="preserve">im Construct, </w:t>
      </w:r>
      <w:r w:rsidRPr="008A3A15">
        <w:rPr>
          <w:rFonts w:eastAsia="Times New Roman"/>
          <w:b/>
          <w:bCs/>
          <w:rtl/>
          <w:lang w:eastAsia="de-DE"/>
        </w:rPr>
        <w:t>מַדְוֶה</w:t>
      </w:r>
      <w:r w:rsidRPr="008A3A15">
        <w:rPr>
          <w:rFonts w:eastAsia="Times New Roman"/>
          <w:lang w:eastAsia="de-DE"/>
        </w:rPr>
        <w:t xml:space="preserve">, „Seuche, Krankheit", Plural Construct, </w:t>
      </w:r>
      <w:r w:rsidRPr="008A3A15">
        <w:rPr>
          <w:rFonts w:eastAsia="Times New Roman"/>
          <w:b/>
          <w:bCs/>
          <w:rtl/>
          <w:lang w:eastAsia="de-DE"/>
        </w:rPr>
        <w:t>מִצְרַיִם</w:t>
      </w:r>
      <w:r w:rsidRPr="008A3A15">
        <w:rPr>
          <w:rFonts w:eastAsia="Times New Roman"/>
          <w:rtl/>
          <w:lang w:eastAsia="de-DE"/>
        </w:rPr>
        <w:t xml:space="preserve"> </w:t>
      </w:r>
      <w:r w:rsidRPr="008A3A15">
        <w:rPr>
          <w:rFonts w:eastAsia="Times New Roman"/>
          <w:lang w:eastAsia="de-DE"/>
        </w:rPr>
        <w:t xml:space="preserve">als Genitivattribut, </w:t>
      </w:r>
      <w:r w:rsidRPr="008A3A15">
        <w:rPr>
          <w:rFonts w:eastAsia="Times New Roman"/>
          <w:b/>
          <w:bCs/>
          <w:rtl/>
          <w:lang w:eastAsia="de-DE"/>
        </w:rPr>
        <w:t>הָרָעִים</w:t>
      </w:r>
      <w:r w:rsidRPr="008A3A15">
        <w:rPr>
          <w:rFonts w:eastAsia="Times New Roman"/>
          <w:rtl/>
          <w:lang w:eastAsia="de-DE"/>
        </w:rPr>
        <w:t xml:space="preserve"> </w:t>
      </w:r>
      <w:r w:rsidRPr="008A3A15">
        <w:rPr>
          <w:rFonts w:eastAsia="Times New Roman"/>
          <w:lang w:eastAsia="de-DE"/>
        </w:rPr>
        <w:t xml:space="preserve">als Adjektiv – </w:t>
      </w:r>
      <w:r w:rsidRPr="008A3A15">
        <w:rPr>
          <w:rFonts w:eastAsia="Times New Roman"/>
          <w:b/>
          <w:bCs/>
          <w:rtl/>
          <w:lang w:eastAsia="de-DE"/>
        </w:rPr>
        <w:t>רַע</w:t>
      </w:r>
      <w:r w:rsidRPr="008A3A15">
        <w:rPr>
          <w:rFonts w:eastAsia="Times New Roman"/>
          <w:lang w:eastAsia="de-DE"/>
        </w:rPr>
        <w:t xml:space="preserve">, „böse, schlimm", Plural maskulin mit Artikel), </w:t>
      </w:r>
      <w:r w:rsidRPr="008A3A15">
        <w:rPr>
          <w:rFonts w:eastAsia="Times New Roman"/>
          <w:b/>
          <w:bCs/>
          <w:rtl/>
          <w:lang w:eastAsia="de-DE"/>
        </w:rPr>
        <w:t>אֲשֶׁר יָדַעְתָּ</w:t>
      </w:r>
      <w:r w:rsidRPr="008A3A15">
        <w:rPr>
          <w:rFonts w:eastAsia="Times New Roman"/>
          <w:rtl/>
          <w:lang w:eastAsia="de-DE"/>
        </w:rPr>
        <w:t xml:space="preserve"> </w:t>
      </w:r>
      <w:r w:rsidRPr="008A3A15">
        <w:rPr>
          <w:rFonts w:eastAsia="Times New Roman"/>
          <w:lang w:eastAsia="de-DE"/>
        </w:rPr>
        <w:t xml:space="preserve">als Relativsatz (Qal Perfekt, 2. Person Singular maskulin von </w:t>
      </w:r>
      <w:r w:rsidRPr="008A3A15">
        <w:rPr>
          <w:rFonts w:eastAsia="Times New Roman"/>
          <w:b/>
          <w:bCs/>
          <w:rtl/>
          <w:lang w:eastAsia="de-DE"/>
        </w:rPr>
        <w:t>ידע</w:t>
      </w:r>
      <w:r w:rsidRPr="008A3A15">
        <w:rPr>
          <w:rFonts w:eastAsia="Times New Roman"/>
          <w:lang w:eastAsia="de-DE"/>
        </w:rPr>
        <w:t xml:space="preserve">, „kennen"), </w:t>
      </w:r>
      <w:r w:rsidRPr="008A3A15">
        <w:rPr>
          <w:rFonts w:eastAsia="Times New Roman"/>
          <w:b/>
          <w:bCs/>
          <w:rtl/>
          <w:lang w:eastAsia="de-DE"/>
        </w:rPr>
        <w:t>לֹא יְשִׂימָם בָּךְ</w:t>
      </w:r>
      <w:r w:rsidRPr="008A3A15">
        <w:rPr>
          <w:rFonts w:eastAsia="Times New Roman"/>
          <w:rtl/>
          <w:lang w:eastAsia="de-DE"/>
        </w:rPr>
        <w:t xml:space="preserve"> </w:t>
      </w:r>
      <w:r w:rsidRPr="008A3A15">
        <w:rPr>
          <w:rFonts w:eastAsia="Times New Roman"/>
          <w:lang w:eastAsia="de-DE"/>
        </w:rPr>
        <w:t xml:space="preserve">als negiertes Prädikat (Qal Imperfekt, 3. Person Singular maskulin von </w:t>
      </w:r>
      <w:r w:rsidRPr="008A3A15">
        <w:rPr>
          <w:rFonts w:eastAsia="Times New Roman"/>
          <w:b/>
          <w:bCs/>
          <w:rtl/>
          <w:lang w:eastAsia="de-DE"/>
        </w:rPr>
        <w:t>שׂים</w:t>
      </w:r>
      <w:r w:rsidRPr="008A3A15">
        <w:rPr>
          <w:rFonts w:eastAsia="Times New Roman"/>
          <w:lang w:eastAsia="de-DE"/>
        </w:rPr>
        <w:t xml:space="preserve">, „setzen, legen", mit Negation und Suffix 3. Person Plural maskulin als direktes Objekt, </w:t>
      </w:r>
      <w:r w:rsidRPr="008A3A15">
        <w:rPr>
          <w:rFonts w:eastAsia="Times New Roman"/>
          <w:b/>
          <w:bCs/>
          <w:rtl/>
          <w:lang w:eastAsia="de-DE"/>
        </w:rPr>
        <w:t>בָּךְ</w:t>
      </w:r>
      <w:r w:rsidRPr="008A3A15">
        <w:rPr>
          <w:rFonts w:eastAsia="Times New Roman"/>
          <w:rtl/>
          <w:lang w:eastAsia="de-DE"/>
        </w:rPr>
        <w:t xml:space="preserve"> </w:t>
      </w:r>
      <w:r w:rsidRPr="008A3A15">
        <w:rPr>
          <w:rFonts w:eastAsia="Times New Roman"/>
          <w:lang w:eastAsia="de-DE"/>
        </w:rPr>
        <w:t>als Ortsangabe – „auf dich").</w:t>
      </w:r>
    </w:p>
    <w:p w14:paraId="7D145740"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rtl/>
          <w:lang w:eastAsia="de-DE"/>
        </w:rPr>
        <w:t>וּנְתָנָם בְּכָל־שֹׂנְאֶיךָ</w:t>
      </w:r>
      <w:r w:rsidRPr="008A3A15">
        <w:rPr>
          <w:rFonts w:eastAsia="Times New Roman"/>
          <w:rtl/>
          <w:lang w:eastAsia="de-DE"/>
        </w:rPr>
        <w:t xml:space="preserve"> </w:t>
      </w:r>
      <w:r w:rsidRPr="008A3A15">
        <w:rPr>
          <w:rFonts w:eastAsia="Times New Roman"/>
          <w:lang w:eastAsia="de-DE"/>
        </w:rPr>
        <w:t xml:space="preserve">ist koordiniert: </w:t>
      </w:r>
      <w:r w:rsidRPr="008A3A15">
        <w:rPr>
          <w:rFonts w:eastAsia="Times New Roman"/>
          <w:b/>
          <w:bCs/>
          <w:rtl/>
          <w:lang w:eastAsia="de-DE"/>
        </w:rPr>
        <w:t>וּנְתָנָם</w:t>
      </w:r>
      <w:r w:rsidRPr="008A3A15">
        <w:rPr>
          <w:rFonts w:eastAsia="Times New Roman"/>
          <w:rtl/>
          <w:lang w:eastAsia="de-DE"/>
        </w:rPr>
        <w:t xml:space="preserve"> </w:t>
      </w:r>
      <w:r w:rsidRPr="008A3A15">
        <w:rPr>
          <w:rFonts w:eastAsia="Times New Roman"/>
          <w:lang w:eastAsia="de-DE"/>
        </w:rPr>
        <w:t xml:space="preserve">(Qal Perfekt consecutivum, 3. Person Singular maskulin von </w:t>
      </w:r>
      <w:r w:rsidRPr="008A3A15">
        <w:rPr>
          <w:rFonts w:eastAsia="Times New Roman"/>
          <w:b/>
          <w:bCs/>
          <w:rtl/>
          <w:lang w:eastAsia="de-DE"/>
        </w:rPr>
        <w:t>נתן</w:t>
      </w:r>
      <w:r w:rsidRPr="008A3A15">
        <w:rPr>
          <w:rFonts w:eastAsia="Times New Roman"/>
          <w:lang w:eastAsia="de-DE"/>
        </w:rPr>
        <w:t xml:space="preserve">, „geben, bringen", mit </w:t>
      </w:r>
      <w:r w:rsidRPr="008A3A15">
        <w:rPr>
          <w:rFonts w:eastAsia="Times New Roman"/>
          <w:b/>
          <w:bCs/>
          <w:rtl/>
          <w:lang w:eastAsia="de-DE"/>
        </w:rPr>
        <w:t>וְ</w:t>
      </w:r>
      <w:r w:rsidRPr="008A3A15">
        <w:rPr>
          <w:rFonts w:eastAsia="Times New Roman"/>
          <w:rtl/>
          <w:lang w:eastAsia="de-DE"/>
        </w:rPr>
        <w:t xml:space="preserve"> </w:t>
      </w:r>
      <w:r w:rsidRPr="008A3A15">
        <w:rPr>
          <w:rFonts w:eastAsia="Times New Roman"/>
          <w:lang w:eastAsia="de-DE"/>
        </w:rPr>
        <w:t xml:space="preserve">und Suffix 3. Person Plural maskulin), </w:t>
      </w:r>
      <w:r w:rsidRPr="008A3A15">
        <w:rPr>
          <w:rFonts w:eastAsia="Times New Roman"/>
          <w:b/>
          <w:bCs/>
          <w:rtl/>
          <w:lang w:eastAsia="de-DE"/>
        </w:rPr>
        <w:t>בְּכָל־שֹׂנְאֶיךָ</w:t>
      </w:r>
      <w:r w:rsidRPr="008A3A15">
        <w:rPr>
          <w:rFonts w:eastAsia="Times New Roman"/>
          <w:rtl/>
          <w:lang w:eastAsia="de-DE"/>
        </w:rPr>
        <w:t xml:space="preserve"> </w:t>
      </w:r>
      <w:r w:rsidRPr="008A3A15">
        <w:rPr>
          <w:rFonts w:eastAsia="Times New Roman"/>
          <w:lang w:eastAsia="de-DE"/>
        </w:rPr>
        <w:t>als Richtungsangabe (</w:t>
      </w:r>
      <w:r w:rsidRPr="008A3A15">
        <w:rPr>
          <w:rFonts w:eastAsia="Times New Roman"/>
          <w:b/>
          <w:bCs/>
          <w:rtl/>
          <w:lang w:eastAsia="de-DE"/>
        </w:rPr>
        <w:t>בְּ</w:t>
      </w:r>
      <w:r w:rsidRPr="008A3A15">
        <w:rPr>
          <w:rFonts w:eastAsia="Times New Roman"/>
          <w:rtl/>
          <w:lang w:eastAsia="de-DE"/>
        </w:rPr>
        <w:t xml:space="preserve"> </w:t>
      </w:r>
      <w:r w:rsidRPr="008A3A15">
        <w:rPr>
          <w:rFonts w:eastAsia="Times New Roman"/>
          <w:lang w:eastAsia="de-DE"/>
        </w:rPr>
        <w:t xml:space="preserve">mit </w:t>
      </w:r>
      <w:r w:rsidRPr="008A3A15">
        <w:rPr>
          <w:rFonts w:eastAsia="Times New Roman"/>
          <w:b/>
          <w:bCs/>
          <w:rtl/>
          <w:lang w:eastAsia="de-DE"/>
        </w:rPr>
        <w:t>כָּל</w:t>
      </w:r>
      <w:r w:rsidRPr="008A3A15">
        <w:rPr>
          <w:rFonts w:eastAsia="Times New Roman"/>
          <w:rtl/>
          <w:lang w:eastAsia="de-DE"/>
        </w:rPr>
        <w:t xml:space="preserve"> </w:t>
      </w:r>
      <w:r w:rsidRPr="008A3A15">
        <w:rPr>
          <w:rFonts w:eastAsia="Times New Roman"/>
          <w:lang w:eastAsia="de-DE"/>
        </w:rPr>
        <w:t xml:space="preserve">im Construct, Qal Partizip Plural maskulin von </w:t>
      </w:r>
      <w:r w:rsidRPr="008A3A15">
        <w:rPr>
          <w:rFonts w:eastAsia="Times New Roman"/>
          <w:b/>
          <w:bCs/>
          <w:rtl/>
          <w:lang w:eastAsia="de-DE"/>
        </w:rPr>
        <w:t>שׂנא</w:t>
      </w:r>
      <w:r w:rsidRPr="008A3A15">
        <w:rPr>
          <w:rFonts w:eastAsia="Times New Roman"/>
          <w:lang w:eastAsia="de-DE"/>
        </w:rPr>
        <w:t>, „hassen", und Suffix 2. Person Singular maskulin – „auf alle, die dich hassen").</w:t>
      </w:r>
    </w:p>
    <w:p w14:paraId="1064245E"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lang w:eastAsia="de-DE"/>
        </w:rPr>
        <w:t xml:space="preserve">Die Verheißung, vor Krankheiten bewahrt zu werden, kontrastiert mit den Plagen Ägyptens (vgl. Ex 7-12; 15,26). Die Wendung </w:t>
      </w:r>
      <w:r w:rsidRPr="008A3A15">
        <w:rPr>
          <w:rFonts w:eastAsia="Times New Roman"/>
          <w:b/>
          <w:bCs/>
          <w:rtl/>
          <w:lang w:eastAsia="de-DE"/>
        </w:rPr>
        <w:t>מַדְוֵי מִצְרַיִם</w:t>
      </w:r>
      <w:r w:rsidRPr="008A3A15">
        <w:rPr>
          <w:rFonts w:eastAsia="Times New Roman"/>
          <w:rtl/>
          <w:lang w:eastAsia="de-DE"/>
        </w:rPr>
        <w:t xml:space="preserve"> </w:t>
      </w:r>
      <w:r w:rsidRPr="008A3A15">
        <w:rPr>
          <w:rFonts w:eastAsia="Times New Roman"/>
          <w:lang w:eastAsia="de-DE"/>
        </w:rPr>
        <w:t>(„Seuchen Ägyptens") erinnert an die Plagen, besonders Hautgeschwüre (Ex 9,9-11) und andere Krankheiten. Die Umkehrung – die Krankheiten treffen Israels Feinde – ist charakteristisch für die deuteronomische Bundestheologie: Segen für Gehorsam, Fluch für Feinde (vgl. 28,27.60).</w:t>
      </w:r>
    </w:p>
    <w:p w14:paraId="6CD3F633"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lang w:eastAsia="de-DE"/>
        </w:rPr>
        <w:t>Die Satzstruktur ist ein Perfekt consecutivum mit Subjekt, Herkunftsangabe und direktem Objekt, gefolgt von einem Satz mit emphatisch vorausgestelltem direktem Objekt (in mehrfacher Construct-Verbindung mit Adjektiv), Relativsatz, negiertem Prädikat mit Suffix-Objekt und Ortsangabe, sowie einem koordinierten Verb mit Suffix-Objekt und Richtungsangabe. Die Struktur kontrastiert Schutz für Israel mit Strafe für Feinde.</w:t>
      </w:r>
    </w:p>
    <w:p w14:paraId="1A98EA61"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lang w:eastAsia="de-DE"/>
        </w:rPr>
        <w:t>Der Vers verheißt Gesundheit: JHWH wird alle Krankheiten von Israel abwenden und die gefürchteten ägyptischen Seuchen nicht auf Israel legen, sondern auf Israels Hasser bringen – Schutz vor Krankheit als Segensgabe.</w:t>
      </w:r>
    </w:p>
    <w:p w14:paraId="77645BC8" w14:textId="77777777" w:rsidR="008A3A15" w:rsidRPr="008A3A15" w:rsidRDefault="008A3A15" w:rsidP="008A3A15">
      <w:pPr>
        <w:spacing w:before="100" w:beforeAutospacing="1" w:after="100" w:afterAutospacing="1" w:line="240" w:lineRule="auto"/>
        <w:outlineLvl w:val="1"/>
        <w:rPr>
          <w:rFonts w:eastAsia="Times New Roman"/>
          <w:b/>
          <w:bCs/>
          <w:sz w:val="36"/>
          <w:szCs w:val="36"/>
          <w:lang w:eastAsia="de-DE"/>
        </w:rPr>
      </w:pPr>
      <w:r w:rsidRPr="008A3A15">
        <w:rPr>
          <w:rFonts w:eastAsia="Times New Roman"/>
          <w:b/>
          <w:bCs/>
          <w:sz w:val="36"/>
          <w:szCs w:val="36"/>
          <w:lang w:eastAsia="de-DE"/>
        </w:rPr>
        <w:t>Deuteronomium 7,16</w:t>
      </w:r>
    </w:p>
    <w:p w14:paraId="602211F9"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lang w:eastAsia="de-DE"/>
        </w:rPr>
        <w:t>Hebräisch:</w:t>
      </w:r>
      <w:r w:rsidRPr="008A3A15">
        <w:rPr>
          <w:rFonts w:eastAsia="Times New Roman"/>
          <w:lang w:eastAsia="de-DE"/>
        </w:rPr>
        <w:t xml:space="preserve"> </w:t>
      </w:r>
      <w:r w:rsidRPr="008A3A15">
        <w:rPr>
          <w:rFonts w:eastAsia="Times New Roman"/>
          <w:rtl/>
          <w:lang w:eastAsia="de-DE"/>
        </w:rPr>
        <w:t>וְאָכַלְתָּ אֶת־כָּל־הָעַמִּים אֲשֶׁר יְהוָה אֱלֹהֶיךָ נֹתֵן לָךְ לֹא־תָחֹס עֵינְךָ עֲלֵיהֶם וְלֹא תַעֲבֹד אֶת־אֱלֹהֵיהֶם כִּי־מוֹקֵשׁ הוּא לָךְ׃</w:t>
      </w:r>
    </w:p>
    <w:p w14:paraId="1618634A"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lang w:eastAsia="de-DE"/>
        </w:rPr>
        <w:t>Deutsch:</w:t>
      </w:r>
      <w:r w:rsidRPr="008A3A15">
        <w:rPr>
          <w:rFonts w:eastAsia="Times New Roman"/>
          <w:lang w:eastAsia="de-DE"/>
        </w:rPr>
        <w:t xml:space="preserve"> Und du wirst alle Völker verzehren, die der Ewige, dein Gott, dir gibt. Du sollst ihretwegen nicht mitleidig blicken, und du sollst ihren Göttern nicht dienen, denn das würde dir zum Fallstrick werden.</w:t>
      </w:r>
    </w:p>
    <w:p w14:paraId="40A5BB97" w14:textId="77777777" w:rsidR="008A3A15" w:rsidRPr="008A3A15" w:rsidRDefault="004F5CEB" w:rsidP="008A3A15">
      <w:pPr>
        <w:spacing w:after="0" w:line="240" w:lineRule="auto"/>
        <w:rPr>
          <w:rFonts w:eastAsia="Times New Roman"/>
          <w:lang w:eastAsia="de-DE"/>
        </w:rPr>
      </w:pPr>
      <w:r>
        <w:rPr>
          <w:rFonts w:eastAsia="Times New Roman"/>
          <w:noProof/>
          <w:lang w:eastAsia="de-DE"/>
        </w:rPr>
        <w:pict w14:anchorId="4C3CC31E">
          <v:rect id="_x0000_i1259" style="width:0;height:1.5pt" o:hralign="center" o:hrstd="t" o:hr="t" fillcolor="#a0a0a0" stroked="f"/>
        </w:pict>
      </w:r>
    </w:p>
    <w:p w14:paraId="311A620E"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lang w:eastAsia="de-DE"/>
        </w:rPr>
        <w:t>Kommentar:</w:t>
      </w:r>
      <w:r w:rsidRPr="008A3A15">
        <w:rPr>
          <w:rFonts w:eastAsia="Times New Roman"/>
          <w:lang w:eastAsia="de-DE"/>
        </w:rPr>
        <w:t xml:space="preserve"> </w:t>
      </w:r>
      <w:r w:rsidRPr="008A3A15">
        <w:rPr>
          <w:rFonts w:eastAsia="Times New Roman"/>
          <w:b/>
          <w:bCs/>
          <w:rtl/>
          <w:lang w:eastAsia="de-DE"/>
        </w:rPr>
        <w:t>וְאָכַלְתָּ אֶת־כָּל־הָעַמִּים אֲשֶׁר יְהוָה אֱלֹהֶיךָ נֹתֵן לָךְ</w:t>
      </w:r>
      <w:r w:rsidRPr="008A3A15">
        <w:rPr>
          <w:rFonts w:eastAsia="Times New Roman"/>
          <w:rtl/>
          <w:lang w:eastAsia="de-DE"/>
        </w:rPr>
        <w:t xml:space="preserve"> </w:t>
      </w:r>
      <w:r w:rsidRPr="008A3A15">
        <w:rPr>
          <w:rFonts w:eastAsia="Times New Roman"/>
          <w:lang w:eastAsia="de-DE"/>
        </w:rPr>
        <w:t xml:space="preserve">ist Qal Perfekt consecutivum, 2. Person Singular maskulin von </w:t>
      </w:r>
      <w:r w:rsidRPr="008A3A15">
        <w:rPr>
          <w:rFonts w:eastAsia="Times New Roman"/>
          <w:b/>
          <w:bCs/>
          <w:rtl/>
          <w:lang w:eastAsia="de-DE"/>
        </w:rPr>
        <w:t>אכל</w:t>
      </w:r>
      <w:r w:rsidRPr="008A3A15">
        <w:rPr>
          <w:rFonts w:eastAsia="Times New Roman"/>
          <w:rtl/>
          <w:lang w:eastAsia="de-DE"/>
        </w:rPr>
        <w:t xml:space="preserve"> </w:t>
      </w:r>
      <w:r w:rsidRPr="008A3A15">
        <w:rPr>
          <w:rFonts w:eastAsia="Times New Roman"/>
          <w:lang w:eastAsia="de-DE"/>
        </w:rPr>
        <w:t xml:space="preserve">(„essen, verzehren, vernichten") mit </w:t>
      </w:r>
      <w:r w:rsidRPr="008A3A15">
        <w:rPr>
          <w:rFonts w:eastAsia="Times New Roman"/>
          <w:b/>
          <w:bCs/>
          <w:rtl/>
          <w:lang w:eastAsia="de-DE"/>
        </w:rPr>
        <w:t>וְ</w:t>
      </w:r>
      <w:r w:rsidRPr="008A3A15">
        <w:rPr>
          <w:rFonts w:eastAsia="Times New Roman"/>
          <w:lang w:eastAsia="de-DE"/>
        </w:rPr>
        <w:t xml:space="preserve">, </w:t>
      </w:r>
      <w:r w:rsidRPr="008A3A15">
        <w:rPr>
          <w:rFonts w:eastAsia="Times New Roman"/>
          <w:b/>
          <w:bCs/>
          <w:rtl/>
          <w:lang w:eastAsia="de-DE"/>
        </w:rPr>
        <w:t>אֶת־כָּל־הָעַמִּים</w:t>
      </w:r>
      <w:r w:rsidRPr="008A3A15">
        <w:rPr>
          <w:rFonts w:eastAsia="Times New Roman"/>
          <w:rtl/>
          <w:lang w:eastAsia="de-DE"/>
        </w:rPr>
        <w:t xml:space="preserve"> </w:t>
      </w:r>
      <w:r w:rsidRPr="008A3A15">
        <w:rPr>
          <w:rFonts w:eastAsia="Times New Roman"/>
          <w:lang w:eastAsia="de-DE"/>
        </w:rPr>
        <w:t xml:space="preserve">als </w:t>
      </w:r>
      <w:r w:rsidRPr="008A3A15">
        <w:rPr>
          <w:rFonts w:eastAsia="Times New Roman"/>
          <w:lang w:eastAsia="de-DE"/>
        </w:rPr>
        <w:lastRenderedPageBreak/>
        <w:t>direktes Objekt (</w:t>
      </w:r>
      <w:r w:rsidRPr="008A3A15">
        <w:rPr>
          <w:rFonts w:eastAsia="Times New Roman"/>
          <w:b/>
          <w:bCs/>
          <w:rtl/>
          <w:lang w:eastAsia="de-DE"/>
        </w:rPr>
        <w:t>כָּל</w:t>
      </w:r>
      <w:r w:rsidRPr="008A3A15">
        <w:rPr>
          <w:rFonts w:eastAsia="Times New Roman"/>
          <w:rtl/>
          <w:lang w:eastAsia="de-DE"/>
        </w:rPr>
        <w:t xml:space="preserve"> </w:t>
      </w:r>
      <w:r w:rsidRPr="008A3A15">
        <w:rPr>
          <w:rFonts w:eastAsia="Times New Roman"/>
          <w:lang w:eastAsia="de-DE"/>
        </w:rPr>
        <w:t xml:space="preserve">im Construct mit </w:t>
      </w:r>
      <w:r w:rsidRPr="008A3A15">
        <w:rPr>
          <w:rFonts w:eastAsia="Times New Roman"/>
          <w:b/>
          <w:bCs/>
          <w:rtl/>
          <w:lang w:eastAsia="de-DE"/>
        </w:rPr>
        <w:t>עַם</w:t>
      </w:r>
      <w:r w:rsidRPr="008A3A15">
        <w:rPr>
          <w:rFonts w:eastAsia="Times New Roman"/>
          <w:lang w:eastAsia="de-DE"/>
        </w:rPr>
        <w:t xml:space="preserve">, Plural, mit Artikel), </w:t>
      </w:r>
      <w:r w:rsidRPr="008A3A15">
        <w:rPr>
          <w:rFonts w:eastAsia="Times New Roman"/>
          <w:b/>
          <w:bCs/>
          <w:rtl/>
          <w:lang w:eastAsia="de-DE"/>
        </w:rPr>
        <w:t>אֲשֶׁר יְהוָה אֱלֹהֶיךָ נֹתֵן לָךְ</w:t>
      </w:r>
      <w:r w:rsidRPr="008A3A15">
        <w:rPr>
          <w:rFonts w:eastAsia="Times New Roman"/>
          <w:rtl/>
          <w:lang w:eastAsia="de-DE"/>
        </w:rPr>
        <w:t xml:space="preserve"> </w:t>
      </w:r>
      <w:r w:rsidRPr="008A3A15">
        <w:rPr>
          <w:rFonts w:eastAsia="Times New Roman"/>
          <w:lang w:eastAsia="de-DE"/>
        </w:rPr>
        <w:t xml:space="preserve">als Relativsatz (mit erweitertem Subjekt, Qal Partizip Singular maskulin von </w:t>
      </w:r>
      <w:r w:rsidRPr="008A3A15">
        <w:rPr>
          <w:rFonts w:eastAsia="Times New Roman"/>
          <w:b/>
          <w:bCs/>
          <w:rtl/>
          <w:lang w:eastAsia="de-DE"/>
        </w:rPr>
        <w:t>נתן</w:t>
      </w:r>
      <w:r w:rsidRPr="008A3A15">
        <w:rPr>
          <w:rFonts w:eastAsia="Times New Roman"/>
          <w:lang w:eastAsia="de-DE"/>
        </w:rPr>
        <w:t xml:space="preserve">, „geben", und </w:t>
      </w:r>
      <w:r w:rsidRPr="008A3A15">
        <w:rPr>
          <w:rFonts w:eastAsia="Times New Roman"/>
          <w:b/>
          <w:bCs/>
          <w:rtl/>
          <w:lang w:eastAsia="de-DE"/>
        </w:rPr>
        <w:t>לָךְ</w:t>
      </w:r>
      <w:r w:rsidRPr="008A3A15">
        <w:rPr>
          <w:rFonts w:eastAsia="Times New Roman"/>
          <w:rtl/>
          <w:lang w:eastAsia="de-DE"/>
        </w:rPr>
        <w:t xml:space="preserve"> </w:t>
      </w:r>
      <w:r w:rsidRPr="008A3A15">
        <w:rPr>
          <w:rFonts w:eastAsia="Times New Roman"/>
          <w:lang w:eastAsia="de-DE"/>
        </w:rPr>
        <w:t>als indirektem Objekt).</w:t>
      </w:r>
    </w:p>
    <w:p w14:paraId="5C307087"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rtl/>
          <w:lang w:eastAsia="de-DE"/>
        </w:rPr>
        <w:t>לֹא־תָחֹס עֵינְךָ עֲלֵיהֶם</w:t>
      </w:r>
      <w:r w:rsidRPr="008A3A15">
        <w:rPr>
          <w:rFonts w:eastAsia="Times New Roman"/>
          <w:rtl/>
          <w:lang w:eastAsia="de-DE"/>
        </w:rPr>
        <w:t xml:space="preserve"> </w:t>
      </w:r>
      <w:r w:rsidRPr="008A3A15">
        <w:rPr>
          <w:rFonts w:eastAsia="Times New Roman"/>
          <w:lang w:eastAsia="de-DE"/>
        </w:rPr>
        <w:t xml:space="preserve">ist ein prohibitiver Satz: </w:t>
      </w:r>
      <w:r w:rsidRPr="008A3A15">
        <w:rPr>
          <w:rFonts w:eastAsia="Times New Roman"/>
          <w:b/>
          <w:bCs/>
          <w:rtl/>
          <w:lang w:eastAsia="de-DE"/>
        </w:rPr>
        <w:t>לֹא</w:t>
      </w:r>
      <w:r w:rsidRPr="008A3A15">
        <w:rPr>
          <w:rFonts w:eastAsia="Times New Roman"/>
          <w:rtl/>
          <w:lang w:eastAsia="de-DE"/>
        </w:rPr>
        <w:t xml:space="preserve"> </w:t>
      </w:r>
      <w:r w:rsidRPr="008A3A15">
        <w:rPr>
          <w:rFonts w:eastAsia="Times New Roman"/>
          <w:lang w:eastAsia="de-DE"/>
        </w:rPr>
        <w:t xml:space="preserve">als Negation, </w:t>
      </w:r>
      <w:r w:rsidRPr="008A3A15">
        <w:rPr>
          <w:rFonts w:eastAsia="Times New Roman"/>
          <w:b/>
          <w:bCs/>
          <w:rtl/>
          <w:lang w:eastAsia="de-DE"/>
        </w:rPr>
        <w:t>תָחֹס</w:t>
      </w:r>
      <w:r w:rsidRPr="008A3A15">
        <w:rPr>
          <w:rFonts w:eastAsia="Times New Roman"/>
          <w:rtl/>
          <w:lang w:eastAsia="de-DE"/>
        </w:rPr>
        <w:t xml:space="preserve"> </w:t>
      </w:r>
      <w:r w:rsidRPr="008A3A15">
        <w:rPr>
          <w:rFonts w:eastAsia="Times New Roman"/>
          <w:lang w:eastAsia="de-DE"/>
        </w:rPr>
        <w:t xml:space="preserve">als Qal Imperfekt, 3. Person Singular feminin von </w:t>
      </w:r>
      <w:r w:rsidRPr="008A3A15">
        <w:rPr>
          <w:rFonts w:eastAsia="Times New Roman"/>
          <w:b/>
          <w:bCs/>
          <w:rtl/>
          <w:lang w:eastAsia="de-DE"/>
        </w:rPr>
        <w:t>חוס</w:t>
      </w:r>
      <w:r w:rsidRPr="008A3A15">
        <w:rPr>
          <w:rFonts w:eastAsia="Times New Roman"/>
          <w:rtl/>
          <w:lang w:eastAsia="de-DE"/>
        </w:rPr>
        <w:t xml:space="preserve"> </w:t>
      </w:r>
      <w:r w:rsidRPr="008A3A15">
        <w:rPr>
          <w:rFonts w:eastAsia="Times New Roman"/>
          <w:lang w:eastAsia="de-DE"/>
        </w:rPr>
        <w:t xml:space="preserve">(„Mitleid haben, schonen"), </w:t>
      </w:r>
      <w:r w:rsidRPr="008A3A15">
        <w:rPr>
          <w:rFonts w:eastAsia="Times New Roman"/>
          <w:b/>
          <w:bCs/>
          <w:rtl/>
          <w:lang w:eastAsia="de-DE"/>
        </w:rPr>
        <w:t>עֵינְךָ</w:t>
      </w:r>
      <w:r w:rsidRPr="008A3A15">
        <w:rPr>
          <w:rFonts w:eastAsia="Times New Roman"/>
          <w:rtl/>
          <w:lang w:eastAsia="de-DE"/>
        </w:rPr>
        <w:t xml:space="preserve"> </w:t>
      </w:r>
      <w:r w:rsidRPr="008A3A15">
        <w:rPr>
          <w:rFonts w:eastAsia="Times New Roman"/>
          <w:lang w:eastAsia="de-DE"/>
        </w:rPr>
        <w:t>als Subjekt (</w:t>
      </w:r>
      <w:r w:rsidRPr="008A3A15">
        <w:rPr>
          <w:rFonts w:eastAsia="Times New Roman"/>
          <w:b/>
          <w:bCs/>
          <w:rtl/>
          <w:lang w:eastAsia="de-DE"/>
        </w:rPr>
        <w:t>עַיִן</w:t>
      </w:r>
      <w:r w:rsidRPr="008A3A15">
        <w:rPr>
          <w:rFonts w:eastAsia="Times New Roman"/>
          <w:lang w:eastAsia="de-DE"/>
        </w:rPr>
        <w:t xml:space="preserve">, „Auge", mit Suffix 2. Person Singular maskulin), </w:t>
      </w:r>
      <w:r w:rsidRPr="008A3A15">
        <w:rPr>
          <w:rFonts w:eastAsia="Times New Roman"/>
          <w:b/>
          <w:bCs/>
          <w:rtl/>
          <w:lang w:eastAsia="de-DE"/>
        </w:rPr>
        <w:t>עֲלֵיהֶם</w:t>
      </w:r>
      <w:r w:rsidRPr="008A3A15">
        <w:rPr>
          <w:rFonts w:eastAsia="Times New Roman"/>
          <w:rtl/>
          <w:lang w:eastAsia="de-DE"/>
        </w:rPr>
        <w:t xml:space="preserve"> </w:t>
      </w:r>
      <w:r w:rsidRPr="008A3A15">
        <w:rPr>
          <w:rFonts w:eastAsia="Times New Roman"/>
          <w:lang w:eastAsia="de-DE"/>
        </w:rPr>
        <w:t>als präpositionale Ergänzung (</w:t>
      </w:r>
      <w:r w:rsidRPr="008A3A15">
        <w:rPr>
          <w:rFonts w:eastAsia="Times New Roman"/>
          <w:b/>
          <w:bCs/>
          <w:rtl/>
          <w:lang w:eastAsia="de-DE"/>
        </w:rPr>
        <w:t>עַל</w:t>
      </w:r>
      <w:r w:rsidRPr="008A3A15">
        <w:rPr>
          <w:rFonts w:eastAsia="Times New Roman"/>
          <w:rtl/>
          <w:lang w:eastAsia="de-DE"/>
        </w:rPr>
        <w:t xml:space="preserve"> </w:t>
      </w:r>
      <w:r w:rsidRPr="008A3A15">
        <w:rPr>
          <w:rFonts w:eastAsia="Times New Roman"/>
          <w:lang w:eastAsia="de-DE"/>
        </w:rPr>
        <w:t xml:space="preserve">mit Suffix 3. Person Plural maskulin – „über sie, ihretwegen"). Die idiomatische Wendung </w:t>
      </w:r>
      <w:r w:rsidRPr="008A3A15">
        <w:rPr>
          <w:rFonts w:eastAsia="Times New Roman"/>
          <w:b/>
          <w:bCs/>
          <w:rtl/>
          <w:lang w:eastAsia="de-DE"/>
        </w:rPr>
        <w:t>חוס עַיִן</w:t>
      </w:r>
      <w:r w:rsidRPr="008A3A15">
        <w:rPr>
          <w:rFonts w:eastAsia="Times New Roman"/>
          <w:rtl/>
          <w:lang w:eastAsia="de-DE"/>
        </w:rPr>
        <w:t xml:space="preserve"> </w:t>
      </w:r>
      <w:r w:rsidRPr="008A3A15">
        <w:rPr>
          <w:rFonts w:eastAsia="Times New Roman"/>
          <w:lang w:eastAsia="de-DE"/>
        </w:rPr>
        <w:t>(„das Auge schont") bedeutet „Mitleid haben, schonen".</w:t>
      </w:r>
    </w:p>
    <w:p w14:paraId="4959C2C9"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b/>
          <w:bCs/>
          <w:rtl/>
          <w:lang w:eastAsia="de-DE"/>
        </w:rPr>
        <w:t>וְלֹא תַעֲבֹד אֶת־אֱלֹהֵיהֶם כִּי־מוֹקֵשׁ הוּא לָךְ</w:t>
      </w:r>
      <w:r w:rsidRPr="008A3A15">
        <w:rPr>
          <w:rFonts w:eastAsia="Times New Roman"/>
          <w:rtl/>
          <w:lang w:eastAsia="de-DE"/>
        </w:rPr>
        <w:t xml:space="preserve"> </w:t>
      </w:r>
      <w:r w:rsidRPr="008A3A15">
        <w:rPr>
          <w:rFonts w:eastAsia="Times New Roman"/>
          <w:lang w:eastAsia="de-DE"/>
        </w:rPr>
        <w:t xml:space="preserve">ist koordiniert: </w:t>
      </w:r>
      <w:r w:rsidRPr="008A3A15">
        <w:rPr>
          <w:rFonts w:eastAsia="Times New Roman"/>
          <w:b/>
          <w:bCs/>
          <w:rtl/>
          <w:lang w:eastAsia="de-DE"/>
        </w:rPr>
        <w:t>וְלֹא תַעֲבֹד אֶת־אֱלֹהֵיהֶם</w:t>
      </w:r>
      <w:r w:rsidRPr="008A3A15">
        <w:rPr>
          <w:rFonts w:eastAsia="Times New Roman"/>
          <w:rtl/>
          <w:lang w:eastAsia="de-DE"/>
        </w:rPr>
        <w:t xml:space="preserve"> </w:t>
      </w:r>
      <w:r w:rsidRPr="008A3A15">
        <w:rPr>
          <w:rFonts w:eastAsia="Times New Roman"/>
          <w:lang w:eastAsia="de-DE"/>
        </w:rPr>
        <w:t xml:space="preserve">(Qal Imperfekt, 2. Person Singular maskulin von </w:t>
      </w:r>
      <w:r w:rsidRPr="008A3A15">
        <w:rPr>
          <w:rFonts w:eastAsia="Times New Roman"/>
          <w:b/>
          <w:bCs/>
          <w:rtl/>
          <w:lang w:eastAsia="de-DE"/>
        </w:rPr>
        <w:t>עבד</w:t>
      </w:r>
      <w:r w:rsidRPr="008A3A15">
        <w:rPr>
          <w:rFonts w:eastAsia="Times New Roman"/>
          <w:lang w:eastAsia="de-DE"/>
        </w:rPr>
        <w:t xml:space="preserve">, „dienen", mit Negation und direktem Objekt – </w:t>
      </w:r>
      <w:r w:rsidRPr="008A3A15">
        <w:rPr>
          <w:rFonts w:eastAsia="Times New Roman"/>
          <w:b/>
          <w:bCs/>
          <w:rtl/>
          <w:lang w:eastAsia="de-DE"/>
        </w:rPr>
        <w:t>אֱלֹהִים</w:t>
      </w:r>
      <w:r w:rsidRPr="008A3A15">
        <w:rPr>
          <w:rFonts w:eastAsia="Times New Roman"/>
          <w:lang w:eastAsia="de-DE"/>
        </w:rPr>
        <w:t xml:space="preserve">, Plural, mit Suffix 3. Person Plural maskulin), </w:t>
      </w:r>
      <w:r w:rsidRPr="008A3A15">
        <w:rPr>
          <w:rFonts w:eastAsia="Times New Roman"/>
          <w:b/>
          <w:bCs/>
          <w:rtl/>
          <w:lang w:eastAsia="de-DE"/>
        </w:rPr>
        <w:t>כִּי־מוֹקֵשׁ הוּא לָךְ</w:t>
      </w:r>
      <w:r w:rsidRPr="008A3A15">
        <w:rPr>
          <w:rFonts w:eastAsia="Times New Roman"/>
          <w:rtl/>
          <w:lang w:eastAsia="de-DE"/>
        </w:rPr>
        <w:t xml:space="preserve"> </w:t>
      </w:r>
      <w:r w:rsidRPr="008A3A15">
        <w:rPr>
          <w:rFonts w:eastAsia="Times New Roman"/>
          <w:lang w:eastAsia="de-DE"/>
        </w:rPr>
        <w:t>als kausaler nominaler Satz (</w:t>
      </w:r>
      <w:r w:rsidRPr="008A3A15">
        <w:rPr>
          <w:rFonts w:eastAsia="Times New Roman"/>
          <w:b/>
          <w:bCs/>
          <w:rtl/>
          <w:lang w:eastAsia="de-DE"/>
        </w:rPr>
        <w:t>כִּי</w:t>
      </w:r>
      <w:r w:rsidRPr="008A3A15">
        <w:rPr>
          <w:rFonts w:eastAsia="Times New Roman"/>
          <w:rtl/>
          <w:lang w:eastAsia="de-DE"/>
        </w:rPr>
        <w:t xml:space="preserve"> </w:t>
      </w:r>
      <w:r w:rsidRPr="008A3A15">
        <w:rPr>
          <w:rFonts w:eastAsia="Times New Roman"/>
          <w:lang w:eastAsia="de-DE"/>
        </w:rPr>
        <w:t xml:space="preserve">mit </w:t>
      </w:r>
      <w:r w:rsidRPr="008A3A15">
        <w:rPr>
          <w:rFonts w:eastAsia="Times New Roman"/>
          <w:b/>
          <w:bCs/>
          <w:rtl/>
          <w:lang w:eastAsia="de-DE"/>
        </w:rPr>
        <w:t>מוֹקֵשׁ</w:t>
      </w:r>
      <w:r w:rsidRPr="008A3A15">
        <w:rPr>
          <w:rFonts w:eastAsia="Times New Roman"/>
          <w:lang w:eastAsia="de-DE"/>
        </w:rPr>
        <w:t xml:space="preserve">, „Falle, Fallstrick, Schlinge", als Prädikatsnomen, </w:t>
      </w:r>
      <w:r w:rsidRPr="008A3A15">
        <w:rPr>
          <w:rFonts w:eastAsia="Times New Roman"/>
          <w:b/>
          <w:bCs/>
          <w:rtl/>
          <w:lang w:eastAsia="de-DE"/>
        </w:rPr>
        <w:t>הוּא</w:t>
      </w:r>
      <w:r w:rsidRPr="008A3A15">
        <w:rPr>
          <w:rFonts w:eastAsia="Times New Roman"/>
          <w:rtl/>
          <w:lang w:eastAsia="de-DE"/>
        </w:rPr>
        <w:t xml:space="preserve"> </w:t>
      </w:r>
      <w:r w:rsidRPr="008A3A15">
        <w:rPr>
          <w:rFonts w:eastAsia="Times New Roman"/>
          <w:lang w:eastAsia="de-DE"/>
        </w:rPr>
        <w:t xml:space="preserve">als Subjekt, </w:t>
      </w:r>
      <w:r w:rsidRPr="008A3A15">
        <w:rPr>
          <w:rFonts w:eastAsia="Times New Roman"/>
          <w:b/>
          <w:bCs/>
          <w:rtl/>
          <w:lang w:eastAsia="de-DE"/>
        </w:rPr>
        <w:t>לָךְ</w:t>
      </w:r>
      <w:r w:rsidRPr="008A3A15">
        <w:rPr>
          <w:rFonts w:eastAsia="Times New Roman"/>
          <w:rtl/>
          <w:lang w:eastAsia="de-DE"/>
        </w:rPr>
        <w:t xml:space="preserve"> </w:t>
      </w:r>
      <w:r w:rsidRPr="008A3A15">
        <w:rPr>
          <w:rFonts w:eastAsia="Times New Roman"/>
          <w:lang w:eastAsia="de-DE"/>
        </w:rPr>
        <w:t>als Dativ – „denn es [ist] eine Falle für dich").</w:t>
      </w:r>
    </w:p>
    <w:p w14:paraId="13926766" w14:textId="5FD77AE0"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lang w:eastAsia="de-DE"/>
        </w:rPr>
        <w:t>Die drastische Metaphorik des „Verzehrens" der Völker drückt die totale Vernichtung aus. Das Verbot des Mitleids (</w:t>
      </w:r>
      <w:r w:rsidRPr="008A3A15">
        <w:rPr>
          <w:rFonts w:eastAsia="Times New Roman"/>
          <w:b/>
          <w:bCs/>
          <w:rtl/>
          <w:lang w:eastAsia="de-DE"/>
        </w:rPr>
        <w:t>לֹא־תָחֹס עֵינְךָ</w:t>
      </w:r>
      <w:r w:rsidRPr="008A3A15">
        <w:rPr>
          <w:rFonts w:eastAsia="Times New Roman"/>
          <w:lang w:eastAsia="de-DE"/>
        </w:rPr>
        <w:t xml:space="preserve">) findet sich auch in 13,9; 19,13.21; 25,12 und unterstreicht die Härte der Bannforderung. Die Begründung verweist auf die </w:t>
      </w:r>
      <w:r w:rsidR="00D84597">
        <w:rPr>
          <w:rFonts w:eastAsia="Times New Roman"/>
          <w:lang w:eastAsia="de-DE"/>
        </w:rPr>
        <w:t>Gefahr</w:t>
      </w:r>
      <w:r w:rsidRPr="008A3A15">
        <w:rPr>
          <w:rFonts w:eastAsia="Times New Roman"/>
          <w:lang w:eastAsia="de-DE"/>
        </w:rPr>
        <w:t xml:space="preserve"> des Götzendienstes als „Fallstrick" (</w:t>
      </w:r>
      <w:r w:rsidRPr="008A3A15">
        <w:rPr>
          <w:rFonts w:eastAsia="Times New Roman"/>
          <w:b/>
          <w:bCs/>
          <w:rtl/>
          <w:lang w:eastAsia="de-DE"/>
        </w:rPr>
        <w:t>מוֹקֵשׁ</w:t>
      </w:r>
      <w:r w:rsidRPr="008A3A15">
        <w:rPr>
          <w:rFonts w:eastAsia="Times New Roman"/>
          <w:lang w:eastAsia="de-DE"/>
        </w:rPr>
        <w:t>) – ein Bild für die tödliche Falle, die zum Abfall von JHWH führt (vgl. Ex 23,33; 34,12; Dtn 12,30; Ri 2,3; 8,27; Ps 106,36).</w:t>
      </w:r>
    </w:p>
    <w:p w14:paraId="72956761"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lang w:eastAsia="de-DE"/>
        </w:rPr>
        <w:t>Die Satzstruktur ist ein Perfekt consecutivum mit direktem Objekt und Relativsatz (mit erweitertem Subjekt, partizipialem Prädikat und indirektem Objekt), gefolgt von einem prohibitiven Satz mit Negation, Prädikat, Subjekt und präpositionaler Ergänzung, sowie einem weiteren prohibitiven Satz mit Negation, Prädikat, direktem Objekt und kausalem nominalem Satz (mit Prädikatsnomen, Subjekt und Dativ). Die Struktur verknüpft Vernichtungsgebot mit Warnung vor Götzendienst.</w:t>
      </w:r>
    </w:p>
    <w:p w14:paraId="68ABDE56" w14:textId="77777777" w:rsidR="008A3A15" w:rsidRPr="008A3A15" w:rsidRDefault="008A3A15" w:rsidP="008A3A15">
      <w:pPr>
        <w:spacing w:before="100" w:beforeAutospacing="1" w:after="100" w:afterAutospacing="1" w:line="240" w:lineRule="auto"/>
        <w:rPr>
          <w:rFonts w:eastAsia="Times New Roman"/>
          <w:lang w:eastAsia="de-DE"/>
        </w:rPr>
      </w:pPr>
      <w:r w:rsidRPr="008A3A15">
        <w:rPr>
          <w:rFonts w:eastAsia="Times New Roman"/>
          <w:lang w:eastAsia="de-DE"/>
        </w:rPr>
        <w:t>Der Vers fordert die totale Vernichtung der kanaanitischen Völker ohne Mitleid und warnt vor dem Dienst an ihren Göttern, der zum tödlichen Fallstrick würde – eine drastische Formulierung der Abgrenzungsforderung.</w:t>
      </w:r>
    </w:p>
    <w:p w14:paraId="0FAB5654" w14:textId="77777777" w:rsidR="008D5AF6" w:rsidRPr="008D5AF6" w:rsidRDefault="008D5AF6" w:rsidP="008D5AF6">
      <w:pPr>
        <w:spacing w:before="100" w:beforeAutospacing="1" w:after="100" w:afterAutospacing="1" w:line="240" w:lineRule="auto"/>
        <w:outlineLvl w:val="1"/>
        <w:rPr>
          <w:rFonts w:eastAsia="Times New Roman"/>
          <w:b/>
          <w:bCs/>
          <w:sz w:val="36"/>
          <w:szCs w:val="36"/>
          <w:lang w:eastAsia="de-DE"/>
        </w:rPr>
      </w:pPr>
      <w:r w:rsidRPr="008D5AF6">
        <w:rPr>
          <w:rFonts w:eastAsia="Times New Roman"/>
          <w:b/>
          <w:bCs/>
          <w:sz w:val="36"/>
          <w:szCs w:val="36"/>
          <w:lang w:eastAsia="de-DE"/>
        </w:rPr>
        <w:t>Deuteronomium 7,17</w:t>
      </w:r>
    </w:p>
    <w:p w14:paraId="3B1B88E4"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Hebräisch:</w:t>
      </w:r>
      <w:r w:rsidRPr="008D5AF6">
        <w:rPr>
          <w:rFonts w:eastAsia="Times New Roman"/>
          <w:lang w:eastAsia="de-DE"/>
        </w:rPr>
        <w:t xml:space="preserve"> </w:t>
      </w:r>
      <w:r w:rsidRPr="008D5AF6">
        <w:rPr>
          <w:rFonts w:eastAsia="Times New Roman"/>
          <w:rtl/>
          <w:lang w:eastAsia="de-DE"/>
        </w:rPr>
        <w:t>כִּי תֹאמַר בִּלְבָבְךָ רַבִּים הַגּוֹיִם הָאֵלֶּה מִמֶּנִּי אֵיכָה אוּכַל לְהוֹרִישָׁם׃</w:t>
      </w:r>
    </w:p>
    <w:p w14:paraId="2A5F6B65"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Deutsch:</w:t>
      </w:r>
      <w:r w:rsidRPr="008D5AF6">
        <w:rPr>
          <w:rFonts w:eastAsia="Times New Roman"/>
          <w:lang w:eastAsia="de-DE"/>
        </w:rPr>
        <w:t xml:space="preserve"> Wenn du in deinem Herzen sprichst: Diese Nationen sind größer als ich; wie könnte ich sie vertreiben? -</w:t>
      </w:r>
    </w:p>
    <w:p w14:paraId="29A7CFFE" w14:textId="77777777" w:rsidR="008D5AF6" w:rsidRPr="008D5AF6" w:rsidRDefault="004F5CEB" w:rsidP="008D5AF6">
      <w:pPr>
        <w:spacing w:after="0" w:line="240" w:lineRule="auto"/>
        <w:rPr>
          <w:rFonts w:eastAsia="Times New Roman"/>
          <w:lang w:eastAsia="de-DE"/>
        </w:rPr>
      </w:pPr>
      <w:r>
        <w:rPr>
          <w:rFonts w:eastAsia="Times New Roman"/>
          <w:noProof/>
          <w:lang w:eastAsia="de-DE"/>
        </w:rPr>
        <w:pict w14:anchorId="6A10F5F3">
          <v:rect id="_x0000_i1260" style="width:0;height:1.5pt" o:hralign="center" o:hrstd="t" o:hr="t" fillcolor="#a0a0a0" stroked="f"/>
        </w:pict>
      </w:r>
    </w:p>
    <w:p w14:paraId="25E315FF"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Kommentar:</w:t>
      </w:r>
      <w:r w:rsidRPr="008D5AF6">
        <w:rPr>
          <w:rFonts w:eastAsia="Times New Roman"/>
          <w:lang w:eastAsia="de-DE"/>
        </w:rPr>
        <w:t xml:space="preserve"> </w:t>
      </w:r>
      <w:r w:rsidRPr="008D5AF6">
        <w:rPr>
          <w:rFonts w:eastAsia="Times New Roman"/>
          <w:b/>
          <w:bCs/>
          <w:rtl/>
          <w:lang w:eastAsia="de-DE"/>
        </w:rPr>
        <w:t>כִּי תֹאמַר בִּלְבָבְךָ</w:t>
      </w:r>
      <w:r w:rsidRPr="008D5AF6">
        <w:rPr>
          <w:rFonts w:eastAsia="Times New Roman"/>
          <w:rtl/>
          <w:lang w:eastAsia="de-DE"/>
        </w:rPr>
        <w:t xml:space="preserve"> </w:t>
      </w:r>
      <w:r w:rsidRPr="008D5AF6">
        <w:rPr>
          <w:rFonts w:eastAsia="Times New Roman"/>
          <w:lang w:eastAsia="de-DE"/>
        </w:rPr>
        <w:t xml:space="preserve">ist ein konditionaler Satz: </w:t>
      </w:r>
      <w:r w:rsidRPr="008D5AF6">
        <w:rPr>
          <w:rFonts w:eastAsia="Times New Roman"/>
          <w:b/>
          <w:bCs/>
          <w:rtl/>
          <w:lang w:eastAsia="de-DE"/>
        </w:rPr>
        <w:t>כִּי</w:t>
      </w:r>
      <w:r w:rsidRPr="008D5AF6">
        <w:rPr>
          <w:rFonts w:eastAsia="Times New Roman"/>
          <w:rtl/>
          <w:lang w:eastAsia="de-DE"/>
        </w:rPr>
        <w:t xml:space="preserve"> </w:t>
      </w:r>
      <w:r w:rsidRPr="008D5AF6">
        <w:rPr>
          <w:rFonts w:eastAsia="Times New Roman"/>
          <w:lang w:eastAsia="de-DE"/>
        </w:rPr>
        <w:t xml:space="preserve">als temporale bzw. konditionale Konjunktion („wenn"), </w:t>
      </w:r>
      <w:r w:rsidRPr="008D5AF6">
        <w:rPr>
          <w:rFonts w:eastAsia="Times New Roman"/>
          <w:b/>
          <w:bCs/>
          <w:rtl/>
          <w:lang w:eastAsia="de-DE"/>
        </w:rPr>
        <w:t>תֹאמַר</w:t>
      </w:r>
      <w:r w:rsidRPr="008D5AF6">
        <w:rPr>
          <w:rFonts w:eastAsia="Times New Roman"/>
          <w:rtl/>
          <w:lang w:eastAsia="de-DE"/>
        </w:rPr>
        <w:t xml:space="preserve"> </w:t>
      </w:r>
      <w:r w:rsidRPr="008D5AF6">
        <w:rPr>
          <w:rFonts w:eastAsia="Times New Roman"/>
          <w:lang w:eastAsia="de-DE"/>
        </w:rPr>
        <w:t xml:space="preserve">als Qal Imperfekt, 2. Person Singular maskulin von </w:t>
      </w:r>
      <w:r w:rsidRPr="008D5AF6">
        <w:rPr>
          <w:rFonts w:eastAsia="Times New Roman"/>
          <w:b/>
          <w:bCs/>
          <w:rtl/>
          <w:lang w:eastAsia="de-DE"/>
        </w:rPr>
        <w:t>אמר</w:t>
      </w:r>
      <w:r w:rsidRPr="008D5AF6">
        <w:rPr>
          <w:rFonts w:eastAsia="Times New Roman"/>
          <w:rtl/>
          <w:lang w:eastAsia="de-DE"/>
        </w:rPr>
        <w:t xml:space="preserve"> </w:t>
      </w:r>
      <w:r w:rsidRPr="008D5AF6">
        <w:rPr>
          <w:rFonts w:eastAsia="Times New Roman"/>
          <w:lang w:eastAsia="de-DE"/>
        </w:rPr>
        <w:t xml:space="preserve">(„sagen, sprechen"), </w:t>
      </w:r>
      <w:r w:rsidRPr="008D5AF6">
        <w:rPr>
          <w:rFonts w:eastAsia="Times New Roman"/>
          <w:b/>
          <w:bCs/>
          <w:rtl/>
          <w:lang w:eastAsia="de-DE"/>
        </w:rPr>
        <w:t>בִּלְבָבְךָ</w:t>
      </w:r>
      <w:r w:rsidRPr="008D5AF6">
        <w:rPr>
          <w:rFonts w:eastAsia="Times New Roman"/>
          <w:rtl/>
          <w:lang w:eastAsia="de-DE"/>
        </w:rPr>
        <w:t xml:space="preserve"> </w:t>
      </w:r>
      <w:r w:rsidRPr="008D5AF6">
        <w:rPr>
          <w:rFonts w:eastAsia="Times New Roman"/>
          <w:lang w:eastAsia="de-DE"/>
        </w:rPr>
        <w:t>als modale bzw. lokale Bestimmung (</w:t>
      </w:r>
      <w:r w:rsidRPr="008D5AF6">
        <w:rPr>
          <w:rFonts w:eastAsia="Times New Roman"/>
          <w:b/>
          <w:bCs/>
          <w:rtl/>
          <w:lang w:eastAsia="de-DE"/>
        </w:rPr>
        <w:t>בְּ</w:t>
      </w:r>
      <w:r w:rsidRPr="008D5AF6">
        <w:rPr>
          <w:rFonts w:eastAsia="Times New Roman"/>
          <w:rtl/>
          <w:lang w:eastAsia="de-DE"/>
        </w:rPr>
        <w:t xml:space="preserve"> </w:t>
      </w:r>
      <w:r w:rsidRPr="008D5AF6">
        <w:rPr>
          <w:rFonts w:eastAsia="Times New Roman"/>
          <w:lang w:eastAsia="de-DE"/>
        </w:rPr>
        <w:t xml:space="preserve">mit </w:t>
      </w:r>
      <w:r w:rsidRPr="008D5AF6">
        <w:rPr>
          <w:rFonts w:eastAsia="Times New Roman"/>
          <w:b/>
          <w:bCs/>
          <w:rtl/>
          <w:lang w:eastAsia="de-DE"/>
        </w:rPr>
        <w:t>לֵבָב</w:t>
      </w:r>
      <w:r w:rsidRPr="008D5AF6">
        <w:rPr>
          <w:rFonts w:eastAsia="Times New Roman"/>
          <w:lang w:eastAsia="de-DE"/>
        </w:rPr>
        <w:t>, „Herz", und Suffix 2. Person Singular maskulin – „in deinem Herzen" = „bei dir selbst, innerlich").</w:t>
      </w:r>
    </w:p>
    <w:p w14:paraId="13CF9F7F"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rtl/>
          <w:lang w:eastAsia="de-DE"/>
        </w:rPr>
        <w:lastRenderedPageBreak/>
        <w:t>רַבִּים הַגּוֹיִם הָאֵלֶּה מִמֶּנִּי</w:t>
      </w:r>
      <w:r w:rsidRPr="008D5AF6">
        <w:rPr>
          <w:rFonts w:eastAsia="Times New Roman"/>
          <w:rtl/>
          <w:lang w:eastAsia="de-DE"/>
        </w:rPr>
        <w:t xml:space="preserve"> </w:t>
      </w:r>
      <w:r w:rsidRPr="008D5AF6">
        <w:rPr>
          <w:rFonts w:eastAsia="Times New Roman"/>
          <w:lang w:eastAsia="de-DE"/>
        </w:rPr>
        <w:t xml:space="preserve">ist die direkte Rede – ein nominaler Vergleichssatz: </w:t>
      </w:r>
      <w:r w:rsidRPr="008D5AF6">
        <w:rPr>
          <w:rFonts w:eastAsia="Times New Roman"/>
          <w:b/>
          <w:bCs/>
          <w:rtl/>
          <w:lang w:eastAsia="de-DE"/>
        </w:rPr>
        <w:t>רַבִּים</w:t>
      </w:r>
      <w:r w:rsidRPr="008D5AF6">
        <w:rPr>
          <w:rFonts w:eastAsia="Times New Roman"/>
          <w:rtl/>
          <w:lang w:eastAsia="de-DE"/>
        </w:rPr>
        <w:t xml:space="preserve"> </w:t>
      </w:r>
      <w:r w:rsidRPr="008D5AF6">
        <w:rPr>
          <w:rFonts w:eastAsia="Times New Roman"/>
          <w:lang w:eastAsia="de-DE"/>
        </w:rPr>
        <w:t xml:space="preserve">als Prädikatsnomen (Adjektiv „viele, zahlreich, größer", Plural maskulin), </w:t>
      </w:r>
      <w:r w:rsidRPr="008D5AF6">
        <w:rPr>
          <w:rFonts w:eastAsia="Times New Roman"/>
          <w:b/>
          <w:bCs/>
          <w:rtl/>
          <w:lang w:eastAsia="de-DE"/>
        </w:rPr>
        <w:t>הַגּוֹיִם הָאֵלֶּה</w:t>
      </w:r>
      <w:r w:rsidRPr="008D5AF6">
        <w:rPr>
          <w:rFonts w:eastAsia="Times New Roman"/>
          <w:rtl/>
          <w:lang w:eastAsia="de-DE"/>
        </w:rPr>
        <w:t xml:space="preserve"> </w:t>
      </w:r>
      <w:r w:rsidRPr="008D5AF6">
        <w:rPr>
          <w:rFonts w:eastAsia="Times New Roman"/>
          <w:lang w:eastAsia="de-DE"/>
        </w:rPr>
        <w:t>als Subjekt (</w:t>
      </w:r>
      <w:r w:rsidRPr="008D5AF6">
        <w:rPr>
          <w:rFonts w:eastAsia="Times New Roman"/>
          <w:b/>
          <w:bCs/>
          <w:rtl/>
          <w:lang w:eastAsia="de-DE"/>
        </w:rPr>
        <w:t>גּוֹי</w:t>
      </w:r>
      <w:r w:rsidRPr="008D5AF6">
        <w:rPr>
          <w:rFonts w:eastAsia="Times New Roman"/>
          <w:lang w:eastAsia="de-DE"/>
        </w:rPr>
        <w:t xml:space="preserve">, Plural, mit Artikel und Demonstrativpronomen </w:t>
      </w:r>
      <w:r w:rsidRPr="008D5AF6">
        <w:rPr>
          <w:rFonts w:eastAsia="Times New Roman"/>
          <w:b/>
          <w:bCs/>
          <w:rtl/>
          <w:lang w:eastAsia="de-DE"/>
        </w:rPr>
        <w:t>הָאֵלֶּה</w:t>
      </w:r>
      <w:r w:rsidRPr="008D5AF6">
        <w:rPr>
          <w:rFonts w:eastAsia="Times New Roman"/>
          <w:lang w:eastAsia="de-DE"/>
        </w:rPr>
        <w:t xml:space="preserve">), </w:t>
      </w:r>
      <w:r w:rsidRPr="008D5AF6">
        <w:rPr>
          <w:rFonts w:eastAsia="Times New Roman"/>
          <w:b/>
          <w:bCs/>
          <w:rtl/>
          <w:lang w:eastAsia="de-DE"/>
        </w:rPr>
        <w:t>מִמֶּנִּי</w:t>
      </w:r>
      <w:r w:rsidRPr="008D5AF6">
        <w:rPr>
          <w:rFonts w:eastAsia="Times New Roman"/>
          <w:rtl/>
          <w:lang w:eastAsia="de-DE"/>
        </w:rPr>
        <w:t xml:space="preserve"> </w:t>
      </w:r>
      <w:r w:rsidRPr="008D5AF6">
        <w:rPr>
          <w:rFonts w:eastAsia="Times New Roman"/>
          <w:lang w:eastAsia="de-DE"/>
        </w:rPr>
        <w:t>als Vergleichskonstruktion (</w:t>
      </w:r>
      <w:r w:rsidRPr="008D5AF6">
        <w:rPr>
          <w:rFonts w:eastAsia="Times New Roman"/>
          <w:b/>
          <w:bCs/>
          <w:rtl/>
          <w:lang w:eastAsia="de-DE"/>
        </w:rPr>
        <w:t>מִן</w:t>
      </w:r>
      <w:r w:rsidRPr="008D5AF6">
        <w:rPr>
          <w:rFonts w:eastAsia="Times New Roman"/>
          <w:rtl/>
          <w:lang w:eastAsia="de-DE"/>
        </w:rPr>
        <w:t xml:space="preserve"> </w:t>
      </w:r>
      <w:r w:rsidRPr="008D5AF6">
        <w:rPr>
          <w:rFonts w:eastAsia="Times New Roman"/>
          <w:lang w:eastAsia="de-DE"/>
        </w:rPr>
        <w:t>komparativ mit Suffix 1. Person Singular – „mehr/größer als ich").</w:t>
      </w:r>
    </w:p>
    <w:p w14:paraId="1F268608"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rtl/>
          <w:lang w:eastAsia="de-DE"/>
        </w:rPr>
        <w:t>אֵיכָה אוּכַל לְהוֹרִישָׁם</w:t>
      </w:r>
      <w:r w:rsidRPr="008D5AF6">
        <w:rPr>
          <w:rFonts w:eastAsia="Times New Roman"/>
          <w:rtl/>
          <w:lang w:eastAsia="de-DE"/>
        </w:rPr>
        <w:t xml:space="preserve"> </w:t>
      </w:r>
      <w:r w:rsidRPr="008D5AF6">
        <w:rPr>
          <w:rFonts w:eastAsia="Times New Roman"/>
          <w:lang w:eastAsia="de-DE"/>
        </w:rPr>
        <w:t xml:space="preserve">ist eine rhetorische Frage: </w:t>
      </w:r>
      <w:r w:rsidRPr="008D5AF6">
        <w:rPr>
          <w:rFonts w:eastAsia="Times New Roman"/>
          <w:b/>
          <w:bCs/>
          <w:rtl/>
          <w:lang w:eastAsia="de-DE"/>
        </w:rPr>
        <w:t>אֵיכָה</w:t>
      </w:r>
      <w:r w:rsidRPr="008D5AF6">
        <w:rPr>
          <w:rFonts w:eastAsia="Times New Roman"/>
          <w:rtl/>
          <w:lang w:eastAsia="de-DE"/>
        </w:rPr>
        <w:t xml:space="preserve"> </w:t>
      </w:r>
      <w:r w:rsidRPr="008D5AF6">
        <w:rPr>
          <w:rFonts w:eastAsia="Times New Roman"/>
          <w:lang w:eastAsia="de-DE"/>
        </w:rPr>
        <w:t xml:space="preserve">als Fragepartikel („wie"), </w:t>
      </w:r>
      <w:r w:rsidRPr="008D5AF6">
        <w:rPr>
          <w:rFonts w:eastAsia="Times New Roman"/>
          <w:b/>
          <w:bCs/>
          <w:rtl/>
          <w:lang w:eastAsia="de-DE"/>
        </w:rPr>
        <w:t>אוּכַל</w:t>
      </w:r>
      <w:r w:rsidRPr="008D5AF6">
        <w:rPr>
          <w:rFonts w:eastAsia="Times New Roman"/>
          <w:rtl/>
          <w:lang w:eastAsia="de-DE"/>
        </w:rPr>
        <w:t xml:space="preserve"> </w:t>
      </w:r>
      <w:r w:rsidRPr="008D5AF6">
        <w:rPr>
          <w:rFonts w:eastAsia="Times New Roman"/>
          <w:lang w:eastAsia="de-DE"/>
        </w:rPr>
        <w:t xml:space="preserve">als Qal Imperfekt, 1. Person Singular von </w:t>
      </w:r>
      <w:r w:rsidRPr="008D5AF6">
        <w:rPr>
          <w:rFonts w:eastAsia="Times New Roman"/>
          <w:b/>
          <w:bCs/>
          <w:rtl/>
          <w:lang w:eastAsia="de-DE"/>
        </w:rPr>
        <w:t>יכל</w:t>
      </w:r>
      <w:r w:rsidRPr="008D5AF6">
        <w:rPr>
          <w:rFonts w:eastAsia="Times New Roman"/>
          <w:rtl/>
          <w:lang w:eastAsia="de-DE"/>
        </w:rPr>
        <w:t xml:space="preserve"> </w:t>
      </w:r>
      <w:r w:rsidRPr="008D5AF6">
        <w:rPr>
          <w:rFonts w:eastAsia="Times New Roman"/>
          <w:lang w:eastAsia="de-DE"/>
        </w:rPr>
        <w:t xml:space="preserve">(„können, vermögen"), </w:t>
      </w:r>
      <w:r w:rsidRPr="008D5AF6">
        <w:rPr>
          <w:rFonts w:eastAsia="Times New Roman"/>
          <w:b/>
          <w:bCs/>
          <w:rtl/>
          <w:lang w:eastAsia="de-DE"/>
        </w:rPr>
        <w:t>לְהוֹרִישָׁם</w:t>
      </w:r>
      <w:r w:rsidRPr="008D5AF6">
        <w:rPr>
          <w:rFonts w:eastAsia="Times New Roman"/>
          <w:rtl/>
          <w:lang w:eastAsia="de-DE"/>
        </w:rPr>
        <w:t xml:space="preserve"> </w:t>
      </w:r>
      <w:r w:rsidRPr="008D5AF6">
        <w:rPr>
          <w:rFonts w:eastAsia="Times New Roman"/>
          <w:lang w:eastAsia="de-DE"/>
        </w:rPr>
        <w:t xml:space="preserve">als finaler bzw. objektiver Infinitiv (Hifil Infinitiv Construct von </w:t>
      </w:r>
      <w:r w:rsidRPr="008D5AF6">
        <w:rPr>
          <w:rFonts w:eastAsia="Times New Roman"/>
          <w:b/>
          <w:bCs/>
          <w:rtl/>
          <w:lang w:eastAsia="de-DE"/>
        </w:rPr>
        <w:t>ירשׁ</w:t>
      </w:r>
      <w:r w:rsidRPr="008D5AF6">
        <w:rPr>
          <w:rFonts w:eastAsia="Times New Roman"/>
          <w:lang w:eastAsia="de-DE"/>
        </w:rPr>
        <w:t xml:space="preserve">, „vertreiben, in Besitz nehmen, enteignen", mit </w:t>
      </w:r>
      <w:r w:rsidRPr="008D5AF6">
        <w:rPr>
          <w:rFonts w:eastAsia="Times New Roman"/>
          <w:b/>
          <w:bCs/>
          <w:rtl/>
          <w:lang w:eastAsia="de-DE"/>
        </w:rPr>
        <w:t>לְ</w:t>
      </w:r>
      <w:r w:rsidRPr="008D5AF6">
        <w:rPr>
          <w:rFonts w:eastAsia="Times New Roman"/>
          <w:rtl/>
          <w:lang w:eastAsia="de-DE"/>
        </w:rPr>
        <w:t xml:space="preserve"> </w:t>
      </w:r>
      <w:r w:rsidRPr="008D5AF6">
        <w:rPr>
          <w:rFonts w:eastAsia="Times New Roman"/>
          <w:lang w:eastAsia="de-DE"/>
        </w:rPr>
        <w:t>und Suffix 3. Person Plural maskulin – „sie zu vertreiben").</w:t>
      </w:r>
    </w:p>
    <w:p w14:paraId="23F0B1E8"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 xml:space="preserve">Der Vers antizipiert eine natürliche menschliche Furcht angesichts der militärischen Übermacht der Kanaaniter (vgl. V. 1: „sieben Nationen, größer und stärker als du"). Die rhetorische Frage erwartet die Antwort: „Ich kann sie nicht vertreiben" – was in V. 18-19 korrigiert wird. Die Wendung </w:t>
      </w:r>
      <w:r w:rsidRPr="008D5AF6">
        <w:rPr>
          <w:rFonts w:eastAsia="Times New Roman"/>
          <w:b/>
          <w:bCs/>
          <w:rtl/>
          <w:lang w:eastAsia="de-DE"/>
        </w:rPr>
        <w:t>אמר בְּלֵבָב</w:t>
      </w:r>
      <w:r w:rsidRPr="008D5AF6">
        <w:rPr>
          <w:rFonts w:eastAsia="Times New Roman"/>
          <w:rtl/>
          <w:lang w:eastAsia="de-DE"/>
        </w:rPr>
        <w:t xml:space="preserve"> </w:t>
      </w:r>
      <w:r w:rsidRPr="008D5AF6">
        <w:rPr>
          <w:rFonts w:eastAsia="Times New Roman"/>
          <w:lang w:eastAsia="de-DE"/>
        </w:rPr>
        <w:t>(„im Herzen sagen") bezeichnet innere Gedanken oder Überlegungen (vgl. 8,17; 9,4; 18,21; Ps 14,1; 53,2).</w:t>
      </w:r>
    </w:p>
    <w:p w14:paraId="63E5D251"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Die LXX</w:t>
      </w:r>
      <w:r w:rsidRPr="008D5AF6">
        <w:rPr>
          <w:rFonts w:eastAsia="Times New Roman"/>
          <w:lang w:eastAsia="de-DE"/>
        </w:rPr>
        <w:t xml:space="preserve"> verwendet </w:t>
      </w:r>
      <w:proofErr w:type="spellStart"/>
      <w:r w:rsidRPr="008D5AF6">
        <w:rPr>
          <w:rFonts w:eastAsia="Times New Roman"/>
          <w:b/>
          <w:bCs/>
          <w:lang w:eastAsia="de-DE"/>
        </w:rPr>
        <w:t>ἐν</w:t>
      </w:r>
      <w:proofErr w:type="spellEnd"/>
      <w:r w:rsidRPr="008D5AF6">
        <w:rPr>
          <w:rFonts w:eastAsia="Times New Roman"/>
          <w:b/>
          <w:bCs/>
          <w:lang w:eastAsia="de-DE"/>
        </w:rPr>
        <w:t xml:space="preserve"> </w:t>
      </w:r>
      <w:proofErr w:type="spellStart"/>
      <w:r w:rsidRPr="008D5AF6">
        <w:rPr>
          <w:rFonts w:eastAsia="Times New Roman"/>
          <w:b/>
          <w:bCs/>
          <w:lang w:eastAsia="de-DE"/>
        </w:rPr>
        <w:t>τῇ</w:t>
      </w:r>
      <w:proofErr w:type="spellEnd"/>
      <w:r w:rsidRPr="008D5AF6">
        <w:rPr>
          <w:rFonts w:eastAsia="Times New Roman"/>
          <w:b/>
          <w:bCs/>
          <w:lang w:eastAsia="de-DE"/>
        </w:rPr>
        <w:t xml:space="preserve"> </w:t>
      </w:r>
      <w:proofErr w:type="spellStart"/>
      <w:r w:rsidRPr="008D5AF6">
        <w:rPr>
          <w:rFonts w:eastAsia="Times New Roman"/>
          <w:b/>
          <w:bCs/>
          <w:lang w:eastAsia="de-DE"/>
        </w:rPr>
        <w:t>δι</w:t>
      </w:r>
      <w:proofErr w:type="spellEnd"/>
      <w:r w:rsidRPr="008D5AF6">
        <w:rPr>
          <w:rFonts w:eastAsia="Times New Roman"/>
          <w:b/>
          <w:bCs/>
          <w:lang w:eastAsia="de-DE"/>
        </w:rPr>
        <w:t>ανοίᾳ</w:t>
      </w:r>
      <w:r w:rsidRPr="008D5AF6">
        <w:rPr>
          <w:rFonts w:eastAsia="Times New Roman"/>
          <w:lang w:eastAsia="de-DE"/>
        </w:rPr>
        <w:t xml:space="preserve"> („in deinem Denken/Verstand") für </w:t>
      </w:r>
      <w:r w:rsidRPr="008D5AF6">
        <w:rPr>
          <w:rFonts w:eastAsia="Times New Roman"/>
          <w:b/>
          <w:bCs/>
          <w:rtl/>
          <w:lang w:eastAsia="de-DE"/>
        </w:rPr>
        <w:t>בִּלְבָבְךָ</w:t>
      </w:r>
      <w:r w:rsidRPr="008D5AF6">
        <w:rPr>
          <w:rFonts w:eastAsia="Times New Roman"/>
          <w:rtl/>
          <w:lang w:eastAsia="de-DE"/>
        </w:rPr>
        <w:t xml:space="preserve"> </w:t>
      </w:r>
      <w:r w:rsidRPr="008D5AF6">
        <w:rPr>
          <w:rFonts w:eastAsia="Times New Roman"/>
          <w:lang w:eastAsia="de-DE"/>
        </w:rPr>
        <w:t xml:space="preserve">und </w:t>
      </w:r>
      <w:proofErr w:type="spellStart"/>
      <w:r w:rsidRPr="008D5AF6">
        <w:rPr>
          <w:rFonts w:eastAsia="Times New Roman"/>
          <w:b/>
          <w:bCs/>
          <w:lang w:eastAsia="de-DE"/>
        </w:rPr>
        <w:t>ἐξολεθρεῦσ</w:t>
      </w:r>
      <w:proofErr w:type="spellEnd"/>
      <w:r w:rsidRPr="008D5AF6">
        <w:rPr>
          <w:rFonts w:eastAsia="Times New Roman"/>
          <w:b/>
          <w:bCs/>
          <w:lang w:eastAsia="de-DE"/>
        </w:rPr>
        <w:t>αι</w:t>
      </w:r>
      <w:r w:rsidRPr="008D5AF6">
        <w:rPr>
          <w:rFonts w:eastAsia="Times New Roman"/>
          <w:lang w:eastAsia="de-DE"/>
        </w:rPr>
        <w:t xml:space="preserve"> („vernichten") für </w:t>
      </w:r>
      <w:r w:rsidRPr="008D5AF6">
        <w:rPr>
          <w:rFonts w:eastAsia="Times New Roman"/>
          <w:b/>
          <w:bCs/>
          <w:rtl/>
          <w:lang w:eastAsia="de-DE"/>
        </w:rPr>
        <w:t>לְהוֹרִישָׁם</w:t>
      </w:r>
      <w:r w:rsidRPr="008D5AF6">
        <w:rPr>
          <w:rFonts w:eastAsia="Times New Roman"/>
          <w:lang w:eastAsia="de-DE"/>
        </w:rPr>
        <w:t>.</w:t>
      </w:r>
    </w:p>
    <w:p w14:paraId="02C260BF"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Die Satzstruktur ist ein konditionaler Satz mit Prädikat und modaler bzw. lokaler Bestimmung, gefolgt von direkter Rede: ein nominaler Vergleichssatz mit Prädikatsnomen, Subjekt mit Demonstrativpronomen und komparativer Angabe, sowie eine rhetorische Frage mit Fragepartikel, Prädikat und finalem bzw. objektivem Infinitiv mit Suffix. Die Struktur formuliert den inneren Zweifel.</w:t>
      </w:r>
    </w:p>
    <w:p w14:paraId="76062167"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Der Vers antizipiert Israels Furcht: Wenn du innerlich denkst: „Diese Völker sind größer als ich, wie könnte ich sie vertreiben?" – ein natürlicher, aber gottloser Zweifel.</w:t>
      </w:r>
    </w:p>
    <w:p w14:paraId="643C5817" w14:textId="77777777" w:rsidR="008D5AF6" w:rsidRPr="008D5AF6" w:rsidRDefault="008D5AF6" w:rsidP="008D5AF6">
      <w:pPr>
        <w:spacing w:before="100" w:beforeAutospacing="1" w:after="100" w:afterAutospacing="1" w:line="240" w:lineRule="auto"/>
        <w:outlineLvl w:val="1"/>
        <w:rPr>
          <w:rFonts w:eastAsia="Times New Roman"/>
          <w:b/>
          <w:bCs/>
          <w:sz w:val="36"/>
          <w:szCs w:val="36"/>
          <w:lang w:eastAsia="de-DE"/>
        </w:rPr>
      </w:pPr>
      <w:r w:rsidRPr="008D5AF6">
        <w:rPr>
          <w:rFonts w:eastAsia="Times New Roman"/>
          <w:b/>
          <w:bCs/>
          <w:sz w:val="36"/>
          <w:szCs w:val="36"/>
          <w:lang w:eastAsia="de-DE"/>
        </w:rPr>
        <w:t>Deuteronomium 7,18</w:t>
      </w:r>
    </w:p>
    <w:p w14:paraId="7A0C5BDE"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Hebräisch:</w:t>
      </w:r>
      <w:r w:rsidRPr="008D5AF6">
        <w:rPr>
          <w:rFonts w:eastAsia="Times New Roman"/>
          <w:lang w:eastAsia="de-DE"/>
        </w:rPr>
        <w:t xml:space="preserve"> </w:t>
      </w:r>
      <w:r w:rsidRPr="008D5AF6">
        <w:rPr>
          <w:rFonts w:eastAsia="Times New Roman"/>
          <w:rtl/>
          <w:lang w:eastAsia="de-DE"/>
        </w:rPr>
        <w:t>לֹא תִירָא מֵהֶם זָכֹר תִּזְכֹּר אֵת אֲשֶׁר־עָשָׂה יְהוָה אֱלֹהֶיךָ לְפַרְעֹה וּלְכָל־מִצְרָיִם׃</w:t>
      </w:r>
    </w:p>
    <w:p w14:paraId="472D5AF8"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Deutsch:</w:t>
      </w:r>
      <w:r w:rsidRPr="008D5AF6">
        <w:rPr>
          <w:rFonts w:eastAsia="Times New Roman"/>
          <w:lang w:eastAsia="de-DE"/>
        </w:rPr>
        <w:t xml:space="preserve"> fürchte dich nicht vor ihnen; gedenke doch dessen, was der Ewige, dein Gott, dem Par'o und allen Mizrajim getan hat,</w:t>
      </w:r>
    </w:p>
    <w:p w14:paraId="3207B7BB" w14:textId="77777777" w:rsidR="008D5AF6" w:rsidRPr="008D5AF6" w:rsidRDefault="004F5CEB" w:rsidP="008D5AF6">
      <w:pPr>
        <w:spacing w:after="0" w:line="240" w:lineRule="auto"/>
        <w:rPr>
          <w:rFonts w:eastAsia="Times New Roman"/>
          <w:lang w:eastAsia="de-DE"/>
        </w:rPr>
      </w:pPr>
      <w:r>
        <w:rPr>
          <w:rFonts w:eastAsia="Times New Roman"/>
          <w:noProof/>
          <w:lang w:eastAsia="de-DE"/>
        </w:rPr>
        <w:pict w14:anchorId="27B84E42">
          <v:rect id="_x0000_i1261" style="width:0;height:1.5pt" o:hralign="center" o:hrstd="t" o:hr="t" fillcolor="#a0a0a0" stroked="f"/>
        </w:pict>
      </w:r>
    </w:p>
    <w:p w14:paraId="6D206064"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Kommentar:</w:t>
      </w:r>
      <w:r w:rsidRPr="008D5AF6">
        <w:rPr>
          <w:rFonts w:eastAsia="Times New Roman"/>
          <w:lang w:eastAsia="de-DE"/>
        </w:rPr>
        <w:t xml:space="preserve"> </w:t>
      </w:r>
      <w:r w:rsidRPr="008D5AF6">
        <w:rPr>
          <w:rFonts w:eastAsia="Times New Roman"/>
          <w:b/>
          <w:bCs/>
          <w:rtl/>
          <w:lang w:eastAsia="de-DE"/>
        </w:rPr>
        <w:t>לֹא תִירָא מֵהֶם</w:t>
      </w:r>
      <w:r w:rsidRPr="008D5AF6">
        <w:rPr>
          <w:rFonts w:eastAsia="Times New Roman"/>
          <w:rtl/>
          <w:lang w:eastAsia="de-DE"/>
        </w:rPr>
        <w:t xml:space="preserve"> </w:t>
      </w:r>
      <w:r w:rsidRPr="008D5AF6">
        <w:rPr>
          <w:rFonts w:eastAsia="Times New Roman"/>
          <w:lang w:eastAsia="de-DE"/>
        </w:rPr>
        <w:t xml:space="preserve">ist ein prohibitiver Satz: </w:t>
      </w:r>
      <w:r w:rsidRPr="008D5AF6">
        <w:rPr>
          <w:rFonts w:eastAsia="Times New Roman"/>
          <w:b/>
          <w:bCs/>
          <w:rtl/>
          <w:lang w:eastAsia="de-DE"/>
        </w:rPr>
        <w:t>לֹא</w:t>
      </w:r>
      <w:r w:rsidRPr="008D5AF6">
        <w:rPr>
          <w:rFonts w:eastAsia="Times New Roman"/>
          <w:rtl/>
          <w:lang w:eastAsia="de-DE"/>
        </w:rPr>
        <w:t xml:space="preserve"> </w:t>
      </w:r>
      <w:r w:rsidRPr="008D5AF6">
        <w:rPr>
          <w:rFonts w:eastAsia="Times New Roman"/>
          <w:lang w:eastAsia="de-DE"/>
        </w:rPr>
        <w:t xml:space="preserve">als Negation, </w:t>
      </w:r>
      <w:r w:rsidRPr="008D5AF6">
        <w:rPr>
          <w:rFonts w:eastAsia="Times New Roman"/>
          <w:b/>
          <w:bCs/>
          <w:rtl/>
          <w:lang w:eastAsia="de-DE"/>
        </w:rPr>
        <w:t>תִירָא</w:t>
      </w:r>
      <w:r w:rsidRPr="008D5AF6">
        <w:rPr>
          <w:rFonts w:eastAsia="Times New Roman"/>
          <w:rtl/>
          <w:lang w:eastAsia="de-DE"/>
        </w:rPr>
        <w:t xml:space="preserve"> </w:t>
      </w:r>
      <w:r w:rsidRPr="008D5AF6">
        <w:rPr>
          <w:rFonts w:eastAsia="Times New Roman"/>
          <w:lang w:eastAsia="de-DE"/>
        </w:rPr>
        <w:t xml:space="preserve">als Qal Imperfekt, 2. Person Singular maskulin von </w:t>
      </w:r>
      <w:r w:rsidRPr="008D5AF6">
        <w:rPr>
          <w:rFonts w:eastAsia="Times New Roman"/>
          <w:b/>
          <w:bCs/>
          <w:rtl/>
          <w:lang w:eastAsia="de-DE"/>
        </w:rPr>
        <w:t>ירא</w:t>
      </w:r>
      <w:r w:rsidRPr="008D5AF6">
        <w:rPr>
          <w:rFonts w:eastAsia="Times New Roman"/>
          <w:rtl/>
          <w:lang w:eastAsia="de-DE"/>
        </w:rPr>
        <w:t xml:space="preserve"> </w:t>
      </w:r>
      <w:r w:rsidRPr="008D5AF6">
        <w:rPr>
          <w:rFonts w:eastAsia="Times New Roman"/>
          <w:lang w:eastAsia="de-DE"/>
        </w:rPr>
        <w:t xml:space="preserve">(„fürchten, sich fürchten"), </w:t>
      </w:r>
      <w:r w:rsidRPr="008D5AF6">
        <w:rPr>
          <w:rFonts w:eastAsia="Times New Roman"/>
          <w:b/>
          <w:bCs/>
          <w:rtl/>
          <w:lang w:eastAsia="de-DE"/>
        </w:rPr>
        <w:t>מֵהֶם</w:t>
      </w:r>
      <w:r w:rsidRPr="008D5AF6">
        <w:rPr>
          <w:rFonts w:eastAsia="Times New Roman"/>
          <w:rtl/>
          <w:lang w:eastAsia="de-DE"/>
        </w:rPr>
        <w:t xml:space="preserve"> </w:t>
      </w:r>
      <w:r w:rsidRPr="008D5AF6">
        <w:rPr>
          <w:rFonts w:eastAsia="Times New Roman"/>
          <w:lang w:eastAsia="de-DE"/>
        </w:rPr>
        <w:t>als präpositionale Ergänzung (</w:t>
      </w:r>
      <w:r w:rsidRPr="008D5AF6">
        <w:rPr>
          <w:rFonts w:eastAsia="Times New Roman"/>
          <w:b/>
          <w:bCs/>
          <w:rtl/>
          <w:lang w:eastAsia="de-DE"/>
        </w:rPr>
        <w:t>מִן</w:t>
      </w:r>
      <w:r w:rsidRPr="008D5AF6">
        <w:rPr>
          <w:rFonts w:eastAsia="Times New Roman"/>
          <w:rtl/>
          <w:lang w:eastAsia="de-DE"/>
        </w:rPr>
        <w:t xml:space="preserve"> </w:t>
      </w:r>
      <w:r w:rsidRPr="008D5AF6">
        <w:rPr>
          <w:rFonts w:eastAsia="Times New Roman"/>
          <w:lang w:eastAsia="de-DE"/>
        </w:rPr>
        <w:t>mit Suffix 3. Person Plural maskulin – „vor ihnen").</w:t>
      </w:r>
    </w:p>
    <w:p w14:paraId="0E1EC5E8" w14:textId="11BFB585"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rtl/>
          <w:lang w:eastAsia="de-DE"/>
        </w:rPr>
        <w:t>זָכֹר תִּזְכֹּר אֵת אֲשֶׁר־עָשָׂה יְהוָה אֱלֹהֶיךָ לְפַרְעֹה וּלְכָל־מִצְרָיִם</w:t>
      </w:r>
      <w:r w:rsidRPr="008D5AF6">
        <w:rPr>
          <w:rFonts w:eastAsia="Times New Roman"/>
          <w:rtl/>
          <w:lang w:eastAsia="de-DE"/>
        </w:rPr>
        <w:t xml:space="preserve"> </w:t>
      </w:r>
      <w:r w:rsidRPr="008D5AF6">
        <w:rPr>
          <w:rFonts w:eastAsia="Times New Roman"/>
          <w:lang w:eastAsia="de-DE"/>
        </w:rPr>
        <w:t xml:space="preserve">ist eine emphatische Konstruktion mit Infinitivus absolutus: </w:t>
      </w:r>
      <w:r w:rsidRPr="008D5AF6">
        <w:rPr>
          <w:rFonts w:eastAsia="Times New Roman"/>
          <w:b/>
          <w:bCs/>
          <w:rtl/>
          <w:lang w:eastAsia="de-DE"/>
        </w:rPr>
        <w:t>זָכֹר</w:t>
      </w:r>
      <w:r w:rsidRPr="008D5AF6">
        <w:rPr>
          <w:rFonts w:eastAsia="Times New Roman"/>
          <w:rtl/>
          <w:lang w:eastAsia="de-DE"/>
        </w:rPr>
        <w:t xml:space="preserve"> </w:t>
      </w:r>
      <w:r w:rsidRPr="008D5AF6">
        <w:rPr>
          <w:rFonts w:eastAsia="Times New Roman"/>
          <w:lang w:eastAsia="de-DE"/>
        </w:rPr>
        <w:t xml:space="preserve">(Qal Infinitiv Absolut von </w:t>
      </w:r>
      <w:r w:rsidRPr="008D5AF6">
        <w:rPr>
          <w:rFonts w:eastAsia="Times New Roman"/>
          <w:b/>
          <w:bCs/>
          <w:rtl/>
          <w:lang w:eastAsia="de-DE"/>
        </w:rPr>
        <w:t>זכר</w:t>
      </w:r>
      <w:r w:rsidRPr="008D5AF6">
        <w:rPr>
          <w:rFonts w:eastAsia="Times New Roman"/>
          <w:lang w:eastAsia="de-DE"/>
        </w:rPr>
        <w:t xml:space="preserve">, „gedenken, erinnern"), </w:t>
      </w:r>
      <w:r w:rsidRPr="008D5AF6">
        <w:rPr>
          <w:rFonts w:eastAsia="Times New Roman"/>
          <w:b/>
          <w:bCs/>
          <w:rtl/>
          <w:lang w:eastAsia="de-DE"/>
        </w:rPr>
        <w:t>תִּזְכֹּר</w:t>
      </w:r>
      <w:r w:rsidRPr="008D5AF6">
        <w:rPr>
          <w:rFonts w:eastAsia="Times New Roman"/>
          <w:rtl/>
          <w:lang w:eastAsia="de-DE"/>
        </w:rPr>
        <w:t xml:space="preserve"> </w:t>
      </w:r>
      <w:r w:rsidRPr="008D5AF6">
        <w:rPr>
          <w:rFonts w:eastAsia="Times New Roman"/>
          <w:lang w:eastAsia="de-DE"/>
        </w:rPr>
        <w:t xml:space="preserve">als Qal Imperfekt, 2. Person Singular maskulin von </w:t>
      </w:r>
      <w:r w:rsidRPr="008D5AF6">
        <w:rPr>
          <w:rFonts w:eastAsia="Times New Roman"/>
          <w:b/>
          <w:bCs/>
          <w:rtl/>
          <w:lang w:eastAsia="de-DE"/>
        </w:rPr>
        <w:t>זכר</w:t>
      </w:r>
      <w:r w:rsidRPr="008D5AF6">
        <w:rPr>
          <w:rFonts w:eastAsia="Times New Roman"/>
          <w:rtl/>
          <w:lang w:eastAsia="de-DE"/>
        </w:rPr>
        <w:t xml:space="preserve"> </w:t>
      </w:r>
      <w:r w:rsidRPr="008D5AF6">
        <w:rPr>
          <w:rFonts w:eastAsia="Times New Roman"/>
          <w:lang w:eastAsia="de-DE"/>
        </w:rPr>
        <w:t xml:space="preserve">– hier in imperativischer Funktion („gedenke doch, erinnere dich"), </w:t>
      </w:r>
      <w:r w:rsidRPr="008D5AF6">
        <w:rPr>
          <w:rFonts w:eastAsia="Times New Roman"/>
          <w:b/>
          <w:bCs/>
          <w:rtl/>
          <w:lang w:eastAsia="de-DE"/>
        </w:rPr>
        <w:t>אֵת אֲשֶׁר־עָשָׂה יְהוָה אֱלֹהֶיךָ</w:t>
      </w:r>
      <w:r w:rsidRPr="008D5AF6">
        <w:rPr>
          <w:rFonts w:eastAsia="Times New Roman"/>
          <w:rtl/>
          <w:lang w:eastAsia="de-DE"/>
        </w:rPr>
        <w:t xml:space="preserve"> </w:t>
      </w:r>
      <w:r w:rsidRPr="008D5AF6">
        <w:rPr>
          <w:rFonts w:eastAsia="Times New Roman"/>
          <w:lang w:eastAsia="de-DE"/>
        </w:rPr>
        <w:t xml:space="preserve">als direktes Objekt (nota accusativi mit Relativsatz: </w:t>
      </w:r>
      <w:r w:rsidRPr="008D5AF6">
        <w:rPr>
          <w:rFonts w:eastAsia="Times New Roman"/>
          <w:b/>
          <w:bCs/>
          <w:rtl/>
          <w:lang w:eastAsia="de-DE"/>
        </w:rPr>
        <w:t>אֲשֶׁר</w:t>
      </w:r>
      <w:r w:rsidRPr="008D5AF6">
        <w:rPr>
          <w:rFonts w:eastAsia="Times New Roman"/>
          <w:rtl/>
          <w:lang w:eastAsia="de-DE"/>
        </w:rPr>
        <w:t xml:space="preserve"> </w:t>
      </w:r>
      <w:r w:rsidRPr="008D5AF6">
        <w:rPr>
          <w:rFonts w:eastAsia="Times New Roman"/>
          <w:lang w:eastAsia="de-DE"/>
        </w:rPr>
        <w:t xml:space="preserve">als Relativpronomen, </w:t>
      </w:r>
      <w:r w:rsidRPr="008D5AF6">
        <w:rPr>
          <w:rFonts w:eastAsia="Times New Roman"/>
          <w:b/>
          <w:bCs/>
          <w:rtl/>
          <w:lang w:eastAsia="de-DE"/>
        </w:rPr>
        <w:t>עָשָׂה</w:t>
      </w:r>
      <w:r w:rsidRPr="008D5AF6">
        <w:rPr>
          <w:rFonts w:eastAsia="Times New Roman"/>
          <w:rtl/>
          <w:lang w:eastAsia="de-DE"/>
        </w:rPr>
        <w:t xml:space="preserve"> </w:t>
      </w:r>
      <w:r w:rsidRPr="008D5AF6">
        <w:rPr>
          <w:rFonts w:eastAsia="Times New Roman"/>
          <w:lang w:eastAsia="de-DE"/>
        </w:rPr>
        <w:t xml:space="preserve">als Qal Perfekt, 3. Person Singular maskulin von </w:t>
      </w:r>
      <w:r w:rsidRPr="008D5AF6">
        <w:rPr>
          <w:rFonts w:eastAsia="Times New Roman"/>
          <w:b/>
          <w:bCs/>
          <w:rtl/>
          <w:lang w:eastAsia="de-DE"/>
        </w:rPr>
        <w:t>עשׂה</w:t>
      </w:r>
      <w:r w:rsidRPr="008D5AF6">
        <w:rPr>
          <w:rFonts w:eastAsia="Times New Roman"/>
          <w:lang w:eastAsia="de-DE"/>
        </w:rPr>
        <w:t xml:space="preserve">, „tun", </w:t>
      </w:r>
      <w:r w:rsidRPr="008D5AF6">
        <w:rPr>
          <w:rFonts w:eastAsia="Times New Roman"/>
          <w:b/>
          <w:bCs/>
          <w:rtl/>
          <w:lang w:eastAsia="de-DE"/>
        </w:rPr>
        <w:t>יְהוָה אֱלֹהֶיךָ</w:t>
      </w:r>
      <w:r w:rsidRPr="008D5AF6">
        <w:rPr>
          <w:rFonts w:eastAsia="Times New Roman"/>
          <w:rtl/>
          <w:lang w:eastAsia="de-DE"/>
        </w:rPr>
        <w:t xml:space="preserve"> </w:t>
      </w:r>
      <w:r w:rsidRPr="008D5AF6">
        <w:rPr>
          <w:rFonts w:eastAsia="Times New Roman"/>
          <w:lang w:eastAsia="de-DE"/>
        </w:rPr>
        <w:t xml:space="preserve">als erweitertes Subjekt), </w:t>
      </w:r>
      <w:r w:rsidRPr="008D5AF6">
        <w:rPr>
          <w:rFonts w:eastAsia="Times New Roman"/>
          <w:b/>
          <w:bCs/>
          <w:rtl/>
          <w:lang w:eastAsia="de-DE"/>
        </w:rPr>
        <w:t>לְפַרְעֹה וּלְכָל־מִצְרָיִם</w:t>
      </w:r>
      <w:r w:rsidRPr="008D5AF6">
        <w:rPr>
          <w:rFonts w:eastAsia="Times New Roman"/>
          <w:rtl/>
          <w:lang w:eastAsia="de-DE"/>
        </w:rPr>
        <w:t xml:space="preserve"> </w:t>
      </w:r>
      <w:r w:rsidRPr="008D5AF6">
        <w:rPr>
          <w:rFonts w:eastAsia="Times New Roman"/>
          <w:lang w:eastAsia="de-DE"/>
        </w:rPr>
        <w:t xml:space="preserve">als zweigliedrige </w:t>
      </w:r>
      <w:r w:rsidRPr="008D5AF6">
        <w:rPr>
          <w:rFonts w:eastAsia="Times New Roman"/>
          <w:lang w:eastAsia="de-DE"/>
        </w:rPr>
        <w:lastRenderedPageBreak/>
        <w:t>koordinierte indirekte Objektangabe (</w:t>
      </w:r>
      <w:r w:rsidRPr="008D5AF6">
        <w:rPr>
          <w:rFonts w:eastAsia="Times New Roman"/>
          <w:b/>
          <w:bCs/>
          <w:rtl/>
          <w:lang w:eastAsia="de-DE"/>
        </w:rPr>
        <w:t>לְ</w:t>
      </w:r>
      <w:r w:rsidRPr="008D5AF6">
        <w:rPr>
          <w:rFonts w:eastAsia="Times New Roman"/>
          <w:rtl/>
          <w:lang w:eastAsia="de-DE"/>
        </w:rPr>
        <w:t xml:space="preserve"> </w:t>
      </w:r>
      <w:r w:rsidRPr="008D5AF6">
        <w:rPr>
          <w:rFonts w:eastAsia="Times New Roman"/>
          <w:lang w:eastAsia="de-DE"/>
        </w:rPr>
        <w:t xml:space="preserve">mit </w:t>
      </w:r>
      <w:r w:rsidRPr="008D5AF6">
        <w:rPr>
          <w:rFonts w:eastAsia="Times New Roman"/>
          <w:b/>
          <w:bCs/>
          <w:rtl/>
          <w:lang w:eastAsia="de-DE"/>
        </w:rPr>
        <w:t>פַּרְעֹה</w:t>
      </w:r>
      <w:r w:rsidRPr="008D5AF6">
        <w:rPr>
          <w:rFonts w:eastAsia="Times New Roman"/>
          <w:lang w:eastAsia="de-DE"/>
        </w:rPr>
        <w:t xml:space="preserve">, koordiniert mit </w:t>
      </w:r>
      <w:r w:rsidRPr="008D5AF6">
        <w:rPr>
          <w:rFonts w:eastAsia="Times New Roman"/>
          <w:b/>
          <w:bCs/>
          <w:rtl/>
          <w:lang w:eastAsia="de-DE"/>
        </w:rPr>
        <w:t>לְ</w:t>
      </w:r>
      <w:r w:rsidRPr="008D5AF6">
        <w:rPr>
          <w:rFonts w:eastAsia="Times New Roman"/>
          <w:lang w:eastAsia="de-DE"/>
        </w:rPr>
        <w:t xml:space="preserve">, </w:t>
      </w:r>
      <w:r w:rsidRPr="008D5AF6">
        <w:rPr>
          <w:rFonts w:eastAsia="Times New Roman"/>
          <w:b/>
          <w:bCs/>
          <w:rtl/>
          <w:lang w:eastAsia="de-DE"/>
        </w:rPr>
        <w:t>כָּל</w:t>
      </w:r>
      <w:r w:rsidRPr="008D5AF6">
        <w:rPr>
          <w:rFonts w:eastAsia="Times New Roman"/>
          <w:rtl/>
          <w:lang w:eastAsia="de-DE"/>
        </w:rPr>
        <w:t xml:space="preserve"> </w:t>
      </w:r>
      <w:r w:rsidRPr="008D5AF6">
        <w:rPr>
          <w:rFonts w:eastAsia="Times New Roman"/>
          <w:lang w:eastAsia="de-DE"/>
        </w:rPr>
        <w:t xml:space="preserve">und </w:t>
      </w:r>
      <w:r w:rsidRPr="008D5AF6">
        <w:rPr>
          <w:rFonts w:eastAsia="Times New Roman"/>
          <w:b/>
          <w:bCs/>
          <w:rtl/>
          <w:lang w:eastAsia="de-DE"/>
        </w:rPr>
        <w:t>מִצְרַיִם</w:t>
      </w:r>
      <w:r w:rsidRPr="008D5AF6">
        <w:rPr>
          <w:rFonts w:eastAsia="Times New Roman"/>
          <w:rtl/>
          <w:lang w:eastAsia="de-DE"/>
        </w:rPr>
        <w:t xml:space="preserve"> </w:t>
      </w:r>
      <w:r w:rsidRPr="008D5AF6">
        <w:rPr>
          <w:rFonts w:eastAsia="Times New Roman"/>
          <w:lang w:eastAsia="de-DE"/>
        </w:rPr>
        <w:t xml:space="preserve">– „dem </w:t>
      </w:r>
      <w:r w:rsidR="003F0E7B">
        <w:rPr>
          <w:rFonts w:eastAsia="Times New Roman"/>
          <w:lang w:eastAsia="de-DE"/>
        </w:rPr>
        <w:t>Par’o</w:t>
      </w:r>
      <w:r w:rsidRPr="008D5AF6">
        <w:rPr>
          <w:rFonts w:eastAsia="Times New Roman"/>
          <w:lang w:eastAsia="de-DE"/>
        </w:rPr>
        <w:t xml:space="preserve"> und ganz Ägypten").</w:t>
      </w:r>
    </w:p>
    <w:p w14:paraId="4D9B0635" w14:textId="5056FFD3"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 xml:space="preserve">Die Antwort auf die Furcht (V. 17) ist die Erinnerung an JHWHs mächtiges Handeln beim Exodus. Die Konstruktion </w:t>
      </w:r>
      <w:r w:rsidRPr="008D5AF6">
        <w:rPr>
          <w:rFonts w:eastAsia="Times New Roman"/>
          <w:b/>
          <w:bCs/>
          <w:lang w:eastAsia="de-DE"/>
        </w:rPr>
        <w:t>Infinitivus absolutus + finites Verb</w:t>
      </w:r>
      <w:r w:rsidRPr="008D5AF6">
        <w:rPr>
          <w:rFonts w:eastAsia="Times New Roman"/>
          <w:lang w:eastAsia="de-DE"/>
        </w:rPr>
        <w:t xml:space="preserve"> verleiht höchste Emphase: „gedenke gewiss, erinnere dich unbedingt!" Der Verweis auf </w:t>
      </w:r>
      <w:r w:rsidR="003F0E7B">
        <w:rPr>
          <w:rFonts w:eastAsia="Times New Roman"/>
          <w:lang w:eastAsia="de-DE"/>
        </w:rPr>
        <w:t>Par’o</w:t>
      </w:r>
      <w:r w:rsidRPr="008D5AF6">
        <w:rPr>
          <w:rFonts w:eastAsia="Times New Roman"/>
          <w:lang w:eastAsia="de-DE"/>
        </w:rPr>
        <w:t xml:space="preserve"> und Ägypten soll Israel daran erinnern, dass JHWH bereits eine viel größere Macht besiegt hat. Dies ist ein klassisches deuteronomisches Argumentationsmuster: Die Vergangenheit (Exodus) wird zur Ermutigung für die Gegenwart (Landnahme).</w:t>
      </w:r>
    </w:p>
    <w:p w14:paraId="4F4A108B"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Die LXX</w:t>
      </w:r>
      <w:r w:rsidRPr="008D5AF6">
        <w:rPr>
          <w:rFonts w:eastAsia="Times New Roman"/>
          <w:lang w:eastAsia="de-DE"/>
        </w:rPr>
        <w:t xml:space="preserve"> übersetzt den Infinitivus absolutus idiomatisch mit </w:t>
      </w:r>
      <w:proofErr w:type="spellStart"/>
      <w:r w:rsidRPr="008D5AF6">
        <w:rPr>
          <w:rFonts w:eastAsia="Times New Roman"/>
          <w:b/>
          <w:bCs/>
          <w:lang w:eastAsia="de-DE"/>
        </w:rPr>
        <w:t>μνείᾳ</w:t>
      </w:r>
      <w:proofErr w:type="spellEnd"/>
      <w:r w:rsidRPr="008D5AF6">
        <w:rPr>
          <w:rFonts w:eastAsia="Times New Roman"/>
          <w:b/>
          <w:bCs/>
          <w:lang w:eastAsia="de-DE"/>
        </w:rPr>
        <w:t xml:space="preserve"> </w:t>
      </w:r>
      <w:proofErr w:type="spellStart"/>
      <w:r w:rsidRPr="008D5AF6">
        <w:rPr>
          <w:rFonts w:eastAsia="Times New Roman"/>
          <w:b/>
          <w:bCs/>
          <w:lang w:eastAsia="de-DE"/>
        </w:rPr>
        <w:t>μνησθήσῃ</w:t>
      </w:r>
      <w:proofErr w:type="spellEnd"/>
      <w:r w:rsidRPr="008D5AF6">
        <w:rPr>
          <w:rFonts w:eastAsia="Times New Roman"/>
          <w:lang w:eastAsia="de-DE"/>
        </w:rPr>
        <w:t xml:space="preserve"> („mit Erinnerung erinnern" = „gründlich erinnern").</w:t>
      </w:r>
    </w:p>
    <w:p w14:paraId="676996E9"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Die Satzstruktur ist ein prohibitiver Satz mit Negation, Prädikat und präpositionaler Ergänzung, gefolgt von einer emphatischen Konstruktion mit Infinitivus absolutus, finitem Verb in imperativischer Funktion, direktem Objekt (Relativsatz mit Prädikat und erweitertem Subjekt) und zweigliedriger koordinierter indirekter Objektangabe. Die Struktur kontrastiert das Verbot der Furcht mit dem Gebot der Erinnerung.</w:t>
      </w:r>
    </w:p>
    <w:p w14:paraId="58CF507E" w14:textId="237D7B64"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 xml:space="preserve">Der Vers gibt die Antwort auf die Furcht: Fürchte dich nicht! Erinnere dich vielmehr an das, was JHWH dem </w:t>
      </w:r>
      <w:r w:rsidR="003F0E7B">
        <w:rPr>
          <w:rFonts w:eastAsia="Times New Roman"/>
          <w:lang w:eastAsia="de-DE"/>
        </w:rPr>
        <w:t>Par’o</w:t>
      </w:r>
      <w:r w:rsidRPr="008D5AF6">
        <w:rPr>
          <w:rFonts w:eastAsia="Times New Roman"/>
          <w:lang w:eastAsia="de-DE"/>
        </w:rPr>
        <w:t xml:space="preserve"> und ganz Ägypten getan hat – die Exodus-Erinnerung als Quelle des Mutes.</w:t>
      </w:r>
    </w:p>
    <w:p w14:paraId="244FE889" w14:textId="77777777" w:rsidR="008D5AF6" w:rsidRPr="008D5AF6" w:rsidRDefault="008D5AF6" w:rsidP="008D5AF6">
      <w:pPr>
        <w:spacing w:before="100" w:beforeAutospacing="1" w:after="100" w:afterAutospacing="1" w:line="240" w:lineRule="auto"/>
        <w:outlineLvl w:val="1"/>
        <w:rPr>
          <w:rFonts w:eastAsia="Times New Roman"/>
          <w:b/>
          <w:bCs/>
          <w:sz w:val="36"/>
          <w:szCs w:val="36"/>
          <w:lang w:eastAsia="de-DE"/>
        </w:rPr>
      </w:pPr>
      <w:r w:rsidRPr="008D5AF6">
        <w:rPr>
          <w:rFonts w:eastAsia="Times New Roman"/>
          <w:b/>
          <w:bCs/>
          <w:sz w:val="36"/>
          <w:szCs w:val="36"/>
          <w:lang w:eastAsia="de-DE"/>
        </w:rPr>
        <w:t>Deuteronomium 7,19</w:t>
      </w:r>
    </w:p>
    <w:p w14:paraId="2898A5CA"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Hebräisch:</w:t>
      </w:r>
      <w:r w:rsidRPr="008D5AF6">
        <w:rPr>
          <w:rFonts w:eastAsia="Times New Roman"/>
          <w:lang w:eastAsia="de-DE"/>
        </w:rPr>
        <w:t xml:space="preserve"> </w:t>
      </w:r>
      <w:r w:rsidRPr="008D5AF6">
        <w:rPr>
          <w:rFonts w:eastAsia="Times New Roman"/>
          <w:rtl/>
          <w:lang w:eastAsia="de-DE"/>
        </w:rPr>
        <w:t>הַמַּסֹּת הַגְּדֹלֹת אֲשֶׁר־רָאוּ עֵינֶיךָ וְהָאֹתֹת וְהַמֹּפְתִים וְהַיָּד הַחֲזָקָה וְהַזְּרֹעַ הַנְּטוּיָה אֲשֶׁר הוֹצִאֲךָ יְהוָה אֱלֹהֶיךָ כֵּן־יַעֲשֶׂה יְהוָה אֱלֹהֶיךָ לְכָל־הָעַמִּים אֲשֶׁר־אַתָּה יָרֵא מִפְּנֵיהֶם׃</w:t>
      </w:r>
    </w:p>
    <w:p w14:paraId="031CFDF2"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Deutsch:</w:t>
      </w:r>
      <w:r w:rsidRPr="008D5AF6">
        <w:rPr>
          <w:rFonts w:eastAsia="Times New Roman"/>
          <w:lang w:eastAsia="de-DE"/>
        </w:rPr>
        <w:t xml:space="preserve"> der großen Prüfungen, die deine Augen gesehen haben, und der Zeichen und der Wunder und der starken Hand und des ausgestreckten Arms, womit der Ewige, dein Gott, dich herausgeführt hat. So wird der Ewige, dein Gott, an allen Völkern tun, vor denen du dich fürchtest.</w:t>
      </w:r>
    </w:p>
    <w:p w14:paraId="0A46CBF0" w14:textId="77777777" w:rsidR="008D5AF6" w:rsidRPr="008D5AF6" w:rsidRDefault="004F5CEB" w:rsidP="008D5AF6">
      <w:pPr>
        <w:spacing w:after="0" w:line="240" w:lineRule="auto"/>
        <w:rPr>
          <w:rFonts w:eastAsia="Times New Roman"/>
          <w:lang w:eastAsia="de-DE"/>
        </w:rPr>
      </w:pPr>
      <w:r>
        <w:rPr>
          <w:rFonts w:eastAsia="Times New Roman"/>
          <w:noProof/>
          <w:lang w:eastAsia="de-DE"/>
        </w:rPr>
        <w:pict w14:anchorId="649F11CA">
          <v:rect id="_x0000_i1262" style="width:0;height:1.5pt" o:hralign="center" o:hrstd="t" o:hr="t" fillcolor="#a0a0a0" stroked="f"/>
        </w:pict>
      </w:r>
    </w:p>
    <w:p w14:paraId="590A714F"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Kommentar:</w:t>
      </w:r>
      <w:r w:rsidRPr="008D5AF6">
        <w:rPr>
          <w:rFonts w:eastAsia="Times New Roman"/>
          <w:lang w:eastAsia="de-DE"/>
        </w:rPr>
        <w:t xml:space="preserve"> </w:t>
      </w:r>
      <w:r w:rsidRPr="008D5AF6">
        <w:rPr>
          <w:rFonts w:eastAsia="Times New Roman"/>
          <w:b/>
          <w:bCs/>
          <w:rtl/>
          <w:lang w:eastAsia="de-DE"/>
        </w:rPr>
        <w:t>הַמַּסֹּת הַגְּדֹלֹת אֲשֶׁר־רָאוּ עֵינֶיךָ</w:t>
      </w:r>
      <w:r w:rsidRPr="008D5AF6">
        <w:rPr>
          <w:rFonts w:eastAsia="Times New Roman"/>
          <w:rtl/>
          <w:lang w:eastAsia="de-DE"/>
        </w:rPr>
        <w:t xml:space="preserve"> </w:t>
      </w:r>
      <w:r w:rsidRPr="008D5AF6">
        <w:rPr>
          <w:rFonts w:eastAsia="Times New Roman"/>
          <w:lang w:eastAsia="de-DE"/>
        </w:rPr>
        <w:t xml:space="preserve">ist eine appositionelle Entfaltung des Objekts aus V. 18: </w:t>
      </w:r>
      <w:r w:rsidRPr="008D5AF6">
        <w:rPr>
          <w:rFonts w:eastAsia="Times New Roman"/>
          <w:b/>
          <w:bCs/>
          <w:rtl/>
          <w:lang w:eastAsia="de-DE"/>
        </w:rPr>
        <w:t>הַמַּסֹּת הַגְּדֹלֹת</w:t>
      </w:r>
      <w:r w:rsidRPr="008D5AF6">
        <w:rPr>
          <w:rFonts w:eastAsia="Times New Roman"/>
          <w:rtl/>
          <w:lang w:eastAsia="de-DE"/>
        </w:rPr>
        <w:t xml:space="preserve"> </w:t>
      </w:r>
      <w:r w:rsidRPr="008D5AF6">
        <w:rPr>
          <w:rFonts w:eastAsia="Times New Roman"/>
          <w:lang w:eastAsia="de-DE"/>
        </w:rPr>
        <w:t>(</w:t>
      </w:r>
      <w:r w:rsidRPr="008D5AF6">
        <w:rPr>
          <w:rFonts w:eastAsia="Times New Roman"/>
          <w:b/>
          <w:bCs/>
          <w:rtl/>
          <w:lang w:eastAsia="de-DE"/>
        </w:rPr>
        <w:t>מַסָּה</w:t>
      </w:r>
      <w:r w:rsidRPr="008D5AF6">
        <w:rPr>
          <w:rFonts w:eastAsia="Times New Roman"/>
          <w:lang w:eastAsia="de-DE"/>
        </w:rPr>
        <w:t xml:space="preserve">, „Prüfung, Versuchung, Erprobung" – hier im Sinne von „göttlicher Machterweis", Plural feminin mit Artikel und Adjektiv </w:t>
      </w:r>
      <w:r w:rsidRPr="008D5AF6">
        <w:rPr>
          <w:rFonts w:eastAsia="Times New Roman"/>
          <w:b/>
          <w:bCs/>
          <w:rtl/>
          <w:lang w:eastAsia="de-DE"/>
        </w:rPr>
        <w:t>הַגְּדֹלֹת</w:t>
      </w:r>
      <w:r w:rsidRPr="008D5AF6">
        <w:rPr>
          <w:rFonts w:eastAsia="Times New Roman"/>
          <w:lang w:eastAsia="de-DE"/>
        </w:rPr>
        <w:t xml:space="preserve">, „die großen"), </w:t>
      </w:r>
      <w:r w:rsidRPr="008D5AF6">
        <w:rPr>
          <w:rFonts w:eastAsia="Times New Roman"/>
          <w:b/>
          <w:bCs/>
          <w:rtl/>
          <w:lang w:eastAsia="de-DE"/>
        </w:rPr>
        <w:t>אֲשֶׁר־רָאוּ עֵינֶיךָ</w:t>
      </w:r>
      <w:r w:rsidRPr="008D5AF6">
        <w:rPr>
          <w:rFonts w:eastAsia="Times New Roman"/>
          <w:rtl/>
          <w:lang w:eastAsia="de-DE"/>
        </w:rPr>
        <w:t xml:space="preserve"> </w:t>
      </w:r>
      <w:r w:rsidRPr="008D5AF6">
        <w:rPr>
          <w:rFonts w:eastAsia="Times New Roman"/>
          <w:lang w:eastAsia="de-DE"/>
        </w:rPr>
        <w:t xml:space="preserve">als Relativsatz (Qal Perfekt, 3. Person Plural von </w:t>
      </w:r>
      <w:r w:rsidRPr="008D5AF6">
        <w:rPr>
          <w:rFonts w:eastAsia="Times New Roman"/>
          <w:b/>
          <w:bCs/>
          <w:rtl/>
          <w:lang w:eastAsia="de-DE"/>
        </w:rPr>
        <w:t>ראה</w:t>
      </w:r>
      <w:r w:rsidRPr="008D5AF6">
        <w:rPr>
          <w:rFonts w:eastAsia="Times New Roman"/>
          <w:lang w:eastAsia="de-DE"/>
        </w:rPr>
        <w:t xml:space="preserve">, „sehen", </w:t>
      </w:r>
      <w:r w:rsidRPr="008D5AF6">
        <w:rPr>
          <w:rFonts w:eastAsia="Times New Roman"/>
          <w:b/>
          <w:bCs/>
          <w:rtl/>
          <w:lang w:eastAsia="de-DE"/>
        </w:rPr>
        <w:t>עֵינֶיךָ</w:t>
      </w:r>
      <w:r w:rsidRPr="008D5AF6">
        <w:rPr>
          <w:rFonts w:eastAsia="Times New Roman"/>
          <w:rtl/>
          <w:lang w:eastAsia="de-DE"/>
        </w:rPr>
        <w:t xml:space="preserve"> </w:t>
      </w:r>
      <w:r w:rsidRPr="008D5AF6">
        <w:rPr>
          <w:rFonts w:eastAsia="Times New Roman"/>
          <w:lang w:eastAsia="de-DE"/>
        </w:rPr>
        <w:t xml:space="preserve">als Subjekt – </w:t>
      </w:r>
      <w:r w:rsidRPr="008D5AF6">
        <w:rPr>
          <w:rFonts w:eastAsia="Times New Roman"/>
          <w:b/>
          <w:bCs/>
          <w:rtl/>
          <w:lang w:eastAsia="de-DE"/>
        </w:rPr>
        <w:t>עַיִן</w:t>
      </w:r>
      <w:r w:rsidRPr="008D5AF6">
        <w:rPr>
          <w:rFonts w:eastAsia="Times New Roman"/>
          <w:lang w:eastAsia="de-DE"/>
        </w:rPr>
        <w:t>, Dual, mit Suffix 2. Person Singular maskulin).</w:t>
      </w:r>
    </w:p>
    <w:p w14:paraId="00A9BA3C"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rtl/>
          <w:lang w:eastAsia="de-DE"/>
        </w:rPr>
        <w:t>וְהָאֹתֹת וְהַמֹּפְתִים וְהַיָּד הַחֲזָקָה וְהַזְּרֹעַ הַנְּטוּיָה</w:t>
      </w:r>
      <w:r w:rsidRPr="008D5AF6">
        <w:rPr>
          <w:rFonts w:eastAsia="Times New Roman"/>
          <w:rtl/>
          <w:lang w:eastAsia="de-DE"/>
        </w:rPr>
        <w:t xml:space="preserve"> </w:t>
      </w:r>
      <w:r w:rsidRPr="008D5AF6">
        <w:rPr>
          <w:rFonts w:eastAsia="Times New Roman"/>
          <w:lang w:eastAsia="de-DE"/>
        </w:rPr>
        <w:t xml:space="preserve">ist eine viergliedrige koordinierte Aufzählung: </w:t>
      </w:r>
      <w:r w:rsidRPr="008D5AF6">
        <w:rPr>
          <w:rFonts w:eastAsia="Times New Roman"/>
          <w:b/>
          <w:bCs/>
          <w:rtl/>
          <w:lang w:eastAsia="de-DE"/>
        </w:rPr>
        <w:t>הָאֹתֹת</w:t>
      </w:r>
      <w:r w:rsidRPr="008D5AF6">
        <w:rPr>
          <w:rFonts w:eastAsia="Times New Roman"/>
          <w:rtl/>
          <w:lang w:eastAsia="de-DE"/>
        </w:rPr>
        <w:t xml:space="preserve"> </w:t>
      </w:r>
      <w:r w:rsidRPr="008D5AF6">
        <w:rPr>
          <w:rFonts w:eastAsia="Times New Roman"/>
          <w:lang w:eastAsia="de-DE"/>
        </w:rPr>
        <w:t>(</w:t>
      </w:r>
      <w:r w:rsidRPr="008D5AF6">
        <w:rPr>
          <w:rFonts w:eastAsia="Times New Roman"/>
          <w:b/>
          <w:bCs/>
          <w:rtl/>
          <w:lang w:eastAsia="de-DE"/>
        </w:rPr>
        <w:t>אוֹת</w:t>
      </w:r>
      <w:r w:rsidRPr="008D5AF6">
        <w:rPr>
          <w:rFonts w:eastAsia="Times New Roman"/>
          <w:lang w:eastAsia="de-DE"/>
        </w:rPr>
        <w:t xml:space="preserve">, „Zeichen", Plural mit Artikel), </w:t>
      </w:r>
      <w:r w:rsidRPr="008D5AF6">
        <w:rPr>
          <w:rFonts w:eastAsia="Times New Roman"/>
          <w:b/>
          <w:bCs/>
          <w:rtl/>
          <w:lang w:eastAsia="de-DE"/>
        </w:rPr>
        <w:t>הַמֹּפְתִים</w:t>
      </w:r>
      <w:r w:rsidRPr="008D5AF6">
        <w:rPr>
          <w:rFonts w:eastAsia="Times New Roman"/>
          <w:rtl/>
          <w:lang w:eastAsia="de-DE"/>
        </w:rPr>
        <w:t xml:space="preserve"> </w:t>
      </w:r>
      <w:r w:rsidRPr="008D5AF6">
        <w:rPr>
          <w:rFonts w:eastAsia="Times New Roman"/>
          <w:lang w:eastAsia="de-DE"/>
        </w:rPr>
        <w:t>(</w:t>
      </w:r>
      <w:r w:rsidRPr="008D5AF6">
        <w:rPr>
          <w:rFonts w:eastAsia="Times New Roman"/>
          <w:b/>
          <w:bCs/>
          <w:rtl/>
          <w:lang w:eastAsia="de-DE"/>
        </w:rPr>
        <w:t>מוֹפֵת</w:t>
      </w:r>
      <w:r w:rsidRPr="008D5AF6">
        <w:rPr>
          <w:rFonts w:eastAsia="Times New Roman"/>
          <w:lang w:eastAsia="de-DE"/>
        </w:rPr>
        <w:t xml:space="preserve">, „Wunder, Zeichen", Plural mit Artikel), </w:t>
      </w:r>
      <w:r w:rsidRPr="008D5AF6">
        <w:rPr>
          <w:rFonts w:eastAsia="Times New Roman"/>
          <w:b/>
          <w:bCs/>
          <w:rtl/>
          <w:lang w:eastAsia="de-DE"/>
        </w:rPr>
        <w:t>הַיָּד הַחֲזָקָה</w:t>
      </w:r>
      <w:r w:rsidRPr="008D5AF6">
        <w:rPr>
          <w:rFonts w:eastAsia="Times New Roman"/>
          <w:rtl/>
          <w:lang w:eastAsia="de-DE"/>
        </w:rPr>
        <w:t xml:space="preserve"> </w:t>
      </w:r>
      <w:r w:rsidRPr="008D5AF6">
        <w:rPr>
          <w:rFonts w:eastAsia="Times New Roman"/>
          <w:lang w:eastAsia="de-DE"/>
        </w:rPr>
        <w:t>(</w:t>
      </w:r>
      <w:r w:rsidRPr="008D5AF6">
        <w:rPr>
          <w:rFonts w:eastAsia="Times New Roman"/>
          <w:b/>
          <w:bCs/>
          <w:rtl/>
          <w:lang w:eastAsia="de-DE"/>
        </w:rPr>
        <w:t>יָד</w:t>
      </w:r>
      <w:r w:rsidRPr="008D5AF6">
        <w:rPr>
          <w:rFonts w:eastAsia="Times New Roman"/>
          <w:rtl/>
          <w:lang w:eastAsia="de-DE"/>
        </w:rPr>
        <w:t xml:space="preserve"> </w:t>
      </w:r>
      <w:r w:rsidRPr="008D5AF6">
        <w:rPr>
          <w:rFonts w:eastAsia="Times New Roman"/>
          <w:lang w:eastAsia="de-DE"/>
        </w:rPr>
        <w:t xml:space="preserve">mit Artikel und Adjektiv </w:t>
      </w:r>
      <w:r w:rsidRPr="008D5AF6">
        <w:rPr>
          <w:rFonts w:eastAsia="Times New Roman"/>
          <w:b/>
          <w:bCs/>
          <w:rtl/>
          <w:lang w:eastAsia="de-DE"/>
        </w:rPr>
        <w:t>הַחֲזָקָה</w:t>
      </w:r>
      <w:r w:rsidRPr="008D5AF6">
        <w:rPr>
          <w:rFonts w:eastAsia="Times New Roman"/>
          <w:lang w:eastAsia="de-DE"/>
        </w:rPr>
        <w:t xml:space="preserve">, „die starke Hand"), </w:t>
      </w:r>
      <w:r w:rsidRPr="008D5AF6">
        <w:rPr>
          <w:rFonts w:eastAsia="Times New Roman"/>
          <w:b/>
          <w:bCs/>
          <w:rtl/>
          <w:lang w:eastAsia="de-DE"/>
        </w:rPr>
        <w:t>הַזְּרֹעַ הַנְּטוּיָה</w:t>
      </w:r>
      <w:r w:rsidRPr="008D5AF6">
        <w:rPr>
          <w:rFonts w:eastAsia="Times New Roman"/>
          <w:rtl/>
          <w:lang w:eastAsia="de-DE"/>
        </w:rPr>
        <w:t xml:space="preserve"> </w:t>
      </w:r>
      <w:r w:rsidRPr="008D5AF6">
        <w:rPr>
          <w:rFonts w:eastAsia="Times New Roman"/>
          <w:lang w:eastAsia="de-DE"/>
        </w:rPr>
        <w:t>(</w:t>
      </w:r>
      <w:r w:rsidRPr="008D5AF6">
        <w:rPr>
          <w:rFonts w:eastAsia="Times New Roman"/>
          <w:b/>
          <w:bCs/>
          <w:rtl/>
          <w:lang w:eastAsia="de-DE"/>
        </w:rPr>
        <w:t>זְרוֹעַ</w:t>
      </w:r>
      <w:r w:rsidRPr="008D5AF6">
        <w:rPr>
          <w:rFonts w:eastAsia="Times New Roman"/>
          <w:lang w:eastAsia="de-DE"/>
        </w:rPr>
        <w:t xml:space="preserve">, „Arm", mit Artikel und Qal Passiv Partizip feminin von </w:t>
      </w:r>
      <w:r w:rsidRPr="008D5AF6">
        <w:rPr>
          <w:rFonts w:eastAsia="Times New Roman"/>
          <w:b/>
          <w:bCs/>
          <w:rtl/>
          <w:lang w:eastAsia="de-DE"/>
        </w:rPr>
        <w:t>נטה</w:t>
      </w:r>
      <w:r w:rsidRPr="008D5AF6">
        <w:rPr>
          <w:rFonts w:eastAsia="Times New Roman"/>
          <w:lang w:eastAsia="de-DE"/>
        </w:rPr>
        <w:t xml:space="preserve">, „ausstrecken" – </w:t>
      </w:r>
      <w:r w:rsidRPr="008D5AF6">
        <w:rPr>
          <w:rFonts w:eastAsia="Times New Roman"/>
          <w:b/>
          <w:bCs/>
          <w:rtl/>
          <w:lang w:eastAsia="de-DE"/>
        </w:rPr>
        <w:t>הַנְּטוּיָה</w:t>
      </w:r>
      <w:r w:rsidRPr="008D5AF6">
        <w:rPr>
          <w:rFonts w:eastAsia="Times New Roman"/>
          <w:lang w:eastAsia="de-DE"/>
        </w:rPr>
        <w:t>, „der ausgestreckte").</w:t>
      </w:r>
    </w:p>
    <w:p w14:paraId="0A5A527D"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rtl/>
          <w:lang w:eastAsia="de-DE"/>
        </w:rPr>
        <w:lastRenderedPageBreak/>
        <w:t>אֲשֶׁר הוֹצִאֲךָ יְהוָה אֱלֹהֶיךָ</w:t>
      </w:r>
      <w:r w:rsidRPr="008D5AF6">
        <w:rPr>
          <w:rFonts w:eastAsia="Times New Roman"/>
          <w:rtl/>
          <w:lang w:eastAsia="de-DE"/>
        </w:rPr>
        <w:t xml:space="preserve"> </w:t>
      </w:r>
      <w:r w:rsidRPr="008D5AF6">
        <w:rPr>
          <w:rFonts w:eastAsia="Times New Roman"/>
          <w:lang w:eastAsia="de-DE"/>
        </w:rPr>
        <w:t xml:space="preserve">ist ein Relativsatz: </w:t>
      </w:r>
      <w:r w:rsidRPr="008D5AF6">
        <w:rPr>
          <w:rFonts w:eastAsia="Times New Roman"/>
          <w:b/>
          <w:bCs/>
          <w:rtl/>
          <w:lang w:eastAsia="de-DE"/>
        </w:rPr>
        <w:t>אֲשֶׁר</w:t>
      </w:r>
      <w:r w:rsidRPr="008D5AF6">
        <w:rPr>
          <w:rFonts w:eastAsia="Times New Roman"/>
          <w:rtl/>
          <w:lang w:eastAsia="de-DE"/>
        </w:rPr>
        <w:t xml:space="preserve"> </w:t>
      </w:r>
      <w:r w:rsidRPr="008D5AF6">
        <w:rPr>
          <w:rFonts w:eastAsia="Times New Roman"/>
          <w:lang w:eastAsia="de-DE"/>
        </w:rPr>
        <w:t xml:space="preserve">als Relativpronomen (bezogen auf die gesamte vorangehende Aufzählung), </w:t>
      </w:r>
      <w:r w:rsidRPr="008D5AF6">
        <w:rPr>
          <w:rFonts w:eastAsia="Times New Roman"/>
          <w:b/>
          <w:bCs/>
          <w:rtl/>
          <w:lang w:eastAsia="de-DE"/>
        </w:rPr>
        <w:t>הוֹצִאֲךָ</w:t>
      </w:r>
      <w:r w:rsidRPr="008D5AF6">
        <w:rPr>
          <w:rFonts w:eastAsia="Times New Roman"/>
          <w:rtl/>
          <w:lang w:eastAsia="de-DE"/>
        </w:rPr>
        <w:t xml:space="preserve"> </w:t>
      </w:r>
      <w:r w:rsidRPr="008D5AF6">
        <w:rPr>
          <w:rFonts w:eastAsia="Times New Roman"/>
          <w:lang w:eastAsia="de-DE"/>
        </w:rPr>
        <w:t xml:space="preserve">als Hifil Perfekt, 3. Person Singular maskulin von </w:t>
      </w:r>
      <w:r w:rsidRPr="008D5AF6">
        <w:rPr>
          <w:rFonts w:eastAsia="Times New Roman"/>
          <w:b/>
          <w:bCs/>
          <w:rtl/>
          <w:lang w:eastAsia="de-DE"/>
        </w:rPr>
        <w:t>יצא</w:t>
      </w:r>
      <w:r w:rsidRPr="008D5AF6">
        <w:rPr>
          <w:rFonts w:eastAsia="Times New Roman"/>
          <w:lang w:eastAsia="de-DE"/>
        </w:rPr>
        <w:t xml:space="preserve">, „herausführen", mit Suffix 2. Person Singular maskulin, </w:t>
      </w:r>
      <w:r w:rsidRPr="008D5AF6">
        <w:rPr>
          <w:rFonts w:eastAsia="Times New Roman"/>
          <w:b/>
          <w:bCs/>
          <w:rtl/>
          <w:lang w:eastAsia="de-DE"/>
        </w:rPr>
        <w:t>יְהוָה אֱלֹהֶיךָ</w:t>
      </w:r>
      <w:r w:rsidRPr="008D5AF6">
        <w:rPr>
          <w:rFonts w:eastAsia="Times New Roman"/>
          <w:rtl/>
          <w:lang w:eastAsia="de-DE"/>
        </w:rPr>
        <w:t xml:space="preserve"> </w:t>
      </w:r>
      <w:r w:rsidRPr="008D5AF6">
        <w:rPr>
          <w:rFonts w:eastAsia="Times New Roman"/>
          <w:lang w:eastAsia="de-DE"/>
        </w:rPr>
        <w:t>als erweitertes Subjekt.</w:t>
      </w:r>
    </w:p>
    <w:p w14:paraId="461B2BD9"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rtl/>
          <w:lang w:eastAsia="de-DE"/>
        </w:rPr>
        <w:t>כֵּן־יַעֲשֶׂה יְהוָה אֱלֹהֶיךָ לְכָל־הָעַמִּים אֲשֶׁר־אַתָּה יָרֵא מִפְּנֵיהֶם</w:t>
      </w:r>
      <w:r w:rsidRPr="008D5AF6">
        <w:rPr>
          <w:rFonts w:eastAsia="Times New Roman"/>
          <w:rtl/>
          <w:lang w:eastAsia="de-DE"/>
        </w:rPr>
        <w:t xml:space="preserve"> </w:t>
      </w:r>
      <w:r w:rsidRPr="008D5AF6">
        <w:rPr>
          <w:rFonts w:eastAsia="Times New Roman"/>
          <w:lang w:eastAsia="de-DE"/>
        </w:rPr>
        <w:t xml:space="preserve">ist der Hauptsatz: </w:t>
      </w:r>
      <w:r w:rsidRPr="008D5AF6">
        <w:rPr>
          <w:rFonts w:eastAsia="Times New Roman"/>
          <w:b/>
          <w:bCs/>
          <w:rtl/>
          <w:lang w:eastAsia="de-DE"/>
        </w:rPr>
        <w:t>כֵּן</w:t>
      </w:r>
      <w:r w:rsidRPr="008D5AF6">
        <w:rPr>
          <w:rFonts w:eastAsia="Times New Roman"/>
          <w:rtl/>
          <w:lang w:eastAsia="de-DE"/>
        </w:rPr>
        <w:t xml:space="preserve"> </w:t>
      </w:r>
      <w:r w:rsidRPr="008D5AF6">
        <w:rPr>
          <w:rFonts w:eastAsia="Times New Roman"/>
          <w:lang w:eastAsia="de-DE"/>
        </w:rPr>
        <w:t xml:space="preserve">als Adverb („so, ebenso"), </w:t>
      </w:r>
      <w:r w:rsidRPr="008D5AF6">
        <w:rPr>
          <w:rFonts w:eastAsia="Times New Roman"/>
          <w:b/>
          <w:bCs/>
          <w:rtl/>
          <w:lang w:eastAsia="de-DE"/>
        </w:rPr>
        <w:t>יַעֲשֶׂה</w:t>
      </w:r>
      <w:r w:rsidRPr="008D5AF6">
        <w:rPr>
          <w:rFonts w:eastAsia="Times New Roman"/>
          <w:rtl/>
          <w:lang w:eastAsia="de-DE"/>
        </w:rPr>
        <w:t xml:space="preserve"> </w:t>
      </w:r>
      <w:r w:rsidRPr="008D5AF6">
        <w:rPr>
          <w:rFonts w:eastAsia="Times New Roman"/>
          <w:lang w:eastAsia="de-DE"/>
        </w:rPr>
        <w:t xml:space="preserve">als Qal Imperfekt, 3. Person Singular maskulin von </w:t>
      </w:r>
      <w:r w:rsidRPr="008D5AF6">
        <w:rPr>
          <w:rFonts w:eastAsia="Times New Roman"/>
          <w:b/>
          <w:bCs/>
          <w:rtl/>
          <w:lang w:eastAsia="de-DE"/>
        </w:rPr>
        <w:t>עשׂה</w:t>
      </w:r>
      <w:r w:rsidRPr="008D5AF6">
        <w:rPr>
          <w:rFonts w:eastAsia="Times New Roman"/>
          <w:lang w:eastAsia="de-DE"/>
        </w:rPr>
        <w:t xml:space="preserve">, „tun", </w:t>
      </w:r>
      <w:r w:rsidRPr="008D5AF6">
        <w:rPr>
          <w:rFonts w:eastAsia="Times New Roman"/>
          <w:b/>
          <w:bCs/>
          <w:rtl/>
          <w:lang w:eastAsia="de-DE"/>
        </w:rPr>
        <w:t>יְהוָה אֱלֹהֶיךָ</w:t>
      </w:r>
      <w:r w:rsidRPr="008D5AF6">
        <w:rPr>
          <w:rFonts w:eastAsia="Times New Roman"/>
          <w:rtl/>
          <w:lang w:eastAsia="de-DE"/>
        </w:rPr>
        <w:t xml:space="preserve"> </w:t>
      </w:r>
      <w:r w:rsidRPr="008D5AF6">
        <w:rPr>
          <w:rFonts w:eastAsia="Times New Roman"/>
          <w:lang w:eastAsia="de-DE"/>
        </w:rPr>
        <w:t xml:space="preserve">als erweitertes Subjekt, </w:t>
      </w:r>
      <w:r w:rsidRPr="008D5AF6">
        <w:rPr>
          <w:rFonts w:eastAsia="Times New Roman"/>
          <w:b/>
          <w:bCs/>
          <w:rtl/>
          <w:lang w:eastAsia="de-DE"/>
        </w:rPr>
        <w:t>לְכָל־הָעַמִּים</w:t>
      </w:r>
      <w:r w:rsidRPr="008D5AF6">
        <w:rPr>
          <w:rFonts w:eastAsia="Times New Roman"/>
          <w:rtl/>
          <w:lang w:eastAsia="de-DE"/>
        </w:rPr>
        <w:t xml:space="preserve"> </w:t>
      </w:r>
      <w:r w:rsidRPr="008D5AF6">
        <w:rPr>
          <w:rFonts w:eastAsia="Times New Roman"/>
          <w:lang w:eastAsia="de-DE"/>
        </w:rPr>
        <w:t>als indirektes Objekt (</w:t>
      </w:r>
      <w:r w:rsidRPr="008D5AF6">
        <w:rPr>
          <w:rFonts w:eastAsia="Times New Roman"/>
          <w:b/>
          <w:bCs/>
          <w:rtl/>
          <w:lang w:eastAsia="de-DE"/>
        </w:rPr>
        <w:t>לְ</w:t>
      </w:r>
      <w:r w:rsidRPr="008D5AF6">
        <w:rPr>
          <w:rFonts w:eastAsia="Times New Roman"/>
          <w:rtl/>
          <w:lang w:eastAsia="de-DE"/>
        </w:rPr>
        <w:t xml:space="preserve"> </w:t>
      </w:r>
      <w:r w:rsidRPr="008D5AF6">
        <w:rPr>
          <w:rFonts w:eastAsia="Times New Roman"/>
          <w:lang w:eastAsia="de-DE"/>
        </w:rPr>
        <w:t xml:space="preserve">mit </w:t>
      </w:r>
      <w:r w:rsidRPr="008D5AF6">
        <w:rPr>
          <w:rFonts w:eastAsia="Times New Roman"/>
          <w:b/>
          <w:bCs/>
          <w:rtl/>
          <w:lang w:eastAsia="de-DE"/>
        </w:rPr>
        <w:t>כָּל</w:t>
      </w:r>
      <w:r w:rsidRPr="008D5AF6">
        <w:rPr>
          <w:rFonts w:eastAsia="Times New Roman"/>
          <w:rtl/>
          <w:lang w:eastAsia="de-DE"/>
        </w:rPr>
        <w:t xml:space="preserve"> </w:t>
      </w:r>
      <w:r w:rsidRPr="008D5AF6">
        <w:rPr>
          <w:rFonts w:eastAsia="Times New Roman"/>
          <w:lang w:eastAsia="de-DE"/>
        </w:rPr>
        <w:t xml:space="preserve">im Construct und </w:t>
      </w:r>
      <w:r w:rsidRPr="008D5AF6">
        <w:rPr>
          <w:rFonts w:eastAsia="Times New Roman"/>
          <w:b/>
          <w:bCs/>
          <w:rtl/>
          <w:lang w:eastAsia="de-DE"/>
        </w:rPr>
        <w:t>עַם</w:t>
      </w:r>
      <w:r w:rsidRPr="008D5AF6">
        <w:rPr>
          <w:rFonts w:eastAsia="Times New Roman"/>
          <w:lang w:eastAsia="de-DE"/>
        </w:rPr>
        <w:t xml:space="preserve">, Plural, mit Artikel – „an allen Völkern"), </w:t>
      </w:r>
      <w:r w:rsidRPr="008D5AF6">
        <w:rPr>
          <w:rFonts w:eastAsia="Times New Roman"/>
          <w:b/>
          <w:bCs/>
          <w:rtl/>
          <w:lang w:eastAsia="de-DE"/>
        </w:rPr>
        <w:t>אֲשֶׁר־אַתָּה יָרֵא מִפְּנֵיהֶם</w:t>
      </w:r>
      <w:r w:rsidRPr="008D5AF6">
        <w:rPr>
          <w:rFonts w:eastAsia="Times New Roman"/>
          <w:rtl/>
          <w:lang w:eastAsia="de-DE"/>
        </w:rPr>
        <w:t xml:space="preserve"> </w:t>
      </w:r>
      <w:r w:rsidRPr="008D5AF6">
        <w:rPr>
          <w:rFonts w:eastAsia="Times New Roman"/>
          <w:lang w:eastAsia="de-DE"/>
        </w:rPr>
        <w:t>als Relativsatz (</w:t>
      </w:r>
      <w:r w:rsidRPr="008D5AF6">
        <w:rPr>
          <w:rFonts w:eastAsia="Times New Roman"/>
          <w:b/>
          <w:bCs/>
          <w:rtl/>
          <w:lang w:eastAsia="de-DE"/>
        </w:rPr>
        <w:t>אֲשֶׁר</w:t>
      </w:r>
      <w:r w:rsidRPr="008D5AF6">
        <w:rPr>
          <w:rFonts w:eastAsia="Times New Roman"/>
          <w:rtl/>
          <w:lang w:eastAsia="de-DE"/>
        </w:rPr>
        <w:t xml:space="preserve"> </w:t>
      </w:r>
      <w:r w:rsidRPr="008D5AF6">
        <w:rPr>
          <w:rFonts w:eastAsia="Times New Roman"/>
          <w:lang w:eastAsia="de-DE"/>
        </w:rPr>
        <w:t xml:space="preserve">mit </w:t>
      </w:r>
      <w:r w:rsidRPr="008D5AF6">
        <w:rPr>
          <w:rFonts w:eastAsia="Times New Roman"/>
          <w:b/>
          <w:bCs/>
          <w:rtl/>
          <w:lang w:eastAsia="de-DE"/>
        </w:rPr>
        <w:t>אַתָּה</w:t>
      </w:r>
      <w:r w:rsidRPr="008D5AF6">
        <w:rPr>
          <w:rFonts w:eastAsia="Times New Roman"/>
          <w:rtl/>
          <w:lang w:eastAsia="de-DE"/>
        </w:rPr>
        <w:t xml:space="preserve"> </w:t>
      </w:r>
      <w:r w:rsidRPr="008D5AF6">
        <w:rPr>
          <w:rFonts w:eastAsia="Times New Roman"/>
          <w:lang w:eastAsia="de-DE"/>
        </w:rPr>
        <w:t xml:space="preserve">als Subjekt, </w:t>
      </w:r>
      <w:r w:rsidRPr="008D5AF6">
        <w:rPr>
          <w:rFonts w:eastAsia="Times New Roman"/>
          <w:b/>
          <w:bCs/>
          <w:rtl/>
          <w:lang w:eastAsia="de-DE"/>
        </w:rPr>
        <w:t>יָרֵא</w:t>
      </w:r>
      <w:r w:rsidRPr="008D5AF6">
        <w:rPr>
          <w:rFonts w:eastAsia="Times New Roman"/>
          <w:rtl/>
          <w:lang w:eastAsia="de-DE"/>
        </w:rPr>
        <w:t xml:space="preserve"> </w:t>
      </w:r>
      <w:r w:rsidRPr="008D5AF6">
        <w:rPr>
          <w:rFonts w:eastAsia="Times New Roman"/>
          <w:lang w:eastAsia="de-DE"/>
        </w:rPr>
        <w:t xml:space="preserve">als Qal Partizip Singular maskulin von </w:t>
      </w:r>
      <w:r w:rsidRPr="008D5AF6">
        <w:rPr>
          <w:rFonts w:eastAsia="Times New Roman"/>
          <w:b/>
          <w:bCs/>
          <w:rtl/>
          <w:lang w:eastAsia="de-DE"/>
        </w:rPr>
        <w:t>ירא</w:t>
      </w:r>
      <w:r w:rsidRPr="008D5AF6">
        <w:rPr>
          <w:rFonts w:eastAsia="Times New Roman"/>
          <w:lang w:eastAsia="de-DE"/>
        </w:rPr>
        <w:t xml:space="preserve">, „fürchten", </w:t>
      </w:r>
      <w:r w:rsidRPr="008D5AF6">
        <w:rPr>
          <w:rFonts w:eastAsia="Times New Roman"/>
          <w:b/>
          <w:bCs/>
          <w:rtl/>
          <w:lang w:eastAsia="de-DE"/>
        </w:rPr>
        <w:t>מִפְּנֵיהֶם</w:t>
      </w:r>
      <w:r w:rsidRPr="008D5AF6">
        <w:rPr>
          <w:rFonts w:eastAsia="Times New Roman"/>
          <w:rtl/>
          <w:lang w:eastAsia="de-DE"/>
        </w:rPr>
        <w:t xml:space="preserve"> </w:t>
      </w:r>
      <w:r w:rsidRPr="008D5AF6">
        <w:rPr>
          <w:rFonts w:eastAsia="Times New Roman"/>
          <w:lang w:eastAsia="de-DE"/>
        </w:rPr>
        <w:t xml:space="preserve">als präpositionale Ergänzung – </w:t>
      </w:r>
      <w:r w:rsidRPr="008D5AF6">
        <w:rPr>
          <w:rFonts w:eastAsia="Times New Roman"/>
          <w:b/>
          <w:bCs/>
          <w:rtl/>
          <w:lang w:eastAsia="de-DE"/>
        </w:rPr>
        <w:t>מִן</w:t>
      </w:r>
      <w:r w:rsidRPr="008D5AF6">
        <w:rPr>
          <w:rFonts w:eastAsia="Times New Roman"/>
          <w:rtl/>
          <w:lang w:eastAsia="de-DE"/>
        </w:rPr>
        <w:t xml:space="preserve"> </w:t>
      </w:r>
      <w:r w:rsidRPr="008D5AF6">
        <w:rPr>
          <w:rFonts w:eastAsia="Times New Roman"/>
          <w:lang w:eastAsia="de-DE"/>
        </w:rPr>
        <w:t xml:space="preserve">mit </w:t>
      </w:r>
      <w:r w:rsidRPr="008D5AF6">
        <w:rPr>
          <w:rFonts w:eastAsia="Times New Roman"/>
          <w:b/>
          <w:bCs/>
          <w:rtl/>
          <w:lang w:eastAsia="de-DE"/>
        </w:rPr>
        <w:t>פָּנֶה</w:t>
      </w:r>
      <w:r w:rsidRPr="008D5AF6">
        <w:rPr>
          <w:rFonts w:eastAsia="Times New Roman"/>
          <w:lang w:eastAsia="de-DE"/>
        </w:rPr>
        <w:t>, Plural, und Suffix 3. Person Plural maskulin – „vor denen").</w:t>
      </w:r>
    </w:p>
    <w:p w14:paraId="1B6E1025"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Die fünfgliedrige Aufzählung (</w:t>
      </w:r>
      <w:r w:rsidRPr="008D5AF6">
        <w:rPr>
          <w:rFonts w:eastAsia="Times New Roman"/>
          <w:b/>
          <w:bCs/>
          <w:rtl/>
          <w:lang w:eastAsia="de-DE"/>
        </w:rPr>
        <w:t>מַסֹּת</w:t>
      </w:r>
      <w:r w:rsidRPr="008D5AF6">
        <w:rPr>
          <w:rFonts w:eastAsia="Times New Roman"/>
          <w:rtl/>
          <w:lang w:eastAsia="de-DE"/>
        </w:rPr>
        <w:t xml:space="preserve"> </w:t>
      </w:r>
      <w:r w:rsidRPr="008D5AF6">
        <w:rPr>
          <w:rFonts w:eastAsia="Times New Roman"/>
          <w:lang w:eastAsia="de-DE"/>
        </w:rPr>
        <w:t xml:space="preserve">– </w:t>
      </w:r>
      <w:r w:rsidRPr="008D5AF6">
        <w:rPr>
          <w:rFonts w:eastAsia="Times New Roman"/>
          <w:b/>
          <w:bCs/>
          <w:rtl/>
          <w:lang w:eastAsia="de-DE"/>
        </w:rPr>
        <w:t>אֹתֹת</w:t>
      </w:r>
      <w:r w:rsidRPr="008D5AF6">
        <w:rPr>
          <w:rFonts w:eastAsia="Times New Roman"/>
          <w:rtl/>
          <w:lang w:eastAsia="de-DE"/>
        </w:rPr>
        <w:t xml:space="preserve"> </w:t>
      </w:r>
      <w:r w:rsidRPr="008D5AF6">
        <w:rPr>
          <w:rFonts w:eastAsia="Times New Roman"/>
          <w:lang w:eastAsia="de-DE"/>
        </w:rPr>
        <w:t xml:space="preserve">– </w:t>
      </w:r>
      <w:r w:rsidRPr="008D5AF6">
        <w:rPr>
          <w:rFonts w:eastAsia="Times New Roman"/>
          <w:b/>
          <w:bCs/>
          <w:rtl/>
          <w:lang w:eastAsia="de-DE"/>
        </w:rPr>
        <w:t>מֹפְתִים</w:t>
      </w:r>
      <w:r w:rsidRPr="008D5AF6">
        <w:rPr>
          <w:rFonts w:eastAsia="Times New Roman"/>
          <w:rtl/>
          <w:lang w:eastAsia="de-DE"/>
        </w:rPr>
        <w:t xml:space="preserve"> </w:t>
      </w:r>
      <w:r w:rsidRPr="008D5AF6">
        <w:rPr>
          <w:rFonts w:eastAsia="Times New Roman"/>
          <w:lang w:eastAsia="de-DE"/>
        </w:rPr>
        <w:t xml:space="preserve">– </w:t>
      </w:r>
      <w:r w:rsidRPr="008D5AF6">
        <w:rPr>
          <w:rFonts w:eastAsia="Times New Roman"/>
          <w:b/>
          <w:bCs/>
          <w:rtl/>
          <w:lang w:eastAsia="de-DE"/>
        </w:rPr>
        <w:t>יָד חֲזָקָה</w:t>
      </w:r>
      <w:r w:rsidRPr="008D5AF6">
        <w:rPr>
          <w:rFonts w:eastAsia="Times New Roman"/>
          <w:rtl/>
          <w:lang w:eastAsia="de-DE"/>
        </w:rPr>
        <w:t xml:space="preserve"> </w:t>
      </w:r>
      <w:r w:rsidRPr="008D5AF6">
        <w:rPr>
          <w:rFonts w:eastAsia="Times New Roman"/>
          <w:lang w:eastAsia="de-DE"/>
        </w:rPr>
        <w:t xml:space="preserve">– </w:t>
      </w:r>
      <w:r w:rsidRPr="008D5AF6">
        <w:rPr>
          <w:rFonts w:eastAsia="Times New Roman"/>
          <w:b/>
          <w:bCs/>
          <w:rtl/>
          <w:lang w:eastAsia="de-DE"/>
        </w:rPr>
        <w:t>זְרוֹעַ נְטוּיָה</w:t>
      </w:r>
      <w:r w:rsidRPr="008D5AF6">
        <w:rPr>
          <w:rFonts w:eastAsia="Times New Roman"/>
          <w:lang w:eastAsia="de-DE"/>
        </w:rPr>
        <w:t xml:space="preserve">) ist eine umfassende Zusammenfassung der Exoduserfahrung. Die klassische Formel </w:t>
      </w:r>
      <w:r w:rsidRPr="008D5AF6">
        <w:rPr>
          <w:rFonts w:eastAsia="Times New Roman"/>
          <w:b/>
          <w:bCs/>
          <w:rtl/>
          <w:lang w:eastAsia="de-DE"/>
        </w:rPr>
        <w:t>יָד חֲזָקָה וּזְרֹעַ נְטוּיָה</w:t>
      </w:r>
      <w:r w:rsidRPr="008D5AF6">
        <w:rPr>
          <w:rFonts w:eastAsia="Times New Roman"/>
          <w:rtl/>
          <w:lang w:eastAsia="de-DE"/>
        </w:rPr>
        <w:t xml:space="preserve"> </w:t>
      </w:r>
      <w:r w:rsidRPr="008D5AF6">
        <w:rPr>
          <w:rFonts w:eastAsia="Times New Roman"/>
          <w:lang w:eastAsia="de-DE"/>
        </w:rPr>
        <w:t>erscheint wieder (vgl. 4,34; 5,15; 6,21; 7,8; 11,2; 26,8). Das Argument ist: Wie JHWH einst Ägypten besiegte, so wird er auch die Kanaaniter besiegen.</w:t>
      </w:r>
    </w:p>
    <w:p w14:paraId="686E113D"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Die LXX</w:t>
      </w:r>
      <w:r w:rsidRPr="008D5AF6">
        <w:rPr>
          <w:rFonts w:eastAsia="Times New Roman"/>
          <w:lang w:eastAsia="de-DE"/>
        </w:rPr>
        <w:t xml:space="preserve"> übersetzt </w:t>
      </w:r>
      <w:proofErr w:type="spellStart"/>
      <w:r w:rsidRPr="008D5AF6">
        <w:rPr>
          <w:rFonts w:eastAsia="Times New Roman"/>
          <w:b/>
          <w:bCs/>
          <w:lang w:eastAsia="de-DE"/>
        </w:rPr>
        <w:t>τοὺς</w:t>
      </w:r>
      <w:proofErr w:type="spellEnd"/>
      <w:r w:rsidRPr="008D5AF6">
        <w:rPr>
          <w:rFonts w:eastAsia="Times New Roman"/>
          <w:b/>
          <w:bCs/>
          <w:lang w:eastAsia="de-DE"/>
        </w:rPr>
        <w:t xml:space="preserve"> π</w:t>
      </w:r>
      <w:proofErr w:type="spellStart"/>
      <w:r w:rsidRPr="008D5AF6">
        <w:rPr>
          <w:rFonts w:eastAsia="Times New Roman"/>
          <w:b/>
          <w:bCs/>
          <w:lang w:eastAsia="de-DE"/>
        </w:rPr>
        <w:t>ειρ</w:t>
      </w:r>
      <w:proofErr w:type="spellEnd"/>
      <w:r w:rsidRPr="008D5AF6">
        <w:rPr>
          <w:rFonts w:eastAsia="Times New Roman"/>
          <w:b/>
          <w:bCs/>
          <w:lang w:eastAsia="de-DE"/>
        </w:rPr>
        <w:t xml:space="preserve">ασμοὺς </w:t>
      </w:r>
      <w:proofErr w:type="spellStart"/>
      <w:r w:rsidRPr="008D5AF6">
        <w:rPr>
          <w:rFonts w:eastAsia="Times New Roman"/>
          <w:b/>
          <w:bCs/>
          <w:lang w:eastAsia="de-DE"/>
        </w:rPr>
        <w:t>τοὺς</w:t>
      </w:r>
      <w:proofErr w:type="spellEnd"/>
      <w:r w:rsidRPr="008D5AF6">
        <w:rPr>
          <w:rFonts w:eastAsia="Times New Roman"/>
          <w:b/>
          <w:bCs/>
          <w:lang w:eastAsia="de-DE"/>
        </w:rPr>
        <w:t xml:space="preserve"> </w:t>
      </w:r>
      <w:proofErr w:type="spellStart"/>
      <w:r w:rsidRPr="008D5AF6">
        <w:rPr>
          <w:rFonts w:eastAsia="Times New Roman"/>
          <w:b/>
          <w:bCs/>
          <w:lang w:eastAsia="de-DE"/>
        </w:rPr>
        <w:t>μεγάλους</w:t>
      </w:r>
      <w:proofErr w:type="spellEnd"/>
      <w:r w:rsidRPr="008D5AF6">
        <w:rPr>
          <w:rFonts w:eastAsia="Times New Roman"/>
          <w:lang w:eastAsia="de-DE"/>
        </w:rPr>
        <w:t xml:space="preserve"> („die großen Erprobungen") für </w:t>
      </w:r>
      <w:r w:rsidRPr="008D5AF6">
        <w:rPr>
          <w:rFonts w:eastAsia="Times New Roman"/>
          <w:b/>
          <w:bCs/>
          <w:rtl/>
          <w:lang w:eastAsia="de-DE"/>
        </w:rPr>
        <w:t>הַמַּסֹּת הַגְּדֹלֹת</w:t>
      </w:r>
      <w:r w:rsidRPr="008D5AF6">
        <w:rPr>
          <w:rFonts w:eastAsia="Times New Roman"/>
          <w:lang w:eastAsia="de-DE"/>
        </w:rPr>
        <w:t xml:space="preserve">, </w:t>
      </w:r>
      <w:proofErr w:type="spellStart"/>
      <w:r w:rsidRPr="008D5AF6">
        <w:rPr>
          <w:rFonts w:eastAsia="Times New Roman"/>
          <w:b/>
          <w:bCs/>
          <w:lang w:eastAsia="de-DE"/>
        </w:rPr>
        <w:t>τὰ</w:t>
      </w:r>
      <w:proofErr w:type="spellEnd"/>
      <w:r w:rsidRPr="008D5AF6">
        <w:rPr>
          <w:rFonts w:eastAsia="Times New Roman"/>
          <w:b/>
          <w:bCs/>
          <w:lang w:eastAsia="de-DE"/>
        </w:rPr>
        <w:t xml:space="preserve"> </w:t>
      </w:r>
      <w:proofErr w:type="spellStart"/>
      <w:r w:rsidRPr="008D5AF6">
        <w:rPr>
          <w:rFonts w:eastAsia="Times New Roman"/>
          <w:b/>
          <w:bCs/>
          <w:lang w:eastAsia="de-DE"/>
        </w:rPr>
        <w:t>σημεῖ</w:t>
      </w:r>
      <w:proofErr w:type="spellEnd"/>
      <w:r w:rsidRPr="008D5AF6">
        <w:rPr>
          <w:rFonts w:eastAsia="Times New Roman"/>
          <w:b/>
          <w:bCs/>
          <w:lang w:eastAsia="de-DE"/>
        </w:rPr>
        <w:t xml:space="preserve">α καὶ </w:t>
      </w:r>
      <w:proofErr w:type="spellStart"/>
      <w:r w:rsidRPr="008D5AF6">
        <w:rPr>
          <w:rFonts w:eastAsia="Times New Roman"/>
          <w:b/>
          <w:bCs/>
          <w:lang w:eastAsia="de-DE"/>
        </w:rPr>
        <w:t>τὰ</w:t>
      </w:r>
      <w:proofErr w:type="spellEnd"/>
      <w:r w:rsidRPr="008D5AF6">
        <w:rPr>
          <w:rFonts w:eastAsia="Times New Roman"/>
          <w:b/>
          <w:bCs/>
          <w:lang w:eastAsia="de-DE"/>
        </w:rPr>
        <w:t xml:space="preserve"> </w:t>
      </w:r>
      <w:proofErr w:type="spellStart"/>
      <w:r w:rsidRPr="008D5AF6">
        <w:rPr>
          <w:rFonts w:eastAsia="Times New Roman"/>
          <w:b/>
          <w:bCs/>
          <w:lang w:eastAsia="de-DE"/>
        </w:rPr>
        <w:t>τέρ</w:t>
      </w:r>
      <w:proofErr w:type="spellEnd"/>
      <w:r w:rsidRPr="008D5AF6">
        <w:rPr>
          <w:rFonts w:eastAsia="Times New Roman"/>
          <w:b/>
          <w:bCs/>
          <w:lang w:eastAsia="de-DE"/>
        </w:rPr>
        <w:t>ατα</w:t>
      </w:r>
      <w:r w:rsidRPr="008D5AF6">
        <w:rPr>
          <w:rFonts w:eastAsia="Times New Roman"/>
          <w:lang w:eastAsia="de-DE"/>
        </w:rPr>
        <w:t xml:space="preserve"> („die Zeichen und die Wunder") für </w:t>
      </w:r>
      <w:r w:rsidRPr="008D5AF6">
        <w:rPr>
          <w:rFonts w:eastAsia="Times New Roman"/>
          <w:b/>
          <w:bCs/>
          <w:rtl/>
          <w:lang w:eastAsia="de-DE"/>
        </w:rPr>
        <w:t>הָאֹתֹת וְהַמֹּפְתִים</w:t>
      </w:r>
      <w:r w:rsidRPr="008D5AF6">
        <w:rPr>
          <w:rFonts w:eastAsia="Times New Roman"/>
          <w:lang w:eastAsia="de-DE"/>
        </w:rPr>
        <w:t xml:space="preserve">, </w:t>
      </w:r>
      <w:r w:rsidRPr="008D5AF6">
        <w:rPr>
          <w:rFonts w:eastAsia="Times New Roman"/>
          <w:b/>
          <w:bCs/>
          <w:lang w:eastAsia="de-DE"/>
        </w:rPr>
        <w:t xml:space="preserve">τὴν </w:t>
      </w:r>
      <w:proofErr w:type="spellStart"/>
      <w:r w:rsidRPr="008D5AF6">
        <w:rPr>
          <w:rFonts w:eastAsia="Times New Roman"/>
          <w:b/>
          <w:bCs/>
          <w:lang w:eastAsia="de-DE"/>
        </w:rPr>
        <w:t>χεῖρ</w:t>
      </w:r>
      <w:proofErr w:type="spellEnd"/>
      <w:r w:rsidRPr="008D5AF6">
        <w:rPr>
          <w:rFonts w:eastAsia="Times New Roman"/>
          <w:b/>
          <w:bCs/>
          <w:lang w:eastAsia="de-DE"/>
        </w:rPr>
        <w:t xml:space="preserve">α τὴν </w:t>
      </w:r>
      <w:proofErr w:type="spellStart"/>
      <w:r w:rsidRPr="008D5AF6">
        <w:rPr>
          <w:rFonts w:eastAsia="Times New Roman"/>
          <w:b/>
          <w:bCs/>
          <w:lang w:eastAsia="de-DE"/>
        </w:rPr>
        <w:t>κρ</w:t>
      </w:r>
      <w:proofErr w:type="spellEnd"/>
      <w:r w:rsidRPr="008D5AF6">
        <w:rPr>
          <w:rFonts w:eastAsia="Times New Roman"/>
          <w:b/>
          <w:bCs/>
          <w:lang w:eastAsia="de-DE"/>
        </w:rPr>
        <w:t xml:space="preserve">αταιὰν καὶ </w:t>
      </w:r>
      <w:proofErr w:type="spellStart"/>
      <w:r w:rsidRPr="008D5AF6">
        <w:rPr>
          <w:rFonts w:eastAsia="Times New Roman"/>
          <w:b/>
          <w:bCs/>
          <w:lang w:eastAsia="de-DE"/>
        </w:rPr>
        <w:t>τὸν</w:t>
      </w:r>
      <w:proofErr w:type="spellEnd"/>
      <w:r w:rsidRPr="008D5AF6">
        <w:rPr>
          <w:rFonts w:eastAsia="Times New Roman"/>
          <w:b/>
          <w:bCs/>
          <w:lang w:eastAsia="de-DE"/>
        </w:rPr>
        <w:t xml:space="preserve"> βρα</w:t>
      </w:r>
      <w:proofErr w:type="spellStart"/>
      <w:r w:rsidRPr="008D5AF6">
        <w:rPr>
          <w:rFonts w:eastAsia="Times New Roman"/>
          <w:b/>
          <w:bCs/>
          <w:lang w:eastAsia="de-DE"/>
        </w:rPr>
        <w:t>χίον</w:t>
      </w:r>
      <w:proofErr w:type="spellEnd"/>
      <w:r w:rsidRPr="008D5AF6">
        <w:rPr>
          <w:rFonts w:eastAsia="Times New Roman"/>
          <w:b/>
          <w:bCs/>
          <w:lang w:eastAsia="de-DE"/>
        </w:rPr>
        <w:t xml:space="preserve">α </w:t>
      </w:r>
      <w:proofErr w:type="spellStart"/>
      <w:r w:rsidRPr="008D5AF6">
        <w:rPr>
          <w:rFonts w:eastAsia="Times New Roman"/>
          <w:b/>
          <w:bCs/>
          <w:lang w:eastAsia="de-DE"/>
        </w:rPr>
        <w:t>τὸν</w:t>
      </w:r>
      <w:proofErr w:type="spellEnd"/>
      <w:r w:rsidRPr="008D5AF6">
        <w:rPr>
          <w:rFonts w:eastAsia="Times New Roman"/>
          <w:b/>
          <w:bCs/>
          <w:lang w:eastAsia="de-DE"/>
        </w:rPr>
        <w:t xml:space="preserve"> </w:t>
      </w:r>
      <w:proofErr w:type="spellStart"/>
      <w:r w:rsidRPr="008D5AF6">
        <w:rPr>
          <w:rFonts w:eastAsia="Times New Roman"/>
          <w:b/>
          <w:bCs/>
          <w:lang w:eastAsia="de-DE"/>
        </w:rPr>
        <w:t>ὑψηλόν</w:t>
      </w:r>
      <w:proofErr w:type="spellEnd"/>
      <w:r w:rsidRPr="008D5AF6">
        <w:rPr>
          <w:rFonts w:eastAsia="Times New Roman"/>
          <w:lang w:eastAsia="de-DE"/>
        </w:rPr>
        <w:t xml:space="preserve"> („die starke Hand und den hohen Arm") für </w:t>
      </w:r>
      <w:r w:rsidRPr="008D5AF6">
        <w:rPr>
          <w:rFonts w:eastAsia="Times New Roman"/>
          <w:b/>
          <w:bCs/>
          <w:rtl/>
          <w:lang w:eastAsia="de-DE"/>
        </w:rPr>
        <w:t>הַיָּד הַחֲזָקָה וְהַזְּרֹעַ הַנְּטוּיָה</w:t>
      </w:r>
      <w:r w:rsidRPr="008D5AF6">
        <w:rPr>
          <w:rFonts w:eastAsia="Times New Roman"/>
          <w:lang w:eastAsia="de-DE"/>
        </w:rPr>
        <w:t xml:space="preserve">. Bemerkenswert ist die Übersetzung von </w:t>
      </w:r>
      <w:r w:rsidRPr="008D5AF6">
        <w:rPr>
          <w:rFonts w:eastAsia="Times New Roman"/>
          <w:b/>
          <w:bCs/>
          <w:rtl/>
          <w:lang w:eastAsia="de-DE"/>
        </w:rPr>
        <w:t>נְטוּיָה</w:t>
      </w:r>
      <w:r w:rsidRPr="008D5AF6">
        <w:rPr>
          <w:rFonts w:eastAsia="Times New Roman"/>
          <w:rtl/>
          <w:lang w:eastAsia="de-DE"/>
        </w:rPr>
        <w:t xml:space="preserve"> </w:t>
      </w:r>
      <w:r w:rsidRPr="008D5AF6">
        <w:rPr>
          <w:rFonts w:eastAsia="Times New Roman"/>
          <w:lang w:eastAsia="de-DE"/>
        </w:rPr>
        <w:t xml:space="preserve">(„ausgestreckt") mit </w:t>
      </w:r>
      <w:proofErr w:type="spellStart"/>
      <w:r w:rsidRPr="008D5AF6">
        <w:rPr>
          <w:rFonts w:eastAsia="Times New Roman"/>
          <w:b/>
          <w:bCs/>
          <w:lang w:eastAsia="de-DE"/>
        </w:rPr>
        <w:t>ὑψηλόν</w:t>
      </w:r>
      <w:proofErr w:type="spellEnd"/>
      <w:r w:rsidRPr="008D5AF6">
        <w:rPr>
          <w:rFonts w:eastAsia="Times New Roman"/>
          <w:lang w:eastAsia="de-DE"/>
        </w:rPr>
        <w:t xml:space="preserve"> („hoch, erhaben").</w:t>
      </w:r>
    </w:p>
    <w:p w14:paraId="61983B08"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Die Satzstruktur ist eine fünfgliedrige appositionelle Entfaltung (die erste mit Relativsatz, die dritte und vierte mit Attribut), ein Relativsatz mit Prädikat und Suffix-Objekt sowie erweitertem Subjekt, und ein Hauptsatz mit Adverb, Prädikat, erweitertem Subjekt, indirektem Objekt und Relativsatz (mit Subjekt, partizipialem Prädikat und präpositionaler Ergänzung). Die kumulative Struktur ruft die gesamte Exodusmacht ins Gedächtnis.</w:t>
      </w:r>
    </w:p>
    <w:p w14:paraId="281D94FF"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Der Vers entfaltet die Exodus-Erinnerung: die großen Prüfungen, Zeichen und Wunder, die starke Hand und der ausgestreckte Arm, womit JHWH Israel herausführte. Ebenso wird JHWH mit allen Völkern verfahren, vor denen Israel sich fürchtet.</w:t>
      </w:r>
    </w:p>
    <w:p w14:paraId="11E9D47B" w14:textId="77777777" w:rsidR="008D5AF6" w:rsidRPr="008D5AF6" w:rsidRDefault="008D5AF6" w:rsidP="008D5AF6">
      <w:pPr>
        <w:spacing w:before="100" w:beforeAutospacing="1" w:after="100" w:afterAutospacing="1" w:line="240" w:lineRule="auto"/>
        <w:outlineLvl w:val="1"/>
        <w:rPr>
          <w:rFonts w:eastAsia="Times New Roman"/>
          <w:b/>
          <w:bCs/>
          <w:sz w:val="36"/>
          <w:szCs w:val="36"/>
          <w:lang w:eastAsia="de-DE"/>
        </w:rPr>
      </w:pPr>
      <w:r w:rsidRPr="008D5AF6">
        <w:rPr>
          <w:rFonts w:eastAsia="Times New Roman"/>
          <w:b/>
          <w:bCs/>
          <w:sz w:val="36"/>
          <w:szCs w:val="36"/>
          <w:lang w:eastAsia="de-DE"/>
        </w:rPr>
        <w:t>Deuteronomium 7,20</w:t>
      </w:r>
    </w:p>
    <w:p w14:paraId="52891DFE"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Hebräisch:</w:t>
      </w:r>
      <w:r w:rsidRPr="008D5AF6">
        <w:rPr>
          <w:rFonts w:eastAsia="Times New Roman"/>
          <w:lang w:eastAsia="de-DE"/>
        </w:rPr>
        <w:t xml:space="preserve"> </w:t>
      </w:r>
      <w:r w:rsidRPr="008D5AF6">
        <w:rPr>
          <w:rFonts w:eastAsia="Times New Roman"/>
          <w:rtl/>
          <w:lang w:eastAsia="de-DE"/>
        </w:rPr>
        <w:t>וְגַם אֶת־הַצִּרְעָה יְשַׁלַּח יְהוָה אֱלֹהֶיךָ בָּם עַד־אֲבֹד הַנִּשְׁאָרִים וְהַנִּסְתָּרִים מִפָּנֶיךָ׃</w:t>
      </w:r>
    </w:p>
    <w:p w14:paraId="715072A9"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Deutsch:</w:t>
      </w:r>
      <w:r w:rsidRPr="008D5AF6">
        <w:rPr>
          <w:rFonts w:eastAsia="Times New Roman"/>
          <w:lang w:eastAsia="de-DE"/>
        </w:rPr>
        <w:t xml:space="preserve"> Und auch die Hornisse wird der Ewige, dein Gott, gegen sie entsenden, bis die Übriggebliebenen und die sich vor dir Verbergenden umgekommen sind.</w:t>
      </w:r>
    </w:p>
    <w:p w14:paraId="364BB1FC" w14:textId="77777777" w:rsidR="008D5AF6" w:rsidRPr="008D5AF6" w:rsidRDefault="004F5CEB" w:rsidP="008D5AF6">
      <w:pPr>
        <w:spacing w:after="0" w:line="240" w:lineRule="auto"/>
        <w:rPr>
          <w:rFonts w:eastAsia="Times New Roman"/>
          <w:lang w:eastAsia="de-DE"/>
        </w:rPr>
      </w:pPr>
      <w:r>
        <w:rPr>
          <w:rFonts w:eastAsia="Times New Roman"/>
          <w:noProof/>
          <w:lang w:eastAsia="de-DE"/>
        </w:rPr>
        <w:pict w14:anchorId="457A6E17">
          <v:rect id="_x0000_i1263" style="width:0;height:1.5pt" o:hralign="center" o:hrstd="t" o:hr="t" fillcolor="#a0a0a0" stroked="f"/>
        </w:pict>
      </w:r>
    </w:p>
    <w:p w14:paraId="10F7DC4D"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Kommentar:</w:t>
      </w:r>
      <w:r w:rsidRPr="008D5AF6">
        <w:rPr>
          <w:rFonts w:eastAsia="Times New Roman"/>
          <w:lang w:eastAsia="de-DE"/>
        </w:rPr>
        <w:t xml:space="preserve"> </w:t>
      </w:r>
      <w:r w:rsidRPr="008D5AF6">
        <w:rPr>
          <w:rFonts w:eastAsia="Times New Roman"/>
          <w:b/>
          <w:bCs/>
          <w:rtl/>
          <w:lang w:eastAsia="de-DE"/>
        </w:rPr>
        <w:t>וְגַם אֶת־הַצִּרְעָה יְשַׁלַּח יְהוָה אֱלֹהֶיךָ בָּם</w:t>
      </w:r>
      <w:r w:rsidRPr="008D5AF6">
        <w:rPr>
          <w:rFonts w:eastAsia="Times New Roman"/>
          <w:rtl/>
          <w:lang w:eastAsia="de-DE"/>
        </w:rPr>
        <w:t xml:space="preserve"> </w:t>
      </w:r>
      <w:r w:rsidRPr="008D5AF6">
        <w:rPr>
          <w:rFonts w:eastAsia="Times New Roman"/>
          <w:lang w:eastAsia="de-DE"/>
        </w:rPr>
        <w:t xml:space="preserve">ist ein Hauptsatz mit vorausgestelltem direktem Objekt: </w:t>
      </w:r>
      <w:r w:rsidRPr="008D5AF6">
        <w:rPr>
          <w:rFonts w:eastAsia="Times New Roman"/>
          <w:b/>
          <w:bCs/>
          <w:rtl/>
          <w:lang w:eastAsia="de-DE"/>
        </w:rPr>
        <w:t>וְגַם</w:t>
      </w:r>
      <w:r w:rsidRPr="008D5AF6">
        <w:rPr>
          <w:rFonts w:eastAsia="Times New Roman"/>
          <w:rtl/>
          <w:lang w:eastAsia="de-DE"/>
        </w:rPr>
        <w:t xml:space="preserve"> </w:t>
      </w:r>
      <w:r w:rsidRPr="008D5AF6">
        <w:rPr>
          <w:rFonts w:eastAsia="Times New Roman"/>
          <w:lang w:eastAsia="de-DE"/>
        </w:rPr>
        <w:t xml:space="preserve">als koordinierende und steigernde Partikel („und auch, und sogar"), </w:t>
      </w:r>
      <w:r w:rsidRPr="008D5AF6">
        <w:rPr>
          <w:rFonts w:eastAsia="Times New Roman"/>
          <w:b/>
          <w:bCs/>
          <w:rtl/>
          <w:lang w:eastAsia="de-DE"/>
        </w:rPr>
        <w:t>אֶת־הַצִּרְעָה</w:t>
      </w:r>
      <w:r w:rsidRPr="008D5AF6">
        <w:rPr>
          <w:rFonts w:eastAsia="Times New Roman"/>
          <w:rtl/>
          <w:lang w:eastAsia="de-DE"/>
        </w:rPr>
        <w:t xml:space="preserve"> </w:t>
      </w:r>
      <w:r w:rsidRPr="008D5AF6">
        <w:rPr>
          <w:rFonts w:eastAsia="Times New Roman"/>
          <w:lang w:eastAsia="de-DE"/>
        </w:rPr>
        <w:t>als vorausgestelltes direktes Objekt zur Emphase (</w:t>
      </w:r>
      <w:r w:rsidRPr="008D5AF6">
        <w:rPr>
          <w:rFonts w:eastAsia="Times New Roman"/>
          <w:b/>
          <w:bCs/>
          <w:rtl/>
          <w:lang w:eastAsia="de-DE"/>
        </w:rPr>
        <w:t>צִרְעָה</w:t>
      </w:r>
      <w:r w:rsidRPr="008D5AF6">
        <w:rPr>
          <w:rFonts w:eastAsia="Times New Roman"/>
          <w:lang w:eastAsia="de-DE"/>
        </w:rPr>
        <w:t xml:space="preserve">, „Hornisse", mit Artikel – möglicherweise wörtlich oder metaphorisch für Panik/Schrecken), </w:t>
      </w:r>
      <w:r w:rsidRPr="008D5AF6">
        <w:rPr>
          <w:rFonts w:eastAsia="Times New Roman"/>
          <w:b/>
          <w:bCs/>
          <w:rtl/>
          <w:lang w:eastAsia="de-DE"/>
        </w:rPr>
        <w:t>יְשַׁלַּח</w:t>
      </w:r>
      <w:r w:rsidRPr="008D5AF6">
        <w:rPr>
          <w:rFonts w:eastAsia="Times New Roman"/>
          <w:rtl/>
          <w:lang w:eastAsia="de-DE"/>
        </w:rPr>
        <w:t xml:space="preserve"> </w:t>
      </w:r>
      <w:r w:rsidRPr="008D5AF6">
        <w:rPr>
          <w:rFonts w:eastAsia="Times New Roman"/>
          <w:lang w:eastAsia="de-DE"/>
        </w:rPr>
        <w:t xml:space="preserve">als Piel Imperfekt, 3. Person Singular maskulin von </w:t>
      </w:r>
      <w:r w:rsidRPr="008D5AF6">
        <w:rPr>
          <w:rFonts w:eastAsia="Times New Roman"/>
          <w:b/>
          <w:bCs/>
          <w:rtl/>
          <w:lang w:eastAsia="de-DE"/>
        </w:rPr>
        <w:t>שׁלח</w:t>
      </w:r>
      <w:r w:rsidRPr="008D5AF6">
        <w:rPr>
          <w:rFonts w:eastAsia="Times New Roman"/>
          <w:lang w:eastAsia="de-DE"/>
        </w:rPr>
        <w:t xml:space="preserve">, „senden, entsenden", </w:t>
      </w:r>
      <w:r w:rsidRPr="008D5AF6">
        <w:rPr>
          <w:rFonts w:eastAsia="Times New Roman"/>
          <w:b/>
          <w:bCs/>
          <w:rtl/>
          <w:lang w:eastAsia="de-DE"/>
        </w:rPr>
        <w:t>יְהוָה אֱלֹהֶיךָ</w:t>
      </w:r>
      <w:r w:rsidRPr="008D5AF6">
        <w:rPr>
          <w:rFonts w:eastAsia="Times New Roman"/>
          <w:rtl/>
          <w:lang w:eastAsia="de-DE"/>
        </w:rPr>
        <w:t xml:space="preserve"> </w:t>
      </w:r>
      <w:r w:rsidRPr="008D5AF6">
        <w:rPr>
          <w:rFonts w:eastAsia="Times New Roman"/>
          <w:lang w:eastAsia="de-DE"/>
        </w:rPr>
        <w:t xml:space="preserve">als erweitertes Subjekt, </w:t>
      </w:r>
      <w:r w:rsidRPr="008D5AF6">
        <w:rPr>
          <w:rFonts w:eastAsia="Times New Roman"/>
          <w:b/>
          <w:bCs/>
          <w:rtl/>
          <w:lang w:eastAsia="de-DE"/>
        </w:rPr>
        <w:t>בָּם</w:t>
      </w:r>
      <w:r w:rsidRPr="008D5AF6">
        <w:rPr>
          <w:rFonts w:eastAsia="Times New Roman"/>
          <w:rtl/>
          <w:lang w:eastAsia="de-DE"/>
        </w:rPr>
        <w:t xml:space="preserve"> </w:t>
      </w:r>
      <w:r w:rsidRPr="008D5AF6">
        <w:rPr>
          <w:rFonts w:eastAsia="Times New Roman"/>
          <w:lang w:eastAsia="de-DE"/>
        </w:rPr>
        <w:t>als Richtungsangabe (</w:t>
      </w:r>
      <w:r w:rsidRPr="008D5AF6">
        <w:rPr>
          <w:rFonts w:eastAsia="Times New Roman"/>
          <w:b/>
          <w:bCs/>
          <w:rtl/>
          <w:lang w:eastAsia="de-DE"/>
        </w:rPr>
        <w:t>בְּ</w:t>
      </w:r>
      <w:r w:rsidRPr="008D5AF6">
        <w:rPr>
          <w:rFonts w:eastAsia="Times New Roman"/>
          <w:rtl/>
          <w:lang w:eastAsia="de-DE"/>
        </w:rPr>
        <w:t xml:space="preserve"> </w:t>
      </w:r>
      <w:r w:rsidRPr="008D5AF6">
        <w:rPr>
          <w:rFonts w:eastAsia="Times New Roman"/>
          <w:lang w:eastAsia="de-DE"/>
        </w:rPr>
        <w:t>mit Suffix 3. Person Plural maskulin – „gegen sie, unter sie").</w:t>
      </w:r>
    </w:p>
    <w:p w14:paraId="0FCB41F4"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rtl/>
          <w:lang w:eastAsia="de-DE"/>
        </w:rPr>
        <w:lastRenderedPageBreak/>
        <w:t>עַד־אֲבֹד הַנִּשְׁאָרִים וְהַנִּסְתָּרִים מִפָּנֶיךָ</w:t>
      </w:r>
      <w:r w:rsidRPr="008D5AF6">
        <w:rPr>
          <w:rFonts w:eastAsia="Times New Roman"/>
          <w:rtl/>
          <w:lang w:eastAsia="de-DE"/>
        </w:rPr>
        <w:t xml:space="preserve"> </w:t>
      </w:r>
      <w:r w:rsidRPr="008D5AF6">
        <w:rPr>
          <w:rFonts w:eastAsia="Times New Roman"/>
          <w:lang w:eastAsia="de-DE"/>
        </w:rPr>
        <w:t xml:space="preserve">ist eine temporale Bestimmung: </w:t>
      </w:r>
      <w:r w:rsidRPr="008D5AF6">
        <w:rPr>
          <w:rFonts w:eastAsia="Times New Roman"/>
          <w:b/>
          <w:bCs/>
          <w:rtl/>
          <w:lang w:eastAsia="de-DE"/>
        </w:rPr>
        <w:t>עַד</w:t>
      </w:r>
      <w:r w:rsidRPr="008D5AF6">
        <w:rPr>
          <w:rFonts w:eastAsia="Times New Roman"/>
          <w:rtl/>
          <w:lang w:eastAsia="de-DE"/>
        </w:rPr>
        <w:t xml:space="preserve"> </w:t>
      </w:r>
      <w:r w:rsidRPr="008D5AF6">
        <w:rPr>
          <w:rFonts w:eastAsia="Times New Roman"/>
          <w:lang w:eastAsia="de-DE"/>
        </w:rPr>
        <w:t xml:space="preserve">als Präposition („bis"), </w:t>
      </w:r>
      <w:r w:rsidRPr="008D5AF6">
        <w:rPr>
          <w:rFonts w:eastAsia="Times New Roman"/>
          <w:b/>
          <w:bCs/>
          <w:rtl/>
          <w:lang w:eastAsia="de-DE"/>
        </w:rPr>
        <w:t>אֲבֹד</w:t>
      </w:r>
      <w:r w:rsidRPr="008D5AF6">
        <w:rPr>
          <w:rFonts w:eastAsia="Times New Roman"/>
          <w:rtl/>
          <w:lang w:eastAsia="de-DE"/>
        </w:rPr>
        <w:t xml:space="preserve"> </w:t>
      </w:r>
      <w:r w:rsidRPr="008D5AF6">
        <w:rPr>
          <w:rFonts w:eastAsia="Times New Roman"/>
          <w:lang w:eastAsia="de-DE"/>
        </w:rPr>
        <w:t xml:space="preserve">als Qal Infinitiv Construct von </w:t>
      </w:r>
      <w:r w:rsidRPr="008D5AF6">
        <w:rPr>
          <w:rFonts w:eastAsia="Times New Roman"/>
          <w:b/>
          <w:bCs/>
          <w:rtl/>
          <w:lang w:eastAsia="de-DE"/>
        </w:rPr>
        <w:t>אבד</w:t>
      </w:r>
      <w:r w:rsidRPr="008D5AF6">
        <w:rPr>
          <w:rFonts w:eastAsia="Times New Roman"/>
          <w:lang w:eastAsia="de-DE"/>
        </w:rPr>
        <w:t xml:space="preserve">, „umkommen, zugrunde gehen", </w:t>
      </w:r>
      <w:r w:rsidRPr="008D5AF6">
        <w:rPr>
          <w:rFonts w:eastAsia="Times New Roman"/>
          <w:b/>
          <w:bCs/>
          <w:rtl/>
          <w:lang w:eastAsia="de-DE"/>
        </w:rPr>
        <w:t>הַנִּשְׁאָרִים וְהַנִּסְתָּרִים</w:t>
      </w:r>
      <w:r w:rsidRPr="008D5AF6">
        <w:rPr>
          <w:rFonts w:eastAsia="Times New Roman"/>
          <w:rtl/>
          <w:lang w:eastAsia="de-DE"/>
        </w:rPr>
        <w:t xml:space="preserve"> </w:t>
      </w:r>
      <w:r w:rsidRPr="008D5AF6">
        <w:rPr>
          <w:rFonts w:eastAsia="Times New Roman"/>
          <w:lang w:eastAsia="de-DE"/>
        </w:rPr>
        <w:t xml:space="preserve">als zweigliedrige koordinierte Subjektaufzählung (Nifal Partizip Plural maskulin von </w:t>
      </w:r>
      <w:r w:rsidRPr="008D5AF6">
        <w:rPr>
          <w:rFonts w:eastAsia="Times New Roman"/>
          <w:b/>
          <w:bCs/>
          <w:rtl/>
          <w:lang w:eastAsia="de-DE"/>
        </w:rPr>
        <w:t>שׁאר</w:t>
      </w:r>
      <w:r w:rsidRPr="008D5AF6">
        <w:rPr>
          <w:rFonts w:eastAsia="Times New Roman"/>
          <w:lang w:eastAsia="de-DE"/>
        </w:rPr>
        <w:t xml:space="preserve">, „übrig bleiben", mit Artikel – „die Übriggebliebenen", koordiniert mit Nifal Partizip Plural maskulin von </w:t>
      </w:r>
      <w:r w:rsidRPr="008D5AF6">
        <w:rPr>
          <w:rFonts w:eastAsia="Times New Roman"/>
          <w:b/>
          <w:bCs/>
          <w:rtl/>
          <w:lang w:eastAsia="de-DE"/>
        </w:rPr>
        <w:t>סתר</w:t>
      </w:r>
      <w:r w:rsidRPr="008D5AF6">
        <w:rPr>
          <w:rFonts w:eastAsia="Times New Roman"/>
          <w:lang w:eastAsia="de-DE"/>
        </w:rPr>
        <w:t xml:space="preserve">, „sich verbergen", mit Artikel – „die sich Verbergenden"), </w:t>
      </w:r>
      <w:r w:rsidRPr="008D5AF6">
        <w:rPr>
          <w:rFonts w:eastAsia="Times New Roman"/>
          <w:b/>
          <w:bCs/>
          <w:rtl/>
          <w:lang w:eastAsia="de-DE"/>
        </w:rPr>
        <w:t>מִפָּנֶיךָ</w:t>
      </w:r>
      <w:r w:rsidRPr="008D5AF6">
        <w:rPr>
          <w:rFonts w:eastAsia="Times New Roman"/>
          <w:rtl/>
          <w:lang w:eastAsia="de-DE"/>
        </w:rPr>
        <w:t xml:space="preserve"> </w:t>
      </w:r>
      <w:r w:rsidRPr="008D5AF6">
        <w:rPr>
          <w:rFonts w:eastAsia="Times New Roman"/>
          <w:lang w:eastAsia="de-DE"/>
        </w:rPr>
        <w:t>als Herkunftsangabe (</w:t>
      </w:r>
      <w:r w:rsidRPr="008D5AF6">
        <w:rPr>
          <w:rFonts w:eastAsia="Times New Roman"/>
          <w:b/>
          <w:bCs/>
          <w:rtl/>
          <w:lang w:eastAsia="de-DE"/>
        </w:rPr>
        <w:t>מִן</w:t>
      </w:r>
      <w:r w:rsidRPr="008D5AF6">
        <w:rPr>
          <w:rFonts w:eastAsia="Times New Roman"/>
          <w:rtl/>
          <w:lang w:eastAsia="de-DE"/>
        </w:rPr>
        <w:t xml:space="preserve"> </w:t>
      </w:r>
      <w:r w:rsidRPr="008D5AF6">
        <w:rPr>
          <w:rFonts w:eastAsia="Times New Roman"/>
          <w:lang w:eastAsia="de-DE"/>
        </w:rPr>
        <w:t xml:space="preserve">mit </w:t>
      </w:r>
      <w:r w:rsidRPr="008D5AF6">
        <w:rPr>
          <w:rFonts w:eastAsia="Times New Roman"/>
          <w:b/>
          <w:bCs/>
          <w:rtl/>
          <w:lang w:eastAsia="de-DE"/>
        </w:rPr>
        <w:t>פָּנֶה</w:t>
      </w:r>
      <w:r w:rsidRPr="008D5AF6">
        <w:rPr>
          <w:rFonts w:eastAsia="Times New Roman"/>
          <w:lang w:eastAsia="de-DE"/>
        </w:rPr>
        <w:t>, Plural, und Suffix 2. Person Singular maskulin – „vor dir").</w:t>
      </w:r>
    </w:p>
    <w:p w14:paraId="03ADE82A"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 xml:space="preserve">Die </w:t>
      </w:r>
      <w:r w:rsidRPr="008D5AF6">
        <w:rPr>
          <w:rFonts w:eastAsia="Times New Roman"/>
          <w:b/>
          <w:bCs/>
          <w:rtl/>
          <w:lang w:eastAsia="de-DE"/>
        </w:rPr>
        <w:t>צִרְעָה</w:t>
      </w:r>
      <w:r w:rsidRPr="008D5AF6">
        <w:rPr>
          <w:rFonts w:eastAsia="Times New Roman"/>
          <w:rtl/>
          <w:lang w:eastAsia="de-DE"/>
        </w:rPr>
        <w:t xml:space="preserve"> </w:t>
      </w:r>
      <w:r w:rsidRPr="008D5AF6">
        <w:rPr>
          <w:rFonts w:eastAsia="Times New Roman"/>
          <w:lang w:eastAsia="de-DE"/>
        </w:rPr>
        <w:t xml:space="preserve">(„Hornisse") erscheint auch in Ex 23,28 und Jos 24,12. Die Deutung ist umstritten: (1) wörtlich Hornissen, die die Feinde in Panik versetzen; (2) metaphorisch für göttlichen Schrecken oder Panik; (3) metaphorisch für ägyptische militärische Macht (da die Hornisse ein ägyptisches Symbol war). Die meisten Ausleger favorisieren heute die zweite Deutung: die Hornisse als Bild für den von JHWH gesandten Schrecken. Die zweigliedrige Formulierung </w:t>
      </w:r>
      <w:r w:rsidRPr="008D5AF6">
        <w:rPr>
          <w:rFonts w:eastAsia="Times New Roman"/>
          <w:b/>
          <w:bCs/>
          <w:rtl/>
          <w:lang w:eastAsia="de-DE"/>
        </w:rPr>
        <w:t>הַנִּשְׁאָרִים וְהַנִּסְתָּרִים</w:t>
      </w:r>
      <w:r w:rsidRPr="008D5AF6">
        <w:rPr>
          <w:rFonts w:eastAsia="Times New Roman"/>
          <w:rtl/>
          <w:lang w:eastAsia="de-DE"/>
        </w:rPr>
        <w:t xml:space="preserve"> </w:t>
      </w:r>
      <w:r w:rsidRPr="008D5AF6">
        <w:rPr>
          <w:rFonts w:eastAsia="Times New Roman"/>
          <w:lang w:eastAsia="de-DE"/>
        </w:rPr>
        <w:t>(„die Übriggebliebenen und die sich Verbergenden") betont die Vollständigkeit der Vernichtung – selbst die Versteckten werden nicht entkommen.</w:t>
      </w:r>
    </w:p>
    <w:p w14:paraId="41B0416A"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Die LXX</w:t>
      </w:r>
      <w:r w:rsidRPr="008D5AF6">
        <w:rPr>
          <w:rFonts w:eastAsia="Times New Roman"/>
          <w:lang w:eastAsia="de-DE"/>
        </w:rPr>
        <w:t xml:space="preserve"> übersetzt </w:t>
      </w:r>
      <w:proofErr w:type="spellStart"/>
      <w:r w:rsidRPr="008D5AF6">
        <w:rPr>
          <w:rFonts w:eastAsia="Times New Roman"/>
          <w:b/>
          <w:bCs/>
          <w:lang w:eastAsia="de-DE"/>
        </w:rPr>
        <w:t>τὰς</w:t>
      </w:r>
      <w:proofErr w:type="spellEnd"/>
      <w:r w:rsidRPr="008D5AF6">
        <w:rPr>
          <w:rFonts w:eastAsia="Times New Roman"/>
          <w:b/>
          <w:bCs/>
          <w:lang w:eastAsia="de-DE"/>
        </w:rPr>
        <w:t xml:space="preserve"> </w:t>
      </w:r>
      <w:proofErr w:type="spellStart"/>
      <w:r w:rsidRPr="008D5AF6">
        <w:rPr>
          <w:rFonts w:eastAsia="Times New Roman"/>
          <w:b/>
          <w:bCs/>
          <w:lang w:eastAsia="de-DE"/>
        </w:rPr>
        <w:t>σφηκί</w:t>
      </w:r>
      <w:proofErr w:type="spellEnd"/>
      <w:r w:rsidRPr="008D5AF6">
        <w:rPr>
          <w:rFonts w:eastAsia="Times New Roman"/>
          <w:b/>
          <w:bCs/>
          <w:lang w:eastAsia="de-DE"/>
        </w:rPr>
        <w:t>ας</w:t>
      </w:r>
      <w:r w:rsidRPr="008D5AF6">
        <w:rPr>
          <w:rFonts w:eastAsia="Times New Roman"/>
          <w:lang w:eastAsia="de-DE"/>
        </w:rPr>
        <w:t xml:space="preserve"> (Plural, „die Hornissen") für </w:t>
      </w:r>
      <w:r w:rsidRPr="008D5AF6">
        <w:rPr>
          <w:rFonts w:eastAsia="Times New Roman"/>
          <w:b/>
          <w:bCs/>
          <w:rtl/>
          <w:lang w:eastAsia="de-DE"/>
        </w:rPr>
        <w:t>הַצִּרְעָה</w:t>
      </w:r>
      <w:r w:rsidRPr="008D5AF6">
        <w:rPr>
          <w:rFonts w:eastAsia="Times New Roman"/>
          <w:rtl/>
          <w:lang w:eastAsia="de-DE"/>
        </w:rPr>
        <w:t xml:space="preserve"> </w:t>
      </w:r>
      <w:r w:rsidRPr="008D5AF6">
        <w:rPr>
          <w:rFonts w:eastAsia="Times New Roman"/>
          <w:lang w:eastAsia="de-DE"/>
        </w:rPr>
        <w:t xml:space="preserve">und verwendet </w:t>
      </w:r>
      <w:proofErr w:type="spellStart"/>
      <w:r w:rsidRPr="008D5AF6">
        <w:rPr>
          <w:rFonts w:eastAsia="Times New Roman"/>
          <w:b/>
          <w:bCs/>
          <w:lang w:eastAsia="de-DE"/>
        </w:rPr>
        <w:t>ἐκτρι</w:t>
      </w:r>
      <w:proofErr w:type="spellEnd"/>
      <w:r w:rsidRPr="008D5AF6">
        <w:rPr>
          <w:rFonts w:eastAsia="Times New Roman"/>
          <w:b/>
          <w:bCs/>
          <w:lang w:eastAsia="de-DE"/>
        </w:rPr>
        <w:t>βῶσιν</w:t>
      </w:r>
      <w:r w:rsidRPr="008D5AF6">
        <w:rPr>
          <w:rFonts w:eastAsia="Times New Roman"/>
          <w:lang w:eastAsia="de-DE"/>
        </w:rPr>
        <w:t xml:space="preserve"> („sie werden zerrieben/vernichtet") für </w:t>
      </w:r>
      <w:r w:rsidRPr="008D5AF6">
        <w:rPr>
          <w:rFonts w:eastAsia="Times New Roman"/>
          <w:b/>
          <w:bCs/>
          <w:rtl/>
          <w:lang w:eastAsia="de-DE"/>
        </w:rPr>
        <w:t>אֲבֹד</w:t>
      </w:r>
      <w:r w:rsidRPr="008D5AF6">
        <w:rPr>
          <w:rFonts w:eastAsia="Times New Roman"/>
          <w:lang w:eastAsia="de-DE"/>
        </w:rPr>
        <w:t>.</w:t>
      </w:r>
    </w:p>
    <w:p w14:paraId="21CA5527"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Die Satzstruktur ist ein Hauptsatz mit steigernder Partikel, emphatisch vorausgestelltem direktem Objekt, Prädikat, erweitertem Subjekt und Richtungsangabe, gefolgt von einer temporalen Bestimmung mit Präposition, Infinitiv Construct, zweigliedriger koordinierter partizipialer Subjektaufzählung und Herkunftsangabe. Die Struktur unterstreicht JHWHs umfassende Vernichtung der Feinde.</w:t>
      </w:r>
    </w:p>
    <w:p w14:paraId="6A31843E"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Der Vers steigert die Verheißung: JHWH wird sogar die Hornisse (wörtlich oder metaphorisch für Schrecken) gegen die Kanaaniter senden, bis auch die letzten Überlebenden und Versteckten umgekommen sind – totale Vernichtung.</w:t>
      </w:r>
    </w:p>
    <w:p w14:paraId="08AB3EE1" w14:textId="77777777" w:rsidR="008D5AF6" w:rsidRPr="008D5AF6" w:rsidRDefault="008D5AF6" w:rsidP="008D5AF6">
      <w:pPr>
        <w:spacing w:before="100" w:beforeAutospacing="1" w:after="100" w:afterAutospacing="1" w:line="240" w:lineRule="auto"/>
        <w:outlineLvl w:val="1"/>
        <w:rPr>
          <w:rFonts w:eastAsia="Times New Roman"/>
          <w:b/>
          <w:bCs/>
          <w:sz w:val="36"/>
          <w:szCs w:val="36"/>
          <w:lang w:eastAsia="de-DE"/>
        </w:rPr>
      </w:pPr>
      <w:r w:rsidRPr="008D5AF6">
        <w:rPr>
          <w:rFonts w:eastAsia="Times New Roman"/>
          <w:b/>
          <w:bCs/>
          <w:sz w:val="36"/>
          <w:szCs w:val="36"/>
          <w:lang w:eastAsia="de-DE"/>
        </w:rPr>
        <w:t>Deuteronomium 7,21</w:t>
      </w:r>
    </w:p>
    <w:p w14:paraId="2C97F6FC"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Hebräisch:</w:t>
      </w:r>
      <w:r w:rsidRPr="008D5AF6">
        <w:rPr>
          <w:rFonts w:eastAsia="Times New Roman"/>
          <w:lang w:eastAsia="de-DE"/>
        </w:rPr>
        <w:t xml:space="preserve"> </w:t>
      </w:r>
      <w:r w:rsidRPr="008D5AF6">
        <w:rPr>
          <w:rFonts w:eastAsia="Times New Roman"/>
          <w:rtl/>
          <w:lang w:eastAsia="de-DE"/>
        </w:rPr>
        <w:t>לֹא תַעֲרֹץ מִפְּנֵיהֶם כִּי־יְהוָה אֱלֹהֶיךָ בְּקִרְבֶּךָ אֵל גָּדוֹל וְנוֹרָא׃</w:t>
      </w:r>
    </w:p>
    <w:p w14:paraId="5CEAF2B1"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Deutsch:</w:t>
      </w:r>
      <w:r w:rsidRPr="008D5AF6">
        <w:rPr>
          <w:rFonts w:eastAsia="Times New Roman"/>
          <w:lang w:eastAsia="de-DE"/>
        </w:rPr>
        <w:t xml:space="preserve"> Erschrick nicht vor ihnen! Denn der Ewige, dein Gott, ist in deiner Mitte, ein großer und furchtbarer Gott.</w:t>
      </w:r>
    </w:p>
    <w:p w14:paraId="3C6D65A4" w14:textId="77777777" w:rsidR="008D5AF6" w:rsidRPr="008D5AF6" w:rsidRDefault="004F5CEB" w:rsidP="008D5AF6">
      <w:pPr>
        <w:spacing w:after="0" w:line="240" w:lineRule="auto"/>
        <w:rPr>
          <w:rFonts w:eastAsia="Times New Roman"/>
          <w:lang w:eastAsia="de-DE"/>
        </w:rPr>
      </w:pPr>
      <w:r>
        <w:rPr>
          <w:rFonts w:eastAsia="Times New Roman"/>
          <w:noProof/>
          <w:lang w:eastAsia="de-DE"/>
        </w:rPr>
        <w:pict w14:anchorId="04DE3DED">
          <v:rect id="_x0000_i1264" style="width:0;height:1.5pt" o:hralign="center" o:hrstd="t" o:hr="t" fillcolor="#a0a0a0" stroked="f"/>
        </w:pict>
      </w:r>
    </w:p>
    <w:p w14:paraId="4BE10949"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Kommentar:</w:t>
      </w:r>
      <w:r w:rsidRPr="008D5AF6">
        <w:rPr>
          <w:rFonts w:eastAsia="Times New Roman"/>
          <w:lang w:eastAsia="de-DE"/>
        </w:rPr>
        <w:t xml:space="preserve"> </w:t>
      </w:r>
      <w:r w:rsidRPr="008D5AF6">
        <w:rPr>
          <w:rFonts w:eastAsia="Times New Roman"/>
          <w:b/>
          <w:bCs/>
          <w:rtl/>
          <w:lang w:eastAsia="de-DE"/>
        </w:rPr>
        <w:t>לֹא תַעֲרֹץ מִפְּנֵיהֶם</w:t>
      </w:r>
      <w:r w:rsidRPr="008D5AF6">
        <w:rPr>
          <w:rFonts w:eastAsia="Times New Roman"/>
          <w:rtl/>
          <w:lang w:eastAsia="de-DE"/>
        </w:rPr>
        <w:t xml:space="preserve"> </w:t>
      </w:r>
      <w:r w:rsidRPr="008D5AF6">
        <w:rPr>
          <w:rFonts w:eastAsia="Times New Roman"/>
          <w:lang w:eastAsia="de-DE"/>
        </w:rPr>
        <w:t xml:space="preserve">ist ein prohibitiver Satz: </w:t>
      </w:r>
      <w:r w:rsidRPr="008D5AF6">
        <w:rPr>
          <w:rFonts w:eastAsia="Times New Roman"/>
          <w:b/>
          <w:bCs/>
          <w:rtl/>
          <w:lang w:eastAsia="de-DE"/>
        </w:rPr>
        <w:t>לֹא</w:t>
      </w:r>
      <w:r w:rsidRPr="008D5AF6">
        <w:rPr>
          <w:rFonts w:eastAsia="Times New Roman"/>
          <w:rtl/>
          <w:lang w:eastAsia="de-DE"/>
        </w:rPr>
        <w:t xml:space="preserve"> </w:t>
      </w:r>
      <w:r w:rsidRPr="008D5AF6">
        <w:rPr>
          <w:rFonts w:eastAsia="Times New Roman"/>
          <w:lang w:eastAsia="de-DE"/>
        </w:rPr>
        <w:t xml:space="preserve">als Negation, </w:t>
      </w:r>
      <w:r w:rsidRPr="008D5AF6">
        <w:rPr>
          <w:rFonts w:eastAsia="Times New Roman"/>
          <w:b/>
          <w:bCs/>
          <w:rtl/>
          <w:lang w:eastAsia="de-DE"/>
        </w:rPr>
        <w:t>תַעֲרֹץ</w:t>
      </w:r>
      <w:r w:rsidRPr="008D5AF6">
        <w:rPr>
          <w:rFonts w:eastAsia="Times New Roman"/>
          <w:rtl/>
          <w:lang w:eastAsia="de-DE"/>
        </w:rPr>
        <w:t xml:space="preserve"> </w:t>
      </w:r>
      <w:r w:rsidRPr="008D5AF6">
        <w:rPr>
          <w:rFonts w:eastAsia="Times New Roman"/>
          <w:lang w:eastAsia="de-DE"/>
        </w:rPr>
        <w:t xml:space="preserve">als Qal Imperfekt, 2. Person Singular maskulin von </w:t>
      </w:r>
      <w:r w:rsidRPr="008D5AF6">
        <w:rPr>
          <w:rFonts w:eastAsia="Times New Roman"/>
          <w:b/>
          <w:bCs/>
          <w:rtl/>
          <w:lang w:eastAsia="de-DE"/>
        </w:rPr>
        <w:t>ערץ</w:t>
      </w:r>
      <w:r w:rsidRPr="008D5AF6">
        <w:rPr>
          <w:rFonts w:eastAsia="Times New Roman"/>
          <w:lang w:eastAsia="de-DE"/>
        </w:rPr>
        <w:t xml:space="preserve">, „erschrecken, in Angst geraten" (stärker als </w:t>
      </w:r>
      <w:r w:rsidRPr="008D5AF6">
        <w:rPr>
          <w:rFonts w:eastAsia="Times New Roman"/>
          <w:b/>
          <w:bCs/>
          <w:rtl/>
          <w:lang w:eastAsia="de-DE"/>
        </w:rPr>
        <w:t>ירא</w:t>
      </w:r>
      <w:r w:rsidRPr="008D5AF6">
        <w:rPr>
          <w:rFonts w:eastAsia="Times New Roman"/>
          <w:lang w:eastAsia="de-DE"/>
        </w:rPr>
        <w:t xml:space="preserve">, „fürchten"), </w:t>
      </w:r>
      <w:r w:rsidRPr="008D5AF6">
        <w:rPr>
          <w:rFonts w:eastAsia="Times New Roman"/>
          <w:b/>
          <w:bCs/>
          <w:rtl/>
          <w:lang w:eastAsia="de-DE"/>
        </w:rPr>
        <w:t>מִפְּנֵיהֶם</w:t>
      </w:r>
      <w:r w:rsidRPr="008D5AF6">
        <w:rPr>
          <w:rFonts w:eastAsia="Times New Roman"/>
          <w:rtl/>
          <w:lang w:eastAsia="de-DE"/>
        </w:rPr>
        <w:t xml:space="preserve"> </w:t>
      </w:r>
      <w:r w:rsidRPr="008D5AF6">
        <w:rPr>
          <w:rFonts w:eastAsia="Times New Roman"/>
          <w:lang w:eastAsia="de-DE"/>
        </w:rPr>
        <w:t>als präpositionale Ergänzung (</w:t>
      </w:r>
      <w:r w:rsidRPr="008D5AF6">
        <w:rPr>
          <w:rFonts w:eastAsia="Times New Roman"/>
          <w:b/>
          <w:bCs/>
          <w:rtl/>
          <w:lang w:eastAsia="de-DE"/>
        </w:rPr>
        <w:t>מִן</w:t>
      </w:r>
      <w:r w:rsidRPr="008D5AF6">
        <w:rPr>
          <w:rFonts w:eastAsia="Times New Roman"/>
          <w:rtl/>
          <w:lang w:eastAsia="de-DE"/>
        </w:rPr>
        <w:t xml:space="preserve"> </w:t>
      </w:r>
      <w:r w:rsidRPr="008D5AF6">
        <w:rPr>
          <w:rFonts w:eastAsia="Times New Roman"/>
          <w:lang w:eastAsia="de-DE"/>
        </w:rPr>
        <w:t xml:space="preserve">mit </w:t>
      </w:r>
      <w:r w:rsidRPr="008D5AF6">
        <w:rPr>
          <w:rFonts w:eastAsia="Times New Roman"/>
          <w:b/>
          <w:bCs/>
          <w:rtl/>
          <w:lang w:eastAsia="de-DE"/>
        </w:rPr>
        <w:t>פָּנֶה</w:t>
      </w:r>
      <w:r w:rsidRPr="008D5AF6">
        <w:rPr>
          <w:rFonts w:eastAsia="Times New Roman"/>
          <w:lang w:eastAsia="de-DE"/>
        </w:rPr>
        <w:t>, Plural, und Suffix 3. Person Plural maskulin – „vor ihnen").</w:t>
      </w:r>
    </w:p>
    <w:p w14:paraId="132E2504"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rtl/>
          <w:lang w:eastAsia="de-DE"/>
        </w:rPr>
        <w:t>כִּי־יְהוָה אֱלֹהֶיךָ בְּקִרְבֶּךָ</w:t>
      </w:r>
      <w:r w:rsidRPr="008D5AF6">
        <w:rPr>
          <w:rFonts w:eastAsia="Times New Roman"/>
          <w:rtl/>
          <w:lang w:eastAsia="de-DE"/>
        </w:rPr>
        <w:t xml:space="preserve"> </w:t>
      </w:r>
      <w:r w:rsidRPr="008D5AF6">
        <w:rPr>
          <w:rFonts w:eastAsia="Times New Roman"/>
          <w:lang w:eastAsia="de-DE"/>
        </w:rPr>
        <w:t xml:space="preserve">ist ein kausaler nominaler Satz: </w:t>
      </w:r>
      <w:r w:rsidRPr="008D5AF6">
        <w:rPr>
          <w:rFonts w:eastAsia="Times New Roman"/>
          <w:b/>
          <w:bCs/>
          <w:rtl/>
          <w:lang w:eastAsia="de-DE"/>
        </w:rPr>
        <w:t>כִּי</w:t>
      </w:r>
      <w:r w:rsidRPr="008D5AF6">
        <w:rPr>
          <w:rFonts w:eastAsia="Times New Roman"/>
          <w:rtl/>
          <w:lang w:eastAsia="de-DE"/>
        </w:rPr>
        <w:t xml:space="preserve"> </w:t>
      </w:r>
      <w:r w:rsidRPr="008D5AF6">
        <w:rPr>
          <w:rFonts w:eastAsia="Times New Roman"/>
          <w:lang w:eastAsia="de-DE"/>
        </w:rPr>
        <w:t xml:space="preserve">als Konjunktion („denn"), </w:t>
      </w:r>
      <w:r w:rsidRPr="008D5AF6">
        <w:rPr>
          <w:rFonts w:eastAsia="Times New Roman"/>
          <w:b/>
          <w:bCs/>
          <w:rtl/>
          <w:lang w:eastAsia="de-DE"/>
        </w:rPr>
        <w:t>יְהוָה אֱלֹהֶיךָ</w:t>
      </w:r>
      <w:r w:rsidRPr="008D5AF6">
        <w:rPr>
          <w:rFonts w:eastAsia="Times New Roman"/>
          <w:rtl/>
          <w:lang w:eastAsia="de-DE"/>
        </w:rPr>
        <w:t xml:space="preserve"> </w:t>
      </w:r>
      <w:r w:rsidRPr="008D5AF6">
        <w:rPr>
          <w:rFonts w:eastAsia="Times New Roman"/>
          <w:lang w:eastAsia="de-DE"/>
        </w:rPr>
        <w:t xml:space="preserve">als erweitertes Subjekt, </w:t>
      </w:r>
      <w:r w:rsidRPr="008D5AF6">
        <w:rPr>
          <w:rFonts w:eastAsia="Times New Roman"/>
          <w:b/>
          <w:bCs/>
          <w:rtl/>
          <w:lang w:eastAsia="de-DE"/>
        </w:rPr>
        <w:t>בְּקִרְבֶּךָ</w:t>
      </w:r>
      <w:r w:rsidRPr="008D5AF6">
        <w:rPr>
          <w:rFonts w:eastAsia="Times New Roman"/>
          <w:rtl/>
          <w:lang w:eastAsia="de-DE"/>
        </w:rPr>
        <w:t xml:space="preserve"> </w:t>
      </w:r>
      <w:r w:rsidRPr="008D5AF6">
        <w:rPr>
          <w:rFonts w:eastAsia="Times New Roman"/>
          <w:lang w:eastAsia="de-DE"/>
        </w:rPr>
        <w:t>als Ortsangabe (</w:t>
      </w:r>
      <w:r w:rsidRPr="008D5AF6">
        <w:rPr>
          <w:rFonts w:eastAsia="Times New Roman"/>
          <w:b/>
          <w:bCs/>
          <w:rtl/>
          <w:lang w:eastAsia="de-DE"/>
        </w:rPr>
        <w:t>בְּ</w:t>
      </w:r>
      <w:r w:rsidRPr="008D5AF6">
        <w:rPr>
          <w:rFonts w:eastAsia="Times New Roman"/>
          <w:rtl/>
          <w:lang w:eastAsia="de-DE"/>
        </w:rPr>
        <w:t xml:space="preserve"> </w:t>
      </w:r>
      <w:r w:rsidRPr="008D5AF6">
        <w:rPr>
          <w:rFonts w:eastAsia="Times New Roman"/>
          <w:lang w:eastAsia="de-DE"/>
        </w:rPr>
        <w:t xml:space="preserve">mit </w:t>
      </w:r>
      <w:r w:rsidRPr="008D5AF6">
        <w:rPr>
          <w:rFonts w:eastAsia="Times New Roman"/>
          <w:b/>
          <w:bCs/>
          <w:rtl/>
          <w:lang w:eastAsia="de-DE"/>
        </w:rPr>
        <w:t>קֶרֶב</w:t>
      </w:r>
      <w:r w:rsidRPr="008D5AF6">
        <w:rPr>
          <w:rFonts w:eastAsia="Times New Roman"/>
          <w:lang w:eastAsia="de-DE"/>
        </w:rPr>
        <w:t xml:space="preserve">, „Mitte, Inneres", und Suffix 2. Person Singular maskulin – „in deiner Mitte"). </w:t>
      </w:r>
      <w:r w:rsidRPr="008D5AF6">
        <w:rPr>
          <w:rFonts w:eastAsia="Times New Roman"/>
          <w:b/>
          <w:bCs/>
          <w:rtl/>
          <w:lang w:eastAsia="de-DE"/>
        </w:rPr>
        <w:t>אֵל גָּדוֹל וְנוֹרָא</w:t>
      </w:r>
      <w:r w:rsidRPr="008D5AF6">
        <w:rPr>
          <w:rFonts w:eastAsia="Times New Roman"/>
          <w:rtl/>
          <w:lang w:eastAsia="de-DE"/>
        </w:rPr>
        <w:t xml:space="preserve"> </w:t>
      </w:r>
      <w:r w:rsidRPr="008D5AF6">
        <w:rPr>
          <w:rFonts w:eastAsia="Times New Roman"/>
          <w:lang w:eastAsia="de-DE"/>
        </w:rPr>
        <w:t xml:space="preserve">ist eine appositionelle Erweiterung: </w:t>
      </w:r>
      <w:r w:rsidRPr="008D5AF6">
        <w:rPr>
          <w:rFonts w:eastAsia="Times New Roman"/>
          <w:b/>
          <w:bCs/>
          <w:rtl/>
          <w:lang w:eastAsia="de-DE"/>
        </w:rPr>
        <w:t>אֵל גָּדוֹל</w:t>
      </w:r>
      <w:r w:rsidRPr="008D5AF6">
        <w:rPr>
          <w:rFonts w:eastAsia="Times New Roman"/>
          <w:rtl/>
          <w:lang w:eastAsia="de-DE"/>
        </w:rPr>
        <w:t xml:space="preserve"> </w:t>
      </w:r>
      <w:r w:rsidRPr="008D5AF6">
        <w:rPr>
          <w:rFonts w:eastAsia="Times New Roman"/>
          <w:lang w:eastAsia="de-DE"/>
        </w:rPr>
        <w:t>(</w:t>
      </w:r>
      <w:r w:rsidRPr="008D5AF6">
        <w:rPr>
          <w:rFonts w:eastAsia="Times New Roman"/>
          <w:b/>
          <w:bCs/>
          <w:rtl/>
          <w:lang w:eastAsia="de-DE"/>
        </w:rPr>
        <w:t>אֵל</w:t>
      </w:r>
      <w:r w:rsidRPr="008D5AF6">
        <w:rPr>
          <w:rFonts w:eastAsia="Times New Roman"/>
          <w:lang w:eastAsia="de-DE"/>
        </w:rPr>
        <w:t xml:space="preserve">, „Gott", mit Adjektiv </w:t>
      </w:r>
      <w:r w:rsidRPr="008D5AF6">
        <w:rPr>
          <w:rFonts w:eastAsia="Times New Roman"/>
          <w:b/>
          <w:bCs/>
          <w:rtl/>
          <w:lang w:eastAsia="de-DE"/>
        </w:rPr>
        <w:t>גָּדוֹל</w:t>
      </w:r>
      <w:r w:rsidRPr="008D5AF6">
        <w:rPr>
          <w:rFonts w:eastAsia="Times New Roman"/>
          <w:lang w:eastAsia="de-DE"/>
        </w:rPr>
        <w:t xml:space="preserve">, „groß"), </w:t>
      </w:r>
      <w:r w:rsidRPr="008D5AF6">
        <w:rPr>
          <w:rFonts w:eastAsia="Times New Roman"/>
          <w:b/>
          <w:bCs/>
          <w:rtl/>
          <w:lang w:eastAsia="de-DE"/>
        </w:rPr>
        <w:t>וְנוֹרָא</w:t>
      </w:r>
      <w:r w:rsidRPr="008D5AF6">
        <w:rPr>
          <w:rFonts w:eastAsia="Times New Roman"/>
          <w:rtl/>
          <w:lang w:eastAsia="de-DE"/>
        </w:rPr>
        <w:t xml:space="preserve"> </w:t>
      </w:r>
      <w:r w:rsidRPr="008D5AF6">
        <w:rPr>
          <w:rFonts w:eastAsia="Times New Roman"/>
          <w:lang w:eastAsia="de-DE"/>
        </w:rPr>
        <w:t xml:space="preserve">koordiniert (Nifal Partizip Singular maskulin von </w:t>
      </w:r>
      <w:r w:rsidRPr="008D5AF6">
        <w:rPr>
          <w:rFonts w:eastAsia="Times New Roman"/>
          <w:b/>
          <w:bCs/>
          <w:rtl/>
          <w:lang w:eastAsia="de-DE"/>
        </w:rPr>
        <w:t>ירא</w:t>
      </w:r>
      <w:r w:rsidRPr="008D5AF6">
        <w:rPr>
          <w:rFonts w:eastAsia="Times New Roman"/>
          <w:lang w:eastAsia="de-DE"/>
        </w:rPr>
        <w:t>, „fürchten" – im Nifal „furchtbar, ehrfurchtgebietend sein").</w:t>
      </w:r>
    </w:p>
    <w:p w14:paraId="6C4EC8B7"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lastRenderedPageBreak/>
        <w:t xml:space="preserve">Die Begründung für das Verbot der Furcht ist JHWHs Gegenwart mitten in Israel. Die Formulierung </w:t>
      </w:r>
      <w:r w:rsidRPr="008D5AF6">
        <w:rPr>
          <w:rFonts w:eastAsia="Times New Roman"/>
          <w:b/>
          <w:bCs/>
          <w:rtl/>
          <w:lang w:eastAsia="de-DE"/>
        </w:rPr>
        <w:t>יְהוָה אֱלֹהֶיךָ בְּקִרְבֶּךָ</w:t>
      </w:r>
      <w:r w:rsidRPr="008D5AF6">
        <w:rPr>
          <w:rFonts w:eastAsia="Times New Roman"/>
          <w:rtl/>
          <w:lang w:eastAsia="de-DE"/>
        </w:rPr>
        <w:t xml:space="preserve"> </w:t>
      </w:r>
      <w:r w:rsidRPr="008D5AF6">
        <w:rPr>
          <w:rFonts w:eastAsia="Times New Roman"/>
          <w:lang w:eastAsia="de-DE"/>
        </w:rPr>
        <w:t xml:space="preserve">betont die Immanenz Gottes – er ist nicht fern, sondern mitten im Volk präsent. Die zweigliedrige Gottesbezeichnung </w:t>
      </w:r>
      <w:r w:rsidRPr="008D5AF6">
        <w:rPr>
          <w:rFonts w:eastAsia="Times New Roman"/>
          <w:b/>
          <w:bCs/>
          <w:rtl/>
          <w:lang w:eastAsia="de-DE"/>
        </w:rPr>
        <w:t>אֵל גָּדוֹל וְנוֹרָא</w:t>
      </w:r>
      <w:r w:rsidRPr="008D5AF6">
        <w:rPr>
          <w:rFonts w:eastAsia="Times New Roman"/>
          <w:rtl/>
          <w:lang w:eastAsia="de-DE"/>
        </w:rPr>
        <w:t xml:space="preserve"> </w:t>
      </w:r>
      <w:r w:rsidRPr="008D5AF6">
        <w:rPr>
          <w:rFonts w:eastAsia="Times New Roman"/>
          <w:lang w:eastAsia="de-DE"/>
        </w:rPr>
        <w:t xml:space="preserve">(„großer und furchtbarer Gott") erscheint auch in 10,17; Neh 1,5; 4,8; 9,32; Dan 9,4. Das Partizip </w:t>
      </w:r>
      <w:r w:rsidRPr="008D5AF6">
        <w:rPr>
          <w:rFonts w:eastAsia="Times New Roman"/>
          <w:b/>
          <w:bCs/>
          <w:rtl/>
          <w:lang w:eastAsia="de-DE"/>
        </w:rPr>
        <w:t>נוֹרָא</w:t>
      </w:r>
      <w:r w:rsidRPr="008D5AF6">
        <w:rPr>
          <w:rFonts w:eastAsia="Times New Roman"/>
          <w:rtl/>
          <w:lang w:eastAsia="de-DE"/>
        </w:rPr>
        <w:t xml:space="preserve"> </w:t>
      </w:r>
      <w:r w:rsidRPr="008D5AF6">
        <w:rPr>
          <w:rFonts w:eastAsia="Times New Roman"/>
          <w:lang w:eastAsia="de-DE"/>
        </w:rPr>
        <w:t>(„furchtbar") drückt die ehrfurchtgebietende, überwältigende Größe Gottes aus (vgl. Ex 15,11; Dtn 10,21; Ps 47,3; 66,3.5; 68,36; 76,8.13; 89,8; 96,4; 99,3; 111,9; 145,6).</w:t>
      </w:r>
    </w:p>
    <w:p w14:paraId="25771283"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Die LXX</w:t>
      </w:r>
      <w:r w:rsidRPr="008D5AF6">
        <w:rPr>
          <w:rFonts w:eastAsia="Times New Roman"/>
          <w:lang w:eastAsia="de-DE"/>
        </w:rPr>
        <w:t xml:space="preserve"> übersetzt </w:t>
      </w:r>
      <w:proofErr w:type="spellStart"/>
      <w:r w:rsidRPr="008D5AF6">
        <w:rPr>
          <w:rFonts w:eastAsia="Times New Roman"/>
          <w:b/>
          <w:bCs/>
          <w:lang w:eastAsia="de-DE"/>
        </w:rPr>
        <w:t>κρ</w:t>
      </w:r>
      <w:proofErr w:type="spellEnd"/>
      <w:r w:rsidRPr="008D5AF6">
        <w:rPr>
          <w:rFonts w:eastAsia="Times New Roman"/>
          <w:b/>
          <w:bCs/>
          <w:lang w:eastAsia="de-DE"/>
        </w:rPr>
        <w:t>αταιός</w:t>
      </w:r>
      <w:r w:rsidRPr="008D5AF6">
        <w:rPr>
          <w:rFonts w:eastAsia="Times New Roman"/>
          <w:lang w:eastAsia="de-DE"/>
        </w:rPr>
        <w:t xml:space="preserve"> („mächtig, stark") für </w:t>
      </w:r>
      <w:r w:rsidRPr="008D5AF6">
        <w:rPr>
          <w:rFonts w:eastAsia="Times New Roman"/>
          <w:b/>
          <w:bCs/>
          <w:rtl/>
          <w:lang w:eastAsia="de-DE"/>
        </w:rPr>
        <w:t>נוֹרָא</w:t>
      </w:r>
      <w:r w:rsidRPr="008D5AF6">
        <w:rPr>
          <w:rFonts w:eastAsia="Times New Roman"/>
          <w:lang w:eastAsia="de-DE"/>
        </w:rPr>
        <w:t>.</w:t>
      </w:r>
    </w:p>
    <w:p w14:paraId="640DF325"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Die Satzstruktur ist ein prohibitiver Satz mit Negation, Prädikat und präpositionaler Ergänzung, gefolgt von einem kausalen nominalen Satz mit erweitertem Subjekt und Ortsangabe, erweitert durch eine zweigliedrige appositionelle Gottesbezeichnung (substantivisches Adjektiv und koordiniertes Partizip). Die Struktur begründet das Verbot der Furcht mit der Immanenz des mächtigen Gottes.</w:t>
      </w:r>
    </w:p>
    <w:p w14:paraId="0635BE31"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Der Vers gibt die abschließende Ermutigung: Erschrick nicht! JHWH, dein Gott, ist mitten in dir – ein großer und furchtbarer Gott. Seine Gegenwart in Israels Mitte ist Grund genug, nicht zu erschrecken.</w:t>
      </w:r>
    </w:p>
    <w:p w14:paraId="56CE18EB" w14:textId="77777777" w:rsidR="008D5AF6" w:rsidRPr="008D5AF6" w:rsidRDefault="008D5AF6" w:rsidP="008D5AF6">
      <w:pPr>
        <w:spacing w:before="100" w:beforeAutospacing="1" w:after="100" w:afterAutospacing="1" w:line="240" w:lineRule="auto"/>
        <w:outlineLvl w:val="1"/>
        <w:rPr>
          <w:rFonts w:eastAsia="Times New Roman"/>
          <w:b/>
          <w:bCs/>
          <w:sz w:val="36"/>
          <w:szCs w:val="36"/>
          <w:lang w:eastAsia="de-DE"/>
        </w:rPr>
      </w:pPr>
      <w:r w:rsidRPr="008D5AF6">
        <w:rPr>
          <w:rFonts w:eastAsia="Times New Roman"/>
          <w:b/>
          <w:bCs/>
          <w:sz w:val="36"/>
          <w:szCs w:val="36"/>
          <w:lang w:eastAsia="de-DE"/>
        </w:rPr>
        <w:t>Deuteronomium 7,22</w:t>
      </w:r>
    </w:p>
    <w:p w14:paraId="3B9ED546"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Hebräisch:</w:t>
      </w:r>
      <w:r w:rsidRPr="008D5AF6">
        <w:rPr>
          <w:rFonts w:eastAsia="Times New Roman"/>
          <w:lang w:eastAsia="de-DE"/>
        </w:rPr>
        <w:t xml:space="preserve"> </w:t>
      </w:r>
      <w:r w:rsidRPr="008D5AF6">
        <w:rPr>
          <w:rFonts w:eastAsia="Times New Roman"/>
          <w:rtl/>
          <w:lang w:eastAsia="de-DE"/>
        </w:rPr>
        <w:t>וְנָשַׁל יְהוָה אֱלֹהֶיךָ אֶת־הַגּוֹיִם הָאֵל מִפָּנֶיךָ מְעַט מְעָט לֹא תוּכַל כַּלֹּתָם מַהֵר פֶּן־תִּרְבֶּה עָלֶיךָ חַיַּת הַשָּׂדֶה׃</w:t>
      </w:r>
    </w:p>
    <w:p w14:paraId="5768B977"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Deutsch:</w:t>
      </w:r>
      <w:r w:rsidRPr="008D5AF6">
        <w:rPr>
          <w:rFonts w:eastAsia="Times New Roman"/>
          <w:lang w:eastAsia="de-DE"/>
        </w:rPr>
        <w:t xml:space="preserve"> Und der Ewige, dein Gott, wird diese Nationen nach und nach vor dir vertreiben; du wirst sie nicht schnell vernichten können, damit sich das Wild des Feldes nicht gegen dich vermehre.</w:t>
      </w:r>
    </w:p>
    <w:p w14:paraId="679FFEAB" w14:textId="77777777" w:rsidR="008D5AF6" w:rsidRPr="008D5AF6" w:rsidRDefault="004F5CEB" w:rsidP="008D5AF6">
      <w:pPr>
        <w:spacing w:after="0" w:line="240" w:lineRule="auto"/>
        <w:rPr>
          <w:rFonts w:eastAsia="Times New Roman"/>
          <w:lang w:eastAsia="de-DE"/>
        </w:rPr>
      </w:pPr>
      <w:r>
        <w:rPr>
          <w:rFonts w:eastAsia="Times New Roman"/>
          <w:noProof/>
          <w:lang w:eastAsia="de-DE"/>
        </w:rPr>
        <w:pict w14:anchorId="5CFA7135">
          <v:rect id="_x0000_i1265" style="width:0;height:1.5pt" o:hralign="center" o:hrstd="t" o:hr="t" fillcolor="#a0a0a0" stroked="f"/>
        </w:pict>
      </w:r>
    </w:p>
    <w:p w14:paraId="7FF9CA4C"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Kommentar:</w:t>
      </w:r>
      <w:r w:rsidRPr="008D5AF6">
        <w:rPr>
          <w:rFonts w:eastAsia="Times New Roman"/>
          <w:lang w:eastAsia="de-DE"/>
        </w:rPr>
        <w:t xml:space="preserve"> </w:t>
      </w:r>
      <w:r w:rsidRPr="008D5AF6">
        <w:rPr>
          <w:rFonts w:eastAsia="Times New Roman"/>
          <w:b/>
          <w:bCs/>
          <w:rtl/>
          <w:lang w:eastAsia="de-DE"/>
        </w:rPr>
        <w:t>וְנָשַׁל יְהוָה אֱלֹהֶיךָ אֶת־הַגּוֹיִם הָאֵל מִפָּנֶיךָ מְעַט מְעָט</w:t>
      </w:r>
      <w:r w:rsidRPr="008D5AF6">
        <w:rPr>
          <w:rFonts w:eastAsia="Times New Roman"/>
          <w:rtl/>
          <w:lang w:eastAsia="de-DE"/>
        </w:rPr>
        <w:t xml:space="preserve"> </w:t>
      </w:r>
      <w:r w:rsidRPr="008D5AF6">
        <w:rPr>
          <w:rFonts w:eastAsia="Times New Roman"/>
          <w:lang w:eastAsia="de-DE"/>
        </w:rPr>
        <w:t xml:space="preserve">ist Qal Perfekt consecutivum, 3. Person Singular maskulin von </w:t>
      </w:r>
      <w:r w:rsidRPr="008D5AF6">
        <w:rPr>
          <w:rFonts w:eastAsia="Times New Roman"/>
          <w:b/>
          <w:bCs/>
          <w:rtl/>
          <w:lang w:eastAsia="de-DE"/>
        </w:rPr>
        <w:t>נשׁל</w:t>
      </w:r>
      <w:r w:rsidRPr="008D5AF6">
        <w:rPr>
          <w:rFonts w:eastAsia="Times New Roman"/>
          <w:lang w:eastAsia="de-DE"/>
        </w:rPr>
        <w:t xml:space="preserve">, „vertreiben, ausreißen", mit </w:t>
      </w:r>
      <w:r w:rsidRPr="008D5AF6">
        <w:rPr>
          <w:rFonts w:eastAsia="Times New Roman"/>
          <w:b/>
          <w:bCs/>
          <w:rtl/>
          <w:lang w:eastAsia="de-DE"/>
        </w:rPr>
        <w:t>וְ</w:t>
      </w:r>
      <w:r w:rsidRPr="008D5AF6">
        <w:rPr>
          <w:rFonts w:eastAsia="Times New Roman"/>
          <w:lang w:eastAsia="de-DE"/>
        </w:rPr>
        <w:t xml:space="preserve">, </w:t>
      </w:r>
      <w:r w:rsidRPr="008D5AF6">
        <w:rPr>
          <w:rFonts w:eastAsia="Times New Roman"/>
          <w:b/>
          <w:bCs/>
          <w:rtl/>
          <w:lang w:eastAsia="de-DE"/>
        </w:rPr>
        <w:t>יְהוָה אֱלֹהֶיךָ</w:t>
      </w:r>
      <w:r w:rsidRPr="008D5AF6">
        <w:rPr>
          <w:rFonts w:eastAsia="Times New Roman"/>
          <w:rtl/>
          <w:lang w:eastAsia="de-DE"/>
        </w:rPr>
        <w:t xml:space="preserve"> </w:t>
      </w:r>
      <w:r w:rsidRPr="008D5AF6">
        <w:rPr>
          <w:rFonts w:eastAsia="Times New Roman"/>
          <w:lang w:eastAsia="de-DE"/>
        </w:rPr>
        <w:t xml:space="preserve">als erweitertes Subjekt, </w:t>
      </w:r>
      <w:r w:rsidRPr="008D5AF6">
        <w:rPr>
          <w:rFonts w:eastAsia="Times New Roman"/>
          <w:b/>
          <w:bCs/>
          <w:rtl/>
          <w:lang w:eastAsia="de-DE"/>
        </w:rPr>
        <w:t>אֶת־הַגּוֹיִם הָאֵל</w:t>
      </w:r>
      <w:r w:rsidRPr="008D5AF6">
        <w:rPr>
          <w:rFonts w:eastAsia="Times New Roman"/>
          <w:rtl/>
          <w:lang w:eastAsia="de-DE"/>
        </w:rPr>
        <w:t xml:space="preserve"> </w:t>
      </w:r>
      <w:r w:rsidRPr="008D5AF6">
        <w:rPr>
          <w:rFonts w:eastAsia="Times New Roman"/>
          <w:lang w:eastAsia="de-DE"/>
        </w:rPr>
        <w:t>als direktes Objekt (</w:t>
      </w:r>
      <w:r w:rsidRPr="008D5AF6">
        <w:rPr>
          <w:rFonts w:eastAsia="Times New Roman"/>
          <w:b/>
          <w:bCs/>
          <w:rtl/>
          <w:lang w:eastAsia="de-DE"/>
        </w:rPr>
        <w:t>גּוֹי</w:t>
      </w:r>
      <w:r w:rsidRPr="008D5AF6">
        <w:rPr>
          <w:rFonts w:eastAsia="Times New Roman"/>
          <w:lang w:eastAsia="de-DE"/>
        </w:rPr>
        <w:t xml:space="preserve">, Plural, mit Artikel und Demonstrativpronomen </w:t>
      </w:r>
      <w:r w:rsidRPr="008D5AF6">
        <w:rPr>
          <w:rFonts w:eastAsia="Times New Roman"/>
          <w:b/>
          <w:bCs/>
          <w:rtl/>
          <w:lang w:eastAsia="de-DE"/>
        </w:rPr>
        <w:t>הָאֵל</w:t>
      </w:r>
      <w:r w:rsidRPr="008D5AF6">
        <w:rPr>
          <w:rFonts w:eastAsia="Times New Roman"/>
          <w:rtl/>
          <w:lang w:eastAsia="de-DE"/>
        </w:rPr>
        <w:t xml:space="preserve"> </w:t>
      </w:r>
      <w:r w:rsidRPr="008D5AF6">
        <w:rPr>
          <w:rFonts w:eastAsia="Times New Roman"/>
          <w:lang w:eastAsia="de-DE"/>
        </w:rPr>
        <w:t xml:space="preserve">– „diese"), </w:t>
      </w:r>
      <w:r w:rsidRPr="008D5AF6">
        <w:rPr>
          <w:rFonts w:eastAsia="Times New Roman"/>
          <w:b/>
          <w:bCs/>
          <w:rtl/>
          <w:lang w:eastAsia="de-DE"/>
        </w:rPr>
        <w:t>מִפָּנֶיךָ</w:t>
      </w:r>
      <w:r w:rsidRPr="008D5AF6">
        <w:rPr>
          <w:rFonts w:eastAsia="Times New Roman"/>
          <w:rtl/>
          <w:lang w:eastAsia="de-DE"/>
        </w:rPr>
        <w:t xml:space="preserve"> </w:t>
      </w:r>
      <w:r w:rsidRPr="008D5AF6">
        <w:rPr>
          <w:rFonts w:eastAsia="Times New Roman"/>
          <w:lang w:eastAsia="de-DE"/>
        </w:rPr>
        <w:t xml:space="preserve">als Herkunftsangabe, </w:t>
      </w:r>
      <w:r w:rsidRPr="008D5AF6">
        <w:rPr>
          <w:rFonts w:eastAsia="Times New Roman"/>
          <w:b/>
          <w:bCs/>
          <w:rtl/>
          <w:lang w:eastAsia="de-DE"/>
        </w:rPr>
        <w:t>מְעַט מְעַט</w:t>
      </w:r>
      <w:r w:rsidRPr="008D5AF6">
        <w:rPr>
          <w:rFonts w:eastAsia="Times New Roman"/>
          <w:rtl/>
          <w:lang w:eastAsia="de-DE"/>
        </w:rPr>
        <w:t xml:space="preserve"> </w:t>
      </w:r>
      <w:r w:rsidRPr="008D5AF6">
        <w:rPr>
          <w:rFonts w:eastAsia="Times New Roman"/>
          <w:lang w:eastAsia="de-DE"/>
        </w:rPr>
        <w:t>als modale adverbiale Bestimmung (</w:t>
      </w:r>
      <w:r w:rsidRPr="008D5AF6">
        <w:rPr>
          <w:rFonts w:eastAsia="Times New Roman"/>
          <w:b/>
          <w:bCs/>
          <w:rtl/>
          <w:lang w:eastAsia="de-DE"/>
        </w:rPr>
        <w:t>מְעַט</w:t>
      </w:r>
      <w:r w:rsidRPr="008D5AF6">
        <w:rPr>
          <w:rFonts w:eastAsia="Times New Roman"/>
          <w:lang w:eastAsia="de-DE"/>
        </w:rPr>
        <w:t>, „wenig, ein wenig", redupliziert – „nach und nach, allmählich, Stück für Stück").</w:t>
      </w:r>
    </w:p>
    <w:p w14:paraId="2CD2C032"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rtl/>
          <w:lang w:eastAsia="de-DE"/>
        </w:rPr>
        <w:t>לֹא תוּכַל כַּלֹּתָם מַהֵר</w:t>
      </w:r>
      <w:r w:rsidRPr="008D5AF6">
        <w:rPr>
          <w:rFonts w:eastAsia="Times New Roman"/>
          <w:rtl/>
          <w:lang w:eastAsia="de-DE"/>
        </w:rPr>
        <w:t xml:space="preserve"> </w:t>
      </w:r>
      <w:r w:rsidRPr="008D5AF6">
        <w:rPr>
          <w:rFonts w:eastAsia="Times New Roman"/>
          <w:lang w:eastAsia="de-DE"/>
        </w:rPr>
        <w:t xml:space="preserve">ist eine Negation: </w:t>
      </w:r>
      <w:r w:rsidRPr="008D5AF6">
        <w:rPr>
          <w:rFonts w:eastAsia="Times New Roman"/>
          <w:b/>
          <w:bCs/>
          <w:rtl/>
          <w:lang w:eastAsia="de-DE"/>
        </w:rPr>
        <w:t>לֹא תוּכַל</w:t>
      </w:r>
      <w:r w:rsidRPr="008D5AF6">
        <w:rPr>
          <w:rFonts w:eastAsia="Times New Roman"/>
          <w:rtl/>
          <w:lang w:eastAsia="de-DE"/>
        </w:rPr>
        <w:t xml:space="preserve"> </w:t>
      </w:r>
      <w:r w:rsidRPr="008D5AF6">
        <w:rPr>
          <w:rFonts w:eastAsia="Times New Roman"/>
          <w:lang w:eastAsia="de-DE"/>
        </w:rPr>
        <w:t xml:space="preserve">(Qal Imperfekt, 2. Person Singular maskulin von </w:t>
      </w:r>
      <w:r w:rsidRPr="008D5AF6">
        <w:rPr>
          <w:rFonts w:eastAsia="Times New Roman"/>
          <w:b/>
          <w:bCs/>
          <w:rtl/>
          <w:lang w:eastAsia="de-DE"/>
        </w:rPr>
        <w:t>יכל</w:t>
      </w:r>
      <w:r w:rsidRPr="008D5AF6">
        <w:rPr>
          <w:rFonts w:eastAsia="Times New Roman"/>
          <w:lang w:eastAsia="de-DE"/>
        </w:rPr>
        <w:t xml:space="preserve">, „können, vermögen", mit Negation – „du wirst nicht können"), </w:t>
      </w:r>
      <w:r w:rsidRPr="008D5AF6">
        <w:rPr>
          <w:rFonts w:eastAsia="Times New Roman"/>
          <w:b/>
          <w:bCs/>
          <w:rtl/>
          <w:lang w:eastAsia="de-DE"/>
        </w:rPr>
        <w:t>כַּלֹּתָם</w:t>
      </w:r>
      <w:r w:rsidRPr="008D5AF6">
        <w:rPr>
          <w:rFonts w:eastAsia="Times New Roman"/>
          <w:rtl/>
          <w:lang w:eastAsia="de-DE"/>
        </w:rPr>
        <w:t xml:space="preserve"> </w:t>
      </w:r>
      <w:r w:rsidRPr="008D5AF6">
        <w:rPr>
          <w:rFonts w:eastAsia="Times New Roman"/>
          <w:lang w:eastAsia="de-DE"/>
        </w:rPr>
        <w:t xml:space="preserve">als Piel Infinitiv Construct von </w:t>
      </w:r>
      <w:r w:rsidRPr="008D5AF6">
        <w:rPr>
          <w:rFonts w:eastAsia="Times New Roman"/>
          <w:b/>
          <w:bCs/>
          <w:rtl/>
          <w:lang w:eastAsia="de-DE"/>
        </w:rPr>
        <w:t>כלה</w:t>
      </w:r>
      <w:r w:rsidRPr="008D5AF6">
        <w:rPr>
          <w:rFonts w:eastAsia="Times New Roman"/>
          <w:lang w:eastAsia="de-DE"/>
        </w:rPr>
        <w:t xml:space="preserve">, „vollenden, zu Ende bringen, vernichten", mit Suffix 3. Person Plural maskulin, </w:t>
      </w:r>
      <w:r w:rsidRPr="008D5AF6">
        <w:rPr>
          <w:rFonts w:eastAsia="Times New Roman"/>
          <w:b/>
          <w:bCs/>
          <w:rtl/>
          <w:lang w:eastAsia="de-DE"/>
        </w:rPr>
        <w:t>מַהֵר</w:t>
      </w:r>
      <w:r w:rsidRPr="008D5AF6">
        <w:rPr>
          <w:rFonts w:eastAsia="Times New Roman"/>
          <w:rtl/>
          <w:lang w:eastAsia="de-DE"/>
        </w:rPr>
        <w:t xml:space="preserve"> </w:t>
      </w:r>
      <w:r w:rsidRPr="008D5AF6">
        <w:rPr>
          <w:rFonts w:eastAsia="Times New Roman"/>
          <w:lang w:eastAsia="de-DE"/>
        </w:rPr>
        <w:t>als Adverb („schnell").</w:t>
      </w:r>
    </w:p>
    <w:p w14:paraId="2C23F7EF"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rtl/>
          <w:lang w:eastAsia="de-DE"/>
        </w:rPr>
        <w:t>פֶּן־תִּרְבֶּה עָלֶיךָ חַיַּת הַשָּׂדֶה</w:t>
      </w:r>
      <w:r w:rsidRPr="008D5AF6">
        <w:rPr>
          <w:rFonts w:eastAsia="Times New Roman"/>
          <w:rtl/>
          <w:lang w:eastAsia="de-DE"/>
        </w:rPr>
        <w:t xml:space="preserve"> </w:t>
      </w:r>
      <w:r w:rsidRPr="008D5AF6">
        <w:rPr>
          <w:rFonts w:eastAsia="Times New Roman"/>
          <w:lang w:eastAsia="de-DE"/>
        </w:rPr>
        <w:t xml:space="preserve">ist eine finale negative Konstruktion: </w:t>
      </w:r>
      <w:r w:rsidRPr="008D5AF6">
        <w:rPr>
          <w:rFonts w:eastAsia="Times New Roman"/>
          <w:b/>
          <w:bCs/>
          <w:rtl/>
          <w:lang w:eastAsia="de-DE"/>
        </w:rPr>
        <w:t>פֶּן</w:t>
      </w:r>
      <w:r w:rsidRPr="008D5AF6">
        <w:rPr>
          <w:rFonts w:eastAsia="Times New Roman"/>
          <w:rtl/>
          <w:lang w:eastAsia="de-DE"/>
        </w:rPr>
        <w:t xml:space="preserve"> </w:t>
      </w:r>
      <w:r w:rsidRPr="008D5AF6">
        <w:rPr>
          <w:rFonts w:eastAsia="Times New Roman"/>
          <w:lang w:eastAsia="de-DE"/>
        </w:rPr>
        <w:t xml:space="preserve">(„damit nicht, dass nicht"), </w:t>
      </w:r>
      <w:r w:rsidRPr="008D5AF6">
        <w:rPr>
          <w:rFonts w:eastAsia="Times New Roman"/>
          <w:b/>
          <w:bCs/>
          <w:rtl/>
          <w:lang w:eastAsia="de-DE"/>
        </w:rPr>
        <w:t>תִּרְבֶּה</w:t>
      </w:r>
      <w:r w:rsidRPr="008D5AF6">
        <w:rPr>
          <w:rFonts w:eastAsia="Times New Roman"/>
          <w:rtl/>
          <w:lang w:eastAsia="de-DE"/>
        </w:rPr>
        <w:t xml:space="preserve"> </w:t>
      </w:r>
      <w:r w:rsidRPr="008D5AF6">
        <w:rPr>
          <w:rFonts w:eastAsia="Times New Roman"/>
          <w:lang w:eastAsia="de-DE"/>
        </w:rPr>
        <w:t xml:space="preserve">als Qal Imperfekt, 3. Person Singular feminin von </w:t>
      </w:r>
      <w:r w:rsidRPr="008D5AF6">
        <w:rPr>
          <w:rFonts w:eastAsia="Times New Roman"/>
          <w:b/>
          <w:bCs/>
          <w:rtl/>
          <w:lang w:eastAsia="de-DE"/>
        </w:rPr>
        <w:t>רבה</w:t>
      </w:r>
      <w:r w:rsidRPr="008D5AF6">
        <w:rPr>
          <w:rFonts w:eastAsia="Times New Roman"/>
          <w:lang w:eastAsia="de-DE"/>
        </w:rPr>
        <w:t xml:space="preserve">, „sich mehren, zunehmen", </w:t>
      </w:r>
      <w:r w:rsidRPr="008D5AF6">
        <w:rPr>
          <w:rFonts w:eastAsia="Times New Roman"/>
          <w:b/>
          <w:bCs/>
          <w:rtl/>
          <w:lang w:eastAsia="de-DE"/>
        </w:rPr>
        <w:t>עָלֶיךָ</w:t>
      </w:r>
      <w:r w:rsidRPr="008D5AF6">
        <w:rPr>
          <w:rFonts w:eastAsia="Times New Roman"/>
          <w:rtl/>
          <w:lang w:eastAsia="de-DE"/>
        </w:rPr>
        <w:t xml:space="preserve"> </w:t>
      </w:r>
      <w:r w:rsidRPr="008D5AF6">
        <w:rPr>
          <w:rFonts w:eastAsia="Times New Roman"/>
          <w:lang w:eastAsia="de-DE"/>
        </w:rPr>
        <w:t>als Richtungsangabe (</w:t>
      </w:r>
      <w:r w:rsidRPr="008D5AF6">
        <w:rPr>
          <w:rFonts w:eastAsia="Times New Roman"/>
          <w:b/>
          <w:bCs/>
          <w:rtl/>
          <w:lang w:eastAsia="de-DE"/>
        </w:rPr>
        <w:t>עַל</w:t>
      </w:r>
      <w:r w:rsidRPr="008D5AF6">
        <w:rPr>
          <w:rFonts w:eastAsia="Times New Roman"/>
          <w:rtl/>
          <w:lang w:eastAsia="de-DE"/>
        </w:rPr>
        <w:t xml:space="preserve"> </w:t>
      </w:r>
      <w:r w:rsidRPr="008D5AF6">
        <w:rPr>
          <w:rFonts w:eastAsia="Times New Roman"/>
          <w:lang w:eastAsia="de-DE"/>
        </w:rPr>
        <w:t xml:space="preserve">mit Suffix 2. Person Singular maskulin – „gegen dich, über dich"), </w:t>
      </w:r>
      <w:r w:rsidRPr="008D5AF6">
        <w:rPr>
          <w:rFonts w:eastAsia="Times New Roman"/>
          <w:b/>
          <w:bCs/>
          <w:rtl/>
          <w:lang w:eastAsia="de-DE"/>
        </w:rPr>
        <w:t>חַיַּת הַשָּׂדֶה</w:t>
      </w:r>
      <w:r w:rsidRPr="008D5AF6">
        <w:rPr>
          <w:rFonts w:eastAsia="Times New Roman"/>
          <w:rtl/>
          <w:lang w:eastAsia="de-DE"/>
        </w:rPr>
        <w:t xml:space="preserve"> </w:t>
      </w:r>
      <w:r w:rsidRPr="008D5AF6">
        <w:rPr>
          <w:rFonts w:eastAsia="Times New Roman"/>
          <w:lang w:eastAsia="de-DE"/>
        </w:rPr>
        <w:t>als Subjekt (</w:t>
      </w:r>
      <w:r w:rsidRPr="008D5AF6">
        <w:rPr>
          <w:rFonts w:eastAsia="Times New Roman"/>
          <w:b/>
          <w:bCs/>
          <w:rtl/>
          <w:lang w:eastAsia="de-DE"/>
        </w:rPr>
        <w:t>חַיָּה</w:t>
      </w:r>
      <w:r w:rsidRPr="008D5AF6">
        <w:rPr>
          <w:rFonts w:eastAsia="Times New Roman"/>
          <w:lang w:eastAsia="de-DE"/>
        </w:rPr>
        <w:t xml:space="preserve">, „Wild, Tier", Construct mit </w:t>
      </w:r>
      <w:r w:rsidRPr="008D5AF6">
        <w:rPr>
          <w:rFonts w:eastAsia="Times New Roman"/>
          <w:b/>
          <w:bCs/>
          <w:rtl/>
          <w:lang w:eastAsia="de-DE"/>
        </w:rPr>
        <w:t>שָׂדֶה</w:t>
      </w:r>
      <w:r w:rsidRPr="008D5AF6">
        <w:rPr>
          <w:rFonts w:eastAsia="Times New Roman"/>
          <w:lang w:eastAsia="de-DE"/>
        </w:rPr>
        <w:t>, „Feld", mit Artikel – „das Wild des Feldes").</w:t>
      </w:r>
    </w:p>
    <w:p w14:paraId="7AEB6762"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lastRenderedPageBreak/>
        <w:t xml:space="preserve">Die Begründung für die allmähliche Vertreibung ist praktisch-ökologisch: Eine zu schnelle Entvölkerung würde zum Verwildern des Landes und zur Vermehrung gefährlicher Tiere führen. Dieselbe Begründung findet sich in Ex 23,29-30. Die Reduplikation </w:t>
      </w:r>
      <w:r w:rsidRPr="008D5AF6">
        <w:rPr>
          <w:rFonts w:eastAsia="Times New Roman"/>
          <w:b/>
          <w:bCs/>
          <w:rtl/>
          <w:lang w:eastAsia="de-DE"/>
        </w:rPr>
        <w:t>מְעַט מְעַט</w:t>
      </w:r>
      <w:r w:rsidRPr="008D5AF6">
        <w:rPr>
          <w:rFonts w:eastAsia="Times New Roman"/>
          <w:rtl/>
          <w:lang w:eastAsia="de-DE"/>
        </w:rPr>
        <w:t xml:space="preserve"> </w:t>
      </w:r>
      <w:r w:rsidRPr="008D5AF6">
        <w:rPr>
          <w:rFonts w:eastAsia="Times New Roman"/>
          <w:lang w:eastAsia="de-DE"/>
        </w:rPr>
        <w:t>ist eine klassische Ausdrucksweise für Allmählichkeit (vgl. Ex 23,30). Dies steht scheinbar in Spannung zur radikalen Bannforderung in V. 2, erklärt aber die historische Realität der langwierigen Landnahme.</w:t>
      </w:r>
    </w:p>
    <w:p w14:paraId="33EA1975"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Die LXX</w:t>
      </w:r>
      <w:r w:rsidRPr="008D5AF6">
        <w:rPr>
          <w:rFonts w:eastAsia="Times New Roman"/>
          <w:lang w:eastAsia="de-DE"/>
        </w:rPr>
        <w:t xml:space="preserve"> übersetzt </w:t>
      </w:r>
      <w:r w:rsidRPr="008D5AF6">
        <w:rPr>
          <w:rFonts w:eastAsia="Times New Roman"/>
          <w:b/>
          <w:bCs/>
          <w:lang w:eastAsia="de-DE"/>
        </w:rPr>
        <w:t>κα</w:t>
      </w:r>
      <w:proofErr w:type="spellStart"/>
      <w:r w:rsidRPr="008D5AF6">
        <w:rPr>
          <w:rFonts w:eastAsia="Times New Roman"/>
          <w:b/>
          <w:bCs/>
          <w:lang w:eastAsia="de-DE"/>
        </w:rPr>
        <w:t>τὰ</w:t>
      </w:r>
      <w:proofErr w:type="spellEnd"/>
      <w:r w:rsidRPr="008D5AF6">
        <w:rPr>
          <w:rFonts w:eastAsia="Times New Roman"/>
          <w:b/>
          <w:bCs/>
          <w:lang w:eastAsia="de-DE"/>
        </w:rPr>
        <w:t xml:space="preserve"> </w:t>
      </w:r>
      <w:proofErr w:type="spellStart"/>
      <w:r w:rsidRPr="008D5AF6">
        <w:rPr>
          <w:rFonts w:eastAsia="Times New Roman"/>
          <w:b/>
          <w:bCs/>
          <w:lang w:eastAsia="de-DE"/>
        </w:rPr>
        <w:t>μικρὸν</w:t>
      </w:r>
      <w:proofErr w:type="spellEnd"/>
      <w:r w:rsidRPr="008D5AF6">
        <w:rPr>
          <w:rFonts w:eastAsia="Times New Roman"/>
          <w:b/>
          <w:bCs/>
          <w:lang w:eastAsia="de-DE"/>
        </w:rPr>
        <w:t xml:space="preserve"> </w:t>
      </w:r>
      <w:proofErr w:type="spellStart"/>
      <w:r w:rsidRPr="008D5AF6">
        <w:rPr>
          <w:rFonts w:eastAsia="Times New Roman"/>
          <w:b/>
          <w:bCs/>
          <w:lang w:eastAsia="de-DE"/>
        </w:rPr>
        <w:t>μικρόν</w:t>
      </w:r>
      <w:proofErr w:type="spellEnd"/>
      <w:r w:rsidRPr="008D5AF6">
        <w:rPr>
          <w:rFonts w:eastAsia="Times New Roman"/>
          <w:lang w:eastAsia="de-DE"/>
        </w:rPr>
        <w:t xml:space="preserve"> („nach und nach, allmählich") für </w:t>
      </w:r>
      <w:r w:rsidRPr="008D5AF6">
        <w:rPr>
          <w:rFonts w:eastAsia="Times New Roman"/>
          <w:b/>
          <w:bCs/>
          <w:rtl/>
          <w:lang w:eastAsia="de-DE"/>
        </w:rPr>
        <w:t>מְעַט מְעַט</w:t>
      </w:r>
      <w:r w:rsidRPr="008D5AF6">
        <w:rPr>
          <w:rFonts w:eastAsia="Times New Roman"/>
          <w:rtl/>
          <w:lang w:eastAsia="de-DE"/>
        </w:rPr>
        <w:t xml:space="preserve"> </w:t>
      </w:r>
      <w:r w:rsidRPr="008D5AF6">
        <w:rPr>
          <w:rFonts w:eastAsia="Times New Roman"/>
          <w:lang w:eastAsia="de-DE"/>
        </w:rPr>
        <w:t xml:space="preserve">und fügt </w:t>
      </w:r>
      <w:proofErr w:type="spellStart"/>
      <w:r w:rsidRPr="008D5AF6">
        <w:rPr>
          <w:rFonts w:eastAsia="Times New Roman"/>
          <w:b/>
          <w:bCs/>
          <w:lang w:eastAsia="de-DE"/>
        </w:rPr>
        <w:t>ἵν</w:t>
      </w:r>
      <w:proofErr w:type="spellEnd"/>
      <w:r w:rsidRPr="008D5AF6">
        <w:rPr>
          <w:rFonts w:eastAsia="Times New Roman"/>
          <w:b/>
          <w:bCs/>
          <w:lang w:eastAsia="de-DE"/>
        </w:rPr>
        <w:t xml:space="preserve">α </w:t>
      </w:r>
      <w:proofErr w:type="spellStart"/>
      <w:r w:rsidRPr="008D5AF6">
        <w:rPr>
          <w:rFonts w:eastAsia="Times New Roman"/>
          <w:b/>
          <w:bCs/>
          <w:lang w:eastAsia="de-DE"/>
        </w:rPr>
        <w:t>μὴ</w:t>
      </w:r>
      <w:proofErr w:type="spellEnd"/>
      <w:r w:rsidRPr="008D5AF6">
        <w:rPr>
          <w:rFonts w:eastAsia="Times New Roman"/>
          <w:b/>
          <w:bCs/>
          <w:lang w:eastAsia="de-DE"/>
        </w:rPr>
        <w:t xml:space="preserve"> </w:t>
      </w:r>
      <w:proofErr w:type="spellStart"/>
      <w:r w:rsidRPr="008D5AF6">
        <w:rPr>
          <w:rFonts w:eastAsia="Times New Roman"/>
          <w:b/>
          <w:bCs/>
          <w:lang w:eastAsia="de-DE"/>
        </w:rPr>
        <w:t>γένητ</w:t>
      </w:r>
      <w:proofErr w:type="spellEnd"/>
      <w:r w:rsidRPr="008D5AF6">
        <w:rPr>
          <w:rFonts w:eastAsia="Times New Roman"/>
          <w:b/>
          <w:bCs/>
          <w:lang w:eastAsia="de-DE"/>
        </w:rPr>
        <w:t xml:space="preserve">αι ἡ </w:t>
      </w:r>
      <w:proofErr w:type="spellStart"/>
      <w:r w:rsidRPr="008D5AF6">
        <w:rPr>
          <w:rFonts w:eastAsia="Times New Roman"/>
          <w:b/>
          <w:bCs/>
          <w:lang w:eastAsia="de-DE"/>
        </w:rPr>
        <w:t>γῆ</w:t>
      </w:r>
      <w:proofErr w:type="spellEnd"/>
      <w:r w:rsidRPr="008D5AF6">
        <w:rPr>
          <w:rFonts w:eastAsia="Times New Roman"/>
          <w:b/>
          <w:bCs/>
          <w:lang w:eastAsia="de-DE"/>
        </w:rPr>
        <w:t xml:space="preserve"> </w:t>
      </w:r>
      <w:proofErr w:type="spellStart"/>
      <w:r w:rsidRPr="008D5AF6">
        <w:rPr>
          <w:rFonts w:eastAsia="Times New Roman"/>
          <w:b/>
          <w:bCs/>
          <w:lang w:eastAsia="de-DE"/>
        </w:rPr>
        <w:t>ἔρημος</w:t>
      </w:r>
      <w:proofErr w:type="spellEnd"/>
      <w:r w:rsidRPr="008D5AF6">
        <w:rPr>
          <w:rFonts w:eastAsia="Times New Roman"/>
          <w:lang w:eastAsia="de-DE"/>
        </w:rPr>
        <w:t xml:space="preserve"> („damit nicht das Land öde werde") hinzu, was im MT fehlt, aber den Sinn expliziert.</w:t>
      </w:r>
    </w:p>
    <w:p w14:paraId="36DF64E9"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Die Satzstruktur ist ein Perfekt consecutivum mit erweitertem Subjekt, direktem Objekt mit Demonstrativpronomen, Herkunftsangabe und reduplizierter modaler adverbialer Bestimmung, gefolgt von einem negierten Satz mit Prädikat, Infinitiv Construct mit Suffix und Adverb, sowie einer finalen negativen Konstruktion mit Prädikat, Richtungsangabe und Subjekt in Construct-Verbindung. Die Struktur erklärt die Notwendigkeit der allmählichen Landnahme.</w:t>
      </w:r>
    </w:p>
    <w:p w14:paraId="332F1C75"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Der Vers relativiert die radikale Forderung von V. 2: JHWH wird die Völker nach und nach vertreiben, nicht auf einmal, damit das Wild sich nicht zu stark vermehrt – eine pragmatische, ökologische Begründung für die allmähliche Landnahme.</w:t>
      </w:r>
    </w:p>
    <w:p w14:paraId="316377DE" w14:textId="77777777" w:rsidR="008D5AF6" w:rsidRPr="008D5AF6" w:rsidRDefault="008D5AF6" w:rsidP="008D5AF6">
      <w:pPr>
        <w:spacing w:before="100" w:beforeAutospacing="1" w:after="100" w:afterAutospacing="1" w:line="240" w:lineRule="auto"/>
        <w:outlineLvl w:val="1"/>
        <w:rPr>
          <w:rFonts w:eastAsia="Times New Roman"/>
          <w:b/>
          <w:bCs/>
          <w:sz w:val="36"/>
          <w:szCs w:val="36"/>
          <w:lang w:eastAsia="de-DE"/>
        </w:rPr>
      </w:pPr>
      <w:r w:rsidRPr="008D5AF6">
        <w:rPr>
          <w:rFonts w:eastAsia="Times New Roman"/>
          <w:b/>
          <w:bCs/>
          <w:sz w:val="36"/>
          <w:szCs w:val="36"/>
          <w:lang w:eastAsia="de-DE"/>
        </w:rPr>
        <w:t>Deuteronomium 7,23</w:t>
      </w:r>
    </w:p>
    <w:p w14:paraId="4FFA3E70"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Hebräisch:</w:t>
      </w:r>
      <w:r w:rsidRPr="008D5AF6">
        <w:rPr>
          <w:rFonts w:eastAsia="Times New Roman"/>
          <w:lang w:eastAsia="de-DE"/>
        </w:rPr>
        <w:t xml:space="preserve"> </w:t>
      </w:r>
      <w:r w:rsidRPr="008D5AF6">
        <w:rPr>
          <w:rFonts w:eastAsia="Times New Roman"/>
          <w:rtl/>
          <w:lang w:eastAsia="de-DE"/>
        </w:rPr>
        <w:t>וּנְתָנָם יְהוָה אֱלֹהֶיךָ לְפָנֶיךָ וְהָמָם מְהוּמָה גְדֹלָה עַד הִשָּׁמְדָם׃</w:t>
      </w:r>
    </w:p>
    <w:p w14:paraId="4E3A30C5"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Deutsch:</w:t>
      </w:r>
      <w:r w:rsidRPr="008D5AF6">
        <w:rPr>
          <w:rFonts w:eastAsia="Times New Roman"/>
          <w:lang w:eastAsia="de-DE"/>
        </w:rPr>
        <w:t xml:space="preserve"> Und der Ewige, dein Gott, wird sie vor dir dahingeben und sie in große Verwirrung versetzen, bis sie vertilgt sind.</w:t>
      </w:r>
    </w:p>
    <w:p w14:paraId="296DC67E" w14:textId="77777777" w:rsidR="008D5AF6" w:rsidRPr="008D5AF6" w:rsidRDefault="004F5CEB" w:rsidP="008D5AF6">
      <w:pPr>
        <w:spacing w:after="0" w:line="240" w:lineRule="auto"/>
        <w:rPr>
          <w:rFonts w:eastAsia="Times New Roman"/>
          <w:lang w:eastAsia="de-DE"/>
        </w:rPr>
      </w:pPr>
      <w:r>
        <w:rPr>
          <w:rFonts w:eastAsia="Times New Roman"/>
          <w:noProof/>
          <w:lang w:eastAsia="de-DE"/>
        </w:rPr>
        <w:pict w14:anchorId="0ED5DC5E">
          <v:rect id="_x0000_i1266" style="width:0;height:1.5pt" o:hralign="center" o:hrstd="t" o:hr="t" fillcolor="#a0a0a0" stroked="f"/>
        </w:pict>
      </w:r>
    </w:p>
    <w:p w14:paraId="736489D7"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Kommentar:</w:t>
      </w:r>
      <w:r w:rsidRPr="008D5AF6">
        <w:rPr>
          <w:rFonts w:eastAsia="Times New Roman"/>
          <w:lang w:eastAsia="de-DE"/>
        </w:rPr>
        <w:t xml:space="preserve"> </w:t>
      </w:r>
      <w:r w:rsidRPr="008D5AF6">
        <w:rPr>
          <w:rFonts w:eastAsia="Times New Roman"/>
          <w:b/>
          <w:bCs/>
          <w:rtl/>
          <w:lang w:eastAsia="de-DE"/>
        </w:rPr>
        <w:t>וּנְתָנָם יְהוָה אֱלֹהֶיךָ לְפָנֶיךָ</w:t>
      </w:r>
      <w:r w:rsidRPr="008D5AF6">
        <w:rPr>
          <w:rFonts w:eastAsia="Times New Roman"/>
          <w:rtl/>
          <w:lang w:eastAsia="de-DE"/>
        </w:rPr>
        <w:t xml:space="preserve"> </w:t>
      </w:r>
      <w:r w:rsidRPr="008D5AF6">
        <w:rPr>
          <w:rFonts w:eastAsia="Times New Roman"/>
          <w:lang w:eastAsia="de-DE"/>
        </w:rPr>
        <w:t xml:space="preserve">ist Qal Perfekt consecutivum, 3. Person Singular maskulin von </w:t>
      </w:r>
      <w:r w:rsidRPr="008D5AF6">
        <w:rPr>
          <w:rFonts w:eastAsia="Times New Roman"/>
          <w:b/>
          <w:bCs/>
          <w:rtl/>
          <w:lang w:eastAsia="de-DE"/>
        </w:rPr>
        <w:t>נתן</w:t>
      </w:r>
      <w:r w:rsidRPr="008D5AF6">
        <w:rPr>
          <w:rFonts w:eastAsia="Times New Roman"/>
          <w:lang w:eastAsia="de-DE"/>
        </w:rPr>
        <w:t xml:space="preserve">, „geben, dahingeben", mit </w:t>
      </w:r>
      <w:r w:rsidRPr="008D5AF6">
        <w:rPr>
          <w:rFonts w:eastAsia="Times New Roman"/>
          <w:b/>
          <w:bCs/>
          <w:rtl/>
          <w:lang w:eastAsia="de-DE"/>
        </w:rPr>
        <w:t>וְ</w:t>
      </w:r>
      <w:r w:rsidRPr="008D5AF6">
        <w:rPr>
          <w:rFonts w:eastAsia="Times New Roman"/>
          <w:rtl/>
          <w:lang w:eastAsia="de-DE"/>
        </w:rPr>
        <w:t xml:space="preserve"> </w:t>
      </w:r>
      <w:r w:rsidRPr="008D5AF6">
        <w:rPr>
          <w:rFonts w:eastAsia="Times New Roman"/>
          <w:lang w:eastAsia="de-DE"/>
        </w:rPr>
        <w:t xml:space="preserve">und Suffix 3. Person Plural maskulin als direktes Objekt, </w:t>
      </w:r>
      <w:r w:rsidRPr="008D5AF6">
        <w:rPr>
          <w:rFonts w:eastAsia="Times New Roman"/>
          <w:b/>
          <w:bCs/>
          <w:rtl/>
          <w:lang w:eastAsia="de-DE"/>
        </w:rPr>
        <w:t>יְהוָה אֱלֹהֶיךָ</w:t>
      </w:r>
      <w:r w:rsidRPr="008D5AF6">
        <w:rPr>
          <w:rFonts w:eastAsia="Times New Roman"/>
          <w:rtl/>
          <w:lang w:eastAsia="de-DE"/>
        </w:rPr>
        <w:t xml:space="preserve"> </w:t>
      </w:r>
      <w:r w:rsidRPr="008D5AF6">
        <w:rPr>
          <w:rFonts w:eastAsia="Times New Roman"/>
          <w:lang w:eastAsia="de-DE"/>
        </w:rPr>
        <w:t xml:space="preserve">als erweitertes Subjekt, </w:t>
      </w:r>
      <w:r w:rsidRPr="008D5AF6">
        <w:rPr>
          <w:rFonts w:eastAsia="Times New Roman"/>
          <w:b/>
          <w:bCs/>
          <w:rtl/>
          <w:lang w:eastAsia="de-DE"/>
        </w:rPr>
        <w:t>לְפָנֶיךָ</w:t>
      </w:r>
      <w:r w:rsidRPr="008D5AF6">
        <w:rPr>
          <w:rFonts w:eastAsia="Times New Roman"/>
          <w:rtl/>
          <w:lang w:eastAsia="de-DE"/>
        </w:rPr>
        <w:t xml:space="preserve"> </w:t>
      </w:r>
      <w:r w:rsidRPr="008D5AF6">
        <w:rPr>
          <w:rFonts w:eastAsia="Times New Roman"/>
          <w:lang w:eastAsia="de-DE"/>
        </w:rPr>
        <w:t>als Richtungsangabe (</w:t>
      </w:r>
      <w:r w:rsidRPr="008D5AF6">
        <w:rPr>
          <w:rFonts w:eastAsia="Times New Roman"/>
          <w:b/>
          <w:bCs/>
          <w:rtl/>
          <w:lang w:eastAsia="de-DE"/>
        </w:rPr>
        <w:t>לְ</w:t>
      </w:r>
      <w:r w:rsidRPr="008D5AF6">
        <w:rPr>
          <w:rFonts w:eastAsia="Times New Roman"/>
          <w:rtl/>
          <w:lang w:eastAsia="de-DE"/>
        </w:rPr>
        <w:t xml:space="preserve"> </w:t>
      </w:r>
      <w:r w:rsidRPr="008D5AF6">
        <w:rPr>
          <w:rFonts w:eastAsia="Times New Roman"/>
          <w:lang w:eastAsia="de-DE"/>
        </w:rPr>
        <w:t xml:space="preserve">mit </w:t>
      </w:r>
      <w:r w:rsidRPr="008D5AF6">
        <w:rPr>
          <w:rFonts w:eastAsia="Times New Roman"/>
          <w:b/>
          <w:bCs/>
          <w:rtl/>
          <w:lang w:eastAsia="de-DE"/>
        </w:rPr>
        <w:t>פָּנֶה</w:t>
      </w:r>
      <w:r w:rsidRPr="008D5AF6">
        <w:rPr>
          <w:rFonts w:eastAsia="Times New Roman"/>
          <w:lang w:eastAsia="de-DE"/>
        </w:rPr>
        <w:t>, Plural, und Suffix 2. Person Singular maskulin – „vor dich, in deine Gewalt"). Die Formulierung wiederholt V. 2.</w:t>
      </w:r>
    </w:p>
    <w:p w14:paraId="7308F48A"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rtl/>
          <w:lang w:eastAsia="de-DE"/>
        </w:rPr>
        <w:t>וְהָמָם מְהוּמָה גְדֹלָה</w:t>
      </w:r>
      <w:r w:rsidRPr="008D5AF6">
        <w:rPr>
          <w:rFonts w:eastAsia="Times New Roman"/>
          <w:rtl/>
          <w:lang w:eastAsia="de-DE"/>
        </w:rPr>
        <w:t xml:space="preserve"> </w:t>
      </w:r>
      <w:r w:rsidRPr="008D5AF6">
        <w:rPr>
          <w:rFonts w:eastAsia="Times New Roman"/>
          <w:lang w:eastAsia="de-DE"/>
        </w:rPr>
        <w:t xml:space="preserve">ist koordiniert: </w:t>
      </w:r>
      <w:r w:rsidRPr="008D5AF6">
        <w:rPr>
          <w:rFonts w:eastAsia="Times New Roman"/>
          <w:b/>
          <w:bCs/>
          <w:rtl/>
          <w:lang w:eastAsia="de-DE"/>
        </w:rPr>
        <w:t>וְהָמָם</w:t>
      </w:r>
      <w:r w:rsidRPr="008D5AF6">
        <w:rPr>
          <w:rFonts w:eastAsia="Times New Roman"/>
          <w:rtl/>
          <w:lang w:eastAsia="de-DE"/>
        </w:rPr>
        <w:t xml:space="preserve"> </w:t>
      </w:r>
      <w:r w:rsidRPr="008D5AF6">
        <w:rPr>
          <w:rFonts w:eastAsia="Times New Roman"/>
          <w:lang w:eastAsia="de-DE"/>
        </w:rPr>
        <w:t xml:space="preserve">(Qal Perfekt consecutivum, 3. Person Singular maskulin von </w:t>
      </w:r>
      <w:r w:rsidRPr="008D5AF6">
        <w:rPr>
          <w:rFonts w:eastAsia="Times New Roman"/>
          <w:b/>
          <w:bCs/>
          <w:rtl/>
          <w:lang w:eastAsia="de-DE"/>
        </w:rPr>
        <w:t>המם</w:t>
      </w:r>
      <w:r w:rsidRPr="008D5AF6">
        <w:rPr>
          <w:rFonts w:eastAsia="Times New Roman"/>
          <w:lang w:eastAsia="de-DE"/>
        </w:rPr>
        <w:t xml:space="preserve">, „in Verwirrung bringen, verwirren", mit </w:t>
      </w:r>
      <w:r w:rsidRPr="008D5AF6">
        <w:rPr>
          <w:rFonts w:eastAsia="Times New Roman"/>
          <w:b/>
          <w:bCs/>
          <w:rtl/>
          <w:lang w:eastAsia="de-DE"/>
        </w:rPr>
        <w:t>וְ</w:t>
      </w:r>
      <w:r w:rsidRPr="008D5AF6">
        <w:rPr>
          <w:rFonts w:eastAsia="Times New Roman"/>
          <w:rtl/>
          <w:lang w:eastAsia="de-DE"/>
        </w:rPr>
        <w:t xml:space="preserve"> </w:t>
      </w:r>
      <w:r w:rsidRPr="008D5AF6">
        <w:rPr>
          <w:rFonts w:eastAsia="Times New Roman"/>
          <w:lang w:eastAsia="de-DE"/>
        </w:rPr>
        <w:t xml:space="preserve">und Suffix 3. Person Plural maskulin), </w:t>
      </w:r>
      <w:r w:rsidRPr="008D5AF6">
        <w:rPr>
          <w:rFonts w:eastAsia="Times New Roman"/>
          <w:b/>
          <w:bCs/>
          <w:rtl/>
          <w:lang w:eastAsia="de-DE"/>
        </w:rPr>
        <w:t>מְהוּמָה גְדֹלָה</w:t>
      </w:r>
      <w:r w:rsidRPr="008D5AF6">
        <w:rPr>
          <w:rFonts w:eastAsia="Times New Roman"/>
          <w:rtl/>
          <w:lang w:eastAsia="de-DE"/>
        </w:rPr>
        <w:t xml:space="preserve"> </w:t>
      </w:r>
      <w:r w:rsidRPr="008D5AF6">
        <w:rPr>
          <w:rFonts w:eastAsia="Times New Roman"/>
          <w:lang w:eastAsia="de-DE"/>
        </w:rPr>
        <w:t>als Akkusativ des Produkts bzw. der Art und Weise (</w:t>
      </w:r>
      <w:r w:rsidRPr="008D5AF6">
        <w:rPr>
          <w:rFonts w:eastAsia="Times New Roman"/>
          <w:b/>
          <w:bCs/>
          <w:rtl/>
          <w:lang w:eastAsia="de-DE"/>
        </w:rPr>
        <w:t>מְהוּמָה</w:t>
      </w:r>
      <w:r w:rsidRPr="008D5AF6">
        <w:rPr>
          <w:rFonts w:eastAsia="Times New Roman"/>
          <w:lang w:eastAsia="de-DE"/>
        </w:rPr>
        <w:t xml:space="preserve">, „Verwirrung, Panik, Tumult", mit Adjektiv </w:t>
      </w:r>
      <w:r w:rsidRPr="008D5AF6">
        <w:rPr>
          <w:rFonts w:eastAsia="Times New Roman"/>
          <w:b/>
          <w:bCs/>
          <w:rtl/>
          <w:lang w:eastAsia="de-DE"/>
        </w:rPr>
        <w:t>גְדֹלָה</w:t>
      </w:r>
      <w:r w:rsidRPr="008D5AF6">
        <w:rPr>
          <w:rFonts w:eastAsia="Times New Roman"/>
          <w:lang w:eastAsia="de-DE"/>
        </w:rPr>
        <w:t>, „groß" – „in große Verwirrung").</w:t>
      </w:r>
    </w:p>
    <w:p w14:paraId="399A40A7"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rtl/>
          <w:lang w:eastAsia="de-DE"/>
        </w:rPr>
        <w:t>עַד הִשָּׁמְדָם</w:t>
      </w:r>
      <w:r w:rsidRPr="008D5AF6">
        <w:rPr>
          <w:rFonts w:eastAsia="Times New Roman"/>
          <w:rtl/>
          <w:lang w:eastAsia="de-DE"/>
        </w:rPr>
        <w:t xml:space="preserve"> </w:t>
      </w:r>
      <w:r w:rsidRPr="008D5AF6">
        <w:rPr>
          <w:rFonts w:eastAsia="Times New Roman"/>
          <w:lang w:eastAsia="de-DE"/>
        </w:rPr>
        <w:t xml:space="preserve">ist eine temporale Bestimmung: </w:t>
      </w:r>
      <w:r w:rsidRPr="008D5AF6">
        <w:rPr>
          <w:rFonts w:eastAsia="Times New Roman"/>
          <w:b/>
          <w:bCs/>
          <w:rtl/>
          <w:lang w:eastAsia="de-DE"/>
        </w:rPr>
        <w:t>עַד</w:t>
      </w:r>
      <w:r w:rsidRPr="008D5AF6">
        <w:rPr>
          <w:rFonts w:eastAsia="Times New Roman"/>
          <w:rtl/>
          <w:lang w:eastAsia="de-DE"/>
        </w:rPr>
        <w:t xml:space="preserve"> </w:t>
      </w:r>
      <w:r w:rsidRPr="008D5AF6">
        <w:rPr>
          <w:rFonts w:eastAsia="Times New Roman"/>
          <w:lang w:eastAsia="de-DE"/>
        </w:rPr>
        <w:t xml:space="preserve">als Präposition („bis"), </w:t>
      </w:r>
      <w:r w:rsidRPr="008D5AF6">
        <w:rPr>
          <w:rFonts w:eastAsia="Times New Roman"/>
          <w:b/>
          <w:bCs/>
          <w:rtl/>
          <w:lang w:eastAsia="de-DE"/>
        </w:rPr>
        <w:t>הִשָּׁמְדָם</w:t>
      </w:r>
      <w:r w:rsidRPr="008D5AF6">
        <w:rPr>
          <w:rFonts w:eastAsia="Times New Roman"/>
          <w:rtl/>
          <w:lang w:eastAsia="de-DE"/>
        </w:rPr>
        <w:t xml:space="preserve"> </w:t>
      </w:r>
      <w:r w:rsidRPr="008D5AF6">
        <w:rPr>
          <w:rFonts w:eastAsia="Times New Roman"/>
          <w:lang w:eastAsia="de-DE"/>
        </w:rPr>
        <w:t xml:space="preserve">als Nifal Infinitiv Construct von </w:t>
      </w:r>
      <w:r w:rsidRPr="008D5AF6">
        <w:rPr>
          <w:rFonts w:eastAsia="Times New Roman"/>
          <w:b/>
          <w:bCs/>
          <w:rtl/>
          <w:lang w:eastAsia="de-DE"/>
        </w:rPr>
        <w:t>שׁמד</w:t>
      </w:r>
      <w:r w:rsidRPr="008D5AF6">
        <w:rPr>
          <w:rFonts w:eastAsia="Times New Roman"/>
          <w:lang w:eastAsia="de-DE"/>
        </w:rPr>
        <w:t>, „vernichtet werden, umkommen", mit Suffix 3. Person Plural maskulin.</w:t>
      </w:r>
    </w:p>
    <w:p w14:paraId="6DAF1D82" w14:textId="01AE4794"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 xml:space="preserve">Das Verb </w:t>
      </w:r>
      <w:r w:rsidRPr="008D5AF6">
        <w:rPr>
          <w:rFonts w:eastAsia="Times New Roman"/>
          <w:b/>
          <w:bCs/>
          <w:rtl/>
          <w:lang w:eastAsia="de-DE"/>
        </w:rPr>
        <w:t>המם</w:t>
      </w:r>
      <w:r w:rsidRPr="008D5AF6">
        <w:rPr>
          <w:rFonts w:eastAsia="Times New Roman"/>
          <w:rtl/>
          <w:lang w:eastAsia="de-DE"/>
        </w:rPr>
        <w:t xml:space="preserve"> </w:t>
      </w:r>
      <w:r w:rsidRPr="008D5AF6">
        <w:rPr>
          <w:rFonts w:eastAsia="Times New Roman"/>
          <w:lang w:eastAsia="de-DE"/>
        </w:rPr>
        <w:t xml:space="preserve">(„in Verwirrung bringen") beschreibt göttlich bewirktes Chaos und Panik im feindlichen Lager (vgl. Ex 14,24; 23,27; Dtn 2,15; Jos 10,10; Ri 4,15; </w:t>
      </w:r>
      <w:r w:rsidR="00664EB6">
        <w:rPr>
          <w:rFonts w:eastAsia="Times New Roman"/>
          <w:lang w:eastAsia="de-DE"/>
        </w:rPr>
        <w:t>1Sam</w:t>
      </w:r>
      <w:r w:rsidRPr="008D5AF6">
        <w:rPr>
          <w:rFonts w:eastAsia="Times New Roman"/>
          <w:lang w:eastAsia="de-DE"/>
        </w:rPr>
        <w:t xml:space="preserve"> 7,10). Die </w:t>
      </w:r>
      <w:r w:rsidRPr="008D5AF6">
        <w:rPr>
          <w:rFonts w:eastAsia="Times New Roman"/>
          <w:b/>
          <w:bCs/>
          <w:rtl/>
          <w:lang w:eastAsia="de-DE"/>
        </w:rPr>
        <w:t>מְהוּמָה</w:t>
      </w:r>
      <w:r w:rsidRPr="008D5AF6">
        <w:rPr>
          <w:rFonts w:eastAsia="Times New Roman"/>
          <w:rtl/>
          <w:lang w:eastAsia="de-DE"/>
        </w:rPr>
        <w:t xml:space="preserve"> </w:t>
      </w:r>
      <w:r w:rsidRPr="008D5AF6">
        <w:rPr>
          <w:rFonts w:eastAsia="Times New Roman"/>
          <w:lang w:eastAsia="de-DE"/>
        </w:rPr>
        <w:lastRenderedPageBreak/>
        <w:t>(„Verwirrung, Panik") ist ein göttliches Strafmittel, durch das die Feinde desorientiert und kampfunfähig werden. Dies ergänzt die militärische Aktion durch göttliches Eingreifen.</w:t>
      </w:r>
    </w:p>
    <w:p w14:paraId="720BF212"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Die LXX</w:t>
      </w:r>
      <w:r w:rsidRPr="008D5AF6">
        <w:rPr>
          <w:rFonts w:eastAsia="Times New Roman"/>
          <w:lang w:eastAsia="de-DE"/>
        </w:rPr>
        <w:t xml:space="preserve"> übersetzt </w:t>
      </w:r>
      <w:proofErr w:type="spellStart"/>
      <w:r w:rsidRPr="008D5AF6">
        <w:rPr>
          <w:rFonts w:eastAsia="Times New Roman"/>
          <w:b/>
          <w:bCs/>
          <w:lang w:eastAsia="de-DE"/>
        </w:rPr>
        <w:t>σύγχυσις</w:t>
      </w:r>
      <w:proofErr w:type="spellEnd"/>
      <w:r w:rsidRPr="008D5AF6">
        <w:rPr>
          <w:rFonts w:eastAsia="Times New Roman"/>
          <w:lang w:eastAsia="de-DE"/>
        </w:rPr>
        <w:t xml:space="preserve"> („Verwirrung, Bestürzung") für </w:t>
      </w:r>
      <w:r w:rsidRPr="008D5AF6">
        <w:rPr>
          <w:rFonts w:eastAsia="Times New Roman"/>
          <w:b/>
          <w:bCs/>
          <w:rtl/>
          <w:lang w:eastAsia="de-DE"/>
        </w:rPr>
        <w:t>מְהוּמָה</w:t>
      </w:r>
      <w:r w:rsidRPr="008D5AF6">
        <w:rPr>
          <w:rFonts w:eastAsia="Times New Roman"/>
          <w:lang w:eastAsia="de-DE"/>
        </w:rPr>
        <w:t>.</w:t>
      </w:r>
    </w:p>
    <w:p w14:paraId="4F528178"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Die Satzstruktur ist ein Perfekt consecutivum mit Suffix-Objekt, erweitertem Subjekt und Richtungsangabe, gefolgt von einem koordinierten Verb mit Suffix-Objekt und Akkusativ der Art und Weise, sowie einer temporalen Bestimmung mit Präposition und Infinitiv Construct mit Suffix. Die Struktur beschreibt JHWHs aktives Eingreifen durch Verwirrung.</w:t>
      </w:r>
    </w:p>
    <w:p w14:paraId="2B3DA5D9"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Der Vers betont JHWHs aktive Rolle: Er wird die Feinde nicht nur dahingeben, sondern sie in große Verwirrung und Panik versetzen, bis sie völlig vernichtet sind.</w:t>
      </w:r>
    </w:p>
    <w:p w14:paraId="771033B8" w14:textId="77777777" w:rsidR="008D5AF6" w:rsidRPr="008D5AF6" w:rsidRDefault="008D5AF6" w:rsidP="008D5AF6">
      <w:pPr>
        <w:spacing w:before="100" w:beforeAutospacing="1" w:after="100" w:afterAutospacing="1" w:line="240" w:lineRule="auto"/>
        <w:outlineLvl w:val="1"/>
        <w:rPr>
          <w:rFonts w:eastAsia="Times New Roman"/>
          <w:b/>
          <w:bCs/>
          <w:sz w:val="36"/>
          <w:szCs w:val="36"/>
          <w:lang w:eastAsia="de-DE"/>
        </w:rPr>
      </w:pPr>
      <w:r w:rsidRPr="008D5AF6">
        <w:rPr>
          <w:rFonts w:eastAsia="Times New Roman"/>
          <w:b/>
          <w:bCs/>
          <w:sz w:val="36"/>
          <w:szCs w:val="36"/>
          <w:lang w:eastAsia="de-DE"/>
        </w:rPr>
        <w:t>Deuteronomium 7,24</w:t>
      </w:r>
    </w:p>
    <w:p w14:paraId="439D1B65"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Hebräisch:</w:t>
      </w:r>
      <w:r w:rsidRPr="008D5AF6">
        <w:rPr>
          <w:rFonts w:eastAsia="Times New Roman"/>
          <w:lang w:eastAsia="de-DE"/>
        </w:rPr>
        <w:t xml:space="preserve"> </w:t>
      </w:r>
      <w:r w:rsidRPr="008D5AF6">
        <w:rPr>
          <w:rFonts w:eastAsia="Times New Roman"/>
          <w:rtl/>
          <w:lang w:eastAsia="de-DE"/>
        </w:rPr>
        <w:t>וְנָתַן מַלְכֵיהֶם בְּיָדֶךָ וְהַאֲבַדְתָּ אֶת־שְׁמָם מִתַּחַת הַשָּׁמָיִם לֹא־יִתְיַצֵּב אִישׁ בְּפָנֶיךָ עַד הִשְׁמִדְךָ אֹתָם׃</w:t>
      </w:r>
    </w:p>
    <w:p w14:paraId="7D30CDC6"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Deutsch:</w:t>
      </w:r>
      <w:r w:rsidRPr="008D5AF6">
        <w:rPr>
          <w:rFonts w:eastAsia="Times New Roman"/>
          <w:lang w:eastAsia="de-DE"/>
        </w:rPr>
        <w:t xml:space="preserve"> Und er wird ihre Könige in deine Hand geben, und du wirst ihre Namen vernichten unter dem Himmel hinweg; kein Mann wird vor dir bestehen, bis du sie vertilgt hast.</w:t>
      </w:r>
    </w:p>
    <w:p w14:paraId="54532E33" w14:textId="77777777" w:rsidR="008D5AF6" w:rsidRPr="008D5AF6" w:rsidRDefault="004F5CEB" w:rsidP="008D5AF6">
      <w:pPr>
        <w:spacing w:after="0" w:line="240" w:lineRule="auto"/>
        <w:rPr>
          <w:rFonts w:eastAsia="Times New Roman"/>
          <w:lang w:eastAsia="de-DE"/>
        </w:rPr>
      </w:pPr>
      <w:r>
        <w:rPr>
          <w:rFonts w:eastAsia="Times New Roman"/>
          <w:noProof/>
          <w:lang w:eastAsia="de-DE"/>
        </w:rPr>
        <w:pict w14:anchorId="3D73BB05">
          <v:rect id="_x0000_i1267" style="width:0;height:1.5pt" o:hralign="center" o:hrstd="t" o:hr="t" fillcolor="#a0a0a0" stroked="f"/>
        </w:pict>
      </w:r>
    </w:p>
    <w:p w14:paraId="16202B61"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Kommentar:</w:t>
      </w:r>
      <w:r w:rsidRPr="008D5AF6">
        <w:rPr>
          <w:rFonts w:eastAsia="Times New Roman"/>
          <w:lang w:eastAsia="de-DE"/>
        </w:rPr>
        <w:t xml:space="preserve"> </w:t>
      </w:r>
      <w:r w:rsidRPr="008D5AF6">
        <w:rPr>
          <w:rFonts w:eastAsia="Times New Roman"/>
          <w:b/>
          <w:bCs/>
          <w:rtl/>
          <w:lang w:eastAsia="de-DE"/>
        </w:rPr>
        <w:t>וְנָתַן מַלְכֵיהֶם בְּיָדֶךָ</w:t>
      </w:r>
      <w:r w:rsidRPr="008D5AF6">
        <w:rPr>
          <w:rFonts w:eastAsia="Times New Roman"/>
          <w:rtl/>
          <w:lang w:eastAsia="de-DE"/>
        </w:rPr>
        <w:t xml:space="preserve"> </w:t>
      </w:r>
      <w:r w:rsidRPr="008D5AF6">
        <w:rPr>
          <w:rFonts w:eastAsia="Times New Roman"/>
          <w:lang w:eastAsia="de-DE"/>
        </w:rPr>
        <w:t xml:space="preserve">ist Qal Perfekt consecutivum, 3. Person Singular maskulin von </w:t>
      </w:r>
      <w:r w:rsidRPr="008D5AF6">
        <w:rPr>
          <w:rFonts w:eastAsia="Times New Roman"/>
          <w:b/>
          <w:bCs/>
          <w:rtl/>
          <w:lang w:eastAsia="de-DE"/>
        </w:rPr>
        <w:t>נתן</w:t>
      </w:r>
      <w:r w:rsidRPr="008D5AF6">
        <w:rPr>
          <w:rFonts w:eastAsia="Times New Roman"/>
          <w:lang w:eastAsia="de-DE"/>
        </w:rPr>
        <w:t xml:space="preserve">, „geben", mit </w:t>
      </w:r>
      <w:r w:rsidRPr="008D5AF6">
        <w:rPr>
          <w:rFonts w:eastAsia="Times New Roman"/>
          <w:b/>
          <w:bCs/>
          <w:rtl/>
          <w:lang w:eastAsia="de-DE"/>
        </w:rPr>
        <w:t>וְ</w:t>
      </w:r>
      <w:r w:rsidRPr="008D5AF6">
        <w:rPr>
          <w:rFonts w:eastAsia="Times New Roman"/>
          <w:lang w:eastAsia="de-DE"/>
        </w:rPr>
        <w:t xml:space="preserve">, </w:t>
      </w:r>
      <w:r w:rsidRPr="008D5AF6">
        <w:rPr>
          <w:rFonts w:eastAsia="Times New Roman"/>
          <w:b/>
          <w:bCs/>
          <w:rtl/>
          <w:lang w:eastAsia="de-DE"/>
        </w:rPr>
        <w:t>מַלְכֵיהֶם</w:t>
      </w:r>
      <w:r w:rsidRPr="008D5AF6">
        <w:rPr>
          <w:rFonts w:eastAsia="Times New Roman"/>
          <w:rtl/>
          <w:lang w:eastAsia="de-DE"/>
        </w:rPr>
        <w:t xml:space="preserve"> </w:t>
      </w:r>
      <w:r w:rsidRPr="008D5AF6">
        <w:rPr>
          <w:rFonts w:eastAsia="Times New Roman"/>
          <w:lang w:eastAsia="de-DE"/>
        </w:rPr>
        <w:t>als direktes Objekt (</w:t>
      </w:r>
      <w:r w:rsidRPr="008D5AF6">
        <w:rPr>
          <w:rFonts w:eastAsia="Times New Roman"/>
          <w:b/>
          <w:bCs/>
          <w:rtl/>
          <w:lang w:eastAsia="de-DE"/>
        </w:rPr>
        <w:t>מֶלֶךְ</w:t>
      </w:r>
      <w:r w:rsidRPr="008D5AF6">
        <w:rPr>
          <w:rFonts w:eastAsia="Times New Roman"/>
          <w:lang w:eastAsia="de-DE"/>
        </w:rPr>
        <w:t xml:space="preserve">, „König", Plural mit Suffix 3. Person Plural maskulin), </w:t>
      </w:r>
      <w:r w:rsidRPr="008D5AF6">
        <w:rPr>
          <w:rFonts w:eastAsia="Times New Roman"/>
          <w:b/>
          <w:bCs/>
          <w:rtl/>
          <w:lang w:eastAsia="de-DE"/>
        </w:rPr>
        <w:t>בְּיָדֶךָ</w:t>
      </w:r>
      <w:r w:rsidRPr="008D5AF6">
        <w:rPr>
          <w:rFonts w:eastAsia="Times New Roman"/>
          <w:rtl/>
          <w:lang w:eastAsia="de-DE"/>
        </w:rPr>
        <w:t xml:space="preserve"> </w:t>
      </w:r>
      <w:r w:rsidRPr="008D5AF6">
        <w:rPr>
          <w:rFonts w:eastAsia="Times New Roman"/>
          <w:lang w:eastAsia="de-DE"/>
        </w:rPr>
        <w:t>als Richtungsangabe (</w:t>
      </w:r>
      <w:r w:rsidRPr="008D5AF6">
        <w:rPr>
          <w:rFonts w:eastAsia="Times New Roman"/>
          <w:b/>
          <w:bCs/>
          <w:rtl/>
          <w:lang w:eastAsia="de-DE"/>
        </w:rPr>
        <w:t>בְּ</w:t>
      </w:r>
      <w:r w:rsidRPr="008D5AF6">
        <w:rPr>
          <w:rFonts w:eastAsia="Times New Roman"/>
          <w:rtl/>
          <w:lang w:eastAsia="de-DE"/>
        </w:rPr>
        <w:t xml:space="preserve"> </w:t>
      </w:r>
      <w:r w:rsidRPr="008D5AF6">
        <w:rPr>
          <w:rFonts w:eastAsia="Times New Roman"/>
          <w:lang w:eastAsia="de-DE"/>
        </w:rPr>
        <w:t xml:space="preserve">mit </w:t>
      </w:r>
      <w:r w:rsidRPr="008D5AF6">
        <w:rPr>
          <w:rFonts w:eastAsia="Times New Roman"/>
          <w:b/>
          <w:bCs/>
          <w:rtl/>
          <w:lang w:eastAsia="de-DE"/>
        </w:rPr>
        <w:t>יָד</w:t>
      </w:r>
      <w:r w:rsidRPr="008D5AF6">
        <w:rPr>
          <w:rFonts w:eastAsia="Times New Roman"/>
          <w:rtl/>
          <w:lang w:eastAsia="de-DE"/>
        </w:rPr>
        <w:t xml:space="preserve"> </w:t>
      </w:r>
      <w:r w:rsidRPr="008D5AF6">
        <w:rPr>
          <w:rFonts w:eastAsia="Times New Roman"/>
          <w:lang w:eastAsia="de-DE"/>
        </w:rPr>
        <w:t>und Suffix 2. Person Singular maskulin – „in deine Hand, in deine Gewalt").</w:t>
      </w:r>
    </w:p>
    <w:p w14:paraId="6B2CDB56"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rtl/>
          <w:lang w:eastAsia="de-DE"/>
        </w:rPr>
        <w:t>וְהַאֲבַדְתָּ אֶת־שְׁמָם מִתַּחַת הַשָּׁמָיִם</w:t>
      </w:r>
      <w:r w:rsidRPr="008D5AF6">
        <w:rPr>
          <w:rFonts w:eastAsia="Times New Roman"/>
          <w:rtl/>
          <w:lang w:eastAsia="de-DE"/>
        </w:rPr>
        <w:t xml:space="preserve"> </w:t>
      </w:r>
      <w:r w:rsidRPr="008D5AF6">
        <w:rPr>
          <w:rFonts w:eastAsia="Times New Roman"/>
          <w:lang w:eastAsia="de-DE"/>
        </w:rPr>
        <w:t xml:space="preserve">ist koordiniert: </w:t>
      </w:r>
      <w:r w:rsidRPr="008D5AF6">
        <w:rPr>
          <w:rFonts w:eastAsia="Times New Roman"/>
          <w:b/>
          <w:bCs/>
          <w:rtl/>
          <w:lang w:eastAsia="de-DE"/>
        </w:rPr>
        <w:t>וְהַאֲבַדְתָּ</w:t>
      </w:r>
      <w:r w:rsidRPr="008D5AF6">
        <w:rPr>
          <w:rFonts w:eastAsia="Times New Roman"/>
          <w:rtl/>
          <w:lang w:eastAsia="de-DE"/>
        </w:rPr>
        <w:t xml:space="preserve"> </w:t>
      </w:r>
      <w:r w:rsidRPr="008D5AF6">
        <w:rPr>
          <w:rFonts w:eastAsia="Times New Roman"/>
          <w:lang w:eastAsia="de-DE"/>
        </w:rPr>
        <w:t xml:space="preserve">(Hifil Perfekt consecutivum, 2. Person Singular maskulin von </w:t>
      </w:r>
      <w:r w:rsidRPr="008D5AF6">
        <w:rPr>
          <w:rFonts w:eastAsia="Times New Roman"/>
          <w:b/>
          <w:bCs/>
          <w:rtl/>
          <w:lang w:eastAsia="de-DE"/>
        </w:rPr>
        <w:t>אבד</w:t>
      </w:r>
      <w:r w:rsidRPr="008D5AF6">
        <w:rPr>
          <w:rFonts w:eastAsia="Times New Roman"/>
          <w:lang w:eastAsia="de-DE"/>
        </w:rPr>
        <w:t xml:space="preserve">, „vernichten, zum Verschwinden bringen", mit </w:t>
      </w:r>
      <w:r w:rsidRPr="008D5AF6">
        <w:rPr>
          <w:rFonts w:eastAsia="Times New Roman"/>
          <w:b/>
          <w:bCs/>
          <w:rtl/>
          <w:lang w:eastAsia="de-DE"/>
        </w:rPr>
        <w:t>וְ</w:t>
      </w:r>
      <w:r w:rsidRPr="008D5AF6">
        <w:rPr>
          <w:rFonts w:eastAsia="Times New Roman"/>
          <w:lang w:eastAsia="de-DE"/>
        </w:rPr>
        <w:t xml:space="preserve">), </w:t>
      </w:r>
      <w:r w:rsidRPr="008D5AF6">
        <w:rPr>
          <w:rFonts w:eastAsia="Times New Roman"/>
          <w:b/>
          <w:bCs/>
          <w:rtl/>
          <w:lang w:eastAsia="de-DE"/>
        </w:rPr>
        <w:t>אֶת־שְׁמָם</w:t>
      </w:r>
      <w:r w:rsidRPr="008D5AF6">
        <w:rPr>
          <w:rFonts w:eastAsia="Times New Roman"/>
          <w:rtl/>
          <w:lang w:eastAsia="de-DE"/>
        </w:rPr>
        <w:t xml:space="preserve"> </w:t>
      </w:r>
      <w:r w:rsidRPr="008D5AF6">
        <w:rPr>
          <w:rFonts w:eastAsia="Times New Roman"/>
          <w:lang w:eastAsia="de-DE"/>
        </w:rPr>
        <w:t>als direktes Objekt (</w:t>
      </w:r>
      <w:r w:rsidRPr="008D5AF6">
        <w:rPr>
          <w:rFonts w:eastAsia="Times New Roman"/>
          <w:b/>
          <w:bCs/>
          <w:rtl/>
          <w:lang w:eastAsia="de-DE"/>
        </w:rPr>
        <w:t>שֵׁם</w:t>
      </w:r>
      <w:r w:rsidRPr="008D5AF6">
        <w:rPr>
          <w:rFonts w:eastAsia="Times New Roman"/>
          <w:lang w:eastAsia="de-DE"/>
        </w:rPr>
        <w:t xml:space="preserve">, „Name", mit Suffix 3. Person Plural maskulin), </w:t>
      </w:r>
      <w:r w:rsidRPr="008D5AF6">
        <w:rPr>
          <w:rFonts w:eastAsia="Times New Roman"/>
          <w:b/>
          <w:bCs/>
          <w:rtl/>
          <w:lang w:eastAsia="de-DE"/>
        </w:rPr>
        <w:t>מִתַּחַת הַשָּׁמָיִם</w:t>
      </w:r>
      <w:r w:rsidRPr="008D5AF6">
        <w:rPr>
          <w:rFonts w:eastAsia="Times New Roman"/>
          <w:rtl/>
          <w:lang w:eastAsia="de-DE"/>
        </w:rPr>
        <w:t xml:space="preserve"> </w:t>
      </w:r>
      <w:r w:rsidRPr="008D5AF6">
        <w:rPr>
          <w:rFonts w:eastAsia="Times New Roman"/>
          <w:lang w:eastAsia="de-DE"/>
        </w:rPr>
        <w:t>als Herkunftsangabe (</w:t>
      </w:r>
      <w:r w:rsidRPr="008D5AF6">
        <w:rPr>
          <w:rFonts w:eastAsia="Times New Roman"/>
          <w:b/>
          <w:bCs/>
          <w:rtl/>
          <w:lang w:eastAsia="de-DE"/>
        </w:rPr>
        <w:t>מִן</w:t>
      </w:r>
      <w:r w:rsidRPr="008D5AF6">
        <w:rPr>
          <w:rFonts w:eastAsia="Times New Roman"/>
          <w:rtl/>
          <w:lang w:eastAsia="de-DE"/>
        </w:rPr>
        <w:t xml:space="preserve"> </w:t>
      </w:r>
      <w:r w:rsidRPr="008D5AF6">
        <w:rPr>
          <w:rFonts w:eastAsia="Times New Roman"/>
          <w:lang w:eastAsia="de-DE"/>
        </w:rPr>
        <w:t xml:space="preserve">mit </w:t>
      </w:r>
      <w:r w:rsidRPr="008D5AF6">
        <w:rPr>
          <w:rFonts w:eastAsia="Times New Roman"/>
          <w:b/>
          <w:bCs/>
          <w:rtl/>
          <w:lang w:eastAsia="de-DE"/>
        </w:rPr>
        <w:t>תַּחַת</w:t>
      </w:r>
      <w:r w:rsidRPr="008D5AF6">
        <w:rPr>
          <w:rFonts w:eastAsia="Times New Roman"/>
          <w:lang w:eastAsia="de-DE"/>
        </w:rPr>
        <w:t xml:space="preserve">, „unter", </w:t>
      </w:r>
      <w:r w:rsidRPr="008D5AF6">
        <w:rPr>
          <w:rFonts w:eastAsia="Times New Roman"/>
          <w:b/>
          <w:bCs/>
          <w:rtl/>
          <w:lang w:eastAsia="de-DE"/>
        </w:rPr>
        <w:t>שָׁמַיִם</w:t>
      </w:r>
      <w:r w:rsidRPr="008D5AF6">
        <w:rPr>
          <w:rFonts w:eastAsia="Times New Roman"/>
          <w:lang w:eastAsia="de-DE"/>
        </w:rPr>
        <w:t>, „Himmel", Dual mit Artikel – „von unter dem Himmel weg" = „vom Erdboden").</w:t>
      </w:r>
    </w:p>
    <w:p w14:paraId="32E76DCD"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rtl/>
          <w:lang w:eastAsia="de-DE"/>
        </w:rPr>
        <w:t>לֹא־יִתְיַצֵּב אִישׁ בְּפָנֶיךָ עַד הִשְׁמִדְךָ אֹתָם</w:t>
      </w:r>
      <w:r w:rsidRPr="008D5AF6">
        <w:rPr>
          <w:rFonts w:eastAsia="Times New Roman"/>
          <w:rtl/>
          <w:lang w:eastAsia="de-DE"/>
        </w:rPr>
        <w:t xml:space="preserve"> </w:t>
      </w:r>
      <w:r w:rsidRPr="008D5AF6">
        <w:rPr>
          <w:rFonts w:eastAsia="Times New Roman"/>
          <w:lang w:eastAsia="de-DE"/>
        </w:rPr>
        <w:t xml:space="preserve">ist eine Zusicherung: </w:t>
      </w:r>
      <w:r w:rsidRPr="008D5AF6">
        <w:rPr>
          <w:rFonts w:eastAsia="Times New Roman"/>
          <w:b/>
          <w:bCs/>
          <w:rtl/>
          <w:lang w:eastAsia="de-DE"/>
        </w:rPr>
        <w:t>לֹא־יִתְיַצֵּב</w:t>
      </w:r>
      <w:r w:rsidRPr="008D5AF6">
        <w:rPr>
          <w:rFonts w:eastAsia="Times New Roman"/>
          <w:rtl/>
          <w:lang w:eastAsia="de-DE"/>
        </w:rPr>
        <w:t xml:space="preserve"> </w:t>
      </w:r>
      <w:r w:rsidRPr="008D5AF6">
        <w:rPr>
          <w:rFonts w:eastAsia="Times New Roman"/>
          <w:lang w:eastAsia="de-DE"/>
        </w:rPr>
        <w:t xml:space="preserve">(Hitpael Imperfekt, 3. Person Singular maskulin von </w:t>
      </w:r>
      <w:r w:rsidRPr="008D5AF6">
        <w:rPr>
          <w:rFonts w:eastAsia="Times New Roman"/>
          <w:b/>
          <w:bCs/>
          <w:rtl/>
          <w:lang w:eastAsia="de-DE"/>
        </w:rPr>
        <w:t>יצב</w:t>
      </w:r>
      <w:r w:rsidRPr="008D5AF6">
        <w:rPr>
          <w:rFonts w:eastAsia="Times New Roman"/>
          <w:lang w:eastAsia="de-DE"/>
        </w:rPr>
        <w:t xml:space="preserve">, „sich hinstellen, standhalten, bestehen", mit Negation), </w:t>
      </w:r>
      <w:r w:rsidRPr="008D5AF6">
        <w:rPr>
          <w:rFonts w:eastAsia="Times New Roman"/>
          <w:b/>
          <w:bCs/>
          <w:rtl/>
          <w:lang w:eastAsia="de-DE"/>
        </w:rPr>
        <w:t>אִישׁ</w:t>
      </w:r>
      <w:r w:rsidRPr="008D5AF6">
        <w:rPr>
          <w:rFonts w:eastAsia="Times New Roman"/>
          <w:rtl/>
          <w:lang w:eastAsia="de-DE"/>
        </w:rPr>
        <w:t xml:space="preserve"> </w:t>
      </w:r>
      <w:r w:rsidRPr="008D5AF6">
        <w:rPr>
          <w:rFonts w:eastAsia="Times New Roman"/>
          <w:lang w:eastAsia="de-DE"/>
        </w:rPr>
        <w:t xml:space="preserve">als Subjekt („Mann, jemand"), </w:t>
      </w:r>
      <w:r w:rsidRPr="008D5AF6">
        <w:rPr>
          <w:rFonts w:eastAsia="Times New Roman"/>
          <w:b/>
          <w:bCs/>
          <w:rtl/>
          <w:lang w:eastAsia="de-DE"/>
        </w:rPr>
        <w:t>בְּפָנֶיךָ</w:t>
      </w:r>
      <w:r w:rsidRPr="008D5AF6">
        <w:rPr>
          <w:rFonts w:eastAsia="Times New Roman"/>
          <w:rtl/>
          <w:lang w:eastAsia="de-DE"/>
        </w:rPr>
        <w:t xml:space="preserve"> </w:t>
      </w:r>
      <w:r w:rsidRPr="008D5AF6">
        <w:rPr>
          <w:rFonts w:eastAsia="Times New Roman"/>
          <w:lang w:eastAsia="de-DE"/>
        </w:rPr>
        <w:t>als Ortsangabe (</w:t>
      </w:r>
      <w:r w:rsidRPr="008D5AF6">
        <w:rPr>
          <w:rFonts w:eastAsia="Times New Roman"/>
          <w:b/>
          <w:bCs/>
          <w:rtl/>
          <w:lang w:eastAsia="de-DE"/>
        </w:rPr>
        <w:t>בְּ</w:t>
      </w:r>
      <w:r w:rsidRPr="008D5AF6">
        <w:rPr>
          <w:rFonts w:eastAsia="Times New Roman"/>
          <w:rtl/>
          <w:lang w:eastAsia="de-DE"/>
        </w:rPr>
        <w:t xml:space="preserve"> </w:t>
      </w:r>
      <w:r w:rsidRPr="008D5AF6">
        <w:rPr>
          <w:rFonts w:eastAsia="Times New Roman"/>
          <w:lang w:eastAsia="de-DE"/>
        </w:rPr>
        <w:t xml:space="preserve">mit </w:t>
      </w:r>
      <w:r w:rsidRPr="008D5AF6">
        <w:rPr>
          <w:rFonts w:eastAsia="Times New Roman"/>
          <w:b/>
          <w:bCs/>
          <w:rtl/>
          <w:lang w:eastAsia="de-DE"/>
        </w:rPr>
        <w:t>פָּנֶה</w:t>
      </w:r>
      <w:r w:rsidRPr="008D5AF6">
        <w:rPr>
          <w:rFonts w:eastAsia="Times New Roman"/>
          <w:lang w:eastAsia="de-DE"/>
        </w:rPr>
        <w:t xml:space="preserve">, Plural, und Suffix 2. Person Singular maskulin – „vor dir"), </w:t>
      </w:r>
      <w:r w:rsidRPr="008D5AF6">
        <w:rPr>
          <w:rFonts w:eastAsia="Times New Roman"/>
          <w:b/>
          <w:bCs/>
          <w:rtl/>
          <w:lang w:eastAsia="de-DE"/>
        </w:rPr>
        <w:t>עַד הִשְׁמִדְךָ אֹתָם</w:t>
      </w:r>
      <w:r w:rsidRPr="008D5AF6">
        <w:rPr>
          <w:rFonts w:eastAsia="Times New Roman"/>
          <w:rtl/>
          <w:lang w:eastAsia="de-DE"/>
        </w:rPr>
        <w:t xml:space="preserve"> </w:t>
      </w:r>
      <w:r w:rsidRPr="008D5AF6">
        <w:rPr>
          <w:rFonts w:eastAsia="Times New Roman"/>
          <w:lang w:eastAsia="de-DE"/>
        </w:rPr>
        <w:t>als temporale Bestimmung (</w:t>
      </w:r>
      <w:r w:rsidRPr="008D5AF6">
        <w:rPr>
          <w:rFonts w:eastAsia="Times New Roman"/>
          <w:b/>
          <w:bCs/>
          <w:rtl/>
          <w:lang w:eastAsia="de-DE"/>
        </w:rPr>
        <w:t>עַד</w:t>
      </w:r>
      <w:r w:rsidRPr="008D5AF6">
        <w:rPr>
          <w:rFonts w:eastAsia="Times New Roman"/>
          <w:rtl/>
          <w:lang w:eastAsia="de-DE"/>
        </w:rPr>
        <w:t xml:space="preserve"> </w:t>
      </w:r>
      <w:r w:rsidRPr="008D5AF6">
        <w:rPr>
          <w:rFonts w:eastAsia="Times New Roman"/>
          <w:lang w:eastAsia="de-DE"/>
        </w:rPr>
        <w:t xml:space="preserve">mit Hifil Infinitiv Construct von </w:t>
      </w:r>
      <w:r w:rsidRPr="008D5AF6">
        <w:rPr>
          <w:rFonts w:eastAsia="Times New Roman"/>
          <w:b/>
          <w:bCs/>
          <w:rtl/>
          <w:lang w:eastAsia="de-DE"/>
        </w:rPr>
        <w:t>שׁמד</w:t>
      </w:r>
      <w:r w:rsidRPr="008D5AF6">
        <w:rPr>
          <w:rFonts w:eastAsia="Times New Roman"/>
          <w:lang w:eastAsia="de-DE"/>
        </w:rPr>
        <w:t xml:space="preserve">, „vernichten", mit Suffix 2. Person Singular maskulin als Subjekt und </w:t>
      </w:r>
      <w:r w:rsidRPr="008D5AF6">
        <w:rPr>
          <w:rFonts w:eastAsia="Times New Roman"/>
          <w:b/>
          <w:bCs/>
          <w:rtl/>
          <w:lang w:eastAsia="de-DE"/>
        </w:rPr>
        <w:t>אֹתָם</w:t>
      </w:r>
      <w:r w:rsidRPr="008D5AF6">
        <w:rPr>
          <w:rFonts w:eastAsia="Times New Roman"/>
          <w:rtl/>
          <w:lang w:eastAsia="de-DE"/>
        </w:rPr>
        <w:t xml:space="preserve"> </w:t>
      </w:r>
      <w:r w:rsidRPr="008D5AF6">
        <w:rPr>
          <w:rFonts w:eastAsia="Times New Roman"/>
          <w:lang w:eastAsia="de-DE"/>
        </w:rPr>
        <w:t>als direktes Objekt).</w:t>
      </w:r>
    </w:p>
    <w:p w14:paraId="736C192D" w14:textId="188E3906"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 xml:space="preserve">Die Vernichtung des Namens bedeutet das Auslöschen des Andenkens und der Existenz (vgl. 9,14; 25,19; 29,19; Ex 17,14; </w:t>
      </w:r>
      <w:r w:rsidR="00664EB6">
        <w:rPr>
          <w:rFonts w:eastAsia="Times New Roman"/>
          <w:lang w:eastAsia="de-DE"/>
        </w:rPr>
        <w:t>1Sam</w:t>
      </w:r>
      <w:r w:rsidRPr="008D5AF6">
        <w:rPr>
          <w:rFonts w:eastAsia="Times New Roman"/>
          <w:lang w:eastAsia="de-DE"/>
        </w:rPr>
        <w:t xml:space="preserve"> 24,22; 2Kön 14,27). Die Formulierung </w:t>
      </w:r>
      <w:r w:rsidRPr="008D5AF6">
        <w:rPr>
          <w:rFonts w:eastAsia="Times New Roman"/>
          <w:b/>
          <w:bCs/>
          <w:rtl/>
          <w:lang w:eastAsia="de-DE"/>
        </w:rPr>
        <w:t>מִתַּחַת הַשָּׁמָיִם</w:t>
      </w:r>
      <w:r w:rsidRPr="008D5AF6">
        <w:rPr>
          <w:rFonts w:eastAsia="Times New Roman"/>
          <w:rtl/>
          <w:lang w:eastAsia="de-DE"/>
        </w:rPr>
        <w:t xml:space="preserve"> </w:t>
      </w:r>
      <w:r w:rsidRPr="008D5AF6">
        <w:rPr>
          <w:rFonts w:eastAsia="Times New Roman"/>
          <w:lang w:eastAsia="de-DE"/>
        </w:rPr>
        <w:t xml:space="preserve">(„von unter dem Himmel") drückt totales Verschwinden aus der Welt aus. Die Wendung </w:t>
      </w:r>
      <w:r w:rsidRPr="008D5AF6">
        <w:rPr>
          <w:rFonts w:eastAsia="Times New Roman"/>
          <w:b/>
          <w:bCs/>
          <w:rtl/>
          <w:lang w:eastAsia="de-DE"/>
        </w:rPr>
        <w:t>לֹא־יִתְיַצֵּב אִישׁ בְּפָנֶיךָ</w:t>
      </w:r>
      <w:r w:rsidRPr="008D5AF6">
        <w:rPr>
          <w:rFonts w:eastAsia="Times New Roman"/>
          <w:rtl/>
          <w:lang w:eastAsia="de-DE"/>
        </w:rPr>
        <w:t xml:space="preserve"> </w:t>
      </w:r>
      <w:r w:rsidRPr="008D5AF6">
        <w:rPr>
          <w:rFonts w:eastAsia="Times New Roman"/>
          <w:lang w:eastAsia="de-DE"/>
        </w:rPr>
        <w:t>(„kein Mann wird vor dir bestehen") ist eine klassische Zusicherung militärischer Überlegenheit (vgl. 11,25; Jos 1,5; 10,8; 21,44; 23,9).</w:t>
      </w:r>
    </w:p>
    <w:p w14:paraId="150ECD09"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Die LXX</w:t>
      </w:r>
      <w:r w:rsidRPr="008D5AF6">
        <w:rPr>
          <w:rFonts w:eastAsia="Times New Roman"/>
          <w:lang w:eastAsia="de-DE"/>
        </w:rPr>
        <w:t xml:space="preserve"> übersetzt </w:t>
      </w:r>
      <w:proofErr w:type="spellStart"/>
      <w:r w:rsidRPr="008D5AF6">
        <w:rPr>
          <w:rFonts w:eastAsia="Times New Roman"/>
          <w:b/>
          <w:bCs/>
          <w:lang w:eastAsia="de-DE"/>
        </w:rPr>
        <w:t>ἀντιστήσετ</w:t>
      </w:r>
      <w:proofErr w:type="spellEnd"/>
      <w:r w:rsidRPr="008D5AF6">
        <w:rPr>
          <w:rFonts w:eastAsia="Times New Roman"/>
          <w:b/>
          <w:bCs/>
          <w:lang w:eastAsia="de-DE"/>
        </w:rPr>
        <w:t>αι</w:t>
      </w:r>
      <w:r w:rsidRPr="008D5AF6">
        <w:rPr>
          <w:rFonts w:eastAsia="Times New Roman"/>
          <w:lang w:eastAsia="de-DE"/>
        </w:rPr>
        <w:t xml:space="preserve"> („wird widerstehen") für </w:t>
      </w:r>
      <w:r w:rsidRPr="008D5AF6">
        <w:rPr>
          <w:rFonts w:eastAsia="Times New Roman"/>
          <w:b/>
          <w:bCs/>
          <w:rtl/>
          <w:lang w:eastAsia="de-DE"/>
        </w:rPr>
        <w:t>יִתְיַצֵּב</w:t>
      </w:r>
      <w:r w:rsidRPr="008D5AF6">
        <w:rPr>
          <w:rFonts w:eastAsia="Times New Roman"/>
          <w:lang w:eastAsia="de-DE"/>
        </w:rPr>
        <w:t>.</w:t>
      </w:r>
    </w:p>
    <w:p w14:paraId="73DC8525"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lastRenderedPageBreak/>
        <w:t>Die Satzstruktur ist ein Perfekt consecutivum mit direktem Objekt und Richtungsangabe, gefolgt von einem koordinierten Verb mit direktem Objekt und Herkunftsangabe, sowie einem negierten Satz mit Prädikat, Subjekt, Ortsangabe und temporaler Bestimmung (Infinitiv Construct mit Suffix als Subjekt und direktem Objekt). Die Struktur verheißt totalen militärischen Sieg.</w:t>
      </w:r>
    </w:p>
    <w:p w14:paraId="6DECC317"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Der Vers verheißt die Vernichtung der feindlichen Könige und das Auslöschen ihres Namens vom Erdboden. Niemand wird Israel widerstehen können, bis Israel sie vollständig vernichtet hat – totaler Sieg.</w:t>
      </w:r>
    </w:p>
    <w:p w14:paraId="2F0543DD" w14:textId="77777777" w:rsidR="008D5AF6" w:rsidRPr="008D5AF6" w:rsidRDefault="008D5AF6" w:rsidP="008D5AF6">
      <w:pPr>
        <w:spacing w:before="100" w:beforeAutospacing="1" w:after="100" w:afterAutospacing="1" w:line="240" w:lineRule="auto"/>
        <w:outlineLvl w:val="1"/>
        <w:rPr>
          <w:rFonts w:eastAsia="Times New Roman"/>
          <w:b/>
          <w:bCs/>
          <w:sz w:val="36"/>
          <w:szCs w:val="36"/>
          <w:lang w:eastAsia="de-DE"/>
        </w:rPr>
      </w:pPr>
      <w:r w:rsidRPr="008D5AF6">
        <w:rPr>
          <w:rFonts w:eastAsia="Times New Roman"/>
          <w:b/>
          <w:bCs/>
          <w:sz w:val="36"/>
          <w:szCs w:val="36"/>
          <w:lang w:eastAsia="de-DE"/>
        </w:rPr>
        <w:t>Deuteronomium 7,25</w:t>
      </w:r>
    </w:p>
    <w:p w14:paraId="78094E86"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Hebräisch:</w:t>
      </w:r>
      <w:r w:rsidRPr="008D5AF6">
        <w:rPr>
          <w:rFonts w:eastAsia="Times New Roman"/>
          <w:lang w:eastAsia="de-DE"/>
        </w:rPr>
        <w:t xml:space="preserve"> </w:t>
      </w:r>
      <w:r w:rsidRPr="008D5AF6">
        <w:rPr>
          <w:rFonts w:eastAsia="Times New Roman"/>
          <w:rtl/>
          <w:lang w:eastAsia="de-DE"/>
        </w:rPr>
        <w:t>פְּסִילֵי אֱלֹהֵיהֶם תִּשְׂרְפוּן בָּאֵשׁ לֹא־תַחְמֹד כֶּסֶף וְזָהָב עֲלֵיהֶם וְלָקַחְתָּ לָךְ פֶּן תִּוָּקֵשׁ בּוֹ כִּי תוֹעֲבַת יְהוָה אֱלֹהֶיךָ הוּא׃</w:t>
      </w:r>
    </w:p>
    <w:p w14:paraId="18165156"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Deutsch:</w:t>
      </w:r>
      <w:r w:rsidRPr="008D5AF6">
        <w:rPr>
          <w:rFonts w:eastAsia="Times New Roman"/>
          <w:lang w:eastAsia="de-DE"/>
        </w:rPr>
        <w:t xml:space="preserve"> Die geschnitzten Bilder ihrer Götter sollt ihr mit Feuer verbrennen; du sollst nicht das Silber und Gold an ihnen begehren und es dir nehmen, damit du dadurch nicht verstrickt wirst; denn es ist ein Gräuel für den Ewigen, deinen Gott.</w:t>
      </w:r>
    </w:p>
    <w:p w14:paraId="2B3AFE06" w14:textId="77777777" w:rsidR="008D5AF6" w:rsidRPr="008D5AF6" w:rsidRDefault="004F5CEB" w:rsidP="008D5AF6">
      <w:pPr>
        <w:spacing w:after="0" w:line="240" w:lineRule="auto"/>
        <w:rPr>
          <w:rFonts w:eastAsia="Times New Roman"/>
          <w:lang w:eastAsia="de-DE"/>
        </w:rPr>
      </w:pPr>
      <w:r>
        <w:rPr>
          <w:rFonts w:eastAsia="Times New Roman"/>
          <w:noProof/>
          <w:lang w:eastAsia="de-DE"/>
        </w:rPr>
        <w:pict w14:anchorId="1BDA837D">
          <v:rect id="_x0000_i1268" style="width:0;height:1.5pt" o:hralign="center" o:hrstd="t" o:hr="t" fillcolor="#a0a0a0" stroked="f"/>
        </w:pict>
      </w:r>
    </w:p>
    <w:p w14:paraId="11300559"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Kommentar:</w:t>
      </w:r>
      <w:r w:rsidRPr="008D5AF6">
        <w:rPr>
          <w:rFonts w:eastAsia="Times New Roman"/>
          <w:lang w:eastAsia="de-DE"/>
        </w:rPr>
        <w:t xml:space="preserve"> </w:t>
      </w:r>
      <w:r w:rsidRPr="008D5AF6">
        <w:rPr>
          <w:rFonts w:eastAsia="Times New Roman"/>
          <w:b/>
          <w:bCs/>
          <w:rtl/>
          <w:lang w:eastAsia="de-DE"/>
        </w:rPr>
        <w:t>פְּסִילֵי אֱלֹהֵיהֶם תִּשְׂרְפוּן בָּאֵשׁ</w:t>
      </w:r>
      <w:r w:rsidRPr="008D5AF6">
        <w:rPr>
          <w:rFonts w:eastAsia="Times New Roman"/>
          <w:rtl/>
          <w:lang w:eastAsia="de-DE"/>
        </w:rPr>
        <w:t xml:space="preserve"> </w:t>
      </w:r>
      <w:r w:rsidRPr="008D5AF6">
        <w:rPr>
          <w:rFonts w:eastAsia="Times New Roman"/>
          <w:lang w:eastAsia="de-DE"/>
        </w:rPr>
        <w:t xml:space="preserve">ist ein imperativischer Satz: </w:t>
      </w:r>
      <w:r w:rsidRPr="008D5AF6">
        <w:rPr>
          <w:rFonts w:eastAsia="Times New Roman"/>
          <w:b/>
          <w:bCs/>
          <w:rtl/>
          <w:lang w:eastAsia="de-DE"/>
        </w:rPr>
        <w:t>פְּסִילֵי אֱלֹהֵיהֶם</w:t>
      </w:r>
      <w:r w:rsidRPr="008D5AF6">
        <w:rPr>
          <w:rFonts w:eastAsia="Times New Roman"/>
          <w:rtl/>
          <w:lang w:eastAsia="de-DE"/>
        </w:rPr>
        <w:t xml:space="preserve"> </w:t>
      </w:r>
      <w:r w:rsidRPr="008D5AF6">
        <w:rPr>
          <w:rFonts w:eastAsia="Times New Roman"/>
          <w:lang w:eastAsia="de-DE"/>
        </w:rPr>
        <w:t>als vorausgestelltes direktes Objekt (</w:t>
      </w:r>
      <w:r w:rsidRPr="008D5AF6">
        <w:rPr>
          <w:rFonts w:eastAsia="Times New Roman"/>
          <w:b/>
          <w:bCs/>
          <w:rtl/>
          <w:lang w:eastAsia="de-DE"/>
        </w:rPr>
        <w:t>פֶּסֶל</w:t>
      </w:r>
      <w:r w:rsidRPr="008D5AF6">
        <w:rPr>
          <w:rFonts w:eastAsia="Times New Roman"/>
          <w:lang w:eastAsia="de-DE"/>
        </w:rPr>
        <w:t xml:space="preserve">, „geschnitztes Bild, Götzenbild", Plural Construct, </w:t>
      </w:r>
      <w:r w:rsidRPr="008D5AF6">
        <w:rPr>
          <w:rFonts w:eastAsia="Times New Roman"/>
          <w:b/>
          <w:bCs/>
          <w:rtl/>
          <w:lang w:eastAsia="de-DE"/>
        </w:rPr>
        <w:t>אֱלֹהִים</w:t>
      </w:r>
      <w:r w:rsidRPr="008D5AF6">
        <w:rPr>
          <w:rFonts w:eastAsia="Times New Roman"/>
          <w:lang w:eastAsia="de-DE"/>
        </w:rPr>
        <w:t xml:space="preserve">, Plural, mit Suffix 3. Person Plural maskulin), </w:t>
      </w:r>
      <w:r w:rsidRPr="008D5AF6">
        <w:rPr>
          <w:rFonts w:eastAsia="Times New Roman"/>
          <w:b/>
          <w:bCs/>
          <w:rtl/>
          <w:lang w:eastAsia="de-DE"/>
        </w:rPr>
        <w:t>תִּשְׂרְפוּן</w:t>
      </w:r>
      <w:r w:rsidRPr="008D5AF6">
        <w:rPr>
          <w:rFonts w:eastAsia="Times New Roman"/>
          <w:rtl/>
          <w:lang w:eastAsia="de-DE"/>
        </w:rPr>
        <w:t xml:space="preserve"> </w:t>
      </w:r>
      <w:r w:rsidRPr="008D5AF6">
        <w:rPr>
          <w:rFonts w:eastAsia="Times New Roman"/>
          <w:lang w:eastAsia="de-DE"/>
        </w:rPr>
        <w:t xml:space="preserve">als Qal Imperfekt, 2. Person Plural maskulin von </w:t>
      </w:r>
      <w:r w:rsidRPr="008D5AF6">
        <w:rPr>
          <w:rFonts w:eastAsia="Times New Roman"/>
          <w:b/>
          <w:bCs/>
          <w:rtl/>
          <w:lang w:eastAsia="de-DE"/>
        </w:rPr>
        <w:t>שׂרף</w:t>
      </w:r>
      <w:r w:rsidRPr="008D5AF6">
        <w:rPr>
          <w:rFonts w:eastAsia="Times New Roman"/>
          <w:lang w:eastAsia="de-DE"/>
        </w:rPr>
        <w:t xml:space="preserve">, „verbrennen", mit paragogischem Nun, </w:t>
      </w:r>
      <w:r w:rsidRPr="008D5AF6">
        <w:rPr>
          <w:rFonts w:eastAsia="Times New Roman"/>
          <w:b/>
          <w:bCs/>
          <w:rtl/>
          <w:lang w:eastAsia="de-DE"/>
        </w:rPr>
        <w:t>בָּאֵשׁ</w:t>
      </w:r>
      <w:r w:rsidRPr="008D5AF6">
        <w:rPr>
          <w:rFonts w:eastAsia="Times New Roman"/>
          <w:rtl/>
          <w:lang w:eastAsia="de-DE"/>
        </w:rPr>
        <w:t xml:space="preserve"> </w:t>
      </w:r>
      <w:r w:rsidRPr="008D5AF6">
        <w:rPr>
          <w:rFonts w:eastAsia="Times New Roman"/>
          <w:lang w:eastAsia="de-DE"/>
        </w:rPr>
        <w:t>als instrumentale Bestimmung (</w:t>
      </w:r>
      <w:r w:rsidRPr="008D5AF6">
        <w:rPr>
          <w:rFonts w:eastAsia="Times New Roman"/>
          <w:b/>
          <w:bCs/>
          <w:rtl/>
          <w:lang w:eastAsia="de-DE"/>
        </w:rPr>
        <w:t>בְּ</w:t>
      </w:r>
      <w:r w:rsidRPr="008D5AF6">
        <w:rPr>
          <w:rFonts w:eastAsia="Times New Roman"/>
          <w:rtl/>
          <w:lang w:eastAsia="de-DE"/>
        </w:rPr>
        <w:t xml:space="preserve"> </w:t>
      </w:r>
      <w:r w:rsidRPr="008D5AF6">
        <w:rPr>
          <w:rFonts w:eastAsia="Times New Roman"/>
          <w:lang w:eastAsia="de-DE"/>
        </w:rPr>
        <w:t xml:space="preserve">mit </w:t>
      </w:r>
      <w:r w:rsidRPr="008D5AF6">
        <w:rPr>
          <w:rFonts w:eastAsia="Times New Roman"/>
          <w:b/>
          <w:bCs/>
          <w:rtl/>
          <w:lang w:eastAsia="de-DE"/>
        </w:rPr>
        <w:t>אֵשׁ</w:t>
      </w:r>
      <w:r w:rsidRPr="008D5AF6">
        <w:rPr>
          <w:rFonts w:eastAsia="Times New Roman"/>
          <w:lang w:eastAsia="de-DE"/>
        </w:rPr>
        <w:t>, „Feuer" – „mit Feuer"). Dieses Gebot wiederholt V. 5.</w:t>
      </w:r>
    </w:p>
    <w:p w14:paraId="7A49E0A6"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rtl/>
          <w:lang w:eastAsia="de-DE"/>
        </w:rPr>
        <w:t>לֹא־תַחְמֹד כֶּסֶף וְזָהָב עֲלֵיהֶם וְלָקַחְתָּ לָךְ</w:t>
      </w:r>
      <w:r w:rsidRPr="008D5AF6">
        <w:rPr>
          <w:rFonts w:eastAsia="Times New Roman"/>
          <w:rtl/>
          <w:lang w:eastAsia="de-DE"/>
        </w:rPr>
        <w:t xml:space="preserve"> </w:t>
      </w:r>
      <w:r w:rsidRPr="008D5AF6">
        <w:rPr>
          <w:rFonts w:eastAsia="Times New Roman"/>
          <w:lang w:eastAsia="de-DE"/>
        </w:rPr>
        <w:t xml:space="preserve">ist eine dreiteilige Warnung: </w:t>
      </w:r>
      <w:r w:rsidRPr="008D5AF6">
        <w:rPr>
          <w:rFonts w:eastAsia="Times New Roman"/>
          <w:b/>
          <w:bCs/>
          <w:rtl/>
          <w:lang w:eastAsia="de-DE"/>
        </w:rPr>
        <w:t>לֹא־תַחְמֹד</w:t>
      </w:r>
      <w:r w:rsidRPr="008D5AF6">
        <w:rPr>
          <w:rFonts w:eastAsia="Times New Roman"/>
          <w:rtl/>
          <w:lang w:eastAsia="de-DE"/>
        </w:rPr>
        <w:t xml:space="preserve"> </w:t>
      </w:r>
      <w:r w:rsidRPr="008D5AF6">
        <w:rPr>
          <w:rFonts w:eastAsia="Times New Roman"/>
          <w:lang w:eastAsia="de-DE"/>
        </w:rPr>
        <w:t xml:space="preserve">(Qal Imperfekt, 2. Person Singular maskulin von </w:t>
      </w:r>
      <w:r w:rsidRPr="008D5AF6">
        <w:rPr>
          <w:rFonts w:eastAsia="Times New Roman"/>
          <w:b/>
          <w:bCs/>
          <w:rtl/>
          <w:lang w:eastAsia="de-DE"/>
        </w:rPr>
        <w:t>חמד</w:t>
      </w:r>
      <w:r w:rsidRPr="008D5AF6">
        <w:rPr>
          <w:rFonts w:eastAsia="Times New Roman"/>
          <w:lang w:eastAsia="de-DE"/>
        </w:rPr>
        <w:t xml:space="preserve">, „begehren, Verlangen tragen nach", mit Negation), </w:t>
      </w:r>
      <w:r w:rsidRPr="008D5AF6">
        <w:rPr>
          <w:rFonts w:eastAsia="Times New Roman"/>
          <w:b/>
          <w:bCs/>
          <w:rtl/>
          <w:lang w:eastAsia="de-DE"/>
        </w:rPr>
        <w:t>כֶּסֶף וְזָהָב</w:t>
      </w:r>
      <w:r w:rsidRPr="008D5AF6">
        <w:rPr>
          <w:rFonts w:eastAsia="Times New Roman"/>
          <w:rtl/>
          <w:lang w:eastAsia="de-DE"/>
        </w:rPr>
        <w:t xml:space="preserve"> </w:t>
      </w:r>
      <w:r w:rsidRPr="008D5AF6">
        <w:rPr>
          <w:rFonts w:eastAsia="Times New Roman"/>
          <w:lang w:eastAsia="de-DE"/>
        </w:rPr>
        <w:t xml:space="preserve">als zweigliedrige koordinierte Objektkette, </w:t>
      </w:r>
      <w:r w:rsidRPr="008D5AF6">
        <w:rPr>
          <w:rFonts w:eastAsia="Times New Roman"/>
          <w:b/>
          <w:bCs/>
          <w:rtl/>
          <w:lang w:eastAsia="de-DE"/>
        </w:rPr>
        <w:t>עֲלֵיהֶם</w:t>
      </w:r>
      <w:r w:rsidRPr="008D5AF6">
        <w:rPr>
          <w:rFonts w:eastAsia="Times New Roman"/>
          <w:rtl/>
          <w:lang w:eastAsia="de-DE"/>
        </w:rPr>
        <w:t xml:space="preserve"> </w:t>
      </w:r>
      <w:r w:rsidRPr="008D5AF6">
        <w:rPr>
          <w:rFonts w:eastAsia="Times New Roman"/>
          <w:lang w:eastAsia="de-DE"/>
        </w:rPr>
        <w:t>als Ortsangabe (</w:t>
      </w:r>
      <w:r w:rsidRPr="008D5AF6">
        <w:rPr>
          <w:rFonts w:eastAsia="Times New Roman"/>
          <w:b/>
          <w:bCs/>
          <w:rtl/>
          <w:lang w:eastAsia="de-DE"/>
        </w:rPr>
        <w:t>עַל</w:t>
      </w:r>
      <w:r w:rsidRPr="008D5AF6">
        <w:rPr>
          <w:rFonts w:eastAsia="Times New Roman"/>
          <w:rtl/>
          <w:lang w:eastAsia="de-DE"/>
        </w:rPr>
        <w:t xml:space="preserve"> </w:t>
      </w:r>
      <w:r w:rsidRPr="008D5AF6">
        <w:rPr>
          <w:rFonts w:eastAsia="Times New Roman"/>
          <w:lang w:eastAsia="de-DE"/>
        </w:rPr>
        <w:t xml:space="preserve">mit Suffix 3. Person Plural maskulin – „an ihnen, auf ihnen"), </w:t>
      </w:r>
      <w:r w:rsidRPr="008D5AF6">
        <w:rPr>
          <w:rFonts w:eastAsia="Times New Roman"/>
          <w:b/>
          <w:bCs/>
          <w:rtl/>
          <w:lang w:eastAsia="de-DE"/>
        </w:rPr>
        <w:t>וְלָקַחְתָּ לָךְ</w:t>
      </w:r>
      <w:r w:rsidRPr="008D5AF6">
        <w:rPr>
          <w:rFonts w:eastAsia="Times New Roman"/>
          <w:rtl/>
          <w:lang w:eastAsia="de-DE"/>
        </w:rPr>
        <w:t xml:space="preserve"> </w:t>
      </w:r>
      <w:r w:rsidRPr="008D5AF6">
        <w:rPr>
          <w:rFonts w:eastAsia="Times New Roman"/>
          <w:lang w:eastAsia="de-DE"/>
        </w:rPr>
        <w:t xml:space="preserve">als koordinierte Fortsetzung (Qal Perfekt consecutivum, 2. Person Singular maskulin von </w:t>
      </w:r>
      <w:r w:rsidRPr="008D5AF6">
        <w:rPr>
          <w:rFonts w:eastAsia="Times New Roman"/>
          <w:b/>
          <w:bCs/>
          <w:rtl/>
          <w:lang w:eastAsia="de-DE"/>
        </w:rPr>
        <w:t>לקח</w:t>
      </w:r>
      <w:r w:rsidRPr="008D5AF6">
        <w:rPr>
          <w:rFonts w:eastAsia="Times New Roman"/>
          <w:lang w:eastAsia="de-DE"/>
        </w:rPr>
        <w:t xml:space="preserve">, „nehmen", mit </w:t>
      </w:r>
      <w:r w:rsidRPr="008D5AF6">
        <w:rPr>
          <w:rFonts w:eastAsia="Times New Roman"/>
          <w:b/>
          <w:bCs/>
          <w:rtl/>
          <w:lang w:eastAsia="de-DE"/>
        </w:rPr>
        <w:t>וְ</w:t>
      </w:r>
      <w:r w:rsidRPr="008D5AF6">
        <w:rPr>
          <w:rFonts w:eastAsia="Times New Roman"/>
          <w:rtl/>
          <w:lang w:eastAsia="de-DE"/>
        </w:rPr>
        <w:t xml:space="preserve"> </w:t>
      </w:r>
      <w:r w:rsidRPr="008D5AF6">
        <w:rPr>
          <w:rFonts w:eastAsia="Times New Roman"/>
          <w:lang w:eastAsia="de-DE"/>
        </w:rPr>
        <w:t xml:space="preserve">und </w:t>
      </w:r>
      <w:r w:rsidRPr="008D5AF6">
        <w:rPr>
          <w:rFonts w:eastAsia="Times New Roman"/>
          <w:b/>
          <w:bCs/>
          <w:rtl/>
          <w:lang w:eastAsia="de-DE"/>
        </w:rPr>
        <w:t>לָךְ</w:t>
      </w:r>
      <w:r w:rsidRPr="008D5AF6">
        <w:rPr>
          <w:rFonts w:eastAsia="Times New Roman"/>
          <w:rtl/>
          <w:lang w:eastAsia="de-DE"/>
        </w:rPr>
        <w:t xml:space="preserve"> </w:t>
      </w:r>
      <w:r w:rsidRPr="008D5AF6">
        <w:rPr>
          <w:rFonts w:eastAsia="Times New Roman"/>
          <w:lang w:eastAsia="de-DE"/>
        </w:rPr>
        <w:t>als Dativ – „für dich").</w:t>
      </w:r>
    </w:p>
    <w:p w14:paraId="7F3C3EC8"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rtl/>
          <w:lang w:eastAsia="de-DE"/>
        </w:rPr>
        <w:t>פֶּן תִּוָּקֵשׁ בּוֹ</w:t>
      </w:r>
      <w:r w:rsidRPr="008D5AF6">
        <w:rPr>
          <w:rFonts w:eastAsia="Times New Roman"/>
          <w:rtl/>
          <w:lang w:eastAsia="de-DE"/>
        </w:rPr>
        <w:t xml:space="preserve"> </w:t>
      </w:r>
      <w:r w:rsidRPr="008D5AF6">
        <w:rPr>
          <w:rFonts w:eastAsia="Times New Roman"/>
          <w:lang w:eastAsia="de-DE"/>
        </w:rPr>
        <w:t xml:space="preserve">ist eine finale negative Konstruktion: </w:t>
      </w:r>
      <w:r w:rsidRPr="008D5AF6">
        <w:rPr>
          <w:rFonts w:eastAsia="Times New Roman"/>
          <w:b/>
          <w:bCs/>
          <w:rtl/>
          <w:lang w:eastAsia="de-DE"/>
        </w:rPr>
        <w:t>פֶּן</w:t>
      </w:r>
      <w:r w:rsidRPr="008D5AF6">
        <w:rPr>
          <w:rFonts w:eastAsia="Times New Roman"/>
          <w:rtl/>
          <w:lang w:eastAsia="de-DE"/>
        </w:rPr>
        <w:t xml:space="preserve"> </w:t>
      </w:r>
      <w:r w:rsidRPr="008D5AF6">
        <w:rPr>
          <w:rFonts w:eastAsia="Times New Roman"/>
          <w:lang w:eastAsia="de-DE"/>
        </w:rPr>
        <w:t xml:space="preserve">(„damit nicht"), </w:t>
      </w:r>
      <w:r w:rsidRPr="008D5AF6">
        <w:rPr>
          <w:rFonts w:eastAsia="Times New Roman"/>
          <w:b/>
          <w:bCs/>
          <w:rtl/>
          <w:lang w:eastAsia="de-DE"/>
        </w:rPr>
        <w:t>תִּוָּקֵשׁ</w:t>
      </w:r>
      <w:r w:rsidRPr="008D5AF6">
        <w:rPr>
          <w:rFonts w:eastAsia="Times New Roman"/>
          <w:rtl/>
          <w:lang w:eastAsia="de-DE"/>
        </w:rPr>
        <w:t xml:space="preserve"> </w:t>
      </w:r>
      <w:r w:rsidRPr="008D5AF6">
        <w:rPr>
          <w:rFonts w:eastAsia="Times New Roman"/>
          <w:lang w:eastAsia="de-DE"/>
        </w:rPr>
        <w:t xml:space="preserve">als Nifal Imperfekt, 2. Person Singular maskulin von </w:t>
      </w:r>
      <w:r w:rsidRPr="008D5AF6">
        <w:rPr>
          <w:rFonts w:eastAsia="Times New Roman"/>
          <w:b/>
          <w:bCs/>
          <w:rtl/>
          <w:lang w:eastAsia="de-DE"/>
        </w:rPr>
        <w:t>יקשׁ</w:t>
      </w:r>
      <w:r w:rsidRPr="008D5AF6">
        <w:rPr>
          <w:rFonts w:eastAsia="Times New Roman"/>
          <w:lang w:eastAsia="de-DE"/>
        </w:rPr>
        <w:t xml:space="preserve">, „verstrickt werden, in die Falle gehen", </w:t>
      </w:r>
      <w:r w:rsidRPr="008D5AF6">
        <w:rPr>
          <w:rFonts w:eastAsia="Times New Roman"/>
          <w:b/>
          <w:bCs/>
          <w:rtl/>
          <w:lang w:eastAsia="de-DE"/>
        </w:rPr>
        <w:t>בּוֹ</w:t>
      </w:r>
      <w:r w:rsidRPr="008D5AF6">
        <w:rPr>
          <w:rFonts w:eastAsia="Times New Roman"/>
          <w:rtl/>
          <w:lang w:eastAsia="de-DE"/>
        </w:rPr>
        <w:t xml:space="preserve"> </w:t>
      </w:r>
      <w:r w:rsidRPr="008D5AF6">
        <w:rPr>
          <w:rFonts w:eastAsia="Times New Roman"/>
          <w:lang w:eastAsia="de-DE"/>
        </w:rPr>
        <w:t>als instrumentale Bestimmung (</w:t>
      </w:r>
      <w:r w:rsidRPr="008D5AF6">
        <w:rPr>
          <w:rFonts w:eastAsia="Times New Roman"/>
          <w:b/>
          <w:bCs/>
          <w:rtl/>
          <w:lang w:eastAsia="de-DE"/>
        </w:rPr>
        <w:t>בְּ</w:t>
      </w:r>
      <w:r w:rsidRPr="008D5AF6">
        <w:rPr>
          <w:rFonts w:eastAsia="Times New Roman"/>
          <w:rtl/>
          <w:lang w:eastAsia="de-DE"/>
        </w:rPr>
        <w:t xml:space="preserve"> </w:t>
      </w:r>
      <w:r w:rsidRPr="008D5AF6">
        <w:rPr>
          <w:rFonts w:eastAsia="Times New Roman"/>
          <w:lang w:eastAsia="de-DE"/>
        </w:rPr>
        <w:t>mit Suffix 3. Person Singular maskulin – „dadurch, daran").</w:t>
      </w:r>
    </w:p>
    <w:p w14:paraId="45416FDF"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rtl/>
          <w:lang w:eastAsia="de-DE"/>
        </w:rPr>
        <w:t>כִּי תוֹעֲבַת יְהוָה אֱלֹהֶיךָ הוּא</w:t>
      </w:r>
      <w:r w:rsidRPr="008D5AF6">
        <w:rPr>
          <w:rFonts w:eastAsia="Times New Roman"/>
          <w:rtl/>
          <w:lang w:eastAsia="de-DE"/>
        </w:rPr>
        <w:t xml:space="preserve"> </w:t>
      </w:r>
      <w:r w:rsidRPr="008D5AF6">
        <w:rPr>
          <w:rFonts w:eastAsia="Times New Roman"/>
          <w:lang w:eastAsia="de-DE"/>
        </w:rPr>
        <w:t xml:space="preserve">ist ein kausaler nominaler Satz: </w:t>
      </w:r>
      <w:r w:rsidRPr="008D5AF6">
        <w:rPr>
          <w:rFonts w:eastAsia="Times New Roman"/>
          <w:b/>
          <w:bCs/>
          <w:rtl/>
          <w:lang w:eastAsia="de-DE"/>
        </w:rPr>
        <w:t>כִּי</w:t>
      </w:r>
      <w:r w:rsidRPr="008D5AF6">
        <w:rPr>
          <w:rFonts w:eastAsia="Times New Roman"/>
          <w:rtl/>
          <w:lang w:eastAsia="de-DE"/>
        </w:rPr>
        <w:t xml:space="preserve"> </w:t>
      </w:r>
      <w:r w:rsidRPr="008D5AF6">
        <w:rPr>
          <w:rFonts w:eastAsia="Times New Roman"/>
          <w:lang w:eastAsia="de-DE"/>
        </w:rPr>
        <w:t xml:space="preserve">als Konjunktion („denn"), </w:t>
      </w:r>
      <w:r w:rsidRPr="008D5AF6">
        <w:rPr>
          <w:rFonts w:eastAsia="Times New Roman"/>
          <w:b/>
          <w:bCs/>
          <w:rtl/>
          <w:lang w:eastAsia="de-DE"/>
        </w:rPr>
        <w:t>תוֹעֲבַת יְהוָה אֱלֹהֶיךָ</w:t>
      </w:r>
      <w:r w:rsidRPr="008D5AF6">
        <w:rPr>
          <w:rFonts w:eastAsia="Times New Roman"/>
          <w:rtl/>
          <w:lang w:eastAsia="de-DE"/>
        </w:rPr>
        <w:t xml:space="preserve"> </w:t>
      </w:r>
      <w:r w:rsidRPr="008D5AF6">
        <w:rPr>
          <w:rFonts w:eastAsia="Times New Roman"/>
          <w:lang w:eastAsia="de-DE"/>
        </w:rPr>
        <w:t>als Prädikatsnomen (</w:t>
      </w:r>
      <w:r w:rsidRPr="008D5AF6">
        <w:rPr>
          <w:rFonts w:eastAsia="Times New Roman"/>
          <w:b/>
          <w:bCs/>
          <w:rtl/>
          <w:lang w:eastAsia="de-DE"/>
        </w:rPr>
        <w:t>תּוֹעֵבָה</w:t>
      </w:r>
      <w:r w:rsidRPr="008D5AF6">
        <w:rPr>
          <w:rFonts w:eastAsia="Times New Roman"/>
          <w:lang w:eastAsia="de-DE"/>
        </w:rPr>
        <w:t xml:space="preserve">, „Gräuel, Abscheu", Construct mit erweiterter Gottesbezeichnung – „ein Gräuel JHWHs, deines Gottes"), </w:t>
      </w:r>
      <w:r w:rsidRPr="008D5AF6">
        <w:rPr>
          <w:rFonts w:eastAsia="Times New Roman"/>
          <w:b/>
          <w:bCs/>
          <w:rtl/>
          <w:lang w:eastAsia="de-DE"/>
        </w:rPr>
        <w:t>הוּא</w:t>
      </w:r>
      <w:r w:rsidRPr="008D5AF6">
        <w:rPr>
          <w:rFonts w:eastAsia="Times New Roman"/>
          <w:rtl/>
          <w:lang w:eastAsia="de-DE"/>
        </w:rPr>
        <w:t xml:space="preserve"> </w:t>
      </w:r>
      <w:r w:rsidRPr="008D5AF6">
        <w:rPr>
          <w:rFonts w:eastAsia="Times New Roman"/>
          <w:lang w:eastAsia="de-DE"/>
        </w:rPr>
        <w:t>als Subjekt (Pronomen 3. Person Singular maskulin – bezogen auf das Silber/Gold bzw. die Götzenbilder).</w:t>
      </w:r>
    </w:p>
    <w:p w14:paraId="7A6DA988"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 xml:space="preserve">Die Warnung vor der Plünderung der Götzenbilder wegen ihres kostbaren Metalls ist praktisch: Die Begierde nach Gold und Silber könnte zum Behalten der Götzenbilder führen und damit zur religiösen Kontamination. Das Verb </w:t>
      </w:r>
      <w:r w:rsidRPr="008D5AF6">
        <w:rPr>
          <w:rFonts w:eastAsia="Times New Roman"/>
          <w:b/>
          <w:bCs/>
          <w:rtl/>
          <w:lang w:eastAsia="de-DE"/>
        </w:rPr>
        <w:t>חמד</w:t>
      </w:r>
      <w:r w:rsidRPr="008D5AF6">
        <w:rPr>
          <w:rFonts w:eastAsia="Times New Roman"/>
          <w:rtl/>
          <w:lang w:eastAsia="de-DE"/>
        </w:rPr>
        <w:t xml:space="preserve"> </w:t>
      </w:r>
      <w:r w:rsidRPr="008D5AF6">
        <w:rPr>
          <w:rFonts w:eastAsia="Times New Roman"/>
          <w:lang w:eastAsia="de-DE"/>
        </w:rPr>
        <w:t xml:space="preserve">(„begehren") erinnert an das 10. Gebot (5,21). Die Metapher </w:t>
      </w:r>
      <w:r w:rsidRPr="008D5AF6">
        <w:rPr>
          <w:rFonts w:eastAsia="Times New Roman"/>
          <w:b/>
          <w:bCs/>
          <w:rtl/>
          <w:lang w:eastAsia="de-DE"/>
        </w:rPr>
        <w:t>תִּוָּקֵשׁ</w:t>
      </w:r>
      <w:r w:rsidRPr="008D5AF6">
        <w:rPr>
          <w:rFonts w:eastAsia="Times New Roman"/>
          <w:rtl/>
          <w:lang w:eastAsia="de-DE"/>
        </w:rPr>
        <w:t xml:space="preserve"> </w:t>
      </w:r>
      <w:r w:rsidRPr="008D5AF6">
        <w:rPr>
          <w:rFonts w:eastAsia="Times New Roman"/>
          <w:lang w:eastAsia="de-DE"/>
        </w:rPr>
        <w:t xml:space="preserve">(„verstrickt werden") verwendet das Bild der Vogelfalle </w:t>
      </w:r>
      <w:r w:rsidRPr="008D5AF6">
        <w:rPr>
          <w:rFonts w:eastAsia="Times New Roman"/>
          <w:lang w:eastAsia="de-DE"/>
        </w:rPr>
        <w:lastRenderedPageBreak/>
        <w:t xml:space="preserve">(vgl. V. 16: </w:t>
      </w:r>
      <w:r w:rsidRPr="008D5AF6">
        <w:rPr>
          <w:rFonts w:eastAsia="Times New Roman"/>
          <w:b/>
          <w:bCs/>
          <w:rtl/>
          <w:lang w:eastAsia="de-DE"/>
        </w:rPr>
        <w:t>מוֹקֵשׁ</w:t>
      </w:r>
      <w:r w:rsidRPr="008D5AF6">
        <w:rPr>
          <w:rFonts w:eastAsia="Times New Roman"/>
          <w:lang w:eastAsia="de-DE"/>
        </w:rPr>
        <w:t xml:space="preserve">, „Fallstrick"). Der Begriff </w:t>
      </w:r>
      <w:r w:rsidRPr="008D5AF6">
        <w:rPr>
          <w:rFonts w:eastAsia="Times New Roman"/>
          <w:b/>
          <w:bCs/>
          <w:rtl/>
          <w:lang w:eastAsia="de-DE"/>
        </w:rPr>
        <w:t>תּוֹעֵבָה</w:t>
      </w:r>
      <w:r w:rsidRPr="008D5AF6">
        <w:rPr>
          <w:rFonts w:eastAsia="Times New Roman"/>
          <w:rtl/>
          <w:lang w:eastAsia="de-DE"/>
        </w:rPr>
        <w:t xml:space="preserve"> </w:t>
      </w:r>
      <w:r w:rsidRPr="008D5AF6">
        <w:rPr>
          <w:rFonts w:eastAsia="Times New Roman"/>
          <w:lang w:eastAsia="de-DE"/>
        </w:rPr>
        <w:t>(„Gräuel") bezeichnet im Deuteronomium besonders heidnische Kultpraktiken und Götzenbilder (vgl. 12,31; 13,15; 17,1.4; 18,9.12; 20,18; 22,5; 23,19; 24,4; 25,16; 27,15; 32,16).</w:t>
      </w:r>
    </w:p>
    <w:p w14:paraId="5C0DB958"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Die LXX</w:t>
      </w:r>
      <w:r w:rsidRPr="008D5AF6">
        <w:rPr>
          <w:rFonts w:eastAsia="Times New Roman"/>
          <w:lang w:eastAsia="de-DE"/>
        </w:rPr>
        <w:t xml:space="preserve"> übersetzt </w:t>
      </w:r>
      <w:r w:rsidRPr="008D5AF6">
        <w:rPr>
          <w:rFonts w:eastAsia="Times New Roman"/>
          <w:b/>
          <w:bCs/>
          <w:lang w:eastAsia="de-DE"/>
        </w:rPr>
        <w:t>β</w:t>
      </w:r>
      <w:proofErr w:type="spellStart"/>
      <w:r w:rsidRPr="008D5AF6">
        <w:rPr>
          <w:rFonts w:eastAsia="Times New Roman"/>
          <w:b/>
          <w:bCs/>
          <w:lang w:eastAsia="de-DE"/>
        </w:rPr>
        <w:t>δέλυγμ</w:t>
      </w:r>
      <w:proofErr w:type="spellEnd"/>
      <w:r w:rsidRPr="008D5AF6">
        <w:rPr>
          <w:rFonts w:eastAsia="Times New Roman"/>
          <w:b/>
          <w:bCs/>
          <w:lang w:eastAsia="de-DE"/>
        </w:rPr>
        <w:t>α</w:t>
      </w:r>
      <w:r w:rsidRPr="008D5AF6">
        <w:rPr>
          <w:rFonts w:eastAsia="Times New Roman"/>
          <w:lang w:eastAsia="de-DE"/>
        </w:rPr>
        <w:t xml:space="preserve"> („Gräuel") für </w:t>
      </w:r>
      <w:r w:rsidRPr="008D5AF6">
        <w:rPr>
          <w:rFonts w:eastAsia="Times New Roman"/>
          <w:b/>
          <w:bCs/>
          <w:rtl/>
          <w:lang w:eastAsia="de-DE"/>
        </w:rPr>
        <w:t>תוֹעֲבַת</w:t>
      </w:r>
      <w:r w:rsidRPr="008D5AF6">
        <w:rPr>
          <w:rFonts w:eastAsia="Times New Roman"/>
          <w:lang w:eastAsia="de-DE"/>
        </w:rPr>
        <w:t>.</w:t>
      </w:r>
    </w:p>
    <w:p w14:paraId="158C5763"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Die Satzstruktur ist ein imperativischer Satz mit vorausgestelltem direktem Objekt, Prädikat mit paragogischem Nun und instrumentaler Bestimmung, gefolgt von einer dreiteiligen Warnung (negiertes Verb mit zweigliedriger koordinierter Objektkette und Ortsangabe, koordiniertes Verb mit Dativ), einer finalen negativen Konstruktion mit Prädikat und instrumentaler Bestimmung, sowie einem kausalen nominalen Satz mit Prädikatsnomen in Construct-Verbindung und Subjekt. Die Struktur warnt vor der Versuchung durch wertvolle Metalle.</w:t>
      </w:r>
    </w:p>
    <w:p w14:paraId="44013274"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Der Vers warnt: Die Götzenbilder sollen verbrannt werden. Israel soll nicht das Silber und Gold an ihnen begehren und nehmen, um nicht dadurch verstrickt zu werden – denn es ist ein Gräuel für JHWH.</w:t>
      </w:r>
    </w:p>
    <w:p w14:paraId="7CF95C89" w14:textId="77777777" w:rsidR="008D5AF6" w:rsidRPr="008D5AF6" w:rsidRDefault="008D5AF6" w:rsidP="008D5AF6">
      <w:pPr>
        <w:spacing w:before="100" w:beforeAutospacing="1" w:after="100" w:afterAutospacing="1" w:line="240" w:lineRule="auto"/>
        <w:outlineLvl w:val="1"/>
        <w:rPr>
          <w:rFonts w:eastAsia="Times New Roman"/>
          <w:b/>
          <w:bCs/>
          <w:sz w:val="36"/>
          <w:szCs w:val="36"/>
          <w:lang w:eastAsia="de-DE"/>
        </w:rPr>
      </w:pPr>
      <w:r w:rsidRPr="008D5AF6">
        <w:rPr>
          <w:rFonts w:eastAsia="Times New Roman"/>
          <w:b/>
          <w:bCs/>
          <w:sz w:val="36"/>
          <w:szCs w:val="36"/>
          <w:lang w:eastAsia="de-DE"/>
        </w:rPr>
        <w:t>Deuteronomium 7,26</w:t>
      </w:r>
    </w:p>
    <w:p w14:paraId="055FF028"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Hebräisch:</w:t>
      </w:r>
      <w:r w:rsidRPr="008D5AF6">
        <w:rPr>
          <w:rFonts w:eastAsia="Times New Roman"/>
          <w:lang w:eastAsia="de-DE"/>
        </w:rPr>
        <w:t xml:space="preserve"> </w:t>
      </w:r>
      <w:r w:rsidRPr="008D5AF6">
        <w:rPr>
          <w:rFonts w:eastAsia="Times New Roman"/>
          <w:rtl/>
          <w:lang w:eastAsia="de-DE"/>
        </w:rPr>
        <w:t>וְלֹא־תָבִיא תוֹעֵבָה אֶל־בֵּיתֶךָ וְהָיִיתָ חֵרֶם כָּמֹהוּ שַׁקֵּץ תְּשַׁקְּצֶנּוּ וְתַעֵב תְּתַעֲבֶנּוּ כִּי־חֵרֶם הוּא׃</w:t>
      </w:r>
    </w:p>
    <w:p w14:paraId="4C8CCFB9"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Deutsch:</w:t>
      </w:r>
      <w:r w:rsidRPr="008D5AF6">
        <w:rPr>
          <w:rFonts w:eastAsia="Times New Roman"/>
          <w:lang w:eastAsia="de-DE"/>
        </w:rPr>
        <w:t xml:space="preserve"> Und du sollst keinen Gräuel in dein Haus bringen, damit du nicht gleich ihm dem Bann verfällst; du sollst es ganz und gar verabscheuen und es gänzlich für einen Gräuel halten, denn es ist dem Bann verfallen.</w:t>
      </w:r>
    </w:p>
    <w:p w14:paraId="5109D7F4" w14:textId="77777777" w:rsidR="008D5AF6" w:rsidRPr="008D5AF6" w:rsidRDefault="004F5CEB" w:rsidP="008D5AF6">
      <w:pPr>
        <w:spacing w:after="0" w:line="240" w:lineRule="auto"/>
        <w:rPr>
          <w:rFonts w:eastAsia="Times New Roman"/>
          <w:lang w:eastAsia="de-DE"/>
        </w:rPr>
      </w:pPr>
      <w:r>
        <w:rPr>
          <w:rFonts w:eastAsia="Times New Roman"/>
          <w:noProof/>
          <w:lang w:eastAsia="de-DE"/>
        </w:rPr>
        <w:pict w14:anchorId="28F30FA1">
          <v:rect id="_x0000_i1269" style="width:0;height:1.5pt" o:hralign="center" o:hrstd="t" o:hr="t" fillcolor="#a0a0a0" stroked="f"/>
        </w:pict>
      </w:r>
    </w:p>
    <w:p w14:paraId="01AE8D20"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Kommentar:</w:t>
      </w:r>
      <w:r w:rsidRPr="008D5AF6">
        <w:rPr>
          <w:rFonts w:eastAsia="Times New Roman"/>
          <w:lang w:eastAsia="de-DE"/>
        </w:rPr>
        <w:t xml:space="preserve"> </w:t>
      </w:r>
      <w:r w:rsidRPr="008D5AF6">
        <w:rPr>
          <w:rFonts w:eastAsia="Times New Roman"/>
          <w:b/>
          <w:bCs/>
          <w:rtl/>
          <w:lang w:eastAsia="de-DE"/>
        </w:rPr>
        <w:t>וְלֹא־תָבִיא תוֹעֵבָה אֶל־בֵּיתֶךָ</w:t>
      </w:r>
      <w:r w:rsidRPr="008D5AF6">
        <w:rPr>
          <w:rFonts w:eastAsia="Times New Roman"/>
          <w:rtl/>
          <w:lang w:eastAsia="de-DE"/>
        </w:rPr>
        <w:t xml:space="preserve"> </w:t>
      </w:r>
      <w:r w:rsidRPr="008D5AF6">
        <w:rPr>
          <w:rFonts w:eastAsia="Times New Roman"/>
          <w:lang w:eastAsia="de-DE"/>
        </w:rPr>
        <w:t xml:space="preserve">ist ein prohibitiver Satz: </w:t>
      </w:r>
      <w:r w:rsidRPr="008D5AF6">
        <w:rPr>
          <w:rFonts w:eastAsia="Times New Roman"/>
          <w:b/>
          <w:bCs/>
          <w:rtl/>
          <w:lang w:eastAsia="de-DE"/>
        </w:rPr>
        <w:t>וְלֹא</w:t>
      </w:r>
      <w:r w:rsidRPr="008D5AF6">
        <w:rPr>
          <w:rFonts w:eastAsia="Times New Roman"/>
          <w:rtl/>
          <w:lang w:eastAsia="de-DE"/>
        </w:rPr>
        <w:t xml:space="preserve"> </w:t>
      </w:r>
      <w:r w:rsidRPr="008D5AF6">
        <w:rPr>
          <w:rFonts w:eastAsia="Times New Roman"/>
          <w:lang w:eastAsia="de-DE"/>
        </w:rPr>
        <w:t xml:space="preserve">als Negation mit </w:t>
      </w:r>
      <w:r w:rsidRPr="008D5AF6">
        <w:rPr>
          <w:rFonts w:eastAsia="Times New Roman"/>
          <w:b/>
          <w:bCs/>
          <w:rtl/>
          <w:lang w:eastAsia="de-DE"/>
        </w:rPr>
        <w:t>וְ</w:t>
      </w:r>
      <w:r w:rsidRPr="008D5AF6">
        <w:rPr>
          <w:rFonts w:eastAsia="Times New Roman"/>
          <w:lang w:eastAsia="de-DE"/>
        </w:rPr>
        <w:t xml:space="preserve">, </w:t>
      </w:r>
      <w:r w:rsidRPr="008D5AF6">
        <w:rPr>
          <w:rFonts w:eastAsia="Times New Roman"/>
          <w:b/>
          <w:bCs/>
          <w:rtl/>
          <w:lang w:eastAsia="de-DE"/>
        </w:rPr>
        <w:t>תָבִיא</w:t>
      </w:r>
      <w:r w:rsidRPr="008D5AF6">
        <w:rPr>
          <w:rFonts w:eastAsia="Times New Roman"/>
          <w:rtl/>
          <w:lang w:eastAsia="de-DE"/>
        </w:rPr>
        <w:t xml:space="preserve"> </w:t>
      </w:r>
      <w:r w:rsidRPr="008D5AF6">
        <w:rPr>
          <w:rFonts w:eastAsia="Times New Roman"/>
          <w:lang w:eastAsia="de-DE"/>
        </w:rPr>
        <w:t xml:space="preserve">als Hifil Imperfekt, 2. Person Singular maskulin von </w:t>
      </w:r>
      <w:r w:rsidRPr="008D5AF6">
        <w:rPr>
          <w:rFonts w:eastAsia="Times New Roman"/>
          <w:b/>
          <w:bCs/>
          <w:rtl/>
          <w:lang w:eastAsia="de-DE"/>
        </w:rPr>
        <w:t>בוא</w:t>
      </w:r>
      <w:r w:rsidRPr="008D5AF6">
        <w:rPr>
          <w:rFonts w:eastAsia="Times New Roman"/>
          <w:lang w:eastAsia="de-DE"/>
        </w:rPr>
        <w:t xml:space="preserve">, „bringen", </w:t>
      </w:r>
      <w:r w:rsidRPr="008D5AF6">
        <w:rPr>
          <w:rFonts w:eastAsia="Times New Roman"/>
          <w:b/>
          <w:bCs/>
          <w:rtl/>
          <w:lang w:eastAsia="de-DE"/>
        </w:rPr>
        <w:t>תוֹעֵבָה</w:t>
      </w:r>
      <w:r w:rsidRPr="008D5AF6">
        <w:rPr>
          <w:rFonts w:eastAsia="Times New Roman"/>
          <w:rtl/>
          <w:lang w:eastAsia="de-DE"/>
        </w:rPr>
        <w:t xml:space="preserve"> </w:t>
      </w:r>
      <w:r w:rsidRPr="008D5AF6">
        <w:rPr>
          <w:rFonts w:eastAsia="Times New Roman"/>
          <w:lang w:eastAsia="de-DE"/>
        </w:rPr>
        <w:t xml:space="preserve">als direktes Objekt („Gräuel"), </w:t>
      </w:r>
      <w:r w:rsidRPr="008D5AF6">
        <w:rPr>
          <w:rFonts w:eastAsia="Times New Roman"/>
          <w:b/>
          <w:bCs/>
          <w:rtl/>
          <w:lang w:eastAsia="de-DE"/>
        </w:rPr>
        <w:t>אֶל־בֵּיתֶךָ</w:t>
      </w:r>
      <w:r w:rsidRPr="008D5AF6">
        <w:rPr>
          <w:rFonts w:eastAsia="Times New Roman"/>
          <w:rtl/>
          <w:lang w:eastAsia="de-DE"/>
        </w:rPr>
        <w:t xml:space="preserve"> </w:t>
      </w:r>
      <w:r w:rsidRPr="008D5AF6">
        <w:rPr>
          <w:rFonts w:eastAsia="Times New Roman"/>
          <w:lang w:eastAsia="de-DE"/>
        </w:rPr>
        <w:t>als Richtungsangabe (</w:t>
      </w:r>
      <w:r w:rsidRPr="008D5AF6">
        <w:rPr>
          <w:rFonts w:eastAsia="Times New Roman"/>
          <w:b/>
          <w:bCs/>
          <w:rtl/>
          <w:lang w:eastAsia="de-DE"/>
        </w:rPr>
        <w:t>אֶל</w:t>
      </w:r>
      <w:r w:rsidRPr="008D5AF6">
        <w:rPr>
          <w:rFonts w:eastAsia="Times New Roman"/>
          <w:rtl/>
          <w:lang w:eastAsia="de-DE"/>
        </w:rPr>
        <w:t xml:space="preserve"> </w:t>
      </w:r>
      <w:r w:rsidRPr="008D5AF6">
        <w:rPr>
          <w:rFonts w:eastAsia="Times New Roman"/>
          <w:lang w:eastAsia="de-DE"/>
        </w:rPr>
        <w:t xml:space="preserve">mit </w:t>
      </w:r>
      <w:r w:rsidRPr="008D5AF6">
        <w:rPr>
          <w:rFonts w:eastAsia="Times New Roman"/>
          <w:b/>
          <w:bCs/>
          <w:rtl/>
          <w:lang w:eastAsia="de-DE"/>
        </w:rPr>
        <w:t>בַּיִת</w:t>
      </w:r>
      <w:r w:rsidRPr="008D5AF6">
        <w:rPr>
          <w:rFonts w:eastAsia="Times New Roman"/>
          <w:rtl/>
          <w:lang w:eastAsia="de-DE"/>
        </w:rPr>
        <w:t xml:space="preserve"> </w:t>
      </w:r>
      <w:r w:rsidRPr="008D5AF6">
        <w:rPr>
          <w:rFonts w:eastAsia="Times New Roman"/>
          <w:lang w:eastAsia="de-DE"/>
        </w:rPr>
        <w:t>und Suffix 2. Person Singular maskulin – „in dein Haus").</w:t>
      </w:r>
    </w:p>
    <w:p w14:paraId="2068C42B"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rtl/>
          <w:lang w:eastAsia="de-DE"/>
        </w:rPr>
        <w:t>וְהָיִיתָ חֵרֶם כָּמֹהוּ</w:t>
      </w:r>
      <w:r w:rsidRPr="008D5AF6">
        <w:rPr>
          <w:rFonts w:eastAsia="Times New Roman"/>
          <w:rtl/>
          <w:lang w:eastAsia="de-DE"/>
        </w:rPr>
        <w:t xml:space="preserve"> </w:t>
      </w:r>
      <w:r w:rsidRPr="008D5AF6">
        <w:rPr>
          <w:rFonts w:eastAsia="Times New Roman"/>
          <w:lang w:eastAsia="de-DE"/>
        </w:rPr>
        <w:t xml:space="preserve">ist eine Konsequenzaussage: </w:t>
      </w:r>
      <w:r w:rsidRPr="008D5AF6">
        <w:rPr>
          <w:rFonts w:eastAsia="Times New Roman"/>
          <w:b/>
          <w:bCs/>
          <w:rtl/>
          <w:lang w:eastAsia="de-DE"/>
        </w:rPr>
        <w:t>וְהָיִיתָ</w:t>
      </w:r>
      <w:r w:rsidRPr="008D5AF6">
        <w:rPr>
          <w:rFonts w:eastAsia="Times New Roman"/>
          <w:rtl/>
          <w:lang w:eastAsia="de-DE"/>
        </w:rPr>
        <w:t xml:space="preserve"> </w:t>
      </w:r>
      <w:r w:rsidRPr="008D5AF6">
        <w:rPr>
          <w:rFonts w:eastAsia="Times New Roman"/>
          <w:lang w:eastAsia="de-DE"/>
        </w:rPr>
        <w:t xml:space="preserve">(Qal Perfekt consecutivum, 2. Person Singular maskulin von </w:t>
      </w:r>
      <w:r w:rsidRPr="008D5AF6">
        <w:rPr>
          <w:rFonts w:eastAsia="Times New Roman"/>
          <w:b/>
          <w:bCs/>
          <w:rtl/>
          <w:lang w:eastAsia="de-DE"/>
        </w:rPr>
        <w:t>היה</w:t>
      </w:r>
      <w:r w:rsidRPr="008D5AF6">
        <w:rPr>
          <w:rFonts w:eastAsia="Times New Roman"/>
          <w:lang w:eastAsia="de-DE"/>
        </w:rPr>
        <w:t xml:space="preserve">, „sein, werden", mit </w:t>
      </w:r>
      <w:r w:rsidRPr="008D5AF6">
        <w:rPr>
          <w:rFonts w:eastAsia="Times New Roman"/>
          <w:b/>
          <w:bCs/>
          <w:rtl/>
          <w:lang w:eastAsia="de-DE"/>
        </w:rPr>
        <w:t>וְ</w:t>
      </w:r>
      <w:r w:rsidRPr="008D5AF6">
        <w:rPr>
          <w:rFonts w:eastAsia="Times New Roman"/>
          <w:lang w:eastAsia="de-DE"/>
        </w:rPr>
        <w:t xml:space="preserve">), </w:t>
      </w:r>
      <w:r w:rsidRPr="008D5AF6">
        <w:rPr>
          <w:rFonts w:eastAsia="Times New Roman"/>
          <w:b/>
          <w:bCs/>
          <w:rtl/>
          <w:lang w:eastAsia="de-DE"/>
        </w:rPr>
        <w:t>חֵרֶם</w:t>
      </w:r>
      <w:r w:rsidRPr="008D5AF6">
        <w:rPr>
          <w:rFonts w:eastAsia="Times New Roman"/>
          <w:rtl/>
          <w:lang w:eastAsia="de-DE"/>
        </w:rPr>
        <w:t xml:space="preserve"> </w:t>
      </w:r>
      <w:r w:rsidRPr="008D5AF6">
        <w:rPr>
          <w:rFonts w:eastAsia="Times New Roman"/>
          <w:lang w:eastAsia="de-DE"/>
        </w:rPr>
        <w:t xml:space="preserve">als Prädikatsnomen („Bann, dem Bann Verfallenes"), </w:t>
      </w:r>
      <w:r w:rsidRPr="008D5AF6">
        <w:rPr>
          <w:rFonts w:eastAsia="Times New Roman"/>
          <w:b/>
          <w:bCs/>
          <w:rtl/>
          <w:lang w:eastAsia="de-DE"/>
        </w:rPr>
        <w:t>כָּמֹהוּ</w:t>
      </w:r>
      <w:r w:rsidRPr="008D5AF6">
        <w:rPr>
          <w:rFonts w:eastAsia="Times New Roman"/>
          <w:rtl/>
          <w:lang w:eastAsia="de-DE"/>
        </w:rPr>
        <w:t xml:space="preserve"> </w:t>
      </w:r>
      <w:r w:rsidRPr="008D5AF6">
        <w:rPr>
          <w:rFonts w:eastAsia="Times New Roman"/>
          <w:lang w:eastAsia="de-DE"/>
        </w:rPr>
        <w:t>als Vergleichskonstruktion (</w:t>
      </w:r>
      <w:r w:rsidRPr="008D5AF6">
        <w:rPr>
          <w:rFonts w:eastAsia="Times New Roman"/>
          <w:b/>
          <w:bCs/>
          <w:rtl/>
          <w:lang w:eastAsia="de-DE"/>
        </w:rPr>
        <w:t>כְּ</w:t>
      </w:r>
      <w:r w:rsidRPr="008D5AF6">
        <w:rPr>
          <w:rFonts w:eastAsia="Times New Roman"/>
          <w:rtl/>
          <w:lang w:eastAsia="de-DE"/>
        </w:rPr>
        <w:t xml:space="preserve"> </w:t>
      </w:r>
      <w:r w:rsidRPr="008D5AF6">
        <w:rPr>
          <w:rFonts w:eastAsia="Times New Roman"/>
          <w:lang w:eastAsia="de-DE"/>
        </w:rPr>
        <w:t xml:space="preserve">mit </w:t>
      </w:r>
      <w:r w:rsidRPr="008D5AF6">
        <w:rPr>
          <w:rFonts w:eastAsia="Times New Roman"/>
          <w:b/>
          <w:bCs/>
          <w:rtl/>
          <w:lang w:eastAsia="de-DE"/>
        </w:rPr>
        <w:t>מוֹ</w:t>
      </w:r>
      <w:r w:rsidRPr="008D5AF6">
        <w:rPr>
          <w:rFonts w:eastAsia="Times New Roman"/>
          <w:lang w:eastAsia="de-DE"/>
        </w:rPr>
        <w:t>, „wie", und Suffix 3. Person Singular maskulin – „wie es, gleich ihm").</w:t>
      </w:r>
    </w:p>
    <w:p w14:paraId="6E3A5A4C"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rtl/>
          <w:lang w:eastAsia="de-DE"/>
        </w:rPr>
        <w:t>שַׁקֵּץ תְּשַׁקְּצֶנּוּ וְתַעֵב תְּתַעֲבֶנּוּ</w:t>
      </w:r>
      <w:r w:rsidRPr="008D5AF6">
        <w:rPr>
          <w:rFonts w:eastAsia="Times New Roman"/>
          <w:rtl/>
          <w:lang w:eastAsia="de-DE"/>
        </w:rPr>
        <w:t xml:space="preserve"> </w:t>
      </w:r>
      <w:r w:rsidRPr="008D5AF6">
        <w:rPr>
          <w:rFonts w:eastAsia="Times New Roman"/>
          <w:lang w:eastAsia="de-DE"/>
        </w:rPr>
        <w:t xml:space="preserve">ist eine zweigliedrige emphatische Konstruktion mit Infinitivi absoluti: </w:t>
      </w:r>
      <w:r w:rsidRPr="008D5AF6">
        <w:rPr>
          <w:rFonts w:eastAsia="Times New Roman"/>
          <w:b/>
          <w:bCs/>
          <w:rtl/>
          <w:lang w:eastAsia="de-DE"/>
        </w:rPr>
        <w:t>שַׁקֵּץ</w:t>
      </w:r>
      <w:r w:rsidRPr="008D5AF6">
        <w:rPr>
          <w:rFonts w:eastAsia="Times New Roman"/>
          <w:rtl/>
          <w:lang w:eastAsia="de-DE"/>
        </w:rPr>
        <w:t xml:space="preserve"> </w:t>
      </w:r>
      <w:r w:rsidRPr="008D5AF6">
        <w:rPr>
          <w:rFonts w:eastAsia="Times New Roman"/>
          <w:lang w:eastAsia="de-DE"/>
        </w:rPr>
        <w:t xml:space="preserve">(Piel Infinitiv Absolut von </w:t>
      </w:r>
      <w:r w:rsidRPr="008D5AF6">
        <w:rPr>
          <w:rFonts w:eastAsia="Times New Roman"/>
          <w:b/>
          <w:bCs/>
          <w:rtl/>
          <w:lang w:eastAsia="de-DE"/>
        </w:rPr>
        <w:t>שׁקץ</w:t>
      </w:r>
      <w:r w:rsidRPr="008D5AF6">
        <w:rPr>
          <w:rFonts w:eastAsia="Times New Roman"/>
          <w:lang w:eastAsia="de-DE"/>
        </w:rPr>
        <w:t xml:space="preserve">, „verabscheuen, für einen Gräuel halten"), </w:t>
      </w:r>
      <w:r w:rsidRPr="008D5AF6">
        <w:rPr>
          <w:rFonts w:eastAsia="Times New Roman"/>
          <w:b/>
          <w:bCs/>
          <w:rtl/>
          <w:lang w:eastAsia="de-DE"/>
        </w:rPr>
        <w:t>תְּשַׁקְּצֶנּוּ</w:t>
      </w:r>
      <w:r w:rsidRPr="008D5AF6">
        <w:rPr>
          <w:rFonts w:eastAsia="Times New Roman"/>
          <w:rtl/>
          <w:lang w:eastAsia="de-DE"/>
        </w:rPr>
        <w:t xml:space="preserve"> </w:t>
      </w:r>
      <w:r w:rsidRPr="008D5AF6">
        <w:rPr>
          <w:rFonts w:eastAsia="Times New Roman"/>
          <w:lang w:eastAsia="de-DE"/>
        </w:rPr>
        <w:t xml:space="preserve">als Piel Imperfekt, 2. Person Singular maskulin von </w:t>
      </w:r>
      <w:r w:rsidRPr="008D5AF6">
        <w:rPr>
          <w:rFonts w:eastAsia="Times New Roman"/>
          <w:b/>
          <w:bCs/>
          <w:rtl/>
          <w:lang w:eastAsia="de-DE"/>
        </w:rPr>
        <w:t>שׁקץ</w:t>
      </w:r>
      <w:r w:rsidRPr="008D5AF6">
        <w:rPr>
          <w:rFonts w:eastAsia="Times New Roman"/>
          <w:rtl/>
          <w:lang w:eastAsia="de-DE"/>
        </w:rPr>
        <w:t xml:space="preserve"> </w:t>
      </w:r>
      <w:r w:rsidRPr="008D5AF6">
        <w:rPr>
          <w:rFonts w:eastAsia="Times New Roman"/>
          <w:lang w:eastAsia="de-DE"/>
        </w:rPr>
        <w:t xml:space="preserve">mit Suffix 3. Person Singular maskulin als direktes Objekt – in imperativischer Funktion („du sollst es ganz und gar verabscheuen"), </w:t>
      </w:r>
      <w:r w:rsidRPr="008D5AF6">
        <w:rPr>
          <w:rFonts w:eastAsia="Times New Roman"/>
          <w:b/>
          <w:bCs/>
          <w:rtl/>
          <w:lang w:eastAsia="de-DE"/>
        </w:rPr>
        <w:t>וְתַעֵב</w:t>
      </w:r>
      <w:r w:rsidRPr="008D5AF6">
        <w:rPr>
          <w:rFonts w:eastAsia="Times New Roman"/>
          <w:rtl/>
          <w:lang w:eastAsia="de-DE"/>
        </w:rPr>
        <w:t xml:space="preserve"> </w:t>
      </w:r>
      <w:r w:rsidRPr="008D5AF6">
        <w:rPr>
          <w:rFonts w:eastAsia="Times New Roman"/>
          <w:lang w:eastAsia="de-DE"/>
        </w:rPr>
        <w:t xml:space="preserve">koordiniert (Piel Infinitiv Absolut von </w:t>
      </w:r>
      <w:r w:rsidRPr="008D5AF6">
        <w:rPr>
          <w:rFonts w:eastAsia="Times New Roman"/>
          <w:b/>
          <w:bCs/>
          <w:rtl/>
          <w:lang w:eastAsia="de-DE"/>
        </w:rPr>
        <w:t>תעב</w:t>
      </w:r>
      <w:r w:rsidRPr="008D5AF6">
        <w:rPr>
          <w:rFonts w:eastAsia="Times New Roman"/>
          <w:lang w:eastAsia="de-DE"/>
        </w:rPr>
        <w:t xml:space="preserve">, „verabscheuen, für einen Gräuel halten"), </w:t>
      </w:r>
      <w:r w:rsidRPr="008D5AF6">
        <w:rPr>
          <w:rFonts w:eastAsia="Times New Roman"/>
          <w:b/>
          <w:bCs/>
          <w:rtl/>
          <w:lang w:eastAsia="de-DE"/>
        </w:rPr>
        <w:t>תְּתַעֲבֶנּוּ</w:t>
      </w:r>
      <w:r w:rsidRPr="008D5AF6">
        <w:rPr>
          <w:rFonts w:eastAsia="Times New Roman"/>
          <w:rtl/>
          <w:lang w:eastAsia="de-DE"/>
        </w:rPr>
        <w:t xml:space="preserve"> </w:t>
      </w:r>
      <w:r w:rsidRPr="008D5AF6">
        <w:rPr>
          <w:rFonts w:eastAsia="Times New Roman"/>
          <w:lang w:eastAsia="de-DE"/>
        </w:rPr>
        <w:t xml:space="preserve">koordiniert (Piel Imperfekt, 2. Person Singular maskulin von </w:t>
      </w:r>
      <w:r w:rsidRPr="008D5AF6">
        <w:rPr>
          <w:rFonts w:eastAsia="Times New Roman"/>
          <w:b/>
          <w:bCs/>
          <w:rtl/>
          <w:lang w:eastAsia="de-DE"/>
        </w:rPr>
        <w:t>תעב</w:t>
      </w:r>
      <w:r w:rsidRPr="008D5AF6">
        <w:rPr>
          <w:rFonts w:eastAsia="Times New Roman"/>
          <w:rtl/>
          <w:lang w:eastAsia="de-DE"/>
        </w:rPr>
        <w:t xml:space="preserve"> </w:t>
      </w:r>
      <w:r w:rsidRPr="008D5AF6">
        <w:rPr>
          <w:rFonts w:eastAsia="Times New Roman"/>
          <w:lang w:eastAsia="de-DE"/>
        </w:rPr>
        <w:t>mit Suffix).</w:t>
      </w:r>
    </w:p>
    <w:p w14:paraId="4FA6FAB0"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rtl/>
          <w:lang w:eastAsia="de-DE"/>
        </w:rPr>
        <w:lastRenderedPageBreak/>
        <w:t>כִּי־חֵרֶם הוּא</w:t>
      </w:r>
      <w:r w:rsidRPr="008D5AF6">
        <w:rPr>
          <w:rFonts w:eastAsia="Times New Roman"/>
          <w:rtl/>
          <w:lang w:eastAsia="de-DE"/>
        </w:rPr>
        <w:t xml:space="preserve"> </w:t>
      </w:r>
      <w:r w:rsidRPr="008D5AF6">
        <w:rPr>
          <w:rFonts w:eastAsia="Times New Roman"/>
          <w:lang w:eastAsia="de-DE"/>
        </w:rPr>
        <w:t xml:space="preserve">ist ein kausaler nominaler Satz: </w:t>
      </w:r>
      <w:r w:rsidRPr="008D5AF6">
        <w:rPr>
          <w:rFonts w:eastAsia="Times New Roman"/>
          <w:b/>
          <w:bCs/>
          <w:rtl/>
          <w:lang w:eastAsia="de-DE"/>
        </w:rPr>
        <w:t>כִּי</w:t>
      </w:r>
      <w:r w:rsidRPr="008D5AF6">
        <w:rPr>
          <w:rFonts w:eastAsia="Times New Roman"/>
          <w:rtl/>
          <w:lang w:eastAsia="de-DE"/>
        </w:rPr>
        <w:t xml:space="preserve"> </w:t>
      </w:r>
      <w:r w:rsidRPr="008D5AF6">
        <w:rPr>
          <w:rFonts w:eastAsia="Times New Roman"/>
          <w:lang w:eastAsia="de-DE"/>
        </w:rPr>
        <w:t xml:space="preserve">als Konjunktion („denn"), </w:t>
      </w:r>
      <w:r w:rsidRPr="008D5AF6">
        <w:rPr>
          <w:rFonts w:eastAsia="Times New Roman"/>
          <w:b/>
          <w:bCs/>
          <w:rtl/>
          <w:lang w:eastAsia="de-DE"/>
        </w:rPr>
        <w:t>חֵרֶם</w:t>
      </w:r>
      <w:r w:rsidRPr="008D5AF6">
        <w:rPr>
          <w:rFonts w:eastAsia="Times New Roman"/>
          <w:rtl/>
          <w:lang w:eastAsia="de-DE"/>
        </w:rPr>
        <w:t xml:space="preserve"> </w:t>
      </w:r>
      <w:r w:rsidRPr="008D5AF6">
        <w:rPr>
          <w:rFonts w:eastAsia="Times New Roman"/>
          <w:lang w:eastAsia="de-DE"/>
        </w:rPr>
        <w:t xml:space="preserve">als Prädikatsnomen („Bann"), </w:t>
      </w:r>
      <w:r w:rsidRPr="008D5AF6">
        <w:rPr>
          <w:rFonts w:eastAsia="Times New Roman"/>
          <w:b/>
          <w:bCs/>
          <w:rtl/>
          <w:lang w:eastAsia="de-DE"/>
        </w:rPr>
        <w:t>הוּא</w:t>
      </w:r>
      <w:r w:rsidRPr="008D5AF6">
        <w:rPr>
          <w:rFonts w:eastAsia="Times New Roman"/>
          <w:rtl/>
          <w:lang w:eastAsia="de-DE"/>
        </w:rPr>
        <w:t xml:space="preserve"> </w:t>
      </w:r>
      <w:r w:rsidRPr="008D5AF6">
        <w:rPr>
          <w:rFonts w:eastAsia="Times New Roman"/>
          <w:lang w:eastAsia="de-DE"/>
        </w:rPr>
        <w:t>als Subjekt.</w:t>
      </w:r>
    </w:p>
    <w:p w14:paraId="53EC0D20"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 xml:space="preserve">Die Warnung ist drastisch: Wer einen </w:t>
      </w:r>
      <w:r w:rsidRPr="008D5AF6">
        <w:rPr>
          <w:rFonts w:eastAsia="Times New Roman"/>
          <w:b/>
          <w:bCs/>
          <w:rtl/>
          <w:lang w:eastAsia="de-DE"/>
        </w:rPr>
        <w:t>תּוֹעֵבָה</w:t>
      </w:r>
      <w:r w:rsidRPr="008D5AF6">
        <w:rPr>
          <w:rFonts w:eastAsia="Times New Roman"/>
          <w:rtl/>
          <w:lang w:eastAsia="de-DE"/>
        </w:rPr>
        <w:t xml:space="preserve"> </w:t>
      </w:r>
      <w:r w:rsidRPr="008D5AF6">
        <w:rPr>
          <w:rFonts w:eastAsia="Times New Roman"/>
          <w:lang w:eastAsia="de-DE"/>
        </w:rPr>
        <w:t xml:space="preserve">(„Gräuel" = Götzenbild) ins Haus bringt, wird selbst zum </w:t>
      </w:r>
      <w:r w:rsidRPr="008D5AF6">
        <w:rPr>
          <w:rFonts w:eastAsia="Times New Roman"/>
          <w:b/>
          <w:bCs/>
          <w:rtl/>
          <w:lang w:eastAsia="de-DE"/>
        </w:rPr>
        <w:t>חֵרֶם</w:t>
      </w:r>
      <w:r w:rsidRPr="008D5AF6">
        <w:rPr>
          <w:rFonts w:eastAsia="Times New Roman"/>
          <w:rtl/>
          <w:lang w:eastAsia="de-DE"/>
        </w:rPr>
        <w:t xml:space="preserve"> </w:t>
      </w:r>
      <w:r w:rsidRPr="008D5AF6">
        <w:rPr>
          <w:rFonts w:eastAsia="Times New Roman"/>
          <w:lang w:eastAsia="de-DE"/>
        </w:rPr>
        <w:t xml:space="preserve">(„Bann" = dem Untergang Geweihtes). Die doppelte emphatische Konstruktion </w:t>
      </w:r>
      <w:r w:rsidRPr="008D5AF6">
        <w:rPr>
          <w:rFonts w:eastAsia="Times New Roman"/>
          <w:b/>
          <w:bCs/>
          <w:rtl/>
          <w:lang w:eastAsia="de-DE"/>
        </w:rPr>
        <w:t>שַׁקֵּץ תְּשַׁקְּצֶנּוּ וְתַעֵב תְּתַעֲבֶנּוּ</w:t>
      </w:r>
      <w:r w:rsidRPr="008D5AF6">
        <w:rPr>
          <w:rFonts w:eastAsia="Times New Roman"/>
          <w:rtl/>
          <w:lang w:eastAsia="de-DE"/>
        </w:rPr>
        <w:t xml:space="preserve"> </w:t>
      </w:r>
      <w:r w:rsidRPr="008D5AF6">
        <w:rPr>
          <w:rFonts w:eastAsia="Times New Roman"/>
          <w:lang w:eastAsia="de-DE"/>
        </w:rPr>
        <w:t xml:space="preserve">verleiht höchsten Nachdruck: totale Abscheu und Verachtung gegenüber Götzenbildern. Die beiden Verben </w:t>
      </w:r>
      <w:r w:rsidRPr="008D5AF6">
        <w:rPr>
          <w:rFonts w:eastAsia="Times New Roman"/>
          <w:b/>
          <w:bCs/>
          <w:rtl/>
          <w:lang w:eastAsia="de-DE"/>
        </w:rPr>
        <w:t>שׁקץ</w:t>
      </w:r>
      <w:r w:rsidRPr="008D5AF6">
        <w:rPr>
          <w:rFonts w:eastAsia="Times New Roman"/>
          <w:rtl/>
          <w:lang w:eastAsia="de-DE"/>
        </w:rPr>
        <w:t xml:space="preserve"> </w:t>
      </w:r>
      <w:r w:rsidRPr="008D5AF6">
        <w:rPr>
          <w:rFonts w:eastAsia="Times New Roman"/>
          <w:lang w:eastAsia="de-DE"/>
        </w:rPr>
        <w:t xml:space="preserve">und </w:t>
      </w:r>
      <w:r w:rsidRPr="008D5AF6">
        <w:rPr>
          <w:rFonts w:eastAsia="Times New Roman"/>
          <w:b/>
          <w:bCs/>
          <w:rtl/>
          <w:lang w:eastAsia="de-DE"/>
        </w:rPr>
        <w:t>תעב</w:t>
      </w:r>
      <w:r w:rsidRPr="008D5AF6">
        <w:rPr>
          <w:rFonts w:eastAsia="Times New Roman"/>
          <w:rtl/>
          <w:lang w:eastAsia="de-DE"/>
        </w:rPr>
        <w:t xml:space="preserve"> </w:t>
      </w:r>
      <w:r w:rsidRPr="008D5AF6">
        <w:rPr>
          <w:rFonts w:eastAsia="Times New Roman"/>
          <w:lang w:eastAsia="de-DE"/>
        </w:rPr>
        <w:t xml:space="preserve">sind nahezu synonym und verstärken einander. Der Begriff </w:t>
      </w:r>
      <w:r w:rsidRPr="008D5AF6">
        <w:rPr>
          <w:rFonts w:eastAsia="Times New Roman"/>
          <w:b/>
          <w:bCs/>
          <w:rtl/>
          <w:lang w:eastAsia="de-DE"/>
        </w:rPr>
        <w:t>חֵרֶם</w:t>
      </w:r>
      <w:r w:rsidRPr="008D5AF6">
        <w:rPr>
          <w:rFonts w:eastAsia="Times New Roman"/>
          <w:rtl/>
          <w:lang w:eastAsia="de-DE"/>
        </w:rPr>
        <w:t xml:space="preserve"> </w:t>
      </w:r>
      <w:r w:rsidRPr="008D5AF6">
        <w:rPr>
          <w:rFonts w:eastAsia="Times New Roman"/>
          <w:lang w:eastAsia="de-DE"/>
        </w:rPr>
        <w:t>(„Bann") bezeichnet das JHWH Geweihte, das vernichtet werden muss (vgl. V. 2; Jos 6,17-18; 7,1.11-13).</w:t>
      </w:r>
    </w:p>
    <w:p w14:paraId="21C060A4"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Die LXX</w:t>
      </w:r>
      <w:r w:rsidRPr="008D5AF6">
        <w:rPr>
          <w:rFonts w:eastAsia="Times New Roman"/>
          <w:lang w:eastAsia="de-DE"/>
        </w:rPr>
        <w:t xml:space="preserve"> übersetzt </w:t>
      </w:r>
      <w:r w:rsidRPr="008D5AF6">
        <w:rPr>
          <w:rFonts w:eastAsia="Times New Roman"/>
          <w:b/>
          <w:bCs/>
          <w:lang w:eastAsia="de-DE"/>
        </w:rPr>
        <w:t>π</w:t>
      </w:r>
      <w:proofErr w:type="spellStart"/>
      <w:r w:rsidRPr="008D5AF6">
        <w:rPr>
          <w:rFonts w:eastAsia="Times New Roman"/>
          <w:b/>
          <w:bCs/>
          <w:lang w:eastAsia="de-DE"/>
        </w:rPr>
        <w:t>ροσοχθίσμ</w:t>
      </w:r>
      <w:proofErr w:type="spellEnd"/>
      <w:r w:rsidRPr="008D5AF6">
        <w:rPr>
          <w:rFonts w:eastAsia="Times New Roman"/>
          <w:b/>
          <w:bCs/>
          <w:lang w:eastAsia="de-DE"/>
        </w:rPr>
        <w:t>ατι π</w:t>
      </w:r>
      <w:proofErr w:type="spellStart"/>
      <w:r w:rsidRPr="008D5AF6">
        <w:rPr>
          <w:rFonts w:eastAsia="Times New Roman"/>
          <w:b/>
          <w:bCs/>
          <w:lang w:eastAsia="de-DE"/>
        </w:rPr>
        <w:t>ροσοχθιεῖς</w:t>
      </w:r>
      <w:proofErr w:type="spellEnd"/>
      <w:r w:rsidRPr="008D5AF6">
        <w:rPr>
          <w:rFonts w:eastAsia="Times New Roman"/>
          <w:lang w:eastAsia="de-DE"/>
        </w:rPr>
        <w:t xml:space="preserve"> („mit Abscheu sollst du es verabscheuen") für </w:t>
      </w:r>
      <w:r w:rsidRPr="008D5AF6">
        <w:rPr>
          <w:rFonts w:eastAsia="Times New Roman"/>
          <w:b/>
          <w:bCs/>
          <w:rtl/>
          <w:lang w:eastAsia="de-DE"/>
        </w:rPr>
        <w:t>שַׁקֵּץ תְּשַׁקְּצֶנּוּ</w:t>
      </w:r>
      <w:r w:rsidRPr="008D5AF6">
        <w:rPr>
          <w:rFonts w:eastAsia="Times New Roman"/>
          <w:rtl/>
          <w:lang w:eastAsia="de-DE"/>
        </w:rPr>
        <w:t xml:space="preserve"> </w:t>
      </w:r>
      <w:r w:rsidRPr="008D5AF6">
        <w:rPr>
          <w:rFonts w:eastAsia="Times New Roman"/>
          <w:lang w:eastAsia="de-DE"/>
        </w:rPr>
        <w:t xml:space="preserve">und </w:t>
      </w:r>
      <w:r w:rsidRPr="008D5AF6">
        <w:rPr>
          <w:rFonts w:eastAsia="Times New Roman"/>
          <w:b/>
          <w:bCs/>
          <w:lang w:eastAsia="de-DE"/>
        </w:rPr>
        <w:t>β</w:t>
      </w:r>
      <w:proofErr w:type="spellStart"/>
      <w:r w:rsidRPr="008D5AF6">
        <w:rPr>
          <w:rFonts w:eastAsia="Times New Roman"/>
          <w:b/>
          <w:bCs/>
          <w:lang w:eastAsia="de-DE"/>
        </w:rPr>
        <w:t>δελύγμ</w:t>
      </w:r>
      <w:proofErr w:type="spellEnd"/>
      <w:r w:rsidRPr="008D5AF6">
        <w:rPr>
          <w:rFonts w:eastAsia="Times New Roman"/>
          <w:b/>
          <w:bCs/>
          <w:lang w:eastAsia="de-DE"/>
        </w:rPr>
        <w:t>ατι β</w:t>
      </w:r>
      <w:proofErr w:type="spellStart"/>
      <w:r w:rsidRPr="008D5AF6">
        <w:rPr>
          <w:rFonts w:eastAsia="Times New Roman"/>
          <w:b/>
          <w:bCs/>
          <w:lang w:eastAsia="de-DE"/>
        </w:rPr>
        <w:t>δελύξῃ</w:t>
      </w:r>
      <w:proofErr w:type="spellEnd"/>
      <w:r w:rsidRPr="008D5AF6">
        <w:rPr>
          <w:rFonts w:eastAsia="Times New Roman"/>
          <w:lang w:eastAsia="de-DE"/>
        </w:rPr>
        <w:t xml:space="preserve"> („mit Gräuel sollst du es für einen Gräuel halten") für </w:t>
      </w:r>
      <w:r w:rsidRPr="008D5AF6">
        <w:rPr>
          <w:rFonts w:eastAsia="Times New Roman"/>
          <w:b/>
          <w:bCs/>
          <w:rtl/>
          <w:lang w:eastAsia="de-DE"/>
        </w:rPr>
        <w:t>תַעֵב תְּתַעֲבֶנּוּ</w:t>
      </w:r>
      <w:r w:rsidRPr="008D5AF6">
        <w:rPr>
          <w:rFonts w:eastAsia="Times New Roman"/>
          <w:lang w:eastAsia="de-DE"/>
        </w:rPr>
        <w:t>.</w:t>
      </w:r>
    </w:p>
    <w:p w14:paraId="6C482926"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Die Satzstruktur ist ein prohibitiver Satz mit Negation, Prädikat, direktem Objekt und Richtungsangabe, gefolgt von einer Konsequenzaussage (Perfekt consecutivum mit Prädikatsnomen und Vergleichskonstruktion), einer zweigliedrigen emphatischen Doppelkonstruktion (beide mit Infinitivus absolutus, finitem Verb und Suffix-Objekt), sowie einem kausalen nominalen Satz mit Prädikatsnomen und Subjekt. Die Struktur warnt eindringlich vor der Kontamination durch Götzenbilder.</w:t>
      </w:r>
    </w:p>
    <w:p w14:paraId="275F9223"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Der Vers schließt das Kapitel mit einer scharfen Warnung ab: Bringe keinen Gräuel (Götzenbild) ins Haus, sonst wirst du selbst dem Bann verfallen! Verabscheue es total und halte es für einen Gräuel – denn es ist dem Bann verfallen.</w:t>
      </w:r>
    </w:p>
    <w:p w14:paraId="181729D5" w14:textId="77777777" w:rsidR="008D5AF6" w:rsidRPr="008D5AF6" w:rsidRDefault="008D5AF6" w:rsidP="008D5AF6">
      <w:pPr>
        <w:spacing w:before="100" w:beforeAutospacing="1" w:after="100" w:afterAutospacing="1" w:line="240" w:lineRule="auto"/>
        <w:outlineLvl w:val="1"/>
        <w:rPr>
          <w:rFonts w:eastAsia="Times New Roman"/>
          <w:b/>
          <w:bCs/>
          <w:sz w:val="36"/>
          <w:szCs w:val="36"/>
          <w:lang w:eastAsia="de-DE"/>
        </w:rPr>
      </w:pPr>
      <w:r w:rsidRPr="008D5AF6">
        <w:rPr>
          <w:rFonts w:eastAsia="Times New Roman"/>
          <w:b/>
          <w:bCs/>
          <w:sz w:val="36"/>
          <w:szCs w:val="36"/>
          <w:lang w:eastAsia="de-DE"/>
        </w:rPr>
        <w:t>Deuteronomium 8,1</w:t>
      </w:r>
    </w:p>
    <w:p w14:paraId="4BAC862D"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Hebräisch:</w:t>
      </w:r>
      <w:r w:rsidRPr="008D5AF6">
        <w:rPr>
          <w:rFonts w:eastAsia="Times New Roman"/>
          <w:lang w:eastAsia="de-DE"/>
        </w:rPr>
        <w:t xml:space="preserve"> </w:t>
      </w:r>
      <w:r w:rsidRPr="008D5AF6">
        <w:rPr>
          <w:rFonts w:eastAsia="Times New Roman"/>
          <w:rtl/>
          <w:lang w:eastAsia="de-DE"/>
        </w:rPr>
        <w:t>כָּל־הַמִּצְוָה אֲשֶׁר אָנֹכִי מְצַוְּךָ הַיּוֹם תִּשְׁמְרוּן לַעֲשׂוֹת לְמַעַן תִּחְיוּן וּרְבִיתֶם וּבָאתֶם וִירִשְׁתֶּם אֶת־הָאָרֶץ אֲשֶׁר־נִשְׁבַּע יְהוָה לַאֲבֹתֵיכֶם׃</w:t>
      </w:r>
    </w:p>
    <w:p w14:paraId="34A45639"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Deutsch:</w:t>
      </w:r>
      <w:r w:rsidRPr="008D5AF6">
        <w:rPr>
          <w:rFonts w:eastAsia="Times New Roman"/>
          <w:lang w:eastAsia="de-DE"/>
        </w:rPr>
        <w:t xml:space="preserve"> Das ganze Gebot, das ich dir heute gebiete, sollt ihr gewiss halten, es zu tun; damit ihr lebt und euch mehrt und hineinkommt und das Land in Besitz nehmt, das der Ewige euren Vätern zugeschworen hat.</w:t>
      </w:r>
    </w:p>
    <w:p w14:paraId="1F8C9570" w14:textId="77777777" w:rsidR="008D5AF6" w:rsidRPr="008D5AF6" w:rsidRDefault="004F5CEB" w:rsidP="008D5AF6">
      <w:pPr>
        <w:spacing w:after="0" w:line="240" w:lineRule="auto"/>
        <w:rPr>
          <w:rFonts w:eastAsia="Times New Roman"/>
          <w:lang w:eastAsia="de-DE"/>
        </w:rPr>
      </w:pPr>
      <w:r>
        <w:rPr>
          <w:rFonts w:eastAsia="Times New Roman"/>
          <w:noProof/>
          <w:lang w:eastAsia="de-DE"/>
        </w:rPr>
        <w:pict w14:anchorId="0F71BA49">
          <v:rect id="_x0000_i1270" style="width:0;height:1.5pt" o:hralign="center" o:hrstd="t" o:hr="t" fillcolor="#a0a0a0" stroked="f"/>
        </w:pict>
      </w:r>
    </w:p>
    <w:p w14:paraId="6F4D9D29" w14:textId="58BC7AB0"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Kommentar:</w:t>
      </w:r>
      <w:r w:rsidRPr="008D5AF6">
        <w:rPr>
          <w:rFonts w:eastAsia="Times New Roman"/>
          <w:lang w:eastAsia="de-DE"/>
        </w:rPr>
        <w:t xml:space="preserve"> </w:t>
      </w:r>
      <w:r w:rsidRPr="008D5AF6">
        <w:rPr>
          <w:rFonts w:eastAsia="Times New Roman"/>
          <w:b/>
          <w:bCs/>
          <w:rtl/>
          <w:lang w:eastAsia="de-DE"/>
        </w:rPr>
        <w:t>כָּל־הַמִּצְוָה אֲשֶׁר אָנֹכִי מְצַוְּךָ הַיּוֹם תִּשְׁמְרוּן לַעֲשׂוֹת</w:t>
      </w:r>
      <w:r w:rsidRPr="008D5AF6">
        <w:rPr>
          <w:rFonts w:eastAsia="Times New Roman"/>
          <w:rtl/>
          <w:lang w:eastAsia="de-DE"/>
        </w:rPr>
        <w:t xml:space="preserve"> </w:t>
      </w:r>
      <w:r w:rsidRPr="008D5AF6">
        <w:rPr>
          <w:rFonts w:eastAsia="Times New Roman"/>
          <w:lang w:eastAsia="de-DE"/>
        </w:rPr>
        <w:t xml:space="preserve">ist ein imperativischer Satz mit vorausgestelltem direktem Objekt: </w:t>
      </w:r>
      <w:r w:rsidRPr="008D5AF6">
        <w:rPr>
          <w:rFonts w:eastAsia="Times New Roman"/>
          <w:b/>
          <w:bCs/>
          <w:rtl/>
          <w:lang w:eastAsia="de-DE"/>
        </w:rPr>
        <w:t>כָּל־הַמִּצְוָה</w:t>
      </w:r>
      <w:r w:rsidRPr="008D5AF6">
        <w:rPr>
          <w:rFonts w:eastAsia="Times New Roman"/>
          <w:rtl/>
          <w:lang w:eastAsia="de-DE"/>
        </w:rPr>
        <w:t xml:space="preserve"> </w:t>
      </w:r>
      <w:r w:rsidRPr="008D5AF6">
        <w:rPr>
          <w:rFonts w:eastAsia="Times New Roman"/>
          <w:lang w:eastAsia="de-DE"/>
        </w:rPr>
        <w:t>(</w:t>
      </w:r>
      <w:r w:rsidRPr="008D5AF6">
        <w:rPr>
          <w:rFonts w:eastAsia="Times New Roman"/>
          <w:b/>
          <w:bCs/>
          <w:rtl/>
          <w:lang w:eastAsia="de-DE"/>
        </w:rPr>
        <w:t>כָּל</w:t>
      </w:r>
      <w:r w:rsidRPr="008D5AF6">
        <w:rPr>
          <w:rFonts w:eastAsia="Times New Roman"/>
          <w:rtl/>
          <w:lang w:eastAsia="de-DE"/>
        </w:rPr>
        <w:t xml:space="preserve"> </w:t>
      </w:r>
      <w:r w:rsidRPr="008D5AF6">
        <w:rPr>
          <w:rFonts w:eastAsia="Times New Roman"/>
          <w:lang w:eastAsia="de-DE"/>
        </w:rPr>
        <w:t xml:space="preserve">im Construct mit </w:t>
      </w:r>
      <w:r w:rsidRPr="008D5AF6">
        <w:rPr>
          <w:rFonts w:eastAsia="Times New Roman"/>
          <w:b/>
          <w:bCs/>
          <w:rtl/>
          <w:lang w:eastAsia="de-DE"/>
        </w:rPr>
        <w:t>מִצְוָה</w:t>
      </w:r>
      <w:r w:rsidRPr="008D5AF6">
        <w:rPr>
          <w:rFonts w:eastAsia="Times New Roman"/>
          <w:lang w:eastAsia="de-DE"/>
        </w:rPr>
        <w:t xml:space="preserve">, „Gebot", Singular kollektiv, mit Artikel – „das ganze Gebot") als emphatisch vorausgestelltes direktes Objekt, </w:t>
      </w:r>
      <w:r w:rsidRPr="008D5AF6">
        <w:rPr>
          <w:rFonts w:eastAsia="Times New Roman"/>
          <w:b/>
          <w:bCs/>
          <w:rtl/>
          <w:lang w:eastAsia="de-DE"/>
        </w:rPr>
        <w:t>אֲשֶׁר אָנֹכִי מְצַוְּךָ הַיּוֹם</w:t>
      </w:r>
      <w:r w:rsidRPr="008D5AF6">
        <w:rPr>
          <w:rFonts w:eastAsia="Times New Roman"/>
          <w:rtl/>
          <w:lang w:eastAsia="de-DE"/>
        </w:rPr>
        <w:t xml:space="preserve"> </w:t>
      </w:r>
      <w:r w:rsidRPr="008D5AF6">
        <w:rPr>
          <w:rFonts w:eastAsia="Times New Roman"/>
          <w:lang w:eastAsia="de-DE"/>
        </w:rPr>
        <w:t>als Relativsatz (</w:t>
      </w:r>
      <w:r w:rsidRPr="008D5AF6">
        <w:rPr>
          <w:rFonts w:eastAsia="Times New Roman"/>
          <w:b/>
          <w:bCs/>
          <w:rtl/>
          <w:lang w:eastAsia="de-DE"/>
        </w:rPr>
        <w:t>אֲשֶׁר</w:t>
      </w:r>
      <w:r w:rsidRPr="008D5AF6">
        <w:rPr>
          <w:rFonts w:eastAsia="Times New Roman"/>
          <w:rtl/>
          <w:lang w:eastAsia="de-DE"/>
        </w:rPr>
        <w:t xml:space="preserve"> </w:t>
      </w:r>
      <w:r w:rsidRPr="008D5AF6">
        <w:rPr>
          <w:rFonts w:eastAsia="Times New Roman"/>
          <w:lang w:eastAsia="de-DE"/>
        </w:rPr>
        <w:t xml:space="preserve">mit emphatischem Personalpronomen </w:t>
      </w:r>
      <w:r w:rsidRPr="008D5AF6">
        <w:rPr>
          <w:rFonts w:eastAsia="Times New Roman"/>
          <w:b/>
          <w:bCs/>
          <w:rtl/>
          <w:lang w:eastAsia="de-DE"/>
        </w:rPr>
        <w:t>אָנֹכִי</w:t>
      </w:r>
      <w:r w:rsidRPr="008D5AF6">
        <w:rPr>
          <w:rFonts w:eastAsia="Times New Roman"/>
          <w:lang w:eastAsia="de-DE"/>
        </w:rPr>
        <w:t xml:space="preserve">, Piel Partizip Singular maskulin von </w:t>
      </w:r>
      <w:r w:rsidRPr="008D5AF6">
        <w:rPr>
          <w:rFonts w:eastAsia="Times New Roman"/>
          <w:b/>
          <w:bCs/>
          <w:rtl/>
          <w:lang w:eastAsia="de-DE"/>
        </w:rPr>
        <w:t>צוה</w:t>
      </w:r>
      <w:r w:rsidRPr="008D5AF6">
        <w:rPr>
          <w:rFonts w:eastAsia="Times New Roman"/>
          <w:lang w:eastAsia="de-DE"/>
        </w:rPr>
        <w:t xml:space="preserve">, „befehlen, gebieten", mit Suffix 2. Person Singular maskulin, </w:t>
      </w:r>
      <w:r w:rsidRPr="008D5AF6">
        <w:rPr>
          <w:rFonts w:eastAsia="Times New Roman"/>
          <w:b/>
          <w:bCs/>
          <w:rtl/>
          <w:lang w:eastAsia="de-DE"/>
        </w:rPr>
        <w:t>הַיּוֹם</w:t>
      </w:r>
      <w:r w:rsidRPr="008D5AF6">
        <w:rPr>
          <w:rFonts w:eastAsia="Times New Roman"/>
          <w:rtl/>
          <w:lang w:eastAsia="de-DE"/>
        </w:rPr>
        <w:t xml:space="preserve"> </w:t>
      </w:r>
      <w:r w:rsidRPr="008D5AF6">
        <w:rPr>
          <w:rFonts w:eastAsia="Times New Roman"/>
          <w:lang w:eastAsia="de-DE"/>
        </w:rPr>
        <w:t xml:space="preserve">als temporales Adverb – „heute"), </w:t>
      </w:r>
      <w:r w:rsidRPr="008D5AF6">
        <w:rPr>
          <w:rFonts w:eastAsia="Times New Roman"/>
          <w:b/>
          <w:bCs/>
          <w:rtl/>
          <w:lang w:eastAsia="de-DE"/>
        </w:rPr>
        <w:t>תִּשְׁמְרוּן</w:t>
      </w:r>
      <w:r w:rsidRPr="008D5AF6">
        <w:rPr>
          <w:rFonts w:eastAsia="Times New Roman"/>
          <w:rtl/>
          <w:lang w:eastAsia="de-DE"/>
        </w:rPr>
        <w:t xml:space="preserve"> </w:t>
      </w:r>
      <w:r w:rsidRPr="008D5AF6">
        <w:rPr>
          <w:rFonts w:eastAsia="Times New Roman"/>
          <w:lang w:eastAsia="de-DE"/>
        </w:rPr>
        <w:t xml:space="preserve">als Qal Imperfekt, 2. Person Plural maskulin von </w:t>
      </w:r>
      <w:r w:rsidRPr="008D5AF6">
        <w:rPr>
          <w:rFonts w:eastAsia="Times New Roman"/>
          <w:b/>
          <w:bCs/>
          <w:rtl/>
          <w:lang w:eastAsia="de-DE"/>
        </w:rPr>
        <w:t>שׁמר</w:t>
      </w:r>
      <w:r w:rsidRPr="008D5AF6">
        <w:rPr>
          <w:rFonts w:eastAsia="Times New Roman"/>
          <w:lang w:eastAsia="de-DE"/>
        </w:rPr>
        <w:t xml:space="preserve">, „bewahren, halten", mit paragogischem Nun – in imperativischer Funktion, </w:t>
      </w:r>
      <w:r w:rsidRPr="008D5AF6">
        <w:rPr>
          <w:rFonts w:eastAsia="Times New Roman"/>
          <w:b/>
          <w:bCs/>
          <w:rtl/>
          <w:lang w:eastAsia="de-DE"/>
        </w:rPr>
        <w:t>לַעֲשׂוֹת</w:t>
      </w:r>
      <w:r w:rsidRPr="008D5AF6">
        <w:rPr>
          <w:rFonts w:eastAsia="Times New Roman"/>
          <w:rtl/>
          <w:lang w:eastAsia="de-DE"/>
        </w:rPr>
        <w:t xml:space="preserve"> </w:t>
      </w:r>
      <w:r w:rsidRPr="008D5AF6">
        <w:rPr>
          <w:rFonts w:eastAsia="Times New Roman"/>
          <w:lang w:eastAsia="de-DE"/>
        </w:rPr>
        <w:t xml:space="preserve">als finaler bzw. </w:t>
      </w:r>
      <w:r w:rsidR="000F34F9">
        <w:rPr>
          <w:rFonts w:eastAsia="Times New Roman"/>
          <w:lang w:eastAsia="de-DE"/>
        </w:rPr>
        <w:t>gerundialer</w:t>
      </w:r>
      <w:r w:rsidRPr="008D5AF6">
        <w:rPr>
          <w:rFonts w:eastAsia="Times New Roman"/>
          <w:lang w:eastAsia="de-DE"/>
        </w:rPr>
        <w:t xml:space="preserve"> Infinitiv (Qal Infinitiv Construct von </w:t>
      </w:r>
      <w:r w:rsidRPr="008D5AF6">
        <w:rPr>
          <w:rFonts w:eastAsia="Times New Roman"/>
          <w:b/>
          <w:bCs/>
          <w:rtl/>
          <w:lang w:eastAsia="de-DE"/>
        </w:rPr>
        <w:t>עשׂה</w:t>
      </w:r>
      <w:r w:rsidRPr="008D5AF6">
        <w:rPr>
          <w:rFonts w:eastAsia="Times New Roman"/>
          <w:rtl/>
          <w:lang w:eastAsia="de-DE"/>
        </w:rPr>
        <w:t xml:space="preserve"> </w:t>
      </w:r>
      <w:r w:rsidRPr="008D5AF6">
        <w:rPr>
          <w:rFonts w:eastAsia="Times New Roman"/>
          <w:lang w:eastAsia="de-DE"/>
        </w:rPr>
        <w:t xml:space="preserve">mit </w:t>
      </w:r>
      <w:r w:rsidRPr="008D5AF6">
        <w:rPr>
          <w:rFonts w:eastAsia="Times New Roman"/>
          <w:b/>
          <w:bCs/>
          <w:rtl/>
          <w:lang w:eastAsia="de-DE"/>
        </w:rPr>
        <w:t>לְ</w:t>
      </w:r>
      <w:r w:rsidRPr="008D5AF6">
        <w:rPr>
          <w:rFonts w:eastAsia="Times New Roman"/>
          <w:rtl/>
          <w:lang w:eastAsia="de-DE"/>
        </w:rPr>
        <w:t xml:space="preserve"> </w:t>
      </w:r>
      <w:r w:rsidRPr="008D5AF6">
        <w:rPr>
          <w:rFonts w:eastAsia="Times New Roman"/>
          <w:lang w:eastAsia="de-DE"/>
        </w:rPr>
        <w:t>– „um zu tun, es zu tun").</w:t>
      </w:r>
    </w:p>
    <w:p w14:paraId="0F9325EF"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rtl/>
          <w:lang w:eastAsia="de-DE"/>
        </w:rPr>
        <w:lastRenderedPageBreak/>
        <w:t>לְמַעַן תִּחְיוּן וּרְבִיתֶם וּבָאתֶם וִירִשְׁתֶּם אֶת־הָאָרֶץ</w:t>
      </w:r>
      <w:r w:rsidRPr="008D5AF6">
        <w:rPr>
          <w:rFonts w:eastAsia="Times New Roman"/>
          <w:rtl/>
          <w:lang w:eastAsia="de-DE"/>
        </w:rPr>
        <w:t xml:space="preserve"> </w:t>
      </w:r>
      <w:r w:rsidRPr="008D5AF6">
        <w:rPr>
          <w:rFonts w:eastAsia="Times New Roman"/>
          <w:lang w:eastAsia="de-DE"/>
        </w:rPr>
        <w:t xml:space="preserve">ist eine viergliedrige finale Konstruktion: </w:t>
      </w:r>
      <w:r w:rsidRPr="008D5AF6">
        <w:rPr>
          <w:rFonts w:eastAsia="Times New Roman"/>
          <w:b/>
          <w:bCs/>
          <w:rtl/>
          <w:lang w:eastAsia="de-DE"/>
        </w:rPr>
        <w:t>לְמַעַן</w:t>
      </w:r>
      <w:r w:rsidRPr="008D5AF6">
        <w:rPr>
          <w:rFonts w:eastAsia="Times New Roman"/>
          <w:rtl/>
          <w:lang w:eastAsia="de-DE"/>
        </w:rPr>
        <w:t xml:space="preserve"> </w:t>
      </w:r>
      <w:r w:rsidRPr="008D5AF6">
        <w:rPr>
          <w:rFonts w:eastAsia="Times New Roman"/>
          <w:lang w:eastAsia="de-DE"/>
        </w:rPr>
        <w:t xml:space="preserve">(„damit"), </w:t>
      </w:r>
      <w:r w:rsidRPr="008D5AF6">
        <w:rPr>
          <w:rFonts w:eastAsia="Times New Roman"/>
          <w:b/>
          <w:bCs/>
          <w:rtl/>
          <w:lang w:eastAsia="de-DE"/>
        </w:rPr>
        <w:t>תִּחְיוּן</w:t>
      </w:r>
      <w:r w:rsidRPr="008D5AF6">
        <w:rPr>
          <w:rFonts w:eastAsia="Times New Roman"/>
          <w:rtl/>
          <w:lang w:eastAsia="de-DE"/>
        </w:rPr>
        <w:t xml:space="preserve"> </w:t>
      </w:r>
      <w:r w:rsidRPr="008D5AF6">
        <w:rPr>
          <w:rFonts w:eastAsia="Times New Roman"/>
          <w:lang w:eastAsia="de-DE"/>
        </w:rPr>
        <w:t xml:space="preserve">als Qal Imperfekt, 2. Person Plural maskulin von </w:t>
      </w:r>
      <w:r w:rsidRPr="008D5AF6">
        <w:rPr>
          <w:rFonts w:eastAsia="Times New Roman"/>
          <w:b/>
          <w:bCs/>
          <w:rtl/>
          <w:lang w:eastAsia="de-DE"/>
        </w:rPr>
        <w:t>חיה</w:t>
      </w:r>
      <w:r w:rsidRPr="008D5AF6">
        <w:rPr>
          <w:rFonts w:eastAsia="Times New Roman"/>
          <w:lang w:eastAsia="de-DE"/>
        </w:rPr>
        <w:t xml:space="preserve">, „leben", mit paragogischem Nun, </w:t>
      </w:r>
      <w:r w:rsidRPr="008D5AF6">
        <w:rPr>
          <w:rFonts w:eastAsia="Times New Roman"/>
          <w:b/>
          <w:bCs/>
          <w:rtl/>
          <w:lang w:eastAsia="de-DE"/>
        </w:rPr>
        <w:t>וּרְבִיתֶם</w:t>
      </w:r>
      <w:r w:rsidRPr="008D5AF6">
        <w:rPr>
          <w:rFonts w:eastAsia="Times New Roman"/>
          <w:rtl/>
          <w:lang w:eastAsia="de-DE"/>
        </w:rPr>
        <w:t xml:space="preserve"> </w:t>
      </w:r>
      <w:r w:rsidRPr="008D5AF6">
        <w:rPr>
          <w:rFonts w:eastAsia="Times New Roman"/>
          <w:lang w:eastAsia="de-DE"/>
        </w:rPr>
        <w:t xml:space="preserve">koordiniert (Qal Perfekt consecutivum, 2. Person Plural maskulin von </w:t>
      </w:r>
      <w:r w:rsidRPr="008D5AF6">
        <w:rPr>
          <w:rFonts w:eastAsia="Times New Roman"/>
          <w:b/>
          <w:bCs/>
          <w:rtl/>
          <w:lang w:eastAsia="de-DE"/>
        </w:rPr>
        <w:t>רבה</w:t>
      </w:r>
      <w:r w:rsidRPr="008D5AF6">
        <w:rPr>
          <w:rFonts w:eastAsia="Times New Roman"/>
          <w:lang w:eastAsia="de-DE"/>
        </w:rPr>
        <w:t xml:space="preserve">, „sich mehren", mit </w:t>
      </w:r>
      <w:r w:rsidRPr="008D5AF6">
        <w:rPr>
          <w:rFonts w:eastAsia="Times New Roman"/>
          <w:b/>
          <w:bCs/>
          <w:rtl/>
          <w:lang w:eastAsia="de-DE"/>
        </w:rPr>
        <w:t>וְ</w:t>
      </w:r>
      <w:r w:rsidRPr="008D5AF6">
        <w:rPr>
          <w:rFonts w:eastAsia="Times New Roman"/>
          <w:lang w:eastAsia="de-DE"/>
        </w:rPr>
        <w:t xml:space="preserve">), </w:t>
      </w:r>
      <w:r w:rsidRPr="008D5AF6">
        <w:rPr>
          <w:rFonts w:eastAsia="Times New Roman"/>
          <w:b/>
          <w:bCs/>
          <w:rtl/>
          <w:lang w:eastAsia="de-DE"/>
        </w:rPr>
        <w:t>וּבָאתֶם</w:t>
      </w:r>
      <w:r w:rsidRPr="008D5AF6">
        <w:rPr>
          <w:rFonts w:eastAsia="Times New Roman"/>
          <w:rtl/>
          <w:lang w:eastAsia="de-DE"/>
        </w:rPr>
        <w:t xml:space="preserve"> </w:t>
      </w:r>
      <w:r w:rsidRPr="008D5AF6">
        <w:rPr>
          <w:rFonts w:eastAsia="Times New Roman"/>
          <w:lang w:eastAsia="de-DE"/>
        </w:rPr>
        <w:t xml:space="preserve">koordiniert (Qal Perfekt consecutivum, 2. Person Plural maskulin von </w:t>
      </w:r>
      <w:r w:rsidRPr="008D5AF6">
        <w:rPr>
          <w:rFonts w:eastAsia="Times New Roman"/>
          <w:b/>
          <w:bCs/>
          <w:rtl/>
          <w:lang w:eastAsia="de-DE"/>
        </w:rPr>
        <w:t>בוא</w:t>
      </w:r>
      <w:r w:rsidRPr="008D5AF6">
        <w:rPr>
          <w:rFonts w:eastAsia="Times New Roman"/>
          <w:lang w:eastAsia="de-DE"/>
        </w:rPr>
        <w:t xml:space="preserve">, „kommen, hineinkommen", mit </w:t>
      </w:r>
      <w:r w:rsidRPr="008D5AF6">
        <w:rPr>
          <w:rFonts w:eastAsia="Times New Roman"/>
          <w:b/>
          <w:bCs/>
          <w:rtl/>
          <w:lang w:eastAsia="de-DE"/>
        </w:rPr>
        <w:t>וְ</w:t>
      </w:r>
      <w:r w:rsidRPr="008D5AF6">
        <w:rPr>
          <w:rFonts w:eastAsia="Times New Roman"/>
          <w:lang w:eastAsia="de-DE"/>
        </w:rPr>
        <w:t xml:space="preserve">), </w:t>
      </w:r>
      <w:r w:rsidRPr="008D5AF6">
        <w:rPr>
          <w:rFonts w:eastAsia="Times New Roman"/>
          <w:b/>
          <w:bCs/>
          <w:rtl/>
          <w:lang w:eastAsia="de-DE"/>
        </w:rPr>
        <w:t>וִירִשְׁתֶּם</w:t>
      </w:r>
      <w:r w:rsidRPr="008D5AF6">
        <w:rPr>
          <w:rFonts w:eastAsia="Times New Roman"/>
          <w:rtl/>
          <w:lang w:eastAsia="de-DE"/>
        </w:rPr>
        <w:t xml:space="preserve"> </w:t>
      </w:r>
      <w:r w:rsidRPr="008D5AF6">
        <w:rPr>
          <w:rFonts w:eastAsia="Times New Roman"/>
          <w:lang w:eastAsia="de-DE"/>
        </w:rPr>
        <w:t xml:space="preserve">koordiniert (Qal Perfekt consecutivum, 2. Person Plural maskulin von </w:t>
      </w:r>
      <w:r w:rsidRPr="008D5AF6">
        <w:rPr>
          <w:rFonts w:eastAsia="Times New Roman"/>
          <w:b/>
          <w:bCs/>
          <w:rtl/>
          <w:lang w:eastAsia="de-DE"/>
        </w:rPr>
        <w:t>ירשׁ</w:t>
      </w:r>
      <w:r w:rsidRPr="008D5AF6">
        <w:rPr>
          <w:rFonts w:eastAsia="Times New Roman"/>
          <w:lang w:eastAsia="de-DE"/>
        </w:rPr>
        <w:t xml:space="preserve">, „in Besitz nehmen", mit </w:t>
      </w:r>
      <w:r w:rsidRPr="008D5AF6">
        <w:rPr>
          <w:rFonts w:eastAsia="Times New Roman"/>
          <w:b/>
          <w:bCs/>
          <w:rtl/>
          <w:lang w:eastAsia="de-DE"/>
        </w:rPr>
        <w:t>וְ</w:t>
      </w:r>
      <w:r w:rsidRPr="008D5AF6">
        <w:rPr>
          <w:rFonts w:eastAsia="Times New Roman"/>
          <w:lang w:eastAsia="de-DE"/>
        </w:rPr>
        <w:t xml:space="preserve">), </w:t>
      </w:r>
      <w:r w:rsidRPr="008D5AF6">
        <w:rPr>
          <w:rFonts w:eastAsia="Times New Roman"/>
          <w:b/>
          <w:bCs/>
          <w:rtl/>
          <w:lang w:eastAsia="de-DE"/>
        </w:rPr>
        <w:t>אֶת־הָאָרֶץ</w:t>
      </w:r>
      <w:r w:rsidRPr="008D5AF6">
        <w:rPr>
          <w:rFonts w:eastAsia="Times New Roman"/>
          <w:rtl/>
          <w:lang w:eastAsia="de-DE"/>
        </w:rPr>
        <w:t xml:space="preserve"> </w:t>
      </w:r>
      <w:r w:rsidRPr="008D5AF6">
        <w:rPr>
          <w:rFonts w:eastAsia="Times New Roman"/>
          <w:lang w:eastAsia="de-DE"/>
        </w:rPr>
        <w:t>als direktes Objekt zum letzten Verb.</w:t>
      </w:r>
    </w:p>
    <w:p w14:paraId="1B22F501"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rtl/>
          <w:lang w:eastAsia="de-DE"/>
        </w:rPr>
        <w:t>אֲשֶׁר־נִשְׁבַּע יְהוָה לַאֲבֹתֵיכֶם</w:t>
      </w:r>
      <w:r w:rsidRPr="008D5AF6">
        <w:rPr>
          <w:rFonts w:eastAsia="Times New Roman"/>
          <w:rtl/>
          <w:lang w:eastAsia="de-DE"/>
        </w:rPr>
        <w:t xml:space="preserve"> </w:t>
      </w:r>
      <w:r w:rsidRPr="008D5AF6">
        <w:rPr>
          <w:rFonts w:eastAsia="Times New Roman"/>
          <w:lang w:eastAsia="de-DE"/>
        </w:rPr>
        <w:t xml:space="preserve">ist ein Relativsatz: </w:t>
      </w:r>
      <w:r w:rsidRPr="008D5AF6">
        <w:rPr>
          <w:rFonts w:eastAsia="Times New Roman"/>
          <w:b/>
          <w:bCs/>
          <w:rtl/>
          <w:lang w:eastAsia="de-DE"/>
        </w:rPr>
        <w:t>אֲשֶׁר</w:t>
      </w:r>
      <w:r w:rsidRPr="008D5AF6">
        <w:rPr>
          <w:rFonts w:eastAsia="Times New Roman"/>
          <w:rtl/>
          <w:lang w:eastAsia="de-DE"/>
        </w:rPr>
        <w:t xml:space="preserve"> </w:t>
      </w:r>
      <w:r w:rsidRPr="008D5AF6">
        <w:rPr>
          <w:rFonts w:eastAsia="Times New Roman"/>
          <w:lang w:eastAsia="de-DE"/>
        </w:rPr>
        <w:t xml:space="preserve">als Relativpronomen, </w:t>
      </w:r>
      <w:r w:rsidRPr="008D5AF6">
        <w:rPr>
          <w:rFonts w:eastAsia="Times New Roman"/>
          <w:b/>
          <w:bCs/>
          <w:rtl/>
          <w:lang w:eastAsia="de-DE"/>
        </w:rPr>
        <w:t>נִשְׁבַּע</w:t>
      </w:r>
      <w:r w:rsidRPr="008D5AF6">
        <w:rPr>
          <w:rFonts w:eastAsia="Times New Roman"/>
          <w:rtl/>
          <w:lang w:eastAsia="de-DE"/>
        </w:rPr>
        <w:t xml:space="preserve"> </w:t>
      </w:r>
      <w:r w:rsidRPr="008D5AF6">
        <w:rPr>
          <w:rFonts w:eastAsia="Times New Roman"/>
          <w:lang w:eastAsia="de-DE"/>
        </w:rPr>
        <w:t xml:space="preserve">als Nifal Perfekt, 3. Person Singular maskulin von </w:t>
      </w:r>
      <w:r w:rsidRPr="008D5AF6">
        <w:rPr>
          <w:rFonts w:eastAsia="Times New Roman"/>
          <w:b/>
          <w:bCs/>
          <w:rtl/>
          <w:lang w:eastAsia="de-DE"/>
        </w:rPr>
        <w:t>שׁבע</w:t>
      </w:r>
      <w:r w:rsidRPr="008D5AF6">
        <w:rPr>
          <w:rFonts w:eastAsia="Times New Roman"/>
          <w:lang w:eastAsia="de-DE"/>
        </w:rPr>
        <w:t xml:space="preserve">, „schwören", </w:t>
      </w:r>
      <w:r w:rsidRPr="008D5AF6">
        <w:rPr>
          <w:rFonts w:eastAsia="Times New Roman"/>
          <w:b/>
          <w:bCs/>
          <w:rtl/>
          <w:lang w:eastAsia="de-DE"/>
        </w:rPr>
        <w:t>יְהוָה</w:t>
      </w:r>
      <w:r w:rsidRPr="008D5AF6">
        <w:rPr>
          <w:rFonts w:eastAsia="Times New Roman"/>
          <w:rtl/>
          <w:lang w:eastAsia="de-DE"/>
        </w:rPr>
        <w:t xml:space="preserve"> </w:t>
      </w:r>
      <w:r w:rsidRPr="008D5AF6">
        <w:rPr>
          <w:rFonts w:eastAsia="Times New Roman"/>
          <w:lang w:eastAsia="de-DE"/>
        </w:rPr>
        <w:t xml:space="preserve">als Subjekt, </w:t>
      </w:r>
      <w:r w:rsidRPr="008D5AF6">
        <w:rPr>
          <w:rFonts w:eastAsia="Times New Roman"/>
          <w:b/>
          <w:bCs/>
          <w:rtl/>
          <w:lang w:eastAsia="de-DE"/>
        </w:rPr>
        <w:t>לַאֲבֹתֵיכֶם</w:t>
      </w:r>
      <w:r w:rsidRPr="008D5AF6">
        <w:rPr>
          <w:rFonts w:eastAsia="Times New Roman"/>
          <w:rtl/>
          <w:lang w:eastAsia="de-DE"/>
        </w:rPr>
        <w:t xml:space="preserve"> </w:t>
      </w:r>
      <w:r w:rsidRPr="008D5AF6">
        <w:rPr>
          <w:rFonts w:eastAsia="Times New Roman"/>
          <w:lang w:eastAsia="de-DE"/>
        </w:rPr>
        <w:t>als indirektes Objekt (</w:t>
      </w:r>
      <w:r w:rsidRPr="008D5AF6">
        <w:rPr>
          <w:rFonts w:eastAsia="Times New Roman"/>
          <w:b/>
          <w:bCs/>
          <w:rtl/>
          <w:lang w:eastAsia="de-DE"/>
        </w:rPr>
        <w:t>לְ</w:t>
      </w:r>
      <w:r w:rsidRPr="008D5AF6">
        <w:rPr>
          <w:rFonts w:eastAsia="Times New Roman"/>
          <w:rtl/>
          <w:lang w:eastAsia="de-DE"/>
        </w:rPr>
        <w:t xml:space="preserve"> </w:t>
      </w:r>
      <w:r w:rsidRPr="008D5AF6">
        <w:rPr>
          <w:rFonts w:eastAsia="Times New Roman"/>
          <w:lang w:eastAsia="de-DE"/>
        </w:rPr>
        <w:t xml:space="preserve">mit </w:t>
      </w:r>
      <w:r w:rsidRPr="008D5AF6">
        <w:rPr>
          <w:rFonts w:eastAsia="Times New Roman"/>
          <w:b/>
          <w:bCs/>
          <w:rtl/>
          <w:lang w:eastAsia="de-DE"/>
        </w:rPr>
        <w:t>אָבוֹת</w:t>
      </w:r>
      <w:r w:rsidRPr="008D5AF6">
        <w:rPr>
          <w:rFonts w:eastAsia="Times New Roman"/>
          <w:lang w:eastAsia="de-DE"/>
        </w:rPr>
        <w:t>, Plural, und Suffix 2. Person Plural maskulin).</w:t>
      </w:r>
    </w:p>
    <w:p w14:paraId="271DDD2A"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 xml:space="preserve">Der Vers leitet Kapitel 8 ein und verbindet Gesetzestreue mit den Verheißungen: Leben, Mehrung, Landnahme. Der Singular </w:t>
      </w:r>
      <w:r w:rsidRPr="008D5AF6">
        <w:rPr>
          <w:rFonts w:eastAsia="Times New Roman"/>
          <w:b/>
          <w:bCs/>
          <w:rtl/>
          <w:lang w:eastAsia="de-DE"/>
        </w:rPr>
        <w:t>הַמִּצְוָה</w:t>
      </w:r>
      <w:r w:rsidRPr="008D5AF6">
        <w:rPr>
          <w:rFonts w:eastAsia="Times New Roman"/>
          <w:rtl/>
          <w:lang w:eastAsia="de-DE"/>
        </w:rPr>
        <w:t xml:space="preserve"> </w:t>
      </w:r>
      <w:r w:rsidRPr="008D5AF6">
        <w:rPr>
          <w:rFonts w:eastAsia="Times New Roman"/>
          <w:lang w:eastAsia="de-DE"/>
        </w:rPr>
        <w:t xml:space="preserve">(„das Gebot") ist kollektiv und umfasst das gesamte deuteronomische Gesetz. Das paragogische Nun an </w:t>
      </w:r>
      <w:r w:rsidRPr="008D5AF6">
        <w:rPr>
          <w:rFonts w:eastAsia="Times New Roman"/>
          <w:b/>
          <w:bCs/>
          <w:rtl/>
          <w:lang w:eastAsia="de-DE"/>
        </w:rPr>
        <w:t>תִּשְׁמְרוּן</w:t>
      </w:r>
      <w:r w:rsidRPr="008D5AF6">
        <w:rPr>
          <w:rFonts w:eastAsia="Times New Roman"/>
          <w:rtl/>
          <w:lang w:eastAsia="de-DE"/>
        </w:rPr>
        <w:t xml:space="preserve"> </w:t>
      </w:r>
      <w:r w:rsidRPr="008D5AF6">
        <w:rPr>
          <w:rFonts w:eastAsia="Times New Roman"/>
          <w:lang w:eastAsia="de-DE"/>
        </w:rPr>
        <w:t xml:space="preserve">und </w:t>
      </w:r>
      <w:r w:rsidRPr="008D5AF6">
        <w:rPr>
          <w:rFonts w:eastAsia="Times New Roman"/>
          <w:b/>
          <w:bCs/>
          <w:rtl/>
          <w:lang w:eastAsia="de-DE"/>
        </w:rPr>
        <w:t>תִּחְיוּן</w:t>
      </w:r>
      <w:r w:rsidRPr="008D5AF6">
        <w:rPr>
          <w:rFonts w:eastAsia="Times New Roman"/>
          <w:rtl/>
          <w:lang w:eastAsia="de-DE"/>
        </w:rPr>
        <w:t xml:space="preserve"> </w:t>
      </w:r>
      <w:r w:rsidRPr="008D5AF6">
        <w:rPr>
          <w:rFonts w:eastAsia="Times New Roman"/>
          <w:lang w:eastAsia="de-DE"/>
        </w:rPr>
        <w:t>verleiht feierlichen Nachdruck. Die viergliedrige Zielsetzung (leben – mehren – hineinkommen – in Besitz nehmen) entfaltet die Bundesverheißung. Der Wechsel zwischen Singular (</w:t>
      </w:r>
      <w:r w:rsidRPr="008D5AF6">
        <w:rPr>
          <w:rFonts w:eastAsia="Times New Roman"/>
          <w:b/>
          <w:bCs/>
          <w:rtl/>
          <w:lang w:eastAsia="de-DE"/>
        </w:rPr>
        <w:t>מְצַוְּךָ</w:t>
      </w:r>
      <w:r w:rsidRPr="008D5AF6">
        <w:rPr>
          <w:rFonts w:eastAsia="Times New Roman"/>
          <w:lang w:eastAsia="de-DE"/>
        </w:rPr>
        <w:t>) und Plural (</w:t>
      </w:r>
      <w:r w:rsidRPr="008D5AF6">
        <w:rPr>
          <w:rFonts w:eastAsia="Times New Roman"/>
          <w:b/>
          <w:bCs/>
          <w:rtl/>
          <w:lang w:eastAsia="de-DE"/>
        </w:rPr>
        <w:t>תִּשְׁמְרוּן</w:t>
      </w:r>
      <w:r w:rsidRPr="008D5AF6">
        <w:rPr>
          <w:rFonts w:eastAsia="Times New Roman"/>
          <w:lang w:eastAsia="de-DE"/>
        </w:rPr>
        <w:t>) ist typisch deuteronomisch.</w:t>
      </w:r>
    </w:p>
    <w:p w14:paraId="3FBA57C5"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Die LXX</w:t>
      </w:r>
      <w:r w:rsidRPr="008D5AF6">
        <w:rPr>
          <w:rFonts w:eastAsia="Times New Roman"/>
          <w:lang w:eastAsia="de-DE"/>
        </w:rPr>
        <w:t xml:space="preserve"> übersetzt </w:t>
      </w:r>
      <w:r w:rsidRPr="008D5AF6">
        <w:rPr>
          <w:rFonts w:eastAsia="Times New Roman"/>
          <w:b/>
          <w:bCs/>
          <w:lang w:eastAsia="de-DE"/>
        </w:rPr>
        <w:t>π</w:t>
      </w:r>
      <w:proofErr w:type="spellStart"/>
      <w:r w:rsidRPr="008D5AF6">
        <w:rPr>
          <w:rFonts w:eastAsia="Times New Roman"/>
          <w:b/>
          <w:bCs/>
          <w:lang w:eastAsia="de-DE"/>
        </w:rPr>
        <w:t>άσ</w:t>
      </w:r>
      <w:proofErr w:type="spellEnd"/>
      <w:r w:rsidRPr="008D5AF6">
        <w:rPr>
          <w:rFonts w:eastAsia="Times New Roman"/>
          <w:b/>
          <w:bCs/>
          <w:lang w:eastAsia="de-DE"/>
        </w:rPr>
        <w:t xml:space="preserve">ας </w:t>
      </w:r>
      <w:proofErr w:type="spellStart"/>
      <w:r w:rsidRPr="008D5AF6">
        <w:rPr>
          <w:rFonts w:eastAsia="Times New Roman"/>
          <w:b/>
          <w:bCs/>
          <w:lang w:eastAsia="de-DE"/>
        </w:rPr>
        <w:t>τὰς</w:t>
      </w:r>
      <w:proofErr w:type="spellEnd"/>
      <w:r w:rsidRPr="008D5AF6">
        <w:rPr>
          <w:rFonts w:eastAsia="Times New Roman"/>
          <w:b/>
          <w:bCs/>
          <w:lang w:eastAsia="de-DE"/>
        </w:rPr>
        <w:t xml:space="preserve"> </w:t>
      </w:r>
      <w:proofErr w:type="spellStart"/>
      <w:r w:rsidRPr="008D5AF6">
        <w:rPr>
          <w:rFonts w:eastAsia="Times New Roman"/>
          <w:b/>
          <w:bCs/>
          <w:lang w:eastAsia="de-DE"/>
        </w:rPr>
        <w:t>ἐντολάς</w:t>
      </w:r>
      <w:proofErr w:type="spellEnd"/>
      <w:r w:rsidRPr="008D5AF6">
        <w:rPr>
          <w:rFonts w:eastAsia="Times New Roman"/>
          <w:lang w:eastAsia="de-DE"/>
        </w:rPr>
        <w:t xml:space="preserve"> (Plural, „alle Gebote") für </w:t>
      </w:r>
      <w:r w:rsidRPr="008D5AF6">
        <w:rPr>
          <w:rFonts w:eastAsia="Times New Roman"/>
          <w:b/>
          <w:bCs/>
          <w:rtl/>
          <w:lang w:eastAsia="de-DE"/>
        </w:rPr>
        <w:t>כָּל־הַמִּצְוָה</w:t>
      </w:r>
      <w:r w:rsidRPr="008D5AF6">
        <w:rPr>
          <w:rFonts w:eastAsia="Times New Roman"/>
          <w:rtl/>
          <w:lang w:eastAsia="de-DE"/>
        </w:rPr>
        <w:t xml:space="preserve"> </w:t>
      </w:r>
      <w:r w:rsidRPr="008D5AF6">
        <w:rPr>
          <w:rFonts w:eastAsia="Times New Roman"/>
          <w:lang w:eastAsia="de-DE"/>
        </w:rPr>
        <w:t>(Singular kollektiv).</w:t>
      </w:r>
    </w:p>
    <w:p w14:paraId="6AC5ED4A"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Die Satzstruktur ist ein imperativischer Satz mit emphatisch vorausgestelltem direktem Objekt (mit Relativsatz), Prädikat mit paragogischem Nun und finalem Infinitiv, gefolgt von einer viergliedrigen finalen Konstruktion (mit Prädikat und drei koordinierten Verben, das letzte mit direktem Objekt) und einem Relativsatz. Die Struktur verbindet Gebotstreue mit der umfassenden Verheißung.</w:t>
      </w:r>
    </w:p>
    <w:p w14:paraId="462D3016"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Der Vers eröffnet Kapitel 8: Haltet das ganze Gebot gewissenhaft, damit ihr lebt, euch mehrt, ins verheißene Land kommt und es in Besitz nehmt – die klassische Bundeslogik.</w:t>
      </w:r>
    </w:p>
    <w:p w14:paraId="4E9A8DBD" w14:textId="77777777" w:rsidR="008D5AF6" w:rsidRPr="008D5AF6" w:rsidRDefault="008D5AF6" w:rsidP="008D5AF6">
      <w:pPr>
        <w:spacing w:before="100" w:beforeAutospacing="1" w:after="100" w:afterAutospacing="1" w:line="240" w:lineRule="auto"/>
        <w:outlineLvl w:val="1"/>
        <w:rPr>
          <w:rFonts w:eastAsia="Times New Roman"/>
          <w:b/>
          <w:bCs/>
          <w:sz w:val="36"/>
          <w:szCs w:val="36"/>
          <w:lang w:eastAsia="de-DE"/>
        </w:rPr>
      </w:pPr>
      <w:r w:rsidRPr="008D5AF6">
        <w:rPr>
          <w:rFonts w:eastAsia="Times New Roman"/>
          <w:b/>
          <w:bCs/>
          <w:sz w:val="36"/>
          <w:szCs w:val="36"/>
          <w:lang w:eastAsia="de-DE"/>
        </w:rPr>
        <w:t>Deuteronomium 8,2</w:t>
      </w:r>
    </w:p>
    <w:p w14:paraId="1A3C6C05"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Hebräisch:</w:t>
      </w:r>
      <w:r w:rsidRPr="008D5AF6">
        <w:rPr>
          <w:rFonts w:eastAsia="Times New Roman"/>
          <w:lang w:eastAsia="de-DE"/>
        </w:rPr>
        <w:t xml:space="preserve"> </w:t>
      </w:r>
      <w:r w:rsidRPr="008D5AF6">
        <w:rPr>
          <w:rFonts w:eastAsia="Times New Roman"/>
          <w:rtl/>
          <w:lang w:eastAsia="de-DE"/>
        </w:rPr>
        <w:t>וְזָכַרְתָּ אֶת־כָּל־הַדֶּרֶךְ אֲשֶׁר הֹלִיכֲךָ יְהוָה אֱלֹהֶיךָ זֶה אַרְבָּעִים שָׁנָה בַּמִּדְבָּר לְמַעַן עַנֹּתְךָ לְנַסֹּתְךָ לָדַעַת אֶת־אֲשֶׁר בִּלְבָבְךָ הֲתִשְׁמֹר מִצְוֹתוֹ אִם־לֹא׃</w:t>
      </w:r>
    </w:p>
    <w:p w14:paraId="1B08C5EC"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Deutsch:</w:t>
      </w:r>
      <w:r w:rsidRPr="008D5AF6">
        <w:rPr>
          <w:rFonts w:eastAsia="Times New Roman"/>
          <w:lang w:eastAsia="de-DE"/>
        </w:rPr>
        <w:t xml:space="preserve"> Und du sollst des ganzen Weges gedenken, den der Ewige, dein Gott, dich hat wandern lassen diese 40 Jahre in der Wüste, um dich zu demütigen, um dich zu prüfen, um zu erkennen, was in deinem Herzen ist, ob du seine Gebote halten würdest oder nicht.</w:t>
      </w:r>
    </w:p>
    <w:p w14:paraId="3A9DBADD" w14:textId="77777777" w:rsidR="008D5AF6" w:rsidRPr="008D5AF6" w:rsidRDefault="004F5CEB" w:rsidP="008D5AF6">
      <w:pPr>
        <w:spacing w:after="0" w:line="240" w:lineRule="auto"/>
        <w:rPr>
          <w:rFonts w:eastAsia="Times New Roman"/>
          <w:lang w:eastAsia="de-DE"/>
        </w:rPr>
      </w:pPr>
      <w:r>
        <w:rPr>
          <w:rFonts w:eastAsia="Times New Roman"/>
          <w:noProof/>
          <w:lang w:eastAsia="de-DE"/>
        </w:rPr>
        <w:pict w14:anchorId="1904497B">
          <v:rect id="_x0000_i1271" style="width:0;height:1.5pt" o:hralign="center" o:hrstd="t" o:hr="t" fillcolor="#a0a0a0" stroked="f"/>
        </w:pict>
      </w:r>
    </w:p>
    <w:p w14:paraId="501678BD"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Kommentar:</w:t>
      </w:r>
      <w:r w:rsidRPr="008D5AF6">
        <w:rPr>
          <w:rFonts w:eastAsia="Times New Roman"/>
          <w:lang w:eastAsia="de-DE"/>
        </w:rPr>
        <w:t xml:space="preserve"> </w:t>
      </w:r>
      <w:r w:rsidRPr="008D5AF6">
        <w:rPr>
          <w:rFonts w:eastAsia="Times New Roman"/>
          <w:b/>
          <w:bCs/>
          <w:rtl/>
          <w:lang w:eastAsia="de-DE"/>
        </w:rPr>
        <w:t>וְזָכַרְתָּ אֶת־כָּל־הַדֶּרֶךְ</w:t>
      </w:r>
      <w:r w:rsidRPr="008D5AF6">
        <w:rPr>
          <w:rFonts w:eastAsia="Times New Roman"/>
          <w:rtl/>
          <w:lang w:eastAsia="de-DE"/>
        </w:rPr>
        <w:t xml:space="preserve"> </w:t>
      </w:r>
      <w:r w:rsidRPr="008D5AF6">
        <w:rPr>
          <w:rFonts w:eastAsia="Times New Roman"/>
          <w:lang w:eastAsia="de-DE"/>
        </w:rPr>
        <w:t xml:space="preserve">ist Qal Perfekt consecutivum, 2. Person Singular maskulin von </w:t>
      </w:r>
      <w:r w:rsidRPr="008D5AF6">
        <w:rPr>
          <w:rFonts w:eastAsia="Times New Roman"/>
          <w:b/>
          <w:bCs/>
          <w:rtl/>
          <w:lang w:eastAsia="de-DE"/>
        </w:rPr>
        <w:t>זכר</w:t>
      </w:r>
      <w:r w:rsidRPr="008D5AF6">
        <w:rPr>
          <w:rFonts w:eastAsia="Times New Roman"/>
          <w:lang w:eastAsia="de-DE"/>
        </w:rPr>
        <w:t xml:space="preserve">, „gedenken, erinnern", mit </w:t>
      </w:r>
      <w:r w:rsidRPr="008D5AF6">
        <w:rPr>
          <w:rFonts w:eastAsia="Times New Roman"/>
          <w:b/>
          <w:bCs/>
          <w:rtl/>
          <w:lang w:eastAsia="de-DE"/>
        </w:rPr>
        <w:t>וְ</w:t>
      </w:r>
      <w:r w:rsidRPr="008D5AF6">
        <w:rPr>
          <w:rFonts w:eastAsia="Times New Roman"/>
          <w:rtl/>
          <w:lang w:eastAsia="de-DE"/>
        </w:rPr>
        <w:t xml:space="preserve"> </w:t>
      </w:r>
      <w:r w:rsidRPr="008D5AF6">
        <w:rPr>
          <w:rFonts w:eastAsia="Times New Roman"/>
          <w:lang w:eastAsia="de-DE"/>
        </w:rPr>
        <w:t xml:space="preserve">– in imperativischer Funktion, </w:t>
      </w:r>
      <w:r w:rsidRPr="008D5AF6">
        <w:rPr>
          <w:rFonts w:eastAsia="Times New Roman"/>
          <w:b/>
          <w:bCs/>
          <w:rtl/>
          <w:lang w:eastAsia="de-DE"/>
        </w:rPr>
        <w:t>אֶת־כָּל־הַדֶּרֶךְ</w:t>
      </w:r>
      <w:r w:rsidRPr="008D5AF6">
        <w:rPr>
          <w:rFonts w:eastAsia="Times New Roman"/>
          <w:rtl/>
          <w:lang w:eastAsia="de-DE"/>
        </w:rPr>
        <w:t xml:space="preserve"> </w:t>
      </w:r>
      <w:r w:rsidRPr="008D5AF6">
        <w:rPr>
          <w:rFonts w:eastAsia="Times New Roman"/>
          <w:lang w:eastAsia="de-DE"/>
        </w:rPr>
        <w:t>als direktes Objekt (</w:t>
      </w:r>
      <w:r w:rsidRPr="008D5AF6">
        <w:rPr>
          <w:rFonts w:eastAsia="Times New Roman"/>
          <w:b/>
          <w:bCs/>
          <w:rtl/>
          <w:lang w:eastAsia="de-DE"/>
        </w:rPr>
        <w:t>כָּל</w:t>
      </w:r>
      <w:r w:rsidRPr="008D5AF6">
        <w:rPr>
          <w:rFonts w:eastAsia="Times New Roman"/>
          <w:rtl/>
          <w:lang w:eastAsia="de-DE"/>
        </w:rPr>
        <w:t xml:space="preserve"> </w:t>
      </w:r>
      <w:r w:rsidRPr="008D5AF6">
        <w:rPr>
          <w:rFonts w:eastAsia="Times New Roman"/>
          <w:lang w:eastAsia="de-DE"/>
        </w:rPr>
        <w:t xml:space="preserve">im Construct mit </w:t>
      </w:r>
      <w:r w:rsidRPr="008D5AF6">
        <w:rPr>
          <w:rFonts w:eastAsia="Times New Roman"/>
          <w:b/>
          <w:bCs/>
          <w:rtl/>
          <w:lang w:eastAsia="de-DE"/>
        </w:rPr>
        <w:t>דֶּרֶךְ</w:t>
      </w:r>
      <w:r w:rsidRPr="008D5AF6">
        <w:rPr>
          <w:rFonts w:eastAsia="Times New Roman"/>
          <w:lang w:eastAsia="de-DE"/>
        </w:rPr>
        <w:t>, „Weg", mit Artikel – „des ganzen Weges").</w:t>
      </w:r>
    </w:p>
    <w:p w14:paraId="0922DD4E"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rtl/>
          <w:lang w:eastAsia="de-DE"/>
        </w:rPr>
        <w:lastRenderedPageBreak/>
        <w:t>אֲשֶׁר הֹלִיכֲךָ יְהוָה אֱלֹהֶיךָ זֶה אַרְבָּעִים שָׁנָה בַּמִּדְבָּר</w:t>
      </w:r>
      <w:r w:rsidRPr="008D5AF6">
        <w:rPr>
          <w:rFonts w:eastAsia="Times New Roman"/>
          <w:rtl/>
          <w:lang w:eastAsia="de-DE"/>
        </w:rPr>
        <w:t xml:space="preserve"> </w:t>
      </w:r>
      <w:r w:rsidRPr="008D5AF6">
        <w:rPr>
          <w:rFonts w:eastAsia="Times New Roman"/>
          <w:lang w:eastAsia="de-DE"/>
        </w:rPr>
        <w:t xml:space="preserve">ist ein Relativsatz: </w:t>
      </w:r>
      <w:r w:rsidRPr="008D5AF6">
        <w:rPr>
          <w:rFonts w:eastAsia="Times New Roman"/>
          <w:b/>
          <w:bCs/>
          <w:rtl/>
          <w:lang w:eastAsia="de-DE"/>
        </w:rPr>
        <w:t>אֲשֶׁר</w:t>
      </w:r>
      <w:r w:rsidRPr="008D5AF6">
        <w:rPr>
          <w:rFonts w:eastAsia="Times New Roman"/>
          <w:rtl/>
          <w:lang w:eastAsia="de-DE"/>
        </w:rPr>
        <w:t xml:space="preserve"> </w:t>
      </w:r>
      <w:r w:rsidRPr="008D5AF6">
        <w:rPr>
          <w:rFonts w:eastAsia="Times New Roman"/>
          <w:lang w:eastAsia="de-DE"/>
        </w:rPr>
        <w:t xml:space="preserve">als Relativpronomen, </w:t>
      </w:r>
      <w:r w:rsidRPr="008D5AF6">
        <w:rPr>
          <w:rFonts w:eastAsia="Times New Roman"/>
          <w:b/>
          <w:bCs/>
          <w:rtl/>
          <w:lang w:eastAsia="de-DE"/>
        </w:rPr>
        <w:t>הֹלִיכֲךָ</w:t>
      </w:r>
      <w:r w:rsidRPr="008D5AF6">
        <w:rPr>
          <w:rFonts w:eastAsia="Times New Roman"/>
          <w:rtl/>
          <w:lang w:eastAsia="de-DE"/>
        </w:rPr>
        <w:t xml:space="preserve"> </w:t>
      </w:r>
      <w:r w:rsidRPr="008D5AF6">
        <w:rPr>
          <w:rFonts w:eastAsia="Times New Roman"/>
          <w:lang w:eastAsia="de-DE"/>
        </w:rPr>
        <w:t xml:space="preserve">als Hifil Perfekt, 3. Person Singular maskulin von </w:t>
      </w:r>
      <w:r w:rsidRPr="008D5AF6">
        <w:rPr>
          <w:rFonts w:eastAsia="Times New Roman"/>
          <w:b/>
          <w:bCs/>
          <w:rtl/>
          <w:lang w:eastAsia="de-DE"/>
        </w:rPr>
        <w:t>הלך</w:t>
      </w:r>
      <w:r w:rsidRPr="008D5AF6">
        <w:rPr>
          <w:rFonts w:eastAsia="Times New Roman"/>
          <w:lang w:eastAsia="de-DE"/>
        </w:rPr>
        <w:t xml:space="preserve">, „gehen" – im Hifil „gehen lassen, führen, wandern lassen", mit Suffix 2. Person Singular maskulin, </w:t>
      </w:r>
      <w:r w:rsidRPr="008D5AF6">
        <w:rPr>
          <w:rFonts w:eastAsia="Times New Roman"/>
          <w:b/>
          <w:bCs/>
          <w:rtl/>
          <w:lang w:eastAsia="de-DE"/>
        </w:rPr>
        <w:t>יְהוָה אֱלֹהֶיךָ</w:t>
      </w:r>
      <w:r w:rsidRPr="008D5AF6">
        <w:rPr>
          <w:rFonts w:eastAsia="Times New Roman"/>
          <w:rtl/>
          <w:lang w:eastAsia="de-DE"/>
        </w:rPr>
        <w:t xml:space="preserve"> </w:t>
      </w:r>
      <w:r w:rsidRPr="008D5AF6">
        <w:rPr>
          <w:rFonts w:eastAsia="Times New Roman"/>
          <w:lang w:eastAsia="de-DE"/>
        </w:rPr>
        <w:t xml:space="preserve">als erweitertes Subjekt, </w:t>
      </w:r>
      <w:r w:rsidRPr="008D5AF6">
        <w:rPr>
          <w:rFonts w:eastAsia="Times New Roman"/>
          <w:b/>
          <w:bCs/>
          <w:rtl/>
          <w:lang w:eastAsia="de-DE"/>
        </w:rPr>
        <w:t>זֶה אַרְבָּעִים שָׁנָה</w:t>
      </w:r>
      <w:r w:rsidRPr="008D5AF6">
        <w:rPr>
          <w:rFonts w:eastAsia="Times New Roman"/>
          <w:rtl/>
          <w:lang w:eastAsia="de-DE"/>
        </w:rPr>
        <w:t xml:space="preserve"> </w:t>
      </w:r>
      <w:r w:rsidRPr="008D5AF6">
        <w:rPr>
          <w:rFonts w:eastAsia="Times New Roman"/>
          <w:lang w:eastAsia="de-DE"/>
        </w:rPr>
        <w:t>als temporale Bestimmung (</w:t>
      </w:r>
      <w:r w:rsidRPr="008D5AF6">
        <w:rPr>
          <w:rFonts w:eastAsia="Times New Roman"/>
          <w:b/>
          <w:bCs/>
          <w:rtl/>
          <w:lang w:eastAsia="de-DE"/>
        </w:rPr>
        <w:t>זֶה</w:t>
      </w:r>
      <w:r w:rsidRPr="008D5AF6">
        <w:rPr>
          <w:rFonts w:eastAsia="Times New Roman"/>
          <w:lang w:eastAsia="de-DE"/>
        </w:rPr>
        <w:t xml:space="preserve">, Demonstrativpronomen – „diese", </w:t>
      </w:r>
      <w:r w:rsidRPr="008D5AF6">
        <w:rPr>
          <w:rFonts w:eastAsia="Times New Roman"/>
          <w:b/>
          <w:bCs/>
          <w:rtl/>
          <w:lang w:eastAsia="de-DE"/>
        </w:rPr>
        <w:t>אַרְבָּעִים שָׁנָה</w:t>
      </w:r>
      <w:r w:rsidRPr="008D5AF6">
        <w:rPr>
          <w:rFonts w:eastAsia="Times New Roman"/>
          <w:lang w:eastAsia="de-DE"/>
        </w:rPr>
        <w:t xml:space="preserve">, „vierzig Jahre"), </w:t>
      </w:r>
      <w:r w:rsidRPr="008D5AF6">
        <w:rPr>
          <w:rFonts w:eastAsia="Times New Roman"/>
          <w:b/>
          <w:bCs/>
          <w:rtl/>
          <w:lang w:eastAsia="de-DE"/>
        </w:rPr>
        <w:t>בַּמִּדְבָּר</w:t>
      </w:r>
      <w:r w:rsidRPr="008D5AF6">
        <w:rPr>
          <w:rFonts w:eastAsia="Times New Roman"/>
          <w:rtl/>
          <w:lang w:eastAsia="de-DE"/>
        </w:rPr>
        <w:t xml:space="preserve"> </w:t>
      </w:r>
      <w:r w:rsidRPr="008D5AF6">
        <w:rPr>
          <w:rFonts w:eastAsia="Times New Roman"/>
          <w:lang w:eastAsia="de-DE"/>
        </w:rPr>
        <w:t>als Ortsangabe (</w:t>
      </w:r>
      <w:r w:rsidRPr="008D5AF6">
        <w:rPr>
          <w:rFonts w:eastAsia="Times New Roman"/>
          <w:b/>
          <w:bCs/>
          <w:rtl/>
          <w:lang w:eastAsia="de-DE"/>
        </w:rPr>
        <w:t>בְּ</w:t>
      </w:r>
      <w:r w:rsidRPr="008D5AF6">
        <w:rPr>
          <w:rFonts w:eastAsia="Times New Roman"/>
          <w:rtl/>
          <w:lang w:eastAsia="de-DE"/>
        </w:rPr>
        <w:t xml:space="preserve"> </w:t>
      </w:r>
      <w:r w:rsidRPr="008D5AF6">
        <w:rPr>
          <w:rFonts w:eastAsia="Times New Roman"/>
          <w:lang w:eastAsia="de-DE"/>
        </w:rPr>
        <w:t xml:space="preserve">mit </w:t>
      </w:r>
      <w:r w:rsidRPr="008D5AF6">
        <w:rPr>
          <w:rFonts w:eastAsia="Times New Roman"/>
          <w:b/>
          <w:bCs/>
          <w:rtl/>
          <w:lang w:eastAsia="de-DE"/>
        </w:rPr>
        <w:t>מִדְבָּר</w:t>
      </w:r>
      <w:r w:rsidRPr="008D5AF6">
        <w:rPr>
          <w:rFonts w:eastAsia="Times New Roman"/>
          <w:lang w:eastAsia="de-DE"/>
        </w:rPr>
        <w:t>, „Wüste", mit Artikel).</w:t>
      </w:r>
    </w:p>
    <w:p w14:paraId="1990A95E"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rtl/>
          <w:lang w:eastAsia="de-DE"/>
        </w:rPr>
        <w:t>לְמַעַן עַנֹּתְךָ לְנַסֹּתְךָ לָדַעַת אֶת־אֲשֶׁר בִּלְבָבְךָ הֲתִשְׁמֹר מִצְוֹתוֹ אִם־לֹא</w:t>
      </w:r>
      <w:r w:rsidRPr="008D5AF6">
        <w:rPr>
          <w:rFonts w:eastAsia="Times New Roman"/>
          <w:rtl/>
          <w:lang w:eastAsia="de-DE"/>
        </w:rPr>
        <w:t xml:space="preserve"> </w:t>
      </w:r>
      <w:r w:rsidRPr="008D5AF6">
        <w:rPr>
          <w:rFonts w:eastAsia="Times New Roman"/>
          <w:lang w:eastAsia="de-DE"/>
        </w:rPr>
        <w:t xml:space="preserve">ist eine dreigliedrige finale Konstruktion: </w:t>
      </w:r>
      <w:r w:rsidRPr="008D5AF6">
        <w:rPr>
          <w:rFonts w:eastAsia="Times New Roman"/>
          <w:b/>
          <w:bCs/>
          <w:rtl/>
          <w:lang w:eastAsia="de-DE"/>
        </w:rPr>
        <w:t>לְמַעַן</w:t>
      </w:r>
      <w:r w:rsidRPr="008D5AF6">
        <w:rPr>
          <w:rFonts w:eastAsia="Times New Roman"/>
          <w:rtl/>
          <w:lang w:eastAsia="de-DE"/>
        </w:rPr>
        <w:t xml:space="preserve"> </w:t>
      </w:r>
      <w:r w:rsidRPr="008D5AF6">
        <w:rPr>
          <w:rFonts w:eastAsia="Times New Roman"/>
          <w:lang w:eastAsia="de-DE"/>
        </w:rPr>
        <w:t xml:space="preserve">(„um zu, damit"), </w:t>
      </w:r>
      <w:r w:rsidRPr="008D5AF6">
        <w:rPr>
          <w:rFonts w:eastAsia="Times New Roman"/>
          <w:b/>
          <w:bCs/>
          <w:rtl/>
          <w:lang w:eastAsia="de-DE"/>
        </w:rPr>
        <w:t>עַנֹּתְךָ</w:t>
      </w:r>
      <w:r w:rsidRPr="008D5AF6">
        <w:rPr>
          <w:rFonts w:eastAsia="Times New Roman"/>
          <w:rtl/>
          <w:lang w:eastAsia="de-DE"/>
        </w:rPr>
        <w:t xml:space="preserve"> </w:t>
      </w:r>
      <w:r w:rsidRPr="008D5AF6">
        <w:rPr>
          <w:rFonts w:eastAsia="Times New Roman"/>
          <w:lang w:eastAsia="de-DE"/>
        </w:rPr>
        <w:t xml:space="preserve">als Piel Infinitiv Construct von </w:t>
      </w:r>
      <w:r w:rsidRPr="008D5AF6">
        <w:rPr>
          <w:rFonts w:eastAsia="Times New Roman"/>
          <w:b/>
          <w:bCs/>
          <w:rtl/>
          <w:lang w:eastAsia="de-DE"/>
        </w:rPr>
        <w:t>ענה</w:t>
      </w:r>
      <w:r w:rsidRPr="008D5AF6">
        <w:rPr>
          <w:rFonts w:eastAsia="Times New Roman"/>
          <w:lang w:eastAsia="de-DE"/>
        </w:rPr>
        <w:t xml:space="preserve">, „demütigen, niedrig machen", mit Suffix 2. Person Singular maskulin als direktes Objekt, </w:t>
      </w:r>
      <w:r w:rsidRPr="008D5AF6">
        <w:rPr>
          <w:rFonts w:eastAsia="Times New Roman"/>
          <w:b/>
          <w:bCs/>
          <w:rtl/>
          <w:lang w:eastAsia="de-DE"/>
        </w:rPr>
        <w:t>לְנַסֹּתְךָ</w:t>
      </w:r>
      <w:r w:rsidRPr="008D5AF6">
        <w:rPr>
          <w:rFonts w:eastAsia="Times New Roman"/>
          <w:rtl/>
          <w:lang w:eastAsia="de-DE"/>
        </w:rPr>
        <w:t xml:space="preserve"> </w:t>
      </w:r>
      <w:r w:rsidRPr="008D5AF6">
        <w:rPr>
          <w:rFonts w:eastAsia="Times New Roman"/>
          <w:lang w:eastAsia="de-DE"/>
        </w:rPr>
        <w:t xml:space="preserve">koordiniert (Piel Infinitiv Construct von </w:t>
      </w:r>
      <w:r w:rsidRPr="008D5AF6">
        <w:rPr>
          <w:rFonts w:eastAsia="Times New Roman"/>
          <w:b/>
          <w:bCs/>
          <w:rtl/>
          <w:lang w:eastAsia="de-DE"/>
        </w:rPr>
        <w:t>נסה</w:t>
      </w:r>
      <w:r w:rsidRPr="008D5AF6">
        <w:rPr>
          <w:rFonts w:eastAsia="Times New Roman"/>
          <w:lang w:eastAsia="de-DE"/>
        </w:rPr>
        <w:t xml:space="preserve">, „prüfen, auf die Probe stellen", mit </w:t>
      </w:r>
      <w:r w:rsidRPr="008D5AF6">
        <w:rPr>
          <w:rFonts w:eastAsia="Times New Roman"/>
          <w:b/>
          <w:bCs/>
          <w:rtl/>
          <w:lang w:eastAsia="de-DE"/>
        </w:rPr>
        <w:t>לְ</w:t>
      </w:r>
      <w:r w:rsidRPr="008D5AF6">
        <w:rPr>
          <w:rFonts w:eastAsia="Times New Roman"/>
          <w:rtl/>
          <w:lang w:eastAsia="de-DE"/>
        </w:rPr>
        <w:t xml:space="preserve"> </w:t>
      </w:r>
      <w:r w:rsidRPr="008D5AF6">
        <w:rPr>
          <w:rFonts w:eastAsia="Times New Roman"/>
          <w:lang w:eastAsia="de-DE"/>
        </w:rPr>
        <w:t xml:space="preserve">und Suffix), </w:t>
      </w:r>
      <w:r w:rsidRPr="008D5AF6">
        <w:rPr>
          <w:rFonts w:eastAsia="Times New Roman"/>
          <w:b/>
          <w:bCs/>
          <w:rtl/>
          <w:lang w:eastAsia="de-DE"/>
        </w:rPr>
        <w:t>לָדַעַת אֶת־אֲשֶׁר בִּלְבָבְךָ</w:t>
      </w:r>
      <w:r w:rsidRPr="008D5AF6">
        <w:rPr>
          <w:rFonts w:eastAsia="Times New Roman"/>
          <w:rtl/>
          <w:lang w:eastAsia="de-DE"/>
        </w:rPr>
        <w:t xml:space="preserve"> </w:t>
      </w:r>
      <w:r w:rsidRPr="008D5AF6">
        <w:rPr>
          <w:rFonts w:eastAsia="Times New Roman"/>
          <w:lang w:eastAsia="de-DE"/>
        </w:rPr>
        <w:t xml:space="preserve">als dritte finale Konstruktion (Qal Infinitiv Construct von </w:t>
      </w:r>
      <w:r w:rsidRPr="008D5AF6">
        <w:rPr>
          <w:rFonts w:eastAsia="Times New Roman"/>
          <w:b/>
          <w:bCs/>
          <w:rtl/>
          <w:lang w:eastAsia="de-DE"/>
        </w:rPr>
        <w:t>ידע</w:t>
      </w:r>
      <w:r w:rsidRPr="008D5AF6">
        <w:rPr>
          <w:rFonts w:eastAsia="Times New Roman"/>
          <w:lang w:eastAsia="de-DE"/>
        </w:rPr>
        <w:t xml:space="preserve">, „erkennen, wissen", mit </w:t>
      </w:r>
      <w:r w:rsidRPr="008D5AF6">
        <w:rPr>
          <w:rFonts w:eastAsia="Times New Roman"/>
          <w:b/>
          <w:bCs/>
          <w:rtl/>
          <w:lang w:eastAsia="de-DE"/>
        </w:rPr>
        <w:t>לְ</w:t>
      </w:r>
      <w:r w:rsidRPr="008D5AF6">
        <w:rPr>
          <w:rFonts w:eastAsia="Times New Roman"/>
          <w:lang w:eastAsia="de-DE"/>
        </w:rPr>
        <w:t xml:space="preserve">, </w:t>
      </w:r>
      <w:r w:rsidRPr="008D5AF6">
        <w:rPr>
          <w:rFonts w:eastAsia="Times New Roman"/>
          <w:b/>
          <w:bCs/>
          <w:rtl/>
          <w:lang w:eastAsia="de-DE"/>
        </w:rPr>
        <w:t>אֶת־אֲשֶׁר בִּלְבָבְךָ</w:t>
      </w:r>
      <w:r w:rsidRPr="008D5AF6">
        <w:rPr>
          <w:rFonts w:eastAsia="Times New Roman"/>
          <w:rtl/>
          <w:lang w:eastAsia="de-DE"/>
        </w:rPr>
        <w:t xml:space="preserve"> </w:t>
      </w:r>
      <w:r w:rsidRPr="008D5AF6">
        <w:rPr>
          <w:rFonts w:eastAsia="Times New Roman"/>
          <w:lang w:eastAsia="de-DE"/>
        </w:rPr>
        <w:t xml:space="preserve">als direktes Objekt – </w:t>
      </w:r>
      <w:r w:rsidRPr="008D5AF6">
        <w:rPr>
          <w:rFonts w:eastAsia="Times New Roman"/>
          <w:b/>
          <w:bCs/>
          <w:rtl/>
          <w:lang w:eastAsia="de-DE"/>
        </w:rPr>
        <w:t>אֲשֶׁר</w:t>
      </w:r>
      <w:r w:rsidRPr="008D5AF6">
        <w:rPr>
          <w:rFonts w:eastAsia="Times New Roman"/>
          <w:rtl/>
          <w:lang w:eastAsia="de-DE"/>
        </w:rPr>
        <w:t xml:space="preserve"> </w:t>
      </w:r>
      <w:r w:rsidRPr="008D5AF6">
        <w:rPr>
          <w:rFonts w:eastAsia="Times New Roman"/>
          <w:lang w:eastAsia="de-DE"/>
        </w:rPr>
        <w:t xml:space="preserve">mit </w:t>
      </w:r>
      <w:r w:rsidRPr="008D5AF6">
        <w:rPr>
          <w:rFonts w:eastAsia="Times New Roman"/>
          <w:b/>
          <w:bCs/>
          <w:rtl/>
          <w:lang w:eastAsia="de-DE"/>
        </w:rPr>
        <w:t>בִּלְבָבְךָ</w:t>
      </w:r>
      <w:r w:rsidRPr="008D5AF6">
        <w:rPr>
          <w:rFonts w:eastAsia="Times New Roman"/>
          <w:rtl/>
          <w:lang w:eastAsia="de-DE"/>
        </w:rPr>
        <w:t xml:space="preserve"> </w:t>
      </w:r>
      <w:r w:rsidRPr="008D5AF6">
        <w:rPr>
          <w:rFonts w:eastAsia="Times New Roman"/>
          <w:lang w:eastAsia="de-DE"/>
        </w:rPr>
        <w:t xml:space="preserve">als Ortsangabe: „was in deinem Herzen ist"), </w:t>
      </w:r>
      <w:r w:rsidRPr="008D5AF6">
        <w:rPr>
          <w:rFonts w:eastAsia="Times New Roman"/>
          <w:b/>
          <w:bCs/>
          <w:rtl/>
          <w:lang w:eastAsia="de-DE"/>
        </w:rPr>
        <w:t>הֲתִשְׁמֹר מִצְוֹתוֹ אִם־לֹא</w:t>
      </w:r>
      <w:r w:rsidRPr="008D5AF6">
        <w:rPr>
          <w:rFonts w:eastAsia="Times New Roman"/>
          <w:rtl/>
          <w:lang w:eastAsia="de-DE"/>
        </w:rPr>
        <w:t xml:space="preserve"> </w:t>
      </w:r>
      <w:r w:rsidRPr="008D5AF6">
        <w:rPr>
          <w:rFonts w:eastAsia="Times New Roman"/>
          <w:lang w:eastAsia="de-DE"/>
        </w:rPr>
        <w:t>als indirekte Frage (</w:t>
      </w:r>
      <w:r w:rsidRPr="008D5AF6">
        <w:rPr>
          <w:rFonts w:eastAsia="Times New Roman"/>
          <w:b/>
          <w:bCs/>
          <w:rtl/>
          <w:lang w:eastAsia="de-DE"/>
        </w:rPr>
        <w:t>הֲ</w:t>
      </w:r>
      <w:r w:rsidRPr="008D5AF6">
        <w:rPr>
          <w:rFonts w:eastAsia="Times New Roman"/>
          <w:rtl/>
          <w:lang w:eastAsia="de-DE"/>
        </w:rPr>
        <w:t xml:space="preserve"> </w:t>
      </w:r>
      <w:r w:rsidRPr="008D5AF6">
        <w:rPr>
          <w:rFonts w:eastAsia="Times New Roman"/>
          <w:lang w:eastAsia="de-DE"/>
        </w:rPr>
        <w:t xml:space="preserve">als Fragepartikel, </w:t>
      </w:r>
      <w:r w:rsidRPr="008D5AF6">
        <w:rPr>
          <w:rFonts w:eastAsia="Times New Roman"/>
          <w:b/>
          <w:bCs/>
          <w:rtl/>
          <w:lang w:eastAsia="de-DE"/>
        </w:rPr>
        <w:t>תִּשְׁמֹר</w:t>
      </w:r>
      <w:r w:rsidRPr="008D5AF6">
        <w:rPr>
          <w:rFonts w:eastAsia="Times New Roman"/>
          <w:rtl/>
          <w:lang w:eastAsia="de-DE"/>
        </w:rPr>
        <w:t xml:space="preserve"> </w:t>
      </w:r>
      <w:r w:rsidRPr="008D5AF6">
        <w:rPr>
          <w:rFonts w:eastAsia="Times New Roman"/>
          <w:lang w:eastAsia="de-DE"/>
        </w:rPr>
        <w:t xml:space="preserve">als Qal Imperfekt, 2. Person Singular maskulin von </w:t>
      </w:r>
      <w:r w:rsidRPr="008D5AF6">
        <w:rPr>
          <w:rFonts w:eastAsia="Times New Roman"/>
          <w:b/>
          <w:bCs/>
          <w:rtl/>
          <w:lang w:eastAsia="de-DE"/>
        </w:rPr>
        <w:t>שׁמר</w:t>
      </w:r>
      <w:r w:rsidRPr="008D5AF6">
        <w:rPr>
          <w:rFonts w:eastAsia="Times New Roman"/>
          <w:lang w:eastAsia="de-DE"/>
        </w:rPr>
        <w:t xml:space="preserve">, „halten", </w:t>
      </w:r>
      <w:r w:rsidRPr="008D5AF6">
        <w:rPr>
          <w:rFonts w:eastAsia="Times New Roman"/>
          <w:b/>
          <w:bCs/>
          <w:rtl/>
          <w:lang w:eastAsia="de-DE"/>
        </w:rPr>
        <w:t>מִצְוֹתוֹ</w:t>
      </w:r>
      <w:r w:rsidRPr="008D5AF6">
        <w:rPr>
          <w:rFonts w:eastAsia="Times New Roman"/>
          <w:rtl/>
          <w:lang w:eastAsia="de-DE"/>
        </w:rPr>
        <w:t xml:space="preserve"> </w:t>
      </w:r>
      <w:r w:rsidRPr="008D5AF6">
        <w:rPr>
          <w:rFonts w:eastAsia="Times New Roman"/>
          <w:lang w:eastAsia="de-DE"/>
        </w:rPr>
        <w:t xml:space="preserve">als direktes Objekt – </w:t>
      </w:r>
      <w:r w:rsidRPr="008D5AF6">
        <w:rPr>
          <w:rFonts w:eastAsia="Times New Roman"/>
          <w:b/>
          <w:bCs/>
          <w:rtl/>
          <w:lang w:eastAsia="de-DE"/>
        </w:rPr>
        <w:t>מִצְוָה</w:t>
      </w:r>
      <w:r w:rsidRPr="008D5AF6">
        <w:rPr>
          <w:rFonts w:eastAsia="Times New Roman"/>
          <w:lang w:eastAsia="de-DE"/>
        </w:rPr>
        <w:t xml:space="preserve">, Plural, mit Suffix 3. Person Singular maskulin, </w:t>
      </w:r>
      <w:r w:rsidRPr="008D5AF6">
        <w:rPr>
          <w:rFonts w:eastAsia="Times New Roman"/>
          <w:b/>
          <w:bCs/>
          <w:rtl/>
          <w:lang w:eastAsia="de-DE"/>
        </w:rPr>
        <w:t>אִם־לֹא</w:t>
      </w:r>
      <w:r w:rsidRPr="008D5AF6">
        <w:rPr>
          <w:rFonts w:eastAsia="Times New Roman"/>
          <w:rtl/>
          <w:lang w:eastAsia="de-DE"/>
        </w:rPr>
        <w:t xml:space="preserve"> </w:t>
      </w:r>
      <w:r w:rsidRPr="008D5AF6">
        <w:rPr>
          <w:rFonts w:eastAsia="Times New Roman"/>
          <w:lang w:eastAsia="de-DE"/>
        </w:rPr>
        <w:t>als alternative Konjunktion – „oder nicht").</w:t>
      </w:r>
    </w:p>
    <w:p w14:paraId="5DBE3F2F"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 xml:space="preserve">Die Wüstenwanderung wird als Prüfungszeit gedeutet: JHWH führte Israel 40 Jahre durch die Wüste, um es zu demütigen und zu prüfen. Die dreifache Zielsetzung (demütigen – prüfen – erkennen) entfaltet den pädagogischen Charakter der Wüstenzeit. Das Verb </w:t>
      </w:r>
      <w:r w:rsidRPr="008D5AF6">
        <w:rPr>
          <w:rFonts w:eastAsia="Times New Roman"/>
          <w:b/>
          <w:bCs/>
          <w:rtl/>
          <w:lang w:eastAsia="de-DE"/>
        </w:rPr>
        <w:t>ענה</w:t>
      </w:r>
      <w:r w:rsidRPr="008D5AF6">
        <w:rPr>
          <w:rFonts w:eastAsia="Times New Roman"/>
          <w:rtl/>
          <w:lang w:eastAsia="de-DE"/>
        </w:rPr>
        <w:t xml:space="preserve"> </w:t>
      </w:r>
      <w:r w:rsidRPr="008D5AF6">
        <w:rPr>
          <w:rFonts w:eastAsia="Times New Roman"/>
          <w:lang w:eastAsia="de-DE"/>
        </w:rPr>
        <w:t xml:space="preserve">(„demütigen") kann sowohl „niedrig machen, erniedrigen" als auch „prüfen, heimsuchen" bedeuten. Die indirekte Frage </w:t>
      </w:r>
      <w:r w:rsidRPr="008D5AF6">
        <w:rPr>
          <w:rFonts w:eastAsia="Times New Roman"/>
          <w:b/>
          <w:bCs/>
          <w:rtl/>
          <w:lang w:eastAsia="de-DE"/>
        </w:rPr>
        <w:t>הֲתִשְׁמֹר מִצְוֹתוֹ אִם־לֹא</w:t>
      </w:r>
      <w:r w:rsidRPr="008D5AF6">
        <w:rPr>
          <w:rFonts w:eastAsia="Times New Roman"/>
          <w:rtl/>
          <w:lang w:eastAsia="de-DE"/>
        </w:rPr>
        <w:t xml:space="preserve"> </w:t>
      </w:r>
      <w:r w:rsidRPr="008D5AF6">
        <w:rPr>
          <w:rFonts w:eastAsia="Times New Roman"/>
          <w:lang w:eastAsia="de-DE"/>
        </w:rPr>
        <w:t>(„ob du seine Gebote halten würdest oder nicht") formuliert das Ziel der Prüfung: die Erkenntnis der inneren Haltung Israels.</w:t>
      </w:r>
    </w:p>
    <w:p w14:paraId="74BCB255"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Die Satzstruktur ist ein imperativisches Perfekt consecutivum mit direktem Objekt, erweitert durch einen umfangreichen Relativsatz (mit Prädikat und Suffix-Objekt, erweitertem Subjekt, temporaler und lokaler Bestimmung), gefolgt von einer dreigliedrigen finalen Konstruktion (zwei Infinitive mit Suffix-Objekt, der dritte mit direktem Objekt in Relativsatzform) und einer indirekten Frage mit Prädikat, direktem Objekt und alternativer Konjunktion. Die verschachtelte Struktur entfaltet den pädagogischen Sinn der Wüstenzeit.</w:t>
      </w:r>
    </w:p>
    <w:p w14:paraId="0612618A"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Der Vers fordert zur Erinnerung an die 40-jährige Wüstenwanderung auf: JHWH führte Israel durch die Wüste, um es zu demütigen, zu prüfen und zu erkennen, ob es seine Gebote halten würde – die Wüste als Prüfungszeit.</w:t>
      </w:r>
    </w:p>
    <w:p w14:paraId="0A34ABF3" w14:textId="77777777" w:rsidR="008D5AF6" w:rsidRPr="008D5AF6" w:rsidRDefault="008D5AF6" w:rsidP="008D5AF6">
      <w:pPr>
        <w:spacing w:before="100" w:beforeAutospacing="1" w:after="100" w:afterAutospacing="1" w:line="240" w:lineRule="auto"/>
        <w:outlineLvl w:val="1"/>
        <w:rPr>
          <w:rFonts w:eastAsia="Times New Roman"/>
          <w:b/>
          <w:bCs/>
          <w:sz w:val="36"/>
          <w:szCs w:val="36"/>
          <w:lang w:eastAsia="de-DE"/>
        </w:rPr>
      </w:pPr>
      <w:r w:rsidRPr="008D5AF6">
        <w:rPr>
          <w:rFonts w:eastAsia="Times New Roman"/>
          <w:b/>
          <w:bCs/>
          <w:sz w:val="36"/>
          <w:szCs w:val="36"/>
          <w:lang w:eastAsia="de-DE"/>
        </w:rPr>
        <w:t>Deuteronomium 8,3</w:t>
      </w:r>
    </w:p>
    <w:p w14:paraId="21B54153"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Hebräisch:</w:t>
      </w:r>
      <w:r w:rsidRPr="008D5AF6">
        <w:rPr>
          <w:rFonts w:eastAsia="Times New Roman"/>
          <w:lang w:eastAsia="de-DE"/>
        </w:rPr>
        <w:t xml:space="preserve"> </w:t>
      </w:r>
      <w:r w:rsidRPr="008D5AF6">
        <w:rPr>
          <w:rFonts w:eastAsia="Times New Roman"/>
          <w:rtl/>
          <w:lang w:eastAsia="de-DE"/>
        </w:rPr>
        <w:t>וַיְעַנְּךָ וַיַּרְעִבֶךָ וַיַּאֲכִלְךָ אֶת־הַמָּן אֲשֶׁר לֹא־יָדַעְתָּ וְלֹא יָדְעוּן אֲבֹתֶיךָ לְמַעַן הוֹדִעֲךָ כִּי לֹא עַל־הַלֶּחֶם לְבַדּוֹ יִחְיֶה הָאָדָם כִּי עַל־כָּל־מוֹצָא פִי־יְהוָה יִחְיֶה הָאָדָם׃</w:t>
      </w:r>
    </w:p>
    <w:p w14:paraId="4197E1E5"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Deutsch:</w:t>
      </w:r>
      <w:r w:rsidRPr="008D5AF6">
        <w:rPr>
          <w:rFonts w:eastAsia="Times New Roman"/>
          <w:lang w:eastAsia="de-DE"/>
        </w:rPr>
        <w:t xml:space="preserve"> Und er demütigte dich und ließ dich hungern; und er speiste dich mit dem Man, das du nicht kanntest und das deine Väter nicht kannten, um dich erkennen zu lassen, dass der Mensch nicht von Brot allein lebt, sondern dass der Mensch von allem lebt, was aus dem Mund des Ewigen hervorgeht.</w:t>
      </w:r>
    </w:p>
    <w:p w14:paraId="7AC1F8BC" w14:textId="77777777" w:rsidR="008D5AF6" w:rsidRPr="008D5AF6" w:rsidRDefault="004F5CEB" w:rsidP="008D5AF6">
      <w:pPr>
        <w:spacing w:after="0" w:line="240" w:lineRule="auto"/>
        <w:rPr>
          <w:rFonts w:eastAsia="Times New Roman"/>
          <w:lang w:eastAsia="de-DE"/>
        </w:rPr>
      </w:pPr>
      <w:r>
        <w:rPr>
          <w:rFonts w:eastAsia="Times New Roman"/>
          <w:noProof/>
          <w:lang w:eastAsia="de-DE"/>
        </w:rPr>
        <w:pict w14:anchorId="5483A7AF">
          <v:rect id="_x0000_i1272" style="width:0;height:1.5pt" o:hralign="center" o:hrstd="t" o:hr="t" fillcolor="#a0a0a0" stroked="f"/>
        </w:pict>
      </w:r>
    </w:p>
    <w:p w14:paraId="7E704FBC"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lastRenderedPageBreak/>
        <w:t>Kommentar:</w:t>
      </w:r>
      <w:r w:rsidRPr="008D5AF6">
        <w:rPr>
          <w:rFonts w:eastAsia="Times New Roman"/>
          <w:lang w:eastAsia="de-DE"/>
        </w:rPr>
        <w:t xml:space="preserve"> </w:t>
      </w:r>
      <w:r w:rsidRPr="008D5AF6">
        <w:rPr>
          <w:rFonts w:eastAsia="Times New Roman"/>
          <w:b/>
          <w:bCs/>
          <w:rtl/>
          <w:lang w:eastAsia="de-DE"/>
        </w:rPr>
        <w:t>וַיְעַנְּךָ וַיַּרְעִבֶךָ וַיַּאֲכִלְךָ אֶת־הַמָּן</w:t>
      </w:r>
      <w:r w:rsidRPr="008D5AF6">
        <w:rPr>
          <w:rFonts w:eastAsia="Times New Roman"/>
          <w:rtl/>
          <w:lang w:eastAsia="de-DE"/>
        </w:rPr>
        <w:t xml:space="preserve"> </w:t>
      </w:r>
      <w:r w:rsidRPr="008D5AF6">
        <w:rPr>
          <w:rFonts w:eastAsia="Times New Roman"/>
          <w:lang w:eastAsia="de-DE"/>
        </w:rPr>
        <w:t xml:space="preserve">ist eine dreigliedrige koordinierte Verbkette: </w:t>
      </w:r>
      <w:r w:rsidRPr="008D5AF6">
        <w:rPr>
          <w:rFonts w:eastAsia="Times New Roman"/>
          <w:b/>
          <w:bCs/>
          <w:rtl/>
          <w:lang w:eastAsia="de-DE"/>
        </w:rPr>
        <w:t>וַיְעַנְּךָ</w:t>
      </w:r>
      <w:r w:rsidRPr="008D5AF6">
        <w:rPr>
          <w:rFonts w:eastAsia="Times New Roman"/>
          <w:rtl/>
          <w:lang w:eastAsia="de-DE"/>
        </w:rPr>
        <w:t xml:space="preserve"> </w:t>
      </w:r>
      <w:r w:rsidRPr="008D5AF6">
        <w:rPr>
          <w:rFonts w:eastAsia="Times New Roman"/>
          <w:lang w:eastAsia="de-DE"/>
        </w:rPr>
        <w:t xml:space="preserve">(Piel Imperfekt consecutivum, 3. Person Singular maskulin von </w:t>
      </w:r>
      <w:r w:rsidRPr="008D5AF6">
        <w:rPr>
          <w:rFonts w:eastAsia="Times New Roman"/>
          <w:b/>
          <w:bCs/>
          <w:rtl/>
          <w:lang w:eastAsia="de-DE"/>
        </w:rPr>
        <w:t>ענה</w:t>
      </w:r>
      <w:r w:rsidRPr="008D5AF6">
        <w:rPr>
          <w:rFonts w:eastAsia="Times New Roman"/>
          <w:lang w:eastAsia="de-DE"/>
        </w:rPr>
        <w:t xml:space="preserve">, „demütigen", mit Waw und Suffix 2. Person Singular maskulin), </w:t>
      </w:r>
      <w:r w:rsidRPr="008D5AF6">
        <w:rPr>
          <w:rFonts w:eastAsia="Times New Roman"/>
          <w:b/>
          <w:bCs/>
          <w:rtl/>
          <w:lang w:eastAsia="de-DE"/>
        </w:rPr>
        <w:t>וַיַּרְעִבֶךָ</w:t>
      </w:r>
      <w:r w:rsidRPr="008D5AF6">
        <w:rPr>
          <w:rFonts w:eastAsia="Times New Roman"/>
          <w:rtl/>
          <w:lang w:eastAsia="de-DE"/>
        </w:rPr>
        <w:t xml:space="preserve"> </w:t>
      </w:r>
      <w:r w:rsidRPr="008D5AF6">
        <w:rPr>
          <w:rFonts w:eastAsia="Times New Roman"/>
          <w:lang w:eastAsia="de-DE"/>
        </w:rPr>
        <w:t xml:space="preserve">koordiniert (Hifil Imperfekt consecutivum, 3. Person Singular maskulin von </w:t>
      </w:r>
      <w:r w:rsidRPr="008D5AF6">
        <w:rPr>
          <w:rFonts w:eastAsia="Times New Roman"/>
          <w:b/>
          <w:bCs/>
          <w:rtl/>
          <w:lang w:eastAsia="de-DE"/>
        </w:rPr>
        <w:t>רעב</w:t>
      </w:r>
      <w:r w:rsidRPr="008D5AF6">
        <w:rPr>
          <w:rFonts w:eastAsia="Times New Roman"/>
          <w:lang w:eastAsia="de-DE"/>
        </w:rPr>
        <w:t xml:space="preserve">, „hungern" – im Hifil „hungern lassen", mit Waw und Suffix), </w:t>
      </w:r>
      <w:r w:rsidRPr="008D5AF6">
        <w:rPr>
          <w:rFonts w:eastAsia="Times New Roman"/>
          <w:b/>
          <w:bCs/>
          <w:rtl/>
          <w:lang w:eastAsia="de-DE"/>
        </w:rPr>
        <w:t>וַיַּאֲכִלְךָ אֶת־הַמָּן</w:t>
      </w:r>
      <w:r w:rsidRPr="008D5AF6">
        <w:rPr>
          <w:rFonts w:eastAsia="Times New Roman"/>
          <w:rtl/>
          <w:lang w:eastAsia="de-DE"/>
        </w:rPr>
        <w:t xml:space="preserve"> </w:t>
      </w:r>
      <w:r w:rsidRPr="008D5AF6">
        <w:rPr>
          <w:rFonts w:eastAsia="Times New Roman"/>
          <w:lang w:eastAsia="de-DE"/>
        </w:rPr>
        <w:t xml:space="preserve">koordiniert (Hifil Imperfekt consecutivum, 3. Person Singular maskulin von </w:t>
      </w:r>
      <w:r w:rsidRPr="008D5AF6">
        <w:rPr>
          <w:rFonts w:eastAsia="Times New Roman"/>
          <w:b/>
          <w:bCs/>
          <w:rtl/>
          <w:lang w:eastAsia="de-DE"/>
        </w:rPr>
        <w:t>אכל</w:t>
      </w:r>
      <w:r w:rsidRPr="008D5AF6">
        <w:rPr>
          <w:rFonts w:eastAsia="Times New Roman"/>
          <w:lang w:eastAsia="de-DE"/>
        </w:rPr>
        <w:t xml:space="preserve">, „essen" – im Hifil „zu essen geben, speisen", mit Waw, Suffix und direktem Objekt: </w:t>
      </w:r>
      <w:r w:rsidRPr="008D5AF6">
        <w:rPr>
          <w:rFonts w:eastAsia="Times New Roman"/>
          <w:b/>
          <w:bCs/>
          <w:rtl/>
          <w:lang w:eastAsia="de-DE"/>
        </w:rPr>
        <w:t>מָן</w:t>
      </w:r>
      <w:r w:rsidRPr="008D5AF6">
        <w:rPr>
          <w:rFonts w:eastAsia="Times New Roman"/>
          <w:lang w:eastAsia="de-DE"/>
        </w:rPr>
        <w:t>, „Manna", mit Artikel).</w:t>
      </w:r>
    </w:p>
    <w:p w14:paraId="35AFE0D9"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rtl/>
          <w:lang w:eastAsia="de-DE"/>
        </w:rPr>
        <w:t>אֲשֶׁר לֹא־יָדַעְתָּ וְלֹא יָדְעוּן אֲבֹתֶיךָ</w:t>
      </w:r>
      <w:r w:rsidRPr="008D5AF6">
        <w:rPr>
          <w:rFonts w:eastAsia="Times New Roman"/>
          <w:rtl/>
          <w:lang w:eastAsia="de-DE"/>
        </w:rPr>
        <w:t xml:space="preserve"> </w:t>
      </w:r>
      <w:r w:rsidRPr="008D5AF6">
        <w:rPr>
          <w:rFonts w:eastAsia="Times New Roman"/>
          <w:lang w:eastAsia="de-DE"/>
        </w:rPr>
        <w:t xml:space="preserve">ist ein Relativsatz mit zweigliedriger Verneinung: </w:t>
      </w:r>
      <w:r w:rsidRPr="008D5AF6">
        <w:rPr>
          <w:rFonts w:eastAsia="Times New Roman"/>
          <w:b/>
          <w:bCs/>
          <w:rtl/>
          <w:lang w:eastAsia="de-DE"/>
        </w:rPr>
        <w:t>אֲשֶׁר</w:t>
      </w:r>
      <w:r w:rsidRPr="008D5AF6">
        <w:rPr>
          <w:rFonts w:eastAsia="Times New Roman"/>
          <w:rtl/>
          <w:lang w:eastAsia="de-DE"/>
        </w:rPr>
        <w:t xml:space="preserve"> </w:t>
      </w:r>
      <w:r w:rsidRPr="008D5AF6">
        <w:rPr>
          <w:rFonts w:eastAsia="Times New Roman"/>
          <w:lang w:eastAsia="de-DE"/>
        </w:rPr>
        <w:t xml:space="preserve">als Relativpronomen, </w:t>
      </w:r>
      <w:r w:rsidRPr="008D5AF6">
        <w:rPr>
          <w:rFonts w:eastAsia="Times New Roman"/>
          <w:b/>
          <w:bCs/>
          <w:rtl/>
          <w:lang w:eastAsia="de-DE"/>
        </w:rPr>
        <w:t>לֹא־יָדַעְתָּ</w:t>
      </w:r>
      <w:r w:rsidRPr="008D5AF6">
        <w:rPr>
          <w:rFonts w:eastAsia="Times New Roman"/>
          <w:rtl/>
          <w:lang w:eastAsia="de-DE"/>
        </w:rPr>
        <w:t xml:space="preserve"> </w:t>
      </w:r>
      <w:r w:rsidRPr="008D5AF6">
        <w:rPr>
          <w:rFonts w:eastAsia="Times New Roman"/>
          <w:lang w:eastAsia="de-DE"/>
        </w:rPr>
        <w:t xml:space="preserve">(Qal Perfekt, 2. Person Singular maskulin von </w:t>
      </w:r>
      <w:r w:rsidRPr="008D5AF6">
        <w:rPr>
          <w:rFonts w:eastAsia="Times New Roman"/>
          <w:b/>
          <w:bCs/>
          <w:rtl/>
          <w:lang w:eastAsia="de-DE"/>
        </w:rPr>
        <w:t>ידע</w:t>
      </w:r>
      <w:r w:rsidRPr="008D5AF6">
        <w:rPr>
          <w:rFonts w:eastAsia="Times New Roman"/>
          <w:lang w:eastAsia="de-DE"/>
        </w:rPr>
        <w:t xml:space="preserve">, „kennen", mit Negation), </w:t>
      </w:r>
      <w:r w:rsidRPr="008D5AF6">
        <w:rPr>
          <w:rFonts w:eastAsia="Times New Roman"/>
          <w:b/>
          <w:bCs/>
          <w:rtl/>
          <w:lang w:eastAsia="de-DE"/>
        </w:rPr>
        <w:t>וְלֹא יָדְעוּן אֲבֹתֶיךָ</w:t>
      </w:r>
      <w:r w:rsidRPr="008D5AF6">
        <w:rPr>
          <w:rFonts w:eastAsia="Times New Roman"/>
          <w:rtl/>
          <w:lang w:eastAsia="de-DE"/>
        </w:rPr>
        <w:t xml:space="preserve"> </w:t>
      </w:r>
      <w:r w:rsidRPr="008D5AF6">
        <w:rPr>
          <w:rFonts w:eastAsia="Times New Roman"/>
          <w:lang w:eastAsia="de-DE"/>
        </w:rPr>
        <w:t xml:space="preserve">koordiniert (Qal Perfekt, 3. Person Plural von </w:t>
      </w:r>
      <w:r w:rsidRPr="008D5AF6">
        <w:rPr>
          <w:rFonts w:eastAsia="Times New Roman"/>
          <w:b/>
          <w:bCs/>
          <w:rtl/>
          <w:lang w:eastAsia="de-DE"/>
        </w:rPr>
        <w:t>ידע</w:t>
      </w:r>
      <w:r w:rsidRPr="008D5AF6">
        <w:rPr>
          <w:rFonts w:eastAsia="Times New Roman"/>
          <w:rtl/>
          <w:lang w:eastAsia="de-DE"/>
        </w:rPr>
        <w:t xml:space="preserve"> </w:t>
      </w:r>
      <w:r w:rsidRPr="008D5AF6">
        <w:rPr>
          <w:rFonts w:eastAsia="Times New Roman"/>
          <w:lang w:eastAsia="de-DE"/>
        </w:rPr>
        <w:t xml:space="preserve">mit paragogischem Nun, Negation, </w:t>
      </w:r>
      <w:r w:rsidRPr="008D5AF6">
        <w:rPr>
          <w:rFonts w:eastAsia="Times New Roman"/>
          <w:b/>
          <w:bCs/>
          <w:rtl/>
          <w:lang w:eastAsia="de-DE"/>
        </w:rPr>
        <w:t>אֲבֹתֶיךָ</w:t>
      </w:r>
      <w:r w:rsidRPr="008D5AF6">
        <w:rPr>
          <w:rFonts w:eastAsia="Times New Roman"/>
          <w:rtl/>
          <w:lang w:eastAsia="de-DE"/>
        </w:rPr>
        <w:t xml:space="preserve"> </w:t>
      </w:r>
      <w:r w:rsidRPr="008D5AF6">
        <w:rPr>
          <w:rFonts w:eastAsia="Times New Roman"/>
          <w:lang w:eastAsia="de-DE"/>
        </w:rPr>
        <w:t>als Subjekt).</w:t>
      </w:r>
    </w:p>
    <w:p w14:paraId="3751C0EB"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rtl/>
          <w:lang w:eastAsia="de-DE"/>
        </w:rPr>
        <w:t>לְמַעַן הוֹדִעֲךָ כִּי לֹא עַל־הַלֶּחֶם לְבַדּוֹ יִחְיֶה הָאָדָם</w:t>
      </w:r>
      <w:r w:rsidRPr="008D5AF6">
        <w:rPr>
          <w:rFonts w:eastAsia="Times New Roman"/>
          <w:rtl/>
          <w:lang w:eastAsia="de-DE"/>
        </w:rPr>
        <w:t xml:space="preserve"> </w:t>
      </w:r>
      <w:r w:rsidRPr="008D5AF6">
        <w:rPr>
          <w:rFonts w:eastAsia="Times New Roman"/>
          <w:lang w:eastAsia="de-DE"/>
        </w:rPr>
        <w:t xml:space="preserve">ist eine finale Konstruktion mit </w:t>
      </w:r>
      <w:r w:rsidRPr="008D5AF6">
        <w:rPr>
          <w:rFonts w:eastAsia="Times New Roman"/>
          <w:b/>
          <w:bCs/>
          <w:rtl/>
          <w:lang w:eastAsia="de-DE"/>
        </w:rPr>
        <w:t>כִּי</w:t>
      </w:r>
      <w:r w:rsidRPr="008D5AF6">
        <w:rPr>
          <w:rFonts w:eastAsia="Times New Roman"/>
          <w:lang w:eastAsia="de-DE"/>
        </w:rPr>
        <w:t xml:space="preserve">-Objektsatz: </w:t>
      </w:r>
      <w:r w:rsidRPr="008D5AF6">
        <w:rPr>
          <w:rFonts w:eastAsia="Times New Roman"/>
          <w:b/>
          <w:bCs/>
          <w:rtl/>
          <w:lang w:eastAsia="de-DE"/>
        </w:rPr>
        <w:t>לְמַעַן</w:t>
      </w:r>
      <w:r w:rsidRPr="008D5AF6">
        <w:rPr>
          <w:rFonts w:eastAsia="Times New Roman"/>
          <w:rtl/>
          <w:lang w:eastAsia="de-DE"/>
        </w:rPr>
        <w:t xml:space="preserve"> </w:t>
      </w:r>
      <w:r w:rsidRPr="008D5AF6">
        <w:rPr>
          <w:rFonts w:eastAsia="Times New Roman"/>
          <w:lang w:eastAsia="de-DE"/>
        </w:rPr>
        <w:t xml:space="preserve">(„damit, um zu"), </w:t>
      </w:r>
      <w:r w:rsidRPr="008D5AF6">
        <w:rPr>
          <w:rFonts w:eastAsia="Times New Roman"/>
          <w:b/>
          <w:bCs/>
          <w:rtl/>
          <w:lang w:eastAsia="de-DE"/>
        </w:rPr>
        <w:t>הוֹדִעֲךָ</w:t>
      </w:r>
      <w:r w:rsidRPr="008D5AF6">
        <w:rPr>
          <w:rFonts w:eastAsia="Times New Roman"/>
          <w:rtl/>
          <w:lang w:eastAsia="de-DE"/>
        </w:rPr>
        <w:t xml:space="preserve"> </w:t>
      </w:r>
      <w:r w:rsidRPr="008D5AF6">
        <w:rPr>
          <w:rFonts w:eastAsia="Times New Roman"/>
          <w:lang w:eastAsia="de-DE"/>
        </w:rPr>
        <w:t xml:space="preserve">als Hifil Infinitiv Construct von </w:t>
      </w:r>
      <w:r w:rsidRPr="008D5AF6">
        <w:rPr>
          <w:rFonts w:eastAsia="Times New Roman"/>
          <w:b/>
          <w:bCs/>
          <w:rtl/>
          <w:lang w:eastAsia="de-DE"/>
        </w:rPr>
        <w:t>ידע</w:t>
      </w:r>
      <w:r w:rsidRPr="008D5AF6">
        <w:rPr>
          <w:rFonts w:eastAsia="Times New Roman"/>
          <w:lang w:eastAsia="de-DE"/>
        </w:rPr>
        <w:t xml:space="preserve">, „erkennen" – im Hifil „erkennen lassen, wissen lassen", mit Suffix 2. Person Singular maskulin als direktes Objekt, </w:t>
      </w:r>
      <w:r w:rsidRPr="008D5AF6">
        <w:rPr>
          <w:rFonts w:eastAsia="Times New Roman"/>
          <w:b/>
          <w:bCs/>
          <w:rtl/>
          <w:lang w:eastAsia="de-DE"/>
        </w:rPr>
        <w:t>כִּי לֹא עַל־הַלֶּחֶם לְבַדּוֹ יִחְיֶה הָאָדָם</w:t>
      </w:r>
      <w:r w:rsidRPr="008D5AF6">
        <w:rPr>
          <w:rFonts w:eastAsia="Times New Roman"/>
          <w:rtl/>
          <w:lang w:eastAsia="de-DE"/>
        </w:rPr>
        <w:t xml:space="preserve"> </w:t>
      </w:r>
      <w:r w:rsidRPr="008D5AF6">
        <w:rPr>
          <w:rFonts w:eastAsia="Times New Roman"/>
          <w:lang w:eastAsia="de-DE"/>
        </w:rPr>
        <w:t xml:space="preserve">als </w:t>
      </w:r>
      <w:r w:rsidRPr="008D5AF6">
        <w:rPr>
          <w:rFonts w:eastAsia="Times New Roman"/>
          <w:b/>
          <w:bCs/>
          <w:rtl/>
          <w:lang w:eastAsia="de-DE"/>
        </w:rPr>
        <w:t>כִּי</w:t>
      </w:r>
      <w:r w:rsidRPr="008D5AF6">
        <w:rPr>
          <w:rFonts w:eastAsia="Times New Roman"/>
          <w:lang w:eastAsia="de-DE"/>
        </w:rPr>
        <w:t xml:space="preserve">-Objektsatz (mit Negation, </w:t>
      </w:r>
      <w:r w:rsidRPr="008D5AF6">
        <w:rPr>
          <w:rFonts w:eastAsia="Times New Roman"/>
          <w:b/>
          <w:bCs/>
          <w:rtl/>
          <w:lang w:eastAsia="de-DE"/>
        </w:rPr>
        <w:t>עַל־הַלֶּחֶם לְבַדּוֹ</w:t>
      </w:r>
      <w:r w:rsidRPr="008D5AF6">
        <w:rPr>
          <w:rFonts w:eastAsia="Times New Roman"/>
          <w:rtl/>
          <w:lang w:eastAsia="de-DE"/>
        </w:rPr>
        <w:t xml:space="preserve"> </w:t>
      </w:r>
      <w:r w:rsidRPr="008D5AF6">
        <w:rPr>
          <w:rFonts w:eastAsia="Times New Roman"/>
          <w:lang w:eastAsia="de-DE"/>
        </w:rPr>
        <w:t xml:space="preserve">als emphatisch vorausgestellter präpositionaler Bestimmung – </w:t>
      </w:r>
      <w:r w:rsidRPr="008D5AF6">
        <w:rPr>
          <w:rFonts w:eastAsia="Times New Roman"/>
          <w:b/>
          <w:bCs/>
          <w:rtl/>
          <w:lang w:eastAsia="de-DE"/>
        </w:rPr>
        <w:t>עַל</w:t>
      </w:r>
      <w:r w:rsidRPr="008D5AF6">
        <w:rPr>
          <w:rFonts w:eastAsia="Times New Roman"/>
          <w:rtl/>
          <w:lang w:eastAsia="de-DE"/>
        </w:rPr>
        <w:t xml:space="preserve"> </w:t>
      </w:r>
      <w:r w:rsidRPr="008D5AF6">
        <w:rPr>
          <w:rFonts w:eastAsia="Times New Roman"/>
          <w:lang w:eastAsia="de-DE"/>
        </w:rPr>
        <w:t xml:space="preserve">mit </w:t>
      </w:r>
      <w:r w:rsidRPr="008D5AF6">
        <w:rPr>
          <w:rFonts w:eastAsia="Times New Roman"/>
          <w:b/>
          <w:bCs/>
          <w:rtl/>
          <w:lang w:eastAsia="de-DE"/>
        </w:rPr>
        <w:t>לֶחֶם</w:t>
      </w:r>
      <w:r w:rsidRPr="008D5AF6">
        <w:rPr>
          <w:rFonts w:eastAsia="Times New Roman"/>
          <w:lang w:eastAsia="de-DE"/>
        </w:rPr>
        <w:t xml:space="preserve">, „Brot", mit Artikel, </w:t>
      </w:r>
      <w:r w:rsidRPr="008D5AF6">
        <w:rPr>
          <w:rFonts w:eastAsia="Times New Roman"/>
          <w:b/>
          <w:bCs/>
          <w:rtl/>
          <w:lang w:eastAsia="de-DE"/>
        </w:rPr>
        <w:t>לְבַדּוֹ</w:t>
      </w:r>
      <w:r w:rsidRPr="008D5AF6">
        <w:rPr>
          <w:rFonts w:eastAsia="Times New Roman"/>
          <w:rtl/>
          <w:lang w:eastAsia="de-DE"/>
        </w:rPr>
        <w:t xml:space="preserve"> </w:t>
      </w:r>
      <w:r w:rsidRPr="008D5AF6">
        <w:rPr>
          <w:rFonts w:eastAsia="Times New Roman"/>
          <w:lang w:eastAsia="de-DE"/>
        </w:rPr>
        <w:t xml:space="preserve">als Adverb mit Suffix – „allein, nur", </w:t>
      </w:r>
      <w:r w:rsidRPr="008D5AF6">
        <w:rPr>
          <w:rFonts w:eastAsia="Times New Roman"/>
          <w:b/>
          <w:bCs/>
          <w:rtl/>
          <w:lang w:eastAsia="de-DE"/>
        </w:rPr>
        <w:t>יִחְיֶה</w:t>
      </w:r>
      <w:r w:rsidRPr="008D5AF6">
        <w:rPr>
          <w:rFonts w:eastAsia="Times New Roman"/>
          <w:rtl/>
          <w:lang w:eastAsia="de-DE"/>
        </w:rPr>
        <w:t xml:space="preserve"> </w:t>
      </w:r>
      <w:r w:rsidRPr="008D5AF6">
        <w:rPr>
          <w:rFonts w:eastAsia="Times New Roman"/>
          <w:lang w:eastAsia="de-DE"/>
        </w:rPr>
        <w:t xml:space="preserve">als Qal Imperfekt, 3. Person Singular maskulin von </w:t>
      </w:r>
      <w:r w:rsidRPr="008D5AF6">
        <w:rPr>
          <w:rFonts w:eastAsia="Times New Roman"/>
          <w:b/>
          <w:bCs/>
          <w:rtl/>
          <w:lang w:eastAsia="de-DE"/>
        </w:rPr>
        <w:t>חיה</w:t>
      </w:r>
      <w:r w:rsidRPr="008D5AF6">
        <w:rPr>
          <w:rFonts w:eastAsia="Times New Roman"/>
          <w:lang w:eastAsia="de-DE"/>
        </w:rPr>
        <w:t xml:space="preserve">, „leben", </w:t>
      </w:r>
      <w:r w:rsidRPr="008D5AF6">
        <w:rPr>
          <w:rFonts w:eastAsia="Times New Roman"/>
          <w:b/>
          <w:bCs/>
          <w:rtl/>
          <w:lang w:eastAsia="de-DE"/>
        </w:rPr>
        <w:t>הָאָדָם</w:t>
      </w:r>
      <w:r w:rsidRPr="008D5AF6">
        <w:rPr>
          <w:rFonts w:eastAsia="Times New Roman"/>
          <w:rtl/>
          <w:lang w:eastAsia="de-DE"/>
        </w:rPr>
        <w:t xml:space="preserve"> </w:t>
      </w:r>
      <w:r w:rsidRPr="008D5AF6">
        <w:rPr>
          <w:rFonts w:eastAsia="Times New Roman"/>
          <w:lang w:eastAsia="de-DE"/>
        </w:rPr>
        <w:t>als Subjekt).</w:t>
      </w:r>
    </w:p>
    <w:p w14:paraId="5662DA47"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rtl/>
          <w:lang w:eastAsia="de-DE"/>
        </w:rPr>
        <w:t>כִּי עַל־כָּל־מוֹצָא פִי־יְהוָה יִחְיֶה הָאָדָם</w:t>
      </w:r>
      <w:r w:rsidRPr="008D5AF6">
        <w:rPr>
          <w:rFonts w:eastAsia="Times New Roman"/>
          <w:rtl/>
          <w:lang w:eastAsia="de-DE"/>
        </w:rPr>
        <w:t xml:space="preserve"> </w:t>
      </w:r>
      <w:r w:rsidRPr="008D5AF6">
        <w:rPr>
          <w:rFonts w:eastAsia="Times New Roman"/>
          <w:lang w:eastAsia="de-DE"/>
        </w:rPr>
        <w:t xml:space="preserve">ist ein adversativer </w:t>
      </w:r>
      <w:r w:rsidRPr="008D5AF6">
        <w:rPr>
          <w:rFonts w:eastAsia="Times New Roman"/>
          <w:b/>
          <w:bCs/>
          <w:rtl/>
          <w:lang w:eastAsia="de-DE"/>
        </w:rPr>
        <w:t>כִּי</w:t>
      </w:r>
      <w:r w:rsidRPr="008D5AF6">
        <w:rPr>
          <w:rFonts w:eastAsia="Times New Roman"/>
          <w:lang w:eastAsia="de-DE"/>
        </w:rPr>
        <w:t xml:space="preserve">-Satz: </w:t>
      </w:r>
      <w:r w:rsidRPr="008D5AF6">
        <w:rPr>
          <w:rFonts w:eastAsia="Times New Roman"/>
          <w:b/>
          <w:bCs/>
          <w:rtl/>
          <w:lang w:eastAsia="de-DE"/>
        </w:rPr>
        <w:t>כִּי</w:t>
      </w:r>
      <w:r w:rsidRPr="008D5AF6">
        <w:rPr>
          <w:rFonts w:eastAsia="Times New Roman"/>
          <w:rtl/>
          <w:lang w:eastAsia="de-DE"/>
        </w:rPr>
        <w:t xml:space="preserve"> </w:t>
      </w:r>
      <w:r w:rsidRPr="008D5AF6">
        <w:rPr>
          <w:rFonts w:eastAsia="Times New Roman"/>
          <w:lang w:eastAsia="de-DE"/>
        </w:rPr>
        <w:t xml:space="preserve">als Konjunktion („sondern"), </w:t>
      </w:r>
      <w:r w:rsidRPr="008D5AF6">
        <w:rPr>
          <w:rFonts w:eastAsia="Times New Roman"/>
          <w:b/>
          <w:bCs/>
          <w:rtl/>
          <w:lang w:eastAsia="de-DE"/>
        </w:rPr>
        <w:t>עַל־כָּל־מוֹצָא פִי־יְהוָה</w:t>
      </w:r>
      <w:r w:rsidRPr="008D5AF6">
        <w:rPr>
          <w:rFonts w:eastAsia="Times New Roman"/>
          <w:rtl/>
          <w:lang w:eastAsia="de-DE"/>
        </w:rPr>
        <w:t xml:space="preserve"> </w:t>
      </w:r>
      <w:r w:rsidRPr="008D5AF6">
        <w:rPr>
          <w:rFonts w:eastAsia="Times New Roman"/>
          <w:lang w:eastAsia="de-DE"/>
        </w:rPr>
        <w:t>als emphatisch vorausgestellte präpositionale Bestimmung (</w:t>
      </w:r>
      <w:r w:rsidRPr="008D5AF6">
        <w:rPr>
          <w:rFonts w:eastAsia="Times New Roman"/>
          <w:b/>
          <w:bCs/>
          <w:rtl/>
          <w:lang w:eastAsia="de-DE"/>
        </w:rPr>
        <w:t>עַל</w:t>
      </w:r>
      <w:r w:rsidRPr="008D5AF6">
        <w:rPr>
          <w:rFonts w:eastAsia="Times New Roman"/>
          <w:rtl/>
          <w:lang w:eastAsia="de-DE"/>
        </w:rPr>
        <w:t xml:space="preserve"> </w:t>
      </w:r>
      <w:r w:rsidRPr="008D5AF6">
        <w:rPr>
          <w:rFonts w:eastAsia="Times New Roman"/>
          <w:lang w:eastAsia="de-DE"/>
        </w:rPr>
        <w:t xml:space="preserve">mit </w:t>
      </w:r>
      <w:r w:rsidRPr="008D5AF6">
        <w:rPr>
          <w:rFonts w:eastAsia="Times New Roman"/>
          <w:b/>
          <w:bCs/>
          <w:rtl/>
          <w:lang w:eastAsia="de-DE"/>
        </w:rPr>
        <w:t>כָּל</w:t>
      </w:r>
      <w:r w:rsidRPr="008D5AF6">
        <w:rPr>
          <w:rFonts w:eastAsia="Times New Roman"/>
          <w:rtl/>
          <w:lang w:eastAsia="de-DE"/>
        </w:rPr>
        <w:t xml:space="preserve"> </w:t>
      </w:r>
      <w:r w:rsidRPr="008D5AF6">
        <w:rPr>
          <w:rFonts w:eastAsia="Times New Roman"/>
          <w:lang w:eastAsia="de-DE"/>
        </w:rPr>
        <w:t xml:space="preserve">im Construct, </w:t>
      </w:r>
      <w:r w:rsidRPr="008D5AF6">
        <w:rPr>
          <w:rFonts w:eastAsia="Times New Roman"/>
          <w:b/>
          <w:bCs/>
          <w:rtl/>
          <w:lang w:eastAsia="de-DE"/>
        </w:rPr>
        <w:t>מוֹצָא</w:t>
      </w:r>
      <w:r w:rsidRPr="008D5AF6">
        <w:rPr>
          <w:rFonts w:eastAsia="Times New Roman"/>
          <w:lang w:eastAsia="de-DE"/>
        </w:rPr>
        <w:t xml:space="preserve">, „Hervorgehendes, Ausgang" – Qal Partizip Singular maskulin von </w:t>
      </w:r>
      <w:r w:rsidRPr="008D5AF6">
        <w:rPr>
          <w:rFonts w:eastAsia="Times New Roman"/>
          <w:b/>
          <w:bCs/>
          <w:rtl/>
          <w:lang w:eastAsia="de-DE"/>
        </w:rPr>
        <w:t>יצא</w:t>
      </w:r>
      <w:r w:rsidRPr="008D5AF6">
        <w:rPr>
          <w:rFonts w:eastAsia="Times New Roman"/>
          <w:rtl/>
          <w:lang w:eastAsia="de-DE"/>
        </w:rPr>
        <w:t xml:space="preserve"> </w:t>
      </w:r>
      <w:r w:rsidRPr="008D5AF6">
        <w:rPr>
          <w:rFonts w:eastAsia="Times New Roman"/>
          <w:lang w:eastAsia="de-DE"/>
        </w:rPr>
        <w:t xml:space="preserve">als Substantiv, </w:t>
      </w:r>
      <w:r w:rsidRPr="008D5AF6">
        <w:rPr>
          <w:rFonts w:eastAsia="Times New Roman"/>
          <w:b/>
          <w:bCs/>
          <w:rtl/>
          <w:lang w:eastAsia="de-DE"/>
        </w:rPr>
        <w:t>פֶּה</w:t>
      </w:r>
      <w:r w:rsidRPr="008D5AF6">
        <w:rPr>
          <w:rFonts w:eastAsia="Times New Roman"/>
          <w:lang w:eastAsia="de-DE"/>
        </w:rPr>
        <w:t xml:space="preserve">, „Mund", im Construct mit </w:t>
      </w:r>
      <w:r w:rsidRPr="008D5AF6">
        <w:rPr>
          <w:rFonts w:eastAsia="Times New Roman"/>
          <w:b/>
          <w:bCs/>
          <w:rtl/>
          <w:lang w:eastAsia="de-DE"/>
        </w:rPr>
        <w:t>יְהוָה</w:t>
      </w:r>
      <w:r w:rsidRPr="008D5AF6">
        <w:rPr>
          <w:rFonts w:eastAsia="Times New Roman"/>
          <w:rtl/>
          <w:lang w:eastAsia="de-DE"/>
        </w:rPr>
        <w:t xml:space="preserve"> </w:t>
      </w:r>
      <w:r w:rsidRPr="008D5AF6">
        <w:rPr>
          <w:rFonts w:eastAsia="Times New Roman"/>
          <w:lang w:eastAsia="de-DE"/>
        </w:rPr>
        <w:t xml:space="preserve">– „alles, was aus dem Mund JHWHs hervorgeht"), </w:t>
      </w:r>
      <w:r w:rsidRPr="008D5AF6">
        <w:rPr>
          <w:rFonts w:eastAsia="Times New Roman"/>
          <w:b/>
          <w:bCs/>
          <w:rtl/>
          <w:lang w:eastAsia="de-DE"/>
        </w:rPr>
        <w:t>יִחְיֶה הָאָדָם</w:t>
      </w:r>
      <w:r w:rsidRPr="008D5AF6">
        <w:rPr>
          <w:rFonts w:eastAsia="Times New Roman"/>
          <w:rtl/>
          <w:lang w:eastAsia="de-DE"/>
        </w:rPr>
        <w:t xml:space="preserve"> </w:t>
      </w:r>
      <w:r w:rsidRPr="008D5AF6">
        <w:rPr>
          <w:rFonts w:eastAsia="Times New Roman"/>
          <w:lang w:eastAsia="de-DE"/>
        </w:rPr>
        <w:t>als Prädikat und Subjekt.</w:t>
      </w:r>
    </w:p>
    <w:p w14:paraId="295CA6A4"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 xml:space="preserve">Der Vers konkretisiert die Demütigung (V. 2): JHWH ließ Israel hungern und speiste es dann mit dem unbekannten Manna. Die pädagogische Absicht: Israel soll erkennen, dass menschliches Leben nicht nur vom Brot abhängt, sondern von jedem Wort, das von JHWH ausgeht. Dies ist eine der zentralsten theologischen Aussagen des Deuteronomiums über die Abhängigkeit des Menschen von Gottes Wort. Jesus zitiert diesen Vers in Mt 4,4 und Lk 4,4 bei der Versuchung. Die Formulierung </w:t>
      </w:r>
      <w:r w:rsidRPr="008D5AF6">
        <w:rPr>
          <w:rFonts w:eastAsia="Times New Roman"/>
          <w:b/>
          <w:bCs/>
          <w:rtl/>
          <w:lang w:eastAsia="de-DE"/>
        </w:rPr>
        <w:t>מוֹצָא פִי־יְהוָה</w:t>
      </w:r>
      <w:r w:rsidRPr="008D5AF6">
        <w:rPr>
          <w:rFonts w:eastAsia="Times New Roman"/>
          <w:rtl/>
          <w:lang w:eastAsia="de-DE"/>
        </w:rPr>
        <w:t xml:space="preserve"> </w:t>
      </w:r>
      <w:r w:rsidRPr="008D5AF6">
        <w:rPr>
          <w:rFonts w:eastAsia="Times New Roman"/>
          <w:lang w:eastAsia="de-DE"/>
        </w:rPr>
        <w:t>(„was aus dem Mund JHWHs hervorgeht") bezeichnet sowohl Gottes schöpferisches Wort als auch sein Gebot.</w:t>
      </w:r>
    </w:p>
    <w:p w14:paraId="40216A31"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 xml:space="preserve">Die Satzstruktur ist eine dreigliedrige koordinierte Verbkette (alle mit Suffix-Objekt, die dritte mit zusätzlichem direktem Objekt), erweitert durch einen Relativsatz mit zweigliedriger Verneinung, gefolgt von einer finalen Konstruktion mit Infinitiv und Suffix-Objekt sowie einem </w:t>
      </w:r>
      <w:r w:rsidRPr="008D5AF6">
        <w:rPr>
          <w:rFonts w:eastAsia="Times New Roman"/>
          <w:b/>
          <w:bCs/>
          <w:rtl/>
          <w:lang w:eastAsia="de-DE"/>
        </w:rPr>
        <w:t>כִּי</w:t>
      </w:r>
      <w:r w:rsidRPr="008D5AF6">
        <w:rPr>
          <w:rFonts w:eastAsia="Times New Roman"/>
          <w:lang w:eastAsia="de-DE"/>
        </w:rPr>
        <w:t xml:space="preserve">-Objektsatz (mit Negation, emphatisch vorausgestellter präpositionaler Bestimmung, Prädikat und Subjekt) und einem adversativen </w:t>
      </w:r>
      <w:r w:rsidRPr="008D5AF6">
        <w:rPr>
          <w:rFonts w:eastAsia="Times New Roman"/>
          <w:b/>
          <w:bCs/>
          <w:rtl/>
          <w:lang w:eastAsia="de-DE"/>
        </w:rPr>
        <w:t>כִּי</w:t>
      </w:r>
      <w:r w:rsidRPr="008D5AF6">
        <w:rPr>
          <w:rFonts w:eastAsia="Times New Roman"/>
          <w:lang w:eastAsia="de-DE"/>
        </w:rPr>
        <w:t>-Satz (mit emphatisch vorausgestellter präpositionaler Bestimmung, Prädikat und Subjekt). Die Struktur entfaltet die theologische Lektion der Mannaspeisung.</w:t>
      </w:r>
    </w:p>
    <w:p w14:paraId="5CF3A16E"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Der Vers erklärt die Mannaspeisung: JHWH demütigte Israel durch Hunger und speiste es mit dem unbekannten Manna, um zu lehren, dass der Mensch nicht vom Brot allein, sondern von jedem Wort Gottes lebt – eine zentrale theologische Aussage.</w:t>
      </w:r>
    </w:p>
    <w:p w14:paraId="0984EBAE" w14:textId="77777777" w:rsidR="008D5AF6" w:rsidRPr="008D5AF6" w:rsidRDefault="008D5AF6" w:rsidP="008D5AF6">
      <w:pPr>
        <w:spacing w:before="100" w:beforeAutospacing="1" w:after="100" w:afterAutospacing="1" w:line="240" w:lineRule="auto"/>
        <w:outlineLvl w:val="1"/>
        <w:rPr>
          <w:rFonts w:eastAsia="Times New Roman"/>
          <w:b/>
          <w:bCs/>
          <w:sz w:val="36"/>
          <w:szCs w:val="36"/>
          <w:lang w:eastAsia="de-DE"/>
        </w:rPr>
      </w:pPr>
      <w:r w:rsidRPr="008D5AF6">
        <w:rPr>
          <w:rFonts w:eastAsia="Times New Roman"/>
          <w:b/>
          <w:bCs/>
          <w:sz w:val="36"/>
          <w:szCs w:val="36"/>
          <w:lang w:eastAsia="de-DE"/>
        </w:rPr>
        <w:lastRenderedPageBreak/>
        <w:t>Deuteronomium 8,4</w:t>
      </w:r>
    </w:p>
    <w:p w14:paraId="4B522935"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Hebräisch:</w:t>
      </w:r>
      <w:r w:rsidRPr="008D5AF6">
        <w:rPr>
          <w:rFonts w:eastAsia="Times New Roman"/>
          <w:lang w:eastAsia="de-DE"/>
        </w:rPr>
        <w:t xml:space="preserve"> </w:t>
      </w:r>
      <w:r w:rsidRPr="008D5AF6">
        <w:rPr>
          <w:rFonts w:eastAsia="Times New Roman"/>
          <w:rtl/>
          <w:lang w:eastAsia="de-DE"/>
        </w:rPr>
        <w:t>שִׂמְלָתְךָ לֹא בָלְתָה מֵעָלֶיךָ וְרַגְלְךָ לֹא בָצֵקָה זֶה אַרְבָּעִים שָׁנָה׃</w:t>
      </w:r>
    </w:p>
    <w:p w14:paraId="2A03BC88"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Deutsch:</w:t>
      </w:r>
      <w:r w:rsidRPr="008D5AF6">
        <w:rPr>
          <w:rFonts w:eastAsia="Times New Roman"/>
          <w:lang w:eastAsia="de-DE"/>
        </w:rPr>
        <w:t xml:space="preserve"> Deine Kleidung an dir ist nicht zerfallen, und dein Fuß ist nicht geschwollen diese 40 Jahre.</w:t>
      </w:r>
    </w:p>
    <w:p w14:paraId="6C6484EC" w14:textId="77777777" w:rsidR="008D5AF6" w:rsidRPr="008D5AF6" w:rsidRDefault="004F5CEB" w:rsidP="008D5AF6">
      <w:pPr>
        <w:spacing w:after="0" w:line="240" w:lineRule="auto"/>
        <w:rPr>
          <w:rFonts w:eastAsia="Times New Roman"/>
          <w:lang w:eastAsia="de-DE"/>
        </w:rPr>
      </w:pPr>
      <w:r>
        <w:rPr>
          <w:rFonts w:eastAsia="Times New Roman"/>
          <w:noProof/>
          <w:lang w:eastAsia="de-DE"/>
        </w:rPr>
        <w:pict w14:anchorId="59C4C0A9">
          <v:rect id="_x0000_i1273" style="width:0;height:1.5pt" o:hralign="center" o:hrstd="t" o:hr="t" fillcolor="#a0a0a0" stroked="f"/>
        </w:pict>
      </w:r>
    </w:p>
    <w:p w14:paraId="674C3191"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Kommentar:</w:t>
      </w:r>
      <w:r w:rsidRPr="008D5AF6">
        <w:rPr>
          <w:rFonts w:eastAsia="Times New Roman"/>
          <w:lang w:eastAsia="de-DE"/>
        </w:rPr>
        <w:t xml:space="preserve"> </w:t>
      </w:r>
      <w:r w:rsidRPr="008D5AF6">
        <w:rPr>
          <w:rFonts w:eastAsia="Times New Roman"/>
          <w:b/>
          <w:bCs/>
          <w:rtl/>
          <w:lang w:eastAsia="de-DE"/>
        </w:rPr>
        <w:t>שִׂמְלָתְךָ לֹא בָלְתָה מֵעָלֶיךָ</w:t>
      </w:r>
      <w:r w:rsidRPr="008D5AF6">
        <w:rPr>
          <w:rFonts w:eastAsia="Times New Roman"/>
          <w:rtl/>
          <w:lang w:eastAsia="de-DE"/>
        </w:rPr>
        <w:t xml:space="preserve"> </w:t>
      </w:r>
      <w:r w:rsidRPr="008D5AF6">
        <w:rPr>
          <w:rFonts w:eastAsia="Times New Roman"/>
          <w:lang w:eastAsia="de-DE"/>
        </w:rPr>
        <w:t xml:space="preserve">ist ein negierter Satz: </w:t>
      </w:r>
      <w:r w:rsidRPr="008D5AF6">
        <w:rPr>
          <w:rFonts w:eastAsia="Times New Roman"/>
          <w:b/>
          <w:bCs/>
          <w:rtl/>
          <w:lang w:eastAsia="de-DE"/>
        </w:rPr>
        <w:t>שִׂמְלָתְךָ</w:t>
      </w:r>
      <w:r w:rsidRPr="008D5AF6">
        <w:rPr>
          <w:rFonts w:eastAsia="Times New Roman"/>
          <w:rtl/>
          <w:lang w:eastAsia="de-DE"/>
        </w:rPr>
        <w:t xml:space="preserve"> </w:t>
      </w:r>
      <w:r w:rsidRPr="008D5AF6">
        <w:rPr>
          <w:rFonts w:eastAsia="Times New Roman"/>
          <w:lang w:eastAsia="de-DE"/>
        </w:rPr>
        <w:t>als Subjekt (</w:t>
      </w:r>
      <w:r w:rsidRPr="008D5AF6">
        <w:rPr>
          <w:rFonts w:eastAsia="Times New Roman"/>
          <w:b/>
          <w:bCs/>
          <w:rtl/>
          <w:lang w:eastAsia="de-DE"/>
        </w:rPr>
        <w:t>שִׂמְלָה</w:t>
      </w:r>
      <w:r w:rsidRPr="008D5AF6">
        <w:rPr>
          <w:rFonts w:eastAsia="Times New Roman"/>
          <w:lang w:eastAsia="de-DE"/>
        </w:rPr>
        <w:t xml:space="preserve">, „Kleidung, Gewand", mit Suffix 2. Person Singular maskulin), </w:t>
      </w:r>
      <w:r w:rsidRPr="008D5AF6">
        <w:rPr>
          <w:rFonts w:eastAsia="Times New Roman"/>
          <w:b/>
          <w:bCs/>
          <w:rtl/>
          <w:lang w:eastAsia="de-DE"/>
        </w:rPr>
        <w:t>לֹא בָלְתָה</w:t>
      </w:r>
      <w:r w:rsidRPr="008D5AF6">
        <w:rPr>
          <w:rFonts w:eastAsia="Times New Roman"/>
          <w:rtl/>
          <w:lang w:eastAsia="de-DE"/>
        </w:rPr>
        <w:t xml:space="preserve"> </w:t>
      </w:r>
      <w:r w:rsidRPr="008D5AF6">
        <w:rPr>
          <w:rFonts w:eastAsia="Times New Roman"/>
          <w:lang w:eastAsia="de-DE"/>
        </w:rPr>
        <w:t xml:space="preserve">als negiertes Prädikat (Qal Perfekt, 3. Person Singular feminin von </w:t>
      </w:r>
      <w:r w:rsidRPr="008D5AF6">
        <w:rPr>
          <w:rFonts w:eastAsia="Times New Roman"/>
          <w:b/>
          <w:bCs/>
          <w:rtl/>
          <w:lang w:eastAsia="de-DE"/>
        </w:rPr>
        <w:t>בלה</w:t>
      </w:r>
      <w:r w:rsidRPr="008D5AF6">
        <w:rPr>
          <w:rFonts w:eastAsia="Times New Roman"/>
          <w:lang w:eastAsia="de-DE"/>
        </w:rPr>
        <w:t xml:space="preserve">, „zerfallen, sich abnutzen, alt werden", mit Negation), </w:t>
      </w:r>
      <w:r w:rsidRPr="008D5AF6">
        <w:rPr>
          <w:rFonts w:eastAsia="Times New Roman"/>
          <w:b/>
          <w:bCs/>
          <w:rtl/>
          <w:lang w:eastAsia="de-DE"/>
        </w:rPr>
        <w:t>מֵעָלֶיךָ</w:t>
      </w:r>
      <w:r w:rsidRPr="008D5AF6">
        <w:rPr>
          <w:rFonts w:eastAsia="Times New Roman"/>
          <w:rtl/>
          <w:lang w:eastAsia="de-DE"/>
        </w:rPr>
        <w:t xml:space="preserve"> </w:t>
      </w:r>
      <w:r w:rsidRPr="008D5AF6">
        <w:rPr>
          <w:rFonts w:eastAsia="Times New Roman"/>
          <w:lang w:eastAsia="de-DE"/>
        </w:rPr>
        <w:t>als Herkunftsangabe (</w:t>
      </w:r>
      <w:r w:rsidRPr="008D5AF6">
        <w:rPr>
          <w:rFonts w:eastAsia="Times New Roman"/>
          <w:b/>
          <w:bCs/>
          <w:rtl/>
          <w:lang w:eastAsia="de-DE"/>
        </w:rPr>
        <w:t>מִן</w:t>
      </w:r>
      <w:r w:rsidRPr="008D5AF6">
        <w:rPr>
          <w:rFonts w:eastAsia="Times New Roman"/>
          <w:rtl/>
          <w:lang w:eastAsia="de-DE"/>
        </w:rPr>
        <w:t xml:space="preserve"> </w:t>
      </w:r>
      <w:r w:rsidRPr="008D5AF6">
        <w:rPr>
          <w:rFonts w:eastAsia="Times New Roman"/>
          <w:lang w:eastAsia="de-DE"/>
        </w:rPr>
        <w:t xml:space="preserve">mit </w:t>
      </w:r>
      <w:r w:rsidRPr="008D5AF6">
        <w:rPr>
          <w:rFonts w:eastAsia="Times New Roman"/>
          <w:b/>
          <w:bCs/>
          <w:rtl/>
          <w:lang w:eastAsia="de-DE"/>
        </w:rPr>
        <w:t>עַל</w:t>
      </w:r>
      <w:r w:rsidRPr="008D5AF6">
        <w:rPr>
          <w:rFonts w:eastAsia="Times New Roman"/>
          <w:rtl/>
          <w:lang w:eastAsia="de-DE"/>
        </w:rPr>
        <w:t xml:space="preserve"> </w:t>
      </w:r>
      <w:r w:rsidRPr="008D5AF6">
        <w:rPr>
          <w:rFonts w:eastAsia="Times New Roman"/>
          <w:lang w:eastAsia="de-DE"/>
        </w:rPr>
        <w:t>und Suffix 2. Person Singular maskulin – „von dir weg, an dir").</w:t>
      </w:r>
    </w:p>
    <w:p w14:paraId="71166DCD"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rtl/>
          <w:lang w:eastAsia="de-DE"/>
        </w:rPr>
        <w:t>וְרַגְלְךָ לֹא בָצֵקָה זֶה אַרְבָּעִים שָׁנָה</w:t>
      </w:r>
      <w:r w:rsidRPr="008D5AF6">
        <w:rPr>
          <w:rFonts w:eastAsia="Times New Roman"/>
          <w:rtl/>
          <w:lang w:eastAsia="de-DE"/>
        </w:rPr>
        <w:t xml:space="preserve"> </w:t>
      </w:r>
      <w:r w:rsidRPr="008D5AF6">
        <w:rPr>
          <w:rFonts w:eastAsia="Times New Roman"/>
          <w:lang w:eastAsia="de-DE"/>
        </w:rPr>
        <w:t xml:space="preserve">ist koordiniert: </w:t>
      </w:r>
      <w:r w:rsidRPr="008D5AF6">
        <w:rPr>
          <w:rFonts w:eastAsia="Times New Roman"/>
          <w:b/>
          <w:bCs/>
          <w:rtl/>
          <w:lang w:eastAsia="de-DE"/>
        </w:rPr>
        <w:t>וְרַגְלְךָ</w:t>
      </w:r>
      <w:r w:rsidRPr="008D5AF6">
        <w:rPr>
          <w:rFonts w:eastAsia="Times New Roman"/>
          <w:rtl/>
          <w:lang w:eastAsia="de-DE"/>
        </w:rPr>
        <w:t xml:space="preserve"> </w:t>
      </w:r>
      <w:r w:rsidRPr="008D5AF6">
        <w:rPr>
          <w:rFonts w:eastAsia="Times New Roman"/>
          <w:lang w:eastAsia="de-DE"/>
        </w:rPr>
        <w:t xml:space="preserve">als Subjekt mit </w:t>
      </w:r>
      <w:r w:rsidRPr="008D5AF6">
        <w:rPr>
          <w:rFonts w:eastAsia="Times New Roman"/>
          <w:b/>
          <w:bCs/>
          <w:rtl/>
          <w:lang w:eastAsia="de-DE"/>
        </w:rPr>
        <w:t>וְ</w:t>
      </w:r>
      <w:r w:rsidRPr="008D5AF6">
        <w:rPr>
          <w:rFonts w:eastAsia="Times New Roman"/>
          <w:rtl/>
          <w:lang w:eastAsia="de-DE"/>
        </w:rPr>
        <w:t xml:space="preserve"> </w:t>
      </w:r>
      <w:r w:rsidRPr="008D5AF6">
        <w:rPr>
          <w:rFonts w:eastAsia="Times New Roman"/>
          <w:lang w:eastAsia="de-DE"/>
        </w:rPr>
        <w:t>(</w:t>
      </w:r>
      <w:r w:rsidRPr="008D5AF6">
        <w:rPr>
          <w:rFonts w:eastAsia="Times New Roman"/>
          <w:b/>
          <w:bCs/>
          <w:rtl/>
          <w:lang w:eastAsia="de-DE"/>
        </w:rPr>
        <w:t>רֶגֶל</w:t>
      </w:r>
      <w:r w:rsidRPr="008D5AF6">
        <w:rPr>
          <w:rFonts w:eastAsia="Times New Roman"/>
          <w:lang w:eastAsia="de-DE"/>
        </w:rPr>
        <w:t xml:space="preserve">, „Fuß", mit Suffix 2. Person Singular maskulin), </w:t>
      </w:r>
      <w:r w:rsidRPr="008D5AF6">
        <w:rPr>
          <w:rFonts w:eastAsia="Times New Roman"/>
          <w:b/>
          <w:bCs/>
          <w:rtl/>
          <w:lang w:eastAsia="de-DE"/>
        </w:rPr>
        <w:t>לֹא בָצֵקָה</w:t>
      </w:r>
      <w:r w:rsidRPr="008D5AF6">
        <w:rPr>
          <w:rFonts w:eastAsia="Times New Roman"/>
          <w:rtl/>
          <w:lang w:eastAsia="de-DE"/>
        </w:rPr>
        <w:t xml:space="preserve"> </w:t>
      </w:r>
      <w:r w:rsidRPr="008D5AF6">
        <w:rPr>
          <w:rFonts w:eastAsia="Times New Roman"/>
          <w:lang w:eastAsia="de-DE"/>
        </w:rPr>
        <w:t xml:space="preserve">als negiertes Prädikat (Qal Perfekt, 3. Person Singular feminin von </w:t>
      </w:r>
      <w:r w:rsidRPr="008D5AF6">
        <w:rPr>
          <w:rFonts w:eastAsia="Times New Roman"/>
          <w:b/>
          <w:bCs/>
          <w:rtl/>
          <w:lang w:eastAsia="de-DE"/>
        </w:rPr>
        <w:t>בצק</w:t>
      </w:r>
      <w:r w:rsidRPr="008D5AF6">
        <w:rPr>
          <w:rFonts w:eastAsia="Times New Roman"/>
          <w:lang w:eastAsia="de-DE"/>
        </w:rPr>
        <w:t xml:space="preserve">, „anschwellen, geschwollen sein", mit Negation), </w:t>
      </w:r>
      <w:r w:rsidRPr="008D5AF6">
        <w:rPr>
          <w:rFonts w:eastAsia="Times New Roman"/>
          <w:b/>
          <w:bCs/>
          <w:rtl/>
          <w:lang w:eastAsia="de-DE"/>
        </w:rPr>
        <w:t>זֶה אַרְבָּעִים שָׁנָה</w:t>
      </w:r>
      <w:r w:rsidRPr="008D5AF6">
        <w:rPr>
          <w:rFonts w:eastAsia="Times New Roman"/>
          <w:rtl/>
          <w:lang w:eastAsia="de-DE"/>
        </w:rPr>
        <w:t xml:space="preserve"> </w:t>
      </w:r>
      <w:r w:rsidRPr="008D5AF6">
        <w:rPr>
          <w:rFonts w:eastAsia="Times New Roman"/>
          <w:lang w:eastAsia="de-DE"/>
        </w:rPr>
        <w:t>als temporale Bestimmung (</w:t>
      </w:r>
      <w:r w:rsidRPr="008D5AF6">
        <w:rPr>
          <w:rFonts w:eastAsia="Times New Roman"/>
          <w:b/>
          <w:bCs/>
          <w:rtl/>
          <w:lang w:eastAsia="de-DE"/>
        </w:rPr>
        <w:t>זֶה</w:t>
      </w:r>
      <w:r w:rsidRPr="008D5AF6">
        <w:rPr>
          <w:rFonts w:eastAsia="Times New Roman"/>
          <w:lang w:eastAsia="de-DE"/>
        </w:rPr>
        <w:t xml:space="preserve">, „diese", </w:t>
      </w:r>
      <w:r w:rsidRPr="008D5AF6">
        <w:rPr>
          <w:rFonts w:eastAsia="Times New Roman"/>
          <w:b/>
          <w:bCs/>
          <w:rtl/>
          <w:lang w:eastAsia="de-DE"/>
        </w:rPr>
        <w:t>אַרְבָּעִים שָׁנָה</w:t>
      </w:r>
      <w:r w:rsidRPr="008D5AF6">
        <w:rPr>
          <w:rFonts w:eastAsia="Times New Roman"/>
          <w:lang w:eastAsia="de-DE"/>
        </w:rPr>
        <w:t>, „vierzig Jahre").</w:t>
      </w:r>
    </w:p>
    <w:p w14:paraId="047F416B"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 xml:space="preserve">Der Vers ergänzt die Wüstenerinnerung mit einem zweiten Wunder: Neben der Mannaspeisung bewahrte JHWH auch Kleidung und Gesundheit Israels. Die Kleidung nutzte sich 40 Jahre lang nicht ab, und die Füße schwollen trotz der Strapazen nicht an. Dies sind Zeichen göttlicher Fürsorge in der Wüste. Das Verb </w:t>
      </w:r>
      <w:r w:rsidRPr="008D5AF6">
        <w:rPr>
          <w:rFonts w:eastAsia="Times New Roman"/>
          <w:b/>
          <w:bCs/>
          <w:rtl/>
          <w:lang w:eastAsia="de-DE"/>
        </w:rPr>
        <w:t>בלה</w:t>
      </w:r>
      <w:r w:rsidRPr="008D5AF6">
        <w:rPr>
          <w:rFonts w:eastAsia="Times New Roman"/>
          <w:rtl/>
          <w:lang w:eastAsia="de-DE"/>
        </w:rPr>
        <w:t xml:space="preserve"> </w:t>
      </w:r>
      <w:r w:rsidRPr="008D5AF6">
        <w:rPr>
          <w:rFonts w:eastAsia="Times New Roman"/>
          <w:lang w:eastAsia="de-DE"/>
        </w:rPr>
        <w:t xml:space="preserve">(„zerfallen, sich abnutzen") bezeichnet das Altern und Zerfallen von Stoffen. Das Verb </w:t>
      </w:r>
      <w:r w:rsidRPr="008D5AF6">
        <w:rPr>
          <w:rFonts w:eastAsia="Times New Roman"/>
          <w:b/>
          <w:bCs/>
          <w:rtl/>
          <w:lang w:eastAsia="de-DE"/>
        </w:rPr>
        <w:t>בצק</w:t>
      </w:r>
      <w:r w:rsidRPr="008D5AF6">
        <w:rPr>
          <w:rFonts w:eastAsia="Times New Roman"/>
          <w:rtl/>
          <w:lang w:eastAsia="de-DE"/>
        </w:rPr>
        <w:t xml:space="preserve"> </w:t>
      </w:r>
      <w:r w:rsidRPr="008D5AF6">
        <w:rPr>
          <w:rFonts w:eastAsia="Times New Roman"/>
          <w:lang w:eastAsia="de-DE"/>
        </w:rPr>
        <w:t>(„anschwellen") beschreibt geschwollene, schmerzende Füße als Folge langer Märsche. Die Negation beider Verben unterstreicht JHWHs wunderbare Bewahrung.</w:t>
      </w:r>
    </w:p>
    <w:p w14:paraId="3481642D"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Die Satzstruktur ist ein negierter Satz mit Subjekt, negiertem Prädikat und Herkunftsangabe, gefolgt von einem koordinierten negierten Satz mit Subjekt, negiertem Prädikat und temporaler Bestimmung. Die parallele Struktur unterstreicht die doppelte Bewahrung.</w:t>
      </w:r>
    </w:p>
    <w:p w14:paraId="62ECD3C2"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Der Vers ergänzt die Wundertaten in der Wüste: Israels Kleidung zerfiel nicht, und die Füße schwollen trotz 40-jähriger Wanderung nicht an – weitere Zeichen göttlicher Fürsorge.</w:t>
      </w:r>
    </w:p>
    <w:p w14:paraId="3284A945" w14:textId="77777777" w:rsidR="008D5AF6" w:rsidRPr="008D5AF6" w:rsidRDefault="008D5AF6" w:rsidP="008D5AF6">
      <w:pPr>
        <w:spacing w:before="100" w:beforeAutospacing="1" w:after="100" w:afterAutospacing="1" w:line="240" w:lineRule="auto"/>
        <w:outlineLvl w:val="1"/>
        <w:rPr>
          <w:rFonts w:eastAsia="Times New Roman"/>
          <w:b/>
          <w:bCs/>
          <w:sz w:val="36"/>
          <w:szCs w:val="36"/>
          <w:lang w:eastAsia="de-DE"/>
        </w:rPr>
      </w:pPr>
      <w:r w:rsidRPr="008D5AF6">
        <w:rPr>
          <w:rFonts w:eastAsia="Times New Roman"/>
          <w:b/>
          <w:bCs/>
          <w:sz w:val="36"/>
          <w:szCs w:val="36"/>
          <w:lang w:eastAsia="de-DE"/>
        </w:rPr>
        <w:t>Deuteronomium 8,5</w:t>
      </w:r>
    </w:p>
    <w:p w14:paraId="265E9635"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Hebräisch:</w:t>
      </w:r>
      <w:r w:rsidRPr="008D5AF6">
        <w:rPr>
          <w:rFonts w:eastAsia="Times New Roman"/>
          <w:lang w:eastAsia="de-DE"/>
        </w:rPr>
        <w:t xml:space="preserve"> </w:t>
      </w:r>
      <w:r w:rsidRPr="008D5AF6">
        <w:rPr>
          <w:rFonts w:eastAsia="Times New Roman"/>
          <w:rtl/>
          <w:lang w:eastAsia="de-DE"/>
        </w:rPr>
        <w:t>וְיָדַעְתָּ עִם־לְבָבֶךָ כִּי כַּאֲשֶׁר יְיַסֵּר אִישׁ אֶת־בְּנוֹ יְהוָה אֱלֹהֶיךָ מְיַסְּרֶךָּ׃</w:t>
      </w:r>
    </w:p>
    <w:p w14:paraId="15B53670"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Deutsch:</w:t>
      </w:r>
      <w:r w:rsidRPr="008D5AF6">
        <w:rPr>
          <w:rFonts w:eastAsia="Times New Roman"/>
          <w:lang w:eastAsia="de-DE"/>
        </w:rPr>
        <w:t xml:space="preserve"> So erkenne in deinem Herzen, dass, wie ein Mann seinen Sohn erzieht, der Ewige, dein Gott, dich erzieht.</w:t>
      </w:r>
    </w:p>
    <w:p w14:paraId="63F62F97" w14:textId="77777777" w:rsidR="008D5AF6" w:rsidRPr="008D5AF6" w:rsidRDefault="004F5CEB" w:rsidP="008D5AF6">
      <w:pPr>
        <w:spacing w:after="0" w:line="240" w:lineRule="auto"/>
        <w:rPr>
          <w:rFonts w:eastAsia="Times New Roman"/>
          <w:lang w:eastAsia="de-DE"/>
        </w:rPr>
      </w:pPr>
      <w:r>
        <w:rPr>
          <w:rFonts w:eastAsia="Times New Roman"/>
          <w:noProof/>
          <w:lang w:eastAsia="de-DE"/>
        </w:rPr>
        <w:pict w14:anchorId="6C1FF64C">
          <v:rect id="_x0000_i1274" style="width:0;height:1.5pt" o:hralign="center" o:hrstd="t" o:hr="t" fillcolor="#a0a0a0" stroked="f"/>
        </w:pict>
      </w:r>
    </w:p>
    <w:p w14:paraId="768CA9F0"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Kommentar:</w:t>
      </w:r>
      <w:r w:rsidRPr="008D5AF6">
        <w:rPr>
          <w:rFonts w:eastAsia="Times New Roman"/>
          <w:lang w:eastAsia="de-DE"/>
        </w:rPr>
        <w:t xml:space="preserve"> </w:t>
      </w:r>
      <w:r w:rsidRPr="008D5AF6">
        <w:rPr>
          <w:rFonts w:eastAsia="Times New Roman"/>
          <w:b/>
          <w:bCs/>
          <w:rtl/>
          <w:lang w:eastAsia="de-DE"/>
        </w:rPr>
        <w:t>וְיָדַעְתָּ עִם־לְבָבֶךָ</w:t>
      </w:r>
      <w:r w:rsidRPr="008D5AF6">
        <w:rPr>
          <w:rFonts w:eastAsia="Times New Roman"/>
          <w:rtl/>
          <w:lang w:eastAsia="de-DE"/>
        </w:rPr>
        <w:t xml:space="preserve"> </w:t>
      </w:r>
      <w:r w:rsidRPr="008D5AF6">
        <w:rPr>
          <w:rFonts w:eastAsia="Times New Roman"/>
          <w:lang w:eastAsia="de-DE"/>
        </w:rPr>
        <w:t xml:space="preserve">ist Qal Perfekt consecutivum, 2. Person Singular maskulin von </w:t>
      </w:r>
      <w:r w:rsidRPr="008D5AF6">
        <w:rPr>
          <w:rFonts w:eastAsia="Times New Roman"/>
          <w:b/>
          <w:bCs/>
          <w:rtl/>
          <w:lang w:eastAsia="de-DE"/>
        </w:rPr>
        <w:t>ידע</w:t>
      </w:r>
      <w:r w:rsidRPr="008D5AF6">
        <w:rPr>
          <w:rFonts w:eastAsia="Times New Roman"/>
          <w:lang w:eastAsia="de-DE"/>
        </w:rPr>
        <w:t xml:space="preserve">, „erkennen, wissen", mit </w:t>
      </w:r>
      <w:r w:rsidRPr="008D5AF6">
        <w:rPr>
          <w:rFonts w:eastAsia="Times New Roman"/>
          <w:b/>
          <w:bCs/>
          <w:rtl/>
          <w:lang w:eastAsia="de-DE"/>
        </w:rPr>
        <w:t>וְ</w:t>
      </w:r>
      <w:r w:rsidRPr="008D5AF6">
        <w:rPr>
          <w:rFonts w:eastAsia="Times New Roman"/>
          <w:rtl/>
          <w:lang w:eastAsia="de-DE"/>
        </w:rPr>
        <w:t xml:space="preserve"> </w:t>
      </w:r>
      <w:r w:rsidRPr="008D5AF6">
        <w:rPr>
          <w:rFonts w:eastAsia="Times New Roman"/>
          <w:lang w:eastAsia="de-DE"/>
        </w:rPr>
        <w:t xml:space="preserve">– in imperativischer Funktion, </w:t>
      </w:r>
      <w:r w:rsidRPr="008D5AF6">
        <w:rPr>
          <w:rFonts w:eastAsia="Times New Roman"/>
          <w:b/>
          <w:bCs/>
          <w:rtl/>
          <w:lang w:eastAsia="de-DE"/>
        </w:rPr>
        <w:t>עִם־לְבָבֶךָ</w:t>
      </w:r>
      <w:r w:rsidRPr="008D5AF6">
        <w:rPr>
          <w:rFonts w:eastAsia="Times New Roman"/>
          <w:rtl/>
          <w:lang w:eastAsia="de-DE"/>
        </w:rPr>
        <w:t xml:space="preserve"> </w:t>
      </w:r>
      <w:r w:rsidRPr="008D5AF6">
        <w:rPr>
          <w:rFonts w:eastAsia="Times New Roman"/>
          <w:lang w:eastAsia="de-DE"/>
        </w:rPr>
        <w:t xml:space="preserve">als modale bzw. </w:t>
      </w:r>
      <w:r w:rsidRPr="008D5AF6">
        <w:rPr>
          <w:rFonts w:eastAsia="Times New Roman"/>
          <w:lang w:eastAsia="de-DE"/>
        </w:rPr>
        <w:lastRenderedPageBreak/>
        <w:t>instrumentale Bestimmung (</w:t>
      </w:r>
      <w:r w:rsidRPr="008D5AF6">
        <w:rPr>
          <w:rFonts w:eastAsia="Times New Roman"/>
          <w:b/>
          <w:bCs/>
          <w:rtl/>
          <w:lang w:eastAsia="de-DE"/>
        </w:rPr>
        <w:t>עִם</w:t>
      </w:r>
      <w:r w:rsidRPr="008D5AF6">
        <w:rPr>
          <w:rFonts w:eastAsia="Times New Roman"/>
          <w:rtl/>
          <w:lang w:eastAsia="de-DE"/>
        </w:rPr>
        <w:t xml:space="preserve"> </w:t>
      </w:r>
      <w:r w:rsidRPr="008D5AF6">
        <w:rPr>
          <w:rFonts w:eastAsia="Times New Roman"/>
          <w:lang w:eastAsia="de-DE"/>
        </w:rPr>
        <w:t xml:space="preserve">mit </w:t>
      </w:r>
      <w:r w:rsidRPr="008D5AF6">
        <w:rPr>
          <w:rFonts w:eastAsia="Times New Roman"/>
          <w:b/>
          <w:bCs/>
          <w:rtl/>
          <w:lang w:eastAsia="de-DE"/>
        </w:rPr>
        <w:t>לֵבָב</w:t>
      </w:r>
      <w:r w:rsidRPr="008D5AF6">
        <w:rPr>
          <w:rFonts w:eastAsia="Times New Roman"/>
          <w:lang w:eastAsia="de-DE"/>
        </w:rPr>
        <w:t>, „Herz", und Suffix 2. Person Singular maskulin – „mit deinem Herzen" = „in deinem Herzen, innerlich").</w:t>
      </w:r>
    </w:p>
    <w:p w14:paraId="0D606695"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rtl/>
          <w:lang w:eastAsia="de-DE"/>
        </w:rPr>
        <w:t>כִּי כַּאֲשֶׁר יְיַסֵּר אִישׁ אֶת־בְּנוֹ יְהוָה אֱלֹהֶיךָ מְיַסְּרֶךָּ</w:t>
      </w:r>
      <w:r w:rsidRPr="008D5AF6">
        <w:rPr>
          <w:rFonts w:eastAsia="Times New Roman"/>
          <w:rtl/>
          <w:lang w:eastAsia="de-DE"/>
        </w:rPr>
        <w:t xml:space="preserve"> </w:t>
      </w:r>
      <w:r w:rsidRPr="008D5AF6">
        <w:rPr>
          <w:rFonts w:eastAsia="Times New Roman"/>
          <w:lang w:eastAsia="de-DE"/>
        </w:rPr>
        <w:t xml:space="preserve">ist ein </w:t>
      </w:r>
      <w:r w:rsidRPr="008D5AF6">
        <w:rPr>
          <w:rFonts w:eastAsia="Times New Roman"/>
          <w:b/>
          <w:bCs/>
          <w:rtl/>
          <w:lang w:eastAsia="de-DE"/>
        </w:rPr>
        <w:t>כִּי</w:t>
      </w:r>
      <w:r w:rsidRPr="008D5AF6">
        <w:rPr>
          <w:rFonts w:eastAsia="Times New Roman"/>
          <w:lang w:eastAsia="de-DE"/>
        </w:rPr>
        <w:t xml:space="preserve">-Objektsatz mit Vergleichskonstruktion: </w:t>
      </w:r>
      <w:r w:rsidRPr="008D5AF6">
        <w:rPr>
          <w:rFonts w:eastAsia="Times New Roman"/>
          <w:b/>
          <w:bCs/>
          <w:rtl/>
          <w:lang w:eastAsia="de-DE"/>
        </w:rPr>
        <w:t>כִּי</w:t>
      </w:r>
      <w:r w:rsidRPr="008D5AF6">
        <w:rPr>
          <w:rFonts w:eastAsia="Times New Roman"/>
          <w:rtl/>
          <w:lang w:eastAsia="de-DE"/>
        </w:rPr>
        <w:t xml:space="preserve"> </w:t>
      </w:r>
      <w:r w:rsidRPr="008D5AF6">
        <w:rPr>
          <w:rFonts w:eastAsia="Times New Roman"/>
          <w:lang w:eastAsia="de-DE"/>
        </w:rPr>
        <w:t xml:space="preserve">als Konjunktion („dass"), </w:t>
      </w:r>
      <w:r w:rsidRPr="008D5AF6">
        <w:rPr>
          <w:rFonts w:eastAsia="Times New Roman"/>
          <w:b/>
          <w:bCs/>
          <w:rtl/>
          <w:lang w:eastAsia="de-DE"/>
        </w:rPr>
        <w:t>כַּאֲשֶׁר יְיַסֵּר אִישׁ אֶת־בְּנוֹ</w:t>
      </w:r>
      <w:r w:rsidRPr="008D5AF6">
        <w:rPr>
          <w:rFonts w:eastAsia="Times New Roman"/>
          <w:rtl/>
          <w:lang w:eastAsia="de-DE"/>
        </w:rPr>
        <w:t xml:space="preserve"> </w:t>
      </w:r>
      <w:r w:rsidRPr="008D5AF6">
        <w:rPr>
          <w:rFonts w:eastAsia="Times New Roman"/>
          <w:lang w:eastAsia="de-DE"/>
        </w:rPr>
        <w:t>als Vergleichssatz (</w:t>
      </w:r>
      <w:r w:rsidRPr="008D5AF6">
        <w:rPr>
          <w:rFonts w:eastAsia="Times New Roman"/>
          <w:b/>
          <w:bCs/>
          <w:rtl/>
          <w:lang w:eastAsia="de-DE"/>
        </w:rPr>
        <w:t>כַּאֲשֶׁר</w:t>
      </w:r>
      <w:r w:rsidRPr="008D5AF6">
        <w:rPr>
          <w:rFonts w:eastAsia="Times New Roman"/>
          <w:lang w:eastAsia="de-DE"/>
        </w:rPr>
        <w:t xml:space="preserve">, „wie", </w:t>
      </w:r>
      <w:r w:rsidRPr="008D5AF6">
        <w:rPr>
          <w:rFonts w:eastAsia="Times New Roman"/>
          <w:b/>
          <w:bCs/>
          <w:rtl/>
          <w:lang w:eastAsia="de-DE"/>
        </w:rPr>
        <w:t>יְיַסֵּר</w:t>
      </w:r>
      <w:r w:rsidRPr="008D5AF6">
        <w:rPr>
          <w:rFonts w:eastAsia="Times New Roman"/>
          <w:rtl/>
          <w:lang w:eastAsia="de-DE"/>
        </w:rPr>
        <w:t xml:space="preserve"> </w:t>
      </w:r>
      <w:r w:rsidRPr="008D5AF6">
        <w:rPr>
          <w:rFonts w:eastAsia="Times New Roman"/>
          <w:lang w:eastAsia="de-DE"/>
        </w:rPr>
        <w:t xml:space="preserve">als Piel Imperfekt, 3. Person Singular maskulin von </w:t>
      </w:r>
      <w:r w:rsidRPr="008D5AF6">
        <w:rPr>
          <w:rFonts w:eastAsia="Times New Roman"/>
          <w:b/>
          <w:bCs/>
          <w:rtl/>
          <w:lang w:eastAsia="de-DE"/>
        </w:rPr>
        <w:t>יסר</w:t>
      </w:r>
      <w:r w:rsidRPr="008D5AF6">
        <w:rPr>
          <w:rFonts w:eastAsia="Times New Roman"/>
          <w:lang w:eastAsia="de-DE"/>
        </w:rPr>
        <w:t xml:space="preserve">, „erziehen, züchtigen, unterweisen", </w:t>
      </w:r>
      <w:r w:rsidRPr="008D5AF6">
        <w:rPr>
          <w:rFonts w:eastAsia="Times New Roman"/>
          <w:b/>
          <w:bCs/>
          <w:rtl/>
          <w:lang w:eastAsia="de-DE"/>
        </w:rPr>
        <w:t>אִישׁ</w:t>
      </w:r>
      <w:r w:rsidRPr="008D5AF6">
        <w:rPr>
          <w:rFonts w:eastAsia="Times New Roman"/>
          <w:rtl/>
          <w:lang w:eastAsia="de-DE"/>
        </w:rPr>
        <w:t xml:space="preserve"> </w:t>
      </w:r>
      <w:r w:rsidRPr="008D5AF6">
        <w:rPr>
          <w:rFonts w:eastAsia="Times New Roman"/>
          <w:lang w:eastAsia="de-DE"/>
        </w:rPr>
        <w:t xml:space="preserve">als Subjekt, </w:t>
      </w:r>
      <w:r w:rsidRPr="008D5AF6">
        <w:rPr>
          <w:rFonts w:eastAsia="Times New Roman"/>
          <w:b/>
          <w:bCs/>
          <w:rtl/>
          <w:lang w:eastAsia="de-DE"/>
        </w:rPr>
        <w:t>אֶת־בְּנוֹ</w:t>
      </w:r>
      <w:r w:rsidRPr="008D5AF6">
        <w:rPr>
          <w:rFonts w:eastAsia="Times New Roman"/>
          <w:rtl/>
          <w:lang w:eastAsia="de-DE"/>
        </w:rPr>
        <w:t xml:space="preserve"> </w:t>
      </w:r>
      <w:r w:rsidRPr="008D5AF6">
        <w:rPr>
          <w:rFonts w:eastAsia="Times New Roman"/>
          <w:lang w:eastAsia="de-DE"/>
        </w:rPr>
        <w:t xml:space="preserve">als direktes Objekt – </w:t>
      </w:r>
      <w:r w:rsidRPr="008D5AF6">
        <w:rPr>
          <w:rFonts w:eastAsia="Times New Roman"/>
          <w:b/>
          <w:bCs/>
          <w:rtl/>
          <w:lang w:eastAsia="de-DE"/>
        </w:rPr>
        <w:t>בֵּן</w:t>
      </w:r>
      <w:r w:rsidRPr="008D5AF6">
        <w:rPr>
          <w:rFonts w:eastAsia="Times New Roman"/>
          <w:rtl/>
          <w:lang w:eastAsia="de-DE"/>
        </w:rPr>
        <w:t xml:space="preserve"> </w:t>
      </w:r>
      <w:r w:rsidRPr="008D5AF6">
        <w:rPr>
          <w:rFonts w:eastAsia="Times New Roman"/>
          <w:lang w:eastAsia="de-DE"/>
        </w:rPr>
        <w:t xml:space="preserve">mit Suffix 3. Person Singular maskulin), </w:t>
      </w:r>
      <w:r w:rsidRPr="008D5AF6">
        <w:rPr>
          <w:rFonts w:eastAsia="Times New Roman"/>
          <w:b/>
          <w:bCs/>
          <w:rtl/>
          <w:lang w:eastAsia="de-DE"/>
        </w:rPr>
        <w:t>יְהוָה אֱלֹהֶיךָ מְיַסְּרֶךָּ</w:t>
      </w:r>
      <w:r w:rsidRPr="008D5AF6">
        <w:rPr>
          <w:rFonts w:eastAsia="Times New Roman"/>
          <w:rtl/>
          <w:lang w:eastAsia="de-DE"/>
        </w:rPr>
        <w:t xml:space="preserve"> </w:t>
      </w:r>
      <w:r w:rsidRPr="008D5AF6">
        <w:rPr>
          <w:rFonts w:eastAsia="Times New Roman"/>
          <w:lang w:eastAsia="de-DE"/>
        </w:rPr>
        <w:t xml:space="preserve">als Hauptsatz (erweitertes Subjekt, Piel Partizip Singular maskulin von </w:t>
      </w:r>
      <w:r w:rsidRPr="008D5AF6">
        <w:rPr>
          <w:rFonts w:eastAsia="Times New Roman"/>
          <w:b/>
          <w:bCs/>
          <w:rtl/>
          <w:lang w:eastAsia="de-DE"/>
        </w:rPr>
        <w:t>יסר</w:t>
      </w:r>
      <w:r w:rsidRPr="008D5AF6">
        <w:rPr>
          <w:rFonts w:eastAsia="Times New Roman"/>
          <w:rtl/>
          <w:lang w:eastAsia="de-DE"/>
        </w:rPr>
        <w:t xml:space="preserve"> </w:t>
      </w:r>
      <w:r w:rsidRPr="008D5AF6">
        <w:rPr>
          <w:rFonts w:eastAsia="Times New Roman"/>
          <w:lang w:eastAsia="de-DE"/>
        </w:rPr>
        <w:t>mit Suffix 2. Person Singular maskulin als direktes Objekt – „dich erzieht").</w:t>
      </w:r>
    </w:p>
    <w:p w14:paraId="464C287D" w14:textId="40070E4D"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 xml:space="preserve">Das Verb </w:t>
      </w:r>
      <w:r w:rsidRPr="008D5AF6">
        <w:rPr>
          <w:rFonts w:eastAsia="Times New Roman"/>
          <w:b/>
          <w:bCs/>
          <w:rtl/>
          <w:lang w:eastAsia="de-DE"/>
        </w:rPr>
        <w:t>יסר</w:t>
      </w:r>
      <w:r w:rsidRPr="008D5AF6">
        <w:rPr>
          <w:rFonts w:eastAsia="Times New Roman"/>
          <w:rtl/>
          <w:lang w:eastAsia="de-DE"/>
        </w:rPr>
        <w:t xml:space="preserve"> </w:t>
      </w:r>
      <w:r w:rsidRPr="008D5AF6">
        <w:rPr>
          <w:rFonts w:eastAsia="Times New Roman"/>
          <w:lang w:eastAsia="de-DE"/>
        </w:rPr>
        <w:t xml:space="preserve">bezeichnet im Piel „erziehen, unterweisen, züchtigen" – sowohl positive Erziehung als auch korrigierende Zucht (vgl. Spr 3,11-12; 13,24; 19,18; 22,15; 23,13; 29,17; Hebr 12,5-11, wo dieser Vers zitiert wird). Die Wüstenzeit wird als väterliche Erziehung Gottes gedeutet – die Prüfungen waren nicht Strafe, sondern pädagogische Maßnahmen. Die Vater-Sohn-Metapher für die JHWH-Israel-Beziehung ist im Deuteronomium zentral (vgl. </w:t>
      </w:r>
      <w:r w:rsidR="009B1EBB">
        <w:rPr>
          <w:rFonts w:eastAsia="Times New Roman"/>
          <w:lang w:eastAsia="de-DE"/>
        </w:rPr>
        <w:t xml:space="preserve">Deu </w:t>
      </w:r>
      <w:r w:rsidRPr="008D5AF6">
        <w:rPr>
          <w:rFonts w:eastAsia="Times New Roman"/>
          <w:lang w:eastAsia="de-DE"/>
        </w:rPr>
        <w:t>1,31; 14,1; 32,6.18-20; Ex 4,22-23; Hos 11,1).</w:t>
      </w:r>
    </w:p>
    <w:p w14:paraId="72BA0C63"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Die LXX</w:t>
      </w:r>
      <w:r w:rsidRPr="008D5AF6">
        <w:rPr>
          <w:rFonts w:eastAsia="Times New Roman"/>
          <w:lang w:eastAsia="de-DE"/>
        </w:rPr>
        <w:t xml:space="preserve"> übersetzt </w:t>
      </w:r>
      <w:r w:rsidRPr="008D5AF6">
        <w:rPr>
          <w:rFonts w:eastAsia="Times New Roman"/>
          <w:b/>
          <w:bCs/>
          <w:lang w:eastAsia="de-DE"/>
        </w:rPr>
        <w:t>πα</w:t>
      </w:r>
      <w:proofErr w:type="spellStart"/>
      <w:r w:rsidRPr="008D5AF6">
        <w:rPr>
          <w:rFonts w:eastAsia="Times New Roman"/>
          <w:b/>
          <w:bCs/>
          <w:lang w:eastAsia="de-DE"/>
        </w:rPr>
        <w:t>ιδεύει</w:t>
      </w:r>
      <w:proofErr w:type="spellEnd"/>
      <w:r w:rsidRPr="008D5AF6">
        <w:rPr>
          <w:rFonts w:eastAsia="Times New Roman"/>
          <w:lang w:eastAsia="de-DE"/>
        </w:rPr>
        <w:t xml:space="preserve"> („erzieht, züchtigt") für </w:t>
      </w:r>
      <w:r w:rsidRPr="008D5AF6">
        <w:rPr>
          <w:rFonts w:eastAsia="Times New Roman"/>
          <w:b/>
          <w:bCs/>
          <w:rtl/>
          <w:lang w:eastAsia="de-DE"/>
        </w:rPr>
        <w:t>יְיַסֵּר</w:t>
      </w:r>
      <w:r w:rsidRPr="008D5AF6">
        <w:rPr>
          <w:rFonts w:eastAsia="Times New Roman"/>
          <w:rtl/>
          <w:lang w:eastAsia="de-DE"/>
        </w:rPr>
        <w:t xml:space="preserve"> </w:t>
      </w:r>
      <w:r w:rsidRPr="008D5AF6">
        <w:rPr>
          <w:rFonts w:eastAsia="Times New Roman"/>
          <w:lang w:eastAsia="de-DE"/>
        </w:rPr>
        <w:t xml:space="preserve">und </w:t>
      </w:r>
      <w:r w:rsidRPr="008D5AF6">
        <w:rPr>
          <w:rFonts w:eastAsia="Times New Roman"/>
          <w:b/>
          <w:bCs/>
          <w:rtl/>
          <w:lang w:eastAsia="de-DE"/>
        </w:rPr>
        <w:t>מְיַסְּרֶךָּ</w:t>
      </w:r>
      <w:r w:rsidRPr="008D5AF6">
        <w:rPr>
          <w:rFonts w:eastAsia="Times New Roman"/>
          <w:lang w:eastAsia="de-DE"/>
        </w:rPr>
        <w:t>.</w:t>
      </w:r>
    </w:p>
    <w:p w14:paraId="667A2F05"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 xml:space="preserve">Die Satzstruktur ist ein imperativisches Perfekt consecutivum mit modaler bzw. instrumentaler Bestimmung, gefolgt von einem </w:t>
      </w:r>
      <w:r w:rsidRPr="008D5AF6">
        <w:rPr>
          <w:rFonts w:eastAsia="Times New Roman"/>
          <w:b/>
          <w:bCs/>
          <w:rtl/>
          <w:lang w:eastAsia="de-DE"/>
        </w:rPr>
        <w:t>כִּי</w:t>
      </w:r>
      <w:r w:rsidRPr="008D5AF6">
        <w:rPr>
          <w:rFonts w:eastAsia="Times New Roman"/>
          <w:lang w:eastAsia="de-DE"/>
        </w:rPr>
        <w:t>-Objektsatz mit Vergleichssatz (Prädikat, Subjekt und direktes Objekt) und Hauptsatz (erweitertes Subjekt und partizipiales Prädikat mit Suffix-Objekt). Die Struktur etabliert die Vater-Sohn-Analogie für Gottes erzieherisches Handeln.</w:t>
      </w:r>
    </w:p>
    <w:p w14:paraId="786AB2CC"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Der Vers zieht die Folgerung aus V. 2-4: Erkenne innerlich, dass JHWH dich erzieht wie ein Vater seinen Sohn – die Wüstenerfahrung als göttliche Erziehung.</w:t>
      </w:r>
    </w:p>
    <w:p w14:paraId="305A301A" w14:textId="77777777" w:rsidR="008D5AF6" w:rsidRPr="008D5AF6" w:rsidRDefault="008D5AF6" w:rsidP="008D5AF6">
      <w:pPr>
        <w:spacing w:before="100" w:beforeAutospacing="1" w:after="100" w:afterAutospacing="1" w:line="240" w:lineRule="auto"/>
        <w:outlineLvl w:val="1"/>
        <w:rPr>
          <w:rFonts w:eastAsia="Times New Roman"/>
          <w:b/>
          <w:bCs/>
          <w:sz w:val="36"/>
          <w:szCs w:val="36"/>
          <w:lang w:eastAsia="de-DE"/>
        </w:rPr>
      </w:pPr>
      <w:r w:rsidRPr="008D5AF6">
        <w:rPr>
          <w:rFonts w:eastAsia="Times New Roman"/>
          <w:b/>
          <w:bCs/>
          <w:sz w:val="36"/>
          <w:szCs w:val="36"/>
          <w:lang w:eastAsia="de-DE"/>
        </w:rPr>
        <w:t>Deuteronomium 8,6</w:t>
      </w:r>
    </w:p>
    <w:p w14:paraId="0EF40FD1"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Hebräisch:</w:t>
      </w:r>
      <w:r w:rsidRPr="008D5AF6">
        <w:rPr>
          <w:rFonts w:eastAsia="Times New Roman"/>
          <w:lang w:eastAsia="de-DE"/>
        </w:rPr>
        <w:t xml:space="preserve"> </w:t>
      </w:r>
      <w:r w:rsidRPr="008D5AF6">
        <w:rPr>
          <w:rFonts w:eastAsia="Times New Roman"/>
          <w:rtl/>
          <w:lang w:eastAsia="de-DE"/>
        </w:rPr>
        <w:t>וְשָׁמַרְתָּ אֶת־מִצְוֹת יְהוָה אֱלֹהֶיךָ לָלֶכֶת בִּדְרָכָיו וּלְיִרְאָה אֹתוֹ׃</w:t>
      </w:r>
    </w:p>
    <w:p w14:paraId="440F8B82"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Deutsch:</w:t>
      </w:r>
      <w:r w:rsidRPr="008D5AF6">
        <w:rPr>
          <w:rFonts w:eastAsia="Times New Roman"/>
          <w:lang w:eastAsia="de-DE"/>
        </w:rPr>
        <w:t xml:space="preserve"> Und halte die Gebote des Ewigen, deines Gottes, um auf seinen Wegen zu wandeln und ihn zu fürchten.</w:t>
      </w:r>
    </w:p>
    <w:p w14:paraId="2367D81D" w14:textId="77777777" w:rsidR="008D5AF6" w:rsidRPr="008D5AF6" w:rsidRDefault="004F5CEB" w:rsidP="008D5AF6">
      <w:pPr>
        <w:spacing w:after="0" w:line="240" w:lineRule="auto"/>
        <w:rPr>
          <w:rFonts w:eastAsia="Times New Roman"/>
          <w:lang w:eastAsia="de-DE"/>
        </w:rPr>
      </w:pPr>
      <w:r>
        <w:rPr>
          <w:rFonts w:eastAsia="Times New Roman"/>
          <w:noProof/>
          <w:lang w:eastAsia="de-DE"/>
        </w:rPr>
        <w:pict w14:anchorId="2138B8D3">
          <v:rect id="_x0000_i1275" style="width:0;height:1.5pt" o:hralign="center" o:hrstd="t" o:hr="t" fillcolor="#a0a0a0" stroked="f"/>
        </w:pict>
      </w:r>
    </w:p>
    <w:p w14:paraId="61DA9ADD"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lang w:eastAsia="de-DE"/>
        </w:rPr>
        <w:t>Kommentar:</w:t>
      </w:r>
      <w:r w:rsidRPr="008D5AF6">
        <w:rPr>
          <w:rFonts w:eastAsia="Times New Roman"/>
          <w:lang w:eastAsia="de-DE"/>
        </w:rPr>
        <w:t xml:space="preserve"> </w:t>
      </w:r>
      <w:r w:rsidRPr="008D5AF6">
        <w:rPr>
          <w:rFonts w:eastAsia="Times New Roman"/>
          <w:b/>
          <w:bCs/>
          <w:rtl/>
          <w:lang w:eastAsia="de-DE"/>
        </w:rPr>
        <w:t>וְשָׁמַרְתָּ אֶת־מִצְוֹת יְהוָה אֱלֹהֶיךָ</w:t>
      </w:r>
      <w:r w:rsidRPr="008D5AF6">
        <w:rPr>
          <w:rFonts w:eastAsia="Times New Roman"/>
          <w:rtl/>
          <w:lang w:eastAsia="de-DE"/>
        </w:rPr>
        <w:t xml:space="preserve"> </w:t>
      </w:r>
      <w:r w:rsidRPr="008D5AF6">
        <w:rPr>
          <w:rFonts w:eastAsia="Times New Roman"/>
          <w:lang w:eastAsia="de-DE"/>
        </w:rPr>
        <w:t xml:space="preserve">ist Qal Perfekt consecutivum, 2. Person Singular maskulin von </w:t>
      </w:r>
      <w:r w:rsidRPr="008D5AF6">
        <w:rPr>
          <w:rFonts w:eastAsia="Times New Roman"/>
          <w:b/>
          <w:bCs/>
          <w:rtl/>
          <w:lang w:eastAsia="de-DE"/>
        </w:rPr>
        <w:t>שׁמר</w:t>
      </w:r>
      <w:r w:rsidRPr="008D5AF6">
        <w:rPr>
          <w:rFonts w:eastAsia="Times New Roman"/>
          <w:lang w:eastAsia="de-DE"/>
        </w:rPr>
        <w:t xml:space="preserve">, „bewahren, halten", mit </w:t>
      </w:r>
      <w:r w:rsidRPr="008D5AF6">
        <w:rPr>
          <w:rFonts w:eastAsia="Times New Roman"/>
          <w:b/>
          <w:bCs/>
          <w:rtl/>
          <w:lang w:eastAsia="de-DE"/>
        </w:rPr>
        <w:t>וְ</w:t>
      </w:r>
      <w:r w:rsidRPr="008D5AF6">
        <w:rPr>
          <w:rFonts w:eastAsia="Times New Roman"/>
          <w:rtl/>
          <w:lang w:eastAsia="de-DE"/>
        </w:rPr>
        <w:t xml:space="preserve"> </w:t>
      </w:r>
      <w:r w:rsidRPr="008D5AF6">
        <w:rPr>
          <w:rFonts w:eastAsia="Times New Roman"/>
          <w:lang w:eastAsia="de-DE"/>
        </w:rPr>
        <w:t xml:space="preserve">– in imperativischer Funktion, </w:t>
      </w:r>
      <w:r w:rsidRPr="008D5AF6">
        <w:rPr>
          <w:rFonts w:eastAsia="Times New Roman"/>
          <w:b/>
          <w:bCs/>
          <w:rtl/>
          <w:lang w:eastAsia="de-DE"/>
        </w:rPr>
        <w:t>אֶת־מִצְוֹת יְהוָה אֱלֹהֶיךָ</w:t>
      </w:r>
      <w:r w:rsidRPr="008D5AF6">
        <w:rPr>
          <w:rFonts w:eastAsia="Times New Roman"/>
          <w:rtl/>
          <w:lang w:eastAsia="de-DE"/>
        </w:rPr>
        <w:t xml:space="preserve"> </w:t>
      </w:r>
      <w:r w:rsidRPr="008D5AF6">
        <w:rPr>
          <w:rFonts w:eastAsia="Times New Roman"/>
          <w:lang w:eastAsia="de-DE"/>
        </w:rPr>
        <w:t>als direktes Objekt (</w:t>
      </w:r>
      <w:r w:rsidRPr="008D5AF6">
        <w:rPr>
          <w:rFonts w:eastAsia="Times New Roman"/>
          <w:b/>
          <w:bCs/>
          <w:rtl/>
          <w:lang w:eastAsia="de-DE"/>
        </w:rPr>
        <w:t>מִצְוָה</w:t>
      </w:r>
      <w:r w:rsidRPr="008D5AF6">
        <w:rPr>
          <w:rFonts w:eastAsia="Times New Roman"/>
          <w:lang w:eastAsia="de-DE"/>
        </w:rPr>
        <w:t>, Plural Construct, mit erweiterter Gottesbezeichnung).</w:t>
      </w:r>
    </w:p>
    <w:p w14:paraId="1A73F152"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b/>
          <w:bCs/>
          <w:rtl/>
          <w:lang w:eastAsia="de-DE"/>
        </w:rPr>
        <w:t>לָלֶכֶת בִּדְרָכָיו וּלְיִרְאָה אֹתוֹ</w:t>
      </w:r>
      <w:r w:rsidRPr="008D5AF6">
        <w:rPr>
          <w:rFonts w:eastAsia="Times New Roman"/>
          <w:rtl/>
          <w:lang w:eastAsia="de-DE"/>
        </w:rPr>
        <w:t xml:space="preserve"> </w:t>
      </w:r>
      <w:r w:rsidRPr="008D5AF6">
        <w:rPr>
          <w:rFonts w:eastAsia="Times New Roman"/>
          <w:lang w:eastAsia="de-DE"/>
        </w:rPr>
        <w:t xml:space="preserve">ist eine zweigliedrige finale Konstruktion: </w:t>
      </w:r>
      <w:r w:rsidRPr="008D5AF6">
        <w:rPr>
          <w:rFonts w:eastAsia="Times New Roman"/>
          <w:b/>
          <w:bCs/>
          <w:rtl/>
          <w:lang w:eastAsia="de-DE"/>
        </w:rPr>
        <w:t>לָלֶכֶת בִּדְרָכָיו</w:t>
      </w:r>
      <w:r w:rsidRPr="008D5AF6">
        <w:rPr>
          <w:rFonts w:eastAsia="Times New Roman"/>
          <w:rtl/>
          <w:lang w:eastAsia="de-DE"/>
        </w:rPr>
        <w:t xml:space="preserve"> </w:t>
      </w:r>
      <w:r w:rsidRPr="008D5AF6">
        <w:rPr>
          <w:rFonts w:eastAsia="Times New Roman"/>
          <w:lang w:eastAsia="de-DE"/>
        </w:rPr>
        <w:t xml:space="preserve">(Qal Infinitiv Construct von </w:t>
      </w:r>
      <w:r w:rsidRPr="008D5AF6">
        <w:rPr>
          <w:rFonts w:eastAsia="Times New Roman"/>
          <w:b/>
          <w:bCs/>
          <w:rtl/>
          <w:lang w:eastAsia="de-DE"/>
        </w:rPr>
        <w:t>הלך</w:t>
      </w:r>
      <w:r w:rsidRPr="008D5AF6">
        <w:rPr>
          <w:rFonts w:eastAsia="Times New Roman"/>
          <w:lang w:eastAsia="de-DE"/>
        </w:rPr>
        <w:t xml:space="preserve">, „gehen, wandeln", mit </w:t>
      </w:r>
      <w:r w:rsidRPr="008D5AF6">
        <w:rPr>
          <w:rFonts w:eastAsia="Times New Roman"/>
          <w:b/>
          <w:bCs/>
          <w:rtl/>
          <w:lang w:eastAsia="de-DE"/>
        </w:rPr>
        <w:t>לְ</w:t>
      </w:r>
      <w:r w:rsidRPr="008D5AF6">
        <w:rPr>
          <w:rFonts w:eastAsia="Times New Roman"/>
          <w:lang w:eastAsia="de-DE"/>
        </w:rPr>
        <w:t xml:space="preserve">, </w:t>
      </w:r>
      <w:r w:rsidRPr="008D5AF6">
        <w:rPr>
          <w:rFonts w:eastAsia="Times New Roman"/>
          <w:b/>
          <w:bCs/>
          <w:rtl/>
          <w:lang w:eastAsia="de-DE"/>
        </w:rPr>
        <w:t>בִּדְרָכָיו</w:t>
      </w:r>
      <w:r w:rsidRPr="008D5AF6">
        <w:rPr>
          <w:rFonts w:eastAsia="Times New Roman"/>
          <w:rtl/>
          <w:lang w:eastAsia="de-DE"/>
        </w:rPr>
        <w:t xml:space="preserve"> </w:t>
      </w:r>
      <w:r w:rsidRPr="008D5AF6">
        <w:rPr>
          <w:rFonts w:eastAsia="Times New Roman"/>
          <w:lang w:eastAsia="de-DE"/>
        </w:rPr>
        <w:t xml:space="preserve">als präpositionale Ergänzung – </w:t>
      </w:r>
      <w:r w:rsidRPr="008D5AF6">
        <w:rPr>
          <w:rFonts w:eastAsia="Times New Roman"/>
          <w:b/>
          <w:bCs/>
          <w:rtl/>
          <w:lang w:eastAsia="de-DE"/>
        </w:rPr>
        <w:t>בְּ</w:t>
      </w:r>
      <w:r w:rsidRPr="008D5AF6">
        <w:rPr>
          <w:rFonts w:eastAsia="Times New Roman"/>
          <w:rtl/>
          <w:lang w:eastAsia="de-DE"/>
        </w:rPr>
        <w:t xml:space="preserve"> </w:t>
      </w:r>
      <w:r w:rsidRPr="008D5AF6">
        <w:rPr>
          <w:rFonts w:eastAsia="Times New Roman"/>
          <w:lang w:eastAsia="de-DE"/>
        </w:rPr>
        <w:t xml:space="preserve">mit </w:t>
      </w:r>
      <w:r w:rsidRPr="008D5AF6">
        <w:rPr>
          <w:rFonts w:eastAsia="Times New Roman"/>
          <w:b/>
          <w:bCs/>
          <w:rtl/>
          <w:lang w:eastAsia="de-DE"/>
        </w:rPr>
        <w:t>דֶּרֶךְ</w:t>
      </w:r>
      <w:r w:rsidRPr="008D5AF6">
        <w:rPr>
          <w:rFonts w:eastAsia="Times New Roman"/>
          <w:lang w:eastAsia="de-DE"/>
        </w:rPr>
        <w:t xml:space="preserve">, „Weg", Plural, und Suffix 3. Person Singular maskulin – „auf seinen Wegen"), </w:t>
      </w:r>
      <w:r w:rsidRPr="008D5AF6">
        <w:rPr>
          <w:rFonts w:eastAsia="Times New Roman"/>
          <w:b/>
          <w:bCs/>
          <w:rtl/>
          <w:lang w:eastAsia="de-DE"/>
        </w:rPr>
        <w:t>וּלְיִרְאָה אֹתוֹ</w:t>
      </w:r>
      <w:r w:rsidRPr="008D5AF6">
        <w:rPr>
          <w:rFonts w:eastAsia="Times New Roman"/>
          <w:rtl/>
          <w:lang w:eastAsia="de-DE"/>
        </w:rPr>
        <w:t xml:space="preserve"> </w:t>
      </w:r>
      <w:r w:rsidRPr="008D5AF6">
        <w:rPr>
          <w:rFonts w:eastAsia="Times New Roman"/>
          <w:lang w:eastAsia="de-DE"/>
        </w:rPr>
        <w:t xml:space="preserve">koordiniert (Qal Infinitiv Construct von </w:t>
      </w:r>
      <w:r w:rsidRPr="008D5AF6">
        <w:rPr>
          <w:rFonts w:eastAsia="Times New Roman"/>
          <w:b/>
          <w:bCs/>
          <w:rtl/>
          <w:lang w:eastAsia="de-DE"/>
        </w:rPr>
        <w:t>ירא</w:t>
      </w:r>
      <w:r w:rsidRPr="008D5AF6">
        <w:rPr>
          <w:rFonts w:eastAsia="Times New Roman"/>
          <w:lang w:eastAsia="de-DE"/>
        </w:rPr>
        <w:t xml:space="preserve">, „fürchten", mit </w:t>
      </w:r>
      <w:r w:rsidRPr="008D5AF6">
        <w:rPr>
          <w:rFonts w:eastAsia="Times New Roman"/>
          <w:b/>
          <w:bCs/>
          <w:rtl/>
          <w:lang w:eastAsia="de-DE"/>
        </w:rPr>
        <w:t>לְ</w:t>
      </w:r>
      <w:r w:rsidRPr="008D5AF6">
        <w:rPr>
          <w:rFonts w:eastAsia="Times New Roman"/>
          <w:rtl/>
          <w:lang w:eastAsia="de-DE"/>
        </w:rPr>
        <w:t xml:space="preserve"> </w:t>
      </w:r>
      <w:r w:rsidRPr="008D5AF6">
        <w:rPr>
          <w:rFonts w:eastAsia="Times New Roman"/>
          <w:lang w:eastAsia="de-DE"/>
        </w:rPr>
        <w:t xml:space="preserve">und </w:t>
      </w:r>
      <w:r w:rsidRPr="008D5AF6">
        <w:rPr>
          <w:rFonts w:eastAsia="Times New Roman"/>
          <w:b/>
          <w:bCs/>
          <w:rtl/>
          <w:lang w:eastAsia="de-DE"/>
        </w:rPr>
        <w:t>וְ</w:t>
      </w:r>
      <w:r w:rsidRPr="008D5AF6">
        <w:rPr>
          <w:rFonts w:eastAsia="Times New Roman"/>
          <w:lang w:eastAsia="de-DE"/>
        </w:rPr>
        <w:t xml:space="preserve">, </w:t>
      </w:r>
      <w:r w:rsidRPr="008D5AF6">
        <w:rPr>
          <w:rFonts w:eastAsia="Times New Roman"/>
          <w:b/>
          <w:bCs/>
          <w:rtl/>
          <w:lang w:eastAsia="de-DE"/>
        </w:rPr>
        <w:t>אֹתוֹ</w:t>
      </w:r>
      <w:r w:rsidRPr="008D5AF6">
        <w:rPr>
          <w:rFonts w:eastAsia="Times New Roman"/>
          <w:rtl/>
          <w:lang w:eastAsia="de-DE"/>
        </w:rPr>
        <w:t xml:space="preserve"> </w:t>
      </w:r>
      <w:r w:rsidRPr="008D5AF6">
        <w:rPr>
          <w:rFonts w:eastAsia="Times New Roman"/>
          <w:lang w:eastAsia="de-DE"/>
        </w:rPr>
        <w:t>als direktes Objekt).</w:t>
      </w:r>
    </w:p>
    <w:p w14:paraId="6CFD92E1" w14:textId="542BFF5A"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lastRenderedPageBreak/>
        <w:t>Der Vers formuliert die praktische Konsequenz aus der Erinnerung an Gottes erzieherisches Handeln (V. 2-5): Gehorsam gegenüber den Geboten. Die zweigliedrige Zielsetzung (</w:t>
      </w:r>
      <w:r w:rsidRPr="008D5AF6">
        <w:rPr>
          <w:rFonts w:eastAsia="Times New Roman"/>
          <w:b/>
          <w:bCs/>
          <w:rtl/>
          <w:lang w:eastAsia="de-DE"/>
        </w:rPr>
        <w:t>לָלֶכֶת בִּדְרָכָיו וּלְיִרְאָה אֹתוֹ</w:t>
      </w:r>
      <w:r w:rsidRPr="008D5AF6">
        <w:rPr>
          <w:rFonts w:eastAsia="Times New Roman"/>
          <w:lang w:eastAsia="de-DE"/>
        </w:rPr>
        <w:t xml:space="preserve">, „auf seinen Wegen zu wandeln und ihn zu fürchten") entfaltet, was Gebotstreue bedeutet: Lebenswandel nach Gottes Willen und ehrfürchtige Beziehung zu ihm. Die Metapher </w:t>
      </w:r>
      <w:r w:rsidRPr="008D5AF6">
        <w:rPr>
          <w:rFonts w:eastAsia="Times New Roman"/>
          <w:b/>
          <w:bCs/>
          <w:rtl/>
          <w:lang w:eastAsia="de-DE"/>
        </w:rPr>
        <w:t>הלך בְּדֶרֶךְ</w:t>
      </w:r>
      <w:r w:rsidRPr="008D5AF6">
        <w:rPr>
          <w:rFonts w:eastAsia="Times New Roman"/>
          <w:rtl/>
          <w:lang w:eastAsia="de-DE"/>
        </w:rPr>
        <w:t xml:space="preserve"> </w:t>
      </w:r>
      <w:r w:rsidRPr="008D5AF6">
        <w:rPr>
          <w:rFonts w:eastAsia="Times New Roman"/>
          <w:lang w:eastAsia="de-DE"/>
        </w:rPr>
        <w:t xml:space="preserve">(„auf dem Weg gehen") bezeichnet den gesamten Lebenswandel (vgl. </w:t>
      </w:r>
      <w:r w:rsidR="009B1EBB">
        <w:rPr>
          <w:rFonts w:eastAsia="Times New Roman"/>
          <w:lang w:eastAsia="de-DE"/>
        </w:rPr>
        <w:t xml:space="preserve">Deu </w:t>
      </w:r>
      <w:r w:rsidRPr="008D5AF6">
        <w:rPr>
          <w:rFonts w:eastAsia="Times New Roman"/>
          <w:lang w:eastAsia="de-DE"/>
        </w:rPr>
        <w:t>5,33; 10,12; 11,22; 19,9; 26,17; 28,9; 30,16).</w:t>
      </w:r>
    </w:p>
    <w:p w14:paraId="1E57E1C5"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Die Satzstruktur ist ein imperativisches Perfekt consecutivum mit direktem Objekt, gefolgt von einer zweigliedrigen finalen Konstruktion (die erste mit präpositionaler Ergänzung, die zweite mit direktem Objekt). Die Struktur verbindet Gebotstreue mit Lebenswandel und Gottesfurcht.</w:t>
      </w:r>
    </w:p>
    <w:p w14:paraId="2C7CF61E" w14:textId="77777777" w:rsidR="008D5AF6" w:rsidRPr="008D5AF6" w:rsidRDefault="008D5AF6" w:rsidP="008D5AF6">
      <w:pPr>
        <w:spacing w:before="100" w:beforeAutospacing="1" w:after="100" w:afterAutospacing="1" w:line="240" w:lineRule="auto"/>
        <w:rPr>
          <w:rFonts w:eastAsia="Times New Roman"/>
          <w:lang w:eastAsia="de-DE"/>
        </w:rPr>
      </w:pPr>
      <w:r w:rsidRPr="008D5AF6">
        <w:rPr>
          <w:rFonts w:eastAsia="Times New Roman"/>
          <w:lang w:eastAsia="de-DE"/>
        </w:rPr>
        <w:t>Der Vers fordert zur Konsequenz auf: Halte die Gebote JHWHs, um auf seinen Wegen zu wandeln und ihn zu fürchten – praktische Bundestreuе als Antwort auf Gottes Erziehung.</w:t>
      </w:r>
    </w:p>
    <w:p w14:paraId="196D466F" w14:textId="77777777" w:rsidR="009B1EBB" w:rsidRPr="009B1EBB" w:rsidRDefault="009B1EBB" w:rsidP="009B1EBB">
      <w:pPr>
        <w:spacing w:before="100" w:beforeAutospacing="1" w:after="100" w:afterAutospacing="1" w:line="240" w:lineRule="auto"/>
        <w:outlineLvl w:val="1"/>
        <w:rPr>
          <w:rFonts w:eastAsia="Times New Roman"/>
          <w:b/>
          <w:bCs/>
          <w:sz w:val="36"/>
          <w:szCs w:val="36"/>
          <w:lang w:eastAsia="de-DE"/>
        </w:rPr>
      </w:pPr>
      <w:r w:rsidRPr="009B1EBB">
        <w:rPr>
          <w:rFonts w:eastAsia="Times New Roman"/>
          <w:b/>
          <w:bCs/>
          <w:sz w:val="36"/>
          <w:szCs w:val="36"/>
          <w:lang w:eastAsia="de-DE"/>
        </w:rPr>
        <w:t>Deuteronomium 8,7</w:t>
      </w:r>
    </w:p>
    <w:p w14:paraId="1033BCC3"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Hebräisch:</w:t>
      </w:r>
      <w:r w:rsidRPr="009B1EBB">
        <w:rPr>
          <w:rFonts w:eastAsia="Times New Roman"/>
          <w:lang w:eastAsia="de-DE"/>
        </w:rPr>
        <w:t xml:space="preserve"> </w:t>
      </w:r>
      <w:r w:rsidRPr="009B1EBB">
        <w:rPr>
          <w:rFonts w:eastAsia="Times New Roman"/>
          <w:rtl/>
          <w:lang w:eastAsia="de-DE"/>
        </w:rPr>
        <w:t>כִּי יְהוָה אֱלֹהֶיךָ מְבִיאֲךָ אֶל־אֶרֶץ טוֹבָה אֶרֶץ נַחֲלֵי מָיִם עֲיָנֹת וּתְהֹמֹת יֹצְאִים בַּבִּקְעָה וּבָהָר׃</w:t>
      </w:r>
    </w:p>
    <w:p w14:paraId="2BDD2D4D"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Deutsch:</w:t>
      </w:r>
      <w:r w:rsidRPr="009B1EBB">
        <w:rPr>
          <w:rFonts w:eastAsia="Times New Roman"/>
          <w:lang w:eastAsia="de-DE"/>
        </w:rPr>
        <w:t xml:space="preserve"> Denn der Ewige, dein Gott, bringt dich in ein gutes Land, ein Land von Wasserbächen, Quellen und Gewässern, die in der Ebene und im Gebirge entspringen.</w:t>
      </w:r>
    </w:p>
    <w:p w14:paraId="5F1FC01B" w14:textId="77777777" w:rsidR="009B1EBB" w:rsidRPr="009B1EBB" w:rsidRDefault="004F5CEB" w:rsidP="009B1EBB">
      <w:pPr>
        <w:spacing w:after="0" w:line="240" w:lineRule="auto"/>
        <w:rPr>
          <w:rFonts w:eastAsia="Times New Roman"/>
          <w:lang w:eastAsia="de-DE"/>
        </w:rPr>
      </w:pPr>
      <w:r>
        <w:rPr>
          <w:rFonts w:eastAsia="Times New Roman"/>
          <w:noProof/>
          <w:lang w:eastAsia="de-DE"/>
        </w:rPr>
        <w:pict w14:anchorId="76067869">
          <v:rect id="_x0000_i1276" style="width:0;height:1.5pt" o:hralign="center" o:hrstd="t" o:hr="t" fillcolor="#a0a0a0" stroked="f"/>
        </w:pict>
      </w:r>
    </w:p>
    <w:p w14:paraId="6019C38B"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Kommentar:</w:t>
      </w:r>
      <w:r w:rsidRPr="009B1EBB">
        <w:rPr>
          <w:rFonts w:eastAsia="Times New Roman"/>
          <w:lang w:eastAsia="de-DE"/>
        </w:rPr>
        <w:t xml:space="preserve"> </w:t>
      </w:r>
      <w:r w:rsidRPr="009B1EBB">
        <w:rPr>
          <w:rFonts w:eastAsia="Times New Roman"/>
          <w:b/>
          <w:bCs/>
          <w:rtl/>
          <w:lang w:eastAsia="de-DE"/>
        </w:rPr>
        <w:t>כִּי יְהוָה אֱלֹהֶיךָ מְבִיאֲךָ אֶל־אֶרֶץ טוֹבָה</w:t>
      </w:r>
      <w:r w:rsidRPr="009B1EBB">
        <w:rPr>
          <w:rFonts w:eastAsia="Times New Roman"/>
          <w:rtl/>
          <w:lang w:eastAsia="de-DE"/>
        </w:rPr>
        <w:t xml:space="preserve"> </w:t>
      </w:r>
      <w:r w:rsidRPr="009B1EBB">
        <w:rPr>
          <w:rFonts w:eastAsia="Times New Roman"/>
          <w:lang w:eastAsia="de-DE"/>
        </w:rPr>
        <w:t xml:space="preserve">ist ein kausaler Satz: </w:t>
      </w:r>
      <w:r w:rsidRPr="009B1EBB">
        <w:rPr>
          <w:rFonts w:eastAsia="Times New Roman"/>
          <w:b/>
          <w:bCs/>
          <w:rtl/>
          <w:lang w:eastAsia="de-DE"/>
        </w:rPr>
        <w:t>כִּי</w:t>
      </w:r>
      <w:r w:rsidRPr="009B1EBB">
        <w:rPr>
          <w:rFonts w:eastAsia="Times New Roman"/>
          <w:rtl/>
          <w:lang w:eastAsia="de-DE"/>
        </w:rPr>
        <w:t xml:space="preserve"> </w:t>
      </w:r>
      <w:r w:rsidRPr="009B1EBB">
        <w:rPr>
          <w:rFonts w:eastAsia="Times New Roman"/>
          <w:lang w:eastAsia="de-DE"/>
        </w:rPr>
        <w:t xml:space="preserve">als Konjunktion („denn"), </w:t>
      </w:r>
      <w:r w:rsidRPr="009B1EBB">
        <w:rPr>
          <w:rFonts w:eastAsia="Times New Roman"/>
          <w:b/>
          <w:bCs/>
          <w:rtl/>
          <w:lang w:eastAsia="de-DE"/>
        </w:rPr>
        <w:t>יְהוָה אֱלֹהֶיךָ</w:t>
      </w:r>
      <w:r w:rsidRPr="009B1EBB">
        <w:rPr>
          <w:rFonts w:eastAsia="Times New Roman"/>
          <w:rtl/>
          <w:lang w:eastAsia="de-DE"/>
        </w:rPr>
        <w:t xml:space="preserve"> </w:t>
      </w:r>
      <w:r w:rsidRPr="009B1EBB">
        <w:rPr>
          <w:rFonts w:eastAsia="Times New Roman"/>
          <w:lang w:eastAsia="de-DE"/>
        </w:rPr>
        <w:t xml:space="preserve">als erweitertes Subjekt, </w:t>
      </w:r>
      <w:r w:rsidRPr="009B1EBB">
        <w:rPr>
          <w:rFonts w:eastAsia="Times New Roman"/>
          <w:b/>
          <w:bCs/>
          <w:rtl/>
          <w:lang w:eastAsia="de-DE"/>
        </w:rPr>
        <w:t>מְבִיאֲךָ</w:t>
      </w:r>
      <w:r w:rsidRPr="009B1EBB">
        <w:rPr>
          <w:rFonts w:eastAsia="Times New Roman"/>
          <w:rtl/>
          <w:lang w:eastAsia="de-DE"/>
        </w:rPr>
        <w:t xml:space="preserve"> </w:t>
      </w:r>
      <w:r w:rsidRPr="009B1EBB">
        <w:rPr>
          <w:rFonts w:eastAsia="Times New Roman"/>
          <w:lang w:eastAsia="de-DE"/>
        </w:rPr>
        <w:t xml:space="preserve">als Hifil Partizip Singular maskulin von </w:t>
      </w:r>
      <w:r w:rsidRPr="009B1EBB">
        <w:rPr>
          <w:rFonts w:eastAsia="Times New Roman"/>
          <w:b/>
          <w:bCs/>
          <w:rtl/>
          <w:lang w:eastAsia="de-DE"/>
        </w:rPr>
        <w:t>בוא</w:t>
      </w:r>
      <w:r w:rsidRPr="009B1EBB">
        <w:rPr>
          <w:rFonts w:eastAsia="Times New Roman"/>
          <w:lang w:eastAsia="de-DE"/>
        </w:rPr>
        <w:t xml:space="preserve">, „bringen", mit Suffix 2. Person Singular maskulin als direktes Objekt, </w:t>
      </w:r>
      <w:r w:rsidRPr="009B1EBB">
        <w:rPr>
          <w:rFonts w:eastAsia="Times New Roman"/>
          <w:b/>
          <w:bCs/>
          <w:rtl/>
          <w:lang w:eastAsia="de-DE"/>
        </w:rPr>
        <w:t>אֶל־אֶרֶץ טוֹבָה</w:t>
      </w:r>
      <w:r w:rsidRPr="009B1EBB">
        <w:rPr>
          <w:rFonts w:eastAsia="Times New Roman"/>
          <w:rtl/>
          <w:lang w:eastAsia="de-DE"/>
        </w:rPr>
        <w:t xml:space="preserve"> </w:t>
      </w:r>
      <w:r w:rsidRPr="009B1EBB">
        <w:rPr>
          <w:rFonts w:eastAsia="Times New Roman"/>
          <w:lang w:eastAsia="de-DE"/>
        </w:rPr>
        <w:t>als Richtungsangabe (</w:t>
      </w:r>
      <w:r w:rsidRPr="009B1EBB">
        <w:rPr>
          <w:rFonts w:eastAsia="Times New Roman"/>
          <w:b/>
          <w:bCs/>
          <w:rtl/>
          <w:lang w:eastAsia="de-DE"/>
        </w:rPr>
        <w:t>אֶל</w:t>
      </w:r>
      <w:r w:rsidRPr="009B1EBB">
        <w:rPr>
          <w:rFonts w:eastAsia="Times New Roman"/>
          <w:rtl/>
          <w:lang w:eastAsia="de-DE"/>
        </w:rPr>
        <w:t xml:space="preserve"> </w:t>
      </w:r>
      <w:r w:rsidRPr="009B1EBB">
        <w:rPr>
          <w:rFonts w:eastAsia="Times New Roman"/>
          <w:lang w:eastAsia="de-DE"/>
        </w:rPr>
        <w:t xml:space="preserve">mit </w:t>
      </w:r>
      <w:r w:rsidRPr="009B1EBB">
        <w:rPr>
          <w:rFonts w:eastAsia="Times New Roman"/>
          <w:b/>
          <w:bCs/>
          <w:rtl/>
          <w:lang w:eastAsia="de-DE"/>
        </w:rPr>
        <w:t>אֶרֶץ</w:t>
      </w:r>
      <w:r w:rsidRPr="009B1EBB">
        <w:rPr>
          <w:rFonts w:eastAsia="Times New Roman"/>
          <w:rtl/>
          <w:lang w:eastAsia="de-DE"/>
        </w:rPr>
        <w:t xml:space="preserve"> </w:t>
      </w:r>
      <w:r w:rsidRPr="009B1EBB">
        <w:rPr>
          <w:rFonts w:eastAsia="Times New Roman"/>
          <w:lang w:eastAsia="de-DE"/>
        </w:rPr>
        <w:t xml:space="preserve">und Adjektiv </w:t>
      </w:r>
      <w:r w:rsidRPr="009B1EBB">
        <w:rPr>
          <w:rFonts w:eastAsia="Times New Roman"/>
          <w:b/>
          <w:bCs/>
          <w:rtl/>
          <w:lang w:eastAsia="de-DE"/>
        </w:rPr>
        <w:t>טוֹבָה</w:t>
      </w:r>
      <w:r w:rsidRPr="009B1EBB">
        <w:rPr>
          <w:rFonts w:eastAsia="Times New Roman"/>
          <w:lang w:eastAsia="de-DE"/>
        </w:rPr>
        <w:t>, „gut" – „in ein gutes Land").</w:t>
      </w:r>
    </w:p>
    <w:p w14:paraId="576F8F60"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rtl/>
          <w:lang w:eastAsia="de-DE"/>
        </w:rPr>
        <w:t>אֶרֶץ נַחֲלֵי מָיִם עֲיָנֹת וּתְהֹמֹת יֹצְאִים בַּבִּקְעָה וּבָהָר</w:t>
      </w:r>
      <w:r w:rsidRPr="009B1EBB">
        <w:rPr>
          <w:rFonts w:eastAsia="Times New Roman"/>
          <w:rtl/>
          <w:lang w:eastAsia="de-DE"/>
        </w:rPr>
        <w:t xml:space="preserve"> </w:t>
      </w:r>
      <w:r w:rsidRPr="009B1EBB">
        <w:rPr>
          <w:rFonts w:eastAsia="Times New Roman"/>
          <w:lang w:eastAsia="de-DE"/>
        </w:rPr>
        <w:t xml:space="preserve">ist eine mehrfache appositionelle Entfaltung: </w:t>
      </w:r>
      <w:r w:rsidRPr="009B1EBB">
        <w:rPr>
          <w:rFonts w:eastAsia="Times New Roman"/>
          <w:b/>
          <w:bCs/>
          <w:rtl/>
          <w:lang w:eastAsia="de-DE"/>
        </w:rPr>
        <w:t>אֶרֶץ נַחֲלֵי מָיִם</w:t>
      </w:r>
      <w:r w:rsidRPr="009B1EBB">
        <w:rPr>
          <w:rFonts w:eastAsia="Times New Roman"/>
          <w:rtl/>
          <w:lang w:eastAsia="de-DE"/>
        </w:rPr>
        <w:t xml:space="preserve"> </w:t>
      </w:r>
      <w:r w:rsidRPr="009B1EBB">
        <w:rPr>
          <w:rFonts w:eastAsia="Times New Roman"/>
          <w:lang w:eastAsia="de-DE"/>
        </w:rPr>
        <w:t>(</w:t>
      </w:r>
      <w:r w:rsidRPr="009B1EBB">
        <w:rPr>
          <w:rFonts w:eastAsia="Times New Roman"/>
          <w:b/>
          <w:bCs/>
          <w:rtl/>
          <w:lang w:eastAsia="de-DE"/>
        </w:rPr>
        <w:t>אֶרֶץ</w:t>
      </w:r>
      <w:r w:rsidRPr="009B1EBB">
        <w:rPr>
          <w:rFonts w:eastAsia="Times New Roman"/>
          <w:rtl/>
          <w:lang w:eastAsia="de-DE"/>
        </w:rPr>
        <w:t xml:space="preserve"> </w:t>
      </w:r>
      <w:r w:rsidRPr="009B1EBB">
        <w:rPr>
          <w:rFonts w:eastAsia="Times New Roman"/>
          <w:lang w:eastAsia="de-DE"/>
        </w:rPr>
        <w:t xml:space="preserve">in Apposition, </w:t>
      </w:r>
      <w:r w:rsidRPr="009B1EBB">
        <w:rPr>
          <w:rFonts w:eastAsia="Times New Roman"/>
          <w:b/>
          <w:bCs/>
          <w:rtl/>
          <w:lang w:eastAsia="de-DE"/>
        </w:rPr>
        <w:t>נַחַל</w:t>
      </w:r>
      <w:r w:rsidRPr="009B1EBB">
        <w:rPr>
          <w:rFonts w:eastAsia="Times New Roman"/>
          <w:lang w:eastAsia="de-DE"/>
        </w:rPr>
        <w:t xml:space="preserve">, „Bach, Wasserlauf", Plural Construct, </w:t>
      </w:r>
      <w:r w:rsidRPr="009B1EBB">
        <w:rPr>
          <w:rFonts w:eastAsia="Times New Roman"/>
          <w:b/>
          <w:bCs/>
          <w:rtl/>
          <w:lang w:eastAsia="de-DE"/>
        </w:rPr>
        <w:t>מַיִם</w:t>
      </w:r>
      <w:r w:rsidRPr="009B1EBB">
        <w:rPr>
          <w:rFonts w:eastAsia="Times New Roman"/>
          <w:lang w:eastAsia="de-DE"/>
        </w:rPr>
        <w:t xml:space="preserve">, „Wasser", Plural – „ein Land von Wasserbächen"), </w:t>
      </w:r>
      <w:r w:rsidRPr="009B1EBB">
        <w:rPr>
          <w:rFonts w:eastAsia="Times New Roman"/>
          <w:b/>
          <w:bCs/>
          <w:rtl/>
          <w:lang w:eastAsia="de-DE"/>
        </w:rPr>
        <w:t>עֲיָנֹת וּתְהֹמֹת</w:t>
      </w:r>
      <w:r w:rsidRPr="009B1EBB">
        <w:rPr>
          <w:rFonts w:eastAsia="Times New Roman"/>
          <w:rtl/>
          <w:lang w:eastAsia="de-DE"/>
        </w:rPr>
        <w:t xml:space="preserve"> </w:t>
      </w:r>
      <w:r w:rsidRPr="009B1EBB">
        <w:rPr>
          <w:rFonts w:eastAsia="Times New Roman"/>
          <w:lang w:eastAsia="de-DE"/>
        </w:rPr>
        <w:t>als zweigliedrige koordinierte weitere Apposition (</w:t>
      </w:r>
      <w:r w:rsidRPr="009B1EBB">
        <w:rPr>
          <w:rFonts w:eastAsia="Times New Roman"/>
          <w:b/>
          <w:bCs/>
          <w:rtl/>
          <w:lang w:eastAsia="de-DE"/>
        </w:rPr>
        <w:t>עַיִן</w:t>
      </w:r>
      <w:r w:rsidRPr="009B1EBB">
        <w:rPr>
          <w:rFonts w:eastAsia="Times New Roman"/>
          <w:lang w:eastAsia="de-DE"/>
        </w:rPr>
        <w:t xml:space="preserve">, „Quelle, Brunnen" – hier feminin, Plural, und </w:t>
      </w:r>
      <w:r w:rsidRPr="009B1EBB">
        <w:rPr>
          <w:rFonts w:eastAsia="Times New Roman"/>
          <w:b/>
          <w:bCs/>
          <w:rtl/>
          <w:lang w:eastAsia="de-DE"/>
        </w:rPr>
        <w:t>תְּהוֹם</w:t>
      </w:r>
      <w:r w:rsidRPr="009B1EBB">
        <w:rPr>
          <w:rFonts w:eastAsia="Times New Roman"/>
          <w:lang w:eastAsia="de-DE"/>
        </w:rPr>
        <w:t xml:space="preserve">, „Tiefe, unterirdisches Gewässer, Urflut", Plural – „Quellen und Gewässer/Tiefen"), </w:t>
      </w:r>
      <w:r w:rsidRPr="009B1EBB">
        <w:rPr>
          <w:rFonts w:eastAsia="Times New Roman"/>
          <w:b/>
          <w:bCs/>
          <w:rtl/>
          <w:lang w:eastAsia="de-DE"/>
        </w:rPr>
        <w:t>יֹצְאִים בַּבִּקְעָה וּבָהָר</w:t>
      </w:r>
      <w:r w:rsidRPr="009B1EBB">
        <w:rPr>
          <w:rFonts w:eastAsia="Times New Roman"/>
          <w:rtl/>
          <w:lang w:eastAsia="de-DE"/>
        </w:rPr>
        <w:t xml:space="preserve"> </w:t>
      </w:r>
      <w:r w:rsidRPr="009B1EBB">
        <w:rPr>
          <w:rFonts w:eastAsia="Times New Roman"/>
          <w:lang w:eastAsia="de-DE"/>
        </w:rPr>
        <w:t xml:space="preserve">als partizipiale Erweiterung (Qal Partizip Plural maskulin von </w:t>
      </w:r>
      <w:r w:rsidRPr="009B1EBB">
        <w:rPr>
          <w:rFonts w:eastAsia="Times New Roman"/>
          <w:b/>
          <w:bCs/>
          <w:rtl/>
          <w:lang w:eastAsia="de-DE"/>
        </w:rPr>
        <w:t>יצא</w:t>
      </w:r>
      <w:r w:rsidRPr="009B1EBB">
        <w:rPr>
          <w:rFonts w:eastAsia="Times New Roman"/>
          <w:lang w:eastAsia="de-DE"/>
        </w:rPr>
        <w:t xml:space="preserve">, „hervorkommen, entspringen", </w:t>
      </w:r>
      <w:r w:rsidRPr="009B1EBB">
        <w:rPr>
          <w:rFonts w:eastAsia="Times New Roman"/>
          <w:b/>
          <w:bCs/>
          <w:rtl/>
          <w:lang w:eastAsia="de-DE"/>
        </w:rPr>
        <w:t>בַּבִּקְעָה וּבָהָר</w:t>
      </w:r>
      <w:r w:rsidRPr="009B1EBB">
        <w:rPr>
          <w:rFonts w:eastAsia="Times New Roman"/>
          <w:rtl/>
          <w:lang w:eastAsia="de-DE"/>
        </w:rPr>
        <w:t xml:space="preserve"> </w:t>
      </w:r>
      <w:r w:rsidRPr="009B1EBB">
        <w:rPr>
          <w:rFonts w:eastAsia="Times New Roman"/>
          <w:lang w:eastAsia="de-DE"/>
        </w:rPr>
        <w:t xml:space="preserve">als zweigliedrige koordinierte Ortsangabe – </w:t>
      </w:r>
      <w:r w:rsidRPr="009B1EBB">
        <w:rPr>
          <w:rFonts w:eastAsia="Times New Roman"/>
          <w:b/>
          <w:bCs/>
          <w:rtl/>
          <w:lang w:eastAsia="de-DE"/>
        </w:rPr>
        <w:t>בְּ</w:t>
      </w:r>
      <w:r w:rsidRPr="009B1EBB">
        <w:rPr>
          <w:rFonts w:eastAsia="Times New Roman"/>
          <w:rtl/>
          <w:lang w:eastAsia="de-DE"/>
        </w:rPr>
        <w:t xml:space="preserve"> </w:t>
      </w:r>
      <w:r w:rsidRPr="009B1EBB">
        <w:rPr>
          <w:rFonts w:eastAsia="Times New Roman"/>
          <w:lang w:eastAsia="de-DE"/>
        </w:rPr>
        <w:t xml:space="preserve">mit </w:t>
      </w:r>
      <w:r w:rsidRPr="009B1EBB">
        <w:rPr>
          <w:rFonts w:eastAsia="Times New Roman"/>
          <w:b/>
          <w:bCs/>
          <w:rtl/>
          <w:lang w:eastAsia="de-DE"/>
        </w:rPr>
        <w:t>בִּקְעָה</w:t>
      </w:r>
      <w:r w:rsidRPr="009B1EBB">
        <w:rPr>
          <w:rFonts w:eastAsia="Times New Roman"/>
          <w:lang w:eastAsia="de-DE"/>
        </w:rPr>
        <w:t xml:space="preserve">, „Ebene, Tal", mit Artikel, koordiniert mit </w:t>
      </w:r>
      <w:r w:rsidRPr="009B1EBB">
        <w:rPr>
          <w:rFonts w:eastAsia="Times New Roman"/>
          <w:b/>
          <w:bCs/>
          <w:rtl/>
          <w:lang w:eastAsia="de-DE"/>
        </w:rPr>
        <w:t>בְּ</w:t>
      </w:r>
      <w:r w:rsidRPr="009B1EBB">
        <w:rPr>
          <w:rFonts w:eastAsia="Times New Roman"/>
          <w:rtl/>
          <w:lang w:eastAsia="de-DE"/>
        </w:rPr>
        <w:t xml:space="preserve"> </w:t>
      </w:r>
      <w:r w:rsidRPr="009B1EBB">
        <w:rPr>
          <w:rFonts w:eastAsia="Times New Roman"/>
          <w:lang w:eastAsia="de-DE"/>
        </w:rPr>
        <w:t xml:space="preserve">und </w:t>
      </w:r>
      <w:r w:rsidRPr="009B1EBB">
        <w:rPr>
          <w:rFonts w:eastAsia="Times New Roman"/>
          <w:b/>
          <w:bCs/>
          <w:rtl/>
          <w:lang w:eastAsia="de-DE"/>
        </w:rPr>
        <w:t>הַר</w:t>
      </w:r>
      <w:r w:rsidRPr="009B1EBB">
        <w:rPr>
          <w:rFonts w:eastAsia="Times New Roman"/>
          <w:lang w:eastAsia="de-DE"/>
        </w:rPr>
        <w:t>, „Berg, Gebirge", mit Artikel).</w:t>
      </w:r>
    </w:p>
    <w:p w14:paraId="6DDC3495"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t xml:space="preserve">Der Vers leitet eine ausführliche Beschreibung des verheißenen Landes ein (V. 7-10), die den Kontrast zur Wüste betont. Das Land wird als </w:t>
      </w:r>
      <w:r w:rsidRPr="009B1EBB">
        <w:rPr>
          <w:rFonts w:eastAsia="Times New Roman"/>
          <w:b/>
          <w:bCs/>
          <w:rtl/>
          <w:lang w:eastAsia="de-DE"/>
        </w:rPr>
        <w:t>אֶרֶץ טוֹבָה</w:t>
      </w:r>
      <w:r w:rsidRPr="009B1EBB">
        <w:rPr>
          <w:rFonts w:eastAsia="Times New Roman"/>
          <w:rtl/>
          <w:lang w:eastAsia="de-DE"/>
        </w:rPr>
        <w:t xml:space="preserve"> </w:t>
      </w:r>
      <w:r w:rsidRPr="009B1EBB">
        <w:rPr>
          <w:rFonts w:eastAsia="Times New Roman"/>
          <w:lang w:eastAsia="de-DE"/>
        </w:rPr>
        <w:t>(„gutes Land") charakterisiert – reich an Wasser, was im altorientalischen Kontext höchster Segen ist. Die dreigliedrige Aufzählung der Wasserquellen (</w:t>
      </w:r>
      <w:r w:rsidRPr="009B1EBB">
        <w:rPr>
          <w:rFonts w:eastAsia="Times New Roman"/>
          <w:b/>
          <w:bCs/>
          <w:rtl/>
          <w:lang w:eastAsia="de-DE"/>
        </w:rPr>
        <w:t>נַחֲלֵי מָיִם</w:t>
      </w:r>
      <w:r w:rsidRPr="009B1EBB">
        <w:rPr>
          <w:rFonts w:eastAsia="Times New Roman"/>
          <w:rtl/>
          <w:lang w:eastAsia="de-DE"/>
        </w:rPr>
        <w:t xml:space="preserve"> </w:t>
      </w:r>
      <w:r w:rsidRPr="009B1EBB">
        <w:rPr>
          <w:rFonts w:eastAsia="Times New Roman"/>
          <w:lang w:eastAsia="de-DE"/>
        </w:rPr>
        <w:t xml:space="preserve">– </w:t>
      </w:r>
      <w:r w:rsidRPr="009B1EBB">
        <w:rPr>
          <w:rFonts w:eastAsia="Times New Roman"/>
          <w:b/>
          <w:bCs/>
          <w:rtl/>
          <w:lang w:eastAsia="de-DE"/>
        </w:rPr>
        <w:t>עֲיָנֹת</w:t>
      </w:r>
      <w:r w:rsidRPr="009B1EBB">
        <w:rPr>
          <w:rFonts w:eastAsia="Times New Roman"/>
          <w:rtl/>
          <w:lang w:eastAsia="de-DE"/>
        </w:rPr>
        <w:t xml:space="preserve"> </w:t>
      </w:r>
      <w:r w:rsidRPr="009B1EBB">
        <w:rPr>
          <w:rFonts w:eastAsia="Times New Roman"/>
          <w:lang w:eastAsia="de-DE"/>
        </w:rPr>
        <w:t xml:space="preserve">– </w:t>
      </w:r>
      <w:r w:rsidRPr="009B1EBB">
        <w:rPr>
          <w:rFonts w:eastAsia="Times New Roman"/>
          <w:b/>
          <w:bCs/>
          <w:rtl/>
          <w:lang w:eastAsia="de-DE"/>
        </w:rPr>
        <w:t>תְּהֹמֹת</w:t>
      </w:r>
      <w:r w:rsidRPr="009B1EBB">
        <w:rPr>
          <w:rFonts w:eastAsia="Times New Roman"/>
          <w:lang w:eastAsia="de-DE"/>
        </w:rPr>
        <w:t xml:space="preserve">) unterstreicht den Wasserreichtum. Das Wort </w:t>
      </w:r>
      <w:r w:rsidRPr="009B1EBB">
        <w:rPr>
          <w:rFonts w:eastAsia="Times New Roman"/>
          <w:b/>
          <w:bCs/>
          <w:rtl/>
          <w:lang w:eastAsia="de-DE"/>
        </w:rPr>
        <w:t>תְּהוֹם</w:t>
      </w:r>
      <w:r w:rsidRPr="009B1EBB">
        <w:rPr>
          <w:rFonts w:eastAsia="Times New Roman"/>
          <w:rtl/>
          <w:lang w:eastAsia="de-DE"/>
        </w:rPr>
        <w:t xml:space="preserve"> </w:t>
      </w:r>
      <w:r w:rsidRPr="009B1EBB">
        <w:rPr>
          <w:rFonts w:eastAsia="Times New Roman"/>
          <w:lang w:eastAsia="de-DE"/>
        </w:rPr>
        <w:t xml:space="preserve">(„Tiefe, Urflut") bezeichnet die unterirdischen Wasserreservoire, die in Quellen hervorbrechen (vgl. Gen 7,11; 8,2; Ps 33,7; 78,15). Die Ortsangabe </w:t>
      </w:r>
      <w:r w:rsidRPr="009B1EBB">
        <w:rPr>
          <w:rFonts w:eastAsia="Times New Roman"/>
          <w:b/>
          <w:bCs/>
          <w:rtl/>
          <w:lang w:eastAsia="de-DE"/>
        </w:rPr>
        <w:t>בַּבִּקְעָה וּבָהָר</w:t>
      </w:r>
      <w:r w:rsidRPr="009B1EBB">
        <w:rPr>
          <w:rFonts w:eastAsia="Times New Roman"/>
          <w:rtl/>
          <w:lang w:eastAsia="de-DE"/>
        </w:rPr>
        <w:t xml:space="preserve"> </w:t>
      </w:r>
      <w:r w:rsidRPr="009B1EBB">
        <w:rPr>
          <w:rFonts w:eastAsia="Times New Roman"/>
          <w:lang w:eastAsia="de-DE"/>
        </w:rPr>
        <w:t>(„in der Ebene und im Gebirge") betont, dass das ganze Land – sowohl Tiefland als auch Bergland – wasserreich ist.</w:t>
      </w:r>
    </w:p>
    <w:p w14:paraId="535A0186"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lastRenderedPageBreak/>
        <w:t>Die Satzstruktur ist ein kausaler Satz mit erweitertem Subjekt, partizipialem Prädikat mit Suffix-Objekt und Richtungsangabe, gefolgt von mehrfachen Appositionen (die erste in Construct-Verbindung, die zweite als zweigliedrige Koordination, erweitert durch ein Partizip mit zweigliedriger koordinierter Ortsangabe). Die kumulative Struktur entfaltet den Wasserreichtum des Landes.</w:t>
      </w:r>
    </w:p>
    <w:p w14:paraId="3EF95F3A"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t>Der Vers leitet die Landesbeschreibung ein: JHWH bringt Israel in ein gutes, wasserreiches Land – mit Bächen, Quellen und unterirdischen Gewässern, die überall, in Ebene und Gebirge, hervorbrechen.</w:t>
      </w:r>
    </w:p>
    <w:p w14:paraId="7FC6FCF9" w14:textId="77777777" w:rsidR="009B1EBB" w:rsidRPr="009B1EBB" w:rsidRDefault="009B1EBB" w:rsidP="009B1EBB">
      <w:pPr>
        <w:spacing w:before="100" w:beforeAutospacing="1" w:after="100" w:afterAutospacing="1" w:line="240" w:lineRule="auto"/>
        <w:outlineLvl w:val="1"/>
        <w:rPr>
          <w:rFonts w:eastAsia="Times New Roman"/>
          <w:b/>
          <w:bCs/>
          <w:sz w:val="36"/>
          <w:szCs w:val="36"/>
          <w:lang w:eastAsia="de-DE"/>
        </w:rPr>
      </w:pPr>
      <w:r w:rsidRPr="009B1EBB">
        <w:rPr>
          <w:rFonts w:eastAsia="Times New Roman"/>
          <w:b/>
          <w:bCs/>
          <w:sz w:val="36"/>
          <w:szCs w:val="36"/>
          <w:lang w:eastAsia="de-DE"/>
        </w:rPr>
        <w:t>Deuteronomium 8,8</w:t>
      </w:r>
    </w:p>
    <w:p w14:paraId="0FE3D28C"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Hebräisch:</w:t>
      </w:r>
      <w:r w:rsidRPr="009B1EBB">
        <w:rPr>
          <w:rFonts w:eastAsia="Times New Roman"/>
          <w:lang w:eastAsia="de-DE"/>
        </w:rPr>
        <w:t xml:space="preserve"> </w:t>
      </w:r>
      <w:r w:rsidRPr="009B1EBB">
        <w:rPr>
          <w:rFonts w:eastAsia="Times New Roman"/>
          <w:rtl/>
          <w:lang w:eastAsia="de-DE"/>
        </w:rPr>
        <w:t>אֶרֶץ חִטָּה וּשְׂעֹרָה וְגֶפֶן וּתְאֵנָה וְרִמּוֹן אֶרֶץ־זֵית שֶׁמֶן וּדְבָשׁ׃</w:t>
      </w:r>
    </w:p>
    <w:p w14:paraId="32110287"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Deutsch:</w:t>
      </w:r>
      <w:r w:rsidRPr="009B1EBB">
        <w:rPr>
          <w:rFonts w:eastAsia="Times New Roman"/>
          <w:lang w:eastAsia="de-DE"/>
        </w:rPr>
        <w:t xml:space="preserve"> ein Land des Weizens und der Gerste und des Weinstocks und des Feigenbaums und des Granatbaums; ein Land des Ölbaums und des Honigs.</w:t>
      </w:r>
    </w:p>
    <w:p w14:paraId="519ABB53" w14:textId="77777777" w:rsidR="009B1EBB" w:rsidRPr="009B1EBB" w:rsidRDefault="004F5CEB" w:rsidP="009B1EBB">
      <w:pPr>
        <w:spacing w:after="0" w:line="240" w:lineRule="auto"/>
        <w:rPr>
          <w:rFonts w:eastAsia="Times New Roman"/>
          <w:lang w:eastAsia="de-DE"/>
        </w:rPr>
      </w:pPr>
      <w:r>
        <w:rPr>
          <w:rFonts w:eastAsia="Times New Roman"/>
          <w:noProof/>
          <w:lang w:eastAsia="de-DE"/>
        </w:rPr>
        <w:pict w14:anchorId="714657CA">
          <v:rect id="_x0000_i1277" style="width:0;height:1.5pt" o:hralign="center" o:hrstd="t" o:hr="t" fillcolor="#a0a0a0" stroked="f"/>
        </w:pict>
      </w:r>
    </w:p>
    <w:p w14:paraId="38114787"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Kommentar:</w:t>
      </w:r>
      <w:r w:rsidRPr="009B1EBB">
        <w:rPr>
          <w:rFonts w:eastAsia="Times New Roman"/>
          <w:lang w:eastAsia="de-DE"/>
        </w:rPr>
        <w:t xml:space="preserve"> </w:t>
      </w:r>
      <w:r w:rsidRPr="009B1EBB">
        <w:rPr>
          <w:rFonts w:eastAsia="Times New Roman"/>
          <w:b/>
          <w:bCs/>
          <w:rtl/>
          <w:lang w:eastAsia="de-DE"/>
        </w:rPr>
        <w:t>אֶרֶץ חִטָּה וּשְׂעֹרָה וְגֶפֶן וּתְאֵנָה וְרִמּוֹן</w:t>
      </w:r>
      <w:r w:rsidRPr="009B1EBB">
        <w:rPr>
          <w:rFonts w:eastAsia="Times New Roman"/>
          <w:rtl/>
          <w:lang w:eastAsia="de-DE"/>
        </w:rPr>
        <w:t xml:space="preserve"> </w:t>
      </w:r>
      <w:r w:rsidRPr="009B1EBB">
        <w:rPr>
          <w:rFonts w:eastAsia="Times New Roman"/>
          <w:lang w:eastAsia="de-DE"/>
        </w:rPr>
        <w:t xml:space="preserve">ist eine fünfgliedrige appositionelle Aufzählung: </w:t>
      </w:r>
      <w:r w:rsidRPr="009B1EBB">
        <w:rPr>
          <w:rFonts w:eastAsia="Times New Roman"/>
          <w:b/>
          <w:bCs/>
          <w:rtl/>
          <w:lang w:eastAsia="de-DE"/>
        </w:rPr>
        <w:t>אֶרֶץ</w:t>
      </w:r>
      <w:r w:rsidRPr="009B1EBB">
        <w:rPr>
          <w:rFonts w:eastAsia="Times New Roman"/>
          <w:rtl/>
          <w:lang w:eastAsia="de-DE"/>
        </w:rPr>
        <w:t xml:space="preserve"> </w:t>
      </w:r>
      <w:r w:rsidRPr="009B1EBB">
        <w:rPr>
          <w:rFonts w:eastAsia="Times New Roman"/>
          <w:lang w:eastAsia="de-DE"/>
        </w:rPr>
        <w:t xml:space="preserve">in Apposition (zum vorangehenden Vers), </w:t>
      </w:r>
      <w:r w:rsidRPr="009B1EBB">
        <w:rPr>
          <w:rFonts w:eastAsia="Times New Roman"/>
          <w:b/>
          <w:bCs/>
          <w:rtl/>
          <w:lang w:eastAsia="de-DE"/>
        </w:rPr>
        <w:t>חִטָּה וּשְׂעֹרָה וְגֶפֶן וּתְאֵנָה וְרִמּוֹן</w:t>
      </w:r>
      <w:r w:rsidRPr="009B1EBB">
        <w:rPr>
          <w:rFonts w:eastAsia="Times New Roman"/>
          <w:rtl/>
          <w:lang w:eastAsia="de-DE"/>
        </w:rPr>
        <w:t xml:space="preserve"> </w:t>
      </w:r>
      <w:r w:rsidRPr="009B1EBB">
        <w:rPr>
          <w:rFonts w:eastAsia="Times New Roman"/>
          <w:lang w:eastAsia="de-DE"/>
        </w:rPr>
        <w:t>als fünfgliedrige koordinierte Aufzählung (</w:t>
      </w:r>
      <w:r w:rsidRPr="009B1EBB">
        <w:rPr>
          <w:rFonts w:eastAsia="Times New Roman"/>
          <w:b/>
          <w:bCs/>
          <w:rtl/>
          <w:lang w:eastAsia="de-DE"/>
        </w:rPr>
        <w:t>חִטָּה</w:t>
      </w:r>
      <w:r w:rsidRPr="009B1EBB">
        <w:rPr>
          <w:rFonts w:eastAsia="Times New Roman"/>
          <w:lang w:eastAsia="de-DE"/>
        </w:rPr>
        <w:t xml:space="preserve">, „Weizen", </w:t>
      </w:r>
      <w:r w:rsidRPr="009B1EBB">
        <w:rPr>
          <w:rFonts w:eastAsia="Times New Roman"/>
          <w:b/>
          <w:bCs/>
          <w:rtl/>
          <w:lang w:eastAsia="de-DE"/>
        </w:rPr>
        <w:t>שְׂעֹרָה</w:t>
      </w:r>
      <w:r w:rsidRPr="009B1EBB">
        <w:rPr>
          <w:rFonts w:eastAsia="Times New Roman"/>
          <w:lang w:eastAsia="de-DE"/>
        </w:rPr>
        <w:t xml:space="preserve">, „Gerste", </w:t>
      </w:r>
      <w:r w:rsidRPr="009B1EBB">
        <w:rPr>
          <w:rFonts w:eastAsia="Times New Roman"/>
          <w:b/>
          <w:bCs/>
          <w:rtl/>
          <w:lang w:eastAsia="de-DE"/>
        </w:rPr>
        <w:t>גֶּפֶן</w:t>
      </w:r>
      <w:r w:rsidRPr="009B1EBB">
        <w:rPr>
          <w:rFonts w:eastAsia="Times New Roman"/>
          <w:lang w:eastAsia="de-DE"/>
        </w:rPr>
        <w:t xml:space="preserve">, „Weinstock, Weinrebe", </w:t>
      </w:r>
      <w:r w:rsidRPr="009B1EBB">
        <w:rPr>
          <w:rFonts w:eastAsia="Times New Roman"/>
          <w:b/>
          <w:bCs/>
          <w:rtl/>
          <w:lang w:eastAsia="de-DE"/>
        </w:rPr>
        <w:t>תְּאֵנָה</w:t>
      </w:r>
      <w:r w:rsidRPr="009B1EBB">
        <w:rPr>
          <w:rFonts w:eastAsia="Times New Roman"/>
          <w:lang w:eastAsia="de-DE"/>
        </w:rPr>
        <w:t xml:space="preserve">, „Feigenbaum", </w:t>
      </w:r>
      <w:r w:rsidRPr="009B1EBB">
        <w:rPr>
          <w:rFonts w:eastAsia="Times New Roman"/>
          <w:b/>
          <w:bCs/>
          <w:rtl/>
          <w:lang w:eastAsia="de-DE"/>
        </w:rPr>
        <w:t>רִמּוֹן</w:t>
      </w:r>
      <w:r w:rsidRPr="009B1EBB">
        <w:rPr>
          <w:rFonts w:eastAsia="Times New Roman"/>
          <w:lang w:eastAsia="de-DE"/>
        </w:rPr>
        <w:t xml:space="preserve">, „Granatapfel, Granatbaum" – alle ohne Artikel in Genitivbeziehung zu </w:t>
      </w:r>
      <w:r w:rsidRPr="009B1EBB">
        <w:rPr>
          <w:rFonts w:eastAsia="Times New Roman"/>
          <w:b/>
          <w:bCs/>
          <w:rtl/>
          <w:lang w:eastAsia="de-DE"/>
        </w:rPr>
        <w:t>אֶרֶץ</w:t>
      </w:r>
      <w:r w:rsidRPr="009B1EBB">
        <w:rPr>
          <w:rFonts w:eastAsia="Times New Roman"/>
          <w:lang w:eastAsia="de-DE"/>
        </w:rPr>
        <w:t>).</w:t>
      </w:r>
    </w:p>
    <w:p w14:paraId="09F1E0DC" w14:textId="7F09D24F"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rtl/>
          <w:lang w:eastAsia="de-DE"/>
        </w:rPr>
        <w:t>אֶרֶץ־זֵית שֶׁמֶן וּדְבָשׁ</w:t>
      </w:r>
      <w:r w:rsidRPr="009B1EBB">
        <w:rPr>
          <w:rFonts w:eastAsia="Times New Roman"/>
          <w:rtl/>
          <w:lang w:eastAsia="de-DE"/>
        </w:rPr>
        <w:t xml:space="preserve"> </w:t>
      </w:r>
      <w:r w:rsidRPr="009B1EBB">
        <w:rPr>
          <w:rFonts w:eastAsia="Times New Roman"/>
          <w:lang w:eastAsia="de-DE"/>
        </w:rPr>
        <w:t xml:space="preserve">ist eine weitere appositionelle Konstruktion: </w:t>
      </w:r>
      <w:r w:rsidRPr="009B1EBB">
        <w:rPr>
          <w:rFonts w:eastAsia="Times New Roman"/>
          <w:b/>
          <w:bCs/>
          <w:rtl/>
          <w:lang w:eastAsia="de-DE"/>
        </w:rPr>
        <w:t>אֶרֶץ־זֵית שֶׁמֶן</w:t>
      </w:r>
      <w:r w:rsidRPr="009B1EBB">
        <w:rPr>
          <w:rFonts w:eastAsia="Times New Roman"/>
          <w:rtl/>
          <w:lang w:eastAsia="de-DE"/>
        </w:rPr>
        <w:t xml:space="preserve"> </w:t>
      </w:r>
      <w:r w:rsidRPr="009B1EBB">
        <w:rPr>
          <w:rFonts w:eastAsia="Times New Roman"/>
          <w:lang w:eastAsia="de-DE"/>
        </w:rPr>
        <w:t>(</w:t>
      </w:r>
      <w:r w:rsidRPr="009B1EBB">
        <w:rPr>
          <w:rFonts w:eastAsia="Times New Roman"/>
          <w:b/>
          <w:bCs/>
          <w:rtl/>
          <w:lang w:eastAsia="de-DE"/>
        </w:rPr>
        <w:t>אֶרֶץ</w:t>
      </w:r>
      <w:r w:rsidRPr="009B1EBB">
        <w:rPr>
          <w:rFonts w:eastAsia="Times New Roman"/>
          <w:rtl/>
          <w:lang w:eastAsia="de-DE"/>
        </w:rPr>
        <w:t xml:space="preserve"> </w:t>
      </w:r>
      <w:r w:rsidRPr="009B1EBB">
        <w:rPr>
          <w:rFonts w:eastAsia="Times New Roman"/>
          <w:lang w:eastAsia="de-DE"/>
        </w:rPr>
        <w:t xml:space="preserve">mit </w:t>
      </w:r>
      <w:r w:rsidR="00D84597">
        <w:rPr>
          <w:rFonts w:eastAsia="Times New Roman"/>
          <w:lang w:eastAsia="de-DE"/>
        </w:rPr>
        <w:t>Maqqef</w:t>
      </w:r>
      <w:r w:rsidRPr="009B1EBB">
        <w:rPr>
          <w:rFonts w:eastAsia="Times New Roman"/>
          <w:lang w:eastAsia="de-DE"/>
        </w:rPr>
        <w:t xml:space="preserve">, </w:t>
      </w:r>
      <w:r w:rsidRPr="009B1EBB">
        <w:rPr>
          <w:rFonts w:eastAsia="Times New Roman"/>
          <w:b/>
          <w:bCs/>
          <w:rtl/>
          <w:lang w:eastAsia="de-DE"/>
        </w:rPr>
        <w:t>זַיִת</w:t>
      </w:r>
      <w:r w:rsidRPr="009B1EBB">
        <w:rPr>
          <w:rFonts w:eastAsia="Times New Roman"/>
          <w:lang w:eastAsia="de-DE"/>
        </w:rPr>
        <w:t xml:space="preserve">, „Olive, Olivenbaum", </w:t>
      </w:r>
      <w:r w:rsidRPr="009B1EBB">
        <w:rPr>
          <w:rFonts w:eastAsia="Times New Roman"/>
          <w:b/>
          <w:bCs/>
          <w:rtl/>
          <w:lang w:eastAsia="de-DE"/>
        </w:rPr>
        <w:t>שֶׁמֶן</w:t>
      </w:r>
      <w:r w:rsidRPr="009B1EBB">
        <w:rPr>
          <w:rFonts w:eastAsia="Times New Roman"/>
          <w:lang w:eastAsia="de-DE"/>
        </w:rPr>
        <w:t xml:space="preserve">, „Öl" – in Genitivbeziehung: „ein Land des Olivenöls" bzw. „ein Land des Öl-Olivenbaums"), </w:t>
      </w:r>
      <w:r w:rsidRPr="009B1EBB">
        <w:rPr>
          <w:rFonts w:eastAsia="Times New Roman"/>
          <w:b/>
          <w:bCs/>
          <w:rtl/>
          <w:lang w:eastAsia="de-DE"/>
        </w:rPr>
        <w:t>וּדְבָשׁ</w:t>
      </w:r>
      <w:r w:rsidRPr="009B1EBB">
        <w:rPr>
          <w:rFonts w:eastAsia="Times New Roman"/>
          <w:rtl/>
          <w:lang w:eastAsia="de-DE"/>
        </w:rPr>
        <w:t xml:space="preserve"> </w:t>
      </w:r>
      <w:r w:rsidRPr="009B1EBB">
        <w:rPr>
          <w:rFonts w:eastAsia="Times New Roman"/>
          <w:lang w:eastAsia="de-DE"/>
        </w:rPr>
        <w:t>koordiniert (</w:t>
      </w:r>
      <w:r w:rsidRPr="009B1EBB">
        <w:rPr>
          <w:rFonts w:eastAsia="Times New Roman"/>
          <w:b/>
          <w:bCs/>
          <w:rtl/>
          <w:lang w:eastAsia="de-DE"/>
        </w:rPr>
        <w:t>דְּבַשׁ</w:t>
      </w:r>
      <w:r w:rsidRPr="009B1EBB">
        <w:rPr>
          <w:rFonts w:eastAsia="Times New Roman"/>
          <w:lang w:eastAsia="de-DE"/>
        </w:rPr>
        <w:t>, „Honig" – möglicherweise auch Traubenhonig/Sirup).</w:t>
      </w:r>
    </w:p>
    <w:p w14:paraId="1F4C1118"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t>Die sieben Früchte/Produkte (</w:t>
      </w:r>
      <w:r w:rsidRPr="009B1EBB">
        <w:rPr>
          <w:rFonts w:eastAsia="Times New Roman"/>
          <w:b/>
          <w:bCs/>
          <w:rtl/>
          <w:lang w:eastAsia="de-DE"/>
        </w:rPr>
        <w:t>שִׁבְעַת הַמִּינִים</w:t>
      </w:r>
      <w:r w:rsidRPr="009B1EBB">
        <w:rPr>
          <w:rFonts w:eastAsia="Times New Roman"/>
          <w:lang w:eastAsia="de-DE"/>
        </w:rPr>
        <w:t xml:space="preserve">, „die sieben Arten") sind die klassischen Produkte des Landes Israel, die in der rabbinischen Tradition besondere Bedeutung haben (vgl. Mischna </w:t>
      </w:r>
      <w:proofErr w:type="spellStart"/>
      <w:r w:rsidRPr="009B1EBB">
        <w:rPr>
          <w:rFonts w:eastAsia="Times New Roman"/>
          <w:lang w:eastAsia="de-DE"/>
        </w:rPr>
        <w:t>Bikurim</w:t>
      </w:r>
      <w:proofErr w:type="spellEnd"/>
      <w:r w:rsidRPr="009B1EBB">
        <w:rPr>
          <w:rFonts w:eastAsia="Times New Roman"/>
          <w:lang w:eastAsia="de-DE"/>
        </w:rPr>
        <w:t xml:space="preserve"> 1,3). Die Aufzählung gliedert sich: (1) Getreide: Weizen und Gerste; (2) Baumfrüchte: Weinstock, Feigenbaum, Granatbaum; (3) Ölbaum und Honig. Die Formulierung </w:t>
      </w:r>
      <w:r w:rsidRPr="009B1EBB">
        <w:rPr>
          <w:rFonts w:eastAsia="Times New Roman"/>
          <w:b/>
          <w:bCs/>
          <w:rtl/>
          <w:lang w:eastAsia="de-DE"/>
        </w:rPr>
        <w:t>אֶרֶץ־זֵית שֶׁמֶן</w:t>
      </w:r>
      <w:r w:rsidRPr="009B1EBB">
        <w:rPr>
          <w:rFonts w:eastAsia="Times New Roman"/>
          <w:rtl/>
          <w:lang w:eastAsia="de-DE"/>
        </w:rPr>
        <w:t xml:space="preserve"> </w:t>
      </w:r>
      <w:r w:rsidRPr="009B1EBB">
        <w:rPr>
          <w:rFonts w:eastAsia="Times New Roman"/>
          <w:lang w:eastAsia="de-DE"/>
        </w:rPr>
        <w:t xml:space="preserve">betont den Ölbaum als Öllieferant. Das Wort </w:t>
      </w:r>
      <w:r w:rsidRPr="009B1EBB">
        <w:rPr>
          <w:rFonts w:eastAsia="Times New Roman"/>
          <w:b/>
          <w:bCs/>
          <w:rtl/>
          <w:lang w:eastAsia="de-DE"/>
        </w:rPr>
        <w:t>דְּבַשׁ</w:t>
      </w:r>
      <w:r w:rsidRPr="009B1EBB">
        <w:rPr>
          <w:rFonts w:eastAsia="Times New Roman"/>
          <w:rtl/>
          <w:lang w:eastAsia="de-DE"/>
        </w:rPr>
        <w:t xml:space="preserve"> </w:t>
      </w:r>
      <w:r w:rsidRPr="009B1EBB">
        <w:rPr>
          <w:rFonts w:eastAsia="Times New Roman"/>
          <w:lang w:eastAsia="de-DE"/>
        </w:rPr>
        <w:t xml:space="preserve">kann sowohl Bienenhonig als auch Dattel- oder Traubenhonig (Sirup) bezeichnen; im Kontext mit </w:t>
      </w:r>
      <w:r w:rsidRPr="009B1EBB">
        <w:rPr>
          <w:rFonts w:eastAsia="Times New Roman"/>
          <w:b/>
          <w:bCs/>
          <w:rtl/>
          <w:lang w:eastAsia="de-DE"/>
        </w:rPr>
        <w:t>זֵית שֶׁמֶן</w:t>
      </w:r>
      <w:r w:rsidRPr="009B1EBB">
        <w:rPr>
          <w:rFonts w:eastAsia="Times New Roman"/>
          <w:rtl/>
          <w:lang w:eastAsia="de-DE"/>
        </w:rPr>
        <w:t xml:space="preserve"> </w:t>
      </w:r>
      <w:r w:rsidRPr="009B1EBB">
        <w:rPr>
          <w:rFonts w:eastAsia="Times New Roman"/>
          <w:lang w:eastAsia="de-DE"/>
        </w:rPr>
        <w:t>ist wahrscheinlich Traubenhonig gemeint.</w:t>
      </w:r>
    </w:p>
    <w:p w14:paraId="44388FE6"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Die LXX</w:t>
      </w:r>
      <w:r w:rsidRPr="009B1EBB">
        <w:rPr>
          <w:rFonts w:eastAsia="Times New Roman"/>
          <w:lang w:eastAsia="de-DE"/>
        </w:rPr>
        <w:t xml:space="preserve"> übersetzt </w:t>
      </w:r>
      <w:proofErr w:type="spellStart"/>
      <w:r w:rsidRPr="009B1EBB">
        <w:rPr>
          <w:rFonts w:eastAsia="Times New Roman"/>
          <w:b/>
          <w:bCs/>
          <w:lang w:eastAsia="de-DE"/>
        </w:rPr>
        <w:t>γῆ</w:t>
      </w:r>
      <w:proofErr w:type="spellEnd"/>
      <w:r w:rsidRPr="009B1EBB">
        <w:rPr>
          <w:rFonts w:eastAsia="Times New Roman"/>
          <w:b/>
          <w:bCs/>
          <w:lang w:eastAsia="de-DE"/>
        </w:rPr>
        <w:t xml:space="preserve"> π</w:t>
      </w:r>
      <w:proofErr w:type="spellStart"/>
      <w:r w:rsidRPr="009B1EBB">
        <w:rPr>
          <w:rFonts w:eastAsia="Times New Roman"/>
          <w:b/>
          <w:bCs/>
          <w:lang w:eastAsia="de-DE"/>
        </w:rPr>
        <w:t>υροῦ</w:t>
      </w:r>
      <w:proofErr w:type="spellEnd"/>
      <w:r w:rsidRPr="009B1EBB">
        <w:rPr>
          <w:rFonts w:eastAsia="Times New Roman"/>
          <w:b/>
          <w:bCs/>
          <w:lang w:eastAsia="de-DE"/>
        </w:rPr>
        <w:t xml:space="preserve"> καὶ </w:t>
      </w:r>
      <w:proofErr w:type="spellStart"/>
      <w:r w:rsidRPr="009B1EBB">
        <w:rPr>
          <w:rFonts w:eastAsia="Times New Roman"/>
          <w:b/>
          <w:bCs/>
          <w:lang w:eastAsia="de-DE"/>
        </w:rPr>
        <w:t>κριθῆς</w:t>
      </w:r>
      <w:proofErr w:type="spellEnd"/>
      <w:r w:rsidRPr="009B1EBB">
        <w:rPr>
          <w:rFonts w:eastAsia="Times New Roman"/>
          <w:b/>
          <w:bCs/>
          <w:lang w:eastAsia="de-DE"/>
        </w:rPr>
        <w:t xml:space="preserve"> </w:t>
      </w:r>
      <w:proofErr w:type="spellStart"/>
      <w:r w:rsidRPr="009B1EBB">
        <w:rPr>
          <w:rFonts w:eastAsia="Times New Roman"/>
          <w:b/>
          <w:bCs/>
          <w:lang w:eastAsia="de-DE"/>
        </w:rPr>
        <w:t>ἄμ</w:t>
      </w:r>
      <w:proofErr w:type="spellEnd"/>
      <w:r w:rsidRPr="009B1EBB">
        <w:rPr>
          <w:rFonts w:eastAsia="Times New Roman"/>
          <w:b/>
          <w:bCs/>
          <w:lang w:eastAsia="de-DE"/>
        </w:rPr>
        <w:t xml:space="preserve">πελος </w:t>
      </w:r>
      <w:proofErr w:type="spellStart"/>
      <w:r w:rsidRPr="009B1EBB">
        <w:rPr>
          <w:rFonts w:eastAsia="Times New Roman"/>
          <w:b/>
          <w:bCs/>
          <w:lang w:eastAsia="de-DE"/>
        </w:rPr>
        <w:t>συκῆ</w:t>
      </w:r>
      <w:proofErr w:type="spellEnd"/>
      <w:r w:rsidRPr="009B1EBB">
        <w:rPr>
          <w:rFonts w:eastAsia="Times New Roman"/>
          <w:b/>
          <w:bCs/>
          <w:lang w:eastAsia="de-DE"/>
        </w:rPr>
        <w:t xml:space="preserve"> </w:t>
      </w:r>
      <w:proofErr w:type="spellStart"/>
      <w:r w:rsidRPr="009B1EBB">
        <w:rPr>
          <w:rFonts w:eastAsia="Times New Roman"/>
          <w:b/>
          <w:bCs/>
          <w:lang w:eastAsia="de-DE"/>
        </w:rPr>
        <w:t>ῥό</w:t>
      </w:r>
      <w:proofErr w:type="spellEnd"/>
      <w:r w:rsidRPr="009B1EBB">
        <w:rPr>
          <w:rFonts w:eastAsia="Times New Roman"/>
          <w:b/>
          <w:bCs/>
          <w:lang w:eastAsia="de-DE"/>
        </w:rPr>
        <w:t>α</w:t>
      </w:r>
      <w:r w:rsidRPr="009B1EBB">
        <w:rPr>
          <w:rFonts w:eastAsia="Times New Roman"/>
          <w:lang w:eastAsia="de-DE"/>
        </w:rPr>
        <w:t xml:space="preserve"> („Land von Weizen und Gerste, Weinstock, Feigenbaum, Granatbaum") für die ersten fünf Früchte und </w:t>
      </w:r>
      <w:proofErr w:type="spellStart"/>
      <w:r w:rsidRPr="009B1EBB">
        <w:rPr>
          <w:rFonts w:eastAsia="Times New Roman"/>
          <w:b/>
          <w:bCs/>
          <w:lang w:eastAsia="de-DE"/>
        </w:rPr>
        <w:t>γῆ</w:t>
      </w:r>
      <w:proofErr w:type="spellEnd"/>
      <w:r w:rsidRPr="009B1EBB">
        <w:rPr>
          <w:rFonts w:eastAsia="Times New Roman"/>
          <w:b/>
          <w:bCs/>
          <w:lang w:eastAsia="de-DE"/>
        </w:rPr>
        <w:t xml:space="preserve"> </w:t>
      </w:r>
      <w:proofErr w:type="spellStart"/>
      <w:r w:rsidRPr="009B1EBB">
        <w:rPr>
          <w:rFonts w:eastAsia="Times New Roman"/>
          <w:b/>
          <w:bCs/>
          <w:lang w:eastAsia="de-DE"/>
        </w:rPr>
        <w:t>ἐλ</w:t>
      </w:r>
      <w:proofErr w:type="spellEnd"/>
      <w:r w:rsidRPr="009B1EBB">
        <w:rPr>
          <w:rFonts w:eastAsia="Times New Roman"/>
          <w:b/>
          <w:bCs/>
          <w:lang w:eastAsia="de-DE"/>
        </w:rPr>
        <w:t xml:space="preserve">αίας </w:t>
      </w:r>
      <w:proofErr w:type="spellStart"/>
      <w:r w:rsidRPr="009B1EBB">
        <w:rPr>
          <w:rFonts w:eastAsia="Times New Roman"/>
          <w:b/>
          <w:bCs/>
          <w:lang w:eastAsia="de-DE"/>
        </w:rPr>
        <w:t>ἐλ</w:t>
      </w:r>
      <w:proofErr w:type="spellEnd"/>
      <w:r w:rsidRPr="009B1EBB">
        <w:rPr>
          <w:rFonts w:eastAsia="Times New Roman"/>
          <w:b/>
          <w:bCs/>
          <w:lang w:eastAsia="de-DE"/>
        </w:rPr>
        <w:t xml:space="preserve">αίου καὶ </w:t>
      </w:r>
      <w:proofErr w:type="spellStart"/>
      <w:r w:rsidRPr="009B1EBB">
        <w:rPr>
          <w:rFonts w:eastAsia="Times New Roman"/>
          <w:b/>
          <w:bCs/>
          <w:lang w:eastAsia="de-DE"/>
        </w:rPr>
        <w:t>μέλιτος</w:t>
      </w:r>
      <w:proofErr w:type="spellEnd"/>
      <w:r w:rsidRPr="009B1EBB">
        <w:rPr>
          <w:rFonts w:eastAsia="Times New Roman"/>
          <w:lang w:eastAsia="de-DE"/>
        </w:rPr>
        <w:t xml:space="preserve"> („Land von Olivenöl und Honig") für die letzten beiden.</w:t>
      </w:r>
    </w:p>
    <w:p w14:paraId="48F53DA6" w14:textId="4D96E83C"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t xml:space="preserve">Die Satzstruktur besteht aus zwei appositiven Konstruktionen: die erste mit </w:t>
      </w:r>
      <w:r w:rsidRPr="009B1EBB">
        <w:rPr>
          <w:rFonts w:eastAsia="Times New Roman"/>
          <w:b/>
          <w:bCs/>
          <w:rtl/>
          <w:lang w:eastAsia="de-DE"/>
        </w:rPr>
        <w:t>אֶרֶץ</w:t>
      </w:r>
      <w:r w:rsidRPr="009B1EBB">
        <w:rPr>
          <w:rFonts w:eastAsia="Times New Roman"/>
          <w:rtl/>
          <w:lang w:eastAsia="de-DE"/>
        </w:rPr>
        <w:t xml:space="preserve"> </w:t>
      </w:r>
      <w:r w:rsidRPr="009B1EBB">
        <w:rPr>
          <w:rFonts w:eastAsia="Times New Roman"/>
          <w:lang w:eastAsia="de-DE"/>
        </w:rPr>
        <w:t xml:space="preserve">und fünfgliedriger koordinierter Aufzählung in Genitivbeziehung, die zweite mit </w:t>
      </w:r>
      <w:r w:rsidRPr="009B1EBB">
        <w:rPr>
          <w:rFonts w:eastAsia="Times New Roman"/>
          <w:b/>
          <w:bCs/>
          <w:rtl/>
          <w:lang w:eastAsia="de-DE"/>
        </w:rPr>
        <w:t>אֶרֶץ</w:t>
      </w:r>
      <w:r w:rsidRPr="009B1EBB">
        <w:rPr>
          <w:rFonts w:eastAsia="Times New Roman"/>
          <w:rtl/>
          <w:lang w:eastAsia="de-DE"/>
        </w:rPr>
        <w:t xml:space="preserve"> </w:t>
      </w:r>
      <w:r w:rsidRPr="009B1EBB">
        <w:rPr>
          <w:rFonts w:eastAsia="Times New Roman"/>
          <w:lang w:eastAsia="de-DE"/>
        </w:rPr>
        <w:t xml:space="preserve">(durch </w:t>
      </w:r>
      <w:r w:rsidR="00D84597">
        <w:rPr>
          <w:rFonts w:eastAsia="Times New Roman"/>
          <w:lang w:eastAsia="de-DE"/>
        </w:rPr>
        <w:t>Maqqef</w:t>
      </w:r>
      <w:r w:rsidRPr="009B1EBB">
        <w:rPr>
          <w:rFonts w:eastAsia="Times New Roman"/>
          <w:lang w:eastAsia="de-DE"/>
        </w:rPr>
        <w:t xml:space="preserve"> verbunden), zwei Substantiven in Genitivbeziehung und einem koordinierten Substantiv. Die Struktur entfaltet die landwirtschaftlichen Produkte des Landes.</w:t>
      </w:r>
    </w:p>
    <w:p w14:paraId="034AF402"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lastRenderedPageBreak/>
        <w:t>Der Vers setzt die Landesbeschreibung fort: ein Land reich an Getreide (Weizen, Gerste), Baumfrüchten (Weinstock, Feigenbaum, Granatbaum) sowie Olivenöl und Honig – die sieben klassischen Produkte des Landes.</w:t>
      </w:r>
    </w:p>
    <w:p w14:paraId="6D7F9703" w14:textId="77777777" w:rsidR="009B1EBB" w:rsidRPr="009B1EBB" w:rsidRDefault="009B1EBB" w:rsidP="009B1EBB">
      <w:pPr>
        <w:spacing w:before="100" w:beforeAutospacing="1" w:after="100" w:afterAutospacing="1" w:line="240" w:lineRule="auto"/>
        <w:outlineLvl w:val="1"/>
        <w:rPr>
          <w:rFonts w:eastAsia="Times New Roman"/>
          <w:b/>
          <w:bCs/>
          <w:sz w:val="36"/>
          <w:szCs w:val="36"/>
          <w:lang w:eastAsia="de-DE"/>
        </w:rPr>
      </w:pPr>
      <w:r w:rsidRPr="009B1EBB">
        <w:rPr>
          <w:rFonts w:eastAsia="Times New Roman"/>
          <w:b/>
          <w:bCs/>
          <w:sz w:val="36"/>
          <w:szCs w:val="36"/>
          <w:lang w:eastAsia="de-DE"/>
        </w:rPr>
        <w:t>Deuteronomium 8,9</w:t>
      </w:r>
    </w:p>
    <w:p w14:paraId="52D14753"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Hebräisch:</w:t>
      </w:r>
      <w:r w:rsidRPr="009B1EBB">
        <w:rPr>
          <w:rFonts w:eastAsia="Times New Roman"/>
          <w:lang w:eastAsia="de-DE"/>
        </w:rPr>
        <w:t xml:space="preserve"> </w:t>
      </w:r>
      <w:r w:rsidRPr="009B1EBB">
        <w:rPr>
          <w:rFonts w:eastAsia="Times New Roman"/>
          <w:rtl/>
          <w:lang w:eastAsia="de-DE"/>
        </w:rPr>
        <w:t>אֶרֶץ אֲשֶׁר לֹא בְמִסְכֵּנֻת תֹּאכַל־בָּהּ לֶחֶם לֹא־תֶחְסַר כֹּל בָּהּ אֶרֶץ אֲשֶׁר אֲבָנֶיהָ בַרְזֶל וּמֵהֲרָרֶיהָ תַּחְצֹב נְחֹשֶׁת׃</w:t>
      </w:r>
    </w:p>
    <w:p w14:paraId="41AA2806"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Deutsch:</w:t>
      </w:r>
      <w:r w:rsidRPr="009B1EBB">
        <w:rPr>
          <w:rFonts w:eastAsia="Times New Roman"/>
          <w:lang w:eastAsia="de-DE"/>
        </w:rPr>
        <w:t xml:space="preserve"> ein Land, in dem du nicht in Dürftigkeit Brot essen wirst, in dem es dir an nichts mangeln wird; ein Land, dessen Steine Eisen sind und aus dessen Bergen du Kupfer hauen wirst.</w:t>
      </w:r>
    </w:p>
    <w:p w14:paraId="37CE4519" w14:textId="77777777" w:rsidR="009B1EBB" w:rsidRPr="009B1EBB" w:rsidRDefault="004F5CEB" w:rsidP="009B1EBB">
      <w:pPr>
        <w:spacing w:after="0" w:line="240" w:lineRule="auto"/>
        <w:rPr>
          <w:rFonts w:eastAsia="Times New Roman"/>
          <w:lang w:eastAsia="de-DE"/>
        </w:rPr>
      </w:pPr>
      <w:r>
        <w:rPr>
          <w:rFonts w:eastAsia="Times New Roman"/>
          <w:noProof/>
          <w:lang w:eastAsia="de-DE"/>
        </w:rPr>
        <w:pict w14:anchorId="32A2E622">
          <v:rect id="_x0000_i1278" style="width:0;height:1.5pt" o:hralign="center" o:hrstd="t" o:hr="t" fillcolor="#a0a0a0" stroked="f"/>
        </w:pict>
      </w:r>
    </w:p>
    <w:p w14:paraId="7F3D9E87" w14:textId="20183B7B"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Kommentar:</w:t>
      </w:r>
      <w:r w:rsidRPr="009B1EBB">
        <w:rPr>
          <w:rFonts w:eastAsia="Times New Roman"/>
          <w:lang w:eastAsia="de-DE"/>
        </w:rPr>
        <w:t xml:space="preserve"> </w:t>
      </w:r>
      <w:r w:rsidRPr="009B1EBB">
        <w:rPr>
          <w:rFonts w:eastAsia="Times New Roman"/>
          <w:b/>
          <w:bCs/>
          <w:rtl/>
          <w:lang w:eastAsia="de-DE"/>
        </w:rPr>
        <w:t>אֶרֶץ אֲשֶׁר לֹא בְמִסְכֵּנֻת תֹּאכַל־בָּהּ לֶחֶם</w:t>
      </w:r>
      <w:r w:rsidRPr="009B1EBB">
        <w:rPr>
          <w:rFonts w:eastAsia="Times New Roman"/>
          <w:rtl/>
          <w:lang w:eastAsia="de-DE"/>
        </w:rPr>
        <w:t xml:space="preserve"> </w:t>
      </w:r>
      <w:r w:rsidRPr="009B1EBB">
        <w:rPr>
          <w:rFonts w:eastAsia="Times New Roman"/>
          <w:lang w:eastAsia="de-DE"/>
        </w:rPr>
        <w:t xml:space="preserve">ist eine appositionelle Konstruktion mit Relativsatz: </w:t>
      </w:r>
      <w:r w:rsidRPr="009B1EBB">
        <w:rPr>
          <w:rFonts w:eastAsia="Times New Roman"/>
          <w:b/>
          <w:bCs/>
          <w:rtl/>
          <w:lang w:eastAsia="de-DE"/>
        </w:rPr>
        <w:t>אֶרֶץ</w:t>
      </w:r>
      <w:r w:rsidRPr="009B1EBB">
        <w:rPr>
          <w:rFonts w:eastAsia="Times New Roman"/>
          <w:rtl/>
          <w:lang w:eastAsia="de-DE"/>
        </w:rPr>
        <w:t xml:space="preserve"> </w:t>
      </w:r>
      <w:r w:rsidRPr="009B1EBB">
        <w:rPr>
          <w:rFonts w:eastAsia="Times New Roman"/>
          <w:lang w:eastAsia="de-DE"/>
        </w:rPr>
        <w:t xml:space="preserve">in Apposition, </w:t>
      </w:r>
      <w:r w:rsidRPr="009B1EBB">
        <w:rPr>
          <w:rFonts w:eastAsia="Times New Roman"/>
          <w:b/>
          <w:bCs/>
          <w:rtl/>
          <w:lang w:eastAsia="de-DE"/>
        </w:rPr>
        <w:t>אֲשֶׁר</w:t>
      </w:r>
      <w:r w:rsidRPr="009B1EBB">
        <w:rPr>
          <w:rFonts w:eastAsia="Times New Roman"/>
          <w:rtl/>
          <w:lang w:eastAsia="de-DE"/>
        </w:rPr>
        <w:t xml:space="preserve"> </w:t>
      </w:r>
      <w:r w:rsidRPr="009B1EBB">
        <w:rPr>
          <w:rFonts w:eastAsia="Times New Roman"/>
          <w:lang w:eastAsia="de-DE"/>
        </w:rPr>
        <w:t xml:space="preserve">als Relativpronomen, </w:t>
      </w:r>
      <w:r w:rsidRPr="009B1EBB">
        <w:rPr>
          <w:rFonts w:eastAsia="Times New Roman"/>
          <w:b/>
          <w:bCs/>
          <w:rtl/>
          <w:lang w:eastAsia="de-DE"/>
        </w:rPr>
        <w:t>לֹא בְמִסְכֵּנֻת תֹּאכַל־בָּהּ לֶחֶם</w:t>
      </w:r>
      <w:r w:rsidRPr="009B1EBB">
        <w:rPr>
          <w:rFonts w:eastAsia="Times New Roman"/>
          <w:rtl/>
          <w:lang w:eastAsia="de-DE"/>
        </w:rPr>
        <w:t xml:space="preserve"> </w:t>
      </w:r>
      <w:r w:rsidRPr="009B1EBB">
        <w:rPr>
          <w:rFonts w:eastAsia="Times New Roman"/>
          <w:lang w:eastAsia="de-DE"/>
        </w:rPr>
        <w:t>als negierter Satz (</w:t>
      </w:r>
      <w:r w:rsidRPr="009B1EBB">
        <w:rPr>
          <w:rFonts w:eastAsia="Times New Roman"/>
          <w:b/>
          <w:bCs/>
          <w:rtl/>
          <w:lang w:eastAsia="de-DE"/>
        </w:rPr>
        <w:t>לֹא</w:t>
      </w:r>
      <w:r w:rsidRPr="009B1EBB">
        <w:rPr>
          <w:rFonts w:eastAsia="Times New Roman"/>
          <w:rtl/>
          <w:lang w:eastAsia="de-DE"/>
        </w:rPr>
        <w:t xml:space="preserve"> </w:t>
      </w:r>
      <w:r w:rsidRPr="009B1EBB">
        <w:rPr>
          <w:rFonts w:eastAsia="Times New Roman"/>
          <w:lang w:eastAsia="de-DE"/>
        </w:rPr>
        <w:t xml:space="preserve">als Negation, </w:t>
      </w:r>
      <w:r w:rsidRPr="009B1EBB">
        <w:rPr>
          <w:rFonts w:eastAsia="Times New Roman"/>
          <w:b/>
          <w:bCs/>
          <w:rtl/>
          <w:lang w:eastAsia="de-DE"/>
        </w:rPr>
        <w:t>בְמִסְכֵּנֻת</w:t>
      </w:r>
      <w:r w:rsidRPr="009B1EBB">
        <w:rPr>
          <w:rFonts w:eastAsia="Times New Roman"/>
          <w:rtl/>
          <w:lang w:eastAsia="de-DE"/>
        </w:rPr>
        <w:t xml:space="preserve"> </w:t>
      </w:r>
      <w:r w:rsidRPr="009B1EBB">
        <w:rPr>
          <w:rFonts w:eastAsia="Times New Roman"/>
          <w:lang w:eastAsia="de-DE"/>
        </w:rPr>
        <w:t xml:space="preserve">als modale Bestimmung – </w:t>
      </w:r>
      <w:r w:rsidRPr="009B1EBB">
        <w:rPr>
          <w:rFonts w:eastAsia="Times New Roman"/>
          <w:b/>
          <w:bCs/>
          <w:rtl/>
          <w:lang w:eastAsia="de-DE"/>
        </w:rPr>
        <w:t>בְּ</w:t>
      </w:r>
      <w:r w:rsidRPr="009B1EBB">
        <w:rPr>
          <w:rFonts w:eastAsia="Times New Roman"/>
          <w:rtl/>
          <w:lang w:eastAsia="de-DE"/>
        </w:rPr>
        <w:t xml:space="preserve"> </w:t>
      </w:r>
      <w:r w:rsidRPr="009B1EBB">
        <w:rPr>
          <w:rFonts w:eastAsia="Times New Roman"/>
          <w:lang w:eastAsia="de-DE"/>
        </w:rPr>
        <w:t xml:space="preserve">mit </w:t>
      </w:r>
      <w:r w:rsidRPr="009B1EBB">
        <w:rPr>
          <w:rFonts w:eastAsia="Times New Roman"/>
          <w:b/>
          <w:bCs/>
          <w:rtl/>
          <w:lang w:eastAsia="de-DE"/>
        </w:rPr>
        <w:t>מִסְכֵּנוּת</w:t>
      </w:r>
      <w:r w:rsidRPr="009B1EBB">
        <w:rPr>
          <w:rFonts w:eastAsia="Times New Roman"/>
          <w:lang w:eastAsia="de-DE"/>
        </w:rPr>
        <w:t xml:space="preserve">, „Armut, Dürftigkeit, Mangel" – „in Armut, dürftig", </w:t>
      </w:r>
      <w:r w:rsidRPr="009B1EBB">
        <w:rPr>
          <w:rFonts w:eastAsia="Times New Roman"/>
          <w:b/>
          <w:bCs/>
          <w:rtl/>
          <w:lang w:eastAsia="de-DE"/>
        </w:rPr>
        <w:t>תֹּאכַל</w:t>
      </w:r>
      <w:r w:rsidRPr="009B1EBB">
        <w:rPr>
          <w:rFonts w:eastAsia="Times New Roman"/>
          <w:rtl/>
          <w:lang w:eastAsia="de-DE"/>
        </w:rPr>
        <w:t xml:space="preserve"> </w:t>
      </w:r>
      <w:r w:rsidRPr="009B1EBB">
        <w:rPr>
          <w:rFonts w:eastAsia="Times New Roman"/>
          <w:lang w:eastAsia="de-DE"/>
        </w:rPr>
        <w:t xml:space="preserve">als Qal Imperfekt, 2. Person Singular maskulin von </w:t>
      </w:r>
      <w:r w:rsidRPr="009B1EBB">
        <w:rPr>
          <w:rFonts w:eastAsia="Times New Roman"/>
          <w:b/>
          <w:bCs/>
          <w:rtl/>
          <w:lang w:eastAsia="de-DE"/>
        </w:rPr>
        <w:t>אכל</w:t>
      </w:r>
      <w:r w:rsidRPr="009B1EBB">
        <w:rPr>
          <w:rFonts w:eastAsia="Times New Roman"/>
          <w:lang w:eastAsia="de-DE"/>
        </w:rPr>
        <w:t xml:space="preserve">, „essen", </w:t>
      </w:r>
      <w:r w:rsidRPr="009B1EBB">
        <w:rPr>
          <w:rFonts w:eastAsia="Times New Roman"/>
          <w:b/>
          <w:bCs/>
          <w:rtl/>
          <w:lang w:eastAsia="de-DE"/>
        </w:rPr>
        <w:t>בָּהּ</w:t>
      </w:r>
      <w:r w:rsidRPr="009B1EBB">
        <w:rPr>
          <w:rFonts w:eastAsia="Times New Roman"/>
          <w:rtl/>
          <w:lang w:eastAsia="de-DE"/>
        </w:rPr>
        <w:t xml:space="preserve"> </w:t>
      </w:r>
      <w:r w:rsidRPr="009B1EBB">
        <w:rPr>
          <w:rFonts w:eastAsia="Times New Roman"/>
          <w:lang w:eastAsia="de-DE"/>
        </w:rPr>
        <w:t xml:space="preserve">als Ortsangabe – </w:t>
      </w:r>
      <w:r w:rsidRPr="009B1EBB">
        <w:rPr>
          <w:rFonts w:eastAsia="Times New Roman"/>
          <w:b/>
          <w:bCs/>
          <w:rtl/>
          <w:lang w:eastAsia="de-DE"/>
        </w:rPr>
        <w:t>בְּ</w:t>
      </w:r>
      <w:r w:rsidRPr="009B1EBB">
        <w:rPr>
          <w:rFonts w:eastAsia="Times New Roman"/>
          <w:rtl/>
          <w:lang w:eastAsia="de-DE"/>
        </w:rPr>
        <w:t xml:space="preserve"> </w:t>
      </w:r>
      <w:r w:rsidRPr="009B1EBB">
        <w:rPr>
          <w:rFonts w:eastAsia="Times New Roman"/>
          <w:lang w:eastAsia="de-DE"/>
        </w:rPr>
        <w:t xml:space="preserve">mit Suffix 3. Person Singular feminin – „in ihm [dem Land]", </w:t>
      </w:r>
      <w:r w:rsidRPr="009B1EBB">
        <w:rPr>
          <w:rFonts w:eastAsia="Times New Roman"/>
          <w:b/>
          <w:bCs/>
          <w:rtl/>
          <w:lang w:eastAsia="de-DE"/>
        </w:rPr>
        <w:t>לֶחֶם</w:t>
      </w:r>
      <w:r w:rsidRPr="009B1EBB">
        <w:rPr>
          <w:rFonts w:eastAsia="Times New Roman"/>
          <w:rtl/>
          <w:lang w:eastAsia="de-DE"/>
        </w:rPr>
        <w:t xml:space="preserve"> </w:t>
      </w:r>
      <w:r w:rsidRPr="009B1EBB">
        <w:rPr>
          <w:rFonts w:eastAsia="Times New Roman"/>
          <w:lang w:eastAsia="de-DE"/>
        </w:rPr>
        <w:t xml:space="preserve">als direktes Objekt, durch </w:t>
      </w:r>
      <w:r w:rsidR="00D84597">
        <w:rPr>
          <w:rFonts w:eastAsia="Times New Roman"/>
          <w:lang w:eastAsia="de-DE"/>
        </w:rPr>
        <w:t>Maqqef</w:t>
      </w:r>
      <w:r w:rsidRPr="009B1EBB">
        <w:rPr>
          <w:rFonts w:eastAsia="Times New Roman"/>
          <w:lang w:eastAsia="de-DE"/>
        </w:rPr>
        <w:t xml:space="preserve"> mit dem Verb verbunden).</w:t>
      </w:r>
    </w:p>
    <w:p w14:paraId="79F7A810"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rtl/>
          <w:lang w:eastAsia="de-DE"/>
        </w:rPr>
        <w:t>לֹא־תֶחְסַר כֹּל בָּהּ</w:t>
      </w:r>
      <w:r w:rsidRPr="009B1EBB">
        <w:rPr>
          <w:rFonts w:eastAsia="Times New Roman"/>
          <w:rtl/>
          <w:lang w:eastAsia="de-DE"/>
        </w:rPr>
        <w:t xml:space="preserve"> </w:t>
      </w:r>
      <w:r w:rsidRPr="009B1EBB">
        <w:rPr>
          <w:rFonts w:eastAsia="Times New Roman"/>
          <w:lang w:eastAsia="de-DE"/>
        </w:rPr>
        <w:t xml:space="preserve">ist koordiniert: </w:t>
      </w:r>
      <w:r w:rsidRPr="009B1EBB">
        <w:rPr>
          <w:rFonts w:eastAsia="Times New Roman"/>
          <w:b/>
          <w:bCs/>
          <w:rtl/>
          <w:lang w:eastAsia="de-DE"/>
        </w:rPr>
        <w:t>לֹא־תֶחְסַר</w:t>
      </w:r>
      <w:r w:rsidRPr="009B1EBB">
        <w:rPr>
          <w:rFonts w:eastAsia="Times New Roman"/>
          <w:rtl/>
          <w:lang w:eastAsia="de-DE"/>
        </w:rPr>
        <w:t xml:space="preserve"> </w:t>
      </w:r>
      <w:r w:rsidRPr="009B1EBB">
        <w:rPr>
          <w:rFonts w:eastAsia="Times New Roman"/>
          <w:lang w:eastAsia="de-DE"/>
        </w:rPr>
        <w:t xml:space="preserve">(Qal Imperfekt, 2. Person Singular maskulin von </w:t>
      </w:r>
      <w:r w:rsidRPr="009B1EBB">
        <w:rPr>
          <w:rFonts w:eastAsia="Times New Roman"/>
          <w:b/>
          <w:bCs/>
          <w:rtl/>
          <w:lang w:eastAsia="de-DE"/>
        </w:rPr>
        <w:t>חסר</w:t>
      </w:r>
      <w:r w:rsidRPr="009B1EBB">
        <w:rPr>
          <w:rFonts w:eastAsia="Times New Roman"/>
          <w:lang w:eastAsia="de-DE"/>
        </w:rPr>
        <w:t xml:space="preserve">, „mangeln, fehlen", mit Negation), </w:t>
      </w:r>
      <w:r w:rsidRPr="009B1EBB">
        <w:rPr>
          <w:rFonts w:eastAsia="Times New Roman"/>
          <w:b/>
          <w:bCs/>
          <w:rtl/>
          <w:lang w:eastAsia="de-DE"/>
        </w:rPr>
        <w:t>כֹּל</w:t>
      </w:r>
      <w:r w:rsidRPr="009B1EBB">
        <w:rPr>
          <w:rFonts w:eastAsia="Times New Roman"/>
          <w:rtl/>
          <w:lang w:eastAsia="de-DE"/>
        </w:rPr>
        <w:t xml:space="preserve"> </w:t>
      </w:r>
      <w:r w:rsidRPr="009B1EBB">
        <w:rPr>
          <w:rFonts w:eastAsia="Times New Roman"/>
          <w:lang w:eastAsia="de-DE"/>
        </w:rPr>
        <w:t xml:space="preserve">als direktes Objekt („irgendwas, nichts"), </w:t>
      </w:r>
      <w:r w:rsidRPr="009B1EBB">
        <w:rPr>
          <w:rFonts w:eastAsia="Times New Roman"/>
          <w:b/>
          <w:bCs/>
          <w:rtl/>
          <w:lang w:eastAsia="de-DE"/>
        </w:rPr>
        <w:t>בָּהּ</w:t>
      </w:r>
      <w:r w:rsidRPr="009B1EBB">
        <w:rPr>
          <w:rFonts w:eastAsia="Times New Roman"/>
          <w:rtl/>
          <w:lang w:eastAsia="de-DE"/>
        </w:rPr>
        <w:t xml:space="preserve"> </w:t>
      </w:r>
      <w:r w:rsidRPr="009B1EBB">
        <w:rPr>
          <w:rFonts w:eastAsia="Times New Roman"/>
          <w:lang w:eastAsia="de-DE"/>
        </w:rPr>
        <w:t>als Ortsangabe.</w:t>
      </w:r>
    </w:p>
    <w:p w14:paraId="2CF753F1"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rtl/>
          <w:lang w:eastAsia="de-DE"/>
        </w:rPr>
        <w:t>אֶרֶץ אֲשֶׁר אֲבָנֶיהָ בַרְזֶל וּמֵהֲרָרֶיהָ תַּחְצֹב נְחֹשֶׁת</w:t>
      </w:r>
      <w:r w:rsidRPr="009B1EBB">
        <w:rPr>
          <w:rFonts w:eastAsia="Times New Roman"/>
          <w:rtl/>
          <w:lang w:eastAsia="de-DE"/>
        </w:rPr>
        <w:t xml:space="preserve"> </w:t>
      </w:r>
      <w:r w:rsidRPr="009B1EBB">
        <w:rPr>
          <w:rFonts w:eastAsia="Times New Roman"/>
          <w:lang w:eastAsia="de-DE"/>
        </w:rPr>
        <w:t xml:space="preserve">ist eine weitere appositionelle Konstruktion mit Relativsatz: </w:t>
      </w:r>
      <w:r w:rsidRPr="009B1EBB">
        <w:rPr>
          <w:rFonts w:eastAsia="Times New Roman"/>
          <w:b/>
          <w:bCs/>
          <w:rtl/>
          <w:lang w:eastAsia="de-DE"/>
        </w:rPr>
        <w:t>אֶרֶץ אֲשֶׁר אֲבָנֶיהָ בַרְזֶל</w:t>
      </w:r>
      <w:r w:rsidRPr="009B1EBB">
        <w:rPr>
          <w:rFonts w:eastAsia="Times New Roman"/>
          <w:rtl/>
          <w:lang w:eastAsia="de-DE"/>
        </w:rPr>
        <w:t xml:space="preserve"> </w:t>
      </w:r>
      <w:r w:rsidRPr="009B1EBB">
        <w:rPr>
          <w:rFonts w:eastAsia="Times New Roman"/>
          <w:lang w:eastAsia="de-DE"/>
        </w:rPr>
        <w:t>als nominaler Satz (</w:t>
      </w:r>
      <w:r w:rsidRPr="009B1EBB">
        <w:rPr>
          <w:rFonts w:eastAsia="Times New Roman"/>
          <w:b/>
          <w:bCs/>
          <w:rtl/>
          <w:lang w:eastAsia="de-DE"/>
        </w:rPr>
        <w:t>אֲבָנֶיהָ</w:t>
      </w:r>
      <w:r w:rsidRPr="009B1EBB">
        <w:rPr>
          <w:rFonts w:eastAsia="Times New Roman"/>
          <w:rtl/>
          <w:lang w:eastAsia="de-DE"/>
        </w:rPr>
        <w:t xml:space="preserve"> </w:t>
      </w:r>
      <w:r w:rsidRPr="009B1EBB">
        <w:rPr>
          <w:rFonts w:eastAsia="Times New Roman"/>
          <w:lang w:eastAsia="de-DE"/>
        </w:rPr>
        <w:t xml:space="preserve">als Subjekt – </w:t>
      </w:r>
      <w:r w:rsidRPr="009B1EBB">
        <w:rPr>
          <w:rFonts w:eastAsia="Times New Roman"/>
          <w:b/>
          <w:bCs/>
          <w:rtl/>
          <w:lang w:eastAsia="de-DE"/>
        </w:rPr>
        <w:t>אֶבֶן</w:t>
      </w:r>
      <w:r w:rsidRPr="009B1EBB">
        <w:rPr>
          <w:rFonts w:eastAsia="Times New Roman"/>
          <w:lang w:eastAsia="de-DE"/>
        </w:rPr>
        <w:t xml:space="preserve">, „Stein", Plural mit Suffix 3. Person Singular feminin, </w:t>
      </w:r>
      <w:r w:rsidRPr="009B1EBB">
        <w:rPr>
          <w:rFonts w:eastAsia="Times New Roman"/>
          <w:b/>
          <w:bCs/>
          <w:rtl/>
          <w:lang w:eastAsia="de-DE"/>
        </w:rPr>
        <w:t>בַרְזֶל</w:t>
      </w:r>
      <w:r w:rsidRPr="009B1EBB">
        <w:rPr>
          <w:rFonts w:eastAsia="Times New Roman"/>
          <w:rtl/>
          <w:lang w:eastAsia="de-DE"/>
        </w:rPr>
        <w:t xml:space="preserve"> </w:t>
      </w:r>
      <w:r w:rsidRPr="009B1EBB">
        <w:rPr>
          <w:rFonts w:eastAsia="Times New Roman"/>
          <w:lang w:eastAsia="de-DE"/>
        </w:rPr>
        <w:t xml:space="preserve">als Prädikatsnomen – „Eisen"), </w:t>
      </w:r>
      <w:r w:rsidRPr="009B1EBB">
        <w:rPr>
          <w:rFonts w:eastAsia="Times New Roman"/>
          <w:b/>
          <w:bCs/>
          <w:rtl/>
          <w:lang w:eastAsia="de-DE"/>
        </w:rPr>
        <w:t>וּמֵהֲרָרֶיהָ תַּחְצֹב נְחֹשֶׁת</w:t>
      </w:r>
      <w:r w:rsidRPr="009B1EBB">
        <w:rPr>
          <w:rFonts w:eastAsia="Times New Roman"/>
          <w:rtl/>
          <w:lang w:eastAsia="de-DE"/>
        </w:rPr>
        <w:t xml:space="preserve"> </w:t>
      </w:r>
      <w:r w:rsidRPr="009B1EBB">
        <w:rPr>
          <w:rFonts w:eastAsia="Times New Roman"/>
          <w:lang w:eastAsia="de-DE"/>
        </w:rPr>
        <w:t>koordiniert (</w:t>
      </w:r>
      <w:r w:rsidRPr="009B1EBB">
        <w:rPr>
          <w:rFonts w:eastAsia="Times New Roman"/>
          <w:b/>
          <w:bCs/>
          <w:rtl/>
          <w:lang w:eastAsia="de-DE"/>
        </w:rPr>
        <w:t>וְ</w:t>
      </w:r>
      <w:r w:rsidRPr="009B1EBB">
        <w:rPr>
          <w:rFonts w:eastAsia="Times New Roman"/>
          <w:rtl/>
          <w:lang w:eastAsia="de-DE"/>
        </w:rPr>
        <w:t xml:space="preserve"> </w:t>
      </w:r>
      <w:r w:rsidRPr="009B1EBB">
        <w:rPr>
          <w:rFonts w:eastAsia="Times New Roman"/>
          <w:lang w:eastAsia="de-DE"/>
        </w:rPr>
        <w:t xml:space="preserve">mit </w:t>
      </w:r>
      <w:r w:rsidRPr="009B1EBB">
        <w:rPr>
          <w:rFonts w:eastAsia="Times New Roman"/>
          <w:b/>
          <w:bCs/>
          <w:rtl/>
          <w:lang w:eastAsia="de-DE"/>
        </w:rPr>
        <w:t>מֵהֲרָרֶיהָ</w:t>
      </w:r>
      <w:r w:rsidRPr="009B1EBB">
        <w:rPr>
          <w:rFonts w:eastAsia="Times New Roman"/>
          <w:rtl/>
          <w:lang w:eastAsia="de-DE"/>
        </w:rPr>
        <w:t xml:space="preserve"> </w:t>
      </w:r>
      <w:r w:rsidRPr="009B1EBB">
        <w:rPr>
          <w:rFonts w:eastAsia="Times New Roman"/>
          <w:lang w:eastAsia="de-DE"/>
        </w:rPr>
        <w:t xml:space="preserve">als Herkunftsangabe – </w:t>
      </w:r>
      <w:r w:rsidRPr="009B1EBB">
        <w:rPr>
          <w:rFonts w:eastAsia="Times New Roman"/>
          <w:b/>
          <w:bCs/>
          <w:rtl/>
          <w:lang w:eastAsia="de-DE"/>
        </w:rPr>
        <w:t>מִן</w:t>
      </w:r>
      <w:r w:rsidRPr="009B1EBB">
        <w:rPr>
          <w:rFonts w:eastAsia="Times New Roman"/>
          <w:rtl/>
          <w:lang w:eastAsia="de-DE"/>
        </w:rPr>
        <w:t xml:space="preserve"> </w:t>
      </w:r>
      <w:r w:rsidRPr="009B1EBB">
        <w:rPr>
          <w:rFonts w:eastAsia="Times New Roman"/>
          <w:lang w:eastAsia="de-DE"/>
        </w:rPr>
        <w:t xml:space="preserve">mit </w:t>
      </w:r>
      <w:r w:rsidRPr="009B1EBB">
        <w:rPr>
          <w:rFonts w:eastAsia="Times New Roman"/>
          <w:b/>
          <w:bCs/>
          <w:rtl/>
          <w:lang w:eastAsia="de-DE"/>
        </w:rPr>
        <w:t>הַר</w:t>
      </w:r>
      <w:r w:rsidRPr="009B1EBB">
        <w:rPr>
          <w:rFonts w:eastAsia="Times New Roman"/>
          <w:lang w:eastAsia="de-DE"/>
        </w:rPr>
        <w:t xml:space="preserve">, „Berg", Plural mit Suffix 3. Person Singular feminin, </w:t>
      </w:r>
      <w:r w:rsidRPr="009B1EBB">
        <w:rPr>
          <w:rFonts w:eastAsia="Times New Roman"/>
          <w:b/>
          <w:bCs/>
          <w:rtl/>
          <w:lang w:eastAsia="de-DE"/>
        </w:rPr>
        <w:t>תַּחְצֹב</w:t>
      </w:r>
      <w:r w:rsidRPr="009B1EBB">
        <w:rPr>
          <w:rFonts w:eastAsia="Times New Roman"/>
          <w:rtl/>
          <w:lang w:eastAsia="de-DE"/>
        </w:rPr>
        <w:t xml:space="preserve"> </w:t>
      </w:r>
      <w:r w:rsidRPr="009B1EBB">
        <w:rPr>
          <w:rFonts w:eastAsia="Times New Roman"/>
          <w:lang w:eastAsia="de-DE"/>
        </w:rPr>
        <w:t xml:space="preserve">als Qal Imperfekt, 2. Person Singular maskulin von </w:t>
      </w:r>
      <w:r w:rsidRPr="009B1EBB">
        <w:rPr>
          <w:rFonts w:eastAsia="Times New Roman"/>
          <w:b/>
          <w:bCs/>
          <w:rtl/>
          <w:lang w:eastAsia="de-DE"/>
        </w:rPr>
        <w:t>חצב</w:t>
      </w:r>
      <w:r w:rsidRPr="009B1EBB">
        <w:rPr>
          <w:rFonts w:eastAsia="Times New Roman"/>
          <w:lang w:eastAsia="de-DE"/>
        </w:rPr>
        <w:t xml:space="preserve">, „hauen, abbauen", </w:t>
      </w:r>
      <w:r w:rsidRPr="009B1EBB">
        <w:rPr>
          <w:rFonts w:eastAsia="Times New Roman"/>
          <w:b/>
          <w:bCs/>
          <w:rtl/>
          <w:lang w:eastAsia="de-DE"/>
        </w:rPr>
        <w:t>נְחֹשֶׁת</w:t>
      </w:r>
      <w:r w:rsidRPr="009B1EBB">
        <w:rPr>
          <w:rFonts w:eastAsia="Times New Roman"/>
          <w:rtl/>
          <w:lang w:eastAsia="de-DE"/>
        </w:rPr>
        <w:t xml:space="preserve"> </w:t>
      </w:r>
      <w:r w:rsidRPr="009B1EBB">
        <w:rPr>
          <w:rFonts w:eastAsia="Times New Roman"/>
          <w:lang w:eastAsia="de-DE"/>
        </w:rPr>
        <w:t>als direktes Objekt – „Kupfer, Bronze").</w:t>
      </w:r>
    </w:p>
    <w:p w14:paraId="275C0E35"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t xml:space="preserve">Der Vers betont den Reichtum und die Fülle des Landes in doppelter Hinsicht: (1) Nahrungsreichtum – kein Mangel, keine Armut; (2) Mineralreichtum – Eisen und Kupfer. Die Formulierung </w:t>
      </w:r>
      <w:r w:rsidRPr="009B1EBB">
        <w:rPr>
          <w:rFonts w:eastAsia="Times New Roman"/>
          <w:b/>
          <w:bCs/>
          <w:rtl/>
          <w:lang w:eastAsia="de-DE"/>
        </w:rPr>
        <w:t>לֹא בְמִסְכֵּנֻת תֹּאכַל־בָּהּ לֶחֶם</w:t>
      </w:r>
      <w:r w:rsidRPr="009B1EBB">
        <w:rPr>
          <w:rFonts w:eastAsia="Times New Roman"/>
          <w:rtl/>
          <w:lang w:eastAsia="de-DE"/>
        </w:rPr>
        <w:t xml:space="preserve"> </w:t>
      </w:r>
      <w:r w:rsidRPr="009B1EBB">
        <w:rPr>
          <w:rFonts w:eastAsia="Times New Roman"/>
          <w:lang w:eastAsia="de-DE"/>
        </w:rPr>
        <w:t xml:space="preserve">kontrastiert mit der Wüste, wo Israel am Existenzminimum lebte. Die hyperbolische Aussage </w:t>
      </w:r>
      <w:r w:rsidRPr="009B1EBB">
        <w:rPr>
          <w:rFonts w:eastAsia="Times New Roman"/>
          <w:b/>
          <w:bCs/>
          <w:rtl/>
          <w:lang w:eastAsia="de-DE"/>
        </w:rPr>
        <w:t>אֲבָנֶיהָ בַרְזֶל</w:t>
      </w:r>
      <w:r w:rsidRPr="009B1EBB">
        <w:rPr>
          <w:rFonts w:eastAsia="Times New Roman"/>
          <w:rtl/>
          <w:lang w:eastAsia="de-DE"/>
        </w:rPr>
        <w:t xml:space="preserve"> </w:t>
      </w:r>
      <w:r w:rsidRPr="009B1EBB">
        <w:rPr>
          <w:rFonts w:eastAsia="Times New Roman"/>
          <w:lang w:eastAsia="de-DE"/>
        </w:rPr>
        <w:t>(„seine Steine sind Eisen") betont den Eisenreichtum – Eisen war im alten Orient besonders wertvoll. Die Erwähnung von Kupferabbau verweist auf die Kupferminen im Negev und in der Araba (vgl. die Kupferminen bei Timna).</w:t>
      </w:r>
    </w:p>
    <w:p w14:paraId="54CAE501"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t>Die Satzstruktur ist eine appositionelle Konstruktion mit Relativsatz (negierter Satz mit modaler Bestimmung, Prädikat, Ortsangabe und direktem Objekt), koordiniertem negierten Satz (mit Prädikat, direktem Objekt und Ortsangabe), sowie eine weitere appositionelle Konstruktion mit Relativsatz (nominaler Satz mit Subjekt und Prädikatsnomen, koordinierter Satz mit Herkunftsangabe, Prädikat und direktem Objekt). Die Struktur entfaltet den materiellen Reichtum des Landes.</w:t>
      </w:r>
    </w:p>
    <w:p w14:paraId="06C047C2"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lastRenderedPageBreak/>
        <w:t>Der Vers beschreibt den Überfluss des Landes: kein Mangel an Nahrung, und Mineralreichtum – Eisen und Kupfer können abgebaut werden. Das Land bietet alles zum Leben.</w:t>
      </w:r>
    </w:p>
    <w:p w14:paraId="198DA2A3" w14:textId="77777777" w:rsidR="009B1EBB" w:rsidRPr="009B1EBB" w:rsidRDefault="009B1EBB" w:rsidP="009B1EBB">
      <w:pPr>
        <w:spacing w:before="100" w:beforeAutospacing="1" w:after="100" w:afterAutospacing="1" w:line="240" w:lineRule="auto"/>
        <w:outlineLvl w:val="1"/>
        <w:rPr>
          <w:rFonts w:eastAsia="Times New Roman"/>
          <w:b/>
          <w:bCs/>
          <w:sz w:val="36"/>
          <w:szCs w:val="36"/>
          <w:lang w:eastAsia="de-DE"/>
        </w:rPr>
      </w:pPr>
      <w:r w:rsidRPr="009B1EBB">
        <w:rPr>
          <w:rFonts w:eastAsia="Times New Roman"/>
          <w:b/>
          <w:bCs/>
          <w:sz w:val="36"/>
          <w:szCs w:val="36"/>
          <w:lang w:eastAsia="de-DE"/>
        </w:rPr>
        <w:t>Deuteronomium 8,10</w:t>
      </w:r>
    </w:p>
    <w:p w14:paraId="69A513CA"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Hebräisch:</w:t>
      </w:r>
      <w:r w:rsidRPr="009B1EBB">
        <w:rPr>
          <w:rFonts w:eastAsia="Times New Roman"/>
          <w:lang w:eastAsia="de-DE"/>
        </w:rPr>
        <w:t xml:space="preserve"> </w:t>
      </w:r>
      <w:r w:rsidRPr="009B1EBB">
        <w:rPr>
          <w:rFonts w:eastAsia="Times New Roman"/>
          <w:rtl/>
          <w:lang w:eastAsia="de-DE"/>
        </w:rPr>
        <w:t>וְאָכַלְתָּ וְשָׂבָעְתָּ וּבֵרַכְתָּ אֶת־יְהוָה אֱלֹהֶיךָ עַל־הָאָרֶץ הַטֹּבָה אֲשֶׁר נָתַן־לָךְ׃</w:t>
      </w:r>
    </w:p>
    <w:p w14:paraId="7CF51EA5"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Deutsch:</w:t>
      </w:r>
      <w:r w:rsidRPr="009B1EBB">
        <w:rPr>
          <w:rFonts w:eastAsia="Times New Roman"/>
          <w:lang w:eastAsia="de-DE"/>
        </w:rPr>
        <w:t xml:space="preserve"> Und hast du gegessen und bist satt geworden, so sollst du den Ewigen, deinen Gott, für das gute Land preisen, das er dir gegeben hat.</w:t>
      </w:r>
    </w:p>
    <w:p w14:paraId="62A5A038" w14:textId="77777777" w:rsidR="009B1EBB" w:rsidRPr="009B1EBB" w:rsidRDefault="004F5CEB" w:rsidP="009B1EBB">
      <w:pPr>
        <w:spacing w:after="0" w:line="240" w:lineRule="auto"/>
        <w:rPr>
          <w:rFonts w:eastAsia="Times New Roman"/>
          <w:lang w:eastAsia="de-DE"/>
        </w:rPr>
      </w:pPr>
      <w:r>
        <w:rPr>
          <w:rFonts w:eastAsia="Times New Roman"/>
          <w:noProof/>
          <w:lang w:eastAsia="de-DE"/>
        </w:rPr>
        <w:pict w14:anchorId="2E6362AC">
          <v:rect id="_x0000_i1279" style="width:0;height:1.5pt" o:hralign="center" o:hrstd="t" o:hr="t" fillcolor="#a0a0a0" stroked="f"/>
        </w:pict>
      </w:r>
    </w:p>
    <w:p w14:paraId="07005CFD"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Kommentar:</w:t>
      </w:r>
      <w:r w:rsidRPr="009B1EBB">
        <w:rPr>
          <w:rFonts w:eastAsia="Times New Roman"/>
          <w:lang w:eastAsia="de-DE"/>
        </w:rPr>
        <w:t xml:space="preserve"> </w:t>
      </w:r>
      <w:r w:rsidRPr="009B1EBB">
        <w:rPr>
          <w:rFonts w:eastAsia="Times New Roman"/>
          <w:b/>
          <w:bCs/>
          <w:rtl/>
          <w:lang w:eastAsia="de-DE"/>
        </w:rPr>
        <w:t>וְאָכַלְתָּ וְשָׂבָעְתָּ</w:t>
      </w:r>
      <w:r w:rsidRPr="009B1EBB">
        <w:rPr>
          <w:rFonts w:eastAsia="Times New Roman"/>
          <w:rtl/>
          <w:lang w:eastAsia="de-DE"/>
        </w:rPr>
        <w:t xml:space="preserve"> </w:t>
      </w:r>
      <w:r w:rsidRPr="009B1EBB">
        <w:rPr>
          <w:rFonts w:eastAsia="Times New Roman"/>
          <w:lang w:eastAsia="de-DE"/>
        </w:rPr>
        <w:t xml:space="preserve">ist eine zweigliedrige koordinierte temporale Konstruktion: </w:t>
      </w:r>
      <w:r w:rsidRPr="009B1EBB">
        <w:rPr>
          <w:rFonts w:eastAsia="Times New Roman"/>
          <w:b/>
          <w:bCs/>
          <w:rtl/>
          <w:lang w:eastAsia="de-DE"/>
        </w:rPr>
        <w:t>וְאָכַלְתָּ</w:t>
      </w:r>
      <w:r w:rsidRPr="009B1EBB">
        <w:rPr>
          <w:rFonts w:eastAsia="Times New Roman"/>
          <w:rtl/>
          <w:lang w:eastAsia="de-DE"/>
        </w:rPr>
        <w:t xml:space="preserve"> </w:t>
      </w:r>
      <w:r w:rsidRPr="009B1EBB">
        <w:rPr>
          <w:rFonts w:eastAsia="Times New Roman"/>
          <w:lang w:eastAsia="de-DE"/>
        </w:rPr>
        <w:t xml:space="preserve">(Qal Perfekt consecutivum, 2. Person Singular maskulin von </w:t>
      </w:r>
      <w:r w:rsidRPr="009B1EBB">
        <w:rPr>
          <w:rFonts w:eastAsia="Times New Roman"/>
          <w:b/>
          <w:bCs/>
          <w:rtl/>
          <w:lang w:eastAsia="de-DE"/>
        </w:rPr>
        <w:t>אכל</w:t>
      </w:r>
      <w:r w:rsidRPr="009B1EBB">
        <w:rPr>
          <w:rFonts w:eastAsia="Times New Roman"/>
          <w:lang w:eastAsia="de-DE"/>
        </w:rPr>
        <w:t xml:space="preserve">, „essen", mit </w:t>
      </w:r>
      <w:r w:rsidRPr="009B1EBB">
        <w:rPr>
          <w:rFonts w:eastAsia="Times New Roman"/>
          <w:b/>
          <w:bCs/>
          <w:rtl/>
          <w:lang w:eastAsia="de-DE"/>
        </w:rPr>
        <w:t>וְ</w:t>
      </w:r>
      <w:r w:rsidRPr="009B1EBB">
        <w:rPr>
          <w:rFonts w:eastAsia="Times New Roman"/>
          <w:lang w:eastAsia="de-DE"/>
        </w:rPr>
        <w:t xml:space="preserve">), </w:t>
      </w:r>
      <w:r w:rsidRPr="009B1EBB">
        <w:rPr>
          <w:rFonts w:eastAsia="Times New Roman"/>
          <w:b/>
          <w:bCs/>
          <w:rtl/>
          <w:lang w:eastAsia="de-DE"/>
        </w:rPr>
        <w:t>וְשָׂבָעְתָּ</w:t>
      </w:r>
      <w:r w:rsidRPr="009B1EBB">
        <w:rPr>
          <w:rFonts w:eastAsia="Times New Roman"/>
          <w:rtl/>
          <w:lang w:eastAsia="de-DE"/>
        </w:rPr>
        <w:t xml:space="preserve"> </w:t>
      </w:r>
      <w:r w:rsidRPr="009B1EBB">
        <w:rPr>
          <w:rFonts w:eastAsia="Times New Roman"/>
          <w:lang w:eastAsia="de-DE"/>
        </w:rPr>
        <w:t xml:space="preserve">koordiniert (Qal Perfekt consecutivum, 2. Person Singular maskulin von </w:t>
      </w:r>
      <w:r w:rsidRPr="009B1EBB">
        <w:rPr>
          <w:rFonts w:eastAsia="Times New Roman"/>
          <w:b/>
          <w:bCs/>
          <w:rtl/>
          <w:lang w:eastAsia="de-DE"/>
        </w:rPr>
        <w:t>שׂבע</w:t>
      </w:r>
      <w:r w:rsidRPr="009B1EBB">
        <w:rPr>
          <w:rFonts w:eastAsia="Times New Roman"/>
          <w:lang w:eastAsia="de-DE"/>
        </w:rPr>
        <w:t xml:space="preserve">, „satt werden, sich sättigen", mit </w:t>
      </w:r>
      <w:r w:rsidRPr="009B1EBB">
        <w:rPr>
          <w:rFonts w:eastAsia="Times New Roman"/>
          <w:b/>
          <w:bCs/>
          <w:rtl/>
          <w:lang w:eastAsia="de-DE"/>
        </w:rPr>
        <w:t>וְ</w:t>
      </w:r>
      <w:r w:rsidRPr="009B1EBB">
        <w:rPr>
          <w:rFonts w:eastAsia="Times New Roman"/>
          <w:lang w:eastAsia="de-DE"/>
        </w:rPr>
        <w:t>).</w:t>
      </w:r>
    </w:p>
    <w:p w14:paraId="33FC04D1" w14:textId="307F3E02"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rtl/>
          <w:lang w:eastAsia="de-DE"/>
        </w:rPr>
        <w:t>וּבֵרַכְתָּ אֶת־יְהוָה אֱלֹהֶיךָ עַל־הָאָרֶץ הַטֹּבָה אֲשֶׁר נָתַן־לָךְ</w:t>
      </w:r>
      <w:r w:rsidRPr="009B1EBB">
        <w:rPr>
          <w:rFonts w:eastAsia="Times New Roman"/>
          <w:rtl/>
          <w:lang w:eastAsia="de-DE"/>
        </w:rPr>
        <w:t xml:space="preserve"> </w:t>
      </w:r>
      <w:r w:rsidRPr="009B1EBB">
        <w:rPr>
          <w:rFonts w:eastAsia="Times New Roman"/>
          <w:lang w:eastAsia="de-DE"/>
        </w:rPr>
        <w:t xml:space="preserve">ist die Apodosis: </w:t>
      </w:r>
      <w:r w:rsidRPr="009B1EBB">
        <w:rPr>
          <w:rFonts w:eastAsia="Times New Roman"/>
          <w:b/>
          <w:bCs/>
          <w:rtl/>
          <w:lang w:eastAsia="de-DE"/>
        </w:rPr>
        <w:t>וּבֵרַכְתָּ</w:t>
      </w:r>
      <w:r w:rsidRPr="009B1EBB">
        <w:rPr>
          <w:rFonts w:eastAsia="Times New Roman"/>
          <w:rtl/>
          <w:lang w:eastAsia="de-DE"/>
        </w:rPr>
        <w:t xml:space="preserve"> </w:t>
      </w:r>
      <w:r w:rsidRPr="009B1EBB">
        <w:rPr>
          <w:rFonts w:eastAsia="Times New Roman"/>
          <w:lang w:eastAsia="de-DE"/>
        </w:rPr>
        <w:t xml:space="preserve">(Piel Perfekt consecutivum, 2. Person Singular maskulin von </w:t>
      </w:r>
      <w:r w:rsidRPr="009B1EBB">
        <w:rPr>
          <w:rFonts w:eastAsia="Times New Roman"/>
          <w:b/>
          <w:bCs/>
          <w:rtl/>
          <w:lang w:eastAsia="de-DE"/>
        </w:rPr>
        <w:t>ברך</w:t>
      </w:r>
      <w:r w:rsidRPr="009B1EBB">
        <w:rPr>
          <w:rFonts w:eastAsia="Times New Roman"/>
          <w:lang w:eastAsia="de-DE"/>
        </w:rPr>
        <w:t xml:space="preserve">, „segnen, preisen, loben", mit </w:t>
      </w:r>
      <w:r w:rsidRPr="009B1EBB">
        <w:rPr>
          <w:rFonts w:eastAsia="Times New Roman"/>
          <w:b/>
          <w:bCs/>
          <w:rtl/>
          <w:lang w:eastAsia="de-DE"/>
        </w:rPr>
        <w:t>וְ</w:t>
      </w:r>
      <w:r w:rsidRPr="009B1EBB">
        <w:rPr>
          <w:rFonts w:eastAsia="Times New Roman"/>
          <w:lang w:eastAsia="de-DE"/>
        </w:rPr>
        <w:t xml:space="preserve">), </w:t>
      </w:r>
      <w:r w:rsidRPr="009B1EBB">
        <w:rPr>
          <w:rFonts w:eastAsia="Times New Roman"/>
          <w:b/>
          <w:bCs/>
          <w:rtl/>
          <w:lang w:eastAsia="de-DE"/>
        </w:rPr>
        <w:t>אֶת־יְהוָה אֱלֹהֶיךָ</w:t>
      </w:r>
      <w:r w:rsidRPr="009B1EBB">
        <w:rPr>
          <w:rFonts w:eastAsia="Times New Roman"/>
          <w:rtl/>
          <w:lang w:eastAsia="de-DE"/>
        </w:rPr>
        <w:t xml:space="preserve"> </w:t>
      </w:r>
      <w:r w:rsidRPr="009B1EBB">
        <w:rPr>
          <w:rFonts w:eastAsia="Times New Roman"/>
          <w:lang w:eastAsia="de-DE"/>
        </w:rPr>
        <w:t xml:space="preserve">als direktes Objekt (erweiterte Gottesbezeichnung), </w:t>
      </w:r>
      <w:r w:rsidRPr="009B1EBB">
        <w:rPr>
          <w:rFonts w:eastAsia="Times New Roman"/>
          <w:b/>
          <w:bCs/>
          <w:rtl/>
          <w:lang w:eastAsia="de-DE"/>
        </w:rPr>
        <w:t>עַל־הָאָרֶץ הַטֹּבָה</w:t>
      </w:r>
      <w:r w:rsidRPr="009B1EBB">
        <w:rPr>
          <w:rFonts w:eastAsia="Times New Roman"/>
          <w:rtl/>
          <w:lang w:eastAsia="de-DE"/>
        </w:rPr>
        <w:t xml:space="preserve"> </w:t>
      </w:r>
      <w:r w:rsidRPr="009B1EBB">
        <w:rPr>
          <w:rFonts w:eastAsia="Times New Roman"/>
          <w:lang w:eastAsia="de-DE"/>
        </w:rPr>
        <w:t>als kausale Bestimmung (</w:t>
      </w:r>
      <w:r w:rsidRPr="009B1EBB">
        <w:rPr>
          <w:rFonts w:eastAsia="Times New Roman"/>
          <w:b/>
          <w:bCs/>
          <w:rtl/>
          <w:lang w:eastAsia="de-DE"/>
        </w:rPr>
        <w:t>עַל</w:t>
      </w:r>
      <w:r w:rsidRPr="009B1EBB">
        <w:rPr>
          <w:rFonts w:eastAsia="Times New Roman"/>
          <w:rtl/>
          <w:lang w:eastAsia="de-DE"/>
        </w:rPr>
        <w:t xml:space="preserve"> </w:t>
      </w:r>
      <w:r w:rsidRPr="009B1EBB">
        <w:rPr>
          <w:rFonts w:eastAsia="Times New Roman"/>
          <w:lang w:eastAsia="de-DE"/>
        </w:rPr>
        <w:t xml:space="preserve">mit </w:t>
      </w:r>
      <w:r w:rsidRPr="009B1EBB">
        <w:rPr>
          <w:rFonts w:eastAsia="Times New Roman"/>
          <w:b/>
          <w:bCs/>
          <w:rtl/>
          <w:lang w:eastAsia="de-DE"/>
        </w:rPr>
        <w:t>אֶרֶץ</w:t>
      </w:r>
      <w:r w:rsidRPr="009B1EBB">
        <w:rPr>
          <w:rFonts w:eastAsia="Times New Roman"/>
          <w:rtl/>
          <w:lang w:eastAsia="de-DE"/>
        </w:rPr>
        <w:t xml:space="preserve"> </w:t>
      </w:r>
      <w:r w:rsidRPr="009B1EBB">
        <w:rPr>
          <w:rFonts w:eastAsia="Times New Roman"/>
          <w:lang w:eastAsia="de-DE"/>
        </w:rPr>
        <w:t xml:space="preserve">mit Artikel und Adjektiv </w:t>
      </w:r>
      <w:r w:rsidRPr="009B1EBB">
        <w:rPr>
          <w:rFonts w:eastAsia="Times New Roman"/>
          <w:b/>
          <w:bCs/>
          <w:rtl/>
          <w:lang w:eastAsia="de-DE"/>
        </w:rPr>
        <w:t>הַטֹּבָה</w:t>
      </w:r>
      <w:r w:rsidRPr="009B1EBB">
        <w:rPr>
          <w:rFonts w:eastAsia="Times New Roman"/>
          <w:rtl/>
          <w:lang w:eastAsia="de-DE"/>
        </w:rPr>
        <w:t xml:space="preserve"> </w:t>
      </w:r>
      <w:r w:rsidRPr="009B1EBB">
        <w:rPr>
          <w:rFonts w:eastAsia="Times New Roman"/>
          <w:lang w:eastAsia="de-DE"/>
        </w:rPr>
        <w:t xml:space="preserve">– „für das gute Land, wegen des guten Landes"), </w:t>
      </w:r>
      <w:r w:rsidRPr="009B1EBB">
        <w:rPr>
          <w:rFonts w:eastAsia="Times New Roman"/>
          <w:b/>
          <w:bCs/>
          <w:rtl/>
          <w:lang w:eastAsia="de-DE"/>
        </w:rPr>
        <w:t>אֲשֶׁר נָתַן־לָךְ</w:t>
      </w:r>
      <w:r w:rsidRPr="009B1EBB">
        <w:rPr>
          <w:rFonts w:eastAsia="Times New Roman"/>
          <w:rtl/>
          <w:lang w:eastAsia="de-DE"/>
        </w:rPr>
        <w:t xml:space="preserve"> </w:t>
      </w:r>
      <w:r w:rsidRPr="009B1EBB">
        <w:rPr>
          <w:rFonts w:eastAsia="Times New Roman"/>
          <w:lang w:eastAsia="de-DE"/>
        </w:rPr>
        <w:t xml:space="preserve">als Relativsatz (Qal Perfekt, 3. Person Singular maskulin von </w:t>
      </w:r>
      <w:r w:rsidRPr="009B1EBB">
        <w:rPr>
          <w:rFonts w:eastAsia="Times New Roman"/>
          <w:b/>
          <w:bCs/>
          <w:rtl/>
          <w:lang w:eastAsia="de-DE"/>
        </w:rPr>
        <w:t>נתן</w:t>
      </w:r>
      <w:r w:rsidRPr="009B1EBB">
        <w:rPr>
          <w:rFonts w:eastAsia="Times New Roman"/>
          <w:lang w:eastAsia="de-DE"/>
        </w:rPr>
        <w:t xml:space="preserve">, „geben", mit </w:t>
      </w:r>
      <w:r w:rsidR="00D84597">
        <w:rPr>
          <w:rFonts w:eastAsia="Times New Roman"/>
          <w:lang w:eastAsia="de-DE"/>
        </w:rPr>
        <w:t>Maqqef</w:t>
      </w:r>
      <w:r w:rsidRPr="009B1EBB">
        <w:rPr>
          <w:rFonts w:eastAsia="Times New Roman"/>
          <w:lang w:eastAsia="de-DE"/>
        </w:rPr>
        <w:t xml:space="preserve">, </w:t>
      </w:r>
      <w:r w:rsidRPr="009B1EBB">
        <w:rPr>
          <w:rFonts w:eastAsia="Times New Roman"/>
          <w:b/>
          <w:bCs/>
          <w:rtl/>
          <w:lang w:eastAsia="de-DE"/>
        </w:rPr>
        <w:t>לָךְ</w:t>
      </w:r>
      <w:r w:rsidRPr="009B1EBB">
        <w:rPr>
          <w:rFonts w:eastAsia="Times New Roman"/>
          <w:rtl/>
          <w:lang w:eastAsia="de-DE"/>
        </w:rPr>
        <w:t xml:space="preserve"> </w:t>
      </w:r>
      <w:r w:rsidRPr="009B1EBB">
        <w:rPr>
          <w:rFonts w:eastAsia="Times New Roman"/>
          <w:lang w:eastAsia="de-DE"/>
        </w:rPr>
        <w:t>als indirektes Objekt).</w:t>
      </w:r>
    </w:p>
    <w:p w14:paraId="66519486"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t xml:space="preserve">Dieser Vers ist die Grundlage für das jüdische Tischgebet </w:t>
      </w:r>
      <w:r w:rsidRPr="009B1EBB">
        <w:rPr>
          <w:rFonts w:eastAsia="Times New Roman"/>
          <w:b/>
          <w:bCs/>
          <w:rtl/>
          <w:lang w:eastAsia="de-DE"/>
        </w:rPr>
        <w:t>בִּרְכַּת הַמָּזוֹן</w:t>
      </w:r>
      <w:r w:rsidRPr="009B1EBB">
        <w:rPr>
          <w:rFonts w:eastAsia="Times New Roman"/>
          <w:rtl/>
          <w:lang w:eastAsia="de-DE"/>
        </w:rPr>
        <w:t xml:space="preserve"> </w:t>
      </w:r>
      <w:r w:rsidRPr="009B1EBB">
        <w:rPr>
          <w:rFonts w:eastAsia="Times New Roman"/>
          <w:lang w:eastAsia="de-DE"/>
        </w:rPr>
        <w:t>(„</w:t>
      </w:r>
      <w:proofErr w:type="spellStart"/>
      <w:r w:rsidRPr="009B1EBB">
        <w:rPr>
          <w:rFonts w:eastAsia="Times New Roman"/>
          <w:lang w:eastAsia="de-DE"/>
        </w:rPr>
        <w:t>Birkat</w:t>
      </w:r>
      <w:proofErr w:type="spellEnd"/>
      <w:r w:rsidRPr="009B1EBB">
        <w:rPr>
          <w:rFonts w:eastAsia="Times New Roman"/>
          <w:lang w:eastAsia="de-DE"/>
        </w:rPr>
        <w:t xml:space="preserve"> </w:t>
      </w:r>
      <w:proofErr w:type="spellStart"/>
      <w:r w:rsidRPr="009B1EBB">
        <w:rPr>
          <w:rFonts w:eastAsia="Times New Roman"/>
          <w:lang w:eastAsia="de-DE"/>
        </w:rPr>
        <w:t>HaMazon</w:t>
      </w:r>
      <w:proofErr w:type="spellEnd"/>
      <w:r w:rsidRPr="009B1EBB">
        <w:rPr>
          <w:rFonts w:eastAsia="Times New Roman"/>
          <w:lang w:eastAsia="de-DE"/>
        </w:rPr>
        <w:t xml:space="preserve">", „Segnung der Nahrung"), das nach jeder Mahlzeit gebetet wird. Die Aufforderung zum Lobpreis nach dem Essen betont die Dankbarkeit als angemessene Reaktion auf Gottes Gaben. Die Wendung </w:t>
      </w:r>
      <w:r w:rsidRPr="009B1EBB">
        <w:rPr>
          <w:rFonts w:eastAsia="Times New Roman"/>
          <w:b/>
          <w:bCs/>
          <w:rtl/>
          <w:lang w:eastAsia="de-DE"/>
        </w:rPr>
        <w:t>וְאָכַלְתָּ וְשָׂבָעְתָּ</w:t>
      </w:r>
      <w:r w:rsidRPr="009B1EBB">
        <w:rPr>
          <w:rFonts w:eastAsia="Times New Roman"/>
          <w:rtl/>
          <w:lang w:eastAsia="de-DE"/>
        </w:rPr>
        <w:t xml:space="preserve"> </w:t>
      </w:r>
      <w:r w:rsidRPr="009B1EBB">
        <w:rPr>
          <w:rFonts w:eastAsia="Times New Roman"/>
          <w:lang w:eastAsia="de-DE"/>
        </w:rPr>
        <w:t xml:space="preserve">(„du isst und wirst satt") ist eine klassische deuteronomische Formel für Wohlstand (vgl. 6,11; 11,15; 14,29; 31,20). Das Verb </w:t>
      </w:r>
      <w:r w:rsidRPr="009B1EBB">
        <w:rPr>
          <w:rFonts w:eastAsia="Times New Roman"/>
          <w:b/>
          <w:bCs/>
          <w:rtl/>
          <w:lang w:eastAsia="de-DE"/>
        </w:rPr>
        <w:t>ברך</w:t>
      </w:r>
      <w:r w:rsidRPr="009B1EBB">
        <w:rPr>
          <w:rFonts w:eastAsia="Times New Roman"/>
          <w:rtl/>
          <w:lang w:eastAsia="de-DE"/>
        </w:rPr>
        <w:t xml:space="preserve"> </w:t>
      </w:r>
      <w:r w:rsidRPr="009B1EBB">
        <w:rPr>
          <w:rFonts w:eastAsia="Times New Roman"/>
          <w:lang w:eastAsia="de-DE"/>
        </w:rPr>
        <w:t>im Piel bedeutet „segnen, preisen, loben" – hier nicht „Gott segnen" (unmöglich), sondern „Gott preisen, Gott danken".</w:t>
      </w:r>
    </w:p>
    <w:p w14:paraId="62BBC746"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Die LXX</w:t>
      </w:r>
      <w:r w:rsidRPr="009B1EBB">
        <w:rPr>
          <w:rFonts w:eastAsia="Times New Roman"/>
          <w:lang w:eastAsia="de-DE"/>
        </w:rPr>
        <w:t xml:space="preserve"> übersetzt </w:t>
      </w:r>
      <w:proofErr w:type="spellStart"/>
      <w:r w:rsidRPr="009B1EBB">
        <w:rPr>
          <w:rFonts w:eastAsia="Times New Roman"/>
          <w:b/>
          <w:bCs/>
          <w:lang w:eastAsia="de-DE"/>
        </w:rPr>
        <w:t>εὐλογήσεις</w:t>
      </w:r>
      <w:proofErr w:type="spellEnd"/>
      <w:r w:rsidRPr="009B1EBB">
        <w:rPr>
          <w:rFonts w:eastAsia="Times New Roman"/>
          <w:lang w:eastAsia="de-DE"/>
        </w:rPr>
        <w:t xml:space="preserve"> („du wirst preisen/segnen") für </w:t>
      </w:r>
      <w:r w:rsidRPr="009B1EBB">
        <w:rPr>
          <w:rFonts w:eastAsia="Times New Roman"/>
          <w:b/>
          <w:bCs/>
          <w:rtl/>
          <w:lang w:eastAsia="de-DE"/>
        </w:rPr>
        <w:t>וּבֵרַכְתָּ</w:t>
      </w:r>
      <w:r w:rsidRPr="009B1EBB">
        <w:rPr>
          <w:rFonts w:eastAsia="Times New Roman"/>
          <w:lang w:eastAsia="de-DE"/>
        </w:rPr>
        <w:t>.</w:t>
      </w:r>
    </w:p>
    <w:p w14:paraId="58D8A62A"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t>Die Satzstruktur ist eine zweigliedrige koordinierte temporale Konstruktion, gefolgt von der Apodosis (Perfekt consecutivum mit direktem Objekt, kausaler Bestimmung und Relativsatz mit Prädikat und indirektem Objekt). Die Struktur verbindet den Genuss der Gaben mit der Pflicht zum Lobpreis.</w:t>
      </w:r>
    </w:p>
    <w:p w14:paraId="0A6B7C04"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t>Der Vers schließt die Landesbeschreibung ab: Wenn du im Land isst und satt wirst, sollst du JHWH für das gute Land danken und ihn preisen – Dankbarkeit als Antwort auf Gottes Gaben.</w:t>
      </w:r>
    </w:p>
    <w:p w14:paraId="5881685D" w14:textId="77777777" w:rsidR="009B1EBB" w:rsidRPr="009B1EBB" w:rsidRDefault="009B1EBB" w:rsidP="009B1EBB">
      <w:pPr>
        <w:spacing w:before="100" w:beforeAutospacing="1" w:after="100" w:afterAutospacing="1" w:line="240" w:lineRule="auto"/>
        <w:outlineLvl w:val="1"/>
        <w:rPr>
          <w:rFonts w:eastAsia="Times New Roman"/>
          <w:b/>
          <w:bCs/>
          <w:sz w:val="36"/>
          <w:szCs w:val="36"/>
          <w:lang w:eastAsia="de-DE"/>
        </w:rPr>
      </w:pPr>
      <w:r w:rsidRPr="009B1EBB">
        <w:rPr>
          <w:rFonts w:eastAsia="Times New Roman"/>
          <w:b/>
          <w:bCs/>
          <w:sz w:val="36"/>
          <w:szCs w:val="36"/>
          <w:lang w:eastAsia="de-DE"/>
        </w:rPr>
        <w:t>Deuteronomium 8,11</w:t>
      </w:r>
    </w:p>
    <w:p w14:paraId="778D997D"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Hebräisch:</w:t>
      </w:r>
      <w:r w:rsidRPr="009B1EBB">
        <w:rPr>
          <w:rFonts w:eastAsia="Times New Roman"/>
          <w:lang w:eastAsia="de-DE"/>
        </w:rPr>
        <w:t xml:space="preserve"> </w:t>
      </w:r>
      <w:r w:rsidRPr="009B1EBB">
        <w:rPr>
          <w:rFonts w:eastAsia="Times New Roman"/>
          <w:rtl/>
          <w:lang w:eastAsia="de-DE"/>
        </w:rPr>
        <w:t>הִשָּׁמֶר לְךָ פֶּן־תִּשְׁכַּח אֶת־יְהוָה אֱלֹהֶיךָ לְבִלְתִּי שְׁמֹר מִצְוֹתָיו וּמִשְׁפָּטָיו וְחֻקֹּתָיו אֲשֶׁר אָנֹכִי מְצַוְּךָ הַיּוֹם׃</w:t>
      </w:r>
    </w:p>
    <w:p w14:paraId="0E464B39"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lastRenderedPageBreak/>
        <w:t>Deutsch:</w:t>
      </w:r>
      <w:r w:rsidRPr="009B1EBB">
        <w:rPr>
          <w:rFonts w:eastAsia="Times New Roman"/>
          <w:lang w:eastAsia="de-DE"/>
        </w:rPr>
        <w:t xml:space="preserve"> Hüte dich, dass du den Ewigen, deinen Gott, nicht vergisst, indem du seine Gebote und seine Rechtsvorschriften und seine Satzungen nicht hältst, die ich dir heute gebiete.</w:t>
      </w:r>
    </w:p>
    <w:p w14:paraId="39C07218" w14:textId="77777777" w:rsidR="009B1EBB" w:rsidRPr="009B1EBB" w:rsidRDefault="004F5CEB" w:rsidP="009B1EBB">
      <w:pPr>
        <w:spacing w:after="0" w:line="240" w:lineRule="auto"/>
        <w:rPr>
          <w:rFonts w:eastAsia="Times New Roman"/>
          <w:lang w:eastAsia="de-DE"/>
        </w:rPr>
      </w:pPr>
      <w:r>
        <w:rPr>
          <w:rFonts w:eastAsia="Times New Roman"/>
          <w:noProof/>
          <w:lang w:eastAsia="de-DE"/>
        </w:rPr>
        <w:pict w14:anchorId="35CD1C6E">
          <v:rect id="_x0000_i1280" style="width:0;height:1.5pt" o:hralign="center" o:hrstd="t" o:hr="t" fillcolor="#a0a0a0" stroked="f"/>
        </w:pict>
      </w:r>
    </w:p>
    <w:p w14:paraId="26E5D8E3"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Kommentar:</w:t>
      </w:r>
      <w:r w:rsidRPr="009B1EBB">
        <w:rPr>
          <w:rFonts w:eastAsia="Times New Roman"/>
          <w:lang w:eastAsia="de-DE"/>
        </w:rPr>
        <w:t xml:space="preserve"> </w:t>
      </w:r>
      <w:r w:rsidRPr="009B1EBB">
        <w:rPr>
          <w:rFonts w:eastAsia="Times New Roman"/>
          <w:b/>
          <w:bCs/>
          <w:rtl/>
          <w:lang w:eastAsia="de-DE"/>
        </w:rPr>
        <w:t>הִשָּׁמֶר לְךָ פֶּן־תִּשְׁכַּח אֶת־יְהוָה אֱלֹהֶיךָ</w:t>
      </w:r>
      <w:r w:rsidRPr="009B1EBB">
        <w:rPr>
          <w:rFonts w:eastAsia="Times New Roman"/>
          <w:rtl/>
          <w:lang w:eastAsia="de-DE"/>
        </w:rPr>
        <w:t xml:space="preserve"> </w:t>
      </w:r>
      <w:r w:rsidRPr="009B1EBB">
        <w:rPr>
          <w:rFonts w:eastAsia="Times New Roman"/>
          <w:lang w:eastAsia="de-DE"/>
        </w:rPr>
        <w:t xml:space="preserve">ist eine Warnung: </w:t>
      </w:r>
      <w:r w:rsidRPr="009B1EBB">
        <w:rPr>
          <w:rFonts w:eastAsia="Times New Roman"/>
          <w:b/>
          <w:bCs/>
          <w:rtl/>
          <w:lang w:eastAsia="de-DE"/>
        </w:rPr>
        <w:t>הִשָּׁמֶר</w:t>
      </w:r>
      <w:r w:rsidRPr="009B1EBB">
        <w:rPr>
          <w:rFonts w:eastAsia="Times New Roman"/>
          <w:rtl/>
          <w:lang w:eastAsia="de-DE"/>
        </w:rPr>
        <w:t xml:space="preserve"> </w:t>
      </w:r>
      <w:r w:rsidRPr="009B1EBB">
        <w:rPr>
          <w:rFonts w:eastAsia="Times New Roman"/>
          <w:lang w:eastAsia="de-DE"/>
        </w:rPr>
        <w:t xml:space="preserve">als Nifal Imperativ, 2. Person Singular maskulin von </w:t>
      </w:r>
      <w:r w:rsidRPr="009B1EBB">
        <w:rPr>
          <w:rFonts w:eastAsia="Times New Roman"/>
          <w:b/>
          <w:bCs/>
          <w:rtl/>
          <w:lang w:eastAsia="de-DE"/>
        </w:rPr>
        <w:t>שׁמר</w:t>
      </w:r>
      <w:r w:rsidRPr="009B1EBB">
        <w:rPr>
          <w:rFonts w:eastAsia="Times New Roman"/>
          <w:lang w:eastAsia="de-DE"/>
        </w:rPr>
        <w:t xml:space="preserve">, „hüten, sich hüten", </w:t>
      </w:r>
      <w:r w:rsidRPr="009B1EBB">
        <w:rPr>
          <w:rFonts w:eastAsia="Times New Roman"/>
          <w:b/>
          <w:bCs/>
          <w:rtl/>
          <w:lang w:eastAsia="de-DE"/>
        </w:rPr>
        <w:t>לְךָ</w:t>
      </w:r>
      <w:r w:rsidRPr="009B1EBB">
        <w:rPr>
          <w:rFonts w:eastAsia="Times New Roman"/>
          <w:rtl/>
          <w:lang w:eastAsia="de-DE"/>
        </w:rPr>
        <w:t xml:space="preserve"> </w:t>
      </w:r>
      <w:r w:rsidRPr="009B1EBB">
        <w:rPr>
          <w:rFonts w:eastAsia="Times New Roman"/>
          <w:lang w:eastAsia="de-DE"/>
        </w:rPr>
        <w:t xml:space="preserve">als ethischer bzw. reflexiver Dativ („für dich, dir"), </w:t>
      </w:r>
      <w:r w:rsidRPr="009B1EBB">
        <w:rPr>
          <w:rFonts w:eastAsia="Times New Roman"/>
          <w:b/>
          <w:bCs/>
          <w:rtl/>
          <w:lang w:eastAsia="de-DE"/>
        </w:rPr>
        <w:t>פֶּן־תִּשְׁכַּח</w:t>
      </w:r>
      <w:r w:rsidRPr="009B1EBB">
        <w:rPr>
          <w:rFonts w:eastAsia="Times New Roman"/>
          <w:rtl/>
          <w:lang w:eastAsia="de-DE"/>
        </w:rPr>
        <w:t xml:space="preserve"> </w:t>
      </w:r>
      <w:r w:rsidRPr="009B1EBB">
        <w:rPr>
          <w:rFonts w:eastAsia="Times New Roman"/>
          <w:lang w:eastAsia="de-DE"/>
        </w:rPr>
        <w:t>als finale bzw. konsekutive Negation (</w:t>
      </w:r>
      <w:r w:rsidRPr="009B1EBB">
        <w:rPr>
          <w:rFonts w:eastAsia="Times New Roman"/>
          <w:b/>
          <w:bCs/>
          <w:rtl/>
          <w:lang w:eastAsia="de-DE"/>
        </w:rPr>
        <w:t>פֶּן</w:t>
      </w:r>
      <w:r w:rsidRPr="009B1EBB">
        <w:rPr>
          <w:rFonts w:eastAsia="Times New Roman"/>
          <w:lang w:eastAsia="de-DE"/>
        </w:rPr>
        <w:t xml:space="preserve">, „damit nicht, dass nicht", mit Qal Imperfekt, 2. Person Singular maskulin von </w:t>
      </w:r>
      <w:r w:rsidRPr="009B1EBB">
        <w:rPr>
          <w:rFonts w:eastAsia="Times New Roman"/>
          <w:b/>
          <w:bCs/>
          <w:rtl/>
          <w:lang w:eastAsia="de-DE"/>
        </w:rPr>
        <w:t>שׁכח</w:t>
      </w:r>
      <w:r w:rsidRPr="009B1EBB">
        <w:rPr>
          <w:rFonts w:eastAsia="Times New Roman"/>
          <w:lang w:eastAsia="de-DE"/>
        </w:rPr>
        <w:t xml:space="preserve">, „vergessen"), </w:t>
      </w:r>
      <w:r w:rsidRPr="009B1EBB">
        <w:rPr>
          <w:rFonts w:eastAsia="Times New Roman"/>
          <w:b/>
          <w:bCs/>
          <w:rtl/>
          <w:lang w:eastAsia="de-DE"/>
        </w:rPr>
        <w:t>אֶת־יְהוָה אֱלֹהֶיךָ</w:t>
      </w:r>
      <w:r w:rsidRPr="009B1EBB">
        <w:rPr>
          <w:rFonts w:eastAsia="Times New Roman"/>
          <w:rtl/>
          <w:lang w:eastAsia="de-DE"/>
        </w:rPr>
        <w:t xml:space="preserve"> </w:t>
      </w:r>
      <w:r w:rsidRPr="009B1EBB">
        <w:rPr>
          <w:rFonts w:eastAsia="Times New Roman"/>
          <w:lang w:eastAsia="de-DE"/>
        </w:rPr>
        <w:t>als direktes Objekt (erweiterte Gottesbezeichnung).</w:t>
      </w:r>
    </w:p>
    <w:p w14:paraId="5ABE51F5"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rtl/>
          <w:lang w:eastAsia="de-DE"/>
        </w:rPr>
        <w:t>לְבִלְתִּי שְׁמֹר מִצְוֹתָיו וּמִשְׁפָּטָיו וְחֻקֹּתָיו</w:t>
      </w:r>
      <w:r w:rsidRPr="009B1EBB">
        <w:rPr>
          <w:rFonts w:eastAsia="Times New Roman"/>
          <w:rtl/>
          <w:lang w:eastAsia="de-DE"/>
        </w:rPr>
        <w:t xml:space="preserve"> </w:t>
      </w:r>
      <w:r w:rsidRPr="009B1EBB">
        <w:rPr>
          <w:rFonts w:eastAsia="Times New Roman"/>
          <w:lang w:eastAsia="de-DE"/>
        </w:rPr>
        <w:t xml:space="preserve">ist eine modale bzw. gerundiale Infinitivkonstruktion: </w:t>
      </w:r>
      <w:r w:rsidRPr="009B1EBB">
        <w:rPr>
          <w:rFonts w:eastAsia="Times New Roman"/>
          <w:b/>
          <w:bCs/>
          <w:rtl/>
          <w:lang w:eastAsia="de-DE"/>
        </w:rPr>
        <w:t>לְבִלְתִּי</w:t>
      </w:r>
      <w:r w:rsidRPr="009B1EBB">
        <w:rPr>
          <w:rFonts w:eastAsia="Times New Roman"/>
          <w:rtl/>
          <w:lang w:eastAsia="de-DE"/>
        </w:rPr>
        <w:t xml:space="preserve"> </w:t>
      </w:r>
      <w:r w:rsidRPr="009B1EBB">
        <w:rPr>
          <w:rFonts w:eastAsia="Times New Roman"/>
          <w:lang w:eastAsia="de-DE"/>
        </w:rPr>
        <w:t xml:space="preserve">(„indem nicht, dadurch dass nicht" – Negation mit </w:t>
      </w:r>
      <w:r w:rsidRPr="009B1EBB">
        <w:rPr>
          <w:rFonts w:eastAsia="Times New Roman"/>
          <w:b/>
          <w:bCs/>
          <w:rtl/>
          <w:lang w:eastAsia="de-DE"/>
        </w:rPr>
        <w:t>לְ</w:t>
      </w:r>
      <w:r w:rsidRPr="009B1EBB">
        <w:rPr>
          <w:rFonts w:eastAsia="Times New Roman"/>
          <w:lang w:eastAsia="de-DE"/>
        </w:rPr>
        <w:t xml:space="preserve">), </w:t>
      </w:r>
      <w:r w:rsidRPr="009B1EBB">
        <w:rPr>
          <w:rFonts w:eastAsia="Times New Roman"/>
          <w:b/>
          <w:bCs/>
          <w:rtl/>
          <w:lang w:eastAsia="de-DE"/>
        </w:rPr>
        <w:t>שְׁמֹר</w:t>
      </w:r>
      <w:r w:rsidRPr="009B1EBB">
        <w:rPr>
          <w:rFonts w:eastAsia="Times New Roman"/>
          <w:rtl/>
          <w:lang w:eastAsia="de-DE"/>
        </w:rPr>
        <w:t xml:space="preserve"> </w:t>
      </w:r>
      <w:r w:rsidRPr="009B1EBB">
        <w:rPr>
          <w:rFonts w:eastAsia="Times New Roman"/>
          <w:lang w:eastAsia="de-DE"/>
        </w:rPr>
        <w:t xml:space="preserve">als Qal Infinitiv Construct von </w:t>
      </w:r>
      <w:r w:rsidRPr="009B1EBB">
        <w:rPr>
          <w:rFonts w:eastAsia="Times New Roman"/>
          <w:b/>
          <w:bCs/>
          <w:rtl/>
          <w:lang w:eastAsia="de-DE"/>
        </w:rPr>
        <w:t>שׁמר</w:t>
      </w:r>
      <w:r w:rsidRPr="009B1EBB">
        <w:rPr>
          <w:rFonts w:eastAsia="Times New Roman"/>
          <w:lang w:eastAsia="de-DE"/>
        </w:rPr>
        <w:t xml:space="preserve">, „halten, bewahren", </w:t>
      </w:r>
      <w:r w:rsidRPr="009B1EBB">
        <w:rPr>
          <w:rFonts w:eastAsia="Times New Roman"/>
          <w:b/>
          <w:bCs/>
          <w:rtl/>
          <w:lang w:eastAsia="de-DE"/>
        </w:rPr>
        <w:t>מִצְוֹתָיו וּמִשְׁפָּטָיו וְחֻקֹּתָיו</w:t>
      </w:r>
      <w:r w:rsidRPr="009B1EBB">
        <w:rPr>
          <w:rFonts w:eastAsia="Times New Roman"/>
          <w:rtl/>
          <w:lang w:eastAsia="de-DE"/>
        </w:rPr>
        <w:t xml:space="preserve"> </w:t>
      </w:r>
      <w:r w:rsidRPr="009B1EBB">
        <w:rPr>
          <w:rFonts w:eastAsia="Times New Roman"/>
          <w:lang w:eastAsia="de-DE"/>
        </w:rPr>
        <w:t>als dreigliedrige koordinierte Objektkette (</w:t>
      </w:r>
      <w:r w:rsidRPr="009B1EBB">
        <w:rPr>
          <w:rFonts w:eastAsia="Times New Roman"/>
          <w:b/>
          <w:bCs/>
          <w:rtl/>
          <w:lang w:eastAsia="de-DE"/>
        </w:rPr>
        <w:t>מִצְוָה</w:t>
      </w:r>
      <w:r w:rsidRPr="009B1EBB">
        <w:rPr>
          <w:rFonts w:eastAsia="Times New Roman"/>
          <w:lang w:eastAsia="de-DE"/>
        </w:rPr>
        <w:t xml:space="preserve">, Plural, </w:t>
      </w:r>
      <w:r w:rsidRPr="009B1EBB">
        <w:rPr>
          <w:rFonts w:eastAsia="Times New Roman"/>
          <w:b/>
          <w:bCs/>
          <w:rtl/>
          <w:lang w:eastAsia="de-DE"/>
        </w:rPr>
        <w:t>מִשְׁפָּט</w:t>
      </w:r>
      <w:r w:rsidRPr="009B1EBB">
        <w:rPr>
          <w:rFonts w:eastAsia="Times New Roman"/>
          <w:lang w:eastAsia="de-DE"/>
        </w:rPr>
        <w:t xml:space="preserve">, Plural, und </w:t>
      </w:r>
      <w:r w:rsidRPr="009B1EBB">
        <w:rPr>
          <w:rFonts w:eastAsia="Times New Roman"/>
          <w:b/>
          <w:bCs/>
          <w:rtl/>
          <w:lang w:eastAsia="de-DE"/>
        </w:rPr>
        <w:t>חֻקָּה</w:t>
      </w:r>
      <w:r w:rsidRPr="009B1EBB">
        <w:rPr>
          <w:rFonts w:eastAsia="Times New Roman"/>
          <w:lang w:eastAsia="de-DE"/>
        </w:rPr>
        <w:t>, Plural – alle mit Suffix 3. Person Singular maskulin).</w:t>
      </w:r>
    </w:p>
    <w:p w14:paraId="525B0782"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rtl/>
          <w:lang w:eastAsia="de-DE"/>
        </w:rPr>
        <w:t>אֲשֶׁר אָנֹכִי מְצַוְּךָ הַיּוֹם</w:t>
      </w:r>
      <w:r w:rsidRPr="009B1EBB">
        <w:rPr>
          <w:rFonts w:eastAsia="Times New Roman"/>
          <w:rtl/>
          <w:lang w:eastAsia="de-DE"/>
        </w:rPr>
        <w:t xml:space="preserve"> </w:t>
      </w:r>
      <w:r w:rsidRPr="009B1EBB">
        <w:rPr>
          <w:rFonts w:eastAsia="Times New Roman"/>
          <w:lang w:eastAsia="de-DE"/>
        </w:rPr>
        <w:t xml:space="preserve">ist ein Relativsatz: </w:t>
      </w:r>
      <w:r w:rsidRPr="009B1EBB">
        <w:rPr>
          <w:rFonts w:eastAsia="Times New Roman"/>
          <w:b/>
          <w:bCs/>
          <w:rtl/>
          <w:lang w:eastAsia="de-DE"/>
        </w:rPr>
        <w:t>אֲשֶׁר</w:t>
      </w:r>
      <w:r w:rsidRPr="009B1EBB">
        <w:rPr>
          <w:rFonts w:eastAsia="Times New Roman"/>
          <w:rtl/>
          <w:lang w:eastAsia="de-DE"/>
        </w:rPr>
        <w:t xml:space="preserve"> </w:t>
      </w:r>
      <w:r w:rsidRPr="009B1EBB">
        <w:rPr>
          <w:rFonts w:eastAsia="Times New Roman"/>
          <w:lang w:eastAsia="de-DE"/>
        </w:rPr>
        <w:t xml:space="preserve">als Relativpronomen, </w:t>
      </w:r>
      <w:r w:rsidRPr="009B1EBB">
        <w:rPr>
          <w:rFonts w:eastAsia="Times New Roman"/>
          <w:b/>
          <w:bCs/>
          <w:rtl/>
          <w:lang w:eastAsia="de-DE"/>
        </w:rPr>
        <w:t>אָנֹכִי</w:t>
      </w:r>
      <w:r w:rsidRPr="009B1EBB">
        <w:rPr>
          <w:rFonts w:eastAsia="Times New Roman"/>
          <w:rtl/>
          <w:lang w:eastAsia="de-DE"/>
        </w:rPr>
        <w:t xml:space="preserve"> </w:t>
      </w:r>
      <w:r w:rsidRPr="009B1EBB">
        <w:rPr>
          <w:rFonts w:eastAsia="Times New Roman"/>
          <w:lang w:eastAsia="de-DE"/>
        </w:rPr>
        <w:t xml:space="preserve">als emphatisches Personalpronomen, </w:t>
      </w:r>
      <w:r w:rsidRPr="009B1EBB">
        <w:rPr>
          <w:rFonts w:eastAsia="Times New Roman"/>
          <w:b/>
          <w:bCs/>
          <w:rtl/>
          <w:lang w:eastAsia="de-DE"/>
        </w:rPr>
        <w:t>מְצַוְּךָ</w:t>
      </w:r>
      <w:r w:rsidRPr="009B1EBB">
        <w:rPr>
          <w:rFonts w:eastAsia="Times New Roman"/>
          <w:rtl/>
          <w:lang w:eastAsia="de-DE"/>
        </w:rPr>
        <w:t xml:space="preserve"> </w:t>
      </w:r>
      <w:r w:rsidRPr="009B1EBB">
        <w:rPr>
          <w:rFonts w:eastAsia="Times New Roman"/>
          <w:lang w:eastAsia="de-DE"/>
        </w:rPr>
        <w:t xml:space="preserve">als Piel Partizip Singular maskulin von </w:t>
      </w:r>
      <w:r w:rsidRPr="009B1EBB">
        <w:rPr>
          <w:rFonts w:eastAsia="Times New Roman"/>
          <w:b/>
          <w:bCs/>
          <w:rtl/>
          <w:lang w:eastAsia="de-DE"/>
        </w:rPr>
        <w:t>צוה</w:t>
      </w:r>
      <w:r w:rsidRPr="009B1EBB">
        <w:rPr>
          <w:rFonts w:eastAsia="Times New Roman"/>
          <w:lang w:eastAsia="de-DE"/>
        </w:rPr>
        <w:t xml:space="preserve">, „befehlen", mit Suffix 2. Person Singular maskulin, </w:t>
      </w:r>
      <w:r w:rsidRPr="009B1EBB">
        <w:rPr>
          <w:rFonts w:eastAsia="Times New Roman"/>
          <w:b/>
          <w:bCs/>
          <w:rtl/>
          <w:lang w:eastAsia="de-DE"/>
        </w:rPr>
        <w:t>הַיּוֹם</w:t>
      </w:r>
      <w:r w:rsidRPr="009B1EBB">
        <w:rPr>
          <w:rFonts w:eastAsia="Times New Roman"/>
          <w:rtl/>
          <w:lang w:eastAsia="de-DE"/>
        </w:rPr>
        <w:t xml:space="preserve"> </w:t>
      </w:r>
      <w:r w:rsidRPr="009B1EBB">
        <w:rPr>
          <w:rFonts w:eastAsia="Times New Roman"/>
          <w:lang w:eastAsia="de-DE"/>
        </w:rPr>
        <w:t>als temporales Adverb.</w:t>
      </w:r>
    </w:p>
    <w:p w14:paraId="093BE876"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t xml:space="preserve">Der Vers leitet eine große Warnpassage ein (V. 11-20), die vor dem Vergessen Gottes im Wohlstand warnt. Die Konstruktion </w:t>
      </w:r>
      <w:r w:rsidRPr="009B1EBB">
        <w:rPr>
          <w:rFonts w:eastAsia="Times New Roman"/>
          <w:b/>
          <w:bCs/>
          <w:rtl/>
          <w:lang w:eastAsia="de-DE"/>
        </w:rPr>
        <w:t>הִשָּׁמֶר... פֶּן</w:t>
      </w:r>
      <w:r w:rsidRPr="009B1EBB">
        <w:rPr>
          <w:rFonts w:eastAsia="Times New Roman"/>
          <w:rtl/>
          <w:lang w:eastAsia="de-DE"/>
        </w:rPr>
        <w:t xml:space="preserve"> </w:t>
      </w:r>
      <w:r w:rsidRPr="009B1EBB">
        <w:rPr>
          <w:rFonts w:eastAsia="Times New Roman"/>
          <w:lang w:eastAsia="de-DE"/>
        </w:rPr>
        <w:t>(„hüte dich... damit nicht") ist eine typisch deuteronomische Warnformel (vgl. 4,9.23; 6,12; 11,16; 12,13.19.30; 15,9). Das Vergessen Gottes wird konkretisiert als Vernachlässigung seiner Gebote – Vergessen ist nicht nur kognitiv, sondern praktisch. Die dreigliedrige Terminologie (</w:t>
      </w:r>
      <w:r w:rsidRPr="009B1EBB">
        <w:rPr>
          <w:rFonts w:eastAsia="Times New Roman"/>
          <w:b/>
          <w:bCs/>
          <w:rtl/>
          <w:lang w:eastAsia="de-DE"/>
        </w:rPr>
        <w:t>מִצְוֹת</w:t>
      </w:r>
      <w:r w:rsidRPr="009B1EBB">
        <w:rPr>
          <w:rFonts w:eastAsia="Times New Roman"/>
          <w:rtl/>
          <w:lang w:eastAsia="de-DE"/>
        </w:rPr>
        <w:t xml:space="preserve"> </w:t>
      </w:r>
      <w:r w:rsidRPr="009B1EBB">
        <w:rPr>
          <w:rFonts w:eastAsia="Times New Roman"/>
          <w:lang w:eastAsia="de-DE"/>
        </w:rPr>
        <w:t xml:space="preserve">– </w:t>
      </w:r>
      <w:r w:rsidRPr="009B1EBB">
        <w:rPr>
          <w:rFonts w:eastAsia="Times New Roman"/>
          <w:b/>
          <w:bCs/>
          <w:rtl/>
          <w:lang w:eastAsia="de-DE"/>
        </w:rPr>
        <w:t>מִשְׁפָּטִים</w:t>
      </w:r>
      <w:r w:rsidRPr="009B1EBB">
        <w:rPr>
          <w:rFonts w:eastAsia="Times New Roman"/>
          <w:rtl/>
          <w:lang w:eastAsia="de-DE"/>
        </w:rPr>
        <w:t xml:space="preserve"> </w:t>
      </w:r>
      <w:r w:rsidRPr="009B1EBB">
        <w:rPr>
          <w:rFonts w:eastAsia="Times New Roman"/>
          <w:lang w:eastAsia="de-DE"/>
        </w:rPr>
        <w:t xml:space="preserve">– </w:t>
      </w:r>
      <w:r w:rsidRPr="009B1EBB">
        <w:rPr>
          <w:rFonts w:eastAsia="Times New Roman"/>
          <w:b/>
          <w:bCs/>
          <w:rtl/>
          <w:lang w:eastAsia="de-DE"/>
        </w:rPr>
        <w:t>חֻקֹּת</w:t>
      </w:r>
      <w:r w:rsidRPr="009B1EBB">
        <w:rPr>
          <w:rFonts w:eastAsia="Times New Roman"/>
          <w:lang w:eastAsia="de-DE"/>
        </w:rPr>
        <w:t>) umfasst das gesamte Gesetzeskorpus.</w:t>
      </w:r>
    </w:p>
    <w:p w14:paraId="0AC15AFB"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t xml:space="preserve">Die Satzstruktur ist eine Warnung mit Nifal Imperativ, ethischem Dativ, </w:t>
      </w:r>
      <w:r w:rsidRPr="009B1EBB">
        <w:rPr>
          <w:rFonts w:eastAsia="Times New Roman"/>
          <w:b/>
          <w:bCs/>
          <w:rtl/>
          <w:lang w:eastAsia="de-DE"/>
        </w:rPr>
        <w:t>פֶּן</w:t>
      </w:r>
      <w:r w:rsidRPr="009B1EBB">
        <w:rPr>
          <w:rFonts w:eastAsia="Times New Roman"/>
          <w:lang w:eastAsia="de-DE"/>
        </w:rPr>
        <w:t>-Konstruktion (mit Prädikat und direktem Objekt), gerundialer Infinitivkonstruktion mit Negation (mit Infinitiv und dreigliedriger koordinierter Objektkette mit Suffix) und Relativsatz (mit emphatischem Pronomen, partizipialem Prädikat mit Suffix und temporalem Adverb). Die Struktur warnt eindringlich vor dem Vergessen im Wohlstand.</w:t>
      </w:r>
    </w:p>
    <w:p w14:paraId="36CBFAA5"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t>Der Vers warnt: Hüte dich, JHWH nicht zu vergessen, indem du seine Gebote, Rechtsvorschriften und Satzungen vernachlässigst – die zentrale Warnung vor dem Vergessen im Wohlstand.</w:t>
      </w:r>
    </w:p>
    <w:p w14:paraId="4A5B4CE7" w14:textId="77777777" w:rsidR="009B1EBB" w:rsidRPr="009B1EBB" w:rsidRDefault="009B1EBB" w:rsidP="009B1EBB">
      <w:pPr>
        <w:spacing w:before="100" w:beforeAutospacing="1" w:after="100" w:afterAutospacing="1" w:line="240" w:lineRule="auto"/>
        <w:outlineLvl w:val="1"/>
        <w:rPr>
          <w:rFonts w:eastAsia="Times New Roman"/>
          <w:b/>
          <w:bCs/>
          <w:sz w:val="36"/>
          <w:szCs w:val="36"/>
          <w:lang w:eastAsia="de-DE"/>
        </w:rPr>
      </w:pPr>
      <w:r w:rsidRPr="009B1EBB">
        <w:rPr>
          <w:rFonts w:eastAsia="Times New Roman"/>
          <w:b/>
          <w:bCs/>
          <w:sz w:val="36"/>
          <w:szCs w:val="36"/>
          <w:lang w:eastAsia="de-DE"/>
        </w:rPr>
        <w:t>Deuteronomium 8,12</w:t>
      </w:r>
    </w:p>
    <w:p w14:paraId="2BA22644"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Hebräisch:</w:t>
      </w:r>
      <w:r w:rsidRPr="009B1EBB">
        <w:rPr>
          <w:rFonts w:eastAsia="Times New Roman"/>
          <w:lang w:eastAsia="de-DE"/>
        </w:rPr>
        <w:t xml:space="preserve"> </w:t>
      </w:r>
      <w:r w:rsidRPr="009B1EBB">
        <w:rPr>
          <w:rFonts w:eastAsia="Times New Roman"/>
          <w:rtl/>
          <w:lang w:eastAsia="de-DE"/>
        </w:rPr>
        <w:t>פֶּן־תֹּאכַל וְשָׂבָעְתָּ וּבָתִּים טוֹבִים תִּבְנֶה וְיָשָׁבְתָּ׃</w:t>
      </w:r>
    </w:p>
    <w:p w14:paraId="06A2CB35"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Deutsch:</w:t>
      </w:r>
      <w:r w:rsidRPr="009B1EBB">
        <w:rPr>
          <w:rFonts w:eastAsia="Times New Roman"/>
          <w:lang w:eastAsia="de-DE"/>
        </w:rPr>
        <w:t xml:space="preserve"> Damit nicht, wenn du isst und satt wirst und schöne Häuser baust und bewohnst,</w:t>
      </w:r>
    </w:p>
    <w:p w14:paraId="2E5A7530" w14:textId="77777777" w:rsidR="009B1EBB" w:rsidRPr="009B1EBB" w:rsidRDefault="004F5CEB" w:rsidP="009B1EBB">
      <w:pPr>
        <w:spacing w:after="0" w:line="240" w:lineRule="auto"/>
        <w:rPr>
          <w:rFonts w:eastAsia="Times New Roman"/>
          <w:lang w:eastAsia="de-DE"/>
        </w:rPr>
      </w:pPr>
      <w:r>
        <w:rPr>
          <w:rFonts w:eastAsia="Times New Roman"/>
          <w:noProof/>
          <w:lang w:eastAsia="de-DE"/>
        </w:rPr>
        <w:pict w14:anchorId="18C8676E">
          <v:rect id="_x0000_i1281" style="width:0;height:1.5pt" o:hralign="center" o:hrstd="t" o:hr="t" fillcolor="#a0a0a0" stroked="f"/>
        </w:pict>
      </w:r>
    </w:p>
    <w:p w14:paraId="5F4E9079"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Kommentar:</w:t>
      </w:r>
      <w:r w:rsidRPr="009B1EBB">
        <w:rPr>
          <w:rFonts w:eastAsia="Times New Roman"/>
          <w:lang w:eastAsia="de-DE"/>
        </w:rPr>
        <w:t xml:space="preserve"> </w:t>
      </w:r>
      <w:r w:rsidRPr="009B1EBB">
        <w:rPr>
          <w:rFonts w:eastAsia="Times New Roman"/>
          <w:b/>
          <w:bCs/>
          <w:rtl/>
          <w:lang w:eastAsia="de-DE"/>
        </w:rPr>
        <w:t>פֶּן־תֹּאכַל וְשָׂבָעְתָּ</w:t>
      </w:r>
      <w:r w:rsidRPr="009B1EBB">
        <w:rPr>
          <w:rFonts w:eastAsia="Times New Roman"/>
          <w:rtl/>
          <w:lang w:eastAsia="de-DE"/>
        </w:rPr>
        <w:t xml:space="preserve"> </w:t>
      </w:r>
      <w:r w:rsidRPr="009B1EBB">
        <w:rPr>
          <w:rFonts w:eastAsia="Times New Roman"/>
          <w:lang w:eastAsia="de-DE"/>
        </w:rPr>
        <w:t xml:space="preserve">ist eine finale negative Konstruktion mit koordiniertem Verb: </w:t>
      </w:r>
      <w:r w:rsidRPr="009B1EBB">
        <w:rPr>
          <w:rFonts w:eastAsia="Times New Roman"/>
          <w:b/>
          <w:bCs/>
          <w:rtl/>
          <w:lang w:eastAsia="de-DE"/>
        </w:rPr>
        <w:t>פֶּן</w:t>
      </w:r>
      <w:r w:rsidRPr="009B1EBB">
        <w:rPr>
          <w:rFonts w:eastAsia="Times New Roman"/>
          <w:rtl/>
          <w:lang w:eastAsia="de-DE"/>
        </w:rPr>
        <w:t xml:space="preserve"> </w:t>
      </w:r>
      <w:r w:rsidRPr="009B1EBB">
        <w:rPr>
          <w:rFonts w:eastAsia="Times New Roman"/>
          <w:lang w:eastAsia="de-DE"/>
        </w:rPr>
        <w:t xml:space="preserve">(„damit nicht"), </w:t>
      </w:r>
      <w:r w:rsidRPr="009B1EBB">
        <w:rPr>
          <w:rFonts w:eastAsia="Times New Roman"/>
          <w:b/>
          <w:bCs/>
          <w:rtl/>
          <w:lang w:eastAsia="de-DE"/>
        </w:rPr>
        <w:t>תֹּאכַל</w:t>
      </w:r>
      <w:r w:rsidRPr="009B1EBB">
        <w:rPr>
          <w:rFonts w:eastAsia="Times New Roman"/>
          <w:rtl/>
          <w:lang w:eastAsia="de-DE"/>
        </w:rPr>
        <w:t xml:space="preserve"> </w:t>
      </w:r>
      <w:r w:rsidRPr="009B1EBB">
        <w:rPr>
          <w:rFonts w:eastAsia="Times New Roman"/>
          <w:lang w:eastAsia="de-DE"/>
        </w:rPr>
        <w:t xml:space="preserve">als Qal Imperfekt, 2. Person Singular maskulin von </w:t>
      </w:r>
      <w:r w:rsidRPr="009B1EBB">
        <w:rPr>
          <w:rFonts w:eastAsia="Times New Roman"/>
          <w:b/>
          <w:bCs/>
          <w:rtl/>
          <w:lang w:eastAsia="de-DE"/>
        </w:rPr>
        <w:t>אכל</w:t>
      </w:r>
      <w:r w:rsidRPr="009B1EBB">
        <w:rPr>
          <w:rFonts w:eastAsia="Times New Roman"/>
          <w:lang w:eastAsia="de-DE"/>
        </w:rPr>
        <w:t xml:space="preserve">, „essen", </w:t>
      </w:r>
      <w:r w:rsidRPr="009B1EBB">
        <w:rPr>
          <w:rFonts w:eastAsia="Times New Roman"/>
          <w:b/>
          <w:bCs/>
          <w:rtl/>
          <w:lang w:eastAsia="de-DE"/>
        </w:rPr>
        <w:t>וְשָׂבָעְתָּ</w:t>
      </w:r>
      <w:r w:rsidRPr="009B1EBB">
        <w:rPr>
          <w:rFonts w:eastAsia="Times New Roman"/>
          <w:rtl/>
          <w:lang w:eastAsia="de-DE"/>
        </w:rPr>
        <w:t xml:space="preserve"> </w:t>
      </w:r>
      <w:r w:rsidRPr="009B1EBB">
        <w:rPr>
          <w:rFonts w:eastAsia="Times New Roman"/>
          <w:lang w:eastAsia="de-DE"/>
        </w:rPr>
        <w:lastRenderedPageBreak/>
        <w:t xml:space="preserve">koordiniert (Qal Perfekt consecutivum, 2. Person Singular maskulin von </w:t>
      </w:r>
      <w:r w:rsidRPr="009B1EBB">
        <w:rPr>
          <w:rFonts w:eastAsia="Times New Roman"/>
          <w:b/>
          <w:bCs/>
          <w:rtl/>
          <w:lang w:eastAsia="de-DE"/>
        </w:rPr>
        <w:t>שׂבע</w:t>
      </w:r>
      <w:r w:rsidRPr="009B1EBB">
        <w:rPr>
          <w:rFonts w:eastAsia="Times New Roman"/>
          <w:lang w:eastAsia="de-DE"/>
        </w:rPr>
        <w:t xml:space="preserve">, „satt werden", mit </w:t>
      </w:r>
      <w:r w:rsidRPr="009B1EBB">
        <w:rPr>
          <w:rFonts w:eastAsia="Times New Roman"/>
          <w:b/>
          <w:bCs/>
          <w:rtl/>
          <w:lang w:eastAsia="de-DE"/>
        </w:rPr>
        <w:t>וְ</w:t>
      </w:r>
      <w:r w:rsidRPr="009B1EBB">
        <w:rPr>
          <w:rFonts w:eastAsia="Times New Roman"/>
          <w:lang w:eastAsia="de-DE"/>
        </w:rPr>
        <w:t>).</w:t>
      </w:r>
    </w:p>
    <w:p w14:paraId="64094A38"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rtl/>
          <w:lang w:eastAsia="de-DE"/>
        </w:rPr>
        <w:t>וּבָתִּים טוֹבִים תִּבְנֶה וְיָשָׁבְתָּ</w:t>
      </w:r>
      <w:r w:rsidRPr="009B1EBB">
        <w:rPr>
          <w:rFonts w:eastAsia="Times New Roman"/>
          <w:rtl/>
          <w:lang w:eastAsia="de-DE"/>
        </w:rPr>
        <w:t xml:space="preserve"> </w:t>
      </w:r>
      <w:r w:rsidRPr="009B1EBB">
        <w:rPr>
          <w:rFonts w:eastAsia="Times New Roman"/>
          <w:lang w:eastAsia="de-DE"/>
        </w:rPr>
        <w:t xml:space="preserve">ist eine weitere koordinierte Konstruktion: </w:t>
      </w:r>
      <w:r w:rsidRPr="009B1EBB">
        <w:rPr>
          <w:rFonts w:eastAsia="Times New Roman"/>
          <w:b/>
          <w:bCs/>
          <w:rtl/>
          <w:lang w:eastAsia="de-DE"/>
        </w:rPr>
        <w:t>וּבָתִּים טוֹבִים תִּבְנֶה</w:t>
      </w:r>
      <w:r w:rsidRPr="009B1EBB">
        <w:rPr>
          <w:rFonts w:eastAsia="Times New Roman"/>
          <w:rtl/>
          <w:lang w:eastAsia="de-DE"/>
        </w:rPr>
        <w:t xml:space="preserve"> </w:t>
      </w:r>
      <w:r w:rsidRPr="009B1EBB">
        <w:rPr>
          <w:rFonts w:eastAsia="Times New Roman"/>
          <w:lang w:eastAsia="de-DE"/>
        </w:rPr>
        <w:t>(</w:t>
      </w:r>
      <w:r w:rsidRPr="009B1EBB">
        <w:rPr>
          <w:rFonts w:eastAsia="Times New Roman"/>
          <w:b/>
          <w:bCs/>
          <w:rtl/>
          <w:lang w:eastAsia="de-DE"/>
        </w:rPr>
        <w:t>וְ</w:t>
      </w:r>
      <w:r w:rsidRPr="009B1EBB">
        <w:rPr>
          <w:rFonts w:eastAsia="Times New Roman"/>
          <w:rtl/>
          <w:lang w:eastAsia="de-DE"/>
        </w:rPr>
        <w:t xml:space="preserve"> </w:t>
      </w:r>
      <w:r w:rsidRPr="009B1EBB">
        <w:rPr>
          <w:rFonts w:eastAsia="Times New Roman"/>
          <w:lang w:eastAsia="de-DE"/>
        </w:rPr>
        <w:t xml:space="preserve">mit </w:t>
      </w:r>
      <w:r w:rsidRPr="009B1EBB">
        <w:rPr>
          <w:rFonts w:eastAsia="Times New Roman"/>
          <w:b/>
          <w:bCs/>
          <w:rtl/>
          <w:lang w:eastAsia="de-DE"/>
        </w:rPr>
        <w:t>בַּיִת</w:t>
      </w:r>
      <w:r w:rsidRPr="009B1EBB">
        <w:rPr>
          <w:rFonts w:eastAsia="Times New Roman"/>
          <w:lang w:eastAsia="de-DE"/>
        </w:rPr>
        <w:t xml:space="preserve">, Plural, und Adjektiv </w:t>
      </w:r>
      <w:r w:rsidRPr="009B1EBB">
        <w:rPr>
          <w:rFonts w:eastAsia="Times New Roman"/>
          <w:b/>
          <w:bCs/>
          <w:rtl/>
          <w:lang w:eastAsia="de-DE"/>
        </w:rPr>
        <w:t>טוֹבִים</w:t>
      </w:r>
      <w:r w:rsidRPr="009B1EBB">
        <w:rPr>
          <w:rFonts w:eastAsia="Times New Roman"/>
          <w:lang w:eastAsia="de-DE"/>
        </w:rPr>
        <w:t xml:space="preserve">, „gut, schön", als vorausgestelltem direktem Objekt, </w:t>
      </w:r>
      <w:r w:rsidRPr="009B1EBB">
        <w:rPr>
          <w:rFonts w:eastAsia="Times New Roman"/>
          <w:b/>
          <w:bCs/>
          <w:rtl/>
          <w:lang w:eastAsia="de-DE"/>
        </w:rPr>
        <w:t>תִּבְנֶה</w:t>
      </w:r>
      <w:r w:rsidRPr="009B1EBB">
        <w:rPr>
          <w:rFonts w:eastAsia="Times New Roman"/>
          <w:rtl/>
          <w:lang w:eastAsia="de-DE"/>
        </w:rPr>
        <w:t xml:space="preserve"> </w:t>
      </w:r>
      <w:r w:rsidRPr="009B1EBB">
        <w:rPr>
          <w:rFonts w:eastAsia="Times New Roman"/>
          <w:lang w:eastAsia="de-DE"/>
        </w:rPr>
        <w:t xml:space="preserve">als Qal Imperfekt, 2. Person Singular maskulin von </w:t>
      </w:r>
      <w:r w:rsidRPr="009B1EBB">
        <w:rPr>
          <w:rFonts w:eastAsia="Times New Roman"/>
          <w:b/>
          <w:bCs/>
          <w:rtl/>
          <w:lang w:eastAsia="de-DE"/>
        </w:rPr>
        <w:t>בנה</w:t>
      </w:r>
      <w:r w:rsidRPr="009B1EBB">
        <w:rPr>
          <w:rFonts w:eastAsia="Times New Roman"/>
          <w:lang w:eastAsia="de-DE"/>
        </w:rPr>
        <w:t xml:space="preserve">, „bauen"), </w:t>
      </w:r>
      <w:r w:rsidRPr="009B1EBB">
        <w:rPr>
          <w:rFonts w:eastAsia="Times New Roman"/>
          <w:b/>
          <w:bCs/>
          <w:rtl/>
          <w:lang w:eastAsia="de-DE"/>
        </w:rPr>
        <w:t>וְיָשָׁבְתָּ</w:t>
      </w:r>
      <w:r w:rsidRPr="009B1EBB">
        <w:rPr>
          <w:rFonts w:eastAsia="Times New Roman"/>
          <w:rtl/>
          <w:lang w:eastAsia="de-DE"/>
        </w:rPr>
        <w:t xml:space="preserve"> </w:t>
      </w:r>
      <w:r w:rsidRPr="009B1EBB">
        <w:rPr>
          <w:rFonts w:eastAsia="Times New Roman"/>
          <w:lang w:eastAsia="de-DE"/>
        </w:rPr>
        <w:t xml:space="preserve">koordiniert (Qal Perfekt consecutivum, 2. Person Singular maskulin von </w:t>
      </w:r>
      <w:r w:rsidRPr="009B1EBB">
        <w:rPr>
          <w:rFonts w:eastAsia="Times New Roman"/>
          <w:b/>
          <w:bCs/>
          <w:rtl/>
          <w:lang w:eastAsia="de-DE"/>
        </w:rPr>
        <w:t>ישׁב</w:t>
      </w:r>
      <w:r w:rsidRPr="009B1EBB">
        <w:rPr>
          <w:rFonts w:eastAsia="Times New Roman"/>
          <w:lang w:eastAsia="de-DE"/>
        </w:rPr>
        <w:t xml:space="preserve">, „wohnen, bewohnen", mit </w:t>
      </w:r>
      <w:r w:rsidRPr="009B1EBB">
        <w:rPr>
          <w:rFonts w:eastAsia="Times New Roman"/>
          <w:b/>
          <w:bCs/>
          <w:rtl/>
          <w:lang w:eastAsia="de-DE"/>
        </w:rPr>
        <w:t>וְ</w:t>
      </w:r>
      <w:r w:rsidRPr="009B1EBB">
        <w:rPr>
          <w:rFonts w:eastAsia="Times New Roman"/>
          <w:lang w:eastAsia="de-DE"/>
        </w:rPr>
        <w:t>).</w:t>
      </w:r>
    </w:p>
    <w:p w14:paraId="5371457F" w14:textId="6556B4FC"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t xml:space="preserve">Der Vers beginnt eine Aufzählung der Segnungen des Wohlstands (V. 12-13), die zur </w:t>
      </w:r>
      <w:r w:rsidR="00D84597">
        <w:rPr>
          <w:rFonts w:eastAsia="Times New Roman"/>
          <w:lang w:eastAsia="de-DE"/>
        </w:rPr>
        <w:t>Gefahr</w:t>
      </w:r>
      <w:r w:rsidRPr="009B1EBB">
        <w:rPr>
          <w:rFonts w:eastAsia="Times New Roman"/>
          <w:lang w:eastAsia="de-DE"/>
        </w:rPr>
        <w:t xml:space="preserve"> des Vergessens führen können. Die Formulierung </w:t>
      </w:r>
      <w:r w:rsidRPr="009B1EBB">
        <w:rPr>
          <w:rFonts w:eastAsia="Times New Roman"/>
          <w:b/>
          <w:bCs/>
          <w:rtl/>
          <w:lang w:eastAsia="de-DE"/>
        </w:rPr>
        <w:t>תֹּאכַל וְשָׂבָעְתָּ</w:t>
      </w:r>
      <w:r w:rsidRPr="009B1EBB">
        <w:rPr>
          <w:rFonts w:eastAsia="Times New Roman"/>
          <w:rtl/>
          <w:lang w:eastAsia="de-DE"/>
        </w:rPr>
        <w:t xml:space="preserve"> </w:t>
      </w:r>
      <w:r w:rsidRPr="009B1EBB">
        <w:rPr>
          <w:rFonts w:eastAsia="Times New Roman"/>
          <w:lang w:eastAsia="de-DE"/>
        </w:rPr>
        <w:t>wiederholt V. 10 und schafft einen Rahmen. Der Hausbau (</w:t>
      </w:r>
      <w:r w:rsidRPr="009B1EBB">
        <w:rPr>
          <w:rFonts w:eastAsia="Times New Roman"/>
          <w:b/>
          <w:bCs/>
          <w:rtl/>
          <w:lang w:eastAsia="de-DE"/>
        </w:rPr>
        <w:t>בָתִּים טוֹבִים</w:t>
      </w:r>
      <w:r w:rsidRPr="009B1EBB">
        <w:rPr>
          <w:rFonts w:eastAsia="Times New Roman"/>
          <w:lang w:eastAsia="de-DE"/>
        </w:rPr>
        <w:t>) ist Zeichen von Sesshaftigkeit und Wohlstand im Kontrast zur Nomadenwüstenzeit. Die Aufzählung ist noch nicht abgeschlossen – V. 12-13 bilden eine syntaktische Einheit, die erst in V. 14 zur Hauptaussage führt.</w:t>
      </w:r>
    </w:p>
    <w:p w14:paraId="51748253"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t>Die Satzstruktur ist eine finale negative Konstruktion mit Prädikat und koordiniertem Verb, gefolgt von einer weiteren koordinierten Konstruktion (mit vorausgestelltem direktem Objekt mit Adjektiv, Prädikat und koordiniertem Verb). Die Struktur beginnt die Aufzählung der Wohlstandszeichen.</w:t>
      </w:r>
    </w:p>
    <w:p w14:paraId="7DB8997E" w14:textId="63087F00"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t xml:space="preserve">Der Vers beginnt die Warnung: Damit nicht, wenn du isst und satt wirst, schöne Häuser baust und bewohnst... – der Anfang einer Aufzählung von Wohlstandszeichen, die zur </w:t>
      </w:r>
      <w:r w:rsidR="00D84597">
        <w:rPr>
          <w:rFonts w:eastAsia="Times New Roman"/>
          <w:lang w:eastAsia="de-DE"/>
        </w:rPr>
        <w:t>Gefahr</w:t>
      </w:r>
      <w:r w:rsidRPr="009B1EBB">
        <w:rPr>
          <w:rFonts w:eastAsia="Times New Roman"/>
          <w:lang w:eastAsia="de-DE"/>
        </w:rPr>
        <w:t xml:space="preserve"> werden können.</w:t>
      </w:r>
    </w:p>
    <w:p w14:paraId="2DE573D5" w14:textId="77777777" w:rsidR="009B1EBB" w:rsidRPr="009B1EBB" w:rsidRDefault="009B1EBB" w:rsidP="009B1EBB">
      <w:pPr>
        <w:spacing w:before="100" w:beforeAutospacing="1" w:after="100" w:afterAutospacing="1" w:line="240" w:lineRule="auto"/>
        <w:outlineLvl w:val="1"/>
        <w:rPr>
          <w:rFonts w:eastAsia="Times New Roman"/>
          <w:b/>
          <w:bCs/>
          <w:sz w:val="36"/>
          <w:szCs w:val="36"/>
          <w:lang w:eastAsia="de-DE"/>
        </w:rPr>
      </w:pPr>
      <w:r w:rsidRPr="009B1EBB">
        <w:rPr>
          <w:rFonts w:eastAsia="Times New Roman"/>
          <w:b/>
          <w:bCs/>
          <w:sz w:val="36"/>
          <w:szCs w:val="36"/>
          <w:lang w:eastAsia="de-DE"/>
        </w:rPr>
        <w:t>Deuteronomium 8,13</w:t>
      </w:r>
    </w:p>
    <w:p w14:paraId="56996BFF"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Hebräisch:</w:t>
      </w:r>
      <w:r w:rsidRPr="009B1EBB">
        <w:rPr>
          <w:rFonts w:eastAsia="Times New Roman"/>
          <w:lang w:eastAsia="de-DE"/>
        </w:rPr>
        <w:t xml:space="preserve"> </w:t>
      </w:r>
      <w:r w:rsidRPr="009B1EBB">
        <w:rPr>
          <w:rFonts w:eastAsia="Times New Roman"/>
          <w:rtl/>
          <w:lang w:eastAsia="de-DE"/>
        </w:rPr>
        <w:t>וּבְקָרְךָ וְצֹאנְךָ יִרְבְּיֻן וְכֶסֶף וְזָהָב יִרְבֶּה־לָּךְ וְכֹל אֲשֶׁר־לְךָ יִרְבֶּה׃</w:t>
      </w:r>
    </w:p>
    <w:p w14:paraId="56D109A0"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Deutsch:</w:t>
      </w:r>
      <w:r w:rsidRPr="009B1EBB">
        <w:rPr>
          <w:rFonts w:eastAsia="Times New Roman"/>
          <w:lang w:eastAsia="de-DE"/>
        </w:rPr>
        <w:t xml:space="preserve"> und deine Rinder und dein Kleinvieh sich mehren, und Silber und Gold sich dir mehren, und alles, was du hast, sich mehrt,</w:t>
      </w:r>
    </w:p>
    <w:p w14:paraId="2C6B1FDC" w14:textId="77777777" w:rsidR="009B1EBB" w:rsidRPr="009B1EBB" w:rsidRDefault="004F5CEB" w:rsidP="009B1EBB">
      <w:pPr>
        <w:spacing w:after="0" w:line="240" w:lineRule="auto"/>
        <w:rPr>
          <w:rFonts w:eastAsia="Times New Roman"/>
          <w:lang w:eastAsia="de-DE"/>
        </w:rPr>
      </w:pPr>
      <w:r>
        <w:rPr>
          <w:rFonts w:eastAsia="Times New Roman"/>
          <w:noProof/>
          <w:lang w:eastAsia="de-DE"/>
        </w:rPr>
        <w:pict w14:anchorId="5B3494AA">
          <v:rect id="_x0000_i1282" style="width:0;height:1.5pt" o:hralign="center" o:hrstd="t" o:hr="t" fillcolor="#a0a0a0" stroked="f"/>
        </w:pict>
      </w:r>
    </w:p>
    <w:p w14:paraId="24B20182"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Kommentar:</w:t>
      </w:r>
      <w:r w:rsidRPr="009B1EBB">
        <w:rPr>
          <w:rFonts w:eastAsia="Times New Roman"/>
          <w:lang w:eastAsia="de-DE"/>
        </w:rPr>
        <w:t xml:space="preserve"> </w:t>
      </w:r>
      <w:r w:rsidRPr="009B1EBB">
        <w:rPr>
          <w:rFonts w:eastAsia="Times New Roman"/>
          <w:b/>
          <w:bCs/>
          <w:rtl/>
          <w:lang w:eastAsia="de-DE"/>
        </w:rPr>
        <w:t>וּבְקָרְךָ וְצֹאנְךָ יִרְבְּיֻן</w:t>
      </w:r>
      <w:r w:rsidRPr="009B1EBB">
        <w:rPr>
          <w:rFonts w:eastAsia="Times New Roman"/>
          <w:rtl/>
          <w:lang w:eastAsia="de-DE"/>
        </w:rPr>
        <w:t xml:space="preserve"> </w:t>
      </w:r>
      <w:r w:rsidRPr="009B1EBB">
        <w:rPr>
          <w:rFonts w:eastAsia="Times New Roman"/>
          <w:lang w:eastAsia="de-DE"/>
        </w:rPr>
        <w:t xml:space="preserve">ist eine koordinierte Fortsetzung: </w:t>
      </w:r>
      <w:r w:rsidRPr="009B1EBB">
        <w:rPr>
          <w:rFonts w:eastAsia="Times New Roman"/>
          <w:b/>
          <w:bCs/>
          <w:rtl/>
          <w:lang w:eastAsia="de-DE"/>
        </w:rPr>
        <w:t>וּבְקָרְךָ וְצֹאנְךָ</w:t>
      </w:r>
      <w:r w:rsidRPr="009B1EBB">
        <w:rPr>
          <w:rFonts w:eastAsia="Times New Roman"/>
          <w:rtl/>
          <w:lang w:eastAsia="de-DE"/>
        </w:rPr>
        <w:t xml:space="preserve"> </w:t>
      </w:r>
      <w:r w:rsidRPr="009B1EBB">
        <w:rPr>
          <w:rFonts w:eastAsia="Times New Roman"/>
          <w:lang w:eastAsia="de-DE"/>
        </w:rPr>
        <w:t>als zweigliedrige koordinierte Subjektaufzählung (</w:t>
      </w:r>
      <w:r w:rsidRPr="009B1EBB">
        <w:rPr>
          <w:rFonts w:eastAsia="Times New Roman"/>
          <w:b/>
          <w:bCs/>
          <w:rtl/>
          <w:lang w:eastAsia="de-DE"/>
        </w:rPr>
        <w:t>וְ</w:t>
      </w:r>
      <w:r w:rsidRPr="009B1EBB">
        <w:rPr>
          <w:rFonts w:eastAsia="Times New Roman"/>
          <w:rtl/>
          <w:lang w:eastAsia="de-DE"/>
        </w:rPr>
        <w:t xml:space="preserve"> </w:t>
      </w:r>
      <w:r w:rsidRPr="009B1EBB">
        <w:rPr>
          <w:rFonts w:eastAsia="Times New Roman"/>
          <w:lang w:eastAsia="de-DE"/>
        </w:rPr>
        <w:t xml:space="preserve">mit </w:t>
      </w:r>
      <w:r w:rsidRPr="009B1EBB">
        <w:rPr>
          <w:rFonts w:eastAsia="Times New Roman"/>
          <w:b/>
          <w:bCs/>
          <w:rtl/>
          <w:lang w:eastAsia="de-DE"/>
        </w:rPr>
        <w:t>בָּקָר</w:t>
      </w:r>
      <w:r w:rsidRPr="009B1EBB">
        <w:rPr>
          <w:rFonts w:eastAsia="Times New Roman"/>
          <w:lang w:eastAsia="de-DE"/>
        </w:rPr>
        <w:t xml:space="preserve">, „Rinder, Großvieh", und Suffix 2. Person Singular maskulin, koordiniert mit </w:t>
      </w:r>
      <w:r w:rsidRPr="009B1EBB">
        <w:rPr>
          <w:rFonts w:eastAsia="Times New Roman"/>
          <w:b/>
          <w:bCs/>
          <w:rtl/>
          <w:lang w:eastAsia="de-DE"/>
        </w:rPr>
        <w:t>צֹאן</w:t>
      </w:r>
      <w:r w:rsidRPr="009B1EBB">
        <w:rPr>
          <w:rFonts w:eastAsia="Times New Roman"/>
          <w:lang w:eastAsia="de-DE"/>
        </w:rPr>
        <w:t xml:space="preserve">, „Kleinvieh, Schafe und Ziegen", und Suffix), </w:t>
      </w:r>
      <w:r w:rsidRPr="009B1EBB">
        <w:rPr>
          <w:rFonts w:eastAsia="Times New Roman"/>
          <w:b/>
          <w:bCs/>
          <w:rtl/>
          <w:lang w:eastAsia="de-DE"/>
        </w:rPr>
        <w:t>יִרְבְּיֻן</w:t>
      </w:r>
      <w:r w:rsidRPr="009B1EBB">
        <w:rPr>
          <w:rFonts w:eastAsia="Times New Roman"/>
          <w:rtl/>
          <w:lang w:eastAsia="de-DE"/>
        </w:rPr>
        <w:t xml:space="preserve"> </w:t>
      </w:r>
      <w:r w:rsidRPr="009B1EBB">
        <w:rPr>
          <w:rFonts w:eastAsia="Times New Roman"/>
          <w:lang w:eastAsia="de-DE"/>
        </w:rPr>
        <w:t xml:space="preserve">als Qal Imperfekt, 3. Person Plural von </w:t>
      </w:r>
      <w:r w:rsidRPr="009B1EBB">
        <w:rPr>
          <w:rFonts w:eastAsia="Times New Roman"/>
          <w:b/>
          <w:bCs/>
          <w:rtl/>
          <w:lang w:eastAsia="de-DE"/>
        </w:rPr>
        <w:t>רבה</w:t>
      </w:r>
      <w:r w:rsidRPr="009B1EBB">
        <w:rPr>
          <w:rFonts w:eastAsia="Times New Roman"/>
          <w:lang w:eastAsia="de-DE"/>
        </w:rPr>
        <w:t>, „sich mehren, zahlreich werden", mit paragogischem Nun.</w:t>
      </w:r>
    </w:p>
    <w:p w14:paraId="5BF08FBF" w14:textId="259A921F"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rtl/>
          <w:lang w:eastAsia="de-DE"/>
        </w:rPr>
        <w:t>וְכֶסֶף וְזָהָב יִרְבֶּה־לָּךְ</w:t>
      </w:r>
      <w:r w:rsidRPr="009B1EBB">
        <w:rPr>
          <w:rFonts w:eastAsia="Times New Roman"/>
          <w:rtl/>
          <w:lang w:eastAsia="de-DE"/>
        </w:rPr>
        <w:t xml:space="preserve"> </w:t>
      </w:r>
      <w:r w:rsidRPr="009B1EBB">
        <w:rPr>
          <w:rFonts w:eastAsia="Times New Roman"/>
          <w:lang w:eastAsia="de-DE"/>
        </w:rPr>
        <w:t xml:space="preserve">ist koordiniert: </w:t>
      </w:r>
      <w:r w:rsidRPr="009B1EBB">
        <w:rPr>
          <w:rFonts w:eastAsia="Times New Roman"/>
          <w:b/>
          <w:bCs/>
          <w:rtl/>
          <w:lang w:eastAsia="de-DE"/>
        </w:rPr>
        <w:t>וְכֶסֶף וְזָהָב</w:t>
      </w:r>
      <w:r w:rsidRPr="009B1EBB">
        <w:rPr>
          <w:rFonts w:eastAsia="Times New Roman"/>
          <w:rtl/>
          <w:lang w:eastAsia="de-DE"/>
        </w:rPr>
        <w:t xml:space="preserve"> </w:t>
      </w:r>
      <w:r w:rsidRPr="009B1EBB">
        <w:rPr>
          <w:rFonts w:eastAsia="Times New Roman"/>
          <w:lang w:eastAsia="de-DE"/>
        </w:rPr>
        <w:t xml:space="preserve">als zweigliedrige koordinierte Subjektaufzählung, </w:t>
      </w:r>
      <w:r w:rsidRPr="009B1EBB">
        <w:rPr>
          <w:rFonts w:eastAsia="Times New Roman"/>
          <w:b/>
          <w:bCs/>
          <w:rtl/>
          <w:lang w:eastAsia="de-DE"/>
        </w:rPr>
        <w:t>יִרְבֶּה</w:t>
      </w:r>
      <w:r w:rsidRPr="009B1EBB">
        <w:rPr>
          <w:rFonts w:eastAsia="Times New Roman"/>
          <w:rtl/>
          <w:lang w:eastAsia="de-DE"/>
        </w:rPr>
        <w:t xml:space="preserve"> </w:t>
      </w:r>
      <w:r w:rsidRPr="009B1EBB">
        <w:rPr>
          <w:rFonts w:eastAsia="Times New Roman"/>
          <w:lang w:eastAsia="de-DE"/>
        </w:rPr>
        <w:t xml:space="preserve">als Qal Imperfekt, 3. Person Singular maskulin von </w:t>
      </w:r>
      <w:r w:rsidRPr="009B1EBB">
        <w:rPr>
          <w:rFonts w:eastAsia="Times New Roman"/>
          <w:b/>
          <w:bCs/>
          <w:rtl/>
          <w:lang w:eastAsia="de-DE"/>
        </w:rPr>
        <w:t>רבה</w:t>
      </w:r>
      <w:r w:rsidRPr="009B1EBB">
        <w:rPr>
          <w:rFonts w:eastAsia="Times New Roman"/>
          <w:rtl/>
          <w:lang w:eastAsia="de-DE"/>
        </w:rPr>
        <w:t xml:space="preserve"> </w:t>
      </w:r>
      <w:r w:rsidRPr="009B1EBB">
        <w:rPr>
          <w:rFonts w:eastAsia="Times New Roman"/>
          <w:lang w:eastAsia="de-DE"/>
        </w:rPr>
        <w:t xml:space="preserve">– hier Singular trotz Plural-Subjekt, da </w:t>
      </w:r>
      <w:r w:rsidRPr="009B1EBB">
        <w:rPr>
          <w:rFonts w:eastAsia="Times New Roman"/>
          <w:b/>
          <w:bCs/>
          <w:rtl/>
          <w:lang w:eastAsia="de-DE"/>
        </w:rPr>
        <w:t>כֶּסֶף וְזָהָב</w:t>
      </w:r>
      <w:r w:rsidRPr="009B1EBB">
        <w:rPr>
          <w:rFonts w:eastAsia="Times New Roman"/>
          <w:rtl/>
          <w:lang w:eastAsia="de-DE"/>
        </w:rPr>
        <w:t xml:space="preserve"> </w:t>
      </w:r>
      <w:r w:rsidRPr="009B1EBB">
        <w:rPr>
          <w:rFonts w:eastAsia="Times New Roman"/>
          <w:lang w:eastAsia="de-DE"/>
        </w:rPr>
        <w:t>als Einheit verstanden wird</w:t>
      </w:r>
      <w:r w:rsidR="004736F4">
        <w:rPr>
          <w:rFonts w:eastAsia="Times New Roman"/>
          <w:lang w:eastAsia="de-DE"/>
        </w:rPr>
        <w:t xml:space="preserve">. </w:t>
      </w:r>
      <w:r w:rsidR="004736F4">
        <w:t>Bei koordinierten Substantiven, die als Einheit verstanden werden, kann das Verb im Singular stehen.</w:t>
      </w:r>
      <w:r w:rsidRPr="009B1EBB">
        <w:rPr>
          <w:rFonts w:eastAsia="Times New Roman"/>
          <w:lang w:eastAsia="de-DE"/>
        </w:rPr>
        <w:t xml:space="preserve"> </w:t>
      </w:r>
      <w:r w:rsidRPr="009B1EBB">
        <w:rPr>
          <w:rFonts w:eastAsia="Times New Roman"/>
          <w:b/>
          <w:bCs/>
          <w:rtl/>
          <w:lang w:eastAsia="de-DE"/>
        </w:rPr>
        <w:t>לָּךְ</w:t>
      </w:r>
      <w:r w:rsidRPr="009B1EBB">
        <w:rPr>
          <w:rFonts w:eastAsia="Times New Roman"/>
          <w:rtl/>
          <w:lang w:eastAsia="de-DE"/>
        </w:rPr>
        <w:t xml:space="preserve"> </w:t>
      </w:r>
      <w:r w:rsidRPr="009B1EBB">
        <w:rPr>
          <w:rFonts w:eastAsia="Times New Roman"/>
          <w:lang w:eastAsia="de-DE"/>
        </w:rPr>
        <w:t xml:space="preserve">als Dativ mit </w:t>
      </w:r>
      <w:r w:rsidR="00D84597">
        <w:rPr>
          <w:rFonts w:eastAsia="Times New Roman"/>
          <w:lang w:eastAsia="de-DE"/>
        </w:rPr>
        <w:t>Maqqef</w:t>
      </w:r>
      <w:r w:rsidRPr="009B1EBB">
        <w:rPr>
          <w:rFonts w:eastAsia="Times New Roman"/>
          <w:lang w:eastAsia="de-DE"/>
        </w:rPr>
        <w:t xml:space="preserve"> („dir, für dich").</w:t>
      </w:r>
    </w:p>
    <w:p w14:paraId="36C78314"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rtl/>
          <w:lang w:eastAsia="de-DE"/>
        </w:rPr>
        <w:t>וְכֹל אֲשֶׁר־לְךָ יִרְבֶּה</w:t>
      </w:r>
      <w:r w:rsidRPr="009B1EBB">
        <w:rPr>
          <w:rFonts w:eastAsia="Times New Roman"/>
          <w:rtl/>
          <w:lang w:eastAsia="de-DE"/>
        </w:rPr>
        <w:t xml:space="preserve"> </w:t>
      </w:r>
      <w:r w:rsidRPr="009B1EBB">
        <w:rPr>
          <w:rFonts w:eastAsia="Times New Roman"/>
          <w:lang w:eastAsia="de-DE"/>
        </w:rPr>
        <w:t xml:space="preserve">ist die zusammenfassende Aussage: </w:t>
      </w:r>
      <w:r w:rsidRPr="009B1EBB">
        <w:rPr>
          <w:rFonts w:eastAsia="Times New Roman"/>
          <w:b/>
          <w:bCs/>
          <w:rtl/>
          <w:lang w:eastAsia="de-DE"/>
        </w:rPr>
        <w:t>וְכֹל אֲשֶׁר־לְךָ</w:t>
      </w:r>
      <w:r w:rsidRPr="009B1EBB">
        <w:rPr>
          <w:rFonts w:eastAsia="Times New Roman"/>
          <w:rtl/>
          <w:lang w:eastAsia="de-DE"/>
        </w:rPr>
        <w:t xml:space="preserve"> </w:t>
      </w:r>
      <w:r w:rsidRPr="009B1EBB">
        <w:rPr>
          <w:rFonts w:eastAsia="Times New Roman"/>
          <w:lang w:eastAsia="de-DE"/>
        </w:rPr>
        <w:t>als Subjekt (</w:t>
      </w:r>
      <w:r w:rsidRPr="009B1EBB">
        <w:rPr>
          <w:rFonts w:eastAsia="Times New Roman"/>
          <w:b/>
          <w:bCs/>
          <w:rtl/>
          <w:lang w:eastAsia="de-DE"/>
        </w:rPr>
        <w:t>וְ</w:t>
      </w:r>
      <w:r w:rsidRPr="009B1EBB">
        <w:rPr>
          <w:rFonts w:eastAsia="Times New Roman"/>
          <w:rtl/>
          <w:lang w:eastAsia="de-DE"/>
        </w:rPr>
        <w:t xml:space="preserve"> </w:t>
      </w:r>
      <w:r w:rsidRPr="009B1EBB">
        <w:rPr>
          <w:rFonts w:eastAsia="Times New Roman"/>
          <w:lang w:eastAsia="de-DE"/>
        </w:rPr>
        <w:t xml:space="preserve">mit </w:t>
      </w:r>
      <w:r w:rsidRPr="009B1EBB">
        <w:rPr>
          <w:rFonts w:eastAsia="Times New Roman"/>
          <w:b/>
          <w:bCs/>
          <w:rtl/>
          <w:lang w:eastAsia="de-DE"/>
        </w:rPr>
        <w:t>כֹּל</w:t>
      </w:r>
      <w:r w:rsidRPr="009B1EBB">
        <w:rPr>
          <w:rFonts w:eastAsia="Times New Roman"/>
          <w:rtl/>
          <w:lang w:eastAsia="de-DE"/>
        </w:rPr>
        <w:t xml:space="preserve"> </w:t>
      </w:r>
      <w:r w:rsidRPr="009B1EBB">
        <w:rPr>
          <w:rFonts w:eastAsia="Times New Roman"/>
          <w:lang w:eastAsia="de-DE"/>
        </w:rPr>
        <w:t xml:space="preserve">und Relativsatz: </w:t>
      </w:r>
      <w:r w:rsidRPr="009B1EBB">
        <w:rPr>
          <w:rFonts w:eastAsia="Times New Roman"/>
          <w:b/>
          <w:bCs/>
          <w:rtl/>
          <w:lang w:eastAsia="de-DE"/>
        </w:rPr>
        <w:t>אֲשֶׁר</w:t>
      </w:r>
      <w:r w:rsidRPr="009B1EBB">
        <w:rPr>
          <w:rFonts w:eastAsia="Times New Roman"/>
          <w:rtl/>
          <w:lang w:eastAsia="de-DE"/>
        </w:rPr>
        <w:t xml:space="preserve"> </w:t>
      </w:r>
      <w:r w:rsidRPr="009B1EBB">
        <w:rPr>
          <w:rFonts w:eastAsia="Times New Roman"/>
          <w:lang w:eastAsia="de-DE"/>
        </w:rPr>
        <w:t xml:space="preserve">mit </w:t>
      </w:r>
      <w:r w:rsidRPr="009B1EBB">
        <w:rPr>
          <w:rFonts w:eastAsia="Times New Roman"/>
          <w:b/>
          <w:bCs/>
          <w:rtl/>
          <w:lang w:eastAsia="de-DE"/>
        </w:rPr>
        <w:t>לְךָ</w:t>
      </w:r>
      <w:r w:rsidRPr="009B1EBB">
        <w:rPr>
          <w:rFonts w:eastAsia="Times New Roman"/>
          <w:rtl/>
          <w:lang w:eastAsia="de-DE"/>
        </w:rPr>
        <w:t xml:space="preserve"> </w:t>
      </w:r>
      <w:r w:rsidRPr="009B1EBB">
        <w:rPr>
          <w:rFonts w:eastAsia="Times New Roman"/>
          <w:lang w:eastAsia="de-DE"/>
        </w:rPr>
        <w:t xml:space="preserve">– „alles, was dir [gehört]"), </w:t>
      </w:r>
      <w:r w:rsidRPr="009B1EBB">
        <w:rPr>
          <w:rFonts w:eastAsia="Times New Roman"/>
          <w:b/>
          <w:bCs/>
          <w:rtl/>
          <w:lang w:eastAsia="de-DE"/>
        </w:rPr>
        <w:t>יִרְבֶּה</w:t>
      </w:r>
      <w:r w:rsidRPr="009B1EBB">
        <w:rPr>
          <w:rFonts w:eastAsia="Times New Roman"/>
          <w:rtl/>
          <w:lang w:eastAsia="de-DE"/>
        </w:rPr>
        <w:t xml:space="preserve"> </w:t>
      </w:r>
      <w:r w:rsidRPr="009B1EBB">
        <w:rPr>
          <w:rFonts w:eastAsia="Times New Roman"/>
          <w:lang w:eastAsia="de-DE"/>
        </w:rPr>
        <w:t xml:space="preserve">als Qal Imperfekt, 3. Person Singular maskulin von </w:t>
      </w:r>
      <w:r w:rsidRPr="009B1EBB">
        <w:rPr>
          <w:rFonts w:eastAsia="Times New Roman"/>
          <w:b/>
          <w:bCs/>
          <w:rtl/>
          <w:lang w:eastAsia="de-DE"/>
        </w:rPr>
        <w:t>רבה</w:t>
      </w:r>
      <w:r w:rsidRPr="009B1EBB">
        <w:rPr>
          <w:rFonts w:eastAsia="Times New Roman"/>
          <w:lang w:eastAsia="de-DE"/>
        </w:rPr>
        <w:t>.</w:t>
      </w:r>
    </w:p>
    <w:p w14:paraId="1EFC774D"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lastRenderedPageBreak/>
        <w:t xml:space="preserve">Der Vers setzt die Aufzählung der Wohlstandszeichen fort: Viehreichtum (Rinder und Kleinvieh), Edelmetallreichtum (Silber und Gold) und schließlich zusammenfassend: alles mehrt sich. Die dreifache Wiederholung von </w:t>
      </w:r>
      <w:r w:rsidRPr="009B1EBB">
        <w:rPr>
          <w:rFonts w:eastAsia="Times New Roman"/>
          <w:b/>
          <w:bCs/>
          <w:rtl/>
          <w:lang w:eastAsia="de-DE"/>
        </w:rPr>
        <w:t>רבה</w:t>
      </w:r>
      <w:r w:rsidRPr="009B1EBB">
        <w:rPr>
          <w:rFonts w:eastAsia="Times New Roman"/>
          <w:rtl/>
          <w:lang w:eastAsia="de-DE"/>
        </w:rPr>
        <w:t xml:space="preserve"> </w:t>
      </w:r>
      <w:r w:rsidRPr="009B1EBB">
        <w:rPr>
          <w:rFonts w:eastAsia="Times New Roman"/>
          <w:lang w:eastAsia="de-DE"/>
        </w:rPr>
        <w:t xml:space="preserve">(„sich mehren") unterstreicht das Wachstum und den Überfluss. Die Aufzählung umfasst verschiedene Bereiche des Reichtums: Immobilien (V. 12), Vieh (V. 13a), Edelmetalle (V. 13b), alles (V. 13c). Das paragogische Nun an </w:t>
      </w:r>
      <w:r w:rsidRPr="009B1EBB">
        <w:rPr>
          <w:rFonts w:eastAsia="Times New Roman"/>
          <w:b/>
          <w:bCs/>
          <w:rtl/>
          <w:lang w:eastAsia="de-DE"/>
        </w:rPr>
        <w:t>יִרְבְּיֻן</w:t>
      </w:r>
      <w:r w:rsidRPr="009B1EBB">
        <w:rPr>
          <w:rFonts w:eastAsia="Times New Roman"/>
          <w:rtl/>
          <w:lang w:eastAsia="de-DE"/>
        </w:rPr>
        <w:t xml:space="preserve"> </w:t>
      </w:r>
      <w:r w:rsidRPr="009B1EBB">
        <w:rPr>
          <w:rFonts w:eastAsia="Times New Roman"/>
          <w:lang w:eastAsia="de-DE"/>
        </w:rPr>
        <w:t>verleiht Nachdruck.</w:t>
      </w:r>
    </w:p>
    <w:p w14:paraId="0E593694"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t>Die Satzstruktur ist eine koordinierte Fortsetzung mit zweigliedriger koordinierter Subjektaufzählung und Prädikat mit paragogischem Nun, gefolgt von einer weiteren koordinierten Konstruktion (mit zweigliedriger koordinierter Subjektaufzählung, Prädikat im Singular und Dativ) und einer zusammenfassenden Aussage (mit Subjekt als Relativsatzkonstruktion und Prädikat). Die dreifache Wiederholung des Verbs unterstreicht die umfassende Mehrung.</w:t>
      </w:r>
    </w:p>
    <w:p w14:paraId="0F8F9799"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t>Der Vers setzt die Aufzählung fort: Vieh mehrt sich, Silber und Gold mehren sich, alles, was du hast, mehrt sich – totaler Wohlstand und Überfluss.</w:t>
      </w:r>
    </w:p>
    <w:p w14:paraId="12B7752B" w14:textId="77777777" w:rsidR="009B1EBB" w:rsidRPr="009B1EBB" w:rsidRDefault="009B1EBB" w:rsidP="009B1EBB">
      <w:pPr>
        <w:spacing w:before="100" w:beforeAutospacing="1" w:after="100" w:afterAutospacing="1" w:line="240" w:lineRule="auto"/>
        <w:outlineLvl w:val="1"/>
        <w:rPr>
          <w:rFonts w:eastAsia="Times New Roman"/>
          <w:b/>
          <w:bCs/>
          <w:sz w:val="36"/>
          <w:szCs w:val="36"/>
          <w:lang w:eastAsia="de-DE"/>
        </w:rPr>
      </w:pPr>
      <w:r w:rsidRPr="009B1EBB">
        <w:rPr>
          <w:rFonts w:eastAsia="Times New Roman"/>
          <w:b/>
          <w:bCs/>
          <w:sz w:val="36"/>
          <w:szCs w:val="36"/>
          <w:lang w:eastAsia="de-DE"/>
        </w:rPr>
        <w:t>Deuteronomium 8,14</w:t>
      </w:r>
    </w:p>
    <w:p w14:paraId="2316A905"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Hebräisch:</w:t>
      </w:r>
      <w:r w:rsidRPr="009B1EBB">
        <w:rPr>
          <w:rFonts w:eastAsia="Times New Roman"/>
          <w:lang w:eastAsia="de-DE"/>
        </w:rPr>
        <w:t xml:space="preserve"> </w:t>
      </w:r>
      <w:r w:rsidRPr="009B1EBB">
        <w:rPr>
          <w:rFonts w:eastAsia="Times New Roman"/>
          <w:rtl/>
          <w:lang w:eastAsia="de-DE"/>
        </w:rPr>
        <w:t>וְרָם לְבָבֶךָ וְשָׁכַחְתָּ אֶת־יְהוָה אֱלֹהֶיךָ הַמּוֹצִיאֲךָ מֵאֶרֶץ מִצְרַיִם מִבֵּית עֲבָדִים׃</w:t>
      </w:r>
    </w:p>
    <w:p w14:paraId="375EF9B6"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Deutsch:</w:t>
      </w:r>
      <w:r w:rsidRPr="009B1EBB">
        <w:rPr>
          <w:rFonts w:eastAsia="Times New Roman"/>
          <w:lang w:eastAsia="de-DE"/>
        </w:rPr>
        <w:t xml:space="preserve"> dein Herz sich erhebt und du den Ewigen, deinen Gott, vergisst, der dich aus dem Land Mizrajim, aus dem Haus der Knechtschaft, herausgeführt hat;</w:t>
      </w:r>
    </w:p>
    <w:p w14:paraId="519E8D3D" w14:textId="77777777" w:rsidR="009B1EBB" w:rsidRPr="009B1EBB" w:rsidRDefault="004F5CEB" w:rsidP="009B1EBB">
      <w:pPr>
        <w:spacing w:after="0" w:line="240" w:lineRule="auto"/>
        <w:rPr>
          <w:rFonts w:eastAsia="Times New Roman"/>
          <w:lang w:eastAsia="de-DE"/>
        </w:rPr>
      </w:pPr>
      <w:r>
        <w:rPr>
          <w:rFonts w:eastAsia="Times New Roman"/>
          <w:noProof/>
          <w:lang w:eastAsia="de-DE"/>
        </w:rPr>
        <w:pict w14:anchorId="0B383652">
          <v:rect id="_x0000_i1283" style="width:0;height:1.5pt" o:hralign="center" o:hrstd="t" o:hr="t" fillcolor="#a0a0a0" stroked="f"/>
        </w:pict>
      </w:r>
    </w:p>
    <w:p w14:paraId="4A9D39FF" w14:textId="7BD150E1"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Kommentar:</w:t>
      </w:r>
      <w:r w:rsidRPr="009B1EBB">
        <w:rPr>
          <w:rFonts w:eastAsia="Times New Roman"/>
          <w:lang w:eastAsia="de-DE"/>
        </w:rPr>
        <w:t xml:space="preserve"> </w:t>
      </w:r>
      <w:r w:rsidRPr="009B1EBB">
        <w:rPr>
          <w:rFonts w:eastAsia="Times New Roman"/>
          <w:b/>
          <w:bCs/>
          <w:rtl/>
          <w:lang w:eastAsia="de-DE"/>
        </w:rPr>
        <w:t>וְרָם לְבָבֶךָ</w:t>
      </w:r>
      <w:r w:rsidRPr="009B1EBB">
        <w:rPr>
          <w:rFonts w:eastAsia="Times New Roman"/>
          <w:rtl/>
          <w:lang w:eastAsia="de-DE"/>
        </w:rPr>
        <w:t xml:space="preserve"> </w:t>
      </w:r>
      <w:r w:rsidRPr="009B1EBB">
        <w:rPr>
          <w:rFonts w:eastAsia="Times New Roman"/>
          <w:lang w:eastAsia="de-DE"/>
        </w:rPr>
        <w:t xml:space="preserve">ist Qal Perfekt consecutivum, 3. Person Singular maskulin von </w:t>
      </w:r>
      <w:r w:rsidRPr="009B1EBB">
        <w:rPr>
          <w:rFonts w:eastAsia="Times New Roman"/>
          <w:b/>
          <w:bCs/>
          <w:rtl/>
          <w:lang w:eastAsia="de-DE"/>
        </w:rPr>
        <w:t>רום</w:t>
      </w:r>
      <w:r w:rsidRPr="009B1EBB">
        <w:rPr>
          <w:rFonts w:eastAsia="Times New Roman"/>
          <w:lang w:eastAsia="de-DE"/>
        </w:rPr>
        <w:t xml:space="preserve">, „hoch sein, sich erheben", mit </w:t>
      </w:r>
      <w:r w:rsidRPr="009B1EBB">
        <w:rPr>
          <w:rFonts w:eastAsia="Times New Roman"/>
          <w:b/>
          <w:bCs/>
          <w:rtl/>
          <w:lang w:eastAsia="de-DE"/>
        </w:rPr>
        <w:t>וְ</w:t>
      </w:r>
      <w:r w:rsidRPr="009B1EBB">
        <w:rPr>
          <w:rFonts w:eastAsia="Times New Roman"/>
          <w:lang w:eastAsia="de-DE"/>
        </w:rPr>
        <w:t xml:space="preserve">, </w:t>
      </w:r>
      <w:r w:rsidRPr="009B1EBB">
        <w:rPr>
          <w:rFonts w:eastAsia="Times New Roman"/>
          <w:b/>
          <w:bCs/>
          <w:rtl/>
          <w:lang w:eastAsia="de-DE"/>
        </w:rPr>
        <w:t>לְבָבֶךָ</w:t>
      </w:r>
      <w:r w:rsidRPr="009B1EBB">
        <w:rPr>
          <w:rFonts w:eastAsia="Times New Roman"/>
          <w:rtl/>
          <w:lang w:eastAsia="de-DE"/>
        </w:rPr>
        <w:t xml:space="preserve"> </w:t>
      </w:r>
      <w:r w:rsidRPr="009B1EBB">
        <w:rPr>
          <w:rFonts w:eastAsia="Times New Roman"/>
          <w:lang w:eastAsia="de-DE"/>
        </w:rPr>
        <w:t>als Subjekt (</w:t>
      </w:r>
      <w:r w:rsidRPr="009B1EBB">
        <w:rPr>
          <w:rFonts w:eastAsia="Times New Roman"/>
          <w:b/>
          <w:bCs/>
          <w:rtl/>
          <w:lang w:eastAsia="de-DE"/>
        </w:rPr>
        <w:t>לֵבָב</w:t>
      </w:r>
      <w:r w:rsidRPr="009B1EBB">
        <w:rPr>
          <w:rFonts w:eastAsia="Times New Roman"/>
          <w:lang w:eastAsia="de-DE"/>
        </w:rPr>
        <w:t xml:space="preserve">, „Herz", mit Suffix 2. Person Singular maskulin). Die Wendung </w:t>
      </w:r>
      <w:r w:rsidRPr="009B1EBB">
        <w:rPr>
          <w:rFonts w:eastAsia="Times New Roman"/>
          <w:b/>
          <w:bCs/>
          <w:rtl/>
          <w:lang w:eastAsia="de-DE"/>
        </w:rPr>
        <w:t>רום לֵבָב</w:t>
      </w:r>
      <w:r w:rsidRPr="009B1EBB">
        <w:rPr>
          <w:rFonts w:eastAsia="Times New Roman"/>
          <w:rtl/>
          <w:lang w:eastAsia="de-DE"/>
        </w:rPr>
        <w:t xml:space="preserve"> </w:t>
      </w:r>
      <w:r w:rsidRPr="009B1EBB">
        <w:rPr>
          <w:rFonts w:eastAsia="Times New Roman"/>
          <w:lang w:eastAsia="de-DE"/>
        </w:rPr>
        <w:t xml:space="preserve">(„das Herz erhebt sich") bedeutet „stolz werden, hochmütig werden" (vgl. 17,20; </w:t>
      </w:r>
      <w:r w:rsidR="00664EB6">
        <w:rPr>
          <w:rFonts w:eastAsia="Times New Roman"/>
          <w:lang w:eastAsia="de-DE"/>
        </w:rPr>
        <w:t>2Chr</w:t>
      </w:r>
      <w:r w:rsidRPr="009B1EBB">
        <w:rPr>
          <w:rFonts w:eastAsia="Times New Roman"/>
          <w:lang w:eastAsia="de-DE"/>
        </w:rPr>
        <w:t xml:space="preserve"> 26,16; 32,25; Ps 131,1; Spr 18,12; </w:t>
      </w:r>
      <w:r w:rsidR="00BF3748">
        <w:rPr>
          <w:rFonts w:eastAsia="Times New Roman"/>
          <w:lang w:eastAsia="de-DE"/>
        </w:rPr>
        <w:t>Hes</w:t>
      </w:r>
      <w:r w:rsidRPr="009B1EBB">
        <w:rPr>
          <w:rFonts w:eastAsia="Times New Roman"/>
          <w:lang w:eastAsia="de-DE"/>
        </w:rPr>
        <w:t xml:space="preserve"> 28,2.5.17).</w:t>
      </w:r>
    </w:p>
    <w:p w14:paraId="0CC6C781"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rtl/>
          <w:lang w:eastAsia="de-DE"/>
        </w:rPr>
        <w:t>וְשָׁכַחְתָּ אֶת־יְהוָה אֱלֹהֶיךָ</w:t>
      </w:r>
      <w:r w:rsidRPr="009B1EBB">
        <w:rPr>
          <w:rFonts w:eastAsia="Times New Roman"/>
          <w:rtl/>
          <w:lang w:eastAsia="de-DE"/>
        </w:rPr>
        <w:t xml:space="preserve"> </w:t>
      </w:r>
      <w:r w:rsidRPr="009B1EBB">
        <w:rPr>
          <w:rFonts w:eastAsia="Times New Roman"/>
          <w:lang w:eastAsia="de-DE"/>
        </w:rPr>
        <w:t xml:space="preserve">ist koordiniert: </w:t>
      </w:r>
      <w:r w:rsidRPr="009B1EBB">
        <w:rPr>
          <w:rFonts w:eastAsia="Times New Roman"/>
          <w:b/>
          <w:bCs/>
          <w:rtl/>
          <w:lang w:eastAsia="de-DE"/>
        </w:rPr>
        <w:t>וְשָׁכַחְתָּ</w:t>
      </w:r>
      <w:r w:rsidRPr="009B1EBB">
        <w:rPr>
          <w:rFonts w:eastAsia="Times New Roman"/>
          <w:rtl/>
          <w:lang w:eastAsia="de-DE"/>
        </w:rPr>
        <w:t xml:space="preserve"> </w:t>
      </w:r>
      <w:r w:rsidRPr="009B1EBB">
        <w:rPr>
          <w:rFonts w:eastAsia="Times New Roman"/>
          <w:lang w:eastAsia="de-DE"/>
        </w:rPr>
        <w:t xml:space="preserve">(Qal Perfekt consecutivum, 2. Person Singular maskulin von </w:t>
      </w:r>
      <w:r w:rsidRPr="009B1EBB">
        <w:rPr>
          <w:rFonts w:eastAsia="Times New Roman"/>
          <w:b/>
          <w:bCs/>
          <w:rtl/>
          <w:lang w:eastAsia="de-DE"/>
        </w:rPr>
        <w:t>שׁכח</w:t>
      </w:r>
      <w:r w:rsidRPr="009B1EBB">
        <w:rPr>
          <w:rFonts w:eastAsia="Times New Roman"/>
          <w:lang w:eastAsia="de-DE"/>
        </w:rPr>
        <w:t xml:space="preserve">, „vergessen", mit </w:t>
      </w:r>
      <w:r w:rsidRPr="009B1EBB">
        <w:rPr>
          <w:rFonts w:eastAsia="Times New Roman"/>
          <w:b/>
          <w:bCs/>
          <w:rtl/>
          <w:lang w:eastAsia="de-DE"/>
        </w:rPr>
        <w:t>וְ</w:t>
      </w:r>
      <w:r w:rsidRPr="009B1EBB">
        <w:rPr>
          <w:rFonts w:eastAsia="Times New Roman"/>
          <w:lang w:eastAsia="de-DE"/>
        </w:rPr>
        <w:t xml:space="preserve">), </w:t>
      </w:r>
      <w:r w:rsidRPr="009B1EBB">
        <w:rPr>
          <w:rFonts w:eastAsia="Times New Roman"/>
          <w:b/>
          <w:bCs/>
          <w:rtl/>
          <w:lang w:eastAsia="de-DE"/>
        </w:rPr>
        <w:t>אֶת־יְהוָה אֱלֹהֶיךָ</w:t>
      </w:r>
      <w:r w:rsidRPr="009B1EBB">
        <w:rPr>
          <w:rFonts w:eastAsia="Times New Roman"/>
          <w:rtl/>
          <w:lang w:eastAsia="de-DE"/>
        </w:rPr>
        <w:t xml:space="preserve"> </w:t>
      </w:r>
      <w:r w:rsidRPr="009B1EBB">
        <w:rPr>
          <w:rFonts w:eastAsia="Times New Roman"/>
          <w:lang w:eastAsia="de-DE"/>
        </w:rPr>
        <w:t>als direktes Objekt (erweiterte Gottesbezeichnung).</w:t>
      </w:r>
    </w:p>
    <w:p w14:paraId="40E04780"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rtl/>
          <w:lang w:eastAsia="de-DE"/>
        </w:rPr>
        <w:t>הַמּוֹצִיאֲךָ מֵאֶרֶץ מִצְרַיִם מִבֵּית עֲבָדִים</w:t>
      </w:r>
      <w:r w:rsidRPr="009B1EBB">
        <w:rPr>
          <w:rFonts w:eastAsia="Times New Roman"/>
          <w:rtl/>
          <w:lang w:eastAsia="de-DE"/>
        </w:rPr>
        <w:t xml:space="preserve"> </w:t>
      </w:r>
      <w:r w:rsidRPr="009B1EBB">
        <w:rPr>
          <w:rFonts w:eastAsia="Times New Roman"/>
          <w:lang w:eastAsia="de-DE"/>
        </w:rPr>
        <w:t xml:space="preserve">ist eine partizipiale Apposition: </w:t>
      </w:r>
      <w:r w:rsidRPr="009B1EBB">
        <w:rPr>
          <w:rFonts w:eastAsia="Times New Roman"/>
          <w:b/>
          <w:bCs/>
          <w:rtl/>
          <w:lang w:eastAsia="de-DE"/>
        </w:rPr>
        <w:t>הַמּוֹצִיאֲךָ</w:t>
      </w:r>
      <w:r w:rsidRPr="009B1EBB">
        <w:rPr>
          <w:rFonts w:eastAsia="Times New Roman"/>
          <w:rtl/>
          <w:lang w:eastAsia="de-DE"/>
        </w:rPr>
        <w:t xml:space="preserve"> </w:t>
      </w:r>
      <w:r w:rsidRPr="009B1EBB">
        <w:rPr>
          <w:rFonts w:eastAsia="Times New Roman"/>
          <w:lang w:eastAsia="de-DE"/>
        </w:rPr>
        <w:t xml:space="preserve">(Hifil Partizip Singular maskulin von </w:t>
      </w:r>
      <w:r w:rsidRPr="009B1EBB">
        <w:rPr>
          <w:rFonts w:eastAsia="Times New Roman"/>
          <w:b/>
          <w:bCs/>
          <w:rtl/>
          <w:lang w:eastAsia="de-DE"/>
        </w:rPr>
        <w:t>יצא</w:t>
      </w:r>
      <w:r w:rsidRPr="009B1EBB">
        <w:rPr>
          <w:rFonts w:eastAsia="Times New Roman"/>
          <w:lang w:eastAsia="de-DE"/>
        </w:rPr>
        <w:t xml:space="preserve">, „herausführen", mit Artikel und Suffix 2. Person Singular maskulin als direktes Objekt – „der dich herausführt/herausgeführt hat"), </w:t>
      </w:r>
      <w:r w:rsidRPr="009B1EBB">
        <w:rPr>
          <w:rFonts w:eastAsia="Times New Roman"/>
          <w:b/>
          <w:bCs/>
          <w:rtl/>
          <w:lang w:eastAsia="de-DE"/>
        </w:rPr>
        <w:t>מֵאֶרֶץ מִצְרַיִם מִבֵּית עֲבָדִים</w:t>
      </w:r>
      <w:r w:rsidRPr="009B1EBB">
        <w:rPr>
          <w:rFonts w:eastAsia="Times New Roman"/>
          <w:rtl/>
          <w:lang w:eastAsia="de-DE"/>
        </w:rPr>
        <w:t xml:space="preserve"> </w:t>
      </w:r>
      <w:r w:rsidRPr="009B1EBB">
        <w:rPr>
          <w:rFonts w:eastAsia="Times New Roman"/>
          <w:lang w:eastAsia="de-DE"/>
        </w:rPr>
        <w:t xml:space="preserve">als zweigliedrige Herkunftsangabe (beide mit </w:t>
      </w:r>
      <w:r w:rsidRPr="009B1EBB">
        <w:rPr>
          <w:rFonts w:eastAsia="Times New Roman"/>
          <w:b/>
          <w:bCs/>
          <w:rtl/>
          <w:lang w:eastAsia="de-DE"/>
        </w:rPr>
        <w:t>מִן</w:t>
      </w:r>
      <w:r w:rsidRPr="009B1EBB">
        <w:rPr>
          <w:rFonts w:eastAsia="Times New Roman"/>
          <w:lang w:eastAsia="de-DE"/>
        </w:rPr>
        <w:t xml:space="preserve">: die erste mit </w:t>
      </w:r>
      <w:r w:rsidRPr="009B1EBB">
        <w:rPr>
          <w:rFonts w:eastAsia="Times New Roman"/>
          <w:b/>
          <w:bCs/>
          <w:rtl/>
          <w:lang w:eastAsia="de-DE"/>
        </w:rPr>
        <w:t>אֶרֶץ מִצְרַיִם</w:t>
      </w:r>
      <w:r w:rsidRPr="009B1EBB">
        <w:rPr>
          <w:rFonts w:eastAsia="Times New Roman"/>
          <w:lang w:eastAsia="de-DE"/>
        </w:rPr>
        <w:t xml:space="preserve">, die zweite mit </w:t>
      </w:r>
      <w:r w:rsidRPr="009B1EBB">
        <w:rPr>
          <w:rFonts w:eastAsia="Times New Roman"/>
          <w:b/>
          <w:bCs/>
          <w:rtl/>
          <w:lang w:eastAsia="de-DE"/>
        </w:rPr>
        <w:t>בַּיִת</w:t>
      </w:r>
      <w:r w:rsidRPr="009B1EBB">
        <w:rPr>
          <w:rFonts w:eastAsia="Times New Roman"/>
          <w:rtl/>
          <w:lang w:eastAsia="de-DE"/>
        </w:rPr>
        <w:t xml:space="preserve"> </w:t>
      </w:r>
      <w:r w:rsidRPr="009B1EBB">
        <w:rPr>
          <w:rFonts w:eastAsia="Times New Roman"/>
          <w:lang w:eastAsia="de-DE"/>
        </w:rPr>
        <w:t xml:space="preserve">im Construct und </w:t>
      </w:r>
      <w:r w:rsidRPr="009B1EBB">
        <w:rPr>
          <w:rFonts w:eastAsia="Times New Roman"/>
          <w:b/>
          <w:bCs/>
          <w:rtl/>
          <w:lang w:eastAsia="de-DE"/>
        </w:rPr>
        <w:t>עֲבָדִים</w:t>
      </w:r>
      <w:r w:rsidRPr="009B1EBB">
        <w:rPr>
          <w:rFonts w:eastAsia="Times New Roman"/>
          <w:lang w:eastAsia="de-DE"/>
        </w:rPr>
        <w:t>, Plural – die klassische Exodusformel).</w:t>
      </w:r>
    </w:p>
    <w:p w14:paraId="7723D6B5"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t>Dies ist die Apodosis der in V. 12-13 begonnenen Warnung: Der Wohlstand führt zu Hochmut, der Hochmut zum Vergessen Gottes. Die Erinnerung an den Exodus (</w:t>
      </w:r>
      <w:r w:rsidRPr="009B1EBB">
        <w:rPr>
          <w:rFonts w:eastAsia="Times New Roman"/>
          <w:b/>
          <w:bCs/>
          <w:rtl/>
          <w:lang w:eastAsia="de-DE"/>
        </w:rPr>
        <w:t>הַמּוֹצִיאֲךָ מֵאֶרֶץ מִצְרַיִם מִבֵּית עֲבָדִים</w:t>
      </w:r>
      <w:r w:rsidRPr="009B1EBB">
        <w:rPr>
          <w:rFonts w:eastAsia="Times New Roman"/>
          <w:lang w:eastAsia="de-DE"/>
        </w:rPr>
        <w:t>) soll als Gegenmittel gegen das Vergessen dienen – wer sich an die Sklaverei erinnert, kann nicht hochmütig werden. Die Verbindung zwischen Hochmut und Vergessen ist psychologisch präzise: Wer sich selbst für den Urheber seines Erfolgs hält, vergisst den wahren Geber.</w:t>
      </w:r>
    </w:p>
    <w:p w14:paraId="17465457" w14:textId="23ACC58A"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lastRenderedPageBreak/>
        <w:t xml:space="preserve">Die Satzstruktur ist ein Perfekt consecutivum mit Subjekt, koordiniert mit einem weiteren Perfekt consecutivum mit direktem Objekt, erweitert durch eine partizipiale Apposition (mit Suffix-Objekt und zweigliedriger Herkunftsangabe). Die Struktur formuliert die </w:t>
      </w:r>
      <w:r w:rsidR="00D84597">
        <w:rPr>
          <w:rFonts w:eastAsia="Times New Roman"/>
          <w:lang w:eastAsia="de-DE"/>
        </w:rPr>
        <w:t>Gefahr</w:t>
      </w:r>
      <w:r w:rsidRPr="009B1EBB">
        <w:rPr>
          <w:rFonts w:eastAsia="Times New Roman"/>
          <w:lang w:eastAsia="de-DE"/>
        </w:rPr>
        <w:t>: Wohlstand → Hochmut → Vergessen Gottes.</w:t>
      </w:r>
    </w:p>
    <w:p w14:paraId="001E4D4C" w14:textId="7B0BFF6E"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t>Der Vers formuliert die Haupt</w:t>
      </w:r>
      <w:r w:rsidR="00D84597">
        <w:rPr>
          <w:rFonts w:eastAsia="Times New Roman"/>
          <w:lang w:eastAsia="de-DE"/>
        </w:rPr>
        <w:t>gefahr</w:t>
      </w:r>
      <w:r w:rsidRPr="009B1EBB">
        <w:rPr>
          <w:rFonts w:eastAsia="Times New Roman"/>
          <w:lang w:eastAsia="de-DE"/>
        </w:rPr>
        <w:t>: Im Wohlstand wird dein Herz hochmütig und du vergisst JHWH, der dich aus der ägyptischen Sklaverei befreit hat – die zentrale Warnung vor Hochmut und Vergessen.</w:t>
      </w:r>
    </w:p>
    <w:p w14:paraId="25881F39" w14:textId="77777777" w:rsidR="009B1EBB" w:rsidRPr="009B1EBB" w:rsidRDefault="009B1EBB" w:rsidP="009B1EBB">
      <w:pPr>
        <w:spacing w:before="100" w:beforeAutospacing="1" w:after="100" w:afterAutospacing="1" w:line="240" w:lineRule="auto"/>
        <w:outlineLvl w:val="1"/>
        <w:rPr>
          <w:rFonts w:eastAsia="Times New Roman"/>
          <w:b/>
          <w:bCs/>
          <w:sz w:val="36"/>
          <w:szCs w:val="36"/>
          <w:lang w:eastAsia="de-DE"/>
        </w:rPr>
      </w:pPr>
      <w:r w:rsidRPr="009B1EBB">
        <w:rPr>
          <w:rFonts w:eastAsia="Times New Roman"/>
          <w:b/>
          <w:bCs/>
          <w:sz w:val="36"/>
          <w:szCs w:val="36"/>
          <w:lang w:eastAsia="de-DE"/>
        </w:rPr>
        <w:t>Deuteronomium 8,15</w:t>
      </w:r>
    </w:p>
    <w:p w14:paraId="7222938A"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Hebräisch:</w:t>
      </w:r>
      <w:r w:rsidRPr="009B1EBB">
        <w:rPr>
          <w:rFonts w:eastAsia="Times New Roman"/>
          <w:lang w:eastAsia="de-DE"/>
        </w:rPr>
        <w:t xml:space="preserve"> </w:t>
      </w:r>
      <w:r w:rsidRPr="009B1EBB">
        <w:rPr>
          <w:rFonts w:eastAsia="Times New Roman"/>
          <w:rtl/>
          <w:lang w:eastAsia="de-DE"/>
        </w:rPr>
        <w:t>הַמּוֹלִיכֲךָ בַּמִּדְבָּר הַגָּדֹל וְהַנּוֹרָא נָחָשׁ שָׂרָף וְעַקְרָב וְצִמָּאוֹן אֲשֶׁר אֵין־מָיִם הַמּוֹצִיא לְךָ מַיִם מִצּוּר הַחַלָּמִישׁ׃</w:t>
      </w:r>
    </w:p>
    <w:p w14:paraId="33830873"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Deutsch:</w:t>
      </w:r>
      <w:r w:rsidRPr="009B1EBB">
        <w:rPr>
          <w:rFonts w:eastAsia="Times New Roman"/>
          <w:lang w:eastAsia="de-DE"/>
        </w:rPr>
        <w:t xml:space="preserve"> der dich durch die große und furchtbare Wüste führte, (wo) feurige Schlangen und Skorpione und Dürre, wo kein Wasser ist; der dir Wasser aus dem Kieselfelsen hervorbrachte;</w:t>
      </w:r>
    </w:p>
    <w:p w14:paraId="44E7EC3C" w14:textId="77777777" w:rsidR="009B1EBB" w:rsidRPr="009B1EBB" w:rsidRDefault="004F5CEB" w:rsidP="009B1EBB">
      <w:pPr>
        <w:spacing w:after="0" w:line="240" w:lineRule="auto"/>
        <w:rPr>
          <w:rFonts w:eastAsia="Times New Roman"/>
          <w:lang w:eastAsia="de-DE"/>
        </w:rPr>
      </w:pPr>
      <w:r>
        <w:rPr>
          <w:rFonts w:eastAsia="Times New Roman"/>
          <w:noProof/>
          <w:lang w:eastAsia="de-DE"/>
        </w:rPr>
        <w:pict w14:anchorId="0688A53C">
          <v:rect id="_x0000_i1284" style="width:0;height:1.5pt" o:hralign="center" o:hrstd="t" o:hr="t" fillcolor="#a0a0a0" stroked="f"/>
        </w:pict>
      </w:r>
    </w:p>
    <w:p w14:paraId="105E8614"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Kommentar:</w:t>
      </w:r>
      <w:r w:rsidRPr="009B1EBB">
        <w:rPr>
          <w:rFonts w:eastAsia="Times New Roman"/>
          <w:lang w:eastAsia="de-DE"/>
        </w:rPr>
        <w:t xml:space="preserve"> </w:t>
      </w:r>
      <w:r w:rsidRPr="009B1EBB">
        <w:rPr>
          <w:rFonts w:eastAsia="Times New Roman"/>
          <w:b/>
          <w:bCs/>
          <w:rtl/>
          <w:lang w:eastAsia="de-DE"/>
        </w:rPr>
        <w:t>הַמּוֹלִיכֲךָ בַּמִּדְבָּר הַגָּדֹל וְהַנּוֹרָא</w:t>
      </w:r>
      <w:r w:rsidRPr="009B1EBB">
        <w:rPr>
          <w:rFonts w:eastAsia="Times New Roman"/>
          <w:rtl/>
          <w:lang w:eastAsia="de-DE"/>
        </w:rPr>
        <w:t xml:space="preserve"> </w:t>
      </w:r>
      <w:r w:rsidRPr="009B1EBB">
        <w:rPr>
          <w:rFonts w:eastAsia="Times New Roman"/>
          <w:lang w:eastAsia="de-DE"/>
        </w:rPr>
        <w:t xml:space="preserve">ist eine weitere partizipiale Apposition: </w:t>
      </w:r>
      <w:r w:rsidRPr="009B1EBB">
        <w:rPr>
          <w:rFonts w:eastAsia="Times New Roman"/>
          <w:b/>
          <w:bCs/>
          <w:rtl/>
          <w:lang w:eastAsia="de-DE"/>
        </w:rPr>
        <w:t>הַמּוֹלִיכֲךָ</w:t>
      </w:r>
      <w:r w:rsidRPr="009B1EBB">
        <w:rPr>
          <w:rFonts w:eastAsia="Times New Roman"/>
          <w:rtl/>
          <w:lang w:eastAsia="de-DE"/>
        </w:rPr>
        <w:t xml:space="preserve"> </w:t>
      </w:r>
      <w:r w:rsidRPr="009B1EBB">
        <w:rPr>
          <w:rFonts w:eastAsia="Times New Roman"/>
          <w:lang w:eastAsia="de-DE"/>
        </w:rPr>
        <w:t xml:space="preserve">(Hifil Partizip Singular maskulin von </w:t>
      </w:r>
      <w:r w:rsidRPr="009B1EBB">
        <w:rPr>
          <w:rFonts w:eastAsia="Times New Roman"/>
          <w:b/>
          <w:bCs/>
          <w:rtl/>
          <w:lang w:eastAsia="de-DE"/>
        </w:rPr>
        <w:t>הלך</w:t>
      </w:r>
      <w:r w:rsidRPr="009B1EBB">
        <w:rPr>
          <w:rFonts w:eastAsia="Times New Roman"/>
          <w:lang w:eastAsia="de-DE"/>
        </w:rPr>
        <w:t xml:space="preserve">, „gehen" – im Hifil „führen, gehen lassen", mit Artikel und Suffix 2. Person Singular maskulin), </w:t>
      </w:r>
      <w:r w:rsidRPr="009B1EBB">
        <w:rPr>
          <w:rFonts w:eastAsia="Times New Roman"/>
          <w:b/>
          <w:bCs/>
          <w:rtl/>
          <w:lang w:eastAsia="de-DE"/>
        </w:rPr>
        <w:t>בַּמִּדְבָּר הַגָּדֹל וְהַנּוֹרָא</w:t>
      </w:r>
      <w:r w:rsidRPr="009B1EBB">
        <w:rPr>
          <w:rFonts w:eastAsia="Times New Roman"/>
          <w:rtl/>
          <w:lang w:eastAsia="de-DE"/>
        </w:rPr>
        <w:t xml:space="preserve"> </w:t>
      </w:r>
      <w:r w:rsidRPr="009B1EBB">
        <w:rPr>
          <w:rFonts w:eastAsia="Times New Roman"/>
          <w:lang w:eastAsia="de-DE"/>
        </w:rPr>
        <w:t>als Ortsangabe (</w:t>
      </w:r>
      <w:r w:rsidRPr="009B1EBB">
        <w:rPr>
          <w:rFonts w:eastAsia="Times New Roman"/>
          <w:b/>
          <w:bCs/>
          <w:rtl/>
          <w:lang w:eastAsia="de-DE"/>
        </w:rPr>
        <w:t>בְּ</w:t>
      </w:r>
      <w:r w:rsidRPr="009B1EBB">
        <w:rPr>
          <w:rFonts w:eastAsia="Times New Roman"/>
          <w:rtl/>
          <w:lang w:eastAsia="de-DE"/>
        </w:rPr>
        <w:t xml:space="preserve"> </w:t>
      </w:r>
      <w:r w:rsidRPr="009B1EBB">
        <w:rPr>
          <w:rFonts w:eastAsia="Times New Roman"/>
          <w:lang w:eastAsia="de-DE"/>
        </w:rPr>
        <w:t xml:space="preserve">mit </w:t>
      </w:r>
      <w:r w:rsidRPr="009B1EBB">
        <w:rPr>
          <w:rFonts w:eastAsia="Times New Roman"/>
          <w:b/>
          <w:bCs/>
          <w:rtl/>
          <w:lang w:eastAsia="de-DE"/>
        </w:rPr>
        <w:t>מִדְבָּר</w:t>
      </w:r>
      <w:r w:rsidRPr="009B1EBB">
        <w:rPr>
          <w:rFonts w:eastAsia="Times New Roman"/>
          <w:lang w:eastAsia="de-DE"/>
        </w:rPr>
        <w:t xml:space="preserve">, „Wüste", mit Artikel und zweigliedrigem koordiniertem Attribut: </w:t>
      </w:r>
      <w:r w:rsidRPr="009B1EBB">
        <w:rPr>
          <w:rFonts w:eastAsia="Times New Roman"/>
          <w:b/>
          <w:bCs/>
          <w:rtl/>
          <w:lang w:eastAsia="de-DE"/>
        </w:rPr>
        <w:t>הַגָּדֹל</w:t>
      </w:r>
      <w:r w:rsidRPr="009B1EBB">
        <w:rPr>
          <w:rFonts w:eastAsia="Times New Roman"/>
          <w:lang w:eastAsia="de-DE"/>
        </w:rPr>
        <w:t xml:space="preserve">, „der große", und </w:t>
      </w:r>
      <w:r w:rsidRPr="009B1EBB">
        <w:rPr>
          <w:rFonts w:eastAsia="Times New Roman"/>
          <w:b/>
          <w:bCs/>
          <w:rtl/>
          <w:lang w:eastAsia="de-DE"/>
        </w:rPr>
        <w:t>הַנּוֹרָא</w:t>
      </w:r>
      <w:r w:rsidRPr="009B1EBB">
        <w:rPr>
          <w:rFonts w:eastAsia="Times New Roman"/>
          <w:lang w:eastAsia="de-DE"/>
        </w:rPr>
        <w:t xml:space="preserve">, Nifal Partizip Singular maskulin von </w:t>
      </w:r>
      <w:r w:rsidRPr="009B1EBB">
        <w:rPr>
          <w:rFonts w:eastAsia="Times New Roman"/>
          <w:b/>
          <w:bCs/>
          <w:rtl/>
          <w:lang w:eastAsia="de-DE"/>
        </w:rPr>
        <w:t>ירא</w:t>
      </w:r>
      <w:r w:rsidRPr="009B1EBB">
        <w:rPr>
          <w:rFonts w:eastAsia="Times New Roman"/>
          <w:lang w:eastAsia="de-DE"/>
        </w:rPr>
        <w:t>, „fürchten" – im Nifal „furchtbar" – „die große und furchtbare [Wüste]").</w:t>
      </w:r>
    </w:p>
    <w:p w14:paraId="154A5D4C" w14:textId="0A61682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rtl/>
          <w:lang w:eastAsia="de-DE"/>
        </w:rPr>
        <w:t>נָחָשׁ שָׂרָף וְעַקְרָב וְצִמָּאוֹן אֲשֶׁר אֵין־מָיִם</w:t>
      </w:r>
      <w:r w:rsidRPr="009B1EBB">
        <w:rPr>
          <w:rFonts w:eastAsia="Times New Roman"/>
          <w:rtl/>
          <w:lang w:eastAsia="de-DE"/>
        </w:rPr>
        <w:t xml:space="preserve"> </w:t>
      </w:r>
      <w:r w:rsidRPr="009B1EBB">
        <w:rPr>
          <w:rFonts w:eastAsia="Times New Roman"/>
          <w:lang w:eastAsia="de-DE"/>
        </w:rPr>
        <w:t>ist eine dreigliedrige appositionelle Aufzählung der Wüsten</w:t>
      </w:r>
      <w:r w:rsidR="00D84597">
        <w:rPr>
          <w:rFonts w:eastAsia="Times New Roman"/>
          <w:lang w:eastAsia="de-DE"/>
        </w:rPr>
        <w:t>gefahr</w:t>
      </w:r>
      <w:r w:rsidRPr="009B1EBB">
        <w:rPr>
          <w:rFonts w:eastAsia="Times New Roman"/>
          <w:lang w:eastAsia="de-DE"/>
        </w:rPr>
        <w:t xml:space="preserve">en: </w:t>
      </w:r>
      <w:r w:rsidRPr="009B1EBB">
        <w:rPr>
          <w:rFonts w:eastAsia="Times New Roman"/>
          <w:b/>
          <w:bCs/>
          <w:rtl/>
          <w:lang w:eastAsia="de-DE"/>
        </w:rPr>
        <w:t>נָחָשׁ שָׂרָף</w:t>
      </w:r>
      <w:r w:rsidRPr="009B1EBB">
        <w:rPr>
          <w:rFonts w:eastAsia="Times New Roman"/>
          <w:rtl/>
          <w:lang w:eastAsia="de-DE"/>
        </w:rPr>
        <w:t xml:space="preserve"> </w:t>
      </w:r>
      <w:r w:rsidRPr="009B1EBB">
        <w:rPr>
          <w:rFonts w:eastAsia="Times New Roman"/>
          <w:lang w:eastAsia="de-DE"/>
        </w:rPr>
        <w:t>(</w:t>
      </w:r>
      <w:r w:rsidRPr="009B1EBB">
        <w:rPr>
          <w:rFonts w:eastAsia="Times New Roman"/>
          <w:b/>
          <w:bCs/>
          <w:rtl/>
          <w:lang w:eastAsia="de-DE"/>
        </w:rPr>
        <w:t>נָחָשׁ</w:t>
      </w:r>
      <w:r w:rsidRPr="009B1EBB">
        <w:rPr>
          <w:rFonts w:eastAsia="Times New Roman"/>
          <w:lang w:eastAsia="de-DE"/>
        </w:rPr>
        <w:t xml:space="preserve">, „Schlange", </w:t>
      </w:r>
      <w:r w:rsidRPr="009B1EBB">
        <w:rPr>
          <w:rFonts w:eastAsia="Times New Roman"/>
          <w:b/>
          <w:bCs/>
          <w:rtl/>
          <w:lang w:eastAsia="de-DE"/>
        </w:rPr>
        <w:t>שָׂרָף</w:t>
      </w:r>
      <w:r w:rsidRPr="009B1EBB">
        <w:rPr>
          <w:rFonts w:eastAsia="Times New Roman"/>
          <w:lang w:eastAsia="de-DE"/>
        </w:rPr>
        <w:t xml:space="preserve">, „brennend, feurig" – Qal Partizip Singular maskulin von </w:t>
      </w:r>
      <w:r w:rsidRPr="009B1EBB">
        <w:rPr>
          <w:rFonts w:eastAsia="Times New Roman"/>
          <w:b/>
          <w:bCs/>
          <w:rtl/>
          <w:lang w:eastAsia="de-DE"/>
        </w:rPr>
        <w:t>שׂרף</w:t>
      </w:r>
      <w:r w:rsidRPr="009B1EBB">
        <w:rPr>
          <w:rFonts w:eastAsia="Times New Roman"/>
          <w:lang w:eastAsia="de-DE"/>
        </w:rPr>
        <w:t xml:space="preserve">, „brennen" – „feurige Schlange, Brandschlange"), </w:t>
      </w:r>
      <w:r w:rsidRPr="009B1EBB">
        <w:rPr>
          <w:rFonts w:eastAsia="Times New Roman"/>
          <w:b/>
          <w:bCs/>
          <w:rtl/>
          <w:lang w:eastAsia="de-DE"/>
        </w:rPr>
        <w:t>וְעַקְרָב</w:t>
      </w:r>
      <w:r w:rsidRPr="009B1EBB">
        <w:rPr>
          <w:rFonts w:eastAsia="Times New Roman"/>
          <w:rtl/>
          <w:lang w:eastAsia="de-DE"/>
        </w:rPr>
        <w:t xml:space="preserve"> </w:t>
      </w:r>
      <w:r w:rsidRPr="009B1EBB">
        <w:rPr>
          <w:rFonts w:eastAsia="Times New Roman"/>
          <w:lang w:eastAsia="de-DE"/>
        </w:rPr>
        <w:t>koordiniert (</w:t>
      </w:r>
      <w:r w:rsidRPr="009B1EBB">
        <w:rPr>
          <w:rFonts w:eastAsia="Times New Roman"/>
          <w:b/>
          <w:bCs/>
          <w:rtl/>
          <w:lang w:eastAsia="de-DE"/>
        </w:rPr>
        <w:t>עַקְרָב</w:t>
      </w:r>
      <w:r w:rsidRPr="009B1EBB">
        <w:rPr>
          <w:rFonts w:eastAsia="Times New Roman"/>
          <w:lang w:eastAsia="de-DE"/>
        </w:rPr>
        <w:t xml:space="preserve">, „Skorpion"), </w:t>
      </w:r>
      <w:r w:rsidRPr="009B1EBB">
        <w:rPr>
          <w:rFonts w:eastAsia="Times New Roman"/>
          <w:b/>
          <w:bCs/>
          <w:rtl/>
          <w:lang w:eastAsia="de-DE"/>
        </w:rPr>
        <w:t>וְצִמָּאוֹן אֲשֶׁר אֵין־מָיִם</w:t>
      </w:r>
      <w:r w:rsidRPr="009B1EBB">
        <w:rPr>
          <w:rFonts w:eastAsia="Times New Roman"/>
          <w:rtl/>
          <w:lang w:eastAsia="de-DE"/>
        </w:rPr>
        <w:t xml:space="preserve"> </w:t>
      </w:r>
      <w:r w:rsidRPr="009B1EBB">
        <w:rPr>
          <w:rFonts w:eastAsia="Times New Roman"/>
          <w:lang w:eastAsia="de-DE"/>
        </w:rPr>
        <w:t>koordiniert (</w:t>
      </w:r>
      <w:r w:rsidRPr="009B1EBB">
        <w:rPr>
          <w:rFonts w:eastAsia="Times New Roman"/>
          <w:b/>
          <w:bCs/>
          <w:rtl/>
          <w:lang w:eastAsia="de-DE"/>
        </w:rPr>
        <w:t>צִמָּאוֹן</w:t>
      </w:r>
      <w:r w:rsidRPr="009B1EBB">
        <w:rPr>
          <w:rFonts w:eastAsia="Times New Roman"/>
          <w:lang w:eastAsia="de-DE"/>
        </w:rPr>
        <w:t xml:space="preserve">, „Durst, Dürre", </w:t>
      </w:r>
      <w:r w:rsidRPr="009B1EBB">
        <w:rPr>
          <w:rFonts w:eastAsia="Times New Roman"/>
          <w:b/>
          <w:bCs/>
          <w:rtl/>
          <w:lang w:eastAsia="de-DE"/>
        </w:rPr>
        <w:t>אֲשֶׁר אֵין־מָיִם</w:t>
      </w:r>
      <w:r w:rsidRPr="009B1EBB">
        <w:rPr>
          <w:rFonts w:eastAsia="Times New Roman"/>
          <w:rtl/>
          <w:lang w:eastAsia="de-DE"/>
        </w:rPr>
        <w:t xml:space="preserve"> </w:t>
      </w:r>
      <w:r w:rsidRPr="009B1EBB">
        <w:rPr>
          <w:rFonts w:eastAsia="Times New Roman"/>
          <w:lang w:eastAsia="de-DE"/>
        </w:rPr>
        <w:t>als Relativsatz mit Existenznegation – „wo kein Wasser ist").</w:t>
      </w:r>
    </w:p>
    <w:p w14:paraId="60E9F0A5"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rtl/>
          <w:lang w:eastAsia="de-DE"/>
        </w:rPr>
        <w:t>הַמּוֹצִיא לְךָ מַיִם מִצּוּר הַחַלָּמִישׁ</w:t>
      </w:r>
      <w:r w:rsidRPr="009B1EBB">
        <w:rPr>
          <w:rFonts w:eastAsia="Times New Roman"/>
          <w:rtl/>
          <w:lang w:eastAsia="de-DE"/>
        </w:rPr>
        <w:t xml:space="preserve"> </w:t>
      </w:r>
      <w:r w:rsidRPr="009B1EBB">
        <w:rPr>
          <w:rFonts w:eastAsia="Times New Roman"/>
          <w:lang w:eastAsia="de-DE"/>
        </w:rPr>
        <w:t xml:space="preserve">ist eine weitere partizipiale Apposition: </w:t>
      </w:r>
      <w:r w:rsidRPr="009B1EBB">
        <w:rPr>
          <w:rFonts w:eastAsia="Times New Roman"/>
          <w:b/>
          <w:bCs/>
          <w:rtl/>
          <w:lang w:eastAsia="de-DE"/>
        </w:rPr>
        <w:t>הַמּוֹצִיא</w:t>
      </w:r>
      <w:r w:rsidRPr="009B1EBB">
        <w:rPr>
          <w:rFonts w:eastAsia="Times New Roman"/>
          <w:rtl/>
          <w:lang w:eastAsia="de-DE"/>
        </w:rPr>
        <w:t xml:space="preserve"> </w:t>
      </w:r>
      <w:r w:rsidRPr="009B1EBB">
        <w:rPr>
          <w:rFonts w:eastAsia="Times New Roman"/>
          <w:lang w:eastAsia="de-DE"/>
        </w:rPr>
        <w:t xml:space="preserve">(Hifil Partizip Singular maskulin von </w:t>
      </w:r>
      <w:r w:rsidRPr="009B1EBB">
        <w:rPr>
          <w:rFonts w:eastAsia="Times New Roman"/>
          <w:b/>
          <w:bCs/>
          <w:rtl/>
          <w:lang w:eastAsia="de-DE"/>
        </w:rPr>
        <w:t>יצא</w:t>
      </w:r>
      <w:r w:rsidRPr="009B1EBB">
        <w:rPr>
          <w:rFonts w:eastAsia="Times New Roman"/>
          <w:lang w:eastAsia="de-DE"/>
        </w:rPr>
        <w:t xml:space="preserve">, „hervorbringen, herausbringen", mit Artikel), </w:t>
      </w:r>
      <w:r w:rsidRPr="009B1EBB">
        <w:rPr>
          <w:rFonts w:eastAsia="Times New Roman"/>
          <w:b/>
          <w:bCs/>
          <w:rtl/>
          <w:lang w:eastAsia="de-DE"/>
        </w:rPr>
        <w:t>לְךָ</w:t>
      </w:r>
      <w:r w:rsidRPr="009B1EBB">
        <w:rPr>
          <w:rFonts w:eastAsia="Times New Roman"/>
          <w:rtl/>
          <w:lang w:eastAsia="de-DE"/>
        </w:rPr>
        <w:t xml:space="preserve"> </w:t>
      </w:r>
      <w:r w:rsidRPr="009B1EBB">
        <w:rPr>
          <w:rFonts w:eastAsia="Times New Roman"/>
          <w:lang w:eastAsia="de-DE"/>
        </w:rPr>
        <w:t xml:space="preserve">als Dativ, </w:t>
      </w:r>
      <w:r w:rsidRPr="009B1EBB">
        <w:rPr>
          <w:rFonts w:eastAsia="Times New Roman"/>
          <w:b/>
          <w:bCs/>
          <w:rtl/>
          <w:lang w:eastAsia="de-DE"/>
        </w:rPr>
        <w:t>מַיִם</w:t>
      </w:r>
      <w:r w:rsidRPr="009B1EBB">
        <w:rPr>
          <w:rFonts w:eastAsia="Times New Roman"/>
          <w:rtl/>
          <w:lang w:eastAsia="de-DE"/>
        </w:rPr>
        <w:t xml:space="preserve"> </w:t>
      </w:r>
      <w:r w:rsidRPr="009B1EBB">
        <w:rPr>
          <w:rFonts w:eastAsia="Times New Roman"/>
          <w:lang w:eastAsia="de-DE"/>
        </w:rPr>
        <w:t xml:space="preserve">als direktes Objekt, </w:t>
      </w:r>
      <w:r w:rsidRPr="009B1EBB">
        <w:rPr>
          <w:rFonts w:eastAsia="Times New Roman"/>
          <w:b/>
          <w:bCs/>
          <w:rtl/>
          <w:lang w:eastAsia="de-DE"/>
        </w:rPr>
        <w:t>מִצּוּר הַחַלָּמִישׁ</w:t>
      </w:r>
      <w:r w:rsidRPr="009B1EBB">
        <w:rPr>
          <w:rFonts w:eastAsia="Times New Roman"/>
          <w:rtl/>
          <w:lang w:eastAsia="de-DE"/>
        </w:rPr>
        <w:t xml:space="preserve"> </w:t>
      </w:r>
      <w:r w:rsidRPr="009B1EBB">
        <w:rPr>
          <w:rFonts w:eastAsia="Times New Roman"/>
          <w:lang w:eastAsia="de-DE"/>
        </w:rPr>
        <w:t>als Herkunftsangabe (</w:t>
      </w:r>
      <w:r w:rsidRPr="009B1EBB">
        <w:rPr>
          <w:rFonts w:eastAsia="Times New Roman"/>
          <w:b/>
          <w:bCs/>
          <w:rtl/>
          <w:lang w:eastAsia="de-DE"/>
        </w:rPr>
        <w:t>מִן</w:t>
      </w:r>
      <w:r w:rsidRPr="009B1EBB">
        <w:rPr>
          <w:rFonts w:eastAsia="Times New Roman"/>
          <w:rtl/>
          <w:lang w:eastAsia="de-DE"/>
        </w:rPr>
        <w:t xml:space="preserve"> </w:t>
      </w:r>
      <w:r w:rsidRPr="009B1EBB">
        <w:rPr>
          <w:rFonts w:eastAsia="Times New Roman"/>
          <w:lang w:eastAsia="de-DE"/>
        </w:rPr>
        <w:t xml:space="preserve">mit </w:t>
      </w:r>
      <w:r w:rsidRPr="009B1EBB">
        <w:rPr>
          <w:rFonts w:eastAsia="Times New Roman"/>
          <w:b/>
          <w:bCs/>
          <w:rtl/>
          <w:lang w:eastAsia="de-DE"/>
        </w:rPr>
        <w:t>צוּר</w:t>
      </w:r>
      <w:r w:rsidRPr="009B1EBB">
        <w:rPr>
          <w:rFonts w:eastAsia="Times New Roman"/>
          <w:lang w:eastAsia="de-DE"/>
        </w:rPr>
        <w:t xml:space="preserve">, „Fels", im Construct mit </w:t>
      </w:r>
      <w:r w:rsidRPr="009B1EBB">
        <w:rPr>
          <w:rFonts w:eastAsia="Times New Roman"/>
          <w:b/>
          <w:bCs/>
          <w:rtl/>
          <w:lang w:eastAsia="de-DE"/>
        </w:rPr>
        <w:t>חַלָּמִישׁ</w:t>
      </w:r>
      <w:r w:rsidRPr="009B1EBB">
        <w:rPr>
          <w:rFonts w:eastAsia="Times New Roman"/>
          <w:lang w:eastAsia="de-DE"/>
        </w:rPr>
        <w:t>, „Kiesel, harter Feuerstein", mit Artikel – „aus dem Kieselfelsen, aus dem harten Fels").</w:t>
      </w:r>
    </w:p>
    <w:p w14:paraId="09C1C116" w14:textId="5C0E385C"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t xml:space="preserve">Der Vers setzt die Partizipialkette fort (von V. 14) und erinnert an weitere Wohltaten in der Wüste: Führung durch die gefährliche Wüste und Wasserspende aus dem Felsen. Die </w:t>
      </w:r>
      <w:r w:rsidRPr="009B1EBB">
        <w:rPr>
          <w:rFonts w:eastAsia="Times New Roman"/>
          <w:b/>
          <w:bCs/>
          <w:rtl/>
          <w:lang w:eastAsia="de-DE"/>
        </w:rPr>
        <w:t>נְחָשִׁים שְׂרָפִים</w:t>
      </w:r>
      <w:r w:rsidRPr="009B1EBB">
        <w:rPr>
          <w:rFonts w:eastAsia="Times New Roman"/>
          <w:rtl/>
          <w:lang w:eastAsia="de-DE"/>
        </w:rPr>
        <w:t xml:space="preserve"> </w:t>
      </w:r>
      <w:r w:rsidRPr="009B1EBB">
        <w:rPr>
          <w:rFonts w:eastAsia="Times New Roman"/>
          <w:lang w:eastAsia="de-DE"/>
        </w:rPr>
        <w:t>(„feurige Schlangen") sind die giftigen Schlangen aus Num 21,6-9, deren Biss brennende Schmerzen verursacht. Die dreigliedrige Aufzählung der Wüsten</w:t>
      </w:r>
      <w:r w:rsidR="00D84597">
        <w:rPr>
          <w:rFonts w:eastAsia="Times New Roman"/>
          <w:lang w:eastAsia="de-DE"/>
        </w:rPr>
        <w:t>gefahr</w:t>
      </w:r>
      <w:r w:rsidRPr="009B1EBB">
        <w:rPr>
          <w:rFonts w:eastAsia="Times New Roman"/>
          <w:lang w:eastAsia="de-DE"/>
        </w:rPr>
        <w:t xml:space="preserve">en (Giftschlangen – Skorpione – Wassermangel) unterstreicht die lebensfeindliche Umgebung. Das Wasserwunder aus dem Felsen (vgl. Ex 17,1-7; Num 20,2-13) wird durch die Formulierung </w:t>
      </w:r>
      <w:r w:rsidRPr="009B1EBB">
        <w:rPr>
          <w:rFonts w:eastAsia="Times New Roman"/>
          <w:b/>
          <w:bCs/>
          <w:rtl/>
          <w:lang w:eastAsia="de-DE"/>
        </w:rPr>
        <w:t>מִצּוּר הַחַלָּמִישׁ</w:t>
      </w:r>
      <w:r w:rsidRPr="009B1EBB">
        <w:rPr>
          <w:rFonts w:eastAsia="Times New Roman"/>
          <w:rtl/>
          <w:lang w:eastAsia="de-DE"/>
        </w:rPr>
        <w:t xml:space="preserve"> </w:t>
      </w:r>
      <w:r w:rsidRPr="009B1EBB">
        <w:rPr>
          <w:rFonts w:eastAsia="Times New Roman"/>
          <w:lang w:eastAsia="de-DE"/>
        </w:rPr>
        <w:t>(„aus dem Kieselfelsen") als besonders wunderbar hervorgehoben.</w:t>
      </w:r>
    </w:p>
    <w:p w14:paraId="04D308D8" w14:textId="77835EFB"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lastRenderedPageBreak/>
        <w:t xml:space="preserve">Die Satzstruktur ist eine partizipiale Apposition mit Suffix-Objekt und Ortsangabe (mit zweigliedrigem koordiniertem Attribut), gefolgt von einer dreigliedrigen appositiven Aufzählung (die dritte mit Relativsatz mit Existenznegation) und einer weiteren partizipialen Apposition (mit Dativ, direktem Objekt und Herkunftsangabe). Die kumulative Struktur erinnert an die </w:t>
      </w:r>
      <w:r w:rsidR="00D84597">
        <w:rPr>
          <w:rFonts w:eastAsia="Times New Roman"/>
          <w:lang w:eastAsia="de-DE"/>
        </w:rPr>
        <w:t>Gefahr</w:t>
      </w:r>
      <w:r w:rsidRPr="009B1EBB">
        <w:rPr>
          <w:rFonts w:eastAsia="Times New Roman"/>
          <w:lang w:eastAsia="de-DE"/>
        </w:rPr>
        <w:t>en der Wüste und Gottes Rettung.</w:t>
      </w:r>
    </w:p>
    <w:p w14:paraId="2F070735"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t>Der Vers setzt die Erinnerung fort: JHWH führte Israel durch die große, furchtbare Wüste voller Giftschlangen, Skorpione und Wassermangel und ließ Wasser aus dem harten Felsen hervorbrechen – weitere Zeichen göttlicher Fürsorge.</w:t>
      </w:r>
    </w:p>
    <w:p w14:paraId="3BAC53B2" w14:textId="77777777" w:rsidR="009B1EBB" w:rsidRPr="009B1EBB" w:rsidRDefault="009B1EBB" w:rsidP="009B1EBB">
      <w:pPr>
        <w:spacing w:before="100" w:beforeAutospacing="1" w:after="100" w:afterAutospacing="1" w:line="240" w:lineRule="auto"/>
        <w:outlineLvl w:val="1"/>
        <w:rPr>
          <w:rFonts w:eastAsia="Times New Roman"/>
          <w:b/>
          <w:bCs/>
          <w:sz w:val="36"/>
          <w:szCs w:val="36"/>
          <w:lang w:eastAsia="de-DE"/>
        </w:rPr>
      </w:pPr>
      <w:r w:rsidRPr="009B1EBB">
        <w:rPr>
          <w:rFonts w:eastAsia="Times New Roman"/>
          <w:b/>
          <w:bCs/>
          <w:sz w:val="36"/>
          <w:szCs w:val="36"/>
          <w:lang w:eastAsia="de-DE"/>
        </w:rPr>
        <w:t>Deuteronomium 8,16</w:t>
      </w:r>
    </w:p>
    <w:p w14:paraId="5D13AC87"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Hebräisch:</w:t>
      </w:r>
      <w:r w:rsidRPr="009B1EBB">
        <w:rPr>
          <w:rFonts w:eastAsia="Times New Roman"/>
          <w:lang w:eastAsia="de-DE"/>
        </w:rPr>
        <w:t xml:space="preserve"> </w:t>
      </w:r>
      <w:r w:rsidRPr="009B1EBB">
        <w:rPr>
          <w:rFonts w:eastAsia="Times New Roman"/>
          <w:rtl/>
          <w:lang w:eastAsia="de-DE"/>
        </w:rPr>
        <w:t>הַמַּאֲכִלְךָ מָן בַּמִּדְבָּר אֲשֶׁר לֹא־יָדְעוּן אֲבֹתֶיךָ לְמַעַן עַנֹּתְךָ וּלְמַעַן נַסֹּתֶךָ לְהֵיטִבְךָ בְּאַחֲרִיתֶךָ׃</w:t>
      </w:r>
    </w:p>
    <w:p w14:paraId="56CEA137"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Deutsch:</w:t>
      </w:r>
      <w:r w:rsidRPr="009B1EBB">
        <w:rPr>
          <w:rFonts w:eastAsia="Times New Roman"/>
          <w:lang w:eastAsia="de-DE"/>
        </w:rPr>
        <w:t xml:space="preserve"> der dich in der Wüste mit Man speiste, das deine Väter nicht kannten, um dich zu demütigen und um dich zu prüfen, damit er dir am Ende wohltue.</w:t>
      </w:r>
    </w:p>
    <w:p w14:paraId="500BA394" w14:textId="77777777" w:rsidR="009B1EBB" w:rsidRPr="009B1EBB" w:rsidRDefault="004F5CEB" w:rsidP="009B1EBB">
      <w:pPr>
        <w:spacing w:after="0" w:line="240" w:lineRule="auto"/>
        <w:rPr>
          <w:rFonts w:eastAsia="Times New Roman"/>
          <w:lang w:eastAsia="de-DE"/>
        </w:rPr>
      </w:pPr>
      <w:r>
        <w:rPr>
          <w:rFonts w:eastAsia="Times New Roman"/>
          <w:noProof/>
          <w:lang w:eastAsia="de-DE"/>
        </w:rPr>
        <w:pict w14:anchorId="4337A02D">
          <v:rect id="_x0000_i1285" style="width:0;height:1.5pt" o:hralign="center" o:hrstd="t" o:hr="t" fillcolor="#a0a0a0" stroked="f"/>
        </w:pict>
      </w:r>
    </w:p>
    <w:p w14:paraId="698F547B"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Kommentar:</w:t>
      </w:r>
      <w:r w:rsidRPr="009B1EBB">
        <w:rPr>
          <w:rFonts w:eastAsia="Times New Roman"/>
          <w:lang w:eastAsia="de-DE"/>
        </w:rPr>
        <w:t xml:space="preserve"> </w:t>
      </w:r>
      <w:r w:rsidRPr="009B1EBB">
        <w:rPr>
          <w:rFonts w:eastAsia="Times New Roman"/>
          <w:b/>
          <w:bCs/>
          <w:rtl/>
          <w:lang w:eastAsia="de-DE"/>
        </w:rPr>
        <w:t>הַמַּאֲכִלְךָ מָן בַּמִּדְבָּר אֲשֶׁר לֹא־יָדְעוּן אֲבֹתֶיךָ</w:t>
      </w:r>
      <w:r w:rsidRPr="009B1EBB">
        <w:rPr>
          <w:rFonts w:eastAsia="Times New Roman"/>
          <w:rtl/>
          <w:lang w:eastAsia="de-DE"/>
        </w:rPr>
        <w:t xml:space="preserve"> </w:t>
      </w:r>
      <w:r w:rsidRPr="009B1EBB">
        <w:rPr>
          <w:rFonts w:eastAsia="Times New Roman"/>
          <w:lang w:eastAsia="de-DE"/>
        </w:rPr>
        <w:t xml:space="preserve">ist eine weitere partizipiale Apposition: </w:t>
      </w:r>
      <w:r w:rsidRPr="009B1EBB">
        <w:rPr>
          <w:rFonts w:eastAsia="Times New Roman"/>
          <w:b/>
          <w:bCs/>
          <w:rtl/>
          <w:lang w:eastAsia="de-DE"/>
        </w:rPr>
        <w:t>הַמַּאֲכִלְךָ</w:t>
      </w:r>
      <w:r w:rsidRPr="009B1EBB">
        <w:rPr>
          <w:rFonts w:eastAsia="Times New Roman"/>
          <w:rtl/>
          <w:lang w:eastAsia="de-DE"/>
        </w:rPr>
        <w:t xml:space="preserve"> </w:t>
      </w:r>
      <w:r w:rsidRPr="009B1EBB">
        <w:rPr>
          <w:rFonts w:eastAsia="Times New Roman"/>
          <w:lang w:eastAsia="de-DE"/>
        </w:rPr>
        <w:t xml:space="preserve">(Hifil Partizip Singular maskulin von </w:t>
      </w:r>
      <w:r w:rsidRPr="009B1EBB">
        <w:rPr>
          <w:rFonts w:eastAsia="Times New Roman"/>
          <w:b/>
          <w:bCs/>
          <w:rtl/>
          <w:lang w:eastAsia="de-DE"/>
        </w:rPr>
        <w:t>אכל</w:t>
      </w:r>
      <w:r w:rsidRPr="009B1EBB">
        <w:rPr>
          <w:rFonts w:eastAsia="Times New Roman"/>
          <w:lang w:eastAsia="de-DE"/>
        </w:rPr>
        <w:t xml:space="preserve">, „essen" – im Hifil „zu essen geben, speisen", mit Artikel und Suffix 2. Person Singular maskulin), </w:t>
      </w:r>
      <w:r w:rsidRPr="009B1EBB">
        <w:rPr>
          <w:rFonts w:eastAsia="Times New Roman"/>
          <w:b/>
          <w:bCs/>
          <w:rtl/>
          <w:lang w:eastAsia="de-DE"/>
        </w:rPr>
        <w:t>מָן</w:t>
      </w:r>
      <w:r w:rsidRPr="009B1EBB">
        <w:rPr>
          <w:rFonts w:eastAsia="Times New Roman"/>
          <w:rtl/>
          <w:lang w:eastAsia="de-DE"/>
        </w:rPr>
        <w:t xml:space="preserve"> </w:t>
      </w:r>
      <w:r w:rsidRPr="009B1EBB">
        <w:rPr>
          <w:rFonts w:eastAsia="Times New Roman"/>
          <w:lang w:eastAsia="de-DE"/>
        </w:rPr>
        <w:t xml:space="preserve">als direktes Objekt (Akkusativmarker fehlt), </w:t>
      </w:r>
      <w:r w:rsidRPr="009B1EBB">
        <w:rPr>
          <w:rFonts w:eastAsia="Times New Roman"/>
          <w:b/>
          <w:bCs/>
          <w:rtl/>
          <w:lang w:eastAsia="de-DE"/>
        </w:rPr>
        <w:t>בַּמִּדְבָּר</w:t>
      </w:r>
      <w:r w:rsidRPr="009B1EBB">
        <w:rPr>
          <w:rFonts w:eastAsia="Times New Roman"/>
          <w:rtl/>
          <w:lang w:eastAsia="de-DE"/>
        </w:rPr>
        <w:t xml:space="preserve"> </w:t>
      </w:r>
      <w:r w:rsidRPr="009B1EBB">
        <w:rPr>
          <w:rFonts w:eastAsia="Times New Roman"/>
          <w:lang w:eastAsia="de-DE"/>
        </w:rPr>
        <w:t xml:space="preserve">als Ortsangabe, </w:t>
      </w:r>
      <w:r w:rsidRPr="009B1EBB">
        <w:rPr>
          <w:rFonts w:eastAsia="Times New Roman"/>
          <w:b/>
          <w:bCs/>
          <w:rtl/>
          <w:lang w:eastAsia="de-DE"/>
        </w:rPr>
        <w:t>אֲשֶׁר לֹא־יָדְעוּן אֲבֹתֶיךָ</w:t>
      </w:r>
      <w:r w:rsidRPr="009B1EBB">
        <w:rPr>
          <w:rFonts w:eastAsia="Times New Roman"/>
          <w:rtl/>
          <w:lang w:eastAsia="de-DE"/>
        </w:rPr>
        <w:t xml:space="preserve"> </w:t>
      </w:r>
      <w:r w:rsidRPr="009B1EBB">
        <w:rPr>
          <w:rFonts w:eastAsia="Times New Roman"/>
          <w:lang w:eastAsia="de-DE"/>
        </w:rPr>
        <w:t xml:space="preserve">als Relativsatz (Qal Perfekt, 3. Person Plural von </w:t>
      </w:r>
      <w:r w:rsidRPr="009B1EBB">
        <w:rPr>
          <w:rFonts w:eastAsia="Times New Roman"/>
          <w:b/>
          <w:bCs/>
          <w:rtl/>
          <w:lang w:eastAsia="de-DE"/>
        </w:rPr>
        <w:t>ידע</w:t>
      </w:r>
      <w:r w:rsidRPr="009B1EBB">
        <w:rPr>
          <w:rFonts w:eastAsia="Times New Roman"/>
          <w:lang w:eastAsia="de-DE"/>
        </w:rPr>
        <w:t xml:space="preserve">, „kennen", mit paragogischem Nun, Negation, </w:t>
      </w:r>
      <w:r w:rsidRPr="009B1EBB">
        <w:rPr>
          <w:rFonts w:eastAsia="Times New Roman"/>
          <w:b/>
          <w:bCs/>
          <w:rtl/>
          <w:lang w:eastAsia="de-DE"/>
        </w:rPr>
        <w:t>אֲבֹתֶיךָ</w:t>
      </w:r>
      <w:r w:rsidRPr="009B1EBB">
        <w:rPr>
          <w:rFonts w:eastAsia="Times New Roman"/>
          <w:rtl/>
          <w:lang w:eastAsia="de-DE"/>
        </w:rPr>
        <w:t xml:space="preserve"> </w:t>
      </w:r>
      <w:r w:rsidRPr="009B1EBB">
        <w:rPr>
          <w:rFonts w:eastAsia="Times New Roman"/>
          <w:lang w:eastAsia="de-DE"/>
        </w:rPr>
        <w:t>als Subjekt). Dies greift V. 3 auf.</w:t>
      </w:r>
    </w:p>
    <w:p w14:paraId="3AA8EC38"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rtl/>
          <w:lang w:eastAsia="de-DE"/>
        </w:rPr>
        <w:t>לְמַעַן עַנֹּתְךָ וּלְמַעַן נַסֹּתֶךָ לְהֵיטִבְךָ בְּאַחֲרִיתֶךָ</w:t>
      </w:r>
      <w:r w:rsidRPr="009B1EBB">
        <w:rPr>
          <w:rFonts w:eastAsia="Times New Roman"/>
          <w:rtl/>
          <w:lang w:eastAsia="de-DE"/>
        </w:rPr>
        <w:t xml:space="preserve"> </w:t>
      </w:r>
      <w:r w:rsidRPr="009B1EBB">
        <w:rPr>
          <w:rFonts w:eastAsia="Times New Roman"/>
          <w:lang w:eastAsia="de-DE"/>
        </w:rPr>
        <w:t xml:space="preserve">ist eine dreifache finale Konstruktion: </w:t>
      </w:r>
      <w:r w:rsidRPr="009B1EBB">
        <w:rPr>
          <w:rFonts w:eastAsia="Times New Roman"/>
          <w:b/>
          <w:bCs/>
          <w:rtl/>
          <w:lang w:eastAsia="de-DE"/>
        </w:rPr>
        <w:t>לְמַעַן עַנֹּתְךָ</w:t>
      </w:r>
      <w:r w:rsidRPr="009B1EBB">
        <w:rPr>
          <w:rFonts w:eastAsia="Times New Roman"/>
          <w:rtl/>
          <w:lang w:eastAsia="de-DE"/>
        </w:rPr>
        <w:t xml:space="preserve"> </w:t>
      </w:r>
      <w:r w:rsidRPr="009B1EBB">
        <w:rPr>
          <w:rFonts w:eastAsia="Times New Roman"/>
          <w:lang w:eastAsia="de-DE"/>
        </w:rPr>
        <w:t xml:space="preserve">(Piel Infinitiv Construct von </w:t>
      </w:r>
      <w:r w:rsidRPr="009B1EBB">
        <w:rPr>
          <w:rFonts w:eastAsia="Times New Roman"/>
          <w:b/>
          <w:bCs/>
          <w:rtl/>
          <w:lang w:eastAsia="de-DE"/>
        </w:rPr>
        <w:t>ענה</w:t>
      </w:r>
      <w:r w:rsidRPr="009B1EBB">
        <w:rPr>
          <w:rFonts w:eastAsia="Times New Roman"/>
          <w:lang w:eastAsia="de-DE"/>
        </w:rPr>
        <w:t xml:space="preserve">, „demütigen", mit </w:t>
      </w:r>
      <w:r w:rsidRPr="009B1EBB">
        <w:rPr>
          <w:rFonts w:eastAsia="Times New Roman"/>
          <w:b/>
          <w:bCs/>
          <w:rtl/>
          <w:lang w:eastAsia="de-DE"/>
        </w:rPr>
        <w:t>לְמַעַן</w:t>
      </w:r>
      <w:r w:rsidRPr="009B1EBB">
        <w:rPr>
          <w:rFonts w:eastAsia="Times New Roman"/>
          <w:rtl/>
          <w:lang w:eastAsia="de-DE"/>
        </w:rPr>
        <w:t xml:space="preserve"> </w:t>
      </w:r>
      <w:r w:rsidRPr="009B1EBB">
        <w:rPr>
          <w:rFonts w:eastAsia="Times New Roman"/>
          <w:lang w:eastAsia="de-DE"/>
        </w:rPr>
        <w:t xml:space="preserve">und Suffix 2. Person Singular maskulin als direktes Objekt), </w:t>
      </w:r>
      <w:r w:rsidRPr="009B1EBB">
        <w:rPr>
          <w:rFonts w:eastAsia="Times New Roman"/>
          <w:b/>
          <w:bCs/>
          <w:rtl/>
          <w:lang w:eastAsia="de-DE"/>
        </w:rPr>
        <w:t>וּלְמַעַן נַסֹּתֶךָ</w:t>
      </w:r>
      <w:r w:rsidRPr="009B1EBB">
        <w:rPr>
          <w:rFonts w:eastAsia="Times New Roman"/>
          <w:rtl/>
          <w:lang w:eastAsia="de-DE"/>
        </w:rPr>
        <w:t xml:space="preserve"> </w:t>
      </w:r>
      <w:r w:rsidRPr="009B1EBB">
        <w:rPr>
          <w:rFonts w:eastAsia="Times New Roman"/>
          <w:lang w:eastAsia="de-DE"/>
        </w:rPr>
        <w:t xml:space="preserve">koordiniert (Piel Infinitiv Construct von </w:t>
      </w:r>
      <w:r w:rsidRPr="009B1EBB">
        <w:rPr>
          <w:rFonts w:eastAsia="Times New Roman"/>
          <w:b/>
          <w:bCs/>
          <w:rtl/>
          <w:lang w:eastAsia="de-DE"/>
        </w:rPr>
        <w:t>נסה</w:t>
      </w:r>
      <w:r w:rsidRPr="009B1EBB">
        <w:rPr>
          <w:rFonts w:eastAsia="Times New Roman"/>
          <w:lang w:eastAsia="de-DE"/>
        </w:rPr>
        <w:t xml:space="preserve">, „prüfen", mit </w:t>
      </w:r>
      <w:r w:rsidRPr="009B1EBB">
        <w:rPr>
          <w:rFonts w:eastAsia="Times New Roman"/>
          <w:b/>
          <w:bCs/>
          <w:rtl/>
          <w:lang w:eastAsia="de-DE"/>
        </w:rPr>
        <w:t>לְמַעַן</w:t>
      </w:r>
      <w:r w:rsidRPr="009B1EBB">
        <w:rPr>
          <w:rFonts w:eastAsia="Times New Roman"/>
          <w:lang w:eastAsia="de-DE"/>
        </w:rPr>
        <w:t xml:space="preserve">, </w:t>
      </w:r>
      <w:r w:rsidRPr="009B1EBB">
        <w:rPr>
          <w:rFonts w:eastAsia="Times New Roman"/>
          <w:b/>
          <w:bCs/>
          <w:rtl/>
          <w:lang w:eastAsia="de-DE"/>
        </w:rPr>
        <w:t>וְ</w:t>
      </w:r>
      <w:r w:rsidRPr="009B1EBB">
        <w:rPr>
          <w:rFonts w:eastAsia="Times New Roman"/>
          <w:rtl/>
          <w:lang w:eastAsia="de-DE"/>
        </w:rPr>
        <w:t xml:space="preserve"> </w:t>
      </w:r>
      <w:r w:rsidRPr="009B1EBB">
        <w:rPr>
          <w:rFonts w:eastAsia="Times New Roman"/>
          <w:lang w:eastAsia="de-DE"/>
        </w:rPr>
        <w:t xml:space="preserve">und Suffix), </w:t>
      </w:r>
      <w:r w:rsidRPr="009B1EBB">
        <w:rPr>
          <w:rFonts w:eastAsia="Times New Roman"/>
          <w:b/>
          <w:bCs/>
          <w:rtl/>
          <w:lang w:eastAsia="de-DE"/>
        </w:rPr>
        <w:t>לְהֵיטִבְךָ בְּאַחֲרִיתֶךָ</w:t>
      </w:r>
      <w:r w:rsidRPr="009B1EBB">
        <w:rPr>
          <w:rFonts w:eastAsia="Times New Roman"/>
          <w:rtl/>
          <w:lang w:eastAsia="de-DE"/>
        </w:rPr>
        <w:t xml:space="preserve"> </w:t>
      </w:r>
      <w:r w:rsidRPr="009B1EBB">
        <w:rPr>
          <w:rFonts w:eastAsia="Times New Roman"/>
          <w:lang w:eastAsia="de-DE"/>
        </w:rPr>
        <w:t xml:space="preserve">als dritte finale Konstruktion (Hifil Infinitiv Construct von </w:t>
      </w:r>
      <w:r w:rsidRPr="009B1EBB">
        <w:rPr>
          <w:rFonts w:eastAsia="Times New Roman"/>
          <w:b/>
          <w:bCs/>
          <w:rtl/>
          <w:lang w:eastAsia="de-DE"/>
        </w:rPr>
        <w:t>יטב</w:t>
      </w:r>
      <w:r w:rsidRPr="009B1EBB">
        <w:rPr>
          <w:rFonts w:eastAsia="Times New Roman"/>
          <w:lang w:eastAsia="de-DE"/>
        </w:rPr>
        <w:t xml:space="preserve">, „gut sein" – im Hifil „Gutes tun, wohltun", mit </w:t>
      </w:r>
      <w:r w:rsidRPr="009B1EBB">
        <w:rPr>
          <w:rFonts w:eastAsia="Times New Roman"/>
          <w:b/>
          <w:bCs/>
          <w:rtl/>
          <w:lang w:eastAsia="de-DE"/>
        </w:rPr>
        <w:t>לְ</w:t>
      </w:r>
      <w:r w:rsidRPr="009B1EBB">
        <w:rPr>
          <w:rFonts w:eastAsia="Times New Roman"/>
          <w:rtl/>
          <w:lang w:eastAsia="de-DE"/>
        </w:rPr>
        <w:t xml:space="preserve"> </w:t>
      </w:r>
      <w:r w:rsidRPr="009B1EBB">
        <w:rPr>
          <w:rFonts w:eastAsia="Times New Roman"/>
          <w:lang w:eastAsia="de-DE"/>
        </w:rPr>
        <w:t xml:space="preserve">und Suffix, </w:t>
      </w:r>
      <w:r w:rsidRPr="009B1EBB">
        <w:rPr>
          <w:rFonts w:eastAsia="Times New Roman"/>
          <w:b/>
          <w:bCs/>
          <w:rtl/>
          <w:lang w:eastAsia="de-DE"/>
        </w:rPr>
        <w:t>בְּאַחֲרִיתֶךָ</w:t>
      </w:r>
      <w:r w:rsidRPr="009B1EBB">
        <w:rPr>
          <w:rFonts w:eastAsia="Times New Roman"/>
          <w:rtl/>
          <w:lang w:eastAsia="de-DE"/>
        </w:rPr>
        <w:t xml:space="preserve"> </w:t>
      </w:r>
      <w:r w:rsidRPr="009B1EBB">
        <w:rPr>
          <w:rFonts w:eastAsia="Times New Roman"/>
          <w:lang w:eastAsia="de-DE"/>
        </w:rPr>
        <w:t xml:space="preserve">als temporale Bestimmung – </w:t>
      </w:r>
      <w:r w:rsidRPr="009B1EBB">
        <w:rPr>
          <w:rFonts w:eastAsia="Times New Roman"/>
          <w:b/>
          <w:bCs/>
          <w:rtl/>
          <w:lang w:eastAsia="de-DE"/>
        </w:rPr>
        <w:t>בְּ</w:t>
      </w:r>
      <w:r w:rsidRPr="009B1EBB">
        <w:rPr>
          <w:rFonts w:eastAsia="Times New Roman"/>
          <w:rtl/>
          <w:lang w:eastAsia="de-DE"/>
        </w:rPr>
        <w:t xml:space="preserve"> </w:t>
      </w:r>
      <w:r w:rsidRPr="009B1EBB">
        <w:rPr>
          <w:rFonts w:eastAsia="Times New Roman"/>
          <w:lang w:eastAsia="de-DE"/>
        </w:rPr>
        <w:t xml:space="preserve">mit </w:t>
      </w:r>
      <w:r w:rsidRPr="009B1EBB">
        <w:rPr>
          <w:rFonts w:eastAsia="Times New Roman"/>
          <w:b/>
          <w:bCs/>
          <w:rtl/>
          <w:lang w:eastAsia="de-DE"/>
        </w:rPr>
        <w:t>אַחֲרִית</w:t>
      </w:r>
      <w:r w:rsidRPr="009B1EBB">
        <w:rPr>
          <w:rFonts w:eastAsia="Times New Roman"/>
          <w:lang w:eastAsia="de-DE"/>
        </w:rPr>
        <w:t>, „Ende, Zukunft", und Suffix – „an deinem Ende, in deiner Zukunft, am Ende").</w:t>
      </w:r>
    </w:p>
    <w:p w14:paraId="6FAF07D5" w14:textId="16E59FF4" w:rsidR="009B1EBB" w:rsidRPr="009B1EBB" w:rsidRDefault="009B1EBB" w:rsidP="00BC555A">
      <w:pPr>
        <w:spacing w:before="100" w:beforeAutospacing="1" w:after="100" w:afterAutospacing="1" w:line="240" w:lineRule="auto"/>
        <w:rPr>
          <w:rFonts w:eastAsia="Times New Roman"/>
          <w:lang w:eastAsia="de-DE"/>
        </w:rPr>
      </w:pPr>
      <w:r w:rsidRPr="009B1EBB">
        <w:rPr>
          <w:rFonts w:eastAsia="Times New Roman"/>
          <w:lang w:eastAsia="de-DE"/>
        </w:rPr>
        <w:t>Der Vers setzt die Partizipialkette fort und wiederholt die Mannaspeisung aus V. 3, nun aber mit expliziter pädagogischer Zielsetzung: Die Demütigung und Prüfung durch Hunger und Manna dienten letztlich dem Wohl Israels (</w:t>
      </w:r>
      <w:r w:rsidRPr="009B1EBB">
        <w:rPr>
          <w:rFonts w:eastAsia="Times New Roman"/>
          <w:b/>
          <w:bCs/>
          <w:rtl/>
          <w:lang w:eastAsia="de-DE"/>
        </w:rPr>
        <w:t>לְהֵיטִבְךָ בְּאַחֲרִיתֶךָ</w:t>
      </w:r>
      <w:r w:rsidRPr="009B1EBB">
        <w:rPr>
          <w:rFonts w:eastAsia="Times New Roman"/>
          <w:lang w:eastAsia="de-DE"/>
        </w:rPr>
        <w:t>, „um dir am Ende wohlzutun"). Dies ist eine charakteristisch deuteronomische Sicht: Gottes erzieherisches Handeln zielt auf Israels Bestes. Die dreifache finale Struktur (demütigen – prüfen – wohltun) zeigt: Die Demütigung war nicht Selbstzweck, sondern pädagogisches Mittel zum Wohl Israels.</w:t>
      </w:r>
    </w:p>
    <w:p w14:paraId="28CC6FFD"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t xml:space="preserve">Die Satzstruktur ist eine partizipiale Apposition mit Suffix-Objekt, direktem Objekt, Ortsangabe und Relativsatz (mit Prädikat, Negation und Subjekt), gefolgt von einer dreifachen finalen Konstruktion (zwei koordinierte Infinitive mit </w:t>
      </w:r>
      <w:r w:rsidRPr="009B1EBB">
        <w:rPr>
          <w:rFonts w:eastAsia="Times New Roman"/>
          <w:b/>
          <w:bCs/>
          <w:rtl/>
          <w:lang w:eastAsia="de-DE"/>
        </w:rPr>
        <w:t>לְמַעַן</w:t>
      </w:r>
      <w:r w:rsidRPr="009B1EBB">
        <w:rPr>
          <w:rFonts w:eastAsia="Times New Roman"/>
          <w:rtl/>
          <w:lang w:eastAsia="de-DE"/>
        </w:rPr>
        <w:t xml:space="preserve"> </w:t>
      </w:r>
      <w:r w:rsidRPr="009B1EBB">
        <w:rPr>
          <w:rFonts w:eastAsia="Times New Roman"/>
          <w:lang w:eastAsia="de-DE"/>
        </w:rPr>
        <w:t xml:space="preserve">und Suffix, der dritte Infinitiv mit </w:t>
      </w:r>
      <w:r w:rsidRPr="009B1EBB">
        <w:rPr>
          <w:rFonts w:eastAsia="Times New Roman"/>
          <w:b/>
          <w:bCs/>
          <w:rtl/>
          <w:lang w:eastAsia="de-DE"/>
        </w:rPr>
        <w:t>לְ</w:t>
      </w:r>
      <w:r w:rsidRPr="009B1EBB">
        <w:rPr>
          <w:rFonts w:eastAsia="Times New Roman"/>
          <w:lang w:eastAsia="de-DE"/>
        </w:rPr>
        <w:t>, Suffix und temporaler Bestimmung). Die Struktur enthüllt die pädagogische Absicht der Wüstenprüfungen.</w:t>
      </w:r>
    </w:p>
    <w:p w14:paraId="45F10F42"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lastRenderedPageBreak/>
        <w:t>Der Vers setzt die Erinnerung fort: JHWH speiste Israel mit dem unbekannten Manna, um es zu demütigen, zu prüfen und ihm letztlich wohlzutun – die Wüstenprüfungen als göttliche Pädagogik zum Wohl Israels.</w:t>
      </w:r>
    </w:p>
    <w:p w14:paraId="4BE3225B" w14:textId="77777777" w:rsidR="009B1EBB" w:rsidRPr="009B1EBB" w:rsidRDefault="009B1EBB" w:rsidP="009B1EBB">
      <w:pPr>
        <w:spacing w:before="100" w:beforeAutospacing="1" w:after="100" w:afterAutospacing="1" w:line="240" w:lineRule="auto"/>
        <w:outlineLvl w:val="1"/>
        <w:rPr>
          <w:rFonts w:eastAsia="Times New Roman"/>
          <w:b/>
          <w:bCs/>
          <w:sz w:val="36"/>
          <w:szCs w:val="36"/>
          <w:lang w:eastAsia="de-DE"/>
        </w:rPr>
      </w:pPr>
      <w:r w:rsidRPr="009B1EBB">
        <w:rPr>
          <w:rFonts w:eastAsia="Times New Roman"/>
          <w:b/>
          <w:bCs/>
          <w:sz w:val="36"/>
          <w:szCs w:val="36"/>
          <w:lang w:eastAsia="de-DE"/>
        </w:rPr>
        <w:t>Deuteronomium 8,17</w:t>
      </w:r>
    </w:p>
    <w:p w14:paraId="63A9CC8E"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Hebräisch:</w:t>
      </w:r>
      <w:r w:rsidRPr="009B1EBB">
        <w:rPr>
          <w:rFonts w:eastAsia="Times New Roman"/>
          <w:lang w:eastAsia="de-DE"/>
        </w:rPr>
        <w:t xml:space="preserve"> </w:t>
      </w:r>
      <w:r w:rsidRPr="009B1EBB">
        <w:rPr>
          <w:rFonts w:eastAsia="Times New Roman"/>
          <w:rtl/>
          <w:lang w:eastAsia="de-DE"/>
        </w:rPr>
        <w:t>וְאָמַרְתָּ בִּלְבָבֶךָ כֹּחִי וְעֹצֶם יָדִי עָשָׂה לִי אֶת־הַחַיִל הַזֶּה׃</w:t>
      </w:r>
    </w:p>
    <w:p w14:paraId="04195914"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Deutsch:</w:t>
      </w:r>
      <w:r w:rsidRPr="009B1EBB">
        <w:rPr>
          <w:rFonts w:eastAsia="Times New Roman"/>
          <w:lang w:eastAsia="de-DE"/>
        </w:rPr>
        <w:t xml:space="preserve"> Und du könntest in deinem Herzen sagen: Meine Kraft und die Stärke meiner Hand hat mir dieses Vermögen verschafft!</w:t>
      </w:r>
    </w:p>
    <w:p w14:paraId="5B7B008C" w14:textId="77777777" w:rsidR="009B1EBB" w:rsidRPr="009B1EBB" w:rsidRDefault="004F5CEB" w:rsidP="009B1EBB">
      <w:pPr>
        <w:spacing w:after="0" w:line="240" w:lineRule="auto"/>
        <w:rPr>
          <w:rFonts w:eastAsia="Times New Roman"/>
          <w:lang w:eastAsia="de-DE"/>
        </w:rPr>
      </w:pPr>
      <w:r>
        <w:rPr>
          <w:rFonts w:eastAsia="Times New Roman"/>
          <w:noProof/>
          <w:lang w:eastAsia="de-DE"/>
        </w:rPr>
        <w:pict w14:anchorId="4808ACB9">
          <v:rect id="_x0000_i1286" style="width:0;height:1.5pt" o:hralign="center" o:hrstd="t" o:hr="t" fillcolor="#a0a0a0" stroked="f"/>
        </w:pict>
      </w:r>
    </w:p>
    <w:p w14:paraId="18D0E21D"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Kommentar:</w:t>
      </w:r>
      <w:r w:rsidRPr="009B1EBB">
        <w:rPr>
          <w:rFonts w:eastAsia="Times New Roman"/>
          <w:lang w:eastAsia="de-DE"/>
        </w:rPr>
        <w:t xml:space="preserve"> </w:t>
      </w:r>
      <w:r w:rsidRPr="009B1EBB">
        <w:rPr>
          <w:rFonts w:eastAsia="Times New Roman"/>
          <w:b/>
          <w:bCs/>
          <w:rtl/>
          <w:lang w:eastAsia="de-DE"/>
        </w:rPr>
        <w:t>וְאָמַרְתָּ בִּלְבָבֶךָ</w:t>
      </w:r>
      <w:r w:rsidRPr="009B1EBB">
        <w:rPr>
          <w:rFonts w:eastAsia="Times New Roman"/>
          <w:rtl/>
          <w:lang w:eastAsia="de-DE"/>
        </w:rPr>
        <w:t xml:space="preserve"> </w:t>
      </w:r>
      <w:r w:rsidRPr="009B1EBB">
        <w:rPr>
          <w:rFonts w:eastAsia="Times New Roman"/>
          <w:lang w:eastAsia="de-DE"/>
        </w:rPr>
        <w:t xml:space="preserve">ist Qal Perfekt consecutivum, 2. Person Singular maskulin von </w:t>
      </w:r>
      <w:r w:rsidRPr="009B1EBB">
        <w:rPr>
          <w:rFonts w:eastAsia="Times New Roman"/>
          <w:b/>
          <w:bCs/>
          <w:rtl/>
          <w:lang w:eastAsia="de-DE"/>
        </w:rPr>
        <w:t>אמר</w:t>
      </w:r>
      <w:r w:rsidRPr="009B1EBB">
        <w:rPr>
          <w:rFonts w:eastAsia="Times New Roman"/>
          <w:lang w:eastAsia="de-DE"/>
        </w:rPr>
        <w:t xml:space="preserve">, „sagen", mit </w:t>
      </w:r>
      <w:r w:rsidRPr="009B1EBB">
        <w:rPr>
          <w:rFonts w:eastAsia="Times New Roman"/>
          <w:b/>
          <w:bCs/>
          <w:rtl/>
          <w:lang w:eastAsia="de-DE"/>
        </w:rPr>
        <w:t>וְ</w:t>
      </w:r>
      <w:r w:rsidRPr="009B1EBB">
        <w:rPr>
          <w:rFonts w:eastAsia="Times New Roman"/>
          <w:lang w:eastAsia="de-DE"/>
        </w:rPr>
        <w:t xml:space="preserve">, </w:t>
      </w:r>
      <w:r w:rsidRPr="009B1EBB">
        <w:rPr>
          <w:rFonts w:eastAsia="Times New Roman"/>
          <w:b/>
          <w:bCs/>
          <w:rtl/>
          <w:lang w:eastAsia="de-DE"/>
        </w:rPr>
        <w:t>בִּלְבָבֶךָ</w:t>
      </w:r>
      <w:r w:rsidRPr="009B1EBB">
        <w:rPr>
          <w:rFonts w:eastAsia="Times New Roman"/>
          <w:rtl/>
          <w:lang w:eastAsia="de-DE"/>
        </w:rPr>
        <w:t xml:space="preserve"> </w:t>
      </w:r>
      <w:r w:rsidRPr="009B1EBB">
        <w:rPr>
          <w:rFonts w:eastAsia="Times New Roman"/>
          <w:lang w:eastAsia="de-DE"/>
        </w:rPr>
        <w:t>als modale bzw. lokale Bestimmung (</w:t>
      </w:r>
      <w:r w:rsidRPr="009B1EBB">
        <w:rPr>
          <w:rFonts w:eastAsia="Times New Roman"/>
          <w:b/>
          <w:bCs/>
          <w:rtl/>
          <w:lang w:eastAsia="de-DE"/>
        </w:rPr>
        <w:t>בְּ</w:t>
      </w:r>
      <w:r w:rsidRPr="009B1EBB">
        <w:rPr>
          <w:rFonts w:eastAsia="Times New Roman"/>
          <w:rtl/>
          <w:lang w:eastAsia="de-DE"/>
        </w:rPr>
        <w:t xml:space="preserve"> </w:t>
      </w:r>
      <w:r w:rsidRPr="009B1EBB">
        <w:rPr>
          <w:rFonts w:eastAsia="Times New Roman"/>
          <w:lang w:eastAsia="de-DE"/>
        </w:rPr>
        <w:t xml:space="preserve">mit </w:t>
      </w:r>
      <w:r w:rsidRPr="009B1EBB">
        <w:rPr>
          <w:rFonts w:eastAsia="Times New Roman"/>
          <w:b/>
          <w:bCs/>
          <w:rtl/>
          <w:lang w:eastAsia="de-DE"/>
        </w:rPr>
        <w:t>לֵבָב</w:t>
      </w:r>
      <w:r w:rsidRPr="009B1EBB">
        <w:rPr>
          <w:rFonts w:eastAsia="Times New Roman"/>
          <w:rtl/>
          <w:lang w:eastAsia="de-DE"/>
        </w:rPr>
        <w:t xml:space="preserve"> </w:t>
      </w:r>
      <w:r w:rsidRPr="009B1EBB">
        <w:rPr>
          <w:rFonts w:eastAsia="Times New Roman"/>
          <w:lang w:eastAsia="de-DE"/>
        </w:rPr>
        <w:t>und Suffix – „in deinem Herzen" = „bei dir selbst, innerlich").</w:t>
      </w:r>
    </w:p>
    <w:p w14:paraId="207F318D"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rtl/>
          <w:lang w:eastAsia="de-DE"/>
        </w:rPr>
        <w:t>כֹּחִי וְעֹצֶם יָדִי עָשָׂה לִי אֶת־הַחַיִל הַזֶּה</w:t>
      </w:r>
      <w:r w:rsidRPr="009B1EBB">
        <w:rPr>
          <w:rFonts w:eastAsia="Times New Roman"/>
          <w:rtl/>
          <w:lang w:eastAsia="de-DE"/>
        </w:rPr>
        <w:t xml:space="preserve"> </w:t>
      </w:r>
      <w:r w:rsidRPr="009B1EBB">
        <w:rPr>
          <w:rFonts w:eastAsia="Times New Roman"/>
          <w:lang w:eastAsia="de-DE"/>
        </w:rPr>
        <w:t xml:space="preserve">ist die direkte Rede: </w:t>
      </w:r>
      <w:r w:rsidRPr="009B1EBB">
        <w:rPr>
          <w:rFonts w:eastAsia="Times New Roman"/>
          <w:b/>
          <w:bCs/>
          <w:rtl/>
          <w:lang w:eastAsia="de-DE"/>
        </w:rPr>
        <w:t>כֹּחִי וְעֹצֶם יָדִי</w:t>
      </w:r>
      <w:r w:rsidRPr="009B1EBB">
        <w:rPr>
          <w:rFonts w:eastAsia="Times New Roman"/>
          <w:rtl/>
          <w:lang w:eastAsia="de-DE"/>
        </w:rPr>
        <w:t xml:space="preserve"> </w:t>
      </w:r>
      <w:r w:rsidRPr="009B1EBB">
        <w:rPr>
          <w:rFonts w:eastAsia="Times New Roman"/>
          <w:lang w:eastAsia="de-DE"/>
        </w:rPr>
        <w:t>als zweigliedrige koordinierte Subjektaufzählung (</w:t>
      </w:r>
      <w:r w:rsidRPr="009B1EBB">
        <w:rPr>
          <w:rFonts w:eastAsia="Times New Roman"/>
          <w:b/>
          <w:bCs/>
          <w:rtl/>
          <w:lang w:eastAsia="de-DE"/>
        </w:rPr>
        <w:t>כֹּחַ</w:t>
      </w:r>
      <w:r w:rsidRPr="009B1EBB">
        <w:rPr>
          <w:rFonts w:eastAsia="Times New Roman"/>
          <w:lang w:eastAsia="de-DE"/>
        </w:rPr>
        <w:t xml:space="preserve">, „Kraft", mit Suffix 1. Person Singular, koordiniert mit </w:t>
      </w:r>
      <w:r w:rsidRPr="009B1EBB">
        <w:rPr>
          <w:rFonts w:eastAsia="Times New Roman"/>
          <w:b/>
          <w:bCs/>
          <w:rtl/>
          <w:lang w:eastAsia="de-DE"/>
        </w:rPr>
        <w:t>עֹצֶם</w:t>
      </w:r>
      <w:r w:rsidRPr="009B1EBB">
        <w:rPr>
          <w:rFonts w:eastAsia="Times New Roman"/>
          <w:lang w:eastAsia="de-DE"/>
        </w:rPr>
        <w:t xml:space="preserve">, „Stärke, Macht", im Construct mit </w:t>
      </w:r>
      <w:r w:rsidRPr="009B1EBB">
        <w:rPr>
          <w:rFonts w:eastAsia="Times New Roman"/>
          <w:b/>
          <w:bCs/>
          <w:rtl/>
          <w:lang w:eastAsia="de-DE"/>
        </w:rPr>
        <w:t>יָד</w:t>
      </w:r>
      <w:r w:rsidRPr="009B1EBB">
        <w:rPr>
          <w:rFonts w:eastAsia="Times New Roman"/>
          <w:rtl/>
          <w:lang w:eastAsia="de-DE"/>
        </w:rPr>
        <w:t xml:space="preserve"> </w:t>
      </w:r>
      <w:r w:rsidRPr="009B1EBB">
        <w:rPr>
          <w:rFonts w:eastAsia="Times New Roman"/>
          <w:lang w:eastAsia="de-DE"/>
        </w:rPr>
        <w:t xml:space="preserve">und Suffix 1. Person Singular – „die Stärke meiner Hand"), </w:t>
      </w:r>
      <w:r w:rsidRPr="009B1EBB">
        <w:rPr>
          <w:rFonts w:eastAsia="Times New Roman"/>
          <w:b/>
          <w:bCs/>
          <w:rtl/>
          <w:lang w:eastAsia="de-DE"/>
        </w:rPr>
        <w:t>עָשָׂה</w:t>
      </w:r>
      <w:r w:rsidRPr="009B1EBB">
        <w:rPr>
          <w:rFonts w:eastAsia="Times New Roman"/>
          <w:rtl/>
          <w:lang w:eastAsia="de-DE"/>
        </w:rPr>
        <w:t xml:space="preserve"> </w:t>
      </w:r>
      <w:r w:rsidRPr="009B1EBB">
        <w:rPr>
          <w:rFonts w:eastAsia="Times New Roman"/>
          <w:lang w:eastAsia="de-DE"/>
        </w:rPr>
        <w:t xml:space="preserve">als Qal Perfekt, 3. Person Singular maskulin von </w:t>
      </w:r>
      <w:r w:rsidRPr="009B1EBB">
        <w:rPr>
          <w:rFonts w:eastAsia="Times New Roman"/>
          <w:b/>
          <w:bCs/>
          <w:rtl/>
          <w:lang w:eastAsia="de-DE"/>
        </w:rPr>
        <w:t>עשׂה</w:t>
      </w:r>
      <w:r w:rsidRPr="009B1EBB">
        <w:rPr>
          <w:rFonts w:eastAsia="Times New Roman"/>
          <w:lang w:eastAsia="de-DE"/>
        </w:rPr>
        <w:t xml:space="preserve">, „tun, machen, schaffen", </w:t>
      </w:r>
      <w:r w:rsidRPr="009B1EBB">
        <w:rPr>
          <w:rFonts w:eastAsia="Times New Roman"/>
          <w:b/>
          <w:bCs/>
          <w:rtl/>
          <w:lang w:eastAsia="de-DE"/>
        </w:rPr>
        <w:t>לִי</w:t>
      </w:r>
      <w:r w:rsidRPr="009B1EBB">
        <w:rPr>
          <w:rFonts w:eastAsia="Times New Roman"/>
          <w:rtl/>
          <w:lang w:eastAsia="de-DE"/>
        </w:rPr>
        <w:t xml:space="preserve"> </w:t>
      </w:r>
      <w:r w:rsidRPr="009B1EBB">
        <w:rPr>
          <w:rFonts w:eastAsia="Times New Roman"/>
          <w:lang w:eastAsia="de-DE"/>
        </w:rPr>
        <w:t xml:space="preserve">als Dativ, </w:t>
      </w:r>
      <w:r w:rsidRPr="009B1EBB">
        <w:rPr>
          <w:rFonts w:eastAsia="Times New Roman"/>
          <w:b/>
          <w:bCs/>
          <w:rtl/>
          <w:lang w:eastAsia="de-DE"/>
        </w:rPr>
        <w:t>אֶת־הַחַיִל הַזֶּה</w:t>
      </w:r>
      <w:r w:rsidRPr="009B1EBB">
        <w:rPr>
          <w:rFonts w:eastAsia="Times New Roman"/>
          <w:rtl/>
          <w:lang w:eastAsia="de-DE"/>
        </w:rPr>
        <w:t xml:space="preserve"> </w:t>
      </w:r>
      <w:r w:rsidRPr="009B1EBB">
        <w:rPr>
          <w:rFonts w:eastAsia="Times New Roman"/>
          <w:lang w:eastAsia="de-DE"/>
        </w:rPr>
        <w:t>als direktes Objekt (</w:t>
      </w:r>
      <w:r w:rsidRPr="009B1EBB">
        <w:rPr>
          <w:rFonts w:eastAsia="Times New Roman"/>
          <w:b/>
          <w:bCs/>
          <w:rtl/>
          <w:lang w:eastAsia="de-DE"/>
        </w:rPr>
        <w:t>חַיִל</w:t>
      </w:r>
      <w:r w:rsidRPr="009B1EBB">
        <w:rPr>
          <w:rFonts w:eastAsia="Times New Roman"/>
          <w:lang w:eastAsia="de-DE"/>
        </w:rPr>
        <w:t xml:space="preserve">, „Kraft, Vermögen, Reichtum", mit Artikel und Demonstrativpronomen </w:t>
      </w:r>
      <w:r w:rsidRPr="009B1EBB">
        <w:rPr>
          <w:rFonts w:eastAsia="Times New Roman"/>
          <w:b/>
          <w:bCs/>
          <w:rtl/>
          <w:lang w:eastAsia="de-DE"/>
        </w:rPr>
        <w:t>הַזֶּה</w:t>
      </w:r>
      <w:r w:rsidRPr="009B1EBB">
        <w:rPr>
          <w:rFonts w:eastAsia="Times New Roman"/>
          <w:lang w:eastAsia="de-DE"/>
        </w:rPr>
        <w:t>).</w:t>
      </w:r>
    </w:p>
    <w:p w14:paraId="4A9CBED8"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t>Der Vers formuliert die gottlose, hochmütige Selbsteinschätzung, die im Wohlstand entsteht: Der Mensch schreibt sich selbst den Erfolg zu (</w:t>
      </w:r>
      <w:r w:rsidRPr="009B1EBB">
        <w:rPr>
          <w:rFonts w:eastAsia="Times New Roman"/>
          <w:b/>
          <w:bCs/>
          <w:rtl/>
          <w:lang w:eastAsia="de-DE"/>
        </w:rPr>
        <w:t>כֹּחִי וְעֹצֶם יָדִי</w:t>
      </w:r>
      <w:r w:rsidRPr="009B1EBB">
        <w:rPr>
          <w:rFonts w:eastAsia="Times New Roman"/>
          <w:lang w:eastAsia="de-DE"/>
        </w:rPr>
        <w:t xml:space="preserve">, „meine Kraft und die Stärke meiner Hand"). Dies ist der Höhepunkt der Warnung vor Hochmut: Im Wohlstand vergisst der Mensch Gott und hält sich selbst für den Urheber seines Reichtums. Die Wendung </w:t>
      </w:r>
      <w:r w:rsidRPr="009B1EBB">
        <w:rPr>
          <w:rFonts w:eastAsia="Times New Roman"/>
          <w:b/>
          <w:bCs/>
          <w:rtl/>
          <w:lang w:eastAsia="de-DE"/>
        </w:rPr>
        <w:t>אמר בְּלֵבָב</w:t>
      </w:r>
      <w:r w:rsidRPr="009B1EBB">
        <w:rPr>
          <w:rFonts w:eastAsia="Times New Roman"/>
          <w:rtl/>
          <w:lang w:eastAsia="de-DE"/>
        </w:rPr>
        <w:t xml:space="preserve"> </w:t>
      </w:r>
      <w:r w:rsidRPr="009B1EBB">
        <w:rPr>
          <w:rFonts w:eastAsia="Times New Roman"/>
          <w:lang w:eastAsia="de-DE"/>
        </w:rPr>
        <w:t xml:space="preserve">(„im Herzen sagen") bezeichnet innere Gedanken (vgl. V. 17; 7,17; 9,4; 18,21). Das Wort </w:t>
      </w:r>
      <w:r w:rsidRPr="009B1EBB">
        <w:rPr>
          <w:rFonts w:eastAsia="Times New Roman"/>
          <w:b/>
          <w:bCs/>
          <w:rtl/>
          <w:lang w:eastAsia="de-DE"/>
        </w:rPr>
        <w:t>חַיִל</w:t>
      </w:r>
      <w:r w:rsidRPr="009B1EBB">
        <w:rPr>
          <w:rFonts w:eastAsia="Times New Roman"/>
          <w:rtl/>
          <w:lang w:eastAsia="de-DE"/>
        </w:rPr>
        <w:t xml:space="preserve"> </w:t>
      </w:r>
      <w:r w:rsidRPr="009B1EBB">
        <w:rPr>
          <w:rFonts w:eastAsia="Times New Roman"/>
          <w:lang w:eastAsia="de-DE"/>
        </w:rPr>
        <w:t>kann „Kraft, Macht, Vermögen, Reichtum, Heer" bedeuten – hier „Vermögen, Reichtum".</w:t>
      </w:r>
    </w:p>
    <w:p w14:paraId="7A524F63"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Die LXX</w:t>
      </w:r>
      <w:r w:rsidRPr="009B1EBB">
        <w:rPr>
          <w:rFonts w:eastAsia="Times New Roman"/>
          <w:lang w:eastAsia="de-DE"/>
        </w:rPr>
        <w:t xml:space="preserve"> übersetzt </w:t>
      </w:r>
      <w:r w:rsidRPr="009B1EBB">
        <w:rPr>
          <w:rFonts w:eastAsia="Times New Roman"/>
          <w:b/>
          <w:bCs/>
          <w:lang w:eastAsia="de-DE"/>
        </w:rPr>
        <w:t xml:space="preserve">ἡ </w:t>
      </w:r>
      <w:proofErr w:type="spellStart"/>
      <w:r w:rsidRPr="009B1EBB">
        <w:rPr>
          <w:rFonts w:eastAsia="Times New Roman"/>
          <w:b/>
          <w:bCs/>
          <w:lang w:eastAsia="de-DE"/>
        </w:rPr>
        <w:t>ἰσχύς</w:t>
      </w:r>
      <w:proofErr w:type="spellEnd"/>
      <w:r w:rsidRPr="009B1EBB">
        <w:rPr>
          <w:rFonts w:eastAsia="Times New Roman"/>
          <w:b/>
          <w:bCs/>
          <w:lang w:eastAsia="de-DE"/>
        </w:rPr>
        <w:t xml:space="preserve"> </w:t>
      </w:r>
      <w:proofErr w:type="spellStart"/>
      <w:r w:rsidRPr="009B1EBB">
        <w:rPr>
          <w:rFonts w:eastAsia="Times New Roman"/>
          <w:b/>
          <w:bCs/>
          <w:lang w:eastAsia="de-DE"/>
        </w:rPr>
        <w:t>μου</w:t>
      </w:r>
      <w:proofErr w:type="spellEnd"/>
      <w:r w:rsidRPr="009B1EBB">
        <w:rPr>
          <w:rFonts w:eastAsia="Times New Roman"/>
          <w:b/>
          <w:bCs/>
          <w:lang w:eastAsia="de-DE"/>
        </w:rPr>
        <w:t xml:space="preserve"> καὶ </w:t>
      </w:r>
      <w:proofErr w:type="spellStart"/>
      <w:r w:rsidRPr="009B1EBB">
        <w:rPr>
          <w:rFonts w:eastAsia="Times New Roman"/>
          <w:b/>
          <w:bCs/>
          <w:lang w:eastAsia="de-DE"/>
        </w:rPr>
        <w:t>τὸ</w:t>
      </w:r>
      <w:proofErr w:type="spellEnd"/>
      <w:r w:rsidRPr="009B1EBB">
        <w:rPr>
          <w:rFonts w:eastAsia="Times New Roman"/>
          <w:b/>
          <w:bCs/>
          <w:lang w:eastAsia="de-DE"/>
        </w:rPr>
        <w:t xml:space="preserve"> </w:t>
      </w:r>
      <w:proofErr w:type="spellStart"/>
      <w:r w:rsidRPr="009B1EBB">
        <w:rPr>
          <w:rFonts w:eastAsia="Times New Roman"/>
          <w:b/>
          <w:bCs/>
          <w:lang w:eastAsia="de-DE"/>
        </w:rPr>
        <w:t>κράτος</w:t>
      </w:r>
      <w:proofErr w:type="spellEnd"/>
      <w:r w:rsidRPr="009B1EBB">
        <w:rPr>
          <w:rFonts w:eastAsia="Times New Roman"/>
          <w:b/>
          <w:bCs/>
          <w:lang w:eastAsia="de-DE"/>
        </w:rPr>
        <w:t xml:space="preserve"> </w:t>
      </w:r>
      <w:proofErr w:type="spellStart"/>
      <w:r w:rsidRPr="009B1EBB">
        <w:rPr>
          <w:rFonts w:eastAsia="Times New Roman"/>
          <w:b/>
          <w:bCs/>
          <w:lang w:eastAsia="de-DE"/>
        </w:rPr>
        <w:t>τῆς</w:t>
      </w:r>
      <w:proofErr w:type="spellEnd"/>
      <w:r w:rsidRPr="009B1EBB">
        <w:rPr>
          <w:rFonts w:eastAsia="Times New Roman"/>
          <w:b/>
          <w:bCs/>
          <w:lang w:eastAsia="de-DE"/>
        </w:rPr>
        <w:t xml:space="preserve"> </w:t>
      </w:r>
      <w:proofErr w:type="spellStart"/>
      <w:r w:rsidRPr="009B1EBB">
        <w:rPr>
          <w:rFonts w:eastAsia="Times New Roman"/>
          <w:b/>
          <w:bCs/>
          <w:lang w:eastAsia="de-DE"/>
        </w:rPr>
        <w:t>χειρός</w:t>
      </w:r>
      <w:proofErr w:type="spellEnd"/>
      <w:r w:rsidRPr="009B1EBB">
        <w:rPr>
          <w:rFonts w:eastAsia="Times New Roman"/>
          <w:b/>
          <w:bCs/>
          <w:lang w:eastAsia="de-DE"/>
        </w:rPr>
        <w:t xml:space="preserve"> </w:t>
      </w:r>
      <w:proofErr w:type="spellStart"/>
      <w:r w:rsidRPr="009B1EBB">
        <w:rPr>
          <w:rFonts w:eastAsia="Times New Roman"/>
          <w:b/>
          <w:bCs/>
          <w:lang w:eastAsia="de-DE"/>
        </w:rPr>
        <w:t>μου</w:t>
      </w:r>
      <w:proofErr w:type="spellEnd"/>
      <w:r w:rsidRPr="009B1EBB">
        <w:rPr>
          <w:rFonts w:eastAsia="Times New Roman"/>
          <w:lang w:eastAsia="de-DE"/>
        </w:rPr>
        <w:t xml:space="preserve"> („meine Stärke und die Macht meiner Hand") für </w:t>
      </w:r>
      <w:r w:rsidRPr="009B1EBB">
        <w:rPr>
          <w:rFonts w:eastAsia="Times New Roman"/>
          <w:b/>
          <w:bCs/>
          <w:rtl/>
          <w:lang w:eastAsia="de-DE"/>
        </w:rPr>
        <w:t>כֹּחִי וְעֹצֶם יָדִי</w:t>
      </w:r>
      <w:r w:rsidRPr="009B1EBB">
        <w:rPr>
          <w:rFonts w:eastAsia="Times New Roman"/>
          <w:rtl/>
          <w:lang w:eastAsia="de-DE"/>
        </w:rPr>
        <w:t xml:space="preserve"> </w:t>
      </w:r>
      <w:r w:rsidRPr="009B1EBB">
        <w:rPr>
          <w:rFonts w:eastAsia="Times New Roman"/>
          <w:lang w:eastAsia="de-DE"/>
        </w:rPr>
        <w:t xml:space="preserve">und </w:t>
      </w:r>
      <w:r w:rsidRPr="009B1EBB">
        <w:rPr>
          <w:rFonts w:eastAsia="Times New Roman"/>
          <w:b/>
          <w:bCs/>
          <w:lang w:eastAsia="de-DE"/>
        </w:rPr>
        <w:t>ἐπ</w:t>
      </w:r>
      <w:proofErr w:type="spellStart"/>
      <w:r w:rsidRPr="009B1EBB">
        <w:rPr>
          <w:rFonts w:eastAsia="Times New Roman"/>
          <w:b/>
          <w:bCs/>
          <w:lang w:eastAsia="de-DE"/>
        </w:rPr>
        <w:t>οίησέν</w:t>
      </w:r>
      <w:proofErr w:type="spellEnd"/>
      <w:r w:rsidRPr="009B1EBB">
        <w:rPr>
          <w:rFonts w:eastAsia="Times New Roman"/>
          <w:b/>
          <w:bCs/>
          <w:lang w:eastAsia="de-DE"/>
        </w:rPr>
        <w:t xml:space="preserve"> </w:t>
      </w:r>
      <w:proofErr w:type="spellStart"/>
      <w:r w:rsidRPr="009B1EBB">
        <w:rPr>
          <w:rFonts w:eastAsia="Times New Roman"/>
          <w:b/>
          <w:bCs/>
          <w:lang w:eastAsia="de-DE"/>
        </w:rPr>
        <w:t>μοι</w:t>
      </w:r>
      <w:proofErr w:type="spellEnd"/>
      <w:r w:rsidRPr="009B1EBB">
        <w:rPr>
          <w:rFonts w:eastAsia="Times New Roman"/>
          <w:b/>
          <w:bCs/>
          <w:lang w:eastAsia="de-DE"/>
        </w:rPr>
        <w:t xml:space="preserve"> τὴν </w:t>
      </w:r>
      <w:proofErr w:type="spellStart"/>
      <w:r w:rsidRPr="009B1EBB">
        <w:rPr>
          <w:rFonts w:eastAsia="Times New Roman"/>
          <w:b/>
          <w:bCs/>
          <w:lang w:eastAsia="de-DE"/>
        </w:rPr>
        <w:t>δύν</w:t>
      </w:r>
      <w:proofErr w:type="spellEnd"/>
      <w:r w:rsidRPr="009B1EBB">
        <w:rPr>
          <w:rFonts w:eastAsia="Times New Roman"/>
          <w:b/>
          <w:bCs/>
          <w:lang w:eastAsia="de-DE"/>
        </w:rPr>
        <w:t xml:space="preserve">αμιν τὴν </w:t>
      </w:r>
      <w:proofErr w:type="spellStart"/>
      <w:r w:rsidRPr="009B1EBB">
        <w:rPr>
          <w:rFonts w:eastAsia="Times New Roman"/>
          <w:b/>
          <w:bCs/>
          <w:lang w:eastAsia="de-DE"/>
        </w:rPr>
        <w:t>μεγάλην</w:t>
      </w:r>
      <w:proofErr w:type="spellEnd"/>
      <w:r w:rsidRPr="009B1EBB">
        <w:rPr>
          <w:rFonts w:eastAsia="Times New Roman"/>
          <w:b/>
          <w:bCs/>
          <w:lang w:eastAsia="de-DE"/>
        </w:rPr>
        <w:t xml:space="preserve"> τα</w:t>
      </w:r>
      <w:proofErr w:type="spellStart"/>
      <w:r w:rsidRPr="009B1EBB">
        <w:rPr>
          <w:rFonts w:eastAsia="Times New Roman"/>
          <w:b/>
          <w:bCs/>
          <w:lang w:eastAsia="de-DE"/>
        </w:rPr>
        <w:t>ύτην</w:t>
      </w:r>
      <w:proofErr w:type="spellEnd"/>
      <w:r w:rsidRPr="009B1EBB">
        <w:rPr>
          <w:rFonts w:eastAsia="Times New Roman"/>
          <w:lang w:eastAsia="de-DE"/>
        </w:rPr>
        <w:t xml:space="preserve"> („hat mir diese große Macht gemacht") für </w:t>
      </w:r>
      <w:r w:rsidRPr="009B1EBB">
        <w:rPr>
          <w:rFonts w:eastAsia="Times New Roman"/>
          <w:b/>
          <w:bCs/>
          <w:rtl/>
          <w:lang w:eastAsia="de-DE"/>
        </w:rPr>
        <w:t>עָשָׂה לִי אֶת־הַחַיִל הַזֶּה</w:t>
      </w:r>
      <w:r w:rsidRPr="009B1EBB">
        <w:rPr>
          <w:rFonts w:eastAsia="Times New Roman"/>
          <w:lang w:eastAsia="de-DE"/>
        </w:rPr>
        <w:t>.</w:t>
      </w:r>
    </w:p>
    <w:p w14:paraId="42BC90E3"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t>Die Satzstruktur ist ein Perfekt consecutivum mit modaler bzw. lokaler Bestimmung, gefolgt von direkter Rede: ein Satz mit zweigliedriger koordinierter Subjektaufzählung (die zweite in Construct-Verbindung), Prädikat, Dativ und direktem Objekt mit Demonstrativpronomen. Die Struktur formuliert die hochmütige Selbstüberschätzung.</w:t>
      </w:r>
    </w:p>
    <w:p w14:paraId="570F1B1F"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t>Der Vers formuliert die falsche Haltung: Du könntest denken: „Meine eigene Kraft und Stärke hat mir diesen Reichtum verschafft!" – die gottlose Selbstüberschätzung im Wohlstand.</w:t>
      </w:r>
    </w:p>
    <w:p w14:paraId="7990591D" w14:textId="77777777" w:rsidR="009B1EBB" w:rsidRPr="009B1EBB" w:rsidRDefault="009B1EBB" w:rsidP="009B1EBB">
      <w:pPr>
        <w:spacing w:before="100" w:beforeAutospacing="1" w:after="100" w:afterAutospacing="1" w:line="240" w:lineRule="auto"/>
        <w:outlineLvl w:val="1"/>
        <w:rPr>
          <w:rFonts w:eastAsia="Times New Roman"/>
          <w:b/>
          <w:bCs/>
          <w:sz w:val="36"/>
          <w:szCs w:val="36"/>
          <w:lang w:eastAsia="de-DE"/>
        </w:rPr>
      </w:pPr>
      <w:r w:rsidRPr="009B1EBB">
        <w:rPr>
          <w:rFonts w:eastAsia="Times New Roman"/>
          <w:b/>
          <w:bCs/>
          <w:sz w:val="36"/>
          <w:szCs w:val="36"/>
          <w:lang w:eastAsia="de-DE"/>
        </w:rPr>
        <w:t>Deuteronomium 8,18</w:t>
      </w:r>
    </w:p>
    <w:p w14:paraId="31B79A1C"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lastRenderedPageBreak/>
        <w:t>Hebräisch:</w:t>
      </w:r>
      <w:r w:rsidRPr="009B1EBB">
        <w:rPr>
          <w:rFonts w:eastAsia="Times New Roman"/>
          <w:lang w:eastAsia="de-DE"/>
        </w:rPr>
        <w:t xml:space="preserve"> </w:t>
      </w:r>
      <w:r w:rsidRPr="009B1EBB">
        <w:rPr>
          <w:rFonts w:eastAsia="Times New Roman"/>
          <w:rtl/>
          <w:lang w:eastAsia="de-DE"/>
        </w:rPr>
        <w:t>וְזָכַרְתָּ אֶת־יְהוָה אֱלֹהֶיךָ כִּי הוּא הַנֹּתֵן לְךָ כֹּחַ לַעֲשׂוֹת חָיִל לְמַעַן הָקִים אֶת־בְּרִיתוֹ אֲשֶׁר־נִשְׁבַּע לַאֲבֹתֶיךָ כַּיּוֹם הַזֶּה׃</w:t>
      </w:r>
    </w:p>
    <w:p w14:paraId="6B9FDF4A"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Deutsch:</w:t>
      </w:r>
      <w:r w:rsidRPr="009B1EBB">
        <w:rPr>
          <w:rFonts w:eastAsia="Times New Roman"/>
          <w:lang w:eastAsia="de-DE"/>
        </w:rPr>
        <w:t xml:space="preserve"> Sondern du sollst des Ewigen, deines Gottes, gedenken, dass er es ist, der dir Kraft gibt, Vermögen zu schaffen; damit er seinen Bund aufrechterhält, den er deinen Vätern geschworen hat, wie es an diesem Tag ist.</w:t>
      </w:r>
    </w:p>
    <w:p w14:paraId="6F45FFC8" w14:textId="77777777" w:rsidR="009B1EBB" w:rsidRPr="009B1EBB" w:rsidRDefault="004F5CEB" w:rsidP="009B1EBB">
      <w:pPr>
        <w:spacing w:after="0" w:line="240" w:lineRule="auto"/>
        <w:rPr>
          <w:rFonts w:eastAsia="Times New Roman"/>
          <w:lang w:eastAsia="de-DE"/>
        </w:rPr>
      </w:pPr>
      <w:r>
        <w:rPr>
          <w:rFonts w:eastAsia="Times New Roman"/>
          <w:noProof/>
          <w:lang w:eastAsia="de-DE"/>
        </w:rPr>
        <w:pict w14:anchorId="0FD70EE6">
          <v:rect id="_x0000_i1287" style="width:0;height:1.5pt" o:hralign="center" o:hrstd="t" o:hr="t" fillcolor="#a0a0a0" stroked="f"/>
        </w:pict>
      </w:r>
    </w:p>
    <w:p w14:paraId="6B729D0E"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Kommentar:</w:t>
      </w:r>
      <w:r w:rsidRPr="009B1EBB">
        <w:rPr>
          <w:rFonts w:eastAsia="Times New Roman"/>
          <w:lang w:eastAsia="de-DE"/>
        </w:rPr>
        <w:t xml:space="preserve"> </w:t>
      </w:r>
      <w:r w:rsidRPr="009B1EBB">
        <w:rPr>
          <w:rFonts w:eastAsia="Times New Roman"/>
          <w:b/>
          <w:bCs/>
          <w:rtl/>
          <w:lang w:eastAsia="de-DE"/>
        </w:rPr>
        <w:t>וְזָכַרְתָּ אֶת־יְהוָה אֱלֹהֶיךָ</w:t>
      </w:r>
      <w:r w:rsidRPr="009B1EBB">
        <w:rPr>
          <w:rFonts w:eastAsia="Times New Roman"/>
          <w:rtl/>
          <w:lang w:eastAsia="de-DE"/>
        </w:rPr>
        <w:t xml:space="preserve"> </w:t>
      </w:r>
      <w:r w:rsidRPr="009B1EBB">
        <w:rPr>
          <w:rFonts w:eastAsia="Times New Roman"/>
          <w:lang w:eastAsia="de-DE"/>
        </w:rPr>
        <w:t xml:space="preserve">ist Qal Perfekt consecutivum, 2. Person Singular maskulin von </w:t>
      </w:r>
      <w:r w:rsidRPr="009B1EBB">
        <w:rPr>
          <w:rFonts w:eastAsia="Times New Roman"/>
          <w:b/>
          <w:bCs/>
          <w:rtl/>
          <w:lang w:eastAsia="de-DE"/>
        </w:rPr>
        <w:t>זכר</w:t>
      </w:r>
      <w:r w:rsidRPr="009B1EBB">
        <w:rPr>
          <w:rFonts w:eastAsia="Times New Roman"/>
          <w:lang w:eastAsia="de-DE"/>
        </w:rPr>
        <w:t xml:space="preserve">, „gedenken, erinnern", mit </w:t>
      </w:r>
      <w:r w:rsidRPr="009B1EBB">
        <w:rPr>
          <w:rFonts w:eastAsia="Times New Roman"/>
          <w:b/>
          <w:bCs/>
          <w:rtl/>
          <w:lang w:eastAsia="de-DE"/>
        </w:rPr>
        <w:t>וְ</w:t>
      </w:r>
      <w:r w:rsidRPr="009B1EBB">
        <w:rPr>
          <w:rFonts w:eastAsia="Times New Roman"/>
          <w:rtl/>
          <w:lang w:eastAsia="de-DE"/>
        </w:rPr>
        <w:t xml:space="preserve"> </w:t>
      </w:r>
      <w:r w:rsidRPr="009B1EBB">
        <w:rPr>
          <w:rFonts w:eastAsia="Times New Roman"/>
          <w:lang w:eastAsia="de-DE"/>
        </w:rPr>
        <w:t xml:space="preserve">– in imperativischer Funktion, </w:t>
      </w:r>
      <w:r w:rsidRPr="009B1EBB">
        <w:rPr>
          <w:rFonts w:eastAsia="Times New Roman"/>
          <w:b/>
          <w:bCs/>
          <w:rtl/>
          <w:lang w:eastAsia="de-DE"/>
        </w:rPr>
        <w:t>אֶת־יְהוָה אֱלֹהֶיךָ</w:t>
      </w:r>
      <w:r w:rsidRPr="009B1EBB">
        <w:rPr>
          <w:rFonts w:eastAsia="Times New Roman"/>
          <w:rtl/>
          <w:lang w:eastAsia="de-DE"/>
        </w:rPr>
        <w:t xml:space="preserve"> </w:t>
      </w:r>
      <w:r w:rsidRPr="009B1EBB">
        <w:rPr>
          <w:rFonts w:eastAsia="Times New Roman"/>
          <w:lang w:eastAsia="de-DE"/>
        </w:rPr>
        <w:t>als direktes Objekt (erweiterte Gottesbezeichnung).</w:t>
      </w:r>
    </w:p>
    <w:p w14:paraId="2700169A"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rtl/>
          <w:lang w:eastAsia="de-DE"/>
        </w:rPr>
        <w:t>כִּי הוּא הַנֹּתֵן לְךָ כֹּחַ לַעֲשׂוֹת חָיִל</w:t>
      </w:r>
      <w:r w:rsidRPr="009B1EBB">
        <w:rPr>
          <w:rFonts w:eastAsia="Times New Roman"/>
          <w:rtl/>
          <w:lang w:eastAsia="de-DE"/>
        </w:rPr>
        <w:t xml:space="preserve"> </w:t>
      </w:r>
      <w:r w:rsidRPr="009B1EBB">
        <w:rPr>
          <w:rFonts w:eastAsia="Times New Roman"/>
          <w:lang w:eastAsia="de-DE"/>
        </w:rPr>
        <w:t xml:space="preserve">ist ein </w:t>
      </w:r>
      <w:r w:rsidRPr="009B1EBB">
        <w:rPr>
          <w:rFonts w:eastAsia="Times New Roman"/>
          <w:b/>
          <w:bCs/>
          <w:rtl/>
          <w:lang w:eastAsia="de-DE"/>
        </w:rPr>
        <w:t>כִּי</w:t>
      </w:r>
      <w:r w:rsidRPr="009B1EBB">
        <w:rPr>
          <w:rFonts w:eastAsia="Times New Roman"/>
          <w:lang w:eastAsia="de-DE"/>
        </w:rPr>
        <w:t xml:space="preserve">-Objektsatz: </w:t>
      </w:r>
      <w:r w:rsidRPr="009B1EBB">
        <w:rPr>
          <w:rFonts w:eastAsia="Times New Roman"/>
          <w:b/>
          <w:bCs/>
          <w:rtl/>
          <w:lang w:eastAsia="de-DE"/>
        </w:rPr>
        <w:t>כִּי</w:t>
      </w:r>
      <w:r w:rsidRPr="009B1EBB">
        <w:rPr>
          <w:rFonts w:eastAsia="Times New Roman"/>
          <w:rtl/>
          <w:lang w:eastAsia="de-DE"/>
        </w:rPr>
        <w:t xml:space="preserve"> </w:t>
      </w:r>
      <w:r w:rsidRPr="009B1EBB">
        <w:rPr>
          <w:rFonts w:eastAsia="Times New Roman"/>
          <w:lang w:eastAsia="de-DE"/>
        </w:rPr>
        <w:t xml:space="preserve">als Konjunktion („dass"), </w:t>
      </w:r>
      <w:r w:rsidRPr="009B1EBB">
        <w:rPr>
          <w:rFonts w:eastAsia="Times New Roman"/>
          <w:b/>
          <w:bCs/>
          <w:rtl/>
          <w:lang w:eastAsia="de-DE"/>
        </w:rPr>
        <w:t>הוּא</w:t>
      </w:r>
      <w:r w:rsidRPr="009B1EBB">
        <w:rPr>
          <w:rFonts w:eastAsia="Times New Roman"/>
          <w:rtl/>
          <w:lang w:eastAsia="de-DE"/>
        </w:rPr>
        <w:t xml:space="preserve"> </w:t>
      </w:r>
      <w:r w:rsidRPr="009B1EBB">
        <w:rPr>
          <w:rFonts w:eastAsia="Times New Roman"/>
          <w:lang w:eastAsia="de-DE"/>
        </w:rPr>
        <w:t xml:space="preserve">als emphatisches Subjekt (Pronomen 3. Person Singular maskulin – „er [selbst]"), </w:t>
      </w:r>
      <w:r w:rsidRPr="009B1EBB">
        <w:rPr>
          <w:rFonts w:eastAsia="Times New Roman"/>
          <w:b/>
          <w:bCs/>
          <w:rtl/>
          <w:lang w:eastAsia="de-DE"/>
        </w:rPr>
        <w:t>הַנֹּתֵן לְךָ כֹּחַ</w:t>
      </w:r>
      <w:r w:rsidRPr="009B1EBB">
        <w:rPr>
          <w:rFonts w:eastAsia="Times New Roman"/>
          <w:rtl/>
          <w:lang w:eastAsia="de-DE"/>
        </w:rPr>
        <w:t xml:space="preserve"> </w:t>
      </w:r>
      <w:r w:rsidRPr="009B1EBB">
        <w:rPr>
          <w:rFonts w:eastAsia="Times New Roman"/>
          <w:lang w:eastAsia="de-DE"/>
        </w:rPr>
        <w:t xml:space="preserve">als Prädikat (Qal Partizip Singular maskulin von </w:t>
      </w:r>
      <w:r w:rsidRPr="009B1EBB">
        <w:rPr>
          <w:rFonts w:eastAsia="Times New Roman"/>
          <w:b/>
          <w:bCs/>
          <w:rtl/>
          <w:lang w:eastAsia="de-DE"/>
        </w:rPr>
        <w:t>נתן</w:t>
      </w:r>
      <w:r w:rsidRPr="009B1EBB">
        <w:rPr>
          <w:rFonts w:eastAsia="Times New Roman"/>
          <w:lang w:eastAsia="de-DE"/>
        </w:rPr>
        <w:t xml:space="preserve">, „geben", mit Artikel, </w:t>
      </w:r>
      <w:r w:rsidRPr="009B1EBB">
        <w:rPr>
          <w:rFonts w:eastAsia="Times New Roman"/>
          <w:b/>
          <w:bCs/>
          <w:rtl/>
          <w:lang w:eastAsia="de-DE"/>
        </w:rPr>
        <w:t>לְךָ</w:t>
      </w:r>
      <w:r w:rsidRPr="009B1EBB">
        <w:rPr>
          <w:rFonts w:eastAsia="Times New Roman"/>
          <w:rtl/>
          <w:lang w:eastAsia="de-DE"/>
        </w:rPr>
        <w:t xml:space="preserve"> </w:t>
      </w:r>
      <w:r w:rsidRPr="009B1EBB">
        <w:rPr>
          <w:rFonts w:eastAsia="Times New Roman"/>
          <w:lang w:eastAsia="de-DE"/>
        </w:rPr>
        <w:t xml:space="preserve">als indirektes Objekt, </w:t>
      </w:r>
      <w:r w:rsidRPr="009B1EBB">
        <w:rPr>
          <w:rFonts w:eastAsia="Times New Roman"/>
          <w:b/>
          <w:bCs/>
          <w:rtl/>
          <w:lang w:eastAsia="de-DE"/>
        </w:rPr>
        <w:t>כֹּחַ</w:t>
      </w:r>
      <w:r w:rsidRPr="009B1EBB">
        <w:rPr>
          <w:rFonts w:eastAsia="Times New Roman"/>
          <w:lang w:eastAsia="de-DE"/>
        </w:rPr>
        <w:t xml:space="preserve">, „Kraft", als direktes Objekt), </w:t>
      </w:r>
      <w:r w:rsidRPr="009B1EBB">
        <w:rPr>
          <w:rFonts w:eastAsia="Times New Roman"/>
          <w:b/>
          <w:bCs/>
          <w:rtl/>
          <w:lang w:eastAsia="de-DE"/>
        </w:rPr>
        <w:t>לַעֲשׂוֹת חָיִל</w:t>
      </w:r>
      <w:r w:rsidRPr="009B1EBB">
        <w:rPr>
          <w:rFonts w:eastAsia="Times New Roman"/>
          <w:rtl/>
          <w:lang w:eastAsia="de-DE"/>
        </w:rPr>
        <w:t xml:space="preserve"> </w:t>
      </w:r>
      <w:r w:rsidRPr="009B1EBB">
        <w:rPr>
          <w:rFonts w:eastAsia="Times New Roman"/>
          <w:lang w:eastAsia="de-DE"/>
        </w:rPr>
        <w:t xml:space="preserve">als finaler Infinitiv (Qal Infinitiv Construct von </w:t>
      </w:r>
      <w:r w:rsidRPr="009B1EBB">
        <w:rPr>
          <w:rFonts w:eastAsia="Times New Roman"/>
          <w:b/>
          <w:bCs/>
          <w:rtl/>
          <w:lang w:eastAsia="de-DE"/>
        </w:rPr>
        <w:t>עשׂה</w:t>
      </w:r>
      <w:r w:rsidRPr="009B1EBB">
        <w:rPr>
          <w:rFonts w:eastAsia="Times New Roman"/>
          <w:rtl/>
          <w:lang w:eastAsia="de-DE"/>
        </w:rPr>
        <w:t xml:space="preserve"> </w:t>
      </w:r>
      <w:r w:rsidRPr="009B1EBB">
        <w:rPr>
          <w:rFonts w:eastAsia="Times New Roman"/>
          <w:lang w:eastAsia="de-DE"/>
        </w:rPr>
        <w:t xml:space="preserve">mit </w:t>
      </w:r>
      <w:r w:rsidRPr="009B1EBB">
        <w:rPr>
          <w:rFonts w:eastAsia="Times New Roman"/>
          <w:b/>
          <w:bCs/>
          <w:rtl/>
          <w:lang w:eastAsia="de-DE"/>
        </w:rPr>
        <w:t>לְ</w:t>
      </w:r>
      <w:r w:rsidRPr="009B1EBB">
        <w:rPr>
          <w:rFonts w:eastAsia="Times New Roman"/>
          <w:lang w:eastAsia="de-DE"/>
        </w:rPr>
        <w:t xml:space="preserve">, </w:t>
      </w:r>
      <w:r w:rsidRPr="009B1EBB">
        <w:rPr>
          <w:rFonts w:eastAsia="Times New Roman"/>
          <w:b/>
          <w:bCs/>
          <w:rtl/>
          <w:lang w:eastAsia="de-DE"/>
        </w:rPr>
        <w:t>חַיִל</w:t>
      </w:r>
      <w:r w:rsidRPr="009B1EBB">
        <w:rPr>
          <w:rFonts w:eastAsia="Times New Roman"/>
          <w:rtl/>
          <w:lang w:eastAsia="de-DE"/>
        </w:rPr>
        <w:t xml:space="preserve"> </w:t>
      </w:r>
      <w:r w:rsidRPr="009B1EBB">
        <w:rPr>
          <w:rFonts w:eastAsia="Times New Roman"/>
          <w:lang w:eastAsia="de-DE"/>
        </w:rPr>
        <w:t>als direktes Objekt – „um Vermögen zu schaffen").</w:t>
      </w:r>
    </w:p>
    <w:p w14:paraId="496FD6CE"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rtl/>
          <w:lang w:eastAsia="de-DE"/>
        </w:rPr>
        <w:t>לְמַעַן הָקִים אֶת־בְּרִיתוֹ אֲשֶׁר־נִשְׁבַּע לַאֲבֹתֶיךָ כַּיּוֹם הַזֶּה</w:t>
      </w:r>
      <w:r w:rsidRPr="009B1EBB">
        <w:rPr>
          <w:rFonts w:eastAsia="Times New Roman"/>
          <w:rtl/>
          <w:lang w:eastAsia="de-DE"/>
        </w:rPr>
        <w:t xml:space="preserve"> </w:t>
      </w:r>
      <w:r w:rsidRPr="009B1EBB">
        <w:rPr>
          <w:rFonts w:eastAsia="Times New Roman"/>
          <w:lang w:eastAsia="de-DE"/>
        </w:rPr>
        <w:t xml:space="preserve">ist eine finale Konstruktion: </w:t>
      </w:r>
      <w:r w:rsidRPr="009B1EBB">
        <w:rPr>
          <w:rFonts w:eastAsia="Times New Roman"/>
          <w:b/>
          <w:bCs/>
          <w:rtl/>
          <w:lang w:eastAsia="de-DE"/>
        </w:rPr>
        <w:t>לְמַעַן</w:t>
      </w:r>
      <w:r w:rsidRPr="009B1EBB">
        <w:rPr>
          <w:rFonts w:eastAsia="Times New Roman"/>
          <w:rtl/>
          <w:lang w:eastAsia="de-DE"/>
        </w:rPr>
        <w:t xml:space="preserve"> </w:t>
      </w:r>
      <w:r w:rsidRPr="009B1EBB">
        <w:rPr>
          <w:rFonts w:eastAsia="Times New Roman"/>
          <w:lang w:eastAsia="de-DE"/>
        </w:rPr>
        <w:t xml:space="preserve">(„damit"), </w:t>
      </w:r>
      <w:r w:rsidRPr="009B1EBB">
        <w:rPr>
          <w:rFonts w:eastAsia="Times New Roman"/>
          <w:b/>
          <w:bCs/>
          <w:rtl/>
          <w:lang w:eastAsia="de-DE"/>
        </w:rPr>
        <w:t>הָקִים</w:t>
      </w:r>
      <w:r w:rsidRPr="009B1EBB">
        <w:rPr>
          <w:rFonts w:eastAsia="Times New Roman"/>
          <w:rtl/>
          <w:lang w:eastAsia="de-DE"/>
        </w:rPr>
        <w:t xml:space="preserve"> </w:t>
      </w:r>
      <w:r w:rsidRPr="009B1EBB">
        <w:rPr>
          <w:rFonts w:eastAsia="Times New Roman"/>
          <w:lang w:eastAsia="de-DE"/>
        </w:rPr>
        <w:t xml:space="preserve">als Hifil Infinitiv Construct von </w:t>
      </w:r>
      <w:r w:rsidRPr="009B1EBB">
        <w:rPr>
          <w:rFonts w:eastAsia="Times New Roman"/>
          <w:b/>
          <w:bCs/>
          <w:rtl/>
          <w:lang w:eastAsia="de-DE"/>
        </w:rPr>
        <w:t>קום</w:t>
      </w:r>
      <w:r w:rsidRPr="009B1EBB">
        <w:rPr>
          <w:rFonts w:eastAsia="Times New Roman"/>
          <w:lang w:eastAsia="de-DE"/>
        </w:rPr>
        <w:t xml:space="preserve">, „stehen" – im Hifil „aufrichten, aufrechterhalten, bestätigen", mit Artikel, </w:t>
      </w:r>
      <w:r w:rsidRPr="009B1EBB">
        <w:rPr>
          <w:rFonts w:eastAsia="Times New Roman"/>
          <w:b/>
          <w:bCs/>
          <w:rtl/>
          <w:lang w:eastAsia="de-DE"/>
        </w:rPr>
        <w:t>אֶת־בְּרִיתוֹ</w:t>
      </w:r>
      <w:r w:rsidRPr="009B1EBB">
        <w:rPr>
          <w:rFonts w:eastAsia="Times New Roman"/>
          <w:rtl/>
          <w:lang w:eastAsia="de-DE"/>
        </w:rPr>
        <w:t xml:space="preserve"> </w:t>
      </w:r>
      <w:r w:rsidRPr="009B1EBB">
        <w:rPr>
          <w:rFonts w:eastAsia="Times New Roman"/>
          <w:lang w:eastAsia="de-DE"/>
        </w:rPr>
        <w:t>als direktes Objekt (</w:t>
      </w:r>
      <w:r w:rsidRPr="009B1EBB">
        <w:rPr>
          <w:rFonts w:eastAsia="Times New Roman"/>
          <w:b/>
          <w:bCs/>
          <w:rtl/>
          <w:lang w:eastAsia="de-DE"/>
        </w:rPr>
        <w:t>בְּרִית</w:t>
      </w:r>
      <w:r w:rsidRPr="009B1EBB">
        <w:rPr>
          <w:rFonts w:eastAsia="Times New Roman"/>
          <w:lang w:eastAsia="de-DE"/>
        </w:rPr>
        <w:t xml:space="preserve">, „Bund", mit Suffix 3. Person Singular maskulin), </w:t>
      </w:r>
      <w:r w:rsidRPr="009B1EBB">
        <w:rPr>
          <w:rFonts w:eastAsia="Times New Roman"/>
          <w:b/>
          <w:bCs/>
          <w:rtl/>
          <w:lang w:eastAsia="de-DE"/>
        </w:rPr>
        <w:t>אֲשֶׁר־נִשְׁבַּע לַאֲבֹתֶיךָ</w:t>
      </w:r>
      <w:r w:rsidRPr="009B1EBB">
        <w:rPr>
          <w:rFonts w:eastAsia="Times New Roman"/>
          <w:rtl/>
          <w:lang w:eastAsia="de-DE"/>
        </w:rPr>
        <w:t xml:space="preserve"> </w:t>
      </w:r>
      <w:r w:rsidRPr="009B1EBB">
        <w:rPr>
          <w:rFonts w:eastAsia="Times New Roman"/>
          <w:lang w:eastAsia="de-DE"/>
        </w:rPr>
        <w:t xml:space="preserve">als Relativsatz (Nifal Perfekt, 3. Person Singular maskulin von </w:t>
      </w:r>
      <w:r w:rsidRPr="009B1EBB">
        <w:rPr>
          <w:rFonts w:eastAsia="Times New Roman"/>
          <w:b/>
          <w:bCs/>
          <w:rtl/>
          <w:lang w:eastAsia="de-DE"/>
        </w:rPr>
        <w:t>שׁבע</w:t>
      </w:r>
      <w:r w:rsidRPr="009B1EBB">
        <w:rPr>
          <w:rFonts w:eastAsia="Times New Roman"/>
          <w:lang w:eastAsia="de-DE"/>
        </w:rPr>
        <w:t xml:space="preserve">, „schwören", </w:t>
      </w:r>
      <w:r w:rsidRPr="009B1EBB">
        <w:rPr>
          <w:rFonts w:eastAsia="Times New Roman"/>
          <w:b/>
          <w:bCs/>
          <w:rtl/>
          <w:lang w:eastAsia="de-DE"/>
        </w:rPr>
        <w:t>לַאֲבֹתֶיךָ</w:t>
      </w:r>
      <w:r w:rsidRPr="009B1EBB">
        <w:rPr>
          <w:rFonts w:eastAsia="Times New Roman"/>
          <w:rtl/>
          <w:lang w:eastAsia="de-DE"/>
        </w:rPr>
        <w:t xml:space="preserve"> </w:t>
      </w:r>
      <w:r w:rsidRPr="009B1EBB">
        <w:rPr>
          <w:rFonts w:eastAsia="Times New Roman"/>
          <w:lang w:eastAsia="de-DE"/>
        </w:rPr>
        <w:t xml:space="preserve">als indirektes Objekt), </w:t>
      </w:r>
      <w:r w:rsidRPr="009B1EBB">
        <w:rPr>
          <w:rFonts w:eastAsia="Times New Roman"/>
          <w:b/>
          <w:bCs/>
          <w:rtl/>
          <w:lang w:eastAsia="de-DE"/>
        </w:rPr>
        <w:t>כַּיּוֹם הַזֶּה</w:t>
      </w:r>
      <w:r w:rsidRPr="009B1EBB">
        <w:rPr>
          <w:rFonts w:eastAsia="Times New Roman"/>
          <w:rtl/>
          <w:lang w:eastAsia="de-DE"/>
        </w:rPr>
        <w:t xml:space="preserve"> </w:t>
      </w:r>
      <w:r w:rsidRPr="009B1EBB">
        <w:rPr>
          <w:rFonts w:eastAsia="Times New Roman"/>
          <w:lang w:eastAsia="de-DE"/>
        </w:rPr>
        <w:t>als Vergleichskonstruktion (</w:t>
      </w:r>
      <w:r w:rsidRPr="009B1EBB">
        <w:rPr>
          <w:rFonts w:eastAsia="Times New Roman"/>
          <w:b/>
          <w:bCs/>
          <w:rtl/>
          <w:lang w:eastAsia="de-DE"/>
        </w:rPr>
        <w:t>כְּ</w:t>
      </w:r>
      <w:r w:rsidRPr="009B1EBB">
        <w:rPr>
          <w:rFonts w:eastAsia="Times New Roman"/>
          <w:rtl/>
          <w:lang w:eastAsia="de-DE"/>
        </w:rPr>
        <w:t xml:space="preserve"> </w:t>
      </w:r>
      <w:r w:rsidRPr="009B1EBB">
        <w:rPr>
          <w:rFonts w:eastAsia="Times New Roman"/>
          <w:lang w:eastAsia="de-DE"/>
        </w:rPr>
        <w:t xml:space="preserve">mit </w:t>
      </w:r>
      <w:r w:rsidRPr="009B1EBB">
        <w:rPr>
          <w:rFonts w:eastAsia="Times New Roman"/>
          <w:b/>
          <w:bCs/>
          <w:rtl/>
          <w:lang w:eastAsia="de-DE"/>
        </w:rPr>
        <w:t>יוֹם</w:t>
      </w:r>
      <w:r w:rsidRPr="009B1EBB">
        <w:rPr>
          <w:rFonts w:eastAsia="Times New Roman"/>
          <w:rtl/>
          <w:lang w:eastAsia="de-DE"/>
        </w:rPr>
        <w:t xml:space="preserve"> </w:t>
      </w:r>
      <w:r w:rsidRPr="009B1EBB">
        <w:rPr>
          <w:rFonts w:eastAsia="Times New Roman"/>
          <w:lang w:eastAsia="de-DE"/>
        </w:rPr>
        <w:t>mit Artikel und Demonstrativpronomen – „wie [es] an diesem Tag [ist]").</w:t>
      </w:r>
    </w:p>
    <w:p w14:paraId="629073E7"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t xml:space="preserve">Der Vers korrigiert die falsche Haltung von V. 17: Nicht die eigene Kraft schafft Reichtum, sondern JHWH gibt die Kraft dazu. Dies ist die zentrale theologische Aussage: Selbst menschliche Leistungsfähigkeit ist Gabe Gottes. Die finale Konstruktion enthüllt Gottes Absicht: Er gibt Kraft zum Vermögenserwerb, um seinen Bundesverheißungen treu zu bleiben. Die Formulierung </w:t>
      </w:r>
      <w:r w:rsidRPr="009B1EBB">
        <w:rPr>
          <w:rFonts w:eastAsia="Times New Roman"/>
          <w:b/>
          <w:bCs/>
          <w:rtl/>
          <w:lang w:eastAsia="de-DE"/>
        </w:rPr>
        <w:t>כַּיּוֹם הַזֶּה</w:t>
      </w:r>
      <w:r w:rsidRPr="009B1EBB">
        <w:rPr>
          <w:rFonts w:eastAsia="Times New Roman"/>
          <w:rtl/>
          <w:lang w:eastAsia="de-DE"/>
        </w:rPr>
        <w:t xml:space="preserve"> </w:t>
      </w:r>
      <w:r w:rsidRPr="009B1EBB">
        <w:rPr>
          <w:rFonts w:eastAsia="Times New Roman"/>
          <w:lang w:eastAsia="de-DE"/>
        </w:rPr>
        <w:t>(„wie [es] heute [ist]") verweist auf die gegenwärtige Erfahrung als Beleg für Gottes Bundestreue.</w:t>
      </w:r>
    </w:p>
    <w:p w14:paraId="5CC525C0"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t xml:space="preserve">Die Satzstruktur ist ein imperativisches Perfekt consecutivum mit direktem Objekt, gefolgt von einem </w:t>
      </w:r>
      <w:r w:rsidRPr="009B1EBB">
        <w:rPr>
          <w:rFonts w:eastAsia="Times New Roman"/>
          <w:b/>
          <w:bCs/>
          <w:rtl/>
          <w:lang w:eastAsia="de-DE"/>
        </w:rPr>
        <w:t>כִּי</w:t>
      </w:r>
      <w:r w:rsidRPr="009B1EBB">
        <w:rPr>
          <w:rFonts w:eastAsia="Times New Roman"/>
          <w:lang w:eastAsia="de-DE"/>
        </w:rPr>
        <w:t>-Objektsatz (mit emphatischem Subjekt, partizipialem Prädikat mit indirektem und direktem Objekt, finalem Infinitiv mit direktem Objekt) und einer finalen Konstruktion (mit Infinitiv, direktem Objekt, Relativsatz mit Prädikat und indirektem Objekt, Vergleichskonstruktion). Die komplexe Struktur verbindet die Aufforderung zur Erinnerung mit der theologischen Begründung und der Bundeszielsetzung.</w:t>
      </w:r>
    </w:p>
    <w:p w14:paraId="12461D7B"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t>Der Vers korrigiert V. 17: Gedenke vielmehr JHWHs, denn er gibt dir die Kraft, Vermögen zu schaffen, um seinen Bund mit den Vätern aufrechtzuerhalten – Gott als wahrer Geber aller Fähigkeiten.</w:t>
      </w:r>
    </w:p>
    <w:p w14:paraId="26E5AC49" w14:textId="77777777" w:rsidR="009B1EBB" w:rsidRPr="009B1EBB" w:rsidRDefault="009B1EBB" w:rsidP="009B1EBB">
      <w:pPr>
        <w:spacing w:before="100" w:beforeAutospacing="1" w:after="100" w:afterAutospacing="1" w:line="240" w:lineRule="auto"/>
        <w:outlineLvl w:val="1"/>
        <w:rPr>
          <w:rFonts w:eastAsia="Times New Roman"/>
          <w:b/>
          <w:bCs/>
          <w:sz w:val="36"/>
          <w:szCs w:val="36"/>
          <w:lang w:eastAsia="de-DE"/>
        </w:rPr>
      </w:pPr>
      <w:r w:rsidRPr="009B1EBB">
        <w:rPr>
          <w:rFonts w:eastAsia="Times New Roman"/>
          <w:b/>
          <w:bCs/>
          <w:sz w:val="36"/>
          <w:szCs w:val="36"/>
          <w:lang w:eastAsia="de-DE"/>
        </w:rPr>
        <w:t>Deuteronomium 8,19</w:t>
      </w:r>
    </w:p>
    <w:p w14:paraId="540F33A0"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lastRenderedPageBreak/>
        <w:t>Hebräisch:</w:t>
      </w:r>
      <w:r w:rsidRPr="009B1EBB">
        <w:rPr>
          <w:rFonts w:eastAsia="Times New Roman"/>
          <w:lang w:eastAsia="de-DE"/>
        </w:rPr>
        <w:t xml:space="preserve"> </w:t>
      </w:r>
      <w:r w:rsidRPr="009B1EBB">
        <w:rPr>
          <w:rFonts w:eastAsia="Times New Roman"/>
          <w:rtl/>
          <w:lang w:eastAsia="de-DE"/>
        </w:rPr>
        <w:t>וְהָיָה אִם־שָׁכֹחַ תִּשְׁכַּח אֶת־יְהוָה אֱלֹהֶיךָ וְהָלַכְתָּ אַחֲרֵי אֱלֹהִים אֲחֵרִים וַעֲבַדְתָּם וְהִשְׁתַּחֲוִיתָ לָהֶם הַעִדֹתִי בָכֶם הַיּוֹם כִּי אָבֹד תֹּאבֵדוּן׃</w:t>
      </w:r>
    </w:p>
    <w:p w14:paraId="663C696C"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Deutsch:</w:t>
      </w:r>
      <w:r w:rsidRPr="009B1EBB">
        <w:rPr>
          <w:rFonts w:eastAsia="Times New Roman"/>
          <w:lang w:eastAsia="de-DE"/>
        </w:rPr>
        <w:t xml:space="preserve"> Und es wird geschehen, wenn du je den Ewigen, deinen Gott, vergisst und anderen Göttern nachgehst und ihnen dienst und dich vor ihnen niederwirfst, so bezeuge ich heute gegen euch, dass ihr gewiss umkommen werdet.</w:t>
      </w:r>
    </w:p>
    <w:p w14:paraId="36A54E71" w14:textId="77777777" w:rsidR="009B1EBB" w:rsidRPr="009B1EBB" w:rsidRDefault="004F5CEB" w:rsidP="009B1EBB">
      <w:pPr>
        <w:spacing w:after="0" w:line="240" w:lineRule="auto"/>
        <w:rPr>
          <w:rFonts w:eastAsia="Times New Roman"/>
          <w:lang w:eastAsia="de-DE"/>
        </w:rPr>
      </w:pPr>
      <w:r>
        <w:rPr>
          <w:rFonts w:eastAsia="Times New Roman"/>
          <w:noProof/>
          <w:lang w:eastAsia="de-DE"/>
        </w:rPr>
        <w:pict w14:anchorId="4863514A">
          <v:rect id="_x0000_i1288" style="width:0;height:1.5pt" o:hralign="center" o:hrstd="t" o:hr="t" fillcolor="#a0a0a0" stroked="f"/>
        </w:pict>
      </w:r>
    </w:p>
    <w:p w14:paraId="7EBF28B4"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Kommentar:</w:t>
      </w:r>
      <w:r w:rsidRPr="009B1EBB">
        <w:rPr>
          <w:rFonts w:eastAsia="Times New Roman"/>
          <w:lang w:eastAsia="de-DE"/>
        </w:rPr>
        <w:t xml:space="preserve"> </w:t>
      </w:r>
      <w:r w:rsidRPr="009B1EBB">
        <w:rPr>
          <w:rFonts w:eastAsia="Times New Roman"/>
          <w:b/>
          <w:bCs/>
          <w:rtl/>
          <w:lang w:eastAsia="de-DE"/>
        </w:rPr>
        <w:t>וְהָיָה אִם־שָׁכֹחַ תִּשְׁכַּח אֶת־יְהוָה אֱלֹהֶיךָ</w:t>
      </w:r>
      <w:r w:rsidRPr="009B1EBB">
        <w:rPr>
          <w:rFonts w:eastAsia="Times New Roman"/>
          <w:rtl/>
          <w:lang w:eastAsia="de-DE"/>
        </w:rPr>
        <w:t xml:space="preserve"> </w:t>
      </w:r>
      <w:r w:rsidRPr="009B1EBB">
        <w:rPr>
          <w:rFonts w:eastAsia="Times New Roman"/>
          <w:lang w:eastAsia="de-DE"/>
        </w:rPr>
        <w:t xml:space="preserve">ist die klassische narrative Einleitung mit emphatischer Bedingung: </w:t>
      </w:r>
      <w:r w:rsidRPr="009B1EBB">
        <w:rPr>
          <w:rFonts w:eastAsia="Times New Roman"/>
          <w:b/>
          <w:bCs/>
          <w:rtl/>
          <w:lang w:eastAsia="de-DE"/>
        </w:rPr>
        <w:t>וְהָיָה</w:t>
      </w:r>
      <w:r w:rsidRPr="009B1EBB">
        <w:rPr>
          <w:rFonts w:eastAsia="Times New Roman"/>
          <w:rtl/>
          <w:lang w:eastAsia="de-DE"/>
        </w:rPr>
        <w:t xml:space="preserve"> </w:t>
      </w:r>
      <w:r w:rsidRPr="009B1EBB">
        <w:rPr>
          <w:rFonts w:eastAsia="Times New Roman"/>
          <w:lang w:eastAsia="de-DE"/>
        </w:rPr>
        <w:t xml:space="preserve">(Qal Perfekt consecutivum, 3. Person Singular maskulin von </w:t>
      </w:r>
      <w:r w:rsidRPr="009B1EBB">
        <w:rPr>
          <w:rFonts w:eastAsia="Times New Roman"/>
          <w:b/>
          <w:bCs/>
          <w:rtl/>
          <w:lang w:eastAsia="de-DE"/>
        </w:rPr>
        <w:t>היה</w:t>
      </w:r>
      <w:r w:rsidRPr="009B1EBB">
        <w:rPr>
          <w:rFonts w:eastAsia="Times New Roman"/>
          <w:rtl/>
          <w:lang w:eastAsia="de-DE"/>
        </w:rPr>
        <w:t xml:space="preserve"> </w:t>
      </w:r>
      <w:r w:rsidRPr="009B1EBB">
        <w:rPr>
          <w:rFonts w:eastAsia="Times New Roman"/>
          <w:lang w:eastAsia="de-DE"/>
        </w:rPr>
        <w:t xml:space="preserve">mit </w:t>
      </w:r>
      <w:r w:rsidRPr="009B1EBB">
        <w:rPr>
          <w:rFonts w:eastAsia="Times New Roman"/>
          <w:b/>
          <w:bCs/>
          <w:rtl/>
          <w:lang w:eastAsia="de-DE"/>
        </w:rPr>
        <w:t>וְ</w:t>
      </w:r>
      <w:r w:rsidRPr="009B1EBB">
        <w:rPr>
          <w:rFonts w:eastAsia="Times New Roman"/>
          <w:rtl/>
          <w:lang w:eastAsia="de-DE"/>
        </w:rPr>
        <w:t xml:space="preserve"> </w:t>
      </w:r>
      <w:r w:rsidRPr="009B1EBB">
        <w:rPr>
          <w:rFonts w:eastAsia="Times New Roman"/>
          <w:lang w:eastAsia="de-DE"/>
        </w:rPr>
        <w:t xml:space="preserve">– „und es wird geschehen"), </w:t>
      </w:r>
      <w:r w:rsidRPr="009B1EBB">
        <w:rPr>
          <w:rFonts w:eastAsia="Times New Roman"/>
          <w:b/>
          <w:bCs/>
          <w:rtl/>
          <w:lang w:eastAsia="de-DE"/>
        </w:rPr>
        <w:t>אִם־שָׁכֹחַ תִּשְׁכַּח</w:t>
      </w:r>
      <w:r w:rsidRPr="009B1EBB">
        <w:rPr>
          <w:rFonts w:eastAsia="Times New Roman"/>
          <w:rtl/>
          <w:lang w:eastAsia="de-DE"/>
        </w:rPr>
        <w:t xml:space="preserve"> </w:t>
      </w:r>
      <w:r w:rsidRPr="009B1EBB">
        <w:rPr>
          <w:rFonts w:eastAsia="Times New Roman"/>
          <w:lang w:eastAsia="de-DE"/>
        </w:rPr>
        <w:t>als emphatische Konstruktion mit Infinitivus absolutus (</w:t>
      </w:r>
      <w:r w:rsidRPr="009B1EBB">
        <w:rPr>
          <w:rFonts w:eastAsia="Times New Roman"/>
          <w:b/>
          <w:bCs/>
          <w:rtl/>
          <w:lang w:eastAsia="de-DE"/>
        </w:rPr>
        <w:t>אִם</w:t>
      </w:r>
      <w:r w:rsidRPr="009B1EBB">
        <w:rPr>
          <w:rFonts w:eastAsia="Times New Roman"/>
          <w:lang w:eastAsia="de-DE"/>
        </w:rPr>
        <w:t xml:space="preserve">, „wenn", </w:t>
      </w:r>
      <w:r w:rsidRPr="009B1EBB">
        <w:rPr>
          <w:rFonts w:eastAsia="Times New Roman"/>
          <w:b/>
          <w:bCs/>
          <w:rtl/>
          <w:lang w:eastAsia="de-DE"/>
        </w:rPr>
        <w:t>שָׁכֹחַ</w:t>
      </w:r>
      <w:r w:rsidRPr="009B1EBB">
        <w:rPr>
          <w:rFonts w:eastAsia="Times New Roman"/>
          <w:rtl/>
          <w:lang w:eastAsia="de-DE"/>
        </w:rPr>
        <w:t xml:space="preserve"> </w:t>
      </w:r>
      <w:r w:rsidRPr="009B1EBB">
        <w:rPr>
          <w:rFonts w:eastAsia="Times New Roman"/>
          <w:lang w:eastAsia="de-DE"/>
        </w:rPr>
        <w:t xml:space="preserve">als Qal Infinitiv Absolut von </w:t>
      </w:r>
      <w:r w:rsidRPr="009B1EBB">
        <w:rPr>
          <w:rFonts w:eastAsia="Times New Roman"/>
          <w:b/>
          <w:bCs/>
          <w:rtl/>
          <w:lang w:eastAsia="de-DE"/>
        </w:rPr>
        <w:t>שׁכח</w:t>
      </w:r>
      <w:r w:rsidRPr="009B1EBB">
        <w:rPr>
          <w:rFonts w:eastAsia="Times New Roman"/>
          <w:lang w:eastAsia="de-DE"/>
        </w:rPr>
        <w:t xml:space="preserve">, „vergessen", </w:t>
      </w:r>
      <w:r w:rsidRPr="009B1EBB">
        <w:rPr>
          <w:rFonts w:eastAsia="Times New Roman"/>
          <w:b/>
          <w:bCs/>
          <w:rtl/>
          <w:lang w:eastAsia="de-DE"/>
        </w:rPr>
        <w:t>תִּשְׁכַּח</w:t>
      </w:r>
      <w:r w:rsidRPr="009B1EBB">
        <w:rPr>
          <w:rFonts w:eastAsia="Times New Roman"/>
          <w:rtl/>
          <w:lang w:eastAsia="de-DE"/>
        </w:rPr>
        <w:t xml:space="preserve"> </w:t>
      </w:r>
      <w:r w:rsidRPr="009B1EBB">
        <w:rPr>
          <w:rFonts w:eastAsia="Times New Roman"/>
          <w:lang w:eastAsia="de-DE"/>
        </w:rPr>
        <w:t xml:space="preserve">als Qal Imperfekt, 2. Person Singular maskulin von </w:t>
      </w:r>
      <w:r w:rsidRPr="009B1EBB">
        <w:rPr>
          <w:rFonts w:eastAsia="Times New Roman"/>
          <w:b/>
          <w:bCs/>
          <w:rtl/>
          <w:lang w:eastAsia="de-DE"/>
        </w:rPr>
        <w:t>שׁכח</w:t>
      </w:r>
      <w:r w:rsidRPr="009B1EBB">
        <w:rPr>
          <w:rFonts w:eastAsia="Times New Roman"/>
          <w:rtl/>
          <w:lang w:eastAsia="de-DE"/>
        </w:rPr>
        <w:t xml:space="preserve"> </w:t>
      </w:r>
      <w:r w:rsidRPr="009B1EBB">
        <w:rPr>
          <w:rFonts w:eastAsia="Times New Roman"/>
          <w:lang w:eastAsia="de-DE"/>
        </w:rPr>
        <w:t xml:space="preserve">– „wenn du je vergisst, wenn du ganz und gar vergisst"), </w:t>
      </w:r>
      <w:r w:rsidRPr="009B1EBB">
        <w:rPr>
          <w:rFonts w:eastAsia="Times New Roman"/>
          <w:b/>
          <w:bCs/>
          <w:rtl/>
          <w:lang w:eastAsia="de-DE"/>
        </w:rPr>
        <w:t>אֶת־יְהוָה אֱלֹהֶיךָ</w:t>
      </w:r>
      <w:r w:rsidRPr="009B1EBB">
        <w:rPr>
          <w:rFonts w:eastAsia="Times New Roman"/>
          <w:rtl/>
          <w:lang w:eastAsia="de-DE"/>
        </w:rPr>
        <w:t xml:space="preserve"> </w:t>
      </w:r>
      <w:r w:rsidRPr="009B1EBB">
        <w:rPr>
          <w:rFonts w:eastAsia="Times New Roman"/>
          <w:lang w:eastAsia="de-DE"/>
        </w:rPr>
        <w:t>als direktes Objekt.</w:t>
      </w:r>
    </w:p>
    <w:p w14:paraId="06897190"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rtl/>
          <w:lang w:eastAsia="de-DE"/>
        </w:rPr>
        <w:t>וְהָלַכְתָּ אַחֲרֵי אֱלֹהִים אֲחֵרִים וַעֲבַדְתָּם וְהִשְׁתַּחֲוִיתָ לָהֶם</w:t>
      </w:r>
      <w:r w:rsidRPr="009B1EBB">
        <w:rPr>
          <w:rFonts w:eastAsia="Times New Roman"/>
          <w:rtl/>
          <w:lang w:eastAsia="de-DE"/>
        </w:rPr>
        <w:t xml:space="preserve"> </w:t>
      </w:r>
      <w:r w:rsidRPr="009B1EBB">
        <w:rPr>
          <w:rFonts w:eastAsia="Times New Roman"/>
          <w:lang w:eastAsia="de-DE"/>
        </w:rPr>
        <w:t xml:space="preserve">ist eine dreigliedrige koordinierte Kette: </w:t>
      </w:r>
      <w:r w:rsidRPr="009B1EBB">
        <w:rPr>
          <w:rFonts w:eastAsia="Times New Roman"/>
          <w:b/>
          <w:bCs/>
          <w:rtl/>
          <w:lang w:eastAsia="de-DE"/>
        </w:rPr>
        <w:t>וְהָלַכְתָּ אַחֲרֵי אֱלֹהִים אֲחֵרִים</w:t>
      </w:r>
      <w:r w:rsidRPr="009B1EBB">
        <w:rPr>
          <w:rFonts w:eastAsia="Times New Roman"/>
          <w:rtl/>
          <w:lang w:eastAsia="de-DE"/>
        </w:rPr>
        <w:t xml:space="preserve"> </w:t>
      </w:r>
      <w:r w:rsidRPr="009B1EBB">
        <w:rPr>
          <w:rFonts w:eastAsia="Times New Roman"/>
          <w:lang w:eastAsia="de-DE"/>
        </w:rPr>
        <w:t xml:space="preserve">(Qal Perfekt consecutivum, 2. Person Singular maskulin von </w:t>
      </w:r>
      <w:r w:rsidRPr="009B1EBB">
        <w:rPr>
          <w:rFonts w:eastAsia="Times New Roman"/>
          <w:b/>
          <w:bCs/>
          <w:rtl/>
          <w:lang w:eastAsia="de-DE"/>
        </w:rPr>
        <w:t>הלך</w:t>
      </w:r>
      <w:r w:rsidRPr="009B1EBB">
        <w:rPr>
          <w:rFonts w:eastAsia="Times New Roman"/>
          <w:lang w:eastAsia="de-DE"/>
        </w:rPr>
        <w:t xml:space="preserve">, „gehen", mit </w:t>
      </w:r>
      <w:r w:rsidRPr="009B1EBB">
        <w:rPr>
          <w:rFonts w:eastAsia="Times New Roman"/>
          <w:b/>
          <w:bCs/>
          <w:rtl/>
          <w:lang w:eastAsia="de-DE"/>
        </w:rPr>
        <w:t>וְ</w:t>
      </w:r>
      <w:r w:rsidRPr="009B1EBB">
        <w:rPr>
          <w:rFonts w:eastAsia="Times New Roman"/>
          <w:lang w:eastAsia="de-DE"/>
        </w:rPr>
        <w:t xml:space="preserve">, </w:t>
      </w:r>
      <w:r w:rsidRPr="009B1EBB">
        <w:rPr>
          <w:rFonts w:eastAsia="Times New Roman"/>
          <w:b/>
          <w:bCs/>
          <w:rtl/>
          <w:lang w:eastAsia="de-DE"/>
        </w:rPr>
        <w:t>אַחֲרֵי אֱלֹהִים אֲחֵרִים</w:t>
      </w:r>
      <w:r w:rsidRPr="009B1EBB">
        <w:rPr>
          <w:rFonts w:eastAsia="Times New Roman"/>
          <w:rtl/>
          <w:lang w:eastAsia="de-DE"/>
        </w:rPr>
        <w:t xml:space="preserve"> </w:t>
      </w:r>
      <w:r w:rsidRPr="009B1EBB">
        <w:rPr>
          <w:rFonts w:eastAsia="Times New Roman"/>
          <w:lang w:eastAsia="de-DE"/>
        </w:rPr>
        <w:t xml:space="preserve">als idiomatische Richtungsangabe – „anderen Göttern nachgehen"), </w:t>
      </w:r>
      <w:r w:rsidRPr="009B1EBB">
        <w:rPr>
          <w:rFonts w:eastAsia="Times New Roman"/>
          <w:b/>
          <w:bCs/>
          <w:rtl/>
          <w:lang w:eastAsia="de-DE"/>
        </w:rPr>
        <w:t>וַעֲבַדְתָּם</w:t>
      </w:r>
      <w:r w:rsidRPr="009B1EBB">
        <w:rPr>
          <w:rFonts w:eastAsia="Times New Roman"/>
          <w:rtl/>
          <w:lang w:eastAsia="de-DE"/>
        </w:rPr>
        <w:t xml:space="preserve"> </w:t>
      </w:r>
      <w:r w:rsidRPr="009B1EBB">
        <w:rPr>
          <w:rFonts w:eastAsia="Times New Roman"/>
          <w:lang w:eastAsia="de-DE"/>
        </w:rPr>
        <w:t xml:space="preserve">koordiniert (Qal Perfekt consecutivum, 2. Person Singular maskulin von </w:t>
      </w:r>
      <w:r w:rsidRPr="009B1EBB">
        <w:rPr>
          <w:rFonts w:eastAsia="Times New Roman"/>
          <w:b/>
          <w:bCs/>
          <w:rtl/>
          <w:lang w:eastAsia="de-DE"/>
        </w:rPr>
        <w:t>עבד</w:t>
      </w:r>
      <w:r w:rsidRPr="009B1EBB">
        <w:rPr>
          <w:rFonts w:eastAsia="Times New Roman"/>
          <w:lang w:eastAsia="de-DE"/>
        </w:rPr>
        <w:t xml:space="preserve">, „dienen", mit </w:t>
      </w:r>
      <w:r w:rsidRPr="009B1EBB">
        <w:rPr>
          <w:rFonts w:eastAsia="Times New Roman"/>
          <w:b/>
          <w:bCs/>
          <w:rtl/>
          <w:lang w:eastAsia="de-DE"/>
        </w:rPr>
        <w:t>וְ</w:t>
      </w:r>
      <w:r w:rsidRPr="009B1EBB">
        <w:rPr>
          <w:rFonts w:eastAsia="Times New Roman"/>
          <w:rtl/>
          <w:lang w:eastAsia="de-DE"/>
        </w:rPr>
        <w:t xml:space="preserve"> </w:t>
      </w:r>
      <w:r w:rsidRPr="009B1EBB">
        <w:rPr>
          <w:rFonts w:eastAsia="Times New Roman"/>
          <w:lang w:eastAsia="de-DE"/>
        </w:rPr>
        <w:t xml:space="preserve">und Suffix 3. Person Plural maskulin), </w:t>
      </w:r>
      <w:r w:rsidRPr="009B1EBB">
        <w:rPr>
          <w:rFonts w:eastAsia="Times New Roman"/>
          <w:b/>
          <w:bCs/>
          <w:rtl/>
          <w:lang w:eastAsia="de-DE"/>
        </w:rPr>
        <w:t>וְהִשְׁתַּחֲוִיתָ לָהֶם</w:t>
      </w:r>
      <w:r w:rsidRPr="009B1EBB">
        <w:rPr>
          <w:rFonts w:eastAsia="Times New Roman"/>
          <w:rtl/>
          <w:lang w:eastAsia="de-DE"/>
        </w:rPr>
        <w:t xml:space="preserve"> </w:t>
      </w:r>
      <w:r w:rsidRPr="009B1EBB">
        <w:rPr>
          <w:rFonts w:eastAsia="Times New Roman"/>
          <w:lang w:eastAsia="de-DE"/>
        </w:rPr>
        <w:t xml:space="preserve">koordiniert (Hitpael Perfekt consecutivum, 2. Person Singular maskulin von </w:t>
      </w:r>
      <w:r w:rsidRPr="009B1EBB">
        <w:rPr>
          <w:rFonts w:eastAsia="Times New Roman"/>
          <w:b/>
          <w:bCs/>
          <w:rtl/>
          <w:lang w:eastAsia="de-DE"/>
        </w:rPr>
        <w:t>חוה</w:t>
      </w:r>
      <w:r w:rsidRPr="009B1EBB">
        <w:rPr>
          <w:rFonts w:eastAsia="Times New Roman"/>
          <w:lang w:eastAsia="de-DE"/>
        </w:rPr>
        <w:t xml:space="preserve">, „sich niederwerfen, sich verbeugen", mit </w:t>
      </w:r>
      <w:r w:rsidRPr="009B1EBB">
        <w:rPr>
          <w:rFonts w:eastAsia="Times New Roman"/>
          <w:b/>
          <w:bCs/>
          <w:rtl/>
          <w:lang w:eastAsia="de-DE"/>
        </w:rPr>
        <w:t>וְ</w:t>
      </w:r>
      <w:r w:rsidRPr="009B1EBB">
        <w:rPr>
          <w:rFonts w:eastAsia="Times New Roman"/>
          <w:lang w:eastAsia="de-DE"/>
        </w:rPr>
        <w:t xml:space="preserve">, </w:t>
      </w:r>
      <w:r w:rsidRPr="009B1EBB">
        <w:rPr>
          <w:rFonts w:eastAsia="Times New Roman"/>
          <w:b/>
          <w:bCs/>
          <w:rtl/>
          <w:lang w:eastAsia="de-DE"/>
        </w:rPr>
        <w:t>לָהֶם</w:t>
      </w:r>
      <w:r w:rsidRPr="009B1EBB">
        <w:rPr>
          <w:rFonts w:eastAsia="Times New Roman"/>
          <w:rtl/>
          <w:lang w:eastAsia="de-DE"/>
        </w:rPr>
        <w:t xml:space="preserve"> </w:t>
      </w:r>
      <w:r w:rsidRPr="009B1EBB">
        <w:rPr>
          <w:rFonts w:eastAsia="Times New Roman"/>
          <w:lang w:eastAsia="de-DE"/>
        </w:rPr>
        <w:t>als präpositionale Ergänzung).</w:t>
      </w:r>
    </w:p>
    <w:p w14:paraId="61D651A4"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rtl/>
          <w:lang w:eastAsia="de-DE"/>
        </w:rPr>
        <w:t>הַעִדֹתִי בָכֶם הַיּוֹם כִּי אָבֹד תֹּאבֵדוּן</w:t>
      </w:r>
      <w:r w:rsidRPr="009B1EBB">
        <w:rPr>
          <w:rFonts w:eastAsia="Times New Roman"/>
          <w:rtl/>
          <w:lang w:eastAsia="de-DE"/>
        </w:rPr>
        <w:t xml:space="preserve"> </w:t>
      </w:r>
      <w:r w:rsidRPr="009B1EBB">
        <w:rPr>
          <w:rFonts w:eastAsia="Times New Roman"/>
          <w:lang w:eastAsia="de-DE"/>
        </w:rPr>
        <w:t xml:space="preserve">ist die Apodosis: </w:t>
      </w:r>
      <w:r w:rsidRPr="009B1EBB">
        <w:rPr>
          <w:rFonts w:eastAsia="Times New Roman"/>
          <w:b/>
          <w:bCs/>
          <w:rtl/>
          <w:lang w:eastAsia="de-DE"/>
        </w:rPr>
        <w:t>הַעִדֹתִי בָכֶם הַיּוֹם</w:t>
      </w:r>
      <w:r w:rsidRPr="009B1EBB">
        <w:rPr>
          <w:rFonts w:eastAsia="Times New Roman"/>
          <w:rtl/>
          <w:lang w:eastAsia="de-DE"/>
        </w:rPr>
        <w:t xml:space="preserve"> </w:t>
      </w:r>
      <w:r w:rsidRPr="009B1EBB">
        <w:rPr>
          <w:rFonts w:eastAsia="Times New Roman"/>
          <w:lang w:eastAsia="de-DE"/>
        </w:rPr>
        <w:t xml:space="preserve">(Hifil Perfekt, 1. Person Singular von </w:t>
      </w:r>
      <w:r w:rsidRPr="009B1EBB">
        <w:rPr>
          <w:rFonts w:eastAsia="Times New Roman"/>
          <w:b/>
          <w:bCs/>
          <w:rtl/>
          <w:lang w:eastAsia="de-DE"/>
        </w:rPr>
        <w:t>עוד</w:t>
      </w:r>
      <w:r w:rsidRPr="009B1EBB">
        <w:rPr>
          <w:rFonts w:eastAsia="Times New Roman"/>
          <w:lang w:eastAsia="de-DE"/>
        </w:rPr>
        <w:t xml:space="preserve">, „bezeugen, Zeugnis ablegen", </w:t>
      </w:r>
      <w:r w:rsidRPr="009B1EBB">
        <w:rPr>
          <w:rFonts w:eastAsia="Times New Roman"/>
          <w:b/>
          <w:bCs/>
          <w:rtl/>
          <w:lang w:eastAsia="de-DE"/>
        </w:rPr>
        <w:t>בָכֶם</w:t>
      </w:r>
      <w:r w:rsidRPr="009B1EBB">
        <w:rPr>
          <w:rFonts w:eastAsia="Times New Roman"/>
          <w:rtl/>
          <w:lang w:eastAsia="de-DE"/>
        </w:rPr>
        <w:t xml:space="preserve"> </w:t>
      </w:r>
      <w:r w:rsidRPr="009B1EBB">
        <w:rPr>
          <w:rFonts w:eastAsia="Times New Roman"/>
          <w:lang w:eastAsia="de-DE"/>
        </w:rPr>
        <w:t xml:space="preserve">als präpositionale Ergänzung – </w:t>
      </w:r>
      <w:r w:rsidRPr="009B1EBB">
        <w:rPr>
          <w:rFonts w:eastAsia="Times New Roman"/>
          <w:b/>
          <w:bCs/>
          <w:rtl/>
          <w:lang w:eastAsia="de-DE"/>
        </w:rPr>
        <w:t>בְּ</w:t>
      </w:r>
      <w:r w:rsidRPr="009B1EBB">
        <w:rPr>
          <w:rFonts w:eastAsia="Times New Roman"/>
          <w:rtl/>
          <w:lang w:eastAsia="de-DE"/>
        </w:rPr>
        <w:t xml:space="preserve"> </w:t>
      </w:r>
      <w:r w:rsidRPr="009B1EBB">
        <w:rPr>
          <w:rFonts w:eastAsia="Times New Roman"/>
          <w:lang w:eastAsia="de-DE"/>
        </w:rPr>
        <w:t xml:space="preserve">mit Suffix 2. Person Plural maskulin – „gegen euch", </w:t>
      </w:r>
      <w:r w:rsidRPr="009B1EBB">
        <w:rPr>
          <w:rFonts w:eastAsia="Times New Roman"/>
          <w:b/>
          <w:bCs/>
          <w:rtl/>
          <w:lang w:eastAsia="de-DE"/>
        </w:rPr>
        <w:t>הַיּוֹם</w:t>
      </w:r>
      <w:r w:rsidRPr="009B1EBB">
        <w:rPr>
          <w:rFonts w:eastAsia="Times New Roman"/>
          <w:rtl/>
          <w:lang w:eastAsia="de-DE"/>
        </w:rPr>
        <w:t xml:space="preserve"> </w:t>
      </w:r>
      <w:r w:rsidRPr="009B1EBB">
        <w:rPr>
          <w:rFonts w:eastAsia="Times New Roman"/>
          <w:lang w:eastAsia="de-DE"/>
        </w:rPr>
        <w:t xml:space="preserve">als temporales Adverb – „heute"), </w:t>
      </w:r>
      <w:r w:rsidRPr="009B1EBB">
        <w:rPr>
          <w:rFonts w:eastAsia="Times New Roman"/>
          <w:b/>
          <w:bCs/>
          <w:rtl/>
          <w:lang w:eastAsia="de-DE"/>
        </w:rPr>
        <w:t>כִּי אָבֹד תֹּאבֵדוּן</w:t>
      </w:r>
      <w:r w:rsidRPr="009B1EBB">
        <w:rPr>
          <w:rFonts w:eastAsia="Times New Roman"/>
          <w:rtl/>
          <w:lang w:eastAsia="de-DE"/>
        </w:rPr>
        <w:t xml:space="preserve"> </w:t>
      </w:r>
      <w:r w:rsidRPr="009B1EBB">
        <w:rPr>
          <w:rFonts w:eastAsia="Times New Roman"/>
          <w:lang w:eastAsia="de-DE"/>
        </w:rPr>
        <w:t xml:space="preserve">als emphatischer </w:t>
      </w:r>
      <w:r w:rsidRPr="009B1EBB">
        <w:rPr>
          <w:rFonts w:eastAsia="Times New Roman"/>
          <w:b/>
          <w:bCs/>
          <w:rtl/>
          <w:lang w:eastAsia="de-DE"/>
        </w:rPr>
        <w:t>כִּי</w:t>
      </w:r>
      <w:r w:rsidRPr="009B1EBB">
        <w:rPr>
          <w:rFonts w:eastAsia="Times New Roman"/>
          <w:lang w:eastAsia="de-DE"/>
        </w:rPr>
        <w:t>-Satz (</w:t>
      </w:r>
      <w:r w:rsidRPr="009B1EBB">
        <w:rPr>
          <w:rFonts w:eastAsia="Times New Roman"/>
          <w:b/>
          <w:bCs/>
          <w:rtl/>
          <w:lang w:eastAsia="de-DE"/>
        </w:rPr>
        <w:t>כִּי</w:t>
      </w:r>
      <w:r w:rsidRPr="009B1EBB">
        <w:rPr>
          <w:rFonts w:eastAsia="Times New Roman"/>
          <w:lang w:eastAsia="de-DE"/>
        </w:rPr>
        <w:t xml:space="preserve">, „dass", </w:t>
      </w:r>
      <w:r w:rsidRPr="009B1EBB">
        <w:rPr>
          <w:rFonts w:eastAsia="Times New Roman"/>
          <w:b/>
          <w:bCs/>
          <w:rtl/>
          <w:lang w:eastAsia="de-DE"/>
        </w:rPr>
        <w:t>אָבֹד</w:t>
      </w:r>
      <w:r w:rsidRPr="009B1EBB">
        <w:rPr>
          <w:rFonts w:eastAsia="Times New Roman"/>
          <w:rtl/>
          <w:lang w:eastAsia="de-DE"/>
        </w:rPr>
        <w:t xml:space="preserve"> </w:t>
      </w:r>
      <w:r w:rsidRPr="009B1EBB">
        <w:rPr>
          <w:rFonts w:eastAsia="Times New Roman"/>
          <w:lang w:eastAsia="de-DE"/>
        </w:rPr>
        <w:t xml:space="preserve">als Qal Infinitiv Absolut von </w:t>
      </w:r>
      <w:r w:rsidRPr="009B1EBB">
        <w:rPr>
          <w:rFonts w:eastAsia="Times New Roman"/>
          <w:b/>
          <w:bCs/>
          <w:rtl/>
          <w:lang w:eastAsia="de-DE"/>
        </w:rPr>
        <w:t>אבד</w:t>
      </w:r>
      <w:r w:rsidRPr="009B1EBB">
        <w:rPr>
          <w:rFonts w:eastAsia="Times New Roman"/>
          <w:lang w:eastAsia="de-DE"/>
        </w:rPr>
        <w:t xml:space="preserve">, „umkommen, zugrunde gehen", </w:t>
      </w:r>
      <w:r w:rsidRPr="009B1EBB">
        <w:rPr>
          <w:rFonts w:eastAsia="Times New Roman"/>
          <w:b/>
          <w:bCs/>
          <w:rtl/>
          <w:lang w:eastAsia="de-DE"/>
        </w:rPr>
        <w:t>תֹּאבֵדוּן</w:t>
      </w:r>
      <w:r w:rsidRPr="009B1EBB">
        <w:rPr>
          <w:rFonts w:eastAsia="Times New Roman"/>
          <w:rtl/>
          <w:lang w:eastAsia="de-DE"/>
        </w:rPr>
        <w:t xml:space="preserve"> </w:t>
      </w:r>
      <w:r w:rsidRPr="009B1EBB">
        <w:rPr>
          <w:rFonts w:eastAsia="Times New Roman"/>
          <w:lang w:eastAsia="de-DE"/>
        </w:rPr>
        <w:t xml:space="preserve">als Qal Imperfekt, 2. Person Plural maskulin von </w:t>
      </w:r>
      <w:r w:rsidRPr="009B1EBB">
        <w:rPr>
          <w:rFonts w:eastAsia="Times New Roman"/>
          <w:b/>
          <w:bCs/>
          <w:rtl/>
          <w:lang w:eastAsia="de-DE"/>
        </w:rPr>
        <w:t>אבד</w:t>
      </w:r>
      <w:r w:rsidRPr="009B1EBB">
        <w:rPr>
          <w:rFonts w:eastAsia="Times New Roman"/>
          <w:rtl/>
          <w:lang w:eastAsia="de-DE"/>
        </w:rPr>
        <w:t xml:space="preserve"> </w:t>
      </w:r>
      <w:r w:rsidRPr="009B1EBB">
        <w:rPr>
          <w:rFonts w:eastAsia="Times New Roman"/>
          <w:lang w:eastAsia="de-DE"/>
        </w:rPr>
        <w:t>mit paragogischem Nun – „ihr werdet gewiss umkommen").</w:t>
      </w:r>
    </w:p>
    <w:p w14:paraId="7606E07C"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t xml:space="preserve">Der Vers formuliert die drastische Konsequenz des Vergessens: Wer JHWH vergisst und sich anderen Göttern zuwendet, wird umkommen. Die dreifache Beschreibung des Götzendienstes (nachgehen – dienen – sich niederwerfen) ist umfassend. Die Konstruktion </w:t>
      </w:r>
      <w:r w:rsidRPr="009B1EBB">
        <w:rPr>
          <w:rFonts w:eastAsia="Times New Roman"/>
          <w:b/>
          <w:bCs/>
          <w:lang w:eastAsia="de-DE"/>
        </w:rPr>
        <w:t>Infinitivus absolutus + finites Verb</w:t>
      </w:r>
      <w:r w:rsidRPr="009B1EBB">
        <w:rPr>
          <w:rFonts w:eastAsia="Times New Roman"/>
          <w:lang w:eastAsia="de-DE"/>
        </w:rPr>
        <w:t xml:space="preserve"> verleiht höchste Emphase sowohl der Bedingung (</w:t>
      </w:r>
      <w:r w:rsidRPr="009B1EBB">
        <w:rPr>
          <w:rFonts w:eastAsia="Times New Roman"/>
          <w:b/>
          <w:bCs/>
          <w:rtl/>
          <w:lang w:eastAsia="de-DE"/>
        </w:rPr>
        <w:t>שָׁכֹחַ תִּשְׁכַּח</w:t>
      </w:r>
      <w:r w:rsidRPr="009B1EBB">
        <w:rPr>
          <w:rFonts w:eastAsia="Times New Roman"/>
          <w:lang w:eastAsia="de-DE"/>
        </w:rPr>
        <w:t>, „wenn du je vergisst") als auch der Konsequenz (</w:t>
      </w:r>
      <w:r w:rsidRPr="009B1EBB">
        <w:rPr>
          <w:rFonts w:eastAsia="Times New Roman"/>
          <w:b/>
          <w:bCs/>
          <w:rtl/>
          <w:lang w:eastAsia="de-DE"/>
        </w:rPr>
        <w:t>אָבֹד תֹּאבֵדוּן</w:t>
      </w:r>
      <w:r w:rsidRPr="009B1EBB">
        <w:rPr>
          <w:rFonts w:eastAsia="Times New Roman"/>
          <w:lang w:eastAsia="de-DE"/>
        </w:rPr>
        <w:t xml:space="preserve">, „ihr werdet gewiss umkommen"). Die feierliche Formel </w:t>
      </w:r>
      <w:r w:rsidRPr="009B1EBB">
        <w:rPr>
          <w:rFonts w:eastAsia="Times New Roman"/>
          <w:b/>
          <w:bCs/>
          <w:rtl/>
          <w:lang w:eastAsia="de-DE"/>
        </w:rPr>
        <w:t>הַעִדֹתִי בָכֶם הַיּוֹם</w:t>
      </w:r>
      <w:r w:rsidRPr="009B1EBB">
        <w:rPr>
          <w:rFonts w:eastAsia="Times New Roman"/>
          <w:rtl/>
          <w:lang w:eastAsia="de-DE"/>
        </w:rPr>
        <w:t xml:space="preserve"> </w:t>
      </w:r>
      <w:r w:rsidRPr="009B1EBB">
        <w:rPr>
          <w:rFonts w:eastAsia="Times New Roman"/>
          <w:lang w:eastAsia="de-DE"/>
        </w:rPr>
        <w:t>(„ich bezeuge heute gegen euch") hat forensischen Charakter – Mose legt formell Zeugnis ab.</w:t>
      </w:r>
    </w:p>
    <w:p w14:paraId="01938B1C"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t xml:space="preserve">Die Satzstruktur ist eine narrative Einleitung mit </w:t>
      </w:r>
      <w:r w:rsidRPr="009B1EBB">
        <w:rPr>
          <w:rFonts w:eastAsia="Times New Roman"/>
          <w:b/>
          <w:bCs/>
          <w:rtl/>
          <w:lang w:eastAsia="de-DE"/>
        </w:rPr>
        <w:t>וְהָיָה</w:t>
      </w:r>
      <w:r w:rsidRPr="009B1EBB">
        <w:rPr>
          <w:rFonts w:eastAsia="Times New Roman"/>
          <w:rtl/>
          <w:lang w:eastAsia="de-DE"/>
        </w:rPr>
        <w:t xml:space="preserve"> </w:t>
      </w:r>
      <w:r w:rsidRPr="009B1EBB">
        <w:rPr>
          <w:rFonts w:eastAsia="Times New Roman"/>
          <w:lang w:eastAsia="de-DE"/>
        </w:rPr>
        <w:t xml:space="preserve">und emphatischer Bedingung (mit Infinitivus absolutus, finitem Verb und direktem Objekt), gefolgt von einer dreigliedrigen koordinierten Verbkette (die erste mit idiomatischer Richtungsangabe, die zweite mit Suffix-Objekt, die dritte mit präpositionaler Ergänzung), und der Apodosis (Prädikat mit präpositionaler Ergänzung und temporalem Adverb, emphatischer </w:t>
      </w:r>
      <w:r w:rsidRPr="009B1EBB">
        <w:rPr>
          <w:rFonts w:eastAsia="Times New Roman"/>
          <w:b/>
          <w:bCs/>
          <w:rtl/>
          <w:lang w:eastAsia="de-DE"/>
        </w:rPr>
        <w:t>כִּי</w:t>
      </w:r>
      <w:r w:rsidRPr="009B1EBB">
        <w:rPr>
          <w:rFonts w:eastAsia="Times New Roman"/>
          <w:lang w:eastAsia="de-DE"/>
        </w:rPr>
        <w:t>-Satz mit Infinitivus absolutus, finitem Verb mit paragogischem Nun). Die doppelte Emphase (Bedingung und Konsequenz) unterstreicht die Ernsthaftigkeit der Warnung.</w:t>
      </w:r>
    </w:p>
    <w:p w14:paraId="144C57FD"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lastRenderedPageBreak/>
        <w:t>Der Vers formuliert die drastische Warnung: Wenn du JHWH vergisst, anderen Göttern nachgehst, ihnen dienst und dich vor ihnen niederwirfst, bezeuge ich heute gegen euch: Ihr werdet gewiss umkommen!</w:t>
      </w:r>
    </w:p>
    <w:p w14:paraId="4FD84755" w14:textId="77777777" w:rsidR="009B1EBB" w:rsidRPr="009B1EBB" w:rsidRDefault="009B1EBB" w:rsidP="009B1EBB">
      <w:pPr>
        <w:spacing w:before="100" w:beforeAutospacing="1" w:after="100" w:afterAutospacing="1" w:line="240" w:lineRule="auto"/>
        <w:outlineLvl w:val="1"/>
        <w:rPr>
          <w:rFonts w:eastAsia="Times New Roman"/>
          <w:b/>
          <w:bCs/>
          <w:sz w:val="36"/>
          <w:szCs w:val="36"/>
          <w:lang w:eastAsia="de-DE"/>
        </w:rPr>
      </w:pPr>
      <w:r w:rsidRPr="009B1EBB">
        <w:rPr>
          <w:rFonts w:eastAsia="Times New Roman"/>
          <w:b/>
          <w:bCs/>
          <w:sz w:val="36"/>
          <w:szCs w:val="36"/>
          <w:lang w:eastAsia="de-DE"/>
        </w:rPr>
        <w:t>Deuteronomium 8,20</w:t>
      </w:r>
    </w:p>
    <w:p w14:paraId="37355ED6"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Hebräisch:</w:t>
      </w:r>
      <w:r w:rsidRPr="009B1EBB">
        <w:rPr>
          <w:rFonts w:eastAsia="Times New Roman"/>
          <w:lang w:eastAsia="de-DE"/>
        </w:rPr>
        <w:t xml:space="preserve"> </w:t>
      </w:r>
      <w:r w:rsidRPr="009B1EBB">
        <w:rPr>
          <w:rFonts w:eastAsia="Times New Roman"/>
          <w:rtl/>
          <w:lang w:eastAsia="de-DE"/>
        </w:rPr>
        <w:t>כַּגּוֹיִם אֲשֶׁר יְהוָה מַאֲבִיד מִפְּנֵיכֶם כֵּן תֹאבֵדוּן עֵקֶב לֹא תִשְׁמְעוּן בְּקוֹל יְהוָה אֱלֹהֵיכֶם׃</w:t>
      </w:r>
    </w:p>
    <w:p w14:paraId="1583F689"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Deutsch:</w:t>
      </w:r>
      <w:r w:rsidRPr="009B1EBB">
        <w:rPr>
          <w:rFonts w:eastAsia="Times New Roman"/>
          <w:lang w:eastAsia="de-DE"/>
        </w:rPr>
        <w:t xml:space="preserve"> Wie die Nationen, die der Ewige vor euch vernichtet, so werdet ihr umkommen, dafür, dass ihr auf die Stimme des Ewigen, eures Gottes, nicht hört.</w:t>
      </w:r>
    </w:p>
    <w:p w14:paraId="0295A17E" w14:textId="77777777" w:rsidR="009B1EBB" w:rsidRPr="009B1EBB" w:rsidRDefault="004F5CEB" w:rsidP="009B1EBB">
      <w:pPr>
        <w:spacing w:after="0" w:line="240" w:lineRule="auto"/>
        <w:rPr>
          <w:rFonts w:eastAsia="Times New Roman"/>
          <w:lang w:eastAsia="de-DE"/>
        </w:rPr>
      </w:pPr>
      <w:r>
        <w:rPr>
          <w:rFonts w:eastAsia="Times New Roman"/>
          <w:noProof/>
          <w:lang w:eastAsia="de-DE"/>
        </w:rPr>
        <w:pict w14:anchorId="25326584">
          <v:rect id="_x0000_i1289" style="width:0;height:1.5pt" o:hralign="center" o:hrstd="t" o:hr="t" fillcolor="#a0a0a0" stroked="f"/>
        </w:pict>
      </w:r>
    </w:p>
    <w:p w14:paraId="41610955"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lang w:eastAsia="de-DE"/>
        </w:rPr>
        <w:t>Kommentar:</w:t>
      </w:r>
      <w:r w:rsidRPr="009B1EBB">
        <w:rPr>
          <w:rFonts w:eastAsia="Times New Roman"/>
          <w:lang w:eastAsia="de-DE"/>
        </w:rPr>
        <w:t xml:space="preserve"> </w:t>
      </w:r>
      <w:r w:rsidRPr="009B1EBB">
        <w:rPr>
          <w:rFonts w:eastAsia="Times New Roman"/>
          <w:b/>
          <w:bCs/>
          <w:rtl/>
          <w:lang w:eastAsia="de-DE"/>
        </w:rPr>
        <w:t>כַּגּוֹיִם אֲשֶׁר יְהוָה מַאֲבִיד מִפְּנֵיכֶם כֵּן תֹאבֵדוּן</w:t>
      </w:r>
      <w:r w:rsidRPr="009B1EBB">
        <w:rPr>
          <w:rFonts w:eastAsia="Times New Roman"/>
          <w:rtl/>
          <w:lang w:eastAsia="de-DE"/>
        </w:rPr>
        <w:t xml:space="preserve"> </w:t>
      </w:r>
      <w:r w:rsidRPr="009B1EBB">
        <w:rPr>
          <w:rFonts w:eastAsia="Times New Roman"/>
          <w:lang w:eastAsia="de-DE"/>
        </w:rPr>
        <w:t xml:space="preserve">ist ein Vergleichssatz: </w:t>
      </w:r>
      <w:r w:rsidRPr="009B1EBB">
        <w:rPr>
          <w:rFonts w:eastAsia="Times New Roman"/>
          <w:b/>
          <w:bCs/>
          <w:rtl/>
          <w:lang w:eastAsia="de-DE"/>
        </w:rPr>
        <w:t>כַּגּוֹיִם אֲשֶׁר יְהוָה מַאֲבִיד מִפְּנֵיכֶם</w:t>
      </w:r>
      <w:r w:rsidRPr="009B1EBB">
        <w:rPr>
          <w:rFonts w:eastAsia="Times New Roman"/>
          <w:rtl/>
          <w:lang w:eastAsia="de-DE"/>
        </w:rPr>
        <w:t xml:space="preserve"> </w:t>
      </w:r>
      <w:r w:rsidRPr="009B1EBB">
        <w:rPr>
          <w:rFonts w:eastAsia="Times New Roman"/>
          <w:lang w:eastAsia="de-DE"/>
        </w:rPr>
        <w:t>(</w:t>
      </w:r>
      <w:r w:rsidRPr="009B1EBB">
        <w:rPr>
          <w:rFonts w:eastAsia="Times New Roman"/>
          <w:b/>
          <w:bCs/>
          <w:rtl/>
          <w:lang w:eastAsia="de-DE"/>
        </w:rPr>
        <w:t>כְּ</w:t>
      </w:r>
      <w:r w:rsidRPr="009B1EBB">
        <w:rPr>
          <w:rFonts w:eastAsia="Times New Roman"/>
          <w:rtl/>
          <w:lang w:eastAsia="de-DE"/>
        </w:rPr>
        <w:t xml:space="preserve"> </w:t>
      </w:r>
      <w:r w:rsidRPr="009B1EBB">
        <w:rPr>
          <w:rFonts w:eastAsia="Times New Roman"/>
          <w:lang w:eastAsia="de-DE"/>
        </w:rPr>
        <w:t xml:space="preserve">mit </w:t>
      </w:r>
      <w:r w:rsidRPr="009B1EBB">
        <w:rPr>
          <w:rFonts w:eastAsia="Times New Roman"/>
          <w:b/>
          <w:bCs/>
          <w:rtl/>
          <w:lang w:eastAsia="de-DE"/>
        </w:rPr>
        <w:t>גּוֹי</w:t>
      </w:r>
      <w:r w:rsidRPr="009B1EBB">
        <w:rPr>
          <w:rFonts w:eastAsia="Times New Roman"/>
          <w:lang w:eastAsia="de-DE"/>
        </w:rPr>
        <w:t xml:space="preserve">, Plural, mit Artikel – „wie die Nationen", </w:t>
      </w:r>
      <w:r w:rsidRPr="009B1EBB">
        <w:rPr>
          <w:rFonts w:eastAsia="Times New Roman"/>
          <w:b/>
          <w:bCs/>
          <w:rtl/>
          <w:lang w:eastAsia="de-DE"/>
        </w:rPr>
        <w:t>אֲשֶׁר</w:t>
      </w:r>
      <w:r w:rsidRPr="009B1EBB">
        <w:rPr>
          <w:rFonts w:eastAsia="Times New Roman"/>
          <w:rtl/>
          <w:lang w:eastAsia="de-DE"/>
        </w:rPr>
        <w:t xml:space="preserve"> </w:t>
      </w:r>
      <w:r w:rsidRPr="009B1EBB">
        <w:rPr>
          <w:rFonts w:eastAsia="Times New Roman"/>
          <w:lang w:eastAsia="de-DE"/>
        </w:rPr>
        <w:t xml:space="preserve">als Relativpronomen, </w:t>
      </w:r>
      <w:r w:rsidRPr="009B1EBB">
        <w:rPr>
          <w:rFonts w:eastAsia="Times New Roman"/>
          <w:b/>
          <w:bCs/>
          <w:rtl/>
          <w:lang w:eastAsia="de-DE"/>
        </w:rPr>
        <w:t>יְהוָה</w:t>
      </w:r>
      <w:r w:rsidRPr="009B1EBB">
        <w:rPr>
          <w:rFonts w:eastAsia="Times New Roman"/>
          <w:rtl/>
          <w:lang w:eastAsia="de-DE"/>
        </w:rPr>
        <w:t xml:space="preserve"> </w:t>
      </w:r>
      <w:r w:rsidRPr="009B1EBB">
        <w:rPr>
          <w:rFonts w:eastAsia="Times New Roman"/>
          <w:lang w:eastAsia="de-DE"/>
        </w:rPr>
        <w:t xml:space="preserve">als Subjekt, </w:t>
      </w:r>
      <w:r w:rsidRPr="009B1EBB">
        <w:rPr>
          <w:rFonts w:eastAsia="Times New Roman"/>
          <w:b/>
          <w:bCs/>
          <w:rtl/>
          <w:lang w:eastAsia="de-DE"/>
        </w:rPr>
        <w:t>מַאֲבִיד</w:t>
      </w:r>
      <w:r w:rsidRPr="009B1EBB">
        <w:rPr>
          <w:rFonts w:eastAsia="Times New Roman"/>
          <w:rtl/>
          <w:lang w:eastAsia="de-DE"/>
        </w:rPr>
        <w:t xml:space="preserve"> </w:t>
      </w:r>
      <w:r w:rsidRPr="009B1EBB">
        <w:rPr>
          <w:rFonts w:eastAsia="Times New Roman"/>
          <w:lang w:eastAsia="de-DE"/>
        </w:rPr>
        <w:t xml:space="preserve">als Hifil Partizip Singular maskulin von </w:t>
      </w:r>
      <w:r w:rsidRPr="009B1EBB">
        <w:rPr>
          <w:rFonts w:eastAsia="Times New Roman"/>
          <w:b/>
          <w:bCs/>
          <w:rtl/>
          <w:lang w:eastAsia="de-DE"/>
        </w:rPr>
        <w:t>אבד</w:t>
      </w:r>
      <w:r w:rsidRPr="009B1EBB">
        <w:rPr>
          <w:rFonts w:eastAsia="Times New Roman"/>
          <w:lang w:eastAsia="de-DE"/>
        </w:rPr>
        <w:t xml:space="preserve">, „umkommen" – im Hifil „vernichten, zugrunde richten", </w:t>
      </w:r>
      <w:r w:rsidRPr="009B1EBB">
        <w:rPr>
          <w:rFonts w:eastAsia="Times New Roman"/>
          <w:b/>
          <w:bCs/>
          <w:rtl/>
          <w:lang w:eastAsia="de-DE"/>
        </w:rPr>
        <w:t>מִפְּנֵיכֶם</w:t>
      </w:r>
      <w:r w:rsidRPr="009B1EBB">
        <w:rPr>
          <w:rFonts w:eastAsia="Times New Roman"/>
          <w:rtl/>
          <w:lang w:eastAsia="de-DE"/>
        </w:rPr>
        <w:t xml:space="preserve"> </w:t>
      </w:r>
      <w:r w:rsidRPr="009B1EBB">
        <w:rPr>
          <w:rFonts w:eastAsia="Times New Roman"/>
          <w:lang w:eastAsia="de-DE"/>
        </w:rPr>
        <w:t xml:space="preserve">als Herkunftsangabe – </w:t>
      </w:r>
      <w:r w:rsidRPr="009B1EBB">
        <w:rPr>
          <w:rFonts w:eastAsia="Times New Roman"/>
          <w:b/>
          <w:bCs/>
          <w:rtl/>
          <w:lang w:eastAsia="de-DE"/>
        </w:rPr>
        <w:t>מִן</w:t>
      </w:r>
      <w:r w:rsidRPr="009B1EBB">
        <w:rPr>
          <w:rFonts w:eastAsia="Times New Roman"/>
          <w:rtl/>
          <w:lang w:eastAsia="de-DE"/>
        </w:rPr>
        <w:t xml:space="preserve"> </w:t>
      </w:r>
      <w:r w:rsidRPr="009B1EBB">
        <w:rPr>
          <w:rFonts w:eastAsia="Times New Roman"/>
          <w:lang w:eastAsia="de-DE"/>
        </w:rPr>
        <w:t xml:space="preserve">mit </w:t>
      </w:r>
      <w:r w:rsidRPr="009B1EBB">
        <w:rPr>
          <w:rFonts w:eastAsia="Times New Roman"/>
          <w:b/>
          <w:bCs/>
          <w:rtl/>
          <w:lang w:eastAsia="de-DE"/>
        </w:rPr>
        <w:t>פָּנֶה</w:t>
      </w:r>
      <w:r w:rsidRPr="009B1EBB">
        <w:rPr>
          <w:rFonts w:eastAsia="Times New Roman"/>
          <w:lang w:eastAsia="de-DE"/>
        </w:rPr>
        <w:t xml:space="preserve">, Plural, und Suffix 2. Person Plural maskulin – „vor euch weg"), </w:t>
      </w:r>
      <w:r w:rsidRPr="009B1EBB">
        <w:rPr>
          <w:rFonts w:eastAsia="Times New Roman"/>
          <w:b/>
          <w:bCs/>
          <w:rtl/>
          <w:lang w:eastAsia="de-DE"/>
        </w:rPr>
        <w:t>כֵּן תֹאבֵדוּן</w:t>
      </w:r>
      <w:r w:rsidRPr="009B1EBB">
        <w:rPr>
          <w:rFonts w:eastAsia="Times New Roman"/>
          <w:rtl/>
          <w:lang w:eastAsia="de-DE"/>
        </w:rPr>
        <w:t xml:space="preserve"> </w:t>
      </w:r>
      <w:r w:rsidRPr="009B1EBB">
        <w:rPr>
          <w:rFonts w:eastAsia="Times New Roman"/>
          <w:lang w:eastAsia="de-DE"/>
        </w:rPr>
        <w:t>(</w:t>
      </w:r>
      <w:r w:rsidRPr="009B1EBB">
        <w:rPr>
          <w:rFonts w:eastAsia="Times New Roman"/>
          <w:b/>
          <w:bCs/>
          <w:rtl/>
          <w:lang w:eastAsia="de-DE"/>
        </w:rPr>
        <w:t>כֵּן</w:t>
      </w:r>
      <w:r w:rsidRPr="009B1EBB">
        <w:rPr>
          <w:rFonts w:eastAsia="Times New Roman"/>
          <w:lang w:eastAsia="de-DE"/>
        </w:rPr>
        <w:t xml:space="preserve">, „so", </w:t>
      </w:r>
      <w:r w:rsidRPr="009B1EBB">
        <w:rPr>
          <w:rFonts w:eastAsia="Times New Roman"/>
          <w:b/>
          <w:bCs/>
          <w:rtl/>
          <w:lang w:eastAsia="de-DE"/>
        </w:rPr>
        <w:t>תֹאבֵדוּן</w:t>
      </w:r>
      <w:r w:rsidRPr="009B1EBB">
        <w:rPr>
          <w:rFonts w:eastAsia="Times New Roman"/>
          <w:rtl/>
          <w:lang w:eastAsia="de-DE"/>
        </w:rPr>
        <w:t xml:space="preserve"> </w:t>
      </w:r>
      <w:r w:rsidRPr="009B1EBB">
        <w:rPr>
          <w:rFonts w:eastAsia="Times New Roman"/>
          <w:lang w:eastAsia="de-DE"/>
        </w:rPr>
        <w:t xml:space="preserve">als Qal Imperfekt, 2. Person Plural maskulin von </w:t>
      </w:r>
      <w:r w:rsidRPr="009B1EBB">
        <w:rPr>
          <w:rFonts w:eastAsia="Times New Roman"/>
          <w:b/>
          <w:bCs/>
          <w:rtl/>
          <w:lang w:eastAsia="de-DE"/>
        </w:rPr>
        <w:t>אבד</w:t>
      </w:r>
      <w:r w:rsidRPr="009B1EBB">
        <w:rPr>
          <w:rFonts w:eastAsia="Times New Roman"/>
          <w:rtl/>
          <w:lang w:eastAsia="de-DE"/>
        </w:rPr>
        <w:t xml:space="preserve"> </w:t>
      </w:r>
      <w:r w:rsidRPr="009B1EBB">
        <w:rPr>
          <w:rFonts w:eastAsia="Times New Roman"/>
          <w:lang w:eastAsia="de-DE"/>
        </w:rPr>
        <w:t>mit paragogischem Nun).</w:t>
      </w:r>
    </w:p>
    <w:p w14:paraId="42AFE250"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b/>
          <w:bCs/>
          <w:rtl/>
          <w:lang w:eastAsia="de-DE"/>
        </w:rPr>
        <w:t>עֵקֶב לֹא תִשְׁמְעוּן בְּקוֹל יְהוָה אֱלֹהֵיכֶם</w:t>
      </w:r>
      <w:r w:rsidRPr="009B1EBB">
        <w:rPr>
          <w:rFonts w:eastAsia="Times New Roman"/>
          <w:rtl/>
          <w:lang w:eastAsia="de-DE"/>
        </w:rPr>
        <w:t xml:space="preserve"> </w:t>
      </w:r>
      <w:r w:rsidRPr="009B1EBB">
        <w:rPr>
          <w:rFonts w:eastAsia="Times New Roman"/>
          <w:lang w:eastAsia="de-DE"/>
        </w:rPr>
        <w:t xml:space="preserve">ist ein kausaler Satz: </w:t>
      </w:r>
      <w:r w:rsidRPr="009B1EBB">
        <w:rPr>
          <w:rFonts w:eastAsia="Times New Roman"/>
          <w:b/>
          <w:bCs/>
          <w:rtl/>
          <w:lang w:eastAsia="de-DE"/>
        </w:rPr>
        <w:t>עֵקֶב</w:t>
      </w:r>
      <w:r w:rsidRPr="009B1EBB">
        <w:rPr>
          <w:rFonts w:eastAsia="Times New Roman"/>
          <w:rtl/>
          <w:lang w:eastAsia="de-DE"/>
        </w:rPr>
        <w:t xml:space="preserve"> </w:t>
      </w:r>
      <w:r w:rsidRPr="009B1EBB">
        <w:rPr>
          <w:rFonts w:eastAsia="Times New Roman"/>
          <w:lang w:eastAsia="de-DE"/>
        </w:rPr>
        <w:t xml:space="preserve">als kausale Präposition („weil, dafür dass, als Folge von"), </w:t>
      </w:r>
      <w:r w:rsidRPr="009B1EBB">
        <w:rPr>
          <w:rFonts w:eastAsia="Times New Roman"/>
          <w:b/>
          <w:bCs/>
          <w:rtl/>
          <w:lang w:eastAsia="de-DE"/>
        </w:rPr>
        <w:t>לֹא תִשְׁמְעוּן</w:t>
      </w:r>
      <w:r w:rsidRPr="009B1EBB">
        <w:rPr>
          <w:rFonts w:eastAsia="Times New Roman"/>
          <w:rtl/>
          <w:lang w:eastAsia="de-DE"/>
        </w:rPr>
        <w:t xml:space="preserve"> </w:t>
      </w:r>
      <w:r w:rsidRPr="009B1EBB">
        <w:rPr>
          <w:rFonts w:eastAsia="Times New Roman"/>
          <w:lang w:eastAsia="de-DE"/>
        </w:rPr>
        <w:t xml:space="preserve">(Qal Imperfekt, 2. Person Plural maskulin von </w:t>
      </w:r>
      <w:r w:rsidRPr="009B1EBB">
        <w:rPr>
          <w:rFonts w:eastAsia="Times New Roman"/>
          <w:b/>
          <w:bCs/>
          <w:rtl/>
          <w:lang w:eastAsia="de-DE"/>
        </w:rPr>
        <w:t>שׁמע</w:t>
      </w:r>
      <w:r w:rsidRPr="009B1EBB">
        <w:rPr>
          <w:rFonts w:eastAsia="Times New Roman"/>
          <w:lang w:eastAsia="de-DE"/>
        </w:rPr>
        <w:t xml:space="preserve">, „hören, hören auf, gehorchen", mit Negation und paragogischem Nun), </w:t>
      </w:r>
      <w:r w:rsidRPr="009B1EBB">
        <w:rPr>
          <w:rFonts w:eastAsia="Times New Roman"/>
          <w:b/>
          <w:bCs/>
          <w:rtl/>
          <w:lang w:eastAsia="de-DE"/>
        </w:rPr>
        <w:t>בְּקוֹל יְהוָה אֱלֹהֵיכֶם</w:t>
      </w:r>
      <w:r w:rsidRPr="009B1EBB">
        <w:rPr>
          <w:rFonts w:eastAsia="Times New Roman"/>
          <w:rtl/>
          <w:lang w:eastAsia="de-DE"/>
        </w:rPr>
        <w:t xml:space="preserve"> </w:t>
      </w:r>
      <w:r w:rsidRPr="009B1EBB">
        <w:rPr>
          <w:rFonts w:eastAsia="Times New Roman"/>
          <w:lang w:eastAsia="de-DE"/>
        </w:rPr>
        <w:t>als präpositionale Ergänzung (</w:t>
      </w:r>
      <w:r w:rsidRPr="009B1EBB">
        <w:rPr>
          <w:rFonts w:eastAsia="Times New Roman"/>
          <w:b/>
          <w:bCs/>
          <w:rtl/>
          <w:lang w:eastAsia="de-DE"/>
        </w:rPr>
        <w:t>בְּ</w:t>
      </w:r>
      <w:r w:rsidRPr="009B1EBB">
        <w:rPr>
          <w:rFonts w:eastAsia="Times New Roman"/>
          <w:rtl/>
          <w:lang w:eastAsia="de-DE"/>
        </w:rPr>
        <w:t xml:space="preserve"> </w:t>
      </w:r>
      <w:r w:rsidRPr="009B1EBB">
        <w:rPr>
          <w:rFonts w:eastAsia="Times New Roman"/>
          <w:lang w:eastAsia="de-DE"/>
        </w:rPr>
        <w:t xml:space="preserve">mit </w:t>
      </w:r>
      <w:r w:rsidRPr="009B1EBB">
        <w:rPr>
          <w:rFonts w:eastAsia="Times New Roman"/>
          <w:b/>
          <w:bCs/>
          <w:rtl/>
          <w:lang w:eastAsia="de-DE"/>
        </w:rPr>
        <w:t>קוֹל</w:t>
      </w:r>
      <w:r w:rsidRPr="009B1EBB">
        <w:rPr>
          <w:rFonts w:eastAsia="Times New Roman"/>
          <w:lang w:eastAsia="de-DE"/>
        </w:rPr>
        <w:t>, „Stimme", im Construct mit erweiterter Gottesbezeichnung – idiomatisch „auf die Stimme hören" = „gehorchen").</w:t>
      </w:r>
    </w:p>
    <w:p w14:paraId="7089FF23"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t xml:space="preserve">Der Vers schließt die Warnpassage (V. 11-20) mit einer drastischen Aussage: Israel wird das gleiche Schicksal erleiden wie die kanaanitischen Völker, die JHWH vor Israel vernichtet hat, falls es nicht gehorcht. Der Vergleich ist schockierend: Israel, das erwählte Volk, wird ebenso vernichtet werden wie die Heiden, wenn es sich wie die Heiden verhält. Die Begründung </w:t>
      </w:r>
      <w:r w:rsidRPr="009B1EBB">
        <w:rPr>
          <w:rFonts w:eastAsia="Times New Roman"/>
          <w:b/>
          <w:bCs/>
          <w:rtl/>
          <w:lang w:eastAsia="de-DE"/>
        </w:rPr>
        <w:t>עֵקֶב לֹא תִשְׁמְעוּן בְּקוֹל יְהוָה אֱלֹהֵיכֶם</w:t>
      </w:r>
      <w:r w:rsidRPr="009B1EBB">
        <w:rPr>
          <w:rFonts w:eastAsia="Times New Roman"/>
          <w:rtl/>
          <w:lang w:eastAsia="de-DE"/>
        </w:rPr>
        <w:t xml:space="preserve"> </w:t>
      </w:r>
      <w:r w:rsidRPr="009B1EBB">
        <w:rPr>
          <w:rFonts w:eastAsia="Times New Roman"/>
          <w:lang w:eastAsia="de-DE"/>
        </w:rPr>
        <w:t xml:space="preserve">(„weil ihr nicht auf die Stimme JHWHs, eures Gottes, hört") fasst die gesamte Warnung zusammen: Gehorsam ist die Bedingung des Überlebens. Die idiomatische Wendung </w:t>
      </w:r>
      <w:r w:rsidRPr="009B1EBB">
        <w:rPr>
          <w:rFonts w:eastAsia="Times New Roman"/>
          <w:b/>
          <w:bCs/>
          <w:rtl/>
          <w:lang w:eastAsia="de-DE"/>
        </w:rPr>
        <w:t>שׁמע בְּקוֹל</w:t>
      </w:r>
      <w:r w:rsidRPr="009B1EBB">
        <w:rPr>
          <w:rFonts w:eastAsia="Times New Roman"/>
          <w:rtl/>
          <w:lang w:eastAsia="de-DE"/>
        </w:rPr>
        <w:t xml:space="preserve"> </w:t>
      </w:r>
      <w:r w:rsidRPr="009B1EBB">
        <w:rPr>
          <w:rFonts w:eastAsia="Times New Roman"/>
          <w:lang w:eastAsia="de-DE"/>
        </w:rPr>
        <w:t>(„auf die Stimme hören") bedeutet „gehorchen" (vgl. 4,30; 9,23; 13,5.19; 15,5; 26,14.17; 27,10; 28,1.2.15.45.62; 30,2.8.10.20).</w:t>
      </w:r>
    </w:p>
    <w:p w14:paraId="2098D479" w14:textId="77777777" w:rsidR="009B1EBB" w:rsidRP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t xml:space="preserve">Die Satzstruktur ist ein Vergleichssatz (mit </w:t>
      </w:r>
      <w:r w:rsidRPr="009B1EBB">
        <w:rPr>
          <w:rFonts w:eastAsia="Times New Roman"/>
          <w:b/>
          <w:bCs/>
          <w:rtl/>
          <w:lang w:eastAsia="de-DE"/>
        </w:rPr>
        <w:t>כְּ</w:t>
      </w:r>
      <w:r w:rsidRPr="009B1EBB">
        <w:rPr>
          <w:rFonts w:eastAsia="Times New Roman"/>
          <w:rtl/>
          <w:lang w:eastAsia="de-DE"/>
        </w:rPr>
        <w:t xml:space="preserve"> </w:t>
      </w:r>
      <w:r w:rsidRPr="009B1EBB">
        <w:rPr>
          <w:rFonts w:eastAsia="Times New Roman"/>
          <w:lang w:eastAsia="de-DE"/>
        </w:rPr>
        <w:t xml:space="preserve">und Relativsatz, gefolgt von </w:t>
      </w:r>
      <w:r w:rsidRPr="009B1EBB">
        <w:rPr>
          <w:rFonts w:eastAsia="Times New Roman"/>
          <w:b/>
          <w:bCs/>
          <w:rtl/>
          <w:lang w:eastAsia="de-DE"/>
        </w:rPr>
        <w:t>כֵּן</w:t>
      </w:r>
      <w:r w:rsidRPr="009B1EBB">
        <w:rPr>
          <w:rFonts w:eastAsia="Times New Roman"/>
          <w:rtl/>
          <w:lang w:eastAsia="de-DE"/>
        </w:rPr>
        <w:t xml:space="preserve"> </w:t>
      </w:r>
      <w:r w:rsidRPr="009B1EBB">
        <w:rPr>
          <w:rFonts w:eastAsia="Times New Roman"/>
          <w:lang w:eastAsia="de-DE"/>
        </w:rPr>
        <w:t>und Prädikat mit paragogischem Nun), erweitert durch einen kausalen Satz (mit kausaler Präposition, negiertem Prädikat mit paragogischem Nun und präpositionaler Ergänzung). Die Struktur verbindet Vergleich und Begründung: Israel wird wie die Heiden umkommen, weil es nicht gehorcht.</w:t>
      </w:r>
    </w:p>
    <w:p w14:paraId="221BEEB7" w14:textId="0381C54B" w:rsidR="009B1EBB" w:rsidRDefault="009B1EBB" w:rsidP="009B1EBB">
      <w:pPr>
        <w:spacing w:before="100" w:beforeAutospacing="1" w:after="100" w:afterAutospacing="1" w:line="240" w:lineRule="auto"/>
        <w:rPr>
          <w:rFonts w:eastAsia="Times New Roman"/>
          <w:lang w:eastAsia="de-DE"/>
        </w:rPr>
      </w:pPr>
      <w:r w:rsidRPr="009B1EBB">
        <w:rPr>
          <w:rFonts w:eastAsia="Times New Roman"/>
          <w:lang w:eastAsia="de-DE"/>
        </w:rPr>
        <w:t>Der Vers schließt das Kapitel mit der schockierenden Warnung: Wie die Völker, die JHWH vor euch vernichtet, so werdet auch ihr umkommen, wenn ihr nicht auf die Stimme JHWHs hört – keine Privilegien ohne Gehorsam.</w:t>
      </w:r>
    </w:p>
    <w:p w14:paraId="2A494882" w14:textId="77777777" w:rsidR="004F7BB4" w:rsidRDefault="004F7BB4" w:rsidP="009B1EBB">
      <w:pPr>
        <w:spacing w:before="100" w:beforeAutospacing="1" w:after="100" w:afterAutospacing="1" w:line="240" w:lineRule="auto"/>
      </w:pPr>
      <w:r>
        <w:t xml:space="preserve">Theologischer Kommentar zu Deuteronomium 8: </w:t>
      </w:r>
    </w:p>
    <w:p w14:paraId="4840454C" w14:textId="77777777" w:rsidR="004F7BB4" w:rsidRDefault="004F7BB4" w:rsidP="009B1EBB">
      <w:pPr>
        <w:spacing w:before="100" w:beforeAutospacing="1" w:after="100" w:afterAutospacing="1" w:line="240" w:lineRule="auto"/>
      </w:pPr>
      <w:r>
        <w:lastRenderedPageBreak/>
        <w:t xml:space="preserve">Dieses Kapitel ist von bestechender Aktualität für wohlhabende Gesellschaften. Die zentrale Warnung gilt der Gefahr, im Überfluss Gott zu vergessen und sich selbst für den Urheber des Erfolgs zu halten (V. 17-18). </w:t>
      </w:r>
    </w:p>
    <w:p w14:paraId="32A6B75E" w14:textId="77777777" w:rsidR="004F7BB4" w:rsidRDefault="004F7BB4" w:rsidP="009B1EBB">
      <w:pPr>
        <w:spacing w:before="100" w:beforeAutospacing="1" w:after="100" w:afterAutospacing="1" w:line="240" w:lineRule="auto"/>
      </w:pPr>
      <w:r>
        <w:t xml:space="preserve">Die Wüstentheologie (V. 2-6) versteht Mangel und Prüfung als pädagogischen Raum, in dem der Mensch seine grundlegende Abhängigkeit von Gott erkennt. Die Aussage "nicht vom Brot allein lebt der Mensch" (V. 3) ist fundamental: Menschliches Leben ist theozentrisch verfasst. </w:t>
      </w:r>
    </w:p>
    <w:p w14:paraId="53C45C9F" w14:textId="77777777" w:rsidR="004F7BB4" w:rsidRDefault="004F7BB4" w:rsidP="009B1EBB">
      <w:pPr>
        <w:spacing w:before="100" w:beforeAutospacing="1" w:after="100" w:afterAutospacing="1" w:line="240" w:lineRule="auto"/>
      </w:pPr>
      <w:r>
        <w:t xml:space="preserve">Die Landesbeschreibung (V. 7-10) zeigt: Gottes Gaben sind gut und zu genießen - aber immer mit Dankbarkeit. Die Aufforderung zum Lobpreis **nach** der Sättigung (V. 10) ist eine Präventivmaßnahme gegen das Vergessen. </w:t>
      </w:r>
    </w:p>
    <w:p w14:paraId="48E9C9E1" w14:textId="77777777" w:rsidR="004F7BB4" w:rsidRDefault="004F7BB4" w:rsidP="009B1EBB">
      <w:pPr>
        <w:spacing w:before="100" w:beforeAutospacing="1" w:after="100" w:afterAutospacing="1" w:line="240" w:lineRule="auto"/>
      </w:pPr>
      <w:r>
        <w:t xml:space="preserve">Die drastische Warnung (V. 19-20) macht deutlich: Erwählung ist kein Automatismus. Auch das erwählte Volk kann verlieren, was es empfangen hat, wenn es den Geber vergisst. </w:t>
      </w:r>
    </w:p>
    <w:p w14:paraId="247A75BC" w14:textId="2F2210C3" w:rsidR="004F7BB4" w:rsidRPr="009B1EBB" w:rsidRDefault="004F7BB4" w:rsidP="009B1EBB">
      <w:pPr>
        <w:spacing w:before="100" w:beforeAutospacing="1" w:after="100" w:afterAutospacing="1" w:line="240" w:lineRule="auto"/>
        <w:rPr>
          <w:rFonts w:eastAsia="Times New Roman"/>
          <w:lang w:eastAsia="de-DE"/>
        </w:rPr>
      </w:pPr>
      <w:r>
        <w:t>Hermeneutisch: Die Spannung zwischen Gnade (Erwählung) und Verantwortung (Gehorsam) ist ernst zu nehmen, ohne in Werkgerechtigkeit zu verfallen.</w:t>
      </w:r>
    </w:p>
    <w:p w14:paraId="733464CD" w14:textId="77777777" w:rsidR="00BC555A" w:rsidRPr="00BC555A" w:rsidRDefault="00BC555A" w:rsidP="00BC555A">
      <w:pPr>
        <w:spacing w:before="100" w:beforeAutospacing="1" w:after="100" w:afterAutospacing="1" w:line="240" w:lineRule="auto"/>
        <w:outlineLvl w:val="1"/>
        <w:rPr>
          <w:rFonts w:eastAsia="Times New Roman"/>
          <w:b/>
          <w:bCs/>
          <w:sz w:val="36"/>
          <w:szCs w:val="36"/>
          <w:lang w:eastAsia="de-DE"/>
        </w:rPr>
      </w:pPr>
      <w:r w:rsidRPr="00BC555A">
        <w:rPr>
          <w:rFonts w:eastAsia="Times New Roman"/>
          <w:b/>
          <w:bCs/>
          <w:sz w:val="36"/>
          <w:szCs w:val="36"/>
          <w:lang w:eastAsia="de-DE"/>
        </w:rPr>
        <w:t>Deuteronomium 9,1</w:t>
      </w:r>
    </w:p>
    <w:p w14:paraId="3C0BEEB4"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lang w:eastAsia="de-DE"/>
        </w:rPr>
        <w:t>Hebräisch:</w:t>
      </w:r>
      <w:r w:rsidRPr="00BC555A">
        <w:rPr>
          <w:rFonts w:eastAsia="Times New Roman"/>
          <w:lang w:eastAsia="de-DE"/>
        </w:rPr>
        <w:t xml:space="preserve"> </w:t>
      </w:r>
      <w:r w:rsidRPr="00BC555A">
        <w:rPr>
          <w:rFonts w:eastAsia="Times New Roman"/>
          <w:rtl/>
          <w:lang w:eastAsia="de-DE"/>
        </w:rPr>
        <w:t>שְׁמַע יִשְׂרָאֵל אַתָּה עֹבֵר הַיּוֹם אֶת־הַיַּרְדֵּן לָבֹא לָרֶשֶׁת גּוֹיִם גְּדֹלִים וַעֲצֻמִים מִמֶּךָּ עָרִים גְּדֹלֹת וּבְצֻרֹת בַּשָּׁמָיִם׃</w:t>
      </w:r>
    </w:p>
    <w:p w14:paraId="30D14E53"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lang w:eastAsia="de-DE"/>
        </w:rPr>
        <w:t>Deutsch:</w:t>
      </w:r>
      <w:r w:rsidRPr="00BC555A">
        <w:rPr>
          <w:rFonts w:eastAsia="Times New Roman"/>
          <w:lang w:eastAsia="de-DE"/>
        </w:rPr>
        <w:t xml:space="preserve"> Höre, Jisra'el! Du gehst heute über den Jarden, um hineinzukommen, Nationen in Besitz zu nehmen, größer und stärker als du, Städte, groß und befestigt bis an den Himmel.</w:t>
      </w:r>
    </w:p>
    <w:p w14:paraId="68B6A54F" w14:textId="77777777" w:rsidR="00BC555A" w:rsidRPr="00BC555A" w:rsidRDefault="004F5CEB" w:rsidP="00BC555A">
      <w:pPr>
        <w:spacing w:after="0" w:line="240" w:lineRule="auto"/>
        <w:rPr>
          <w:rFonts w:eastAsia="Times New Roman"/>
          <w:lang w:eastAsia="de-DE"/>
        </w:rPr>
      </w:pPr>
      <w:r>
        <w:rPr>
          <w:rFonts w:eastAsia="Times New Roman"/>
          <w:noProof/>
          <w:lang w:eastAsia="de-DE"/>
        </w:rPr>
        <w:pict w14:anchorId="39ECC114">
          <v:rect id="_x0000_i1290" style="width:0;height:1.5pt" o:hralign="center" o:hrstd="t" o:hr="t" fillcolor="#a0a0a0" stroked="f"/>
        </w:pict>
      </w:r>
    </w:p>
    <w:p w14:paraId="41F0BBC3"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lang w:eastAsia="de-DE"/>
        </w:rPr>
        <w:t>Kommentar:</w:t>
      </w:r>
      <w:r w:rsidRPr="00BC555A">
        <w:rPr>
          <w:rFonts w:eastAsia="Times New Roman"/>
          <w:lang w:eastAsia="de-DE"/>
        </w:rPr>
        <w:t xml:space="preserve"> </w:t>
      </w:r>
      <w:r w:rsidRPr="00BC555A">
        <w:rPr>
          <w:rFonts w:eastAsia="Times New Roman"/>
          <w:b/>
          <w:bCs/>
          <w:rtl/>
          <w:lang w:eastAsia="de-DE"/>
        </w:rPr>
        <w:t>שְׁמַע יִשְׂרָאֵל</w:t>
      </w:r>
      <w:r w:rsidRPr="00BC555A">
        <w:rPr>
          <w:rFonts w:eastAsia="Times New Roman"/>
          <w:rtl/>
          <w:lang w:eastAsia="de-DE"/>
        </w:rPr>
        <w:t xml:space="preserve"> </w:t>
      </w:r>
      <w:r w:rsidRPr="00BC555A">
        <w:rPr>
          <w:rFonts w:eastAsia="Times New Roman"/>
          <w:lang w:eastAsia="de-DE"/>
        </w:rPr>
        <w:t xml:space="preserve">ist ein Imperativsatz: </w:t>
      </w:r>
      <w:r w:rsidRPr="00BC555A">
        <w:rPr>
          <w:rFonts w:eastAsia="Times New Roman"/>
          <w:b/>
          <w:bCs/>
          <w:rtl/>
          <w:lang w:eastAsia="de-DE"/>
        </w:rPr>
        <w:t>שְׁמַע</w:t>
      </w:r>
      <w:r w:rsidRPr="00BC555A">
        <w:rPr>
          <w:rFonts w:eastAsia="Times New Roman"/>
          <w:rtl/>
          <w:lang w:eastAsia="de-DE"/>
        </w:rPr>
        <w:t xml:space="preserve"> </w:t>
      </w:r>
      <w:r w:rsidRPr="00BC555A">
        <w:rPr>
          <w:rFonts w:eastAsia="Times New Roman"/>
          <w:lang w:eastAsia="de-DE"/>
        </w:rPr>
        <w:t xml:space="preserve">als Qal Imperativ, 2. Person Singular maskulin von </w:t>
      </w:r>
      <w:r w:rsidRPr="00BC555A">
        <w:rPr>
          <w:rFonts w:eastAsia="Times New Roman"/>
          <w:b/>
          <w:bCs/>
          <w:rtl/>
          <w:lang w:eastAsia="de-DE"/>
        </w:rPr>
        <w:t>שׁמע</w:t>
      </w:r>
      <w:r w:rsidRPr="00BC555A">
        <w:rPr>
          <w:rFonts w:eastAsia="Times New Roman"/>
          <w:lang w:eastAsia="de-DE"/>
        </w:rPr>
        <w:t xml:space="preserve">, „hören", </w:t>
      </w:r>
      <w:r w:rsidRPr="00BC555A">
        <w:rPr>
          <w:rFonts w:eastAsia="Times New Roman"/>
          <w:b/>
          <w:bCs/>
          <w:rtl/>
          <w:lang w:eastAsia="de-DE"/>
        </w:rPr>
        <w:t>יִשְׂרָאֵל</w:t>
      </w:r>
      <w:r w:rsidRPr="00BC555A">
        <w:rPr>
          <w:rFonts w:eastAsia="Times New Roman"/>
          <w:rtl/>
          <w:lang w:eastAsia="de-DE"/>
        </w:rPr>
        <w:t xml:space="preserve"> </w:t>
      </w:r>
      <w:r w:rsidRPr="00BC555A">
        <w:rPr>
          <w:rFonts w:eastAsia="Times New Roman"/>
          <w:lang w:eastAsia="de-DE"/>
        </w:rPr>
        <w:t>als Vokativ. Diese Anrede leitet wichtige Abschnitte ein (vgl. 5,1; 6,4; 20,3; 27,9).</w:t>
      </w:r>
    </w:p>
    <w:p w14:paraId="4B600F8A"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rtl/>
          <w:lang w:eastAsia="de-DE"/>
        </w:rPr>
        <w:t>אַתָּה עֹבֵר הַיּוֹם אֶת־הַיַּרְדֵּן</w:t>
      </w:r>
      <w:r w:rsidRPr="00BC555A">
        <w:rPr>
          <w:rFonts w:eastAsia="Times New Roman"/>
          <w:rtl/>
          <w:lang w:eastAsia="de-DE"/>
        </w:rPr>
        <w:t xml:space="preserve"> </w:t>
      </w:r>
      <w:r w:rsidRPr="00BC555A">
        <w:rPr>
          <w:rFonts w:eastAsia="Times New Roman"/>
          <w:lang w:eastAsia="de-DE"/>
        </w:rPr>
        <w:t xml:space="preserve">ist ein Nominalsatz mit partizipialem Prädikat: </w:t>
      </w:r>
      <w:r w:rsidRPr="00BC555A">
        <w:rPr>
          <w:rFonts w:eastAsia="Times New Roman"/>
          <w:b/>
          <w:bCs/>
          <w:rtl/>
          <w:lang w:eastAsia="de-DE"/>
        </w:rPr>
        <w:t>אַתָּה</w:t>
      </w:r>
      <w:r w:rsidRPr="00BC555A">
        <w:rPr>
          <w:rFonts w:eastAsia="Times New Roman"/>
          <w:rtl/>
          <w:lang w:eastAsia="de-DE"/>
        </w:rPr>
        <w:t xml:space="preserve"> </w:t>
      </w:r>
      <w:r w:rsidRPr="00BC555A">
        <w:rPr>
          <w:rFonts w:eastAsia="Times New Roman"/>
          <w:lang w:eastAsia="de-DE"/>
        </w:rPr>
        <w:t xml:space="preserve">als emphatisches Subjekt, </w:t>
      </w:r>
      <w:r w:rsidRPr="00BC555A">
        <w:rPr>
          <w:rFonts w:eastAsia="Times New Roman"/>
          <w:b/>
          <w:bCs/>
          <w:rtl/>
          <w:lang w:eastAsia="de-DE"/>
        </w:rPr>
        <w:t>עֹבֵר</w:t>
      </w:r>
      <w:r w:rsidRPr="00BC555A">
        <w:rPr>
          <w:rFonts w:eastAsia="Times New Roman"/>
          <w:rtl/>
          <w:lang w:eastAsia="de-DE"/>
        </w:rPr>
        <w:t xml:space="preserve"> </w:t>
      </w:r>
      <w:r w:rsidRPr="00BC555A">
        <w:rPr>
          <w:rFonts w:eastAsia="Times New Roman"/>
          <w:lang w:eastAsia="de-DE"/>
        </w:rPr>
        <w:t xml:space="preserve">als Qal Partizip Singular maskulin von </w:t>
      </w:r>
      <w:r w:rsidRPr="00BC555A">
        <w:rPr>
          <w:rFonts w:eastAsia="Times New Roman"/>
          <w:b/>
          <w:bCs/>
          <w:rtl/>
          <w:lang w:eastAsia="de-DE"/>
        </w:rPr>
        <w:t>עבר</w:t>
      </w:r>
      <w:r w:rsidRPr="00BC555A">
        <w:rPr>
          <w:rFonts w:eastAsia="Times New Roman"/>
          <w:lang w:eastAsia="de-DE"/>
        </w:rPr>
        <w:t xml:space="preserve">, „hinübergehen, überqueren", </w:t>
      </w:r>
      <w:r w:rsidRPr="00BC555A">
        <w:rPr>
          <w:rFonts w:eastAsia="Times New Roman"/>
          <w:b/>
          <w:bCs/>
          <w:rtl/>
          <w:lang w:eastAsia="de-DE"/>
        </w:rPr>
        <w:t>הַיּוֹם</w:t>
      </w:r>
      <w:r w:rsidRPr="00BC555A">
        <w:rPr>
          <w:rFonts w:eastAsia="Times New Roman"/>
          <w:rtl/>
          <w:lang w:eastAsia="de-DE"/>
        </w:rPr>
        <w:t xml:space="preserve"> </w:t>
      </w:r>
      <w:r w:rsidRPr="00BC555A">
        <w:rPr>
          <w:rFonts w:eastAsia="Times New Roman"/>
          <w:lang w:eastAsia="de-DE"/>
        </w:rPr>
        <w:t xml:space="preserve">als temporales Adverb („heute"), </w:t>
      </w:r>
      <w:r w:rsidRPr="00BC555A">
        <w:rPr>
          <w:rFonts w:eastAsia="Times New Roman"/>
          <w:b/>
          <w:bCs/>
          <w:rtl/>
          <w:lang w:eastAsia="de-DE"/>
        </w:rPr>
        <w:t>אֶת־הַיַּרְדֵּן</w:t>
      </w:r>
      <w:r w:rsidRPr="00BC555A">
        <w:rPr>
          <w:rFonts w:eastAsia="Times New Roman"/>
          <w:rtl/>
          <w:lang w:eastAsia="de-DE"/>
        </w:rPr>
        <w:t xml:space="preserve"> </w:t>
      </w:r>
      <w:r w:rsidRPr="00BC555A">
        <w:rPr>
          <w:rFonts w:eastAsia="Times New Roman"/>
          <w:lang w:eastAsia="de-DE"/>
        </w:rPr>
        <w:t>als direktes Objekt (</w:t>
      </w:r>
      <w:r w:rsidRPr="00BC555A">
        <w:rPr>
          <w:rFonts w:eastAsia="Times New Roman"/>
          <w:b/>
          <w:bCs/>
          <w:rtl/>
          <w:lang w:eastAsia="de-DE"/>
        </w:rPr>
        <w:t>יַרְדֵּן</w:t>
      </w:r>
      <w:r w:rsidRPr="00BC555A">
        <w:rPr>
          <w:rFonts w:eastAsia="Times New Roman"/>
          <w:lang w:eastAsia="de-DE"/>
        </w:rPr>
        <w:t>, „Jordan", mit Artikel).</w:t>
      </w:r>
    </w:p>
    <w:p w14:paraId="3F4109F5"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rtl/>
          <w:lang w:eastAsia="de-DE"/>
        </w:rPr>
        <w:t>לָבֹא לָרֶשֶׁת גּוֹיִם גְּדֹלִים וַעֲצֻמִים מִמֶּךָּ</w:t>
      </w:r>
      <w:r w:rsidRPr="00BC555A">
        <w:rPr>
          <w:rFonts w:eastAsia="Times New Roman"/>
          <w:rtl/>
          <w:lang w:eastAsia="de-DE"/>
        </w:rPr>
        <w:t xml:space="preserve"> </w:t>
      </w:r>
      <w:r w:rsidRPr="00BC555A">
        <w:rPr>
          <w:rFonts w:eastAsia="Times New Roman"/>
          <w:lang w:eastAsia="de-DE"/>
        </w:rPr>
        <w:t xml:space="preserve">ist eine doppelte finale Konstruktion: </w:t>
      </w:r>
      <w:r w:rsidRPr="00BC555A">
        <w:rPr>
          <w:rFonts w:eastAsia="Times New Roman"/>
          <w:b/>
          <w:bCs/>
          <w:rtl/>
          <w:lang w:eastAsia="de-DE"/>
        </w:rPr>
        <w:t>לָבֹא</w:t>
      </w:r>
      <w:r w:rsidRPr="00BC555A">
        <w:rPr>
          <w:rFonts w:eastAsia="Times New Roman"/>
          <w:rtl/>
          <w:lang w:eastAsia="de-DE"/>
        </w:rPr>
        <w:t xml:space="preserve"> </w:t>
      </w:r>
      <w:r w:rsidRPr="00BC555A">
        <w:rPr>
          <w:rFonts w:eastAsia="Times New Roman"/>
          <w:lang w:eastAsia="de-DE"/>
        </w:rPr>
        <w:t xml:space="preserve">(Qal Infinitiv Construct von </w:t>
      </w:r>
      <w:r w:rsidRPr="00BC555A">
        <w:rPr>
          <w:rFonts w:eastAsia="Times New Roman"/>
          <w:b/>
          <w:bCs/>
          <w:rtl/>
          <w:lang w:eastAsia="de-DE"/>
        </w:rPr>
        <w:t>בוא</w:t>
      </w:r>
      <w:r w:rsidRPr="00BC555A">
        <w:rPr>
          <w:rFonts w:eastAsia="Times New Roman"/>
          <w:lang w:eastAsia="de-DE"/>
        </w:rPr>
        <w:t xml:space="preserve">, „kommen, hineinkommen", mit </w:t>
      </w:r>
      <w:r w:rsidRPr="00BC555A">
        <w:rPr>
          <w:rFonts w:eastAsia="Times New Roman"/>
          <w:b/>
          <w:bCs/>
          <w:rtl/>
          <w:lang w:eastAsia="de-DE"/>
        </w:rPr>
        <w:t>לְ</w:t>
      </w:r>
      <w:r w:rsidRPr="00BC555A">
        <w:rPr>
          <w:rFonts w:eastAsia="Times New Roman"/>
          <w:lang w:eastAsia="de-DE"/>
        </w:rPr>
        <w:t xml:space="preserve">), </w:t>
      </w:r>
      <w:r w:rsidRPr="00BC555A">
        <w:rPr>
          <w:rFonts w:eastAsia="Times New Roman"/>
          <w:b/>
          <w:bCs/>
          <w:rtl/>
          <w:lang w:eastAsia="de-DE"/>
        </w:rPr>
        <w:t>לָרֶשֶׁת גּוֹיִם</w:t>
      </w:r>
      <w:r w:rsidRPr="00BC555A">
        <w:rPr>
          <w:rFonts w:eastAsia="Times New Roman"/>
          <w:rtl/>
          <w:lang w:eastAsia="de-DE"/>
        </w:rPr>
        <w:t xml:space="preserve"> </w:t>
      </w:r>
      <w:r w:rsidRPr="00BC555A">
        <w:rPr>
          <w:rFonts w:eastAsia="Times New Roman"/>
          <w:lang w:eastAsia="de-DE"/>
        </w:rPr>
        <w:t xml:space="preserve">(Qal Infinitiv Construct von </w:t>
      </w:r>
      <w:r w:rsidRPr="00BC555A">
        <w:rPr>
          <w:rFonts w:eastAsia="Times New Roman"/>
          <w:b/>
          <w:bCs/>
          <w:rtl/>
          <w:lang w:eastAsia="de-DE"/>
        </w:rPr>
        <w:t>ירשׁ</w:t>
      </w:r>
      <w:r w:rsidRPr="00BC555A">
        <w:rPr>
          <w:rFonts w:eastAsia="Times New Roman"/>
          <w:lang w:eastAsia="de-DE"/>
        </w:rPr>
        <w:t xml:space="preserve">, „in Besitz nehmen, vertreiben", mit </w:t>
      </w:r>
      <w:r w:rsidRPr="00BC555A">
        <w:rPr>
          <w:rFonts w:eastAsia="Times New Roman"/>
          <w:b/>
          <w:bCs/>
          <w:rtl/>
          <w:lang w:eastAsia="de-DE"/>
        </w:rPr>
        <w:t>לְ</w:t>
      </w:r>
      <w:r w:rsidRPr="00BC555A">
        <w:rPr>
          <w:rFonts w:eastAsia="Times New Roman"/>
          <w:lang w:eastAsia="de-DE"/>
        </w:rPr>
        <w:t xml:space="preserve">, </w:t>
      </w:r>
      <w:r w:rsidRPr="00BC555A">
        <w:rPr>
          <w:rFonts w:eastAsia="Times New Roman"/>
          <w:b/>
          <w:bCs/>
          <w:rtl/>
          <w:lang w:eastAsia="de-DE"/>
        </w:rPr>
        <w:t>גּוֹיִם</w:t>
      </w:r>
      <w:r w:rsidRPr="00BC555A">
        <w:rPr>
          <w:rFonts w:eastAsia="Times New Roman"/>
          <w:rtl/>
          <w:lang w:eastAsia="de-DE"/>
        </w:rPr>
        <w:t xml:space="preserve"> </w:t>
      </w:r>
      <w:r w:rsidRPr="00BC555A">
        <w:rPr>
          <w:rFonts w:eastAsia="Times New Roman"/>
          <w:lang w:eastAsia="de-DE"/>
        </w:rPr>
        <w:t xml:space="preserve">als direktes Objekt), </w:t>
      </w:r>
      <w:r w:rsidRPr="00BC555A">
        <w:rPr>
          <w:rFonts w:eastAsia="Times New Roman"/>
          <w:b/>
          <w:bCs/>
          <w:rtl/>
          <w:lang w:eastAsia="de-DE"/>
        </w:rPr>
        <w:t>גְּדֹלִים וַעֲצֻמִים מִמֶּךָּ</w:t>
      </w:r>
      <w:r w:rsidRPr="00BC555A">
        <w:rPr>
          <w:rFonts w:eastAsia="Times New Roman"/>
          <w:rtl/>
          <w:lang w:eastAsia="de-DE"/>
        </w:rPr>
        <w:t xml:space="preserve"> </w:t>
      </w:r>
      <w:r w:rsidRPr="00BC555A">
        <w:rPr>
          <w:rFonts w:eastAsia="Times New Roman"/>
          <w:lang w:eastAsia="de-DE"/>
        </w:rPr>
        <w:t xml:space="preserve">als Attributkette zu </w:t>
      </w:r>
      <w:r w:rsidRPr="00BC555A">
        <w:rPr>
          <w:rFonts w:eastAsia="Times New Roman"/>
          <w:b/>
          <w:bCs/>
          <w:rtl/>
          <w:lang w:eastAsia="de-DE"/>
        </w:rPr>
        <w:t>גּוֹיִם</w:t>
      </w:r>
      <w:r w:rsidRPr="00BC555A">
        <w:rPr>
          <w:rFonts w:eastAsia="Times New Roman"/>
          <w:rtl/>
          <w:lang w:eastAsia="de-DE"/>
        </w:rPr>
        <w:t xml:space="preserve"> </w:t>
      </w:r>
      <w:r w:rsidRPr="00BC555A">
        <w:rPr>
          <w:rFonts w:eastAsia="Times New Roman"/>
          <w:lang w:eastAsia="de-DE"/>
        </w:rPr>
        <w:t xml:space="preserve">(zwei koordinierte Adjektive: </w:t>
      </w:r>
      <w:r w:rsidRPr="00BC555A">
        <w:rPr>
          <w:rFonts w:eastAsia="Times New Roman"/>
          <w:b/>
          <w:bCs/>
          <w:rtl/>
          <w:lang w:eastAsia="de-DE"/>
        </w:rPr>
        <w:t>גָּדוֹל</w:t>
      </w:r>
      <w:r w:rsidRPr="00BC555A">
        <w:rPr>
          <w:rFonts w:eastAsia="Times New Roman"/>
          <w:lang w:eastAsia="de-DE"/>
        </w:rPr>
        <w:t xml:space="preserve">, „groß", Plural, und </w:t>
      </w:r>
      <w:r w:rsidRPr="00BC555A">
        <w:rPr>
          <w:rFonts w:eastAsia="Times New Roman"/>
          <w:b/>
          <w:bCs/>
          <w:rtl/>
          <w:lang w:eastAsia="de-DE"/>
        </w:rPr>
        <w:t>עָצוּם</w:t>
      </w:r>
      <w:r w:rsidRPr="00BC555A">
        <w:rPr>
          <w:rFonts w:eastAsia="Times New Roman"/>
          <w:lang w:eastAsia="de-DE"/>
        </w:rPr>
        <w:t xml:space="preserve">, „stark, mächtig", Plural – Qal Passiv Partizip von </w:t>
      </w:r>
      <w:r w:rsidRPr="00BC555A">
        <w:rPr>
          <w:rFonts w:eastAsia="Times New Roman"/>
          <w:b/>
          <w:bCs/>
          <w:rtl/>
          <w:lang w:eastAsia="de-DE"/>
        </w:rPr>
        <w:t>עצם</w:t>
      </w:r>
      <w:r w:rsidRPr="00BC555A">
        <w:rPr>
          <w:rFonts w:eastAsia="Times New Roman"/>
          <w:lang w:eastAsia="de-DE"/>
        </w:rPr>
        <w:t xml:space="preserve">, </w:t>
      </w:r>
      <w:r w:rsidRPr="00BC555A">
        <w:rPr>
          <w:rFonts w:eastAsia="Times New Roman"/>
          <w:b/>
          <w:bCs/>
          <w:rtl/>
          <w:lang w:eastAsia="de-DE"/>
        </w:rPr>
        <w:t>מִמֶּךָּ</w:t>
      </w:r>
      <w:r w:rsidRPr="00BC555A">
        <w:rPr>
          <w:rFonts w:eastAsia="Times New Roman"/>
          <w:rtl/>
          <w:lang w:eastAsia="de-DE"/>
        </w:rPr>
        <w:t xml:space="preserve"> </w:t>
      </w:r>
      <w:r w:rsidRPr="00BC555A">
        <w:rPr>
          <w:rFonts w:eastAsia="Times New Roman"/>
          <w:lang w:eastAsia="de-DE"/>
        </w:rPr>
        <w:t xml:space="preserve">als Vergleichskonstruktion – </w:t>
      </w:r>
      <w:r w:rsidRPr="00BC555A">
        <w:rPr>
          <w:rFonts w:eastAsia="Times New Roman"/>
          <w:b/>
          <w:bCs/>
          <w:rtl/>
          <w:lang w:eastAsia="de-DE"/>
        </w:rPr>
        <w:t>מִן</w:t>
      </w:r>
      <w:r w:rsidRPr="00BC555A">
        <w:rPr>
          <w:rFonts w:eastAsia="Times New Roman"/>
          <w:rtl/>
          <w:lang w:eastAsia="de-DE"/>
        </w:rPr>
        <w:t xml:space="preserve"> </w:t>
      </w:r>
      <w:r w:rsidRPr="00BC555A">
        <w:rPr>
          <w:rFonts w:eastAsia="Times New Roman"/>
          <w:lang w:eastAsia="de-DE"/>
        </w:rPr>
        <w:t>komparativ mit Suffix 2. Person Singular maskulin).</w:t>
      </w:r>
    </w:p>
    <w:p w14:paraId="3D27DA44"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rtl/>
          <w:lang w:eastAsia="de-DE"/>
        </w:rPr>
        <w:t>עָרִים גְּדֹלֹת וּבְצֻרֹת בַּשָּׁמָיִם</w:t>
      </w:r>
      <w:r w:rsidRPr="00BC555A">
        <w:rPr>
          <w:rFonts w:eastAsia="Times New Roman"/>
          <w:rtl/>
          <w:lang w:eastAsia="de-DE"/>
        </w:rPr>
        <w:t xml:space="preserve"> </w:t>
      </w:r>
      <w:r w:rsidRPr="00BC555A">
        <w:rPr>
          <w:rFonts w:eastAsia="Times New Roman"/>
          <w:lang w:eastAsia="de-DE"/>
        </w:rPr>
        <w:t xml:space="preserve">ist eine appositionelle Erweiterung: </w:t>
      </w:r>
      <w:r w:rsidRPr="00BC555A">
        <w:rPr>
          <w:rFonts w:eastAsia="Times New Roman"/>
          <w:b/>
          <w:bCs/>
          <w:rtl/>
          <w:lang w:eastAsia="de-DE"/>
        </w:rPr>
        <w:t>עָרִים גְּדֹלֹת</w:t>
      </w:r>
      <w:r w:rsidRPr="00BC555A">
        <w:rPr>
          <w:rFonts w:eastAsia="Times New Roman"/>
          <w:rtl/>
          <w:lang w:eastAsia="de-DE"/>
        </w:rPr>
        <w:t xml:space="preserve"> </w:t>
      </w:r>
      <w:r w:rsidRPr="00BC555A">
        <w:rPr>
          <w:rFonts w:eastAsia="Times New Roman"/>
          <w:lang w:eastAsia="de-DE"/>
        </w:rPr>
        <w:t>(</w:t>
      </w:r>
      <w:r w:rsidRPr="00BC555A">
        <w:rPr>
          <w:rFonts w:eastAsia="Times New Roman"/>
          <w:b/>
          <w:bCs/>
          <w:rtl/>
          <w:lang w:eastAsia="de-DE"/>
        </w:rPr>
        <w:t>עִיר</w:t>
      </w:r>
      <w:r w:rsidRPr="00BC555A">
        <w:rPr>
          <w:rFonts w:eastAsia="Times New Roman"/>
          <w:lang w:eastAsia="de-DE"/>
        </w:rPr>
        <w:t xml:space="preserve">, Plural, mit Adjektiv </w:t>
      </w:r>
      <w:r w:rsidRPr="00BC555A">
        <w:rPr>
          <w:rFonts w:eastAsia="Times New Roman"/>
          <w:b/>
          <w:bCs/>
          <w:rtl/>
          <w:lang w:eastAsia="de-DE"/>
        </w:rPr>
        <w:t>גְּדֹלֹת</w:t>
      </w:r>
      <w:r w:rsidRPr="00BC555A">
        <w:rPr>
          <w:rFonts w:eastAsia="Times New Roman"/>
          <w:lang w:eastAsia="de-DE"/>
        </w:rPr>
        <w:t xml:space="preserve">), </w:t>
      </w:r>
      <w:r w:rsidRPr="00BC555A">
        <w:rPr>
          <w:rFonts w:eastAsia="Times New Roman"/>
          <w:b/>
          <w:bCs/>
          <w:rtl/>
          <w:lang w:eastAsia="de-DE"/>
        </w:rPr>
        <w:t>וּבְצֻרֹת</w:t>
      </w:r>
      <w:r w:rsidRPr="00BC555A">
        <w:rPr>
          <w:rFonts w:eastAsia="Times New Roman"/>
          <w:rtl/>
          <w:lang w:eastAsia="de-DE"/>
        </w:rPr>
        <w:t xml:space="preserve"> </w:t>
      </w:r>
      <w:r w:rsidRPr="00BC555A">
        <w:rPr>
          <w:rFonts w:eastAsia="Times New Roman"/>
          <w:lang w:eastAsia="de-DE"/>
        </w:rPr>
        <w:t xml:space="preserve">koordiniert (Qal Passiv Partizip feminin Plural von </w:t>
      </w:r>
      <w:r w:rsidRPr="00BC555A">
        <w:rPr>
          <w:rFonts w:eastAsia="Times New Roman"/>
          <w:b/>
          <w:bCs/>
          <w:rtl/>
          <w:lang w:eastAsia="de-DE"/>
        </w:rPr>
        <w:t>בצר</w:t>
      </w:r>
      <w:r w:rsidRPr="00BC555A">
        <w:rPr>
          <w:rFonts w:eastAsia="Times New Roman"/>
          <w:lang w:eastAsia="de-DE"/>
        </w:rPr>
        <w:t xml:space="preserve">, „befestigen" – „befestigt"), </w:t>
      </w:r>
      <w:r w:rsidRPr="00BC555A">
        <w:rPr>
          <w:rFonts w:eastAsia="Times New Roman"/>
          <w:b/>
          <w:bCs/>
          <w:rtl/>
          <w:lang w:eastAsia="de-DE"/>
        </w:rPr>
        <w:t>בַּשָּׁמָיִם</w:t>
      </w:r>
      <w:r w:rsidRPr="00BC555A">
        <w:rPr>
          <w:rFonts w:eastAsia="Times New Roman"/>
          <w:rtl/>
          <w:lang w:eastAsia="de-DE"/>
        </w:rPr>
        <w:t xml:space="preserve"> </w:t>
      </w:r>
      <w:r w:rsidRPr="00BC555A">
        <w:rPr>
          <w:rFonts w:eastAsia="Times New Roman"/>
          <w:lang w:eastAsia="de-DE"/>
        </w:rPr>
        <w:t>als hyperbolische Ortsangabe (</w:t>
      </w:r>
      <w:r w:rsidRPr="00BC555A">
        <w:rPr>
          <w:rFonts w:eastAsia="Times New Roman"/>
          <w:b/>
          <w:bCs/>
          <w:rtl/>
          <w:lang w:eastAsia="de-DE"/>
        </w:rPr>
        <w:t>בְּ</w:t>
      </w:r>
      <w:r w:rsidRPr="00BC555A">
        <w:rPr>
          <w:rFonts w:eastAsia="Times New Roman"/>
          <w:rtl/>
          <w:lang w:eastAsia="de-DE"/>
        </w:rPr>
        <w:t xml:space="preserve"> </w:t>
      </w:r>
      <w:r w:rsidRPr="00BC555A">
        <w:rPr>
          <w:rFonts w:eastAsia="Times New Roman"/>
          <w:lang w:eastAsia="de-DE"/>
        </w:rPr>
        <w:t xml:space="preserve">mit </w:t>
      </w:r>
      <w:r w:rsidRPr="00BC555A">
        <w:rPr>
          <w:rFonts w:eastAsia="Times New Roman"/>
          <w:b/>
          <w:bCs/>
          <w:rtl/>
          <w:lang w:eastAsia="de-DE"/>
        </w:rPr>
        <w:t>שָׁמַיִם</w:t>
      </w:r>
      <w:r w:rsidRPr="00BC555A">
        <w:rPr>
          <w:rFonts w:eastAsia="Times New Roman"/>
          <w:lang w:eastAsia="de-DE"/>
        </w:rPr>
        <w:t>, „Himmel", Dual – „bis an den Himmel").</w:t>
      </w:r>
    </w:p>
    <w:p w14:paraId="3CED2983"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lang w:eastAsia="de-DE"/>
        </w:rPr>
        <w:lastRenderedPageBreak/>
        <w:t xml:space="preserve">Der Vers leitet Kapitel 9 ein und wiederholt die Herausforderung der Landnahme: die übermächtigen Feinde und befestigten Städte (vgl. 1,28). Die Formulierung </w:t>
      </w:r>
      <w:r w:rsidRPr="00BC555A">
        <w:rPr>
          <w:rFonts w:eastAsia="Times New Roman"/>
          <w:b/>
          <w:bCs/>
          <w:rtl/>
          <w:lang w:eastAsia="de-DE"/>
        </w:rPr>
        <w:t>עָרִים גְּדֹלֹת וּבְצֻרֹת בַּשָּׁמָיִם</w:t>
      </w:r>
      <w:r w:rsidRPr="00BC555A">
        <w:rPr>
          <w:rFonts w:eastAsia="Times New Roman"/>
          <w:rtl/>
          <w:lang w:eastAsia="de-DE"/>
        </w:rPr>
        <w:t xml:space="preserve"> </w:t>
      </w:r>
      <w:r w:rsidRPr="00BC555A">
        <w:rPr>
          <w:rFonts w:eastAsia="Times New Roman"/>
          <w:lang w:eastAsia="de-DE"/>
        </w:rPr>
        <w:t xml:space="preserve">ist hyperbolisch und greift die Kundschafterberichte auf. Das Partizip </w:t>
      </w:r>
      <w:r w:rsidRPr="00BC555A">
        <w:rPr>
          <w:rFonts w:eastAsia="Times New Roman"/>
          <w:b/>
          <w:bCs/>
          <w:rtl/>
          <w:lang w:eastAsia="de-DE"/>
        </w:rPr>
        <w:t>עֹבֵר</w:t>
      </w:r>
      <w:r w:rsidRPr="00BC555A">
        <w:rPr>
          <w:rFonts w:eastAsia="Times New Roman"/>
          <w:rtl/>
          <w:lang w:eastAsia="de-DE"/>
        </w:rPr>
        <w:t xml:space="preserve"> </w:t>
      </w:r>
      <w:r w:rsidRPr="00BC555A">
        <w:rPr>
          <w:rFonts w:eastAsia="Times New Roman"/>
          <w:lang w:eastAsia="de-DE"/>
        </w:rPr>
        <w:t>betont die Unmittelbarkeit: „du bist im Begriff überzugehen".</w:t>
      </w:r>
    </w:p>
    <w:p w14:paraId="715E5304"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lang w:eastAsia="de-DE"/>
        </w:rPr>
        <w:t>Die Satzstruktur ist ein Imperativsatz mit Vokativ, gefolgt von einem Nominalsatz mit emphatischem Subjekt und partizipialem Prädikat, doppelter finaler Konstruktion und appositiver Erweiterung.</w:t>
      </w:r>
    </w:p>
    <w:p w14:paraId="4AA3A4C8"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lang w:eastAsia="de-DE"/>
        </w:rPr>
        <w:t>Der Vers eröffnet Kapitel 9: Höre, Israel! Du gehst heute über den Jordan, um große, mächtige Nationen in Besitz zu nehmen – mit riesigen, himmelhoch befestigten Städten.</w:t>
      </w:r>
    </w:p>
    <w:p w14:paraId="02F56EE4" w14:textId="77777777" w:rsidR="00BC555A" w:rsidRPr="00BC555A" w:rsidRDefault="00BC555A" w:rsidP="00BC555A">
      <w:pPr>
        <w:spacing w:before="100" w:beforeAutospacing="1" w:after="100" w:afterAutospacing="1" w:line="240" w:lineRule="auto"/>
        <w:outlineLvl w:val="1"/>
        <w:rPr>
          <w:rFonts w:eastAsia="Times New Roman"/>
          <w:b/>
          <w:bCs/>
          <w:sz w:val="36"/>
          <w:szCs w:val="36"/>
          <w:lang w:eastAsia="de-DE"/>
        </w:rPr>
      </w:pPr>
      <w:r w:rsidRPr="00BC555A">
        <w:rPr>
          <w:rFonts w:eastAsia="Times New Roman"/>
          <w:b/>
          <w:bCs/>
          <w:sz w:val="36"/>
          <w:szCs w:val="36"/>
          <w:lang w:eastAsia="de-DE"/>
        </w:rPr>
        <w:t>Deuteronomium 9,2</w:t>
      </w:r>
    </w:p>
    <w:p w14:paraId="1CABD954"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lang w:eastAsia="de-DE"/>
        </w:rPr>
        <w:t>Hebräisch:</w:t>
      </w:r>
      <w:r w:rsidRPr="00BC555A">
        <w:rPr>
          <w:rFonts w:eastAsia="Times New Roman"/>
          <w:lang w:eastAsia="de-DE"/>
        </w:rPr>
        <w:t xml:space="preserve"> </w:t>
      </w:r>
      <w:r w:rsidRPr="00BC555A">
        <w:rPr>
          <w:rFonts w:eastAsia="Times New Roman"/>
          <w:rtl/>
          <w:lang w:eastAsia="de-DE"/>
        </w:rPr>
        <w:t>עַם־גָּדוֹל וָרָם בְּנֵי עֲנָקִים אֲשֶׁר אַתָּה יָדַעְתָּ וְאַתָּה שָׁמַעְתָּ מִי יִתְיַצֵּב לִפְנֵי בְּנֵי עֲנָק׃</w:t>
      </w:r>
    </w:p>
    <w:p w14:paraId="07BD1D59"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lang w:eastAsia="de-DE"/>
        </w:rPr>
        <w:t>Deutsch:</w:t>
      </w:r>
      <w:r w:rsidRPr="00BC555A">
        <w:rPr>
          <w:rFonts w:eastAsia="Times New Roman"/>
          <w:lang w:eastAsia="de-DE"/>
        </w:rPr>
        <w:t xml:space="preserve"> ein großes und hochgewachsenes Volk, die Kinder der Anakim, die du ja kennst und von denen du gehört hast: Wer kann vor den Kindern Anaks bestehen?</w:t>
      </w:r>
    </w:p>
    <w:p w14:paraId="7D1BA1CA" w14:textId="77777777" w:rsidR="00BC555A" w:rsidRPr="00BC555A" w:rsidRDefault="004F5CEB" w:rsidP="00BC555A">
      <w:pPr>
        <w:spacing w:after="0" w:line="240" w:lineRule="auto"/>
        <w:rPr>
          <w:rFonts w:eastAsia="Times New Roman"/>
          <w:lang w:eastAsia="de-DE"/>
        </w:rPr>
      </w:pPr>
      <w:r>
        <w:rPr>
          <w:rFonts w:eastAsia="Times New Roman"/>
          <w:noProof/>
          <w:lang w:eastAsia="de-DE"/>
        </w:rPr>
        <w:pict w14:anchorId="4AB7E3BF">
          <v:rect id="_x0000_i1291" style="width:0;height:1.5pt" o:hralign="center" o:hrstd="t" o:hr="t" fillcolor="#a0a0a0" stroked="f"/>
        </w:pict>
      </w:r>
    </w:p>
    <w:p w14:paraId="281AC702" w14:textId="199DB0F1"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lang w:eastAsia="de-DE"/>
        </w:rPr>
        <w:t>Kommentar:</w:t>
      </w:r>
      <w:r w:rsidRPr="00BC555A">
        <w:rPr>
          <w:rFonts w:eastAsia="Times New Roman"/>
          <w:lang w:eastAsia="de-DE"/>
        </w:rPr>
        <w:t xml:space="preserve"> </w:t>
      </w:r>
      <w:r w:rsidRPr="00BC555A">
        <w:rPr>
          <w:rFonts w:eastAsia="Times New Roman"/>
          <w:b/>
          <w:bCs/>
          <w:rtl/>
          <w:lang w:eastAsia="de-DE"/>
        </w:rPr>
        <w:t>עַם־גָּדוֹל וָרָם בְּנֵי עֲנָקִים</w:t>
      </w:r>
      <w:r w:rsidRPr="00BC555A">
        <w:rPr>
          <w:rFonts w:eastAsia="Times New Roman"/>
          <w:rtl/>
          <w:lang w:eastAsia="de-DE"/>
        </w:rPr>
        <w:t xml:space="preserve"> </w:t>
      </w:r>
      <w:r w:rsidRPr="00BC555A">
        <w:rPr>
          <w:rFonts w:eastAsia="Times New Roman"/>
          <w:lang w:eastAsia="de-DE"/>
        </w:rPr>
        <w:t xml:space="preserve">ist eine appositionelle Erweiterung zu </w:t>
      </w:r>
      <w:r w:rsidRPr="00BC555A">
        <w:rPr>
          <w:rFonts w:eastAsia="Times New Roman"/>
          <w:b/>
          <w:bCs/>
          <w:rtl/>
          <w:lang w:eastAsia="de-DE"/>
        </w:rPr>
        <w:t>גּוֹיִם</w:t>
      </w:r>
      <w:r w:rsidRPr="00BC555A">
        <w:rPr>
          <w:rFonts w:eastAsia="Times New Roman"/>
          <w:rtl/>
          <w:lang w:eastAsia="de-DE"/>
        </w:rPr>
        <w:t xml:space="preserve"> </w:t>
      </w:r>
      <w:r w:rsidRPr="00BC555A">
        <w:rPr>
          <w:rFonts w:eastAsia="Times New Roman"/>
          <w:lang w:eastAsia="de-DE"/>
        </w:rPr>
        <w:t xml:space="preserve">(V. 1): </w:t>
      </w:r>
      <w:r w:rsidRPr="00BC555A">
        <w:rPr>
          <w:rFonts w:eastAsia="Times New Roman"/>
          <w:b/>
          <w:bCs/>
          <w:rtl/>
          <w:lang w:eastAsia="de-DE"/>
        </w:rPr>
        <w:t>עַם־גָּדוֹל וָרָם</w:t>
      </w:r>
      <w:r w:rsidRPr="00BC555A">
        <w:rPr>
          <w:rFonts w:eastAsia="Times New Roman"/>
          <w:rtl/>
          <w:lang w:eastAsia="de-DE"/>
        </w:rPr>
        <w:t xml:space="preserve"> </w:t>
      </w:r>
      <w:r w:rsidRPr="00BC555A">
        <w:rPr>
          <w:rFonts w:eastAsia="Times New Roman"/>
          <w:lang w:eastAsia="de-DE"/>
        </w:rPr>
        <w:t xml:space="preserve">(mit </w:t>
      </w:r>
      <w:r w:rsidR="00D84597">
        <w:rPr>
          <w:rFonts w:eastAsia="Times New Roman"/>
          <w:lang w:eastAsia="de-DE"/>
        </w:rPr>
        <w:t>Maqqef</w:t>
      </w:r>
      <w:r w:rsidRPr="00BC555A">
        <w:rPr>
          <w:rFonts w:eastAsia="Times New Roman"/>
          <w:lang w:eastAsia="de-DE"/>
        </w:rPr>
        <w:t xml:space="preserve">, </w:t>
      </w:r>
      <w:r w:rsidRPr="00BC555A">
        <w:rPr>
          <w:rFonts w:eastAsia="Times New Roman"/>
          <w:b/>
          <w:bCs/>
          <w:rtl/>
          <w:lang w:eastAsia="de-DE"/>
        </w:rPr>
        <w:t>עַם</w:t>
      </w:r>
      <w:r w:rsidRPr="00BC555A">
        <w:rPr>
          <w:rFonts w:eastAsia="Times New Roman"/>
          <w:rtl/>
          <w:lang w:eastAsia="de-DE"/>
        </w:rPr>
        <w:t xml:space="preserve"> </w:t>
      </w:r>
      <w:r w:rsidRPr="00BC555A">
        <w:rPr>
          <w:rFonts w:eastAsia="Times New Roman"/>
          <w:lang w:eastAsia="de-DE"/>
        </w:rPr>
        <w:t xml:space="preserve">mit zweigliedrigem koordiniertem Attribut: </w:t>
      </w:r>
      <w:r w:rsidRPr="00BC555A">
        <w:rPr>
          <w:rFonts w:eastAsia="Times New Roman"/>
          <w:b/>
          <w:bCs/>
          <w:rtl/>
          <w:lang w:eastAsia="de-DE"/>
        </w:rPr>
        <w:t>גָּדוֹל</w:t>
      </w:r>
      <w:r w:rsidRPr="00BC555A">
        <w:rPr>
          <w:rFonts w:eastAsia="Times New Roman"/>
          <w:lang w:eastAsia="de-DE"/>
        </w:rPr>
        <w:t xml:space="preserve">, „groß", und </w:t>
      </w:r>
      <w:r w:rsidRPr="00BC555A">
        <w:rPr>
          <w:rFonts w:eastAsia="Times New Roman"/>
          <w:b/>
          <w:bCs/>
          <w:rtl/>
          <w:lang w:eastAsia="de-DE"/>
        </w:rPr>
        <w:t>רָם</w:t>
      </w:r>
      <w:r w:rsidRPr="00BC555A">
        <w:rPr>
          <w:rFonts w:eastAsia="Times New Roman"/>
          <w:lang w:eastAsia="de-DE"/>
        </w:rPr>
        <w:t xml:space="preserve">, „hoch, hochgewachsen" – Qal Partizip Singular maskulin von </w:t>
      </w:r>
      <w:r w:rsidRPr="00BC555A">
        <w:rPr>
          <w:rFonts w:eastAsia="Times New Roman"/>
          <w:b/>
          <w:bCs/>
          <w:rtl/>
          <w:lang w:eastAsia="de-DE"/>
        </w:rPr>
        <w:t>רום</w:t>
      </w:r>
      <w:r w:rsidRPr="00BC555A">
        <w:rPr>
          <w:rFonts w:eastAsia="Times New Roman"/>
          <w:lang w:eastAsia="de-DE"/>
        </w:rPr>
        <w:t xml:space="preserve">), </w:t>
      </w:r>
      <w:r w:rsidRPr="00BC555A">
        <w:rPr>
          <w:rFonts w:eastAsia="Times New Roman"/>
          <w:b/>
          <w:bCs/>
          <w:rtl/>
          <w:lang w:eastAsia="de-DE"/>
        </w:rPr>
        <w:t>בְּנֵי עֲנָקִים</w:t>
      </w:r>
      <w:r w:rsidRPr="00BC555A">
        <w:rPr>
          <w:rFonts w:eastAsia="Times New Roman"/>
          <w:rtl/>
          <w:lang w:eastAsia="de-DE"/>
        </w:rPr>
        <w:t xml:space="preserve"> </w:t>
      </w:r>
      <w:r w:rsidRPr="00BC555A">
        <w:rPr>
          <w:rFonts w:eastAsia="Times New Roman"/>
          <w:lang w:eastAsia="de-DE"/>
        </w:rPr>
        <w:t>als weitere Apposition (</w:t>
      </w:r>
      <w:r w:rsidRPr="00BC555A">
        <w:rPr>
          <w:rFonts w:eastAsia="Times New Roman"/>
          <w:b/>
          <w:bCs/>
          <w:rtl/>
          <w:lang w:eastAsia="de-DE"/>
        </w:rPr>
        <w:t>בֵּן</w:t>
      </w:r>
      <w:r w:rsidRPr="00BC555A">
        <w:rPr>
          <w:rFonts w:eastAsia="Times New Roman"/>
          <w:lang w:eastAsia="de-DE"/>
        </w:rPr>
        <w:t xml:space="preserve">, „Sohn", Plural Construct, </w:t>
      </w:r>
      <w:r w:rsidRPr="00BC555A">
        <w:rPr>
          <w:rFonts w:eastAsia="Times New Roman"/>
          <w:b/>
          <w:bCs/>
          <w:rtl/>
          <w:lang w:eastAsia="de-DE"/>
        </w:rPr>
        <w:t>עֲנָק</w:t>
      </w:r>
      <w:r w:rsidRPr="00BC555A">
        <w:rPr>
          <w:rFonts w:eastAsia="Times New Roman"/>
          <w:rtl/>
          <w:lang w:eastAsia="de-DE"/>
        </w:rPr>
        <w:t xml:space="preserve"> </w:t>
      </w:r>
      <w:r w:rsidRPr="00BC555A">
        <w:rPr>
          <w:rFonts w:eastAsia="Times New Roman"/>
          <w:lang w:eastAsia="de-DE"/>
        </w:rPr>
        <w:t>als Eigenname, Plural – „die Söhne/Kinder der Anakiter").</w:t>
      </w:r>
    </w:p>
    <w:p w14:paraId="26515EB0"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rtl/>
          <w:lang w:eastAsia="de-DE"/>
        </w:rPr>
        <w:t>אֲשֶׁר אַתָּה יָדַעְתָּ וְאַתָּה שָׁמַעְתָּ</w:t>
      </w:r>
      <w:r w:rsidRPr="00BC555A">
        <w:rPr>
          <w:rFonts w:eastAsia="Times New Roman"/>
          <w:rtl/>
          <w:lang w:eastAsia="de-DE"/>
        </w:rPr>
        <w:t xml:space="preserve"> </w:t>
      </w:r>
      <w:r w:rsidRPr="00BC555A">
        <w:rPr>
          <w:rFonts w:eastAsia="Times New Roman"/>
          <w:lang w:eastAsia="de-DE"/>
        </w:rPr>
        <w:t xml:space="preserve">ist ein Relativsatz mit zweigliedriger koordinierter Verbkette: </w:t>
      </w:r>
      <w:r w:rsidRPr="00BC555A">
        <w:rPr>
          <w:rFonts w:eastAsia="Times New Roman"/>
          <w:b/>
          <w:bCs/>
          <w:rtl/>
          <w:lang w:eastAsia="de-DE"/>
        </w:rPr>
        <w:t>אֲשֶׁר</w:t>
      </w:r>
      <w:r w:rsidRPr="00BC555A">
        <w:rPr>
          <w:rFonts w:eastAsia="Times New Roman"/>
          <w:rtl/>
          <w:lang w:eastAsia="de-DE"/>
        </w:rPr>
        <w:t xml:space="preserve"> </w:t>
      </w:r>
      <w:r w:rsidRPr="00BC555A">
        <w:rPr>
          <w:rFonts w:eastAsia="Times New Roman"/>
          <w:lang w:eastAsia="de-DE"/>
        </w:rPr>
        <w:t xml:space="preserve">als Relativpronomen, </w:t>
      </w:r>
      <w:r w:rsidRPr="00BC555A">
        <w:rPr>
          <w:rFonts w:eastAsia="Times New Roman"/>
          <w:b/>
          <w:bCs/>
          <w:rtl/>
          <w:lang w:eastAsia="de-DE"/>
        </w:rPr>
        <w:t>אַתָּה יָדַעְתָּ</w:t>
      </w:r>
      <w:r w:rsidRPr="00BC555A">
        <w:rPr>
          <w:rFonts w:eastAsia="Times New Roman"/>
          <w:rtl/>
          <w:lang w:eastAsia="de-DE"/>
        </w:rPr>
        <w:t xml:space="preserve"> </w:t>
      </w:r>
      <w:r w:rsidRPr="00BC555A">
        <w:rPr>
          <w:rFonts w:eastAsia="Times New Roman"/>
          <w:lang w:eastAsia="de-DE"/>
        </w:rPr>
        <w:t xml:space="preserve">(emphatisches Pronomen, Qal Perfekt, 2. Person Singular maskulin von </w:t>
      </w:r>
      <w:r w:rsidRPr="00BC555A">
        <w:rPr>
          <w:rFonts w:eastAsia="Times New Roman"/>
          <w:b/>
          <w:bCs/>
          <w:rtl/>
          <w:lang w:eastAsia="de-DE"/>
        </w:rPr>
        <w:t>ידע</w:t>
      </w:r>
      <w:r w:rsidRPr="00BC555A">
        <w:rPr>
          <w:rFonts w:eastAsia="Times New Roman"/>
          <w:lang w:eastAsia="de-DE"/>
        </w:rPr>
        <w:t xml:space="preserve">, „kennen, wissen"), </w:t>
      </w:r>
      <w:r w:rsidRPr="00BC555A">
        <w:rPr>
          <w:rFonts w:eastAsia="Times New Roman"/>
          <w:b/>
          <w:bCs/>
          <w:rtl/>
          <w:lang w:eastAsia="de-DE"/>
        </w:rPr>
        <w:t>וְאַתָּה שָׁמַעְתָּ</w:t>
      </w:r>
      <w:r w:rsidRPr="00BC555A">
        <w:rPr>
          <w:rFonts w:eastAsia="Times New Roman"/>
          <w:rtl/>
          <w:lang w:eastAsia="de-DE"/>
        </w:rPr>
        <w:t xml:space="preserve"> </w:t>
      </w:r>
      <w:r w:rsidRPr="00BC555A">
        <w:rPr>
          <w:rFonts w:eastAsia="Times New Roman"/>
          <w:lang w:eastAsia="de-DE"/>
        </w:rPr>
        <w:t xml:space="preserve">koordiniert (emphatisches Pronomen mit </w:t>
      </w:r>
      <w:r w:rsidRPr="00BC555A">
        <w:rPr>
          <w:rFonts w:eastAsia="Times New Roman"/>
          <w:b/>
          <w:bCs/>
          <w:rtl/>
          <w:lang w:eastAsia="de-DE"/>
        </w:rPr>
        <w:t>וְ</w:t>
      </w:r>
      <w:r w:rsidRPr="00BC555A">
        <w:rPr>
          <w:rFonts w:eastAsia="Times New Roman"/>
          <w:lang w:eastAsia="de-DE"/>
        </w:rPr>
        <w:t xml:space="preserve">, Qal Perfekt, 2. Person Singular maskulin von </w:t>
      </w:r>
      <w:r w:rsidRPr="00BC555A">
        <w:rPr>
          <w:rFonts w:eastAsia="Times New Roman"/>
          <w:b/>
          <w:bCs/>
          <w:rtl/>
          <w:lang w:eastAsia="de-DE"/>
        </w:rPr>
        <w:t>שׁמע</w:t>
      </w:r>
      <w:r w:rsidRPr="00BC555A">
        <w:rPr>
          <w:rFonts w:eastAsia="Times New Roman"/>
          <w:lang w:eastAsia="de-DE"/>
        </w:rPr>
        <w:t>, „hören").</w:t>
      </w:r>
    </w:p>
    <w:p w14:paraId="1AAA39F1"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rtl/>
          <w:lang w:eastAsia="de-DE"/>
        </w:rPr>
        <w:t>מִי יִתְיַצֵּב לִפְנֵי בְּנֵי עֲנָק</w:t>
      </w:r>
      <w:r w:rsidRPr="00BC555A">
        <w:rPr>
          <w:rFonts w:eastAsia="Times New Roman"/>
          <w:rtl/>
          <w:lang w:eastAsia="de-DE"/>
        </w:rPr>
        <w:t xml:space="preserve"> </w:t>
      </w:r>
      <w:r w:rsidRPr="00BC555A">
        <w:rPr>
          <w:rFonts w:eastAsia="Times New Roman"/>
          <w:lang w:eastAsia="de-DE"/>
        </w:rPr>
        <w:t xml:space="preserve">ist eine rhetorische Frage: </w:t>
      </w:r>
      <w:r w:rsidRPr="00BC555A">
        <w:rPr>
          <w:rFonts w:eastAsia="Times New Roman"/>
          <w:b/>
          <w:bCs/>
          <w:rtl/>
          <w:lang w:eastAsia="de-DE"/>
        </w:rPr>
        <w:t>מִי</w:t>
      </w:r>
      <w:r w:rsidRPr="00BC555A">
        <w:rPr>
          <w:rFonts w:eastAsia="Times New Roman"/>
          <w:rtl/>
          <w:lang w:eastAsia="de-DE"/>
        </w:rPr>
        <w:t xml:space="preserve"> </w:t>
      </w:r>
      <w:r w:rsidRPr="00BC555A">
        <w:rPr>
          <w:rFonts w:eastAsia="Times New Roman"/>
          <w:lang w:eastAsia="de-DE"/>
        </w:rPr>
        <w:t xml:space="preserve">als Fragepronomen („wer"), </w:t>
      </w:r>
      <w:r w:rsidRPr="00BC555A">
        <w:rPr>
          <w:rFonts w:eastAsia="Times New Roman"/>
          <w:b/>
          <w:bCs/>
          <w:rtl/>
          <w:lang w:eastAsia="de-DE"/>
        </w:rPr>
        <w:t>יִתְיַצֵּב</w:t>
      </w:r>
      <w:r w:rsidRPr="00BC555A">
        <w:rPr>
          <w:rFonts w:eastAsia="Times New Roman"/>
          <w:rtl/>
          <w:lang w:eastAsia="de-DE"/>
        </w:rPr>
        <w:t xml:space="preserve"> </w:t>
      </w:r>
      <w:r w:rsidRPr="00BC555A">
        <w:rPr>
          <w:rFonts w:eastAsia="Times New Roman"/>
          <w:lang w:eastAsia="de-DE"/>
        </w:rPr>
        <w:t xml:space="preserve">als Hitpael Imperfekt, 3. Person Singular maskulin von </w:t>
      </w:r>
      <w:r w:rsidRPr="00BC555A">
        <w:rPr>
          <w:rFonts w:eastAsia="Times New Roman"/>
          <w:b/>
          <w:bCs/>
          <w:rtl/>
          <w:lang w:eastAsia="de-DE"/>
        </w:rPr>
        <w:t>יצב</w:t>
      </w:r>
      <w:r w:rsidRPr="00BC555A">
        <w:rPr>
          <w:rFonts w:eastAsia="Times New Roman"/>
          <w:lang w:eastAsia="de-DE"/>
        </w:rPr>
        <w:t xml:space="preserve">, „sich hinstellen, standhalten, bestehen", </w:t>
      </w:r>
      <w:r w:rsidRPr="00BC555A">
        <w:rPr>
          <w:rFonts w:eastAsia="Times New Roman"/>
          <w:b/>
          <w:bCs/>
          <w:rtl/>
          <w:lang w:eastAsia="de-DE"/>
        </w:rPr>
        <w:t>לִפְנֵי בְּנֵי עֲנָק</w:t>
      </w:r>
      <w:r w:rsidRPr="00BC555A">
        <w:rPr>
          <w:rFonts w:eastAsia="Times New Roman"/>
          <w:rtl/>
          <w:lang w:eastAsia="de-DE"/>
        </w:rPr>
        <w:t xml:space="preserve"> </w:t>
      </w:r>
      <w:r w:rsidRPr="00BC555A">
        <w:rPr>
          <w:rFonts w:eastAsia="Times New Roman"/>
          <w:lang w:eastAsia="de-DE"/>
        </w:rPr>
        <w:t>als präpositionale Ergänzung (</w:t>
      </w:r>
      <w:r w:rsidRPr="00BC555A">
        <w:rPr>
          <w:rFonts w:eastAsia="Times New Roman"/>
          <w:b/>
          <w:bCs/>
          <w:rtl/>
          <w:lang w:eastAsia="de-DE"/>
        </w:rPr>
        <w:t>לִפְנֵי</w:t>
      </w:r>
      <w:r w:rsidRPr="00BC555A">
        <w:rPr>
          <w:rFonts w:eastAsia="Times New Roman"/>
          <w:rtl/>
          <w:lang w:eastAsia="de-DE"/>
        </w:rPr>
        <w:t xml:space="preserve"> </w:t>
      </w:r>
      <w:r w:rsidRPr="00BC555A">
        <w:rPr>
          <w:rFonts w:eastAsia="Times New Roman"/>
          <w:lang w:eastAsia="de-DE"/>
        </w:rPr>
        <w:t xml:space="preserve">mit </w:t>
      </w:r>
      <w:r w:rsidRPr="00BC555A">
        <w:rPr>
          <w:rFonts w:eastAsia="Times New Roman"/>
          <w:b/>
          <w:bCs/>
          <w:rtl/>
          <w:lang w:eastAsia="de-DE"/>
        </w:rPr>
        <w:t>בֵּן</w:t>
      </w:r>
      <w:r w:rsidRPr="00BC555A">
        <w:rPr>
          <w:rFonts w:eastAsia="Times New Roman"/>
          <w:lang w:eastAsia="de-DE"/>
        </w:rPr>
        <w:t xml:space="preserve">, Plural Construct, </w:t>
      </w:r>
      <w:r w:rsidRPr="00BC555A">
        <w:rPr>
          <w:rFonts w:eastAsia="Times New Roman"/>
          <w:b/>
          <w:bCs/>
          <w:rtl/>
          <w:lang w:eastAsia="de-DE"/>
        </w:rPr>
        <w:t>עֲנָק</w:t>
      </w:r>
      <w:r w:rsidRPr="00BC555A">
        <w:rPr>
          <w:rFonts w:eastAsia="Times New Roman"/>
          <w:rtl/>
          <w:lang w:eastAsia="de-DE"/>
        </w:rPr>
        <w:t xml:space="preserve"> </w:t>
      </w:r>
      <w:r w:rsidRPr="00BC555A">
        <w:rPr>
          <w:rFonts w:eastAsia="Times New Roman"/>
          <w:lang w:eastAsia="de-DE"/>
        </w:rPr>
        <w:t>– „vor den Söhnen Anaks").</w:t>
      </w:r>
    </w:p>
    <w:p w14:paraId="0F7D8847"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lang w:eastAsia="de-DE"/>
        </w:rPr>
        <w:t xml:space="preserve">Die </w:t>
      </w:r>
      <w:r w:rsidRPr="00BC555A">
        <w:rPr>
          <w:rFonts w:eastAsia="Times New Roman"/>
          <w:b/>
          <w:bCs/>
          <w:rtl/>
          <w:lang w:eastAsia="de-DE"/>
        </w:rPr>
        <w:t>בְּנֵי עֲנָקִים</w:t>
      </w:r>
      <w:r w:rsidRPr="00BC555A">
        <w:rPr>
          <w:rFonts w:eastAsia="Times New Roman"/>
          <w:rtl/>
          <w:lang w:eastAsia="de-DE"/>
        </w:rPr>
        <w:t xml:space="preserve"> </w:t>
      </w:r>
      <w:r w:rsidRPr="00BC555A">
        <w:rPr>
          <w:rFonts w:eastAsia="Times New Roman"/>
          <w:lang w:eastAsia="de-DE"/>
        </w:rPr>
        <w:t xml:space="preserve">bzw. </w:t>
      </w:r>
      <w:r w:rsidRPr="00BC555A">
        <w:rPr>
          <w:rFonts w:eastAsia="Times New Roman"/>
          <w:b/>
          <w:bCs/>
          <w:rtl/>
          <w:lang w:eastAsia="de-DE"/>
        </w:rPr>
        <w:t>עֲנָקִים</w:t>
      </w:r>
      <w:r w:rsidRPr="00BC555A">
        <w:rPr>
          <w:rFonts w:eastAsia="Times New Roman"/>
          <w:rtl/>
          <w:lang w:eastAsia="de-DE"/>
        </w:rPr>
        <w:t xml:space="preserve"> </w:t>
      </w:r>
      <w:r w:rsidRPr="00BC555A">
        <w:rPr>
          <w:rFonts w:eastAsia="Times New Roman"/>
          <w:lang w:eastAsia="de-DE"/>
        </w:rPr>
        <w:t xml:space="preserve">(„Anakiter") waren Riesen, die in Hebron und Umgebung lebten (vgl. Num 13,22.28.33; Dtn 1,28; 2,10-11.21; Jos 11,21-22; 14,12.15; 15,13-14). Die doppelte Betonung </w:t>
      </w:r>
      <w:r w:rsidRPr="00BC555A">
        <w:rPr>
          <w:rFonts w:eastAsia="Times New Roman"/>
          <w:b/>
          <w:bCs/>
          <w:rtl/>
          <w:lang w:eastAsia="de-DE"/>
        </w:rPr>
        <w:t>אַתָּה יָדַעְתָּ וְאַתָּה שָׁמַעְתָּ</w:t>
      </w:r>
      <w:r w:rsidRPr="00BC555A">
        <w:rPr>
          <w:rFonts w:eastAsia="Times New Roman"/>
          <w:rtl/>
          <w:lang w:eastAsia="de-DE"/>
        </w:rPr>
        <w:t xml:space="preserve"> </w:t>
      </w:r>
      <w:r w:rsidRPr="00BC555A">
        <w:rPr>
          <w:rFonts w:eastAsia="Times New Roman"/>
          <w:lang w:eastAsia="de-DE"/>
        </w:rPr>
        <w:t xml:space="preserve">(„du kennst und hast gehört") verweist auf die Kundschafterberichte (Num 13-14). Die rhetorische Frage </w:t>
      </w:r>
      <w:r w:rsidRPr="00BC555A">
        <w:rPr>
          <w:rFonts w:eastAsia="Times New Roman"/>
          <w:b/>
          <w:bCs/>
          <w:rtl/>
          <w:lang w:eastAsia="de-DE"/>
        </w:rPr>
        <w:t>מִי יִתְיַצֵּב לִפְנֵי בְּנֵי עֲנָק</w:t>
      </w:r>
      <w:r w:rsidRPr="00BC555A">
        <w:rPr>
          <w:rFonts w:eastAsia="Times New Roman"/>
          <w:rtl/>
          <w:lang w:eastAsia="de-DE"/>
        </w:rPr>
        <w:t xml:space="preserve"> </w:t>
      </w:r>
      <w:r w:rsidRPr="00BC555A">
        <w:rPr>
          <w:rFonts w:eastAsia="Times New Roman"/>
          <w:lang w:eastAsia="de-DE"/>
        </w:rPr>
        <w:t>erwartet die Antwort: „Niemand!" – sie zitiert möglicherweise ein geflügeltes Wort aus Num 13,31.</w:t>
      </w:r>
    </w:p>
    <w:p w14:paraId="5DE1C855"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lang w:eastAsia="de-DE"/>
        </w:rPr>
        <w:t>Die Satzstruktur ist eine appositionelle Erweiterung mit Relativsatz und zweigliedriger koordinierter Verbkette, gefolgt von einer rhetorischen Frage.</w:t>
      </w:r>
    </w:p>
    <w:p w14:paraId="39CF5C17"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lang w:eastAsia="de-DE"/>
        </w:rPr>
        <w:lastRenderedPageBreak/>
        <w:t>Der Vers konkretisiert die Gegner: ein großes, hochgewachsenes Volk, die Anakiter – die du kennst und von denen du gehört hast. Die rhetorische Frage: Wer kann vor den Anakitern bestehen? – niemand!</w:t>
      </w:r>
    </w:p>
    <w:p w14:paraId="630CB7D1" w14:textId="77777777" w:rsidR="00BC555A" w:rsidRPr="00BC555A" w:rsidRDefault="00BC555A" w:rsidP="00BC555A">
      <w:pPr>
        <w:spacing w:before="100" w:beforeAutospacing="1" w:after="100" w:afterAutospacing="1" w:line="240" w:lineRule="auto"/>
        <w:outlineLvl w:val="1"/>
        <w:rPr>
          <w:rFonts w:eastAsia="Times New Roman"/>
          <w:b/>
          <w:bCs/>
          <w:sz w:val="36"/>
          <w:szCs w:val="36"/>
          <w:lang w:eastAsia="de-DE"/>
        </w:rPr>
      </w:pPr>
      <w:r w:rsidRPr="00BC555A">
        <w:rPr>
          <w:rFonts w:eastAsia="Times New Roman"/>
          <w:b/>
          <w:bCs/>
          <w:sz w:val="36"/>
          <w:szCs w:val="36"/>
          <w:lang w:eastAsia="de-DE"/>
        </w:rPr>
        <w:t>Deuteronomium 9,3</w:t>
      </w:r>
    </w:p>
    <w:p w14:paraId="79F4C87B"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lang w:eastAsia="de-DE"/>
        </w:rPr>
        <w:t>Hebräisch:</w:t>
      </w:r>
      <w:r w:rsidRPr="00BC555A">
        <w:rPr>
          <w:rFonts w:eastAsia="Times New Roman"/>
          <w:lang w:eastAsia="de-DE"/>
        </w:rPr>
        <w:t xml:space="preserve"> </w:t>
      </w:r>
      <w:r w:rsidRPr="00BC555A">
        <w:rPr>
          <w:rFonts w:eastAsia="Times New Roman"/>
          <w:rtl/>
          <w:lang w:eastAsia="de-DE"/>
        </w:rPr>
        <w:t>וְיָדַעְתָּ הַיּוֹם כִּי יְהוָה אֱלֹהֶיךָ הוּא־הָעֹבֵר לְפָנֶיךָ אֵשׁ אֹכְלָה הוּא יַשְׁמִידֵם וְהוּא יַכְנִיעֵם לְפָנֶיךָ וְהוֹרַשְׁתָּם וְהַאַבַדְתָּם מַהֵר כַּאֲשֶׁר דִּבֶּר יְהוָה לָךְ׃</w:t>
      </w:r>
    </w:p>
    <w:p w14:paraId="3EBC04AE"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lang w:eastAsia="de-DE"/>
        </w:rPr>
        <w:t>Deutsch:</w:t>
      </w:r>
      <w:r w:rsidRPr="00BC555A">
        <w:rPr>
          <w:rFonts w:eastAsia="Times New Roman"/>
          <w:lang w:eastAsia="de-DE"/>
        </w:rPr>
        <w:t xml:space="preserve"> So wisse heute, dass der Ewige, dein Gott, es ist, der vor dir her hinübergeht, ein verzehrendes Feuer; er wird sie vertilgen und er wird sie vor dir beugen; und du wirst sie vertreiben und sie schnell vernichten, so wie der Ewige zu dir geredet hat.</w:t>
      </w:r>
    </w:p>
    <w:p w14:paraId="4E0C5390" w14:textId="77777777" w:rsidR="00BC555A" w:rsidRPr="00BC555A" w:rsidRDefault="004F5CEB" w:rsidP="00BC555A">
      <w:pPr>
        <w:spacing w:after="0" w:line="240" w:lineRule="auto"/>
        <w:rPr>
          <w:rFonts w:eastAsia="Times New Roman"/>
          <w:lang w:eastAsia="de-DE"/>
        </w:rPr>
      </w:pPr>
      <w:r>
        <w:rPr>
          <w:rFonts w:eastAsia="Times New Roman"/>
          <w:noProof/>
          <w:lang w:eastAsia="de-DE"/>
        </w:rPr>
        <w:pict w14:anchorId="0BA8FB2B">
          <v:rect id="_x0000_i1292" style="width:0;height:1.5pt" o:hralign="center" o:hrstd="t" o:hr="t" fillcolor="#a0a0a0" stroked="f"/>
        </w:pict>
      </w:r>
    </w:p>
    <w:p w14:paraId="49EE98AC"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lang w:eastAsia="de-DE"/>
        </w:rPr>
        <w:t>Kommentar:</w:t>
      </w:r>
      <w:r w:rsidRPr="00BC555A">
        <w:rPr>
          <w:rFonts w:eastAsia="Times New Roman"/>
          <w:lang w:eastAsia="de-DE"/>
        </w:rPr>
        <w:t xml:space="preserve"> </w:t>
      </w:r>
      <w:r w:rsidRPr="00BC555A">
        <w:rPr>
          <w:rFonts w:eastAsia="Times New Roman"/>
          <w:b/>
          <w:bCs/>
          <w:rtl/>
          <w:lang w:eastAsia="de-DE"/>
        </w:rPr>
        <w:t>וְיָדַעְתָּ הַיּוֹם</w:t>
      </w:r>
      <w:r w:rsidRPr="00BC555A">
        <w:rPr>
          <w:rFonts w:eastAsia="Times New Roman"/>
          <w:rtl/>
          <w:lang w:eastAsia="de-DE"/>
        </w:rPr>
        <w:t xml:space="preserve"> </w:t>
      </w:r>
      <w:r w:rsidRPr="00BC555A">
        <w:rPr>
          <w:rFonts w:eastAsia="Times New Roman"/>
          <w:lang w:eastAsia="de-DE"/>
        </w:rPr>
        <w:t xml:space="preserve">ist Qal Perfekt consecutivum, 2. Person Singular maskulin von </w:t>
      </w:r>
      <w:r w:rsidRPr="00BC555A">
        <w:rPr>
          <w:rFonts w:eastAsia="Times New Roman"/>
          <w:b/>
          <w:bCs/>
          <w:rtl/>
          <w:lang w:eastAsia="de-DE"/>
        </w:rPr>
        <w:t>ידע</w:t>
      </w:r>
      <w:r w:rsidRPr="00BC555A">
        <w:rPr>
          <w:rFonts w:eastAsia="Times New Roman"/>
          <w:lang w:eastAsia="de-DE"/>
        </w:rPr>
        <w:t xml:space="preserve">, „erkennen, wissen", mit </w:t>
      </w:r>
      <w:r w:rsidRPr="00BC555A">
        <w:rPr>
          <w:rFonts w:eastAsia="Times New Roman"/>
          <w:b/>
          <w:bCs/>
          <w:rtl/>
          <w:lang w:eastAsia="de-DE"/>
        </w:rPr>
        <w:t>וְ</w:t>
      </w:r>
      <w:r w:rsidRPr="00BC555A">
        <w:rPr>
          <w:rFonts w:eastAsia="Times New Roman"/>
          <w:rtl/>
          <w:lang w:eastAsia="de-DE"/>
        </w:rPr>
        <w:t xml:space="preserve"> </w:t>
      </w:r>
      <w:r w:rsidRPr="00BC555A">
        <w:rPr>
          <w:rFonts w:eastAsia="Times New Roman"/>
          <w:lang w:eastAsia="de-DE"/>
        </w:rPr>
        <w:t xml:space="preserve">– in imperativischer Funktion, </w:t>
      </w:r>
      <w:r w:rsidRPr="00BC555A">
        <w:rPr>
          <w:rFonts w:eastAsia="Times New Roman"/>
          <w:b/>
          <w:bCs/>
          <w:rtl/>
          <w:lang w:eastAsia="de-DE"/>
        </w:rPr>
        <w:t>הַיּוֹם</w:t>
      </w:r>
      <w:r w:rsidRPr="00BC555A">
        <w:rPr>
          <w:rFonts w:eastAsia="Times New Roman"/>
          <w:rtl/>
          <w:lang w:eastAsia="de-DE"/>
        </w:rPr>
        <w:t xml:space="preserve"> </w:t>
      </w:r>
      <w:r w:rsidRPr="00BC555A">
        <w:rPr>
          <w:rFonts w:eastAsia="Times New Roman"/>
          <w:lang w:eastAsia="de-DE"/>
        </w:rPr>
        <w:t>als temporales Adverb.</w:t>
      </w:r>
    </w:p>
    <w:p w14:paraId="6163E4C3" w14:textId="142FC8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rtl/>
          <w:lang w:eastAsia="de-DE"/>
        </w:rPr>
        <w:t>כִּי יְהוָה אֱלֹהֶיךָ הוּא־הָעֹבֵר לְפָנֶיךָ אֵשׁ אֹכְלָה</w:t>
      </w:r>
      <w:r w:rsidRPr="00BC555A">
        <w:rPr>
          <w:rFonts w:eastAsia="Times New Roman"/>
          <w:rtl/>
          <w:lang w:eastAsia="de-DE"/>
        </w:rPr>
        <w:t xml:space="preserve"> </w:t>
      </w:r>
      <w:r w:rsidRPr="00BC555A">
        <w:rPr>
          <w:rFonts w:eastAsia="Times New Roman"/>
          <w:lang w:eastAsia="de-DE"/>
        </w:rPr>
        <w:t xml:space="preserve">ist ein </w:t>
      </w:r>
      <w:r w:rsidRPr="00BC555A">
        <w:rPr>
          <w:rFonts w:eastAsia="Times New Roman"/>
          <w:b/>
          <w:bCs/>
          <w:rtl/>
          <w:lang w:eastAsia="de-DE"/>
        </w:rPr>
        <w:t>כִּי</w:t>
      </w:r>
      <w:r w:rsidRPr="00BC555A">
        <w:rPr>
          <w:rFonts w:eastAsia="Times New Roman"/>
          <w:lang w:eastAsia="de-DE"/>
        </w:rPr>
        <w:t xml:space="preserve">-Objektsatz mit komplexer Struktur: </w:t>
      </w:r>
      <w:r w:rsidRPr="00BC555A">
        <w:rPr>
          <w:rFonts w:eastAsia="Times New Roman"/>
          <w:b/>
          <w:bCs/>
          <w:rtl/>
          <w:lang w:eastAsia="de-DE"/>
        </w:rPr>
        <w:t>כִּי</w:t>
      </w:r>
      <w:r w:rsidRPr="00BC555A">
        <w:rPr>
          <w:rFonts w:eastAsia="Times New Roman"/>
          <w:rtl/>
          <w:lang w:eastAsia="de-DE"/>
        </w:rPr>
        <w:t xml:space="preserve"> </w:t>
      </w:r>
      <w:r w:rsidRPr="00BC555A">
        <w:rPr>
          <w:rFonts w:eastAsia="Times New Roman"/>
          <w:lang w:eastAsia="de-DE"/>
        </w:rPr>
        <w:t xml:space="preserve">als Konjunktion („dass"), </w:t>
      </w:r>
      <w:r w:rsidRPr="00BC555A">
        <w:rPr>
          <w:rFonts w:eastAsia="Times New Roman"/>
          <w:b/>
          <w:bCs/>
          <w:rtl/>
          <w:lang w:eastAsia="de-DE"/>
        </w:rPr>
        <w:t>יְהוָה אֱלֹהֶיךָ</w:t>
      </w:r>
      <w:r w:rsidRPr="00BC555A">
        <w:rPr>
          <w:rFonts w:eastAsia="Times New Roman"/>
          <w:rtl/>
          <w:lang w:eastAsia="de-DE"/>
        </w:rPr>
        <w:t xml:space="preserve"> </w:t>
      </w:r>
      <w:r w:rsidRPr="00BC555A">
        <w:rPr>
          <w:rFonts w:eastAsia="Times New Roman"/>
          <w:lang w:eastAsia="de-DE"/>
        </w:rPr>
        <w:t xml:space="preserve">als erweitertes Subjekt, </w:t>
      </w:r>
      <w:r w:rsidRPr="00BC555A">
        <w:rPr>
          <w:rFonts w:eastAsia="Times New Roman"/>
          <w:b/>
          <w:bCs/>
          <w:rtl/>
          <w:lang w:eastAsia="de-DE"/>
        </w:rPr>
        <w:t>הוּא־הָעֹבֵר לְפָנֶיךָ</w:t>
      </w:r>
      <w:r w:rsidRPr="00BC555A">
        <w:rPr>
          <w:rFonts w:eastAsia="Times New Roman"/>
          <w:rtl/>
          <w:lang w:eastAsia="de-DE"/>
        </w:rPr>
        <w:t xml:space="preserve"> </w:t>
      </w:r>
      <w:r w:rsidRPr="00BC555A">
        <w:rPr>
          <w:rFonts w:eastAsia="Times New Roman"/>
          <w:lang w:eastAsia="de-DE"/>
        </w:rPr>
        <w:t xml:space="preserve">(emphatisches Pronomen mit </w:t>
      </w:r>
      <w:r w:rsidR="00D84597">
        <w:rPr>
          <w:rFonts w:eastAsia="Times New Roman"/>
          <w:lang w:eastAsia="de-DE"/>
        </w:rPr>
        <w:t>Maqqef</w:t>
      </w:r>
      <w:r w:rsidRPr="00BC555A">
        <w:rPr>
          <w:rFonts w:eastAsia="Times New Roman"/>
          <w:lang w:eastAsia="de-DE"/>
        </w:rPr>
        <w:t xml:space="preserve">, </w:t>
      </w:r>
      <w:r w:rsidRPr="00BC555A">
        <w:rPr>
          <w:rFonts w:eastAsia="Times New Roman"/>
          <w:b/>
          <w:bCs/>
          <w:rtl/>
          <w:lang w:eastAsia="de-DE"/>
        </w:rPr>
        <w:t>הָעֹבֵר</w:t>
      </w:r>
      <w:r w:rsidRPr="00BC555A">
        <w:rPr>
          <w:rFonts w:eastAsia="Times New Roman"/>
          <w:rtl/>
          <w:lang w:eastAsia="de-DE"/>
        </w:rPr>
        <w:t xml:space="preserve"> </w:t>
      </w:r>
      <w:r w:rsidRPr="00BC555A">
        <w:rPr>
          <w:rFonts w:eastAsia="Times New Roman"/>
          <w:lang w:eastAsia="de-DE"/>
        </w:rPr>
        <w:t xml:space="preserve">als Qal Partizip Singular maskulin von </w:t>
      </w:r>
      <w:r w:rsidRPr="00BC555A">
        <w:rPr>
          <w:rFonts w:eastAsia="Times New Roman"/>
          <w:b/>
          <w:bCs/>
          <w:rtl/>
          <w:lang w:eastAsia="de-DE"/>
        </w:rPr>
        <w:t>עבר</w:t>
      </w:r>
      <w:r w:rsidRPr="00BC555A">
        <w:rPr>
          <w:rFonts w:eastAsia="Times New Roman"/>
          <w:rtl/>
          <w:lang w:eastAsia="de-DE"/>
        </w:rPr>
        <w:t xml:space="preserve"> </w:t>
      </w:r>
      <w:r w:rsidRPr="00BC555A">
        <w:rPr>
          <w:rFonts w:eastAsia="Times New Roman"/>
          <w:lang w:eastAsia="de-DE"/>
        </w:rPr>
        <w:t xml:space="preserve">mit Artikel, </w:t>
      </w:r>
      <w:r w:rsidRPr="00BC555A">
        <w:rPr>
          <w:rFonts w:eastAsia="Times New Roman"/>
          <w:b/>
          <w:bCs/>
          <w:rtl/>
          <w:lang w:eastAsia="de-DE"/>
        </w:rPr>
        <w:t>לְפָנֶיךָ</w:t>
      </w:r>
      <w:r w:rsidRPr="00BC555A">
        <w:rPr>
          <w:rFonts w:eastAsia="Times New Roman"/>
          <w:rtl/>
          <w:lang w:eastAsia="de-DE"/>
        </w:rPr>
        <w:t xml:space="preserve"> </w:t>
      </w:r>
      <w:r w:rsidRPr="00BC555A">
        <w:rPr>
          <w:rFonts w:eastAsia="Times New Roman"/>
          <w:lang w:eastAsia="de-DE"/>
        </w:rPr>
        <w:t xml:space="preserve">als Richtungsangabe – „vor dir her"), </w:t>
      </w:r>
      <w:r w:rsidRPr="00BC555A">
        <w:rPr>
          <w:rFonts w:eastAsia="Times New Roman"/>
          <w:b/>
          <w:bCs/>
          <w:rtl/>
          <w:lang w:eastAsia="de-DE"/>
        </w:rPr>
        <w:t>אֵשׁ אֹכְלָה</w:t>
      </w:r>
      <w:r w:rsidRPr="00BC555A">
        <w:rPr>
          <w:rFonts w:eastAsia="Times New Roman"/>
          <w:rtl/>
          <w:lang w:eastAsia="de-DE"/>
        </w:rPr>
        <w:t xml:space="preserve"> </w:t>
      </w:r>
      <w:r w:rsidRPr="00BC555A">
        <w:rPr>
          <w:rFonts w:eastAsia="Times New Roman"/>
          <w:lang w:eastAsia="de-DE"/>
        </w:rPr>
        <w:t>als Prädikatsapposition (</w:t>
      </w:r>
      <w:r w:rsidRPr="00BC555A">
        <w:rPr>
          <w:rFonts w:eastAsia="Times New Roman"/>
          <w:b/>
          <w:bCs/>
          <w:rtl/>
          <w:lang w:eastAsia="de-DE"/>
        </w:rPr>
        <w:t>אֵשׁ</w:t>
      </w:r>
      <w:r w:rsidRPr="00BC555A">
        <w:rPr>
          <w:rFonts w:eastAsia="Times New Roman"/>
          <w:lang w:eastAsia="de-DE"/>
        </w:rPr>
        <w:t xml:space="preserve">, „Feuer", </w:t>
      </w:r>
      <w:r w:rsidRPr="00BC555A">
        <w:rPr>
          <w:rFonts w:eastAsia="Times New Roman"/>
          <w:b/>
          <w:bCs/>
          <w:rtl/>
          <w:lang w:eastAsia="de-DE"/>
        </w:rPr>
        <w:t>אֹכְלָה</w:t>
      </w:r>
      <w:r w:rsidRPr="00BC555A">
        <w:rPr>
          <w:rFonts w:eastAsia="Times New Roman"/>
          <w:rtl/>
          <w:lang w:eastAsia="de-DE"/>
        </w:rPr>
        <w:t xml:space="preserve"> </w:t>
      </w:r>
      <w:r w:rsidRPr="00BC555A">
        <w:rPr>
          <w:rFonts w:eastAsia="Times New Roman"/>
          <w:lang w:eastAsia="de-DE"/>
        </w:rPr>
        <w:t xml:space="preserve">als Qal Partizip feminin Singular von </w:t>
      </w:r>
      <w:r w:rsidRPr="00BC555A">
        <w:rPr>
          <w:rFonts w:eastAsia="Times New Roman"/>
          <w:b/>
          <w:bCs/>
          <w:rtl/>
          <w:lang w:eastAsia="de-DE"/>
        </w:rPr>
        <w:t>אכל</w:t>
      </w:r>
      <w:r w:rsidRPr="00BC555A">
        <w:rPr>
          <w:rFonts w:eastAsia="Times New Roman"/>
          <w:lang w:eastAsia="de-DE"/>
        </w:rPr>
        <w:t>, „essen, fressen, verzehren" – „verzehrendes Feuer").</w:t>
      </w:r>
    </w:p>
    <w:p w14:paraId="504BE45B"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rtl/>
          <w:lang w:eastAsia="de-DE"/>
        </w:rPr>
        <w:t>הוּא יַשְׁמִידֵם וְהוּא יַכְנִיעֵם לְפָנֶיךָ</w:t>
      </w:r>
      <w:r w:rsidRPr="00BC555A">
        <w:rPr>
          <w:rFonts w:eastAsia="Times New Roman"/>
          <w:rtl/>
          <w:lang w:eastAsia="de-DE"/>
        </w:rPr>
        <w:t xml:space="preserve"> </w:t>
      </w:r>
      <w:r w:rsidRPr="00BC555A">
        <w:rPr>
          <w:rFonts w:eastAsia="Times New Roman"/>
          <w:lang w:eastAsia="de-DE"/>
        </w:rPr>
        <w:t xml:space="preserve">ist eine zweigliedrige koordinierte Verbkette: </w:t>
      </w:r>
      <w:r w:rsidRPr="00BC555A">
        <w:rPr>
          <w:rFonts w:eastAsia="Times New Roman"/>
          <w:b/>
          <w:bCs/>
          <w:rtl/>
          <w:lang w:eastAsia="de-DE"/>
        </w:rPr>
        <w:t>הוּא יַשְׁמִידֵם</w:t>
      </w:r>
      <w:r w:rsidRPr="00BC555A">
        <w:rPr>
          <w:rFonts w:eastAsia="Times New Roman"/>
          <w:rtl/>
          <w:lang w:eastAsia="de-DE"/>
        </w:rPr>
        <w:t xml:space="preserve"> </w:t>
      </w:r>
      <w:r w:rsidRPr="00BC555A">
        <w:rPr>
          <w:rFonts w:eastAsia="Times New Roman"/>
          <w:lang w:eastAsia="de-DE"/>
        </w:rPr>
        <w:t xml:space="preserve">(emphatisches Pronomen, Hifil Imperfekt, 3. Person Singular maskulin von </w:t>
      </w:r>
      <w:r w:rsidRPr="00BC555A">
        <w:rPr>
          <w:rFonts w:eastAsia="Times New Roman"/>
          <w:b/>
          <w:bCs/>
          <w:rtl/>
          <w:lang w:eastAsia="de-DE"/>
        </w:rPr>
        <w:t>שׁמד</w:t>
      </w:r>
      <w:r w:rsidRPr="00BC555A">
        <w:rPr>
          <w:rFonts w:eastAsia="Times New Roman"/>
          <w:lang w:eastAsia="de-DE"/>
        </w:rPr>
        <w:t xml:space="preserve">, „vernichten, vertilgen", mit Suffix 3. Person Plural maskulin), </w:t>
      </w:r>
      <w:r w:rsidRPr="00BC555A">
        <w:rPr>
          <w:rFonts w:eastAsia="Times New Roman"/>
          <w:b/>
          <w:bCs/>
          <w:rtl/>
          <w:lang w:eastAsia="de-DE"/>
        </w:rPr>
        <w:t>וְהוּא יַכְנִיעֵם לְפָנֶיךָ</w:t>
      </w:r>
      <w:r w:rsidRPr="00BC555A">
        <w:rPr>
          <w:rFonts w:eastAsia="Times New Roman"/>
          <w:rtl/>
          <w:lang w:eastAsia="de-DE"/>
        </w:rPr>
        <w:t xml:space="preserve"> </w:t>
      </w:r>
      <w:r w:rsidRPr="00BC555A">
        <w:rPr>
          <w:rFonts w:eastAsia="Times New Roman"/>
          <w:lang w:eastAsia="de-DE"/>
        </w:rPr>
        <w:t xml:space="preserve">koordiniert (emphatisches Pronomen mit </w:t>
      </w:r>
      <w:r w:rsidRPr="00BC555A">
        <w:rPr>
          <w:rFonts w:eastAsia="Times New Roman"/>
          <w:b/>
          <w:bCs/>
          <w:rtl/>
          <w:lang w:eastAsia="de-DE"/>
        </w:rPr>
        <w:t>וְ</w:t>
      </w:r>
      <w:r w:rsidRPr="00BC555A">
        <w:rPr>
          <w:rFonts w:eastAsia="Times New Roman"/>
          <w:lang w:eastAsia="de-DE"/>
        </w:rPr>
        <w:t xml:space="preserve">, Hifil Imperfekt, 3. Person Singular maskulin von </w:t>
      </w:r>
      <w:r w:rsidRPr="00BC555A">
        <w:rPr>
          <w:rFonts w:eastAsia="Times New Roman"/>
          <w:b/>
          <w:bCs/>
          <w:rtl/>
          <w:lang w:eastAsia="de-DE"/>
        </w:rPr>
        <w:t>כנע</w:t>
      </w:r>
      <w:r w:rsidRPr="00BC555A">
        <w:rPr>
          <w:rFonts w:eastAsia="Times New Roman"/>
          <w:lang w:eastAsia="de-DE"/>
        </w:rPr>
        <w:t xml:space="preserve">, „beugen, demütigen, unterwerfen", mit Suffix und </w:t>
      </w:r>
      <w:r w:rsidRPr="00BC555A">
        <w:rPr>
          <w:rFonts w:eastAsia="Times New Roman"/>
          <w:b/>
          <w:bCs/>
          <w:rtl/>
          <w:lang w:eastAsia="de-DE"/>
        </w:rPr>
        <w:t>לְפָנֶיךָ</w:t>
      </w:r>
      <w:r w:rsidRPr="00BC555A">
        <w:rPr>
          <w:rFonts w:eastAsia="Times New Roman"/>
          <w:rtl/>
          <w:lang w:eastAsia="de-DE"/>
        </w:rPr>
        <w:t xml:space="preserve"> </w:t>
      </w:r>
      <w:r w:rsidRPr="00BC555A">
        <w:rPr>
          <w:rFonts w:eastAsia="Times New Roman"/>
          <w:lang w:eastAsia="de-DE"/>
        </w:rPr>
        <w:t>als Ortsangabe).</w:t>
      </w:r>
    </w:p>
    <w:p w14:paraId="0A8456E5"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rtl/>
          <w:lang w:eastAsia="de-DE"/>
        </w:rPr>
        <w:t>וְהוֹרַשְׁתָּם וְהַאַבַדְתָּם מַהֵר כַּאֲשֶׁר דִּבֶּר יְהוָה לָךְ</w:t>
      </w:r>
      <w:r w:rsidRPr="00BC555A">
        <w:rPr>
          <w:rFonts w:eastAsia="Times New Roman"/>
          <w:rtl/>
          <w:lang w:eastAsia="de-DE"/>
        </w:rPr>
        <w:t xml:space="preserve"> </w:t>
      </w:r>
      <w:r w:rsidRPr="00BC555A">
        <w:rPr>
          <w:rFonts w:eastAsia="Times New Roman"/>
          <w:lang w:eastAsia="de-DE"/>
        </w:rPr>
        <w:t xml:space="preserve">ist eine weitere zweigliedrige koordinierte Kette: </w:t>
      </w:r>
      <w:r w:rsidRPr="00BC555A">
        <w:rPr>
          <w:rFonts w:eastAsia="Times New Roman"/>
          <w:b/>
          <w:bCs/>
          <w:rtl/>
          <w:lang w:eastAsia="de-DE"/>
        </w:rPr>
        <w:t>וְהוֹרַשְׁתָּם</w:t>
      </w:r>
      <w:r w:rsidRPr="00BC555A">
        <w:rPr>
          <w:rFonts w:eastAsia="Times New Roman"/>
          <w:rtl/>
          <w:lang w:eastAsia="de-DE"/>
        </w:rPr>
        <w:t xml:space="preserve"> </w:t>
      </w:r>
      <w:r w:rsidRPr="00BC555A">
        <w:rPr>
          <w:rFonts w:eastAsia="Times New Roman"/>
          <w:lang w:eastAsia="de-DE"/>
        </w:rPr>
        <w:t xml:space="preserve">(Hifil Perfekt consecutivum, 2. Person Singular maskulin von </w:t>
      </w:r>
      <w:r w:rsidRPr="00BC555A">
        <w:rPr>
          <w:rFonts w:eastAsia="Times New Roman"/>
          <w:b/>
          <w:bCs/>
          <w:rtl/>
          <w:lang w:eastAsia="de-DE"/>
        </w:rPr>
        <w:t>ירשׁ</w:t>
      </w:r>
      <w:r w:rsidRPr="00BC555A">
        <w:rPr>
          <w:rFonts w:eastAsia="Times New Roman"/>
          <w:lang w:eastAsia="de-DE"/>
        </w:rPr>
        <w:t xml:space="preserve">, „vertreiben, enteignen", mit </w:t>
      </w:r>
      <w:r w:rsidRPr="00BC555A">
        <w:rPr>
          <w:rFonts w:eastAsia="Times New Roman"/>
          <w:b/>
          <w:bCs/>
          <w:rtl/>
          <w:lang w:eastAsia="de-DE"/>
        </w:rPr>
        <w:t>וְ</w:t>
      </w:r>
      <w:r w:rsidRPr="00BC555A">
        <w:rPr>
          <w:rFonts w:eastAsia="Times New Roman"/>
          <w:rtl/>
          <w:lang w:eastAsia="de-DE"/>
        </w:rPr>
        <w:t xml:space="preserve"> </w:t>
      </w:r>
      <w:r w:rsidRPr="00BC555A">
        <w:rPr>
          <w:rFonts w:eastAsia="Times New Roman"/>
          <w:lang w:eastAsia="de-DE"/>
        </w:rPr>
        <w:t xml:space="preserve">und Suffix), </w:t>
      </w:r>
      <w:r w:rsidRPr="00BC555A">
        <w:rPr>
          <w:rFonts w:eastAsia="Times New Roman"/>
          <w:b/>
          <w:bCs/>
          <w:rtl/>
          <w:lang w:eastAsia="de-DE"/>
        </w:rPr>
        <w:t>וְהַאַבַדְתָּם מַהֵר</w:t>
      </w:r>
      <w:r w:rsidRPr="00BC555A">
        <w:rPr>
          <w:rFonts w:eastAsia="Times New Roman"/>
          <w:rtl/>
          <w:lang w:eastAsia="de-DE"/>
        </w:rPr>
        <w:t xml:space="preserve"> </w:t>
      </w:r>
      <w:r w:rsidRPr="00BC555A">
        <w:rPr>
          <w:rFonts w:eastAsia="Times New Roman"/>
          <w:lang w:eastAsia="de-DE"/>
        </w:rPr>
        <w:t xml:space="preserve">koordiniert (Hifil Perfekt consecutivum, 2. Person Singular maskulin von </w:t>
      </w:r>
      <w:r w:rsidRPr="00BC555A">
        <w:rPr>
          <w:rFonts w:eastAsia="Times New Roman"/>
          <w:b/>
          <w:bCs/>
          <w:rtl/>
          <w:lang w:eastAsia="de-DE"/>
        </w:rPr>
        <w:t>אבד</w:t>
      </w:r>
      <w:r w:rsidRPr="00BC555A">
        <w:rPr>
          <w:rFonts w:eastAsia="Times New Roman"/>
          <w:lang w:eastAsia="de-DE"/>
        </w:rPr>
        <w:t xml:space="preserve">, „vernichten", mit </w:t>
      </w:r>
      <w:r w:rsidRPr="00BC555A">
        <w:rPr>
          <w:rFonts w:eastAsia="Times New Roman"/>
          <w:b/>
          <w:bCs/>
          <w:rtl/>
          <w:lang w:eastAsia="de-DE"/>
        </w:rPr>
        <w:t>וְ</w:t>
      </w:r>
      <w:r w:rsidRPr="00BC555A">
        <w:rPr>
          <w:rFonts w:eastAsia="Times New Roman"/>
          <w:lang w:eastAsia="de-DE"/>
        </w:rPr>
        <w:t xml:space="preserve">, Suffix, </w:t>
      </w:r>
      <w:r w:rsidRPr="00BC555A">
        <w:rPr>
          <w:rFonts w:eastAsia="Times New Roman"/>
          <w:b/>
          <w:bCs/>
          <w:rtl/>
          <w:lang w:eastAsia="de-DE"/>
        </w:rPr>
        <w:t>מַהֵר</w:t>
      </w:r>
      <w:r w:rsidRPr="00BC555A">
        <w:rPr>
          <w:rFonts w:eastAsia="Times New Roman"/>
          <w:rtl/>
          <w:lang w:eastAsia="de-DE"/>
        </w:rPr>
        <w:t xml:space="preserve"> </w:t>
      </w:r>
      <w:r w:rsidRPr="00BC555A">
        <w:rPr>
          <w:rFonts w:eastAsia="Times New Roman"/>
          <w:lang w:eastAsia="de-DE"/>
        </w:rPr>
        <w:t xml:space="preserve">als Adverb – „schnell"), </w:t>
      </w:r>
      <w:r w:rsidRPr="00BC555A">
        <w:rPr>
          <w:rFonts w:eastAsia="Times New Roman"/>
          <w:b/>
          <w:bCs/>
          <w:rtl/>
          <w:lang w:eastAsia="de-DE"/>
        </w:rPr>
        <w:t>כַּאֲשֶׁר דִּבֶּר יְהוָה לָךְ</w:t>
      </w:r>
      <w:r w:rsidRPr="00BC555A">
        <w:rPr>
          <w:rFonts w:eastAsia="Times New Roman"/>
          <w:rtl/>
          <w:lang w:eastAsia="de-DE"/>
        </w:rPr>
        <w:t xml:space="preserve"> </w:t>
      </w:r>
      <w:r w:rsidRPr="00BC555A">
        <w:rPr>
          <w:rFonts w:eastAsia="Times New Roman"/>
          <w:lang w:eastAsia="de-DE"/>
        </w:rPr>
        <w:t>als Vergleichskonstruktion (</w:t>
      </w:r>
      <w:r w:rsidRPr="00BC555A">
        <w:rPr>
          <w:rFonts w:eastAsia="Times New Roman"/>
          <w:b/>
          <w:bCs/>
          <w:rtl/>
          <w:lang w:eastAsia="de-DE"/>
        </w:rPr>
        <w:t>כַּאֲשֶׁר</w:t>
      </w:r>
      <w:r w:rsidRPr="00BC555A">
        <w:rPr>
          <w:rFonts w:eastAsia="Times New Roman"/>
          <w:lang w:eastAsia="de-DE"/>
        </w:rPr>
        <w:t xml:space="preserve">, „wie", mit Qal Perfekt, 3. Person Singular maskulin von </w:t>
      </w:r>
      <w:r w:rsidRPr="00BC555A">
        <w:rPr>
          <w:rFonts w:eastAsia="Times New Roman"/>
          <w:b/>
          <w:bCs/>
          <w:rtl/>
          <w:lang w:eastAsia="de-DE"/>
        </w:rPr>
        <w:t>דבר</w:t>
      </w:r>
      <w:r w:rsidRPr="00BC555A">
        <w:rPr>
          <w:rFonts w:eastAsia="Times New Roman"/>
          <w:lang w:eastAsia="de-DE"/>
        </w:rPr>
        <w:t xml:space="preserve">, „reden", </w:t>
      </w:r>
      <w:r w:rsidRPr="00BC555A">
        <w:rPr>
          <w:rFonts w:eastAsia="Times New Roman"/>
          <w:b/>
          <w:bCs/>
          <w:rtl/>
          <w:lang w:eastAsia="de-DE"/>
        </w:rPr>
        <w:t>יְהוָה</w:t>
      </w:r>
      <w:r w:rsidRPr="00BC555A">
        <w:rPr>
          <w:rFonts w:eastAsia="Times New Roman"/>
          <w:rtl/>
          <w:lang w:eastAsia="de-DE"/>
        </w:rPr>
        <w:t xml:space="preserve"> </w:t>
      </w:r>
      <w:r w:rsidRPr="00BC555A">
        <w:rPr>
          <w:rFonts w:eastAsia="Times New Roman"/>
          <w:lang w:eastAsia="de-DE"/>
        </w:rPr>
        <w:t xml:space="preserve">als Subjekt, </w:t>
      </w:r>
      <w:r w:rsidRPr="00BC555A">
        <w:rPr>
          <w:rFonts w:eastAsia="Times New Roman"/>
          <w:b/>
          <w:bCs/>
          <w:rtl/>
          <w:lang w:eastAsia="de-DE"/>
        </w:rPr>
        <w:t>לָךְ</w:t>
      </w:r>
      <w:r w:rsidRPr="00BC555A">
        <w:rPr>
          <w:rFonts w:eastAsia="Times New Roman"/>
          <w:rtl/>
          <w:lang w:eastAsia="de-DE"/>
        </w:rPr>
        <w:t xml:space="preserve"> </w:t>
      </w:r>
      <w:r w:rsidRPr="00BC555A">
        <w:rPr>
          <w:rFonts w:eastAsia="Times New Roman"/>
          <w:lang w:eastAsia="de-DE"/>
        </w:rPr>
        <w:t>als indirektes Objekt).</w:t>
      </w:r>
    </w:p>
    <w:p w14:paraId="12064EE2"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lang w:eastAsia="de-DE"/>
        </w:rPr>
        <w:t xml:space="preserve">Der Vers antwortet auf die rhetorische Frage von V. 2: JHWH selbst wird als </w:t>
      </w:r>
      <w:r w:rsidRPr="00BC555A">
        <w:rPr>
          <w:rFonts w:eastAsia="Times New Roman"/>
          <w:b/>
          <w:bCs/>
          <w:rtl/>
          <w:lang w:eastAsia="de-DE"/>
        </w:rPr>
        <w:t>אֵשׁ אֹכְלָה</w:t>
      </w:r>
      <w:r w:rsidRPr="00BC555A">
        <w:rPr>
          <w:rFonts w:eastAsia="Times New Roman"/>
          <w:rtl/>
          <w:lang w:eastAsia="de-DE"/>
        </w:rPr>
        <w:t xml:space="preserve"> </w:t>
      </w:r>
      <w:r w:rsidRPr="00BC555A">
        <w:rPr>
          <w:rFonts w:eastAsia="Times New Roman"/>
          <w:lang w:eastAsia="de-DE"/>
        </w:rPr>
        <w:t xml:space="preserve">(„verzehrendes Feuer") vor Israel herziehen und die Feinde vernichten. Die dreifache Betonung mit </w:t>
      </w:r>
      <w:r w:rsidRPr="00BC555A">
        <w:rPr>
          <w:rFonts w:eastAsia="Times New Roman"/>
          <w:b/>
          <w:bCs/>
          <w:rtl/>
          <w:lang w:eastAsia="de-DE"/>
        </w:rPr>
        <w:t>הוּא</w:t>
      </w:r>
      <w:r w:rsidRPr="00BC555A">
        <w:rPr>
          <w:rFonts w:eastAsia="Times New Roman"/>
          <w:rtl/>
          <w:lang w:eastAsia="de-DE"/>
        </w:rPr>
        <w:t xml:space="preserve"> </w:t>
      </w:r>
      <w:r w:rsidRPr="00BC555A">
        <w:rPr>
          <w:rFonts w:eastAsia="Times New Roman"/>
          <w:lang w:eastAsia="de-DE"/>
        </w:rPr>
        <w:t xml:space="preserve">(„er [selbst]") unterstreicht JHWHs aktives Handeln. Die Metapher </w:t>
      </w:r>
      <w:r w:rsidRPr="00BC555A">
        <w:rPr>
          <w:rFonts w:eastAsia="Times New Roman"/>
          <w:b/>
          <w:bCs/>
          <w:rtl/>
          <w:lang w:eastAsia="de-DE"/>
        </w:rPr>
        <w:t>אֵשׁ אֹכְלָה</w:t>
      </w:r>
      <w:r w:rsidRPr="00BC555A">
        <w:rPr>
          <w:rFonts w:eastAsia="Times New Roman"/>
          <w:rtl/>
          <w:lang w:eastAsia="de-DE"/>
        </w:rPr>
        <w:t xml:space="preserve"> </w:t>
      </w:r>
      <w:r w:rsidRPr="00BC555A">
        <w:rPr>
          <w:rFonts w:eastAsia="Times New Roman"/>
          <w:lang w:eastAsia="de-DE"/>
        </w:rPr>
        <w:t>betont Gottes vernichtende Macht (vgl. 4,24; Ex 24,17; Hebr 12,29).</w:t>
      </w:r>
    </w:p>
    <w:p w14:paraId="170CF6B7"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lang w:eastAsia="de-DE"/>
        </w:rPr>
        <w:t xml:space="preserve">Die Satzstruktur ist ein imperativisches Perfekt consecutivum, gefolgt von einem </w:t>
      </w:r>
      <w:r w:rsidRPr="00BC555A">
        <w:rPr>
          <w:rFonts w:eastAsia="Times New Roman"/>
          <w:b/>
          <w:bCs/>
          <w:rtl/>
          <w:lang w:eastAsia="de-DE"/>
        </w:rPr>
        <w:t>כִּי</w:t>
      </w:r>
      <w:r w:rsidRPr="00BC555A">
        <w:rPr>
          <w:rFonts w:eastAsia="Times New Roman"/>
          <w:lang w:eastAsia="de-DE"/>
        </w:rPr>
        <w:t>-Objektsatz mit Prädikatsapposition, zwei koordinierten Verbketten (mit emphatischen Pronomina) und einer Vergleichskonstruktion.</w:t>
      </w:r>
    </w:p>
    <w:p w14:paraId="67619050"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lang w:eastAsia="de-DE"/>
        </w:rPr>
        <w:lastRenderedPageBreak/>
        <w:t>Der Vers gibt die Antwort: Wisse, dass JHWH selbst als verzehrendes Feuer vor dir hergeht! Er wird sie vernichten und unterwerfen, dann wirst du sie vertreiben und schnell vernichten – wie JHWH verheißen hat.</w:t>
      </w:r>
    </w:p>
    <w:p w14:paraId="24EA31FE" w14:textId="77777777" w:rsidR="00BC555A" w:rsidRPr="00BC555A" w:rsidRDefault="00BC555A" w:rsidP="00BC555A">
      <w:pPr>
        <w:spacing w:before="100" w:beforeAutospacing="1" w:after="100" w:afterAutospacing="1" w:line="240" w:lineRule="auto"/>
        <w:outlineLvl w:val="1"/>
        <w:rPr>
          <w:rFonts w:eastAsia="Times New Roman"/>
          <w:b/>
          <w:bCs/>
          <w:sz w:val="36"/>
          <w:szCs w:val="36"/>
          <w:lang w:eastAsia="de-DE"/>
        </w:rPr>
      </w:pPr>
      <w:r w:rsidRPr="00BC555A">
        <w:rPr>
          <w:rFonts w:eastAsia="Times New Roman"/>
          <w:b/>
          <w:bCs/>
          <w:sz w:val="36"/>
          <w:szCs w:val="36"/>
          <w:lang w:eastAsia="de-DE"/>
        </w:rPr>
        <w:t>Deuteronomium 9,4</w:t>
      </w:r>
    </w:p>
    <w:p w14:paraId="478CAA73"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lang w:eastAsia="de-DE"/>
        </w:rPr>
        <w:t>Hebräisch:</w:t>
      </w:r>
      <w:r w:rsidRPr="00BC555A">
        <w:rPr>
          <w:rFonts w:eastAsia="Times New Roman"/>
          <w:lang w:eastAsia="de-DE"/>
        </w:rPr>
        <w:t xml:space="preserve"> </w:t>
      </w:r>
      <w:r w:rsidRPr="00BC555A">
        <w:rPr>
          <w:rFonts w:eastAsia="Times New Roman"/>
          <w:rtl/>
          <w:lang w:eastAsia="de-DE"/>
        </w:rPr>
        <w:t>אַל־תֹּאמַר בִּלְבָבְךָ בַּהֲדֹף יְהוָה אֱלֹהֶיךָ אֹתָם מִלְּפָנֶיךָ לֵאמֹר בְּצִדְקָתִי הֱבִיאַנִי יְהוָה לָרֶשֶׁת אֶת־הָאָרֶץ הַזֹּאת וּבְרִשְׁעַת הַגּוֹיִם הָאֵלֶּה יְהוָה מוֹרִישָׁם מִפָּנֶיךָ׃</w:t>
      </w:r>
    </w:p>
    <w:p w14:paraId="7A73DB0F"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lang w:eastAsia="de-DE"/>
        </w:rPr>
        <w:t>Deutsch:</w:t>
      </w:r>
      <w:r w:rsidRPr="00BC555A">
        <w:rPr>
          <w:rFonts w:eastAsia="Times New Roman"/>
          <w:lang w:eastAsia="de-DE"/>
        </w:rPr>
        <w:t xml:space="preserve"> Sprich nicht in deinem Herzen, wenn der Ewige, dein Gott, sie vor deinem Angesicht vertreibt, sagend: Um meiner Gerechtigkeit willen hat der Ewige mich hierhergebracht, um dieses Land in Besitz zu nehmen; denn um der Schuldigkeit dieser Nationen willen vertreibt der Ewige sie vor dir.</w:t>
      </w:r>
    </w:p>
    <w:p w14:paraId="49A7D41F" w14:textId="77777777" w:rsidR="00BC555A" w:rsidRPr="00BC555A" w:rsidRDefault="004F5CEB" w:rsidP="00BC555A">
      <w:pPr>
        <w:spacing w:after="0" w:line="240" w:lineRule="auto"/>
        <w:rPr>
          <w:rFonts w:eastAsia="Times New Roman"/>
          <w:lang w:eastAsia="de-DE"/>
        </w:rPr>
      </w:pPr>
      <w:r>
        <w:rPr>
          <w:rFonts w:eastAsia="Times New Roman"/>
          <w:noProof/>
          <w:lang w:eastAsia="de-DE"/>
        </w:rPr>
        <w:pict w14:anchorId="6CB85FDC">
          <v:rect id="_x0000_i1293" style="width:0;height:1.5pt" o:hralign="center" o:hrstd="t" o:hr="t" fillcolor="#a0a0a0" stroked="f"/>
        </w:pict>
      </w:r>
    </w:p>
    <w:p w14:paraId="468184E6"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lang w:eastAsia="de-DE"/>
        </w:rPr>
        <w:t>Kommentar:</w:t>
      </w:r>
      <w:r w:rsidRPr="00BC555A">
        <w:rPr>
          <w:rFonts w:eastAsia="Times New Roman"/>
          <w:lang w:eastAsia="de-DE"/>
        </w:rPr>
        <w:t xml:space="preserve"> </w:t>
      </w:r>
      <w:r w:rsidRPr="00BC555A">
        <w:rPr>
          <w:rFonts w:eastAsia="Times New Roman"/>
          <w:b/>
          <w:bCs/>
          <w:rtl/>
          <w:lang w:eastAsia="de-DE"/>
        </w:rPr>
        <w:t>אַל־תֹּאמַר בִּלְבָבְךָ</w:t>
      </w:r>
      <w:r w:rsidRPr="00BC555A">
        <w:rPr>
          <w:rFonts w:eastAsia="Times New Roman"/>
          <w:rtl/>
          <w:lang w:eastAsia="de-DE"/>
        </w:rPr>
        <w:t xml:space="preserve"> </w:t>
      </w:r>
      <w:r w:rsidRPr="00BC555A">
        <w:rPr>
          <w:rFonts w:eastAsia="Times New Roman"/>
          <w:lang w:eastAsia="de-DE"/>
        </w:rPr>
        <w:t xml:space="preserve">ist ein prohibitiver Satz: </w:t>
      </w:r>
      <w:r w:rsidRPr="00BC555A">
        <w:rPr>
          <w:rFonts w:eastAsia="Times New Roman"/>
          <w:b/>
          <w:bCs/>
          <w:rtl/>
          <w:lang w:eastAsia="de-DE"/>
        </w:rPr>
        <w:t>אַל</w:t>
      </w:r>
      <w:r w:rsidRPr="00BC555A">
        <w:rPr>
          <w:rFonts w:eastAsia="Times New Roman"/>
          <w:rtl/>
          <w:lang w:eastAsia="de-DE"/>
        </w:rPr>
        <w:t xml:space="preserve"> </w:t>
      </w:r>
      <w:r w:rsidRPr="00BC555A">
        <w:rPr>
          <w:rFonts w:eastAsia="Times New Roman"/>
          <w:lang w:eastAsia="de-DE"/>
        </w:rPr>
        <w:t xml:space="preserve">als Negation, </w:t>
      </w:r>
      <w:r w:rsidRPr="00BC555A">
        <w:rPr>
          <w:rFonts w:eastAsia="Times New Roman"/>
          <w:b/>
          <w:bCs/>
          <w:rtl/>
          <w:lang w:eastAsia="de-DE"/>
        </w:rPr>
        <w:t>תֹּאמַר</w:t>
      </w:r>
      <w:r w:rsidRPr="00BC555A">
        <w:rPr>
          <w:rFonts w:eastAsia="Times New Roman"/>
          <w:rtl/>
          <w:lang w:eastAsia="de-DE"/>
        </w:rPr>
        <w:t xml:space="preserve"> </w:t>
      </w:r>
      <w:r w:rsidRPr="00BC555A">
        <w:rPr>
          <w:rFonts w:eastAsia="Times New Roman"/>
          <w:lang w:eastAsia="de-DE"/>
        </w:rPr>
        <w:t xml:space="preserve">als Qal Imperfekt, 2. Person Singular maskulin von </w:t>
      </w:r>
      <w:r w:rsidRPr="00BC555A">
        <w:rPr>
          <w:rFonts w:eastAsia="Times New Roman"/>
          <w:b/>
          <w:bCs/>
          <w:rtl/>
          <w:lang w:eastAsia="de-DE"/>
        </w:rPr>
        <w:t>אמר</w:t>
      </w:r>
      <w:r w:rsidRPr="00BC555A">
        <w:rPr>
          <w:rFonts w:eastAsia="Times New Roman"/>
          <w:lang w:eastAsia="de-DE"/>
        </w:rPr>
        <w:t xml:space="preserve">, „sagen", </w:t>
      </w:r>
      <w:r w:rsidRPr="00BC555A">
        <w:rPr>
          <w:rFonts w:eastAsia="Times New Roman"/>
          <w:b/>
          <w:bCs/>
          <w:rtl/>
          <w:lang w:eastAsia="de-DE"/>
        </w:rPr>
        <w:t>בִּלְבָבְךָ</w:t>
      </w:r>
      <w:r w:rsidRPr="00BC555A">
        <w:rPr>
          <w:rFonts w:eastAsia="Times New Roman"/>
          <w:rtl/>
          <w:lang w:eastAsia="de-DE"/>
        </w:rPr>
        <w:t xml:space="preserve"> </w:t>
      </w:r>
      <w:r w:rsidRPr="00BC555A">
        <w:rPr>
          <w:rFonts w:eastAsia="Times New Roman"/>
          <w:lang w:eastAsia="de-DE"/>
        </w:rPr>
        <w:t>als modale bzw. lokale Bestimmung (</w:t>
      </w:r>
      <w:r w:rsidRPr="00BC555A">
        <w:rPr>
          <w:rFonts w:eastAsia="Times New Roman"/>
          <w:b/>
          <w:bCs/>
          <w:rtl/>
          <w:lang w:eastAsia="de-DE"/>
        </w:rPr>
        <w:t>בְּ</w:t>
      </w:r>
      <w:r w:rsidRPr="00BC555A">
        <w:rPr>
          <w:rFonts w:eastAsia="Times New Roman"/>
          <w:rtl/>
          <w:lang w:eastAsia="de-DE"/>
        </w:rPr>
        <w:t xml:space="preserve"> </w:t>
      </w:r>
      <w:r w:rsidRPr="00BC555A">
        <w:rPr>
          <w:rFonts w:eastAsia="Times New Roman"/>
          <w:lang w:eastAsia="de-DE"/>
        </w:rPr>
        <w:t xml:space="preserve">mit </w:t>
      </w:r>
      <w:r w:rsidRPr="00BC555A">
        <w:rPr>
          <w:rFonts w:eastAsia="Times New Roman"/>
          <w:b/>
          <w:bCs/>
          <w:rtl/>
          <w:lang w:eastAsia="de-DE"/>
        </w:rPr>
        <w:t>לֵבָב</w:t>
      </w:r>
      <w:r w:rsidRPr="00BC555A">
        <w:rPr>
          <w:rFonts w:eastAsia="Times New Roman"/>
          <w:rtl/>
          <w:lang w:eastAsia="de-DE"/>
        </w:rPr>
        <w:t xml:space="preserve"> </w:t>
      </w:r>
      <w:r w:rsidRPr="00BC555A">
        <w:rPr>
          <w:rFonts w:eastAsia="Times New Roman"/>
          <w:lang w:eastAsia="de-DE"/>
        </w:rPr>
        <w:t>und Suffix – „in deinem Herzen").</w:t>
      </w:r>
    </w:p>
    <w:p w14:paraId="71D44B03"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rtl/>
          <w:lang w:eastAsia="de-DE"/>
        </w:rPr>
        <w:t>בַּהֲדֹף יְהוָה אֱלֹהֶיךָ אֹתָם מִלְּפָנֶיךָ</w:t>
      </w:r>
      <w:r w:rsidRPr="00BC555A">
        <w:rPr>
          <w:rFonts w:eastAsia="Times New Roman"/>
          <w:rtl/>
          <w:lang w:eastAsia="de-DE"/>
        </w:rPr>
        <w:t xml:space="preserve"> </w:t>
      </w:r>
      <w:r w:rsidRPr="00BC555A">
        <w:rPr>
          <w:rFonts w:eastAsia="Times New Roman"/>
          <w:lang w:eastAsia="de-DE"/>
        </w:rPr>
        <w:t xml:space="preserve">ist eine temporale Konstruktion: </w:t>
      </w:r>
      <w:r w:rsidRPr="00BC555A">
        <w:rPr>
          <w:rFonts w:eastAsia="Times New Roman"/>
          <w:b/>
          <w:bCs/>
          <w:rtl/>
          <w:lang w:eastAsia="de-DE"/>
        </w:rPr>
        <w:t>בַּהֲדֹף</w:t>
      </w:r>
      <w:r w:rsidRPr="00BC555A">
        <w:rPr>
          <w:rFonts w:eastAsia="Times New Roman"/>
          <w:rtl/>
          <w:lang w:eastAsia="de-DE"/>
        </w:rPr>
        <w:t xml:space="preserve"> </w:t>
      </w:r>
      <w:r w:rsidRPr="00BC555A">
        <w:rPr>
          <w:rFonts w:eastAsia="Times New Roman"/>
          <w:lang w:eastAsia="de-DE"/>
        </w:rPr>
        <w:t xml:space="preserve">(Qal Infinitiv Construct von </w:t>
      </w:r>
      <w:r w:rsidRPr="00BC555A">
        <w:rPr>
          <w:rFonts w:eastAsia="Times New Roman"/>
          <w:b/>
          <w:bCs/>
          <w:rtl/>
          <w:lang w:eastAsia="de-DE"/>
        </w:rPr>
        <w:t>הדף</w:t>
      </w:r>
      <w:r w:rsidRPr="00BC555A">
        <w:rPr>
          <w:rFonts w:eastAsia="Times New Roman"/>
          <w:lang w:eastAsia="de-DE"/>
        </w:rPr>
        <w:t xml:space="preserve">, „vertreiben, wegstoßen", mit </w:t>
      </w:r>
      <w:r w:rsidRPr="00BC555A">
        <w:rPr>
          <w:rFonts w:eastAsia="Times New Roman"/>
          <w:b/>
          <w:bCs/>
          <w:rtl/>
          <w:lang w:eastAsia="de-DE"/>
        </w:rPr>
        <w:t>בְּ</w:t>
      </w:r>
      <w:r w:rsidRPr="00BC555A">
        <w:rPr>
          <w:rFonts w:eastAsia="Times New Roman"/>
          <w:rtl/>
          <w:lang w:eastAsia="de-DE"/>
        </w:rPr>
        <w:t xml:space="preserve"> </w:t>
      </w:r>
      <w:r w:rsidRPr="00BC555A">
        <w:rPr>
          <w:rFonts w:eastAsia="Times New Roman"/>
          <w:lang w:eastAsia="de-DE"/>
        </w:rPr>
        <w:t xml:space="preserve">– „wenn vertreibt, beim Vertreiben"), </w:t>
      </w:r>
      <w:r w:rsidRPr="00BC555A">
        <w:rPr>
          <w:rFonts w:eastAsia="Times New Roman"/>
          <w:b/>
          <w:bCs/>
          <w:rtl/>
          <w:lang w:eastAsia="de-DE"/>
        </w:rPr>
        <w:t>יְהוָה אֱלֹהֶיךָ</w:t>
      </w:r>
      <w:r w:rsidRPr="00BC555A">
        <w:rPr>
          <w:rFonts w:eastAsia="Times New Roman"/>
          <w:rtl/>
          <w:lang w:eastAsia="de-DE"/>
        </w:rPr>
        <w:t xml:space="preserve"> </w:t>
      </w:r>
      <w:r w:rsidRPr="00BC555A">
        <w:rPr>
          <w:rFonts w:eastAsia="Times New Roman"/>
          <w:lang w:eastAsia="de-DE"/>
        </w:rPr>
        <w:t xml:space="preserve">als erweitertes Subjekt, </w:t>
      </w:r>
      <w:r w:rsidRPr="00BC555A">
        <w:rPr>
          <w:rFonts w:eastAsia="Times New Roman"/>
          <w:b/>
          <w:bCs/>
          <w:rtl/>
          <w:lang w:eastAsia="de-DE"/>
        </w:rPr>
        <w:t>אֹתָם</w:t>
      </w:r>
      <w:r w:rsidRPr="00BC555A">
        <w:rPr>
          <w:rFonts w:eastAsia="Times New Roman"/>
          <w:rtl/>
          <w:lang w:eastAsia="de-DE"/>
        </w:rPr>
        <w:t xml:space="preserve"> </w:t>
      </w:r>
      <w:r w:rsidRPr="00BC555A">
        <w:rPr>
          <w:rFonts w:eastAsia="Times New Roman"/>
          <w:lang w:eastAsia="de-DE"/>
        </w:rPr>
        <w:t xml:space="preserve">als direktes Objekt, </w:t>
      </w:r>
      <w:r w:rsidRPr="00BC555A">
        <w:rPr>
          <w:rFonts w:eastAsia="Times New Roman"/>
          <w:b/>
          <w:bCs/>
          <w:rtl/>
          <w:lang w:eastAsia="de-DE"/>
        </w:rPr>
        <w:t>מִלְּפָנֶיךָ</w:t>
      </w:r>
      <w:r w:rsidRPr="00BC555A">
        <w:rPr>
          <w:rFonts w:eastAsia="Times New Roman"/>
          <w:rtl/>
          <w:lang w:eastAsia="de-DE"/>
        </w:rPr>
        <w:t xml:space="preserve"> </w:t>
      </w:r>
      <w:r w:rsidRPr="00BC555A">
        <w:rPr>
          <w:rFonts w:eastAsia="Times New Roman"/>
          <w:lang w:eastAsia="de-DE"/>
        </w:rPr>
        <w:t>als Herkunftsangabe (</w:t>
      </w:r>
      <w:r w:rsidRPr="00BC555A">
        <w:rPr>
          <w:rFonts w:eastAsia="Times New Roman"/>
          <w:b/>
          <w:bCs/>
          <w:rtl/>
          <w:lang w:eastAsia="de-DE"/>
        </w:rPr>
        <w:t>מִן</w:t>
      </w:r>
      <w:r w:rsidRPr="00BC555A">
        <w:rPr>
          <w:rFonts w:eastAsia="Times New Roman"/>
          <w:rtl/>
          <w:lang w:eastAsia="de-DE"/>
        </w:rPr>
        <w:t xml:space="preserve"> </w:t>
      </w:r>
      <w:r w:rsidRPr="00BC555A">
        <w:rPr>
          <w:rFonts w:eastAsia="Times New Roman"/>
          <w:lang w:eastAsia="de-DE"/>
        </w:rPr>
        <w:t xml:space="preserve">mit </w:t>
      </w:r>
      <w:r w:rsidRPr="00BC555A">
        <w:rPr>
          <w:rFonts w:eastAsia="Times New Roman"/>
          <w:b/>
          <w:bCs/>
          <w:rtl/>
          <w:lang w:eastAsia="de-DE"/>
        </w:rPr>
        <w:t>לְפָנֶה</w:t>
      </w:r>
      <w:r w:rsidRPr="00BC555A">
        <w:rPr>
          <w:rFonts w:eastAsia="Times New Roman"/>
          <w:rtl/>
          <w:lang w:eastAsia="de-DE"/>
        </w:rPr>
        <w:t xml:space="preserve"> </w:t>
      </w:r>
      <w:r w:rsidRPr="00BC555A">
        <w:rPr>
          <w:rFonts w:eastAsia="Times New Roman"/>
          <w:lang w:eastAsia="de-DE"/>
        </w:rPr>
        <w:t>und Suffix – „von vor dir weg").</w:t>
      </w:r>
    </w:p>
    <w:p w14:paraId="784E9BA9" w14:textId="00C604C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rtl/>
          <w:lang w:eastAsia="de-DE"/>
        </w:rPr>
        <w:t>לֵאמֹר בְּצִדְקָתִי הֱבִיאַנִי יְהוָה לָרֶשֶׁת אֶת־הָאָרֶץ הַזֹּאת</w:t>
      </w:r>
      <w:r w:rsidRPr="00BC555A">
        <w:rPr>
          <w:rFonts w:eastAsia="Times New Roman"/>
          <w:rtl/>
          <w:lang w:eastAsia="de-DE"/>
        </w:rPr>
        <w:t xml:space="preserve"> </w:t>
      </w:r>
      <w:r w:rsidRPr="00BC555A">
        <w:rPr>
          <w:rFonts w:eastAsia="Times New Roman"/>
          <w:lang w:eastAsia="de-DE"/>
        </w:rPr>
        <w:t xml:space="preserve">ist die direkte Rede: </w:t>
      </w:r>
      <w:r w:rsidRPr="00BC555A">
        <w:rPr>
          <w:rFonts w:eastAsia="Times New Roman"/>
          <w:b/>
          <w:bCs/>
          <w:rtl/>
          <w:lang w:eastAsia="de-DE"/>
        </w:rPr>
        <w:t>לֵאמֹר</w:t>
      </w:r>
      <w:r w:rsidRPr="00BC555A">
        <w:rPr>
          <w:rFonts w:eastAsia="Times New Roman"/>
          <w:rtl/>
          <w:lang w:eastAsia="de-DE"/>
        </w:rPr>
        <w:t xml:space="preserve"> </w:t>
      </w:r>
      <w:r w:rsidRPr="00BC555A">
        <w:rPr>
          <w:rFonts w:eastAsia="Times New Roman"/>
          <w:lang w:eastAsia="de-DE"/>
        </w:rPr>
        <w:t xml:space="preserve">als Redeeinleitung, </w:t>
      </w:r>
      <w:r w:rsidRPr="00BC555A">
        <w:rPr>
          <w:rFonts w:eastAsia="Times New Roman"/>
          <w:b/>
          <w:bCs/>
          <w:rtl/>
          <w:lang w:eastAsia="de-DE"/>
        </w:rPr>
        <w:t>בְּצִדְקָתִי הֱבִיאַנִי יְהוָה</w:t>
      </w:r>
      <w:r w:rsidRPr="00BC555A">
        <w:rPr>
          <w:rFonts w:eastAsia="Times New Roman"/>
          <w:rtl/>
          <w:lang w:eastAsia="de-DE"/>
        </w:rPr>
        <w:t xml:space="preserve"> </w:t>
      </w:r>
      <w:r w:rsidRPr="00BC555A">
        <w:rPr>
          <w:rFonts w:eastAsia="Times New Roman"/>
          <w:lang w:eastAsia="de-DE"/>
        </w:rPr>
        <w:t xml:space="preserve">(mit kausalem </w:t>
      </w:r>
      <w:r w:rsidRPr="00BC555A">
        <w:rPr>
          <w:rFonts w:eastAsia="Times New Roman"/>
          <w:b/>
          <w:bCs/>
          <w:rtl/>
          <w:lang w:eastAsia="de-DE"/>
        </w:rPr>
        <w:t>בְּ</w:t>
      </w:r>
      <w:r w:rsidRPr="00BC555A">
        <w:rPr>
          <w:rFonts w:eastAsia="Times New Roman"/>
          <w:rtl/>
          <w:lang w:eastAsia="de-DE"/>
        </w:rPr>
        <w:t xml:space="preserve"> </w:t>
      </w:r>
      <w:r w:rsidRPr="00BC555A">
        <w:rPr>
          <w:rFonts w:eastAsia="Times New Roman"/>
          <w:lang w:eastAsia="de-DE"/>
        </w:rPr>
        <w:t xml:space="preserve">und </w:t>
      </w:r>
      <w:r w:rsidRPr="00BC555A">
        <w:rPr>
          <w:rFonts w:eastAsia="Times New Roman"/>
          <w:b/>
          <w:bCs/>
          <w:rtl/>
          <w:lang w:eastAsia="de-DE"/>
        </w:rPr>
        <w:t>צְדָקָה</w:t>
      </w:r>
      <w:r w:rsidRPr="00BC555A">
        <w:rPr>
          <w:rFonts w:eastAsia="Times New Roman"/>
          <w:lang w:eastAsia="de-DE"/>
        </w:rPr>
        <w:t xml:space="preserve">, „Gerechtigkeit", und Suffix 1. Person Singular als vorausgestellter kausaler Bestimmung – „wegen meiner </w:t>
      </w:r>
      <w:r w:rsidR="004F7BB4">
        <w:rPr>
          <w:rFonts w:eastAsia="Times New Roman"/>
          <w:lang w:eastAsia="de-DE"/>
        </w:rPr>
        <w:t>Selbstg</w:t>
      </w:r>
      <w:r w:rsidRPr="00BC555A">
        <w:rPr>
          <w:rFonts w:eastAsia="Times New Roman"/>
          <w:lang w:eastAsia="de-DE"/>
        </w:rPr>
        <w:t xml:space="preserve">erechtigkeit", </w:t>
      </w:r>
      <w:r w:rsidRPr="00BC555A">
        <w:rPr>
          <w:rFonts w:eastAsia="Times New Roman"/>
          <w:b/>
          <w:bCs/>
          <w:rtl/>
          <w:lang w:eastAsia="de-DE"/>
        </w:rPr>
        <w:t>הֱבִיאַנִי</w:t>
      </w:r>
      <w:r w:rsidRPr="00BC555A">
        <w:rPr>
          <w:rFonts w:eastAsia="Times New Roman"/>
          <w:rtl/>
          <w:lang w:eastAsia="de-DE"/>
        </w:rPr>
        <w:t xml:space="preserve"> </w:t>
      </w:r>
      <w:r w:rsidRPr="00BC555A">
        <w:rPr>
          <w:rFonts w:eastAsia="Times New Roman"/>
          <w:lang w:eastAsia="de-DE"/>
        </w:rPr>
        <w:t xml:space="preserve">als Hifil Perfekt, 3. Person Singular maskulin von </w:t>
      </w:r>
      <w:r w:rsidRPr="00BC555A">
        <w:rPr>
          <w:rFonts w:eastAsia="Times New Roman"/>
          <w:b/>
          <w:bCs/>
          <w:rtl/>
          <w:lang w:eastAsia="de-DE"/>
        </w:rPr>
        <w:t>בוא</w:t>
      </w:r>
      <w:r w:rsidRPr="00BC555A">
        <w:rPr>
          <w:rFonts w:eastAsia="Times New Roman"/>
          <w:lang w:eastAsia="de-DE"/>
        </w:rPr>
        <w:t xml:space="preserve">, „bringen", mit Suffix 1. Person Singular, </w:t>
      </w:r>
      <w:r w:rsidRPr="00BC555A">
        <w:rPr>
          <w:rFonts w:eastAsia="Times New Roman"/>
          <w:b/>
          <w:bCs/>
          <w:rtl/>
          <w:lang w:eastAsia="de-DE"/>
        </w:rPr>
        <w:t>יְהוָה</w:t>
      </w:r>
      <w:r w:rsidRPr="00BC555A">
        <w:rPr>
          <w:rFonts w:eastAsia="Times New Roman"/>
          <w:rtl/>
          <w:lang w:eastAsia="de-DE"/>
        </w:rPr>
        <w:t xml:space="preserve"> </w:t>
      </w:r>
      <w:r w:rsidRPr="00BC555A">
        <w:rPr>
          <w:rFonts w:eastAsia="Times New Roman"/>
          <w:lang w:eastAsia="de-DE"/>
        </w:rPr>
        <w:t xml:space="preserve">als Subjekt), </w:t>
      </w:r>
      <w:r w:rsidRPr="00BC555A">
        <w:rPr>
          <w:rFonts w:eastAsia="Times New Roman"/>
          <w:b/>
          <w:bCs/>
          <w:rtl/>
          <w:lang w:eastAsia="de-DE"/>
        </w:rPr>
        <w:t>לָרֶשֶׁת אֶת־הָאָרֶץ הַזֹּאת</w:t>
      </w:r>
      <w:r w:rsidRPr="00BC555A">
        <w:rPr>
          <w:rFonts w:eastAsia="Times New Roman"/>
          <w:rtl/>
          <w:lang w:eastAsia="de-DE"/>
        </w:rPr>
        <w:t xml:space="preserve"> </w:t>
      </w:r>
      <w:r w:rsidRPr="00BC555A">
        <w:rPr>
          <w:rFonts w:eastAsia="Times New Roman"/>
          <w:lang w:eastAsia="de-DE"/>
        </w:rPr>
        <w:t xml:space="preserve">als finaler Infinitiv (Qal Infinitiv Construct von </w:t>
      </w:r>
      <w:r w:rsidRPr="00BC555A">
        <w:rPr>
          <w:rFonts w:eastAsia="Times New Roman"/>
          <w:b/>
          <w:bCs/>
          <w:rtl/>
          <w:lang w:eastAsia="de-DE"/>
        </w:rPr>
        <w:t>ירשׁ</w:t>
      </w:r>
      <w:r w:rsidRPr="00BC555A">
        <w:rPr>
          <w:rFonts w:eastAsia="Times New Roman"/>
          <w:rtl/>
          <w:lang w:eastAsia="de-DE"/>
        </w:rPr>
        <w:t xml:space="preserve"> </w:t>
      </w:r>
      <w:r w:rsidRPr="00BC555A">
        <w:rPr>
          <w:rFonts w:eastAsia="Times New Roman"/>
          <w:lang w:eastAsia="de-DE"/>
        </w:rPr>
        <w:t xml:space="preserve">mit </w:t>
      </w:r>
      <w:r w:rsidRPr="00BC555A">
        <w:rPr>
          <w:rFonts w:eastAsia="Times New Roman"/>
          <w:b/>
          <w:bCs/>
          <w:rtl/>
          <w:lang w:eastAsia="de-DE"/>
        </w:rPr>
        <w:t>לְ</w:t>
      </w:r>
      <w:r w:rsidRPr="00BC555A">
        <w:rPr>
          <w:rFonts w:eastAsia="Times New Roman"/>
          <w:rtl/>
          <w:lang w:eastAsia="de-DE"/>
        </w:rPr>
        <w:t xml:space="preserve"> </w:t>
      </w:r>
      <w:r w:rsidRPr="00BC555A">
        <w:rPr>
          <w:rFonts w:eastAsia="Times New Roman"/>
          <w:lang w:eastAsia="de-DE"/>
        </w:rPr>
        <w:t>und direktem Objekt mit Demonstrativpronomen).</w:t>
      </w:r>
    </w:p>
    <w:p w14:paraId="7AB6A00C"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rtl/>
          <w:lang w:eastAsia="de-DE"/>
        </w:rPr>
        <w:t>וּבְרִשְׁעַת הַגּוֹיִם הָאֵלֶּה יְהוָה מוֹרִישָׁם מִפָּנֶיךָ</w:t>
      </w:r>
      <w:r w:rsidRPr="00BC555A">
        <w:rPr>
          <w:rFonts w:eastAsia="Times New Roman"/>
          <w:rtl/>
          <w:lang w:eastAsia="de-DE"/>
        </w:rPr>
        <w:t xml:space="preserve"> </w:t>
      </w:r>
      <w:r w:rsidRPr="00BC555A">
        <w:rPr>
          <w:rFonts w:eastAsia="Times New Roman"/>
          <w:lang w:eastAsia="de-DE"/>
        </w:rPr>
        <w:t xml:space="preserve">ist die Korrektur: </w:t>
      </w:r>
      <w:r w:rsidRPr="00BC555A">
        <w:rPr>
          <w:rFonts w:eastAsia="Times New Roman"/>
          <w:b/>
          <w:bCs/>
          <w:rtl/>
          <w:lang w:eastAsia="de-DE"/>
        </w:rPr>
        <w:t>וּבְרִשְׁעַת הַגּוֹיִם הָאֵלֶּה</w:t>
      </w:r>
      <w:r w:rsidRPr="00BC555A">
        <w:rPr>
          <w:rFonts w:eastAsia="Times New Roman"/>
          <w:rtl/>
          <w:lang w:eastAsia="de-DE"/>
        </w:rPr>
        <w:t xml:space="preserve"> </w:t>
      </w:r>
      <w:r w:rsidRPr="00BC555A">
        <w:rPr>
          <w:rFonts w:eastAsia="Times New Roman"/>
          <w:lang w:eastAsia="de-DE"/>
        </w:rPr>
        <w:t xml:space="preserve">(adversatives </w:t>
      </w:r>
      <w:r w:rsidRPr="00BC555A">
        <w:rPr>
          <w:rFonts w:eastAsia="Times New Roman"/>
          <w:b/>
          <w:bCs/>
          <w:rtl/>
          <w:lang w:eastAsia="de-DE"/>
        </w:rPr>
        <w:t>וְ</w:t>
      </w:r>
      <w:r w:rsidRPr="00BC555A">
        <w:rPr>
          <w:rFonts w:eastAsia="Times New Roman"/>
          <w:rtl/>
          <w:lang w:eastAsia="de-DE"/>
        </w:rPr>
        <w:t xml:space="preserve"> </w:t>
      </w:r>
      <w:r w:rsidRPr="00BC555A">
        <w:rPr>
          <w:rFonts w:eastAsia="Times New Roman"/>
          <w:lang w:eastAsia="de-DE"/>
        </w:rPr>
        <w:t xml:space="preserve">mit kausalem </w:t>
      </w:r>
      <w:r w:rsidRPr="00BC555A">
        <w:rPr>
          <w:rFonts w:eastAsia="Times New Roman"/>
          <w:b/>
          <w:bCs/>
          <w:rtl/>
          <w:lang w:eastAsia="de-DE"/>
        </w:rPr>
        <w:t>בְּ</w:t>
      </w:r>
      <w:r w:rsidRPr="00BC555A">
        <w:rPr>
          <w:rFonts w:eastAsia="Times New Roman"/>
          <w:lang w:eastAsia="de-DE"/>
        </w:rPr>
        <w:t xml:space="preserve">, </w:t>
      </w:r>
      <w:r w:rsidRPr="00BC555A">
        <w:rPr>
          <w:rFonts w:eastAsia="Times New Roman"/>
          <w:b/>
          <w:bCs/>
          <w:rtl/>
          <w:lang w:eastAsia="de-DE"/>
        </w:rPr>
        <w:t>רִשְׁעָה</w:t>
      </w:r>
      <w:r w:rsidRPr="00BC555A">
        <w:rPr>
          <w:rFonts w:eastAsia="Times New Roman"/>
          <w:lang w:eastAsia="de-DE"/>
        </w:rPr>
        <w:t xml:space="preserve">, „Gottlosigkeit, Schuld", im Construct mit </w:t>
      </w:r>
      <w:r w:rsidRPr="00BC555A">
        <w:rPr>
          <w:rFonts w:eastAsia="Times New Roman"/>
          <w:b/>
          <w:bCs/>
          <w:rtl/>
          <w:lang w:eastAsia="de-DE"/>
        </w:rPr>
        <w:t>גּוֹי</w:t>
      </w:r>
      <w:r w:rsidRPr="00BC555A">
        <w:rPr>
          <w:rFonts w:eastAsia="Times New Roman"/>
          <w:lang w:eastAsia="de-DE"/>
        </w:rPr>
        <w:t xml:space="preserve">, Plural, und Demonstrativpronomen – „sondern wegen der Gottlosigkeit dieser Nationen"), </w:t>
      </w:r>
      <w:r w:rsidRPr="00BC555A">
        <w:rPr>
          <w:rFonts w:eastAsia="Times New Roman"/>
          <w:b/>
          <w:bCs/>
          <w:rtl/>
          <w:lang w:eastAsia="de-DE"/>
        </w:rPr>
        <w:t>יְהוָה</w:t>
      </w:r>
      <w:r w:rsidRPr="00BC555A">
        <w:rPr>
          <w:rFonts w:eastAsia="Times New Roman"/>
          <w:rtl/>
          <w:lang w:eastAsia="de-DE"/>
        </w:rPr>
        <w:t xml:space="preserve"> </w:t>
      </w:r>
      <w:r w:rsidRPr="00BC555A">
        <w:rPr>
          <w:rFonts w:eastAsia="Times New Roman"/>
          <w:lang w:eastAsia="de-DE"/>
        </w:rPr>
        <w:t xml:space="preserve">als Subjekt, </w:t>
      </w:r>
      <w:r w:rsidRPr="00BC555A">
        <w:rPr>
          <w:rFonts w:eastAsia="Times New Roman"/>
          <w:b/>
          <w:bCs/>
          <w:rtl/>
          <w:lang w:eastAsia="de-DE"/>
        </w:rPr>
        <w:t>מוֹרִישָׁם</w:t>
      </w:r>
      <w:r w:rsidRPr="00BC555A">
        <w:rPr>
          <w:rFonts w:eastAsia="Times New Roman"/>
          <w:rtl/>
          <w:lang w:eastAsia="de-DE"/>
        </w:rPr>
        <w:t xml:space="preserve"> </w:t>
      </w:r>
      <w:r w:rsidRPr="00BC555A">
        <w:rPr>
          <w:rFonts w:eastAsia="Times New Roman"/>
          <w:lang w:eastAsia="de-DE"/>
        </w:rPr>
        <w:t xml:space="preserve">als Hifil Partizip Singular maskulin von </w:t>
      </w:r>
      <w:r w:rsidRPr="00BC555A">
        <w:rPr>
          <w:rFonts w:eastAsia="Times New Roman"/>
          <w:b/>
          <w:bCs/>
          <w:rtl/>
          <w:lang w:eastAsia="de-DE"/>
        </w:rPr>
        <w:t>ירשׁ</w:t>
      </w:r>
      <w:r w:rsidRPr="00BC555A">
        <w:rPr>
          <w:rFonts w:eastAsia="Times New Roman"/>
          <w:lang w:eastAsia="de-DE"/>
        </w:rPr>
        <w:t xml:space="preserve">, „vertreiben", mit Suffix 3. Person Plural maskulin, </w:t>
      </w:r>
      <w:r w:rsidRPr="00BC555A">
        <w:rPr>
          <w:rFonts w:eastAsia="Times New Roman"/>
          <w:b/>
          <w:bCs/>
          <w:rtl/>
          <w:lang w:eastAsia="de-DE"/>
        </w:rPr>
        <w:t>מִפָּנֶיךָ</w:t>
      </w:r>
      <w:r w:rsidRPr="00BC555A">
        <w:rPr>
          <w:rFonts w:eastAsia="Times New Roman"/>
          <w:rtl/>
          <w:lang w:eastAsia="de-DE"/>
        </w:rPr>
        <w:t xml:space="preserve"> </w:t>
      </w:r>
      <w:r w:rsidRPr="00BC555A">
        <w:rPr>
          <w:rFonts w:eastAsia="Times New Roman"/>
          <w:lang w:eastAsia="de-DE"/>
        </w:rPr>
        <w:t>als Herkunftsangabe.</w:t>
      </w:r>
    </w:p>
    <w:p w14:paraId="4B26DDBA"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lang w:eastAsia="de-DE"/>
        </w:rPr>
        <w:t xml:space="preserve">Der Vers leitet die zentrale Warnung des Kapitels ein: Israel soll sich nicht einbilden, die Landgabe sei Lohn für eigene Gerechtigkeit. Die Formulierung </w:t>
      </w:r>
      <w:r w:rsidRPr="00BC555A">
        <w:rPr>
          <w:rFonts w:eastAsia="Times New Roman"/>
          <w:b/>
          <w:bCs/>
          <w:rtl/>
          <w:lang w:eastAsia="de-DE"/>
        </w:rPr>
        <w:t>אַל־תֹּאמַר בִּלְבָבְךָ</w:t>
      </w:r>
      <w:r w:rsidRPr="00BC555A">
        <w:rPr>
          <w:rFonts w:eastAsia="Times New Roman"/>
          <w:rtl/>
          <w:lang w:eastAsia="de-DE"/>
        </w:rPr>
        <w:t xml:space="preserve"> </w:t>
      </w:r>
      <w:r w:rsidRPr="00BC555A">
        <w:rPr>
          <w:rFonts w:eastAsia="Times New Roman"/>
          <w:lang w:eastAsia="de-DE"/>
        </w:rPr>
        <w:t>(„sprich nicht in deinem Herzen") warnt vor innerem Hochmut (vgl. 7,17; 8,17; 18,21). Die falsche Selbsteinschätzung (</w:t>
      </w:r>
      <w:r w:rsidRPr="00BC555A">
        <w:rPr>
          <w:rFonts w:eastAsia="Times New Roman"/>
          <w:b/>
          <w:bCs/>
          <w:rtl/>
          <w:lang w:eastAsia="de-DE"/>
        </w:rPr>
        <w:t>בְּצִדְקָתִי</w:t>
      </w:r>
      <w:r w:rsidRPr="00BC555A">
        <w:rPr>
          <w:rFonts w:eastAsia="Times New Roman"/>
          <w:lang w:eastAsia="de-DE"/>
        </w:rPr>
        <w:t xml:space="preserve">, „wegen meiner Gerechtigkeit") wird sofort korrigiert: </w:t>
      </w:r>
      <w:r w:rsidRPr="00BC555A">
        <w:rPr>
          <w:rFonts w:eastAsia="Times New Roman"/>
          <w:b/>
          <w:bCs/>
          <w:rtl/>
          <w:lang w:eastAsia="de-DE"/>
        </w:rPr>
        <w:t>וּבְרִשְׁעַת הַגּוֹיִם</w:t>
      </w:r>
      <w:r w:rsidRPr="00BC555A">
        <w:rPr>
          <w:rFonts w:eastAsia="Times New Roman"/>
          <w:rtl/>
          <w:lang w:eastAsia="de-DE"/>
        </w:rPr>
        <w:t xml:space="preserve"> </w:t>
      </w:r>
      <w:r w:rsidRPr="00BC555A">
        <w:rPr>
          <w:rFonts w:eastAsia="Times New Roman"/>
          <w:lang w:eastAsia="de-DE"/>
        </w:rPr>
        <w:t>(„sondern wegen der Gottlosigkeit der Nationen").</w:t>
      </w:r>
    </w:p>
    <w:p w14:paraId="2D14FBAB"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lang w:eastAsia="de-DE"/>
        </w:rPr>
        <w:t>Die Satzstruktur ist ein prohibitiver Satz mit temporaler Konstruktion, direkter Rede (mit vorausgestellter kausaler Bestimmung und finalem Infinitiv) und adversativer Korrektur.</w:t>
      </w:r>
    </w:p>
    <w:p w14:paraId="19079375"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lang w:eastAsia="de-DE"/>
        </w:rPr>
        <w:lastRenderedPageBreak/>
        <w:t>Der Vers warnt: Sage nicht innerlich, wenn JHWH die Feinde vertreibt: „Wegen meiner Gerechtigkeit hat JHWH mich ins Land gebracht!" – Nein, wegen der Gottlosigkeit der Nationen vertreibt JHWH sie.</w:t>
      </w:r>
    </w:p>
    <w:p w14:paraId="52B0BC28" w14:textId="77777777" w:rsidR="00BC555A" w:rsidRPr="00BC555A" w:rsidRDefault="00BC555A" w:rsidP="00BC555A">
      <w:pPr>
        <w:spacing w:before="100" w:beforeAutospacing="1" w:after="100" w:afterAutospacing="1" w:line="240" w:lineRule="auto"/>
        <w:outlineLvl w:val="1"/>
        <w:rPr>
          <w:rFonts w:eastAsia="Times New Roman"/>
          <w:b/>
          <w:bCs/>
          <w:sz w:val="36"/>
          <w:szCs w:val="36"/>
          <w:lang w:eastAsia="de-DE"/>
        </w:rPr>
      </w:pPr>
      <w:r w:rsidRPr="00BC555A">
        <w:rPr>
          <w:rFonts w:eastAsia="Times New Roman"/>
          <w:b/>
          <w:bCs/>
          <w:sz w:val="36"/>
          <w:szCs w:val="36"/>
          <w:lang w:eastAsia="de-DE"/>
        </w:rPr>
        <w:t>Deuteronomium 9,5</w:t>
      </w:r>
    </w:p>
    <w:p w14:paraId="612F1D66"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lang w:eastAsia="de-DE"/>
        </w:rPr>
        <w:t>Hebräisch:</w:t>
      </w:r>
      <w:r w:rsidRPr="00BC555A">
        <w:rPr>
          <w:rFonts w:eastAsia="Times New Roman"/>
          <w:lang w:eastAsia="de-DE"/>
        </w:rPr>
        <w:t xml:space="preserve"> </w:t>
      </w:r>
      <w:r w:rsidRPr="00BC555A">
        <w:rPr>
          <w:rFonts w:eastAsia="Times New Roman"/>
          <w:rtl/>
          <w:lang w:eastAsia="de-DE"/>
        </w:rPr>
        <w:t>לֹא בְצִדְקָתְךָ וּבְיֹשֶׁר לְבָבְךָ אַתָּה בָא לָרֶשֶׁת אֶת־אַרְצָם כִּי בְּרִשְׁעַת הַגּוֹיִם הָאֵלֶּה יְהוָה אֱלֹהֶיךָ מוֹרִישָׁם מִפָּנֶיךָ וּלְמַעַן הָקִים אֶת־הַדָּבָר אֲשֶׁר נִשְׁבַּע יְהוָה לַאֲבֹתֶיךָ לְאַבְרָהָם לְיִצְחָק וּלְיַעֲקֹב׃</w:t>
      </w:r>
    </w:p>
    <w:p w14:paraId="6787CE35"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lang w:eastAsia="de-DE"/>
        </w:rPr>
        <w:t>Deutsch:</w:t>
      </w:r>
      <w:r w:rsidRPr="00BC555A">
        <w:rPr>
          <w:rFonts w:eastAsia="Times New Roman"/>
          <w:lang w:eastAsia="de-DE"/>
        </w:rPr>
        <w:t xml:space="preserve"> Nicht um deine Gerechtigkeit und der Geradheit deines Herzens willen kommst du hinein, um ihr Land in Besitz zu nehmen; sondern um der Schuldigkeit dieser Nationen willen vertreibt der Ewige, dein Gott, sie vor dir, und damit er das Wort aufrechterhalte, das der Ewige deinen Vätern, 'Avraham, Jitzchak und Ja'akov, geschworen hat.</w:t>
      </w:r>
    </w:p>
    <w:p w14:paraId="5FFEC6A1" w14:textId="77777777" w:rsidR="00BC555A" w:rsidRPr="00BC555A" w:rsidRDefault="004F5CEB" w:rsidP="00BC555A">
      <w:pPr>
        <w:spacing w:after="0" w:line="240" w:lineRule="auto"/>
        <w:rPr>
          <w:rFonts w:eastAsia="Times New Roman"/>
          <w:lang w:eastAsia="de-DE"/>
        </w:rPr>
      </w:pPr>
      <w:r>
        <w:rPr>
          <w:rFonts w:eastAsia="Times New Roman"/>
          <w:noProof/>
          <w:lang w:eastAsia="de-DE"/>
        </w:rPr>
        <w:pict w14:anchorId="78426072">
          <v:rect id="_x0000_i1294" style="width:0;height:1.5pt" o:hralign="center" o:hrstd="t" o:hr="t" fillcolor="#a0a0a0" stroked="f"/>
        </w:pict>
      </w:r>
    </w:p>
    <w:p w14:paraId="4C170699"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lang w:eastAsia="de-DE"/>
        </w:rPr>
        <w:t>Kommentar:</w:t>
      </w:r>
      <w:r w:rsidRPr="00BC555A">
        <w:rPr>
          <w:rFonts w:eastAsia="Times New Roman"/>
          <w:lang w:eastAsia="de-DE"/>
        </w:rPr>
        <w:t xml:space="preserve"> </w:t>
      </w:r>
      <w:r w:rsidRPr="00BC555A">
        <w:rPr>
          <w:rFonts w:eastAsia="Times New Roman"/>
          <w:b/>
          <w:bCs/>
          <w:rtl/>
          <w:lang w:eastAsia="de-DE"/>
        </w:rPr>
        <w:t>לֹא בְצִדְקָתְךָ וּבְיֹשֶׁר לְבָבְךָ אַתָּה בָא לָרֶשֶׁת אֶת־אַרְצָם</w:t>
      </w:r>
      <w:r w:rsidRPr="00BC555A">
        <w:rPr>
          <w:rFonts w:eastAsia="Times New Roman"/>
          <w:rtl/>
          <w:lang w:eastAsia="de-DE"/>
        </w:rPr>
        <w:t xml:space="preserve"> </w:t>
      </w:r>
      <w:r w:rsidRPr="00BC555A">
        <w:rPr>
          <w:rFonts w:eastAsia="Times New Roman"/>
          <w:lang w:eastAsia="de-DE"/>
        </w:rPr>
        <w:t xml:space="preserve">ist die negative Aussage: </w:t>
      </w:r>
      <w:r w:rsidRPr="00BC555A">
        <w:rPr>
          <w:rFonts w:eastAsia="Times New Roman"/>
          <w:b/>
          <w:bCs/>
          <w:rtl/>
          <w:lang w:eastAsia="de-DE"/>
        </w:rPr>
        <w:t>לֹא בְצִדְקָתְךָ וּבְיֹשֶׁר לְבָבְךָ</w:t>
      </w:r>
      <w:r w:rsidRPr="00BC555A">
        <w:rPr>
          <w:rFonts w:eastAsia="Times New Roman"/>
          <w:rtl/>
          <w:lang w:eastAsia="de-DE"/>
        </w:rPr>
        <w:t xml:space="preserve"> </w:t>
      </w:r>
      <w:r w:rsidRPr="00BC555A">
        <w:rPr>
          <w:rFonts w:eastAsia="Times New Roman"/>
          <w:lang w:eastAsia="de-DE"/>
        </w:rPr>
        <w:t>als zweigliedrige koordinierte negierte kausale Bestimmung (</w:t>
      </w:r>
      <w:r w:rsidRPr="00BC555A">
        <w:rPr>
          <w:rFonts w:eastAsia="Times New Roman"/>
          <w:b/>
          <w:bCs/>
          <w:rtl/>
          <w:lang w:eastAsia="de-DE"/>
        </w:rPr>
        <w:t>לֹא</w:t>
      </w:r>
      <w:r w:rsidRPr="00BC555A">
        <w:rPr>
          <w:rFonts w:eastAsia="Times New Roman"/>
          <w:rtl/>
          <w:lang w:eastAsia="de-DE"/>
        </w:rPr>
        <w:t xml:space="preserve"> </w:t>
      </w:r>
      <w:r w:rsidRPr="00BC555A">
        <w:rPr>
          <w:rFonts w:eastAsia="Times New Roman"/>
          <w:lang w:eastAsia="de-DE"/>
        </w:rPr>
        <w:t xml:space="preserve">mit kausalem </w:t>
      </w:r>
      <w:r w:rsidRPr="00BC555A">
        <w:rPr>
          <w:rFonts w:eastAsia="Times New Roman"/>
          <w:b/>
          <w:bCs/>
          <w:rtl/>
          <w:lang w:eastAsia="de-DE"/>
        </w:rPr>
        <w:t>בְּ</w:t>
      </w:r>
      <w:r w:rsidRPr="00BC555A">
        <w:rPr>
          <w:rFonts w:eastAsia="Times New Roman"/>
          <w:lang w:eastAsia="de-DE"/>
        </w:rPr>
        <w:t xml:space="preserve">, </w:t>
      </w:r>
      <w:r w:rsidRPr="00BC555A">
        <w:rPr>
          <w:rFonts w:eastAsia="Times New Roman"/>
          <w:b/>
          <w:bCs/>
          <w:rtl/>
          <w:lang w:eastAsia="de-DE"/>
        </w:rPr>
        <w:t>צְדָקָה</w:t>
      </w:r>
      <w:r w:rsidRPr="00BC555A">
        <w:rPr>
          <w:rFonts w:eastAsia="Times New Roman"/>
          <w:rtl/>
          <w:lang w:eastAsia="de-DE"/>
        </w:rPr>
        <w:t xml:space="preserve"> </w:t>
      </w:r>
      <w:r w:rsidRPr="00BC555A">
        <w:rPr>
          <w:rFonts w:eastAsia="Times New Roman"/>
          <w:lang w:eastAsia="de-DE"/>
        </w:rPr>
        <w:t xml:space="preserve">mit Suffix, koordiniert mit </w:t>
      </w:r>
      <w:r w:rsidRPr="00BC555A">
        <w:rPr>
          <w:rFonts w:eastAsia="Times New Roman"/>
          <w:b/>
          <w:bCs/>
          <w:rtl/>
          <w:lang w:eastAsia="de-DE"/>
        </w:rPr>
        <w:t>בְּ</w:t>
      </w:r>
      <w:r w:rsidRPr="00BC555A">
        <w:rPr>
          <w:rFonts w:eastAsia="Times New Roman"/>
          <w:lang w:eastAsia="de-DE"/>
        </w:rPr>
        <w:t xml:space="preserve">, </w:t>
      </w:r>
      <w:r w:rsidRPr="00BC555A">
        <w:rPr>
          <w:rFonts w:eastAsia="Times New Roman"/>
          <w:b/>
          <w:bCs/>
          <w:rtl/>
          <w:lang w:eastAsia="de-DE"/>
        </w:rPr>
        <w:t>יֹשֶׁר</w:t>
      </w:r>
      <w:r w:rsidRPr="00BC555A">
        <w:rPr>
          <w:rFonts w:eastAsia="Times New Roman"/>
          <w:lang w:eastAsia="de-DE"/>
        </w:rPr>
        <w:t xml:space="preserve">, „Geradheit, Aufrichtigkeit", im Construct mit </w:t>
      </w:r>
      <w:r w:rsidRPr="00BC555A">
        <w:rPr>
          <w:rFonts w:eastAsia="Times New Roman"/>
          <w:b/>
          <w:bCs/>
          <w:rtl/>
          <w:lang w:eastAsia="de-DE"/>
        </w:rPr>
        <w:t>לֵבָב</w:t>
      </w:r>
      <w:r w:rsidRPr="00BC555A">
        <w:rPr>
          <w:rFonts w:eastAsia="Times New Roman"/>
          <w:rtl/>
          <w:lang w:eastAsia="de-DE"/>
        </w:rPr>
        <w:t xml:space="preserve"> </w:t>
      </w:r>
      <w:r w:rsidRPr="00BC555A">
        <w:rPr>
          <w:rFonts w:eastAsia="Times New Roman"/>
          <w:lang w:eastAsia="de-DE"/>
        </w:rPr>
        <w:t xml:space="preserve">und Suffix – „nicht wegen deiner Gerechtigkeit und der Geradheit deines Herzens"), </w:t>
      </w:r>
      <w:r w:rsidRPr="00BC555A">
        <w:rPr>
          <w:rFonts w:eastAsia="Times New Roman"/>
          <w:b/>
          <w:bCs/>
          <w:rtl/>
          <w:lang w:eastAsia="de-DE"/>
        </w:rPr>
        <w:t>אַתָּה בָא</w:t>
      </w:r>
      <w:r w:rsidRPr="00BC555A">
        <w:rPr>
          <w:rFonts w:eastAsia="Times New Roman"/>
          <w:rtl/>
          <w:lang w:eastAsia="de-DE"/>
        </w:rPr>
        <w:t xml:space="preserve"> </w:t>
      </w:r>
      <w:r w:rsidRPr="00BC555A">
        <w:rPr>
          <w:rFonts w:eastAsia="Times New Roman"/>
          <w:lang w:eastAsia="de-DE"/>
        </w:rPr>
        <w:t xml:space="preserve">(emphatisches Pronomen, Qal Partizip Singular maskulin von </w:t>
      </w:r>
      <w:r w:rsidRPr="00BC555A">
        <w:rPr>
          <w:rFonts w:eastAsia="Times New Roman"/>
          <w:b/>
          <w:bCs/>
          <w:rtl/>
          <w:lang w:eastAsia="de-DE"/>
        </w:rPr>
        <w:t>בוא</w:t>
      </w:r>
      <w:r w:rsidRPr="00BC555A">
        <w:rPr>
          <w:rFonts w:eastAsia="Times New Roman"/>
          <w:lang w:eastAsia="de-DE"/>
        </w:rPr>
        <w:t xml:space="preserve">, „kommen, hineinkommen"), </w:t>
      </w:r>
      <w:r w:rsidRPr="00BC555A">
        <w:rPr>
          <w:rFonts w:eastAsia="Times New Roman"/>
          <w:b/>
          <w:bCs/>
          <w:rtl/>
          <w:lang w:eastAsia="de-DE"/>
        </w:rPr>
        <w:t>לָרֶשֶׁת אֶת־אַרְצָם</w:t>
      </w:r>
      <w:r w:rsidRPr="00BC555A">
        <w:rPr>
          <w:rFonts w:eastAsia="Times New Roman"/>
          <w:rtl/>
          <w:lang w:eastAsia="de-DE"/>
        </w:rPr>
        <w:t xml:space="preserve"> </w:t>
      </w:r>
      <w:r w:rsidRPr="00BC555A">
        <w:rPr>
          <w:rFonts w:eastAsia="Times New Roman"/>
          <w:lang w:eastAsia="de-DE"/>
        </w:rPr>
        <w:t xml:space="preserve">als finaler Infinitiv (mit </w:t>
      </w:r>
      <w:r w:rsidRPr="00BC555A">
        <w:rPr>
          <w:rFonts w:eastAsia="Times New Roman"/>
          <w:b/>
          <w:bCs/>
          <w:rtl/>
          <w:lang w:eastAsia="de-DE"/>
        </w:rPr>
        <w:t>לְ</w:t>
      </w:r>
      <w:r w:rsidRPr="00BC555A">
        <w:rPr>
          <w:rFonts w:eastAsia="Times New Roman"/>
          <w:rtl/>
          <w:lang w:eastAsia="de-DE"/>
        </w:rPr>
        <w:t xml:space="preserve"> </w:t>
      </w:r>
      <w:r w:rsidRPr="00BC555A">
        <w:rPr>
          <w:rFonts w:eastAsia="Times New Roman"/>
          <w:lang w:eastAsia="de-DE"/>
        </w:rPr>
        <w:t xml:space="preserve">und direktem Objekt: </w:t>
      </w:r>
      <w:r w:rsidRPr="00BC555A">
        <w:rPr>
          <w:rFonts w:eastAsia="Times New Roman"/>
          <w:b/>
          <w:bCs/>
          <w:rtl/>
          <w:lang w:eastAsia="de-DE"/>
        </w:rPr>
        <w:t>אֶרֶץ</w:t>
      </w:r>
      <w:r w:rsidRPr="00BC555A">
        <w:rPr>
          <w:rFonts w:eastAsia="Times New Roman"/>
          <w:rtl/>
          <w:lang w:eastAsia="de-DE"/>
        </w:rPr>
        <w:t xml:space="preserve"> </w:t>
      </w:r>
      <w:r w:rsidRPr="00BC555A">
        <w:rPr>
          <w:rFonts w:eastAsia="Times New Roman"/>
          <w:lang w:eastAsia="de-DE"/>
        </w:rPr>
        <w:t>mit Suffix 3. Person Plural maskulin).</w:t>
      </w:r>
    </w:p>
    <w:p w14:paraId="2A64FBF1"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rtl/>
          <w:lang w:eastAsia="de-DE"/>
        </w:rPr>
        <w:t>כִּי בְּרִשְׁעַת הַגּוֹיִם הָאֵלֶּה יְהוָה אֱלֹהֶיךָ מוֹרִישָׁם מִפָּנֶיךָ</w:t>
      </w:r>
      <w:r w:rsidRPr="00BC555A">
        <w:rPr>
          <w:rFonts w:eastAsia="Times New Roman"/>
          <w:rtl/>
          <w:lang w:eastAsia="de-DE"/>
        </w:rPr>
        <w:t xml:space="preserve"> </w:t>
      </w:r>
      <w:r w:rsidRPr="00BC555A">
        <w:rPr>
          <w:rFonts w:eastAsia="Times New Roman"/>
          <w:lang w:eastAsia="de-DE"/>
        </w:rPr>
        <w:t xml:space="preserve">ist die erste Begründung: </w:t>
      </w:r>
      <w:r w:rsidRPr="00BC555A">
        <w:rPr>
          <w:rFonts w:eastAsia="Times New Roman"/>
          <w:b/>
          <w:bCs/>
          <w:rtl/>
          <w:lang w:eastAsia="de-DE"/>
        </w:rPr>
        <w:t>כִּי</w:t>
      </w:r>
      <w:r w:rsidRPr="00BC555A">
        <w:rPr>
          <w:rFonts w:eastAsia="Times New Roman"/>
          <w:rtl/>
          <w:lang w:eastAsia="de-DE"/>
        </w:rPr>
        <w:t xml:space="preserve"> </w:t>
      </w:r>
      <w:r w:rsidRPr="00BC555A">
        <w:rPr>
          <w:rFonts w:eastAsia="Times New Roman"/>
          <w:lang w:eastAsia="de-DE"/>
        </w:rPr>
        <w:t xml:space="preserve">als adversative Konjunktion („sondern"), </w:t>
      </w:r>
      <w:r w:rsidRPr="00BC555A">
        <w:rPr>
          <w:rFonts w:eastAsia="Times New Roman"/>
          <w:b/>
          <w:bCs/>
          <w:rtl/>
          <w:lang w:eastAsia="de-DE"/>
        </w:rPr>
        <w:t>בְּרִשְׁעַת הַגּוֹיִם הָאֵלֶּה</w:t>
      </w:r>
      <w:r w:rsidRPr="00BC555A">
        <w:rPr>
          <w:rFonts w:eastAsia="Times New Roman"/>
          <w:rtl/>
          <w:lang w:eastAsia="de-DE"/>
        </w:rPr>
        <w:t xml:space="preserve"> </w:t>
      </w:r>
      <w:r w:rsidRPr="00BC555A">
        <w:rPr>
          <w:rFonts w:eastAsia="Times New Roman"/>
          <w:lang w:eastAsia="de-DE"/>
        </w:rPr>
        <w:t xml:space="preserve">als kausale Bestimmung (wie V. 4), </w:t>
      </w:r>
      <w:r w:rsidRPr="00BC555A">
        <w:rPr>
          <w:rFonts w:eastAsia="Times New Roman"/>
          <w:b/>
          <w:bCs/>
          <w:rtl/>
          <w:lang w:eastAsia="de-DE"/>
        </w:rPr>
        <w:t>יְהוָה אֱלֹהֶיךָ</w:t>
      </w:r>
      <w:r w:rsidRPr="00BC555A">
        <w:rPr>
          <w:rFonts w:eastAsia="Times New Roman"/>
          <w:rtl/>
          <w:lang w:eastAsia="de-DE"/>
        </w:rPr>
        <w:t xml:space="preserve"> </w:t>
      </w:r>
      <w:r w:rsidRPr="00BC555A">
        <w:rPr>
          <w:rFonts w:eastAsia="Times New Roman"/>
          <w:lang w:eastAsia="de-DE"/>
        </w:rPr>
        <w:t xml:space="preserve">als erweitertes Subjekt, </w:t>
      </w:r>
      <w:r w:rsidRPr="00BC555A">
        <w:rPr>
          <w:rFonts w:eastAsia="Times New Roman"/>
          <w:b/>
          <w:bCs/>
          <w:rtl/>
          <w:lang w:eastAsia="de-DE"/>
        </w:rPr>
        <w:t>מוֹרִישָׁם</w:t>
      </w:r>
      <w:r w:rsidRPr="00BC555A">
        <w:rPr>
          <w:rFonts w:eastAsia="Times New Roman"/>
          <w:rtl/>
          <w:lang w:eastAsia="de-DE"/>
        </w:rPr>
        <w:t xml:space="preserve"> </w:t>
      </w:r>
      <w:r w:rsidRPr="00BC555A">
        <w:rPr>
          <w:rFonts w:eastAsia="Times New Roman"/>
          <w:lang w:eastAsia="de-DE"/>
        </w:rPr>
        <w:t xml:space="preserve">als Hifil Partizip mit Suffix, </w:t>
      </w:r>
      <w:r w:rsidRPr="00BC555A">
        <w:rPr>
          <w:rFonts w:eastAsia="Times New Roman"/>
          <w:b/>
          <w:bCs/>
          <w:rtl/>
          <w:lang w:eastAsia="de-DE"/>
        </w:rPr>
        <w:t>מִפָּנֶיךָ</w:t>
      </w:r>
      <w:r w:rsidRPr="00BC555A">
        <w:rPr>
          <w:rFonts w:eastAsia="Times New Roman"/>
          <w:rtl/>
          <w:lang w:eastAsia="de-DE"/>
        </w:rPr>
        <w:t xml:space="preserve"> </w:t>
      </w:r>
      <w:r w:rsidRPr="00BC555A">
        <w:rPr>
          <w:rFonts w:eastAsia="Times New Roman"/>
          <w:lang w:eastAsia="de-DE"/>
        </w:rPr>
        <w:t>als Herkunftsangabe.</w:t>
      </w:r>
    </w:p>
    <w:p w14:paraId="7F2216A7"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rtl/>
          <w:lang w:eastAsia="de-DE"/>
        </w:rPr>
        <w:t>וּלְמַעַן הָקִים אֶת־הַדָּבָר אֲשֶׁר נִשְׁבַּע יְהוָה לַאֲבֹתֶיךָ לְאַבְרָהָם לְיִצְחָק וּלְיַעֲקֹב</w:t>
      </w:r>
      <w:r w:rsidRPr="00BC555A">
        <w:rPr>
          <w:rFonts w:eastAsia="Times New Roman"/>
          <w:rtl/>
          <w:lang w:eastAsia="de-DE"/>
        </w:rPr>
        <w:t xml:space="preserve"> </w:t>
      </w:r>
      <w:r w:rsidRPr="00BC555A">
        <w:rPr>
          <w:rFonts w:eastAsia="Times New Roman"/>
          <w:lang w:eastAsia="de-DE"/>
        </w:rPr>
        <w:t xml:space="preserve">ist die zweite Begründung: </w:t>
      </w:r>
      <w:r w:rsidRPr="00BC555A">
        <w:rPr>
          <w:rFonts w:eastAsia="Times New Roman"/>
          <w:b/>
          <w:bCs/>
          <w:rtl/>
          <w:lang w:eastAsia="de-DE"/>
        </w:rPr>
        <w:t>וּלְמַעַן</w:t>
      </w:r>
      <w:r w:rsidRPr="00BC555A">
        <w:rPr>
          <w:rFonts w:eastAsia="Times New Roman"/>
          <w:rtl/>
          <w:lang w:eastAsia="de-DE"/>
        </w:rPr>
        <w:t xml:space="preserve"> </w:t>
      </w:r>
      <w:r w:rsidRPr="00BC555A">
        <w:rPr>
          <w:rFonts w:eastAsia="Times New Roman"/>
          <w:lang w:eastAsia="de-DE"/>
        </w:rPr>
        <w:t xml:space="preserve">(„und damit"), </w:t>
      </w:r>
      <w:r w:rsidRPr="00BC555A">
        <w:rPr>
          <w:rFonts w:eastAsia="Times New Roman"/>
          <w:b/>
          <w:bCs/>
          <w:rtl/>
          <w:lang w:eastAsia="de-DE"/>
        </w:rPr>
        <w:t>הָקִים</w:t>
      </w:r>
      <w:r w:rsidRPr="00BC555A">
        <w:rPr>
          <w:rFonts w:eastAsia="Times New Roman"/>
          <w:rtl/>
          <w:lang w:eastAsia="de-DE"/>
        </w:rPr>
        <w:t xml:space="preserve"> </w:t>
      </w:r>
      <w:r w:rsidRPr="00BC555A">
        <w:rPr>
          <w:rFonts w:eastAsia="Times New Roman"/>
          <w:lang w:eastAsia="de-DE"/>
        </w:rPr>
        <w:t xml:space="preserve">als Hifil Infinitiv Construct von </w:t>
      </w:r>
      <w:r w:rsidRPr="00BC555A">
        <w:rPr>
          <w:rFonts w:eastAsia="Times New Roman"/>
          <w:b/>
          <w:bCs/>
          <w:rtl/>
          <w:lang w:eastAsia="de-DE"/>
        </w:rPr>
        <w:t>קום</w:t>
      </w:r>
      <w:r w:rsidRPr="00BC555A">
        <w:rPr>
          <w:rFonts w:eastAsia="Times New Roman"/>
          <w:lang w:eastAsia="de-DE"/>
        </w:rPr>
        <w:t xml:space="preserve">, „aufrichten, aufrechterhalten", mit Artikel, </w:t>
      </w:r>
      <w:r w:rsidRPr="00BC555A">
        <w:rPr>
          <w:rFonts w:eastAsia="Times New Roman"/>
          <w:b/>
          <w:bCs/>
          <w:rtl/>
          <w:lang w:eastAsia="de-DE"/>
        </w:rPr>
        <w:t>אֶת־הַדָּבָר</w:t>
      </w:r>
      <w:r w:rsidRPr="00BC555A">
        <w:rPr>
          <w:rFonts w:eastAsia="Times New Roman"/>
          <w:rtl/>
          <w:lang w:eastAsia="de-DE"/>
        </w:rPr>
        <w:t xml:space="preserve"> </w:t>
      </w:r>
      <w:r w:rsidRPr="00BC555A">
        <w:rPr>
          <w:rFonts w:eastAsia="Times New Roman"/>
          <w:lang w:eastAsia="de-DE"/>
        </w:rPr>
        <w:t>als direktes Objekt (</w:t>
      </w:r>
      <w:r w:rsidRPr="00BC555A">
        <w:rPr>
          <w:rFonts w:eastAsia="Times New Roman"/>
          <w:b/>
          <w:bCs/>
          <w:rtl/>
          <w:lang w:eastAsia="de-DE"/>
        </w:rPr>
        <w:t>דָּבָר</w:t>
      </w:r>
      <w:r w:rsidRPr="00BC555A">
        <w:rPr>
          <w:rFonts w:eastAsia="Times New Roman"/>
          <w:lang w:eastAsia="de-DE"/>
        </w:rPr>
        <w:t xml:space="preserve">, „Wort, Sache"), </w:t>
      </w:r>
      <w:r w:rsidRPr="00BC555A">
        <w:rPr>
          <w:rFonts w:eastAsia="Times New Roman"/>
          <w:b/>
          <w:bCs/>
          <w:rtl/>
          <w:lang w:eastAsia="de-DE"/>
        </w:rPr>
        <w:t>אֲשֶׁר נִשְׁבַּע יְהוָה לַאֲבֹתֶיךָ</w:t>
      </w:r>
      <w:r w:rsidRPr="00BC555A">
        <w:rPr>
          <w:rFonts w:eastAsia="Times New Roman"/>
          <w:rtl/>
          <w:lang w:eastAsia="de-DE"/>
        </w:rPr>
        <w:t xml:space="preserve"> </w:t>
      </w:r>
      <w:r w:rsidRPr="00BC555A">
        <w:rPr>
          <w:rFonts w:eastAsia="Times New Roman"/>
          <w:lang w:eastAsia="de-DE"/>
        </w:rPr>
        <w:t xml:space="preserve">als Relativsatz (Nifal Perfekt von </w:t>
      </w:r>
      <w:r w:rsidRPr="00BC555A">
        <w:rPr>
          <w:rFonts w:eastAsia="Times New Roman"/>
          <w:b/>
          <w:bCs/>
          <w:rtl/>
          <w:lang w:eastAsia="de-DE"/>
        </w:rPr>
        <w:t>שׁבע</w:t>
      </w:r>
      <w:r w:rsidRPr="00BC555A">
        <w:rPr>
          <w:rFonts w:eastAsia="Times New Roman"/>
          <w:lang w:eastAsia="de-DE"/>
        </w:rPr>
        <w:t xml:space="preserve">, „schwören", </w:t>
      </w:r>
      <w:r w:rsidRPr="00BC555A">
        <w:rPr>
          <w:rFonts w:eastAsia="Times New Roman"/>
          <w:b/>
          <w:bCs/>
          <w:rtl/>
          <w:lang w:eastAsia="de-DE"/>
        </w:rPr>
        <w:t>יְהוָה</w:t>
      </w:r>
      <w:r w:rsidRPr="00BC555A">
        <w:rPr>
          <w:rFonts w:eastAsia="Times New Roman"/>
          <w:rtl/>
          <w:lang w:eastAsia="de-DE"/>
        </w:rPr>
        <w:t xml:space="preserve"> </w:t>
      </w:r>
      <w:r w:rsidRPr="00BC555A">
        <w:rPr>
          <w:rFonts w:eastAsia="Times New Roman"/>
          <w:lang w:eastAsia="de-DE"/>
        </w:rPr>
        <w:t xml:space="preserve">als Subjekt, </w:t>
      </w:r>
      <w:r w:rsidRPr="00BC555A">
        <w:rPr>
          <w:rFonts w:eastAsia="Times New Roman"/>
          <w:b/>
          <w:bCs/>
          <w:rtl/>
          <w:lang w:eastAsia="de-DE"/>
        </w:rPr>
        <w:t>לַאֲבֹתֶיךָ</w:t>
      </w:r>
      <w:r w:rsidRPr="00BC555A">
        <w:rPr>
          <w:rFonts w:eastAsia="Times New Roman"/>
          <w:rtl/>
          <w:lang w:eastAsia="de-DE"/>
        </w:rPr>
        <w:t xml:space="preserve"> </w:t>
      </w:r>
      <w:r w:rsidRPr="00BC555A">
        <w:rPr>
          <w:rFonts w:eastAsia="Times New Roman"/>
          <w:lang w:eastAsia="de-DE"/>
        </w:rPr>
        <w:t xml:space="preserve">als indirektes Objekt), </w:t>
      </w:r>
      <w:r w:rsidRPr="00BC555A">
        <w:rPr>
          <w:rFonts w:eastAsia="Times New Roman"/>
          <w:b/>
          <w:bCs/>
          <w:rtl/>
          <w:lang w:eastAsia="de-DE"/>
        </w:rPr>
        <w:t>לְאַבְרָהָם לְיִצְחָק וּלְיַעֲקֹב</w:t>
      </w:r>
      <w:r w:rsidRPr="00BC555A">
        <w:rPr>
          <w:rFonts w:eastAsia="Times New Roman"/>
          <w:rtl/>
          <w:lang w:eastAsia="de-DE"/>
        </w:rPr>
        <w:t xml:space="preserve"> </w:t>
      </w:r>
      <w:r w:rsidRPr="00BC555A">
        <w:rPr>
          <w:rFonts w:eastAsia="Times New Roman"/>
          <w:lang w:eastAsia="de-DE"/>
        </w:rPr>
        <w:t xml:space="preserve">als dreigliedrige appositionelle Entfaltung der Väter (alle drei mit </w:t>
      </w:r>
      <w:r w:rsidRPr="00BC555A">
        <w:rPr>
          <w:rFonts w:eastAsia="Times New Roman"/>
          <w:b/>
          <w:bCs/>
          <w:rtl/>
          <w:lang w:eastAsia="de-DE"/>
        </w:rPr>
        <w:t>לְ</w:t>
      </w:r>
      <w:r w:rsidRPr="00BC555A">
        <w:rPr>
          <w:rFonts w:eastAsia="Times New Roman"/>
          <w:lang w:eastAsia="de-DE"/>
        </w:rPr>
        <w:t>).</w:t>
      </w:r>
    </w:p>
    <w:p w14:paraId="59CBF728"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lang w:eastAsia="de-DE"/>
        </w:rPr>
        <w:t>Der Vers entfaltet V. 4 und nennt zwei Gründe für die Landgabe: (1) die Gottlosigkeit der Kanaaniter, (2) die Bundestreue Gottes gegenüber den Vätern. Die Negation ist verstärkt durch die doppelte kausale Bestimmung (</w:t>
      </w:r>
      <w:r w:rsidRPr="00BC555A">
        <w:rPr>
          <w:rFonts w:eastAsia="Times New Roman"/>
          <w:b/>
          <w:bCs/>
          <w:rtl/>
          <w:lang w:eastAsia="de-DE"/>
        </w:rPr>
        <w:t>בְצִדְקָתְךָ וּבְיֹשֶׁר לְבָבְךָ</w:t>
      </w:r>
      <w:r w:rsidRPr="00BC555A">
        <w:rPr>
          <w:rFonts w:eastAsia="Times New Roman"/>
          <w:lang w:eastAsia="de-DE"/>
        </w:rPr>
        <w:t xml:space="preserve">). Die explizite Nennung der drei Väter (Abraham, Isaak, Jakob) betont die Kontinuität der Verheißung. Die Formulierung </w:t>
      </w:r>
      <w:r w:rsidRPr="00BC555A">
        <w:rPr>
          <w:rFonts w:eastAsia="Times New Roman"/>
          <w:b/>
          <w:bCs/>
          <w:rtl/>
          <w:lang w:eastAsia="de-DE"/>
        </w:rPr>
        <w:t>הָקִים אֶת־הַדָּבָר</w:t>
      </w:r>
      <w:r w:rsidRPr="00BC555A">
        <w:rPr>
          <w:rFonts w:eastAsia="Times New Roman"/>
          <w:rtl/>
          <w:lang w:eastAsia="de-DE"/>
        </w:rPr>
        <w:t xml:space="preserve"> </w:t>
      </w:r>
      <w:r w:rsidRPr="00BC555A">
        <w:rPr>
          <w:rFonts w:eastAsia="Times New Roman"/>
          <w:lang w:eastAsia="de-DE"/>
        </w:rPr>
        <w:t>(„das Wort aufrechterhalten") verweist auf die Landverheißung (vgl. Gen 15,18; 26,3; 28,13).</w:t>
      </w:r>
    </w:p>
    <w:p w14:paraId="00D5A85B"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lang w:eastAsia="de-DE"/>
        </w:rPr>
        <w:t>Die Satzstruktur ist eine negative Aussage mit zweigliedriger koordinierter negierter kausaler Bestimmung und finalem Infinitiv, gefolgt von zwei Begründungen (eine adversative mit kausaler Bestimmung, eine finale mit Infinitiv, Relativsatz und dreigliedriger Apposition).</w:t>
      </w:r>
    </w:p>
    <w:p w14:paraId="1FA850FA"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lang w:eastAsia="de-DE"/>
        </w:rPr>
        <w:lastRenderedPageBreak/>
        <w:t>Der Vers entfaltet: Nicht wegen deiner Gerechtigkeit kommst du ins Land, sondern wegen der Gottlosigkeit der Nationen und um Gottes Verheißung an Abraham, Isaak und Jakob aufrechtzuerhalten.</w:t>
      </w:r>
    </w:p>
    <w:p w14:paraId="173736DA" w14:textId="77777777" w:rsidR="00BC555A" w:rsidRPr="00BC555A" w:rsidRDefault="00BC555A" w:rsidP="00BC555A">
      <w:pPr>
        <w:spacing w:before="100" w:beforeAutospacing="1" w:after="100" w:afterAutospacing="1" w:line="240" w:lineRule="auto"/>
        <w:outlineLvl w:val="1"/>
        <w:rPr>
          <w:rFonts w:eastAsia="Times New Roman"/>
          <w:b/>
          <w:bCs/>
          <w:sz w:val="36"/>
          <w:szCs w:val="36"/>
          <w:lang w:eastAsia="de-DE"/>
        </w:rPr>
      </w:pPr>
      <w:r w:rsidRPr="00BC555A">
        <w:rPr>
          <w:rFonts w:eastAsia="Times New Roman"/>
          <w:b/>
          <w:bCs/>
          <w:sz w:val="36"/>
          <w:szCs w:val="36"/>
          <w:lang w:eastAsia="de-DE"/>
        </w:rPr>
        <w:t>Deuteronomium 9,6</w:t>
      </w:r>
    </w:p>
    <w:p w14:paraId="3C4018BB"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lang w:eastAsia="de-DE"/>
        </w:rPr>
        <w:t>Hebräisch:</w:t>
      </w:r>
      <w:r w:rsidRPr="00BC555A">
        <w:rPr>
          <w:rFonts w:eastAsia="Times New Roman"/>
          <w:lang w:eastAsia="de-DE"/>
        </w:rPr>
        <w:t xml:space="preserve"> </w:t>
      </w:r>
      <w:r w:rsidRPr="00BC555A">
        <w:rPr>
          <w:rFonts w:eastAsia="Times New Roman"/>
          <w:rtl/>
          <w:lang w:eastAsia="de-DE"/>
        </w:rPr>
        <w:t>וְיָדַעְתָּ כִּי לֹא בְצִדְקָֽתְךָ יְהוָה אֱלֹהֶיךָ נֹתֵן לְךָ אֶת־הָאָרֶץ הַטּוֹבָה הַזֹּאת לְרִשְׁתָּהּ כִּי עַם־קְשֵׁה־עֹרֶף אָתָּה׃</w:t>
      </w:r>
    </w:p>
    <w:p w14:paraId="0201A3BA"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lang w:eastAsia="de-DE"/>
        </w:rPr>
        <w:t>Deutsch:</w:t>
      </w:r>
      <w:r w:rsidRPr="00BC555A">
        <w:rPr>
          <w:rFonts w:eastAsia="Times New Roman"/>
          <w:lang w:eastAsia="de-DE"/>
        </w:rPr>
        <w:t xml:space="preserve"> So wisse denn, dass nicht um deiner Gerechtigkeit willen der Ewige, dein Gott, dir dieses gute Land gibt, es in Besitz zu nehmen; denn ein hartnäckiges Volk bist du.</w:t>
      </w:r>
    </w:p>
    <w:p w14:paraId="13F2D404" w14:textId="77777777" w:rsidR="00BC555A" w:rsidRPr="00BC555A" w:rsidRDefault="004F5CEB" w:rsidP="00BC555A">
      <w:pPr>
        <w:spacing w:after="0" w:line="240" w:lineRule="auto"/>
        <w:rPr>
          <w:rFonts w:eastAsia="Times New Roman"/>
          <w:lang w:eastAsia="de-DE"/>
        </w:rPr>
      </w:pPr>
      <w:r>
        <w:rPr>
          <w:rFonts w:eastAsia="Times New Roman"/>
          <w:noProof/>
          <w:lang w:eastAsia="de-DE"/>
        </w:rPr>
        <w:pict w14:anchorId="257AFA6A">
          <v:rect id="_x0000_i1295" style="width:0;height:1.5pt" o:hralign="center" o:hrstd="t" o:hr="t" fillcolor="#a0a0a0" stroked="f"/>
        </w:pict>
      </w:r>
    </w:p>
    <w:p w14:paraId="65BC4ED5"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lang w:eastAsia="de-DE"/>
        </w:rPr>
        <w:t>Kommentar:</w:t>
      </w:r>
      <w:r w:rsidRPr="00BC555A">
        <w:rPr>
          <w:rFonts w:eastAsia="Times New Roman"/>
          <w:lang w:eastAsia="de-DE"/>
        </w:rPr>
        <w:t xml:space="preserve"> </w:t>
      </w:r>
      <w:r w:rsidRPr="00BC555A">
        <w:rPr>
          <w:rFonts w:eastAsia="Times New Roman"/>
          <w:b/>
          <w:bCs/>
          <w:rtl/>
          <w:lang w:eastAsia="de-DE"/>
        </w:rPr>
        <w:t>וְיָדַעְתָּ</w:t>
      </w:r>
      <w:r w:rsidRPr="00BC555A">
        <w:rPr>
          <w:rFonts w:eastAsia="Times New Roman"/>
          <w:rtl/>
          <w:lang w:eastAsia="de-DE"/>
        </w:rPr>
        <w:t xml:space="preserve"> </w:t>
      </w:r>
      <w:r w:rsidRPr="00BC555A">
        <w:rPr>
          <w:rFonts w:eastAsia="Times New Roman"/>
          <w:lang w:eastAsia="de-DE"/>
        </w:rPr>
        <w:t xml:space="preserve">ist Qal Perfekt consecutivum, 2. Person Singular maskulin von </w:t>
      </w:r>
      <w:r w:rsidRPr="00BC555A">
        <w:rPr>
          <w:rFonts w:eastAsia="Times New Roman"/>
          <w:b/>
          <w:bCs/>
          <w:rtl/>
          <w:lang w:eastAsia="de-DE"/>
        </w:rPr>
        <w:t>ידע</w:t>
      </w:r>
      <w:r w:rsidRPr="00BC555A">
        <w:rPr>
          <w:rFonts w:eastAsia="Times New Roman"/>
          <w:lang w:eastAsia="de-DE"/>
        </w:rPr>
        <w:t xml:space="preserve">, „erkennen, wissen", mit </w:t>
      </w:r>
      <w:r w:rsidRPr="00BC555A">
        <w:rPr>
          <w:rFonts w:eastAsia="Times New Roman"/>
          <w:b/>
          <w:bCs/>
          <w:rtl/>
          <w:lang w:eastAsia="de-DE"/>
        </w:rPr>
        <w:t>וְ</w:t>
      </w:r>
      <w:r w:rsidRPr="00BC555A">
        <w:rPr>
          <w:rFonts w:eastAsia="Times New Roman"/>
          <w:rtl/>
          <w:lang w:eastAsia="de-DE"/>
        </w:rPr>
        <w:t xml:space="preserve"> </w:t>
      </w:r>
      <w:r w:rsidRPr="00BC555A">
        <w:rPr>
          <w:rFonts w:eastAsia="Times New Roman"/>
          <w:lang w:eastAsia="de-DE"/>
        </w:rPr>
        <w:t>– in imperativischer Funktion.</w:t>
      </w:r>
    </w:p>
    <w:p w14:paraId="042926C3"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rtl/>
          <w:lang w:eastAsia="de-DE"/>
        </w:rPr>
        <w:t>כִּי לֹא בְצִדְקָֽתְךָ יְהוָה אֱלֹהֶיךָ נֹתֵן לְךָ אֶת־הָאָרֶץ הַטּוֹבָה הַזֹּאת לְרִשְׁתָּהּ</w:t>
      </w:r>
      <w:r w:rsidRPr="00BC555A">
        <w:rPr>
          <w:rFonts w:eastAsia="Times New Roman"/>
          <w:rtl/>
          <w:lang w:eastAsia="de-DE"/>
        </w:rPr>
        <w:t xml:space="preserve"> </w:t>
      </w:r>
      <w:r w:rsidRPr="00BC555A">
        <w:rPr>
          <w:rFonts w:eastAsia="Times New Roman"/>
          <w:lang w:eastAsia="de-DE"/>
        </w:rPr>
        <w:t xml:space="preserve">ist ein </w:t>
      </w:r>
      <w:r w:rsidRPr="00BC555A">
        <w:rPr>
          <w:rFonts w:eastAsia="Times New Roman"/>
          <w:b/>
          <w:bCs/>
          <w:rtl/>
          <w:lang w:eastAsia="de-DE"/>
        </w:rPr>
        <w:t>כִּי</w:t>
      </w:r>
      <w:r w:rsidRPr="00BC555A">
        <w:rPr>
          <w:rFonts w:eastAsia="Times New Roman"/>
          <w:lang w:eastAsia="de-DE"/>
        </w:rPr>
        <w:t xml:space="preserve">-Objektsatz: </w:t>
      </w:r>
      <w:r w:rsidRPr="00BC555A">
        <w:rPr>
          <w:rFonts w:eastAsia="Times New Roman"/>
          <w:b/>
          <w:bCs/>
          <w:rtl/>
          <w:lang w:eastAsia="de-DE"/>
        </w:rPr>
        <w:t>כִּי</w:t>
      </w:r>
      <w:r w:rsidRPr="00BC555A">
        <w:rPr>
          <w:rFonts w:eastAsia="Times New Roman"/>
          <w:rtl/>
          <w:lang w:eastAsia="de-DE"/>
        </w:rPr>
        <w:t xml:space="preserve"> </w:t>
      </w:r>
      <w:r w:rsidRPr="00BC555A">
        <w:rPr>
          <w:rFonts w:eastAsia="Times New Roman"/>
          <w:lang w:eastAsia="de-DE"/>
        </w:rPr>
        <w:t xml:space="preserve">als Konjunktion („dass"), </w:t>
      </w:r>
      <w:r w:rsidRPr="00BC555A">
        <w:rPr>
          <w:rFonts w:eastAsia="Times New Roman"/>
          <w:b/>
          <w:bCs/>
          <w:rtl/>
          <w:lang w:eastAsia="de-DE"/>
        </w:rPr>
        <w:t>לֹא בְצִדְקָֽתְךָ</w:t>
      </w:r>
      <w:r w:rsidRPr="00BC555A">
        <w:rPr>
          <w:rFonts w:eastAsia="Times New Roman"/>
          <w:rtl/>
          <w:lang w:eastAsia="de-DE"/>
        </w:rPr>
        <w:t xml:space="preserve"> </w:t>
      </w:r>
      <w:r w:rsidRPr="00BC555A">
        <w:rPr>
          <w:rFonts w:eastAsia="Times New Roman"/>
          <w:lang w:eastAsia="de-DE"/>
        </w:rPr>
        <w:t xml:space="preserve">als negierte kausale Bestimmung (wie V. 5), </w:t>
      </w:r>
      <w:r w:rsidRPr="00BC555A">
        <w:rPr>
          <w:rFonts w:eastAsia="Times New Roman"/>
          <w:b/>
          <w:bCs/>
          <w:rtl/>
          <w:lang w:eastAsia="de-DE"/>
        </w:rPr>
        <w:t>יְהוָה אֱלֹהֶיךָ</w:t>
      </w:r>
      <w:r w:rsidRPr="00BC555A">
        <w:rPr>
          <w:rFonts w:eastAsia="Times New Roman"/>
          <w:rtl/>
          <w:lang w:eastAsia="de-DE"/>
        </w:rPr>
        <w:t xml:space="preserve"> </w:t>
      </w:r>
      <w:r w:rsidRPr="00BC555A">
        <w:rPr>
          <w:rFonts w:eastAsia="Times New Roman"/>
          <w:lang w:eastAsia="de-DE"/>
        </w:rPr>
        <w:t xml:space="preserve">als erweitertes Subjekt, </w:t>
      </w:r>
      <w:r w:rsidRPr="00BC555A">
        <w:rPr>
          <w:rFonts w:eastAsia="Times New Roman"/>
          <w:b/>
          <w:bCs/>
          <w:rtl/>
          <w:lang w:eastAsia="de-DE"/>
        </w:rPr>
        <w:t>נֹתֵן</w:t>
      </w:r>
      <w:r w:rsidRPr="00BC555A">
        <w:rPr>
          <w:rFonts w:eastAsia="Times New Roman"/>
          <w:rtl/>
          <w:lang w:eastAsia="de-DE"/>
        </w:rPr>
        <w:t xml:space="preserve"> </w:t>
      </w:r>
      <w:r w:rsidRPr="00BC555A">
        <w:rPr>
          <w:rFonts w:eastAsia="Times New Roman"/>
          <w:lang w:eastAsia="de-DE"/>
        </w:rPr>
        <w:t xml:space="preserve">als Qal Partizip Singular maskulin von </w:t>
      </w:r>
      <w:r w:rsidRPr="00BC555A">
        <w:rPr>
          <w:rFonts w:eastAsia="Times New Roman"/>
          <w:b/>
          <w:bCs/>
          <w:rtl/>
          <w:lang w:eastAsia="de-DE"/>
        </w:rPr>
        <w:t>נתן</w:t>
      </w:r>
      <w:r w:rsidRPr="00BC555A">
        <w:rPr>
          <w:rFonts w:eastAsia="Times New Roman"/>
          <w:lang w:eastAsia="de-DE"/>
        </w:rPr>
        <w:t xml:space="preserve">, „geben", </w:t>
      </w:r>
      <w:r w:rsidRPr="00BC555A">
        <w:rPr>
          <w:rFonts w:eastAsia="Times New Roman"/>
          <w:b/>
          <w:bCs/>
          <w:rtl/>
          <w:lang w:eastAsia="de-DE"/>
        </w:rPr>
        <w:t>לְךָ</w:t>
      </w:r>
      <w:r w:rsidRPr="00BC555A">
        <w:rPr>
          <w:rFonts w:eastAsia="Times New Roman"/>
          <w:rtl/>
          <w:lang w:eastAsia="de-DE"/>
        </w:rPr>
        <w:t xml:space="preserve"> </w:t>
      </w:r>
      <w:r w:rsidRPr="00BC555A">
        <w:rPr>
          <w:rFonts w:eastAsia="Times New Roman"/>
          <w:lang w:eastAsia="de-DE"/>
        </w:rPr>
        <w:t xml:space="preserve">als indirektes Objekt, </w:t>
      </w:r>
      <w:r w:rsidRPr="00BC555A">
        <w:rPr>
          <w:rFonts w:eastAsia="Times New Roman"/>
          <w:b/>
          <w:bCs/>
          <w:rtl/>
          <w:lang w:eastAsia="de-DE"/>
        </w:rPr>
        <w:t>אֶת־הָאָרֶץ הַטּוֹבָה הַזֹּאת</w:t>
      </w:r>
      <w:r w:rsidRPr="00BC555A">
        <w:rPr>
          <w:rFonts w:eastAsia="Times New Roman"/>
          <w:rtl/>
          <w:lang w:eastAsia="de-DE"/>
        </w:rPr>
        <w:t xml:space="preserve"> </w:t>
      </w:r>
      <w:r w:rsidRPr="00BC555A">
        <w:rPr>
          <w:rFonts w:eastAsia="Times New Roman"/>
          <w:lang w:eastAsia="de-DE"/>
        </w:rPr>
        <w:t xml:space="preserve">als direktes Objekt (mit zwei Attributen: Adjektiv </w:t>
      </w:r>
      <w:r w:rsidRPr="00BC555A">
        <w:rPr>
          <w:rFonts w:eastAsia="Times New Roman"/>
          <w:b/>
          <w:bCs/>
          <w:rtl/>
          <w:lang w:eastAsia="de-DE"/>
        </w:rPr>
        <w:t>הַטּוֹבָה</w:t>
      </w:r>
      <w:r w:rsidRPr="00BC555A">
        <w:rPr>
          <w:rFonts w:eastAsia="Times New Roman"/>
          <w:rtl/>
          <w:lang w:eastAsia="de-DE"/>
        </w:rPr>
        <w:t xml:space="preserve"> </w:t>
      </w:r>
      <w:r w:rsidRPr="00BC555A">
        <w:rPr>
          <w:rFonts w:eastAsia="Times New Roman"/>
          <w:lang w:eastAsia="de-DE"/>
        </w:rPr>
        <w:t xml:space="preserve">und Demonstrativpronomen </w:t>
      </w:r>
      <w:r w:rsidRPr="00BC555A">
        <w:rPr>
          <w:rFonts w:eastAsia="Times New Roman"/>
          <w:b/>
          <w:bCs/>
          <w:rtl/>
          <w:lang w:eastAsia="de-DE"/>
        </w:rPr>
        <w:t>הַזֹּאת</w:t>
      </w:r>
      <w:r w:rsidRPr="00BC555A">
        <w:rPr>
          <w:rFonts w:eastAsia="Times New Roman"/>
          <w:lang w:eastAsia="de-DE"/>
        </w:rPr>
        <w:t xml:space="preserve">), </w:t>
      </w:r>
      <w:r w:rsidRPr="00BC555A">
        <w:rPr>
          <w:rFonts w:eastAsia="Times New Roman"/>
          <w:b/>
          <w:bCs/>
          <w:rtl/>
          <w:lang w:eastAsia="de-DE"/>
        </w:rPr>
        <w:t>לְרִשְׁתָּהּ</w:t>
      </w:r>
      <w:r w:rsidRPr="00BC555A">
        <w:rPr>
          <w:rFonts w:eastAsia="Times New Roman"/>
          <w:rtl/>
          <w:lang w:eastAsia="de-DE"/>
        </w:rPr>
        <w:t xml:space="preserve"> </w:t>
      </w:r>
      <w:r w:rsidRPr="00BC555A">
        <w:rPr>
          <w:rFonts w:eastAsia="Times New Roman"/>
          <w:lang w:eastAsia="de-DE"/>
        </w:rPr>
        <w:t xml:space="preserve">als finaler Infinitiv (Qal Infinitiv Construct von </w:t>
      </w:r>
      <w:r w:rsidRPr="00BC555A">
        <w:rPr>
          <w:rFonts w:eastAsia="Times New Roman"/>
          <w:b/>
          <w:bCs/>
          <w:rtl/>
          <w:lang w:eastAsia="de-DE"/>
        </w:rPr>
        <w:t>ירשׁ</w:t>
      </w:r>
      <w:r w:rsidRPr="00BC555A">
        <w:rPr>
          <w:rFonts w:eastAsia="Times New Roman"/>
          <w:rtl/>
          <w:lang w:eastAsia="de-DE"/>
        </w:rPr>
        <w:t xml:space="preserve"> </w:t>
      </w:r>
      <w:r w:rsidRPr="00BC555A">
        <w:rPr>
          <w:rFonts w:eastAsia="Times New Roman"/>
          <w:lang w:eastAsia="de-DE"/>
        </w:rPr>
        <w:t xml:space="preserve">mit </w:t>
      </w:r>
      <w:r w:rsidRPr="00BC555A">
        <w:rPr>
          <w:rFonts w:eastAsia="Times New Roman"/>
          <w:b/>
          <w:bCs/>
          <w:rtl/>
          <w:lang w:eastAsia="de-DE"/>
        </w:rPr>
        <w:t>לְ</w:t>
      </w:r>
      <w:r w:rsidRPr="00BC555A">
        <w:rPr>
          <w:rFonts w:eastAsia="Times New Roman"/>
          <w:rtl/>
          <w:lang w:eastAsia="de-DE"/>
        </w:rPr>
        <w:t xml:space="preserve"> </w:t>
      </w:r>
      <w:r w:rsidRPr="00BC555A">
        <w:rPr>
          <w:rFonts w:eastAsia="Times New Roman"/>
          <w:lang w:eastAsia="de-DE"/>
        </w:rPr>
        <w:t>und Suffix 3. Person Singular feminin – „um es in Besitz zu nehmen").</w:t>
      </w:r>
    </w:p>
    <w:p w14:paraId="39C0B11A" w14:textId="57F9E623"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rtl/>
          <w:lang w:eastAsia="de-DE"/>
        </w:rPr>
        <w:t>כִּי עַם־קְשֵׁה־עֹרֶף אָתָּה</w:t>
      </w:r>
      <w:r w:rsidRPr="00BC555A">
        <w:rPr>
          <w:rFonts w:eastAsia="Times New Roman"/>
          <w:rtl/>
          <w:lang w:eastAsia="de-DE"/>
        </w:rPr>
        <w:t xml:space="preserve"> </w:t>
      </w:r>
      <w:r w:rsidRPr="00BC555A">
        <w:rPr>
          <w:rFonts w:eastAsia="Times New Roman"/>
          <w:lang w:eastAsia="de-DE"/>
        </w:rPr>
        <w:t xml:space="preserve">ist ein kausaler nominaler Satz: </w:t>
      </w:r>
      <w:r w:rsidRPr="00BC555A">
        <w:rPr>
          <w:rFonts w:eastAsia="Times New Roman"/>
          <w:b/>
          <w:bCs/>
          <w:rtl/>
          <w:lang w:eastAsia="de-DE"/>
        </w:rPr>
        <w:t>כִּי</w:t>
      </w:r>
      <w:r w:rsidRPr="00BC555A">
        <w:rPr>
          <w:rFonts w:eastAsia="Times New Roman"/>
          <w:rtl/>
          <w:lang w:eastAsia="de-DE"/>
        </w:rPr>
        <w:t xml:space="preserve"> </w:t>
      </w:r>
      <w:r w:rsidRPr="00BC555A">
        <w:rPr>
          <w:rFonts w:eastAsia="Times New Roman"/>
          <w:lang w:eastAsia="de-DE"/>
        </w:rPr>
        <w:t xml:space="preserve">als Konjunktion („denn"), </w:t>
      </w:r>
      <w:r w:rsidRPr="00BC555A">
        <w:rPr>
          <w:rFonts w:eastAsia="Times New Roman"/>
          <w:b/>
          <w:bCs/>
          <w:rtl/>
          <w:lang w:eastAsia="de-DE"/>
        </w:rPr>
        <w:t>עַם־קְשֵׁה־עֹרֶף</w:t>
      </w:r>
      <w:r w:rsidRPr="00BC555A">
        <w:rPr>
          <w:rFonts w:eastAsia="Times New Roman"/>
          <w:rtl/>
          <w:lang w:eastAsia="de-DE"/>
        </w:rPr>
        <w:t xml:space="preserve"> </w:t>
      </w:r>
      <w:r w:rsidRPr="00BC555A">
        <w:rPr>
          <w:rFonts w:eastAsia="Times New Roman"/>
          <w:lang w:eastAsia="de-DE"/>
        </w:rPr>
        <w:t xml:space="preserve">als Prädikatsnomen (mit zwei </w:t>
      </w:r>
      <w:r w:rsidR="00D84597">
        <w:rPr>
          <w:rFonts w:eastAsia="Times New Roman"/>
          <w:lang w:eastAsia="de-DE"/>
        </w:rPr>
        <w:t>Maqqef</w:t>
      </w:r>
      <w:r w:rsidRPr="00BC555A">
        <w:rPr>
          <w:rFonts w:eastAsia="Times New Roman"/>
          <w:lang w:eastAsia="de-DE"/>
        </w:rPr>
        <w:t xml:space="preserve">-Verbindungen: </w:t>
      </w:r>
      <w:r w:rsidRPr="00BC555A">
        <w:rPr>
          <w:rFonts w:eastAsia="Times New Roman"/>
          <w:b/>
          <w:bCs/>
          <w:rtl/>
          <w:lang w:eastAsia="de-DE"/>
        </w:rPr>
        <w:t>עַם</w:t>
      </w:r>
      <w:r w:rsidRPr="00BC555A">
        <w:rPr>
          <w:rFonts w:eastAsia="Times New Roman"/>
          <w:lang w:eastAsia="de-DE"/>
        </w:rPr>
        <w:t xml:space="preserve">, „Volk", </w:t>
      </w:r>
      <w:r w:rsidRPr="00BC555A">
        <w:rPr>
          <w:rFonts w:eastAsia="Times New Roman"/>
          <w:b/>
          <w:bCs/>
          <w:rtl/>
          <w:lang w:eastAsia="de-DE"/>
        </w:rPr>
        <w:t>קְשֵׁה</w:t>
      </w:r>
      <w:r w:rsidRPr="00BC555A">
        <w:rPr>
          <w:rFonts w:eastAsia="Times New Roman"/>
          <w:lang w:eastAsia="de-DE"/>
        </w:rPr>
        <w:t xml:space="preserve">, „hart, störrisch" – Qal Adjektiv von </w:t>
      </w:r>
      <w:r w:rsidRPr="00BC555A">
        <w:rPr>
          <w:rFonts w:eastAsia="Times New Roman"/>
          <w:b/>
          <w:bCs/>
          <w:rtl/>
          <w:lang w:eastAsia="de-DE"/>
        </w:rPr>
        <w:t>קשׁה</w:t>
      </w:r>
      <w:r w:rsidRPr="00BC555A">
        <w:rPr>
          <w:rFonts w:eastAsia="Times New Roman"/>
          <w:lang w:eastAsia="de-DE"/>
        </w:rPr>
        <w:t xml:space="preserve">, </w:t>
      </w:r>
      <w:r w:rsidRPr="00BC555A">
        <w:rPr>
          <w:rFonts w:eastAsia="Times New Roman"/>
          <w:b/>
          <w:bCs/>
          <w:rtl/>
          <w:lang w:eastAsia="de-DE"/>
        </w:rPr>
        <w:t>עֹרֶף</w:t>
      </w:r>
      <w:r w:rsidRPr="00BC555A">
        <w:rPr>
          <w:rFonts w:eastAsia="Times New Roman"/>
          <w:lang w:eastAsia="de-DE"/>
        </w:rPr>
        <w:t xml:space="preserve">, „Nacken" – idiomatisch „hartnäckig, störrisch, halsstarrig"), </w:t>
      </w:r>
      <w:r w:rsidRPr="00BC555A">
        <w:rPr>
          <w:rFonts w:eastAsia="Times New Roman"/>
          <w:b/>
          <w:bCs/>
          <w:rtl/>
          <w:lang w:eastAsia="de-DE"/>
        </w:rPr>
        <w:t>אָתָּה</w:t>
      </w:r>
      <w:r w:rsidRPr="00BC555A">
        <w:rPr>
          <w:rFonts w:eastAsia="Times New Roman"/>
          <w:rtl/>
          <w:lang w:eastAsia="de-DE"/>
        </w:rPr>
        <w:t xml:space="preserve"> </w:t>
      </w:r>
      <w:r w:rsidRPr="00BC555A">
        <w:rPr>
          <w:rFonts w:eastAsia="Times New Roman"/>
          <w:lang w:eastAsia="de-DE"/>
        </w:rPr>
        <w:t>als Subjekt.</w:t>
      </w:r>
    </w:p>
    <w:p w14:paraId="3056F702"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lang w:eastAsia="de-DE"/>
        </w:rPr>
        <w:t xml:space="preserve">Der Vers fasst V. 4-5 zusammen und betont nochmals: Die Landgabe ist nicht Lohn für Israels Gerechtigkeit. Die Begründung ist drastisch: Israel ist ein </w:t>
      </w:r>
      <w:r w:rsidRPr="00BC555A">
        <w:rPr>
          <w:rFonts w:eastAsia="Times New Roman"/>
          <w:b/>
          <w:bCs/>
          <w:rtl/>
          <w:lang w:eastAsia="de-DE"/>
        </w:rPr>
        <w:t>עַם־קְשֵׁה־עֹרֶף</w:t>
      </w:r>
      <w:r w:rsidRPr="00BC555A">
        <w:rPr>
          <w:rFonts w:eastAsia="Times New Roman"/>
          <w:rtl/>
          <w:lang w:eastAsia="de-DE"/>
        </w:rPr>
        <w:t xml:space="preserve"> </w:t>
      </w:r>
      <w:r w:rsidRPr="00BC555A">
        <w:rPr>
          <w:rFonts w:eastAsia="Times New Roman"/>
          <w:lang w:eastAsia="de-DE"/>
        </w:rPr>
        <w:t xml:space="preserve">(„hartnäckiges Volk" – wörtlich „Volk mit hartem Nacken"). Diese Charakterisierung Israels durchzieht das Deuteronomium (vgl. 10,16; 31,27; Ex 32,9; 33,3.5; 34,9). Die Metapher des harten Nackens stammt aus der Landwirtschaft: ein störrisches Tier, das sich nicht lenken lässt. Die Bezeichnung </w:t>
      </w:r>
      <w:r w:rsidRPr="00BC555A">
        <w:rPr>
          <w:rFonts w:eastAsia="Times New Roman"/>
          <w:b/>
          <w:bCs/>
          <w:rtl/>
          <w:lang w:eastAsia="de-DE"/>
        </w:rPr>
        <w:t>הָאָרֶץ הַטּוֹבָה</w:t>
      </w:r>
      <w:r w:rsidRPr="00BC555A">
        <w:rPr>
          <w:rFonts w:eastAsia="Times New Roman"/>
          <w:rtl/>
          <w:lang w:eastAsia="de-DE"/>
        </w:rPr>
        <w:t xml:space="preserve"> </w:t>
      </w:r>
      <w:r w:rsidRPr="00BC555A">
        <w:rPr>
          <w:rFonts w:eastAsia="Times New Roman"/>
          <w:lang w:eastAsia="de-DE"/>
        </w:rPr>
        <w:t>(„das gute Land") greift 8,7.10 auf.</w:t>
      </w:r>
    </w:p>
    <w:p w14:paraId="134EC2EC"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lang w:eastAsia="de-DE"/>
        </w:rPr>
        <w:t xml:space="preserve">Die Satzstruktur ist ein imperativisches Perfekt consecutivum, gefolgt von einem </w:t>
      </w:r>
      <w:r w:rsidRPr="00BC555A">
        <w:rPr>
          <w:rFonts w:eastAsia="Times New Roman"/>
          <w:b/>
          <w:bCs/>
          <w:rtl/>
          <w:lang w:eastAsia="de-DE"/>
        </w:rPr>
        <w:t>כִּי</w:t>
      </w:r>
      <w:r w:rsidRPr="00BC555A">
        <w:rPr>
          <w:rFonts w:eastAsia="Times New Roman"/>
          <w:lang w:eastAsia="de-DE"/>
        </w:rPr>
        <w:t>-Objektsatz (mit negierter kausaler Bestimmung, partizipialem Prädikat und finalem Infinitiv) und einem kausalen nominalen Satz mit idiomatischem Prädikatsnomen.</w:t>
      </w:r>
    </w:p>
    <w:p w14:paraId="4F989E3E"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lang w:eastAsia="de-DE"/>
        </w:rPr>
        <w:t>Der Vers fasst zusammen: Wisse, dass JHWH dir das gute Land nicht wegen deiner Gerechtigkeit gibt, sondern trotz deiner Halsstarrigkeit – denn ein hartnäckiges Volk bist du!</w:t>
      </w:r>
    </w:p>
    <w:p w14:paraId="2CFB8771" w14:textId="77777777" w:rsidR="00BC555A" w:rsidRPr="00BC555A" w:rsidRDefault="00BC555A" w:rsidP="00BC555A">
      <w:pPr>
        <w:spacing w:before="100" w:beforeAutospacing="1" w:after="100" w:afterAutospacing="1" w:line="240" w:lineRule="auto"/>
        <w:outlineLvl w:val="1"/>
        <w:rPr>
          <w:rFonts w:eastAsia="Times New Roman"/>
          <w:b/>
          <w:bCs/>
          <w:sz w:val="36"/>
          <w:szCs w:val="36"/>
          <w:lang w:eastAsia="de-DE"/>
        </w:rPr>
      </w:pPr>
      <w:r w:rsidRPr="00BC555A">
        <w:rPr>
          <w:rFonts w:eastAsia="Times New Roman"/>
          <w:b/>
          <w:bCs/>
          <w:sz w:val="36"/>
          <w:szCs w:val="36"/>
          <w:lang w:eastAsia="de-DE"/>
        </w:rPr>
        <w:t>Deuteronomium 9,7</w:t>
      </w:r>
    </w:p>
    <w:p w14:paraId="4887C880"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lang w:eastAsia="de-DE"/>
        </w:rPr>
        <w:t>Hebräisch:</w:t>
      </w:r>
      <w:r w:rsidRPr="00BC555A">
        <w:rPr>
          <w:rFonts w:eastAsia="Times New Roman"/>
          <w:lang w:eastAsia="de-DE"/>
        </w:rPr>
        <w:t xml:space="preserve"> </w:t>
      </w:r>
      <w:r w:rsidRPr="00BC555A">
        <w:rPr>
          <w:rFonts w:eastAsia="Times New Roman"/>
          <w:rtl/>
          <w:lang w:eastAsia="de-DE"/>
        </w:rPr>
        <w:t>זְכֹר אַל־תִּשְׁכַּח אֵת אֲשֶׁר־הִקְצַפְתָּ אֶת־יְהוָה אֱלֹהֶיךָ בַּמִּדְבָּר לְמִן־הַיּוֹם אֲשֶׁר־יָצָאתָ מֵאֶרֶץ מִצְרַיִם עַד־בֹּֽאֲכֶם עַד־הַמָּקוֹם הַזֶּה מַמְרִים הֱיִיתֶם עִם־יְהוָֽה׃</w:t>
      </w:r>
    </w:p>
    <w:p w14:paraId="1C23B729"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lang w:eastAsia="de-DE"/>
        </w:rPr>
        <w:lastRenderedPageBreak/>
        <w:t>Deutsch:</w:t>
      </w:r>
      <w:r w:rsidRPr="00BC555A">
        <w:rPr>
          <w:rFonts w:eastAsia="Times New Roman"/>
          <w:lang w:eastAsia="de-DE"/>
        </w:rPr>
        <w:t xml:space="preserve"> Gedenke, vergiss nicht, wie du den Ewigen, deinen Gott, in der Wüste erzürnt hast! Von dem Tag an, da du aus dem Land Mizrajim herausgezogen bist, bis ihr an diesen Ort kamt, seid ihr widerspenstig gegen den Ewigen gewesen.</w:t>
      </w:r>
    </w:p>
    <w:p w14:paraId="21365F83" w14:textId="77777777" w:rsidR="00BC555A" w:rsidRPr="00BC555A" w:rsidRDefault="004F5CEB" w:rsidP="00BC555A">
      <w:pPr>
        <w:spacing w:after="0" w:line="240" w:lineRule="auto"/>
        <w:rPr>
          <w:rFonts w:eastAsia="Times New Roman"/>
          <w:lang w:eastAsia="de-DE"/>
        </w:rPr>
      </w:pPr>
      <w:r>
        <w:rPr>
          <w:rFonts w:eastAsia="Times New Roman"/>
          <w:noProof/>
          <w:lang w:eastAsia="de-DE"/>
        </w:rPr>
        <w:pict w14:anchorId="79E577DD">
          <v:rect id="_x0000_i1296" style="width:0;height:1.5pt" o:hralign="center" o:hrstd="t" o:hr="t" fillcolor="#a0a0a0" stroked="f"/>
        </w:pict>
      </w:r>
    </w:p>
    <w:p w14:paraId="3DFAE03C"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lang w:eastAsia="de-DE"/>
        </w:rPr>
        <w:t>Kommentar:</w:t>
      </w:r>
      <w:r w:rsidRPr="00BC555A">
        <w:rPr>
          <w:rFonts w:eastAsia="Times New Roman"/>
          <w:lang w:eastAsia="de-DE"/>
        </w:rPr>
        <w:t xml:space="preserve"> </w:t>
      </w:r>
      <w:r w:rsidRPr="00BC555A">
        <w:rPr>
          <w:rFonts w:eastAsia="Times New Roman"/>
          <w:b/>
          <w:bCs/>
          <w:rtl/>
          <w:lang w:eastAsia="de-DE"/>
        </w:rPr>
        <w:t>זְכֹר אַל־תִּשְׁכַּח</w:t>
      </w:r>
      <w:r w:rsidRPr="00BC555A">
        <w:rPr>
          <w:rFonts w:eastAsia="Times New Roman"/>
          <w:rtl/>
          <w:lang w:eastAsia="de-DE"/>
        </w:rPr>
        <w:t xml:space="preserve"> </w:t>
      </w:r>
      <w:r w:rsidRPr="00BC555A">
        <w:rPr>
          <w:rFonts w:eastAsia="Times New Roman"/>
          <w:lang w:eastAsia="de-DE"/>
        </w:rPr>
        <w:t xml:space="preserve">ist eine doppelte imperative Konstruktion: </w:t>
      </w:r>
      <w:r w:rsidRPr="00BC555A">
        <w:rPr>
          <w:rFonts w:eastAsia="Times New Roman"/>
          <w:b/>
          <w:bCs/>
          <w:rtl/>
          <w:lang w:eastAsia="de-DE"/>
        </w:rPr>
        <w:t>זְכֹר</w:t>
      </w:r>
      <w:r w:rsidRPr="00BC555A">
        <w:rPr>
          <w:rFonts w:eastAsia="Times New Roman"/>
          <w:rtl/>
          <w:lang w:eastAsia="de-DE"/>
        </w:rPr>
        <w:t xml:space="preserve"> </w:t>
      </w:r>
      <w:r w:rsidRPr="00BC555A">
        <w:rPr>
          <w:rFonts w:eastAsia="Times New Roman"/>
          <w:lang w:eastAsia="de-DE"/>
        </w:rPr>
        <w:t xml:space="preserve">als Qal Imperativ, 2. Person Singular maskulin von </w:t>
      </w:r>
      <w:r w:rsidRPr="00BC555A">
        <w:rPr>
          <w:rFonts w:eastAsia="Times New Roman"/>
          <w:b/>
          <w:bCs/>
          <w:rtl/>
          <w:lang w:eastAsia="de-DE"/>
        </w:rPr>
        <w:t>זכר</w:t>
      </w:r>
      <w:r w:rsidRPr="00BC555A">
        <w:rPr>
          <w:rFonts w:eastAsia="Times New Roman"/>
          <w:lang w:eastAsia="de-DE"/>
        </w:rPr>
        <w:t xml:space="preserve">, „gedenken, erinnern", </w:t>
      </w:r>
      <w:r w:rsidRPr="00BC555A">
        <w:rPr>
          <w:rFonts w:eastAsia="Times New Roman"/>
          <w:b/>
          <w:bCs/>
          <w:rtl/>
          <w:lang w:eastAsia="de-DE"/>
        </w:rPr>
        <w:t>אַל־תִּשְׁכַּח</w:t>
      </w:r>
      <w:r w:rsidRPr="00BC555A">
        <w:rPr>
          <w:rFonts w:eastAsia="Times New Roman"/>
          <w:rtl/>
          <w:lang w:eastAsia="de-DE"/>
        </w:rPr>
        <w:t xml:space="preserve"> </w:t>
      </w:r>
      <w:r w:rsidRPr="00BC555A">
        <w:rPr>
          <w:rFonts w:eastAsia="Times New Roman"/>
          <w:lang w:eastAsia="de-DE"/>
        </w:rPr>
        <w:t xml:space="preserve">als prohibitiver Satz (Qal Imperfekt, 2. Person Singular maskulin von </w:t>
      </w:r>
      <w:r w:rsidRPr="00BC555A">
        <w:rPr>
          <w:rFonts w:eastAsia="Times New Roman"/>
          <w:b/>
          <w:bCs/>
          <w:rtl/>
          <w:lang w:eastAsia="de-DE"/>
        </w:rPr>
        <w:t>שׁכח</w:t>
      </w:r>
      <w:r w:rsidRPr="00BC555A">
        <w:rPr>
          <w:rFonts w:eastAsia="Times New Roman"/>
          <w:lang w:eastAsia="de-DE"/>
        </w:rPr>
        <w:t xml:space="preserve">, „vergessen", mit Negation </w:t>
      </w:r>
      <w:r w:rsidRPr="00BC555A">
        <w:rPr>
          <w:rFonts w:eastAsia="Times New Roman"/>
          <w:b/>
          <w:bCs/>
          <w:rtl/>
          <w:lang w:eastAsia="de-DE"/>
        </w:rPr>
        <w:t>אַל</w:t>
      </w:r>
      <w:r w:rsidRPr="00BC555A">
        <w:rPr>
          <w:rFonts w:eastAsia="Times New Roman"/>
          <w:lang w:eastAsia="de-DE"/>
        </w:rPr>
        <w:t>) – die doppelte Formulierung verleiht höchste Emphase.</w:t>
      </w:r>
    </w:p>
    <w:p w14:paraId="5C7927C0"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rtl/>
          <w:lang w:eastAsia="de-DE"/>
        </w:rPr>
        <w:t>אֵת אֲשֶׁר־הִקְצַפְתָּ אֶת־יְהוָה אֱלֹהֶיךָ בַּמִּדְבָּר</w:t>
      </w:r>
      <w:r w:rsidRPr="00BC555A">
        <w:rPr>
          <w:rFonts w:eastAsia="Times New Roman"/>
          <w:rtl/>
          <w:lang w:eastAsia="de-DE"/>
        </w:rPr>
        <w:t xml:space="preserve"> </w:t>
      </w:r>
      <w:r w:rsidRPr="00BC555A">
        <w:rPr>
          <w:rFonts w:eastAsia="Times New Roman"/>
          <w:lang w:eastAsia="de-DE"/>
        </w:rPr>
        <w:t xml:space="preserve">ist das direkte Objekt: </w:t>
      </w:r>
      <w:r w:rsidRPr="00BC555A">
        <w:rPr>
          <w:rFonts w:eastAsia="Times New Roman"/>
          <w:b/>
          <w:bCs/>
          <w:rtl/>
          <w:lang w:eastAsia="de-DE"/>
        </w:rPr>
        <w:t>אֵת</w:t>
      </w:r>
      <w:r w:rsidRPr="00BC555A">
        <w:rPr>
          <w:rFonts w:eastAsia="Times New Roman"/>
          <w:rtl/>
          <w:lang w:eastAsia="de-DE"/>
        </w:rPr>
        <w:t xml:space="preserve"> </w:t>
      </w:r>
      <w:r w:rsidRPr="00BC555A">
        <w:rPr>
          <w:rFonts w:eastAsia="Times New Roman"/>
          <w:lang w:eastAsia="de-DE"/>
        </w:rPr>
        <w:t>mit Relativsatz (</w:t>
      </w:r>
      <w:r w:rsidRPr="00BC555A">
        <w:rPr>
          <w:rFonts w:eastAsia="Times New Roman"/>
          <w:b/>
          <w:bCs/>
          <w:rtl/>
          <w:lang w:eastAsia="de-DE"/>
        </w:rPr>
        <w:t>אֲשֶׁר</w:t>
      </w:r>
      <w:r w:rsidRPr="00BC555A">
        <w:rPr>
          <w:rFonts w:eastAsia="Times New Roman"/>
          <w:rtl/>
          <w:lang w:eastAsia="de-DE"/>
        </w:rPr>
        <w:t xml:space="preserve"> </w:t>
      </w:r>
      <w:r w:rsidRPr="00BC555A">
        <w:rPr>
          <w:rFonts w:eastAsia="Times New Roman"/>
          <w:lang w:eastAsia="de-DE"/>
        </w:rPr>
        <w:t xml:space="preserve">als Relativpronomen, </w:t>
      </w:r>
      <w:r w:rsidRPr="00BC555A">
        <w:rPr>
          <w:rFonts w:eastAsia="Times New Roman"/>
          <w:b/>
          <w:bCs/>
          <w:rtl/>
          <w:lang w:eastAsia="de-DE"/>
        </w:rPr>
        <w:t>הִקְצַפְתָּ</w:t>
      </w:r>
      <w:r w:rsidRPr="00BC555A">
        <w:rPr>
          <w:rFonts w:eastAsia="Times New Roman"/>
          <w:rtl/>
          <w:lang w:eastAsia="de-DE"/>
        </w:rPr>
        <w:t xml:space="preserve"> </w:t>
      </w:r>
      <w:r w:rsidRPr="00BC555A">
        <w:rPr>
          <w:rFonts w:eastAsia="Times New Roman"/>
          <w:lang w:eastAsia="de-DE"/>
        </w:rPr>
        <w:t xml:space="preserve">als Hifil Perfekt, 2. Person Singular maskulin von </w:t>
      </w:r>
      <w:r w:rsidRPr="00BC555A">
        <w:rPr>
          <w:rFonts w:eastAsia="Times New Roman"/>
          <w:b/>
          <w:bCs/>
          <w:rtl/>
          <w:lang w:eastAsia="de-DE"/>
        </w:rPr>
        <w:t>קצף</w:t>
      </w:r>
      <w:r w:rsidRPr="00BC555A">
        <w:rPr>
          <w:rFonts w:eastAsia="Times New Roman"/>
          <w:lang w:eastAsia="de-DE"/>
        </w:rPr>
        <w:t xml:space="preserve">, „zürnen, erzürnen" – im Hifil „zum Zorn reizen, erzürnen", </w:t>
      </w:r>
      <w:r w:rsidRPr="00BC555A">
        <w:rPr>
          <w:rFonts w:eastAsia="Times New Roman"/>
          <w:b/>
          <w:bCs/>
          <w:rtl/>
          <w:lang w:eastAsia="de-DE"/>
        </w:rPr>
        <w:t>אֶת־יְהוָה אֱלֹהֶיךָ</w:t>
      </w:r>
      <w:r w:rsidRPr="00BC555A">
        <w:rPr>
          <w:rFonts w:eastAsia="Times New Roman"/>
          <w:rtl/>
          <w:lang w:eastAsia="de-DE"/>
        </w:rPr>
        <w:t xml:space="preserve"> </w:t>
      </w:r>
      <w:r w:rsidRPr="00BC555A">
        <w:rPr>
          <w:rFonts w:eastAsia="Times New Roman"/>
          <w:lang w:eastAsia="de-DE"/>
        </w:rPr>
        <w:t xml:space="preserve">als direktes Objekt, </w:t>
      </w:r>
      <w:r w:rsidRPr="00BC555A">
        <w:rPr>
          <w:rFonts w:eastAsia="Times New Roman"/>
          <w:b/>
          <w:bCs/>
          <w:rtl/>
          <w:lang w:eastAsia="de-DE"/>
        </w:rPr>
        <w:t>בַּמִּדְבָּר</w:t>
      </w:r>
      <w:r w:rsidRPr="00BC555A">
        <w:rPr>
          <w:rFonts w:eastAsia="Times New Roman"/>
          <w:rtl/>
          <w:lang w:eastAsia="de-DE"/>
        </w:rPr>
        <w:t xml:space="preserve"> </w:t>
      </w:r>
      <w:r w:rsidRPr="00BC555A">
        <w:rPr>
          <w:rFonts w:eastAsia="Times New Roman"/>
          <w:lang w:eastAsia="de-DE"/>
        </w:rPr>
        <w:t>als Ortsangabe).</w:t>
      </w:r>
    </w:p>
    <w:p w14:paraId="2EF6D54E"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rtl/>
          <w:lang w:eastAsia="de-DE"/>
        </w:rPr>
        <w:t>לְמִן־הַיּוֹם אֲשֶׁר־יָצָאתָ מֵאֶרֶץ מִצְרַיִם עַד־בֹּֽאֲכֶם עַד־הַמָּקוֹם הַזֶּה</w:t>
      </w:r>
      <w:r w:rsidRPr="00BC555A">
        <w:rPr>
          <w:rFonts w:eastAsia="Times New Roman"/>
          <w:rtl/>
          <w:lang w:eastAsia="de-DE"/>
        </w:rPr>
        <w:t xml:space="preserve"> </w:t>
      </w:r>
      <w:r w:rsidRPr="00BC555A">
        <w:rPr>
          <w:rFonts w:eastAsia="Times New Roman"/>
          <w:lang w:eastAsia="de-DE"/>
        </w:rPr>
        <w:t xml:space="preserve">ist eine temporale Bestimmung: </w:t>
      </w:r>
      <w:r w:rsidRPr="00BC555A">
        <w:rPr>
          <w:rFonts w:eastAsia="Times New Roman"/>
          <w:b/>
          <w:bCs/>
          <w:rtl/>
          <w:lang w:eastAsia="de-DE"/>
        </w:rPr>
        <w:t>לְמִן־הַיּוֹם</w:t>
      </w:r>
      <w:r w:rsidRPr="00BC555A">
        <w:rPr>
          <w:rFonts w:eastAsia="Times New Roman"/>
          <w:rtl/>
          <w:lang w:eastAsia="de-DE"/>
        </w:rPr>
        <w:t xml:space="preserve"> </w:t>
      </w:r>
      <w:r w:rsidRPr="00BC555A">
        <w:rPr>
          <w:rFonts w:eastAsia="Times New Roman"/>
          <w:lang w:eastAsia="de-DE"/>
        </w:rPr>
        <w:t>(</w:t>
      </w:r>
      <w:r w:rsidRPr="00BC555A">
        <w:rPr>
          <w:rFonts w:eastAsia="Times New Roman"/>
          <w:b/>
          <w:bCs/>
          <w:rtl/>
          <w:lang w:eastAsia="de-DE"/>
        </w:rPr>
        <w:t>לְ</w:t>
      </w:r>
      <w:r w:rsidRPr="00BC555A">
        <w:rPr>
          <w:rFonts w:eastAsia="Times New Roman"/>
          <w:rtl/>
          <w:lang w:eastAsia="de-DE"/>
        </w:rPr>
        <w:t xml:space="preserve"> </w:t>
      </w:r>
      <w:r w:rsidRPr="00BC555A">
        <w:rPr>
          <w:rFonts w:eastAsia="Times New Roman"/>
          <w:lang w:eastAsia="de-DE"/>
        </w:rPr>
        <w:t xml:space="preserve">mit </w:t>
      </w:r>
      <w:r w:rsidRPr="00BC555A">
        <w:rPr>
          <w:rFonts w:eastAsia="Times New Roman"/>
          <w:b/>
          <w:bCs/>
          <w:rtl/>
          <w:lang w:eastAsia="de-DE"/>
        </w:rPr>
        <w:t>מִן</w:t>
      </w:r>
      <w:r w:rsidRPr="00BC555A">
        <w:rPr>
          <w:rFonts w:eastAsia="Times New Roman"/>
          <w:rtl/>
          <w:lang w:eastAsia="de-DE"/>
        </w:rPr>
        <w:t xml:space="preserve"> </w:t>
      </w:r>
      <w:r w:rsidRPr="00BC555A">
        <w:rPr>
          <w:rFonts w:eastAsia="Times New Roman"/>
          <w:lang w:eastAsia="de-DE"/>
        </w:rPr>
        <w:t xml:space="preserve">und </w:t>
      </w:r>
      <w:r w:rsidRPr="00BC555A">
        <w:rPr>
          <w:rFonts w:eastAsia="Times New Roman"/>
          <w:b/>
          <w:bCs/>
          <w:rtl/>
          <w:lang w:eastAsia="de-DE"/>
        </w:rPr>
        <w:t>יוֹם</w:t>
      </w:r>
      <w:r w:rsidRPr="00BC555A">
        <w:rPr>
          <w:rFonts w:eastAsia="Times New Roman"/>
          <w:rtl/>
          <w:lang w:eastAsia="de-DE"/>
        </w:rPr>
        <w:t xml:space="preserve"> </w:t>
      </w:r>
      <w:r w:rsidRPr="00BC555A">
        <w:rPr>
          <w:rFonts w:eastAsia="Times New Roman"/>
          <w:lang w:eastAsia="de-DE"/>
        </w:rPr>
        <w:t xml:space="preserve">mit Artikel – „von dem Tag an"), </w:t>
      </w:r>
      <w:r w:rsidRPr="00BC555A">
        <w:rPr>
          <w:rFonts w:eastAsia="Times New Roman"/>
          <w:b/>
          <w:bCs/>
          <w:rtl/>
          <w:lang w:eastAsia="de-DE"/>
        </w:rPr>
        <w:t>אֲשֶׁר־יָצָאתָ מֵאֶרֶץ מִצְרַיִם</w:t>
      </w:r>
      <w:r w:rsidRPr="00BC555A">
        <w:rPr>
          <w:rFonts w:eastAsia="Times New Roman"/>
          <w:rtl/>
          <w:lang w:eastAsia="de-DE"/>
        </w:rPr>
        <w:t xml:space="preserve"> </w:t>
      </w:r>
      <w:r w:rsidRPr="00BC555A">
        <w:rPr>
          <w:rFonts w:eastAsia="Times New Roman"/>
          <w:lang w:eastAsia="de-DE"/>
        </w:rPr>
        <w:t xml:space="preserve">als Relativsatz (Qal Perfekt, 2. Person Singular maskulin von </w:t>
      </w:r>
      <w:r w:rsidRPr="00BC555A">
        <w:rPr>
          <w:rFonts w:eastAsia="Times New Roman"/>
          <w:b/>
          <w:bCs/>
          <w:rtl/>
          <w:lang w:eastAsia="de-DE"/>
        </w:rPr>
        <w:t>יצא</w:t>
      </w:r>
      <w:r w:rsidRPr="00BC555A">
        <w:rPr>
          <w:rFonts w:eastAsia="Times New Roman"/>
          <w:lang w:eastAsia="de-DE"/>
        </w:rPr>
        <w:t xml:space="preserve">, „hinausgehen", mit Herkunftsangabe), </w:t>
      </w:r>
      <w:r w:rsidRPr="00BC555A">
        <w:rPr>
          <w:rFonts w:eastAsia="Times New Roman"/>
          <w:b/>
          <w:bCs/>
          <w:rtl/>
          <w:lang w:eastAsia="de-DE"/>
        </w:rPr>
        <w:t>עַד־בֹּֽאֲכֶם עַד־הַמָּקוֹם הַזֶּה</w:t>
      </w:r>
      <w:r w:rsidRPr="00BC555A">
        <w:rPr>
          <w:rFonts w:eastAsia="Times New Roman"/>
          <w:rtl/>
          <w:lang w:eastAsia="de-DE"/>
        </w:rPr>
        <w:t xml:space="preserve"> </w:t>
      </w:r>
      <w:r w:rsidRPr="00BC555A">
        <w:rPr>
          <w:rFonts w:eastAsia="Times New Roman"/>
          <w:lang w:eastAsia="de-DE"/>
        </w:rPr>
        <w:t>als temporale Endbestimmung (</w:t>
      </w:r>
      <w:r w:rsidRPr="00BC555A">
        <w:rPr>
          <w:rFonts w:eastAsia="Times New Roman"/>
          <w:b/>
          <w:bCs/>
          <w:rtl/>
          <w:lang w:eastAsia="de-DE"/>
        </w:rPr>
        <w:t>עַד</w:t>
      </w:r>
      <w:r w:rsidRPr="00BC555A">
        <w:rPr>
          <w:rFonts w:eastAsia="Times New Roman"/>
          <w:rtl/>
          <w:lang w:eastAsia="de-DE"/>
        </w:rPr>
        <w:t xml:space="preserve"> </w:t>
      </w:r>
      <w:r w:rsidRPr="00BC555A">
        <w:rPr>
          <w:rFonts w:eastAsia="Times New Roman"/>
          <w:lang w:eastAsia="de-DE"/>
        </w:rPr>
        <w:t xml:space="preserve">mit Qal Infinitiv Construct von </w:t>
      </w:r>
      <w:r w:rsidRPr="00BC555A">
        <w:rPr>
          <w:rFonts w:eastAsia="Times New Roman"/>
          <w:b/>
          <w:bCs/>
          <w:rtl/>
          <w:lang w:eastAsia="de-DE"/>
        </w:rPr>
        <w:t>בוא</w:t>
      </w:r>
      <w:r w:rsidRPr="00BC555A">
        <w:rPr>
          <w:rFonts w:eastAsia="Times New Roman"/>
          <w:lang w:eastAsia="de-DE"/>
        </w:rPr>
        <w:t xml:space="preserve">, „kommen", mit Suffix 2. Person Plural maskulin, </w:t>
      </w:r>
      <w:r w:rsidRPr="00BC555A">
        <w:rPr>
          <w:rFonts w:eastAsia="Times New Roman"/>
          <w:b/>
          <w:bCs/>
          <w:rtl/>
          <w:lang w:eastAsia="de-DE"/>
        </w:rPr>
        <w:t>עַד־הַמָּקוֹם הַזֶּה</w:t>
      </w:r>
      <w:r w:rsidRPr="00BC555A">
        <w:rPr>
          <w:rFonts w:eastAsia="Times New Roman"/>
          <w:rtl/>
          <w:lang w:eastAsia="de-DE"/>
        </w:rPr>
        <w:t xml:space="preserve"> </w:t>
      </w:r>
      <w:r w:rsidRPr="00BC555A">
        <w:rPr>
          <w:rFonts w:eastAsia="Times New Roman"/>
          <w:lang w:eastAsia="de-DE"/>
        </w:rPr>
        <w:t>als Zielangabe – „bis ihr an diesen Ort kamt").</w:t>
      </w:r>
    </w:p>
    <w:p w14:paraId="4E61E208"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b/>
          <w:bCs/>
          <w:rtl/>
          <w:lang w:eastAsia="de-DE"/>
        </w:rPr>
        <w:t>מַמְרִים הֱיִיתֶם עִם־יְהוָֽה</w:t>
      </w:r>
      <w:r w:rsidRPr="00BC555A">
        <w:rPr>
          <w:rFonts w:eastAsia="Times New Roman"/>
          <w:rtl/>
          <w:lang w:eastAsia="de-DE"/>
        </w:rPr>
        <w:t xml:space="preserve"> </w:t>
      </w:r>
      <w:r w:rsidRPr="00BC555A">
        <w:rPr>
          <w:rFonts w:eastAsia="Times New Roman"/>
          <w:lang w:eastAsia="de-DE"/>
        </w:rPr>
        <w:t xml:space="preserve">ist die Hauptaussage: </w:t>
      </w:r>
      <w:r w:rsidRPr="00BC555A">
        <w:rPr>
          <w:rFonts w:eastAsia="Times New Roman"/>
          <w:b/>
          <w:bCs/>
          <w:rtl/>
          <w:lang w:eastAsia="de-DE"/>
        </w:rPr>
        <w:t>מַמְרִים</w:t>
      </w:r>
      <w:r w:rsidRPr="00BC555A">
        <w:rPr>
          <w:rFonts w:eastAsia="Times New Roman"/>
          <w:rtl/>
          <w:lang w:eastAsia="de-DE"/>
        </w:rPr>
        <w:t xml:space="preserve"> </w:t>
      </w:r>
      <w:r w:rsidRPr="00BC555A">
        <w:rPr>
          <w:rFonts w:eastAsia="Times New Roman"/>
          <w:lang w:eastAsia="de-DE"/>
        </w:rPr>
        <w:t xml:space="preserve">als Hifil Partizip Plural maskulin von </w:t>
      </w:r>
      <w:r w:rsidRPr="00BC555A">
        <w:rPr>
          <w:rFonts w:eastAsia="Times New Roman"/>
          <w:b/>
          <w:bCs/>
          <w:rtl/>
          <w:lang w:eastAsia="de-DE"/>
        </w:rPr>
        <w:t>מרה</w:t>
      </w:r>
      <w:r w:rsidRPr="00BC555A">
        <w:rPr>
          <w:rFonts w:eastAsia="Times New Roman"/>
          <w:lang w:eastAsia="de-DE"/>
        </w:rPr>
        <w:t xml:space="preserve">, „widerspenstig sein, rebellieren" – als Prädikatsnomen, </w:t>
      </w:r>
      <w:r w:rsidRPr="00BC555A">
        <w:rPr>
          <w:rFonts w:eastAsia="Times New Roman"/>
          <w:b/>
          <w:bCs/>
          <w:rtl/>
          <w:lang w:eastAsia="de-DE"/>
        </w:rPr>
        <w:t>הֱיִיתֶם</w:t>
      </w:r>
      <w:r w:rsidRPr="00BC555A">
        <w:rPr>
          <w:rFonts w:eastAsia="Times New Roman"/>
          <w:rtl/>
          <w:lang w:eastAsia="de-DE"/>
        </w:rPr>
        <w:t xml:space="preserve"> </w:t>
      </w:r>
      <w:r w:rsidRPr="00BC555A">
        <w:rPr>
          <w:rFonts w:eastAsia="Times New Roman"/>
          <w:lang w:eastAsia="de-DE"/>
        </w:rPr>
        <w:t xml:space="preserve">als Qal Perfekt, 2. Person Plural maskulin von </w:t>
      </w:r>
      <w:r w:rsidRPr="00BC555A">
        <w:rPr>
          <w:rFonts w:eastAsia="Times New Roman"/>
          <w:b/>
          <w:bCs/>
          <w:rtl/>
          <w:lang w:eastAsia="de-DE"/>
        </w:rPr>
        <w:t>היה</w:t>
      </w:r>
      <w:r w:rsidRPr="00BC555A">
        <w:rPr>
          <w:rFonts w:eastAsia="Times New Roman"/>
          <w:lang w:eastAsia="de-DE"/>
        </w:rPr>
        <w:t xml:space="preserve">, „sein", </w:t>
      </w:r>
      <w:r w:rsidRPr="00BC555A">
        <w:rPr>
          <w:rFonts w:eastAsia="Times New Roman"/>
          <w:b/>
          <w:bCs/>
          <w:rtl/>
          <w:lang w:eastAsia="de-DE"/>
        </w:rPr>
        <w:t>עִם־יְהוָֽה</w:t>
      </w:r>
      <w:r w:rsidRPr="00BC555A">
        <w:rPr>
          <w:rFonts w:eastAsia="Times New Roman"/>
          <w:rtl/>
          <w:lang w:eastAsia="de-DE"/>
        </w:rPr>
        <w:t xml:space="preserve"> </w:t>
      </w:r>
      <w:r w:rsidRPr="00BC555A">
        <w:rPr>
          <w:rFonts w:eastAsia="Times New Roman"/>
          <w:lang w:eastAsia="de-DE"/>
        </w:rPr>
        <w:t>als präpositionale Ergänzung (</w:t>
      </w:r>
      <w:r w:rsidRPr="00BC555A">
        <w:rPr>
          <w:rFonts w:eastAsia="Times New Roman"/>
          <w:b/>
          <w:bCs/>
          <w:rtl/>
          <w:lang w:eastAsia="de-DE"/>
        </w:rPr>
        <w:t>עִם</w:t>
      </w:r>
      <w:r w:rsidRPr="00BC555A">
        <w:rPr>
          <w:rFonts w:eastAsia="Times New Roman"/>
          <w:rtl/>
          <w:lang w:eastAsia="de-DE"/>
        </w:rPr>
        <w:t xml:space="preserve"> </w:t>
      </w:r>
      <w:r w:rsidRPr="00BC555A">
        <w:rPr>
          <w:rFonts w:eastAsia="Times New Roman"/>
          <w:lang w:eastAsia="de-DE"/>
        </w:rPr>
        <w:t xml:space="preserve">mit </w:t>
      </w:r>
      <w:r w:rsidRPr="00BC555A">
        <w:rPr>
          <w:rFonts w:eastAsia="Times New Roman"/>
          <w:b/>
          <w:bCs/>
          <w:rtl/>
          <w:lang w:eastAsia="de-DE"/>
        </w:rPr>
        <w:t>יְהוָה</w:t>
      </w:r>
      <w:r w:rsidRPr="00BC555A">
        <w:rPr>
          <w:rFonts w:eastAsia="Times New Roman"/>
          <w:rtl/>
          <w:lang w:eastAsia="de-DE"/>
        </w:rPr>
        <w:t xml:space="preserve"> </w:t>
      </w:r>
      <w:r w:rsidRPr="00BC555A">
        <w:rPr>
          <w:rFonts w:eastAsia="Times New Roman"/>
          <w:lang w:eastAsia="de-DE"/>
        </w:rPr>
        <w:t>– „gegen, mit").</w:t>
      </w:r>
    </w:p>
    <w:p w14:paraId="1C293ECD"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lang w:eastAsia="de-DE"/>
        </w:rPr>
        <w:t xml:space="preserve">Der Vers leitet den historischen Rückblick (V. 7-24) ein, der Israels Halsstarrigkeit belegt. Die doppelte Formulierung </w:t>
      </w:r>
      <w:r w:rsidRPr="00BC555A">
        <w:rPr>
          <w:rFonts w:eastAsia="Times New Roman"/>
          <w:b/>
          <w:bCs/>
          <w:rtl/>
          <w:lang w:eastAsia="de-DE"/>
        </w:rPr>
        <w:t>זְכֹר אַל־תִּשְׁכַּח</w:t>
      </w:r>
      <w:r w:rsidRPr="00BC555A">
        <w:rPr>
          <w:rFonts w:eastAsia="Times New Roman"/>
          <w:rtl/>
          <w:lang w:eastAsia="de-DE"/>
        </w:rPr>
        <w:t xml:space="preserve"> </w:t>
      </w:r>
      <w:r w:rsidRPr="00BC555A">
        <w:rPr>
          <w:rFonts w:eastAsia="Times New Roman"/>
          <w:lang w:eastAsia="de-DE"/>
        </w:rPr>
        <w:t xml:space="preserve">ist die stärkste Form der Erinnerungsaufforderung im Deuteronomium. Die temporale Bestimmung umfasst die gesamte Wüstenzeit: vom Exodus bis zum Moab. Das Partizip </w:t>
      </w:r>
      <w:r w:rsidRPr="00BC555A">
        <w:rPr>
          <w:rFonts w:eastAsia="Times New Roman"/>
          <w:b/>
          <w:bCs/>
          <w:rtl/>
          <w:lang w:eastAsia="de-DE"/>
        </w:rPr>
        <w:t>מַמְרִים</w:t>
      </w:r>
      <w:r w:rsidRPr="00BC555A">
        <w:rPr>
          <w:rFonts w:eastAsia="Times New Roman"/>
          <w:rtl/>
          <w:lang w:eastAsia="de-DE"/>
        </w:rPr>
        <w:t xml:space="preserve"> </w:t>
      </w:r>
      <w:r w:rsidRPr="00BC555A">
        <w:rPr>
          <w:rFonts w:eastAsia="Times New Roman"/>
          <w:lang w:eastAsia="de-DE"/>
        </w:rPr>
        <w:t>(„widerspenstig, rebellisch") charakterisiert Israels dauerhafte Haltung.</w:t>
      </w:r>
    </w:p>
    <w:p w14:paraId="755AF58B"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lang w:eastAsia="de-DE"/>
        </w:rPr>
        <w:t>Die Satzstruktur ist eine doppelte imperative Konstruktion (Imperativ und prohibitiver Satz), gefolgt von einem direkten Objekt mit Relativsatz, einer umfangreichen temporalen Bestimmung (mit Relativsatz und Zielangabe) und einer partizipialen Hauptaussage.</w:t>
      </w:r>
    </w:p>
    <w:p w14:paraId="3D8AC2BE" w14:textId="77777777" w:rsidR="00BC555A" w:rsidRPr="00BC555A" w:rsidRDefault="00BC555A" w:rsidP="00BC555A">
      <w:pPr>
        <w:spacing w:before="100" w:beforeAutospacing="1" w:after="100" w:afterAutospacing="1" w:line="240" w:lineRule="auto"/>
        <w:rPr>
          <w:rFonts w:eastAsia="Times New Roman"/>
          <w:lang w:eastAsia="de-DE"/>
        </w:rPr>
      </w:pPr>
      <w:r w:rsidRPr="00BC555A">
        <w:rPr>
          <w:rFonts w:eastAsia="Times New Roman"/>
          <w:lang w:eastAsia="de-DE"/>
        </w:rPr>
        <w:t>Der Vers leitet den Geschichtsrückblick ein: Gedenke, vergiss nicht, wie du JHWH in der Wüste erzürnt hast! Von Ägypten bis hierher seid ihr widerspenstig gewesen.</w:t>
      </w:r>
    </w:p>
    <w:p w14:paraId="1C96DC62" w14:textId="77777777" w:rsidR="00956228" w:rsidRPr="00956228" w:rsidRDefault="00956228" w:rsidP="00956228">
      <w:pPr>
        <w:spacing w:before="100" w:beforeAutospacing="1" w:after="100" w:afterAutospacing="1" w:line="240" w:lineRule="auto"/>
        <w:outlineLvl w:val="1"/>
        <w:rPr>
          <w:rFonts w:eastAsia="Times New Roman"/>
          <w:b/>
          <w:bCs/>
          <w:sz w:val="36"/>
          <w:szCs w:val="36"/>
          <w:lang w:eastAsia="de-DE"/>
        </w:rPr>
      </w:pPr>
      <w:r w:rsidRPr="00956228">
        <w:rPr>
          <w:rFonts w:eastAsia="Times New Roman"/>
          <w:b/>
          <w:bCs/>
          <w:sz w:val="36"/>
          <w:szCs w:val="36"/>
          <w:lang w:eastAsia="de-DE"/>
        </w:rPr>
        <w:t>Deuteronomium 9,8</w:t>
      </w:r>
    </w:p>
    <w:p w14:paraId="62914E1A"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b/>
          <w:bCs/>
          <w:lang w:eastAsia="de-DE"/>
        </w:rPr>
        <w:t>Hebräisch:</w:t>
      </w:r>
      <w:r w:rsidRPr="00956228">
        <w:rPr>
          <w:rFonts w:eastAsia="Times New Roman"/>
          <w:lang w:eastAsia="de-DE"/>
        </w:rPr>
        <w:t xml:space="preserve"> </w:t>
      </w:r>
      <w:r w:rsidRPr="00956228">
        <w:rPr>
          <w:rFonts w:eastAsia="Times New Roman"/>
          <w:rtl/>
          <w:lang w:eastAsia="de-DE"/>
        </w:rPr>
        <w:t>וּבְחֹרֵב הִקְצַפְתֶּם אֶת־יְהוָה וַיִּתְאַנַּף יְהוָה בָּכֶם לְהַשְׁמִיד אֶתְכֶם׃</w:t>
      </w:r>
    </w:p>
    <w:p w14:paraId="7B6E259E"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b/>
          <w:bCs/>
          <w:lang w:eastAsia="de-DE"/>
        </w:rPr>
        <w:t>Deutsch:</w:t>
      </w:r>
      <w:r w:rsidRPr="00956228">
        <w:rPr>
          <w:rFonts w:eastAsia="Times New Roman"/>
          <w:lang w:eastAsia="de-DE"/>
        </w:rPr>
        <w:t xml:space="preserve"> Und am Chorev erzürntet ihr den Ewigen; und der Ewige ergrimmte über euch, so dass er euch vertilgen wollte.</w:t>
      </w:r>
    </w:p>
    <w:p w14:paraId="4BA606FF" w14:textId="77777777" w:rsidR="00956228" w:rsidRPr="00956228" w:rsidRDefault="004F5CEB" w:rsidP="00956228">
      <w:pPr>
        <w:spacing w:after="0" w:line="240" w:lineRule="auto"/>
        <w:rPr>
          <w:rFonts w:eastAsia="Times New Roman"/>
          <w:lang w:eastAsia="de-DE"/>
        </w:rPr>
      </w:pPr>
      <w:r>
        <w:rPr>
          <w:rFonts w:eastAsia="Times New Roman"/>
          <w:noProof/>
          <w:lang w:eastAsia="de-DE"/>
        </w:rPr>
        <w:lastRenderedPageBreak/>
        <w:pict w14:anchorId="6B519D2E">
          <v:rect id="_x0000_i1297" style="width:0;height:1.5pt" o:hralign="center" o:hrstd="t" o:hr="t" fillcolor="#a0a0a0" stroked="f"/>
        </w:pict>
      </w:r>
    </w:p>
    <w:p w14:paraId="3B67545B"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b/>
          <w:bCs/>
          <w:lang w:eastAsia="de-DE"/>
        </w:rPr>
        <w:t>Kommentar:</w:t>
      </w:r>
      <w:r w:rsidRPr="00956228">
        <w:rPr>
          <w:rFonts w:eastAsia="Times New Roman"/>
          <w:lang w:eastAsia="de-DE"/>
        </w:rPr>
        <w:t xml:space="preserve"> </w:t>
      </w:r>
      <w:r w:rsidRPr="00956228">
        <w:rPr>
          <w:rFonts w:eastAsia="Times New Roman"/>
          <w:b/>
          <w:bCs/>
          <w:rtl/>
          <w:lang w:eastAsia="de-DE"/>
        </w:rPr>
        <w:t>וּבְחֹרֵב הִקְצַפְתֶּם אֶת־יְהוָה</w:t>
      </w:r>
      <w:r w:rsidRPr="00956228">
        <w:rPr>
          <w:rFonts w:eastAsia="Times New Roman"/>
          <w:rtl/>
          <w:lang w:eastAsia="de-DE"/>
        </w:rPr>
        <w:t xml:space="preserve"> </w:t>
      </w:r>
      <w:r w:rsidRPr="00956228">
        <w:rPr>
          <w:rFonts w:eastAsia="Times New Roman"/>
          <w:lang w:eastAsia="de-DE"/>
        </w:rPr>
        <w:t xml:space="preserve">ist der erste Satz: </w:t>
      </w:r>
      <w:r w:rsidRPr="00956228">
        <w:rPr>
          <w:rFonts w:eastAsia="Times New Roman"/>
          <w:b/>
          <w:bCs/>
          <w:rtl/>
          <w:lang w:eastAsia="de-DE"/>
        </w:rPr>
        <w:t>וּבְחֹרֵב</w:t>
      </w:r>
      <w:r w:rsidRPr="00956228">
        <w:rPr>
          <w:rFonts w:eastAsia="Times New Roman"/>
          <w:rtl/>
          <w:lang w:eastAsia="de-DE"/>
        </w:rPr>
        <w:t xml:space="preserve"> </w:t>
      </w:r>
      <w:r w:rsidRPr="00956228">
        <w:rPr>
          <w:rFonts w:eastAsia="Times New Roman"/>
          <w:lang w:eastAsia="de-DE"/>
        </w:rPr>
        <w:t>als Ortsangabe (</w:t>
      </w:r>
      <w:r w:rsidRPr="00956228">
        <w:rPr>
          <w:rFonts w:eastAsia="Times New Roman"/>
          <w:b/>
          <w:bCs/>
          <w:rtl/>
          <w:lang w:eastAsia="de-DE"/>
        </w:rPr>
        <w:t>וְ</w:t>
      </w:r>
      <w:r w:rsidRPr="00956228">
        <w:rPr>
          <w:rFonts w:eastAsia="Times New Roman"/>
          <w:rtl/>
          <w:lang w:eastAsia="de-DE"/>
        </w:rPr>
        <w:t xml:space="preserve"> </w:t>
      </w:r>
      <w:r w:rsidRPr="00956228">
        <w:rPr>
          <w:rFonts w:eastAsia="Times New Roman"/>
          <w:lang w:eastAsia="de-DE"/>
        </w:rPr>
        <w:t xml:space="preserve">mit </w:t>
      </w:r>
      <w:r w:rsidRPr="00956228">
        <w:rPr>
          <w:rFonts w:eastAsia="Times New Roman"/>
          <w:b/>
          <w:bCs/>
          <w:rtl/>
          <w:lang w:eastAsia="de-DE"/>
        </w:rPr>
        <w:t>בְּ</w:t>
      </w:r>
      <w:r w:rsidRPr="00956228">
        <w:rPr>
          <w:rFonts w:eastAsia="Times New Roman"/>
          <w:rtl/>
          <w:lang w:eastAsia="de-DE"/>
        </w:rPr>
        <w:t xml:space="preserve"> </w:t>
      </w:r>
      <w:r w:rsidRPr="00956228">
        <w:rPr>
          <w:rFonts w:eastAsia="Times New Roman"/>
          <w:lang w:eastAsia="de-DE"/>
        </w:rPr>
        <w:t xml:space="preserve">und </w:t>
      </w:r>
      <w:r w:rsidRPr="00956228">
        <w:rPr>
          <w:rFonts w:eastAsia="Times New Roman"/>
          <w:b/>
          <w:bCs/>
          <w:rtl/>
          <w:lang w:eastAsia="de-DE"/>
        </w:rPr>
        <w:t>חֹרֵב</w:t>
      </w:r>
      <w:r w:rsidRPr="00956228">
        <w:rPr>
          <w:rFonts w:eastAsia="Times New Roman"/>
          <w:lang w:eastAsia="de-DE"/>
        </w:rPr>
        <w:t xml:space="preserve">, „Horeb" – anderer Name für Sinai), </w:t>
      </w:r>
      <w:r w:rsidRPr="00956228">
        <w:rPr>
          <w:rFonts w:eastAsia="Times New Roman"/>
          <w:b/>
          <w:bCs/>
          <w:rtl/>
          <w:lang w:eastAsia="de-DE"/>
        </w:rPr>
        <w:t>הִקְצַפְתֶּם</w:t>
      </w:r>
      <w:r w:rsidRPr="00956228">
        <w:rPr>
          <w:rFonts w:eastAsia="Times New Roman"/>
          <w:rtl/>
          <w:lang w:eastAsia="de-DE"/>
        </w:rPr>
        <w:t xml:space="preserve"> </w:t>
      </w:r>
      <w:r w:rsidRPr="00956228">
        <w:rPr>
          <w:rFonts w:eastAsia="Times New Roman"/>
          <w:lang w:eastAsia="de-DE"/>
        </w:rPr>
        <w:t xml:space="preserve">als Hifil Perfekt, 2. Person Plural maskulin von </w:t>
      </w:r>
      <w:r w:rsidRPr="00956228">
        <w:rPr>
          <w:rFonts w:eastAsia="Times New Roman"/>
          <w:b/>
          <w:bCs/>
          <w:rtl/>
          <w:lang w:eastAsia="de-DE"/>
        </w:rPr>
        <w:t>קצף</w:t>
      </w:r>
      <w:r w:rsidRPr="00956228">
        <w:rPr>
          <w:rFonts w:eastAsia="Times New Roman"/>
          <w:lang w:eastAsia="de-DE"/>
        </w:rPr>
        <w:t xml:space="preserve">, „erzürnen", </w:t>
      </w:r>
      <w:r w:rsidRPr="00956228">
        <w:rPr>
          <w:rFonts w:eastAsia="Times New Roman"/>
          <w:b/>
          <w:bCs/>
          <w:rtl/>
          <w:lang w:eastAsia="de-DE"/>
        </w:rPr>
        <w:t>אֶת־יְהוָה</w:t>
      </w:r>
      <w:r w:rsidRPr="00956228">
        <w:rPr>
          <w:rFonts w:eastAsia="Times New Roman"/>
          <w:rtl/>
          <w:lang w:eastAsia="de-DE"/>
        </w:rPr>
        <w:t xml:space="preserve"> </w:t>
      </w:r>
      <w:r w:rsidRPr="00956228">
        <w:rPr>
          <w:rFonts w:eastAsia="Times New Roman"/>
          <w:lang w:eastAsia="de-DE"/>
        </w:rPr>
        <w:t>als direktes Objekt.</w:t>
      </w:r>
    </w:p>
    <w:p w14:paraId="061BFA3C"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b/>
          <w:bCs/>
          <w:rtl/>
          <w:lang w:eastAsia="de-DE"/>
        </w:rPr>
        <w:t>וַיִּתְאַנַּף יְהוָה בָּכֶם לְהַשְׁמִיד אֶתְכֶם</w:t>
      </w:r>
      <w:r w:rsidRPr="00956228">
        <w:rPr>
          <w:rFonts w:eastAsia="Times New Roman"/>
          <w:rtl/>
          <w:lang w:eastAsia="de-DE"/>
        </w:rPr>
        <w:t xml:space="preserve"> </w:t>
      </w:r>
      <w:r w:rsidRPr="00956228">
        <w:rPr>
          <w:rFonts w:eastAsia="Times New Roman"/>
          <w:lang w:eastAsia="de-DE"/>
        </w:rPr>
        <w:t xml:space="preserve">ist die Folge: </w:t>
      </w:r>
      <w:r w:rsidRPr="00956228">
        <w:rPr>
          <w:rFonts w:eastAsia="Times New Roman"/>
          <w:b/>
          <w:bCs/>
          <w:rtl/>
          <w:lang w:eastAsia="de-DE"/>
        </w:rPr>
        <w:t>וַיִּתְאַנַּף</w:t>
      </w:r>
      <w:r w:rsidRPr="00956228">
        <w:rPr>
          <w:rFonts w:eastAsia="Times New Roman"/>
          <w:rtl/>
          <w:lang w:eastAsia="de-DE"/>
        </w:rPr>
        <w:t xml:space="preserve"> </w:t>
      </w:r>
      <w:r w:rsidRPr="00956228">
        <w:rPr>
          <w:rFonts w:eastAsia="Times New Roman"/>
          <w:lang w:eastAsia="de-DE"/>
        </w:rPr>
        <w:t xml:space="preserve">(Hitpael Imperfekt consecutivum, 3. Person Singular maskulin von </w:t>
      </w:r>
      <w:r w:rsidRPr="00956228">
        <w:rPr>
          <w:rFonts w:eastAsia="Times New Roman"/>
          <w:b/>
          <w:bCs/>
          <w:rtl/>
          <w:lang w:eastAsia="de-DE"/>
        </w:rPr>
        <w:t>אנף</w:t>
      </w:r>
      <w:r w:rsidRPr="00956228">
        <w:rPr>
          <w:rFonts w:eastAsia="Times New Roman"/>
          <w:lang w:eastAsia="de-DE"/>
        </w:rPr>
        <w:t xml:space="preserve">, „zürnen" – im Hitpael „ergrimmen, in Zorn geraten"), </w:t>
      </w:r>
      <w:r w:rsidRPr="00956228">
        <w:rPr>
          <w:rFonts w:eastAsia="Times New Roman"/>
          <w:b/>
          <w:bCs/>
          <w:rtl/>
          <w:lang w:eastAsia="de-DE"/>
        </w:rPr>
        <w:t>יְהוָה</w:t>
      </w:r>
      <w:r w:rsidRPr="00956228">
        <w:rPr>
          <w:rFonts w:eastAsia="Times New Roman"/>
          <w:rtl/>
          <w:lang w:eastAsia="de-DE"/>
        </w:rPr>
        <w:t xml:space="preserve"> </w:t>
      </w:r>
      <w:r w:rsidRPr="00956228">
        <w:rPr>
          <w:rFonts w:eastAsia="Times New Roman"/>
          <w:lang w:eastAsia="de-DE"/>
        </w:rPr>
        <w:t xml:space="preserve">als Subjekt, </w:t>
      </w:r>
      <w:r w:rsidRPr="00956228">
        <w:rPr>
          <w:rFonts w:eastAsia="Times New Roman"/>
          <w:b/>
          <w:bCs/>
          <w:rtl/>
          <w:lang w:eastAsia="de-DE"/>
        </w:rPr>
        <w:t>בָּכֶם</w:t>
      </w:r>
      <w:r w:rsidRPr="00956228">
        <w:rPr>
          <w:rFonts w:eastAsia="Times New Roman"/>
          <w:rtl/>
          <w:lang w:eastAsia="de-DE"/>
        </w:rPr>
        <w:t xml:space="preserve"> </w:t>
      </w:r>
      <w:r w:rsidRPr="00956228">
        <w:rPr>
          <w:rFonts w:eastAsia="Times New Roman"/>
          <w:lang w:eastAsia="de-DE"/>
        </w:rPr>
        <w:t>als präpositionale Ergänzung (</w:t>
      </w:r>
      <w:r w:rsidRPr="00956228">
        <w:rPr>
          <w:rFonts w:eastAsia="Times New Roman"/>
          <w:b/>
          <w:bCs/>
          <w:rtl/>
          <w:lang w:eastAsia="de-DE"/>
        </w:rPr>
        <w:t>בְּ</w:t>
      </w:r>
      <w:r w:rsidRPr="00956228">
        <w:rPr>
          <w:rFonts w:eastAsia="Times New Roman"/>
          <w:rtl/>
          <w:lang w:eastAsia="de-DE"/>
        </w:rPr>
        <w:t xml:space="preserve"> </w:t>
      </w:r>
      <w:r w:rsidRPr="00956228">
        <w:rPr>
          <w:rFonts w:eastAsia="Times New Roman"/>
          <w:lang w:eastAsia="de-DE"/>
        </w:rPr>
        <w:t xml:space="preserve">mit Suffix 2. Person Plural maskulin – „über euch"), </w:t>
      </w:r>
      <w:r w:rsidRPr="00956228">
        <w:rPr>
          <w:rFonts w:eastAsia="Times New Roman"/>
          <w:b/>
          <w:bCs/>
          <w:rtl/>
          <w:lang w:eastAsia="de-DE"/>
        </w:rPr>
        <w:t>לְהַשְׁמִיד אֶתְכֶם</w:t>
      </w:r>
      <w:r w:rsidRPr="00956228">
        <w:rPr>
          <w:rFonts w:eastAsia="Times New Roman"/>
          <w:rtl/>
          <w:lang w:eastAsia="de-DE"/>
        </w:rPr>
        <w:t xml:space="preserve"> </w:t>
      </w:r>
      <w:r w:rsidRPr="00956228">
        <w:rPr>
          <w:rFonts w:eastAsia="Times New Roman"/>
          <w:lang w:eastAsia="de-DE"/>
        </w:rPr>
        <w:t xml:space="preserve">als finaler Infinitiv (Hifil Infinitiv Construct von </w:t>
      </w:r>
      <w:r w:rsidRPr="00956228">
        <w:rPr>
          <w:rFonts w:eastAsia="Times New Roman"/>
          <w:b/>
          <w:bCs/>
          <w:rtl/>
          <w:lang w:eastAsia="de-DE"/>
        </w:rPr>
        <w:t>שׁמד</w:t>
      </w:r>
      <w:r w:rsidRPr="00956228">
        <w:rPr>
          <w:rFonts w:eastAsia="Times New Roman"/>
          <w:lang w:eastAsia="de-DE"/>
        </w:rPr>
        <w:t xml:space="preserve">, „vernichten", mit </w:t>
      </w:r>
      <w:r w:rsidRPr="00956228">
        <w:rPr>
          <w:rFonts w:eastAsia="Times New Roman"/>
          <w:b/>
          <w:bCs/>
          <w:rtl/>
          <w:lang w:eastAsia="de-DE"/>
        </w:rPr>
        <w:t>לְ</w:t>
      </w:r>
      <w:r w:rsidRPr="00956228">
        <w:rPr>
          <w:rFonts w:eastAsia="Times New Roman"/>
          <w:rtl/>
          <w:lang w:eastAsia="de-DE"/>
        </w:rPr>
        <w:t xml:space="preserve"> </w:t>
      </w:r>
      <w:r w:rsidRPr="00956228">
        <w:rPr>
          <w:rFonts w:eastAsia="Times New Roman"/>
          <w:lang w:eastAsia="de-DE"/>
        </w:rPr>
        <w:t>und direktem Objekt mit Suffix 2. Person Plural maskulin).</w:t>
      </w:r>
    </w:p>
    <w:p w14:paraId="7A5B74BC"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lang w:eastAsia="de-DE"/>
        </w:rPr>
        <w:t xml:space="preserve">Der Vers nennt das erste und schwerste Beispiel: die goldene Kalb-Sünde am Horeb/Sinai (vgl. Ex 32). Das Verb </w:t>
      </w:r>
      <w:r w:rsidRPr="00956228">
        <w:rPr>
          <w:rFonts w:eastAsia="Times New Roman"/>
          <w:b/>
          <w:bCs/>
          <w:rtl/>
          <w:lang w:eastAsia="de-DE"/>
        </w:rPr>
        <w:t>קצף</w:t>
      </w:r>
      <w:r w:rsidRPr="00956228">
        <w:rPr>
          <w:rFonts w:eastAsia="Times New Roman"/>
          <w:rtl/>
          <w:lang w:eastAsia="de-DE"/>
        </w:rPr>
        <w:t xml:space="preserve"> </w:t>
      </w:r>
      <w:r w:rsidRPr="00956228">
        <w:rPr>
          <w:rFonts w:eastAsia="Times New Roman"/>
          <w:lang w:eastAsia="de-DE"/>
        </w:rPr>
        <w:t xml:space="preserve">(„erzürnen") wird durch das stärkere </w:t>
      </w:r>
      <w:r w:rsidRPr="00956228">
        <w:rPr>
          <w:rFonts w:eastAsia="Times New Roman"/>
          <w:b/>
          <w:bCs/>
          <w:rtl/>
          <w:lang w:eastAsia="de-DE"/>
        </w:rPr>
        <w:t>אנף</w:t>
      </w:r>
      <w:r w:rsidRPr="00956228">
        <w:rPr>
          <w:rFonts w:eastAsia="Times New Roman"/>
          <w:rtl/>
          <w:lang w:eastAsia="de-DE"/>
        </w:rPr>
        <w:t xml:space="preserve"> </w:t>
      </w:r>
      <w:r w:rsidRPr="00956228">
        <w:rPr>
          <w:rFonts w:eastAsia="Times New Roman"/>
          <w:lang w:eastAsia="de-DE"/>
        </w:rPr>
        <w:t xml:space="preserve">Hitpael („ergrimmen") gesteigert. Die finale Konstruktion </w:t>
      </w:r>
      <w:r w:rsidRPr="00956228">
        <w:rPr>
          <w:rFonts w:eastAsia="Times New Roman"/>
          <w:b/>
          <w:bCs/>
          <w:rtl/>
          <w:lang w:eastAsia="de-DE"/>
        </w:rPr>
        <w:t>לְהַשְׁמִיד אֶתְכֶם</w:t>
      </w:r>
      <w:r w:rsidRPr="00956228">
        <w:rPr>
          <w:rFonts w:eastAsia="Times New Roman"/>
          <w:rtl/>
          <w:lang w:eastAsia="de-DE"/>
        </w:rPr>
        <w:t xml:space="preserve"> </w:t>
      </w:r>
      <w:r w:rsidRPr="00956228">
        <w:rPr>
          <w:rFonts w:eastAsia="Times New Roman"/>
          <w:lang w:eastAsia="de-DE"/>
        </w:rPr>
        <w:t>(„um euch zu vertilgen") drückt die Absicht bzw. den drohenden Vollzug aus – nur Moses' Fürbitte verhinderte die Vernichtung.</w:t>
      </w:r>
    </w:p>
    <w:p w14:paraId="219A3F31"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lang w:eastAsia="de-DE"/>
        </w:rPr>
        <w:t>Die Satzstruktur ist ein Satz mit Ortsangabe, Prädikat und direktem Objekt, gefolgt von einem Imperfekt consecutivum mit Subjekt, präpositionaler Ergänzung und finalem Infinitiv.</w:t>
      </w:r>
    </w:p>
    <w:p w14:paraId="35770E0C"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lang w:eastAsia="de-DE"/>
        </w:rPr>
        <w:t>Der Vers nennt das Hauptbeispiel: Am Horeb erzürntet ihr JHWH so sehr, dass er euch vernichten wollte – die goldene Kalb-Sünde.</w:t>
      </w:r>
    </w:p>
    <w:p w14:paraId="3362B4A2" w14:textId="77777777" w:rsidR="00956228" w:rsidRPr="00956228" w:rsidRDefault="00956228" w:rsidP="00956228">
      <w:pPr>
        <w:spacing w:before="100" w:beforeAutospacing="1" w:after="100" w:afterAutospacing="1" w:line="240" w:lineRule="auto"/>
        <w:outlineLvl w:val="1"/>
        <w:rPr>
          <w:rFonts w:eastAsia="Times New Roman"/>
          <w:b/>
          <w:bCs/>
          <w:sz w:val="36"/>
          <w:szCs w:val="36"/>
          <w:lang w:eastAsia="de-DE"/>
        </w:rPr>
      </w:pPr>
      <w:r w:rsidRPr="00956228">
        <w:rPr>
          <w:rFonts w:eastAsia="Times New Roman"/>
          <w:b/>
          <w:bCs/>
          <w:sz w:val="36"/>
          <w:szCs w:val="36"/>
          <w:lang w:eastAsia="de-DE"/>
        </w:rPr>
        <w:t>Deuteronomium 9,9</w:t>
      </w:r>
    </w:p>
    <w:p w14:paraId="6CB86F42"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b/>
          <w:bCs/>
          <w:lang w:eastAsia="de-DE"/>
        </w:rPr>
        <w:t>Hebräisch:</w:t>
      </w:r>
      <w:r w:rsidRPr="00956228">
        <w:rPr>
          <w:rFonts w:eastAsia="Times New Roman"/>
          <w:lang w:eastAsia="de-DE"/>
        </w:rPr>
        <w:t xml:space="preserve"> </w:t>
      </w:r>
      <w:r w:rsidRPr="00956228">
        <w:rPr>
          <w:rFonts w:eastAsia="Times New Roman"/>
          <w:rtl/>
          <w:lang w:eastAsia="de-DE"/>
        </w:rPr>
        <w:t>בַּעֲלֹתִי הָהָרָה לָקַחַת לוּחֹת הָֽאֲבָנִים לוּחֹת הַבְּרִית אֲשֶׁר־כָּרַת יְהוָה עִמָּכֶם וָאֵשֵׁב בָּהָר אַרְבָּעִים יוֹם וְאַרְבָּעִים לַיְלָה לֶחֶם לֹא אָכַלְתִּי וּמַיִם לֹא שָׁתִיתִי׃</w:t>
      </w:r>
    </w:p>
    <w:p w14:paraId="7A9130F5"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b/>
          <w:bCs/>
          <w:lang w:eastAsia="de-DE"/>
        </w:rPr>
        <w:t>Deutsch:</w:t>
      </w:r>
      <w:r w:rsidRPr="00956228">
        <w:rPr>
          <w:rFonts w:eastAsia="Times New Roman"/>
          <w:lang w:eastAsia="de-DE"/>
        </w:rPr>
        <w:t xml:space="preserve"> Als ich auf den Berg gestiegen war, um die steinernen Tafeln zu empfangen, die Tafeln des Bundes, den der Ewige mit euch gemacht hatte, da blieb ich auf dem Berg 40 Tage und 40 Nächte – Brot aß ich nicht, und Wasser trank ich nicht.</w:t>
      </w:r>
    </w:p>
    <w:p w14:paraId="2F101C1E" w14:textId="77777777" w:rsidR="00956228" w:rsidRPr="00956228" w:rsidRDefault="004F5CEB" w:rsidP="00956228">
      <w:pPr>
        <w:spacing w:after="0" w:line="240" w:lineRule="auto"/>
        <w:rPr>
          <w:rFonts w:eastAsia="Times New Roman"/>
          <w:lang w:eastAsia="de-DE"/>
        </w:rPr>
      </w:pPr>
      <w:r>
        <w:rPr>
          <w:rFonts w:eastAsia="Times New Roman"/>
          <w:noProof/>
          <w:lang w:eastAsia="de-DE"/>
        </w:rPr>
        <w:pict w14:anchorId="3507D470">
          <v:rect id="_x0000_i1298" style="width:0;height:1.5pt" o:hralign="center" o:hrstd="t" o:hr="t" fillcolor="#a0a0a0" stroked="f"/>
        </w:pict>
      </w:r>
    </w:p>
    <w:p w14:paraId="18138125"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b/>
          <w:bCs/>
          <w:lang w:eastAsia="de-DE"/>
        </w:rPr>
        <w:t>Kommentar:</w:t>
      </w:r>
      <w:r w:rsidRPr="00956228">
        <w:rPr>
          <w:rFonts w:eastAsia="Times New Roman"/>
          <w:lang w:eastAsia="de-DE"/>
        </w:rPr>
        <w:t xml:space="preserve"> </w:t>
      </w:r>
      <w:r w:rsidRPr="00956228">
        <w:rPr>
          <w:rFonts w:eastAsia="Times New Roman"/>
          <w:b/>
          <w:bCs/>
          <w:rtl/>
          <w:lang w:eastAsia="de-DE"/>
        </w:rPr>
        <w:t>בַּעֲלֹתִי הָהָרָה לָקַחַת לוּחֹת הָֽאֲבָנִים לוּחֹת הַבְּרִית אֲשֶׁר־כָּרַת יְהוָה עִמָּכֶם</w:t>
      </w:r>
      <w:r w:rsidRPr="00956228">
        <w:rPr>
          <w:rFonts w:eastAsia="Times New Roman"/>
          <w:rtl/>
          <w:lang w:eastAsia="de-DE"/>
        </w:rPr>
        <w:t xml:space="preserve"> </w:t>
      </w:r>
      <w:r w:rsidRPr="00956228">
        <w:rPr>
          <w:rFonts w:eastAsia="Times New Roman"/>
          <w:lang w:eastAsia="de-DE"/>
        </w:rPr>
        <w:t xml:space="preserve">ist ein temporaler Umstandssatz: </w:t>
      </w:r>
      <w:r w:rsidRPr="00956228">
        <w:rPr>
          <w:rFonts w:eastAsia="Times New Roman"/>
          <w:b/>
          <w:bCs/>
          <w:rtl/>
          <w:lang w:eastAsia="de-DE"/>
        </w:rPr>
        <w:t>בַּעֲלֹתִי הָהָרָה</w:t>
      </w:r>
      <w:r w:rsidRPr="00956228">
        <w:rPr>
          <w:rFonts w:eastAsia="Times New Roman"/>
          <w:rtl/>
          <w:lang w:eastAsia="de-DE"/>
        </w:rPr>
        <w:t xml:space="preserve"> </w:t>
      </w:r>
      <w:r w:rsidRPr="00956228">
        <w:rPr>
          <w:rFonts w:eastAsia="Times New Roman"/>
          <w:lang w:eastAsia="de-DE"/>
        </w:rPr>
        <w:t xml:space="preserve">(Qal Infinitiv Construct von </w:t>
      </w:r>
      <w:r w:rsidRPr="00956228">
        <w:rPr>
          <w:rFonts w:eastAsia="Times New Roman"/>
          <w:b/>
          <w:bCs/>
          <w:rtl/>
          <w:lang w:eastAsia="de-DE"/>
        </w:rPr>
        <w:t>עלה</w:t>
      </w:r>
      <w:r w:rsidRPr="00956228">
        <w:rPr>
          <w:rFonts w:eastAsia="Times New Roman"/>
          <w:lang w:eastAsia="de-DE"/>
        </w:rPr>
        <w:t xml:space="preserve">, „hinaufsteigen", mit </w:t>
      </w:r>
      <w:r w:rsidRPr="00956228">
        <w:rPr>
          <w:rFonts w:eastAsia="Times New Roman"/>
          <w:b/>
          <w:bCs/>
          <w:rtl/>
          <w:lang w:eastAsia="de-DE"/>
        </w:rPr>
        <w:t>בְּ</w:t>
      </w:r>
      <w:r w:rsidRPr="00956228">
        <w:rPr>
          <w:rFonts w:eastAsia="Times New Roman"/>
          <w:rtl/>
          <w:lang w:eastAsia="de-DE"/>
        </w:rPr>
        <w:t xml:space="preserve"> </w:t>
      </w:r>
      <w:r w:rsidRPr="00956228">
        <w:rPr>
          <w:rFonts w:eastAsia="Times New Roman"/>
          <w:lang w:eastAsia="de-DE"/>
        </w:rPr>
        <w:t xml:space="preserve">und Suffix 1. Person Singular, </w:t>
      </w:r>
      <w:r w:rsidRPr="00956228">
        <w:rPr>
          <w:rFonts w:eastAsia="Times New Roman"/>
          <w:b/>
          <w:bCs/>
          <w:rtl/>
          <w:lang w:eastAsia="de-DE"/>
        </w:rPr>
        <w:t>הָהָרָה</w:t>
      </w:r>
      <w:r w:rsidRPr="00956228">
        <w:rPr>
          <w:rFonts w:eastAsia="Times New Roman"/>
          <w:rtl/>
          <w:lang w:eastAsia="de-DE"/>
        </w:rPr>
        <w:t xml:space="preserve"> </w:t>
      </w:r>
      <w:r w:rsidRPr="00956228">
        <w:rPr>
          <w:rFonts w:eastAsia="Times New Roman"/>
          <w:lang w:eastAsia="de-DE"/>
        </w:rPr>
        <w:t xml:space="preserve">als Richtungsangabe mit Lokativ-He – „als ich auf den Berg stieg"), </w:t>
      </w:r>
      <w:r w:rsidRPr="00956228">
        <w:rPr>
          <w:rFonts w:eastAsia="Times New Roman"/>
          <w:b/>
          <w:bCs/>
          <w:rtl/>
          <w:lang w:eastAsia="de-DE"/>
        </w:rPr>
        <w:t>לָקַחַת לוּחֹת הָֽאֲבָנִים</w:t>
      </w:r>
      <w:r w:rsidRPr="00956228">
        <w:rPr>
          <w:rFonts w:eastAsia="Times New Roman"/>
          <w:rtl/>
          <w:lang w:eastAsia="de-DE"/>
        </w:rPr>
        <w:t xml:space="preserve"> </w:t>
      </w:r>
      <w:r w:rsidRPr="00956228">
        <w:rPr>
          <w:rFonts w:eastAsia="Times New Roman"/>
          <w:lang w:eastAsia="de-DE"/>
        </w:rPr>
        <w:t xml:space="preserve">als finaler Infinitiv (Qal Infinitiv Construct von </w:t>
      </w:r>
      <w:r w:rsidRPr="00956228">
        <w:rPr>
          <w:rFonts w:eastAsia="Times New Roman"/>
          <w:b/>
          <w:bCs/>
          <w:rtl/>
          <w:lang w:eastAsia="de-DE"/>
        </w:rPr>
        <w:t>לקח</w:t>
      </w:r>
      <w:r w:rsidRPr="00956228">
        <w:rPr>
          <w:rFonts w:eastAsia="Times New Roman"/>
          <w:lang w:eastAsia="de-DE"/>
        </w:rPr>
        <w:t xml:space="preserve">, „nehmen, empfangen", mit </w:t>
      </w:r>
      <w:r w:rsidRPr="00956228">
        <w:rPr>
          <w:rFonts w:eastAsia="Times New Roman"/>
          <w:b/>
          <w:bCs/>
          <w:rtl/>
          <w:lang w:eastAsia="de-DE"/>
        </w:rPr>
        <w:t>לְ</w:t>
      </w:r>
      <w:r w:rsidRPr="00956228">
        <w:rPr>
          <w:rFonts w:eastAsia="Times New Roman"/>
          <w:lang w:eastAsia="de-DE"/>
        </w:rPr>
        <w:t xml:space="preserve">, </w:t>
      </w:r>
      <w:r w:rsidRPr="00956228">
        <w:rPr>
          <w:rFonts w:eastAsia="Times New Roman"/>
          <w:b/>
          <w:bCs/>
          <w:rtl/>
          <w:lang w:eastAsia="de-DE"/>
        </w:rPr>
        <w:t>לוּחֹת הָֽאֲבָנִים</w:t>
      </w:r>
      <w:r w:rsidRPr="00956228">
        <w:rPr>
          <w:rFonts w:eastAsia="Times New Roman"/>
          <w:rtl/>
          <w:lang w:eastAsia="de-DE"/>
        </w:rPr>
        <w:t xml:space="preserve"> </w:t>
      </w:r>
      <w:r w:rsidRPr="00956228">
        <w:rPr>
          <w:rFonts w:eastAsia="Times New Roman"/>
          <w:lang w:eastAsia="de-DE"/>
        </w:rPr>
        <w:t xml:space="preserve">als direktes Objekt – </w:t>
      </w:r>
      <w:r w:rsidRPr="00956228">
        <w:rPr>
          <w:rFonts w:eastAsia="Times New Roman"/>
          <w:b/>
          <w:bCs/>
          <w:rtl/>
          <w:lang w:eastAsia="de-DE"/>
        </w:rPr>
        <w:t>לוּחַ</w:t>
      </w:r>
      <w:r w:rsidRPr="00956228">
        <w:rPr>
          <w:rFonts w:eastAsia="Times New Roman"/>
          <w:lang w:eastAsia="de-DE"/>
        </w:rPr>
        <w:t xml:space="preserve">, „Tafel", Plural Construct, </w:t>
      </w:r>
      <w:r w:rsidRPr="00956228">
        <w:rPr>
          <w:rFonts w:eastAsia="Times New Roman"/>
          <w:b/>
          <w:bCs/>
          <w:rtl/>
          <w:lang w:eastAsia="de-DE"/>
        </w:rPr>
        <w:t>אֶבֶן</w:t>
      </w:r>
      <w:r w:rsidRPr="00956228">
        <w:rPr>
          <w:rFonts w:eastAsia="Times New Roman"/>
          <w:lang w:eastAsia="de-DE"/>
        </w:rPr>
        <w:t xml:space="preserve">, „Stein", Plural – „steinerne Tafeln"), </w:t>
      </w:r>
      <w:r w:rsidRPr="00956228">
        <w:rPr>
          <w:rFonts w:eastAsia="Times New Roman"/>
          <w:b/>
          <w:bCs/>
          <w:rtl/>
          <w:lang w:eastAsia="de-DE"/>
        </w:rPr>
        <w:t>לוּחֹת הַבְּרִית</w:t>
      </w:r>
      <w:r w:rsidRPr="00956228">
        <w:rPr>
          <w:rFonts w:eastAsia="Times New Roman"/>
          <w:rtl/>
          <w:lang w:eastAsia="de-DE"/>
        </w:rPr>
        <w:t xml:space="preserve"> </w:t>
      </w:r>
      <w:r w:rsidRPr="00956228">
        <w:rPr>
          <w:rFonts w:eastAsia="Times New Roman"/>
          <w:lang w:eastAsia="de-DE"/>
        </w:rPr>
        <w:t>als appositionelle Erweiterung (</w:t>
      </w:r>
      <w:r w:rsidRPr="00956228">
        <w:rPr>
          <w:rFonts w:eastAsia="Times New Roman"/>
          <w:b/>
          <w:bCs/>
          <w:rtl/>
          <w:lang w:eastAsia="de-DE"/>
        </w:rPr>
        <w:t>לוּחַ</w:t>
      </w:r>
      <w:r w:rsidRPr="00956228">
        <w:rPr>
          <w:rFonts w:eastAsia="Times New Roman"/>
          <w:lang w:eastAsia="de-DE"/>
        </w:rPr>
        <w:t xml:space="preserve">, Plural Construct, </w:t>
      </w:r>
      <w:r w:rsidRPr="00956228">
        <w:rPr>
          <w:rFonts w:eastAsia="Times New Roman"/>
          <w:b/>
          <w:bCs/>
          <w:rtl/>
          <w:lang w:eastAsia="de-DE"/>
        </w:rPr>
        <w:t>בְּרִית</w:t>
      </w:r>
      <w:r w:rsidRPr="00956228">
        <w:rPr>
          <w:rFonts w:eastAsia="Times New Roman"/>
          <w:lang w:eastAsia="de-DE"/>
        </w:rPr>
        <w:t xml:space="preserve">, „Bund" – „Tafeln des Bundes"), </w:t>
      </w:r>
      <w:r w:rsidRPr="00956228">
        <w:rPr>
          <w:rFonts w:eastAsia="Times New Roman"/>
          <w:b/>
          <w:bCs/>
          <w:rtl/>
          <w:lang w:eastAsia="de-DE"/>
        </w:rPr>
        <w:t>אֲשֶׁר־כָּרַת יְהוָה עִמָּכֶם</w:t>
      </w:r>
      <w:r w:rsidRPr="00956228">
        <w:rPr>
          <w:rFonts w:eastAsia="Times New Roman"/>
          <w:rtl/>
          <w:lang w:eastAsia="de-DE"/>
        </w:rPr>
        <w:t xml:space="preserve"> </w:t>
      </w:r>
      <w:r w:rsidRPr="00956228">
        <w:rPr>
          <w:rFonts w:eastAsia="Times New Roman"/>
          <w:lang w:eastAsia="de-DE"/>
        </w:rPr>
        <w:t xml:space="preserve">als Relativsatz (Qal Perfekt, 3. Person Singular maskulin von </w:t>
      </w:r>
      <w:r w:rsidRPr="00956228">
        <w:rPr>
          <w:rFonts w:eastAsia="Times New Roman"/>
          <w:b/>
          <w:bCs/>
          <w:rtl/>
          <w:lang w:eastAsia="de-DE"/>
        </w:rPr>
        <w:t>כרת</w:t>
      </w:r>
      <w:r w:rsidRPr="00956228">
        <w:rPr>
          <w:rFonts w:eastAsia="Times New Roman"/>
          <w:lang w:eastAsia="de-DE"/>
        </w:rPr>
        <w:t xml:space="preserve">, „schneiden" – idiomatisch „einen Bund schließen", </w:t>
      </w:r>
      <w:r w:rsidRPr="00956228">
        <w:rPr>
          <w:rFonts w:eastAsia="Times New Roman"/>
          <w:b/>
          <w:bCs/>
          <w:rtl/>
          <w:lang w:eastAsia="de-DE"/>
        </w:rPr>
        <w:t>יְהוָה</w:t>
      </w:r>
      <w:r w:rsidRPr="00956228">
        <w:rPr>
          <w:rFonts w:eastAsia="Times New Roman"/>
          <w:rtl/>
          <w:lang w:eastAsia="de-DE"/>
        </w:rPr>
        <w:t xml:space="preserve"> </w:t>
      </w:r>
      <w:r w:rsidRPr="00956228">
        <w:rPr>
          <w:rFonts w:eastAsia="Times New Roman"/>
          <w:lang w:eastAsia="de-DE"/>
        </w:rPr>
        <w:t xml:space="preserve">als Subjekt, </w:t>
      </w:r>
      <w:r w:rsidRPr="00956228">
        <w:rPr>
          <w:rFonts w:eastAsia="Times New Roman"/>
          <w:b/>
          <w:bCs/>
          <w:rtl/>
          <w:lang w:eastAsia="de-DE"/>
        </w:rPr>
        <w:t>עִמָּכֶם</w:t>
      </w:r>
      <w:r w:rsidRPr="00956228">
        <w:rPr>
          <w:rFonts w:eastAsia="Times New Roman"/>
          <w:rtl/>
          <w:lang w:eastAsia="de-DE"/>
        </w:rPr>
        <w:t xml:space="preserve"> </w:t>
      </w:r>
      <w:r w:rsidRPr="00956228">
        <w:rPr>
          <w:rFonts w:eastAsia="Times New Roman"/>
          <w:lang w:eastAsia="de-DE"/>
        </w:rPr>
        <w:t>als präpositionale Ergänzung).</w:t>
      </w:r>
    </w:p>
    <w:p w14:paraId="3F4E1E8A"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b/>
          <w:bCs/>
          <w:rtl/>
          <w:lang w:eastAsia="de-DE"/>
        </w:rPr>
        <w:t>וָאֵשֵׁב בָּהָר אַרְבָּעִים יוֹם וְאַרְבָּעִים לַיְלָה</w:t>
      </w:r>
      <w:r w:rsidRPr="00956228">
        <w:rPr>
          <w:rFonts w:eastAsia="Times New Roman"/>
          <w:rtl/>
          <w:lang w:eastAsia="de-DE"/>
        </w:rPr>
        <w:t xml:space="preserve"> </w:t>
      </w:r>
      <w:r w:rsidRPr="00956228">
        <w:rPr>
          <w:rFonts w:eastAsia="Times New Roman"/>
          <w:lang w:eastAsia="de-DE"/>
        </w:rPr>
        <w:t xml:space="preserve">ist die Hauptaussage: </w:t>
      </w:r>
      <w:r w:rsidRPr="00956228">
        <w:rPr>
          <w:rFonts w:eastAsia="Times New Roman"/>
          <w:b/>
          <w:bCs/>
          <w:rtl/>
          <w:lang w:eastAsia="de-DE"/>
        </w:rPr>
        <w:t>וָאֵשֵׁב</w:t>
      </w:r>
      <w:r w:rsidRPr="00956228">
        <w:rPr>
          <w:rFonts w:eastAsia="Times New Roman"/>
          <w:rtl/>
          <w:lang w:eastAsia="de-DE"/>
        </w:rPr>
        <w:t xml:space="preserve"> </w:t>
      </w:r>
      <w:r w:rsidRPr="00956228">
        <w:rPr>
          <w:rFonts w:eastAsia="Times New Roman"/>
          <w:lang w:eastAsia="de-DE"/>
        </w:rPr>
        <w:t xml:space="preserve">(Qal Imperfekt consecutivum, 1. Person Singular von </w:t>
      </w:r>
      <w:r w:rsidRPr="00956228">
        <w:rPr>
          <w:rFonts w:eastAsia="Times New Roman"/>
          <w:b/>
          <w:bCs/>
          <w:rtl/>
          <w:lang w:eastAsia="de-DE"/>
        </w:rPr>
        <w:t>ישׁב</w:t>
      </w:r>
      <w:r w:rsidRPr="00956228">
        <w:rPr>
          <w:rFonts w:eastAsia="Times New Roman"/>
          <w:lang w:eastAsia="de-DE"/>
        </w:rPr>
        <w:t xml:space="preserve">, „sitzen, bleiben", mit </w:t>
      </w:r>
      <w:r w:rsidRPr="00956228">
        <w:rPr>
          <w:rFonts w:eastAsia="Times New Roman"/>
          <w:b/>
          <w:bCs/>
          <w:rtl/>
          <w:lang w:eastAsia="de-DE"/>
        </w:rPr>
        <w:t>וְ</w:t>
      </w:r>
      <w:r w:rsidRPr="00956228">
        <w:rPr>
          <w:rFonts w:eastAsia="Times New Roman"/>
          <w:lang w:eastAsia="de-DE"/>
        </w:rPr>
        <w:t xml:space="preserve">), </w:t>
      </w:r>
      <w:r w:rsidRPr="00956228">
        <w:rPr>
          <w:rFonts w:eastAsia="Times New Roman"/>
          <w:b/>
          <w:bCs/>
          <w:rtl/>
          <w:lang w:eastAsia="de-DE"/>
        </w:rPr>
        <w:t>בָּהָר</w:t>
      </w:r>
      <w:r w:rsidRPr="00956228">
        <w:rPr>
          <w:rFonts w:eastAsia="Times New Roman"/>
          <w:rtl/>
          <w:lang w:eastAsia="de-DE"/>
        </w:rPr>
        <w:t xml:space="preserve"> </w:t>
      </w:r>
      <w:r w:rsidRPr="00956228">
        <w:rPr>
          <w:rFonts w:eastAsia="Times New Roman"/>
          <w:lang w:eastAsia="de-DE"/>
        </w:rPr>
        <w:t xml:space="preserve">als Ortsangabe, </w:t>
      </w:r>
      <w:r w:rsidRPr="00956228">
        <w:rPr>
          <w:rFonts w:eastAsia="Times New Roman"/>
          <w:b/>
          <w:bCs/>
          <w:rtl/>
          <w:lang w:eastAsia="de-DE"/>
        </w:rPr>
        <w:t>אַרְבָּעִים יוֹם וְאַרְבָּעִים לַיְלָה</w:t>
      </w:r>
      <w:r w:rsidRPr="00956228">
        <w:rPr>
          <w:rFonts w:eastAsia="Times New Roman"/>
          <w:rtl/>
          <w:lang w:eastAsia="de-DE"/>
        </w:rPr>
        <w:t xml:space="preserve"> </w:t>
      </w:r>
      <w:r w:rsidRPr="00956228">
        <w:rPr>
          <w:rFonts w:eastAsia="Times New Roman"/>
          <w:lang w:eastAsia="de-DE"/>
        </w:rPr>
        <w:t>als temporale Bestimmung („vierzig Tage und vierzig Nächte").</w:t>
      </w:r>
    </w:p>
    <w:p w14:paraId="32F67385"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b/>
          <w:bCs/>
          <w:rtl/>
          <w:lang w:eastAsia="de-DE"/>
        </w:rPr>
        <w:lastRenderedPageBreak/>
        <w:t>לֶחֶם לֹא אָכַלְתִּי וּמַיִם לֹא שָׁתִיתִי</w:t>
      </w:r>
      <w:r w:rsidRPr="00956228">
        <w:rPr>
          <w:rFonts w:eastAsia="Times New Roman"/>
          <w:rtl/>
          <w:lang w:eastAsia="de-DE"/>
        </w:rPr>
        <w:t xml:space="preserve"> </w:t>
      </w:r>
      <w:r w:rsidRPr="00956228">
        <w:rPr>
          <w:rFonts w:eastAsia="Times New Roman"/>
          <w:lang w:eastAsia="de-DE"/>
        </w:rPr>
        <w:t xml:space="preserve">ist eine zweigliedrige koordinierte Negativaussage: </w:t>
      </w:r>
      <w:r w:rsidRPr="00956228">
        <w:rPr>
          <w:rFonts w:eastAsia="Times New Roman"/>
          <w:b/>
          <w:bCs/>
          <w:rtl/>
          <w:lang w:eastAsia="de-DE"/>
        </w:rPr>
        <w:t>לֶחֶם לֹא אָכַלְתִּי</w:t>
      </w:r>
      <w:r w:rsidRPr="00956228">
        <w:rPr>
          <w:rFonts w:eastAsia="Times New Roman"/>
          <w:rtl/>
          <w:lang w:eastAsia="de-DE"/>
        </w:rPr>
        <w:t xml:space="preserve"> </w:t>
      </w:r>
      <w:r w:rsidRPr="00956228">
        <w:rPr>
          <w:rFonts w:eastAsia="Times New Roman"/>
          <w:lang w:eastAsia="de-DE"/>
        </w:rPr>
        <w:t>(</w:t>
      </w:r>
      <w:r w:rsidRPr="00956228">
        <w:rPr>
          <w:rFonts w:eastAsia="Times New Roman"/>
          <w:b/>
          <w:bCs/>
          <w:rtl/>
          <w:lang w:eastAsia="de-DE"/>
        </w:rPr>
        <w:t>לֶחֶם</w:t>
      </w:r>
      <w:r w:rsidRPr="00956228">
        <w:rPr>
          <w:rFonts w:eastAsia="Times New Roman"/>
          <w:rtl/>
          <w:lang w:eastAsia="de-DE"/>
        </w:rPr>
        <w:t xml:space="preserve"> </w:t>
      </w:r>
      <w:r w:rsidRPr="00956228">
        <w:rPr>
          <w:rFonts w:eastAsia="Times New Roman"/>
          <w:lang w:eastAsia="de-DE"/>
        </w:rPr>
        <w:t xml:space="preserve">als vorausgestelltes direktes Objekt zur Emphase, </w:t>
      </w:r>
      <w:r w:rsidRPr="00956228">
        <w:rPr>
          <w:rFonts w:eastAsia="Times New Roman"/>
          <w:b/>
          <w:bCs/>
          <w:rtl/>
          <w:lang w:eastAsia="de-DE"/>
        </w:rPr>
        <w:t>לֹא אָכַלְתִּי</w:t>
      </w:r>
      <w:r w:rsidRPr="00956228">
        <w:rPr>
          <w:rFonts w:eastAsia="Times New Roman"/>
          <w:rtl/>
          <w:lang w:eastAsia="de-DE"/>
        </w:rPr>
        <w:t xml:space="preserve"> </w:t>
      </w:r>
      <w:r w:rsidRPr="00956228">
        <w:rPr>
          <w:rFonts w:eastAsia="Times New Roman"/>
          <w:lang w:eastAsia="de-DE"/>
        </w:rPr>
        <w:t xml:space="preserve">als negiertes Qal Perfekt, 1. Person Singular von </w:t>
      </w:r>
      <w:r w:rsidRPr="00956228">
        <w:rPr>
          <w:rFonts w:eastAsia="Times New Roman"/>
          <w:b/>
          <w:bCs/>
          <w:rtl/>
          <w:lang w:eastAsia="de-DE"/>
        </w:rPr>
        <w:t>אכל</w:t>
      </w:r>
      <w:r w:rsidRPr="00956228">
        <w:rPr>
          <w:rFonts w:eastAsia="Times New Roman"/>
          <w:lang w:eastAsia="de-DE"/>
        </w:rPr>
        <w:t xml:space="preserve">, „essen"), </w:t>
      </w:r>
      <w:r w:rsidRPr="00956228">
        <w:rPr>
          <w:rFonts w:eastAsia="Times New Roman"/>
          <w:b/>
          <w:bCs/>
          <w:rtl/>
          <w:lang w:eastAsia="de-DE"/>
        </w:rPr>
        <w:t>וּמַיִם לֹא שָׁתִיתִי</w:t>
      </w:r>
      <w:r w:rsidRPr="00956228">
        <w:rPr>
          <w:rFonts w:eastAsia="Times New Roman"/>
          <w:rtl/>
          <w:lang w:eastAsia="de-DE"/>
        </w:rPr>
        <w:t xml:space="preserve"> </w:t>
      </w:r>
      <w:r w:rsidRPr="00956228">
        <w:rPr>
          <w:rFonts w:eastAsia="Times New Roman"/>
          <w:lang w:eastAsia="de-DE"/>
        </w:rPr>
        <w:t>koordiniert (</w:t>
      </w:r>
      <w:r w:rsidRPr="00956228">
        <w:rPr>
          <w:rFonts w:eastAsia="Times New Roman"/>
          <w:b/>
          <w:bCs/>
          <w:rtl/>
          <w:lang w:eastAsia="de-DE"/>
        </w:rPr>
        <w:t>מַיִם</w:t>
      </w:r>
      <w:r w:rsidRPr="00956228">
        <w:rPr>
          <w:rFonts w:eastAsia="Times New Roman"/>
          <w:rtl/>
          <w:lang w:eastAsia="de-DE"/>
        </w:rPr>
        <w:t xml:space="preserve"> </w:t>
      </w:r>
      <w:r w:rsidRPr="00956228">
        <w:rPr>
          <w:rFonts w:eastAsia="Times New Roman"/>
          <w:lang w:eastAsia="de-DE"/>
        </w:rPr>
        <w:t xml:space="preserve">als vorausgestelltes direktes Objekt, </w:t>
      </w:r>
      <w:r w:rsidRPr="00956228">
        <w:rPr>
          <w:rFonts w:eastAsia="Times New Roman"/>
          <w:b/>
          <w:bCs/>
          <w:rtl/>
          <w:lang w:eastAsia="de-DE"/>
        </w:rPr>
        <w:t>לֹא שָׁתִיתִי</w:t>
      </w:r>
      <w:r w:rsidRPr="00956228">
        <w:rPr>
          <w:rFonts w:eastAsia="Times New Roman"/>
          <w:rtl/>
          <w:lang w:eastAsia="de-DE"/>
        </w:rPr>
        <w:t xml:space="preserve"> </w:t>
      </w:r>
      <w:r w:rsidRPr="00956228">
        <w:rPr>
          <w:rFonts w:eastAsia="Times New Roman"/>
          <w:lang w:eastAsia="de-DE"/>
        </w:rPr>
        <w:t xml:space="preserve">als negiertes Qal Perfekt, 1. Person Singular von </w:t>
      </w:r>
      <w:r w:rsidRPr="00956228">
        <w:rPr>
          <w:rFonts w:eastAsia="Times New Roman"/>
          <w:b/>
          <w:bCs/>
          <w:rtl/>
          <w:lang w:eastAsia="de-DE"/>
        </w:rPr>
        <w:t>שׁתה</w:t>
      </w:r>
      <w:r w:rsidRPr="00956228">
        <w:rPr>
          <w:rFonts w:eastAsia="Times New Roman"/>
          <w:lang w:eastAsia="de-DE"/>
        </w:rPr>
        <w:t>, „trinken").</w:t>
      </w:r>
    </w:p>
    <w:p w14:paraId="33BA718F"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lang w:eastAsia="de-DE"/>
        </w:rPr>
        <w:t xml:space="preserve">Der Vers beginnt Moses' Erzählung der goldenen Kalb-Episode aus seiner Perspektive (vgl. Ex 24,12-18; 31,18). Die vierzigtägige Fastenzeit auf dem Berg unterstreicht die Heiligkeit der Begegnung. Die Formulierung </w:t>
      </w:r>
      <w:r w:rsidRPr="00956228">
        <w:rPr>
          <w:rFonts w:eastAsia="Times New Roman"/>
          <w:b/>
          <w:bCs/>
          <w:rtl/>
          <w:lang w:eastAsia="de-DE"/>
        </w:rPr>
        <w:t>לוּחֹת הַבְּרִית אֲשֶׁר־כָּרַת יְהוָה עִמָּכֶם</w:t>
      </w:r>
      <w:r w:rsidRPr="00956228">
        <w:rPr>
          <w:rFonts w:eastAsia="Times New Roman"/>
          <w:rtl/>
          <w:lang w:eastAsia="de-DE"/>
        </w:rPr>
        <w:t xml:space="preserve"> </w:t>
      </w:r>
      <w:r w:rsidRPr="00956228">
        <w:rPr>
          <w:rFonts w:eastAsia="Times New Roman"/>
          <w:lang w:eastAsia="de-DE"/>
        </w:rPr>
        <w:t>betont: Die Tafeln waren Bundesurkunde. Die zweigliedrige Negativaussage (kein Brot, kein Wasser) beschreibt übernatürliche Erhaltung während der Gottesbegegnung.</w:t>
      </w:r>
    </w:p>
    <w:p w14:paraId="12A3564A"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lang w:eastAsia="de-DE"/>
        </w:rPr>
        <w:t>Die Satzstruktur ist ein temporaler Umstandssatz (mit Infinitiv, Richtungsangabe, finalem Infinitiv, appositiver Erweiterung und Relativsatz), gefolgt von der Hauptaussage mit Ortsangabe und temporaler Bestimmung sowie einer zweigliedrigen koordinierten Negativaussage mit vorausgestellten Objekten.</w:t>
      </w:r>
    </w:p>
    <w:p w14:paraId="1F321878"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lang w:eastAsia="de-DE"/>
        </w:rPr>
        <w:t>Der Vers beginnt die Erzählung: Als ich auf den Berg stieg, um die Bundestafeln zu empfangen, blieb ich vierzig Tage und Nächte dort – ohne Brot und Wasser.</w:t>
      </w:r>
    </w:p>
    <w:p w14:paraId="5FE18749" w14:textId="77777777" w:rsidR="00956228" w:rsidRPr="00956228" w:rsidRDefault="00956228" w:rsidP="00956228">
      <w:pPr>
        <w:spacing w:before="100" w:beforeAutospacing="1" w:after="100" w:afterAutospacing="1" w:line="240" w:lineRule="auto"/>
        <w:outlineLvl w:val="1"/>
        <w:rPr>
          <w:rFonts w:eastAsia="Times New Roman"/>
          <w:b/>
          <w:bCs/>
          <w:sz w:val="36"/>
          <w:szCs w:val="36"/>
          <w:lang w:eastAsia="de-DE"/>
        </w:rPr>
      </w:pPr>
      <w:r w:rsidRPr="00956228">
        <w:rPr>
          <w:rFonts w:eastAsia="Times New Roman"/>
          <w:b/>
          <w:bCs/>
          <w:sz w:val="36"/>
          <w:szCs w:val="36"/>
          <w:lang w:eastAsia="de-DE"/>
        </w:rPr>
        <w:t>Deuteronomium 9,10</w:t>
      </w:r>
    </w:p>
    <w:p w14:paraId="6A0FF799"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b/>
          <w:bCs/>
          <w:lang w:eastAsia="de-DE"/>
        </w:rPr>
        <w:t>Hebräisch:</w:t>
      </w:r>
      <w:r w:rsidRPr="00956228">
        <w:rPr>
          <w:rFonts w:eastAsia="Times New Roman"/>
          <w:lang w:eastAsia="de-DE"/>
        </w:rPr>
        <w:t xml:space="preserve"> </w:t>
      </w:r>
      <w:r w:rsidRPr="00956228">
        <w:rPr>
          <w:rFonts w:eastAsia="Times New Roman"/>
          <w:rtl/>
          <w:lang w:eastAsia="de-DE"/>
        </w:rPr>
        <w:t>וַיִּתֵּן יְהוָה אֵלַי אֶת־שְׁנֵי לוּחֹת הָֽאֲבָנִים כְּתֻבִים בְּאֶצְבַּע אֱלֹהִים וַעֲלֵיהֶם כְּֽכָל־הַדְּבָרִים אֲשֶׁר דִּבֶּר יְהוָה עִמָּכֶם בָּהָר מִתּוֹךְ הָאֵשׁ בְּיוֹם הַקָּהָל׃</w:t>
      </w:r>
    </w:p>
    <w:p w14:paraId="019AA0FF"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b/>
          <w:bCs/>
          <w:lang w:eastAsia="de-DE"/>
        </w:rPr>
        <w:t>Deutsch:</w:t>
      </w:r>
      <w:r w:rsidRPr="00956228">
        <w:rPr>
          <w:rFonts w:eastAsia="Times New Roman"/>
          <w:lang w:eastAsia="de-DE"/>
        </w:rPr>
        <w:t xml:space="preserve"> und der Ewige gab mir die zwei steinernen Tafeln, beschrieben mit dem Finger Gottes; und auf ihnen standen alle die Worte, die der Ewige auf dem Berg mit euch geredet hatte, mitten aus dem Feuer am Tag der Versammlung.</w:t>
      </w:r>
    </w:p>
    <w:p w14:paraId="241F0625" w14:textId="77777777" w:rsidR="00956228" w:rsidRPr="00956228" w:rsidRDefault="004F5CEB" w:rsidP="00956228">
      <w:pPr>
        <w:spacing w:after="0" w:line="240" w:lineRule="auto"/>
        <w:rPr>
          <w:rFonts w:eastAsia="Times New Roman"/>
          <w:lang w:eastAsia="de-DE"/>
        </w:rPr>
      </w:pPr>
      <w:r>
        <w:rPr>
          <w:rFonts w:eastAsia="Times New Roman"/>
          <w:noProof/>
          <w:lang w:eastAsia="de-DE"/>
        </w:rPr>
        <w:pict w14:anchorId="086DA7BB">
          <v:rect id="_x0000_i1299" style="width:0;height:1.5pt" o:hralign="center" o:hrstd="t" o:hr="t" fillcolor="#a0a0a0" stroked="f"/>
        </w:pict>
      </w:r>
    </w:p>
    <w:p w14:paraId="553B7310"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b/>
          <w:bCs/>
          <w:lang w:eastAsia="de-DE"/>
        </w:rPr>
        <w:t>Kommentar:</w:t>
      </w:r>
      <w:r w:rsidRPr="00956228">
        <w:rPr>
          <w:rFonts w:eastAsia="Times New Roman"/>
          <w:lang w:eastAsia="de-DE"/>
        </w:rPr>
        <w:t xml:space="preserve"> </w:t>
      </w:r>
      <w:r w:rsidRPr="00956228">
        <w:rPr>
          <w:rFonts w:eastAsia="Times New Roman"/>
          <w:b/>
          <w:bCs/>
          <w:rtl/>
          <w:lang w:eastAsia="de-DE"/>
        </w:rPr>
        <w:t>וַיִּתֵּן יְהוָה אֵלַי אֶת־שְׁנֵי לוּחֹת הָֽאֲבָנִים כְּתֻבִים בְּאֶצְבַּע אֱלֹהִים</w:t>
      </w:r>
      <w:r w:rsidRPr="00956228">
        <w:rPr>
          <w:rFonts w:eastAsia="Times New Roman"/>
          <w:rtl/>
          <w:lang w:eastAsia="de-DE"/>
        </w:rPr>
        <w:t xml:space="preserve"> </w:t>
      </w:r>
      <w:r w:rsidRPr="00956228">
        <w:rPr>
          <w:rFonts w:eastAsia="Times New Roman"/>
          <w:lang w:eastAsia="de-DE"/>
        </w:rPr>
        <w:t xml:space="preserve">ist die Hauptaussage: </w:t>
      </w:r>
      <w:r w:rsidRPr="00956228">
        <w:rPr>
          <w:rFonts w:eastAsia="Times New Roman"/>
          <w:b/>
          <w:bCs/>
          <w:rtl/>
          <w:lang w:eastAsia="de-DE"/>
        </w:rPr>
        <w:t>וַיִּתֵּן</w:t>
      </w:r>
      <w:r w:rsidRPr="00956228">
        <w:rPr>
          <w:rFonts w:eastAsia="Times New Roman"/>
          <w:rtl/>
          <w:lang w:eastAsia="de-DE"/>
        </w:rPr>
        <w:t xml:space="preserve"> </w:t>
      </w:r>
      <w:r w:rsidRPr="00956228">
        <w:rPr>
          <w:rFonts w:eastAsia="Times New Roman"/>
          <w:lang w:eastAsia="de-DE"/>
        </w:rPr>
        <w:t xml:space="preserve">(Qal Imperfekt consecutivum, 3. Person Singular maskulin von </w:t>
      </w:r>
      <w:r w:rsidRPr="00956228">
        <w:rPr>
          <w:rFonts w:eastAsia="Times New Roman"/>
          <w:b/>
          <w:bCs/>
          <w:rtl/>
          <w:lang w:eastAsia="de-DE"/>
        </w:rPr>
        <w:t>נתן</w:t>
      </w:r>
      <w:r w:rsidRPr="00956228">
        <w:rPr>
          <w:rFonts w:eastAsia="Times New Roman"/>
          <w:lang w:eastAsia="de-DE"/>
        </w:rPr>
        <w:t xml:space="preserve">, „geben", mit </w:t>
      </w:r>
      <w:r w:rsidRPr="00956228">
        <w:rPr>
          <w:rFonts w:eastAsia="Times New Roman"/>
          <w:b/>
          <w:bCs/>
          <w:rtl/>
          <w:lang w:eastAsia="de-DE"/>
        </w:rPr>
        <w:t>וְ</w:t>
      </w:r>
      <w:r w:rsidRPr="00956228">
        <w:rPr>
          <w:rFonts w:eastAsia="Times New Roman"/>
          <w:lang w:eastAsia="de-DE"/>
        </w:rPr>
        <w:t xml:space="preserve">), </w:t>
      </w:r>
      <w:r w:rsidRPr="00956228">
        <w:rPr>
          <w:rFonts w:eastAsia="Times New Roman"/>
          <w:b/>
          <w:bCs/>
          <w:rtl/>
          <w:lang w:eastAsia="de-DE"/>
        </w:rPr>
        <w:t>יְהוָה</w:t>
      </w:r>
      <w:r w:rsidRPr="00956228">
        <w:rPr>
          <w:rFonts w:eastAsia="Times New Roman"/>
          <w:rtl/>
          <w:lang w:eastAsia="de-DE"/>
        </w:rPr>
        <w:t xml:space="preserve"> </w:t>
      </w:r>
      <w:r w:rsidRPr="00956228">
        <w:rPr>
          <w:rFonts w:eastAsia="Times New Roman"/>
          <w:lang w:eastAsia="de-DE"/>
        </w:rPr>
        <w:t xml:space="preserve">als Subjekt, </w:t>
      </w:r>
      <w:r w:rsidRPr="00956228">
        <w:rPr>
          <w:rFonts w:eastAsia="Times New Roman"/>
          <w:b/>
          <w:bCs/>
          <w:rtl/>
          <w:lang w:eastAsia="de-DE"/>
        </w:rPr>
        <w:t>אֵלַי</w:t>
      </w:r>
      <w:r w:rsidRPr="00956228">
        <w:rPr>
          <w:rFonts w:eastAsia="Times New Roman"/>
          <w:rtl/>
          <w:lang w:eastAsia="de-DE"/>
        </w:rPr>
        <w:t xml:space="preserve"> </w:t>
      </w:r>
      <w:r w:rsidRPr="00956228">
        <w:rPr>
          <w:rFonts w:eastAsia="Times New Roman"/>
          <w:lang w:eastAsia="de-DE"/>
        </w:rPr>
        <w:t xml:space="preserve">als indirektes Objekt, </w:t>
      </w:r>
      <w:r w:rsidRPr="00956228">
        <w:rPr>
          <w:rFonts w:eastAsia="Times New Roman"/>
          <w:b/>
          <w:bCs/>
          <w:rtl/>
          <w:lang w:eastAsia="de-DE"/>
        </w:rPr>
        <w:t>אֶת־שְׁנֵי לוּחֹת הָֽאֲבָנִים</w:t>
      </w:r>
      <w:r w:rsidRPr="00956228">
        <w:rPr>
          <w:rFonts w:eastAsia="Times New Roman"/>
          <w:rtl/>
          <w:lang w:eastAsia="de-DE"/>
        </w:rPr>
        <w:t xml:space="preserve"> </w:t>
      </w:r>
      <w:r w:rsidRPr="00956228">
        <w:rPr>
          <w:rFonts w:eastAsia="Times New Roman"/>
          <w:lang w:eastAsia="de-DE"/>
        </w:rPr>
        <w:t>als direktes Objekt (</w:t>
      </w:r>
      <w:r w:rsidRPr="00956228">
        <w:rPr>
          <w:rFonts w:eastAsia="Times New Roman"/>
          <w:b/>
          <w:bCs/>
          <w:rtl/>
          <w:lang w:eastAsia="de-DE"/>
        </w:rPr>
        <w:t>שְׁנַיִם</w:t>
      </w:r>
      <w:r w:rsidRPr="00956228">
        <w:rPr>
          <w:rFonts w:eastAsia="Times New Roman"/>
          <w:lang w:eastAsia="de-DE"/>
        </w:rPr>
        <w:t xml:space="preserve">, „zwei", im Construct mit </w:t>
      </w:r>
      <w:r w:rsidRPr="00956228">
        <w:rPr>
          <w:rFonts w:eastAsia="Times New Roman"/>
          <w:b/>
          <w:bCs/>
          <w:rtl/>
          <w:lang w:eastAsia="de-DE"/>
        </w:rPr>
        <w:t>לוּחַ</w:t>
      </w:r>
      <w:r w:rsidRPr="00956228">
        <w:rPr>
          <w:rFonts w:eastAsia="Times New Roman"/>
          <w:lang w:eastAsia="de-DE"/>
        </w:rPr>
        <w:t xml:space="preserve">, Plural Construct, </w:t>
      </w:r>
      <w:r w:rsidRPr="00956228">
        <w:rPr>
          <w:rFonts w:eastAsia="Times New Roman"/>
          <w:b/>
          <w:bCs/>
          <w:rtl/>
          <w:lang w:eastAsia="de-DE"/>
        </w:rPr>
        <w:t>אֶבֶן</w:t>
      </w:r>
      <w:r w:rsidRPr="00956228">
        <w:rPr>
          <w:rFonts w:eastAsia="Times New Roman"/>
          <w:lang w:eastAsia="de-DE"/>
        </w:rPr>
        <w:t xml:space="preserve">, Plural), </w:t>
      </w:r>
      <w:r w:rsidRPr="00956228">
        <w:rPr>
          <w:rFonts w:eastAsia="Times New Roman"/>
          <w:b/>
          <w:bCs/>
          <w:rtl/>
          <w:lang w:eastAsia="de-DE"/>
        </w:rPr>
        <w:t>כְּתֻבִים בְּאֶצְבַּע אֱלֹהִים</w:t>
      </w:r>
      <w:r w:rsidRPr="00956228">
        <w:rPr>
          <w:rFonts w:eastAsia="Times New Roman"/>
          <w:rtl/>
          <w:lang w:eastAsia="de-DE"/>
        </w:rPr>
        <w:t xml:space="preserve"> </w:t>
      </w:r>
      <w:r w:rsidRPr="00956228">
        <w:rPr>
          <w:rFonts w:eastAsia="Times New Roman"/>
          <w:lang w:eastAsia="de-DE"/>
        </w:rPr>
        <w:t xml:space="preserve">als partizipiale Apposition (Qal Passiv Partizip Plural maskulin von </w:t>
      </w:r>
      <w:r w:rsidRPr="00956228">
        <w:rPr>
          <w:rFonts w:eastAsia="Times New Roman"/>
          <w:b/>
          <w:bCs/>
          <w:rtl/>
          <w:lang w:eastAsia="de-DE"/>
        </w:rPr>
        <w:t>כתב</w:t>
      </w:r>
      <w:r w:rsidRPr="00956228">
        <w:rPr>
          <w:rFonts w:eastAsia="Times New Roman"/>
          <w:lang w:eastAsia="de-DE"/>
        </w:rPr>
        <w:t xml:space="preserve">, „schreiben", </w:t>
      </w:r>
      <w:r w:rsidRPr="00956228">
        <w:rPr>
          <w:rFonts w:eastAsia="Times New Roman"/>
          <w:b/>
          <w:bCs/>
          <w:rtl/>
          <w:lang w:eastAsia="de-DE"/>
        </w:rPr>
        <w:t>בְּאֶצְבַּע אֱלֹהִים</w:t>
      </w:r>
      <w:r w:rsidRPr="00956228">
        <w:rPr>
          <w:rFonts w:eastAsia="Times New Roman"/>
          <w:rtl/>
          <w:lang w:eastAsia="de-DE"/>
        </w:rPr>
        <w:t xml:space="preserve"> </w:t>
      </w:r>
      <w:r w:rsidRPr="00956228">
        <w:rPr>
          <w:rFonts w:eastAsia="Times New Roman"/>
          <w:lang w:eastAsia="de-DE"/>
        </w:rPr>
        <w:t xml:space="preserve">als instrumentale Bestimmung – </w:t>
      </w:r>
      <w:r w:rsidRPr="00956228">
        <w:rPr>
          <w:rFonts w:eastAsia="Times New Roman"/>
          <w:b/>
          <w:bCs/>
          <w:rtl/>
          <w:lang w:eastAsia="de-DE"/>
        </w:rPr>
        <w:t>בְּ</w:t>
      </w:r>
      <w:r w:rsidRPr="00956228">
        <w:rPr>
          <w:rFonts w:eastAsia="Times New Roman"/>
          <w:rtl/>
          <w:lang w:eastAsia="de-DE"/>
        </w:rPr>
        <w:t xml:space="preserve"> </w:t>
      </w:r>
      <w:r w:rsidRPr="00956228">
        <w:rPr>
          <w:rFonts w:eastAsia="Times New Roman"/>
          <w:lang w:eastAsia="de-DE"/>
        </w:rPr>
        <w:t xml:space="preserve">mit </w:t>
      </w:r>
      <w:r w:rsidRPr="00956228">
        <w:rPr>
          <w:rFonts w:eastAsia="Times New Roman"/>
          <w:b/>
          <w:bCs/>
          <w:rtl/>
          <w:lang w:eastAsia="de-DE"/>
        </w:rPr>
        <w:t>אֶצְבַּע</w:t>
      </w:r>
      <w:r w:rsidRPr="00956228">
        <w:rPr>
          <w:rFonts w:eastAsia="Times New Roman"/>
          <w:lang w:eastAsia="de-DE"/>
        </w:rPr>
        <w:t xml:space="preserve">, „Finger", im Construct mit </w:t>
      </w:r>
      <w:r w:rsidRPr="00956228">
        <w:rPr>
          <w:rFonts w:eastAsia="Times New Roman"/>
          <w:b/>
          <w:bCs/>
          <w:rtl/>
          <w:lang w:eastAsia="de-DE"/>
        </w:rPr>
        <w:t>אֱלֹהִים</w:t>
      </w:r>
      <w:r w:rsidRPr="00956228">
        <w:rPr>
          <w:rFonts w:eastAsia="Times New Roman"/>
          <w:rtl/>
          <w:lang w:eastAsia="de-DE"/>
        </w:rPr>
        <w:t xml:space="preserve"> </w:t>
      </w:r>
      <w:r w:rsidRPr="00956228">
        <w:rPr>
          <w:rFonts w:eastAsia="Times New Roman"/>
          <w:lang w:eastAsia="de-DE"/>
        </w:rPr>
        <w:t>– „mit dem Finger Gottes").</w:t>
      </w:r>
    </w:p>
    <w:p w14:paraId="64BA05F0"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b/>
          <w:bCs/>
          <w:rtl/>
          <w:lang w:eastAsia="de-DE"/>
        </w:rPr>
        <w:t>וַעֲלֵיהֶם כְּֽכָל־הַדְּבָרִים אֲשֶׁר דִּבֶּר יְהוָה עִמָּכֶם בָּהָר מִתּוֹךְ הָאֵשׁ בְּיוֹם הַקָּהָל</w:t>
      </w:r>
      <w:r w:rsidRPr="00956228">
        <w:rPr>
          <w:rFonts w:eastAsia="Times New Roman"/>
          <w:rtl/>
          <w:lang w:eastAsia="de-DE"/>
        </w:rPr>
        <w:t xml:space="preserve"> </w:t>
      </w:r>
      <w:r w:rsidRPr="00956228">
        <w:rPr>
          <w:rFonts w:eastAsia="Times New Roman"/>
          <w:lang w:eastAsia="de-DE"/>
        </w:rPr>
        <w:t xml:space="preserve">ist die Inhaltsbeschreibung: </w:t>
      </w:r>
      <w:r w:rsidRPr="00956228">
        <w:rPr>
          <w:rFonts w:eastAsia="Times New Roman"/>
          <w:b/>
          <w:bCs/>
          <w:rtl/>
          <w:lang w:eastAsia="de-DE"/>
        </w:rPr>
        <w:t>וַעֲלֵיהֶם</w:t>
      </w:r>
      <w:r w:rsidRPr="00956228">
        <w:rPr>
          <w:rFonts w:eastAsia="Times New Roman"/>
          <w:rtl/>
          <w:lang w:eastAsia="de-DE"/>
        </w:rPr>
        <w:t xml:space="preserve"> </w:t>
      </w:r>
      <w:r w:rsidRPr="00956228">
        <w:rPr>
          <w:rFonts w:eastAsia="Times New Roman"/>
          <w:lang w:eastAsia="de-DE"/>
        </w:rPr>
        <w:t>als Ortsangabe (</w:t>
      </w:r>
      <w:r w:rsidRPr="00956228">
        <w:rPr>
          <w:rFonts w:eastAsia="Times New Roman"/>
          <w:b/>
          <w:bCs/>
          <w:rtl/>
          <w:lang w:eastAsia="de-DE"/>
        </w:rPr>
        <w:t>וְ</w:t>
      </w:r>
      <w:r w:rsidRPr="00956228">
        <w:rPr>
          <w:rFonts w:eastAsia="Times New Roman"/>
          <w:rtl/>
          <w:lang w:eastAsia="de-DE"/>
        </w:rPr>
        <w:t xml:space="preserve"> </w:t>
      </w:r>
      <w:r w:rsidRPr="00956228">
        <w:rPr>
          <w:rFonts w:eastAsia="Times New Roman"/>
          <w:lang w:eastAsia="de-DE"/>
        </w:rPr>
        <w:t xml:space="preserve">mit </w:t>
      </w:r>
      <w:r w:rsidRPr="00956228">
        <w:rPr>
          <w:rFonts w:eastAsia="Times New Roman"/>
          <w:b/>
          <w:bCs/>
          <w:rtl/>
          <w:lang w:eastAsia="de-DE"/>
        </w:rPr>
        <w:t>עַל</w:t>
      </w:r>
      <w:r w:rsidRPr="00956228">
        <w:rPr>
          <w:rFonts w:eastAsia="Times New Roman"/>
          <w:rtl/>
          <w:lang w:eastAsia="de-DE"/>
        </w:rPr>
        <w:t xml:space="preserve"> </w:t>
      </w:r>
      <w:r w:rsidRPr="00956228">
        <w:rPr>
          <w:rFonts w:eastAsia="Times New Roman"/>
          <w:lang w:eastAsia="de-DE"/>
        </w:rPr>
        <w:t xml:space="preserve">und Suffix 3. Person Plural maskulin – „und auf ihnen"), </w:t>
      </w:r>
      <w:r w:rsidRPr="00956228">
        <w:rPr>
          <w:rFonts w:eastAsia="Times New Roman"/>
          <w:b/>
          <w:bCs/>
          <w:rtl/>
          <w:lang w:eastAsia="de-DE"/>
        </w:rPr>
        <w:t>כְּֽכָל־הַדְּבָרִים</w:t>
      </w:r>
      <w:r w:rsidRPr="00956228">
        <w:rPr>
          <w:rFonts w:eastAsia="Times New Roman"/>
          <w:rtl/>
          <w:lang w:eastAsia="de-DE"/>
        </w:rPr>
        <w:t xml:space="preserve"> </w:t>
      </w:r>
      <w:r w:rsidRPr="00956228">
        <w:rPr>
          <w:rFonts w:eastAsia="Times New Roman"/>
          <w:lang w:eastAsia="de-DE"/>
        </w:rPr>
        <w:t>als Subjekt (</w:t>
      </w:r>
      <w:r w:rsidRPr="00956228">
        <w:rPr>
          <w:rFonts w:eastAsia="Times New Roman"/>
          <w:b/>
          <w:bCs/>
          <w:rtl/>
          <w:lang w:eastAsia="de-DE"/>
        </w:rPr>
        <w:t>כְּ</w:t>
      </w:r>
      <w:r w:rsidRPr="00956228">
        <w:rPr>
          <w:rFonts w:eastAsia="Times New Roman"/>
          <w:rtl/>
          <w:lang w:eastAsia="de-DE"/>
        </w:rPr>
        <w:t xml:space="preserve"> </w:t>
      </w:r>
      <w:r w:rsidRPr="00956228">
        <w:rPr>
          <w:rFonts w:eastAsia="Times New Roman"/>
          <w:lang w:eastAsia="de-DE"/>
        </w:rPr>
        <w:t xml:space="preserve">mit </w:t>
      </w:r>
      <w:r w:rsidRPr="00956228">
        <w:rPr>
          <w:rFonts w:eastAsia="Times New Roman"/>
          <w:b/>
          <w:bCs/>
          <w:rtl/>
          <w:lang w:eastAsia="de-DE"/>
        </w:rPr>
        <w:t>כָּל</w:t>
      </w:r>
      <w:r w:rsidRPr="00956228">
        <w:rPr>
          <w:rFonts w:eastAsia="Times New Roman"/>
          <w:rtl/>
          <w:lang w:eastAsia="de-DE"/>
        </w:rPr>
        <w:t xml:space="preserve"> </w:t>
      </w:r>
      <w:r w:rsidRPr="00956228">
        <w:rPr>
          <w:rFonts w:eastAsia="Times New Roman"/>
          <w:lang w:eastAsia="de-DE"/>
        </w:rPr>
        <w:t xml:space="preserve">im Construct und </w:t>
      </w:r>
      <w:r w:rsidRPr="00956228">
        <w:rPr>
          <w:rFonts w:eastAsia="Times New Roman"/>
          <w:b/>
          <w:bCs/>
          <w:rtl/>
          <w:lang w:eastAsia="de-DE"/>
        </w:rPr>
        <w:t>דָּבָר</w:t>
      </w:r>
      <w:r w:rsidRPr="00956228">
        <w:rPr>
          <w:rFonts w:eastAsia="Times New Roman"/>
          <w:lang w:eastAsia="de-DE"/>
        </w:rPr>
        <w:t xml:space="preserve">, „Wort, Sache", Plural – „wie alle die Worte"), </w:t>
      </w:r>
      <w:r w:rsidRPr="00956228">
        <w:rPr>
          <w:rFonts w:eastAsia="Times New Roman"/>
          <w:b/>
          <w:bCs/>
          <w:rtl/>
          <w:lang w:eastAsia="de-DE"/>
        </w:rPr>
        <w:t>אֲשֶׁר דִּבֶּר יְהוָה עִמָּכֶם</w:t>
      </w:r>
      <w:r w:rsidRPr="00956228">
        <w:rPr>
          <w:rFonts w:eastAsia="Times New Roman"/>
          <w:rtl/>
          <w:lang w:eastAsia="de-DE"/>
        </w:rPr>
        <w:t xml:space="preserve"> </w:t>
      </w:r>
      <w:r w:rsidRPr="00956228">
        <w:rPr>
          <w:rFonts w:eastAsia="Times New Roman"/>
          <w:lang w:eastAsia="de-DE"/>
        </w:rPr>
        <w:t xml:space="preserve">als Relativsatz (Piel Perfekt, 3. Person Singular maskulin von </w:t>
      </w:r>
      <w:r w:rsidRPr="00956228">
        <w:rPr>
          <w:rFonts w:eastAsia="Times New Roman"/>
          <w:b/>
          <w:bCs/>
          <w:rtl/>
          <w:lang w:eastAsia="de-DE"/>
        </w:rPr>
        <w:t>דבר</w:t>
      </w:r>
      <w:r w:rsidRPr="00956228">
        <w:rPr>
          <w:rFonts w:eastAsia="Times New Roman"/>
          <w:lang w:eastAsia="de-DE"/>
        </w:rPr>
        <w:t xml:space="preserve">, „reden", </w:t>
      </w:r>
      <w:r w:rsidRPr="00956228">
        <w:rPr>
          <w:rFonts w:eastAsia="Times New Roman"/>
          <w:b/>
          <w:bCs/>
          <w:rtl/>
          <w:lang w:eastAsia="de-DE"/>
        </w:rPr>
        <w:t>יְהוָה</w:t>
      </w:r>
      <w:r w:rsidRPr="00956228">
        <w:rPr>
          <w:rFonts w:eastAsia="Times New Roman"/>
          <w:rtl/>
          <w:lang w:eastAsia="de-DE"/>
        </w:rPr>
        <w:t xml:space="preserve"> </w:t>
      </w:r>
      <w:r w:rsidRPr="00956228">
        <w:rPr>
          <w:rFonts w:eastAsia="Times New Roman"/>
          <w:lang w:eastAsia="de-DE"/>
        </w:rPr>
        <w:t xml:space="preserve">als Subjekt, </w:t>
      </w:r>
      <w:r w:rsidRPr="00956228">
        <w:rPr>
          <w:rFonts w:eastAsia="Times New Roman"/>
          <w:b/>
          <w:bCs/>
          <w:rtl/>
          <w:lang w:eastAsia="de-DE"/>
        </w:rPr>
        <w:t>עִמָּכֶם</w:t>
      </w:r>
      <w:r w:rsidRPr="00956228">
        <w:rPr>
          <w:rFonts w:eastAsia="Times New Roman"/>
          <w:rtl/>
          <w:lang w:eastAsia="de-DE"/>
        </w:rPr>
        <w:t xml:space="preserve"> </w:t>
      </w:r>
      <w:r w:rsidRPr="00956228">
        <w:rPr>
          <w:rFonts w:eastAsia="Times New Roman"/>
          <w:lang w:eastAsia="de-DE"/>
        </w:rPr>
        <w:t xml:space="preserve">als präpositionale Ergänzung), </w:t>
      </w:r>
      <w:r w:rsidRPr="00956228">
        <w:rPr>
          <w:rFonts w:eastAsia="Times New Roman"/>
          <w:b/>
          <w:bCs/>
          <w:rtl/>
          <w:lang w:eastAsia="de-DE"/>
        </w:rPr>
        <w:t>בָּהָר מִתּוֹךְ הָאֵשׁ בְּיוֹם הַקָּהָל</w:t>
      </w:r>
      <w:r w:rsidRPr="00956228">
        <w:rPr>
          <w:rFonts w:eastAsia="Times New Roman"/>
          <w:rtl/>
          <w:lang w:eastAsia="de-DE"/>
        </w:rPr>
        <w:t xml:space="preserve"> </w:t>
      </w:r>
      <w:r w:rsidRPr="00956228">
        <w:rPr>
          <w:rFonts w:eastAsia="Times New Roman"/>
          <w:lang w:eastAsia="de-DE"/>
        </w:rPr>
        <w:t>als dreigliedrige lokale bzw. temporale Bestimmung (</w:t>
      </w:r>
      <w:r w:rsidRPr="00956228">
        <w:rPr>
          <w:rFonts w:eastAsia="Times New Roman"/>
          <w:b/>
          <w:bCs/>
          <w:rtl/>
          <w:lang w:eastAsia="de-DE"/>
        </w:rPr>
        <w:t>בָּהָר</w:t>
      </w:r>
      <w:r w:rsidRPr="00956228">
        <w:rPr>
          <w:rFonts w:eastAsia="Times New Roman"/>
          <w:rtl/>
          <w:lang w:eastAsia="de-DE"/>
        </w:rPr>
        <w:t xml:space="preserve"> </w:t>
      </w:r>
      <w:r w:rsidRPr="00956228">
        <w:rPr>
          <w:rFonts w:eastAsia="Times New Roman"/>
          <w:lang w:eastAsia="de-DE"/>
        </w:rPr>
        <w:t xml:space="preserve">– „auf dem Berg", </w:t>
      </w:r>
      <w:r w:rsidRPr="00956228">
        <w:rPr>
          <w:rFonts w:eastAsia="Times New Roman"/>
          <w:b/>
          <w:bCs/>
          <w:rtl/>
          <w:lang w:eastAsia="de-DE"/>
        </w:rPr>
        <w:t>מִתּוֹךְ הָאֵשׁ</w:t>
      </w:r>
      <w:r w:rsidRPr="00956228">
        <w:rPr>
          <w:rFonts w:eastAsia="Times New Roman"/>
          <w:rtl/>
          <w:lang w:eastAsia="de-DE"/>
        </w:rPr>
        <w:t xml:space="preserve"> </w:t>
      </w:r>
      <w:r w:rsidRPr="00956228">
        <w:rPr>
          <w:rFonts w:eastAsia="Times New Roman"/>
          <w:lang w:eastAsia="de-DE"/>
        </w:rPr>
        <w:t xml:space="preserve">– </w:t>
      </w:r>
      <w:r w:rsidRPr="00956228">
        <w:rPr>
          <w:rFonts w:eastAsia="Times New Roman"/>
          <w:b/>
          <w:bCs/>
          <w:rtl/>
          <w:lang w:eastAsia="de-DE"/>
        </w:rPr>
        <w:t>מִן</w:t>
      </w:r>
      <w:r w:rsidRPr="00956228">
        <w:rPr>
          <w:rFonts w:eastAsia="Times New Roman"/>
          <w:rtl/>
          <w:lang w:eastAsia="de-DE"/>
        </w:rPr>
        <w:t xml:space="preserve"> </w:t>
      </w:r>
      <w:r w:rsidRPr="00956228">
        <w:rPr>
          <w:rFonts w:eastAsia="Times New Roman"/>
          <w:lang w:eastAsia="de-DE"/>
        </w:rPr>
        <w:t xml:space="preserve">mit </w:t>
      </w:r>
      <w:r w:rsidRPr="00956228">
        <w:rPr>
          <w:rFonts w:eastAsia="Times New Roman"/>
          <w:b/>
          <w:bCs/>
          <w:rtl/>
          <w:lang w:eastAsia="de-DE"/>
        </w:rPr>
        <w:t>תָּוֶךְ</w:t>
      </w:r>
      <w:r w:rsidRPr="00956228">
        <w:rPr>
          <w:rFonts w:eastAsia="Times New Roman"/>
          <w:lang w:eastAsia="de-DE"/>
        </w:rPr>
        <w:t xml:space="preserve">, „Mitte", im Construct mit </w:t>
      </w:r>
      <w:r w:rsidRPr="00956228">
        <w:rPr>
          <w:rFonts w:eastAsia="Times New Roman"/>
          <w:b/>
          <w:bCs/>
          <w:rtl/>
          <w:lang w:eastAsia="de-DE"/>
        </w:rPr>
        <w:t>אֵשׁ</w:t>
      </w:r>
      <w:r w:rsidRPr="00956228">
        <w:rPr>
          <w:rFonts w:eastAsia="Times New Roman"/>
          <w:rtl/>
          <w:lang w:eastAsia="de-DE"/>
        </w:rPr>
        <w:t xml:space="preserve"> </w:t>
      </w:r>
      <w:r w:rsidRPr="00956228">
        <w:rPr>
          <w:rFonts w:eastAsia="Times New Roman"/>
          <w:lang w:eastAsia="de-DE"/>
        </w:rPr>
        <w:t xml:space="preserve">– „mitten aus dem Feuer", </w:t>
      </w:r>
      <w:r w:rsidRPr="00956228">
        <w:rPr>
          <w:rFonts w:eastAsia="Times New Roman"/>
          <w:b/>
          <w:bCs/>
          <w:rtl/>
          <w:lang w:eastAsia="de-DE"/>
        </w:rPr>
        <w:t>בְּיוֹם הַקָּהָל</w:t>
      </w:r>
      <w:r w:rsidRPr="00956228">
        <w:rPr>
          <w:rFonts w:eastAsia="Times New Roman"/>
          <w:rtl/>
          <w:lang w:eastAsia="de-DE"/>
        </w:rPr>
        <w:t xml:space="preserve"> </w:t>
      </w:r>
      <w:r w:rsidRPr="00956228">
        <w:rPr>
          <w:rFonts w:eastAsia="Times New Roman"/>
          <w:lang w:eastAsia="de-DE"/>
        </w:rPr>
        <w:t xml:space="preserve">– </w:t>
      </w:r>
      <w:r w:rsidRPr="00956228">
        <w:rPr>
          <w:rFonts w:eastAsia="Times New Roman"/>
          <w:b/>
          <w:bCs/>
          <w:rtl/>
          <w:lang w:eastAsia="de-DE"/>
        </w:rPr>
        <w:t>בְּ</w:t>
      </w:r>
      <w:r w:rsidRPr="00956228">
        <w:rPr>
          <w:rFonts w:eastAsia="Times New Roman"/>
          <w:rtl/>
          <w:lang w:eastAsia="de-DE"/>
        </w:rPr>
        <w:t xml:space="preserve"> </w:t>
      </w:r>
      <w:r w:rsidRPr="00956228">
        <w:rPr>
          <w:rFonts w:eastAsia="Times New Roman"/>
          <w:lang w:eastAsia="de-DE"/>
        </w:rPr>
        <w:t xml:space="preserve">mit </w:t>
      </w:r>
      <w:r w:rsidRPr="00956228">
        <w:rPr>
          <w:rFonts w:eastAsia="Times New Roman"/>
          <w:b/>
          <w:bCs/>
          <w:rtl/>
          <w:lang w:eastAsia="de-DE"/>
        </w:rPr>
        <w:t>יוֹם</w:t>
      </w:r>
      <w:r w:rsidRPr="00956228">
        <w:rPr>
          <w:rFonts w:eastAsia="Times New Roman"/>
          <w:rtl/>
          <w:lang w:eastAsia="de-DE"/>
        </w:rPr>
        <w:t xml:space="preserve"> </w:t>
      </w:r>
      <w:r w:rsidRPr="00956228">
        <w:rPr>
          <w:rFonts w:eastAsia="Times New Roman"/>
          <w:lang w:eastAsia="de-DE"/>
        </w:rPr>
        <w:t xml:space="preserve">im Construct und </w:t>
      </w:r>
      <w:r w:rsidRPr="00956228">
        <w:rPr>
          <w:rFonts w:eastAsia="Times New Roman"/>
          <w:b/>
          <w:bCs/>
          <w:rtl/>
          <w:lang w:eastAsia="de-DE"/>
        </w:rPr>
        <w:t>קָהָל</w:t>
      </w:r>
      <w:r w:rsidRPr="00956228">
        <w:rPr>
          <w:rFonts w:eastAsia="Times New Roman"/>
          <w:lang w:eastAsia="de-DE"/>
        </w:rPr>
        <w:t>, „Versammlung" – „am Tag der Versammlung").</w:t>
      </w:r>
    </w:p>
    <w:p w14:paraId="4F82B788"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lang w:eastAsia="de-DE"/>
        </w:rPr>
        <w:lastRenderedPageBreak/>
        <w:t xml:space="preserve">Der Vers betont die göttliche Herkunft der Tafeln: Sie sind </w:t>
      </w:r>
      <w:r w:rsidRPr="00956228">
        <w:rPr>
          <w:rFonts w:eastAsia="Times New Roman"/>
          <w:b/>
          <w:bCs/>
          <w:rtl/>
          <w:lang w:eastAsia="de-DE"/>
        </w:rPr>
        <w:t>כְּתֻבִים בְּאֶצְבַּע אֱלֹהִים</w:t>
      </w:r>
      <w:r w:rsidRPr="00956228">
        <w:rPr>
          <w:rFonts w:eastAsia="Times New Roman"/>
          <w:rtl/>
          <w:lang w:eastAsia="de-DE"/>
        </w:rPr>
        <w:t xml:space="preserve"> </w:t>
      </w:r>
      <w:r w:rsidRPr="00956228">
        <w:rPr>
          <w:rFonts w:eastAsia="Times New Roman"/>
          <w:lang w:eastAsia="de-DE"/>
        </w:rPr>
        <w:t xml:space="preserve">(„mit dem Finger Gottes beschrieben" – vgl. Ex 31,18). Die Formulierung </w:t>
      </w:r>
      <w:r w:rsidRPr="00956228">
        <w:rPr>
          <w:rFonts w:eastAsia="Times New Roman"/>
          <w:b/>
          <w:bCs/>
          <w:rtl/>
          <w:lang w:eastAsia="de-DE"/>
        </w:rPr>
        <w:t>כְּֽכָל־הַדְּבָרִים</w:t>
      </w:r>
      <w:r w:rsidRPr="00956228">
        <w:rPr>
          <w:rFonts w:eastAsia="Times New Roman"/>
          <w:rtl/>
          <w:lang w:eastAsia="de-DE"/>
        </w:rPr>
        <w:t xml:space="preserve"> </w:t>
      </w:r>
      <w:r w:rsidRPr="00956228">
        <w:rPr>
          <w:rFonts w:eastAsia="Times New Roman"/>
          <w:lang w:eastAsia="de-DE"/>
        </w:rPr>
        <w:t>(„wie alle die Worte") identifiziert den Inhalt: die Zehn Gebote. Die dreigliedrige Ortsangabe (</w:t>
      </w:r>
      <w:r w:rsidRPr="00956228">
        <w:rPr>
          <w:rFonts w:eastAsia="Times New Roman"/>
          <w:b/>
          <w:bCs/>
          <w:rtl/>
          <w:lang w:eastAsia="de-DE"/>
        </w:rPr>
        <w:t>בָּהָר מִתּוֹךְ הָאֵשׁ בְּיוֹם הַקָּהָל</w:t>
      </w:r>
      <w:r w:rsidRPr="00956228">
        <w:rPr>
          <w:rFonts w:eastAsia="Times New Roman"/>
          <w:lang w:eastAsia="de-DE"/>
        </w:rPr>
        <w:t xml:space="preserve">) erinnert an die Theophanie am Sinai. Der Begriff </w:t>
      </w:r>
      <w:r w:rsidRPr="00956228">
        <w:rPr>
          <w:rFonts w:eastAsia="Times New Roman"/>
          <w:b/>
          <w:bCs/>
          <w:rtl/>
          <w:lang w:eastAsia="de-DE"/>
        </w:rPr>
        <w:t>יוֹם הַקָּהָל</w:t>
      </w:r>
      <w:r w:rsidRPr="00956228">
        <w:rPr>
          <w:rFonts w:eastAsia="Times New Roman"/>
          <w:rtl/>
          <w:lang w:eastAsia="de-DE"/>
        </w:rPr>
        <w:t xml:space="preserve"> </w:t>
      </w:r>
      <w:r w:rsidRPr="00956228">
        <w:rPr>
          <w:rFonts w:eastAsia="Times New Roman"/>
          <w:lang w:eastAsia="de-DE"/>
        </w:rPr>
        <w:t>(„Tag der Versammlung") bezeichnet den Tag der Gesetzgebung (vgl. 10,4; 18,16).</w:t>
      </w:r>
    </w:p>
    <w:p w14:paraId="64C7B319"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lang w:eastAsia="de-DE"/>
        </w:rPr>
        <w:t>Die Satzstruktur ist ein Imperfekt consecutivum mit Subjekt, indirektem und direktem Objekt sowie partizipialer Apposition, gefolgt von einem Satz mit Ortsangabe, Subjekt, Relativsatz und dreigliedriger lokaler bzw. temporaler Bestimmung.</w:t>
      </w:r>
    </w:p>
    <w:p w14:paraId="5C2EA5FD"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lang w:eastAsia="de-DE"/>
        </w:rPr>
        <w:t>Der Vers beschreibt die Übergabe: JHWH gab mir die zwei Tafeln, mit dem Finger Gottes beschrieben – mit allen Worten, die JHWH am Berg aus dem Feuer am Versammlungstag zu euch geredet hatte.</w:t>
      </w:r>
    </w:p>
    <w:p w14:paraId="04A2C7EF" w14:textId="77777777" w:rsidR="00956228" w:rsidRPr="00956228" w:rsidRDefault="00956228" w:rsidP="00956228">
      <w:pPr>
        <w:spacing w:before="100" w:beforeAutospacing="1" w:after="100" w:afterAutospacing="1" w:line="240" w:lineRule="auto"/>
        <w:outlineLvl w:val="1"/>
        <w:rPr>
          <w:rFonts w:eastAsia="Times New Roman"/>
          <w:b/>
          <w:bCs/>
          <w:sz w:val="36"/>
          <w:szCs w:val="36"/>
          <w:lang w:eastAsia="de-DE"/>
        </w:rPr>
      </w:pPr>
      <w:r w:rsidRPr="00956228">
        <w:rPr>
          <w:rFonts w:eastAsia="Times New Roman"/>
          <w:b/>
          <w:bCs/>
          <w:sz w:val="36"/>
          <w:szCs w:val="36"/>
          <w:lang w:eastAsia="de-DE"/>
        </w:rPr>
        <w:t>Deuteronomium 9,11</w:t>
      </w:r>
    </w:p>
    <w:p w14:paraId="73DCDA50"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b/>
          <w:bCs/>
          <w:lang w:eastAsia="de-DE"/>
        </w:rPr>
        <w:t>Hebräisch:</w:t>
      </w:r>
      <w:r w:rsidRPr="00956228">
        <w:rPr>
          <w:rFonts w:eastAsia="Times New Roman"/>
          <w:lang w:eastAsia="de-DE"/>
        </w:rPr>
        <w:t xml:space="preserve"> </w:t>
      </w:r>
      <w:r w:rsidRPr="00956228">
        <w:rPr>
          <w:rFonts w:eastAsia="Times New Roman"/>
          <w:rtl/>
          <w:lang w:eastAsia="de-DE"/>
        </w:rPr>
        <w:t>וַיְהִי מִקֵּץ אַרְבָּעִים יוֹם וְאַרְבָּעִים לָיְלָה נָתַן יְהוָה אֵלַי אֶת־שְׁנֵי לֻחֹת הָאֲבָנִים לֻחוֹת הַבְּרִית׃</w:t>
      </w:r>
    </w:p>
    <w:p w14:paraId="7AB01BA1"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b/>
          <w:bCs/>
          <w:lang w:eastAsia="de-DE"/>
        </w:rPr>
        <w:t>Deutsch:</w:t>
      </w:r>
      <w:r w:rsidRPr="00956228">
        <w:rPr>
          <w:rFonts w:eastAsia="Times New Roman"/>
          <w:lang w:eastAsia="de-DE"/>
        </w:rPr>
        <w:t xml:space="preserve"> Und es begab sich am Ende von 40 Tagen und 40 Nächten, da gab mir der Ewige die zwei steinernen Tafeln, die Tafeln des Bundes.</w:t>
      </w:r>
    </w:p>
    <w:p w14:paraId="5120F755" w14:textId="77777777" w:rsidR="00956228" w:rsidRPr="00956228" w:rsidRDefault="004F5CEB" w:rsidP="00956228">
      <w:pPr>
        <w:spacing w:after="0" w:line="240" w:lineRule="auto"/>
        <w:rPr>
          <w:rFonts w:eastAsia="Times New Roman"/>
          <w:lang w:eastAsia="de-DE"/>
        </w:rPr>
      </w:pPr>
      <w:r>
        <w:rPr>
          <w:rFonts w:eastAsia="Times New Roman"/>
          <w:noProof/>
          <w:lang w:eastAsia="de-DE"/>
        </w:rPr>
        <w:pict w14:anchorId="71C858A5">
          <v:rect id="_x0000_i1300" style="width:0;height:1.5pt" o:hralign="center" o:hrstd="t" o:hr="t" fillcolor="#a0a0a0" stroked="f"/>
        </w:pict>
      </w:r>
    </w:p>
    <w:p w14:paraId="78BD5DDA"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b/>
          <w:bCs/>
          <w:lang w:eastAsia="de-DE"/>
        </w:rPr>
        <w:t>Kommentar:</w:t>
      </w:r>
      <w:r w:rsidRPr="00956228">
        <w:rPr>
          <w:rFonts w:eastAsia="Times New Roman"/>
          <w:lang w:eastAsia="de-DE"/>
        </w:rPr>
        <w:t xml:space="preserve"> </w:t>
      </w:r>
      <w:r w:rsidRPr="00956228">
        <w:rPr>
          <w:rFonts w:eastAsia="Times New Roman"/>
          <w:b/>
          <w:bCs/>
          <w:rtl/>
          <w:lang w:eastAsia="de-DE"/>
        </w:rPr>
        <w:t>וַיְהִי מִקֵּץ אַרְבָּעִים יוֹם וְאַרְבָּעִים לָיְלָה</w:t>
      </w:r>
      <w:r w:rsidRPr="00956228">
        <w:rPr>
          <w:rFonts w:eastAsia="Times New Roman"/>
          <w:rtl/>
          <w:lang w:eastAsia="de-DE"/>
        </w:rPr>
        <w:t xml:space="preserve"> </w:t>
      </w:r>
      <w:r w:rsidRPr="00956228">
        <w:rPr>
          <w:rFonts w:eastAsia="Times New Roman"/>
          <w:lang w:eastAsia="de-DE"/>
        </w:rPr>
        <w:t xml:space="preserve">ist die narrative Einleitung: </w:t>
      </w:r>
      <w:r w:rsidRPr="00956228">
        <w:rPr>
          <w:rFonts w:eastAsia="Times New Roman"/>
          <w:b/>
          <w:bCs/>
          <w:rtl/>
          <w:lang w:eastAsia="de-DE"/>
        </w:rPr>
        <w:t>וַיְהִי</w:t>
      </w:r>
      <w:r w:rsidRPr="00956228">
        <w:rPr>
          <w:rFonts w:eastAsia="Times New Roman"/>
          <w:rtl/>
          <w:lang w:eastAsia="de-DE"/>
        </w:rPr>
        <w:t xml:space="preserve"> </w:t>
      </w:r>
      <w:r w:rsidRPr="00956228">
        <w:rPr>
          <w:rFonts w:eastAsia="Times New Roman"/>
          <w:lang w:eastAsia="de-DE"/>
        </w:rPr>
        <w:t xml:space="preserve">(Qal Imperfekt consecutivum, 3. Person Singular maskulin von </w:t>
      </w:r>
      <w:r w:rsidRPr="00956228">
        <w:rPr>
          <w:rFonts w:eastAsia="Times New Roman"/>
          <w:b/>
          <w:bCs/>
          <w:rtl/>
          <w:lang w:eastAsia="de-DE"/>
        </w:rPr>
        <w:t>היה</w:t>
      </w:r>
      <w:r w:rsidRPr="00956228">
        <w:rPr>
          <w:rFonts w:eastAsia="Times New Roman"/>
          <w:lang w:eastAsia="de-DE"/>
        </w:rPr>
        <w:t xml:space="preserve">, „sein, geschehen", mit </w:t>
      </w:r>
      <w:r w:rsidRPr="00956228">
        <w:rPr>
          <w:rFonts w:eastAsia="Times New Roman"/>
          <w:b/>
          <w:bCs/>
          <w:rtl/>
          <w:lang w:eastAsia="de-DE"/>
        </w:rPr>
        <w:t>וְ</w:t>
      </w:r>
      <w:r w:rsidRPr="00956228">
        <w:rPr>
          <w:rFonts w:eastAsia="Times New Roman"/>
          <w:rtl/>
          <w:lang w:eastAsia="de-DE"/>
        </w:rPr>
        <w:t xml:space="preserve"> </w:t>
      </w:r>
      <w:r w:rsidRPr="00956228">
        <w:rPr>
          <w:rFonts w:eastAsia="Times New Roman"/>
          <w:lang w:eastAsia="de-DE"/>
        </w:rPr>
        <w:t xml:space="preserve">– „und es geschah"), </w:t>
      </w:r>
      <w:r w:rsidRPr="00956228">
        <w:rPr>
          <w:rFonts w:eastAsia="Times New Roman"/>
          <w:b/>
          <w:bCs/>
          <w:rtl/>
          <w:lang w:eastAsia="de-DE"/>
        </w:rPr>
        <w:t>מִקֵּץ אַרְבָּעִים יוֹם וְאַרְבָּעִים לָיְלָה</w:t>
      </w:r>
      <w:r w:rsidRPr="00956228">
        <w:rPr>
          <w:rFonts w:eastAsia="Times New Roman"/>
          <w:rtl/>
          <w:lang w:eastAsia="de-DE"/>
        </w:rPr>
        <w:t xml:space="preserve"> </w:t>
      </w:r>
      <w:r w:rsidRPr="00956228">
        <w:rPr>
          <w:rFonts w:eastAsia="Times New Roman"/>
          <w:lang w:eastAsia="de-DE"/>
        </w:rPr>
        <w:t>als temporale Bestimmung (</w:t>
      </w:r>
      <w:r w:rsidRPr="00956228">
        <w:rPr>
          <w:rFonts w:eastAsia="Times New Roman"/>
          <w:b/>
          <w:bCs/>
          <w:rtl/>
          <w:lang w:eastAsia="de-DE"/>
        </w:rPr>
        <w:t>מִקֵּץ</w:t>
      </w:r>
      <w:r w:rsidRPr="00956228">
        <w:rPr>
          <w:rFonts w:eastAsia="Times New Roman"/>
          <w:rtl/>
          <w:lang w:eastAsia="de-DE"/>
        </w:rPr>
        <w:t xml:space="preserve"> </w:t>
      </w:r>
      <w:r w:rsidRPr="00956228">
        <w:rPr>
          <w:rFonts w:eastAsia="Times New Roman"/>
          <w:lang w:eastAsia="de-DE"/>
        </w:rPr>
        <w:t xml:space="preserve">– </w:t>
      </w:r>
      <w:r w:rsidRPr="00956228">
        <w:rPr>
          <w:rFonts w:eastAsia="Times New Roman"/>
          <w:b/>
          <w:bCs/>
          <w:rtl/>
          <w:lang w:eastAsia="de-DE"/>
        </w:rPr>
        <w:t>מִן</w:t>
      </w:r>
      <w:r w:rsidRPr="00956228">
        <w:rPr>
          <w:rFonts w:eastAsia="Times New Roman"/>
          <w:rtl/>
          <w:lang w:eastAsia="de-DE"/>
        </w:rPr>
        <w:t xml:space="preserve"> </w:t>
      </w:r>
      <w:r w:rsidRPr="00956228">
        <w:rPr>
          <w:rFonts w:eastAsia="Times New Roman"/>
          <w:lang w:eastAsia="de-DE"/>
        </w:rPr>
        <w:t xml:space="preserve">mit </w:t>
      </w:r>
      <w:r w:rsidRPr="00956228">
        <w:rPr>
          <w:rFonts w:eastAsia="Times New Roman"/>
          <w:b/>
          <w:bCs/>
          <w:rtl/>
          <w:lang w:eastAsia="de-DE"/>
        </w:rPr>
        <w:t>קֵץ</w:t>
      </w:r>
      <w:r w:rsidRPr="00956228">
        <w:rPr>
          <w:rFonts w:eastAsia="Times New Roman"/>
          <w:lang w:eastAsia="de-DE"/>
        </w:rPr>
        <w:t>, „Ende" – „am Ende von", gefolgt von der Zeitangabe „vierzig Tage und vierzig Nächte").</w:t>
      </w:r>
    </w:p>
    <w:p w14:paraId="13C67C91"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b/>
          <w:bCs/>
          <w:rtl/>
          <w:lang w:eastAsia="de-DE"/>
        </w:rPr>
        <w:t>נָתַן יְהוָה אֵלַי אֶת־שְׁנֵי לֻחֹת הָאֲבָנִים לֻחוֹת הַבְּרִית</w:t>
      </w:r>
      <w:r w:rsidRPr="00956228">
        <w:rPr>
          <w:rFonts w:eastAsia="Times New Roman"/>
          <w:rtl/>
          <w:lang w:eastAsia="de-DE"/>
        </w:rPr>
        <w:t xml:space="preserve"> </w:t>
      </w:r>
      <w:r w:rsidRPr="00956228">
        <w:rPr>
          <w:rFonts w:eastAsia="Times New Roman"/>
          <w:lang w:eastAsia="de-DE"/>
        </w:rPr>
        <w:t xml:space="preserve">ist die Hauptaussage: </w:t>
      </w:r>
      <w:r w:rsidRPr="00956228">
        <w:rPr>
          <w:rFonts w:eastAsia="Times New Roman"/>
          <w:b/>
          <w:bCs/>
          <w:rtl/>
          <w:lang w:eastAsia="de-DE"/>
        </w:rPr>
        <w:t>נָתַן</w:t>
      </w:r>
      <w:r w:rsidRPr="00956228">
        <w:rPr>
          <w:rFonts w:eastAsia="Times New Roman"/>
          <w:rtl/>
          <w:lang w:eastAsia="de-DE"/>
        </w:rPr>
        <w:t xml:space="preserve"> </w:t>
      </w:r>
      <w:r w:rsidRPr="00956228">
        <w:rPr>
          <w:rFonts w:eastAsia="Times New Roman"/>
          <w:lang w:eastAsia="de-DE"/>
        </w:rPr>
        <w:t xml:space="preserve">(Qal Perfekt, 3. Person Singular maskulin von </w:t>
      </w:r>
      <w:r w:rsidRPr="00956228">
        <w:rPr>
          <w:rFonts w:eastAsia="Times New Roman"/>
          <w:b/>
          <w:bCs/>
          <w:rtl/>
          <w:lang w:eastAsia="de-DE"/>
        </w:rPr>
        <w:t>נתן</w:t>
      </w:r>
      <w:r w:rsidRPr="00956228">
        <w:rPr>
          <w:rFonts w:eastAsia="Times New Roman"/>
          <w:lang w:eastAsia="de-DE"/>
        </w:rPr>
        <w:t xml:space="preserve">, „geben"), </w:t>
      </w:r>
      <w:r w:rsidRPr="00956228">
        <w:rPr>
          <w:rFonts w:eastAsia="Times New Roman"/>
          <w:b/>
          <w:bCs/>
          <w:rtl/>
          <w:lang w:eastAsia="de-DE"/>
        </w:rPr>
        <w:t>יְהוָה</w:t>
      </w:r>
      <w:r w:rsidRPr="00956228">
        <w:rPr>
          <w:rFonts w:eastAsia="Times New Roman"/>
          <w:rtl/>
          <w:lang w:eastAsia="de-DE"/>
        </w:rPr>
        <w:t xml:space="preserve"> </w:t>
      </w:r>
      <w:r w:rsidRPr="00956228">
        <w:rPr>
          <w:rFonts w:eastAsia="Times New Roman"/>
          <w:lang w:eastAsia="de-DE"/>
        </w:rPr>
        <w:t xml:space="preserve">als Subjekt, </w:t>
      </w:r>
      <w:r w:rsidRPr="00956228">
        <w:rPr>
          <w:rFonts w:eastAsia="Times New Roman"/>
          <w:b/>
          <w:bCs/>
          <w:rtl/>
          <w:lang w:eastAsia="de-DE"/>
        </w:rPr>
        <w:t>אֵלַי</w:t>
      </w:r>
      <w:r w:rsidRPr="00956228">
        <w:rPr>
          <w:rFonts w:eastAsia="Times New Roman"/>
          <w:rtl/>
          <w:lang w:eastAsia="de-DE"/>
        </w:rPr>
        <w:t xml:space="preserve"> </w:t>
      </w:r>
      <w:r w:rsidRPr="00956228">
        <w:rPr>
          <w:rFonts w:eastAsia="Times New Roman"/>
          <w:lang w:eastAsia="de-DE"/>
        </w:rPr>
        <w:t xml:space="preserve">als indirektes Objekt, </w:t>
      </w:r>
      <w:r w:rsidRPr="00956228">
        <w:rPr>
          <w:rFonts w:eastAsia="Times New Roman"/>
          <w:b/>
          <w:bCs/>
          <w:rtl/>
          <w:lang w:eastAsia="de-DE"/>
        </w:rPr>
        <w:t>אֶת־שְׁנֵי לֻחֹת הָאֲבָנִים</w:t>
      </w:r>
      <w:r w:rsidRPr="00956228">
        <w:rPr>
          <w:rFonts w:eastAsia="Times New Roman"/>
          <w:rtl/>
          <w:lang w:eastAsia="de-DE"/>
        </w:rPr>
        <w:t xml:space="preserve"> </w:t>
      </w:r>
      <w:r w:rsidRPr="00956228">
        <w:rPr>
          <w:rFonts w:eastAsia="Times New Roman"/>
          <w:lang w:eastAsia="de-DE"/>
        </w:rPr>
        <w:t xml:space="preserve">als direktes Objekt (wie V. 10, hier ohne Artikel bei </w:t>
      </w:r>
      <w:r w:rsidRPr="00956228">
        <w:rPr>
          <w:rFonts w:eastAsia="Times New Roman"/>
          <w:b/>
          <w:bCs/>
          <w:rtl/>
          <w:lang w:eastAsia="de-DE"/>
        </w:rPr>
        <w:t>לֻחֹת</w:t>
      </w:r>
      <w:r w:rsidRPr="00956228">
        <w:rPr>
          <w:rFonts w:eastAsia="Times New Roman"/>
          <w:lang w:eastAsia="de-DE"/>
        </w:rPr>
        <w:t xml:space="preserve">), </w:t>
      </w:r>
      <w:r w:rsidRPr="00956228">
        <w:rPr>
          <w:rFonts w:eastAsia="Times New Roman"/>
          <w:b/>
          <w:bCs/>
          <w:rtl/>
          <w:lang w:eastAsia="de-DE"/>
        </w:rPr>
        <w:t>לֻחוֹת הַבְּרִית</w:t>
      </w:r>
      <w:r w:rsidRPr="00956228">
        <w:rPr>
          <w:rFonts w:eastAsia="Times New Roman"/>
          <w:rtl/>
          <w:lang w:eastAsia="de-DE"/>
        </w:rPr>
        <w:t xml:space="preserve"> </w:t>
      </w:r>
      <w:r w:rsidRPr="00956228">
        <w:rPr>
          <w:rFonts w:eastAsia="Times New Roman"/>
          <w:lang w:eastAsia="de-DE"/>
        </w:rPr>
        <w:t>als appositionelle Erweiterung.</w:t>
      </w:r>
    </w:p>
    <w:p w14:paraId="40A590A1"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lang w:eastAsia="de-DE"/>
        </w:rPr>
        <w:t xml:space="preserve">Der Vers markiert das Ende der ersten vierzigtägigen Periode auf dem Berg und wiederholt die Tafelübergabe (vgl. V. 10). Die klassische </w:t>
      </w:r>
      <w:r w:rsidRPr="00956228">
        <w:rPr>
          <w:rFonts w:eastAsia="Times New Roman"/>
          <w:b/>
          <w:bCs/>
          <w:rtl/>
          <w:lang w:eastAsia="de-DE"/>
        </w:rPr>
        <w:t>וַיְהִי</w:t>
      </w:r>
      <w:r w:rsidRPr="00956228">
        <w:rPr>
          <w:rFonts w:eastAsia="Times New Roman"/>
          <w:lang w:eastAsia="de-DE"/>
        </w:rPr>
        <w:t xml:space="preserve">-Formel leitet narrative Wendepunkte ein. Die appositionelle Erweiterung </w:t>
      </w:r>
      <w:r w:rsidRPr="00956228">
        <w:rPr>
          <w:rFonts w:eastAsia="Times New Roman"/>
          <w:b/>
          <w:bCs/>
          <w:rtl/>
          <w:lang w:eastAsia="de-DE"/>
        </w:rPr>
        <w:t>לֻחוֹת הַבְּרִית</w:t>
      </w:r>
      <w:r w:rsidRPr="00956228">
        <w:rPr>
          <w:rFonts w:eastAsia="Times New Roman"/>
          <w:rtl/>
          <w:lang w:eastAsia="de-DE"/>
        </w:rPr>
        <w:t xml:space="preserve"> </w:t>
      </w:r>
      <w:r w:rsidRPr="00956228">
        <w:rPr>
          <w:rFonts w:eastAsia="Times New Roman"/>
          <w:lang w:eastAsia="de-DE"/>
        </w:rPr>
        <w:t>(„Tafeln des Bundes") betont nochmals: Die Tafeln sind Bundesurkunde zwischen JHWH und Israel.</w:t>
      </w:r>
    </w:p>
    <w:p w14:paraId="2AAA550B"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lang w:eastAsia="de-DE"/>
        </w:rPr>
        <w:t xml:space="preserve">Die Satzstruktur ist eine narrative Einleitung mit </w:t>
      </w:r>
      <w:r w:rsidRPr="00956228">
        <w:rPr>
          <w:rFonts w:eastAsia="Times New Roman"/>
          <w:b/>
          <w:bCs/>
          <w:rtl/>
          <w:lang w:eastAsia="de-DE"/>
        </w:rPr>
        <w:t>וַיְהִי</w:t>
      </w:r>
      <w:r w:rsidRPr="00956228">
        <w:rPr>
          <w:rFonts w:eastAsia="Times New Roman"/>
          <w:rtl/>
          <w:lang w:eastAsia="de-DE"/>
        </w:rPr>
        <w:t xml:space="preserve"> </w:t>
      </w:r>
      <w:r w:rsidRPr="00956228">
        <w:rPr>
          <w:rFonts w:eastAsia="Times New Roman"/>
          <w:lang w:eastAsia="de-DE"/>
        </w:rPr>
        <w:t>und temporaler Bestimmung, gefolgt von der Hauptaussage mit Prädikat, Subjekt, indirektem und direktem Objekt sowie appositiver Erweiterung.</w:t>
      </w:r>
    </w:p>
    <w:p w14:paraId="638D57B1"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lang w:eastAsia="de-DE"/>
        </w:rPr>
        <w:t>Der Vers schließt die erste Periode ab: Nach vierzig Tagen und Nächten gab JHWH mir die zwei Bundestafeln.</w:t>
      </w:r>
    </w:p>
    <w:p w14:paraId="406A1331" w14:textId="77777777" w:rsidR="00956228" w:rsidRPr="00956228" w:rsidRDefault="00956228" w:rsidP="00956228">
      <w:pPr>
        <w:spacing w:before="100" w:beforeAutospacing="1" w:after="100" w:afterAutospacing="1" w:line="240" w:lineRule="auto"/>
        <w:outlineLvl w:val="1"/>
        <w:rPr>
          <w:rFonts w:eastAsia="Times New Roman"/>
          <w:b/>
          <w:bCs/>
          <w:sz w:val="36"/>
          <w:szCs w:val="36"/>
          <w:lang w:eastAsia="de-DE"/>
        </w:rPr>
      </w:pPr>
      <w:r w:rsidRPr="00956228">
        <w:rPr>
          <w:rFonts w:eastAsia="Times New Roman"/>
          <w:b/>
          <w:bCs/>
          <w:sz w:val="36"/>
          <w:szCs w:val="36"/>
          <w:lang w:eastAsia="de-DE"/>
        </w:rPr>
        <w:t>Deuteronomium 9,12</w:t>
      </w:r>
    </w:p>
    <w:p w14:paraId="406F1C3D"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b/>
          <w:bCs/>
          <w:lang w:eastAsia="de-DE"/>
        </w:rPr>
        <w:lastRenderedPageBreak/>
        <w:t>Hebräisch:</w:t>
      </w:r>
      <w:r w:rsidRPr="00956228">
        <w:rPr>
          <w:rFonts w:eastAsia="Times New Roman"/>
          <w:lang w:eastAsia="de-DE"/>
        </w:rPr>
        <w:t xml:space="preserve"> </w:t>
      </w:r>
      <w:r w:rsidRPr="00956228">
        <w:rPr>
          <w:rFonts w:eastAsia="Times New Roman"/>
          <w:rtl/>
          <w:lang w:eastAsia="de-DE"/>
        </w:rPr>
        <w:t>וַיֹּאמֶר יְהוָה אֵלַי קוּם רֵד מַהֵר מִזֶּה כִּי שִׁחֵת עַמְּךָ אֲשֶׁר הוֹצֵאתָ מִמִּצְרָיִם סָרוּ מַהֵר מִן־הַדֶּרֶךְ אֲשֶׁר צִוִּיתִם עָשׂוּ לָהֶם מַסֵּכָה׃</w:t>
      </w:r>
    </w:p>
    <w:p w14:paraId="019B170C"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b/>
          <w:bCs/>
          <w:lang w:eastAsia="de-DE"/>
        </w:rPr>
        <w:t>Deutsch:</w:t>
      </w:r>
      <w:r w:rsidRPr="00956228">
        <w:rPr>
          <w:rFonts w:eastAsia="Times New Roman"/>
          <w:lang w:eastAsia="de-DE"/>
        </w:rPr>
        <w:t xml:space="preserve"> Und der Ewige sprach zu mir: Steh auf, steig schnell von hier hinab! Denn dein Volk, das du aus Mizrajim herausgeführt hast, hat verderblich gehandelt. Sie sind schnell von dem Weg abgewichen, den ich ihnen geboten habe; sie haben sich ein gegossenes Bild gemacht.</w:t>
      </w:r>
    </w:p>
    <w:p w14:paraId="35CFD464" w14:textId="77777777" w:rsidR="00956228" w:rsidRPr="00956228" w:rsidRDefault="004F5CEB" w:rsidP="00956228">
      <w:pPr>
        <w:spacing w:after="0" w:line="240" w:lineRule="auto"/>
        <w:rPr>
          <w:rFonts w:eastAsia="Times New Roman"/>
          <w:lang w:eastAsia="de-DE"/>
        </w:rPr>
      </w:pPr>
      <w:r>
        <w:rPr>
          <w:rFonts w:eastAsia="Times New Roman"/>
          <w:noProof/>
          <w:lang w:eastAsia="de-DE"/>
        </w:rPr>
        <w:pict w14:anchorId="2DFD961F">
          <v:rect id="_x0000_i1301" style="width:0;height:1.5pt" o:hralign="center" o:hrstd="t" o:hr="t" fillcolor="#a0a0a0" stroked="f"/>
        </w:pict>
      </w:r>
    </w:p>
    <w:p w14:paraId="0113E08B"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b/>
          <w:bCs/>
          <w:lang w:eastAsia="de-DE"/>
        </w:rPr>
        <w:t>Kommentar:</w:t>
      </w:r>
      <w:r w:rsidRPr="00956228">
        <w:rPr>
          <w:rFonts w:eastAsia="Times New Roman"/>
          <w:lang w:eastAsia="de-DE"/>
        </w:rPr>
        <w:t xml:space="preserve"> </w:t>
      </w:r>
      <w:r w:rsidRPr="00956228">
        <w:rPr>
          <w:rFonts w:eastAsia="Times New Roman"/>
          <w:b/>
          <w:bCs/>
          <w:rtl/>
          <w:lang w:eastAsia="de-DE"/>
        </w:rPr>
        <w:t>וַיֹּאמֶר יְהוָה אֵלַי</w:t>
      </w:r>
      <w:r w:rsidRPr="00956228">
        <w:rPr>
          <w:rFonts w:eastAsia="Times New Roman"/>
          <w:rtl/>
          <w:lang w:eastAsia="de-DE"/>
        </w:rPr>
        <w:t xml:space="preserve"> </w:t>
      </w:r>
      <w:r w:rsidRPr="00956228">
        <w:rPr>
          <w:rFonts w:eastAsia="Times New Roman"/>
          <w:lang w:eastAsia="de-DE"/>
        </w:rPr>
        <w:t xml:space="preserve">ist die Redeeinleitung: </w:t>
      </w:r>
      <w:r w:rsidRPr="00956228">
        <w:rPr>
          <w:rFonts w:eastAsia="Times New Roman"/>
          <w:b/>
          <w:bCs/>
          <w:rtl/>
          <w:lang w:eastAsia="de-DE"/>
        </w:rPr>
        <w:t>וַיֹּאמֶר</w:t>
      </w:r>
      <w:r w:rsidRPr="00956228">
        <w:rPr>
          <w:rFonts w:eastAsia="Times New Roman"/>
          <w:rtl/>
          <w:lang w:eastAsia="de-DE"/>
        </w:rPr>
        <w:t xml:space="preserve"> </w:t>
      </w:r>
      <w:r w:rsidRPr="00956228">
        <w:rPr>
          <w:rFonts w:eastAsia="Times New Roman"/>
          <w:lang w:eastAsia="de-DE"/>
        </w:rPr>
        <w:t xml:space="preserve">(Qal Imperfekt consecutivum, 3. Person Singular maskulin von </w:t>
      </w:r>
      <w:r w:rsidRPr="00956228">
        <w:rPr>
          <w:rFonts w:eastAsia="Times New Roman"/>
          <w:b/>
          <w:bCs/>
          <w:rtl/>
          <w:lang w:eastAsia="de-DE"/>
        </w:rPr>
        <w:t>אמר</w:t>
      </w:r>
      <w:r w:rsidRPr="00956228">
        <w:rPr>
          <w:rFonts w:eastAsia="Times New Roman"/>
          <w:lang w:eastAsia="de-DE"/>
        </w:rPr>
        <w:t xml:space="preserve">, „sagen", mit </w:t>
      </w:r>
      <w:r w:rsidRPr="00956228">
        <w:rPr>
          <w:rFonts w:eastAsia="Times New Roman"/>
          <w:b/>
          <w:bCs/>
          <w:rtl/>
          <w:lang w:eastAsia="de-DE"/>
        </w:rPr>
        <w:t>וְ</w:t>
      </w:r>
      <w:r w:rsidRPr="00956228">
        <w:rPr>
          <w:rFonts w:eastAsia="Times New Roman"/>
          <w:lang w:eastAsia="de-DE"/>
        </w:rPr>
        <w:t xml:space="preserve">), </w:t>
      </w:r>
      <w:r w:rsidRPr="00956228">
        <w:rPr>
          <w:rFonts w:eastAsia="Times New Roman"/>
          <w:b/>
          <w:bCs/>
          <w:rtl/>
          <w:lang w:eastAsia="de-DE"/>
        </w:rPr>
        <w:t>יְהוָה</w:t>
      </w:r>
      <w:r w:rsidRPr="00956228">
        <w:rPr>
          <w:rFonts w:eastAsia="Times New Roman"/>
          <w:rtl/>
          <w:lang w:eastAsia="de-DE"/>
        </w:rPr>
        <w:t xml:space="preserve"> </w:t>
      </w:r>
      <w:r w:rsidRPr="00956228">
        <w:rPr>
          <w:rFonts w:eastAsia="Times New Roman"/>
          <w:lang w:eastAsia="de-DE"/>
        </w:rPr>
        <w:t xml:space="preserve">als Subjekt, </w:t>
      </w:r>
      <w:r w:rsidRPr="00956228">
        <w:rPr>
          <w:rFonts w:eastAsia="Times New Roman"/>
          <w:b/>
          <w:bCs/>
          <w:rtl/>
          <w:lang w:eastAsia="de-DE"/>
        </w:rPr>
        <w:t>אֵלַי</w:t>
      </w:r>
      <w:r w:rsidRPr="00956228">
        <w:rPr>
          <w:rFonts w:eastAsia="Times New Roman"/>
          <w:rtl/>
          <w:lang w:eastAsia="de-DE"/>
        </w:rPr>
        <w:t xml:space="preserve"> </w:t>
      </w:r>
      <w:r w:rsidRPr="00956228">
        <w:rPr>
          <w:rFonts w:eastAsia="Times New Roman"/>
          <w:lang w:eastAsia="de-DE"/>
        </w:rPr>
        <w:t>als indirektes Objekt.</w:t>
      </w:r>
    </w:p>
    <w:p w14:paraId="7299D5C3"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b/>
          <w:bCs/>
          <w:rtl/>
          <w:lang w:eastAsia="de-DE"/>
        </w:rPr>
        <w:t>קוּם רֵד מַהֵר מִזֶּה</w:t>
      </w:r>
      <w:r w:rsidRPr="00956228">
        <w:rPr>
          <w:rFonts w:eastAsia="Times New Roman"/>
          <w:rtl/>
          <w:lang w:eastAsia="de-DE"/>
        </w:rPr>
        <w:t xml:space="preserve"> </w:t>
      </w:r>
      <w:r w:rsidRPr="00956228">
        <w:rPr>
          <w:rFonts w:eastAsia="Times New Roman"/>
          <w:lang w:eastAsia="de-DE"/>
        </w:rPr>
        <w:t xml:space="preserve">ist ein zweigliedriger Imperativsatz: </w:t>
      </w:r>
      <w:r w:rsidRPr="00956228">
        <w:rPr>
          <w:rFonts w:eastAsia="Times New Roman"/>
          <w:b/>
          <w:bCs/>
          <w:rtl/>
          <w:lang w:eastAsia="de-DE"/>
        </w:rPr>
        <w:t>קוּם</w:t>
      </w:r>
      <w:r w:rsidRPr="00956228">
        <w:rPr>
          <w:rFonts w:eastAsia="Times New Roman"/>
          <w:rtl/>
          <w:lang w:eastAsia="de-DE"/>
        </w:rPr>
        <w:t xml:space="preserve"> </w:t>
      </w:r>
      <w:r w:rsidRPr="00956228">
        <w:rPr>
          <w:rFonts w:eastAsia="Times New Roman"/>
          <w:lang w:eastAsia="de-DE"/>
        </w:rPr>
        <w:t xml:space="preserve">(Qal Imperativ, 2. Person Singular maskulin von </w:t>
      </w:r>
      <w:r w:rsidRPr="00956228">
        <w:rPr>
          <w:rFonts w:eastAsia="Times New Roman"/>
          <w:b/>
          <w:bCs/>
          <w:rtl/>
          <w:lang w:eastAsia="de-DE"/>
        </w:rPr>
        <w:t>קום</w:t>
      </w:r>
      <w:r w:rsidRPr="00956228">
        <w:rPr>
          <w:rFonts w:eastAsia="Times New Roman"/>
          <w:lang w:eastAsia="de-DE"/>
        </w:rPr>
        <w:t xml:space="preserve">, „aufstehen"), </w:t>
      </w:r>
      <w:r w:rsidRPr="00956228">
        <w:rPr>
          <w:rFonts w:eastAsia="Times New Roman"/>
          <w:b/>
          <w:bCs/>
          <w:rtl/>
          <w:lang w:eastAsia="de-DE"/>
        </w:rPr>
        <w:t>רֵד</w:t>
      </w:r>
      <w:r w:rsidRPr="00956228">
        <w:rPr>
          <w:rFonts w:eastAsia="Times New Roman"/>
          <w:rtl/>
          <w:lang w:eastAsia="de-DE"/>
        </w:rPr>
        <w:t xml:space="preserve"> </w:t>
      </w:r>
      <w:r w:rsidRPr="00956228">
        <w:rPr>
          <w:rFonts w:eastAsia="Times New Roman"/>
          <w:lang w:eastAsia="de-DE"/>
        </w:rPr>
        <w:t xml:space="preserve">(Qal Imperativ, 2. Person Singular maskulin von </w:t>
      </w:r>
      <w:r w:rsidRPr="00956228">
        <w:rPr>
          <w:rFonts w:eastAsia="Times New Roman"/>
          <w:b/>
          <w:bCs/>
          <w:rtl/>
          <w:lang w:eastAsia="de-DE"/>
        </w:rPr>
        <w:t>ירד</w:t>
      </w:r>
      <w:r w:rsidRPr="00956228">
        <w:rPr>
          <w:rFonts w:eastAsia="Times New Roman"/>
          <w:lang w:eastAsia="de-DE"/>
        </w:rPr>
        <w:t xml:space="preserve">, „hinabsteigen"), </w:t>
      </w:r>
      <w:r w:rsidRPr="00956228">
        <w:rPr>
          <w:rFonts w:eastAsia="Times New Roman"/>
          <w:b/>
          <w:bCs/>
          <w:rtl/>
          <w:lang w:eastAsia="de-DE"/>
        </w:rPr>
        <w:t>מַהֵר</w:t>
      </w:r>
      <w:r w:rsidRPr="00956228">
        <w:rPr>
          <w:rFonts w:eastAsia="Times New Roman"/>
          <w:rtl/>
          <w:lang w:eastAsia="de-DE"/>
        </w:rPr>
        <w:t xml:space="preserve"> </w:t>
      </w:r>
      <w:r w:rsidRPr="00956228">
        <w:rPr>
          <w:rFonts w:eastAsia="Times New Roman"/>
          <w:lang w:eastAsia="de-DE"/>
        </w:rPr>
        <w:t xml:space="preserve">als Adverb („schnell"), </w:t>
      </w:r>
      <w:r w:rsidRPr="00956228">
        <w:rPr>
          <w:rFonts w:eastAsia="Times New Roman"/>
          <w:b/>
          <w:bCs/>
          <w:rtl/>
          <w:lang w:eastAsia="de-DE"/>
        </w:rPr>
        <w:t>מִזֶּה</w:t>
      </w:r>
      <w:r w:rsidRPr="00956228">
        <w:rPr>
          <w:rFonts w:eastAsia="Times New Roman"/>
          <w:rtl/>
          <w:lang w:eastAsia="de-DE"/>
        </w:rPr>
        <w:t xml:space="preserve"> </w:t>
      </w:r>
      <w:r w:rsidRPr="00956228">
        <w:rPr>
          <w:rFonts w:eastAsia="Times New Roman"/>
          <w:lang w:eastAsia="de-DE"/>
        </w:rPr>
        <w:t>als Herkunftsangabe (</w:t>
      </w:r>
      <w:r w:rsidRPr="00956228">
        <w:rPr>
          <w:rFonts w:eastAsia="Times New Roman"/>
          <w:b/>
          <w:bCs/>
          <w:rtl/>
          <w:lang w:eastAsia="de-DE"/>
        </w:rPr>
        <w:t>מִן</w:t>
      </w:r>
      <w:r w:rsidRPr="00956228">
        <w:rPr>
          <w:rFonts w:eastAsia="Times New Roman"/>
          <w:rtl/>
          <w:lang w:eastAsia="de-DE"/>
        </w:rPr>
        <w:t xml:space="preserve"> </w:t>
      </w:r>
      <w:r w:rsidRPr="00956228">
        <w:rPr>
          <w:rFonts w:eastAsia="Times New Roman"/>
          <w:lang w:eastAsia="de-DE"/>
        </w:rPr>
        <w:t xml:space="preserve">mit </w:t>
      </w:r>
      <w:r w:rsidRPr="00956228">
        <w:rPr>
          <w:rFonts w:eastAsia="Times New Roman"/>
          <w:b/>
          <w:bCs/>
          <w:rtl/>
          <w:lang w:eastAsia="de-DE"/>
        </w:rPr>
        <w:t>זֶה</w:t>
      </w:r>
      <w:r w:rsidRPr="00956228">
        <w:rPr>
          <w:rFonts w:eastAsia="Times New Roman"/>
          <w:rtl/>
          <w:lang w:eastAsia="de-DE"/>
        </w:rPr>
        <w:t xml:space="preserve"> </w:t>
      </w:r>
      <w:r w:rsidRPr="00956228">
        <w:rPr>
          <w:rFonts w:eastAsia="Times New Roman"/>
          <w:lang w:eastAsia="de-DE"/>
        </w:rPr>
        <w:t>– „von hier").</w:t>
      </w:r>
    </w:p>
    <w:p w14:paraId="12AA8C8F"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b/>
          <w:bCs/>
          <w:rtl/>
          <w:lang w:eastAsia="de-DE"/>
        </w:rPr>
        <w:t>כִּי שִׁחֵת עַמְּךָ אֲשֶׁר הוֹצֵאתָ מִמִּצְרָיִם</w:t>
      </w:r>
      <w:r w:rsidRPr="00956228">
        <w:rPr>
          <w:rFonts w:eastAsia="Times New Roman"/>
          <w:rtl/>
          <w:lang w:eastAsia="de-DE"/>
        </w:rPr>
        <w:t xml:space="preserve"> </w:t>
      </w:r>
      <w:r w:rsidRPr="00956228">
        <w:rPr>
          <w:rFonts w:eastAsia="Times New Roman"/>
          <w:lang w:eastAsia="de-DE"/>
        </w:rPr>
        <w:t xml:space="preserve">ist die Begründung: </w:t>
      </w:r>
      <w:r w:rsidRPr="00956228">
        <w:rPr>
          <w:rFonts w:eastAsia="Times New Roman"/>
          <w:b/>
          <w:bCs/>
          <w:rtl/>
          <w:lang w:eastAsia="de-DE"/>
        </w:rPr>
        <w:t>כִּי</w:t>
      </w:r>
      <w:r w:rsidRPr="00956228">
        <w:rPr>
          <w:rFonts w:eastAsia="Times New Roman"/>
          <w:rtl/>
          <w:lang w:eastAsia="de-DE"/>
        </w:rPr>
        <w:t xml:space="preserve"> </w:t>
      </w:r>
      <w:r w:rsidRPr="00956228">
        <w:rPr>
          <w:rFonts w:eastAsia="Times New Roman"/>
          <w:lang w:eastAsia="de-DE"/>
        </w:rPr>
        <w:t xml:space="preserve">als Konjunktion („denn"), </w:t>
      </w:r>
      <w:r w:rsidRPr="00956228">
        <w:rPr>
          <w:rFonts w:eastAsia="Times New Roman"/>
          <w:b/>
          <w:bCs/>
          <w:rtl/>
          <w:lang w:eastAsia="de-DE"/>
        </w:rPr>
        <w:t>שִׁחֵת עַמְּךָ</w:t>
      </w:r>
      <w:r w:rsidRPr="00956228">
        <w:rPr>
          <w:rFonts w:eastAsia="Times New Roman"/>
          <w:rtl/>
          <w:lang w:eastAsia="de-DE"/>
        </w:rPr>
        <w:t xml:space="preserve"> </w:t>
      </w:r>
      <w:r w:rsidRPr="00956228">
        <w:rPr>
          <w:rFonts w:eastAsia="Times New Roman"/>
          <w:lang w:eastAsia="de-DE"/>
        </w:rPr>
        <w:t xml:space="preserve">(Piel Perfekt, 3. Person Singular maskulin von </w:t>
      </w:r>
      <w:r w:rsidRPr="00956228">
        <w:rPr>
          <w:rFonts w:eastAsia="Times New Roman"/>
          <w:b/>
          <w:bCs/>
          <w:rtl/>
          <w:lang w:eastAsia="de-DE"/>
        </w:rPr>
        <w:t>שׁחת</w:t>
      </w:r>
      <w:r w:rsidRPr="00956228">
        <w:rPr>
          <w:rFonts w:eastAsia="Times New Roman"/>
          <w:lang w:eastAsia="de-DE"/>
        </w:rPr>
        <w:t xml:space="preserve">, „verderben" – „hat verderblich gehandelt", </w:t>
      </w:r>
      <w:r w:rsidRPr="00956228">
        <w:rPr>
          <w:rFonts w:eastAsia="Times New Roman"/>
          <w:b/>
          <w:bCs/>
          <w:rtl/>
          <w:lang w:eastAsia="de-DE"/>
        </w:rPr>
        <w:t>עַמְּךָ</w:t>
      </w:r>
      <w:r w:rsidRPr="00956228">
        <w:rPr>
          <w:rFonts w:eastAsia="Times New Roman"/>
          <w:rtl/>
          <w:lang w:eastAsia="de-DE"/>
        </w:rPr>
        <w:t xml:space="preserve"> </w:t>
      </w:r>
      <w:r w:rsidRPr="00956228">
        <w:rPr>
          <w:rFonts w:eastAsia="Times New Roman"/>
          <w:lang w:eastAsia="de-DE"/>
        </w:rPr>
        <w:t xml:space="preserve">als Subjekt – </w:t>
      </w:r>
      <w:r w:rsidRPr="00956228">
        <w:rPr>
          <w:rFonts w:eastAsia="Times New Roman"/>
          <w:b/>
          <w:bCs/>
          <w:rtl/>
          <w:lang w:eastAsia="de-DE"/>
        </w:rPr>
        <w:t>עַם</w:t>
      </w:r>
      <w:r w:rsidRPr="00956228">
        <w:rPr>
          <w:rFonts w:eastAsia="Times New Roman"/>
          <w:rtl/>
          <w:lang w:eastAsia="de-DE"/>
        </w:rPr>
        <w:t xml:space="preserve"> </w:t>
      </w:r>
      <w:r w:rsidRPr="00956228">
        <w:rPr>
          <w:rFonts w:eastAsia="Times New Roman"/>
          <w:lang w:eastAsia="de-DE"/>
        </w:rPr>
        <w:t xml:space="preserve">mit Suffix 2. Person Singular maskulin – „dein Volk"), </w:t>
      </w:r>
      <w:r w:rsidRPr="00956228">
        <w:rPr>
          <w:rFonts w:eastAsia="Times New Roman"/>
          <w:b/>
          <w:bCs/>
          <w:rtl/>
          <w:lang w:eastAsia="de-DE"/>
        </w:rPr>
        <w:t>אֲשֶׁר הוֹצֵאתָ מִמִּצְרָיִם</w:t>
      </w:r>
      <w:r w:rsidRPr="00956228">
        <w:rPr>
          <w:rFonts w:eastAsia="Times New Roman"/>
          <w:rtl/>
          <w:lang w:eastAsia="de-DE"/>
        </w:rPr>
        <w:t xml:space="preserve"> </w:t>
      </w:r>
      <w:r w:rsidRPr="00956228">
        <w:rPr>
          <w:rFonts w:eastAsia="Times New Roman"/>
          <w:lang w:eastAsia="de-DE"/>
        </w:rPr>
        <w:t xml:space="preserve">als Relativsatz (Hifil Perfekt, 2. Person Singular maskulin von </w:t>
      </w:r>
      <w:r w:rsidRPr="00956228">
        <w:rPr>
          <w:rFonts w:eastAsia="Times New Roman"/>
          <w:b/>
          <w:bCs/>
          <w:rtl/>
          <w:lang w:eastAsia="de-DE"/>
        </w:rPr>
        <w:t>יצא</w:t>
      </w:r>
      <w:r w:rsidRPr="00956228">
        <w:rPr>
          <w:rFonts w:eastAsia="Times New Roman"/>
          <w:lang w:eastAsia="de-DE"/>
        </w:rPr>
        <w:t>, „herausführen", mit Herkunftsangabe).</w:t>
      </w:r>
    </w:p>
    <w:p w14:paraId="33DF0C90"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b/>
          <w:bCs/>
          <w:rtl/>
          <w:lang w:eastAsia="de-DE"/>
        </w:rPr>
        <w:t>סָרוּ מַהֵר מִן־הַדֶּרֶךְ אֲשֶׁר צִוִּיתִם עָשׂוּ לָהֶם מַסֵּכָה</w:t>
      </w:r>
      <w:r w:rsidRPr="00956228">
        <w:rPr>
          <w:rFonts w:eastAsia="Times New Roman"/>
          <w:rtl/>
          <w:lang w:eastAsia="de-DE"/>
        </w:rPr>
        <w:t xml:space="preserve"> </w:t>
      </w:r>
      <w:r w:rsidRPr="00956228">
        <w:rPr>
          <w:rFonts w:eastAsia="Times New Roman"/>
          <w:lang w:eastAsia="de-DE"/>
        </w:rPr>
        <w:t xml:space="preserve">ist eine zweigliedrige Konkretisierung: </w:t>
      </w:r>
      <w:r w:rsidRPr="00956228">
        <w:rPr>
          <w:rFonts w:eastAsia="Times New Roman"/>
          <w:b/>
          <w:bCs/>
          <w:rtl/>
          <w:lang w:eastAsia="de-DE"/>
        </w:rPr>
        <w:t>סָרוּ מַהֵר מִן־הַדֶּרֶךְ</w:t>
      </w:r>
      <w:r w:rsidRPr="00956228">
        <w:rPr>
          <w:rFonts w:eastAsia="Times New Roman"/>
          <w:rtl/>
          <w:lang w:eastAsia="de-DE"/>
        </w:rPr>
        <w:t xml:space="preserve"> </w:t>
      </w:r>
      <w:r w:rsidRPr="00956228">
        <w:rPr>
          <w:rFonts w:eastAsia="Times New Roman"/>
          <w:lang w:eastAsia="de-DE"/>
        </w:rPr>
        <w:t xml:space="preserve">(Qal Perfekt, 3. Person Plural von </w:t>
      </w:r>
      <w:r w:rsidRPr="00956228">
        <w:rPr>
          <w:rFonts w:eastAsia="Times New Roman"/>
          <w:b/>
          <w:bCs/>
          <w:rtl/>
          <w:lang w:eastAsia="de-DE"/>
        </w:rPr>
        <w:t>סור</w:t>
      </w:r>
      <w:r w:rsidRPr="00956228">
        <w:rPr>
          <w:rFonts w:eastAsia="Times New Roman"/>
          <w:lang w:eastAsia="de-DE"/>
        </w:rPr>
        <w:t xml:space="preserve">, „abweichen", </w:t>
      </w:r>
      <w:r w:rsidRPr="00956228">
        <w:rPr>
          <w:rFonts w:eastAsia="Times New Roman"/>
          <w:b/>
          <w:bCs/>
          <w:rtl/>
          <w:lang w:eastAsia="de-DE"/>
        </w:rPr>
        <w:t>מַהֵר</w:t>
      </w:r>
      <w:r w:rsidRPr="00956228">
        <w:rPr>
          <w:rFonts w:eastAsia="Times New Roman"/>
          <w:rtl/>
          <w:lang w:eastAsia="de-DE"/>
        </w:rPr>
        <w:t xml:space="preserve"> </w:t>
      </w:r>
      <w:r w:rsidRPr="00956228">
        <w:rPr>
          <w:rFonts w:eastAsia="Times New Roman"/>
          <w:lang w:eastAsia="de-DE"/>
        </w:rPr>
        <w:t xml:space="preserve">als Adverb, </w:t>
      </w:r>
      <w:r w:rsidRPr="00956228">
        <w:rPr>
          <w:rFonts w:eastAsia="Times New Roman"/>
          <w:b/>
          <w:bCs/>
          <w:rtl/>
          <w:lang w:eastAsia="de-DE"/>
        </w:rPr>
        <w:t>מִן־הַדֶּרֶךְ</w:t>
      </w:r>
      <w:r w:rsidRPr="00956228">
        <w:rPr>
          <w:rFonts w:eastAsia="Times New Roman"/>
          <w:rtl/>
          <w:lang w:eastAsia="de-DE"/>
        </w:rPr>
        <w:t xml:space="preserve"> </w:t>
      </w:r>
      <w:r w:rsidRPr="00956228">
        <w:rPr>
          <w:rFonts w:eastAsia="Times New Roman"/>
          <w:lang w:eastAsia="de-DE"/>
        </w:rPr>
        <w:t xml:space="preserve">als Herkunftsangabe – </w:t>
      </w:r>
      <w:r w:rsidRPr="00956228">
        <w:rPr>
          <w:rFonts w:eastAsia="Times New Roman"/>
          <w:b/>
          <w:bCs/>
          <w:rtl/>
          <w:lang w:eastAsia="de-DE"/>
        </w:rPr>
        <w:t>מִן</w:t>
      </w:r>
      <w:r w:rsidRPr="00956228">
        <w:rPr>
          <w:rFonts w:eastAsia="Times New Roman"/>
          <w:rtl/>
          <w:lang w:eastAsia="de-DE"/>
        </w:rPr>
        <w:t xml:space="preserve"> </w:t>
      </w:r>
      <w:r w:rsidRPr="00956228">
        <w:rPr>
          <w:rFonts w:eastAsia="Times New Roman"/>
          <w:lang w:eastAsia="de-DE"/>
        </w:rPr>
        <w:t xml:space="preserve">mit </w:t>
      </w:r>
      <w:r w:rsidRPr="00956228">
        <w:rPr>
          <w:rFonts w:eastAsia="Times New Roman"/>
          <w:b/>
          <w:bCs/>
          <w:rtl/>
          <w:lang w:eastAsia="de-DE"/>
        </w:rPr>
        <w:t>דֶּרֶךְ</w:t>
      </w:r>
      <w:r w:rsidRPr="00956228">
        <w:rPr>
          <w:rFonts w:eastAsia="Times New Roman"/>
          <w:lang w:eastAsia="de-DE"/>
        </w:rPr>
        <w:t xml:space="preserve">, „Weg" – „sie sind schnell vom Weg abgewichen"), </w:t>
      </w:r>
      <w:r w:rsidRPr="00956228">
        <w:rPr>
          <w:rFonts w:eastAsia="Times New Roman"/>
          <w:b/>
          <w:bCs/>
          <w:rtl/>
          <w:lang w:eastAsia="de-DE"/>
        </w:rPr>
        <w:t>אֲשֶׁר צִוִּיתִם</w:t>
      </w:r>
      <w:r w:rsidRPr="00956228">
        <w:rPr>
          <w:rFonts w:eastAsia="Times New Roman"/>
          <w:rtl/>
          <w:lang w:eastAsia="de-DE"/>
        </w:rPr>
        <w:t xml:space="preserve"> </w:t>
      </w:r>
      <w:r w:rsidRPr="00956228">
        <w:rPr>
          <w:rFonts w:eastAsia="Times New Roman"/>
          <w:lang w:eastAsia="de-DE"/>
        </w:rPr>
        <w:t xml:space="preserve">als Relativsatz (Piel Perfekt, 1. Person Singular von </w:t>
      </w:r>
      <w:r w:rsidRPr="00956228">
        <w:rPr>
          <w:rFonts w:eastAsia="Times New Roman"/>
          <w:b/>
          <w:bCs/>
          <w:rtl/>
          <w:lang w:eastAsia="de-DE"/>
        </w:rPr>
        <w:t>צוה</w:t>
      </w:r>
      <w:r w:rsidRPr="00956228">
        <w:rPr>
          <w:rFonts w:eastAsia="Times New Roman"/>
          <w:lang w:eastAsia="de-DE"/>
        </w:rPr>
        <w:t xml:space="preserve">, „befehlen", mit Suffix 3. Person Plural maskulin), </w:t>
      </w:r>
      <w:r w:rsidRPr="00956228">
        <w:rPr>
          <w:rFonts w:eastAsia="Times New Roman"/>
          <w:b/>
          <w:bCs/>
          <w:rtl/>
          <w:lang w:eastAsia="de-DE"/>
        </w:rPr>
        <w:t>עָשׂוּ לָהֶם מַסֵּכָה</w:t>
      </w:r>
      <w:r w:rsidRPr="00956228">
        <w:rPr>
          <w:rFonts w:eastAsia="Times New Roman"/>
          <w:rtl/>
          <w:lang w:eastAsia="de-DE"/>
        </w:rPr>
        <w:t xml:space="preserve"> </w:t>
      </w:r>
      <w:r w:rsidRPr="00956228">
        <w:rPr>
          <w:rFonts w:eastAsia="Times New Roman"/>
          <w:lang w:eastAsia="de-DE"/>
        </w:rPr>
        <w:t xml:space="preserve">koordiniert (Qal Perfekt, 3. Person Plural von </w:t>
      </w:r>
      <w:r w:rsidRPr="00956228">
        <w:rPr>
          <w:rFonts w:eastAsia="Times New Roman"/>
          <w:b/>
          <w:bCs/>
          <w:rtl/>
          <w:lang w:eastAsia="de-DE"/>
        </w:rPr>
        <w:t>עשׂה</w:t>
      </w:r>
      <w:r w:rsidRPr="00956228">
        <w:rPr>
          <w:rFonts w:eastAsia="Times New Roman"/>
          <w:lang w:eastAsia="de-DE"/>
        </w:rPr>
        <w:t xml:space="preserve">, „machen", </w:t>
      </w:r>
      <w:r w:rsidRPr="00956228">
        <w:rPr>
          <w:rFonts w:eastAsia="Times New Roman"/>
          <w:b/>
          <w:bCs/>
          <w:rtl/>
          <w:lang w:eastAsia="de-DE"/>
        </w:rPr>
        <w:t>לָהֶם</w:t>
      </w:r>
      <w:r w:rsidRPr="00956228">
        <w:rPr>
          <w:rFonts w:eastAsia="Times New Roman"/>
          <w:rtl/>
          <w:lang w:eastAsia="de-DE"/>
        </w:rPr>
        <w:t xml:space="preserve"> </w:t>
      </w:r>
      <w:r w:rsidRPr="00956228">
        <w:rPr>
          <w:rFonts w:eastAsia="Times New Roman"/>
          <w:lang w:eastAsia="de-DE"/>
        </w:rPr>
        <w:t xml:space="preserve">als Dativ, </w:t>
      </w:r>
      <w:r w:rsidRPr="00956228">
        <w:rPr>
          <w:rFonts w:eastAsia="Times New Roman"/>
          <w:b/>
          <w:bCs/>
          <w:rtl/>
          <w:lang w:eastAsia="de-DE"/>
        </w:rPr>
        <w:t>מַסֵּכָה</w:t>
      </w:r>
      <w:r w:rsidRPr="00956228">
        <w:rPr>
          <w:rFonts w:eastAsia="Times New Roman"/>
          <w:rtl/>
          <w:lang w:eastAsia="de-DE"/>
        </w:rPr>
        <w:t xml:space="preserve"> </w:t>
      </w:r>
      <w:r w:rsidRPr="00956228">
        <w:rPr>
          <w:rFonts w:eastAsia="Times New Roman"/>
          <w:lang w:eastAsia="de-DE"/>
        </w:rPr>
        <w:t>als direktes Objekt – „gegossenes Bild").</w:t>
      </w:r>
    </w:p>
    <w:p w14:paraId="0EF1B626"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lang w:eastAsia="de-DE"/>
        </w:rPr>
        <w:t xml:space="preserve">Der Vers zitiert JHWHs Worte (vgl. Ex 32,7-8). Die Formulierung </w:t>
      </w:r>
      <w:r w:rsidRPr="00956228">
        <w:rPr>
          <w:rFonts w:eastAsia="Times New Roman"/>
          <w:b/>
          <w:bCs/>
          <w:rtl/>
          <w:lang w:eastAsia="de-DE"/>
        </w:rPr>
        <w:t>עַמְּךָ</w:t>
      </w:r>
      <w:r w:rsidRPr="00956228">
        <w:rPr>
          <w:rFonts w:eastAsia="Times New Roman"/>
          <w:rtl/>
          <w:lang w:eastAsia="de-DE"/>
        </w:rPr>
        <w:t xml:space="preserve"> </w:t>
      </w:r>
      <w:r w:rsidRPr="00956228">
        <w:rPr>
          <w:rFonts w:eastAsia="Times New Roman"/>
          <w:lang w:eastAsia="de-DE"/>
        </w:rPr>
        <w:t xml:space="preserve">(„dein Volk" – Moses' Volk, nicht mehr „mein Volk") drückt göttliche Distanzierung aus. Die doppelte Verwendung von </w:t>
      </w:r>
      <w:r w:rsidRPr="00956228">
        <w:rPr>
          <w:rFonts w:eastAsia="Times New Roman"/>
          <w:b/>
          <w:bCs/>
          <w:rtl/>
          <w:lang w:eastAsia="de-DE"/>
        </w:rPr>
        <w:t>מַהֵר</w:t>
      </w:r>
      <w:r w:rsidRPr="00956228">
        <w:rPr>
          <w:rFonts w:eastAsia="Times New Roman"/>
          <w:rtl/>
          <w:lang w:eastAsia="de-DE"/>
        </w:rPr>
        <w:t xml:space="preserve"> </w:t>
      </w:r>
      <w:r w:rsidRPr="00956228">
        <w:rPr>
          <w:rFonts w:eastAsia="Times New Roman"/>
          <w:lang w:eastAsia="de-DE"/>
        </w:rPr>
        <w:t xml:space="preserve">(„schnell") unterstreicht die Plötzlichkeit: schnell hinabsteigen – sie sind schnell abgewichen. Die Metapher </w:t>
      </w:r>
      <w:r w:rsidRPr="00956228">
        <w:rPr>
          <w:rFonts w:eastAsia="Times New Roman"/>
          <w:b/>
          <w:bCs/>
          <w:rtl/>
          <w:lang w:eastAsia="de-DE"/>
        </w:rPr>
        <w:t>סָרוּ מִן־הַדֶּרֶךְ</w:t>
      </w:r>
      <w:r w:rsidRPr="00956228">
        <w:rPr>
          <w:rFonts w:eastAsia="Times New Roman"/>
          <w:rtl/>
          <w:lang w:eastAsia="de-DE"/>
        </w:rPr>
        <w:t xml:space="preserve"> </w:t>
      </w:r>
      <w:r w:rsidRPr="00956228">
        <w:rPr>
          <w:rFonts w:eastAsia="Times New Roman"/>
          <w:lang w:eastAsia="de-DE"/>
        </w:rPr>
        <w:t xml:space="preserve">(„vom Weg abweichen") bezeichnet Bundesbruch. Das Wort </w:t>
      </w:r>
      <w:r w:rsidRPr="00956228">
        <w:rPr>
          <w:rFonts w:eastAsia="Times New Roman"/>
          <w:b/>
          <w:bCs/>
          <w:rtl/>
          <w:lang w:eastAsia="de-DE"/>
        </w:rPr>
        <w:t>מַסֵּכָה</w:t>
      </w:r>
      <w:r w:rsidRPr="00956228">
        <w:rPr>
          <w:rFonts w:eastAsia="Times New Roman"/>
          <w:rtl/>
          <w:lang w:eastAsia="de-DE"/>
        </w:rPr>
        <w:t xml:space="preserve"> </w:t>
      </w:r>
      <w:r w:rsidRPr="00956228">
        <w:rPr>
          <w:rFonts w:eastAsia="Times New Roman"/>
          <w:lang w:eastAsia="de-DE"/>
        </w:rPr>
        <w:t>(„gegossenes Bild") bezeichnet das goldene Kalb.</w:t>
      </w:r>
    </w:p>
    <w:p w14:paraId="69E58E5E"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lang w:eastAsia="de-DE"/>
        </w:rPr>
        <w:t>Die Satzstruktur ist eine Redeeinleitung, gefolgt von einem zweigliedrigen Imperativsatz mit Adverb und Herkunftsangabe, einer Begründung mit Relativsatz und einer zweigliedrigen Konkretisierung (beide mit Relativsatz bzw. Dativ und direktem Objekt).</w:t>
      </w:r>
    </w:p>
    <w:p w14:paraId="26939FB1"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lang w:eastAsia="de-DE"/>
        </w:rPr>
        <w:t>Der Vers gibt JHWHs Befehl wieder: Steig schnell hinab! Dein Volk hat verderblich gehandelt – sie sind schnell vom Weg abgewichen und haben sich ein Götzenbild gemacht.</w:t>
      </w:r>
    </w:p>
    <w:p w14:paraId="0862003A" w14:textId="77777777" w:rsidR="00956228" w:rsidRPr="00956228" w:rsidRDefault="00956228" w:rsidP="00956228">
      <w:pPr>
        <w:spacing w:before="100" w:beforeAutospacing="1" w:after="100" w:afterAutospacing="1" w:line="240" w:lineRule="auto"/>
        <w:outlineLvl w:val="1"/>
        <w:rPr>
          <w:rFonts w:eastAsia="Times New Roman"/>
          <w:b/>
          <w:bCs/>
          <w:sz w:val="36"/>
          <w:szCs w:val="36"/>
          <w:lang w:eastAsia="de-DE"/>
        </w:rPr>
      </w:pPr>
      <w:r w:rsidRPr="00956228">
        <w:rPr>
          <w:rFonts w:eastAsia="Times New Roman"/>
          <w:b/>
          <w:bCs/>
          <w:sz w:val="36"/>
          <w:szCs w:val="36"/>
          <w:lang w:eastAsia="de-DE"/>
        </w:rPr>
        <w:t>Deuteronomium 9,13</w:t>
      </w:r>
    </w:p>
    <w:p w14:paraId="32AF6A04"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b/>
          <w:bCs/>
          <w:lang w:eastAsia="de-DE"/>
        </w:rPr>
        <w:t>Hebräisch:</w:t>
      </w:r>
      <w:r w:rsidRPr="00956228">
        <w:rPr>
          <w:rFonts w:eastAsia="Times New Roman"/>
          <w:lang w:eastAsia="de-DE"/>
        </w:rPr>
        <w:t xml:space="preserve"> </w:t>
      </w:r>
      <w:r w:rsidRPr="00956228">
        <w:rPr>
          <w:rFonts w:eastAsia="Times New Roman"/>
          <w:rtl/>
          <w:lang w:eastAsia="de-DE"/>
        </w:rPr>
        <w:t>וַיֹּאמֶר יְהוָה אֵלַי לֵאמֹר רָאִיתִי אֶת־הָעָם הַזֶּה וְהִנֵּה עַם־קְשֵׁה־עֹרֶף הוּא׃</w:t>
      </w:r>
    </w:p>
    <w:p w14:paraId="0E82F718"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b/>
          <w:bCs/>
          <w:lang w:eastAsia="de-DE"/>
        </w:rPr>
        <w:lastRenderedPageBreak/>
        <w:t>Deutsch:</w:t>
      </w:r>
      <w:r w:rsidRPr="00956228">
        <w:rPr>
          <w:rFonts w:eastAsia="Times New Roman"/>
          <w:lang w:eastAsia="de-DE"/>
        </w:rPr>
        <w:t xml:space="preserve"> Und der Ewige sprach zu mir: Ich habe dieses Volk gesehen, und siehe, es ist ein hartnäckiges Volk.</w:t>
      </w:r>
    </w:p>
    <w:p w14:paraId="514E0CD0" w14:textId="77777777" w:rsidR="00956228" w:rsidRPr="00956228" w:rsidRDefault="004F5CEB" w:rsidP="00956228">
      <w:pPr>
        <w:spacing w:after="0" w:line="240" w:lineRule="auto"/>
        <w:rPr>
          <w:rFonts w:eastAsia="Times New Roman"/>
          <w:lang w:eastAsia="de-DE"/>
        </w:rPr>
      </w:pPr>
      <w:r>
        <w:rPr>
          <w:rFonts w:eastAsia="Times New Roman"/>
          <w:noProof/>
          <w:lang w:eastAsia="de-DE"/>
        </w:rPr>
        <w:pict w14:anchorId="7474F78E">
          <v:rect id="_x0000_i1302" style="width:0;height:1.5pt" o:hralign="center" o:hrstd="t" o:hr="t" fillcolor="#a0a0a0" stroked="f"/>
        </w:pict>
      </w:r>
    </w:p>
    <w:p w14:paraId="3A4E7123"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b/>
          <w:bCs/>
          <w:lang w:eastAsia="de-DE"/>
        </w:rPr>
        <w:t>Kommentar:</w:t>
      </w:r>
      <w:r w:rsidRPr="00956228">
        <w:rPr>
          <w:rFonts w:eastAsia="Times New Roman"/>
          <w:lang w:eastAsia="de-DE"/>
        </w:rPr>
        <w:t xml:space="preserve"> </w:t>
      </w:r>
      <w:r w:rsidRPr="00956228">
        <w:rPr>
          <w:rFonts w:eastAsia="Times New Roman"/>
          <w:b/>
          <w:bCs/>
          <w:rtl/>
          <w:lang w:eastAsia="de-DE"/>
        </w:rPr>
        <w:t>וַיֹּאמֶר יְהוָה אֵלַי לֵאמֹר</w:t>
      </w:r>
      <w:r w:rsidRPr="00956228">
        <w:rPr>
          <w:rFonts w:eastAsia="Times New Roman"/>
          <w:rtl/>
          <w:lang w:eastAsia="de-DE"/>
        </w:rPr>
        <w:t xml:space="preserve"> </w:t>
      </w:r>
      <w:r w:rsidRPr="00956228">
        <w:rPr>
          <w:rFonts w:eastAsia="Times New Roman"/>
          <w:lang w:eastAsia="de-DE"/>
        </w:rPr>
        <w:t xml:space="preserve">ist die Redeeinleitung: </w:t>
      </w:r>
      <w:r w:rsidRPr="00956228">
        <w:rPr>
          <w:rFonts w:eastAsia="Times New Roman"/>
          <w:b/>
          <w:bCs/>
          <w:rtl/>
          <w:lang w:eastAsia="de-DE"/>
        </w:rPr>
        <w:t>וַיֹּאמֶר יְהוָה אֵלַי</w:t>
      </w:r>
      <w:r w:rsidRPr="00956228">
        <w:rPr>
          <w:rFonts w:eastAsia="Times New Roman"/>
          <w:rtl/>
          <w:lang w:eastAsia="de-DE"/>
        </w:rPr>
        <w:t xml:space="preserve"> </w:t>
      </w:r>
      <w:r w:rsidRPr="00956228">
        <w:rPr>
          <w:rFonts w:eastAsia="Times New Roman"/>
          <w:lang w:eastAsia="de-DE"/>
        </w:rPr>
        <w:t xml:space="preserve">(wie V. 12), </w:t>
      </w:r>
      <w:r w:rsidRPr="00956228">
        <w:rPr>
          <w:rFonts w:eastAsia="Times New Roman"/>
          <w:b/>
          <w:bCs/>
          <w:rtl/>
          <w:lang w:eastAsia="de-DE"/>
        </w:rPr>
        <w:t>לֵאמֹר</w:t>
      </w:r>
      <w:r w:rsidRPr="00956228">
        <w:rPr>
          <w:rFonts w:eastAsia="Times New Roman"/>
          <w:rtl/>
          <w:lang w:eastAsia="de-DE"/>
        </w:rPr>
        <w:t xml:space="preserve"> </w:t>
      </w:r>
      <w:r w:rsidRPr="00956228">
        <w:rPr>
          <w:rFonts w:eastAsia="Times New Roman"/>
          <w:lang w:eastAsia="de-DE"/>
        </w:rPr>
        <w:t>als zusätzliche Redeformel.</w:t>
      </w:r>
    </w:p>
    <w:p w14:paraId="6E5722EE"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b/>
          <w:bCs/>
          <w:rtl/>
          <w:lang w:eastAsia="de-DE"/>
        </w:rPr>
        <w:t>רָאִיתִי אֶת־הָעָם הַזֶּה</w:t>
      </w:r>
      <w:r w:rsidRPr="00956228">
        <w:rPr>
          <w:rFonts w:eastAsia="Times New Roman"/>
          <w:rtl/>
          <w:lang w:eastAsia="de-DE"/>
        </w:rPr>
        <w:t xml:space="preserve"> </w:t>
      </w:r>
      <w:r w:rsidRPr="00956228">
        <w:rPr>
          <w:rFonts w:eastAsia="Times New Roman"/>
          <w:lang w:eastAsia="de-DE"/>
        </w:rPr>
        <w:t xml:space="preserve">ist die erste Aussage: </w:t>
      </w:r>
      <w:r w:rsidRPr="00956228">
        <w:rPr>
          <w:rFonts w:eastAsia="Times New Roman"/>
          <w:b/>
          <w:bCs/>
          <w:rtl/>
          <w:lang w:eastAsia="de-DE"/>
        </w:rPr>
        <w:t>רָאִיתִי</w:t>
      </w:r>
      <w:r w:rsidRPr="00956228">
        <w:rPr>
          <w:rFonts w:eastAsia="Times New Roman"/>
          <w:rtl/>
          <w:lang w:eastAsia="de-DE"/>
        </w:rPr>
        <w:t xml:space="preserve"> </w:t>
      </w:r>
      <w:r w:rsidRPr="00956228">
        <w:rPr>
          <w:rFonts w:eastAsia="Times New Roman"/>
          <w:lang w:eastAsia="de-DE"/>
        </w:rPr>
        <w:t xml:space="preserve">(Qal Perfekt, 1. Person Singular von </w:t>
      </w:r>
      <w:r w:rsidRPr="00956228">
        <w:rPr>
          <w:rFonts w:eastAsia="Times New Roman"/>
          <w:b/>
          <w:bCs/>
          <w:rtl/>
          <w:lang w:eastAsia="de-DE"/>
        </w:rPr>
        <w:t>ראה</w:t>
      </w:r>
      <w:r w:rsidRPr="00956228">
        <w:rPr>
          <w:rFonts w:eastAsia="Times New Roman"/>
          <w:lang w:eastAsia="de-DE"/>
        </w:rPr>
        <w:t xml:space="preserve">, „sehen"), </w:t>
      </w:r>
      <w:r w:rsidRPr="00956228">
        <w:rPr>
          <w:rFonts w:eastAsia="Times New Roman"/>
          <w:b/>
          <w:bCs/>
          <w:rtl/>
          <w:lang w:eastAsia="de-DE"/>
        </w:rPr>
        <w:t>אֶת־הָעָם הַזֶּה</w:t>
      </w:r>
      <w:r w:rsidRPr="00956228">
        <w:rPr>
          <w:rFonts w:eastAsia="Times New Roman"/>
          <w:rtl/>
          <w:lang w:eastAsia="de-DE"/>
        </w:rPr>
        <w:t xml:space="preserve"> </w:t>
      </w:r>
      <w:r w:rsidRPr="00956228">
        <w:rPr>
          <w:rFonts w:eastAsia="Times New Roman"/>
          <w:lang w:eastAsia="de-DE"/>
        </w:rPr>
        <w:t>als direktes Objekt (mit Demonstrativpronomen).</w:t>
      </w:r>
    </w:p>
    <w:p w14:paraId="1FE3EEC9"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b/>
          <w:bCs/>
          <w:rtl/>
          <w:lang w:eastAsia="de-DE"/>
        </w:rPr>
        <w:t>וְהִנֵּה עַם־קְשֵׁה־עֹרֶף הוּא</w:t>
      </w:r>
      <w:r w:rsidRPr="00956228">
        <w:rPr>
          <w:rFonts w:eastAsia="Times New Roman"/>
          <w:rtl/>
          <w:lang w:eastAsia="de-DE"/>
        </w:rPr>
        <w:t xml:space="preserve"> </w:t>
      </w:r>
      <w:r w:rsidRPr="00956228">
        <w:rPr>
          <w:rFonts w:eastAsia="Times New Roman"/>
          <w:lang w:eastAsia="de-DE"/>
        </w:rPr>
        <w:t xml:space="preserve">ist die Charakterisierung: </w:t>
      </w:r>
      <w:r w:rsidRPr="00956228">
        <w:rPr>
          <w:rFonts w:eastAsia="Times New Roman"/>
          <w:b/>
          <w:bCs/>
          <w:rtl/>
          <w:lang w:eastAsia="de-DE"/>
        </w:rPr>
        <w:t>וְהִנֵּה</w:t>
      </w:r>
      <w:r w:rsidRPr="00956228">
        <w:rPr>
          <w:rFonts w:eastAsia="Times New Roman"/>
          <w:rtl/>
          <w:lang w:eastAsia="de-DE"/>
        </w:rPr>
        <w:t xml:space="preserve"> </w:t>
      </w:r>
      <w:r w:rsidRPr="00956228">
        <w:rPr>
          <w:rFonts w:eastAsia="Times New Roman"/>
          <w:lang w:eastAsia="de-DE"/>
        </w:rPr>
        <w:t xml:space="preserve">als Interjektionspartikel („und siehe"), </w:t>
      </w:r>
      <w:r w:rsidRPr="00956228">
        <w:rPr>
          <w:rFonts w:eastAsia="Times New Roman"/>
          <w:b/>
          <w:bCs/>
          <w:rtl/>
          <w:lang w:eastAsia="de-DE"/>
        </w:rPr>
        <w:t>עַם־קְשֵׁה־עֹרֶף</w:t>
      </w:r>
      <w:r w:rsidRPr="00956228">
        <w:rPr>
          <w:rFonts w:eastAsia="Times New Roman"/>
          <w:rtl/>
          <w:lang w:eastAsia="de-DE"/>
        </w:rPr>
        <w:t xml:space="preserve"> </w:t>
      </w:r>
      <w:r w:rsidRPr="00956228">
        <w:rPr>
          <w:rFonts w:eastAsia="Times New Roman"/>
          <w:lang w:eastAsia="de-DE"/>
        </w:rPr>
        <w:t xml:space="preserve">als Prädikatsnomen (wie 9,6), </w:t>
      </w:r>
      <w:r w:rsidRPr="00956228">
        <w:rPr>
          <w:rFonts w:eastAsia="Times New Roman"/>
          <w:b/>
          <w:bCs/>
          <w:rtl/>
          <w:lang w:eastAsia="de-DE"/>
        </w:rPr>
        <w:t>הוּא</w:t>
      </w:r>
      <w:r w:rsidRPr="00956228">
        <w:rPr>
          <w:rFonts w:eastAsia="Times New Roman"/>
          <w:rtl/>
          <w:lang w:eastAsia="de-DE"/>
        </w:rPr>
        <w:t xml:space="preserve"> </w:t>
      </w:r>
      <w:r w:rsidRPr="00956228">
        <w:rPr>
          <w:rFonts w:eastAsia="Times New Roman"/>
          <w:lang w:eastAsia="de-DE"/>
        </w:rPr>
        <w:t>als Subjekt.</w:t>
      </w:r>
    </w:p>
    <w:p w14:paraId="064C6546"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lang w:eastAsia="de-DE"/>
        </w:rPr>
        <w:t xml:space="preserve">Der Vers wiederholt JHWHs Urteil über Israel (vgl. Ex 32,9). Die Aussage </w:t>
      </w:r>
      <w:r w:rsidRPr="00956228">
        <w:rPr>
          <w:rFonts w:eastAsia="Times New Roman"/>
          <w:b/>
          <w:bCs/>
          <w:rtl/>
          <w:lang w:eastAsia="de-DE"/>
        </w:rPr>
        <w:t>רָאִיתִי</w:t>
      </w:r>
      <w:r w:rsidRPr="00956228">
        <w:rPr>
          <w:rFonts w:eastAsia="Times New Roman"/>
          <w:rtl/>
          <w:lang w:eastAsia="de-DE"/>
        </w:rPr>
        <w:t xml:space="preserve"> </w:t>
      </w:r>
      <w:r w:rsidRPr="00956228">
        <w:rPr>
          <w:rFonts w:eastAsia="Times New Roman"/>
          <w:lang w:eastAsia="de-DE"/>
        </w:rPr>
        <w:t xml:space="preserve">(„ich habe gesehen") drückt göttliche Erkenntnis aus – JHWH durchschaut Israels wahres Wesen. Die Charakterisierung </w:t>
      </w:r>
      <w:r w:rsidRPr="00956228">
        <w:rPr>
          <w:rFonts w:eastAsia="Times New Roman"/>
          <w:b/>
          <w:bCs/>
          <w:rtl/>
          <w:lang w:eastAsia="de-DE"/>
        </w:rPr>
        <w:t>עַם־קְשֵׁה־עֹרֶף הוּא</w:t>
      </w:r>
      <w:r w:rsidRPr="00956228">
        <w:rPr>
          <w:rFonts w:eastAsia="Times New Roman"/>
          <w:rtl/>
          <w:lang w:eastAsia="de-DE"/>
        </w:rPr>
        <w:t xml:space="preserve"> </w:t>
      </w:r>
      <w:r w:rsidRPr="00956228">
        <w:rPr>
          <w:rFonts w:eastAsia="Times New Roman"/>
          <w:lang w:eastAsia="de-DE"/>
        </w:rPr>
        <w:t>greift V. 6 auf und bestätigt: Israels Halsstarrigkeit ist keine bloße Behauptung, sondern göttlich festgestellte Tatsache.</w:t>
      </w:r>
    </w:p>
    <w:p w14:paraId="3BD5D026"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lang w:eastAsia="de-DE"/>
        </w:rPr>
        <w:t>Die Satzstruktur ist eine Redeeinleitung mit doppelter Redeformel, gefolgt von einem Satz mit Prädikat und direktem Objekt sowie einem nominalen Satz mit Interjektionspartikel, Prädikatsnomen und Subjekt.</w:t>
      </w:r>
    </w:p>
    <w:p w14:paraId="149F119B"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lang w:eastAsia="de-DE"/>
        </w:rPr>
        <w:t>Der Vers gibt JHWHs Urteil wieder: Ich habe dieses Volk gesehen – siehe, es ist ein hartnäckiges Volk!</w:t>
      </w:r>
    </w:p>
    <w:p w14:paraId="35732BF2" w14:textId="77777777" w:rsidR="00956228" w:rsidRPr="00956228" w:rsidRDefault="00956228" w:rsidP="00956228">
      <w:pPr>
        <w:spacing w:before="100" w:beforeAutospacing="1" w:after="100" w:afterAutospacing="1" w:line="240" w:lineRule="auto"/>
        <w:outlineLvl w:val="1"/>
        <w:rPr>
          <w:rFonts w:eastAsia="Times New Roman"/>
          <w:b/>
          <w:bCs/>
          <w:sz w:val="36"/>
          <w:szCs w:val="36"/>
          <w:lang w:eastAsia="de-DE"/>
        </w:rPr>
      </w:pPr>
      <w:r w:rsidRPr="00956228">
        <w:rPr>
          <w:rFonts w:eastAsia="Times New Roman"/>
          <w:b/>
          <w:bCs/>
          <w:sz w:val="36"/>
          <w:szCs w:val="36"/>
          <w:lang w:eastAsia="de-DE"/>
        </w:rPr>
        <w:t>Deuteronomium 9,14</w:t>
      </w:r>
    </w:p>
    <w:p w14:paraId="1E69A514"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b/>
          <w:bCs/>
          <w:lang w:eastAsia="de-DE"/>
        </w:rPr>
        <w:t>Hebräisch:</w:t>
      </w:r>
      <w:r w:rsidRPr="00956228">
        <w:rPr>
          <w:rFonts w:eastAsia="Times New Roman"/>
          <w:lang w:eastAsia="de-DE"/>
        </w:rPr>
        <w:t xml:space="preserve"> </w:t>
      </w:r>
      <w:r w:rsidRPr="00956228">
        <w:rPr>
          <w:rFonts w:eastAsia="Times New Roman"/>
          <w:rtl/>
          <w:lang w:eastAsia="de-DE"/>
        </w:rPr>
        <w:t>הֶרֶף מִמֶּנִּי וְאַשְׁמִידֵם וְאֶמְחֶה אֶת־שְׁמָם מִתַּחַת הַשָּׁמָיִם וְאֶֽעֱשֶׂה אֽוֹתְךָ לְגוֹי־עָצוּם וָרָב מִמֶּנּוּ׃</w:t>
      </w:r>
    </w:p>
    <w:p w14:paraId="55EEB2A7"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b/>
          <w:bCs/>
          <w:lang w:eastAsia="de-DE"/>
        </w:rPr>
        <w:t>Deutsch:</w:t>
      </w:r>
      <w:r w:rsidRPr="00956228">
        <w:rPr>
          <w:rFonts w:eastAsia="Times New Roman"/>
          <w:lang w:eastAsia="de-DE"/>
        </w:rPr>
        <w:t xml:space="preserve"> Lass ab von mir, dass ich sie vertilge und ihre Namen unter dem Himmel auslösche; und ich will dich zu einer Nation machen, stärker und größer als sie.</w:t>
      </w:r>
    </w:p>
    <w:p w14:paraId="414887F6" w14:textId="77777777" w:rsidR="00956228" w:rsidRPr="00956228" w:rsidRDefault="004F5CEB" w:rsidP="00956228">
      <w:pPr>
        <w:spacing w:after="0" w:line="240" w:lineRule="auto"/>
        <w:rPr>
          <w:rFonts w:eastAsia="Times New Roman"/>
          <w:lang w:eastAsia="de-DE"/>
        </w:rPr>
      </w:pPr>
      <w:r>
        <w:rPr>
          <w:rFonts w:eastAsia="Times New Roman"/>
          <w:noProof/>
          <w:lang w:eastAsia="de-DE"/>
        </w:rPr>
        <w:pict w14:anchorId="4649E9B0">
          <v:rect id="_x0000_i1303" style="width:0;height:1.5pt" o:hralign="center" o:hrstd="t" o:hr="t" fillcolor="#a0a0a0" stroked="f"/>
        </w:pict>
      </w:r>
    </w:p>
    <w:p w14:paraId="1694B34C"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b/>
          <w:bCs/>
          <w:lang w:eastAsia="de-DE"/>
        </w:rPr>
        <w:t>Kommentar:</w:t>
      </w:r>
      <w:r w:rsidRPr="00956228">
        <w:rPr>
          <w:rFonts w:eastAsia="Times New Roman"/>
          <w:lang w:eastAsia="de-DE"/>
        </w:rPr>
        <w:t xml:space="preserve"> </w:t>
      </w:r>
      <w:r w:rsidRPr="00956228">
        <w:rPr>
          <w:rFonts w:eastAsia="Times New Roman"/>
          <w:b/>
          <w:bCs/>
          <w:rtl/>
          <w:lang w:eastAsia="de-DE"/>
        </w:rPr>
        <w:t>הֶרֶף מִמֶּנִּי</w:t>
      </w:r>
      <w:r w:rsidRPr="00956228">
        <w:rPr>
          <w:rFonts w:eastAsia="Times New Roman"/>
          <w:rtl/>
          <w:lang w:eastAsia="de-DE"/>
        </w:rPr>
        <w:t xml:space="preserve"> </w:t>
      </w:r>
      <w:r w:rsidRPr="00956228">
        <w:rPr>
          <w:rFonts w:eastAsia="Times New Roman"/>
          <w:lang w:eastAsia="de-DE"/>
        </w:rPr>
        <w:t xml:space="preserve">ist ein Imperativsatz: </w:t>
      </w:r>
      <w:r w:rsidRPr="00956228">
        <w:rPr>
          <w:rFonts w:eastAsia="Times New Roman"/>
          <w:b/>
          <w:bCs/>
          <w:rtl/>
          <w:lang w:eastAsia="de-DE"/>
        </w:rPr>
        <w:t>הֶרֶף</w:t>
      </w:r>
      <w:r w:rsidRPr="00956228">
        <w:rPr>
          <w:rFonts w:eastAsia="Times New Roman"/>
          <w:rtl/>
          <w:lang w:eastAsia="de-DE"/>
        </w:rPr>
        <w:t xml:space="preserve"> </w:t>
      </w:r>
      <w:r w:rsidRPr="00956228">
        <w:rPr>
          <w:rFonts w:eastAsia="Times New Roman"/>
          <w:lang w:eastAsia="de-DE"/>
        </w:rPr>
        <w:t xml:space="preserve">(Hifil Imperativ, 2. Person Singular maskulin von </w:t>
      </w:r>
      <w:r w:rsidRPr="00956228">
        <w:rPr>
          <w:rFonts w:eastAsia="Times New Roman"/>
          <w:b/>
          <w:bCs/>
          <w:rtl/>
          <w:lang w:eastAsia="de-DE"/>
        </w:rPr>
        <w:t>רפה</w:t>
      </w:r>
      <w:r w:rsidRPr="00956228">
        <w:rPr>
          <w:rFonts w:eastAsia="Times New Roman"/>
          <w:lang w:eastAsia="de-DE"/>
        </w:rPr>
        <w:t xml:space="preserve">, „nachlassen" – im Hifil „ablassen, loslassen"), </w:t>
      </w:r>
      <w:r w:rsidRPr="00956228">
        <w:rPr>
          <w:rFonts w:eastAsia="Times New Roman"/>
          <w:b/>
          <w:bCs/>
          <w:rtl/>
          <w:lang w:eastAsia="de-DE"/>
        </w:rPr>
        <w:t>מִמֶּנִּי</w:t>
      </w:r>
      <w:r w:rsidRPr="00956228">
        <w:rPr>
          <w:rFonts w:eastAsia="Times New Roman"/>
          <w:rtl/>
          <w:lang w:eastAsia="de-DE"/>
        </w:rPr>
        <w:t xml:space="preserve"> </w:t>
      </w:r>
      <w:r w:rsidRPr="00956228">
        <w:rPr>
          <w:rFonts w:eastAsia="Times New Roman"/>
          <w:lang w:eastAsia="de-DE"/>
        </w:rPr>
        <w:t>als präpositionale Ergänzung (</w:t>
      </w:r>
      <w:r w:rsidRPr="00956228">
        <w:rPr>
          <w:rFonts w:eastAsia="Times New Roman"/>
          <w:b/>
          <w:bCs/>
          <w:rtl/>
          <w:lang w:eastAsia="de-DE"/>
        </w:rPr>
        <w:t>מִן</w:t>
      </w:r>
      <w:r w:rsidRPr="00956228">
        <w:rPr>
          <w:rFonts w:eastAsia="Times New Roman"/>
          <w:rtl/>
          <w:lang w:eastAsia="de-DE"/>
        </w:rPr>
        <w:t xml:space="preserve"> </w:t>
      </w:r>
      <w:r w:rsidRPr="00956228">
        <w:rPr>
          <w:rFonts w:eastAsia="Times New Roman"/>
          <w:lang w:eastAsia="de-DE"/>
        </w:rPr>
        <w:t>mit Suffix 1. Person Singular – „von mir").</w:t>
      </w:r>
    </w:p>
    <w:p w14:paraId="61AF36A9"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b/>
          <w:bCs/>
          <w:rtl/>
          <w:lang w:eastAsia="de-DE"/>
        </w:rPr>
        <w:t>וְאַשְׁמִידֵם וְאֶמְחֶה אֶת־שְׁמָם מִתַּחַת הַשָּׁמָיִם</w:t>
      </w:r>
      <w:r w:rsidRPr="00956228">
        <w:rPr>
          <w:rFonts w:eastAsia="Times New Roman"/>
          <w:rtl/>
          <w:lang w:eastAsia="de-DE"/>
        </w:rPr>
        <w:t xml:space="preserve"> </w:t>
      </w:r>
      <w:r w:rsidRPr="00956228">
        <w:rPr>
          <w:rFonts w:eastAsia="Times New Roman"/>
          <w:lang w:eastAsia="de-DE"/>
        </w:rPr>
        <w:t xml:space="preserve">ist eine zweigliedrige koordinierte Absichtskette: </w:t>
      </w:r>
      <w:r w:rsidRPr="00956228">
        <w:rPr>
          <w:rFonts w:eastAsia="Times New Roman"/>
          <w:b/>
          <w:bCs/>
          <w:rtl/>
          <w:lang w:eastAsia="de-DE"/>
        </w:rPr>
        <w:t>וְאַשְׁמִידֵם</w:t>
      </w:r>
      <w:r w:rsidRPr="00956228">
        <w:rPr>
          <w:rFonts w:eastAsia="Times New Roman"/>
          <w:rtl/>
          <w:lang w:eastAsia="de-DE"/>
        </w:rPr>
        <w:t xml:space="preserve"> </w:t>
      </w:r>
      <w:r w:rsidRPr="00956228">
        <w:rPr>
          <w:rFonts w:eastAsia="Times New Roman"/>
          <w:lang w:eastAsia="de-DE"/>
        </w:rPr>
        <w:t xml:space="preserve">(Hifil Imperfekt cohortativum, 1. Person Singular von </w:t>
      </w:r>
      <w:r w:rsidRPr="00956228">
        <w:rPr>
          <w:rFonts w:eastAsia="Times New Roman"/>
          <w:b/>
          <w:bCs/>
          <w:rtl/>
          <w:lang w:eastAsia="de-DE"/>
        </w:rPr>
        <w:t>שׁמד</w:t>
      </w:r>
      <w:r w:rsidRPr="00956228">
        <w:rPr>
          <w:rFonts w:eastAsia="Times New Roman"/>
          <w:lang w:eastAsia="de-DE"/>
        </w:rPr>
        <w:t xml:space="preserve">, „vernichten", mit </w:t>
      </w:r>
      <w:r w:rsidRPr="00956228">
        <w:rPr>
          <w:rFonts w:eastAsia="Times New Roman"/>
          <w:b/>
          <w:bCs/>
          <w:rtl/>
          <w:lang w:eastAsia="de-DE"/>
        </w:rPr>
        <w:t>וְ</w:t>
      </w:r>
      <w:r w:rsidRPr="00956228">
        <w:rPr>
          <w:rFonts w:eastAsia="Times New Roman"/>
          <w:rtl/>
          <w:lang w:eastAsia="de-DE"/>
        </w:rPr>
        <w:t xml:space="preserve"> </w:t>
      </w:r>
      <w:r w:rsidRPr="00956228">
        <w:rPr>
          <w:rFonts w:eastAsia="Times New Roman"/>
          <w:lang w:eastAsia="de-DE"/>
        </w:rPr>
        <w:t xml:space="preserve">und Suffix 3. Person Plural maskulin), </w:t>
      </w:r>
      <w:r w:rsidRPr="00956228">
        <w:rPr>
          <w:rFonts w:eastAsia="Times New Roman"/>
          <w:b/>
          <w:bCs/>
          <w:rtl/>
          <w:lang w:eastAsia="de-DE"/>
        </w:rPr>
        <w:t>וְאֶמְחֶה אֶת־שְׁמָם מִתַּחַת הַשָּׁמָיִם</w:t>
      </w:r>
      <w:r w:rsidRPr="00956228">
        <w:rPr>
          <w:rFonts w:eastAsia="Times New Roman"/>
          <w:rtl/>
          <w:lang w:eastAsia="de-DE"/>
        </w:rPr>
        <w:t xml:space="preserve"> </w:t>
      </w:r>
      <w:r w:rsidRPr="00956228">
        <w:rPr>
          <w:rFonts w:eastAsia="Times New Roman"/>
          <w:lang w:eastAsia="de-DE"/>
        </w:rPr>
        <w:t xml:space="preserve">koordiniert (Qal Imperfekt cohortativum, 1. Person Singular von </w:t>
      </w:r>
      <w:r w:rsidRPr="00956228">
        <w:rPr>
          <w:rFonts w:eastAsia="Times New Roman"/>
          <w:b/>
          <w:bCs/>
          <w:rtl/>
          <w:lang w:eastAsia="de-DE"/>
        </w:rPr>
        <w:t>מחה</w:t>
      </w:r>
      <w:r w:rsidRPr="00956228">
        <w:rPr>
          <w:rFonts w:eastAsia="Times New Roman"/>
          <w:lang w:eastAsia="de-DE"/>
        </w:rPr>
        <w:t xml:space="preserve">, „auslöschen, austilgen", mit </w:t>
      </w:r>
      <w:r w:rsidRPr="00956228">
        <w:rPr>
          <w:rFonts w:eastAsia="Times New Roman"/>
          <w:b/>
          <w:bCs/>
          <w:rtl/>
          <w:lang w:eastAsia="de-DE"/>
        </w:rPr>
        <w:t>וְ</w:t>
      </w:r>
      <w:r w:rsidRPr="00956228">
        <w:rPr>
          <w:rFonts w:eastAsia="Times New Roman"/>
          <w:lang w:eastAsia="de-DE"/>
        </w:rPr>
        <w:t xml:space="preserve">, </w:t>
      </w:r>
      <w:r w:rsidRPr="00956228">
        <w:rPr>
          <w:rFonts w:eastAsia="Times New Roman"/>
          <w:b/>
          <w:bCs/>
          <w:rtl/>
          <w:lang w:eastAsia="de-DE"/>
        </w:rPr>
        <w:t>אֶת־שְׁמָם</w:t>
      </w:r>
      <w:r w:rsidRPr="00956228">
        <w:rPr>
          <w:rFonts w:eastAsia="Times New Roman"/>
          <w:rtl/>
          <w:lang w:eastAsia="de-DE"/>
        </w:rPr>
        <w:t xml:space="preserve"> </w:t>
      </w:r>
      <w:r w:rsidRPr="00956228">
        <w:rPr>
          <w:rFonts w:eastAsia="Times New Roman"/>
          <w:lang w:eastAsia="de-DE"/>
        </w:rPr>
        <w:t xml:space="preserve">als direktem Objekt – </w:t>
      </w:r>
      <w:r w:rsidRPr="00956228">
        <w:rPr>
          <w:rFonts w:eastAsia="Times New Roman"/>
          <w:b/>
          <w:bCs/>
          <w:rtl/>
          <w:lang w:eastAsia="de-DE"/>
        </w:rPr>
        <w:t>שֵׁם</w:t>
      </w:r>
      <w:r w:rsidRPr="00956228">
        <w:rPr>
          <w:rFonts w:eastAsia="Times New Roman"/>
          <w:rtl/>
          <w:lang w:eastAsia="de-DE"/>
        </w:rPr>
        <w:t xml:space="preserve"> </w:t>
      </w:r>
      <w:r w:rsidRPr="00956228">
        <w:rPr>
          <w:rFonts w:eastAsia="Times New Roman"/>
          <w:lang w:eastAsia="de-DE"/>
        </w:rPr>
        <w:t xml:space="preserve">mit Suffix, </w:t>
      </w:r>
      <w:r w:rsidRPr="00956228">
        <w:rPr>
          <w:rFonts w:eastAsia="Times New Roman"/>
          <w:b/>
          <w:bCs/>
          <w:rtl/>
          <w:lang w:eastAsia="de-DE"/>
        </w:rPr>
        <w:t>מִתַּחַת הַשָּׁמָיִם</w:t>
      </w:r>
      <w:r w:rsidRPr="00956228">
        <w:rPr>
          <w:rFonts w:eastAsia="Times New Roman"/>
          <w:rtl/>
          <w:lang w:eastAsia="de-DE"/>
        </w:rPr>
        <w:t xml:space="preserve"> </w:t>
      </w:r>
      <w:r w:rsidRPr="00956228">
        <w:rPr>
          <w:rFonts w:eastAsia="Times New Roman"/>
          <w:lang w:eastAsia="de-DE"/>
        </w:rPr>
        <w:t xml:space="preserve">als Herkunftsangabe – </w:t>
      </w:r>
      <w:r w:rsidRPr="00956228">
        <w:rPr>
          <w:rFonts w:eastAsia="Times New Roman"/>
          <w:b/>
          <w:bCs/>
          <w:rtl/>
          <w:lang w:eastAsia="de-DE"/>
        </w:rPr>
        <w:t>מִן</w:t>
      </w:r>
      <w:r w:rsidRPr="00956228">
        <w:rPr>
          <w:rFonts w:eastAsia="Times New Roman"/>
          <w:rtl/>
          <w:lang w:eastAsia="de-DE"/>
        </w:rPr>
        <w:t xml:space="preserve"> </w:t>
      </w:r>
      <w:r w:rsidRPr="00956228">
        <w:rPr>
          <w:rFonts w:eastAsia="Times New Roman"/>
          <w:lang w:eastAsia="de-DE"/>
        </w:rPr>
        <w:t xml:space="preserve">mit </w:t>
      </w:r>
      <w:r w:rsidRPr="00956228">
        <w:rPr>
          <w:rFonts w:eastAsia="Times New Roman"/>
          <w:b/>
          <w:bCs/>
          <w:rtl/>
          <w:lang w:eastAsia="de-DE"/>
        </w:rPr>
        <w:t>תַּחַת</w:t>
      </w:r>
      <w:r w:rsidRPr="00956228">
        <w:rPr>
          <w:rFonts w:eastAsia="Times New Roman"/>
          <w:lang w:eastAsia="de-DE"/>
        </w:rPr>
        <w:t xml:space="preserve">, „unter", </w:t>
      </w:r>
      <w:r w:rsidRPr="00956228">
        <w:rPr>
          <w:rFonts w:eastAsia="Times New Roman"/>
          <w:b/>
          <w:bCs/>
          <w:rtl/>
          <w:lang w:eastAsia="de-DE"/>
        </w:rPr>
        <w:t>שָׁמַיִם</w:t>
      </w:r>
      <w:r w:rsidRPr="00956228">
        <w:rPr>
          <w:rFonts w:eastAsia="Times New Roman"/>
          <w:rtl/>
          <w:lang w:eastAsia="de-DE"/>
        </w:rPr>
        <w:t xml:space="preserve"> </w:t>
      </w:r>
      <w:r w:rsidRPr="00956228">
        <w:rPr>
          <w:rFonts w:eastAsia="Times New Roman"/>
          <w:lang w:eastAsia="de-DE"/>
        </w:rPr>
        <w:t>– „von unter dem Himmel").</w:t>
      </w:r>
    </w:p>
    <w:p w14:paraId="19D0D93F"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b/>
          <w:bCs/>
          <w:rtl/>
          <w:lang w:eastAsia="de-DE"/>
        </w:rPr>
        <w:lastRenderedPageBreak/>
        <w:t>וְאֶֽעֱשֶׂה אֽוֹתְךָ לְגוֹי־עָצוּם וָרָב מִמֶּנּוּ</w:t>
      </w:r>
      <w:r w:rsidRPr="00956228">
        <w:rPr>
          <w:rFonts w:eastAsia="Times New Roman"/>
          <w:rtl/>
          <w:lang w:eastAsia="de-DE"/>
        </w:rPr>
        <w:t xml:space="preserve"> </w:t>
      </w:r>
      <w:r w:rsidRPr="00956228">
        <w:rPr>
          <w:rFonts w:eastAsia="Times New Roman"/>
          <w:lang w:eastAsia="de-DE"/>
        </w:rPr>
        <w:t xml:space="preserve">ist die Alternative: </w:t>
      </w:r>
      <w:r w:rsidRPr="00956228">
        <w:rPr>
          <w:rFonts w:eastAsia="Times New Roman"/>
          <w:b/>
          <w:bCs/>
          <w:rtl/>
          <w:lang w:eastAsia="de-DE"/>
        </w:rPr>
        <w:t>וְאֶֽעֱשֶׂה</w:t>
      </w:r>
      <w:r w:rsidRPr="00956228">
        <w:rPr>
          <w:rFonts w:eastAsia="Times New Roman"/>
          <w:rtl/>
          <w:lang w:eastAsia="de-DE"/>
        </w:rPr>
        <w:t xml:space="preserve"> </w:t>
      </w:r>
      <w:r w:rsidRPr="00956228">
        <w:rPr>
          <w:rFonts w:eastAsia="Times New Roman"/>
          <w:lang w:eastAsia="de-DE"/>
        </w:rPr>
        <w:t xml:space="preserve">(Qal Imperfekt cohortativum, 1. Person Singular von </w:t>
      </w:r>
      <w:r w:rsidRPr="00956228">
        <w:rPr>
          <w:rFonts w:eastAsia="Times New Roman"/>
          <w:b/>
          <w:bCs/>
          <w:rtl/>
          <w:lang w:eastAsia="de-DE"/>
        </w:rPr>
        <w:t>עשׂה</w:t>
      </w:r>
      <w:r w:rsidRPr="00956228">
        <w:rPr>
          <w:rFonts w:eastAsia="Times New Roman"/>
          <w:lang w:eastAsia="de-DE"/>
        </w:rPr>
        <w:t xml:space="preserve">, „machen", mit </w:t>
      </w:r>
      <w:r w:rsidRPr="00956228">
        <w:rPr>
          <w:rFonts w:eastAsia="Times New Roman"/>
          <w:b/>
          <w:bCs/>
          <w:rtl/>
          <w:lang w:eastAsia="de-DE"/>
        </w:rPr>
        <w:t>וְ</w:t>
      </w:r>
      <w:r w:rsidRPr="00956228">
        <w:rPr>
          <w:rFonts w:eastAsia="Times New Roman"/>
          <w:lang w:eastAsia="de-DE"/>
        </w:rPr>
        <w:t xml:space="preserve">), </w:t>
      </w:r>
      <w:r w:rsidRPr="00956228">
        <w:rPr>
          <w:rFonts w:eastAsia="Times New Roman"/>
          <w:b/>
          <w:bCs/>
          <w:rtl/>
          <w:lang w:eastAsia="de-DE"/>
        </w:rPr>
        <w:t>אֽוֹתְךָ</w:t>
      </w:r>
      <w:r w:rsidRPr="00956228">
        <w:rPr>
          <w:rFonts w:eastAsia="Times New Roman"/>
          <w:rtl/>
          <w:lang w:eastAsia="de-DE"/>
        </w:rPr>
        <w:t xml:space="preserve"> </w:t>
      </w:r>
      <w:r w:rsidRPr="00956228">
        <w:rPr>
          <w:rFonts w:eastAsia="Times New Roman"/>
          <w:lang w:eastAsia="de-DE"/>
        </w:rPr>
        <w:t xml:space="preserve">als direktes Objekt, </w:t>
      </w:r>
      <w:r w:rsidRPr="00956228">
        <w:rPr>
          <w:rFonts w:eastAsia="Times New Roman"/>
          <w:b/>
          <w:bCs/>
          <w:rtl/>
          <w:lang w:eastAsia="de-DE"/>
        </w:rPr>
        <w:t>לְגוֹי־עָצוּם וָרָב מִמֶּנּוּ</w:t>
      </w:r>
      <w:r w:rsidRPr="00956228">
        <w:rPr>
          <w:rFonts w:eastAsia="Times New Roman"/>
          <w:rtl/>
          <w:lang w:eastAsia="de-DE"/>
        </w:rPr>
        <w:t xml:space="preserve"> </w:t>
      </w:r>
      <w:r w:rsidRPr="00956228">
        <w:rPr>
          <w:rFonts w:eastAsia="Times New Roman"/>
          <w:lang w:eastAsia="de-DE"/>
        </w:rPr>
        <w:t>als Zielbestimmung (</w:t>
      </w:r>
      <w:r w:rsidRPr="00956228">
        <w:rPr>
          <w:rFonts w:eastAsia="Times New Roman"/>
          <w:b/>
          <w:bCs/>
          <w:rtl/>
          <w:lang w:eastAsia="de-DE"/>
        </w:rPr>
        <w:t>לְ</w:t>
      </w:r>
      <w:r w:rsidRPr="00956228">
        <w:rPr>
          <w:rFonts w:eastAsia="Times New Roman"/>
          <w:rtl/>
          <w:lang w:eastAsia="de-DE"/>
        </w:rPr>
        <w:t xml:space="preserve"> </w:t>
      </w:r>
      <w:r w:rsidRPr="00956228">
        <w:rPr>
          <w:rFonts w:eastAsia="Times New Roman"/>
          <w:lang w:eastAsia="de-DE"/>
        </w:rPr>
        <w:t xml:space="preserve">mit </w:t>
      </w:r>
      <w:r w:rsidRPr="00956228">
        <w:rPr>
          <w:rFonts w:eastAsia="Times New Roman"/>
          <w:b/>
          <w:bCs/>
          <w:rtl/>
          <w:lang w:eastAsia="de-DE"/>
        </w:rPr>
        <w:t>גּוֹי</w:t>
      </w:r>
      <w:r w:rsidRPr="00956228">
        <w:rPr>
          <w:rFonts w:eastAsia="Times New Roman"/>
          <w:rtl/>
          <w:lang w:eastAsia="de-DE"/>
        </w:rPr>
        <w:t xml:space="preserve"> </w:t>
      </w:r>
      <w:r w:rsidRPr="00956228">
        <w:rPr>
          <w:rFonts w:eastAsia="Times New Roman"/>
          <w:lang w:eastAsia="de-DE"/>
        </w:rPr>
        <w:t xml:space="preserve">und zweigliedrigem koordiniertem Attribut: </w:t>
      </w:r>
      <w:r w:rsidRPr="00956228">
        <w:rPr>
          <w:rFonts w:eastAsia="Times New Roman"/>
          <w:b/>
          <w:bCs/>
          <w:rtl/>
          <w:lang w:eastAsia="de-DE"/>
        </w:rPr>
        <w:t>עָצוּם</w:t>
      </w:r>
      <w:r w:rsidRPr="00956228">
        <w:rPr>
          <w:rFonts w:eastAsia="Times New Roman"/>
          <w:lang w:eastAsia="de-DE"/>
        </w:rPr>
        <w:t xml:space="preserve">, „stark", und </w:t>
      </w:r>
      <w:r w:rsidRPr="00956228">
        <w:rPr>
          <w:rFonts w:eastAsia="Times New Roman"/>
          <w:b/>
          <w:bCs/>
          <w:rtl/>
          <w:lang w:eastAsia="de-DE"/>
        </w:rPr>
        <w:t>רָב</w:t>
      </w:r>
      <w:r w:rsidRPr="00956228">
        <w:rPr>
          <w:rFonts w:eastAsia="Times New Roman"/>
          <w:lang w:eastAsia="de-DE"/>
        </w:rPr>
        <w:t xml:space="preserve">, „groß, zahlreich", </w:t>
      </w:r>
      <w:r w:rsidRPr="00956228">
        <w:rPr>
          <w:rFonts w:eastAsia="Times New Roman"/>
          <w:b/>
          <w:bCs/>
          <w:rtl/>
          <w:lang w:eastAsia="de-DE"/>
        </w:rPr>
        <w:t>מִמֶּנּוּ</w:t>
      </w:r>
      <w:r w:rsidRPr="00956228">
        <w:rPr>
          <w:rFonts w:eastAsia="Times New Roman"/>
          <w:rtl/>
          <w:lang w:eastAsia="de-DE"/>
        </w:rPr>
        <w:t xml:space="preserve"> </w:t>
      </w:r>
      <w:r w:rsidRPr="00956228">
        <w:rPr>
          <w:rFonts w:eastAsia="Times New Roman"/>
          <w:lang w:eastAsia="de-DE"/>
        </w:rPr>
        <w:t xml:space="preserve">als Vergleichskonstruktion – </w:t>
      </w:r>
      <w:r w:rsidRPr="00956228">
        <w:rPr>
          <w:rFonts w:eastAsia="Times New Roman"/>
          <w:b/>
          <w:bCs/>
          <w:rtl/>
          <w:lang w:eastAsia="de-DE"/>
        </w:rPr>
        <w:t>מִן</w:t>
      </w:r>
      <w:r w:rsidRPr="00956228">
        <w:rPr>
          <w:rFonts w:eastAsia="Times New Roman"/>
          <w:rtl/>
          <w:lang w:eastAsia="de-DE"/>
        </w:rPr>
        <w:t xml:space="preserve"> </w:t>
      </w:r>
      <w:r w:rsidRPr="00956228">
        <w:rPr>
          <w:rFonts w:eastAsia="Times New Roman"/>
          <w:lang w:eastAsia="de-DE"/>
        </w:rPr>
        <w:t>komparativ mit Suffix 3. Person Singular maskulin – „stärker und größer als es").</w:t>
      </w:r>
    </w:p>
    <w:p w14:paraId="7C2B1648"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lang w:eastAsia="de-DE"/>
        </w:rPr>
        <w:t xml:space="preserve">Der Vers zitiert JHWHs drastisches Angebot an Mose: Vernichtung Israels und Neuanfang mit Moses' Nachkommen (vgl. Ex 32,10). Die Formulierung </w:t>
      </w:r>
      <w:r w:rsidRPr="00956228">
        <w:rPr>
          <w:rFonts w:eastAsia="Times New Roman"/>
          <w:b/>
          <w:bCs/>
          <w:rtl/>
          <w:lang w:eastAsia="de-DE"/>
        </w:rPr>
        <w:t>הֶרֶף מִמֶּנִּי</w:t>
      </w:r>
      <w:r w:rsidRPr="00956228">
        <w:rPr>
          <w:rFonts w:eastAsia="Times New Roman"/>
          <w:rtl/>
          <w:lang w:eastAsia="de-DE"/>
        </w:rPr>
        <w:t xml:space="preserve"> </w:t>
      </w:r>
      <w:r w:rsidRPr="00956228">
        <w:rPr>
          <w:rFonts w:eastAsia="Times New Roman"/>
          <w:lang w:eastAsia="de-DE"/>
        </w:rPr>
        <w:t xml:space="preserve">(„lass ab von mir") impliziert: Moses' Fürbitte hält JHWH zurück. Die Wendung </w:t>
      </w:r>
      <w:r w:rsidRPr="00956228">
        <w:rPr>
          <w:rFonts w:eastAsia="Times New Roman"/>
          <w:b/>
          <w:bCs/>
          <w:rtl/>
          <w:lang w:eastAsia="de-DE"/>
        </w:rPr>
        <w:t>אֶמְחֶה אֶת־שְׁמָם מִתַּחַת הַשָּׁמָיִם</w:t>
      </w:r>
      <w:r w:rsidRPr="00956228">
        <w:rPr>
          <w:rFonts w:eastAsia="Times New Roman"/>
          <w:rtl/>
          <w:lang w:eastAsia="de-DE"/>
        </w:rPr>
        <w:t xml:space="preserve"> </w:t>
      </w:r>
      <w:r w:rsidRPr="00956228">
        <w:rPr>
          <w:rFonts w:eastAsia="Times New Roman"/>
          <w:lang w:eastAsia="de-DE"/>
        </w:rPr>
        <w:t>(„ihre Namen unter dem Himmel auslöschen") bedeutet totales Verschwinden aus der Geschichte (vgl. 7,24; 25,19; 29,19). Das Angebot, Mose zu einer großen Nation zu machen, wiederholt die Abrahamverheißung.</w:t>
      </w:r>
    </w:p>
    <w:p w14:paraId="1C02C48A"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lang w:eastAsia="de-DE"/>
        </w:rPr>
        <w:t>Die Satzstruktur ist ein Imperativsatz mit präpositionaler Ergänzung, gefolgt von einer zweigliedrigen koordinierten Absichtskette (die zweite mit direktem Objekt und Herkunftsangabe) und einer Alternative mit direktem Objekt und Zielbestimmung mit Vergleichskonstruktion.</w:t>
      </w:r>
    </w:p>
    <w:p w14:paraId="313AA9B1" w14:textId="77777777" w:rsidR="00956228" w:rsidRPr="00956228" w:rsidRDefault="00956228" w:rsidP="00956228">
      <w:pPr>
        <w:spacing w:before="100" w:beforeAutospacing="1" w:after="100" w:afterAutospacing="1" w:line="240" w:lineRule="auto"/>
        <w:rPr>
          <w:rFonts w:eastAsia="Times New Roman"/>
          <w:lang w:eastAsia="de-DE"/>
        </w:rPr>
      </w:pPr>
      <w:r w:rsidRPr="00956228">
        <w:rPr>
          <w:rFonts w:eastAsia="Times New Roman"/>
          <w:lang w:eastAsia="de-DE"/>
        </w:rPr>
        <w:t>Der Vers gibt JHWHs drastisches Angebot wieder: Lass ab von mir, damit ich sie vernichte und ihre Namen auslösche – und dich zu einer größeren Nation mache!</w:t>
      </w:r>
    </w:p>
    <w:p w14:paraId="49330DF9" w14:textId="77777777" w:rsidR="0082635F" w:rsidRPr="0082635F" w:rsidRDefault="0082635F" w:rsidP="0082635F">
      <w:pPr>
        <w:spacing w:before="100" w:beforeAutospacing="1" w:after="100" w:afterAutospacing="1" w:line="240" w:lineRule="auto"/>
        <w:outlineLvl w:val="1"/>
        <w:rPr>
          <w:rFonts w:eastAsia="Times New Roman"/>
          <w:b/>
          <w:bCs/>
          <w:sz w:val="36"/>
          <w:szCs w:val="36"/>
          <w:lang w:eastAsia="de-DE"/>
        </w:rPr>
      </w:pPr>
      <w:r w:rsidRPr="0082635F">
        <w:rPr>
          <w:rFonts w:eastAsia="Times New Roman"/>
          <w:b/>
          <w:bCs/>
          <w:sz w:val="36"/>
          <w:szCs w:val="36"/>
          <w:lang w:eastAsia="de-DE"/>
        </w:rPr>
        <w:t>Deuteronomium 9,15</w:t>
      </w:r>
    </w:p>
    <w:p w14:paraId="46ABE146"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Hebräisch:</w:t>
      </w:r>
      <w:r w:rsidRPr="0082635F">
        <w:rPr>
          <w:rFonts w:eastAsia="Times New Roman"/>
          <w:lang w:eastAsia="de-DE"/>
        </w:rPr>
        <w:t xml:space="preserve"> </w:t>
      </w:r>
      <w:r w:rsidRPr="0082635F">
        <w:rPr>
          <w:rFonts w:eastAsia="Times New Roman"/>
          <w:rtl/>
          <w:lang w:eastAsia="de-DE"/>
        </w:rPr>
        <w:t>וָאֵפֶן וָֽאֵרֵד מִן־הָהָר וְהָהָר בֹּעֵר בָּאֵשׁ וּשְׁנֵי לֻחֹת הַבְּרִית עַל שְׁתֵּי יָדָי׃</w:t>
      </w:r>
    </w:p>
    <w:p w14:paraId="4AEE0FC6"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Deutsch:</w:t>
      </w:r>
      <w:r w:rsidRPr="0082635F">
        <w:rPr>
          <w:rFonts w:eastAsia="Times New Roman"/>
          <w:lang w:eastAsia="de-DE"/>
        </w:rPr>
        <w:t xml:space="preserve"> Da wandte ich mich und stieg vom Berg herab, und der Berg brannte mit Feuer; und die zwei Tafeln des Bundes waren auf meinen beiden Händen.</w:t>
      </w:r>
    </w:p>
    <w:p w14:paraId="29DFF480" w14:textId="77777777" w:rsidR="0082635F" w:rsidRPr="0082635F" w:rsidRDefault="004F5CEB" w:rsidP="0082635F">
      <w:pPr>
        <w:spacing w:after="0" w:line="240" w:lineRule="auto"/>
        <w:rPr>
          <w:rFonts w:eastAsia="Times New Roman"/>
          <w:lang w:eastAsia="de-DE"/>
        </w:rPr>
      </w:pPr>
      <w:r>
        <w:rPr>
          <w:rFonts w:eastAsia="Times New Roman"/>
          <w:noProof/>
          <w:lang w:eastAsia="de-DE"/>
        </w:rPr>
        <w:pict w14:anchorId="6CBE784A">
          <v:rect id="_x0000_i1304" style="width:0;height:1.5pt" o:hralign="center" o:hrstd="t" o:hr="t" fillcolor="#a0a0a0" stroked="f"/>
        </w:pict>
      </w:r>
    </w:p>
    <w:p w14:paraId="0FB3969D"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Kommentar:</w:t>
      </w:r>
      <w:r w:rsidRPr="0082635F">
        <w:rPr>
          <w:rFonts w:eastAsia="Times New Roman"/>
          <w:lang w:eastAsia="de-DE"/>
        </w:rPr>
        <w:t xml:space="preserve"> </w:t>
      </w:r>
      <w:r w:rsidRPr="0082635F">
        <w:rPr>
          <w:rFonts w:eastAsia="Times New Roman"/>
          <w:b/>
          <w:bCs/>
          <w:rtl/>
          <w:lang w:eastAsia="de-DE"/>
        </w:rPr>
        <w:t>וָאֵפֶן וָֽאֵרֵד מִן־הָהָר</w:t>
      </w:r>
      <w:r w:rsidRPr="0082635F">
        <w:rPr>
          <w:rFonts w:eastAsia="Times New Roman"/>
          <w:rtl/>
          <w:lang w:eastAsia="de-DE"/>
        </w:rPr>
        <w:t xml:space="preserve"> </w:t>
      </w:r>
      <w:r w:rsidRPr="0082635F">
        <w:rPr>
          <w:rFonts w:eastAsia="Times New Roman"/>
          <w:lang w:eastAsia="de-DE"/>
        </w:rPr>
        <w:t xml:space="preserve">ist eine zweigliedrige koordinierte Verbkette: </w:t>
      </w:r>
      <w:r w:rsidRPr="0082635F">
        <w:rPr>
          <w:rFonts w:eastAsia="Times New Roman"/>
          <w:b/>
          <w:bCs/>
          <w:rtl/>
          <w:lang w:eastAsia="de-DE"/>
        </w:rPr>
        <w:t>וָאֵפֶן</w:t>
      </w:r>
      <w:r w:rsidRPr="0082635F">
        <w:rPr>
          <w:rFonts w:eastAsia="Times New Roman"/>
          <w:rtl/>
          <w:lang w:eastAsia="de-DE"/>
        </w:rPr>
        <w:t xml:space="preserve"> </w:t>
      </w:r>
      <w:r w:rsidRPr="0082635F">
        <w:rPr>
          <w:rFonts w:eastAsia="Times New Roman"/>
          <w:lang w:eastAsia="de-DE"/>
        </w:rPr>
        <w:t xml:space="preserve">(Qal Imperfekt consecutivum, 1. Person Singular von </w:t>
      </w:r>
      <w:r w:rsidRPr="0082635F">
        <w:rPr>
          <w:rFonts w:eastAsia="Times New Roman"/>
          <w:b/>
          <w:bCs/>
          <w:rtl/>
          <w:lang w:eastAsia="de-DE"/>
        </w:rPr>
        <w:t>פנה</w:t>
      </w:r>
      <w:r w:rsidRPr="0082635F">
        <w:rPr>
          <w:rFonts w:eastAsia="Times New Roman"/>
          <w:lang w:eastAsia="de-DE"/>
        </w:rPr>
        <w:t xml:space="preserve">, „sich wenden, sich umwenden", mit </w:t>
      </w:r>
      <w:r w:rsidRPr="0082635F">
        <w:rPr>
          <w:rFonts w:eastAsia="Times New Roman"/>
          <w:b/>
          <w:bCs/>
          <w:rtl/>
          <w:lang w:eastAsia="de-DE"/>
        </w:rPr>
        <w:t>וְ</w:t>
      </w:r>
      <w:r w:rsidRPr="0082635F">
        <w:rPr>
          <w:rFonts w:eastAsia="Times New Roman"/>
          <w:lang w:eastAsia="de-DE"/>
        </w:rPr>
        <w:t xml:space="preserve">), </w:t>
      </w:r>
      <w:r w:rsidRPr="0082635F">
        <w:rPr>
          <w:rFonts w:eastAsia="Times New Roman"/>
          <w:b/>
          <w:bCs/>
          <w:rtl/>
          <w:lang w:eastAsia="de-DE"/>
        </w:rPr>
        <w:t>וָֽאֵרֵד מִן־הָהָר</w:t>
      </w:r>
      <w:r w:rsidRPr="0082635F">
        <w:rPr>
          <w:rFonts w:eastAsia="Times New Roman"/>
          <w:rtl/>
          <w:lang w:eastAsia="de-DE"/>
        </w:rPr>
        <w:t xml:space="preserve"> </w:t>
      </w:r>
      <w:r w:rsidRPr="0082635F">
        <w:rPr>
          <w:rFonts w:eastAsia="Times New Roman"/>
          <w:lang w:eastAsia="de-DE"/>
        </w:rPr>
        <w:t xml:space="preserve">koordiniert (Qal Imperfekt consecutivum, 1. Person Singular von </w:t>
      </w:r>
      <w:r w:rsidRPr="0082635F">
        <w:rPr>
          <w:rFonts w:eastAsia="Times New Roman"/>
          <w:b/>
          <w:bCs/>
          <w:rtl/>
          <w:lang w:eastAsia="de-DE"/>
        </w:rPr>
        <w:t>ירד</w:t>
      </w:r>
      <w:r w:rsidRPr="0082635F">
        <w:rPr>
          <w:rFonts w:eastAsia="Times New Roman"/>
          <w:lang w:eastAsia="de-DE"/>
        </w:rPr>
        <w:t xml:space="preserve">, „hinabsteigen", mit </w:t>
      </w:r>
      <w:r w:rsidRPr="0082635F">
        <w:rPr>
          <w:rFonts w:eastAsia="Times New Roman"/>
          <w:b/>
          <w:bCs/>
          <w:rtl/>
          <w:lang w:eastAsia="de-DE"/>
        </w:rPr>
        <w:t>וְ</w:t>
      </w:r>
      <w:r w:rsidRPr="0082635F">
        <w:rPr>
          <w:rFonts w:eastAsia="Times New Roman"/>
          <w:lang w:eastAsia="de-DE"/>
        </w:rPr>
        <w:t xml:space="preserve">, </w:t>
      </w:r>
      <w:r w:rsidRPr="0082635F">
        <w:rPr>
          <w:rFonts w:eastAsia="Times New Roman"/>
          <w:b/>
          <w:bCs/>
          <w:rtl/>
          <w:lang w:eastAsia="de-DE"/>
        </w:rPr>
        <w:t>מִן־הָהָר</w:t>
      </w:r>
      <w:r w:rsidRPr="0082635F">
        <w:rPr>
          <w:rFonts w:eastAsia="Times New Roman"/>
          <w:rtl/>
          <w:lang w:eastAsia="de-DE"/>
        </w:rPr>
        <w:t xml:space="preserve"> </w:t>
      </w:r>
      <w:r w:rsidRPr="0082635F">
        <w:rPr>
          <w:rFonts w:eastAsia="Times New Roman"/>
          <w:lang w:eastAsia="de-DE"/>
        </w:rPr>
        <w:t>als Herkunftsangabe).</w:t>
      </w:r>
    </w:p>
    <w:p w14:paraId="77A5BCC7"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rtl/>
          <w:lang w:eastAsia="de-DE"/>
        </w:rPr>
        <w:t>וְהָהָר בֹּעֵר בָּאֵשׁ</w:t>
      </w:r>
      <w:r w:rsidRPr="0082635F">
        <w:rPr>
          <w:rFonts w:eastAsia="Times New Roman"/>
          <w:rtl/>
          <w:lang w:eastAsia="de-DE"/>
        </w:rPr>
        <w:t xml:space="preserve"> </w:t>
      </w:r>
      <w:r w:rsidRPr="0082635F">
        <w:rPr>
          <w:rFonts w:eastAsia="Times New Roman"/>
          <w:lang w:eastAsia="de-DE"/>
        </w:rPr>
        <w:t xml:space="preserve">ist ein Umstandssatz: </w:t>
      </w:r>
      <w:r w:rsidRPr="0082635F">
        <w:rPr>
          <w:rFonts w:eastAsia="Times New Roman"/>
          <w:b/>
          <w:bCs/>
          <w:rtl/>
          <w:lang w:eastAsia="de-DE"/>
        </w:rPr>
        <w:t>וְהָהָר</w:t>
      </w:r>
      <w:r w:rsidRPr="0082635F">
        <w:rPr>
          <w:rFonts w:eastAsia="Times New Roman"/>
          <w:rtl/>
          <w:lang w:eastAsia="de-DE"/>
        </w:rPr>
        <w:t xml:space="preserve"> </w:t>
      </w:r>
      <w:r w:rsidRPr="0082635F">
        <w:rPr>
          <w:rFonts w:eastAsia="Times New Roman"/>
          <w:lang w:eastAsia="de-DE"/>
        </w:rPr>
        <w:t>als Subjekt (</w:t>
      </w:r>
      <w:r w:rsidRPr="0082635F">
        <w:rPr>
          <w:rFonts w:eastAsia="Times New Roman"/>
          <w:b/>
          <w:bCs/>
          <w:rtl/>
          <w:lang w:eastAsia="de-DE"/>
        </w:rPr>
        <w:t>וְ</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הַר</w:t>
      </w:r>
      <w:r w:rsidRPr="0082635F">
        <w:rPr>
          <w:rFonts w:eastAsia="Times New Roman"/>
          <w:rtl/>
          <w:lang w:eastAsia="de-DE"/>
        </w:rPr>
        <w:t xml:space="preserve"> </w:t>
      </w:r>
      <w:r w:rsidRPr="0082635F">
        <w:rPr>
          <w:rFonts w:eastAsia="Times New Roman"/>
          <w:lang w:eastAsia="de-DE"/>
        </w:rPr>
        <w:t xml:space="preserve">mit Artikel), </w:t>
      </w:r>
      <w:r w:rsidRPr="0082635F">
        <w:rPr>
          <w:rFonts w:eastAsia="Times New Roman"/>
          <w:b/>
          <w:bCs/>
          <w:rtl/>
          <w:lang w:eastAsia="de-DE"/>
        </w:rPr>
        <w:t>בֹּעֵר</w:t>
      </w:r>
      <w:r w:rsidRPr="0082635F">
        <w:rPr>
          <w:rFonts w:eastAsia="Times New Roman"/>
          <w:rtl/>
          <w:lang w:eastAsia="de-DE"/>
        </w:rPr>
        <w:t xml:space="preserve"> </w:t>
      </w:r>
      <w:r w:rsidRPr="0082635F">
        <w:rPr>
          <w:rFonts w:eastAsia="Times New Roman"/>
          <w:lang w:eastAsia="de-DE"/>
        </w:rPr>
        <w:t xml:space="preserve">als Qal Partizip Singular maskulin von </w:t>
      </w:r>
      <w:r w:rsidRPr="0082635F">
        <w:rPr>
          <w:rFonts w:eastAsia="Times New Roman"/>
          <w:b/>
          <w:bCs/>
          <w:rtl/>
          <w:lang w:eastAsia="de-DE"/>
        </w:rPr>
        <w:t>בער</w:t>
      </w:r>
      <w:r w:rsidRPr="0082635F">
        <w:rPr>
          <w:rFonts w:eastAsia="Times New Roman"/>
          <w:lang w:eastAsia="de-DE"/>
        </w:rPr>
        <w:t xml:space="preserve">, „brennen", </w:t>
      </w:r>
      <w:r w:rsidRPr="0082635F">
        <w:rPr>
          <w:rFonts w:eastAsia="Times New Roman"/>
          <w:b/>
          <w:bCs/>
          <w:rtl/>
          <w:lang w:eastAsia="de-DE"/>
        </w:rPr>
        <w:t>בָּאֵשׁ</w:t>
      </w:r>
      <w:r w:rsidRPr="0082635F">
        <w:rPr>
          <w:rFonts w:eastAsia="Times New Roman"/>
          <w:rtl/>
          <w:lang w:eastAsia="de-DE"/>
        </w:rPr>
        <w:t xml:space="preserve"> </w:t>
      </w:r>
      <w:r w:rsidRPr="0082635F">
        <w:rPr>
          <w:rFonts w:eastAsia="Times New Roman"/>
          <w:lang w:eastAsia="de-DE"/>
        </w:rPr>
        <w:t>als instrumentale Bestimmung (</w:t>
      </w:r>
      <w:r w:rsidRPr="0082635F">
        <w:rPr>
          <w:rFonts w:eastAsia="Times New Roman"/>
          <w:b/>
          <w:bCs/>
          <w:rtl/>
          <w:lang w:eastAsia="de-DE"/>
        </w:rPr>
        <w:t>בְּ</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אֵשׁ</w:t>
      </w:r>
      <w:r w:rsidRPr="0082635F">
        <w:rPr>
          <w:rFonts w:eastAsia="Times New Roman"/>
          <w:rtl/>
          <w:lang w:eastAsia="de-DE"/>
        </w:rPr>
        <w:t xml:space="preserve"> </w:t>
      </w:r>
      <w:r w:rsidRPr="0082635F">
        <w:rPr>
          <w:rFonts w:eastAsia="Times New Roman"/>
          <w:lang w:eastAsia="de-DE"/>
        </w:rPr>
        <w:t>– „mit Feuer").</w:t>
      </w:r>
    </w:p>
    <w:p w14:paraId="2C4823E4"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rtl/>
          <w:lang w:eastAsia="de-DE"/>
        </w:rPr>
        <w:t>וּשְׁנֵי לֻחֹת הַבְּרִית עַל שְׁתֵּי יָדָי</w:t>
      </w:r>
      <w:r w:rsidRPr="0082635F">
        <w:rPr>
          <w:rFonts w:eastAsia="Times New Roman"/>
          <w:rtl/>
          <w:lang w:eastAsia="de-DE"/>
        </w:rPr>
        <w:t xml:space="preserve"> </w:t>
      </w:r>
      <w:r w:rsidRPr="0082635F">
        <w:rPr>
          <w:rFonts w:eastAsia="Times New Roman"/>
          <w:lang w:eastAsia="de-DE"/>
        </w:rPr>
        <w:t xml:space="preserve">ist ein weiterer Umstandssatz: </w:t>
      </w:r>
      <w:r w:rsidRPr="0082635F">
        <w:rPr>
          <w:rFonts w:eastAsia="Times New Roman"/>
          <w:b/>
          <w:bCs/>
          <w:rtl/>
          <w:lang w:eastAsia="de-DE"/>
        </w:rPr>
        <w:t>וּשְׁנֵי לֻחֹת הַבְּרִית</w:t>
      </w:r>
      <w:r w:rsidRPr="0082635F">
        <w:rPr>
          <w:rFonts w:eastAsia="Times New Roman"/>
          <w:rtl/>
          <w:lang w:eastAsia="de-DE"/>
        </w:rPr>
        <w:t xml:space="preserve"> </w:t>
      </w:r>
      <w:r w:rsidRPr="0082635F">
        <w:rPr>
          <w:rFonts w:eastAsia="Times New Roman"/>
          <w:lang w:eastAsia="de-DE"/>
        </w:rPr>
        <w:t xml:space="preserve">als Subjekt (wie V. 11), </w:t>
      </w:r>
      <w:r w:rsidRPr="0082635F">
        <w:rPr>
          <w:rFonts w:eastAsia="Times New Roman"/>
          <w:b/>
          <w:bCs/>
          <w:rtl/>
          <w:lang w:eastAsia="de-DE"/>
        </w:rPr>
        <w:t>עַל שְׁתֵּי יָדָי</w:t>
      </w:r>
      <w:r w:rsidRPr="0082635F">
        <w:rPr>
          <w:rFonts w:eastAsia="Times New Roman"/>
          <w:rtl/>
          <w:lang w:eastAsia="de-DE"/>
        </w:rPr>
        <w:t xml:space="preserve"> </w:t>
      </w:r>
      <w:r w:rsidRPr="0082635F">
        <w:rPr>
          <w:rFonts w:eastAsia="Times New Roman"/>
          <w:lang w:eastAsia="de-DE"/>
        </w:rPr>
        <w:t>als Ortsangabe (</w:t>
      </w:r>
      <w:r w:rsidRPr="0082635F">
        <w:rPr>
          <w:rFonts w:eastAsia="Times New Roman"/>
          <w:b/>
          <w:bCs/>
          <w:rtl/>
          <w:lang w:eastAsia="de-DE"/>
        </w:rPr>
        <w:t>עַל</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שְׁנַיִם</w:t>
      </w:r>
      <w:r w:rsidRPr="0082635F">
        <w:rPr>
          <w:rFonts w:eastAsia="Times New Roman"/>
          <w:lang w:eastAsia="de-DE"/>
        </w:rPr>
        <w:t xml:space="preserve">, „zwei", im Construct mit </w:t>
      </w:r>
      <w:r w:rsidRPr="0082635F">
        <w:rPr>
          <w:rFonts w:eastAsia="Times New Roman"/>
          <w:b/>
          <w:bCs/>
          <w:rtl/>
          <w:lang w:eastAsia="de-DE"/>
        </w:rPr>
        <w:t>יָד</w:t>
      </w:r>
      <w:r w:rsidRPr="0082635F">
        <w:rPr>
          <w:rFonts w:eastAsia="Times New Roman"/>
          <w:lang w:eastAsia="de-DE"/>
        </w:rPr>
        <w:t>, Dual, und Suffix 1. Person Singular – „auf meinen beiden Händen").</w:t>
      </w:r>
    </w:p>
    <w:p w14:paraId="6695B692"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 xml:space="preserve">Der Vers beschreibt Moses' Abstieg vom brennenden Berg mit den Bundestafeln (vgl. Ex 32,15). Das Verb </w:t>
      </w:r>
      <w:r w:rsidRPr="0082635F">
        <w:rPr>
          <w:rFonts w:eastAsia="Times New Roman"/>
          <w:b/>
          <w:bCs/>
          <w:rtl/>
          <w:lang w:eastAsia="de-DE"/>
        </w:rPr>
        <w:t>פנה</w:t>
      </w:r>
      <w:r w:rsidRPr="0082635F">
        <w:rPr>
          <w:rFonts w:eastAsia="Times New Roman"/>
          <w:rtl/>
          <w:lang w:eastAsia="de-DE"/>
        </w:rPr>
        <w:t xml:space="preserve"> </w:t>
      </w:r>
      <w:r w:rsidRPr="0082635F">
        <w:rPr>
          <w:rFonts w:eastAsia="Times New Roman"/>
          <w:lang w:eastAsia="de-DE"/>
        </w:rPr>
        <w:t xml:space="preserve">(„sich wenden") markiert den Wendepunkt: Mose wendet sich von Gott ab und dem rebellischen Volk zu. Der Umstandssatz </w:t>
      </w:r>
      <w:r w:rsidRPr="0082635F">
        <w:rPr>
          <w:rFonts w:eastAsia="Times New Roman"/>
          <w:b/>
          <w:bCs/>
          <w:rtl/>
          <w:lang w:eastAsia="de-DE"/>
        </w:rPr>
        <w:t>וְהָהָר בֹּעֵר בָּאֵשׁ</w:t>
      </w:r>
      <w:r w:rsidRPr="0082635F">
        <w:rPr>
          <w:rFonts w:eastAsia="Times New Roman"/>
          <w:rtl/>
          <w:lang w:eastAsia="de-DE"/>
        </w:rPr>
        <w:t xml:space="preserve"> </w:t>
      </w:r>
      <w:r w:rsidRPr="0082635F">
        <w:rPr>
          <w:rFonts w:eastAsia="Times New Roman"/>
          <w:lang w:eastAsia="de-DE"/>
        </w:rPr>
        <w:t xml:space="preserve">(„und der Berg brannte mit Feuer") erinnert an die fortdauernde Theophanie – Gottes Gegenwart ist noch auf dem Berg. </w:t>
      </w:r>
      <w:r w:rsidRPr="0082635F">
        <w:rPr>
          <w:rFonts w:eastAsia="Times New Roman"/>
          <w:lang w:eastAsia="de-DE"/>
        </w:rPr>
        <w:lastRenderedPageBreak/>
        <w:t xml:space="preserve">Die Betonung </w:t>
      </w:r>
      <w:r w:rsidRPr="0082635F">
        <w:rPr>
          <w:rFonts w:eastAsia="Times New Roman"/>
          <w:b/>
          <w:bCs/>
          <w:rtl/>
          <w:lang w:eastAsia="de-DE"/>
        </w:rPr>
        <w:t>עַל שְׁתֵּי יָדָי</w:t>
      </w:r>
      <w:r w:rsidRPr="0082635F">
        <w:rPr>
          <w:rFonts w:eastAsia="Times New Roman"/>
          <w:rtl/>
          <w:lang w:eastAsia="de-DE"/>
        </w:rPr>
        <w:t xml:space="preserve"> </w:t>
      </w:r>
      <w:r w:rsidRPr="0082635F">
        <w:rPr>
          <w:rFonts w:eastAsia="Times New Roman"/>
          <w:lang w:eastAsia="de-DE"/>
        </w:rPr>
        <w:t>(„auf meinen beiden Händen") unterstreicht: Mose trägt die heiligen Tafeln persönlich.</w:t>
      </w:r>
    </w:p>
    <w:p w14:paraId="1889E997"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Die Satzstruktur ist eine zweigliedrige koordinierte Verbkette mit Herkunftsangabe, gefolgt von zwei partizipialen Umstandssätzen (der erste mit instrumentaler Bestimmung, der zweite mit Ortsangabe).</w:t>
      </w:r>
    </w:p>
    <w:p w14:paraId="7DD30491"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Der Vers beschreibt den Abstieg: Ich wandte mich und stieg vom Berg herab – der Berg brannte noch mit Feuer, die beiden Bundestafeln auf meinen Händen.</w:t>
      </w:r>
    </w:p>
    <w:p w14:paraId="23633027" w14:textId="77777777" w:rsidR="0082635F" w:rsidRPr="0082635F" w:rsidRDefault="0082635F" w:rsidP="0082635F">
      <w:pPr>
        <w:spacing w:before="100" w:beforeAutospacing="1" w:after="100" w:afterAutospacing="1" w:line="240" w:lineRule="auto"/>
        <w:outlineLvl w:val="1"/>
        <w:rPr>
          <w:rFonts w:eastAsia="Times New Roman"/>
          <w:b/>
          <w:bCs/>
          <w:sz w:val="36"/>
          <w:szCs w:val="36"/>
          <w:lang w:eastAsia="de-DE"/>
        </w:rPr>
      </w:pPr>
      <w:r w:rsidRPr="0082635F">
        <w:rPr>
          <w:rFonts w:eastAsia="Times New Roman"/>
          <w:b/>
          <w:bCs/>
          <w:sz w:val="36"/>
          <w:szCs w:val="36"/>
          <w:lang w:eastAsia="de-DE"/>
        </w:rPr>
        <w:t>Deuteronomium 9,16</w:t>
      </w:r>
    </w:p>
    <w:p w14:paraId="2F3B1D37"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Hebräisch:</w:t>
      </w:r>
      <w:r w:rsidRPr="0082635F">
        <w:rPr>
          <w:rFonts w:eastAsia="Times New Roman"/>
          <w:lang w:eastAsia="de-DE"/>
        </w:rPr>
        <w:t xml:space="preserve"> </w:t>
      </w:r>
      <w:r w:rsidRPr="0082635F">
        <w:rPr>
          <w:rFonts w:eastAsia="Times New Roman"/>
          <w:rtl/>
          <w:lang w:eastAsia="de-DE"/>
        </w:rPr>
        <w:t>וָאֵרֶא וְהִנֵּה חֲטָאתֶם לַיהוָה אֱלֹֽהֵיכֶם עֲשִׂיתֶם לָכֶם עֵגֶל מַסֵּכָה סַרְתֶּם מַהֵר מִן־הַדֶּרֶךְ אֲשֶׁר־צִוָּה יְהוָה אֶתְכֶם׃</w:t>
      </w:r>
    </w:p>
    <w:p w14:paraId="09DC80AE"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Deutsch:</w:t>
      </w:r>
      <w:r w:rsidRPr="0082635F">
        <w:rPr>
          <w:rFonts w:eastAsia="Times New Roman"/>
          <w:lang w:eastAsia="de-DE"/>
        </w:rPr>
        <w:t xml:space="preserve"> Und ich sah, und siehe, ihr hattet gegen den Ewigen, euren Gott, gesündigt; ihr hattet euch ein gegossenes Kalb gemacht; ihr wart schnell von dem Weg abgewichen, den der Ewige euch geboten hatte.</w:t>
      </w:r>
    </w:p>
    <w:p w14:paraId="6B414170" w14:textId="77777777" w:rsidR="0082635F" w:rsidRPr="0082635F" w:rsidRDefault="004F5CEB" w:rsidP="0082635F">
      <w:pPr>
        <w:spacing w:after="0" w:line="240" w:lineRule="auto"/>
        <w:rPr>
          <w:rFonts w:eastAsia="Times New Roman"/>
          <w:lang w:eastAsia="de-DE"/>
        </w:rPr>
      </w:pPr>
      <w:r>
        <w:rPr>
          <w:rFonts w:eastAsia="Times New Roman"/>
          <w:noProof/>
          <w:lang w:eastAsia="de-DE"/>
        </w:rPr>
        <w:pict w14:anchorId="6219A318">
          <v:rect id="_x0000_i1305" style="width:0;height:1.5pt" o:hralign="center" o:hrstd="t" o:hr="t" fillcolor="#a0a0a0" stroked="f"/>
        </w:pict>
      </w:r>
    </w:p>
    <w:p w14:paraId="417868AA"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Kommentar:</w:t>
      </w:r>
      <w:r w:rsidRPr="0082635F">
        <w:rPr>
          <w:rFonts w:eastAsia="Times New Roman"/>
          <w:lang w:eastAsia="de-DE"/>
        </w:rPr>
        <w:t xml:space="preserve"> </w:t>
      </w:r>
      <w:r w:rsidRPr="0082635F">
        <w:rPr>
          <w:rFonts w:eastAsia="Times New Roman"/>
          <w:b/>
          <w:bCs/>
          <w:rtl/>
          <w:lang w:eastAsia="de-DE"/>
        </w:rPr>
        <w:t>וָאֵרֶא</w:t>
      </w:r>
      <w:r w:rsidRPr="0082635F">
        <w:rPr>
          <w:rFonts w:eastAsia="Times New Roman"/>
          <w:rtl/>
          <w:lang w:eastAsia="de-DE"/>
        </w:rPr>
        <w:t xml:space="preserve"> </w:t>
      </w:r>
      <w:r w:rsidRPr="0082635F">
        <w:rPr>
          <w:rFonts w:eastAsia="Times New Roman"/>
          <w:lang w:eastAsia="de-DE"/>
        </w:rPr>
        <w:t xml:space="preserve">ist Qal Imperfekt consecutivum, 1. Person Singular von </w:t>
      </w:r>
      <w:r w:rsidRPr="0082635F">
        <w:rPr>
          <w:rFonts w:eastAsia="Times New Roman"/>
          <w:b/>
          <w:bCs/>
          <w:rtl/>
          <w:lang w:eastAsia="de-DE"/>
        </w:rPr>
        <w:t>ראה</w:t>
      </w:r>
      <w:r w:rsidRPr="0082635F">
        <w:rPr>
          <w:rFonts w:eastAsia="Times New Roman"/>
          <w:lang w:eastAsia="de-DE"/>
        </w:rPr>
        <w:t xml:space="preserve">, „sehen", mit </w:t>
      </w:r>
      <w:r w:rsidRPr="0082635F">
        <w:rPr>
          <w:rFonts w:eastAsia="Times New Roman"/>
          <w:b/>
          <w:bCs/>
          <w:rtl/>
          <w:lang w:eastAsia="de-DE"/>
        </w:rPr>
        <w:t>וְ</w:t>
      </w:r>
      <w:r w:rsidRPr="0082635F">
        <w:rPr>
          <w:rFonts w:eastAsia="Times New Roman"/>
          <w:lang w:eastAsia="de-DE"/>
        </w:rPr>
        <w:t>.</w:t>
      </w:r>
    </w:p>
    <w:p w14:paraId="435408B7"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rtl/>
          <w:lang w:eastAsia="de-DE"/>
        </w:rPr>
        <w:t>וְהִנֵּה חֲטָאתֶם לַיהוָה אֱלֹֽהֵיכֶם</w:t>
      </w:r>
      <w:r w:rsidRPr="0082635F">
        <w:rPr>
          <w:rFonts w:eastAsia="Times New Roman"/>
          <w:rtl/>
          <w:lang w:eastAsia="de-DE"/>
        </w:rPr>
        <w:t xml:space="preserve"> </w:t>
      </w:r>
      <w:r w:rsidRPr="0082635F">
        <w:rPr>
          <w:rFonts w:eastAsia="Times New Roman"/>
          <w:lang w:eastAsia="de-DE"/>
        </w:rPr>
        <w:t xml:space="preserve">ist die erste Feststellung: </w:t>
      </w:r>
      <w:r w:rsidRPr="0082635F">
        <w:rPr>
          <w:rFonts w:eastAsia="Times New Roman"/>
          <w:b/>
          <w:bCs/>
          <w:rtl/>
          <w:lang w:eastAsia="de-DE"/>
        </w:rPr>
        <w:t>וְהִנֵּה</w:t>
      </w:r>
      <w:r w:rsidRPr="0082635F">
        <w:rPr>
          <w:rFonts w:eastAsia="Times New Roman"/>
          <w:rtl/>
          <w:lang w:eastAsia="de-DE"/>
        </w:rPr>
        <w:t xml:space="preserve"> </w:t>
      </w:r>
      <w:r w:rsidRPr="0082635F">
        <w:rPr>
          <w:rFonts w:eastAsia="Times New Roman"/>
          <w:lang w:eastAsia="de-DE"/>
        </w:rPr>
        <w:t xml:space="preserve">als Interjektionspartikel („und siehe"), </w:t>
      </w:r>
      <w:r w:rsidRPr="0082635F">
        <w:rPr>
          <w:rFonts w:eastAsia="Times New Roman"/>
          <w:b/>
          <w:bCs/>
          <w:rtl/>
          <w:lang w:eastAsia="de-DE"/>
        </w:rPr>
        <w:t>חֲטָאתֶם</w:t>
      </w:r>
      <w:r w:rsidRPr="0082635F">
        <w:rPr>
          <w:rFonts w:eastAsia="Times New Roman"/>
          <w:rtl/>
          <w:lang w:eastAsia="de-DE"/>
        </w:rPr>
        <w:t xml:space="preserve"> </w:t>
      </w:r>
      <w:r w:rsidRPr="0082635F">
        <w:rPr>
          <w:rFonts w:eastAsia="Times New Roman"/>
          <w:lang w:eastAsia="de-DE"/>
        </w:rPr>
        <w:t xml:space="preserve">als Qal Perfekt, 2. Person Plural maskulin von </w:t>
      </w:r>
      <w:r w:rsidRPr="0082635F">
        <w:rPr>
          <w:rFonts w:eastAsia="Times New Roman"/>
          <w:b/>
          <w:bCs/>
          <w:rtl/>
          <w:lang w:eastAsia="de-DE"/>
        </w:rPr>
        <w:t>חטא</w:t>
      </w:r>
      <w:r w:rsidRPr="0082635F">
        <w:rPr>
          <w:rFonts w:eastAsia="Times New Roman"/>
          <w:lang w:eastAsia="de-DE"/>
        </w:rPr>
        <w:t xml:space="preserve">, „sündigen", </w:t>
      </w:r>
      <w:r w:rsidRPr="0082635F">
        <w:rPr>
          <w:rFonts w:eastAsia="Times New Roman"/>
          <w:b/>
          <w:bCs/>
          <w:rtl/>
          <w:lang w:eastAsia="de-DE"/>
        </w:rPr>
        <w:t>לַיהוָה אֱלֹֽהֵיכֶם</w:t>
      </w:r>
      <w:r w:rsidRPr="0082635F">
        <w:rPr>
          <w:rFonts w:eastAsia="Times New Roman"/>
          <w:rtl/>
          <w:lang w:eastAsia="de-DE"/>
        </w:rPr>
        <w:t xml:space="preserve"> </w:t>
      </w:r>
      <w:r w:rsidRPr="0082635F">
        <w:rPr>
          <w:rFonts w:eastAsia="Times New Roman"/>
          <w:lang w:eastAsia="de-DE"/>
        </w:rPr>
        <w:t>als präpositionale Ergänzung (</w:t>
      </w:r>
      <w:r w:rsidRPr="0082635F">
        <w:rPr>
          <w:rFonts w:eastAsia="Times New Roman"/>
          <w:b/>
          <w:bCs/>
          <w:rtl/>
          <w:lang w:eastAsia="de-DE"/>
        </w:rPr>
        <w:t>לְ</w:t>
      </w:r>
      <w:r w:rsidRPr="0082635F">
        <w:rPr>
          <w:rFonts w:eastAsia="Times New Roman"/>
          <w:rtl/>
          <w:lang w:eastAsia="de-DE"/>
        </w:rPr>
        <w:t xml:space="preserve"> </w:t>
      </w:r>
      <w:r w:rsidRPr="0082635F">
        <w:rPr>
          <w:rFonts w:eastAsia="Times New Roman"/>
          <w:lang w:eastAsia="de-DE"/>
        </w:rPr>
        <w:t>mit erweiterter Gottesbezeichnung – „gegen JHWH, euren Gott").</w:t>
      </w:r>
    </w:p>
    <w:p w14:paraId="09DF2ED9"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rtl/>
          <w:lang w:eastAsia="de-DE"/>
        </w:rPr>
        <w:t>עֲשִׂיתֶם לָכֶם עֵגֶל מַסֵּכָה</w:t>
      </w:r>
      <w:r w:rsidRPr="0082635F">
        <w:rPr>
          <w:rFonts w:eastAsia="Times New Roman"/>
          <w:rtl/>
          <w:lang w:eastAsia="de-DE"/>
        </w:rPr>
        <w:t xml:space="preserve"> </w:t>
      </w:r>
      <w:r w:rsidRPr="0082635F">
        <w:rPr>
          <w:rFonts w:eastAsia="Times New Roman"/>
          <w:lang w:eastAsia="de-DE"/>
        </w:rPr>
        <w:t xml:space="preserve">ist die Konkretisierung: </w:t>
      </w:r>
      <w:r w:rsidRPr="0082635F">
        <w:rPr>
          <w:rFonts w:eastAsia="Times New Roman"/>
          <w:b/>
          <w:bCs/>
          <w:rtl/>
          <w:lang w:eastAsia="de-DE"/>
        </w:rPr>
        <w:t>עֲשִׂיתֶם</w:t>
      </w:r>
      <w:r w:rsidRPr="0082635F">
        <w:rPr>
          <w:rFonts w:eastAsia="Times New Roman"/>
          <w:rtl/>
          <w:lang w:eastAsia="de-DE"/>
        </w:rPr>
        <w:t xml:space="preserve"> </w:t>
      </w:r>
      <w:r w:rsidRPr="0082635F">
        <w:rPr>
          <w:rFonts w:eastAsia="Times New Roman"/>
          <w:lang w:eastAsia="de-DE"/>
        </w:rPr>
        <w:t xml:space="preserve">(Qal Perfekt, 2. Person Plural maskulin von </w:t>
      </w:r>
      <w:r w:rsidRPr="0082635F">
        <w:rPr>
          <w:rFonts w:eastAsia="Times New Roman"/>
          <w:b/>
          <w:bCs/>
          <w:rtl/>
          <w:lang w:eastAsia="de-DE"/>
        </w:rPr>
        <w:t>עשׂה</w:t>
      </w:r>
      <w:r w:rsidRPr="0082635F">
        <w:rPr>
          <w:rFonts w:eastAsia="Times New Roman"/>
          <w:lang w:eastAsia="de-DE"/>
        </w:rPr>
        <w:t xml:space="preserve">, „machen"), </w:t>
      </w:r>
      <w:r w:rsidRPr="0082635F">
        <w:rPr>
          <w:rFonts w:eastAsia="Times New Roman"/>
          <w:b/>
          <w:bCs/>
          <w:rtl/>
          <w:lang w:eastAsia="de-DE"/>
        </w:rPr>
        <w:t>לָכֶם</w:t>
      </w:r>
      <w:r w:rsidRPr="0082635F">
        <w:rPr>
          <w:rFonts w:eastAsia="Times New Roman"/>
          <w:rtl/>
          <w:lang w:eastAsia="de-DE"/>
        </w:rPr>
        <w:t xml:space="preserve"> </w:t>
      </w:r>
      <w:r w:rsidRPr="0082635F">
        <w:rPr>
          <w:rFonts w:eastAsia="Times New Roman"/>
          <w:lang w:eastAsia="de-DE"/>
        </w:rPr>
        <w:t xml:space="preserve">als Dativ („für euch"), </w:t>
      </w:r>
      <w:r w:rsidRPr="0082635F">
        <w:rPr>
          <w:rFonts w:eastAsia="Times New Roman"/>
          <w:b/>
          <w:bCs/>
          <w:rtl/>
          <w:lang w:eastAsia="de-DE"/>
        </w:rPr>
        <w:t>עֵגֶל מַסֵּכָה</w:t>
      </w:r>
      <w:r w:rsidRPr="0082635F">
        <w:rPr>
          <w:rFonts w:eastAsia="Times New Roman"/>
          <w:rtl/>
          <w:lang w:eastAsia="de-DE"/>
        </w:rPr>
        <w:t xml:space="preserve"> </w:t>
      </w:r>
      <w:r w:rsidRPr="0082635F">
        <w:rPr>
          <w:rFonts w:eastAsia="Times New Roman"/>
          <w:lang w:eastAsia="de-DE"/>
        </w:rPr>
        <w:t>als direktes Objekt (</w:t>
      </w:r>
      <w:r w:rsidRPr="0082635F">
        <w:rPr>
          <w:rFonts w:eastAsia="Times New Roman"/>
          <w:b/>
          <w:bCs/>
          <w:rtl/>
          <w:lang w:eastAsia="de-DE"/>
        </w:rPr>
        <w:t>עֵגֶל</w:t>
      </w:r>
      <w:r w:rsidRPr="0082635F">
        <w:rPr>
          <w:rFonts w:eastAsia="Times New Roman"/>
          <w:lang w:eastAsia="de-DE"/>
        </w:rPr>
        <w:t xml:space="preserve">, „Kalb", </w:t>
      </w:r>
      <w:r w:rsidRPr="0082635F">
        <w:rPr>
          <w:rFonts w:eastAsia="Times New Roman"/>
          <w:b/>
          <w:bCs/>
          <w:rtl/>
          <w:lang w:eastAsia="de-DE"/>
        </w:rPr>
        <w:t>מַסֵּכָה</w:t>
      </w:r>
      <w:r w:rsidRPr="0082635F">
        <w:rPr>
          <w:rFonts w:eastAsia="Times New Roman"/>
          <w:lang w:eastAsia="de-DE"/>
        </w:rPr>
        <w:t>, „gegossenes Bild" – in Apposition – „ein gegossenes Kalb").</w:t>
      </w:r>
    </w:p>
    <w:p w14:paraId="5214F08E"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rtl/>
          <w:lang w:eastAsia="de-DE"/>
        </w:rPr>
        <w:t>סַרְתֶּם מַהֵר מִן־הַדֶּרֶךְ אֲשֶׁר־צִוָּה יְהוָה אֶתְכֶם</w:t>
      </w:r>
      <w:r w:rsidRPr="0082635F">
        <w:rPr>
          <w:rFonts w:eastAsia="Times New Roman"/>
          <w:rtl/>
          <w:lang w:eastAsia="de-DE"/>
        </w:rPr>
        <w:t xml:space="preserve"> </w:t>
      </w:r>
      <w:r w:rsidRPr="0082635F">
        <w:rPr>
          <w:rFonts w:eastAsia="Times New Roman"/>
          <w:lang w:eastAsia="de-DE"/>
        </w:rPr>
        <w:t xml:space="preserve">ist die dritte Feststellung: </w:t>
      </w:r>
      <w:r w:rsidRPr="0082635F">
        <w:rPr>
          <w:rFonts w:eastAsia="Times New Roman"/>
          <w:b/>
          <w:bCs/>
          <w:rtl/>
          <w:lang w:eastAsia="de-DE"/>
        </w:rPr>
        <w:t>סַרְתֶּם</w:t>
      </w:r>
      <w:r w:rsidRPr="0082635F">
        <w:rPr>
          <w:rFonts w:eastAsia="Times New Roman"/>
          <w:rtl/>
          <w:lang w:eastAsia="de-DE"/>
        </w:rPr>
        <w:t xml:space="preserve"> </w:t>
      </w:r>
      <w:r w:rsidRPr="0082635F">
        <w:rPr>
          <w:rFonts w:eastAsia="Times New Roman"/>
          <w:lang w:eastAsia="de-DE"/>
        </w:rPr>
        <w:t xml:space="preserve">(Qal Perfekt, 2. Person Plural maskulin von </w:t>
      </w:r>
      <w:r w:rsidRPr="0082635F">
        <w:rPr>
          <w:rFonts w:eastAsia="Times New Roman"/>
          <w:b/>
          <w:bCs/>
          <w:rtl/>
          <w:lang w:eastAsia="de-DE"/>
        </w:rPr>
        <w:t>סור</w:t>
      </w:r>
      <w:r w:rsidRPr="0082635F">
        <w:rPr>
          <w:rFonts w:eastAsia="Times New Roman"/>
          <w:lang w:eastAsia="de-DE"/>
        </w:rPr>
        <w:t xml:space="preserve">, „abweichen"), </w:t>
      </w:r>
      <w:r w:rsidRPr="0082635F">
        <w:rPr>
          <w:rFonts w:eastAsia="Times New Roman"/>
          <w:b/>
          <w:bCs/>
          <w:rtl/>
          <w:lang w:eastAsia="de-DE"/>
        </w:rPr>
        <w:t>מַהֵר</w:t>
      </w:r>
      <w:r w:rsidRPr="0082635F">
        <w:rPr>
          <w:rFonts w:eastAsia="Times New Roman"/>
          <w:rtl/>
          <w:lang w:eastAsia="de-DE"/>
        </w:rPr>
        <w:t xml:space="preserve"> </w:t>
      </w:r>
      <w:r w:rsidRPr="0082635F">
        <w:rPr>
          <w:rFonts w:eastAsia="Times New Roman"/>
          <w:lang w:eastAsia="de-DE"/>
        </w:rPr>
        <w:t xml:space="preserve">als Adverb, </w:t>
      </w:r>
      <w:r w:rsidRPr="0082635F">
        <w:rPr>
          <w:rFonts w:eastAsia="Times New Roman"/>
          <w:b/>
          <w:bCs/>
          <w:rtl/>
          <w:lang w:eastAsia="de-DE"/>
        </w:rPr>
        <w:t>מִן־הַדֶּרֶךְ</w:t>
      </w:r>
      <w:r w:rsidRPr="0082635F">
        <w:rPr>
          <w:rFonts w:eastAsia="Times New Roman"/>
          <w:rtl/>
          <w:lang w:eastAsia="de-DE"/>
        </w:rPr>
        <w:t xml:space="preserve"> </w:t>
      </w:r>
      <w:r w:rsidRPr="0082635F">
        <w:rPr>
          <w:rFonts w:eastAsia="Times New Roman"/>
          <w:lang w:eastAsia="de-DE"/>
        </w:rPr>
        <w:t xml:space="preserve">als Herkunftsangabe, </w:t>
      </w:r>
      <w:r w:rsidRPr="0082635F">
        <w:rPr>
          <w:rFonts w:eastAsia="Times New Roman"/>
          <w:b/>
          <w:bCs/>
          <w:rtl/>
          <w:lang w:eastAsia="de-DE"/>
        </w:rPr>
        <w:t>אֲשֶׁר־צִוָּה יְהוָה אֶתְכֶם</w:t>
      </w:r>
      <w:r w:rsidRPr="0082635F">
        <w:rPr>
          <w:rFonts w:eastAsia="Times New Roman"/>
          <w:rtl/>
          <w:lang w:eastAsia="de-DE"/>
        </w:rPr>
        <w:t xml:space="preserve"> </w:t>
      </w:r>
      <w:r w:rsidRPr="0082635F">
        <w:rPr>
          <w:rFonts w:eastAsia="Times New Roman"/>
          <w:lang w:eastAsia="de-DE"/>
        </w:rPr>
        <w:t xml:space="preserve">als Relativsatz (Piel Perfekt, 3. Person Singular maskulin von </w:t>
      </w:r>
      <w:r w:rsidRPr="0082635F">
        <w:rPr>
          <w:rFonts w:eastAsia="Times New Roman"/>
          <w:b/>
          <w:bCs/>
          <w:rtl/>
          <w:lang w:eastAsia="de-DE"/>
        </w:rPr>
        <w:t>צוה</w:t>
      </w:r>
      <w:r w:rsidRPr="0082635F">
        <w:rPr>
          <w:rFonts w:eastAsia="Times New Roman"/>
          <w:lang w:eastAsia="de-DE"/>
        </w:rPr>
        <w:t xml:space="preserve">, „befehlen", </w:t>
      </w:r>
      <w:r w:rsidRPr="0082635F">
        <w:rPr>
          <w:rFonts w:eastAsia="Times New Roman"/>
          <w:b/>
          <w:bCs/>
          <w:rtl/>
          <w:lang w:eastAsia="de-DE"/>
        </w:rPr>
        <w:t>יְהוָה</w:t>
      </w:r>
      <w:r w:rsidRPr="0082635F">
        <w:rPr>
          <w:rFonts w:eastAsia="Times New Roman"/>
          <w:rtl/>
          <w:lang w:eastAsia="de-DE"/>
        </w:rPr>
        <w:t xml:space="preserve"> </w:t>
      </w:r>
      <w:r w:rsidRPr="0082635F">
        <w:rPr>
          <w:rFonts w:eastAsia="Times New Roman"/>
          <w:lang w:eastAsia="de-DE"/>
        </w:rPr>
        <w:t xml:space="preserve">als Subjekt, </w:t>
      </w:r>
      <w:r w:rsidRPr="0082635F">
        <w:rPr>
          <w:rFonts w:eastAsia="Times New Roman"/>
          <w:b/>
          <w:bCs/>
          <w:rtl/>
          <w:lang w:eastAsia="de-DE"/>
        </w:rPr>
        <w:t>אֶתְכֶם</w:t>
      </w:r>
      <w:r w:rsidRPr="0082635F">
        <w:rPr>
          <w:rFonts w:eastAsia="Times New Roman"/>
          <w:rtl/>
          <w:lang w:eastAsia="de-DE"/>
        </w:rPr>
        <w:t xml:space="preserve"> </w:t>
      </w:r>
      <w:r w:rsidRPr="0082635F">
        <w:rPr>
          <w:rFonts w:eastAsia="Times New Roman"/>
          <w:lang w:eastAsia="de-DE"/>
        </w:rPr>
        <w:t>als direktes Objekt).</w:t>
      </w:r>
    </w:p>
    <w:p w14:paraId="085D5A7F"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 xml:space="preserve">Der Vers beschreibt Moses' Schock beim Anblick des goldenen Kalbs (vgl. Ex 32,19). Die dreigliedrige Anklage ist klimaktisch gesteigert: (1) ihr habt gesündigt, (2) ihr habt ein Götzenbild gemacht, (3) ihr seid vom Weg abgewichen. Die Formulierung </w:t>
      </w:r>
      <w:r w:rsidRPr="0082635F">
        <w:rPr>
          <w:rFonts w:eastAsia="Times New Roman"/>
          <w:b/>
          <w:bCs/>
          <w:rtl/>
          <w:lang w:eastAsia="de-DE"/>
        </w:rPr>
        <w:t>עֵגֶל מַסֵּכָה</w:t>
      </w:r>
      <w:r w:rsidRPr="0082635F">
        <w:rPr>
          <w:rFonts w:eastAsia="Times New Roman"/>
          <w:rtl/>
          <w:lang w:eastAsia="de-DE"/>
        </w:rPr>
        <w:t xml:space="preserve"> </w:t>
      </w:r>
      <w:r w:rsidRPr="0082635F">
        <w:rPr>
          <w:rFonts w:eastAsia="Times New Roman"/>
          <w:lang w:eastAsia="de-DE"/>
        </w:rPr>
        <w:t xml:space="preserve">(„gegossenes Kalb") identifiziert das Götzenbild. Die Wendung </w:t>
      </w:r>
      <w:r w:rsidRPr="0082635F">
        <w:rPr>
          <w:rFonts w:eastAsia="Times New Roman"/>
          <w:b/>
          <w:bCs/>
          <w:rtl/>
          <w:lang w:eastAsia="de-DE"/>
        </w:rPr>
        <w:t>סַרְתֶּם מַהֵר מִן־הַדֶּרֶךְ</w:t>
      </w:r>
      <w:r w:rsidRPr="0082635F">
        <w:rPr>
          <w:rFonts w:eastAsia="Times New Roman"/>
          <w:rtl/>
          <w:lang w:eastAsia="de-DE"/>
        </w:rPr>
        <w:t xml:space="preserve"> </w:t>
      </w:r>
      <w:r w:rsidRPr="0082635F">
        <w:rPr>
          <w:rFonts w:eastAsia="Times New Roman"/>
          <w:lang w:eastAsia="de-DE"/>
        </w:rPr>
        <w:t>wiederholt V. 12 – Moses bestätigt JHWHs Urteil.</w:t>
      </w:r>
    </w:p>
    <w:p w14:paraId="006564A0"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Die Satzstruktur ist ein Imperfekt consecutivum, gefolgt von drei koordinierten Feststellungen (die erste mit Interjektionspartikel und präpositionaler Ergänzung, die zweite mit Dativ und direktem Objekt, die dritte mit Adverb, Herkunftsangabe und Relativsatz).</w:t>
      </w:r>
    </w:p>
    <w:p w14:paraId="4CD2013A"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lastRenderedPageBreak/>
        <w:t>Der Vers beschreibt Moses' Entdeckung: Ich sah – und siehe, ihr hattet gegen JHWH gesündigt! Ihr hattet euch ein gegossenes Kalb gemacht und wart schnell vom Weg abgewichen.</w:t>
      </w:r>
    </w:p>
    <w:p w14:paraId="2F85E344" w14:textId="77777777" w:rsidR="0082635F" w:rsidRPr="0082635F" w:rsidRDefault="0082635F" w:rsidP="0082635F">
      <w:pPr>
        <w:spacing w:before="100" w:beforeAutospacing="1" w:after="100" w:afterAutospacing="1" w:line="240" w:lineRule="auto"/>
        <w:outlineLvl w:val="1"/>
        <w:rPr>
          <w:rFonts w:eastAsia="Times New Roman"/>
          <w:b/>
          <w:bCs/>
          <w:sz w:val="36"/>
          <w:szCs w:val="36"/>
          <w:lang w:eastAsia="de-DE"/>
        </w:rPr>
      </w:pPr>
      <w:r w:rsidRPr="0082635F">
        <w:rPr>
          <w:rFonts w:eastAsia="Times New Roman"/>
          <w:b/>
          <w:bCs/>
          <w:sz w:val="36"/>
          <w:szCs w:val="36"/>
          <w:lang w:eastAsia="de-DE"/>
        </w:rPr>
        <w:t>Deuteronomium 9,17</w:t>
      </w:r>
    </w:p>
    <w:p w14:paraId="3E6C7DB9"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Hebräisch:</w:t>
      </w:r>
      <w:r w:rsidRPr="0082635F">
        <w:rPr>
          <w:rFonts w:eastAsia="Times New Roman"/>
          <w:lang w:eastAsia="de-DE"/>
        </w:rPr>
        <w:t xml:space="preserve"> </w:t>
      </w:r>
      <w:r w:rsidRPr="0082635F">
        <w:rPr>
          <w:rFonts w:eastAsia="Times New Roman"/>
          <w:rtl/>
          <w:lang w:eastAsia="de-DE"/>
        </w:rPr>
        <w:t>וָאֶתְפֹּשׂ בִּשְׁנֵי הַלֻּחֹת וָֽאַשְׁלִכֵם מֵעַל שְׁתֵּי יָדָי וָאֲשַׁבְּרֵם לְעֵינֵיכֶם׃</w:t>
      </w:r>
    </w:p>
    <w:p w14:paraId="631FE9C3"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Deutsch:</w:t>
      </w:r>
      <w:r w:rsidRPr="0082635F">
        <w:rPr>
          <w:rFonts w:eastAsia="Times New Roman"/>
          <w:lang w:eastAsia="de-DE"/>
        </w:rPr>
        <w:t xml:space="preserve"> Da fasste ich die beiden Tafeln und warf sie aus meinen beiden Händen und zerbrach sie vor euren Augen.</w:t>
      </w:r>
    </w:p>
    <w:p w14:paraId="5A57C996" w14:textId="77777777" w:rsidR="0082635F" w:rsidRPr="0082635F" w:rsidRDefault="004F5CEB" w:rsidP="0082635F">
      <w:pPr>
        <w:spacing w:after="0" w:line="240" w:lineRule="auto"/>
        <w:rPr>
          <w:rFonts w:eastAsia="Times New Roman"/>
          <w:lang w:eastAsia="de-DE"/>
        </w:rPr>
      </w:pPr>
      <w:r>
        <w:rPr>
          <w:rFonts w:eastAsia="Times New Roman"/>
          <w:noProof/>
          <w:lang w:eastAsia="de-DE"/>
        </w:rPr>
        <w:pict w14:anchorId="0C92C56F">
          <v:rect id="_x0000_i1306" style="width:0;height:1.5pt" o:hralign="center" o:hrstd="t" o:hr="t" fillcolor="#a0a0a0" stroked="f"/>
        </w:pict>
      </w:r>
    </w:p>
    <w:p w14:paraId="74DD60F9"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Kommentar:</w:t>
      </w:r>
      <w:r w:rsidRPr="0082635F">
        <w:rPr>
          <w:rFonts w:eastAsia="Times New Roman"/>
          <w:lang w:eastAsia="de-DE"/>
        </w:rPr>
        <w:t xml:space="preserve"> </w:t>
      </w:r>
      <w:r w:rsidRPr="0082635F">
        <w:rPr>
          <w:rFonts w:eastAsia="Times New Roman"/>
          <w:b/>
          <w:bCs/>
          <w:rtl/>
          <w:lang w:eastAsia="de-DE"/>
        </w:rPr>
        <w:t>וָאֶתְפֹּשׂ בִּשְׁנֵי הַלֻּחֹת</w:t>
      </w:r>
      <w:r w:rsidRPr="0082635F">
        <w:rPr>
          <w:rFonts w:eastAsia="Times New Roman"/>
          <w:rtl/>
          <w:lang w:eastAsia="de-DE"/>
        </w:rPr>
        <w:t xml:space="preserve"> </w:t>
      </w:r>
      <w:r w:rsidRPr="0082635F">
        <w:rPr>
          <w:rFonts w:eastAsia="Times New Roman"/>
          <w:lang w:eastAsia="de-DE"/>
        </w:rPr>
        <w:t xml:space="preserve">ist Qal Imperfekt consecutivum, 1. Person Singular von </w:t>
      </w:r>
      <w:r w:rsidRPr="0082635F">
        <w:rPr>
          <w:rFonts w:eastAsia="Times New Roman"/>
          <w:b/>
          <w:bCs/>
          <w:rtl/>
          <w:lang w:eastAsia="de-DE"/>
        </w:rPr>
        <w:t>תפשׂ</w:t>
      </w:r>
      <w:r w:rsidRPr="0082635F">
        <w:rPr>
          <w:rFonts w:eastAsia="Times New Roman"/>
          <w:lang w:eastAsia="de-DE"/>
        </w:rPr>
        <w:t xml:space="preserve">, „ergreifen, fassen", mit </w:t>
      </w:r>
      <w:r w:rsidRPr="0082635F">
        <w:rPr>
          <w:rFonts w:eastAsia="Times New Roman"/>
          <w:b/>
          <w:bCs/>
          <w:rtl/>
          <w:lang w:eastAsia="de-DE"/>
        </w:rPr>
        <w:t>וְ</w:t>
      </w:r>
      <w:r w:rsidRPr="0082635F">
        <w:rPr>
          <w:rFonts w:eastAsia="Times New Roman"/>
          <w:lang w:eastAsia="de-DE"/>
        </w:rPr>
        <w:t xml:space="preserve">, </w:t>
      </w:r>
      <w:r w:rsidRPr="0082635F">
        <w:rPr>
          <w:rFonts w:eastAsia="Times New Roman"/>
          <w:b/>
          <w:bCs/>
          <w:rtl/>
          <w:lang w:eastAsia="de-DE"/>
        </w:rPr>
        <w:t>בִּשְׁנֵי הַלֻּחֹת</w:t>
      </w:r>
      <w:r w:rsidRPr="0082635F">
        <w:rPr>
          <w:rFonts w:eastAsia="Times New Roman"/>
          <w:rtl/>
          <w:lang w:eastAsia="de-DE"/>
        </w:rPr>
        <w:t xml:space="preserve"> </w:t>
      </w:r>
      <w:r w:rsidRPr="0082635F">
        <w:rPr>
          <w:rFonts w:eastAsia="Times New Roman"/>
          <w:lang w:eastAsia="de-DE"/>
        </w:rPr>
        <w:t>als präpositionale Ergänzung (</w:t>
      </w:r>
      <w:r w:rsidRPr="0082635F">
        <w:rPr>
          <w:rFonts w:eastAsia="Times New Roman"/>
          <w:b/>
          <w:bCs/>
          <w:rtl/>
          <w:lang w:eastAsia="de-DE"/>
        </w:rPr>
        <w:t>בְּ</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שְׁנַיִם</w:t>
      </w:r>
      <w:r w:rsidRPr="0082635F">
        <w:rPr>
          <w:rFonts w:eastAsia="Times New Roman"/>
          <w:rtl/>
          <w:lang w:eastAsia="de-DE"/>
        </w:rPr>
        <w:t xml:space="preserve"> </w:t>
      </w:r>
      <w:r w:rsidRPr="0082635F">
        <w:rPr>
          <w:rFonts w:eastAsia="Times New Roman"/>
          <w:lang w:eastAsia="de-DE"/>
        </w:rPr>
        <w:t xml:space="preserve">im Construct und </w:t>
      </w:r>
      <w:r w:rsidRPr="0082635F">
        <w:rPr>
          <w:rFonts w:eastAsia="Times New Roman"/>
          <w:b/>
          <w:bCs/>
          <w:rtl/>
          <w:lang w:eastAsia="de-DE"/>
        </w:rPr>
        <w:t>לוּחַ</w:t>
      </w:r>
      <w:r w:rsidRPr="0082635F">
        <w:rPr>
          <w:rFonts w:eastAsia="Times New Roman"/>
          <w:lang w:eastAsia="de-DE"/>
        </w:rPr>
        <w:t>, Plural – „die beiden Tafeln").</w:t>
      </w:r>
    </w:p>
    <w:p w14:paraId="6BDE165B"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rtl/>
          <w:lang w:eastAsia="de-DE"/>
        </w:rPr>
        <w:t>וָֽאַשְׁלִכֵם מֵעַל שְׁתֵּי יָדָי</w:t>
      </w:r>
      <w:r w:rsidRPr="0082635F">
        <w:rPr>
          <w:rFonts w:eastAsia="Times New Roman"/>
          <w:rtl/>
          <w:lang w:eastAsia="de-DE"/>
        </w:rPr>
        <w:t xml:space="preserve"> </w:t>
      </w:r>
      <w:r w:rsidRPr="0082635F">
        <w:rPr>
          <w:rFonts w:eastAsia="Times New Roman"/>
          <w:lang w:eastAsia="de-DE"/>
        </w:rPr>
        <w:t xml:space="preserve">ist koordiniert: </w:t>
      </w:r>
      <w:r w:rsidRPr="0082635F">
        <w:rPr>
          <w:rFonts w:eastAsia="Times New Roman"/>
          <w:b/>
          <w:bCs/>
          <w:rtl/>
          <w:lang w:eastAsia="de-DE"/>
        </w:rPr>
        <w:t>וָֽאַשְׁלִכֵם</w:t>
      </w:r>
      <w:r w:rsidRPr="0082635F">
        <w:rPr>
          <w:rFonts w:eastAsia="Times New Roman"/>
          <w:rtl/>
          <w:lang w:eastAsia="de-DE"/>
        </w:rPr>
        <w:t xml:space="preserve"> </w:t>
      </w:r>
      <w:r w:rsidRPr="0082635F">
        <w:rPr>
          <w:rFonts w:eastAsia="Times New Roman"/>
          <w:lang w:eastAsia="de-DE"/>
        </w:rPr>
        <w:t xml:space="preserve">(Hifil Imperfekt consecutivum, 1. Person Singular von </w:t>
      </w:r>
      <w:r w:rsidRPr="0082635F">
        <w:rPr>
          <w:rFonts w:eastAsia="Times New Roman"/>
          <w:b/>
          <w:bCs/>
          <w:rtl/>
          <w:lang w:eastAsia="de-DE"/>
        </w:rPr>
        <w:t>שׁלך</w:t>
      </w:r>
      <w:r w:rsidRPr="0082635F">
        <w:rPr>
          <w:rFonts w:eastAsia="Times New Roman"/>
          <w:lang w:eastAsia="de-DE"/>
        </w:rPr>
        <w:t xml:space="preserve">, „werfen, schleudern", mit </w:t>
      </w:r>
      <w:r w:rsidRPr="0082635F">
        <w:rPr>
          <w:rFonts w:eastAsia="Times New Roman"/>
          <w:b/>
          <w:bCs/>
          <w:rtl/>
          <w:lang w:eastAsia="de-DE"/>
        </w:rPr>
        <w:t>וְ</w:t>
      </w:r>
      <w:r w:rsidRPr="0082635F">
        <w:rPr>
          <w:rFonts w:eastAsia="Times New Roman"/>
          <w:rtl/>
          <w:lang w:eastAsia="de-DE"/>
        </w:rPr>
        <w:t xml:space="preserve"> </w:t>
      </w:r>
      <w:r w:rsidRPr="0082635F">
        <w:rPr>
          <w:rFonts w:eastAsia="Times New Roman"/>
          <w:lang w:eastAsia="de-DE"/>
        </w:rPr>
        <w:t xml:space="preserve">und Suffix 3. Person Plural maskulin), </w:t>
      </w:r>
      <w:r w:rsidRPr="0082635F">
        <w:rPr>
          <w:rFonts w:eastAsia="Times New Roman"/>
          <w:b/>
          <w:bCs/>
          <w:rtl/>
          <w:lang w:eastAsia="de-DE"/>
        </w:rPr>
        <w:t>מֵעַל שְׁתֵּי יָדָי</w:t>
      </w:r>
      <w:r w:rsidRPr="0082635F">
        <w:rPr>
          <w:rFonts w:eastAsia="Times New Roman"/>
          <w:rtl/>
          <w:lang w:eastAsia="de-DE"/>
        </w:rPr>
        <w:t xml:space="preserve"> </w:t>
      </w:r>
      <w:r w:rsidRPr="0082635F">
        <w:rPr>
          <w:rFonts w:eastAsia="Times New Roman"/>
          <w:lang w:eastAsia="de-DE"/>
        </w:rPr>
        <w:t>als Herkunftsangabe (</w:t>
      </w:r>
      <w:r w:rsidRPr="0082635F">
        <w:rPr>
          <w:rFonts w:eastAsia="Times New Roman"/>
          <w:b/>
          <w:bCs/>
          <w:rtl/>
          <w:lang w:eastAsia="de-DE"/>
        </w:rPr>
        <w:t>מִן</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עַל</w:t>
      </w:r>
      <w:r w:rsidRPr="0082635F">
        <w:rPr>
          <w:rFonts w:eastAsia="Times New Roman"/>
          <w:lang w:eastAsia="de-DE"/>
        </w:rPr>
        <w:t xml:space="preserve">, </w:t>
      </w:r>
      <w:r w:rsidRPr="0082635F">
        <w:rPr>
          <w:rFonts w:eastAsia="Times New Roman"/>
          <w:b/>
          <w:bCs/>
          <w:rtl/>
          <w:lang w:eastAsia="de-DE"/>
        </w:rPr>
        <w:t>שְׁנַיִם</w:t>
      </w:r>
      <w:r w:rsidRPr="0082635F">
        <w:rPr>
          <w:rFonts w:eastAsia="Times New Roman"/>
          <w:rtl/>
          <w:lang w:eastAsia="de-DE"/>
        </w:rPr>
        <w:t xml:space="preserve"> </w:t>
      </w:r>
      <w:r w:rsidRPr="0082635F">
        <w:rPr>
          <w:rFonts w:eastAsia="Times New Roman"/>
          <w:lang w:eastAsia="de-DE"/>
        </w:rPr>
        <w:t xml:space="preserve">im Construct mit </w:t>
      </w:r>
      <w:r w:rsidRPr="0082635F">
        <w:rPr>
          <w:rFonts w:eastAsia="Times New Roman"/>
          <w:b/>
          <w:bCs/>
          <w:rtl/>
          <w:lang w:eastAsia="de-DE"/>
        </w:rPr>
        <w:t>יָד</w:t>
      </w:r>
      <w:r w:rsidRPr="0082635F">
        <w:rPr>
          <w:rFonts w:eastAsia="Times New Roman"/>
          <w:lang w:eastAsia="de-DE"/>
        </w:rPr>
        <w:t>, Dual, und Suffix 1. Person Singular – „von meinen beiden Händen").</w:t>
      </w:r>
    </w:p>
    <w:p w14:paraId="420CA276"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rtl/>
          <w:lang w:eastAsia="de-DE"/>
        </w:rPr>
        <w:t>וָאֲשַׁבְּרֵם לְעֵינֵיכֶם</w:t>
      </w:r>
      <w:r w:rsidRPr="0082635F">
        <w:rPr>
          <w:rFonts w:eastAsia="Times New Roman"/>
          <w:rtl/>
          <w:lang w:eastAsia="de-DE"/>
        </w:rPr>
        <w:t xml:space="preserve"> </w:t>
      </w:r>
      <w:r w:rsidRPr="0082635F">
        <w:rPr>
          <w:rFonts w:eastAsia="Times New Roman"/>
          <w:lang w:eastAsia="de-DE"/>
        </w:rPr>
        <w:t xml:space="preserve">ist koordiniert: </w:t>
      </w:r>
      <w:r w:rsidRPr="0082635F">
        <w:rPr>
          <w:rFonts w:eastAsia="Times New Roman"/>
          <w:b/>
          <w:bCs/>
          <w:rtl/>
          <w:lang w:eastAsia="de-DE"/>
        </w:rPr>
        <w:t>וָאֲשַׁבְּרֵם</w:t>
      </w:r>
      <w:r w:rsidRPr="0082635F">
        <w:rPr>
          <w:rFonts w:eastAsia="Times New Roman"/>
          <w:rtl/>
          <w:lang w:eastAsia="de-DE"/>
        </w:rPr>
        <w:t xml:space="preserve"> </w:t>
      </w:r>
      <w:r w:rsidRPr="0082635F">
        <w:rPr>
          <w:rFonts w:eastAsia="Times New Roman"/>
          <w:lang w:eastAsia="de-DE"/>
        </w:rPr>
        <w:t xml:space="preserve">(Piel Imperfekt consecutivum, 1. Person Singular von </w:t>
      </w:r>
      <w:r w:rsidRPr="0082635F">
        <w:rPr>
          <w:rFonts w:eastAsia="Times New Roman"/>
          <w:b/>
          <w:bCs/>
          <w:rtl/>
          <w:lang w:eastAsia="de-DE"/>
        </w:rPr>
        <w:t>שׁבר</w:t>
      </w:r>
      <w:r w:rsidRPr="0082635F">
        <w:rPr>
          <w:rFonts w:eastAsia="Times New Roman"/>
          <w:lang w:eastAsia="de-DE"/>
        </w:rPr>
        <w:t xml:space="preserve">, „zerbrechen", mit </w:t>
      </w:r>
      <w:r w:rsidRPr="0082635F">
        <w:rPr>
          <w:rFonts w:eastAsia="Times New Roman"/>
          <w:b/>
          <w:bCs/>
          <w:rtl/>
          <w:lang w:eastAsia="de-DE"/>
        </w:rPr>
        <w:t>וְ</w:t>
      </w:r>
      <w:r w:rsidRPr="0082635F">
        <w:rPr>
          <w:rFonts w:eastAsia="Times New Roman"/>
          <w:rtl/>
          <w:lang w:eastAsia="de-DE"/>
        </w:rPr>
        <w:t xml:space="preserve"> </w:t>
      </w:r>
      <w:r w:rsidRPr="0082635F">
        <w:rPr>
          <w:rFonts w:eastAsia="Times New Roman"/>
          <w:lang w:eastAsia="de-DE"/>
        </w:rPr>
        <w:t xml:space="preserve">und Suffix 3. Person Plural maskulin), </w:t>
      </w:r>
      <w:r w:rsidRPr="0082635F">
        <w:rPr>
          <w:rFonts w:eastAsia="Times New Roman"/>
          <w:b/>
          <w:bCs/>
          <w:rtl/>
          <w:lang w:eastAsia="de-DE"/>
        </w:rPr>
        <w:t>לְעֵינֵיכֶם</w:t>
      </w:r>
      <w:r w:rsidRPr="0082635F">
        <w:rPr>
          <w:rFonts w:eastAsia="Times New Roman"/>
          <w:rtl/>
          <w:lang w:eastAsia="de-DE"/>
        </w:rPr>
        <w:t xml:space="preserve"> </w:t>
      </w:r>
      <w:r w:rsidRPr="0082635F">
        <w:rPr>
          <w:rFonts w:eastAsia="Times New Roman"/>
          <w:lang w:eastAsia="de-DE"/>
        </w:rPr>
        <w:t>als Ortsangabe (</w:t>
      </w:r>
      <w:r w:rsidRPr="0082635F">
        <w:rPr>
          <w:rFonts w:eastAsia="Times New Roman"/>
          <w:b/>
          <w:bCs/>
          <w:rtl/>
          <w:lang w:eastAsia="de-DE"/>
        </w:rPr>
        <w:t>לְ</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עַיִן</w:t>
      </w:r>
      <w:r w:rsidRPr="0082635F">
        <w:rPr>
          <w:rFonts w:eastAsia="Times New Roman"/>
          <w:lang w:eastAsia="de-DE"/>
        </w:rPr>
        <w:t>, Dual, und Suffix 2. Person Plural maskulin – „vor euren Augen").</w:t>
      </w:r>
    </w:p>
    <w:p w14:paraId="79C15704"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 xml:space="preserve">Der Vers beschreibt Moses' symbolische Handlung: das Zerbrechen der Bundestafeln (vgl. Ex 32,19). Die dreigliedrige Verbkette (fassen – werfen – zerbrechen) ist dramatisch gesteigert. Das Zerbrechen der Tafeln </w:t>
      </w:r>
      <w:r w:rsidRPr="0082635F">
        <w:rPr>
          <w:rFonts w:eastAsia="Times New Roman"/>
          <w:b/>
          <w:bCs/>
          <w:rtl/>
          <w:lang w:eastAsia="de-DE"/>
        </w:rPr>
        <w:t>לְעֵינֵיכֶם</w:t>
      </w:r>
      <w:r w:rsidRPr="0082635F">
        <w:rPr>
          <w:rFonts w:eastAsia="Times New Roman"/>
          <w:rtl/>
          <w:lang w:eastAsia="de-DE"/>
        </w:rPr>
        <w:t xml:space="preserve"> </w:t>
      </w:r>
      <w:r w:rsidRPr="0082635F">
        <w:rPr>
          <w:rFonts w:eastAsia="Times New Roman"/>
          <w:lang w:eastAsia="de-DE"/>
        </w:rPr>
        <w:t>(„vor euren Augen") macht den Bundesbruch öffentlich sichtbar – die zerbrochenen Tafeln symbolisieren den zerbrochenen Bund. Die Handlung ist prophetische Zeichenhandlung: Israel hat den Bund gebrochen, daher zerbricht Mose die Bundesurkunde.</w:t>
      </w:r>
    </w:p>
    <w:p w14:paraId="09341F9B"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Die Satzstruktur ist eine dreigliedrige koordinierte Verbkette (das erste Verb mit präpositionaler Ergänzung, die beiden anderen mit Suffix-Objekt, das zweite mit Herkunftsangabe, das dritte mit Ortsangabe).</w:t>
      </w:r>
    </w:p>
    <w:p w14:paraId="2FAD2732"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Der Vers beschreibt Moses' drastische Reaktion: Ich fasste die beiden Tafeln, warf sie aus meinen Händen und zerbrach sie vor euren Augen – symbolischer Bundesbruch.</w:t>
      </w:r>
    </w:p>
    <w:p w14:paraId="20C5713F" w14:textId="77777777" w:rsidR="0082635F" w:rsidRPr="0082635F" w:rsidRDefault="0082635F" w:rsidP="0082635F">
      <w:pPr>
        <w:spacing w:before="100" w:beforeAutospacing="1" w:after="100" w:afterAutospacing="1" w:line="240" w:lineRule="auto"/>
        <w:outlineLvl w:val="1"/>
        <w:rPr>
          <w:rFonts w:eastAsia="Times New Roman"/>
          <w:b/>
          <w:bCs/>
          <w:sz w:val="36"/>
          <w:szCs w:val="36"/>
          <w:lang w:eastAsia="de-DE"/>
        </w:rPr>
      </w:pPr>
      <w:r w:rsidRPr="0082635F">
        <w:rPr>
          <w:rFonts w:eastAsia="Times New Roman"/>
          <w:b/>
          <w:bCs/>
          <w:sz w:val="36"/>
          <w:szCs w:val="36"/>
          <w:lang w:eastAsia="de-DE"/>
        </w:rPr>
        <w:t>Deuteronomium 9,18</w:t>
      </w:r>
    </w:p>
    <w:p w14:paraId="51964DAF"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Hebräisch:</w:t>
      </w:r>
      <w:r w:rsidRPr="0082635F">
        <w:rPr>
          <w:rFonts w:eastAsia="Times New Roman"/>
          <w:lang w:eastAsia="de-DE"/>
        </w:rPr>
        <w:t xml:space="preserve"> </w:t>
      </w:r>
      <w:r w:rsidRPr="0082635F">
        <w:rPr>
          <w:rFonts w:eastAsia="Times New Roman"/>
          <w:rtl/>
          <w:lang w:eastAsia="de-DE"/>
        </w:rPr>
        <w:t>וָֽאֶתְנַפַּל לִפְנֵי יְהוָה כָּרִאשֹׁנָה אַרְבָּעִים יוֹם וְאַרְבָּעִים לַיְלָה לֶחֶם לֹא אָכַלְתִּי וּמַיִם לֹא שָׁתִיתִי עַל כָּל־חַטַּאתְכֶם אֲשֶׁר חֲטָאתֶם לַעֲשׂוֹת הָרַע בְּעֵינֵי יְהוָה לְהַכְעִיסוֹ׃</w:t>
      </w:r>
    </w:p>
    <w:p w14:paraId="0E2F1D93"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lastRenderedPageBreak/>
        <w:t>Deutsch:</w:t>
      </w:r>
      <w:r w:rsidRPr="0082635F">
        <w:rPr>
          <w:rFonts w:eastAsia="Times New Roman"/>
          <w:lang w:eastAsia="de-DE"/>
        </w:rPr>
        <w:t xml:space="preserve"> Und ich warf mich vor dem Ewigen nieder, wie zuerst, 40 Tage und 40 Nächte – Brot aß ich nicht, und Wasser trank ich nicht – wegen all eurer Sünde, die ihr begangen hattet, indem ihr tatet, was böse war in den Augen des Ewigen, ihn zu reizen.</w:t>
      </w:r>
    </w:p>
    <w:p w14:paraId="408E5290" w14:textId="77777777" w:rsidR="0082635F" w:rsidRPr="0082635F" w:rsidRDefault="004F5CEB" w:rsidP="0082635F">
      <w:pPr>
        <w:spacing w:after="0" w:line="240" w:lineRule="auto"/>
        <w:rPr>
          <w:rFonts w:eastAsia="Times New Roman"/>
          <w:lang w:eastAsia="de-DE"/>
        </w:rPr>
      </w:pPr>
      <w:r>
        <w:rPr>
          <w:rFonts w:eastAsia="Times New Roman"/>
          <w:noProof/>
          <w:lang w:eastAsia="de-DE"/>
        </w:rPr>
        <w:pict w14:anchorId="75ACF482">
          <v:rect id="_x0000_i1307" style="width:0;height:1.5pt" o:hralign="center" o:hrstd="t" o:hr="t" fillcolor="#a0a0a0" stroked="f"/>
        </w:pict>
      </w:r>
    </w:p>
    <w:p w14:paraId="2F024710"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Kommentar:</w:t>
      </w:r>
      <w:r w:rsidRPr="0082635F">
        <w:rPr>
          <w:rFonts w:eastAsia="Times New Roman"/>
          <w:lang w:eastAsia="de-DE"/>
        </w:rPr>
        <w:t xml:space="preserve"> </w:t>
      </w:r>
      <w:r w:rsidRPr="0082635F">
        <w:rPr>
          <w:rFonts w:eastAsia="Times New Roman"/>
          <w:b/>
          <w:bCs/>
          <w:rtl/>
          <w:lang w:eastAsia="de-DE"/>
        </w:rPr>
        <w:t>וָֽאֶתְנַפַּל לִפְנֵי יְהוָה כָּרִאשֹׁנָה אַרְבָּעִים יוֹם וְאַרְבָּעִים לַיְלָה</w:t>
      </w:r>
      <w:r w:rsidRPr="0082635F">
        <w:rPr>
          <w:rFonts w:eastAsia="Times New Roman"/>
          <w:rtl/>
          <w:lang w:eastAsia="de-DE"/>
        </w:rPr>
        <w:t xml:space="preserve"> </w:t>
      </w:r>
      <w:r w:rsidRPr="0082635F">
        <w:rPr>
          <w:rFonts w:eastAsia="Times New Roman"/>
          <w:lang w:eastAsia="de-DE"/>
        </w:rPr>
        <w:t xml:space="preserve">ist die Hauptaussage: </w:t>
      </w:r>
      <w:r w:rsidRPr="0082635F">
        <w:rPr>
          <w:rFonts w:eastAsia="Times New Roman"/>
          <w:b/>
          <w:bCs/>
          <w:rtl/>
          <w:lang w:eastAsia="de-DE"/>
        </w:rPr>
        <w:t>וָֽאֶתְנַפַּל</w:t>
      </w:r>
      <w:r w:rsidRPr="0082635F">
        <w:rPr>
          <w:rFonts w:eastAsia="Times New Roman"/>
          <w:rtl/>
          <w:lang w:eastAsia="de-DE"/>
        </w:rPr>
        <w:t xml:space="preserve"> </w:t>
      </w:r>
      <w:r w:rsidRPr="0082635F">
        <w:rPr>
          <w:rFonts w:eastAsia="Times New Roman"/>
          <w:lang w:eastAsia="de-DE"/>
        </w:rPr>
        <w:t xml:space="preserve">(Hitpael Imperfekt consecutivum, 1. Person Singular von </w:t>
      </w:r>
      <w:r w:rsidRPr="0082635F">
        <w:rPr>
          <w:rFonts w:eastAsia="Times New Roman"/>
          <w:b/>
          <w:bCs/>
          <w:rtl/>
          <w:lang w:eastAsia="de-DE"/>
        </w:rPr>
        <w:t>נפל</w:t>
      </w:r>
      <w:r w:rsidRPr="0082635F">
        <w:rPr>
          <w:rFonts w:eastAsia="Times New Roman"/>
          <w:lang w:eastAsia="de-DE"/>
        </w:rPr>
        <w:t xml:space="preserve">, „fallen" – im Hitpael „sich niederwerfen", mit </w:t>
      </w:r>
      <w:r w:rsidRPr="0082635F">
        <w:rPr>
          <w:rFonts w:eastAsia="Times New Roman"/>
          <w:b/>
          <w:bCs/>
          <w:rtl/>
          <w:lang w:eastAsia="de-DE"/>
        </w:rPr>
        <w:t>וְ</w:t>
      </w:r>
      <w:r w:rsidRPr="0082635F">
        <w:rPr>
          <w:rFonts w:eastAsia="Times New Roman"/>
          <w:lang w:eastAsia="de-DE"/>
        </w:rPr>
        <w:t xml:space="preserve">), </w:t>
      </w:r>
      <w:r w:rsidRPr="0082635F">
        <w:rPr>
          <w:rFonts w:eastAsia="Times New Roman"/>
          <w:b/>
          <w:bCs/>
          <w:rtl/>
          <w:lang w:eastAsia="de-DE"/>
        </w:rPr>
        <w:t>לִפְנֵי יְהוָה</w:t>
      </w:r>
      <w:r w:rsidRPr="0082635F">
        <w:rPr>
          <w:rFonts w:eastAsia="Times New Roman"/>
          <w:rtl/>
          <w:lang w:eastAsia="de-DE"/>
        </w:rPr>
        <w:t xml:space="preserve"> </w:t>
      </w:r>
      <w:r w:rsidRPr="0082635F">
        <w:rPr>
          <w:rFonts w:eastAsia="Times New Roman"/>
          <w:lang w:eastAsia="de-DE"/>
        </w:rPr>
        <w:t xml:space="preserve">als Ortsangabe, </w:t>
      </w:r>
      <w:r w:rsidRPr="0082635F">
        <w:rPr>
          <w:rFonts w:eastAsia="Times New Roman"/>
          <w:b/>
          <w:bCs/>
          <w:rtl/>
          <w:lang w:eastAsia="de-DE"/>
        </w:rPr>
        <w:t>כָּרִאשֹׁנָה</w:t>
      </w:r>
      <w:r w:rsidRPr="0082635F">
        <w:rPr>
          <w:rFonts w:eastAsia="Times New Roman"/>
          <w:rtl/>
          <w:lang w:eastAsia="de-DE"/>
        </w:rPr>
        <w:t xml:space="preserve"> </w:t>
      </w:r>
      <w:r w:rsidRPr="0082635F">
        <w:rPr>
          <w:rFonts w:eastAsia="Times New Roman"/>
          <w:lang w:eastAsia="de-DE"/>
        </w:rPr>
        <w:t>als Vergleichskonstruktion (</w:t>
      </w:r>
      <w:r w:rsidRPr="0082635F">
        <w:rPr>
          <w:rFonts w:eastAsia="Times New Roman"/>
          <w:b/>
          <w:bCs/>
          <w:rtl/>
          <w:lang w:eastAsia="de-DE"/>
        </w:rPr>
        <w:t>כְּ</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רִאשׁוֹן</w:t>
      </w:r>
      <w:r w:rsidRPr="0082635F">
        <w:rPr>
          <w:rFonts w:eastAsia="Times New Roman"/>
          <w:lang w:eastAsia="de-DE"/>
        </w:rPr>
        <w:t xml:space="preserve">, „erster" – feminin als Adverb – „wie zuerst, wie das erste Mal"), </w:t>
      </w:r>
      <w:r w:rsidRPr="0082635F">
        <w:rPr>
          <w:rFonts w:eastAsia="Times New Roman"/>
          <w:b/>
          <w:bCs/>
          <w:rtl/>
          <w:lang w:eastAsia="de-DE"/>
        </w:rPr>
        <w:t>אַרְבָּעִים יוֹם וְאַרְבָּעִים לַיְלָה</w:t>
      </w:r>
      <w:r w:rsidRPr="0082635F">
        <w:rPr>
          <w:rFonts w:eastAsia="Times New Roman"/>
          <w:rtl/>
          <w:lang w:eastAsia="de-DE"/>
        </w:rPr>
        <w:t xml:space="preserve"> </w:t>
      </w:r>
      <w:r w:rsidRPr="0082635F">
        <w:rPr>
          <w:rFonts w:eastAsia="Times New Roman"/>
          <w:lang w:eastAsia="de-DE"/>
        </w:rPr>
        <w:t>als temporale Bestimmung (wie V. 9).</w:t>
      </w:r>
    </w:p>
    <w:p w14:paraId="056D081C"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rtl/>
          <w:lang w:eastAsia="de-DE"/>
        </w:rPr>
        <w:t>לֶחֶם לֹא אָכַלְתִּי וּמַיִם לֹא שָׁתִיתִי</w:t>
      </w:r>
      <w:r w:rsidRPr="0082635F">
        <w:rPr>
          <w:rFonts w:eastAsia="Times New Roman"/>
          <w:rtl/>
          <w:lang w:eastAsia="de-DE"/>
        </w:rPr>
        <w:t xml:space="preserve"> </w:t>
      </w:r>
      <w:r w:rsidRPr="0082635F">
        <w:rPr>
          <w:rFonts w:eastAsia="Times New Roman"/>
          <w:lang w:eastAsia="de-DE"/>
        </w:rPr>
        <w:t>ist die Fastennotiz: zweigliedrige koordinierte Negativaussage wie V. 9.</w:t>
      </w:r>
    </w:p>
    <w:p w14:paraId="42DCBEBD"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rtl/>
          <w:lang w:eastAsia="de-DE"/>
        </w:rPr>
        <w:t>עַל כָּל־חַטַּאתְכֶם אֲשֶׁר חֲטָאתֶם לַעֲשׂוֹת הָרַע בְּעֵינֵי יְהוָה לְהַכְעִיסוֹ</w:t>
      </w:r>
      <w:r w:rsidRPr="0082635F">
        <w:rPr>
          <w:rFonts w:eastAsia="Times New Roman"/>
          <w:rtl/>
          <w:lang w:eastAsia="de-DE"/>
        </w:rPr>
        <w:t xml:space="preserve"> </w:t>
      </w:r>
      <w:r w:rsidRPr="0082635F">
        <w:rPr>
          <w:rFonts w:eastAsia="Times New Roman"/>
          <w:lang w:eastAsia="de-DE"/>
        </w:rPr>
        <w:t xml:space="preserve">ist die kausale Bestimmung: </w:t>
      </w:r>
      <w:r w:rsidRPr="0082635F">
        <w:rPr>
          <w:rFonts w:eastAsia="Times New Roman"/>
          <w:b/>
          <w:bCs/>
          <w:rtl/>
          <w:lang w:eastAsia="de-DE"/>
        </w:rPr>
        <w:t>עַל כָּל־חַטַּאתְכֶם</w:t>
      </w:r>
      <w:r w:rsidRPr="0082635F">
        <w:rPr>
          <w:rFonts w:eastAsia="Times New Roman"/>
          <w:rtl/>
          <w:lang w:eastAsia="de-DE"/>
        </w:rPr>
        <w:t xml:space="preserve"> </w:t>
      </w:r>
      <w:r w:rsidRPr="0082635F">
        <w:rPr>
          <w:rFonts w:eastAsia="Times New Roman"/>
          <w:lang w:eastAsia="de-DE"/>
        </w:rPr>
        <w:t xml:space="preserve">(kausales </w:t>
      </w:r>
      <w:r w:rsidRPr="0082635F">
        <w:rPr>
          <w:rFonts w:eastAsia="Times New Roman"/>
          <w:b/>
          <w:bCs/>
          <w:rtl/>
          <w:lang w:eastAsia="de-DE"/>
        </w:rPr>
        <w:t>עַל</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כָּל</w:t>
      </w:r>
      <w:r w:rsidRPr="0082635F">
        <w:rPr>
          <w:rFonts w:eastAsia="Times New Roman"/>
          <w:rtl/>
          <w:lang w:eastAsia="de-DE"/>
        </w:rPr>
        <w:t xml:space="preserve"> </w:t>
      </w:r>
      <w:r w:rsidRPr="0082635F">
        <w:rPr>
          <w:rFonts w:eastAsia="Times New Roman"/>
          <w:lang w:eastAsia="de-DE"/>
        </w:rPr>
        <w:t xml:space="preserve">im Construct und </w:t>
      </w:r>
      <w:r w:rsidRPr="0082635F">
        <w:rPr>
          <w:rFonts w:eastAsia="Times New Roman"/>
          <w:b/>
          <w:bCs/>
          <w:rtl/>
          <w:lang w:eastAsia="de-DE"/>
        </w:rPr>
        <w:t>חַטָּאָה</w:t>
      </w:r>
      <w:r w:rsidRPr="0082635F">
        <w:rPr>
          <w:rFonts w:eastAsia="Times New Roman"/>
          <w:lang w:eastAsia="de-DE"/>
        </w:rPr>
        <w:t xml:space="preserve">, „Sünde", mit Suffix 2. Person Plural maskulin – „wegen all eurer Sünde"), </w:t>
      </w:r>
      <w:r w:rsidRPr="0082635F">
        <w:rPr>
          <w:rFonts w:eastAsia="Times New Roman"/>
          <w:b/>
          <w:bCs/>
          <w:rtl/>
          <w:lang w:eastAsia="de-DE"/>
        </w:rPr>
        <w:t>אֲשֶׁר חֲטָאתֶם</w:t>
      </w:r>
      <w:r w:rsidRPr="0082635F">
        <w:rPr>
          <w:rFonts w:eastAsia="Times New Roman"/>
          <w:rtl/>
          <w:lang w:eastAsia="de-DE"/>
        </w:rPr>
        <w:t xml:space="preserve"> </w:t>
      </w:r>
      <w:r w:rsidRPr="0082635F">
        <w:rPr>
          <w:rFonts w:eastAsia="Times New Roman"/>
          <w:lang w:eastAsia="de-DE"/>
        </w:rPr>
        <w:t xml:space="preserve">als Relativsatz (Qal Perfekt, 2. Person Plural maskulin von </w:t>
      </w:r>
      <w:r w:rsidRPr="0082635F">
        <w:rPr>
          <w:rFonts w:eastAsia="Times New Roman"/>
          <w:b/>
          <w:bCs/>
          <w:rtl/>
          <w:lang w:eastAsia="de-DE"/>
        </w:rPr>
        <w:t>חטא</w:t>
      </w:r>
      <w:r w:rsidRPr="0082635F">
        <w:rPr>
          <w:rFonts w:eastAsia="Times New Roman"/>
          <w:lang w:eastAsia="de-DE"/>
        </w:rPr>
        <w:t xml:space="preserve">, „sündigen"), </w:t>
      </w:r>
      <w:r w:rsidRPr="0082635F">
        <w:rPr>
          <w:rFonts w:eastAsia="Times New Roman"/>
          <w:b/>
          <w:bCs/>
          <w:rtl/>
          <w:lang w:eastAsia="de-DE"/>
        </w:rPr>
        <w:t>לַעֲשׂוֹת הָרַע בְּעֵינֵי יְהוָה</w:t>
      </w:r>
      <w:r w:rsidRPr="0082635F">
        <w:rPr>
          <w:rFonts w:eastAsia="Times New Roman"/>
          <w:rtl/>
          <w:lang w:eastAsia="de-DE"/>
        </w:rPr>
        <w:t xml:space="preserve"> </w:t>
      </w:r>
      <w:r w:rsidRPr="0082635F">
        <w:rPr>
          <w:rFonts w:eastAsia="Times New Roman"/>
          <w:lang w:eastAsia="de-DE"/>
        </w:rPr>
        <w:t xml:space="preserve">als gerundiale Infinitivkonstruktion (Qal Infinitiv Construct von </w:t>
      </w:r>
      <w:r w:rsidRPr="0082635F">
        <w:rPr>
          <w:rFonts w:eastAsia="Times New Roman"/>
          <w:b/>
          <w:bCs/>
          <w:rtl/>
          <w:lang w:eastAsia="de-DE"/>
        </w:rPr>
        <w:t>עשׂה</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לְ</w:t>
      </w:r>
      <w:r w:rsidRPr="0082635F">
        <w:rPr>
          <w:rFonts w:eastAsia="Times New Roman"/>
          <w:lang w:eastAsia="de-DE"/>
        </w:rPr>
        <w:t xml:space="preserve">, </w:t>
      </w:r>
      <w:r w:rsidRPr="0082635F">
        <w:rPr>
          <w:rFonts w:eastAsia="Times New Roman"/>
          <w:b/>
          <w:bCs/>
          <w:rtl/>
          <w:lang w:eastAsia="de-DE"/>
        </w:rPr>
        <w:t>הָרַע</w:t>
      </w:r>
      <w:r w:rsidRPr="0082635F">
        <w:rPr>
          <w:rFonts w:eastAsia="Times New Roman"/>
          <w:rtl/>
          <w:lang w:eastAsia="de-DE"/>
        </w:rPr>
        <w:t xml:space="preserve"> </w:t>
      </w:r>
      <w:r w:rsidRPr="0082635F">
        <w:rPr>
          <w:rFonts w:eastAsia="Times New Roman"/>
          <w:lang w:eastAsia="de-DE"/>
        </w:rPr>
        <w:t xml:space="preserve">als direktes Objekt – </w:t>
      </w:r>
      <w:r w:rsidRPr="0082635F">
        <w:rPr>
          <w:rFonts w:eastAsia="Times New Roman"/>
          <w:b/>
          <w:bCs/>
          <w:rtl/>
          <w:lang w:eastAsia="de-DE"/>
        </w:rPr>
        <w:t>רַע</w:t>
      </w:r>
      <w:r w:rsidRPr="0082635F">
        <w:rPr>
          <w:rFonts w:eastAsia="Times New Roman"/>
          <w:lang w:eastAsia="de-DE"/>
        </w:rPr>
        <w:t xml:space="preserve">, „Böses", mit Artikel, </w:t>
      </w:r>
      <w:r w:rsidRPr="0082635F">
        <w:rPr>
          <w:rFonts w:eastAsia="Times New Roman"/>
          <w:b/>
          <w:bCs/>
          <w:rtl/>
          <w:lang w:eastAsia="de-DE"/>
        </w:rPr>
        <w:t>בְּעֵינֵי יְהוָה</w:t>
      </w:r>
      <w:r w:rsidRPr="0082635F">
        <w:rPr>
          <w:rFonts w:eastAsia="Times New Roman"/>
          <w:rtl/>
          <w:lang w:eastAsia="de-DE"/>
        </w:rPr>
        <w:t xml:space="preserve"> </w:t>
      </w:r>
      <w:r w:rsidRPr="0082635F">
        <w:rPr>
          <w:rFonts w:eastAsia="Times New Roman"/>
          <w:lang w:eastAsia="de-DE"/>
        </w:rPr>
        <w:t xml:space="preserve">als Ortsangabe – idiomatisch „in den Augen JHWHs" = „vor JHWH"), </w:t>
      </w:r>
      <w:r w:rsidRPr="0082635F">
        <w:rPr>
          <w:rFonts w:eastAsia="Times New Roman"/>
          <w:b/>
          <w:bCs/>
          <w:rtl/>
          <w:lang w:eastAsia="de-DE"/>
        </w:rPr>
        <w:t>לְהַכְעִיסוֹ</w:t>
      </w:r>
      <w:r w:rsidRPr="0082635F">
        <w:rPr>
          <w:rFonts w:eastAsia="Times New Roman"/>
          <w:rtl/>
          <w:lang w:eastAsia="de-DE"/>
        </w:rPr>
        <w:t xml:space="preserve"> </w:t>
      </w:r>
      <w:r w:rsidRPr="0082635F">
        <w:rPr>
          <w:rFonts w:eastAsia="Times New Roman"/>
          <w:lang w:eastAsia="de-DE"/>
        </w:rPr>
        <w:t xml:space="preserve">als finaler Infinitiv (Hifil Infinitiv Construct von </w:t>
      </w:r>
      <w:r w:rsidRPr="0082635F">
        <w:rPr>
          <w:rFonts w:eastAsia="Times New Roman"/>
          <w:b/>
          <w:bCs/>
          <w:rtl/>
          <w:lang w:eastAsia="de-DE"/>
        </w:rPr>
        <w:t>כעס</w:t>
      </w:r>
      <w:r w:rsidRPr="0082635F">
        <w:rPr>
          <w:rFonts w:eastAsia="Times New Roman"/>
          <w:lang w:eastAsia="de-DE"/>
        </w:rPr>
        <w:t xml:space="preserve">, „zürnen" – im Hifil „zum Zorn reizen, erzürnen", mit </w:t>
      </w:r>
      <w:r w:rsidRPr="0082635F">
        <w:rPr>
          <w:rFonts w:eastAsia="Times New Roman"/>
          <w:b/>
          <w:bCs/>
          <w:rtl/>
          <w:lang w:eastAsia="de-DE"/>
        </w:rPr>
        <w:t>לְ</w:t>
      </w:r>
      <w:r w:rsidRPr="0082635F">
        <w:rPr>
          <w:rFonts w:eastAsia="Times New Roman"/>
          <w:rtl/>
          <w:lang w:eastAsia="de-DE"/>
        </w:rPr>
        <w:t xml:space="preserve"> </w:t>
      </w:r>
      <w:r w:rsidRPr="0082635F">
        <w:rPr>
          <w:rFonts w:eastAsia="Times New Roman"/>
          <w:lang w:eastAsia="de-DE"/>
        </w:rPr>
        <w:t>und Suffix 3. Person Singular maskulin).</w:t>
      </w:r>
    </w:p>
    <w:p w14:paraId="298E24B7"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 xml:space="preserve">Der Vers beschreibt Moses' zweite vierzigtägige Fürbitte auf dem Berg (vgl. Ex 34,28; Dtn 10,10). Die Wendung </w:t>
      </w:r>
      <w:r w:rsidRPr="0082635F">
        <w:rPr>
          <w:rFonts w:eastAsia="Times New Roman"/>
          <w:b/>
          <w:bCs/>
          <w:rtl/>
          <w:lang w:eastAsia="de-DE"/>
        </w:rPr>
        <w:t>כָּרִאשֹׁנָה</w:t>
      </w:r>
      <w:r w:rsidRPr="0082635F">
        <w:rPr>
          <w:rFonts w:eastAsia="Times New Roman"/>
          <w:rtl/>
          <w:lang w:eastAsia="de-DE"/>
        </w:rPr>
        <w:t xml:space="preserve"> </w:t>
      </w:r>
      <w:r w:rsidRPr="0082635F">
        <w:rPr>
          <w:rFonts w:eastAsia="Times New Roman"/>
          <w:lang w:eastAsia="de-DE"/>
        </w:rPr>
        <w:t xml:space="preserve">(„wie zuerst") verweist auf V. 9 – eine zweite Fastenperiode. Die Formulierung </w:t>
      </w:r>
      <w:r w:rsidRPr="0082635F">
        <w:rPr>
          <w:rFonts w:eastAsia="Times New Roman"/>
          <w:b/>
          <w:bCs/>
          <w:rtl/>
          <w:lang w:eastAsia="de-DE"/>
        </w:rPr>
        <w:t>עַל כָּל־חַטַּאתְכֶם</w:t>
      </w:r>
      <w:r w:rsidRPr="0082635F">
        <w:rPr>
          <w:rFonts w:eastAsia="Times New Roman"/>
          <w:rtl/>
          <w:lang w:eastAsia="de-DE"/>
        </w:rPr>
        <w:t xml:space="preserve"> </w:t>
      </w:r>
      <w:r w:rsidRPr="0082635F">
        <w:rPr>
          <w:rFonts w:eastAsia="Times New Roman"/>
          <w:lang w:eastAsia="de-DE"/>
        </w:rPr>
        <w:t xml:space="preserve">(„wegen all eurer Sünde") betont: Moses' Fürbitte gilt der gesamten Schuld. Die finale Konstruktion </w:t>
      </w:r>
      <w:r w:rsidRPr="0082635F">
        <w:rPr>
          <w:rFonts w:eastAsia="Times New Roman"/>
          <w:b/>
          <w:bCs/>
          <w:rtl/>
          <w:lang w:eastAsia="de-DE"/>
        </w:rPr>
        <w:t>לְהַכְעִיסוֹ</w:t>
      </w:r>
      <w:r w:rsidRPr="0082635F">
        <w:rPr>
          <w:rFonts w:eastAsia="Times New Roman"/>
          <w:rtl/>
          <w:lang w:eastAsia="de-DE"/>
        </w:rPr>
        <w:t xml:space="preserve"> </w:t>
      </w:r>
      <w:r w:rsidRPr="0082635F">
        <w:rPr>
          <w:rFonts w:eastAsia="Times New Roman"/>
          <w:lang w:eastAsia="de-DE"/>
        </w:rPr>
        <w:t>(„um ihn zu reizen") charakterisiert die Sünde als bewusste Provokation Gottes.</w:t>
      </w:r>
    </w:p>
    <w:p w14:paraId="4D2341F8"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Die Satzstruktur ist ein Imperfekt consecutivum mit Ortsangabe, Vergleichskonstruktion und temporaler Bestimmung, gefolgt von einer zweigliedrigen koordinierten Negativaussage und einer umfangreichen kausalen Bestimmung (mit Relativsatz, gerundialer Infinitivkonstruktion und finalem Infinitiv).</w:t>
      </w:r>
    </w:p>
    <w:p w14:paraId="5CA6977E"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Der Vers beschreibt Moses' Fürbitte: Ich warf mich vor JHWH nieder wie das erste Mal, vierzig Tage und Nächte ohne Brot und Wasser – wegen all eurer Sünde, die ihr tatet, um JHWH zu reizen.</w:t>
      </w:r>
    </w:p>
    <w:p w14:paraId="7E0E92CA" w14:textId="77777777" w:rsidR="0082635F" w:rsidRPr="0082635F" w:rsidRDefault="0082635F" w:rsidP="0082635F">
      <w:pPr>
        <w:spacing w:before="100" w:beforeAutospacing="1" w:after="100" w:afterAutospacing="1" w:line="240" w:lineRule="auto"/>
        <w:outlineLvl w:val="1"/>
        <w:rPr>
          <w:rFonts w:eastAsia="Times New Roman"/>
          <w:b/>
          <w:bCs/>
          <w:sz w:val="36"/>
          <w:szCs w:val="36"/>
          <w:lang w:eastAsia="de-DE"/>
        </w:rPr>
      </w:pPr>
      <w:r w:rsidRPr="0082635F">
        <w:rPr>
          <w:rFonts w:eastAsia="Times New Roman"/>
          <w:b/>
          <w:bCs/>
          <w:sz w:val="36"/>
          <w:szCs w:val="36"/>
          <w:lang w:eastAsia="de-DE"/>
        </w:rPr>
        <w:t>Deuteronomium 9,19</w:t>
      </w:r>
    </w:p>
    <w:p w14:paraId="10223D4E"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Hebräisch:</w:t>
      </w:r>
      <w:r w:rsidRPr="0082635F">
        <w:rPr>
          <w:rFonts w:eastAsia="Times New Roman"/>
          <w:lang w:eastAsia="de-DE"/>
        </w:rPr>
        <w:t xml:space="preserve"> </w:t>
      </w:r>
      <w:r w:rsidRPr="0082635F">
        <w:rPr>
          <w:rFonts w:eastAsia="Times New Roman"/>
          <w:rtl/>
          <w:lang w:eastAsia="de-DE"/>
        </w:rPr>
        <w:t>כִּי יָגֹרְתִּי מִפְּנֵי הָאַף וְהַחֵמָה אֲשֶׁר קָצַף יְהוָה עֲלֵיכֶם לְהַשְׁמִיד אֶתְכֶם וַיִּשְׁמַע יְהוָה אֵלַי גַּם בַּפַּעַם הַהִֽוא׃</w:t>
      </w:r>
    </w:p>
    <w:p w14:paraId="0C969ECC"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Deutsch:</w:t>
      </w:r>
      <w:r w:rsidRPr="0082635F">
        <w:rPr>
          <w:rFonts w:eastAsia="Times New Roman"/>
          <w:lang w:eastAsia="de-DE"/>
        </w:rPr>
        <w:t xml:space="preserve"> Denn mir war bange vor dem Zorn und dem Grimm, womit der Ewige über euch erzürnt war, so dass er euch vertilgen wollte. Und der Ewige erhörte mich auch dieses Mal.</w:t>
      </w:r>
    </w:p>
    <w:p w14:paraId="0956BA33" w14:textId="77777777" w:rsidR="0082635F" w:rsidRPr="0082635F" w:rsidRDefault="004F5CEB" w:rsidP="0082635F">
      <w:pPr>
        <w:spacing w:after="0" w:line="240" w:lineRule="auto"/>
        <w:rPr>
          <w:rFonts w:eastAsia="Times New Roman"/>
          <w:lang w:eastAsia="de-DE"/>
        </w:rPr>
      </w:pPr>
      <w:r>
        <w:rPr>
          <w:rFonts w:eastAsia="Times New Roman"/>
          <w:noProof/>
          <w:lang w:eastAsia="de-DE"/>
        </w:rPr>
        <w:pict w14:anchorId="072D207B">
          <v:rect id="_x0000_i1308" style="width:0;height:1.5pt" o:hralign="center" o:hrstd="t" o:hr="t" fillcolor="#a0a0a0" stroked="f"/>
        </w:pict>
      </w:r>
    </w:p>
    <w:p w14:paraId="5F31F1F2"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lastRenderedPageBreak/>
        <w:t>Kommentar:</w:t>
      </w:r>
      <w:r w:rsidRPr="0082635F">
        <w:rPr>
          <w:rFonts w:eastAsia="Times New Roman"/>
          <w:lang w:eastAsia="de-DE"/>
        </w:rPr>
        <w:t xml:space="preserve"> </w:t>
      </w:r>
      <w:r w:rsidRPr="0082635F">
        <w:rPr>
          <w:rFonts w:eastAsia="Times New Roman"/>
          <w:b/>
          <w:bCs/>
          <w:rtl/>
          <w:lang w:eastAsia="de-DE"/>
        </w:rPr>
        <w:t>כִּי יָגֹרְתִּי מִפְּנֵי הָאַף וְהַחֵמָה אֲשֶׁר קָצַף יְהוָה עֲלֵיכֶם לְהַשְׁמִיד אֶתְכֶם</w:t>
      </w:r>
      <w:r w:rsidRPr="0082635F">
        <w:rPr>
          <w:rFonts w:eastAsia="Times New Roman"/>
          <w:rtl/>
          <w:lang w:eastAsia="de-DE"/>
        </w:rPr>
        <w:t xml:space="preserve"> </w:t>
      </w:r>
      <w:r w:rsidRPr="0082635F">
        <w:rPr>
          <w:rFonts w:eastAsia="Times New Roman"/>
          <w:lang w:eastAsia="de-DE"/>
        </w:rPr>
        <w:t xml:space="preserve">ist die Begründung: </w:t>
      </w:r>
      <w:r w:rsidRPr="0082635F">
        <w:rPr>
          <w:rFonts w:eastAsia="Times New Roman"/>
          <w:b/>
          <w:bCs/>
          <w:rtl/>
          <w:lang w:eastAsia="de-DE"/>
        </w:rPr>
        <w:t>כִּי</w:t>
      </w:r>
      <w:r w:rsidRPr="0082635F">
        <w:rPr>
          <w:rFonts w:eastAsia="Times New Roman"/>
          <w:rtl/>
          <w:lang w:eastAsia="de-DE"/>
        </w:rPr>
        <w:t xml:space="preserve"> </w:t>
      </w:r>
      <w:r w:rsidRPr="0082635F">
        <w:rPr>
          <w:rFonts w:eastAsia="Times New Roman"/>
          <w:lang w:eastAsia="de-DE"/>
        </w:rPr>
        <w:t xml:space="preserve">als Konjunktion („denn"), </w:t>
      </w:r>
      <w:r w:rsidRPr="0082635F">
        <w:rPr>
          <w:rFonts w:eastAsia="Times New Roman"/>
          <w:b/>
          <w:bCs/>
          <w:rtl/>
          <w:lang w:eastAsia="de-DE"/>
        </w:rPr>
        <w:t>יָגֹרְתִּי</w:t>
      </w:r>
      <w:r w:rsidRPr="0082635F">
        <w:rPr>
          <w:rFonts w:eastAsia="Times New Roman"/>
          <w:rtl/>
          <w:lang w:eastAsia="de-DE"/>
        </w:rPr>
        <w:t xml:space="preserve"> </w:t>
      </w:r>
      <w:r w:rsidRPr="0082635F">
        <w:rPr>
          <w:rFonts w:eastAsia="Times New Roman"/>
          <w:lang w:eastAsia="de-DE"/>
        </w:rPr>
        <w:t xml:space="preserve">als Qal Perfekt, 1. Person Singular von </w:t>
      </w:r>
      <w:r w:rsidRPr="0082635F">
        <w:rPr>
          <w:rFonts w:eastAsia="Times New Roman"/>
          <w:b/>
          <w:bCs/>
          <w:rtl/>
          <w:lang w:eastAsia="de-DE"/>
        </w:rPr>
        <w:t>יגר/גור</w:t>
      </w:r>
      <w:r w:rsidRPr="0082635F">
        <w:rPr>
          <w:rFonts w:eastAsia="Times New Roman"/>
          <w:lang w:eastAsia="de-DE"/>
        </w:rPr>
        <w:t xml:space="preserve">, „fürchten, bange sein", </w:t>
      </w:r>
      <w:r w:rsidRPr="0082635F">
        <w:rPr>
          <w:rFonts w:eastAsia="Times New Roman"/>
          <w:b/>
          <w:bCs/>
          <w:rtl/>
          <w:lang w:eastAsia="de-DE"/>
        </w:rPr>
        <w:t>מִפְּנֵי הָאַף וְהַחֵמָה</w:t>
      </w:r>
      <w:r w:rsidRPr="0082635F">
        <w:rPr>
          <w:rFonts w:eastAsia="Times New Roman"/>
          <w:rtl/>
          <w:lang w:eastAsia="de-DE"/>
        </w:rPr>
        <w:t xml:space="preserve"> </w:t>
      </w:r>
      <w:r w:rsidRPr="0082635F">
        <w:rPr>
          <w:rFonts w:eastAsia="Times New Roman"/>
          <w:lang w:eastAsia="de-DE"/>
        </w:rPr>
        <w:t>als präpositionale Ergänzung (</w:t>
      </w:r>
      <w:r w:rsidRPr="0082635F">
        <w:rPr>
          <w:rFonts w:eastAsia="Times New Roman"/>
          <w:b/>
          <w:bCs/>
          <w:rtl/>
          <w:lang w:eastAsia="de-DE"/>
        </w:rPr>
        <w:t>מִפְּנֵי</w:t>
      </w:r>
      <w:r w:rsidRPr="0082635F">
        <w:rPr>
          <w:rFonts w:eastAsia="Times New Roman"/>
          <w:rtl/>
          <w:lang w:eastAsia="de-DE"/>
        </w:rPr>
        <w:t xml:space="preserve"> </w:t>
      </w:r>
      <w:r w:rsidRPr="0082635F">
        <w:rPr>
          <w:rFonts w:eastAsia="Times New Roman"/>
          <w:lang w:eastAsia="de-DE"/>
        </w:rPr>
        <w:t xml:space="preserve">mit zweigliedriger koordinierter Objektkette: </w:t>
      </w:r>
      <w:r w:rsidRPr="0082635F">
        <w:rPr>
          <w:rFonts w:eastAsia="Times New Roman"/>
          <w:b/>
          <w:bCs/>
          <w:rtl/>
          <w:lang w:eastAsia="de-DE"/>
        </w:rPr>
        <w:t>אַף</w:t>
      </w:r>
      <w:r w:rsidRPr="0082635F">
        <w:rPr>
          <w:rFonts w:eastAsia="Times New Roman"/>
          <w:lang w:eastAsia="de-DE"/>
        </w:rPr>
        <w:t xml:space="preserve">, „Zorn", mit Artikel, und </w:t>
      </w:r>
      <w:r w:rsidRPr="0082635F">
        <w:rPr>
          <w:rFonts w:eastAsia="Times New Roman"/>
          <w:b/>
          <w:bCs/>
          <w:rtl/>
          <w:lang w:eastAsia="de-DE"/>
        </w:rPr>
        <w:t>חֵמָה</w:t>
      </w:r>
      <w:r w:rsidRPr="0082635F">
        <w:rPr>
          <w:rFonts w:eastAsia="Times New Roman"/>
          <w:lang w:eastAsia="de-DE"/>
        </w:rPr>
        <w:t xml:space="preserve">, „Grimm, Hitze", mit Artikel – „vor dem Zorn und dem Grimm"), </w:t>
      </w:r>
      <w:r w:rsidRPr="0082635F">
        <w:rPr>
          <w:rFonts w:eastAsia="Times New Roman"/>
          <w:b/>
          <w:bCs/>
          <w:rtl/>
          <w:lang w:eastAsia="de-DE"/>
        </w:rPr>
        <w:t>אֲשֶׁר קָצַף יְהוָה עֲלֵיכֶם</w:t>
      </w:r>
      <w:r w:rsidRPr="0082635F">
        <w:rPr>
          <w:rFonts w:eastAsia="Times New Roman"/>
          <w:rtl/>
          <w:lang w:eastAsia="de-DE"/>
        </w:rPr>
        <w:t xml:space="preserve"> </w:t>
      </w:r>
      <w:r w:rsidRPr="0082635F">
        <w:rPr>
          <w:rFonts w:eastAsia="Times New Roman"/>
          <w:lang w:eastAsia="de-DE"/>
        </w:rPr>
        <w:t xml:space="preserve">als Relativsatz (Qal Perfekt, 3. Person Singular maskulin von </w:t>
      </w:r>
      <w:r w:rsidRPr="0082635F">
        <w:rPr>
          <w:rFonts w:eastAsia="Times New Roman"/>
          <w:b/>
          <w:bCs/>
          <w:rtl/>
          <w:lang w:eastAsia="de-DE"/>
        </w:rPr>
        <w:t>קצף</w:t>
      </w:r>
      <w:r w:rsidRPr="0082635F">
        <w:rPr>
          <w:rFonts w:eastAsia="Times New Roman"/>
          <w:lang w:eastAsia="de-DE"/>
        </w:rPr>
        <w:t xml:space="preserve">, „zürnen", </w:t>
      </w:r>
      <w:r w:rsidRPr="0082635F">
        <w:rPr>
          <w:rFonts w:eastAsia="Times New Roman"/>
          <w:b/>
          <w:bCs/>
          <w:rtl/>
          <w:lang w:eastAsia="de-DE"/>
        </w:rPr>
        <w:t>יְהוָה</w:t>
      </w:r>
      <w:r w:rsidRPr="0082635F">
        <w:rPr>
          <w:rFonts w:eastAsia="Times New Roman"/>
          <w:rtl/>
          <w:lang w:eastAsia="de-DE"/>
        </w:rPr>
        <w:t xml:space="preserve"> </w:t>
      </w:r>
      <w:r w:rsidRPr="0082635F">
        <w:rPr>
          <w:rFonts w:eastAsia="Times New Roman"/>
          <w:lang w:eastAsia="de-DE"/>
        </w:rPr>
        <w:t xml:space="preserve">als Subjekt, </w:t>
      </w:r>
      <w:r w:rsidRPr="0082635F">
        <w:rPr>
          <w:rFonts w:eastAsia="Times New Roman"/>
          <w:b/>
          <w:bCs/>
          <w:rtl/>
          <w:lang w:eastAsia="de-DE"/>
        </w:rPr>
        <w:t>עֲלֵיכֶם</w:t>
      </w:r>
      <w:r w:rsidRPr="0082635F">
        <w:rPr>
          <w:rFonts w:eastAsia="Times New Roman"/>
          <w:rtl/>
          <w:lang w:eastAsia="de-DE"/>
        </w:rPr>
        <w:t xml:space="preserve"> </w:t>
      </w:r>
      <w:r w:rsidRPr="0082635F">
        <w:rPr>
          <w:rFonts w:eastAsia="Times New Roman"/>
          <w:lang w:eastAsia="de-DE"/>
        </w:rPr>
        <w:t xml:space="preserve">als präpositionale Ergänzung), </w:t>
      </w:r>
      <w:r w:rsidRPr="0082635F">
        <w:rPr>
          <w:rFonts w:eastAsia="Times New Roman"/>
          <w:b/>
          <w:bCs/>
          <w:rtl/>
          <w:lang w:eastAsia="de-DE"/>
        </w:rPr>
        <w:t>לְהַשְׁמִיד אֶתְכֶם</w:t>
      </w:r>
      <w:r w:rsidRPr="0082635F">
        <w:rPr>
          <w:rFonts w:eastAsia="Times New Roman"/>
          <w:rtl/>
          <w:lang w:eastAsia="de-DE"/>
        </w:rPr>
        <w:t xml:space="preserve"> </w:t>
      </w:r>
      <w:r w:rsidRPr="0082635F">
        <w:rPr>
          <w:rFonts w:eastAsia="Times New Roman"/>
          <w:lang w:eastAsia="de-DE"/>
        </w:rPr>
        <w:t>als finaler Infinitiv (wie V. 8).</w:t>
      </w:r>
    </w:p>
    <w:p w14:paraId="1A1BAC54"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rtl/>
          <w:lang w:eastAsia="de-DE"/>
        </w:rPr>
        <w:t>וַיִּשְׁמַע יְהוָה אֵלַי גַּם בַּפַּעַם הַהִֽוא</w:t>
      </w:r>
      <w:r w:rsidRPr="0082635F">
        <w:rPr>
          <w:rFonts w:eastAsia="Times New Roman"/>
          <w:rtl/>
          <w:lang w:eastAsia="de-DE"/>
        </w:rPr>
        <w:t xml:space="preserve"> </w:t>
      </w:r>
      <w:r w:rsidRPr="0082635F">
        <w:rPr>
          <w:rFonts w:eastAsia="Times New Roman"/>
          <w:lang w:eastAsia="de-DE"/>
        </w:rPr>
        <w:t xml:space="preserve">ist die positive Antwort: </w:t>
      </w:r>
      <w:r w:rsidRPr="0082635F">
        <w:rPr>
          <w:rFonts w:eastAsia="Times New Roman"/>
          <w:b/>
          <w:bCs/>
          <w:rtl/>
          <w:lang w:eastAsia="de-DE"/>
        </w:rPr>
        <w:t>וַיִּשְׁמַע</w:t>
      </w:r>
      <w:r w:rsidRPr="0082635F">
        <w:rPr>
          <w:rFonts w:eastAsia="Times New Roman"/>
          <w:rtl/>
          <w:lang w:eastAsia="de-DE"/>
        </w:rPr>
        <w:t xml:space="preserve"> </w:t>
      </w:r>
      <w:r w:rsidRPr="0082635F">
        <w:rPr>
          <w:rFonts w:eastAsia="Times New Roman"/>
          <w:lang w:eastAsia="de-DE"/>
        </w:rPr>
        <w:t xml:space="preserve">(Qal Imperfekt consecutivum, 3. Person Singular maskulin von </w:t>
      </w:r>
      <w:r w:rsidRPr="0082635F">
        <w:rPr>
          <w:rFonts w:eastAsia="Times New Roman"/>
          <w:b/>
          <w:bCs/>
          <w:rtl/>
          <w:lang w:eastAsia="de-DE"/>
        </w:rPr>
        <w:t>שׁמע</w:t>
      </w:r>
      <w:r w:rsidRPr="0082635F">
        <w:rPr>
          <w:rFonts w:eastAsia="Times New Roman"/>
          <w:lang w:eastAsia="de-DE"/>
        </w:rPr>
        <w:t xml:space="preserve">, „hören, erhören", mit </w:t>
      </w:r>
      <w:r w:rsidRPr="0082635F">
        <w:rPr>
          <w:rFonts w:eastAsia="Times New Roman"/>
          <w:b/>
          <w:bCs/>
          <w:rtl/>
          <w:lang w:eastAsia="de-DE"/>
        </w:rPr>
        <w:t>וְ</w:t>
      </w:r>
      <w:r w:rsidRPr="0082635F">
        <w:rPr>
          <w:rFonts w:eastAsia="Times New Roman"/>
          <w:lang w:eastAsia="de-DE"/>
        </w:rPr>
        <w:t xml:space="preserve">), </w:t>
      </w:r>
      <w:r w:rsidRPr="0082635F">
        <w:rPr>
          <w:rFonts w:eastAsia="Times New Roman"/>
          <w:b/>
          <w:bCs/>
          <w:rtl/>
          <w:lang w:eastAsia="de-DE"/>
        </w:rPr>
        <w:t>יְהוָה</w:t>
      </w:r>
      <w:r w:rsidRPr="0082635F">
        <w:rPr>
          <w:rFonts w:eastAsia="Times New Roman"/>
          <w:rtl/>
          <w:lang w:eastAsia="de-DE"/>
        </w:rPr>
        <w:t xml:space="preserve"> </w:t>
      </w:r>
      <w:r w:rsidRPr="0082635F">
        <w:rPr>
          <w:rFonts w:eastAsia="Times New Roman"/>
          <w:lang w:eastAsia="de-DE"/>
        </w:rPr>
        <w:t xml:space="preserve">als Subjekt, </w:t>
      </w:r>
      <w:r w:rsidRPr="0082635F">
        <w:rPr>
          <w:rFonts w:eastAsia="Times New Roman"/>
          <w:b/>
          <w:bCs/>
          <w:rtl/>
          <w:lang w:eastAsia="de-DE"/>
        </w:rPr>
        <w:t>אֵלַי</w:t>
      </w:r>
      <w:r w:rsidRPr="0082635F">
        <w:rPr>
          <w:rFonts w:eastAsia="Times New Roman"/>
          <w:rtl/>
          <w:lang w:eastAsia="de-DE"/>
        </w:rPr>
        <w:t xml:space="preserve"> </w:t>
      </w:r>
      <w:r w:rsidRPr="0082635F">
        <w:rPr>
          <w:rFonts w:eastAsia="Times New Roman"/>
          <w:lang w:eastAsia="de-DE"/>
        </w:rPr>
        <w:t xml:space="preserve">als präpositionale Ergänzung, </w:t>
      </w:r>
      <w:r w:rsidRPr="0082635F">
        <w:rPr>
          <w:rFonts w:eastAsia="Times New Roman"/>
          <w:b/>
          <w:bCs/>
          <w:rtl/>
          <w:lang w:eastAsia="de-DE"/>
        </w:rPr>
        <w:t>גַּם בַּפַּעַם הַהִֽוא</w:t>
      </w:r>
      <w:r w:rsidRPr="0082635F">
        <w:rPr>
          <w:rFonts w:eastAsia="Times New Roman"/>
          <w:rtl/>
          <w:lang w:eastAsia="de-DE"/>
        </w:rPr>
        <w:t xml:space="preserve"> </w:t>
      </w:r>
      <w:r w:rsidRPr="0082635F">
        <w:rPr>
          <w:rFonts w:eastAsia="Times New Roman"/>
          <w:lang w:eastAsia="de-DE"/>
        </w:rPr>
        <w:t>als temporale Bestimmung (</w:t>
      </w:r>
      <w:r w:rsidRPr="0082635F">
        <w:rPr>
          <w:rFonts w:eastAsia="Times New Roman"/>
          <w:b/>
          <w:bCs/>
          <w:rtl/>
          <w:lang w:eastAsia="de-DE"/>
        </w:rPr>
        <w:t>גַּם</w:t>
      </w:r>
      <w:r w:rsidRPr="0082635F">
        <w:rPr>
          <w:rFonts w:eastAsia="Times New Roman"/>
          <w:lang w:eastAsia="de-DE"/>
        </w:rPr>
        <w:t xml:space="preserve">, „auch", </w:t>
      </w:r>
      <w:r w:rsidRPr="0082635F">
        <w:rPr>
          <w:rFonts w:eastAsia="Times New Roman"/>
          <w:b/>
          <w:bCs/>
          <w:rtl/>
          <w:lang w:eastAsia="de-DE"/>
        </w:rPr>
        <w:t>בַּפַּעַם הַהִֽוא</w:t>
      </w:r>
      <w:r w:rsidRPr="0082635F">
        <w:rPr>
          <w:rFonts w:eastAsia="Times New Roman"/>
          <w:rtl/>
          <w:lang w:eastAsia="de-DE"/>
        </w:rPr>
        <w:t xml:space="preserve"> </w:t>
      </w:r>
      <w:r w:rsidRPr="0082635F">
        <w:rPr>
          <w:rFonts w:eastAsia="Times New Roman"/>
          <w:lang w:eastAsia="de-DE"/>
        </w:rPr>
        <w:t xml:space="preserve">– </w:t>
      </w:r>
      <w:r w:rsidRPr="0082635F">
        <w:rPr>
          <w:rFonts w:eastAsia="Times New Roman"/>
          <w:b/>
          <w:bCs/>
          <w:rtl/>
          <w:lang w:eastAsia="de-DE"/>
        </w:rPr>
        <w:t>בְּ</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פַּעַם</w:t>
      </w:r>
      <w:r w:rsidRPr="0082635F">
        <w:rPr>
          <w:rFonts w:eastAsia="Times New Roman"/>
          <w:lang w:eastAsia="de-DE"/>
        </w:rPr>
        <w:t>, „Mal", und Demonstrativpronomen – „auch dieses Mal").</w:t>
      </w:r>
    </w:p>
    <w:p w14:paraId="32AEDD12"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 xml:space="preserve">Der Vers offenbart Moses' innere Motivation für die Fürbitte: </w:t>
      </w:r>
      <w:r w:rsidRPr="0082635F">
        <w:rPr>
          <w:rFonts w:eastAsia="Times New Roman"/>
          <w:b/>
          <w:bCs/>
          <w:rtl/>
          <w:lang w:eastAsia="de-DE"/>
        </w:rPr>
        <w:t>יָגֹרְתִּי</w:t>
      </w:r>
      <w:r w:rsidRPr="0082635F">
        <w:rPr>
          <w:rFonts w:eastAsia="Times New Roman"/>
          <w:rtl/>
          <w:lang w:eastAsia="de-DE"/>
        </w:rPr>
        <w:t xml:space="preserve"> </w:t>
      </w:r>
      <w:r w:rsidRPr="0082635F">
        <w:rPr>
          <w:rFonts w:eastAsia="Times New Roman"/>
          <w:lang w:eastAsia="de-DE"/>
        </w:rPr>
        <w:t xml:space="preserve">(„mir war bange") – er fürchtete Gottes Zorn. Die zweigliedrige Formulierung </w:t>
      </w:r>
      <w:r w:rsidRPr="0082635F">
        <w:rPr>
          <w:rFonts w:eastAsia="Times New Roman"/>
          <w:b/>
          <w:bCs/>
          <w:rtl/>
          <w:lang w:eastAsia="de-DE"/>
        </w:rPr>
        <w:t>הָאַף וְהַחֵמָה</w:t>
      </w:r>
      <w:r w:rsidRPr="0082635F">
        <w:rPr>
          <w:rFonts w:eastAsia="Times New Roman"/>
          <w:rtl/>
          <w:lang w:eastAsia="de-DE"/>
        </w:rPr>
        <w:t xml:space="preserve"> </w:t>
      </w:r>
      <w:r w:rsidRPr="0082635F">
        <w:rPr>
          <w:rFonts w:eastAsia="Times New Roman"/>
          <w:lang w:eastAsia="de-DE"/>
        </w:rPr>
        <w:t xml:space="preserve">(„der Zorn und der Grimm") unterstreicht die Intensität des göttlichen Zorns. Die temporale Bestimmung </w:t>
      </w:r>
      <w:r w:rsidRPr="0082635F">
        <w:rPr>
          <w:rFonts w:eastAsia="Times New Roman"/>
          <w:b/>
          <w:bCs/>
          <w:rtl/>
          <w:lang w:eastAsia="de-DE"/>
        </w:rPr>
        <w:t>גַּם בַּפַּעַם הַהִֽוא</w:t>
      </w:r>
      <w:r w:rsidRPr="0082635F">
        <w:rPr>
          <w:rFonts w:eastAsia="Times New Roman"/>
          <w:rtl/>
          <w:lang w:eastAsia="de-DE"/>
        </w:rPr>
        <w:t xml:space="preserve"> </w:t>
      </w:r>
      <w:r w:rsidRPr="0082635F">
        <w:rPr>
          <w:rFonts w:eastAsia="Times New Roman"/>
          <w:lang w:eastAsia="de-DE"/>
        </w:rPr>
        <w:t>(„auch dieses Mal") impliziert: JHWH hatte schon früher auf Moses' Fürbitte gehört, und er tat es wieder.</w:t>
      </w:r>
    </w:p>
    <w:p w14:paraId="7963CB1C"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Die Satzstruktur ist eine Begründung mit Prädikat, präpositionaler Ergänzung (mit zweigliedriger koordinierter Objektkette), Relativsatz und finalem Infinitiv, gefolgt von einem Imperfekt consecutivum mit Subjekt, präpositionaler Ergänzung und temporaler Bestimmung.</w:t>
      </w:r>
    </w:p>
    <w:p w14:paraId="0473EDA2"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Der Vers gibt Moses' Motivation: Mir war bange vor JHWHs Zorn und Grimm, womit er euch vernichten wollte. Aber JHWH erhörte mich auch dieses Mal – erfolgreiche Fürbitte.</w:t>
      </w:r>
    </w:p>
    <w:p w14:paraId="6E700816" w14:textId="77777777" w:rsidR="0082635F" w:rsidRPr="0082635F" w:rsidRDefault="0082635F" w:rsidP="0082635F">
      <w:pPr>
        <w:spacing w:before="100" w:beforeAutospacing="1" w:after="100" w:afterAutospacing="1" w:line="240" w:lineRule="auto"/>
        <w:outlineLvl w:val="1"/>
        <w:rPr>
          <w:rFonts w:eastAsia="Times New Roman"/>
          <w:b/>
          <w:bCs/>
          <w:sz w:val="36"/>
          <w:szCs w:val="36"/>
          <w:lang w:eastAsia="de-DE"/>
        </w:rPr>
      </w:pPr>
      <w:r w:rsidRPr="0082635F">
        <w:rPr>
          <w:rFonts w:eastAsia="Times New Roman"/>
          <w:b/>
          <w:bCs/>
          <w:sz w:val="36"/>
          <w:szCs w:val="36"/>
          <w:lang w:eastAsia="de-DE"/>
        </w:rPr>
        <w:t>Deuteronomium 9,20</w:t>
      </w:r>
    </w:p>
    <w:p w14:paraId="5AF32296"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Hebräisch:</w:t>
      </w:r>
      <w:r w:rsidRPr="0082635F">
        <w:rPr>
          <w:rFonts w:eastAsia="Times New Roman"/>
          <w:lang w:eastAsia="de-DE"/>
        </w:rPr>
        <w:t xml:space="preserve"> </w:t>
      </w:r>
      <w:r w:rsidRPr="0082635F">
        <w:rPr>
          <w:rFonts w:eastAsia="Times New Roman"/>
          <w:rtl/>
          <w:lang w:eastAsia="de-DE"/>
        </w:rPr>
        <w:t>וּֽבְאַהֲרֹן הִתְאַנַּף יְהוָה מְאֹד לְהַשְׁמִידֹו וָֽאֶתְפַּלֵּל גַּם־בְּעַד אַהֲרֹן בָּעֵת הַהִֽוא׃</w:t>
      </w:r>
    </w:p>
    <w:p w14:paraId="3C82B23A"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Deutsch:</w:t>
      </w:r>
      <w:r w:rsidRPr="0082635F">
        <w:rPr>
          <w:rFonts w:eastAsia="Times New Roman"/>
          <w:lang w:eastAsia="de-DE"/>
        </w:rPr>
        <w:t xml:space="preserve"> Auch über 'Aharon zürnte der Ewige sehr, so dass er ihn vertilgen wollte; und ich bat auch für 'Aharon in jener Zeit.</w:t>
      </w:r>
    </w:p>
    <w:p w14:paraId="7CFC3DD3" w14:textId="77777777" w:rsidR="0082635F" w:rsidRPr="0082635F" w:rsidRDefault="004F5CEB" w:rsidP="0082635F">
      <w:pPr>
        <w:spacing w:after="0" w:line="240" w:lineRule="auto"/>
        <w:rPr>
          <w:rFonts w:eastAsia="Times New Roman"/>
          <w:lang w:eastAsia="de-DE"/>
        </w:rPr>
      </w:pPr>
      <w:r>
        <w:rPr>
          <w:rFonts w:eastAsia="Times New Roman"/>
          <w:noProof/>
          <w:lang w:eastAsia="de-DE"/>
        </w:rPr>
        <w:pict w14:anchorId="6943CEE5">
          <v:rect id="_x0000_i1309" style="width:0;height:1.5pt" o:hralign="center" o:hrstd="t" o:hr="t" fillcolor="#a0a0a0" stroked="f"/>
        </w:pict>
      </w:r>
    </w:p>
    <w:p w14:paraId="73DCB0EC"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Kommentar:</w:t>
      </w:r>
      <w:r w:rsidRPr="0082635F">
        <w:rPr>
          <w:rFonts w:eastAsia="Times New Roman"/>
          <w:lang w:eastAsia="de-DE"/>
        </w:rPr>
        <w:t xml:space="preserve"> </w:t>
      </w:r>
      <w:r w:rsidRPr="0082635F">
        <w:rPr>
          <w:rFonts w:eastAsia="Times New Roman"/>
          <w:b/>
          <w:bCs/>
          <w:rtl/>
          <w:lang w:eastAsia="de-DE"/>
        </w:rPr>
        <w:t>וּֽבְאַהֲרֹן הִתְאַנַּף יְהוָה מְאֹד לְהַשְׁמִידֹו</w:t>
      </w:r>
      <w:r w:rsidRPr="0082635F">
        <w:rPr>
          <w:rFonts w:eastAsia="Times New Roman"/>
          <w:rtl/>
          <w:lang w:eastAsia="de-DE"/>
        </w:rPr>
        <w:t xml:space="preserve"> </w:t>
      </w:r>
      <w:r w:rsidRPr="0082635F">
        <w:rPr>
          <w:rFonts w:eastAsia="Times New Roman"/>
          <w:lang w:eastAsia="de-DE"/>
        </w:rPr>
        <w:t xml:space="preserve">ist die Aussage über Aaron: </w:t>
      </w:r>
      <w:r w:rsidRPr="0082635F">
        <w:rPr>
          <w:rFonts w:eastAsia="Times New Roman"/>
          <w:b/>
          <w:bCs/>
          <w:rtl/>
          <w:lang w:eastAsia="de-DE"/>
        </w:rPr>
        <w:t>וּֽבְאַהֲרֹן</w:t>
      </w:r>
      <w:r w:rsidRPr="0082635F">
        <w:rPr>
          <w:rFonts w:eastAsia="Times New Roman"/>
          <w:rtl/>
          <w:lang w:eastAsia="de-DE"/>
        </w:rPr>
        <w:t xml:space="preserve"> </w:t>
      </w:r>
      <w:r w:rsidRPr="0082635F">
        <w:rPr>
          <w:rFonts w:eastAsia="Times New Roman"/>
          <w:lang w:eastAsia="de-DE"/>
        </w:rPr>
        <w:t>als präpositionale Ergänzung (</w:t>
      </w:r>
      <w:r w:rsidRPr="0082635F">
        <w:rPr>
          <w:rFonts w:eastAsia="Times New Roman"/>
          <w:b/>
          <w:bCs/>
          <w:rtl/>
          <w:lang w:eastAsia="de-DE"/>
        </w:rPr>
        <w:t>וְ</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בְּ</w:t>
      </w:r>
      <w:r w:rsidRPr="0082635F">
        <w:rPr>
          <w:rFonts w:eastAsia="Times New Roman"/>
          <w:rtl/>
          <w:lang w:eastAsia="de-DE"/>
        </w:rPr>
        <w:t xml:space="preserve"> </w:t>
      </w:r>
      <w:r w:rsidRPr="0082635F">
        <w:rPr>
          <w:rFonts w:eastAsia="Times New Roman"/>
          <w:lang w:eastAsia="de-DE"/>
        </w:rPr>
        <w:t xml:space="preserve">und </w:t>
      </w:r>
      <w:r w:rsidRPr="0082635F">
        <w:rPr>
          <w:rFonts w:eastAsia="Times New Roman"/>
          <w:b/>
          <w:bCs/>
          <w:rtl/>
          <w:lang w:eastAsia="de-DE"/>
        </w:rPr>
        <w:t>אַהֲרֹן</w:t>
      </w:r>
      <w:r w:rsidRPr="0082635F">
        <w:rPr>
          <w:rFonts w:eastAsia="Times New Roman"/>
          <w:rtl/>
          <w:lang w:eastAsia="de-DE"/>
        </w:rPr>
        <w:t xml:space="preserve"> </w:t>
      </w:r>
      <w:r w:rsidRPr="0082635F">
        <w:rPr>
          <w:rFonts w:eastAsia="Times New Roman"/>
          <w:lang w:eastAsia="de-DE"/>
        </w:rPr>
        <w:t xml:space="preserve">– „auch über Aaron"), </w:t>
      </w:r>
      <w:r w:rsidRPr="0082635F">
        <w:rPr>
          <w:rFonts w:eastAsia="Times New Roman"/>
          <w:b/>
          <w:bCs/>
          <w:rtl/>
          <w:lang w:eastAsia="de-DE"/>
        </w:rPr>
        <w:t>הִתְאַנַּף</w:t>
      </w:r>
      <w:r w:rsidRPr="0082635F">
        <w:rPr>
          <w:rFonts w:eastAsia="Times New Roman"/>
          <w:rtl/>
          <w:lang w:eastAsia="de-DE"/>
        </w:rPr>
        <w:t xml:space="preserve"> </w:t>
      </w:r>
      <w:r w:rsidRPr="0082635F">
        <w:rPr>
          <w:rFonts w:eastAsia="Times New Roman"/>
          <w:lang w:eastAsia="de-DE"/>
        </w:rPr>
        <w:t xml:space="preserve">als Hitpael Perfekt, 3. Person Singular maskulin von </w:t>
      </w:r>
      <w:r w:rsidRPr="0082635F">
        <w:rPr>
          <w:rFonts w:eastAsia="Times New Roman"/>
          <w:b/>
          <w:bCs/>
          <w:rtl/>
          <w:lang w:eastAsia="de-DE"/>
        </w:rPr>
        <w:t>אנף</w:t>
      </w:r>
      <w:r w:rsidRPr="0082635F">
        <w:rPr>
          <w:rFonts w:eastAsia="Times New Roman"/>
          <w:lang w:eastAsia="de-DE"/>
        </w:rPr>
        <w:t xml:space="preserve">, „ergrimmen" (wie V. 8), </w:t>
      </w:r>
      <w:r w:rsidRPr="0082635F">
        <w:rPr>
          <w:rFonts w:eastAsia="Times New Roman"/>
          <w:b/>
          <w:bCs/>
          <w:rtl/>
          <w:lang w:eastAsia="de-DE"/>
        </w:rPr>
        <w:t>יְהוָה</w:t>
      </w:r>
      <w:r w:rsidRPr="0082635F">
        <w:rPr>
          <w:rFonts w:eastAsia="Times New Roman"/>
          <w:rtl/>
          <w:lang w:eastAsia="de-DE"/>
        </w:rPr>
        <w:t xml:space="preserve"> </w:t>
      </w:r>
      <w:r w:rsidRPr="0082635F">
        <w:rPr>
          <w:rFonts w:eastAsia="Times New Roman"/>
          <w:lang w:eastAsia="de-DE"/>
        </w:rPr>
        <w:t xml:space="preserve">als Subjekt, </w:t>
      </w:r>
      <w:r w:rsidRPr="0082635F">
        <w:rPr>
          <w:rFonts w:eastAsia="Times New Roman"/>
          <w:b/>
          <w:bCs/>
          <w:rtl/>
          <w:lang w:eastAsia="de-DE"/>
        </w:rPr>
        <w:t>מְאֹד</w:t>
      </w:r>
      <w:r w:rsidRPr="0082635F">
        <w:rPr>
          <w:rFonts w:eastAsia="Times New Roman"/>
          <w:rtl/>
          <w:lang w:eastAsia="de-DE"/>
        </w:rPr>
        <w:t xml:space="preserve"> </w:t>
      </w:r>
      <w:r w:rsidRPr="0082635F">
        <w:rPr>
          <w:rFonts w:eastAsia="Times New Roman"/>
          <w:lang w:eastAsia="de-DE"/>
        </w:rPr>
        <w:t xml:space="preserve">als Adverb („sehr"), </w:t>
      </w:r>
      <w:r w:rsidRPr="0082635F">
        <w:rPr>
          <w:rFonts w:eastAsia="Times New Roman"/>
          <w:b/>
          <w:bCs/>
          <w:rtl/>
          <w:lang w:eastAsia="de-DE"/>
        </w:rPr>
        <w:t>לְהַשְׁמִידֹו</w:t>
      </w:r>
      <w:r w:rsidRPr="0082635F">
        <w:rPr>
          <w:rFonts w:eastAsia="Times New Roman"/>
          <w:rtl/>
          <w:lang w:eastAsia="de-DE"/>
        </w:rPr>
        <w:t xml:space="preserve"> </w:t>
      </w:r>
      <w:r w:rsidRPr="0082635F">
        <w:rPr>
          <w:rFonts w:eastAsia="Times New Roman"/>
          <w:lang w:eastAsia="de-DE"/>
        </w:rPr>
        <w:t xml:space="preserve">als finaler Infinitiv (Hifil Infinitiv Construct von </w:t>
      </w:r>
      <w:r w:rsidRPr="0082635F">
        <w:rPr>
          <w:rFonts w:eastAsia="Times New Roman"/>
          <w:b/>
          <w:bCs/>
          <w:rtl/>
          <w:lang w:eastAsia="de-DE"/>
        </w:rPr>
        <w:t>שׁמד</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לְ</w:t>
      </w:r>
      <w:r w:rsidRPr="0082635F">
        <w:rPr>
          <w:rFonts w:eastAsia="Times New Roman"/>
          <w:rtl/>
          <w:lang w:eastAsia="de-DE"/>
        </w:rPr>
        <w:t xml:space="preserve"> </w:t>
      </w:r>
      <w:r w:rsidRPr="0082635F">
        <w:rPr>
          <w:rFonts w:eastAsia="Times New Roman"/>
          <w:lang w:eastAsia="de-DE"/>
        </w:rPr>
        <w:t>und Suffix 3. Person Singular maskulin).</w:t>
      </w:r>
    </w:p>
    <w:p w14:paraId="747C55E0" w14:textId="4E22B1EB"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rtl/>
          <w:lang w:eastAsia="de-DE"/>
        </w:rPr>
        <w:t>וָֽאֶתְפַּלֵּל גַּם־בְּעַד אַהֲרֹן בָּעֵת הַהִֽוא</w:t>
      </w:r>
      <w:r w:rsidRPr="0082635F">
        <w:rPr>
          <w:rFonts w:eastAsia="Times New Roman"/>
          <w:rtl/>
          <w:lang w:eastAsia="de-DE"/>
        </w:rPr>
        <w:t xml:space="preserve"> </w:t>
      </w:r>
      <w:r w:rsidRPr="0082635F">
        <w:rPr>
          <w:rFonts w:eastAsia="Times New Roman"/>
          <w:lang w:eastAsia="de-DE"/>
        </w:rPr>
        <w:t xml:space="preserve">ist Moses' Reaktion: </w:t>
      </w:r>
      <w:r w:rsidRPr="0082635F">
        <w:rPr>
          <w:rFonts w:eastAsia="Times New Roman"/>
          <w:b/>
          <w:bCs/>
          <w:rtl/>
          <w:lang w:eastAsia="de-DE"/>
        </w:rPr>
        <w:t>וָֽאֶתְפַּלֵּל</w:t>
      </w:r>
      <w:r w:rsidRPr="0082635F">
        <w:rPr>
          <w:rFonts w:eastAsia="Times New Roman"/>
          <w:rtl/>
          <w:lang w:eastAsia="de-DE"/>
        </w:rPr>
        <w:t xml:space="preserve"> </w:t>
      </w:r>
      <w:r w:rsidRPr="0082635F">
        <w:rPr>
          <w:rFonts w:eastAsia="Times New Roman"/>
          <w:lang w:eastAsia="de-DE"/>
        </w:rPr>
        <w:t xml:space="preserve">(Hitpael Imperfekt consecutivum, 1. Person Singular von </w:t>
      </w:r>
      <w:r w:rsidRPr="0082635F">
        <w:rPr>
          <w:rFonts w:eastAsia="Times New Roman"/>
          <w:b/>
          <w:bCs/>
          <w:rtl/>
          <w:lang w:eastAsia="de-DE"/>
        </w:rPr>
        <w:t>פלל</w:t>
      </w:r>
      <w:r w:rsidRPr="0082635F">
        <w:rPr>
          <w:rFonts w:eastAsia="Times New Roman"/>
          <w:lang w:eastAsia="de-DE"/>
        </w:rPr>
        <w:t xml:space="preserve">, „beten, Fürbitte tun", mit </w:t>
      </w:r>
      <w:r w:rsidRPr="0082635F">
        <w:rPr>
          <w:rFonts w:eastAsia="Times New Roman"/>
          <w:b/>
          <w:bCs/>
          <w:rtl/>
          <w:lang w:eastAsia="de-DE"/>
        </w:rPr>
        <w:t>וְ</w:t>
      </w:r>
      <w:r w:rsidRPr="0082635F">
        <w:rPr>
          <w:rFonts w:eastAsia="Times New Roman"/>
          <w:lang w:eastAsia="de-DE"/>
        </w:rPr>
        <w:t xml:space="preserve">), </w:t>
      </w:r>
      <w:r w:rsidRPr="0082635F">
        <w:rPr>
          <w:rFonts w:eastAsia="Times New Roman"/>
          <w:b/>
          <w:bCs/>
          <w:rtl/>
          <w:lang w:eastAsia="de-DE"/>
        </w:rPr>
        <w:t>גַּם־בְּעַד אַהֲרֹן</w:t>
      </w:r>
      <w:r w:rsidRPr="0082635F">
        <w:rPr>
          <w:rFonts w:eastAsia="Times New Roman"/>
          <w:rtl/>
          <w:lang w:eastAsia="de-DE"/>
        </w:rPr>
        <w:t xml:space="preserve"> </w:t>
      </w:r>
      <w:r w:rsidRPr="0082635F">
        <w:rPr>
          <w:rFonts w:eastAsia="Times New Roman"/>
          <w:lang w:eastAsia="de-DE"/>
        </w:rPr>
        <w:t>als präpositionale Ergänzung (</w:t>
      </w:r>
      <w:r w:rsidRPr="0082635F">
        <w:rPr>
          <w:rFonts w:eastAsia="Times New Roman"/>
          <w:b/>
          <w:bCs/>
          <w:rtl/>
          <w:lang w:eastAsia="de-DE"/>
        </w:rPr>
        <w:t>גַּם</w:t>
      </w:r>
      <w:r w:rsidRPr="0082635F">
        <w:rPr>
          <w:rFonts w:eastAsia="Times New Roman"/>
          <w:lang w:eastAsia="de-DE"/>
        </w:rPr>
        <w:t xml:space="preserve">, „auch", mit </w:t>
      </w:r>
      <w:r w:rsidR="00D84597">
        <w:rPr>
          <w:rFonts w:eastAsia="Times New Roman"/>
          <w:lang w:eastAsia="de-DE"/>
        </w:rPr>
        <w:t>Maqqef</w:t>
      </w:r>
      <w:r w:rsidRPr="0082635F">
        <w:rPr>
          <w:rFonts w:eastAsia="Times New Roman"/>
          <w:lang w:eastAsia="de-DE"/>
        </w:rPr>
        <w:t xml:space="preserve">, </w:t>
      </w:r>
      <w:r w:rsidRPr="0082635F">
        <w:rPr>
          <w:rFonts w:eastAsia="Times New Roman"/>
          <w:b/>
          <w:bCs/>
          <w:rtl/>
          <w:lang w:eastAsia="de-DE"/>
        </w:rPr>
        <w:t>בְּעַד</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אַהֲרֹן</w:t>
      </w:r>
      <w:r w:rsidRPr="0082635F">
        <w:rPr>
          <w:rFonts w:eastAsia="Times New Roman"/>
          <w:rtl/>
          <w:lang w:eastAsia="de-DE"/>
        </w:rPr>
        <w:t xml:space="preserve"> </w:t>
      </w:r>
      <w:r w:rsidRPr="0082635F">
        <w:rPr>
          <w:rFonts w:eastAsia="Times New Roman"/>
          <w:lang w:eastAsia="de-DE"/>
        </w:rPr>
        <w:t xml:space="preserve">– „auch für Aaron"), </w:t>
      </w:r>
      <w:r w:rsidRPr="0082635F">
        <w:rPr>
          <w:rFonts w:eastAsia="Times New Roman"/>
          <w:b/>
          <w:bCs/>
          <w:rtl/>
          <w:lang w:eastAsia="de-DE"/>
        </w:rPr>
        <w:t>בָּעֵת הַהִֽוא</w:t>
      </w:r>
      <w:r w:rsidRPr="0082635F">
        <w:rPr>
          <w:rFonts w:eastAsia="Times New Roman"/>
          <w:rtl/>
          <w:lang w:eastAsia="de-DE"/>
        </w:rPr>
        <w:t xml:space="preserve"> </w:t>
      </w:r>
      <w:r w:rsidRPr="0082635F">
        <w:rPr>
          <w:rFonts w:eastAsia="Times New Roman"/>
          <w:lang w:eastAsia="de-DE"/>
        </w:rPr>
        <w:t>als temporale Bestimmung (</w:t>
      </w:r>
      <w:r w:rsidRPr="0082635F">
        <w:rPr>
          <w:rFonts w:eastAsia="Times New Roman"/>
          <w:b/>
          <w:bCs/>
          <w:rtl/>
          <w:lang w:eastAsia="de-DE"/>
        </w:rPr>
        <w:t>בְּ</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עֵת</w:t>
      </w:r>
      <w:r w:rsidRPr="0082635F">
        <w:rPr>
          <w:rFonts w:eastAsia="Times New Roman"/>
          <w:lang w:eastAsia="de-DE"/>
        </w:rPr>
        <w:t>, „Zeit", und Demonstrativpronomen – „in jener Zeit").</w:t>
      </w:r>
    </w:p>
    <w:p w14:paraId="60F77439" w14:textId="24EAEC13"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lastRenderedPageBreak/>
        <w:t>Der Vers ergänzt die goldene Kalb-Erzählung mit einem Detail, das in Exodus fehlt: Auch Aaron war in Todes</w:t>
      </w:r>
      <w:r w:rsidR="000F34F9">
        <w:rPr>
          <w:rFonts w:eastAsia="Times New Roman"/>
          <w:lang w:eastAsia="de-DE"/>
        </w:rPr>
        <w:t>g</w:t>
      </w:r>
      <w:r w:rsidR="00D84597">
        <w:rPr>
          <w:rFonts w:eastAsia="Times New Roman"/>
          <w:lang w:eastAsia="de-DE"/>
        </w:rPr>
        <w:t>efahr</w:t>
      </w:r>
      <w:r w:rsidRPr="0082635F">
        <w:rPr>
          <w:rFonts w:eastAsia="Times New Roman"/>
          <w:lang w:eastAsia="de-DE"/>
        </w:rPr>
        <w:t xml:space="preserve">, weil er das Kalb gemacht hatte (vgl. Ex 32,21-24.35). Das Adverb </w:t>
      </w:r>
      <w:r w:rsidRPr="0082635F">
        <w:rPr>
          <w:rFonts w:eastAsia="Times New Roman"/>
          <w:b/>
          <w:bCs/>
          <w:rtl/>
          <w:lang w:eastAsia="de-DE"/>
        </w:rPr>
        <w:t>מְאֹד</w:t>
      </w:r>
      <w:r w:rsidRPr="0082635F">
        <w:rPr>
          <w:rFonts w:eastAsia="Times New Roman"/>
          <w:rtl/>
          <w:lang w:eastAsia="de-DE"/>
        </w:rPr>
        <w:t xml:space="preserve"> </w:t>
      </w:r>
      <w:r w:rsidRPr="0082635F">
        <w:rPr>
          <w:rFonts w:eastAsia="Times New Roman"/>
          <w:lang w:eastAsia="de-DE"/>
        </w:rPr>
        <w:t xml:space="preserve">(„sehr") unterstreicht die Intensität von Gottes Zorn gegen Aaron. Die Formulierung </w:t>
      </w:r>
      <w:r w:rsidRPr="0082635F">
        <w:rPr>
          <w:rFonts w:eastAsia="Times New Roman"/>
          <w:b/>
          <w:bCs/>
          <w:rtl/>
          <w:lang w:eastAsia="de-DE"/>
        </w:rPr>
        <w:t>וָֽאֶתְפַּלֵּל גַּם־בְּעַד אַהֲרֹן</w:t>
      </w:r>
      <w:r w:rsidRPr="0082635F">
        <w:rPr>
          <w:rFonts w:eastAsia="Times New Roman"/>
          <w:rtl/>
          <w:lang w:eastAsia="de-DE"/>
        </w:rPr>
        <w:t xml:space="preserve"> </w:t>
      </w:r>
      <w:r w:rsidRPr="0082635F">
        <w:rPr>
          <w:rFonts w:eastAsia="Times New Roman"/>
          <w:lang w:eastAsia="de-DE"/>
        </w:rPr>
        <w:t>zeigt: Moses' Fürbitte galt nicht nur dem Volk, sondern auch seinem Bruder persönlich.</w:t>
      </w:r>
    </w:p>
    <w:p w14:paraId="1032A6AC"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Die Satzstruktur ist ein Satz mit präpositionaler Ergänzung, Prädikat, Subjekt, Adverb und finalem Infinitiv, gefolgt von einem Imperfekt consecutivum mit präpositionaler Ergänzung und temporaler Bestimmung.</w:t>
      </w:r>
    </w:p>
    <w:p w14:paraId="0230C08C"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Der Vers ergänzt: Auch über Aaron zürnte JHWH sehr, um ihn zu vernichten – aber ich bat auch für Aaron in jener Zeit.</w:t>
      </w:r>
    </w:p>
    <w:p w14:paraId="235766D8" w14:textId="77777777" w:rsidR="0082635F" w:rsidRPr="0082635F" w:rsidRDefault="0082635F" w:rsidP="0082635F">
      <w:pPr>
        <w:spacing w:before="100" w:beforeAutospacing="1" w:after="100" w:afterAutospacing="1" w:line="240" w:lineRule="auto"/>
        <w:outlineLvl w:val="1"/>
        <w:rPr>
          <w:rFonts w:eastAsia="Times New Roman"/>
          <w:b/>
          <w:bCs/>
          <w:sz w:val="36"/>
          <w:szCs w:val="36"/>
          <w:lang w:eastAsia="de-DE"/>
        </w:rPr>
      </w:pPr>
      <w:r w:rsidRPr="0082635F">
        <w:rPr>
          <w:rFonts w:eastAsia="Times New Roman"/>
          <w:b/>
          <w:bCs/>
          <w:sz w:val="36"/>
          <w:szCs w:val="36"/>
          <w:lang w:eastAsia="de-DE"/>
        </w:rPr>
        <w:t>Deuteronomium 9,21</w:t>
      </w:r>
    </w:p>
    <w:p w14:paraId="6B1137D9"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Hebräisch:</w:t>
      </w:r>
      <w:r w:rsidRPr="0082635F">
        <w:rPr>
          <w:rFonts w:eastAsia="Times New Roman"/>
          <w:lang w:eastAsia="de-DE"/>
        </w:rPr>
        <w:t xml:space="preserve"> </w:t>
      </w:r>
      <w:r w:rsidRPr="0082635F">
        <w:rPr>
          <w:rFonts w:eastAsia="Times New Roman"/>
          <w:rtl/>
          <w:lang w:eastAsia="de-DE"/>
        </w:rPr>
        <w:t>וְֽאֶת־חַטַּאתְכֶם אֲשֶׁר־עֲשִׂיתֶם אֶת־הָעֵגֶל לָקַחְתִּי וָאֶשְׂרֹף אֹתוֹ בָּאֵשׁ וָאֶכֹּת אֹתוֹ טָחוֹן הֵיטֵב עַד אֲשֶׁר־דַּק לְעָפָר וָֽאַשְׁלִךְ אֶת־עֲפָרֹו אֶל־הַנַּחַל הַיֹּרֵד מִן־הָהָֽר׃</w:t>
      </w:r>
    </w:p>
    <w:p w14:paraId="0E986656"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Deutsch:</w:t>
      </w:r>
      <w:r w:rsidRPr="0082635F">
        <w:rPr>
          <w:rFonts w:eastAsia="Times New Roman"/>
          <w:lang w:eastAsia="de-DE"/>
        </w:rPr>
        <w:t xml:space="preserve"> Und eure Sünde, das Kalb, das ihr gemacht hattet, nahm ich und verbrannte es im Feuer, und ich zerstieß es, es gut mahlend, bis es fein wie Staub war; und ich warf seinen Staub in den Bach, der vom Berg herabfließt.</w:t>
      </w:r>
    </w:p>
    <w:p w14:paraId="079AB74E" w14:textId="77777777" w:rsidR="0082635F" w:rsidRPr="0082635F" w:rsidRDefault="004F5CEB" w:rsidP="0082635F">
      <w:pPr>
        <w:spacing w:after="0" w:line="240" w:lineRule="auto"/>
        <w:rPr>
          <w:rFonts w:eastAsia="Times New Roman"/>
          <w:lang w:eastAsia="de-DE"/>
        </w:rPr>
      </w:pPr>
      <w:r>
        <w:rPr>
          <w:rFonts w:eastAsia="Times New Roman"/>
          <w:noProof/>
          <w:lang w:eastAsia="de-DE"/>
        </w:rPr>
        <w:pict w14:anchorId="69651A94">
          <v:rect id="_x0000_i1310" style="width:0;height:1.5pt" o:hralign="center" o:hrstd="t" o:hr="t" fillcolor="#a0a0a0" stroked="f"/>
        </w:pict>
      </w:r>
    </w:p>
    <w:p w14:paraId="5576D871"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Kommentar:</w:t>
      </w:r>
      <w:r w:rsidRPr="0082635F">
        <w:rPr>
          <w:rFonts w:eastAsia="Times New Roman"/>
          <w:lang w:eastAsia="de-DE"/>
        </w:rPr>
        <w:t xml:space="preserve"> </w:t>
      </w:r>
      <w:r w:rsidRPr="0082635F">
        <w:rPr>
          <w:rFonts w:eastAsia="Times New Roman"/>
          <w:b/>
          <w:bCs/>
          <w:rtl/>
          <w:lang w:eastAsia="de-DE"/>
        </w:rPr>
        <w:t>וְֽאֶת־חַטַּאתְכֶם אֲשֶׁר־עֲשִׂיתֶם אֶת־הָעֵגֶל לָקַחְתִּי</w:t>
      </w:r>
      <w:r w:rsidRPr="0082635F">
        <w:rPr>
          <w:rFonts w:eastAsia="Times New Roman"/>
          <w:rtl/>
          <w:lang w:eastAsia="de-DE"/>
        </w:rPr>
        <w:t xml:space="preserve"> </w:t>
      </w:r>
      <w:r w:rsidRPr="0082635F">
        <w:rPr>
          <w:rFonts w:eastAsia="Times New Roman"/>
          <w:lang w:eastAsia="de-DE"/>
        </w:rPr>
        <w:t xml:space="preserve">ist der erste Satz: </w:t>
      </w:r>
      <w:r w:rsidRPr="0082635F">
        <w:rPr>
          <w:rFonts w:eastAsia="Times New Roman"/>
          <w:b/>
          <w:bCs/>
          <w:rtl/>
          <w:lang w:eastAsia="de-DE"/>
        </w:rPr>
        <w:t>וְֽאֶת־חַטַּאתְכֶם</w:t>
      </w:r>
      <w:r w:rsidRPr="0082635F">
        <w:rPr>
          <w:rFonts w:eastAsia="Times New Roman"/>
          <w:rtl/>
          <w:lang w:eastAsia="de-DE"/>
        </w:rPr>
        <w:t xml:space="preserve"> </w:t>
      </w:r>
      <w:r w:rsidRPr="0082635F">
        <w:rPr>
          <w:rFonts w:eastAsia="Times New Roman"/>
          <w:lang w:eastAsia="de-DE"/>
        </w:rPr>
        <w:t>als vorausgestelltes direktes Objekt zur Emphase (</w:t>
      </w:r>
      <w:r w:rsidRPr="0082635F">
        <w:rPr>
          <w:rFonts w:eastAsia="Times New Roman"/>
          <w:b/>
          <w:bCs/>
          <w:rtl/>
          <w:lang w:eastAsia="de-DE"/>
        </w:rPr>
        <w:t>וְ</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חַטָּאָה</w:t>
      </w:r>
      <w:r w:rsidRPr="0082635F">
        <w:rPr>
          <w:rFonts w:eastAsia="Times New Roman"/>
          <w:rtl/>
          <w:lang w:eastAsia="de-DE"/>
        </w:rPr>
        <w:t xml:space="preserve"> </w:t>
      </w:r>
      <w:r w:rsidRPr="0082635F">
        <w:rPr>
          <w:rFonts w:eastAsia="Times New Roman"/>
          <w:lang w:eastAsia="de-DE"/>
        </w:rPr>
        <w:t xml:space="preserve">und Suffix 2. Person Plural maskulin – „eure Sünde"), </w:t>
      </w:r>
      <w:r w:rsidRPr="0082635F">
        <w:rPr>
          <w:rFonts w:eastAsia="Times New Roman"/>
          <w:b/>
          <w:bCs/>
          <w:rtl/>
          <w:lang w:eastAsia="de-DE"/>
        </w:rPr>
        <w:t>אֲשֶׁר־עֲשִׂיתֶם אֶת־הָעֵגֶל</w:t>
      </w:r>
      <w:r w:rsidRPr="0082635F">
        <w:rPr>
          <w:rFonts w:eastAsia="Times New Roman"/>
          <w:rtl/>
          <w:lang w:eastAsia="de-DE"/>
        </w:rPr>
        <w:t xml:space="preserve"> </w:t>
      </w:r>
      <w:r w:rsidRPr="0082635F">
        <w:rPr>
          <w:rFonts w:eastAsia="Times New Roman"/>
          <w:lang w:eastAsia="de-DE"/>
        </w:rPr>
        <w:t xml:space="preserve">als Relativsatz (Qal Perfekt, 2. Person Plural maskulin von </w:t>
      </w:r>
      <w:r w:rsidRPr="0082635F">
        <w:rPr>
          <w:rFonts w:eastAsia="Times New Roman"/>
          <w:b/>
          <w:bCs/>
          <w:rtl/>
          <w:lang w:eastAsia="de-DE"/>
        </w:rPr>
        <w:t>עשׂה</w:t>
      </w:r>
      <w:r w:rsidRPr="0082635F">
        <w:rPr>
          <w:rFonts w:eastAsia="Times New Roman"/>
          <w:lang w:eastAsia="de-DE"/>
        </w:rPr>
        <w:t xml:space="preserve">, „machen", </w:t>
      </w:r>
      <w:r w:rsidRPr="0082635F">
        <w:rPr>
          <w:rFonts w:eastAsia="Times New Roman"/>
          <w:b/>
          <w:bCs/>
          <w:rtl/>
          <w:lang w:eastAsia="de-DE"/>
        </w:rPr>
        <w:t>אֶת־הָעֵגֶל</w:t>
      </w:r>
      <w:r w:rsidRPr="0082635F">
        <w:rPr>
          <w:rFonts w:eastAsia="Times New Roman"/>
          <w:rtl/>
          <w:lang w:eastAsia="de-DE"/>
        </w:rPr>
        <w:t xml:space="preserve"> </w:t>
      </w:r>
      <w:r w:rsidRPr="0082635F">
        <w:rPr>
          <w:rFonts w:eastAsia="Times New Roman"/>
          <w:lang w:eastAsia="de-DE"/>
        </w:rPr>
        <w:t xml:space="preserve">als direktes Objekt zur Identifizierung – </w:t>
      </w:r>
      <w:r w:rsidRPr="0082635F">
        <w:rPr>
          <w:rFonts w:eastAsia="Times New Roman"/>
          <w:b/>
          <w:bCs/>
          <w:rtl/>
          <w:lang w:eastAsia="de-DE"/>
        </w:rPr>
        <w:t>עֵגֶל</w:t>
      </w:r>
      <w:r w:rsidRPr="0082635F">
        <w:rPr>
          <w:rFonts w:eastAsia="Times New Roman"/>
          <w:lang w:eastAsia="de-DE"/>
        </w:rPr>
        <w:t xml:space="preserve">, „Kalb" – in Apposition zu </w:t>
      </w:r>
      <w:r w:rsidRPr="0082635F">
        <w:rPr>
          <w:rFonts w:eastAsia="Times New Roman"/>
          <w:b/>
          <w:bCs/>
          <w:rtl/>
          <w:lang w:eastAsia="de-DE"/>
        </w:rPr>
        <w:t>חַטַּאתְכֶם</w:t>
      </w:r>
      <w:r w:rsidRPr="0082635F">
        <w:rPr>
          <w:rFonts w:eastAsia="Times New Roman"/>
          <w:lang w:eastAsia="de-DE"/>
        </w:rPr>
        <w:t xml:space="preserve">), </w:t>
      </w:r>
      <w:r w:rsidRPr="0082635F">
        <w:rPr>
          <w:rFonts w:eastAsia="Times New Roman"/>
          <w:b/>
          <w:bCs/>
          <w:rtl/>
          <w:lang w:eastAsia="de-DE"/>
        </w:rPr>
        <w:t>לָקַחְתִּי</w:t>
      </w:r>
      <w:r w:rsidRPr="0082635F">
        <w:rPr>
          <w:rFonts w:eastAsia="Times New Roman"/>
          <w:rtl/>
          <w:lang w:eastAsia="de-DE"/>
        </w:rPr>
        <w:t xml:space="preserve"> </w:t>
      </w:r>
      <w:r w:rsidRPr="0082635F">
        <w:rPr>
          <w:rFonts w:eastAsia="Times New Roman"/>
          <w:lang w:eastAsia="de-DE"/>
        </w:rPr>
        <w:t xml:space="preserve">als Qal Perfekt, 1. Person Singular von </w:t>
      </w:r>
      <w:r w:rsidRPr="0082635F">
        <w:rPr>
          <w:rFonts w:eastAsia="Times New Roman"/>
          <w:b/>
          <w:bCs/>
          <w:rtl/>
          <w:lang w:eastAsia="de-DE"/>
        </w:rPr>
        <w:t>לקח</w:t>
      </w:r>
      <w:r w:rsidRPr="0082635F">
        <w:rPr>
          <w:rFonts w:eastAsia="Times New Roman"/>
          <w:lang w:eastAsia="de-DE"/>
        </w:rPr>
        <w:t>, „nehmen".</w:t>
      </w:r>
    </w:p>
    <w:p w14:paraId="4B5A4E3A"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rtl/>
          <w:lang w:eastAsia="de-DE"/>
        </w:rPr>
        <w:t>וָאֶשְׂרֹף אֹתוֹ בָּאֵשׁ וָאֶכֹּת אֹתוֹ טָחוֹן הֵיטֵב עַד אֲשֶׁר־דַּק לְעָפָר</w:t>
      </w:r>
      <w:r w:rsidRPr="0082635F">
        <w:rPr>
          <w:rFonts w:eastAsia="Times New Roman"/>
          <w:rtl/>
          <w:lang w:eastAsia="de-DE"/>
        </w:rPr>
        <w:t xml:space="preserve"> </w:t>
      </w:r>
      <w:r w:rsidRPr="0082635F">
        <w:rPr>
          <w:rFonts w:eastAsia="Times New Roman"/>
          <w:lang w:eastAsia="de-DE"/>
        </w:rPr>
        <w:t xml:space="preserve">ist eine viergliedrige koordinierte Vernichtungskette: </w:t>
      </w:r>
      <w:r w:rsidRPr="0082635F">
        <w:rPr>
          <w:rFonts w:eastAsia="Times New Roman"/>
          <w:b/>
          <w:bCs/>
          <w:rtl/>
          <w:lang w:eastAsia="de-DE"/>
        </w:rPr>
        <w:t>וָאֶשְׂרֹף אֹתוֹ בָּאֵשׁ</w:t>
      </w:r>
      <w:r w:rsidRPr="0082635F">
        <w:rPr>
          <w:rFonts w:eastAsia="Times New Roman"/>
          <w:rtl/>
          <w:lang w:eastAsia="de-DE"/>
        </w:rPr>
        <w:t xml:space="preserve"> </w:t>
      </w:r>
      <w:r w:rsidRPr="0082635F">
        <w:rPr>
          <w:rFonts w:eastAsia="Times New Roman"/>
          <w:lang w:eastAsia="de-DE"/>
        </w:rPr>
        <w:t xml:space="preserve">(Qal Imperfekt consecutivum, 1. Person Singular von </w:t>
      </w:r>
      <w:r w:rsidRPr="0082635F">
        <w:rPr>
          <w:rFonts w:eastAsia="Times New Roman"/>
          <w:b/>
          <w:bCs/>
          <w:rtl/>
          <w:lang w:eastAsia="de-DE"/>
        </w:rPr>
        <w:t>שׂרף</w:t>
      </w:r>
      <w:r w:rsidRPr="0082635F">
        <w:rPr>
          <w:rFonts w:eastAsia="Times New Roman"/>
          <w:lang w:eastAsia="de-DE"/>
        </w:rPr>
        <w:t xml:space="preserve">, „verbrennen", mit </w:t>
      </w:r>
      <w:r w:rsidRPr="0082635F">
        <w:rPr>
          <w:rFonts w:eastAsia="Times New Roman"/>
          <w:b/>
          <w:bCs/>
          <w:rtl/>
          <w:lang w:eastAsia="de-DE"/>
        </w:rPr>
        <w:t>וְ</w:t>
      </w:r>
      <w:r w:rsidRPr="0082635F">
        <w:rPr>
          <w:rFonts w:eastAsia="Times New Roman"/>
          <w:lang w:eastAsia="de-DE"/>
        </w:rPr>
        <w:t xml:space="preserve">, Suffix-Objekt und instrumentaler Bestimmung), </w:t>
      </w:r>
      <w:r w:rsidRPr="0082635F">
        <w:rPr>
          <w:rFonts w:eastAsia="Times New Roman"/>
          <w:b/>
          <w:bCs/>
          <w:rtl/>
          <w:lang w:eastAsia="de-DE"/>
        </w:rPr>
        <w:t>וָאֶכֹּת אֹתוֹ</w:t>
      </w:r>
      <w:r w:rsidRPr="0082635F">
        <w:rPr>
          <w:rFonts w:eastAsia="Times New Roman"/>
          <w:rtl/>
          <w:lang w:eastAsia="de-DE"/>
        </w:rPr>
        <w:t xml:space="preserve"> </w:t>
      </w:r>
      <w:r w:rsidRPr="0082635F">
        <w:rPr>
          <w:rFonts w:eastAsia="Times New Roman"/>
          <w:lang w:eastAsia="de-DE"/>
        </w:rPr>
        <w:t xml:space="preserve">koordiniert (Qal Imperfekt consecutivum, 1. Person Singular von </w:t>
      </w:r>
      <w:r w:rsidRPr="0082635F">
        <w:rPr>
          <w:rFonts w:eastAsia="Times New Roman"/>
          <w:b/>
          <w:bCs/>
          <w:rtl/>
          <w:lang w:eastAsia="de-DE"/>
        </w:rPr>
        <w:t>כתת</w:t>
      </w:r>
      <w:r w:rsidRPr="0082635F">
        <w:rPr>
          <w:rFonts w:eastAsia="Times New Roman"/>
          <w:lang w:eastAsia="de-DE"/>
        </w:rPr>
        <w:t xml:space="preserve">, „zerstoßen, zermalmen", mit </w:t>
      </w:r>
      <w:r w:rsidRPr="0082635F">
        <w:rPr>
          <w:rFonts w:eastAsia="Times New Roman"/>
          <w:b/>
          <w:bCs/>
          <w:rtl/>
          <w:lang w:eastAsia="de-DE"/>
        </w:rPr>
        <w:t>וְ</w:t>
      </w:r>
      <w:r w:rsidRPr="0082635F">
        <w:rPr>
          <w:rFonts w:eastAsia="Times New Roman"/>
          <w:rtl/>
          <w:lang w:eastAsia="de-DE"/>
        </w:rPr>
        <w:t xml:space="preserve"> </w:t>
      </w:r>
      <w:r w:rsidRPr="0082635F">
        <w:rPr>
          <w:rFonts w:eastAsia="Times New Roman"/>
          <w:lang w:eastAsia="de-DE"/>
        </w:rPr>
        <w:t xml:space="preserve">und Suffix), </w:t>
      </w:r>
      <w:r w:rsidRPr="0082635F">
        <w:rPr>
          <w:rFonts w:eastAsia="Times New Roman"/>
          <w:b/>
          <w:bCs/>
          <w:rtl/>
          <w:lang w:eastAsia="de-DE"/>
        </w:rPr>
        <w:t>טָחוֹן הֵיטֵב</w:t>
      </w:r>
      <w:r w:rsidRPr="0082635F">
        <w:rPr>
          <w:rFonts w:eastAsia="Times New Roman"/>
          <w:rtl/>
          <w:lang w:eastAsia="de-DE"/>
        </w:rPr>
        <w:t xml:space="preserve"> </w:t>
      </w:r>
      <w:r w:rsidRPr="0082635F">
        <w:rPr>
          <w:rFonts w:eastAsia="Times New Roman"/>
          <w:lang w:eastAsia="de-DE"/>
        </w:rPr>
        <w:t xml:space="preserve">als modale Bestimmung (Qal Infinitiv Absolut von </w:t>
      </w:r>
      <w:r w:rsidRPr="0082635F">
        <w:rPr>
          <w:rFonts w:eastAsia="Times New Roman"/>
          <w:b/>
          <w:bCs/>
          <w:rtl/>
          <w:lang w:eastAsia="de-DE"/>
        </w:rPr>
        <w:t>טחן</w:t>
      </w:r>
      <w:r w:rsidRPr="0082635F">
        <w:rPr>
          <w:rFonts w:eastAsia="Times New Roman"/>
          <w:lang w:eastAsia="de-DE"/>
        </w:rPr>
        <w:t xml:space="preserve">, „mahlen", </w:t>
      </w:r>
      <w:r w:rsidRPr="0082635F">
        <w:rPr>
          <w:rFonts w:eastAsia="Times New Roman"/>
          <w:b/>
          <w:bCs/>
          <w:rtl/>
          <w:lang w:eastAsia="de-DE"/>
        </w:rPr>
        <w:t>הֵיטֵב</w:t>
      </w:r>
      <w:r w:rsidRPr="0082635F">
        <w:rPr>
          <w:rFonts w:eastAsia="Times New Roman"/>
          <w:rtl/>
          <w:lang w:eastAsia="de-DE"/>
        </w:rPr>
        <w:t xml:space="preserve"> </w:t>
      </w:r>
      <w:r w:rsidRPr="0082635F">
        <w:rPr>
          <w:rFonts w:eastAsia="Times New Roman"/>
          <w:lang w:eastAsia="de-DE"/>
        </w:rPr>
        <w:t xml:space="preserve">als Hifil Infinitiv Absolut von </w:t>
      </w:r>
      <w:r w:rsidRPr="0082635F">
        <w:rPr>
          <w:rFonts w:eastAsia="Times New Roman"/>
          <w:b/>
          <w:bCs/>
          <w:rtl/>
          <w:lang w:eastAsia="de-DE"/>
        </w:rPr>
        <w:t>יטב</w:t>
      </w:r>
      <w:r w:rsidRPr="0082635F">
        <w:rPr>
          <w:rFonts w:eastAsia="Times New Roman"/>
          <w:rtl/>
          <w:lang w:eastAsia="de-DE"/>
        </w:rPr>
        <w:t xml:space="preserve"> </w:t>
      </w:r>
      <w:r w:rsidRPr="0082635F">
        <w:rPr>
          <w:rFonts w:eastAsia="Times New Roman"/>
          <w:lang w:eastAsia="de-DE"/>
        </w:rPr>
        <w:t xml:space="preserve">– „gut" – „gut mahlend"), </w:t>
      </w:r>
      <w:r w:rsidRPr="0082635F">
        <w:rPr>
          <w:rFonts w:eastAsia="Times New Roman"/>
          <w:b/>
          <w:bCs/>
          <w:rtl/>
          <w:lang w:eastAsia="de-DE"/>
        </w:rPr>
        <w:t>עַד אֲשֶׁר־דַּק לְעָפָר</w:t>
      </w:r>
      <w:r w:rsidRPr="0082635F">
        <w:rPr>
          <w:rFonts w:eastAsia="Times New Roman"/>
          <w:rtl/>
          <w:lang w:eastAsia="de-DE"/>
        </w:rPr>
        <w:t xml:space="preserve"> </w:t>
      </w:r>
      <w:r w:rsidRPr="0082635F">
        <w:rPr>
          <w:rFonts w:eastAsia="Times New Roman"/>
          <w:lang w:eastAsia="de-DE"/>
        </w:rPr>
        <w:t>als Zielbestimmung (</w:t>
      </w:r>
      <w:r w:rsidRPr="0082635F">
        <w:rPr>
          <w:rFonts w:eastAsia="Times New Roman"/>
          <w:b/>
          <w:bCs/>
          <w:rtl/>
          <w:lang w:eastAsia="de-DE"/>
        </w:rPr>
        <w:t>עַד אֲשֶׁר</w:t>
      </w:r>
      <w:r w:rsidRPr="0082635F">
        <w:rPr>
          <w:rFonts w:eastAsia="Times New Roman"/>
          <w:lang w:eastAsia="de-DE"/>
        </w:rPr>
        <w:t xml:space="preserve">, „bis dass", </w:t>
      </w:r>
      <w:r w:rsidRPr="0082635F">
        <w:rPr>
          <w:rFonts w:eastAsia="Times New Roman"/>
          <w:b/>
          <w:bCs/>
          <w:rtl/>
          <w:lang w:eastAsia="de-DE"/>
        </w:rPr>
        <w:t>דַּק</w:t>
      </w:r>
      <w:r w:rsidRPr="0082635F">
        <w:rPr>
          <w:rFonts w:eastAsia="Times New Roman"/>
          <w:rtl/>
          <w:lang w:eastAsia="de-DE"/>
        </w:rPr>
        <w:t xml:space="preserve"> </w:t>
      </w:r>
      <w:r w:rsidRPr="0082635F">
        <w:rPr>
          <w:rFonts w:eastAsia="Times New Roman"/>
          <w:lang w:eastAsia="de-DE"/>
        </w:rPr>
        <w:t xml:space="preserve">als Qal Perfekt, 3. Person Singular maskulin von </w:t>
      </w:r>
      <w:r w:rsidRPr="0082635F">
        <w:rPr>
          <w:rFonts w:eastAsia="Times New Roman"/>
          <w:b/>
          <w:bCs/>
          <w:rtl/>
          <w:lang w:eastAsia="de-DE"/>
        </w:rPr>
        <w:t>דקק</w:t>
      </w:r>
      <w:r w:rsidRPr="0082635F">
        <w:rPr>
          <w:rFonts w:eastAsia="Times New Roman"/>
          <w:lang w:eastAsia="de-DE"/>
        </w:rPr>
        <w:t xml:space="preserve">, „fein sein, dünn sein", </w:t>
      </w:r>
      <w:r w:rsidRPr="0082635F">
        <w:rPr>
          <w:rFonts w:eastAsia="Times New Roman"/>
          <w:b/>
          <w:bCs/>
          <w:rtl/>
          <w:lang w:eastAsia="de-DE"/>
        </w:rPr>
        <w:t>לְעָפָר</w:t>
      </w:r>
      <w:r w:rsidRPr="0082635F">
        <w:rPr>
          <w:rFonts w:eastAsia="Times New Roman"/>
          <w:rtl/>
          <w:lang w:eastAsia="de-DE"/>
        </w:rPr>
        <w:t xml:space="preserve"> </w:t>
      </w:r>
      <w:r w:rsidRPr="0082635F">
        <w:rPr>
          <w:rFonts w:eastAsia="Times New Roman"/>
          <w:lang w:eastAsia="de-DE"/>
        </w:rPr>
        <w:t xml:space="preserve">als Vergleichskonstruktion – </w:t>
      </w:r>
      <w:r w:rsidRPr="0082635F">
        <w:rPr>
          <w:rFonts w:eastAsia="Times New Roman"/>
          <w:b/>
          <w:bCs/>
          <w:rtl/>
          <w:lang w:eastAsia="de-DE"/>
        </w:rPr>
        <w:t>לְ</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עָפָר</w:t>
      </w:r>
      <w:r w:rsidRPr="0082635F">
        <w:rPr>
          <w:rFonts w:eastAsia="Times New Roman"/>
          <w:lang w:eastAsia="de-DE"/>
        </w:rPr>
        <w:t>, „Staub" – „fein wie Staub").</w:t>
      </w:r>
    </w:p>
    <w:p w14:paraId="6277E57A"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rtl/>
          <w:lang w:eastAsia="de-DE"/>
        </w:rPr>
        <w:t>וָֽאַשְׁלִךְ אֶת־עֲפָרֹו אֶל־הַנַּחַל הַיֹּרֵד מִן־הָהָֽר</w:t>
      </w:r>
      <w:r w:rsidRPr="0082635F">
        <w:rPr>
          <w:rFonts w:eastAsia="Times New Roman"/>
          <w:rtl/>
          <w:lang w:eastAsia="de-DE"/>
        </w:rPr>
        <w:t xml:space="preserve"> </w:t>
      </w:r>
      <w:r w:rsidRPr="0082635F">
        <w:rPr>
          <w:rFonts w:eastAsia="Times New Roman"/>
          <w:lang w:eastAsia="de-DE"/>
        </w:rPr>
        <w:t xml:space="preserve">ist die Entsorgung: </w:t>
      </w:r>
      <w:r w:rsidRPr="0082635F">
        <w:rPr>
          <w:rFonts w:eastAsia="Times New Roman"/>
          <w:b/>
          <w:bCs/>
          <w:rtl/>
          <w:lang w:eastAsia="de-DE"/>
        </w:rPr>
        <w:t>וָֽאַשְׁלִךְ</w:t>
      </w:r>
      <w:r w:rsidRPr="0082635F">
        <w:rPr>
          <w:rFonts w:eastAsia="Times New Roman"/>
          <w:rtl/>
          <w:lang w:eastAsia="de-DE"/>
        </w:rPr>
        <w:t xml:space="preserve"> </w:t>
      </w:r>
      <w:r w:rsidRPr="0082635F">
        <w:rPr>
          <w:rFonts w:eastAsia="Times New Roman"/>
          <w:lang w:eastAsia="de-DE"/>
        </w:rPr>
        <w:t xml:space="preserve">(Hifil Imperfekt consecutivum, 1. Person Singular von </w:t>
      </w:r>
      <w:r w:rsidRPr="0082635F">
        <w:rPr>
          <w:rFonts w:eastAsia="Times New Roman"/>
          <w:b/>
          <w:bCs/>
          <w:rtl/>
          <w:lang w:eastAsia="de-DE"/>
        </w:rPr>
        <w:t>שׁלך</w:t>
      </w:r>
      <w:r w:rsidRPr="0082635F">
        <w:rPr>
          <w:rFonts w:eastAsia="Times New Roman"/>
          <w:lang w:eastAsia="de-DE"/>
        </w:rPr>
        <w:t xml:space="preserve">, „werfen", mit </w:t>
      </w:r>
      <w:r w:rsidRPr="0082635F">
        <w:rPr>
          <w:rFonts w:eastAsia="Times New Roman"/>
          <w:b/>
          <w:bCs/>
          <w:rtl/>
          <w:lang w:eastAsia="de-DE"/>
        </w:rPr>
        <w:t>וְ</w:t>
      </w:r>
      <w:r w:rsidRPr="0082635F">
        <w:rPr>
          <w:rFonts w:eastAsia="Times New Roman"/>
          <w:lang w:eastAsia="de-DE"/>
        </w:rPr>
        <w:t xml:space="preserve">), </w:t>
      </w:r>
      <w:r w:rsidRPr="0082635F">
        <w:rPr>
          <w:rFonts w:eastAsia="Times New Roman"/>
          <w:b/>
          <w:bCs/>
          <w:rtl/>
          <w:lang w:eastAsia="de-DE"/>
        </w:rPr>
        <w:t>אֶת־עֲפָרֹו</w:t>
      </w:r>
      <w:r w:rsidRPr="0082635F">
        <w:rPr>
          <w:rFonts w:eastAsia="Times New Roman"/>
          <w:rtl/>
          <w:lang w:eastAsia="de-DE"/>
        </w:rPr>
        <w:t xml:space="preserve"> </w:t>
      </w:r>
      <w:r w:rsidRPr="0082635F">
        <w:rPr>
          <w:rFonts w:eastAsia="Times New Roman"/>
          <w:lang w:eastAsia="de-DE"/>
        </w:rPr>
        <w:t>als direktes Objekt (</w:t>
      </w:r>
      <w:r w:rsidRPr="0082635F">
        <w:rPr>
          <w:rFonts w:eastAsia="Times New Roman"/>
          <w:b/>
          <w:bCs/>
          <w:rtl/>
          <w:lang w:eastAsia="de-DE"/>
        </w:rPr>
        <w:t>עָפָר</w:t>
      </w:r>
      <w:r w:rsidRPr="0082635F">
        <w:rPr>
          <w:rFonts w:eastAsia="Times New Roman"/>
          <w:rtl/>
          <w:lang w:eastAsia="de-DE"/>
        </w:rPr>
        <w:t xml:space="preserve"> </w:t>
      </w:r>
      <w:r w:rsidRPr="0082635F">
        <w:rPr>
          <w:rFonts w:eastAsia="Times New Roman"/>
          <w:lang w:eastAsia="de-DE"/>
        </w:rPr>
        <w:t xml:space="preserve">mit Suffix 3. Person Singular maskulin), </w:t>
      </w:r>
      <w:r w:rsidRPr="0082635F">
        <w:rPr>
          <w:rFonts w:eastAsia="Times New Roman"/>
          <w:b/>
          <w:bCs/>
          <w:rtl/>
          <w:lang w:eastAsia="de-DE"/>
        </w:rPr>
        <w:t>אֶל־הַנַּחַל הַיֹּרֵד מִן־הָהָֽר</w:t>
      </w:r>
      <w:r w:rsidRPr="0082635F">
        <w:rPr>
          <w:rFonts w:eastAsia="Times New Roman"/>
          <w:rtl/>
          <w:lang w:eastAsia="de-DE"/>
        </w:rPr>
        <w:t xml:space="preserve"> </w:t>
      </w:r>
      <w:r w:rsidRPr="0082635F">
        <w:rPr>
          <w:rFonts w:eastAsia="Times New Roman"/>
          <w:lang w:eastAsia="de-DE"/>
        </w:rPr>
        <w:t>als Zielangabe (</w:t>
      </w:r>
      <w:r w:rsidRPr="0082635F">
        <w:rPr>
          <w:rFonts w:eastAsia="Times New Roman"/>
          <w:b/>
          <w:bCs/>
          <w:rtl/>
          <w:lang w:eastAsia="de-DE"/>
        </w:rPr>
        <w:t>אֶל</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נַחַל</w:t>
      </w:r>
      <w:r w:rsidRPr="0082635F">
        <w:rPr>
          <w:rFonts w:eastAsia="Times New Roman"/>
          <w:lang w:eastAsia="de-DE"/>
        </w:rPr>
        <w:t xml:space="preserve">, „Bach", mit Artikel, </w:t>
      </w:r>
      <w:r w:rsidRPr="0082635F">
        <w:rPr>
          <w:rFonts w:eastAsia="Times New Roman"/>
          <w:b/>
          <w:bCs/>
          <w:rtl/>
          <w:lang w:eastAsia="de-DE"/>
        </w:rPr>
        <w:t>הַיֹּרֵד</w:t>
      </w:r>
      <w:r w:rsidRPr="0082635F">
        <w:rPr>
          <w:rFonts w:eastAsia="Times New Roman"/>
          <w:rtl/>
          <w:lang w:eastAsia="de-DE"/>
        </w:rPr>
        <w:t xml:space="preserve"> </w:t>
      </w:r>
      <w:r w:rsidRPr="0082635F">
        <w:rPr>
          <w:rFonts w:eastAsia="Times New Roman"/>
          <w:lang w:eastAsia="de-DE"/>
        </w:rPr>
        <w:t xml:space="preserve">als Qal Partizip Singular maskulin von </w:t>
      </w:r>
      <w:r w:rsidRPr="0082635F">
        <w:rPr>
          <w:rFonts w:eastAsia="Times New Roman"/>
          <w:b/>
          <w:bCs/>
          <w:rtl/>
          <w:lang w:eastAsia="de-DE"/>
        </w:rPr>
        <w:t>ירד</w:t>
      </w:r>
      <w:r w:rsidRPr="0082635F">
        <w:rPr>
          <w:rFonts w:eastAsia="Times New Roman"/>
          <w:lang w:eastAsia="de-DE"/>
        </w:rPr>
        <w:t xml:space="preserve">, „herabfließen", mit Artikel, </w:t>
      </w:r>
      <w:r w:rsidRPr="0082635F">
        <w:rPr>
          <w:rFonts w:eastAsia="Times New Roman"/>
          <w:b/>
          <w:bCs/>
          <w:rtl/>
          <w:lang w:eastAsia="de-DE"/>
        </w:rPr>
        <w:t>מִן־הָהָֽר</w:t>
      </w:r>
      <w:r w:rsidRPr="0082635F">
        <w:rPr>
          <w:rFonts w:eastAsia="Times New Roman"/>
          <w:rtl/>
          <w:lang w:eastAsia="de-DE"/>
        </w:rPr>
        <w:t xml:space="preserve"> </w:t>
      </w:r>
      <w:r w:rsidRPr="0082635F">
        <w:rPr>
          <w:rFonts w:eastAsia="Times New Roman"/>
          <w:lang w:eastAsia="de-DE"/>
        </w:rPr>
        <w:t>als Herkunftsangabe).</w:t>
      </w:r>
    </w:p>
    <w:p w14:paraId="2CAB746E"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 xml:space="preserve">Der Vers beschreibt die systematische Vernichtung des goldenen Kalbs (vgl. Ex 32,20). Die fünfgliedrige Verbkette (nehmen – verbrennen – zerstoßen – mahlen – wegwerfen) zeigt die </w:t>
      </w:r>
      <w:r w:rsidRPr="0082635F">
        <w:rPr>
          <w:rFonts w:eastAsia="Times New Roman"/>
          <w:lang w:eastAsia="de-DE"/>
        </w:rPr>
        <w:lastRenderedPageBreak/>
        <w:t xml:space="preserve">Gründlichkeit der Vernichtung. Die modale Bestimmung </w:t>
      </w:r>
      <w:r w:rsidRPr="0082635F">
        <w:rPr>
          <w:rFonts w:eastAsia="Times New Roman"/>
          <w:b/>
          <w:bCs/>
          <w:rtl/>
          <w:lang w:eastAsia="de-DE"/>
        </w:rPr>
        <w:t>טָחוֹן הֵיטֵב</w:t>
      </w:r>
      <w:r w:rsidRPr="0082635F">
        <w:rPr>
          <w:rFonts w:eastAsia="Times New Roman"/>
          <w:rtl/>
          <w:lang w:eastAsia="de-DE"/>
        </w:rPr>
        <w:t xml:space="preserve"> </w:t>
      </w:r>
      <w:r w:rsidRPr="0082635F">
        <w:rPr>
          <w:rFonts w:eastAsia="Times New Roman"/>
          <w:lang w:eastAsia="de-DE"/>
        </w:rPr>
        <w:t xml:space="preserve">(„gut mahlend") betont die Sorgfalt. Die Formulierung </w:t>
      </w:r>
      <w:r w:rsidRPr="0082635F">
        <w:rPr>
          <w:rFonts w:eastAsia="Times New Roman"/>
          <w:b/>
          <w:bCs/>
          <w:rtl/>
          <w:lang w:eastAsia="de-DE"/>
        </w:rPr>
        <w:t>עַד אֲשֶׁר־דַּק לְעָפָר</w:t>
      </w:r>
      <w:r w:rsidRPr="0082635F">
        <w:rPr>
          <w:rFonts w:eastAsia="Times New Roman"/>
          <w:rtl/>
          <w:lang w:eastAsia="de-DE"/>
        </w:rPr>
        <w:t xml:space="preserve"> </w:t>
      </w:r>
      <w:r w:rsidRPr="0082635F">
        <w:rPr>
          <w:rFonts w:eastAsia="Times New Roman"/>
          <w:lang w:eastAsia="de-DE"/>
        </w:rPr>
        <w:t>(„bis es fein wie Staub war") unterstreicht: totale Pulverisierung. Das Wegwerfen in den Bach macht die Vernichtung endgültig und irreversibel.</w:t>
      </w:r>
    </w:p>
    <w:p w14:paraId="489E6425"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Die Satzstruktur ist ein Satz mit vorausgestelltem direktem Objekt, Relativsatz und Prädikat, gefolgt von einer viergliedrigen koordinierten Vernichtungskette (mit instrumentaler Bestimmung, modaler Bestimmung und Zielbestimmung) und einem Imperfekt consecutivum mit direktem Objekt und Zielangabe (mit partizipialer Erweiterung und Herkunftsangabe).</w:t>
      </w:r>
    </w:p>
    <w:p w14:paraId="7F74C484"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Der Vers beschreibt die Vernichtung: Eure Sünde, das Kalb, nahm ich, verbrannte es, zerstieß es durch gründliches Mahlen zu feinem Staub und warf den Staub in den Bach vom Berg – totale Vernichtung.</w:t>
      </w:r>
    </w:p>
    <w:p w14:paraId="3DA3FD6E" w14:textId="77777777" w:rsidR="0082635F" w:rsidRPr="0082635F" w:rsidRDefault="0082635F" w:rsidP="0082635F">
      <w:pPr>
        <w:spacing w:before="100" w:beforeAutospacing="1" w:after="100" w:afterAutospacing="1" w:line="240" w:lineRule="auto"/>
        <w:outlineLvl w:val="1"/>
        <w:rPr>
          <w:rFonts w:eastAsia="Times New Roman"/>
          <w:b/>
          <w:bCs/>
          <w:sz w:val="36"/>
          <w:szCs w:val="36"/>
          <w:lang w:eastAsia="de-DE"/>
        </w:rPr>
      </w:pPr>
      <w:r w:rsidRPr="0082635F">
        <w:rPr>
          <w:rFonts w:eastAsia="Times New Roman"/>
          <w:b/>
          <w:bCs/>
          <w:sz w:val="36"/>
          <w:szCs w:val="36"/>
          <w:lang w:eastAsia="de-DE"/>
        </w:rPr>
        <w:t>Deuteronomium 9,22</w:t>
      </w:r>
    </w:p>
    <w:p w14:paraId="573E3A01"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Hebräisch:</w:t>
      </w:r>
      <w:r w:rsidRPr="0082635F">
        <w:rPr>
          <w:rFonts w:eastAsia="Times New Roman"/>
          <w:lang w:eastAsia="de-DE"/>
        </w:rPr>
        <w:t xml:space="preserve"> </w:t>
      </w:r>
      <w:r w:rsidRPr="0082635F">
        <w:rPr>
          <w:rFonts w:eastAsia="Times New Roman"/>
          <w:rtl/>
          <w:lang w:eastAsia="de-DE"/>
        </w:rPr>
        <w:t>וּבְתַבְעֵרָה וּבְמַסָּה וּבְקִבְרֹת הַֽתַּאֲוָה מַקְצִפִים הֱיִיתֶם אֶת־יְהוָֽה׃</w:t>
      </w:r>
    </w:p>
    <w:p w14:paraId="0944186D"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Deutsch:</w:t>
      </w:r>
      <w:r w:rsidRPr="0082635F">
        <w:rPr>
          <w:rFonts w:eastAsia="Times New Roman"/>
          <w:lang w:eastAsia="de-DE"/>
        </w:rPr>
        <w:t xml:space="preserve"> Und zu Tav'era und zu Massa und zu Kivrot-Hatta'ava habt ihr den Ewigen erzürnt.</w:t>
      </w:r>
    </w:p>
    <w:p w14:paraId="1469BBD5" w14:textId="77777777" w:rsidR="0082635F" w:rsidRPr="0082635F" w:rsidRDefault="004F5CEB" w:rsidP="0082635F">
      <w:pPr>
        <w:spacing w:after="0" w:line="240" w:lineRule="auto"/>
        <w:rPr>
          <w:rFonts w:eastAsia="Times New Roman"/>
          <w:lang w:eastAsia="de-DE"/>
        </w:rPr>
      </w:pPr>
      <w:r>
        <w:rPr>
          <w:rFonts w:eastAsia="Times New Roman"/>
          <w:noProof/>
          <w:lang w:eastAsia="de-DE"/>
        </w:rPr>
        <w:pict w14:anchorId="66B9957A">
          <v:rect id="_x0000_i1311" style="width:0;height:1.5pt" o:hralign="center" o:hrstd="t" o:hr="t" fillcolor="#a0a0a0" stroked="f"/>
        </w:pict>
      </w:r>
    </w:p>
    <w:p w14:paraId="375790A1"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Kommentar:</w:t>
      </w:r>
      <w:r w:rsidRPr="0082635F">
        <w:rPr>
          <w:rFonts w:eastAsia="Times New Roman"/>
          <w:lang w:eastAsia="de-DE"/>
        </w:rPr>
        <w:t xml:space="preserve"> </w:t>
      </w:r>
      <w:r w:rsidRPr="0082635F">
        <w:rPr>
          <w:rFonts w:eastAsia="Times New Roman"/>
          <w:b/>
          <w:bCs/>
          <w:rtl/>
          <w:lang w:eastAsia="de-DE"/>
        </w:rPr>
        <w:t>וּבְתַבְעֵרָה וּבְמַסָּה וּבְקִבְרֹת הַֽתַּאֲוָה</w:t>
      </w:r>
      <w:r w:rsidRPr="0082635F">
        <w:rPr>
          <w:rFonts w:eastAsia="Times New Roman"/>
          <w:rtl/>
          <w:lang w:eastAsia="de-DE"/>
        </w:rPr>
        <w:t xml:space="preserve"> </w:t>
      </w:r>
      <w:r w:rsidRPr="0082635F">
        <w:rPr>
          <w:rFonts w:eastAsia="Times New Roman"/>
          <w:lang w:eastAsia="de-DE"/>
        </w:rPr>
        <w:t xml:space="preserve">ist eine dreigliedrige koordinierte Ortsangabe: </w:t>
      </w:r>
      <w:r w:rsidRPr="0082635F">
        <w:rPr>
          <w:rFonts w:eastAsia="Times New Roman"/>
          <w:b/>
          <w:bCs/>
          <w:rtl/>
          <w:lang w:eastAsia="de-DE"/>
        </w:rPr>
        <w:t>וּבְתַבְעֵרָה</w:t>
      </w:r>
      <w:r w:rsidRPr="0082635F">
        <w:rPr>
          <w:rFonts w:eastAsia="Times New Roman"/>
          <w:rtl/>
          <w:lang w:eastAsia="de-DE"/>
        </w:rPr>
        <w:t xml:space="preserve"> </w:t>
      </w:r>
      <w:r w:rsidRPr="0082635F">
        <w:rPr>
          <w:rFonts w:eastAsia="Times New Roman"/>
          <w:lang w:eastAsia="de-DE"/>
        </w:rPr>
        <w:t>(</w:t>
      </w:r>
      <w:r w:rsidRPr="0082635F">
        <w:rPr>
          <w:rFonts w:eastAsia="Times New Roman"/>
          <w:b/>
          <w:bCs/>
          <w:rtl/>
          <w:lang w:eastAsia="de-DE"/>
        </w:rPr>
        <w:t>וְ</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בְּ</w:t>
      </w:r>
      <w:r w:rsidRPr="0082635F">
        <w:rPr>
          <w:rFonts w:eastAsia="Times New Roman"/>
          <w:rtl/>
          <w:lang w:eastAsia="de-DE"/>
        </w:rPr>
        <w:t xml:space="preserve"> </w:t>
      </w:r>
      <w:r w:rsidRPr="0082635F">
        <w:rPr>
          <w:rFonts w:eastAsia="Times New Roman"/>
          <w:lang w:eastAsia="de-DE"/>
        </w:rPr>
        <w:t xml:space="preserve">und </w:t>
      </w:r>
      <w:r w:rsidRPr="0082635F">
        <w:rPr>
          <w:rFonts w:eastAsia="Times New Roman"/>
          <w:b/>
          <w:bCs/>
          <w:rtl/>
          <w:lang w:eastAsia="de-DE"/>
        </w:rPr>
        <w:t>תַּבְעֵרָה</w:t>
      </w:r>
      <w:r w:rsidRPr="0082635F">
        <w:rPr>
          <w:rFonts w:eastAsia="Times New Roman"/>
          <w:lang w:eastAsia="de-DE"/>
        </w:rPr>
        <w:t xml:space="preserve">, Ortsname – vgl. Num 11,1-3), </w:t>
      </w:r>
      <w:r w:rsidRPr="0082635F">
        <w:rPr>
          <w:rFonts w:eastAsia="Times New Roman"/>
          <w:b/>
          <w:bCs/>
          <w:rtl/>
          <w:lang w:eastAsia="de-DE"/>
        </w:rPr>
        <w:t>וּבְמַסָּה</w:t>
      </w:r>
      <w:r w:rsidRPr="0082635F">
        <w:rPr>
          <w:rFonts w:eastAsia="Times New Roman"/>
          <w:rtl/>
          <w:lang w:eastAsia="de-DE"/>
        </w:rPr>
        <w:t xml:space="preserve"> </w:t>
      </w:r>
      <w:r w:rsidRPr="0082635F">
        <w:rPr>
          <w:rFonts w:eastAsia="Times New Roman"/>
          <w:lang w:eastAsia="de-DE"/>
        </w:rPr>
        <w:t>koordiniert (</w:t>
      </w:r>
      <w:r w:rsidRPr="0082635F">
        <w:rPr>
          <w:rFonts w:eastAsia="Times New Roman"/>
          <w:b/>
          <w:bCs/>
          <w:rtl/>
          <w:lang w:eastAsia="de-DE"/>
        </w:rPr>
        <w:t>בְּ</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מַסָּה</w:t>
      </w:r>
      <w:r w:rsidRPr="0082635F">
        <w:rPr>
          <w:rFonts w:eastAsia="Times New Roman"/>
          <w:lang w:eastAsia="de-DE"/>
        </w:rPr>
        <w:t xml:space="preserve">, Ortsname – vgl. Ex 17,7; Num 20,13), </w:t>
      </w:r>
      <w:r w:rsidRPr="0082635F">
        <w:rPr>
          <w:rFonts w:eastAsia="Times New Roman"/>
          <w:b/>
          <w:bCs/>
          <w:rtl/>
          <w:lang w:eastAsia="de-DE"/>
        </w:rPr>
        <w:t>וּבְקִבְרֹת הַֽתַּאֲוָה</w:t>
      </w:r>
      <w:r w:rsidRPr="0082635F">
        <w:rPr>
          <w:rFonts w:eastAsia="Times New Roman"/>
          <w:rtl/>
          <w:lang w:eastAsia="de-DE"/>
        </w:rPr>
        <w:t xml:space="preserve"> </w:t>
      </w:r>
      <w:r w:rsidRPr="0082635F">
        <w:rPr>
          <w:rFonts w:eastAsia="Times New Roman"/>
          <w:lang w:eastAsia="de-DE"/>
        </w:rPr>
        <w:t>koordiniert (</w:t>
      </w:r>
      <w:r w:rsidRPr="0082635F">
        <w:rPr>
          <w:rFonts w:eastAsia="Times New Roman"/>
          <w:b/>
          <w:bCs/>
          <w:rtl/>
          <w:lang w:eastAsia="de-DE"/>
        </w:rPr>
        <w:t>בְּ</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קֶבֶר</w:t>
      </w:r>
      <w:r w:rsidRPr="0082635F">
        <w:rPr>
          <w:rFonts w:eastAsia="Times New Roman"/>
          <w:lang w:eastAsia="de-DE"/>
        </w:rPr>
        <w:t xml:space="preserve">, „Grab", Plural Construct, </w:t>
      </w:r>
      <w:r w:rsidRPr="0082635F">
        <w:rPr>
          <w:rFonts w:eastAsia="Times New Roman"/>
          <w:b/>
          <w:bCs/>
          <w:rtl/>
          <w:lang w:eastAsia="de-DE"/>
        </w:rPr>
        <w:t>תַּאֲוָה</w:t>
      </w:r>
      <w:r w:rsidRPr="0082635F">
        <w:rPr>
          <w:rFonts w:eastAsia="Times New Roman"/>
          <w:lang w:eastAsia="de-DE"/>
        </w:rPr>
        <w:t>, „Begierde" – „Gräber der Begierde", Ortsname – vgl. Num 11,34-35).</w:t>
      </w:r>
    </w:p>
    <w:p w14:paraId="35543772"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rtl/>
          <w:lang w:eastAsia="de-DE"/>
        </w:rPr>
        <w:t>מַקְצִפִים הֱיִיתֶם אֶת־יְהוָֽה</w:t>
      </w:r>
      <w:r w:rsidRPr="0082635F">
        <w:rPr>
          <w:rFonts w:eastAsia="Times New Roman"/>
          <w:rtl/>
          <w:lang w:eastAsia="de-DE"/>
        </w:rPr>
        <w:t xml:space="preserve"> </w:t>
      </w:r>
      <w:r w:rsidRPr="0082635F">
        <w:rPr>
          <w:rFonts w:eastAsia="Times New Roman"/>
          <w:lang w:eastAsia="de-DE"/>
        </w:rPr>
        <w:t xml:space="preserve">ist die Hauptaussage: </w:t>
      </w:r>
      <w:r w:rsidRPr="0082635F">
        <w:rPr>
          <w:rFonts w:eastAsia="Times New Roman"/>
          <w:b/>
          <w:bCs/>
          <w:rtl/>
          <w:lang w:eastAsia="de-DE"/>
        </w:rPr>
        <w:t>מַקְצִפִים</w:t>
      </w:r>
      <w:r w:rsidRPr="0082635F">
        <w:rPr>
          <w:rFonts w:eastAsia="Times New Roman"/>
          <w:rtl/>
          <w:lang w:eastAsia="de-DE"/>
        </w:rPr>
        <w:t xml:space="preserve"> </w:t>
      </w:r>
      <w:r w:rsidRPr="0082635F">
        <w:rPr>
          <w:rFonts w:eastAsia="Times New Roman"/>
          <w:lang w:eastAsia="de-DE"/>
        </w:rPr>
        <w:t xml:space="preserve">als Hifil Partizip Plural maskulin von </w:t>
      </w:r>
      <w:r w:rsidRPr="0082635F">
        <w:rPr>
          <w:rFonts w:eastAsia="Times New Roman"/>
          <w:b/>
          <w:bCs/>
          <w:rtl/>
          <w:lang w:eastAsia="de-DE"/>
        </w:rPr>
        <w:t>קצף</w:t>
      </w:r>
      <w:r w:rsidRPr="0082635F">
        <w:rPr>
          <w:rFonts w:eastAsia="Times New Roman"/>
          <w:lang w:eastAsia="de-DE"/>
        </w:rPr>
        <w:t xml:space="preserve">, „erzürnen" – als Prädikatsnomen, </w:t>
      </w:r>
      <w:r w:rsidRPr="0082635F">
        <w:rPr>
          <w:rFonts w:eastAsia="Times New Roman"/>
          <w:b/>
          <w:bCs/>
          <w:rtl/>
          <w:lang w:eastAsia="de-DE"/>
        </w:rPr>
        <w:t>הֱיִיתֶם</w:t>
      </w:r>
      <w:r w:rsidRPr="0082635F">
        <w:rPr>
          <w:rFonts w:eastAsia="Times New Roman"/>
          <w:rtl/>
          <w:lang w:eastAsia="de-DE"/>
        </w:rPr>
        <w:t xml:space="preserve"> </w:t>
      </w:r>
      <w:r w:rsidRPr="0082635F">
        <w:rPr>
          <w:rFonts w:eastAsia="Times New Roman"/>
          <w:lang w:eastAsia="de-DE"/>
        </w:rPr>
        <w:t xml:space="preserve">als Qal Perfekt, 2. Person Plural maskulin von </w:t>
      </w:r>
      <w:r w:rsidRPr="0082635F">
        <w:rPr>
          <w:rFonts w:eastAsia="Times New Roman"/>
          <w:b/>
          <w:bCs/>
          <w:rtl/>
          <w:lang w:eastAsia="de-DE"/>
        </w:rPr>
        <w:t>היה</w:t>
      </w:r>
      <w:r w:rsidRPr="0082635F">
        <w:rPr>
          <w:rFonts w:eastAsia="Times New Roman"/>
          <w:lang w:eastAsia="de-DE"/>
        </w:rPr>
        <w:t xml:space="preserve">, „sein", </w:t>
      </w:r>
      <w:r w:rsidRPr="0082635F">
        <w:rPr>
          <w:rFonts w:eastAsia="Times New Roman"/>
          <w:b/>
          <w:bCs/>
          <w:rtl/>
          <w:lang w:eastAsia="de-DE"/>
        </w:rPr>
        <w:t>אֶת־יְהוָֽה</w:t>
      </w:r>
      <w:r w:rsidRPr="0082635F">
        <w:rPr>
          <w:rFonts w:eastAsia="Times New Roman"/>
          <w:rtl/>
          <w:lang w:eastAsia="de-DE"/>
        </w:rPr>
        <w:t xml:space="preserve"> </w:t>
      </w:r>
      <w:r w:rsidRPr="0082635F">
        <w:rPr>
          <w:rFonts w:eastAsia="Times New Roman"/>
          <w:lang w:eastAsia="de-DE"/>
        </w:rPr>
        <w:t>als direktes Objekt.</w:t>
      </w:r>
    </w:p>
    <w:p w14:paraId="7ADFEAC6"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 xml:space="preserve">Der Vers ergänzt die goldene Kalb-Sünde mit drei weiteren Beispielen israelitischer Rebellion (vgl. V. 7: „von Ägypten bis hierher"). Die drei Orte repräsentieren verschiedene Sünden: (1) Tav'era – Murren gegen JHWH (Num 11,1-3), (2) Massa – Zweifel an Gottes Gegenwart (Ex 17,1-7), (3) Kivrot-Hatta'ava – Begierde nach Fleisch statt Manna (Num 11,4-34). Das partizipiale Prädikatsnomen </w:t>
      </w:r>
      <w:r w:rsidRPr="0082635F">
        <w:rPr>
          <w:rFonts w:eastAsia="Times New Roman"/>
          <w:b/>
          <w:bCs/>
          <w:rtl/>
          <w:lang w:eastAsia="de-DE"/>
        </w:rPr>
        <w:t>מַקְצִפִים</w:t>
      </w:r>
      <w:r w:rsidRPr="0082635F">
        <w:rPr>
          <w:rFonts w:eastAsia="Times New Roman"/>
          <w:rtl/>
          <w:lang w:eastAsia="de-DE"/>
        </w:rPr>
        <w:t xml:space="preserve"> </w:t>
      </w:r>
      <w:r w:rsidRPr="0082635F">
        <w:rPr>
          <w:rFonts w:eastAsia="Times New Roman"/>
          <w:lang w:eastAsia="de-DE"/>
        </w:rPr>
        <w:t>unterstreicht die wiederholte, dauerhafte Provokation.</w:t>
      </w:r>
    </w:p>
    <w:p w14:paraId="7B3EB060"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Die Satzstruktur ist eine dreigliedrige koordinierte Ortsangabe, gefolgt von einem Satz mit partizipialem Prädikatsnomen, Prädikat und direktem Objekt.</w:t>
      </w:r>
    </w:p>
    <w:p w14:paraId="2F015C38"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Der Vers ergänzt weitere Beispiele: Auch zu Tav'era, zu Massa und zu Kivrot-Hatta'ava habt ihr JHWH erzürnt – ein Muster der Rebellion.</w:t>
      </w:r>
    </w:p>
    <w:p w14:paraId="623BA83C" w14:textId="77777777" w:rsidR="0082635F" w:rsidRPr="0082635F" w:rsidRDefault="0082635F" w:rsidP="0082635F">
      <w:pPr>
        <w:spacing w:before="100" w:beforeAutospacing="1" w:after="100" w:afterAutospacing="1" w:line="240" w:lineRule="auto"/>
        <w:outlineLvl w:val="1"/>
        <w:rPr>
          <w:rFonts w:eastAsia="Times New Roman"/>
          <w:b/>
          <w:bCs/>
          <w:sz w:val="36"/>
          <w:szCs w:val="36"/>
          <w:lang w:eastAsia="de-DE"/>
        </w:rPr>
      </w:pPr>
      <w:r w:rsidRPr="0082635F">
        <w:rPr>
          <w:rFonts w:eastAsia="Times New Roman"/>
          <w:b/>
          <w:bCs/>
          <w:sz w:val="36"/>
          <w:szCs w:val="36"/>
          <w:lang w:eastAsia="de-DE"/>
        </w:rPr>
        <w:t>Deuteronomium 9,23</w:t>
      </w:r>
    </w:p>
    <w:p w14:paraId="25B1E21C"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Hebräisch:</w:t>
      </w:r>
      <w:r w:rsidRPr="0082635F">
        <w:rPr>
          <w:rFonts w:eastAsia="Times New Roman"/>
          <w:lang w:eastAsia="de-DE"/>
        </w:rPr>
        <w:t xml:space="preserve"> </w:t>
      </w:r>
      <w:r w:rsidRPr="0082635F">
        <w:rPr>
          <w:rFonts w:eastAsia="Times New Roman"/>
          <w:rtl/>
          <w:lang w:eastAsia="de-DE"/>
        </w:rPr>
        <w:t>וּבִשְׁלֹחַ יְהוָה אֶתְכֶם מִקָּדֵשׁ בַּרְנֵעַ לֵאמֹר עֲלוּ וּרְשׁוּ אֶת־הָאָרֶץ אֲשֶׁר נָתַתִּי לָכֶם וַתַּמְרוּ אֶת־פִּי יְהוָה אֱלֹהֵיכֶם וְלֹא הֶֽאֱמַנְתֶּם לוֹ וְלֹא שְׁמַעְתֶם בְּקֹלֹֽו׃</w:t>
      </w:r>
    </w:p>
    <w:p w14:paraId="343C1D9F"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lastRenderedPageBreak/>
        <w:t>Deutsch:</w:t>
      </w:r>
      <w:r w:rsidRPr="0082635F">
        <w:rPr>
          <w:rFonts w:eastAsia="Times New Roman"/>
          <w:lang w:eastAsia="de-DE"/>
        </w:rPr>
        <w:t xml:space="preserve"> Und als der Ewige euch aus Kadesch-Barnea sandte und sprach: Zieht hinauf und nehmt das Land in Besitz, das ich euch gegeben habe, da wart ihr widerspenstig gegen den Befehl des Ewigen, eures Gottes, und ihr glaubtet ihm nicht und gehorchtet seiner Stimme nicht.</w:t>
      </w:r>
    </w:p>
    <w:p w14:paraId="01492140" w14:textId="77777777" w:rsidR="0082635F" w:rsidRPr="0082635F" w:rsidRDefault="004F5CEB" w:rsidP="0082635F">
      <w:pPr>
        <w:spacing w:after="0" w:line="240" w:lineRule="auto"/>
        <w:rPr>
          <w:rFonts w:eastAsia="Times New Roman"/>
          <w:lang w:eastAsia="de-DE"/>
        </w:rPr>
      </w:pPr>
      <w:r>
        <w:rPr>
          <w:rFonts w:eastAsia="Times New Roman"/>
          <w:noProof/>
          <w:lang w:eastAsia="de-DE"/>
        </w:rPr>
        <w:pict w14:anchorId="78A850DE">
          <v:rect id="_x0000_i1312" style="width:0;height:1.5pt" o:hralign="center" o:hrstd="t" o:hr="t" fillcolor="#a0a0a0" stroked="f"/>
        </w:pict>
      </w:r>
    </w:p>
    <w:p w14:paraId="6D8D4879"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Kommentar:</w:t>
      </w:r>
      <w:r w:rsidRPr="0082635F">
        <w:rPr>
          <w:rFonts w:eastAsia="Times New Roman"/>
          <w:lang w:eastAsia="de-DE"/>
        </w:rPr>
        <w:t xml:space="preserve"> </w:t>
      </w:r>
      <w:r w:rsidRPr="0082635F">
        <w:rPr>
          <w:rFonts w:eastAsia="Times New Roman"/>
          <w:b/>
          <w:bCs/>
          <w:rtl/>
          <w:lang w:eastAsia="de-DE"/>
        </w:rPr>
        <w:t>וּבִשְׁלֹחַ יְהוָה אֶתְכֶם מִקָּדֵשׁ בַּרְנֵעַ לֵאמֹר עֲלוּ וּרְשׁוּ אֶת־הָאָרֶץ אֲשֶׁר נָתַתִּי לָכֶם</w:t>
      </w:r>
      <w:r w:rsidRPr="0082635F">
        <w:rPr>
          <w:rFonts w:eastAsia="Times New Roman"/>
          <w:rtl/>
          <w:lang w:eastAsia="de-DE"/>
        </w:rPr>
        <w:t xml:space="preserve"> </w:t>
      </w:r>
      <w:r w:rsidRPr="0082635F">
        <w:rPr>
          <w:rFonts w:eastAsia="Times New Roman"/>
          <w:lang w:eastAsia="de-DE"/>
        </w:rPr>
        <w:t xml:space="preserve">ist eine umfangreiche temporale Konstruktion: </w:t>
      </w:r>
      <w:r w:rsidRPr="0082635F">
        <w:rPr>
          <w:rFonts w:eastAsia="Times New Roman"/>
          <w:b/>
          <w:bCs/>
          <w:rtl/>
          <w:lang w:eastAsia="de-DE"/>
        </w:rPr>
        <w:t>וּבִשְׁלֹחַ יְהוָה אֶתְכֶם מִקָּדֵשׁ בַּרְנֵעַ</w:t>
      </w:r>
      <w:r w:rsidRPr="0082635F">
        <w:rPr>
          <w:rFonts w:eastAsia="Times New Roman"/>
          <w:rtl/>
          <w:lang w:eastAsia="de-DE"/>
        </w:rPr>
        <w:t xml:space="preserve"> </w:t>
      </w:r>
      <w:r w:rsidRPr="0082635F">
        <w:rPr>
          <w:rFonts w:eastAsia="Times New Roman"/>
          <w:lang w:eastAsia="de-DE"/>
        </w:rPr>
        <w:t xml:space="preserve">(Qal Infinitiv Construct von </w:t>
      </w:r>
      <w:r w:rsidRPr="0082635F">
        <w:rPr>
          <w:rFonts w:eastAsia="Times New Roman"/>
          <w:b/>
          <w:bCs/>
          <w:rtl/>
          <w:lang w:eastAsia="de-DE"/>
        </w:rPr>
        <w:t>שׁלח</w:t>
      </w:r>
      <w:r w:rsidRPr="0082635F">
        <w:rPr>
          <w:rFonts w:eastAsia="Times New Roman"/>
          <w:lang w:eastAsia="de-DE"/>
        </w:rPr>
        <w:t xml:space="preserve">, „senden", mit </w:t>
      </w:r>
      <w:r w:rsidRPr="0082635F">
        <w:rPr>
          <w:rFonts w:eastAsia="Times New Roman"/>
          <w:b/>
          <w:bCs/>
          <w:rtl/>
          <w:lang w:eastAsia="de-DE"/>
        </w:rPr>
        <w:t>וְ</w:t>
      </w:r>
      <w:r w:rsidRPr="0082635F">
        <w:rPr>
          <w:rFonts w:eastAsia="Times New Roman"/>
          <w:rtl/>
          <w:lang w:eastAsia="de-DE"/>
        </w:rPr>
        <w:t xml:space="preserve"> </w:t>
      </w:r>
      <w:r w:rsidRPr="0082635F">
        <w:rPr>
          <w:rFonts w:eastAsia="Times New Roman"/>
          <w:lang w:eastAsia="de-DE"/>
        </w:rPr>
        <w:t xml:space="preserve">und </w:t>
      </w:r>
      <w:r w:rsidRPr="0082635F">
        <w:rPr>
          <w:rFonts w:eastAsia="Times New Roman"/>
          <w:b/>
          <w:bCs/>
          <w:rtl/>
          <w:lang w:eastAsia="de-DE"/>
        </w:rPr>
        <w:t>בְּ</w:t>
      </w:r>
      <w:r w:rsidRPr="0082635F">
        <w:rPr>
          <w:rFonts w:eastAsia="Times New Roman"/>
          <w:lang w:eastAsia="de-DE"/>
        </w:rPr>
        <w:t xml:space="preserve">, </w:t>
      </w:r>
      <w:r w:rsidRPr="0082635F">
        <w:rPr>
          <w:rFonts w:eastAsia="Times New Roman"/>
          <w:b/>
          <w:bCs/>
          <w:rtl/>
          <w:lang w:eastAsia="de-DE"/>
        </w:rPr>
        <w:t>יְהוָה</w:t>
      </w:r>
      <w:r w:rsidRPr="0082635F">
        <w:rPr>
          <w:rFonts w:eastAsia="Times New Roman"/>
          <w:rtl/>
          <w:lang w:eastAsia="de-DE"/>
        </w:rPr>
        <w:t xml:space="preserve"> </w:t>
      </w:r>
      <w:r w:rsidRPr="0082635F">
        <w:rPr>
          <w:rFonts w:eastAsia="Times New Roman"/>
          <w:lang w:eastAsia="de-DE"/>
        </w:rPr>
        <w:t xml:space="preserve">als Subjekt, </w:t>
      </w:r>
      <w:r w:rsidRPr="0082635F">
        <w:rPr>
          <w:rFonts w:eastAsia="Times New Roman"/>
          <w:b/>
          <w:bCs/>
          <w:rtl/>
          <w:lang w:eastAsia="de-DE"/>
        </w:rPr>
        <w:t>אֶתְכֶם</w:t>
      </w:r>
      <w:r w:rsidRPr="0082635F">
        <w:rPr>
          <w:rFonts w:eastAsia="Times New Roman"/>
          <w:rtl/>
          <w:lang w:eastAsia="de-DE"/>
        </w:rPr>
        <w:t xml:space="preserve"> </w:t>
      </w:r>
      <w:r w:rsidRPr="0082635F">
        <w:rPr>
          <w:rFonts w:eastAsia="Times New Roman"/>
          <w:lang w:eastAsia="de-DE"/>
        </w:rPr>
        <w:t xml:space="preserve">als direktes Objekt, </w:t>
      </w:r>
      <w:r w:rsidRPr="0082635F">
        <w:rPr>
          <w:rFonts w:eastAsia="Times New Roman"/>
          <w:b/>
          <w:bCs/>
          <w:rtl/>
          <w:lang w:eastAsia="de-DE"/>
        </w:rPr>
        <w:t>מִקָּדֵשׁ בַּרְנֵעַ</w:t>
      </w:r>
      <w:r w:rsidRPr="0082635F">
        <w:rPr>
          <w:rFonts w:eastAsia="Times New Roman"/>
          <w:rtl/>
          <w:lang w:eastAsia="de-DE"/>
        </w:rPr>
        <w:t xml:space="preserve"> </w:t>
      </w:r>
      <w:r w:rsidRPr="0082635F">
        <w:rPr>
          <w:rFonts w:eastAsia="Times New Roman"/>
          <w:lang w:eastAsia="de-DE"/>
        </w:rPr>
        <w:t xml:space="preserve">als Herkunftsangabe – </w:t>
      </w:r>
      <w:r w:rsidRPr="0082635F">
        <w:rPr>
          <w:rFonts w:eastAsia="Times New Roman"/>
          <w:b/>
          <w:bCs/>
          <w:rtl/>
          <w:lang w:eastAsia="de-DE"/>
        </w:rPr>
        <w:t>מִן</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קָדֵשׁ בַּרְנֵעַ</w:t>
      </w:r>
      <w:r w:rsidRPr="0082635F">
        <w:rPr>
          <w:rFonts w:eastAsia="Times New Roman"/>
          <w:lang w:eastAsia="de-DE"/>
        </w:rPr>
        <w:t xml:space="preserve">, Ortsname – „Kadesch-Barnea"), </w:t>
      </w:r>
      <w:r w:rsidRPr="0082635F">
        <w:rPr>
          <w:rFonts w:eastAsia="Times New Roman"/>
          <w:b/>
          <w:bCs/>
          <w:rtl/>
          <w:lang w:eastAsia="de-DE"/>
        </w:rPr>
        <w:t>לֵאמֹר</w:t>
      </w:r>
      <w:r w:rsidRPr="0082635F">
        <w:rPr>
          <w:rFonts w:eastAsia="Times New Roman"/>
          <w:rtl/>
          <w:lang w:eastAsia="de-DE"/>
        </w:rPr>
        <w:t xml:space="preserve"> </w:t>
      </w:r>
      <w:r w:rsidRPr="0082635F">
        <w:rPr>
          <w:rFonts w:eastAsia="Times New Roman"/>
          <w:lang w:eastAsia="de-DE"/>
        </w:rPr>
        <w:t xml:space="preserve">als Redeeinleitung, </w:t>
      </w:r>
      <w:r w:rsidRPr="0082635F">
        <w:rPr>
          <w:rFonts w:eastAsia="Times New Roman"/>
          <w:b/>
          <w:bCs/>
          <w:rtl/>
          <w:lang w:eastAsia="de-DE"/>
        </w:rPr>
        <w:t>עֲלוּ וּרְשׁוּ אֶת־הָאָרֶץ</w:t>
      </w:r>
      <w:r w:rsidRPr="0082635F">
        <w:rPr>
          <w:rFonts w:eastAsia="Times New Roman"/>
          <w:rtl/>
          <w:lang w:eastAsia="de-DE"/>
        </w:rPr>
        <w:t xml:space="preserve"> </w:t>
      </w:r>
      <w:r w:rsidRPr="0082635F">
        <w:rPr>
          <w:rFonts w:eastAsia="Times New Roman"/>
          <w:lang w:eastAsia="de-DE"/>
        </w:rPr>
        <w:t xml:space="preserve">als zweigliedriger koordinierter Imperativsatz (Qal Imperativ Plural von </w:t>
      </w:r>
      <w:r w:rsidRPr="0082635F">
        <w:rPr>
          <w:rFonts w:eastAsia="Times New Roman"/>
          <w:b/>
          <w:bCs/>
          <w:rtl/>
          <w:lang w:eastAsia="de-DE"/>
        </w:rPr>
        <w:t>עלה</w:t>
      </w:r>
      <w:r w:rsidRPr="0082635F">
        <w:rPr>
          <w:rFonts w:eastAsia="Times New Roman"/>
          <w:lang w:eastAsia="de-DE"/>
        </w:rPr>
        <w:t xml:space="preserve">, „hinaufziehen", und </w:t>
      </w:r>
      <w:r w:rsidRPr="0082635F">
        <w:rPr>
          <w:rFonts w:eastAsia="Times New Roman"/>
          <w:b/>
          <w:bCs/>
          <w:rtl/>
          <w:lang w:eastAsia="de-DE"/>
        </w:rPr>
        <w:t>ירשׁ</w:t>
      </w:r>
      <w:r w:rsidRPr="0082635F">
        <w:rPr>
          <w:rFonts w:eastAsia="Times New Roman"/>
          <w:lang w:eastAsia="de-DE"/>
        </w:rPr>
        <w:t xml:space="preserve">, „in Besitz nehmen", mit direktem Objekt), </w:t>
      </w:r>
      <w:r w:rsidRPr="0082635F">
        <w:rPr>
          <w:rFonts w:eastAsia="Times New Roman"/>
          <w:b/>
          <w:bCs/>
          <w:rtl/>
          <w:lang w:eastAsia="de-DE"/>
        </w:rPr>
        <w:t>אֲשֶׁר נָתַתִּי לָכֶם</w:t>
      </w:r>
      <w:r w:rsidRPr="0082635F">
        <w:rPr>
          <w:rFonts w:eastAsia="Times New Roman"/>
          <w:rtl/>
          <w:lang w:eastAsia="de-DE"/>
        </w:rPr>
        <w:t xml:space="preserve"> </w:t>
      </w:r>
      <w:r w:rsidRPr="0082635F">
        <w:rPr>
          <w:rFonts w:eastAsia="Times New Roman"/>
          <w:lang w:eastAsia="de-DE"/>
        </w:rPr>
        <w:t xml:space="preserve">als Relativsatz (Qal Perfekt, 1. Person Singular von </w:t>
      </w:r>
      <w:r w:rsidRPr="0082635F">
        <w:rPr>
          <w:rFonts w:eastAsia="Times New Roman"/>
          <w:b/>
          <w:bCs/>
          <w:rtl/>
          <w:lang w:eastAsia="de-DE"/>
        </w:rPr>
        <w:t>נתן</w:t>
      </w:r>
      <w:r w:rsidRPr="0082635F">
        <w:rPr>
          <w:rFonts w:eastAsia="Times New Roman"/>
          <w:lang w:eastAsia="de-DE"/>
        </w:rPr>
        <w:t>, „geben", mit indirektem Objekt).</w:t>
      </w:r>
    </w:p>
    <w:p w14:paraId="60223AF3"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rtl/>
          <w:lang w:eastAsia="de-DE"/>
        </w:rPr>
        <w:t>וַתַּמְרוּ אֶת־פִּי יְהוָה אֱלֹהֵיכֶם וְלֹא הֶֽאֱמַנְתֶּם לוֹ וְלֹא שְׁמַעְתֶם בְּקֹלֹֽו</w:t>
      </w:r>
      <w:r w:rsidRPr="0082635F">
        <w:rPr>
          <w:rFonts w:eastAsia="Times New Roman"/>
          <w:rtl/>
          <w:lang w:eastAsia="de-DE"/>
        </w:rPr>
        <w:t xml:space="preserve"> </w:t>
      </w:r>
      <w:r w:rsidRPr="0082635F">
        <w:rPr>
          <w:rFonts w:eastAsia="Times New Roman"/>
          <w:lang w:eastAsia="de-DE"/>
        </w:rPr>
        <w:t xml:space="preserve">ist eine dreigliedrige koordinierte Anklage: </w:t>
      </w:r>
      <w:r w:rsidRPr="0082635F">
        <w:rPr>
          <w:rFonts w:eastAsia="Times New Roman"/>
          <w:b/>
          <w:bCs/>
          <w:rtl/>
          <w:lang w:eastAsia="de-DE"/>
        </w:rPr>
        <w:t>וַתַּמְרוּ אֶת־פִּי יְהוָה אֱלֹהֵיכֶם</w:t>
      </w:r>
      <w:r w:rsidRPr="0082635F">
        <w:rPr>
          <w:rFonts w:eastAsia="Times New Roman"/>
          <w:rtl/>
          <w:lang w:eastAsia="de-DE"/>
        </w:rPr>
        <w:t xml:space="preserve"> </w:t>
      </w:r>
      <w:r w:rsidRPr="0082635F">
        <w:rPr>
          <w:rFonts w:eastAsia="Times New Roman"/>
          <w:lang w:eastAsia="de-DE"/>
        </w:rPr>
        <w:t xml:space="preserve">(Hifil Imperfekt consecutivum, 2. Person Plural maskulin von </w:t>
      </w:r>
      <w:r w:rsidRPr="0082635F">
        <w:rPr>
          <w:rFonts w:eastAsia="Times New Roman"/>
          <w:b/>
          <w:bCs/>
          <w:rtl/>
          <w:lang w:eastAsia="de-DE"/>
        </w:rPr>
        <w:t>מרה</w:t>
      </w:r>
      <w:r w:rsidRPr="0082635F">
        <w:rPr>
          <w:rFonts w:eastAsia="Times New Roman"/>
          <w:lang w:eastAsia="de-DE"/>
        </w:rPr>
        <w:t xml:space="preserve">, „widerspenstig sein, rebellieren", mit </w:t>
      </w:r>
      <w:r w:rsidRPr="0082635F">
        <w:rPr>
          <w:rFonts w:eastAsia="Times New Roman"/>
          <w:b/>
          <w:bCs/>
          <w:rtl/>
          <w:lang w:eastAsia="de-DE"/>
        </w:rPr>
        <w:t>וְ</w:t>
      </w:r>
      <w:r w:rsidRPr="0082635F">
        <w:rPr>
          <w:rFonts w:eastAsia="Times New Roman"/>
          <w:lang w:eastAsia="de-DE"/>
        </w:rPr>
        <w:t xml:space="preserve">, </w:t>
      </w:r>
      <w:r w:rsidRPr="0082635F">
        <w:rPr>
          <w:rFonts w:eastAsia="Times New Roman"/>
          <w:b/>
          <w:bCs/>
          <w:rtl/>
          <w:lang w:eastAsia="de-DE"/>
        </w:rPr>
        <w:t>אֶת־פִּי</w:t>
      </w:r>
      <w:r w:rsidRPr="0082635F">
        <w:rPr>
          <w:rFonts w:eastAsia="Times New Roman"/>
          <w:rtl/>
          <w:lang w:eastAsia="de-DE"/>
        </w:rPr>
        <w:t xml:space="preserve"> </w:t>
      </w:r>
      <w:r w:rsidRPr="0082635F">
        <w:rPr>
          <w:rFonts w:eastAsia="Times New Roman"/>
          <w:lang w:eastAsia="de-DE"/>
        </w:rPr>
        <w:t xml:space="preserve">als direktes Objekt – </w:t>
      </w:r>
      <w:r w:rsidRPr="0082635F">
        <w:rPr>
          <w:rFonts w:eastAsia="Times New Roman"/>
          <w:b/>
          <w:bCs/>
          <w:rtl/>
          <w:lang w:eastAsia="de-DE"/>
        </w:rPr>
        <w:t>פֶּה</w:t>
      </w:r>
      <w:r w:rsidRPr="0082635F">
        <w:rPr>
          <w:rFonts w:eastAsia="Times New Roman"/>
          <w:lang w:eastAsia="de-DE"/>
        </w:rPr>
        <w:t xml:space="preserve">, „Mund" = „Befehl", mit erweiterter Gottesbezeichnung), </w:t>
      </w:r>
      <w:r w:rsidRPr="0082635F">
        <w:rPr>
          <w:rFonts w:eastAsia="Times New Roman"/>
          <w:b/>
          <w:bCs/>
          <w:rtl/>
          <w:lang w:eastAsia="de-DE"/>
        </w:rPr>
        <w:t>וְלֹא הֶֽאֱמַנְתֶּם לוֹ</w:t>
      </w:r>
      <w:r w:rsidRPr="0082635F">
        <w:rPr>
          <w:rFonts w:eastAsia="Times New Roman"/>
          <w:rtl/>
          <w:lang w:eastAsia="de-DE"/>
        </w:rPr>
        <w:t xml:space="preserve"> </w:t>
      </w:r>
      <w:r w:rsidRPr="0082635F">
        <w:rPr>
          <w:rFonts w:eastAsia="Times New Roman"/>
          <w:lang w:eastAsia="de-DE"/>
        </w:rPr>
        <w:t xml:space="preserve">koordiniert (Hifil Perfekt, 2. Person Plural maskulin von </w:t>
      </w:r>
      <w:r w:rsidRPr="0082635F">
        <w:rPr>
          <w:rFonts w:eastAsia="Times New Roman"/>
          <w:b/>
          <w:bCs/>
          <w:rtl/>
          <w:lang w:eastAsia="de-DE"/>
        </w:rPr>
        <w:t>אמן</w:t>
      </w:r>
      <w:r w:rsidRPr="0082635F">
        <w:rPr>
          <w:rFonts w:eastAsia="Times New Roman"/>
          <w:lang w:eastAsia="de-DE"/>
        </w:rPr>
        <w:t xml:space="preserve">, „glauben, vertrauen", mit Negation und indirektem Objekt), </w:t>
      </w:r>
      <w:r w:rsidRPr="0082635F">
        <w:rPr>
          <w:rFonts w:eastAsia="Times New Roman"/>
          <w:b/>
          <w:bCs/>
          <w:rtl/>
          <w:lang w:eastAsia="de-DE"/>
        </w:rPr>
        <w:t>וְלֹא שְׁמַעְתֶם בְּקֹלֹֽו</w:t>
      </w:r>
      <w:r w:rsidRPr="0082635F">
        <w:rPr>
          <w:rFonts w:eastAsia="Times New Roman"/>
          <w:rtl/>
          <w:lang w:eastAsia="de-DE"/>
        </w:rPr>
        <w:t xml:space="preserve"> </w:t>
      </w:r>
      <w:r w:rsidRPr="0082635F">
        <w:rPr>
          <w:rFonts w:eastAsia="Times New Roman"/>
          <w:lang w:eastAsia="de-DE"/>
        </w:rPr>
        <w:t xml:space="preserve">koordiniert (Qal Perfekt, 2. Person Plural maskulin von </w:t>
      </w:r>
      <w:r w:rsidRPr="0082635F">
        <w:rPr>
          <w:rFonts w:eastAsia="Times New Roman"/>
          <w:b/>
          <w:bCs/>
          <w:rtl/>
          <w:lang w:eastAsia="de-DE"/>
        </w:rPr>
        <w:t>שׁמע</w:t>
      </w:r>
      <w:r w:rsidRPr="0082635F">
        <w:rPr>
          <w:rFonts w:eastAsia="Times New Roman"/>
          <w:lang w:eastAsia="de-DE"/>
        </w:rPr>
        <w:t xml:space="preserve">, „hören, gehorchen", mit Negation und präpositionaler Ergänzung – </w:t>
      </w:r>
      <w:r w:rsidRPr="0082635F">
        <w:rPr>
          <w:rFonts w:eastAsia="Times New Roman"/>
          <w:b/>
          <w:bCs/>
          <w:rtl/>
          <w:lang w:eastAsia="de-DE"/>
        </w:rPr>
        <w:t>בְּקוֹל</w:t>
      </w:r>
      <w:r w:rsidRPr="0082635F">
        <w:rPr>
          <w:rFonts w:eastAsia="Times New Roman"/>
          <w:rtl/>
          <w:lang w:eastAsia="de-DE"/>
        </w:rPr>
        <w:t xml:space="preserve"> </w:t>
      </w:r>
      <w:r w:rsidRPr="0082635F">
        <w:rPr>
          <w:rFonts w:eastAsia="Times New Roman"/>
          <w:lang w:eastAsia="de-DE"/>
        </w:rPr>
        <w:t>mit Suffix).</w:t>
      </w:r>
    </w:p>
    <w:p w14:paraId="1C3C5E5C"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 xml:space="preserve">Der Vers nennt das vierte Beispiel: die Weigerung, das Land zu erobern nach dem Kundschafterbericht (vgl. Num 13-14; Dtn 1,19-46). Die Formulierung </w:t>
      </w:r>
      <w:r w:rsidRPr="0082635F">
        <w:rPr>
          <w:rFonts w:eastAsia="Times New Roman"/>
          <w:b/>
          <w:bCs/>
          <w:rtl/>
          <w:lang w:eastAsia="de-DE"/>
        </w:rPr>
        <w:t>וַתַּמְרוּ אֶת־פִּי יְהוָה</w:t>
      </w:r>
      <w:r w:rsidRPr="0082635F">
        <w:rPr>
          <w:rFonts w:eastAsia="Times New Roman"/>
          <w:rtl/>
          <w:lang w:eastAsia="de-DE"/>
        </w:rPr>
        <w:t xml:space="preserve"> </w:t>
      </w:r>
      <w:r w:rsidRPr="0082635F">
        <w:rPr>
          <w:rFonts w:eastAsia="Times New Roman"/>
          <w:lang w:eastAsia="de-DE"/>
        </w:rPr>
        <w:t>(„ihr wart widerspenstig gegen den Befehl JHWHs") ist drastisch. Die dreigliedrige Anklage ist klimaktisch: (1) widerspenstig sein, (2) nicht glauben, (3) nicht gehorchen.</w:t>
      </w:r>
    </w:p>
    <w:p w14:paraId="52FCC058"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Die Satzstruktur ist eine umfangreiche temporale Konstruktion (mit Infinitiv, Subjekt, direktem Objekt, Herkunftsangabe, Redeeinleitung, zweigliedrigem koordiniertem Imperativsatz und Relativsatz), gefolgt von einer dreigliedrigen koordinierten Anklage.</w:t>
      </w:r>
    </w:p>
    <w:p w14:paraId="456BD067"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Der Vers nennt das vierte Beispiel: Als JHWH euch von Kadesch-Barnea aussandte, das Land zu erobern, wart ihr widerspenstig, glaubtet ihm nicht und gehorchtet seiner Stimme nicht – die Kundschafter-Rebellion.</w:t>
      </w:r>
    </w:p>
    <w:p w14:paraId="5426D07D" w14:textId="77777777" w:rsidR="0082635F" w:rsidRPr="0082635F" w:rsidRDefault="0082635F" w:rsidP="0082635F">
      <w:pPr>
        <w:spacing w:before="100" w:beforeAutospacing="1" w:after="100" w:afterAutospacing="1" w:line="240" w:lineRule="auto"/>
        <w:outlineLvl w:val="1"/>
        <w:rPr>
          <w:rFonts w:eastAsia="Times New Roman"/>
          <w:b/>
          <w:bCs/>
          <w:sz w:val="36"/>
          <w:szCs w:val="36"/>
          <w:lang w:eastAsia="de-DE"/>
        </w:rPr>
      </w:pPr>
      <w:r w:rsidRPr="0082635F">
        <w:rPr>
          <w:rFonts w:eastAsia="Times New Roman"/>
          <w:b/>
          <w:bCs/>
          <w:sz w:val="36"/>
          <w:szCs w:val="36"/>
          <w:lang w:eastAsia="de-DE"/>
        </w:rPr>
        <w:t>Deuteronomium 9,24</w:t>
      </w:r>
    </w:p>
    <w:p w14:paraId="701939C7"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Hebräisch:</w:t>
      </w:r>
      <w:r w:rsidRPr="0082635F">
        <w:rPr>
          <w:rFonts w:eastAsia="Times New Roman"/>
          <w:lang w:eastAsia="de-DE"/>
        </w:rPr>
        <w:t xml:space="preserve"> </w:t>
      </w:r>
      <w:r w:rsidRPr="0082635F">
        <w:rPr>
          <w:rFonts w:eastAsia="Times New Roman"/>
          <w:rtl/>
          <w:lang w:eastAsia="de-DE"/>
        </w:rPr>
        <w:t>מַמְרִים הֱיִיתֶם עִם־יְהוָה מִיּוֹם דַּעְתִּי אֶתְכֶֽם׃</w:t>
      </w:r>
    </w:p>
    <w:p w14:paraId="12CA767D"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Deutsch:</w:t>
      </w:r>
      <w:r w:rsidRPr="0082635F">
        <w:rPr>
          <w:rFonts w:eastAsia="Times New Roman"/>
          <w:lang w:eastAsia="de-DE"/>
        </w:rPr>
        <w:t xml:space="preserve"> Widerspenstig seid ihr gegen den Ewigen gewesen von dem Tag an, da ich euch kenne.</w:t>
      </w:r>
    </w:p>
    <w:p w14:paraId="7C30622A" w14:textId="77777777" w:rsidR="0082635F" w:rsidRPr="0082635F" w:rsidRDefault="004F5CEB" w:rsidP="0082635F">
      <w:pPr>
        <w:spacing w:after="0" w:line="240" w:lineRule="auto"/>
        <w:rPr>
          <w:rFonts w:eastAsia="Times New Roman"/>
          <w:lang w:eastAsia="de-DE"/>
        </w:rPr>
      </w:pPr>
      <w:r>
        <w:rPr>
          <w:rFonts w:eastAsia="Times New Roman"/>
          <w:noProof/>
          <w:lang w:eastAsia="de-DE"/>
        </w:rPr>
        <w:pict w14:anchorId="6C3355E6">
          <v:rect id="_x0000_i1313" style="width:0;height:1.5pt" o:hralign="center" o:hrstd="t" o:hr="t" fillcolor="#a0a0a0" stroked="f"/>
        </w:pict>
      </w:r>
    </w:p>
    <w:p w14:paraId="6732CD68"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Kommentar:</w:t>
      </w:r>
      <w:r w:rsidRPr="0082635F">
        <w:rPr>
          <w:rFonts w:eastAsia="Times New Roman"/>
          <w:lang w:eastAsia="de-DE"/>
        </w:rPr>
        <w:t xml:space="preserve"> </w:t>
      </w:r>
      <w:r w:rsidRPr="0082635F">
        <w:rPr>
          <w:rFonts w:eastAsia="Times New Roman"/>
          <w:b/>
          <w:bCs/>
          <w:rtl/>
          <w:lang w:eastAsia="de-DE"/>
        </w:rPr>
        <w:t>מַמְרִים הֱיִיתֶם עִם־יְהוָה</w:t>
      </w:r>
      <w:r w:rsidRPr="0082635F">
        <w:rPr>
          <w:rFonts w:eastAsia="Times New Roman"/>
          <w:rtl/>
          <w:lang w:eastAsia="de-DE"/>
        </w:rPr>
        <w:t xml:space="preserve"> </w:t>
      </w:r>
      <w:r w:rsidRPr="0082635F">
        <w:rPr>
          <w:rFonts w:eastAsia="Times New Roman"/>
          <w:lang w:eastAsia="de-DE"/>
        </w:rPr>
        <w:t xml:space="preserve">ist die Hauptaussage: </w:t>
      </w:r>
      <w:r w:rsidRPr="0082635F">
        <w:rPr>
          <w:rFonts w:eastAsia="Times New Roman"/>
          <w:b/>
          <w:bCs/>
          <w:rtl/>
          <w:lang w:eastAsia="de-DE"/>
        </w:rPr>
        <w:t>מַמְרִים</w:t>
      </w:r>
      <w:r w:rsidRPr="0082635F">
        <w:rPr>
          <w:rFonts w:eastAsia="Times New Roman"/>
          <w:rtl/>
          <w:lang w:eastAsia="de-DE"/>
        </w:rPr>
        <w:t xml:space="preserve"> </w:t>
      </w:r>
      <w:r w:rsidRPr="0082635F">
        <w:rPr>
          <w:rFonts w:eastAsia="Times New Roman"/>
          <w:lang w:eastAsia="de-DE"/>
        </w:rPr>
        <w:t xml:space="preserve">als Hifil Partizip Plural maskulin von </w:t>
      </w:r>
      <w:r w:rsidRPr="0082635F">
        <w:rPr>
          <w:rFonts w:eastAsia="Times New Roman"/>
          <w:b/>
          <w:bCs/>
          <w:rtl/>
          <w:lang w:eastAsia="de-DE"/>
        </w:rPr>
        <w:t>מרה</w:t>
      </w:r>
      <w:r w:rsidRPr="0082635F">
        <w:rPr>
          <w:rFonts w:eastAsia="Times New Roman"/>
          <w:lang w:eastAsia="de-DE"/>
        </w:rPr>
        <w:t xml:space="preserve">, „widerspenstig sein" – als Prädikatsnomen (wie V. 7), </w:t>
      </w:r>
      <w:r w:rsidRPr="0082635F">
        <w:rPr>
          <w:rFonts w:eastAsia="Times New Roman"/>
          <w:b/>
          <w:bCs/>
          <w:rtl/>
          <w:lang w:eastAsia="de-DE"/>
        </w:rPr>
        <w:t>הֱיִיתֶם</w:t>
      </w:r>
      <w:r w:rsidRPr="0082635F">
        <w:rPr>
          <w:rFonts w:eastAsia="Times New Roman"/>
          <w:rtl/>
          <w:lang w:eastAsia="de-DE"/>
        </w:rPr>
        <w:t xml:space="preserve"> </w:t>
      </w:r>
      <w:r w:rsidRPr="0082635F">
        <w:rPr>
          <w:rFonts w:eastAsia="Times New Roman"/>
          <w:lang w:eastAsia="de-DE"/>
        </w:rPr>
        <w:t xml:space="preserve">als Qal </w:t>
      </w:r>
      <w:r w:rsidRPr="0082635F">
        <w:rPr>
          <w:rFonts w:eastAsia="Times New Roman"/>
          <w:lang w:eastAsia="de-DE"/>
        </w:rPr>
        <w:lastRenderedPageBreak/>
        <w:t xml:space="preserve">Perfekt, 2. Person Plural maskulin von </w:t>
      </w:r>
      <w:r w:rsidRPr="0082635F">
        <w:rPr>
          <w:rFonts w:eastAsia="Times New Roman"/>
          <w:b/>
          <w:bCs/>
          <w:rtl/>
          <w:lang w:eastAsia="de-DE"/>
        </w:rPr>
        <w:t>היה</w:t>
      </w:r>
      <w:r w:rsidRPr="0082635F">
        <w:rPr>
          <w:rFonts w:eastAsia="Times New Roman"/>
          <w:lang w:eastAsia="de-DE"/>
        </w:rPr>
        <w:t xml:space="preserve">, „sein", </w:t>
      </w:r>
      <w:r w:rsidRPr="0082635F">
        <w:rPr>
          <w:rFonts w:eastAsia="Times New Roman"/>
          <w:b/>
          <w:bCs/>
          <w:rtl/>
          <w:lang w:eastAsia="de-DE"/>
        </w:rPr>
        <w:t>עִם־יְהוָה</w:t>
      </w:r>
      <w:r w:rsidRPr="0082635F">
        <w:rPr>
          <w:rFonts w:eastAsia="Times New Roman"/>
          <w:rtl/>
          <w:lang w:eastAsia="de-DE"/>
        </w:rPr>
        <w:t xml:space="preserve"> </w:t>
      </w:r>
      <w:r w:rsidRPr="0082635F">
        <w:rPr>
          <w:rFonts w:eastAsia="Times New Roman"/>
          <w:lang w:eastAsia="de-DE"/>
        </w:rPr>
        <w:t>als präpositionale Ergänzung (</w:t>
      </w:r>
      <w:r w:rsidRPr="0082635F">
        <w:rPr>
          <w:rFonts w:eastAsia="Times New Roman"/>
          <w:b/>
          <w:bCs/>
          <w:rtl/>
          <w:lang w:eastAsia="de-DE"/>
        </w:rPr>
        <w:t>עִם</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יְהוָה</w:t>
      </w:r>
      <w:r w:rsidRPr="0082635F">
        <w:rPr>
          <w:rFonts w:eastAsia="Times New Roman"/>
          <w:rtl/>
          <w:lang w:eastAsia="de-DE"/>
        </w:rPr>
        <w:t xml:space="preserve"> </w:t>
      </w:r>
      <w:r w:rsidRPr="0082635F">
        <w:rPr>
          <w:rFonts w:eastAsia="Times New Roman"/>
          <w:lang w:eastAsia="de-DE"/>
        </w:rPr>
        <w:t>– „gegen JHWH").</w:t>
      </w:r>
    </w:p>
    <w:p w14:paraId="22FEFB34"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rtl/>
          <w:lang w:eastAsia="de-DE"/>
        </w:rPr>
        <w:t>מִיּוֹם דַּעְתִּי אֶתְכֶֽם</w:t>
      </w:r>
      <w:r w:rsidRPr="0082635F">
        <w:rPr>
          <w:rFonts w:eastAsia="Times New Roman"/>
          <w:rtl/>
          <w:lang w:eastAsia="de-DE"/>
        </w:rPr>
        <w:t xml:space="preserve"> </w:t>
      </w:r>
      <w:r w:rsidRPr="0082635F">
        <w:rPr>
          <w:rFonts w:eastAsia="Times New Roman"/>
          <w:lang w:eastAsia="de-DE"/>
        </w:rPr>
        <w:t xml:space="preserve">ist die temporale Bestimmung: </w:t>
      </w:r>
      <w:r w:rsidRPr="0082635F">
        <w:rPr>
          <w:rFonts w:eastAsia="Times New Roman"/>
          <w:b/>
          <w:bCs/>
          <w:rtl/>
          <w:lang w:eastAsia="de-DE"/>
        </w:rPr>
        <w:t>מִיּוֹם</w:t>
      </w:r>
      <w:r w:rsidRPr="0082635F">
        <w:rPr>
          <w:rFonts w:eastAsia="Times New Roman"/>
          <w:rtl/>
          <w:lang w:eastAsia="de-DE"/>
        </w:rPr>
        <w:t xml:space="preserve"> </w:t>
      </w:r>
      <w:r w:rsidRPr="0082635F">
        <w:rPr>
          <w:rFonts w:eastAsia="Times New Roman"/>
          <w:lang w:eastAsia="de-DE"/>
        </w:rPr>
        <w:t>(</w:t>
      </w:r>
      <w:r w:rsidRPr="0082635F">
        <w:rPr>
          <w:rFonts w:eastAsia="Times New Roman"/>
          <w:b/>
          <w:bCs/>
          <w:rtl/>
          <w:lang w:eastAsia="de-DE"/>
        </w:rPr>
        <w:t>מִן</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יוֹם</w:t>
      </w:r>
      <w:r w:rsidRPr="0082635F">
        <w:rPr>
          <w:rFonts w:eastAsia="Times New Roman"/>
          <w:rtl/>
          <w:lang w:eastAsia="de-DE"/>
        </w:rPr>
        <w:t xml:space="preserve"> </w:t>
      </w:r>
      <w:r w:rsidRPr="0082635F">
        <w:rPr>
          <w:rFonts w:eastAsia="Times New Roman"/>
          <w:lang w:eastAsia="de-DE"/>
        </w:rPr>
        <w:t xml:space="preserve">– „von dem Tag an"), </w:t>
      </w:r>
      <w:r w:rsidRPr="0082635F">
        <w:rPr>
          <w:rFonts w:eastAsia="Times New Roman"/>
          <w:b/>
          <w:bCs/>
          <w:rtl/>
          <w:lang w:eastAsia="de-DE"/>
        </w:rPr>
        <w:t>דַּעְתִּי אֶתְכֶֽם</w:t>
      </w:r>
      <w:r w:rsidRPr="0082635F">
        <w:rPr>
          <w:rFonts w:eastAsia="Times New Roman"/>
          <w:rtl/>
          <w:lang w:eastAsia="de-DE"/>
        </w:rPr>
        <w:t xml:space="preserve"> </w:t>
      </w:r>
      <w:r w:rsidRPr="0082635F">
        <w:rPr>
          <w:rFonts w:eastAsia="Times New Roman"/>
          <w:lang w:eastAsia="de-DE"/>
        </w:rPr>
        <w:t xml:space="preserve">als Infinitivkonstruktion (Qal Infinitiv Construct von </w:t>
      </w:r>
      <w:r w:rsidRPr="0082635F">
        <w:rPr>
          <w:rFonts w:eastAsia="Times New Roman"/>
          <w:b/>
          <w:bCs/>
          <w:rtl/>
          <w:lang w:eastAsia="de-DE"/>
        </w:rPr>
        <w:t>ידע</w:t>
      </w:r>
      <w:r w:rsidRPr="0082635F">
        <w:rPr>
          <w:rFonts w:eastAsia="Times New Roman"/>
          <w:lang w:eastAsia="de-DE"/>
        </w:rPr>
        <w:t xml:space="preserve">, „kennen", mit Suffix 1. Person Singular als Subjekt und </w:t>
      </w:r>
      <w:r w:rsidRPr="0082635F">
        <w:rPr>
          <w:rFonts w:eastAsia="Times New Roman"/>
          <w:b/>
          <w:bCs/>
          <w:rtl/>
          <w:lang w:eastAsia="de-DE"/>
        </w:rPr>
        <w:t>אֶתְכֶם</w:t>
      </w:r>
      <w:r w:rsidRPr="0082635F">
        <w:rPr>
          <w:rFonts w:eastAsia="Times New Roman"/>
          <w:rtl/>
          <w:lang w:eastAsia="de-DE"/>
        </w:rPr>
        <w:t xml:space="preserve"> </w:t>
      </w:r>
      <w:r w:rsidRPr="0082635F">
        <w:rPr>
          <w:rFonts w:eastAsia="Times New Roman"/>
          <w:lang w:eastAsia="de-DE"/>
        </w:rPr>
        <w:t>als direktes Objekt – „da ich euch kenne").</w:t>
      </w:r>
    </w:p>
    <w:p w14:paraId="2AF7CD5D"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 xml:space="preserve">Der Vers fasst den gesamten historischen Rückblick (V. 7-24) zusammen: Israel war vom Anfang an widerspenstig. Die temporale Bestimmung </w:t>
      </w:r>
      <w:r w:rsidRPr="0082635F">
        <w:rPr>
          <w:rFonts w:eastAsia="Times New Roman"/>
          <w:b/>
          <w:bCs/>
          <w:rtl/>
          <w:lang w:eastAsia="de-DE"/>
        </w:rPr>
        <w:t>מִיּוֹם דַּעְתִּי אֶתְכֶֽם</w:t>
      </w:r>
      <w:r w:rsidRPr="0082635F">
        <w:rPr>
          <w:rFonts w:eastAsia="Times New Roman"/>
          <w:rtl/>
          <w:lang w:eastAsia="de-DE"/>
        </w:rPr>
        <w:t xml:space="preserve"> </w:t>
      </w:r>
      <w:r w:rsidRPr="0082635F">
        <w:rPr>
          <w:rFonts w:eastAsia="Times New Roman"/>
          <w:lang w:eastAsia="de-DE"/>
        </w:rPr>
        <w:t xml:space="preserve">(„von dem Tag an, da ich euch kenne") umfasst Moses' gesamte Erfahrung mit Israel – seit dem Exodus. Das partizipiale Prädikatsnomen </w:t>
      </w:r>
      <w:r w:rsidRPr="0082635F">
        <w:rPr>
          <w:rFonts w:eastAsia="Times New Roman"/>
          <w:b/>
          <w:bCs/>
          <w:rtl/>
          <w:lang w:eastAsia="de-DE"/>
        </w:rPr>
        <w:t>מַמְרִים</w:t>
      </w:r>
      <w:r w:rsidRPr="0082635F">
        <w:rPr>
          <w:rFonts w:eastAsia="Times New Roman"/>
          <w:rtl/>
          <w:lang w:eastAsia="de-DE"/>
        </w:rPr>
        <w:t xml:space="preserve"> </w:t>
      </w:r>
      <w:r w:rsidRPr="0082635F">
        <w:rPr>
          <w:rFonts w:eastAsia="Times New Roman"/>
          <w:lang w:eastAsia="de-DE"/>
        </w:rPr>
        <w:t>unterstreicht: Widerspenstigkeit ist Israels dauerhafte Charaktereigenschaft. Die Aussage ist vernichtend, aber ehrlich – sie bereitet V. 25-29 vor: Trotz allem bat Mose für Israel.</w:t>
      </w:r>
    </w:p>
    <w:p w14:paraId="7F8E2998"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Die Satzstruktur ist ein Satz mit partizipialem Prädikatsnomen, Prädikat, präpositionaler Ergänzung und temporaler Bestimmung (mit Infinitivkonstruktion).</w:t>
      </w:r>
    </w:p>
    <w:p w14:paraId="0BDEB0FF"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Der Vers fasst zusammen: Widerspenstig seid ihr gegen JHWH gewesen von dem Tag an, da ich euch kenne – dauerhafte Rebellion seit Beginn.</w:t>
      </w:r>
    </w:p>
    <w:p w14:paraId="7938D504" w14:textId="77777777" w:rsidR="0082635F" w:rsidRPr="0082635F" w:rsidRDefault="0082635F" w:rsidP="0082635F">
      <w:pPr>
        <w:spacing w:before="100" w:beforeAutospacing="1" w:after="100" w:afterAutospacing="1" w:line="240" w:lineRule="auto"/>
        <w:outlineLvl w:val="1"/>
        <w:rPr>
          <w:rFonts w:eastAsia="Times New Roman"/>
          <w:b/>
          <w:bCs/>
          <w:sz w:val="36"/>
          <w:szCs w:val="36"/>
          <w:lang w:eastAsia="de-DE"/>
        </w:rPr>
      </w:pPr>
      <w:r w:rsidRPr="0082635F">
        <w:rPr>
          <w:rFonts w:eastAsia="Times New Roman"/>
          <w:b/>
          <w:bCs/>
          <w:sz w:val="36"/>
          <w:szCs w:val="36"/>
          <w:lang w:eastAsia="de-DE"/>
        </w:rPr>
        <w:t>Deuteronomium 9,25</w:t>
      </w:r>
    </w:p>
    <w:p w14:paraId="1450E501"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Hebräisch:</w:t>
      </w:r>
      <w:r w:rsidRPr="0082635F">
        <w:rPr>
          <w:rFonts w:eastAsia="Times New Roman"/>
          <w:lang w:eastAsia="de-DE"/>
        </w:rPr>
        <w:t xml:space="preserve"> </w:t>
      </w:r>
      <w:r w:rsidRPr="0082635F">
        <w:rPr>
          <w:rFonts w:eastAsia="Times New Roman"/>
          <w:rtl/>
          <w:lang w:eastAsia="de-DE"/>
        </w:rPr>
        <w:t>וָֽאֶתְנַפַּל לִפְנֵי יְהוָה אֵת אַרְבָּעִים הַיּוֹם וְאֶת־אַרְבָּעִים הַלַּיְלָה אֲשֶׁר הִתְנַפָּלְתִּי כִּֽי־אָמַר יְהוָה לְהַשְׁמִיד אֶתְכֶֽם׃</w:t>
      </w:r>
    </w:p>
    <w:p w14:paraId="7E6E163A"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Deutsch:</w:t>
      </w:r>
      <w:r w:rsidRPr="0082635F">
        <w:rPr>
          <w:rFonts w:eastAsia="Times New Roman"/>
          <w:lang w:eastAsia="de-DE"/>
        </w:rPr>
        <w:t xml:space="preserve"> Und ich warf mich vor dem Ewigen nieder, die 40 Tage und die 40 Nächte, die ich mich niederwarf; denn der Ewige hatte gesagt, er wolle euch vertilgen.</w:t>
      </w:r>
    </w:p>
    <w:p w14:paraId="6057981E" w14:textId="77777777" w:rsidR="0082635F" w:rsidRPr="0082635F" w:rsidRDefault="004F5CEB" w:rsidP="0082635F">
      <w:pPr>
        <w:spacing w:after="0" w:line="240" w:lineRule="auto"/>
        <w:rPr>
          <w:rFonts w:eastAsia="Times New Roman"/>
          <w:lang w:eastAsia="de-DE"/>
        </w:rPr>
      </w:pPr>
      <w:r>
        <w:rPr>
          <w:rFonts w:eastAsia="Times New Roman"/>
          <w:noProof/>
          <w:lang w:eastAsia="de-DE"/>
        </w:rPr>
        <w:pict w14:anchorId="08733F23">
          <v:rect id="_x0000_i1314" style="width:0;height:1.5pt" o:hralign="center" o:hrstd="t" o:hr="t" fillcolor="#a0a0a0" stroked="f"/>
        </w:pict>
      </w:r>
    </w:p>
    <w:p w14:paraId="1B73AA37"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Kommentar:</w:t>
      </w:r>
      <w:r w:rsidRPr="0082635F">
        <w:rPr>
          <w:rFonts w:eastAsia="Times New Roman"/>
          <w:lang w:eastAsia="de-DE"/>
        </w:rPr>
        <w:t xml:space="preserve"> </w:t>
      </w:r>
      <w:r w:rsidRPr="0082635F">
        <w:rPr>
          <w:rFonts w:eastAsia="Times New Roman"/>
          <w:b/>
          <w:bCs/>
          <w:rtl/>
          <w:lang w:eastAsia="de-DE"/>
        </w:rPr>
        <w:t>וָֽאֶתְנַפַּל לִפְנֵי יְהוָה אֵת אַרְבָּעִים הַיּוֹם וְאֶת־אַרְבָּעִים הַלַּיְלָה</w:t>
      </w:r>
      <w:r w:rsidRPr="0082635F">
        <w:rPr>
          <w:rFonts w:eastAsia="Times New Roman"/>
          <w:rtl/>
          <w:lang w:eastAsia="de-DE"/>
        </w:rPr>
        <w:t xml:space="preserve"> </w:t>
      </w:r>
      <w:r w:rsidRPr="0082635F">
        <w:rPr>
          <w:rFonts w:eastAsia="Times New Roman"/>
          <w:lang w:eastAsia="de-DE"/>
        </w:rPr>
        <w:t xml:space="preserve">ist die Hauptaussage: </w:t>
      </w:r>
      <w:r w:rsidRPr="0082635F">
        <w:rPr>
          <w:rFonts w:eastAsia="Times New Roman"/>
          <w:b/>
          <w:bCs/>
          <w:rtl/>
          <w:lang w:eastAsia="de-DE"/>
        </w:rPr>
        <w:t>וָֽאֶתְנַפַּל לִפְנֵי יְהוָה</w:t>
      </w:r>
      <w:r w:rsidRPr="0082635F">
        <w:rPr>
          <w:rFonts w:eastAsia="Times New Roman"/>
          <w:rtl/>
          <w:lang w:eastAsia="de-DE"/>
        </w:rPr>
        <w:t xml:space="preserve"> </w:t>
      </w:r>
      <w:r w:rsidRPr="0082635F">
        <w:rPr>
          <w:rFonts w:eastAsia="Times New Roman"/>
          <w:lang w:eastAsia="de-DE"/>
        </w:rPr>
        <w:t xml:space="preserve">(wie V. 18), </w:t>
      </w:r>
      <w:r w:rsidRPr="0082635F">
        <w:rPr>
          <w:rFonts w:eastAsia="Times New Roman"/>
          <w:b/>
          <w:bCs/>
          <w:rtl/>
          <w:lang w:eastAsia="de-DE"/>
        </w:rPr>
        <w:t>אֵת אַרְבָּעִים הַיּוֹם וְאֶת־אַרְבָּעִים הַלַּיְלָה</w:t>
      </w:r>
      <w:r w:rsidRPr="0082635F">
        <w:rPr>
          <w:rFonts w:eastAsia="Times New Roman"/>
          <w:rtl/>
          <w:lang w:eastAsia="de-DE"/>
        </w:rPr>
        <w:t xml:space="preserve"> </w:t>
      </w:r>
      <w:r w:rsidRPr="0082635F">
        <w:rPr>
          <w:rFonts w:eastAsia="Times New Roman"/>
          <w:lang w:eastAsia="de-DE"/>
        </w:rPr>
        <w:t xml:space="preserve">als temporale Akkusativbestimmung (mit </w:t>
      </w:r>
      <w:r w:rsidRPr="0082635F">
        <w:rPr>
          <w:rFonts w:eastAsia="Times New Roman"/>
          <w:b/>
          <w:bCs/>
          <w:rtl/>
          <w:lang w:eastAsia="de-DE"/>
        </w:rPr>
        <w:t>אֵת</w:t>
      </w:r>
      <w:r w:rsidRPr="0082635F">
        <w:rPr>
          <w:rFonts w:eastAsia="Times New Roman"/>
          <w:rtl/>
          <w:lang w:eastAsia="de-DE"/>
        </w:rPr>
        <w:t xml:space="preserve"> </w:t>
      </w:r>
      <w:r w:rsidRPr="0082635F">
        <w:rPr>
          <w:rFonts w:eastAsia="Times New Roman"/>
          <w:lang w:eastAsia="de-DE"/>
        </w:rPr>
        <w:t>– ungewöhnlich bei Zeitangaben, aber möglich – „die vierzig Tage und die vierzig Nächte").</w:t>
      </w:r>
    </w:p>
    <w:p w14:paraId="3F55C85D"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rtl/>
          <w:lang w:eastAsia="de-DE"/>
        </w:rPr>
        <w:t>אֲשֶׁר הִתְנַפָּלְתִּי</w:t>
      </w:r>
      <w:r w:rsidRPr="0082635F">
        <w:rPr>
          <w:rFonts w:eastAsia="Times New Roman"/>
          <w:rtl/>
          <w:lang w:eastAsia="de-DE"/>
        </w:rPr>
        <w:t xml:space="preserve"> </w:t>
      </w:r>
      <w:r w:rsidRPr="0082635F">
        <w:rPr>
          <w:rFonts w:eastAsia="Times New Roman"/>
          <w:lang w:eastAsia="de-DE"/>
        </w:rPr>
        <w:t xml:space="preserve">ist ein Relativsatz: </w:t>
      </w:r>
      <w:r w:rsidRPr="0082635F">
        <w:rPr>
          <w:rFonts w:eastAsia="Times New Roman"/>
          <w:b/>
          <w:bCs/>
          <w:rtl/>
          <w:lang w:eastAsia="de-DE"/>
        </w:rPr>
        <w:t>אֲשֶׁר</w:t>
      </w:r>
      <w:r w:rsidRPr="0082635F">
        <w:rPr>
          <w:rFonts w:eastAsia="Times New Roman"/>
          <w:rtl/>
          <w:lang w:eastAsia="de-DE"/>
        </w:rPr>
        <w:t xml:space="preserve"> </w:t>
      </w:r>
      <w:r w:rsidRPr="0082635F">
        <w:rPr>
          <w:rFonts w:eastAsia="Times New Roman"/>
          <w:lang w:eastAsia="de-DE"/>
        </w:rPr>
        <w:t xml:space="preserve">als Relativpronomen (bezogen auf die Zeitangabe), </w:t>
      </w:r>
      <w:r w:rsidRPr="0082635F">
        <w:rPr>
          <w:rFonts w:eastAsia="Times New Roman"/>
          <w:b/>
          <w:bCs/>
          <w:rtl/>
          <w:lang w:eastAsia="de-DE"/>
        </w:rPr>
        <w:t>הִתְנַפָּלְתִּי</w:t>
      </w:r>
      <w:r w:rsidRPr="0082635F">
        <w:rPr>
          <w:rFonts w:eastAsia="Times New Roman"/>
          <w:rtl/>
          <w:lang w:eastAsia="de-DE"/>
        </w:rPr>
        <w:t xml:space="preserve"> </w:t>
      </w:r>
      <w:r w:rsidRPr="0082635F">
        <w:rPr>
          <w:rFonts w:eastAsia="Times New Roman"/>
          <w:lang w:eastAsia="de-DE"/>
        </w:rPr>
        <w:t xml:space="preserve">als Hitpael Perfekt, 1. Person Singular von </w:t>
      </w:r>
      <w:r w:rsidRPr="0082635F">
        <w:rPr>
          <w:rFonts w:eastAsia="Times New Roman"/>
          <w:b/>
          <w:bCs/>
          <w:rtl/>
          <w:lang w:eastAsia="de-DE"/>
        </w:rPr>
        <w:t>נפל</w:t>
      </w:r>
      <w:r w:rsidRPr="0082635F">
        <w:rPr>
          <w:rFonts w:eastAsia="Times New Roman"/>
          <w:lang w:eastAsia="de-DE"/>
        </w:rPr>
        <w:t>, „sich niederwerfen".</w:t>
      </w:r>
    </w:p>
    <w:p w14:paraId="58F45D18"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rtl/>
          <w:lang w:eastAsia="de-DE"/>
        </w:rPr>
        <w:t>כִּֽי־אָמַר יְהוָה לְהַשְׁמִיד אֶתְכֶֽם</w:t>
      </w:r>
      <w:r w:rsidRPr="0082635F">
        <w:rPr>
          <w:rFonts w:eastAsia="Times New Roman"/>
          <w:rtl/>
          <w:lang w:eastAsia="de-DE"/>
        </w:rPr>
        <w:t xml:space="preserve"> </w:t>
      </w:r>
      <w:r w:rsidRPr="0082635F">
        <w:rPr>
          <w:rFonts w:eastAsia="Times New Roman"/>
          <w:lang w:eastAsia="de-DE"/>
        </w:rPr>
        <w:t xml:space="preserve">ist die Begründung: </w:t>
      </w:r>
      <w:r w:rsidRPr="0082635F">
        <w:rPr>
          <w:rFonts w:eastAsia="Times New Roman"/>
          <w:b/>
          <w:bCs/>
          <w:rtl/>
          <w:lang w:eastAsia="de-DE"/>
        </w:rPr>
        <w:t>כִּֽי</w:t>
      </w:r>
      <w:r w:rsidRPr="0082635F">
        <w:rPr>
          <w:rFonts w:eastAsia="Times New Roman"/>
          <w:rtl/>
          <w:lang w:eastAsia="de-DE"/>
        </w:rPr>
        <w:t xml:space="preserve"> </w:t>
      </w:r>
      <w:r w:rsidRPr="0082635F">
        <w:rPr>
          <w:rFonts w:eastAsia="Times New Roman"/>
          <w:lang w:eastAsia="de-DE"/>
        </w:rPr>
        <w:t xml:space="preserve">als Konjunktion („denn"), </w:t>
      </w:r>
      <w:r w:rsidRPr="0082635F">
        <w:rPr>
          <w:rFonts w:eastAsia="Times New Roman"/>
          <w:b/>
          <w:bCs/>
          <w:rtl/>
          <w:lang w:eastAsia="de-DE"/>
        </w:rPr>
        <w:t>אָמַר יְהוָה</w:t>
      </w:r>
      <w:r w:rsidRPr="0082635F">
        <w:rPr>
          <w:rFonts w:eastAsia="Times New Roman"/>
          <w:rtl/>
          <w:lang w:eastAsia="de-DE"/>
        </w:rPr>
        <w:t xml:space="preserve"> </w:t>
      </w:r>
      <w:r w:rsidRPr="0082635F">
        <w:rPr>
          <w:rFonts w:eastAsia="Times New Roman"/>
          <w:lang w:eastAsia="de-DE"/>
        </w:rPr>
        <w:t xml:space="preserve">(Qal Perfekt, 3. Person Singular maskulin von </w:t>
      </w:r>
      <w:r w:rsidRPr="0082635F">
        <w:rPr>
          <w:rFonts w:eastAsia="Times New Roman"/>
          <w:b/>
          <w:bCs/>
          <w:rtl/>
          <w:lang w:eastAsia="de-DE"/>
        </w:rPr>
        <w:t>אמר</w:t>
      </w:r>
      <w:r w:rsidRPr="0082635F">
        <w:rPr>
          <w:rFonts w:eastAsia="Times New Roman"/>
          <w:lang w:eastAsia="de-DE"/>
        </w:rPr>
        <w:t xml:space="preserve">, „sagen", </w:t>
      </w:r>
      <w:r w:rsidRPr="0082635F">
        <w:rPr>
          <w:rFonts w:eastAsia="Times New Roman"/>
          <w:b/>
          <w:bCs/>
          <w:rtl/>
          <w:lang w:eastAsia="de-DE"/>
        </w:rPr>
        <w:t>יְהוָה</w:t>
      </w:r>
      <w:r w:rsidRPr="0082635F">
        <w:rPr>
          <w:rFonts w:eastAsia="Times New Roman"/>
          <w:rtl/>
          <w:lang w:eastAsia="de-DE"/>
        </w:rPr>
        <w:t xml:space="preserve"> </w:t>
      </w:r>
      <w:r w:rsidRPr="0082635F">
        <w:rPr>
          <w:rFonts w:eastAsia="Times New Roman"/>
          <w:lang w:eastAsia="de-DE"/>
        </w:rPr>
        <w:t xml:space="preserve">als Subjekt), </w:t>
      </w:r>
      <w:r w:rsidRPr="0082635F">
        <w:rPr>
          <w:rFonts w:eastAsia="Times New Roman"/>
          <w:b/>
          <w:bCs/>
          <w:rtl/>
          <w:lang w:eastAsia="de-DE"/>
        </w:rPr>
        <w:t>לְהַשְׁמִיד אֶתְכֶֽם</w:t>
      </w:r>
      <w:r w:rsidRPr="0082635F">
        <w:rPr>
          <w:rFonts w:eastAsia="Times New Roman"/>
          <w:rtl/>
          <w:lang w:eastAsia="de-DE"/>
        </w:rPr>
        <w:t xml:space="preserve"> </w:t>
      </w:r>
      <w:r w:rsidRPr="0082635F">
        <w:rPr>
          <w:rFonts w:eastAsia="Times New Roman"/>
          <w:lang w:eastAsia="de-DE"/>
        </w:rPr>
        <w:t xml:space="preserve">als finaler bzw. objektiver Infinitiv (Hifil Infinitiv Construct von </w:t>
      </w:r>
      <w:r w:rsidRPr="0082635F">
        <w:rPr>
          <w:rFonts w:eastAsia="Times New Roman"/>
          <w:b/>
          <w:bCs/>
          <w:rtl/>
          <w:lang w:eastAsia="de-DE"/>
        </w:rPr>
        <w:t>שׁמד</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לְ</w:t>
      </w:r>
      <w:r w:rsidRPr="0082635F">
        <w:rPr>
          <w:rFonts w:eastAsia="Times New Roman"/>
          <w:rtl/>
          <w:lang w:eastAsia="de-DE"/>
        </w:rPr>
        <w:t xml:space="preserve"> </w:t>
      </w:r>
      <w:r w:rsidRPr="0082635F">
        <w:rPr>
          <w:rFonts w:eastAsia="Times New Roman"/>
          <w:lang w:eastAsia="de-DE"/>
        </w:rPr>
        <w:t>und direktem Objekt).</w:t>
      </w:r>
    </w:p>
    <w:p w14:paraId="31A43C3C"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 xml:space="preserve">Der Vers leitet Moses' Fürbittgebet ein (V. 26-29) und erinnert nochmals an die zweite vierzigtägige Fürbitte (vgl. V. 18). Die temporale Akkusativbestimmung mit </w:t>
      </w:r>
      <w:r w:rsidRPr="0082635F">
        <w:rPr>
          <w:rFonts w:eastAsia="Times New Roman"/>
          <w:b/>
          <w:bCs/>
          <w:rtl/>
          <w:lang w:eastAsia="de-DE"/>
        </w:rPr>
        <w:t>אֵת</w:t>
      </w:r>
      <w:r w:rsidRPr="0082635F">
        <w:rPr>
          <w:rFonts w:eastAsia="Times New Roman"/>
          <w:rtl/>
          <w:lang w:eastAsia="de-DE"/>
        </w:rPr>
        <w:t xml:space="preserve"> </w:t>
      </w:r>
      <w:r w:rsidRPr="0082635F">
        <w:rPr>
          <w:rFonts w:eastAsia="Times New Roman"/>
          <w:lang w:eastAsia="de-DE"/>
        </w:rPr>
        <w:t xml:space="preserve">ist ungewöhnlich, aber unterstreicht die Emphase: „diese ganzen vierzig Tage und Nächte". Der </w:t>
      </w:r>
      <w:r w:rsidRPr="0082635F">
        <w:rPr>
          <w:rFonts w:eastAsia="Times New Roman"/>
          <w:lang w:eastAsia="de-DE"/>
        </w:rPr>
        <w:lastRenderedPageBreak/>
        <w:t xml:space="preserve">Relativsatz </w:t>
      </w:r>
      <w:r w:rsidRPr="0082635F">
        <w:rPr>
          <w:rFonts w:eastAsia="Times New Roman"/>
          <w:b/>
          <w:bCs/>
          <w:rtl/>
          <w:lang w:eastAsia="de-DE"/>
        </w:rPr>
        <w:t>אֲשֶׁר הִתְנַפָּלְתִּי</w:t>
      </w:r>
      <w:r w:rsidRPr="0082635F">
        <w:rPr>
          <w:rFonts w:eastAsia="Times New Roman"/>
          <w:rtl/>
          <w:lang w:eastAsia="de-DE"/>
        </w:rPr>
        <w:t xml:space="preserve"> </w:t>
      </w:r>
      <w:r w:rsidRPr="0082635F">
        <w:rPr>
          <w:rFonts w:eastAsia="Times New Roman"/>
          <w:lang w:eastAsia="de-DE"/>
        </w:rPr>
        <w:t xml:space="preserve">betont nochmals die Intensität der Fürbitte. Die Begründung </w:t>
      </w:r>
      <w:r w:rsidRPr="0082635F">
        <w:rPr>
          <w:rFonts w:eastAsia="Times New Roman"/>
          <w:b/>
          <w:bCs/>
          <w:rtl/>
          <w:lang w:eastAsia="de-DE"/>
        </w:rPr>
        <w:t>כִּֽי־אָמַר יְהוָה לְהַשְׁמִיד אֶתְכֶֽם</w:t>
      </w:r>
      <w:r w:rsidRPr="0082635F">
        <w:rPr>
          <w:rFonts w:eastAsia="Times New Roman"/>
          <w:rtl/>
          <w:lang w:eastAsia="de-DE"/>
        </w:rPr>
        <w:t xml:space="preserve"> </w:t>
      </w:r>
      <w:r w:rsidRPr="0082635F">
        <w:rPr>
          <w:rFonts w:eastAsia="Times New Roman"/>
          <w:lang w:eastAsia="de-DE"/>
        </w:rPr>
        <w:t>erinnert an V. 8.14: JHWH hatte Israels Vernichtung angekündigt.</w:t>
      </w:r>
    </w:p>
    <w:p w14:paraId="04A78D76"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Die Satzstruktur ist ein Imperfekt consecutivum mit Ortsangabe und temporaler Akkusativbestimmung, erweitert durch einen Relativsatz und eine Begründung mit finalem bzw. objektivem Infinitiv.</w:t>
      </w:r>
    </w:p>
    <w:p w14:paraId="2AEA9C2B"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Der Vers leitet die Fürbitte ein: Ich warf mich vor JHWH nieder, die vierzig Tage und Nächte, die ich mich niederwarf – denn JHWH hatte gesagt, er wolle euch vertilgen.</w:t>
      </w:r>
    </w:p>
    <w:p w14:paraId="0575EF39" w14:textId="77777777" w:rsidR="0082635F" w:rsidRPr="0082635F" w:rsidRDefault="0082635F" w:rsidP="0082635F">
      <w:pPr>
        <w:spacing w:before="100" w:beforeAutospacing="1" w:after="100" w:afterAutospacing="1" w:line="240" w:lineRule="auto"/>
        <w:outlineLvl w:val="1"/>
        <w:rPr>
          <w:rFonts w:eastAsia="Times New Roman"/>
          <w:b/>
          <w:bCs/>
          <w:sz w:val="36"/>
          <w:szCs w:val="36"/>
          <w:lang w:eastAsia="de-DE"/>
        </w:rPr>
      </w:pPr>
      <w:r w:rsidRPr="0082635F">
        <w:rPr>
          <w:rFonts w:eastAsia="Times New Roman"/>
          <w:b/>
          <w:bCs/>
          <w:sz w:val="36"/>
          <w:szCs w:val="36"/>
          <w:lang w:eastAsia="de-DE"/>
        </w:rPr>
        <w:t>Deuteronomium 9,26</w:t>
      </w:r>
    </w:p>
    <w:p w14:paraId="186709C5"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Hebräisch:</w:t>
      </w:r>
      <w:r w:rsidRPr="0082635F">
        <w:rPr>
          <w:rFonts w:eastAsia="Times New Roman"/>
          <w:lang w:eastAsia="de-DE"/>
        </w:rPr>
        <w:t xml:space="preserve"> </w:t>
      </w:r>
      <w:r w:rsidRPr="0082635F">
        <w:rPr>
          <w:rFonts w:eastAsia="Times New Roman"/>
          <w:rtl/>
          <w:lang w:eastAsia="de-DE"/>
        </w:rPr>
        <w:t>וָאֶתְפַּלֵּל אֶל־יְהוָה וָאֹמַר אֲדֹנָי יְהוִה אַל־תַּשְׁחֵת עַמְּךָ וְנַחֲלָתְךָ אֲשֶׁר פָּדִיתָ בְּגָדְלֶךָ אֲשֶׁר־הוֹצֵאתָ מִמִּצְרַיִם בְּיָד חֲזָקָֽה׃</w:t>
      </w:r>
    </w:p>
    <w:p w14:paraId="43EE768D"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Deutsch:</w:t>
      </w:r>
      <w:r w:rsidRPr="0082635F">
        <w:rPr>
          <w:rFonts w:eastAsia="Times New Roman"/>
          <w:lang w:eastAsia="de-DE"/>
        </w:rPr>
        <w:t xml:space="preserve"> Und ich betete zu dem Ewigen und sprach: Herr, Ewiger, verdirb nicht dein Volk und dein Erbteil, das du durch deine Größe erlöst, das du mit starker Hand aus Mizrajim herausgeführt hast.</w:t>
      </w:r>
    </w:p>
    <w:p w14:paraId="2E46CA9A" w14:textId="77777777" w:rsidR="0082635F" w:rsidRPr="0082635F" w:rsidRDefault="004F5CEB" w:rsidP="0082635F">
      <w:pPr>
        <w:spacing w:after="0" w:line="240" w:lineRule="auto"/>
        <w:rPr>
          <w:rFonts w:eastAsia="Times New Roman"/>
          <w:lang w:eastAsia="de-DE"/>
        </w:rPr>
      </w:pPr>
      <w:r>
        <w:rPr>
          <w:rFonts w:eastAsia="Times New Roman"/>
          <w:noProof/>
          <w:lang w:eastAsia="de-DE"/>
        </w:rPr>
        <w:pict w14:anchorId="4849C874">
          <v:rect id="_x0000_i1315" style="width:0;height:1.5pt" o:hralign="center" o:hrstd="t" o:hr="t" fillcolor="#a0a0a0" stroked="f"/>
        </w:pict>
      </w:r>
    </w:p>
    <w:p w14:paraId="6CD74571"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Kommentar:</w:t>
      </w:r>
      <w:r w:rsidRPr="0082635F">
        <w:rPr>
          <w:rFonts w:eastAsia="Times New Roman"/>
          <w:lang w:eastAsia="de-DE"/>
        </w:rPr>
        <w:t xml:space="preserve"> </w:t>
      </w:r>
      <w:r w:rsidRPr="0082635F">
        <w:rPr>
          <w:rFonts w:eastAsia="Times New Roman"/>
          <w:b/>
          <w:bCs/>
          <w:rtl/>
          <w:lang w:eastAsia="de-DE"/>
        </w:rPr>
        <w:t>וָאֶתְפַּלֵּל אֶל־יְהוָה וָאֹמַר</w:t>
      </w:r>
      <w:r w:rsidRPr="0082635F">
        <w:rPr>
          <w:rFonts w:eastAsia="Times New Roman"/>
          <w:rtl/>
          <w:lang w:eastAsia="de-DE"/>
        </w:rPr>
        <w:t xml:space="preserve"> </w:t>
      </w:r>
      <w:r w:rsidRPr="0082635F">
        <w:rPr>
          <w:rFonts w:eastAsia="Times New Roman"/>
          <w:lang w:eastAsia="de-DE"/>
        </w:rPr>
        <w:t xml:space="preserve">ist die Gebetseinleitung: </w:t>
      </w:r>
      <w:r w:rsidRPr="0082635F">
        <w:rPr>
          <w:rFonts w:eastAsia="Times New Roman"/>
          <w:b/>
          <w:bCs/>
          <w:rtl/>
          <w:lang w:eastAsia="de-DE"/>
        </w:rPr>
        <w:t>וָאֶתְפַּלֵּל</w:t>
      </w:r>
      <w:r w:rsidRPr="0082635F">
        <w:rPr>
          <w:rFonts w:eastAsia="Times New Roman"/>
          <w:rtl/>
          <w:lang w:eastAsia="de-DE"/>
        </w:rPr>
        <w:t xml:space="preserve"> </w:t>
      </w:r>
      <w:r w:rsidRPr="0082635F">
        <w:rPr>
          <w:rFonts w:eastAsia="Times New Roman"/>
          <w:lang w:eastAsia="de-DE"/>
        </w:rPr>
        <w:t xml:space="preserve">(Hitpael Imperfekt consecutivum, 1. Person Singular von </w:t>
      </w:r>
      <w:r w:rsidRPr="0082635F">
        <w:rPr>
          <w:rFonts w:eastAsia="Times New Roman"/>
          <w:b/>
          <w:bCs/>
          <w:rtl/>
          <w:lang w:eastAsia="de-DE"/>
        </w:rPr>
        <w:t>פלל</w:t>
      </w:r>
      <w:r w:rsidRPr="0082635F">
        <w:rPr>
          <w:rFonts w:eastAsia="Times New Roman"/>
          <w:lang w:eastAsia="de-DE"/>
        </w:rPr>
        <w:t xml:space="preserve">, „beten", mit </w:t>
      </w:r>
      <w:r w:rsidRPr="0082635F">
        <w:rPr>
          <w:rFonts w:eastAsia="Times New Roman"/>
          <w:b/>
          <w:bCs/>
          <w:rtl/>
          <w:lang w:eastAsia="de-DE"/>
        </w:rPr>
        <w:t>וְ</w:t>
      </w:r>
      <w:r w:rsidRPr="0082635F">
        <w:rPr>
          <w:rFonts w:eastAsia="Times New Roman"/>
          <w:lang w:eastAsia="de-DE"/>
        </w:rPr>
        <w:t xml:space="preserve">), </w:t>
      </w:r>
      <w:r w:rsidRPr="0082635F">
        <w:rPr>
          <w:rFonts w:eastAsia="Times New Roman"/>
          <w:b/>
          <w:bCs/>
          <w:rtl/>
          <w:lang w:eastAsia="de-DE"/>
        </w:rPr>
        <w:t>אֶל־יְהוָה</w:t>
      </w:r>
      <w:r w:rsidRPr="0082635F">
        <w:rPr>
          <w:rFonts w:eastAsia="Times New Roman"/>
          <w:rtl/>
          <w:lang w:eastAsia="de-DE"/>
        </w:rPr>
        <w:t xml:space="preserve"> </w:t>
      </w:r>
      <w:r w:rsidRPr="0082635F">
        <w:rPr>
          <w:rFonts w:eastAsia="Times New Roman"/>
          <w:lang w:eastAsia="de-DE"/>
        </w:rPr>
        <w:t xml:space="preserve">als Richtungsangabe, </w:t>
      </w:r>
      <w:r w:rsidRPr="0082635F">
        <w:rPr>
          <w:rFonts w:eastAsia="Times New Roman"/>
          <w:b/>
          <w:bCs/>
          <w:rtl/>
          <w:lang w:eastAsia="de-DE"/>
        </w:rPr>
        <w:t>וָאֹמַר</w:t>
      </w:r>
      <w:r w:rsidRPr="0082635F">
        <w:rPr>
          <w:rFonts w:eastAsia="Times New Roman"/>
          <w:rtl/>
          <w:lang w:eastAsia="de-DE"/>
        </w:rPr>
        <w:t xml:space="preserve"> </w:t>
      </w:r>
      <w:r w:rsidRPr="0082635F">
        <w:rPr>
          <w:rFonts w:eastAsia="Times New Roman"/>
          <w:lang w:eastAsia="de-DE"/>
        </w:rPr>
        <w:t xml:space="preserve">koordiniert (Qal Imperfekt consecutivum, 1. Person Singular von </w:t>
      </w:r>
      <w:r w:rsidRPr="0082635F">
        <w:rPr>
          <w:rFonts w:eastAsia="Times New Roman"/>
          <w:b/>
          <w:bCs/>
          <w:rtl/>
          <w:lang w:eastAsia="de-DE"/>
        </w:rPr>
        <w:t>אמר</w:t>
      </w:r>
      <w:r w:rsidRPr="0082635F">
        <w:rPr>
          <w:rFonts w:eastAsia="Times New Roman"/>
          <w:lang w:eastAsia="de-DE"/>
        </w:rPr>
        <w:t xml:space="preserve">, „sagen", mit </w:t>
      </w:r>
      <w:r w:rsidRPr="0082635F">
        <w:rPr>
          <w:rFonts w:eastAsia="Times New Roman"/>
          <w:b/>
          <w:bCs/>
          <w:rtl/>
          <w:lang w:eastAsia="de-DE"/>
        </w:rPr>
        <w:t>וְ</w:t>
      </w:r>
      <w:r w:rsidRPr="0082635F">
        <w:rPr>
          <w:rFonts w:eastAsia="Times New Roman"/>
          <w:lang w:eastAsia="de-DE"/>
        </w:rPr>
        <w:t>).</w:t>
      </w:r>
    </w:p>
    <w:p w14:paraId="198FF58A"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rtl/>
          <w:lang w:eastAsia="de-DE"/>
        </w:rPr>
        <w:t>אֲדֹנָי יְהוִה אַל־תַּשְׁחֵת עַמְּךָ וְנַחֲלָתְךָ</w:t>
      </w:r>
      <w:r w:rsidRPr="0082635F">
        <w:rPr>
          <w:rFonts w:eastAsia="Times New Roman"/>
          <w:rtl/>
          <w:lang w:eastAsia="de-DE"/>
        </w:rPr>
        <w:t xml:space="preserve"> </w:t>
      </w:r>
      <w:r w:rsidRPr="0082635F">
        <w:rPr>
          <w:rFonts w:eastAsia="Times New Roman"/>
          <w:lang w:eastAsia="de-DE"/>
        </w:rPr>
        <w:t xml:space="preserve">ist die Bitte: </w:t>
      </w:r>
      <w:r w:rsidRPr="0082635F">
        <w:rPr>
          <w:rFonts w:eastAsia="Times New Roman"/>
          <w:b/>
          <w:bCs/>
          <w:rtl/>
          <w:lang w:eastAsia="de-DE"/>
        </w:rPr>
        <w:t>אֲדֹנָי יְהוִה</w:t>
      </w:r>
      <w:r w:rsidRPr="0082635F">
        <w:rPr>
          <w:rFonts w:eastAsia="Times New Roman"/>
          <w:rtl/>
          <w:lang w:eastAsia="de-DE"/>
        </w:rPr>
        <w:t xml:space="preserve"> </w:t>
      </w:r>
      <w:r w:rsidRPr="0082635F">
        <w:rPr>
          <w:rFonts w:eastAsia="Times New Roman"/>
          <w:lang w:eastAsia="de-DE"/>
        </w:rPr>
        <w:t xml:space="preserve">als Anrede (doppelte Gottesbezeichnung), </w:t>
      </w:r>
      <w:r w:rsidRPr="0082635F">
        <w:rPr>
          <w:rFonts w:eastAsia="Times New Roman"/>
          <w:b/>
          <w:bCs/>
          <w:rtl/>
          <w:lang w:eastAsia="de-DE"/>
        </w:rPr>
        <w:t>אַל־תַּשְׁחֵת</w:t>
      </w:r>
      <w:r w:rsidRPr="0082635F">
        <w:rPr>
          <w:rFonts w:eastAsia="Times New Roman"/>
          <w:rtl/>
          <w:lang w:eastAsia="de-DE"/>
        </w:rPr>
        <w:t xml:space="preserve"> </w:t>
      </w:r>
      <w:r w:rsidRPr="0082635F">
        <w:rPr>
          <w:rFonts w:eastAsia="Times New Roman"/>
          <w:lang w:eastAsia="de-DE"/>
        </w:rPr>
        <w:t xml:space="preserve">als prohibitiver Satz (Hifil Imperfekt, 2. Person Singular maskulin von </w:t>
      </w:r>
      <w:r w:rsidRPr="0082635F">
        <w:rPr>
          <w:rFonts w:eastAsia="Times New Roman"/>
          <w:b/>
          <w:bCs/>
          <w:rtl/>
          <w:lang w:eastAsia="de-DE"/>
        </w:rPr>
        <w:t>שׁחת</w:t>
      </w:r>
      <w:r w:rsidRPr="0082635F">
        <w:rPr>
          <w:rFonts w:eastAsia="Times New Roman"/>
          <w:lang w:eastAsia="de-DE"/>
        </w:rPr>
        <w:t xml:space="preserve">, „verderben, vernichten", mit Negation </w:t>
      </w:r>
      <w:r w:rsidRPr="0082635F">
        <w:rPr>
          <w:rFonts w:eastAsia="Times New Roman"/>
          <w:b/>
          <w:bCs/>
          <w:rtl/>
          <w:lang w:eastAsia="de-DE"/>
        </w:rPr>
        <w:t>אַל</w:t>
      </w:r>
      <w:r w:rsidRPr="0082635F">
        <w:rPr>
          <w:rFonts w:eastAsia="Times New Roman"/>
          <w:lang w:eastAsia="de-DE"/>
        </w:rPr>
        <w:t xml:space="preserve">), </w:t>
      </w:r>
      <w:r w:rsidRPr="0082635F">
        <w:rPr>
          <w:rFonts w:eastAsia="Times New Roman"/>
          <w:b/>
          <w:bCs/>
          <w:rtl/>
          <w:lang w:eastAsia="de-DE"/>
        </w:rPr>
        <w:t>עַמְּךָ וְנַחֲלָתְךָ</w:t>
      </w:r>
      <w:r w:rsidRPr="0082635F">
        <w:rPr>
          <w:rFonts w:eastAsia="Times New Roman"/>
          <w:rtl/>
          <w:lang w:eastAsia="de-DE"/>
        </w:rPr>
        <w:t xml:space="preserve"> </w:t>
      </w:r>
      <w:r w:rsidRPr="0082635F">
        <w:rPr>
          <w:rFonts w:eastAsia="Times New Roman"/>
          <w:lang w:eastAsia="de-DE"/>
        </w:rPr>
        <w:t>als zweigliedriges koordiniertes direktes Objekt (</w:t>
      </w:r>
      <w:r w:rsidRPr="0082635F">
        <w:rPr>
          <w:rFonts w:eastAsia="Times New Roman"/>
          <w:b/>
          <w:bCs/>
          <w:rtl/>
          <w:lang w:eastAsia="de-DE"/>
        </w:rPr>
        <w:t>עַם</w:t>
      </w:r>
      <w:r w:rsidRPr="0082635F">
        <w:rPr>
          <w:rFonts w:eastAsia="Times New Roman"/>
          <w:rtl/>
          <w:lang w:eastAsia="de-DE"/>
        </w:rPr>
        <w:t xml:space="preserve"> </w:t>
      </w:r>
      <w:r w:rsidRPr="0082635F">
        <w:rPr>
          <w:rFonts w:eastAsia="Times New Roman"/>
          <w:lang w:eastAsia="de-DE"/>
        </w:rPr>
        <w:t xml:space="preserve">mit Suffix 2. Person Singular maskulin, und </w:t>
      </w:r>
      <w:r w:rsidRPr="0082635F">
        <w:rPr>
          <w:rFonts w:eastAsia="Times New Roman"/>
          <w:b/>
          <w:bCs/>
          <w:rtl/>
          <w:lang w:eastAsia="de-DE"/>
        </w:rPr>
        <w:t>נַחֲלָה</w:t>
      </w:r>
      <w:r w:rsidRPr="0082635F">
        <w:rPr>
          <w:rFonts w:eastAsia="Times New Roman"/>
          <w:lang w:eastAsia="de-DE"/>
        </w:rPr>
        <w:t>, „Erbteil, Erbbesitz", mit Suffix).</w:t>
      </w:r>
    </w:p>
    <w:p w14:paraId="42CB81C7"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rtl/>
          <w:lang w:eastAsia="de-DE"/>
        </w:rPr>
        <w:t>אֲשֶׁר פָּדִיתָ בְּגָדְלֶךָ אֲשֶׁר־הוֹצֵאתָ מִמִּצְרַיִם בְּיָד חֲזָקָֽה</w:t>
      </w:r>
      <w:r w:rsidRPr="0082635F">
        <w:rPr>
          <w:rFonts w:eastAsia="Times New Roman"/>
          <w:rtl/>
          <w:lang w:eastAsia="de-DE"/>
        </w:rPr>
        <w:t xml:space="preserve"> </w:t>
      </w:r>
      <w:r w:rsidRPr="0082635F">
        <w:rPr>
          <w:rFonts w:eastAsia="Times New Roman"/>
          <w:lang w:eastAsia="de-DE"/>
        </w:rPr>
        <w:t xml:space="preserve">ist eine zweigliedrige relative Begründung: </w:t>
      </w:r>
      <w:r w:rsidRPr="0082635F">
        <w:rPr>
          <w:rFonts w:eastAsia="Times New Roman"/>
          <w:b/>
          <w:bCs/>
          <w:rtl/>
          <w:lang w:eastAsia="de-DE"/>
        </w:rPr>
        <w:t>אֲשֶׁר פָּדִיתָ בְּגָדְלֶךָ</w:t>
      </w:r>
      <w:r w:rsidRPr="0082635F">
        <w:rPr>
          <w:rFonts w:eastAsia="Times New Roman"/>
          <w:rtl/>
          <w:lang w:eastAsia="de-DE"/>
        </w:rPr>
        <w:t xml:space="preserve"> </w:t>
      </w:r>
      <w:r w:rsidRPr="0082635F">
        <w:rPr>
          <w:rFonts w:eastAsia="Times New Roman"/>
          <w:lang w:eastAsia="de-DE"/>
        </w:rPr>
        <w:t xml:space="preserve">(Qal Perfekt, 2. Person Singular maskulin von </w:t>
      </w:r>
      <w:r w:rsidRPr="0082635F">
        <w:rPr>
          <w:rFonts w:eastAsia="Times New Roman"/>
          <w:b/>
          <w:bCs/>
          <w:rtl/>
          <w:lang w:eastAsia="de-DE"/>
        </w:rPr>
        <w:t>פדה</w:t>
      </w:r>
      <w:r w:rsidRPr="0082635F">
        <w:rPr>
          <w:rFonts w:eastAsia="Times New Roman"/>
          <w:lang w:eastAsia="de-DE"/>
        </w:rPr>
        <w:t xml:space="preserve">, „erlösen, loskaufen", </w:t>
      </w:r>
      <w:r w:rsidRPr="0082635F">
        <w:rPr>
          <w:rFonts w:eastAsia="Times New Roman"/>
          <w:b/>
          <w:bCs/>
          <w:rtl/>
          <w:lang w:eastAsia="de-DE"/>
        </w:rPr>
        <w:t>בְּגָדְלֶךָ</w:t>
      </w:r>
      <w:r w:rsidRPr="0082635F">
        <w:rPr>
          <w:rFonts w:eastAsia="Times New Roman"/>
          <w:rtl/>
          <w:lang w:eastAsia="de-DE"/>
        </w:rPr>
        <w:t xml:space="preserve"> </w:t>
      </w:r>
      <w:r w:rsidRPr="0082635F">
        <w:rPr>
          <w:rFonts w:eastAsia="Times New Roman"/>
          <w:lang w:eastAsia="de-DE"/>
        </w:rPr>
        <w:t xml:space="preserve">als instrumentale Bestimmung – </w:t>
      </w:r>
      <w:r w:rsidRPr="0082635F">
        <w:rPr>
          <w:rFonts w:eastAsia="Times New Roman"/>
          <w:b/>
          <w:bCs/>
          <w:rtl/>
          <w:lang w:eastAsia="de-DE"/>
        </w:rPr>
        <w:t>בְּ</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גֹּדֶל</w:t>
      </w:r>
      <w:r w:rsidRPr="0082635F">
        <w:rPr>
          <w:rFonts w:eastAsia="Times New Roman"/>
          <w:lang w:eastAsia="de-DE"/>
        </w:rPr>
        <w:t xml:space="preserve">, „Größe", und Suffix 2. Person Singular maskulin – „durch deine Größe"), </w:t>
      </w:r>
      <w:r w:rsidRPr="0082635F">
        <w:rPr>
          <w:rFonts w:eastAsia="Times New Roman"/>
          <w:b/>
          <w:bCs/>
          <w:rtl/>
          <w:lang w:eastAsia="de-DE"/>
        </w:rPr>
        <w:t>אֲשֶׁר־הוֹצֵאתָ מִמִּצְרַיִם בְּיָד חֲזָקָֽה</w:t>
      </w:r>
      <w:r w:rsidRPr="0082635F">
        <w:rPr>
          <w:rFonts w:eastAsia="Times New Roman"/>
          <w:rtl/>
          <w:lang w:eastAsia="de-DE"/>
        </w:rPr>
        <w:t xml:space="preserve"> </w:t>
      </w:r>
      <w:r w:rsidRPr="0082635F">
        <w:rPr>
          <w:rFonts w:eastAsia="Times New Roman"/>
          <w:lang w:eastAsia="de-DE"/>
        </w:rPr>
        <w:t xml:space="preserve">koordiniert (Hifil Perfekt, 2. Person Singular maskulin von </w:t>
      </w:r>
      <w:r w:rsidRPr="0082635F">
        <w:rPr>
          <w:rFonts w:eastAsia="Times New Roman"/>
          <w:b/>
          <w:bCs/>
          <w:rtl/>
          <w:lang w:eastAsia="de-DE"/>
        </w:rPr>
        <w:t>יצא</w:t>
      </w:r>
      <w:r w:rsidRPr="0082635F">
        <w:rPr>
          <w:rFonts w:eastAsia="Times New Roman"/>
          <w:lang w:eastAsia="de-DE"/>
        </w:rPr>
        <w:t xml:space="preserve">, „herausführen", </w:t>
      </w:r>
      <w:r w:rsidRPr="0082635F">
        <w:rPr>
          <w:rFonts w:eastAsia="Times New Roman"/>
          <w:b/>
          <w:bCs/>
          <w:rtl/>
          <w:lang w:eastAsia="de-DE"/>
        </w:rPr>
        <w:t>מִמִּצְרַיִם</w:t>
      </w:r>
      <w:r w:rsidRPr="0082635F">
        <w:rPr>
          <w:rFonts w:eastAsia="Times New Roman"/>
          <w:rtl/>
          <w:lang w:eastAsia="de-DE"/>
        </w:rPr>
        <w:t xml:space="preserve"> </w:t>
      </w:r>
      <w:r w:rsidRPr="0082635F">
        <w:rPr>
          <w:rFonts w:eastAsia="Times New Roman"/>
          <w:lang w:eastAsia="de-DE"/>
        </w:rPr>
        <w:t xml:space="preserve">als Herkunftsangabe, </w:t>
      </w:r>
      <w:r w:rsidRPr="0082635F">
        <w:rPr>
          <w:rFonts w:eastAsia="Times New Roman"/>
          <w:b/>
          <w:bCs/>
          <w:rtl/>
          <w:lang w:eastAsia="de-DE"/>
        </w:rPr>
        <w:t>בְּיָד חֲזָקָֽה</w:t>
      </w:r>
      <w:r w:rsidRPr="0082635F">
        <w:rPr>
          <w:rFonts w:eastAsia="Times New Roman"/>
          <w:rtl/>
          <w:lang w:eastAsia="de-DE"/>
        </w:rPr>
        <w:t xml:space="preserve"> </w:t>
      </w:r>
      <w:r w:rsidRPr="0082635F">
        <w:rPr>
          <w:rFonts w:eastAsia="Times New Roman"/>
          <w:lang w:eastAsia="de-DE"/>
        </w:rPr>
        <w:t xml:space="preserve">als instrumentale Bestimmung – </w:t>
      </w:r>
      <w:r w:rsidRPr="0082635F">
        <w:rPr>
          <w:rFonts w:eastAsia="Times New Roman"/>
          <w:b/>
          <w:bCs/>
          <w:rtl/>
          <w:lang w:eastAsia="de-DE"/>
        </w:rPr>
        <w:t>בְּ</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יָד</w:t>
      </w:r>
      <w:r w:rsidRPr="0082635F">
        <w:rPr>
          <w:rFonts w:eastAsia="Times New Roman"/>
          <w:rtl/>
          <w:lang w:eastAsia="de-DE"/>
        </w:rPr>
        <w:t xml:space="preserve"> </w:t>
      </w:r>
      <w:r w:rsidRPr="0082635F">
        <w:rPr>
          <w:rFonts w:eastAsia="Times New Roman"/>
          <w:lang w:eastAsia="de-DE"/>
        </w:rPr>
        <w:t xml:space="preserve">im Construct und </w:t>
      </w:r>
      <w:r w:rsidRPr="0082635F">
        <w:rPr>
          <w:rFonts w:eastAsia="Times New Roman"/>
          <w:b/>
          <w:bCs/>
          <w:rtl/>
          <w:lang w:eastAsia="de-DE"/>
        </w:rPr>
        <w:t>חָזָק</w:t>
      </w:r>
      <w:r w:rsidRPr="0082635F">
        <w:rPr>
          <w:rFonts w:eastAsia="Times New Roman"/>
          <w:lang w:eastAsia="de-DE"/>
        </w:rPr>
        <w:t>, „stark" – „mit starker Hand").</w:t>
      </w:r>
    </w:p>
    <w:p w14:paraId="143E968C"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 xml:space="preserve">Der Vers beginnt Moses' Fürbittgebet (vgl. Ex 32,11-13). Die doppelte Anrede </w:t>
      </w:r>
      <w:r w:rsidRPr="0082635F">
        <w:rPr>
          <w:rFonts w:eastAsia="Times New Roman"/>
          <w:b/>
          <w:bCs/>
          <w:rtl/>
          <w:lang w:eastAsia="de-DE"/>
        </w:rPr>
        <w:t>אֲדֹנָי יְהוִה</w:t>
      </w:r>
      <w:r w:rsidRPr="0082635F">
        <w:rPr>
          <w:rFonts w:eastAsia="Times New Roman"/>
          <w:rtl/>
          <w:lang w:eastAsia="de-DE"/>
        </w:rPr>
        <w:t xml:space="preserve"> </w:t>
      </w:r>
      <w:r w:rsidRPr="0082635F">
        <w:rPr>
          <w:rFonts w:eastAsia="Times New Roman"/>
          <w:lang w:eastAsia="de-DE"/>
        </w:rPr>
        <w:t xml:space="preserve">(„Herr, JHWH") ist feierlich und ehrerbietig. Die Bitte </w:t>
      </w:r>
      <w:r w:rsidRPr="0082635F">
        <w:rPr>
          <w:rFonts w:eastAsia="Times New Roman"/>
          <w:b/>
          <w:bCs/>
          <w:rtl/>
          <w:lang w:eastAsia="de-DE"/>
        </w:rPr>
        <w:t>אַל־תַּשְׁחֵת עַמְּךָ וְנַחֲלָתְךָ</w:t>
      </w:r>
      <w:r w:rsidRPr="0082635F">
        <w:rPr>
          <w:rFonts w:eastAsia="Times New Roman"/>
          <w:rtl/>
          <w:lang w:eastAsia="de-DE"/>
        </w:rPr>
        <w:t xml:space="preserve"> </w:t>
      </w:r>
      <w:r w:rsidRPr="0082635F">
        <w:rPr>
          <w:rFonts w:eastAsia="Times New Roman"/>
          <w:lang w:eastAsia="de-DE"/>
        </w:rPr>
        <w:t>appelliert an Gottes Eigentumsrecht: „dein Volk und dein Erbteil" – nicht Moses' Volk (vgl. V. 12). Die zweigliedrige Begründung erinnert an den Exodus: JHWH hat Israel durch seine Größe erlöst und mit starker Hand herausgeführt – soll diese Investition umsonst gewesen sein?</w:t>
      </w:r>
    </w:p>
    <w:p w14:paraId="402237E0"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 xml:space="preserve">Die Satzstruktur ist eine Gebetseinleitung mit zwei koordinierten Verben, gefolgt von einer Bitte mit doppelter Anrede, prohibitivem Satz und zweigliedrigem koordiniertem direktem </w:t>
      </w:r>
      <w:r w:rsidRPr="0082635F">
        <w:rPr>
          <w:rFonts w:eastAsia="Times New Roman"/>
          <w:lang w:eastAsia="de-DE"/>
        </w:rPr>
        <w:lastRenderedPageBreak/>
        <w:t>Objekt, erweitert durch eine zweigliedrige relative Begründung (beide mit instrumentalen Bestimmungen).</w:t>
      </w:r>
    </w:p>
    <w:p w14:paraId="7BC65CFF"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Der Vers beginnt das Gebet: Ich betete zu JHWH: Herr, JHWH, verdirb nicht dein Volk und Erbteil, das du durch deine Größe erlöst und mit starker Hand aus Ägypten herausgeführt hast!</w:t>
      </w:r>
    </w:p>
    <w:p w14:paraId="03EA8D90" w14:textId="77777777" w:rsidR="0082635F" w:rsidRPr="0082635F" w:rsidRDefault="0082635F" w:rsidP="0082635F">
      <w:pPr>
        <w:spacing w:before="100" w:beforeAutospacing="1" w:after="100" w:afterAutospacing="1" w:line="240" w:lineRule="auto"/>
        <w:outlineLvl w:val="1"/>
        <w:rPr>
          <w:rFonts w:eastAsia="Times New Roman"/>
          <w:b/>
          <w:bCs/>
          <w:sz w:val="36"/>
          <w:szCs w:val="36"/>
          <w:lang w:eastAsia="de-DE"/>
        </w:rPr>
      </w:pPr>
      <w:r w:rsidRPr="0082635F">
        <w:rPr>
          <w:rFonts w:eastAsia="Times New Roman"/>
          <w:b/>
          <w:bCs/>
          <w:sz w:val="36"/>
          <w:szCs w:val="36"/>
          <w:lang w:eastAsia="de-DE"/>
        </w:rPr>
        <w:t>Deuteronomium 9,27</w:t>
      </w:r>
    </w:p>
    <w:p w14:paraId="58458894"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Hebräisch:</w:t>
      </w:r>
      <w:r w:rsidRPr="0082635F">
        <w:rPr>
          <w:rFonts w:eastAsia="Times New Roman"/>
          <w:lang w:eastAsia="de-DE"/>
        </w:rPr>
        <w:t xml:space="preserve"> </w:t>
      </w:r>
      <w:r w:rsidRPr="0082635F">
        <w:rPr>
          <w:rFonts w:eastAsia="Times New Roman"/>
          <w:rtl/>
          <w:lang w:eastAsia="de-DE"/>
        </w:rPr>
        <w:t>זְכֹר לַעֲבָדֶיךָ לְאַבְרָהָם לְיִצְחָק וּֽלְיַעֲקֹב אַל־תֵּפֶן אֶל־קְשִׁי הָעָם הַזֶּה וְאֶל־רִשְׁעֹו וְאֶל־חַטָּאתוֹֽ׃</w:t>
      </w:r>
    </w:p>
    <w:p w14:paraId="7E95899A"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Deutsch:</w:t>
      </w:r>
      <w:r w:rsidRPr="0082635F">
        <w:rPr>
          <w:rFonts w:eastAsia="Times New Roman"/>
          <w:lang w:eastAsia="de-DE"/>
        </w:rPr>
        <w:t xml:space="preserve"> Gedenke deiner Knechte, 'Avrahams, Jitzchaks und Ja'akovs; kehre dich nicht an die Halsstarrigkeit dieses Volkes und an seine Schuldigkeit und an seine Sünde.</w:t>
      </w:r>
    </w:p>
    <w:p w14:paraId="49CCD21B" w14:textId="77777777" w:rsidR="0082635F" w:rsidRPr="0082635F" w:rsidRDefault="004F5CEB" w:rsidP="0082635F">
      <w:pPr>
        <w:spacing w:after="0" w:line="240" w:lineRule="auto"/>
        <w:rPr>
          <w:rFonts w:eastAsia="Times New Roman"/>
          <w:lang w:eastAsia="de-DE"/>
        </w:rPr>
      </w:pPr>
      <w:r>
        <w:rPr>
          <w:rFonts w:eastAsia="Times New Roman"/>
          <w:noProof/>
          <w:lang w:eastAsia="de-DE"/>
        </w:rPr>
        <w:pict w14:anchorId="519BE075">
          <v:rect id="_x0000_i1316" style="width:0;height:1.5pt" o:hralign="center" o:hrstd="t" o:hr="t" fillcolor="#a0a0a0" stroked="f"/>
        </w:pict>
      </w:r>
    </w:p>
    <w:p w14:paraId="51A524B5"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Kommentar:</w:t>
      </w:r>
      <w:r w:rsidRPr="0082635F">
        <w:rPr>
          <w:rFonts w:eastAsia="Times New Roman"/>
          <w:lang w:eastAsia="de-DE"/>
        </w:rPr>
        <w:t xml:space="preserve"> </w:t>
      </w:r>
      <w:r w:rsidRPr="0082635F">
        <w:rPr>
          <w:rFonts w:eastAsia="Times New Roman"/>
          <w:b/>
          <w:bCs/>
          <w:rtl/>
          <w:lang w:eastAsia="de-DE"/>
        </w:rPr>
        <w:t>זְכֹר לַעֲבָדֶיךָ לְאַבְרָהָם לְיִצְחָק וּֽלְיַעֲקֹב</w:t>
      </w:r>
      <w:r w:rsidRPr="0082635F">
        <w:rPr>
          <w:rFonts w:eastAsia="Times New Roman"/>
          <w:rtl/>
          <w:lang w:eastAsia="de-DE"/>
        </w:rPr>
        <w:t xml:space="preserve"> </w:t>
      </w:r>
      <w:r w:rsidRPr="0082635F">
        <w:rPr>
          <w:rFonts w:eastAsia="Times New Roman"/>
          <w:lang w:eastAsia="de-DE"/>
        </w:rPr>
        <w:t xml:space="preserve">ist die erste Bitte: </w:t>
      </w:r>
      <w:r w:rsidRPr="0082635F">
        <w:rPr>
          <w:rFonts w:eastAsia="Times New Roman"/>
          <w:b/>
          <w:bCs/>
          <w:rtl/>
          <w:lang w:eastAsia="de-DE"/>
        </w:rPr>
        <w:t>זְכֹר</w:t>
      </w:r>
      <w:r w:rsidRPr="0082635F">
        <w:rPr>
          <w:rFonts w:eastAsia="Times New Roman"/>
          <w:rtl/>
          <w:lang w:eastAsia="de-DE"/>
        </w:rPr>
        <w:t xml:space="preserve"> </w:t>
      </w:r>
      <w:r w:rsidRPr="0082635F">
        <w:rPr>
          <w:rFonts w:eastAsia="Times New Roman"/>
          <w:lang w:eastAsia="de-DE"/>
        </w:rPr>
        <w:t xml:space="preserve">(Qal Imperativ, 2. Person Singular maskulin von </w:t>
      </w:r>
      <w:r w:rsidRPr="0082635F">
        <w:rPr>
          <w:rFonts w:eastAsia="Times New Roman"/>
          <w:b/>
          <w:bCs/>
          <w:rtl/>
          <w:lang w:eastAsia="de-DE"/>
        </w:rPr>
        <w:t>זכר</w:t>
      </w:r>
      <w:r w:rsidRPr="0082635F">
        <w:rPr>
          <w:rFonts w:eastAsia="Times New Roman"/>
          <w:lang w:eastAsia="de-DE"/>
        </w:rPr>
        <w:t xml:space="preserve">, „gedenken"), </w:t>
      </w:r>
      <w:r w:rsidRPr="0082635F">
        <w:rPr>
          <w:rFonts w:eastAsia="Times New Roman"/>
          <w:b/>
          <w:bCs/>
          <w:rtl/>
          <w:lang w:eastAsia="de-DE"/>
        </w:rPr>
        <w:t>לַעֲבָדֶיךָ</w:t>
      </w:r>
      <w:r w:rsidRPr="0082635F">
        <w:rPr>
          <w:rFonts w:eastAsia="Times New Roman"/>
          <w:rtl/>
          <w:lang w:eastAsia="de-DE"/>
        </w:rPr>
        <w:t xml:space="preserve"> </w:t>
      </w:r>
      <w:r w:rsidRPr="0082635F">
        <w:rPr>
          <w:rFonts w:eastAsia="Times New Roman"/>
          <w:lang w:eastAsia="de-DE"/>
        </w:rPr>
        <w:t>als indirektes Objekt (</w:t>
      </w:r>
      <w:r w:rsidRPr="0082635F">
        <w:rPr>
          <w:rFonts w:eastAsia="Times New Roman"/>
          <w:b/>
          <w:bCs/>
          <w:rtl/>
          <w:lang w:eastAsia="de-DE"/>
        </w:rPr>
        <w:t>לְ</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עֶבֶד</w:t>
      </w:r>
      <w:r w:rsidRPr="0082635F">
        <w:rPr>
          <w:rFonts w:eastAsia="Times New Roman"/>
          <w:lang w:eastAsia="de-DE"/>
        </w:rPr>
        <w:t xml:space="preserve">, „Knecht", Plural, und Suffix 2. Person Singular maskulin – „deiner Knechte"), </w:t>
      </w:r>
      <w:r w:rsidRPr="0082635F">
        <w:rPr>
          <w:rFonts w:eastAsia="Times New Roman"/>
          <w:b/>
          <w:bCs/>
          <w:rtl/>
          <w:lang w:eastAsia="de-DE"/>
        </w:rPr>
        <w:t>לְאַבְרָהָם לְיִצְחָק וּֽלְיַעֲקֹב</w:t>
      </w:r>
      <w:r w:rsidRPr="0082635F">
        <w:rPr>
          <w:rFonts w:eastAsia="Times New Roman"/>
          <w:rtl/>
          <w:lang w:eastAsia="de-DE"/>
        </w:rPr>
        <w:t xml:space="preserve"> </w:t>
      </w:r>
      <w:r w:rsidRPr="0082635F">
        <w:rPr>
          <w:rFonts w:eastAsia="Times New Roman"/>
          <w:lang w:eastAsia="de-DE"/>
        </w:rPr>
        <w:t xml:space="preserve">als dreigliedrige appositionelle Entfaltung (alle drei mit </w:t>
      </w:r>
      <w:r w:rsidRPr="0082635F">
        <w:rPr>
          <w:rFonts w:eastAsia="Times New Roman"/>
          <w:b/>
          <w:bCs/>
          <w:rtl/>
          <w:lang w:eastAsia="de-DE"/>
        </w:rPr>
        <w:t>לְ</w:t>
      </w:r>
      <w:r w:rsidRPr="0082635F">
        <w:rPr>
          <w:rFonts w:eastAsia="Times New Roman"/>
          <w:lang w:eastAsia="de-DE"/>
        </w:rPr>
        <w:t>).</w:t>
      </w:r>
    </w:p>
    <w:p w14:paraId="477E17DC"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rtl/>
          <w:lang w:eastAsia="de-DE"/>
        </w:rPr>
        <w:t>אַל־תֵּפֶן אֶל־קְשִׁי הָעָם הַזֶּה וְאֶל־רִשְׁעֹו וְאֶל־חַטָּאתוֹֽ</w:t>
      </w:r>
      <w:r w:rsidRPr="0082635F">
        <w:rPr>
          <w:rFonts w:eastAsia="Times New Roman"/>
          <w:rtl/>
          <w:lang w:eastAsia="de-DE"/>
        </w:rPr>
        <w:t xml:space="preserve"> </w:t>
      </w:r>
      <w:r w:rsidRPr="0082635F">
        <w:rPr>
          <w:rFonts w:eastAsia="Times New Roman"/>
          <w:lang w:eastAsia="de-DE"/>
        </w:rPr>
        <w:t xml:space="preserve">ist die zweite Bitte: </w:t>
      </w:r>
      <w:r w:rsidRPr="0082635F">
        <w:rPr>
          <w:rFonts w:eastAsia="Times New Roman"/>
          <w:b/>
          <w:bCs/>
          <w:rtl/>
          <w:lang w:eastAsia="de-DE"/>
        </w:rPr>
        <w:t>אַל־תֵּפֶן</w:t>
      </w:r>
      <w:r w:rsidRPr="0082635F">
        <w:rPr>
          <w:rFonts w:eastAsia="Times New Roman"/>
          <w:rtl/>
          <w:lang w:eastAsia="de-DE"/>
        </w:rPr>
        <w:t xml:space="preserve"> </w:t>
      </w:r>
      <w:r w:rsidRPr="0082635F">
        <w:rPr>
          <w:rFonts w:eastAsia="Times New Roman"/>
          <w:lang w:eastAsia="de-DE"/>
        </w:rPr>
        <w:t xml:space="preserve">als prohibitiver Satz (Qal Imperfekt, 2. Person Singular maskulin von </w:t>
      </w:r>
      <w:r w:rsidRPr="0082635F">
        <w:rPr>
          <w:rFonts w:eastAsia="Times New Roman"/>
          <w:b/>
          <w:bCs/>
          <w:rtl/>
          <w:lang w:eastAsia="de-DE"/>
        </w:rPr>
        <w:t>פנה</w:t>
      </w:r>
      <w:r w:rsidRPr="0082635F">
        <w:rPr>
          <w:rFonts w:eastAsia="Times New Roman"/>
          <w:lang w:eastAsia="de-DE"/>
        </w:rPr>
        <w:t xml:space="preserve">, „sich wenden, sich zuwenden, beachten", mit Negation </w:t>
      </w:r>
      <w:r w:rsidRPr="0082635F">
        <w:rPr>
          <w:rFonts w:eastAsia="Times New Roman"/>
          <w:b/>
          <w:bCs/>
          <w:rtl/>
          <w:lang w:eastAsia="de-DE"/>
        </w:rPr>
        <w:t>אַל</w:t>
      </w:r>
      <w:r w:rsidRPr="0082635F">
        <w:rPr>
          <w:rFonts w:eastAsia="Times New Roman"/>
          <w:lang w:eastAsia="de-DE"/>
        </w:rPr>
        <w:t xml:space="preserve">), </w:t>
      </w:r>
      <w:r w:rsidRPr="0082635F">
        <w:rPr>
          <w:rFonts w:eastAsia="Times New Roman"/>
          <w:b/>
          <w:bCs/>
          <w:rtl/>
          <w:lang w:eastAsia="de-DE"/>
        </w:rPr>
        <w:t>אֶל־קְשִׁי הָעָם הַזֶּה וְאֶל־רִשְׁעֹו וְאֶל־חַטָּאתוֹֽ</w:t>
      </w:r>
      <w:r w:rsidRPr="0082635F">
        <w:rPr>
          <w:rFonts w:eastAsia="Times New Roman"/>
          <w:rtl/>
          <w:lang w:eastAsia="de-DE"/>
        </w:rPr>
        <w:t xml:space="preserve"> </w:t>
      </w:r>
      <w:r w:rsidRPr="0082635F">
        <w:rPr>
          <w:rFonts w:eastAsia="Times New Roman"/>
          <w:lang w:eastAsia="de-DE"/>
        </w:rPr>
        <w:t>als dreigliedrige koordinierte präpositionale Ergänzung (</w:t>
      </w:r>
      <w:r w:rsidRPr="0082635F">
        <w:rPr>
          <w:rFonts w:eastAsia="Times New Roman"/>
          <w:b/>
          <w:bCs/>
          <w:rtl/>
          <w:lang w:eastAsia="de-DE"/>
        </w:rPr>
        <w:t>אֶל</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קְשִׁי</w:t>
      </w:r>
      <w:r w:rsidRPr="0082635F">
        <w:rPr>
          <w:rFonts w:eastAsia="Times New Roman"/>
          <w:lang w:eastAsia="de-DE"/>
        </w:rPr>
        <w:t xml:space="preserve">, „Härte, Halsstarrigkeit" – </w:t>
      </w:r>
      <w:r w:rsidRPr="0082635F">
        <w:rPr>
          <w:rFonts w:eastAsia="Times New Roman"/>
          <w:b/>
          <w:bCs/>
          <w:rtl/>
          <w:lang w:eastAsia="de-DE"/>
        </w:rPr>
        <w:t>קֶשִׁי</w:t>
      </w:r>
      <w:r w:rsidRPr="0082635F">
        <w:rPr>
          <w:rFonts w:eastAsia="Times New Roman"/>
          <w:lang w:eastAsia="de-DE"/>
        </w:rPr>
        <w:t xml:space="preserve">, Construct, </w:t>
      </w:r>
      <w:r w:rsidRPr="0082635F">
        <w:rPr>
          <w:rFonts w:eastAsia="Times New Roman"/>
          <w:b/>
          <w:bCs/>
          <w:rtl/>
          <w:lang w:eastAsia="de-DE"/>
        </w:rPr>
        <w:t>עֹרֶף</w:t>
      </w:r>
      <w:r w:rsidRPr="0082635F">
        <w:rPr>
          <w:rFonts w:eastAsia="Times New Roman"/>
          <w:rtl/>
          <w:lang w:eastAsia="de-DE"/>
        </w:rPr>
        <w:t xml:space="preserve"> </w:t>
      </w:r>
      <w:r w:rsidRPr="0082635F">
        <w:rPr>
          <w:rFonts w:eastAsia="Times New Roman"/>
          <w:lang w:eastAsia="de-DE"/>
        </w:rPr>
        <w:t xml:space="preserve">ist zu ergänzen – </w:t>
      </w:r>
      <w:r w:rsidRPr="0082635F">
        <w:rPr>
          <w:rFonts w:eastAsia="Times New Roman"/>
          <w:b/>
          <w:bCs/>
          <w:rtl/>
          <w:lang w:eastAsia="de-DE"/>
        </w:rPr>
        <w:t>הָעָם הַזֶּה</w:t>
      </w:r>
      <w:r w:rsidRPr="0082635F">
        <w:rPr>
          <w:rFonts w:eastAsia="Times New Roman"/>
          <w:rtl/>
          <w:lang w:eastAsia="de-DE"/>
        </w:rPr>
        <w:t xml:space="preserve"> </w:t>
      </w:r>
      <w:r w:rsidRPr="0082635F">
        <w:rPr>
          <w:rFonts w:eastAsia="Times New Roman"/>
          <w:lang w:eastAsia="de-DE"/>
        </w:rPr>
        <w:t xml:space="preserve">als genitivische Ergänzung mit Demonstrativpronomen, koordiniert mit </w:t>
      </w:r>
      <w:r w:rsidRPr="0082635F">
        <w:rPr>
          <w:rFonts w:eastAsia="Times New Roman"/>
          <w:b/>
          <w:bCs/>
          <w:rtl/>
          <w:lang w:eastAsia="de-DE"/>
        </w:rPr>
        <w:t>אֶל</w:t>
      </w:r>
      <w:r w:rsidRPr="0082635F">
        <w:rPr>
          <w:rFonts w:eastAsia="Times New Roman"/>
          <w:rtl/>
          <w:lang w:eastAsia="de-DE"/>
        </w:rPr>
        <w:t xml:space="preserve"> </w:t>
      </w:r>
      <w:r w:rsidRPr="0082635F">
        <w:rPr>
          <w:rFonts w:eastAsia="Times New Roman"/>
          <w:lang w:eastAsia="de-DE"/>
        </w:rPr>
        <w:t xml:space="preserve">und </w:t>
      </w:r>
      <w:r w:rsidRPr="0082635F">
        <w:rPr>
          <w:rFonts w:eastAsia="Times New Roman"/>
          <w:b/>
          <w:bCs/>
          <w:rtl/>
          <w:lang w:eastAsia="de-DE"/>
        </w:rPr>
        <w:t>רֶשַׁע</w:t>
      </w:r>
      <w:r w:rsidRPr="0082635F">
        <w:rPr>
          <w:rFonts w:eastAsia="Times New Roman"/>
          <w:lang w:eastAsia="de-DE"/>
        </w:rPr>
        <w:t xml:space="preserve">, „Gottlosigkeit", mit Suffix 3. Person Singular maskulin, und </w:t>
      </w:r>
      <w:r w:rsidRPr="0082635F">
        <w:rPr>
          <w:rFonts w:eastAsia="Times New Roman"/>
          <w:b/>
          <w:bCs/>
          <w:rtl/>
          <w:lang w:eastAsia="de-DE"/>
        </w:rPr>
        <w:t>אֶל</w:t>
      </w:r>
      <w:r w:rsidRPr="0082635F">
        <w:rPr>
          <w:rFonts w:eastAsia="Times New Roman"/>
          <w:rtl/>
          <w:lang w:eastAsia="de-DE"/>
        </w:rPr>
        <w:t xml:space="preserve"> </w:t>
      </w:r>
      <w:r w:rsidRPr="0082635F">
        <w:rPr>
          <w:rFonts w:eastAsia="Times New Roman"/>
          <w:lang w:eastAsia="de-DE"/>
        </w:rPr>
        <w:t xml:space="preserve">und </w:t>
      </w:r>
      <w:r w:rsidRPr="0082635F">
        <w:rPr>
          <w:rFonts w:eastAsia="Times New Roman"/>
          <w:b/>
          <w:bCs/>
          <w:rtl/>
          <w:lang w:eastAsia="de-DE"/>
        </w:rPr>
        <w:t>חַטָּאָה</w:t>
      </w:r>
      <w:r w:rsidRPr="0082635F">
        <w:rPr>
          <w:rFonts w:eastAsia="Times New Roman"/>
          <w:lang w:eastAsia="de-DE"/>
        </w:rPr>
        <w:t>, „Sünde", mit Suffix).</w:t>
      </w:r>
    </w:p>
    <w:p w14:paraId="4B66202C"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 xml:space="preserve">Der Vers appelliert an Gottes Bund mit den Vätern (vgl. V. 5) und bittet, Israels Schuld zu übersehen. Die Bezeichnung </w:t>
      </w:r>
      <w:r w:rsidRPr="0082635F">
        <w:rPr>
          <w:rFonts w:eastAsia="Times New Roman"/>
          <w:b/>
          <w:bCs/>
          <w:rtl/>
          <w:lang w:eastAsia="de-DE"/>
        </w:rPr>
        <w:t>עֲבָדֶיךָ</w:t>
      </w:r>
      <w:r w:rsidRPr="0082635F">
        <w:rPr>
          <w:rFonts w:eastAsia="Times New Roman"/>
          <w:rtl/>
          <w:lang w:eastAsia="de-DE"/>
        </w:rPr>
        <w:t xml:space="preserve"> </w:t>
      </w:r>
      <w:r w:rsidRPr="0082635F">
        <w:rPr>
          <w:rFonts w:eastAsia="Times New Roman"/>
          <w:lang w:eastAsia="de-DE"/>
        </w:rPr>
        <w:t>(„deine Knechte") für die Väter ist ehrerbietig. Die dreigliedrige negative Bitte (</w:t>
      </w:r>
      <w:r w:rsidRPr="0082635F">
        <w:rPr>
          <w:rFonts w:eastAsia="Times New Roman"/>
          <w:b/>
          <w:bCs/>
          <w:rtl/>
          <w:lang w:eastAsia="de-DE"/>
        </w:rPr>
        <w:t>אַל־תֵּפֶן אֶל</w:t>
      </w:r>
      <w:r w:rsidRPr="0082635F">
        <w:rPr>
          <w:rFonts w:eastAsia="Times New Roman"/>
          <w:lang w:eastAsia="de-DE"/>
        </w:rPr>
        <w:t>...) bittet JHWH, nicht auf Israels Sünde zu schauen, sondern auf die Väterverheißung. Die dreigliedrige Aufzählung der Schuld (Halsstarrigkeit – Gottlosigkeit – Sünde) fasst alle Vorwürfe zusammen.</w:t>
      </w:r>
    </w:p>
    <w:p w14:paraId="27ED1C3D"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Die Satzstruktur ist ein Imperativsatz mit indirektem Objekt und dreigliedriger appositiver Entfaltung, gefolgt von einem prohibitiven Satz mit dreigliedriger koordinierter präpositionaler Ergänzung.</w:t>
      </w:r>
    </w:p>
    <w:p w14:paraId="4E612B59"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Der Vers bittet: Gedenke deiner Knechte Abraham, Isaak und Jakob! Wende dich nicht der Halsstarrigkeit, Gottlosigkeit und Sünde dieses Volkes zu – appelliere an den Bund!</w:t>
      </w:r>
    </w:p>
    <w:p w14:paraId="00C8D159" w14:textId="77777777" w:rsidR="0082635F" w:rsidRPr="0082635F" w:rsidRDefault="0082635F" w:rsidP="0082635F">
      <w:pPr>
        <w:spacing w:before="100" w:beforeAutospacing="1" w:after="100" w:afterAutospacing="1" w:line="240" w:lineRule="auto"/>
        <w:outlineLvl w:val="1"/>
        <w:rPr>
          <w:rFonts w:eastAsia="Times New Roman"/>
          <w:b/>
          <w:bCs/>
          <w:sz w:val="36"/>
          <w:szCs w:val="36"/>
          <w:lang w:eastAsia="de-DE"/>
        </w:rPr>
      </w:pPr>
      <w:r w:rsidRPr="0082635F">
        <w:rPr>
          <w:rFonts w:eastAsia="Times New Roman"/>
          <w:b/>
          <w:bCs/>
          <w:sz w:val="36"/>
          <w:szCs w:val="36"/>
          <w:lang w:eastAsia="de-DE"/>
        </w:rPr>
        <w:t>Deuteronomium 9,28</w:t>
      </w:r>
    </w:p>
    <w:p w14:paraId="3313F8E8"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Hebräisch:</w:t>
      </w:r>
      <w:r w:rsidRPr="0082635F">
        <w:rPr>
          <w:rFonts w:eastAsia="Times New Roman"/>
          <w:lang w:eastAsia="de-DE"/>
        </w:rPr>
        <w:t xml:space="preserve"> </w:t>
      </w:r>
      <w:r w:rsidRPr="0082635F">
        <w:rPr>
          <w:rFonts w:eastAsia="Times New Roman"/>
          <w:rtl/>
          <w:lang w:eastAsia="de-DE"/>
        </w:rPr>
        <w:t>פֶּן־יֹאמְרוּ הָאָרֶץ אֲשֶׁר הוֹצֵאתָנוּ מִשָּׁם מִבְּלִי יְכֹלֶת יְהוָה לַהֲבִיאָם אֶל־הָאָרֶץ אֲשֶׁר־דִּבֶּר לָהֶם וּמִשִּׂנְאָתוֹ אוֹתָם הוֹצִיאָם לַהֲמִתָם בַּמִּדְבָּֽר׃</w:t>
      </w:r>
    </w:p>
    <w:p w14:paraId="2040B141"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lastRenderedPageBreak/>
        <w:t>Deutsch:</w:t>
      </w:r>
      <w:r w:rsidRPr="0082635F">
        <w:rPr>
          <w:rFonts w:eastAsia="Times New Roman"/>
          <w:lang w:eastAsia="de-DE"/>
        </w:rPr>
        <w:t xml:space="preserve"> damit das Land, aus dem du uns herausgeführt hast, nicht sage: Weil der Ewige nicht imstande war, sie in das Land zu bringen, wovon er zu ihnen geredet hatte, und weil er sie hasste, hat er sie herausgeführt, um sie in der Wüste sterben zu lassen.</w:t>
      </w:r>
    </w:p>
    <w:p w14:paraId="6CDCC8D7" w14:textId="77777777" w:rsidR="0082635F" w:rsidRPr="0082635F" w:rsidRDefault="004F5CEB" w:rsidP="0082635F">
      <w:pPr>
        <w:spacing w:after="0" w:line="240" w:lineRule="auto"/>
        <w:rPr>
          <w:rFonts w:eastAsia="Times New Roman"/>
          <w:lang w:eastAsia="de-DE"/>
        </w:rPr>
      </w:pPr>
      <w:r>
        <w:rPr>
          <w:rFonts w:eastAsia="Times New Roman"/>
          <w:noProof/>
          <w:lang w:eastAsia="de-DE"/>
        </w:rPr>
        <w:pict w14:anchorId="63FECBEF">
          <v:rect id="_x0000_i1317" style="width:0;height:1.5pt" o:hralign="center" o:hrstd="t" o:hr="t" fillcolor="#a0a0a0" stroked="f"/>
        </w:pict>
      </w:r>
    </w:p>
    <w:p w14:paraId="6D11C777"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Kommentar:</w:t>
      </w:r>
      <w:r w:rsidRPr="0082635F">
        <w:rPr>
          <w:rFonts w:eastAsia="Times New Roman"/>
          <w:lang w:eastAsia="de-DE"/>
        </w:rPr>
        <w:t xml:space="preserve"> </w:t>
      </w:r>
      <w:r w:rsidRPr="0082635F">
        <w:rPr>
          <w:rFonts w:eastAsia="Times New Roman"/>
          <w:b/>
          <w:bCs/>
          <w:rtl/>
          <w:lang w:eastAsia="de-DE"/>
        </w:rPr>
        <w:t>פֶּן־יֹאמְרוּ הָאָרֶץ אֲשֶׁר הוֹצֵאתָנוּ מִשָּׁם</w:t>
      </w:r>
      <w:r w:rsidRPr="0082635F">
        <w:rPr>
          <w:rFonts w:eastAsia="Times New Roman"/>
          <w:rtl/>
          <w:lang w:eastAsia="de-DE"/>
        </w:rPr>
        <w:t xml:space="preserve"> </w:t>
      </w:r>
      <w:r w:rsidRPr="0082635F">
        <w:rPr>
          <w:rFonts w:eastAsia="Times New Roman"/>
          <w:lang w:eastAsia="de-DE"/>
        </w:rPr>
        <w:t xml:space="preserve">ist eine finale negative Konstruktion: </w:t>
      </w:r>
      <w:r w:rsidRPr="0082635F">
        <w:rPr>
          <w:rFonts w:eastAsia="Times New Roman"/>
          <w:b/>
          <w:bCs/>
          <w:rtl/>
          <w:lang w:eastAsia="de-DE"/>
        </w:rPr>
        <w:t>פֶּן</w:t>
      </w:r>
      <w:r w:rsidRPr="0082635F">
        <w:rPr>
          <w:rFonts w:eastAsia="Times New Roman"/>
          <w:rtl/>
          <w:lang w:eastAsia="de-DE"/>
        </w:rPr>
        <w:t xml:space="preserve"> </w:t>
      </w:r>
      <w:r w:rsidRPr="0082635F">
        <w:rPr>
          <w:rFonts w:eastAsia="Times New Roman"/>
          <w:lang w:eastAsia="de-DE"/>
        </w:rPr>
        <w:t xml:space="preserve">(„damit nicht"), </w:t>
      </w:r>
      <w:r w:rsidRPr="0082635F">
        <w:rPr>
          <w:rFonts w:eastAsia="Times New Roman"/>
          <w:b/>
          <w:bCs/>
          <w:rtl/>
          <w:lang w:eastAsia="de-DE"/>
        </w:rPr>
        <w:t>יֹאמְרוּ</w:t>
      </w:r>
      <w:r w:rsidRPr="0082635F">
        <w:rPr>
          <w:rFonts w:eastAsia="Times New Roman"/>
          <w:rtl/>
          <w:lang w:eastAsia="de-DE"/>
        </w:rPr>
        <w:t xml:space="preserve"> </w:t>
      </w:r>
      <w:r w:rsidRPr="0082635F">
        <w:rPr>
          <w:rFonts w:eastAsia="Times New Roman"/>
          <w:lang w:eastAsia="de-DE"/>
        </w:rPr>
        <w:t xml:space="preserve">als Qal Imperfekt, 3. Person Plural von </w:t>
      </w:r>
      <w:r w:rsidRPr="0082635F">
        <w:rPr>
          <w:rFonts w:eastAsia="Times New Roman"/>
          <w:b/>
          <w:bCs/>
          <w:rtl/>
          <w:lang w:eastAsia="de-DE"/>
        </w:rPr>
        <w:t>אמר</w:t>
      </w:r>
      <w:r w:rsidRPr="0082635F">
        <w:rPr>
          <w:rFonts w:eastAsia="Times New Roman"/>
          <w:lang w:eastAsia="de-DE"/>
        </w:rPr>
        <w:t xml:space="preserve">, „sagen", </w:t>
      </w:r>
      <w:r w:rsidRPr="0082635F">
        <w:rPr>
          <w:rFonts w:eastAsia="Times New Roman"/>
          <w:b/>
          <w:bCs/>
          <w:rtl/>
          <w:lang w:eastAsia="de-DE"/>
        </w:rPr>
        <w:t>הָאָרֶץ אֲשֶׁר הוֹצֵאתָנוּ מִשָּׁם</w:t>
      </w:r>
      <w:r w:rsidRPr="0082635F">
        <w:rPr>
          <w:rFonts w:eastAsia="Times New Roman"/>
          <w:rtl/>
          <w:lang w:eastAsia="de-DE"/>
        </w:rPr>
        <w:t xml:space="preserve"> </w:t>
      </w:r>
      <w:r w:rsidRPr="0082635F">
        <w:rPr>
          <w:rFonts w:eastAsia="Times New Roman"/>
          <w:lang w:eastAsia="de-DE"/>
        </w:rPr>
        <w:t>als Subjekt (</w:t>
      </w:r>
      <w:r w:rsidRPr="0082635F">
        <w:rPr>
          <w:rFonts w:eastAsia="Times New Roman"/>
          <w:b/>
          <w:bCs/>
          <w:rtl/>
          <w:lang w:eastAsia="de-DE"/>
        </w:rPr>
        <w:t>הָאָרֶץ</w:t>
      </w:r>
      <w:r w:rsidRPr="0082635F">
        <w:rPr>
          <w:rFonts w:eastAsia="Times New Roman"/>
          <w:lang w:eastAsia="de-DE"/>
        </w:rPr>
        <w:t xml:space="preserve">, „das Land" = metonymisch „die Bewohner des Landes", </w:t>
      </w:r>
      <w:r w:rsidRPr="0082635F">
        <w:rPr>
          <w:rFonts w:eastAsia="Times New Roman"/>
          <w:b/>
          <w:bCs/>
          <w:rtl/>
          <w:lang w:eastAsia="de-DE"/>
        </w:rPr>
        <w:t>אֲשֶׁר הוֹצֵאתָנוּ מִשָּׁם</w:t>
      </w:r>
      <w:r w:rsidRPr="0082635F">
        <w:rPr>
          <w:rFonts w:eastAsia="Times New Roman"/>
          <w:rtl/>
          <w:lang w:eastAsia="de-DE"/>
        </w:rPr>
        <w:t xml:space="preserve"> </w:t>
      </w:r>
      <w:r w:rsidRPr="0082635F">
        <w:rPr>
          <w:rFonts w:eastAsia="Times New Roman"/>
          <w:lang w:eastAsia="de-DE"/>
        </w:rPr>
        <w:t xml:space="preserve">als Relativsatz – Hifil Perfekt, 2. Person Singular maskulin von </w:t>
      </w:r>
      <w:r w:rsidRPr="0082635F">
        <w:rPr>
          <w:rFonts w:eastAsia="Times New Roman"/>
          <w:b/>
          <w:bCs/>
          <w:rtl/>
          <w:lang w:eastAsia="de-DE"/>
        </w:rPr>
        <w:t>יצא</w:t>
      </w:r>
      <w:r w:rsidRPr="0082635F">
        <w:rPr>
          <w:rFonts w:eastAsia="Times New Roman"/>
          <w:lang w:eastAsia="de-DE"/>
        </w:rPr>
        <w:t xml:space="preserve">, „herausführen", mit Suffix 1. Person Plural und </w:t>
      </w:r>
      <w:r w:rsidRPr="0082635F">
        <w:rPr>
          <w:rFonts w:eastAsia="Times New Roman"/>
          <w:b/>
          <w:bCs/>
          <w:rtl/>
          <w:lang w:eastAsia="de-DE"/>
        </w:rPr>
        <w:t>מִשָּׁם</w:t>
      </w:r>
      <w:r w:rsidRPr="0082635F">
        <w:rPr>
          <w:rFonts w:eastAsia="Times New Roman"/>
          <w:rtl/>
          <w:lang w:eastAsia="de-DE"/>
        </w:rPr>
        <w:t xml:space="preserve"> </w:t>
      </w:r>
      <w:r w:rsidRPr="0082635F">
        <w:rPr>
          <w:rFonts w:eastAsia="Times New Roman"/>
          <w:lang w:eastAsia="de-DE"/>
        </w:rPr>
        <w:t xml:space="preserve">als Herkunftsangabe – </w:t>
      </w:r>
      <w:r w:rsidRPr="0082635F">
        <w:rPr>
          <w:rFonts w:eastAsia="Times New Roman"/>
          <w:b/>
          <w:bCs/>
          <w:rtl/>
          <w:lang w:eastAsia="de-DE"/>
        </w:rPr>
        <w:t>מִן</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שָׁם</w:t>
      </w:r>
      <w:r w:rsidRPr="0082635F">
        <w:rPr>
          <w:rFonts w:eastAsia="Times New Roman"/>
          <w:lang w:eastAsia="de-DE"/>
        </w:rPr>
        <w:t>, „dort").</w:t>
      </w:r>
    </w:p>
    <w:p w14:paraId="5E1E2347"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rtl/>
          <w:lang w:eastAsia="de-DE"/>
        </w:rPr>
        <w:t>מִבְּלִי יְכֹלֶת יְהוָה לַהֲבִיאָם אֶל־הָאָרֶץ אֲשֶׁר־דִּבֶּר לָהֶם וּמִשִּׂנְאָתוֹ אוֹתָם הוֹצִיאָם לַהֲמִתָם בַּמִּדְבָּֽר</w:t>
      </w:r>
      <w:r w:rsidRPr="0082635F">
        <w:rPr>
          <w:rFonts w:eastAsia="Times New Roman"/>
          <w:rtl/>
          <w:lang w:eastAsia="de-DE"/>
        </w:rPr>
        <w:t xml:space="preserve"> </w:t>
      </w:r>
      <w:r w:rsidRPr="0082635F">
        <w:rPr>
          <w:rFonts w:eastAsia="Times New Roman"/>
          <w:lang w:eastAsia="de-DE"/>
        </w:rPr>
        <w:t xml:space="preserve">ist die direkte Rede mit zweigliedriger kausaler Begründung: </w:t>
      </w:r>
      <w:r w:rsidRPr="0082635F">
        <w:rPr>
          <w:rFonts w:eastAsia="Times New Roman"/>
          <w:b/>
          <w:bCs/>
          <w:rtl/>
          <w:lang w:eastAsia="de-DE"/>
        </w:rPr>
        <w:t>מִבְּלִי יְכֹלֶת יְהוָה לַהֲבִיאָם אֶל־הָאָרֶץ אֲשֶׁר־דִּבֶּר לָהֶם</w:t>
      </w:r>
      <w:r w:rsidRPr="0082635F">
        <w:rPr>
          <w:rFonts w:eastAsia="Times New Roman"/>
          <w:rtl/>
          <w:lang w:eastAsia="de-DE"/>
        </w:rPr>
        <w:t xml:space="preserve"> </w:t>
      </w:r>
      <w:r w:rsidRPr="0082635F">
        <w:rPr>
          <w:rFonts w:eastAsia="Times New Roman"/>
          <w:lang w:eastAsia="de-DE"/>
        </w:rPr>
        <w:t>(</w:t>
      </w:r>
      <w:r w:rsidRPr="0082635F">
        <w:rPr>
          <w:rFonts w:eastAsia="Times New Roman"/>
          <w:b/>
          <w:bCs/>
          <w:rtl/>
          <w:lang w:eastAsia="de-DE"/>
        </w:rPr>
        <w:t>מִבְּלִי</w:t>
      </w:r>
      <w:r w:rsidRPr="0082635F">
        <w:rPr>
          <w:rFonts w:eastAsia="Times New Roman"/>
          <w:lang w:eastAsia="de-DE"/>
        </w:rPr>
        <w:t xml:space="preserve">, „weil nicht, aus Mangel an" – </w:t>
      </w:r>
      <w:r w:rsidRPr="0082635F">
        <w:rPr>
          <w:rFonts w:eastAsia="Times New Roman"/>
          <w:b/>
          <w:bCs/>
          <w:rtl/>
          <w:lang w:eastAsia="de-DE"/>
        </w:rPr>
        <w:t>מִן</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בְּלִי</w:t>
      </w:r>
      <w:r w:rsidRPr="0082635F">
        <w:rPr>
          <w:rFonts w:eastAsia="Times New Roman"/>
          <w:lang w:eastAsia="de-DE"/>
        </w:rPr>
        <w:t xml:space="preserve">, „ohne, ohne dass", </w:t>
      </w:r>
      <w:r w:rsidRPr="0082635F">
        <w:rPr>
          <w:rFonts w:eastAsia="Times New Roman"/>
          <w:b/>
          <w:bCs/>
          <w:rtl/>
          <w:lang w:eastAsia="de-DE"/>
        </w:rPr>
        <w:t>יְכֹלֶת</w:t>
      </w:r>
      <w:r w:rsidRPr="0082635F">
        <w:rPr>
          <w:rFonts w:eastAsia="Times New Roman"/>
          <w:lang w:eastAsia="de-DE"/>
        </w:rPr>
        <w:t xml:space="preserve">, „Fähigkeit, Vermögen" – Qal Infinitiv Construct von </w:t>
      </w:r>
      <w:r w:rsidRPr="0082635F">
        <w:rPr>
          <w:rFonts w:eastAsia="Times New Roman"/>
          <w:b/>
          <w:bCs/>
          <w:rtl/>
          <w:lang w:eastAsia="de-DE"/>
        </w:rPr>
        <w:t>יכל</w:t>
      </w:r>
      <w:r w:rsidRPr="0082635F">
        <w:rPr>
          <w:rFonts w:eastAsia="Times New Roman"/>
          <w:rtl/>
          <w:lang w:eastAsia="de-DE"/>
        </w:rPr>
        <w:t xml:space="preserve"> </w:t>
      </w:r>
      <w:r w:rsidRPr="0082635F">
        <w:rPr>
          <w:rFonts w:eastAsia="Times New Roman"/>
          <w:lang w:eastAsia="de-DE"/>
        </w:rPr>
        <w:t xml:space="preserve">als Substantiv, </w:t>
      </w:r>
      <w:r w:rsidRPr="0082635F">
        <w:rPr>
          <w:rFonts w:eastAsia="Times New Roman"/>
          <w:b/>
          <w:bCs/>
          <w:rtl/>
          <w:lang w:eastAsia="de-DE"/>
        </w:rPr>
        <w:t>יְהוָה</w:t>
      </w:r>
      <w:r w:rsidRPr="0082635F">
        <w:rPr>
          <w:rFonts w:eastAsia="Times New Roman"/>
          <w:rtl/>
          <w:lang w:eastAsia="de-DE"/>
        </w:rPr>
        <w:t xml:space="preserve"> </w:t>
      </w:r>
      <w:r w:rsidRPr="0082635F">
        <w:rPr>
          <w:rFonts w:eastAsia="Times New Roman"/>
          <w:lang w:eastAsia="de-DE"/>
        </w:rPr>
        <w:t xml:space="preserve">als genitivische Ergänzung, </w:t>
      </w:r>
      <w:r w:rsidRPr="0082635F">
        <w:rPr>
          <w:rFonts w:eastAsia="Times New Roman"/>
          <w:b/>
          <w:bCs/>
          <w:rtl/>
          <w:lang w:eastAsia="de-DE"/>
        </w:rPr>
        <w:t>לַהֲבִיאָם אֶל־הָאָרֶץ</w:t>
      </w:r>
      <w:r w:rsidRPr="0082635F">
        <w:rPr>
          <w:rFonts w:eastAsia="Times New Roman"/>
          <w:rtl/>
          <w:lang w:eastAsia="de-DE"/>
        </w:rPr>
        <w:t xml:space="preserve"> </w:t>
      </w:r>
      <w:r w:rsidRPr="0082635F">
        <w:rPr>
          <w:rFonts w:eastAsia="Times New Roman"/>
          <w:lang w:eastAsia="de-DE"/>
        </w:rPr>
        <w:t xml:space="preserve">als Infinitivkonstruktion – Hifil Infinitiv Construct von </w:t>
      </w:r>
      <w:r w:rsidRPr="0082635F">
        <w:rPr>
          <w:rFonts w:eastAsia="Times New Roman"/>
          <w:b/>
          <w:bCs/>
          <w:rtl/>
          <w:lang w:eastAsia="de-DE"/>
        </w:rPr>
        <w:t>בוא</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לְ</w:t>
      </w:r>
      <w:r w:rsidRPr="0082635F">
        <w:rPr>
          <w:rFonts w:eastAsia="Times New Roman"/>
          <w:rtl/>
          <w:lang w:eastAsia="de-DE"/>
        </w:rPr>
        <w:t xml:space="preserve"> </w:t>
      </w:r>
      <w:r w:rsidRPr="0082635F">
        <w:rPr>
          <w:rFonts w:eastAsia="Times New Roman"/>
          <w:lang w:eastAsia="de-DE"/>
        </w:rPr>
        <w:t xml:space="preserve">und Suffix-Objekt sowie Zielangabe, </w:t>
      </w:r>
      <w:r w:rsidRPr="0082635F">
        <w:rPr>
          <w:rFonts w:eastAsia="Times New Roman"/>
          <w:b/>
          <w:bCs/>
          <w:rtl/>
          <w:lang w:eastAsia="de-DE"/>
        </w:rPr>
        <w:t>אֲשֶׁר־דִּבֶּר לָהֶם</w:t>
      </w:r>
      <w:r w:rsidRPr="0082635F">
        <w:rPr>
          <w:rFonts w:eastAsia="Times New Roman"/>
          <w:rtl/>
          <w:lang w:eastAsia="de-DE"/>
        </w:rPr>
        <w:t xml:space="preserve"> </w:t>
      </w:r>
      <w:r w:rsidRPr="0082635F">
        <w:rPr>
          <w:rFonts w:eastAsia="Times New Roman"/>
          <w:lang w:eastAsia="de-DE"/>
        </w:rPr>
        <w:t xml:space="preserve">als Relativsatz – Piel Perfekt von </w:t>
      </w:r>
      <w:r w:rsidRPr="0082635F">
        <w:rPr>
          <w:rFonts w:eastAsia="Times New Roman"/>
          <w:b/>
          <w:bCs/>
          <w:rtl/>
          <w:lang w:eastAsia="de-DE"/>
        </w:rPr>
        <w:t>דבר</w:t>
      </w:r>
      <w:r w:rsidRPr="0082635F">
        <w:rPr>
          <w:rFonts w:eastAsia="Times New Roman"/>
          <w:rtl/>
          <w:lang w:eastAsia="de-DE"/>
        </w:rPr>
        <w:t xml:space="preserve"> </w:t>
      </w:r>
      <w:r w:rsidRPr="0082635F">
        <w:rPr>
          <w:rFonts w:eastAsia="Times New Roman"/>
          <w:lang w:eastAsia="de-DE"/>
        </w:rPr>
        <w:t xml:space="preserve">mit indirektem Objekt), </w:t>
      </w:r>
      <w:r w:rsidRPr="0082635F">
        <w:rPr>
          <w:rFonts w:eastAsia="Times New Roman"/>
          <w:b/>
          <w:bCs/>
          <w:rtl/>
          <w:lang w:eastAsia="de-DE"/>
        </w:rPr>
        <w:t>וּמִשִּׂנְאָתוֹ אוֹתָם הוֹצִיאָם לַהֲמִתָם בַּמִּדְבָּֽר</w:t>
      </w:r>
      <w:r w:rsidRPr="0082635F">
        <w:rPr>
          <w:rFonts w:eastAsia="Times New Roman"/>
          <w:rtl/>
          <w:lang w:eastAsia="de-DE"/>
        </w:rPr>
        <w:t xml:space="preserve"> </w:t>
      </w:r>
      <w:r w:rsidRPr="0082635F">
        <w:rPr>
          <w:rFonts w:eastAsia="Times New Roman"/>
          <w:lang w:eastAsia="de-DE"/>
        </w:rPr>
        <w:t>koordiniert (</w:t>
      </w:r>
      <w:r w:rsidRPr="0082635F">
        <w:rPr>
          <w:rFonts w:eastAsia="Times New Roman"/>
          <w:b/>
          <w:bCs/>
          <w:rtl/>
          <w:lang w:eastAsia="de-DE"/>
        </w:rPr>
        <w:t>וְ</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מִשִּׂנְאָתוֹ</w:t>
      </w:r>
      <w:r w:rsidRPr="0082635F">
        <w:rPr>
          <w:rFonts w:eastAsia="Times New Roman"/>
          <w:lang w:eastAsia="de-DE"/>
        </w:rPr>
        <w:t xml:space="preserve">, „wegen seines Hasses" – </w:t>
      </w:r>
      <w:r w:rsidRPr="0082635F">
        <w:rPr>
          <w:rFonts w:eastAsia="Times New Roman"/>
          <w:b/>
          <w:bCs/>
          <w:rtl/>
          <w:lang w:eastAsia="de-DE"/>
        </w:rPr>
        <w:t>מִן</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שִׂנְאָה</w:t>
      </w:r>
      <w:r w:rsidRPr="0082635F">
        <w:rPr>
          <w:rFonts w:eastAsia="Times New Roman"/>
          <w:lang w:eastAsia="de-DE"/>
        </w:rPr>
        <w:t xml:space="preserve">, „Hass", und Suffix 3. Person Singular maskulin, </w:t>
      </w:r>
      <w:r w:rsidRPr="0082635F">
        <w:rPr>
          <w:rFonts w:eastAsia="Times New Roman"/>
          <w:b/>
          <w:bCs/>
          <w:rtl/>
          <w:lang w:eastAsia="de-DE"/>
        </w:rPr>
        <w:t>אוֹתָם</w:t>
      </w:r>
      <w:r w:rsidRPr="0082635F">
        <w:rPr>
          <w:rFonts w:eastAsia="Times New Roman"/>
          <w:rtl/>
          <w:lang w:eastAsia="de-DE"/>
        </w:rPr>
        <w:t xml:space="preserve"> </w:t>
      </w:r>
      <w:r w:rsidRPr="0082635F">
        <w:rPr>
          <w:rFonts w:eastAsia="Times New Roman"/>
          <w:lang w:eastAsia="de-DE"/>
        </w:rPr>
        <w:t xml:space="preserve">als zusätzliches Objekt, </w:t>
      </w:r>
      <w:r w:rsidRPr="0082635F">
        <w:rPr>
          <w:rFonts w:eastAsia="Times New Roman"/>
          <w:b/>
          <w:bCs/>
          <w:rtl/>
          <w:lang w:eastAsia="de-DE"/>
        </w:rPr>
        <w:t>הוֹצִיאָם</w:t>
      </w:r>
      <w:r w:rsidRPr="0082635F">
        <w:rPr>
          <w:rFonts w:eastAsia="Times New Roman"/>
          <w:rtl/>
          <w:lang w:eastAsia="de-DE"/>
        </w:rPr>
        <w:t xml:space="preserve"> </w:t>
      </w:r>
      <w:r w:rsidRPr="0082635F">
        <w:rPr>
          <w:rFonts w:eastAsia="Times New Roman"/>
          <w:lang w:eastAsia="de-DE"/>
        </w:rPr>
        <w:t xml:space="preserve">als Hifil Perfekt, 3. Person Singular maskulin von </w:t>
      </w:r>
      <w:r w:rsidRPr="0082635F">
        <w:rPr>
          <w:rFonts w:eastAsia="Times New Roman"/>
          <w:b/>
          <w:bCs/>
          <w:rtl/>
          <w:lang w:eastAsia="de-DE"/>
        </w:rPr>
        <w:t>יצא</w:t>
      </w:r>
      <w:r w:rsidRPr="0082635F">
        <w:rPr>
          <w:rFonts w:eastAsia="Times New Roman"/>
          <w:rtl/>
          <w:lang w:eastAsia="de-DE"/>
        </w:rPr>
        <w:t xml:space="preserve"> </w:t>
      </w:r>
      <w:r w:rsidRPr="0082635F">
        <w:rPr>
          <w:rFonts w:eastAsia="Times New Roman"/>
          <w:lang w:eastAsia="de-DE"/>
        </w:rPr>
        <w:t xml:space="preserve">mit Suffix, </w:t>
      </w:r>
      <w:r w:rsidRPr="0082635F">
        <w:rPr>
          <w:rFonts w:eastAsia="Times New Roman"/>
          <w:b/>
          <w:bCs/>
          <w:rtl/>
          <w:lang w:eastAsia="de-DE"/>
        </w:rPr>
        <w:t>לַהֲמִתָם</w:t>
      </w:r>
      <w:r w:rsidRPr="0082635F">
        <w:rPr>
          <w:rFonts w:eastAsia="Times New Roman"/>
          <w:rtl/>
          <w:lang w:eastAsia="de-DE"/>
        </w:rPr>
        <w:t xml:space="preserve"> </w:t>
      </w:r>
      <w:r w:rsidRPr="0082635F">
        <w:rPr>
          <w:rFonts w:eastAsia="Times New Roman"/>
          <w:lang w:eastAsia="de-DE"/>
        </w:rPr>
        <w:t xml:space="preserve">als finaler Infinitiv – Hifil Infinitiv Construct von </w:t>
      </w:r>
      <w:r w:rsidRPr="0082635F">
        <w:rPr>
          <w:rFonts w:eastAsia="Times New Roman"/>
          <w:b/>
          <w:bCs/>
          <w:rtl/>
          <w:lang w:eastAsia="de-DE"/>
        </w:rPr>
        <w:t>מות</w:t>
      </w:r>
      <w:r w:rsidRPr="0082635F">
        <w:rPr>
          <w:rFonts w:eastAsia="Times New Roman"/>
          <w:lang w:eastAsia="de-DE"/>
        </w:rPr>
        <w:t xml:space="preserve">, „sterben", mit </w:t>
      </w:r>
      <w:r w:rsidRPr="0082635F">
        <w:rPr>
          <w:rFonts w:eastAsia="Times New Roman"/>
          <w:b/>
          <w:bCs/>
          <w:rtl/>
          <w:lang w:eastAsia="de-DE"/>
        </w:rPr>
        <w:t>לְ</w:t>
      </w:r>
      <w:r w:rsidRPr="0082635F">
        <w:rPr>
          <w:rFonts w:eastAsia="Times New Roman"/>
          <w:rtl/>
          <w:lang w:eastAsia="de-DE"/>
        </w:rPr>
        <w:t xml:space="preserve"> </w:t>
      </w:r>
      <w:r w:rsidRPr="0082635F">
        <w:rPr>
          <w:rFonts w:eastAsia="Times New Roman"/>
          <w:lang w:eastAsia="de-DE"/>
        </w:rPr>
        <w:t xml:space="preserve">und Suffix – „um sie sterben zu lassen", </w:t>
      </w:r>
      <w:r w:rsidRPr="0082635F">
        <w:rPr>
          <w:rFonts w:eastAsia="Times New Roman"/>
          <w:b/>
          <w:bCs/>
          <w:rtl/>
          <w:lang w:eastAsia="de-DE"/>
        </w:rPr>
        <w:t>בַּמִּדְבָּֽר</w:t>
      </w:r>
      <w:r w:rsidRPr="0082635F">
        <w:rPr>
          <w:rFonts w:eastAsia="Times New Roman"/>
          <w:rtl/>
          <w:lang w:eastAsia="de-DE"/>
        </w:rPr>
        <w:t xml:space="preserve"> </w:t>
      </w:r>
      <w:r w:rsidRPr="0082635F">
        <w:rPr>
          <w:rFonts w:eastAsia="Times New Roman"/>
          <w:lang w:eastAsia="de-DE"/>
        </w:rPr>
        <w:t>als Ortsangabe).</w:t>
      </w:r>
    </w:p>
    <w:p w14:paraId="453C4F28"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Der Vers argumentiert mit Gottes Ehre unter den Völkern: Israels Vernichtung würde als Gottes Schwäche oder Bosheit interpretiert werden (vgl. Ex 32,12; Num 14,13-16). Die zweigliedrige kausale Begründung stellt zwei mögliche Interpretationen dar: (1) JHWH konnte sie nicht ins Land bringen (Schwäche), (2) JHWH hasste sie und wollte sie töten (Bosheit). Beide Interpretationen würden Gottes Ehre schädigen. Das Argument ist theologisch raffiniert: Moses appelliert nicht an Gottes Mitleid, sondern an seinen Ruf.</w:t>
      </w:r>
    </w:p>
    <w:p w14:paraId="35B58EBE"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Die Satzstruktur ist eine finale negative Konstruktion mit Prädikat und Subjekt (mit Relativsatz), gefolgt von direkter Rede mit zweigliedriger koordinierter kausaler Begründung (die erste mit Infinitivkonstruktion und Relativsatz, die zweite mit zusätzlichem Objekt, Prädikat, finalem Infinitiv und Ortsangabe).</w:t>
      </w:r>
    </w:p>
    <w:p w14:paraId="1131E75E"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Der Vers argumentiert mit Gottes Ehre: Damit nicht Ägypten sage: „Weil JHWH nicht imstande war, sie ins Land zu bringen, oder weil er sie hasste, führte er sie heraus, um sie in der Wüste zu töten!"</w:t>
      </w:r>
    </w:p>
    <w:p w14:paraId="4285BA8B" w14:textId="77777777" w:rsidR="0082635F" w:rsidRPr="0082635F" w:rsidRDefault="0082635F" w:rsidP="0082635F">
      <w:pPr>
        <w:spacing w:before="100" w:beforeAutospacing="1" w:after="100" w:afterAutospacing="1" w:line="240" w:lineRule="auto"/>
        <w:outlineLvl w:val="1"/>
        <w:rPr>
          <w:rFonts w:eastAsia="Times New Roman"/>
          <w:b/>
          <w:bCs/>
          <w:sz w:val="36"/>
          <w:szCs w:val="36"/>
          <w:lang w:eastAsia="de-DE"/>
        </w:rPr>
      </w:pPr>
      <w:r w:rsidRPr="0082635F">
        <w:rPr>
          <w:rFonts w:eastAsia="Times New Roman"/>
          <w:b/>
          <w:bCs/>
          <w:sz w:val="36"/>
          <w:szCs w:val="36"/>
          <w:lang w:eastAsia="de-DE"/>
        </w:rPr>
        <w:t>Deuteronomium 9,29</w:t>
      </w:r>
    </w:p>
    <w:p w14:paraId="1F524595"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Hebräisch:</w:t>
      </w:r>
      <w:r w:rsidRPr="0082635F">
        <w:rPr>
          <w:rFonts w:eastAsia="Times New Roman"/>
          <w:lang w:eastAsia="de-DE"/>
        </w:rPr>
        <w:t xml:space="preserve"> </w:t>
      </w:r>
      <w:r w:rsidRPr="0082635F">
        <w:rPr>
          <w:rFonts w:eastAsia="Times New Roman"/>
          <w:rtl/>
          <w:lang w:eastAsia="de-DE"/>
        </w:rPr>
        <w:t>וְהֵם עַמְּךָ וְנַחֲלָתֶךָ אֲשֶׁר הוֹצֵאתָ בְּכֹחֲךָ הַגָּדֹל וּבִֽזְרֹעֲךָ הַנְּטוּיָֽה׃</w:t>
      </w:r>
    </w:p>
    <w:p w14:paraId="32442BDD"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Deutsch:</w:t>
      </w:r>
      <w:r w:rsidRPr="0082635F">
        <w:rPr>
          <w:rFonts w:eastAsia="Times New Roman"/>
          <w:lang w:eastAsia="de-DE"/>
        </w:rPr>
        <w:t xml:space="preserve"> Sie sind ja dein Volk und dein Erbteil, das du herausgeführt hast mit deiner großen Kraft und mit deinem ausgestreckten Arm.</w:t>
      </w:r>
    </w:p>
    <w:p w14:paraId="7C5382BE" w14:textId="77777777" w:rsidR="0082635F" w:rsidRPr="0082635F" w:rsidRDefault="004F5CEB" w:rsidP="0082635F">
      <w:pPr>
        <w:spacing w:after="0" w:line="240" w:lineRule="auto"/>
        <w:rPr>
          <w:rFonts w:eastAsia="Times New Roman"/>
          <w:lang w:eastAsia="de-DE"/>
        </w:rPr>
      </w:pPr>
      <w:r>
        <w:rPr>
          <w:rFonts w:eastAsia="Times New Roman"/>
          <w:noProof/>
          <w:lang w:eastAsia="de-DE"/>
        </w:rPr>
        <w:lastRenderedPageBreak/>
        <w:pict w14:anchorId="40E26B16">
          <v:rect id="_x0000_i1318" style="width:0;height:1.5pt" o:hralign="center" o:hrstd="t" o:hr="t" fillcolor="#a0a0a0" stroked="f"/>
        </w:pict>
      </w:r>
    </w:p>
    <w:p w14:paraId="2ACB9B7A"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lang w:eastAsia="de-DE"/>
        </w:rPr>
        <w:t>Kommentar:</w:t>
      </w:r>
      <w:r w:rsidRPr="0082635F">
        <w:rPr>
          <w:rFonts w:eastAsia="Times New Roman"/>
          <w:lang w:eastAsia="de-DE"/>
        </w:rPr>
        <w:t xml:space="preserve"> </w:t>
      </w:r>
      <w:r w:rsidRPr="0082635F">
        <w:rPr>
          <w:rFonts w:eastAsia="Times New Roman"/>
          <w:b/>
          <w:bCs/>
          <w:rtl/>
          <w:lang w:eastAsia="de-DE"/>
        </w:rPr>
        <w:t>וְהֵם עַמְּךָ וְנַחֲלָתֶךָ</w:t>
      </w:r>
      <w:r w:rsidRPr="0082635F">
        <w:rPr>
          <w:rFonts w:eastAsia="Times New Roman"/>
          <w:rtl/>
          <w:lang w:eastAsia="de-DE"/>
        </w:rPr>
        <w:t xml:space="preserve"> </w:t>
      </w:r>
      <w:r w:rsidRPr="0082635F">
        <w:rPr>
          <w:rFonts w:eastAsia="Times New Roman"/>
          <w:lang w:eastAsia="de-DE"/>
        </w:rPr>
        <w:t xml:space="preserve">ist ein nominaler Satz: </w:t>
      </w:r>
      <w:r w:rsidRPr="0082635F">
        <w:rPr>
          <w:rFonts w:eastAsia="Times New Roman"/>
          <w:b/>
          <w:bCs/>
          <w:rtl/>
          <w:lang w:eastAsia="de-DE"/>
        </w:rPr>
        <w:t>וְהֵם</w:t>
      </w:r>
      <w:r w:rsidRPr="0082635F">
        <w:rPr>
          <w:rFonts w:eastAsia="Times New Roman"/>
          <w:rtl/>
          <w:lang w:eastAsia="de-DE"/>
        </w:rPr>
        <w:t xml:space="preserve"> </w:t>
      </w:r>
      <w:r w:rsidRPr="0082635F">
        <w:rPr>
          <w:rFonts w:eastAsia="Times New Roman"/>
          <w:lang w:eastAsia="de-DE"/>
        </w:rPr>
        <w:t xml:space="preserve">als Subjekt (Pronomen 3. Person Plural mit </w:t>
      </w:r>
      <w:r w:rsidRPr="0082635F">
        <w:rPr>
          <w:rFonts w:eastAsia="Times New Roman"/>
          <w:b/>
          <w:bCs/>
          <w:rtl/>
          <w:lang w:eastAsia="de-DE"/>
        </w:rPr>
        <w:t>וְ</w:t>
      </w:r>
      <w:r w:rsidRPr="0082635F">
        <w:rPr>
          <w:rFonts w:eastAsia="Times New Roman"/>
          <w:lang w:eastAsia="de-DE"/>
        </w:rPr>
        <w:t xml:space="preserve">), </w:t>
      </w:r>
      <w:r w:rsidRPr="0082635F">
        <w:rPr>
          <w:rFonts w:eastAsia="Times New Roman"/>
          <w:b/>
          <w:bCs/>
          <w:rtl/>
          <w:lang w:eastAsia="de-DE"/>
        </w:rPr>
        <w:t>עַמְּךָ וְנַחֲלָתֶךָ</w:t>
      </w:r>
      <w:r w:rsidRPr="0082635F">
        <w:rPr>
          <w:rFonts w:eastAsia="Times New Roman"/>
          <w:rtl/>
          <w:lang w:eastAsia="de-DE"/>
        </w:rPr>
        <w:t xml:space="preserve"> </w:t>
      </w:r>
      <w:r w:rsidRPr="0082635F">
        <w:rPr>
          <w:rFonts w:eastAsia="Times New Roman"/>
          <w:lang w:eastAsia="de-DE"/>
        </w:rPr>
        <w:t>als zweigliedriges koordiniertes Prädikatsnomen (</w:t>
      </w:r>
      <w:r w:rsidRPr="0082635F">
        <w:rPr>
          <w:rFonts w:eastAsia="Times New Roman"/>
          <w:b/>
          <w:bCs/>
          <w:rtl/>
          <w:lang w:eastAsia="de-DE"/>
        </w:rPr>
        <w:t>עַם</w:t>
      </w:r>
      <w:r w:rsidRPr="0082635F">
        <w:rPr>
          <w:rFonts w:eastAsia="Times New Roman"/>
          <w:rtl/>
          <w:lang w:eastAsia="de-DE"/>
        </w:rPr>
        <w:t xml:space="preserve"> </w:t>
      </w:r>
      <w:r w:rsidRPr="0082635F">
        <w:rPr>
          <w:rFonts w:eastAsia="Times New Roman"/>
          <w:lang w:eastAsia="de-DE"/>
        </w:rPr>
        <w:t xml:space="preserve">mit Suffix 2. Person Singular maskulin und </w:t>
      </w:r>
      <w:r w:rsidRPr="0082635F">
        <w:rPr>
          <w:rFonts w:eastAsia="Times New Roman"/>
          <w:b/>
          <w:bCs/>
          <w:rtl/>
          <w:lang w:eastAsia="de-DE"/>
        </w:rPr>
        <w:t>נַחֲלָה</w:t>
      </w:r>
      <w:r w:rsidRPr="0082635F">
        <w:rPr>
          <w:rFonts w:eastAsia="Times New Roman"/>
          <w:rtl/>
          <w:lang w:eastAsia="de-DE"/>
        </w:rPr>
        <w:t xml:space="preserve"> </w:t>
      </w:r>
      <w:r w:rsidRPr="0082635F">
        <w:rPr>
          <w:rFonts w:eastAsia="Times New Roman"/>
          <w:lang w:eastAsia="de-DE"/>
        </w:rPr>
        <w:t>mit Suffix – wie V. 26).</w:t>
      </w:r>
    </w:p>
    <w:p w14:paraId="601852E3"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b/>
          <w:bCs/>
          <w:rtl/>
          <w:lang w:eastAsia="de-DE"/>
        </w:rPr>
        <w:t>אֲשֶׁר הוֹצֵאתָ בְּכֹחֲךָ הַגָּדֹל וּבִֽזְרֹעֲךָ הַנְּטוּיָֽה</w:t>
      </w:r>
      <w:r w:rsidRPr="0082635F">
        <w:rPr>
          <w:rFonts w:eastAsia="Times New Roman"/>
          <w:rtl/>
          <w:lang w:eastAsia="de-DE"/>
        </w:rPr>
        <w:t xml:space="preserve"> </w:t>
      </w:r>
      <w:r w:rsidRPr="0082635F">
        <w:rPr>
          <w:rFonts w:eastAsia="Times New Roman"/>
          <w:lang w:eastAsia="de-DE"/>
        </w:rPr>
        <w:t xml:space="preserve">ist ein Relativsatz: </w:t>
      </w:r>
      <w:r w:rsidRPr="0082635F">
        <w:rPr>
          <w:rFonts w:eastAsia="Times New Roman"/>
          <w:b/>
          <w:bCs/>
          <w:rtl/>
          <w:lang w:eastAsia="de-DE"/>
        </w:rPr>
        <w:t>אֲשֶׁר</w:t>
      </w:r>
      <w:r w:rsidRPr="0082635F">
        <w:rPr>
          <w:rFonts w:eastAsia="Times New Roman"/>
          <w:rtl/>
          <w:lang w:eastAsia="de-DE"/>
        </w:rPr>
        <w:t xml:space="preserve"> </w:t>
      </w:r>
      <w:r w:rsidRPr="0082635F">
        <w:rPr>
          <w:rFonts w:eastAsia="Times New Roman"/>
          <w:lang w:eastAsia="de-DE"/>
        </w:rPr>
        <w:t xml:space="preserve">als Relativpronomen, </w:t>
      </w:r>
      <w:r w:rsidRPr="0082635F">
        <w:rPr>
          <w:rFonts w:eastAsia="Times New Roman"/>
          <w:b/>
          <w:bCs/>
          <w:rtl/>
          <w:lang w:eastAsia="de-DE"/>
        </w:rPr>
        <w:t>הוֹצֵאתָ</w:t>
      </w:r>
      <w:r w:rsidRPr="0082635F">
        <w:rPr>
          <w:rFonts w:eastAsia="Times New Roman"/>
          <w:rtl/>
          <w:lang w:eastAsia="de-DE"/>
        </w:rPr>
        <w:t xml:space="preserve"> </w:t>
      </w:r>
      <w:r w:rsidRPr="0082635F">
        <w:rPr>
          <w:rFonts w:eastAsia="Times New Roman"/>
          <w:lang w:eastAsia="de-DE"/>
        </w:rPr>
        <w:t xml:space="preserve">als Hifil Perfekt, 2. Person Singular maskulin von </w:t>
      </w:r>
      <w:r w:rsidRPr="0082635F">
        <w:rPr>
          <w:rFonts w:eastAsia="Times New Roman"/>
          <w:b/>
          <w:bCs/>
          <w:rtl/>
          <w:lang w:eastAsia="de-DE"/>
        </w:rPr>
        <w:t>יצא</w:t>
      </w:r>
      <w:r w:rsidRPr="0082635F">
        <w:rPr>
          <w:rFonts w:eastAsia="Times New Roman"/>
          <w:lang w:eastAsia="de-DE"/>
        </w:rPr>
        <w:t xml:space="preserve">, „herausführen", </w:t>
      </w:r>
      <w:r w:rsidRPr="0082635F">
        <w:rPr>
          <w:rFonts w:eastAsia="Times New Roman"/>
          <w:b/>
          <w:bCs/>
          <w:rtl/>
          <w:lang w:eastAsia="de-DE"/>
        </w:rPr>
        <w:t>בְּכֹחֲךָ הַגָּדֹל וּבִֽזְרֹעֲךָ הַנְּטוּיָֽה</w:t>
      </w:r>
      <w:r w:rsidRPr="0082635F">
        <w:rPr>
          <w:rFonts w:eastAsia="Times New Roman"/>
          <w:rtl/>
          <w:lang w:eastAsia="de-DE"/>
        </w:rPr>
        <w:t xml:space="preserve"> </w:t>
      </w:r>
      <w:r w:rsidRPr="0082635F">
        <w:rPr>
          <w:rFonts w:eastAsia="Times New Roman"/>
          <w:lang w:eastAsia="de-DE"/>
        </w:rPr>
        <w:t>als zweigliedrige koordinierte instrumentale Bestimmung (</w:t>
      </w:r>
      <w:r w:rsidRPr="0082635F">
        <w:rPr>
          <w:rFonts w:eastAsia="Times New Roman"/>
          <w:b/>
          <w:bCs/>
          <w:rtl/>
          <w:lang w:eastAsia="de-DE"/>
        </w:rPr>
        <w:t>בְּ</w:t>
      </w:r>
      <w:r w:rsidRPr="0082635F">
        <w:rPr>
          <w:rFonts w:eastAsia="Times New Roman"/>
          <w:rtl/>
          <w:lang w:eastAsia="de-DE"/>
        </w:rPr>
        <w:t xml:space="preserve"> </w:t>
      </w:r>
      <w:r w:rsidRPr="0082635F">
        <w:rPr>
          <w:rFonts w:eastAsia="Times New Roman"/>
          <w:lang w:eastAsia="de-DE"/>
        </w:rPr>
        <w:t xml:space="preserve">mit </w:t>
      </w:r>
      <w:r w:rsidRPr="0082635F">
        <w:rPr>
          <w:rFonts w:eastAsia="Times New Roman"/>
          <w:b/>
          <w:bCs/>
          <w:rtl/>
          <w:lang w:eastAsia="de-DE"/>
        </w:rPr>
        <w:t>כֹּחַ</w:t>
      </w:r>
      <w:r w:rsidRPr="0082635F">
        <w:rPr>
          <w:rFonts w:eastAsia="Times New Roman"/>
          <w:lang w:eastAsia="de-DE"/>
        </w:rPr>
        <w:t xml:space="preserve">, „Kraft", und Suffix 2. Person Singular maskulin, </w:t>
      </w:r>
      <w:r w:rsidRPr="0082635F">
        <w:rPr>
          <w:rFonts w:eastAsia="Times New Roman"/>
          <w:b/>
          <w:bCs/>
          <w:rtl/>
          <w:lang w:eastAsia="de-DE"/>
        </w:rPr>
        <w:t>הַגָּדֹל</w:t>
      </w:r>
      <w:r w:rsidRPr="0082635F">
        <w:rPr>
          <w:rFonts w:eastAsia="Times New Roman"/>
          <w:rtl/>
          <w:lang w:eastAsia="de-DE"/>
        </w:rPr>
        <w:t xml:space="preserve"> </w:t>
      </w:r>
      <w:r w:rsidRPr="0082635F">
        <w:rPr>
          <w:rFonts w:eastAsia="Times New Roman"/>
          <w:lang w:eastAsia="de-DE"/>
        </w:rPr>
        <w:t xml:space="preserve">als Attribut, koordiniert mit </w:t>
      </w:r>
      <w:r w:rsidRPr="0082635F">
        <w:rPr>
          <w:rFonts w:eastAsia="Times New Roman"/>
          <w:b/>
          <w:bCs/>
          <w:rtl/>
          <w:lang w:eastAsia="de-DE"/>
        </w:rPr>
        <w:t>בְּ</w:t>
      </w:r>
      <w:r w:rsidRPr="0082635F">
        <w:rPr>
          <w:rFonts w:eastAsia="Times New Roman"/>
          <w:lang w:eastAsia="de-DE"/>
        </w:rPr>
        <w:t xml:space="preserve">, </w:t>
      </w:r>
      <w:r w:rsidRPr="0082635F">
        <w:rPr>
          <w:rFonts w:eastAsia="Times New Roman"/>
          <w:b/>
          <w:bCs/>
          <w:rtl/>
          <w:lang w:eastAsia="de-DE"/>
        </w:rPr>
        <w:t>זְרוֹעַ</w:t>
      </w:r>
      <w:r w:rsidRPr="0082635F">
        <w:rPr>
          <w:rFonts w:eastAsia="Times New Roman"/>
          <w:lang w:eastAsia="de-DE"/>
        </w:rPr>
        <w:t xml:space="preserve">, „Arm", und Suffix, </w:t>
      </w:r>
      <w:r w:rsidRPr="0082635F">
        <w:rPr>
          <w:rFonts w:eastAsia="Times New Roman"/>
          <w:b/>
          <w:bCs/>
          <w:rtl/>
          <w:lang w:eastAsia="de-DE"/>
        </w:rPr>
        <w:t>הַנְּטוּיָֽה</w:t>
      </w:r>
      <w:r w:rsidRPr="0082635F">
        <w:rPr>
          <w:rFonts w:eastAsia="Times New Roman"/>
          <w:rtl/>
          <w:lang w:eastAsia="de-DE"/>
        </w:rPr>
        <w:t xml:space="preserve"> </w:t>
      </w:r>
      <w:r w:rsidRPr="0082635F">
        <w:rPr>
          <w:rFonts w:eastAsia="Times New Roman"/>
          <w:lang w:eastAsia="de-DE"/>
        </w:rPr>
        <w:t xml:space="preserve">als Attribut – Qal Passiv Partizip feminin von </w:t>
      </w:r>
      <w:r w:rsidRPr="0082635F">
        <w:rPr>
          <w:rFonts w:eastAsia="Times New Roman"/>
          <w:b/>
          <w:bCs/>
          <w:rtl/>
          <w:lang w:eastAsia="de-DE"/>
        </w:rPr>
        <w:t>נטה</w:t>
      </w:r>
      <w:r w:rsidRPr="0082635F">
        <w:rPr>
          <w:rFonts w:eastAsia="Times New Roman"/>
          <w:lang w:eastAsia="de-DE"/>
        </w:rPr>
        <w:t>, „ausstrecken" – „der ausgestreckte").</w:t>
      </w:r>
    </w:p>
    <w:p w14:paraId="2030B7D1"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 xml:space="preserve">Der Vers schließt Moses' Fürbittgebet mit einem finalen Appell: „Sie sind doch dein Volk und Erbteil!" Die Formulierung greift V. 26 auf und bildet eine Inklusion. Die zweigliedrige instrumentale Bestimmung </w:t>
      </w:r>
      <w:r w:rsidRPr="0082635F">
        <w:rPr>
          <w:rFonts w:eastAsia="Times New Roman"/>
          <w:b/>
          <w:bCs/>
          <w:rtl/>
          <w:lang w:eastAsia="de-DE"/>
        </w:rPr>
        <w:t>בְּכֹחֲךָ הַגָּדֹל וּבִֽזְרֹעֲךָ הַנְּטוּיָֽה</w:t>
      </w:r>
      <w:r w:rsidRPr="0082635F">
        <w:rPr>
          <w:rFonts w:eastAsia="Times New Roman"/>
          <w:rtl/>
          <w:lang w:eastAsia="de-DE"/>
        </w:rPr>
        <w:t xml:space="preserve"> </w:t>
      </w:r>
      <w:r w:rsidRPr="0082635F">
        <w:rPr>
          <w:rFonts w:eastAsia="Times New Roman"/>
          <w:lang w:eastAsia="de-DE"/>
        </w:rPr>
        <w:t>(„mit deiner großen Kraft und deinem ausgestreckten Arm") erinnert nochmals an den Exodus und impliziert: Diese große Investition soll nicht umsonst gewesen sein! Das Gebet endet nicht mit einer expliziten Bitte, sondern mit einem Appell an Gottes Eigentumsrecht und Ehre.</w:t>
      </w:r>
    </w:p>
    <w:p w14:paraId="08088F3E"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Die Satzstruktur ist ein nominaler Satz mit Subjekt und zweigliedrigem koordiniertem Prädikatsnomen, erweitert durch einen Relativsatz mit Prädikat und zweigliedriger koordinierter instrumentaler Bestimmung (beide mit Attribut).</w:t>
      </w:r>
    </w:p>
    <w:p w14:paraId="4B6BE77C" w14:textId="77777777" w:rsidR="0082635F" w:rsidRPr="0082635F" w:rsidRDefault="0082635F" w:rsidP="0082635F">
      <w:pPr>
        <w:spacing w:before="100" w:beforeAutospacing="1" w:after="100" w:afterAutospacing="1" w:line="240" w:lineRule="auto"/>
        <w:rPr>
          <w:rFonts w:eastAsia="Times New Roman"/>
          <w:lang w:eastAsia="de-DE"/>
        </w:rPr>
      </w:pPr>
      <w:r w:rsidRPr="0082635F">
        <w:rPr>
          <w:rFonts w:eastAsia="Times New Roman"/>
          <w:lang w:eastAsia="de-DE"/>
        </w:rPr>
        <w:t>Der Vers schließt die Fürbitte: Sie sind doch dein Volk und Erbteil, das du mit deiner großen Kraft und deinem ausgestreckten Arm herausgeführt hast – finaler Appell an Gottes Eigentumsrecht.</w:t>
      </w:r>
    </w:p>
    <w:p w14:paraId="5363B339" w14:textId="77777777" w:rsidR="00461277" w:rsidRPr="00461277" w:rsidRDefault="00461277" w:rsidP="00461277">
      <w:pPr>
        <w:spacing w:before="100" w:beforeAutospacing="1" w:after="100" w:afterAutospacing="1" w:line="240" w:lineRule="auto"/>
        <w:outlineLvl w:val="1"/>
        <w:rPr>
          <w:rFonts w:eastAsia="Times New Roman"/>
          <w:b/>
          <w:bCs/>
          <w:sz w:val="36"/>
          <w:szCs w:val="36"/>
          <w:lang w:eastAsia="de-DE"/>
        </w:rPr>
      </w:pPr>
      <w:r w:rsidRPr="00461277">
        <w:rPr>
          <w:rFonts w:eastAsia="Times New Roman"/>
          <w:b/>
          <w:bCs/>
          <w:sz w:val="36"/>
          <w:szCs w:val="36"/>
          <w:lang w:eastAsia="de-DE"/>
        </w:rPr>
        <w:t>Deuteronomium 10,1</w:t>
      </w:r>
    </w:p>
    <w:p w14:paraId="32DF694D"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lang w:eastAsia="de-DE"/>
        </w:rPr>
        <w:t>Hebräisch:</w:t>
      </w:r>
      <w:r w:rsidRPr="00461277">
        <w:rPr>
          <w:rFonts w:eastAsia="Times New Roman"/>
          <w:lang w:eastAsia="de-DE"/>
        </w:rPr>
        <w:t xml:space="preserve"> </w:t>
      </w:r>
      <w:r w:rsidRPr="00461277">
        <w:rPr>
          <w:rFonts w:eastAsia="Times New Roman"/>
          <w:rtl/>
          <w:lang w:eastAsia="de-DE"/>
        </w:rPr>
        <w:t>בָּעֵ֨ת הַהִ֜וא אָמַ֧ר יְהוָ֣ה אֵלַ֗י פְּסָל־לְךָ֞ שְׁנֵֽי־לוּחֹ֤ת אֲבָנִים֙ כָּרִ֣אשֹׁנִ֔ים וַעֲלֵ֥ה אֵלַ֖י הָהָ֑רָה וְעָשִׂ֥יתָ לְּךָ֖ אֲר֥וֹן עֵֽץ׃</w:t>
      </w:r>
    </w:p>
    <w:p w14:paraId="3FD76F69"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lang w:eastAsia="de-DE"/>
        </w:rPr>
        <w:t>Deutsch:</w:t>
      </w:r>
      <w:r w:rsidRPr="00461277">
        <w:rPr>
          <w:rFonts w:eastAsia="Times New Roman"/>
          <w:lang w:eastAsia="de-DE"/>
        </w:rPr>
        <w:t xml:space="preserve"> In jener Zeit sprach der Ewige zu mir: Haue dir zwei steinerne Tafeln aus, wie die ersten, und steige zu mir auf den Berg; und mache dir eine Lade von Holz.</w:t>
      </w:r>
    </w:p>
    <w:p w14:paraId="46D9F113" w14:textId="77777777" w:rsidR="00461277" w:rsidRPr="00461277" w:rsidRDefault="004F5CEB" w:rsidP="00461277">
      <w:pPr>
        <w:spacing w:after="0" w:line="240" w:lineRule="auto"/>
        <w:rPr>
          <w:rFonts w:eastAsia="Times New Roman"/>
          <w:lang w:eastAsia="de-DE"/>
        </w:rPr>
      </w:pPr>
      <w:r>
        <w:rPr>
          <w:rFonts w:eastAsia="Times New Roman"/>
          <w:noProof/>
          <w:lang w:eastAsia="de-DE"/>
        </w:rPr>
        <w:pict w14:anchorId="251FE376">
          <v:rect id="_x0000_i1319" style="width:0;height:1.5pt" o:hralign="center" o:hrstd="t" o:hr="t" fillcolor="#a0a0a0" stroked="f"/>
        </w:pict>
      </w:r>
    </w:p>
    <w:p w14:paraId="32024F41"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lang w:eastAsia="de-DE"/>
        </w:rPr>
        <w:t>Kommentar:</w:t>
      </w:r>
      <w:r w:rsidRPr="00461277">
        <w:rPr>
          <w:rFonts w:eastAsia="Times New Roman"/>
          <w:lang w:eastAsia="de-DE"/>
        </w:rPr>
        <w:t xml:space="preserve"> </w:t>
      </w:r>
      <w:r w:rsidRPr="00461277">
        <w:rPr>
          <w:rFonts w:eastAsia="Times New Roman"/>
          <w:b/>
          <w:bCs/>
          <w:rtl/>
          <w:lang w:eastAsia="de-DE"/>
        </w:rPr>
        <w:t>בָּעֵת הַהִוא אָמַר יְהוָה אֵלַי</w:t>
      </w:r>
      <w:r w:rsidRPr="00461277">
        <w:rPr>
          <w:rFonts w:eastAsia="Times New Roman"/>
          <w:rtl/>
          <w:lang w:eastAsia="de-DE"/>
        </w:rPr>
        <w:t xml:space="preserve"> </w:t>
      </w:r>
      <w:r w:rsidRPr="00461277">
        <w:rPr>
          <w:rFonts w:eastAsia="Times New Roman"/>
          <w:lang w:eastAsia="de-DE"/>
        </w:rPr>
        <w:t xml:space="preserve">ist die Redeeinleitung: </w:t>
      </w:r>
      <w:r w:rsidRPr="00461277">
        <w:rPr>
          <w:rFonts w:eastAsia="Times New Roman"/>
          <w:b/>
          <w:bCs/>
          <w:rtl/>
          <w:lang w:eastAsia="de-DE"/>
        </w:rPr>
        <w:t>בָּעֵת הַהִוא</w:t>
      </w:r>
      <w:r w:rsidRPr="00461277">
        <w:rPr>
          <w:rFonts w:eastAsia="Times New Roman"/>
          <w:rtl/>
          <w:lang w:eastAsia="de-DE"/>
        </w:rPr>
        <w:t xml:space="preserve"> </w:t>
      </w:r>
      <w:r w:rsidRPr="00461277">
        <w:rPr>
          <w:rFonts w:eastAsia="Times New Roman"/>
          <w:lang w:eastAsia="de-DE"/>
        </w:rPr>
        <w:t>als temporale Bestimmung (</w:t>
      </w:r>
      <w:r w:rsidRPr="00461277">
        <w:rPr>
          <w:rFonts w:eastAsia="Times New Roman"/>
          <w:b/>
          <w:bCs/>
          <w:rtl/>
          <w:lang w:eastAsia="de-DE"/>
        </w:rPr>
        <w:t>בְּ</w:t>
      </w:r>
      <w:r w:rsidRPr="00461277">
        <w:rPr>
          <w:rFonts w:eastAsia="Times New Roman"/>
          <w:rtl/>
          <w:lang w:eastAsia="de-DE"/>
        </w:rPr>
        <w:t xml:space="preserve"> </w:t>
      </w:r>
      <w:r w:rsidRPr="00461277">
        <w:rPr>
          <w:rFonts w:eastAsia="Times New Roman"/>
          <w:lang w:eastAsia="de-DE"/>
        </w:rPr>
        <w:t xml:space="preserve">mit </w:t>
      </w:r>
      <w:r w:rsidRPr="00461277">
        <w:rPr>
          <w:rFonts w:eastAsia="Times New Roman"/>
          <w:b/>
          <w:bCs/>
          <w:rtl/>
          <w:lang w:eastAsia="de-DE"/>
        </w:rPr>
        <w:t>עֵת</w:t>
      </w:r>
      <w:r w:rsidRPr="00461277">
        <w:rPr>
          <w:rFonts w:eastAsia="Times New Roman"/>
          <w:lang w:eastAsia="de-DE"/>
        </w:rPr>
        <w:t xml:space="preserve">, „Zeit", und Demonstrativpronomen – „in jener Zeit"), </w:t>
      </w:r>
      <w:r w:rsidRPr="00461277">
        <w:rPr>
          <w:rFonts w:eastAsia="Times New Roman"/>
          <w:b/>
          <w:bCs/>
          <w:rtl/>
          <w:lang w:eastAsia="de-DE"/>
        </w:rPr>
        <w:t>אָמַר</w:t>
      </w:r>
      <w:r w:rsidRPr="00461277">
        <w:rPr>
          <w:rFonts w:eastAsia="Times New Roman"/>
          <w:rtl/>
          <w:lang w:eastAsia="de-DE"/>
        </w:rPr>
        <w:t xml:space="preserve"> </w:t>
      </w:r>
      <w:r w:rsidRPr="00461277">
        <w:rPr>
          <w:rFonts w:eastAsia="Times New Roman"/>
          <w:lang w:eastAsia="de-DE"/>
        </w:rPr>
        <w:t xml:space="preserve">als Qal Perfekt, 3. Person Singular maskulin von </w:t>
      </w:r>
      <w:r w:rsidRPr="00461277">
        <w:rPr>
          <w:rFonts w:eastAsia="Times New Roman"/>
          <w:b/>
          <w:bCs/>
          <w:rtl/>
          <w:lang w:eastAsia="de-DE"/>
        </w:rPr>
        <w:t>אמר</w:t>
      </w:r>
      <w:r w:rsidRPr="00461277">
        <w:rPr>
          <w:rFonts w:eastAsia="Times New Roman"/>
          <w:lang w:eastAsia="de-DE"/>
        </w:rPr>
        <w:t xml:space="preserve">, „sagen", </w:t>
      </w:r>
      <w:r w:rsidRPr="00461277">
        <w:rPr>
          <w:rFonts w:eastAsia="Times New Roman"/>
          <w:b/>
          <w:bCs/>
          <w:rtl/>
          <w:lang w:eastAsia="de-DE"/>
        </w:rPr>
        <w:t>יְהוָה</w:t>
      </w:r>
      <w:r w:rsidRPr="00461277">
        <w:rPr>
          <w:rFonts w:eastAsia="Times New Roman"/>
          <w:rtl/>
          <w:lang w:eastAsia="de-DE"/>
        </w:rPr>
        <w:t xml:space="preserve"> </w:t>
      </w:r>
      <w:r w:rsidRPr="00461277">
        <w:rPr>
          <w:rFonts w:eastAsia="Times New Roman"/>
          <w:lang w:eastAsia="de-DE"/>
        </w:rPr>
        <w:t xml:space="preserve">als Subjekt, </w:t>
      </w:r>
      <w:r w:rsidRPr="00461277">
        <w:rPr>
          <w:rFonts w:eastAsia="Times New Roman"/>
          <w:b/>
          <w:bCs/>
          <w:rtl/>
          <w:lang w:eastAsia="de-DE"/>
        </w:rPr>
        <w:t>אֵלַי</w:t>
      </w:r>
      <w:r w:rsidRPr="00461277">
        <w:rPr>
          <w:rFonts w:eastAsia="Times New Roman"/>
          <w:rtl/>
          <w:lang w:eastAsia="de-DE"/>
        </w:rPr>
        <w:t xml:space="preserve"> </w:t>
      </w:r>
      <w:r w:rsidRPr="00461277">
        <w:rPr>
          <w:rFonts w:eastAsia="Times New Roman"/>
          <w:lang w:eastAsia="de-DE"/>
        </w:rPr>
        <w:t>als indirektes Objekt.</w:t>
      </w:r>
    </w:p>
    <w:p w14:paraId="1DA732ED" w14:textId="247F1DD5"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rtl/>
          <w:lang w:eastAsia="de-DE"/>
        </w:rPr>
        <w:t>פְּסָל־לְךָ שְׁנֵֽי־לוּחֹת אֲבָנִים כָּרִאשֹׁנִים</w:t>
      </w:r>
      <w:r w:rsidRPr="00461277">
        <w:rPr>
          <w:rFonts w:eastAsia="Times New Roman"/>
          <w:rtl/>
          <w:lang w:eastAsia="de-DE"/>
        </w:rPr>
        <w:t xml:space="preserve"> </w:t>
      </w:r>
      <w:r w:rsidRPr="00461277">
        <w:rPr>
          <w:rFonts w:eastAsia="Times New Roman"/>
          <w:lang w:eastAsia="de-DE"/>
        </w:rPr>
        <w:t xml:space="preserve">ist der erste Imperativ: </w:t>
      </w:r>
      <w:r w:rsidRPr="00461277">
        <w:rPr>
          <w:rFonts w:eastAsia="Times New Roman"/>
          <w:b/>
          <w:bCs/>
          <w:rtl/>
          <w:lang w:eastAsia="de-DE"/>
        </w:rPr>
        <w:t>פְּסָל־לְךָ</w:t>
      </w:r>
      <w:r w:rsidRPr="00461277">
        <w:rPr>
          <w:rFonts w:eastAsia="Times New Roman"/>
          <w:rtl/>
          <w:lang w:eastAsia="de-DE"/>
        </w:rPr>
        <w:t xml:space="preserve"> </w:t>
      </w:r>
      <w:r w:rsidRPr="00461277">
        <w:rPr>
          <w:rFonts w:eastAsia="Times New Roman"/>
          <w:lang w:eastAsia="de-DE"/>
        </w:rPr>
        <w:t xml:space="preserve">(Qal Imperativ, 2. Person Singular maskulin von </w:t>
      </w:r>
      <w:r w:rsidRPr="00461277">
        <w:rPr>
          <w:rFonts w:eastAsia="Times New Roman"/>
          <w:b/>
          <w:bCs/>
          <w:rtl/>
          <w:lang w:eastAsia="de-DE"/>
        </w:rPr>
        <w:t>פסל</w:t>
      </w:r>
      <w:r w:rsidRPr="00461277">
        <w:rPr>
          <w:rFonts w:eastAsia="Times New Roman"/>
          <w:lang w:eastAsia="de-DE"/>
        </w:rPr>
        <w:t xml:space="preserve">, „aushauen, behauen", mit </w:t>
      </w:r>
      <w:r w:rsidR="00D84597">
        <w:rPr>
          <w:rFonts w:eastAsia="Times New Roman"/>
          <w:lang w:eastAsia="de-DE"/>
        </w:rPr>
        <w:t>Maqqef</w:t>
      </w:r>
      <w:r w:rsidRPr="00461277">
        <w:rPr>
          <w:rFonts w:eastAsia="Times New Roman"/>
          <w:lang w:eastAsia="de-DE"/>
        </w:rPr>
        <w:t xml:space="preserve"> und Dativ </w:t>
      </w:r>
      <w:r w:rsidRPr="00461277">
        <w:rPr>
          <w:rFonts w:eastAsia="Times New Roman"/>
          <w:b/>
          <w:bCs/>
          <w:rtl/>
          <w:lang w:eastAsia="de-DE"/>
        </w:rPr>
        <w:t>לְךָ</w:t>
      </w:r>
      <w:r w:rsidRPr="00461277">
        <w:rPr>
          <w:rFonts w:eastAsia="Times New Roman"/>
          <w:lang w:eastAsia="de-DE"/>
        </w:rPr>
        <w:t xml:space="preserve">), </w:t>
      </w:r>
      <w:r w:rsidRPr="00461277">
        <w:rPr>
          <w:rFonts w:eastAsia="Times New Roman"/>
          <w:b/>
          <w:bCs/>
          <w:rtl/>
          <w:lang w:eastAsia="de-DE"/>
        </w:rPr>
        <w:t>שְׁנֵי־לוּחֹת אֲבָנִים</w:t>
      </w:r>
      <w:r w:rsidRPr="00461277">
        <w:rPr>
          <w:rFonts w:eastAsia="Times New Roman"/>
          <w:rtl/>
          <w:lang w:eastAsia="de-DE"/>
        </w:rPr>
        <w:t xml:space="preserve"> </w:t>
      </w:r>
      <w:r w:rsidRPr="00461277">
        <w:rPr>
          <w:rFonts w:eastAsia="Times New Roman"/>
          <w:lang w:eastAsia="de-DE"/>
        </w:rPr>
        <w:t xml:space="preserve">als direktes Objekt (wie 9,10), </w:t>
      </w:r>
      <w:r w:rsidRPr="00461277">
        <w:rPr>
          <w:rFonts w:eastAsia="Times New Roman"/>
          <w:b/>
          <w:bCs/>
          <w:rtl/>
          <w:lang w:eastAsia="de-DE"/>
        </w:rPr>
        <w:t>כָּרִאשֹׁנִים</w:t>
      </w:r>
      <w:r w:rsidRPr="00461277">
        <w:rPr>
          <w:rFonts w:eastAsia="Times New Roman"/>
          <w:rtl/>
          <w:lang w:eastAsia="de-DE"/>
        </w:rPr>
        <w:t xml:space="preserve"> </w:t>
      </w:r>
      <w:r w:rsidRPr="00461277">
        <w:rPr>
          <w:rFonts w:eastAsia="Times New Roman"/>
          <w:lang w:eastAsia="de-DE"/>
        </w:rPr>
        <w:t>als Vergleichskonstruktion (</w:t>
      </w:r>
      <w:r w:rsidRPr="00461277">
        <w:rPr>
          <w:rFonts w:eastAsia="Times New Roman"/>
          <w:b/>
          <w:bCs/>
          <w:rtl/>
          <w:lang w:eastAsia="de-DE"/>
        </w:rPr>
        <w:t>כְּ</w:t>
      </w:r>
      <w:r w:rsidRPr="00461277">
        <w:rPr>
          <w:rFonts w:eastAsia="Times New Roman"/>
          <w:rtl/>
          <w:lang w:eastAsia="de-DE"/>
        </w:rPr>
        <w:t xml:space="preserve"> </w:t>
      </w:r>
      <w:r w:rsidRPr="00461277">
        <w:rPr>
          <w:rFonts w:eastAsia="Times New Roman"/>
          <w:lang w:eastAsia="de-DE"/>
        </w:rPr>
        <w:t xml:space="preserve">mit </w:t>
      </w:r>
      <w:r w:rsidRPr="00461277">
        <w:rPr>
          <w:rFonts w:eastAsia="Times New Roman"/>
          <w:b/>
          <w:bCs/>
          <w:rtl/>
          <w:lang w:eastAsia="de-DE"/>
        </w:rPr>
        <w:t>רִאשׁוֹן</w:t>
      </w:r>
      <w:r w:rsidRPr="00461277">
        <w:rPr>
          <w:rFonts w:eastAsia="Times New Roman"/>
          <w:lang w:eastAsia="de-DE"/>
        </w:rPr>
        <w:t>, „erster", Plural maskulin – „wie die ersten").</w:t>
      </w:r>
    </w:p>
    <w:p w14:paraId="32597E6C"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rtl/>
          <w:lang w:eastAsia="de-DE"/>
        </w:rPr>
        <w:lastRenderedPageBreak/>
        <w:t>וַעֲלֵה אֵלַי הָהָרָה</w:t>
      </w:r>
      <w:r w:rsidRPr="00461277">
        <w:rPr>
          <w:rFonts w:eastAsia="Times New Roman"/>
          <w:rtl/>
          <w:lang w:eastAsia="de-DE"/>
        </w:rPr>
        <w:t xml:space="preserve"> </w:t>
      </w:r>
      <w:r w:rsidRPr="00461277">
        <w:rPr>
          <w:rFonts w:eastAsia="Times New Roman"/>
          <w:lang w:eastAsia="de-DE"/>
        </w:rPr>
        <w:t xml:space="preserve">ist der zweite Imperativ: </w:t>
      </w:r>
      <w:r w:rsidRPr="00461277">
        <w:rPr>
          <w:rFonts w:eastAsia="Times New Roman"/>
          <w:b/>
          <w:bCs/>
          <w:rtl/>
          <w:lang w:eastAsia="de-DE"/>
        </w:rPr>
        <w:t>וַעֲלֵה</w:t>
      </w:r>
      <w:r w:rsidRPr="00461277">
        <w:rPr>
          <w:rFonts w:eastAsia="Times New Roman"/>
          <w:rtl/>
          <w:lang w:eastAsia="de-DE"/>
        </w:rPr>
        <w:t xml:space="preserve"> </w:t>
      </w:r>
      <w:r w:rsidRPr="00461277">
        <w:rPr>
          <w:rFonts w:eastAsia="Times New Roman"/>
          <w:lang w:eastAsia="de-DE"/>
        </w:rPr>
        <w:t xml:space="preserve">(Qal Imperativ, 2. Person Singular maskulin von </w:t>
      </w:r>
      <w:r w:rsidRPr="00461277">
        <w:rPr>
          <w:rFonts w:eastAsia="Times New Roman"/>
          <w:b/>
          <w:bCs/>
          <w:rtl/>
          <w:lang w:eastAsia="de-DE"/>
        </w:rPr>
        <w:t>עלה</w:t>
      </w:r>
      <w:r w:rsidRPr="00461277">
        <w:rPr>
          <w:rFonts w:eastAsia="Times New Roman"/>
          <w:lang w:eastAsia="de-DE"/>
        </w:rPr>
        <w:t xml:space="preserve">, „hinaufsteigen", mit </w:t>
      </w:r>
      <w:r w:rsidRPr="00461277">
        <w:rPr>
          <w:rFonts w:eastAsia="Times New Roman"/>
          <w:b/>
          <w:bCs/>
          <w:rtl/>
          <w:lang w:eastAsia="de-DE"/>
        </w:rPr>
        <w:t>וְ</w:t>
      </w:r>
      <w:r w:rsidRPr="00461277">
        <w:rPr>
          <w:rFonts w:eastAsia="Times New Roman"/>
          <w:lang w:eastAsia="de-DE"/>
        </w:rPr>
        <w:t xml:space="preserve">), </w:t>
      </w:r>
      <w:r w:rsidRPr="00461277">
        <w:rPr>
          <w:rFonts w:eastAsia="Times New Roman"/>
          <w:b/>
          <w:bCs/>
          <w:rtl/>
          <w:lang w:eastAsia="de-DE"/>
        </w:rPr>
        <w:t>אֵלַי</w:t>
      </w:r>
      <w:r w:rsidRPr="00461277">
        <w:rPr>
          <w:rFonts w:eastAsia="Times New Roman"/>
          <w:rtl/>
          <w:lang w:eastAsia="de-DE"/>
        </w:rPr>
        <w:t xml:space="preserve"> </w:t>
      </w:r>
      <w:r w:rsidRPr="00461277">
        <w:rPr>
          <w:rFonts w:eastAsia="Times New Roman"/>
          <w:lang w:eastAsia="de-DE"/>
        </w:rPr>
        <w:t xml:space="preserve">als Richtungsangabe, </w:t>
      </w:r>
      <w:r w:rsidRPr="00461277">
        <w:rPr>
          <w:rFonts w:eastAsia="Times New Roman"/>
          <w:b/>
          <w:bCs/>
          <w:rtl/>
          <w:lang w:eastAsia="de-DE"/>
        </w:rPr>
        <w:t>הָהָרָה</w:t>
      </w:r>
      <w:r w:rsidRPr="00461277">
        <w:rPr>
          <w:rFonts w:eastAsia="Times New Roman"/>
          <w:rtl/>
          <w:lang w:eastAsia="de-DE"/>
        </w:rPr>
        <w:t xml:space="preserve"> </w:t>
      </w:r>
      <w:r w:rsidRPr="00461277">
        <w:rPr>
          <w:rFonts w:eastAsia="Times New Roman"/>
          <w:lang w:eastAsia="de-DE"/>
        </w:rPr>
        <w:t>als Zielangabe mit Lokativ-He.</w:t>
      </w:r>
    </w:p>
    <w:p w14:paraId="2E53C449"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rtl/>
          <w:lang w:eastAsia="de-DE"/>
        </w:rPr>
        <w:t>וְעָשִׂיתָ לְּךָ אֲרוֹן עֵץ</w:t>
      </w:r>
      <w:r w:rsidRPr="00461277">
        <w:rPr>
          <w:rFonts w:eastAsia="Times New Roman"/>
          <w:rtl/>
          <w:lang w:eastAsia="de-DE"/>
        </w:rPr>
        <w:t xml:space="preserve"> </w:t>
      </w:r>
      <w:r w:rsidRPr="00461277">
        <w:rPr>
          <w:rFonts w:eastAsia="Times New Roman"/>
          <w:lang w:eastAsia="de-DE"/>
        </w:rPr>
        <w:t xml:space="preserve">ist der dritte Imperativ: </w:t>
      </w:r>
      <w:r w:rsidRPr="00461277">
        <w:rPr>
          <w:rFonts w:eastAsia="Times New Roman"/>
          <w:b/>
          <w:bCs/>
          <w:rtl/>
          <w:lang w:eastAsia="de-DE"/>
        </w:rPr>
        <w:t>וְעָשִׂיתָ לְּךָ</w:t>
      </w:r>
      <w:r w:rsidRPr="00461277">
        <w:rPr>
          <w:rFonts w:eastAsia="Times New Roman"/>
          <w:rtl/>
          <w:lang w:eastAsia="de-DE"/>
        </w:rPr>
        <w:t xml:space="preserve"> </w:t>
      </w:r>
      <w:r w:rsidRPr="00461277">
        <w:rPr>
          <w:rFonts w:eastAsia="Times New Roman"/>
          <w:lang w:eastAsia="de-DE"/>
        </w:rPr>
        <w:t xml:space="preserve">(Qal Perfekt, 2. Person Singular maskulin von </w:t>
      </w:r>
      <w:r w:rsidRPr="00461277">
        <w:rPr>
          <w:rFonts w:eastAsia="Times New Roman"/>
          <w:b/>
          <w:bCs/>
          <w:rtl/>
          <w:lang w:eastAsia="de-DE"/>
        </w:rPr>
        <w:t>עשׂה</w:t>
      </w:r>
      <w:r w:rsidRPr="00461277">
        <w:rPr>
          <w:rFonts w:eastAsia="Times New Roman"/>
          <w:lang w:eastAsia="de-DE"/>
        </w:rPr>
        <w:t xml:space="preserve">, „machen", mit </w:t>
      </w:r>
      <w:r w:rsidRPr="00461277">
        <w:rPr>
          <w:rFonts w:eastAsia="Times New Roman"/>
          <w:b/>
          <w:bCs/>
          <w:rtl/>
          <w:lang w:eastAsia="de-DE"/>
        </w:rPr>
        <w:t>וְ</w:t>
      </w:r>
      <w:r w:rsidRPr="00461277">
        <w:rPr>
          <w:rFonts w:eastAsia="Times New Roman"/>
          <w:rtl/>
          <w:lang w:eastAsia="de-DE"/>
        </w:rPr>
        <w:t xml:space="preserve"> </w:t>
      </w:r>
      <w:r w:rsidRPr="00461277">
        <w:rPr>
          <w:rFonts w:eastAsia="Times New Roman"/>
          <w:lang w:eastAsia="de-DE"/>
        </w:rPr>
        <w:t xml:space="preserve">– in imperativischer Funktion, </w:t>
      </w:r>
      <w:r w:rsidRPr="00461277">
        <w:rPr>
          <w:rFonts w:eastAsia="Times New Roman"/>
          <w:b/>
          <w:bCs/>
          <w:rtl/>
          <w:lang w:eastAsia="de-DE"/>
        </w:rPr>
        <w:t>לְךָ</w:t>
      </w:r>
      <w:r w:rsidRPr="00461277">
        <w:rPr>
          <w:rFonts w:eastAsia="Times New Roman"/>
          <w:rtl/>
          <w:lang w:eastAsia="de-DE"/>
        </w:rPr>
        <w:t xml:space="preserve"> </w:t>
      </w:r>
      <w:r w:rsidRPr="00461277">
        <w:rPr>
          <w:rFonts w:eastAsia="Times New Roman"/>
          <w:lang w:eastAsia="de-DE"/>
        </w:rPr>
        <w:t xml:space="preserve">als Dativ), </w:t>
      </w:r>
      <w:r w:rsidRPr="00461277">
        <w:rPr>
          <w:rFonts w:eastAsia="Times New Roman"/>
          <w:b/>
          <w:bCs/>
          <w:rtl/>
          <w:lang w:eastAsia="de-DE"/>
        </w:rPr>
        <w:t>אֲרוֹן עֵץ</w:t>
      </w:r>
      <w:r w:rsidRPr="00461277">
        <w:rPr>
          <w:rFonts w:eastAsia="Times New Roman"/>
          <w:rtl/>
          <w:lang w:eastAsia="de-DE"/>
        </w:rPr>
        <w:t xml:space="preserve"> </w:t>
      </w:r>
      <w:r w:rsidRPr="00461277">
        <w:rPr>
          <w:rFonts w:eastAsia="Times New Roman"/>
          <w:lang w:eastAsia="de-DE"/>
        </w:rPr>
        <w:t>als direktes Objekt (</w:t>
      </w:r>
      <w:r w:rsidRPr="00461277">
        <w:rPr>
          <w:rFonts w:eastAsia="Times New Roman"/>
          <w:b/>
          <w:bCs/>
          <w:rtl/>
          <w:lang w:eastAsia="de-DE"/>
        </w:rPr>
        <w:t>אָרוֹן</w:t>
      </w:r>
      <w:r w:rsidRPr="00461277">
        <w:rPr>
          <w:rFonts w:eastAsia="Times New Roman"/>
          <w:lang w:eastAsia="de-DE"/>
        </w:rPr>
        <w:t xml:space="preserve">, „Lade, Kasten", </w:t>
      </w:r>
      <w:r w:rsidRPr="00461277">
        <w:rPr>
          <w:rFonts w:eastAsia="Times New Roman"/>
          <w:b/>
          <w:bCs/>
          <w:rtl/>
          <w:lang w:eastAsia="de-DE"/>
        </w:rPr>
        <w:t>עֵץ</w:t>
      </w:r>
      <w:r w:rsidRPr="00461277">
        <w:rPr>
          <w:rFonts w:eastAsia="Times New Roman"/>
          <w:lang w:eastAsia="de-DE"/>
        </w:rPr>
        <w:t>, „Holz", im Construct – „eine Lade von Holz").</w:t>
      </w:r>
    </w:p>
    <w:p w14:paraId="5E9DF032"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lang w:eastAsia="de-DE"/>
        </w:rPr>
        <w:t xml:space="preserve">Der Vers leitet Kapitel 10 ein und schließt an 9,18-29 an: Nach der erfolgreichen Fürbitte gibt JHWH Mose den Auftrag, neue Tafeln anzufertigen. Die zeitliche Angabe </w:t>
      </w:r>
      <w:r w:rsidRPr="00461277">
        <w:rPr>
          <w:rFonts w:eastAsia="Times New Roman"/>
          <w:b/>
          <w:bCs/>
          <w:rtl/>
          <w:lang w:eastAsia="de-DE"/>
        </w:rPr>
        <w:t>בָּעֵת הַהִוא</w:t>
      </w:r>
      <w:r w:rsidRPr="00461277">
        <w:rPr>
          <w:rFonts w:eastAsia="Times New Roman"/>
          <w:rtl/>
          <w:lang w:eastAsia="de-DE"/>
        </w:rPr>
        <w:t xml:space="preserve"> </w:t>
      </w:r>
      <w:r w:rsidRPr="00461277">
        <w:rPr>
          <w:rFonts w:eastAsia="Times New Roman"/>
          <w:lang w:eastAsia="de-DE"/>
        </w:rPr>
        <w:t xml:space="preserve">(„in jener Zeit") bezieht sich auf die Zeit nach der Fürbitte. Der dreigliedrige Imperativ ist präzise: (1) Tafeln aushauen, (2) auf den Berg steigen, (3) eine Lade machen. Die Vergleichskonstruktion </w:t>
      </w:r>
      <w:r w:rsidRPr="00461277">
        <w:rPr>
          <w:rFonts w:eastAsia="Times New Roman"/>
          <w:b/>
          <w:bCs/>
          <w:rtl/>
          <w:lang w:eastAsia="de-DE"/>
        </w:rPr>
        <w:t>כָּרִאשֹׁנִים</w:t>
      </w:r>
      <w:r w:rsidRPr="00461277">
        <w:rPr>
          <w:rFonts w:eastAsia="Times New Roman"/>
          <w:rtl/>
          <w:lang w:eastAsia="de-DE"/>
        </w:rPr>
        <w:t xml:space="preserve"> </w:t>
      </w:r>
      <w:r w:rsidRPr="00461277">
        <w:rPr>
          <w:rFonts w:eastAsia="Times New Roman"/>
          <w:lang w:eastAsia="de-DE"/>
        </w:rPr>
        <w:t xml:space="preserve">(„wie die ersten") betont: Die neuen Tafeln sollen den zerbrochenen entsprechen. Die </w:t>
      </w:r>
      <w:r w:rsidRPr="00461277">
        <w:rPr>
          <w:rFonts w:eastAsia="Times New Roman"/>
          <w:b/>
          <w:bCs/>
          <w:rtl/>
          <w:lang w:eastAsia="de-DE"/>
        </w:rPr>
        <w:t>אֲרוֹן</w:t>
      </w:r>
      <w:r w:rsidRPr="00461277">
        <w:rPr>
          <w:rFonts w:eastAsia="Times New Roman"/>
          <w:rtl/>
          <w:lang w:eastAsia="de-DE"/>
        </w:rPr>
        <w:t xml:space="preserve"> </w:t>
      </w:r>
      <w:r w:rsidRPr="00461277">
        <w:rPr>
          <w:rFonts w:eastAsia="Times New Roman"/>
          <w:lang w:eastAsia="de-DE"/>
        </w:rPr>
        <w:t>(„Lade") wird erstmals erwähnt – sie soll die Tafeln aufbewahren.</w:t>
      </w:r>
    </w:p>
    <w:p w14:paraId="6C149989"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lang w:eastAsia="de-DE"/>
        </w:rPr>
        <w:t>Die Satzstruktur ist eine Redeeinleitung mit temporaler Bestimmung, gefolgt von drei koordinierten Imperativen (der erste mit Dativ, direktem Objekt und Vergleichskonstruktion, der zweite mit Richtungs- und Zielangabe, der dritte mit Dativ und direktem Objekt).</w:t>
      </w:r>
    </w:p>
    <w:p w14:paraId="6D5301C5" w14:textId="62751CFD"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lang w:eastAsia="de-DE"/>
        </w:rPr>
        <w:t xml:space="preserve">Der Vers leitet Kap. 10 ein: In jener Zeit </w:t>
      </w:r>
      <w:r w:rsidR="000F34F9">
        <w:rPr>
          <w:rFonts w:eastAsia="Times New Roman"/>
          <w:lang w:eastAsia="de-DE"/>
        </w:rPr>
        <w:t>befahl</w:t>
      </w:r>
      <w:r w:rsidRPr="00461277">
        <w:rPr>
          <w:rFonts w:eastAsia="Times New Roman"/>
          <w:lang w:eastAsia="de-DE"/>
        </w:rPr>
        <w:t xml:space="preserve"> JHWH Mose, neue Tafeln auszuhauen wie die ersten, auf den Berg zu steigen und eine hölzerne Lade zu machen – Neuanfang nach der Fürbitte.</w:t>
      </w:r>
    </w:p>
    <w:p w14:paraId="2477DD14" w14:textId="77777777" w:rsidR="00461277" w:rsidRPr="00461277" w:rsidRDefault="00461277" w:rsidP="00461277">
      <w:pPr>
        <w:spacing w:before="100" w:beforeAutospacing="1" w:after="100" w:afterAutospacing="1" w:line="240" w:lineRule="auto"/>
        <w:outlineLvl w:val="1"/>
        <w:rPr>
          <w:rFonts w:eastAsia="Times New Roman"/>
          <w:b/>
          <w:bCs/>
          <w:sz w:val="36"/>
          <w:szCs w:val="36"/>
          <w:lang w:eastAsia="de-DE"/>
        </w:rPr>
      </w:pPr>
      <w:r w:rsidRPr="00461277">
        <w:rPr>
          <w:rFonts w:eastAsia="Times New Roman"/>
          <w:b/>
          <w:bCs/>
          <w:sz w:val="36"/>
          <w:szCs w:val="36"/>
          <w:lang w:eastAsia="de-DE"/>
        </w:rPr>
        <w:t>Deuteronomium 10,2</w:t>
      </w:r>
    </w:p>
    <w:p w14:paraId="2568FB25"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lang w:eastAsia="de-DE"/>
        </w:rPr>
        <w:t>Hebräisch:</w:t>
      </w:r>
      <w:r w:rsidRPr="00461277">
        <w:rPr>
          <w:rFonts w:eastAsia="Times New Roman"/>
          <w:lang w:eastAsia="de-DE"/>
        </w:rPr>
        <w:t xml:space="preserve"> </w:t>
      </w:r>
      <w:r w:rsidRPr="00461277">
        <w:rPr>
          <w:rFonts w:eastAsia="Times New Roman"/>
          <w:rtl/>
          <w:lang w:eastAsia="de-DE"/>
        </w:rPr>
        <w:t>וְאֶכְתֹּב֙ עַל־הַלֻּחֹ֔ת אֶת־הַדְּבָרִ֔ים אֲשֶׁ֥ר הָי֛וּ עַל־הַלֻּחֹ֥ת הָרִאשֹׁנִ֖ים אֲשֶׁ֣ר שִׁבַּ֑רְתָּ וְשַׂמְתָּ֖ם בָּאָרֽוֹן׃</w:t>
      </w:r>
    </w:p>
    <w:p w14:paraId="47777ABB"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lang w:eastAsia="de-DE"/>
        </w:rPr>
        <w:t>Deutsch:</w:t>
      </w:r>
      <w:r w:rsidRPr="00461277">
        <w:rPr>
          <w:rFonts w:eastAsia="Times New Roman"/>
          <w:lang w:eastAsia="de-DE"/>
        </w:rPr>
        <w:t xml:space="preserve"> Und ich werde auf die Tafeln die Worte schreiben, die auf den ersten Tafeln waren, die du zerbrochen hast; und du sollst sie in die Lade legen.</w:t>
      </w:r>
    </w:p>
    <w:p w14:paraId="4DAC2BED" w14:textId="77777777" w:rsidR="00461277" w:rsidRPr="00461277" w:rsidRDefault="004F5CEB" w:rsidP="00461277">
      <w:pPr>
        <w:spacing w:after="0" w:line="240" w:lineRule="auto"/>
        <w:rPr>
          <w:rFonts w:eastAsia="Times New Roman"/>
          <w:lang w:eastAsia="de-DE"/>
        </w:rPr>
      </w:pPr>
      <w:r>
        <w:rPr>
          <w:rFonts w:eastAsia="Times New Roman"/>
          <w:noProof/>
          <w:lang w:eastAsia="de-DE"/>
        </w:rPr>
        <w:pict w14:anchorId="5365F6B7">
          <v:rect id="_x0000_i1320" style="width:0;height:1.5pt" o:hralign="center" o:hrstd="t" o:hr="t" fillcolor="#a0a0a0" stroked="f"/>
        </w:pict>
      </w:r>
    </w:p>
    <w:p w14:paraId="611E14B0"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lang w:eastAsia="de-DE"/>
        </w:rPr>
        <w:t>Kommentar:</w:t>
      </w:r>
      <w:r w:rsidRPr="00461277">
        <w:rPr>
          <w:rFonts w:eastAsia="Times New Roman"/>
          <w:lang w:eastAsia="de-DE"/>
        </w:rPr>
        <w:t xml:space="preserve"> </w:t>
      </w:r>
      <w:r w:rsidRPr="00461277">
        <w:rPr>
          <w:rFonts w:eastAsia="Times New Roman"/>
          <w:b/>
          <w:bCs/>
          <w:rtl/>
          <w:lang w:eastAsia="de-DE"/>
        </w:rPr>
        <w:t>וְאֶכְתֹּב עַל־הַלֻּחֹת אֶת־הַדְּבָרִים אֲשֶׁר הָיוּ עַל־הַלֻּחֹת הָרִאשֹׁנִים אֲשֶׁר שִׁבַּרְתָּ</w:t>
      </w:r>
      <w:r w:rsidRPr="00461277">
        <w:rPr>
          <w:rFonts w:eastAsia="Times New Roman"/>
          <w:rtl/>
          <w:lang w:eastAsia="de-DE"/>
        </w:rPr>
        <w:t xml:space="preserve"> </w:t>
      </w:r>
      <w:r w:rsidRPr="00461277">
        <w:rPr>
          <w:rFonts w:eastAsia="Times New Roman"/>
          <w:lang w:eastAsia="de-DE"/>
        </w:rPr>
        <w:t xml:space="preserve">ist JHWHs Zusage: </w:t>
      </w:r>
      <w:r w:rsidRPr="00461277">
        <w:rPr>
          <w:rFonts w:eastAsia="Times New Roman"/>
          <w:b/>
          <w:bCs/>
          <w:rtl/>
          <w:lang w:eastAsia="de-DE"/>
        </w:rPr>
        <w:t>וְאֶכְתֹּב</w:t>
      </w:r>
      <w:r w:rsidRPr="00461277">
        <w:rPr>
          <w:rFonts w:eastAsia="Times New Roman"/>
          <w:rtl/>
          <w:lang w:eastAsia="de-DE"/>
        </w:rPr>
        <w:t xml:space="preserve"> </w:t>
      </w:r>
      <w:r w:rsidRPr="00461277">
        <w:rPr>
          <w:rFonts w:eastAsia="Times New Roman"/>
          <w:lang w:eastAsia="de-DE"/>
        </w:rPr>
        <w:t xml:space="preserve">(Qal Imperfekt, 1. Person Singular von </w:t>
      </w:r>
      <w:r w:rsidRPr="00461277">
        <w:rPr>
          <w:rFonts w:eastAsia="Times New Roman"/>
          <w:b/>
          <w:bCs/>
          <w:rtl/>
          <w:lang w:eastAsia="de-DE"/>
        </w:rPr>
        <w:t>כתב</w:t>
      </w:r>
      <w:r w:rsidRPr="00461277">
        <w:rPr>
          <w:rFonts w:eastAsia="Times New Roman"/>
          <w:lang w:eastAsia="de-DE"/>
        </w:rPr>
        <w:t xml:space="preserve">, „schreiben", mit </w:t>
      </w:r>
      <w:r w:rsidRPr="00461277">
        <w:rPr>
          <w:rFonts w:eastAsia="Times New Roman"/>
          <w:b/>
          <w:bCs/>
          <w:rtl/>
          <w:lang w:eastAsia="de-DE"/>
        </w:rPr>
        <w:t>וְ</w:t>
      </w:r>
      <w:r w:rsidRPr="00461277">
        <w:rPr>
          <w:rFonts w:eastAsia="Times New Roman"/>
          <w:rtl/>
          <w:lang w:eastAsia="de-DE"/>
        </w:rPr>
        <w:t xml:space="preserve"> </w:t>
      </w:r>
      <w:r w:rsidRPr="00461277">
        <w:rPr>
          <w:rFonts w:eastAsia="Times New Roman"/>
          <w:lang w:eastAsia="de-DE"/>
        </w:rPr>
        <w:t xml:space="preserve">– in finaler bzw. konsekutiver Funktion), </w:t>
      </w:r>
      <w:r w:rsidRPr="00461277">
        <w:rPr>
          <w:rFonts w:eastAsia="Times New Roman"/>
          <w:b/>
          <w:bCs/>
          <w:rtl/>
          <w:lang w:eastAsia="de-DE"/>
        </w:rPr>
        <w:t>עַל־הַלֻּחֹת</w:t>
      </w:r>
      <w:r w:rsidRPr="00461277">
        <w:rPr>
          <w:rFonts w:eastAsia="Times New Roman"/>
          <w:rtl/>
          <w:lang w:eastAsia="de-DE"/>
        </w:rPr>
        <w:t xml:space="preserve"> </w:t>
      </w:r>
      <w:r w:rsidRPr="00461277">
        <w:rPr>
          <w:rFonts w:eastAsia="Times New Roman"/>
          <w:lang w:eastAsia="de-DE"/>
        </w:rPr>
        <w:t xml:space="preserve">als Ortsangabe, </w:t>
      </w:r>
      <w:r w:rsidRPr="00461277">
        <w:rPr>
          <w:rFonts w:eastAsia="Times New Roman"/>
          <w:b/>
          <w:bCs/>
          <w:rtl/>
          <w:lang w:eastAsia="de-DE"/>
        </w:rPr>
        <w:t>אֶת־הַדְּבָרִים</w:t>
      </w:r>
      <w:r w:rsidRPr="00461277">
        <w:rPr>
          <w:rFonts w:eastAsia="Times New Roman"/>
          <w:rtl/>
          <w:lang w:eastAsia="de-DE"/>
        </w:rPr>
        <w:t xml:space="preserve"> </w:t>
      </w:r>
      <w:r w:rsidRPr="00461277">
        <w:rPr>
          <w:rFonts w:eastAsia="Times New Roman"/>
          <w:lang w:eastAsia="de-DE"/>
        </w:rPr>
        <w:t xml:space="preserve">als direktes Objekt, </w:t>
      </w:r>
      <w:r w:rsidRPr="00461277">
        <w:rPr>
          <w:rFonts w:eastAsia="Times New Roman"/>
          <w:b/>
          <w:bCs/>
          <w:rtl/>
          <w:lang w:eastAsia="de-DE"/>
        </w:rPr>
        <w:t>אֲשֶׁר הָיוּ עַל־הַלֻּחֹת הָרִאשֹׁנִים</w:t>
      </w:r>
      <w:r w:rsidRPr="00461277">
        <w:rPr>
          <w:rFonts w:eastAsia="Times New Roman"/>
          <w:rtl/>
          <w:lang w:eastAsia="de-DE"/>
        </w:rPr>
        <w:t xml:space="preserve"> </w:t>
      </w:r>
      <w:r w:rsidRPr="00461277">
        <w:rPr>
          <w:rFonts w:eastAsia="Times New Roman"/>
          <w:lang w:eastAsia="de-DE"/>
        </w:rPr>
        <w:t xml:space="preserve">als erster Relativsatz (Qal Perfekt, 3. Person Plural von </w:t>
      </w:r>
      <w:r w:rsidRPr="00461277">
        <w:rPr>
          <w:rFonts w:eastAsia="Times New Roman"/>
          <w:b/>
          <w:bCs/>
          <w:rtl/>
          <w:lang w:eastAsia="de-DE"/>
        </w:rPr>
        <w:t>היה</w:t>
      </w:r>
      <w:r w:rsidRPr="00461277">
        <w:rPr>
          <w:rFonts w:eastAsia="Times New Roman"/>
          <w:lang w:eastAsia="de-DE"/>
        </w:rPr>
        <w:t xml:space="preserve">, „sein", mit Ortsangabe – </w:t>
      </w:r>
      <w:r w:rsidRPr="00461277">
        <w:rPr>
          <w:rFonts w:eastAsia="Times New Roman"/>
          <w:b/>
          <w:bCs/>
          <w:rtl/>
          <w:lang w:eastAsia="de-DE"/>
        </w:rPr>
        <w:t>לוּחַ</w:t>
      </w:r>
      <w:r w:rsidRPr="00461277">
        <w:rPr>
          <w:rFonts w:eastAsia="Times New Roman"/>
          <w:lang w:eastAsia="de-DE"/>
        </w:rPr>
        <w:t xml:space="preserve">, Plural, </w:t>
      </w:r>
      <w:r w:rsidRPr="00461277">
        <w:rPr>
          <w:rFonts w:eastAsia="Times New Roman"/>
          <w:b/>
          <w:bCs/>
          <w:rtl/>
          <w:lang w:eastAsia="de-DE"/>
        </w:rPr>
        <w:t>רִאשׁוֹן</w:t>
      </w:r>
      <w:r w:rsidRPr="00461277">
        <w:rPr>
          <w:rFonts w:eastAsia="Times New Roman"/>
          <w:lang w:eastAsia="de-DE"/>
        </w:rPr>
        <w:t xml:space="preserve">, Plural maskulin als Attribut), </w:t>
      </w:r>
      <w:r w:rsidRPr="00461277">
        <w:rPr>
          <w:rFonts w:eastAsia="Times New Roman"/>
          <w:b/>
          <w:bCs/>
          <w:rtl/>
          <w:lang w:eastAsia="de-DE"/>
        </w:rPr>
        <w:t>אֲשֶׁר שִׁבַּרְתָּ</w:t>
      </w:r>
      <w:r w:rsidRPr="00461277">
        <w:rPr>
          <w:rFonts w:eastAsia="Times New Roman"/>
          <w:rtl/>
          <w:lang w:eastAsia="de-DE"/>
        </w:rPr>
        <w:t xml:space="preserve"> </w:t>
      </w:r>
      <w:r w:rsidRPr="00461277">
        <w:rPr>
          <w:rFonts w:eastAsia="Times New Roman"/>
          <w:lang w:eastAsia="de-DE"/>
        </w:rPr>
        <w:t xml:space="preserve">als zweiter Relativsatz (Piel Perfekt, 2. Person Singular maskulin von </w:t>
      </w:r>
      <w:r w:rsidRPr="00461277">
        <w:rPr>
          <w:rFonts w:eastAsia="Times New Roman"/>
          <w:b/>
          <w:bCs/>
          <w:rtl/>
          <w:lang w:eastAsia="de-DE"/>
        </w:rPr>
        <w:t>שׁבר</w:t>
      </w:r>
      <w:r w:rsidRPr="00461277">
        <w:rPr>
          <w:rFonts w:eastAsia="Times New Roman"/>
          <w:lang w:eastAsia="de-DE"/>
        </w:rPr>
        <w:t xml:space="preserve">, „zerbrechen" – bezogen auf </w:t>
      </w:r>
      <w:r w:rsidRPr="00461277">
        <w:rPr>
          <w:rFonts w:eastAsia="Times New Roman"/>
          <w:b/>
          <w:bCs/>
          <w:rtl/>
          <w:lang w:eastAsia="de-DE"/>
        </w:rPr>
        <w:t>הַלֻּחֹת הָרִאשֹׁנִים</w:t>
      </w:r>
      <w:r w:rsidRPr="00461277">
        <w:rPr>
          <w:rFonts w:eastAsia="Times New Roman"/>
          <w:lang w:eastAsia="de-DE"/>
        </w:rPr>
        <w:t>).</w:t>
      </w:r>
    </w:p>
    <w:p w14:paraId="5A0C8BDD"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rtl/>
          <w:lang w:eastAsia="de-DE"/>
        </w:rPr>
        <w:t>וְשַׂמְתָּם בָּאָרוֹן</w:t>
      </w:r>
      <w:r w:rsidRPr="00461277">
        <w:rPr>
          <w:rFonts w:eastAsia="Times New Roman"/>
          <w:rtl/>
          <w:lang w:eastAsia="de-DE"/>
        </w:rPr>
        <w:t xml:space="preserve"> </w:t>
      </w:r>
      <w:r w:rsidRPr="00461277">
        <w:rPr>
          <w:rFonts w:eastAsia="Times New Roman"/>
          <w:lang w:eastAsia="de-DE"/>
        </w:rPr>
        <w:t xml:space="preserve">ist Moses' Auftrag: </w:t>
      </w:r>
      <w:r w:rsidRPr="00461277">
        <w:rPr>
          <w:rFonts w:eastAsia="Times New Roman"/>
          <w:b/>
          <w:bCs/>
          <w:rtl/>
          <w:lang w:eastAsia="de-DE"/>
        </w:rPr>
        <w:t>וְשַׂמְתָּם</w:t>
      </w:r>
      <w:r w:rsidRPr="00461277">
        <w:rPr>
          <w:rFonts w:eastAsia="Times New Roman"/>
          <w:rtl/>
          <w:lang w:eastAsia="de-DE"/>
        </w:rPr>
        <w:t xml:space="preserve"> </w:t>
      </w:r>
      <w:r w:rsidRPr="00461277">
        <w:rPr>
          <w:rFonts w:eastAsia="Times New Roman"/>
          <w:lang w:eastAsia="de-DE"/>
        </w:rPr>
        <w:t xml:space="preserve">(Qal Perfekt, 2. Person Singular maskulin von </w:t>
      </w:r>
      <w:r w:rsidRPr="00461277">
        <w:rPr>
          <w:rFonts w:eastAsia="Times New Roman"/>
          <w:b/>
          <w:bCs/>
          <w:rtl/>
          <w:lang w:eastAsia="de-DE"/>
        </w:rPr>
        <w:t>שׂים</w:t>
      </w:r>
      <w:r w:rsidRPr="00461277">
        <w:rPr>
          <w:rFonts w:eastAsia="Times New Roman"/>
          <w:lang w:eastAsia="de-DE"/>
        </w:rPr>
        <w:t xml:space="preserve">, „setzen, legen", mit </w:t>
      </w:r>
      <w:r w:rsidRPr="00461277">
        <w:rPr>
          <w:rFonts w:eastAsia="Times New Roman"/>
          <w:b/>
          <w:bCs/>
          <w:rtl/>
          <w:lang w:eastAsia="de-DE"/>
        </w:rPr>
        <w:t>וְ</w:t>
      </w:r>
      <w:r w:rsidRPr="00461277">
        <w:rPr>
          <w:rFonts w:eastAsia="Times New Roman"/>
          <w:rtl/>
          <w:lang w:eastAsia="de-DE"/>
        </w:rPr>
        <w:t xml:space="preserve"> </w:t>
      </w:r>
      <w:r w:rsidRPr="00461277">
        <w:rPr>
          <w:rFonts w:eastAsia="Times New Roman"/>
          <w:lang w:eastAsia="de-DE"/>
        </w:rPr>
        <w:t xml:space="preserve">– in imperativischer Funktion, mit Suffix 3. Person Plural maskulin), </w:t>
      </w:r>
      <w:r w:rsidRPr="00461277">
        <w:rPr>
          <w:rFonts w:eastAsia="Times New Roman"/>
          <w:b/>
          <w:bCs/>
          <w:rtl/>
          <w:lang w:eastAsia="de-DE"/>
        </w:rPr>
        <w:t>בָּאָרוֹן</w:t>
      </w:r>
      <w:r w:rsidRPr="00461277">
        <w:rPr>
          <w:rFonts w:eastAsia="Times New Roman"/>
          <w:rtl/>
          <w:lang w:eastAsia="de-DE"/>
        </w:rPr>
        <w:t xml:space="preserve"> </w:t>
      </w:r>
      <w:r w:rsidRPr="00461277">
        <w:rPr>
          <w:rFonts w:eastAsia="Times New Roman"/>
          <w:lang w:eastAsia="de-DE"/>
        </w:rPr>
        <w:t>als Ortsangabe.</w:t>
      </w:r>
    </w:p>
    <w:p w14:paraId="2E5E74A7"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lang w:eastAsia="de-DE"/>
        </w:rPr>
        <w:t xml:space="preserve">Der Vers gibt JHWHs Zusage und Moses' Auftrag: JHWH selbst wird die Worte auf die neuen Tafeln schreiben (vgl. 9,10: „mit dem Finger Gottes"), Mose soll sie dann in die Lade legen. Die doppelte Relativkonstruktion </w:t>
      </w:r>
      <w:r w:rsidRPr="00461277">
        <w:rPr>
          <w:rFonts w:eastAsia="Times New Roman"/>
          <w:b/>
          <w:bCs/>
          <w:rtl/>
          <w:lang w:eastAsia="de-DE"/>
        </w:rPr>
        <w:t>אֲשֶׁר הָיוּ עַל־הַלֻּחֹת הָרִאשֹׁנִים אֲשֶׁר שִׁבַּרְתָּ</w:t>
      </w:r>
      <w:r w:rsidRPr="00461277">
        <w:rPr>
          <w:rFonts w:eastAsia="Times New Roman"/>
          <w:rtl/>
          <w:lang w:eastAsia="de-DE"/>
        </w:rPr>
        <w:t xml:space="preserve"> </w:t>
      </w:r>
      <w:r w:rsidRPr="00461277">
        <w:rPr>
          <w:rFonts w:eastAsia="Times New Roman"/>
          <w:lang w:eastAsia="de-DE"/>
        </w:rPr>
        <w:t xml:space="preserve">betont: Es geht um exakte Reproduktion der zerbrochenen ersten Tafeln. Der Hinweis </w:t>
      </w:r>
      <w:r w:rsidRPr="00461277">
        <w:rPr>
          <w:rFonts w:eastAsia="Times New Roman"/>
          <w:b/>
          <w:bCs/>
          <w:rtl/>
          <w:lang w:eastAsia="de-DE"/>
        </w:rPr>
        <w:t>אֲשֶׁר שִׁבַּרְתָּ</w:t>
      </w:r>
      <w:r w:rsidRPr="00461277">
        <w:rPr>
          <w:rFonts w:eastAsia="Times New Roman"/>
          <w:rtl/>
          <w:lang w:eastAsia="de-DE"/>
        </w:rPr>
        <w:t xml:space="preserve"> </w:t>
      </w:r>
      <w:r w:rsidRPr="00461277">
        <w:rPr>
          <w:rFonts w:eastAsia="Times New Roman"/>
          <w:lang w:eastAsia="de-DE"/>
        </w:rPr>
        <w:t xml:space="preserve">(„die du </w:t>
      </w:r>
      <w:r w:rsidRPr="00461277">
        <w:rPr>
          <w:rFonts w:eastAsia="Times New Roman"/>
          <w:lang w:eastAsia="de-DE"/>
        </w:rPr>
        <w:lastRenderedPageBreak/>
        <w:t>zerbrochen hast") ist nicht anklagend, sondern konstatierend – Mose hatte die Tafeln in 9,17 zerbrochen.</w:t>
      </w:r>
    </w:p>
    <w:p w14:paraId="78ADFC90"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lang w:eastAsia="de-DE"/>
        </w:rPr>
        <w:t>Die Satzstruktur ist ein Imperfekt mit Ortsangabe, direktem Objekt und doppeltem Relativsatz, gefolgt von einem Perfekt mit imperativischer Funktion, Suffix-Objekt und Ortsangabe.</w:t>
      </w:r>
    </w:p>
    <w:p w14:paraId="45BF0E9B"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lang w:eastAsia="de-DE"/>
        </w:rPr>
        <w:t>Der Vers gibt JHWHs Zusage: Ich werde die Worte auf die neuen Tafeln schreiben – dieselben wie auf den ersten, die du zerbrochen hast; und du sollst sie in die Lade legen.</w:t>
      </w:r>
    </w:p>
    <w:p w14:paraId="4DA03889" w14:textId="77777777" w:rsidR="00461277" w:rsidRPr="00461277" w:rsidRDefault="00461277" w:rsidP="00461277">
      <w:pPr>
        <w:spacing w:before="100" w:beforeAutospacing="1" w:after="100" w:afterAutospacing="1" w:line="240" w:lineRule="auto"/>
        <w:outlineLvl w:val="1"/>
        <w:rPr>
          <w:rFonts w:eastAsia="Times New Roman"/>
          <w:b/>
          <w:bCs/>
          <w:sz w:val="36"/>
          <w:szCs w:val="36"/>
          <w:lang w:eastAsia="de-DE"/>
        </w:rPr>
      </w:pPr>
      <w:r w:rsidRPr="00461277">
        <w:rPr>
          <w:rFonts w:eastAsia="Times New Roman"/>
          <w:b/>
          <w:bCs/>
          <w:sz w:val="36"/>
          <w:szCs w:val="36"/>
          <w:lang w:eastAsia="de-DE"/>
        </w:rPr>
        <w:t>Deuteronomium 10,3</w:t>
      </w:r>
    </w:p>
    <w:p w14:paraId="16A5ACA6"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lang w:eastAsia="de-DE"/>
        </w:rPr>
        <w:t>Hebräisch:</w:t>
      </w:r>
      <w:r w:rsidRPr="00461277">
        <w:rPr>
          <w:rFonts w:eastAsia="Times New Roman"/>
          <w:lang w:eastAsia="de-DE"/>
        </w:rPr>
        <w:t xml:space="preserve"> </w:t>
      </w:r>
      <w:r w:rsidRPr="00461277">
        <w:rPr>
          <w:rFonts w:eastAsia="Times New Roman"/>
          <w:rtl/>
          <w:lang w:eastAsia="de-DE"/>
        </w:rPr>
        <w:t>וָאַ֤עַשׂ אֲרוֹן֙ עֲצֵ֣י שִׁטִּ֔ים וָאֶפְסֹ֛ל שְׁנֵי־לֻחֹ֥ת אֲבָנִ֖ים כָּרִאשֹׁנִ֑ים וָאַ֣עַל הָהָ֔רָה וּשְׁנֵ֥י הַלֻּחֹ֖ת בְּיָדִֽי׃</w:t>
      </w:r>
    </w:p>
    <w:p w14:paraId="6CDD1DB7"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lang w:eastAsia="de-DE"/>
        </w:rPr>
        <w:t>Deutsch:</w:t>
      </w:r>
      <w:r w:rsidRPr="00461277">
        <w:rPr>
          <w:rFonts w:eastAsia="Times New Roman"/>
          <w:lang w:eastAsia="de-DE"/>
        </w:rPr>
        <w:t xml:space="preserve"> Und ich machte eine Lade von Akazienholz und hieb zwei steinerne Tafeln aus, wie die ersten; und ich stieg auf den Berg, und die zwei Tafeln waren in meiner Hand.</w:t>
      </w:r>
    </w:p>
    <w:p w14:paraId="79C9E545" w14:textId="77777777" w:rsidR="00461277" w:rsidRPr="00461277" w:rsidRDefault="004F5CEB" w:rsidP="00461277">
      <w:pPr>
        <w:spacing w:after="0" w:line="240" w:lineRule="auto"/>
        <w:rPr>
          <w:rFonts w:eastAsia="Times New Roman"/>
          <w:lang w:eastAsia="de-DE"/>
        </w:rPr>
      </w:pPr>
      <w:r>
        <w:rPr>
          <w:rFonts w:eastAsia="Times New Roman"/>
          <w:noProof/>
          <w:lang w:eastAsia="de-DE"/>
        </w:rPr>
        <w:pict w14:anchorId="09B6A3F3">
          <v:rect id="_x0000_i1321" style="width:0;height:1.5pt" o:hralign="center" o:hrstd="t" o:hr="t" fillcolor="#a0a0a0" stroked="f"/>
        </w:pict>
      </w:r>
    </w:p>
    <w:p w14:paraId="516D8891"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lang w:eastAsia="de-DE"/>
        </w:rPr>
        <w:t>Kommentar:</w:t>
      </w:r>
      <w:r w:rsidRPr="00461277">
        <w:rPr>
          <w:rFonts w:eastAsia="Times New Roman"/>
          <w:lang w:eastAsia="de-DE"/>
        </w:rPr>
        <w:t xml:space="preserve"> </w:t>
      </w:r>
      <w:r w:rsidRPr="00461277">
        <w:rPr>
          <w:rFonts w:eastAsia="Times New Roman"/>
          <w:b/>
          <w:bCs/>
          <w:rtl/>
          <w:lang w:eastAsia="de-DE"/>
        </w:rPr>
        <w:t>וָאַעַשׂ אֲרוֹן עֲצֵי שִׁטִּים</w:t>
      </w:r>
      <w:r w:rsidRPr="00461277">
        <w:rPr>
          <w:rFonts w:eastAsia="Times New Roman"/>
          <w:rtl/>
          <w:lang w:eastAsia="de-DE"/>
        </w:rPr>
        <w:t xml:space="preserve"> </w:t>
      </w:r>
      <w:r w:rsidRPr="00461277">
        <w:rPr>
          <w:rFonts w:eastAsia="Times New Roman"/>
          <w:lang w:eastAsia="de-DE"/>
        </w:rPr>
        <w:t xml:space="preserve">ist die erste Ausführung: </w:t>
      </w:r>
      <w:r w:rsidRPr="00461277">
        <w:rPr>
          <w:rFonts w:eastAsia="Times New Roman"/>
          <w:b/>
          <w:bCs/>
          <w:rtl/>
          <w:lang w:eastAsia="de-DE"/>
        </w:rPr>
        <w:t>וָאַעַשׂ</w:t>
      </w:r>
      <w:r w:rsidRPr="00461277">
        <w:rPr>
          <w:rFonts w:eastAsia="Times New Roman"/>
          <w:rtl/>
          <w:lang w:eastAsia="de-DE"/>
        </w:rPr>
        <w:t xml:space="preserve"> </w:t>
      </w:r>
      <w:r w:rsidRPr="00461277">
        <w:rPr>
          <w:rFonts w:eastAsia="Times New Roman"/>
          <w:lang w:eastAsia="de-DE"/>
        </w:rPr>
        <w:t xml:space="preserve">(Qal Imperfekt consecutivum, 1. Person Singular von </w:t>
      </w:r>
      <w:r w:rsidRPr="00461277">
        <w:rPr>
          <w:rFonts w:eastAsia="Times New Roman"/>
          <w:b/>
          <w:bCs/>
          <w:rtl/>
          <w:lang w:eastAsia="de-DE"/>
        </w:rPr>
        <w:t>עשׂה</w:t>
      </w:r>
      <w:r w:rsidRPr="00461277">
        <w:rPr>
          <w:rFonts w:eastAsia="Times New Roman"/>
          <w:lang w:eastAsia="de-DE"/>
        </w:rPr>
        <w:t xml:space="preserve">, „machen", mit </w:t>
      </w:r>
      <w:r w:rsidRPr="00461277">
        <w:rPr>
          <w:rFonts w:eastAsia="Times New Roman"/>
          <w:b/>
          <w:bCs/>
          <w:rtl/>
          <w:lang w:eastAsia="de-DE"/>
        </w:rPr>
        <w:t>וְ</w:t>
      </w:r>
      <w:r w:rsidRPr="00461277">
        <w:rPr>
          <w:rFonts w:eastAsia="Times New Roman"/>
          <w:lang w:eastAsia="de-DE"/>
        </w:rPr>
        <w:t xml:space="preserve">), </w:t>
      </w:r>
      <w:r w:rsidRPr="00461277">
        <w:rPr>
          <w:rFonts w:eastAsia="Times New Roman"/>
          <w:b/>
          <w:bCs/>
          <w:rtl/>
          <w:lang w:eastAsia="de-DE"/>
        </w:rPr>
        <w:t>אֲרוֹן עֲצֵי שִׁטִּים</w:t>
      </w:r>
      <w:r w:rsidRPr="00461277">
        <w:rPr>
          <w:rFonts w:eastAsia="Times New Roman"/>
          <w:rtl/>
          <w:lang w:eastAsia="de-DE"/>
        </w:rPr>
        <w:t xml:space="preserve"> </w:t>
      </w:r>
      <w:r w:rsidRPr="00461277">
        <w:rPr>
          <w:rFonts w:eastAsia="Times New Roman"/>
          <w:lang w:eastAsia="de-DE"/>
        </w:rPr>
        <w:t>als direktes Objekt (</w:t>
      </w:r>
      <w:r w:rsidRPr="00461277">
        <w:rPr>
          <w:rFonts w:eastAsia="Times New Roman"/>
          <w:b/>
          <w:bCs/>
          <w:rtl/>
          <w:lang w:eastAsia="de-DE"/>
        </w:rPr>
        <w:t>אָרוֹן</w:t>
      </w:r>
      <w:r w:rsidRPr="00461277">
        <w:rPr>
          <w:rFonts w:eastAsia="Times New Roman"/>
          <w:rtl/>
          <w:lang w:eastAsia="de-DE"/>
        </w:rPr>
        <w:t xml:space="preserve"> </w:t>
      </w:r>
      <w:r w:rsidRPr="00461277">
        <w:rPr>
          <w:rFonts w:eastAsia="Times New Roman"/>
          <w:lang w:eastAsia="de-DE"/>
        </w:rPr>
        <w:t xml:space="preserve">im Construct mit </w:t>
      </w:r>
      <w:r w:rsidRPr="00461277">
        <w:rPr>
          <w:rFonts w:eastAsia="Times New Roman"/>
          <w:b/>
          <w:bCs/>
          <w:rtl/>
          <w:lang w:eastAsia="de-DE"/>
        </w:rPr>
        <w:t>עֵץ</w:t>
      </w:r>
      <w:r w:rsidRPr="00461277">
        <w:rPr>
          <w:rFonts w:eastAsia="Times New Roman"/>
          <w:lang w:eastAsia="de-DE"/>
        </w:rPr>
        <w:t xml:space="preserve">, Plural, im Construct mit </w:t>
      </w:r>
      <w:r w:rsidRPr="00461277">
        <w:rPr>
          <w:rFonts w:eastAsia="Times New Roman"/>
          <w:b/>
          <w:bCs/>
          <w:rtl/>
          <w:lang w:eastAsia="de-DE"/>
        </w:rPr>
        <w:t>שִׁטָּה</w:t>
      </w:r>
      <w:r w:rsidRPr="00461277">
        <w:rPr>
          <w:rFonts w:eastAsia="Times New Roman"/>
          <w:lang w:eastAsia="de-DE"/>
        </w:rPr>
        <w:t>, „Akazie", Plural – „eine Lade von Akazienholz").</w:t>
      </w:r>
    </w:p>
    <w:p w14:paraId="721D104B"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rtl/>
          <w:lang w:eastAsia="de-DE"/>
        </w:rPr>
        <w:t>וָאֶפְסֹל שְׁנֵי־לֻחֹת אֲבָנִים כָּרִאשֹׁנִים</w:t>
      </w:r>
      <w:r w:rsidRPr="00461277">
        <w:rPr>
          <w:rFonts w:eastAsia="Times New Roman"/>
          <w:rtl/>
          <w:lang w:eastAsia="de-DE"/>
        </w:rPr>
        <w:t xml:space="preserve"> </w:t>
      </w:r>
      <w:r w:rsidRPr="00461277">
        <w:rPr>
          <w:rFonts w:eastAsia="Times New Roman"/>
          <w:lang w:eastAsia="de-DE"/>
        </w:rPr>
        <w:t xml:space="preserve">ist die zweite Ausführung: </w:t>
      </w:r>
      <w:r w:rsidRPr="00461277">
        <w:rPr>
          <w:rFonts w:eastAsia="Times New Roman"/>
          <w:b/>
          <w:bCs/>
          <w:rtl/>
          <w:lang w:eastAsia="de-DE"/>
        </w:rPr>
        <w:t>וָאֶפְסֹל</w:t>
      </w:r>
      <w:r w:rsidRPr="00461277">
        <w:rPr>
          <w:rFonts w:eastAsia="Times New Roman"/>
          <w:rtl/>
          <w:lang w:eastAsia="de-DE"/>
        </w:rPr>
        <w:t xml:space="preserve"> </w:t>
      </w:r>
      <w:r w:rsidRPr="00461277">
        <w:rPr>
          <w:rFonts w:eastAsia="Times New Roman"/>
          <w:lang w:eastAsia="de-DE"/>
        </w:rPr>
        <w:t xml:space="preserve">(Qal Imperfekt consecutivum, 1. Person Singular von </w:t>
      </w:r>
      <w:r w:rsidRPr="00461277">
        <w:rPr>
          <w:rFonts w:eastAsia="Times New Roman"/>
          <w:b/>
          <w:bCs/>
          <w:rtl/>
          <w:lang w:eastAsia="de-DE"/>
        </w:rPr>
        <w:t>פסל</w:t>
      </w:r>
      <w:r w:rsidRPr="00461277">
        <w:rPr>
          <w:rFonts w:eastAsia="Times New Roman"/>
          <w:lang w:eastAsia="de-DE"/>
        </w:rPr>
        <w:t xml:space="preserve">, „aushauen", mit </w:t>
      </w:r>
      <w:r w:rsidRPr="00461277">
        <w:rPr>
          <w:rFonts w:eastAsia="Times New Roman"/>
          <w:b/>
          <w:bCs/>
          <w:rtl/>
          <w:lang w:eastAsia="de-DE"/>
        </w:rPr>
        <w:t>וְ</w:t>
      </w:r>
      <w:r w:rsidRPr="00461277">
        <w:rPr>
          <w:rFonts w:eastAsia="Times New Roman"/>
          <w:lang w:eastAsia="de-DE"/>
        </w:rPr>
        <w:t xml:space="preserve">), </w:t>
      </w:r>
      <w:r w:rsidRPr="00461277">
        <w:rPr>
          <w:rFonts w:eastAsia="Times New Roman"/>
          <w:b/>
          <w:bCs/>
          <w:rtl/>
          <w:lang w:eastAsia="de-DE"/>
        </w:rPr>
        <w:t>שְׁנֵי־לֻחֹת אֲבָנִים כָּרִאשֹׁנִים</w:t>
      </w:r>
      <w:r w:rsidRPr="00461277">
        <w:rPr>
          <w:rFonts w:eastAsia="Times New Roman"/>
          <w:rtl/>
          <w:lang w:eastAsia="de-DE"/>
        </w:rPr>
        <w:t xml:space="preserve"> </w:t>
      </w:r>
      <w:r w:rsidRPr="00461277">
        <w:rPr>
          <w:rFonts w:eastAsia="Times New Roman"/>
          <w:lang w:eastAsia="de-DE"/>
        </w:rPr>
        <w:t>als direktes Objekt mit Vergleichskonstruktion (wie V. 1).</w:t>
      </w:r>
    </w:p>
    <w:p w14:paraId="6007037B"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rtl/>
          <w:lang w:eastAsia="de-DE"/>
        </w:rPr>
        <w:t>וָאַעַל הָהָרָה וּשְׁנֵי הַלֻּחֹת בְּיָדִי</w:t>
      </w:r>
      <w:r w:rsidRPr="00461277">
        <w:rPr>
          <w:rFonts w:eastAsia="Times New Roman"/>
          <w:rtl/>
          <w:lang w:eastAsia="de-DE"/>
        </w:rPr>
        <w:t xml:space="preserve"> </w:t>
      </w:r>
      <w:r w:rsidRPr="00461277">
        <w:rPr>
          <w:rFonts w:eastAsia="Times New Roman"/>
          <w:lang w:eastAsia="de-DE"/>
        </w:rPr>
        <w:t xml:space="preserve">ist die dritte Ausführung mit Umstandssatz: </w:t>
      </w:r>
      <w:r w:rsidRPr="00461277">
        <w:rPr>
          <w:rFonts w:eastAsia="Times New Roman"/>
          <w:b/>
          <w:bCs/>
          <w:rtl/>
          <w:lang w:eastAsia="de-DE"/>
        </w:rPr>
        <w:t>וָאַעַל הָהָרָה</w:t>
      </w:r>
      <w:r w:rsidRPr="00461277">
        <w:rPr>
          <w:rFonts w:eastAsia="Times New Roman"/>
          <w:rtl/>
          <w:lang w:eastAsia="de-DE"/>
        </w:rPr>
        <w:t xml:space="preserve"> </w:t>
      </w:r>
      <w:r w:rsidRPr="00461277">
        <w:rPr>
          <w:rFonts w:eastAsia="Times New Roman"/>
          <w:lang w:eastAsia="de-DE"/>
        </w:rPr>
        <w:t xml:space="preserve">(Qal Imperfekt consecutivum, 1. Person Singular von </w:t>
      </w:r>
      <w:r w:rsidRPr="00461277">
        <w:rPr>
          <w:rFonts w:eastAsia="Times New Roman"/>
          <w:b/>
          <w:bCs/>
          <w:rtl/>
          <w:lang w:eastAsia="de-DE"/>
        </w:rPr>
        <w:t>עלה</w:t>
      </w:r>
      <w:r w:rsidRPr="00461277">
        <w:rPr>
          <w:rFonts w:eastAsia="Times New Roman"/>
          <w:lang w:eastAsia="de-DE"/>
        </w:rPr>
        <w:t xml:space="preserve">, „hinaufsteigen", mit </w:t>
      </w:r>
      <w:r w:rsidRPr="00461277">
        <w:rPr>
          <w:rFonts w:eastAsia="Times New Roman"/>
          <w:b/>
          <w:bCs/>
          <w:rtl/>
          <w:lang w:eastAsia="de-DE"/>
        </w:rPr>
        <w:t>וְ</w:t>
      </w:r>
      <w:r w:rsidRPr="00461277">
        <w:rPr>
          <w:rFonts w:eastAsia="Times New Roman"/>
          <w:rtl/>
          <w:lang w:eastAsia="de-DE"/>
        </w:rPr>
        <w:t xml:space="preserve"> </w:t>
      </w:r>
      <w:r w:rsidRPr="00461277">
        <w:rPr>
          <w:rFonts w:eastAsia="Times New Roman"/>
          <w:lang w:eastAsia="de-DE"/>
        </w:rPr>
        <w:t xml:space="preserve">und Zielangabe), </w:t>
      </w:r>
      <w:r w:rsidRPr="00461277">
        <w:rPr>
          <w:rFonts w:eastAsia="Times New Roman"/>
          <w:b/>
          <w:bCs/>
          <w:rtl/>
          <w:lang w:eastAsia="de-DE"/>
        </w:rPr>
        <w:t>וּשְׁנֵי הַלֻּחֹת בְּיָדִי</w:t>
      </w:r>
      <w:r w:rsidRPr="00461277">
        <w:rPr>
          <w:rFonts w:eastAsia="Times New Roman"/>
          <w:rtl/>
          <w:lang w:eastAsia="de-DE"/>
        </w:rPr>
        <w:t xml:space="preserve"> </w:t>
      </w:r>
      <w:r w:rsidRPr="00461277">
        <w:rPr>
          <w:rFonts w:eastAsia="Times New Roman"/>
          <w:lang w:eastAsia="de-DE"/>
        </w:rPr>
        <w:t>als Umstandssatz (</w:t>
      </w:r>
      <w:r w:rsidRPr="00461277">
        <w:rPr>
          <w:rFonts w:eastAsia="Times New Roman"/>
          <w:b/>
          <w:bCs/>
          <w:rtl/>
          <w:lang w:eastAsia="de-DE"/>
        </w:rPr>
        <w:t>וְ</w:t>
      </w:r>
      <w:r w:rsidRPr="00461277">
        <w:rPr>
          <w:rFonts w:eastAsia="Times New Roman"/>
          <w:rtl/>
          <w:lang w:eastAsia="de-DE"/>
        </w:rPr>
        <w:t xml:space="preserve"> </w:t>
      </w:r>
      <w:r w:rsidRPr="00461277">
        <w:rPr>
          <w:rFonts w:eastAsia="Times New Roman"/>
          <w:lang w:eastAsia="de-DE"/>
        </w:rPr>
        <w:t xml:space="preserve">mit Subjekt und Ortsangabe – </w:t>
      </w:r>
      <w:r w:rsidRPr="00461277">
        <w:rPr>
          <w:rFonts w:eastAsia="Times New Roman"/>
          <w:b/>
          <w:bCs/>
          <w:rtl/>
          <w:lang w:eastAsia="de-DE"/>
        </w:rPr>
        <w:t>בְּיָד</w:t>
      </w:r>
      <w:r w:rsidRPr="00461277">
        <w:rPr>
          <w:rFonts w:eastAsia="Times New Roman"/>
          <w:rtl/>
          <w:lang w:eastAsia="de-DE"/>
        </w:rPr>
        <w:t xml:space="preserve"> </w:t>
      </w:r>
      <w:r w:rsidRPr="00461277">
        <w:rPr>
          <w:rFonts w:eastAsia="Times New Roman"/>
          <w:lang w:eastAsia="de-DE"/>
        </w:rPr>
        <w:t>mit Suffix 1. Person Singular – „in meiner Hand").</w:t>
      </w:r>
    </w:p>
    <w:p w14:paraId="081D77CE"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lang w:eastAsia="de-DE"/>
        </w:rPr>
        <w:t xml:space="preserve">Der Vers berichtet Moses' präzise Ausführung von JHWHs Befehlen (V. 1). Die dreigliedrige Verbkette entspricht exakt den drei Imperativen in V. 1. Die Präzisierung </w:t>
      </w:r>
      <w:r w:rsidRPr="00461277">
        <w:rPr>
          <w:rFonts w:eastAsia="Times New Roman"/>
          <w:b/>
          <w:bCs/>
          <w:rtl/>
          <w:lang w:eastAsia="de-DE"/>
        </w:rPr>
        <w:t>עֲצֵי שִׁטִּים</w:t>
      </w:r>
      <w:r w:rsidRPr="00461277">
        <w:rPr>
          <w:rFonts w:eastAsia="Times New Roman"/>
          <w:rtl/>
          <w:lang w:eastAsia="de-DE"/>
        </w:rPr>
        <w:t xml:space="preserve"> </w:t>
      </w:r>
      <w:r w:rsidRPr="00461277">
        <w:rPr>
          <w:rFonts w:eastAsia="Times New Roman"/>
          <w:lang w:eastAsia="de-DE"/>
        </w:rPr>
        <w:t xml:space="preserve">(„Akazienholz") ist ein Detail, das in V. 1 fehlte – Akazienholz war das bevorzugte Material für heilige Gegenstände (vgl. Ex 25,10.13.23.28; 26,15.26.32.37; 27,1.6; 30,1.5). Der Umstandssatz </w:t>
      </w:r>
      <w:r w:rsidRPr="00461277">
        <w:rPr>
          <w:rFonts w:eastAsia="Times New Roman"/>
          <w:b/>
          <w:bCs/>
          <w:rtl/>
          <w:lang w:eastAsia="de-DE"/>
        </w:rPr>
        <w:t>וּשְׁנֵי הַלֻּחֹת בְּיָדִי</w:t>
      </w:r>
      <w:r w:rsidRPr="00461277">
        <w:rPr>
          <w:rFonts w:eastAsia="Times New Roman"/>
          <w:rtl/>
          <w:lang w:eastAsia="de-DE"/>
        </w:rPr>
        <w:t xml:space="preserve"> </w:t>
      </w:r>
      <w:r w:rsidRPr="00461277">
        <w:rPr>
          <w:rFonts w:eastAsia="Times New Roman"/>
          <w:lang w:eastAsia="de-DE"/>
        </w:rPr>
        <w:t>unterstreicht: Mose trägt die Tafeln persönlich (vgl. 9,15).</w:t>
      </w:r>
    </w:p>
    <w:p w14:paraId="6D89BF73"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lang w:eastAsia="de-DE"/>
        </w:rPr>
        <w:t>Die Satzstruktur ist eine dreigliedrige koordinierte Verbkette (die erste mit direktem Objekt in Constructverbindung, die zweite mit direktem Objekt und Vergleichskonstruktion, die dritte mit Zielangabe), erweitert durch einen Umstandssatz.</w:t>
      </w:r>
    </w:p>
    <w:p w14:paraId="58827FA9"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lang w:eastAsia="de-DE"/>
        </w:rPr>
        <w:t>Der Vers berichtet Moses' exakte Ausführung: Ich machte eine Lade von Akazienholz, hieb zwei steinerne Tafeln aus wie die ersten und stieg auf den Berg – die Tafeln in meiner Hand.</w:t>
      </w:r>
    </w:p>
    <w:p w14:paraId="21684AFE" w14:textId="77777777" w:rsidR="00461277" w:rsidRPr="00461277" w:rsidRDefault="00461277" w:rsidP="00461277">
      <w:pPr>
        <w:spacing w:before="100" w:beforeAutospacing="1" w:after="100" w:afterAutospacing="1" w:line="240" w:lineRule="auto"/>
        <w:outlineLvl w:val="1"/>
        <w:rPr>
          <w:rFonts w:eastAsia="Times New Roman"/>
          <w:b/>
          <w:bCs/>
          <w:sz w:val="36"/>
          <w:szCs w:val="36"/>
          <w:lang w:eastAsia="de-DE"/>
        </w:rPr>
      </w:pPr>
      <w:r w:rsidRPr="00461277">
        <w:rPr>
          <w:rFonts w:eastAsia="Times New Roman"/>
          <w:b/>
          <w:bCs/>
          <w:sz w:val="36"/>
          <w:szCs w:val="36"/>
          <w:lang w:eastAsia="de-DE"/>
        </w:rPr>
        <w:t>Deuteronomium 10,4</w:t>
      </w:r>
    </w:p>
    <w:p w14:paraId="3911A886"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lang w:eastAsia="de-DE"/>
        </w:rPr>
        <w:lastRenderedPageBreak/>
        <w:t>Hebräisch:</w:t>
      </w:r>
      <w:r w:rsidRPr="00461277">
        <w:rPr>
          <w:rFonts w:eastAsia="Times New Roman"/>
          <w:lang w:eastAsia="de-DE"/>
        </w:rPr>
        <w:t xml:space="preserve"> </w:t>
      </w:r>
      <w:r w:rsidRPr="00461277">
        <w:rPr>
          <w:rFonts w:eastAsia="Times New Roman"/>
          <w:rtl/>
          <w:lang w:eastAsia="de-DE"/>
        </w:rPr>
        <w:t>וַיִּכְתֹּ֨ב עַֽל־הַלֻּחֹ֜ת כַּמִּכְתָּ֣ב הָרִאשׁ֗וֹן אֵ֚ת עֲשֶׂ֣רֶת הַדְּבָרִ֔ים אֲשֶׁ֣ר דִּבֶּר֩ יְהוָ֨ה אֲלֵיכֶ֥ם בָּהָ֛ר מִתּ֥וֹךְ הָאֵ֖שׁ בְּי֣וֹם הַקָּהָ֑ל וַיִּתְּנֵ֥ם יְהוָ֖ה אֵלָֽי׃</w:t>
      </w:r>
    </w:p>
    <w:p w14:paraId="757AE3A2"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lang w:eastAsia="de-DE"/>
        </w:rPr>
        <w:t>Deutsch:</w:t>
      </w:r>
      <w:r w:rsidRPr="00461277">
        <w:rPr>
          <w:rFonts w:eastAsia="Times New Roman"/>
          <w:lang w:eastAsia="de-DE"/>
        </w:rPr>
        <w:t xml:space="preserve"> Und er schrieb auf die Tafeln wie die erste Schrift, die zehn Worte, die der Ewige auf dem Berg zu euch geredet hatte, mitten aus dem Feuer am Tag der Versammlung; und der Ewige gab sie mir.</w:t>
      </w:r>
    </w:p>
    <w:p w14:paraId="067BBE95" w14:textId="77777777" w:rsidR="00461277" w:rsidRPr="00461277" w:rsidRDefault="004F5CEB" w:rsidP="00461277">
      <w:pPr>
        <w:spacing w:after="0" w:line="240" w:lineRule="auto"/>
        <w:rPr>
          <w:rFonts w:eastAsia="Times New Roman"/>
          <w:lang w:eastAsia="de-DE"/>
        </w:rPr>
      </w:pPr>
      <w:r>
        <w:rPr>
          <w:rFonts w:eastAsia="Times New Roman"/>
          <w:noProof/>
          <w:lang w:eastAsia="de-DE"/>
        </w:rPr>
        <w:pict w14:anchorId="3EBC501C">
          <v:rect id="_x0000_i1322" style="width:0;height:1.5pt" o:hralign="center" o:hrstd="t" o:hr="t" fillcolor="#a0a0a0" stroked="f"/>
        </w:pict>
      </w:r>
    </w:p>
    <w:p w14:paraId="544B1000"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lang w:eastAsia="de-DE"/>
        </w:rPr>
        <w:t>Kommentar:</w:t>
      </w:r>
      <w:r w:rsidRPr="00461277">
        <w:rPr>
          <w:rFonts w:eastAsia="Times New Roman"/>
          <w:lang w:eastAsia="de-DE"/>
        </w:rPr>
        <w:t xml:space="preserve"> </w:t>
      </w:r>
      <w:r w:rsidRPr="00461277">
        <w:rPr>
          <w:rFonts w:eastAsia="Times New Roman"/>
          <w:b/>
          <w:bCs/>
          <w:rtl/>
          <w:lang w:eastAsia="de-DE"/>
        </w:rPr>
        <w:t>וַיִּכְתֹּב עַֽל־הַלֻּחֹת כַּמִּכְתָּב הָרִאשׁוֹן אֵת עֲשֶׂרֶת הַדְּבָרִים</w:t>
      </w:r>
      <w:r w:rsidRPr="00461277">
        <w:rPr>
          <w:rFonts w:eastAsia="Times New Roman"/>
          <w:rtl/>
          <w:lang w:eastAsia="de-DE"/>
        </w:rPr>
        <w:t xml:space="preserve"> </w:t>
      </w:r>
      <w:r w:rsidRPr="00461277">
        <w:rPr>
          <w:rFonts w:eastAsia="Times New Roman"/>
          <w:lang w:eastAsia="de-DE"/>
        </w:rPr>
        <w:t xml:space="preserve">ist die Hauptaussage: </w:t>
      </w:r>
      <w:r w:rsidRPr="00461277">
        <w:rPr>
          <w:rFonts w:eastAsia="Times New Roman"/>
          <w:b/>
          <w:bCs/>
          <w:rtl/>
          <w:lang w:eastAsia="de-DE"/>
        </w:rPr>
        <w:t>וַיִּכְתֹּב</w:t>
      </w:r>
      <w:r w:rsidRPr="00461277">
        <w:rPr>
          <w:rFonts w:eastAsia="Times New Roman"/>
          <w:rtl/>
          <w:lang w:eastAsia="de-DE"/>
        </w:rPr>
        <w:t xml:space="preserve"> </w:t>
      </w:r>
      <w:r w:rsidRPr="00461277">
        <w:rPr>
          <w:rFonts w:eastAsia="Times New Roman"/>
          <w:lang w:eastAsia="de-DE"/>
        </w:rPr>
        <w:t xml:space="preserve">(Qal Imperfekt consecutivum, 3. Person Singular maskulin von </w:t>
      </w:r>
      <w:r w:rsidRPr="00461277">
        <w:rPr>
          <w:rFonts w:eastAsia="Times New Roman"/>
          <w:b/>
          <w:bCs/>
          <w:rtl/>
          <w:lang w:eastAsia="de-DE"/>
        </w:rPr>
        <w:t>כתב</w:t>
      </w:r>
      <w:r w:rsidRPr="00461277">
        <w:rPr>
          <w:rFonts w:eastAsia="Times New Roman"/>
          <w:lang w:eastAsia="de-DE"/>
        </w:rPr>
        <w:t xml:space="preserve">, „schreiben", mit </w:t>
      </w:r>
      <w:r w:rsidRPr="00461277">
        <w:rPr>
          <w:rFonts w:eastAsia="Times New Roman"/>
          <w:b/>
          <w:bCs/>
          <w:rtl/>
          <w:lang w:eastAsia="de-DE"/>
        </w:rPr>
        <w:t>וְ</w:t>
      </w:r>
      <w:r w:rsidRPr="00461277">
        <w:rPr>
          <w:rFonts w:eastAsia="Times New Roman"/>
          <w:rtl/>
          <w:lang w:eastAsia="de-DE"/>
        </w:rPr>
        <w:t xml:space="preserve"> </w:t>
      </w:r>
      <w:r w:rsidRPr="00461277">
        <w:rPr>
          <w:rFonts w:eastAsia="Times New Roman"/>
          <w:lang w:eastAsia="de-DE"/>
        </w:rPr>
        <w:t xml:space="preserve">– Subjekt ist JHWH), </w:t>
      </w:r>
      <w:r w:rsidRPr="00461277">
        <w:rPr>
          <w:rFonts w:eastAsia="Times New Roman"/>
          <w:b/>
          <w:bCs/>
          <w:rtl/>
          <w:lang w:eastAsia="de-DE"/>
        </w:rPr>
        <w:t>עַל־הַלֻּחֹת</w:t>
      </w:r>
      <w:r w:rsidRPr="00461277">
        <w:rPr>
          <w:rFonts w:eastAsia="Times New Roman"/>
          <w:rtl/>
          <w:lang w:eastAsia="de-DE"/>
        </w:rPr>
        <w:t xml:space="preserve"> </w:t>
      </w:r>
      <w:r w:rsidRPr="00461277">
        <w:rPr>
          <w:rFonts w:eastAsia="Times New Roman"/>
          <w:lang w:eastAsia="de-DE"/>
        </w:rPr>
        <w:t xml:space="preserve">als Ortsangabe, </w:t>
      </w:r>
      <w:r w:rsidRPr="00461277">
        <w:rPr>
          <w:rFonts w:eastAsia="Times New Roman"/>
          <w:b/>
          <w:bCs/>
          <w:rtl/>
          <w:lang w:eastAsia="de-DE"/>
        </w:rPr>
        <w:t>כַּמִּכְתָּב הָרִאשׁוֹן</w:t>
      </w:r>
      <w:r w:rsidRPr="00461277">
        <w:rPr>
          <w:rFonts w:eastAsia="Times New Roman"/>
          <w:rtl/>
          <w:lang w:eastAsia="de-DE"/>
        </w:rPr>
        <w:t xml:space="preserve"> </w:t>
      </w:r>
      <w:r w:rsidRPr="00461277">
        <w:rPr>
          <w:rFonts w:eastAsia="Times New Roman"/>
          <w:lang w:eastAsia="de-DE"/>
        </w:rPr>
        <w:t>als Vergleichskonstruktion (</w:t>
      </w:r>
      <w:r w:rsidRPr="00461277">
        <w:rPr>
          <w:rFonts w:eastAsia="Times New Roman"/>
          <w:b/>
          <w:bCs/>
          <w:rtl/>
          <w:lang w:eastAsia="de-DE"/>
        </w:rPr>
        <w:t>כְּ</w:t>
      </w:r>
      <w:r w:rsidRPr="00461277">
        <w:rPr>
          <w:rFonts w:eastAsia="Times New Roman"/>
          <w:rtl/>
          <w:lang w:eastAsia="de-DE"/>
        </w:rPr>
        <w:t xml:space="preserve"> </w:t>
      </w:r>
      <w:r w:rsidRPr="00461277">
        <w:rPr>
          <w:rFonts w:eastAsia="Times New Roman"/>
          <w:lang w:eastAsia="de-DE"/>
        </w:rPr>
        <w:t xml:space="preserve">mit </w:t>
      </w:r>
      <w:r w:rsidRPr="00461277">
        <w:rPr>
          <w:rFonts w:eastAsia="Times New Roman"/>
          <w:b/>
          <w:bCs/>
          <w:rtl/>
          <w:lang w:eastAsia="de-DE"/>
        </w:rPr>
        <w:t>מִכְתָּב</w:t>
      </w:r>
      <w:r w:rsidRPr="00461277">
        <w:rPr>
          <w:rFonts w:eastAsia="Times New Roman"/>
          <w:lang w:eastAsia="de-DE"/>
        </w:rPr>
        <w:t xml:space="preserve">, „Schrift", im Construct mit </w:t>
      </w:r>
      <w:r w:rsidRPr="00461277">
        <w:rPr>
          <w:rFonts w:eastAsia="Times New Roman"/>
          <w:b/>
          <w:bCs/>
          <w:rtl/>
          <w:lang w:eastAsia="de-DE"/>
        </w:rPr>
        <w:t>רִאשׁוֹן</w:t>
      </w:r>
      <w:r w:rsidRPr="00461277">
        <w:rPr>
          <w:rFonts w:eastAsia="Times New Roman"/>
          <w:rtl/>
          <w:lang w:eastAsia="de-DE"/>
        </w:rPr>
        <w:t xml:space="preserve"> </w:t>
      </w:r>
      <w:r w:rsidRPr="00461277">
        <w:rPr>
          <w:rFonts w:eastAsia="Times New Roman"/>
          <w:lang w:eastAsia="de-DE"/>
        </w:rPr>
        <w:t xml:space="preserve">– „wie die erste Schrift"), </w:t>
      </w:r>
      <w:r w:rsidRPr="00461277">
        <w:rPr>
          <w:rFonts w:eastAsia="Times New Roman"/>
          <w:b/>
          <w:bCs/>
          <w:rtl/>
          <w:lang w:eastAsia="de-DE"/>
        </w:rPr>
        <w:t>אֵת עֲשֶׂרֶת הַדְּבָרִים</w:t>
      </w:r>
      <w:r w:rsidRPr="00461277">
        <w:rPr>
          <w:rFonts w:eastAsia="Times New Roman"/>
          <w:rtl/>
          <w:lang w:eastAsia="de-DE"/>
        </w:rPr>
        <w:t xml:space="preserve"> </w:t>
      </w:r>
      <w:r w:rsidRPr="00461277">
        <w:rPr>
          <w:rFonts w:eastAsia="Times New Roman"/>
          <w:lang w:eastAsia="de-DE"/>
        </w:rPr>
        <w:t>als direktes Objekt (</w:t>
      </w:r>
      <w:r w:rsidRPr="00461277">
        <w:rPr>
          <w:rFonts w:eastAsia="Times New Roman"/>
          <w:b/>
          <w:bCs/>
          <w:rtl/>
          <w:lang w:eastAsia="de-DE"/>
        </w:rPr>
        <w:t>עֲשֶׂרֶת</w:t>
      </w:r>
      <w:r w:rsidRPr="00461277">
        <w:rPr>
          <w:rFonts w:eastAsia="Times New Roman"/>
          <w:lang w:eastAsia="de-DE"/>
        </w:rPr>
        <w:t xml:space="preserve">, „zehn", im Construct mit </w:t>
      </w:r>
      <w:r w:rsidRPr="00461277">
        <w:rPr>
          <w:rFonts w:eastAsia="Times New Roman"/>
          <w:b/>
          <w:bCs/>
          <w:rtl/>
          <w:lang w:eastAsia="de-DE"/>
        </w:rPr>
        <w:t>דָּבָר</w:t>
      </w:r>
      <w:r w:rsidRPr="00461277">
        <w:rPr>
          <w:rFonts w:eastAsia="Times New Roman"/>
          <w:lang w:eastAsia="de-DE"/>
        </w:rPr>
        <w:t>, „Wort", Plural – „die zehn Worte").</w:t>
      </w:r>
    </w:p>
    <w:p w14:paraId="5EB1C0D7"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rtl/>
          <w:lang w:eastAsia="de-DE"/>
        </w:rPr>
        <w:t>אֲשֶׁר דִּבֶּר יְהוָה אֲלֵיכֶם בָּהָר מִתּוֹךְ הָאֵשׁ בְּיוֹם הַקָּהָל</w:t>
      </w:r>
      <w:r w:rsidRPr="00461277">
        <w:rPr>
          <w:rFonts w:eastAsia="Times New Roman"/>
          <w:rtl/>
          <w:lang w:eastAsia="de-DE"/>
        </w:rPr>
        <w:t xml:space="preserve"> </w:t>
      </w:r>
      <w:r w:rsidRPr="00461277">
        <w:rPr>
          <w:rFonts w:eastAsia="Times New Roman"/>
          <w:lang w:eastAsia="de-DE"/>
        </w:rPr>
        <w:t xml:space="preserve">ist ein Relativsatz: </w:t>
      </w:r>
      <w:r w:rsidRPr="00461277">
        <w:rPr>
          <w:rFonts w:eastAsia="Times New Roman"/>
          <w:b/>
          <w:bCs/>
          <w:rtl/>
          <w:lang w:eastAsia="de-DE"/>
        </w:rPr>
        <w:t>אֲשֶׁר</w:t>
      </w:r>
      <w:r w:rsidRPr="00461277">
        <w:rPr>
          <w:rFonts w:eastAsia="Times New Roman"/>
          <w:rtl/>
          <w:lang w:eastAsia="de-DE"/>
        </w:rPr>
        <w:t xml:space="preserve"> </w:t>
      </w:r>
      <w:r w:rsidRPr="00461277">
        <w:rPr>
          <w:rFonts w:eastAsia="Times New Roman"/>
          <w:lang w:eastAsia="de-DE"/>
        </w:rPr>
        <w:t xml:space="preserve">als Relativpronomen, </w:t>
      </w:r>
      <w:r w:rsidRPr="00461277">
        <w:rPr>
          <w:rFonts w:eastAsia="Times New Roman"/>
          <w:b/>
          <w:bCs/>
          <w:rtl/>
          <w:lang w:eastAsia="de-DE"/>
        </w:rPr>
        <w:t>דִּבֶּר</w:t>
      </w:r>
      <w:r w:rsidRPr="00461277">
        <w:rPr>
          <w:rFonts w:eastAsia="Times New Roman"/>
          <w:rtl/>
          <w:lang w:eastAsia="de-DE"/>
        </w:rPr>
        <w:t xml:space="preserve"> </w:t>
      </w:r>
      <w:r w:rsidRPr="00461277">
        <w:rPr>
          <w:rFonts w:eastAsia="Times New Roman"/>
          <w:lang w:eastAsia="de-DE"/>
        </w:rPr>
        <w:t xml:space="preserve">als Piel Perfekt, 3. Person Singular maskulin von </w:t>
      </w:r>
      <w:r w:rsidRPr="00461277">
        <w:rPr>
          <w:rFonts w:eastAsia="Times New Roman"/>
          <w:b/>
          <w:bCs/>
          <w:rtl/>
          <w:lang w:eastAsia="de-DE"/>
        </w:rPr>
        <w:t>דבר</w:t>
      </w:r>
      <w:r w:rsidRPr="00461277">
        <w:rPr>
          <w:rFonts w:eastAsia="Times New Roman"/>
          <w:lang w:eastAsia="de-DE"/>
        </w:rPr>
        <w:t xml:space="preserve">, „reden", </w:t>
      </w:r>
      <w:r w:rsidRPr="00461277">
        <w:rPr>
          <w:rFonts w:eastAsia="Times New Roman"/>
          <w:b/>
          <w:bCs/>
          <w:rtl/>
          <w:lang w:eastAsia="de-DE"/>
        </w:rPr>
        <w:t>יְהוָה</w:t>
      </w:r>
      <w:r w:rsidRPr="00461277">
        <w:rPr>
          <w:rFonts w:eastAsia="Times New Roman"/>
          <w:rtl/>
          <w:lang w:eastAsia="de-DE"/>
        </w:rPr>
        <w:t xml:space="preserve"> </w:t>
      </w:r>
      <w:r w:rsidRPr="00461277">
        <w:rPr>
          <w:rFonts w:eastAsia="Times New Roman"/>
          <w:lang w:eastAsia="de-DE"/>
        </w:rPr>
        <w:t xml:space="preserve">als Subjekt, </w:t>
      </w:r>
      <w:r w:rsidRPr="00461277">
        <w:rPr>
          <w:rFonts w:eastAsia="Times New Roman"/>
          <w:b/>
          <w:bCs/>
          <w:rtl/>
          <w:lang w:eastAsia="de-DE"/>
        </w:rPr>
        <w:t>אֲלֵיכֶם</w:t>
      </w:r>
      <w:r w:rsidRPr="00461277">
        <w:rPr>
          <w:rFonts w:eastAsia="Times New Roman"/>
          <w:rtl/>
          <w:lang w:eastAsia="de-DE"/>
        </w:rPr>
        <w:t xml:space="preserve"> </w:t>
      </w:r>
      <w:r w:rsidRPr="00461277">
        <w:rPr>
          <w:rFonts w:eastAsia="Times New Roman"/>
          <w:lang w:eastAsia="de-DE"/>
        </w:rPr>
        <w:t xml:space="preserve">als indirektes Objekt, </w:t>
      </w:r>
      <w:r w:rsidRPr="00461277">
        <w:rPr>
          <w:rFonts w:eastAsia="Times New Roman"/>
          <w:b/>
          <w:bCs/>
          <w:rtl/>
          <w:lang w:eastAsia="de-DE"/>
        </w:rPr>
        <w:t>בָּהָר מִתּוֹךְ הָאֵשׁ בְּיוֹם הַקָּהָל</w:t>
      </w:r>
      <w:r w:rsidRPr="00461277">
        <w:rPr>
          <w:rFonts w:eastAsia="Times New Roman"/>
          <w:rtl/>
          <w:lang w:eastAsia="de-DE"/>
        </w:rPr>
        <w:t xml:space="preserve"> </w:t>
      </w:r>
      <w:r w:rsidRPr="00461277">
        <w:rPr>
          <w:rFonts w:eastAsia="Times New Roman"/>
          <w:lang w:eastAsia="de-DE"/>
        </w:rPr>
        <w:t>als dreigliedrige lokale bzw. temporale Bestimmung (wie 9,10).</w:t>
      </w:r>
    </w:p>
    <w:p w14:paraId="643FE713"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rtl/>
          <w:lang w:eastAsia="de-DE"/>
        </w:rPr>
        <w:t>וַיִּתְּנֵם יְהוָה אֵלָי</w:t>
      </w:r>
      <w:r w:rsidRPr="00461277">
        <w:rPr>
          <w:rFonts w:eastAsia="Times New Roman"/>
          <w:rtl/>
          <w:lang w:eastAsia="de-DE"/>
        </w:rPr>
        <w:t xml:space="preserve"> </w:t>
      </w:r>
      <w:r w:rsidRPr="00461277">
        <w:rPr>
          <w:rFonts w:eastAsia="Times New Roman"/>
          <w:lang w:eastAsia="de-DE"/>
        </w:rPr>
        <w:t xml:space="preserve">ist die Übergabe: </w:t>
      </w:r>
      <w:r w:rsidRPr="00461277">
        <w:rPr>
          <w:rFonts w:eastAsia="Times New Roman"/>
          <w:b/>
          <w:bCs/>
          <w:rtl/>
          <w:lang w:eastAsia="de-DE"/>
        </w:rPr>
        <w:t>וַיִּתְּנֵם</w:t>
      </w:r>
      <w:r w:rsidRPr="00461277">
        <w:rPr>
          <w:rFonts w:eastAsia="Times New Roman"/>
          <w:rtl/>
          <w:lang w:eastAsia="de-DE"/>
        </w:rPr>
        <w:t xml:space="preserve"> </w:t>
      </w:r>
      <w:r w:rsidRPr="00461277">
        <w:rPr>
          <w:rFonts w:eastAsia="Times New Roman"/>
          <w:lang w:eastAsia="de-DE"/>
        </w:rPr>
        <w:t xml:space="preserve">(Qal Imperfekt consecutivum, 3. Person Singular maskulin von </w:t>
      </w:r>
      <w:r w:rsidRPr="00461277">
        <w:rPr>
          <w:rFonts w:eastAsia="Times New Roman"/>
          <w:b/>
          <w:bCs/>
          <w:rtl/>
          <w:lang w:eastAsia="de-DE"/>
        </w:rPr>
        <w:t>נתן</w:t>
      </w:r>
      <w:r w:rsidRPr="00461277">
        <w:rPr>
          <w:rFonts w:eastAsia="Times New Roman"/>
          <w:lang w:eastAsia="de-DE"/>
        </w:rPr>
        <w:t xml:space="preserve">, „geben", mit </w:t>
      </w:r>
      <w:r w:rsidRPr="00461277">
        <w:rPr>
          <w:rFonts w:eastAsia="Times New Roman"/>
          <w:b/>
          <w:bCs/>
          <w:rtl/>
          <w:lang w:eastAsia="de-DE"/>
        </w:rPr>
        <w:t>וְ</w:t>
      </w:r>
      <w:r w:rsidRPr="00461277">
        <w:rPr>
          <w:rFonts w:eastAsia="Times New Roman"/>
          <w:rtl/>
          <w:lang w:eastAsia="de-DE"/>
        </w:rPr>
        <w:t xml:space="preserve"> </w:t>
      </w:r>
      <w:r w:rsidRPr="00461277">
        <w:rPr>
          <w:rFonts w:eastAsia="Times New Roman"/>
          <w:lang w:eastAsia="de-DE"/>
        </w:rPr>
        <w:t xml:space="preserve">und Suffix 3. Person Plural maskulin), </w:t>
      </w:r>
      <w:r w:rsidRPr="00461277">
        <w:rPr>
          <w:rFonts w:eastAsia="Times New Roman"/>
          <w:b/>
          <w:bCs/>
          <w:rtl/>
          <w:lang w:eastAsia="de-DE"/>
        </w:rPr>
        <w:t>יְהוָה</w:t>
      </w:r>
      <w:r w:rsidRPr="00461277">
        <w:rPr>
          <w:rFonts w:eastAsia="Times New Roman"/>
          <w:rtl/>
          <w:lang w:eastAsia="de-DE"/>
        </w:rPr>
        <w:t xml:space="preserve"> </w:t>
      </w:r>
      <w:r w:rsidRPr="00461277">
        <w:rPr>
          <w:rFonts w:eastAsia="Times New Roman"/>
          <w:lang w:eastAsia="de-DE"/>
        </w:rPr>
        <w:t xml:space="preserve">als Subjekt, </w:t>
      </w:r>
      <w:r w:rsidRPr="00461277">
        <w:rPr>
          <w:rFonts w:eastAsia="Times New Roman"/>
          <w:b/>
          <w:bCs/>
          <w:rtl/>
          <w:lang w:eastAsia="de-DE"/>
        </w:rPr>
        <w:t>אֵלָי</w:t>
      </w:r>
      <w:r w:rsidRPr="00461277">
        <w:rPr>
          <w:rFonts w:eastAsia="Times New Roman"/>
          <w:rtl/>
          <w:lang w:eastAsia="de-DE"/>
        </w:rPr>
        <w:t xml:space="preserve"> </w:t>
      </w:r>
      <w:r w:rsidRPr="00461277">
        <w:rPr>
          <w:rFonts w:eastAsia="Times New Roman"/>
          <w:lang w:eastAsia="de-DE"/>
        </w:rPr>
        <w:t>als indirektes Objekt.</w:t>
      </w:r>
    </w:p>
    <w:p w14:paraId="02909E1F"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lang w:eastAsia="de-DE"/>
        </w:rPr>
        <w:t xml:space="preserve">Der Vers betont: JHWH selbst schrieb die Tafeln (vgl. 9,10). Die Wendung </w:t>
      </w:r>
      <w:r w:rsidRPr="00461277">
        <w:rPr>
          <w:rFonts w:eastAsia="Times New Roman"/>
          <w:b/>
          <w:bCs/>
          <w:rtl/>
          <w:lang w:eastAsia="de-DE"/>
        </w:rPr>
        <w:t>עֲשֶׂרֶת הַדְּבָרִים</w:t>
      </w:r>
      <w:r w:rsidRPr="00461277">
        <w:rPr>
          <w:rFonts w:eastAsia="Times New Roman"/>
          <w:rtl/>
          <w:lang w:eastAsia="de-DE"/>
        </w:rPr>
        <w:t xml:space="preserve"> </w:t>
      </w:r>
      <w:r w:rsidRPr="00461277">
        <w:rPr>
          <w:rFonts w:eastAsia="Times New Roman"/>
          <w:lang w:eastAsia="de-DE"/>
        </w:rPr>
        <w:t xml:space="preserve">(„die zehn Worte") ist die klassische Bezeichnung für den Dekalog (vgl. Ex 34,28; Dtn 4,13). Der Relativsatz erinnert nochmals an die Sinai-Theophanie. Die Formulierung </w:t>
      </w:r>
      <w:r w:rsidRPr="00461277">
        <w:rPr>
          <w:rFonts w:eastAsia="Times New Roman"/>
          <w:b/>
          <w:bCs/>
          <w:rtl/>
          <w:lang w:eastAsia="de-DE"/>
        </w:rPr>
        <w:t>וַיִּתְּנֵם יְהוָה אֵלָי</w:t>
      </w:r>
      <w:r w:rsidRPr="00461277">
        <w:rPr>
          <w:rFonts w:eastAsia="Times New Roman"/>
          <w:rtl/>
          <w:lang w:eastAsia="de-DE"/>
        </w:rPr>
        <w:t xml:space="preserve"> </w:t>
      </w:r>
      <w:r w:rsidRPr="00461277">
        <w:rPr>
          <w:rFonts w:eastAsia="Times New Roman"/>
          <w:lang w:eastAsia="de-DE"/>
        </w:rPr>
        <w:t>(„und JHWH gab sie mir") schließt die Tafelübergabe ab.</w:t>
      </w:r>
    </w:p>
    <w:p w14:paraId="010EB30E"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lang w:eastAsia="de-DE"/>
        </w:rPr>
        <w:t>Die Satzstruktur ist ein Imperfekt consecutivum mit Ortsangabe, Vergleichskonstruktion und direktem Objekt, erweitert durch einen Relativsatz mit dreigliedriger lokaler bzw. temporaler Bestimmung, gefolgt von einem weiteren Imperfekt consecutivum mit Suffix-Objekt, Subjekt und indirektem Objekt.</w:t>
      </w:r>
    </w:p>
    <w:p w14:paraId="2BF7BE83"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lang w:eastAsia="de-DE"/>
        </w:rPr>
        <w:t>Der Vers betont JHWHs Handeln: Er schrieb auf die Tafeln wie die erste Schrift die zehn Worte, die er am Berg aus dem Feuer zu euch geredet hatte – und JHWH gab sie mir.</w:t>
      </w:r>
    </w:p>
    <w:p w14:paraId="5A546852" w14:textId="77777777" w:rsidR="00461277" w:rsidRPr="00461277" w:rsidRDefault="00461277" w:rsidP="00461277">
      <w:pPr>
        <w:spacing w:before="100" w:beforeAutospacing="1" w:after="100" w:afterAutospacing="1" w:line="240" w:lineRule="auto"/>
        <w:outlineLvl w:val="1"/>
        <w:rPr>
          <w:rFonts w:eastAsia="Times New Roman"/>
          <w:b/>
          <w:bCs/>
          <w:sz w:val="36"/>
          <w:szCs w:val="36"/>
          <w:lang w:eastAsia="de-DE"/>
        </w:rPr>
      </w:pPr>
      <w:r w:rsidRPr="00461277">
        <w:rPr>
          <w:rFonts w:eastAsia="Times New Roman"/>
          <w:b/>
          <w:bCs/>
          <w:sz w:val="36"/>
          <w:szCs w:val="36"/>
          <w:lang w:eastAsia="de-DE"/>
        </w:rPr>
        <w:t>Deuteronomium 10,5</w:t>
      </w:r>
    </w:p>
    <w:p w14:paraId="7332FC72"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lang w:eastAsia="de-DE"/>
        </w:rPr>
        <w:t>Hebräisch:</w:t>
      </w:r>
      <w:r w:rsidRPr="00461277">
        <w:rPr>
          <w:rFonts w:eastAsia="Times New Roman"/>
          <w:lang w:eastAsia="de-DE"/>
        </w:rPr>
        <w:t xml:space="preserve"> </w:t>
      </w:r>
      <w:r w:rsidRPr="00461277">
        <w:rPr>
          <w:rFonts w:eastAsia="Times New Roman"/>
          <w:rtl/>
          <w:lang w:eastAsia="de-DE"/>
        </w:rPr>
        <w:t>וָאֵ֗פֶן וָֽאֵרֵד֙ מִן־הָהָ֔ר וָֽאָשִׂם֙ אֶת־הַלֻּחֹ֔ת בָּאָר֖וֹן אֲשֶׁ֣ר עָשִׂ֑יתִי וַיִּ֣הְיוּ שָׁ֔ם כַּאֲשֶׁ֥ר צִוַּ֖נִי יְהוָֽה׃</w:t>
      </w:r>
    </w:p>
    <w:p w14:paraId="060BA418"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lang w:eastAsia="de-DE"/>
        </w:rPr>
        <w:t>Deutsch:</w:t>
      </w:r>
      <w:r w:rsidRPr="00461277">
        <w:rPr>
          <w:rFonts w:eastAsia="Times New Roman"/>
          <w:lang w:eastAsia="de-DE"/>
        </w:rPr>
        <w:t xml:space="preserve"> Und ich wandte mich und stieg vom Berg herab. Und ich legte die Tafeln in die Lade, die ich gemacht hatte; und sie sind dort, wie mir der Ewige geboten hat.</w:t>
      </w:r>
    </w:p>
    <w:p w14:paraId="07A2D7CE" w14:textId="77777777" w:rsidR="00461277" w:rsidRPr="00461277" w:rsidRDefault="004F5CEB" w:rsidP="00461277">
      <w:pPr>
        <w:spacing w:after="0" w:line="240" w:lineRule="auto"/>
        <w:rPr>
          <w:rFonts w:eastAsia="Times New Roman"/>
          <w:lang w:eastAsia="de-DE"/>
        </w:rPr>
      </w:pPr>
      <w:r>
        <w:rPr>
          <w:rFonts w:eastAsia="Times New Roman"/>
          <w:noProof/>
          <w:lang w:eastAsia="de-DE"/>
        </w:rPr>
        <w:pict w14:anchorId="595A09CD">
          <v:rect id="_x0000_i1323" style="width:0;height:1.5pt" o:hralign="center" o:hrstd="t" o:hr="t" fillcolor="#a0a0a0" stroked="f"/>
        </w:pict>
      </w:r>
    </w:p>
    <w:p w14:paraId="0D3DBE53"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lang w:eastAsia="de-DE"/>
        </w:rPr>
        <w:lastRenderedPageBreak/>
        <w:t>Kommentar:</w:t>
      </w:r>
      <w:r w:rsidRPr="00461277">
        <w:rPr>
          <w:rFonts w:eastAsia="Times New Roman"/>
          <w:lang w:eastAsia="de-DE"/>
        </w:rPr>
        <w:t xml:space="preserve"> </w:t>
      </w:r>
      <w:r w:rsidRPr="00461277">
        <w:rPr>
          <w:rFonts w:eastAsia="Times New Roman"/>
          <w:b/>
          <w:bCs/>
          <w:rtl/>
          <w:lang w:eastAsia="de-DE"/>
        </w:rPr>
        <w:t>וָאֵפֶן וָאֵרֵד מִן־הָהָר</w:t>
      </w:r>
      <w:r w:rsidRPr="00461277">
        <w:rPr>
          <w:rFonts w:eastAsia="Times New Roman"/>
          <w:rtl/>
          <w:lang w:eastAsia="de-DE"/>
        </w:rPr>
        <w:t xml:space="preserve"> </w:t>
      </w:r>
      <w:r w:rsidRPr="00461277">
        <w:rPr>
          <w:rFonts w:eastAsia="Times New Roman"/>
          <w:lang w:eastAsia="de-DE"/>
        </w:rPr>
        <w:t xml:space="preserve">ist eine zweigliedrige koordinierte Verbkette (wie 9,15): </w:t>
      </w:r>
      <w:r w:rsidRPr="00461277">
        <w:rPr>
          <w:rFonts w:eastAsia="Times New Roman"/>
          <w:b/>
          <w:bCs/>
          <w:rtl/>
          <w:lang w:eastAsia="de-DE"/>
        </w:rPr>
        <w:t>וָאֵפֶן</w:t>
      </w:r>
      <w:r w:rsidRPr="00461277">
        <w:rPr>
          <w:rFonts w:eastAsia="Times New Roman"/>
          <w:rtl/>
          <w:lang w:eastAsia="de-DE"/>
        </w:rPr>
        <w:t xml:space="preserve"> </w:t>
      </w:r>
      <w:r w:rsidRPr="00461277">
        <w:rPr>
          <w:rFonts w:eastAsia="Times New Roman"/>
          <w:lang w:eastAsia="de-DE"/>
        </w:rPr>
        <w:t xml:space="preserve">(Qal Imperfekt consecutivum, 1. Person Singular von </w:t>
      </w:r>
      <w:r w:rsidRPr="00461277">
        <w:rPr>
          <w:rFonts w:eastAsia="Times New Roman"/>
          <w:b/>
          <w:bCs/>
          <w:rtl/>
          <w:lang w:eastAsia="de-DE"/>
        </w:rPr>
        <w:t>פנה</w:t>
      </w:r>
      <w:r w:rsidRPr="00461277">
        <w:rPr>
          <w:rFonts w:eastAsia="Times New Roman"/>
          <w:lang w:eastAsia="de-DE"/>
        </w:rPr>
        <w:t xml:space="preserve">, „sich wenden", mit </w:t>
      </w:r>
      <w:r w:rsidRPr="00461277">
        <w:rPr>
          <w:rFonts w:eastAsia="Times New Roman"/>
          <w:b/>
          <w:bCs/>
          <w:rtl/>
          <w:lang w:eastAsia="de-DE"/>
        </w:rPr>
        <w:t>וְ</w:t>
      </w:r>
      <w:r w:rsidRPr="00461277">
        <w:rPr>
          <w:rFonts w:eastAsia="Times New Roman"/>
          <w:lang w:eastAsia="de-DE"/>
        </w:rPr>
        <w:t xml:space="preserve">), </w:t>
      </w:r>
      <w:r w:rsidRPr="00461277">
        <w:rPr>
          <w:rFonts w:eastAsia="Times New Roman"/>
          <w:b/>
          <w:bCs/>
          <w:rtl/>
          <w:lang w:eastAsia="de-DE"/>
        </w:rPr>
        <w:t>וָאֵרֵד מִן־הָהָר</w:t>
      </w:r>
      <w:r w:rsidRPr="00461277">
        <w:rPr>
          <w:rFonts w:eastAsia="Times New Roman"/>
          <w:rtl/>
          <w:lang w:eastAsia="de-DE"/>
        </w:rPr>
        <w:t xml:space="preserve"> </w:t>
      </w:r>
      <w:r w:rsidRPr="00461277">
        <w:rPr>
          <w:rFonts w:eastAsia="Times New Roman"/>
          <w:lang w:eastAsia="de-DE"/>
        </w:rPr>
        <w:t xml:space="preserve">koordiniert (Qal Imperfekt consecutivum, 1. Person Singular von </w:t>
      </w:r>
      <w:r w:rsidRPr="00461277">
        <w:rPr>
          <w:rFonts w:eastAsia="Times New Roman"/>
          <w:b/>
          <w:bCs/>
          <w:rtl/>
          <w:lang w:eastAsia="de-DE"/>
        </w:rPr>
        <w:t>ירד</w:t>
      </w:r>
      <w:r w:rsidRPr="00461277">
        <w:rPr>
          <w:rFonts w:eastAsia="Times New Roman"/>
          <w:lang w:eastAsia="de-DE"/>
        </w:rPr>
        <w:t xml:space="preserve">, „hinabsteigen", mit </w:t>
      </w:r>
      <w:r w:rsidRPr="00461277">
        <w:rPr>
          <w:rFonts w:eastAsia="Times New Roman"/>
          <w:b/>
          <w:bCs/>
          <w:rtl/>
          <w:lang w:eastAsia="de-DE"/>
        </w:rPr>
        <w:t>וְ</w:t>
      </w:r>
      <w:r w:rsidRPr="00461277">
        <w:rPr>
          <w:rFonts w:eastAsia="Times New Roman"/>
          <w:rtl/>
          <w:lang w:eastAsia="de-DE"/>
        </w:rPr>
        <w:t xml:space="preserve"> </w:t>
      </w:r>
      <w:r w:rsidRPr="00461277">
        <w:rPr>
          <w:rFonts w:eastAsia="Times New Roman"/>
          <w:lang w:eastAsia="de-DE"/>
        </w:rPr>
        <w:t>und Herkunftsangabe).</w:t>
      </w:r>
    </w:p>
    <w:p w14:paraId="14BB2A61"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rtl/>
          <w:lang w:eastAsia="de-DE"/>
        </w:rPr>
        <w:t>וָאָשִׂם אֶת־הַלֻּחֹת בָּאָרוֹן אֲשֶׁר עָשִׂיתִי</w:t>
      </w:r>
      <w:r w:rsidRPr="00461277">
        <w:rPr>
          <w:rFonts w:eastAsia="Times New Roman"/>
          <w:rtl/>
          <w:lang w:eastAsia="de-DE"/>
        </w:rPr>
        <w:t xml:space="preserve"> </w:t>
      </w:r>
      <w:r w:rsidRPr="00461277">
        <w:rPr>
          <w:rFonts w:eastAsia="Times New Roman"/>
          <w:lang w:eastAsia="de-DE"/>
        </w:rPr>
        <w:t xml:space="preserve">ist die Ausführung von V. 2: </w:t>
      </w:r>
      <w:r w:rsidRPr="00461277">
        <w:rPr>
          <w:rFonts w:eastAsia="Times New Roman"/>
          <w:b/>
          <w:bCs/>
          <w:rtl/>
          <w:lang w:eastAsia="de-DE"/>
        </w:rPr>
        <w:t>וָאָשִׂם</w:t>
      </w:r>
      <w:r w:rsidRPr="00461277">
        <w:rPr>
          <w:rFonts w:eastAsia="Times New Roman"/>
          <w:rtl/>
          <w:lang w:eastAsia="de-DE"/>
        </w:rPr>
        <w:t xml:space="preserve"> </w:t>
      </w:r>
      <w:r w:rsidRPr="00461277">
        <w:rPr>
          <w:rFonts w:eastAsia="Times New Roman"/>
          <w:lang w:eastAsia="de-DE"/>
        </w:rPr>
        <w:t xml:space="preserve">(Qal Imperfekt consecutivum, 1. Person Singular von </w:t>
      </w:r>
      <w:r w:rsidRPr="00461277">
        <w:rPr>
          <w:rFonts w:eastAsia="Times New Roman"/>
          <w:b/>
          <w:bCs/>
          <w:rtl/>
          <w:lang w:eastAsia="de-DE"/>
        </w:rPr>
        <w:t>שׂים</w:t>
      </w:r>
      <w:r w:rsidRPr="00461277">
        <w:rPr>
          <w:rFonts w:eastAsia="Times New Roman"/>
          <w:lang w:eastAsia="de-DE"/>
        </w:rPr>
        <w:t xml:space="preserve">, „setzen, legen", mit </w:t>
      </w:r>
      <w:r w:rsidRPr="00461277">
        <w:rPr>
          <w:rFonts w:eastAsia="Times New Roman"/>
          <w:b/>
          <w:bCs/>
          <w:rtl/>
          <w:lang w:eastAsia="de-DE"/>
        </w:rPr>
        <w:t>וְ</w:t>
      </w:r>
      <w:r w:rsidRPr="00461277">
        <w:rPr>
          <w:rFonts w:eastAsia="Times New Roman"/>
          <w:lang w:eastAsia="de-DE"/>
        </w:rPr>
        <w:t xml:space="preserve">), </w:t>
      </w:r>
      <w:r w:rsidRPr="00461277">
        <w:rPr>
          <w:rFonts w:eastAsia="Times New Roman"/>
          <w:b/>
          <w:bCs/>
          <w:rtl/>
          <w:lang w:eastAsia="de-DE"/>
        </w:rPr>
        <w:t>אֶת־הַלֻּחֹת</w:t>
      </w:r>
      <w:r w:rsidRPr="00461277">
        <w:rPr>
          <w:rFonts w:eastAsia="Times New Roman"/>
          <w:rtl/>
          <w:lang w:eastAsia="de-DE"/>
        </w:rPr>
        <w:t xml:space="preserve"> </w:t>
      </w:r>
      <w:r w:rsidRPr="00461277">
        <w:rPr>
          <w:rFonts w:eastAsia="Times New Roman"/>
          <w:lang w:eastAsia="de-DE"/>
        </w:rPr>
        <w:t xml:space="preserve">als direktes Objekt, </w:t>
      </w:r>
      <w:r w:rsidRPr="00461277">
        <w:rPr>
          <w:rFonts w:eastAsia="Times New Roman"/>
          <w:b/>
          <w:bCs/>
          <w:rtl/>
          <w:lang w:eastAsia="de-DE"/>
        </w:rPr>
        <w:t>בָּאָרוֹן</w:t>
      </w:r>
      <w:r w:rsidRPr="00461277">
        <w:rPr>
          <w:rFonts w:eastAsia="Times New Roman"/>
          <w:rtl/>
          <w:lang w:eastAsia="de-DE"/>
        </w:rPr>
        <w:t xml:space="preserve"> </w:t>
      </w:r>
      <w:r w:rsidRPr="00461277">
        <w:rPr>
          <w:rFonts w:eastAsia="Times New Roman"/>
          <w:lang w:eastAsia="de-DE"/>
        </w:rPr>
        <w:t xml:space="preserve">als Ortsangabe, </w:t>
      </w:r>
      <w:r w:rsidRPr="00461277">
        <w:rPr>
          <w:rFonts w:eastAsia="Times New Roman"/>
          <w:b/>
          <w:bCs/>
          <w:rtl/>
          <w:lang w:eastAsia="de-DE"/>
        </w:rPr>
        <w:t>אֲשֶׁר עָשִׂיתִי</w:t>
      </w:r>
      <w:r w:rsidRPr="00461277">
        <w:rPr>
          <w:rFonts w:eastAsia="Times New Roman"/>
          <w:rtl/>
          <w:lang w:eastAsia="de-DE"/>
        </w:rPr>
        <w:t xml:space="preserve"> </w:t>
      </w:r>
      <w:r w:rsidRPr="00461277">
        <w:rPr>
          <w:rFonts w:eastAsia="Times New Roman"/>
          <w:lang w:eastAsia="de-DE"/>
        </w:rPr>
        <w:t xml:space="preserve">als Relativsatz (Qal Perfekt, 1. Person Singular von </w:t>
      </w:r>
      <w:r w:rsidRPr="00461277">
        <w:rPr>
          <w:rFonts w:eastAsia="Times New Roman"/>
          <w:b/>
          <w:bCs/>
          <w:rtl/>
          <w:lang w:eastAsia="de-DE"/>
        </w:rPr>
        <w:t>עשׂה</w:t>
      </w:r>
      <w:r w:rsidRPr="00461277">
        <w:rPr>
          <w:rFonts w:eastAsia="Times New Roman"/>
          <w:lang w:eastAsia="de-DE"/>
        </w:rPr>
        <w:t>, „machen").</w:t>
      </w:r>
    </w:p>
    <w:p w14:paraId="6B5595DD"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rtl/>
          <w:lang w:eastAsia="de-DE"/>
        </w:rPr>
        <w:t>וַיִּהְיוּ שָׁם כַּאֲשֶׁר צִוַּנִי יְהוָה</w:t>
      </w:r>
      <w:r w:rsidRPr="00461277">
        <w:rPr>
          <w:rFonts w:eastAsia="Times New Roman"/>
          <w:rtl/>
          <w:lang w:eastAsia="de-DE"/>
        </w:rPr>
        <w:t xml:space="preserve"> </w:t>
      </w:r>
      <w:r w:rsidRPr="00461277">
        <w:rPr>
          <w:rFonts w:eastAsia="Times New Roman"/>
          <w:lang w:eastAsia="de-DE"/>
        </w:rPr>
        <w:t xml:space="preserve">ist die Bestätigung: </w:t>
      </w:r>
      <w:r w:rsidRPr="00461277">
        <w:rPr>
          <w:rFonts w:eastAsia="Times New Roman"/>
          <w:b/>
          <w:bCs/>
          <w:rtl/>
          <w:lang w:eastAsia="de-DE"/>
        </w:rPr>
        <w:t>וַיִּהְיוּ</w:t>
      </w:r>
      <w:r w:rsidRPr="00461277">
        <w:rPr>
          <w:rFonts w:eastAsia="Times New Roman"/>
          <w:rtl/>
          <w:lang w:eastAsia="de-DE"/>
        </w:rPr>
        <w:t xml:space="preserve"> </w:t>
      </w:r>
      <w:r w:rsidRPr="00461277">
        <w:rPr>
          <w:rFonts w:eastAsia="Times New Roman"/>
          <w:lang w:eastAsia="de-DE"/>
        </w:rPr>
        <w:t xml:space="preserve">(Qal Imperfekt consecutivum, 3. Person Plural maskulin von </w:t>
      </w:r>
      <w:r w:rsidRPr="00461277">
        <w:rPr>
          <w:rFonts w:eastAsia="Times New Roman"/>
          <w:b/>
          <w:bCs/>
          <w:rtl/>
          <w:lang w:eastAsia="de-DE"/>
        </w:rPr>
        <w:t>היה</w:t>
      </w:r>
      <w:r w:rsidRPr="00461277">
        <w:rPr>
          <w:rFonts w:eastAsia="Times New Roman"/>
          <w:lang w:eastAsia="de-DE"/>
        </w:rPr>
        <w:t xml:space="preserve">, „sein", mit </w:t>
      </w:r>
      <w:r w:rsidRPr="00461277">
        <w:rPr>
          <w:rFonts w:eastAsia="Times New Roman"/>
          <w:b/>
          <w:bCs/>
          <w:rtl/>
          <w:lang w:eastAsia="de-DE"/>
        </w:rPr>
        <w:t>וְ</w:t>
      </w:r>
      <w:r w:rsidRPr="00461277">
        <w:rPr>
          <w:rFonts w:eastAsia="Times New Roman"/>
          <w:lang w:eastAsia="de-DE"/>
        </w:rPr>
        <w:t xml:space="preserve">), </w:t>
      </w:r>
      <w:r w:rsidRPr="00461277">
        <w:rPr>
          <w:rFonts w:eastAsia="Times New Roman"/>
          <w:b/>
          <w:bCs/>
          <w:rtl/>
          <w:lang w:eastAsia="de-DE"/>
        </w:rPr>
        <w:t>שָׁם</w:t>
      </w:r>
      <w:r w:rsidRPr="00461277">
        <w:rPr>
          <w:rFonts w:eastAsia="Times New Roman"/>
          <w:rtl/>
          <w:lang w:eastAsia="de-DE"/>
        </w:rPr>
        <w:t xml:space="preserve"> </w:t>
      </w:r>
      <w:r w:rsidRPr="00461277">
        <w:rPr>
          <w:rFonts w:eastAsia="Times New Roman"/>
          <w:lang w:eastAsia="de-DE"/>
        </w:rPr>
        <w:t xml:space="preserve">als Ortsangabe („dort"), </w:t>
      </w:r>
      <w:r w:rsidRPr="00461277">
        <w:rPr>
          <w:rFonts w:eastAsia="Times New Roman"/>
          <w:b/>
          <w:bCs/>
          <w:rtl/>
          <w:lang w:eastAsia="de-DE"/>
        </w:rPr>
        <w:t>כַּאֲשֶׁר צִוַּנִי יְהוָה</w:t>
      </w:r>
      <w:r w:rsidRPr="00461277">
        <w:rPr>
          <w:rFonts w:eastAsia="Times New Roman"/>
          <w:rtl/>
          <w:lang w:eastAsia="de-DE"/>
        </w:rPr>
        <w:t xml:space="preserve"> </w:t>
      </w:r>
      <w:r w:rsidRPr="00461277">
        <w:rPr>
          <w:rFonts w:eastAsia="Times New Roman"/>
          <w:lang w:eastAsia="de-DE"/>
        </w:rPr>
        <w:t>als Vergleichskonstruktion (</w:t>
      </w:r>
      <w:r w:rsidRPr="00461277">
        <w:rPr>
          <w:rFonts w:eastAsia="Times New Roman"/>
          <w:b/>
          <w:bCs/>
          <w:rtl/>
          <w:lang w:eastAsia="de-DE"/>
        </w:rPr>
        <w:t>כַּאֲשֶׁר</w:t>
      </w:r>
      <w:r w:rsidRPr="00461277">
        <w:rPr>
          <w:rFonts w:eastAsia="Times New Roman"/>
          <w:lang w:eastAsia="de-DE"/>
        </w:rPr>
        <w:t xml:space="preserve">, „wie", mit Piel Perfekt, 3. Person Singular maskulin von </w:t>
      </w:r>
      <w:r w:rsidRPr="00461277">
        <w:rPr>
          <w:rFonts w:eastAsia="Times New Roman"/>
          <w:b/>
          <w:bCs/>
          <w:rtl/>
          <w:lang w:eastAsia="de-DE"/>
        </w:rPr>
        <w:t>צוה</w:t>
      </w:r>
      <w:r w:rsidRPr="00461277">
        <w:rPr>
          <w:rFonts w:eastAsia="Times New Roman"/>
          <w:lang w:eastAsia="de-DE"/>
        </w:rPr>
        <w:t xml:space="preserve">, „befehlen", mit Suffix 1. Person Singular, </w:t>
      </w:r>
      <w:r w:rsidRPr="00461277">
        <w:rPr>
          <w:rFonts w:eastAsia="Times New Roman"/>
          <w:b/>
          <w:bCs/>
          <w:rtl/>
          <w:lang w:eastAsia="de-DE"/>
        </w:rPr>
        <w:t>יְהוָה</w:t>
      </w:r>
      <w:r w:rsidRPr="00461277">
        <w:rPr>
          <w:rFonts w:eastAsia="Times New Roman"/>
          <w:rtl/>
          <w:lang w:eastAsia="de-DE"/>
        </w:rPr>
        <w:t xml:space="preserve"> </w:t>
      </w:r>
      <w:r w:rsidRPr="00461277">
        <w:rPr>
          <w:rFonts w:eastAsia="Times New Roman"/>
          <w:lang w:eastAsia="de-DE"/>
        </w:rPr>
        <w:t>als Subjekt).</w:t>
      </w:r>
    </w:p>
    <w:p w14:paraId="4D633C31"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lang w:eastAsia="de-DE"/>
        </w:rPr>
        <w:t xml:space="preserve">Der Vers schließt die Tafel-Episode ab. Die zweigliedrige Verbkette </w:t>
      </w:r>
      <w:r w:rsidRPr="00461277">
        <w:rPr>
          <w:rFonts w:eastAsia="Times New Roman"/>
          <w:b/>
          <w:bCs/>
          <w:rtl/>
          <w:lang w:eastAsia="de-DE"/>
        </w:rPr>
        <w:t>וָאֵפֶן וָאֵרֵד</w:t>
      </w:r>
      <w:r w:rsidRPr="00461277">
        <w:rPr>
          <w:rFonts w:eastAsia="Times New Roman"/>
          <w:rtl/>
          <w:lang w:eastAsia="de-DE"/>
        </w:rPr>
        <w:t xml:space="preserve"> </w:t>
      </w:r>
      <w:r w:rsidRPr="00461277">
        <w:rPr>
          <w:rFonts w:eastAsia="Times New Roman"/>
          <w:lang w:eastAsia="de-DE"/>
        </w:rPr>
        <w:t xml:space="preserve">entspricht 9,15. Die Ausführung </w:t>
      </w:r>
      <w:r w:rsidRPr="00461277">
        <w:rPr>
          <w:rFonts w:eastAsia="Times New Roman"/>
          <w:b/>
          <w:bCs/>
          <w:rtl/>
          <w:lang w:eastAsia="de-DE"/>
        </w:rPr>
        <w:t>וָאָשִׂם אֶת־הַלֻּחֹת בָּאָרוֹן</w:t>
      </w:r>
      <w:r w:rsidRPr="00461277">
        <w:rPr>
          <w:rFonts w:eastAsia="Times New Roman"/>
          <w:rtl/>
          <w:lang w:eastAsia="de-DE"/>
        </w:rPr>
        <w:t xml:space="preserve"> </w:t>
      </w:r>
      <w:r w:rsidRPr="00461277">
        <w:rPr>
          <w:rFonts w:eastAsia="Times New Roman"/>
          <w:lang w:eastAsia="de-DE"/>
        </w:rPr>
        <w:t xml:space="preserve">erfüllt JHWHs Befehl aus V. 2. Die Bestätigung </w:t>
      </w:r>
      <w:r w:rsidRPr="00461277">
        <w:rPr>
          <w:rFonts w:eastAsia="Times New Roman"/>
          <w:b/>
          <w:bCs/>
          <w:rtl/>
          <w:lang w:eastAsia="de-DE"/>
        </w:rPr>
        <w:t>וַיִּהְיוּ שָׁם</w:t>
      </w:r>
      <w:r w:rsidRPr="00461277">
        <w:rPr>
          <w:rFonts w:eastAsia="Times New Roman"/>
          <w:rtl/>
          <w:lang w:eastAsia="de-DE"/>
        </w:rPr>
        <w:t xml:space="preserve"> </w:t>
      </w:r>
      <w:r w:rsidRPr="00461277">
        <w:rPr>
          <w:rFonts w:eastAsia="Times New Roman"/>
          <w:lang w:eastAsia="de-DE"/>
        </w:rPr>
        <w:t xml:space="preserve">(„und sie sind dort") impliziert: Die Tafeln befinden sich noch immer in der Lade – zur Zeit der deuteronomischen Rede. Die abschließende Formel </w:t>
      </w:r>
      <w:r w:rsidRPr="00461277">
        <w:rPr>
          <w:rFonts w:eastAsia="Times New Roman"/>
          <w:b/>
          <w:bCs/>
          <w:rtl/>
          <w:lang w:eastAsia="de-DE"/>
        </w:rPr>
        <w:t>כַּאֲשֶׁר צִוַּנִי יְהוָה</w:t>
      </w:r>
      <w:r w:rsidRPr="00461277">
        <w:rPr>
          <w:rFonts w:eastAsia="Times New Roman"/>
          <w:rtl/>
          <w:lang w:eastAsia="de-DE"/>
        </w:rPr>
        <w:t xml:space="preserve"> </w:t>
      </w:r>
      <w:r w:rsidRPr="00461277">
        <w:rPr>
          <w:rFonts w:eastAsia="Times New Roman"/>
          <w:lang w:eastAsia="de-DE"/>
        </w:rPr>
        <w:t>betont Moses' Gehorsam.</w:t>
      </w:r>
    </w:p>
    <w:p w14:paraId="7308F5D8"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lang w:eastAsia="de-DE"/>
        </w:rPr>
        <w:t>Die Satzstruktur ist eine zweigliedrige koordinierte Verbkette mit Herkunftsangabe, gefolgt von einem Imperfekt consecutivum mit direktem Objekt, Ortsangabe und Relativsatz, abgeschlossen durch ein weiteres Imperfekt consecutivum mit Ortsangabe und Vergleichskonstruktion.</w:t>
      </w:r>
    </w:p>
    <w:p w14:paraId="39CC5BB3"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lang w:eastAsia="de-DE"/>
        </w:rPr>
        <w:t>Der Vers schließt die Episode ab: Ich wandte mich und stieg vom Berg herab, legte die Tafeln in die Lade, die ich gemacht hatte – und sie sind dort, wie JHWH mir geboten hat.</w:t>
      </w:r>
    </w:p>
    <w:p w14:paraId="6FE6C228" w14:textId="77777777" w:rsidR="00461277" w:rsidRPr="00461277" w:rsidRDefault="00461277" w:rsidP="00461277">
      <w:pPr>
        <w:spacing w:before="100" w:beforeAutospacing="1" w:after="100" w:afterAutospacing="1" w:line="240" w:lineRule="auto"/>
        <w:outlineLvl w:val="1"/>
        <w:rPr>
          <w:rFonts w:eastAsia="Times New Roman"/>
          <w:b/>
          <w:bCs/>
          <w:sz w:val="36"/>
          <w:szCs w:val="36"/>
          <w:lang w:eastAsia="de-DE"/>
        </w:rPr>
      </w:pPr>
      <w:r w:rsidRPr="00461277">
        <w:rPr>
          <w:rFonts w:eastAsia="Times New Roman"/>
          <w:b/>
          <w:bCs/>
          <w:sz w:val="36"/>
          <w:szCs w:val="36"/>
          <w:lang w:eastAsia="de-DE"/>
        </w:rPr>
        <w:t>Deuteronomium 10,6</w:t>
      </w:r>
    </w:p>
    <w:p w14:paraId="02B37A76"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lang w:eastAsia="de-DE"/>
        </w:rPr>
        <w:t>Hebräisch:</w:t>
      </w:r>
      <w:r w:rsidRPr="00461277">
        <w:rPr>
          <w:rFonts w:eastAsia="Times New Roman"/>
          <w:lang w:eastAsia="de-DE"/>
        </w:rPr>
        <w:t xml:space="preserve"> </w:t>
      </w:r>
      <w:r w:rsidRPr="00461277">
        <w:rPr>
          <w:rFonts w:eastAsia="Times New Roman"/>
          <w:rtl/>
          <w:lang w:eastAsia="de-DE"/>
        </w:rPr>
        <w:t>וּבְנֵ֣י יִשְׂרָאֵ֗ל נָֽסְע֛וּ מִבְּאֵרֹ֥ת בְּנֵי־יַעֲקָ֖ן מוֹסֵרָ֑ה שָׁ֣ם מֵ֤ת אַהֲרֹן֙ וַיִּקָּבֵ֣ר שָׁ֔ם וַיְכַהֵ֛ן אֶלְעָזָ֥ר בְּנֹ֖ו תַּחְתָּֽיו׃</w:t>
      </w:r>
    </w:p>
    <w:p w14:paraId="3A6DB325"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lang w:eastAsia="de-DE"/>
        </w:rPr>
        <w:t>Deutsch:</w:t>
      </w:r>
      <w:r w:rsidRPr="00461277">
        <w:rPr>
          <w:rFonts w:eastAsia="Times New Roman"/>
          <w:lang w:eastAsia="de-DE"/>
        </w:rPr>
        <w:t xml:space="preserve"> Und die Kinder Jisra'el brachen auf von Be'erot-Bene-Ja'akan nach Mosera. Dort starb 'Aharon, und er wurde dort begraben; und El'asar, sein Sohn, übte den Priesterdienst an seiner Stelle aus.</w:t>
      </w:r>
    </w:p>
    <w:p w14:paraId="1D7E67B7" w14:textId="77777777" w:rsidR="00461277" w:rsidRPr="00461277" w:rsidRDefault="004F5CEB" w:rsidP="00461277">
      <w:pPr>
        <w:spacing w:after="0" w:line="240" w:lineRule="auto"/>
        <w:rPr>
          <w:rFonts w:eastAsia="Times New Roman"/>
          <w:lang w:eastAsia="de-DE"/>
        </w:rPr>
      </w:pPr>
      <w:r>
        <w:rPr>
          <w:rFonts w:eastAsia="Times New Roman"/>
          <w:noProof/>
          <w:lang w:eastAsia="de-DE"/>
        </w:rPr>
        <w:pict w14:anchorId="6E36F02F">
          <v:rect id="_x0000_i1324" style="width:0;height:1.5pt" o:hralign="center" o:hrstd="t" o:hr="t" fillcolor="#a0a0a0" stroked="f"/>
        </w:pict>
      </w:r>
    </w:p>
    <w:p w14:paraId="155D96B9"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lang w:eastAsia="de-DE"/>
        </w:rPr>
        <w:t>Kommentar:</w:t>
      </w:r>
      <w:r w:rsidRPr="00461277">
        <w:rPr>
          <w:rFonts w:eastAsia="Times New Roman"/>
          <w:lang w:eastAsia="de-DE"/>
        </w:rPr>
        <w:t xml:space="preserve"> </w:t>
      </w:r>
      <w:r w:rsidRPr="00461277">
        <w:rPr>
          <w:rFonts w:eastAsia="Times New Roman"/>
          <w:b/>
          <w:bCs/>
          <w:rtl/>
          <w:lang w:eastAsia="de-DE"/>
        </w:rPr>
        <w:t>וּבְנֵי יִשְׂרָאֵל נָסְעוּ מִבְּאֵרֹת בְּנֵי־יַעֲקָן מוֹסֵרָה</w:t>
      </w:r>
      <w:r w:rsidRPr="00461277">
        <w:rPr>
          <w:rFonts w:eastAsia="Times New Roman"/>
          <w:rtl/>
          <w:lang w:eastAsia="de-DE"/>
        </w:rPr>
        <w:t xml:space="preserve"> </w:t>
      </w:r>
      <w:r w:rsidRPr="00461277">
        <w:rPr>
          <w:rFonts w:eastAsia="Times New Roman"/>
          <w:lang w:eastAsia="de-DE"/>
        </w:rPr>
        <w:t xml:space="preserve">ist die Reisenotiz: </w:t>
      </w:r>
      <w:r w:rsidRPr="00461277">
        <w:rPr>
          <w:rFonts w:eastAsia="Times New Roman"/>
          <w:b/>
          <w:bCs/>
          <w:rtl/>
          <w:lang w:eastAsia="de-DE"/>
        </w:rPr>
        <w:t>וּבְנֵי יִשְׂרָאֵל</w:t>
      </w:r>
      <w:r w:rsidRPr="00461277">
        <w:rPr>
          <w:rFonts w:eastAsia="Times New Roman"/>
          <w:rtl/>
          <w:lang w:eastAsia="de-DE"/>
        </w:rPr>
        <w:t xml:space="preserve"> </w:t>
      </w:r>
      <w:r w:rsidRPr="00461277">
        <w:rPr>
          <w:rFonts w:eastAsia="Times New Roman"/>
          <w:lang w:eastAsia="de-DE"/>
        </w:rPr>
        <w:t xml:space="preserve">als Subjekt (mit </w:t>
      </w:r>
      <w:r w:rsidRPr="00461277">
        <w:rPr>
          <w:rFonts w:eastAsia="Times New Roman"/>
          <w:b/>
          <w:bCs/>
          <w:rtl/>
          <w:lang w:eastAsia="de-DE"/>
        </w:rPr>
        <w:t>וְ</w:t>
      </w:r>
      <w:r w:rsidRPr="00461277">
        <w:rPr>
          <w:rFonts w:eastAsia="Times New Roman"/>
          <w:lang w:eastAsia="de-DE"/>
        </w:rPr>
        <w:t xml:space="preserve">), </w:t>
      </w:r>
      <w:r w:rsidRPr="00461277">
        <w:rPr>
          <w:rFonts w:eastAsia="Times New Roman"/>
          <w:b/>
          <w:bCs/>
          <w:rtl/>
          <w:lang w:eastAsia="de-DE"/>
        </w:rPr>
        <w:t>נָסְעוּ</w:t>
      </w:r>
      <w:r w:rsidRPr="00461277">
        <w:rPr>
          <w:rFonts w:eastAsia="Times New Roman"/>
          <w:rtl/>
          <w:lang w:eastAsia="de-DE"/>
        </w:rPr>
        <w:t xml:space="preserve"> </w:t>
      </w:r>
      <w:r w:rsidRPr="00461277">
        <w:rPr>
          <w:rFonts w:eastAsia="Times New Roman"/>
          <w:lang w:eastAsia="de-DE"/>
        </w:rPr>
        <w:t xml:space="preserve">als Qal Perfekt, 3. Person Plural von </w:t>
      </w:r>
      <w:r w:rsidRPr="00461277">
        <w:rPr>
          <w:rFonts w:eastAsia="Times New Roman"/>
          <w:b/>
          <w:bCs/>
          <w:rtl/>
          <w:lang w:eastAsia="de-DE"/>
        </w:rPr>
        <w:t>נסע</w:t>
      </w:r>
      <w:r w:rsidRPr="00461277">
        <w:rPr>
          <w:rFonts w:eastAsia="Times New Roman"/>
          <w:lang w:eastAsia="de-DE"/>
        </w:rPr>
        <w:t xml:space="preserve">, „aufbrechen, ziehen", </w:t>
      </w:r>
      <w:r w:rsidRPr="00461277">
        <w:rPr>
          <w:rFonts w:eastAsia="Times New Roman"/>
          <w:b/>
          <w:bCs/>
          <w:rtl/>
          <w:lang w:eastAsia="de-DE"/>
        </w:rPr>
        <w:t>מִבְּאֵרֹת בְּנֵי־יַעֲקָן</w:t>
      </w:r>
      <w:r w:rsidRPr="00461277">
        <w:rPr>
          <w:rFonts w:eastAsia="Times New Roman"/>
          <w:rtl/>
          <w:lang w:eastAsia="de-DE"/>
        </w:rPr>
        <w:t xml:space="preserve"> </w:t>
      </w:r>
      <w:r w:rsidRPr="00461277">
        <w:rPr>
          <w:rFonts w:eastAsia="Times New Roman"/>
          <w:lang w:eastAsia="de-DE"/>
        </w:rPr>
        <w:t>als Herkunftsangabe (</w:t>
      </w:r>
      <w:r w:rsidRPr="00461277">
        <w:rPr>
          <w:rFonts w:eastAsia="Times New Roman"/>
          <w:b/>
          <w:bCs/>
          <w:rtl/>
          <w:lang w:eastAsia="de-DE"/>
        </w:rPr>
        <w:t>מִן</w:t>
      </w:r>
      <w:r w:rsidRPr="00461277">
        <w:rPr>
          <w:rFonts w:eastAsia="Times New Roman"/>
          <w:rtl/>
          <w:lang w:eastAsia="de-DE"/>
        </w:rPr>
        <w:t xml:space="preserve"> </w:t>
      </w:r>
      <w:r w:rsidRPr="00461277">
        <w:rPr>
          <w:rFonts w:eastAsia="Times New Roman"/>
          <w:lang w:eastAsia="de-DE"/>
        </w:rPr>
        <w:t xml:space="preserve">mit </w:t>
      </w:r>
      <w:r w:rsidRPr="00461277">
        <w:rPr>
          <w:rFonts w:eastAsia="Times New Roman"/>
          <w:b/>
          <w:bCs/>
          <w:rtl/>
          <w:lang w:eastAsia="de-DE"/>
        </w:rPr>
        <w:t>בְּאֵר</w:t>
      </w:r>
      <w:r w:rsidRPr="00461277">
        <w:rPr>
          <w:rFonts w:eastAsia="Times New Roman"/>
          <w:lang w:eastAsia="de-DE"/>
        </w:rPr>
        <w:t xml:space="preserve">, „Brunnen", Plural Construct, </w:t>
      </w:r>
      <w:r w:rsidRPr="00461277">
        <w:rPr>
          <w:rFonts w:eastAsia="Times New Roman"/>
          <w:b/>
          <w:bCs/>
          <w:rtl/>
          <w:lang w:eastAsia="de-DE"/>
        </w:rPr>
        <w:t>בֵּן</w:t>
      </w:r>
      <w:r w:rsidRPr="00461277">
        <w:rPr>
          <w:rFonts w:eastAsia="Times New Roman"/>
          <w:lang w:eastAsia="de-DE"/>
        </w:rPr>
        <w:t xml:space="preserve">, Plural Construct, </w:t>
      </w:r>
      <w:r w:rsidRPr="00461277">
        <w:rPr>
          <w:rFonts w:eastAsia="Times New Roman"/>
          <w:b/>
          <w:bCs/>
          <w:rtl/>
          <w:lang w:eastAsia="de-DE"/>
        </w:rPr>
        <w:t>יַעֲקָן</w:t>
      </w:r>
      <w:r w:rsidRPr="00461277">
        <w:rPr>
          <w:rFonts w:eastAsia="Times New Roman"/>
          <w:rtl/>
          <w:lang w:eastAsia="de-DE"/>
        </w:rPr>
        <w:t xml:space="preserve"> </w:t>
      </w:r>
      <w:r w:rsidRPr="00461277">
        <w:rPr>
          <w:rFonts w:eastAsia="Times New Roman"/>
          <w:lang w:eastAsia="de-DE"/>
        </w:rPr>
        <w:t xml:space="preserve">als Eigenname – „Be'erot-Bene-Ja'akan" = „Brunnen der Söhne Ja'akans"), </w:t>
      </w:r>
      <w:r w:rsidRPr="00461277">
        <w:rPr>
          <w:rFonts w:eastAsia="Times New Roman"/>
          <w:b/>
          <w:bCs/>
          <w:rtl/>
          <w:lang w:eastAsia="de-DE"/>
        </w:rPr>
        <w:t>מוֹסֵרָה</w:t>
      </w:r>
      <w:r w:rsidRPr="00461277">
        <w:rPr>
          <w:rFonts w:eastAsia="Times New Roman"/>
          <w:rtl/>
          <w:lang w:eastAsia="de-DE"/>
        </w:rPr>
        <w:t xml:space="preserve"> </w:t>
      </w:r>
      <w:r w:rsidRPr="00461277">
        <w:rPr>
          <w:rFonts w:eastAsia="Times New Roman"/>
          <w:lang w:eastAsia="de-DE"/>
        </w:rPr>
        <w:t>als Zielangabe ohne Präposition (Ortsname – „Mosera").</w:t>
      </w:r>
    </w:p>
    <w:p w14:paraId="426BF65F"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rtl/>
          <w:lang w:eastAsia="de-DE"/>
        </w:rPr>
        <w:t>שָׁם מֵת אַהֲרֹן וַיִּקָּבֵר שָׁם</w:t>
      </w:r>
      <w:r w:rsidRPr="00461277">
        <w:rPr>
          <w:rFonts w:eastAsia="Times New Roman"/>
          <w:rtl/>
          <w:lang w:eastAsia="de-DE"/>
        </w:rPr>
        <w:t xml:space="preserve"> </w:t>
      </w:r>
      <w:r w:rsidRPr="00461277">
        <w:rPr>
          <w:rFonts w:eastAsia="Times New Roman"/>
          <w:lang w:eastAsia="de-DE"/>
        </w:rPr>
        <w:t xml:space="preserve">ist die erste Notiz über Aarons Tod: </w:t>
      </w:r>
      <w:r w:rsidRPr="00461277">
        <w:rPr>
          <w:rFonts w:eastAsia="Times New Roman"/>
          <w:b/>
          <w:bCs/>
          <w:rtl/>
          <w:lang w:eastAsia="de-DE"/>
        </w:rPr>
        <w:t>שָׁם</w:t>
      </w:r>
      <w:r w:rsidRPr="00461277">
        <w:rPr>
          <w:rFonts w:eastAsia="Times New Roman"/>
          <w:rtl/>
          <w:lang w:eastAsia="de-DE"/>
        </w:rPr>
        <w:t xml:space="preserve"> </w:t>
      </w:r>
      <w:r w:rsidRPr="00461277">
        <w:rPr>
          <w:rFonts w:eastAsia="Times New Roman"/>
          <w:lang w:eastAsia="de-DE"/>
        </w:rPr>
        <w:t xml:space="preserve">als Ortsangabe („dort"), </w:t>
      </w:r>
      <w:r w:rsidRPr="00461277">
        <w:rPr>
          <w:rFonts w:eastAsia="Times New Roman"/>
          <w:b/>
          <w:bCs/>
          <w:rtl/>
          <w:lang w:eastAsia="de-DE"/>
        </w:rPr>
        <w:t>מֵת</w:t>
      </w:r>
      <w:r w:rsidRPr="00461277">
        <w:rPr>
          <w:rFonts w:eastAsia="Times New Roman"/>
          <w:rtl/>
          <w:lang w:eastAsia="de-DE"/>
        </w:rPr>
        <w:t xml:space="preserve"> </w:t>
      </w:r>
      <w:r w:rsidRPr="00461277">
        <w:rPr>
          <w:rFonts w:eastAsia="Times New Roman"/>
          <w:lang w:eastAsia="de-DE"/>
        </w:rPr>
        <w:t xml:space="preserve">als Qal Perfekt, 3. Person Singular maskulin von </w:t>
      </w:r>
      <w:r w:rsidRPr="00461277">
        <w:rPr>
          <w:rFonts w:eastAsia="Times New Roman"/>
          <w:b/>
          <w:bCs/>
          <w:rtl/>
          <w:lang w:eastAsia="de-DE"/>
        </w:rPr>
        <w:t>מות</w:t>
      </w:r>
      <w:r w:rsidRPr="00461277">
        <w:rPr>
          <w:rFonts w:eastAsia="Times New Roman"/>
          <w:lang w:eastAsia="de-DE"/>
        </w:rPr>
        <w:t xml:space="preserve">, „sterben", </w:t>
      </w:r>
      <w:r w:rsidRPr="00461277">
        <w:rPr>
          <w:rFonts w:eastAsia="Times New Roman"/>
          <w:b/>
          <w:bCs/>
          <w:rtl/>
          <w:lang w:eastAsia="de-DE"/>
        </w:rPr>
        <w:t>אַהֲרֹן</w:t>
      </w:r>
      <w:r w:rsidRPr="00461277">
        <w:rPr>
          <w:rFonts w:eastAsia="Times New Roman"/>
          <w:rtl/>
          <w:lang w:eastAsia="de-DE"/>
        </w:rPr>
        <w:t xml:space="preserve"> </w:t>
      </w:r>
      <w:r w:rsidRPr="00461277">
        <w:rPr>
          <w:rFonts w:eastAsia="Times New Roman"/>
          <w:lang w:eastAsia="de-DE"/>
        </w:rPr>
        <w:t xml:space="preserve">als Subjekt, </w:t>
      </w:r>
      <w:r w:rsidRPr="00461277">
        <w:rPr>
          <w:rFonts w:eastAsia="Times New Roman"/>
          <w:b/>
          <w:bCs/>
          <w:rtl/>
          <w:lang w:eastAsia="de-DE"/>
        </w:rPr>
        <w:t>וַיִּקָּבֵר שָׁם</w:t>
      </w:r>
      <w:r w:rsidRPr="00461277">
        <w:rPr>
          <w:rFonts w:eastAsia="Times New Roman"/>
          <w:rtl/>
          <w:lang w:eastAsia="de-DE"/>
        </w:rPr>
        <w:t xml:space="preserve"> </w:t>
      </w:r>
      <w:r w:rsidRPr="00461277">
        <w:rPr>
          <w:rFonts w:eastAsia="Times New Roman"/>
          <w:lang w:eastAsia="de-DE"/>
        </w:rPr>
        <w:lastRenderedPageBreak/>
        <w:t xml:space="preserve">koordiniert (Nifal Imperfekt consecutivum, 3. Person Singular maskulin von </w:t>
      </w:r>
      <w:r w:rsidRPr="00461277">
        <w:rPr>
          <w:rFonts w:eastAsia="Times New Roman"/>
          <w:b/>
          <w:bCs/>
          <w:rtl/>
          <w:lang w:eastAsia="de-DE"/>
        </w:rPr>
        <w:t>קבר</w:t>
      </w:r>
      <w:r w:rsidRPr="00461277">
        <w:rPr>
          <w:rFonts w:eastAsia="Times New Roman"/>
          <w:lang w:eastAsia="de-DE"/>
        </w:rPr>
        <w:t xml:space="preserve">, „begraben" – im Nifal passivisch „begraben werden", mit </w:t>
      </w:r>
      <w:r w:rsidRPr="00461277">
        <w:rPr>
          <w:rFonts w:eastAsia="Times New Roman"/>
          <w:b/>
          <w:bCs/>
          <w:rtl/>
          <w:lang w:eastAsia="de-DE"/>
        </w:rPr>
        <w:t>וְ</w:t>
      </w:r>
      <w:r w:rsidRPr="00461277">
        <w:rPr>
          <w:rFonts w:eastAsia="Times New Roman"/>
          <w:rtl/>
          <w:lang w:eastAsia="de-DE"/>
        </w:rPr>
        <w:t xml:space="preserve"> </w:t>
      </w:r>
      <w:r w:rsidRPr="00461277">
        <w:rPr>
          <w:rFonts w:eastAsia="Times New Roman"/>
          <w:lang w:eastAsia="de-DE"/>
        </w:rPr>
        <w:t xml:space="preserve">und </w:t>
      </w:r>
      <w:r w:rsidRPr="00461277">
        <w:rPr>
          <w:rFonts w:eastAsia="Times New Roman"/>
          <w:b/>
          <w:bCs/>
          <w:rtl/>
          <w:lang w:eastAsia="de-DE"/>
        </w:rPr>
        <w:t>שָׁם</w:t>
      </w:r>
      <w:r w:rsidRPr="00461277">
        <w:rPr>
          <w:rFonts w:eastAsia="Times New Roman"/>
          <w:rtl/>
          <w:lang w:eastAsia="de-DE"/>
        </w:rPr>
        <w:t xml:space="preserve"> </w:t>
      </w:r>
      <w:r w:rsidRPr="00461277">
        <w:rPr>
          <w:rFonts w:eastAsia="Times New Roman"/>
          <w:lang w:eastAsia="de-DE"/>
        </w:rPr>
        <w:t>als Ortsangabe).</w:t>
      </w:r>
    </w:p>
    <w:p w14:paraId="42D77912"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rtl/>
          <w:lang w:eastAsia="de-DE"/>
        </w:rPr>
        <w:t>וַיְכַהֵן אֶלְעָזָר בְּנוֹ תַּחְתָּיו</w:t>
      </w:r>
      <w:r w:rsidRPr="00461277">
        <w:rPr>
          <w:rFonts w:eastAsia="Times New Roman"/>
          <w:rtl/>
          <w:lang w:eastAsia="de-DE"/>
        </w:rPr>
        <w:t xml:space="preserve"> </w:t>
      </w:r>
      <w:r w:rsidRPr="00461277">
        <w:rPr>
          <w:rFonts w:eastAsia="Times New Roman"/>
          <w:lang w:eastAsia="de-DE"/>
        </w:rPr>
        <w:t xml:space="preserve">ist die Nachfolgeregelung: </w:t>
      </w:r>
      <w:r w:rsidRPr="00461277">
        <w:rPr>
          <w:rFonts w:eastAsia="Times New Roman"/>
          <w:b/>
          <w:bCs/>
          <w:rtl/>
          <w:lang w:eastAsia="de-DE"/>
        </w:rPr>
        <w:t>וַיְכַהֵן</w:t>
      </w:r>
      <w:r w:rsidRPr="00461277">
        <w:rPr>
          <w:rFonts w:eastAsia="Times New Roman"/>
          <w:rtl/>
          <w:lang w:eastAsia="de-DE"/>
        </w:rPr>
        <w:t xml:space="preserve"> </w:t>
      </w:r>
      <w:r w:rsidRPr="00461277">
        <w:rPr>
          <w:rFonts w:eastAsia="Times New Roman"/>
          <w:lang w:eastAsia="de-DE"/>
        </w:rPr>
        <w:t xml:space="preserve">(Piel Imperfekt consecutivum, 3. Person Singular maskulin von </w:t>
      </w:r>
      <w:r w:rsidRPr="00461277">
        <w:rPr>
          <w:rFonts w:eastAsia="Times New Roman"/>
          <w:b/>
          <w:bCs/>
          <w:rtl/>
          <w:lang w:eastAsia="de-DE"/>
        </w:rPr>
        <w:t>כהן</w:t>
      </w:r>
      <w:r w:rsidRPr="00461277">
        <w:rPr>
          <w:rFonts w:eastAsia="Times New Roman"/>
          <w:lang w:eastAsia="de-DE"/>
        </w:rPr>
        <w:t xml:space="preserve">, „Priester sein, den Priesterdienst ausüben", mit </w:t>
      </w:r>
      <w:r w:rsidRPr="00461277">
        <w:rPr>
          <w:rFonts w:eastAsia="Times New Roman"/>
          <w:b/>
          <w:bCs/>
          <w:rtl/>
          <w:lang w:eastAsia="de-DE"/>
        </w:rPr>
        <w:t>וְ</w:t>
      </w:r>
      <w:r w:rsidRPr="00461277">
        <w:rPr>
          <w:rFonts w:eastAsia="Times New Roman"/>
          <w:lang w:eastAsia="de-DE"/>
        </w:rPr>
        <w:t xml:space="preserve">), </w:t>
      </w:r>
      <w:r w:rsidRPr="00461277">
        <w:rPr>
          <w:rFonts w:eastAsia="Times New Roman"/>
          <w:b/>
          <w:bCs/>
          <w:rtl/>
          <w:lang w:eastAsia="de-DE"/>
        </w:rPr>
        <w:t>אֶלְעָזָר בְּנוֹ</w:t>
      </w:r>
      <w:r w:rsidRPr="00461277">
        <w:rPr>
          <w:rFonts w:eastAsia="Times New Roman"/>
          <w:rtl/>
          <w:lang w:eastAsia="de-DE"/>
        </w:rPr>
        <w:t xml:space="preserve"> </w:t>
      </w:r>
      <w:r w:rsidRPr="00461277">
        <w:rPr>
          <w:rFonts w:eastAsia="Times New Roman"/>
          <w:lang w:eastAsia="de-DE"/>
        </w:rPr>
        <w:t>als Subjekt (</w:t>
      </w:r>
      <w:r w:rsidRPr="00461277">
        <w:rPr>
          <w:rFonts w:eastAsia="Times New Roman"/>
          <w:b/>
          <w:bCs/>
          <w:rtl/>
          <w:lang w:eastAsia="de-DE"/>
        </w:rPr>
        <w:t>אֶלְעָזָר</w:t>
      </w:r>
      <w:r w:rsidRPr="00461277">
        <w:rPr>
          <w:rFonts w:eastAsia="Times New Roman"/>
          <w:rtl/>
          <w:lang w:eastAsia="de-DE"/>
        </w:rPr>
        <w:t xml:space="preserve"> </w:t>
      </w:r>
      <w:r w:rsidRPr="00461277">
        <w:rPr>
          <w:rFonts w:eastAsia="Times New Roman"/>
          <w:lang w:eastAsia="de-DE"/>
        </w:rPr>
        <w:t xml:space="preserve">als Eigenname, </w:t>
      </w:r>
      <w:r w:rsidRPr="00461277">
        <w:rPr>
          <w:rFonts w:eastAsia="Times New Roman"/>
          <w:b/>
          <w:bCs/>
          <w:rtl/>
          <w:lang w:eastAsia="de-DE"/>
        </w:rPr>
        <w:t>בֵּן</w:t>
      </w:r>
      <w:r w:rsidRPr="00461277">
        <w:rPr>
          <w:rFonts w:eastAsia="Times New Roman"/>
          <w:rtl/>
          <w:lang w:eastAsia="de-DE"/>
        </w:rPr>
        <w:t xml:space="preserve"> </w:t>
      </w:r>
      <w:r w:rsidRPr="00461277">
        <w:rPr>
          <w:rFonts w:eastAsia="Times New Roman"/>
          <w:lang w:eastAsia="de-DE"/>
        </w:rPr>
        <w:t xml:space="preserve">mit Suffix 3. Person Singular maskulin – „El'asar, sein Sohn"), </w:t>
      </w:r>
      <w:r w:rsidRPr="00461277">
        <w:rPr>
          <w:rFonts w:eastAsia="Times New Roman"/>
          <w:b/>
          <w:bCs/>
          <w:rtl/>
          <w:lang w:eastAsia="de-DE"/>
        </w:rPr>
        <w:t>תַּחְתָּיו</w:t>
      </w:r>
      <w:r w:rsidRPr="00461277">
        <w:rPr>
          <w:rFonts w:eastAsia="Times New Roman"/>
          <w:rtl/>
          <w:lang w:eastAsia="de-DE"/>
        </w:rPr>
        <w:t xml:space="preserve"> </w:t>
      </w:r>
      <w:r w:rsidRPr="00461277">
        <w:rPr>
          <w:rFonts w:eastAsia="Times New Roman"/>
          <w:lang w:eastAsia="de-DE"/>
        </w:rPr>
        <w:t>als Ortsangabe (</w:t>
      </w:r>
      <w:r w:rsidRPr="00461277">
        <w:rPr>
          <w:rFonts w:eastAsia="Times New Roman"/>
          <w:b/>
          <w:bCs/>
          <w:rtl/>
          <w:lang w:eastAsia="de-DE"/>
        </w:rPr>
        <w:t>תַּחַת</w:t>
      </w:r>
      <w:r w:rsidRPr="00461277">
        <w:rPr>
          <w:rFonts w:eastAsia="Times New Roman"/>
          <w:rtl/>
          <w:lang w:eastAsia="de-DE"/>
        </w:rPr>
        <w:t xml:space="preserve"> </w:t>
      </w:r>
      <w:r w:rsidRPr="00461277">
        <w:rPr>
          <w:rFonts w:eastAsia="Times New Roman"/>
          <w:lang w:eastAsia="de-DE"/>
        </w:rPr>
        <w:t>mit Suffix 3. Person Singular maskulin – „an seiner Stelle, statt ihm").</w:t>
      </w:r>
    </w:p>
    <w:p w14:paraId="5F4C8A38"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lang w:eastAsia="de-DE"/>
        </w:rPr>
        <w:t xml:space="preserve">Der Vers ist ein parenthetischer Einschub, der chronologisch und thematisch nicht zur unmittelbaren Erzählung gehört – er unterbricht die Tafel-Erzählung. Die Reisenotiz entspricht den Itinerarien in Numeri 33. Die Angabe über Aarons Tod ist problematisch: Nach Num 20,22-29 und 33,38 starb Aaron auf dem Berg Hor, nicht in Mosera. Möglicherweise sind </w:t>
      </w:r>
      <w:r w:rsidRPr="00461277">
        <w:rPr>
          <w:rFonts w:eastAsia="Times New Roman"/>
          <w:b/>
          <w:bCs/>
          <w:rtl/>
          <w:lang w:eastAsia="de-DE"/>
        </w:rPr>
        <w:t>מוֹסֵרָה</w:t>
      </w:r>
      <w:r w:rsidRPr="00461277">
        <w:rPr>
          <w:rFonts w:eastAsia="Times New Roman"/>
          <w:rtl/>
          <w:lang w:eastAsia="de-DE"/>
        </w:rPr>
        <w:t xml:space="preserve"> </w:t>
      </w:r>
      <w:r w:rsidRPr="00461277">
        <w:rPr>
          <w:rFonts w:eastAsia="Times New Roman"/>
          <w:lang w:eastAsia="de-DE"/>
        </w:rPr>
        <w:t xml:space="preserve">und </w:t>
      </w:r>
      <w:r w:rsidRPr="00461277">
        <w:rPr>
          <w:rFonts w:eastAsia="Times New Roman"/>
          <w:b/>
          <w:bCs/>
          <w:rtl/>
          <w:lang w:eastAsia="de-DE"/>
        </w:rPr>
        <w:t>הֹר הָהָר</w:t>
      </w:r>
      <w:r w:rsidRPr="00461277">
        <w:rPr>
          <w:rFonts w:eastAsia="Times New Roman"/>
          <w:rtl/>
          <w:lang w:eastAsia="de-DE"/>
        </w:rPr>
        <w:t xml:space="preserve"> </w:t>
      </w:r>
      <w:r w:rsidRPr="00461277">
        <w:rPr>
          <w:rFonts w:eastAsia="Times New Roman"/>
          <w:lang w:eastAsia="de-DE"/>
        </w:rPr>
        <w:t xml:space="preserve">alternative Namen für denselben Ort, oder es handelt sich um unterschiedliche Traditionen. Die Formulierung </w:t>
      </w:r>
      <w:r w:rsidRPr="00461277">
        <w:rPr>
          <w:rFonts w:eastAsia="Times New Roman"/>
          <w:b/>
          <w:bCs/>
          <w:rtl/>
          <w:lang w:eastAsia="de-DE"/>
        </w:rPr>
        <w:t>וַיְכַהֵן אֶלְעָזָר בְּנוֹ תַּחְתָּיו</w:t>
      </w:r>
      <w:r w:rsidRPr="00461277">
        <w:rPr>
          <w:rFonts w:eastAsia="Times New Roman"/>
          <w:rtl/>
          <w:lang w:eastAsia="de-DE"/>
        </w:rPr>
        <w:t xml:space="preserve"> </w:t>
      </w:r>
      <w:r w:rsidRPr="00461277">
        <w:rPr>
          <w:rFonts w:eastAsia="Times New Roman"/>
          <w:lang w:eastAsia="de-DE"/>
        </w:rPr>
        <w:t>ist die klassische Nachfolgeformel (vgl. Num 20,28).</w:t>
      </w:r>
    </w:p>
    <w:p w14:paraId="165F68A7"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lang w:eastAsia="de-DE"/>
        </w:rPr>
        <w:t xml:space="preserve">Die V. 6-7 bilden einen Einschub, der möglicherweise eingefügt wurde, weil in V. 8 </w:t>
      </w:r>
      <w:r w:rsidRPr="00461277">
        <w:rPr>
          <w:rFonts w:eastAsia="Times New Roman"/>
          <w:b/>
          <w:bCs/>
          <w:rtl/>
          <w:lang w:eastAsia="de-DE"/>
        </w:rPr>
        <w:t>בָּעֵת הַהִוא</w:t>
      </w:r>
      <w:r w:rsidRPr="00461277">
        <w:rPr>
          <w:rFonts w:eastAsia="Times New Roman"/>
          <w:rtl/>
          <w:lang w:eastAsia="de-DE"/>
        </w:rPr>
        <w:t xml:space="preserve"> </w:t>
      </w:r>
      <w:r w:rsidRPr="00461277">
        <w:rPr>
          <w:rFonts w:eastAsia="Times New Roman"/>
          <w:lang w:eastAsia="de-DE"/>
        </w:rPr>
        <w:t>(„in jener Zeit") steht – dies könnte als Anlass gedient haben, weitere Ereignisse „aus jener Zeit" einzufügen. Eine andere Erklärung: Der Einschub dient dazu, die levitische Erblosigkeit (V. 9) zu kontextualisieren.</w:t>
      </w:r>
    </w:p>
    <w:p w14:paraId="653E8E21"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lang w:eastAsia="de-DE"/>
        </w:rPr>
        <w:t>Die Satzstruktur ist ein Satz mit Subjekt, Prädikat und Herkunfts- bzw. Zielangabe, gefolgt von zwei koordinierten Sätzen (beide mit Ortsangabe, der zweite passivisch) und einem weiteren koordinierten Satz mit Prädikat, erweitertem Subjekt und Ortsangabe.</w:t>
      </w:r>
    </w:p>
    <w:p w14:paraId="2BDF826C"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lang w:eastAsia="de-DE"/>
        </w:rPr>
        <w:t>Der Vers ist ein parenthetischer Einschub: Die Israeliten brachen von Be'erot-Bene-Ja'akan nach Mosera auf. Dort starb Aaron und wurde begraben; sein Sohn El'asar übernahm den Priesterdienst.</w:t>
      </w:r>
    </w:p>
    <w:p w14:paraId="389B3B6E" w14:textId="77777777" w:rsidR="00461277" w:rsidRPr="00461277" w:rsidRDefault="00461277" w:rsidP="00461277">
      <w:pPr>
        <w:spacing w:before="100" w:beforeAutospacing="1" w:after="100" w:afterAutospacing="1" w:line="240" w:lineRule="auto"/>
        <w:outlineLvl w:val="1"/>
        <w:rPr>
          <w:rFonts w:eastAsia="Times New Roman"/>
          <w:b/>
          <w:bCs/>
          <w:sz w:val="36"/>
          <w:szCs w:val="36"/>
          <w:lang w:eastAsia="de-DE"/>
        </w:rPr>
      </w:pPr>
      <w:r w:rsidRPr="00461277">
        <w:rPr>
          <w:rFonts w:eastAsia="Times New Roman"/>
          <w:b/>
          <w:bCs/>
          <w:sz w:val="36"/>
          <w:szCs w:val="36"/>
          <w:lang w:eastAsia="de-DE"/>
        </w:rPr>
        <w:t>Deuteronomium 10,7</w:t>
      </w:r>
    </w:p>
    <w:p w14:paraId="3643CEC4"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lang w:eastAsia="de-DE"/>
        </w:rPr>
        <w:t>Hebräisch:</w:t>
      </w:r>
      <w:r w:rsidRPr="00461277">
        <w:rPr>
          <w:rFonts w:eastAsia="Times New Roman"/>
          <w:lang w:eastAsia="de-DE"/>
        </w:rPr>
        <w:t xml:space="preserve"> </w:t>
      </w:r>
      <w:r w:rsidRPr="00461277">
        <w:rPr>
          <w:rFonts w:eastAsia="Times New Roman"/>
          <w:rtl/>
          <w:lang w:eastAsia="de-DE"/>
        </w:rPr>
        <w:t>מִשָּׁ֥ם נָסְע֖וּ הַגֻּדְגֹּ֑דָה וּמִן־הַגֻּדְגֹּ֣דָה יָטְבָ֔תָה אֶ֖רֶץ נַֽחֲלֵי מָֽיִם׃</w:t>
      </w:r>
    </w:p>
    <w:p w14:paraId="62600CF1"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lang w:eastAsia="de-DE"/>
        </w:rPr>
        <w:t>Deutsch:</w:t>
      </w:r>
      <w:r w:rsidRPr="00461277">
        <w:rPr>
          <w:rFonts w:eastAsia="Times New Roman"/>
          <w:lang w:eastAsia="de-DE"/>
        </w:rPr>
        <w:t xml:space="preserve"> Von dort brachen sie auf nach Gudgoda, und von Gudgoda nach Jotvata, einem Land mit Wasserbächen.</w:t>
      </w:r>
    </w:p>
    <w:p w14:paraId="19DD6E4B" w14:textId="77777777" w:rsidR="00461277" w:rsidRPr="00461277" w:rsidRDefault="004F5CEB" w:rsidP="00461277">
      <w:pPr>
        <w:spacing w:after="0" w:line="240" w:lineRule="auto"/>
        <w:rPr>
          <w:rFonts w:eastAsia="Times New Roman"/>
          <w:lang w:eastAsia="de-DE"/>
        </w:rPr>
      </w:pPr>
      <w:r>
        <w:rPr>
          <w:rFonts w:eastAsia="Times New Roman"/>
          <w:noProof/>
          <w:lang w:eastAsia="de-DE"/>
        </w:rPr>
        <w:pict w14:anchorId="4CA93ECC">
          <v:rect id="_x0000_i1325" style="width:0;height:1.5pt" o:hralign="center" o:hrstd="t" o:hr="t" fillcolor="#a0a0a0" stroked="f"/>
        </w:pict>
      </w:r>
    </w:p>
    <w:p w14:paraId="5EDCE692"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lang w:eastAsia="de-DE"/>
        </w:rPr>
        <w:t>Kommentar:</w:t>
      </w:r>
      <w:r w:rsidRPr="00461277">
        <w:rPr>
          <w:rFonts w:eastAsia="Times New Roman"/>
          <w:lang w:eastAsia="de-DE"/>
        </w:rPr>
        <w:t xml:space="preserve"> </w:t>
      </w:r>
      <w:r w:rsidRPr="00461277">
        <w:rPr>
          <w:rFonts w:eastAsia="Times New Roman"/>
          <w:b/>
          <w:bCs/>
          <w:rtl/>
          <w:lang w:eastAsia="de-DE"/>
        </w:rPr>
        <w:t>מִשָּׁם נָסְעוּ הַגֻּדְגֹּדָה</w:t>
      </w:r>
      <w:r w:rsidRPr="00461277">
        <w:rPr>
          <w:rFonts w:eastAsia="Times New Roman"/>
          <w:rtl/>
          <w:lang w:eastAsia="de-DE"/>
        </w:rPr>
        <w:t xml:space="preserve"> </w:t>
      </w:r>
      <w:r w:rsidRPr="00461277">
        <w:rPr>
          <w:rFonts w:eastAsia="Times New Roman"/>
          <w:lang w:eastAsia="de-DE"/>
        </w:rPr>
        <w:t xml:space="preserve">ist die erste Reisestation: </w:t>
      </w:r>
      <w:r w:rsidRPr="00461277">
        <w:rPr>
          <w:rFonts w:eastAsia="Times New Roman"/>
          <w:b/>
          <w:bCs/>
          <w:rtl/>
          <w:lang w:eastAsia="de-DE"/>
        </w:rPr>
        <w:t>מִשָּׁם</w:t>
      </w:r>
      <w:r w:rsidRPr="00461277">
        <w:rPr>
          <w:rFonts w:eastAsia="Times New Roman"/>
          <w:rtl/>
          <w:lang w:eastAsia="de-DE"/>
        </w:rPr>
        <w:t xml:space="preserve"> </w:t>
      </w:r>
      <w:r w:rsidRPr="00461277">
        <w:rPr>
          <w:rFonts w:eastAsia="Times New Roman"/>
          <w:lang w:eastAsia="de-DE"/>
        </w:rPr>
        <w:t>als Herkunftsangabe (</w:t>
      </w:r>
      <w:r w:rsidRPr="00461277">
        <w:rPr>
          <w:rFonts w:eastAsia="Times New Roman"/>
          <w:b/>
          <w:bCs/>
          <w:rtl/>
          <w:lang w:eastAsia="de-DE"/>
        </w:rPr>
        <w:t>מִן</w:t>
      </w:r>
      <w:r w:rsidRPr="00461277">
        <w:rPr>
          <w:rFonts w:eastAsia="Times New Roman"/>
          <w:rtl/>
          <w:lang w:eastAsia="de-DE"/>
        </w:rPr>
        <w:t xml:space="preserve"> </w:t>
      </w:r>
      <w:r w:rsidRPr="00461277">
        <w:rPr>
          <w:rFonts w:eastAsia="Times New Roman"/>
          <w:lang w:eastAsia="de-DE"/>
        </w:rPr>
        <w:t xml:space="preserve">mit </w:t>
      </w:r>
      <w:r w:rsidRPr="00461277">
        <w:rPr>
          <w:rFonts w:eastAsia="Times New Roman"/>
          <w:b/>
          <w:bCs/>
          <w:rtl/>
          <w:lang w:eastAsia="de-DE"/>
        </w:rPr>
        <w:t>שָׁם</w:t>
      </w:r>
      <w:r w:rsidRPr="00461277">
        <w:rPr>
          <w:rFonts w:eastAsia="Times New Roman"/>
          <w:rtl/>
          <w:lang w:eastAsia="de-DE"/>
        </w:rPr>
        <w:t xml:space="preserve"> </w:t>
      </w:r>
      <w:r w:rsidRPr="00461277">
        <w:rPr>
          <w:rFonts w:eastAsia="Times New Roman"/>
          <w:lang w:eastAsia="de-DE"/>
        </w:rPr>
        <w:t xml:space="preserve">– „von dort"), </w:t>
      </w:r>
      <w:r w:rsidRPr="00461277">
        <w:rPr>
          <w:rFonts w:eastAsia="Times New Roman"/>
          <w:b/>
          <w:bCs/>
          <w:rtl/>
          <w:lang w:eastAsia="de-DE"/>
        </w:rPr>
        <w:t>נָסְעוּ</w:t>
      </w:r>
      <w:r w:rsidRPr="00461277">
        <w:rPr>
          <w:rFonts w:eastAsia="Times New Roman"/>
          <w:rtl/>
          <w:lang w:eastAsia="de-DE"/>
        </w:rPr>
        <w:t xml:space="preserve"> </w:t>
      </w:r>
      <w:r w:rsidRPr="00461277">
        <w:rPr>
          <w:rFonts w:eastAsia="Times New Roman"/>
          <w:lang w:eastAsia="de-DE"/>
        </w:rPr>
        <w:t xml:space="preserve">als Qal Perfekt, 3. Person Plural von </w:t>
      </w:r>
      <w:r w:rsidRPr="00461277">
        <w:rPr>
          <w:rFonts w:eastAsia="Times New Roman"/>
          <w:b/>
          <w:bCs/>
          <w:rtl/>
          <w:lang w:eastAsia="de-DE"/>
        </w:rPr>
        <w:t>נסע</w:t>
      </w:r>
      <w:r w:rsidRPr="00461277">
        <w:rPr>
          <w:rFonts w:eastAsia="Times New Roman"/>
          <w:lang w:eastAsia="de-DE"/>
        </w:rPr>
        <w:t xml:space="preserve">, „aufbrechen" (Subjekt ist implizit „die Israeliten" aus V. 6), </w:t>
      </w:r>
      <w:r w:rsidRPr="00461277">
        <w:rPr>
          <w:rFonts w:eastAsia="Times New Roman"/>
          <w:b/>
          <w:bCs/>
          <w:rtl/>
          <w:lang w:eastAsia="de-DE"/>
        </w:rPr>
        <w:t>הַגֻּדְגֹּדָה</w:t>
      </w:r>
      <w:r w:rsidRPr="00461277">
        <w:rPr>
          <w:rFonts w:eastAsia="Times New Roman"/>
          <w:rtl/>
          <w:lang w:eastAsia="de-DE"/>
        </w:rPr>
        <w:t xml:space="preserve"> </w:t>
      </w:r>
      <w:r w:rsidRPr="00461277">
        <w:rPr>
          <w:rFonts w:eastAsia="Times New Roman"/>
          <w:lang w:eastAsia="de-DE"/>
        </w:rPr>
        <w:t>als Zielangabe ohne Präposition (Ortsname mit Artikel und Lokativ-He – „nach Gudgoda").</w:t>
      </w:r>
    </w:p>
    <w:p w14:paraId="5B865923"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rtl/>
          <w:lang w:eastAsia="de-DE"/>
        </w:rPr>
        <w:t>וּמִן־הַגֻּדְגֹּדָה יָטְבָתָה אֶרֶץ נַחֲלֵי מָיִם</w:t>
      </w:r>
      <w:r w:rsidRPr="00461277">
        <w:rPr>
          <w:rFonts w:eastAsia="Times New Roman"/>
          <w:rtl/>
          <w:lang w:eastAsia="de-DE"/>
        </w:rPr>
        <w:t xml:space="preserve"> </w:t>
      </w:r>
      <w:r w:rsidRPr="00461277">
        <w:rPr>
          <w:rFonts w:eastAsia="Times New Roman"/>
          <w:lang w:eastAsia="de-DE"/>
        </w:rPr>
        <w:t xml:space="preserve">ist die zweite Reisestation: </w:t>
      </w:r>
      <w:r w:rsidRPr="00461277">
        <w:rPr>
          <w:rFonts w:eastAsia="Times New Roman"/>
          <w:b/>
          <w:bCs/>
          <w:rtl/>
          <w:lang w:eastAsia="de-DE"/>
        </w:rPr>
        <w:t>וּמִן־הַגֻּדְגֹּדָה</w:t>
      </w:r>
      <w:r w:rsidRPr="00461277">
        <w:rPr>
          <w:rFonts w:eastAsia="Times New Roman"/>
          <w:rtl/>
          <w:lang w:eastAsia="de-DE"/>
        </w:rPr>
        <w:t xml:space="preserve"> </w:t>
      </w:r>
      <w:r w:rsidRPr="00461277">
        <w:rPr>
          <w:rFonts w:eastAsia="Times New Roman"/>
          <w:lang w:eastAsia="de-DE"/>
        </w:rPr>
        <w:t>als Herkunftsangabe (</w:t>
      </w:r>
      <w:r w:rsidRPr="00461277">
        <w:rPr>
          <w:rFonts w:eastAsia="Times New Roman"/>
          <w:b/>
          <w:bCs/>
          <w:rtl/>
          <w:lang w:eastAsia="de-DE"/>
        </w:rPr>
        <w:t>וְ</w:t>
      </w:r>
      <w:r w:rsidRPr="00461277">
        <w:rPr>
          <w:rFonts w:eastAsia="Times New Roman"/>
          <w:rtl/>
          <w:lang w:eastAsia="de-DE"/>
        </w:rPr>
        <w:t xml:space="preserve"> </w:t>
      </w:r>
      <w:r w:rsidRPr="00461277">
        <w:rPr>
          <w:rFonts w:eastAsia="Times New Roman"/>
          <w:lang w:eastAsia="de-DE"/>
        </w:rPr>
        <w:t xml:space="preserve">mit </w:t>
      </w:r>
      <w:r w:rsidRPr="00461277">
        <w:rPr>
          <w:rFonts w:eastAsia="Times New Roman"/>
          <w:b/>
          <w:bCs/>
          <w:rtl/>
          <w:lang w:eastAsia="de-DE"/>
        </w:rPr>
        <w:t>מִן</w:t>
      </w:r>
      <w:r w:rsidRPr="00461277">
        <w:rPr>
          <w:rFonts w:eastAsia="Times New Roman"/>
          <w:rtl/>
          <w:lang w:eastAsia="de-DE"/>
        </w:rPr>
        <w:t xml:space="preserve"> </w:t>
      </w:r>
      <w:r w:rsidRPr="00461277">
        <w:rPr>
          <w:rFonts w:eastAsia="Times New Roman"/>
          <w:lang w:eastAsia="de-DE"/>
        </w:rPr>
        <w:t xml:space="preserve">und Ortsname mit Artikel – „und von Gudgoda"), </w:t>
      </w:r>
      <w:r w:rsidRPr="00461277">
        <w:rPr>
          <w:rFonts w:eastAsia="Times New Roman"/>
          <w:b/>
          <w:bCs/>
          <w:rtl/>
          <w:lang w:eastAsia="de-DE"/>
        </w:rPr>
        <w:t>יָטְבָתָה</w:t>
      </w:r>
      <w:r w:rsidRPr="00461277">
        <w:rPr>
          <w:rFonts w:eastAsia="Times New Roman"/>
          <w:rtl/>
          <w:lang w:eastAsia="de-DE"/>
        </w:rPr>
        <w:t xml:space="preserve"> </w:t>
      </w:r>
      <w:r w:rsidRPr="00461277">
        <w:rPr>
          <w:rFonts w:eastAsia="Times New Roman"/>
          <w:lang w:eastAsia="de-DE"/>
        </w:rPr>
        <w:t xml:space="preserve">als Zielangabe (Ortsname mit </w:t>
      </w:r>
      <w:r w:rsidRPr="00461277">
        <w:rPr>
          <w:rFonts w:eastAsia="Times New Roman"/>
          <w:lang w:eastAsia="de-DE"/>
        </w:rPr>
        <w:lastRenderedPageBreak/>
        <w:t xml:space="preserve">Lokativ-He – „nach Jotvata"), </w:t>
      </w:r>
      <w:r w:rsidRPr="00461277">
        <w:rPr>
          <w:rFonts w:eastAsia="Times New Roman"/>
          <w:b/>
          <w:bCs/>
          <w:rtl/>
          <w:lang w:eastAsia="de-DE"/>
        </w:rPr>
        <w:t>אֶרֶץ נַחֲלֵי מָיִם</w:t>
      </w:r>
      <w:r w:rsidRPr="00461277">
        <w:rPr>
          <w:rFonts w:eastAsia="Times New Roman"/>
          <w:rtl/>
          <w:lang w:eastAsia="de-DE"/>
        </w:rPr>
        <w:t xml:space="preserve"> </w:t>
      </w:r>
      <w:r w:rsidRPr="00461277">
        <w:rPr>
          <w:rFonts w:eastAsia="Times New Roman"/>
          <w:lang w:eastAsia="de-DE"/>
        </w:rPr>
        <w:t>als appositionelle Beschreibung (</w:t>
      </w:r>
      <w:r w:rsidRPr="00461277">
        <w:rPr>
          <w:rFonts w:eastAsia="Times New Roman"/>
          <w:b/>
          <w:bCs/>
          <w:rtl/>
          <w:lang w:eastAsia="de-DE"/>
        </w:rPr>
        <w:t>אֶרֶץ</w:t>
      </w:r>
      <w:r w:rsidRPr="00461277">
        <w:rPr>
          <w:rFonts w:eastAsia="Times New Roman"/>
          <w:lang w:eastAsia="de-DE"/>
        </w:rPr>
        <w:t xml:space="preserve">, „Land", </w:t>
      </w:r>
      <w:r w:rsidRPr="00461277">
        <w:rPr>
          <w:rFonts w:eastAsia="Times New Roman"/>
          <w:b/>
          <w:bCs/>
          <w:rtl/>
          <w:lang w:eastAsia="de-DE"/>
        </w:rPr>
        <w:t>נַחַל</w:t>
      </w:r>
      <w:r w:rsidRPr="00461277">
        <w:rPr>
          <w:rFonts w:eastAsia="Times New Roman"/>
          <w:lang w:eastAsia="de-DE"/>
        </w:rPr>
        <w:t xml:space="preserve">, „Bach, Wasserlauf", Plural Construct, </w:t>
      </w:r>
      <w:r w:rsidRPr="00461277">
        <w:rPr>
          <w:rFonts w:eastAsia="Times New Roman"/>
          <w:b/>
          <w:bCs/>
          <w:rtl/>
          <w:lang w:eastAsia="de-DE"/>
        </w:rPr>
        <w:t>מַיִם</w:t>
      </w:r>
      <w:r w:rsidRPr="00461277">
        <w:rPr>
          <w:rFonts w:eastAsia="Times New Roman"/>
          <w:lang w:eastAsia="de-DE"/>
        </w:rPr>
        <w:t>, „Wasser" – „ein Land mit Wasserbächen").</w:t>
      </w:r>
    </w:p>
    <w:p w14:paraId="4C167559"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lang w:eastAsia="de-DE"/>
        </w:rPr>
        <w:t xml:space="preserve">Der Vers setzt die Reisenotizen fort (vgl. Num 33,32-33, wo die Ortsnamen leicht variieren: </w:t>
      </w:r>
      <w:r w:rsidRPr="00461277">
        <w:rPr>
          <w:rFonts w:eastAsia="Times New Roman"/>
          <w:b/>
          <w:bCs/>
          <w:rtl/>
          <w:lang w:eastAsia="de-DE"/>
        </w:rPr>
        <w:t>הֹר הַגִּדְגָּד</w:t>
      </w:r>
      <w:r w:rsidRPr="00461277">
        <w:rPr>
          <w:rFonts w:eastAsia="Times New Roman"/>
          <w:rtl/>
          <w:lang w:eastAsia="de-DE"/>
        </w:rPr>
        <w:t xml:space="preserve"> </w:t>
      </w:r>
      <w:r w:rsidRPr="00461277">
        <w:rPr>
          <w:rFonts w:eastAsia="Times New Roman"/>
          <w:lang w:eastAsia="de-DE"/>
        </w:rPr>
        <w:t xml:space="preserve">und </w:t>
      </w:r>
      <w:r w:rsidRPr="00461277">
        <w:rPr>
          <w:rFonts w:eastAsia="Times New Roman"/>
          <w:b/>
          <w:bCs/>
          <w:rtl/>
          <w:lang w:eastAsia="de-DE"/>
        </w:rPr>
        <w:t>יָטְבָתָה</w:t>
      </w:r>
      <w:r w:rsidRPr="00461277">
        <w:rPr>
          <w:rFonts w:eastAsia="Times New Roman"/>
          <w:lang w:eastAsia="de-DE"/>
        </w:rPr>
        <w:t xml:space="preserve">). Die Beschreibung </w:t>
      </w:r>
      <w:r w:rsidRPr="00461277">
        <w:rPr>
          <w:rFonts w:eastAsia="Times New Roman"/>
          <w:b/>
          <w:bCs/>
          <w:rtl/>
          <w:lang w:eastAsia="de-DE"/>
        </w:rPr>
        <w:t>אֶרֶץ נַחֲלֵי מָיִם</w:t>
      </w:r>
      <w:r w:rsidRPr="00461277">
        <w:rPr>
          <w:rFonts w:eastAsia="Times New Roman"/>
          <w:rtl/>
          <w:lang w:eastAsia="de-DE"/>
        </w:rPr>
        <w:t xml:space="preserve"> </w:t>
      </w:r>
      <w:r w:rsidRPr="00461277">
        <w:rPr>
          <w:rFonts w:eastAsia="Times New Roman"/>
          <w:lang w:eastAsia="de-DE"/>
        </w:rPr>
        <w:t>(„ein Land mit Wasserbächen") ist ungewöhnlich für Itinerarien – sie betont die Fruchtbarkeit und den Kontrast zur Wüste. Diese Notiz mag als Vorausdeutung auf das verheißene Land dienen oder einfach die Besonderheit dieses Ortes hervorheben.</w:t>
      </w:r>
    </w:p>
    <w:p w14:paraId="14A0A4D0"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lang w:eastAsia="de-DE"/>
        </w:rPr>
        <w:t xml:space="preserve">Die V. 6-7 bilden einen klaren Einschub in den Kontext. Sie unterbrechen die Erzählung zwischen V. 5 (Aufbewahrung der Tafeln) und V. 8 (Aussonderung der Leviten). Wahrscheinlich wurde dieser Einschub wegen der temporalen Formel </w:t>
      </w:r>
      <w:r w:rsidRPr="00461277">
        <w:rPr>
          <w:rFonts w:eastAsia="Times New Roman"/>
          <w:b/>
          <w:bCs/>
          <w:rtl/>
          <w:lang w:eastAsia="de-DE"/>
        </w:rPr>
        <w:t>בָּעֵת הַהִוא</w:t>
      </w:r>
      <w:r w:rsidRPr="00461277">
        <w:rPr>
          <w:rFonts w:eastAsia="Times New Roman"/>
          <w:rtl/>
          <w:lang w:eastAsia="de-DE"/>
        </w:rPr>
        <w:t xml:space="preserve"> </w:t>
      </w:r>
      <w:r w:rsidRPr="00461277">
        <w:rPr>
          <w:rFonts w:eastAsia="Times New Roman"/>
          <w:lang w:eastAsia="de-DE"/>
        </w:rPr>
        <w:t>in V. 8 eingefügt, um weitere Ereignisse „aus jener Zeit" zu berichten.</w:t>
      </w:r>
    </w:p>
    <w:p w14:paraId="71DF6BFE"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lang w:eastAsia="de-DE"/>
        </w:rPr>
        <w:t>Die Satzstruktur ist ein Satz mit Herkunftsangabe, Prädikat und Zielangabe, gefolgt von einem koordinierten Satz mit Herkunfts- und Zielangabe sowie appositiver Beschreibung.</w:t>
      </w:r>
    </w:p>
    <w:p w14:paraId="233EE477"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lang w:eastAsia="de-DE"/>
        </w:rPr>
        <w:t>Der Vers setzt die Reisenotizen fort: Von dort nach Gudgoda, und von Gudgoda nach Jotvata, einem Land mit Wasserbächen – parenthetischer Einschub endet.</w:t>
      </w:r>
    </w:p>
    <w:p w14:paraId="3ECF6001" w14:textId="77777777" w:rsidR="00461277" w:rsidRPr="00461277" w:rsidRDefault="00461277" w:rsidP="00461277">
      <w:pPr>
        <w:spacing w:before="100" w:beforeAutospacing="1" w:after="100" w:afterAutospacing="1" w:line="240" w:lineRule="auto"/>
        <w:outlineLvl w:val="1"/>
        <w:rPr>
          <w:rFonts w:eastAsia="Times New Roman"/>
          <w:b/>
          <w:bCs/>
          <w:sz w:val="36"/>
          <w:szCs w:val="36"/>
          <w:lang w:eastAsia="de-DE"/>
        </w:rPr>
      </w:pPr>
      <w:r w:rsidRPr="00461277">
        <w:rPr>
          <w:rFonts w:eastAsia="Times New Roman"/>
          <w:b/>
          <w:bCs/>
          <w:sz w:val="36"/>
          <w:szCs w:val="36"/>
          <w:lang w:eastAsia="de-DE"/>
        </w:rPr>
        <w:t>Deuteronomium 10,8</w:t>
      </w:r>
    </w:p>
    <w:p w14:paraId="34A2D7BD"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lang w:eastAsia="de-DE"/>
        </w:rPr>
        <w:t>Hebräisch:</w:t>
      </w:r>
      <w:r w:rsidRPr="00461277">
        <w:rPr>
          <w:rFonts w:eastAsia="Times New Roman"/>
          <w:lang w:eastAsia="de-DE"/>
        </w:rPr>
        <w:t xml:space="preserve"> </w:t>
      </w:r>
      <w:r w:rsidRPr="00461277">
        <w:rPr>
          <w:rFonts w:eastAsia="Times New Roman"/>
          <w:rtl/>
          <w:lang w:eastAsia="de-DE"/>
        </w:rPr>
        <w:t>בָּעֵ֣ת הַהִ֗וא הִבְדִּ֤יל יְהוָה֙ אֶת־שֵׁ֣בֶט הַלֵּוִ֔י לָשֵׂ֖את אֶת־אֲר֣וֹן בְּרִית־יְהוָ֑ה לַעֲמֹד֩ לִפְנֵ֨י יְהוָ֤ה לְשָֽׁרְתוֹ֙ וּלְבָרֵ֣ךְ בִּשְׁמֹ֔ו עַ֖ד הַיּ֥וֹם הַזֶּֽה׃</w:t>
      </w:r>
    </w:p>
    <w:p w14:paraId="663B2B2D"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lang w:eastAsia="de-DE"/>
        </w:rPr>
        <w:t>Deutsch:</w:t>
      </w:r>
      <w:r w:rsidRPr="00461277">
        <w:rPr>
          <w:rFonts w:eastAsia="Times New Roman"/>
          <w:lang w:eastAsia="de-DE"/>
        </w:rPr>
        <w:t xml:space="preserve"> In jener Zeit sonderte der Ewige den Stamm Levi aus, um die Lade des Bundes des Ewigen zu tragen, vor dem Ewigen zu stehen, um ihm zu dienen und in seinem Namen zu segnen, bis auf diesen Tag.</w:t>
      </w:r>
    </w:p>
    <w:p w14:paraId="06F43C10" w14:textId="77777777" w:rsidR="00461277" w:rsidRPr="00461277" w:rsidRDefault="004F5CEB" w:rsidP="00461277">
      <w:pPr>
        <w:spacing w:after="0" w:line="240" w:lineRule="auto"/>
        <w:rPr>
          <w:rFonts w:eastAsia="Times New Roman"/>
          <w:lang w:eastAsia="de-DE"/>
        </w:rPr>
      </w:pPr>
      <w:r>
        <w:rPr>
          <w:rFonts w:eastAsia="Times New Roman"/>
          <w:noProof/>
          <w:lang w:eastAsia="de-DE"/>
        </w:rPr>
        <w:pict w14:anchorId="13DAFE8A">
          <v:rect id="_x0000_i1326" style="width:0;height:1.5pt" o:hralign="center" o:hrstd="t" o:hr="t" fillcolor="#a0a0a0" stroked="f"/>
        </w:pict>
      </w:r>
    </w:p>
    <w:p w14:paraId="62B0D5B4"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lang w:eastAsia="de-DE"/>
        </w:rPr>
        <w:t>Kommentar:</w:t>
      </w:r>
      <w:r w:rsidRPr="00461277">
        <w:rPr>
          <w:rFonts w:eastAsia="Times New Roman"/>
          <w:lang w:eastAsia="de-DE"/>
        </w:rPr>
        <w:t xml:space="preserve"> </w:t>
      </w:r>
      <w:r w:rsidRPr="00461277">
        <w:rPr>
          <w:rFonts w:eastAsia="Times New Roman"/>
          <w:b/>
          <w:bCs/>
          <w:rtl/>
          <w:lang w:eastAsia="de-DE"/>
        </w:rPr>
        <w:t>בָּעֵת הַהִוא הִבְדִּיל יְהוָה אֶת־שֵׁבֶט הַלֵּוִי</w:t>
      </w:r>
      <w:r w:rsidRPr="00461277">
        <w:rPr>
          <w:rFonts w:eastAsia="Times New Roman"/>
          <w:rtl/>
          <w:lang w:eastAsia="de-DE"/>
        </w:rPr>
        <w:t xml:space="preserve"> </w:t>
      </w:r>
      <w:r w:rsidRPr="00461277">
        <w:rPr>
          <w:rFonts w:eastAsia="Times New Roman"/>
          <w:lang w:eastAsia="de-DE"/>
        </w:rPr>
        <w:t xml:space="preserve">ist die Hauptaussage: </w:t>
      </w:r>
      <w:r w:rsidRPr="00461277">
        <w:rPr>
          <w:rFonts w:eastAsia="Times New Roman"/>
          <w:b/>
          <w:bCs/>
          <w:rtl/>
          <w:lang w:eastAsia="de-DE"/>
        </w:rPr>
        <w:t>בָּעֵת הַהִוא</w:t>
      </w:r>
      <w:r w:rsidRPr="00461277">
        <w:rPr>
          <w:rFonts w:eastAsia="Times New Roman"/>
          <w:rtl/>
          <w:lang w:eastAsia="de-DE"/>
        </w:rPr>
        <w:t xml:space="preserve"> </w:t>
      </w:r>
      <w:r w:rsidRPr="00461277">
        <w:rPr>
          <w:rFonts w:eastAsia="Times New Roman"/>
          <w:lang w:eastAsia="de-DE"/>
        </w:rPr>
        <w:t xml:space="preserve">als temporale Bestimmung (wie V. 1 – „in jener Zeit"), </w:t>
      </w:r>
      <w:r w:rsidRPr="00461277">
        <w:rPr>
          <w:rFonts w:eastAsia="Times New Roman"/>
          <w:b/>
          <w:bCs/>
          <w:rtl/>
          <w:lang w:eastAsia="de-DE"/>
        </w:rPr>
        <w:t>הִבְדִּיל</w:t>
      </w:r>
      <w:r w:rsidRPr="00461277">
        <w:rPr>
          <w:rFonts w:eastAsia="Times New Roman"/>
          <w:rtl/>
          <w:lang w:eastAsia="de-DE"/>
        </w:rPr>
        <w:t xml:space="preserve"> </w:t>
      </w:r>
      <w:r w:rsidRPr="00461277">
        <w:rPr>
          <w:rFonts w:eastAsia="Times New Roman"/>
          <w:lang w:eastAsia="de-DE"/>
        </w:rPr>
        <w:t xml:space="preserve">als Hifil Perfekt, 3. Person Singular maskulin von </w:t>
      </w:r>
      <w:r w:rsidRPr="00461277">
        <w:rPr>
          <w:rFonts w:eastAsia="Times New Roman"/>
          <w:b/>
          <w:bCs/>
          <w:rtl/>
          <w:lang w:eastAsia="de-DE"/>
        </w:rPr>
        <w:t>בדל</w:t>
      </w:r>
      <w:r w:rsidRPr="00461277">
        <w:rPr>
          <w:rFonts w:eastAsia="Times New Roman"/>
          <w:lang w:eastAsia="de-DE"/>
        </w:rPr>
        <w:t xml:space="preserve">, „trennen, absondern, aussondern", </w:t>
      </w:r>
      <w:r w:rsidRPr="00461277">
        <w:rPr>
          <w:rFonts w:eastAsia="Times New Roman"/>
          <w:b/>
          <w:bCs/>
          <w:rtl/>
          <w:lang w:eastAsia="de-DE"/>
        </w:rPr>
        <w:t>יְהוָה</w:t>
      </w:r>
      <w:r w:rsidRPr="00461277">
        <w:rPr>
          <w:rFonts w:eastAsia="Times New Roman"/>
          <w:rtl/>
          <w:lang w:eastAsia="de-DE"/>
        </w:rPr>
        <w:t xml:space="preserve"> </w:t>
      </w:r>
      <w:r w:rsidRPr="00461277">
        <w:rPr>
          <w:rFonts w:eastAsia="Times New Roman"/>
          <w:lang w:eastAsia="de-DE"/>
        </w:rPr>
        <w:t xml:space="preserve">als Subjekt, </w:t>
      </w:r>
      <w:r w:rsidRPr="00461277">
        <w:rPr>
          <w:rFonts w:eastAsia="Times New Roman"/>
          <w:b/>
          <w:bCs/>
          <w:rtl/>
          <w:lang w:eastAsia="de-DE"/>
        </w:rPr>
        <w:t>אֶת־שֵׁבֶט הַלֵּוִי</w:t>
      </w:r>
      <w:r w:rsidRPr="00461277">
        <w:rPr>
          <w:rFonts w:eastAsia="Times New Roman"/>
          <w:rtl/>
          <w:lang w:eastAsia="de-DE"/>
        </w:rPr>
        <w:t xml:space="preserve"> </w:t>
      </w:r>
      <w:r w:rsidRPr="00461277">
        <w:rPr>
          <w:rFonts w:eastAsia="Times New Roman"/>
          <w:lang w:eastAsia="de-DE"/>
        </w:rPr>
        <w:t>als direktes Objekt (</w:t>
      </w:r>
      <w:r w:rsidRPr="00461277">
        <w:rPr>
          <w:rFonts w:eastAsia="Times New Roman"/>
          <w:b/>
          <w:bCs/>
          <w:rtl/>
          <w:lang w:eastAsia="de-DE"/>
        </w:rPr>
        <w:t>שֵׁבֶט</w:t>
      </w:r>
      <w:r w:rsidRPr="00461277">
        <w:rPr>
          <w:rFonts w:eastAsia="Times New Roman"/>
          <w:lang w:eastAsia="de-DE"/>
        </w:rPr>
        <w:t xml:space="preserve">, „Stamm", </w:t>
      </w:r>
      <w:r w:rsidRPr="00461277">
        <w:rPr>
          <w:rFonts w:eastAsia="Times New Roman"/>
          <w:b/>
          <w:bCs/>
          <w:rtl/>
          <w:lang w:eastAsia="de-DE"/>
        </w:rPr>
        <w:t>לֵוִי</w:t>
      </w:r>
      <w:r w:rsidRPr="00461277">
        <w:rPr>
          <w:rFonts w:eastAsia="Times New Roman"/>
          <w:lang w:eastAsia="de-DE"/>
        </w:rPr>
        <w:t>, „Levi" – „den Stamm Levi").</w:t>
      </w:r>
    </w:p>
    <w:p w14:paraId="35033475"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rtl/>
          <w:lang w:eastAsia="de-DE"/>
        </w:rPr>
        <w:t>לָשֵׂאת אֶת־אֲרוֹן בְּרִית־יְהוָה לַעֲמֹד לִפְנֵי יְהוָה לְשָׁרְתוֹ וּלְבָרֵךְ בִּשְׁמוֹ</w:t>
      </w:r>
      <w:r w:rsidRPr="00461277">
        <w:rPr>
          <w:rFonts w:eastAsia="Times New Roman"/>
          <w:rtl/>
          <w:lang w:eastAsia="de-DE"/>
        </w:rPr>
        <w:t xml:space="preserve"> </w:t>
      </w:r>
      <w:r w:rsidRPr="00461277">
        <w:rPr>
          <w:rFonts w:eastAsia="Times New Roman"/>
          <w:lang w:eastAsia="de-DE"/>
        </w:rPr>
        <w:t xml:space="preserve">ist eine viergliedrige finale Infinitivkette: </w:t>
      </w:r>
      <w:r w:rsidRPr="00461277">
        <w:rPr>
          <w:rFonts w:eastAsia="Times New Roman"/>
          <w:b/>
          <w:bCs/>
          <w:rtl/>
          <w:lang w:eastAsia="de-DE"/>
        </w:rPr>
        <w:t>לָשֵׂאת אֶת־אֲרוֹן בְּרִית־יְהוָה</w:t>
      </w:r>
      <w:r w:rsidRPr="00461277">
        <w:rPr>
          <w:rFonts w:eastAsia="Times New Roman"/>
          <w:rtl/>
          <w:lang w:eastAsia="de-DE"/>
        </w:rPr>
        <w:t xml:space="preserve"> </w:t>
      </w:r>
      <w:r w:rsidRPr="00461277">
        <w:rPr>
          <w:rFonts w:eastAsia="Times New Roman"/>
          <w:lang w:eastAsia="de-DE"/>
        </w:rPr>
        <w:t xml:space="preserve">(Qal Infinitiv Construct von </w:t>
      </w:r>
      <w:r w:rsidRPr="00461277">
        <w:rPr>
          <w:rFonts w:eastAsia="Times New Roman"/>
          <w:b/>
          <w:bCs/>
          <w:rtl/>
          <w:lang w:eastAsia="de-DE"/>
        </w:rPr>
        <w:t>נשׂא</w:t>
      </w:r>
      <w:r w:rsidRPr="00461277">
        <w:rPr>
          <w:rFonts w:eastAsia="Times New Roman"/>
          <w:lang w:eastAsia="de-DE"/>
        </w:rPr>
        <w:t xml:space="preserve">, „tragen", mit </w:t>
      </w:r>
      <w:r w:rsidRPr="00461277">
        <w:rPr>
          <w:rFonts w:eastAsia="Times New Roman"/>
          <w:b/>
          <w:bCs/>
          <w:rtl/>
          <w:lang w:eastAsia="de-DE"/>
        </w:rPr>
        <w:t>לְ</w:t>
      </w:r>
      <w:r w:rsidRPr="00461277">
        <w:rPr>
          <w:rFonts w:eastAsia="Times New Roman"/>
          <w:lang w:eastAsia="de-DE"/>
        </w:rPr>
        <w:t xml:space="preserve">, </w:t>
      </w:r>
      <w:r w:rsidRPr="00461277">
        <w:rPr>
          <w:rFonts w:eastAsia="Times New Roman"/>
          <w:b/>
          <w:bCs/>
          <w:rtl/>
          <w:lang w:eastAsia="de-DE"/>
        </w:rPr>
        <w:t>אֶת־אֲרוֹן בְּרִית־יְהוָה</w:t>
      </w:r>
      <w:r w:rsidRPr="00461277">
        <w:rPr>
          <w:rFonts w:eastAsia="Times New Roman"/>
          <w:rtl/>
          <w:lang w:eastAsia="de-DE"/>
        </w:rPr>
        <w:t xml:space="preserve"> </w:t>
      </w:r>
      <w:r w:rsidRPr="00461277">
        <w:rPr>
          <w:rFonts w:eastAsia="Times New Roman"/>
          <w:lang w:eastAsia="de-DE"/>
        </w:rPr>
        <w:t xml:space="preserve">als direktes Objekt – </w:t>
      </w:r>
      <w:r w:rsidRPr="00461277">
        <w:rPr>
          <w:rFonts w:eastAsia="Times New Roman"/>
          <w:b/>
          <w:bCs/>
          <w:rtl/>
          <w:lang w:eastAsia="de-DE"/>
        </w:rPr>
        <w:t>אָרוֹן</w:t>
      </w:r>
      <w:r w:rsidRPr="00461277">
        <w:rPr>
          <w:rFonts w:eastAsia="Times New Roman"/>
          <w:rtl/>
          <w:lang w:eastAsia="de-DE"/>
        </w:rPr>
        <w:t xml:space="preserve"> </w:t>
      </w:r>
      <w:r w:rsidRPr="00461277">
        <w:rPr>
          <w:rFonts w:eastAsia="Times New Roman"/>
          <w:lang w:eastAsia="de-DE"/>
        </w:rPr>
        <w:t xml:space="preserve">im Construct mit </w:t>
      </w:r>
      <w:r w:rsidRPr="00461277">
        <w:rPr>
          <w:rFonts w:eastAsia="Times New Roman"/>
          <w:b/>
          <w:bCs/>
          <w:rtl/>
          <w:lang w:eastAsia="de-DE"/>
        </w:rPr>
        <w:t>בְּרִית יְהוָה</w:t>
      </w:r>
      <w:r w:rsidRPr="00461277">
        <w:rPr>
          <w:rFonts w:eastAsia="Times New Roman"/>
          <w:rtl/>
          <w:lang w:eastAsia="de-DE"/>
        </w:rPr>
        <w:t xml:space="preserve"> </w:t>
      </w:r>
      <w:r w:rsidRPr="00461277">
        <w:rPr>
          <w:rFonts w:eastAsia="Times New Roman"/>
          <w:lang w:eastAsia="de-DE"/>
        </w:rPr>
        <w:t xml:space="preserve">– „die Lade des Bundes JHWHs"), </w:t>
      </w:r>
      <w:r w:rsidRPr="00461277">
        <w:rPr>
          <w:rFonts w:eastAsia="Times New Roman"/>
          <w:b/>
          <w:bCs/>
          <w:rtl/>
          <w:lang w:eastAsia="de-DE"/>
        </w:rPr>
        <w:t>לַעֲמֹד לִפְנֵי יְהוָה</w:t>
      </w:r>
      <w:r w:rsidRPr="00461277">
        <w:rPr>
          <w:rFonts w:eastAsia="Times New Roman"/>
          <w:rtl/>
          <w:lang w:eastAsia="de-DE"/>
        </w:rPr>
        <w:t xml:space="preserve"> </w:t>
      </w:r>
      <w:r w:rsidRPr="00461277">
        <w:rPr>
          <w:rFonts w:eastAsia="Times New Roman"/>
          <w:lang w:eastAsia="de-DE"/>
        </w:rPr>
        <w:t xml:space="preserve">koordiniert (Qal Infinitiv Construct von </w:t>
      </w:r>
      <w:r w:rsidRPr="00461277">
        <w:rPr>
          <w:rFonts w:eastAsia="Times New Roman"/>
          <w:b/>
          <w:bCs/>
          <w:rtl/>
          <w:lang w:eastAsia="de-DE"/>
        </w:rPr>
        <w:t>עמד</w:t>
      </w:r>
      <w:r w:rsidRPr="00461277">
        <w:rPr>
          <w:rFonts w:eastAsia="Times New Roman"/>
          <w:lang w:eastAsia="de-DE"/>
        </w:rPr>
        <w:t xml:space="preserve">, „stehen", mit </w:t>
      </w:r>
      <w:r w:rsidRPr="00461277">
        <w:rPr>
          <w:rFonts w:eastAsia="Times New Roman"/>
          <w:b/>
          <w:bCs/>
          <w:rtl/>
          <w:lang w:eastAsia="de-DE"/>
        </w:rPr>
        <w:t>לְ</w:t>
      </w:r>
      <w:r w:rsidRPr="00461277">
        <w:rPr>
          <w:rFonts w:eastAsia="Times New Roman"/>
          <w:lang w:eastAsia="de-DE"/>
        </w:rPr>
        <w:t xml:space="preserve">, </w:t>
      </w:r>
      <w:r w:rsidRPr="00461277">
        <w:rPr>
          <w:rFonts w:eastAsia="Times New Roman"/>
          <w:b/>
          <w:bCs/>
          <w:rtl/>
          <w:lang w:eastAsia="de-DE"/>
        </w:rPr>
        <w:t>לִפְנֵי יְהוָה</w:t>
      </w:r>
      <w:r w:rsidRPr="00461277">
        <w:rPr>
          <w:rFonts w:eastAsia="Times New Roman"/>
          <w:rtl/>
          <w:lang w:eastAsia="de-DE"/>
        </w:rPr>
        <w:t xml:space="preserve"> </w:t>
      </w:r>
      <w:r w:rsidRPr="00461277">
        <w:rPr>
          <w:rFonts w:eastAsia="Times New Roman"/>
          <w:lang w:eastAsia="de-DE"/>
        </w:rPr>
        <w:t xml:space="preserve">als Ortsangabe – „vor JHWH"), </w:t>
      </w:r>
      <w:r w:rsidRPr="00461277">
        <w:rPr>
          <w:rFonts w:eastAsia="Times New Roman"/>
          <w:b/>
          <w:bCs/>
          <w:rtl/>
          <w:lang w:eastAsia="de-DE"/>
        </w:rPr>
        <w:t>לְשָׁרְתוֹ</w:t>
      </w:r>
      <w:r w:rsidRPr="00461277">
        <w:rPr>
          <w:rFonts w:eastAsia="Times New Roman"/>
          <w:rtl/>
          <w:lang w:eastAsia="de-DE"/>
        </w:rPr>
        <w:t xml:space="preserve"> </w:t>
      </w:r>
      <w:r w:rsidRPr="00461277">
        <w:rPr>
          <w:rFonts w:eastAsia="Times New Roman"/>
          <w:lang w:eastAsia="de-DE"/>
        </w:rPr>
        <w:t xml:space="preserve">koordiniert (Piel Infinitiv Construct von </w:t>
      </w:r>
      <w:r w:rsidRPr="00461277">
        <w:rPr>
          <w:rFonts w:eastAsia="Times New Roman"/>
          <w:b/>
          <w:bCs/>
          <w:rtl/>
          <w:lang w:eastAsia="de-DE"/>
        </w:rPr>
        <w:t>שׁרת</w:t>
      </w:r>
      <w:r w:rsidRPr="00461277">
        <w:rPr>
          <w:rFonts w:eastAsia="Times New Roman"/>
          <w:lang w:eastAsia="de-DE"/>
        </w:rPr>
        <w:t xml:space="preserve">, „dienen", mit </w:t>
      </w:r>
      <w:r w:rsidRPr="00461277">
        <w:rPr>
          <w:rFonts w:eastAsia="Times New Roman"/>
          <w:b/>
          <w:bCs/>
          <w:rtl/>
          <w:lang w:eastAsia="de-DE"/>
        </w:rPr>
        <w:t>לְ</w:t>
      </w:r>
      <w:r w:rsidRPr="00461277">
        <w:rPr>
          <w:rFonts w:eastAsia="Times New Roman"/>
          <w:rtl/>
          <w:lang w:eastAsia="de-DE"/>
        </w:rPr>
        <w:t xml:space="preserve"> </w:t>
      </w:r>
      <w:r w:rsidRPr="00461277">
        <w:rPr>
          <w:rFonts w:eastAsia="Times New Roman"/>
          <w:lang w:eastAsia="de-DE"/>
        </w:rPr>
        <w:t xml:space="preserve">und Suffix 3. Person Singular maskulin – „um ihm zu dienen"), </w:t>
      </w:r>
      <w:r w:rsidRPr="00461277">
        <w:rPr>
          <w:rFonts w:eastAsia="Times New Roman"/>
          <w:b/>
          <w:bCs/>
          <w:rtl/>
          <w:lang w:eastAsia="de-DE"/>
        </w:rPr>
        <w:t>וּלְבָרֵךְ בִּשְׁמוֹ</w:t>
      </w:r>
      <w:r w:rsidRPr="00461277">
        <w:rPr>
          <w:rFonts w:eastAsia="Times New Roman"/>
          <w:rtl/>
          <w:lang w:eastAsia="de-DE"/>
        </w:rPr>
        <w:t xml:space="preserve"> </w:t>
      </w:r>
      <w:r w:rsidRPr="00461277">
        <w:rPr>
          <w:rFonts w:eastAsia="Times New Roman"/>
          <w:lang w:eastAsia="de-DE"/>
        </w:rPr>
        <w:t xml:space="preserve">koordiniert (Piel Infinitiv Construct von </w:t>
      </w:r>
      <w:r w:rsidRPr="00461277">
        <w:rPr>
          <w:rFonts w:eastAsia="Times New Roman"/>
          <w:b/>
          <w:bCs/>
          <w:rtl/>
          <w:lang w:eastAsia="de-DE"/>
        </w:rPr>
        <w:t>ברך</w:t>
      </w:r>
      <w:r w:rsidRPr="00461277">
        <w:rPr>
          <w:rFonts w:eastAsia="Times New Roman"/>
          <w:lang w:eastAsia="de-DE"/>
        </w:rPr>
        <w:t xml:space="preserve">, „segnen", mit </w:t>
      </w:r>
      <w:r w:rsidRPr="00461277">
        <w:rPr>
          <w:rFonts w:eastAsia="Times New Roman"/>
          <w:b/>
          <w:bCs/>
          <w:rtl/>
          <w:lang w:eastAsia="de-DE"/>
        </w:rPr>
        <w:t>וְ</w:t>
      </w:r>
      <w:r w:rsidRPr="00461277">
        <w:rPr>
          <w:rFonts w:eastAsia="Times New Roman"/>
          <w:rtl/>
          <w:lang w:eastAsia="de-DE"/>
        </w:rPr>
        <w:t xml:space="preserve"> </w:t>
      </w:r>
      <w:r w:rsidRPr="00461277">
        <w:rPr>
          <w:rFonts w:eastAsia="Times New Roman"/>
          <w:lang w:eastAsia="de-DE"/>
        </w:rPr>
        <w:t xml:space="preserve">und </w:t>
      </w:r>
      <w:r w:rsidRPr="00461277">
        <w:rPr>
          <w:rFonts w:eastAsia="Times New Roman"/>
          <w:b/>
          <w:bCs/>
          <w:rtl/>
          <w:lang w:eastAsia="de-DE"/>
        </w:rPr>
        <w:t>לְ</w:t>
      </w:r>
      <w:r w:rsidRPr="00461277">
        <w:rPr>
          <w:rFonts w:eastAsia="Times New Roman"/>
          <w:lang w:eastAsia="de-DE"/>
        </w:rPr>
        <w:t xml:space="preserve">, </w:t>
      </w:r>
      <w:r w:rsidRPr="00461277">
        <w:rPr>
          <w:rFonts w:eastAsia="Times New Roman"/>
          <w:b/>
          <w:bCs/>
          <w:rtl/>
          <w:lang w:eastAsia="de-DE"/>
        </w:rPr>
        <w:t>בִּשְׁמוֹ</w:t>
      </w:r>
      <w:r w:rsidRPr="00461277">
        <w:rPr>
          <w:rFonts w:eastAsia="Times New Roman"/>
          <w:rtl/>
          <w:lang w:eastAsia="de-DE"/>
        </w:rPr>
        <w:t xml:space="preserve"> </w:t>
      </w:r>
      <w:r w:rsidRPr="00461277">
        <w:rPr>
          <w:rFonts w:eastAsia="Times New Roman"/>
          <w:lang w:eastAsia="de-DE"/>
        </w:rPr>
        <w:t xml:space="preserve">als instrumentale Bestimmung – </w:t>
      </w:r>
      <w:r w:rsidRPr="00461277">
        <w:rPr>
          <w:rFonts w:eastAsia="Times New Roman"/>
          <w:b/>
          <w:bCs/>
          <w:rtl/>
          <w:lang w:eastAsia="de-DE"/>
        </w:rPr>
        <w:t>בְּ</w:t>
      </w:r>
      <w:r w:rsidRPr="00461277">
        <w:rPr>
          <w:rFonts w:eastAsia="Times New Roman"/>
          <w:rtl/>
          <w:lang w:eastAsia="de-DE"/>
        </w:rPr>
        <w:t xml:space="preserve"> </w:t>
      </w:r>
      <w:r w:rsidRPr="00461277">
        <w:rPr>
          <w:rFonts w:eastAsia="Times New Roman"/>
          <w:lang w:eastAsia="de-DE"/>
        </w:rPr>
        <w:t xml:space="preserve">mit </w:t>
      </w:r>
      <w:r w:rsidRPr="00461277">
        <w:rPr>
          <w:rFonts w:eastAsia="Times New Roman"/>
          <w:b/>
          <w:bCs/>
          <w:rtl/>
          <w:lang w:eastAsia="de-DE"/>
        </w:rPr>
        <w:t>שֵׁם</w:t>
      </w:r>
      <w:r w:rsidRPr="00461277">
        <w:rPr>
          <w:rFonts w:eastAsia="Times New Roman"/>
          <w:rtl/>
          <w:lang w:eastAsia="de-DE"/>
        </w:rPr>
        <w:t xml:space="preserve"> </w:t>
      </w:r>
      <w:r w:rsidRPr="00461277">
        <w:rPr>
          <w:rFonts w:eastAsia="Times New Roman"/>
          <w:lang w:eastAsia="de-DE"/>
        </w:rPr>
        <w:t>und Suffix – „in seinem Namen").</w:t>
      </w:r>
    </w:p>
    <w:p w14:paraId="57002CB7"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b/>
          <w:bCs/>
          <w:rtl/>
          <w:lang w:eastAsia="de-DE"/>
        </w:rPr>
        <w:t>עַד הַיּוֹם הַזֶּה</w:t>
      </w:r>
      <w:r w:rsidRPr="00461277">
        <w:rPr>
          <w:rFonts w:eastAsia="Times New Roman"/>
          <w:rtl/>
          <w:lang w:eastAsia="de-DE"/>
        </w:rPr>
        <w:t xml:space="preserve"> </w:t>
      </w:r>
      <w:r w:rsidRPr="00461277">
        <w:rPr>
          <w:rFonts w:eastAsia="Times New Roman"/>
          <w:lang w:eastAsia="de-DE"/>
        </w:rPr>
        <w:t xml:space="preserve">ist eine temporale Bestimmung: </w:t>
      </w:r>
      <w:r w:rsidRPr="00461277">
        <w:rPr>
          <w:rFonts w:eastAsia="Times New Roman"/>
          <w:b/>
          <w:bCs/>
          <w:rtl/>
          <w:lang w:eastAsia="de-DE"/>
        </w:rPr>
        <w:t>עַד</w:t>
      </w:r>
      <w:r w:rsidRPr="00461277">
        <w:rPr>
          <w:rFonts w:eastAsia="Times New Roman"/>
          <w:rtl/>
          <w:lang w:eastAsia="de-DE"/>
        </w:rPr>
        <w:t xml:space="preserve"> </w:t>
      </w:r>
      <w:r w:rsidRPr="00461277">
        <w:rPr>
          <w:rFonts w:eastAsia="Times New Roman"/>
          <w:lang w:eastAsia="de-DE"/>
        </w:rPr>
        <w:t xml:space="preserve">(„bis"), </w:t>
      </w:r>
      <w:r w:rsidRPr="00461277">
        <w:rPr>
          <w:rFonts w:eastAsia="Times New Roman"/>
          <w:b/>
          <w:bCs/>
          <w:rtl/>
          <w:lang w:eastAsia="de-DE"/>
        </w:rPr>
        <w:t>הַיּוֹם הַזֶּה</w:t>
      </w:r>
      <w:r w:rsidRPr="00461277">
        <w:rPr>
          <w:rFonts w:eastAsia="Times New Roman"/>
          <w:rtl/>
          <w:lang w:eastAsia="de-DE"/>
        </w:rPr>
        <w:t xml:space="preserve"> </w:t>
      </w:r>
      <w:r w:rsidRPr="00461277">
        <w:rPr>
          <w:rFonts w:eastAsia="Times New Roman"/>
          <w:lang w:eastAsia="de-DE"/>
        </w:rPr>
        <w:t>(„dieser Tag" – „bis auf diesen Tag, bis heute").</w:t>
      </w:r>
    </w:p>
    <w:p w14:paraId="0D43C02A" w14:textId="77777777" w:rsidR="000F34F9" w:rsidRDefault="00461277" w:rsidP="000F34F9">
      <w:pPr>
        <w:pStyle w:val="KeinLeerraum"/>
        <w:rPr>
          <w:lang w:eastAsia="de-DE"/>
        </w:rPr>
      </w:pPr>
      <w:r w:rsidRPr="00461277">
        <w:rPr>
          <w:lang w:eastAsia="de-DE"/>
        </w:rPr>
        <w:lastRenderedPageBreak/>
        <w:t xml:space="preserve">Der Vers nimmt den Faden nach dem Einschub (V. 6-7) wieder auf und verbindet die Lade (V. 1-5) mit der Aussonderung der Leviten. Die temporale Bestimmung </w:t>
      </w:r>
      <w:r w:rsidRPr="00461277">
        <w:rPr>
          <w:b/>
          <w:bCs/>
          <w:rtl/>
          <w:lang w:eastAsia="de-DE"/>
        </w:rPr>
        <w:t>בָּעֵת הַהִוא</w:t>
      </w:r>
      <w:r w:rsidRPr="00461277">
        <w:rPr>
          <w:rtl/>
          <w:lang w:eastAsia="de-DE"/>
        </w:rPr>
        <w:t xml:space="preserve"> </w:t>
      </w:r>
      <w:r w:rsidRPr="00461277">
        <w:rPr>
          <w:lang w:eastAsia="de-DE"/>
        </w:rPr>
        <w:t xml:space="preserve">bezieht sich entweder auf die Zeit der Tafelanfertigung oder allgemein auf die Sinaiereignisse. Die viergliedrige Infinitivkette beschreibt die levitischen Aufgaben: </w:t>
      </w:r>
    </w:p>
    <w:p w14:paraId="71FFC09B" w14:textId="77777777" w:rsidR="000F34F9" w:rsidRDefault="00461277" w:rsidP="000F34F9">
      <w:pPr>
        <w:pStyle w:val="KeinLeerraum"/>
        <w:rPr>
          <w:lang w:eastAsia="de-DE"/>
        </w:rPr>
      </w:pPr>
      <w:r w:rsidRPr="00461277">
        <w:rPr>
          <w:lang w:eastAsia="de-DE"/>
        </w:rPr>
        <w:t xml:space="preserve">(1) die Bundeslade tragen, </w:t>
      </w:r>
    </w:p>
    <w:p w14:paraId="65D2FA9E" w14:textId="77777777" w:rsidR="000F34F9" w:rsidRDefault="00461277" w:rsidP="000F34F9">
      <w:pPr>
        <w:pStyle w:val="KeinLeerraum"/>
        <w:rPr>
          <w:lang w:eastAsia="de-DE"/>
        </w:rPr>
      </w:pPr>
      <w:r w:rsidRPr="00461277">
        <w:rPr>
          <w:lang w:eastAsia="de-DE"/>
        </w:rPr>
        <w:t xml:space="preserve">(2) vor JHWH stehen, </w:t>
      </w:r>
    </w:p>
    <w:p w14:paraId="2115AE62" w14:textId="77777777" w:rsidR="000F34F9" w:rsidRDefault="00461277" w:rsidP="000F34F9">
      <w:pPr>
        <w:pStyle w:val="KeinLeerraum"/>
        <w:rPr>
          <w:lang w:eastAsia="de-DE"/>
        </w:rPr>
      </w:pPr>
      <w:r w:rsidRPr="00461277">
        <w:rPr>
          <w:lang w:eastAsia="de-DE"/>
        </w:rPr>
        <w:t xml:space="preserve">(3) ihm dienen, </w:t>
      </w:r>
    </w:p>
    <w:p w14:paraId="543B8E66" w14:textId="77777777" w:rsidR="000F34F9" w:rsidRDefault="00461277" w:rsidP="000F34F9">
      <w:pPr>
        <w:pStyle w:val="KeinLeerraum"/>
        <w:rPr>
          <w:lang w:eastAsia="de-DE"/>
        </w:rPr>
      </w:pPr>
      <w:r w:rsidRPr="00461277">
        <w:rPr>
          <w:lang w:eastAsia="de-DE"/>
        </w:rPr>
        <w:t xml:space="preserve">(4) in seinem Namen segnen. </w:t>
      </w:r>
    </w:p>
    <w:p w14:paraId="3CC05BDF" w14:textId="57CFA6B7" w:rsidR="00461277" w:rsidRPr="00461277" w:rsidRDefault="00461277" w:rsidP="000F34F9">
      <w:pPr>
        <w:pStyle w:val="KeinLeerraum"/>
        <w:rPr>
          <w:lang w:eastAsia="de-DE"/>
        </w:rPr>
      </w:pPr>
      <w:r w:rsidRPr="00461277">
        <w:rPr>
          <w:lang w:eastAsia="de-DE"/>
        </w:rPr>
        <w:t xml:space="preserve">Diese Aufgaben charakterisieren das levitische Amt (vgl. Num 3-4; 18,1-7). Die Formulierung </w:t>
      </w:r>
      <w:r w:rsidRPr="00461277">
        <w:rPr>
          <w:b/>
          <w:bCs/>
          <w:rtl/>
          <w:lang w:eastAsia="de-DE"/>
        </w:rPr>
        <w:t>עַד הַיּוֹם הַזֶּה</w:t>
      </w:r>
      <w:r w:rsidRPr="00461277">
        <w:rPr>
          <w:rtl/>
          <w:lang w:eastAsia="de-DE"/>
        </w:rPr>
        <w:t xml:space="preserve"> </w:t>
      </w:r>
      <w:r w:rsidRPr="00461277">
        <w:rPr>
          <w:lang w:eastAsia="de-DE"/>
        </w:rPr>
        <w:t>(„bis auf diesen Tag") betont: Diese Ordnung gilt noch zur Zeit der deuteronomischen Rede.</w:t>
      </w:r>
    </w:p>
    <w:p w14:paraId="3A91495D"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lang w:eastAsia="de-DE"/>
        </w:rPr>
        <w:t>Die Satzstruktur ist ein Satz mit temporaler Bestimmung, Prädikat, Subjekt und direktem Objekt, gefolgt von einer viergliedrigen koordinierten finalen Infinitivkette (die erste mit direktem Objekt, die zweite mit Ortsangabe, die dritte mit Suffix, die vierte mit instrumentaler Bestimmung), abgeschlossen durch eine temporale Bestimmung.</w:t>
      </w:r>
    </w:p>
    <w:p w14:paraId="72B835F8" w14:textId="77777777" w:rsidR="00461277" w:rsidRPr="00461277" w:rsidRDefault="00461277" w:rsidP="00461277">
      <w:pPr>
        <w:spacing w:before="100" w:beforeAutospacing="1" w:after="100" w:afterAutospacing="1" w:line="240" w:lineRule="auto"/>
        <w:rPr>
          <w:rFonts w:eastAsia="Times New Roman"/>
          <w:lang w:eastAsia="de-DE"/>
        </w:rPr>
      </w:pPr>
      <w:r w:rsidRPr="00461277">
        <w:rPr>
          <w:rFonts w:eastAsia="Times New Roman"/>
          <w:lang w:eastAsia="de-DE"/>
        </w:rPr>
        <w:t>Der Vers verbindet Lade und Leviten: In jener Zeit sonderte JHWH den Stamm Levi aus, um die Bundeslade zu tragen, vor JHWH zu stehen, ihm zu dienen und in seinem Namen zu segnen – bis heute.</w:t>
      </w:r>
    </w:p>
    <w:p w14:paraId="23382968" w14:textId="77777777" w:rsidR="00465BF0" w:rsidRPr="00465BF0" w:rsidRDefault="00465BF0" w:rsidP="00465BF0">
      <w:pPr>
        <w:spacing w:before="100" w:beforeAutospacing="1" w:after="100" w:afterAutospacing="1" w:line="240" w:lineRule="auto"/>
        <w:outlineLvl w:val="1"/>
        <w:rPr>
          <w:rFonts w:eastAsia="Times New Roman"/>
          <w:b/>
          <w:bCs/>
          <w:sz w:val="36"/>
          <w:szCs w:val="36"/>
          <w:lang w:eastAsia="de-DE"/>
        </w:rPr>
      </w:pPr>
      <w:r w:rsidRPr="00465BF0">
        <w:rPr>
          <w:rFonts w:eastAsia="Times New Roman"/>
          <w:b/>
          <w:bCs/>
          <w:sz w:val="36"/>
          <w:szCs w:val="36"/>
          <w:lang w:eastAsia="de-DE"/>
        </w:rPr>
        <w:t>Deuteronomium 10,9</w:t>
      </w:r>
    </w:p>
    <w:p w14:paraId="3C9950E0"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b/>
          <w:bCs/>
          <w:lang w:eastAsia="de-DE"/>
        </w:rPr>
        <w:t>Hebräisch:</w:t>
      </w:r>
      <w:r w:rsidRPr="00465BF0">
        <w:rPr>
          <w:rFonts w:eastAsia="Times New Roman"/>
          <w:lang w:eastAsia="de-DE"/>
        </w:rPr>
        <w:t xml:space="preserve"> </w:t>
      </w:r>
      <w:r w:rsidRPr="00465BF0">
        <w:rPr>
          <w:rFonts w:eastAsia="Times New Roman"/>
          <w:rtl/>
          <w:lang w:eastAsia="de-DE"/>
        </w:rPr>
        <w:t>עַל־כֵּ֞ן לֹֽא־הָיָ֧ה לְלֵוִ֛י חֵ֥לֶק וְנַחֲלָ֖ה עִם־אֶחָ֑יו יְהוָה֙ ה֣וּא נַחֲלָת֔וֹ כַּאֲשֶׁ֥ר דִּבֶּ֛ר יְהוָ֥ה אֱלֹהֶ֖יךָ לֽוֹ׃</w:t>
      </w:r>
    </w:p>
    <w:p w14:paraId="60C06FE6"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b/>
          <w:bCs/>
          <w:lang w:eastAsia="de-DE"/>
        </w:rPr>
        <w:t>Deutsch:</w:t>
      </w:r>
      <w:r w:rsidRPr="00465BF0">
        <w:rPr>
          <w:rFonts w:eastAsia="Times New Roman"/>
          <w:lang w:eastAsia="de-DE"/>
        </w:rPr>
        <w:t xml:space="preserve"> Darum wurde Levi kein Teil noch Erbe mit seinen Brüdern; der Ewige ist sein Erbteil, so wie der Ewige, dein Gott, zu ihm geredet hat.</w:t>
      </w:r>
    </w:p>
    <w:p w14:paraId="5191B22E" w14:textId="77777777" w:rsidR="00465BF0" w:rsidRPr="00465BF0" w:rsidRDefault="004F5CEB" w:rsidP="00465BF0">
      <w:pPr>
        <w:spacing w:after="0" w:line="240" w:lineRule="auto"/>
        <w:rPr>
          <w:rFonts w:eastAsia="Times New Roman"/>
          <w:lang w:eastAsia="de-DE"/>
        </w:rPr>
      </w:pPr>
      <w:r>
        <w:rPr>
          <w:rFonts w:eastAsia="Times New Roman"/>
          <w:noProof/>
          <w:lang w:eastAsia="de-DE"/>
        </w:rPr>
        <w:pict w14:anchorId="4B40D398">
          <v:rect id="_x0000_i1327" style="width:0;height:1.5pt" o:hralign="center" o:hrstd="t" o:hr="t" fillcolor="#a0a0a0" stroked="f"/>
        </w:pict>
      </w:r>
    </w:p>
    <w:p w14:paraId="5D6D7091" w14:textId="3FD98E0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b/>
          <w:bCs/>
          <w:lang w:eastAsia="de-DE"/>
        </w:rPr>
        <w:t>Kommentar:</w:t>
      </w:r>
      <w:r w:rsidRPr="00465BF0">
        <w:rPr>
          <w:rFonts w:eastAsia="Times New Roman"/>
          <w:lang w:eastAsia="de-DE"/>
        </w:rPr>
        <w:t xml:space="preserve"> </w:t>
      </w:r>
      <w:r w:rsidRPr="00465BF0">
        <w:rPr>
          <w:rFonts w:eastAsia="Times New Roman"/>
          <w:b/>
          <w:bCs/>
          <w:rtl/>
          <w:lang w:eastAsia="de-DE"/>
        </w:rPr>
        <w:t>עַל־כֵּן לֹא־הָיָה לְלֵוִי חֵלֶק וְנַחֲלָה עִם־אֶחָיו</w:t>
      </w:r>
      <w:r w:rsidRPr="00465BF0">
        <w:rPr>
          <w:rFonts w:eastAsia="Times New Roman"/>
          <w:rtl/>
          <w:lang w:eastAsia="de-DE"/>
        </w:rPr>
        <w:t xml:space="preserve"> </w:t>
      </w:r>
      <w:r w:rsidRPr="00465BF0">
        <w:rPr>
          <w:rFonts w:eastAsia="Times New Roman"/>
          <w:lang w:eastAsia="de-DE"/>
        </w:rPr>
        <w:t xml:space="preserve">ist die Folgerung: </w:t>
      </w:r>
      <w:r w:rsidRPr="00465BF0">
        <w:rPr>
          <w:rFonts w:eastAsia="Times New Roman"/>
          <w:b/>
          <w:bCs/>
          <w:rtl/>
          <w:lang w:eastAsia="de-DE"/>
        </w:rPr>
        <w:t>עַל־כֵּן</w:t>
      </w:r>
      <w:r w:rsidRPr="00465BF0">
        <w:rPr>
          <w:rFonts w:eastAsia="Times New Roman"/>
          <w:rtl/>
          <w:lang w:eastAsia="de-DE"/>
        </w:rPr>
        <w:t xml:space="preserve"> </w:t>
      </w:r>
      <w:r w:rsidRPr="00465BF0">
        <w:rPr>
          <w:rFonts w:eastAsia="Times New Roman"/>
          <w:lang w:eastAsia="de-DE"/>
        </w:rPr>
        <w:t xml:space="preserve">als kausale Konjunktion („darum, deshalb"), </w:t>
      </w:r>
      <w:r w:rsidRPr="00465BF0">
        <w:rPr>
          <w:rFonts w:eastAsia="Times New Roman"/>
          <w:b/>
          <w:bCs/>
          <w:rtl/>
          <w:lang w:eastAsia="de-DE"/>
        </w:rPr>
        <w:t>לֹא־הָיָה</w:t>
      </w:r>
      <w:r w:rsidRPr="00465BF0">
        <w:rPr>
          <w:rFonts w:eastAsia="Times New Roman"/>
          <w:rtl/>
          <w:lang w:eastAsia="de-DE"/>
        </w:rPr>
        <w:t xml:space="preserve"> </w:t>
      </w:r>
      <w:r w:rsidRPr="00465BF0">
        <w:rPr>
          <w:rFonts w:eastAsia="Times New Roman"/>
          <w:lang w:eastAsia="de-DE"/>
        </w:rPr>
        <w:t xml:space="preserve">als Qal Perfekt, 3. Person Singular maskulin von </w:t>
      </w:r>
      <w:r w:rsidRPr="00465BF0">
        <w:rPr>
          <w:rFonts w:eastAsia="Times New Roman"/>
          <w:b/>
          <w:bCs/>
          <w:rtl/>
          <w:lang w:eastAsia="de-DE"/>
        </w:rPr>
        <w:t>היה</w:t>
      </w:r>
      <w:r w:rsidRPr="00465BF0">
        <w:rPr>
          <w:rFonts w:eastAsia="Times New Roman"/>
          <w:lang w:eastAsia="de-DE"/>
        </w:rPr>
        <w:t xml:space="preserve">, „sein", mit Negation (mit </w:t>
      </w:r>
      <w:r w:rsidR="00D84597">
        <w:rPr>
          <w:rFonts w:eastAsia="Times New Roman"/>
          <w:lang w:eastAsia="de-DE"/>
        </w:rPr>
        <w:t>Maqqef</w:t>
      </w:r>
      <w:r w:rsidRPr="00465BF0">
        <w:rPr>
          <w:rFonts w:eastAsia="Times New Roman"/>
          <w:lang w:eastAsia="de-DE"/>
        </w:rPr>
        <w:t xml:space="preserve">), </w:t>
      </w:r>
      <w:r w:rsidRPr="00465BF0">
        <w:rPr>
          <w:rFonts w:eastAsia="Times New Roman"/>
          <w:b/>
          <w:bCs/>
          <w:rtl/>
          <w:lang w:eastAsia="de-DE"/>
        </w:rPr>
        <w:t>לְלֵוִי</w:t>
      </w:r>
      <w:r w:rsidRPr="00465BF0">
        <w:rPr>
          <w:rFonts w:eastAsia="Times New Roman"/>
          <w:rtl/>
          <w:lang w:eastAsia="de-DE"/>
        </w:rPr>
        <w:t xml:space="preserve"> </w:t>
      </w:r>
      <w:r w:rsidRPr="00465BF0">
        <w:rPr>
          <w:rFonts w:eastAsia="Times New Roman"/>
          <w:lang w:eastAsia="de-DE"/>
        </w:rPr>
        <w:t>als indirektes Objekt bzw. Dativ (</w:t>
      </w:r>
      <w:r w:rsidRPr="00465BF0">
        <w:rPr>
          <w:rFonts w:eastAsia="Times New Roman"/>
          <w:b/>
          <w:bCs/>
          <w:rtl/>
          <w:lang w:eastAsia="de-DE"/>
        </w:rPr>
        <w:t>לְ</w:t>
      </w:r>
      <w:r w:rsidRPr="00465BF0">
        <w:rPr>
          <w:rFonts w:eastAsia="Times New Roman"/>
          <w:rtl/>
          <w:lang w:eastAsia="de-DE"/>
        </w:rPr>
        <w:t xml:space="preserve"> </w:t>
      </w:r>
      <w:r w:rsidRPr="00465BF0">
        <w:rPr>
          <w:rFonts w:eastAsia="Times New Roman"/>
          <w:lang w:eastAsia="de-DE"/>
        </w:rPr>
        <w:t xml:space="preserve">mit </w:t>
      </w:r>
      <w:r w:rsidRPr="00465BF0">
        <w:rPr>
          <w:rFonts w:eastAsia="Times New Roman"/>
          <w:b/>
          <w:bCs/>
          <w:rtl/>
          <w:lang w:eastAsia="de-DE"/>
        </w:rPr>
        <w:t>לֵוִי</w:t>
      </w:r>
      <w:r w:rsidRPr="00465BF0">
        <w:rPr>
          <w:rFonts w:eastAsia="Times New Roman"/>
          <w:rtl/>
          <w:lang w:eastAsia="de-DE"/>
        </w:rPr>
        <w:t xml:space="preserve"> </w:t>
      </w:r>
      <w:r w:rsidRPr="00465BF0">
        <w:rPr>
          <w:rFonts w:eastAsia="Times New Roman"/>
          <w:lang w:eastAsia="de-DE"/>
        </w:rPr>
        <w:t xml:space="preserve">– „für Levi, dem Levi"), </w:t>
      </w:r>
      <w:r w:rsidRPr="00465BF0">
        <w:rPr>
          <w:rFonts w:eastAsia="Times New Roman"/>
          <w:b/>
          <w:bCs/>
          <w:rtl/>
          <w:lang w:eastAsia="de-DE"/>
        </w:rPr>
        <w:t>חֵלֶק וְנַחֲלָה</w:t>
      </w:r>
      <w:r w:rsidRPr="00465BF0">
        <w:rPr>
          <w:rFonts w:eastAsia="Times New Roman"/>
          <w:rtl/>
          <w:lang w:eastAsia="de-DE"/>
        </w:rPr>
        <w:t xml:space="preserve"> </w:t>
      </w:r>
      <w:r w:rsidRPr="00465BF0">
        <w:rPr>
          <w:rFonts w:eastAsia="Times New Roman"/>
          <w:lang w:eastAsia="de-DE"/>
        </w:rPr>
        <w:t>als zweigliedriges koordiniertes Subjekt (</w:t>
      </w:r>
      <w:r w:rsidRPr="00465BF0">
        <w:rPr>
          <w:rFonts w:eastAsia="Times New Roman"/>
          <w:b/>
          <w:bCs/>
          <w:rtl/>
          <w:lang w:eastAsia="de-DE"/>
        </w:rPr>
        <w:t>חֵלֶק</w:t>
      </w:r>
      <w:r w:rsidRPr="00465BF0">
        <w:rPr>
          <w:rFonts w:eastAsia="Times New Roman"/>
          <w:lang w:eastAsia="de-DE"/>
        </w:rPr>
        <w:t xml:space="preserve">, „Teil, Anteil", und </w:t>
      </w:r>
      <w:r w:rsidRPr="00465BF0">
        <w:rPr>
          <w:rFonts w:eastAsia="Times New Roman"/>
          <w:b/>
          <w:bCs/>
          <w:rtl/>
          <w:lang w:eastAsia="de-DE"/>
        </w:rPr>
        <w:t>נַחֲלָה</w:t>
      </w:r>
      <w:r w:rsidRPr="00465BF0">
        <w:rPr>
          <w:rFonts w:eastAsia="Times New Roman"/>
          <w:lang w:eastAsia="de-DE"/>
        </w:rPr>
        <w:t xml:space="preserve">, „Erbteil, Erbbesitz" – „Teil und Erbe"), </w:t>
      </w:r>
      <w:r w:rsidRPr="00465BF0">
        <w:rPr>
          <w:rFonts w:eastAsia="Times New Roman"/>
          <w:b/>
          <w:bCs/>
          <w:rtl/>
          <w:lang w:eastAsia="de-DE"/>
        </w:rPr>
        <w:t>עִם־אֶחָיו</w:t>
      </w:r>
      <w:r w:rsidRPr="00465BF0">
        <w:rPr>
          <w:rFonts w:eastAsia="Times New Roman"/>
          <w:rtl/>
          <w:lang w:eastAsia="de-DE"/>
        </w:rPr>
        <w:t xml:space="preserve"> </w:t>
      </w:r>
      <w:r w:rsidRPr="00465BF0">
        <w:rPr>
          <w:rFonts w:eastAsia="Times New Roman"/>
          <w:lang w:eastAsia="de-DE"/>
        </w:rPr>
        <w:t>als präpositionale Ergänzung (</w:t>
      </w:r>
      <w:r w:rsidRPr="00465BF0">
        <w:rPr>
          <w:rFonts w:eastAsia="Times New Roman"/>
          <w:b/>
          <w:bCs/>
          <w:rtl/>
          <w:lang w:eastAsia="de-DE"/>
        </w:rPr>
        <w:t>עִם</w:t>
      </w:r>
      <w:r w:rsidRPr="00465BF0">
        <w:rPr>
          <w:rFonts w:eastAsia="Times New Roman"/>
          <w:rtl/>
          <w:lang w:eastAsia="de-DE"/>
        </w:rPr>
        <w:t xml:space="preserve"> </w:t>
      </w:r>
      <w:r w:rsidRPr="00465BF0">
        <w:rPr>
          <w:rFonts w:eastAsia="Times New Roman"/>
          <w:lang w:eastAsia="de-DE"/>
        </w:rPr>
        <w:t xml:space="preserve">mit </w:t>
      </w:r>
      <w:r w:rsidRPr="00465BF0">
        <w:rPr>
          <w:rFonts w:eastAsia="Times New Roman"/>
          <w:b/>
          <w:bCs/>
          <w:rtl/>
          <w:lang w:eastAsia="de-DE"/>
        </w:rPr>
        <w:t>אָח</w:t>
      </w:r>
      <w:r w:rsidRPr="00465BF0">
        <w:rPr>
          <w:rFonts w:eastAsia="Times New Roman"/>
          <w:lang w:eastAsia="de-DE"/>
        </w:rPr>
        <w:t>, Plural, und Suffix 3. Person Singular maskulin – „mit seinen Brüdern").</w:t>
      </w:r>
    </w:p>
    <w:p w14:paraId="4A844D0E"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b/>
          <w:bCs/>
          <w:rtl/>
          <w:lang w:eastAsia="de-DE"/>
        </w:rPr>
        <w:t>יְהוָה הוּא נַחֲלָתוֹ</w:t>
      </w:r>
      <w:r w:rsidRPr="00465BF0">
        <w:rPr>
          <w:rFonts w:eastAsia="Times New Roman"/>
          <w:rtl/>
          <w:lang w:eastAsia="de-DE"/>
        </w:rPr>
        <w:t xml:space="preserve"> </w:t>
      </w:r>
      <w:r w:rsidRPr="00465BF0">
        <w:rPr>
          <w:rFonts w:eastAsia="Times New Roman"/>
          <w:lang w:eastAsia="de-DE"/>
        </w:rPr>
        <w:t xml:space="preserve">ist die positive Aussage: </w:t>
      </w:r>
      <w:r w:rsidRPr="00465BF0">
        <w:rPr>
          <w:rFonts w:eastAsia="Times New Roman"/>
          <w:b/>
          <w:bCs/>
          <w:rtl/>
          <w:lang w:eastAsia="de-DE"/>
        </w:rPr>
        <w:t>יְהוָה</w:t>
      </w:r>
      <w:r w:rsidRPr="00465BF0">
        <w:rPr>
          <w:rFonts w:eastAsia="Times New Roman"/>
          <w:rtl/>
          <w:lang w:eastAsia="de-DE"/>
        </w:rPr>
        <w:t xml:space="preserve"> </w:t>
      </w:r>
      <w:r w:rsidRPr="00465BF0">
        <w:rPr>
          <w:rFonts w:eastAsia="Times New Roman"/>
          <w:lang w:eastAsia="de-DE"/>
        </w:rPr>
        <w:t xml:space="preserve">als Subjekt, </w:t>
      </w:r>
      <w:r w:rsidRPr="00465BF0">
        <w:rPr>
          <w:rFonts w:eastAsia="Times New Roman"/>
          <w:b/>
          <w:bCs/>
          <w:rtl/>
          <w:lang w:eastAsia="de-DE"/>
        </w:rPr>
        <w:t>הוּא</w:t>
      </w:r>
      <w:r w:rsidRPr="00465BF0">
        <w:rPr>
          <w:rFonts w:eastAsia="Times New Roman"/>
          <w:rtl/>
          <w:lang w:eastAsia="de-DE"/>
        </w:rPr>
        <w:t xml:space="preserve"> </w:t>
      </w:r>
      <w:r w:rsidRPr="00465BF0">
        <w:rPr>
          <w:rFonts w:eastAsia="Times New Roman"/>
          <w:lang w:eastAsia="de-DE"/>
        </w:rPr>
        <w:t xml:space="preserve">als emphatisches Pronomen, </w:t>
      </w:r>
      <w:r w:rsidRPr="00465BF0">
        <w:rPr>
          <w:rFonts w:eastAsia="Times New Roman"/>
          <w:b/>
          <w:bCs/>
          <w:rtl/>
          <w:lang w:eastAsia="de-DE"/>
        </w:rPr>
        <w:t>נַחֲלָתוֹ</w:t>
      </w:r>
      <w:r w:rsidRPr="00465BF0">
        <w:rPr>
          <w:rFonts w:eastAsia="Times New Roman"/>
          <w:rtl/>
          <w:lang w:eastAsia="de-DE"/>
        </w:rPr>
        <w:t xml:space="preserve"> </w:t>
      </w:r>
      <w:r w:rsidRPr="00465BF0">
        <w:rPr>
          <w:rFonts w:eastAsia="Times New Roman"/>
          <w:lang w:eastAsia="de-DE"/>
        </w:rPr>
        <w:t>als Prädikatsnomen (</w:t>
      </w:r>
      <w:r w:rsidRPr="00465BF0">
        <w:rPr>
          <w:rFonts w:eastAsia="Times New Roman"/>
          <w:b/>
          <w:bCs/>
          <w:rtl/>
          <w:lang w:eastAsia="de-DE"/>
        </w:rPr>
        <w:t>נַחֲלָה</w:t>
      </w:r>
      <w:r w:rsidRPr="00465BF0">
        <w:rPr>
          <w:rFonts w:eastAsia="Times New Roman"/>
          <w:rtl/>
          <w:lang w:eastAsia="de-DE"/>
        </w:rPr>
        <w:t xml:space="preserve"> </w:t>
      </w:r>
      <w:r w:rsidRPr="00465BF0">
        <w:rPr>
          <w:rFonts w:eastAsia="Times New Roman"/>
          <w:lang w:eastAsia="de-DE"/>
        </w:rPr>
        <w:t>mit Suffix 3. Person Singular maskulin – „sein Erbteil").</w:t>
      </w:r>
    </w:p>
    <w:p w14:paraId="508CFEE2" w14:textId="549F4FF1"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b/>
          <w:bCs/>
          <w:rtl/>
          <w:lang w:eastAsia="de-DE"/>
        </w:rPr>
        <w:t>כַּאֲשֶׁר דִּבֶּר יְהוָה אֱלֹהֶיךָ לוֹ</w:t>
      </w:r>
      <w:r w:rsidRPr="00465BF0">
        <w:rPr>
          <w:rFonts w:eastAsia="Times New Roman"/>
          <w:rtl/>
          <w:lang w:eastAsia="de-DE"/>
        </w:rPr>
        <w:t xml:space="preserve"> </w:t>
      </w:r>
      <w:r w:rsidRPr="00465BF0">
        <w:rPr>
          <w:rFonts w:eastAsia="Times New Roman"/>
          <w:lang w:eastAsia="de-DE"/>
        </w:rPr>
        <w:t xml:space="preserve">ist die Bestätigung: </w:t>
      </w:r>
      <w:r w:rsidRPr="00465BF0">
        <w:rPr>
          <w:rFonts w:eastAsia="Times New Roman"/>
          <w:b/>
          <w:bCs/>
          <w:rtl/>
          <w:lang w:eastAsia="de-DE"/>
        </w:rPr>
        <w:t>כַּאֲשֶׁר</w:t>
      </w:r>
      <w:r w:rsidRPr="00465BF0">
        <w:rPr>
          <w:rFonts w:eastAsia="Times New Roman"/>
          <w:rtl/>
          <w:lang w:eastAsia="de-DE"/>
        </w:rPr>
        <w:t xml:space="preserve"> </w:t>
      </w:r>
      <w:r w:rsidRPr="00465BF0">
        <w:rPr>
          <w:rFonts w:eastAsia="Times New Roman"/>
          <w:lang w:eastAsia="de-DE"/>
        </w:rPr>
        <w:t xml:space="preserve">als Vergleichskonjunktion </w:t>
      </w:r>
      <w:r w:rsidR="00D84597">
        <w:rPr>
          <w:rFonts w:eastAsia="Times New Roman"/>
          <w:lang w:eastAsia="de-DE"/>
        </w:rPr>
        <w:t>(„wie, sowie“)</w:t>
      </w:r>
      <w:r w:rsidRPr="00465BF0">
        <w:rPr>
          <w:rFonts w:eastAsia="Times New Roman"/>
          <w:lang w:eastAsia="de-DE"/>
        </w:rPr>
        <w:t xml:space="preserve">, </w:t>
      </w:r>
      <w:r w:rsidRPr="00465BF0">
        <w:rPr>
          <w:rFonts w:eastAsia="Times New Roman"/>
          <w:b/>
          <w:bCs/>
          <w:rtl/>
          <w:lang w:eastAsia="de-DE"/>
        </w:rPr>
        <w:t>דִּבֶּר</w:t>
      </w:r>
      <w:r w:rsidRPr="00465BF0">
        <w:rPr>
          <w:rFonts w:eastAsia="Times New Roman"/>
          <w:rtl/>
          <w:lang w:eastAsia="de-DE"/>
        </w:rPr>
        <w:t xml:space="preserve"> </w:t>
      </w:r>
      <w:r w:rsidRPr="00465BF0">
        <w:rPr>
          <w:rFonts w:eastAsia="Times New Roman"/>
          <w:lang w:eastAsia="de-DE"/>
        </w:rPr>
        <w:t xml:space="preserve">als Piel Perfekt, 3. Person Singular maskulin von </w:t>
      </w:r>
      <w:r w:rsidRPr="00465BF0">
        <w:rPr>
          <w:rFonts w:eastAsia="Times New Roman"/>
          <w:b/>
          <w:bCs/>
          <w:rtl/>
          <w:lang w:eastAsia="de-DE"/>
        </w:rPr>
        <w:t>דבר</w:t>
      </w:r>
      <w:r w:rsidRPr="00465BF0">
        <w:rPr>
          <w:rFonts w:eastAsia="Times New Roman"/>
          <w:lang w:eastAsia="de-DE"/>
        </w:rPr>
        <w:t xml:space="preserve">, „reden", </w:t>
      </w:r>
      <w:r w:rsidRPr="00465BF0">
        <w:rPr>
          <w:rFonts w:eastAsia="Times New Roman"/>
          <w:b/>
          <w:bCs/>
          <w:rtl/>
          <w:lang w:eastAsia="de-DE"/>
        </w:rPr>
        <w:t>יְהוָה אֱלֹהֶיךָ</w:t>
      </w:r>
      <w:r w:rsidRPr="00465BF0">
        <w:rPr>
          <w:rFonts w:eastAsia="Times New Roman"/>
          <w:rtl/>
          <w:lang w:eastAsia="de-DE"/>
        </w:rPr>
        <w:t xml:space="preserve"> </w:t>
      </w:r>
      <w:r w:rsidRPr="00465BF0">
        <w:rPr>
          <w:rFonts w:eastAsia="Times New Roman"/>
          <w:lang w:eastAsia="de-DE"/>
        </w:rPr>
        <w:t xml:space="preserve">als erweitertes Subjekt, </w:t>
      </w:r>
      <w:r w:rsidRPr="00465BF0">
        <w:rPr>
          <w:rFonts w:eastAsia="Times New Roman"/>
          <w:b/>
          <w:bCs/>
          <w:rtl/>
          <w:lang w:eastAsia="de-DE"/>
        </w:rPr>
        <w:t>לוֹ</w:t>
      </w:r>
      <w:r w:rsidRPr="00465BF0">
        <w:rPr>
          <w:rFonts w:eastAsia="Times New Roman"/>
          <w:rtl/>
          <w:lang w:eastAsia="de-DE"/>
        </w:rPr>
        <w:t xml:space="preserve"> </w:t>
      </w:r>
      <w:r w:rsidRPr="00465BF0">
        <w:rPr>
          <w:rFonts w:eastAsia="Times New Roman"/>
          <w:lang w:eastAsia="de-DE"/>
        </w:rPr>
        <w:t>als indirektes Objekt.</w:t>
      </w:r>
    </w:p>
    <w:p w14:paraId="4C1AF40D"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lang w:eastAsia="de-DE"/>
        </w:rPr>
        <w:t xml:space="preserve">Der Vers erklärt die levitische Erblosigkeit als Konsequenz ihrer Aussonderung (V. 8): Weil die Leviten JHWH dienen, erhalten sie keinen Landanteil wie die anderen Stämme. Die zweigliedrige Formulierung </w:t>
      </w:r>
      <w:r w:rsidRPr="00465BF0">
        <w:rPr>
          <w:rFonts w:eastAsia="Times New Roman"/>
          <w:b/>
          <w:bCs/>
          <w:rtl/>
          <w:lang w:eastAsia="de-DE"/>
        </w:rPr>
        <w:t>חֵלֶק וְנַחֲלָה</w:t>
      </w:r>
      <w:r w:rsidRPr="00465BF0">
        <w:rPr>
          <w:rFonts w:eastAsia="Times New Roman"/>
          <w:rtl/>
          <w:lang w:eastAsia="de-DE"/>
        </w:rPr>
        <w:t xml:space="preserve"> </w:t>
      </w:r>
      <w:r w:rsidRPr="00465BF0">
        <w:rPr>
          <w:rFonts w:eastAsia="Times New Roman"/>
          <w:lang w:eastAsia="de-DE"/>
        </w:rPr>
        <w:t xml:space="preserve">(„Teil und Erbe") betont die totale Landlosigkeit. Die </w:t>
      </w:r>
      <w:r w:rsidRPr="00465BF0">
        <w:rPr>
          <w:rFonts w:eastAsia="Times New Roman"/>
          <w:lang w:eastAsia="de-DE"/>
        </w:rPr>
        <w:lastRenderedPageBreak/>
        <w:t xml:space="preserve">positive Aussage </w:t>
      </w:r>
      <w:r w:rsidRPr="00465BF0">
        <w:rPr>
          <w:rFonts w:eastAsia="Times New Roman"/>
          <w:b/>
          <w:bCs/>
          <w:rtl/>
          <w:lang w:eastAsia="de-DE"/>
        </w:rPr>
        <w:t>יְהוָה הוּא נַחֲלָתוֹ</w:t>
      </w:r>
      <w:r w:rsidRPr="00465BF0">
        <w:rPr>
          <w:rFonts w:eastAsia="Times New Roman"/>
          <w:rtl/>
          <w:lang w:eastAsia="de-DE"/>
        </w:rPr>
        <w:t xml:space="preserve"> </w:t>
      </w:r>
      <w:r w:rsidRPr="00465BF0">
        <w:rPr>
          <w:rFonts w:eastAsia="Times New Roman"/>
          <w:lang w:eastAsia="de-DE"/>
        </w:rPr>
        <w:t xml:space="preserve">(„JHWH ist sein Erbteil") ist paradox und theologisch bedeutsam: Statt Land besitzt Levi JHWH selbst (vgl. Num 18,20; Dtn 18,1-2; Jos 13,14.33; 18,7; Ps 16,5; 73,26). Das emphatische Pronomen </w:t>
      </w:r>
      <w:r w:rsidRPr="00465BF0">
        <w:rPr>
          <w:rFonts w:eastAsia="Times New Roman"/>
          <w:b/>
          <w:bCs/>
          <w:rtl/>
          <w:lang w:eastAsia="de-DE"/>
        </w:rPr>
        <w:t>הוּא</w:t>
      </w:r>
      <w:r w:rsidRPr="00465BF0">
        <w:rPr>
          <w:rFonts w:eastAsia="Times New Roman"/>
          <w:rtl/>
          <w:lang w:eastAsia="de-DE"/>
        </w:rPr>
        <w:t xml:space="preserve"> </w:t>
      </w:r>
      <w:r w:rsidRPr="00465BF0">
        <w:rPr>
          <w:rFonts w:eastAsia="Times New Roman"/>
          <w:lang w:eastAsia="de-DE"/>
        </w:rPr>
        <w:t xml:space="preserve">unterstreicht: JHWH selbst, nicht ein Ersatz. Die Bestätigungsformel </w:t>
      </w:r>
      <w:r w:rsidRPr="00465BF0">
        <w:rPr>
          <w:rFonts w:eastAsia="Times New Roman"/>
          <w:b/>
          <w:bCs/>
          <w:rtl/>
          <w:lang w:eastAsia="de-DE"/>
        </w:rPr>
        <w:t>כַּאֲשֶׁר דִּבֶּר יְהוָה אֱלֹהֶיךָ לוֹ</w:t>
      </w:r>
      <w:r w:rsidRPr="00465BF0">
        <w:rPr>
          <w:rFonts w:eastAsia="Times New Roman"/>
          <w:rtl/>
          <w:lang w:eastAsia="de-DE"/>
        </w:rPr>
        <w:t xml:space="preserve"> </w:t>
      </w:r>
      <w:r w:rsidRPr="00465BF0">
        <w:rPr>
          <w:rFonts w:eastAsia="Times New Roman"/>
          <w:lang w:eastAsia="de-DE"/>
        </w:rPr>
        <w:t>verweist auf frühere göttliche Zusagen.</w:t>
      </w:r>
    </w:p>
    <w:p w14:paraId="4111694B"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lang w:eastAsia="de-DE"/>
        </w:rPr>
        <w:t>Die Satzstruktur ist eine Folgerung mit kausaler Konjunktion, negiertem Prädikat, Dativ, zweigliedrigem koordiniertem Subjekt und präpositionaler Ergänzung, gefolgt von einem nominalen Satz mit Subjekt, emphatischem Pronomen und Prädikatsnomen sowie einer Bestätigungsformel.</w:t>
      </w:r>
    </w:p>
    <w:p w14:paraId="54014287"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lang w:eastAsia="de-DE"/>
        </w:rPr>
        <w:t>Der Vers erklärt die levitische Erblosigkeit: Darum hat Levi keinen Landanteil mit seinen Brüdern – JHWH selbst ist sein Erbteil, wie JHWH zu ihm geredet hat.</w:t>
      </w:r>
    </w:p>
    <w:p w14:paraId="4F621E8B" w14:textId="77777777" w:rsidR="00465BF0" w:rsidRPr="00465BF0" w:rsidRDefault="00465BF0" w:rsidP="00465BF0">
      <w:pPr>
        <w:spacing w:before="100" w:beforeAutospacing="1" w:after="100" w:afterAutospacing="1" w:line="240" w:lineRule="auto"/>
        <w:outlineLvl w:val="1"/>
        <w:rPr>
          <w:rFonts w:eastAsia="Times New Roman"/>
          <w:b/>
          <w:bCs/>
          <w:sz w:val="36"/>
          <w:szCs w:val="36"/>
          <w:lang w:eastAsia="de-DE"/>
        </w:rPr>
      </w:pPr>
      <w:r w:rsidRPr="00465BF0">
        <w:rPr>
          <w:rFonts w:eastAsia="Times New Roman"/>
          <w:b/>
          <w:bCs/>
          <w:sz w:val="36"/>
          <w:szCs w:val="36"/>
          <w:lang w:eastAsia="de-DE"/>
        </w:rPr>
        <w:t>Deuteronomium 10,10</w:t>
      </w:r>
    </w:p>
    <w:p w14:paraId="023A8AC0"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b/>
          <w:bCs/>
          <w:lang w:eastAsia="de-DE"/>
        </w:rPr>
        <w:t>Hebräisch:</w:t>
      </w:r>
      <w:r w:rsidRPr="00465BF0">
        <w:rPr>
          <w:rFonts w:eastAsia="Times New Roman"/>
          <w:lang w:eastAsia="de-DE"/>
        </w:rPr>
        <w:t xml:space="preserve"> </w:t>
      </w:r>
      <w:r w:rsidRPr="00465BF0">
        <w:rPr>
          <w:rFonts w:eastAsia="Times New Roman"/>
          <w:rtl/>
          <w:lang w:eastAsia="de-DE"/>
        </w:rPr>
        <w:t>וְאָנֹכִ֞י עָמַ֣דְתִּי בָהָ֗ר כַּיָּמִים֙ הָרִ֣אשֹׁנִ֔ים אַרְבָּעִ֣ים י֔וֹם וְאַרְבָּעִ֖ים לָ֑יְלָה וַיִּשְׁמַ֨ע יְהוָ֜ה אֵלַ֗י גַּ֚ם בַּפַּ֣עַם הַהִ֔וא לֹא־אָבָ֥ה יְהוָ֖ה הַשְׁחִיתֶֽךָ׃</w:t>
      </w:r>
    </w:p>
    <w:p w14:paraId="1AE98978"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b/>
          <w:bCs/>
          <w:lang w:eastAsia="de-DE"/>
        </w:rPr>
        <w:t>Deutsch:</w:t>
      </w:r>
      <w:r w:rsidRPr="00465BF0">
        <w:rPr>
          <w:rFonts w:eastAsia="Times New Roman"/>
          <w:lang w:eastAsia="de-DE"/>
        </w:rPr>
        <w:t xml:space="preserve"> Ich aber blieb auf dem Berg, wie die vorigen Tage, 40 Tage und 40 Nächte, und der Ewige erhörte mich auch dieses Mal; der Ewige wollte dich nicht verderben.</w:t>
      </w:r>
    </w:p>
    <w:p w14:paraId="0C4B9066" w14:textId="77777777" w:rsidR="00465BF0" w:rsidRPr="00465BF0" w:rsidRDefault="004F5CEB" w:rsidP="00465BF0">
      <w:pPr>
        <w:spacing w:after="0" w:line="240" w:lineRule="auto"/>
        <w:rPr>
          <w:rFonts w:eastAsia="Times New Roman"/>
          <w:lang w:eastAsia="de-DE"/>
        </w:rPr>
      </w:pPr>
      <w:r>
        <w:rPr>
          <w:rFonts w:eastAsia="Times New Roman"/>
          <w:noProof/>
          <w:lang w:eastAsia="de-DE"/>
        </w:rPr>
        <w:pict w14:anchorId="11025B51">
          <v:rect id="_x0000_i1328" style="width:0;height:1.5pt" o:hralign="center" o:hrstd="t" o:hr="t" fillcolor="#a0a0a0" stroked="f"/>
        </w:pict>
      </w:r>
    </w:p>
    <w:p w14:paraId="49EF4E54"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b/>
          <w:bCs/>
          <w:lang w:eastAsia="de-DE"/>
        </w:rPr>
        <w:t>Kommentar:</w:t>
      </w:r>
      <w:r w:rsidRPr="00465BF0">
        <w:rPr>
          <w:rFonts w:eastAsia="Times New Roman"/>
          <w:lang w:eastAsia="de-DE"/>
        </w:rPr>
        <w:t xml:space="preserve"> </w:t>
      </w:r>
      <w:r w:rsidRPr="00465BF0">
        <w:rPr>
          <w:rFonts w:eastAsia="Times New Roman"/>
          <w:b/>
          <w:bCs/>
          <w:rtl/>
          <w:lang w:eastAsia="de-DE"/>
        </w:rPr>
        <w:t>וְאָנֹכִי עָמַדְתִּי בָהָר כַּיָּמִים הָרִאשֹׁנִים אַרְבָּעִים יוֹם וְאַרְבָּעִים לָיְלָה</w:t>
      </w:r>
      <w:r w:rsidRPr="00465BF0">
        <w:rPr>
          <w:rFonts w:eastAsia="Times New Roman"/>
          <w:rtl/>
          <w:lang w:eastAsia="de-DE"/>
        </w:rPr>
        <w:t xml:space="preserve"> </w:t>
      </w:r>
      <w:r w:rsidRPr="00465BF0">
        <w:rPr>
          <w:rFonts w:eastAsia="Times New Roman"/>
          <w:lang w:eastAsia="de-DE"/>
        </w:rPr>
        <w:t xml:space="preserve">ist die Hauptaussage: </w:t>
      </w:r>
      <w:r w:rsidRPr="00465BF0">
        <w:rPr>
          <w:rFonts w:eastAsia="Times New Roman"/>
          <w:b/>
          <w:bCs/>
          <w:rtl/>
          <w:lang w:eastAsia="de-DE"/>
        </w:rPr>
        <w:t>וְאָנֹכִי</w:t>
      </w:r>
      <w:r w:rsidRPr="00465BF0">
        <w:rPr>
          <w:rFonts w:eastAsia="Times New Roman"/>
          <w:rtl/>
          <w:lang w:eastAsia="de-DE"/>
        </w:rPr>
        <w:t xml:space="preserve"> </w:t>
      </w:r>
      <w:r w:rsidRPr="00465BF0">
        <w:rPr>
          <w:rFonts w:eastAsia="Times New Roman"/>
          <w:lang w:eastAsia="de-DE"/>
        </w:rPr>
        <w:t xml:space="preserve">als emphatisches Subjekt (Pronomen 1. Person Singular mit </w:t>
      </w:r>
      <w:r w:rsidRPr="00465BF0">
        <w:rPr>
          <w:rFonts w:eastAsia="Times New Roman"/>
          <w:b/>
          <w:bCs/>
          <w:rtl/>
          <w:lang w:eastAsia="de-DE"/>
        </w:rPr>
        <w:t>וְ</w:t>
      </w:r>
      <w:r w:rsidRPr="00465BF0">
        <w:rPr>
          <w:rFonts w:eastAsia="Times New Roman"/>
          <w:rtl/>
          <w:lang w:eastAsia="de-DE"/>
        </w:rPr>
        <w:t xml:space="preserve"> </w:t>
      </w:r>
      <w:r w:rsidRPr="00465BF0">
        <w:rPr>
          <w:rFonts w:eastAsia="Times New Roman"/>
          <w:lang w:eastAsia="de-DE"/>
        </w:rPr>
        <w:t xml:space="preserve">– „ich aber, ich meinerseits"), </w:t>
      </w:r>
      <w:r w:rsidRPr="00465BF0">
        <w:rPr>
          <w:rFonts w:eastAsia="Times New Roman"/>
          <w:b/>
          <w:bCs/>
          <w:rtl/>
          <w:lang w:eastAsia="de-DE"/>
        </w:rPr>
        <w:t>עָמַדְתִּי</w:t>
      </w:r>
      <w:r w:rsidRPr="00465BF0">
        <w:rPr>
          <w:rFonts w:eastAsia="Times New Roman"/>
          <w:rtl/>
          <w:lang w:eastAsia="de-DE"/>
        </w:rPr>
        <w:t xml:space="preserve"> </w:t>
      </w:r>
      <w:r w:rsidRPr="00465BF0">
        <w:rPr>
          <w:rFonts w:eastAsia="Times New Roman"/>
          <w:lang w:eastAsia="de-DE"/>
        </w:rPr>
        <w:t xml:space="preserve">als Qal Perfekt, 1. Person Singular von </w:t>
      </w:r>
      <w:r w:rsidRPr="00465BF0">
        <w:rPr>
          <w:rFonts w:eastAsia="Times New Roman"/>
          <w:b/>
          <w:bCs/>
          <w:rtl/>
          <w:lang w:eastAsia="de-DE"/>
        </w:rPr>
        <w:t>עמד</w:t>
      </w:r>
      <w:r w:rsidRPr="00465BF0">
        <w:rPr>
          <w:rFonts w:eastAsia="Times New Roman"/>
          <w:lang w:eastAsia="de-DE"/>
        </w:rPr>
        <w:t xml:space="preserve">, „stehen, bleiben", </w:t>
      </w:r>
      <w:r w:rsidRPr="00465BF0">
        <w:rPr>
          <w:rFonts w:eastAsia="Times New Roman"/>
          <w:b/>
          <w:bCs/>
          <w:rtl/>
          <w:lang w:eastAsia="de-DE"/>
        </w:rPr>
        <w:t>בָהָר</w:t>
      </w:r>
      <w:r w:rsidRPr="00465BF0">
        <w:rPr>
          <w:rFonts w:eastAsia="Times New Roman"/>
          <w:rtl/>
          <w:lang w:eastAsia="de-DE"/>
        </w:rPr>
        <w:t xml:space="preserve"> </w:t>
      </w:r>
      <w:r w:rsidRPr="00465BF0">
        <w:rPr>
          <w:rFonts w:eastAsia="Times New Roman"/>
          <w:lang w:eastAsia="de-DE"/>
        </w:rPr>
        <w:t xml:space="preserve">als Ortsangabe, </w:t>
      </w:r>
      <w:r w:rsidRPr="00465BF0">
        <w:rPr>
          <w:rFonts w:eastAsia="Times New Roman"/>
          <w:b/>
          <w:bCs/>
          <w:rtl/>
          <w:lang w:eastAsia="de-DE"/>
        </w:rPr>
        <w:t>כַּיָּמִים הָרִאשֹׁנִים</w:t>
      </w:r>
      <w:r w:rsidRPr="00465BF0">
        <w:rPr>
          <w:rFonts w:eastAsia="Times New Roman"/>
          <w:rtl/>
          <w:lang w:eastAsia="de-DE"/>
        </w:rPr>
        <w:t xml:space="preserve"> </w:t>
      </w:r>
      <w:r w:rsidRPr="00465BF0">
        <w:rPr>
          <w:rFonts w:eastAsia="Times New Roman"/>
          <w:lang w:eastAsia="de-DE"/>
        </w:rPr>
        <w:t>als Vergleichskonstruktion (</w:t>
      </w:r>
      <w:r w:rsidRPr="00465BF0">
        <w:rPr>
          <w:rFonts w:eastAsia="Times New Roman"/>
          <w:b/>
          <w:bCs/>
          <w:rtl/>
          <w:lang w:eastAsia="de-DE"/>
        </w:rPr>
        <w:t>כְּ</w:t>
      </w:r>
      <w:r w:rsidRPr="00465BF0">
        <w:rPr>
          <w:rFonts w:eastAsia="Times New Roman"/>
          <w:rtl/>
          <w:lang w:eastAsia="de-DE"/>
        </w:rPr>
        <w:t xml:space="preserve"> </w:t>
      </w:r>
      <w:r w:rsidRPr="00465BF0">
        <w:rPr>
          <w:rFonts w:eastAsia="Times New Roman"/>
          <w:lang w:eastAsia="de-DE"/>
        </w:rPr>
        <w:t xml:space="preserve">mit </w:t>
      </w:r>
      <w:r w:rsidRPr="00465BF0">
        <w:rPr>
          <w:rFonts w:eastAsia="Times New Roman"/>
          <w:b/>
          <w:bCs/>
          <w:rtl/>
          <w:lang w:eastAsia="de-DE"/>
        </w:rPr>
        <w:t>יוֹם</w:t>
      </w:r>
      <w:r w:rsidRPr="00465BF0">
        <w:rPr>
          <w:rFonts w:eastAsia="Times New Roman"/>
          <w:lang w:eastAsia="de-DE"/>
        </w:rPr>
        <w:t xml:space="preserve">, Plural, mit Artikel, </w:t>
      </w:r>
      <w:r w:rsidRPr="00465BF0">
        <w:rPr>
          <w:rFonts w:eastAsia="Times New Roman"/>
          <w:b/>
          <w:bCs/>
          <w:rtl/>
          <w:lang w:eastAsia="de-DE"/>
        </w:rPr>
        <w:t>רִאשׁוֹן</w:t>
      </w:r>
      <w:r w:rsidRPr="00465BF0">
        <w:rPr>
          <w:rFonts w:eastAsia="Times New Roman"/>
          <w:lang w:eastAsia="de-DE"/>
        </w:rPr>
        <w:t xml:space="preserve">, Plural maskulin als Attribut – „wie die ersten Tage"), </w:t>
      </w:r>
      <w:r w:rsidRPr="00465BF0">
        <w:rPr>
          <w:rFonts w:eastAsia="Times New Roman"/>
          <w:b/>
          <w:bCs/>
          <w:rtl/>
          <w:lang w:eastAsia="de-DE"/>
        </w:rPr>
        <w:t>אַרְבָּעִים יוֹם וְאַרְבָּעִים לָיְלָה</w:t>
      </w:r>
      <w:r w:rsidRPr="00465BF0">
        <w:rPr>
          <w:rFonts w:eastAsia="Times New Roman"/>
          <w:rtl/>
          <w:lang w:eastAsia="de-DE"/>
        </w:rPr>
        <w:t xml:space="preserve"> </w:t>
      </w:r>
      <w:r w:rsidRPr="00465BF0">
        <w:rPr>
          <w:rFonts w:eastAsia="Times New Roman"/>
          <w:lang w:eastAsia="de-DE"/>
        </w:rPr>
        <w:t>als temporale Bestimmung (wie 9,9.18.25).</w:t>
      </w:r>
    </w:p>
    <w:p w14:paraId="7C9CCBF9"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b/>
          <w:bCs/>
          <w:rtl/>
          <w:lang w:eastAsia="de-DE"/>
        </w:rPr>
        <w:t>וַיִּשְׁמַע יְהוָה אֵלַי גַּם בַּפַּעַם הַהִוא</w:t>
      </w:r>
      <w:r w:rsidRPr="00465BF0">
        <w:rPr>
          <w:rFonts w:eastAsia="Times New Roman"/>
          <w:rtl/>
          <w:lang w:eastAsia="de-DE"/>
        </w:rPr>
        <w:t xml:space="preserve"> </w:t>
      </w:r>
      <w:r w:rsidRPr="00465BF0">
        <w:rPr>
          <w:rFonts w:eastAsia="Times New Roman"/>
          <w:lang w:eastAsia="de-DE"/>
        </w:rPr>
        <w:t xml:space="preserve">ist die positive Antwort: </w:t>
      </w:r>
      <w:r w:rsidRPr="00465BF0">
        <w:rPr>
          <w:rFonts w:eastAsia="Times New Roman"/>
          <w:b/>
          <w:bCs/>
          <w:rtl/>
          <w:lang w:eastAsia="de-DE"/>
        </w:rPr>
        <w:t>וַיִּשְׁמַע</w:t>
      </w:r>
      <w:r w:rsidRPr="00465BF0">
        <w:rPr>
          <w:rFonts w:eastAsia="Times New Roman"/>
          <w:rtl/>
          <w:lang w:eastAsia="de-DE"/>
        </w:rPr>
        <w:t xml:space="preserve"> </w:t>
      </w:r>
      <w:r w:rsidRPr="00465BF0">
        <w:rPr>
          <w:rFonts w:eastAsia="Times New Roman"/>
          <w:lang w:eastAsia="de-DE"/>
        </w:rPr>
        <w:t xml:space="preserve">(Qal Imperfekt consecutivum, 3. Person Singular maskulin von </w:t>
      </w:r>
      <w:r w:rsidRPr="00465BF0">
        <w:rPr>
          <w:rFonts w:eastAsia="Times New Roman"/>
          <w:b/>
          <w:bCs/>
          <w:rtl/>
          <w:lang w:eastAsia="de-DE"/>
        </w:rPr>
        <w:t>שׁמע</w:t>
      </w:r>
      <w:r w:rsidRPr="00465BF0">
        <w:rPr>
          <w:rFonts w:eastAsia="Times New Roman"/>
          <w:lang w:eastAsia="de-DE"/>
        </w:rPr>
        <w:t xml:space="preserve">, „hören, erhören", mit </w:t>
      </w:r>
      <w:r w:rsidRPr="00465BF0">
        <w:rPr>
          <w:rFonts w:eastAsia="Times New Roman"/>
          <w:b/>
          <w:bCs/>
          <w:rtl/>
          <w:lang w:eastAsia="de-DE"/>
        </w:rPr>
        <w:t>וְ</w:t>
      </w:r>
      <w:r w:rsidRPr="00465BF0">
        <w:rPr>
          <w:rFonts w:eastAsia="Times New Roman"/>
          <w:lang w:eastAsia="de-DE"/>
        </w:rPr>
        <w:t xml:space="preserve">), </w:t>
      </w:r>
      <w:r w:rsidRPr="00465BF0">
        <w:rPr>
          <w:rFonts w:eastAsia="Times New Roman"/>
          <w:b/>
          <w:bCs/>
          <w:rtl/>
          <w:lang w:eastAsia="de-DE"/>
        </w:rPr>
        <w:t>יְהוָה</w:t>
      </w:r>
      <w:r w:rsidRPr="00465BF0">
        <w:rPr>
          <w:rFonts w:eastAsia="Times New Roman"/>
          <w:rtl/>
          <w:lang w:eastAsia="de-DE"/>
        </w:rPr>
        <w:t xml:space="preserve"> </w:t>
      </w:r>
      <w:r w:rsidRPr="00465BF0">
        <w:rPr>
          <w:rFonts w:eastAsia="Times New Roman"/>
          <w:lang w:eastAsia="de-DE"/>
        </w:rPr>
        <w:t xml:space="preserve">als Subjekt, </w:t>
      </w:r>
      <w:r w:rsidRPr="00465BF0">
        <w:rPr>
          <w:rFonts w:eastAsia="Times New Roman"/>
          <w:b/>
          <w:bCs/>
          <w:rtl/>
          <w:lang w:eastAsia="de-DE"/>
        </w:rPr>
        <w:t>אֵלַי</w:t>
      </w:r>
      <w:r w:rsidRPr="00465BF0">
        <w:rPr>
          <w:rFonts w:eastAsia="Times New Roman"/>
          <w:rtl/>
          <w:lang w:eastAsia="de-DE"/>
        </w:rPr>
        <w:t xml:space="preserve"> </w:t>
      </w:r>
      <w:r w:rsidRPr="00465BF0">
        <w:rPr>
          <w:rFonts w:eastAsia="Times New Roman"/>
          <w:lang w:eastAsia="de-DE"/>
        </w:rPr>
        <w:t xml:space="preserve">als präpositionale Ergänzung, </w:t>
      </w:r>
      <w:r w:rsidRPr="00465BF0">
        <w:rPr>
          <w:rFonts w:eastAsia="Times New Roman"/>
          <w:b/>
          <w:bCs/>
          <w:rtl/>
          <w:lang w:eastAsia="de-DE"/>
        </w:rPr>
        <w:t>גַּם בַּפַּעַם הַהִוא</w:t>
      </w:r>
      <w:r w:rsidRPr="00465BF0">
        <w:rPr>
          <w:rFonts w:eastAsia="Times New Roman"/>
          <w:rtl/>
          <w:lang w:eastAsia="de-DE"/>
        </w:rPr>
        <w:t xml:space="preserve"> </w:t>
      </w:r>
      <w:r w:rsidRPr="00465BF0">
        <w:rPr>
          <w:rFonts w:eastAsia="Times New Roman"/>
          <w:lang w:eastAsia="de-DE"/>
        </w:rPr>
        <w:t>als temporale Bestimmung (</w:t>
      </w:r>
      <w:r w:rsidRPr="00465BF0">
        <w:rPr>
          <w:rFonts w:eastAsia="Times New Roman"/>
          <w:b/>
          <w:bCs/>
          <w:rtl/>
          <w:lang w:eastAsia="de-DE"/>
        </w:rPr>
        <w:t>גַּם</w:t>
      </w:r>
      <w:r w:rsidRPr="00465BF0">
        <w:rPr>
          <w:rFonts w:eastAsia="Times New Roman"/>
          <w:lang w:eastAsia="de-DE"/>
        </w:rPr>
        <w:t xml:space="preserve">, „auch", </w:t>
      </w:r>
      <w:r w:rsidRPr="00465BF0">
        <w:rPr>
          <w:rFonts w:eastAsia="Times New Roman"/>
          <w:b/>
          <w:bCs/>
          <w:rtl/>
          <w:lang w:eastAsia="de-DE"/>
        </w:rPr>
        <w:t>בַּפַּעַם הַהִוא</w:t>
      </w:r>
      <w:r w:rsidRPr="00465BF0">
        <w:rPr>
          <w:rFonts w:eastAsia="Times New Roman"/>
          <w:rtl/>
          <w:lang w:eastAsia="de-DE"/>
        </w:rPr>
        <w:t xml:space="preserve"> </w:t>
      </w:r>
      <w:r w:rsidRPr="00465BF0">
        <w:rPr>
          <w:rFonts w:eastAsia="Times New Roman"/>
          <w:lang w:eastAsia="de-DE"/>
        </w:rPr>
        <w:t xml:space="preserve">– </w:t>
      </w:r>
      <w:r w:rsidRPr="00465BF0">
        <w:rPr>
          <w:rFonts w:eastAsia="Times New Roman"/>
          <w:b/>
          <w:bCs/>
          <w:rtl/>
          <w:lang w:eastAsia="de-DE"/>
        </w:rPr>
        <w:t>בְּ</w:t>
      </w:r>
      <w:r w:rsidRPr="00465BF0">
        <w:rPr>
          <w:rFonts w:eastAsia="Times New Roman"/>
          <w:rtl/>
          <w:lang w:eastAsia="de-DE"/>
        </w:rPr>
        <w:t xml:space="preserve"> </w:t>
      </w:r>
      <w:r w:rsidRPr="00465BF0">
        <w:rPr>
          <w:rFonts w:eastAsia="Times New Roman"/>
          <w:lang w:eastAsia="de-DE"/>
        </w:rPr>
        <w:t xml:space="preserve">mit </w:t>
      </w:r>
      <w:r w:rsidRPr="00465BF0">
        <w:rPr>
          <w:rFonts w:eastAsia="Times New Roman"/>
          <w:b/>
          <w:bCs/>
          <w:rtl/>
          <w:lang w:eastAsia="de-DE"/>
        </w:rPr>
        <w:t>פַּעַם</w:t>
      </w:r>
      <w:r w:rsidRPr="00465BF0">
        <w:rPr>
          <w:rFonts w:eastAsia="Times New Roman"/>
          <w:lang w:eastAsia="de-DE"/>
        </w:rPr>
        <w:t>, „Mal", und Demonstrativpronomen – „auch dieses Mal" – wie 9,19).</w:t>
      </w:r>
    </w:p>
    <w:p w14:paraId="2649F908" w14:textId="32541D5E"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b/>
          <w:bCs/>
          <w:rtl/>
          <w:lang w:eastAsia="de-DE"/>
        </w:rPr>
        <w:t>לֹא־אָבָה יְהוָה הַשְׁחִיתֶךָ</w:t>
      </w:r>
      <w:r w:rsidRPr="00465BF0">
        <w:rPr>
          <w:rFonts w:eastAsia="Times New Roman"/>
          <w:rtl/>
          <w:lang w:eastAsia="de-DE"/>
        </w:rPr>
        <w:t xml:space="preserve"> </w:t>
      </w:r>
      <w:r w:rsidRPr="00465BF0">
        <w:rPr>
          <w:rFonts w:eastAsia="Times New Roman"/>
          <w:lang w:eastAsia="de-DE"/>
        </w:rPr>
        <w:t xml:space="preserve">ist die konkrete Folge: </w:t>
      </w:r>
      <w:r w:rsidRPr="00465BF0">
        <w:rPr>
          <w:rFonts w:eastAsia="Times New Roman"/>
          <w:b/>
          <w:bCs/>
          <w:rtl/>
          <w:lang w:eastAsia="de-DE"/>
        </w:rPr>
        <w:t>לֹא־אָבָה</w:t>
      </w:r>
      <w:r w:rsidRPr="00465BF0">
        <w:rPr>
          <w:rFonts w:eastAsia="Times New Roman"/>
          <w:rtl/>
          <w:lang w:eastAsia="de-DE"/>
        </w:rPr>
        <w:t xml:space="preserve"> </w:t>
      </w:r>
      <w:r w:rsidRPr="00465BF0">
        <w:rPr>
          <w:rFonts w:eastAsia="Times New Roman"/>
          <w:lang w:eastAsia="de-DE"/>
        </w:rPr>
        <w:t xml:space="preserve">als Qal Perfekt, 3. Person Singular maskulin von </w:t>
      </w:r>
      <w:r w:rsidRPr="00465BF0">
        <w:rPr>
          <w:rFonts w:eastAsia="Times New Roman"/>
          <w:b/>
          <w:bCs/>
          <w:rtl/>
          <w:lang w:eastAsia="de-DE"/>
        </w:rPr>
        <w:t>אבה</w:t>
      </w:r>
      <w:r w:rsidRPr="00465BF0">
        <w:rPr>
          <w:rFonts w:eastAsia="Times New Roman"/>
          <w:lang w:eastAsia="de-DE"/>
        </w:rPr>
        <w:t xml:space="preserve">, „wollen, bereit sein", mit Negation (mit </w:t>
      </w:r>
      <w:r w:rsidR="00D84597">
        <w:rPr>
          <w:rFonts w:eastAsia="Times New Roman"/>
          <w:lang w:eastAsia="de-DE"/>
        </w:rPr>
        <w:t>Maqqef</w:t>
      </w:r>
      <w:r w:rsidRPr="00465BF0">
        <w:rPr>
          <w:rFonts w:eastAsia="Times New Roman"/>
          <w:lang w:eastAsia="de-DE"/>
        </w:rPr>
        <w:t xml:space="preserve">), </w:t>
      </w:r>
      <w:r w:rsidRPr="00465BF0">
        <w:rPr>
          <w:rFonts w:eastAsia="Times New Roman"/>
          <w:b/>
          <w:bCs/>
          <w:rtl/>
          <w:lang w:eastAsia="de-DE"/>
        </w:rPr>
        <w:t>יְהוָה</w:t>
      </w:r>
      <w:r w:rsidRPr="00465BF0">
        <w:rPr>
          <w:rFonts w:eastAsia="Times New Roman"/>
          <w:rtl/>
          <w:lang w:eastAsia="de-DE"/>
        </w:rPr>
        <w:t xml:space="preserve"> </w:t>
      </w:r>
      <w:r w:rsidRPr="00465BF0">
        <w:rPr>
          <w:rFonts w:eastAsia="Times New Roman"/>
          <w:lang w:eastAsia="de-DE"/>
        </w:rPr>
        <w:t xml:space="preserve">als Subjekt, </w:t>
      </w:r>
      <w:r w:rsidRPr="00465BF0">
        <w:rPr>
          <w:rFonts w:eastAsia="Times New Roman"/>
          <w:b/>
          <w:bCs/>
          <w:rtl/>
          <w:lang w:eastAsia="de-DE"/>
        </w:rPr>
        <w:t>הַשְׁחִיתֶךָ</w:t>
      </w:r>
      <w:r w:rsidRPr="00465BF0">
        <w:rPr>
          <w:rFonts w:eastAsia="Times New Roman"/>
          <w:rtl/>
          <w:lang w:eastAsia="de-DE"/>
        </w:rPr>
        <w:t xml:space="preserve"> </w:t>
      </w:r>
      <w:r w:rsidRPr="00465BF0">
        <w:rPr>
          <w:rFonts w:eastAsia="Times New Roman"/>
          <w:lang w:eastAsia="de-DE"/>
        </w:rPr>
        <w:t xml:space="preserve">als Hifil Infinitiv Construct von </w:t>
      </w:r>
      <w:r w:rsidRPr="00465BF0">
        <w:rPr>
          <w:rFonts w:eastAsia="Times New Roman"/>
          <w:b/>
          <w:bCs/>
          <w:rtl/>
          <w:lang w:eastAsia="de-DE"/>
        </w:rPr>
        <w:t>שׁחת</w:t>
      </w:r>
      <w:r w:rsidRPr="00465BF0">
        <w:rPr>
          <w:rFonts w:eastAsia="Times New Roman"/>
          <w:lang w:eastAsia="de-DE"/>
        </w:rPr>
        <w:t>, „verderben, vernichten", mit Artikel und Suffix 2. Person Singular maskulin (als objektiver Infinitiv – „dich zu verderben").</w:t>
      </w:r>
    </w:p>
    <w:p w14:paraId="7EE37F32"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lang w:eastAsia="de-DE"/>
        </w:rPr>
        <w:t xml:space="preserve">Der Vers nimmt den Faden von V. 5 wieder auf und schließt die Fürbitte-Erzählung ab. Das emphatische Pronomen </w:t>
      </w:r>
      <w:r w:rsidRPr="00465BF0">
        <w:rPr>
          <w:rFonts w:eastAsia="Times New Roman"/>
          <w:b/>
          <w:bCs/>
          <w:rtl/>
          <w:lang w:eastAsia="de-DE"/>
        </w:rPr>
        <w:t>וְאָנֹכִי</w:t>
      </w:r>
      <w:r w:rsidRPr="00465BF0">
        <w:rPr>
          <w:rFonts w:eastAsia="Times New Roman"/>
          <w:rtl/>
          <w:lang w:eastAsia="de-DE"/>
        </w:rPr>
        <w:t xml:space="preserve"> </w:t>
      </w:r>
      <w:r w:rsidRPr="00465BF0">
        <w:rPr>
          <w:rFonts w:eastAsia="Times New Roman"/>
          <w:lang w:eastAsia="de-DE"/>
        </w:rPr>
        <w:t xml:space="preserve">(„ich aber") betont Moses' Rolle. Die Vergleichskonstruktion </w:t>
      </w:r>
      <w:r w:rsidRPr="00465BF0">
        <w:rPr>
          <w:rFonts w:eastAsia="Times New Roman"/>
          <w:b/>
          <w:bCs/>
          <w:rtl/>
          <w:lang w:eastAsia="de-DE"/>
        </w:rPr>
        <w:t>כַּיָּמִים הָרִאשֹׁנִים</w:t>
      </w:r>
      <w:r w:rsidRPr="00465BF0">
        <w:rPr>
          <w:rFonts w:eastAsia="Times New Roman"/>
          <w:rtl/>
          <w:lang w:eastAsia="de-DE"/>
        </w:rPr>
        <w:t xml:space="preserve"> </w:t>
      </w:r>
      <w:r w:rsidRPr="00465BF0">
        <w:rPr>
          <w:rFonts w:eastAsia="Times New Roman"/>
          <w:lang w:eastAsia="de-DE"/>
        </w:rPr>
        <w:t xml:space="preserve">(„wie die ersten Tage") verweist auf die erste vierzigtägige Periode (9,9.11). Die Formulierung </w:t>
      </w:r>
      <w:r w:rsidRPr="00465BF0">
        <w:rPr>
          <w:rFonts w:eastAsia="Times New Roman"/>
          <w:b/>
          <w:bCs/>
          <w:rtl/>
          <w:lang w:eastAsia="de-DE"/>
        </w:rPr>
        <w:t>וַיִּשְׁמַע יְהוָה אֵלַי גַּם בַּפַּעַם הַהִוא</w:t>
      </w:r>
      <w:r w:rsidRPr="00465BF0">
        <w:rPr>
          <w:rFonts w:eastAsia="Times New Roman"/>
          <w:rtl/>
          <w:lang w:eastAsia="de-DE"/>
        </w:rPr>
        <w:t xml:space="preserve"> </w:t>
      </w:r>
      <w:r w:rsidRPr="00465BF0">
        <w:rPr>
          <w:rFonts w:eastAsia="Times New Roman"/>
          <w:lang w:eastAsia="de-DE"/>
        </w:rPr>
        <w:t xml:space="preserve">wiederholt 9,19. Die negative Formulierung </w:t>
      </w:r>
      <w:r w:rsidRPr="00465BF0">
        <w:rPr>
          <w:rFonts w:eastAsia="Times New Roman"/>
          <w:b/>
          <w:bCs/>
          <w:rtl/>
          <w:lang w:eastAsia="de-DE"/>
        </w:rPr>
        <w:t>לֹא־אָבָה יְהוָה הַשְׁחִיתֶךָ</w:t>
      </w:r>
      <w:r w:rsidRPr="00465BF0">
        <w:rPr>
          <w:rFonts w:eastAsia="Times New Roman"/>
          <w:rtl/>
          <w:lang w:eastAsia="de-DE"/>
        </w:rPr>
        <w:t xml:space="preserve"> </w:t>
      </w:r>
      <w:r w:rsidRPr="00465BF0">
        <w:rPr>
          <w:rFonts w:eastAsia="Times New Roman"/>
          <w:lang w:eastAsia="de-DE"/>
        </w:rPr>
        <w:t>(„JHWH wollte dich nicht verderben") ist zurückhaltend – sie drückt JHWHs Entscheidung aus, von der Vernichtung abzusehen.</w:t>
      </w:r>
    </w:p>
    <w:p w14:paraId="78939274"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lang w:eastAsia="de-DE"/>
        </w:rPr>
        <w:lastRenderedPageBreak/>
        <w:t>Die Satzstruktur ist ein Satz mit emphatischem Subjekt, Prädikat, Ortsangabe, Vergleichskonstruktion und temporaler Bestimmung, gefolgt von einem Imperfekt consecutivum mit Subjekt, präpositionaler Ergänzung und temporaler Bestimmung sowie einem weiteren Satz mit negiertem Prädikat, Subjekt und objektivem Infinitiv.</w:t>
      </w:r>
    </w:p>
    <w:p w14:paraId="50665E8E"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lang w:eastAsia="de-DE"/>
        </w:rPr>
        <w:t>Der Vers schließt die Fürbitte ab: Ich aber blieb auf dem Berg wie die ersten Tage, vierzig Tage und Nächte – und JHWH erhörte mich auch dieses Mal; JHWH wollte dich nicht verderben.</w:t>
      </w:r>
    </w:p>
    <w:p w14:paraId="02465584" w14:textId="77777777" w:rsidR="00465BF0" w:rsidRPr="00465BF0" w:rsidRDefault="00465BF0" w:rsidP="00465BF0">
      <w:pPr>
        <w:spacing w:before="100" w:beforeAutospacing="1" w:after="100" w:afterAutospacing="1" w:line="240" w:lineRule="auto"/>
        <w:outlineLvl w:val="1"/>
        <w:rPr>
          <w:rFonts w:eastAsia="Times New Roman"/>
          <w:b/>
          <w:bCs/>
          <w:sz w:val="36"/>
          <w:szCs w:val="36"/>
          <w:lang w:eastAsia="de-DE"/>
        </w:rPr>
      </w:pPr>
      <w:r w:rsidRPr="00465BF0">
        <w:rPr>
          <w:rFonts w:eastAsia="Times New Roman"/>
          <w:b/>
          <w:bCs/>
          <w:sz w:val="36"/>
          <w:szCs w:val="36"/>
          <w:lang w:eastAsia="de-DE"/>
        </w:rPr>
        <w:t>Deuteronomium 10,11</w:t>
      </w:r>
    </w:p>
    <w:p w14:paraId="5F4B59F4"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b/>
          <w:bCs/>
          <w:lang w:eastAsia="de-DE"/>
        </w:rPr>
        <w:t>Hebräisch:</w:t>
      </w:r>
      <w:r w:rsidRPr="00465BF0">
        <w:rPr>
          <w:rFonts w:eastAsia="Times New Roman"/>
          <w:lang w:eastAsia="de-DE"/>
        </w:rPr>
        <w:t xml:space="preserve"> </w:t>
      </w:r>
      <w:r w:rsidRPr="00465BF0">
        <w:rPr>
          <w:rFonts w:eastAsia="Times New Roman"/>
          <w:rtl/>
          <w:lang w:eastAsia="de-DE"/>
        </w:rPr>
        <w:t>וַיֹּ֤אמֶר יְהוָה֙ אֵלַ֔י ק֛וּם לֵ֥ךְ לְמַסַּ֖ע לִפְנֵ֣י הָעָ֑ם וְיָבֹ֨אוּ֙ וְיִֽרְשׁ֣וּ אֶת־הָאָ֔רֶץ אֲשֶׁר־נִשְׁבַּ֥עְתִּי לַאֲבֹתָ֖ם לָתֵ֥ת לָהֶֽם׃</w:t>
      </w:r>
    </w:p>
    <w:p w14:paraId="68C6DDE7"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b/>
          <w:bCs/>
          <w:lang w:eastAsia="de-DE"/>
        </w:rPr>
        <w:t>Deutsch:</w:t>
      </w:r>
      <w:r w:rsidRPr="00465BF0">
        <w:rPr>
          <w:rFonts w:eastAsia="Times New Roman"/>
          <w:lang w:eastAsia="de-DE"/>
        </w:rPr>
        <w:t xml:space="preserve"> Und der Ewige sprach zu mir: Mache dich auf, gehe hin, um vor dem Volk herzuziehen, damit sie hineinkommen und das Land in Besitz nehmen, das ich ihren Vätern geschworen habe, ihnen zu geben.</w:t>
      </w:r>
    </w:p>
    <w:p w14:paraId="303BC5DA" w14:textId="77777777" w:rsidR="00465BF0" w:rsidRPr="00465BF0" w:rsidRDefault="004F5CEB" w:rsidP="00465BF0">
      <w:pPr>
        <w:spacing w:after="0" w:line="240" w:lineRule="auto"/>
        <w:rPr>
          <w:rFonts w:eastAsia="Times New Roman"/>
          <w:lang w:eastAsia="de-DE"/>
        </w:rPr>
      </w:pPr>
      <w:r>
        <w:rPr>
          <w:rFonts w:eastAsia="Times New Roman"/>
          <w:noProof/>
          <w:lang w:eastAsia="de-DE"/>
        </w:rPr>
        <w:pict w14:anchorId="2275F7E3">
          <v:rect id="_x0000_i1329" style="width:0;height:1.5pt" o:hralign="center" o:hrstd="t" o:hr="t" fillcolor="#a0a0a0" stroked="f"/>
        </w:pict>
      </w:r>
    </w:p>
    <w:p w14:paraId="00221B5C"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b/>
          <w:bCs/>
          <w:lang w:eastAsia="de-DE"/>
        </w:rPr>
        <w:t>Kommentar:</w:t>
      </w:r>
      <w:r w:rsidRPr="00465BF0">
        <w:rPr>
          <w:rFonts w:eastAsia="Times New Roman"/>
          <w:lang w:eastAsia="de-DE"/>
        </w:rPr>
        <w:t xml:space="preserve"> </w:t>
      </w:r>
      <w:r w:rsidRPr="00465BF0">
        <w:rPr>
          <w:rFonts w:eastAsia="Times New Roman"/>
          <w:b/>
          <w:bCs/>
          <w:rtl/>
          <w:lang w:eastAsia="de-DE"/>
        </w:rPr>
        <w:t>וַיֹּאמֶר יְהוָה אֵלַי</w:t>
      </w:r>
      <w:r w:rsidRPr="00465BF0">
        <w:rPr>
          <w:rFonts w:eastAsia="Times New Roman"/>
          <w:rtl/>
          <w:lang w:eastAsia="de-DE"/>
        </w:rPr>
        <w:t xml:space="preserve"> </w:t>
      </w:r>
      <w:r w:rsidRPr="00465BF0">
        <w:rPr>
          <w:rFonts w:eastAsia="Times New Roman"/>
          <w:lang w:eastAsia="de-DE"/>
        </w:rPr>
        <w:t xml:space="preserve">ist die Redeeinleitung: </w:t>
      </w:r>
      <w:r w:rsidRPr="00465BF0">
        <w:rPr>
          <w:rFonts w:eastAsia="Times New Roman"/>
          <w:b/>
          <w:bCs/>
          <w:rtl/>
          <w:lang w:eastAsia="de-DE"/>
        </w:rPr>
        <w:t>וַיֹּאמֶר</w:t>
      </w:r>
      <w:r w:rsidRPr="00465BF0">
        <w:rPr>
          <w:rFonts w:eastAsia="Times New Roman"/>
          <w:rtl/>
          <w:lang w:eastAsia="de-DE"/>
        </w:rPr>
        <w:t xml:space="preserve"> </w:t>
      </w:r>
      <w:r w:rsidRPr="00465BF0">
        <w:rPr>
          <w:rFonts w:eastAsia="Times New Roman"/>
          <w:lang w:eastAsia="de-DE"/>
        </w:rPr>
        <w:t xml:space="preserve">(Qal Imperfekt consecutivum, 3. Person Singular maskulin von </w:t>
      </w:r>
      <w:r w:rsidRPr="00465BF0">
        <w:rPr>
          <w:rFonts w:eastAsia="Times New Roman"/>
          <w:b/>
          <w:bCs/>
          <w:rtl/>
          <w:lang w:eastAsia="de-DE"/>
        </w:rPr>
        <w:t>אמר</w:t>
      </w:r>
      <w:r w:rsidRPr="00465BF0">
        <w:rPr>
          <w:rFonts w:eastAsia="Times New Roman"/>
          <w:lang w:eastAsia="de-DE"/>
        </w:rPr>
        <w:t xml:space="preserve">, „sagen", mit </w:t>
      </w:r>
      <w:r w:rsidRPr="00465BF0">
        <w:rPr>
          <w:rFonts w:eastAsia="Times New Roman"/>
          <w:b/>
          <w:bCs/>
          <w:rtl/>
          <w:lang w:eastAsia="de-DE"/>
        </w:rPr>
        <w:t>וְ</w:t>
      </w:r>
      <w:r w:rsidRPr="00465BF0">
        <w:rPr>
          <w:rFonts w:eastAsia="Times New Roman"/>
          <w:lang w:eastAsia="de-DE"/>
        </w:rPr>
        <w:t xml:space="preserve">), </w:t>
      </w:r>
      <w:r w:rsidRPr="00465BF0">
        <w:rPr>
          <w:rFonts w:eastAsia="Times New Roman"/>
          <w:b/>
          <w:bCs/>
          <w:rtl/>
          <w:lang w:eastAsia="de-DE"/>
        </w:rPr>
        <w:t>יְהוָה</w:t>
      </w:r>
      <w:r w:rsidRPr="00465BF0">
        <w:rPr>
          <w:rFonts w:eastAsia="Times New Roman"/>
          <w:rtl/>
          <w:lang w:eastAsia="de-DE"/>
        </w:rPr>
        <w:t xml:space="preserve"> </w:t>
      </w:r>
      <w:r w:rsidRPr="00465BF0">
        <w:rPr>
          <w:rFonts w:eastAsia="Times New Roman"/>
          <w:lang w:eastAsia="de-DE"/>
        </w:rPr>
        <w:t xml:space="preserve">als Subjekt, </w:t>
      </w:r>
      <w:r w:rsidRPr="00465BF0">
        <w:rPr>
          <w:rFonts w:eastAsia="Times New Roman"/>
          <w:b/>
          <w:bCs/>
          <w:rtl/>
          <w:lang w:eastAsia="de-DE"/>
        </w:rPr>
        <w:t>אֵלַי</w:t>
      </w:r>
      <w:r w:rsidRPr="00465BF0">
        <w:rPr>
          <w:rFonts w:eastAsia="Times New Roman"/>
          <w:rtl/>
          <w:lang w:eastAsia="de-DE"/>
        </w:rPr>
        <w:t xml:space="preserve"> </w:t>
      </w:r>
      <w:r w:rsidRPr="00465BF0">
        <w:rPr>
          <w:rFonts w:eastAsia="Times New Roman"/>
          <w:lang w:eastAsia="de-DE"/>
        </w:rPr>
        <w:t>als indirektes Objekt.</w:t>
      </w:r>
    </w:p>
    <w:p w14:paraId="37803FC3"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b/>
          <w:bCs/>
          <w:rtl/>
          <w:lang w:eastAsia="de-DE"/>
        </w:rPr>
        <w:t>קוּם לֵךְ לְמַסַּע לִפְנֵי הָעָם</w:t>
      </w:r>
      <w:r w:rsidRPr="00465BF0">
        <w:rPr>
          <w:rFonts w:eastAsia="Times New Roman"/>
          <w:rtl/>
          <w:lang w:eastAsia="de-DE"/>
        </w:rPr>
        <w:t xml:space="preserve"> </w:t>
      </w:r>
      <w:r w:rsidRPr="00465BF0">
        <w:rPr>
          <w:rFonts w:eastAsia="Times New Roman"/>
          <w:lang w:eastAsia="de-DE"/>
        </w:rPr>
        <w:t xml:space="preserve">ist ein zweigliedriger Imperativ mit finaler Erweiterung: </w:t>
      </w:r>
      <w:r w:rsidRPr="00465BF0">
        <w:rPr>
          <w:rFonts w:eastAsia="Times New Roman"/>
          <w:b/>
          <w:bCs/>
          <w:rtl/>
          <w:lang w:eastAsia="de-DE"/>
        </w:rPr>
        <w:t>קוּם</w:t>
      </w:r>
      <w:r w:rsidRPr="00465BF0">
        <w:rPr>
          <w:rFonts w:eastAsia="Times New Roman"/>
          <w:rtl/>
          <w:lang w:eastAsia="de-DE"/>
        </w:rPr>
        <w:t xml:space="preserve"> </w:t>
      </w:r>
      <w:r w:rsidRPr="00465BF0">
        <w:rPr>
          <w:rFonts w:eastAsia="Times New Roman"/>
          <w:lang w:eastAsia="de-DE"/>
        </w:rPr>
        <w:t xml:space="preserve">(Qal Imperativ, 2. Person Singular maskulin von </w:t>
      </w:r>
      <w:r w:rsidRPr="00465BF0">
        <w:rPr>
          <w:rFonts w:eastAsia="Times New Roman"/>
          <w:b/>
          <w:bCs/>
          <w:rtl/>
          <w:lang w:eastAsia="de-DE"/>
        </w:rPr>
        <w:t>קום</w:t>
      </w:r>
      <w:r w:rsidRPr="00465BF0">
        <w:rPr>
          <w:rFonts w:eastAsia="Times New Roman"/>
          <w:lang w:eastAsia="de-DE"/>
        </w:rPr>
        <w:t xml:space="preserve">, „aufstehen, sich aufmachen"), </w:t>
      </w:r>
      <w:r w:rsidRPr="00465BF0">
        <w:rPr>
          <w:rFonts w:eastAsia="Times New Roman"/>
          <w:b/>
          <w:bCs/>
          <w:rtl/>
          <w:lang w:eastAsia="de-DE"/>
        </w:rPr>
        <w:t>לֵךְ</w:t>
      </w:r>
      <w:r w:rsidRPr="00465BF0">
        <w:rPr>
          <w:rFonts w:eastAsia="Times New Roman"/>
          <w:rtl/>
          <w:lang w:eastAsia="de-DE"/>
        </w:rPr>
        <w:t xml:space="preserve"> </w:t>
      </w:r>
      <w:r w:rsidRPr="00465BF0">
        <w:rPr>
          <w:rFonts w:eastAsia="Times New Roman"/>
          <w:lang w:eastAsia="de-DE"/>
        </w:rPr>
        <w:t xml:space="preserve">(Qal Imperativ, 2. Person Singular maskulin von </w:t>
      </w:r>
      <w:r w:rsidRPr="00465BF0">
        <w:rPr>
          <w:rFonts w:eastAsia="Times New Roman"/>
          <w:b/>
          <w:bCs/>
          <w:rtl/>
          <w:lang w:eastAsia="de-DE"/>
        </w:rPr>
        <w:t>הלך</w:t>
      </w:r>
      <w:r w:rsidRPr="00465BF0">
        <w:rPr>
          <w:rFonts w:eastAsia="Times New Roman"/>
          <w:lang w:eastAsia="de-DE"/>
        </w:rPr>
        <w:t xml:space="preserve">, „gehen"), </w:t>
      </w:r>
      <w:r w:rsidRPr="00465BF0">
        <w:rPr>
          <w:rFonts w:eastAsia="Times New Roman"/>
          <w:b/>
          <w:bCs/>
          <w:rtl/>
          <w:lang w:eastAsia="de-DE"/>
        </w:rPr>
        <w:t>לְמַסַּע לִפְנֵי הָעָם</w:t>
      </w:r>
      <w:r w:rsidRPr="00465BF0">
        <w:rPr>
          <w:rFonts w:eastAsia="Times New Roman"/>
          <w:rtl/>
          <w:lang w:eastAsia="de-DE"/>
        </w:rPr>
        <w:t xml:space="preserve"> </w:t>
      </w:r>
      <w:r w:rsidRPr="00465BF0">
        <w:rPr>
          <w:rFonts w:eastAsia="Times New Roman"/>
          <w:lang w:eastAsia="de-DE"/>
        </w:rPr>
        <w:t>als finale Bestimmung (</w:t>
      </w:r>
      <w:r w:rsidRPr="00465BF0">
        <w:rPr>
          <w:rFonts w:eastAsia="Times New Roman"/>
          <w:b/>
          <w:bCs/>
          <w:rtl/>
          <w:lang w:eastAsia="de-DE"/>
        </w:rPr>
        <w:t>לְ</w:t>
      </w:r>
      <w:r w:rsidRPr="00465BF0">
        <w:rPr>
          <w:rFonts w:eastAsia="Times New Roman"/>
          <w:rtl/>
          <w:lang w:eastAsia="de-DE"/>
        </w:rPr>
        <w:t xml:space="preserve"> </w:t>
      </w:r>
      <w:r w:rsidRPr="00465BF0">
        <w:rPr>
          <w:rFonts w:eastAsia="Times New Roman"/>
          <w:lang w:eastAsia="de-DE"/>
        </w:rPr>
        <w:t xml:space="preserve">mit </w:t>
      </w:r>
      <w:r w:rsidRPr="00465BF0">
        <w:rPr>
          <w:rFonts w:eastAsia="Times New Roman"/>
          <w:b/>
          <w:bCs/>
          <w:rtl/>
          <w:lang w:eastAsia="de-DE"/>
        </w:rPr>
        <w:t>מַסַּע</w:t>
      </w:r>
      <w:r w:rsidRPr="00465BF0">
        <w:rPr>
          <w:rFonts w:eastAsia="Times New Roman"/>
          <w:lang w:eastAsia="de-DE"/>
        </w:rPr>
        <w:t xml:space="preserve">, „Aufbruch, Zug" – substantivierter Qal Infinitiv von </w:t>
      </w:r>
      <w:r w:rsidRPr="00465BF0">
        <w:rPr>
          <w:rFonts w:eastAsia="Times New Roman"/>
          <w:b/>
          <w:bCs/>
          <w:rtl/>
          <w:lang w:eastAsia="de-DE"/>
        </w:rPr>
        <w:t>נסע</w:t>
      </w:r>
      <w:r w:rsidRPr="00465BF0">
        <w:rPr>
          <w:rFonts w:eastAsia="Times New Roman"/>
          <w:rtl/>
          <w:lang w:eastAsia="de-DE"/>
        </w:rPr>
        <w:t xml:space="preserve"> </w:t>
      </w:r>
      <w:r w:rsidRPr="00465BF0">
        <w:rPr>
          <w:rFonts w:eastAsia="Times New Roman"/>
          <w:lang w:eastAsia="de-DE"/>
        </w:rPr>
        <w:t xml:space="preserve">– „zum Aufbruch, um aufzubrechen", </w:t>
      </w:r>
      <w:r w:rsidRPr="00465BF0">
        <w:rPr>
          <w:rFonts w:eastAsia="Times New Roman"/>
          <w:b/>
          <w:bCs/>
          <w:rtl/>
          <w:lang w:eastAsia="de-DE"/>
        </w:rPr>
        <w:t>לִפְנֵי הָעָם</w:t>
      </w:r>
      <w:r w:rsidRPr="00465BF0">
        <w:rPr>
          <w:rFonts w:eastAsia="Times New Roman"/>
          <w:rtl/>
          <w:lang w:eastAsia="de-DE"/>
        </w:rPr>
        <w:t xml:space="preserve"> </w:t>
      </w:r>
      <w:r w:rsidRPr="00465BF0">
        <w:rPr>
          <w:rFonts w:eastAsia="Times New Roman"/>
          <w:lang w:eastAsia="de-DE"/>
        </w:rPr>
        <w:t>als Ortsangabe – „vor dem Volk").</w:t>
      </w:r>
    </w:p>
    <w:p w14:paraId="4E1ADD2E"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b/>
          <w:bCs/>
          <w:rtl/>
          <w:lang w:eastAsia="de-DE"/>
        </w:rPr>
        <w:t>וְיָבֹאוּ וְיִרְשׁוּ אֶת־הָאָרֶץ אֲשֶׁר־נִשְׁבַּעְתִּי לַאֲבֹתָם לָתֵת לָהֶם</w:t>
      </w:r>
      <w:r w:rsidRPr="00465BF0">
        <w:rPr>
          <w:rFonts w:eastAsia="Times New Roman"/>
          <w:rtl/>
          <w:lang w:eastAsia="de-DE"/>
        </w:rPr>
        <w:t xml:space="preserve"> </w:t>
      </w:r>
      <w:r w:rsidRPr="00465BF0">
        <w:rPr>
          <w:rFonts w:eastAsia="Times New Roman"/>
          <w:lang w:eastAsia="de-DE"/>
        </w:rPr>
        <w:t xml:space="preserve">ist die Zielsetzung: </w:t>
      </w:r>
      <w:r w:rsidRPr="00465BF0">
        <w:rPr>
          <w:rFonts w:eastAsia="Times New Roman"/>
          <w:b/>
          <w:bCs/>
          <w:rtl/>
          <w:lang w:eastAsia="de-DE"/>
        </w:rPr>
        <w:t>וְיָבֹאוּ</w:t>
      </w:r>
      <w:r w:rsidRPr="00465BF0">
        <w:rPr>
          <w:rFonts w:eastAsia="Times New Roman"/>
          <w:rtl/>
          <w:lang w:eastAsia="de-DE"/>
        </w:rPr>
        <w:t xml:space="preserve"> </w:t>
      </w:r>
      <w:r w:rsidRPr="00465BF0">
        <w:rPr>
          <w:rFonts w:eastAsia="Times New Roman"/>
          <w:lang w:eastAsia="de-DE"/>
        </w:rPr>
        <w:t xml:space="preserve">(Qal Imperfekt, 3. Person Plural maskulin von </w:t>
      </w:r>
      <w:r w:rsidRPr="00465BF0">
        <w:rPr>
          <w:rFonts w:eastAsia="Times New Roman"/>
          <w:b/>
          <w:bCs/>
          <w:rtl/>
          <w:lang w:eastAsia="de-DE"/>
        </w:rPr>
        <w:t>בוא</w:t>
      </w:r>
      <w:r w:rsidRPr="00465BF0">
        <w:rPr>
          <w:rFonts w:eastAsia="Times New Roman"/>
          <w:lang w:eastAsia="de-DE"/>
        </w:rPr>
        <w:t xml:space="preserve">, „hineinkommen, hineingehen", mit </w:t>
      </w:r>
      <w:r w:rsidRPr="00465BF0">
        <w:rPr>
          <w:rFonts w:eastAsia="Times New Roman"/>
          <w:b/>
          <w:bCs/>
          <w:rtl/>
          <w:lang w:eastAsia="de-DE"/>
        </w:rPr>
        <w:t>וְ</w:t>
      </w:r>
      <w:r w:rsidRPr="00465BF0">
        <w:rPr>
          <w:rFonts w:eastAsia="Times New Roman"/>
          <w:rtl/>
          <w:lang w:eastAsia="de-DE"/>
        </w:rPr>
        <w:t xml:space="preserve"> </w:t>
      </w:r>
      <w:r w:rsidRPr="00465BF0">
        <w:rPr>
          <w:rFonts w:eastAsia="Times New Roman"/>
          <w:lang w:eastAsia="de-DE"/>
        </w:rPr>
        <w:t xml:space="preserve">– in finaler Funktion), </w:t>
      </w:r>
      <w:r w:rsidRPr="00465BF0">
        <w:rPr>
          <w:rFonts w:eastAsia="Times New Roman"/>
          <w:b/>
          <w:bCs/>
          <w:rtl/>
          <w:lang w:eastAsia="de-DE"/>
        </w:rPr>
        <w:t>וְיִרְשׁוּ אֶת־הָאָרֶץ</w:t>
      </w:r>
      <w:r w:rsidRPr="00465BF0">
        <w:rPr>
          <w:rFonts w:eastAsia="Times New Roman"/>
          <w:rtl/>
          <w:lang w:eastAsia="de-DE"/>
        </w:rPr>
        <w:t xml:space="preserve"> </w:t>
      </w:r>
      <w:r w:rsidRPr="00465BF0">
        <w:rPr>
          <w:rFonts w:eastAsia="Times New Roman"/>
          <w:lang w:eastAsia="de-DE"/>
        </w:rPr>
        <w:t xml:space="preserve">koordiniert (Qal Imperfekt, 3. Person Plural maskulin von </w:t>
      </w:r>
      <w:r w:rsidRPr="00465BF0">
        <w:rPr>
          <w:rFonts w:eastAsia="Times New Roman"/>
          <w:b/>
          <w:bCs/>
          <w:rtl/>
          <w:lang w:eastAsia="de-DE"/>
        </w:rPr>
        <w:t>ירשׁ</w:t>
      </w:r>
      <w:r w:rsidRPr="00465BF0">
        <w:rPr>
          <w:rFonts w:eastAsia="Times New Roman"/>
          <w:lang w:eastAsia="de-DE"/>
        </w:rPr>
        <w:t xml:space="preserve">, „in Besitz nehmen", mit </w:t>
      </w:r>
      <w:r w:rsidRPr="00465BF0">
        <w:rPr>
          <w:rFonts w:eastAsia="Times New Roman"/>
          <w:b/>
          <w:bCs/>
          <w:rtl/>
          <w:lang w:eastAsia="de-DE"/>
        </w:rPr>
        <w:t>וְ</w:t>
      </w:r>
      <w:r w:rsidRPr="00465BF0">
        <w:rPr>
          <w:rFonts w:eastAsia="Times New Roman"/>
          <w:rtl/>
          <w:lang w:eastAsia="de-DE"/>
        </w:rPr>
        <w:t xml:space="preserve"> </w:t>
      </w:r>
      <w:r w:rsidRPr="00465BF0">
        <w:rPr>
          <w:rFonts w:eastAsia="Times New Roman"/>
          <w:lang w:eastAsia="de-DE"/>
        </w:rPr>
        <w:t xml:space="preserve">und direktem Objekt), </w:t>
      </w:r>
      <w:r w:rsidRPr="00465BF0">
        <w:rPr>
          <w:rFonts w:eastAsia="Times New Roman"/>
          <w:b/>
          <w:bCs/>
          <w:rtl/>
          <w:lang w:eastAsia="de-DE"/>
        </w:rPr>
        <w:t>אֲשֶׁר־נִשְׁבַּעְתִּי לַאֲבֹתָם</w:t>
      </w:r>
      <w:r w:rsidRPr="00465BF0">
        <w:rPr>
          <w:rFonts w:eastAsia="Times New Roman"/>
          <w:rtl/>
          <w:lang w:eastAsia="de-DE"/>
        </w:rPr>
        <w:t xml:space="preserve"> </w:t>
      </w:r>
      <w:r w:rsidRPr="00465BF0">
        <w:rPr>
          <w:rFonts w:eastAsia="Times New Roman"/>
          <w:lang w:eastAsia="de-DE"/>
        </w:rPr>
        <w:t xml:space="preserve">als Relativsatz (Nifal Perfekt, 1. Person Singular von </w:t>
      </w:r>
      <w:r w:rsidRPr="00465BF0">
        <w:rPr>
          <w:rFonts w:eastAsia="Times New Roman"/>
          <w:b/>
          <w:bCs/>
          <w:rtl/>
          <w:lang w:eastAsia="de-DE"/>
        </w:rPr>
        <w:t>שׁבע</w:t>
      </w:r>
      <w:r w:rsidRPr="00465BF0">
        <w:rPr>
          <w:rFonts w:eastAsia="Times New Roman"/>
          <w:lang w:eastAsia="de-DE"/>
        </w:rPr>
        <w:t xml:space="preserve">, „schwören", </w:t>
      </w:r>
      <w:r w:rsidRPr="00465BF0">
        <w:rPr>
          <w:rFonts w:eastAsia="Times New Roman"/>
          <w:b/>
          <w:bCs/>
          <w:rtl/>
          <w:lang w:eastAsia="de-DE"/>
        </w:rPr>
        <w:t>לַאֲבֹתָם</w:t>
      </w:r>
      <w:r w:rsidRPr="00465BF0">
        <w:rPr>
          <w:rFonts w:eastAsia="Times New Roman"/>
          <w:rtl/>
          <w:lang w:eastAsia="de-DE"/>
        </w:rPr>
        <w:t xml:space="preserve"> </w:t>
      </w:r>
      <w:r w:rsidRPr="00465BF0">
        <w:rPr>
          <w:rFonts w:eastAsia="Times New Roman"/>
          <w:lang w:eastAsia="de-DE"/>
        </w:rPr>
        <w:t xml:space="preserve">als indirektes Objekt – </w:t>
      </w:r>
      <w:r w:rsidRPr="00465BF0">
        <w:rPr>
          <w:rFonts w:eastAsia="Times New Roman"/>
          <w:b/>
          <w:bCs/>
          <w:rtl/>
          <w:lang w:eastAsia="de-DE"/>
        </w:rPr>
        <w:t>לְ</w:t>
      </w:r>
      <w:r w:rsidRPr="00465BF0">
        <w:rPr>
          <w:rFonts w:eastAsia="Times New Roman"/>
          <w:rtl/>
          <w:lang w:eastAsia="de-DE"/>
        </w:rPr>
        <w:t xml:space="preserve"> </w:t>
      </w:r>
      <w:r w:rsidRPr="00465BF0">
        <w:rPr>
          <w:rFonts w:eastAsia="Times New Roman"/>
          <w:lang w:eastAsia="de-DE"/>
        </w:rPr>
        <w:t xml:space="preserve">mit </w:t>
      </w:r>
      <w:r w:rsidRPr="00465BF0">
        <w:rPr>
          <w:rFonts w:eastAsia="Times New Roman"/>
          <w:b/>
          <w:bCs/>
          <w:rtl/>
          <w:lang w:eastAsia="de-DE"/>
        </w:rPr>
        <w:t>אָב</w:t>
      </w:r>
      <w:r w:rsidRPr="00465BF0">
        <w:rPr>
          <w:rFonts w:eastAsia="Times New Roman"/>
          <w:lang w:eastAsia="de-DE"/>
        </w:rPr>
        <w:t xml:space="preserve">, Plural, und Suffix 3. Person Plural maskulin), </w:t>
      </w:r>
      <w:r w:rsidRPr="00465BF0">
        <w:rPr>
          <w:rFonts w:eastAsia="Times New Roman"/>
          <w:b/>
          <w:bCs/>
          <w:rtl/>
          <w:lang w:eastAsia="de-DE"/>
        </w:rPr>
        <w:t>לָתֵת לָהֶם</w:t>
      </w:r>
      <w:r w:rsidRPr="00465BF0">
        <w:rPr>
          <w:rFonts w:eastAsia="Times New Roman"/>
          <w:rtl/>
          <w:lang w:eastAsia="de-DE"/>
        </w:rPr>
        <w:t xml:space="preserve"> </w:t>
      </w:r>
      <w:r w:rsidRPr="00465BF0">
        <w:rPr>
          <w:rFonts w:eastAsia="Times New Roman"/>
          <w:lang w:eastAsia="de-DE"/>
        </w:rPr>
        <w:t xml:space="preserve">als finaler Infinitiv (Qal Infinitiv Construct von </w:t>
      </w:r>
      <w:r w:rsidRPr="00465BF0">
        <w:rPr>
          <w:rFonts w:eastAsia="Times New Roman"/>
          <w:b/>
          <w:bCs/>
          <w:rtl/>
          <w:lang w:eastAsia="de-DE"/>
        </w:rPr>
        <w:t>נתן</w:t>
      </w:r>
      <w:r w:rsidRPr="00465BF0">
        <w:rPr>
          <w:rFonts w:eastAsia="Times New Roman"/>
          <w:lang w:eastAsia="de-DE"/>
        </w:rPr>
        <w:t xml:space="preserve">, „geben", mit </w:t>
      </w:r>
      <w:r w:rsidRPr="00465BF0">
        <w:rPr>
          <w:rFonts w:eastAsia="Times New Roman"/>
          <w:b/>
          <w:bCs/>
          <w:rtl/>
          <w:lang w:eastAsia="de-DE"/>
        </w:rPr>
        <w:t>לְ</w:t>
      </w:r>
      <w:r w:rsidRPr="00465BF0">
        <w:rPr>
          <w:rFonts w:eastAsia="Times New Roman"/>
          <w:rtl/>
          <w:lang w:eastAsia="de-DE"/>
        </w:rPr>
        <w:t xml:space="preserve"> </w:t>
      </w:r>
      <w:r w:rsidRPr="00465BF0">
        <w:rPr>
          <w:rFonts w:eastAsia="Times New Roman"/>
          <w:lang w:eastAsia="de-DE"/>
        </w:rPr>
        <w:t>und indirektem Objekt).</w:t>
      </w:r>
    </w:p>
    <w:p w14:paraId="77A3FE8E"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lang w:eastAsia="de-DE"/>
        </w:rPr>
        <w:t xml:space="preserve">Der Vers beendet die Sinai-Krise und leitet zur Landnahme über. Die zweigliedrige Imperativkette </w:t>
      </w:r>
      <w:r w:rsidRPr="00465BF0">
        <w:rPr>
          <w:rFonts w:eastAsia="Times New Roman"/>
          <w:b/>
          <w:bCs/>
          <w:rtl/>
          <w:lang w:eastAsia="de-DE"/>
        </w:rPr>
        <w:t>קוּם לֵךְ</w:t>
      </w:r>
      <w:r w:rsidRPr="00465BF0">
        <w:rPr>
          <w:rFonts w:eastAsia="Times New Roman"/>
          <w:rtl/>
          <w:lang w:eastAsia="de-DE"/>
        </w:rPr>
        <w:t xml:space="preserve"> </w:t>
      </w:r>
      <w:r w:rsidRPr="00465BF0">
        <w:rPr>
          <w:rFonts w:eastAsia="Times New Roman"/>
          <w:lang w:eastAsia="de-DE"/>
        </w:rPr>
        <w:t xml:space="preserve">(„mache dich auf, gehe") ist eine klassische Formel für Aufbruch (vgl. Gen 13,17; 19,15; Jos 1,2). Die finale Bestimmung </w:t>
      </w:r>
      <w:r w:rsidRPr="00465BF0">
        <w:rPr>
          <w:rFonts w:eastAsia="Times New Roman"/>
          <w:b/>
          <w:bCs/>
          <w:rtl/>
          <w:lang w:eastAsia="de-DE"/>
        </w:rPr>
        <w:t>לְמַסַּע לִפְנֵי הָעָם</w:t>
      </w:r>
      <w:r w:rsidRPr="00465BF0">
        <w:rPr>
          <w:rFonts w:eastAsia="Times New Roman"/>
          <w:rtl/>
          <w:lang w:eastAsia="de-DE"/>
        </w:rPr>
        <w:t xml:space="preserve"> </w:t>
      </w:r>
      <w:r w:rsidRPr="00465BF0">
        <w:rPr>
          <w:rFonts w:eastAsia="Times New Roman"/>
          <w:lang w:eastAsia="de-DE"/>
        </w:rPr>
        <w:t xml:space="preserve">(„um vor dem Volk herzuziehen") betont Moses' Führungsrolle. Die zweigliedrige Zielsetzung </w:t>
      </w:r>
      <w:r w:rsidRPr="00465BF0">
        <w:rPr>
          <w:rFonts w:eastAsia="Times New Roman"/>
          <w:b/>
          <w:bCs/>
          <w:rtl/>
          <w:lang w:eastAsia="de-DE"/>
        </w:rPr>
        <w:t>וְיָבֹאוּ וְיִרְשׁוּ אֶת־הָאָרֶץ</w:t>
      </w:r>
      <w:r w:rsidRPr="00465BF0">
        <w:rPr>
          <w:rFonts w:eastAsia="Times New Roman"/>
          <w:rtl/>
          <w:lang w:eastAsia="de-DE"/>
        </w:rPr>
        <w:t xml:space="preserve"> </w:t>
      </w:r>
      <w:r w:rsidRPr="00465BF0">
        <w:rPr>
          <w:rFonts w:eastAsia="Times New Roman"/>
          <w:lang w:eastAsia="de-DE"/>
        </w:rPr>
        <w:t xml:space="preserve">(„damit sie hineinkommen und das Land in Besitz nehmen") formuliert das Ziel der Wüstenwanderung. Der Relativsatz mit finalem Infinitiv </w:t>
      </w:r>
      <w:r w:rsidRPr="00465BF0">
        <w:rPr>
          <w:rFonts w:eastAsia="Times New Roman"/>
          <w:b/>
          <w:bCs/>
          <w:rtl/>
          <w:lang w:eastAsia="de-DE"/>
        </w:rPr>
        <w:t>אֲשֶׁר־נִשְׁבַּעְתִּי לַאֲבֹתָם לָתֵת לָהֶם</w:t>
      </w:r>
      <w:r w:rsidRPr="00465BF0">
        <w:rPr>
          <w:rFonts w:eastAsia="Times New Roman"/>
          <w:rtl/>
          <w:lang w:eastAsia="de-DE"/>
        </w:rPr>
        <w:t xml:space="preserve"> </w:t>
      </w:r>
      <w:r w:rsidRPr="00465BF0">
        <w:rPr>
          <w:rFonts w:eastAsia="Times New Roman"/>
          <w:lang w:eastAsia="de-DE"/>
        </w:rPr>
        <w:t>erinnert an die Väterverheißung (vgl. 9,5.27).</w:t>
      </w:r>
    </w:p>
    <w:p w14:paraId="69698D69"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lang w:eastAsia="de-DE"/>
        </w:rPr>
        <w:t>Die Satzstruktur ist eine Redeeinleitung, gefolgt von einem zweigliedrigen Imperativsatz mit finaler Bestimmung und einer zweigliedrigen koordinierten Zielsetzung (die zweite mit direktem Objekt), erweitert durch einen Relativsatz mit finalem Infinitiv.</w:t>
      </w:r>
    </w:p>
    <w:p w14:paraId="1162F0DB" w14:textId="44D2E260"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lang w:eastAsia="de-DE"/>
        </w:rPr>
        <w:lastRenderedPageBreak/>
        <w:t xml:space="preserve">Der Vers beendet die Krise: JHWH </w:t>
      </w:r>
      <w:r w:rsidR="000F34F9">
        <w:rPr>
          <w:rFonts w:eastAsia="Times New Roman"/>
          <w:lang w:eastAsia="de-DE"/>
        </w:rPr>
        <w:t>befahl</w:t>
      </w:r>
      <w:r w:rsidRPr="00465BF0">
        <w:rPr>
          <w:rFonts w:eastAsia="Times New Roman"/>
          <w:lang w:eastAsia="de-DE"/>
        </w:rPr>
        <w:t xml:space="preserve"> Mose: Mache dich auf, ziehe vor dem Volk her, damit sie hineinkommen und das Land in Besitz nehmen, das ich ihren Vätern zu geben geschworen habe.</w:t>
      </w:r>
    </w:p>
    <w:p w14:paraId="1BBEB0C4" w14:textId="77777777" w:rsidR="00465BF0" w:rsidRPr="00465BF0" w:rsidRDefault="00465BF0" w:rsidP="00465BF0">
      <w:pPr>
        <w:spacing w:before="100" w:beforeAutospacing="1" w:after="100" w:afterAutospacing="1" w:line="240" w:lineRule="auto"/>
        <w:outlineLvl w:val="1"/>
        <w:rPr>
          <w:rFonts w:eastAsia="Times New Roman"/>
          <w:b/>
          <w:bCs/>
          <w:sz w:val="36"/>
          <w:szCs w:val="36"/>
          <w:lang w:eastAsia="de-DE"/>
        </w:rPr>
      </w:pPr>
      <w:r w:rsidRPr="00465BF0">
        <w:rPr>
          <w:rFonts w:eastAsia="Times New Roman"/>
          <w:b/>
          <w:bCs/>
          <w:sz w:val="36"/>
          <w:szCs w:val="36"/>
          <w:lang w:eastAsia="de-DE"/>
        </w:rPr>
        <w:t>Deuteronomium 10,12</w:t>
      </w:r>
    </w:p>
    <w:p w14:paraId="7D90134F"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b/>
          <w:bCs/>
          <w:lang w:eastAsia="de-DE"/>
        </w:rPr>
        <w:t>Hebräisch:</w:t>
      </w:r>
      <w:r w:rsidRPr="00465BF0">
        <w:rPr>
          <w:rFonts w:eastAsia="Times New Roman"/>
          <w:lang w:eastAsia="de-DE"/>
        </w:rPr>
        <w:t xml:space="preserve"> </w:t>
      </w:r>
      <w:r w:rsidRPr="00465BF0">
        <w:rPr>
          <w:rFonts w:eastAsia="Times New Roman"/>
          <w:rtl/>
          <w:lang w:eastAsia="de-DE"/>
        </w:rPr>
        <w:t>וְעַתָּה֙ יִשְׂרָאֵ֔ל מָ֚ה יְהוָ֣ה אֱלֹהֶ֔יךָ שֹׁאֵ֖ל מֵעִמָּ֑ךְ כִּ֣י אִם־לְ֠יִרְאָה אֶת־יְהוָ֨ה אֱלֹהֶ֜יךָ לָלֶ֤כֶת בְּכָל־דְּרָכָיו֙ וּלְאַהֲבָ֣ה אֹת֔וֹ וְלַֽעֲבֹד֙ אֶת־יְהוָ֣ה אֱלֹהֶ֔יךָ בְּכָל־לְבָבְךָ֖ וּבְכָל־נַפְשֶֽׁךָ׃</w:t>
      </w:r>
    </w:p>
    <w:p w14:paraId="1B41C22D"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b/>
          <w:bCs/>
          <w:lang w:eastAsia="de-DE"/>
        </w:rPr>
        <w:t>Deutsch:</w:t>
      </w:r>
      <w:r w:rsidRPr="00465BF0">
        <w:rPr>
          <w:rFonts w:eastAsia="Times New Roman"/>
          <w:lang w:eastAsia="de-DE"/>
        </w:rPr>
        <w:t xml:space="preserve"> Und nun, Jisra'el, was fordert der Ewige, dein Gott, von dir, als nur, den Ewigen, deinen Gott, zu fürchten, auf allen seinen Wegen zu wandeln und ihn zu lieben und dem Ewigen, deinem Gott, zu dienen mit deinem ganzen Herzen und mit deiner ganzen Seele,</w:t>
      </w:r>
    </w:p>
    <w:p w14:paraId="44C2F138" w14:textId="77777777" w:rsidR="00465BF0" w:rsidRPr="00465BF0" w:rsidRDefault="004F5CEB" w:rsidP="00465BF0">
      <w:pPr>
        <w:spacing w:after="0" w:line="240" w:lineRule="auto"/>
        <w:rPr>
          <w:rFonts w:eastAsia="Times New Roman"/>
          <w:lang w:eastAsia="de-DE"/>
        </w:rPr>
      </w:pPr>
      <w:r>
        <w:rPr>
          <w:rFonts w:eastAsia="Times New Roman"/>
          <w:noProof/>
          <w:lang w:eastAsia="de-DE"/>
        </w:rPr>
        <w:pict w14:anchorId="22B3818E">
          <v:rect id="_x0000_i1330" style="width:0;height:1.5pt" o:hralign="center" o:hrstd="t" o:hr="t" fillcolor="#a0a0a0" stroked="f"/>
        </w:pict>
      </w:r>
    </w:p>
    <w:p w14:paraId="05ACC604"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b/>
          <w:bCs/>
          <w:lang w:eastAsia="de-DE"/>
        </w:rPr>
        <w:t>Kommentar:</w:t>
      </w:r>
      <w:r w:rsidRPr="00465BF0">
        <w:rPr>
          <w:rFonts w:eastAsia="Times New Roman"/>
          <w:lang w:eastAsia="de-DE"/>
        </w:rPr>
        <w:t xml:space="preserve"> </w:t>
      </w:r>
      <w:r w:rsidRPr="00465BF0">
        <w:rPr>
          <w:rFonts w:eastAsia="Times New Roman"/>
          <w:b/>
          <w:bCs/>
          <w:rtl/>
          <w:lang w:eastAsia="de-DE"/>
        </w:rPr>
        <w:t>וְעַתָּה יִשְׂרָאֵל מָה יְהוָה אֱלֹהֶיךָ שֹׁאֵל מֵעִמָּךְ</w:t>
      </w:r>
      <w:r w:rsidRPr="00465BF0">
        <w:rPr>
          <w:rFonts w:eastAsia="Times New Roman"/>
          <w:rtl/>
          <w:lang w:eastAsia="de-DE"/>
        </w:rPr>
        <w:t xml:space="preserve"> </w:t>
      </w:r>
      <w:r w:rsidRPr="00465BF0">
        <w:rPr>
          <w:rFonts w:eastAsia="Times New Roman"/>
          <w:lang w:eastAsia="de-DE"/>
        </w:rPr>
        <w:t xml:space="preserve">ist die rhetorische Frage: </w:t>
      </w:r>
      <w:r w:rsidRPr="00465BF0">
        <w:rPr>
          <w:rFonts w:eastAsia="Times New Roman"/>
          <w:b/>
          <w:bCs/>
          <w:rtl/>
          <w:lang w:eastAsia="de-DE"/>
        </w:rPr>
        <w:t>וְעַתָּה</w:t>
      </w:r>
      <w:r w:rsidRPr="00465BF0">
        <w:rPr>
          <w:rFonts w:eastAsia="Times New Roman"/>
          <w:rtl/>
          <w:lang w:eastAsia="de-DE"/>
        </w:rPr>
        <w:t xml:space="preserve"> </w:t>
      </w:r>
      <w:r w:rsidRPr="00465BF0">
        <w:rPr>
          <w:rFonts w:eastAsia="Times New Roman"/>
          <w:lang w:eastAsia="de-DE"/>
        </w:rPr>
        <w:t>als temporale Partikel (</w:t>
      </w:r>
      <w:r w:rsidRPr="00465BF0">
        <w:rPr>
          <w:rFonts w:eastAsia="Times New Roman"/>
          <w:b/>
          <w:bCs/>
          <w:rtl/>
          <w:lang w:eastAsia="de-DE"/>
        </w:rPr>
        <w:t>וְ</w:t>
      </w:r>
      <w:r w:rsidRPr="00465BF0">
        <w:rPr>
          <w:rFonts w:eastAsia="Times New Roman"/>
          <w:rtl/>
          <w:lang w:eastAsia="de-DE"/>
        </w:rPr>
        <w:t xml:space="preserve"> </w:t>
      </w:r>
      <w:r w:rsidRPr="00465BF0">
        <w:rPr>
          <w:rFonts w:eastAsia="Times New Roman"/>
          <w:lang w:eastAsia="de-DE"/>
        </w:rPr>
        <w:t xml:space="preserve">mit </w:t>
      </w:r>
      <w:r w:rsidRPr="00465BF0">
        <w:rPr>
          <w:rFonts w:eastAsia="Times New Roman"/>
          <w:b/>
          <w:bCs/>
          <w:rtl/>
          <w:lang w:eastAsia="de-DE"/>
        </w:rPr>
        <w:t>עַתָּה</w:t>
      </w:r>
      <w:r w:rsidRPr="00465BF0">
        <w:rPr>
          <w:rFonts w:eastAsia="Times New Roman"/>
          <w:rtl/>
          <w:lang w:eastAsia="de-DE"/>
        </w:rPr>
        <w:t xml:space="preserve"> </w:t>
      </w:r>
      <w:r w:rsidRPr="00465BF0">
        <w:rPr>
          <w:rFonts w:eastAsia="Times New Roman"/>
          <w:lang w:eastAsia="de-DE"/>
        </w:rPr>
        <w:t xml:space="preserve">– „und nun"), </w:t>
      </w:r>
      <w:r w:rsidRPr="00465BF0">
        <w:rPr>
          <w:rFonts w:eastAsia="Times New Roman"/>
          <w:b/>
          <w:bCs/>
          <w:rtl/>
          <w:lang w:eastAsia="de-DE"/>
        </w:rPr>
        <w:t>יִשְׂרָאֵל</w:t>
      </w:r>
      <w:r w:rsidRPr="00465BF0">
        <w:rPr>
          <w:rFonts w:eastAsia="Times New Roman"/>
          <w:rtl/>
          <w:lang w:eastAsia="de-DE"/>
        </w:rPr>
        <w:t xml:space="preserve"> </w:t>
      </w:r>
      <w:r w:rsidRPr="00465BF0">
        <w:rPr>
          <w:rFonts w:eastAsia="Times New Roman"/>
          <w:lang w:eastAsia="de-DE"/>
        </w:rPr>
        <w:t xml:space="preserve">als Vokativ, </w:t>
      </w:r>
      <w:r w:rsidRPr="00465BF0">
        <w:rPr>
          <w:rFonts w:eastAsia="Times New Roman"/>
          <w:b/>
          <w:bCs/>
          <w:rtl/>
          <w:lang w:eastAsia="de-DE"/>
        </w:rPr>
        <w:t>מָה</w:t>
      </w:r>
      <w:r w:rsidRPr="00465BF0">
        <w:rPr>
          <w:rFonts w:eastAsia="Times New Roman"/>
          <w:rtl/>
          <w:lang w:eastAsia="de-DE"/>
        </w:rPr>
        <w:t xml:space="preserve"> </w:t>
      </w:r>
      <w:r w:rsidRPr="00465BF0">
        <w:rPr>
          <w:rFonts w:eastAsia="Times New Roman"/>
          <w:lang w:eastAsia="de-DE"/>
        </w:rPr>
        <w:t xml:space="preserve">als Fragepronomen („was"), </w:t>
      </w:r>
      <w:r w:rsidRPr="00465BF0">
        <w:rPr>
          <w:rFonts w:eastAsia="Times New Roman"/>
          <w:b/>
          <w:bCs/>
          <w:rtl/>
          <w:lang w:eastAsia="de-DE"/>
        </w:rPr>
        <w:t>יְהוָה אֱלֹהֶיךָ</w:t>
      </w:r>
      <w:r w:rsidRPr="00465BF0">
        <w:rPr>
          <w:rFonts w:eastAsia="Times New Roman"/>
          <w:rtl/>
          <w:lang w:eastAsia="de-DE"/>
        </w:rPr>
        <w:t xml:space="preserve"> </w:t>
      </w:r>
      <w:r w:rsidRPr="00465BF0">
        <w:rPr>
          <w:rFonts w:eastAsia="Times New Roman"/>
          <w:lang w:eastAsia="de-DE"/>
        </w:rPr>
        <w:t xml:space="preserve">als erweitertes Subjekt, </w:t>
      </w:r>
      <w:r w:rsidRPr="00465BF0">
        <w:rPr>
          <w:rFonts w:eastAsia="Times New Roman"/>
          <w:b/>
          <w:bCs/>
          <w:rtl/>
          <w:lang w:eastAsia="de-DE"/>
        </w:rPr>
        <w:t>שֹׁאֵל</w:t>
      </w:r>
      <w:r w:rsidRPr="00465BF0">
        <w:rPr>
          <w:rFonts w:eastAsia="Times New Roman"/>
          <w:rtl/>
          <w:lang w:eastAsia="de-DE"/>
        </w:rPr>
        <w:t xml:space="preserve"> </w:t>
      </w:r>
      <w:r w:rsidRPr="00465BF0">
        <w:rPr>
          <w:rFonts w:eastAsia="Times New Roman"/>
          <w:lang w:eastAsia="de-DE"/>
        </w:rPr>
        <w:t xml:space="preserve">als Qal Partizip Singular maskulin von </w:t>
      </w:r>
      <w:r w:rsidRPr="00465BF0">
        <w:rPr>
          <w:rFonts w:eastAsia="Times New Roman"/>
          <w:b/>
          <w:bCs/>
          <w:rtl/>
          <w:lang w:eastAsia="de-DE"/>
        </w:rPr>
        <w:t>שׁאל</w:t>
      </w:r>
      <w:r w:rsidRPr="00465BF0">
        <w:rPr>
          <w:rFonts w:eastAsia="Times New Roman"/>
          <w:lang w:eastAsia="de-DE"/>
        </w:rPr>
        <w:t xml:space="preserve">, „fragen, fordern", </w:t>
      </w:r>
      <w:r w:rsidRPr="00465BF0">
        <w:rPr>
          <w:rFonts w:eastAsia="Times New Roman"/>
          <w:b/>
          <w:bCs/>
          <w:rtl/>
          <w:lang w:eastAsia="de-DE"/>
        </w:rPr>
        <w:t>מֵעִמָּךְ</w:t>
      </w:r>
      <w:r w:rsidRPr="00465BF0">
        <w:rPr>
          <w:rFonts w:eastAsia="Times New Roman"/>
          <w:rtl/>
          <w:lang w:eastAsia="de-DE"/>
        </w:rPr>
        <w:t xml:space="preserve"> </w:t>
      </w:r>
      <w:r w:rsidRPr="00465BF0">
        <w:rPr>
          <w:rFonts w:eastAsia="Times New Roman"/>
          <w:lang w:eastAsia="de-DE"/>
        </w:rPr>
        <w:t>als präpositionale Ergänzung (</w:t>
      </w:r>
      <w:r w:rsidRPr="00465BF0">
        <w:rPr>
          <w:rFonts w:eastAsia="Times New Roman"/>
          <w:b/>
          <w:bCs/>
          <w:rtl/>
          <w:lang w:eastAsia="de-DE"/>
        </w:rPr>
        <w:t>מִן</w:t>
      </w:r>
      <w:r w:rsidRPr="00465BF0">
        <w:rPr>
          <w:rFonts w:eastAsia="Times New Roman"/>
          <w:rtl/>
          <w:lang w:eastAsia="de-DE"/>
        </w:rPr>
        <w:t xml:space="preserve"> </w:t>
      </w:r>
      <w:r w:rsidRPr="00465BF0">
        <w:rPr>
          <w:rFonts w:eastAsia="Times New Roman"/>
          <w:lang w:eastAsia="de-DE"/>
        </w:rPr>
        <w:t xml:space="preserve">mit </w:t>
      </w:r>
      <w:r w:rsidRPr="00465BF0">
        <w:rPr>
          <w:rFonts w:eastAsia="Times New Roman"/>
          <w:b/>
          <w:bCs/>
          <w:rtl/>
          <w:lang w:eastAsia="de-DE"/>
        </w:rPr>
        <w:t>עִם</w:t>
      </w:r>
      <w:r w:rsidRPr="00465BF0">
        <w:rPr>
          <w:rFonts w:eastAsia="Times New Roman"/>
          <w:rtl/>
          <w:lang w:eastAsia="de-DE"/>
        </w:rPr>
        <w:t xml:space="preserve"> </w:t>
      </w:r>
      <w:r w:rsidRPr="00465BF0">
        <w:rPr>
          <w:rFonts w:eastAsia="Times New Roman"/>
          <w:lang w:eastAsia="de-DE"/>
        </w:rPr>
        <w:t>und Suffix 2. Person Singular maskulin – „von dir").</w:t>
      </w:r>
    </w:p>
    <w:p w14:paraId="503544AB"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b/>
          <w:bCs/>
          <w:rtl/>
          <w:lang w:eastAsia="de-DE"/>
        </w:rPr>
        <w:t>כִּי אִם־לְיִרְאָה אֶת־יְהוָה אֱלֹהֶיךָ לָלֶכֶת בְּכָל־דְּרָכָיו וּלְאַהֲבָה אֹתוֹ וְלַעֲבֹד אֶת־יְהוָה אֱלֹהֶיךָ בְּכָל־לְבָבְךָ וּבְכָל־נַפְשֶׁךָ</w:t>
      </w:r>
      <w:r w:rsidRPr="00465BF0">
        <w:rPr>
          <w:rFonts w:eastAsia="Times New Roman"/>
          <w:rtl/>
          <w:lang w:eastAsia="de-DE"/>
        </w:rPr>
        <w:t xml:space="preserve"> </w:t>
      </w:r>
      <w:r w:rsidRPr="00465BF0">
        <w:rPr>
          <w:rFonts w:eastAsia="Times New Roman"/>
          <w:lang w:eastAsia="de-DE"/>
        </w:rPr>
        <w:t xml:space="preserve">ist eine viergliedrige restriktive Antwort: </w:t>
      </w:r>
      <w:r w:rsidRPr="00465BF0">
        <w:rPr>
          <w:rFonts w:eastAsia="Times New Roman"/>
          <w:b/>
          <w:bCs/>
          <w:rtl/>
          <w:lang w:eastAsia="de-DE"/>
        </w:rPr>
        <w:t>כִּי אִם</w:t>
      </w:r>
      <w:r w:rsidRPr="00465BF0">
        <w:rPr>
          <w:rFonts w:eastAsia="Times New Roman"/>
          <w:rtl/>
          <w:lang w:eastAsia="de-DE"/>
        </w:rPr>
        <w:t xml:space="preserve"> </w:t>
      </w:r>
      <w:r w:rsidRPr="00465BF0">
        <w:rPr>
          <w:rFonts w:eastAsia="Times New Roman"/>
          <w:lang w:eastAsia="de-DE"/>
        </w:rPr>
        <w:t xml:space="preserve">als restriktive Partikel („als, als nur, nichts als" – nach rhetorischer Frage), </w:t>
      </w:r>
      <w:r w:rsidRPr="00465BF0">
        <w:rPr>
          <w:rFonts w:eastAsia="Times New Roman"/>
          <w:b/>
          <w:bCs/>
          <w:rtl/>
          <w:lang w:eastAsia="de-DE"/>
        </w:rPr>
        <w:t>לְיִרְאָה אֶת־יְהוָה אֱלֹהֶיךָ</w:t>
      </w:r>
      <w:r w:rsidRPr="00465BF0">
        <w:rPr>
          <w:rFonts w:eastAsia="Times New Roman"/>
          <w:rtl/>
          <w:lang w:eastAsia="de-DE"/>
        </w:rPr>
        <w:t xml:space="preserve"> </w:t>
      </w:r>
      <w:r w:rsidRPr="00465BF0">
        <w:rPr>
          <w:rFonts w:eastAsia="Times New Roman"/>
          <w:lang w:eastAsia="de-DE"/>
        </w:rPr>
        <w:t xml:space="preserve">als erster Infinitiv (Qal Infinitiv Construct von </w:t>
      </w:r>
      <w:r w:rsidRPr="00465BF0">
        <w:rPr>
          <w:rFonts w:eastAsia="Times New Roman"/>
          <w:b/>
          <w:bCs/>
          <w:rtl/>
          <w:lang w:eastAsia="de-DE"/>
        </w:rPr>
        <w:t>ירא</w:t>
      </w:r>
      <w:r w:rsidRPr="00465BF0">
        <w:rPr>
          <w:rFonts w:eastAsia="Times New Roman"/>
          <w:lang w:eastAsia="de-DE"/>
        </w:rPr>
        <w:t xml:space="preserve">, „fürchten", mit </w:t>
      </w:r>
      <w:r w:rsidRPr="00465BF0">
        <w:rPr>
          <w:rFonts w:eastAsia="Times New Roman"/>
          <w:b/>
          <w:bCs/>
          <w:rtl/>
          <w:lang w:eastAsia="de-DE"/>
        </w:rPr>
        <w:t>לְ</w:t>
      </w:r>
      <w:r w:rsidRPr="00465BF0">
        <w:rPr>
          <w:rFonts w:eastAsia="Times New Roman"/>
          <w:rtl/>
          <w:lang w:eastAsia="de-DE"/>
        </w:rPr>
        <w:t xml:space="preserve"> </w:t>
      </w:r>
      <w:r w:rsidRPr="00465BF0">
        <w:rPr>
          <w:rFonts w:eastAsia="Times New Roman"/>
          <w:lang w:eastAsia="de-DE"/>
        </w:rPr>
        <w:t xml:space="preserve">und direktem Objekt), </w:t>
      </w:r>
      <w:r w:rsidRPr="00465BF0">
        <w:rPr>
          <w:rFonts w:eastAsia="Times New Roman"/>
          <w:b/>
          <w:bCs/>
          <w:rtl/>
          <w:lang w:eastAsia="de-DE"/>
        </w:rPr>
        <w:t>לָלֶכֶת בְּכָל־דְּרָכָיו</w:t>
      </w:r>
      <w:r w:rsidRPr="00465BF0">
        <w:rPr>
          <w:rFonts w:eastAsia="Times New Roman"/>
          <w:rtl/>
          <w:lang w:eastAsia="de-DE"/>
        </w:rPr>
        <w:t xml:space="preserve"> </w:t>
      </w:r>
      <w:r w:rsidRPr="00465BF0">
        <w:rPr>
          <w:rFonts w:eastAsia="Times New Roman"/>
          <w:lang w:eastAsia="de-DE"/>
        </w:rPr>
        <w:t xml:space="preserve">koordiniert (Qal Infinitiv Construct von </w:t>
      </w:r>
      <w:r w:rsidRPr="00465BF0">
        <w:rPr>
          <w:rFonts w:eastAsia="Times New Roman"/>
          <w:b/>
          <w:bCs/>
          <w:rtl/>
          <w:lang w:eastAsia="de-DE"/>
        </w:rPr>
        <w:t>הלך</w:t>
      </w:r>
      <w:r w:rsidRPr="00465BF0">
        <w:rPr>
          <w:rFonts w:eastAsia="Times New Roman"/>
          <w:lang w:eastAsia="de-DE"/>
        </w:rPr>
        <w:t xml:space="preserve">, „gehen, wandeln", mit </w:t>
      </w:r>
      <w:r w:rsidRPr="00465BF0">
        <w:rPr>
          <w:rFonts w:eastAsia="Times New Roman"/>
          <w:b/>
          <w:bCs/>
          <w:rtl/>
          <w:lang w:eastAsia="de-DE"/>
        </w:rPr>
        <w:t>לְ</w:t>
      </w:r>
      <w:r w:rsidRPr="00465BF0">
        <w:rPr>
          <w:rFonts w:eastAsia="Times New Roman"/>
          <w:lang w:eastAsia="de-DE"/>
        </w:rPr>
        <w:t xml:space="preserve">, </w:t>
      </w:r>
      <w:r w:rsidRPr="00465BF0">
        <w:rPr>
          <w:rFonts w:eastAsia="Times New Roman"/>
          <w:b/>
          <w:bCs/>
          <w:rtl/>
          <w:lang w:eastAsia="de-DE"/>
        </w:rPr>
        <w:t>בְּכָל־דְּרָכָיו</w:t>
      </w:r>
      <w:r w:rsidRPr="00465BF0">
        <w:rPr>
          <w:rFonts w:eastAsia="Times New Roman"/>
          <w:rtl/>
          <w:lang w:eastAsia="de-DE"/>
        </w:rPr>
        <w:t xml:space="preserve"> </w:t>
      </w:r>
      <w:r w:rsidRPr="00465BF0">
        <w:rPr>
          <w:rFonts w:eastAsia="Times New Roman"/>
          <w:lang w:eastAsia="de-DE"/>
        </w:rPr>
        <w:t xml:space="preserve">als präpositionale Ergänzung – </w:t>
      </w:r>
      <w:r w:rsidRPr="00465BF0">
        <w:rPr>
          <w:rFonts w:eastAsia="Times New Roman"/>
          <w:b/>
          <w:bCs/>
          <w:rtl/>
          <w:lang w:eastAsia="de-DE"/>
        </w:rPr>
        <w:t>בְּ</w:t>
      </w:r>
      <w:r w:rsidRPr="00465BF0">
        <w:rPr>
          <w:rFonts w:eastAsia="Times New Roman"/>
          <w:rtl/>
          <w:lang w:eastAsia="de-DE"/>
        </w:rPr>
        <w:t xml:space="preserve"> </w:t>
      </w:r>
      <w:r w:rsidRPr="00465BF0">
        <w:rPr>
          <w:rFonts w:eastAsia="Times New Roman"/>
          <w:lang w:eastAsia="de-DE"/>
        </w:rPr>
        <w:t xml:space="preserve">mit </w:t>
      </w:r>
      <w:r w:rsidRPr="00465BF0">
        <w:rPr>
          <w:rFonts w:eastAsia="Times New Roman"/>
          <w:b/>
          <w:bCs/>
          <w:rtl/>
          <w:lang w:eastAsia="de-DE"/>
        </w:rPr>
        <w:t>כֹּל</w:t>
      </w:r>
      <w:r w:rsidRPr="00465BF0">
        <w:rPr>
          <w:rFonts w:eastAsia="Times New Roman"/>
          <w:rtl/>
          <w:lang w:eastAsia="de-DE"/>
        </w:rPr>
        <w:t xml:space="preserve"> </w:t>
      </w:r>
      <w:r w:rsidRPr="00465BF0">
        <w:rPr>
          <w:rFonts w:eastAsia="Times New Roman"/>
          <w:lang w:eastAsia="de-DE"/>
        </w:rPr>
        <w:t xml:space="preserve">im Construct, </w:t>
      </w:r>
      <w:r w:rsidRPr="00465BF0">
        <w:rPr>
          <w:rFonts w:eastAsia="Times New Roman"/>
          <w:b/>
          <w:bCs/>
          <w:rtl/>
          <w:lang w:eastAsia="de-DE"/>
        </w:rPr>
        <w:t>דֶּרֶךְ</w:t>
      </w:r>
      <w:r w:rsidRPr="00465BF0">
        <w:rPr>
          <w:rFonts w:eastAsia="Times New Roman"/>
          <w:lang w:eastAsia="de-DE"/>
        </w:rPr>
        <w:t xml:space="preserve">, Plural, und Suffix 3. Person Singular maskulin – „auf allen seinen Wegen"), </w:t>
      </w:r>
      <w:r w:rsidRPr="00465BF0">
        <w:rPr>
          <w:rFonts w:eastAsia="Times New Roman"/>
          <w:b/>
          <w:bCs/>
          <w:rtl/>
          <w:lang w:eastAsia="de-DE"/>
        </w:rPr>
        <w:t>וּלְאַהֲבָה אֹתוֹ</w:t>
      </w:r>
      <w:r w:rsidRPr="00465BF0">
        <w:rPr>
          <w:rFonts w:eastAsia="Times New Roman"/>
          <w:rtl/>
          <w:lang w:eastAsia="de-DE"/>
        </w:rPr>
        <w:t xml:space="preserve"> </w:t>
      </w:r>
      <w:r w:rsidRPr="00465BF0">
        <w:rPr>
          <w:rFonts w:eastAsia="Times New Roman"/>
          <w:lang w:eastAsia="de-DE"/>
        </w:rPr>
        <w:t xml:space="preserve">koordiniert (Qal Infinitiv Construct von </w:t>
      </w:r>
      <w:r w:rsidRPr="00465BF0">
        <w:rPr>
          <w:rFonts w:eastAsia="Times New Roman"/>
          <w:b/>
          <w:bCs/>
          <w:rtl/>
          <w:lang w:eastAsia="de-DE"/>
        </w:rPr>
        <w:t>אהב</w:t>
      </w:r>
      <w:r w:rsidRPr="00465BF0">
        <w:rPr>
          <w:rFonts w:eastAsia="Times New Roman"/>
          <w:lang w:eastAsia="de-DE"/>
        </w:rPr>
        <w:t xml:space="preserve">, „lieben", mit </w:t>
      </w:r>
      <w:r w:rsidRPr="00465BF0">
        <w:rPr>
          <w:rFonts w:eastAsia="Times New Roman"/>
          <w:b/>
          <w:bCs/>
          <w:rtl/>
          <w:lang w:eastAsia="de-DE"/>
        </w:rPr>
        <w:t>וְ</w:t>
      </w:r>
      <w:r w:rsidRPr="00465BF0">
        <w:rPr>
          <w:rFonts w:eastAsia="Times New Roman"/>
          <w:rtl/>
          <w:lang w:eastAsia="de-DE"/>
        </w:rPr>
        <w:t xml:space="preserve"> </w:t>
      </w:r>
      <w:r w:rsidRPr="00465BF0">
        <w:rPr>
          <w:rFonts w:eastAsia="Times New Roman"/>
          <w:lang w:eastAsia="de-DE"/>
        </w:rPr>
        <w:t xml:space="preserve">und </w:t>
      </w:r>
      <w:r w:rsidRPr="00465BF0">
        <w:rPr>
          <w:rFonts w:eastAsia="Times New Roman"/>
          <w:b/>
          <w:bCs/>
          <w:rtl/>
          <w:lang w:eastAsia="de-DE"/>
        </w:rPr>
        <w:t>לְ</w:t>
      </w:r>
      <w:r w:rsidRPr="00465BF0">
        <w:rPr>
          <w:rFonts w:eastAsia="Times New Roman"/>
          <w:lang w:eastAsia="de-DE"/>
        </w:rPr>
        <w:t xml:space="preserve">, mit Suffix-Objekt), </w:t>
      </w:r>
      <w:r w:rsidRPr="00465BF0">
        <w:rPr>
          <w:rFonts w:eastAsia="Times New Roman"/>
          <w:b/>
          <w:bCs/>
          <w:rtl/>
          <w:lang w:eastAsia="de-DE"/>
        </w:rPr>
        <w:t>וְלַעֲבֹד אֶת־יְהוָה אֱלֹהֶיךָ בְּכָל־לְבָבְךָ וּבְכָל־נַפְשֶׁךָ</w:t>
      </w:r>
      <w:r w:rsidRPr="00465BF0">
        <w:rPr>
          <w:rFonts w:eastAsia="Times New Roman"/>
          <w:rtl/>
          <w:lang w:eastAsia="de-DE"/>
        </w:rPr>
        <w:t xml:space="preserve"> </w:t>
      </w:r>
      <w:r w:rsidRPr="00465BF0">
        <w:rPr>
          <w:rFonts w:eastAsia="Times New Roman"/>
          <w:lang w:eastAsia="de-DE"/>
        </w:rPr>
        <w:t xml:space="preserve">koordiniert (Qal Infinitiv Construct von </w:t>
      </w:r>
      <w:r w:rsidRPr="00465BF0">
        <w:rPr>
          <w:rFonts w:eastAsia="Times New Roman"/>
          <w:b/>
          <w:bCs/>
          <w:rtl/>
          <w:lang w:eastAsia="de-DE"/>
        </w:rPr>
        <w:t>עבד</w:t>
      </w:r>
      <w:r w:rsidRPr="00465BF0">
        <w:rPr>
          <w:rFonts w:eastAsia="Times New Roman"/>
          <w:lang w:eastAsia="de-DE"/>
        </w:rPr>
        <w:t xml:space="preserve">, „dienen", mit </w:t>
      </w:r>
      <w:r w:rsidRPr="00465BF0">
        <w:rPr>
          <w:rFonts w:eastAsia="Times New Roman"/>
          <w:b/>
          <w:bCs/>
          <w:rtl/>
          <w:lang w:eastAsia="de-DE"/>
        </w:rPr>
        <w:t>וְ</w:t>
      </w:r>
      <w:r w:rsidRPr="00465BF0">
        <w:rPr>
          <w:rFonts w:eastAsia="Times New Roman"/>
          <w:rtl/>
          <w:lang w:eastAsia="de-DE"/>
        </w:rPr>
        <w:t xml:space="preserve"> </w:t>
      </w:r>
      <w:r w:rsidRPr="00465BF0">
        <w:rPr>
          <w:rFonts w:eastAsia="Times New Roman"/>
          <w:lang w:eastAsia="de-DE"/>
        </w:rPr>
        <w:t xml:space="preserve">und </w:t>
      </w:r>
      <w:r w:rsidRPr="00465BF0">
        <w:rPr>
          <w:rFonts w:eastAsia="Times New Roman"/>
          <w:b/>
          <w:bCs/>
          <w:rtl/>
          <w:lang w:eastAsia="de-DE"/>
        </w:rPr>
        <w:t>לְ</w:t>
      </w:r>
      <w:r w:rsidRPr="00465BF0">
        <w:rPr>
          <w:rFonts w:eastAsia="Times New Roman"/>
          <w:lang w:eastAsia="de-DE"/>
        </w:rPr>
        <w:t xml:space="preserve">, direktem Objekt und zweigliedriger koordinierter präpositionaler Ergänzung – </w:t>
      </w:r>
      <w:r w:rsidRPr="00465BF0">
        <w:rPr>
          <w:rFonts w:eastAsia="Times New Roman"/>
          <w:b/>
          <w:bCs/>
          <w:rtl/>
          <w:lang w:eastAsia="de-DE"/>
        </w:rPr>
        <w:t>בְּכָל־לְבָבְךָ</w:t>
      </w:r>
      <w:r w:rsidRPr="00465BF0">
        <w:rPr>
          <w:rFonts w:eastAsia="Times New Roman"/>
          <w:rtl/>
          <w:lang w:eastAsia="de-DE"/>
        </w:rPr>
        <w:t xml:space="preserve"> </w:t>
      </w:r>
      <w:r w:rsidRPr="00465BF0">
        <w:rPr>
          <w:rFonts w:eastAsia="Times New Roman"/>
          <w:lang w:eastAsia="de-DE"/>
        </w:rPr>
        <w:t xml:space="preserve">und </w:t>
      </w:r>
      <w:r w:rsidRPr="00465BF0">
        <w:rPr>
          <w:rFonts w:eastAsia="Times New Roman"/>
          <w:b/>
          <w:bCs/>
          <w:rtl/>
          <w:lang w:eastAsia="de-DE"/>
        </w:rPr>
        <w:t>בְּכָל־נַפְשֶׁךָ</w:t>
      </w:r>
      <w:r w:rsidRPr="00465BF0">
        <w:rPr>
          <w:rFonts w:eastAsia="Times New Roman"/>
          <w:rtl/>
          <w:lang w:eastAsia="de-DE"/>
        </w:rPr>
        <w:t xml:space="preserve"> </w:t>
      </w:r>
      <w:r w:rsidRPr="00465BF0">
        <w:rPr>
          <w:rFonts w:eastAsia="Times New Roman"/>
          <w:lang w:eastAsia="de-DE"/>
        </w:rPr>
        <w:t xml:space="preserve">– </w:t>
      </w:r>
      <w:r w:rsidRPr="00465BF0">
        <w:rPr>
          <w:rFonts w:eastAsia="Times New Roman"/>
          <w:b/>
          <w:bCs/>
          <w:rtl/>
          <w:lang w:eastAsia="de-DE"/>
        </w:rPr>
        <w:t>בְּ</w:t>
      </w:r>
      <w:r w:rsidRPr="00465BF0">
        <w:rPr>
          <w:rFonts w:eastAsia="Times New Roman"/>
          <w:rtl/>
          <w:lang w:eastAsia="de-DE"/>
        </w:rPr>
        <w:t xml:space="preserve"> </w:t>
      </w:r>
      <w:r w:rsidRPr="00465BF0">
        <w:rPr>
          <w:rFonts w:eastAsia="Times New Roman"/>
          <w:lang w:eastAsia="de-DE"/>
        </w:rPr>
        <w:t xml:space="preserve">mit </w:t>
      </w:r>
      <w:r w:rsidRPr="00465BF0">
        <w:rPr>
          <w:rFonts w:eastAsia="Times New Roman"/>
          <w:b/>
          <w:bCs/>
          <w:rtl/>
          <w:lang w:eastAsia="de-DE"/>
        </w:rPr>
        <w:t>כֹּל</w:t>
      </w:r>
      <w:r w:rsidRPr="00465BF0">
        <w:rPr>
          <w:rFonts w:eastAsia="Times New Roman"/>
          <w:rtl/>
          <w:lang w:eastAsia="de-DE"/>
        </w:rPr>
        <w:t xml:space="preserve"> </w:t>
      </w:r>
      <w:r w:rsidRPr="00465BF0">
        <w:rPr>
          <w:rFonts w:eastAsia="Times New Roman"/>
          <w:lang w:eastAsia="de-DE"/>
        </w:rPr>
        <w:t xml:space="preserve">im Construct, </w:t>
      </w:r>
      <w:r w:rsidRPr="00465BF0">
        <w:rPr>
          <w:rFonts w:eastAsia="Times New Roman"/>
          <w:b/>
          <w:bCs/>
          <w:rtl/>
          <w:lang w:eastAsia="de-DE"/>
        </w:rPr>
        <w:t>לֵבָב</w:t>
      </w:r>
      <w:r w:rsidRPr="00465BF0">
        <w:rPr>
          <w:rFonts w:eastAsia="Times New Roman"/>
          <w:rtl/>
          <w:lang w:eastAsia="de-DE"/>
        </w:rPr>
        <w:t xml:space="preserve"> </w:t>
      </w:r>
      <w:r w:rsidRPr="00465BF0">
        <w:rPr>
          <w:rFonts w:eastAsia="Times New Roman"/>
          <w:lang w:eastAsia="de-DE"/>
        </w:rPr>
        <w:t xml:space="preserve">bzw. </w:t>
      </w:r>
      <w:r w:rsidRPr="00465BF0">
        <w:rPr>
          <w:rFonts w:eastAsia="Times New Roman"/>
          <w:b/>
          <w:bCs/>
          <w:rtl/>
          <w:lang w:eastAsia="de-DE"/>
        </w:rPr>
        <w:t>נֶפֶשׁ</w:t>
      </w:r>
      <w:r w:rsidRPr="00465BF0">
        <w:rPr>
          <w:rFonts w:eastAsia="Times New Roman"/>
          <w:rtl/>
          <w:lang w:eastAsia="de-DE"/>
        </w:rPr>
        <w:t xml:space="preserve"> </w:t>
      </w:r>
      <w:r w:rsidRPr="00465BF0">
        <w:rPr>
          <w:rFonts w:eastAsia="Times New Roman"/>
          <w:lang w:eastAsia="de-DE"/>
        </w:rPr>
        <w:t>mit Suffix – „mit deinem ganzen Herzen und mit deiner ganzen Seele").</w:t>
      </w:r>
    </w:p>
    <w:p w14:paraId="3542ED7E" w14:textId="77777777" w:rsidR="000F34F9" w:rsidRDefault="00465BF0" w:rsidP="000F34F9">
      <w:pPr>
        <w:pStyle w:val="KeinLeerraum"/>
        <w:rPr>
          <w:lang w:eastAsia="de-DE"/>
        </w:rPr>
      </w:pPr>
      <w:r w:rsidRPr="00465BF0">
        <w:rPr>
          <w:lang w:eastAsia="de-DE"/>
        </w:rPr>
        <w:t xml:space="preserve">Der Vers leitet den paränetischen Abschnitt (10,12–11,32) ein und fasst die Grundforderung des Deuteronomiums zusammen. Die rhetorische Frage </w:t>
      </w:r>
      <w:r w:rsidRPr="00465BF0">
        <w:rPr>
          <w:b/>
          <w:bCs/>
          <w:rtl/>
          <w:lang w:eastAsia="de-DE"/>
        </w:rPr>
        <w:t>מָה יְהוָה אֱלֹהֶיךָ שֹׁאֵל מֵעִמָּךְ</w:t>
      </w:r>
      <w:r w:rsidRPr="00465BF0">
        <w:rPr>
          <w:rtl/>
          <w:lang w:eastAsia="de-DE"/>
        </w:rPr>
        <w:t xml:space="preserve"> </w:t>
      </w:r>
      <w:r w:rsidRPr="00465BF0">
        <w:rPr>
          <w:lang w:eastAsia="de-DE"/>
        </w:rPr>
        <w:t xml:space="preserve">(„was fordert JHWH, dein Gott, von dir") wird durch die restriktive Partikel </w:t>
      </w:r>
      <w:r w:rsidRPr="00465BF0">
        <w:rPr>
          <w:b/>
          <w:bCs/>
          <w:rtl/>
          <w:lang w:eastAsia="de-DE"/>
        </w:rPr>
        <w:t>כִּי אִם</w:t>
      </w:r>
      <w:r w:rsidRPr="00465BF0">
        <w:rPr>
          <w:rtl/>
          <w:lang w:eastAsia="de-DE"/>
        </w:rPr>
        <w:t xml:space="preserve"> </w:t>
      </w:r>
      <w:r w:rsidRPr="00465BF0">
        <w:rPr>
          <w:lang w:eastAsia="de-DE"/>
        </w:rPr>
        <w:t xml:space="preserve">(„als nur, nichts als") beantwortet – JHWHs Forderung ist einfach und klar. Die viergliedrige Infinitivkette fasst die Kerngebote zusammen: </w:t>
      </w:r>
    </w:p>
    <w:p w14:paraId="3959D80D" w14:textId="77777777" w:rsidR="000F34F9" w:rsidRDefault="00465BF0" w:rsidP="000F34F9">
      <w:pPr>
        <w:pStyle w:val="KeinLeerraum"/>
        <w:rPr>
          <w:lang w:eastAsia="de-DE"/>
        </w:rPr>
      </w:pPr>
      <w:r w:rsidRPr="00465BF0">
        <w:rPr>
          <w:lang w:eastAsia="de-DE"/>
        </w:rPr>
        <w:t xml:space="preserve">(1) Gottesfurcht, </w:t>
      </w:r>
    </w:p>
    <w:p w14:paraId="267F51F8" w14:textId="77777777" w:rsidR="000F34F9" w:rsidRDefault="00465BF0" w:rsidP="000F34F9">
      <w:pPr>
        <w:pStyle w:val="KeinLeerraum"/>
        <w:rPr>
          <w:lang w:eastAsia="de-DE"/>
        </w:rPr>
      </w:pPr>
      <w:r w:rsidRPr="00465BF0">
        <w:rPr>
          <w:lang w:eastAsia="de-DE"/>
        </w:rPr>
        <w:t xml:space="preserve">(2) auf Gottes Wegen wandeln, </w:t>
      </w:r>
    </w:p>
    <w:p w14:paraId="0CB47EFD" w14:textId="77777777" w:rsidR="000F34F9" w:rsidRDefault="00465BF0" w:rsidP="000F34F9">
      <w:pPr>
        <w:pStyle w:val="KeinLeerraum"/>
        <w:rPr>
          <w:lang w:eastAsia="de-DE"/>
        </w:rPr>
      </w:pPr>
      <w:r w:rsidRPr="00465BF0">
        <w:rPr>
          <w:lang w:eastAsia="de-DE"/>
        </w:rPr>
        <w:t xml:space="preserve">(3) Gottesliebe, </w:t>
      </w:r>
    </w:p>
    <w:p w14:paraId="3C392242" w14:textId="77777777" w:rsidR="000F34F9" w:rsidRDefault="00465BF0" w:rsidP="000F34F9">
      <w:pPr>
        <w:pStyle w:val="KeinLeerraum"/>
        <w:rPr>
          <w:lang w:eastAsia="de-DE"/>
        </w:rPr>
      </w:pPr>
      <w:r w:rsidRPr="00465BF0">
        <w:rPr>
          <w:lang w:eastAsia="de-DE"/>
        </w:rPr>
        <w:t xml:space="preserve">(4) Gottesdienst mit ganzem Herzen und ganzer Seele. </w:t>
      </w:r>
    </w:p>
    <w:p w14:paraId="26983D53" w14:textId="0378614B" w:rsidR="00465BF0" w:rsidRPr="00465BF0" w:rsidRDefault="00465BF0" w:rsidP="000F34F9">
      <w:pPr>
        <w:pStyle w:val="KeinLeerraum"/>
        <w:rPr>
          <w:lang w:eastAsia="de-DE"/>
        </w:rPr>
      </w:pPr>
      <w:r w:rsidRPr="00465BF0">
        <w:rPr>
          <w:lang w:eastAsia="de-DE"/>
        </w:rPr>
        <w:t xml:space="preserve">Diese Formulierung erinnert an das </w:t>
      </w:r>
      <w:proofErr w:type="spellStart"/>
      <w:r w:rsidRPr="00465BF0">
        <w:rPr>
          <w:lang w:eastAsia="de-DE"/>
        </w:rPr>
        <w:t>Sch'ma</w:t>
      </w:r>
      <w:proofErr w:type="spellEnd"/>
      <w:r w:rsidRPr="00465BF0">
        <w:rPr>
          <w:lang w:eastAsia="de-DE"/>
        </w:rPr>
        <w:t xml:space="preserve"> (6,5: „du sollst JHWH, deinen Gott, lieben mit deinem ganzen Herzen und mit deiner ganzen Seele"). Der Vers verbindet Emotion (Furcht, Liebe) mit Verhalten (Wandel, Dienst).</w:t>
      </w:r>
    </w:p>
    <w:p w14:paraId="39754D87"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lang w:eastAsia="de-DE"/>
        </w:rPr>
        <w:lastRenderedPageBreak/>
        <w:t>Die Satzstruktur ist eine rhetorische Frage mit temporaler Partikel, Vokativ, Fragepronomen, erweitertem Subjekt, Partizip und präpositionaler Ergänzung, gefolgt von einer viergliedrigen koordinierten restriktiven Antwort (der erste, zweite und dritte Infinitiv mit direktem Objekt bzw. präpositionaler Ergänzung, der vierte mit direktem Objekt und zweigliedriger koordinierter präpositionaler Ergänzung).</w:t>
      </w:r>
    </w:p>
    <w:p w14:paraId="642C0C9B"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lang w:eastAsia="de-DE"/>
        </w:rPr>
        <w:t>Der Vers leitet die Paränese ein: Und nun, Israel, was fordert JHWH von dir? Nur dies: Ihn zu fürchten, auf allen seinen Wegen zu wandeln, ihn zu lieben und ihm mit ganzem Herzen und ganzer Seele zu dienen.</w:t>
      </w:r>
    </w:p>
    <w:p w14:paraId="08EC8AFA" w14:textId="77777777" w:rsidR="00465BF0" w:rsidRPr="00465BF0" w:rsidRDefault="00465BF0" w:rsidP="00465BF0">
      <w:pPr>
        <w:spacing w:before="100" w:beforeAutospacing="1" w:after="100" w:afterAutospacing="1" w:line="240" w:lineRule="auto"/>
        <w:outlineLvl w:val="1"/>
        <w:rPr>
          <w:rFonts w:eastAsia="Times New Roman"/>
          <w:b/>
          <w:bCs/>
          <w:sz w:val="36"/>
          <w:szCs w:val="36"/>
          <w:lang w:eastAsia="de-DE"/>
        </w:rPr>
      </w:pPr>
      <w:r w:rsidRPr="00465BF0">
        <w:rPr>
          <w:rFonts w:eastAsia="Times New Roman"/>
          <w:b/>
          <w:bCs/>
          <w:sz w:val="36"/>
          <w:szCs w:val="36"/>
          <w:lang w:eastAsia="de-DE"/>
        </w:rPr>
        <w:t>Deuteronomium 10,13</w:t>
      </w:r>
    </w:p>
    <w:p w14:paraId="759C452D"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b/>
          <w:bCs/>
          <w:lang w:eastAsia="de-DE"/>
        </w:rPr>
        <w:t>Hebräisch:</w:t>
      </w:r>
      <w:r w:rsidRPr="00465BF0">
        <w:rPr>
          <w:rFonts w:eastAsia="Times New Roman"/>
          <w:lang w:eastAsia="de-DE"/>
        </w:rPr>
        <w:t xml:space="preserve"> </w:t>
      </w:r>
      <w:r w:rsidRPr="00465BF0">
        <w:rPr>
          <w:rFonts w:eastAsia="Times New Roman"/>
          <w:rtl/>
          <w:lang w:eastAsia="de-DE"/>
        </w:rPr>
        <w:t>לִשְׁמֹ֞ר אֶת־מִצְוֹ֤ת יְהוָה֙ וְאֶת־חֻקֹּתָ֔יו אֲשֶׁ֛ר אָנֹכִ֥י מְצַוְּךָ֖ הַיּ֑וֹם לְט֖וֹב לָֽךְ׃</w:t>
      </w:r>
    </w:p>
    <w:p w14:paraId="0716BD92"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b/>
          <w:bCs/>
          <w:lang w:eastAsia="de-DE"/>
        </w:rPr>
        <w:t>Deutsch:</w:t>
      </w:r>
      <w:r w:rsidRPr="00465BF0">
        <w:rPr>
          <w:rFonts w:eastAsia="Times New Roman"/>
          <w:lang w:eastAsia="de-DE"/>
        </w:rPr>
        <w:t xml:space="preserve"> die Gebote des Ewigen und seine Satzungen, die ich dir heute gebiete, zu halten, dir zum Guten?</w:t>
      </w:r>
    </w:p>
    <w:p w14:paraId="0E734503" w14:textId="77777777" w:rsidR="00465BF0" w:rsidRPr="00465BF0" w:rsidRDefault="004F5CEB" w:rsidP="00465BF0">
      <w:pPr>
        <w:spacing w:after="0" w:line="240" w:lineRule="auto"/>
        <w:rPr>
          <w:rFonts w:eastAsia="Times New Roman"/>
          <w:lang w:eastAsia="de-DE"/>
        </w:rPr>
      </w:pPr>
      <w:r>
        <w:rPr>
          <w:rFonts w:eastAsia="Times New Roman"/>
          <w:noProof/>
          <w:lang w:eastAsia="de-DE"/>
        </w:rPr>
        <w:pict w14:anchorId="5B7DE001">
          <v:rect id="_x0000_i1331" style="width:0;height:1.5pt" o:hralign="center" o:hrstd="t" o:hr="t" fillcolor="#a0a0a0" stroked="f"/>
        </w:pict>
      </w:r>
    </w:p>
    <w:p w14:paraId="772B35B0"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b/>
          <w:bCs/>
          <w:lang w:eastAsia="de-DE"/>
        </w:rPr>
        <w:t>Kommentar:</w:t>
      </w:r>
      <w:r w:rsidRPr="00465BF0">
        <w:rPr>
          <w:rFonts w:eastAsia="Times New Roman"/>
          <w:lang w:eastAsia="de-DE"/>
        </w:rPr>
        <w:t xml:space="preserve"> </w:t>
      </w:r>
      <w:r w:rsidRPr="00465BF0">
        <w:rPr>
          <w:rFonts w:eastAsia="Times New Roman"/>
          <w:b/>
          <w:bCs/>
          <w:rtl/>
          <w:lang w:eastAsia="de-DE"/>
        </w:rPr>
        <w:t>לִשְׁמֹר אֶת־מִצְוֹת יְהוָה וְאֶת־חֻקֹּתָיו</w:t>
      </w:r>
      <w:r w:rsidRPr="00465BF0">
        <w:rPr>
          <w:rFonts w:eastAsia="Times New Roman"/>
          <w:rtl/>
          <w:lang w:eastAsia="de-DE"/>
        </w:rPr>
        <w:t xml:space="preserve"> </w:t>
      </w:r>
      <w:r w:rsidRPr="00465BF0">
        <w:rPr>
          <w:rFonts w:eastAsia="Times New Roman"/>
          <w:lang w:eastAsia="de-DE"/>
        </w:rPr>
        <w:t xml:space="preserve">ist der fünfte Infinitiv (Fortsetzung von V. 12): </w:t>
      </w:r>
      <w:r w:rsidRPr="00465BF0">
        <w:rPr>
          <w:rFonts w:eastAsia="Times New Roman"/>
          <w:b/>
          <w:bCs/>
          <w:rtl/>
          <w:lang w:eastAsia="de-DE"/>
        </w:rPr>
        <w:t>לִשְׁמֹר</w:t>
      </w:r>
      <w:r w:rsidRPr="00465BF0">
        <w:rPr>
          <w:rFonts w:eastAsia="Times New Roman"/>
          <w:rtl/>
          <w:lang w:eastAsia="de-DE"/>
        </w:rPr>
        <w:t xml:space="preserve"> </w:t>
      </w:r>
      <w:r w:rsidRPr="00465BF0">
        <w:rPr>
          <w:rFonts w:eastAsia="Times New Roman"/>
          <w:lang w:eastAsia="de-DE"/>
        </w:rPr>
        <w:t xml:space="preserve">(Qal Infinitiv Construct von </w:t>
      </w:r>
      <w:r w:rsidRPr="00465BF0">
        <w:rPr>
          <w:rFonts w:eastAsia="Times New Roman"/>
          <w:b/>
          <w:bCs/>
          <w:rtl/>
          <w:lang w:eastAsia="de-DE"/>
        </w:rPr>
        <w:t>שׁמר</w:t>
      </w:r>
      <w:r w:rsidRPr="00465BF0">
        <w:rPr>
          <w:rFonts w:eastAsia="Times New Roman"/>
          <w:lang w:eastAsia="de-DE"/>
        </w:rPr>
        <w:t xml:space="preserve">, „bewahren, halten", mit </w:t>
      </w:r>
      <w:r w:rsidRPr="00465BF0">
        <w:rPr>
          <w:rFonts w:eastAsia="Times New Roman"/>
          <w:b/>
          <w:bCs/>
          <w:rtl/>
          <w:lang w:eastAsia="de-DE"/>
        </w:rPr>
        <w:t>לְ</w:t>
      </w:r>
      <w:r w:rsidRPr="00465BF0">
        <w:rPr>
          <w:rFonts w:eastAsia="Times New Roman"/>
          <w:lang w:eastAsia="de-DE"/>
        </w:rPr>
        <w:t xml:space="preserve">), </w:t>
      </w:r>
      <w:r w:rsidRPr="00465BF0">
        <w:rPr>
          <w:rFonts w:eastAsia="Times New Roman"/>
          <w:b/>
          <w:bCs/>
          <w:rtl/>
          <w:lang w:eastAsia="de-DE"/>
        </w:rPr>
        <w:t>אֶת־מִצְוֹת יְהוָה וְאֶת־חֻקֹּתָיו</w:t>
      </w:r>
      <w:r w:rsidRPr="00465BF0">
        <w:rPr>
          <w:rFonts w:eastAsia="Times New Roman"/>
          <w:rtl/>
          <w:lang w:eastAsia="de-DE"/>
        </w:rPr>
        <w:t xml:space="preserve"> </w:t>
      </w:r>
      <w:r w:rsidRPr="00465BF0">
        <w:rPr>
          <w:rFonts w:eastAsia="Times New Roman"/>
          <w:lang w:eastAsia="de-DE"/>
        </w:rPr>
        <w:t>als zweigliedriges koordiniertes direktes Objekt (</w:t>
      </w:r>
      <w:r w:rsidRPr="00465BF0">
        <w:rPr>
          <w:rFonts w:eastAsia="Times New Roman"/>
          <w:b/>
          <w:bCs/>
          <w:rtl/>
          <w:lang w:eastAsia="de-DE"/>
        </w:rPr>
        <w:t>מִצְוָה</w:t>
      </w:r>
      <w:r w:rsidRPr="00465BF0">
        <w:rPr>
          <w:rFonts w:eastAsia="Times New Roman"/>
          <w:lang w:eastAsia="de-DE"/>
        </w:rPr>
        <w:t xml:space="preserve">, „Gebot", Plural Construct, </w:t>
      </w:r>
      <w:r w:rsidRPr="00465BF0">
        <w:rPr>
          <w:rFonts w:eastAsia="Times New Roman"/>
          <w:b/>
          <w:bCs/>
          <w:rtl/>
          <w:lang w:eastAsia="de-DE"/>
        </w:rPr>
        <w:t>יְהוָה</w:t>
      </w:r>
      <w:r w:rsidRPr="00465BF0">
        <w:rPr>
          <w:rFonts w:eastAsia="Times New Roman"/>
          <w:lang w:eastAsia="de-DE"/>
        </w:rPr>
        <w:t xml:space="preserve">, koordiniert mit </w:t>
      </w:r>
      <w:r w:rsidRPr="00465BF0">
        <w:rPr>
          <w:rFonts w:eastAsia="Times New Roman"/>
          <w:b/>
          <w:bCs/>
          <w:rtl/>
          <w:lang w:eastAsia="de-DE"/>
        </w:rPr>
        <w:t>חֻקָּה</w:t>
      </w:r>
      <w:r w:rsidRPr="00465BF0">
        <w:rPr>
          <w:rFonts w:eastAsia="Times New Roman"/>
          <w:lang w:eastAsia="de-DE"/>
        </w:rPr>
        <w:t>, „Satzung", Plural, und Suffix 3. Person Singular maskulin – „die Gebote JHWHs und seine Satzungen").</w:t>
      </w:r>
    </w:p>
    <w:p w14:paraId="4FB7AA95"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b/>
          <w:bCs/>
          <w:rtl/>
          <w:lang w:eastAsia="de-DE"/>
        </w:rPr>
        <w:t>אֲשֶׁר אָנֹכִי מְצַוְּךָ הַיּוֹם</w:t>
      </w:r>
      <w:r w:rsidRPr="00465BF0">
        <w:rPr>
          <w:rFonts w:eastAsia="Times New Roman"/>
          <w:rtl/>
          <w:lang w:eastAsia="de-DE"/>
        </w:rPr>
        <w:t xml:space="preserve"> </w:t>
      </w:r>
      <w:r w:rsidRPr="00465BF0">
        <w:rPr>
          <w:rFonts w:eastAsia="Times New Roman"/>
          <w:lang w:eastAsia="de-DE"/>
        </w:rPr>
        <w:t xml:space="preserve">ist ein Relativsatz: </w:t>
      </w:r>
      <w:r w:rsidRPr="00465BF0">
        <w:rPr>
          <w:rFonts w:eastAsia="Times New Roman"/>
          <w:b/>
          <w:bCs/>
          <w:rtl/>
          <w:lang w:eastAsia="de-DE"/>
        </w:rPr>
        <w:t>אֲשֶׁר</w:t>
      </w:r>
      <w:r w:rsidRPr="00465BF0">
        <w:rPr>
          <w:rFonts w:eastAsia="Times New Roman"/>
          <w:rtl/>
          <w:lang w:eastAsia="de-DE"/>
        </w:rPr>
        <w:t xml:space="preserve"> </w:t>
      </w:r>
      <w:r w:rsidRPr="00465BF0">
        <w:rPr>
          <w:rFonts w:eastAsia="Times New Roman"/>
          <w:lang w:eastAsia="de-DE"/>
        </w:rPr>
        <w:t xml:space="preserve">als Relativpronomen, </w:t>
      </w:r>
      <w:r w:rsidRPr="00465BF0">
        <w:rPr>
          <w:rFonts w:eastAsia="Times New Roman"/>
          <w:b/>
          <w:bCs/>
          <w:rtl/>
          <w:lang w:eastAsia="de-DE"/>
        </w:rPr>
        <w:t>אָנֹכִי</w:t>
      </w:r>
      <w:r w:rsidRPr="00465BF0">
        <w:rPr>
          <w:rFonts w:eastAsia="Times New Roman"/>
          <w:rtl/>
          <w:lang w:eastAsia="de-DE"/>
        </w:rPr>
        <w:t xml:space="preserve"> </w:t>
      </w:r>
      <w:r w:rsidRPr="00465BF0">
        <w:rPr>
          <w:rFonts w:eastAsia="Times New Roman"/>
          <w:lang w:eastAsia="de-DE"/>
        </w:rPr>
        <w:t xml:space="preserve">als emphatisches Subjekt, </w:t>
      </w:r>
      <w:r w:rsidRPr="00465BF0">
        <w:rPr>
          <w:rFonts w:eastAsia="Times New Roman"/>
          <w:b/>
          <w:bCs/>
          <w:rtl/>
          <w:lang w:eastAsia="de-DE"/>
        </w:rPr>
        <w:t>מְצַוְּךָ</w:t>
      </w:r>
      <w:r w:rsidRPr="00465BF0">
        <w:rPr>
          <w:rFonts w:eastAsia="Times New Roman"/>
          <w:rtl/>
          <w:lang w:eastAsia="de-DE"/>
        </w:rPr>
        <w:t xml:space="preserve"> </w:t>
      </w:r>
      <w:r w:rsidRPr="00465BF0">
        <w:rPr>
          <w:rFonts w:eastAsia="Times New Roman"/>
          <w:lang w:eastAsia="de-DE"/>
        </w:rPr>
        <w:t xml:space="preserve">als Piel Partizip Singular maskulin von </w:t>
      </w:r>
      <w:r w:rsidRPr="00465BF0">
        <w:rPr>
          <w:rFonts w:eastAsia="Times New Roman"/>
          <w:b/>
          <w:bCs/>
          <w:rtl/>
          <w:lang w:eastAsia="de-DE"/>
        </w:rPr>
        <w:t>צוה</w:t>
      </w:r>
      <w:r w:rsidRPr="00465BF0">
        <w:rPr>
          <w:rFonts w:eastAsia="Times New Roman"/>
          <w:lang w:eastAsia="de-DE"/>
        </w:rPr>
        <w:t xml:space="preserve">, „befehlen, gebieten", mit Suffix 2. Person Singular maskulin (als direktes Objekt), </w:t>
      </w:r>
      <w:r w:rsidRPr="00465BF0">
        <w:rPr>
          <w:rFonts w:eastAsia="Times New Roman"/>
          <w:b/>
          <w:bCs/>
          <w:rtl/>
          <w:lang w:eastAsia="de-DE"/>
        </w:rPr>
        <w:t>הַיּוֹם</w:t>
      </w:r>
      <w:r w:rsidRPr="00465BF0">
        <w:rPr>
          <w:rFonts w:eastAsia="Times New Roman"/>
          <w:rtl/>
          <w:lang w:eastAsia="de-DE"/>
        </w:rPr>
        <w:t xml:space="preserve"> </w:t>
      </w:r>
      <w:r w:rsidRPr="00465BF0">
        <w:rPr>
          <w:rFonts w:eastAsia="Times New Roman"/>
          <w:lang w:eastAsia="de-DE"/>
        </w:rPr>
        <w:t>als temporales Adverb („heute").</w:t>
      </w:r>
    </w:p>
    <w:p w14:paraId="5417E387"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b/>
          <w:bCs/>
          <w:rtl/>
          <w:lang w:eastAsia="de-DE"/>
        </w:rPr>
        <w:t>לְטוֹב לָךְ</w:t>
      </w:r>
      <w:r w:rsidRPr="00465BF0">
        <w:rPr>
          <w:rFonts w:eastAsia="Times New Roman"/>
          <w:rtl/>
          <w:lang w:eastAsia="de-DE"/>
        </w:rPr>
        <w:t xml:space="preserve"> </w:t>
      </w:r>
      <w:r w:rsidRPr="00465BF0">
        <w:rPr>
          <w:rFonts w:eastAsia="Times New Roman"/>
          <w:lang w:eastAsia="de-DE"/>
        </w:rPr>
        <w:t xml:space="preserve">ist die finale Bestimmung: </w:t>
      </w:r>
      <w:r w:rsidRPr="00465BF0">
        <w:rPr>
          <w:rFonts w:eastAsia="Times New Roman"/>
          <w:b/>
          <w:bCs/>
          <w:rtl/>
          <w:lang w:eastAsia="de-DE"/>
        </w:rPr>
        <w:t>לְ</w:t>
      </w:r>
      <w:r w:rsidRPr="00465BF0">
        <w:rPr>
          <w:rFonts w:eastAsia="Times New Roman"/>
          <w:rtl/>
          <w:lang w:eastAsia="de-DE"/>
        </w:rPr>
        <w:t xml:space="preserve"> </w:t>
      </w:r>
      <w:r w:rsidRPr="00465BF0">
        <w:rPr>
          <w:rFonts w:eastAsia="Times New Roman"/>
          <w:lang w:eastAsia="de-DE"/>
        </w:rPr>
        <w:t xml:space="preserve">mit </w:t>
      </w:r>
      <w:r w:rsidRPr="00465BF0">
        <w:rPr>
          <w:rFonts w:eastAsia="Times New Roman"/>
          <w:b/>
          <w:bCs/>
          <w:rtl/>
          <w:lang w:eastAsia="de-DE"/>
        </w:rPr>
        <w:t>טוֹב</w:t>
      </w:r>
      <w:r w:rsidRPr="00465BF0">
        <w:rPr>
          <w:rFonts w:eastAsia="Times New Roman"/>
          <w:lang w:eastAsia="de-DE"/>
        </w:rPr>
        <w:t xml:space="preserve">, „gut" (substantiviert – „zum Guten"), </w:t>
      </w:r>
      <w:r w:rsidRPr="00465BF0">
        <w:rPr>
          <w:rFonts w:eastAsia="Times New Roman"/>
          <w:b/>
          <w:bCs/>
          <w:rtl/>
          <w:lang w:eastAsia="de-DE"/>
        </w:rPr>
        <w:t>לָךְ</w:t>
      </w:r>
      <w:r w:rsidRPr="00465BF0">
        <w:rPr>
          <w:rFonts w:eastAsia="Times New Roman"/>
          <w:rtl/>
          <w:lang w:eastAsia="de-DE"/>
        </w:rPr>
        <w:t xml:space="preserve"> </w:t>
      </w:r>
      <w:r w:rsidRPr="00465BF0">
        <w:rPr>
          <w:rFonts w:eastAsia="Times New Roman"/>
          <w:lang w:eastAsia="de-DE"/>
        </w:rPr>
        <w:t>als Dativ („für dich, dir zum Guten").</w:t>
      </w:r>
    </w:p>
    <w:p w14:paraId="3380A43C"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lang w:eastAsia="de-DE"/>
        </w:rPr>
        <w:t xml:space="preserve">Der Vers setzt die Infinitivkette von V. 12 fort und fügt den fünften Infinitiv hinzu: Gebote und Satzungen halten. Die zweigliedrige Formulierung </w:t>
      </w:r>
      <w:r w:rsidRPr="00465BF0">
        <w:rPr>
          <w:rFonts w:eastAsia="Times New Roman"/>
          <w:b/>
          <w:bCs/>
          <w:rtl/>
          <w:lang w:eastAsia="de-DE"/>
        </w:rPr>
        <w:t>מִצְוֹת יְהוָה וְחֻקֹּתָיו</w:t>
      </w:r>
      <w:r w:rsidRPr="00465BF0">
        <w:rPr>
          <w:rFonts w:eastAsia="Times New Roman"/>
          <w:rtl/>
          <w:lang w:eastAsia="de-DE"/>
        </w:rPr>
        <w:t xml:space="preserve"> </w:t>
      </w:r>
      <w:r w:rsidRPr="00465BF0">
        <w:rPr>
          <w:rFonts w:eastAsia="Times New Roman"/>
          <w:lang w:eastAsia="de-DE"/>
        </w:rPr>
        <w:t xml:space="preserve">(„Gebote JHWHs und seine Satzungen") ist eine klassische Doppelformulierung im Deuteronomium für die Gesamtheit der göttlichen Weisung (vgl. 6,17; 11,1; 26,17; 30,10). Der Relativsatz </w:t>
      </w:r>
      <w:r w:rsidRPr="00465BF0">
        <w:rPr>
          <w:rFonts w:eastAsia="Times New Roman"/>
          <w:b/>
          <w:bCs/>
          <w:rtl/>
          <w:lang w:eastAsia="de-DE"/>
        </w:rPr>
        <w:t>אֲשֶׁר אָנֹכִי מְצַוְּךָ הַיּוֹם</w:t>
      </w:r>
      <w:r w:rsidRPr="00465BF0">
        <w:rPr>
          <w:rFonts w:eastAsia="Times New Roman"/>
          <w:rtl/>
          <w:lang w:eastAsia="de-DE"/>
        </w:rPr>
        <w:t xml:space="preserve"> </w:t>
      </w:r>
      <w:r w:rsidRPr="00465BF0">
        <w:rPr>
          <w:rFonts w:eastAsia="Times New Roman"/>
          <w:lang w:eastAsia="de-DE"/>
        </w:rPr>
        <w:t xml:space="preserve">identifiziert Mose als Vermittler der Gebote zur Zeit der moabitischen Rede. Die finale Bestimmung </w:t>
      </w:r>
      <w:r w:rsidRPr="00465BF0">
        <w:rPr>
          <w:rFonts w:eastAsia="Times New Roman"/>
          <w:b/>
          <w:bCs/>
          <w:rtl/>
          <w:lang w:eastAsia="de-DE"/>
        </w:rPr>
        <w:t>לְטוֹב לָךְ</w:t>
      </w:r>
      <w:r w:rsidRPr="00465BF0">
        <w:rPr>
          <w:rFonts w:eastAsia="Times New Roman"/>
          <w:rtl/>
          <w:lang w:eastAsia="de-DE"/>
        </w:rPr>
        <w:t xml:space="preserve"> </w:t>
      </w:r>
      <w:r w:rsidRPr="00465BF0">
        <w:rPr>
          <w:rFonts w:eastAsia="Times New Roman"/>
          <w:lang w:eastAsia="de-DE"/>
        </w:rPr>
        <w:t>(„dir zum Guten") betont: Die Gebote dienen Israels Wohl – sie sind nicht Last, sondern Segen (vgl. 6,24; 10,13; 12,28; 30,9).</w:t>
      </w:r>
    </w:p>
    <w:p w14:paraId="692964BE"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lang w:eastAsia="de-DE"/>
        </w:rPr>
        <w:t>Die rhetorische Struktur von V. 12-13 ist bemerkenswert: Die Frage „Was fordert JHWH von dir?" wird mit „nur" bzw. „nichts als" beantwortet, aber dann folgen fünf Infinitive – die Antwort ist zugleich einfach (nur das Eine) und umfassend (Furcht, Wandel, Liebe, Dienst, Gebote halten). Die Pointe: JHWHs Forderung ist eindeutig und klar, auch wenn sie alle Lebensbereiche umfasst.</w:t>
      </w:r>
    </w:p>
    <w:p w14:paraId="740AA9C8"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lang w:eastAsia="de-DE"/>
        </w:rPr>
        <w:lastRenderedPageBreak/>
        <w:t>Die Satzstruktur ist ein Infinitiv mit zweigliedrigem koordiniertem direktem Objekt, erweitert durch einen Relativsatz mit emphatischem Subjekt, Partizip, Suffix-Objekt und temporalem Adverb sowie einer finalen Bestimmung.</w:t>
      </w:r>
    </w:p>
    <w:p w14:paraId="582058EA"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lang w:eastAsia="de-DE"/>
        </w:rPr>
        <w:t>Der Vers vervollständigt die Forderung: Die Gebote JHWHs und seine Satzungen zu halten, die ich dir heute gebiete – dir zum Guten!</w:t>
      </w:r>
    </w:p>
    <w:p w14:paraId="6BFFDB34" w14:textId="77777777" w:rsidR="00465BF0" w:rsidRPr="00465BF0" w:rsidRDefault="00465BF0" w:rsidP="00465BF0">
      <w:pPr>
        <w:spacing w:before="100" w:beforeAutospacing="1" w:after="100" w:afterAutospacing="1" w:line="240" w:lineRule="auto"/>
        <w:outlineLvl w:val="1"/>
        <w:rPr>
          <w:rFonts w:eastAsia="Times New Roman"/>
          <w:b/>
          <w:bCs/>
          <w:sz w:val="36"/>
          <w:szCs w:val="36"/>
          <w:lang w:eastAsia="de-DE"/>
        </w:rPr>
      </w:pPr>
      <w:r w:rsidRPr="00465BF0">
        <w:rPr>
          <w:rFonts w:eastAsia="Times New Roman"/>
          <w:b/>
          <w:bCs/>
          <w:sz w:val="36"/>
          <w:szCs w:val="36"/>
          <w:lang w:eastAsia="de-DE"/>
        </w:rPr>
        <w:t>Deuteronomium 10,14</w:t>
      </w:r>
    </w:p>
    <w:p w14:paraId="51893DB2"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b/>
          <w:bCs/>
          <w:lang w:eastAsia="de-DE"/>
        </w:rPr>
        <w:t>Hebräisch:</w:t>
      </w:r>
      <w:r w:rsidRPr="00465BF0">
        <w:rPr>
          <w:rFonts w:eastAsia="Times New Roman"/>
          <w:lang w:eastAsia="de-DE"/>
        </w:rPr>
        <w:t xml:space="preserve"> </w:t>
      </w:r>
      <w:r w:rsidRPr="00465BF0">
        <w:rPr>
          <w:rFonts w:eastAsia="Times New Roman"/>
          <w:rtl/>
          <w:lang w:eastAsia="de-DE"/>
        </w:rPr>
        <w:t>הֵ֚ן לַיהוָ֣ה אֱלֹהֶ֔יךָ הַשָּׁמַ֖יִם וּשְׁמֵ֣י הַשָּׁמָ֑יִם הָאָ֖רֶץ וְכָל־אֲשֶׁר־בָּֽהּ׃</w:t>
      </w:r>
    </w:p>
    <w:p w14:paraId="1910AD68"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b/>
          <w:bCs/>
          <w:lang w:eastAsia="de-DE"/>
        </w:rPr>
        <w:t>Deutsch:</w:t>
      </w:r>
      <w:r w:rsidRPr="00465BF0">
        <w:rPr>
          <w:rFonts w:eastAsia="Times New Roman"/>
          <w:lang w:eastAsia="de-DE"/>
        </w:rPr>
        <w:t xml:space="preserve"> Siehe, dem Ewigen, deinem Gott, gehören die Himmel und die Himmel der Himmel, die Erde und alles, was in ihr ist.</w:t>
      </w:r>
    </w:p>
    <w:p w14:paraId="2FD93D28" w14:textId="77777777" w:rsidR="00465BF0" w:rsidRPr="00465BF0" w:rsidRDefault="004F5CEB" w:rsidP="00465BF0">
      <w:pPr>
        <w:spacing w:after="0" w:line="240" w:lineRule="auto"/>
        <w:rPr>
          <w:rFonts w:eastAsia="Times New Roman"/>
          <w:lang w:eastAsia="de-DE"/>
        </w:rPr>
      </w:pPr>
      <w:r>
        <w:rPr>
          <w:rFonts w:eastAsia="Times New Roman"/>
          <w:noProof/>
          <w:lang w:eastAsia="de-DE"/>
        </w:rPr>
        <w:pict w14:anchorId="070761C8">
          <v:rect id="_x0000_i1332" style="width:0;height:1.5pt" o:hralign="center" o:hrstd="t" o:hr="t" fillcolor="#a0a0a0" stroked="f"/>
        </w:pict>
      </w:r>
    </w:p>
    <w:p w14:paraId="3C0C0139"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b/>
          <w:bCs/>
          <w:lang w:eastAsia="de-DE"/>
        </w:rPr>
        <w:t>Kommentar:</w:t>
      </w:r>
      <w:r w:rsidRPr="00465BF0">
        <w:rPr>
          <w:rFonts w:eastAsia="Times New Roman"/>
          <w:lang w:eastAsia="de-DE"/>
        </w:rPr>
        <w:t xml:space="preserve"> </w:t>
      </w:r>
      <w:r w:rsidRPr="00465BF0">
        <w:rPr>
          <w:rFonts w:eastAsia="Times New Roman"/>
          <w:b/>
          <w:bCs/>
          <w:rtl/>
          <w:lang w:eastAsia="de-DE"/>
        </w:rPr>
        <w:t>הֵן לַיהוָה אֱלֹהֶיךָ הַשָּׁמַיִם וּשְׁמֵי הַשָּׁמָיִם הָאָרֶץ וְכָל־אֲשֶׁר־בָּהּ</w:t>
      </w:r>
      <w:r w:rsidRPr="00465BF0">
        <w:rPr>
          <w:rFonts w:eastAsia="Times New Roman"/>
          <w:rtl/>
          <w:lang w:eastAsia="de-DE"/>
        </w:rPr>
        <w:t xml:space="preserve"> </w:t>
      </w:r>
      <w:r w:rsidRPr="00465BF0">
        <w:rPr>
          <w:rFonts w:eastAsia="Times New Roman"/>
          <w:lang w:eastAsia="de-DE"/>
        </w:rPr>
        <w:t xml:space="preserve">ist ein nominaler Satz: </w:t>
      </w:r>
      <w:r w:rsidRPr="00465BF0">
        <w:rPr>
          <w:rFonts w:eastAsia="Times New Roman"/>
          <w:b/>
          <w:bCs/>
          <w:rtl/>
          <w:lang w:eastAsia="de-DE"/>
        </w:rPr>
        <w:t>הֵן</w:t>
      </w:r>
      <w:r w:rsidRPr="00465BF0">
        <w:rPr>
          <w:rFonts w:eastAsia="Times New Roman"/>
          <w:rtl/>
          <w:lang w:eastAsia="de-DE"/>
        </w:rPr>
        <w:t xml:space="preserve"> </w:t>
      </w:r>
      <w:r w:rsidRPr="00465BF0">
        <w:rPr>
          <w:rFonts w:eastAsia="Times New Roman"/>
          <w:lang w:eastAsia="de-DE"/>
        </w:rPr>
        <w:t xml:space="preserve">als Interjektionspartikel („siehe"), </w:t>
      </w:r>
      <w:r w:rsidRPr="00465BF0">
        <w:rPr>
          <w:rFonts w:eastAsia="Times New Roman"/>
          <w:b/>
          <w:bCs/>
          <w:rtl/>
          <w:lang w:eastAsia="de-DE"/>
        </w:rPr>
        <w:t>לַיהוָה אֱלֹהֶיךָ</w:t>
      </w:r>
      <w:r w:rsidRPr="00465BF0">
        <w:rPr>
          <w:rFonts w:eastAsia="Times New Roman"/>
          <w:rtl/>
          <w:lang w:eastAsia="de-DE"/>
        </w:rPr>
        <w:t xml:space="preserve"> </w:t>
      </w:r>
      <w:r w:rsidRPr="00465BF0">
        <w:rPr>
          <w:rFonts w:eastAsia="Times New Roman"/>
          <w:lang w:eastAsia="de-DE"/>
        </w:rPr>
        <w:t>als Prädikat (</w:t>
      </w:r>
      <w:r w:rsidRPr="00465BF0">
        <w:rPr>
          <w:rFonts w:eastAsia="Times New Roman"/>
          <w:b/>
          <w:bCs/>
          <w:rtl/>
          <w:lang w:eastAsia="de-DE"/>
        </w:rPr>
        <w:t>לְ</w:t>
      </w:r>
      <w:r w:rsidRPr="00465BF0">
        <w:rPr>
          <w:rFonts w:eastAsia="Times New Roman"/>
          <w:rtl/>
          <w:lang w:eastAsia="de-DE"/>
        </w:rPr>
        <w:t xml:space="preserve"> </w:t>
      </w:r>
      <w:r w:rsidRPr="00465BF0">
        <w:rPr>
          <w:rFonts w:eastAsia="Times New Roman"/>
          <w:lang w:eastAsia="de-DE"/>
        </w:rPr>
        <w:t xml:space="preserve">mit erweiterter Gottesbezeichnung – „dem JHWH, deinem Gott, gehört/gehören"), </w:t>
      </w:r>
      <w:r w:rsidRPr="00465BF0">
        <w:rPr>
          <w:rFonts w:eastAsia="Times New Roman"/>
          <w:b/>
          <w:bCs/>
          <w:rtl/>
          <w:lang w:eastAsia="de-DE"/>
        </w:rPr>
        <w:t>הַשָּׁמַיִם וּשְׁמֵי הַשָּׁמָיִם הָאָרֶץ וְכָל־אֲשֶׁר־בָּהּ</w:t>
      </w:r>
      <w:r w:rsidRPr="00465BF0">
        <w:rPr>
          <w:rFonts w:eastAsia="Times New Roman"/>
          <w:rtl/>
          <w:lang w:eastAsia="de-DE"/>
        </w:rPr>
        <w:t xml:space="preserve"> </w:t>
      </w:r>
      <w:r w:rsidRPr="00465BF0">
        <w:rPr>
          <w:rFonts w:eastAsia="Times New Roman"/>
          <w:lang w:eastAsia="de-DE"/>
        </w:rPr>
        <w:t>als viergliedriges koordiniertes Subjekt (</w:t>
      </w:r>
      <w:r w:rsidRPr="00465BF0">
        <w:rPr>
          <w:rFonts w:eastAsia="Times New Roman"/>
          <w:b/>
          <w:bCs/>
          <w:rtl/>
          <w:lang w:eastAsia="de-DE"/>
        </w:rPr>
        <w:t>שָׁמַיִם</w:t>
      </w:r>
      <w:r w:rsidRPr="00465BF0">
        <w:rPr>
          <w:rFonts w:eastAsia="Times New Roman"/>
          <w:lang w:eastAsia="de-DE"/>
        </w:rPr>
        <w:t xml:space="preserve">, „Himmel", Dual, mit Artikel, koordiniert mit </w:t>
      </w:r>
      <w:r w:rsidRPr="00465BF0">
        <w:rPr>
          <w:rFonts w:eastAsia="Times New Roman"/>
          <w:b/>
          <w:bCs/>
          <w:rtl/>
          <w:lang w:eastAsia="de-DE"/>
        </w:rPr>
        <w:t>שְׁמֵי הַשָּׁמָיִם</w:t>
      </w:r>
      <w:r w:rsidRPr="00465BF0">
        <w:rPr>
          <w:rFonts w:eastAsia="Times New Roman"/>
          <w:rtl/>
          <w:lang w:eastAsia="de-DE"/>
        </w:rPr>
        <w:t xml:space="preserve"> </w:t>
      </w:r>
      <w:r w:rsidRPr="00465BF0">
        <w:rPr>
          <w:rFonts w:eastAsia="Times New Roman"/>
          <w:lang w:eastAsia="de-DE"/>
        </w:rPr>
        <w:t xml:space="preserve">– </w:t>
      </w:r>
      <w:r w:rsidRPr="00465BF0">
        <w:rPr>
          <w:rFonts w:eastAsia="Times New Roman"/>
          <w:b/>
          <w:bCs/>
          <w:rtl/>
          <w:lang w:eastAsia="de-DE"/>
        </w:rPr>
        <w:t>שָׁמַיִם</w:t>
      </w:r>
      <w:r w:rsidRPr="00465BF0">
        <w:rPr>
          <w:rFonts w:eastAsia="Times New Roman"/>
          <w:rtl/>
          <w:lang w:eastAsia="de-DE"/>
        </w:rPr>
        <w:t xml:space="preserve"> </w:t>
      </w:r>
      <w:r w:rsidRPr="00465BF0">
        <w:rPr>
          <w:rFonts w:eastAsia="Times New Roman"/>
          <w:lang w:eastAsia="de-DE"/>
        </w:rPr>
        <w:t xml:space="preserve">im Construct mit </w:t>
      </w:r>
      <w:r w:rsidRPr="00465BF0">
        <w:rPr>
          <w:rFonts w:eastAsia="Times New Roman"/>
          <w:b/>
          <w:bCs/>
          <w:rtl/>
          <w:lang w:eastAsia="de-DE"/>
        </w:rPr>
        <w:t>שָׁמַיִם</w:t>
      </w:r>
      <w:r w:rsidRPr="00465BF0">
        <w:rPr>
          <w:rFonts w:eastAsia="Times New Roman"/>
          <w:rtl/>
          <w:lang w:eastAsia="de-DE"/>
        </w:rPr>
        <w:t xml:space="preserve"> </w:t>
      </w:r>
      <w:r w:rsidRPr="00465BF0">
        <w:rPr>
          <w:rFonts w:eastAsia="Times New Roman"/>
          <w:lang w:eastAsia="de-DE"/>
        </w:rPr>
        <w:t xml:space="preserve">– „Himmel der Himmel", </w:t>
      </w:r>
      <w:r w:rsidRPr="00465BF0">
        <w:rPr>
          <w:rFonts w:eastAsia="Times New Roman"/>
          <w:b/>
          <w:bCs/>
          <w:rtl/>
          <w:lang w:eastAsia="de-DE"/>
        </w:rPr>
        <w:t>הָאָרֶץ</w:t>
      </w:r>
      <w:r w:rsidRPr="00465BF0">
        <w:rPr>
          <w:rFonts w:eastAsia="Times New Roman"/>
          <w:lang w:eastAsia="de-DE"/>
        </w:rPr>
        <w:t xml:space="preserve">, „die Erde", koordiniert mit </w:t>
      </w:r>
      <w:r w:rsidRPr="00465BF0">
        <w:rPr>
          <w:rFonts w:eastAsia="Times New Roman"/>
          <w:b/>
          <w:bCs/>
          <w:rtl/>
          <w:lang w:eastAsia="de-DE"/>
        </w:rPr>
        <w:t>כָל־אֲשֶׁר־בָּהּ</w:t>
      </w:r>
      <w:r w:rsidRPr="00465BF0">
        <w:rPr>
          <w:rFonts w:eastAsia="Times New Roman"/>
          <w:rtl/>
          <w:lang w:eastAsia="de-DE"/>
        </w:rPr>
        <w:t xml:space="preserve"> </w:t>
      </w:r>
      <w:r w:rsidRPr="00465BF0">
        <w:rPr>
          <w:rFonts w:eastAsia="Times New Roman"/>
          <w:lang w:eastAsia="de-DE"/>
        </w:rPr>
        <w:t xml:space="preserve">– </w:t>
      </w:r>
      <w:r w:rsidRPr="00465BF0">
        <w:rPr>
          <w:rFonts w:eastAsia="Times New Roman"/>
          <w:b/>
          <w:bCs/>
          <w:rtl/>
          <w:lang w:eastAsia="de-DE"/>
        </w:rPr>
        <w:t>כֹּל</w:t>
      </w:r>
      <w:r w:rsidRPr="00465BF0">
        <w:rPr>
          <w:rFonts w:eastAsia="Times New Roman"/>
          <w:rtl/>
          <w:lang w:eastAsia="de-DE"/>
        </w:rPr>
        <w:t xml:space="preserve"> </w:t>
      </w:r>
      <w:r w:rsidRPr="00465BF0">
        <w:rPr>
          <w:rFonts w:eastAsia="Times New Roman"/>
          <w:lang w:eastAsia="de-DE"/>
        </w:rPr>
        <w:t xml:space="preserve">im Construct mit Relativsatz – </w:t>
      </w:r>
      <w:r w:rsidRPr="00465BF0">
        <w:rPr>
          <w:rFonts w:eastAsia="Times New Roman"/>
          <w:b/>
          <w:bCs/>
          <w:rtl/>
          <w:lang w:eastAsia="de-DE"/>
        </w:rPr>
        <w:t>אֲשֶׁר בָּהּ</w:t>
      </w:r>
      <w:r w:rsidRPr="00465BF0">
        <w:rPr>
          <w:rFonts w:eastAsia="Times New Roman"/>
          <w:rtl/>
          <w:lang w:eastAsia="de-DE"/>
        </w:rPr>
        <w:t xml:space="preserve"> </w:t>
      </w:r>
      <w:r w:rsidRPr="00465BF0">
        <w:rPr>
          <w:rFonts w:eastAsia="Times New Roman"/>
          <w:lang w:eastAsia="de-DE"/>
        </w:rPr>
        <w:t xml:space="preserve">mit </w:t>
      </w:r>
      <w:r w:rsidRPr="00465BF0">
        <w:rPr>
          <w:rFonts w:eastAsia="Times New Roman"/>
          <w:b/>
          <w:bCs/>
          <w:rtl/>
          <w:lang w:eastAsia="de-DE"/>
        </w:rPr>
        <w:t>בְּ</w:t>
      </w:r>
      <w:r w:rsidRPr="00465BF0">
        <w:rPr>
          <w:rFonts w:eastAsia="Times New Roman"/>
          <w:rtl/>
          <w:lang w:eastAsia="de-DE"/>
        </w:rPr>
        <w:t xml:space="preserve"> </w:t>
      </w:r>
      <w:r w:rsidRPr="00465BF0">
        <w:rPr>
          <w:rFonts w:eastAsia="Times New Roman"/>
          <w:lang w:eastAsia="de-DE"/>
        </w:rPr>
        <w:t>und Suffix 3. Person Singular feminin – „alles, was in ihr ist").</w:t>
      </w:r>
    </w:p>
    <w:p w14:paraId="3397AB71" w14:textId="6D64A4BA"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lang w:eastAsia="de-DE"/>
        </w:rPr>
        <w:t xml:space="preserve">Der Vers begründet JHWHs Forderung (V. 12-13) durch einen Hinweis auf seine universale Herrschaft. Die Interjektionspartikel </w:t>
      </w:r>
      <w:r w:rsidRPr="00465BF0">
        <w:rPr>
          <w:rFonts w:eastAsia="Times New Roman"/>
          <w:b/>
          <w:bCs/>
          <w:rtl/>
          <w:lang w:eastAsia="de-DE"/>
        </w:rPr>
        <w:t>הֵן</w:t>
      </w:r>
      <w:r w:rsidRPr="00465BF0">
        <w:rPr>
          <w:rFonts w:eastAsia="Times New Roman"/>
          <w:rtl/>
          <w:lang w:eastAsia="de-DE"/>
        </w:rPr>
        <w:t xml:space="preserve"> </w:t>
      </w:r>
      <w:r w:rsidRPr="00465BF0">
        <w:rPr>
          <w:rFonts w:eastAsia="Times New Roman"/>
          <w:lang w:eastAsia="de-DE"/>
        </w:rPr>
        <w:t xml:space="preserve">(„siehe") lenkt die Aufmerksamkeit auf eine wichtige Wahrheit. Das viergliedrige Subjekt umfasst das gesamte Universum: (1) </w:t>
      </w:r>
      <w:r w:rsidRPr="00465BF0">
        <w:rPr>
          <w:rFonts w:eastAsia="Times New Roman"/>
          <w:b/>
          <w:bCs/>
          <w:rtl/>
          <w:lang w:eastAsia="de-DE"/>
        </w:rPr>
        <w:t>הַשָּׁמַיִם</w:t>
      </w:r>
      <w:r w:rsidRPr="00465BF0">
        <w:rPr>
          <w:rFonts w:eastAsia="Times New Roman"/>
          <w:rtl/>
          <w:lang w:eastAsia="de-DE"/>
        </w:rPr>
        <w:t xml:space="preserve"> </w:t>
      </w:r>
      <w:r w:rsidRPr="00465BF0">
        <w:rPr>
          <w:rFonts w:eastAsia="Times New Roman"/>
          <w:lang w:eastAsia="de-DE"/>
        </w:rPr>
        <w:t xml:space="preserve">(„die Himmel"), (2) </w:t>
      </w:r>
      <w:r w:rsidRPr="00465BF0">
        <w:rPr>
          <w:rFonts w:eastAsia="Times New Roman"/>
          <w:b/>
          <w:bCs/>
          <w:rtl/>
          <w:lang w:eastAsia="de-DE"/>
        </w:rPr>
        <w:t>שְׁמֵי הַשָּׁמָיִם</w:t>
      </w:r>
      <w:r w:rsidRPr="00465BF0">
        <w:rPr>
          <w:rFonts w:eastAsia="Times New Roman"/>
          <w:rtl/>
          <w:lang w:eastAsia="de-DE"/>
        </w:rPr>
        <w:t xml:space="preserve"> </w:t>
      </w:r>
      <w:r w:rsidRPr="00465BF0">
        <w:rPr>
          <w:rFonts w:eastAsia="Times New Roman"/>
          <w:lang w:eastAsia="de-DE"/>
        </w:rPr>
        <w:t xml:space="preserve">(„die Himmel der Himmel" – der höchste Himmel, vgl. </w:t>
      </w:r>
      <w:r w:rsidR="00664EB6">
        <w:rPr>
          <w:rFonts w:eastAsia="Times New Roman"/>
          <w:lang w:eastAsia="de-DE"/>
        </w:rPr>
        <w:t>1Kön</w:t>
      </w:r>
      <w:r w:rsidRPr="00465BF0">
        <w:rPr>
          <w:rFonts w:eastAsia="Times New Roman"/>
          <w:lang w:eastAsia="de-DE"/>
        </w:rPr>
        <w:t xml:space="preserve"> 8,27; Neh 9,6; Ps 148,4), (3) </w:t>
      </w:r>
      <w:r w:rsidRPr="00465BF0">
        <w:rPr>
          <w:rFonts w:eastAsia="Times New Roman"/>
          <w:b/>
          <w:bCs/>
          <w:rtl/>
          <w:lang w:eastAsia="de-DE"/>
        </w:rPr>
        <w:t>הָאָרֶץ</w:t>
      </w:r>
      <w:r w:rsidRPr="00465BF0">
        <w:rPr>
          <w:rFonts w:eastAsia="Times New Roman"/>
          <w:rtl/>
          <w:lang w:eastAsia="de-DE"/>
        </w:rPr>
        <w:t xml:space="preserve"> </w:t>
      </w:r>
      <w:r w:rsidRPr="00465BF0">
        <w:rPr>
          <w:rFonts w:eastAsia="Times New Roman"/>
          <w:lang w:eastAsia="de-DE"/>
        </w:rPr>
        <w:t xml:space="preserve">(„die Erde"), (4) </w:t>
      </w:r>
      <w:r w:rsidRPr="00465BF0">
        <w:rPr>
          <w:rFonts w:eastAsia="Times New Roman"/>
          <w:b/>
          <w:bCs/>
          <w:rtl/>
          <w:lang w:eastAsia="de-DE"/>
        </w:rPr>
        <w:t>כָל־אֲשֶׁר־בָּהּ</w:t>
      </w:r>
      <w:r w:rsidRPr="00465BF0">
        <w:rPr>
          <w:rFonts w:eastAsia="Times New Roman"/>
          <w:rtl/>
          <w:lang w:eastAsia="de-DE"/>
        </w:rPr>
        <w:t xml:space="preserve"> </w:t>
      </w:r>
      <w:r w:rsidRPr="00465BF0">
        <w:rPr>
          <w:rFonts w:eastAsia="Times New Roman"/>
          <w:lang w:eastAsia="de-DE"/>
        </w:rPr>
        <w:t xml:space="preserve">(„alles, was in ihr ist"). Die Formulierung </w:t>
      </w:r>
      <w:r w:rsidRPr="00465BF0">
        <w:rPr>
          <w:rFonts w:eastAsia="Times New Roman"/>
          <w:b/>
          <w:bCs/>
          <w:rtl/>
          <w:lang w:eastAsia="de-DE"/>
        </w:rPr>
        <w:t>שְׁמֵי הַשָּׁמָיִם</w:t>
      </w:r>
      <w:r w:rsidRPr="00465BF0">
        <w:rPr>
          <w:rFonts w:eastAsia="Times New Roman"/>
          <w:rtl/>
          <w:lang w:eastAsia="de-DE"/>
        </w:rPr>
        <w:t xml:space="preserve"> </w:t>
      </w:r>
      <w:r w:rsidRPr="00465BF0">
        <w:rPr>
          <w:rFonts w:eastAsia="Times New Roman"/>
          <w:lang w:eastAsia="de-DE"/>
        </w:rPr>
        <w:t>(„Himmel der Himmel") ist eine superlativische Konstruktion und betont: Selbst der fernste, höchste Bereich gehört JHWH. Die Aussage dient als Kontrast zu V. 15: Obwohl JHWH das ganze Universum besitzt, hat er sich Israel erwählt.</w:t>
      </w:r>
    </w:p>
    <w:p w14:paraId="5C98EFAE"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lang w:eastAsia="de-DE"/>
        </w:rPr>
        <w:t>Die Satzstruktur ist ein nominaler Satz mit Interjektionspartikel, Prädikat und viergliedrigem koordiniertem Subjekt (das vierte mit Relativsatz).</w:t>
      </w:r>
    </w:p>
    <w:p w14:paraId="722FDA0C" w14:textId="77777777" w:rsidR="00465BF0" w:rsidRPr="00465BF0" w:rsidRDefault="00465BF0" w:rsidP="00465BF0">
      <w:pPr>
        <w:spacing w:before="100" w:beforeAutospacing="1" w:after="100" w:afterAutospacing="1" w:line="240" w:lineRule="auto"/>
        <w:rPr>
          <w:rFonts w:eastAsia="Times New Roman"/>
          <w:lang w:eastAsia="de-DE"/>
        </w:rPr>
      </w:pPr>
      <w:r w:rsidRPr="00465BF0">
        <w:rPr>
          <w:rFonts w:eastAsia="Times New Roman"/>
          <w:lang w:eastAsia="de-DE"/>
        </w:rPr>
        <w:t>Der Vers begründet JHWHs Forderung durch seinen universalen Besitzanspruch: Siehe, JHWH, deinem Gott, gehören die Himmel und die Himmel der Himmel, die Erde und alles, was in ihr ist!</w:t>
      </w:r>
    </w:p>
    <w:p w14:paraId="4ADFBA45" w14:textId="77777777" w:rsidR="00C91CB2" w:rsidRPr="00DD45BE" w:rsidRDefault="00C91CB2" w:rsidP="00C91CB2">
      <w:pPr>
        <w:pStyle w:val="berschrift1"/>
        <w:rPr>
          <w:rFonts w:ascii="Times New Roman" w:hAnsi="Times New Roman"/>
          <w:b/>
          <w:bCs/>
          <w:color w:val="auto"/>
          <w:sz w:val="36"/>
          <w:szCs w:val="36"/>
        </w:rPr>
      </w:pPr>
      <w:r w:rsidRPr="00DD45BE">
        <w:rPr>
          <w:rFonts w:ascii="Times New Roman" w:hAnsi="Times New Roman"/>
          <w:b/>
          <w:bCs/>
          <w:color w:val="auto"/>
          <w:sz w:val="36"/>
          <w:szCs w:val="36"/>
        </w:rPr>
        <w:t>Deuteronomium 10,15</w:t>
      </w:r>
    </w:p>
    <w:p w14:paraId="03F9D14C" w14:textId="77777777" w:rsidR="00C91CB2" w:rsidRDefault="00C91CB2" w:rsidP="00C91CB2">
      <w:pPr>
        <w:pStyle w:val="whitespace-normal"/>
      </w:pPr>
      <w:r>
        <w:rPr>
          <w:rStyle w:val="Fett"/>
          <w:rFonts w:eastAsiaTheme="majorEastAsia"/>
        </w:rPr>
        <w:t>Hebräisch:</w:t>
      </w:r>
      <w:r>
        <w:t xml:space="preserve"> </w:t>
      </w:r>
      <w:r>
        <w:rPr>
          <w:rtl/>
        </w:rPr>
        <w:t>רַ֧ק בַּאֲבֹתֶ֛יךָ חָשַׁ֥ק יְהוָ֖ה לְאַהֲבָ֣ה אוֹתָ֑ם וַיִּבְחַ֞ר בְּזַרְעָ֣ם אַחֲרֵיהֶ֗ם בָּכֶ֛ם מִכָּל־הָעַמִּ֖ים כַּיּ֥וֹם הַזֶּֽה׃</w:t>
      </w:r>
    </w:p>
    <w:p w14:paraId="21DEF720" w14:textId="77777777" w:rsidR="00C91CB2" w:rsidRDefault="00C91CB2" w:rsidP="00C91CB2">
      <w:pPr>
        <w:pStyle w:val="whitespace-normal"/>
      </w:pPr>
      <w:r>
        <w:rPr>
          <w:rStyle w:val="Fett"/>
          <w:rFonts w:eastAsiaTheme="majorEastAsia"/>
        </w:rPr>
        <w:t>Deutsch:</w:t>
      </w:r>
      <w:r>
        <w:t xml:space="preserve"> Doch deinen Vätern hat der Ewige sich zugeneigt, sie zu lieben; und er hat euch, ihre Nachkommen, aus allen Völkern erwählt, wie es an diesem Tag ist.</w:t>
      </w:r>
    </w:p>
    <w:p w14:paraId="01BB480B" w14:textId="77777777" w:rsidR="00C91CB2" w:rsidRDefault="004F5CEB" w:rsidP="00C91CB2">
      <w:r>
        <w:rPr>
          <w:noProof/>
        </w:rPr>
        <w:lastRenderedPageBreak/>
        <w:pict w14:anchorId="4BF5367D">
          <v:rect id="_x0000_i1333" style="width:0;height:1.5pt" o:hralign="center" o:hrstd="t" o:hr="t" fillcolor="#a0a0a0" stroked="f"/>
        </w:pict>
      </w:r>
    </w:p>
    <w:p w14:paraId="08C77111" w14:textId="7B3B67FA" w:rsidR="00C91CB2" w:rsidRDefault="00C91CB2" w:rsidP="00C91CB2">
      <w:pPr>
        <w:pStyle w:val="whitespace-normal"/>
      </w:pPr>
      <w:r>
        <w:rPr>
          <w:rStyle w:val="Fett"/>
          <w:rFonts w:eastAsiaTheme="majorEastAsia"/>
        </w:rPr>
        <w:t>Kommentar:</w:t>
      </w:r>
      <w:r>
        <w:t xml:space="preserve"> </w:t>
      </w:r>
      <w:r>
        <w:rPr>
          <w:rStyle w:val="Fett"/>
          <w:rFonts w:eastAsiaTheme="majorEastAsia"/>
          <w:rtl/>
        </w:rPr>
        <w:t>רַק</w:t>
      </w:r>
      <w:r>
        <w:rPr>
          <w:rtl/>
        </w:rPr>
        <w:t xml:space="preserve"> </w:t>
      </w:r>
      <w:r>
        <w:t xml:space="preserve">ist eine adversative Partikel („doch, nur, aber"), die einen starken Kontrast zum Vorhergehenden setzt und den Fokus auf das Folgende lenkt. </w:t>
      </w:r>
      <w:r>
        <w:rPr>
          <w:rStyle w:val="Fett"/>
          <w:rFonts w:eastAsiaTheme="majorEastAsia"/>
          <w:rtl/>
        </w:rPr>
        <w:t>בַּאֲבֹתֶיךָ</w:t>
      </w:r>
      <w:r>
        <w:rPr>
          <w:rtl/>
        </w:rPr>
        <w:t xml:space="preserve"> </w:t>
      </w:r>
      <w:r>
        <w:t xml:space="preserve">besteht aus der Präposition </w:t>
      </w:r>
      <w:r>
        <w:rPr>
          <w:rStyle w:val="Fett"/>
          <w:rFonts w:eastAsiaTheme="majorEastAsia"/>
          <w:rtl/>
        </w:rPr>
        <w:t>בְּ</w:t>
      </w:r>
      <w:r>
        <w:rPr>
          <w:rtl/>
        </w:rPr>
        <w:t xml:space="preserve"> </w:t>
      </w:r>
      <w:r>
        <w:t xml:space="preserve">(„in, an, bei") mit </w:t>
      </w:r>
      <w:r>
        <w:rPr>
          <w:rStyle w:val="Fett"/>
          <w:rFonts w:eastAsiaTheme="majorEastAsia"/>
          <w:rtl/>
        </w:rPr>
        <w:t>אֲבֹתֶיךָ</w:t>
      </w:r>
      <w:r>
        <w:rPr>
          <w:rtl/>
        </w:rPr>
        <w:t xml:space="preserve"> </w:t>
      </w:r>
      <w:r>
        <w:t xml:space="preserve">(Plural von </w:t>
      </w:r>
      <w:r>
        <w:rPr>
          <w:rStyle w:val="Fett"/>
          <w:rFonts w:eastAsiaTheme="majorEastAsia"/>
          <w:rtl/>
        </w:rPr>
        <w:t>אָב</w:t>
      </w:r>
      <w:r>
        <w:rPr>
          <w:rtl/>
        </w:rPr>
        <w:t xml:space="preserve"> </w:t>
      </w:r>
      <w:r>
        <w:t xml:space="preserve">mit Suffix 2. Person Maskulinum Singular), wodurch der Bezugspunkt des göttlichen Handelns markiert wird. </w:t>
      </w:r>
      <w:r>
        <w:rPr>
          <w:rStyle w:val="Fett"/>
          <w:rFonts w:eastAsiaTheme="majorEastAsia"/>
          <w:rtl/>
        </w:rPr>
        <w:t>חָשַׁק</w:t>
      </w:r>
      <w:r>
        <w:rPr>
          <w:rtl/>
        </w:rPr>
        <w:t xml:space="preserve"> </w:t>
      </w:r>
      <w:r>
        <w:t xml:space="preserve">ist Qal Perfekt, 3. Person Maskulinum Singular von </w:t>
      </w:r>
      <w:r>
        <w:rPr>
          <w:rStyle w:val="Fett"/>
          <w:rFonts w:eastAsiaTheme="majorEastAsia"/>
          <w:rtl/>
        </w:rPr>
        <w:t>חשׁק</w:t>
      </w:r>
      <w:r>
        <w:rPr>
          <w:rtl/>
        </w:rPr>
        <w:t xml:space="preserve"> </w:t>
      </w:r>
      <w:r>
        <w:t xml:space="preserve">(„sich hingezogen fühlen, anhängen, </w:t>
      </w:r>
      <w:r w:rsidR="00D47758">
        <w:t>Gefallen</w:t>
      </w:r>
      <w:r>
        <w:t xml:space="preserve"> haben"), ein seltenes Verb, das intensive emotionale Zuneigung ausdrückt. </w:t>
      </w:r>
      <w:r>
        <w:rPr>
          <w:rStyle w:val="Fett"/>
          <w:rFonts w:eastAsiaTheme="majorEastAsia"/>
          <w:rtl/>
        </w:rPr>
        <w:t>יְהוָה</w:t>
      </w:r>
      <w:r>
        <w:rPr>
          <w:rtl/>
        </w:rPr>
        <w:t xml:space="preserve"> </w:t>
      </w:r>
      <w:r>
        <w:t xml:space="preserve">ist das Tetragramm als Subjekt des Satzes. </w:t>
      </w:r>
      <w:r>
        <w:rPr>
          <w:rStyle w:val="Fett"/>
          <w:rFonts w:eastAsiaTheme="majorEastAsia"/>
          <w:rtl/>
        </w:rPr>
        <w:t>לְאַהֲבָה</w:t>
      </w:r>
      <w:r>
        <w:rPr>
          <w:rtl/>
        </w:rPr>
        <w:t xml:space="preserve"> </w:t>
      </w:r>
      <w:r>
        <w:t xml:space="preserve">ist der Infinitiv construct von </w:t>
      </w:r>
      <w:r>
        <w:rPr>
          <w:rStyle w:val="Fett"/>
          <w:rFonts w:eastAsiaTheme="majorEastAsia"/>
          <w:rtl/>
        </w:rPr>
        <w:t>אהב</w:t>
      </w:r>
      <w:r>
        <w:rPr>
          <w:rtl/>
        </w:rPr>
        <w:t xml:space="preserve"> </w:t>
      </w:r>
      <w:r>
        <w:t xml:space="preserve">(„lieben") mit </w:t>
      </w:r>
      <w:r>
        <w:rPr>
          <w:rStyle w:val="Fett"/>
          <w:rFonts w:eastAsiaTheme="majorEastAsia"/>
          <w:rtl/>
        </w:rPr>
        <w:t>לְ</w:t>
      </w:r>
      <w:r>
        <w:t xml:space="preserve">, der hier final-konsekutiv verstanden wird („um zu lieben"). </w:t>
      </w:r>
      <w:r>
        <w:rPr>
          <w:rStyle w:val="Fett"/>
          <w:rFonts w:eastAsiaTheme="majorEastAsia"/>
          <w:rtl/>
        </w:rPr>
        <w:t>אוֹתָם</w:t>
      </w:r>
      <w:r>
        <w:rPr>
          <w:rtl/>
        </w:rPr>
        <w:t xml:space="preserve"> </w:t>
      </w:r>
      <w:r>
        <w:t xml:space="preserve">ist die Objektpartikel </w:t>
      </w:r>
      <w:r>
        <w:rPr>
          <w:rStyle w:val="Fett"/>
          <w:rFonts w:eastAsiaTheme="majorEastAsia"/>
          <w:rtl/>
        </w:rPr>
        <w:t>אֵת</w:t>
      </w:r>
      <w:r>
        <w:rPr>
          <w:rtl/>
        </w:rPr>
        <w:t xml:space="preserve"> </w:t>
      </w:r>
      <w:r>
        <w:t xml:space="preserve">mit Suffix 3. Person Maskulinum Plural, die auf </w:t>
      </w:r>
      <w:r>
        <w:rPr>
          <w:rStyle w:val="Fett"/>
          <w:rFonts w:eastAsiaTheme="majorEastAsia"/>
          <w:rtl/>
        </w:rPr>
        <w:t>אֲבֹתֶיךָ</w:t>
      </w:r>
      <w:r>
        <w:rPr>
          <w:rtl/>
        </w:rPr>
        <w:t xml:space="preserve"> </w:t>
      </w:r>
      <w:r>
        <w:t>zurückverweist.</w:t>
      </w:r>
    </w:p>
    <w:p w14:paraId="66494CF4" w14:textId="74522BA4" w:rsidR="00C91CB2" w:rsidRDefault="00C91CB2" w:rsidP="00C91CB2">
      <w:pPr>
        <w:pStyle w:val="whitespace-normal"/>
      </w:pPr>
      <w:r>
        <w:rPr>
          <w:rStyle w:val="Fett"/>
          <w:rFonts w:eastAsiaTheme="majorEastAsia"/>
          <w:rtl/>
        </w:rPr>
        <w:t>וַיִּבְחַר</w:t>
      </w:r>
      <w:r>
        <w:rPr>
          <w:rtl/>
        </w:rPr>
        <w:t xml:space="preserve"> </w:t>
      </w:r>
      <w:r>
        <w:t xml:space="preserve">ist Qal Imperfekt consecutivum, 3. Person Maskulinum Singular von </w:t>
      </w:r>
      <w:r>
        <w:rPr>
          <w:rStyle w:val="Fett"/>
          <w:rFonts w:eastAsiaTheme="majorEastAsia"/>
          <w:rtl/>
        </w:rPr>
        <w:t>בחר</w:t>
      </w:r>
      <w:r>
        <w:rPr>
          <w:rtl/>
        </w:rPr>
        <w:t xml:space="preserve"> </w:t>
      </w:r>
      <w:r>
        <w:t xml:space="preserve">(„erwählen, auswählen"), und setzt die Handlung fort. </w:t>
      </w:r>
      <w:r>
        <w:rPr>
          <w:rStyle w:val="Fett"/>
          <w:rFonts w:eastAsiaTheme="majorEastAsia"/>
          <w:rtl/>
        </w:rPr>
        <w:t>בְּזַרְעָ֣ם אַחֲרֵיהֶם</w:t>
      </w:r>
      <w:r>
        <w:rPr>
          <w:rtl/>
        </w:rPr>
        <w:t xml:space="preserve"> </w:t>
      </w:r>
      <w:r>
        <w:t xml:space="preserve">ist eine </w:t>
      </w:r>
      <w:r w:rsidR="007E2044">
        <w:t>Constructverbindung</w:t>
      </w:r>
      <w:r>
        <w:t xml:space="preserve">: </w:t>
      </w:r>
      <w:r>
        <w:rPr>
          <w:rStyle w:val="Fett"/>
          <w:rFonts w:eastAsiaTheme="majorEastAsia"/>
          <w:rtl/>
        </w:rPr>
        <w:t>בְּ</w:t>
      </w:r>
      <w:r>
        <w:rPr>
          <w:rtl/>
        </w:rPr>
        <w:t xml:space="preserve"> </w:t>
      </w:r>
      <w:r>
        <w:t xml:space="preserve">mit </w:t>
      </w:r>
      <w:r>
        <w:rPr>
          <w:rStyle w:val="Fett"/>
          <w:rFonts w:eastAsiaTheme="majorEastAsia"/>
          <w:rtl/>
        </w:rPr>
        <w:t>זֶרַע</w:t>
      </w:r>
      <w:r>
        <w:rPr>
          <w:rtl/>
        </w:rPr>
        <w:t xml:space="preserve"> </w:t>
      </w:r>
      <w:r>
        <w:t xml:space="preserve">(„Same, Nachkommenschaft") und Suffix 3. Person Maskulinum Plural, gefolgt von </w:t>
      </w:r>
      <w:r>
        <w:rPr>
          <w:rStyle w:val="Fett"/>
          <w:rFonts w:eastAsiaTheme="majorEastAsia"/>
          <w:rtl/>
        </w:rPr>
        <w:t>אַחֲרֵיהֶם</w:t>
      </w:r>
      <w:r>
        <w:rPr>
          <w:rtl/>
        </w:rPr>
        <w:t xml:space="preserve"> </w:t>
      </w:r>
      <w:r>
        <w:t xml:space="preserve">(„nach ihnen"), wodurch die zeitliche Abfolge der Generationen betont wird. </w:t>
      </w:r>
      <w:r>
        <w:rPr>
          <w:rStyle w:val="Fett"/>
          <w:rFonts w:eastAsiaTheme="majorEastAsia"/>
          <w:rtl/>
        </w:rPr>
        <w:t>בָּכֶם</w:t>
      </w:r>
      <w:r>
        <w:rPr>
          <w:rtl/>
        </w:rPr>
        <w:t xml:space="preserve"> </w:t>
      </w:r>
      <w:r>
        <w:t xml:space="preserve">ist </w:t>
      </w:r>
      <w:r>
        <w:rPr>
          <w:rStyle w:val="Fett"/>
          <w:rFonts w:eastAsiaTheme="majorEastAsia"/>
          <w:rtl/>
        </w:rPr>
        <w:t>בְּ</w:t>
      </w:r>
      <w:r>
        <w:rPr>
          <w:rtl/>
        </w:rPr>
        <w:t xml:space="preserve"> </w:t>
      </w:r>
      <w:r>
        <w:t xml:space="preserve">mit Pronominalsuffix 2. Person Maskulinum Plural und identifiziert die gegenwärtige Generation als Objekt der Erwählung. </w:t>
      </w:r>
      <w:r>
        <w:rPr>
          <w:rStyle w:val="Fett"/>
          <w:rFonts w:eastAsiaTheme="majorEastAsia"/>
          <w:rtl/>
        </w:rPr>
        <w:t>מִכָּל־הָעַמִּים</w:t>
      </w:r>
      <w:r>
        <w:rPr>
          <w:rtl/>
        </w:rPr>
        <w:t xml:space="preserve"> </w:t>
      </w:r>
      <w:r>
        <w:t xml:space="preserve">besteht aus </w:t>
      </w:r>
      <w:r>
        <w:rPr>
          <w:rStyle w:val="Fett"/>
          <w:rFonts w:eastAsiaTheme="majorEastAsia"/>
          <w:rtl/>
        </w:rPr>
        <w:t>מִן</w:t>
      </w:r>
      <w:r>
        <w:rPr>
          <w:rtl/>
        </w:rPr>
        <w:t xml:space="preserve"> </w:t>
      </w:r>
      <w:r>
        <w:t xml:space="preserve">(„aus, von") mit </w:t>
      </w:r>
      <w:r>
        <w:rPr>
          <w:rStyle w:val="Fett"/>
          <w:rFonts w:eastAsiaTheme="majorEastAsia"/>
          <w:rtl/>
        </w:rPr>
        <w:t>כָּל־הָעַמִּים</w:t>
      </w:r>
      <w:r>
        <w:rPr>
          <w:rtl/>
        </w:rPr>
        <w:t xml:space="preserve"> </w:t>
      </w:r>
      <w:r>
        <w:t xml:space="preserve">(„alle Völker"), wobei </w:t>
      </w:r>
      <w:r>
        <w:rPr>
          <w:rStyle w:val="Fett"/>
          <w:rFonts w:eastAsiaTheme="majorEastAsia"/>
          <w:rtl/>
        </w:rPr>
        <w:t>כֹּל</w:t>
      </w:r>
      <w:r>
        <w:rPr>
          <w:rtl/>
        </w:rPr>
        <w:t xml:space="preserve"> </w:t>
      </w:r>
      <w:r>
        <w:t xml:space="preserve">im Construct mit dem Artikel am folgenden Substantiv steht, was die universale Dimension der Erwählung unterstreicht. </w:t>
      </w:r>
      <w:r>
        <w:rPr>
          <w:rStyle w:val="Fett"/>
          <w:rFonts w:eastAsiaTheme="majorEastAsia"/>
          <w:rtl/>
        </w:rPr>
        <w:t>כַּיּוֹם הַזֶּה</w:t>
      </w:r>
      <w:r>
        <w:rPr>
          <w:rtl/>
        </w:rPr>
        <w:t xml:space="preserve"> </w:t>
      </w:r>
      <w:r>
        <w:t xml:space="preserve">ist eine temporale Phrase mit </w:t>
      </w:r>
      <w:r>
        <w:rPr>
          <w:rStyle w:val="Fett"/>
          <w:rFonts w:eastAsiaTheme="majorEastAsia"/>
          <w:rtl/>
        </w:rPr>
        <w:t>כְּ</w:t>
      </w:r>
      <w:r>
        <w:rPr>
          <w:rtl/>
        </w:rPr>
        <w:t xml:space="preserve"> </w:t>
      </w:r>
      <w:r>
        <w:t xml:space="preserve">(„wie, als") und </w:t>
      </w:r>
      <w:r>
        <w:rPr>
          <w:rStyle w:val="Fett"/>
          <w:rFonts w:eastAsiaTheme="majorEastAsia"/>
          <w:rtl/>
        </w:rPr>
        <w:t>הַיּוֹם הַזֶּה</w:t>
      </w:r>
      <w:r>
        <w:rPr>
          <w:rtl/>
        </w:rPr>
        <w:t xml:space="preserve"> </w:t>
      </w:r>
      <w:r>
        <w:t>(„dieser Tag"), die auf die gegenwärtige Realität hinweist.</w:t>
      </w:r>
    </w:p>
    <w:p w14:paraId="251A0AD1" w14:textId="77777777" w:rsidR="00C91CB2" w:rsidRDefault="00C91CB2" w:rsidP="00C91CB2">
      <w:pPr>
        <w:pStyle w:val="whitespace-normal"/>
      </w:pPr>
      <w:r>
        <w:t xml:space="preserve">Die Syntax zeigt einen zweiteiligen Parallelismus: Die Liebe zu den Vätern wird durch </w:t>
      </w:r>
      <w:r>
        <w:rPr>
          <w:rStyle w:val="Fett"/>
          <w:rFonts w:eastAsiaTheme="majorEastAsia"/>
          <w:rtl/>
        </w:rPr>
        <w:t>חָשַׁק</w:t>
      </w:r>
      <w:r>
        <w:rPr>
          <w:rtl/>
        </w:rPr>
        <w:t xml:space="preserve"> </w:t>
      </w:r>
      <w:r>
        <w:t xml:space="preserve">und </w:t>
      </w:r>
      <w:r>
        <w:rPr>
          <w:rStyle w:val="Fett"/>
          <w:rFonts w:eastAsiaTheme="majorEastAsia"/>
          <w:rtl/>
        </w:rPr>
        <w:t>לְאַהֲבָה</w:t>
      </w:r>
      <w:r>
        <w:rPr>
          <w:rtl/>
        </w:rPr>
        <w:t xml:space="preserve"> </w:t>
      </w:r>
      <w:r>
        <w:t xml:space="preserve">doppelt ausgedrückt, während die Erwählung ihrer Nachkommen als logische Konsequenz durch </w:t>
      </w:r>
      <w:r>
        <w:rPr>
          <w:rStyle w:val="Fett"/>
          <w:rFonts w:eastAsiaTheme="majorEastAsia"/>
          <w:rtl/>
        </w:rPr>
        <w:t>וַיִּבְחַר</w:t>
      </w:r>
      <w:r>
        <w:rPr>
          <w:rtl/>
        </w:rPr>
        <w:t xml:space="preserve"> </w:t>
      </w:r>
      <w:r>
        <w:t xml:space="preserve">folgt. Die Präposition </w:t>
      </w:r>
      <w:r>
        <w:rPr>
          <w:rStyle w:val="Fett"/>
          <w:rFonts w:eastAsiaTheme="majorEastAsia"/>
          <w:rtl/>
        </w:rPr>
        <w:t>בְּ</w:t>
      </w:r>
      <w:r>
        <w:rPr>
          <w:rtl/>
        </w:rPr>
        <w:t xml:space="preserve"> </w:t>
      </w:r>
      <w:r>
        <w:t xml:space="preserve">wird dreimal verwendet, jedoch mit unterschiedlichen Funktionen: lokal-personal bei </w:t>
      </w:r>
      <w:r>
        <w:rPr>
          <w:rStyle w:val="Fett"/>
          <w:rFonts w:eastAsiaTheme="majorEastAsia"/>
          <w:rtl/>
        </w:rPr>
        <w:t>בַּאֲבֹתֶיךָ</w:t>
      </w:r>
      <w:r>
        <w:t xml:space="preserve">, bei </w:t>
      </w:r>
      <w:r>
        <w:rPr>
          <w:rStyle w:val="Fett"/>
          <w:rFonts w:eastAsiaTheme="majorEastAsia"/>
          <w:rtl/>
        </w:rPr>
        <w:t>בְּזַרְעָם</w:t>
      </w:r>
      <w:r>
        <w:rPr>
          <w:rtl/>
        </w:rPr>
        <w:t xml:space="preserve"> </w:t>
      </w:r>
      <w:r>
        <w:t xml:space="preserve">als partitiv und bei </w:t>
      </w:r>
      <w:r>
        <w:rPr>
          <w:rStyle w:val="Fett"/>
          <w:rFonts w:eastAsiaTheme="majorEastAsia"/>
          <w:rtl/>
        </w:rPr>
        <w:t>בָּכֶם</w:t>
      </w:r>
      <w:r>
        <w:rPr>
          <w:rtl/>
        </w:rPr>
        <w:t xml:space="preserve"> </w:t>
      </w:r>
      <w:r>
        <w:t xml:space="preserve">als Identifikation. Die Konstruktion </w:t>
      </w:r>
      <w:r>
        <w:rPr>
          <w:rStyle w:val="Fett"/>
          <w:rFonts w:eastAsiaTheme="majorEastAsia"/>
          <w:rtl/>
        </w:rPr>
        <w:t>זֶרַע</w:t>
      </w:r>
      <w:r>
        <w:rPr>
          <w:rtl/>
        </w:rPr>
        <w:t xml:space="preserve"> </w:t>
      </w:r>
      <w:r>
        <w:t xml:space="preserve">mit nachfolgendem </w:t>
      </w:r>
      <w:r>
        <w:rPr>
          <w:rStyle w:val="Fett"/>
          <w:rFonts w:eastAsiaTheme="majorEastAsia"/>
          <w:rtl/>
        </w:rPr>
        <w:t>אַחֲרֵיהֶם</w:t>
      </w:r>
      <w:r>
        <w:rPr>
          <w:rtl/>
        </w:rPr>
        <w:t xml:space="preserve"> </w:t>
      </w:r>
      <w:r>
        <w:t>ist ungewöhnlich und betont die Kontinuität zwischen den Generationen.</w:t>
      </w:r>
    </w:p>
    <w:p w14:paraId="731DCAD7" w14:textId="77777777" w:rsidR="00C91CB2" w:rsidRDefault="00C91CB2" w:rsidP="00C91CB2">
      <w:pPr>
        <w:pStyle w:val="whitespace-normal"/>
      </w:pPr>
      <w:r>
        <w:rPr>
          <w:rStyle w:val="Fett"/>
          <w:rFonts w:eastAsiaTheme="majorEastAsia"/>
        </w:rPr>
        <w:t>Die LXX</w:t>
      </w:r>
      <w:r>
        <w:t xml:space="preserve"> übersetzt „sich zugeneigt" mit „π</w:t>
      </w:r>
      <w:proofErr w:type="spellStart"/>
      <w:r>
        <w:t>ροείλ</w:t>
      </w:r>
      <w:proofErr w:type="spellEnd"/>
      <w:r>
        <w:t>ατο" (</w:t>
      </w:r>
      <w:proofErr w:type="spellStart"/>
      <w:r>
        <w:t>aoristisches</w:t>
      </w:r>
      <w:proofErr w:type="spellEnd"/>
      <w:r>
        <w:t xml:space="preserve"> „erwählte vorher"), was die emotionale Dimension des Hebräischen nicht vollständig wiedergibt, sondern die Erwählung betont. Die adversative Partikel wird mit „π</w:t>
      </w:r>
      <w:proofErr w:type="spellStart"/>
      <w:r>
        <w:t>λὴν</w:t>
      </w:r>
      <w:proofErr w:type="spellEnd"/>
      <w:r>
        <w:t>" wiedergegeben, was die adversative Nuance angemessen erfasst.</w:t>
      </w:r>
    </w:p>
    <w:p w14:paraId="58FB8EEB" w14:textId="77777777" w:rsidR="00C91CB2" w:rsidRDefault="00C91CB2" w:rsidP="00C91CB2">
      <w:pPr>
        <w:pStyle w:val="whitespace-normal"/>
      </w:pPr>
      <w:r>
        <w:t>Die Satzstruktur besteht aus zwei koordinierten Hauptsätzen, die durch Waw verbunden sind: (1) Der erste Hauptsatz mit invertierter Wortstellung (präpositionale Phrase vor dem Verb, was „deinen Vätern" hervorhebt) enthält das Subjekt (JHWH), das Prädikat (hat sich zugeneigt) mit finalem Infinitiv (zu lieben) und das Objekt (sie); (2) Der zweite Hauptsatz folgt der normalen Verbfolge mit Prädikat (erwählte), Objekt (euch, ihre Nachkommen), Herkunftsangabe (aus allen Völkern) und temporaler Bestimmung (wie es an diesem Tag ist).</w:t>
      </w:r>
    </w:p>
    <w:p w14:paraId="45A6AE1A" w14:textId="77777777" w:rsidR="00C91CB2" w:rsidRDefault="00C91CB2" w:rsidP="00C91CB2">
      <w:pPr>
        <w:pStyle w:val="whitespace-normal"/>
      </w:pPr>
      <w:r>
        <w:t>Der Vers betont die besondere, emotional fundierte Erwählung Israels: JHWH fühlte sich zu den Vätern hingezogen und erwählte deshalb ihre Nachkommen aus allen Völkern, eine Wahl, die bis heute Bestand hat.</w:t>
      </w:r>
    </w:p>
    <w:p w14:paraId="26720865" w14:textId="77777777" w:rsidR="00C91CB2" w:rsidRPr="00DD45BE" w:rsidRDefault="00C91CB2" w:rsidP="00C91CB2">
      <w:pPr>
        <w:pStyle w:val="berschrift1"/>
        <w:rPr>
          <w:rFonts w:ascii="Times New Roman" w:hAnsi="Times New Roman"/>
          <w:b/>
          <w:bCs/>
          <w:color w:val="auto"/>
          <w:sz w:val="36"/>
          <w:szCs w:val="36"/>
        </w:rPr>
      </w:pPr>
      <w:r w:rsidRPr="00DD45BE">
        <w:rPr>
          <w:rFonts w:ascii="Times New Roman" w:hAnsi="Times New Roman"/>
          <w:b/>
          <w:bCs/>
          <w:color w:val="auto"/>
          <w:sz w:val="36"/>
          <w:szCs w:val="36"/>
        </w:rPr>
        <w:lastRenderedPageBreak/>
        <w:t>Deuteronomium 10,16</w:t>
      </w:r>
    </w:p>
    <w:p w14:paraId="7FB8C236" w14:textId="77777777" w:rsidR="00C91CB2" w:rsidRDefault="00C91CB2" w:rsidP="00C91CB2">
      <w:pPr>
        <w:pStyle w:val="whitespace-normal"/>
      </w:pPr>
      <w:r>
        <w:rPr>
          <w:rStyle w:val="Fett"/>
          <w:rFonts w:eastAsiaTheme="majorEastAsia"/>
        </w:rPr>
        <w:t>Hebräisch:</w:t>
      </w:r>
      <w:r>
        <w:t xml:space="preserve"> </w:t>
      </w:r>
      <w:r>
        <w:rPr>
          <w:rtl/>
        </w:rPr>
        <w:t>וּמַלְתֶּ֕ם אֵ֖ת עָרְלַ֣ת לְבַבְכֶ֑ם וְעָ֨רְפְּכֶ֔ם לֹ֥א תַקְשׁ֖וּ עֽוֹד׃</w:t>
      </w:r>
    </w:p>
    <w:p w14:paraId="6DFF824F" w14:textId="77777777" w:rsidR="00C91CB2" w:rsidRDefault="00C91CB2" w:rsidP="00C91CB2">
      <w:pPr>
        <w:pStyle w:val="whitespace-normal"/>
      </w:pPr>
      <w:r>
        <w:rPr>
          <w:rStyle w:val="Fett"/>
          <w:rFonts w:eastAsiaTheme="majorEastAsia"/>
        </w:rPr>
        <w:t>Deutsch:</w:t>
      </w:r>
      <w:r>
        <w:t xml:space="preserve"> So beschneidet denn die Vorhaut eures Herzens und verhärtet euren Nacken nicht mehr!</w:t>
      </w:r>
    </w:p>
    <w:p w14:paraId="7E36F1BA" w14:textId="77777777" w:rsidR="00C91CB2" w:rsidRDefault="004F5CEB" w:rsidP="00C91CB2">
      <w:r>
        <w:rPr>
          <w:noProof/>
        </w:rPr>
        <w:pict w14:anchorId="193832A7">
          <v:rect id="_x0000_i1334" style="width:0;height:1.5pt" o:hralign="center" o:hrstd="t" o:hr="t" fillcolor="#a0a0a0" stroked="f"/>
        </w:pict>
      </w:r>
    </w:p>
    <w:p w14:paraId="1CE47577" w14:textId="77777777" w:rsidR="00C91CB2" w:rsidRDefault="00C91CB2" w:rsidP="00C91CB2">
      <w:pPr>
        <w:pStyle w:val="whitespace-normal"/>
      </w:pPr>
      <w:r>
        <w:rPr>
          <w:rStyle w:val="Fett"/>
          <w:rFonts w:eastAsiaTheme="majorEastAsia"/>
        </w:rPr>
        <w:t>Kommentar:</w:t>
      </w:r>
      <w:r>
        <w:t xml:space="preserve"> </w:t>
      </w:r>
      <w:r>
        <w:rPr>
          <w:rStyle w:val="Fett"/>
          <w:rFonts w:eastAsiaTheme="majorEastAsia"/>
          <w:rtl/>
        </w:rPr>
        <w:t>וּמַלְתֶּם</w:t>
      </w:r>
      <w:r>
        <w:rPr>
          <w:rtl/>
        </w:rPr>
        <w:t xml:space="preserve"> </w:t>
      </w:r>
      <w:r>
        <w:t xml:space="preserve">ist Qal Perfekt, 2. Person Maskulinum Plural von </w:t>
      </w:r>
      <w:r>
        <w:rPr>
          <w:rStyle w:val="Fett"/>
          <w:rFonts w:eastAsiaTheme="majorEastAsia"/>
          <w:rtl/>
        </w:rPr>
        <w:t>מול</w:t>
      </w:r>
      <w:r>
        <w:rPr>
          <w:rtl/>
        </w:rPr>
        <w:t xml:space="preserve"> </w:t>
      </w:r>
      <w:r>
        <w:t xml:space="preserve">(„beschneiden") mit </w:t>
      </w:r>
      <w:r>
        <w:rPr>
          <w:rStyle w:val="Fett"/>
          <w:rFonts w:eastAsiaTheme="majorEastAsia"/>
        </w:rPr>
        <w:t>Waw</w:t>
      </w:r>
      <w:r>
        <w:t xml:space="preserve"> copulativum, das hier konsekutiv-imperativisch verstanden wird („so beschneidet denn"). Die Perfektform wird hier als Perfekt der Zuversicht oder als imperativisches Perfekt verwendet. </w:t>
      </w:r>
      <w:r>
        <w:rPr>
          <w:rStyle w:val="Fett"/>
          <w:rFonts w:eastAsiaTheme="majorEastAsia"/>
          <w:rtl/>
        </w:rPr>
        <w:t>אֵת עָרְלַת לְבַבְכֶם</w:t>
      </w:r>
      <w:r>
        <w:rPr>
          <w:rtl/>
        </w:rPr>
        <w:t xml:space="preserve"> </w:t>
      </w:r>
      <w:r>
        <w:t xml:space="preserve">besteht aus der Objektpartikel </w:t>
      </w:r>
      <w:r>
        <w:rPr>
          <w:rStyle w:val="Fett"/>
          <w:rFonts w:eastAsiaTheme="majorEastAsia"/>
          <w:rtl/>
        </w:rPr>
        <w:t>אֵת</w:t>
      </w:r>
      <w:r>
        <w:t xml:space="preserve">, gefolgt von </w:t>
      </w:r>
      <w:r>
        <w:rPr>
          <w:rStyle w:val="Fett"/>
          <w:rFonts w:eastAsiaTheme="majorEastAsia"/>
          <w:rtl/>
        </w:rPr>
        <w:t>עָרְלַת</w:t>
      </w:r>
      <w:r>
        <w:rPr>
          <w:rtl/>
        </w:rPr>
        <w:t xml:space="preserve"> </w:t>
      </w:r>
      <w:r>
        <w:t xml:space="preserve">(Construct-Form von </w:t>
      </w:r>
      <w:r>
        <w:rPr>
          <w:rStyle w:val="Fett"/>
          <w:rFonts w:eastAsiaTheme="majorEastAsia"/>
          <w:rtl/>
        </w:rPr>
        <w:t>עָרְלָה</w:t>
      </w:r>
      <w:r>
        <w:t xml:space="preserve">, „Vorhaut") und </w:t>
      </w:r>
      <w:r>
        <w:rPr>
          <w:rStyle w:val="Fett"/>
          <w:rFonts w:eastAsiaTheme="majorEastAsia"/>
          <w:rtl/>
        </w:rPr>
        <w:t>לְבַבְכֶם</w:t>
      </w:r>
      <w:r>
        <w:rPr>
          <w:rtl/>
        </w:rPr>
        <w:t xml:space="preserve"> </w:t>
      </w:r>
      <w:r>
        <w:t xml:space="preserve">(Plural von </w:t>
      </w:r>
      <w:r>
        <w:rPr>
          <w:rStyle w:val="Fett"/>
          <w:rFonts w:eastAsiaTheme="majorEastAsia"/>
          <w:rtl/>
        </w:rPr>
        <w:t>לֵבָב</w:t>
      </w:r>
      <w:r>
        <w:t xml:space="preserve">, „Herz", mit Suffix 2. Person Maskulinum Plural). Die metaphorische Verwendung von </w:t>
      </w:r>
      <w:r>
        <w:rPr>
          <w:rStyle w:val="Fett"/>
          <w:rFonts w:eastAsiaTheme="majorEastAsia"/>
          <w:rtl/>
        </w:rPr>
        <w:t>עָרְלָה</w:t>
      </w:r>
      <w:r>
        <w:rPr>
          <w:rtl/>
        </w:rPr>
        <w:t xml:space="preserve"> </w:t>
      </w:r>
      <w:r>
        <w:t xml:space="preserve">in Verbindung mit </w:t>
      </w:r>
      <w:r>
        <w:rPr>
          <w:rStyle w:val="Fett"/>
          <w:rFonts w:eastAsiaTheme="majorEastAsia"/>
          <w:rtl/>
        </w:rPr>
        <w:t>לֵבָב</w:t>
      </w:r>
      <w:r>
        <w:rPr>
          <w:rtl/>
        </w:rPr>
        <w:t xml:space="preserve"> </w:t>
      </w:r>
      <w:r>
        <w:t>ist charakteristisch für deuteronomische Theologie und bezeichnet geistliche Unbeschnittensein oder Verschlossenheit.</w:t>
      </w:r>
    </w:p>
    <w:p w14:paraId="037B2AAE" w14:textId="77777777" w:rsidR="00C91CB2" w:rsidRDefault="00C91CB2" w:rsidP="00C91CB2">
      <w:pPr>
        <w:pStyle w:val="whitespace-normal"/>
      </w:pPr>
      <w:r>
        <w:rPr>
          <w:rStyle w:val="Fett"/>
          <w:rFonts w:eastAsiaTheme="majorEastAsia"/>
          <w:rtl/>
        </w:rPr>
        <w:t>וְעָרְפְּכֶם לֹא תַקְשׁוּ עוֹד</w:t>
      </w:r>
      <w:r>
        <w:rPr>
          <w:rtl/>
        </w:rPr>
        <w:t xml:space="preserve"> </w:t>
      </w:r>
      <w:r>
        <w:t xml:space="preserve">ist ein negativer Imperativsatz. </w:t>
      </w:r>
      <w:r>
        <w:rPr>
          <w:rStyle w:val="Fett"/>
          <w:rFonts w:eastAsiaTheme="majorEastAsia"/>
          <w:rtl/>
        </w:rPr>
        <w:t>וְעָרְפְּכֶם</w:t>
      </w:r>
      <w:r>
        <w:rPr>
          <w:rtl/>
        </w:rPr>
        <w:t xml:space="preserve"> </w:t>
      </w:r>
      <w:r>
        <w:t xml:space="preserve">ist </w:t>
      </w:r>
      <w:r>
        <w:rPr>
          <w:rStyle w:val="Fett"/>
          <w:rFonts w:eastAsiaTheme="majorEastAsia"/>
          <w:rtl/>
        </w:rPr>
        <w:t>עֹרֶף</w:t>
      </w:r>
      <w:r>
        <w:rPr>
          <w:rtl/>
        </w:rPr>
        <w:t xml:space="preserve"> </w:t>
      </w:r>
      <w:r>
        <w:t xml:space="preserve">(„Nacken") mit Suffix 2. Person Maskulinum Plural und </w:t>
      </w:r>
      <w:r>
        <w:rPr>
          <w:rStyle w:val="Fett"/>
          <w:rFonts w:eastAsiaTheme="majorEastAsia"/>
        </w:rPr>
        <w:t>Waw</w:t>
      </w:r>
      <w:r>
        <w:t xml:space="preserve"> copulativum. </w:t>
      </w:r>
      <w:r>
        <w:rPr>
          <w:rStyle w:val="Fett"/>
          <w:rFonts w:eastAsiaTheme="majorEastAsia"/>
          <w:rtl/>
        </w:rPr>
        <w:t>לֹא תַקְשׁוּ</w:t>
      </w:r>
      <w:r>
        <w:rPr>
          <w:rtl/>
        </w:rPr>
        <w:t xml:space="preserve"> </w:t>
      </w:r>
      <w:r>
        <w:t xml:space="preserve">besteht aus der Negation </w:t>
      </w:r>
      <w:r>
        <w:rPr>
          <w:rStyle w:val="Fett"/>
          <w:rFonts w:eastAsiaTheme="majorEastAsia"/>
          <w:rtl/>
        </w:rPr>
        <w:t>לֹא</w:t>
      </w:r>
      <w:r>
        <w:rPr>
          <w:rtl/>
        </w:rPr>
        <w:t xml:space="preserve"> </w:t>
      </w:r>
      <w:r>
        <w:t xml:space="preserve">und </w:t>
      </w:r>
      <w:r>
        <w:rPr>
          <w:rStyle w:val="Fett"/>
          <w:rFonts w:eastAsiaTheme="majorEastAsia"/>
          <w:rtl/>
        </w:rPr>
        <w:t>תַקְשׁוּ</w:t>
      </w:r>
      <w:r>
        <w:rPr>
          <w:rtl/>
        </w:rPr>
        <w:t xml:space="preserve"> </w:t>
      </w:r>
      <w:r>
        <w:t xml:space="preserve">(Hiphil Imperfekt, 2. Person Maskulinum Plural von </w:t>
      </w:r>
      <w:r>
        <w:rPr>
          <w:rStyle w:val="Fett"/>
          <w:rFonts w:eastAsiaTheme="majorEastAsia"/>
          <w:rtl/>
        </w:rPr>
        <w:t>קשׁה</w:t>
      </w:r>
      <w:r>
        <w:t xml:space="preserve">, „hart sein/machen, verhärten"). Die Hiphil-Form hat kausative Bedeutung („hart machen, verhärten"). </w:t>
      </w:r>
      <w:r>
        <w:rPr>
          <w:rStyle w:val="Fett"/>
          <w:rFonts w:eastAsiaTheme="majorEastAsia"/>
          <w:rtl/>
        </w:rPr>
        <w:t>עוֹד</w:t>
      </w:r>
      <w:r>
        <w:rPr>
          <w:rtl/>
        </w:rPr>
        <w:t xml:space="preserve"> </w:t>
      </w:r>
      <w:r>
        <w:t>ist ein temporales Adverb („noch, weiter, mehr"), das die Forderung verstärkt, mit diesem Verhalten aufzuhören.</w:t>
      </w:r>
    </w:p>
    <w:p w14:paraId="2720FD86" w14:textId="77777777" w:rsidR="00C91CB2" w:rsidRDefault="00C91CB2" w:rsidP="00C91CB2">
      <w:pPr>
        <w:pStyle w:val="whitespace-normal"/>
      </w:pPr>
      <w:r>
        <w:t xml:space="preserve">Die Metapher des „harten Nackens" erscheint häufig im Alten Testament und bezeichnet Eigensinn, Widerspenstigkeit und Ungehorsam. Hier wird sie mit der Metapher der „unbeschnittenen Herzensvorhaut" parallelisiert. Beide Bilder beschreiben innere Haltungen: Das unbeschnittene Herz ist verschlossen gegenüber Gottes Willen, der harte Nacken drückt aktiven Widerstand aus. Die Konstruktion </w:t>
      </w:r>
      <w:r>
        <w:rPr>
          <w:rStyle w:val="Fett"/>
          <w:rFonts w:eastAsiaTheme="majorEastAsia"/>
          <w:rtl/>
        </w:rPr>
        <w:t>עָרְלַת לְבַבְכֶם</w:t>
      </w:r>
      <w:r>
        <w:rPr>
          <w:rtl/>
        </w:rPr>
        <w:t xml:space="preserve"> </w:t>
      </w:r>
      <w:r>
        <w:t xml:space="preserve">verwendet den Doppel-Plural, was die Intensität betont. Das Verb </w:t>
      </w:r>
      <w:r>
        <w:rPr>
          <w:rStyle w:val="Fett"/>
          <w:rFonts w:eastAsiaTheme="majorEastAsia"/>
          <w:rtl/>
        </w:rPr>
        <w:t>מול</w:t>
      </w:r>
      <w:r>
        <w:rPr>
          <w:rtl/>
        </w:rPr>
        <w:t xml:space="preserve"> </w:t>
      </w:r>
      <w:r>
        <w:t>wird normalerweise für die physische Beschneidung verwendet; hier wird es metaphorisch auf das Herz angewandt.</w:t>
      </w:r>
    </w:p>
    <w:p w14:paraId="37AACCE1" w14:textId="77777777" w:rsidR="00C91CB2" w:rsidRDefault="00C91CB2" w:rsidP="00C91CB2">
      <w:pPr>
        <w:pStyle w:val="whitespace-normal"/>
      </w:pPr>
      <w:r>
        <w:rPr>
          <w:rStyle w:val="Fett"/>
          <w:rFonts w:eastAsiaTheme="majorEastAsia"/>
        </w:rPr>
        <w:t>Die LXX</w:t>
      </w:r>
      <w:r>
        <w:t xml:space="preserve"> übersetzt „beschneidet" mit „π</w:t>
      </w:r>
      <w:proofErr w:type="spellStart"/>
      <w:r>
        <w:t>εριτεμεῖσθε</w:t>
      </w:r>
      <w:proofErr w:type="spellEnd"/>
      <w:r>
        <w:t xml:space="preserve">" (Imperativ Aorist), wodurch die imperativische Nuance klarer wird als im Hebräischen. „Die Vorhaut eures Herzens" wird mit „τὴν </w:t>
      </w:r>
      <w:proofErr w:type="spellStart"/>
      <w:r>
        <w:t>σκληροκ</w:t>
      </w:r>
      <w:proofErr w:type="spellEnd"/>
      <w:r>
        <w:t xml:space="preserve">αρδίαν </w:t>
      </w:r>
      <w:proofErr w:type="spellStart"/>
      <w:r>
        <w:t>ὑμῶν</w:t>
      </w:r>
      <w:proofErr w:type="spellEnd"/>
      <w:r>
        <w:t>" („eure Hartherzigkeit") wiedergegeben, was eine interpretierende Übersetzung darstellt, die den Sinn der Metapher erfasst, aber die wörtliche Bildsprache nicht beibehält.</w:t>
      </w:r>
    </w:p>
    <w:p w14:paraId="2E82AD5B" w14:textId="77777777" w:rsidR="00C91CB2" w:rsidRDefault="00C91CB2" w:rsidP="00C91CB2">
      <w:pPr>
        <w:pStyle w:val="whitespace-normal"/>
      </w:pPr>
      <w:r>
        <w:t>Die Satzstruktur besteht aus zwei koordinierten Hauptsätzen: (1) Der erste Hauptsatz ist ein positiver Imperativ mit Prädikat (beschneidet), Objekt (die Vorhaut eures Herzens); (2) Der zweite Hauptsatz ist ein negativer Imperativ mit vorangestelltem Objekt (euren Nacken), Negation, Prädikat (verhärtet) und temporaler Bestimmung (nicht mehr).</w:t>
      </w:r>
    </w:p>
    <w:p w14:paraId="664138D3" w14:textId="77777777" w:rsidR="00C91CB2" w:rsidRDefault="00C91CB2" w:rsidP="00C91CB2">
      <w:pPr>
        <w:pStyle w:val="whitespace-normal"/>
      </w:pPr>
      <w:r>
        <w:t>Der Vers fordert Israel zur inneren Umkehr auf: Die Beschneidung des Herzens und die Aufgabe der Widerspenstigkeit sind die angemessene Antwort auf Gottes Erwählung.</w:t>
      </w:r>
    </w:p>
    <w:p w14:paraId="6F2DDC67" w14:textId="77777777" w:rsidR="00C91CB2" w:rsidRPr="00DD45BE" w:rsidRDefault="00C91CB2" w:rsidP="00C91CB2">
      <w:pPr>
        <w:pStyle w:val="berschrift1"/>
        <w:rPr>
          <w:rFonts w:ascii="Times New Roman" w:hAnsi="Times New Roman"/>
          <w:b/>
          <w:bCs/>
          <w:color w:val="auto"/>
          <w:sz w:val="36"/>
          <w:szCs w:val="36"/>
        </w:rPr>
      </w:pPr>
      <w:r w:rsidRPr="00DD45BE">
        <w:rPr>
          <w:rFonts w:ascii="Times New Roman" w:hAnsi="Times New Roman"/>
          <w:b/>
          <w:bCs/>
          <w:color w:val="auto"/>
          <w:sz w:val="36"/>
          <w:szCs w:val="36"/>
        </w:rPr>
        <w:lastRenderedPageBreak/>
        <w:t>Deuteronomium 10,17</w:t>
      </w:r>
    </w:p>
    <w:p w14:paraId="4D6D4EE2" w14:textId="77777777" w:rsidR="00C91CB2" w:rsidRDefault="00C91CB2" w:rsidP="00C91CB2">
      <w:pPr>
        <w:pStyle w:val="whitespace-normal"/>
      </w:pPr>
      <w:r>
        <w:rPr>
          <w:rStyle w:val="Fett"/>
          <w:rFonts w:eastAsiaTheme="majorEastAsia"/>
        </w:rPr>
        <w:t>Hebräisch:</w:t>
      </w:r>
      <w:r>
        <w:t xml:space="preserve"> </w:t>
      </w:r>
      <w:r>
        <w:rPr>
          <w:rtl/>
        </w:rPr>
        <w:t>כִּ֚י יְהוָ֣ה אֱלֹֽהֵיכֶ֔ם ה֚וּא אֱלֹהֵ֣י הָֽאֱלֹהִ֔ים וַאֲדֹנֵ֖י הָאֲדֹנִ֑ים הָאֵ֨ל הַגָּדֹ֤ל הַגִּבֹּר֙ וְהַנּוֹרָ֔א אֲשֶׁר֙ לֹא־יִשָּׂ֣א פָנִ֔ים וְלֹ֥א יִקַּ֖ח שֹֽׁחַד׃</w:t>
      </w:r>
    </w:p>
    <w:p w14:paraId="75780A7E" w14:textId="77777777" w:rsidR="00C91CB2" w:rsidRDefault="00C91CB2" w:rsidP="00C91CB2">
      <w:pPr>
        <w:pStyle w:val="whitespace-normal"/>
      </w:pPr>
      <w:r>
        <w:rPr>
          <w:rStyle w:val="Fett"/>
          <w:rFonts w:eastAsiaTheme="majorEastAsia"/>
        </w:rPr>
        <w:t>Deutsch:</w:t>
      </w:r>
      <w:r>
        <w:t xml:space="preserve"> Denn der Ewige, euer Gott, er ist der Gott der Götter und der Herr der Herren, der große, mächtige und furchtbare Gott, der keine Person ansieht und kein Geschenk annimmt;</w:t>
      </w:r>
    </w:p>
    <w:p w14:paraId="19376E2D" w14:textId="77777777" w:rsidR="00C91CB2" w:rsidRDefault="004F5CEB" w:rsidP="00C91CB2">
      <w:r>
        <w:rPr>
          <w:noProof/>
        </w:rPr>
        <w:pict w14:anchorId="1BFBF0F5">
          <v:rect id="_x0000_i1335" style="width:0;height:1.5pt" o:hralign="center" o:hrstd="t" o:hr="t" fillcolor="#a0a0a0" stroked="f"/>
        </w:pict>
      </w:r>
    </w:p>
    <w:p w14:paraId="7E8A651F" w14:textId="175CCB94" w:rsidR="00C91CB2" w:rsidRDefault="00C91CB2" w:rsidP="00C91CB2">
      <w:pPr>
        <w:pStyle w:val="whitespace-normal"/>
      </w:pPr>
      <w:r>
        <w:rPr>
          <w:rStyle w:val="Fett"/>
          <w:rFonts w:eastAsiaTheme="majorEastAsia"/>
        </w:rPr>
        <w:t>Kommentar:</w:t>
      </w:r>
      <w:r>
        <w:t xml:space="preserve"> </w:t>
      </w:r>
      <w:r>
        <w:rPr>
          <w:rStyle w:val="Fett"/>
          <w:rFonts w:eastAsiaTheme="majorEastAsia"/>
          <w:rtl/>
        </w:rPr>
        <w:t>כִּי</w:t>
      </w:r>
      <w:r>
        <w:rPr>
          <w:rtl/>
        </w:rPr>
        <w:t xml:space="preserve"> </w:t>
      </w:r>
      <w:r>
        <w:t xml:space="preserve">ist eine kausale Konjunktion („denn, weil"), die die Begründung für die vorhergehende Forderung einleitet. </w:t>
      </w:r>
      <w:r>
        <w:rPr>
          <w:rStyle w:val="Fett"/>
          <w:rFonts w:eastAsiaTheme="majorEastAsia"/>
          <w:rtl/>
        </w:rPr>
        <w:t>יְהוָה אֱלֹהֵיכֶם</w:t>
      </w:r>
      <w:r>
        <w:rPr>
          <w:rtl/>
        </w:rPr>
        <w:t xml:space="preserve"> </w:t>
      </w:r>
      <w:r>
        <w:t xml:space="preserve">ist das Subjekt: das Tetragramm mit der Apposition </w:t>
      </w:r>
      <w:r>
        <w:rPr>
          <w:rStyle w:val="Fett"/>
          <w:rFonts w:eastAsiaTheme="majorEastAsia"/>
          <w:rtl/>
        </w:rPr>
        <w:t>אֱלֹהֵיכֶם</w:t>
      </w:r>
      <w:r>
        <w:rPr>
          <w:rtl/>
        </w:rPr>
        <w:t xml:space="preserve"> </w:t>
      </w:r>
      <w:r>
        <w:t xml:space="preserve">(Plural von </w:t>
      </w:r>
      <w:r>
        <w:rPr>
          <w:rStyle w:val="Fett"/>
          <w:rFonts w:eastAsiaTheme="majorEastAsia"/>
          <w:rtl/>
        </w:rPr>
        <w:t>אֱלֹהִים</w:t>
      </w:r>
      <w:r>
        <w:rPr>
          <w:rtl/>
        </w:rPr>
        <w:t xml:space="preserve"> </w:t>
      </w:r>
      <w:r>
        <w:t xml:space="preserve">mit Suffix 2. Person Maskulinum Plural). </w:t>
      </w:r>
      <w:r>
        <w:rPr>
          <w:rStyle w:val="Fett"/>
          <w:rFonts w:eastAsiaTheme="majorEastAsia"/>
          <w:rtl/>
        </w:rPr>
        <w:t>הוּא</w:t>
      </w:r>
      <w:r>
        <w:rPr>
          <w:rtl/>
        </w:rPr>
        <w:t xml:space="preserve"> </w:t>
      </w:r>
      <w:r>
        <w:t xml:space="preserve">ist ein emphatisches Personalpronomen 3. Person Maskulinum Singular („er"), das das Subjekt hervorhebt und verstärkt. </w:t>
      </w:r>
      <w:r>
        <w:rPr>
          <w:rStyle w:val="Fett"/>
          <w:rFonts w:eastAsiaTheme="majorEastAsia"/>
          <w:rtl/>
        </w:rPr>
        <w:t>אֱלֹהֵי הָאֱלֹהִים</w:t>
      </w:r>
      <w:r>
        <w:rPr>
          <w:rtl/>
        </w:rPr>
        <w:t xml:space="preserve"> </w:t>
      </w:r>
      <w:r>
        <w:t xml:space="preserve">ist eine superlativische </w:t>
      </w:r>
      <w:r w:rsidR="007E2044">
        <w:t>Constructverbindung</w:t>
      </w:r>
      <w:r>
        <w:t xml:space="preserve">: </w:t>
      </w:r>
      <w:r>
        <w:rPr>
          <w:rStyle w:val="Fett"/>
          <w:rFonts w:eastAsiaTheme="majorEastAsia"/>
          <w:rtl/>
        </w:rPr>
        <w:t>אֱלֹהֵי</w:t>
      </w:r>
      <w:r>
        <w:rPr>
          <w:rtl/>
        </w:rPr>
        <w:t xml:space="preserve"> </w:t>
      </w:r>
      <w:r>
        <w:t xml:space="preserve">(Construct-Plural von </w:t>
      </w:r>
      <w:r>
        <w:rPr>
          <w:rStyle w:val="Fett"/>
          <w:rFonts w:eastAsiaTheme="majorEastAsia"/>
          <w:rtl/>
        </w:rPr>
        <w:t>אֱלֹהִים</w:t>
      </w:r>
      <w:r>
        <w:t xml:space="preserve">) mit </w:t>
      </w:r>
      <w:r>
        <w:rPr>
          <w:rStyle w:val="Fett"/>
          <w:rFonts w:eastAsiaTheme="majorEastAsia"/>
          <w:rtl/>
        </w:rPr>
        <w:t>הָאֱלֹהִים</w:t>
      </w:r>
      <w:r>
        <w:rPr>
          <w:rtl/>
        </w:rPr>
        <w:t xml:space="preserve"> </w:t>
      </w:r>
      <w:r>
        <w:t xml:space="preserve">(„der Götter"), was „höchster Gott" oder „Gott über allen Göttern" bedeutet. </w:t>
      </w:r>
      <w:r>
        <w:rPr>
          <w:rStyle w:val="Fett"/>
          <w:rFonts w:eastAsiaTheme="majorEastAsia"/>
          <w:rtl/>
        </w:rPr>
        <w:t>וַאֲדֹנֵי הָאֲדֹנִים</w:t>
      </w:r>
      <w:r>
        <w:rPr>
          <w:rtl/>
        </w:rPr>
        <w:t xml:space="preserve"> </w:t>
      </w:r>
      <w:r>
        <w:t xml:space="preserve">ist parallel konstruiert: </w:t>
      </w:r>
      <w:r>
        <w:rPr>
          <w:rStyle w:val="Fett"/>
          <w:rFonts w:eastAsiaTheme="majorEastAsia"/>
          <w:rtl/>
        </w:rPr>
        <w:t>אֲדֹנֵי</w:t>
      </w:r>
      <w:r>
        <w:rPr>
          <w:rtl/>
        </w:rPr>
        <w:t xml:space="preserve"> </w:t>
      </w:r>
      <w:r>
        <w:t xml:space="preserve">(Construct-Plural von </w:t>
      </w:r>
      <w:r>
        <w:rPr>
          <w:rStyle w:val="Fett"/>
          <w:rFonts w:eastAsiaTheme="majorEastAsia"/>
          <w:rtl/>
        </w:rPr>
        <w:t>אָדוֹן</w:t>
      </w:r>
      <w:r>
        <w:t xml:space="preserve">, „Herr") mit </w:t>
      </w:r>
      <w:r>
        <w:rPr>
          <w:rStyle w:val="Fett"/>
          <w:rFonts w:eastAsiaTheme="majorEastAsia"/>
          <w:rtl/>
        </w:rPr>
        <w:t>הָאֲדֹנִים</w:t>
      </w:r>
      <w:r>
        <w:rPr>
          <w:rtl/>
        </w:rPr>
        <w:t xml:space="preserve"> </w:t>
      </w:r>
      <w:r>
        <w:t>(„der Herren").</w:t>
      </w:r>
    </w:p>
    <w:p w14:paraId="1E565FFB" w14:textId="77777777" w:rsidR="00C91CB2" w:rsidRDefault="00C91CB2" w:rsidP="00C91CB2">
      <w:pPr>
        <w:pStyle w:val="whitespace-normal"/>
      </w:pPr>
      <w:r>
        <w:rPr>
          <w:rStyle w:val="Fett"/>
          <w:rFonts w:eastAsiaTheme="majorEastAsia"/>
          <w:rtl/>
        </w:rPr>
        <w:t>הָאֵל הַגָּדֹל הַגִּבֹּר וְהַנּוֹרָא</w:t>
      </w:r>
      <w:r>
        <w:rPr>
          <w:rtl/>
        </w:rPr>
        <w:t xml:space="preserve"> </w:t>
      </w:r>
      <w:r>
        <w:t xml:space="preserve">ist eine Reihe von drei attributiven Adjektiven mit Artikel: </w:t>
      </w:r>
      <w:r>
        <w:rPr>
          <w:rStyle w:val="Fett"/>
          <w:rFonts w:eastAsiaTheme="majorEastAsia"/>
          <w:rtl/>
        </w:rPr>
        <w:t>הָאֵל</w:t>
      </w:r>
      <w:r>
        <w:rPr>
          <w:rtl/>
        </w:rPr>
        <w:t xml:space="preserve"> </w:t>
      </w:r>
      <w:r>
        <w:t xml:space="preserve">(„der Gott", als Substantiv oder als Apposition), </w:t>
      </w:r>
      <w:r>
        <w:rPr>
          <w:rStyle w:val="Fett"/>
          <w:rFonts w:eastAsiaTheme="majorEastAsia"/>
          <w:rtl/>
        </w:rPr>
        <w:t>הַגָּדֹל</w:t>
      </w:r>
      <w:r>
        <w:rPr>
          <w:rtl/>
        </w:rPr>
        <w:t xml:space="preserve"> </w:t>
      </w:r>
      <w:r>
        <w:t xml:space="preserve">(„der Große"), </w:t>
      </w:r>
      <w:r>
        <w:rPr>
          <w:rStyle w:val="Fett"/>
          <w:rFonts w:eastAsiaTheme="majorEastAsia"/>
          <w:rtl/>
        </w:rPr>
        <w:t>הַגִּבֹּר</w:t>
      </w:r>
      <w:r>
        <w:rPr>
          <w:rtl/>
        </w:rPr>
        <w:t xml:space="preserve"> </w:t>
      </w:r>
      <w:r>
        <w:t xml:space="preserve">(„der Mächtige", von </w:t>
      </w:r>
      <w:r>
        <w:rPr>
          <w:rStyle w:val="Fett"/>
          <w:rFonts w:eastAsiaTheme="majorEastAsia"/>
          <w:rtl/>
        </w:rPr>
        <w:t>גבר</w:t>
      </w:r>
      <w:r>
        <w:t xml:space="preserve">, „stark sein, Macht haben") und </w:t>
      </w:r>
      <w:r>
        <w:rPr>
          <w:rStyle w:val="Fett"/>
          <w:rFonts w:eastAsiaTheme="majorEastAsia"/>
          <w:rtl/>
        </w:rPr>
        <w:t>הַנּוֹרָא</w:t>
      </w:r>
      <w:r>
        <w:rPr>
          <w:rtl/>
        </w:rPr>
        <w:t xml:space="preserve"> </w:t>
      </w:r>
      <w:r>
        <w:t xml:space="preserve">(Niphal Partizip von </w:t>
      </w:r>
      <w:r>
        <w:rPr>
          <w:rStyle w:val="Fett"/>
          <w:rFonts w:eastAsiaTheme="majorEastAsia"/>
          <w:rtl/>
        </w:rPr>
        <w:t>ירא</w:t>
      </w:r>
      <w:r>
        <w:t xml:space="preserve">, „fürchten", mit Artikel, „der Furchtbare"). Die Häufung dieser Attribute unterstreicht die absolute Überlegenheit Gottes. </w:t>
      </w:r>
      <w:r>
        <w:rPr>
          <w:rStyle w:val="Fett"/>
          <w:rFonts w:eastAsiaTheme="majorEastAsia"/>
          <w:rtl/>
        </w:rPr>
        <w:t>אֲשֶׁר</w:t>
      </w:r>
      <w:r>
        <w:rPr>
          <w:rtl/>
        </w:rPr>
        <w:t xml:space="preserve"> </w:t>
      </w:r>
      <w:r>
        <w:t>ist ein Relativpronomen, das einen Relativsatz einleitet.</w:t>
      </w:r>
    </w:p>
    <w:p w14:paraId="72ACF4A0" w14:textId="77777777" w:rsidR="00C91CB2" w:rsidRDefault="00C91CB2" w:rsidP="00C91CB2">
      <w:pPr>
        <w:pStyle w:val="whitespace-normal"/>
      </w:pPr>
      <w:r>
        <w:rPr>
          <w:rStyle w:val="Fett"/>
          <w:rFonts w:eastAsiaTheme="majorEastAsia"/>
          <w:rtl/>
        </w:rPr>
        <w:t>לֹא־יִשָּׂא פָנִים</w:t>
      </w:r>
      <w:r>
        <w:rPr>
          <w:rtl/>
        </w:rPr>
        <w:t xml:space="preserve"> </w:t>
      </w:r>
      <w:r>
        <w:t xml:space="preserve">ist ein negativer Relativsatz: </w:t>
      </w:r>
      <w:r>
        <w:rPr>
          <w:rStyle w:val="Fett"/>
          <w:rFonts w:eastAsiaTheme="majorEastAsia"/>
          <w:rtl/>
        </w:rPr>
        <w:t>לֹא</w:t>
      </w:r>
      <w:r>
        <w:rPr>
          <w:rtl/>
        </w:rPr>
        <w:t xml:space="preserve"> </w:t>
      </w:r>
      <w:r>
        <w:t xml:space="preserve">(Negation) mit </w:t>
      </w:r>
      <w:r>
        <w:rPr>
          <w:rStyle w:val="Fett"/>
          <w:rFonts w:eastAsiaTheme="majorEastAsia"/>
          <w:rtl/>
        </w:rPr>
        <w:t>יִשָּׂא</w:t>
      </w:r>
      <w:r>
        <w:rPr>
          <w:rtl/>
        </w:rPr>
        <w:t xml:space="preserve"> </w:t>
      </w:r>
      <w:r>
        <w:t xml:space="preserve">(Qal Imperfekt, 3. Person Maskulinum Singular von </w:t>
      </w:r>
      <w:r>
        <w:rPr>
          <w:rStyle w:val="Fett"/>
          <w:rFonts w:eastAsiaTheme="majorEastAsia"/>
          <w:rtl/>
        </w:rPr>
        <w:t>נשׂא</w:t>
      </w:r>
      <w:r>
        <w:t xml:space="preserve">, „erheben, tragen, annehmen") und </w:t>
      </w:r>
      <w:r>
        <w:rPr>
          <w:rStyle w:val="Fett"/>
          <w:rFonts w:eastAsiaTheme="majorEastAsia"/>
          <w:rtl/>
        </w:rPr>
        <w:t>פָנִים</w:t>
      </w:r>
      <w:r>
        <w:rPr>
          <w:rtl/>
        </w:rPr>
        <w:t xml:space="preserve"> </w:t>
      </w:r>
      <w:r>
        <w:t xml:space="preserve">(Plural von </w:t>
      </w:r>
      <w:r>
        <w:rPr>
          <w:rStyle w:val="Fett"/>
          <w:rFonts w:eastAsiaTheme="majorEastAsia"/>
          <w:rtl/>
        </w:rPr>
        <w:t>פָּנֶה</w:t>
      </w:r>
      <w:r>
        <w:t xml:space="preserve">, „Gesicht, Angesicht"). Die idiomatische Wendung </w:t>
      </w:r>
      <w:r>
        <w:rPr>
          <w:rStyle w:val="Fett"/>
          <w:rFonts w:eastAsiaTheme="majorEastAsia"/>
          <w:rtl/>
        </w:rPr>
        <w:t>נשׂא פָנִים</w:t>
      </w:r>
      <w:r>
        <w:rPr>
          <w:rtl/>
        </w:rPr>
        <w:t xml:space="preserve"> </w:t>
      </w:r>
      <w:r>
        <w:t xml:space="preserve">bedeutet „Parteilichkeit zeigen, Ansehen der Person haben". </w:t>
      </w:r>
      <w:r>
        <w:rPr>
          <w:rStyle w:val="Fett"/>
          <w:rFonts w:eastAsiaTheme="majorEastAsia"/>
          <w:rtl/>
        </w:rPr>
        <w:t>וְלֹא יִקַּח שֹׁחַד</w:t>
      </w:r>
      <w:r>
        <w:rPr>
          <w:rtl/>
        </w:rPr>
        <w:t xml:space="preserve"> </w:t>
      </w:r>
      <w:r>
        <w:t xml:space="preserve">ist parallel konstruiert: </w:t>
      </w:r>
      <w:r>
        <w:rPr>
          <w:rStyle w:val="Fett"/>
          <w:rFonts w:eastAsiaTheme="majorEastAsia"/>
          <w:rtl/>
        </w:rPr>
        <w:t>לֹא</w:t>
      </w:r>
      <w:r>
        <w:rPr>
          <w:rtl/>
        </w:rPr>
        <w:t xml:space="preserve"> </w:t>
      </w:r>
      <w:r>
        <w:t xml:space="preserve">mit </w:t>
      </w:r>
      <w:r>
        <w:rPr>
          <w:rStyle w:val="Fett"/>
          <w:rFonts w:eastAsiaTheme="majorEastAsia"/>
          <w:rtl/>
        </w:rPr>
        <w:t>יִקַּח</w:t>
      </w:r>
      <w:r>
        <w:rPr>
          <w:rtl/>
        </w:rPr>
        <w:t xml:space="preserve"> </w:t>
      </w:r>
      <w:r>
        <w:t xml:space="preserve">(Qal Imperfekt, 3. Person Maskulinum Singular von </w:t>
      </w:r>
      <w:r>
        <w:rPr>
          <w:rStyle w:val="Fett"/>
          <w:rFonts w:eastAsiaTheme="majorEastAsia"/>
          <w:rtl/>
        </w:rPr>
        <w:t>לקח</w:t>
      </w:r>
      <w:r>
        <w:t xml:space="preserve">, „nehmen") und </w:t>
      </w:r>
      <w:r>
        <w:rPr>
          <w:rStyle w:val="Fett"/>
          <w:rFonts w:eastAsiaTheme="majorEastAsia"/>
          <w:rtl/>
        </w:rPr>
        <w:t>שֹׁחַד</w:t>
      </w:r>
      <w:r>
        <w:rPr>
          <w:rtl/>
        </w:rPr>
        <w:t xml:space="preserve"> </w:t>
      </w:r>
      <w:r>
        <w:t>(„Bestechungsgeld, Geschenk"). Die beiden negativen Aussagen betonen Gottes absolute Unparteilichkeit und Unbestechlichkeit.</w:t>
      </w:r>
    </w:p>
    <w:p w14:paraId="70319329" w14:textId="77777777" w:rsidR="00C91CB2" w:rsidRDefault="00C91CB2" w:rsidP="00C91CB2">
      <w:pPr>
        <w:pStyle w:val="whitespace-normal"/>
      </w:pPr>
      <w:r>
        <w:t xml:space="preserve">Die Struktur zeigt eine Klimax: Von der höchsten Stellung (Gott der Götter und Herr der Herren) über die göttlichen Attribute (der Große, der Mächtige und der Furchtbare) zu den ethischen Eigenschaften (Unparteilichkeit und Unbestechlichkeit). Die doppelte Construct-Verbindung mit superlativischer Bedeutung ist eine typische hebräische Ausdrucksweise für den Superlativ. Die Verwendung des Plurals </w:t>
      </w:r>
      <w:r>
        <w:rPr>
          <w:rStyle w:val="Fett"/>
          <w:rFonts w:eastAsiaTheme="majorEastAsia"/>
          <w:rtl/>
        </w:rPr>
        <w:t>פָנִים</w:t>
      </w:r>
      <w:r>
        <w:rPr>
          <w:rtl/>
        </w:rPr>
        <w:t xml:space="preserve"> </w:t>
      </w:r>
      <w:r>
        <w:t>ist idiomatisch.</w:t>
      </w:r>
    </w:p>
    <w:p w14:paraId="38E7819C" w14:textId="77777777" w:rsidR="00C91CB2" w:rsidRDefault="00C91CB2" w:rsidP="00C91CB2">
      <w:pPr>
        <w:pStyle w:val="whitespace-normal"/>
      </w:pPr>
      <w:r>
        <w:rPr>
          <w:rStyle w:val="Fett"/>
          <w:rFonts w:eastAsiaTheme="majorEastAsia"/>
        </w:rPr>
        <w:t>Die LXX</w:t>
      </w:r>
      <w:r>
        <w:t xml:space="preserve"> übersetzt „Gott der Götter" mit „</w:t>
      </w:r>
      <w:proofErr w:type="spellStart"/>
      <w:r>
        <w:t>θεὸς</w:t>
      </w:r>
      <w:proofErr w:type="spellEnd"/>
      <w:r>
        <w:t xml:space="preserve"> </w:t>
      </w:r>
      <w:proofErr w:type="spellStart"/>
      <w:r>
        <w:t>τῶν</w:t>
      </w:r>
      <w:proofErr w:type="spellEnd"/>
      <w:r>
        <w:t xml:space="preserve"> </w:t>
      </w:r>
      <w:proofErr w:type="spellStart"/>
      <w:r>
        <w:t>θεῶν</w:t>
      </w:r>
      <w:proofErr w:type="spellEnd"/>
      <w:r>
        <w:t>" und „Herr der Herren" mit „</w:t>
      </w:r>
      <w:proofErr w:type="spellStart"/>
      <w:r>
        <w:t>κύριος</w:t>
      </w:r>
      <w:proofErr w:type="spellEnd"/>
      <w:r>
        <w:t xml:space="preserve"> </w:t>
      </w:r>
      <w:proofErr w:type="spellStart"/>
      <w:r>
        <w:t>τῶν</w:t>
      </w:r>
      <w:proofErr w:type="spellEnd"/>
      <w:r>
        <w:t xml:space="preserve"> </w:t>
      </w:r>
      <w:proofErr w:type="spellStart"/>
      <w:r>
        <w:t>κυρίων</w:t>
      </w:r>
      <w:proofErr w:type="spellEnd"/>
      <w:r>
        <w:t>", was die hebräische Struktur genau wiedergibt. „Der Furchtbare" wird mit „</w:t>
      </w:r>
      <w:proofErr w:type="spellStart"/>
      <w:r>
        <w:t>φο</w:t>
      </w:r>
      <w:proofErr w:type="spellEnd"/>
      <w:r>
        <w:t>βερός" („furchtbar, ehrfurchtgebietend") übersetzt. Die Wendung „Person ansehen" wird mit „θα</w:t>
      </w:r>
      <w:proofErr w:type="spellStart"/>
      <w:r>
        <w:t>υμάζει</w:t>
      </w:r>
      <w:proofErr w:type="spellEnd"/>
      <w:r>
        <w:t xml:space="preserve"> π</w:t>
      </w:r>
      <w:proofErr w:type="spellStart"/>
      <w:r>
        <w:t>ρόσω</w:t>
      </w:r>
      <w:proofErr w:type="spellEnd"/>
      <w:r>
        <w:t>πον" („bewundert das Gesicht") wiedergegeben, was eine wörtlichere Übersetzung darstellt.</w:t>
      </w:r>
    </w:p>
    <w:p w14:paraId="2463FEF0" w14:textId="77777777" w:rsidR="00C91CB2" w:rsidRDefault="00C91CB2" w:rsidP="00C91CB2">
      <w:pPr>
        <w:pStyle w:val="whitespace-normal"/>
      </w:pPr>
      <w:r>
        <w:t xml:space="preserve">Die Satzstruktur besteht aus einem kausalen Hauptsatz mit mehreren Appositionen und einem angeschlossenen Relativsatz: Der Hauptsatz hat als Subjekt (JHWH, euer Gott), ein </w:t>
      </w:r>
      <w:r>
        <w:lastRenderedPageBreak/>
        <w:t>emphatisches Pronomen (er), das Prädikat (ist) und eine Reihe von nominalen Prädikaten (Gott der Götter, Herr der Herren, der große, mächtige und furchtbare Gott); der Relativsatz enthält zwei negierte Aussagen über Gottes Handeln (der keine Person ansieht und kein Geschenk annimmt).</w:t>
      </w:r>
    </w:p>
    <w:p w14:paraId="2B37F8AF" w14:textId="77777777" w:rsidR="00C91CB2" w:rsidRDefault="00C91CB2" w:rsidP="00C91CB2">
      <w:pPr>
        <w:pStyle w:val="whitespace-normal"/>
      </w:pPr>
      <w:r>
        <w:t>Der Vers begründet die Forderung nach Gehorsam mit der absoluten Überlegenheit und Gerechtigkeit Gottes: JHWH steht über allen anderen Mächten und handelt vollkommen gerecht ohne Ansehen der Person.</w:t>
      </w:r>
    </w:p>
    <w:p w14:paraId="1D4C0D98" w14:textId="77777777" w:rsidR="00C91CB2" w:rsidRPr="00DD45BE" w:rsidRDefault="00C91CB2" w:rsidP="00C91CB2">
      <w:pPr>
        <w:pStyle w:val="berschrift1"/>
        <w:rPr>
          <w:rFonts w:ascii="Times New Roman" w:hAnsi="Times New Roman"/>
          <w:b/>
          <w:bCs/>
          <w:color w:val="auto"/>
          <w:sz w:val="36"/>
          <w:szCs w:val="36"/>
        </w:rPr>
      </w:pPr>
      <w:r w:rsidRPr="00DD45BE">
        <w:rPr>
          <w:rFonts w:ascii="Times New Roman" w:hAnsi="Times New Roman"/>
          <w:b/>
          <w:bCs/>
          <w:color w:val="auto"/>
          <w:sz w:val="36"/>
          <w:szCs w:val="36"/>
        </w:rPr>
        <w:t>Deuteronomium 10,18</w:t>
      </w:r>
    </w:p>
    <w:p w14:paraId="09B246A8" w14:textId="77777777" w:rsidR="00C91CB2" w:rsidRDefault="00C91CB2" w:rsidP="00C91CB2">
      <w:pPr>
        <w:pStyle w:val="whitespace-normal"/>
      </w:pPr>
      <w:r>
        <w:rPr>
          <w:rStyle w:val="Fett"/>
          <w:rFonts w:eastAsiaTheme="majorEastAsia"/>
        </w:rPr>
        <w:t>Hebräisch:</w:t>
      </w:r>
      <w:r>
        <w:t xml:space="preserve"> </w:t>
      </w:r>
      <w:r>
        <w:rPr>
          <w:rtl/>
        </w:rPr>
        <w:t>עֹשֶׂ֛ה מִשְׁפַּ֥ט יָת֖וֹם וְאַלְמָנָ֑ה וְאֹהֵ֣ב גֵּ֔ר לָ֥תֶת לוֹ֖ לֶ֥חֶם וְשִׂמְלָֽה׃</w:t>
      </w:r>
    </w:p>
    <w:p w14:paraId="174D449F" w14:textId="77777777" w:rsidR="00C91CB2" w:rsidRDefault="00C91CB2" w:rsidP="00C91CB2">
      <w:pPr>
        <w:pStyle w:val="whitespace-normal"/>
      </w:pPr>
      <w:r>
        <w:rPr>
          <w:rStyle w:val="Fett"/>
          <w:rFonts w:eastAsiaTheme="majorEastAsia"/>
        </w:rPr>
        <w:t>Deutsch:</w:t>
      </w:r>
      <w:r>
        <w:t xml:space="preserve"> der Recht schafft der Waise und der Witwe, und den Fremden liebt, so dass er ihm Brot und Kleidung gibt.</w:t>
      </w:r>
    </w:p>
    <w:p w14:paraId="0A4E33F9" w14:textId="77777777" w:rsidR="00C91CB2" w:rsidRDefault="004F5CEB" w:rsidP="00C91CB2">
      <w:r>
        <w:rPr>
          <w:noProof/>
        </w:rPr>
        <w:pict w14:anchorId="2B57BB00">
          <v:rect id="_x0000_i1336" style="width:0;height:1.5pt" o:hralign="center" o:hrstd="t" o:hr="t" fillcolor="#a0a0a0" stroked="f"/>
        </w:pict>
      </w:r>
    </w:p>
    <w:p w14:paraId="752C9160" w14:textId="77777777" w:rsidR="00C91CB2" w:rsidRDefault="00C91CB2" w:rsidP="00C91CB2">
      <w:pPr>
        <w:pStyle w:val="whitespace-normal"/>
      </w:pPr>
      <w:r>
        <w:rPr>
          <w:rStyle w:val="Fett"/>
          <w:rFonts w:eastAsiaTheme="majorEastAsia"/>
        </w:rPr>
        <w:t>Kommentar:</w:t>
      </w:r>
      <w:r>
        <w:t xml:space="preserve"> </w:t>
      </w:r>
      <w:r>
        <w:rPr>
          <w:rStyle w:val="Fett"/>
          <w:rFonts w:eastAsiaTheme="majorEastAsia"/>
          <w:rtl/>
        </w:rPr>
        <w:t>עֹשֶׂה</w:t>
      </w:r>
      <w:r>
        <w:rPr>
          <w:rtl/>
        </w:rPr>
        <w:t xml:space="preserve"> </w:t>
      </w:r>
      <w:r>
        <w:t xml:space="preserve">ist Qal Partizip Maskulinum Singular von </w:t>
      </w:r>
      <w:r>
        <w:rPr>
          <w:rStyle w:val="Fett"/>
          <w:rFonts w:eastAsiaTheme="majorEastAsia"/>
          <w:rtl/>
        </w:rPr>
        <w:t>עשׂה</w:t>
      </w:r>
      <w:r>
        <w:rPr>
          <w:rtl/>
        </w:rPr>
        <w:t xml:space="preserve"> </w:t>
      </w:r>
      <w:r>
        <w:t xml:space="preserve">(„tun, machen"), das hier als Prädikat oder als attributives Partizip fungiert und die Fortsetzung der Beschreibung Gottes aus Vers 17 darstellt. </w:t>
      </w:r>
      <w:r>
        <w:rPr>
          <w:rStyle w:val="Fett"/>
          <w:rFonts w:eastAsiaTheme="majorEastAsia"/>
          <w:rtl/>
        </w:rPr>
        <w:t>מִשְׁפַּט</w:t>
      </w:r>
      <w:r>
        <w:rPr>
          <w:rtl/>
        </w:rPr>
        <w:t xml:space="preserve"> </w:t>
      </w:r>
      <w:r>
        <w:t xml:space="preserve">ist ein Akkusativobjekt („Recht, Gericht"), das hier konkret „Gerechtigkeit verschaffen, Recht sprechen" bedeutet. </w:t>
      </w:r>
      <w:r>
        <w:rPr>
          <w:rStyle w:val="Fett"/>
          <w:rFonts w:eastAsiaTheme="majorEastAsia"/>
          <w:rtl/>
        </w:rPr>
        <w:t>יָתוֹם וְאַלְמָנָה</w:t>
      </w:r>
      <w:r>
        <w:rPr>
          <w:rtl/>
        </w:rPr>
        <w:t xml:space="preserve"> </w:t>
      </w:r>
      <w:r>
        <w:t xml:space="preserve">sind zwei Substantive, die die klassischen Vertreter der sozial Schwachen im Alten Orient bezeichnen: </w:t>
      </w:r>
      <w:r>
        <w:rPr>
          <w:rStyle w:val="Fett"/>
          <w:rFonts w:eastAsiaTheme="majorEastAsia"/>
          <w:rtl/>
        </w:rPr>
        <w:t>יָתוֹם</w:t>
      </w:r>
      <w:r>
        <w:rPr>
          <w:rtl/>
        </w:rPr>
        <w:t xml:space="preserve"> </w:t>
      </w:r>
      <w:r>
        <w:t xml:space="preserve">(„Waise", maskulin) und </w:t>
      </w:r>
      <w:r>
        <w:rPr>
          <w:rStyle w:val="Fett"/>
          <w:rFonts w:eastAsiaTheme="majorEastAsia"/>
          <w:rtl/>
        </w:rPr>
        <w:t>אַלְמָנָה</w:t>
      </w:r>
      <w:r>
        <w:rPr>
          <w:rtl/>
        </w:rPr>
        <w:t xml:space="preserve"> </w:t>
      </w:r>
      <w:r>
        <w:t xml:space="preserve">(„Witwe", feminin), verbunden durch </w:t>
      </w:r>
      <w:r>
        <w:rPr>
          <w:rStyle w:val="Fett"/>
          <w:rFonts w:eastAsiaTheme="majorEastAsia"/>
        </w:rPr>
        <w:t>Waw</w:t>
      </w:r>
      <w:r>
        <w:t xml:space="preserve"> copulativum. Diese beiden Gruppen werden häufig zusammen erwähnt und repräsentieren die Schutzlosen in der Gesellschaft.</w:t>
      </w:r>
    </w:p>
    <w:p w14:paraId="49D1F960" w14:textId="77777777" w:rsidR="00C91CB2" w:rsidRDefault="00C91CB2" w:rsidP="00C91CB2">
      <w:pPr>
        <w:pStyle w:val="whitespace-normal"/>
      </w:pPr>
      <w:r>
        <w:rPr>
          <w:rStyle w:val="Fett"/>
          <w:rFonts w:eastAsiaTheme="majorEastAsia"/>
          <w:rtl/>
        </w:rPr>
        <w:t>וְאֹהֵב גֵּר</w:t>
      </w:r>
      <w:r>
        <w:rPr>
          <w:rtl/>
        </w:rPr>
        <w:t xml:space="preserve"> </w:t>
      </w:r>
      <w:r>
        <w:t xml:space="preserve">ist parallel konstruiert: </w:t>
      </w:r>
      <w:r>
        <w:rPr>
          <w:rStyle w:val="Fett"/>
          <w:rFonts w:eastAsiaTheme="majorEastAsia"/>
        </w:rPr>
        <w:t>Waw</w:t>
      </w:r>
      <w:r>
        <w:t xml:space="preserve"> mit </w:t>
      </w:r>
      <w:r>
        <w:rPr>
          <w:rStyle w:val="Fett"/>
          <w:rFonts w:eastAsiaTheme="majorEastAsia"/>
          <w:rtl/>
        </w:rPr>
        <w:t>אֹהֵב</w:t>
      </w:r>
      <w:r>
        <w:rPr>
          <w:rtl/>
        </w:rPr>
        <w:t xml:space="preserve"> </w:t>
      </w:r>
      <w:r>
        <w:t xml:space="preserve">(Qal Partizip Maskulinum Singular von </w:t>
      </w:r>
      <w:r>
        <w:rPr>
          <w:rStyle w:val="Fett"/>
          <w:rFonts w:eastAsiaTheme="majorEastAsia"/>
          <w:rtl/>
        </w:rPr>
        <w:t>אהב</w:t>
      </w:r>
      <w:r>
        <w:t xml:space="preserve">, „lieben") und </w:t>
      </w:r>
      <w:r>
        <w:rPr>
          <w:rStyle w:val="Fett"/>
          <w:rFonts w:eastAsiaTheme="majorEastAsia"/>
          <w:rtl/>
        </w:rPr>
        <w:t>גֵּר</w:t>
      </w:r>
      <w:r>
        <w:rPr>
          <w:rtl/>
        </w:rPr>
        <w:t xml:space="preserve"> </w:t>
      </w:r>
      <w:r>
        <w:t xml:space="preserve">(„Fremder, Fremdling") als Objekt. Der Übergang von </w:t>
      </w:r>
      <w:r>
        <w:rPr>
          <w:rStyle w:val="Fett"/>
          <w:rFonts w:eastAsiaTheme="majorEastAsia"/>
          <w:rtl/>
        </w:rPr>
        <w:t>עֹשֶׂה מִשְׁפַּט</w:t>
      </w:r>
      <w:r>
        <w:rPr>
          <w:rtl/>
        </w:rPr>
        <w:t xml:space="preserve"> </w:t>
      </w:r>
      <w:r>
        <w:t xml:space="preserve">zu </w:t>
      </w:r>
      <w:r>
        <w:rPr>
          <w:rStyle w:val="Fett"/>
          <w:rFonts w:eastAsiaTheme="majorEastAsia"/>
          <w:rtl/>
        </w:rPr>
        <w:t>אֹהֵב</w:t>
      </w:r>
      <w:r>
        <w:rPr>
          <w:rtl/>
        </w:rPr>
        <w:t xml:space="preserve"> </w:t>
      </w:r>
      <w:r>
        <w:t xml:space="preserve">markiert eine Steigerung: Gott verschafft nicht nur Recht, sondern liebt aktiv. </w:t>
      </w:r>
      <w:r>
        <w:rPr>
          <w:rStyle w:val="Fett"/>
          <w:rFonts w:eastAsiaTheme="majorEastAsia"/>
          <w:rtl/>
        </w:rPr>
        <w:t>לָתֶת לוֹ לֶחֶם וְשִׂמְלָה</w:t>
      </w:r>
      <w:r>
        <w:rPr>
          <w:rtl/>
        </w:rPr>
        <w:t xml:space="preserve"> </w:t>
      </w:r>
      <w:r>
        <w:t xml:space="preserve">ist ein finaler Infinitivsatz: </w:t>
      </w:r>
      <w:r>
        <w:rPr>
          <w:rStyle w:val="Fett"/>
          <w:rFonts w:eastAsiaTheme="majorEastAsia"/>
          <w:rtl/>
        </w:rPr>
        <w:t>לָתֶת</w:t>
      </w:r>
      <w:r>
        <w:rPr>
          <w:rtl/>
        </w:rPr>
        <w:t xml:space="preserve"> </w:t>
      </w:r>
      <w:r>
        <w:t xml:space="preserve">(Qal Infinitiv construct von </w:t>
      </w:r>
      <w:r>
        <w:rPr>
          <w:rStyle w:val="Fett"/>
          <w:rFonts w:eastAsiaTheme="majorEastAsia"/>
          <w:rtl/>
        </w:rPr>
        <w:t>נתן</w:t>
      </w:r>
      <w:r>
        <w:t xml:space="preserve">, „geben", mit Präfix-Lamed), </w:t>
      </w:r>
      <w:r>
        <w:rPr>
          <w:rStyle w:val="Fett"/>
          <w:rFonts w:eastAsiaTheme="majorEastAsia"/>
          <w:rtl/>
        </w:rPr>
        <w:t>לוֹ</w:t>
      </w:r>
      <w:r>
        <w:rPr>
          <w:rtl/>
        </w:rPr>
        <w:t xml:space="preserve"> </w:t>
      </w:r>
      <w:r>
        <w:t xml:space="preserve">(Pronominalsuffix 3. Person Maskulinum Singular, das auf </w:t>
      </w:r>
      <w:r>
        <w:rPr>
          <w:rStyle w:val="Fett"/>
          <w:rFonts w:eastAsiaTheme="majorEastAsia"/>
          <w:rtl/>
        </w:rPr>
        <w:t>גֵּר</w:t>
      </w:r>
      <w:r>
        <w:rPr>
          <w:rtl/>
        </w:rPr>
        <w:t xml:space="preserve"> </w:t>
      </w:r>
      <w:r>
        <w:t xml:space="preserve">zurückverweist), </w:t>
      </w:r>
      <w:r>
        <w:rPr>
          <w:rStyle w:val="Fett"/>
          <w:rFonts w:eastAsiaTheme="majorEastAsia"/>
          <w:rtl/>
        </w:rPr>
        <w:t>לֶחֶם</w:t>
      </w:r>
      <w:r>
        <w:rPr>
          <w:rtl/>
        </w:rPr>
        <w:t xml:space="preserve"> </w:t>
      </w:r>
      <w:r>
        <w:t xml:space="preserve">(„Brot") und </w:t>
      </w:r>
      <w:r>
        <w:rPr>
          <w:rStyle w:val="Fett"/>
          <w:rFonts w:eastAsiaTheme="majorEastAsia"/>
          <w:rtl/>
        </w:rPr>
        <w:t>שִׂמְלָה</w:t>
      </w:r>
      <w:r>
        <w:rPr>
          <w:rtl/>
        </w:rPr>
        <w:t xml:space="preserve"> </w:t>
      </w:r>
      <w:r>
        <w:t xml:space="preserve">(„Kleidung, Gewand"), verbunden durch </w:t>
      </w:r>
      <w:r>
        <w:rPr>
          <w:rStyle w:val="Fett"/>
          <w:rFonts w:eastAsiaTheme="majorEastAsia"/>
        </w:rPr>
        <w:t>Waw</w:t>
      </w:r>
      <w:r>
        <w:t xml:space="preserve">. Die beiden Substantive </w:t>
      </w:r>
      <w:r>
        <w:rPr>
          <w:rStyle w:val="Fett"/>
          <w:rFonts w:eastAsiaTheme="majorEastAsia"/>
          <w:rtl/>
        </w:rPr>
        <w:t>לֶחֶם וְשִׂמְלָה</w:t>
      </w:r>
      <w:r>
        <w:rPr>
          <w:rtl/>
        </w:rPr>
        <w:t xml:space="preserve"> </w:t>
      </w:r>
      <w:r>
        <w:t>repräsentieren die Grundbedürfnisse des Lebens: Nahrung und Schutz.</w:t>
      </w:r>
    </w:p>
    <w:p w14:paraId="1758A820" w14:textId="77777777" w:rsidR="00C91CB2" w:rsidRDefault="00C91CB2" w:rsidP="00C91CB2">
      <w:pPr>
        <w:pStyle w:val="whitespace-normal"/>
      </w:pPr>
      <w:r>
        <w:t xml:space="preserve">Die Struktur zeigt einen Chiasmus zwischen Recht schaffen und Liebe zeigen: Bei Waise und Witwe wird Recht betont, beim Fremden Liebe. Die Trias Waise, Witwe, Fremder ist eine feste sozialethische Formel im Deuteronomium. Die beiden Partizipien </w:t>
      </w:r>
      <w:r>
        <w:rPr>
          <w:rStyle w:val="Fett"/>
          <w:rFonts w:eastAsiaTheme="majorEastAsia"/>
          <w:rtl/>
        </w:rPr>
        <w:t>עֹשֶׂה</w:t>
      </w:r>
      <w:r>
        <w:rPr>
          <w:rtl/>
        </w:rPr>
        <w:t xml:space="preserve"> </w:t>
      </w:r>
      <w:r>
        <w:t xml:space="preserve">und </w:t>
      </w:r>
      <w:r>
        <w:rPr>
          <w:rStyle w:val="Fett"/>
          <w:rFonts w:eastAsiaTheme="majorEastAsia"/>
          <w:rtl/>
        </w:rPr>
        <w:t>אֹהֵב</w:t>
      </w:r>
      <w:r>
        <w:rPr>
          <w:rtl/>
        </w:rPr>
        <w:t xml:space="preserve"> </w:t>
      </w:r>
      <w:r>
        <w:t>stehen im Parallelismus und beschreiben Gottes kontinuierliches Handeln. Der finale Infinitiv konkretisiert, wie sich die Liebe Gottes zum Fremden manifestiert. Das Suffix an „ihm" bezieht sich nur auf den Fremden, nicht auf Waise und Witwe, was eine stilistische Variatio darstellt.</w:t>
      </w:r>
    </w:p>
    <w:p w14:paraId="3F369BB5" w14:textId="77777777" w:rsidR="00C91CB2" w:rsidRDefault="00C91CB2" w:rsidP="00C91CB2">
      <w:pPr>
        <w:pStyle w:val="whitespace-normal"/>
      </w:pPr>
      <w:r>
        <w:rPr>
          <w:rStyle w:val="Fett"/>
          <w:rFonts w:eastAsiaTheme="majorEastAsia"/>
        </w:rPr>
        <w:t>Die LXX</w:t>
      </w:r>
      <w:r>
        <w:t xml:space="preserve"> übersetzt „Recht schafft" mit „π</w:t>
      </w:r>
      <w:proofErr w:type="spellStart"/>
      <w:r>
        <w:t>οιῶν</w:t>
      </w:r>
      <w:proofErr w:type="spellEnd"/>
      <w:r>
        <w:t xml:space="preserve"> </w:t>
      </w:r>
      <w:proofErr w:type="spellStart"/>
      <w:r>
        <w:t>κρίσιν</w:t>
      </w:r>
      <w:proofErr w:type="spellEnd"/>
      <w:r>
        <w:t>" („Gericht tuend"), „den Fremden liebt" mit „</w:t>
      </w:r>
      <w:proofErr w:type="spellStart"/>
      <w:r>
        <w:t>ἀγ</w:t>
      </w:r>
      <w:proofErr w:type="spellEnd"/>
      <w:r>
        <w:t xml:space="preserve">απῶν </w:t>
      </w:r>
      <w:proofErr w:type="spellStart"/>
      <w:r>
        <w:t>τὸν</w:t>
      </w:r>
      <w:proofErr w:type="spellEnd"/>
      <w:r>
        <w:t xml:space="preserve"> π</w:t>
      </w:r>
      <w:proofErr w:type="spellStart"/>
      <w:r>
        <w:t>ροσήλυτον</w:t>
      </w:r>
      <w:proofErr w:type="spellEnd"/>
      <w:r>
        <w:t>" („den Proselyten liebend") und fügt ein „καὶ" vor „Brot" hinzu, was den Infinitivsatz als koordinierten Satz versteht: „und gibt ihm Brot und Kleidung".</w:t>
      </w:r>
    </w:p>
    <w:p w14:paraId="2D003E8E" w14:textId="77777777" w:rsidR="00C91CB2" w:rsidRDefault="00C91CB2" w:rsidP="00C91CB2">
      <w:pPr>
        <w:pStyle w:val="whitespace-normal"/>
      </w:pPr>
      <w:r>
        <w:lastRenderedPageBreak/>
        <w:t>Die Satzstruktur besteht aus einer Fortsetzung des Relativsatzes aus Vers 17 mit drei parallelen Partizipialkonstruktionen: (1) Partizip (schafft) mit Objekt (Recht) und Dativobjekten (der Waise und der Witwe); (2) Partizip (liebt) mit Objekt (den Fremden) und einem finalen Infinitivsatz, der das Objekt der Gabe (ihm), das Prädikat (zu geben) und die direkten Objekte (Brot und Kleidung) enthält.</w:t>
      </w:r>
    </w:p>
    <w:p w14:paraId="7D6C9238" w14:textId="77777777" w:rsidR="00C91CB2" w:rsidRDefault="00C91CB2" w:rsidP="00C91CB2">
      <w:pPr>
        <w:pStyle w:val="whitespace-normal"/>
      </w:pPr>
      <w:r>
        <w:t>Der Vers konkretisiert Gottes Gerechtigkeit: Er kümmert sich um die sozial Schwächsten der Gesellschaft, indem er ihnen Recht verschafft und ihre Grundbedürfnisse stillt.</w:t>
      </w:r>
    </w:p>
    <w:p w14:paraId="493256DE" w14:textId="77777777" w:rsidR="00C91CB2" w:rsidRPr="00DD45BE" w:rsidRDefault="00C91CB2" w:rsidP="00C91CB2">
      <w:pPr>
        <w:pStyle w:val="berschrift1"/>
        <w:rPr>
          <w:rFonts w:ascii="Times New Roman" w:hAnsi="Times New Roman"/>
          <w:b/>
          <w:bCs/>
          <w:color w:val="auto"/>
          <w:sz w:val="36"/>
          <w:szCs w:val="36"/>
        </w:rPr>
      </w:pPr>
      <w:r w:rsidRPr="00DD45BE">
        <w:rPr>
          <w:rFonts w:ascii="Times New Roman" w:hAnsi="Times New Roman"/>
          <w:b/>
          <w:bCs/>
          <w:color w:val="auto"/>
          <w:sz w:val="36"/>
          <w:szCs w:val="36"/>
        </w:rPr>
        <w:t>Deuteronomium 10,19</w:t>
      </w:r>
    </w:p>
    <w:p w14:paraId="2B3B6B7A" w14:textId="77777777" w:rsidR="00C91CB2" w:rsidRDefault="00C91CB2" w:rsidP="00C91CB2">
      <w:pPr>
        <w:pStyle w:val="whitespace-normal"/>
      </w:pPr>
      <w:r>
        <w:rPr>
          <w:rStyle w:val="Fett"/>
          <w:rFonts w:eastAsiaTheme="majorEastAsia"/>
        </w:rPr>
        <w:t>Hebräisch:</w:t>
      </w:r>
      <w:r>
        <w:t xml:space="preserve"> </w:t>
      </w:r>
      <w:r>
        <w:rPr>
          <w:rtl/>
        </w:rPr>
        <w:t>וַאֲהַבְתֶּ֖ם אֶת־הַגֵּ֑ר כִּֽי־גֵרִ֥ים הֱיִיתֶ֖ם בְּאֶ֥רֶץ מִצְרָֽיִם׃</w:t>
      </w:r>
    </w:p>
    <w:p w14:paraId="2196DF38" w14:textId="77777777" w:rsidR="00C91CB2" w:rsidRDefault="00C91CB2" w:rsidP="00C91CB2">
      <w:pPr>
        <w:pStyle w:val="whitespace-normal"/>
      </w:pPr>
      <w:r>
        <w:rPr>
          <w:rStyle w:val="Fett"/>
          <w:rFonts w:eastAsiaTheme="majorEastAsia"/>
        </w:rPr>
        <w:t>Deutsch:</w:t>
      </w:r>
      <w:r>
        <w:t xml:space="preserve"> Auch ihr sollt den Fremden lieben; denn ihr seid Fremde gewesen im Land Mizrajim.</w:t>
      </w:r>
    </w:p>
    <w:p w14:paraId="33FE2E27" w14:textId="77777777" w:rsidR="00C91CB2" w:rsidRDefault="004F5CEB" w:rsidP="00C91CB2">
      <w:r>
        <w:rPr>
          <w:noProof/>
        </w:rPr>
        <w:pict w14:anchorId="5FADBA3A">
          <v:rect id="_x0000_i1337" style="width:0;height:1.5pt" o:hralign="center" o:hrstd="t" o:hr="t" fillcolor="#a0a0a0" stroked="f"/>
        </w:pict>
      </w:r>
    </w:p>
    <w:p w14:paraId="393D5A98" w14:textId="77777777" w:rsidR="00C91CB2" w:rsidRDefault="00C91CB2" w:rsidP="00C91CB2">
      <w:pPr>
        <w:pStyle w:val="whitespace-normal"/>
      </w:pPr>
      <w:r>
        <w:rPr>
          <w:rStyle w:val="Fett"/>
          <w:rFonts w:eastAsiaTheme="majorEastAsia"/>
        </w:rPr>
        <w:t>Kommentar:</w:t>
      </w:r>
      <w:r>
        <w:t xml:space="preserve"> </w:t>
      </w:r>
      <w:r>
        <w:rPr>
          <w:rStyle w:val="Fett"/>
          <w:rFonts w:eastAsiaTheme="majorEastAsia"/>
          <w:rtl/>
        </w:rPr>
        <w:t>וַאֲהַבְתֶּם</w:t>
      </w:r>
      <w:r>
        <w:rPr>
          <w:rtl/>
        </w:rPr>
        <w:t xml:space="preserve"> </w:t>
      </w:r>
      <w:r>
        <w:t xml:space="preserve">ist Qal Perfekt, 2. Person Maskulinum Plural von </w:t>
      </w:r>
      <w:r>
        <w:rPr>
          <w:rStyle w:val="Fett"/>
          <w:rFonts w:eastAsiaTheme="majorEastAsia"/>
          <w:rtl/>
        </w:rPr>
        <w:t>אהב</w:t>
      </w:r>
      <w:r>
        <w:rPr>
          <w:rtl/>
        </w:rPr>
        <w:t xml:space="preserve"> </w:t>
      </w:r>
      <w:r>
        <w:t xml:space="preserve">(„lieben") mit </w:t>
      </w:r>
      <w:r>
        <w:rPr>
          <w:rStyle w:val="Fett"/>
          <w:rFonts w:eastAsiaTheme="majorEastAsia"/>
        </w:rPr>
        <w:t>Waw</w:t>
      </w:r>
      <w:r>
        <w:t xml:space="preserve"> copulativum, das hier konsequent-imperativisch verstanden wird („so sollt auch ihr lieben"). Die Perfektform fungiert als Imperativ und drückt die ethische Konsequenz aus der Beschreibung Gottes in den vorhergehenden Versen aus. </w:t>
      </w:r>
      <w:r>
        <w:rPr>
          <w:rStyle w:val="Fett"/>
          <w:rFonts w:eastAsiaTheme="majorEastAsia"/>
          <w:rtl/>
        </w:rPr>
        <w:t>אֶת־הַגֵּר</w:t>
      </w:r>
      <w:r>
        <w:rPr>
          <w:rtl/>
        </w:rPr>
        <w:t xml:space="preserve"> </w:t>
      </w:r>
      <w:r>
        <w:t xml:space="preserve">besteht aus der Objektpartikel </w:t>
      </w:r>
      <w:r>
        <w:rPr>
          <w:rStyle w:val="Fett"/>
          <w:rFonts w:eastAsiaTheme="majorEastAsia"/>
          <w:rtl/>
        </w:rPr>
        <w:t>אֵת</w:t>
      </w:r>
      <w:r>
        <w:rPr>
          <w:rtl/>
        </w:rPr>
        <w:t xml:space="preserve"> </w:t>
      </w:r>
      <w:r>
        <w:t xml:space="preserve">und </w:t>
      </w:r>
      <w:r>
        <w:rPr>
          <w:rStyle w:val="Fett"/>
          <w:rFonts w:eastAsiaTheme="majorEastAsia"/>
          <w:rtl/>
        </w:rPr>
        <w:t>הַגֵּר</w:t>
      </w:r>
      <w:r>
        <w:rPr>
          <w:rtl/>
        </w:rPr>
        <w:t xml:space="preserve"> </w:t>
      </w:r>
      <w:r>
        <w:t xml:space="preserve">(Artikel mit </w:t>
      </w:r>
      <w:r>
        <w:rPr>
          <w:rStyle w:val="Fett"/>
          <w:rFonts w:eastAsiaTheme="majorEastAsia"/>
          <w:rtl/>
        </w:rPr>
        <w:t>גֵּר</w:t>
      </w:r>
      <w:r>
        <w:t>, „der Fremde"), was den Fremden als definiertes und bestimmtes Objekt der Liebe markiert.</w:t>
      </w:r>
    </w:p>
    <w:p w14:paraId="01C95D8D" w14:textId="77777777" w:rsidR="00C91CB2" w:rsidRDefault="00C91CB2" w:rsidP="00C91CB2">
      <w:pPr>
        <w:pStyle w:val="whitespace-normal"/>
      </w:pPr>
      <w:r>
        <w:rPr>
          <w:rStyle w:val="Fett"/>
          <w:rFonts w:eastAsiaTheme="majorEastAsia"/>
          <w:rtl/>
        </w:rPr>
        <w:t>כִּי־גֵרִים הֱיִיתֶם בְּאֶרֶץ מִצְרָיִם</w:t>
      </w:r>
      <w:r>
        <w:rPr>
          <w:rtl/>
        </w:rPr>
        <w:t xml:space="preserve"> </w:t>
      </w:r>
      <w:r>
        <w:t xml:space="preserve">ist ein kausaler Nebensatz, eingeleitet durch </w:t>
      </w:r>
      <w:r>
        <w:rPr>
          <w:rStyle w:val="Fett"/>
          <w:rFonts w:eastAsiaTheme="majorEastAsia"/>
          <w:rtl/>
        </w:rPr>
        <w:t>כִּי</w:t>
      </w:r>
      <w:r>
        <w:rPr>
          <w:rtl/>
        </w:rPr>
        <w:t xml:space="preserve"> </w:t>
      </w:r>
      <w:r>
        <w:t xml:space="preserve">(„denn, weil"). </w:t>
      </w:r>
      <w:r>
        <w:rPr>
          <w:rStyle w:val="Fett"/>
          <w:rFonts w:eastAsiaTheme="majorEastAsia"/>
          <w:rtl/>
        </w:rPr>
        <w:t>גֵרִים</w:t>
      </w:r>
      <w:r>
        <w:rPr>
          <w:rtl/>
        </w:rPr>
        <w:t xml:space="preserve"> </w:t>
      </w:r>
      <w:r>
        <w:t xml:space="preserve">ist Plural von </w:t>
      </w:r>
      <w:r>
        <w:rPr>
          <w:rStyle w:val="Fett"/>
          <w:rFonts w:eastAsiaTheme="majorEastAsia"/>
          <w:rtl/>
        </w:rPr>
        <w:t>גֵּר</w:t>
      </w:r>
      <w:r>
        <w:rPr>
          <w:rtl/>
        </w:rPr>
        <w:t xml:space="preserve"> </w:t>
      </w:r>
      <w:r>
        <w:t xml:space="preserve">und fungiert hier als Prädikatsnomen. </w:t>
      </w:r>
      <w:r>
        <w:rPr>
          <w:rStyle w:val="Fett"/>
          <w:rFonts w:eastAsiaTheme="majorEastAsia"/>
          <w:rtl/>
        </w:rPr>
        <w:t>הֱיִיתֶם</w:t>
      </w:r>
      <w:r>
        <w:rPr>
          <w:rtl/>
        </w:rPr>
        <w:t xml:space="preserve"> </w:t>
      </w:r>
      <w:r>
        <w:t xml:space="preserve">ist Qal Perfekt, 2. Person Maskulinum Plural von </w:t>
      </w:r>
      <w:r>
        <w:rPr>
          <w:rStyle w:val="Fett"/>
          <w:rFonts w:eastAsiaTheme="majorEastAsia"/>
          <w:rtl/>
        </w:rPr>
        <w:t>היה</w:t>
      </w:r>
      <w:r>
        <w:rPr>
          <w:rtl/>
        </w:rPr>
        <w:t xml:space="preserve"> </w:t>
      </w:r>
      <w:r>
        <w:t xml:space="preserve">(„sein, werden"), das die vergangene Existenz ausdrückt. </w:t>
      </w:r>
      <w:r>
        <w:rPr>
          <w:rStyle w:val="Fett"/>
          <w:rFonts w:eastAsiaTheme="majorEastAsia"/>
          <w:rtl/>
        </w:rPr>
        <w:t>בְּאֶרֶץ מִצְרָיִם</w:t>
      </w:r>
      <w:r>
        <w:rPr>
          <w:rtl/>
        </w:rPr>
        <w:t xml:space="preserve"> </w:t>
      </w:r>
      <w:r>
        <w:t xml:space="preserve">ist eine lokale Bestimmung: </w:t>
      </w:r>
      <w:r>
        <w:rPr>
          <w:rStyle w:val="Fett"/>
          <w:rFonts w:eastAsiaTheme="majorEastAsia"/>
          <w:rtl/>
        </w:rPr>
        <w:t>בְּ</w:t>
      </w:r>
      <w:r>
        <w:rPr>
          <w:rtl/>
        </w:rPr>
        <w:t xml:space="preserve"> </w:t>
      </w:r>
      <w:r>
        <w:t xml:space="preserve">(„in") mit </w:t>
      </w:r>
      <w:r>
        <w:rPr>
          <w:rStyle w:val="Fett"/>
          <w:rFonts w:eastAsiaTheme="majorEastAsia"/>
          <w:rtl/>
        </w:rPr>
        <w:t>אֶרֶץ מִצְרָיִם</w:t>
      </w:r>
      <w:r>
        <w:rPr>
          <w:rtl/>
        </w:rPr>
        <w:t xml:space="preserve"> </w:t>
      </w:r>
      <w:r>
        <w:t xml:space="preserve">(„Land Ägypten"), wobei </w:t>
      </w:r>
      <w:r>
        <w:rPr>
          <w:rStyle w:val="Fett"/>
          <w:rFonts w:eastAsiaTheme="majorEastAsia"/>
          <w:rtl/>
        </w:rPr>
        <w:t>מִצְרַיִם</w:t>
      </w:r>
      <w:r>
        <w:rPr>
          <w:rtl/>
        </w:rPr>
        <w:t xml:space="preserve"> </w:t>
      </w:r>
      <w:r>
        <w:t>im Dual steht (wörtlich „die beiden Ägypten", Ober- und Unterägypten). Die Konstruktion erinnert an die Exoduserfahrung als Grundlage für die sozialethische Forderung.</w:t>
      </w:r>
    </w:p>
    <w:p w14:paraId="2516A604" w14:textId="77777777" w:rsidR="00C91CB2" w:rsidRDefault="00C91CB2" w:rsidP="00C91CB2">
      <w:pPr>
        <w:pStyle w:val="whitespace-normal"/>
      </w:pPr>
      <w:r>
        <w:t xml:space="preserve">Die Syntax zeigt eine klare Ursache-Wirkung-Beziehung: Israels eigene Erfahrung als Fremde soll ihr Verhalten gegenüber Fremden bestimmen. Das Verb </w:t>
      </w:r>
      <w:r>
        <w:rPr>
          <w:rStyle w:val="Fett"/>
          <w:rFonts w:eastAsiaTheme="majorEastAsia"/>
          <w:rtl/>
        </w:rPr>
        <w:t>אהב</w:t>
      </w:r>
      <w:r>
        <w:rPr>
          <w:rtl/>
        </w:rPr>
        <w:t xml:space="preserve"> </w:t>
      </w:r>
      <w:r>
        <w:t xml:space="preserve">erscheint in zwei Versen hintereinander: Erst wird Gottes Liebe zum Fremden beschrieben (V. 18), dann wird Israel aufgefordert, diese Liebe nachzuahmen (V. 19). Diese Verbindung schafft eine theologische Begründung für die Ethik: Imitatio Dei. Der Artikel bei </w:t>
      </w:r>
      <w:r>
        <w:rPr>
          <w:rStyle w:val="Fett"/>
          <w:rFonts w:eastAsiaTheme="majorEastAsia"/>
          <w:rtl/>
        </w:rPr>
        <w:t>הַגֵּר</w:t>
      </w:r>
      <w:r>
        <w:rPr>
          <w:rtl/>
        </w:rPr>
        <w:t xml:space="preserve"> </w:t>
      </w:r>
      <w:r>
        <w:t xml:space="preserve">zeigt, dass es sich um eine allgemeine Kategorie handelt, nicht um einen spezifischen Fremden. Die Verwendung von </w:t>
      </w:r>
      <w:r>
        <w:rPr>
          <w:rStyle w:val="Fett"/>
          <w:rFonts w:eastAsiaTheme="majorEastAsia"/>
          <w:rtl/>
        </w:rPr>
        <w:t>גֵרִים</w:t>
      </w:r>
      <w:r>
        <w:rPr>
          <w:rtl/>
        </w:rPr>
        <w:t xml:space="preserve"> </w:t>
      </w:r>
      <w:r>
        <w:t>im Plural betont, dass ganz Israel kollektiv die Fremderfahrung gemacht hat.</w:t>
      </w:r>
    </w:p>
    <w:p w14:paraId="70EBBF58" w14:textId="77777777" w:rsidR="00C91CB2" w:rsidRDefault="00C91CB2" w:rsidP="00C91CB2">
      <w:pPr>
        <w:pStyle w:val="whitespace-normal"/>
      </w:pPr>
      <w:r>
        <w:rPr>
          <w:rStyle w:val="Fett"/>
          <w:rFonts w:eastAsiaTheme="majorEastAsia"/>
        </w:rPr>
        <w:t>Die LXX</w:t>
      </w:r>
      <w:r>
        <w:t xml:space="preserve"> übersetzt „sollt lieben" mit „καὶ </w:t>
      </w:r>
      <w:proofErr w:type="spellStart"/>
      <w:r>
        <w:t>ἀγ</w:t>
      </w:r>
      <w:proofErr w:type="spellEnd"/>
      <w:r>
        <w:t>απήσετε" (Futur), was die imperative Kraft der Perfektform angemessen wiedergibt. „Fremde" wird mit „π</w:t>
      </w:r>
      <w:proofErr w:type="spellStart"/>
      <w:r>
        <w:t>ροσήλυτοι</w:t>
      </w:r>
      <w:proofErr w:type="spellEnd"/>
      <w:r>
        <w:t>" übersetzt, was im griechischen Kontext eine spezifischere Bedeutung („Proselyten") hat als das hebräische Wort.</w:t>
      </w:r>
    </w:p>
    <w:p w14:paraId="1F188649" w14:textId="77777777" w:rsidR="00C91CB2" w:rsidRDefault="00C91CB2" w:rsidP="00C91CB2">
      <w:pPr>
        <w:pStyle w:val="whitespace-normal"/>
      </w:pPr>
      <w:r>
        <w:lastRenderedPageBreak/>
        <w:t>Die Satzstruktur besteht aus einem Hauptsatz und einem kausalen Nebensatz: Der Hauptsatz enthält das Prädikat (sollt lieben) und das Objekt (den Fremden); der kausale Nebensatz hat als Prädikatsnomen (Fremde), Prädikat (seid gewesen) und lokale Bestimmung (im Land Ägypten).</w:t>
      </w:r>
    </w:p>
    <w:p w14:paraId="0AE466FB" w14:textId="77777777" w:rsidR="00C91CB2" w:rsidRDefault="00C91CB2" w:rsidP="00C91CB2">
      <w:pPr>
        <w:pStyle w:val="whitespace-normal"/>
      </w:pPr>
      <w:r>
        <w:t>Der Vers fordert Israel auf, die göttliche Liebe zu den Fremden nachzuahmen, begründet durch ihre eigene historische Erfahrung als Fremde in Ägypten.</w:t>
      </w:r>
    </w:p>
    <w:p w14:paraId="774F5118" w14:textId="77777777" w:rsidR="00C91CB2" w:rsidRPr="00DD45BE" w:rsidRDefault="00C91CB2" w:rsidP="00C91CB2">
      <w:pPr>
        <w:pStyle w:val="berschrift1"/>
        <w:rPr>
          <w:rFonts w:ascii="Times New Roman" w:hAnsi="Times New Roman"/>
          <w:b/>
          <w:bCs/>
          <w:color w:val="auto"/>
          <w:sz w:val="36"/>
          <w:szCs w:val="36"/>
        </w:rPr>
      </w:pPr>
      <w:r w:rsidRPr="00DD45BE">
        <w:rPr>
          <w:rFonts w:ascii="Times New Roman" w:hAnsi="Times New Roman"/>
          <w:b/>
          <w:bCs/>
          <w:color w:val="auto"/>
          <w:sz w:val="36"/>
          <w:szCs w:val="36"/>
        </w:rPr>
        <w:t>Deuteronomium 10,20</w:t>
      </w:r>
    </w:p>
    <w:p w14:paraId="38E7027A" w14:textId="77777777" w:rsidR="00C91CB2" w:rsidRDefault="00C91CB2" w:rsidP="00C91CB2">
      <w:pPr>
        <w:pStyle w:val="whitespace-normal"/>
      </w:pPr>
      <w:r>
        <w:rPr>
          <w:rStyle w:val="Fett"/>
          <w:rFonts w:eastAsiaTheme="majorEastAsia"/>
        </w:rPr>
        <w:t>Hebräisch:</w:t>
      </w:r>
      <w:r>
        <w:t xml:space="preserve"> </w:t>
      </w:r>
      <w:r>
        <w:rPr>
          <w:rtl/>
        </w:rPr>
        <w:t>אֶת־יְהוָ֧ה אֱלֹהֶ֛יךָ תִּירָ֖א אֹתוֹ֣ תַעֲבֹ֑ד וּבוֹ֣ תִדְבָּ֔ק וּבִשְׁמֹ֖ו תִּשָּׁבֵֽעַ׃</w:t>
      </w:r>
    </w:p>
    <w:p w14:paraId="1156C66F" w14:textId="77777777" w:rsidR="00C91CB2" w:rsidRDefault="00C91CB2" w:rsidP="00C91CB2">
      <w:pPr>
        <w:pStyle w:val="whitespace-normal"/>
      </w:pPr>
      <w:r>
        <w:rPr>
          <w:rStyle w:val="Fett"/>
          <w:rFonts w:eastAsiaTheme="majorEastAsia"/>
        </w:rPr>
        <w:t>Deutsch:</w:t>
      </w:r>
      <w:r>
        <w:t xml:space="preserve"> Den Ewigen, deinen Gott, sollst du fürchten, ihm sollst du dienen und ihm anhängen, und bei seinem Namen sollst du schwören.</w:t>
      </w:r>
    </w:p>
    <w:p w14:paraId="49074812" w14:textId="77777777" w:rsidR="00C91CB2" w:rsidRDefault="004F5CEB" w:rsidP="00C91CB2">
      <w:r>
        <w:rPr>
          <w:noProof/>
        </w:rPr>
        <w:pict w14:anchorId="26CE2AFF">
          <v:rect id="_x0000_i1338" style="width:0;height:1.5pt" o:hralign="center" o:hrstd="t" o:hr="t" fillcolor="#a0a0a0" stroked="f"/>
        </w:pict>
      </w:r>
    </w:p>
    <w:p w14:paraId="3764B9C6" w14:textId="77777777" w:rsidR="00C91CB2" w:rsidRDefault="00C91CB2" w:rsidP="00C91CB2">
      <w:pPr>
        <w:pStyle w:val="whitespace-normal"/>
      </w:pPr>
      <w:r>
        <w:rPr>
          <w:rStyle w:val="Fett"/>
          <w:rFonts w:eastAsiaTheme="majorEastAsia"/>
        </w:rPr>
        <w:t>Kommentar:</w:t>
      </w:r>
      <w:r>
        <w:t xml:space="preserve"> </w:t>
      </w:r>
      <w:r>
        <w:rPr>
          <w:rStyle w:val="Fett"/>
          <w:rFonts w:eastAsiaTheme="majorEastAsia"/>
          <w:rtl/>
        </w:rPr>
        <w:t>אֶת־יְהוָה אֱלֹהֶיךָ</w:t>
      </w:r>
      <w:r>
        <w:rPr>
          <w:rtl/>
        </w:rPr>
        <w:t xml:space="preserve"> </w:t>
      </w:r>
      <w:r>
        <w:t xml:space="preserve">ist ein vorangestelltes Objekt, bestehend aus der Objektpartikel </w:t>
      </w:r>
      <w:r>
        <w:rPr>
          <w:rStyle w:val="Fett"/>
          <w:rFonts w:eastAsiaTheme="majorEastAsia"/>
          <w:rtl/>
        </w:rPr>
        <w:t>אֵת</w:t>
      </w:r>
      <w:r>
        <w:t xml:space="preserve">, dem Tetragramm und der Apposition </w:t>
      </w:r>
      <w:r>
        <w:rPr>
          <w:rStyle w:val="Fett"/>
          <w:rFonts w:eastAsiaTheme="majorEastAsia"/>
          <w:rtl/>
        </w:rPr>
        <w:t>אֱלֹהֶיךָ</w:t>
      </w:r>
      <w:r>
        <w:rPr>
          <w:rtl/>
        </w:rPr>
        <w:t xml:space="preserve"> </w:t>
      </w:r>
      <w:r>
        <w:t xml:space="preserve">(Plural von </w:t>
      </w:r>
      <w:r>
        <w:rPr>
          <w:rStyle w:val="Fett"/>
          <w:rFonts w:eastAsiaTheme="majorEastAsia"/>
          <w:rtl/>
        </w:rPr>
        <w:t>אֱלֹהִים</w:t>
      </w:r>
      <w:r>
        <w:rPr>
          <w:rtl/>
        </w:rPr>
        <w:t xml:space="preserve"> </w:t>
      </w:r>
      <w:r>
        <w:t xml:space="preserve">mit Suffix 2. Person Maskulinum Singular). Die Voranstellung des Objekts betont JHWH als ausschließliches Objekt der folgenden Verben. </w:t>
      </w:r>
      <w:r>
        <w:rPr>
          <w:rStyle w:val="Fett"/>
          <w:rFonts w:eastAsiaTheme="majorEastAsia"/>
          <w:rtl/>
        </w:rPr>
        <w:t>תִּירָא</w:t>
      </w:r>
      <w:r>
        <w:rPr>
          <w:rtl/>
        </w:rPr>
        <w:t xml:space="preserve"> </w:t>
      </w:r>
      <w:r>
        <w:t xml:space="preserve">ist Qal Imperfekt, 2. Person Maskulinum Singular von </w:t>
      </w:r>
      <w:r>
        <w:rPr>
          <w:rStyle w:val="Fett"/>
          <w:rFonts w:eastAsiaTheme="majorEastAsia"/>
          <w:rtl/>
        </w:rPr>
        <w:t>ירא</w:t>
      </w:r>
      <w:r>
        <w:rPr>
          <w:rtl/>
        </w:rPr>
        <w:t xml:space="preserve"> </w:t>
      </w:r>
      <w:r>
        <w:t>(„fürchten"), das hier imperativisch verstanden wird. Die Gottesfurcht ist der erste und grundlegende Aspekt der Beziehung zu Gott.</w:t>
      </w:r>
    </w:p>
    <w:p w14:paraId="2E37B59A" w14:textId="77777777" w:rsidR="00C91CB2" w:rsidRDefault="00C91CB2" w:rsidP="00C91CB2">
      <w:pPr>
        <w:pStyle w:val="whitespace-normal"/>
      </w:pPr>
      <w:r>
        <w:rPr>
          <w:rStyle w:val="Fett"/>
          <w:rFonts w:eastAsiaTheme="majorEastAsia"/>
          <w:rtl/>
        </w:rPr>
        <w:t>אֹתוֹ תַעֲבֹד</w:t>
      </w:r>
      <w:r>
        <w:rPr>
          <w:rtl/>
        </w:rPr>
        <w:t xml:space="preserve"> </w:t>
      </w:r>
      <w:r>
        <w:t xml:space="preserve">besteht aus </w:t>
      </w:r>
      <w:r>
        <w:rPr>
          <w:rStyle w:val="Fett"/>
          <w:rFonts w:eastAsiaTheme="majorEastAsia"/>
          <w:rtl/>
        </w:rPr>
        <w:t>אֹתוֹ</w:t>
      </w:r>
      <w:r>
        <w:rPr>
          <w:rtl/>
        </w:rPr>
        <w:t xml:space="preserve"> </w:t>
      </w:r>
      <w:r>
        <w:t xml:space="preserve">(Objektpartikel </w:t>
      </w:r>
      <w:r>
        <w:rPr>
          <w:rStyle w:val="Fett"/>
          <w:rFonts w:eastAsiaTheme="majorEastAsia"/>
          <w:rtl/>
        </w:rPr>
        <w:t>אֵת</w:t>
      </w:r>
      <w:r>
        <w:rPr>
          <w:rtl/>
        </w:rPr>
        <w:t xml:space="preserve"> </w:t>
      </w:r>
      <w:r>
        <w:t xml:space="preserve">mit Suffix 3. Person Maskulinum Singular, rückverweisend auf JHWH) und </w:t>
      </w:r>
      <w:r>
        <w:rPr>
          <w:rStyle w:val="Fett"/>
          <w:rFonts w:eastAsiaTheme="majorEastAsia"/>
          <w:rtl/>
        </w:rPr>
        <w:t>תַעֲבֹד</w:t>
      </w:r>
      <w:r>
        <w:rPr>
          <w:rtl/>
        </w:rPr>
        <w:t xml:space="preserve"> </w:t>
      </w:r>
      <w:r>
        <w:t xml:space="preserve">(Qal Imperfekt, 2. Person Maskulinum Singular von </w:t>
      </w:r>
      <w:r>
        <w:rPr>
          <w:rStyle w:val="Fett"/>
          <w:rFonts w:eastAsiaTheme="majorEastAsia"/>
          <w:rtl/>
        </w:rPr>
        <w:t>עבד</w:t>
      </w:r>
      <w:r>
        <w:t xml:space="preserve">, „dienen, arbeiten"), das ebenfalls imperativisch verstanden wird. Das wiederholte Objekt durch </w:t>
      </w:r>
      <w:r>
        <w:rPr>
          <w:rStyle w:val="Fett"/>
          <w:rFonts w:eastAsiaTheme="majorEastAsia"/>
          <w:rtl/>
        </w:rPr>
        <w:t>אֹתוֹ</w:t>
      </w:r>
      <w:r>
        <w:rPr>
          <w:rtl/>
        </w:rPr>
        <w:t xml:space="preserve"> </w:t>
      </w:r>
      <w:r>
        <w:t>verstärkt die Ausschließlichkeit des Dienstes.</w:t>
      </w:r>
    </w:p>
    <w:p w14:paraId="2A3E922A" w14:textId="77777777" w:rsidR="00C91CB2" w:rsidRDefault="00C91CB2" w:rsidP="00C91CB2">
      <w:pPr>
        <w:pStyle w:val="whitespace-normal"/>
      </w:pPr>
      <w:r>
        <w:rPr>
          <w:rStyle w:val="Fett"/>
          <w:rFonts w:eastAsiaTheme="majorEastAsia"/>
          <w:rtl/>
        </w:rPr>
        <w:t>וּבוֹ תִדְבָּק</w:t>
      </w:r>
      <w:r>
        <w:rPr>
          <w:rtl/>
        </w:rPr>
        <w:t xml:space="preserve"> </w:t>
      </w:r>
      <w:r>
        <w:t xml:space="preserve">besteht aus </w:t>
      </w:r>
      <w:r>
        <w:rPr>
          <w:rStyle w:val="Fett"/>
          <w:rFonts w:eastAsiaTheme="majorEastAsia"/>
        </w:rPr>
        <w:t>Waw</w:t>
      </w:r>
      <w:r>
        <w:t xml:space="preserve">, der Präposition </w:t>
      </w:r>
      <w:r>
        <w:rPr>
          <w:rStyle w:val="Fett"/>
          <w:rFonts w:eastAsiaTheme="majorEastAsia"/>
          <w:rtl/>
        </w:rPr>
        <w:t>בְּ</w:t>
      </w:r>
      <w:r>
        <w:rPr>
          <w:rtl/>
        </w:rPr>
        <w:t xml:space="preserve"> </w:t>
      </w:r>
      <w:r>
        <w:t xml:space="preserve">mit Suffix 3. Person Maskulinum Singular („an ihm") und </w:t>
      </w:r>
      <w:r>
        <w:rPr>
          <w:rStyle w:val="Fett"/>
          <w:rFonts w:eastAsiaTheme="majorEastAsia"/>
          <w:rtl/>
        </w:rPr>
        <w:t>תִדְבָּק</w:t>
      </w:r>
      <w:r>
        <w:rPr>
          <w:rtl/>
        </w:rPr>
        <w:t xml:space="preserve"> </w:t>
      </w:r>
      <w:r>
        <w:t xml:space="preserve">(Qal Imperfekt, 2. Person Maskulinum Singular von </w:t>
      </w:r>
      <w:r>
        <w:rPr>
          <w:rStyle w:val="Fett"/>
          <w:rFonts w:eastAsiaTheme="majorEastAsia"/>
          <w:rtl/>
        </w:rPr>
        <w:t>דבק</w:t>
      </w:r>
      <w:r>
        <w:t xml:space="preserve">, „anhaften, anhängen, fest verbunden sein"). Das Verb </w:t>
      </w:r>
      <w:r>
        <w:rPr>
          <w:rStyle w:val="Fett"/>
          <w:rFonts w:eastAsiaTheme="majorEastAsia"/>
          <w:rtl/>
        </w:rPr>
        <w:t>דבק</w:t>
      </w:r>
      <w:r>
        <w:rPr>
          <w:rtl/>
        </w:rPr>
        <w:t xml:space="preserve"> </w:t>
      </w:r>
      <w:r>
        <w:t xml:space="preserve">drückt intensive Verbundenheit und Loyalität aus. </w:t>
      </w:r>
      <w:r>
        <w:rPr>
          <w:rStyle w:val="Fett"/>
          <w:rFonts w:eastAsiaTheme="majorEastAsia"/>
          <w:rtl/>
        </w:rPr>
        <w:t>וּבִשְׁמוֹ תִּשָּׁבֵעַ</w:t>
      </w:r>
      <w:r>
        <w:rPr>
          <w:rtl/>
        </w:rPr>
        <w:t xml:space="preserve"> </w:t>
      </w:r>
      <w:r>
        <w:t xml:space="preserve">ist parallel konstruiert: </w:t>
      </w:r>
      <w:r>
        <w:rPr>
          <w:rStyle w:val="Fett"/>
          <w:rFonts w:eastAsiaTheme="majorEastAsia"/>
        </w:rPr>
        <w:t>Waw</w:t>
      </w:r>
      <w:r>
        <w:t xml:space="preserve"> mit </w:t>
      </w:r>
      <w:r>
        <w:rPr>
          <w:rStyle w:val="Fett"/>
          <w:rFonts w:eastAsiaTheme="majorEastAsia"/>
          <w:rtl/>
        </w:rPr>
        <w:t>בְּ</w:t>
      </w:r>
      <w:r>
        <w:rPr>
          <w:rtl/>
        </w:rPr>
        <w:t xml:space="preserve"> </w:t>
      </w:r>
      <w:r>
        <w:t xml:space="preserve">und </w:t>
      </w:r>
      <w:r>
        <w:rPr>
          <w:rStyle w:val="Fett"/>
          <w:rFonts w:eastAsiaTheme="majorEastAsia"/>
          <w:rtl/>
        </w:rPr>
        <w:t>שֵׁם</w:t>
      </w:r>
      <w:r>
        <w:rPr>
          <w:rtl/>
        </w:rPr>
        <w:t xml:space="preserve"> </w:t>
      </w:r>
      <w:r>
        <w:t xml:space="preserve">(„Name") mit Suffix 3. Person Maskulinum Singular („bei/in seinem Namen") und </w:t>
      </w:r>
      <w:r>
        <w:rPr>
          <w:rStyle w:val="Fett"/>
          <w:rFonts w:eastAsiaTheme="majorEastAsia"/>
          <w:rtl/>
        </w:rPr>
        <w:t>תִּשָּׁבֵעַ</w:t>
      </w:r>
      <w:r>
        <w:rPr>
          <w:rtl/>
        </w:rPr>
        <w:t xml:space="preserve"> </w:t>
      </w:r>
      <w:r>
        <w:t xml:space="preserve">(Niphal Imperfekt, 2. Person Maskulinum Singular von </w:t>
      </w:r>
      <w:r>
        <w:rPr>
          <w:rStyle w:val="Fett"/>
          <w:rFonts w:eastAsiaTheme="majorEastAsia"/>
          <w:rtl/>
        </w:rPr>
        <w:t>שׁבע</w:t>
      </w:r>
      <w:r>
        <w:t>, „schwören"). Die Niphal-Form hat reflexive Bedeutung („sich verpflichten durch einen Eid"). Das Schwören beim Namen JHWH setzt die Anerkennung seiner alleinigen Autorität voraus.</w:t>
      </w:r>
    </w:p>
    <w:p w14:paraId="3D7A1818" w14:textId="77777777" w:rsidR="00C91CB2" w:rsidRDefault="00C91CB2" w:rsidP="00C91CB2">
      <w:pPr>
        <w:pStyle w:val="whitespace-normal"/>
      </w:pPr>
      <w:r>
        <w:t xml:space="preserve">Die vier Verben bilden eine Klimax der Gottesbeziehung: Furcht (innere Haltung), Dienst (äußeres Handeln), Anhänglichkeit (beständige Bindung) und Schwur (öffentliche Verpflichtung). Die ersten beiden Verben haben ein direktes Objekt, die letzten beiden verwenden Präpositionalphrasen. Die Struktur zeigt eine Bewegung von der inneren Haltung zur äußeren Manifestation. Die Präposition </w:t>
      </w:r>
      <w:r>
        <w:rPr>
          <w:rStyle w:val="Fett"/>
          <w:rFonts w:eastAsiaTheme="majorEastAsia"/>
          <w:rtl/>
        </w:rPr>
        <w:t>בְּ</w:t>
      </w:r>
      <w:r>
        <w:rPr>
          <w:rtl/>
        </w:rPr>
        <w:t xml:space="preserve"> </w:t>
      </w:r>
      <w:r>
        <w:t>wird zweimal verwendet, jedoch mit unterschiedlicher Bedeutung: lokal-personal bei „an ihm" und instrumental bei „bei seinem Namen".</w:t>
      </w:r>
    </w:p>
    <w:p w14:paraId="0FFB2B76" w14:textId="77777777" w:rsidR="00C91CB2" w:rsidRDefault="00C91CB2" w:rsidP="00C91CB2">
      <w:pPr>
        <w:pStyle w:val="whitespace-normal"/>
      </w:pPr>
      <w:r>
        <w:rPr>
          <w:rStyle w:val="Fett"/>
          <w:rFonts w:eastAsiaTheme="majorEastAsia"/>
        </w:rPr>
        <w:lastRenderedPageBreak/>
        <w:t>Die LXX</w:t>
      </w:r>
      <w:r>
        <w:t xml:space="preserve"> übersetzt „fürchten" mit „</w:t>
      </w:r>
      <w:proofErr w:type="spellStart"/>
      <w:r>
        <w:t>φο</w:t>
      </w:r>
      <w:proofErr w:type="spellEnd"/>
      <w:r>
        <w:t>βηθήσῃ" (Futur Passiv), „dienen" mit „λα</w:t>
      </w:r>
      <w:proofErr w:type="spellStart"/>
      <w:r>
        <w:t>τρεύσεις</w:t>
      </w:r>
      <w:proofErr w:type="spellEnd"/>
      <w:r>
        <w:t>" (Futur), „anhängen" mit „</w:t>
      </w:r>
      <w:proofErr w:type="spellStart"/>
      <w:r>
        <w:t>κολληθήσῃ</w:t>
      </w:r>
      <w:proofErr w:type="spellEnd"/>
      <w:r>
        <w:t>" (Futur Passiv) und „schwören" mit „</w:t>
      </w:r>
      <w:proofErr w:type="spellStart"/>
      <w:r>
        <w:t>ὀμεῖ</w:t>
      </w:r>
      <w:proofErr w:type="spellEnd"/>
      <w:r>
        <w:t xml:space="preserve">" (Futur), wobei alle Verben als </w:t>
      </w:r>
      <w:proofErr w:type="spellStart"/>
      <w:r>
        <w:t>Futurformen</w:t>
      </w:r>
      <w:proofErr w:type="spellEnd"/>
      <w:r>
        <w:t xml:space="preserve"> wiedergegeben werden, was die imperativische Kraft der Imperfektformen angemessen ausdrückt.</w:t>
      </w:r>
    </w:p>
    <w:p w14:paraId="31BF0012" w14:textId="77777777" w:rsidR="00C91CB2" w:rsidRDefault="00C91CB2" w:rsidP="00C91CB2">
      <w:pPr>
        <w:pStyle w:val="whitespace-normal"/>
      </w:pPr>
      <w:r>
        <w:t>Die Satzstruktur besteht aus einem komplexen Hauptsatz mit vier koordinierten Prädikaten: Ein vorangestelltes Objekt (JHWH, deinen Gott) wird durch vier Verben regiert: (1) Prädikat (sollst fürchten); (2) wiederholtes Objekt (ihn) mit Prädikat (sollst dienen); (3) präpositionales Objekt (an ihm) mit Prädikat (anhängen); (4) präpositionale Bestimmung (bei seinem Namen) mit Prädikat (sollst schwören).</w:t>
      </w:r>
    </w:p>
    <w:p w14:paraId="077280D8" w14:textId="77777777" w:rsidR="00C91CB2" w:rsidRDefault="00C91CB2" w:rsidP="00C91CB2">
      <w:pPr>
        <w:pStyle w:val="whitespace-normal"/>
      </w:pPr>
      <w:r>
        <w:t>Der Vers fasst die grundlegenden Pflichten Israels gegenüber JHWH zusammen: Ehrfurcht, Dienst, Treue und öffentliches Bekenntnis zu ihm allein.</w:t>
      </w:r>
    </w:p>
    <w:p w14:paraId="4EC58AD3" w14:textId="77777777" w:rsidR="00C91CB2" w:rsidRPr="00DD45BE" w:rsidRDefault="00C91CB2" w:rsidP="00C91CB2">
      <w:pPr>
        <w:pStyle w:val="berschrift1"/>
        <w:rPr>
          <w:rFonts w:ascii="Times New Roman" w:hAnsi="Times New Roman"/>
          <w:b/>
          <w:bCs/>
          <w:color w:val="auto"/>
          <w:sz w:val="36"/>
          <w:szCs w:val="36"/>
        </w:rPr>
      </w:pPr>
      <w:r w:rsidRPr="00DD45BE">
        <w:rPr>
          <w:rFonts w:ascii="Times New Roman" w:hAnsi="Times New Roman"/>
          <w:b/>
          <w:bCs/>
          <w:color w:val="auto"/>
          <w:sz w:val="36"/>
          <w:szCs w:val="36"/>
        </w:rPr>
        <w:t>Deuteronomium 10,21</w:t>
      </w:r>
    </w:p>
    <w:p w14:paraId="0B6BAEE0" w14:textId="77777777" w:rsidR="00C91CB2" w:rsidRDefault="00C91CB2" w:rsidP="00C91CB2">
      <w:pPr>
        <w:pStyle w:val="whitespace-normal"/>
      </w:pPr>
      <w:r>
        <w:rPr>
          <w:rStyle w:val="Fett"/>
          <w:rFonts w:eastAsiaTheme="majorEastAsia"/>
        </w:rPr>
        <w:t>Hebräisch:</w:t>
      </w:r>
      <w:r>
        <w:t xml:space="preserve"> </w:t>
      </w:r>
      <w:r>
        <w:rPr>
          <w:rtl/>
        </w:rPr>
        <w:t>ה֥וּא תְהִלָּתְךָ֖ וְה֣וּא אֱלֹהֶ֑יךָ אֲשֶׁר־עָשָׂ֣ה אִתְּךָ֗ אֶת־הַגְּדֹלֹ֤ת וְאֶת־הַנּֽוֹרָאֹת֙ הָאֵ֔לֶּה אֲשֶׁ֥ר רָא֖וּ עֵינֶֽיךָ׃</w:t>
      </w:r>
    </w:p>
    <w:p w14:paraId="3D208245" w14:textId="77777777" w:rsidR="00C91CB2" w:rsidRDefault="00C91CB2" w:rsidP="00C91CB2">
      <w:pPr>
        <w:pStyle w:val="whitespace-normal"/>
      </w:pPr>
      <w:r>
        <w:rPr>
          <w:rStyle w:val="Fett"/>
          <w:rFonts w:eastAsiaTheme="majorEastAsia"/>
        </w:rPr>
        <w:t>Deutsch:</w:t>
      </w:r>
      <w:r>
        <w:t xml:space="preserve"> Er ist dein Ruhm, und er ist dein Gott, der jene großen und furchtbaren Dinge an dir getan hat, die deine Augen gesehen haben.</w:t>
      </w:r>
    </w:p>
    <w:p w14:paraId="23326211" w14:textId="77777777" w:rsidR="00C91CB2" w:rsidRDefault="004F5CEB" w:rsidP="00C91CB2">
      <w:r>
        <w:rPr>
          <w:noProof/>
        </w:rPr>
        <w:pict w14:anchorId="4E545001">
          <v:rect id="_x0000_i1339" style="width:0;height:1.5pt" o:hralign="center" o:hrstd="t" o:hr="t" fillcolor="#a0a0a0" stroked="f"/>
        </w:pict>
      </w:r>
    </w:p>
    <w:p w14:paraId="5EE8E736" w14:textId="77777777" w:rsidR="00C91CB2" w:rsidRDefault="00C91CB2" w:rsidP="00C91CB2">
      <w:pPr>
        <w:pStyle w:val="whitespace-normal"/>
      </w:pPr>
      <w:r>
        <w:rPr>
          <w:rStyle w:val="Fett"/>
          <w:rFonts w:eastAsiaTheme="majorEastAsia"/>
        </w:rPr>
        <w:t>Kommentar:</w:t>
      </w:r>
      <w:r>
        <w:t xml:space="preserve"> </w:t>
      </w:r>
      <w:r>
        <w:rPr>
          <w:rStyle w:val="Fett"/>
          <w:rFonts w:eastAsiaTheme="majorEastAsia"/>
          <w:rtl/>
        </w:rPr>
        <w:t>הוּא תְהִלָּתְךָ</w:t>
      </w:r>
      <w:r>
        <w:rPr>
          <w:rtl/>
        </w:rPr>
        <w:t xml:space="preserve"> </w:t>
      </w:r>
      <w:r>
        <w:t xml:space="preserve">ist ein Nominalsatz mit </w:t>
      </w:r>
      <w:r>
        <w:rPr>
          <w:rStyle w:val="Fett"/>
          <w:rFonts w:eastAsiaTheme="majorEastAsia"/>
          <w:rtl/>
        </w:rPr>
        <w:t>הוּא</w:t>
      </w:r>
      <w:r>
        <w:rPr>
          <w:rtl/>
        </w:rPr>
        <w:t xml:space="preserve"> </w:t>
      </w:r>
      <w:r>
        <w:t xml:space="preserve">(Personalpronomen 3. Person Maskulinum Singular, „er") als Subjekt und </w:t>
      </w:r>
      <w:r>
        <w:rPr>
          <w:rStyle w:val="Fett"/>
          <w:rFonts w:eastAsiaTheme="majorEastAsia"/>
          <w:rtl/>
        </w:rPr>
        <w:t>תְהִלָּתְךָ</w:t>
      </w:r>
      <w:r>
        <w:rPr>
          <w:rtl/>
        </w:rPr>
        <w:t xml:space="preserve"> </w:t>
      </w:r>
      <w:r>
        <w:t xml:space="preserve">(feminin Singular von </w:t>
      </w:r>
      <w:r>
        <w:rPr>
          <w:rStyle w:val="Fett"/>
          <w:rFonts w:eastAsiaTheme="majorEastAsia"/>
          <w:rtl/>
        </w:rPr>
        <w:t>תְּהִלָּה</w:t>
      </w:r>
      <w:r>
        <w:t xml:space="preserve">, „Ruhm, Lobpreis", mit Suffix 2. Person Maskulinum Singular) als Prädikatsnomen. Die Konstruktion „er ist dein Ruhm" bedeutet, dass JHWH sowohl Grund als auch Gegenstand des Lobes ist. </w:t>
      </w:r>
      <w:r>
        <w:rPr>
          <w:rStyle w:val="Fett"/>
          <w:rFonts w:eastAsiaTheme="majorEastAsia"/>
          <w:rtl/>
        </w:rPr>
        <w:t>וְהוּא אֱלֹהֶיךָ</w:t>
      </w:r>
      <w:r>
        <w:rPr>
          <w:rtl/>
        </w:rPr>
        <w:t xml:space="preserve"> </w:t>
      </w:r>
      <w:r>
        <w:t xml:space="preserve">ist ein parallel konstruierter Nominalsatz: </w:t>
      </w:r>
      <w:r>
        <w:rPr>
          <w:rStyle w:val="Fett"/>
          <w:rFonts w:eastAsiaTheme="majorEastAsia"/>
        </w:rPr>
        <w:t>Waw</w:t>
      </w:r>
      <w:r>
        <w:t xml:space="preserve"> mit </w:t>
      </w:r>
      <w:r>
        <w:rPr>
          <w:rStyle w:val="Fett"/>
          <w:rFonts w:eastAsiaTheme="majorEastAsia"/>
          <w:rtl/>
        </w:rPr>
        <w:t>הוּא</w:t>
      </w:r>
      <w:r>
        <w:rPr>
          <w:rtl/>
        </w:rPr>
        <w:t xml:space="preserve"> </w:t>
      </w:r>
      <w:r>
        <w:t xml:space="preserve">und </w:t>
      </w:r>
      <w:r>
        <w:rPr>
          <w:rStyle w:val="Fett"/>
          <w:rFonts w:eastAsiaTheme="majorEastAsia"/>
          <w:rtl/>
        </w:rPr>
        <w:t>אֱלֹהֶיךָ</w:t>
      </w:r>
      <w:r>
        <w:rPr>
          <w:rtl/>
        </w:rPr>
        <w:t xml:space="preserve"> </w:t>
      </w:r>
      <w:r>
        <w:t xml:space="preserve">(Plural von </w:t>
      </w:r>
      <w:r>
        <w:rPr>
          <w:rStyle w:val="Fett"/>
          <w:rFonts w:eastAsiaTheme="majorEastAsia"/>
          <w:rtl/>
        </w:rPr>
        <w:t>אֱלֹהִים</w:t>
      </w:r>
      <w:r>
        <w:rPr>
          <w:rtl/>
        </w:rPr>
        <w:t xml:space="preserve"> </w:t>
      </w:r>
      <w:r>
        <w:t xml:space="preserve">mit Suffix 2. Person Maskulinum Singular). Die Wiederholung von </w:t>
      </w:r>
      <w:r>
        <w:rPr>
          <w:rStyle w:val="Fett"/>
          <w:rFonts w:eastAsiaTheme="majorEastAsia"/>
          <w:rtl/>
        </w:rPr>
        <w:t>הוּא</w:t>
      </w:r>
      <w:r>
        <w:rPr>
          <w:rtl/>
        </w:rPr>
        <w:t xml:space="preserve"> </w:t>
      </w:r>
      <w:r>
        <w:t>am Satzanfang betont die Identität und Einzigartigkeit JHWHs.</w:t>
      </w:r>
    </w:p>
    <w:p w14:paraId="27FAF5EF" w14:textId="77777777" w:rsidR="00C91CB2" w:rsidRDefault="00C91CB2" w:rsidP="00C91CB2">
      <w:pPr>
        <w:pStyle w:val="whitespace-normal"/>
      </w:pPr>
      <w:r>
        <w:rPr>
          <w:rStyle w:val="Fett"/>
          <w:rFonts w:eastAsiaTheme="majorEastAsia"/>
          <w:rtl/>
        </w:rPr>
        <w:t>אֲשֶׁר־עָשָׂה אִתְּךָ</w:t>
      </w:r>
      <w:r>
        <w:rPr>
          <w:rtl/>
        </w:rPr>
        <w:t xml:space="preserve"> </w:t>
      </w:r>
      <w:r>
        <w:t xml:space="preserve">leitet einen Relativsatz ein: </w:t>
      </w:r>
      <w:r>
        <w:rPr>
          <w:rStyle w:val="Fett"/>
          <w:rFonts w:eastAsiaTheme="majorEastAsia"/>
          <w:rtl/>
        </w:rPr>
        <w:t>אֲשֶׁר</w:t>
      </w:r>
      <w:r>
        <w:rPr>
          <w:rtl/>
        </w:rPr>
        <w:t xml:space="preserve"> </w:t>
      </w:r>
      <w:r>
        <w:t xml:space="preserve">(Relativpronomen) mit </w:t>
      </w:r>
      <w:r>
        <w:rPr>
          <w:rStyle w:val="Fett"/>
          <w:rFonts w:eastAsiaTheme="majorEastAsia"/>
          <w:rtl/>
        </w:rPr>
        <w:t>עָשָׂה</w:t>
      </w:r>
      <w:r>
        <w:rPr>
          <w:rtl/>
        </w:rPr>
        <w:t xml:space="preserve"> </w:t>
      </w:r>
      <w:r>
        <w:t xml:space="preserve">(Qal Perfekt, 3. Person Maskulinum Singular von </w:t>
      </w:r>
      <w:r>
        <w:rPr>
          <w:rStyle w:val="Fett"/>
          <w:rFonts w:eastAsiaTheme="majorEastAsia"/>
          <w:rtl/>
        </w:rPr>
        <w:t>עשׂה</w:t>
      </w:r>
      <w:r>
        <w:t xml:space="preserve">, „tun, machen") und </w:t>
      </w:r>
      <w:r>
        <w:rPr>
          <w:rStyle w:val="Fett"/>
          <w:rFonts w:eastAsiaTheme="majorEastAsia"/>
          <w:rtl/>
        </w:rPr>
        <w:t>אִתְּךָ</w:t>
      </w:r>
      <w:r>
        <w:rPr>
          <w:rtl/>
        </w:rPr>
        <w:t xml:space="preserve"> </w:t>
      </w:r>
      <w:r>
        <w:t xml:space="preserve">(Präposition </w:t>
      </w:r>
      <w:r>
        <w:rPr>
          <w:rStyle w:val="Fett"/>
          <w:rFonts w:eastAsiaTheme="majorEastAsia"/>
          <w:rtl/>
        </w:rPr>
        <w:t>אֵת</w:t>
      </w:r>
      <w:r>
        <w:t xml:space="preserve">, „mit", mit Suffix 2. Person Maskulinum Singular). Die Präposition </w:t>
      </w:r>
      <w:r>
        <w:rPr>
          <w:rStyle w:val="Fett"/>
          <w:rFonts w:eastAsiaTheme="majorEastAsia"/>
          <w:rtl/>
        </w:rPr>
        <w:t>אֵת</w:t>
      </w:r>
      <w:r>
        <w:rPr>
          <w:rtl/>
        </w:rPr>
        <w:t xml:space="preserve"> </w:t>
      </w:r>
      <w:r>
        <w:t xml:space="preserve">mit Personalsuffix drückt hier „an dir, für dich, mit dir" aus. </w:t>
      </w:r>
      <w:r>
        <w:rPr>
          <w:rStyle w:val="Fett"/>
          <w:rFonts w:eastAsiaTheme="majorEastAsia"/>
          <w:rtl/>
        </w:rPr>
        <w:t>אֶת־הַגְּדֹלֹת וְאֶת־הַנּוֹרָאֹת הָאֵלֶּה</w:t>
      </w:r>
      <w:r>
        <w:rPr>
          <w:rtl/>
        </w:rPr>
        <w:t xml:space="preserve"> </w:t>
      </w:r>
      <w:r>
        <w:t xml:space="preserve">besteht aus zwei Objekten mit der Objektpartikel </w:t>
      </w:r>
      <w:r>
        <w:rPr>
          <w:rStyle w:val="Fett"/>
          <w:rFonts w:eastAsiaTheme="majorEastAsia"/>
          <w:rtl/>
        </w:rPr>
        <w:t>אֵת</w:t>
      </w:r>
      <w:r>
        <w:t xml:space="preserve">: </w:t>
      </w:r>
      <w:r>
        <w:rPr>
          <w:rStyle w:val="Fett"/>
          <w:rFonts w:eastAsiaTheme="majorEastAsia"/>
          <w:rtl/>
        </w:rPr>
        <w:t>הַגְּדֹלֹת</w:t>
      </w:r>
      <w:r>
        <w:rPr>
          <w:rtl/>
        </w:rPr>
        <w:t xml:space="preserve"> </w:t>
      </w:r>
      <w:r>
        <w:t xml:space="preserve">(feminin Plural von </w:t>
      </w:r>
      <w:r>
        <w:rPr>
          <w:rStyle w:val="Fett"/>
          <w:rFonts w:eastAsiaTheme="majorEastAsia"/>
          <w:rtl/>
        </w:rPr>
        <w:t>גָּדוֹל</w:t>
      </w:r>
      <w:r>
        <w:t xml:space="preserve">, „groß", mit Artikel, „die großen Dinge") und </w:t>
      </w:r>
      <w:r>
        <w:rPr>
          <w:rStyle w:val="Fett"/>
          <w:rFonts w:eastAsiaTheme="majorEastAsia"/>
          <w:rtl/>
        </w:rPr>
        <w:t>הַנּוֹרָאֹת</w:t>
      </w:r>
      <w:r>
        <w:rPr>
          <w:rtl/>
        </w:rPr>
        <w:t xml:space="preserve"> </w:t>
      </w:r>
      <w:r>
        <w:t xml:space="preserve">(Niphal Partizip feminin Plural von </w:t>
      </w:r>
      <w:r>
        <w:rPr>
          <w:rStyle w:val="Fett"/>
          <w:rFonts w:eastAsiaTheme="majorEastAsia"/>
          <w:rtl/>
        </w:rPr>
        <w:t>ירא</w:t>
      </w:r>
      <w:r>
        <w:t xml:space="preserve">, „fürchten", mit Artikel, „die furchtbaren Dinge"), gefolgt von dem Demonstrativpronomen </w:t>
      </w:r>
      <w:r>
        <w:rPr>
          <w:rStyle w:val="Fett"/>
          <w:rFonts w:eastAsiaTheme="majorEastAsia"/>
          <w:rtl/>
        </w:rPr>
        <w:t>הָאֵלֶּה</w:t>
      </w:r>
      <w:r>
        <w:rPr>
          <w:rtl/>
        </w:rPr>
        <w:t xml:space="preserve"> </w:t>
      </w:r>
      <w:r>
        <w:t>(„diese"), das beide Substantive gemeinsam qualifiziert.</w:t>
      </w:r>
    </w:p>
    <w:p w14:paraId="61B99A34" w14:textId="77777777" w:rsidR="00C91CB2" w:rsidRDefault="00C91CB2" w:rsidP="00C91CB2">
      <w:pPr>
        <w:pStyle w:val="whitespace-normal"/>
      </w:pPr>
      <w:r>
        <w:rPr>
          <w:rStyle w:val="Fett"/>
          <w:rFonts w:eastAsiaTheme="majorEastAsia"/>
          <w:rtl/>
        </w:rPr>
        <w:t>אֲשֶׁר רָאוּ עֵינֶיךָ</w:t>
      </w:r>
      <w:r>
        <w:rPr>
          <w:rtl/>
        </w:rPr>
        <w:t xml:space="preserve"> </w:t>
      </w:r>
      <w:r>
        <w:t xml:space="preserve">ist ein zweiter Relativsatz: </w:t>
      </w:r>
      <w:r>
        <w:rPr>
          <w:rStyle w:val="Fett"/>
          <w:rFonts w:eastAsiaTheme="majorEastAsia"/>
          <w:rtl/>
        </w:rPr>
        <w:t>אֲשֶׁר</w:t>
      </w:r>
      <w:r>
        <w:rPr>
          <w:rtl/>
        </w:rPr>
        <w:t xml:space="preserve"> </w:t>
      </w:r>
      <w:r>
        <w:t xml:space="preserve">mit </w:t>
      </w:r>
      <w:r>
        <w:rPr>
          <w:rStyle w:val="Fett"/>
          <w:rFonts w:eastAsiaTheme="majorEastAsia"/>
          <w:rtl/>
        </w:rPr>
        <w:t>רָאוּ</w:t>
      </w:r>
      <w:r>
        <w:rPr>
          <w:rtl/>
        </w:rPr>
        <w:t xml:space="preserve"> </w:t>
      </w:r>
      <w:r>
        <w:t xml:space="preserve">(Qal Perfekt, 3. Person Plural von </w:t>
      </w:r>
      <w:r>
        <w:rPr>
          <w:rStyle w:val="Fett"/>
          <w:rFonts w:eastAsiaTheme="majorEastAsia"/>
          <w:rtl/>
        </w:rPr>
        <w:t>ראה</w:t>
      </w:r>
      <w:r>
        <w:t xml:space="preserve">, „sehen") und </w:t>
      </w:r>
      <w:r>
        <w:rPr>
          <w:rStyle w:val="Fett"/>
          <w:rFonts w:eastAsiaTheme="majorEastAsia"/>
          <w:rtl/>
        </w:rPr>
        <w:t>עֵינֶיךָ</w:t>
      </w:r>
      <w:r>
        <w:rPr>
          <w:rtl/>
        </w:rPr>
        <w:t xml:space="preserve"> </w:t>
      </w:r>
      <w:r>
        <w:t xml:space="preserve">(Dual von </w:t>
      </w:r>
      <w:r>
        <w:rPr>
          <w:rStyle w:val="Fett"/>
          <w:rFonts w:eastAsiaTheme="majorEastAsia"/>
          <w:rtl/>
        </w:rPr>
        <w:t>עַיִן</w:t>
      </w:r>
      <w:r>
        <w:t>, „Auge", mit Suffix 2. Person Maskulinum Singular). Der Dual betont die beiden Augen als Organpaar. Die Konstruktion unterstreicht, dass Israel Augenzeuge der göttlichen Taten war, was die Glaubwürdigkeit der Überlieferung stärkt.</w:t>
      </w:r>
    </w:p>
    <w:p w14:paraId="285DA890" w14:textId="77777777" w:rsidR="00C91CB2" w:rsidRDefault="00C91CB2" w:rsidP="00C91CB2">
      <w:pPr>
        <w:pStyle w:val="whitespace-normal"/>
      </w:pPr>
      <w:r>
        <w:t xml:space="preserve">Die Syntax zeigt eine doppelte Identifikation: JHWH ist sowohl Ruhm als auch Gott Israels. Die beiden Relativsätze konkretisieren, warum JHWH Ruhm ist: wegen seiner mächtigen </w:t>
      </w:r>
      <w:r>
        <w:lastRenderedPageBreak/>
        <w:t xml:space="preserve">Taten, die Israel selbst bezeugen kann. Die Attribute „groß" und „furchtbar" nehmen die Gottesbezeichnungen aus Vers 17 wieder auf. Die doppelte Verwendung der Objektpartikel </w:t>
      </w:r>
      <w:r>
        <w:rPr>
          <w:rStyle w:val="Fett"/>
          <w:rFonts w:eastAsiaTheme="majorEastAsia"/>
          <w:rtl/>
        </w:rPr>
        <w:t>אֵת</w:t>
      </w:r>
      <w:r>
        <w:rPr>
          <w:rtl/>
        </w:rPr>
        <w:t xml:space="preserve"> </w:t>
      </w:r>
      <w:r>
        <w:t>vor beiden Substantiven betont jedes einzeln.</w:t>
      </w:r>
    </w:p>
    <w:p w14:paraId="2C1876D4" w14:textId="77777777" w:rsidR="00C91CB2" w:rsidRDefault="00C91CB2" w:rsidP="00C91CB2">
      <w:pPr>
        <w:pStyle w:val="whitespace-normal"/>
      </w:pPr>
      <w:r>
        <w:rPr>
          <w:rStyle w:val="Fett"/>
          <w:rFonts w:eastAsiaTheme="majorEastAsia"/>
        </w:rPr>
        <w:t>Die LXX</w:t>
      </w:r>
      <w:r>
        <w:t xml:space="preserve"> übersetzt „er ist dein Ruhm" mit „</w:t>
      </w:r>
      <w:proofErr w:type="spellStart"/>
      <w:r>
        <w:t>οὗτος</w:t>
      </w:r>
      <w:proofErr w:type="spellEnd"/>
      <w:r>
        <w:t xml:space="preserve"> κα</w:t>
      </w:r>
      <w:proofErr w:type="spellStart"/>
      <w:r>
        <w:t>ύχημά</w:t>
      </w:r>
      <w:proofErr w:type="spellEnd"/>
      <w:r>
        <w:t xml:space="preserve"> </w:t>
      </w:r>
      <w:proofErr w:type="spellStart"/>
      <w:r>
        <w:t>σου</w:t>
      </w:r>
      <w:proofErr w:type="spellEnd"/>
      <w:r>
        <w:t>" („dieser ist dein Rühmen"), wobei das Demonstrativpronomen „</w:t>
      </w:r>
      <w:proofErr w:type="spellStart"/>
      <w:r>
        <w:t>οὗτος</w:t>
      </w:r>
      <w:proofErr w:type="spellEnd"/>
      <w:r>
        <w:t>" das hebräische Personalpronomen wiedergibt. „Die großen und furchtbaren Dinge" wird mit „</w:t>
      </w:r>
      <w:proofErr w:type="spellStart"/>
      <w:r>
        <w:t>τὰ</w:t>
      </w:r>
      <w:proofErr w:type="spellEnd"/>
      <w:r>
        <w:t xml:space="preserve"> </w:t>
      </w:r>
      <w:proofErr w:type="spellStart"/>
      <w:r>
        <w:t>μεγάλ</w:t>
      </w:r>
      <w:proofErr w:type="spellEnd"/>
      <w:r>
        <w:t xml:space="preserve">α καὶ </w:t>
      </w:r>
      <w:proofErr w:type="spellStart"/>
      <w:r>
        <w:t>τὰ</w:t>
      </w:r>
      <w:proofErr w:type="spellEnd"/>
      <w:r>
        <w:t xml:space="preserve"> </w:t>
      </w:r>
      <w:proofErr w:type="spellStart"/>
      <w:r>
        <w:t>ἔνδοξ</w:t>
      </w:r>
      <w:proofErr w:type="spellEnd"/>
      <w:r>
        <w:t>α" („die großen und ruhmreichen Dinge") übersetzt, wobei „furchtbar" durch „ruhmreich" interpretiert wird.</w:t>
      </w:r>
    </w:p>
    <w:p w14:paraId="419366AD" w14:textId="77777777" w:rsidR="00C91CB2" w:rsidRDefault="00C91CB2" w:rsidP="00C91CB2">
      <w:pPr>
        <w:pStyle w:val="whitespace-normal"/>
      </w:pPr>
      <w:r>
        <w:t>Die Satzstruktur besteht aus zwei koordinierten Nominalsätzen und zwei abhängigen Relativsätzen: (1) Erster Nominalsatz mit Subjekt (er) und Prädikatsnomen (dein Ruhm); (2) Zweiter Nominalsatz mit Subjekt (er) und Prädikatsnomen (dein Gott); (3) Erster Relativsatz mit Prädikat (getan hat), präpositionaler Bestimmung (an dir) und Objekt (die großen und furchtbaren Dinge, diese); (4) Zweiter Relativsatz mit Subjekt (deine Augen) und Prädikat (gesehen haben).</w:t>
      </w:r>
    </w:p>
    <w:p w14:paraId="4ED6D583" w14:textId="77777777" w:rsidR="00C91CB2" w:rsidRDefault="00C91CB2" w:rsidP="00C91CB2">
      <w:pPr>
        <w:pStyle w:val="whitespace-normal"/>
      </w:pPr>
      <w:r>
        <w:t>Der Vers begründet die Verehrung JHWHs mit seinen geschichtlichen Heilstaten: Er ist der Grund zum Rühmen, weil er Großes und Furchtbares für Israel getan hat, das diese Generation selbst miterlebt hat.</w:t>
      </w:r>
    </w:p>
    <w:p w14:paraId="22C9D430" w14:textId="77777777" w:rsidR="00C91CB2" w:rsidRPr="00DD45BE" w:rsidRDefault="00C91CB2" w:rsidP="00C91CB2">
      <w:pPr>
        <w:pStyle w:val="berschrift1"/>
        <w:rPr>
          <w:rFonts w:ascii="Times New Roman" w:hAnsi="Times New Roman"/>
          <w:b/>
          <w:bCs/>
          <w:color w:val="auto"/>
          <w:sz w:val="36"/>
          <w:szCs w:val="36"/>
        </w:rPr>
      </w:pPr>
      <w:r w:rsidRPr="00DD45BE">
        <w:rPr>
          <w:rFonts w:ascii="Times New Roman" w:hAnsi="Times New Roman"/>
          <w:b/>
          <w:bCs/>
          <w:color w:val="auto"/>
          <w:sz w:val="36"/>
          <w:szCs w:val="36"/>
        </w:rPr>
        <w:t>Deuteronomium 10,22</w:t>
      </w:r>
    </w:p>
    <w:p w14:paraId="33DE07DC" w14:textId="77777777" w:rsidR="00C91CB2" w:rsidRDefault="00C91CB2" w:rsidP="00C91CB2">
      <w:pPr>
        <w:pStyle w:val="whitespace-normal"/>
      </w:pPr>
      <w:r>
        <w:rPr>
          <w:rStyle w:val="Fett"/>
          <w:rFonts w:eastAsiaTheme="majorEastAsia"/>
        </w:rPr>
        <w:t>Hebräisch:</w:t>
      </w:r>
      <w:r>
        <w:t xml:space="preserve"> </w:t>
      </w:r>
      <w:r>
        <w:rPr>
          <w:rtl/>
        </w:rPr>
        <w:t>בְּשִׁבְעִ֣ים נֶ֔פֶשׁ יָרְד֥וּ אֲבֹתֶ֖יךָ מִצְרָ֑יְמָה וְעַתָּ֗ה שָֽׂמְךָ֙ יְהוָ֣ה אֱלֹהֶ֔יךָ כְּכוֹכְבֵ֥י הַשָּׁמַ֖יִם לָרֹֽב׃</w:t>
      </w:r>
    </w:p>
    <w:p w14:paraId="67E05544" w14:textId="77777777" w:rsidR="00C91CB2" w:rsidRDefault="00C91CB2" w:rsidP="00C91CB2">
      <w:pPr>
        <w:pStyle w:val="whitespace-normal"/>
      </w:pPr>
      <w:r>
        <w:rPr>
          <w:rStyle w:val="Fett"/>
          <w:rFonts w:eastAsiaTheme="majorEastAsia"/>
        </w:rPr>
        <w:t>Deutsch:</w:t>
      </w:r>
      <w:r>
        <w:t xml:space="preserve"> Mit 70 Seelen zogen deine Väter nach Mizrajim hinab; und nun hat der Ewige, dein Gott, dich gemacht wie die Sterne des Himmels an Menge.</w:t>
      </w:r>
    </w:p>
    <w:p w14:paraId="24340372" w14:textId="77777777" w:rsidR="00C91CB2" w:rsidRDefault="004F5CEB" w:rsidP="00C91CB2">
      <w:r>
        <w:rPr>
          <w:noProof/>
        </w:rPr>
        <w:pict w14:anchorId="138E0843">
          <v:rect id="_x0000_i1340" style="width:0;height:1.5pt" o:hralign="center" o:hrstd="t" o:hr="t" fillcolor="#a0a0a0" stroked="f"/>
        </w:pict>
      </w:r>
    </w:p>
    <w:p w14:paraId="7A74FBE9" w14:textId="77777777" w:rsidR="00C91CB2" w:rsidRDefault="00C91CB2" w:rsidP="00C91CB2">
      <w:pPr>
        <w:pStyle w:val="whitespace-normal"/>
      </w:pPr>
      <w:r>
        <w:rPr>
          <w:rStyle w:val="Fett"/>
          <w:rFonts w:eastAsiaTheme="majorEastAsia"/>
        </w:rPr>
        <w:t>Kommentar:</w:t>
      </w:r>
      <w:r>
        <w:t xml:space="preserve"> </w:t>
      </w:r>
      <w:r>
        <w:rPr>
          <w:rStyle w:val="Fett"/>
          <w:rFonts w:eastAsiaTheme="majorEastAsia"/>
          <w:rtl/>
        </w:rPr>
        <w:t>בְּשִׁבְעִים נֶפֶשׁ</w:t>
      </w:r>
      <w:r>
        <w:rPr>
          <w:rtl/>
        </w:rPr>
        <w:t xml:space="preserve"> </w:t>
      </w:r>
      <w:r>
        <w:t xml:space="preserve">ist eine Zahlenangabe mit Präposition: </w:t>
      </w:r>
      <w:r>
        <w:rPr>
          <w:rStyle w:val="Fett"/>
          <w:rFonts w:eastAsiaTheme="majorEastAsia"/>
          <w:rtl/>
        </w:rPr>
        <w:t>בְּ</w:t>
      </w:r>
      <w:r>
        <w:rPr>
          <w:rtl/>
        </w:rPr>
        <w:t xml:space="preserve"> </w:t>
      </w:r>
      <w:r>
        <w:t xml:space="preserve">(„mit, in") mit </w:t>
      </w:r>
      <w:r>
        <w:rPr>
          <w:rStyle w:val="Fett"/>
          <w:rFonts w:eastAsiaTheme="majorEastAsia"/>
          <w:rtl/>
        </w:rPr>
        <w:t>שִׁבְעִים</w:t>
      </w:r>
      <w:r>
        <w:rPr>
          <w:rtl/>
        </w:rPr>
        <w:t xml:space="preserve"> </w:t>
      </w:r>
      <w:r>
        <w:t xml:space="preserve">(„siebzig") und </w:t>
      </w:r>
      <w:r>
        <w:rPr>
          <w:rStyle w:val="Fett"/>
          <w:rFonts w:eastAsiaTheme="majorEastAsia"/>
          <w:rtl/>
        </w:rPr>
        <w:t>נֶפֶשׁ</w:t>
      </w:r>
      <w:r>
        <w:rPr>
          <w:rtl/>
        </w:rPr>
        <w:t xml:space="preserve"> </w:t>
      </w:r>
      <w:r>
        <w:t xml:space="preserve">(„Seele, Person, Leben"), das hier als Zählwort für Personen dient. Die Präposition </w:t>
      </w:r>
      <w:r>
        <w:rPr>
          <w:rStyle w:val="Fett"/>
          <w:rFonts w:eastAsiaTheme="majorEastAsia"/>
          <w:rtl/>
        </w:rPr>
        <w:t>בְּ</w:t>
      </w:r>
      <w:r>
        <w:rPr>
          <w:rtl/>
        </w:rPr>
        <w:t xml:space="preserve"> </w:t>
      </w:r>
      <w:r>
        <w:t xml:space="preserve">hat hier instrumentale oder modale Bedeutung („mit, als"). Die Zahl 70 bezieht sich auf die Angaben in Genesis 46,27 und Exodus 1,5. </w:t>
      </w:r>
      <w:r>
        <w:rPr>
          <w:rStyle w:val="Fett"/>
          <w:rFonts w:eastAsiaTheme="majorEastAsia"/>
          <w:rtl/>
        </w:rPr>
        <w:t>יָרְדוּ</w:t>
      </w:r>
      <w:r>
        <w:rPr>
          <w:rtl/>
        </w:rPr>
        <w:t xml:space="preserve"> </w:t>
      </w:r>
      <w:r>
        <w:t xml:space="preserve">ist Qal Perfekt, 3. Person Plural von </w:t>
      </w:r>
      <w:r>
        <w:rPr>
          <w:rStyle w:val="Fett"/>
          <w:rFonts w:eastAsiaTheme="majorEastAsia"/>
          <w:rtl/>
        </w:rPr>
        <w:t>ירד</w:t>
      </w:r>
      <w:r>
        <w:rPr>
          <w:rtl/>
        </w:rPr>
        <w:t xml:space="preserve"> </w:t>
      </w:r>
      <w:r>
        <w:t xml:space="preserve">(„hinabsteigen, hinabgehen"), das die Bewegung nach Ägypten beschreibt. </w:t>
      </w:r>
      <w:r>
        <w:rPr>
          <w:rStyle w:val="Fett"/>
          <w:rFonts w:eastAsiaTheme="majorEastAsia"/>
          <w:rtl/>
        </w:rPr>
        <w:t>אֲבֹתֶיךָ</w:t>
      </w:r>
      <w:r>
        <w:rPr>
          <w:rtl/>
        </w:rPr>
        <w:t xml:space="preserve"> </w:t>
      </w:r>
      <w:r>
        <w:t xml:space="preserve">ist Plural von </w:t>
      </w:r>
      <w:r>
        <w:rPr>
          <w:rStyle w:val="Fett"/>
          <w:rFonts w:eastAsiaTheme="majorEastAsia"/>
          <w:rtl/>
        </w:rPr>
        <w:t>אָב</w:t>
      </w:r>
      <w:r>
        <w:rPr>
          <w:rtl/>
        </w:rPr>
        <w:t xml:space="preserve"> </w:t>
      </w:r>
      <w:r>
        <w:t xml:space="preserve">(„Vater") mit Suffix 2. Person Maskulinum Singular („deine Väter") als Subjekt des Satzes. </w:t>
      </w:r>
      <w:r>
        <w:rPr>
          <w:rStyle w:val="Fett"/>
          <w:rFonts w:eastAsiaTheme="majorEastAsia"/>
          <w:rtl/>
        </w:rPr>
        <w:t>מִצְרָיְמָה</w:t>
      </w:r>
      <w:r>
        <w:rPr>
          <w:rtl/>
        </w:rPr>
        <w:t xml:space="preserve"> </w:t>
      </w:r>
      <w:r>
        <w:t xml:space="preserve">ist </w:t>
      </w:r>
      <w:r>
        <w:rPr>
          <w:rStyle w:val="Fett"/>
          <w:rFonts w:eastAsiaTheme="majorEastAsia"/>
          <w:rtl/>
        </w:rPr>
        <w:t>מִצְרַיִם</w:t>
      </w:r>
      <w:r>
        <w:rPr>
          <w:rtl/>
        </w:rPr>
        <w:t xml:space="preserve"> </w:t>
      </w:r>
      <w:r>
        <w:t xml:space="preserve">(„Ägypten") mit der Richtungsendung </w:t>
      </w:r>
      <w:r>
        <w:rPr>
          <w:rStyle w:val="Fett"/>
          <w:rFonts w:eastAsiaTheme="majorEastAsia"/>
          <w:rtl/>
        </w:rPr>
        <w:t>ה</w:t>
      </w:r>
      <w:r>
        <w:rPr>
          <w:rStyle w:val="Fett"/>
          <w:rFonts w:eastAsiaTheme="majorEastAsia"/>
        </w:rPr>
        <w:t>-</w:t>
      </w:r>
      <w:r>
        <w:t>, die die Bewegung „nach Ägypten hin" ausdrückt.</w:t>
      </w:r>
    </w:p>
    <w:p w14:paraId="74F10F21" w14:textId="77777777" w:rsidR="00C91CB2" w:rsidRDefault="00C91CB2" w:rsidP="00C91CB2">
      <w:pPr>
        <w:pStyle w:val="whitespace-normal"/>
      </w:pPr>
      <w:r>
        <w:rPr>
          <w:rStyle w:val="Fett"/>
          <w:rFonts w:eastAsiaTheme="majorEastAsia"/>
          <w:rtl/>
        </w:rPr>
        <w:t>וְעַתָּה</w:t>
      </w:r>
      <w:r>
        <w:rPr>
          <w:rtl/>
        </w:rPr>
        <w:t xml:space="preserve"> </w:t>
      </w:r>
      <w:r>
        <w:t xml:space="preserve">ist ein temporales Adverb („und nun, jetzt") mit </w:t>
      </w:r>
      <w:r>
        <w:rPr>
          <w:rStyle w:val="Fett"/>
          <w:rFonts w:eastAsiaTheme="majorEastAsia"/>
        </w:rPr>
        <w:t>Waw</w:t>
      </w:r>
      <w:r>
        <w:t xml:space="preserve">, das einen zeitlichen und logischen Kontrast zur vergangenen Situation einleitet. </w:t>
      </w:r>
      <w:r>
        <w:rPr>
          <w:rStyle w:val="Fett"/>
          <w:rFonts w:eastAsiaTheme="majorEastAsia"/>
          <w:rtl/>
        </w:rPr>
        <w:t>שָׂמְךָ יְהוָה אֱלֹהֶיךָ</w:t>
      </w:r>
      <w:r>
        <w:rPr>
          <w:rtl/>
        </w:rPr>
        <w:t xml:space="preserve"> </w:t>
      </w:r>
      <w:r>
        <w:t xml:space="preserve">besteht aus </w:t>
      </w:r>
      <w:r>
        <w:rPr>
          <w:rStyle w:val="Fett"/>
          <w:rFonts w:eastAsiaTheme="majorEastAsia"/>
          <w:rtl/>
        </w:rPr>
        <w:t>שָׂמְךָ</w:t>
      </w:r>
      <w:r>
        <w:rPr>
          <w:rtl/>
        </w:rPr>
        <w:t xml:space="preserve"> </w:t>
      </w:r>
      <w:r>
        <w:t xml:space="preserve">(Qal Perfekt, 3. Person Maskulinum Singular von </w:t>
      </w:r>
      <w:r>
        <w:rPr>
          <w:rStyle w:val="Fett"/>
          <w:rFonts w:eastAsiaTheme="majorEastAsia"/>
          <w:rtl/>
        </w:rPr>
        <w:t>שׂים</w:t>
      </w:r>
      <w:r>
        <w:t xml:space="preserve">, „setzen, machen, stellen", mit Suffix 2. Person Maskulinum Singular als Objekt), </w:t>
      </w:r>
      <w:r>
        <w:rPr>
          <w:rStyle w:val="Fett"/>
          <w:rFonts w:eastAsiaTheme="majorEastAsia"/>
          <w:rtl/>
        </w:rPr>
        <w:t>יְהוָה</w:t>
      </w:r>
      <w:r>
        <w:rPr>
          <w:rtl/>
        </w:rPr>
        <w:t xml:space="preserve"> </w:t>
      </w:r>
      <w:r>
        <w:t xml:space="preserve">(Tetragramm) als Subjekt und </w:t>
      </w:r>
      <w:r>
        <w:rPr>
          <w:rStyle w:val="Fett"/>
          <w:rFonts w:eastAsiaTheme="majorEastAsia"/>
          <w:rtl/>
        </w:rPr>
        <w:t>אֱלֹהֶיךָ</w:t>
      </w:r>
      <w:r>
        <w:rPr>
          <w:rtl/>
        </w:rPr>
        <w:t xml:space="preserve"> </w:t>
      </w:r>
      <w:r>
        <w:t xml:space="preserve">(Apposition mit Suffix 2. Person Maskulinum Singular). Das Verb </w:t>
      </w:r>
      <w:r>
        <w:rPr>
          <w:rStyle w:val="Fett"/>
          <w:rFonts w:eastAsiaTheme="majorEastAsia"/>
          <w:rtl/>
        </w:rPr>
        <w:t>שׂים</w:t>
      </w:r>
      <w:r>
        <w:rPr>
          <w:rtl/>
        </w:rPr>
        <w:t xml:space="preserve"> </w:t>
      </w:r>
      <w:r>
        <w:t>bedeutet hier „machen zu, verwandeln in".</w:t>
      </w:r>
    </w:p>
    <w:p w14:paraId="5EDE5DFF" w14:textId="77777777" w:rsidR="00C91CB2" w:rsidRDefault="00C91CB2" w:rsidP="00C91CB2">
      <w:pPr>
        <w:pStyle w:val="whitespace-normal"/>
      </w:pPr>
      <w:r>
        <w:rPr>
          <w:rStyle w:val="Fett"/>
          <w:rFonts w:eastAsiaTheme="majorEastAsia"/>
          <w:rtl/>
        </w:rPr>
        <w:t>כְּכוֹכְבֵי הַשָּׁמַיִם לָרֹב</w:t>
      </w:r>
      <w:r>
        <w:rPr>
          <w:rtl/>
        </w:rPr>
        <w:t xml:space="preserve"> </w:t>
      </w:r>
      <w:r>
        <w:t xml:space="preserve">ist eine Vergleichsphrase: </w:t>
      </w:r>
      <w:r>
        <w:rPr>
          <w:rStyle w:val="Fett"/>
          <w:rFonts w:eastAsiaTheme="majorEastAsia"/>
          <w:rtl/>
        </w:rPr>
        <w:t>כְּ</w:t>
      </w:r>
      <w:r>
        <w:rPr>
          <w:rtl/>
        </w:rPr>
        <w:t xml:space="preserve"> </w:t>
      </w:r>
      <w:r>
        <w:t xml:space="preserve">(„wie") mit reduplizierter Form </w:t>
      </w:r>
      <w:r>
        <w:rPr>
          <w:rStyle w:val="Fett"/>
          <w:rFonts w:eastAsiaTheme="majorEastAsia"/>
          <w:rtl/>
        </w:rPr>
        <w:t>כְּכוֹכְבֵי</w:t>
      </w:r>
      <w:r>
        <w:rPr>
          <w:rtl/>
        </w:rPr>
        <w:t xml:space="preserve"> </w:t>
      </w:r>
      <w:r>
        <w:t xml:space="preserve">(Construct-Plural von </w:t>
      </w:r>
      <w:r>
        <w:rPr>
          <w:rStyle w:val="Fett"/>
          <w:rFonts w:eastAsiaTheme="majorEastAsia"/>
          <w:rtl/>
        </w:rPr>
        <w:t>כּוֹכָב</w:t>
      </w:r>
      <w:r>
        <w:t xml:space="preserve">, „Stern") und </w:t>
      </w:r>
      <w:r>
        <w:rPr>
          <w:rStyle w:val="Fett"/>
          <w:rFonts w:eastAsiaTheme="majorEastAsia"/>
          <w:rtl/>
        </w:rPr>
        <w:t>הַשָּׁמַיִם</w:t>
      </w:r>
      <w:r>
        <w:rPr>
          <w:rtl/>
        </w:rPr>
        <w:t xml:space="preserve"> </w:t>
      </w:r>
      <w:r>
        <w:t xml:space="preserve">(Dual von </w:t>
      </w:r>
      <w:r>
        <w:rPr>
          <w:rStyle w:val="Fett"/>
          <w:rFonts w:eastAsiaTheme="majorEastAsia"/>
          <w:rtl/>
        </w:rPr>
        <w:t>שָׁמַיִם</w:t>
      </w:r>
      <w:r>
        <w:t xml:space="preserve">, „Himmel", mit Artikel). </w:t>
      </w:r>
      <w:r>
        <w:rPr>
          <w:rStyle w:val="Fett"/>
          <w:rFonts w:eastAsiaTheme="majorEastAsia"/>
          <w:rtl/>
        </w:rPr>
        <w:t>לָרֹב</w:t>
      </w:r>
      <w:r>
        <w:rPr>
          <w:rtl/>
        </w:rPr>
        <w:t xml:space="preserve"> </w:t>
      </w:r>
      <w:r>
        <w:lastRenderedPageBreak/>
        <w:t xml:space="preserve">besteht aus der Präposition </w:t>
      </w:r>
      <w:r>
        <w:rPr>
          <w:rStyle w:val="Fett"/>
          <w:rFonts w:eastAsiaTheme="majorEastAsia"/>
          <w:rtl/>
        </w:rPr>
        <w:t>לְ</w:t>
      </w:r>
      <w:r>
        <w:rPr>
          <w:rtl/>
        </w:rPr>
        <w:t xml:space="preserve"> </w:t>
      </w:r>
      <w:r>
        <w:t xml:space="preserve">und </w:t>
      </w:r>
      <w:r>
        <w:rPr>
          <w:rStyle w:val="Fett"/>
          <w:rFonts w:eastAsiaTheme="majorEastAsia"/>
          <w:rtl/>
        </w:rPr>
        <w:t>רֹב</w:t>
      </w:r>
      <w:r>
        <w:rPr>
          <w:rtl/>
        </w:rPr>
        <w:t xml:space="preserve"> </w:t>
      </w:r>
      <w:r>
        <w:t>(„Menge, Fülle"), was „an Menge, zur Fülle" bedeutet und das Ausmaß des Vergleichs präzisiert. Die Wendung „wie die Sterne des Himmels" ist eine traditionelle Verheißungsformel, die auf die Patriarchenverheißungen zurückgeht (vgl. Genesis 15,5; 22,17; 26,4).</w:t>
      </w:r>
    </w:p>
    <w:p w14:paraId="13C8E6F7" w14:textId="77777777" w:rsidR="00C91CB2" w:rsidRDefault="00C91CB2" w:rsidP="00C91CB2">
      <w:pPr>
        <w:pStyle w:val="whitespace-normal"/>
      </w:pPr>
      <w:r>
        <w:t xml:space="preserve">Die Syntax zeigt einen dramatischen Kontrast zwischen der kleinen Anfangszahl (70) und der gegenwärtigen Größe (wie die Sterne). Die Voranstellung der Zahlenangabe </w:t>
      </w:r>
      <w:r>
        <w:rPr>
          <w:rStyle w:val="Fett"/>
          <w:rFonts w:eastAsiaTheme="majorEastAsia"/>
          <w:rtl/>
        </w:rPr>
        <w:t>בְּשִׁבְעִים נֶפֶשׁ</w:t>
      </w:r>
      <w:r>
        <w:rPr>
          <w:rtl/>
        </w:rPr>
        <w:t xml:space="preserve"> </w:t>
      </w:r>
      <w:r>
        <w:t xml:space="preserve">betont die bescheidenen Anfänge. Das Adverb </w:t>
      </w:r>
      <w:r>
        <w:rPr>
          <w:rStyle w:val="Fett"/>
          <w:rFonts w:eastAsiaTheme="majorEastAsia"/>
          <w:rtl/>
        </w:rPr>
        <w:t>וְעַתָּה</w:t>
      </w:r>
      <w:r>
        <w:rPr>
          <w:rtl/>
        </w:rPr>
        <w:t xml:space="preserve"> </w:t>
      </w:r>
      <w:r>
        <w:t xml:space="preserve">markiert die Wende und lenkt die Aufmerksamkeit auf Gottes Handeln. Die Verwendung von </w:t>
      </w:r>
      <w:r>
        <w:rPr>
          <w:rStyle w:val="Fett"/>
          <w:rFonts w:eastAsiaTheme="majorEastAsia"/>
          <w:rtl/>
        </w:rPr>
        <w:t>נֶפֶשׁ</w:t>
      </w:r>
      <w:r>
        <w:rPr>
          <w:rtl/>
        </w:rPr>
        <w:t xml:space="preserve"> </w:t>
      </w:r>
      <w:r>
        <w:t xml:space="preserve">im Singular nach einer Zahl ist grammatisch korrekt. Die Dualform </w:t>
      </w:r>
      <w:r>
        <w:rPr>
          <w:rStyle w:val="Fett"/>
          <w:rFonts w:eastAsiaTheme="majorEastAsia"/>
          <w:rtl/>
        </w:rPr>
        <w:t>הַשָּׁמַיִם</w:t>
      </w:r>
      <w:r>
        <w:rPr>
          <w:rtl/>
        </w:rPr>
        <w:t xml:space="preserve"> </w:t>
      </w:r>
      <w:r>
        <w:t>ist die übliche Form für „Himmel" im Hebräischen.</w:t>
      </w:r>
    </w:p>
    <w:p w14:paraId="1D5157B7" w14:textId="77777777" w:rsidR="00C91CB2" w:rsidRDefault="00C91CB2" w:rsidP="00C91CB2">
      <w:pPr>
        <w:pStyle w:val="whitespace-normal"/>
      </w:pPr>
      <w:r>
        <w:rPr>
          <w:rStyle w:val="Fett"/>
          <w:rFonts w:eastAsiaTheme="majorEastAsia"/>
        </w:rPr>
        <w:t>Die LXX</w:t>
      </w:r>
      <w:r>
        <w:t xml:space="preserve"> übersetzt „mit 70 Seelen" mit „</w:t>
      </w:r>
      <w:proofErr w:type="spellStart"/>
      <w:r>
        <w:t>ἐν</w:t>
      </w:r>
      <w:proofErr w:type="spellEnd"/>
      <w:r>
        <w:t xml:space="preserve"> ἑβ</w:t>
      </w:r>
      <w:proofErr w:type="spellStart"/>
      <w:r>
        <w:t>δομήκοντ</w:t>
      </w:r>
      <w:proofErr w:type="spellEnd"/>
      <w:r>
        <w:t xml:space="preserve">α </w:t>
      </w:r>
      <w:proofErr w:type="spellStart"/>
      <w:r>
        <w:t>ψυχ</w:t>
      </w:r>
      <w:proofErr w:type="spellEnd"/>
      <w:r>
        <w:t>αῖς" („mit 70 Seelen", wobei der Plural verwendet wird), „hinabgezogen" mit „κα</w:t>
      </w:r>
      <w:proofErr w:type="spellStart"/>
      <w:r>
        <w:t>τέ</w:t>
      </w:r>
      <w:proofErr w:type="spellEnd"/>
      <w:r>
        <w:t>βησαν" (Aorist) und „wie die Sterne des Himmels an Menge" mit „</w:t>
      </w:r>
      <w:proofErr w:type="spellStart"/>
      <w:r>
        <w:t>ὡσεὶ</w:t>
      </w:r>
      <w:proofErr w:type="spellEnd"/>
      <w:r>
        <w:t xml:space="preserve"> </w:t>
      </w:r>
      <w:proofErr w:type="spellStart"/>
      <w:r>
        <w:t>τὰ</w:t>
      </w:r>
      <w:proofErr w:type="spellEnd"/>
      <w:r>
        <w:t xml:space="preserve"> </w:t>
      </w:r>
      <w:proofErr w:type="spellStart"/>
      <w:r>
        <w:t>ἄστρ</w:t>
      </w:r>
      <w:proofErr w:type="spellEnd"/>
      <w:r>
        <w:t xml:space="preserve">α </w:t>
      </w:r>
      <w:proofErr w:type="spellStart"/>
      <w:r>
        <w:t>τοῦ</w:t>
      </w:r>
      <w:proofErr w:type="spellEnd"/>
      <w:r>
        <w:t xml:space="preserve"> </w:t>
      </w:r>
      <w:proofErr w:type="spellStart"/>
      <w:r>
        <w:t>οὐρ</w:t>
      </w:r>
      <w:proofErr w:type="spellEnd"/>
      <w:r>
        <w:t xml:space="preserve">ανοῦ </w:t>
      </w:r>
      <w:proofErr w:type="spellStart"/>
      <w:r>
        <w:t>τῷ</w:t>
      </w:r>
      <w:proofErr w:type="spellEnd"/>
      <w:r>
        <w:t xml:space="preserve"> π</w:t>
      </w:r>
      <w:proofErr w:type="spellStart"/>
      <w:r>
        <w:t>λήθει</w:t>
      </w:r>
      <w:proofErr w:type="spellEnd"/>
      <w:r>
        <w:t>" („gleichwie die Sterne des Himmels an Menge").</w:t>
      </w:r>
    </w:p>
    <w:p w14:paraId="549ED3FB" w14:textId="77777777" w:rsidR="00C91CB2" w:rsidRDefault="00C91CB2" w:rsidP="00C91CB2">
      <w:pPr>
        <w:pStyle w:val="whitespace-normal"/>
      </w:pPr>
      <w:r>
        <w:t>Die Satzstruktur besteht aus zwei kontrastierenden Hauptsätzen: (1) Der erste Hauptsatz mit modaler Bestimmung (mit 70 Seelen), Prädikat (zogen hinab), Subjekt (deine Väter) und Richtungsangabe (nach Ägypten); (2) Der zweite Hauptsatz mit temporalem Adverb (und nun), Prädikat (hat gemacht), Objekt (dich), Subjekt (JHWH, dein Gott) und Vergleichsbestimmung (wie die Sterne des Himmels an Menge).</w:t>
      </w:r>
    </w:p>
    <w:p w14:paraId="6C372F7B" w14:textId="77777777" w:rsidR="00C91CB2" w:rsidRDefault="00C91CB2" w:rsidP="00C91CB2">
      <w:pPr>
        <w:pStyle w:val="whitespace-normal"/>
      </w:pPr>
      <w:r>
        <w:t>Der Vers illustriert Gottes Segensmacht durch den Kontrast zwischen den bescheidenen Anfängen (70 Personen) und der gegenwärtigen Größe Israels: JHWH hat die Verheißung an die Patriarchen erfüllt und Israel zu einem großen Volk gemacht.</w:t>
      </w:r>
    </w:p>
    <w:p w14:paraId="57B6AF08" w14:textId="77777777" w:rsidR="00607566" w:rsidRPr="00607566" w:rsidRDefault="00607566" w:rsidP="00607566">
      <w:pPr>
        <w:pStyle w:val="berschrift1"/>
        <w:rPr>
          <w:rFonts w:ascii="Times New Roman" w:hAnsi="Times New Roman"/>
          <w:b/>
          <w:bCs/>
          <w:color w:val="auto"/>
          <w:sz w:val="36"/>
          <w:szCs w:val="36"/>
        </w:rPr>
      </w:pPr>
      <w:r w:rsidRPr="00607566">
        <w:rPr>
          <w:rFonts w:ascii="Times New Roman" w:hAnsi="Times New Roman"/>
          <w:b/>
          <w:bCs/>
          <w:color w:val="auto"/>
          <w:sz w:val="36"/>
          <w:szCs w:val="36"/>
        </w:rPr>
        <w:t>Deuteronomium 11,1</w:t>
      </w:r>
    </w:p>
    <w:p w14:paraId="1665B747" w14:textId="77777777" w:rsidR="00607566" w:rsidRDefault="00607566" w:rsidP="00607566">
      <w:pPr>
        <w:pStyle w:val="whitespace-normal"/>
      </w:pPr>
      <w:r>
        <w:rPr>
          <w:rStyle w:val="Fett"/>
          <w:rFonts w:eastAsiaTheme="majorEastAsia"/>
        </w:rPr>
        <w:t>Hebräisch:</w:t>
      </w:r>
      <w:r>
        <w:t xml:space="preserve"> </w:t>
      </w:r>
      <w:r>
        <w:rPr>
          <w:rtl/>
        </w:rPr>
        <w:t>וְאָ֣הַבְתָּ֔ אֵ֖ת יְהוָ֣ה אֱלֹהֶ֑יךָ וְשָׁמַרְתָּ֣ מִשְׁמַרְתּוֹ֗ וְחֻקֹּתָ֧יו וּמִשְׁפָּטָ֛יו וּמִצְוֹתָ֖יו כָּל־הַיָּמִֽים׃</w:t>
      </w:r>
    </w:p>
    <w:p w14:paraId="5734CB73" w14:textId="77777777" w:rsidR="00607566" w:rsidRDefault="00607566" w:rsidP="00607566">
      <w:pPr>
        <w:pStyle w:val="whitespace-normal"/>
      </w:pPr>
      <w:r>
        <w:rPr>
          <w:rStyle w:val="Fett"/>
          <w:rFonts w:eastAsiaTheme="majorEastAsia"/>
        </w:rPr>
        <w:t>Deutsch:</w:t>
      </w:r>
      <w:r>
        <w:t xml:space="preserve"> So sollst du denn den Ewigen, deinen Gott, lieben und seine Vorschriften halten und seine Satzungen und seine Rechtsbestimmungen und seine Gebote alle Tage.</w:t>
      </w:r>
    </w:p>
    <w:p w14:paraId="1F6DDE82" w14:textId="77777777" w:rsidR="00607566" w:rsidRDefault="004F5CEB" w:rsidP="00607566">
      <w:r>
        <w:rPr>
          <w:noProof/>
        </w:rPr>
        <w:pict w14:anchorId="0DAF2617">
          <v:rect id="_x0000_i1341" style="width:0;height:1.5pt" o:hralign="center" o:hrstd="t" o:hr="t" fillcolor="#a0a0a0" stroked="f"/>
        </w:pict>
      </w:r>
    </w:p>
    <w:p w14:paraId="54FDF200" w14:textId="77777777" w:rsidR="00607566" w:rsidRDefault="00607566" w:rsidP="00607566">
      <w:pPr>
        <w:pStyle w:val="whitespace-normal"/>
      </w:pPr>
      <w:r>
        <w:rPr>
          <w:rStyle w:val="Fett"/>
          <w:rFonts w:eastAsiaTheme="majorEastAsia"/>
        </w:rPr>
        <w:t>Kommentar:</w:t>
      </w:r>
      <w:r>
        <w:t xml:space="preserve"> </w:t>
      </w:r>
      <w:r>
        <w:rPr>
          <w:rStyle w:val="Fett"/>
          <w:rFonts w:eastAsiaTheme="majorEastAsia"/>
          <w:rtl/>
        </w:rPr>
        <w:t>וְאָהַבְתָּ</w:t>
      </w:r>
      <w:r>
        <w:rPr>
          <w:rtl/>
        </w:rPr>
        <w:t xml:space="preserve"> </w:t>
      </w:r>
      <w:r>
        <w:t xml:space="preserve">ist Qal Perfekt, 2. Person Maskulinum Singular von </w:t>
      </w:r>
      <w:r>
        <w:rPr>
          <w:rStyle w:val="Fett"/>
          <w:rFonts w:eastAsiaTheme="majorEastAsia"/>
          <w:rtl/>
        </w:rPr>
        <w:t>אהב</w:t>
      </w:r>
      <w:r>
        <w:rPr>
          <w:rtl/>
        </w:rPr>
        <w:t xml:space="preserve"> </w:t>
      </w:r>
      <w:r>
        <w:t xml:space="preserve">(„lieben") mit </w:t>
      </w:r>
      <w:r>
        <w:rPr>
          <w:rStyle w:val="Fett"/>
          <w:rFonts w:eastAsiaTheme="majorEastAsia"/>
        </w:rPr>
        <w:t>Waw</w:t>
      </w:r>
      <w:r>
        <w:t xml:space="preserve"> copulativum, das hier konsequent-imperativisch verstanden wird („so sollst du denn lieben"). Die Perfektform fungiert als Imperativ und verbindet diesen Vers direkt mit den vorhergehenden Kapiteln, insbesondere mit der Erwählung Israels und den Forderungen an das Volk. </w:t>
      </w:r>
      <w:r>
        <w:rPr>
          <w:rStyle w:val="Fett"/>
          <w:rFonts w:eastAsiaTheme="majorEastAsia"/>
          <w:rtl/>
        </w:rPr>
        <w:t>אֵת יְהוָה אֱלֹהֶיךָ</w:t>
      </w:r>
      <w:r>
        <w:rPr>
          <w:rtl/>
        </w:rPr>
        <w:t xml:space="preserve"> </w:t>
      </w:r>
      <w:r>
        <w:t xml:space="preserve">besteht aus der Objektpartikel </w:t>
      </w:r>
      <w:r>
        <w:rPr>
          <w:rStyle w:val="Fett"/>
          <w:rFonts w:eastAsiaTheme="majorEastAsia"/>
          <w:rtl/>
        </w:rPr>
        <w:t>אֵת</w:t>
      </w:r>
      <w:r>
        <w:t xml:space="preserve">, dem Tetragramm und der Apposition </w:t>
      </w:r>
      <w:r>
        <w:rPr>
          <w:rStyle w:val="Fett"/>
          <w:rFonts w:eastAsiaTheme="majorEastAsia"/>
          <w:rtl/>
        </w:rPr>
        <w:t>אֱלֹהֶיךָ</w:t>
      </w:r>
      <w:r>
        <w:rPr>
          <w:rtl/>
        </w:rPr>
        <w:t xml:space="preserve"> </w:t>
      </w:r>
      <w:r>
        <w:t xml:space="preserve">(Plural von </w:t>
      </w:r>
      <w:r>
        <w:rPr>
          <w:rStyle w:val="Fett"/>
          <w:rFonts w:eastAsiaTheme="majorEastAsia"/>
          <w:rtl/>
        </w:rPr>
        <w:t>אֱלֹהִים</w:t>
      </w:r>
      <w:r>
        <w:rPr>
          <w:rtl/>
        </w:rPr>
        <w:t xml:space="preserve"> </w:t>
      </w:r>
      <w:r>
        <w:t>mit Suffix 2. Person Maskulinum Singular). Die Gottesliebe ist die fundamentale Forderung des Deuteronomiums und fasst alle weiteren Gebote zusammen.</w:t>
      </w:r>
    </w:p>
    <w:p w14:paraId="2D39BC7F" w14:textId="77777777" w:rsidR="00607566" w:rsidRDefault="00607566" w:rsidP="00607566">
      <w:pPr>
        <w:pStyle w:val="whitespace-normal"/>
      </w:pPr>
      <w:r>
        <w:rPr>
          <w:rStyle w:val="Fett"/>
          <w:rFonts w:eastAsiaTheme="majorEastAsia"/>
          <w:rtl/>
        </w:rPr>
        <w:t>וְשָׁמַרְתָּ</w:t>
      </w:r>
      <w:r>
        <w:rPr>
          <w:rtl/>
        </w:rPr>
        <w:t xml:space="preserve"> </w:t>
      </w:r>
      <w:r>
        <w:t xml:space="preserve">ist Qal Perfekt, 2. Person Maskulinum Singular von </w:t>
      </w:r>
      <w:r>
        <w:rPr>
          <w:rStyle w:val="Fett"/>
          <w:rFonts w:eastAsiaTheme="majorEastAsia"/>
          <w:rtl/>
        </w:rPr>
        <w:t>שׁמר</w:t>
      </w:r>
      <w:r>
        <w:rPr>
          <w:rtl/>
        </w:rPr>
        <w:t xml:space="preserve"> </w:t>
      </w:r>
      <w:r>
        <w:t xml:space="preserve">(„bewahren, halten, beobachten") mit </w:t>
      </w:r>
      <w:r>
        <w:rPr>
          <w:rStyle w:val="Fett"/>
          <w:rFonts w:eastAsiaTheme="majorEastAsia"/>
        </w:rPr>
        <w:t>Waw</w:t>
      </w:r>
      <w:r>
        <w:t xml:space="preserve"> copulativum, ebenfalls imperativisch zu verstehen. </w:t>
      </w:r>
      <w:r>
        <w:rPr>
          <w:rStyle w:val="Fett"/>
          <w:rFonts w:eastAsiaTheme="majorEastAsia"/>
          <w:rtl/>
        </w:rPr>
        <w:t>מִשְׁמַרְתּוֹ</w:t>
      </w:r>
      <w:r>
        <w:rPr>
          <w:rtl/>
        </w:rPr>
        <w:t xml:space="preserve"> </w:t>
      </w:r>
      <w:r>
        <w:t xml:space="preserve">ist ein </w:t>
      </w:r>
      <w:r>
        <w:lastRenderedPageBreak/>
        <w:t xml:space="preserve">Akkusativobjekt: </w:t>
      </w:r>
      <w:r>
        <w:rPr>
          <w:rStyle w:val="Fett"/>
          <w:rFonts w:eastAsiaTheme="majorEastAsia"/>
          <w:rtl/>
        </w:rPr>
        <w:t>מִשְׁמֶרֶת</w:t>
      </w:r>
      <w:r>
        <w:rPr>
          <w:rtl/>
        </w:rPr>
        <w:t xml:space="preserve"> </w:t>
      </w:r>
      <w:r>
        <w:t xml:space="preserve">(„Wache, Vorschrift, Ordnung, das zu Bewahrende") mit Suffix 3. Person Maskulinum Singular. Das Substantiv </w:t>
      </w:r>
      <w:r>
        <w:rPr>
          <w:rStyle w:val="Fett"/>
          <w:rFonts w:eastAsiaTheme="majorEastAsia"/>
          <w:rtl/>
        </w:rPr>
        <w:t>מִשְׁמֶרֶת</w:t>
      </w:r>
      <w:r>
        <w:rPr>
          <w:rtl/>
        </w:rPr>
        <w:t xml:space="preserve"> </w:t>
      </w:r>
      <w:r>
        <w:t xml:space="preserve">ist von der gleichen Wurzel </w:t>
      </w:r>
      <w:r>
        <w:rPr>
          <w:rStyle w:val="Fett"/>
          <w:rFonts w:eastAsiaTheme="majorEastAsia"/>
          <w:rtl/>
        </w:rPr>
        <w:t>שׁמר</w:t>
      </w:r>
      <w:r>
        <w:rPr>
          <w:rtl/>
        </w:rPr>
        <w:t xml:space="preserve"> </w:t>
      </w:r>
      <w:r>
        <w:t xml:space="preserve">abgeleitet und intensiviert die Bedeutung des Verbs. </w:t>
      </w:r>
      <w:r>
        <w:rPr>
          <w:rStyle w:val="Fett"/>
          <w:rFonts w:eastAsiaTheme="majorEastAsia"/>
          <w:rtl/>
        </w:rPr>
        <w:t>וְחֻקֹּתָיו וּמִשְׁפָּטָיו וּמִצְוֹתָיו</w:t>
      </w:r>
      <w:r>
        <w:rPr>
          <w:rtl/>
        </w:rPr>
        <w:t xml:space="preserve"> </w:t>
      </w:r>
      <w:r>
        <w:t xml:space="preserve">ist eine dreigliedrige koordinierte Aufzählung: </w:t>
      </w:r>
      <w:r>
        <w:rPr>
          <w:rStyle w:val="Fett"/>
          <w:rFonts w:eastAsiaTheme="majorEastAsia"/>
          <w:rtl/>
        </w:rPr>
        <w:t>וְחֻקֹּתָיו</w:t>
      </w:r>
      <w:r>
        <w:rPr>
          <w:rtl/>
        </w:rPr>
        <w:t xml:space="preserve"> </w:t>
      </w:r>
      <w:r>
        <w:t xml:space="preserve">(Plural von </w:t>
      </w:r>
      <w:r>
        <w:rPr>
          <w:rStyle w:val="Fett"/>
          <w:rFonts w:eastAsiaTheme="majorEastAsia"/>
          <w:rtl/>
        </w:rPr>
        <w:t>חֻקָּה</w:t>
      </w:r>
      <w:r>
        <w:t xml:space="preserve">, „Satzung", mit Suffix 3. Person Maskulinum Singular), </w:t>
      </w:r>
      <w:r>
        <w:rPr>
          <w:rStyle w:val="Fett"/>
          <w:rFonts w:eastAsiaTheme="majorEastAsia"/>
          <w:rtl/>
        </w:rPr>
        <w:t>וּמִשְׁפָּטָיו</w:t>
      </w:r>
      <w:r>
        <w:rPr>
          <w:rtl/>
        </w:rPr>
        <w:t xml:space="preserve"> </w:t>
      </w:r>
      <w:r>
        <w:t xml:space="preserve">(Plural von </w:t>
      </w:r>
      <w:r>
        <w:rPr>
          <w:rStyle w:val="Fett"/>
          <w:rFonts w:eastAsiaTheme="majorEastAsia"/>
          <w:rtl/>
        </w:rPr>
        <w:t>מִשְׁפָּט</w:t>
      </w:r>
      <w:r>
        <w:t xml:space="preserve">, „Rechtsbestimmung, Rechtsentscheid", mit Suffix 3. Person Maskulinum Singular) und </w:t>
      </w:r>
      <w:r>
        <w:rPr>
          <w:rStyle w:val="Fett"/>
          <w:rFonts w:eastAsiaTheme="majorEastAsia"/>
          <w:rtl/>
        </w:rPr>
        <w:t>וּמִצְוֹתָיו</w:t>
      </w:r>
      <w:r>
        <w:rPr>
          <w:rtl/>
        </w:rPr>
        <w:t xml:space="preserve"> </w:t>
      </w:r>
      <w:r>
        <w:t xml:space="preserve">(Plural von </w:t>
      </w:r>
      <w:r>
        <w:rPr>
          <w:rStyle w:val="Fett"/>
          <w:rFonts w:eastAsiaTheme="majorEastAsia"/>
          <w:rtl/>
        </w:rPr>
        <w:t>מִצְוָה</w:t>
      </w:r>
      <w:r>
        <w:t>, „Gebot", mit Suffix 3. Person Maskulinum Singular). Diese drei Begriffe umfassen die gesamte göttliche Weisung in ihren verschiedenen Aspekten: kultische Ordnungen, rechtliche Bestimmungen und spezifische Gebote.</w:t>
      </w:r>
    </w:p>
    <w:p w14:paraId="1B012D74" w14:textId="77777777" w:rsidR="00607566" w:rsidRDefault="00607566" w:rsidP="00607566">
      <w:pPr>
        <w:pStyle w:val="whitespace-normal"/>
      </w:pPr>
      <w:r>
        <w:rPr>
          <w:rStyle w:val="Fett"/>
          <w:rFonts w:eastAsiaTheme="majorEastAsia"/>
          <w:rtl/>
        </w:rPr>
        <w:t>כָּל־הַיָּמִים</w:t>
      </w:r>
      <w:r>
        <w:rPr>
          <w:rtl/>
        </w:rPr>
        <w:t xml:space="preserve"> </w:t>
      </w:r>
      <w:r>
        <w:t xml:space="preserve">ist eine temporale Bestimmung im Akkusativ: </w:t>
      </w:r>
      <w:r>
        <w:rPr>
          <w:rStyle w:val="Fett"/>
          <w:rFonts w:eastAsiaTheme="majorEastAsia"/>
          <w:rtl/>
        </w:rPr>
        <w:t>כֹּל</w:t>
      </w:r>
      <w:r>
        <w:rPr>
          <w:rtl/>
        </w:rPr>
        <w:t xml:space="preserve"> </w:t>
      </w:r>
      <w:r>
        <w:t xml:space="preserve">(„all, ganz") im Construct mit </w:t>
      </w:r>
      <w:r>
        <w:rPr>
          <w:rStyle w:val="Fett"/>
          <w:rFonts w:eastAsiaTheme="majorEastAsia"/>
          <w:rtl/>
        </w:rPr>
        <w:t>הַיָּמִים</w:t>
      </w:r>
      <w:r>
        <w:rPr>
          <w:rtl/>
        </w:rPr>
        <w:t xml:space="preserve"> </w:t>
      </w:r>
      <w:r>
        <w:t xml:space="preserve">(Plural von </w:t>
      </w:r>
      <w:r>
        <w:rPr>
          <w:rStyle w:val="Fett"/>
          <w:rFonts w:eastAsiaTheme="majorEastAsia"/>
          <w:rtl/>
        </w:rPr>
        <w:t>יוֹם</w:t>
      </w:r>
      <w:r>
        <w:t xml:space="preserve">, „Tag", mit Artikel), was „alle Tage" bedeutet und die lebenslange Dauer der Verpflichtung betont. Die Wendung </w:t>
      </w:r>
      <w:r>
        <w:rPr>
          <w:rStyle w:val="Fett"/>
          <w:rFonts w:eastAsiaTheme="majorEastAsia"/>
          <w:rtl/>
        </w:rPr>
        <w:t>כָּל־הַיָּמִים</w:t>
      </w:r>
      <w:r>
        <w:rPr>
          <w:rtl/>
        </w:rPr>
        <w:t xml:space="preserve"> </w:t>
      </w:r>
      <w:r>
        <w:t>erscheint häufig im Deuteronomium und unterstreicht die beständige, ununterbrochene Natur des Gehorsams.</w:t>
      </w:r>
    </w:p>
    <w:p w14:paraId="17398266" w14:textId="77777777" w:rsidR="00607566" w:rsidRDefault="00607566" w:rsidP="00607566">
      <w:pPr>
        <w:pStyle w:val="whitespace-normal"/>
      </w:pPr>
      <w:r>
        <w:t>Die Syntax zeigt eine Klimax: Die Liebe zu JHWH wird als erstes genannt, gefolgt von der allgemeinen Verpflichtung, seine Ordnungen zu bewahren, die dann durch drei spezifische Kategorien göttlicher Weisung konkretisiert wird. Die viergliedrige Aufzählung (</w:t>
      </w:r>
      <w:r>
        <w:rPr>
          <w:rStyle w:val="Fett"/>
          <w:rFonts w:eastAsiaTheme="majorEastAsia"/>
          <w:rtl/>
        </w:rPr>
        <w:t>מִשְׁמַרְתּוֹ</w:t>
      </w:r>
      <w:r>
        <w:t xml:space="preserve">, </w:t>
      </w:r>
      <w:r>
        <w:rPr>
          <w:rStyle w:val="Fett"/>
          <w:rFonts w:eastAsiaTheme="majorEastAsia"/>
          <w:rtl/>
        </w:rPr>
        <w:t>חֻקֹּתָיו</w:t>
      </w:r>
      <w:r>
        <w:t xml:space="preserve">, </w:t>
      </w:r>
      <w:r>
        <w:rPr>
          <w:rStyle w:val="Fett"/>
          <w:rFonts w:eastAsiaTheme="majorEastAsia"/>
          <w:rtl/>
        </w:rPr>
        <w:t>מִשְׁפָּטָיו</w:t>
      </w:r>
      <w:r>
        <w:t xml:space="preserve">, </w:t>
      </w:r>
      <w:r>
        <w:rPr>
          <w:rStyle w:val="Fett"/>
          <w:rFonts w:eastAsiaTheme="majorEastAsia"/>
          <w:rtl/>
        </w:rPr>
        <w:t>מִצְוֹתָיו</w:t>
      </w:r>
      <w:r>
        <w:t xml:space="preserve">) betont die Vollständigkeit und Umfassendheit der Forderung. Das erste Glied </w:t>
      </w:r>
      <w:r>
        <w:rPr>
          <w:rStyle w:val="Fett"/>
          <w:rFonts w:eastAsiaTheme="majorEastAsia"/>
          <w:rtl/>
        </w:rPr>
        <w:t>מִשְׁמַרְתּוֹ</w:t>
      </w:r>
      <w:r>
        <w:rPr>
          <w:rtl/>
        </w:rPr>
        <w:t xml:space="preserve"> </w:t>
      </w:r>
      <w:r>
        <w:t xml:space="preserve">ist ein allgemeiner Begriff, während die drei folgenden Glieder spezifische Kategorien darstellen. Die Wiederholung des </w:t>
      </w:r>
      <w:r>
        <w:rPr>
          <w:rStyle w:val="Fett"/>
          <w:rFonts w:eastAsiaTheme="majorEastAsia"/>
        </w:rPr>
        <w:t>Waw</w:t>
      </w:r>
      <w:r>
        <w:t xml:space="preserve"> vor jedem Element der Aufzählung verleiht dem Satz einen feierlichen, liturgischen Charakter.</w:t>
      </w:r>
    </w:p>
    <w:p w14:paraId="144C52EE" w14:textId="77777777" w:rsidR="00607566" w:rsidRDefault="00607566" w:rsidP="00607566">
      <w:pPr>
        <w:pStyle w:val="whitespace-normal"/>
      </w:pPr>
      <w:r>
        <w:rPr>
          <w:rStyle w:val="Fett"/>
          <w:rFonts w:eastAsiaTheme="majorEastAsia"/>
        </w:rPr>
        <w:t>Die LXX</w:t>
      </w:r>
      <w:r>
        <w:t xml:space="preserve"> übersetzt „sollst lieben" mit „</w:t>
      </w:r>
      <w:proofErr w:type="spellStart"/>
      <w:r>
        <w:t>ἀγ</w:t>
      </w:r>
      <w:proofErr w:type="spellEnd"/>
      <w:r>
        <w:t>απήσεις" (Futur), was die imperative Kraft der Perfektform angemessen wiedergibt. „Seine Vorschriften" wird mit „</w:t>
      </w:r>
      <w:proofErr w:type="spellStart"/>
      <w:r>
        <w:t>τὰ</w:t>
      </w:r>
      <w:proofErr w:type="spellEnd"/>
      <w:r>
        <w:t xml:space="preserve"> </w:t>
      </w:r>
      <w:proofErr w:type="spellStart"/>
      <w:r>
        <w:t>φυλάγμ</w:t>
      </w:r>
      <w:proofErr w:type="spellEnd"/>
      <w:r>
        <w:t>ατα α</w:t>
      </w:r>
      <w:proofErr w:type="spellStart"/>
      <w:r>
        <w:t>ὐτοῦ</w:t>
      </w:r>
      <w:proofErr w:type="spellEnd"/>
      <w:r>
        <w:t>" („seine Bewahrungen") übersetzt, was die etymologische Verbindung zum Verb „bewahren" beibehält. Die drei weiteren Begriffe werden mit „</w:t>
      </w:r>
      <w:proofErr w:type="spellStart"/>
      <w:r>
        <w:t>τὰ</w:t>
      </w:r>
      <w:proofErr w:type="spellEnd"/>
      <w:r>
        <w:t xml:space="preserve"> </w:t>
      </w:r>
      <w:proofErr w:type="spellStart"/>
      <w:r>
        <w:t>δικ</w:t>
      </w:r>
      <w:proofErr w:type="spellEnd"/>
      <w:r>
        <w:t>αιώματα α</w:t>
      </w:r>
      <w:proofErr w:type="spellStart"/>
      <w:r>
        <w:t>ὐτοῦ</w:t>
      </w:r>
      <w:proofErr w:type="spellEnd"/>
      <w:r>
        <w:t xml:space="preserve"> καὶ </w:t>
      </w:r>
      <w:proofErr w:type="spellStart"/>
      <w:r>
        <w:t>τὰς</w:t>
      </w:r>
      <w:proofErr w:type="spellEnd"/>
      <w:r>
        <w:t xml:space="preserve"> </w:t>
      </w:r>
      <w:proofErr w:type="spellStart"/>
      <w:r>
        <w:t>κρίσεις</w:t>
      </w:r>
      <w:proofErr w:type="spellEnd"/>
      <w:r>
        <w:t xml:space="preserve"> α</w:t>
      </w:r>
      <w:proofErr w:type="spellStart"/>
      <w:r>
        <w:t>ὐτοῦ</w:t>
      </w:r>
      <w:proofErr w:type="spellEnd"/>
      <w:r>
        <w:t xml:space="preserve"> καὶ </w:t>
      </w:r>
      <w:proofErr w:type="spellStart"/>
      <w:r>
        <w:t>τὰς</w:t>
      </w:r>
      <w:proofErr w:type="spellEnd"/>
      <w:r>
        <w:t xml:space="preserve"> </w:t>
      </w:r>
      <w:proofErr w:type="spellStart"/>
      <w:r>
        <w:t>ἐντολὰς</w:t>
      </w:r>
      <w:proofErr w:type="spellEnd"/>
      <w:r>
        <w:t xml:space="preserve"> α</w:t>
      </w:r>
      <w:proofErr w:type="spellStart"/>
      <w:r>
        <w:t>ὐτοῦ</w:t>
      </w:r>
      <w:proofErr w:type="spellEnd"/>
      <w:r>
        <w:t>" wiedergegeben.</w:t>
      </w:r>
    </w:p>
    <w:p w14:paraId="4F164010" w14:textId="77777777" w:rsidR="00607566" w:rsidRDefault="00607566" w:rsidP="00607566">
      <w:pPr>
        <w:pStyle w:val="whitespace-normal"/>
      </w:pPr>
      <w:r>
        <w:t>Die Satzstruktur besteht aus zwei koordinierten Hauptsätzen mit temporaler Bestimmung: (1) Erster Hauptsatz mit Prädikat (sollst lieben) und Objekt (JHWH, deinen Gott); (2) Zweiter Hauptsatz mit Prädikat (halten) und viergliedrigem koordiniertem Objekt (seine Vorschriften, seine Satzungen, seine Rechtsbestimmungen und seine Gebote) sowie temporaler Bestimmung (alle Tage).</w:t>
      </w:r>
    </w:p>
    <w:p w14:paraId="23A48A38" w14:textId="77777777" w:rsidR="00607566" w:rsidRDefault="00607566" w:rsidP="00607566">
      <w:pPr>
        <w:pStyle w:val="whitespace-normal"/>
      </w:pPr>
      <w:r>
        <w:t>Der Vers eröffnet Kapitel 11 mit der Grundforderung des Deuteronomiums: Israel soll JHWH lieben und alle seine Weisungen lebenslang bewahren, eine Zusammenfassung der Bundesverpflichtung.</w:t>
      </w:r>
    </w:p>
    <w:p w14:paraId="7A57491A" w14:textId="77777777" w:rsidR="00607566" w:rsidRPr="00607566" w:rsidRDefault="00607566" w:rsidP="00607566">
      <w:pPr>
        <w:pStyle w:val="berschrift1"/>
        <w:rPr>
          <w:rFonts w:ascii="Times New Roman" w:hAnsi="Times New Roman"/>
          <w:b/>
          <w:bCs/>
          <w:color w:val="auto"/>
          <w:sz w:val="36"/>
          <w:szCs w:val="36"/>
        </w:rPr>
      </w:pPr>
      <w:r w:rsidRPr="00607566">
        <w:rPr>
          <w:rFonts w:ascii="Times New Roman" w:hAnsi="Times New Roman"/>
          <w:b/>
          <w:bCs/>
          <w:color w:val="auto"/>
          <w:sz w:val="36"/>
          <w:szCs w:val="36"/>
        </w:rPr>
        <w:t>Deuteronomium 11,2</w:t>
      </w:r>
    </w:p>
    <w:p w14:paraId="019C6495" w14:textId="77777777" w:rsidR="00607566" w:rsidRDefault="00607566" w:rsidP="00607566">
      <w:pPr>
        <w:pStyle w:val="whitespace-normal"/>
      </w:pPr>
      <w:r>
        <w:rPr>
          <w:rStyle w:val="Fett"/>
          <w:rFonts w:eastAsiaTheme="majorEastAsia"/>
        </w:rPr>
        <w:t>Hebräisch:</w:t>
      </w:r>
      <w:r>
        <w:t xml:space="preserve"> </w:t>
      </w:r>
      <w:r>
        <w:rPr>
          <w:rtl/>
        </w:rPr>
        <w:t>וִֽידַעְתֶּם֮ הַיּוֹם֒ כִּ֣י׀ לֹ֣א אֶת־בְּנֵיכֶ֗ם אֲשֶׁ֤ר לֹֽא־יָדְעוּ֙ וַאֲשֶׁ֣ר לֹא־רָא֔וּ אֶת־מוּסַ֖ר יְהוָ֣ה אֱלֹהֵיכֶ֑ם אֶת־גָּדְלֹ֕ו אֶת־יָדוֹ֙ הַחֲזָקָ֔ה וּזְרֹעֹ֖ו הַנְּטוּיָֽה׃</w:t>
      </w:r>
    </w:p>
    <w:p w14:paraId="67CB5E9A" w14:textId="77777777" w:rsidR="00607566" w:rsidRDefault="00607566" w:rsidP="00607566">
      <w:pPr>
        <w:pStyle w:val="whitespace-normal"/>
      </w:pPr>
      <w:r>
        <w:rPr>
          <w:rStyle w:val="Fett"/>
          <w:rFonts w:eastAsiaTheme="majorEastAsia"/>
        </w:rPr>
        <w:t>Deutsch:</w:t>
      </w:r>
      <w:r>
        <w:t xml:space="preserve"> Und ihr erkennt heute – denn nicht mit euren Kindern rede ich, die es nicht wissen und die es nicht gesehen haben – die Zucht des Ewigen, eures Gottes, seine Größe, seine starke Hand und seinen ausgestreckten Arm,</w:t>
      </w:r>
    </w:p>
    <w:p w14:paraId="7FF915CE" w14:textId="77777777" w:rsidR="00607566" w:rsidRDefault="004F5CEB" w:rsidP="00607566">
      <w:r>
        <w:rPr>
          <w:noProof/>
        </w:rPr>
        <w:lastRenderedPageBreak/>
        <w:pict w14:anchorId="1354F795">
          <v:rect id="_x0000_i1342" style="width:0;height:1.5pt" o:hralign="center" o:hrstd="t" o:hr="t" fillcolor="#a0a0a0" stroked="f"/>
        </w:pict>
      </w:r>
    </w:p>
    <w:p w14:paraId="11C67FAB" w14:textId="026CA1E5" w:rsidR="00607566" w:rsidRDefault="00607566" w:rsidP="00607566">
      <w:pPr>
        <w:pStyle w:val="whitespace-normal"/>
      </w:pPr>
      <w:r>
        <w:rPr>
          <w:rStyle w:val="Fett"/>
          <w:rFonts w:eastAsiaTheme="majorEastAsia"/>
        </w:rPr>
        <w:t>Kommentar:</w:t>
      </w:r>
      <w:r>
        <w:t xml:space="preserve"> </w:t>
      </w:r>
      <w:r>
        <w:rPr>
          <w:rStyle w:val="Fett"/>
          <w:rFonts w:eastAsiaTheme="majorEastAsia"/>
          <w:rtl/>
        </w:rPr>
        <w:t>וִידַעְתֶּם</w:t>
      </w:r>
      <w:r>
        <w:rPr>
          <w:rtl/>
        </w:rPr>
        <w:t xml:space="preserve"> </w:t>
      </w:r>
      <w:r>
        <w:t xml:space="preserve">ist Qal Perfekt, 2. Person Maskulinum Plural von </w:t>
      </w:r>
      <w:r>
        <w:rPr>
          <w:rStyle w:val="Fett"/>
          <w:rFonts w:eastAsiaTheme="majorEastAsia"/>
          <w:rtl/>
        </w:rPr>
        <w:t>ידע</w:t>
      </w:r>
      <w:r>
        <w:rPr>
          <w:rtl/>
        </w:rPr>
        <w:t xml:space="preserve"> </w:t>
      </w:r>
      <w:r>
        <w:t xml:space="preserve">(„wissen, erkennen, kennen") mit </w:t>
      </w:r>
      <w:r>
        <w:rPr>
          <w:rStyle w:val="Fett"/>
          <w:rFonts w:eastAsiaTheme="majorEastAsia"/>
        </w:rPr>
        <w:t>Waw</w:t>
      </w:r>
      <w:r>
        <w:t xml:space="preserve"> copulativum, das hier konsequent verstanden wird. Die Perfektform kann auch als Imperativ verstanden werden („erkennt!"). </w:t>
      </w:r>
      <w:r>
        <w:rPr>
          <w:rStyle w:val="Fett"/>
          <w:rFonts w:eastAsiaTheme="majorEastAsia"/>
          <w:rtl/>
        </w:rPr>
        <w:t>הַיּוֹם</w:t>
      </w:r>
      <w:r>
        <w:rPr>
          <w:rtl/>
        </w:rPr>
        <w:t xml:space="preserve"> </w:t>
      </w:r>
      <w:r>
        <w:t xml:space="preserve">ist ein temporales Adverb („heute"), das die Gegenwart der Anrede betont und die Aktualität der Botschaft unterstreicht. </w:t>
      </w:r>
      <w:r>
        <w:rPr>
          <w:rStyle w:val="Fett"/>
          <w:rFonts w:eastAsiaTheme="majorEastAsia"/>
          <w:rtl/>
        </w:rPr>
        <w:t>כִּי</w:t>
      </w:r>
      <w:r>
        <w:rPr>
          <w:rtl/>
        </w:rPr>
        <w:t xml:space="preserve"> </w:t>
      </w:r>
      <w:r>
        <w:t xml:space="preserve">ist eine kausale oder explikative Konjunktion („denn, dass"), die den folgenden </w:t>
      </w:r>
      <w:proofErr w:type="spellStart"/>
      <w:r w:rsidR="007E2044">
        <w:t>Parenthesesatz</w:t>
      </w:r>
      <w:proofErr w:type="spellEnd"/>
      <w:r>
        <w:t xml:space="preserve"> einleitet.</w:t>
      </w:r>
    </w:p>
    <w:p w14:paraId="071C721B" w14:textId="77777777" w:rsidR="00607566" w:rsidRDefault="00607566" w:rsidP="00607566">
      <w:pPr>
        <w:pStyle w:val="whitespace-normal"/>
      </w:pPr>
      <w:r>
        <w:rPr>
          <w:rStyle w:val="Fett"/>
          <w:rFonts w:eastAsiaTheme="majorEastAsia"/>
          <w:rtl/>
        </w:rPr>
        <w:t>לֹא אֶת־בְּנֵיכֶם</w:t>
      </w:r>
      <w:r>
        <w:rPr>
          <w:rtl/>
        </w:rPr>
        <w:t xml:space="preserve"> </w:t>
      </w:r>
      <w:r>
        <w:t xml:space="preserve">ist eine negierte Objektangabe: </w:t>
      </w:r>
      <w:r>
        <w:rPr>
          <w:rStyle w:val="Fett"/>
          <w:rFonts w:eastAsiaTheme="majorEastAsia"/>
          <w:rtl/>
        </w:rPr>
        <w:t>לֹא</w:t>
      </w:r>
      <w:r>
        <w:rPr>
          <w:rtl/>
        </w:rPr>
        <w:t xml:space="preserve"> </w:t>
      </w:r>
      <w:r>
        <w:t xml:space="preserve">(Negation) mit </w:t>
      </w:r>
      <w:r>
        <w:rPr>
          <w:rStyle w:val="Fett"/>
          <w:rFonts w:eastAsiaTheme="majorEastAsia"/>
          <w:rtl/>
        </w:rPr>
        <w:t>אֵת</w:t>
      </w:r>
      <w:r>
        <w:rPr>
          <w:rtl/>
        </w:rPr>
        <w:t xml:space="preserve"> </w:t>
      </w:r>
      <w:r>
        <w:t xml:space="preserve">(Objektpartikel) und </w:t>
      </w:r>
      <w:r>
        <w:rPr>
          <w:rStyle w:val="Fett"/>
          <w:rFonts w:eastAsiaTheme="majorEastAsia"/>
          <w:rtl/>
        </w:rPr>
        <w:t>בְּנֵיכֶם</w:t>
      </w:r>
      <w:r>
        <w:rPr>
          <w:rtl/>
        </w:rPr>
        <w:t xml:space="preserve"> </w:t>
      </w:r>
      <w:r>
        <w:t xml:space="preserve">(Plural von </w:t>
      </w:r>
      <w:r>
        <w:rPr>
          <w:rStyle w:val="Fett"/>
          <w:rFonts w:eastAsiaTheme="majorEastAsia"/>
          <w:rtl/>
        </w:rPr>
        <w:t>בֵּן</w:t>
      </w:r>
      <w:r>
        <w:t xml:space="preserve">, „Sohn", mit Suffix 2. Person Maskulinum Plural). Diese Konstruktion führt eine Parenthese ein, die klarstellt, wer nicht gemeint ist. </w:t>
      </w:r>
      <w:r>
        <w:rPr>
          <w:rStyle w:val="Fett"/>
          <w:rFonts w:eastAsiaTheme="majorEastAsia"/>
          <w:rtl/>
        </w:rPr>
        <w:t>אֲשֶׁר לֹא־יָדְעוּ וַאֲשֶׁר לֹא־רָאוּ</w:t>
      </w:r>
      <w:r>
        <w:rPr>
          <w:rtl/>
        </w:rPr>
        <w:t xml:space="preserve"> </w:t>
      </w:r>
      <w:r>
        <w:t xml:space="preserve">sind zwei parallele Relativsätze: </w:t>
      </w:r>
      <w:r>
        <w:rPr>
          <w:rStyle w:val="Fett"/>
          <w:rFonts w:eastAsiaTheme="majorEastAsia"/>
          <w:rtl/>
        </w:rPr>
        <w:t>אֲשֶׁר</w:t>
      </w:r>
      <w:r>
        <w:rPr>
          <w:rtl/>
        </w:rPr>
        <w:t xml:space="preserve"> </w:t>
      </w:r>
      <w:r>
        <w:t xml:space="preserve">(Relativpronomen) mit </w:t>
      </w:r>
      <w:r>
        <w:rPr>
          <w:rStyle w:val="Fett"/>
          <w:rFonts w:eastAsiaTheme="majorEastAsia"/>
          <w:rtl/>
        </w:rPr>
        <w:t>לֹא־יָדְעוּ</w:t>
      </w:r>
      <w:r>
        <w:rPr>
          <w:rtl/>
        </w:rPr>
        <w:t xml:space="preserve"> </w:t>
      </w:r>
      <w:r>
        <w:t xml:space="preserve">(Qal Perfekt, 3. Person Plural von </w:t>
      </w:r>
      <w:r>
        <w:rPr>
          <w:rStyle w:val="Fett"/>
          <w:rFonts w:eastAsiaTheme="majorEastAsia"/>
          <w:rtl/>
        </w:rPr>
        <w:t>ידע</w:t>
      </w:r>
      <w:r>
        <w:t xml:space="preserve">, „wissen", negiert), koordiniert durch </w:t>
      </w:r>
      <w:r>
        <w:rPr>
          <w:rStyle w:val="Fett"/>
          <w:rFonts w:eastAsiaTheme="majorEastAsia"/>
        </w:rPr>
        <w:t>Waw</w:t>
      </w:r>
      <w:r>
        <w:t xml:space="preserve"> mit einem zweiten </w:t>
      </w:r>
      <w:r>
        <w:rPr>
          <w:rStyle w:val="Fett"/>
          <w:rFonts w:eastAsiaTheme="majorEastAsia"/>
          <w:rtl/>
        </w:rPr>
        <w:t>אֲשֶׁר</w:t>
      </w:r>
      <w:r>
        <w:rPr>
          <w:rtl/>
        </w:rPr>
        <w:t xml:space="preserve"> </w:t>
      </w:r>
      <w:r>
        <w:t xml:space="preserve">und </w:t>
      </w:r>
      <w:r>
        <w:rPr>
          <w:rStyle w:val="Fett"/>
          <w:rFonts w:eastAsiaTheme="majorEastAsia"/>
          <w:rtl/>
        </w:rPr>
        <w:t>לֹא־רָאוּ</w:t>
      </w:r>
      <w:r>
        <w:rPr>
          <w:rtl/>
        </w:rPr>
        <w:t xml:space="preserve"> </w:t>
      </w:r>
      <w:r>
        <w:t xml:space="preserve">(Qal Perfekt, 3. Person Plural von </w:t>
      </w:r>
      <w:r>
        <w:rPr>
          <w:rStyle w:val="Fett"/>
          <w:rFonts w:eastAsiaTheme="majorEastAsia"/>
          <w:rtl/>
        </w:rPr>
        <w:t>ראה</w:t>
      </w:r>
      <w:r>
        <w:t>, „sehen", negiert). Diese doppelte Negation betont, dass die Kinder weder durch Erfahrung noch durch Augenzeugenschaft Zugang zu den beschriebenen Ereignissen hatten.</w:t>
      </w:r>
    </w:p>
    <w:p w14:paraId="69522503" w14:textId="77777777" w:rsidR="00607566" w:rsidRDefault="00607566" w:rsidP="00607566">
      <w:pPr>
        <w:pStyle w:val="whitespace-normal"/>
      </w:pPr>
      <w:r>
        <w:rPr>
          <w:rStyle w:val="Fett"/>
          <w:rFonts w:eastAsiaTheme="majorEastAsia"/>
          <w:rtl/>
        </w:rPr>
        <w:t>אֶת־מוּסַר יְהוָה אֱלֹהֵיכֶם</w:t>
      </w:r>
      <w:r>
        <w:rPr>
          <w:rtl/>
        </w:rPr>
        <w:t xml:space="preserve"> </w:t>
      </w:r>
      <w:r>
        <w:t xml:space="preserve">ist das erste direkte Objekt nach der Parenthese: </w:t>
      </w:r>
      <w:r>
        <w:rPr>
          <w:rStyle w:val="Fett"/>
          <w:rFonts w:eastAsiaTheme="majorEastAsia"/>
          <w:rtl/>
        </w:rPr>
        <w:t>אֵת</w:t>
      </w:r>
      <w:r>
        <w:rPr>
          <w:rtl/>
        </w:rPr>
        <w:t xml:space="preserve"> </w:t>
      </w:r>
      <w:r>
        <w:t xml:space="preserve">(Objektpartikel) mit </w:t>
      </w:r>
      <w:r>
        <w:rPr>
          <w:rStyle w:val="Fett"/>
          <w:rFonts w:eastAsiaTheme="majorEastAsia"/>
          <w:rtl/>
        </w:rPr>
        <w:t>מוּסַר</w:t>
      </w:r>
      <w:r>
        <w:rPr>
          <w:rtl/>
        </w:rPr>
        <w:t xml:space="preserve"> </w:t>
      </w:r>
      <w:r>
        <w:t xml:space="preserve">(„Zucht, Unterweisung, Erziehung, Züchtigung") im Construct mit </w:t>
      </w:r>
      <w:r>
        <w:rPr>
          <w:rStyle w:val="Fett"/>
          <w:rFonts w:eastAsiaTheme="majorEastAsia"/>
          <w:rtl/>
        </w:rPr>
        <w:t>יְהוָה אֱלֹהֵיכֶם</w:t>
      </w:r>
      <w:r>
        <w:rPr>
          <w:rtl/>
        </w:rPr>
        <w:t xml:space="preserve"> </w:t>
      </w:r>
      <w:r>
        <w:t xml:space="preserve">(Tetragramm und Apposition </w:t>
      </w:r>
      <w:r>
        <w:rPr>
          <w:rStyle w:val="Fett"/>
          <w:rFonts w:eastAsiaTheme="majorEastAsia"/>
          <w:rtl/>
        </w:rPr>
        <w:t>אֱלֹהֵיכֶם</w:t>
      </w:r>
      <w:r>
        <w:t xml:space="preserve">, Plural von </w:t>
      </w:r>
      <w:r>
        <w:rPr>
          <w:rStyle w:val="Fett"/>
          <w:rFonts w:eastAsiaTheme="majorEastAsia"/>
          <w:rtl/>
        </w:rPr>
        <w:t>אֱלֹהִים</w:t>
      </w:r>
      <w:r>
        <w:rPr>
          <w:rtl/>
        </w:rPr>
        <w:t xml:space="preserve"> </w:t>
      </w:r>
      <w:r>
        <w:t xml:space="preserve">mit Suffix 2. Person Maskulinum Plural). Das Substantiv </w:t>
      </w:r>
      <w:r>
        <w:rPr>
          <w:rStyle w:val="Fett"/>
          <w:rFonts w:eastAsiaTheme="majorEastAsia"/>
          <w:rtl/>
        </w:rPr>
        <w:t>מוּסַר</w:t>
      </w:r>
      <w:r>
        <w:rPr>
          <w:rtl/>
        </w:rPr>
        <w:t xml:space="preserve"> </w:t>
      </w:r>
      <w:r>
        <w:t xml:space="preserve">bezeichnet hier die erzieherischen Taten Gottes in der Geschichte. </w:t>
      </w:r>
      <w:r>
        <w:rPr>
          <w:rStyle w:val="Fett"/>
          <w:rFonts w:eastAsiaTheme="majorEastAsia"/>
          <w:rtl/>
        </w:rPr>
        <w:t>אֶת־גָּדְלוֹ</w:t>
      </w:r>
      <w:r>
        <w:rPr>
          <w:rtl/>
        </w:rPr>
        <w:t xml:space="preserve"> </w:t>
      </w:r>
      <w:r>
        <w:t xml:space="preserve">ist ein zweites Objekt: </w:t>
      </w:r>
      <w:r>
        <w:rPr>
          <w:rStyle w:val="Fett"/>
          <w:rFonts w:eastAsiaTheme="majorEastAsia"/>
          <w:rtl/>
        </w:rPr>
        <w:t>אֵת</w:t>
      </w:r>
      <w:r>
        <w:rPr>
          <w:rtl/>
        </w:rPr>
        <w:t xml:space="preserve"> </w:t>
      </w:r>
      <w:r>
        <w:t xml:space="preserve">mit </w:t>
      </w:r>
      <w:r>
        <w:rPr>
          <w:rStyle w:val="Fett"/>
          <w:rFonts w:eastAsiaTheme="majorEastAsia"/>
          <w:rtl/>
        </w:rPr>
        <w:t>גֹּדֶל</w:t>
      </w:r>
      <w:r>
        <w:rPr>
          <w:rtl/>
        </w:rPr>
        <w:t xml:space="preserve"> </w:t>
      </w:r>
      <w:r>
        <w:t xml:space="preserve">(„Größe, Herrlichkeit") und Suffix 3. Person Maskulinum Singular, als Apposition oder Erklärung zu </w:t>
      </w:r>
      <w:r>
        <w:rPr>
          <w:rStyle w:val="Fett"/>
          <w:rFonts w:eastAsiaTheme="majorEastAsia"/>
          <w:rtl/>
        </w:rPr>
        <w:t>מוּסַר</w:t>
      </w:r>
      <w:r>
        <w:rPr>
          <w:rtl/>
        </w:rPr>
        <w:t xml:space="preserve"> </w:t>
      </w:r>
      <w:r>
        <w:t>zu verstehen.</w:t>
      </w:r>
    </w:p>
    <w:p w14:paraId="0F62CE91" w14:textId="77777777" w:rsidR="00607566" w:rsidRDefault="00607566" w:rsidP="00607566">
      <w:pPr>
        <w:pStyle w:val="whitespace-normal"/>
      </w:pPr>
      <w:r>
        <w:rPr>
          <w:rStyle w:val="Fett"/>
          <w:rFonts w:eastAsiaTheme="majorEastAsia"/>
          <w:rtl/>
        </w:rPr>
        <w:t>אֶת־יָדוֹ הַחֲזָקָה וּזְרֹעוֹ הַנְּטוּיָה</w:t>
      </w:r>
      <w:r>
        <w:rPr>
          <w:rtl/>
        </w:rPr>
        <w:t xml:space="preserve"> </w:t>
      </w:r>
      <w:r>
        <w:t xml:space="preserve">ist eine dritte koordinierte Objektangabe: </w:t>
      </w:r>
      <w:r>
        <w:rPr>
          <w:rStyle w:val="Fett"/>
          <w:rFonts w:eastAsiaTheme="majorEastAsia"/>
          <w:rtl/>
        </w:rPr>
        <w:t>אֵת</w:t>
      </w:r>
      <w:r>
        <w:rPr>
          <w:rtl/>
        </w:rPr>
        <w:t xml:space="preserve"> </w:t>
      </w:r>
      <w:r>
        <w:t xml:space="preserve">mit </w:t>
      </w:r>
      <w:r>
        <w:rPr>
          <w:rStyle w:val="Fett"/>
          <w:rFonts w:eastAsiaTheme="majorEastAsia"/>
          <w:rtl/>
        </w:rPr>
        <w:t>יָד</w:t>
      </w:r>
      <w:r>
        <w:rPr>
          <w:rtl/>
        </w:rPr>
        <w:t xml:space="preserve"> </w:t>
      </w:r>
      <w:r>
        <w:t xml:space="preserve">(„Hand") und Suffix 3. Person Maskulinum Singular, gefolgt vom Attribut </w:t>
      </w:r>
      <w:r>
        <w:rPr>
          <w:rStyle w:val="Fett"/>
          <w:rFonts w:eastAsiaTheme="majorEastAsia"/>
          <w:rtl/>
        </w:rPr>
        <w:t>הַחֲזָקָה</w:t>
      </w:r>
      <w:r>
        <w:rPr>
          <w:rtl/>
        </w:rPr>
        <w:t xml:space="preserve"> </w:t>
      </w:r>
      <w:r>
        <w:t xml:space="preserve">(feminin Singular von </w:t>
      </w:r>
      <w:r>
        <w:rPr>
          <w:rStyle w:val="Fett"/>
          <w:rFonts w:eastAsiaTheme="majorEastAsia"/>
          <w:rtl/>
        </w:rPr>
        <w:t>חָזָק</w:t>
      </w:r>
      <w:r>
        <w:t xml:space="preserve">, „stark", mit Artikel), koordiniert durch </w:t>
      </w:r>
      <w:r>
        <w:rPr>
          <w:rStyle w:val="Fett"/>
          <w:rFonts w:eastAsiaTheme="majorEastAsia"/>
        </w:rPr>
        <w:t>Waw</w:t>
      </w:r>
      <w:r>
        <w:t xml:space="preserve"> mit </w:t>
      </w:r>
      <w:r>
        <w:rPr>
          <w:rStyle w:val="Fett"/>
          <w:rFonts w:eastAsiaTheme="majorEastAsia"/>
          <w:rtl/>
        </w:rPr>
        <w:t>זְרֹעַ</w:t>
      </w:r>
      <w:r>
        <w:rPr>
          <w:rtl/>
        </w:rPr>
        <w:t xml:space="preserve"> </w:t>
      </w:r>
      <w:r>
        <w:t xml:space="preserve">(„Arm") und Suffix 3. Person Maskulinum Singular sowie dem Attribut </w:t>
      </w:r>
      <w:r>
        <w:rPr>
          <w:rStyle w:val="Fett"/>
          <w:rFonts w:eastAsiaTheme="majorEastAsia"/>
          <w:rtl/>
        </w:rPr>
        <w:t>הַנְּטוּיָה</w:t>
      </w:r>
      <w:r>
        <w:rPr>
          <w:rtl/>
        </w:rPr>
        <w:t xml:space="preserve"> </w:t>
      </w:r>
      <w:r>
        <w:t xml:space="preserve">(Qal Partizip Passiv feminin Singular von </w:t>
      </w:r>
      <w:r>
        <w:rPr>
          <w:rStyle w:val="Fett"/>
          <w:rFonts w:eastAsiaTheme="majorEastAsia"/>
          <w:rtl/>
        </w:rPr>
        <w:t>נטה</w:t>
      </w:r>
      <w:r>
        <w:t>, „ausstrecken", mit Artikel). Die Wendung „starke Hand und ausgestreckter Arm" ist eine feste deuteronomische Formel für Gottes machtvolles Handeln beim Exodus (vgl. 4,34; 5,15; 7,19; 26,8).</w:t>
      </w:r>
    </w:p>
    <w:p w14:paraId="5C9B486C" w14:textId="6E14712E" w:rsidR="00607566" w:rsidRDefault="00607566" w:rsidP="00607566">
      <w:pPr>
        <w:pStyle w:val="whitespace-normal"/>
      </w:pPr>
      <w:r>
        <w:t xml:space="preserve">Die Syntax zeigt eine komplexe Struktur mit eingeschobener Parenthese: Die Hauptaussage „ihr erkennt heute die Zucht JHWHs" wird durch einen erklärenden Einschub unterbrochen, der klarstellt, dass die Anrede an die Exodusgeneration (bzw. deren direkte Nachkommen) gerichtet ist, nicht an spätere Generationen. </w:t>
      </w:r>
      <w:r w:rsidR="00711910">
        <w:t xml:space="preserve">Nur diese Generation ist Augenzeuge. </w:t>
      </w:r>
      <w:r>
        <w:t>Die dreifache Objektangabe (</w:t>
      </w:r>
      <w:r>
        <w:rPr>
          <w:rStyle w:val="Fett"/>
          <w:rFonts w:eastAsiaTheme="majorEastAsia"/>
          <w:rtl/>
        </w:rPr>
        <w:t>מוּסַר</w:t>
      </w:r>
      <w:r>
        <w:t xml:space="preserve">, </w:t>
      </w:r>
      <w:r>
        <w:rPr>
          <w:rStyle w:val="Fett"/>
          <w:rFonts w:eastAsiaTheme="majorEastAsia"/>
          <w:rtl/>
        </w:rPr>
        <w:t>גֹּדֶל</w:t>
      </w:r>
      <w:r>
        <w:t xml:space="preserve">, </w:t>
      </w:r>
      <w:r>
        <w:rPr>
          <w:rStyle w:val="Fett"/>
          <w:rFonts w:eastAsiaTheme="majorEastAsia"/>
          <w:rtl/>
        </w:rPr>
        <w:t>יָד וּזְרֹעַ</w:t>
      </w:r>
      <w:r>
        <w:t xml:space="preserve">) konkretisiert verschiedene Aspekte von Gottes Handeln. Die Konstruktion </w:t>
      </w:r>
      <w:r>
        <w:rPr>
          <w:rStyle w:val="Fett"/>
          <w:rFonts w:eastAsiaTheme="majorEastAsia"/>
          <w:rtl/>
        </w:rPr>
        <w:t>אֲשֶׁר לֹא־יָדְעוּ וַאֲשֶׁר לֹא־רָאוּ</w:t>
      </w:r>
      <w:r>
        <w:rPr>
          <w:rtl/>
        </w:rPr>
        <w:t xml:space="preserve"> </w:t>
      </w:r>
      <w:r>
        <w:t>verwendet die Verben „wissen" und „sehen", die zusammen die vollständige Nichterfahrung ausdrücken.</w:t>
      </w:r>
    </w:p>
    <w:p w14:paraId="4C363678" w14:textId="77777777" w:rsidR="00607566" w:rsidRDefault="00607566" w:rsidP="00607566">
      <w:pPr>
        <w:pStyle w:val="whitespace-normal"/>
      </w:pPr>
      <w:r>
        <w:rPr>
          <w:rStyle w:val="Fett"/>
          <w:rFonts w:eastAsiaTheme="majorEastAsia"/>
        </w:rPr>
        <w:t>Die LXX</w:t>
      </w:r>
      <w:r>
        <w:t xml:space="preserve"> übersetzt „erkennt" mit „</w:t>
      </w:r>
      <w:proofErr w:type="spellStart"/>
      <w:r>
        <w:t>γνώσεσθε</w:t>
      </w:r>
      <w:proofErr w:type="spellEnd"/>
      <w:r>
        <w:t>" (Futur), was sowohl die Aufforderung als auch die Feststellung ausdrücken kann. „Zucht" wird mit „πα</w:t>
      </w:r>
      <w:proofErr w:type="spellStart"/>
      <w:r>
        <w:t>ιδεί</w:t>
      </w:r>
      <w:proofErr w:type="spellEnd"/>
      <w:r>
        <w:t>αν" („Erziehung, Züchtigung") wiedergegeben, was die pädagogische Dimension des Begriffs gut erfasst. Die Parenthese wird durch „</w:t>
      </w:r>
      <w:proofErr w:type="spellStart"/>
      <w:r>
        <w:t>οὐ</w:t>
      </w:r>
      <w:proofErr w:type="spellEnd"/>
      <w:r>
        <w:t xml:space="preserve"> </w:t>
      </w:r>
      <w:proofErr w:type="spellStart"/>
      <w:r>
        <w:t>τοῖς</w:t>
      </w:r>
      <w:proofErr w:type="spellEnd"/>
      <w:r>
        <w:t xml:space="preserve"> </w:t>
      </w:r>
      <w:proofErr w:type="spellStart"/>
      <w:r>
        <w:t>υἱοῖς</w:t>
      </w:r>
      <w:proofErr w:type="spellEnd"/>
      <w:r>
        <w:t xml:space="preserve"> </w:t>
      </w:r>
      <w:proofErr w:type="spellStart"/>
      <w:r>
        <w:t>ὑμῶν</w:t>
      </w:r>
      <w:proofErr w:type="spellEnd"/>
      <w:r>
        <w:t>" („nicht mit euren Söhnen") eingeleitet.</w:t>
      </w:r>
    </w:p>
    <w:p w14:paraId="56D46E43" w14:textId="77777777" w:rsidR="00607566" w:rsidRDefault="00607566" w:rsidP="00607566">
      <w:pPr>
        <w:pStyle w:val="whitespace-normal"/>
      </w:pPr>
      <w:r>
        <w:t xml:space="preserve">Die Satzstruktur besteht aus einem Hauptsatz mit eingeschobener Parenthese und mehrfachem Objekt: Prädikat (erkennt), temporales Adverb (heute), Parenthese eingeleitet durch kausale </w:t>
      </w:r>
      <w:r>
        <w:lastRenderedPageBreak/>
        <w:t>Konjunktion mit negiertem Objekt (nicht mit euren Kindern) und zwei parallelen Relativsätzen (die nicht wissen und nicht gesehen haben), dann Wiederaufnahme des Hauptsatzes mit dreifachem koordiniertem Objekt (die Zucht JHWHs, eures Gottes, seine Größe, seine starke Hand und seinen ausgestreckten Arm).</w:t>
      </w:r>
    </w:p>
    <w:p w14:paraId="2E96E3EC" w14:textId="77777777" w:rsidR="00607566" w:rsidRDefault="00607566" w:rsidP="00607566">
      <w:pPr>
        <w:pStyle w:val="whitespace-normal"/>
      </w:pPr>
      <w:r>
        <w:t>Der Vers betont die einzigartige Position der gegenwärtigen Generation: Sie haben als Augenzeugen Gottes machtvolle Erziehung erlebt, im Gegensatz zu den Kindern, die diese Erfahrung nicht teilen.</w:t>
      </w:r>
    </w:p>
    <w:p w14:paraId="6DB29791" w14:textId="77777777" w:rsidR="00607566" w:rsidRPr="00711910" w:rsidRDefault="00607566" w:rsidP="00607566">
      <w:pPr>
        <w:pStyle w:val="berschrift1"/>
        <w:rPr>
          <w:rFonts w:ascii="Times New Roman" w:hAnsi="Times New Roman"/>
          <w:b/>
          <w:bCs/>
          <w:color w:val="auto"/>
          <w:sz w:val="36"/>
          <w:szCs w:val="36"/>
        </w:rPr>
      </w:pPr>
      <w:r w:rsidRPr="00711910">
        <w:rPr>
          <w:rFonts w:ascii="Times New Roman" w:hAnsi="Times New Roman"/>
          <w:b/>
          <w:bCs/>
          <w:color w:val="auto"/>
          <w:sz w:val="36"/>
          <w:szCs w:val="36"/>
        </w:rPr>
        <w:t>Deuteronomium 11,3</w:t>
      </w:r>
    </w:p>
    <w:p w14:paraId="776D96C6" w14:textId="77777777" w:rsidR="00607566" w:rsidRDefault="00607566" w:rsidP="00607566">
      <w:pPr>
        <w:pStyle w:val="whitespace-normal"/>
      </w:pPr>
      <w:r>
        <w:rPr>
          <w:rStyle w:val="Fett"/>
          <w:rFonts w:eastAsiaTheme="majorEastAsia"/>
        </w:rPr>
        <w:t>Hebräisch:</w:t>
      </w:r>
      <w:r>
        <w:t xml:space="preserve"> </w:t>
      </w:r>
      <w:r>
        <w:rPr>
          <w:rtl/>
        </w:rPr>
        <w:t>וְאֶת־אֹֽתֹתָיו֙ וְאֶֽת־מַעֲשָׂ֔יו אֲשֶׁ֥ר עָשָׂ֖ה בְּת֣וֹךְ מִצְרָ֑יִם לְפַרְעֹ֥ה מֶֽלֶךְ־מִצְרַ֖יִם וּלְכָל־אַרְצֹֽו׃</w:t>
      </w:r>
    </w:p>
    <w:p w14:paraId="423E28EF" w14:textId="77777777" w:rsidR="00607566" w:rsidRDefault="00607566" w:rsidP="00607566">
      <w:pPr>
        <w:pStyle w:val="whitespace-normal"/>
      </w:pPr>
      <w:r>
        <w:rPr>
          <w:rStyle w:val="Fett"/>
          <w:rFonts w:eastAsiaTheme="majorEastAsia"/>
        </w:rPr>
        <w:t>Deutsch:</w:t>
      </w:r>
      <w:r>
        <w:t xml:space="preserve"> und seine Zeichen und seine Taten, die er in Mizrajim getan hat, an Par'o, dem König von Mizrajim, und an seinem ganzen Land;</w:t>
      </w:r>
    </w:p>
    <w:p w14:paraId="65B52E2A" w14:textId="77777777" w:rsidR="00607566" w:rsidRDefault="004F5CEB" w:rsidP="00607566">
      <w:r>
        <w:rPr>
          <w:noProof/>
        </w:rPr>
        <w:pict w14:anchorId="3DAABD96">
          <v:rect id="_x0000_i1343" style="width:0;height:1.5pt" o:hralign="center" o:hrstd="t" o:hr="t" fillcolor="#a0a0a0" stroked="f"/>
        </w:pict>
      </w:r>
    </w:p>
    <w:p w14:paraId="72B8FD30" w14:textId="77777777" w:rsidR="00607566" w:rsidRDefault="00607566" w:rsidP="00607566">
      <w:pPr>
        <w:pStyle w:val="whitespace-normal"/>
      </w:pPr>
      <w:r>
        <w:rPr>
          <w:rStyle w:val="Fett"/>
          <w:rFonts w:eastAsiaTheme="majorEastAsia"/>
        </w:rPr>
        <w:t>Kommentar:</w:t>
      </w:r>
      <w:r>
        <w:t xml:space="preserve"> </w:t>
      </w:r>
      <w:r>
        <w:rPr>
          <w:rStyle w:val="Fett"/>
          <w:rFonts w:eastAsiaTheme="majorEastAsia"/>
          <w:rtl/>
        </w:rPr>
        <w:t>וְאֶת־אֹתֹתָיו וְאֶת־מַעֲשָׂיו</w:t>
      </w:r>
      <w:r>
        <w:rPr>
          <w:rtl/>
        </w:rPr>
        <w:t xml:space="preserve"> </w:t>
      </w:r>
      <w:r>
        <w:t xml:space="preserve">ist eine zweigliedrige koordinierte Objektangabe, die die Aufzählung aus Vers 2 fortsetzt: </w:t>
      </w:r>
      <w:r>
        <w:rPr>
          <w:rStyle w:val="Fett"/>
          <w:rFonts w:eastAsiaTheme="majorEastAsia"/>
          <w:rtl/>
        </w:rPr>
        <w:t>וְאֵת</w:t>
      </w:r>
      <w:r>
        <w:rPr>
          <w:rtl/>
        </w:rPr>
        <w:t xml:space="preserve"> </w:t>
      </w:r>
      <w:r>
        <w:t xml:space="preserve">(Objektpartikel mit </w:t>
      </w:r>
      <w:r>
        <w:rPr>
          <w:rStyle w:val="Fett"/>
          <w:rFonts w:eastAsiaTheme="majorEastAsia"/>
        </w:rPr>
        <w:t>Waw</w:t>
      </w:r>
      <w:r>
        <w:t xml:space="preserve">) mit </w:t>
      </w:r>
      <w:r>
        <w:rPr>
          <w:rStyle w:val="Fett"/>
          <w:rFonts w:eastAsiaTheme="majorEastAsia"/>
          <w:rtl/>
        </w:rPr>
        <w:t>אֹתוֹת</w:t>
      </w:r>
      <w:r>
        <w:rPr>
          <w:rtl/>
        </w:rPr>
        <w:t xml:space="preserve"> </w:t>
      </w:r>
      <w:r>
        <w:t xml:space="preserve">(Plural von </w:t>
      </w:r>
      <w:r>
        <w:rPr>
          <w:rStyle w:val="Fett"/>
          <w:rFonts w:eastAsiaTheme="majorEastAsia"/>
          <w:rtl/>
        </w:rPr>
        <w:t>אוֹת</w:t>
      </w:r>
      <w:r>
        <w:t xml:space="preserve">, „Zeichen, Wunder") und Suffix 3. Person Maskulinum Singular, koordiniert durch </w:t>
      </w:r>
      <w:r>
        <w:rPr>
          <w:rStyle w:val="Fett"/>
          <w:rFonts w:eastAsiaTheme="majorEastAsia"/>
          <w:rtl/>
        </w:rPr>
        <w:t>וְאֵת</w:t>
      </w:r>
      <w:r>
        <w:rPr>
          <w:rtl/>
        </w:rPr>
        <w:t xml:space="preserve"> </w:t>
      </w:r>
      <w:r>
        <w:t xml:space="preserve">mit </w:t>
      </w:r>
      <w:r>
        <w:rPr>
          <w:rStyle w:val="Fett"/>
          <w:rFonts w:eastAsiaTheme="majorEastAsia"/>
          <w:rtl/>
        </w:rPr>
        <w:t>מַעֲשֶׂה</w:t>
      </w:r>
      <w:r>
        <w:rPr>
          <w:rtl/>
        </w:rPr>
        <w:t xml:space="preserve"> </w:t>
      </w:r>
      <w:r>
        <w:t xml:space="preserve">(Plural von </w:t>
      </w:r>
      <w:r>
        <w:rPr>
          <w:rStyle w:val="Fett"/>
          <w:rFonts w:eastAsiaTheme="majorEastAsia"/>
          <w:rtl/>
        </w:rPr>
        <w:t>מַעֲשֶׂה</w:t>
      </w:r>
      <w:r>
        <w:t xml:space="preserve">, „Tat, Werk") und Suffix 3. Person Maskulinum Singular. Die Begriffe </w:t>
      </w:r>
      <w:r>
        <w:rPr>
          <w:rStyle w:val="Fett"/>
          <w:rFonts w:eastAsiaTheme="majorEastAsia"/>
          <w:rtl/>
        </w:rPr>
        <w:t>אֹתוֹת</w:t>
      </w:r>
      <w:r>
        <w:rPr>
          <w:rtl/>
        </w:rPr>
        <w:t xml:space="preserve"> </w:t>
      </w:r>
      <w:r>
        <w:t xml:space="preserve">und </w:t>
      </w:r>
      <w:r>
        <w:rPr>
          <w:rStyle w:val="Fett"/>
          <w:rFonts w:eastAsiaTheme="majorEastAsia"/>
          <w:rtl/>
        </w:rPr>
        <w:t>מַעֲשִׂים</w:t>
      </w:r>
      <w:r>
        <w:rPr>
          <w:rtl/>
        </w:rPr>
        <w:t xml:space="preserve"> </w:t>
      </w:r>
      <w:r>
        <w:t>bilden ein Begriffspaar: Zeichen verweisen auf die symbolische Bedeutung göttlicher Interventionen, Taten auf die konkreten Handlungen.</w:t>
      </w:r>
    </w:p>
    <w:p w14:paraId="3DD604E9" w14:textId="493B4B57" w:rsidR="00607566" w:rsidRDefault="00607566" w:rsidP="00607566">
      <w:pPr>
        <w:pStyle w:val="whitespace-normal"/>
      </w:pPr>
      <w:r>
        <w:rPr>
          <w:rStyle w:val="Fett"/>
          <w:rFonts w:eastAsiaTheme="majorEastAsia"/>
          <w:rtl/>
        </w:rPr>
        <w:t>אֲשֶׁר עָשָׂה בְּתוֹךְ מִצְרָיִם</w:t>
      </w:r>
      <w:r>
        <w:rPr>
          <w:rtl/>
        </w:rPr>
        <w:t xml:space="preserve"> </w:t>
      </w:r>
      <w:r>
        <w:t xml:space="preserve">ist ein Relativsatz: </w:t>
      </w:r>
      <w:r>
        <w:rPr>
          <w:rStyle w:val="Fett"/>
          <w:rFonts w:eastAsiaTheme="majorEastAsia"/>
          <w:rtl/>
        </w:rPr>
        <w:t>אֲשֶׁר</w:t>
      </w:r>
      <w:r>
        <w:rPr>
          <w:rtl/>
        </w:rPr>
        <w:t xml:space="preserve"> </w:t>
      </w:r>
      <w:r>
        <w:t xml:space="preserve">(Relativpronomen) mit </w:t>
      </w:r>
      <w:r>
        <w:rPr>
          <w:rStyle w:val="Fett"/>
          <w:rFonts w:eastAsiaTheme="majorEastAsia"/>
          <w:rtl/>
        </w:rPr>
        <w:t>עָשָׂה</w:t>
      </w:r>
      <w:r>
        <w:rPr>
          <w:rtl/>
        </w:rPr>
        <w:t xml:space="preserve"> </w:t>
      </w:r>
      <w:r>
        <w:t xml:space="preserve">(Qal Perfekt, 3. Person Maskulinum Singular von </w:t>
      </w:r>
      <w:r>
        <w:rPr>
          <w:rStyle w:val="Fett"/>
          <w:rFonts w:eastAsiaTheme="majorEastAsia"/>
          <w:rtl/>
        </w:rPr>
        <w:t>עשׂה</w:t>
      </w:r>
      <w:r>
        <w:t xml:space="preserve">, „tun, machen") und </w:t>
      </w:r>
      <w:r>
        <w:rPr>
          <w:rStyle w:val="Fett"/>
          <w:rFonts w:eastAsiaTheme="majorEastAsia"/>
          <w:rtl/>
        </w:rPr>
        <w:t>בְּתוֹךְ מִצְרָיִם</w:t>
      </w:r>
      <w:r>
        <w:rPr>
          <w:rtl/>
        </w:rPr>
        <w:t xml:space="preserve"> </w:t>
      </w:r>
      <w:r>
        <w:t>als lokale Bestimmung (</w:t>
      </w:r>
      <w:r>
        <w:rPr>
          <w:rStyle w:val="Fett"/>
          <w:rFonts w:eastAsiaTheme="majorEastAsia"/>
          <w:rtl/>
        </w:rPr>
        <w:t>בְּתוֹךְ</w:t>
      </w:r>
      <w:r>
        <w:t xml:space="preserve">, „inmitten, in", mit </w:t>
      </w:r>
      <w:r>
        <w:rPr>
          <w:rStyle w:val="Fett"/>
          <w:rFonts w:eastAsiaTheme="majorEastAsia"/>
          <w:rtl/>
        </w:rPr>
        <w:t>מִצְרַיִם</w:t>
      </w:r>
      <w:r>
        <w:t xml:space="preserve">, „Ägypten"). Die Präposition </w:t>
      </w:r>
      <w:r>
        <w:rPr>
          <w:rStyle w:val="Fett"/>
          <w:rFonts w:eastAsiaTheme="majorEastAsia"/>
          <w:rtl/>
        </w:rPr>
        <w:t>בְּתוֹךְ</w:t>
      </w:r>
      <w:r>
        <w:rPr>
          <w:rtl/>
        </w:rPr>
        <w:t xml:space="preserve"> </w:t>
      </w:r>
      <w:r>
        <w:t xml:space="preserve">betont, dass die Taten im Herzen Ägyptens geschahen. </w:t>
      </w:r>
      <w:r>
        <w:rPr>
          <w:rStyle w:val="Fett"/>
          <w:rFonts w:eastAsiaTheme="majorEastAsia"/>
          <w:rtl/>
        </w:rPr>
        <w:t>לְפַרְעֹה מֶלֶךְ־מִצְרַיִם וּלְכָל־אַרְצוֹ</w:t>
      </w:r>
      <w:r>
        <w:rPr>
          <w:rtl/>
        </w:rPr>
        <w:t xml:space="preserve"> </w:t>
      </w:r>
      <w:r>
        <w:t xml:space="preserve">ist eine zweigliedrige Dativangabe: </w:t>
      </w:r>
      <w:r>
        <w:rPr>
          <w:rStyle w:val="Fett"/>
          <w:rFonts w:eastAsiaTheme="majorEastAsia"/>
          <w:rtl/>
        </w:rPr>
        <w:t>לְ</w:t>
      </w:r>
      <w:r>
        <w:rPr>
          <w:rtl/>
        </w:rPr>
        <w:t xml:space="preserve"> </w:t>
      </w:r>
      <w:r>
        <w:t xml:space="preserve">(„an, gegen") mit </w:t>
      </w:r>
      <w:r>
        <w:rPr>
          <w:rStyle w:val="Fett"/>
          <w:rFonts w:eastAsiaTheme="majorEastAsia"/>
          <w:rtl/>
        </w:rPr>
        <w:t>פַּרְעֹה</w:t>
      </w:r>
      <w:r>
        <w:rPr>
          <w:rtl/>
        </w:rPr>
        <w:t xml:space="preserve"> </w:t>
      </w:r>
      <w:r>
        <w:t>(</w:t>
      </w:r>
      <w:r w:rsidR="003F0E7B">
        <w:t>Par’o</w:t>
      </w:r>
      <w:r>
        <w:t xml:space="preserve">) und der Apposition </w:t>
      </w:r>
      <w:r>
        <w:rPr>
          <w:rStyle w:val="Fett"/>
          <w:rFonts w:eastAsiaTheme="majorEastAsia"/>
          <w:rtl/>
        </w:rPr>
        <w:t>מֶלֶךְ־מִצְרַיִם</w:t>
      </w:r>
      <w:r>
        <w:rPr>
          <w:rtl/>
        </w:rPr>
        <w:t xml:space="preserve"> </w:t>
      </w:r>
      <w:r>
        <w:t>(</w:t>
      </w:r>
      <w:r>
        <w:rPr>
          <w:rStyle w:val="Fett"/>
          <w:rFonts w:eastAsiaTheme="majorEastAsia"/>
          <w:rtl/>
        </w:rPr>
        <w:t>מֶלֶךְ</w:t>
      </w:r>
      <w:r>
        <w:t xml:space="preserve">, „König", im Construct mit </w:t>
      </w:r>
      <w:r>
        <w:rPr>
          <w:rStyle w:val="Fett"/>
          <w:rFonts w:eastAsiaTheme="majorEastAsia"/>
          <w:rtl/>
        </w:rPr>
        <w:t>מִצְרַיִם</w:t>
      </w:r>
      <w:r>
        <w:t xml:space="preserve">), koordiniert durch </w:t>
      </w:r>
      <w:r>
        <w:rPr>
          <w:rStyle w:val="Fett"/>
          <w:rFonts w:eastAsiaTheme="majorEastAsia"/>
          <w:rtl/>
        </w:rPr>
        <w:t>וּלְ</w:t>
      </w:r>
      <w:r>
        <w:rPr>
          <w:rtl/>
        </w:rPr>
        <w:t xml:space="preserve"> </w:t>
      </w:r>
      <w:r>
        <w:t xml:space="preserve">mit </w:t>
      </w:r>
      <w:r>
        <w:rPr>
          <w:rStyle w:val="Fett"/>
          <w:rFonts w:eastAsiaTheme="majorEastAsia"/>
          <w:rtl/>
        </w:rPr>
        <w:t>כָּל־אַרְצוֹ</w:t>
      </w:r>
      <w:r>
        <w:rPr>
          <w:rtl/>
        </w:rPr>
        <w:t xml:space="preserve"> </w:t>
      </w:r>
      <w:r>
        <w:t>(</w:t>
      </w:r>
      <w:r>
        <w:rPr>
          <w:rStyle w:val="Fett"/>
          <w:rFonts w:eastAsiaTheme="majorEastAsia"/>
          <w:rtl/>
        </w:rPr>
        <w:t>כֹּל</w:t>
      </w:r>
      <w:r>
        <w:t xml:space="preserve">, „ganz, all", im Construct mit </w:t>
      </w:r>
      <w:r>
        <w:rPr>
          <w:rStyle w:val="Fett"/>
          <w:rFonts w:eastAsiaTheme="majorEastAsia"/>
          <w:rtl/>
        </w:rPr>
        <w:t>אֶרֶץ</w:t>
      </w:r>
      <w:r>
        <w:t xml:space="preserve">, „Land", und Suffix 3. Person Maskulinum Singular). Die doppelte Verwendung von </w:t>
      </w:r>
      <w:r>
        <w:rPr>
          <w:rStyle w:val="Fett"/>
          <w:rFonts w:eastAsiaTheme="majorEastAsia"/>
          <w:rtl/>
        </w:rPr>
        <w:t>לְ</w:t>
      </w:r>
      <w:r>
        <w:rPr>
          <w:rtl/>
        </w:rPr>
        <w:t xml:space="preserve"> </w:t>
      </w:r>
      <w:r>
        <w:t xml:space="preserve">betont beide Adressaten der göttlichen Plagen: den </w:t>
      </w:r>
      <w:r w:rsidR="003F0E7B">
        <w:t>Par’o</w:t>
      </w:r>
      <w:r>
        <w:t xml:space="preserve"> persönlich und sein gesamtes Reich.</w:t>
      </w:r>
    </w:p>
    <w:p w14:paraId="56873CD4" w14:textId="03A05E0F" w:rsidR="00607566" w:rsidRDefault="00607566" w:rsidP="00607566">
      <w:pPr>
        <w:pStyle w:val="whitespace-normal"/>
      </w:pPr>
      <w:r>
        <w:t xml:space="preserve">Die Syntax zeigt eine Fortsetzung und Konkretisierung der Objekte aus Vers 2: Nach der allgemeinen Erwähnung von Gottes Größe und Macht folgen nun die spezifischen Zeichen und Taten in Ägypten. Die Konstruktion </w:t>
      </w:r>
      <w:r>
        <w:rPr>
          <w:rStyle w:val="Fett"/>
          <w:rFonts w:eastAsiaTheme="majorEastAsia"/>
          <w:rtl/>
        </w:rPr>
        <w:t>לְפַרְעֹה</w:t>
      </w:r>
      <w:r>
        <w:rPr>
          <w:rtl/>
        </w:rPr>
        <w:t xml:space="preserve"> </w:t>
      </w:r>
      <w:r>
        <w:t xml:space="preserve">... </w:t>
      </w:r>
      <w:r>
        <w:rPr>
          <w:rStyle w:val="Fett"/>
          <w:rFonts w:eastAsiaTheme="majorEastAsia"/>
          <w:rtl/>
        </w:rPr>
        <w:t>וּלְכָל־אַרְצוֹ</w:t>
      </w:r>
      <w:r>
        <w:rPr>
          <w:rtl/>
        </w:rPr>
        <w:t xml:space="preserve"> </w:t>
      </w:r>
      <w:r>
        <w:t xml:space="preserve">ist ein Merismus, der die Totalität der göttlichen Intervention ausdrückt: sowohl der Herrscher als auch sein Herrschaftsgebiet wurden getroffen. Die Apposition </w:t>
      </w:r>
      <w:r>
        <w:rPr>
          <w:rStyle w:val="Fett"/>
          <w:rFonts w:eastAsiaTheme="majorEastAsia"/>
          <w:rtl/>
        </w:rPr>
        <w:t>מֶלֶךְ־מִצְרַיִם</w:t>
      </w:r>
      <w:r>
        <w:rPr>
          <w:rtl/>
        </w:rPr>
        <w:t xml:space="preserve"> </w:t>
      </w:r>
      <w:r>
        <w:t xml:space="preserve">identifiziert </w:t>
      </w:r>
      <w:r w:rsidR="003F0E7B">
        <w:t>Par’o</w:t>
      </w:r>
      <w:r>
        <w:t xml:space="preserve"> als den König Ägyptens und unterstreicht die Konfrontation zwischen JHWH und der ägyptischen Macht.</w:t>
      </w:r>
    </w:p>
    <w:p w14:paraId="1D357738" w14:textId="0824E168" w:rsidR="00607566" w:rsidRDefault="00607566" w:rsidP="00607566">
      <w:pPr>
        <w:pStyle w:val="whitespace-normal"/>
      </w:pPr>
      <w:r>
        <w:rPr>
          <w:rStyle w:val="Fett"/>
          <w:rFonts w:eastAsiaTheme="majorEastAsia"/>
        </w:rPr>
        <w:t>Die LXX</w:t>
      </w:r>
      <w:r>
        <w:t xml:space="preserve"> übersetzt „seine Zeichen" mit „</w:t>
      </w:r>
      <w:proofErr w:type="spellStart"/>
      <w:r>
        <w:t>τὰ</w:t>
      </w:r>
      <w:proofErr w:type="spellEnd"/>
      <w:r>
        <w:t xml:space="preserve"> </w:t>
      </w:r>
      <w:proofErr w:type="spellStart"/>
      <w:r>
        <w:t>σημεῖ</w:t>
      </w:r>
      <w:proofErr w:type="spellEnd"/>
      <w:r>
        <w:t>α α</w:t>
      </w:r>
      <w:proofErr w:type="spellStart"/>
      <w:r>
        <w:t>ὐτοῦ</w:t>
      </w:r>
      <w:proofErr w:type="spellEnd"/>
      <w:r>
        <w:t>" und „seine Taten" mit „</w:t>
      </w:r>
      <w:proofErr w:type="spellStart"/>
      <w:r>
        <w:t>τὰ</w:t>
      </w:r>
      <w:proofErr w:type="spellEnd"/>
      <w:r>
        <w:t xml:space="preserve"> </w:t>
      </w:r>
      <w:proofErr w:type="spellStart"/>
      <w:r>
        <w:t>ἔργ</w:t>
      </w:r>
      <w:proofErr w:type="spellEnd"/>
      <w:r>
        <w:t>α α</w:t>
      </w:r>
      <w:proofErr w:type="spellStart"/>
      <w:r>
        <w:t>ὐτοῦ</w:t>
      </w:r>
      <w:proofErr w:type="spellEnd"/>
      <w:r>
        <w:t>", was die hebräischen Begriffe angemessen wiedergibt. „In Ägypten" wird mit „</w:t>
      </w:r>
      <w:proofErr w:type="spellStart"/>
      <w:r>
        <w:t>ἐν</w:t>
      </w:r>
      <w:proofErr w:type="spellEnd"/>
      <w:r>
        <w:t xml:space="preserve"> Αἰγύπ</w:t>
      </w:r>
      <w:proofErr w:type="spellStart"/>
      <w:r>
        <w:t>τῳ</w:t>
      </w:r>
      <w:proofErr w:type="spellEnd"/>
      <w:r>
        <w:t xml:space="preserve">" übersetzt, wobei die Präposition den lokalen Aspekt beibehält. „An </w:t>
      </w:r>
      <w:r w:rsidR="003F0E7B">
        <w:t>Par’o</w:t>
      </w:r>
      <w:r>
        <w:t>" wird mit „Φαραὼ" wiedergegeben.</w:t>
      </w:r>
    </w:p>
    <w:p w14:paraId="272B6FE5" w14:textId="22BE20C0" w:rsidR="00607566" w:rsidRDefault="00607566" w:rsidP="00607566">
      <w:pPr>
        <w:pStyle w:val="whitespace-normal"/>
      </w:pPr>
      <w:r>
        <w:lastRenderedPageBreak/>
        <w:t xml:space="preserve">Die Satzstruktur besteht aus einer Fortsetzung des Objektkatalogs aus Vers 2 mit Relativsatz und doppelter Dativangabe: Koordiniertes Objekt (seine Zeichen und seine Taten), Relativsatz mit Prädikat (die er getan hat), lokaler Bestimmung (inmitten Ägyptens) und zweigliedriger Dativangabe (an </w:t>
      </w:r>
      <w:r w:rsidR="003F0E7B">
        <w:t>Par’o</w:t>
      </w:r>
      <w:r>
        <w:t>, dem König Ägyptens, und an seinem ganzen Land).</w:t>
      </w:r>
    </w:p>
    <w:p w14:paraId="487061C8" w14:textId="26EC6D45" w:rsidR="00607566" w:rsidRDefault="00607566" w:rsidP="00607566">
      <w:pPr>
        <w:pStyle w:val="whitespace-normal"/>
      </w:pPr>
      <w:r>
        <w:t xml:space="preserve">Der Vers konkretisiert Gottes Handeln: Seine Zeichen und Taten in Ägypten richteten sich gegen </w:t>
      </w:r>
      <w:r w:rsidR="003F0E7B">
        <w:t>Par’o</w:t>
      </w:r>
      <w:r>
        <w:t xml:space="preserve"> und das gesamte ägyptische Reich, eine Erinnerung an die Plagen und den Exodus.</w:t>
      </w:r>
    </w:p>
    <w:p w14:paraId="1A641B56" w14:textId="77777777" w:rsidR="00607566" w:rsidRPr="00607566" w:rsidRDefault="00607566" w:rsidP="00607566">
      <w:pPr>
        <w:pStyle w:val="berschrift1"/>
        <w:rPr>
          <w:rFonts w:ascii="Times New Roman" w:hAnsi="Times New Roman"/>
          <w:b/>
          <w:bCs/>
          <w:color w:val="auto"/>
          <w:sz w:val="36"/>
          <w:szCs w:val="36"/>
        </w:rPr>
      </w:pPr>
      <w:r w:rsidRPr="00607566">
        <w:rPr>
          <w:rFonts w:ascii="Times New Roman" w:hAnsi="Times New Roman"/>
          <w:b/>
          <w:bCs/>
          <w:color w:val="auto"/>
          <w:sz w:val="36"/>
          <w:szCs w:val="36"/>
        </w:rPr>
        <w:t>Deuteronomium 11,4</w:t>
      </w:r>
    </w:p>
    <w:p w14:paraId="0D797861" w14:textId="77777777" w:rsidR="00607566" w:rsidRDefault="00607566" w:rsidP="00607566">
      <w:pPr>
        <w:pStyle w:val="whitespace-normal"/>
      </w:pPr>
      <w:r>
        <w:rPr>
          <w:rStyle w:val="Fett"/>
          <w:rFonts w:eastAsiaTheme="majorEastAsia"/>
        </w:rPr>
        <w:t>Hebräisch:</w:t>
      </w:r>
      <w:r>
        <w:t xml:space="preserve"> </w:t>
      </w:r>
      <w:r>
        <w:rPr>
          <w:rtl/>
        </w:rPr>
        <w:t>וַאֲשֶׁ֣ר עָשָׂה֩ לְחֵ֨יל מִצְרַ֜יִם לְסוּסָ֣יו וּלְרִכְבֹּ֗ו אֲשֶׁ֨ר הֵצִ֜יף אֶת־מֵ֤י יַם־סוּף֙ עַל־פְּנֵיהֶ֔ם בְּרָדְפָ֖ם אַחֲרֵיכֶ֑ם וַיְאַבְּדֵ֣ם יְהוָ֔ה עַ֖ד הַיּ֥וֹם הַזֶּֽה׃</w:t>
      </w:r>
    </w:p>
    <w:p w14:paraId="080BD551" w14:textId="77777777" w:rsidR="00607566" w:rsidRDefault="00607566" w:rsidP="00607566">
      <w:pPr>
        <w:pStyle w:val="whitespace-normal"/>
      </w:pPr>
      <w:r>
        <w:rPr>
          <w:rStyle w:val="Fett"/>
          <w:rFonts w:eastAsiaTheme="majorEastAsia"/>
        </w:rPr>
        <w:t>Deutsch:</w:t>
      </w:r>
      <w:r>
        <w:t xml:space="preserve"> und was er getan hat an der Heeresmacht Mizrajims, an seinen Pferden und seinen Wagen, über die er die Wasser des Schilfmeeres hinströmen ließ, als sie euch nachjagten; und der Ewige hat sie bis auf diesen Tag vernichtet;</w:t>
      </w:r>
    </w:p>
    <w:p w14:paraId="4903411E" w14:textId="77777777" w:rsidR="00607566" w:rsidRDefault="004F5CEB" w:rsidP="00607566">
      <w:r>
        <w:rPr>
          <w:noProof/>
        </w:rPr>
        <w:pict w14:anchorId="5A37EEA5">
          <v:rect id="_x0000_i1344" style="width:0;height:1.5pt" o:hralign="center" o:hrstd="t" o:hr="t" fillcolor="#a0a0a0" stroked="f"/>
        </w:pict>
      </w:r>
    </w:p>
    <w:p w14:paraId="1CE5FAAF" w14:textId="77777777" w:rsidR="00607566" w:rsidRDefault="00607566" w:rsidP="00607566">
      <w:pPr>
        <w:pStyle w:val="whitespace-normal"/>
      </w:pPr>
      <w:r>
        <w:rPr>
          <w:rStyle w:val="Fett"/>
          <w:rFonts w:eastAsiaTheme="majorEastAsia"/>
        </w:rPr>
        <w:t>Kommentar:</w:t>
      </w:r>
      <w:r>
        <w:t xml:space="preserve"> </w:t>
      </w:r>
      <w:r>
        <w:rPr>
          <w:rStyle w:val="Fett"/>
          <w:rFonts w:eastAsiaTheme="majorEastAsia"/>
          <w:rtl/>
        </w:rPr>
        <w:t>וַאֲשֶׁר עָשָׂה לְחֵיל מִצְרַיִם</w:t>
      </w:r>
      <w:r>
        <w:rPr>
          <w:rtl/>
        </w:rPr>
        <w:t xml:space="preserve"> </w:t>
      </w:r>
      <w:r>
        <w:t xml:space="preserve">setzt die Aufzählung fort: </w:t>
      </w:r>
      <w:r>
        <w:rPr>
          <w:rStyle w:val="Fett"/>
          <w:rFonts w:eastAsiaTheme="majorEastAsia"/>
          <w:rtl/>
        </w:rPr>
        <w:t>וַאֲשֶׁר</w:t>
      </w:r>
      <w:r>
        <w:rPr>
          <w:rtl/>
        </w:rPr>
        <w:t xml:space="preserve"> </w:t>
      </w:r>
      <w:r>
        <w:t>(</w:t>
      </w:r>
      <w:r>
        <w:rPr>
          <w:rStyle w:val="Fett"/>
          <w:rFonts w:eastAsiaTheme="majorEastAsia"/>
        </w:rPr>
        <w:t>Waw</w:t>
      </w:r>
      <w:r>
        <w:t xml:space="preserve"> mit Relativpronomen) mit </w:t>
      </w:r>
      <w:r>
        <w:rPr>
          <w:rStyle w:val="Fett"/>
          <w:rFonts w:eastAsiaTheme="majorEastAsia"/>
          <w:rtl/>
        </w:rPr>
        <w:t>עָשָׂה</w:t>
      </w:r>
      <w:r>
        <w:rPr>
          <w:rtl/>
        </w:rPr>
        <w:t xml:space="preserve"> </w:t>
      </w:r>
      <w:r>
        <w:t xml:space="preserve">(Qal Perfekt, 3. Person Maskulinum Singular von </w:t>
      </w:r>
      <w:r>
        <w:rPr>
          <w:rStyle w:val="Fett"/>
          <w:rFonts w:eastAsiaTheme="majorEastAsia"/>
          <w:rtl/>
        </w:rPr>
        <w:t>עשׂה</w:t>
      </w:r>
      <w:r>
        <w:t xml:space="preserve">, „tun") und </w:t>
      </w:r>
      <w:r>
        <w:rPr>
          <w:rStyle w:val="Fett"/>
          <w:rFonts w:eastAsiaTheme="majorEastAsia"/>
          <w:rtl/>
        </w:rPr>
        <w:t>לְחֵיל מִצְרַיִם</w:t>
      </w:r>
      <w:r>
        <w:rPr>
          <w:rtl/>
        </w:rPr>
        <w:t xml:space="preserve"> </w:t>
      </w:r>
      <w:r>
        <w:t>als Dativobjekt (</w:t>
      </w:r>
      <w:r>
        <w:rPr>
          <w:rStyle w:val="Fett"/>
          <w:rFonts w:eastAsiaTheme="majorEastAsia"/>
          <w:rtl/>
        </w:rPr>
        <w:t>לְ</w:t>
      </w:r>
      <w:r>
        <w:t xml:space="preserve">, „an, gegen", mit </w:t>
      </w:r>
      <w:r>
        <w:rPr>
          <w:rStyle w:val="Fett"/>
          <w:rFonts w:eastAsiaTheme="majorEastAsia"/>
          <w:rtl/>
        </w:rPr>
        <w:t>חַיִל</w:t>
      </w:r>
      <w:r>
        <w:t xml:space="preserve">, „Heeresmacht, Streitmacht", im Construct mit </w:t>
      </w:r>
      <w:r>
        <w:rPr>
          <w:rStyle w:val="Fett"/>
          <w:rFonts w:eastAsiaTheme="majorEastAsia"/>
          <w:rtl/>
        </w:rPr>
        <w:t>מִצְרַיִם</w:t>
      </w:r>
      <w:r>
        <w:t xml:space="preserve">). </w:t>
      </w:r>
      <w:r>
        <w:rPr>
          <w:rStyle w:val="Fett"/>
          <w:rFonts w:eastAsiaTheme="majorEastAsia"/>
          <w:rtl/>
        </w:rPr>
        <w:t>לְסוּסָיו וּלְרִכְבּוֹ</w:t>
      </w:r>
      <w:r>
        <w:rPr>
          <w:rtl/>
        </w:rPr>
        <w:t xml:space="preserve"> </w:t>
      </w:r>
      <w:r>
        <w:t xml:space="preserve">ist eine zweigliedrige Apposition oder Präzisierung: </w:t>
      </w:r>
      <w:r>
        <w:rPr>
          <w:rStyle w:val="Fett"/>
          <w:rFonts w:eastAsiaTheme="majorEastAsia"/>
          <w:rtl/>
        </w:rPr>
        <w:t>לְ</w:t>
      </w:r>
      <w:r>
        <w:rPr>
          <w:rtl/>
        </w:rPr>
        <w:t xml:space="preserve"> </w:t>
      </w:r>
      <w:r>
        <w:t xml:space="preserve">mit </w:t>
      </w:r>
      <w:r>
        <w:rPr>
          <w:rStyle w:val="Fett"/>
          <w:rFonts w:eastAsiaTheme="majorEastAsia"/>
          <w:rtl/>
        </w:rPr>
        <w:t>סוּס</w:t>
      </w:r>
      <w:r>
        <w:rPr>
          <w:rtl/>
        </w:rPr>
        <w:t xml:space="preserve"> </w:t>
      </w:r>
      <w:r>
        <w:t xml:space="preserve">(Plural von </w:t>
      </w:r>
      <w:r>
        <w:rPr>
          <w:rStyle w:val="Fett"/>
          <w:rFonts w:eastAsiaTheme="majorEastAsia"/>
          <w:rtl/>
        </w:rPr>
        <w:t>סוּס</w:t>
      </w:r>
      <w:r>
        <w:t xml:space="preserve">, „Pferd", mit Suffix 3. Person Maskulinum Singular), koordiniert durch </w:t>
      </w:r>
      <w:r>
        <w:rPr>
          <w:rStyle w:val="Fett"/>
          <w:rFonts w:eastAsiaTheme="majorEastAsia"/>
          <w:rtl/>
        </w:rPr>
        <w:t>וּלְ</w:t>
      </w:r>
      <w:r>
        <w:rPr>
          <w:rtl/>
        </w:rPr>
        <w:t xml:space="preserve"> </w:t>
      </w:r>
      <w:r>
        <w:t xml:space="preserve">mit </w:t>
      </w:r>
      <w:r>
        <w:rPr>
          <w:rStyle w:val="Fett"/>
          <w:rFonts w:eastAsiaTheme="majorEastAsia"/>
          <w:rtl/>
        </w:rPr>
        <w:t>רֶכֶב</w:t>
      </w:r>
      <w:r>
        <w:rPr>
          <w:rtl/>
        </w:rPr>
        <w:t xml:space="preserve"> </w:t>
      </w:r>
      <w:r>
        <w:t>(„Wagen, Streitwagen") und Suffix 3. Person Maskulinum Singular. Diese Aufzählung konkretisiert die militärische Macht Ägyptens.</w:t>
      </w:r>
    </w:p>
    <w:p w14:paraId="3DCEDCCC" w14:textId="77777777" w:rsidR="00607566" w:rsidRDefault="00607566" w:rsidP="00607566">
      <w:pPr>
        <w:pStyle w:val="whitespace-normal"/>
      </w:pPr>
      <w:r>
        <w:rPr>
          <w:rStyle w:val="Fett"/>
          <w:rFonts w:eastAsiaTheme="majorEastAsia"/>
          <w:rtl/>
        </w:rPr>
        <w:t>אֲשֶׁר הֵצִיף אֶת־מֵי יַם־סוּף עַל־פְּנֵיהֶם</w:t>
      </w:r>
      <w:r>
        <w:rPr>
          <w:rtl/>
        </w:rPr>
        <w:t xml:space="preserve"> </w:t>
      </w:r>
      <w:r>
        <w:t xml:space="preserve">ist ein zweiter Relativsatz: </w:t>
      </w:r>
      <w:r>
        <w:rPr>
          <w:rStyle w:val="Fett"/>
          <w:rFonts w:eastAsiaTheme="majorEastAsia"/>
          <w:rtl/>
        </w:rPr>
        <w:t>אֲשֶׁר</w:t>
      </w:r>
      <w:r>
        <w:rPr>
          <w:rtl/>
        </w:rPr>
        <w:t xml:space="preserve"> </w:t>
      </w:r>
      <w:r>
        <w:t xml:space="preserve">mit </w:t>
      </w:r>
      <w:r>
        <w:rPr>
          <w:rStyle w:val="Fett"/>
          <w:rFonts w:eastAsiaTheme="majorEastAsia"/>
          <w:rtl/>
        </w:rPr>
        <w:t>הֵצִיף</w:t>
      </w:r>
      <w:r>
        <w:rPr>
          <w:rtl/>
        </w:rPr>
        <w:t xml:space="preserve"> </w:t>
      </w:r>
      <w:r>
        <w:t xml:space="preserve">(Hiphil Perfekt, 3. Person Maskulinum Singular von </w:t>
      </w:r>
      <w:r>
        <w:rPr>
          <w:rStyle w:val="Fett"/>
          <w:rFonts w:eastAsiaTheme="majorEastAsia"/>
          <w:rtl/>
        </w:rPr>
        <w:t>צוף</w:t>
      </w:r>
      <w:r>
        <w:t xml:space="preserve">, „fließen, schwimmen", in der Hiphil-Form „hinströmen lassen, überschwemmen"), </w:t>
      </w:r>
      <w:r>
        <w:rPr>
          <w:rStyle w:val="Fett"/>
          <w:rFonts w:eastAsiaTheme="majorEastAsia"/>
          <w:rtl/>
        </w:rPr>
        <w:t>אֶת־מֵי יַם־סוּף</w:t>
      </w:r>
      <w:r>
        <w:rPr>
          <w:rtl/>
        </w:rPr>
        <w:t xml:space="preserve"> </w:t>
      </w:r>
      <w:r>
        <w:t>als direktes Objekt (</w:t>
      </w:r>
      <w:r>
        <w:rPr>
          <w:rStyle w:val="Fett"/>
          <w:rFonts w:eastAsiaTheme="majorEastAsia"/>
          <w:rtl/>
        </w:rPr>
        <w:t>אֵת</w:t>
      </w:r>
      <w:r>
        <w:rPr>
          <w:rtl/>
        </w:rPr>
        <w:t xml:space="preserve"> </w:t>
      </w:r>
      <w:r>
        <w:t xml:space="preserve">mit </w:t>
      </w:r>
      <w:r>
        <w:rPr>
          <w:rStyle w:val="Fett"/>
          <w:rFonts w:eastAsiaTheme="majorEastAsia"/>
          <w:rtl/>
        </w:rPr>
        <w:t>מַיִם</w:t>
      </w:r>
      <w:r>
        <w:t xml:space="preserve">, „Wasser", Plural, im Construct mit </w:t>
      </w:r>
      <w:r>
        <w:rPr>
          <w:rStyle w:val="Fett"/>
          <w:rFonts w:eastAsiaTheme="majorEastAsia"/>
          <w:rtl/>
        </w:rPr>
        <w:t>יַם־סוּף</w:t>
      </w:r>
      <w:r>
        <w:t xml:space="preserve">, „Schilfmeer", wobei </w:t>
      </w:r>
      <w:r>
        <w:rPr>
          <w:rStyle w:val="Fett"/>
          <w:rFonts w:eastAsiaTheme="majorEastAsia"/>
          <w:rtl/>
        </w:rPr>
        <w:t>יָם</w:t>
      </w:r>
      <w:r>
        <w:t xml:space="preserve">, „Meer", im Construct mit </w:t>
      </w:r>
      <w:r>
        <w:rPr>
          <w:rStyle w:val="Fett"/>
          <w:rFonts w:eastAsiaTheme="majorEastAsia"/>
          <w:rtl/>
        </w:rPr>
        <w:t>סוּף</w:t>
      </w:r>
      <w:r>
        <w:t xml:space="preserve">, „Schilf", steht), und </w:t>
      </w:r>
      <w:r>
        <w:rPr>
          <w:rStyle w:val="Fett"/>
          <w:rFonts w:eastAsiaTheme="majorEastAsia"/>
          <w:rtl/>
        </w:rPr>
        <w:t>עַל־פְּנֵיהֶם</w:t>
      </w:r>
      <w:r>
        <w:rPr>
          <w:rtl/>
        </w:rPr>
        <w:t xml:space="preserve"> </w:t>
      </w:r>
      <w:r>
        <w:t>als lokale Bestimmung (</w:t>
      </w:r>
      <w:r>
        <w:rPr>
          <w:rStyle w:val="Fett"/>
          <w:rFonts w:eastAsiaTheme="majorEastAsia"/>
          <w:rtl/>
        </w:rPr>
        <w:t>עַל</w:t>
      </w:r>
      <w:r>
        <w:t xml:space="preserve">, „über, auf", mit </w:t>
      </w:r>
      <w:r>
        <w:rPr>
          <w:rStyle w:val="Fett"/>
          <w:rFonts w:eastAsiaTheme="majorEastAsia"/>
          <w:rtl/>
        </w:rPr>
        <w:t>פָּנִים</w:t>
      </w:r>
      <w:r>
        <w:t xml:space="preserve">, „Gesicht, Oberfläche", Plural im Construct mit Suffix 3. Person Maskulinum Plural, „über sie"). Die Hiphil-Form von </w:t>
      </w:r>
      <w:r>
        <w:rPr>
          <w:rStyle w:val="Fett"/>
          <w:rFonts w:eastAsiaTheme="majorEastAsia"/>
          <w:rtl/>
        </w:rPr>
        <w:t>צוף</w:t>
      </w:r>
      <w:r>
        <w:rPr>
          <w:rtl/>
        </w:rPr>
        <w:t xml:space="preserve"> </w:t>
      </w:r>
      <w:r>
        <w:t>drückt das kausative Handeln Gottes aus.</w:t>
      </w:r>
    </w:p>
    <w:p w14:paraId="43F9540D" w14:textId="77777777" w:rsidR="00607566" w:rsidRDefault="00607566" w:rsidP="00607566">
      <w:pPr>
        <w:pStyle w:val="whitespace-normal"/>
      </w:pPr>
      <w:r>
        <w:rPr>
          <w:rStyle w:val="Fett"/>
          <w:rFonts w:eastAsiaTheme="majorEastAsia"/>
          <w:rtl/>
        </w:rPr>
        <w:t>בְּרָדְפָם אַחֲרֵיכֶם</w:t>
      </w:r>
      <w:r>
        <w:rPr>
          <w:rtl/>
        </w:rPr>
        <w:t xml:space="preserve"> </w:t>
      </w:r>
      <w:r>
        <w:t xml:space="preserve">ist eine temporale Bestimmung: </w:t>
      </w:r>
      <w:r>
        <w:rPr>
          <w:rStyle w:val="Fett"/>
          <w:rFonts w:eastAsiaTheme="majorEastAsia"/>
          <w:rtl/>
        </w:rPr>
        <w:t>בְּ</w:t>
      </w:r>
      <w:r>
        <w:rPr>
          <w:rtl/>
        </w:rPr>
        <w:t xml:space="preserve"> </w:t>
      </w:r>
      <w:r>
        <w:t xml:space="preserve">(„als, während") mit </w:t>
      </w:r>
      <w:r>
        <w:rPr>
          <w:rStyle w:val="Fett"/>
          <w:rFonts w:eastAsiaTheme="majorEastAsia"/>
          <w:rtl/>
        </w:rPr>
        <w:t>רָדַף</w:t>
      </w:r>
      <w:r>
        <w:rPr>
          <w:rtl/>
        </w:rPr>
        <w:t xml:space="preserve"> </w:t>
      </w:r>
      <w:r>
        <w:t xml:space="preserve">(Qal Infinitiv Construct von </w:t>
      </w:r>
      <w:r>
        <w:rPr>
          <w:rStyle w:val="Fett"/>
          <w:rFonts w:eastAsiaTheme="majorEastAsia"/>
          <w:rtl/>
        </w:rPr>
        <w:t>רדף</w:t>
      </w:r>
      <w:r>
        <w:t xml:space="preserve">, „verfolgen, nachjagen") und Suffix 3. Person Maskulinum Plural, gefolgt von </w:t>
      </w:r>
      <w:r>
        <w:rPr>
          <w:rStyle w:val="Fett"/>
          <w:rFonts w:eastAsiaTheme="majorEastAsia"/>
          <w:rtl/>
        </w:rPr>
        <w:t>אַחֲרֵיכֶם</w:t>
      </w:r>
      <w:r>
        <w:rPr>
          <w:rtl/>
        </w:rPr>
        <w:t xml:space="preserve"> </w:t>
      </w:r>
      <w:r>
        <w:t xml:space="preserve">(Präposition </w:t>
      </w:r>
      <w:r>
        <w:rPr>
          <w:rStyle w:val="Fett"/>
          <w:rFonts w:eastAsiaTheme="majorEastAsia"/>
          <w:rtl/>
        </w:rPr>
        <w:t>אַחֲרֵי</w:t>
      </w:r>
      <w:r>
        <w:t xml:space="preserve">, „hinter, nach", mit Suffix 2. Person Maskulinum Plural). Der Infinitiv Construct mit </w:t>
      </w:r>
      <w:r>
        <w:rPr>
          <w:rStyle w:val="Fett"/>
          <w:rFonts w:eastAsiaTheme="majorEastAsia"/>
          <w:rtl/>
        </w:rPr>
        <w:t>בְּ</w:t>
      </w:r>
      <w:r>
        <w:rPr>
          <w:rtl/>
        </w:rPr>
        <w:t xml:space="preserve"> </w:t>
      </w:r>
      <w:r>
        <w:t xml:space="preserve">drückt die Gleichzeitigkeit der Handlungen aus. </w:t>
      </w:r>
      <w:r>
        <w:rPr>
          <w:rStyle w:val="Fett"/>
          <w:rFonts w:eastAsiaTheme="majorEastAsia"/>
          <w:rtl/>
        </w:rPr>
        <w:t>וַיְאַבְּדֵם יְהוָה עַד הַיּוֹם הַזֶּה</w:t>
      </w:r>
      <w:r>
        <w:rPr>
          <w:rtl/>
        </w:rPr>
        <w:t xml:space="preserve"> </w:t>
      </w:r>
      <w:r>
        <w:t xml:space="preserve">ist ein koordinierter Hauptsatz: </w:t>
      </w:r>
      <w:r>
        <w:rPr>
          <w:rStyle w:val="Fett"/>
          <w:rFonts w:eastAsiaTheme="majorEastAsia"/>
          <w:rtl/>
        </w:rPr>
        <w:t>וַיְאַבְּדֵם</w:t>
      </w:r>
      <w:r>
        <w:rPr>
          <w:rtl/>
        </w:rPr>
        <w:t xml:space="preserve"> </w:t>
      </w:r>
      <w:r>
        <w:t xml:space="preserve">(Piel Imperfekt consecutivum, 3. Person Maskulinum Singular von </w:t>
      </w:r>
      <w:r>
        <w:rPr>
          <w:rStyle w:val="Fett"/>
          <w:rFonts w:eastAsiaTheme="majorEastAsia"/>
          <w:rtl/>
        </w:rPr>
        <w:t>אבד</w:t>
      </w:r>
      <w:r>
        <w:t xml:space="preserve">, „zugrunde gehen", in der Piel-Form „vernichten, vertilgen", mit Suffix 3. Person Maskulinum Plural als Objekt), </w:t>
      </w:r>
      <w:r>
        <w:rPr>
          <w:rStyle w:val="Fett"/>
          <w:rFonts w:eastAsiaTheme="majorEastAsia"/>
          <w:rtl/>
        </w:rPr>
        <w:t>יְהוָה</w:t>
      </w:r>
      <w:r>
        <w:rPr>
          <w:rtl/>
        </w:rPr>
        <w:t xml:space="preserve"> </w:t>
      </w:r>
      <w:r>
        <w:t xml:space="preserve">als explizites Subjekt und </w:t>
      </w:r>
      <w:r>
        <w:rPr>
          <w:rStyle w:val="Fett"/>
          <w:rFonts w:eastAsiaTheme="majorEastAsia"/>
          <w:rtl/>
        </w:rPr>
        <w:t>עַד הַיּוֹם הַזֶּה</w:t>
      </w:r>
      <w:r>
        <w:rPr>
          <w:rtl/>
        </w:rPr>
        <w:t xml:space="preserve"> </w:t>
      </w:r>
      <w:r>
        <w:t>als temporale Bestimmung (</w:t>
      </w:r>
      <w:r>
        <w:rPr>
          <w:rStyle w:val="Fett"/>
          <w:rFonts w:eastAsiaTheme="majorEastAsia"/>
          <w:rtl/>
        </w:rPr>
        <w:t>עַד</w:t>
      </w:r>
      <w:r>
        <w:t xml:space="preserve">, „bis", mit </w:t>
      </w:r>
      <w:r>
        <w:rPr>
          <w:rStyle w:val="Fett"/>
          <w:rFonts w:eastAsiaTheme="majorEastAsia"/>
          <w:rtl/>
        </w:rPr>
        <w:t>הַיּוֹם הַזֶּה</w:t>
      </w:r>
      <w:r>
        <w:t xml:space="preserve">, „dieser Tag"). Die Wendung </w:t>
      </w:r>
      <w:r>
        <w:rPr>
          <w:rStyle w:val="Fett"/>
          <w:rFonts w:eastAsiaTheme="majorEastAsia"/>
          <w:rtl/>
        </w:rPr>
        <w:t>עַד הַיּוֹם הַזֶּה</w:t>
      </w:r>
      <w:r>
        <w:rPr>
          <w:rtl/>
        </w:rPr>
        <w:t xml:space="preserve"> </w:t>
      </w:r>
      <w:r>
        <w:t>betont die anhaltende Wirkung der Vernichtung.</w:t>
      </w:r>
    </w:p>
    <w:p w14:paraId="4F1A5DAC" w14:textId="77777777" w:rsidR="00607566" w:rsidRDefault="00607566" w:rsidP="00607566">
      <w:pPr>
        <w:pStyle w:val="whitespace-normal"/>
      </w:pPr>
      <w:r>
        <w:lastRenderedPageBreak/>
        <w:t xml:space="preserve">Die Syntax zeigt eine dramatische Erzählstruktur: Der erste Relativsatz beschreibt das göttliche Handeln („was er tat an der Heeresmacht"), der zweite Relativsatz konkretisiert die Methode („dass er die Wasser hinströmen ließ"), die temporale Bestimmung gibt den Kontext an („als sie euch verfolgten"), und der abschließende Hauptsatz betont das endgültige Ergebnis („und JHWH vernichtete sie bis heute"). Die Piel-Form von </w:t>
      </w:r>
      <w:r>
        <w:rPr>
          <w:rStyle w:val="Fett"/>
          <w:rFonts w:eastAsiaTheme="majorEastAsia"/>
          <w:rtl/>
        </w:rPr>
        <w:t>אבד</w:t>
      </w:r>
      <w:r>
        <w:rPr>
          <w:rtl/>
        </w:rPr>
        <w:t xml:space="preserve"> </w:t>
      </w:r>
      <w:r>
        <w:t>unterstreicht die vollständige und absichtliche Vernichtung. Die Suffixe wechseln zwischen der 3. Person (ägyptische Armee) und der 2. Person (Israel), was die Beziehung zwischen Verfolger und Verfolgtem verdeutlicht.</w:t>
      </w:r>
    </w:p>
    <w:p w14:paraId="41887F5A" w14:textId="77777777" w:rsidR="00607566" w:rsidRDefault="00607566" w:rsidP="00607566">
      <w:pPr>
        <w:pStyle w:val="whitespace-normal"/>
      </w:pPr>
      <w:r>
        <w:rPr>
          <w:rStyle w:val="Fett"/>
          <w:rFonts w:eastAsiaTheme="majorEastAsia"/>
        </w:rPr>
        <w:t>Die LXX</w:t>
      </w:r>
      <w:r>
        <w:t xml:space="preserve"> übersetzt „die Heeresmacht" mit „τὴν </w:t>
      </w:r>
      <w:proofErr w:type="spellStart"/>
      <w:r>
        <w:t>δύν</w:t>
      </w:r>
      <w:proofErr w:type="spellEnd"/>
      <w:r>
        <w:t>αμιν" („die Macht"), „Pferde" mit „</w:t>
      </w:r>
      <w:proofErr w:type="spellStart"/>
      <w:r>
        <w:t>τοὺς</w:t>
      </w:r>
      <w:proofErr w:type="spellEnd"/>
      <w:r>
        <w:t xml:space="preserve"> ἵππ</w:t>
      </w:r>
      <w:proofErr w:type="spellStart"/>
      <w:r>
        <w:t>ους</w:t>
      </w:r>
      <w:proofErr w:type="spellEnd"/>
      <w:r>
        <w:t>" und „Wagen" mit „</w:t>
      </w:r>
      <w:proofErr w:type="spellStart"/>
      <w:r>
        <w:t>τὰ</w:t>
      </w:r>
      <w:proofErr w:type="spellEnd"/>
      <w:r>
        <w:t xml:space="preserve"> </w:t>
      </w:r>
      <w:proofErr w:type="spellStart"/>
      <w:r>
        <w:t>ἅρμ</w:t>
      </w:r>
      <w:proofErr w:type="spellEnd"/>
      <w:r>
        <w:t>ατα". „Hinströmen ließ" wird mit „ἐπ</w:t>
      </w:r>
      <w:proofErr w:type="spellStart"/>
      <w:r>
        <w:t>έκλυσεν</w:t>
      </w:r>
      <w:proofErr w:type="spellEnd"/>
      <w:r>
        <w:t>" (Aorist von „überschwemmen") wiedergegeben. „Vernichtete" wird mit „ἀπ</w:t>
      </w:r>
      <w:proofErr w:type="spellStart"/>
      <w:r>
        <w:t>ώλεσεν</w:t>
      </w:r>
      <w:proofErr w:type="spellEnd"/>
      <w:r>
        <w:t>" übersetzt.</w:t>
      </w:r>
    </w:p>
    <w:p w14:paraId="2C8A80CE" w14:textId="77777777" w:rsidR="00607566" w:rsidRDefault="00607566" w:rsidP="00607566">
      <w:pPr>
        <w:pStyle w:val="whitespace-normal"/>
      </w:pPr>
      <w:r>
        <w:t>Die Satzstruktur besteht aus einem Relativsatz mit Dativobjekt und Apposition, einem zweiten Relativsatz mit kausalem Prädikat, direktem Objekt und lokaler Bestimmung, einer temporalen Bestimmung mit Infinitiv Construct und einem koordinierten Hauptsatz mit Prädikat, Objekt-Suffix, explizitem Subjekt und temporaler Bestimmung.</w:t>
      </w:r>
    </w:p>
    <w:p w14:paraId="587C21E5" w14:textId="4EC04A07" w:rsidR="00607566" w:rsidRDefault="00607566" w:rsidP="00607566">
      <w:pPr>
        <w:pStyle w:val="whitespace-normal"/>
      </w:pPr>
      <w:r>
        <w:t xml:space="preserve">Der Vers erinnert an die Vernichtung der ägyptischen Streitmacht am Schilfmeer: JHWH ließ die Wasser über </w:t>
      </w:r>
      <w:r w:rsidR="003F0E7B">
        <w:t>Par’o</w:t>
      </w:r>
      <w:r>
        <w:t>s Heer strömen, als es Israel verfolgte, und vernichtete es vollständig – eine Tat mit bleibender Wirkung bis heute.</w:t>
      </w:r>
    </w:p>
    <w:p w14:paraId="2D2D3DD6" w14:textId="77777777" w:rsidR="00607566" w:rsidRPr="00607566" w:rsidRDefault="00607566" w:rsidP="00607566">
      <w:pPr>
        <w:pStyle w:val="berschrift1"/>
        <w:rPr>
          <w:rFonts w:ascii="Times New Roman" w:hAnsi="Times New Roman"/>
          <w:b/>
          <w:bCs/>
          <w:color w:val="auto"/>
          <w:sz w:val="36"/>
          <w:szCs w:val="36"/>
        </w:rPr>
      </w:pPr>
      <w:r w:rsidRPr="00607566">
        <w:rPr>
          <w:rFonts w:ascii="Times New Roman" w:hAnsi="Times New Roman"/>
          <w:b/>
          <w:bCs/>
          <w:color w:val="auto"/>
          <w:sz w:val="36"/>
          <w:szCs w:val="36"/>
        </w:rPr>
        <w:t>Deuteronomium 11,5</w:t>
      </w:r>
    </w:p>
    <w:p w14:paraId="3BAA06F2" w14:textId="77777777" w:rsidR="00607566" w:rsidRDefault="00607566" w:rsidP="00607566">
      <w:pPr>
        <w:pStyle w:val="whitespace-normal"/>
      </w:pPr>
      <w:r>
        <w:rPr>
          <w:rStyle w:val="Fett"/>
          <w:rFonts w:eastAsiaTheme="majorEastAsia"/>
        </w:rPr>
        <w:t>Hebräisch:</w:t>
      </w:r>
      <w:r>
        <w:t xml:space="preserve"> </w:t>
      </w:r>
      <w:r>
        <w:rPr>
          <w:rtl/>
        </w:rPr>
        <w:t>וַאֲשֶׁ֥ר עָשָׂ֛ה לָכֶ֖ם בַּמִּדְבָּ֑ר עַד־בֹּאֲכֶ֖ם עַד־הַמָּק֥וֹם הַזֶּֽה׃</w:t>
      </w:r>
    </w:p>
    <w:p w14:paraId="04D94158" w14:textId="77777777" w:rsidR="00607566" w:rsidRDefault="00607566" w:rsidP="00607566">
      <w:pPr>
        <w:pStyle w:val="whitespace-normal"/>
      </w:pPr>
      <w:r>
        <w:rPr>
          <w:rStyle w:val="Fett"/>
          <w:rFonts w:eastAsiaTheme="majorEastAsia"/>
        </w:rPr>
        <w:t>Deutsch:</w:t>
      </w:r>
      <w:r>
        <w:t xml:space="preserve"> und was er euch in der Wüste getan hat, bis ihr an diesen Ort kamt;</w:t>
      </w:r>
    </w:p>
    <w:p w14:paraId="1DAC6EC4" w14:textId="77777777" w:rsidR="00607566" w:rsidRDefault="004F5CEB" w:rsidP="00607566">
      <w:r>
        <w:rPr>
          <w:noProof/>
        </w:rPr>
        <w:pict w14:anchorId="2ECB10E6">
          <v:rect id="_x0000_i1345" style="width:0;height:1.5pt" o:hralign="center" o:hrstd="t" o:hr="t" fillcolor="#a0a0a0" stroked="f"/>
        </w:pict>
      </w:r>
    </w:p>
    <w:p w14:paraId="7B22059B" w14:textId="2C14B02A" w:rsidR="00607566" w:rsidRDefault="00607566" w:rsidP="00607566">
      <w:pPr>
        <w:pStyle w:val="whitespace-normal"/>
      </w:pPr>
      <w:r>
        <w:rPr>
          <w:rStyle w:val="Fett"/>
          <w:rFonts w:eastAsiaTheme="majorEastAsia"/>
        </w:rPr>
        <w:t>Kommentar:</w:t>
      </w:r>
      <w:r>
        <w:t xml:space="preserve"> </w:t>
      </w:r>
      <w:r>
        <w:rPr>
          <w:rStyle w:val="Fett"/>
          <w:rFonts w:eastAsiaTheme="majorEastAsia"/>
          <w:rtl/>
        </w:rPr>
        <w:t>וַאֲשֶׁר עָשָׂה לָכֶם בַּמִּדְבָּר</w:t>
      </w:r>
      <w:r>
        <w:rPr>
          <w:rtl/>
        </w:rPr>
        <w:t xml:space="preserve"> </w:t>
      </w:r>
      <w:r>
        <w:t xml:space="preserve">setzt die Aufzählung der göttlichen Taten fort: </w:t>
      </w:r>
      <w:r>
        <w:rPr>
          <w:rStyle w:val="Fett"/>
          <w:rFonts w:eastAsiaTheme="majorEastAsia"/>
          <w:rtl/>
        </w:rPr>
        <w:t>וַאֲשֶׁר</w:t>
      </w:r>
      <w:r>
        <w:rPr>
          <w:rtl/>
        </w:rPr>
        <w:t xml:space="preserve"> </w:t>
      </w:r>
      <w:r>
        <w:t>(</w:t>
      </w:r>
      <w:r>
        <w:rPr>
          <w:rStyle w:val="Fett"/>
          <w:rFonts w:eastAsiaTheme="majorEastAsia"/>
        </w:rPr>
        <w:t>Waw</w:t>
      </w:r>
      <w:r>
        <w:t xml:space="preserve"> mit Relativpronomen) mit </w:t>
      </w:r>
      <w:r>
        <w:rPr>
          <w:rStyle w:val="Fett"/>
          <w:rFonts w:eastAsiaTheme="majorEastAsia"/>
          <w:rtl/>
        </w:rPr>
        <w:t>עָשָׂה</w:t>
      </w:r>
      <w:r>
        <w:rPr>
          <w:rtl/>
        </w:rPr>
        <w:t xml:space="preserve"> </w:t>
      </w:r>
      <w:r>
        <w:t xml:space="preserve">(Qal Perfekt, 3. Person Maskulinum Singular von </w:t>
      </w:r>
      <w:r>
        <w:rPr>
          <w:rStyle w:val="Fett"/>
          <w:rFonts w:eastAsiaTheme="majorEastAsia"/>
          <w:rtl/>
        </w:rPr>
        <w:t>עשׂה</w:t>
      </w:r>
      <w:r>
        <w:t xml:space="preserve">, „tun"), </w:t>
      </w:r>
      <w:r>
        <w:rPr>
          <w:rStyle w:val="Fett"/>
          <w:rFonts w:eastAsiaTheme="majorEastAsia"/>
          <w:rtl/>
        </w:rPr>
        <w:t>לָכֶם</w:t>
      </w:r>
      <w:r>
        <w:rPr>
          <w:rtl/>
        </w:rPr>
        <w:t xml:space="preserve"> </w:t>
      </w:r>
      <w:r>
        <w:t xml:space="preserve">(Präposition </w:t>
      </w:r>
      <w:r>
        <w:rPr>
          <w:rStyle w:val="Fett"/>
          <w:rFonts w:eastAsiaTheme="majorEastAsia"/>
          <w:rtl/>
        </w:rPr>
        <w:t>לְ</w:t>
      </w:r>
      <w:r>
        <w:rPr>
          <w:rtl/>
        </w:rPr>
        <w:t xml:space="preserve"> </w:t>
      </w:r>
      <w:r>
        <w:t xml:space="preserve">mit Suffix 2. Person Maskulinum Plural, „euch, für euch") als Dativobjekt und </w:t>
      </w:r>
      <w:r>
        <w:rPr>
          <w:rStyle w:val="Fett"/>
          <w:rFonts w:eastAsiaTheme="majorEastAsia"/>
          <w:rtl/>
        </w:rPr>
        <w:t>בַּמִּדְבָּר</w:t>
      </w:r>
      <w:r>
        <w:rPr>
          <w:rtl/>
        </w:rPr>
        <w:t xml:space="preserve"> </w:t>
      </w:r>
      <w:r>
        <w:t xml:space="preserve">(Präposition </w:t>
      </w:r>
      <w:r>
        <w:rPr>
          <w:rStyle w:val="Fett"/>
          <w:rFonts w:eastAsiaTheme="majorEastAsia"/>
          <w:rtl/>
        </w:rPr>
        <w:t>בְּ</w:t>
      </w:r>
      <w:r>
        <w:rPr>
          <w:rtl/>
        </w:rPr>
        <w:t xml:space="preserve"> </w:t>
      </w:r>
      <w:r>
        <w:t xml:space="preserve">mit Artikel und </w:t>
      </w:r>
      <w:r>
        <w:rPr>
          <w:rStyle w:val="Fett"/>
          <w:rFonts w:eastAsiaTheme="majorEastAsia"/>
          <w:rtl/>
        </w:rPr>
        <w:t>מִדְבָּר</w:t>
      </w:r>
      <w:r>
        <w:t xml:space="preserve">, „Wüste") als lokale Bestimmung. Im Gegensatz zu den vorigen Versen, wo </w:t>
      </w:r>
      <w:r>
        <w:rPr>
          <w:rStyle w:val="Fett"/>
          <w:rFonts w:eastAsiaTheme="majorEastAsia"/>
          <w:rtl/>
        </w:rPr>
        <w:t>לְ</w:t>
      </w:r>
      <w:r>
        <w:rPr>
          <w:rtl/>
        </w:rPr>
        <w:t xml:space="preserve"> </w:t>
      </w:r>
      <w:r>
        <w:t xml:space="preserve">eine gegnerische Bedeutung hatte („gegen"), hat </w:t>
      </w:r>
      <w:r>
        <w:rPr>
          <w:rStyle w:val="Fett"/>
          <w:rFonts w:eastAsiaTheme="majorEastAsia"/>
          <w:rtl/>
        </w:rPr>
        <w:t>לָכֶם</w:t>
      </w:r>
      <w:r>
        <w:rPr>
          <w:rtl/>
        </w:rPr>
        <w:t xml:space="preserve"> </w:t>
      </w:r>
      <w:r>
        <w:t xml:space="preserve">hier eine </w:t>
      </w:r>
      <w:r w:rsidR="007E2044">
        <w:t>benefaktive</w:t>
      </w:r>
      <w:r>
        <w:t xml:space="preserve"> Bedeutung („für euch"), was den Wechsel von Gottes Gericht über Ägypten zu seiner Fürsorge für Israel markiert.</w:t>
      </w:r>
    </w:p>
    <w:p w14:paraId="633DF22F" w14:textId="77777777" w:rsidR="00607566" w:rsidRDefault="00607566" w:rsidP="00607566">
      <w:pPr>
        <w:pStyle w:val="whitespace-normal"/>
      </w:pPr>
      <w:r>
        <w:rPr>
          <w:rStyle w:val="Fett"/>
          <w:rFonts w:eastAsiaTheme="majorEastAsia"/>
          <w:rtl/>
        </w:rPr>
        <w:t>עַד־בֹּאֲכֶם עַד־הַמָּקוֹם הַזֶּה</w:t>
      </w:r>
      <w:r>
        <w:rPr>
          <w:rtl/>
        </w:rPr>
        <w:t xml:space="preserve"> </w:t>
      </w:r>
      <w:r>
        <w:t xml:space="preserve">ist eine temporale Bestimmung mit doppeltem </w:t>
      </w:r>
      <w:r>
        <w:rPr>
          <w:rStyle w:val="Fett"/>
          <w:rFonts w:eastAsiaTheme="majorEastAsia"/>
          <w:rtl/>
        </w:rPr>
        <w:t>עַד</w:t>
      </w:r>
      <w:r>
        <w:t xml:space="preserve">: </w:t>
      </w:r>
      <w:r>
        <w:rPr>
          <w:rStyle w:val="Fett"/>
          <w:rFonts w:eastAsiaTheme="majorEastAsia"/>
          <w:rtl/>
        </w:rPr>
        <w:t>עַד</w:t>
      </w:r>
      <w:r>
        <w:rPr>
          <w:rtl/>
        </w:rPr>
        <w:t xml:space="preserve"> </w:t>
      </w:r>
      <w:r>
        <w:t xml:space="preserve">(„bis") mit </w:t>
      </w:r>
      <w:r>
        <w:rPr>
          <w:rStyle w:val="Fett"/>
          <w:rFonts w:eastAsiaTheme="majorEastAsia"/>
          <w:rtl/>
        </w:rPr>
        <w:t>בֹּא</w:t>
      </w:r>
      <w:r>
        <w:rPr>
          <w:rtl/>
        </w:rPr>
        <w:t xml:space="preserve"> </w:t>
      </w:r>
      <w:r>
        <w:t xml:space="preserve">(Qal Infinitiv Construct von </w:t>
      </w:r>
      <w:r>
        <w:rPr>
          <w:rStyle w:val="Fett"/>
          <w:rFonts w:eastAsiaTheme="majorEastAsia"/>
          <w:rtl/>
        </w:rPr>
        <w:t>בוא</w:t>
      </w:r>
      <w:r>
        <w:t xml:space="preserve">, „kommen, hineingehen") und Suffix 2. Person Maskulinum Plural, gefolgt von einem zweiten </w:t>
      </w:r>
      <w:r>
        <w:rPr>
          <w:rStyle w:val="Fett"/>
          <w:rFonts w:eastAsiaTheme="majorEastAsia"/>
          <w:rtl/>
        </w:rPr>
        <w:t>עַד</w:t>
      </w:r>
      <w:r>
        <w:rPr>
          <w:rtl/>
        </w:rPr>
        <w:t xml:space="preserve"> </w:t>
      </w:r>
      <w:r>
        <w:t xml:space="preserve">mit </w:t>
      </w:r>
      <w:r>
        <w:rPr>
          <w:rStyle w:val="Fett"/>
          <w:rFonts w:eastAsiaTheme="majorEastAsia"/>
          <w:rtl/>
        </w:rPr>
        <w:t>הַמָּקוֹם הַזֶּה</w:t>
      </w:r>
      <w:r>
        <w:rPr>
          <w:rtl/>
        </w:rPr>
        <w:t xml:space="preserve"> </w:t>
      </w:r>
      <w:r>
        <w:t>(</w:t>
      </w:r>
      <w:r>
        <w:rPr>
          <w:rStyle w:val="Fett"/>
          <w:rFonts w:eastAsiaTheme="majorEastAsia"/>
          <w:rtl/>
        </w:rPr>
        <w:t>מָקוֹם</w:t>
      </w:r>
      <w:r>
        <w:t xml:space="preserve">, „Ort, Platz", mit Artikel und Demonstrativpronomen </w:t>
      </w:r>
      <w:r>
        <w:rPr>
          <w:rStyle w:val="Fett"/>
          <w:rFonts w:eastAsiaTheme="majorEastAsia"/>
          <w:rtl/>
        </w:rPr>
        <w:t>זֶה</w:t>
      </w:r>
      <w:r>
        <w:t xml:space="preserve">, „dieser"). Die Wiederholung von </w:t>
      </w:r>
      <w:r>
        <w:rPr>
          <w:rStyle w:val="Fett"/>
          <w:rFonts w:eastAsiaTheme="majorEastAsia"/>
          <w:rtl/>
        </w:rPr>
        <w:t>עַד</w:t>
      </w:r>
      <w:r>
        <w:rPr>
          <w:rtl/>
        </w:rPr>
        <w:t xml:space="preserve"> </w:t>
      </w:r>
      <w:r>
        <w:t>betont sowohl die zeitliche Dauer („bis ihr kamt") als auch das räumliche Ziel („bis zu diesem Ort"). Der „Ort" bezieht sich auf die moabitischen Steppen, wo Mose diese Rede hält.</w:t>
      </w:r>
    </w:p>
    <w:p w14:paraId="5A80DE0C" w14:textId="77777777" w:rsidR="00607566" w:rsidRDefault="00607566" w:rsidP="00607566">
      <w:pPr>
        <w:pStyle w:val="whitespace-normal"/>
      </w:pPr>
      <w:r>
        <w:t xml:space="preserve">Die Syntax zeigt eine bewusste Kürze und Allgemeinheit: Im Gegensatz zu den detaillierten Beschreibungen der Ereignisse in Ägypten (V. 3-4) fasst dieser Vers die gesamte </w:t>
      </w:r>
      <w:r>
        <w:lastRenderedPageBreak/>
        <w:t xml:space="preserve">Wüstenwanderung in einem einzigen kurzen Satz zusammen. Dies kann stilistisch begründet sein (Vermeidung von Redundanz) oder inhaltlich (die Wüstenzeit wird später in V. 6 durch ein spezifisches Beispiel konkretisiert). Die Präposition </w:t>
      </w:r>
      <w:r>
        <w:rPr>
          <w:rStyle w:val="Fett"/>
          <w:rFonts w:eastAsiaTheme="majorEastAsia"/>
          <w:rtl/>
        </w:rPr>
        <w:t>בְּ</w:t>
      </w:r>
      <w:r>
        <w:rPr>
          <w:rtl/>
        </w:rPr>
        <w:t xml:space="preserve"> </w:t>
      </w:r>
      <w:r>
        <w:t xml:space="preserve">bei </w:t>
      </w:r>
      <w:r>
        <w:rPr>
          <w:rStyle w:val="Fett"/>
          <w:rFonts w:eastAsiaTheme="majorEastAsia"/>
          <w:rtl/>
        </w:rPr>
        <w:t>בַּמִּדְבָּר</w:t>
      </w:r>
      <w:r>
        <w:rPr>
          <w:rtl/>
        </w:rPr>
        <w:t xml:space="preserve"> </w:t>
      </w:r>
      <w:r>
        <w:t>hat lokale Bedeutung und markiert die Wüste als Schauplatz göttlicher Führung und Versorgung über 40 Jahre hinweg.</w:t>
      </w:r>
    </w:p>
    <w:p w14:paraId="1CD35E8F" w14:textId="77777777" w:rsidR="00607566" w:rsidRDefault="00607566" w:rsidP="00607566">
      <w:pPr>
        <w:pStyle w:val="whitespace-normal"/>
      </w:pPr>
      <w:r>
        <w:rPr>
          <w:rStyle w:val="Fett"/>
          <w:rFonts w:eastAsiaTheme="majorEastAsia"/>
        </w:rPr>
        <w:t>Die LXX</w:t>
      </w:r>
      <w:r>
        <w:t xml:space="preserve"> übersetzt „was er euch getan hat" mit „</w:t>
      </w:r>
      <w:proofErr w:type="spellStart"/>
      <w:r>
        <w:t>ὅσ</w:t>
      </w:r>
      <w:proofErr w:type="spellEnd"/>
      <w:r>
        <w:t>α ἐπ</w:t>
      </w:r>
      <w:proofErr w:type="spellStart"/>
      <w:r>
        <w:t>οίησεν</w:t>
      </w:r>
      <w:proofErr w:type="spellEnd"/>
      <w:r>
        <w:t xml:space="preserve"> </w:t>
      </w:r>
      <w:proofErr w:type="spellStart"/>
      <w:r>
        <w:t>ὑμῖν</w:t>
      </w:r>
      <w:proofErr w:type="spellEnd"/>
      <w:r>
        <w:t>" („wie viel er euch getan hat"), wobei das Relativpronomen durch „</w:t>
      </w:r>
      <w:proofErr w:type="spellStart"/>
      <w:r>
        <w:t>ὅσ</w:t>
      </w:r>
      <w:proofErr w:type="spellEnd"/>
      <w:r>
        <w:t>α" wiedergegeben wird, was die Fülle der Taten betont. „In der Wüste" wird mit „</w:t>
      </w:r>
      <w:proofErr w:type="spellStart"/>
      <w:r>
        <w:t>ἐν</w:t>
      </w:r>
      <w:proofErr w:type="spellEnd"/>
      <w:r>
        <w:t xml:space="preserve"> </w:t>
      </w:r>
      <w:proofErr w:type="spellStart"/>
      <w:r>
        <w:t>τῇ</w:t>
      </w:r>
      <w:proofErr w:type="spellEnd"/>
      <w:r>
        <w:t xml:space="preserve"> </w:t>
      </w:r>
      <w:proofErr w:type="spellStart"/>
      <w:r>
        <w:t>ἐρήμῳ</w:t>
      </w:r>
      <w:proofErr w:type="spellEnd"/>
      <w:r>
        <w:t>" übersetzt. „Bis zu diesem Ort" wird mit „</w:t>
      </w:r>
      <w:proofErr w:type="spellStart"/>
      <w:r>
        <w:t>ἕως</w:t>
      </w:r>
      <w:proofErr w:type="spellEnd"/>
      <w:r>
        <w:t xml:space="preserve"> </w:t>
      </w:r>
      <w:proofErr w:type="spellStart"/>
      <w:r>
        <w:t>τοῦ</w:t>
      </w:r>
      <w:proofErr w:type="spellEnd"/>
      <w:r>
        <w:t xml:space="preserve"> </w:t>
      </w:r>
      <w:proofErr w:type="spellStart"/>
      <w:r>
        <w:t>τό</w:t>
      </w:r>
      <w:proofErr w:type="spellEnd"/>
      <w:r>
        <w:t xml:space="preserve">που </w:t>
      </w:r>
      <w:proofErr w:type="spellStart"/>
      <w:r>
        <w:t>τούτου</w:t>
      </w:r>
      <w:proofErr w:type="spellEnd"/>
      <w:r>
        <w:t>" wiedergegeben.</w:t>
      </w:r>
    </w:p>
    <w:p w14:paraId="73DF5283" w14:textId="77777777" w:rsidR="00607566" w:rsidRDefault="00607566" w:rsidP="00607566">
      <w:pPr>
        <w:pStyle w:val="whitespace-normal"/>
      </w:pPr>
      <w:r>
        <w:t>Die Satzstruktur besteht aus einem Relativsatz mit Prädikat, Dativobjekt, lokaler Bestimmung und temporaler Bestimmung mit Infinitiv Construct: Relativpronomen mit Prädikat (was er getan hat), Dativobjekt (euch), lokale Bestimmung (in der Wüste), temporale Bestimmung mit doppeltem „bis" und Infinitiv Construct mit Suffix (bis ihr kamt) und Zielangabe (bis zu diesem Ort).</w:t>
      </w:r>
    </w:p>
    <w:p w14:paraId="596D5F21" w14:textId="77777777" w:rsidR="00607566" w:rsidRDefault="00607566" w:rsidP="00607566">
      <w:pPr>
        <w:pStyle w:val="whitespace-normal"/>
      </w:pPr>
      <w:r>
        <w:t>Der Vers fasst Gottes fürsorgliches Handeln während der gesamten Wüstenwanderung zusammen: Von Ägypten bis zum gegenwärtigen Standort in Moab hat JHWH Israel begleitet und versorgt.</w:t>
      </w:r>
    </w:p>
    <w:p w14:paraId="53E7526C" w14:textId="77777777" w:rsidR="00607566" w:rsidRPr="00607566" w:rsidRDefault="00607566" w:rsidP="00607566">
      <w:pPr>
        <w:pStyle w:val="berschrift1"/>
        <w:rPr>
          <w:rFonts w:ascii="Times New Roman" w:hAnsi="Times New Roman"/>
          <w:b/>
          <w:bCs/>
          <w:color w:val="auto"/>
          <w:sz w:val="36"/>
          <w:szCs w:val="36"/>
        </w:rPr>
      </w:pPr>
      <w:r w:rsidRPr="00607566">
        <w:rPr>
          <w:rFonts w:ascii="Times New Roman" w:hAnsi="Times New Roman"/>
          <w:b/>
          <w:bCs/>
          <w:color w:val="auto"/>
          <w:sz w:val="36"/>
          <w:szCs w:val="36"/>
        </w:rPr>
        <w:t>Deuteronomium 11,6</w:t>
      </w:r>
    </w:p>
    <w:p w14:paraId="6C51E67A" w14:textId="77777777" w:rsidR="00607566" w:rsidRDefault="00607566" w:rsidP="00607566">
      <w:pPr>
        <w:pStyle w:val="whitespace-normal"/>
      </w:pPr>
      <w:r>
        <w:rPr>
          <w:rStyle w:val="Fett"/>
          <w:rFonts w:eastAsiaTheme="majorEastAsia"/>
        </w:rPr>
        <w:t>Hebräisch:</w:t>
      </w:r>
      <w:r>
        <w:t xml:space="preserve"> </w:t>
      </w:r>
      <w:r>
        <w:rPr>
          <w:rtl/>
        </w:rPr>
        <w:t>וַאֲשֶׁ֨ר עָשָׂ֜ה לְדָתָ֣ן וְלַאֲבִירָ֗ם בְּנֵ֣י אֱלִיאָב֮ בֶּן־רְאוּבֵן֒ אֲשֶׁ֨ר פָּצְתָ֤ה הָאָ֨רֶץ֙ אֶת־פִּ֔יהָ וַתִּבְלָעֵ֥ם וְאֶת־בָּתֵּיהֶ֖ם וְאֶת־אָהֳלֵיהֶ֑ם וְאֵ֤ת כָּל־הַיְקוּם֙ אֲשֶׁ֣ר בְּרַגְלֵיהֶ֔ם בְּקֶ֖רֶב כָּל־יִשְׂרָאֵֽל׃</w:t>
      </w:r>
    </w:p>
    <w:p w14:paraId="1D03D015" w14:textId="77777777" w:rsidR="00607566" w:rsidRDefault="00607566" w:rsidP="00607566">
      <w:pPr>
        <w:pStyle w:val="whitespace-normal"/>
      </w:pPr>
      <w:r>
        <w:rPr>
          <w:rStyle w:val="Fett"/>
          <w:rFonts w:eastAsiaTheme="majorEastAsia"/>
        </w:rPr>
        <w:t>Deutsch:</w:t>
      </w:r>
      <w:r>
        <w:t xml:space="preserve"> und was er an Datan und Aviram getan hat, den Söhnen Eli'avs, des Sohnes Re'uvens, wie die Erde ihren Mund auftat und sie inmitten von ganz Jisra'el verschlang samt ihren Familien und ihren Zelten und allem Bestehenden, das in ihrem Gefolge war.</w:t>
      </w:r>
    </w:p>
    <w:p w14:paraId="36526F8D" w14:textId="77777777" w:rsidR="00607566" w:rsidRDefault="004F5CEB" w:rsidP="00607566">
      <w:r>
        <w:rPr>
          <w:noProof/>
        </w:rPr>
        <w:pict w14:anchorId="3F54230B">
          <v:rect id="_x0000_i1346" style="width:0;height:1.5pt" o:hralign="center" o:hrstd="t" o:hr="t" fillcolor="#a0a0a0" stroked="f"/>
        </w:pict>
      </w:r>
    </w:p>
    <w:p w14:paraId="138E375D" w14:textId="77777777" w:rsidR="00607566" w:rsidRDefault="00607566" w:rsidP="00607566">
      <w:pPr>
        <w:pStyle w:val="whitespace-normal"/>
      </w:pPr>
      <w:r>
        <w:rPr>
          <w:rStyle w:val="Fett"/>
          <w:rFonts w:eastAsiaTheme="majorEastAsia"/>
        </w:rPr>
        <w:t>Kommentar:</w:t>
      </w:r>
      <w:r>
        <w:t xml:space="preserve"> </w:t>
      </w:r>
      <w:r>
        <w:rPr>
          <w:rStyle w:val="Fett"/>
          <w:rFonts w:eastAsiaTheme="majorEastAsia"/>
          <w:rtl/>
        </w:rPr>
        <w:t>וַאֲשֶׁר עָשָׂה לְדָתָן וְלַאֲבִירָם</w:t>
      </w:r>
      <w:r>
        <w:rPr>
          <w:rtl/>
        </w:rPr>
        <w:t xml:space="preserve"> </w:t>
      </w:r>
      <w:r>
        <w:t xml:space="preserve">setzt die Aufzählung fort: </w:t>
      </w:r>
      <w:r>
        <w:rPr>
          <w:rStyle w:val="Fett"/>
          <w:rFonts w:eastAsiaTheme="majorEastAsia"/>
          <w:rtl/>
        </w:rPr>
        <w:t>וַאֲשֶׁר</w:t>
      </w:r>
      <w:r>
        <w:rPr>
          <w:rtl/>
        </w:rPr>
        <w:t xml:space="preserve"> </w:t>
      </w:r>
      <w:r>
        <w:t>(</w:t>
      </w:r>
      <w:r>
        <w:rPr>
          <w:rStyle w:val="Fett"/>
          <w:rFonts w:eastAsiaTheme="majorEastAsia"/>
        </w:rPr>
        <w:t>Waw</w:t>
      </w:r>
      <w:r>
        <w:t xml:space="preserve"> mit Relativpronomen) mit </w:t>
      </w:r>
      <w:r>
        <w:rPr>
          <w:rStyle w:val="Fett"/>
          <w:rFonts w:eastAsiaTheme="majorEastAsia"/>
          <w:rtl/>
        </w:rPr>
        <w:t>עָשָׂה</w:t>
      </w:r>
      <w:r>
        <w:rPr>
          <w:rtl/>
        </w:rPr>
        <w:t xml:space="preserve"> </w:t>
      </w:r>
      <w:r>
        <w:t xml:space="preserve">(Qal Perfekt, 3. Person Maskulinum Singular von </w:t>
      </w:r>
      <w:r>
        <w:rPr>
          <w:rStyle w:val="Fett"/>
          <w:rFonts w:eastAsiaTheme="majorEastAsia"/>
          <w:rtl/>
        </w:rPr>
        <w:t>עשׂה</w:t>
      </w:r>
      <w:r>
        <w:t xml:space="preserve">) und </w:t>
      </w:r>
      <w:r>
        <w:rPr>
          <w:rStyle w:val="Fett"/>
          <w:rFonts w:eastAsiaTheme="majorEastAsia"/>
          <w:rtl/>
        </w:rPr>
        <w:t>לְדָתָן וְלַאֲבִירָם</w:t>
      </w:r>
      <w:r>
        <w:rPr>
          <w:rtl/>
        </w:rPr>
        <w:t xml:space="preserve"> </w:t>
      </w:r>
      <w:r>
        <w:t>als Dativobjekt (</w:t>
      </w:r>
      <w:r>
        <w:rPr>
          <w:rStyle w:val="Fett"/>
          <w:rFonts w:eastAsiaTheme="majorEastAsia"/>
          <w:rtl/>
        </w:rPr>
        <w:t>לְ</w:t>
      </w:r>
      <w:r>
        <w:rPr>
          <w:rtl/>
        </w:rPr>
        <w:t xml:space="preserve"> </w:t>
      </w:r>
      <w:r>
        <w:t xml:space="preserve">mit den Eigennamen </w:t>
      </w:r>
      <w:r>
        <w:rPr>
          <w:rStyle w:val="Fett"/>
          <w:rFonts w:eastAsiaTheme="majorEastAsia"/>
          <w:rtl/>
        </w:rPr>
        <w:t>דָּתָן</w:t>
      </w:r>
      <w:r>
        <w:rPr>
          <w:rtl/>
        </w:rPr>
        <w:t xml:space="preserve"> </w:t>
      </w:r>
      <w:r>
        <w:t xml:space="preserve">und </w:t>
      </w:r>
      <w:r>
        <w:rPr>
          <w:rStyle w:val="Fett"/>
          <w:rFonts w:eastAsiaTheme="majorEastAsia"/>
          <w:rtl/>
        </w:rPr>
        <w:t>אֲבִירָם</w:t>
      </w:r>
      <w:r>
        <w:t xml:space="preserve">, koordiniert durch </w:t>
      </w:r>
      <w:r>
        <w:rPr>
          <w:rStyle w:val="Fett"/>
          <w:rFonts w:eastAsiaTheme="majorEastAsia"/>
          <w:rtl/>
        </w:rPr>
        <w:t>וְלְ</w:t>
      </w:r>
      <w:r>
        <w:t xml:space="preserve">). </w:t>
      </w:r>
      <w:r>
        <w:rPr>
          <w:rStyle w:val="Fett"/>
          <w:rFonts w:eastAsiaTheme="majorEastAsia"/>
          <w:rtl/>
        </w:rPr>
        <w:t>בְּנֵי אֱלִיאָב בֶּן־רְאוּבֵן</w:t>
      </w:r>
      <w:r>
        <w:rPr>
          <w:rtl/>
        </w:rPr>
        <w:t xml:space="preserve"> </w:t>
      </w:r>
      <w:r>
        <w:t xml:space="preserve">ist eine genealogische Apposition: </w:t>
      </w:r>
      <w:r>
        <w:rPr>
          <w:rStyle w:val="Fett"/>
          <w:rFonts w:eastAsiaTheme="majorEastAsia"/>
          <w:rtl/>
        </w:rPr>
        <w:t>בְּנֵי</w:t>
      </w:r>
      <w:r>
        <w:rPr>
          <w:rtl/>
        </w:rPr>
        <w:t xml:space="preserve"> </w:t>
      </w:r>
      <w:r>
        <w:t xml:space="preserve">(Plural Construct von </w:t>
      </w:r>
      <w:r>
        <w:rPr>
          <w:rStyle w:val="Fett"/>
          <w:rFonts w:eastAsiaTheme="majorEastAsia"/>
          <w:rtl/>
        </w:rPr>
        <w:t>בֵּן</w:t>
      </w:r>
      <w:r>
        <w:t xml:space="preserve">, „Söhne") mit </w:t>
      </w:r>
      <w:r>
        <w:rPr>
          <w:rStyle w:val="Fett"/>
          <w:rFonts w:eastAsiaTheme="majorEastAsia"/>
          <w:rtl/>
        </w:rPr>
        <w:t>אֱלִיאָב</w:t>
      </w:r>
      <w:r>
        <w:rPr>
          <w:rtl/>
        </w:rPr>
        <w:t xml:space="preserve"> </w:t>
      </w:r>
      <w:r>
        <w:t xml:space="preserve">(Eliab), gefolgt von </w:t>
      </w:r>
      <w:r>
        <w:rPr>
          <w:rStyle w:val="Fett"/>
          <w:rFonts w:eastAsiaTheme="majorEastAsia"/>
          <w:rtl/>
        </w:rPr>
        <w:t>בֶּן־רְאוּבֵן</w:t>
      </w:r>
      <w:r>
        <w:rPr>
          <w:rtl/>
        </w:rPr>
        <w:t xml:space="preserve"> </w:t>
      </w:r>
      <w:r>
        <w:t>(</w:t>
      </w:r>
      <w:r>
        <w:rPr>
          <w:rStyle w:val="Fett"/>
          <w:rFonts w:eastAsiaTheme="majorEastAsia"/>
          <w:rtl/>
        </w:rPr>
        <w:t>בֵּן</w:t>
      </w:r>
      <w:r>
        <w:rPr>
          <w:rtl/>
        </w:rPr>
        <w:t xml:space="preserve"> </w:t>
      </w:r>
      <w:r>
        <w:t xml:space="preserve">im Construct mit </w:t>
      </w:r>
      <w:r>
        <w:rPr>
          <w:rStyle w:val="Fett"/>
          <w:rFonts w:eastAsiaTheme="majorEastAsia"/>
          <w:rtl/>
        </w:rPr>
        <w:t>רְאוּבֵן</w:t>
      </w:r>
      <w:r>
        <w:t>, Ruben). Diese genealogische Einordnung identifiziert die Rebellen als Angehörige des Stammes Ruben. Auffällig ist das Fehlen von Korach, der in Numeri 16 als Hauptfigur der Rebellion erscheint.</w:t>
      </w:r>
    </w:p>
    <w:p w14:paraId="51EE94AB" w14:textId="77777777" w:rsidR="00607566" w:rsidRDefault="00607566" w:rsidP="00607566">
      <w:pPr>
        <w:pStyle w:val="whitespace-normal"/>
      </w:pPr>
      <w:r>
        <w:rPr>
          <w:rStyle w:val="Fett"/>
          <w:rFonts w:eastAsiaTheme="majorEastAsia"/>
          <w:rtl/>
        </w:rPr>
        <w:t>אֲשֶׁר פָּצְתָה הָאָרֶץ אֶת־פִּיהָ</w:t>
      </w:r>
      <w:r>
        <w:rPr>
          <w:rtl/>
        </w:rPr>
        <w:t xml:space="preserve"> </w:t>
      </w:r>
      <w:r>
        <w:t xml:space="preserve">ist ein zweiter Relativsatz: </w:t>
      </w:r>
      <w:r>
        <w:rPr>
          <w:rStyle w:val="Fett"/>
          <w:rFonts w:eastAsiaTheme="majorEastAsia"/>
          <w:rtl/>
        </w:rPr>
        <w:t>אֲשֶׁר</w:t>
      </w:r>
      <w:r>
        <w:rPr>
          <w:rtl/>
        </w:rPr>
        <w:t xml:space="preserve"> </w:t>
      </w:r>
      <w:r>
        <w:t xml:space="preserve">mit </w:t>
      </w:r>
      <w:r>
        <w:rPr>
          <w:rStyle w:val="Fett"/>
          <w:rFonts w:eastAsiaTheme="majorEastAsia"/>
          <w:rtl/>
        </w:rPr>
        <w:t>פָּצְתָה</w:t>
      </w:r>
      <w:r>
        <w:rPr>
          <w:rtl/>
        </w:rPr>
        <w:t xml:space="preserve"> </w:t>
      </w:r>
      <w:r>
        <w:t xml:space="preserve">(Qal Perfekt, 3. Person feminin Singular von </w:t>
      </w:r>
      <w:r>
        <w:rPr>
          <w:rStyle w:val="Fett"/>
          <w:rFonts w:eastAsiaTheme="majorEastAsia"/>
          <w:rtl/>
        </w:rPr>
        <w:t>פצה</w:t>
      </w:r>
      <w:r>
        <w:t xml:space="preserve">, „öffnen, auftun, aufsperren"), </w:t>
      </w:r>
      <w:r>
        <w:rPr>
          <w:rStyle w:val="Fett"/>
          <w:rFonts w:eastAsiaTheme="majorEastAsia"/>
          <w:rtl/>
        </w:rPr>
        <w:t>הָאָרֶץ</w:t>
      </w:r>
      <w:r>
        <w:rPr>
          <w:rtl/>
        </w:rPr>
        <w:t xml:space="preserve"> </w:t>
      </w:r>
      <w:r>
        <w:t xml:space="preserve">(„die Erde") als Subjekt und </w:t>
      </w:r>
      <w:r>
        <w:rPr>
          <w:rStyle w:val="Fett"/>
          <w:rFonts w:eastAsiaTheme="majorEastAsia"/>
          <w:rtl/>
        </w:rPr>
        <w:t>אֶת־פִּיהָ</w:t>
      </w:r>
      <w:r>
        <w:rPr>
          <w:rtl/>
        </w:rPr>
        <w:t xml:space="preserve"> </w:t>
      </w:r>
      <w:r>
        <w:t>als direktes Objekt (</w:t>
      </w:r>
      <w:r>
        <w:rPr>
          <w:rStyle w:val="Fett"/>
          <w:rFonts w:eastAsiaTheme="majorEastAsia"/>
          <w:rtl/>
        </w:rPr>
        <w:t>אֵת</w:t>
      </w:r>
      <w:r>
        <w:rPr>
          <w:rtl/>
        </w:rPr>
        <w:t xml:space="preserve"> </w:t>
      </w:r>
      <w:r>
        <w:t xml:space="preserve">mit </w:t>
      </w:r>
      <w:r>
        <w:rPr>
          <w:rStyle w:val="Fett"/>
          <w:rFonts w:eastAsiaTheme="majorEastAsia"/>
          <w:rtl/>
        </w:rPr>
        <w:t>פֶּה</w:t>
      </w:r>
      <w:r>
        <w:t xml:space="preserve">, „Mund", und Suffix 3. Person feminin Singular). Die Personifizierung der Erde, die ihren Mund öffnet, ist ein dramatisches Bild göttlichen Gerichts. </w:t>
      </w:r>
      <w:r>
        <w:rPr>
          <w:rStyle w:val="Fett"/>
          <w:rFonts w:eastAsiaTheme="majorEastAsia"/>
          <w:rtl/>
        </w:rPr>
        <w:t>וַתִּבְלָעֵם</w:t>
      </w:r>
      <w:r>
        <w:rPr>
          <w:rtl/>
        </w:rPr>
        <w:t xml:space="preserve"> </w:t>
      </w:r>
      <w:r>
        <w:t xml:space="preserve">ist koordiniert: </w:t>
      </w:r>
      <w:r>
        <w:rPr>
          <w:rStyle w:val="Fett"/>
          <w:rFonts w:eastAsiaTheme="majorEastAsia"/>
        </w:rPr>
        <w:t>Waw</w:t>
      </w:r>
      <w:r>
        <w:t xml:space="preserve"> mit </w:t>
      </w:r>
      <w:r>
        <w:rPr>
          <w:rStyle w:val="Fett"/>
          <w:rFonts w:eastAsiaTheme="majorEastAsia"/>
          <w:rtl/>
        </w:rPr>
        <w:t>תִּבְלַע</w:t>
      </w:r>
      <w:r>
        <w:rPr>
          <w:rtl/>
        </w:rPr>
        <w:t xml:space="preserve"> </w:t>
      </w:r>
      <w:r>
        <w:t xml:space="preserve">(Qal Imperfekt consecutivum, 3. Person feminin Singular von </w:t>
      </w:r>
      <w:r>
        <w:rPr>
          <w:rStyle w:val="Fett"/>
          <w:rFonts w:eastAsiaTheme="majorEastAsia"/>
          <w:rtl/>
        </w:rPr>
        <w:t>בלע</w:t>
      </w:r>
      <w:r>
        <w:t>, „verschlingen, verschlucken") und Suffix 3. Person Maskulinum Plural als Objekt.</w:t>
      </w:r>
    </w:p>
    <w:p w14:paraId="48CA5291" w14:textId="77777777" w:rsidR="00607566" w:rsidRDefault="00607566" w:rsidP="00607566">
      <w:pPr>
        <w:pStyle w:val="whitespace-normal"/>
      </w:pPr>
      <w:r>
        <w:rPr>
          <w:rStyle w:val="Fett"/>
          <w:rFonts w:eastAsiaTheme="majorEastAsia"/>
          <w:rtl/>
        </w:rPr>
        <w:lastRenderedPageBreak/>
        <w:t>וְאֶת־בָּתֵּיהֶם וְאֶת־אָהֳלֵיהֶם וְאֵת כָּל־הַיְקוּם אֲשֶׁר בְּרַגְלֵיהֶם</w:t>
      </w:r>
      <w:r>
        <w:rPr>
          <w:rtl/>
        </w:rPr>
        <w:t xml:space="preserve"> </w:t>
      </w:r>
      <w:r>
        <w:t xml:space="preserve">ist eine dreigliedrige Aufzählung weiterer Objekte: </w:t>
      </w:r>
      <w:r>
        <w:rPr>
          <w:rStyle w:val="Fett"/>
          <w:rFonts w:eastAsiaTheme="majorEastAsia"/>
          <w:rtl/>
        </w:rPr>
        <w:t>וְאֵת</w:t>
      </w:r>
      <w:r>
        <w:rPr>
          <w:rtl/>
        </w:rPr>
        <w:t xml:space="preserve"> </w:t>
      </w:r>
      <w:r>
        <w:t xml:space="preserve">mit </w:t>
      </w:r>
      <w:r>
        <w:rPr>
          <w:rStyle w:val="Fett"/>
          <w:rFonts w:eastAsiaTheme="majorEastAsia"/>
          <w:rtl/>
        </w:rPr>
        <w:t>בַּיִת</w:t>
      </w:r>
      <w:r>
        <w:rPr>
          <w:rtl/>
        </w:rPr>
        <w:t xml:space="preserve"> </w:t>
      </w:r>
      <w:r>
        <w:t xml:space="preserve">(Plural von </w:t>
      </w:r>
      <w:r>
        <w:rPr>
          <w:rStyle w:val="Fett"/>
          <w:rFonts w:eastAsiaTheme="majorEastAsia"/>
          <w:rtl/>
        </w:rPr>
        <w:t>בַּיִת</w:t>
      </w:r>
      <w:r>
        <w:t xml:space="preserve">, „Haus, Haushalt, Familie", mit Suffix 3. Person Maskulinum Plural), koordiniert durch </w:t>
      </w:r>
      <w:r>
        <w:rPr>
          <w:rStyle w:val="Fett"/>
          <w:rFonts w:eastAsiaTheme="majorEastAsia"/>
          <w:rtl/>
        </w:rPr>
        <w:t>וְאֵת</w:t>
      </w:r>
      <w:r>
        <w:rPr>
          <w:rtl/>
        </w:rPr>
        <w:t xml:space="preserve"> </w:t>
      </w:r>
      <w:r>
        <w:t xml:space="preserve">mit </w:t>
      </w:r>
      <w:r>
        <w:rPr>
          <w:rStyle w:val="Fett"/>
          <w:rFonts w:eastAsiaTheme="majorEastAsia"/>
          <w:rtl/>
        </w:rPr>
        <w:t>אֹהֶל</w:t>
      </w:r>
      <w:r>
        <w:rPr>
          <w:rtl/>
        </w:rPr>
        <w:t xml:space="preserve"> </w:t>
      </w:r>
      <w:r>
        <w:t xml:space="preserve">(Plural von </w:t>
      </w:r>
      <w:r>
        <w:rPr>
          <w:rStyle w:val="Fett"/>
          <w:rFonts w:eastAsiaTheme="majorEastAsia"/>
          <w:rtl/>
        </w:rPr>
        <w:t>אֹהֶל</w:t>
      </w:r>
      <w:r>
        <w:t xml:space="preserve">, „Zelt", mit Suffix 3. Person Maskulinum Plural), und </w:t>
      </w:r>
      <w:r>
        <w:rPr>
          <w:rStyle w:val="Fett"/>
          <w:rFonts w:eastAsiaTheme="majorEastAsia"/>
          <w:rtl/>
        </w:rPr>
        <w:t>וְאֵת</w:t>
      </w:r>
      <w:r>
        <w:rPr>
          <w:rtl/>
        </w:rPr>
        <w:t xml:space="preserve"> </w:t>
      </w:r>
      <w:r>
        <w:t xml:space="preserve">mit </w:t>
      </w:r>
      <w:r>
        <w:rPr>
          <w:rStyle w:val="Fett"/>
          <w:rFonts w:eastAsiaTheme="majorEastAsia"/>
          <w:rtl/>
        </w:rPr>
        <w:t>כָּל־הַיְקוּם</w:t>
      </w:r>
      <w:r>
        <w:rPr>
          <w:rtl/>
        </w:rPr>
        <w:t xml:space="preserve"> </w:t>
      </w:r>
      <w:r>
        <w:t>(</w:t>
      </w:r>
      <w:r>
        <w:rPr>
          <w:rStyle w:val="Fett"/>
          <w:rFonts w:eastAsiaTheme="majorEastAsia"/>
          <w:rtl/>
        </w:rPr>
        <w:t>כֹּל</w:t>
      </w:r>
      <w:r>
        <w:rPr>
          <w:rtl/>
        </w:rPr>
        <w:t xml:space="preserve"> </w:t>
      </w:r>
      <w:r>
        <w:t xml:space="preserve">im Construct mit </w:t>
      </w:r>
      <w:r>
        <w:rPr>
          <w:rStyle w:val="Fett"/>
          <w:rFonts w:eastAsiaTheme="majorEastAsia"/>
          <w:rtl/>
        </w:rPr>
        <w:t>יְקוּם</w:t>
      </w:r>
      <w:r>
        <w:t xml:space="preserve">, „Besitz, Habe, Bestehendes", mit Artikel), gefolgt vom Relativsatz </w:t>
      </w:r>
      <w:r>
        <w:rPr>
          <w:rStyle w:val="Fett"/>
          <w:rFonts w:eastAsiaTheme="majorEastAsia"/>
          <w:rtl/>
        </w:rPr>
        <w:t>אֲשֶׁר בְּרַגְלֵיהֶם</w:t>
      </w:r>
      <w:r>
        <w:rPr>
          <w:rtl/>
        </w:rPr>
        <w:t xml:space="preserve"> </w:t>
      </w:r>
      <w:r>
        <w:t>(</w:t>
      </w:r>
      <w:r>
        <w:rPr>
          <w:rStyle w:val="Fett"/>
          <w:rFonts w:eastAsiaTheme="majorEastAsia"/>
          <w:rtl/>
        </w:rPr>
        <w:t>אֲשֶׁר</w:t>
      </w:r>
      <w:r>
        <w:rPr>
          <w:rtl/>
        </w:rPr>
        <w:t xml:space="preserve"> </w:t>
      </w:r>
      <w:r>
        <w:t xml:space="preserve">mit </w:t>
      </w:r>
      <w:r>
        <w:rPr>
          <w:rStyle w:val="Fett"/>
          <w:rFonts w:eastAsiaTheme="majorEastAsia"/>
          <w:rtl/>
        </w:rPr>
        <w:t>בְּרַגְלֵיהֶם</w:t>
      </w:r>
      <w:r>
        <w:t xml:space="preserve">, Präposition </w:t>
      </w:r>
      <w:r>
        <w:rPr>
          <w:rStyle w:val="Fett"/>
          <w:rFonts w:eastAsiaTheme="majorEastAsia"/>
          <w:rtl/>
        </w:rPr>
        <w:t>בְּ</w:t>
      </w:r>
      <w:r>
        <w:rPr>
          <w:rtl/>
        </w:rPr>
        <w:t xml:space="preserve"> </w:t>
      </w:r>
      <w:r>
        <w:t xml:space="preserve">mit </w:t>
      </w:r>
      <w:r>
        <w:rPr>
          <w:rStyle w:val="Fett"/>
          <w:rFonts w:eastAsiaTheme="majorEastAsia"/>
          <w:rtl/>
        </w:rPr>
        <w:t>רֶגֶל</w:t>
      </w:r>
      <w:r>
        <w:t xml:space="preserve">, „Fuß", Dual mit Suffix 3. Person Maskulinum Plural, idiomatisch „in ihrem Gefolge, bei ihnen"). </w:t>
      </w:r>
      <w:r>
        <w:rPr>
          <w:rStyle w:val="Fett"/>
          <w:rFonts w:eastAsiaTheme="majorEastAsia"/>
          <w:rtl/>
        </w:rPr>
        <w:t>בְּקֶרֶב כָּל־יִשְׂרָאֵל</w:t>
      </w:r>
      <w:r>
        <w:rPr>
          <w:rtl/>
        </w:rPr>
        <w:t xml:space="preserve"> </w:t>
      </w:r>
      <w:r>
        <w:t xml:space="preserve">ist eine lokale Bestimmung: </w:t>
      </w:r>
      <w:r>
        <w:rPr>
          <w:rStyle w:val="Fett"/>
          <w:rFonts w:eastAsiaTheme="majorEastAsia"/>
          <w:rtl/>
        </w:rPr>
        <w:t>בְּקֶרֶב</w:t>
      </w:r>
      <w:r>
        <w:rPr>
          <w:rtl/>
        </w:rPr>
        <w:t xml:space="preserve"> </w:t>
      </w:r>
      <w:r>
        <w:t xml:space="preserve">(„inmitten, im Inneren") mit </w:t>
      </w:r>
      <w:r>
        <w:rPr>
          <w:rStyle w:val="Fett"/>
          <w:rFonts w:eastAsiaTheme="majorEastAsia"/>
          <w:rtl/>
        </w:rPr>
        <w:t>כָּל־יִשְׂרָאֵל</w:t>
      </w:r>
      <w:r>
        <w:rPr>
          <w:rtl/>
        </w:rPr>
        <w:t xml:space="preserve"> </w:t>
      </w:r>
      <w:r>
        <w:t>(</w:t>
      </w:r>
      <w:r>
        <w:rPr>
          <w:rStyle w:val="Fett"/>
          <w:rFonts w:eastAsiaTheme="majorEastAsia"/>
          <w:rtl/>
        </w:rPr>
        <w:t>כֹּל</w:t>
      </w:r>
      <w:r>
        <w:rPr>
          <w:rtl/>
        </w:rPr>
        <w:t xml:space="preserve"> </w:t>
      </w:r>
      <w:r>
        <w:t xml:space="preserve">im Construct mit </w:t>
      </w:r>
      <w:r>
        <w:rPr>
          <w:rStyle w:val="Fett"/>
          <w:rFonts w:eastAsiaTheme="majorEastAsia"/>
          <w:rtl/>
        </w:rPr>
        <w:t>יִשְׂרָאֵל</w:t>
      </w:r>
      <w:r>
        <w:t>). Diese Ortsangabe betont die öffentliche Natur des Gerichts vor ganz Israel.</w:t>
      </w:r>
    </w:p>
    <w:p w14:paraId="14CE547A" w14:textId="77777777" w:rsidR="00607566" w:rsidRDefault="00607566" w:rsidP="00607566">
      <w:pPr>
        <w:pStyle w:val="whitespace-normal"/>
      </w:pPr>
      <w:r>
        <w:t xml:space="preserve">Die Syntax zeigt die Dramatik des Ereignisses: Die Erde wird als handelndes Subjekt personifiziert, das seinen Mund öffnet und die Rebellen verschlingt. Die dreifache Aufzählung dessen, was verschlungen wurde (die Menschen selbst, ihre Haushalte, ihre Zelte, ihr gesamter Besitz), unterstreicht die Totalität des Gerichts. Die Wendung </w:t>
      </w:r>
      <w:r>
        <w:rPr>
          <w:rStyle w:val="Fett"/>
          <w:rFonts w:eastAsiaTheme="majorEastAsia"/>
          <w:rtl/>
        </w:rPr>
        <w:t>כָּל־הַיְקוּם אֲשֶׁר בְּרַגְלֵיהֶם</w:t>
      </w:r>
      <w:r>
        <w:rPr>
          <w:rtl/>
        </w:rPr>
        <w:t xml:space="preserve"> </w:t>
      </w:r>
      <w:r>
        <w:t xml:space="preserve">ist eine umfassende Formulierung für alles, was zu ihnen gehörte. Die Imperfekt-consecutivum-Form </w:t>
      </w:r>
      <w:r>
        <w:rPr>
          <w:rStyle w:val="Fett"/>
          <w:rFonts w:eastAsiaTheme="majorEastAsia"/>
          <w:rtl/>
        </w:rPr>
        <w:t>וַתִּבְלָעֵם</w:t>
      </w:r>
      <w:r>
        <w:rPr>
          <w:rtl/>
        </w:rPr>
        <w:t xml:space="preserve"> </w:t>
      </w:r>
      <w:r>
        <w:t xml:space="preserve">setzt die Handlung von </w:t>
      </w:r>
      <w:r>
        <w:rPr>
          <w:rStyle w:val="Fett"/>
          <w:rFonts w:eastAsiaTheme="majorEastAsia"/>
          <w:rtl/>
        </w:rPr>
        <w:t>פָּצְתָה</w:t>
      </w:r>
      <w:r>
        <w:rPr>
          <w:rtl/>
        </w:rPr>
        <w:t xml:space="preserve"> </w:t>
      </w:r>
      <w:r>
        <w:t>fort und beschreibt die unmittelbare Folge.</w:t>
      </w:r>
    </w:p>
    <w:p w14:paraId="4A8B90F4" w14:textId="77777777" w:rsidR="00607566" w:rsidRDefault="00607566" w:rsidP="00607566">
      <w:pPr>
        <w:pStyle w:val="whitespace-normal"/>
      </w:pPr>
      <w:r>
        <w:rPr>
          <w:rStyle w:val="Fett"/>
          <w:rFonts w:eastAsiaTheme="majorEastAsia"/>
        </w:rPr>
        <w:t>Die LXX</w:t>
      </w:r>
      <w:r>
        <w:t xml:space="preserve"> übersetzt „was er getan hat" mit „</w:t>
      </w:r>
      <w:proofErr w:type="spellStart"/>
      <w:r>
        <w:t>ὅσ</w:t>
      </w:r>
      <w:proofErr w:type="spellEnd"/>
      <w:r>
        <w:t>α ἐπ</w:t>
      </w:r>
      <w:proofErr w:type="spellStart"/>
      <w:r>
        <w:t>οίησεν</w:t>
      </w:r>
      <w:proofErr w:type="spellEnd"/>
      <w:r>
        <w:t xml:space="preserve">", „die Erde" mit „ἡ </w:t>
      </w:r>
      <w:proofErr w:type="spellStart"/>
      <w:r>
        <w:t>γῆ</w:t>
      </w:r>
      <w:proofErr w:type="spellEnd"/>
      <w:r>
        <w:t>", „öffnete ihren Mund" mit „</w:t>
      </w:r>
      <w:proofErr w:type="spellStart"/>
      <w:r>
        <w:t>ἤνοιξεν</w:t>
      </w:r>
      <w:proofErr w:type="spellEnd"/>
      <w:r>
        <w:t xml:space="preserve"> </w:t>
      </w:r>
      <w:proofErr w:type="spellStart"/>
      <w:r>
        <w:t>τὸ</w:t>
      </w:r>
      <w:proofErr w:type="spellEnd"/>
      <w:r>
        <w:t xml:space="preserve"> </w:t>
      </w:r>
      <w:proofErr w:type="spellStart"/>
      <w:r>
        <w:t>στόμ</w:t>
      </w:r>
      <w:proofErr w:type="spellEnd"/>
      <w:r>
        <w:t>α α</w:t>
      </w:r>
      <w:proofErr w:type="spellStart"/>
      <w:r>
        <w:t>ὐτῆς</w:t>
      </w:r>
      <w:proofErr w:type="spellEnd"/>
      <w:r>
        <w:t>" und „verschlang sie" mit „κα</w:t>
      </w:r>
      <w:proofErr w:type="spellStart"/>
      <w:r>
        <w:t>τέ</w:t>
      </w:r>
      <w:proofErr w:type="spellEnd"/>
      <w:r>
        <w:t>πιεν α</w:t>
      </w:r>
      <w:proofErr w:type="spellStart"/>
      <w:r>
        <w:t>ὐτούς</w:t>
      </w:r>
      <w:proofErr w:type="spellEnd"/>
      <w:r>
        <w:t>". „Inmitten ganz Israels" wird mit „</w:t>
      </w:r>
      <w:proofErr w:type="spellStart"/>
      <w:r>
        <w:t>ἐν</w:t>
      </w:r>
      <w:proofErr w:type="spellEnd"/>
      <w:r>
        <w:t xml:space="preserve"> π</w:t>
      </w:r>
      <w:proofErr w:type="spellStart"/>
      <w:r>
        <w:t>άσῃ</w:t>
      </w:r>
      <w:proofErr w:type="spellEnd"/>
      <w:r>
        <w:t xml:space="preserve"> </w:t>
      </w:r>
      <w:proofErr w:type="spellStart"/>
      <w:r>
        <w:t>Ισρ</w:t>
      </w:r>
      <w:proofErr w:type="spellEnd"/>
      <w:r>
        <w:t>αηλ" wiedergegeben.</w:t>
      </w:r>
    </w:p>
    <w:p w14:paraId="6744C92A" w14:textId="77777777" w:rsidR="00607566" w:rsidRDefault="00607566" w:rsidP="00607566">
      <w:pPr>
        <w:pStyle w:val="whitespace-normal"/>
      </w:pPr>
      <w:r>
        <w:t>Die Satzstruktur besteht aus einem Relativsatz mit Dativobjekt und genealogischer Apposition, einem zweiten Relativsatz mit zwei koordinierten Prädikaten und mehrfachen Objekten sowie einer lokalen Bestimmung: Relativpronomen mit Prädikat (was er getan hat), Dativobjekt (an Datan und Aviram), genealogische Apposition (Söhne Eliabs, des Sohnes Rubens), zweiter Relativsatz mit Prädikat (die Erde öffnete), Objekt (ihren Mund), koordiniertes Prädikat (und verschlang), direktes Objekt (sie) und dreifaches weiteres Objekt (ihre Haushalte, ihre Zelte und allen Besitz in ihrem Gefolge) sowie lokale Bestimmung (inmitten ganz Israels).</w:t>
      </w:r>
    </w:p>
    <w:p w14:paraId="54E63902" w14:textId="77777777" w:rsidR="00607566" w:rsidRDefault="00607566" w:rsidP="00607566">
      <w:pPr>
        <w:pStyle w:val="whitespace-normal"/>
      </w:pPr>
      <w:r>
        <w:t>Der Vers erinnert an das göttliche Gericht über Datan und Aviram: Die Erde verschlang die Rebellen samt ihrem gesamten Besitz vor den Augen ganz Israels, ein warnendes Beispiel göttlicher Strafe bei Auflehnung.</w:t>
      </w:r>
    </w:p>
    <w:p w14:paraId="1F25D905" w14:textId="77777777" w:rsidR="00607566" w:rsidRPr="00607566" w:rsidRDefault="00607566" w:rsidP="00607566">
      <w:pPr>
        <w:pStyle w:val="berschrift1"/>
        <w:rPr>
          <w:rFonts w:ascii="Times New Roman" w:hAnsi="Times New Roman"/>
          <w:b/>
          <w:bCs/>
          <w:color w:val="auto"/>
          <w:sz w:val="36"/>
          <w:szCs w:val="36"/>
        </w:rPr>
      </w:pPr>
      <w:r w:rsidRPr="00607566">
        <w:rPr>
          <w:rFonts w:ascii="Times New Roman" w:hAnsi="Times New Roman"/>
          <w:b/>
          <w:bCs/>
          <w:color w:val="auto"/>
          <w:sz w:val="36"/>
          <w:szCs w:val="36"/>
        </w:rPr>
        <w:t>Deuteronomium 11,7</w:t>
      </w:r>
    </w:p>
    <w:p w14:paraId="0A035FC0" w14:textId="77777777" w:rsidR="00607566" w:rsidRDefault="00607566" w:rsidP="00607566">
      <w:pPr>
        <w:pStyle w:val="whitespace-normal"/>
      </w:pPr>
      <w:r>
        <w:rPr>
          <w:rStyle w:val="Fett"/>
          <w:rFonts w:eastAsiaTheme="majorEastAsia"/>
        </w:rPr>
        <w:t>Hebräisch:</w:t>
      </w:r>
      <w:r>
        <w:t xml:space="preserve"> </w:t>
      </w:r>
      <w:r>
        <w:rPr>
          <w:rtl/>
        </w:rPr>
        <w:t>כִּ֤י עֵֽינֵיכֶם֙ הָֽרֹאֹ֔ת אֶת־כָּל־מַעֲשֵׂ֥ה יְהוָ֖ה הַגָּדֹ֑ל אֲשֶׁ֖ר עָשָֽׂה׃</w:t>
      </w:r>
    </w:p>
    <w:p w14:paraId="3E7CEE70" w14:textId="77777777" w:rsidR="00607566" w:rsidRDefault="00607566" w:rsidP="00607566">
      <w:pPr>
        <w:pStyle w:val="whitespace-normal"/>
      </w:pPr>
      <w:r>
        <w:rPr>
          <w:rStyle w:val="Fett"/>
          <w:rFonts w:eastAsiaTheme="majorEastAsia"/>
        </w:rPr>
        <w:t>Deutsch:</w:t>
      </w:r>
      <w:r>
        <w:t xml:space="preserve"> Denn eure Augen haben das ganze große Werk des Ewigen gesehen, das er getan hat.</w:t>
      </w:r>
    </w:p>
    <w:p w14:paraId="59D42689" w14:textId="77777777" w:rsidR="00607566" w:rsidRDefault="004F5CEB" w:rsidP="00607566">
      <w:r>
        <w:rPr>
          <w:noProof/>
        </w:rPr>
        <w:pict w14:anchorId="19D12E85">
          <v:rect id="_x0000_i1347" style="width:0;height:1.5pt" o:hralign="center" o:hrstd="t" o:hr="t" fillcolor="#a0a0a0" stroked="f"/>
        </w:pict>
      </w:r>
    </w:p>
    <w:p w14:paraId="3AD74C88" w14:textId="77777777" w:rsidR="00607566" w:rsidRDefault="00607566" w:rsidP="00607566">
      <w:pPr>
        <w:pStyle w:val="whitespace-normal"/>
      </w:pPr>
      <w:r>
        <w:rPr>
          <w:rStyle w:val="Fett"/>
          <w:rFonts w:eastAsiaTheme="majorEastAsia"/>
        </w:rPr>
        <w:t>Kommentar:</w:t>
      </w:r>
      <w:r>
        <w:t xml:space="preserve"> </w:t>
      </w:r>
      <w:r>
        <w:rPr>
          <w:rStyle w:val="Fett"/>
          <w:rFonts w:eastAsiaTheme="majorEastAsia"/>
          <w:rtl/>
        </w:rPr>
        <w:t>כִּי</w:t>
      </w:r>
      <w:r>
        <w:rPr>
          <w:rtl/>
        </w:rPr>
        <w:t xml:space="preserve"> </w:t>
      </w:r>
      <w:r>
        <w:t xml:space="preserve">ist eine kausale Konjunktion („denn, weil"), die die Begründung für die vorhergehenden Ermahnungen liefert und gleichzeitig die Aufzählung der göttlichen Taten (V. 2-6) abschließt. </w:t>
      </w:r>
      <w:r>
        <w:rPr>
          <w:rStyle w:val="Fett"/>
          <w:rFonts w:eastAsiaTheme="majorEastAsia"/>
          <w:rtl/>
        </w:rPr>
        <w:t>עֵינֵיכֶם הָרֹאֹת</w:t>
      </w:r>
      <w:r>
        <w:rPr>
          <w:rtl/>
        </w:rPr>
        <w:t xml:space="preserve"> </w:t>
      </w:r>
      <w:r>
        <w:t xml:space="preserve">besteht aus </w:t>
      </w:r>
      <w:r>
        <w:rPr>
          <w:rStyle w:val="Fett"/>
          <w:rFonts w:eastAsiaTheme="majorEastAsia"/>
          <w:rtl/>
        </w:rPr>
        <w:t>עַיִן</w:t>
      </w:r>
      <w:r>
        <w:rPr>
          <w:rtl/>
        </w:rPr>
        <w:t xml:space="preserve"> </w:t>
      </w:r>
      <w:r>
        <w:t xml:space="preserve">(Dual von </w:t>
      </w:r>
      <w:r>
        <w:rPr>
          <w:rStyle w:val="Fett"/>
          <w:rFonts w:eastAsiaTheme="majorEastAsia"/>
          <w:rtl/>
        </w:rPr>
        <w:t>עַיִן</w:t>
      </w:r>
      <w:r>
        <w:t xml:space="preserve">, „Auge", mit Suffix 2. Person </w:t>
      </w:r>
      <w:r>
        <w:lastRenderedPageBreak/>
        <w:t xml:space="preserve">Maskulinum Plural) als Subjekt und </w:t>
      </w:r>
      <w:r>
        <w:rPr>
          <w:rStyle w:val="Fett"/>
          <w:rFonts w:eastAsiaTheme="majorEastAsia"/>
          <w:rtl/>
        </w:rPr>
        <w:t>הָרֹאֹת</w:t>
      </w:r>
      <w:r>
        <w:rPr>
          <w:rtl/>
        </w:rPr>
        <w:t xml:space="preserve"> </w:t>
      </w:r>
      <w:r>
        <w:t xml:space="preserve">(Qal Partizip feminin Plural von </w:t>
      </w:r>
      <w:r>
        <w:rPr>
          <w:rStyle w:val="Fett"/>
          <w:rFonts w:eastAsiaTheme="majorEastAsia"/>
          <w:rtl/>
        </w:rPr>
        <w:t>ראה</w:t>
      </w:r>
      <w:r>
        <w:t xml:space="preserve">, „sehen", mit Artikel) als Prädikat. Die Verwendung des Partizips betont den andauernden oder wiederholten Charakter des Sehens. Die Konstruktion mit </w:t>
      </w:r>
      <w:r>
        <w:rPr>
          <w:rStyle w:val="Fett"/>
          <w:rFonts w:eastAsiaTheme="majorEastAsia"/>
          <w:rtl/>
        </w:rPr>
        <w:t>עַיִן</w:t>
      </w:r>
      <w:r>
        <w:rPr>
          <w:rtl/>
        </w:rPr>
        <w:t xml:space="preserve"> </w:t>
      </w:r>
      <w:r>
        <w:t>als Subjekt und einem Verb des Sehens ist eine emphatische Ausdrucksweise, die die persönliche Augenzeugenschaft unterstreicht.</w:t>
      </w:r>
    </w:p>
    <w:p w14:paraId="709FD36C" w14:textId="77777777" w:rsidR="00607566" w:rsidRDefault="00607566" w:rsidP="00607566">
      <w:pPr>
        <w:pStyle w:val="whitespace-normal"/>
      </w:pPr>
      <w:r>
        <w:rPr>
          <w:rStyle w:val="Fett"/>
          <w:rFonts w:eastAsiaTheme="majorEastAsia"/>
          <w:rtl/>
        </w:rPr>
        <w:t>אֶת־כָּל־מַעֲשֵׂה יְהוָה הַגָּדֹל</w:t>
      </w:r>
      <w:r>
        <w:rPr>
          <w:rtl/>
        </w:rPr>
        <w:t xml:space="preserve"> </w:t>
      </w:r>
      <w:r>
        <w:t xml:space="preserve">ist das direkte Objekt: </w:t>
      </w:r>
      <w:r>
        <w:rPr>
          <w:rStyle w:val="Fett"/>
          <w:rFonts w:eastAsiaTheme="majorEastAsia"/>
          <w:rtl/>
        </w:rPr>
        <w:t>אֵת</w:t>
      </w:r>
      <w:r>
        <w:rPr>
          <w:rtl/>
        </w:rPr>
        <w:t xml:space="preserve"> </w:t>
      </w:r>
      <w:r>
        <w:t xml:space="preserve">mit </w:t>
      </w:r>
      <w:r>
        <w:rPr>
          <w:rStyle w:val="Fett"/>
          <w:rFonts w:eastAsiaTheme="majorEastAsia"/>
          <w:rtl/>
        </w:rPr>
        <w:t>כָּל־מַעֲשֵׂה</w:t>
      </w:r>
      <w:r>
        <w:rPr>
          <w:rtl/>
        </w:rPr>
        <w:t xml:space="preserve"> </w:t>
      </w:r>
      <w:r>
        <w:t>(</w:t>
      </w:r>
      <w:r>
        <w:rPr>
          <w:rStyle w:val="Fett"/>
          <w:rFonts w:eastAsiaTheme="majorEastAsia"/>
          <w:rtl/>
        </w:rPr>
        <w:t>כֹּל</w:t>
      </w:r>
      <w:r>
        <w:t xml:space="preserve">, „ganz, all", im Construct mit </w:t>
      </w:r>
      <w:r>
        <w:rPr>
          <w:rStyle w:val="Fett"/>
          <w:rFonts w:eastAsiaTheme="majorEastAsia"/>
          <w:rtl/>
        </w:rPr>
        <w:t>מַעֲשֶׂה</w:t>
      </w:r>
      <w:r>
        <w:t xml:space="preserve">, „Tat, Werk") im Construct mit </w:t>
      </w:r>
      <w:r>
        <w:rPr>
          <w:rStyle w:val="Fett"/>
          <w:rFonts w:eastAsiaTheme="majorEastAsia"/>
          <w:rtl/>
        </w:rPr>
        <w:t>יְהוָה</w:t>
      </w:r>
      <w:r>
        <w:rPr>
          <w:rtl/>
        </w:rPr>
        <w:t xml:space="preserve"> </w:t>
      </w:r>
      <w:r>
        <w:t xml:space="preserve">(Tetragramm), gefolgt vom Attribut </w:t>
      </w:r>
      <w:r>
        <w:rPr>
          <w:rStyle w:val="Fett"/>
          <w:rFonts w:eastAsiaTheme="majorEastAsia"/>
          <w:rtl/>
        </w:rPr>
        <w:t>הַגָּדֹל</w:t>
      </w:r>
      <w:r>
        <w:rPr>
          <w:rtl/>
        </w:rPr>
        <w:t xml:space="preserve"> </w:t>
      </w:r>
      <w:r>
        <w:t xml:space="preserve">(maskulin Singular von </w:t>
      </w:r>
      <w:r>
        <w:rPr>
          <w:rStyle w:val="Fett"/>
          <w:rFonts w:eastAsiaTheme="majorEastAsia"/>
          <w:rtl/>
        </w:rPr>
        <w:t>גָּדוֹל</w:t>
      </w:r>
      <w:r>
        <w:t xml:space="preserve">, „groß", mit Artikel). Die Singularform </w:t>
      </w:r>
      <w:r>
        <w:rPr>
          <w:rStyle w:val="Fett"/>
          <w:rFonts w:eastAsiaTheme="majorEastAsia"/>
          <w:rtl/>
        </w:rPr>
        <w:t>מַעֲשֵׂה</w:t>
      </w:r>
      <w:r>
        <w:rPr>
          <w:rtl/>
        </w:rPr>
        <w:t xml:space="preserve"> </w:t>
      </w:r>
      <w:proofErr w:type="spellStart"/>
      <w:r>
        <w:t>fasst</w:t>
      </w:r>
      <w:proofErr w:type="spellEnd"/>
      <w:r>
        <w:t xml:space="preserve"> alle zuvor erwähnten Taten als ein einziges großes Werk zusammen. Das Attribut </w:t>
      </w:r>
      <w:r>
        <w:rPr>
          <w:rStyle w:val="Fett"/>
          <w:rFonts w:eastAsiaTheme="majorEastAsia"/>
          <w:rtl/>
        </w:rPr>
        <w:t>הַגָּדֹל</w:t>
      </w:r>
      <w:r>
        <w:rPr>
          <w:rtl/>
        </w:rPr>
        <w:t xml:space="preserve"> </w:t>
      </w:r>
      <w:r>
        <w:t xml:space="preserve">betont die Größe und Bedeutung dieses Werkes. </w:t>
      </w:r>
      <w:r>
        <w:rPr>
          <w:rStyle w:val="Fett"/>
          <w:rFonts w:eastAsiaTheme="majorEastAsia"/>
          <w:rtl/>
        </w:rPr>
        <w:t>אֲשֶׁר עָשָׂה</w:t>
      </w:r>
      <w:r>
        <w:rPr>
          <w:rtl/>
        </w:rPr>
        <w:t xml:space="preserve"> </w:t>
      </w:r>
      <w:r>
        <w:t xml:space="preserve">ist ein Relativsatz: </w:t>
      </w:r>
      <w:r>
        <w:rPr>
          <w:rStyle w:val="Fett"/>
          <w:rFonts w:eastAsiaTheme="majorEastAsia"/>
          <w:rtl/>
        </w:rPr>
        <w:t>אֲשֶׁר</w:t>
      </w:r>
      <w:r>
        <w:rPr>
          <w:rtl/>
        </w:rPr>
        <w:t xml:space="preserve"> </w:t>
      </w:r>
      <w:r>
        <w:t xml:space="preserve">(Relativpronomen) mit </w:t>
      </w:r>
      <w:r>
        <w:rPr>
          <w:rStyle w:val="Fett"/>
          <w:rFonts w:eastAsiaTheme="majorEastAsia"/>
          <w:rtl/>
        </w:rPr>
        <w:t>עָשָׂה</w:t>
      </w:r>
      <w:r>
        <w:rPr>
          <w:rtl/>
        </w:rPr>
        <w:t xml:space="preserve"> </w:t>
      </w:r>
      <w:r>
        <w:t xml:space="preserve">(Qal Perfekt, 3. Person Maskulinum Singular von </w:t>
      </w:r>
      <w:r>
        <w:rPr>
          <w:rStyle w:val="Fett"/>
          <w:rFonts w:eastAsiaTheme="majorEastAsia"/>
          <w:rtl/>
        </w:rPr>
        <w:t>עשׂה</w:t>
      </w:r>
      <w:r>
        <w:t>, „tun"). Der Relativsatz identifiziert JHWH als denjenigen, der dieses Werk vollbracht hat.</w:t>
      </w:r>
    </w:p>
    <w:p w14:paraId="3E7EC428" w14:textId="77777777" w:rsidR="00607566" w:rsidRDefault="00607566" w:rsidP="00607566">
      <w:pPr>
        <w:pStyle w:val="whitespace-normal"/>
      </w:pPr>
      <w:r>
        <w:t xml:space="preserve">Die Syntax zeigt einen Inclusio-Effekt: Der Vers nimmt das Sehen aus V. 2 wieder auf (dort </w:t>
      </w:r>
      <w:r>
        <w:rPr>
          <w:rStyle w:val="Fett"/>
          <w:rFonts w:eastAsiaTheme="majorEastAsia"/>
          <w:rtl/>
        </w:rPr>
        <w:t>רָאוּ</w:t>
      </w:r>
      <w:r>
        <w:t xml:space="preserve">, hier </w:t>
      </w:r>
      <w:r>
        <w:rPr>
          <w:rStyle w:val="Fett"/>
          <w:rFonts w:eastAsiaTheme="majorEastAsia"/>
          <w:rtl/>
        </w:rPr>
        <w:t>הָרֹאֹת</w:t>
      </w:r>
      <w:r>
        <w:rPr>
          <w:rtl/>
        </w:rPr>
        <w:t xml:space="preserve"> </w:t>
      </w:r>
      <w:r>
        <w:t xml:space="preserve">und </w:t>
      </w:r>
      <w:r>
        <w:rPr>
          <w:rStyle w:val="Fett"/>
          <w:rFonts w:eastAsiaTheme="majorEastAsia"/>
          <w:rtl/>
        </w:rPr>
        <w:t>עֵינֵיכֶם</w:t>
      </w:r>
      <w:r>
        <w:t xml:space="preserve">) und schließt damit die Aufzählung ab. Die Betonung liegt auf der direkten Zeugenschaft: Nicht durch Hörensagen, sondern durch eigenes Sehen haben sie Gottes Taten erfahren. Der Wechsel vom Plural </w:t>
      </w:r>
      <w:r>
        <w:rPr>
          <w:rStyle w:val="Fett"/>
          <w:rFonts w:eastAsiaTheme="majorEastAsia"/>
          <w:rtl/>
        </w:rPr>
        <w:t>מַעֲשִׂים</w:t>
      </w:r>
      <w:r>
        <w:rPr>
          <w:rtl/>
        </w:rPr>
        <w:t xml:space="preserve"> </w:t>
      </w:r>
      <w:r>
        <w:t xml:space="preserve">in den vorherigen Versen zum Singular </w:t>
      </w:r>
      <w:r>
        <w:rPr>
          <w:rStyle w:val="Fett"/>
          <w:rFonts w:eastAsiaTheme="majorEastAsia"/>
          <w:rtl/>
        </w:rPr>
        <w:t>מַעֲשֵׂה</w:t>
      </w:r>
      <w:r>
        <w:rPr>
          <w:rtl/>
        </w:rPr>
        <w:t xml:space="preserve"> </w:t>
      </w:r>
      <w:r>
        <w:t xml:space="preserve">hier ist signifikant: Die vielen einzelnen Taten werden als ein zusammenhängendes großes Werk verstanden. Die Verwendung des Duals </w:t>
      </w:r>
      <w:r>
        <w:rPr>
          <w:rStyle w:val="Fett"/>
          <w:rFonts w:eastAsiaTheme="majorEastAsia"/>
          <w:rtl/>
        </w:rPr>
        <w:t>עֵינֵיכֶם</w:t>
      </w:r>
      <w:r>
        <w:rPr>
          <w:rtl/>
        </w:rPr>
        <w:t xml:space="preserve"> </w:t>
      </w:r>
      <w:r>
        <w:t>ist die normale Form für „Augen" im Hebräischen, betont aber auch die vollständige, beidäugige Wahrnehmung.</w:t>
      </w:r>
    </w:p>
    <w:p w14:paraId="2037F7FE" w14:textId="77777777" w:rsidR="00607566" w:rsidRDefault="00607566" w:rsidP="00607566">
      <w:pPr>
        <w:pStyle w:val="whitespace-normal"/>
      </w:pPr>
      <w:r>
        <w:rPr>
          <w:rStyle w:val="Fett"/>
          <w:rFonts w:eastAsiaTheme="majorEastAsia"/>
        </w:rPr>
        <w:t>Die LXX</w:t>
      </w:r>
      <w:r>
        <w:t xml:space="preserve"> übersetzt „eure Augen" mit „</w:t>
      </w:r>
      <w:proofErr w:type="spellStart"/>
      <w:r>
        <w:t>οἱ</w:t>
      </w:r>
      <w:proofErr w:type="spellEnd"/>
      <w:r>
        <w:t xml:space="preserve"> </w:t>
      </w:r>
      <w:proofErr w:type="spellStart"/>
      <w:r>
        <w:t>ὀφθ</w:t>
      </w:r>
      <w:proofErr w:type="spellEnd"/>
      <w:r>
        <w:t xml:space="preserve">αλμοὶ </w:t>
      </w:r>
      <w:proofErr w:type="spellStart"/>
      <w:r>
        <w:t>ὑμῶν</w:t>
      </w:r>
      <w:proofErr w:type="spellEnd"/>
      <w:r>
        <w:t>", „die sehen" mit „</w:t>
      </w:r>
      <w:proofErr w:type="spellStart"/>
      <w:r>
        <w:t>οἱ</w:t>
      </w:r>
      <w:proofErr w:type="spellEnd"/>
      <w:r>
        <w:t xml:space="preserve"> </w:t>
      </w:r>
      <w:proofErr w:type="spellStart"/>
      <w:r>
        <w:t>ἑωρ</w:t>
      </w:r>
      <w:proofErr w:type="spellEnd"/>
      <w:r>
        <w:t>ακότες" (Perfekt Partizip), „das ganze große Werk" mit „π</w:t>
      </w:r>
      <w:proofErr w:type="spellStart"/>
      <w:r>
        <w:t>άντ</w:t>
      </w:r>
      <w:proofErr w:type="spellEnd"/>
      <w:r>
        <w:t xml:space="preserve">α </w:t>
      </w:r>
      <w:proofErr w:type="spellStart"/>
      <w:r>
        <w:t>τὰ</w:t>
      </w:r>
      <w:proofErr w:type="spellEnd"/>
      <w:r>
        <w:t xml:space="preserve"> </w:t>
      </w:r>
      <w:proofErr w:type="spellStart"/>
      <w:r>
        <w:t>ἔργ</w:t>
      </w:r>
      <w:proofErr w:type="spellEnd"/>
      <w:r>
        <w:t xml:space="preserve">α </w:t>
      </w:r>
      <w:proofErr w:type="spellStart"/>
      <w:r>
        <w:t>τοῦ</w:t>
      </w:r>
      <w:proofErr w:type="spellEnd"/>
      <w:r>
        <w:t xml:space="preserve"> </w:t>
      </w:r>
      <w:proofErr w:type="spellStart"/>
      <w:r>
        <w:t>κυρίου</w:t>
      </w:r>
      <w:proofErr w:type="spellEnd"/>
      <w:r>
        <w:t xml:space="preserve"> </w:t>
      </w:r>
      <w:proofErr w:type="spellStart"/>
      <w:r>
        <w:t>τὰ</w:t>
      </w:r>
      <w:proofErr w:type="spellEnd"/>
      <w:r>
        <w:t xml:space="preserve"> </w:t>
      </w:r>
      <w:proofErr w:type="spellStart"/>
      <w:r>
        <w:t>μεγάλ</w:t>
      </w:r>
      <w:proofErr w:type="spellEnd"/>
      <w:r>
        <w:t>α" (wobei der Singular zu Plural gewechselt wird) und „das er getan hat" mit „</w:t>
      </w:r>
      <w:proofErr w:type="spellStart"/>
      <w:r>
        <w:t>ὅσ</w:t>
      </w:r>
      <w:proofErr w:type="spellEnd"/>
      <w:r>
        <w:t>α ἐπ</w:t>
      </w:r>
      <w:proofErr w:type="spellStart"/>
      <w:r>
        <w:t>οίησεν</w:t>
      </w:r>
      <w:proofErr w:type="spellEnd"/>
      <w:r>
        <w:t>" („wie viel er getan hat").</w:t>
      </w:r>
    </w:p>
    <w:p w14:paraId="1E318D5D" w14:textId="77777777" w:rsidR="00607566" w:rsidRDefault="00607566" w:rsidP="00607566">
      <w:pPr>
        <w:pStyle w:val="whitespace-normal"/>
      </w:pPr>
      <w:r>
        <w:t>Die Satzstruktur besteht aus einem kausalen Hauptsatz mit Partizipialkonstruktion und Relativsatz: Kausale Konjunktion, Subjekt (eure Augen), partizipiales Prädikat (die sehen), direktes Objekt (das ganze große Werk JHWHs) und Relativsatz mit Prädikat (das er getan hat).</w:t>
      </w:r>
    </w:p>
    <w:p w14:paraId="6E08E433" w14:textId="77777777" w:rsidR="00607566" w:rsidRDefault="00607566" w:rsidP="00607566">
      <w:pPr>
        <w:pStyle w:val="whitespace-normal"/>
      </w:pPr>
      <w:r>
        <w:t>Der Vers schließt die historische Rückschau ab: Die gegenwärtige Generation ist Augenzeuge des großen Werkes JHWHs gewesen – daher haben sie eine besondere Verantwortung, ihm zu gehorchen.</w:t>
      </w:r>
    </w:p>
    <w:p w14:paraId="66277A4D" w14:textId="77777777" w:rsidR="00607566" w:rsidRPr="00607566" w:rsidRDefault="00607566" w:rsidP="00607566">
      <w:pPr>
        <w:pStyle w:val="berschrift1"/>
        <w:rPr>
          <w:rFonts w:ascii="Times New Roman" w:hAnsi="Times New Roman"/>
          <w:b/>
          <w:bCs/>
          <w:color w:val="auto"/>
          <w:sz w:val="36"/>
          <w:szCs w:val="36"/>
        </w:rPr>
      </w:pPr>
      <w:r w:rsidRPr="00607566">
        <w:rPr>
          <w:rFonts w:ascii="Times New Roman" w:hAnsi="Times New Roman"/>
          <w:b/>
          <w:bCs/>
          <w:color w:val="auto"/>
          <w:sz w:val="36"/>
          <w:szCs w:val="36"/>
        </w:rPr>
        <w:t>Deuteronomium 11,8</w:t>
      </w:r>
    </w:p>
    <w:p w14:paraId="138BCCE5" w14:textId="77777777" w:rsidR="00607566" w:rsidRDefault="00607566" w:rsidP="00607566">
      <w:pPr>
        <w:pStyle w:val="whitespace-normal"/>
      </w:pPr>
      <w:r>
        <w:rPr>
          <w:rStyle w:val="Fett"/>
          <w:rFonts w:eastAsiaTheme="majorEastAsia"/>
        </w:rPr>
        <w:t>Hebräisch:</w:t>
      </w:r>
      <w:r>
        <w:t xml:space="preserve"> </w:t>
      </w:r>
      <w:r>
        <w:rPr>
          <w:rtl/>
        </w:rPr>
        <w:t>וּשְׁמַרְתֶּם֙ אֶת־כָּל־הַמִּצְוָ֔ה אֲשֶׁ֛ר אָנֹכִ֥י מְצַוְּךָ֖ הַיּ֑וֹם לְמַ֣עַן תֶּחֶזְק֗וּ וּבָאתֶם֙ וִֽירִשְׁתֶּ֣ם אֶת־הָאָ֔רֶץ אֲשֶׁ֥ר אַתֶּ֛ם עֹבְרִ֥ים שָׁ֖מָּה לְרִשְׁתָּֽהּ׃</w:t>
      </w:r>
    </w:p>
    <w:p w14:paraId="75401666" w14:textId="77777777" w:rsidR="00607566" w:rsidRDefault="00607566" w:rsidP="00607566">
      <w:pPr>
        <w:pStyle w:val="whitespace-normal"/>
      </w:pPr>
      <w:r>
        <w:rPr>
          <w:rStyle w:val="Fett"/>
          <w:rFonts w:eastAsiaTheme="majorEastAsia"/>
        </w:rPr>
        <w:t>Deutsch:</w:t>
      </w:r>
      <w:r>
        <w:t xml:space="preserve"> So haltet denn das ganze Gebot, das ich dir heute gebiete, damit ihr stark seid und hineinkommt und das Land in Besitz nehmt, wohin ihr hinüberzieht, um es in Besitz zu nehmen;</w:t>
      </w:r>
    </w:p>
    <w:p w14:paraId="36A84383" w14:textId="77777777" w:rsidR="00607566" w:rsidRDefault="004F5CEB" w:rsidP="00607566">
      <w:r>
        <w:rPr>
          <w:noProof/>
        </w:rPr>
        <w:pict w14:anchorId="08F26FC6">
          <v:rect id="_x0000_i1348" style="width:0;height:1.5pt" o:hralign="center" o:hrstd="t" o:hr="t" fillcolor="#a0a0a0" stroked="f"/>
        </w:pict>
      </w:r>
    </w:p>
    <w:p w14:paraId="7032C730" w14:textId="77777777" w:rsidR="00607566" w:rsidRDefault="00607566" w:rsidP="00607566">
      <w:pPr>
        <w:pStyle w:val="whitespace-normal"/>
      </w:pPr>
      <w:r>
        <w:rPr>
          <w:rStyle w:val="Fett"/>
          <w:rFonts w:eastAsiaTheme="majorEastAsia"/>
        </w:rPr>
        <w:lastRenderedPageBreak/>
        <w:t>Kommentar:</w:t>
      </w:r>
      <w:r>
        <w:t xml:space="preserve"> </w:t>
      </w:r>
      <w:r>
        <w:rPr>
          <w:rStyle w:val="Fett"/>
          <w:rFonts w:eastAsiaTheme="majorEastAsia"/>
          <w:rtl/>
        </w:rPr>
        <w:t>וּשְׁמַרְתֶּם</w:t>
      </w:r>
      <w:r>
        <w:rPr>
          <w:rtl/>
        </w:rPr>
        <w:t xml:space="preserve"> </w:t>
      </w:r>
      <w:r>
        <w:t xml:space="preserve">ist Qal Perfekt, 2. Person Maskulinum Plural von </w:t>
      </w:r>
      <w:r>
        <w:rPr>
          <w:rStyle w:val="Fett"/>
          <w:rFonts w:eastAsiaTheme="majorEastAsia"/>
          <w:rtl/>
        </w:rPr>
        <w:t>שׁמר</w:t>
      </w:r>
      <w:r>
        <w:rPr>
          <w:rtl/>
        </w:rPr>
        <w:t xml:space="preserve"> </w:t>
      </w:r>
      <w:r>
        <w:t xml:space="preserve">(„bewahren, halten, beobachten") mit </w:t>
      </w:r>
      <w:r>
        <w:rPr>
          <w:rStyle w:val="Fett"/>
          <w:rFonts w:eastAsiaTheme="majorEastAsia"/>
        </w:rPr>
        <w:t>Waw</w:t>
      </w:r>
      <w:r>
        <w:t xml:space="preserve"> copulativum, das hier konsequent-imperativisch verstanden wird („so haltet denn"). Die Perfektform fungiert als Imperativ und leitet die praktischen Folgerungen aus der historischen Rückschau (V. 2-7) ein. </w:t>
      </w:r>
      <w:r>
        <w:rPr>
          <w:rStyle w:val="Fett"/>
          <w:rFonts w:eastAsiaTheme="majorEastAsia"/>
          <w:rtl/>
        </w:rPr>
        <w:t>אֶת־כָּל־הַמִּצְוָה</w:t>
      </w:r>
      <w:r>
        <w:rPr>
          <w:rtl/>
        </w:rPr>
        <w:t xml:space="preserve"> </w:t>
      </w:r>
      <w:r>
        <w:t xml:space="preserve">ist das direkte Objekt: </w:t>
      </w:r>
      <w:r>
        <w:rPr>
          <w:rStyle w:val="Fett"/>
          <w:rFonts w:eastAsiaTheme="majorEastAsia"/>
          <w:rtl/>
        </w:rPr>
        <w:t>אֵת</w:t>
      </w:r>
      <w:r>
        <w:rPr>
          <w:rtl/>
        </w:rPr>
        <w:t xml:space="preserve"> </w:t>
      </w:r>
      <w:r>
        <w:t xml:space="preserve">mit </w:t>
      </w:r>
      <w:r>
        <w:rPr>
          <w:rStyle w:val="Fett"/>
          <w:rFonts w:eastAsiaTheme="majorEastAsia"/>
          <w:rtl/>
        </w:rPr>
        <w:t>כָּל</w:t>
      </w:r>
      <w:r>
        <w:rPr>
          <w:rtl/>
        </w:rPr>
        <w:t xml:space="preserve"> </w:t>
      </w:r>
      <w:r>
        <w:t xml:space="preserve">(„ganz, all") im Construct mit </w:t>
      </w:r>
      <w:r>
        <w:rPr>
          <w:rStyle w:val="Fett"/>
          <w:rFonts w:eastAsiaTheme="majorEastAsia"/>
          <w:rtl/>
        </w:rPr>
        <w:t>הַמִּצְוָה</w:t>
      </w:r>
      <w:r>
        <w:rPr>
          <w:rtl/>
        </w:rPr>
        <w:t xml:space="preserve"> </w:t>
      </w:r>
      <w:r>
        <w:t xml:space="preserve">(feminin Singular von </w:t>
      </w:r>
      <w:r>
        <w:rPr>
          <w:rStyle w:val="Fett"/>
          <w:rFonts w:eastAsiaTheme="majorEastAsia"/>
          <w:rtl/>
        </w:rPr>
        <w:t>מִצְוָה</w:t>
      </w:r>
      <w:r>
        <w:t xml:space="preserve">, „Gebot", mit Artikel). Die Singularform </w:t>
      </w:r>
      <w:r>
        <w:rPr>
          <w:rStyle w:val="Fett"/>
          <w:rFonts w:eastAsiaTheme="majorEastAsia"/>
          <w:rtl/>
        </w:rPr>
        <w:t>מִצְוָה</w:t>
      </w:r>
      <w:r>
        <w:rPr>
          <w:rtl/>
        </w:rPr>
        <w:t xml:space="preserve"> </w:t>
      </w:r>
      <w:proofErr w:type="spellStart"/>
      <w:r>
        <w:t>fasst</w:t>
      </w:r>
      <w:proofErr w:type="spellEnd"/>
      <w:r>
        <w:t xml:space="preserve"> die gesamte göttliche Weisung als Einheit zusammen, ähnlich wie </w:t>
      </w:r>
      <w:r>
        <w:rPr>
          <w:rStyle w:val="Fett"/>
          <w:rFonts w:eastAsiaTheme="majorEastAsia"/>
          <w:rtl/>
        </w:rPr>
        <w:t>מַעֲשֵׂה</w:t>
      </w:r>
      <w:r>
        <w:rPr>
          <w:rtl/>
        </w:rPr>
        <w:t xml:space="preserve"> </w:t>
      </w:r>
      <w:r>
        <w:t>in V. 7 die göttlichen Taten als Einheit bezeichnete.</w:t>
      </w:r>
    </w:p>
    <w:p w14:paraId="67106B08" w14:textId="77777777" w:rsidR="00607566" w:rsidRDefault="00607566" w:rsidP="00607566">
      <w:pPr>
        <w:pStyle w:val="whitespace-normal"/>
      </w:pPr>
      <w:r>
        <w:rPr>
          <w:rStyle w:val="Fett"/>
          <w:rFonts w:eastAsiaTheme="majorEastAsia"/>
          <w:rtl/>
        </w:rPr>
        <w:t>אֲשֶׁר אָנֹכִי מְצַוְּךָ הַיּוֹם</w:t>
      </w:r>
      <w:r>
        <w:rPr>
          <w:rtl/>
        </w:rPr>
        <w:t xml:space="preserve"> </w:t>
      </w:r>
      <w:r>
        <w:t xml:space="preserve">ist ein Relativsatz: </w:t>
      </w:r>
      <w:r>
        <w:rPr>
          <w:rStyle w:val="Fett"/>
          <w:rFonts w:eastAsiaTheme="majorEastAsia"/>
          <w:rtl/>
        </w:rPr>
        <w:t>אֲשֶׁר</w:t>
      </w:r>
      <w:r>
        <w:rPr>
          <w:rtl/>
        </w:rPr>
        <w:t xml:space="preserve"> </w:t>
      </w:r>
      <w:r>
        <w:t xml:space="preserve">(Relativpronomen) mit </w:t>
      </w:r>
      <w:r>
        <w:rPr>
          <w:rStyle w:val="Fett"/>
          <w:rFonts w:eastAsiaTheme="majorEastAsia"/>
          <w:rtl/>
        </w:rPr>
        <w:t>אָנֹכִי</w:t>
      </w:r>
      <w:r>
        <w:rPr>
          <w:rtl/>
        </w:rPr>
        <w:t xml:space="preserve"> </w:t>
      </w:r>
      <w:r>
        <w:t xml:space="preserve">(emphatisches Personalpronomen 1. Person Singular, „ich") als Subjekt, </w:t>
      </w:r>
      <w:r>
        <w:rPr>
          <w:rStyle w:val="Fett"/>
          <w:rFonts w:eastAsiaTheme="majorEastAsia"/>
          <w:rtl/>
        </w:rPr>
        <w:t>מְצַוֶּה</w:t>
      </w:r>
      <w:r>
        <w:rPr>
          <w:rtl/>
        </w:rPr>
        <w:t xml:space="preserve"> </w:t>
      </w:r>
      <w:r>
        <w:t xml:space="preserve">(Piel Partizip Maskulinum Singular von </w:t>
      </w:r>
      <w:r>
        <w:rPr>
          <w:rStyle w:val="Fett"/>
          <w:rFonts w:eastAsiaTheme="majorEastAsia"/>
          <w:rtl/>
        </w:rPr>
        <w:t>צוה</w:t>
      </w:r>
      <w:r>
        <w:t xml:space="preserve">, „befehlen, gebieten") als Prädikat, Suffix 2. Person Maskulinum Singular an </w:t>
      </w:r>
      <w:r>
        <w:rPr>
          <w:rStyle w:val="Fett"/>
          <w:rFonts w:eastAsiaTheme="majorEastAsia"/>
          <w:rtl/>
        </w:rPr>
        <w:t>מְצַוְּךָ</w:t>
      </w:r>
      <w:r>
        <w:rPr>
          <w:rtl/>
        </w:rPr>
        <w:t xml:space="preserve"> </w:t>
      </w:r>
      <w:r>
        <w:t xml:space="preserve">als Objekt (auffällig ist der Wechsel vom Plural </w:t>
      </w:r>
      <w:r>
        <w:rPr>
          <w:rStyle w:val="Fett"/>
          <w:rFonts w:eastAsiaTheme="majorEastAsia"/>
          <w:rtl/>
        </w:rPr>
        <w:t>שְׁמַרְתֶּם</w:t>
      </w:r>
      <w:r>
        <w:rPr>
          <w:rtl/>
        </w:rPr>
        <w:t xml:space="preserve"> </w:t>
      </w:r>
      <w:r>
        <w:t xml:space="preserve">zum Singular </w:t>
      </w:r>
      <w:r>
        <w:rPr>
          <w:rStyle w:val="Fett"/>
          <w:rFonts w:eastAsiaTheme="majorEastAsia"/>
          <w:rtl/>
        </w:rPr>
        <w:t>מְצַוְּךָ</w:t>
      </w:r>
      <w:r>
        <w:t xml:space="preserve">) und </w:t>
      </w:r>
      <w:r>
        <w:rPr>
          <w:rStyle w:val="Fett"/>
          <w:rFonts w:eastAsiaTheme="majorEastAsia"/>
          <w:rtl/>
        </w:rPr>
        <w:t>הַיּוֹם</w:t>
      </w:r>
      <w:r>
        <w:rPr>
          <w:rtl/>
        </w:rPr>
        <w:t xml:space="preserve"> </w:t>
      </w:r>
      <w:r>
        <w:t xml:space="preserve">(„heute") als temporales Adverb. </w:t>
      </w:r>
      <w:r>
        <w:rPr>
          <w:rStyle w:val="Fett"/>
          <w:rFonts w:eastAsiaTheme="majorEastAsia"/>
          <w:rtl/>
        </w:rPr>
        <w:t>לְמַעַן תֶּחֶזְקוּ</w:t>
      </w:r>
      <w:r>
        <w:rPr>
          <w:rtl/>
        </w:rPr>
        <w:t xml:space="preserve"> </w:t>
      </w:r>
      <w:r>
        <w:t xml:space="preserve">ist eine finale Bestimmung: </w:t>
      </w:r>
      <w:r>
        <w:rPr>
          <w:rStyle w:val="Fett"/>
          <w:rFonts w:eastAsiaTheme="majorEastAsia"/>
          <w:rtl/>
        </w:rPr>
        <w:t>לְמַעַן</w:t>
      </w:r>
      <w:r>
        <w:rPr>
          <w:rtl/>
        </w:rPr>
        <w:t xml:space="preserve"> </w:t>
      </w:r>
      <w:r>
        <w:t xml:space="preserve">(„damit, auf dass") mit </w:t>
      </w:r>
      <w:r>
        <w:rPr>
          <w:rStyle w:val="Fett"/>
          <w:rFonts w:eastAsiaTheme="majorEastAsia"/>
          <w:rtl/>
        </w:rPr>
        <w:t>תֶּחֶזְקוּ</w:t>
      </w:r>
      <w:r>
        <w:rPr>
          <w:rtl/>
        </w:rPr>
        <w:t xml:space="preserve"> </w:t>
      </w:r>
      <w:r>
        <w:t xml:space="preserve">(Qal Imperfekt, 2. Person Maskulinum Plural von </w:t>
      </w:r>
      <w:r>
        <w:rPr>
          <w:rStyle w:val="Fett"/>
          <w:rFonts w:eastAsiaTheme="majorEastAsia"/>
          <w:rtl/>
        </w:rPr>
        <w:t>חזק</w:t>
      </w:r>
      <w:r>
        <w:t xml:space="preserve">, „stark sein, erstarken"). Die Konjunktion </w:t>
      </w:r>
      <w:r>
        <w:rPr>
          <w:rStyle w:val="Fett"/>
          <w:rFonts w:eastAsiaTheme="majorEastAsia"/>
          <w:rtl/>
        </w:rPr>
        <w:t>לְמַעַן</w:t>
      </w:r>
      <w:r>
        <w:rPr>
          <w:rtl/>
        </w:rPr>
        <w:t xml:space="preserve"> </w:t>
      </w:r>
      <w:r>
        <w:t>leitet Zwecksätze ein und beschreibt das Ziel des Gehorsams.</w:t>
      </w:r>
    </w:p>
    <w:p w14:paraId="7BE6EFA3" w14:textId="23BB8B8D" w:rsidR="00607566" w:rsidRDefault="00607566" w:rsidP="00607566">
      <w:pPr>
        <w:pStyle w:val="whitespace-normal"/>
      </w:pPr>
      <w:r>
        <w:rPr>
          <w:rStyle w:val="Fett"/>
          <w:rFonts w:eastAsiaTheme="majorEastAsia"/>
          <w:rtl/>
        </w:rPr>
        <w:t>וּבָאתֶם וִירִשְׁתֶּם אֶת־הָאָרֶץ</w:t>
      </w:r>
      <w:r>
        <w:rPr>
          <w:rtl/>
        </w:rPr>
        <w:t xml:space="preserve"> </w:t>
      </w:r>
      <w:r>
        <w:t xml:space="preserve">sind zwei koordinierte Verben: </w:t>
      </w:r>
      <w:r>
        <w:rPr>
          <w:rStyle w:val="Fett"/>
          <w:rFonts w:eastAsiaTheme="majorEastAsia"/>
          <w:rtl/>
        </w:rPr>
        <w:t>וּבָאתֶם</w:t>
      </w:r>
      <w:r>
        <w:rPr>
          <w:rtl/>
        </w:rPr>
        <w:t xml:space="preserve"> </w:t>
      </w:r>
      <w:r>
        <w:t xml:space="preserve">(Qal Perfekt, 2. Person Maskulinum Plural von </w:t>
      </w:r>
      <w:r>
        <w:rPr>
          <w:rStyle w:val="Fett"/>
          <w:rFonts w:eastAsiaTheme="majorEastAsia"/>
          <w:rtl/>
        </w:rPr>
        <w:t>בוא</w:t>
      </w:r>
      <w:r>
        <w:t xml:space="preserve">, „kommen, hineingehen", mit </w:t>
      </w:r>
      <w:r>
        <w:rPr>
          <w:rStyle w:val="Fett"/>
          <w:rFonts w:eastAsiaTheme="majorEastAsia"/>
        </w:rPr>
        <w:t>Waw</w:t>
      </w:r>
      <w:r>
        <w:t xml:space="preserve">) und </w:t>
      </w:r>
      <w:r>
        <w:rPr>
          <w:rStyle w:val="Fett"/>
          <w:rFonts w:eastAsiaTheme="majorEastAsia"/>
          <w:rtl/>
        </w:rPr>
        <w:t>וִירִשְׁתֶּם</w:t>
      </w:r>
      <w:r>
        <w:rPr>
          <w:rtl/>
        </w:rPr>
        <w:t xml:space="preserve"> </w:t>
      </w:r>
      <w:r>
        <w:t xml:space="preserve">(Qal Perfekt, 2. Person Maskulinum Plural von </w:t>
      </w:r>
      <w:r>
        <w:rPr>
          <w:rStyle w:val="Fett"/>
          <w:rFonts w:eastAsiaTheme="majorEastAsia"/>
          <w:rtl/>
        </w:rPr>
        <w:t>ירשׁ</w:t>
      </w:r>
      <w:r>
        <w:t xml:space="preserve">, „in Besitz nehmen, erben", mit </w:t>
      </w:r>
      <w:r>
        <w:rPr>
          <w:rStyle w:val="Fett"/>
          <w:rFonts w:eastAsiaTheme="majorEastAsia"/>
        </w:rPr>
        <w:t>Waw</w:t>
      </w:r>
      <w:r>
        <w:t xml:space="preserve">), gefolgt von </w:t>
      </w:r>
      <w:r>
        <w:rPr>
          <w:rStyle w:val="Fett"/>
          <w:rFonts w:eastAsiaTheme="majorEastAsia"/>
          <w:rtl/>
        </w:rPr>
        <w:t>אֶת־הָאָרֶץ</w:t>
      </w:r>
      <w:r>
        <w:rPr>
          <w:rtl/>
        </w:rPr>
        <w:t xml:space="preserve"> </w:t>
      </w:r>
      <w:r>
        <w:t>(</w:t>
      </w:r>
      <w:r>
        <w:rPr>
          <w:rStyle w:val="Fett"/>
          <w:rFonts w:eastAsiaTheme="majorEastAsia"/>
          <w:rtl/>
        </w:rPr>
        <w:t>אֵת</w:t>
      </w:r>
      <w:r>
        <w:rPr>
          <w:rtl/>
        </w:rPr>
        <w:t xml:space="preserve"> </w:t>
      </w:r>
      <w:r>
        <w:t xml:space="preserve">mit </w:t>
      </w:r>
      <w:r>
        <w:rPr>
          <w:rStyle w:val="Fett"/>
          <w:rFonts w:eastAsiaTheme="majorEastAsia"/>
          <w:rtl/>
        </w:rPr>
        <w:t>אֶרֶץ</w:t>
      </w:r>
      <w:r>
        <w:t xml:space="preserve">, „Land", mit Artikel) als direktem Objekt. Die beiden Perfektformen nach </w:t>
      </w:r>
      <w:r>
        <w:rPr>
          <w:rStyle w:val="Fett"/>
          <w:rFonts w:eastAsiaTheme="majorEastAsia"/>
          <w:rtl/>
        </w:rPr>
        <w:t>לְמַעַן</w:t>
      </w:r>
      <w:r>
        <w:rPr>
          <w:rtl/>
        </w:rPr>
        <w:t xml:space="preserve"> </w:t>
      </w:r>
      <w:r>
        <w:t>drücken Zweck oder Folge aus (</w:t>
      </w:r>
      <w:r w:rsidR="007E2044">
        <w:t>consecutives</w:t>
      </w:r>
      <w:r>
        <w:t xml:space="preserve"> </w:t>
      </w:r>
      <w:r w:rsidR="007E2044">
        <w:t>Perfekt</w:t>
      </w:r>
      <w:r>
        <w:t xml:space="preserve">). </w:t>
      </w:r>
      <w:r>
        <w:rPr>
          <w:rStyle w:val="Fett"/>
          <w:rFonts w:eastAsiaTheme="majorEastAsia"/>
          <w:rtl/>
        </w:rPr>
        <w:t>אֲשֶׁר אַתֶּם עֹבְרִים שָׁמָּה לְרִשְׁתָּהּ</w:t>
      </w:r>
      <w:r>
        <w:rPr>
          <w:rtl/>
        </w:rPr>
        <w:t xml:space="preserve"> </w:t>
      </w:r>
      <w:r>
        <w:t xml:space="preserve">ist ein Relativsatz: </w:t>
      </w:r>
      <w:r>
        <w:rPr>
          <w:rStyle w:val="Fett"/>
          <w:rFonts w:eastAsiaTheme="majorEastAsia"/>
          <w:rtl/>
        </w:rPr>
        <w:t>אֲשֶׁר</w:t>
      </w:r>
      <w:r>
        <w:rPr>
          <w:rtl/>
        </w:rPr>
        <w:t xml:space="preserve"> </w:t>
      </w:r>
      <w:r>
        <w:t xml:space="preserve">mit </w:t>
      </w:r>
      <w:r>
        <w:rPr>
          <w:rStyle w:val="Fett"/>
          <w:rFonts w:eastAsiaTheme="majorEastAsia"/>
          <w:rtl/>
        </w:rPr>
        <w:t>אַתֶּם</w:t>
      </w:r>
      <w:r>
        <w:rPr>
          <w:rtl/>
        </w:rPr>
        <w:t xml:space="preserve"> </w:t>
      </w:r>
      <w:r>
        <w:t xml:space="preserve">(Personalpronomen 2. Person Maskulinum Plural) als Subjekt, </w:t>
      </w:r>
      <w:r>
        <w:rPr>
          <w:rStyle w:val="Fett"/>
          <w:rFonts w:eastAsiaTheme="majorEastAsia"/>
          <w:rtl/>
        </w:rPr>
        <w:t>עֹבְרִים</w:t>
      </w:r>
      <w:r>
        <w:rPr>
          <w:rtl/>
        </w:rPr>
        <w:t xml:space="preserve"> </w:t>
      </w:r>
      <w:r>
        <w:t xml:space="preserve">(Qal Partizip Maskulinum Plural von </w:t>
      </w:r>
      <w:r>
        <w:rPr>
          <w:rStyle w:val="Fett"/>
          <w:rFonts w:eastAsiaTheme="majorEastAsia"/>
          <w:rtl/>
        </w:rPr>
        <w:t>עבר</w:t>
      </w:r>
      <w:r>
        <w:t xml:space="preserve">, „hinübergehen, durchziehen") als Prädikat, </w:t>
      </w:r>
      <w:r>
        <w:rPr>
          <w:rStyle w:val="Fett"/>
          <w:rFonts w:eastAsiaTheme="majorEastAsia"/>
          <w:rtl/>
        </w:rPr>
        <w:t>שָׁמָּה</w:t>
      </w:r>
      <w:r>
        <w:rPr>
          <w:rtl/>
        </w:rPr>
        <w:t xml:space="preserve"> </w:t>
      </w:r>
      <w:r>
        <w:t xml:space="preserve">(„dorthin") als Richtungsangabe und </w:t>
      </w:r>
      <w:r>
        <w:rPr>
          <w:rStyle w:val="Fett"/>
          <w:rFonts w:eastAsiaTheme="majorEastAsia"/>
          <w:rtl/>
        </w:rPr>
        <w:t>לְרִשְׁתָּהּ</w:t>
      </w:r>
      <w:r>
        <w:rPr>
          <w:rtl/>
        </w:rPr>
        <w:t xml:space="preserve"> </w:t>
      </w:r>
      <w:r>
        <w:t>als finale Bestimmung (</w:t>
      </w:r>
      <w:r>
        <w:rPr>
          <w:rStyle w:val="Fett"/>
          <w:rFonts w:eastAsiaTheme="majorEastAsia"/>
          <w:rtl/>
        </w:rPr>
        <w:t>לְ</w:t>
      </w:r>
      <w:r>
        <w:rPr>
          <w:rtl/>
        </w:rPr>
        <w:t xml:space="preserve"> </w:t>
      </w:r>
      <w:r>
        <w:t xml:space="preserve">mit Qal Infinitiv Construct von </w:t>
      </w:r>
      <w:r>
        <w:rPr>
          <w:rStyle w:val="Fett"/>
          <w:rFonts w:eastAsiaTheme="majorEastAsia"/>
          <w:rtl/>
        </w:rPr>
        <w:t>ירשׁ</w:t>
      </w:r>
      <w:r>
        <w:rPr>
          <w:rtl/>
        </w:rPr>
        <w:t xml:space="preserve"> </w:t>
      </w:r>
      <w:r>
        <w:t>und Suffix 3. Person feminin Singular, „um es in Besitz zu nehmen").</w:t>
      </w:r>
    </w:p>
    <w:p w14:paraId="65844955" w14:textId="77777777" w:rsidR="00607566" w:rsidRDefault="00607566" w:rsidP="00607566">
      <w:pPr>
        <w:pStyle w:val="whitespace-normal"/>
      </w:pPr>
      <w:r>
        <w:t>Die Syntax zeigt eine klare Ursache-Wirkung-Beziehung: Gehorsam gegenüber den Geboten führt zu Stärke und befähigt Israel zur Landnahme. Der Wechsel zwischen Singular (</w:t>
      </w:r>
      <w:r>
        <w:rPr>
          <w:rStyle w:val="Fett"/>
          <w:rFonts w:eastAsiaTheme="majorEastAsia"/>
          <w:rtl/>
        </w:rPr>
        <w:t>מְצַוְּךָ</w:t>
      </w:r>
      <w:r>
        <w:t>) und Plural (</w:t>
      </w:r>
      <w:r>
        <w:rPr>
          <w:rStyle w:val="Fett"/>
          <w:rFonts w:eastAsiaTheme="majorEastAsia"/>
          <w:rtl/>
        </w:rPr>
        <w:t>שְׁמַרְתֶּם</w:t>
      </w:r>
      <w:r>
        <w:t xml:space="preserve">, </w:t>
      </w:r>
      <w:r>
        <w:rPr>
          <w:rStyle w:val="Fett"/>
          <w:rFonts w:eastAsiaTheme="majorEastAsia"/>
          <w:rtl/>
        </w:rPr>
        <w:t>תֶּחֶזְקוּ</w:t>
      </w:r>
      <w:r>
        <w:t xml:space="preserve">) ist typisch für das Deuteronomium und dient der Individualisierung der kollektiven Anrede. Die dreifache Verwendung der Wurzel </w:t>
      </w:r>
      <w:r>
        <w:rPr>
          <w:rStyle w:val="Fett"/>
          <w:rFonts w:eastAsiaTheme="majorEastAsia"/>
          <w:rtl/>
        </w:rPr>
        <w:t>ירשׁ</w:t>
      </w:r>
      <w:r>
        <w:rPr>
          <w:rtl/>
        </w:rPr>
        <w:t xml:space="preserve"> </w:t>
      </w:r>
      <w:r>
        <w:t xml:space="preserve">(zweimal als Verb, einmal als Infinitiv) betont das zentrale Thema der Landnahme. Das Partizip </w:t>
      </w:r>
      <w:r>
        <w:rPr>
          <w:rStyle w:val="Fett"/>
          <w:rFonts w:eastAsiaTheme="majorEastAsia"/>
          <w:rtl/>
        </w:rPr>
        <w:t>עֹבְרִים</w:t>
      </w:r>
      <w:r>
        <w:rPr>
          <w:rtl/>
        </w:rPr>
        <w:t xml:space="preserve"> </w:t>
      </w:r>
      <w:r>
        <w:t>drückt die unmittelbar bevorstehende Handlung aus.</w:t>
      </w:r>
    </w:p>
    <w:p w14:paraId="1EFE2B4E" w14:textId="77777777" w:rsidR="00607566" w:rsidRDefault="00607566" w:rsidP="00607566">
      <w:pPr>
        <w:pStyle w:val="whitespace-normal"/>
      </w:pPr>
      <w:r>
        <w:rPr>
          <w:rStyle w:val="Fett"/>
          <w:rFonts w:eastAsiaTheme="majorEastAsia"/>
        </w:rPr>
        <w:t>Die LXX</w:t>
      </w:r>
      <w:r>
        <w:t xml:space="preserve"> übersetzt „haltet" mit „</w:t>
      </w:r>
      <w:proofErr w:type="spellStart"/>
      <w:r>
        <w:t>φυλάξεσθε</w:t>
      </w:r>
      <w:proofErr w:type="spellEnd"/>
      <w:r>
        <w:t>" (Futur), „das ganze Gebot" mit „π</w:t>
      </w:r>
      <w:proofErr w:type="spellStart"/>
      <w:r>
        <w:t>άσ</w:t>
      </w:r>
      <w:proofErr w:type="spellEnd"/>
      <w:r>
        <w:t xml:space="preserve">ας </w:t>
      </w:r>
      <w:proofErr w:type="spellStart"/>
      <w:r>
        <w:t>τὰς</w:t>
      </w:r>
      <w:proofErr w:type="spellEnd"/>
      <w:r>
        <w:t xml:space="preserve"> </w:t>
      </w:r>
      <w:proofErr w:type="spellStart"/>
      <w:r>
        <w:t>ἐντολάς</w:t>
      </w:r>
      <w:proofErr w:type="spellEnd"/>
      <w:r>
        <w:t>" (Plural statt Singular), „damit ihr stark seid" mit „</w:t>
      </w:r>
      <w:proofErr w:type="spellStart"/>
      <w:r>
        <w:t>ἵν</w:t>
      </w:r>
      <w:proofErr w:type="spellEnd"/>
      <w:r>
        <w:t xml:space="preserve">α </w:t>
      </w:r>
      <w:proofErr w:type="spellStart"/>
      <w:r>
        <w:t>ζῆτε</w:t>
      </w:r>
      <w:proofErr w:type="spellEnd"/>
      <w:r>
        <w:t xml:space="preserve"> καὶ π</w:t>
      </w:r>
      <w:proofErr w:type="spellStart"/>
      <w:r>
        <w:t>ολλοὶ</w:t>
      </w:r>
      <w:proofErr w:type="spellEnd"/>
      <w:r>
        <w:t xml:space="preserve"> </w:t>
      </w:r>
      <w:proofErr w:type="spellStart"/>
      <w:r>
        <w:t>γένησθε</w:t>
      </w:r>
      <w:proofErr w:type="spellEnd"/>
      <w:r>
        <w:t>" („damit ihr lebt und zahlreich werdet"), was eine interpretierende Erweiterung darstellt. „In Besitz nehmt" wird mit „</w:t>
      </w:r>
      <w:proofErr w:type="spellStart"/>
      <w:r>
        <w:t>κληρονομήσητε</w:t>
      </w:r>
      <w:proofErr w:type="spellEnd"/>
      <w:r>
        <w:t>" übersetzt.</w:t>
      </w:r>
    </w:p>
    <w:p w14:paraId="17D0189E" w14:textId="77777777" w:rsidR="00607566" w:rsidRDefault="00607566" w:rsidP="00607566">
      <w:pPr>
        <w:pStyle w:val="whitespace-normal"/>
      </w:pPr>
      <w:r>
        <w:t>Die Satzstruktur besteht aus einem Hauptsatz mit Relativsatz, gefolgt von finalen Bestimmungen mit koordinierten Verben und einem weiteren Relativsatz: Prädikat (haltet), direktes Objekt (das ganze Gebot), Relativsatz mit emphatischem Subjekt (das ich), Partizip (gebiete), Objekt-Suffix (dir) und temporalem Adverb (heute); finale Konjunktion (damit), Prädikat (stark seid), zwei koordinierte Prädikate (hineinkommt und in Besitz nehmt), direktes Objekt (das Land) und Relativsatz mit Subjekt (ihr), partizipialem Prädikat (hinüberzieht), Richtungsangabe (dorthin) und finaler Bestimmung mit Infinitiv (um es in Besitz zu nehmen).</w:t>
      </w:r>
    </w:p>
    <w:p w14:paraId="254D319A" w14:textId="77777777" w:rsidR="00607566" w:rsidRDefault="00607566" w:rsidP="00607566">
      <w:pPr>
        <w:pStyle w:val="whitespace-normal"/>
      </w:pPr>
      <w:r>
        <w:lastRenderedPageBreak/>
        <w:t>Der Vers zieht die praktische Konsequenz aus der historischen Rückschau: Das Halten der Gebote ist die Voraussetzung dafür, dass Israel stark genug ist, das verheißene Land in Besitz zu nehmen.</w:t>
      </w:r>
    </w:p>
    <w:p w14:paraId="7CBD6083" w14:textId="77777777" w:rsidR="00607566" w:rsidRPr="007F3E46" w:rsidRDefault="00607566" w:rsidP="00607566">
      <w:pPr>
        <w:pStyle w:val="berschrift1"/>
        <w:rPr>
          <w:rFonts w:ascii="Times New Roman" w:hAnsi="Times New Roman"/>
          <w:b/>
          <w:bCs/>
          <w:color w:val="auto"/>
          <w:sz w:val="36"/>
          <w:szCs w:val="36"/>
        </w:rPr>
      </w:pPr>
      <w:r w:rsidRPr="007F3E46">
        <w:rPr>
          <w:rFonts w:ascii="Times New Roman" w:hAnsi="Times New Roman"/>
          <w:b/>
          <w:bCs/>
          <w:color w:val="auto"/>
          <w:sz w:val="36"/>
          <w:szCs w:val="36"/>
        </w:rPr>
        <w:t>Deuteronomium 11,9</w:t>
      </w:r>
    </w:p>
    <w:p w14:paraId="082C737C" w14:textId="77777777" w:rsidR="00607566" w:rsidRDefault="00607566" w:rsidP="00607566">
      <w:pPr>
        <w:pStyle w:val="whitespace-normal"/>
      </w:pPr>
      <w:r>
        <w:rPr>
          <w:rStyle w:val="Fett"/>
          <w:rFonts w:eastAsiaTheme="majorEastAsia"/>
        </w:rPr>
        <w:t>Hebräisch:</w:t>
      </w:r>
      <w:r>
        <w:t xml:space="preserve"> </w:t>
      </w:r>
      <w:r>
        <w:rPr>
          <w:rtl/>
        </w:rPr>
        <w:t>וּלְמַ֨עַן תַּאֲרִ֤יכוּ יָמִים֙ עַל־הָ֣אֲדָמָ֔ה אֲשֶׁר֩ נִשְׁבַּ֨ע יְהוָ֧ה לַאֲבֹתֵיכֶ֛ם לָתֵ֥ת לָהֶ֖ם וּלְזַרְעָ֑ם אֶ֛רֶץ זָבַ֥ת חָלָ֖ב וּדְבָֽשׁ׃</w:t>
      </w:r>
    </w:p>
    <w:p w14:paraId="2C57131F" w14:textId="77777777" w:rsidR="00607566" w:rsidRDefault="00607566" w:rsidP="00607566">
      <w:pPr>
        <w:pStyle w:val="whitespace-normal"/>
      </w:pPr>
      <w:r>
        <w:rPr>
          <w:rStyle w:val="Fett"/>
          <w:rFonts w:eastAsiaTheme="majorEastAsia"/>
        </w:rPr>
        <w:t>Deutsch:</w:t>
      </w:r>
      <w:r>
        <w:t xml:space="preserve"> und damit ihr eure Tage verlängert in dem Land, das der Ewige euren Vätern geschworen hat, ihnen und ihren Nachkommen zu geben, ein Land, fließend von Milch und Honig.</w:t>
      </w:r>
    </w:p>
    <w:p w14:paraId="23855325" w14:textId="77777777" w:rsidR="00607566" w:rsidRDefault="004F5CEB" w:rsidP="00607566">
      <w:r>
        <w:rPr>
          <w:noProof/>
        </w:rPr>
        <w:pict w14:anchorId="53DDD1B4">
          <v:rect id="_x0000_i1349" style="width:0;height:1.5pt" o:hralign="center" o:hrstd="t" o:hr="t" fillcolor="#a0a0a0" stroked="f"/>
        </w:pict>
      </w:r>
    </w:p>
    <w:p w14:paraId="4CD385D6" w14:textId="77777777" w:rsidR="00607566" w:rsidRDefault="00607566" w:rsidP="00607566">
      <w:pPr>
        <w:pStyle w:val="whitespace-normal"/>
      </w:pPr>
      <w:r>
        <w:rPr>
          <w:rStyle w:val="Fett"/>
          <w:rFonts w:eastAsiaTheme="majorEastAsia"/>
        </w:rPr>
        <w:t>Kommentar:</w:t>
      </w:r>
      <w:r>
        <w:t xml:space="preserve"> </w:t>
      </w:r>
      <w:r>
        <w:rPr>
          <w:rStyle w:val="Fett"/>
          <w:rFonts w:eastAsiaTheme="majorEastAsia"/>
          <w:rtl/>
        </w:rPr>
        <w:t>וּלְמַעַן תַּאֲרִיכוּ יָמִים</w:t>
      </w:r>
      <w:r>
        <w:rPr>
          <w:rtl/>
        </w:rPr>
        <w:t xml:space="preserve"> </w:t>
      </w:r>
      <w:r>
        <w:t xml:space="preserve">ist eine zweite finale Bestimmung parallel zu V. 8: </w:t>
      </w:r>
      <w:r>
        <w:rPr>
          <w:rStyle w:val="Fett"/>
          <w:rFonts w:eastAsiaTheme="majorEastAsia"/>
          <w:rtl/>
        </w:rPr>
        <w:t>וּלְמַעַן</w:t>
      </w:r>
      <w:r>
        <w:rPr>
          <w:rtl/>
        </w:rPr>
        <w:t xml:space="preserve"> </w:t>
      </w:r>
      <w:r>
        <w:t xml:space="preserve">(„und damit, auf dass") mit </w:t>
      </w:r>
      <w:r>
        <w:rPr>
          <w:rStyle w:val="Fett"/>
          <w:rFonts w:eastAsiaTheme="majorEastAsia"/>
          <w:rtl/>
        </w:rPr>
        <w:t>תַּאֲרִיכוּ</w:t>
      </w:r>
      <w:r>
        <w:rPr>
          <w:rtl/>
        </w:rPr>
        <w:t xml:space="preserve"> </w:t>
      </w:r>
      <w:r>
        <w:t xml:space="preserve">(Hiphil Imperfekt, 2. Person Maskulinum Plural von </w:t>
      </w:r>
      <w:r>
        <w:rPr>
          <w:rStyle w:val="Fett"/>
          <w:rFonts w:eastAsiaTheme="majorEastAsia"/>
          <w:rtl/>
        </w:rPr>
        <w:t>ארך</w:t>
      </w:r>
      <w:r>
        <w:t xml:space="preserve">, „lang sein", in der Hiphil-Form „verlängern, lang machen") und </w:t>
      </w:r>
      <w:r>
        <w:rPr>
          <w:rStyle w:val="Fett"/>
          <w:rFonts w:eastAsiaTheme="majorEastAsia"/>
          <w:rtl/>
        </w:rPr>
        <w:t>יָמִים</w:t>
      </w:r>
      <w:r>
        <w:rPr>
          <w:rtl/>
        </w:rPr>
        <w:t xml:space="preserve"> </w:t>
      </w:r>
      <w:r>
        <w:t xml:space="preserve">(Plural von </w:t>
      </w:r>
      <w:r>
        <w:rPr>
          <w:rStyle w:val="Fett"/>
          <w:rFonts w:eastAsiaTheme="majorEastAsia"/>
          <w:rtl/>
        </w:rPr>
        <w:t>יוֹם</w:t>
      </w:r>
      <w:r>
        <w:t xml:space="preserve">, „Tag") als direktes Objekt. Die Hiphil-Form hat kausative Bedeutung („eure Tage lang machen, verlängern"). Die Wendung </w:t>
      </w:r>
      <w:r>
        <w:rPr>
          <w:rStyle w:val="Fett"/>
          <w:rFonts w:eastAsiaTheme="majorEastAsia"/>
          <w:rtl/>
        </w:rPr>
        <w:t>האריך ימים</w:t>
      </w:r>
      <w:r>
        <w:rPr>
          <w:rtl/>
        </w:rPr>
        <w:t xml:space="preserve"> </w:t>
      </w:r>
      <w:r>
        <w:t>ist eine häufige deuteronomische Segensformel für langes Leben im Land.</w:t>
      </w:r>
    </w:p>
    <w:p w14:paraId="69C242F3" w14:textId="77777777" w:rsidR="00607566" w:rsidRDefault="00607566" w:rsidP="00607566">
      <w:pPr>
        <w:pStyle w:val="whitespace-normal"/>
      </w:pPr>
      <w:r>
        <w:rPr>
          <w:rStyle w:val="Fett"/>
          <w:rFonts w:eastAsiaTheme="majorEastAsia"/>
          <w:rtl/>
        </w:rPr>
        <w:t>עַל־הָאֲדָמָה</w:t>
      </w:r>
      <w:r>
        <w:rPr>
          <w:rtl/>
        </w:rPr>
        <w:t xml:space="preserve"> </w:t>
      </w:r>
      <w:r>
        <w:t xml:space="preserve">ist eine lokale Bestimmung: </w:t>
      </w:r>
      <w:r>
        <w:rPr>
          <w:rStyle w:val="Fett"/>
          <w:rFonts w:eastAsiaTheme="majorEastAsia"/>
          <w:rtl/>
        </w:rPr>
        <w:t>עַל</w:t>
      </w:r>
      <w:r>
        <w:rPr>
          <w:rtl/>
        </w:rPr>
        <w:t xml:space="preserve"> </w:t>
      </w:r>
      <w:r>
        <w:t xml:space="preserve">(„auf, über") mit </w:t>
      </w:r>
      <w:r>
        <w:rPr>
          <w:rStyle w:val="Fett"/>
          <w:rFonts w:eastAsiaTheme="majorEastAsia"/>
          <w:rtl/>
        </w:rPr>
        <w:t>הָאֲדָמָה</w:t>
      </w:r>
      <w:r>
        <w:rPr>
          <w:rtl/>
        </w:rPr>
        <w:t xml:space="preserve"> </w:t>
      </w:r>
      <w:r>
        <w:t>(</w:t>
      </w:r>
      <w:r>
        <w:rPr>
          <w:rStyle w:val="Fett"/>
          <w:rFonts w:eastAsiaTheme="majorEastAsia"/>
          <w:rtl/>
        </w:rPr>
        <w:t>אֲדָמָה</w:t>
      </w:r>
      <w:r>
        <w:t xml:space="preserve">, „Erdboden, Ackerland", mit Artikel). Die Verwendung von </w:t>
      </w:r>
      <w:r>
        <w:rPr>
          <w:rStyle w:val="Fett"/>
          <w:rFonts w:eastAsiaTheme="majorEastAsia"/>
          <w:rtl/>
        </w:rPr>
        <w:t>אֲדָמָה</w:t>
      </w:r>
      <w:r>
        <w:rPr>
          <w:rtl/>
        </w:rPr>
        <w:t xml:space="preserve"> </w:t>
      </w:r>
      <w:r>
        <w:t xml:space="preserve">statt </w:t>
      </w:r>
      <w:r>
        <w:rPr>
          <w:rStyle w:val="Fett"/>
          <w:rFonts w:eastAsiaTheme="majorEastAsia"/>
          <w:rtl/>
        </w:rPr>
        <w:t>אֶרֶץ</w:t>
      </w:r>
      <w:r>
        <w:rPr>
          <w:rtl/>
        </w:rPr>
        <w:t xml:space="preserve"> </w:t>
      </w:r>
      <w:r>
        <w:t xml:space="preserve">betont den landwirtschaftlichen Aspekt des Landes. </w:t>
      </w:r>
      <w:r>
        <w:rPr>
          <w:rStyle w:val="Fett"/>
          <w:rFonts w:eastAsiaTheme="majorEastAsia"/>
          <w:rtl/>
        </w:rPr>
        <w:t>אֲשֶׁר נִשְׁבַּע יְהוָה לַאֲבֹתֵיכֶם לָתֵת לָהֶם וּלְזַרְעָם</w:t>
      </w:r>
      <w:r>
        <w:rPr>
          <w:rtl/>
        </w:rPr>
        <w:t xml:space="preserve"> </w:t>
      </w:r>
      <w:r>
        <w:t xml:space="preserve">ist ein Relativsatz: </w:t>
      </w:r>
      <w:r>
        <w:rPr>
          <w:rStyle w:val="Fett"/>
          <w:rFonts w:eastAsiaTheme="majorEastAsia"/>
          <w:rtl/>
        </w:rPr>
        <w:t>אֲשֶׁר</w:t>
      </w:r>
      <w:r>
        <w:rPr>
          <w:rtl/>
        </w:rPr>
        <w:t xml:space="preserve"> </w:t>
      </w:r>
      <w:r>
        <w:t xml:space="preserve">(Relativpronomen) mit </w:t>
      </w:r>
      <w:r>
        <w:rPr>
          <w:rStyle w:val="Fett"/>
          <w:rFonts w:eastAsiaTheme="majorEastAsia"/>
          <w:rtl/>
        </w:rPr>
        <w:t>נִשְׁבַּע</w:t>
      </w:r>
      <w:r>
        <w:rPr>
          <w:rtl/>
        </w:rPr>
        <w:t xml:space="preserve"> </w:t>
      </w:r>
      <w:r>
        <w:t xml:space="preserve">(Niphal Perfekt, 3. Person Maskulinum Singular von </w:t>
      </w:r>
      <w:r>
        <w:rPr>
          <w:rStyle w:val="Fett"/>
          <w:rFonts w:eastAsiaTheme="majorEastAsia"/>
          <w:rtl/>
        </w:rPr>
        <w:t>שׁבע</w:t>
      </w:r>
      <w:r>
        <w:t xml:space="preserve">, „schwören"), </w:t>
      </w:r>
      <w:r>
        <w:rPr>
          <w:rStyle w:val="Fett"/>
          <w:rFonts w:eastAsiaTheme="majorEastAsia"/>
          <w:rtl/>
        </w:rPr>
        <w:t>יְהוָה</w:t>
      </w:r>
      <w:r>
        <w:rPr>
          <w:rtl/>
        </w:rPr>
        <w:t xml:space="preserve"> </w:t>
      </w:r>
      <w:r>
        <w:t xml:space="preserve">(Tetragramm) als Subjekt, </w:t>
      </w:r>
      <w:r>
        <w:rPr>
          <w:rStyle w:val="Fett"/>
          <w:rFonts w:eastAsiaTheme="majorEastAsia"/>
          <w:rtl/>
        </w:rPr>
        <w:t>לַאֲבֹתֵיכֶם</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אָבוֹת</w:t>
      </w:r>
      <w:r>
        <w:t xml:space="preserve">, „Väter", Plural mit Suffix 2. Person Maskulinum Plural) als Dativobjekt, </w:t>
      </w:r>
      <w:r>
        <w:rPr>
          <w:rStyle w:val="Fett"/>
          <w:rFonts w:eastAsiaTheme="majorEastAsia"/>
          <w:rtl/>
        </w:rPr>
        <w:t>לָתֵת</w:t>
      </w:r>
      <w:r>
        <w:rPr>
          <w:rtl/>
        </w:rPr>
        <w:t xml:space="preserve"> </w:t>
      </w:r>
      <w:r>
        <w:t xml:space="preserve">(Qal Infinitiv Construct von </w:t>
      </w:r>
      <w:r>
        <w:rPr>
          <w:rStyle w:val="Fett"/>
          <w:rFonts w:eastAsiaTheme="majorEastAsia"/>
          <w:rtl/>
        </w:rPr>
        <w:t>נתן</w:t>
      </w:r>
      <w:r>
        <w:t xml:space="preserve">, „geben", mit </w:t>
      </w:r>
      <w:r>
        <w:rPr>
          <w:rStyle w:val="Fett"/>
          <w:rFonts w:eastAsiaTheme="majorEastAsia"/>
          <w:rtl/>
        </w:rPr>
        <w:t>לְ</w:t>
      </w:r>
      <w:r>
        <w:t xml:space="preserve">) als finale Bestimmung, </w:t>
      </w:r>
      <w:r>
        <w:rPr>
          <w:rStyle w:val="Fett"/>
          <w:rFonts w:eastAsiaTheme="majorEastAsia"/>
          <w:rtl/>
        </w:rPr>
        <w:t>לָהֶם</w:t>
      </w:r>
      <w:r>
        <w:rPr>
          <w:rtl/>
        </w:rPr>
        <w:t xml:space="preserve"> </w:t>
      </w:r>
      <w:r>
        <w:t xml:space="preserve">(Präposition </w:t>
      </w:r>
      <w:r>
        <w:rPr>
          <w:rStyle w:val="Fett"/>
          <w:rFonts w:eastAsiaTheme="majorEastAsia"/>
          <w:rtl/>
        </w:rPr>
        <w:t>לְ</w:t>
      </w:r>
      <w:r>
        <w:rPr>
          <w:rtl/>
        </w:rPr>
        <w:t xml:space="preserve"> </w:t>
      </w:r>
      <w:r>
        <w:t xml:space="preserve">mit Suffix 3. Person Maskulinum Plural) als Dativobjekt des Infinitivs und </w:t>
      </w:r>
      <w:r>
        <w:rPr>
          <w:rStyle w:val="Fett"/>
          <w:rFonts w:eastAsiaTheme="majorEastAsia"/>
          <w:rtl/>
        </w:rPr>
        <w:t>וּלְזַרְעָם</w:t>
      </w:r>
      <w:r>
        <w:rPr>
          <w:rtl/>
        </w:rPr>
        <w:t xml:space="preserve"> </w:t>
      </w:r>
      <w:r>
        <w:t>(</w:t>
      </w:r>
      <w:r>
        <w:rPr>
          <w:rStyle w:val="Fett"/>
          <w:rFonts w:eastAsiaTheme="majorEastAsia"/>
          <w:rtl/>
        </w:rPr>
        <w:t>וּלְ</w:t>
      </w:r>
      <w:r>
        <w:rPr>
          <w:rtl/>
        </w:rPr>
        <w:t xml:space="preserve"> </w:t>
      </w:r>
      <w:r>
        <w:t xml:space="preserve">mit </w:t>
      </w:r>
      <w:r>
        <w:rPr>
          <w:rStyle w:val="Fett"/>
          <w:rFonts w:eastAsiaTheme="majorEastAsia"/>
          <w:rtl/>
        </w:rPr>
        <w:t>זֶרַע</w:t>
      </w:r>
      <w:r>
        <w:t>, „Same, Nachkommenschaft", und Suffix 3. Person Maskulinum Plural) als zweites Dativobjekt.</w:t>
      </w:r>
    </w:p>
    <w:p w14:paraId="5C8F46CE" w14:textId="77777777" w:rsidR="00607566" w:rsidRDefault="00607566" w:rsidP="00607566">
      <w:pPr>
        <w:pStyle w:val="whitespace-normal"/>
      </w:pPr>
      <w:r>
        <w:rPr>
          <w:rStyle w:val="Fett"/>
          <w:rFonts w:eastAsiaTheme="majorEastAsia"/>
          <w:rtl/>
        </w:rPr>
        <w:t>אֶרֶץ זָבַת חָלָב וּדְבָשׁ</w:t>
      </w:r>
      <w:r>
        <w:rPr>
          <w:rtl/>
        </w:rPr>
        <w:t xml:space="preserve"> </w:t>
      </w:r>
      <w:r>
        <w:t xml:space="preserve">ist eine Apposition zu </w:t>
      </w:r>
      <w:r>
        <w:rPr>
          <w:rStyle w:val="Fett"/>
          <w:rFonts w:eastAsiaTheme="majorEastAsia"/>
          <w:rtl/>
        </w:rPr>
        <w:t>הָאֲדָמָה</w:t>
      </w:r>
      <w:r>
        <w:t xml:space="preserve">: </w:t>
      </w:r>
      <w:r>
        <w:rPr>
          <w:rStyle w:val="Fett"/>
          <w:rFonts w:eastAsiaTheme="majorEastAsia"/>
          <w:rtl/>
        </w:rPr>
        <w:t>אֶרֶץ</w:t>
      </w:r>
      <w:r>
        <w:rPr>
          <w:rtl/>
        </w:rPr>
        <w:t xml:space="preserve"> </w:t>
      </w:r>
      <w:r>
        <w:t xml:space="preserve">(„Land") im Construct mit </w:t>
      </w:r>
      <w:r>
        <w:rPr>
          <w:rStyle w:val="Fett"/>
          <w:rFonts w:eastAsiaTheme="majorEastAsia"/>
          <w:rtl/>
        </w:rPr>
        <w:t>זָבַת</w:t>
      </w:r>
      <w:r>
        <w:rPr>
          <w:rtl/>
        </w:rPr>
        <w:t xml:space="preserve"> </w:t>
      </w:r>
      <w:r>
        <w:t xml:space="preserve">(Qal Partizip feminin Singular von </w:t>
      </w:r>
      <w:r>
        <w:rPr>
          <w:rStyle w:val="Fett"/>
          <w:rFonts w:eastAsiaTheme="majorEastAsia"/>
          <w:rtl/>
        </w:rPr>
        <w:t>זוב</w:t>
      </w:r>
      <w:r>
        <w:t xml:space="preserve">, „fließen, strömen") im Construct mit </w:t>
      </w:r>
      <w:r>
        <w:rPr>
          <w:rStyle w:val="Fett"/>
          <w:rFonts w:eastAsiaTheme="majorEastAsia"/>
          <w:rtl/>
        </w:rPr>
        <w:t>חָלָב וּדְבָשׁ</w:t>
      </w:r>
      <w:r>
        <w:rPr>
          <w:rtl/>
        </w:rPr>
        <w:t xml:space="preserve"> </w:t>
      </w:r>
      <w:r>
        <w:t>(</w:t>
      </w:r>
      <w:r>
        <w:rPr>
          <w:rStyle w:val="Fett"/>
          <w:rFonts w:eastAsiaTheme="majorEastAsia"/>
          <w:rtl/>
        </w:rPr>
        <w:t>חָלָב</w:t>
      </w:r>
      <w:r>
        <w:t xml:space="preserve">, „Milch", koordiniert durch </w:t>
      </w:r>
      <w:r>
        <w:rPr>
          <w:rStyle w:val="Fett"/>
          <w:rFonts w:eastAsiaTheme="majorEastAsia"/>
        </w:rPr>
        <w:t>Waw</w:t>
      </w:r>
      <w:r>
        <w:t xml:space="preserve"> mit </w:t>
      </w:r>
      <w:r>
        <w:rPr>
          <w:rStyle w:val="Fett"/>
          <w:rFonts w:eastAsiaTheme="majorEastAsia"/>
          <w:rtl/>
        </w:rPr>
        <w:t>דְּבַשׁ</w:t>
      </w:r>
      <w:r>
        <w:t xml:space="preserve">, „Honig"). Die Wendung </w:t>
      </w:r>
      <w:r>
        <w:rPr>
          <w:rStyle w:val="Fett"/>
          <w:rFonts w:eastAsiaTheme="majorEastAsia"/>
          <w:rtl/>
        </w:rPr>
        <w:t>אֶרֶץ זָבַת חָלָב וּדְבָשׁ</w:t>
      </w:r>
      <w:r>
        <w:rPr>
          <w:rtl/>
        </w:rPr>
        <w:t xml:space="preserve"> </w:t>
      </w:r>
      <w:r>
        <w:t xml:space="preserve">(„ein Land, das von Milch und Honig fließt") ist eine stehende Formel für die Fruchtbarkeit des verheißenen Landes und erscheint mehr als 20-mal im Alten Testament. Das Partizip </w:t>
      </w:r>
      <w:r>
        <w:rPr>
          <w:rStyle w:val="Fett"/>
          <w:rFonts w:eastAsiaTheme="majorEastAsia"/>
          <w:rtl/>
        </w:rPr>
        <w:t>זָבַת</w:t>
      </w:r>
      <w:r>
        <w:rPr>
          <w:rtl/>
        </w:rPr>
        <w:t xml:space="preserve"> </w:t>
      </w:r>
      <w:r>
        <w:t>beschreibt einen andauernden Zustand des Fließens.</w:t>
      </w:r>
    </w:p>
    <w:p w14:paraId="7F9C4791" w14:textId="77777777" w:rsidR="00607566" w:rsidRDefault="00607566" w:rsidP="00607566">
      <w:pPr>
        <w:pStyle w:val="whitespace-normal"/>
      </w:pPr>
      <w:r>
        <w:t xml:space="preserve">Die Syntax zeigt eine parallele Struktur zu V. 8: Beide Verse beginnen mit </w:t>
      </w:r>
      <w:r>
        <w:rPr>
          <w:rStyle w:val="Fett"/>
          <w:rFonts w:eastAsiaTheme="majorEastAsia"/>
          <w:rtl/>
        </w:rPr>
        <w:t>לְמַעַן</w:t>
      </w:r>
      <w:r>
        <w:rPr>
          <w:rtl/>
        </w:rPr>
        <w:t xml:space="preserve"> </w:t>
      </w:r>
      <w:r>
        <w:t>und beschreiben die positiven Folgen des Gehorsams. Während V. 8 die Befähigung zur Landnahme betont (</w:t>
      </w:r>
      <w:r>
        <w:rPr>
          <w:rStyle w:val="Fett"/>
          <w:rFonts w:eastAsiaTheme="majorEastAsia"/>
          <w:rtl/>
        </w:rPr>
        <w:t>תֶּחֶזְקוּ</w:t>
      </w:r>
      <w:r>
        <w:t xml:space="preserve">, </w:t>
      </w:r>
      <w:r>
        <w:rPr>
          <w:rStyle w:val="Fett"/>
          <w:rFonts w:eastAsiaTheme="majorEastAsia"/>
          <w:rtl/>
        </w:rPr>
        <w:t>וּבָאתֶם</w:t>
      </w:r>
      <w:r>
        <w:t xml:space="preserve">, </w:t>
      </w:r>
      <w:r>
        <w:rPr>
          <w:rStyle w:val="Fett"/>
          <w:rFonts w:eastAsiaTheme="majorEastAsia"/>
          <w:rtl/>
        </w:rPr>
        <w:t>וִירִשְׁתֶּם</w:t>
      </w:r>
      <w:r>
        <w:t>), fokussiert V. 9 auf das dauerhafte Leben im Land (</w:t>
      </w:r>
      <w:r>
        <w:rPr>
          <w:rStyle w:val="Fett"/>
          <w:rFonts w:eastAsiaTheme="majorEastAsia"/>
          <w:rtl/>
        </w:rPr>
        <w:t>תַּאֲרִיכוּ יָמִים</w:t>
      </w:r>
      <w:r>
        <w:t xml:space="preserve">). Die doppelte Dativangabe </w:t>
      </w:r>
      <w:r>
        <w:rPr>
          <w:rStyle w:val="Fett"/>
          <w:rFonts w:eastAsiaTheme="majorEastAsia"/>
          <w:rtl/>
        </w:rPr>
        <w:t>לָהֶם וּלְזַרְעָם</w:t>
      </w:r>
      <w:r>
        <w:rPr>
          <w:rtl/>
        </w:rPr>
        <w:t xml:space="preserve"> </w:t>
      </w:r>
      <w:r>
        <w:t xml:space="preserve">betont die generationenübergreifende Natur der Verheißung. Der Wechsel von </w:t>
      </w:r>
      <w:r>
        <w:rPr>
          <w:rStyle w:val="Fett"/>
          <w:rFonts w:eastAsiaTheme="majorEastAsia"/>
          <w:rtl/>
        </w:rPr>
        <w:t>אֶרֶץ</w:t>
      </w:r>
      <w:r>
        <w:rPr>
          <w:rtl/>
        </w:rPr>
        <w:t xml:space="preserve"> </w:t>
      </w:r>
      <w:r>
        <w:t xml:space="preserve">(V. 8) zu </w:t>
      </w:r>
      <w:r>
        <w:rPr>
          <w:rStyle w:val="Fett"/>
          <w:rFonts w:eastAsiaTheme="majorEastAsia"/>
          <w:rtl/>
        </w:rPr>
        <w:t>אֲדָמָה</w:t>
      </w:r>
      <w:r>
        <w:rPr>
          <w:rtl/>
        </w:rPr>
        <w:t xml:space="preserve"> </w:t>
      </w:r>
      <w:r>
        <w:t xml:space="preserve">(V. 9) ist stilistisch variierend, wobei </w:t>
      </w:r>
      <w:r>
        <w:rPr>
          <w:rStyle w:val="Fett"/>
          <w:rFonts w:eastAsiaTheme="majorEastAsia"/>
          <w:rtl/>
        </w:rPr>
        <w:t>אֲדָמָה</w:t>
      </w:r>
      <w:r>
        <w:rPr>
          <w:rtl/>
        </w:rPr>
        <w:t xml:space="preserve"> </w:t>
      </w:r>
      <w:r>
        <w:t>stärker die Kultivierbarkeit des Bodens betont.</w:t>
      </w:r>
    </w:p>
    <w:p w14:paraId="297273BF" w14:textId="77777777" w:rsidR="00607566" w:rsidRDefault="00607566" w:rsidP="00607566">
      <w:pPr>
        <w:pStyle w:val="whitespace-normal"/>
      </w:pPr>
      <w:r>
        <w:rPr>
          <w:rStyle w:val="Fett"/>
          <w:rFonts w:eastAsiaTheme="majorEastAsia"/>
        </w:rPr>
        <w:t>Die LXX</w:t>
      </w:r>
      <w:r>
        <w:t xml:space="preserve"> übersetzt „damit ihr eure Tage verlängert" mit „</w:t>
      </w:r>
      <w:proofErr w:type="spellStart"/>
      <w:r>
        <w:t>ἵν</w:t>
      </w:r>
      <w:proofErr w:type="spellEnd"/>
      <w:r>
        <w:t>α μα</w:t>
      </w:r>
      <w:proofErr w:type="spellStart"/>
      <w:r>
        <w:t>κροημερεύσητε</w:t>
      </w:r>
      <w:proofErr w:type="spellEnd"/>
      <w:r>
        <w:t xml:space="preserve">" (mit einem zusammengesetzten Verb für „lange Tage haben"), „auf dem Erdboden" mit „ἐπὶ </w:t>
      </w:r>
      <w:proofErr w:type="spellStart"/>
      <w:r>
        <w:t>τῆς</w:t>
      </w:r>
      <w:proofErr w:type="spellEnd"/>
      <w:r>
        <w:t xml:space="preserve"> </w:t>
      </w:r>
      <w:proofErr w:type="spellStart"/>
      <w:r>
        <w:t>γῆς</w:t>
      </w:r>
      <w:proofErr w:type="spellEnd"/>
      <w:r>
        <w:t xml:space="preserve">", </w:t>
      </w:r>
      <w:r>
        <w:lastRenderedPageBreak/>
        <w:t>„geschworen hat" mit „</w:t>
      </w:r>
      <w:proofErr w:type="spellStart"/>
      <w:r>
        <w:t>ὤμοσεν</w:t>
      </w:r>
      <w:proofErr w:type="spellEnd"/>
      <w:r>
        <w:t>" (Aorist), „zu geben" mit „</w:t>
      </w:r>
      <w:proofErr w:type="spellStart"/>
      <w:r>
        <w:t>δοῦν</w:t>
      </w:r>
      <w:proofErr w:type="spellEnd"/>
      <w:r>
        <w:t>αι" (Aorist Infinitiv) und „ein Land, fließend von Milch und Honig" mit „</w:t>
      </w:r>
      <w:proofErr w:type="spellStart"/>
      <w:r>
        <w:t>γῆν</w:t>
      </w:r>
      <w:proofErr w:type="spellEnd"/>
      <w:r>
        <w:t xml:space="preserve"> </w:t>
      </w:r>
      <w:proofErr w:type="spellStart"/>
      <w:r>
        <w:t>ῥέουσ</w:t>
      </w:r>
      <w:proofErr w:type="spellEnd"/>
      <w:r>
        <w:t xml:space="preserve">αν </w:t>
      </w:r>
      <w:proofErr w:type="spellStart"/>
      <w:r>
        <w:t>γάλ</w:t>
      </w:r>
      <w:proofErr w:type="spellEnd"/>
      <w:r>
        <w:t xml:space="preserve">α καὶ </w:t>
      </w:r>
      <w:proofErr w:type="spellStart"/>
      <w:r>
        <w:t>μέλι</w:t>
      </w:r>
      <w:proofErr w:type="spellEnd"/>
      <w:r>
        <w:t>" (wörtliche Übersetzung der hebräischen Formel).</w:t>
      </w:r>
    </w:p>
    <w:p w14:paraId="26CF39C9" w14:textId="77777777" w:rsidR="00607566" w:rsidRDefault="00607566" w:rsidP="00607566">
      <w:pPr>
        <w:pStyle w:val="whitespace-normal"/>
      </w:pPr>
      <w:r>
        <w:t>Die Satzstruktur besteht aus einer finalen Bestimmung mit Relativsatz und Apposition: Finale Konjunktion (und damit), Prädikat (verlängert), direktes Objekt (Tage), lokale Bestimmung (auf dem Erdboden), Relativsatz mit Prädikat (geschworen hat), Subjekt (JHWH), Dativobjekt (euren Vätern), finalem Infinitiv (zu geben), doppeltem Dativobjekt (ihnen und ihren Nachkommen) und Apposition (ein Land, fließend von Milch und Honig).</w:t>
      </w:r>
    </w:p>
    <w:p w14:paraId="76E88DDC" w14:textId="77777777" w:rsidR="00607566" w:rsidRDefault="00607566" w:rsidP="00607566">
      <w:pPr>
        <w:pStyle w:val="whitespace-normal"/>
      </w:pPr>
      <w:r>
        <w:t>Der Vers ergänzt die Verheißung aus V. 8: Gehorsam führt nicht nur zur erfolgreichen Landnahme, sondern auch zu langem Leben im verheißenen fruchtbaren Land, das JHWH den Vätern geschworen hat.</w:t>
      </w:r>
    </w:p>
    <w:p w14:paraId="529739D1" w14:textId="77777777" w:rsidR="00607566" w:rsidRPr="007F3E46" w:rsidRDefault="00607566" w:rsidP="00607566">
      <w:pPr>
        <w:pStyle w:val="berschrift1"/>
        <w:rPr>
          <w:rFonts w:ascii="Times New Roman" w:hAnsi="Times New Roman"/>
          <w:b/>
          <w:bCs/>
          <w:color w:val="auto"/>
          <w:sz w:val="36"/>
          <w:szCs w:val="36"/>
        </w:rPr>
      </w:pPr>
      <w:r w:rsidRPr="007F3E46">
        <w:rPr>
          <w:rFonts w:ascii="Times New Roman" w:hAnsi="Times New Roman"/>
          <w:b/>
          <w:bCs/>
          <w:color w:val="auto"/>
          <w:sz w:val="36"/>
          <w:szCs w:val="36"/>
        </w:rPr>
        <w:t>Deuteronomium 11,10</w:t>
      </w:r>
    </w:p>
    <w:p w14:paraId="0E91DB60" w14:textId="77777777" w:rsidR="00607566" w:rsidRDefault="00607566" w:rsidP="00607566">
      <w:pPr>
        <w:pStyle w:val="whitespace-normal"/>
      </w:pPr>
      <w:r>
        <w:rPr>
          <w:rStyle w:val="Fett"/>
          <w:rFonts w:eastAsiaTheme="majorEastAsia"/>
        </w:rPr>
        <w:t>Hebräisch:</w:t>
      </w:r>
      <w:r>
        <w:t xml:space="preserve"> </w:t>
      </w:r>
      <w:r>
        <w:rPr>
          <w:rtl/>
        </w:rPr>
        <w:t>כִּ֣י הָאָ֗רֶץ אֲשֶׁ֨ר אַתָּ֤ה בָא־שָׁ֨מָּה֙ לְרִשְׁתָּ֔הּ לֹ֣א כְאֶ֤רֶץ מִצְרַ֨יִם֙ הִ֔וא אֲשֶׁ֥ר יְצָאתֶ֖ם מִשָּׁ֑ם אֲשֶׁ֤ר תִּזְרַע֙ אֶֽת־זַרְעֲךָ֔ וְהִשְׁקִ֥יתָ בְרַגְלְךָ֖ כְּגַ֥ן הַיָּרָֽק׃</w:t>
      </w:r>
    </w:p>
    <w:p w14:paraId="0C999A31" w14:textId="77777777" w:rsidR="00607566" w:rsidRDefault="00607566" w:rsidP="00607566">
      <w:pPr>
        <w:pStyle w:val="whitespace-normal"/>
      </w:pPr>
      <w:r>
        <w:rPr>
          <w:rStyle w:val="Fett"/>
          <w:rFonts w:eastAsiaTheme="majorEastAsia"/>
        </w:rPr>
        <w:t>Deutsch:</w:t>
      </w:r>
      <w:r>
        <w:t xml:space="preserve"> Denn das Land, wohin du kommst, um es in Besitz zu nehmen, ist nicht wie das Land Mizrajim, von wo ihr ausgezogen seid, wo du deine Saat sätest und mit deinem Fuß wässertest, wie einen Gemüsegarten;</w:t>
      </w:r>
    </w:p>
    <w:p w14:paraId="7BBCF2A2" w14:textId="77777777" w:rsidR="00607566" w:rsidRDefault="004F5CEB" w:rsidP="00607566">
      <w:r>
        <w:rPr>
          <w:noProof/>
        </w:rPr>
        <w:pict w14:anchorId="7FC2D654">
          <v:rect id="_x0000_i1350" style="width:0;height:1.5pt" o:hralign="center" o:hrstd="t" o:hr="t" fillcolor="#a0a0a0" stroked="f"/>
        </w:pict>
      </w:r>
    </w:p>
    <w:p w14:paraId="1AB530D5" w14:textId="77777777" w:rsidR="00607566" w:rsidRDefault="00607566" w:rsidP="00607566">
      <w:pPr>
        <w:pStyle w:val="whitespace-normal"/>
      </w:pPr>
      <w:r>
        <w:rPr>
          <w:rStyle w:val="Fett"/>
          <w:rFonts w:eastAsiaTheme="majorEastAsia"/>
        </w:rPr>
        <w:t>Kommentar:</w:t>
      </w:r>
      <w:r>
        <w:t xml:space="preserve"> </w:t>
      </w:r>
      <w:r>
        <w:rPr>
          <w:rStyle w:val="Fett"/>
          <w:rFonts w:eastAsiaTheme="majorEastAsia"/>
          <w:rtl/>
        </w:rPr>
        <w:t>כִּי הָאָרֶץ אֲשֶׁר אַתָּה בָא־שָׁמָּה לְרִשְׁתָּהּ</w:t>
      </w:r>
      <w:r>
        <w:rPr>
          <w:rtl/>
        </w:rPr>
        <w:t xml:space="preserve"> </w:t>
      </w:r>
      <w:r>
        <w:t xml:space="preserve">ist ein kausaler Hauptsatz mit Relativsatz: </w:t>
      </w:r>
      <w:r>
        <w:rPr>
          <w:rStyle w:val="Fett"/>
          <w:rFonts w:eastAsiaTheme="majorEastAsia"/>
          <w:rtl/>
        </w:rPr>
        <w:t>כִּי</w:t>
      </w:r>
      <w:r>
        <w:rPr>
          <w:rtl/>
        </w:rPr>
        <w:t xml:space="preserve"> </w:t>
      </w:r>
      <w:r>
        <w:t xml:space="preserve">(„denn") als kausale Konjunktion, </w:t>
      </w:r>
      <w:r>
        <w:rPr>
          <w:rStyle w:val="Fett"/>
          <w:rFonts w:eastAsiaTheme="majorEastAsia"/>
          <w:rtl/>
        </w:rPr>
        <w:t>הָאָרֶץ</w:t>
      </w:r>
      <w:r>
        <w:rPr>
          <w:rtl/>
        </w:rPr>
        <w:t xml:space="preserve"> </w:t>
      </w:r>
      <w:r>
        <w:t xml:space="preserve">(„das Land") als Subjekt, </w:t>
      </w:r>
      <w:r>
        <w:rPr>
          <w:rStyle w:val="Fett"/>
          <w:rFonts w:eastAsiaTheme="majorEastAsia"/>
          <w:rtl/>
        </w:rPr>
        <w:t>אֲשֶׁר</w:t>
      </w:r>
      <w:r>
        <w:rPr>
          <w:rtl/>
        </w:rPr>
        <w:t xml:space="preserve"> </w:t>
      </w:r>
      <w:r>
        <w:t xml:space="preserve">(Relativpronomen) mit </w:t>
      </w:r>
      <w:r>
        <w:rPr>
          <w:rStyle w:val="Fett"/>
          <w:rFonts w:eastAsiaTheme="majorEastAsia"/>
          <w:rtl/>
        </w:rPr>
        <w:t>אַתָּה</w:t>
      </w:r>
      <w:r>
        <w:rPr>
          <w:rtl/>
        </w:rPr>
        <w:t xml:space="preserve"> </w:t>
      </w:r>
      <w:r>
        <w:t xml:space="preserve">(Personalpronomen 2. Person Maskulinum Singular) als Subjekt, </w:t>
      </w:r>
      <w:r>
        <w:rPr>
          <w:rStyle w:val="Fett"/>
          <w:rFonts w:eastAsiaTheme="majorEastAsia"/>
          <w:rtl/>
        </w:rPr>
        <w:t>בָא</w:t>
      </w:r>
      <w:r>
        <w:rPr>
          <w:rtl/>
        </w:rPr>
        <w:t xml:space="preserve"> </w:t>
      </w:r>
      <w:r>
        <w:t xml:space="preserve">(Qal Partizip Maskulinum Singular von </w:t>
      </w:r>
      <w:r>
        <w:rPr>
          <w:rStyle w:val="Fett"/>
          <w:rFonts w:eastAsiaTheme="majorEastAsia"/>
          <w:rtl/>
        </w:rPr>
        <w:t>בוא</w:t>
      </w:r>
      <w:r>
        <w:t xml:space="preserve">, „kommen"), </w:t>
      </w:r>
      <w:r>
        <w:rPr>
          <w:rStyle w:val="Fett"/>
          <w:rFonts w:eastAsiaTheme="majorEastAsia"/>
          <w:rtl/>
        </w:rPr>
        <w:t>שָׁמָּה</w:t>
      </w:r>
      <w:r>
        <w:rPr>
          <w:rtl/>
        </w:rPr>
        <w:t xml:space="preserve"> </w:t>
      </w:r>
      <w:r>
        <w:t xml:space="preserve">(„dorthin") als Richtungsangabe und </w:t>
      </w:r>
      <w:r>
        <w:rPr>
          <w:rStyle w:val="Fett"/>
          <w:rFonts w:eastAsiaTheme="majorEastAsia"/>
          <w:rtl/>
        </w:rPr>
        <w:t>לְרִשְׁתָּהּ</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ירשׁ</w:t>
      </w:r>
      <w:r>
        <w:t>, „in Besitz nehmen", und Suffix 3. Person feminin Singular) als finale Bestimmung. Der Wechsel von Plural in V. 8-9 zu Singular hier individualisiert die Anrede.</w:t>
      </w:r>
    </w:p>
    <w:p w14:paraId="341F1826" w14:textId="77777777" w:rsidR="00607566" w:rsidRDefault="00607566" w:rsidP="00607566">
      <w:pPr>
        <w:pStyle w:val="whitespace-normal"/>
      </w:pPr>
      <w:r>
        <w:rPr>
          <w:rStyle w:val="Fett"/>
          <w:rFonts w:eastAsiaTheme="majorEastAsia"/>
          <w:rtl/>
        </w:rPr>
        <w:t>לֹא כְאֶרֶץ מִצְרַיִם הִוא</w:t>
      </w:r>
      <w:r>
        <w:rPr>
          <w:rtl/>
        </w:rPr>
        <w:t xml:space="preserve"> </w:t>
      </w:r>
      <w:r>
        <w:t xml:space="preserve">ist das Prädikat: </w:t>
      </w:r>
      <w:r>
        <w:rPr>
          <w:rStyle w:val="Fett"/>
          <w:rFonts w:eastAsiaTheme="majorEastAsia"/>
          <w:rtl/>
        </w:rPr>
        <w:t>לֹא</w:t>
      </w:r>
      <w:r>
        <w:rPr>
          <w:rtl/>
        </w:rPr>
        <w:t xml:space="preserve"> </w:t>
      </w:r>
      <w:r>
        <w:t xml:space="preserve">(Negation) mit </w:t>
      </w:r>
      <w:r>
        <w:rPr>
          <w:rStyle w:val="Fett"/>
          <w:rFonts w:eastAsiaTheme="majorEastAsia"/>
          <w:rtl/>
        </w:rPr>
        <w:t>כְּ</w:t>
      </w:r>
      <w:r>
        <w:rPr>
          <w:rtl/>
        </w:rPr>
        <w:t xml:space="preserve"> </w:t>
      </w:r>
      <w:r>
        <w:t xml:space="preserve">(„wie") und </w:t>
      </w:r>
      <w:r>
        <w:rPr>
          <w:rStyle w:val="Fett"/>
          <w:rFonts w:eastAsiaTheme="majorEastAsia"/>
          <w:rtl/>
        </w:rPr>
        <w:t>אֶרֶץ מִצְרַיִם</w:t>
      </w:r>
      <w:r>
        <w:rPr>
          <w:rtl/>
        </w:rPr>
        <w:t xml:space="preserve"> </w:t>
      </w:r>
      <w:r>
        <w:t>(</w:t>
      </w:r>
      <w:r>
        <w:rPr>
          <w:rStyle w:val="Fett"/>
          <w:rFonts w:eastAsiaTheme="majorEastAsia"/>
          <w:rtl/>
        </w:rPr>
        <w:t>אֶרֶץ</w:t>
      </w:r>
      <w:r>
        <w:rPr>
          <w:rtl/>
        </w:rPr>
        <w:t xml:space="preserve"> </w:t>
      </w:r>
      <w:r>
        <w:t xml:space="preserve">im Construct mit </w:t>
      </w:r>
      <w:r>
        <w:rPr>
          <w:rStyle w:val="Fett"/>
          <w:rFonts w:eastAsiaTheme="majorEastAsia"/>
          <w:rtl/>
        </w:rPr>
        <w:t>מִצְרַיִם</w:t>
      </w:r>
      <w:r>
        <w:t xml:space="preserve">, „Ägypten"), gefolgt von </w:t>
      </w:r>
      <w:r>
        <w:rPr>
          <w:rStyle w:val="Fett"/>
          <w:rFonts w:eastAsiaTheme="majorEastAsia"/>
          <w:rtl/>
        </w:rPr>
        <w:t>הִוא</w:t>
      </w:r>
      <w:r>
        <w:rPr>
          <w:rtl/>
        </w:rPr>
        <w:t xml:space="preserve"> </w:t>
      </w:r>
      <w:r>
        <w:t xml:space="preserve">(Personalpronomen 3. Person Maskulinum Singular, „es"), das das Subjekt </w:t>
      </w:r>
      <w:r>
        <w:rPr>
          <w:rStyle w:val="Fett"/>
          <w:rFonts w:eastAsiaTheme="majorEastAsia"/>
          <w:rtl/>
        </w:rPr>
        <w:t>הָאָרֶץ</w:t>
      </w:r>
      <w:r>
        <w:rPr>
          <w:rtl/>
        </w:rPr>
        <w:t xml:space="preserve"> </w:t>
      </w:r>
      <w:r>
        <w:t xml:space="preserve">wieder aufnimmt und verstärkt. Die Konstruktion </w:t>
      </w:r>
      <w:r>
        <w:rPr>
          <w:rStyle w:val="Fett"/>
          <w:rFonts w:eastAsiaTheme="majorEastAsia"/>
          <w:rtl/>
        </w:rPr>
        <w:t>לֹא כְּ</w:t>
      </w:r>
      <w:r>
        <w:rPr>
          <w:rtl/>
        </w:rPr>
        <w:t xml:space="preserve"> </w:t>
      </w:r>
      <w:r>
        <w:t xml:space="preserve">drückt einen negativen Vergleich aus. </w:t>
      </w:r>
      <w:r>
        <w:rPr>
          <w:rStyle w:val="Fett"/>
          <w:rFonts w:eastAsiaTheme="majorEastAsia"/>
          <w:rtl/>
        </w:rPr>
        <w:t>אֲשֶׁר יְצָאתֶם מִשָּׁם</w:t>
      </w:r>
      <w:r>
        <w:rPr>
          <w:rtl/>
        </w:rPr>
        <w:t xml:space="preserve"> </w:t>
      </w:r>
      <w:r>
        <w:t xml:space="preserve">ist ein zweiter Relativsatz: </w:t>
      </w:r>
      <w:r>
        <w:rPr>
          <w:rStyle w:val="Fett"/>
          <w:rFonts w:eastAsiaTheme="majorEastAsia"/>
          <w:rtl/>
        </w:rPr>
        <w:t>אֲשֶׁר</w:t>
      </w:r>
      <w:r>
        <w:rPr>
          <w:rtl/>
        </w:rPr>
        <w:t xml:space="preserve"> </w:t>
      </w:r>
      <w:r>
        <w:t xml:space="preserve">mit </w:t>
      </w:r>
      <w:r>
        <w:rPr>
          <w:rStyle w:val="Fett"/>
          <w:rFonts w:eastAsiaTheme="majorEastAsia"/>
          <w:rtl/>
        </w:rPr>
        <w:t>יְצָאתֶם</w:t>
      </w:r>
      <w:r>
        <w:rPr>
          <w:rtl/>
        </w:rPr>
        <w:t xml:space="preserve"> </w:t>
      </w:r>
      <w:r>
        <w:t xml:space="preserve">(Qal Perfekt, 2. Person Maskulinum Plural von </w:t>
      </w:r>
      <w:r>
        <w:rPr>
          <w:rStyle w:val="Fett"/>
          <w:rFonts w:eastAsiaTheme="majorEastAsia"/>
          <w:rtl/>
        </w:rPr>
        <w:t>יצא</w:t>
      </w:r>
      <w:r>
        <w:t xml:space="preserve">, „hinausgehen, ausziehen") und </w:t>
      </w:r>
      <w:r>
        <w:rPr>
          <w:rStyle w:val="Fett"/>
          <w:rFonts w:eastAsiaTheme="majorEastAsia"/>
          <w:rtl/>
        </w:rPr>
        <w:t>מִשָּׁם</w:t>
      </w:r>
      <w:r>
        <w:rPr>
          <w:rtl/>
        </w:rPr>
        <w:t xml:space="preserve"> </w:t>
      </w:r>
      <w:r>
        <w:t xml:space="preserve">(Präposition </w:t>
      </w:r>
      <w:r>
        <w:rPr>
          <w:rStyle w:val="Fett"/>
          <w:rFonts w:eastAsiaTheme="majorEastAsia"/>
          <w:rtl/>
        </w:rPr>
        <w:t>מִן</w:t>
      </w:r>
      <w:r>
        <w:rPr>
          <w:rtl/>
        </w:rPr>
        <w:t xml:space="preserve"> </w:t>
      </w:r>
      <w:r>
        <w:t xml:space="preserve">mit dem Adverb </w:t>
      </w:r>
      <w:r>
        <w:rPr>
          <w:rStyle w:val="Fett"/>
          <w:rFonts w:eastAsiaTheme="majorEastAsia"/>
          <w:rtl/>
        </w:rPr>
        <w:t>שָׁם</w:t>
      </w:r>
      <w:r>
        <w:t>, „von dort"). Der Wechsel zurück zum Plural betont die gemeinsame Exoduserfahrung.</w:t>
      </w:r>
    </w:p>
    <w:p w14:paraId="27EE2932" w14:textId="77777777" w:rsidR="00607566" w:rsidRDefault="00607566" w:rsidP="00607566">
      <w:pPr>
        <w:pStyle w:val="whitespace-normal"/>
      </w:pPr>
      <w:r>
        <w:rPr>
          <w:rStyle w:val="Fett"/>
          <w:rFonts w:eastAsiaTheme="majorEastAsia"/>
          <w:rtl/>
        </w:rPr>
        <w:t>אֲשֶׁר תִּזְרַע אֶת־זַרְעֲךָ</w:t>
      </w:r>
      <w:r>
        <w:rPr>
          <w:rtl/>
        </w:rPr>
        <w:t xml:space="preserve"> </w:t>
      </w:r>
      <w:r>
        <w:t xml:space="preserve">ist ein dritter Relativsatz, der Ägypten charakterisiert: </w:t>
      </w:r>
      <w:r>
        <w:rPr>
          <w:rStyle w:val="Fett"/>
          <w:rFonts w:eastAsiaTheme="majorEastAsia"/>
          <w:rtl/>
        </w:rPr>
        <w:t>אֲשֶׁר</w:t>
      </w:r>
      <w:r>
        <w:rPr>
          <w:rtl/>
        </w:rPr>
        <w:t xml:space="preserve"> </w:t>
      </w:r>
      <w:r>
        <w:t xml:space="preserve">mit </w:t>
      </w:r>
      <w:r>
        <w:rPr>
          <w:rStyle w:val="Fett"/>
          <w:rFonts w:eastAsiaTheme="majorEastAsia"/>
          <w:rtl/>
        </w:rPr>
        <w:t>תִּזְרַע</w:t>
      </w:r>
      <w:r>
        <w:rPr>
          <w:rtl/>
        </w:rPr>
        <w:t xml:space="preserve"> </w:t>
      </w:r>
      <w:r>
        <w:t xml:space="preserve">(Qal Imperfekt, 2. Person Maskulinum Singular von </w:t>
      </w:r>
      <w:r>
        <w:rPr>
          <w:rStyle w:val="Fett"/>
          <w:rFonts w:eastAsiaTheme="majorEastAsia"/>
          <w:rtl/>
        </w:rPr>
        <w:t>זרע</w:t>
      </w:r>
      <w:r>
        <w:t xml:space="preserve">, „säen") und </w:t>
      </w:r>
      <w:r>
        <w:rPr>
          <w:rStyle w:val="Fett"/>
          <w:rFonts w:eastAsiaTheme="majorEastAsia"/>
          <w:rtl/>
        </w:rPr>
        <w:t>אֶת־זַרְעֲךָ</w:t>
      </w:r>
      <w:r>
        <w:rPr>
          <w:rtl/>
        </w:rPr>
        <w:t xml:space="preserve"> </w:t>
      </w:r>
      <w:r>
        <w:t>(</w:t>
      </w:r>
      <w:r>
        <w:rPr>
          <w:rStyle w:val="Fett"/>
          <w:rFonts w:eastAsiaTheme="majorEastAsia"/>
          <w:rtl/>
        </w:rPr>
        <w:t>אֵת</w:t>
      </w:r>
      <w:r>
        <w:rPr>
          <w:rtl/>
        </w:rPr>
        <w:t xml:space="preserve"> </w:t>
      </w:r>
      <w:r>
        <w:t xml:space="preserve">mit </w:t>
      </w:r>
      <w:r>
        <w:rPr>
          <w:rStyle w:val="Fett"/>
          <w:rFonts w:eastAsiaTheme="majorEastAsia"/>
          <w:rtl/>
        </w:rPr>
        <w:t>זֶרַע</w:t>
      </w:r>
      <w:r>
        <w:t xml:space="preserve">, „Saat, Same", und Suffix 2. Person Maskulinum Singular) als direktes Objekt. </w:t>
      </w:r>
      <w:r>
        <w:rPr>
          <w:rStyle w:val="Fett"/>
          <w:rFonts w:eastAsiaTheme="majorEastAsia"/>
          <w:rtl/>
        </w:rPr>
        <w:t>וְהִשְׁקִיתָ בְרַגְלְךָ</w:t>
      </w:r>
      <w:r>
        <w:rPr>
          <w:rtl/>
        </w:rPr>
        <w:t xml:space="preserve"> </w:t>
      </w:r>
      <w:r>
        <w:t xml:space="preserve">ist koordiniert: </w:t>
      </w:r>
      <w:r>
        <w:rPr>
          <w:rStyle w:val="Fett"/>
          <w:rFonts w:eastAsiaTheme="majorEastAsia"/>
          <w:rtl/>
        </w:rPr>
        <w:t>וְ</w:t>
      </w:r>
      <w:r>
        <w:rPr>
          <w:rtl/>
        </w:rPr>
        <w:t xml:space="preserve"> </w:t>
      </w:r>
      <w:r>
        <w:t xml:space="preserve">mit </w:t>
      </w:r>
      <w:r>
        <w:rPr>
          <w:rStyle w:val="Fett"/>
          <w:rFonts w:eastAsiaTheme="majorEastAsia"/>
          <w:rtl/>
        </w:rPr>
        <w:t>הִשְׁקִיתָ</w:t>
      </w:r>
      <w:r>
        <w:rPr>
          <w:rtl/>
        </w:rPr>
        <w:t xml:space="preserve"> </w:t>
      </w:r>
      <w:r>
        <w:t xml:space="preserve">(Hiphil Perfekt, 2. Person Maskulinum Singular von </w:t>
      </w:r>
      <w:r>
        <w:rPr>
          <w:rStyle w:val="Fett"/>
          <w:rFonts w:eastAsiaTheme="majorEastAsia"/>
          <w:rtl/>
        </w:rPr>
        <w:t>שׁקה</w:t>
      </w:r>
      <w:r>
        <w:t xml:space="preserve">, „trinken", in der Hiphil-Form „tränken, bewässern") und </w:t>
      </w:r>
      <w:r>
        <w:rPr>
          <w:rStyle w:val="Fett"/>
          <w:rFonts w:eastAsiaTheme="majorEastAsia"/>
          <w:rtl/>
        </w:rPr>
        <w:t>בְרַגְלְךָ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רֶגֶל</w:t>
      </w:r>
      <w:r>
        <w:t xml:space="preserve">, „Fuß", und Suffix 2. Person Maskulinum Singular). Die Wendung </w:t>
      </w:r>
      <w:r>
        <w:rPr>
          <w:rStyle w:val="Fett"/>
          <w:rFonts w:eastAsiaTheme="majorEastAsia"/>
          <w:rtl/>
        </w:rPr>
        <w:t>השׁקה ברגל</w:t>
      </w:r>
      <w:r>
        <w:rPr>
          <w:rtl/>
        </w:rPr>
        <w:t xml:space="preserve"> </w:t>
      </w:r>
      <w:r>
        <w:t xml:space="preserve">(„mit dem Fuß bewässern") </w:t>
      </w:r>
      <w:r>
        <w:lastRenderedPageBreak/>
        <w:t xml:space="preserve">bezieht sich auf das ägyptische Bewässerungssystem mit Tretmühlen oder Schöpfrädern. </w:t>
      </w:r>
      <w:r>
        <w:rPr>
          <w:rStyle w:val="Fett"/>
          <w:rFonts w:eastAsiaTheme="majorEastAsia"/>
          <w:rtl/>
        </w:rPr>
        <w:t>כְּגַן הַיָּרָק</w:t>
      </w:r>
      <w:r>
        <w:rPr>
          <w:rtl/>
        </w:rPr>
        <w:t xml:space="preserve"> </w:t>
      </w:r>
      <w:r>
        <w:t xml:space="preserve">ist eine Vergleichsphrase: </w:t>
      </w:r>
      <w:r>
        <w:rPr>
          <w:rStyle w:val="Fett"/>
          <w:rFonts w:eastAsiaTheme="majorEastAsia"/>
          <w:rtl/>
        </w:rPr>
        <w:t>כְּ</w:t>
      </w:r>
      <w:r>
        <w:rPr>
          <w:rtl/>
        </w:rPr>
        <w:t xml:space="preserve"> </w:t>
      </w:r>
      <w:r>
        <w:t xml:space="preserve">(„wie") mit </w:t>
      </w:r>
      <w:r>
        <w:rPr>
          <w:rStyle w:val="Fett"/>
          <w:rFonts w:eastAsiaTheme="majorEastAsia"/>
          <w:rtl/>
        </w:rPr>
        <w:t>גַּן הַיָּרָק</w:t>
      </w:r>
      <w:r>
        <w:rPr>
          <w:rtl/>
        </w:rPr>
        <w:t xml:space="preserve"> </w:t>
      </w:r>
      <w:r>
        <w:t>(</w:t>
      </w:r>
      <w:r>
        <w:rPr>
          <w:rStyle w:val="Fett"/>
          <w:rFonts w:eastAsiaTheme="majorEastAsia"/>
          <w:rtl/>
        </w:rPr>
        <w:t>גַּן</w:t>
      </w:r>
      <w:r>
        <w:t xml:space="preserve">, „Garten", im Construct mit </w:t>
      </w:r>
      <w:r>
        <w:rPr>
          <w:rStyle w:val="Fett"/>
          <w:rFonts w:eastAsiaTheme="majorEastAsia"/>
          <w:rtl/>
        </w:rPr>
        <w:t>יָרָק</w:t>
      </w:r>
      <w:r>
        <w:t>, „Gemüse, Grünzeug", mit Artikel, „Gemüsegarten"). Der Vergleich betont die intensive manuelle Arbeit, die für die Bewässerung in Ägypten nötig war.</w:t>
      </w:r>
    </w:p>
    <w:p w14:paraId="76AF3043" w14:textId="77777777" w:rsidR="00607566" w:rsidRDefault="00607566" w:rsidP="00607566">
      <w:pPr>
        <w:pStyle w:val="whitespace-normal"/>
      </w:pPr>
      <w:r>
        <w:t>Die Syntax zeigt einen klaren Kontrast zwischen dem verheißenen Land und Ägypten: Das neue Land unterscheidet sich grundlegend vom alten. Die drei Relativsätze charakterisieren beide Länder: Der erste identifiziert das verheißene Land, der zweite erinnert an den Exodus aus Ägypten, der dritte beschreibt die mühsame Bewässerung in Ägypten. Der Wechsel zwischen Singular (</w:t>
      </w:r>
      <w:r>
        <w:rPr>
          <w:rStyle w:val="Fett"/>
          <w:rFonts w:eastAsiaTheme="majorEastAsia"/>
          <w:rtl/>
        </w:rPr>
        <w:t>אַתָּה</w:t>
      </w:r>
      <w:r>
        <w:t xml:space="preserve">, </w:t>
      </w:r>
      <w:r>
        <w:rPr>
          <w:rStyle w:val="Fett"/>
          <w:rFonts w:eastAsiaTheme="majorEastAsia"/>
          <w:rtl/>
        </w:rPr>
        <w:t>תִּזְרַע</w:t>
      </w:r>
      <w:r>
        <w:t xml:space="preserve">, </w:t>
      </w:r>
      <w:r>
        <w:rPr>
          <w:rStyle w:val="Fett"/>
          <w:rFonts w:eastAsiaTheme="majorEastAsia"/>
          <w:rtl/>
        </w:rPr>
        <w:t>הִשְׁקִיתָ</w:t>
      </w:r>
      <w:r>
        <w:t>) und Plural (</w:t>
      </w:r>
      <w:r>
        <w:rPr>
          <w:rStyle w:val="Fett"/>
          <w:rFonts w:eastAsiaTheme="majorEastAsia"/>
          <w:rtl/>
        </w:rPr>
        <w:t>יְצָאתֶם</w:t>
      </w:r>
      <w:r>
        <w:t xml:space="preserve">) ist rhetorisch wirksam. Die Perfektform </w:t>
      </w:r>
      <w:r>
        <w:rPr>
          <w:rStyle w:val="Fett"/>
          <w:rFonts w:eastAsiaTheme="majorEastAsia"/>
          <w:rtl/>
        </w:rPr>
        <w:t>הִשְׁקִיתָ</w:t>
      </w:r>
      <w:r>
        <w:rPr>
          <w:rtl/>
        </w:rPr>
        <w:t xml:space="preserve"> </w:t>
      </w:r>
      <w:r>
        <w:t xml:space="preserve">nach dem Imperfekt </w:t>
      </w:r>
      <w:r>
        <w:rPr>
          <w:rStyle w:val="Fett"/>
          <w:rFonts w:eastAsiaTheme="majorEastAsia"/>
          <w:rtl/>
        </w:rPr>
        <w:t>תִּזְרַע</w:t>
      </w:r>
      <w:r>
        <w:rPr>
          <w:rtl/>
        </w:rPr>
        <w:t xml:space="preserve"> </w:t>
      </w:r>
      <w:r>
        <w:t>drückt die aufeinanderfolgende Handlung aus (consecutives Perfekt).</w:t>
      </w:r>
    </w:p>
    <w:p w14:paraId="39DB7705" w14:textId="77777777" w:rsidR="00607566" w:rsidRDefault="00607566" w:rsidP="00607566">
      <w:pPr>
        <w:pStyle w:val="whitespace-normal"/>
      </w:pPr>
      <w:r>
        <w:rPr>
          <w:rStyle w:val="Fett"/>
          <w:rFonts w:eastAsiaTheme="majorEastAsia"/>
        </w:rPr>
        <w:t>Die LXX</w:t>
      </w:r>
      <w:r>
        <w:t xml:space="preserve"> übersetzt „ist nicht wie das Land Ägypten" mit „</w:t>
      </w:r>
      <w:proofErr w:type="spellStart"/>
      <w:r>
        <w:t>οὐχ</w:t>
      </w:r>
      <w:proofErr w:type="spellEnd"/>
      <w:r>
        <w:t xml:space="preserve"> </w:t>
      </w:r>
      <w:proofErr w:type="spellStart"/>
      <w:r>
        <w:t>ὥσ</w:t>
      </w:r>
      <w:proofErr w:type="spellEnd"/>
      <w:r>
        <w:t xml:space="preserve">περ </w:t>
      </w:r>
      <w:proofErr w:type="spellStart"/>
      <w:r>
        <w:t>γῆ</w:t>
      </w:r>
      <w:proofErr w:type="spellEnd"/>
      <w:r>
        <w:t xml:space="preserve"> Αἰγύπτου </w:t>
      </w:r>
      <w:proofErr w:type="spellStart"/>
      <w:r>
        <w:t>ἐστίν</w:t>
      </w:r>
      <w:proofErr w:type="spellEnd"/>
      <w:r>
        <w:t>", „von wo ihr ausgezogen seid" mit „</w:t>
      </w:r>
      <w:proofErr w:type="spellStart"/>
      <w:r>
        <w:t>ὅθεν</w:t>
      </w:r>
      <w:proofErr w:type="spellEnd"/>
      <w:r>
        <w:t xml:space="preserve"> </w:t>
      </w:r>
      <w:proofErr w:type="spellStart"/>
      <w:r>
        <w:t>ἐκ</w:t>
      </w:r>
      <w:proofErr w:type="spellEnd"/>
      <w:r>
        <w:t xml:space="preserve">πεπόρευσθε </w:t>
      </w:r>
      <w:proofErr w:type="spellStart"/>
      <w:r>
        <w:t>ἐκεῖθεν</w:t>
      </w:r>
      <w:proofErr w:type="spellEnd"/>
      <w:r>
        <w:t>" (Perfekt), „sätest" mit „σπ</w:t>
      </w:r>
      <w:proofErr w:type="spellStart"/>
      <w:r>
        <w:t>εροῦσιν</w:t>
      </w:r>
      <w:proofErr w:type="spellEnd"/>
      <w:r>
        <w:t>" (Präsens Plural, eine Angleichung), „bewässertest mit deinem Fuß" mit „π</w:t>
      </w:r>
      <w:proofErr w:type="spellStart"/>
      <w:r>
        <w:t>οτιοῦσιν</w:t>
      </w:r>
      <w:proofErr w:type="spellEnd"/>
      <w:r>
        <w:t xml:space="preserve"> </w:t>
      </w:r>
      <w:proofErr w:type="spellStart"/>
      <w:r>
        <w:t>τοῖς</w:t>
      </w:r>
      <w:proofErr w:type="spellEnd"/>
      <w:r>
        <w:t xml:space="preserve"> π</w:t>
      </w:r>
      <w:proofErr w:type="spellStart"/>
      <w:r>
        <w:t>οσὶν</w:t>
      </w:r>
      <w:proofErr w:type="spellEnd"/>
      <w:r>
        <w:t>" (Plural, „sie bewässern mit den Füßen") und „wie einen Gemüsegarten" mit „</w:t>
      </w:r>
      <w:proofErr w:type="spellStart"/>
      <w:r>
        <w:t>ὡσεὶ</w:t>
      </w:r>
      <w:proofErr w:type="spellEnd"/>
      <w:r>
        <w:t xml:space="preserve"> </w:t>
      </w:r>
      <w:proofErr w:type="spellStart"/>
      <w:r>
        <w:t>κῆ</w:t>
      </w:r>
      <w:proofErr w:type="spellEnd"/>
      <w:r>
        <w:t>πον λαχα</w:t>
      </w:r>
      <w:proofErr w:type="spellStart"/>
      <w:r>
        <w:t>νεί</w:t>
      </w:r>
      <w:proofErr w:type="spellEnd"/>
      <w:r>
        <w:t>ας".</w:t>
      </w:r>
    </w:p>
    <w:p w14:paraId="3371DE3F" w14:textId="77777777" w:rsidR="00607566" w:rsidRDefault="00607566" w:rsidP="00607566">
      <w:pPr>
        <w:pStyle w:val="whitespace-normal"/>
      </w:pPr>
      <w:r>
        <w:t>Die Satzstruktur besteht aus einem kausalen Hauptsatz mit drei Relativsätzen und Vergleichsphrase: Kausale Konjunktion (denn), Subjekt (das Land), erster Relativsatz mit Subjekt (du), partizipialem Prädikat (kommst), Richtungsangabe (dorthin) und finaler Bestimmung (um es in Besitz zu nehmen); Prädikat (ist nicht wie das Land Ägypten), emphatisches Pronomen (es), zweiter Relativsatz mit Prädikat (ausgezogen seid) und Herkunftsangabe (von dort); dritter Relativsatz mit Prädikat (säest), direktem Objekt (deine Saat), koordiniertem Prädikat (bewässertest), instrumentaler Bestimmung (mit deinem Fuß) und Vergleichsphrase (wie einen Gemüsegarten).</w:t>
      </w:r>
    </w:p>
    <w:p w14:paraId="3267F227" w14:textId="77777777" w:rsidR="00607566" w:rsidRDefault="00607566" w:rsidP="00607566">
      <w:pPr>
        <w:pStyle w:val="whitespace-normal"/>
      </w:pPr>
      <w:r>
        <w:t>Der Vers beginnt den Vergleich zwischen Kanaan und Ägypten: Im Gegensatz zu Ägypten, wo intensive manuelle Bewässerung nötig war, wird das verheißene Land auf andere Weise versorgt.</w:t>
      </w:r>
    </w:p>
    <w:p w14:paraId="58C17EC9" w14:textId="77777777" w:rsidR="00607566" w:rsidRPr="007F3E46" w:rsidRDefault="00607566" w:rsidP="00607566">
      <w:pPr>
        <w:pStyle w:val="berschrift1"/>
        <w:rPr>
          <w:rFonts w:ascii="Times New Roman" w:hAnsi="Times New Roman"/>
          <w:b/>
          <w:bCs/>
          <w:color w:val="auto"/>
          <w:sz w:val="36"/>
          <w:szCs w:val="36"/>
        </w:rPr>
      </w:pPr>
      <w:r w:rsidRPr="007F3E46">
        <w:rPr>
          <w:rFonts w:ascii="Times New Roman" w:hAnsi="Times New Roman"/>
          <w:b/>
          <w:bCs/>
          <w:color w:val="auto"/>
          <w:sz w:val="36"/>
          <w:szCs w:val="36"/>
        </w:rPr>
        <w:t>Deuteronomium 11,11</w:t>
      </w:r>
    </w:p>
    <w:p w14:paraId="1229BCD7" w14:textId="77777777" w:rsidR="00607566" w:rsidRDefault="00607566" w:rsidP="00607566">
      <w:pPr>
        <w:pStyle w:val="whitespace-normal"/>
      </w:pPr>
      <w:r>
        <w:rPr>
          <w:rStyle w:val="Fett"/>
          <w:rFonts w:eastAsiaTheme="majorEastAsia"/>
        </w:rPr>
        <w:t>Hebräisch:</w:t>
      </w:r>
      <w:r>
        <w:t xml:space="preserve"> </w:t>
      </w:r>
      <w:r>
        <w:rPr>
          <w:rtl/>
        </w:rPr>
        <w:t>וְהָאָ֗רֶץ אֲשֶׁ֨ר אַתֶּ֜ם עֹבְרִ֥ים שָׁ֨מָּה֙ לְרִשְׁתָּ֔הּ אֶ֥רֶץ הָרִ֖ים וּבְקָעֹ֑ת לִמְטַ֥ר הַשָּׁמַ֖יִם תִּשְׁתֶּה־מָּֽיִם׃</w:t>
      </w:r>
    </w:p>
    <w:p w14:paraId="663E3315" w14:textId="77777777" w:rsidR="00607566" w:rsidRDefault="00607566" w:rsidP="00607566">
      <w:pPr>
        <w:pStyle w:val="whitespace-normal"/>
      </w:pPr>
      <w:r>
        <w:rPr>
          <w:rStyle w:val="Fett"/>
          <w:rFonts w:eastAsiaTheme="majorEastAsia"/>
        </w:rPr>
        <w:t>Deutsch:</w:t>
      </w:r>
      <w:r>
        <w:t xml:space="preserve"> sondern das Land, in das ihr hinüberzieht, um es in Besitz zu nehmen, ist ein Land mit Bergen und Tälern; vom Regen des Himmels trinkt es Wasser.</w:t>
      </w:r>
    </w:p>
    <w:p w14:paraId="7B3AA88F" w14:textId="77777777" w:rsidR="00607566" w:rsidRDefault="004F5CEB" w:rsidP="00607566">
      <w:r>
        <w:rPr>
          <w:noProof/>
        </w:rPr>
        <w:pict w14:anchorId="70A562F4">
          <v:rect id="_x0000_i1351" style="width:0;height:1.5pt" o:hralign="center" o:hrstd="t" o:hr="t" fillcolor="#a0a0a0" stroked="f"/>
        </w:pict>
      </w:r>
    </w:p>
    <w:p w14:paraId="1461606D" w14:textId="77777777" w:rsidR="00607566" w:rsidRDefault="00607566" w:rsidP="00607566">
      <w:pPr>
        <w:pStyle w:val="whitespace-normal"/>
      </w:pPr>
      <w:r>
        <w:rPr>
          <w:rStyle w:val="Fett"/>
          <w:rFonts w:eastAsiaTheme="majorEastAsia"/>
        </w:rPr>
        <w:t>Kommentar:</w:t>
      </w:r>
      <w:r>
        <w:t xml:space="preserve"> </w:t>
      </w:r>
      <w:r>
        <w:rPr>
          <w:rStyle w:val="Fett"/>
          <w:rFonts w:eastAsiaTheme="majorEastAsia"/>
          <w:rtl/>
        </w:rPr>
        <w:t>וְהָאָרֶץ אֲשֶׁר אַתֶּם עֹבְרִים שָׁמָּה לְרִשְׁתָּהּ</w:t>
      </w:r>
      <w:r>
        <w:rPr>
          <w:rtl/>
        </w:rPr>
        <w:t xml:space="preserve"> </w:t>
      </w:r>
      <w:r>
        <w:t xml:space="preserve">ist ein kontrastiver Hauptsatz mit Relativsatz: </w:t>
      </w:r>
      <w:r>
        <w:rPr>
          <w:rStyle w:val="Fett"/>
          <w:rFonts w:eastAsiaTheme="majorEastAsia"/>
          <w:rtl/>
        </w:rPr>
        <w:t>וְהָאָרֶץ</w:t>
      </w:r>
      <w:r>
        <w:rPr>
          <w:rtl/>
        </w:rPr>
        <w:t xml:space="preserve"> </w:t>
      </w:r>
      <w:r>
        <w:t>(</w:t>
      </w:r>
      <w:r>
        <w:rPr>
          <w:rStyle w:val="Fett"/>
          <w:rFonts w:eastAsiaTheme="majorEastAsia"/>
        </w:rPr>
        <w:t>Waw</w:t>
      </w:r>
      <w:r>
        <w:t xml:space="preserve"> adversativ, „sondern, aber", mit </w:t>
      </w:r>
      <w:r>
        <w:rPr>
          <w:rStyle w:val="Fett"/>
          <w:rFonts w:eastAsiaTheme="majorEastAsia"/>
          <w:rtl/>
        </w:rPr>
        <w:t>אֶרֶץ</w:t>
      </w:r>
      <w:r>
        <w:t xml:space="preserve">, „Land", mit Artikel) als Subjekt, </w:t>
      </w:r>
      <w:r>
        <w:rPr>
          <w:rStyle w:val="Fett"/>
          <w:rFonts w:eastAsiaTheme="majorEastAsia"/>
          <w:rtl/>
        </w:rPr>
        <w:t>אֲשֶׁר</w:t>
      </w:r>
      <w:r>
        <w:rPr>
          <w:rtl/>
        </w:rPr>
        <w:t xml:space="preserve"> </w:t>
      </w:r>
      <w:r>
        <w:t xml:space="preserve">(Relativpronomen) mit </w:t>
      </w:r>
      <w:r>
        <w:rPr>
          <w:rStyle w:val="Fett"/>
          <w:rFonts w:eastAsiaTheme="majorEastAsia"/>
          <w:rtl/>
        </w:rPr>
        <w:t>אַתֶּם</w:t>
      </w:r>
      <w:r>
        <w:rPr>
          <w:rtl/>
        </w:rPr>
        <w:t xml:space="preserve"> </w:t>
      </w:r>
      <w:r>
        <w:t xml:space="preserve">(Personalpronomen 2. Person Maskulinum Plural) als Subjekt, </w:t>
      </w:r>
      <w:r>
        <w:rPr>
          <w:rStyle w:val="Fett"/>
          <w:rFonts w:eastAsiaTheme="majorEastAsia"/>
          <w:rtl/>
        </w:rPr>
        <w:t>עֹבְרִים</w:t>
      </w:r>
      <w:r>
        <w:rPr>
          <w:rtl/>
        </w:rPr>
        <w:t xml:space="preserve"> </w:t>
      </w:r>
      <w:r>
        <w:t xml:space="preserve">(Qal Partizip Maskulinum Plural von </w:t>
      </w:r>
      <w:r>
        <w:rPr>
          <w:rStyle w:val="Fett"/>
          <w:rFonts w:eastAsiaTheme="majorEastAsia"/>
          <w:rtl/>
        </w:rPr>
        <w:t>עבר</w:t>
      </w:r>
      <w:r>
        <w:t xml:space="preserve">, „hinübergehen, durchziehen"), </w:t>
      </w:r>
      <w:r>
        <w:rPr>
          <w:rStyle w:val="Fett"/>
          <w:rFonts w:eastAsiaTheme="majorEastAsia"/>
          <w:rtl/>
        </w:rPr>
        <w:t>שָׁמָּה</w:t>
      </w:r>
      <w:r>
        <w:rPr>
          <w:rtl/>
        </w:rPr>
        <w:t xml:space="preserve"> </w:t>
      </w:r>
      <w:r>
        <w:t xml:space="preserve">(„dorthin") als Richtungsangabe und </w:t>
      </w:r>
      <w:r>
        <w:rPr>
          <w:rStyle w:val="Fett"/>
          <w:rFonts w:eastAsiaTheme="majorEastAsia"/>
          <w:rtl/>
        </w:rPr>
        <w:t>לְרִשְׁתָּהּ</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ירשׁ</w:t>
      </w:r>
      <w:r>
        <w:rPr>
          <w:rtl/>
        </w:rPr>
        <w:t xml:space="preserve"> </w:t>
      </w:r>
      <w:r>
        <w:t xml:space="preserve">und Suffix 3. Person feminin Singular) als finale Bestimmung. Das adversative </w:t>
      </w:r>
      <w:r>
        <w:rPr>
          <w:rStyle w:val="Fett"/>
          <w:rFonts w:eastAsiaTheme="majorEastAsia"/>
        </w:rPr>
        <w:t>Waw</w:t>
      </w:r>
      <w:r>
        <w:t xml:space="preserve"> </w:t>
      </w:r>
      <w:r>
        <w:lastRenderedPageBreak/>
        <w:t>markiert den Kontrast zu V. 10. Der Wechsel von Singular (</w:t>
      </w:r>
      <w:r>
        <w:rPr>
          <w:rStyle w:val="Fett"/>
          <w:rFonts w:eastAsiaTheme="majorEastAsia"/>
          <w:rtl/>
        </w:rPr>
        <w:t>אַתָּה</w:t>
      </w:r>
      <w:r>
        <w:t>, V. 10) zu Plural (</w:t>
      </w:r>
      <w:r>
        <w:rPr>
          <w:rStyle w:val="Fett"/>
          <w:rFonts w:eastAsiaTheme="majorEastAsia"/>
          <w:rtl/>
        </w:rPr>
        <w:t>אַתֶּם</w:t>
      </w:r>
      <w:r>
        <w:t>) kehrt zur kollektiven Anrede zurück.</w:t>
      </w:r>
    </w:p>
    <w:p w14:paraId="76BCED6B" w14:textId="77777777" w:rsidR="00607566" w:rsidRDefault="00607566" w:rsidP="00607566">
      <w:pPr>
        <w:pStyle w:val="whitespace-normal"/>
      </w:pPr>
      <w:r>
        <w:rPr>
          <w:rStyle w:val="Fett"/>
          <w:rFonts w:eastAsiaTheme="majorEastAsia"/>
          <w:rtl/>
        </w:rPr>
        <w:t>אֶרֶץ הָרִים וּבְקָעֹת</w:t>
      </w:r>
      <w:r>
        <w:rPr>
          <w:rtl/>
        </w:rPr>
        <w:t xml:space="preserve"> </w:t>
      </w:r>
      <w:r>
        <w:t xml:space="preserve">ist eine Apposition zum Subjekt: </w:t>
      </w:r>
      <w:r>
        <w:rPr>
          <w:rStyle w:val="Fett"/>
          <w:rFonts w:eastAsiaTheme="majorEastAsia"/>
          <w:rtl/>
        </w:rPr>
        <w:t>אֶרֶץ</w:t>
      </w:r>
      <w:r>
        <w:rPr>
          <w:rtl/>
        </w:rPr>
        <w:t xml:space="preserve"> </w:t>
      </w:r>
      <w:r>
        <w:t xml:space="preserve">im Construct mit </w:t>
      </w:r>
      <w:r>
        <w:rPr>
          <w:rStyle w:val="Fett"/>
          <w:rFonts w:eastAsiaTheme="majorEastAsia"/>
          <w:rtl/>
        </w:rPr>
        <w:t>הָרִים</w:t>
      </w:r>
      <w:r>
        <w:rPr>
          <w:rtl/>
        </w:rPr>
        <w:t xml:space="preserve"> </w:t>
      </w:r>
      <w:r>
        <w:t xml:space="preserve">(Plural von </w:t>
      </w:r>
      <w:r>
        <w:rPr>
          <w:rStyle w:val="Fett"/>
          <w:rFonts w:eastAsiaTheme="majorEastAsia"/>
          <w:rtl/>
        </w:rPr>
        <w:t>הַר</w:t>
      </w:r>
      <w:r>
        <w:t xml:space="preserve">, „Berg") und </w:t>
      </w:r>
      <w:r>
        <w:rPr>
          <w:rStyle w:val="Fett"/>
          <w:rFonts w:eastAsiaTheme="majorEastAsia"/>
          <w:rtl/>
        </w:rPr>
        <w:t>בְקָעֹת</w:t>
      </w:r>
      <w:r>
        <w:rPr>
          <w:rtl/>
        </w:rPr>
        <w:t xml:space="preserve"> </w:t>
      </w:r>
      <w:r>
        <w:t xml:space="preserve">(Plural von </w:t>
      </w:r>
      <w:r>
        <w:rPr>
          <w:rStyle w:val="Fett"/>
          <w:rFonts w:eastAsiaTheme="majorEastAsia"/>
          <w:rtl/>
        </w:rPr>
        <w:t>בִּקְעָה</w:t>
      </w:r>
      <w:r>
        <w:t xml:space="preserve">, „Tal, Ebene"), koordiniert durch </w:t>
      </w:r>
      <w:r>
        <w:rPr>
          <w:rStyle w:val="Fett"/>
          <w:rFonts w:eastAsiaTheme="majorEastAsia"/>
        </w:rPr>
        <w:t>Waw</w:t>
      </w:r>
      <w:r>
        <w:t xml:space="preserve">. Die Wendung </w:t>
      </w:r>
      <w:r>
        <w:rPr>
          <w:rStyle w:val="Fett"/>
          <w:rFonts w:eastAsiaTheme="majorEastAsia"/>
          <w:rtl/>
        </w:rPr>
        <w:t>אֶרֶץ הָרִים וּבְקָעֹת</w:t>
      </w:r>
      <w:r>
        <w:rPr>
          <w:rtl/>
        </w:rPr>
        <w:t xml:space="preserve"> </w:t>
      </w:r>
      <w:r>
        <w:t xml:space="preserve">beschreibt die topographische Vielfalt Kanaans im Gegensatz zur relativ flachen Nillandschaft Ägyptens. Das Begriffspaar </w:t>
      </w:r>
      <w:r>
        <w:rPr>
          <w:rStyle w:val="Fett"/>
          <w:rFonts w:eastAsiaTheme="majorEastAsia"/>
          <w:rtl/>
        </w:rPr>
        <w:t>הָרִים וּבְקָעֹת</w:t>
      </w:r>
      <w:r>
        <w:rPr>
          <w:rtl/>
        </w:rPr>
        <w:t xml:space="preserve"> </w:t>
      </w:r>
      <w:r>
        <w:t>ist ein Merismus für das gesamte Land mit all seinen Höhenunterschieden.</w:t>
      </w:r>
    </w:p>
    <w:p w14:paraId="48ED0813" w14:textId="77777777" w:rsidR="00607566" w:rsidRDefault="00607566" w:rsidP="00607566">
      <w:pPr>
        <w:pStyle w:val="whitespace-normal"/>
      </w:pPr>
      <w:r>
        <w:rPr>
          <w:rStyle w:val="Fett"/>
          <w:rFonts w:eastAsiaTheme="majorEastAsia"/>
          <w:rtl/>
        </w:rPr>
        <w:t>לִמְטַר הַשָּׁמַיִם תִּשְׁתֶּה־מָּיִם</w:t>
      </w:r>
      <w:r>
        <w:rPr>
          <w:rtl/>
        </w:rPr>
        <w:t xml:space="preserve"> </w:t>
      </w:r>
      <w:r>
        <w:t xml:space="preserve">ist das Prädikat: </w:t>
      </w:r>
      <w:r>
        <w:rPr>
          <w:rStyle w:val="Fett"/>
          <w:rFonts w:eastAsiaTheme="majorEastAsia"/>
          <w:rtl/>
        </w:rPr>
        <w:t>לִמְטַר הַשָּׁמַיִם</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מָטָר</w:t>
      </w:r>
      <w:r>
        <w:t xml:space="preserve">, „Regen", im Construct mit </w:t>
      </w:r>
      <w:r>
        <w:rPr>
          <w:rStyle w:val="Fett"/>
          <w:rFonts w:eastAsiaTheme="majorEastAsia"/>
          <w:rtl/>
        </w:rPr>
        <w:t>הַשָּׁמַיִם</w:t>
      </w:r>
      <w:r>
        <w:t xml:space="preserve">, Dual von </w:t>
      </w:r>
      <w:r>
        <w:rPr>
          <w:rStyle w:val="Fett"/>
          <w:rFonts w:eastAsiaTheme="majorEastAsia"/>
          <w:rtl/>
        </w:rPr>
        <w:t>שָׁמַיִם</w:t>
      </w:r>
      <w:r>
        <w:t xml:space="preserve">, „Himmel", mit Artikel), </w:t>
      </w:r>
      <w:r>
        <w:rPr>
          <w:rStyle w:val="Fett"/>
          <w:rFonts w:eastAsiaTheme="majorEastAsia"/>
          <w:rtl/>
        </w:rPr>
        <w:t>תִּשְׁתֶּה</w:t>
      </w:r>
      <w:r>
        <w:rPr>
          <w:rtl/>
        </w:rPr>
        <w:t xml:space="preserve"> </w:t>
      </w:r>
      <w:r>
        <w:t xml:space="preserve">(Qal Imperfekt, 3. Person feminin Singular von </w:t>
      </w:r>
      <w:r>
        <w:rPr>
          <w:rStyle w:val="Fett"/>
          <w:rFonts w:eastAsiaTheme="majorEastAsia"/>
          <w:rtl/>
        </w:rPr>
        <w:t>שׁתה</w:t>
      </w:r>
      <w:r>
        <w:t xml:space="preserve">, „trinken") und </w:t>
      </w:r>
      <w:r>
        <w:rPr>
          <w:rStyle w:val="Fett"/>
          <w:rFonts w:eastAsiaTheme="majorEastAsia"/>
          <w:rtl/>
        </w:rPr>
        <w:t>מָּיִם</w:t>
      </w:r>
      <w:r>
        <w:rPr>
          <w:rtl/>
        </w:rPr>
        <w:t xml:space="preserve"> </w:t>
      </w:r>
      <w:r>
        <w:t xml:space="preserve">(Plural von </w:t>
      </w:r>
      <w:r>
        <w:rPr>
          <w:rStyle w:val="Fett"/>
          <w:rFonts w:eastAsiaTheme="majorEastAsia"/>
          <w:rtl/>
        </w:rPr>
        <w:t>מַיִם</w:t>
      </w:r>
      <w:r>
        <w:t xml:space="preserve">, „Wasser", unbestimmt) als direktes Objekt. Die Präposition </w:t>
      </w:r>
      <w:r>
        <w:rPr>
          <w:rStyle w:val="Fett"/>
          <w:rFonts w:eastAsiaTheme="majorEastAsia"/>
          <w:rtl/>
        </w:rPr>
        <w:t>לְ</w:t>
      </w:r>
      <w:r>
        <w:rPr>
          <w:rtl/>
        </w:rPr>
        <w:t xml:space="preserve"> </w:t>
      </w:r>
      <w:r>
        <w:t xml:space="preserve">hat hier kausale oder instrumentale Bedeutung („durch, von"). Die Personifizierung des Landes, das Wasser „trinkt", ist poetisch und drückt die natürliche Bewässerung durch Regen aus. Der Artikel bei </w:t>
      </w:r>
      <w:r>
        <w:rPr>
          <w:rStyle w:val="Fett"/>
          <w:rFonts w:eastAsiaTheme="majorEastAsia"/>
          <w:rtl/>
        </w:rPr>
        <w:t>הַשָּׁמַיִם</w:t>
      </w:r>
      <w:r>
        <w:rPr>
          <w:rtl/>
        </w:rPr>
        <w:t xml:space="preserve"> </w:t>
      </w:r>
      <w:r>
        <w:t>ist die normale Form für „Himmel".</w:t>
      </w:r>
    </w:p>
    <w:p w14:paraId="485B9173" w14:textId="77777777" w:rsidR="00607566" w:rsidRDefault="00607566" w:rsidP="00607566">
      <w:pPr>
        <w:pStyle w:val="whitespace-normal"/>
      </w:pPr>
      <w:r>
        <w:t xml:space="preserve">Die Syntax zeigt den fundamentalen Unterschied zwischen Ägypten und Kanaan: Während Ägypten vom Nil und mühsamer menschlicher Bewässerung abhängig ist, wird Kanaan direkt durch Regen vom Himmel versorgt. Diese natürliche Bewässerung macht das Land von Gottes direkter Fürsorge abhängig (wie V. 12 betonen wird). Die Konstruktion </w:t>
      </w:r>
      <w:r>
        <w:rPr>
          <w:rStyle w:val="Fett"/>
          <w:rFonts w:eastAsiaTheme="majorEastAsia"/>
          <w:rtl/>
        </w:rPr>
        <w:t>אֶרֶץ הָרִים וּבְקָעֹת</w:t>
      </w:r>
      <w:r>
        <w:rPr>
          <w:rtl/>
        </w:rPr>
        <w:t xml:space="preserve"> </w:t>
      </w:r>
      <w:r>
        <w:t xml:space="preserve">ohne Artikel bei den Pluralformen ist normal für generische Aussagen. Der Kontrast zwischen </w:t>
      </w:r>
      <w:r>
        <w:rPr>
          <w:rStyle w:val="Fett"/>
          <w:rFonts w:eastAsiaTheme="majorEastAsia"/>
          <w:rtl/>
        </w:rPr>
        <w:t>השׁקה ברגל</w:t>
      </w:r>
      <w:r>
        <w:rPr>
          <w:rtl/>
        </w:rPr>
        <w:t xml:space="preserve"> </w:t>
      </w:r>
      <w:r>
        <w:t xml:space="preserve">(V. 10, „mit dem Fuß bewässern") und </w:t>
      </w:r>
      <w:r>
        <w:rPr>
          <w:rStyle w:val="Fett"/>
          <w:rFonts w:eastAsiaTheme="majorEastAsia"/>
          <w:rtl/>
        </w:rPr>
        <w:t>תִּשְׁתֶּה מָּיִם</w:t>
      </w:r>
      <w:r>
        <w:rPr>
          <w:rtl/>
        </w:rPr>
        <w:t xml:space="preserve"> </w:t>
      </w:r>
      <w:r>
        <w:t>(V. 11, „trinkt Wasser") ist bewusst gestaltet: aktive menschliche Anstrengung versus passive göttliche Versorgung.</w:t>
      </w:r>
    </w:p>
    <w:p w14:paraId="7BE7CCBA" w14:textId="77777777" w:rsidR="00607566" w:rsidRDefault="00607566" w:rsidP="00607566">
      <w:pPr>
        <w:pStyle w:val="whitespace-normal"/>
      </w:pPr>
      <w:r>
        <w:rPr>
          <w:rStyle w:val="Fett"/>
          <w:rFonts w:eastAsiaTheme="majorEastAsia"/>
        </w:rPr>
        <w:t>Die LXX</w:t>
      </w:r>
      <w:r>
        <w:t xml:space="preserve"> übersetzt „das Land, in das ihr hinüberzieht" mit „ἡ </w:t>
      </w:r>
      <w:proofErr w:type="spellStart"/>
      <w:r>
        <w:t>γῆ</w:t>
      </w:r>
      <w:proofErr w:type="spellEnd"/>
      <w:r>
        <w:t xml:space="preserve"> </w:t>
      </w:r>
      <w:proofErr w:type="spellStart"/>
      <w:r>
        <w:t>εἰς</w:t>
      </w:r>
      <w:proofErr w:type="spellEnd"/>
      <w:r>
        <w:t xml:space="preserve"> </w:t>
      </w:r>
      <w:proofErr w:type="spellStart"/>
      <w:r>
        <w:t>ἣν</w:t>
      </w:r>
      <w:proofErr w:type="spellEnd"/>
      <w:r>
        <w:t xml:space="preserve"> </w:t>
      </w:r>
      <w:proofErr w:type="spellStart"/>
      <w:r>
        <w:t>εἰσ</w:t>
      </w:r>
      <w:proofErr w:type="spellEnd"/>
      <w:r>
        <w:t xml:space="preserve">πορεύεσθε </w:t>
      </w:r>
      <w:proofErr w:type="spellStart"/>
      <w:r>
        <w:t>ἐκεῖ</w:t>
      </w:r>
      <w:proofErr w:type="spellEnd"/>
      <w:r>
        <w:t>" („das Land, in das ihr dort eingeht"), „ein Land mit Bergen und Tälern" mit „</w:t>
      </w:r>
      <w:proofErr w:type="spellStart"/>
      <w:r>
        <w:t>γῆ</w:t>
      </w:r>
      <w:proofErr w:type="spellEnd"/>
      <w:r>
        <w:t xml:space="preserve"> </w:t>
      </w:r>
      <w:proofErr w:type="spellStart"/>
      <w:r>
        <w:t>ὀρεινὴ</w:t>
      </w:r>
      <w:proofErr w:type="spellEnd"/>
      <w:r>
        <w:t xml:space="preserve"> καὶ π</w:t>
      </w:r>
      <w:proofErr w:type="spellStart"/>
      <w:r>
        <w:t>εδινή</w:t>
      </w:r>
      <w:proofErr w:type="spellEnd"/>
      <w:r>
        <w:t xml:space="preserve">" („bergiges und ebenes Land"), „vom Regen des Himmels" mit „ἀπὸ </w:t>
      </w:r>
      <w:proofErr w:type="spellStart"/>
      <w:r>
        <w:t>τοῦ</w:t>
      </w:r>
      <w:proofErr w:type="spellEnd"/>
      <w:r>
        <w:t xml:space="preserve"> </w:t>
      </w:r>
      <w:proofErr w:type="spellStart"/>
      <w:r>
        <w:t>ὑετοῦ</w:t>
      </w:r>
      <w:proofErr w:type="spellEnd"/>
      <w:r>
        <w:t xml:space="preserve"> </w:t>
      </w:r>
      <w:proofErr w:type="spellStart"/>
      <w:r>
        <w:t>τοῦ</w:t>
      </w:r>
      <w:proofErr w:type="spellEnd"/>
      <w:r>
        <w:t xml:space="preserve"> </w:t>
      </w:r>
      <w:proofErr w:type="spellStart"/>
      <w:r>
        <w:t>οὐρ</w:t>
      </w:r>
      <w:proofErr w:type="spellEnd"/>
      <w:r>
        <w:t>ανοῦ" und „trinkt Wasser" mit „π</w:t>
      </w:r>
      <w:proofErr w:type="spellStart"/>
      <w:r>
        <w:t>ίετ</w:t>
      </w:r>
      <w:proofErr w:type="spellEnd"/>
      <w:r>
        <w:t xml:space="preserve">αι </w:t>
      </w:r>
      <w:proofErr w:type="spellStart"/>
      <w:r>
        <w:t>ὕδωρ</w:t>
      </w:r>
      <w:proofErr w:type="spellEnd"/>
      <w:r>
        <w:t>".</w:t>
      </w:r>
    </w:p>
    <w:p w14:paraId="06A6079D" w14:textId="77777777" w:rsidR="00607566" w:rsidRDefault="00607566" w:rsidP="00607566">
      <w:pPr>
        <w:pStyle w:val="whitespace-normal"/>
      </w:pPr>
      <w:r>
        <w:t>Die Satzstruktur besteht aus einem kontrastiven Hauptsatz mit Relativsatz und Apposition: Adversatives Waw mit Subjekt (das Land), Relativsatz mit Subjekt (ihr), partizipialem Prädikat (hinüberzieht), Richtungsangabe (dorthin) und finaler Bestimmung (um es in Besitz zu nehmen); Apposition (ein Land mit Bergen und Tälern); Prädikat (trinkt), kausale/instrumentale Bestimmung (vom Regen des Himmels) und direktes Objekt (Wasser).</w:t>
      </w:r>
    </w:p>
    <w:p w14:paraId="2A7ED83F" w14:textId="77777777" w:rsidR="00607566" w:rsidRDefault="00607566" w:rsidP="00607566">
      <w:pPr>
        <w:pStyle w:val="whitespace-normal"/>
      </w:pPr>
      <w:r>
        <w:t>Der Vers kontrastiert das verheißene Land mit Ägypten: Kanaan ist topographisch vielfältig und wird durch Regen vom Himmel bewässert, nicht durch menschliche Mühe wie Ägypten.</w:t>
      </w:r>
    </w:p>
    <w:p w14:paraId="5F3AA3EE" w14:textId="77777777" w:rsidR="00607566" w:rsidRPr="00607566" w:rsidRDefault="00607566" w:rsidP="00607566">
      <w:pPr>
        <w:pStyle w:val="berschrift1"/>
        <w:rPr>
          <w:rFonts w:ascii="Times New Roman" w:hAnsi="Times New Roman"/>
          <w:b/>
          <w:bCs/>
          <w:color w:val="auto"/>
          <w:sz w:val="36"/>
          <w:szCs w:val="36"/>
        </w:rPr>
      </w:pPr>
      <w:r w:rsidRPr="00607566">
        <w:rPr>
          <w:rFonts w:ascii="Times New Roman" w:hAnsi="Times New Roman"/>
          <w:b/>
          <w:bCs/>
          <w:color w:val="auto"/>
          <w:sz w:val="36"/>
          <w:szCs w:val="36"/>
        </w:rPr>
        <w:t>Deuteronomium 11,12</w:t>
      </w:r>
    </w:p>
    <w:p w14:paraId="67AFC065" w14:textId="77777777" w:rsidR="00607566" w:rsidRDefault="00607566" w:rsidP="00607566">
      <w:pPr>
        <w:pStyle w:val="whitespace-normal"/>
      </w:pPr>
      <w:r>
        <w:rPr>
          <w:rStyle w:val="Fett"/>
          <w:rFonts w:eastAsiaTheme="majorEastAsia"/>
        </w:rPr>
        <w:t>Hebräisch:</w:t>
      </w:r>
      <w:r>
        <w:t xml:space="preserve"> </w:t>
      </w:r>
      <w:r>
        <w:rPr>
          <w:rtl/>
        </w:rPr>
        <w:t>אֶ֕רֶץ אֲשֶׁר־יְהוָ֥ה אֱלֹהֶ֖יךָ דֹּרֵ֣שׁ אֹתָ֑הּ תָּמִ֗יד עֵינֵ֨י יְהוָ֤ה אֱלֹהֶ֨יךָ֙ בָּ֔הּ מֵֽרֵשִׁית֙ הַשָּׁנָ֔ה וְעַ֖ד אַחֲרִ֥ית שָׁנָֽה׃</w:t>
      </w:r>
    </w:p>
    <w:p w14:paraId="5C74C1D9" w14:textId="77777777" w:rsidR="00607566" w:rsidRDefault="00607566" w:rsidP="00607566">
      <w:pPr>
        <w:pStyle w:val="whitespace-normal"/>
      </w:pPr>
      <w:r>
        <w:rPr>
          <w:rStyle w:val="Fett"/>
          <w:rFonts w:eastAsiaTheme="majorEastAsia"/>
        </w:rPr>
        <w:t>Deutsch:</w:t>
      </w:r>
      <w:r>
        <w:t xml:space="preserve"> Ein Land, um das der Ewige, dein Gott, sich kümmert. Beständig sind die Augen des Ewigen, deines Gottes, darauf gerichtet, vom Anfang des Jahres und bis zum Ende des Jahres.</w:t>
      </w:r>
    </w:p>
    <w:p w14:paraId="063D95E6" w14:textId="77777777" w:rsidR="00607566" w:rsidRDefault="004F5CEB" w:rsidP="00607566">
      <w:r>
        <w:rPr>
          <w:noProof/>
        </w:rPr>
        <w:lastRenderedPageBreak/>
        <w:pict w14:anchorId="13D21006">
          <v:rect id="_x0000_i1352" style="width:0;height:1.5pt" o:hralign="center" o:hrstd="t" o:hr="t" fillcolor="#a0a0a0" stroked="f"/>
        </w:pict>
      </w:r>
    </w:p>
    <w:p w14:paraId="03AC59E5" w14:textId="77777777" w:rsidR="00607566" w:rsidRDefault="00607566" w:rsidP="00607566">
      <w:pPr>
        <w:pStyle w:val="whitespace-normal"/>
      </w:pPr>
      <w:r>
        <w:rPr>
          <w:rStyle w:val="Fett"/>
          <w:rFonts w:eastAsiaTheme="majorEastAsia"/>
        </w:rPr>
        <w:t>Kommentar:</w:t>
      </w:r>
      <w:r>
        <w:t xml:space="preserve"> </w:t>
      </w:r>
      <w:r>
        <w:rPr>
          <w:rStyle w:val="Fett"/>
          <w:rFonts w:eastAsiaTheme="majorEastAsia"/>
          <w:rtl/>
        </w:rPr>
        <w:t>אֶרֶץ אֲשֶׁר־יְהוָה אֱלֹהֶיךָ דֹּרֵשׁ אֹתָהּ</w:t>
      </w:r>
      <w:r>
        <w:rPr>
          <w:rtl/>
        </w:rPr>
        <w:t xml:space="preserve"> </w:t>
      </w:r>
      <w:r>
        <w:t xml:space="preserve">ist eine Apposition zu </w:t>
      </w:r>
      <w:r>
        <w:rPr>
          <w:rStyle w:val="Fett"/>
          <w:rFonts w:eastAsiaTheme="majorEastAsia"/>
          <w:rtl/>
        </w:rPr>
        <w:t>הָאָרֶץ</w:t>
      </w:r>
      <w:r>
        <w:rPr>
          <w:rtl/>
        </w:rPr>
        <w:t xml:space="preserve"> </w:t>
      </w:r>
      <w:r>
        <w:t xml:space="preserve">aus V. 11: </w:t>
      </w:r>
      <w:r>
        <w:rPr>
          <w:rStyle w:val="Fett"/>
          <w:rFonts w:eastAsiaTheme="majorEastAsia"/>
          <w:rtl/>
        </w:rPr>
        <w:t>אֶרֶץ</w:t>
      </w:r>
      <w:r>
        <w:rPr>
          <w:rtl/>
        </w:rPr>
        <w:t xml:space="preserve"> </w:t>
      </w:r>
      <w:r>
        <w:t xml:space="preserve">mit Relativsatz </w:t>
      </w:r>
      <w:r>
        <w:rPr>
          <w:rStyle w:val="Fett"/>
          <w:rFonts w:eastAsiaTheme="majorEastAsia"/>
          <w:rtl/>
        </w:rPr>
        <w:t>אֲשֶׁר</w:t>
      </w:r>
      <w:r>
        <w:rPr>
          <w:rtl/>
        </w:rPr>
        <w:t xml:space="preserve"> </w:t>
      </w:r>
      <w:r>
        <w:t xml:space="preserve">(Relativpronomen), </w:t>
      </w:r>
      <w:r>
        <w:rPr>
          <w:rStyle w:val="Fett"/>
          <w:rFonts w:eastAsiaTheme="majorEastAsia"/>
          <w:rtl/>
        </w:rPr>
        <w:t>יְהוָה אֱלֹהֶיךָ</w:t>
      </w:r>
      <w:r>
        <w:rPr>
          <w:rtl/>
        </w:rPr>
        <w:t xml:space="preserve"> </w:t>
      </w:r>
      <w:r>
        <w:t xml:space="preserve">(Tetragramm mit Apposition </w:t>
      </w:r>
      <w:r>
        <w:rPr>
          <w:rStyle w:val="Fett"/>
          <w:rFonts w:eastAsiaTheme="majorEastAsia"/>
          <w:rtl/>
        </w:rPr>
        <w:t>אֱלֹהֶיךָ</w:t>
      </w:r>
      <w:r>
        <w:t xml:space="preserve">, Plural von </w:t>
      </w:r>
      <w:r>
        <w:rPr>
          <w:rStyle w:val="Fett"/>
          <w:rFonts w:eastAsiaTheme="majorEastAsia"/>
          <w:rtl/>
        </w:rPr>
        <w:t>אֱלֹהִים</w:t>
      </w:r>
      <w:r>
        <w:rPr>
          <w:rtl/>
        </w:rPr>
        <w:t xml:space="preserve"> </w:t>
      </w:r>
      <w:r>
        <w:t xml:space="preserve">mit Suffix 2. Person Maskulinum Singular) als Subjekt, </w:t>
      </w:r>
      <w:r>
        <w:rPr>
          <w:rStyle w:val="Fett"/>
          <w:rFonts w:eastAsiaTheme="majorEastAsia"/>
          <w:rtl/>
        </w:rPr>
        <w:t>דֹּרֵשׁ</w:t>
      </w:r>
      <w:r>
        <w:rPr>
          <w:rtl/>
        </w:rPr>
        <w:t xml:space="preserve"> </w:t>
      </w:r>
      <w:r>
        <w:t xml:space="preserve">(Qal Partizip Maskulinum Singular von </w:t>
      </w:r>
      <w:r>
        <w:rPr>
          <w:rStyle w:val="Fett"/>
          <w:rFonts w:eastAsiaTheme="majorEastAsia"/>
          <w:rtl/>
        </w:rPr>
        <w:t>דרשׁ</w:t>
      </w:r>
      <w:r>
        <w:t xml:space="preserve">, „suchen, fragen, sich kümmern um, sorgen für") und </w:t>
      </w:r>
      <w:r>
        <w:rPr>
          <w:rStyle w:val="Fett"/>
          <w:rFonts w:eastAsiaTheme="majorEastAsia"/>
          <w:rtl/>
        </w:rPr>
        <w:t>אֹתָהּ</w:t>
      </w:r>
      <w:r>
        <w:rPr>
          <w:rtl/>
        </w:rPr>
        <w:t xml:space="preserve"> </w:t>
      </w:r>
      <w:r>
        <w:t xml:space="preserve">(Objektpartikel </w:t>
      </w:r>
      <w:r>
        <w:rPr>
          <w:rStyle w:val="Fett"/>
          <w:rFonts w:eastAsiaTheme="majorEastAsia"/>
          <w:rtl/>
        </w:rPr>
        <w:t>אֵת</w:t>
      </w:r>
      <w:r>
        <w:rPr>
          <w:rtl/>
        </w:rPr>
        <w:t xml:space="preserve"> </w:t>
      </w:r>
      <w:r>
        <w:t xml:space="preserve">mit Suffix 3. Person feminin Singular) als direktes Objekt. Das Verb </w:t>
      </w:r>
      <w:r>
        <w:rPr>
          <w:rStyle w:val="Fett"/>
          <w:rFonts w:eastAsiaTheme="majorEastAsia"/>
          <w:rtl/>
        </w:rPr>
        <w:t>דרשׁ</w:t>
      </w:r>
      <w:r>
        <w:rPr>
          <w:rtl/>
        </w:rPr>
        <w:t xml:space="preserve"> </w:t>
      </w:r>
      <w:r>
        <w:t>bezeichnet hier die fürsorgliche Aufmerksamkeit Gottes für das Land. Die Partizipialform betont die kontinuierliche Fürsorge.</w:t>
      </w:r>
    </w:p>
    <w:p w14:paraId="060168A8" w14:textId="77777777" w:rsidR="00607566" w:rsidRDefault="00607566" w:rsidP="00607566">
      <w:pPr>
        <w:pStyle w:val="whitespace-normal"/>
      </w:pPr>
      <w:r>
        <w:rPr>
          <w:rStyle w:val="Fett"/>
          <w:rFonts w:eastAsiaTheme="majorEastAsia"/>
          <w:rtl/>
        </w:rPr>
        <w:t>תָּמִיד עֵינֵי יְהוָה אֱלֹהֶיךָ בָּהּ</w:t>
      </w:r>
      <w:r>
        <w:rPr>
          <w:rtl/>
        </w:rPr>
        <w:t xml:space="preserve"> </w:t>
      </w:r>
      <w:r>
        <w:t xml:space="preserve">ist ein Nominalsatz: </w:t>
      </w:r>
      <w:r>
        <w:rPr>
          <w:rStyle w:val="Fett"/>
          <w:rFonts w:eastAsiaTheme="majorEastAsia"/>
          <w:rtl/>
        </w:rPr>
        <w:t>תָּמִיד</w:t>
      </w:r>
      <w:r>
        <w:rPr>
          <w:rtl/>
        </w:rPr>
        <w:t xml:space="preserve"> </w:t>
      </w:r>
      <w:r>
        <w:t xml:space="preserve">(„beständig, kontinuierlich, immer") als temporales Adverb, </w:t>
      </w:r>
      <w:r>
        <w:rPr>
          <w:rStyle w:val="Fett"/>
          <w:rFonts w:eastAsiaTheme="majorEastAsia"/>
          <w:rtl/>
        </w:rPr>
        <w:t>עֵינֵי יְהוָה אֱלֹהֶיךָ</w:t>
      </w:r>
      <w:r>
        <w:rPr>
          <w:rtl/>
        </w:rPr>
        <w:t xml:space="preserve"> </w:t>
      </w:r>
      <w:r>
        <w:t xml:space="preserve">(Dual Construct von </w:t>
      </w:r>
      <w:r>
        <w:rPr>
          <w:rStyle w:val="Fett"/>
          <w:rFonts w:eastAsiaTheme="majorEastAsia"/>
          <w:rtl/>
        </w:rPr>
        <w:t>עַיִן</w:t>
      </w:r>
      <w:r>
        <w:t xml:space="preserve">, „Auge", mit </w:t>
      </w:r>
      <w:r>
        <w:rPr>
          <w:rStyle w:val="Fett"/>
          <w:rFonts w:eastAsiaTheme="majorEastAsia"/>
          <w:rtl/>
        </w:rPr>
        <w:t>יְהוָה אֱלֹהֶיךָ</w:t>
      </w:r>
      <w:r>
        <w:t xml:space="preserve">) als Subjekt und </w:t>
      </w:r>
      <w:r>
        <w:rPr>
          <w:rStyle w:val="Fett"/>
          <w:rFonts w:eastAsiaTheme="majorEastAsia"/>
          <w:rtl/>
        </w:rPr>
        <w:t>בָּהּ</w:t>
      </w:r>
      <w:r>
        <w:rPr>
          <w:rtl/>
        </w:rPr>
        <w:t xml:space="preserve"> </w:t>
      </w:r>
      <w:r>
        <w:t xml:space="preserve">(Präposition </w:t>
      </w:r>
      <w:r>
        <w:rPr>
          <w:rStyle w:val="Fett"/>
          <w:rFonts w:eastAsiaTheme="majorEastAsia"/>
          <w:rtl/>
        </w:rPr>
        <w:t>בְּ</w:t>
      </w:r>
      <w:r>
        <w:t xml:space="preserve">, „in, auf", mit Suffix 3. Person feminin Singular, rückverweisend auf </w:t>
      </w:r>
      <w:r>
        <w:rPr>
          <w:rStyle w:val="Fett"/>
          <w:rFonts w:eastAsiaTheme="majorEastAsia"/>
          <w:rtl/>
        </w:rPr>
        <w:t>אֶרֶץ</w:t>
      </w:r>
      <w:r>
        <w:t xml:space="preserve">) als lokale Bestimmung. Die Voranstellung von </w:t>
      </w:r>
      <w:r>
        <w:rPr>
          <w:rStyle w:val="Fett"/>
          <w:rFonts w:eastAsiaTheme="majorEastAsia"/>
          <w:rtl/>
        </w:rPr>
        <w:t>תָּמִיד</w:t>
      </w:r>
      <w:r>
        <w:rPr>
          <w:rtl/>
        </w:rPr>
        <w:t xml:space="preserve"> </w:t>
      </w:r>
      <w:r>
        <w:t>betont die Beständigkeit. Die Formulierung mit den „Augen JHWHs" ist anthropomorph und drückt Gottes aufmerksame Gegenwart und Fürsorge aus.</w:t>
      </w:r>
    </w:p>
    <w:p w14:paraId="7F18ACED" w14:textId="77777777" w:rsidR="00607566" w:rsidRDefault="00607566" w:rsidP="00607566">
      <w:pPr>
        <w:pStyle w:val="whitespace-normal"/>
      </w:pPr>
      <w:r>
        <w:rPr>
          <w:rStyle w:val="Fett"/>
          <w:rFonts w:eastAsiaTheme="majorEastAsia"/>
          <w:rtl/>
        </w:rPr>
        <w:t>מֵרֵשִׁית הַשָּׁנָה וְעַד אַחֲרִית שָׁנָה</w:t>
      </w:r>
      <w:r>
        <w:rPr>
          <w:rtl/>
        </w:rPr>
        <w:t xml:space="preserve"> </w:t>
      </w:r>
      <w:r>
        <w:t xml:space="preserve">ist eine temporale Bestimmung: </w:t>
      </w:r>
      <w:r>
        <w:rPr>
          <w:rStyle w:val="Fett"/>
          <w:rFonts w:eastAsiaTheme="majorEastAsia"/>
          <w:rtl/>
        </w:rPr>
        <w:t>מֵרֵשִׁית</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רֵאשִׁית</w:t>
      </w:r>
      <w:r>
        <w:t xml:space="preserve">, „Anfang, Beginn") im Construct mit </w:t>
      </w:r>
      <w:r>
        <w:rPr>
          <w:rStyle w:val="Fett"/>
          <w:rFonts w:eastAsiaTheme="majorEastAsia"/>
          <w:rtl/>
        </w:rPr>
        <w:t>הַשָּׁנָה</w:t>
      </w:r>
      <w:r>
        <w:rPr>
          <w:rtl/>
        </w:rPr>
        <w:t xml:space="preserve"> </w:t>
      </w:r>
      <w:r>
        <w:t>(</w:t>
      </w:r>
      <w:r>
        <w:rPr>
          <w:rStyle w:val="Fett"/>
          <w:rFonts w:eastAsiaTheme="majorEastAsia"/>
          <w:rtl/>
        </w:rPr>
        <w:t>שָׁנָה</w:t>
      </w:r>
      <w:r>
        <w:t xml:space="preserve">, „Jahr", mit Artikel), koordiniert durch </w:t>
      </w:r>
      <w:r>
        <w:rPr>
          <w:rStyle w:val="Fett"/>
          <w:rFonts w:eastAsiaTheme="majorEastAsia"/>
          <w:rtl/>
        </w:rPr>
        <w:t>וְעַד</w:t>
      </w:r>
      <w:r>
        <w:rPr>
          <w:rtl/>
        </w:rPr>
        <w:t xml:space="preserve"> </w:t>
      </w:r>
      <w:r>
        <w:t xml:space="preserve">(„und bis") mit </w:t>
      </w:r>
      <w:r>
        <w:rPr>
          <w:rStyle w:val="Fett"/>
          <w:rFonts w:eastAsiaTheme="majorEastAsia"/>
          <w:rtl/>
        </w:rPr>
        <w:t>אַחֲרִית שָׁנָה</w:t>
      </w:r>
      <w:r>
        <w:rPr>
          <w:rtl/>
        </w:rPr>
        <w:t xml:space="preserve"> </w:t>
      </w:r>
      <w:r>
        <w:t>(</w:t>
      </w:r>
      <w:r>
        <w:rPr>
          <w:rStyle w:val="Fett"/>
          <w:rFonts w:eastAsiaTheme="majorEastAsia"/>
          <w:rtl/>
        </w:rPr>
        <w:t>אַחֲרִית</w:t>
      </w:r>
      <w:r>
        <w:t xml:space="preserve">, „Ende, Schluss", im Construct mit </w:t>
      </w:r>
      <w:r>
        <w:rPr>
          <w:rStyle w:val="Fett"/>
          <w:rFonts w:eastAsiaTheme="majorEastAsia"/>
          <w:rtl/>
        </w:rPr>
        <w:t>שָׁנָה</w:t>
      </w:r>
      <w:r>
        <w:rPr>
          <w:rtl/>
        </w:rPr>
        <w:t xml:space="preserve"> </w:t>
      </w:r>
      <w:r>
        <w:t xml:space="preserve">ohne Artikel). Die Wendung </w:t>
      </w:r>
      <w:r>
        <w:rPr>
          <w:rStyle w:val="Fett"/>
          <w:rFonts w:eastAsiaTheme="majorEastAsia"/>
          <w:rtl/>
        </w:rPr>
        <w:t>מֵרֵשִׁית הַשָּׁנָה וְעַד אַחֲרִית שָׁנָה</w:t>
      </w:r>
      <w:r>
        <w:rPr>
          <w:rtl/>
        </w:rPr>
        <w:t xml:space="preserve"> </w:t>
      </w:r>
      <w:r>
        <w:t xml:space="preserve">ist ein Merismus für das ganze Jahr. Das Fehlen des Artikels bei </w:t>
      </w:r>
      <w:r>
        <w:rPr>
          <w:rStyle w:val="Fett"/>
          <w:rFonts w:eastAsiaTheme="majorEastAsia"/>
          <w:rtl/>
        </w:rPr>
        <w:t>שָׁנָה</w:t>
      </w:r>
      <w:r>
        <w:rPr>
          <w:rtl/>
        </w:rPr>
        <w:t xml:space="preserve"> </w:t>
      </w:r>
      <w:r>
        <w:t>im zweiten Glied ist stilistische Variation.</w:t>
      </w:r>
    </w:p>
    <w:p w14:paraId="70AEED44" w14:textId="77777777" w:rsidR="00607566" w:rsidRDefault="00607566" w:rsidP="00607566">
      <w:pPr>
        <w:pStyle w:val="whitespace-normal"/>
      </w:pPr>
      <w:r>
        <w:t>Die Syntax zeigt die besondere Beziehung zwischen JHWH und dem Land: Im Gegensatz zu Ägypten, das von menschlicher Bewässerung abhängt, steht Kanaan unter direkter göttlicher Aufsicht. Die zwei Sätze sind eng verbunden: Der erste beschreibt Gottes aktive Fürsorge (</w:t>
      </w:r>
      <w:r>
        <w:rPr>
          <w:rStyle w:val="Fett"/>
          <w:rFonts w:eastAsiaTheme="majorEastAsia"/>
          <w:rtl/>
        </w:rPr>
        <w:t>דֹּרֵשׁ</w:t>
      </w:r>
      <w:r>
        <w:t>), der zweite seine beständige Aufmerksamkeit (</w:t>
      </w:r>
      <w:r>
        <w:rPr>
          <w:rStyle w:val="Fett"/>
          <w:rFonts w:eastAsiaTheme="majorEastAsia"/>
          <w:rtl/>
        </w:rPr>
        <w:t>עֵינֵי</w:t>
      </w:r>
      <w:r>
        <w:rPr>
          <w:rtl/>
        </w:rPr>
        <w:t xml:space="preserve"> </w:t>
      </w:r>
      <w:r>
        <w:t xml:space="preserve">... </w:t>
      </w:r>
      <w:r>
        <w:rPr>
          <w:rStyle w:val="Fett"/>
          <w:rFonts w:eastAsiaTheme="majorEastAsia"/>
          <w:rtl/>
        </w:rPr>
        <w:t>בָּהּ</w:t>
      </w:r>
      <w:r>
        <w:t xml:space="preserve">). Die anthropomorphe Sprache („Augen") macht die göttliche Fürsorge anschaulich. Die doppelte Erwähnung von </w:t>
      </w:r>
      <w:r>
        <w:rPr>
          <w:rStyle w:val="Fett"/>
          <w:rFonts w:eastAsiaTheme="majorEastAsia"/>
          <w:rtl/>
        </w:rPr>
        <w:t>יְהוָה אֱלֹהֶיךָ</w:t>
      </w:r>
      <w:r>
        <w:rPr>
          <w:rtl/>
        </w:rPr>
        <w:t xml:space="preserve"> </w:t>
      </w:r>
      <w:r>
        <w:t>in einem Vers unterstreicht die persönliche Beziehung zwischen Gott und Volk bezüglich des Landes.</w:t>
      </w:r>
    </w:p>
    <w:p w14:paraId="530D720C" w14:textId="77777777" w:rsidR="00607566" w:rsidRDefault="00607566" w:rsidP="00607566">
      <w:pPr>
        <w:pStyle w:val="whitespace-normal"/>
      </w:pPr>
      <w:r>
        <w:t>Die Satzstruktur besteht aus einer Apposition mit Relativsatz und einem Nominalsatz mit temporaler Bestimmung: Apposition (ein Land), Relativsatz mit Subjekt (JHWH, dein Gott), partizipialem Prädikat (sich kümmert) und direktem Objekt (um es); Nominalsatz mit vorangestelltem temporalem Adverb (beständig), Subjekt (die Augen JHWHs, deines Gottes), lokaler Bestimmung (darauf) und temporaler Bestimmung (vom Anfang des Jahres bis zum Ende des Jahres).</w:t>
      </w:r>
    </w:p>
    <w:p w14:paraId="45DD1B5D" w14:textId="77777777" w:rsidR="00607566" w:rsidRDefault="00607566" w:rsidP="00607566">
      <w:pPr>
        <w:pStyle w:val="whitespace-normal"/>
      </w:pPr>
      <w:r>
        <w:t>Der Vers begründet die Besonderheit des verheißenen Landes: Es steht das ganze Jahr über unter JHWHs fürsorglicher Aufsicht, was es von Ägypten grundlegend unterscheidet und seine Abhängigkeit von göttlichem Segen betont.</w:t>
      </w:r>
    </w:p>
    <w:p w14:paraId="0EF2E0AD" w14:textId="77777777" w:rsidR="007F3E46" w:rsidRPr="007F3E46" w:rsidRDefault="007F3E46" w:rsidP="007F3E46">
      <w:pPr>
        <w:pStyle w:val="berschrift1"/>
        <w:rPr>
          <w:rFonts w:ascii="Times New Roman" w:hAnsi="Times New Roman"/>
          <w:color w:val="auto"/>
          <w:sz w:val="36"/>
          <w:szCs w:val="36"/>
        </w:rPr>
      </w:pPr>
      <w:r w:rsidRPr="007F3E46">
        <w:rPr>
          <w:rStyle w:val="Fett"/>
          <w:rFonts w:ascii="Times New Roman" w:hAnsi="Times New Roman"/>
          <w:color w:val="auto"/>
          <w:sz w:val="36"/>
          <w:szCs w:val="36"/>
        </w:rPr>
        <w:t>Deuteronomium 11,13</w:t>
      </w:r>
    </w:p>
    <w:p w14:paraId="16A207BF" w14:textId="77777777" w:rsidR="007F3E46" w:rsidRDefault="007F3E46" w:rsidP="007F3E46">
      <w:pPr>
        <w:pStyle w:val="whitespace-normal"/>
      </w:pPr>
      <w:r>
        <w:rPr>
          <w:rStyle w:val="Fett"/>
          <w:rFonts w:eastAsiaTheme="majorEastAsia"/>
        </w:rPr>
        <w:t>Hebräisch:</w:t>
      </w:r>
      <w:r>
        <w:t xml:space="preserve"> </w:t>
      </w:r>
      <w:r>
        <w:rPr>
          <w:rtl/>
        </w:rPr>
        <w:t>וְהָיָ֗ה אִם־שָׁמֹ֤עַ תִּשְׁמְעוּ֙ אֶל־מִצְוֹתַ֔י אֲשֶׁ֧ר אָנֹכִ֛י מְצַוֶּ֥ה אֶתְכֶ֖ם הַיּ֑וֹם לְאַהֲבָ֞ה אֶת־יְהוָ֤ה אֱלֹֽהֵיכֶם֙ וּלְעָבְדֹ֔ו בְּכָל־לְבַבְכֶ֖ם וּבְכָל־נַפְשְׁכֶֽם׃</w:t>
      </w:r>
    </w:p>
    <w:p w14:paraId="610FD505" w14:textId="77777777" w:rsidR="007F3E46" w:rsidRDefault="007F3E46" w:rsidP="007F3E46">
      <w:pPr>
        <w:pStyle w:val="whitespace-normal"/>
      </w:pPr>
      <w:r>
        <w:rPr>
          <w:rStyle w:val="Fett"/>
          <w:rFonts w:eastAsiaTheme="majorEastAsia"/>
        </w:rPr>
        <w:lastRenderedPageBreak/>
        <w:t>Deutsch:</w:t>
      </w:r>
      <w:r>
        <w:t xml:space="preserve"> Und es wird geschehen, wenn ihr gewiss auf meine Gebote hört, die ich euch heute gebiete, den Ewigen, euren Gott, zu lieben und ihm zu dienen mit eurem ganzen Herzen und mit eurer ganzen Seele,</w:t>
      </w:r>
    </w:p>
    <w:p w14:paraId="376C0838" w14:textId="77777777" w:rsidR="007F3E46" w:rsidRDefault="004F5CEB" w:rsidP="007F3E46">
      <w:r>
        <w:rPr>
          <w:noProof/>
        </w:rPr>
        <w:pict w14:anchorId="2768BA4F">
          <v:rect id="_x0000_i1353" style="width:0;height:1.5pt" o:hralign="center" o:hrstd="t" o:hr="t" fillcolor="#a0a0a0" stroked="f"/>
        </w:pict>
      </w:r>
    </w:p>
    <w:p w14:paraId="4684194C" w14:textId="77777777" w:rsidR="007F3E46" w:rsidRDefault="007F3E46" w:rsidP="007F3E46">
      <w:pPr>
        <w:pStyle w:val="whitespace-normal"/>
      </w:pPr>
      <w:r>
        <w:rPr>
          <w:rStyle w:val="Fett"/>
          <w:rFonts w:eastAsiaTheme="majorEastAsia"/>
        </w:rPr>
        <w:t>Kommentar:</w:t>
      </w:r>
      <w:r>
        <w:t xml:space="preserve"> </w:t>
      </w:r>
      <w:r>
        <w:rPr>
          <w:rStyle w:val="Fett"/>
          <w:rFonts w:eastAsiaTheme="majorEastAsia"/>
          <w:rtl/>
        </w:rPr>
        <w:t>וְהָיָה</w:t>
      </w:r>
      <w:r>
        <w:rPr>
          <w:rtl/>
        </w:rPr>
        <w:t xml:space="preserve"> </w:t>
      </w:r>
      <w:r>
        <w:t xml:space="preserve">ist Qal Perfekt, 3. Person Maskulinum Singular von </w:t>
      </w:r>
      <w:r>
        <w:rPr>
          <w:rStyle w:val="Fett"/>
          <w:rFonts w:eastAsiaTheme="majorEastAsia"/>
          <w:rtl/>
        </w:rPr>
        <w:t>היה</w:t>
      </w:r>
      <w:r>
        <w:rPr>
          <w:rtl/>
        </w:rPr>
        <w:t xml:space="preserve"> </w:t>
      </w:r>
      <w:r>
        <w:t xml:space="preserve">(„sein, werden, geschehen") mit </w:t>
      </w:r>
      <w:r>
        <w:rPr>
          <w:rStyle w:val="Fett"/>
          <w:rFonts w:eastAsiaTheme="majorEastAsia"/>
        </w:rPr>
        <w:t>Waw</w:t>
      </w:r>
      <w:r>
        <w:t xml:space="preserve"> copulativum, das hier eine konditionale Konstruktion einleitet („und es wird geschehen, wenn"). Diese Formel </w:t>
      </w:r>
      <w:r>
        <w:rPr>
          <w:rStyle w:val="Fett"/>
          <w:rFonts w:eastAsiaTheme="majorEastAsia"/>
          <w:rtl/>
        </w:rPr>
        <w:t>וְהָיָה אִם</w:t>
      </w:r>
      <w:r>
        <w:rPr>
          <w:rtl/>
        </w:rPr>
        <w:t xml:space="preserve"> </w:t>
      </w:r>
      <w:r>
        <w:t xml:space="preserve">ist charakteristisch für deuteronomische Bundesbedingungen und leitet Segen-Fluch-Abschnitte ein. </w:t>
      </w:r>
      <w:r>
        <w:rPr>
          <w:rStyle w:val="Fett"/>
          <w:rFonts w:eastAsiaTheme="majorEastAsia"/>
          <w:rtl/>
        </w:rPr>
        <w:t>אִם־שָׁמֹעַ תִּשְׁמְעוּ</w:t>
      </w:r>
      <w:r>
        <w:rPr>
          <w:rtl/>
        </w:rPr>
        <w:t xml:space="preserve"> </w:t>
      </w:r>
      <w:r>
        <w:t xml:space="preserve">ist eine emphatische Konstruktion: </w:t>
      </w:r>
      <w:r>
        <w:rPr>
          <w:rStyle w:val="Fett"/>
          <w:rFonts w:eastAsiaTheme="majorEastAsia"/>
          <w:rtl/>
        </w:rPr>
        <w:t>אִם</w:t>
      </w:r>
      <w:r>
        <w:rPr>
          <w:rtl/>
        </w:rPr>
        <w:t xml:space="preserve"> </w:t>
      </w:r>
      <w:r>
        <w:t xml:space="preserve">(„wenn") als konditionale Konjunktion, </w:t>
      </w:r>
      <w:r>
        <w:rPr>
          <w:rStyle w:val="Fett"/>
          <w:rFonts w:eastAsiaTheme="majorEastAsia"/>
          <w:rtl/>
        </w:rPr>
        <w:t>שָׁמֹעַ</w:t>
      </w:r>
      <w:r>
        <w:rPr>
          <w:rtl/>
        </w:rPr>
        <w:t xml:space="preserve"> </w:t>
      </w:r>
      <w:r>
        <w:t xml:space="preserve">(Qal Infinitiv Absolut von </w:t>
      </w:r>
      <w:r>
        <w:rPr>
          <w:rStyle w:val="Fett"/>
          <w:rFonts w:eastAsiaTheme="majorEastAsia"/>
          <w:rtl/>
        </w:rPr>
        <w:t>שׁמע</w:t>
      </w:r>
      <w:r>
        <w:t xml:space="preserve">, „hören, gehorchen") und </w:t>
      </w:r>
      <w:r>
        <w:rPr>
          <w:rStyle w:val="Fett"/>
          <w:rFonts w:eastAsiaTheme="majorEastAsia"/>
          <w:rtl/>
        </w:rPr>
        <w:t>תִּשְׁמְעוּ</w:t>
      </w:r>
      <w:r>
        <w:rPr>
          <w:rtl/>
        </w:rPr>
        <w:t xml:space="preserve"> </w:t>
      </w:r>
      <w:r>
        <w:t xml:space="preserve">(Qal Imperfekt, 2. Person Maskulinum Plural von </w:t>
      </w:r>
      <w:r>
        <w:rPr>
          <w:rStyle w:val="Fett"/>
          <w:rFonts w:eastAsiaTheme="majorEastAsia"/>
          <w:rtl/>
        </w:rPr>
        <w:t>שׁמע</w:t>
      </w:r>
      <w:r>
        <w:t>). Die Kombination von Infinitiv Absolut und finitem Verb drückt Emphase oder Intensität aus („gewiss hören, wirklich gehorchen"). Diese figura etymologica verstärkt die Dringlichkeit der Bedingung.</w:t>
      </w:r>
    </w:p>
    <w:p w14:paraId="54CB40FD" w14:textId="77777777" w:rsidR="007F3E46" w:rsidRDefault="007F3E46" w:rsidP="007F3E46">
      <w:pPr>
        <w:pStyle w:val="whitespace-normal"/>
      </w:pPr>
      <w:r>
        <w:rPr>
          <w:rStyle w:val="Fett"/>
          <w:rFonts w:eastAsiaTheme="majorEastAsia"/>
          <w:rtl/>
        </w:rPr>
        <w:t>אֶל־מִצְוֹתַי</w:t>
      </w:r>
      <w:r>
        <w:rPr>
          <w:rtl/>
        </w:rPr>
        <w:t xml:space="preserve"> </w:t>
      </w:r>
      <w:r>
        <w:t xml:space="preserve">ist eine präpositionale Bestimmung: </w:t>
      </w:r>
      <w:r>
        <w:rPr>
          <w:rStyle w:val="Fett"/>
          <w:rFonts w:eastAsiaTheme="majorEastAsia"/>
          <w:rtl/>
        </w:rPr>
        <w:t>אֶל</w:t>
      </w:r>
      <w:r>
        <w:rPr>
          <w:rtl/>
        </w:rPr>
        <w:t xml:space="preserve"> </w:t>
      </w:r>
      <w:r>
        <w:t xml:space="preserve">(„zu, auf, gegen") mit </w:t>
      </w:r>
      <w:r>
        <w:rPr>
          <w:rStyle w:val="Fett"/>
          <w:rFonts w:eastAsiaTheme="majorEastAsia"/>
          <w:rtl/>
        </w:rPr>
        <w:t>מִצְוָה</w:t>
      </w:r>
      <w:r>
        <w:rPr>
          <w:rtl/>
        </w:rPr>
        <w:t xml:space="preserve"> </w:t>
      </w:r>
      <w:r>
        <w:t xml:space="preserve">(Plural von </w:t>
      </w:r>
      <w:r>
        <w:rPr>
          <w:rStyle w:val="Fett"/>
          <w:rFonts w:eastAsiaTheme="majorEastAsia"/>
          <w:rtl/>
        </w:rPr>
        <w:t>מִצְוָה</w:t>
      </w:r>
      <w:r>
        <w:t xml:space="preserve">, „Gebot", mit Suffix 1. Person Singular). Die Präposition </w:t>
      </w:r>
      <w:r>
        <w:rPr>
          <w:rStyle w:val="Fett"/>
          <w:rFonts w:eastAsiaTheme="majorEastAsia"/>
          <w:rtl/>
        </w:rPr>
        <w:t>אֶל</w:t>
      </w:r>
      <w:r>
        <w:rPr>
          <w:rtl/>
        </w:rPr>
        <w:t xml:space="preserve"> </w:t>
      </w:r>
      <w:r>
        <w:t xml:space="preserve">mit </w:t>
      </w:r>
      <w:r>
        <w:rPr>
          <w:rStyle w:val="Fett"/>
          <w:rFonts w:eastAsiaTheme="majorEastAsia"/>
          <w:rtl/>
        </w:rPr>
        <w:t>שׁמע</w:t>
      </w:r>
      <w:r>
        <w:rPr>
          <w:rtl/>
        </w:rPr>
        <w:t xml:space="preserve"> </w:t>
      </w:r>
      <w:r>
        <w:t xml:space="preserve">bedeutet „auf etwas hören, einer Sache Gehör schenken". Das Suffix 1. Person Singular identifiziert die Gebote als von Mose vermittelt. </w:t>
      </w:r>
      <w:r>
        <w:rPr>
          <w:rStyle w:val="Fett"/>
          <w:rFonts w:eastAsiaTheme="majorEastAsia"/>
          <w:rtl/>
        </w:rPr>
        <w:t>אֲשֶׁר אָנֹכִי מְצַוֶּה אֶתְכֶם הַיּוֹם</w:t>
      </w:r>
      <w:r>
        <w:rPr>
          <w:rtl/>
        </w:rPr>
        <w:t xml:space="preserve"> </w:t>
      </w:r>
      <w:r>
        <w:t xml:space="preserve">ist ein Relativsatz: </w:t>
      </w:r>
      <w:r>
        <w:rPr>
          <w:rStyle w:val="Fett"/>
          <w:rFonts w:eastAsiaTheme="majorEastAsia"/>
          <w:rtl/>
        </w:rPr>
        <w:t>אֲשֶׁר</w:t>
      </w:r>
      <w:r>
        <w:rPr>
          <w:rtl/>
        </w:rPr>
        <w:t xml:space="preserve"> </w:t>
      </w:r>
      <w:r>
        <w:t xml:space="preserve">(Relativpronomen) mit </w:t>
      </w:r>
      <w:r>
        <w:rPr>
          <w:rStyle w:val="Fett"/>
          <w:rFonts w:eastAsiaTheme="majorEastAsia"/>
          <w:rtl/>
        </w:rPr>
        <w:t>אָנֹכִי</w:t>
      </w:r>
      <w:r>
        <w:rPr>
          <w:rtl/>
        </w:rPr>
        <w:t xml:space="preserve"> </w:t>
      </w:r>
      <w:r>
        <w:t xml:space="preserve">(emphatisches Personalpronomen 1. Person Singular) als Subjekt, </w:t>
      </w:r>
      <w:r>
        <w:rPr>
          <w:rStyle w:val="Fett"/>
          <w:rFonts w:eastAsiaTheme="majorEastAsia"/>
          <w:rtl/>
        </w:rPr>
        <w:t>מְצַוֶּה</w:t>
      </w:r>
      <w:r>
        <w:rPr>
          <w:rtl/>
        </w:rPr>
        <w:t xml:space="preserve"> </w:t>
      </w:r>
      <w:r>
        <w:t xml:space="preserve">(Piel Partizip Maskulinum Singular von </w:t>
      </w:r>
      <w:r>
        <w:rPr>
          <w:rStyle w:val="Fett"/>
          <w:rFonts w:eastAsiaTheme="majorEastAsia"/>
          <w:rtl/>
        </w:rPr>
        <w:t>צוה</w:t>
      </w:r>
      <w:r>
        <w:t xml:space="preserve">, „befehlen, gebieten") als Prädikat, </w:t>
      </w:r>
      <w:r>
        <w:rPr>
          <w:rStyle w:val="Fett"/>
          <w:rFonts w:eastAsiaTheme="majorEastAsia"/>
          <w:rtl/>
        </w:rPr>
        <w:t>אֶתְכֶם</w:t>
      </w:r>
      <w:r>
        <w:rPr>
          <w:rtl/>
        </w:rPr>
        <w:t xml:space="preserve"> </w:t>
      </w:r>
      <w:r>
        <w:t xml:space="preserve">(Objektpartikel </w:t>
      </w:r>
      <w:r>
        <w:rPr>
          <w:rStyle w:val="Fett"/>
          <w:rFonts w:eastAsiaTheme="majorEastAsia"/>
          <w:rtl/>
        </w:rPr>
        <w:t>אֵת</w:t>
      </w:r>
      <w:r>
        <w:rPr>
          <w:rtl/>
        </w:rPr>
        <w:t xml:space="preserve"> </w:t>
      </w:r>
      <w:r>
        <w:t xml:space="preserve">mit Suffix 2. Person Maskulinum Plural) als direktes Objekt und </w:t>
      </w:r>
      <w:r>
        <w:rPr>
          <w:rStyle w:val="Fett"/>
          <w:rFonts w:eastAsiaTheme="majorEastAsia"/>
          <w:rtl/>
        </w:rPr>
        <w:t>הַיּוֹם</w:t>
      </w:r>
      <w:r>
        <w:rPr>
          <w:rtl/>
        </w:rPr>
        <w:t xml:space="preserve"> </w:t>
      </w:r>
      <w:r>
        <w:t>(„heute") als temporales Adverb. Das Partizip betont die gegenwärtige, andauernde Gültigkeit der Gebote.</w:t>
      </w:r>
    </w:p>
    <w:p w14:paraId="14891596" w14:textId="77777777" w:rsidR="007F3E46" w:rsidRDefault="007F3E46" w:rsidP="007F3E46">
      <w:pPr>
        <w:pStyle w:val="whitespace-normal"/>
      </w:pPr>
      <w:r>
        <w:rPr>
          <w:rStyle w:val="Fett"/>
          <w:rFonts w:eastAsiaTheme="majorEastAsia"/>
          <w:rtl/>
        </w:rPr>
        <w:t>לְאַהֲבָה אֶת־יְהוָה אֱלֹהֵיכֶם</w:t>
      </w:r>
      <w:r>
        <w:rPr>
          <w:rtl/>
        </w:rPr>
        <w:t xml:space="preserve"> </w:t>
      </w:r>
      <w:r>
        <w:t xml:space="preserve">ist eine finale Bestimmung, die den Inhalt der Gebote spezifiziert: </w:t>
      </w:r>
      <w:r>
        <w:rPr>
          <w:rStyle w:val="Fett"/>
          <w:rFonts w:eastAsiaTheme="majorEastAsia"/>
          <w:rtl/>
        </w:rPr>
        <w:t>לְ</w:t>
      </w:r>
      <w:r>
        <w:rPr>
          <w:rtl/>
        </w:rPr>
        <w:t xml:space="preserve"> </w:t>
      </w:r>
      <w:r>
        <w:t xml:space="preserve">mit </w:t>
      </w:r>
      <w:r>
        <w:rPr>
          <w:rStyle w:val="Fett"/>
          <w:rFonts w:eastAsiaTheme="majorEastAsia"/>
          <w:rtl/>
        </w:rPr>
        <w:t>אַהֲבָה</w:t>
      </w:r>
      <w:r>
        <w:rPr>
          <w:rtl/>
        </w:rPr>
        <w:t xml:space="preserve"> </w:t>
      </w:r>
      <w:r>
        <w:t xml:space="preserve">(Qal Infinitiv Construct von </w:t>
      </w:r>
      <w:r>
        <w:rPr>
          <w:rStyle w:val="Fett"/>
          <w:rFonts w:eastAsiaTheme="majorEastAsia"/>
          <w:rtl/>
        </w:rPr>
        <w:t>אהב</w:t>
      </w:r>
      <w:r>
        <w:t xml:space="preserve">, „lieben"), </w:t>
      </w:r>
      <w:r>
        <w:rPr>
          <w:rStyle w:val="Fett"/>
          <w:rFonts w:eastAsiaTheme="majorEastAsia"/>
          <w:rtl/>
        </w:rPr>
        <w:t>אֶת־יְהוָה אֱלֹהֵיכֶם</w:t>
      </w:r>
      <w:r>
        <w:rPr>
          <w:rtl/>
        </w:rPr>
        <w:t xml:space="preserve"> </w:t>
      </w:r>
      <w:r>
        <w:t xml:space="preserve">(Objektpartikel </w:t>
      </w:r>
      <w:r>
        <w:rPr>
          <w:rStyle w:val="Fett"/>
          <w:rFonts w:eastAsiaTheme="majorEastAsia"/>
          <w:rtl/>
        </w:rPr>
        <w:t>אֵת</w:t>
      </w:r>
      <w:r>
        <w:rPr>
          <w:rtl/>
        </w:rPr>
        <w:t xml:space="preserve"> </w:t>
      </w:r>
      <w:r>
        <w:t xml:space="preserve">mit Tetragramm und Apposition </w:t>
      </w:r>
      <w:r>
        <w:rPr>
          <w:rStyle w:val="Fett"/>
          <w:rFonts w:eastAsiaTheme="majorEastAsia"/>
          <w:rtl/>
        </w:rPr>
        <w:t>אֱלֹהֵיכֶם</w:t>
      </w:r>
      <w:r>
        <w:t xml:space="preserve">, Plural von </w:t>
      </w:r>
      <w:r>
        <w:rPr>
          <w:rStyle w:val="Fett"/>
          <w:rFonts w:eastAsiaTheme="majorEastAsia"/>
          <w:rtl/>
        </w:rPr>
        <w:t>אֱלֹהִים</w:t>
      </w:r>
      <w:r>
        <w:rPr>
          <w:rtl/>
        </w:rPr>
        <w:t xml:space="preserve"> </w:t>
      </w:r>
      <w:r>
        <w:t xml:space="preserve">mit Suffix 2. Person Maskulinum Plural) als direktes Objekt des Infinitivs. Die Gottesliebe ist das Zentrum der deuteronomischen Theologie und wird hier als Kern des Gehorsams genannt (vgl. 6,5; 10,12; 11,1). </w:t>
      </w:r>
      <w:r>
        <w:rPr>
          <w:rStyle w:val="Fett"/>
          <w:rFonts w:eastAsiaTheme="majorEastAsia"/>
          <w:rtl/>
        </w:rPr>
        <w:t>וּלְעָבְדוֹ</w:t>
      </w:r>
      <w:r>
        <w:rPr>
          <w:rtl/>
        </w:rPr>
        <w:t xml:space="preserve"> </w:t>
      </w:r>
      <w:r>
        <w:t xml:space="preserve">ist koordiniert: </w:t>
      </w:r>
      <w:r>
        <w:rPr>
          <w:rStyle w:val="Fett"/>
          <w:rFonts w:eastAsiaTheme="majorEastAsia"/>
          <w:rtl/>
        </w:rPr>
        <w:t>וּלְ</w:t>
      </w:r>
      <w:r>
        <w:rPr>
          <w:rtl/>
        </w:rPr>
        <w:t xml:space="preserve"> </w:t>
      </w:r>
      <w:r>
        <w:t xml:space="preserve">mit </w:t>
      </w:r>
      <w:r>
        <w:rPr>
          <w:rStyle w:val="Fett"/>
          <w:rFonts w:eastAsiaTheme="majorEastAsia"/>
          <w:rtl/>
        </w:rPr>
        <w:t>עָבַד</w:t>
      </w:r>
      <w:r>
        <w:rPr>
          <w:rtl/>
        </w:rPr>
        <w:t xml:space="preserve"> </w:t>
      </w:r>
      <w:r>
        <w:t xml:space="preserve">(Qal Infinitiv Construct von </w:t>
      </w:r>
      <w:r>
        <w:rPr>
          <w:rStyle w:val="Fett"/>
          <w:rFonts w:eastAsiaTheme="majorEastAsia"/>
          <w:rtl/>
        </w:rPr>
        <w:t>עבד</w:t>
      </w:r>
      <w:r>
        <w:t>, „dienen, arbeiten") und Suffix 3. Person Maskulinum Singular. Der Dienst für JHWH folgt aus der Liebe zu ihm.</w:t>
      </w:r>
    </w:p>
    <w:p w14:paraId="6A0DCFA4" w14:textId="77777777" w:rsidR="007F3E46" w:rsidRDefault="007F3E46" w:rsidP="007F3E46">
      <w:pPr>
        <w:pStyle w:val="whitespace-normal"/>
      </w:pPr>
      <w:r>
        <w:rPr>
          <w:rStyle w:val="Fett"/>
          <w:rFonts w:eastAsiaTheme="majorEastAsia"/>
          <w:rtl/>
        </w:rPr>
        <w:t>בְּכָל־לְבַבְכֶם וּבְכָל־נַפְשְׁכֶם</w:t>
      </w:r>
      <w:r>
        <w:rPr>
          <w:rtl/>
        </w:rPr>
        <w:t xml:space="preserve"> </w:t>
      </w:r>
      <w:r>
        <w:t xml:space="preserve">ist eine doppelte modale Bestimmung: </w:t>
      </w:r>
      <w:r>
        <w:rPr>
          <w:rStyle w:val="Fett"/>
          <w:rFonts w:eastAsiaTheme="majorEastAsia"/>
          <w:rtl/>
        </w:rPr>
        <w:t>בְּכָל־לְבַבְכֶם</w:t>
      </w:r>
      <w:r>
        <w:rPr>
          <w:rtl/>
        </w:rPr>
        <w:t xml:space="preserve"> </w:t>
      </w:r>
      <w:r>
        <w:t xml:space="preserve">(Präposition </w:t>
      </w:r>
      <w:r>
        <w:rPr>
          <w:rStyle w:val="Fett"/>
          <w:rFonts w:eastAsiaTheme="majorEastAsia"/>
          <w:rtl/>
        </w:rPr>
        <w:t>בְּ</w:t>
      </w:r>
      <w:r>
        <w:t xml:space="preserve">, „mit", mit </w:t>
      </w:r>
      <w:r>
        <w:rPr>
          <w:rStyle w:val="Fett"/>
          <w:rFonts w:eastAsiaTheme="majorEastAsia"/>
          <w:rtl/>
        </w:rPr>
        <w:t>כֹּל</w:t>
      </w:r>
      <w:r>
        <w:t xml:space="preserve">, „ganz, all", im Construct mit </w:t>
      </w:r>
      <w:r>
        <w:rPr>
          <w:rStyle w:val="Fett"/>
          <w:rFonts w:eastAsiaTheme="majorEastAsia"/>
          <w:rtl/>
        </w:rPr>
        <w:t>לֵבָב</w:t>
      </w:r>
      <w:r>
        <w:t xml:space="preserve">, „Herz", Plural mit Suffix 2. Person Maskulinum Plural), koordiniert durch </w:t>
      </w:r>
      <w:r>
        <w:rPr>
          <w:rStyle w:val="Fett"/>
          <w:rFonts w:eastAsiaTheme="majorEastAsia"/>
          <w:rtl/>
        </w:rPr>
        <w:t>וּבְ</w:t>
      </w:r>
      <w:r>
        <w:rPr>
          <w:rtl/>
        </w:rPr>
        <w:t xml:space="preserve"> </w:t>
      </w:r>
      <w:r>
        <w:t xml:space="preserve">mit </w:t>
      </w:r>
      <w:r>
        <w:rPr>
          <w:rStyle w:val="Fett"/>
          <w:rFonts w:eastAsiaTheme="majorEastAsia"/>
          <w:rtl/>
        </w:rPr>
        <w:t>כָּל־נַפְשְׁכֶם</w:t>
      </w:r>
      <w:r>
        <w:rPr>
          <w:rtl/>
        </w:rPr>
        <w:t xml:space="preserve"> </w:t>
      </w:r>
      <w:r>
        <w:t>(</w:t>
      </w:r>
      <w:r>
        <w:rPr>
          <w:rStyle w:val="Fett"/>
          <w:rFonts w:eastAsiaTheme="majorEastAsia"/>
          <w:rtl/>
        </w:rPr>
        <w:t>נֶפֶשׁ</w:t>
      </w:r>
      <w:r>
        <w:t xml:space="preserve">, „Seele, Leben, Person", Plural mit Suffix 2. Person Maskulinum Plural). Die Wendung </w:t>
      </w:r>
      <w:r>
        <w:rPr>
          <w:rStyle w:val="Fett"/>
          <w:rFonts w:eastAsiaTheme="majorEastAsia"/>
          <w:rtl/>
        </w:rPr>
        <w:t>בְּכָל־לֵבָב וּבְכָל־נֶפֶשׁ</w:t>
      </w:r>
      <w:r>
        <w:rPr>
          <w:rtl/>
        </w:rPr>
        <w:t xml:space="preserve"> </w:t>
      </w:r>
      <w:r>
        <w:t>drückt Totalität und Ausschließlichkeit der Hingabe aus: Liebe und Dienst sollen die gesamte Person umfassen, intellektuell-emotional (</w:t>
      </w:r>
      <w:r>
        <w:rPr>
          <w:rStyle w:val="Fett"/>
          <w:rFonts w:eastAsiaTheme="majorEastAsia"/>
          <w:rtl/>
        </w:rPr>
        <w:t>לֵבָב</w:t>
      </w:r>
      <w:r>
        <w:t>) und vital-existenziell (</w:t>
      </w:r>
      <w:r>
        <w:rPr>
          <w:rStyle w:val="Fett"/>
          <w:rFonts w:eastAsiaTheme="majorEastAsia"/>
          <w:rtl/>
        </w:rPr>
        <w:t>נֶפֶשׁ</w:t>
      </w:r>
      <w:r>
        <w:t>). Diese Formel erscheint häufig im Deuteronomium (6,5; 10,12; 13,4; 26,16; 30,2.6.10) und betont die ungeteilte Loyalität zu JHWH.</w:t>
      </w:r>
    </w:p>
    <w:p w14:paraId="2EE3B09A" w14:textId="77777777" w:rsidR="007F3E46" w:rsidRDefault="007F3E46" w:rsidP="007F3E46">
      <w:pPr>
        <w:pStyle w:val="whitespace-normal"/>
      </w:pPr>
      <w:r>
        <w:t xml:space="preserve">Die Syntax zeigt eine klassische Bundesstruktur: Die konditionale Einleitung </w:t>
      </w:r>
      <w:r>
        <w:rPr>
          <w:rStyle w:val="Fett"/>
          <w:rFonts w:eastAsiaTheme="majorEastAsia"/>
          <w:rtl/>
        </w:rPr>
        <w:t>וְהָיָה אִם</w:t>
      </w:r>
      <w:r>
        <w:rPr>
          <w:rtl/>
        </w:rPr>
        <w:t xml:space="preserve"> </w:t>
      </w:r>
      <w:r>
        <w:t xml:space="preserve">markiert den Protasis (Bedingung), deren Apodosis (Folge) in V. 14 folgt. Die emphatische Konstruktion </w:t>
      </w:r>
      <w:r>
        <w:rPr>
          <w:rStyle w:val="Fett"/>
          <w:rFonts w:eastAsiaTheme="majorEastAsia"/>
          <w:rtl/>
        </w:rPr>
        <w:t>שָׁמֹעַ תִּשְׁמְעוּ</w:t>
      </w:r>
      <w:r>
        <w:rPr>
          <w:rtl/>
        </w:rPr>
        <w:t xml:space="preserve"> </w:t>
      </w:r>
      <w:r>
        <w:t xml:space="preserve">unterstreicht die Dringlichkeit des Gehorsams. Die beiden finalen Infinitive </w:t>
      </w:r>
      <w:r>
        <w:rPr>
          <w:rStyle w:val="Fett"/>
          <w:rFonts w:eastAsiaTheme="majorEastAsia"/>
          <w:rtl/>
        </w:rPr>
        <w:t>לְאַהֲבָה</w:t>
      </w:r>
      <w:r>
        <w:rPr>
          <w:rtl/>
        </w:rPr>
        <w:t xml:space="preserve"> </w:t>
      </w:r>
      <w:r>
        <w:t xml:space="preserve">und </w:t>
      </w:r>
      <w:r>
        <w:rPr>
          <w:rStyle w:val="Fett"/>
          <w:rFonts w:eastAsiaTheme="majorEastAsia"/>
          <w:rtl/>
        </w:rPr>
        <w:t>לְעָבְדוֹ</w:t>
      </w:r>
      <w:r>
        <w:rPr>
          <w:rtl/>
        </w:rPr>
        <w:t xml:space="preserve"> </w:t>
      </w:r>
      <w:r>
        <w:t xml:space="preserve">definieren den Inhalt des Gehorsams präzise: nicht äußerliche Befolgung, sondern innere Hingabe und aktiver Dienst. Die doppelte Bestimmung </w:t>
      </w:r>
      <w:r>
        <w:rPr>
          <w:rStyle w:val="Fett"/>
          <w:rFonts w:eastAsiaTheme="majorEastAsia"/>
          <w:rtl/>
        </w:rPr>
        <w:t>בְּכָל־לְבַבְכֶם וּבְכָל־נַפְשְׁכֶם</w:t>
      </w:r>
      <w:r>
        <w:rPr>
          <w:rtl/>
        </w:rPr>
        <w:t xml:space="preserve"> </w:t>
      </w:r>
      <w:r>
        <w:t xml:space="preserve">intensiviert die Forderung nach totaler Hingabe. Der Wechsel vom Singular </w:t>
      </w:r>
      <w:r>
        <w:rPr>
          <w:rStyle w:val="Fett"/>
          <w:rFonts w:eastAsiaTheme="majorEastAsia"/>
          <w:rtl/>
        </w:rPr>
        <w:t>מִצְוֹתַי</w:t>
      </w:r>
      <w:r>
        <w:rPr>
          <w:rtl/>
        </w:rPr>
        <w:t xml:space="preserve"> </w:t>
      </w:r>
      <w:r>
        <w:lastRenderedPageBreak/>
        <w:t xml:space="preserve">(meine Gebote) zu </w:t>
      </w:r>
      <w:r>
        <w:rPr>
          <w:rStyle w:val="Fett"/>
          <w:rFonts w:eastAsiaTheme="majorEastAsia"/>
          <w:rtl/>
        </w:rPr>
        <w:t>יְהוָה אֱלֹהֵיכֶם</w:t>
      </w:r>
      <w:r>
        <w:rPr>
          <w:rtl/>
        </w:rPr>
        <w:t xml:space="preserve"> </w:t>
      </w:r>
      <w:r>
        <w:t>(JHWH, euer Gott) zeigt, dass Mose als Vermittler spricht, aber die Gebote letztlich von JHWH stammen.</w:t>
      </w:r>
    </w:p>
    <w:p w14:paraId="6FFADE9B" w14:textId="77777777" w:rsidR="007F3E46" w:rsidRDefault="007F3E46" w:rsidP="007F3E46">
      <w:pPr>
        <w:pStyle w:val="whitespace-normal"/>
      </w:pPr>
      <w:r>
        <w:rPr>
          <w:rStyle w:val="Fett"/>
          <w:rFonts w:eastAsiaTheme="majorEastAsia"/>
        </w:rPr>
        <w:t>Die LXX</w:t>
      </w:r>
      <w:r>
        <w:t xml:space="preserve"> übersetzt die emphatische Konstruktion mit „</w:t>
      </w:r>
      <w:proofErr w:type="spellStart"/>
      <w:r>
        <w:t>ἀκοῇ</w:t>
      </w:r>
      <w:proofErr w:type="spellEnd"/>
      <w:r>
        <w:t xml:space="preserve"> </w:t>
      </w:r>
      <w:proofErr w:type="spellStart"/>
      <w:r>
        <w:t>εἰσ</w:t>
      </w:r>
      <w:proofErr w:type="spellEnd"/>
      <w:r>
        <w:t>ακούσητε", behält also die figura etymologica bei.</w:t>
      </w:r>
    </w:p>
    <w:p w14:paraId="063AD846" w14:textId="77777777" w:rsidR="007F3E46" w:rsidRDefault="007F3E46" w:rsidP="007F3E46">
      <w:pPr>
        <w:pStyle w:val="whitespace-normal"/>
      </w:pPr>
      <w:r>
        <w:t>Die Satzstruktur besteht aus einer konditionalen Einleitung mit emphatischem Protasis und finalen Bestimmungen: Einleitungsformel (und es wird geschehen), konditionale Konjunktion (wenn), emphatische Konstruktion mit Infinitiv Absolut und finitem Verb (gewiss hört), präpositionale Bestimmung (auf meine Gebote), Relativsatz mit emphatischem Subjekt (ich), partizipialem Prädikat (gebiete), direktem Objekt (euch) und temporalem Adverb (heute); zwei finale Infinitive mit direktem Objekt (zu lieben JHWH, euren Gott, und ihm zu dienen) und doppelter modaler Bestimmung (mit eurem ganzen Herzen und mit eurer ganzen Seele).</w:t>
      </w:r>
    </w:p>
    <w:p w14:paraId="1A87A191" w14:textId="77777777" w:rsidR="007F3E46" w:rsidRDefault="007F3E46" w:rsidP="007F3E46">
      <w:pPr>
        <w:pStyle w:val="whitespace-normal"/>
      </w:pPr>
      <w:r>
        <w:t>Der Vers eröffnet einen neuen Bundesabschnitt mit klarer Bedingung: Wenn Israel JHWH mit ganzem Herzen liebt und dient, folgen Segen und Wohlergehen – die konkreten Folgen werden in den nächsten Versen entfaltet.</w:t>
      </w:r>
    </w:p>
    <w:p w14:paraId="604DEAA0" w14:textId="77777777" w:rsidR="007F3E46" w:rsidRPr="007F3E46" w:rsidRDefault="007F3E46" w:rsidP="007F3E46">
      <w:pPr>
        <w:pStyle w:val="berschrift1"/>
        <w:rPr>
          <w:rFonts w:ascii="Times New Roman" w:hAnsi="Times New Roman"/>
          <w:sz w:val="36"/>
          <w:szCs w:val="36"/>
        </w:rPr>
      </w:pPr>
      <w:r w:rsidRPr="007F3E46">
        <w:rPr>
          <w:rStyle w:val="Fett"/>
          <w:rFonts w:ascii="Times New Roman" w:hAnsi="Times New Roman"/>
          <w:color w:val="auto"/>
          <w:sz w:val="36"/>
          <w:szCs w:val="36"/>
        </w:rPr>
        <w:t>Deuteronomium 11,14</w:t>
      </w:r>
    </w:p>
    <w:p w14:paraId="282EE9BF" w14:textId="77777777" w:rsidR="007F3E46" w:rsidRDefault="007F3E46" w:rsidP="007F3E46">
      <w:pPr>
        <w:pStyle w:val="whitespace-normal"/>
      </w:pPr>
      <w:r>
        <w:rPr>
          <w:rStyle w:val="Fett"/>
          <w:rFonts w:eastAsiaTheme="majorEastAsia"/>
        </w:rPr>
        <w:t>Hebräisch:</w:t>
      </w:r>
      <w:r>
        <w:t xml:space="preserve"> </w:t>
      </w:r>
      <w:r>
        <w:rPr>
          <w:rtl/>
        </w:rPr>
        <w:t>וְנָתַתִּ֧י מְטַֽר־אַרְצְכֶ֛ם בְּעִתֹּ֖ו יוֹרֶ֣ה וּמַלְק֑וֹשׁ וְאָסַפְתָּ֣ דְגָנֶ֔ךָ וְתִֽירֹשְׁךָ֖ וְיִצְהָרֶֽךָ׃</w:t>
      </w:r>
    </w:p>
    <w:p w14:paraId="2ACA1443" w14:textId="77777777" w:rsidR="007F3E46" w:rsidRDefault="007F3E46" w:rsidP="007F3E46">
      <w:pPr>
        <w:pStyle w:val="whitespace-normal"/>
      </w:pPr>
      <w:r>
        <w:rPr>
          <w:rStyle w:val="Fett"/>
          <w:rFonts w:eastAsiaTheme="majorEastAsia"/>
        </w:rPr>
        <w:t>Deutsch:</w:t>
      </w:r>
      <w:r>
        <w:t xml:space="preserve"> so werde ich den Regen eures Landes geben zu seiner Zeit, Frühregen und Spätregen, damit du dein Getreide und deinen Most und dein Öl einsammelst.</w:t>
      </w:r>
    </w:p>
    <w:p w14:paraId="257819F2" w14:textId="77777777" w:rsidR="007F3E46" w:rsidRDefault="004F5CEB" w:rsidP="007F3E46">
      <w:r>
        <w:rPr>
          <w:noProof/>
        </w:rPr>
        <w:pict w14:anchorId="77C024DD">
          <v:rect id="_x0000_i1354" style="width:0;height:1.5pt" o:hralign="center" o:hrstd="t" o:hr="t" fillcolor="#a0a0a0" stroked="f"/>
        </w:pict>
      </w:r>
    </w:p>
    <w:p w14:paraId="0B8816F5" w14:textId="77777777" w:rsidR="007F3E46" w:rsidRDefault="007F3E46" w:rsidP="007F3E46">
      <w:pPr>
        <w:pStyle w:val="whitespace-normal"/>
      </w:pPr>
      <w:r>
        <w:rPr>
          <w:rStyle w:val="Fett"/>
          <w:rFonts w:eastAsiaTheme="majorEastAsia"/>
        </w:rPr>
        <w:t>Kommentar:</w:t>
      </w:r>
      <w:r>
        <w:t xml:space="preserve"> </w:t>
      </w:r>
      <w:r>
        <w:rPr>
          <w:rStyle w:val="Fett"/>
          <w:rFonts w:eastAsiaTheme="majorEastAsia"/>
          <w:rtl/>
        </w:rPr>
        <w:t>וְנָתַתִּי</w:t>
      </w:r>
      <w:r>
        <w:rPr>
          <w:rtl/>
        </w:rPr>
        <w:t xml:space="preserve"> </w:t>
      </w:r>
      <w:r>
        <w:t xml:space="preserve">ist Qal Perfekt, 1. Person Singular von </w:t>
      </w:r>
      <w:r>
        <w:rPr>
          <w:rStyle w:val="Fett"/>
          <w:rFonts w:eastAsiaTheme="majorEastAsia"/>
          <w:rtl/>
        </w:rPr>
        <w:t>נתן</w:t>
      </w:r>
      <w:r>
        <w:rPr>
          <w:rtl/>
        </w:rPr>
        <w:t xml:space="preserve"> </w:t>
      </w:r>
      <w:r>
        <w:t xml:space="preserve">(„geben") mit </w:t>
      </w:r>
      <w:r>
        <w:rPr>
          <w:rStyle w:val="Fett"/>
          <w:rFonts w:eastAsiaTheme="majorEastAsia"/>
        </w:rPr>
        <w:t>Waw</w:t>
      </w:r>
      <w:r>
        <w:t xml:space="preserve"> copulativum, das hier die Apodosis (Folge) der Konditionalbedingung aus V. 13 einleitet. Die Perfektform nach der konditionalen Einleitung drückt die Gewissheit der göttlichen Verheißung aus (Perfekt der Zuversicht oder consecutives Perfekt). </w:t>
      </w:r>
      <w:r>
        <w:rPr>
          <w:rStyle w:val="Fett"/>
          <w:rFonts w:eastAsiaTheme="majorEastAsia"/>
          <w:rtl/>
        </w:rPr>
        <w:t>מְטַר־אַרְצְכֶם</w:t>
      </w:r>
      <w:r>
        <w:rPr>
          <w:rtl/>
        </w:rPr>
        <w:t xml:space="preserve"> </w:t>
      </w:r>
      <w:r>
        <w:t xml:space="preserve">ist das direkte Objekt: </w:t>
      </w:r>
      <w:r>
        <w:rPr>
          <w:rStyle w:val="Fett"/>
          <w:rFonts w:eastAsiaTheme="majorEastAsia"/>
          <w:rtl/>
        </w:rPr>
        <w:t>מָטָר</w:t>
      </w:r>
      <w:r>
        <w:rPr>
          <w:rtl/>
        </w:rPr>
        <w:t xml:space="preserve"> </w:t>
      </w:r>
      <w:r>
        <w:t xml:space="preserve">(„Regen") im Construct mit </w:t>
      </w:r>
      <w:r>
        <w:rPr>
          <w:rStyle w:val="Fett"/>
          <w:rFonts w:eastAsiaTheme="majorEastAsia"/>
          <w:rtl/>
        </w:rPr>
        <w:t>אֶרֶץ</w:t>
      </w:r>
      <w:r>
        <w:rPr>
          <w:rtl/>
        </w:rPr>
        <w:t xml:space="preserve"> </w:t>
      </w:r>
      <w:r>
        <w:t>(„Land") und Suffix 2. Person Maskulinum Plural. Die Construct-Verbindung betont, dass der Regen spezifisch für das Land Israels bestimmt ist.</w:t>
      </w:r>
    </w:p>
    <w:p w14:paraId="7EE577C3" w14:textId="77777777" w:rsidR="007F3E46" w:rsidRDefault="007F3E46" w:rsidP="007F3E46">
      <w:pPr>
        <w:pStyle w:val="whitespace-normal"/>
      </w:pPr>
      <w:r>
        <w:rPr>
          <w:rStyle w:val="Fett"/>
          <w:rFonts w:eastAsiaTheme="majorEastAsia"/>
          <w:rtl/>
        </w:rPr>
        <w:t>בְּעִתּוֹ</w:t>
      </w:r>
      <w:r>
        <w:rPr>
          <w:rtl/>
        </w:rPr>
        <w:t xml:space="preserve"> </w:t>
      </w:r>
      <w:r>
        <w:t xml:space="preserve">ist eine temporale Bestimmung: </w:t>
      </w:r>
      <w:r>
        <w:rPr>
          <w:rStyle w:val="Fett"/>
          <w:rFonts w:eastAsiaTheme="majorEastAsia"/>
          <w:rtl/>
        </w:rPr>
        <w:t>בְּ</w:t>
      </w:r>
      <w:r>
        <w:rPr>
          <w:rtl/>
        </w:rPr>
        <w:t xml:space="preserve"> </w:t>
      </w:r>
      <w:r>
        <w:t xml:space="preserve">(„in, zu") mit </w:t>
      </w:r>
      <w:r>
        <w:rPr>
          <w:rStyle w:val="Fett"/>
          <w:rFonts w:eastAsiaTheme="majorEastAsia"/>
          <w:rtl/>
        </w:rPr>
        <w:t>עֵת</w:t>
      </w:r>
      <w:r>
        <w:rPr>
          <w:rtl/>
        </w:rPr>
        <w:t xml:space="preserve"> </w:t>
      </w:r>
      <w:r>
        <w:t xml:space="preserve">(„Zeit") und Suffix 3. Person Maskulinum Singular. Die Wendung </w:t>
      </w:r>
      <w:r>
        <w:rPr>
          <w:rStyle w:val="Fett"/>
          <w:rFonts w:eastAsiaTheme="majorEastAsia"/>
          <w:rtl/>
        </w:rPr>
        <w:t>בְּעִתּוֹ</w:t>
      </w:r>
      <w:r>
        <w:rPr>
          <w:rtl/>
        </w:rPr>
        <w:t xml:space="preserve"> </w:t>
      </w:r>
      <w:r>
        <w:t xml:space="preserve">bedeutet „zur rechten Zeit, zur passenden Zeit" und betont nicht nur die Tatsache des Regens, sondern seine zeitliche Angemessenheit für die Landwirtschaft. </w:t>
      </w:r>
      <w:r>
        <w:rPr>
          <w:rStyle w:val="Fett"/>
          <w:rFonts w:eastAsiaTheme="majorEastAsia"/>
          <w:rtl/>
        </w:rPr>
        <w:t>יוֹרֶה וּמַלְקוֹשׁ</w:t>
      </w:r>
      <w:r>
        <w:rPr>
          <w:rtl/>
        </w:rPr>
        <w:t xml:space="preserve"> </w:t>
      </w:r>
      <w:r>
        <w:t xml:space="preserve">ist eine zweigliedrige Apposition: </w:t>
      </w:r>
      <w:r>
        <w:rPr>
          <w:rStyle w:val="Fett"/>
          <w:rFonts w:eastAsiaTheme="majorEastAsia"/>
          <w:rtl/>
        </w:rPr>
        <w:t>יוֹרֶה</w:t>
      </w:r>
      <w:r>
        <w:rPr>
          <w:rtl/>
        </w:rPr>
        <w:t xml:space="preserve"> </w:t>
      </w:r>
      <w:r>
        <w:t xml:space="preserve">(„Frühregen, Herbstregen") und </w:t>
      </w:r>
      <w:r>
        <w:rPr>
          <w:rStyle w:val="Fett"/>
          <w:rFonts w:eastAsiaTheme="majorEastAsia"/>
          <w:rtl/>
        </w:rPr>
        <w:t>מַלְקוֹשׁ</w:t>
      </w:r>
      <w:r>
        <w:rPr>
          <w:rtl/>
        </w:rPr>
        <w:t xml:space="preserve"> </w:t>
      </w:r>
      <w:r>
        <w:t xml:space="preserve">(„Spätregen, Frühjahrsregen"), koordiniert durch </w:t>
      </w:r>
      <w:r>
        <w:rPr>
          <w:rStyle w:val="Fett"/>
          <w:rFonts w:eastAsiaTheme="majorEastAsia"/>
        </w:rPr>
        <w:t>Waw</w:t>
      </w:r>
      <w:r>
        <w:t xml:space="preserve">. Der </w:t>
      </w:r>
      <w:r>
        <w:rPr>
          <w:rStyle w:val="Fett"/>
          <w:rFonts w:eastAsiaTheme="majorEastAsia"/>
          <w:rtl/>
        </w:rPr>
        <w:t>יוֹרֶה</w:t>
      </w:r>
      <w:r>
        <w:rPr>
          <w:rtl/>
        </w:rPr>
        <w:t xml:space="preserve"> </w:t>
      </w:r>
      <w:r>
        <w:t xml:space="preserve">fällt im Herbst (Oktober/November) und ermöglicht das Pflügen und Säen, der </w:t>
      </w:r>
      <w:r>
        <w:rPr>
          <w:rStyle w:val="Fett"/>
          <w:rFonts w:eastAsiaTheme="majorEastAsia"/>
          <w:rtl/>
        </w:rPr>
        <w:t>מַלְקוֹשׁ</w:t>
      </w:r>
      <w:r>
        <w:rPr>
          <w:rtl/>
        </w:rPr>
        <w:t xml:space="preserve"> </w:t>
      </w:r>
      <w:r>
        <w:t>im Frühjahr (März/April) und sichert die Reife der Ernte. Diese beiden Regenzeiten sind für die Landwirtschaft in Kanaan essentiell.</w:t>
      </w:r>
    </w:p>
    <w:p w14:paraId="44306DF9" w14:textId="77777777" w:rsidR="007F3E46" w:rsidRDefault="007F3E46" w:rsidP="007F3E46">
      <w:pPr>
        <w:pStyle w:val="whitespace-normal"/>
      </w:pPr>
      <w:r>
        <w:rPr>
          <w:rStyle w:val="Fett"/>
          <w:rFonts w:eastAsiaTheme="majorEastAsia"/>
          <w:rtl/>
        </w:rPr>
        <w:t>וְאָסַפְתָּ דְגָנֶךָ וְתִירֹשְׁךָ וְיִצְהָרֶךָ</w:t>
      </w:r>
      <w:r>
        <w:rPr>
          <w:rtl/>
        </w:rPr>
        <w:t xml:space="preserve"> </w:t>
      </w:r>
      <w:r>
        <w:t xml:space="preserve">ist ein koordinierter Satz: </w:t>
      </w:r>
      <w:r>
        <w:rPr>
          <w:rStyle w:val="Fett"/>
          <w:rFonts w:eastAsiaTheme="majorEastAsia"/>
          <w:rtl/>
        </w:rPr>
        <w:t>וְאָסַפְתָּ</w:t>
      </w:r>
      <w:r>
        <w:rPr>
          <w:rtl/>
        </w:rPr>
        <w:t xml:space="preserve"> </w:t>
      </w:r>
      <w:r>
        <w:t xml:space="preserve">(Qal Perfekt, 2. Person Maskulinum Singular von </w:t>
      </w:r>
      <w:r>
        <w:rPr>
          <w:rStyle w:val="Fett"/>
          <w:rFonts w:eastAsiaTheme="majorEastAsia"/>
          <w:rtl/>
        </w:rPr>
        <w:t>אסף</w:t>
      </w:r>
      <w:r>
        <w:t xml:space="preserve">, „sammeln, einsammeln", mit </w:t>
      </w:r>
      <w:r>
        <w:rPr>
          <w:rStyle w:val="Fett"/>
          <w:rFonts w:eastAsiaTheme="majorEastAsia"/>
        </w:rPr>
        <w:t>Waw</w:t>
      </w:r>
      <w:r>
        <w:t xml:space="preserve">) als Prädikat und </w:t>
      </w:r>
      <w:r>
        <w:rPr>
          <w:rStyle w:val="Fett"/>
          <w:rFonts w:eastAsiaTheme="majorEastAsia"/>
          <w:rtl/>
        </w:rPr>
        <w:t>דְגָנֶךָ וְתִירֹשְׁךָ וְיִצְהָרֶךָ</w:t>
      </w:r>
      <w:r>
        <w:rPr>
          <w:rtl/>
        </w:rPr>
        <w:t xml:space="preserve"> </w:t>
      </w:r>
      <w:r>
        <w:t xml:space="preserve">als dreigliedriges direktes Objekt. </w:t>
      </w:r>
      <w:r>
        <w:rPr>
          <w:rStyle w:val="Fett"/>
          <w:rFonts w:eastAsiaTheme="majorEastAsia"/>
          <w:rtl/>
        </w:rPr>
        <w:t>דָּגָן</w:t>
      </w:r>
      <w:r>
        <w:rPr>
          <w:rtl/>
        </w:rPr>
        <w:t xml:space="preserve"> </w:t>
      </w:r>
      <w:r>
        <w:t xml:space="preserve">(„Getreide, Korn") mit Suffix 2. Person Maskulinum </w:t>
      </w:r>
      <w:r>
        <w:lastRenderedPageBreak/>
        <w:t xml:space="preserve">Singular, </w:t>
      </w:r>
      <w:r>
        <w:rPr>
          <w:rStyle w:val="Fett"/>
          <w:rFonts w:eastAsiaTheme="majorEastAsia"/>
          <w:rtl/>
        </w:rPr>
        <w:t>תִּירוֹשׁ</w:t>
      </w:r>
      <w:r>
        <w:rPr>
          <w:rtl/>
        </w:rPr>
        <w:t xml:space="preserve"> </w:t>
      </w:r>
      <w:r>
        <w:t xml:space="preserve">(„Most, neuer Wein") mit Suffix 2. Person Maskulinum Singular und </w:t>
      </w:r>
      <w:r>
        <w:rPr>
          <w:rStyle w:val="Fett"/>
          <w:rFonts w:eastAsiaTheme="majorEastAsia"/>
          <w:rtl/>
        </w:rPr>
        <w:t>יִצְהָר</w:t>
      </w:r>
      <w:r>
        <w:rPr>
          <w:rtl/>
        </w:rPr>
        <w:t xml:space="preserve"> </w:t>
      </w:r>
      <w:r>
        <w:t xml:space="preserve">(„frisches Öl, Olivenöl") mit Suffix 2. Person Maskulinum Singular. Diese Trias </w:t>
      </w:r>
      <w:r>
        <w:rPr>
          <w:rStyle w:val="Fett"/>
          <w:rFonts w:eastAsiaTheme="majorEastAsia"/>
          <w:rtl/>
        </w:rPr>
        <w:t>דָּגָן</w:t>
      </w:r>
      <w:r>
        <w:t xml:space="preserve">, </w:t>
      </w:r>
      <w:r>
        <w:rPr>
          <w:rStyle w:val="Fett"/>
          <w:rFonts w:eastAsiaTheme="majorEastAsia"/>
          <w:rtl/>
        </w:rPr>
        <w:t>תִּירוֹשׁ</w:t>
      </w:r>
      <w:r>
        <w:t xml:space="preserve">, </w:t>
      </w:r>
      <w:r>
        <w:rPr>
          <w:rStyle w:val="Fett"/>
          <w:rFonts w:eastAsiaTheme="majorEastAsia"/>
          <w:rtl/>
        </w:rPr>
        <w:t>יִצְהָר</w:t>
      </w:r>
      <w:r>
        <w:rPr>
          <w:rtl/>
        </w:rPr>
        <w:t xml:space="preserve"> </w:t>
      </w:r>
      <w:r>
        <w:t xml:space="preserve">ist eine feste deuteronomische Formel für die Hauptprodukte des Landes und symbolisiert landwirtschaftlichen Wohlstand (vgl. 7,13; 12,17; 14,23; 18,4; 28,51). Die Perfektform </w:t>
      </w:r>
      <w:r>
        <w:rPr>
          <w:rStyle w:val="Fett"/>
          <w:rFonts w:eastAsiaTheme="majorEastAsia"/>
          <w:rtl/>
        </w:rPr>
        <w:t>אָסַפְתָּ</w:t>
      </w:r>
      <w:r>
        <w:rPr>
          <w:rtl/>
        </w:rPr>
        <w:t xml:space="preserve"> </w:t>
      </w:r>
      <w:r>
        <w:t xml:space="preserve">nach </w:t>
      </w:r>
      <w:r>
        <w:rPr>
          <w:rStyle w:val="Fett"/>
          <w:rFonts w:eastAsiaTheme="majorEastAsia"/>
          <w:rtl/>
        </w:rPr>
        <w:t>וְנָתַתִּי</w:t>
      </w:r>
      <w:r>
        <w:rPr>
          <w:rtl/>
        </w:rPr>
        <w:t xml:space="preserve"> </w:t>
      </w:r>
      <w:r>
        <w:t>ist consecutives Perfekt und drückt die Folge aus.</w:t>
      </w:r>
    </w:p>
    <w:p w14:paraId="10F7C64C" w14:textId="77777777" w:rsidR="007F3E46" w:rsidRDefault="007F3E46" w:rsidP="007F3E46">
      <w:pPr>
        <w:pStyle w:val="whitespace-normal"/>
      </w:pPr>
      <w:r>
        <w:t>Die Syntax zeigt die direkte Kausalität zwischen göttlichem Handeln und menschlichem Erfolg: Gottes Gabe des Regens zur rechten Zeit führt zur erfolgreichen Ernte. Der Wechsel von 1. Person Singular (</w:t>
      </w:r>
      <w:r>
        <w:rPr>
          <w:rStyle w:val="Fett"/>
          <w:rFonts w:eastAsiaTheme="majorEastAsia"/>
          <w:rtl/>
        </w:rPr>
        <w:t>וְנָתַתִּי</w:t>
      </w:r>
      <w:r>
        <w:t>, Gottes Handeln) zu 2. Person Singular (</w:t>
      </w:r>
      <w:r>
        <w:rPr>
          <w:rStyle w:val="Fett"/>
          <w:rFonts w:eastAsiaTheme="majorEastAsia"/>
          <w:rtl/>
        </w:rPr>
        <w:t>וְאָסַפְתָּ</w:t>
      </w:r>
      <w:r>
        <w:t xml:space="preserve">, Israels Handeln) markiert die Kooperation zwischen göttlicher Gabe und menschlicher Arbeit. Die Spezifizierung </w:t>
      </w:r>
      <w:r>
        <w:rPr>
          <w:rStyle w:val="Fett"/>
          <w:rFonts w:eastAsiaTheme="majorEastAsia"/>
          <w:rtl/>
        </w:rPr>
        <w:t>יוֹרֶה וּמַלְקוֹשׁ</w:t>
      </w:r>
      <w:r>
        <w:rPr>
          <w:rtl/>
        </w:rPr>
        <w:t xml:space="preserve"> </w:t>
      </w:r>
      <w:r>
        <w:t xml:space="preserve">betont die klimatische Besonderheit Kanaans, das im Gegensatz zu Ägypten vom Regen abhängig ist (vgl. V. 10-12). Die dreigliedrige Aufzählung </w:t>
      </w:r>
      <w:r>
        <w:rPr>
          <w:rStyle w:val="Fett"/>
          <w:rFonts w:eastAsiaTheme="majorEastAsia"/>
          <w:rtl/>
        </w:rPr>
        <w:t>דְגָנֶךָ וְתִירֹשְׁךָ וְיִצְהָרֶךָ</w:t>
      </w:r>
      <w:r>
        <w:rPr>
          <w:rtl/>
        </w:rPr>
        <w:t xml:space="preserve"> </w:t>
      </w:r>
      <w:r>
        <w:t>umfasst die drei Hauptkulturen: Getreide (Weizen, Gerste), Weintrauben und Oliven.</w:t>
      </w:r>
    </w:p>
    <w:p w14:paraId="0C7F071D" w14:textId="77777777" w:rsidR="007F3E46" w:rsidRDefault="007F3E46" w:rsidP="007F3E46">
      <w:pPr>
        <w:pStyle w:val="whitespace-normal"/>
      </w:pPr>
      <w:r>
        <w:rPr>
          <w:rStyle w:val="Fett"/>
          <w:rFonts w:eastAsiaTheme="majorEastAsia"/>
        </w:rPr>
        <w:t>Die LXX</w:t>
      </w:r>
      <w:r>
        <w:t xml:space="preserve"> übersetzt „ich werde geben" mit „</w:t>
      </w:r>
      <w:proofErr w:type="spellStart"/>
      <w:r>
        <w:t>δώσει</w:t>
      </w:r>
      <w:proofErr w:type="spellEnd"/>
      <w:r>
        <w:t>" (Futur), was die Verheißung angemessen wiedergibt, und „Frühregen und Spätregen" mit „π</w:t>
      </w:r>
      <w:proofErr w:type="spellStart"/>
      <w:r>
        <w:t>ρόϊμον</w:t>
      </w:r>
      <w:proofErr w:type="spellEnd"/>
      <w:r>
        <w:t xml:space="preserve"> καὶ </w:t>
      </w:r>
      <w:proofErr w:type="spellStart"/>
      <w:r>
        <w:t>ὄψιμον</w:t>
      </w:r>
      <w:proofErr w:type="spellEnd"/>
      <w:r>
        <w:t>".</w:t>
      </w:r>
    </w:p>
    <w:p w14:paraId="00408B2D" w14:textId="77777777" w:rsidR="007F3E46" w:rsidRDefault="007F3E46" w:rsidP="007F3E46">
      <w:pPr>
        <w:pStyle w:val="whitespace-normal"/>
      </w:pPr>
      <w:r>
        <w:t>Die Satzstruktur besteht aus einem Hauptsatz mit Apposition und einem koordinierten Folgesatz: Prädikat (werde geben), direktes Objekt (den Regen eures Landes), temporale Bestimmung (zu seiner Zeit), zweigliedrige Apposition (Frühregen und Spätregen); koordinierter Satz mit Prädikat (einsammelst) und dreigliedrigem direktem Objekt (dein Getreide, deinen Most und dein Öl).</w:t>
      </w:r>
    </w:p>
    <w:p w14:paraId="4727F432" w14:textId="77777777" w:rsidR="007F3E46" w:rsidRDefault="007F3E46" w:rsidP="007F3E46">
      <w:pPr>
        <w:pStyle w:val="whitespace-normal"/>
      </w:pPr>
      <w:r>
        <w:t>Der Vers konkretisiert den Segen für Gehorsam: JHWH wird rechtzeitig Regen geben, sodass Israel eine reiche Ernte einfährt – eine direkte Verknüpfung von Bundestreue und materiellem Wohlergehen.</w:t>
      </w:r>
    </w:p>
    <w:p w14:paraId="62CFFA81" w14:textId="77777777" w:rsidR="007F3E46" w:rsidRPr="007F3E46" w:rsidRDefault="007F3E46" w:rsidP="007F3E46">
      <w:pPr>
        <w:pStyle w:val="berschrift1"/>
        <w:rPr>
          <w:rFonts w:ascii="Times New Roman" w:hAnsi="Times New Roman"/>
          <w:color w:val="auto"/>
          <w:sz w:val="36"/>
          <w:szCs w:val="36"/>
        </w:rPr>
      </w:pPr>
      <w:r w:rsidRPr="007F3E46">
        <w:rPr>
          <w:rStyle w:val="Fett"/>
          <w:rFonts w:ascii="Times New Roman" w:hAnsi="Times New Roman"/>
          <w:color w:val="auto"/>
          <w:sz w:val="36"/>
          <w:szCs w:val="36"/>
        </w:rPr>
        <w:t>Deuteronomium 11,15</w:t>
      </w:r>
    </w:p>
    <w:p w14:paraId="5FCA1502" w14:textId="77777777" w:rsidR="007F3E46" w:rsidRDefault="007F3E46" w:rsidP="007F3E46">
      <w:pPr>
        <w:pStyle w:val="whitespace-normal"/>
      </w:pPr>
      <w:r>
        <w:rPr>
          <w:rStyle w:val="Fett"/>
          <w:rFonts w:eastAsiaTheme="majorEastAsia"/>
        </w:rPr>
        <w:t>Hebräisch:</w:t>
      </w:r>
      <w:r>
        <w:t xml:space="preserve"> </w:t>
      </w:r>
      <w:r>
        <w:rPr>
          <w:rtl/>
        </w:rPr>
        <w:t>וְנָתַתִּ֛י עֵ֥שֶׂב בְּשָׂדְךָ֖ לִבְהֶמְתֶּ֑ךָ וְאָכַלְתָּ֖ וְשָׂבָֽעְתָּ׃</w:t>
      </w:r>
    </w:p>
    <w:p w14:paraId="6694C803" w14:textId="77777777" w:rsidR="007F3E46" w:rsidRDefault="007F3E46" w:rsidP="007F3E46">
      <w:pPr>
        <w:pStyle w:val="whitespace-normal"/>
      </w:pPr>
      <w:r>
        <w:rPr>
          <w:rStyle w:val="Fett"/>
          <w:rFonts w:eastAsiaTheme="majorEastAsia"/>
        </w:rPr>
        <w:t>Deutsch:</w:t>
      </w:r>
      <w:r>
        <w:t xml:space="preserve"> Und ich werde Gras geben auf deinem Feld für dein Vieh; und du wirst essen und satt werden.</w:t>
      </w:r>
    </w:p>
    <w:p w14:paraId="74CA1692" w14:textId="77777777" w:rsidR="007F3E46" w:rsidRDefault="004F5CEB" w:rsidP="007F3E46">
      <w:r>
        <w:rPr>
          <w:noProof/>
        </w:rPr>
        <w:pict w14:anchorId="21532D05">
          <v:rect id="_x0000_i1355" style="width:0;height:1.5pt" o:hralign="center" o:hrstd="t" o:hr="t" fillcolor="#a0a0a0" stroked="f"/>
        </w:pict>
      </w:r>
    </w:p>
    <w:p w14:paraId="07D0C612" w14:textId="77777777" w:rsidR="007F3E46" w:rsidRDefault="007F3E46" w:rsidP="007F3E46">
      <w:pPr>
        <w:pStyle w:val="whitespace-normal"/>
      </w:pPr>
      <w:r>
        <w:rPr>
          <w:rStyle w:val="Fett"/>
          <w:rFonts w:eastAsiaTheme="majorEastAsia"/>
        </w:rPr>
        <w:t>Kommentar:</w:t>
      </w:r>
      <w:r>
        <w:t xml:space="preserve"> </w:t>
      </w:r>
      <w:r>
        <w:rPr>
          <w:rStyle w:val="Fett"/>
          <w:rFonts w:eastAsiaTheme="majorEastAsia"/>
          <w:rtl/>
        </w:rPr>
        <w:t>וְנָתַתִּי עֵשֶׂב בְּשָׂדְךָ לִבְהֶמְתֶּךָ</w:t>
      </w:r>
      <w:r>
        <w:rPr>
          <w:rtl/>
        </w:rPr>
        <w:t xml:space="preserve"> </w:t>
      </w:r>
      <w:r>
        <w:t xml:space="preserve">setzt die göttliche Verheißung fort: </w:t>
      </w:r>
      <w:r>
        <w:rPr>
          <w:rStyle w:val="Fett"/>
          <w:rFonts w:eastAsiaTheme="majorEastAsia"/>
          <w:rtl/>
        </w:rPr>
        <w:t>וְנָתַתִּי</w:t>
      </w:r>
      <w:r>
        <w:rPr>
          <w:rtl/>
        </w:rPr>
        <w:t xml:space="preserve"> </w:t>
      </w:r>
      <w:r>
        <w:t xml:space="preserve">(Qal Perfekt, 1. Person Singular von </w:t>
      </w:r>
      <w:r>
        <w:rPr>
          <w:rStyle w:val="Fett"/>
          <w:rFonts w:eastAsiaTheme="majorEastAsia"/>
          <w:rtl/>
        </w:rPr>
        <w:t>נתן</w:t>
      </w:r>
      <w:r>
        <w:t xml:space="preserve">, „geben", mit </w:t>
      </w:r>
      <w:r>
        <w:rPr>
          <w:rStyle w:val="Fett"/>
          <w:rFonts w:eastAsiaTheme="majorEastAsia"/>
        </w:rPr>
        <w:t>Waw</w:t>
      </w:r>
      <w:r>
        <w:t xml:space="preserve">) als Prädikat, </w:t>
      </w:r>
      <w:r>
        <w:rPr>
          <w:rStyle w:val="Fett"/>
          <w:rFonts w:eastAsiaTheme="majorEastAsia"/>
          <w:rtl/>
        </w:rPr>
        <w:t>עֵשֶׂב</w:t>
      </w:r>
      <w:r>
        <w:rPr>
          <w:rtl/>
        </w:rPr>
        <w:t xml:space="preserve"> </w:t>
      </w:r>
      <w:r>
        <w:t xml:space="preserve">(„Gras, Kraut, Vegetation") als direktes Objekt, </w:t>
      </w:r>
      <w:r>
        <w:rPr>
          <w:rStyle w:val="Fett"/>
          <w:rFonts w:eastAsiaTheme="majorEastAsia"/>
          <w:rtl/>
        </w:rPr>
        <w:t>בְּשָׂדְךָ</w:t>
      </w:r>
      <w:r>
        <w:rPr>
          <w:rtl/>
        </w:rPr>
        <w:t xml:space="preserve"> </w:t>
      </w:r>
      <w:r>
        <w:t xml:space="preserve">(Präposition </w:t>
      </w:r>
      <w:r>
        <w:rPr>
          <w:rStyle w:val="Fett"/>
          <w:rFonts w:eastAsiaTheme="majorEastAsia"/>
          <w:rtl/>
        </w:rPr>
        <w:t>בְּ</w:t>
      </w:r>
      <w:r>
        <w:t xml:space="preserve">, „in, auf", mit </w:t>
      </w:r>
      <w:r>
        <w:rPr>
          <w:rStyle w:val="Fett"/>
          <w:rFonts w:eastAsiaTheme="majorEastAsia"/>
          <w:rtl/>
        </w:rPr>
        <w:t>שָׂדֶה</w:t>
      </w:r>
      <w:r>
        <w:t xml:space="preserve">, „Feld", und Suffix 2. Person Maskulinum Singular) als lokale Bestimmung und </w:t>
      </w:r>
      <w:r>
        <w:rPr>
          <w:rStyle w:val="Fett"/>
          <w:rFonts w:eastAsiaTheme="majorEastAsia"/>
          <w:rtl/>
        </w:rPr>
        <w:t>לִבְהֶמְתֶּךָ</w:t>
      </w:r>
      <w:r>
        <w:rPr>
          <w:rtl/>
        </w:rPr>
        <w:t xml:space="preserve"> </w:t>
      </w:r>
      <w:r>
        <w:t xml:space="preserve">(Präposition </w:t>
      </w:r>
      <w:r>
        <w:rPr>
          <w:rStyle w:val="Fett"/>
          <w:rFonts w:eastAsiaTheme="majorEastAsia"/>
          <w:rtl/>
        </w:rPr>
        <w:t>לְ</w:t>
      </w:r>
      <w:r>
        <w:t xml:space="preserve">, „für", mit </w:t>
      </w:r>
      <w:r>
        <w:rPr>
          <w:rStyle w:val="Fett"/>
          <w:rFonts w:eastAsiaTheme="majorEastAsia"/>
          <w:rtl/>
        </w:rPr>
        <w:t>בְּהֵמָה</w:t>
      </w:r>
      <w:r>
        <w:t xml:space="preserve">, „Vieh, Tier", und Suffix 2. Person Maskulinum Singular) als Dativobjekt oder Zweckangabe. Die Wiederholung von </w:t>
      </w:r>
      <w:r>
        <w:rPr>
          <w:rStyle w:val="Fett"/>
          <w:rFonts w:eastAsiaTheme="majorEastAsia"/>
          <w:rtl/>
        </w:rPr>
        <w:t>וְנָתַתִּי</w:t>
      </w:r>
      <w:r>
        <w:rPr>
          <w:rtl/>
        </w:rPr>
        <w:t xml:space="preserve"> </w:t>
      </w:r>
      <w:r>
        <w:t>(wie in V. 14) betont Gottes aktive Fürsorge für alle Bereiche des Lebens: nicht nur die menschliche Nahrung (V. 14), sondern auch das Viehfutter.</w:t>
      </w:r>
    </w:p>
    <w:p w14:paraId="6F4B4AB9" w14:textId="77777777" w:rsidR="007F3E46" w:rsidRDefault="007F3E46" w:rsidP="007F3E46">
      <w:pPr>
        <w:pStyle w:val="whitespace-normal"/>
      </w:pPr>
      <w:r>
        <w:rPr>
          <w:rStyle w:val="Fett"/>
          <w:rFonts w:eastAsiaTheme="majorEastAsia"/>
          <w:rtl/>
        </w:rPr>
        <w:t>וְאָכַלְתָּ וְשָׂבָעְתָּ</w:t>
      </w:r>
      <w:r>
        <w:rPr>
          <w:rtl/>
        </w:rPr>
        <w:t xml:space="preserve"> </w:t>
      </w:r>
      <w:r>
        <w:t xml:space="preserve">ist ein koordinierter Satz mit zwei Verben: </w:t>
      </w:r>
      <w:r>
        <w:rPr>
          <w:rStyle w:val="Fett"/>
          <w:rFonts w:eastAsiaTheme="majorEastAsia"/>
          <w:rtl/>
        </w:rPr>
        <w:t>וְאָכַלְתָּ</w:t>
      </w:r>
      <w:r>
        <w:rPr>
          <w:rtl/>
        </w:rPr>
        <w:t xml:space="preserve"> </w:t>
      </w:r>
      <w:r>
        <w:t xml:space="preserve">(Qal Perfekt, 2. Person Maskulinum Singular von </w:t>
      </w:r>
      <w:r>
        <w:rPr>
          <w:rStyle w:val="Fett"/>
          <w:rFonts w:eastAsiaTheme="majorEastAsia"/>
          <w:rtl/>
        </w:rPr>
        <w:t>אכל</w:t>
      </w:r>
      <w:r>
        <w:t xml:space="preserve">, „essen", mit </w:t>
      </w:r>
      <w:r>
        <w:rPr>
          <w:rStyle w:val="Fett"/>
          <w:rFonts w:eastAsiaTheme="majorEastAsia"/>
        </w:rPr>
        <w:t>Waw</w:t>
      </w:r>
      <w:r>
        <w:t xml:space="preserve">) und </w:t>
      </w:r>
      <w:r>
        <w:rPr>
          <w:rStyle w:val="Fett"/>
          <w:rFonts w:eastAsiaTheme="majorEastAsia"/>
          <w:rtl/>
        </w:rPr>
        <w:t>וְשָׂבָעְתָּ</w:t>
      </w:r>
      <w:r>
        <w:rPr>
          <w:rtl/>
        </w:rPr>
        <w:t xml:space="preserve"> </w:t>
      </w:r>
      <w:r>
        <w:t xml:space="preserve">(Qal Perfekt, 2. Person Maskulinum Singular von </w:t>
      </w:r>
      <w:r>
        <w:rPr>
          <w:rStyle w:val="Fett"/>
          <w:rFonts w:eastAsiaTheme="majorEastAsia"/>
          <w:rtl/>
        </w:rPr>
        <w:t>שׂבע</w:t>
      </w:r>
      <w:r>
        <w:t xml:space="preserve">, „satt sein, sich sättigen", mit </w:t>
      </w:r>
      <w:r>
        <w:rPr>
          <w:rStyle w:val="Fett"/>
          <w:rFonts w:eastAsiaTheme="majorEastAsia"/>
        </w:rPr>
        <w:t>Waw</w:t>
      </w:r>
      <w:r>
        <w:t xml:space="preserve">). Die beiden Verben </w:t>
      </w:r>
      <w:r>
        <w:lastRenderedPageBreak/>
        <w:t xml:space="preserve">bilden eine Hendiadyoin: nicht nur essen, sondern satt werden, was Fülle und Überfluss ausdrückt. Die Wendung </w:t>
      </w:r>
      <w:r>
        <w:rPr>
          <w:rStyle w:val="Fett"/>
          <w:rFonts w:eastAsiaTheme="majorEastAsia"/>
          <w:rtl/>
        </w:rPr>
        <w:t>אכל ושׂבע</w:t>
      </w:r>
      <w:r>
        <w:rPr>
          <w:rtl/>
        </w:rPr>
        <w:t xml:space="preserve"> </w:t>
      </w:r>
      <w:r>
        <w:t>ist eine häufige deuteronomische Formel für Wohlstand und Segen (vgl. 6,11; 8,10.12; 14,29; 26,12; 31,20). Die consecutiven Perfektformen drücken die Folge aus.</w:t>
      </w:r>
    </w:p>
    <w:p w14:paraId="367E7F2A" w14:textId="77777777" w:rsidR="007F3E46" w:rsidRDefault="007F3E46" w:rsidP="007F3E46">
      <w:pPr>
        <w:pStyle w:val="whitespace-normal"/>
      </w:pPr>
      <w:r>
        <w:t>Die Syntax zeigt eine umfassende Segensverheißung: Gott versorgt sowohl das Vieh (durch Gras auf den Feldern) als auch die Menschen (die essen und satt werden). Die Struktur ist parallel zu V. 14: göttliche Gabe (</w:t>
      </w:r>
      <w:r>
        <w:rPr>
          <w:rStyle w:val="Fett"/>
          <w:rFonts w:eastAsiaTheme="majorEastAsia"/>
          <w:rtl/>
        </w:rPr>
        <w:t>וְנָתַתִּי</w:t>
      </w:r>
      <w:r>
        <w:t>) führt zu menschlichem Wohlergehen (</w:t>
      </w:r>
      <w:r>
        <w:rPr>
          <w:rStyle w:val="Fett"/>
          <w:rFonts w:eastAsiaTheme="majorEastAsia"/>
          <w:rtl/>
        </w:rPr>
        <w:t>וְאָכַלְתָּ וְשָׂבָעְתָּ</w:t>
      </w:r>
      <w:r>
        <w:t>). Der Wechsel von Plural in V. 14 (</w:t>
      </w:r>
      <w:r>
        <w:rPr>
          <w:rStyle w:val="Fett"/>
          <w:rFonts w:eastAsiaTheme="majorEastAsia"/>
          <w:rtl/>
        </w:rPr>
        <w:t>אַרְצְכֶם</w:t>
      </w:r>
      <w:r>
        <w:t>) zu Singular hier (</w:t>
      </w:r>
      <w:r>
        <w:rPr>
          <w:rStyle w:val="Fett"/>
          <w:rFonts w:eastAsiaTheme="majorEastAsia"/>
          <w:rtl/>
        </w:rPr>
        <w:t>בְּשָׂדְךָ</w:t>
      </w:r>
      <w:r>
        <w:t xml:space="preserve">, </w:t>
      </w:r>
      <w:r>
        <w:rPr>
          <w:rStyle w:val="Fett"/>
          <w:rFonts w:eastAsiaTheme="majorEastAsia"/>
          <w:rtl/>
        </w:rPr>
        <w:t>לִבְהֶמְתֶּךָ</w:t>
      </w:r>
      <w:r>
        <w:t>) individualisiert die Verheißung. Die Erwähnung des Viehs ergänzt die landwirtschaftliche Perspektive: Eine gute Ernte umfasst nicht nur Getreide, Wein und Öl für Menschen, sondern auch Weideland für Tiere.</w:t>
      </w:r>
    </w:p>
    <w:p w14:paraId="2DE12DB9" w14:textId="77777777" w:rsidR="007F3E46" w:rsidRDefault="007F3E46" w:rsidP="007F3E46">
      <w:pPr>
        <w:pStyle w:val="whitespace-normal"/>
      </w:pPr>
      <w:r>
        <w:rPr>
          <w:rStyle w:val="Fett"/>
          <w:rFonts w:eastAsiaTheme="majorEastAsia"/>
        </w:rPr>
        <w:t>Die LXX</w:t>
      </w:r>
      <w:r>
        <w:t xml:space="preserve"> übersetzt „ich werde geben" mit „</w:t>
      </w:r>
      <w:proofErr w:type="spellStart"/>
      <w:r>
        <w:t>δώσει</w:t>
      </w:r>
      <w:proofErr w:type="spellEnd"/>
      <w:r>
        <w:t>", „Gras" mit „</w:t>
      </w:r>
      <w:proofErr w:type="spellStart"/>
      <w:r>
        <w:t>χορτάσμ</w:t>
      </w:r>
      <w:proofErr w:type="spellEnd"/>
      <w:r>
        <w:t>ατα" („Futter"), „auf deinem Feld" mit „</w:t>
      </w:r>
      <w:proofErr w:type="spellStart"/>
      <w:r>
        <w:t>ἐν</w:t>
      </w:r>
      <w:proofErr w:type="spellEnd"/>
      <w:r>
        <w:t xml:space="preserve"> </w:t>
      </w:r>
      <w:proofErr w:type="spellStart"/>
      <w:r>
        <w:t>τοῖς</w:t>
      </w:r>
      <w:proofErr w:type="spellEnd"/>
      <w:r>
        <w:t xml:space="preserve"> </w:t>
      </w:r>
      <w:proofErr w:type="spellStart"/>
      <w:r>
        <w:t>ἀγροῖς</w:t>
      </w:r>
      <w:proofErr w:type="spellEnd"/>
      <w:r>
        <w:t xml:space="preserve"> </w:t>
      </w:r>
      <w:proofErr w:type="spellStart"/>
      <w:r>
        <w:t>σου</w:t>
      </w:r>
      <w:proofErr w:type="spellEnd"/>
      <w:r>
        <w:t>" (Plural) und „du wirst essen und satt werden" mit „</w:t>
      </w:r>
      <w:proofErr w:type="spellStart"/>
      <w:r>
        <w:t>φάγῃ</w:t>
      </w:r>
      <w:proofErr w:type="spellEnd"/>
      <w:r>
        <w:t xml:space="preserve"> καὶ </w:t>
      </w:r>
      <w:proofErr w:type="spellStart"/>
      <w:r>
        <w:t>ἐμ</w:t>
      </w:r>
      <w:proofErr w:type="spellEnd"/>
      <w:r>
        <w:t>πλησθήσῃ".</w:t>
      </w:r>
    </w:p>
    <w:p w14:paraId="32A3E647" w14:textId="77777777" w:rsidR="007F3E46" w:rsidRDefault="007F3E46" w:rsidP="007F3E46">
      <w:pPr>
        <w:pStyle w:val="whitespace-normal"/>
      </w:pPr>
      <w:r>
        <w:t>Die Satzstruktur besteht aus zwei koordinierten Hauptsätzen: Erster Hauptsatz mit Prädikat (werde geben), direktem Objekt (Gras), lokaler Bestimmung (auf deinem Feld) und Dativobjekt (für dein Vieh); zweiter Hauptsatz mit zwei koordinierten Prädikaten (wirst essen und satt werden).</w:t>
      </w:r>
    </w:p>
    <w:p w14:paraId="54C603FD" w14:textId="77777777" w:rsidR="007F3E46" w:rsidRDefault="007F3E46" w:rsidP="007F3E46">
      <w:pPr>
        <w:pStyle w:val="whitespace-normal"/>
      </w:pPr>
      <w:r>
        <w:t>Der Vers ergänzt die Segensverheißung: Gottes Fürsorge umfasst alle Lebensbereiche – Mensch und Tier werden versorgt, und Israel wird nicht nur essen, sondern in Fülle satt werden.</w:t>
      </w:r>
    </w:p>
    <w:p w14:paraId="6FF8977E" w14:textId="77777777" w:rsidR="00AB44EE" w:rsidRPr="00AB44EE" w:rsidRDefault="00AB44EE" w:rsidP="00AB44EE">
      <w:pPr>
        <w:pStyle w:val="berschrift1"/>
        <w:rPr>
          <w:rFonts w:ascii="Times New Roman" w:hAnsi="Times New Roman"/>
          <w:color w:val="auto"/>
          <w:sz w:val="36"/>
          <w:szCs w:val="36"/>
        </w:rPr>
      </w:pPr>
      <w:r w:rsidRPr="00AB44EE">
        <w:rPr>
          <w:rStyle w:val="Fett"/>
          <w:rFonts w:ascii="Times New Roman" w:hAnsi="Times New Roman"/>
          <w:color w:val="auto"/>
          <w:sz w:val="36"/>
          <w:szCs w:val="36"/>
        </w:rPr>
        <w:t>Deuteronomium 11,16</w:t>
      </w:r>
    </w:p>
    <w:p w14:paraId="2ED89F9B" w14:textId="77777777" w:rsidR="00AB44EE" w:rsidRDefault="00AB44EE" w:rsidP="00AB44EE">
      <w:pPr>
        <w:pStyle w:val="whitespace-normal"/>
      </w:pPr>
      <w:r>
        <w:rPr>
          <w:rStyle w:val="Fett"/>
          <w:rFonts w:eastAsiaTheme="majorEastAsia"/>
        </w:rPr>
        <w:t>Hebräisch:</w:t>
      </w:r>
      <w:r>
        <w:t xml:space="preserve"> </w:t>
      </w:r>
      <w:r>
        <w:rPr>
          <w:rtl/>
        </w:rPr>
        <w:t>הִשָּֽׁמְר֣וּ לָכֶ֔ם פֶּ֥ן יִפְתֶּ֖ה לְבַבְכֶ֑ם וְסַרְתֶּ֗ם וַעֲבַדְתֶּם֙ אֱלֹהִ֣ים אֲחֵרִ֔ים וְהִשְׁתַּחֲוִיתֶ֖ם לָהֶֽם׃</w:t>
      </w:r>
    </w:p>
    <w:p w14:paraId="476FC743" w14:textId="77777777" w:rsidR="00AB44EE" w:rsidRDefault="00AB44EE" w:rsidP="00AB44EE">
      <w:pPr>
        <w:pStyle w:val="whitespace-normal"/>
      </w:pPr>
      <w:r>
        <w:rPr>
          <w:rStyle w:val="Fett"/>
          <w:rFonts w:eastAsiaTheme="majorEastAsia"/>
        </w:rPr>
        <w:t>Deutsch:</w:t>
      </w:r>
      <w:r>
        <w:t xml:space="preserve"> Hütet euch, dass euer Herz nicht verführt werde und ihr abweicht und anderen Göttern dient und euch vor ihnen niederwerft,</w:t>
      </w:r>
    </w:p>
    <w:p w14:paraId="263C39E5" w14:textId="77777777" w:rsidR="00AB44EE" w:rsidRDefault="004F5CEB" w:rsidP="00AB44EE">
      <w:r>
        <w:rPr>
          <w:noProof/>
        </w:rPr>
        <w:pict w14:anchorId="6E7740A9">
          <v:rect id="_x0000_i1356" style="width:0;height:1.5pt" o:hralign="center" o:hrstd="t" o:hr="t" fillcolor="#a0a0a0" stroked="f"/>
        </w:pict>
      </w:r>
    </w:p>
    <w:p w14:paraId="6F85D6E3" w14:textId="77777777" w:rsidR="00AB44EE" w:rsidRDefault="00AB44EE" w:rsidP="00AB44EE">
      <w:pPr>
        <w:pStyle w:val="whitespace-normal"/>
      </w:pPr>
      <w:r>
        <w:rPr>
          <w:rStyle w:val="Fett"/>
          <w:rFonts w:eastAsiaTheme="majorEastAsia"/>
        </w:rPr>
        <w:t>Kommentar:</w:t>
      </w:r>
      <w:r>
        <w:t xml:space="preserve"> </w:t>
      </w:r>
      <w:r>
        <w:rPr>
          <w:rStyle w:val="Fett"/>
          <w:rFonts w:eastAsiaTheme="majorEastAsia"/>
          <w:rtl/>
        </w:rPr>
        <w:t>הִשָּׁמְרוּ לָכֶם</w:t>
      </w:r>
      <w:r>
        <w:rPr>
          <w:rtl/>
        </w:rPr>
        <w:t xml:space="preserve"> </w:t>
      </w:r>
      <w:r>
        <w:t xml:space="preserve">ist ein Imperativ mit ethischem Dativ: </w:t>
      </w:r>
      <w:r>
        <w:rPr>
          <w:rStyle w:val="Fett"/>
          <w:rFonts w:eastAsiaTheme="majorEastAsia"/>
          <w:rtl/>
        </w:rPr>
        <w:t>הִשָּׁמְרוּ</w:t>
      </w:r>
      <w:r>
        <w:rPr>
          <w:rtl/>
        </w:rPr>
        <w:t xml:space="preserve"> </w:t>
      </w:r>
      <w:r>
        <w:t xml:space="preserve">(Niphal Imperativ, 2. Person Maskulinum Plural von </w:t>
      </w:r>
      <w:r>
        <w:rPr>
          <w:rStyle w:val="Fett"/>
          <w:rFonts w:eastAsiaTheme="majorEastAsia"/>
          <w:rtl/>
        </w:rPr>
        <w:t>שׁמר</w:t>
      </w:r>
      <w:r>
        <w:t xml:space="preserve">, „sich hüten, auf der Hut sein") und </w:t>
      </w:r>
      <w:r>
        <w:rPr>
          <w:rStyle w:val="Fett"/>
          <w:rFonts w:eastAsiaTheme="majorEastAsia"/>
          <w:rtl/>
        </w:rPr>
        <w:t>לָכֶם</w:t>
      </w:r>
      <w:r>
        <w:rPr>
          <w:rtl/>
        </w:rPr>
        <w:t xml:space="preserve"> </w:t>
      </w:r>
      <w:r>
        <w:t xml:space="preserve">(Präposition </w:t>
      </w:r>
      <w:r>
        <w:rPr>
          <w:rStyle w:val="Fett"/>
          <w:rFonts w:eastAsiaTheme="majorEastAsia"/>
          <w:rtl/>
        </w:rPr>
        <w:t>לְ</w:t>
      </w:r>
      <w:r>
        <w:rPr>
          <w:rtl/>
        </w:rPr>
        <w:t xml:space="preserve"> </w:t>
      </w:r>
      <w:r>
        <w:t xml:space="preserve">mit Suffix 2. Person Maskulinum Plural als ethischer Dativ, „für euch, euch selbst"). Die Niphal-Form von </w:t>
      </w:r>
      <w:r>
        <w:rPr>
          <w:rStyle w:val="Fett"/>
          <w:rFonts w:eastAsiaTheme="majorEastAsia"/>
          <w:rtl/>
        </w:rPr>
        <w:t>שׁמר</w:t>
      </w:r>
      <w:r>
        <w:rPr>
          <w:rtl/>
        </w:rPr>
        <w:t xml:space="preserve"> </w:t>
      </w:r>
      <w:r>
        <w:t xml:space="preserve">hat reflexive Bedeutung („hütet euch, nehmt euch in Acht"). Der ethische Dativ verstärkt die persönliche Verantwortung. </w:t>
      </w:r>
      <w:r>
        <w:rPr>
          <w:rStyle w:val="Fett"/>
          <w:rFonts w:eastAsiaTheme="majorEastAsia"/>
          <w:rtl/>
        </w:rPr>
        <w:t>פֶּן יִפְתֶּה לְבַבְכֶם</w:t>
      </w:r>
      <w:r>
        <w:rPr>
          <w:rtl/>
        </w:rPr>
        <w:t xml:space="preserve"> </w:t>
      </w:r>
      <w:r>
        <w:t xml:space="preserve">ist ein negativer Finalsatz: </w:t>
      </w:r>
      <w:r>
        <w:rPr>
          <w:rStyle w:val="Fett"/>
          <w:rFonts w:eastAsiaTheme="majorEastAsia"/>
          <w:rtl/>
        </w:rPr>
        <w:t>פֶּן</w:t>
      </w:r>
      <w:r>
        <w:rPr>
          <w:rtl/>
        </w:rPr>
        <w:t xml:space="preserve"> </w:t>
      </w:r>
      <w:r>
        <w:t xml:space="preserve">(„damit nicht, dass nicht") als negative finale Konjunktion, </w:t>
      </w:r>
      <w:r>
        <w:rPr>
          <w:rStyle w:val="Fett"/>
          <w:rFonts w:eastAsiaTheme="majorEastAsia"/>
          <w:rtl/>
        </w:rPr>
        <w:t>יִפְתֶּה</w:t>
      </w:r>
      <w:r>
        <w:rPr>
          <w:rtl/>
        </w:rPr>
        <w:t xml:space="preserve"> </w:t>
      </w:r>
      <w:r>
        <w:t xml:space="preserve">(Qal Imperfekt, 3. Person Maskulinum Singular von </w:t>
      </w:r>
      <w:r>
        <w:rPr>
          <w:rStyle w:val="Fett"/>
          <w:rFonts w:eastAsiaTheme="majorEastAsia"/>
          <w:rtl/>
        </w:rPr>
        <w:t>פתה</w:t>
      </w:r>
      <w:r>
        <w:t xml:space="preserve">, „verführen, verleiten, betören") als Prädikat und </w:t>
      </w:r>
      <w:r>
        <w:rPr>
          <w:rStyle w:val="Fett"/>
          <w:rFonts w:eastAsiaTheme="majorEastAsia"/>
          <w:rtl/>
        </w:rPr>
        <w:t>לְבַבְכֶם</w:t>
      </w:r>
      <w:r>
        <w:rPr>
          <w:rtl/>
        </w:rPr>
        <w:t xml:space="preserve"> </w:t>
      </w:r>
      <w:r>
        <w:t xml:space="preserve">(Plural von </w:t>
      </w:r>
      <w:r>
        <w:rPr>
          <w:rStyle w:val="Fett"/>
          <w:rFonts w:eastAsiaTheme="majorEastAsia"/>
          <w:rtl/>
        </w:rPr>
        <w:t>לֵבָב</w:t>
      </w:r>
      <w:r>
        <w:t xml:space="preserve">, „Herz", mit Suffix 2. Person Maskulinum Plural) als Subjekt. Das Verb </w:t>
      </w:r>
      <w:r>
        <w:rPr>
          <w:rStyle w:val="Fett"/>
          <w:rFonts w:eastAsiaTheme="majorEastAsia"/>
          <w:rtl/>
        </w:rPr>
        <w:t>פתה</w:t>
      </w:r>
      <w:r>
        <w:rPr>
          <w:rtl/>
        </w:rPr>
        <w:t xml:space="preserve"> </w:t>
      </w:r>
      <w:r>
        <w:t>bezeichnet die Verführung zu falschem Handeln, oft mit sexuellen oder religiösen Konnotationen.</w:t>
      </w:r>
    </w:p>
    <w:p w14:paraId="7C91B45A" w14:textId="77777777" w:rsidR="00AB44EE" w:rsidRDefault="00AB44EE" w:rsidP="00AB44EE">
      <w:pPr>
        <w:pStyle w:val="whitespace-normal"/>
      </w:pPr>
      <w:r>
        <w:rPr>
          <w:rStyle w:val="Fett"/>
          <w:rFonts w:eastAsiaTheme="majorEastAsia"/>
          <w:rtl/>
        </w:rPr>
        <w:lastRenderedPageBreak/>
        <w:t>וְסַרְתֶּם</w:t>
      </w:r>
      <w:r>
        <w:rPr>
          <w:rtl/>
        </w:rPr>
        <w:t xml:space="preserve"> </w:t>
      </w:r>
      <w:r>
        <w:t xml:space="preserve">ist Qal Perfekt, 2. Person Maskulinum Plural von </w:t>
      </w:r>
      <w:r>
        <w:rPr>
          <w:rStyle w:val="Fett"/>
          <w:rFonts w:eastAsiaTheme="majorEastAsia"/>
          <w:rtl/>
        </w:rPr>
        <w:t>סור</w:t>
      </w:r>
      <w:r>
        <w:rPr>
          <w:rtl/>
        </w:rPr>
        <w:t xml:space="preserve"> </w:t>
      </w:r>
      <w:r>
        <w:t xml:space="preserve">(„abweichen, sich abwenden") mit </w:t>
      </w:r>
      <w:r>
        <w:rPr>
          <w:rStyle w:val="Fett"/>
          <w:rFonts w:eastAsiaTheme="majorEastAsia"/>
        </w:rPr>
        <w:t>Waw</w:t>
      </w:r>
      <w:r>
        <w:t xml:space="preserve"> copulativum, das hier als consecutives Perfekt die Folge der Verführung beschreibt. Das Verb </w:t>
      </w:r>
      <w:r>
        <w:rPr>
          <w:rStyle w:val="Fett"/>
          <w:rFonts w:eastAsiaTheme="majorEastAsia"/>
          <w:rtl/>
        </w:rPr>
        <w:t>סור</w:t>
      </w:r>
      <w:r>
        <w:rPr>
          <w:rtl/>
        </w:rPr>
        <w:t xml:space="preserve"> </w:t>
      </w:r>
      <w:r>
        <w:t xml:space="preserve">bezeichnet die Abkehr vom rechten Weg oder von JHWH. </w:t>
      </w:r>
      <w:r>
        <w:rPr>
          <w:rStyle w:val="Fett"/>
          <w:rFonts w:eastAsiaTheme="majorEastAsia"/>
          <w:rtl/>
        </w:rPr>
        <w:t>וַעֲבַדְתֶּם אֱלֹהִים אֲחֵרִים</w:t>
      </w:r>
      <w:r>
        <w:rPr>
          <w:rtl/>
        </w:rPr>
        <w:t xml:space="preserve"> </w:t>
      </w:r>
      <w:r>
        <w:t xml:space="preserve">ist koordiniert: </w:t>
      </w:r>
      <w:r>
        <w:rPr>
          <w:rStyle w:val="Fett"/>
          <w:rFonts w:eastAsiaTheme="majorEastAsia"/>
          <w:rtl/>
        </w:rPr>
        <w:t>וַעֲבַדְתֶּם</w:t>
      </w:r>
      <w:r>
        <w:rPr>
          <w:rtl/>
        </w:rPr>
        <w:t xml:space="preserve"> </w:t>
      </w:r>
      <w:r>
        <w:t xml:space="preserve">(Qal Perfekt, 2. Person Maskulinum Plural von </w:t>
      </w:r>
      <w:r>
        <w:rPr>
          <w:rStyle w:val="Fett"/>
          <w:rFonts w:eastAsiaTheme="majorEastAsia"/>
          <w:rtl/>
        </w:rPr>
        <w:t>עבד</w:t>
      </w:r>
      <w:r>
        <w:t xml:space="preserve">, „dienen", mit </w:t>
      </w:r>
      <w:r>
        <w:rPr>
          <w:rStyle w:val="Fett"/>
          <w:rFonts w:eastAsiaTheme="majorEastAsia"/>
        </w:rPr>
        <w:t>Waw</w:t>
      </w:r>
      <w:r>
        <w:t xml:space="preserve">) als Prädikat und </w:t>
      </w:r>
      <w:r>
        <w:rPr>
          <w:rStyle w:val="Fett"/>
          <w:rFonts w:eastAsiaTheme="majorEastAsia"/>
          <w:rtl/>
        </w:rPr>
        <w:t>אֱלֹהִים אֲחֵרִים</w:t>
      </w:r>
      <w:r>
        <w:rPr>
          <w:rtl/>
        </w:rPr>
        <w:t xml:space="preserve"> </w:t>
      </w:r>
      <w:r>
        <w:t xml:space="preserve">(Plural von </w:t>
      </w:r>
      <w:r>
        <w:rPr>
          <w:rStyle w:val="Fett"/>
          <w:rFonts w:eastAsiaTheme="majorEastAsia"/>
          <w:rtl/>
        </w:rPr>
        <w:t>אֱלֹהִים</w:t>
      </w:r>
      <w:r>
        <w:t xml:space="preserve">, „Götter", mit Adjektiv </w:t>
      </w:r>
      <w:r>
        <w:rPr>
          <w:rStyle w:val="Fett"/>
          <w:rFonts w:eastAsiaTheme="majorEastAsia"/>
          <w:rtl/>
        </w:rPr>
        <w:t>אַחֵר</w:t>
      </w:r>
      <w:r>
        <w:t xml:space="preserve">, „andere", Plural) als direktes Objekt. Die Wendung </w:t>
      </w:r>
      <w:r>
        <w:rPr>
          <w:rStyle w:val="Fett"/>
          <w:rFonts w:eastAsiaTheme="majorEastAsia"/>
          <w:rtl/>
        </w:rPr>
        <w:t>אֱלֹהִים אֲחֵרִים</w:t>
      </w:r>
      <w:r>
        <w:rPr>
          <w:rtl/>
        </w:rPr>
        <w:t xml:space="preserve"> </w:t>
      </w:r>
      <w:r>
        <w:t>(„andere Götter") ist die deuteronomische Standardformulierung für fremde Gottheiten und den Bruch des ersten Gebots.</w:t>
      </w:r>
    </w:p>
    <w:p w14:paraId="7CC0E47E" w14:textId="3F9E2B37" w:rsidR="00AB44EE" w:rsidRDefault="00AB44EE" w:rsidP="00AB44EE">
      <w:pPr>
        <w:pStyle w:val="whitespace-normal"/>
      </w:pPr>
      <w:r>
        <w:rPr>
          <w:rStyle w:val="Fett"/>
          <w:rFonts w:eastAsiaTheme="majorEastAsia"/>
          <w:rtl/>
        </w:rPr>
        <w:t>וְהִשְׁתַּחֲוִיתֶם לָהֶם</w:t>
      </w:r>
      <w:r>
        <w:rPr>
          <w:rtl/>
        </w:rPr>
        <w:t xml:space="preserve"> </w:t>
      </w:r>
      <w:r>
        <w:t xml:space="preserve">ist der zweite Teil des koordinierten Satzes: </w:t>
      </w:r>
      <w:r>
        <w:rPr>
          <w:rStyle w:val="Fett"/>
          <w:rFonts w:eastAsiaTheme="majorEastAsia"/>
          <w:rtl/>
        </w:rPr>
        <w:t>וְהִשְׁתַּחֲוִיתֶם</w:t>
      </w:r>
      <w:r>
        <w:rPr>
          <w:rtl/>
        </w:rPr>
        <w:t xml:space="preserve"> </w:t>
      </w:r>
      <w:r>
        <w:t>(Hitp</w:t>
      </w:r>
      <w:r w:rsidR="007E2044">
        <w:t>a</w:t>
      </w:r>
      <w:r>
        <w:t xml:space="preserve">el Perfekt, 2. Person Maskulinum Plural von </w:t>
      </w:r>
      <w:r>
        <w:rPr>
          <w:rStyle w:val="Fett"/>
          <w:rFonts w:eastAsiaTheme="majorEastAsia"/>
          <w:rtl/>
        </w:rPr>
        <w:t>חוה</w:t>
      </w:r>
      <w:r>
        <w:t xml:space="preserve">, „sich niederwerfen, anbeten", mit </w:t>
      </w:r>
      <w:r>
        <w:rPr>
          <w:rStyle w:val="Fett"/>
          <w:rFonts w:eastAsiaTheme="majorEastAsia"/>
        </w:rPr>
        <w:t>Waw</w:t>
      </w:r>
      <w:r>
        <w:t xml:space="preserve">) und </w:t>
      </w:r>
      <w:r>
        <w:rPr>
          <w:rStyle w:val="Fett"/>
          <w:rFonts w:eastAsiaTheme="majorEastAsia"/>
          <w:rtl/>
        </w:rPr>
        <w:t>לָהֶם</w:t>
      </w:r>
      <w:r>
        <w:rPr>
          <w:rtl/>
        </w:rPr>
        <w:t xml:space="preserve"> </w:t>
      </w:r>
      <w:r>
        <w:t xml:space="preserve">(Präposition </w:t>
      </w:r>
      <w:r>
        <w:rPr>
          <w:rStyle w:val="Fett"/>
          <w:rFonts w:eastAsiaTheme="majorEastAsia"/>
          <w:rtl/>
        </w:rPr>
        <w:t>לְ</w:t>
      </w:r>
      <w:r>
        <w:rPr>
          <w:rtl/>
        </w:rPr>
        <w:t xml:space="preserve"> </w:t>
      </w:r>
      <w:r>
        <w:t xml:space="preserve">mit Suffix 3. Person Maskulinum Plural). Die </w:t>
      </w:r>
      <w:r w:rsidR="007E2044">
        <w:t>Hitpael</w:t>
      </w:r>
      <w:r>
        <w:t xml:space="preserve">-Form ist reflexiv und drückt die Selbsterniedrigung in der Anbetung aus. Das Verb </w:t>
      </w:r>
      <w:r>
        <w:rPr>
          <w:rStyle w:val="Fett"/>
          <w:rFonts w:eastAsiaTheme="majorEastAsia"/>
          <w:rtl/>
        </w:rPr>
        <w:t>חוה</w:t>
      </w:r>
      <w:r>
        <w:rPr>
          <w:rtl/>
        </w:rPr>
        <w:t xml:space="preserve"> </w:t>
      </w:r>
      <w:r>
        <w:t xml:space="preserve">bezeichnet die körperliche Proskynese als Akt der Verehrung. Die Präposition </w:t>
      </w:r>
      <w:r>
        <w:rPr>
          <w:rStyle w:val="Fett"/>
          <w:rFonts w:eastAsiaTheme="majorEastAsia"/>
          <w:rtl/>
        </w:rPr>
        <w:t>לְ</w:t>
      </w:r>
      <w:r>
        <w:rPr>
          <w:rtl/>
        </w:rPr>
        <w:t xml:space="preserve"> </w:t>
      </w:r>
      <w:r>
        <w:t>markiert das Objekt der Anbetung.</w:t>
      </w:r>
    </w:p>
    <w:p w14:paraId="0F0AA319" w14:textId="77777777" w:rsidR="00AB44EE" w:rsidRDefault="00AB44EE" w:rsidP="00AB44EE">
      <w:pPr>
        <w:pStyle w:val="whitespace-normal"/>
      </w:pPr>
      <w:r>
        <w:t>Die Syntax zeigt eine klare Ursache-Wirkungs-Kette: Verführung des Herzens führt zu Abkehr von JHWH, dann zu Dienst an fremden Göttern und schließlich zur Anbetung dieser Götter. Die vier Verben (</w:t>
      </w:r>
      <w:r>
        <w:rPr>
          <w:rStyle w:val="Fett"/>
          <w:rFonts w:eastAsiaTheme="majorEastAsia"/>
          <w:rtl/>
        </w:rPr>
        <w:t>יִפְתֶּה</w:t>
      </w:r>
      <w:r>
        <w:t xml:space="preserve">, </w:t>
      </w:r>
      <w:r>
        <w:rPr>
          <w:rStyle w:val="Fett"/>
          <w:rFonts w:eastAsiaTheme="majorEastAsia"/>
          <w:rtl/>
        </w:rPr>
        <w:t>וְסַרְתֶּם</w:t>
      </w:r>
      <w:r>
        <w:t xml:space="preserve">, </w:t>
      </w:r>
      <w:r>
        <w:rPr>
          <w:rStyle w:val="Fett"/>
          <w:rFonts w:eastAsiaTheme="majorEastAsia"/>
          <w:rtl/>
        </w:rPr>
        <w:t>וַעֲבַדְתֶּם</w:t>
      </w:r>
      <w:r>
        <w:t xml:space="preserve">, </w:t>
      </w:r>
      <w:r>
        <w:rPr>
          <w:rStyle w:val="Fett"/>
          <w:rFonts w:eastAsiaTheme="majorEastAsia"/>
          <w:rtl/>
        </w:rPr>
        <w:t>וְהִשְׁתַּחֲוִיתֶם</w:t>
      </w:r>
      <w:r>
        <w:t>) bilden eine Klimax der Abtrünnigkeit. Die Warnung steht in direktem Kontrast zu den Segensverheißungen der vorherigen Verse: Während Gehorsam zu Wohlstand führt (V. 13-15), führt Götzendienst zu Fluch (wie V. 17 zeigen wird). Das Herz (</w:t>
      </w:r>
      <w:r>
        <w:rPr>
          <w:rStyle w:val="Fett"/>
          <w:rFonts w:eastAsiaTheme="majorEastAsia"/>
          <w:rtl/>
        </w:rPr>
        <w:t>לֵבָב</w:t>
      </w:r>
      <w:r>
        <w:t xml:space="preserve">) als Sitz des Willens und der Entscheidung ist der Ausgangspunkt: Wird es verführt, folgt die gesamte Person. Die Doppelung </w:t>
      </w:r>
      <w:r>
        <w:rPr>
          <w:rStyle w:val="Fett"/>
          <w:rFonts w:eastAsiaTheme="majorEastAsia"/>
          <w:rtl/>
        </w:rPr>
        <w:t>עבד</w:t>
      </w:r>
      <w:r>
        <w:rPr>
          <w:rtl/>
        </w:rPr>
        <w:t xml:space="preserve"> </w:t>
      </w:r>
      <w:r>
        <w:t xml:space="preserve">(„dienen") und </w:t>
      </w:r>
      <w:r>
        <w:rPr>
          <w:rStyle w:val="Fett"/>
          <w:rFonts w:eastAsiaTheme="majorEastAsia"/>
          <w:rtl/>
        </w:rPr>
        <w:t>השׁתחוה</w:t>
      </w:r>
      <w:r>
        <w:rPr>
          <w:rtl/>
        </w:rPr>
        <w:t xml:space="preserve"> </w:t>
      </w:r>
      <w:r>
        <w:t>(„sich niederwerfen") umfasst beide Aspekte der Götzenverehrung: praktischen Kult und körperliche Anbetung.</w:t>
      </w:r>
    </w:p>
    <w:p w14:paraId="261FAA29" w14:textId="77777777" w:rsidR="00AB44EE" w:rsidRDefault="00AB44EE" w:rsidP="00AB44EE">
      <w:pPr>
        <w:pStyle w:val="whitespace-normal"/>
      </w:pPr>
      <w:r>
        <w:rPr>
          <w:rStyle w:val="Fett"/>
          <w:rFonts w:eastAsiaTheme="majorEastAsia"/>
        </w:rPr>
        <w:t>Die LXX</w:t>
      </w:r>
      <w:r>
        <w:t xml:space="preserve"> übersetzt „hütet euch" mit „π</w:t>
      </w:r>
      <w:proofErr w:type="spellStart"/>
      <w:r>
        <w:t>ρόσεχε</w:t>
      </w:r>
      <w:proofErr w:type="spellEnd"/>
      <w:r>
        <w:t xml:space="preserve"> </w:t>
      </w:r>
      <w:proofErr w:type="spellStart"/>
      <w:r>
        <w:t>σε</w:t>
      </w:r>
      <w:proofErr w:type="spellEnd"/>
      <w:r>
        <w:t>αυτῷ" (Singular statt Plural), „damit nicht verführt werde" mit „</w:t>
      </w:r>
      <w:proofErr w:type="spellStart"/>
      <w:r>
        <w:t>μὴ</w:t>
      </w:r>
      <w:proofErr w:type="spellEnd"/>
      <w:r>
        <w:t xml:space="preserve"> πλα</w:t>
      </w:r>
      <w:proofErr w:type="spellStart"/>
      <w:r>
        <w:t>τυνθῇ</w:t>
      </w:r>
      <w:proofErr w:type="spellEnd"/>
      <w:r>
        <w:t xml:space="preserve"> ἡ κα</w:t>
      </w:r>
      <w:proofErr w:type="spellStart"/>
      <w:r>
        <w:t>ρδί</w:t>
      </w:r>
      <w:proofErr w:type="spellEnd"/>
      <w:r>
        <w:t xml:space="preserve">α </w:t>
      </w:r>
      <w:proofErr w:type="spellStart"/>
      <w:r>
        <w:t>σου</w:t>
      </w:r>
      <w:proofErr w:type="spellEnd"/>
      <w:r>
        <w:t>" („dass dein Herz nicht weit werde"), was eine interpretierende Übersetzung darstellt.</w:t>
      </w:r>
    </w:p>
    <w:p w14:paraId="27CFA397" w14:textId="77777777" w:rsidR="00AB44EE" w:rsidRDefault="00AB44EE" w:rsidP="00AB44EE">
      <w:pPr>
        <w:pStyle w:val="whitespace-normal"/>
      </w:pPr>
      <w:r>
        <w:t>Die Satzstruktur besteht aus einem Imperativ mit negativem Finalsatz und drei koordinierten Folgesätzen: Imperativ mit ethischem Dativ (hütet euch), negativer Finalsatz mit Subjekt und Prädikat (damit nicht verführt werde euer Herz); drei koordinierte Folgesätze mit Prädikat (abweicht), Prädikat mit direktem Objekt (anderen Göttern dient) und Prädikat mit präpositionalem Objekt (euch vor ihnen niederwerft).</w:t>
      </w:r>
    </w:p>
    <w:p w14:paraId="63C39046" w14:textId="77777777" w:rsidR="00AB44EE" w:rsidRDefault="00AB44EE" w:rsidP="00AB44EE">
      <w:pPr>
        <w:pStyle w:val="whitespace-normal"/>
      </w:pPr>
      <w:r>
        <w:t>Der Vers warnt eindringlich vor Abfall: Die Verführung des Herzens führt schrittweise zur Abkehr von JHWH und zur Anbetung fremder Götter, was den Bundesbruch bedeutet.</w:t>
      </w:r>
    </w:p>
    <w:p w14:paraId="6DAF418E" w14:textId="77777777" w:rsidR="00AB44EE" w:rsidRPr="00AB44EE" w:rsidRDefault="00AB44EE" w:rsidP="00AB44EE">
      <w:pPr>
        <w:pStyle w:val="berschrift1"/>
        <w:rPr>
          <w:rFonts w:ascii="Times New Roman" w:hAnsi="Times New Roman"/>
          <w:color w:val="auto"/>
          <w:sz w:val="36"/>
          <w:szCs w:val="36"/>
        </w:rPr>
      </w:pPr>
      <w:r w:rsidRPr="00AB44EE">
        <w:rPr>
          <w:rStyle w:val="Fett"/>
          <w:rFonts w:ascii="Times New Roman" w:hAnsi="Times New Roman"/>
          <w:color w:val="auto"/>
          <w:sz w:val="36"/>
          <w:szCs w:val="36"/>
        </w:rPr>
        <w:t>Deuteronomium 11,17</w:t>
      </w:r>
    </w:p>
    <w:p w14:paraId="7772C4B7" w14:textId="77777777" w:rsidR="00AB44EE" w:rsidRDefault="00AB44EE" w:rsidP="00AB44EE">
      <w:pPr>
        <w:pStyle w:val="whitespace-normal"/>
      </w:pPr>
      <w:r>
        <w:rPr>
          <w:rStyle w:val="Fett"/>
          <w:rFonts w:eastAsiaTheme="majorEastAsia"/>
        </w:rPr>
        <w:t>Hebräisch:</w:t>
      </w:r>
      <w:r>
        <w:t xml:space="preserve"> </w:t>
      </w:r>
      <w:r>
        <w:rPr>
          <w:rtl/>
        </w:rPr>
        <w:t>וְחָרָ֨ה אַף־יְהוָ֜ה בָּכֶ֗ם וְעָצַ֤ר אֶת־הַשָּׁמַ֨יִם֙ וְלֹֽא־יִהְיֶ֣ה מָטָ֔ר וְהָ֣אֲדָמָ֔ה לֹ֥א תִתֵּ֖ן אֶת־יְבוּלָ֑הּ וַאֲבַדְתֶּ֣ם מְהֵרָ֗ה מֵעַל֙ הָאָ֣רֶץ הַטֹּבָ֔ה אֲשֶׁ֥ר יְהוָ֖ה נֹתֵ֥ן לָכֶֽם׃</w:t>
      </w:r>
    </w:p>
    <w:p w14:paraId="08F1A27C" w14:textId="77777777" w:rsidR="00AB44EE" w:rsidRDefault="00AB44EE" w:rsidP="00AB44EE">
      <w:pPr>
        <w:pStyle w:val="whitespace-normal"/>
      </w:pPr>
      <w:r>
        <w:rPr>
          <w:rStyle w:val="Fett"/>
          <w:rFonts w:eastAsiaTheme="majorEastAsia"/>
        </w:rPr>
        <w:t>Deutsch:</w:t>
      </w:r>
      <w:r>
        <w:t xml:space="preserve"> und der Zorn des Ewigen gegen euch entbrennt und er den Himmel verschließt, dass kein Regen sei und der Erdboden seinen Ertrag nicht gebe und ihr bald aus dem guten Land vertilgt werdet, das der Ewige euch gibt.</w:t>
      </w:r>
    </w:p>
    <w:p w14:paraId="38F32838" w14:textId="77777777" w:rsidR="00AB44EE" w:rsidRDefault="004F5CEB" w:rsidP="00AB44EE">
      <w:r>
        <w:rPr>
          <w:noProof/>
        </w:rPr>
        <w:lastRenderedPageBreak/>
        <w:pict w14:anchorId="7E07009B">
          <v:rect id="_x0000_i1357" style="width:0;height:1.5pt" o:hralign="center" o:hrstd="t" o:hr="t" fillcolor="#a0a0a0" stroked="f"/>
        </w:pict>
      </w:r>
    </w:p>
    <w:p w14:paraId="635AB685" w14:textId="77777777" w:rsidR="00AB44EE" w:rsidRDefault="00AB44EE" w:rsidP="00AB44EE">
      <w:pPr>
        <w:pStyle w:val="whitespace-normal"/>
      </w:pPr>
      <w:r>
        <w:rPr>
          <w:rStyle w:val="Fett"/>
          <w:rFonts w:eastAsiaTheme="majorEastAsia"/>
        </w:rPr>
        <w:t>Kommentar:</w:t>
      </w:r>
      <w:r>
        <w:t xml:space="preserve"> </w:t>
      </w:r>
      <w:r>
        <w:rPr>
          <w:rStyle w:val="Fett"/>
          <w:rFonts w:eastAsiaTheme="majorEastAsia"/>
          <w:rtl/>
        </w:rPr>
        <w:t>וְחָרָה אַף־יְהוָה בָּכֶם</w:t>
      </w:r>
      <w:r>
        <w:rPr>
          <w:rtl/>
        </w:rPr>
        <w:t xml:space="preserve"> </w:t>
      </w:r>
      <w:r>
        <w:t xml:space="preserve">ist der Hauptsatz, der die </w:t>
      </w:r>
      <w:proofErr w:type="spellStart"/>
      <w:r>
        <w:t>Fluchfolge</w:t>
      </w:r>
      <w:proofErr w:type="spellEnd"/>
      <w:r>
        <w:t xml:space="preserve"> einleitet: </w:t>
      </w:r>
      <w:r>
        <w:rPr>
          <w:rStyle w:val="Fett"/>
          <w:rFonts w:eastAsiaTheme="majorEastAsia"/>
          <w:rtl/>
        </w:rPr>
        <w:t>וְחָרָה</w:t>
      </w:r>
      <w:r>
        <w:rPr>
          <w:rtl/>
        </w:rPr>
        <w:t xml:space="preserve"> </w:t>
      </w:r>
      <w:r>
        <w:t xml:space="preserve">(Qal Perfekt, 3. Person Maskulinum Singular von </w:t>
      </w:r>
      <w:r>
        <w:rPr>
          <w:rStyle w:val="Fett"/>
          <w:rFonts w:eastAsiaTheme="majorEastAsia"/>
          <w:rtl/>
        </w:rPr>
        <w:t>חרה</w:t>
      </w:r>
      <w:r>
        <w:t xml:space="preserve">, „brennen, entbrennen, zürnen", mit </w:t>
      </w:r>
      <w:r>
        <w:rPr>
          <w:rStyle w:val="Fett"/>
          <w:rFonts w:eastAsiaTheme="majorEastAsia"/>
        </w:rPr>
        <w:t>Waw</w:t>
      </w:r>
      <w:r>
        <w:t xml:space="preserve"> copulativum als consecutives Perfekt), </w:t>
      </w:r>
      <w:r>
        <w:rPr>
          <w:rStyle w:val="Fett"/>
          <w:rFonts w:eastAsiaTheme="majorEastAsia"/>
          <w:rtl/>
        </w:rPr>
        <w:t>אַף־יְהוָה</w:t>
      </w:r>
      <w:r>
        <w:rPr>
          <w:rtl/>
        </w:rPr>
        <w:t xml:space="preserve"> </w:t>
      </w:r>
      <w:r>
        <w:t>(</w:t>
      </w:r>
      <w:r>
        <w:rPr>
          <w:rStyle w:val="Fett"/>
          <w:rFonts w:eastAsiaTheme="majorEastAsia"/>
          <w:rtl/>
        </w:rPr>
        <w:t>אַף</w:t>
      </w:r>
      <w:r>
        <w:t xml:space="preserve">, „Nase, Zorn", im Construct mit </w:t>
      </w:r>
      <w:r>
        <w:rPr>
          <w:rStyle w:val="Fett"/>
          <w:rFonts w:eastAsiaTheme="majorEastAsia"/>
          <w:rtl/>
        </w:rPr>
        <w:t>יְהוָה</w:t>
      </w:r>
      <w:r>
        <w:t xml:space="preserve">) als Subjekt und </w:t>
      </w:r>
      <w:r>
        <w:rPr>
          <w:rStyle w:val="Fett"/>
          <w:rFonts w:eastAsiaTheme="majorEastAsia"/>
          <w:rtl/>
        </w:rPr>
        <w:t>בָּכֶם</w:t>
      </w:r>
      <w:r>
        <w:rPr>
          <w:rtl/>
        </w:rPr>
        <w:t xml:space="preserve"> </w:t>
      </w:r>
      <w:r>
        <w:t xml:space="preserve">(Präposition </w:t>
      </w:r>
      <w:r>
        <w:rPr>
          <w:rStyle w:val="Fett"/>
          <w:rFonts w:eastAsiaTheme="majorEastAsia"/>
          <w:rtl/>
        </w:rPr>
        <w:t>בְּ</w:t>
      </w:r>
      <w:r>
        <w:rPr>
          <w:rtl/>
        </w:rPr>
        <w:t xml:space="preserve"> </w:t>
      </w:r>
      <w:r>
        <w:t xml:space="preserve">mit Suffix 2. Person Maskulinum Plural, „gegen euch") als präpositionales Objekt. Die idiomatische Wendung </w:t>
      </w:r>
      <w:r>
        <w:rPr>
          <w:rStyle w:val="Fett"/>
          <w:rFonts w:eastAsiaTheme="majorEastAsia"/>
          <w:rtl/>
        </w:rPr>
        <w:t>חרה אף</w:t>
      </w:r>
      <w:r>
        <w:rPr>
          <w:rtl/>
        </w:rPr>
        <w:t xml:space="preserve"> </w:t>
      </w:r>
      <w:r>
        <w:t>(„der Zorn entbrennt", wörtlich „die Nase brennt") beschreibt göttlichen Zorn. Das consecutive Perfekt knüpft an die Warnung in V. 16 an.</w:t>
      </w:r>
    </w:p>
    <w:p w14:paraId="2A1905C7" w14:textId="77777777" w:rsidR="00AB44EE" w:rsidRDefault="00AB44EE" w:rsidP="00AB44EE">
      <w:pPr>
        <w:pStyle w:val="whitespace-normal"/>
      </w:pPr>
      <w:r>
        <w:rPr>
          <w:rStyle w:val="Fett"/>
          <w:rFonts w:eastAsiaTheme="majorEastAsia"/>
          <w:rtl/>
        </w:rPr>
        <w:t>וְעָצַר אֶת־הַשָּׁמַיִם</w:t>
      </w:r>
      <w:r>
        <w:rPr>
          <w:rtl/>
        </w:rPr>
        <w:t xml:space="preserve"> </w:t>
      </w:r>
      <w:r>
        <w:t xml:space="preserve">ist koordiniert: </w:t>
      </w:r>
      <w:r>
        <w:rPr>
          <w:rStyle w:val="Fett"/>
          <w:rFonts w:eastAsiaTheme="majorEastAsia"/>
          <w:rtl/>
        </w:rPr>
        <w:t>וְעָצַר</w:t>
      </w:r>
      <w:r>
        <w:rPr>
          <w:rtl/>
        </w:rPr>
        <w:t xml:space="preserve"> </w:t>
      </w:r>
      <w:r>
        <w:t xml:space="preserve">(Qal Perfekt, 3. Person Maskulinum Singular von </w:t>
      </w:r>
      <w:r>
        <w:rPr>
          <w:rStyle w:val="Fett"/>
          <w:rFonts w:eastAsiaTheme="majorEastAsia"/>
          <w:rtl/>
        </w:rPr>
        <w:t>עצר</w:t>
      </w:r>
      <w:r>
        <w:t xml:space="preserve">, „zurückhalten, verschließen, hemmen", mit </w:t>
      </w:r>
      <w:r>
        <w:rPr>
          <w:rStyle w:val="Fett"/>
          <w:rFonts w:eastAsiaTheme="majorEastAsia"/>
        </w:rPr>
        <w:t>Waw</w:t>
      </w:r>
      <w:r>
        <w:t xml:space="preserve">) und </w:t>
      </w:r>
      <w:r>
        <w:rPr>
          <w:rStyle w:val="Fett"/>
          <w:rFonts w:eastAsiaTheme="majorEastAsia"/>
          <w:rtl/>
        </w:rPr>
        <w:t>אֶת־הַשָּׁמַיִם</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שָׁמַיִם</w:t>
      </w:r>
      <w:r>
        <w:t xml:space="preserve">, „Himmel", Dual mit Artikel). Die Metapher vom „Verschließen des Himmels" bezeichnet die Verweigerung des Regens. </w:t>
      </w:r>
      <w:r>
        <w:rPr>
          <w:rStyle w:val="Fett"/>
          <w:rFonts w:eastAsiaTheme="majorEastAsia"/>
          <w:rtl/>
        </w:rPr>
        <w:t>וְלֹא־יִהְיֶה מָטָר</w:t>
      </w:r>
      <w:r>
        <w:rPr>
          <w:rtl/>
        </w:rPr>
        <w:t xml:space="preserve"> </w:t>
      </w:r>
      <w:r>
        <w:t xml:space="preserve">ist ein negativer Zustandssatz: </w:t>
      </w:r>
      <w:r>
        <w:rPr>
          <w:rStyle w:val="Fett"/>
          <w:rFonts w:eastAsiaTheme="majorEastAsia"/>
          <w:rtl/>
        </w:rPr>
        <w:t>וְלֹא</w:t>
      </w:r>
      <w:r>
        <w:rPr>
          <w:rtl/>
        </w:rPr>
        <w:t xml:space="preserve"> </w:t>
      </w:r>
      <w:r>
        <w:t xml:space="preserve">(Negation mit </w:t>
      </w:r>
      <w:r>
        <w:rPr>
          <w:rStyle w:val="Fett"/>
          <w:rFonts w:eastAsiaTheme="majorEastAsia"/>
        </w:rPr>
        <w:t>Waw</w:t>
      </w:r>
      <w:r>
        <w:t xml:space="preserve">) mit </w:t>
      </w:r>
      <w:r>
        <w:rPr>
          <w:rStyle w:val="Fett"/>
          <w:rFonts w:eastAsiaTheme="majorEastAsia"/>
          <w:rtl/>
        </w:rPr>
        <w:t>יִהְיֶה</w:t>
      </w:r>
      <w:r>
        <w:rPr>
          <w:rtl/>
        </w:rPr>
        <w:t xml:space="preserve"> </w:t>
      </w:r>
      <w:r>
        <w:t xml:space="preserve">(Qal Imperfekt, 3. Person Maskulinum Singular von </w:t>
      </w:r>
      <w:r>
        <w:rPr>
          <w:rStyle w:val="Fett"/>
          <w:rFonts w:eastAsiaTheme="majorEastAsia"/>
          <w:rtl/>
        </w:rPr>
        <w:t>היה</w:t>
      </w:r>
      <w:r>
        <w:t xml:space="preserve">, „sein") und </w:t>
      </w:r>
      <w:r>
        <w:rPr>
          <w:rStyle w:val="Fett"/>
          <w:rFonts w:eastAsiaTheme="majorEastAsia"/>
          <w:rtl/>
        </w:rPr>
        <w:t>מָטָר</w:t>
      </w:r>
      <w:r>
        <w:rPr>
          <w:rtl/>
        </w:rPr>
        <w:t xml:space="preserve"> </w:t>
      </w:r>
      <w:r>
        <w:t>(„Regen") als Subjekt. Dieser Satz expliziert die Folge des Verschließens: Es wird keinen Regen geben.</w:t>
      </w:r>
    </w:p>
    <w:p w14:paraId="1CFF67A1" w14:textId="77777777" w:rsidR="00AB44EE" w:rsidRDefault="00AB44EE" w:rsidP="00AB44EE">
      <w:pPr>
        <w:pStyle w:val="whitespace-normal"/>
      </w:pPr>
      <w:r>
        <w:rPr>
          <w:rStyle w:val="Fett"/>
          <w:rFonts w:eastAsiaTheme="majorEastAsia"/>
          <w:rtl/>
        </w:rPr>
        <w:t>וְהָאֲדָמָה לֹא תִתֵּן אֶת־יְבוּלָהּ</w:t>
      </w:r>
      <w:r>
        <w:rPr>
          <w:rtl/>
        </w:rPr>
        <w:t xml:space="preserve"> </w:t>
      </w:r>
      <w:r>
        <w:t xml:space="preserve">ist ein zweiter koordinierter Satz: </w:t>
      </w:r>
      <w:r>
        <w:rPr>
          <w:rStyle w:val="Fett"/>
          <w:rFonts w:eastAsiaTheme="majorEastAsia"/>
          <w:rtl/>
        </w:rPr>
        <w:t>וְהָאֲדָמָה</w:t>
      </w:r>
      <w:r>
        <w:rPr>
          <w:rtl/>
        </w:rPr>
        <w:t xml:space="preserve"> </w:t>
      </w:r>
      <w:r>
        <w:t>(</w:t>
      </w:r>
      <w:r>
        <w:rPr>
          <w:rStyle w:val="Fett"/>
          <w:rFonts w:eastAsiaTheme="majorEastAsia"/>
          <w:rtl/>
        </w:rPr>
        <w:t>אֲדָמָה</w:t>
      </w:r>
      <w:r>
        <w:t xml:space="preserve">, „Erdboden, Ackerland", mit Artikel und </w:t>
      </w:r>
      <w:r>
        <w:rPr>
          <w:rStyle w:val="Fett"/>
          <w:rFonts w:eastAsiaTheme="majorEastAsia"/>
        </w:rPr>
        <w:t>Waw</w:t>
      </w:r>
      <w:r>
        <w:t xml:space="preserve">) als Subjekt, </w:t>
      </w:r>
      <w:r>
        <w:rPr>
          <w:rStyle w:val="Fett"/>
          <w:rFonts w:eastAsiaTheme="majorEastAsia"/>
          <w:rtl/>
        </w:rPr>
        <w:t>לֹא תִתֵּן</w:t>
      </w:r>
      <w:r>
        <w:rPr>
          <w:rtl/>
        </w:rPr>
        <w:t xml:space="preserve"> </w:t>
      </w:r>
      <w:r>
        <w:t xml:space="preserve">(Qal Imperfekt, 3. Person feminin Singular von </w:t>
      </w:r>
      <w:r>
        <w:rPr>
          <w:rStyle w:val="Fett"/>
          <w:rFonts w:eastAsiaTheme="majorEastAsia"/>
          <w:rtl/>
        </w:rPr>
        <w:t>נתן</w:t>
      </w:r>
      <w:r>
        <w:t xml:space="preserve">, „geben", negiert) und </w:t>
      </w:r>
      <w:r>
        <w:rPr>
          <w:rStyle w:val="Fett"/>
          <w:rFonts w:eastAsiaTheme="majorEastAsia"/>
          <w:rtl/>
        </w:rPr>
        <w:t>אֶת־יְבוּלָהּ</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יְבוּל</w:t>
      </w:r>
      <w:r>
        <w:t xml:space="preserve">, „Ertrag, Ernte", und Suffix 3. Person feminin Singular). Die Personifizierung der Erde, die ihren Ertrag nicht gibt, steht in direktem Kontrast zu den Segensverheißungen in V. 14-15. </w:t>
      </w:r>
      <w:r>
        <w:rPr>
          <w:rStyle w:val="Fett"/>
          <w:rFonts w:eastAsiaTheme="majorEastAsia"/>
          <w:rtl/>
        </w:rPr>
        <w:t>וַאֲבַדְתֶּם מְהֵרָה מֵעַל הָאָרֶץ הַטֹּבָה</w:t>
      </w:r>
      <w:r>
        <w:rPr>
          <w:rtl/>
        </w:rPr>
        <w:t xml:space="preserve"> </w:t>
      </w:r>
      <w:r>
        <w:t xml:space="preserve">ist der dritte koordinierte Satz: </w:t>
      </w:r>
      <w:r>
        <w:rPr>
          <w:rStyle w:val="Fett"/>
          <w:rFonts w:eastAsiaTheme="majorEastAsia"/>
          <w:rtl/>
        </w:rPr>
        <w:t>וַאֲבַדְתֶּם</w:t>
      </w:r>
      <w:r>
        <w:rPr>
          <w:rtl/>
        </w:rPr>
        <w:t xml:space="preserve"> </w:t>
      </w:r>
      <w:r>
        <w:t xml:space="preserve">(Qal Perfekt, 2. Person Maskulinum Plural von </w:t>
      </w:r>
      <w:r>
        <w:rPr>
          <w:rStyle w:val="Fett"/>
          <w:rFonts w:eastAsiaTheme="majorEastAsia"/>
          <w:rtl/>
        </w:rPr>
        <w:t>אבד</w:t>
      </w:r>
      <w:r>
        <w:t xml:space="preserve">, „zugrunde gehen, vertilgt werden", mit </w:t>
      </w:r>
      <w:r>
        <w:rPr>
          <w:rStyle w:val="Fett"/>
          <w:rFonts w:eastAsiaTheme="majorEastAsia"/>
        </w:rPr>
        <w:t>Waw</w:t>
      </w:r>
      <w:r>
        <w:t xml:space="preserve"> consecutivum), </w:t>
      </w:r>
      <w:r>
        <w:rPr>
          <w:rStyle w:val="Fett"/>
          <w:rFonts w:eastAsiaTheme="majorEastAsia"/>
          <w:rtl/>
        </w:rPr>
        <w:t>מְהֵרָה</w:t>
      </w:r>
      <w:r>
        <w:rPr>
          <w:rtl/>
        </w:rPr>
        <w:t xml:space="preserve"> </w:t>
      </w:r>
      <w:r>
        <w:t xml:space="preserve">(„schnell, bald") als temporales Adverb, </w:t>
      </w:r>
      <w:r>
        <w:rPr>
          <w:rStyle w:val="Fett"/>
          <w:rFonts w:eastAsiaTheme="majorEastAsia"/>
          <w:rtl/>
        </w:rPr>
        <w:t>מֵעַל הָאָרֶץ הַטֹּבָה</w:t>
      </w:r>
      <w:r>
        <w:rPr>
          <w:rtl/>
        </w:rPr>
        <w:t xml:space="preserve"> </w:t>
      </w:r>
      <w:r>
        <w:t xml:space="preserve">(Präposition </w:t>
      </w:r>
      <w:r>
        <w:rPr>
          <w:rStyle w:val="Fett"/>
          <w:rFonts w:eastAsiaTheme="majorEastAsia"/>
          <w:rtl/>
        </w:rPr>
        <w:t>מֵעַל</w:t>
      </w:r>
      <w:r>
        <w:t xml:space="preserve">, „von über, weg von", mit </w:t>
      </w:r>
      <w:r>
        <w:rPr>
          <w:rStyle w:val="Fett"/>
          <w:rFonts w:eastAsiaTheme="majorEastAsia"/>
          <w:rtl/>
        </w:rPr>
        <w:t>אֶרֶץ</w:t>
      </w:r>
      <w:r>
        <w:t xml:space="preserve">, „Land", mit Artikel und Adjektiv </w:t>
      </w:r>
      <w:r>
        <w:rPr>
          <w:rStyle w:val="Fett"/>
          <w:rFonts w:eastAsiaTheme="majorEastAsia"/>
          <w:rtl/>
        </w:rPr>
        <w:t>טוֹב</w:t>
      </w:r>
      <w:r>
        <w:t xml:space="preserve">, „gut", feminin mit Artikel). Die Wendung </w:t>
      </w:r>
      <w:r>
        <w:rPr>
          <w:rStyle w:val="Fett"/>
          <w:rFonts w:eastAsiaTheme="majorEastAsia"/>
          <w:rtl/>
        </w:rPr>
        <w:t>מֵעַל הָאָרֶץ</w:t>
      </w:r>
      <w:r>
        <w:rPr>
          <w:rtl/>
        </w:rPr>
        <w:t xml:space="preserve"> </w:t>
      </w:r>
      <w:r>
        <w:t>drückt die Vertreibung oder Vernichtung aus dem Land aus.</w:t>
      </w:r>
    </w:p>
    <w:p w14:paraId="0D375825" w14:textId="77777777" w:rsidR="00AB44EE" w:rsidRDefault="00AB44EE" w:rsidP="00AB44EE">
      <w:pPr>
        <w:pStyle w:val="whitespace-normal"/>
      </w:pPr>
      <w:r>
        <w:rPr>
          <w:rStyle w:val="Fett"/>
          <w:rFonts w:eastAsiaTheme="majorEastAsia"/>
          <w:rtl/>
        </w:rPr>
        <w:t>אֲשֶׁר יְהוָה נֹתֵן לָכֶם</w:t>
      </w:r>
      <w:r>
        <w:rPr>
          <w:rtl/>
        </w:rPr>
        <w:t xml:space="preserve"> </w:t>
      </w:r>
      <w:r>
        <w:t xml:space="preserve">ist ein Relativsatz: </w:t>
      </w:r>
      <w:r>
        <w:rPr>
          <w:rStyle w:val="Fett"/>
          <w:rFonts w:eastAsiaTheme="majorEastAsia"/>
          <w:rtl/>
        </w:rPr>
        <w:t>אֲשֶׁר</w:t>
      </w:r>
      <w:r>
        <w:rPr>
          <w:rtl/>
        </w:rPr>
        <w:t xml:space="preserve"> </w:t>
      </w:r>
      <w:r>
        <w:t xml:space="preserve">(Relativpronomen) mit </w:t>
      </w:r>
      <w:r>
        <w:rPr>
          <w:rStyle w:val="Fett"/>
          <w:rFonts w:eastAsiaTheme="majorEastAsia"/>
          <w:rtl/>
        </w:rPr>
        <w:t>יְהוָה</w:t>
      </w:r>
      <w:r>
        <w:rPr>
          <w:rtl/>
        </w:rPr>
        <w:t xml:space="preserve"> </w:t>
      </w:r>
      <w:r>
        <w:t xml:space="preserve">als Subjekt, </w:t>
      </w:r>
      <w:r>
        <w:rPr>
          <w:rStyle w:val="Fett"/>
          <w:rFonts w:eastAsiaTheme="majorEastAsia"/>
          <w:rtl/>
        </w:rPr>
        <w:t>נֹתֵן</w:t>
      </w:r>
      <w:r>
        <w:rPr>
          <w:rtl/>
        </w:rPr>
        <w:t xml:space="preserve"> </w:t>
      </w:r>
      <w:r>
        <w:t xml:space="preserve">(Qal Partizip Maskulinum Singular von </w:t>
      </w:r>
      <w:r>
        <w:rPr>
          <w:rStyle w:val="Fett"/>
          <w:rFonts w:eastAsiaTheme="majorEastAsia"/>
          <w:rtl/>
        </w:rPr>
        <w:t>נתן</w:t>
      </w:r>
      <w:r>
        <w:t xml:space="preserve">, „geben") und </w:t>
      </w:r>
      <w:r>
        <w:rPr>
          <w:rStyle w:val="Fett"/>
          <w:rFonts w:eastAsiaTheme="majorEastAsia"/>
          <w:rtl/>
        </w:rPr>
        <w:t>לָכֶם</w:t>
      </w:r>
      <w:r>
        <w:rPr>
          <w:rtl/>
        </w:rPr>
        <w:t xml:space="preserve"> </w:t>
      </w:r>
      <w:r>
        <w:t xml:space="preserve">(Präposition </w:t>
      </w:r>
      <w:r>
        <w:rPr>
          <w:rStyle w:val="Fett"/>
          <w:rFonts w:eastAsiaTheme="majorEastAsia"/>
          <w:rtl/>
        </w:rPr>
        <w:t>לְ</w:t>
      </w:r>
      <w:r>
        <w:rPr>
          <w:rtl/>
        </w:rPr>
        <w:t xml:space="preserve"> </w:t>
      </w:r>
      <w:r>
        <w:t>mit Suffix 2. Person Maskulinum Plural). Das Partizip betont die fortdauernde Gabe Gottes, was die Ironie des Verlusts durch Ungehorsam unterstreicht.</w:t>
      </w:r>
    </w:p>
    <w:p w14:paraId="1F3D2FF3" w14:textId="77777777" w:rsidR="00AB44EE" w:rsidRDefault="00AB44EE" w:rsidP="00AB44EE">
      <w:pPr>
        <w:pStyle w:val="whitespace-normal"/>
      </w:pPr>
      <w:r>
        <w:t xml:space="preserve">Die Syntax zeigt die dramatische Umkehrung des Segens: Während V. 13-15 den Regen und die Ernte als Folge des Gehorsams verheißen, droht V. 17 mit der Verweigerung von Regen und Ertrag sowie der Vertreibung aus dem Land als Folge des Götzendienstes. Die Struktur ist chiastisch zu V. 14-15: Dort gibt JHWH Regen und Ernte, hier verschließt er den Himmel und die Erde gibt keinen Ertrag. Die vier koordinierten Sätze bauen eine Klimax auf: Zorn → kein Regen → kein Ertrag → Vertreibung. Das Adverb </w:t>
      </w:r>
      <w:r>
        <w:rPr>
          <w:rStyle w:val="Fett"/>
          <w:rFonts w:eastAsiaTheme="majorEastAsia"/>
          <w:rtl/>
        </w:rPr>
        <w:t>מְהֵרָה</w:t>
      </w:r>
      <w:r>
        <w:rPr>
          <w:rtl/>
        </w:rPr>
        <w:t xml:space="preserve"> </w:t>
      </w:r>
      <w:r>
        <w:t xml:space="preserve">(„schnell") betont die Plötzlichkeit des Gerichts. Der Kontrast zwischen </w:t>
      </w:r>
      <w:r>
        <w:rPr>
          <w:rStyle w:val="Fett"/>
          <w:rFonts w:eastAsiaTheme="majorEastAsia"/>
          <w:rtl/>
        </w:rPr>
        <w:t>הָאָרֶץ הַטֹּבָה</w:t>
      </w:r>
      <w:r>
        <w:rPr>
          <w:rtl/>
        </w:rPr>
        <w:t xml:space="preserve"> </w:t>
      </w:r>
      <w:r>
        <w:t>(„das gute Land") und der drohenden Vertreibung ist besonders scharf.</w:t>
      </w:r>
    </w:p>
    <w:p w14:paraId="09655313" w14:textId="77777777" w:rsidR="00AB44EE" w:rsidRDefault="00AB44EE" w:rsidP="00AB44EE">
      <w:pPr>
        <w:pStyle w:val="whitespace-normal"/>
      </w:pPr>
      <w:r>
        <w:rPr>
          <w:rStyle w:val="Fett"/>
          <w:rFonts w:eastAsiaTheme="majorEastAsia"/>
        </w:rPr>
        <w:t>Die LXX</w:t>
      </w:r>
      <w:r>
        <w:t xml:space="preserve"> übersetzt „der Zorn JHWHs entbrennt" mit „</w:t>
      </w:r>
      <w:proofErr w:type="spellStart"/>
      <w:r>
        <w:t>θυμωθῇ</w:t>
      </w:r>
      <w:proofErr w:type="spellEnd"/>
      <w:r>
        <w:t xml:space="preserve"> </w:t>
      </w:r>
      <w:proofErr w:type="spellStart"/>
      <w:r>
        <w:t>ὀργῇ</w:t>
      </w:r>
      <w:proofErr w:type="spellEnd"/>
      <w:r>
        <w:t xml:space="preserve"> </w:t>
      </w:r>
      <w:proofErr w:type="spellStart"/>
      <w:r>
        <w:t>κύριος</w:t>
      </w:r>
      <w:proofErr w:type="spellEnd"/>
      <w:r>
        <w:t>", „verschließt" mit „</w:t>
      </w:r>
      <w:proofErr w:type="spellStart"/>
      <w:r>
        <w:t>συσχῇ</w:t>
      </w:r>
      <w:proofErr w:type="spellEnd"/>
      <w:r>
        <w:t>", „es wird kein Regen sein" mit „</w:t>
      </w:r>
      <w:proofErr w:type="spellStart"/>
      <w:r>
        <w:t>οὐκ</w:t>
      </w:r>
      <w:proofErr w:type="spellEnd"/>
      <w:r>
        <w:t xml:space="preserve"> </w:t>
      </w:r>
      <w:proofErr w:type="spellStart"/>
      <w:r>
        <w:t>ἔστ</w:t>
      </w:r>
      <w:proofErr w:type="spellEnd"/>
      <w:r>
        <w:t xml:space="preserve">αι </w:t>
      </w:r>
      <w:proofErr w:type="spellStart"/>
      <w:r>
        <w:t>ὑετός</w:t>
      </w:r>
      <w:proofErr w:type="spellEnd"/>
      <w:r>
        <w:t>" und „ihr werdet vertilgt" mit „ἀπ</w:t>
      </w:r>
      <w:proofErr w:type="spellStart"/>
      <w:r>
        <w:t>ολεῖσθε</w:t>
      </w:r>
      <w:proofErr w:type="spellEnd"/>
      <w:r>
        <w:t>".</w:t>
      </w:r>
    </w:p>
    <w:p w14:paraId="0F30B28F" w14:textId="77777777" w:rsidR="00AB44EE" w:rsidRDefault="00AB44EE" w:rsidP="00AB44EE">
      <w:pPr>
        <w:pStyle w:val="whitespace-normal"/>
      </w:pPr>
      <w:r>
        <w:lastRenderedPageBreak/>
        <w:t>Die Satzstruktur besteht aus vier koordinierten Hauptsätzen und einem Relativsatz: Erster Hauptsatz mit Prädikat und Subjekt (entbrennt der Zorn JHWHs), präpositionaler Bestimmung (gegen euch); zweiter Hauptsatz mit Prädikat und direktem Objekt (verschließt den Himmel); dritter Hauptsatz mit Negation, Prädikat und Subjekt (es wird kein Regen sein); vierter Hauptsatz mit Subjekt, Negation, Prädikat und direktem Objekt (der Erdboden gibt nicht seinen Ertrag); fünfter Hauptsatz mit Prädikat, temporalem Adverb und lokaler Bestimmung (ihr werdet schnell vertilgt vom guten Land); Relativsatz mit Subjekt, partizipialem Prädikat und Dativobjekt (das JHWH euch gibt).</w:t>
      </w:r>
    </w:p>
    <w:p w14:paraId="5A3EC355" w14:textId="77777777" w:rsidR="00AB44EE" w:rsidRDefault="00AB44EE" w:rsidP="00AB44EE">
      <w:pPr>
        <w:pStyle w:val="whitespace-normal"/>
      </w:pPr>
      <w:r>
        <w:t>Der Vers droht mit der vollständigen Umkehrung des Segens: Götzendienst führt zu Gottes Zorn, Dürre, Missernten und schneller Vertreibung aus dem guten Land – ein deutlicher Bundesfluch.</w:t>
      </w:r>
    </w:p>
    <w:p w14:paraId="5232CDE9" w14:textId="021235D8" w:rsidR="00AB44EE" w:rsidRPr="00AB44EE" w:rsidRDefault="00AB44EE" w:rsidP="00AB44EE">
      <w:pPr>
        <w:pStyle w:val="berschrift1"/>
        <w:rPr>
          <w:rStyle w:val="Fett"/>
          <w:rFonts w:ascii="Times New Roman" w:hAnsi="Times New Roman"/>
          <w:b w:val="0"/>
          <w:bCs w:val="0"/>
          <w:color w:val="auto"/>
          <w:sz w:val="36"/>
          <w:szCs w:val="36"/>
        </w:rPr>
      </w:pPr>
      <w:r w:rsidRPr="00AB44EE">
        <w:rPr>
          <w:rStyle w:val="Fett"/>
          <w:rFonts w:ascii="Times New Roman" w:hAnsi="Times New Roman"/>
          <w:color w:val="auto"/>
          <w:sz w:val="36"/>
          <w:szCs w:val="36"/>
        </w:rPr>
        <w:t>Deuteronomium 11,18</w:t>
      </w:r>
    </w:p>
    <w:p w14:paraId="0C965EE3" w14:textId="5AFDB5C3" w:rsidR="00AB44EE" w:rsidRDefault="00AB44EE" w:rsidP="00AB44EE">
      <w:pPr>
        <w:pStyle w:val="whitespace-normal"/>
      </w:pPr>
      <w:r>
        <w:rPr>
          <w:rStyle w:val="Fett"/>
          <w:rFonts w:eastAsiaTheme="majorEastAsia"/>
        </w:rPr>
        <w:t>Hebräisch:</w:t>
      </w:r>
      <w:r>
        <w:t xml:space="preserve"> </w:t>
      </w:r>
      <w:r>
        <w:rPr>
          <w:rtl/>
        </w:rPr>
        <w:t>וְשַׂמְתֶּם֙ אֶת־דְּבָרַ֣י אֵ֔לֶּה עַל־לְבַבְכֶ֖ם וְעַֽל־נַפְשְׁכֶ֑ם וּקְשַׁרְתֶּ֨ם אֹתָ֤ם לְאוֹת֙ עַל־יֶדְכֶ֔ם וְהָי֥וּ לְטוֹטָפֹ֖ת בֵּ֥ין עֵינֵיכֶֽם׃</w:t>
      </w:r>
    </w:p>
    <w:p w14:paraId="7FC2EDAC" w14:textId="77777777" w:rsidR="00AB44EE" w:rsidRDefault="00AB44EE" w:rsidP="00AB44EE">
      <w:pPr>
        <w:pStyle w:val="whitespace-normal"/>
      </w:pPr>
      <w:r>
        <w:rPr>
          <w:rStyle w:val="Fett"/>
          <w:rFonts w:eastAsiaTheme="majorEastAsia"/>
        </w:rPr>
        <w:t>Deutsch:</w:t>
      </w:r>
      <w:r>
        <w:t xml:space="preserve"> Und ihr sollt diese meine Worte auf euer Herz und auf eure Seele legen und sie zum Zeichen auf eure Hand binden, und sie sollen als Merkzeichen zwischen euren Augen sein.</w:t>
      </w:r>
    </w:p>
    <w:p w14:paraId="7424DD10" w14:textId="77777777" w:rsidR="00AB44EE" w:rsidRDefault="004F5CEB" w:rsidP="00AB44EE">
      <w:r>
        <w:rPr>
          <w:noProof/>
        </w:rPr>
        <w:pict w14:anchorId="76670789">
          <v:rect id="_x0000_i1358" style="width:0;height:1.5pt" o:hralign="center" o:hrstd="t" o:hr="t" fillcolor="#a0a0a0" stroked="f"/>
        </w:pict>
      </w:r>
    </w:p>
    <w:p w14:paraId="45419923" w14:textId="77777777" w:rsidR="00AB44EE" w:rsidRDefault="00AB44EE" w:rsidP="00AB44EE">
      <w:pPr>
        <w:pStyle w:val="whitespace-normal"/>
      </w:pPr>
      <w:r>
        <w:rPr>
          <w:rStyle w:val="Fett"/>
          <w:rFonts w:eastAsiaTheme="majorEastAsia"/>
        </w:rPr>
        <w:t>Kommentar:</w:t>
      </w:r>
      <w:r>
        <w:t xml:space="preserve"> </w:t>
      </w:r>
      <w:r>
        <w:rPr>
          <w:rStyle w:val="Fett"/>
          <w:rFonts w:eastAsiaTheme="majorEastAsia"/>
          <w:rtl/>
        </w:rPr>
        <w:t>וְשַׂמְתֶּם אֶת־דְּבָרַי אֵלֶּה עַל־לְבַבְכֶם וְעַל־נַפְשְׁכֶם</w:t>
      </w:r>
      <w:r>
        <w:rPr>
          <w:rtl/>
        </w:rPr>
        <w:t xml:space="preserve"> </w:t>
      </w:r>
      <w:r>
        <w:t xml:space="preserve">ist ein Imperativsatz: </w:t>
      </w:r>
      <w:r>
        <w:rPr>
          <w:rStyle w:val="Fett"/>
          <w:rFonts w:eastAsiaTheme="majorEastAsia"/>
          <w:rtl/>
        </w:rPr>
        <w:t>וְשַׂמְתֶּם</w:t>
      </w:r>
      <w:r>
        <w:rPr>
          <w:rtl/>
        </w:rPr>
        <w:t xml:space="preserve"> </w:t>
      </w:r>
      <w:r>
        <w:t xml:space="preserve">(Qal Perfekt, 2. Person Maskulinum Plural von </w:t>
      </w:r>
      <w:r>
        <w:rPr>
          <w:rStyle w:val="Fett"/>
          <w:rFonts w:eastAsiaTheme="majorEastAsia"/>
          <w:rtl/>
        </w:rPr>
        <w:t>שׂים</w:t>
      </w:r>
      <w:r>
        <w:t xml:space="preserve">, „setzen, legen, stellen", mit </w:t>
      </w:r>
      <w:r>
        <w:rPr>
          <w:rStyle w:val="Fett"/>
          <w:rFonts w:eastAsiaTheme="majorEastAsia"/>
        </w:rPr>
        <w:t>Waw</w:t>
      </w:r>
      <w:r>
        <w:t xml:space="preserve"> copulativum, imperativisch zu verstehen), </w:t>
      </w:r>
      <w:r>
        <w:rPr>
          <w:rStyle w:val="Fett"/>
          <w:rFonts w:eastAsiaTheme="majorEastAsia"/>
          <w:rtl/>
        </w:rPr>
        <w:t>אֶת־דְּבָרַי אֵלֶּה</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דָּבָר</w:t>
      </w:r>
      <w:r>
        <w:t xml:space="preserve">, „Wort", Plural mit Suffix 1. Person Singular und Demonstrativpronomen </w:t>
      </w:r>
      <w:r>
        <w:rPr>
          <w:rStyle w:val="Fett"/>
          <w:rFonts w:eastAsiaTheme="majorEastAsia"/>
          <w:rtl/>
        </w:rPr>
        <w:t>אֵלֶּה</w:t>
      </w:r>
      <w:r>
        <w:t xml:space="preserve">, „diese") als direktes Objekt, </w:t>
      </w:r>
      <w:r>
        <w:rPr>
          <w:rStyle w:val="Fett"/>
          <w:rFonts w:eastAsiaTheme="majorEastAsia"/>
          <w:rtl/>
        </w:rPr>
        <w:t>עַל־לְבַבְכֶם</w:t>
      </w:r>
      <w:r>
        <w:rPr>
          <w:rtl/>
        </w:rPr>
        <w:t xml:space="preserve"> </w:t>
      </w:r>
      <w:r>
        <w:t xml:space="preserve">(Präposition </w:t>
      </w:r>
      <w:r>
        <w:rPr>
          <w:rStyle w:val="Fett"/>
          <w:rFonts w:eastAsiaTheme="majorEastAsia"/>
          <w:rtl/>
        </w:rPr>
        <w:t>עַל</w:t>
      </w:r>
      <w:r>
        <w:t xml:space="preserve">, „auf", mit </w:t>
      </w:r>
      <w:r>
        <w:rPr>
          <w:rStyle w:val="Fett"/>
          <w:rFonts w:eastAsiaTheme="majorEastAsia"/>
          <w:rtl/>
        </w:rPr>
        <w:t>לֵבָב</w:t>
      </w:r>
      <w:r>
        <w:t xml:space="preserve">, „Herz", Plural mit Suffix 2. Person Maskulinum Plural) und </w:t>
      </w:r>
      <w:r>
        <w:rPr>
          <w:rStyle w:val="Fett"/>
          <w:rFonts w:eastAsiaTheme="majorEastAsia"/>
          <w:rtl/>
        </w:rPr>
        <w:t>וְעַל־נַפְשְׁכֶם</w:t>
      </w:r>
      <w:r>
        <w:rPr>
          <w:rtl/>
        </w:rPr>
        <w:t xml:space="preserve"> </w:t>
      </w:r>
      <w:r>
        <w:t xml:space="preserve">(koordiniert durch </w:t>
      </w:r>
      <w:r>
        <w:rPr>
          <w:rStyle w:val="Fett"/>
          <w:rFonts w:eastAsiaTheme="majorEastAsia"/>
          <w:rtl/>
        </w:rPr>
        <w:t>וְעַל</w:t>
      </w:r>
      <w:r>
        <w:rPr>
          <w:rtl/>
        </w:rPr>
        <w:t xml:space="preserve"> </w:t>
      </w:r>
      <w:r>
        <w:t xml:space="preserve">mit </w:t>
      </w:r>
      <w:r>
        <w:rPr>
          <w:rStyle w:val="Fett"/>
          <w:rFonts w:eastAsiaTheme="majorEastAsia"/>
          <w:rtl/>
        </w:rPr>
        <w:t>נֶפֶשׁ</w:t>
      </w:r>
      <w:r>
        <w:t xml:space="preserve">, „Seele, Leben", Plural mit Suffix 2. Person Maskulinum Plural) als doppelte lokale Bestimmung. Die Wendung </w:t>
      </w:r>
      <w:r>
        <w:rPr>
          <w:rStyle w:val="Fett"/>
          <w:rFonts w:eastAsiaTheme="majorEastAsia"/>
          <w:rtl/>
        </w:rPr>
        <w:t>שׂים על לבב</w:t>
      </w:r>
      <w:r>
        <w:rPr>
          <w:rtl/>
        </w:rPr>
        <w:t xml:space="preserve"> </w:t>
      </w:r>
      <w:r>
        <w:t xml:space="preserve">(„auf das Herz legen") bedeutet „zu Herzen nehmen, verinnerlichen". Die Doppelung </w:t>
      </w:r>
      <w:r>
        <w:rPr>
          <w:rStyle w:val="Fett"/>
          <w:rFonts w:eastAsiaTheme="majorEastAsia"/>
          <w:rtl/>
        </w:rPr>
        <w:t>עַל־לְבַבְכֶם וְעַל־נַפְשְׁכֶם</w:t>
      </w:r>
      <w:r>
        <w:rPr>
          <w:rtl/>
        </w:rPr>
        <w:t xml:space="preserve"> </w:t>
      </w:r>
      <w:r>
        <w:t>betont die totale Verinnerlichung der göttlichen Worte in allen Bereichen der Person.</w:t>
      </w:r>
    </w:p>
    <w:p w14:paraId="009CA3F8" w14:textId="77777777" w:rsidR="00AB44EE" w:rsidRDefault="00AB44EE" w:rsidP="00AB44EE">
      <w:pPr>
        <w:pStyle w:val="whitespace-normal"/>
      </w:pPr>
      <w:r>
        <w:rPr>
          <w:rStyle w:val="Fett"/>
          <w:rFonts w:eastAsiaTheme="majorEastAsia"/>
          <w:rtl/>
        </w:rPr>
        <w:t>וּקְשַׁרְתֶּם אֹתָם לְאוֹת עַל־יֶדְכֶם</w:t>
      </w:r>
      <w:r>
        <w:rPr>
          <w:rtl/>
        </w:rPr>
        <w:t xml:space="preserve"> </w:t>
      </w:r>
      <w:r>
        <w:t xml:space="preserve">ist koordiniert: </w:t>
      </w:r>
      <w:r>
        <w:rPr>
          <w:rStyle w:val="Fett"/>
          <w:rFonts w:eastAsiaTheme="majorEastAsia"/>
          <w:rtl/>
        </w:rPr>
        <w:t>וּקְשַׁרְתֶּם</w:t>
      </w:r>
      <w:r>
        <w:rPr>
          <w:rtl/>
        </w:rPr>
        <w:t xml:space="preserve"> </w:t>
      </w:r>
      <w:r>
        <w:t xml:space="preserve">(Qal Perfekt, 2. Person Maskulinum Plural von </w:t>
      </w:r>
      <w:r>
        <w:rPr>
          <w:rStyle w:val="Fett"/>
          <w:rFonts w:eastAsiaTheme="majorEastAsia"/>
          <w:rtl/>
        </w:rPr>
        <w:t>קשׁר</w:t>
      </w:r>
      <w:r>
        <w:t xml:space="preserve">, „binden, knüpfen", mit </w:t>
      </w:r>
      <w:r>
        <w:rPr>
          <w:rStyle w:val="Fett"/>
          <w:rFonts w:eastAsiaTheme="majorEastAsia"/>
        </w:rPr>
        <w:t>Waw</w:t>
      </w:r>
      <w:r>
        <w:t xml:space="preserve">), </w:t>
      </w:r>
      <w:r>
        <w:rPr>
          <w:rStyle w:val="Fett"/>
          <w:rFonts w:eastAsiaTheme="majorEastAsia"/>
          <w:rtl/>
        </w:rPr>
        <w:t>אֹתָם</w:t>
      </w:r>
      <w:r>
        <w:rPr>
          <w:rtl/>
        </w:rPr>
        <w:t xml:space="preserve"> </w:t>
      </w:r>
      <w:r>
        <w:t xml:space="preserve">(Objektpartikel </w:t>
      </w:r>
      <w:r>
        <w:rPr>
          <w:rStyle w:val="Fett"/>
          <w:rFonts w:eastAsiaTheme="majorEastAsia"/>
          <w:rtl/>
        </w:rPr>
        <w:t>אֵת</w:t>
      </w:r>
      <w:r>
        <w:rPr>
          <w:rtl/>
        </w:rPr>
        <w:t xml:space="preserve"> </w:t>
      </w:r>
      <w:r>
        <w:t xml:space="preserve">mit Suffix 3. Person Maskulinum Plural, rückverweisend auf </w:t>
      </w:r>
      <w:r>
        <w:rPr>
          <w:rStyle w:val="Fett"/>
          <w:rFonts w:eastAsiaTheme="majorEastAsia"/>
          <w:rtl/>
        </w:rPr>
        <w:t>דְּבָרַי</w:t>
      </w:r>
      <w:r>
        <w:t xml:space="preserve">) als direktes Objekt, </w:t>
      </w:r>
      <w:r>
        <w:rPr>
          <w:rStyle w:val="Fett"/>
          <w:rFonts w:eastAsiaTheme="majorEastAsia"/>
          <w:rtl/>
        </w:rPr>
        <w:t>לְאוֹת</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אוֹת</w:t>
      </w:r>
      <w:r>
        <w:t xml:space="preserve">, „Zeichen") als Zweckangabe und </w:t>
      </w:r>
      <w:r>
        <w:rPr>
          <w:rStyle w:val="Fett"/>
          <w:rFonts w:eastAsiaTheme="majorEastAsia"/>
          <w:rtl/>
        </w:rPr>
        <w:t>עַל־יֶדְכֶם</w:t>
      </w:r>
      <w:r>
        <w:rPr>
          <w:rtl/>
        </w:rPr>
        <w:t xml:space="preserve"> </w:t>
      </w:r>
      <w:r>
        <w:t xml:space="preserve">(Präposition </w:t>
      </w:r>
      <w:r>
        <w:rPr>
          <w:rStyle w:val="Fett"/>
          <w:rFonts w:eastAsiaTheme="majorEastAsia"/>
          <w:rtl/>
        </w:rPr>
        <w:t>עַל</w:t>
      </w:r>
      <w:r>
        <w:rPr>
          <w:rtl/>
        </w:rPr>
        <w:t xml:space="preserve"> </w:t>
      </w:r>
      <w:r>
        <w:t xml:space="preserve">mit </w:t>
      </w:r>
      <w:r>
        <w:rPr>
          <w:rStyle w:val="Fett"/>
          <w:rFonts w:eastAsiaTheme="majorEastAsia"/>
          <w:rtl/>
        </w:rPr>
        <w:t>יָד</w:t>
      </w:r>
      <w:r>
        <w:t>, „Hand", Plural mit Suffix 2. Person Maskulinum Plural) als lokale Bestimmung. Die Aufforderung, die Worte als Zeichen auf die Hand zu binden, wird traditionell mit den Tefillin (Gebetsriemen) in Verbindung gebracht, kann aber auch metaphorisch als ständige Erinnerung verstanden werden.</w:t>
      </w:r>
    </w:p>
    <w:p w14:paraId="144B02D1" w14:textId="77777777" w:rsidR="00AB44EE" w:rsidRDefault="00AB44EE" w:rsidP="00AB44EE">
      <w:pPr>
        <w:pStyle w:val="whitespace-normal"/>
      </w:pPr>
      <w:r>
        <w:rPr>
          <w:rStyle w:val="Fett"/>
          <w:rFonts w:eastAsiaTheme="majorEastAsia"/>
          <w:rtl/>
        </w:rPr>
        <w:t>וְהָיוּ לְטוֹטָפֹת בֵּין עֵינֵיכֶם</w:t>
      </w:r>
      <w:r>
        <w:rPr>
          <w:rtl/>
        </w:rPr>
        <w:t xml:space="preserve"> </w:t>
      </w:r>
      <w:r>
        <w:t xml:space="preserve">ist der dritte koordinierte Satz: </w:t>
      </w:r>
      <w:r>
        <w:rPr>
          <w:rStyle w:val="Fett"/>
          <w:rFonts w:eastAsiaTheme="majorEastAsia"/>
          <w:rtl/>
        </w:rPr>
        <w:t>וְהָיוּ</w:t>
      </w:r>
      <w:r>
        <w:rPr>
          <w:rtl/>
        </w:rPr>
        <w:t xml:space="preserve"> </w:t>
      </w:r>
      <w:r>
        <w:t xml:space="preserve">(Qal Perfekt, 3. Person Plural von </w:t>
      </w:r>
      <w:r>
        <w:rPr>
          <w:rStyle w:val="Fett"/>
          <w:rFonts w:eastAsiaTheme="majorEastAsia"/>
          <w:rtl/>
        </w:rPr>
        <w:t>היה</w:t>
      </w:r>
      <w:r>
        <w:t xml:space="preserve">, „sein, werden", mit </w:t>
      </w:r>
      <w:r>
        <w:rPr>
          <w:rStyle w:val="Fett"/>
          <w:rFonts w:eastAsiaTheme="majorEastAsia"/>
        </w:rPr>
        <w:t>Waw</w:t>
      </w:r>
      <w:r>
        <w:t xml:space="preserve">), </w:t>
      </w:r>
      <w:r>
        <w:rPr>
          <w:rStyle w:val="Fett"/>
          <w:rFonts w:eastAsiaTheme="majorEastAsia"/>
          <w:rtl/>
        </w:rPr>
        <w:t>לְטוֹטָפֹת</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טוֹטָפָה</w:t>
      </w:r>
      <w:r>
        <w:t xml:space="preserve">, „Stirnband, Merkzeichen, Denkzettel", Plural) als prädikativer Bestimmung und </w:t>
      </w:r>
      <w:r>
        <w:rPr>
          <w:rStyle w:val="Fett"/>
          <w:rFonts w:eastAsiaTheme="majorEastAsia"/>
          <w:rtl/>
        </w:rPr>
        <w:t>בֵּין עֵינֵיכֶם</w:t>
      </w:r>
      <w:r>
        <w:rPr>
          <w:rtl/>
        </w:rPr>
        <w:t xml:space="preserve"> </w:t>
      </w:r>
      <w:r>
        <w:t xml:space="preserve">(Präposition </w:t>
      </w:r>
      <w:r>
        <w:rPr>
          <w:rStyle w:val="Fett"/>
          <w:rFonts w:eastAsiaTheme="majorEastAsia"/>
          <w:rtl/>
        </w:rPr>
        <w:t>בֵּין</w:t>
      </w:r>
      <w:r>
        <w:t xml:space="preserve">, „zwischen", mit </w:t>
      </w:r>
      <w:r>
        <w:rPr>
          <w:rStyle w:val="Fett"/>
          <w:rFonts w:eastAsiaTheme="majorEastAsia"/>
          <w:rtl/>
        </w:rPr>
        <w:t>עַיִן</w:t>
      </w:r>
      <w:r>
        <w:t xml:space="preserve">, „Auge", Dual mit Suffix 2. Person Maskulinum Plural) als lokale Bestimmung. Das Wort </w:t>
      </w:r>
      <w:r>
        <w:rPr>
          <w:rStyle w:val="Fett"/>
          <w:rFonts w:eastAsiaTheme="majorEastAsia"/>
          <w:rtl/>
        </w:rPr>
        <w:t>טוֹטָפֹת</w:t>
      </w:r>
      <w:r>
        <w:rPr>
          <w:rtl/>
        </w:rPr>
        <w:t xml:space="preserve"> </w:t>
      </w:r>
      <w:r>
        <w:t xml:space="preserve">ist selten und seine genaue Bedeutung unsicher; es bezeichnet ein Zeichen an der </w:t>
      </w:r>
      <w:r>
        <w:lastRenderedPageBreak/>
        <w:t xml:space="preserve">Stirn. Die Wendung </w:t>
      </w:r>
      <w:r>
        <w:rPr>
          <w:rStyle w:val="Fett"/>
          <w:rFonts w:eastAsiaTheme="majorEastAsia"/>
          <w:rtl/>
        </w:rPr>
        <w:t>בֵּין עֵינֵיכֶם</w:t>
      </w:r>
      <w:r>
        <w:rPr>
          <w:rtl/>
        </w:rPr>
        <w:t xml:space="preserve"> </w:t>
      </w:r>
      <w:r>
        <w:t>(„zwischen euren Augen") meint die Stirn als prominente, sichtbare Stelle.</w:t>
      </w:r>
    </w:p>
    <w:p w14:paraId="1CB7B55D" w14:textId="1168A2D9" w:rsidR="00AB44EE" w:rsidRDefault="00AB44EE" w:rsidP="00AB44EE">
      <w:pPr>
        <w:pStyle w:val="whitespace-normal"/>
      </w:pPr>
      <w:r>
        <w:t>Die Syntax zeigt eine Steigerung von der Verinnerlichung zur äußeren Sichtbarkeit: Erst sollen die Worte auf Herz und Seele gelegt werden (innere Aneignung), dann als Zeichen an Hand und Stirn getragen werden (äußere Manifestation). Die drei Imperative (</w:t>
      </w:r>
      <w:r>
        <w:rPr>
          <w:rStyle w:val="Fett"/>
          <w:rFonts w:eastAsiaTheme="majorEastAsia"/>
          <w:rtl/>
        </w:rPr>
        <w:t>וְשַׂמְתֶּם</w:t>
      </w:r>
      <w:r>
        <w:t xml:space="preserve">, </w:t>
      </w:r>
      <w:r>
        <w:rPr>
          <w:rStyle w:val="Fett"/>
          <w:rFonts w:eastAsiaTheme="majorEastAsia"/>
          <w:rtl/>
        </w:rPr>
        <w:t>וּקְשַׁרְתֶּם</w:t>
      </w:r>
      <w:r>
        <w:t xml:space="preserve">, </w:t>
      </w:r>
      <w:r>
        <w:rPr>
          <w:rStyle w:val="Fett"/>
          <w:rFonts w:eastAsiaTheme="majorEastAsia"/>
          <w:rtl/>
        </w:rPr>
        <w:t>וְהָיוּ</w:t>
      </w:r>
      <w:r>
        <w:t xml:space="preserve">) strukturieren den Vers. Die doppelte Lokalisierung </w:t>
      </w:r>
      <w:r>
        <w:rPr>
          <w:rStyle w:val="Fett"/>
          <w:rFonts w:eastAsiaTheme="majorEastAsia"/>
          <w:rtl/>
        </w:rPr>
        <w:t>עַל־לְבַבְכֶם וְעַל־נַפְשְׁכֶם</w:t>
      </w:r>
      <w:r>
        <w:rPr>
          <w:rtl/>
        </w:rPr>
        <w:t xml:space="preserve"> </w:t>
      </w:r>
      <w:r>
        <w:t xml:space="preserve">entspricht der doppelten äußeren Lokalisierung </w:t>
      </w:r>
      <w:r>
        <w:rPr>
          <w:rStyle w:val="Fett"/>
          <w:rFonts w:eastAsiaTheme="majorEastAsia"/>
          <w:rtl/>
        </w:rPr>
        <w:t>עַל־יֶדְכֶם</w:t>
      </w:r>
      <w:r>
        <w:rPr>
          <w:rtl/>
        </w:rPr>
        <w:t xml:space="preserve"> </w:t>
      </w:r>
      <w:r>
        <w:t xml:space="preserve">... </w:t>
      </w:r>
      <w:r>
        <w:rPr>
          <w:rStyle w:val="Fett"/>
          <w:rFonts w:eastAsiaTheme="majorEastAsia"/>
          <w:rtl/>
        </w:rPr>
        <w:t>בֵּין עֵינֵיכֶם</w:t>
      </w:r>
      <w:r>
        <w:t xml:space="preserve">. Dieser Vers wiederholt fast wörtlich 6,8 und betont die zentrale Bedeutung der </w:t>
      </w:r>
      <w:r w:rsidR="001E0205">
        <w:t>Torah</w:t>
      </w:r>
      <w:r w:rsidR="007E2044">
        <w:t>observanz</w:t>
      </w:r>
      <w:r>
        <w:t xml:space="preserve">. Die Formulierung </w:t>
      </w:r>
      <w:r>
        <w:rPr>
          <w:rStyle w:val="Fett"/>
          <w:rFonts w:eastAsiaTheme="majorEastAsia"/>
          <w:rtl/>
        </w:rPr>
        <w:t>דְּבָרַי אֵלֶּה</w:t>
      </w:r>
      <w:r>
        <w:rPr>
          <w:rtl/>
        </w:rPr>
        <w:t xml:space="preserve"> </w:t>
      </w:r>
      <w:r>
        <w:t>verweist auf die unmittelbar vorangehenden Ermahnungen (V. 13-17).</w:t>
      </w:r>
    </w:p>
    <w:p w14:paraId="4EB580EC" w14:textId="77777777" w:rsidR="00AB44EE" w:rsidRDefault="00AB44EE" w:rsidP="00AB44EE">
      <w:pPr>
        <w:pStyle w:val="whitespace-normal"/>
      </w:pPr>
      <w:r>
        <w:rPr>
          <w:rStyle w:val="Fett"/>
          <w:rFonts w:eastAsiaTheme="majorEastAsia"/>
        </w:rPr>
        <w:t>Die LXX</w:t>
      </w:r>
      <w:r>
        <w:t xml:space="preserve"> übersetzt „legt auf euer Herz" mit „</w:t>
      </w:r>
      <w:proofErr w:type="spellStart"/>
      <w:r>
        <w:t>ἐμ</w:t>
      </w:r>
      <w:proofErr w:type="spellEnd"/>
      <w:r>
        <w:t xml:space="preserve">βαλεῖτε </w:t>
      </w:r>
      <w:proofErr w:type="spellStart"/>
      <w:r>
        <w:t>εἰς</w:t>
      </w:r>
      <w:proofErr w:type="spellEnd"/>
      <w:r>
        <w:t xml:space="preserve"> τὴν κα</w:t>
      </w:r>
      <w:proofErr w:type="spellStart"/>
      <w:r>
        <w:t>ρδί</w:t>
      </w:r>
      <w:proofErr w:type="spellEnd"/>
      <w:r>
        <w:t xml:space="preserve">αν </w:t>
      </w:r>
      <w:proofErr w:type="spellStart"/>
      <w:r>
        <w:t>ὑμῶν</w:t>
      </w:r>
      <w:proofErr w:type="spellEnd"/>
      <w:r>
        <w:t>" („werft in euer Herz"), „bindet sie zum Zeichen" mit „</w:t>
      </w:r>
      <w:proofErr w:type="spellStart"/>
      <w:r>
        <w:t>ἀφάψετε</w:t>
      </w:r>
      <w:proofErr w:type="spellEnd"/>
      <w:r>
        <w:t xml:space="preserve"> α</w:t>
      </w:r>
      <w:proofErr w:type="spellStart"/>
      <w:r>
        <w:t>ὐτὰ</w:t>
      </w:r>
      <w:proofErr w:type="spellEnd"/>
      <w:r>
        <w:t xml:space="preserve"> </w:t>
      </w:r>
      <w:proofErr w:type="spellStart"/>
      <w:r>
        <w:t>εἰς</w:t>
      </w:r>
      <w:proofErr w:type="spellEnd"/>
      <w:r>
        <w:t xml:space="preserve"> </w:t>
      </w:r>
      <w:proofErr w:type="spellStart"/>
      <w:r>
        <w:t>σημεῖον</w:t>
      </w:r>
      <w:proofErr w:type="spellEnd"/>
      <w:r>
        <w:t>" und „zwischen euren Augen" mit „</w:t>
      </w:r>
      <w:proofErr w:type="spellStart"/>
      <w:r>
        <w:t>ἀνὰ</w:t>
      </w:r>
      <w:proofErr w:type="spellEnd"/>
      <w:r>
        <w:t xml:space="preserve"> </w:t>
      </w:r>
      <w:proofErr w:type="spellStart"/>
      <w:r>
        <w:t>μέσον</w:t>
      </w:r>
      <w:proofErr w:type="spellEnd"/>
      <w:r>
        <w:t xml:space="preserve"> </w:t>
      </w:r>
      <w:proofErr w:type="spellStart"/>
      <w:r>
        <w:t>τῶν</w:t>
      </w:r>
      <w:proofErr w:type="spellEnd"/>
      <w:r>
        <w:t xml:space="preserve"> </w:t>
      </w:r>
      <w:proofErr w:type="spellStart"/>
      <w:r>
        <w:t>ὀφθ</w:t>
      </w:r>
      <w:proofErr w:type="spellEnd"/>
      <w:r>
        <w:t xml:space="preserve">αλμῶν </w:t>
      </w:r>
      <w:proofErr w:type="spellStart"/>
      <w:r>
        <w:t>ὑμῶν</w:t>
      </w:r>
      <w:proofErr w:type="spellEnd"/>
      <w:r>
        <w:t>".</w:t>
      </w:r>
    </w:p>
    <w:p w14:paraId="241FAE8C" w14:textId="77777777" w:rsidR="00AB44EE" w:rsidRDefault="00AB44EE" w:rsidP="00AB44EE">
      <w:pPr>
        <w:pStyle w:val="whitespace-normal"/>
      </w:pPr>
      <w:r>
        <w:t>Die Satzstruktur besteht aus drei koordinierten Sätzen: Erster Satz mit Prädikat (sollt legen), direktem Objekt (diese meine Worte) und doppelter lokaler Bestimmung (auf euer Herz und auf eure Seele); zweiter Satz mit Prädikat (bindet), direktem Objekt (sie), Zweckangabe (zum Zeichen) und lokaler Bestimmung (auf eure Hand); dritter Satz mit Prädikat (sollen sein), prädikativer Bestimmung (als Merkzeichen) und lokaler Bestimmung (zwischen euren Augen).</w:t>
      </w:r>
    </w:p>
    <w:p w14:paraId="6E77F3B1" w14:textId="77777777" w:rsidR="00AB44EE" w:rsidRDefault="00AB44EE" w:rsidP="00AB44EE">
      <w:pPr>
        <w:pStyle w:val="whitespace-normal"/>
      </w:pPr>
      <w:r>
        <w:t>Der Vers fordert die totale Durchdringung des Lebens mit Gottes Worten: innerlich auf Herz und Seele, äußerlich sichtbar an Hand und Stirn – eine ständige Erinnerung an die Bundesverpflichtungen.</w:t>
      </w:r>
    </w:p>
    <w:p w14:paraId="0ACCCE68" w14:textId="77777777" w:rsidR="00AB44EE" w:rsidRPr="00AB44EE" w:rsidRDefault="00AB44EE" w:rsidP="00AB44EE">
      <w:pPr>
        <w:pStyle w:val="berschrift1"/>
        <w:rPr>
          <w:rFonts w:ascii="Times New Roman" w:hAnsi="Times New Roman"/>
          <w:color w:val="auto"/>
          <w:sz w:val="36"/>
          <w:szCs w:val="36"/>
        </w:rPr>
      </w:pPr>
      <w:r w:rsidRPr="00AB44EE">
        <w:rPr>
          <w:rStyle w:val="Fett"/>
          <w:rFonts w:ascii="Times New Roman" w:hAnsi="Times New Roman"/>
          <w:color w:val="auto"/>
          <w:sz w:val="36"/>
          <w:szCs w:val="36"/>
        </w:rPr>
        <w:t>Deuteronomium 11,19</w:t>
      </w:r>
    </w:p>
    <w:p w14:paraId="6E171E0E" w14:textId="77777777" w:rsidR="00AB44EE" w:rsidRDefault="00AB44EE" w:rsidP="00AB44EE">
      <w:pPr>
        <w:pStyle w:val="whitespace-normal"/>
      </w:pPr>
      <w:r>
        <w:rPr>
          <w:rStyle w:val="Fett"/>
          <w:rFonts w:eastAsiaTheme="majorEastAsia"/>
        </w:rPr>
        <w:t>Hebräisch:</w:t>
      </w:r>
      <w:r>
        <w:t xml:space="preserve"> </w:t>
      </w:r>
      <w:r>
        <w:rPr>
          <w:rtl/>
        </w:rPr>
        <w:t>וְלִמַּדְתֶּ֥ם אֹתָ֛ם אֶת־בְּנֵיכֶ֖ם לְדַבֵּ֣ר בָּ֑ם בְּשִׁבְתְּךָ֤ בְּבֵיתֶ֨ךָ֙ וּבְלֶכְתְּךָ֣ בַדֶּ֔רֶךְ וּֽבְשָׁכְבְּךָ֖ וּבְקוּמֶֽךָ׃</w:t>
      </w:r>
    </w:p>
    <w:p w14:paraId="07E8FAB9" w14:textId="77777777" w:rsidR="00AB44EE" w:rsidRDefault="00AB44EE" w:rsidP="00AB44EE">
      <w:pPr>
        <w:pStyle w:val="whitespace-normal"/>
      </w:pPr>
      <w:r>
        <w:rPr>
          <w:rStyle w:val="Fett"/>
          <w:rFonts w:eastAsiaTheme="majorEastAsia"/>
        </w:rPr>
        <w:t>Deutsch:</w:t>
      </w:r>
      <w:r>
        <w:t xml:space="preserve"> Und ihr sollt sie eure Kinder lehren, indem ihr davon redet, wenn du in deinem Haus sitzt und wenn du auf dem Weg gehst und wenn du dich hinlegst und wenn du aufstehst.</w:t>
      </w:r>
    </w:p>
    <w:p w14:paraId="0FE73399" w14:textId="77777777" w:rsidR="00AB44EE" w:rsidRDefault="004F5CEB" w:rsidP="00AB44EE">
      <w:r>
        <w:rPr>
          <w:noProof/>
        </w:rPr>
        <w:pict w14:anchorId="69990722">
          <v:rect id="_x0000_i1359" style="width:0;height:1.5pt" o:hralign="center" o:hrstd="t" o:hr="t" fillcolor="#a0a0a0" stroked="f"/>
        </w:pict>
      </w:r>
    </w:p>
    <w:p w14:paraId="33B32463" w14:textId="77777777" w:rsidR="00AB44EE" w:rsidRDefault="00AB44EE" w:rsidP="00AB44EE">
      <w:pPr>
        <w:pStyle w:val="whitespace-normal"/>
      </w:pPr>
      <w:r>
        <w:rPr>
          <w:rStyle w:val="Fett"/>
          <w:rFonts w:eastAsiaTheme="majorEastAsia"/>
        </w:rPr>
        <w:t>Kommentar:</w:t>
      </w:r>
      <w:r>
        <w:t xml:space="preserve"> </w:t>
      </w:r>
      <w:r>
        <w:rPr>
          <w:rStyle w:val="Fett"/>
          <w:rFonts w:eastAsiaTheme="majorEastAsia"/>
          <w:rtl/>
        </w:rPr>
        <w:t>וְלִמַּדְתֶּם אֹתָם אֶת־בְּנֵיכֶם</w:t>
      </w:r>
      <w:r>
        <w:rPr>
          <w:rtl/>
        </w:rPr>
        <w:t xml:space="preserve"> </w:t>
      </w:r>
      <w:r>
        <w:t xml:space="preserve">ist ein Imperativsatz: </w:t>
      </w:r>
      <w:r>
        <w:rPr>
          <w:rStyle w:val="Fett"/>
          <w:rFonts w:eastAsiaTheme="majorEastAsia"/>
          <w:rtl/>
        </w:rPr>
        <w:t>וְלִמַּדְתֶּם</w:t>
      </w:r>
      <w:r>
        <w:rPr>
          <w:rtl/>
        </w:rPr>
        <w:t xml:space="preserve"> </w:t>
      </w:r>
      <w:r>
        <w:t xml:space="preserve">(Piel Perfekt, 2. Person Maskulinum Plural von </w:t>
      </w:r>
      <w:r>
        <w:rPr>
          <w:rStyle w:val="Fett"/>
          <w:rFonts w:eastAsiaTheme="majorEastAsia"/>
          <w:rtl/>
        </w:rPr>
        <w:t>למד</w:t>
      </w:r>
      <w:r>
        <w:t xml:space="preserve">, „lernen", in der Piel-Form „lehren", mit </w:t>
      </w:r>
      <w:r>
        <w:rPr>
          <w:rStyle w:val="Fett"/>
          <w:rFonts w:eastAsiaTheme="majorEastAsia"/>
        </w:rPr>
        <w:t>Waw</w:t>
      </w:r>
      <w:r>
        <w:t xml:space="preserve"> copulativum, imperativisch), </w:t>
      </w:r>
      <w:r>
        <w:rPr>
          <w:rStyle w:val="Fett"/>
          <w:rFonts w:eastAsiaTheme="majorEastAsia"/>
          <w:rtl/>
        </w:rPr>
        <w:t>אֹתָם</w:t>
      </w:r>
      <w:r>
        <w:rPr>
          <w:rtl/>
        </w:rPr>
        <w:t xml:space="preserve"> </w:t>
      </w:r>
      <w:r>
        <w:t xml:space="preserve">(Objektpartikel </w:t>
      </w:r>
      <w:r>
        <w:rPr>
          <w:rStyle w:val="Fett"/>
          <w:rFonts w:eastAsiaTheme="majorEastAsia"/>
          <w:rtl/>
        </w:rPr>
        <w:t>אֵת</w:t>
      </w:r>
      <w:r>
        <w:rPr>
          <w:rtl/>
        </w:rPr>
        <w:t xml:space="preserve"> </w:t>
      </w:r>
      <w:r>
        <w:t xml:space="preserve">mit Suffix 3. Person Maskulinum Plural, rückverweisend auf </w:t>
      </w:r>
      <w:r>
        <w:rPr>
          <w:rStyle w:val="Fett"/>
          <w:rFonts w:eastAsiaTheme="majorEastAsia"/>
          <w:rtl/>
        </w:rPr>
        <w:t>דְּבָרַי</w:t>
      </w:r>
      <w:r>
        <w:t xml:space="preserve">) als direktes Objekt und </w:t>
      </w:r>
      <w:r>
        <w:rPr>
          <w:rStyle w:val="Fett"/>
          <w:rFonts w:eastAsiaTheme="majorEastAsia"/>
          <w:rtl/>
        </w:rPr>
        <w:t>אֶת־בְּנֵיכֶם</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בֵּן</w:t>
      </w:r>
      <w:r>
        <w:t xml:space="preserve">, „Sohn", Plural mit Suffix 2. Person Maskulinum Plural) als zweites Objekt oder Dativ. Die Piel-Form von </w:t>
      </w:r>
      <w:r>
        <w:rPr>
          <w:rStyle w:val="Fett"/>
          <w:rFonts w:eastAsiaTheme="majorEastAsia"/>
          <w:rtl/>
        </w:rPr>
        <w:t>למד</w:t>
      </w:r>
      <w:r>
        <w:rPr>
          <w:rtl/>
        </w:rPr>
        <w:t xml:space="preserve"> </w:t>
      </w:r>
      <w:r>
        <w:t xml:space="preserve">ist faktitiv-kausativ („zum Lernen bringen, unterweisen"). Die doppelte Verwendung der Objektpartikel </w:t>
      </w:r>
      <w:r>
        <w:rPr>
          <w:rStyle w:val="Fett"/>
          <w:rFonts w:eastAsiaTheme="majorEastAsia"/>
          <w:rtl/>
        </w:rPr>
        <w:t>אֵת</w:t>
      </w:r>
      <w:r>
        <w:rPr>
          <w:rtl/>
        </w:rPr>
        <w:t xml:space="preserve"> </w:t>
      </w:r>
      <w:r>
        <w:t>ist charakteristisch für Verben des Lehrens mit zwei Objekten: was gelehrt wird (</w:t>
      </w:r>
      <w:r>
        <w:rPr>
          <w:rStyle w:val="Fett"/>
          <w:rFonts w:eastAsiaTheme="majorEastAsia"/>
          <w:rtl/>
        </w:rPr>
        <w:t>אֹתָם</w:t>
      </w:r>
      <w:r>
        <w:t>) und wem (</w:t>
      </w:r>
      <w:r>
        <w:rPr>
          <w:rStyle w:val="Fett"/>
          <w:rFonts w:eastAsiaTheme="majorEastAsia"/>
          <w:rtl/>
        </w:rPr>
        <w:t>אֶת־בְּנֵיכֶם</w:t>
      </w:r>
      <w:r>
        <w:t>).</w:t>
      </w:r>
    </w:p>
    <w:p w14:paraId="7A87BF74" w14:textId="77777777" w:rsidR="00AB44EE" w:rsidRDefault="00AB44EE" w:rsidP="00AB44EE">
      <w:pPr>
        <w:pStyle w:val="whitespace-normal"/>
      </w:pPr>
      <w:r>
        <w:rPr>
          <w:rStyle w:val="Fett"/>
          <w:rFonts w:eastAsiaTheme="majorEastAsia"/>
          <w:rtl/>
        </w:rPr>
        <w:t>לְדַבֵּר בָּם</w:t>
      </w:r>
      <w:r>
        <w:rPr>
          <w:rtl/>
        </w:rPr>
        <w:t xml:space="preserve"> </w:t>
      </w:r>
      <w:r>
        <w:t xml:space="preserve">ist eine finale oder modale Bestimmung: </w:t>
      </w:r>
      <w:r>
        <w:rPr>
          <w:rStyle w:val="Fett"/>
          <w:rFonts w:eastAsiaTheme="majorEastAsia"/>
          <w:rtl/>
        </w:rPr>
        <w:t>לְ</w:t>
      </w:r>
      <w:r>
        <w:rPr>
          <w:rtl/>
        </w:rPr>
        <w:t xml:space="preserve"> </w:t>
      </w:r>
      <w:r>
        <w:t xml:space="preserve">mit </w:t>
      </w:r>
      <w:r>
        <w:rPr>
          <w:rStyle w:val="Fett"/>
          <w:rFonts w:eastAsiaTheme="majorEastAsia"/>
          <w:rtl/>
        </w:rPr>
        <w:t>דַבֵּר</w:t>
      </w:r>
      <w:r>
        <w:rPr>
          <w:rtl/>
        </w:rPr>
        <w:t xml:space="preserve"> </w:t>
      </w:r>
      <w:r>
        <w:t xml:space="preserve">(Piel Infinitiv Construct von </w:t>
      </w:r>
      <w:r>
        <w:rPr>
          <w:rStyle w:val="Fett"/>
          <w:rFonts w:eastAsiaTheme="majorEastAsia"/>
          <w:rtl/>
        </w:rPr>
        <w:t>דבר</w:t>
      </w:r>
      <w:r>
        <w:t xml:space="preserve">, „reden, sprechen") und </w:t>
      </w:r>
      <w:r>
        <w:rPr>
          <w:rStyle w:val="Fett"/>
          <w:rFonts w:eastAsiaTheme="majorEastAsia"/>
          <w:rtl/>
        </w:rPr>
        <w:t>בָּם</w:t>
      </w:r>
      <w:r>
        <w:rPr>
          <w:rtl/>
        </w:rPr>
        <w:t xml:space="preserve"> </w:t>
      </w:r>
      <w:r>
        <w:t xml:space="preserve">(Präposition </w:t>
      </w:r>
      <w:r>
        <w:rPr>
          <w:rStyle w:val="Fett"/>
          <w:rFonts w:eastAsiaTheme="majorEastAsia"/>
          <w:rtl/>
        </w:rPr>
        <w:t>בְּ</w:t>
      </w:r>
      <w:r>
        <w:rPr>
          <w:rtl/>
        </w:rPr>
        <w:t xml:space="preserve"> </w:t>
      </w:r>
      <w:r>
        <w:t xml:space="preserve">mit Suffix 3. Person Maskulinum Plural, „davon, darüber"). Der Infinitiv konkretisiert die Art des Lehrens: durch ständiges Reden über die </w:t>
      </w:r>
      <w:r>
        <w:lastRenderedPageBreak/>
        <w:t xml:space="preserve">göttlichen Worte. Die Präposition </w:t>
      </w:r>
      <w:r>
        <w:rPr>
          <w:rStyle w:val="Fett"/>
          <w:rFonts w:eastAsiaTheme="majorEastAsia"/>
          <w:rtl/>
        </w:rPr>
        <w:t>בְּ</w:t>
      </w:r>
      <w:r>
        <w:rPr>
          <w:rtl/>
        </w:rPr>
        <w:t xml:space="preserve"> </w:t>
      </w:r>
      <w:r>
        <w:t xml:space="preserve">hat hier inhaltliche Bedeutung („über, von"). </w:t>
      </w:r>
      <w:r>
        <w:rPr>
          <w:rStyle w:val="Fett"/>
          <w:rFonts w:eastAsiaTheme="majorEastAsia"/>
          <w:rtl/>
        </w:rPr>
        <w:t>בְּשִׁבְתְּךָ בְּבֵיתֶךָ</w:t>
      </w:r>
      <w:r>
        <w:rPr>
          <w:rtl/>
        </w:rPr>
        <w:t xml:space="preserve"> </w:t>
      </w:r>
      <w:r>
        <w:t xml:space="preserve">ist die erste temporale Bestimmung: </w:t>
      </w:r>
      <w:r>
        <w:rPr>
          <w:rStyle w:val="Fett"/>
          <w:rFonts w:eastAsiaTheme="majorEastAsia"/>
          <w:rtl/>
        </w:rPr>
        <w:t>בְּ</w:t>
      </w:r>
      <w:r>
        <w:rPr>
          <w:rtl/>
        </w:rPr>
        <w:t xml:space="preserve"> </w:t>
      </w:r>
      <w:r>
        <w:t xml:space="preserve">mit </w:t>
      </w:r>
      <w:r>
        <w:rPr>
          <w:rStyle w:val="Fett"/>
          <w:rFonts w:eastAsiaTheme="majorEastAsia"/>
          <w:rtl/>
        </w:rPr>
        <w:t>שֶׁבֶת</w:t>
      </w:r>
      <w:r>
        <w:rPr>
          <w:rtl/>
        </w:rPr>
        <w:t xml:space="preserve"> </w:t>
      </w:r>
      <w:r>
        <w:t xml:space="preserve">(Qal Infinitiv Construct von </w:t>
      </w:r>
      <w:r>
        <w:rPr>
          <w:rStyle w:val="Fett"/>
          <w:rFonts w:eastAsiaTheme="majorEastAsia"/>
          <w:rtl/>
        </w:rPr>
        <w:t>ישׁב</w:t>
      </w:r>
      <w:r>
        <w:t xml:space="preserve">, „sitzen, wohnen") und Suffix 2. Person Maskulinum Singular, gefolgt von </w:t>
      </w:r>
      <w:r>
        <w:rPr>
          <w:rStyle w:val="Fett"/>
          <w:rFonts w:eastAsiaTheme="majorEastAsia"/>
          <w:rtl/>
        </w:rPr>
        <w:t>בְּבֵיתֶךָ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בַּיִת</w:t>
      </w:r>
      <w:r>
        <w:t xml:space="preserve">, „Haus", und Suffix 2. Person Maskulinum Singular). Die Konstruktion mit </w:t>
      </w:r>
      <w:r>
        <w:rPr>
          <w:rStyle w:val="Fett"/>
          <w:rFonts w:eastAsiaTheme="majorEastAsia"/>
          <w:rtl/>
        </w:rPr>
        <w:t>בְּ</w:t>
      </w:r>
      <w:r>
        <w:rPr>
          <w:rtl/>
        </w:rPr>
        <w:t xml:space="preserve"> </w:t>
      </w:r>
      <w:r>
        <w:t>und Infinitiv Construct drückt Gleichzeitigkeit aus („wenn/während du sitzt").</w:t>
      </w:r>
    </w:p>
    <w:p w14:paraId="44C8CF02" w14:textId="77777777" w:rsidR="00AB44EE" w:rsidRDefault="00AB44EE" w:rsidP="00AB44EE">
      <w:pPr>
        <w:pStyle w:val="whitespace-normal"/>
      </w:pPr>
      <w:r>
        <w:rPr>
          <w:rStyle w:val="Fett"/>
          <w:rFonts w:eastAsiaTheme="majorEastAsia"/>
          <w:rtl/>
        </w:rPr>
        <w:t>וּבְלֶכְתְּךָ בַדֶּרֶךְ</w:t>
      </w:r>
      <w:r>
        <w:rPr>
          <w:rtl/>
        </w:rPr>
        <w:t xml:space="preserve"> </w:t>
      </w:r>
      <w:r>
        <w:t xml:space="preserve">ist die zweite temporale Bestimmung: </w:t>
      </w:r>
      <w:r>
        <w:rPr>
          <w:rStyle w:val="Fett"/>
          <w:rFonts w:eastAsiaTheme="majorEastAsia"/>
          <w:rtl/>
        </w:rPr>
        <w:t>וּבְ</w:t>
      </w:r>
      <w:r>
        <w:rPr>
          <w:rtl/>
        </w:rPr>
        <w:t xml:space="preserve"> </w:t>
      </w:r>
      <w:r>
        <w:t xml:space="preserve">mit </w:t>
      </w:r>
      <w:r>
        <w:rPr>
          <w:rStyle w:val="Fett"/>
          <w:rFonts w:eastAsiaTheme="majorEastAsia"/>
          <w:rtl/>
        </w:rPr>
        <w:t>הֲלִיכָה</w:t>
      </w:r>
      <w:r>
        <w:rPr>
          <w:rtl/>
        </w:rPr>
        <w:t xml:space="preserve"> </w:t>
      </w:r>
      <w:r>
        <w:t xml:space="preserve">(Qal Infinitiv Construct von </w:t>
      </w:r>
      <w:r>
        <w:rPr>
          <w:rStyle w:val="Fett"/>
          <w:rFonts w:eastAsiaTheme="majorEastAsia"/>
          <w:rtl/>
        </w:rPr>
        <w:t>הלך</w:t>
      </w:r>
      <w:r>
        <w:t xml:space="preserve">, „gehen, wandeln") in der Form </w:t>
      </w:r>
      <w:r>
        <w:rPr>
          <w:rStyle w:val="Fett"/>
          <w:rFonts w:eastAsiaTheme="majorEastAsia"/>
          <w:rtl/>
        </w:rPr>
        <w:t>לֶכֶת</w:t>
      </w:r>
      <w:r>
        <w:rPr>
          <w:rtl/>
        </w:rPr>
        <w:t xml:space="preserve"> </w:t>
      </w:r>
      <w:r>
        <w:t xml:space="preserve">und Suffix 2. Person Maskulinum Singular, </w:t>
      </w:r>
      <w:r>
        <w:rPr>
          <w:rStyle w:val="Fett"/>
          <w:rFonts w:eastAsiaTheme="majorEastAsia"/>
          <w:rtl/>
        </w:rPr>
        <w:t>בַדֶּרֶךְ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דֶּרֶךְ</w:t>
      </w:r>
      <w:r>
        <w:t xml:space="preserve">, „Weg"). </w:t>
      </w:r>
      <w:r>
        <w:rPr>
          <w:rStyle w:val="Fett"/>
          <w:rFonts w:eastAsiaTheme="majorEastAsia"/>
          <w:rtl/>
        </w:rPr>
        <w:t>וּבְשָׁכְבְּךָ</w:t>
      </w:r>
      <w:r>
        <w:rPr>
          <w:rtl/>
        </w:rPr>
        <w:t xml:space="preserve"> </w:t>
      </w:r>
      <w:r>
        <w:t xml:space="preserve">ist die dritte temporale Bestimmung: </w:t>
      </w:r>
      <w:r>
        <w:rPr>
          <w:rStyle w:val="Fett"/>
          <w:rFonts w:eastAsiaTheme="majorEastAsia"/>
          <w:rtl/>
        </w:rPr>
        <w:t>וּבְ</w:t>
      </w:r>
      <w:r>
        <w:rPr>
          <w:rtl/>
        </w:rPr>
        <w:t xml:space="preserve"> </w:t>
      </w:r>
      <w:r>
        <w:t xml:space="preserve">mit </w:t>
      </w:r>
      <w:r>
        <w:rPr>
          <w:rStyle w:val="Fett"/>
          <w:rFonts w:eastAsiaTheme="majorEastAsia"/>
          <w:rtl/>
        </w:rPr>
        <w:t>שׁכב</w:t>
      </w:r>
      <w:r>
        <w:rPr>
          <w:rtl/>
        </w:rPr>
        <w:t xml:space="preserve"> </w:t>
      </w:r>
      <w:r>
        <w:t xml:space="preserve">(Qal Infinitiv Construct von </w:t>
      </w:r>
      <w:r>
        <w:rPr>
          <w:rStyle w:val="Fett"/>
          <w:rFonts w:eastAsiaTheme="majorEastAsia"/>
          <w:rtl/>
        </w:rPr>
        <w:t>שׁכב</w:t>
      </w:r>
      <w:r>
        <w:t xml:space="preserve">, „sich hinlegen, liegen") und Suffix 2. Person Maskulinum Singular. </w:t>
      </w:r>
      <w:r>
        <w:rPr>
          <w:rStyle w:val="Fett"/>
          <w:rFonts w:eastAsiaTheme="majorEastAsia"/>
          <w:rtl/>
        </w:rPr>
        <w:t>וּבְקוּמֶךָ</w:t>
      </w:r>
      <w:r>
        <w:rPr>
          <w:rtl/>
        </w:rPr>
        <w:t xml:space="preserve"> </w:t>
      </w:r>
      <w:r>
        <w:t xml:space="preserve">ist die vierte temporale Bestimmung: </w:t>
      </w:r>
      <w:r>
        <w:rPr>
          <w:rStyle w:val="Fett"/>
          <w:rFonts w:eastAsiaTheme="majorEastAsia"/>
          <w:rtl/>
        </w:rPr>
        <w:t>וּבְ</w:t>
      </w:r>
      <w:r>
        <w:rPr>
          <w:rtl/>
        </w:rPr>
        <w:t xml:space="preserve"> </w:t>
      </w:r>
      <w:r>
        <w:t xml:space="preserve">mit </w:t>
      </w:r>
      <w:r>
        <w:rPr>
          <w:rStyle w:val="Fett"/>
          <w:rFonts w:eastAsiaTheme="majorEastAsia"/>
          <w:rtl/>
        </w:rPr>
        <w:t>קום</w:t>
      </w:r>
      <w:r>
        <w:rPr>
          <w:rtl/>
        </w:rPr>
        <w:t xml:space="preserve"> </w:t>
      </w:r>
      <w:r>
        <w:t xml:space="preserve">(Qal Infinitiv Construct von </w:t>
      </w:r>
      <w:r>
        <w:rPr>
          <w:rStyle w:val="Fett"/>
          <w:rFonts w:eastAsiaTheme="majorEastAsia"/>
          <w:rtl/>
        </w:rPr>
        <w:t>קום</w:t>
      </w:r>
      <w:r>
        <w:t>, „aufstehen, sich erheben") und Suffix 2. Person Maskulinum Singular.</w:t>
      </w:r>
    </w:p>
    <w:p w14:paraId="66BA61F5" w14:textId="763E7CA9" w:rsidR="00AB44EE" w:rsidRDefault="00AB44EE" w:rsidP="00AB44EE">
      <w:pPr>
        <w:pStyle w:val="whitespace-normal"/>
      </w:pPr>
      <w:r>
        <w:t xml:space="preserve">Die Syntax zeigt eine umfassende zeitliche und räumliche Dimension: Die vier temporalen Bestimmungen bilden zwei Merismen: (1) </w:t>
      </w:r>
      <w:r>
        <w:rPr>
          <w:rStyle w:val="Fett"/>
          <w:rFonts w:eastAsiaTheme="majorEastAsia"/>
          <w:rtl/>
        </w:rPr>
        <w:t>בְּשִׁבְתְּךָ בְּבֵיתֶךָ</w:t>
      </w:r>
      <w:r>
        <w:rPr>
          <w:rtl/>
        </w:rPr>
        <w:t xml:space="preserve"> </w:t>
      </w:r>
      <w:r>
        <w:t xml:space="preserve">und </w:t>
      </w:r>
      <w:r>
        <w:rPr>
          <w:rStyle w:val="Fett"/>
          <w:rFonts w:eastAsiaTheme="majorEastAsia"/>
          <w:rtl/>
        </w:rPr>
        <w:t>וּבְלֶכְתְּךָ בַדֶּרֶךְ</w:t>
      </w:r>
      <w:r>
        <w:rPr>
          <w:rtl/>
        </w:rPr>
        <w:t xml:space="preserve"> </w:t>
      </w:r>
      <w:r>
        <w:t xml:space="preserve">umfassen alle Orte (zu Hause und unterwegs), (2) </w:t>
      </w:r>
      <w:r>
        <w:rPr>
          <w:rStyle w:val="Fett"/>
          <w:rFonts w:eastAsiaTheme="majorEastAsia"/>
          <w:rtl/>
        </w:rPr>
        <w:t>וּבְשָׁכְבְּךָ</w:t>
      </w:r>
      <w:r>
        <w:rPr>
          <w:rtl/>
        </w:rPr>
        <w:t xml:space="preserve"> </w:t>
      </w:r>
      <w:r>
        <w:t xml:space="preserve">und </w:t>
      </w:r>
      <w:r>
        <w:rPr>
          <w:rStyle w:val="Fett"/>
          <w:rFonts w:eastAsiaTheme="majorEastAsia"/>
          <w:rtl/>
        </w:rPr>
        <w:t>וּבְקוּמֶךָ</w:t>
      </w:r>
      <w:r>
        <w:rPr>
          <w:rtl/>
        </w:rPr>
        <w:t xml:space="preserve"> </w:t>
      </w:r>
      <w:r>
        <w:t>umfassen alle Zeiten (Abend und Morgen, bzw. die gesamte Tageszeit). Zusammen bedeuten die vier Wendungen: zu jeder Zeit und an jedem Ort. Der Wechsel von Plural (</w:t>
      </w:r>
      <w:r>
        <w:rPr>
          <w:rStyle w:val="Fett"/>
          <w:rFonts w:eastAsiaTheme="majorEastAsia"/>
          <w:rtl/>
        </w:rPr>
        <w:t>וְלִמַּדְתֶּם</w:t>
      </w:r>
      <w:r>
        <w:t xml:space="preserve">, </w:t>
      </w:r>
      <w:r>
        <w:rPr>
          <w:rStyle w:val="Fett"/>
          <w:rFonts w:eastAsiaTheme="majorEastAsia"/>
          <w:rtl/>
        </w:rPr>
        <w:t>בְּנֵיכֶם</w:t>
      </w:r>
      <w:r>
        <w:t>) zu Singular (</w:t>
      </w:r>
      <w:r>
        <w:rPr>
          <w:rStyle w:val="Fett"/>
          <w:rFonts w:eastAsiaTheme="majorEastAsia"/>
          <w:rtl/>
        </w:rPr>
        <w:t>בְּשִׁבְתְּךָ</w:t>
      </w:r>
      <w:r>
        <w:t xml:space="preserve">, </w:t>
      </w:r>
      <w:r>
        <w:rPr>
          <w:rStyle w:val="Fett"/>
          <w:rFonts w:eastAsiaTheme="majorEastAsia"/>
          <w:rtl/>
        </w:rPr>
        <w:t>בְּלֶכְתְּךָ</w:t>
      </w:r>
      <w:r>
        <w:t xml:space="preserve">, </w:t>
      </w:r>
      <w:r>
        <w:rPr>
          <w:rStyle w:val="Fett"/>
          <w:rFonts w:eastAsiaTheme="majorEastAsia"/>
          <w:rtl/>
        </w:rPr>
        <w:t>בְּשָׁכְבְּךָ</w:t>
      </w:r>
      <w:r>
        <w:t xml:space="preserve">, </w:t>
      </w:r>
      <w:r>
        <w:rPr>
          <w:rStyle w:val="Fett"/>
          <w:rFonts w:eastAsiaTheme="majorEastAsia"/>
          <w:rtl/>
        </w:rPr>
        <w:t>בְקוּמֶךָ</w:t>
      </w:r>
      <w:r>
        <w:t xml:space="preserve">) individualisiert die Anrede und macht die Verpflichtung persönlich. Dieser Vers wiederholt fast wörtlich 6,7 und unterstreicht die zentrale Bedeutung der Weitergabe der </w:t>
      </w:r>
      <w:r w:rsidR="006D3FED">
        <w:t>Torah</w:t>
      </w:r>
      <w:r>
        <w:t xml:space="preserve"> an die nächste Generation.</w:t>
      </w:r>
    </w:p>
    <w:p w14:paraId="174CD2DE" w14:textId="77777777" w:rsidR="00AB44EE" w:rsidRDefault="00AB44EE" w:rsidP="00AB44EE">
      <w:pPr>
        <w:pStyle w:val="whitespace-normal"/>
      </w:pPr>
      <w:r>
        <w:rPr>
          <w:rStyle w:val="Fett"/>
          <w:rFonts w:eastAsiaTheme="majorEastAsia"/>
        </w:rPr>
        <w:t>Die LXX</w:t>
      </w:r>
      <w:r>
        <w:t xml:space="preserve"> übersetzt „lehren" mit „</w:t>
      </w:r>
      <w:proofErr w:type="spellStart"/>
      <w:r>
        <w:t>συμ</w:t>
      </w:r>
      <w:proofErr w:type="spellEnd"/>
      <w:r>
        <w:t>βιβάσετε", „davon reden" mit „λα</w:t>
      </w:r>
      <w:proofErr w:type="spellStart"/>
      <w:r>
        <w:t>λεῖν</w:t>
      </w:r>
      <w:proofErr w:type="spellEnd"/>
      <w:r>
        <w:t xml:space="preserve"> </w:t>
      </w:r>
      <w:proofErr w:type="spellStart"/>
      <w:r>
        <w:t>ἐν</w:t>
      </w:r>
      <w:proofErr w:type="spellEnd"/>
      <w:r>
        <w:t xml:space="preserve"> α</w:t>
      </w:r>
      <w:proofErr w:type="spellStart"/>
      <w:r>
        <w:t>ὐτοῖς</w:t>
      </w:r>
      <w:proofErr w:type="spellEnd"/>
      <w:r>
        <w:t>" und die vier temporalen Bestimmungen parallel zum Hebräischen.</w:t>
      </w:r>
    </w:p>
    <w:p w14:paraId="79424079" w14:textId="77777777" w:rsidR="00AB44EE" w:rsidRDefault="00AB44EE" w:rsidP="00AB44EE">
      <w:pPr>
        <w:pStyle w:val="whitespace-normal"/>
      </w:pPr>
      <w:r>
        <w:t>Die Satzstruktur besteht aus einem Hauptsatz mit finalem Infinitiv und vier temporalen Bestimmungen: Prädikat (sollt lehren), direktes Objekt (sie), zweites Objekt (eure Kinder), finale/modale Bestimmung mit Infinitiv (indem ihr davon redet); vier temporale Bestimmungen mit Infinitiven Construct und Suffixen (wenn du in deinem Haus sitzt, wenn du auf dem Weg gehst, wenn du dich hinlegst, wenn du aufstehst).</w:t>
      </w:r>
    </w:p>
    <w:p w14:paraId="7DB05A23" w14:textId="23F1EE6F" w:rsidR="00AB44EE" w:rsidRDefault="00AB44EE" w:rsidP="00AB44EE">
      <w:pPr>
        <w:pStyle w:val="whitespace-normal"/>
      </w:pPr>
      <w:r>
        <w:t xml:space="preserve">Der Vers verpflichtet zur ständigen Unterweisung der Kinder in Gottes Worten: zu jeder Tageszeit und an jedem Ort soll die </w:t>
      </w:r>
      <w:r w:rsidR="006D3FED">
        <w:t>Torah</w:t>
      </w:r>
      <w:r>
        <w:t xml:space="preserve"> Gesprächsthema sein – eine totale Erziehung im Glauben.</w:t>
      </w:r>
    </w:p>
    <w:p w14:paraId="717EFE67" w14:textId="77777777" w:rsidR="00AB44EE" w:rsidRPr="00AB44EE" w:rsidRDefault="00AB44EE" w:rsidP="00AB44EE">
      <w:pPr>
        <w:pStyle w:val="berschrift1"/>
        <w:rPr>
          <w:rFonts w:ascii="Times New Roman" w:hAnsi="Times New Roman"/>
          <w:color w:val="auto"/>
          <w:sz w:val="36"/>
          <w:szCs w:val="36"/>
        </w:rPr>
      </w:pPr>
      <w:r w:rsidRPr="00AB44EE">
        <w:rPr>
          <w:rStyle w:val="Fett"/>
          <w:rFonts w:ascii="Times New Roman" w:hAnsi="Times New Roman"/>
          <w:color w:val="auto"/>
          <w:sz w:val="36"/>
          <w:szCs w:val="36"/>
        </w:rPr>
        <w:t>Deuteronomium 11,20</w:t>
      </w:r>
    </w:p>
    <w:p w14:paraId="2FF2A1D7" w14:textId="77777777" w:rsidR="00AB44EE" w:rsidRDefault="00AB44EE" w:rsidP="00AB44EE">
      <w:pPr>
        <w:pStyle w:val="whitespace-normal"/>
      </w:pPr>
      <w:r>
        <w:rPr>
          <w:rStyle w:val="Fett"/>
          <w:rFonts w:eastAsiaTheme="majorEastAsia"/>
        </w:rPr>
        <w:t>Hebräisch:</w:t>
      </w:r>
      <w:r>
        <w:t xml:space="preserve"> </w:t>
      </w:r>
      <w:r>
        <w:rPr>
          <w:rtl/>
        </w:rPr>
        <w:t>וּכְתַבְתָּ֛ם עַל־מְזוּז֥וֹת בֵּיתֶ֖ךָ וּבִשְׁעָרֶֽיךָ׃</w:t>
      </w:r>
    </w:p>
    <w:p w14:paraId="0A3788A7" w14:textId="77777777" w:rsidR="00AB44EE" w:rsidRDefault="00AB44EE" w:rsidP="00AB44EE">
      <w:pPr>
        <w:pStyle w:val="whitespace-normal"/>
      </w:pPr>
      <w:r>
        <w:rPr>
          <w:rStyle w:val="Fett"/>
          <w:rFonts w:eastAsiaTheme="majorEastAsia"/>
        </w:rPr>
        <w:t>Deutsch:</w:t>
      </w:r>
      <w:r>
        <w:t xml:space="preserve"> Und du sollst sie auf die Pfosten deines Hauses und an deine Tore schreiben,</w:t>
      </w:r>
    </w:p>
    <w:p w14:paraId="0F823674" w14:textId="77777777" w:rsidR="00AB44EE" w:rsidRDefault="004F5CEB" w:rsidP="00AB44EE">
      <w:r>
        <w:rPr>
          <w:noProof/>
        </w:rPr>
        <w:pict w14:anchorId="2EB380A3">
          <v:rect id="_x0000_i1360" style="width:0;height:1.5pt" o:hralign="center" o:hrstd="t" o:hr="t" fillcolor="#a0a0a0" stroked="f"/>
        </w:pict>
      </w:r>
    </w:p>
    <w:p w14:paraId="116FB412" w14:textId="77777777" w:rsidR="00AB44EE" w:rsidRDefault="00AB44EE" w:rsidP="00AB44EE">
      <w:pPr>
        <w:pStyle w:val="whitespace-normal"/>
      </w:pPr>
      <w:r>
        <w:rPr>
          <w:rStyle w:val="Fett"/>
          <w:rFonts w:eastAsiaTheme="majorEastAsia"/>
        </w:rPr>
        <w:t>Kommentar:</w:t>
      </w:r>
      <w:r>
        <w:t xml:space="preserve"> </w:t>
      </w:r>
      <w:r>
        <w:rPr>
          <w:rStyle w:val="Fett"/>
          <w:rFonts w:eastAsiaTheme="majorEastAsia"/>
          <w:rtl/>
        </w:rPr>
        <w:t>וּכְתַבְתָּם עַל־מְזוּזוֹת בֵּיתֶךָ</w:t>
      </w:r>
      <w:r>
        <w:rPr>
          <w:rtl/>
        </w:rPr>
        <w:t xml:space="preserve"> </w:t>
      </w:r>
      <w:r>
        <w:t xml:space="preserve">ist ein Imperativsatz: </w:t>
      </w:r>
      <w:r>
        <w:rPr>
          <w:rStyle w:val="Fett"/>
          <w:rFonts w:eastAsiaTheme="majorEastAsia"/>
          <w:rtl/>
        </w:rPr>
        <w:t>וּכְתַבְתָּם</w:t>
      </w:r>
      <w:r>
        <w:rPr>
          <w:rtl/>
        </w:rPr>
        <w:t xml:space="preserve"> </w:t>
      </w:r>
      <w:r>
        <w:t xml:space="preserve">(Qal Perfekt, 2. Person Maskulinum Singular von </w:t>
      </w:r>
      <w:r>
        <w:rPr>
          <w:rStyle w:val="Fett"/>
          <w:rFonts w:eastAsiaTheme="majorEastAsia"/>
          <w:rtl/>
        </w:rPr>
        <w:t>כתב</w:t>
      </w:r>
      <w:r>
        <w:t xml:space="preserve">, „schreiben", mit </w:t>
      </w:r>
      <w:r>
        <w:rPr>
          <w:rStyle w:val="Fett"/>
          <w:rFonts w:eastAsiaTheme="majorEastAsia"/>
        </w:rPr>
        <w:t>Waw</w:t>
      </w:r>
      <w:r>
        <w:t xml:space="preserve"> copulativum und Suffix 3. Person Maskulinum Plural als direktes Objekt, imperativisch), </w:t>
      </w:r>
      <w:r>
        <w:rPr>
          <w:rStyle w:val="Fett"/>
          <w:rFonts w:eastAsiaTheme="majorEastAsia"/>
          <w:rtl/>
        </w:rPr>
        <w:t>עַל־מְזוּזוֹת בֵּיתֶךָ</w:t>
      </w:r>
      <w:r>
        <w:rPr>
          <w:rtl/>
        </w:rPr>
        <w:t xml:space="preserve"> </w:t>
      </w:r>
      <w:r>
        <w:t xml:space="preserve">(Präposition </w:t>
      </w:r>
      <w:r>
        <w:rPr>
          <w:rStyle w:val="Fett"/>
          <w:rFonts w:eastAsiaTheme="majorEastAsia"/>
          <w:rtl/>
        </w:rPr>
        <w:t>עַל</w:t>
      </w:r>
      <w:r>
        <w:t xml:space="preserve">, „auf, an", mit </w:t>
      </w:r>
      <w:r>
        <w:rPr>
          <w:rStyle w:val="Fett"/>
          <w:rFonts w:eastAsiaTheme="majorEastAsia"/>
          <w:rtl/>
        </w:rPr>
        <w:t>מְזוּזָה</w:t>
      </w:r>
      <w:r>
        <w:t xml:space="preserve">, „Türpfosten, Pfosten", Plural im Construct mit </w:t>
      </w:r>
      <w:r>
        <w:rPr>
          <w:rStyle w:val="Fett"/>
          <w:rFonts w:eastAsiaTheme="majorEastAsia"/>
          <w:rtl/>
        </w:rPr>
        <w:t>בַּיִת</w:t>
      </w:r>
      <w:r>
        <w:t xml:space="preserve">, „Haus", und Suffix 2. </w:t>
      </w:r>
      <w:r>
        <w:lastRenderedPageBreak/>
        <w:t xml:space="preserve">Person Maskulinum Singular) als lokale Bestimmung. Das Suffix </w:t>
      </w:r>
      <w:r>
        <w:rPr>
          <w:rStyle w:val="Fett"/>
          <w:rFonts w:eastAsiaTheme="majorEastAsia"/>
          <w:rtl/>
        </w:rPr>
        <w:t>ם</w:t>
      </w:r>
      <w:r>
        <w:rPr>
          <w:rStyle w:val="Fett"/>
          <w:rFonts w:eastAsiaTheme="majorEastAsia"/>
        </w:rPr>
        <w:t>-</w:t>
      </w:r>
      <w:r>
        <w:t xml:space="preserve"> an </w:t>
      </w:r>
      <w:r>
        <w:rPr>
          <w:rStyle w:val="Fett"/>
          <w:rFonts w:eastAsiaTheme="majorEastAsia"/>
          <w:rtl/>
        </w:rPr>
        <w:t>וּכְתַבְתָּם</w:t>
      </w:r>
      <w:r>
        <w:rPr>
          <w:rtl/>
        </w:rPr>
        <w:t xml:space="preserve"> </w:t>
      </w:r>
      <w:r>
        <w:t xml:space="preserve">verweist auf </w:t>
      </w:r>
      <w:r>
        <w:rPr>
          <w:rStyle w:val="Fett"/>
          <w:rFonts w:eastAsiaTheme="majorEastAsia"/>
          <w:rtl/>
        </w:rPr>
        <w:t>דְּבָרַי</w:t>
      </w:r>
      <w:r>
        <w:rPr>
          <w:rtl/>
        </w:rPr>
        <w:t xml:space="preserve"> </w:t>
      </w:r>
      <w:r>
        <w:t xml:space="preserve">aus V. 18 zurück. Die </w:t>
      </w:r>
      <w:r>
        <w:rPr>
          <w:rStyle w:val="Fett"/>
          <w:rFonts w:eastAsiaTheme="majorEastAsia"/>
          <w:rtl/>
        </w:rPr>
        <w:t>מְזוּזָה</w:t>
      </w:r>
      <w:r>
        <w:rPr>
          <w:rtl/>
        </w:rPr>
        <w:t xml:space="preserve"> </w:t>
      </w:r>
      <w:r>
        <w:t xml:space="preserve">bezeichnet den senkrechten Türpfosten an beiden Seiten der Tür. </w:t>
      </w:r>
      <w:r>
        <w:rPr>
          <w:rStyle w:val="Fett"/>
          <w:rFonts w:eastAsiaTheme="majorEastAsia"/>
          <w:rtl/>
        </w:rPr>
        <w:t>וּבִשְׁעָרֶיךָ</w:t>
      </w:r>
      <w:r>
        <w:rPr>
          <w:rtl/>
        </w:rPr>
        <w:t xml:space="preserve"> </w:t>
      </w:r>
      <w:r>
        <w:t xml:space="preserve">ist koordiniert: </w:t>
      </w:r>
      <w:r>
        <w:rPr>
          <w:rStyle w:val="Fett"/>
          <w:rFonts w:eastAsiaTheme="majorEastAsia"/>
          <w:rtl/>
        </w:rPr>
        <w:t>וּבְ</w:t>
      </w:r>
      <w:r>
        <w:rPr>
          <w:rtl/>
        </w:rPr>
        <w:t xml:space="preserve"> </w:t>
      </w:r>
      <w:r>
        <w:t xml:space="preserve">(Präposition </w:t>
      </w:r>
      <w:r>
        <w:rPr>
          <w:rStyle w:val="Fett"/>
          <w:rFonts w:eastAsiaTheme="majorEastAsia"/>
          <w:rtl/>
        </w:rPr>
        <w:t>בְּ</w:t>
      </w:r>
      <w:r>
        <w:t xml:space="preserve">, „an, in") mit </w:t>
      </w:r>
      <w:r>
        <w:rPr>
          <w:rStyle w:val="Fett"/>
          <w:rFonts w:eastAsiaTheme="majorEastAsia"/>
          <w:rtl/>
        </w:rPr>
        <w:t>שַׁעַר</w:t>
      </w:r>
      <w:r>
        <w:t xml:space="preserve">, „Tor", Plural mit Suffix 2. Person Maskulinum Singular. Die </w:t>
      </w:r>
      <w:r>
        <w:rPr>
          <w:rStyle w:val="Fett"/>
          <w:rFonts w:eastAsiaTheme="majorEastAsia"/>
          <w:rtl/>
        </w:rPr>
        <w:t>שְׁעָרִים</w:t>
      </w:r>
      <w:r>
        <w:rPr>
          <w:rtl/>
        </w:rPr>
        <w:t xml:space="preserve"> </w:t>
      </w:r>
      <w:r>
        <w:t>sind die Stadttore oder die Tore des Grundstücks.</w:t>
      </w:r>
    </w:p>
    <w:p w14:paraId="055BC54C" w14:textId="7C23B503" w:rsidR="00AB44EE" w:rsidRDefault="00AB44EE" w:rsidP="00AB44EE">
      <w:pPr>
        <w:pStyle w:val="whitespace-normal"/>
      </w:pPr>
      <w:r>
        <w:t xml:space="preserve">Die Syntax zeigt eine weitere Dimension der Sichtbarkeit der </w:t>
      </w:r>
      <w:r w:rsidR="001E0205">
        <w:t>Torah</w:t>
      </w:r>
      <w:r w:rsidR="007E2044">
        <w:t>worte</w:t>
      </w:r>
      <w:r>
        <w:t xml:space="preserve">: Nach der persönlichen Verinnerlichung (V. 18a), der körperlichen Sichtbarkeit (V. 18b) und der mündlichen Weitergabe (V. 19) folgt nun die schriftliche Fixierung an den Eingängen des Hauses. Die doppelte Lokalisierung </w:t>
      </w:r>
      <w:r>
        <w:rPr>
          <w:rStyle w:val="Fett"/>
          <w:rFonts w:eastAsiaTheme="majorEastAsia"/>
          <w:rtl/>
        </w:rPr>
        <w:t>עַל־מְזוּזוֹת בֵּיתֶךָ וּבִשְׁעָרֶיךָ</w:t>
      </w:r>
      <w:r>
        <w:rPr>
          <w:rtl/>
        </w:rPr>
        <w:t xml:space="preserve"> </w:t>
      </w:r>
      <w:r>
        <w:t>umfasst private (Haustür) und öffentliche (Tore) Bereiche. Der Wechsel von Plural (</w:t>
      </w:r>
      <w:r>
        <w:rPr>
          <w:rStyle w:val="Fett"/>
          <w:rFonts w:eastAsiaTheme="majorEastAsia"/>
          <w:rtl/>
        </w:rPr>
        <w:t>וְלִמַּדְתֶּם</w:t>
      </w:r>
      <w:r>
        <w:t>, V. 19) zu Singular (</w:t>
      </w:r>
      <w:r>
        <w:rPr>
          <w:rStyle w:val="Fett"/>
          <w:rFonts w:eastAsiaTheme="majorEastAsia"/>
          <w:rtl/>
        </w:rPr>
        <w:t>וּכְתַבְתָּם</w:t>
      </w:r>
      <w:r>
        <w:t xml:space="preserve">) individualisiert die Verpflichtung. Dieser kurze Vers wiederholt fast wörtlich 6,9 und bildet zusammen mit V. 18-19 eine Einheit über die totale Durchdringung des Lebensraums mit der </w:t>
      </w:r>
      <w:r w:rsidR="006D3FED">
        <w:t>Torah</w:t>
      </w:r>
      <w:r>
        <w:t xml:space="preserve">. Die Präpositionen </w:t>
      </w:r>
      <w:r>
        <w:rPr>
          <w:rStyle w:val="Fett"/>
          <w:rFonts w:eastAsiaTheme="majorEastAsia"/>
          <w:rtl/>
        </w:rPr>
        <w:t>עַל</w:t>
      </w:r>
      <w:r>
        <w:rPr>
          <w:rtl/>
        </w:rPr>
        <w:t xml:space="preserve"> </w:t>
      </w:r>
      <w:r>
        <w:t xml:space="preserve">(bei </w:t>
      </w:r>
      <w:r>
        <w:rPr>
          <w:rStyle w:val="Fett"/>
          <w:rFonts w:eastAsiaTheme="majorEastAsia"/>
          <w:rtl/>
        </w:rPr>
        <w:t>מְזוּזוֹת</w:t>
      </w:r>
      <w:r>
        <w:t xml:space="preserve">) und </w:t>
      </w:r>
      <w:r>
        <w:rPr>
          <w:rStyle w:val="Fett"/>
          <w:rFonts w:eastAsiaTheme="majorEastAsia"/>
          <w:rtl/>
        </w:rPr>
        <w:t>בְּ</w:t>
      </w:r>
      <w:r>
        <w:rPr>
          <w:rtl/>
        </w:rPr>
        <w:t xml:space="preserve"> </w:t>
      </w:r>
      <w:r>
        <w:t xml:space="preserve">(bei </w:t>
      </w:r>
      <w:r>
        <w:rPr>
          <w:rStyle w:val="Fett"/>
          <w:rFonts w:eastAsiaTheme="majorEastAsia"/>
          <w:rtl/>
        </w:rPr>
        <w:t>שְׁעָרִים</w:t>
      </w:r>
      <w:r>
        <w:t>) sind stilistische Variation ohne bedeutsamen Unterschied.</w:t>
      </w:r>
    </w:p>
    <w:p w14:paraId="2CACB546" w14:textId="77777777" w:rsidR="00AB44EE" w:rsidRDefault="00AB44EE" w:rsidP="00AB44EE">
      <w:pPr>
        <w:pStyle w:val="whitespace-normal"/>
      </w:pPr>
      <w:r>
        <w:rPr>
          <w:rStyle w:val="Fett"/>
          <w:rFonts w:eastAsiaTheme="majorEastAsia"/>
        </w:rPr>
        <w:t>Die LXX</w:t>
      </w:r>
      <w:r>
        <w:t xml:space="preserve"> übersetzt „schreiben" mit „</w:t>
      </w:r>
      <w:proofErr w:type="spellStart"/>
      <w:r>
        <w:t>γράψετε</w:t>
      </w:r>
      <w:proofErr w:type="spellEnd"/>
      <w:r>
        <w:t xml:space="preserve">", „auf die Pfosten" mit „ἐπὶ </w:t>
      </w:r>
      <w:proofErr w:type="spellStart"/>
      <w:r>
        <w:t>τὰς</w:t>
      </w:r>
      <w:proofErr w:type="spellEnd"/>
      <w:r>
        <w:t xml:space="preserve"> </w:t>
      </w:r>
      <w:proofErr w:type="spellStart"/>
      <w:r>
        <w:t>φλιὰς</w:t>
      </w:r>
      <w:proofErr w:type="spellEnd"/>
      <w:r>
        <w:t>" und „an deine Tore" mit „</w:t>
      </w:r>
      <w:proofErr w:type="spellStart"/>
      <w:r>
        <w:t>τῶν</w:t>
      </w:r>
      <w:proofErr w:type="spellEnd"/>
      <w:r>
        <w:t xml:space="preserve"> π</w:t>
      </w:r>
      <w:proofErr w:type="spellStart"/>
      <w:r>
        <w:t>υλῶν</w:t>
      </w:r>
      <w:proofErr w:type="spellEnd"/>
      <w:r>
        <w:t xml:space="preserve"> </w:t>
      </w:r>
      <w:proofErr w:type="spellStart"/>
      <w:r>
        <w:t>σου</w:t>
      </w:r>
      <w:proofErr w:type="spellEnd"/>
      <w:r>
        <w:t>".</w:t>
      </w:r>
    </w:p>
    <w:p w14:paraId="78B30EE6" w14:textId="77777777" w:rsidR="00AB44EE" w:rsidRDefault="00AB44EE" w:rsidP="00AB44EE">
      <w:pPr>
        <w:pStyle w:val="whitespace-normal"/>
      </w:pPr>
      <w:r>
        <w:t>Die Satzstruktur besteht aus einem Hauptsatz mit zwei koordinierten lokalen Bestimmungen: Prädikat mit integriertem direktem Objekt (sollst sie schreiben) und doppelte lokale Bestimmung (auf die Pfosten deines Hauses und an deine Tore).</w:t>
      </w:r>
    </w:p>
    <w:p w14:paraId="084F90E8" w14:textId="77777777" w:rsidR="00AB44EE" w:rsidRDefault="00AB44EE" w:rsidP="00AB44EE">
      <w:pPr>
        <w:pStyle w:val="whitespace-normal"/>
      </w:pPr>
      <w:r>
        <w:t>Der Vers fordert die schriftliche Markierung der Wohnbereiche mit Gottes Worten: An Türpfosten und Toren sollen die göttlichen Weisungen sichtbar sein – eine ständige Erinnerung beim Ein- und Ausgehen.</w:t>
      </w:r>
    </w:p>
    <w:p w14:paraId="6F76D7CA" w14:textId="77777777" w:rsidR="00AB44EE" w:rsidRPr="00AB44EE" w:rsidRDefault="00AB44EE" w:rsidP="00AB44EE">
      <w:pPr>
        <w:pStyle w:val="berschrift1"/>
        <w:rPr>
          <w:rFonts w:ascii="Times New Roman" w:hAnsi="Times New Roman"/>
          <w:color w:val="auto"/>
          <w:sz w:val="36"/>
          <w:szCs w:val="36"/>
        </w:rPr>
      </w:pPr>
      <w:r w:rsidRPr="00AB44EE">
        <w:rPr>
          <w:rStyle w:val="Fett"/>
          <w:rFonts w:ascii="Times New Roman" w:hAnsi="Times New Roman"/>
          <w:color w:val="auto"/>
          <w:sz w:val="36"/>
          <w:szCs w:val="36"/>
        </w:rPr>
        <w:t>Deuteronomium 11,21</w:t>
      </w:r>
    </w:p>
    <w:p w14:paraId="3D415379" w14:textId="77777777" w:rsidR="00AB44EE" w:rsidRDefault="00AB44EE" w:rsidP="00AB44EE">
      <w:pPr>
        <w:pStyle w:val="whitespace-normal"/>
      </w:pPr>
      <w:r>
        <w:rPr>
          <w:rStyle w:val="Fett"/>
          <w:rFonts w:eastAsiaTheme="majorEastAsia"/>
        </w:rPr>
        <w:t>Hebräisch:</w:t>
      </w:r>
      <w:r>
        <w:t xml:space="preserve"> </w:t>
      </w:r>
      <w:r>
        <w:rPr>
          <w:rtl/>
        </w:rPr>
        <w:t>לְמַ֨עַן יִרְבּ֤וּ יְמֵיכֶם֙ וִימֵ֣י בְנֵיכֶ֔ם עַ֚ל הָֽאֲדָמָ֔ה אֲשֶׁ֨ר נִשְׁבַּ֧ע יְהוָ֛ה לַאֲבֹתֵיכֶ֖ם לָתֵ֣ת לָהֶ֑ם כִּימֵ֥י הַשָּׁמַ֖יִם עַל־הָאָֽרֶץ׃</w:t>
      </w:r>
    </w:p>
    <w:p w14:paraId="0E2C22CD" w14:textId="77777777" w:rsidR="00AB44EE" w:rsidRDefault="00AB44EE" w:rsidP="00AB44EE">
      <w:pPr>
        <w:pStyle w:val="whitespace-normal"/>
      </w:pPr>
      <w:r>
        <w:rPr>
          <w:rStyle w:val="Fett"/>
          <w:rFonts w:eastAsiaTheme="majorEastAsia"/>
        </w:rPr>
        <w:t>Deutsch:</w:t>
      </w:r>
      <w:r>
        <w:t xml:space="preserve"> damit eure Tage und die Tage eurer Kinder sich mehren in dem Land, das der Ewige euren Vätern geschworen hat, ihnen zu geben, wie die Tage des Himmels über der Erde.</w:t>
      </w:r>
    </w:p>
    <w:p w14:paraId="4E3FBDC8" w14:textId="77777777" w:rsidR="00AB44EE" w:rsidRDefault="004F5CEB" w:rsidP="00AB44EE">
      <w:r>
        <w:rPr>
          <w:noProof/>
        </w:rPr>
        <w:pict w14:anchorId="375ACC86">
          <v:rect id="_x0000_i1361" style="width:0;height:1.5pt" o:hralign="center" o:hrstd="t" o:hr="t" fillcolor="#a0a0a0" stroked="f"/>
        </w:pict>
      </w:r>
    </w:p>
    <w:p w14:paraId="7E607B0B" w14:textId="77777777" w:rsidR="00AB44EE" w:rsidRDefault="00AB44EE" w:rsidP="00AB44EE">
      <w:pPr>
        <w:pStyle w:val="whitespace-normal"/>
      </w:pPr>
      <w:r>
        <w:rPr>
          <w:rStyle w:val="Fett"/>
          <w:rFonts w:eastAsiaTheme="majorEastAsia"/>
        </w:rPr>
        <w:t>Kommentar:</w:t>
      </w:r>
      <w:r>
        <w:t xml:space="preserve"> </w:t>
      </w:r>
      <w:r>
        <w:rPr>
          <w:rStyle w:val="Fett"/>
          <w:rFonts w:eastAsiaTheme="majorEastAsia"/>
          <w:rtl/>
        </w:rPr>
        <w:t>לְמַעַן יִרְבּוּ יְמֵיכֶם וִימֵי בְנֵיכֶם</w:t>
      </w:r>
      <w:r>
        <w:rPr>
          <w:rtl/>
        </w:rPr>
        <w:t xml:space="preserve"> </w:t>
      </w:r>
      <w:r>
        <w:t xml:space="preserve">ist eine finale Bestimmung: </w:t>
      </w:r>
      <w:r>
        <w:rPr>
          <w:rStyle w:val="Fett"/>
          <w:rFonts w:eastAsiaTheme="majorEastAsia"/>
          <w:rtl/>
        </w:rPr>
        <w:t>לְמַעַן</w:t>
      </w:r>
      <w:r>
        <w:rPr>
          <w:rtl/>
        </w:rPr>
        <w:t xml:space="preserve"> </w:t>
      </w:r>
      <w:r>
        <w:t xml:space="preserve">(„damit, auf dass") mit </w:t>
      </w:r>
      <w:r>
        <w:rPr>
          <w:rStyle w:val="Fett"/>
          <w:rFonts w:eastAsiaTheme="majorEastAsia"/>
          <w:rtl/>
        </w:rPr>
        <w:t>יִרְבּוּ</w:t>
      </w:r>
      <w:r>
        <w:rPr>
          <w:rtl/>
        </w:rPr>
        <w:t xml:space="preserve"> </w:t>
      </w:r>
      <w:r>
        <w:t xml:space="preserve">(Qal Imperfekt, 3. Person Plural von </w:t>
      </w:r>
      <w:r>
        <w:rPr>
          <w:rStyle w:val="Fett"/>
          <w:rFonts w:eastAsiaTheme="majorEastAsia"/>
          <w:rtl/>
        </w:rPr>
        <w:t>רבה</w:t>
      </w:r>
      <w:r>
        <w:t xml:space="preserve">, „viel sein, sich mehren, zahlreich werden"), </w:t>
      </w:r>
      <w:r>
        <w:rPr>
          <w:rStyle w:val="Fett"/>
          <w:rFonts w:eastAsiaTheme="majorEastAsia"/>
          <w:rtl/>
        </w:rPr>
        <w:t>יְמֵיכֶם</w:t>
      </w:r>
      <w:r>
        <w:rPr>
          <w:rtl/>
        </w:rPr>
        <w:t xml:space="preserve"> </w:t>
      </w:r>
      <w:r>
        <w:t xml:space="preserve">(Plural Construct von </w:t>
      </w:r>
      <w:r>
        <w:rPr>
          <w:rStyle w:val="Fett"/>
          <w:rFonts w:eastAsiaTheme="majorEastAsia"/>
          <w:rtl/>
        </w:rPr>
        <w:t>יוֹם</w:t>
      </w:r>
      <w:r>
        <w:t xml:space="preserve">, „Tag", mit Suffix 2. Person Maskulinum Plural) als Subjekt, koordiniert durch </w:t>
      </w:r>
      <w:r>
        <w:rPr>
          <w:rStyle w:val="Fett"/>
          <w:rFonts w:eastAsiaTheme="majorEastAsia"/>
          <w:rtl/>
        </w:rPr>
        <w:t>וִ</w:t>
      </w:r>
      <w:r>
        <w:rPr>
          <w:rtl/>
        </w:rPr>
        <w:t xml:space="preserve"> </w:t>
      </w:r>
      <w:r>
        <w:t xml:space="preserve">mit </w:t>
      </w:r>
      <w:r>
        <w:rPr>
          <w:rStyle w:val="Fett"/>
          <w:rFonts w:eastAsiaTheme="majorEastAsia"/>
          <w:rtl/>
        </w:rPr>
        <w:t>יְמֵי בְנֵיכֶם</w:t>
      </w:r>
      <w:r>
        <w:rPr>
          <w:rtl/>
        </w:rPr>
        <w:t xml:space="preserve"> </w:t>
      </w:r>
      <w:r>
        <w:t xml:space="preserve">(Plural Construct von </w:t>
      </w:r>
      <w:r>
        <w:rPr>
          <w:rStyle w:val="Fett"/>
          <w:rFonts w:eastAsiaTheme="majorEastAsia"/>
          <w:rtl/>
        </w:rPr>
        <w:t>יוֹם</w:t>
      </w:r>
      <w:r>
        <w:rPr>
          <w:rtl/>
        </w:rPr>
        <w:t xml:space="preserve"> </w:t>
      </w:r>
      <w:r>
        <w:t xml:space="preserve">mit </w:t>
      </w:r>
      <w:r>
        <w:rPr>
          <w:rStyle w:val="Fett"/>
          <w:rFonts w:eastAsiaTheme="majorEastAsia"/>
          <w:rtl/>
        </w:rPr>
        <w:t>בֵּן</w:t>
      </w:r>
      <w:r>
        <w:t xml:space="preserve">, „Sohn", Plural mit Suffix 2. Person Maskulinum Plural). Die Wendung </w:t>
      </w:r>
      <w:r>
        <w:rPr>
          <w:rStyle w:val="Fett"/>
          <w:rFonts w:eastAsiaTheme="majorEastAsia"/>
          <w:rtl/>
        </w:rPr>
        <w:t>ירבו ימים</w:t>
      </w:r>
      <w:r>
        <w:rPr>
          <w:rtl/>
        </w:rPr>
        <w:t xml:space="preserve"> </w:t>
      </w:r>
      <w:r>
        <w:t xml:space="preserve">bedeutet „die Tage vermehren" und drückt langes Leben aus. Die Erweiterung um </w:t>
      </w:r>
      <w:r>
        <w:rPr>
          <w:rStyle w:val="Fett"/>
          <w:rFonts w:eastAsiaTheme="majorEastAsia"/>
          <w:rtl/>
        </w:rPr>
        <w:t>וִימֵי בְנֵיכֶם</w:t>
      </w:r>
      <w:r>
        <w:rPr>
          <w:rtl/>
        </w:rPr>
        <w:t xml:space="preserve"> </w:t>
      </w:r>
      <w:r>
        <w:t>betont die generationenübergreifende Verheißung.</w:t>
      </w:r>
    </w:p>
    <w:p w14:paraId="565D4995" w14:textId="77777777" w:rsidR="00AB44EE" w:rsidRDefault="00AB44EE" w:rsidP="00AB44EE">
      <w:pPr>
        <w:pStyle w:val="whitespace-normal"/>
      </w:pPr>
      <w:r>
        <w:rPr>
          <w:rStyle w:val="Fett"/>
          <w:rFonts w:eastAsiaTheme="majorEastAsia"/>
          <w:rtl/>
        </w:rPr>
        <w:t>עַל הָאֲדָמָה</w:t>
      </w:r>
      <w:r>
        <w:rPr>
          <w:rtl/>
        </w:rPr>
        <w:t xml:space="preserve"> </w:t>
      </w:r>
      <w:r>
        <w:t xml:space="preserve">ist eine lokale Bestimmung: </w:t>
      </w:r>
      <w:r>
        <w:rPr>
          <w:rStyle w:val="Fett"/>
          <w:rFonts w:eastAsiaTheme="majorEastAsia"/>
          <w:rtl/>
        </w:rPr>
        <w:t>עַל</w:t>
      </w:r>
      <w:r>
        <w:rPr>
          <w:rtl/>
        </w:rPr>
        <w:t xml:space="preserve"> </w:t>
      </w:r>
      <w:r>
        <w:t xml:space="preserve">(„auf, in") mit </w:t>
      </w:r>
      <w:r>
        <w:rPr>
          <w:rStyle w:val="Fett"/>
          <w:rFonts w:eastAsiaTheme="majorEastAsia"/>
          <w:rtl/>
        </w:rPr>
        <w:t>אֲדָמָה</w:t>
      </w:r>
      <w:r>
        <w:rPr>
          <w:rtl/>
        </w:rPr>
        <w:t xml:space="preserve"> </w:t>
      </w:r>
      <w:r>
        <w:t xml:space="preserve">(„Erdboden, Ackerland") mit Artikel. </w:t>
      </w:r>
      <w:r>
        <w:rPr>
          <w:rStyle w:val="Fett"/>
          <w:rFonts w:eastAsiaTheme="majorEastAsia"/>
          <w:rtl/>
        </w:rPr>
        <w:t>אֲשֶׁר נִשְׁבַּע יְהוָה לַאֲבֹתֵיכֶם לָתֵת לָהֶם</w:t>
      </w:r>
      <w:r>
        <w:rPr>
          <w:rtl/>
        </w:rPr>
        <w:t xml:space="preserve"> </w:t>
      </w:r>
      <w:r>
        <w:t xml:space="preserve">ist ein Relativsatz: </w:t>
      </w:r>
      <w:r>
        <w:rPr>
          <w:rStyle w:val="Fett"/>
          <w:rFonts w:eastAsiaTheme="majorEastAsia"/>
          <w:rtl/>
        </w:rPr>
        <w:t>אֲשֶׁר</w:t>
      </w:r>
      <w:r>
        <w:rPr>
          <w:rtl/>
        </w:rPr>
        <w:t xml:space="preserve"> </w:t>
      </w:r>
      <w:r>
        <w:t xml:space="preserve">(Relativpronomen) mit </w:t>
      </w:r>
      <w:r>
        <w:rPr>
          <w:rStyle w:val="Fett"/>
          <w:rFonts w:eastAsiaTheme="majorEastAsia"/>
          <w:rtl/>
        </w:rPr>
        <w:t>נִשְׁבַּע</w:t>
      </w:r>
      <w:r>
        <w:rPr>
          <w:rtl/>
        </w:rPr>
        <w:t xml:space="preserve"> </w:t>
      </w:r>
      <w:r>
        <w:lastRenderedPageBreak/>
        <w:t xml:space="preserve">(Niphal Perfekt, 3. Person Maskulinum Singular von </w:t>
      </w:r>
      <w:r>
        <w:rPr>
          <w:rStyle w:val="Fett"/>
          <w:rFonts w:eastAsiaTheme="majorEastAsia"/>
          <w:rtl/>
        </w:rPr>
        <w:t>שׁבע</w:t>
      </w:r>
      <w:r>
        <w:t xml:space="preserve">, „schwören"), </w:t>
      </w:r>
      <w:r>
        <w:rPr>
          <w:rStyle w:val="Fett"/>
          <w:rFonts w:eastAsiaTheme="majorEastAsia"/>
          <w:rtl/>
        </w:rPr>
        <w:t>יְהוָה</w:t>
      </w:r>
      <w:r>
        <w:rPr>
          <w:rtl/>
        </w:rPr>
        <w:t xml:space="preserve"> </w:t>
      </w:r>
      <w:r>
        <w:t xml:space="preserve">als Subjekt, </w:t>
      </w:r>
      <w:r>
        <w:rPr>
          <w:rStyle w:val="Fett"/>
          <w:rFonts w:eastAsiaTheme="majorEastAsia"/>
          <w:rtl/>
        </w:rPr>
        <w:t>לַאֲבֹתֵיכֶם</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אָבוֹת</w:t>
      </w:r>
      <w:r>
        <w:t xml:space="preserve">, Plural mit Suffix 2. Person Maskulinum Plural) als Dativobjekt, </w:t>
      </w:r>
      <w:r>
        <w:rPr>
          <w:rStyle w:val="Fett"/>
          <w:rFonts w:eastAsiaTheme="majorEastAsia"/>
          <w:rtl/>
        </w:rPr>
        <w:t>לָתֵת</w:t>
      </w:r>
      <w:r>
        <w:rPr>
          <w:rtl/>
        </w:rPr>
        <w:t xml:space="preserve"> </w:t>
      </w:r>
      <w:r>
        <w:t xml:space="preserve">(Qal Infinitiv Construct von </w:t>
      </w:r>
      <w:r>
        <w:rPr>
          <w:rStyle w:val="Fett"/>
          <w:rFonts w:eastAsiaTheme="majorEastAsia"/>
          <w:rtl/>
        </w:rPr>
        <w:t>נתן</w:t>
      </w:r>
      <w:r>
        <w:t xml:space="preserve">, „geben", mit </w:t>
      </w:r>
      <w:r>
        <w:rPr>
          <w:rStyle w:val="Fett"/>
          <w:rFonts w:eastAsiaTheme="majorEastAsia"/>
          <w:rtl/>
        </w:rPr>
        <w:t>לְ</w:t>
      </w:r>
      <w:r>
        <w:t xml:space="preserve">) als finale Bestimmung und </w:t>
      </w:r>
      <w:r>
        <w:rPr>
          <w:rStyle w:val="Fett"/>
          <w:rFonts w:eastAsiaTheme="majorEastAsia"/>
          <w:rtl/>
        </w:rPr>
        <w:t>לָהֶם</w:t>
      </w:r>
      <w:r>
        <w:rPr>
          <w:rtl/>
        </w:rPr>
        <w:t xml:space="preserve"> </w:t>
      </w:r>
      <w:r>
        <w:t xml:space="preserve">(Präposition </w:t>
      </w:r>
      <w:r>
        <w:rPr>
          <w:rStyle w:val="Fett"/>
          <w:rFonts w:eastAsiaTheme="majorEastAsia"/>
          <w:rtl/>
        </w:rPr>
        <w:t>לְ</w:t>
      </w:r>
      <w:r>
        <w:rPr>
          <w:rtl/>
        </w:rPr>
        <w:t xml:space="preserve"> </w:t>
      </w:r>
      <w:r>
        <w:t>mit Suffix 3. Person Maskulinum Plural) als Dativobjekt des Infinitivs. Diese Formel verweist auf die Patriarchenverheißung.</w:t>
      </w:r>
    </w:p>
    <w:p w14:paraId="53DCCB3E" w14:textId="77777777" w:rsidR="00AB44EE" w:rsidRDefault="00AB44EE" w:rsidP="00AB44EE">
      <w:pPr>
        <w:pStyle w:val="whitespace-normal"/>
      </w:pPr>
      <w:r>
        <w:rPr>
          <w:rStyle w:val="Fett"/>
          <w:rFonts w:eastAsiaTheme="majorEastAsia"/>
          <w:rtl/>
        </w:rPr>
        <w:t>כִּימֵי הַשָּׁמַיִם עַל־הָאָרֶץ</w:t>
      </w:r>
      <w:r>
        <w:rPr>
          <w:rtl/>
        </w:rPr>
        <w:t xml:space="preserve"> </w:t>
      </w:r>
      <w:r>
        <w:t xml:space="preserve">ist eine Vergleichsphrase: </w:t>
      </w:r>
      <w:r>
        <w:rPr>
          <w:rStyle w:val="Fett"/>
          <w:rFonts w:eastAsiaTheme="majorEastAsia"/>
          <w:rtl/>
        </w:rPr>
        <w:t>כְּ</w:t>
      </w:r>
      <w:r>
        <w:rPr>
          <w:rtl/>
        </w:rPr>
        <w:t xml:space="preserve"> </w:t>
      </w:r>
      <w:r>
        <w:t xml:space="preserve">(„wie") mit </w:t>
      </w:r>
      <w:r>
        <w:rPr>
          <w:rStyle w:val="Fett"/>
          <w:rFonts w:eastAsiaTheme="majorEastAsia"/>
          <w:rtl/>
        </w:rPr>
        <w:t>יְמֵי</w:t>
      </w:r>
      <w:r>
        <w:rPr>
          <w:rtl/>
        </w:rPr>
        <w:t xml:space="preserve"> </w:t>
      </w:r>
      <w:r>
        <w:t xml:space="preserve">(Plural Construct von </w:t>
      </w:r>
      <w:r>
        <w:rPr>
          <w:rStyle w:val="Fett"/>
          <w:rFonts w:eastAsiaTheme="majorEastAsia"/>
          <w:rtl/>
        </w:rPr>
        <w:t>יוֹם</w:t>
      </w:r>
      <w:r>
        <w:t xml:space="preserve">) und </w:t>
      </w:r>
      <w:r>
        <w:rPr>
          <w:rStyle w:val="Fett"/>
          <w:rFonts w:eastAsiaTheme="majorEastAsia"/>
          <w:rtl/>
        </w:rPr>
        <w:t>הַשָּׁמַיִם</w:t>
      </w:r>
      <w:r>
        <w:rPr>
          <w:rtl/>
        </w:rPr>
        <w:t xml:space="preserve"> </w:t>
      </w:r>
      <w:r>
        <w:t xml:space="preserve">(Dual von </w:t>
      </w:r>
      <w:r>
        <w:rPr>
          <w:rStyle w:val="Fett"/>
          <w:rFonts w:eastAsiaTheme="majorEastAsia"/>
          <w:rtl/>
        </w:rPr>
        <w:t>שָׁמַיִם</w:t>
      </w:r>
      <w:r>
        <w:t xml:space="preserve">, „Himmel", mit Artikel), </w:t>
      </w:r>
      <w:r>
        <w:rPr>
          <w:rStyle w:val="Fett"/>
          <w:rFonts w:eastAsiaTheme="majorEastAsia"/>
          <w:rtl/>
        </w:rPr>
        <w:t>עַל־הָאָרֶץ</w:t>
      </w:r>
      <w:r>
        <w:rPr>
          <w:rtl/>
        </w:rPr>
        <w:t xml:space="preserve"> </w:t>
      </w:r>
      <w:r>
        <w:t xml:space="preserve">(Präposition </w:t>
      </w:r>
      <w:r>
        <w:rPr>
          <w:rStyle w:val="Fett"/>
          <w:rFonts w:eastAsiaTheme="majorEastAsia"/>
          <w:rtl/>
        </w:rPr>
        <w:t>עַל</w:t>
      </w:r>
      <w:r>
        <w:rPr>
          <w:rtl/>
        </w:rPr>
        <w:t xml:space="preserve"> </w:t>
      </w:r>
      <w:r>
        <w:t xml:space="preserve">mit </w:t>
      </w:r>
      <w:r>
        <w:rPr>
          <w:rStyle w:val="Fett"/>
          <w:rFonts w:eastAsiaTheme="majorEastAsia"/>
          <w:rtl/>
        </w:rPr>
        <w:t>אֶרֶץ</w:t>
      </w:r>
      <w:r>
        <w:t xml:space="preserve">, „Erde", mit Artikel). Die Wendung </w:t>
      </w:r>
      <w:r>
        <w:rPr>
          <w:rStyle w:val="Fett"/>
          <w:rFonts w:eastAsiaTheme="majorEastAsia"/>
          <w:rtl/>
        </w:rPr>
        <w:t>כִּימֵי הַשָּׁמַיִם עַל־הָאָרֶץ</w:t>
      </w:r>
      <w:r>
        <w:rPr>
          <w:rtl/>
        </w:rPr>
        <w:t xml:space="preserve"> </w:t>
      </w:r>
      <w:r>
        <w:t>(„wie die Tage des Himmels über der Erde") ist poetisch und bedeutet „so lange wie der Himmel über der Erde besteht" – also für immer oder sehr lange Zeit. Der Vergleich unterstreicht die Dauer und Beständigkeit der verheißenen Existenz im Land.</w:t>
      </w:r>
    </w:p>
    <w:p w14:paraId="586DFBDD" w14:textId="4B724D1E" w:rsidR="00AB44EE" w:rsidRDefault="00AB44EE" w:rsidP="00AB44EE">
      <w:pPr>
        <w:pStyle w:val="whitespace-normal"/>
      </w:pPr>
      <w:r>
        <w:t xml:space="preserve">Die Syntax zeigt die positive Folge der </w:t>
      </w:r>
      <w:r w:rsidR="001E0205">
        <w:t>Torah</w:t>
      </w:r>
      <w:r w:rsidR="007E2044">
        <w:t>observanz</w:t>
      </w:r>
      <w:r>
        <w:t xml:space="preserve"> (V. 18-20): Langes Leben im Land für viele Generationen. Die Struktur ist parallel zu V. 9, verwendet aber </w:t>
      </w:r>
      <w:r>
        <w:rPr>
          <w:rStyle w:val="Fett"/>
          <w:rFonts w:eastAsiaTheme="majorEastAsia"/>
          <w:rtl/>
        </w:rPr>
        <w:t>ירבו</w:t>
      </w:r>
      <w:r>
        <w:rPr>
          <w:rtl/>
        </w:rPr>
        <w:t xml:space="preserve"> </w:t>
      </w:r>
      <w:r>
        <w:t xml:space="preserve">(„sich mehren") statt </w:t>
      </w:r>
      <w:r>
        <w:rPr>
          <w:rStyle w:val="Fett"/>
          <w:rFonts w:eastAsiaTheme="majorEastAsia"/>
          <w:rtl/>
        </w:rPr>
        <w:t>תאריכו</w:t>
      </w:r>
      <w:r>
        <w:rPr>
          <w:rtl/>
        </w:rPr>
        <w:t xml:space="preserve"> </w:t>
      </w:r>
      <w:r>
        <w:t xml:space="preserve">(„verlängern"). Die doppelte Nennung </w:t>
      </w:r>
      <w:r>
        <w:rPr>
          <w:rStyle w:val="Fett"/>
          <w:rFonts w:eastAsiaTheme="majorEastAsia"/>
          <w:rtl/>
        </w:rPr>
        <w:t>יְמֵיכֶם וִימֵי בְנֵיכֶם</w:t>
      </w:r>
      <w:r>
        <w:rPr>
          <w:rtl/>
        </w:rPr>
        <w:t xml:space="preserve"> </w:t>
      </w:r>
      <w:r>
        <w:t xml:space="preserve">betont die Kontinuität über Generationen hinweg. Der Relativsatz </w:t>
      </w:r>
      <w:r>
        <w:rPr>
          <w:rStyle w:val="Fett"/>
          <w:rFonts w:eastAsiaTheme="majorEastAsia"/>
          <w:rtl/>
        </w:rPr>
        <w:t>אֲשֶׁר נִשְׁבַּע יְהוָה</w:t>
      </w:r>
      <w:r>
        <w:rPr>
          <w:rtl/>
        </w:rPr>
        <w:t xml:space="preserve"> </w:t>
      </w:r>
      <w:r>
        <w:t xml:space="preserve">erinnert an die göttliche Verheißung an die Väter und legitimiert Israels Anspruch auf das Land. Der poetische Vergleich </w:t>
      </w:r>
      <w:r>
        <w:rPr>
          <w:rStyle w:val="Fett"/>
          <w:rFonts w:eastAsiaTheme="majorEastAsia"/>
          <w:rtl/>
        </w:rPr>
        <w:t>כִּימֵי הַשָּׁמַיִם עַל־הָאָרֶץ</w:t>
      </w:r>
      <w:r>
        <w:rPr>
          <w:rtl/>
        </w:rPr>
        <w:t xml:space="preserve"> </w:t>
      </w:r>
      <w:r>
        <w:t>ist einzigartig im Alten Testament und drückt eine quasi-ewige Dauer aus.</w:t>
      </w:r>
    </w:p>
    <w:p w14:paraId="0E642E2C" w14:textId="77777777" w:rsidR="00AB44EE" w:rsidRDefault="00AB44EE" w:rsidP="00AB44EE">
      <w:pPr>
        <w:pStyle w:val="whitespace-normal"/>
      </w:pPr>
      <w:r>
        <w:rPr>
          <w:rStyle w:val="Fett"/>
          <w:rFonts w:eastAsiaTheme="majorEastAsia"/>
        </w:rPr>
        <w:t>Die LXX</w:t>
      </w:r>
      <w:r>
        <w:t xml:space="preserve"> übersetzt „damit sich mehren" mit „</w:t>
      </w:r>
      <w:proofErr w:type="spellStart"/>
      <w:r>
        <w:t>ἵν</w:t>
      </w:r>
      <w:proofErr w:type="spellEnd"/>
      <w:r>
        <w:t>α π</w:t>
      </w:r>
      <w:proofErr w:type="spellStart"/>
      <w:r>
        <w:t>ολλ</w:t>
      </w:r>
      <w:proofErr w:type="spellEnd"/>
      <w:r>
        <w:t xml:space="preserve">αὶ </w:t>
      </w:r>
      <w:proofErr w:type="spellStart"/>
      <w:r>
        <w:t>γένωντ</w:t>
      </w:r>
      <w:proofErr w:type="spellEnd"/>
      <w:r>
        <w:t>αι", „wie die Tage des Himmels über der Erde" mit „</w:t>
      </w:r>
      <w:proofErr w:type="spellStart"/>
      <w:r>
        <w:t>ὡς</w:t>
      </w:r>
      <w:proofErr w:type="spellEnd"/>
      <w:r>
        <w:t xml:space="preserve"> αἱ </w:t>
      </w:r>
      <w:proofErr w:type="spellStart"/>
      <w:r>
        <w:t>ἡμέρ</w:t>
      </w:r>
      <w:proofErr w:type="spellEnd"/>
      <w:r>
        <w:t xml:space="preserve">αι </w:t>
      </w:r>
      <w:proofErr w:type="spellStart"/>
      <w:r>
        <w:t>τοῦ</w:t>
      </w:r>
      <w:proofErr w:type="spellEnd"/>
      <w:r>
        <w:t xml:space="preserve"> </w:t>
      </w:r>
      <w:proofErr w:type="spellStart"/>
      <w:r>
        <w:t>οὐρ</w:t>
      </w:r>
      <w:proofErr w:type="spellEnd"/>
      <w:r>
        <w:t xml:space="preserve">ανοῦ ἐπὶ </w:t>
      </w:r>
      <w:proofErr w:type="spellStart"/>
      <w:r>
        <w:t>τῆς</w:t>
      </w:r>
      <w:proofErr w:type="spellEnd"/>
      <w:r>
        <w:t xml:space="preserve"> </w:t>
      </w:r>
      <w:proofErr w:type="spellStart"/>
      <w:r>
        <w:t>γῆς</w:t>
      </w:r>
      <w:proofErr w:type="spellEnd"/>
      <w:r>
        <w:t>".</w:t>
      </w:r>
    </w:p>
    <w:p w14:paraId="344BFC24" w14:textId="77777777" w:rsidR="00AB44EE" w:rsidRDefault="00AB44EE" w:rsidP="00AB44EE">
      <w:pPr>
        <w:pStyle w:val="whitespace-normal"/>
      </w:pPr>
      <w:r>
        <w:t>Die Satzstruktur besteht aus einer finalen Bestimmung mit Relativsatz und Vergleichsphrase: Finale Konjunktion (damit), Prädikat (sich mehren), doppeltes Subjekt (eure Tage und die Tage eurer Kinder), lokale Bestimmung (auf dem Erdboden), Relativsatz mit Prädikat (geschworen hat), Subjekt (JHWH), Dativobjekt (euren Vätern), finalem Infinitiv (zu geben) und Dativobjekt (ihnen); Vergleichsphrase (wie die Tage des Himmels über der Erde).</w:t>
      </w:r>
    </w:p>
    <w:p w14:paraId="6214C6B8" w14:textId="155D0577" w:rsidR="00AB44EE" w:rsidRDefault="00AB44EE" w:rsidP="00AB44EE">
      <w:pPr>
        <w:pStyle w:val="whitespace-normal"/>
      </w:pPr>
      <w:r>
        <w:t xml:space="preserve">Der Vers verheißt als Lohn für die </w:t>
      </w:r>
      <w:r w:rsidR="001E0205">
        <w:t>Torah</w:t>
      </w:r>
      <w:r w:rsidR="007E2044">
        <w:t>observanz</w:t>
      </w:r>
      <w:r>
        <w:t xml:space="preserve"> ein langes Leben im verheißenen Land über viele Generationen – so beständig wie der Himmel über der Erde.</w:t>
      </w:r>
    </w:p>
    <w:p w14:paraId="21655946" w14:textId="77777777" w:rsidR="00266B37" w:rsidRPr="00266B37" w:rsidRDefault="00266B37" w:rsidP="00266B37">
      <w:pPr>
        <w:pStyle w:val="berschrift1"/>
        <w:rPr>
          <w:rFonts w:ascii="Times New Roman" w:hAnsi="Times New Roman"/>
          <w:color w:val="auto"/>
          <w:sz w:val="36"/>
          <w:szCs w:val="36"/>
        </w:rPr>
      </w:pPr>
      <w:r w:rsidRPr="00266B37">
        <w:rPr>
          <w:rStyle w:val="Fett"/>
          <w:rFonts w:ascii="Times New Roman" w:hAnsi="Times New Roman"/>
          <w:color w:val="auto"/>
          <w:sz w:val="36"/>
          <w:szCs w:val="36"/>
        </w:rPr>
        <w:t>Deuteronomium 11,22</w:t>
      </w:r>
    </w:p>
    <w:p w14:paraId="481E8ADA" w14:textId="77777777" w:rsidR="00266B37" w:rsidRDefault="00266B37" w:rsidP="00266B37">
      <w:pPr>
        <w:pStyle w:val="whitespace-normal"/>
      </w:pPr>
      <w:r>
        <w:rPr>
          <w:rStyle w:val="Fett"/>
          <w:rFonts w:eastAsiaTheme="majorEastAsia"/>
        </w:rPr>
        <w:t>Hebräisch:</w:t>
      </w:r>
      <w:r>
        <w:t xml:space="preserve"> </w:t>
      </w:r>
      <w:r>
        <w:rPr>
          <w:rtl/>
        </w:rPr>
        <w:t>כִּי֩ אִם־שָׁמֹ֨ר תִּשְׁמְר֜וּן אֶת־כָּל־הַמִּצְוָ֣ה הַזֹּ֗את אֲשֶׁ֧ר אָנֹכִ֛י מְצַוֶּ֥ה אֶתְכֶ֖ם לַעֲשֹׂתָ֑הּ לְאַהֲבָ֞ה אֶת־יְהוָ֧ה אֱלֹהֵיכֶ֛ם לָלֶ֥כֶת בְּכָל־דְּרָכָ֖יו וּלְדָבְקָה־בֽוֹ׃</w:t>
      </w:r>
    </w:p>
    <w:p w14:paraId="56C19E6B" w14:textId="77777777" w:rsidR="00266B37" w:rsidRDefault="00266B37" w:rsidP="00266B37">
      <w:pPr>
        <w:pStyle w:val="whitespace-normal"/>
      </w:pPr>
      <w:r>
        <w:rPr>
          <w:rStyle w:val="Fett"/>
          <w:rFonts w:eastAsiaTheme="majorEastAsia"/>
        </w:rPr>
        <w:t>Deutsch:</w:t>
      </w:r>
      <w:r>
        <w:t xml:space="preserve"> Denn wenn ihr dieses ganze Gebot, das ich euch zu tun gebiete, gewiss haltet, den Ewigen, euren Gott, zu lieben, auf allen seinen Wegen zu wandeln und ihm anzuhängen,</w:t>
      </w:r>
    </w:p>
    <w:p w14:paraId="5CE744D0" w14:textId="77777777" w:rsidR="00266B37" w:rsidRDefault="004F5CEB" w:rsidP="00266B37">
      <w:r>
        <w:rPr>
          <w:noProof/>
        </w:rPr>
        <w:pict w14:anchorId="70C2D9D9">
          <v:rect id="_x0000_i1362" style="width:0;height:1.5pt" o:hralign="center" o:hrstd="t" o:hr="t" fillcolor="#a0a0a0" stroked="f"/>
        </w:pict>
      </w:r>
    </w:p>
    <w:p w14:paraId="2F47C684" w14:textId="77777777" w:rsidR="00266B37" w:rsidRDefault="00266B37" w:rsidP="00266B37">
      <w:pPr>
        <w:pStyle w:val="whitespace-normal"/>
      </w:pPr>
      <w:r>
        <w:rPr>
          <w:rStyle w:val="Fett"/>
          <w:rFonts w:eastAsiaTheme="majorEastAsia"/>
        </w:rPr>
        <w:t>Kommentar:</w:t>
      </w:r>
      <w:r>
        <w:t xml:space="preserve"> </w:t>
      </w:r>
      <w:r>
        <w:rPr>
          <w:rStyle w:val="Fett"/>
          <w:rFonts w:eastAsiaTheme="majorEastAsia"/>
          <w:rtl/>
        </w:rPr>
        <w:t>כִּי אִם־שָׁמֹר תִּשְׁמְרוּן</w:t>
      </w:r>
      <w:r>
        <w:rPr>
          <w:rtl/>
        </w:rPr>
        <w:t xml:space="preserve"> </w:t>
      </w:r>
      <w:r>
        <w:t xml:space="preserve">ist eine konditionale Einleitung mit emphatischer Konstruktion: </w:t>
      </w:r>
      <w:r>
        <w:rPr>
          <w:rStyle w:val="Fett"/>
          <w:rFonts w:eastAsiaTheme="majorEastAsia"/>
          <w:rtl/>
        </w:rPr>
        <w:t>כִּי אִם</w:t>
      </w:r>
      <w:r>
        <w:rPr>
          <w:rtl/>
        </w:rPr>
        <w:t xml:space="preserve"> </w:t>
      </w:r>
      <w:r>
        <w:t xml:space="preserve">(„denn wenn, fürwahr wenn") als verstärkte konditionale Konjunktion, </w:t>
      </w:r>
      <w:r>
        <w:rPr>
          <w:rStyle w:val="Fett"/>
          <w:rFonts w:eastAsiaTheme="majorEastAsia"/>
          <w:rtl/>
        </w:rPr>
        <w:t>שָׁמֹר</w:t>
      </w:r>
      <w:r>
        <w:rPr>
          <w:rtl/>
        </w:rPr>
        <w:t xml:space="preserve"> </w:t>
      </w:r>
      <w:r>
        <w:t xml:space="preserve">(Qal Infinitiv Absolut von </w:t>
      </w:r>
      <w:r>
        <w:rPr>
          <w:rStyle w:val="Fett"/>
          <w:rFonts w:eastAsiaTheme="majorEastAsia"/>
          <w:rtl/>
        </w:rPr>
        <w:t>שׁמר</w:t>
      </w:r>
      <w:r>
        <w:t xml:space="preserve">, „bewahren, halten") und </w:t>
      </w:r>
      <w:r>
        <w:rPr>
          <w:rStyle w:val="Fett"/>
          <w:rFonts w:eastAsiaTheme="majorEastAsia"/>
          <w:rtl/>
        </w:rPr>
        <w:t>תִּשְׁמְרוּן</w:t>
      </w:r>
      <w:r>
        <w:rPr>
          <w:rtl/>
        </w:rPr>
        <w:t xml:space="preserve"> </w:t>
      </w:r>
      <w:r>
        <w:t xml:space="preserve">(Qal Imperfekt, 2. Person Maskulinum Plural von </w:t>
      </w:r>
      <w:r>
        <w:rPr>
          <w:rStyle w:val="Fett"/>
          <w:rFonts w:eastAsiaTheme="majorEastAsia"/>
          <w:rtl/>
        </w:rPr>
        <w:t>שׁמר</w:t>
      </w:r>
      <w:r>
        <w:rPr>
          <w:rtl/>
        </w:rPr>
        <w:t xml:space="preserve"> </w:t>
      </w:r>
      <w:r>
        <w:t xml:space="preserve">mit Paragogischem Nun). Die Kombination von Infinitiv Absolut und finitem Verb drückt Emphase aus („gewiss halten, wirklich bewahren"). Das </w:t>
      </w:r>
      <w:r>
        <w:lastRenderedPageBreak/>
        <w:t xml:space="preserve">Paragogische Nun am Ende von </w:t>
      </w:r>
      <w:r>
        <w:rPr>
          <w:rStyle w:val="Fett"/>
          <w:rFonts w:eastAsiaTheme="majorEastAsia"/>
          <w:rtl/>
        </w:rPr>
        <w:t>תִּשְׁמְרוּן</w:t>
      </w:r>
      <w:r>
        <w:rPr>
          <w:rtl/>
        </w:rPr>
        <w:t xml:space="preserve"> </w:t>
      </w:r>
      <w:r>
        <w:t xml:space="preserve">ist eine archaisierende oder emphatisierende Form. </w:t>
      </w:r>
      <w:r>
        <w:rPr>
          <w:rStyle w:val="Fett"/>
          <w:rFonts w:eastAsiaTheme="majorEastAsia"/>
          <w:rtl/>
        </w:rPr>
        <w:t>אֶת־כָּל־הַמִּצְוָה הַזֹּאת</w:t>
      </w:r>
      <w:r>
        <w:rPr>
          <w:rtl/>
        </w:rPr>
        <w:t xml:space="preserve"> </w:t>
      </w:r>
      <w:r>
        <w:t xml:space="preserve">ist das direkte Objekt: </w:t>
      </w:r>
      <w:r>
        <w:rPr>
          <w:rStyle w:val="Fett"/>
          <w:rFonts w:eastAsiaTheme="majorEastAsia"/>
          <w:rtl/>
        </w:rPr>
        <w:t>אֵת</w:t>
      </w:r>
      <w:r>
        <w:rPr>
          <w:rtl/>
        </w:rPr>
        <w:t xml:space="preserve"> </w:t>
      </w:r>
      <w:r>
        <w:t xml:space="preserve">mit </w:t>
      </w:r>
      <w:r>
        <w:rPr>
          <w:rStyle w:val="Fett"/>
          <w:rFonts w:eastAsiaTheme="majorEastAsia"/>
          <w:rtl/>
        </w:rPr>
        <w:t>כֹּל</w:t>
      </w:r>
      <w:r>
        <w:rPr>
          <w:rtl/>
        </w:rPr>
        <w:t xml:space="preserve"> </w:t>
      </w:r>
      <w:r>
        <w:t xml:space="preserve">(„ganz, all") im Construct mit </w:t>
      </w:r>
      <w:r>
        <w:rPr>
          <w:rStyle w:val="Fett"/>
          <w:rFonts w:eastAsiaTheme="majorEastAsia"/>
          <w:rtl/>
        </w:rPr>
        <w:t>הַמִּצְוָה</w:t>
      </w:r>
      <w:r>
        <w:rPr>
          <w:rtl/>
        </w:rPr>
        <w:t xml:space="preserve"> </w:t>
      </w:r>
      <w:r>
        <w:t xml:space="preserve">(feminin Singular von </w:t>
      </w:r>
      <w:r>
        <w:rPr>
          <w:rStyle w:val="Fett"/>
          <w:rFonts w:eastAsiaTheme="majorEastAsia"/>
          <w:rtl/>
        </w:rPr>
        <w:t>מִצְוָה</w:t>
      </w:r>
      <w:r>
        <w:t xml:space="preserve">, „Gebot", mit Artikel) und Demonstrativpronomen </w:t>
      </w:r>
      <w:r>
        <w:rPr>
          <w:rStyle w:val="Fett"/>
          <w:rFonts w:eastAsiaTheme="majorEastAsia"/>
          <w:rtl/>
        </w:rPr>
        <w:t>זֹאת</w:t>
      </w:r>
      <w:r>
        <w:rPr>
          <w:rtl/>
        </w:rPr>
        <w:t xml:space="preserve"> </w:t>
      </w:r>
      <w:r>
        <w:t xml:space="preserve">(„diese"). Die Singularform </w:t>
      </w:r>
      <w:r>
        <w:rPr>
          <w:rStyle w:val="Fett"/>
          <w:rFonts w:eastAsiaTheme="majorEastAsia"/>
          <w:rtl/>
        </w:rPr>
        <w:t>מִצְוָה</w:t>
      </w:r>
      <w:r>
        <w:rPr>
          <w:rtl/>
        </w:rPr>
        <w:t xml:space="preserve"> </w:t>
      </w:r>
      <w:proofErr w:type="spellStart"/>
      <w:r>
        <w:t>fasst</w:t>
      </w:r>
      <w:proofErr w:type="spellEnd"/>
      <w:r>
        <w:t xml:space="preserve"> alle Gebote als Einheit zusammen (vgl. V. 8).</w:t>
      </w:r>
    </w:p>
    <w:p w14:paraId="6F977F75" w14:textId="77777777" w:rsidR="00266B37" w:rsidRDefault="00266B37" w:rsidP="00266B37">
      <w:pPr>
        <w:pStyle w:val="whitespace-normal"/>
      </w:pPr>
      <w:r>
        <w:rPr>
          <w:rStyle w:val="Fett"/>
          <w:rFonts w:eastAsiaTheme="majorEastAsia"/>
          <w:rtl/>
        </w:rPr>
        <w:t>אֲשֶׁר אָנֹכִי מְצַוֶּה אֶתְכֶם לַעֲשֹׂתָהּ</w:t>
      </w:r>
      <w:r>
        <w:rPr>
          <w:rtl/>
        </w:rPr>
        <w:t xml:space="preserve"> </w:t>
      </w:r>
      <w:r>
        <w:t xml:space="preserve">ist ein Relativsatz: </w:t>
      </w:r>
      <w:r>
        <w:rPr>
          <w:rStyle w:val="Fett"/>
          <w:rFonts w:eastAsiaTheme="majorEastAsia"/>
          <w:rtl/>
        </w:rPr>
        <w:t>אֲשֶׁר</w:t>
      </w:r>
      <w:r>
        <w:rPr>
          <w:rtl/>
        </w:rPr>
        <w:t xml:space="preserve"> </w:t>
      </w:r>
      <w:r>
        <w:t xml:space="preserve">(Relativpronomen) mit </w:t>
      </w:r>
      <w:r>
        <w:rPr>
          <w:rStyle w:val="Fett"/>
          <w:rFonts w:eastAsiaTheme="majorEastAsia"/>
          <w:rtl/>
        </w:rPr>
        <w:t>אָנֹכִי</w:t>
      </w:r>
      <w:r>
        <w:rPr>
          <w:rtl/>
        </w:rPr>
        <w:t xml:space="preserve"> </w:t>
      </w:r>
      <w:r>
        <w:t xml:space="preserve">(emphatisches Personalpronomen 1. Person Singular) als Subjekt, </w:t>
      </w:r>
      <w:r>
        <w:rPr>
          <w:rStyle w:val="Fett"/>
          <w:rFonts w:eastAsiaTheme="majorEastAsia"/>
          <w:rtl/>
        </w:rPr>
        <w:t>מְצַוֶּה</w:t>
      </w:r>
      <w:r>
        <w:rPr>
          <w:rtl/>
        </w:rPr>
        <w:t xml:space="preserve"> </w:t>
      </w:r>
      <w:r>
        <w:t xml:space="preserve">(Piel Partizip Maskulinum Singular von </w:t>
      </w:r>
      <w:r>
        <w:rPr>
          <w:rStyle w:val="Fett"/>
          <w:rFonts w:eastAsiaTheme="majorEastAsia"/>
          <w:rtl/>
        </w:rPr>
        <w:t>צוה</w:t>
      </w:r>
      <w:r>
        <w:t xml:space="preserve">, „befehlen, gebieten"), </w:t>
      </w:r>
      <w:r>
        <w:rPr>
          <w:rStyle w:val="Fett"/>
          <w:rFonts w:eastAsiaTheme="majorEastAsia"/>
          <w:rtl/>
        </w:rPr>
        <w:t>אֶתְכֶם</w:t>
      </w:r>
      <w:r>
        <w:rPr>
          <w:rtl/>
        </w:rPr>
        <w:t xml:space="preserve"> </w:t>
      </w:r>
      <w:r>
        <w:t xml:space="preserve">(Objektpartikel </w:t>
      </w:r>
      <w:r>
        <w:rPr>
          <w:rStyle w:val="Fett"/>
          <w:rFonts w:eastAsiaTheme="majorEastAsia"/>
          <w:rtl/>
        </w:rPr>
        <w:t>אֵת</w:t>
      </w:r>
      <w:r>
        <w:rPr>
          <w:rtl/>
        </w:rPr>
        <w:t xml:space="preserve"> </w:t>
      </w:r>
      <w:r>
        <w:t xml:space="preserve">mit Suffix 2. Person Maskulinum Plural) als direktes Objekt und </w:t>
      </w:r>
      <w:r>
        <w:rPr>
          <w:rStyle w:val="Fett"/>
          <w:rFonts w:eastAsiaTheme="majorEastAsia"/>
          <w:rtl/>
        </w:rPr>
        <w:t>לַעֲשֹׂתָהּ</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עשׂה</w:t>
      </w:r>
      <w:r>
        <w:t xml:space="preserve">, „tun, machen", und Suffix 3. Person feminin Singular) als finale Bestimmung. Der Infinitiv </w:t>
      </w:r>
      <w:r>
        <w:rPr>
          <w:rStyle w:val="Fett"/>
          <w:rFonts w:eastAsiaTheme="majorEastAsia"/>
          <w:rtl/>
        </w:rPr>
        <w:t>לַעֲשֹׂתָהּ</w:t>
      </w:r>
      <w:r>
        <w:rPr>
          <w:rtl/>
        </w:rPr>
        <w:t xml:space="preserve"> </w:t>
      </w:r>
      <w:r>
        <w:t>betont, dass die Gebote nicht nur gekannt, sondern getan werden sollen.</w:t>
      </w:r>
    </w:p>
    <w:p w14:paraId="22018C9D" w14:textId="77777777" w:rsidR="00266B37" w:rsidRDefault="00266B37" w:rsidP="00266B37">
      <w:pPr>
        <w:pStyle w:val="whitespace-normal"/>
      </w:pPr>
      <w:r>
        <w:rPr>
          <w:rStyle w:val="Fett"/>
          <w:rFonts w:eastAsiaTheme="majorEastAsia"/>
          <w:rtl/>
        </w:rPr>
        <w:t>לְאַהֲבָה אֶת־יְהוָה אֱלֹהֵיכֶם</w:t>
      </w:r>
      <w:r>
        <w:rPr>
          <w:rtl/>
        </w:rPr>
        <w:t xml:space="preserve"> </w:t>
      </w:r>
      <w:r>
        <w:t xml:space="preserve">ist die erste von drei finalen Bestimmungen, die den Inhalt des Gebots konkretisieren: </w:t>
      </w:r>
      <w:r>
        <w:rPr>
          <w:rStyle w:val="Fett"/>
          <w:rFonts w:eastAsiaTheme="majorEastAsia"/>
          <w:rtl/>
        </w:rPr>
        <w:t>לְ</w:t>
      </w:r>
      <w:r>
        <w:rPr>
          <w:rtl/>
        </w:rPr>
        <w:t xml:space="preserve"> </w:t>
      </w:r>
      <w:r>
        <w:t xml:space="preserve">mit </w:t>
      </w:r>
      <w:r>
        <w:rPr>
          <w:rStyle w:val="Fett"/>
          <w:rFonts w:eastAsiaTheme="majorEastAsia"/>
          <w:rtl/>
        </w:rPr>
        <w:t>אַהֲבָה</w:t>
      </w:r>
      <w:r>
        <w:rPr>
          <w:rtl/>
        </w:rPr>
        <w:t xml:space="preserve"> </w:t>
      </w:r>
      <w:r>
        <w:t xml:space="preserve">(Qal Infinitiv Construct von </w:t>
      </w:r>
      <w:r>
        <w:rPr>
          <w:rStyle w:val="Fett"/>
          <w:rFonts w:eastAsiaTheme="majorEastAsia"/>
          <w:rtl/>
        </w:rPr>
        <w:t>אהב</w:t>
      </w:r>
      <w:r>
        <w:t xml:space="preserve">, „lieben"), </w:t>
      </w:r>
      <w:r>
        <w:rPr>
          <w:rStyle w:val="Fett"/>
          <w:rFonts w:eastAsiaTheme="majorEastAsia"/>
          <w:rtl/>
        </w:rPr>
        <w:t>אֶת־יְהוָה אֱלֹהֵיכֶם</w:t>
      </w:r>
      <w:r>
        <w:rPr>
          <w:rtl/>
        </w:rPr>
        <w:t xml:space="preserve"> </w:t>
      </w:r>
      <w:r>
        <w:t xml:space="preserve">(Objektpartikel </w:t>
      </w:r>
      <w:r>
        <w:rPr>
          <w:rStyle w:val="Fett"/>
          <w:rFonts w:eastAsiaTheme="majorEastAsia"/>
          <w:rtl/>
        </w:rPr>
        <w:t>אֵת</w:t>
      </w:r>
      <w:r>
        <w:rPr>
          <w:rtl/>
        </w:rPr>
        <w:t xml:space="preserve"> </w:t>
      </w:r>
      <w:r>
        <w:t xml:space="preserve">mit Tetragramm und Apposition </w:t>
      </w:r>
      <w:r>
        <w:rPr>
          <w:rStyle w:val="Fett"/>
          <w:rFonts w:eastAsiaTheme="majorEastAsia"/>
          <w:rtl/>
        </w:rPr>
        <w:t>אֱלֹהֵיכֶם</w:t>
      </w:r>
      <w:r>
        <w:t xml:space="preserve">) als direktes Objekt. Die Gottesliebe ist das Zentrum der deuteronomischen Forderung (vgl. V. 1.13). </w:t>
      </w:r>
      <w:r>
        <w:rPr>
          <w:rStyle w:val="Fett"/>
          <w:rFonts w:eastAsiaTheme="majorEastAsia"/>
          <w:rtl/>
        </w:rPr>
        <w:t>לָלֶכֶת בְּכָל־דְּרָכָיו</w:t>
      </w:r>
      <w:r>
        <w:rPr>
          <w:rtl/>
        </w:rPr>
        <w:t xml:space="preserve"> </w:t>
      </w:r>
      <w:r>
        <w:t xml:space="preserve">ist die zweite finale Bestimmung: </w:t>
      </w:r>
      <w:r>
        <w:rPr>
          <w:rStyle w:val="Fett"/>
          <w:rFonts w:eastAsiaTheme="majorEastAsia"/>
          <w:rtl/>
        </w:rPr>
        <w:t>לְ</w:t>
      </w:r>
      <w:r>
        <w:rPr>
          <w:rtl/>
        </w:rPr>
        <w:t xml:space="preserve"> </w:t>
      </w:r>
      <w:r>
        <w:t xml:space="preserve">mit </w:t>
      </w:r>
      <w:r>
        <w:rPr>
          <w:rStyle w:val="Fett"/>
          <w:rFonts w:eastAsiaTheme="majorEastAsia"/>
          <w:rtl/>
        </w:rPr>
        <w:t>הָלַךְ</w:t>
      </w:r>
      <w:r>
        <w:rPr>
          <w:rtl/>
        </w:rPr>
        <w:t xml:space="preserve"> </w:t>
      </w:r>
      <w:r>
        <w:t xml:space="preserve">(Qal Infinitiv Construct von </w:t>
      </w:r>
      <w:r>
        <w:rPr>
          <w:rStyle w:val="Fett"/>
          <w:rFonts w:eastAsiaTheme="majorEastAsia"/>
          <w:rtl/>
        </w:rPr>
        <w:t>הלך</w:t>
      </w:r>
      <w:r>
        <w:t xml:space="preserve">, „gehen, wandeln") und </w:t>
      </w:r>
      <w:r>
        <w:rPr>
          <w:rStyle w:val="Fett"/>
          <w:rFonts w:eastAsiaTheme="majorEastAsia"/>
          <w:rtl/>
        </w:rPr>
        <w:t>בְּכָל־דְּרָכָיו</w:t>
      </w:r>
      <w:r>
        <w:rPr>
          <w:rtl/>
        </w:rPr>
        <w:t xml:space="preserve"> </w:t>
      </w:r>
      <w:r>
        <w:t xml:space="preserve">(Präposition </w:t>
      </w:r>
      <w:r>
        <w:rPr>
          <w:rStyle w:val="Fett"/>
          <w:rFonts w:eastAsiaTheme="majorEastAsia"/>
          <w:rtl/>
        </w:rPr>
        <w:t>בְּ</w:t>
      </w:r>
      <w:r>
        <w:t xml:space="preserve">, „in, auf", mit </w:t>
      </w:r>
      <w:r>
        <w:rPr>
          <w:rStyle w:val="Fett"/>
          <w:rFonts w:eastAsiaTheme="majorEastAsia"/>
          <w:rtl/>
        </w:rPr>
        <w:t>כֹּל</w:t>
      </w:r>
      <w:r>
        <w:rPr>
          <w:rtl/>
        </w:rPr>
        <w:t xml:space="preserve"> </w:t>
      </w:r>
      <w:r>
        <w:t xml:space="preserve">im Construct mit </w:t>
      </w:r>
      <w:r>
        <w:rPr>
          <w:rStyle w:val="Fett"/>
          <w:rFonts w:eastAsiaTheme="majorEastAsia"/>
          <w:rtl/>
        </w:rPr>
        <w:t>דֶּרֶךְ</w:t>
      </w:r>
      <w:r>
        <w:t xml:space="preserve">, „Weg", Plural mit Suffix 3. Person Maskulinum Singular). Die Wendung </w:t>
      </w:r>
      <w:r>
        <w:rPr>
          <w:rStyle w:val="Fett"/>
          <w:rFonts w:eastAsiaTheme="majorEastAsia"/>
          <w:rtl/>
        </w:rPr>
        <w:t>הלך בדרכי יהוה</w:t>
      </w:r>
      <w:r>
        <w:rPr>
          <w:rtl/>
        </w:rPr>
        <w:t xml:space="preserve"> </w:t>
      </w:r>
      <w:r>
        <w:t>(„auf den Wegen JHWHs wandeln") bezeichnet den Gehorsam gegenüber Gottes Weisungen.</w:t>
      </w:r>
    </w:p>
    <w:p w14:paraId="307C2619" w14:textId="77777777" w:rsidR="00266B37" w:rsidRDefault="00266B37" w:rsidP="00266B37">
      <w:pPr>
        <w:pStyle w:val="whitespace-normal"/>
      </w:pPr>
      <w:r>
        <w:rPr>
          <w:rStyle w:val="Fett"/>
          <w:rFonts w:eastAsiaTheme="majorEastAsia"/>
          <w:rtl/>
        </w:rPr>
        <w:t>וּלְדָבְקָה־בוֹ</w:t>
      </w:r>
      <w:r>
        <w:rPr>
          <w:rtl/>
        </w:rPr>
        <w:t xml:space="preserve"> </w:t>
      </w:r>
      <w:r>
        <w:t xml:space="preserve">ist die dritte finale Bestimmung: </w:t>
      </w:r>
      <w:r>
        <w:rPr>
          <w:rStyle w:val="Fett"/>
          <w:rFonts w:eastAsiaTheme="majorEastAsia"/>
          <w:rtl/>
        </w:rPr>
        <w:t>וּלְ</w:t>
      </w:r>
      <w:r>
        <w:rPr>
          <w:rtl/>
        </w:rPr>
        <w:t xml:space="preserve"> </w:t>
      </w:r>
      <w:r>
        <w:t xml:space="preserve">mit </w:t>
      </w:r>
      <w:r>
        <w:rPr>
          <w:rStyle w:val="Fett"/>
          <w:rFonts w:eastAsiaTheme="majorEastAsia"/>
          <w:rtl/>
        </w:rPr>
        <w:t>דָּבַק</w:t>
      </w:r>
      <w:r>
        <w:rPr>
          <w:rtl/>
        </w:rPr>
        <w:t xml:space="preserve"> </w:t>
      </w:r>
      <w:r>
        <w:t xml:space="preserve">(Qal Infinitiv Construct von </w:t>
      </w:r>
      <w:r>
        <w:rPr>
          <w:rStyle w:val="Fett"/>
          <w:rFonts w:eastAsiaTheme="majorEastAsia"/>
          <w:rtl/>
        </w:rPr>
        <w:t>דבק</w:t>
      </w:r>
      <w:r>
        <w:t>, „anhaften, anhängen") und Suffix 3. Person Maskulinum Singular (</w:t>
      </w:r>
      <w:r>
        <w:rPr>
          <w:rStyle w:val="Fett"/>
          <w:rFonts w:eastAsiaTheme="majorEastAsia"/>
          <w:rtl/>
        </w:rPr>
        <w:t>בוֹ</w:t>
      </w:r>
      <w:r>
        <w:t xml:space="preserve">). Das Verb </w:t>
      </w:r>
      <w:r>
        <w:rPr>
          <w:rStyle w:val="Fett"/>
          <w:rFonts w:eastAsiaTheme="majorEastAsia"/>
          <w:rtl/>
        </w:rPr>
        <w:t>דבק</w:t>
      </w:r>
      <w:r>
        <w:rPr>
          <w:rtl/>
        </w:rPr>
        <w:t xml:space="preserve"> </w:t>
      </w:r>
      <w:r>
        <w:t xml:space="preserve">drückt intensive Verbundenheit und Loyalität aus (vgl. 10,20). Die drei Infinitive </w:t>
      </w:r>
      <w:r>
        <w:rPr>
          <w:rStyle w:val="Fett"/>
          <w:rFonts w:eastAsiaTheme="majorEastAsia"/>
          <w:rtl/>
        </w:rPr>
        <w:t>לְאַהֲבָה</w:t>
      </w:r>
      <w:r>
        <w:t xml:space="preserve">, </w:t>
      </w:r>
      <w:r>
        <w:rPr>
          <w:rStyle w:val="Fett"/>
          <w:rFonts w:eastAsiaTheme="majorEastAsia"/>
          <w:rtl/>
        </w:rPr>
        <w:t>לָלֶכֶת</w:t>
      </w:r>
      <w:r>
        <w:t xml:space="preserve">, </w:t>
      </w:r>
      <w:r>
        <w:rPr>
          <w:rStyle w:val="Fett"/>
          <w:rFonts w:eastAsiaTheme="majorEastAsia"/>
          <w:rtl/>
        </w:rPr>
        <w:t>וּלְדָבְקָה</w:t>
      </w:r>
      <w:r>
        <w:rPr>
          <w:rtl/>
        </w:rPr>
        <w:t xml:space="preserve"> </w:t>
      </w:r>
      <w:r>
        <w:t>bilden eine Klimax: Liebe (innere Haltung) → Wandeln auf seinen Wegen (äußeres Handeln) → Anhangen (beständige Treue).</w:t>
      </w:r>
    </w:p>
    <w:p w14:paraId="25CE565D" w14:textId="77777777" w:rsidR="00266B37" w:rsidRDefault="00266B37" w:rsidP="00266B37">
      <w:pPr>
        <w:pStyle w:val="whitespace-normal"/>
      </w:pPr>
      <w:r>
        <w:t xml:space="preserve">Die Syntax zeigt eine konditionale Struktur, die den folgenden Versen (V. 23-25) vorausgeht und deren Bedingung formuliert. Die emphatische Konstruktion </w:t>
      </w:r>
      <w:r>
        <w:rPr>
          <w:rStyle w:val="Fett"/>
          <w:rFonts w:eastAsiaTheme="majorEastAsia"/>
          <w:rtl/>
        </w:rPr>
        <w:t>שָׁמֹר תִּשְׁמְרוּן</w:t>
      </w:r>
      <w:r>
        <w:rPr>
          <w:rtl/>
        </w:rPr>
        <w:t xml:space="preserve"> </w:t>
      </w:r>
      <w:r>
        <w:t xml:space="preserve">unterstreicht die Dringlichkeit. Die Singularform </w:t>
      </w:r>
      <w:r>
        <w:rPr>
          <w:rStyle w:val="Fett"/>
          <w:rFonts w:eastAsiaTheme="majorEastAsia"/>
          <w:rtl/>
        </w:rPr>
        <w:t>הַמִּצְוָה</w:t>
      </w:r>
      <w:r>
        <w:rPr>
          <w:rtl/>
        </w:rPr>
        <w:t xml:space="preserve"> </w:t>
      </w:r>
      <w:r>
        <w:t xml:space="preserve">betont die Einheit der göttlichen Weisung. Der Infinitiv </w:t>
      </w:r>
      <w:r>
        <w:rPr>
          <w:rStyle w:val="Fett"/>
          <w:rFonts w:eastAsiaTheme="majorEastAsia"/>
          <w:rtl/>
        </w:rPr>
        <w:t>לַעֲשֹׂתָהּ</w:t>
      </w:r>
      <w:r>
        <w:rPr>
          <w:rtl/>
        </w:rPr>
        <w:t xml:space="preserve"> </w:t>
      </w:r>
      <w:r>
        <w:t>macht deutlich, dass praktischer Gehorsam gefordert ist. Die drei finalen Infinitive konkretisieren, was „das ganze Gebot halten" bedeutet: JHWH lieben, auf seinen Wegen wandeln und ihm treu anhangen. Diese Trias entspricht der deuteronomischen Bundestheologie und erscheint ähnlich in 10,12 und 30,16.20.</w:t>
      </w:r>
    </w:p>
    <w:p w14:paraId="77D3F9FC" w14:textId="77777777" w:rsidR="00266B37" w:rsidRDefault="00266B37" w:rsidP="00266B37">
      <w:pPr>
        <w:pStyle w:val="whitespace-normal"/>
      </w:pPr>
      <w:r>
        <w:rPr>
          <w:rStyle w:val="Fett"/>
          <w:rFonts w:eastAsiaTheme="majorEastAsia"/>
        </w:rPr>
        <w:t>Die LXX</w:t>
      </w:r>
      <w:r>
        <w:t xml:space="preserve"> übersetzt die emphatische Konstruktion mit „</w:t>
      </w:r>
      <w:proofErr w:type="spellStart"/>
      <w:r>
        <w:t>φυλάσσοντες</w:t>
      </w:r>
      <w:proofErr w:type="spellEnd"/>
      <w:r>
        <w:t xml:space="preserve"> </w:t>
      </w:r>
      <w:proofErr w:type="spellStart"/>
      <w:r>
        <w:t>φυλάξησθε</w:t>
      </w:r>
      <w:proofErr w:type="spellEnd"/>
      <w:r>
        <w:t>" (mit Partizip statt Infinitiv), „zu tun" mit „π</w:t>
      </w:r>
      <w:proofErr w:type="spellStart"/>
      <w:r>
        <w:t>οιεῖν</w:t>
      </w:r>
      <w:proofErr w:type="spellEnd"/>
      <w:r>
        <w:t>" und „anzuhängen" mit „π</w:t>
      </w:r>
      <w:proofErr w:type="spellStart"/>
      <w:r>
        <w:t>ροσκολλᾶσθ</w:t>
      </w:r>
      <w:proofErr w:type="spellEnd"/>
      <w:r>
        <w:t>αι".</w:t>
      </w:r>
    </w:p>
    <w:p w14:paraId="1A2A2E56" w14:textId="77777777" w:rsidR="00266B37" w:rsidRDefault="00266B37" w:rsidP="00266B37">
      <w:pPr>
        <w:pStyle w:val="whitespace-normal"/>
      </w:pPr>
      <w:r>
        <w:t>Die Satzstruktur besteht aus einer konditionalen Einleitung mit emphatischer Konstruktion, Relativsatz und drei finalen Bestimmungen: Konditionale Konjunktion (denn wenn), emphatische Konstruktion mit Infinitiv Absolut und finitem Verb (gewiss haltet), direktes Objekt (dieses ganze Gebot), Relativsatz mit emphatischem Subjekt (ich), partizipialem Prädikat (gebiete), direktem Objekt (euch) und finalem Infinitiv (zu tun); drei finale Bestimmungen mit Infinitiven (zu lieben JHWH, euren Gott; auf allen seinen Wegen zu wandeln; ihm anzuhängen).</w:t>
      </w:r>
    </w:p>
    <w:p w14:paraId="5F406166" w14:textId="77777777" w:rsidR="00266B37" w:rsidRDefault="00266B37" w:rsidP="00266B37">
      <w:pPr>
        <w:pStyle w:val="whitespace-normal"/>
      </w:pPr>
      <w:r>
        <w:lastRenderedPageBreak/>
        <w:t>Der Vers formuliert die Bedingung für die folgenden Verheißungen: Wenn Israel das ganze Gebot hält, JHWH liebt, auf seinen Wegen wandelt und ihm treu anhängt, werden die Segnungen der nächsten Verse eintreten.</w:t>
      </w:r>
    </w:p>
    <w:p w14:paraId="43E55CD2" w14:textId="77777777" w:rsidR="00266B37" w:rsidRPr="00266B37" w:rsidRDefault="00266B37" w:rsidP="00266B37">
      <w:pPr>
        <w:pStyle w:val="berschrift1"/>
        <w:rPr>
          <w:rFonts w:ascii="Times New Roman" w:hAnsi="Times New Roman"/>
          <w:color w:val="auto"/>
          <w:sz w:val="36"/>
          <w:szCs w:val="36"/>
        </w:rPr>
      </w:pPr>
      <w:r w:rsidRPr="00266B37">
        <w:rPr>
          <w:rStyle w:val="Fett"/>
          <w:rFonts w:ascii="Times New Roman" w:hAnsi="Times New Roman"/>
          <w:color w:val="auto"/>
          <w:sz w:val="36"/>
          <w:szCs w:val="36"/>
        </w:rPr>
        <w:t>Deuteronomium 11,23</w:t>
      </w:r>
    </w:p>
    <w:p w14:paraId="5126CB2A" w14:textId="77777777" w:rsidR="00266B37" w:rsidRDefault="00266B37" w:rsidP="00266B37">
      <w:pPr>
        <w:pStyle w:val="whitespace-normal"/>
      </w:pPr>
      <w:r>
        <w:rPr>
          <w:rStyle w:val="Fett"/>
          <w:rFonts w:eastAsiaTheme="majorEastAsia"/>
        </w:rPr>
        <w:t>Hebräisch:</w:t>
      </w:r>
      <w:r>
        <w:t xml:space="preserve"> </w:t>
      </w:r>
      <w:r>
        <w:rPr>
          <w:rtl/>
        </w:rPr>
        <w:t>וְהוֹרִ֧ישׁ יְהוָ֛ה אֶת־כָּל־הַגּוֹיִ֥ם הָאֵ֖לֶּה מִלִּפְנֵיכֶ֑ם וִֽירִשְׁתֶּ֣ם גּוֹיִ֔ם גְּדֹלִ֥ים וַעֲצֻמִ֖ים מִכֶּֽם׃</w:t>
      </w:r>
    </w:p>
    <w:p w14:paraId="584CF328" w14:textId="77777777" w:rsidR="00266B37" w:rsidRDefault="00266B37" w:rsidP="00266B37">
      <w:pPr>
        <w:pStyle w:val="whitespace-normal"/>
      </w:pPr>
      <w:r>
        <w:rPr>
          <w:rStyle w:val="Fett"/>
          <w:rFonts w:eastAsiaTheme="majorEastAsia"/>
        </w:rPr>
        <w:t>Deutsch:</w:t>
      </w:r>
      <w:r>
        <w:t xml:space="preserve"> so wird der Ewige alle diese Nationen vor euch vertreiben; und ihr werdet Nationen in Besitz nehmen, größer und stärker als ihr.</w:t>
      </w:r>
    </w:p>
    <w:p w14:paraId="1B192AC3" w14:textId="77777777" w:rsidR="00266B37" w:rsidRDefault="004F5CEB" w:rsidP="00266B37">
      <w:r>
        <w:rPr>
          <w:noProof/>
        </w:rPr>
        <w:pict w14:anchorId="7E2C5DA1">
          <v:rect id="_x0000_i1363" style="width:0;height:1.5pt" o:hralign="center" o:hrstd="t" o:hr="t" fillcolor="#a0a0a0" stroked="f"/>
        </w:pict>
      </w:r>
    </w:p>
    <w:p w14:paraId="2F8A3D87" w14:textId="77777777" w:rsidR="00266B37" w:rsidRDefault="00266B37" w:rsidP="00266B37">
      <w:pPr>
        <w:pStyle w:val="whitespace-normal"/>
      </w:pPr>
      <w:r>
        <w:rPr>
          <w:rStyle w:val="Fett"/>
          <w:rFonts w:eastAsiaTheme="majorEastAsia"/>
        </w:rPr>
        <w:t>Kommentar:</w:t>
      </w:r>
      <w:r>
        <w:t xml:space="preserve"> </w:t>
      </w:r>
      <w:r>
        <w:rPr>
          <w:rStyle w:val="Fett"/>
          <w:rFonts w:eastAsiaTheme="majorEastAsia"/>
          <w:rtl/>
        </w:rPr>
        <w:t>וְהוֹרִישׁ יְהוָה אֶת־כָּל־הַגּוֹיִם הָאֵלֶּה מִלִּפְנֵיכֶם</w:t>
      </w:r>
      <w:r>
        <w:rPr>
          <w:rtl/>
        </w:rPr>
        <w:t xml:space="preserve"> </w:t>
      </w:r>
      <w:r>
        <w:t xml:space="preserve">ist die Apodosis (Folge) der Konditionalbedingung aus V. 22: </w:t>
      </w:r>
      <w:r>
        <w:rPr>
          <w:rStyle w:val="Fett"/>
          <w:rFonts w:eastAsiaTheme="majorEastAsia"/>
          <w:rtl/>
        </w:rPr>
        <w:t>וְהוֹרִישׁ</w:t>
      </w:r>
      <w:r>
        <w:rPr>
          <w:rtl/>
        </w:rPr>
        <w:t xml:space="preserve"> </w:t>
      </w:r>
      <w:r>
        <w:t xml:space="preserve">(Hiphil Perfekt, 3. Person Maskulinum Singular von </w:t>
      </w:r>
      <w:r>
        <w:rPr>
          <w:rStyle w:val="Fett"/>
          <w:rFonts w:eastAsiaTheme="majorEastAsia"/>
          <w:rtl/>
        </w:rPr>
        <w:t>ירשׁ</w:t>
      </w:r>
      <w:r>
        <w:t xml:space="preserve">, „in Besitz nehmen, erben", in der Hiphil-Form „enteignen, vertreiben", mit </w:t>
      </w:r>
      <w:r>
        <w:rPr>
          <w:rStyle w:val="Fett"/>
          <w:rFonts w:eastAsiaTheme="majorEastAsia"/>
        </w:rPr>
        <w:t>Waw</w:t>
      </w:r>
      <w:r>
        <w:t xml:space="preserve"> copulativum als consecutives Perfekt), </w:t>
      </w:r>
      <w:r>
        <w:rPr>
          <w:rStyle w:val="Fett"/>
          <w:rFonts w:eastAsiaTheme="majorEastAsia"/>
          <w:rtl/>
        </w:rPr>
        <w:t>יְהוָה</w:t>
      </w:r>
      <w:r>
        <w:rPr>
          <w:rtl/>
        </w:rPr>
        <w:t xml:space="preserve"> </w:t>
      </w:r>
      <w:r>
        <w:t xml:space="preserve">als Subjekt, </w:t>
      </w:r>
      <w:r>
        <w:rPr>
          <w:rStyle w:val="Fett"/>
          <w:rFonts w:eastAsiaTheme="majorEastAsia"/>
          <w:rtl/>
        </w:rPr>
        <w:t>אֶת־כָּל־הַגּוֹיִם הָאֵלֶּה</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כֹּל</w:t>
      </w:r>
      <w:r>
        <w:rPr>
          <w:rtl/>
        </w:rPr>
        <w:t xml:space="preserve"> </w:t>
      </w:r>
      <w:r>
        <w:t xml:space="preserve">im Construct mit </w:t>
      </w:r>
      <w:r>
        <w:rPr>
          <w:rStyle w:val="Fett"/>
          <w:rFonts w:eastAsiaTheme="majorEastAsia"/>
          <w:rtl/>
        </w:rPr>
        <w:t>גּוֹי</w:t>
      </w:r>
      <w:r>
        <w:t xml:space="preserve">, „Nation, Volk", Plural mit Artikel und Demonstrativpronomen </w:t>
      </w:r>
      <w:r>
        <w:rPr>
          <w:rStyle w:val="Fett"/>
          <w:rFonts w:eastAsiaTheme="majorEastAsia"/>
          <w:rtl/>
        </w:rPr>
        <w:t>אֵלֶּה</w:t>
      </w:r>
      <w:r>
        <w:t xml:space="preserve">, „diese") als direktes Objekt und </w:t>
      </w:r>
      <w:r>
        <w:rPr>
          <w:rStyle w:val="Fett"/>
          <w:rFonts w:eastAsiaTheme="majorEastAsia"/>
          <w:rtl/>
        </w:rPr>
        <w:t>מִלִּפְנֵיכֶם</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לִפְנֵי</w:t>
      </w:r>
      <w:r>
        <w:t xml:space="preserve">, „vor, vor dem Angesicht", mit Suffix 2. Person Maskulinum Plural, „von vor euch") als lokale Bestimmung. Die Hiphil-Form von </w:t>
      </w:r>
      <w:r>
        <w:rPr>
          <w:rStyle w:val="Fett"/>
          <w:rFonts w:eastAsiaTheme="majorEastAsia"/>
          <w:rtl/>
        </w:rPr>
        <w:t>ירשׁ</w:t>
      </w:r>
      <w:r>
        <w:rPr>
          <w:rtl/>
        </w:rPr>
        <w:t xml:space="preserve"> </w:t>
      </w:r>
      <w:r>
        <w:t xml:space="preserve">bezeichnet das kausative Handeln („zum Erben bringen" = „enteignen, vertreiben"). Die Wendung </w:t>
      </w:r>
      <w:r>
        <w:rPr>
          <w:rStyle w:val="Fett"/>
          <w:rFonts w:eastAsiaTheme="majorEastAsia"/>
          <w:rtl/>
        </w:rPr>
        <w:t>הוריש מלפני</w:t>
      </w:r>
      <w:r>
        <w:rPr>
          <w:rtl/>
        </w:rPr>
        <w:t xml:space="preserve"> </w:t>
      </w:r>
      <w:r>
        <w:t>(„vertreiben von vor") ist eine feste Formel für die Vertreibung der Vorbewohner Kanaans.</w:t>
      </w:r>
    </w:p>
    <w:p w14:paraId="656730D8" w14:textId="77777777" w:rsidR="00266B37" w:rsidRDefault="00266B37" w:rsidP="00266B37">
      <w:pPr>
        <w:pStyle w:val="whitespace-normal"/>
      </w:pPr>
      <w:r>
        <w:rPr>
          <w:rStyle w:val="Fett"/>
          <w:rFonts w:eastAsiaTheme="majorEastAsia"/>
          <w:rtl/>
        </w:rPr>
        <w:t>וִירִשְׁתֶּם גּוֹיִם גְּדֹלִים וַעֲצֻמִים מִכֶּם</w:t>
      </w:r>
      <w:r>
        <w:rPr>
          <w:rtl/>
        </w:rPr>
        <w:t xml:space="preserve"> </w:t>
      </w:r>
      <w:r>
        <w:t xml:space="preserve">ist koordiniert: </w:t>
      </w:r>
      <w:r>
        <w:rPr>
          <w:rStyle w:val="Fett"/>
          <w:rFonts w:eastAsiaTheme="majorEastAsia"/>
          <w:rtl/>
        </w:rPr>
        <w:t>וִירִשְׁתֶּם</w:t>
      </w:r>
      <w:r>
        <w:rPr>
          <w:rtl/>
        </w:rPr>
        <w:t xml:space="preserve"> </w:t>
      </w:r>
      <w:r>
        <w:t xml:space="preserve">(Qal Perfekt, 2. Person Maskulinum Plural von </w:t>
      </w:r>
      <w:r>
        <w:rPr>
          <w:rStyle w:val="Fett"/>
          <w:rFonts w:eastAsiaTheme="majorEastAsia"/>
          <w:rtl/>
        </w:rPr>
        <w:t>ירשׁ</w:t>
      </w:r>
      <w:r>
        <w:t xml:space="preserve">, „in Besitz nehmen, erben", mit </w:t>
      </w:r>
      <w:r>
        <w:rPr>
          <w:rStyle w:val="Fett"/>
          <w:rFonts w:eastAsiaTheme="majorEastAsia"/>
        </w:rPr>
        <w:t>Waw</w:t>
      </w:r>
      <w:r>
        <w:t xml:space="preserve"> als consecutives Perfekt), </w:t>
      </w:r>
      <w:r>
        <w:rPr>
          <w:rStyle w:val="Fett"/>
          <w:rFonts w:eastAsiaTheme="majorEastAsia"/>
          <w:rtl/>
        </w:rPr>
        <w:t>גּוֹיִם</w:t>
      </w:r>
      <w:r>
        <w:rPr>
          <w:rtl/>
        </w:rPr>
        <w:t xml:space="preserve"> </w:t>
      </w:r>
      <w:r>
        <w:t xml:space="preserve">(Plural von </w:t>
      </w:r>
      <w:r>
        <w:rPr>
          <w:rStyle w:val="Fett"/>
          <w:rFonts w:eastAsiaTheme="majorEastAsia"/>
          <w:rtl/>
        </w:rPr>
        <w:t>גּוֹי</w:t>
      </w:r>
      <w:r>
        <w:t xml:space="preserve">) als direktes Objekt, </w:t>
      </w:r>
      <w:r>
        <w:rPr>
          <w:rStyle w:val="Fett"/>
          <w:rFonts w:eastAsiaTheme="majorEastAsia"/>
          <w:rtl/>
        </w:rPr>
        <w:t>גְּדֹלִים וַעֲצֻמִים</w:t>
      </w:r>
      <w:r>
        <w:rPr>
          <w:rtl/>
        </w:rPr>
        <w:t xml:space="preserve"> </w:t>
      </w:r>
      <w:r>
        <w:t xml:space="preserve">(Adjektive: </w:t>
      </w:r>
      <w:r>
        <w:rPr>
          <w:rStyle w:val="Fett"/>
          <w:rFonts w:eastAsiaTheme="majorEastAsia"/>
          <w:rtl/>
        </w:rPr>
        <w:t>גָּדוֹל</w:t>
      </w:r>
      <w:r>
        <w:t xml:space="preserve">, „groß", Plural, koordiniert durch </w:t>
      </w:r>
      <w:r>
        <w:rPr>
          <w:rStyle w:val="Fett"/>
          <w:rFonts w:eastAsiaTheme="majorEastAsia"/>
        </w:rPr>
        <w:t>Waw</w:t>
      </w:r>
      <w:r>
        <w:t xml:space="preserve"> mit </w:t>
      </w:r>
      <w:r>
        <w:rPr>
          <w:rStyle w:val="Fett"/>
          <w:rFonts w:eastAsiaTheme="majorEastAsia"/>
          <w:rtl/>
        </w:rPr>
        <w:t>עָצוּם</w:t>
      </w:r>
      <w:r>
        <w:t xml:space="preserve">, „stark, mächtig", Qal Passiv Partizip Plural von </w:t>
      </w:r>
      <w:r>
        <w:rPr>
          <w:rStyle w:val="Fett"/>
          <w:rFonts w:eastAsiaTheme="majorEastAsia"/>
          <w:rtl/>
        </w:rPr>
        <w:t>עצם</w:t>
      </w:r>
      <w:r>
        <w:t xml:space="preserve">) als Attribute und </w:t>
      </w:r>
      <w:r>
        <w:rPr>
          <w:rStyle w:val="Fett"/>
          <w:rFonts w:eastAsiaTheme="majorEastAsia"/>
          <w:rtl/>
        </w:rPr>
        <w:t>מִכֶּם</w:t>
      </w:r>
      <w:r>
        <w:rPr>
          <w:rtl/>
        </w:rPr>
        <w:t xml:space="preserve"> </w:t>
      </w:r>
      <w:r>
        <w:t xml:space="preserve">(Präposition </w:t>
      </w:r>
      <w:r>
        <w:rPr>
          <w:rStyle w:val="Fett"/>
          <w:rFonts w:eastAsiaTheme="majorEastAsia"/>
          <w:rtl/>
        </w:rPr>
        <w:t>מִן</w:t>
      </w:r>
      <w:r>
        <w:rPr>
          <w:rtl/>
        </w:rPr>
        <w:t xml:space="preserve"> </w:t>
      </w:r>
      <w:r>
        <w:t xml:space="preserve">mit Suffix 2. Person Maskulinum Plural als Komparativ, „als ihr, mehr als ihr"). Die beiden Adjektive </w:t>
      </w:r>
      <w:r>
        <w:rPr>
          <w:rStyle w:val="Fett"/>
          <w:rFonts w:eastAsiaTheme="majorEastAsia"/>
          <w:rtl/>
        </w:rPr>
        <w:t>גְּדֹלִים וַעֲצֻמִים</w:t>
      </w:r>
      <w:r>
        <w:rPr>
          <w:rtl/>
        </w:rPr>
        <w:t xml:space="preserve"> </w:t>
      </w:r>
      <w:r>
        <w:t xml:space="preserve">beschreiben die militärische und zahlenmäßige Überlegenheit der Vorbewohner. Die Konstruktion mit </w:t>
      </w:r>
      <w:r>
        <w:rPr>
          <w:rStyle w:val="Fett"/>
          <w:rFonts w:eastAsiaTheme="majorEastAsia"/>
          <w:rtl/>
        </w:rPr>
        <w:t>מִן</w:t>
      </w:r>
      <w:r>
        <w:rPr>
          <w:rtl/>
        </w:rPr>
        <w:t xml:space="preserve"> </w:t>
      </w:r>
      <w:r>
        <w:t>drückt den Vergleich aus.</w:t>
      </w:r>
    </w:p>
    <w:p w14:paraId="42C9AF47" w14:textId="77777777" w:rsidR="00266B37" w:rsidRDefault="00266B37" w:rsidP="00266B37">
      <w:pPr>
        <w:pStyle w:val="whitespace-normal"/>
      </w:pPr>
      <w:r>
        <w:t xml:space="preserve">Die Syntax zeigt die göttliche Initiative und das menschliche Resultat: JHWH vertreibt die Völker (göttliches Handeln), Israel nimmt sie in Besitz (menschliches Handeln). Die beiden Verben </w:t>
      </w:r>
      <w:r>
        <w:rPr>
          <w:rStyle w:val="Fett"/>
          <w:rFonts w:eastAsiaTheme="majorEastAsia"/>
          <w:rtl/>
        </w:rPr>
        <w:t>הוריש</w:t>
      </w:r>
      <w:r>
        <w:rPr>
          <w:rtl/>
        </w:rPr>
        <w:t xml:space="preserve"> </w:t>
      </w:r>
      <w:r>
        <w:t xml:space="preserve">(Hiphil von </w:t>
      </w:r>
      <w:r>
        <w:rPr>
          <w:rStyle w:val="Fett"/>
          <w:rFonts w:eastAsiaTheme="majorEastAsia"/>
          <w:rtl/>
        </w:rPr>
        <w:t>ירשׁ</w:t>
      </w:r>
      <w:r>
        <w:t xml:space="preserve">) und </w:t>
      </w:r>
      <w:r>
        <w:rPr>
          <w:rStyle w:val="Fett"/>
          <w:rFonts w:eastAsiaTheme="majorEastAsia"/>
          <w:rtl/>
        </w:rPr>
        <w:t>ירשׁתם</w:t>
      </w:r>
      <w:r>
        <w:rPr>
          <w:rtl/>
        </w:rPr>
        <w:t xml:space="preserve"> </w:t>
      </w:r>
      <w:r>
        <w:t xml:space="preserve">(Qal von </w:t>
      </w:r>
      <w:r>
        <w:rPr>
          <w:rStyle w:val="Fett"/>
          <w:rFonts w:eastAsiaTheme="majorEastAsia"/>
          <w:rtl/>
        </w:rPr>
        <w:t>ירשׁ</w:t>
      </w:r>
      <w:r>
        <w:t xml:space="preserve">) spielen mit der gleichen Wurzel in verschiedenen Stammformen und betonen die Kausalität: Gottes Vertreibung ermöglicht Israels Besitznahme. Die Wendung </w:t>
      </w:r>
      <w:r>
        <w:rPr>
          <w:rStyle w:val="Fett"/>
          <w:rFonts w:eastAsiaTheme="majorEastAsia"/>
          <w:rtl/>
        </w:rPr>
        <w:t>כָּל־הַגּוֹיִם הָאֵלֶּה</w:t>
      </w:r>
      <w:r>
        <w:rPr>
          <w:rtl/>
        </w:rPr>
        <w:t xml:space="preserve"> </w:t>
      </w:r>
      <w:r>
        <w:t xml:space="preserve">fasst die in 7,1 genannten sieben Völker Kanaans zusammen. Die Attribute </w:t>
      </w:r>
      <w:r>
        <w:rPr>
          <w:rStyle w:val="Fett"/>
          <w:rFonts w:eastAsiaTheme="majorEastAsia"/>
          <w:rtl/>
        </w:rPr>
        <w:t>גְּדֹלִים וַעֲצֻמִים מִכֶּם</w:t>
      </w:r>
      <w:r>
        <w:rPr>
          <w:rtl/>
        </w:rPr>
        <w:t xml:space="preserve"> </w:t>
      </w:r>
      <w:r>
        <w:t>betonen die scheinbare Unmöglichkeit der Landnahme aus menschlicher Sicht und unterstreichen die Notwendigkeit göttlicher Intervention (vgl. 7,1; 9,1).</w:t>
      </w:r>
    </w:p>
    <w:p w14:paraId="4E560458" w14:textId="77777777" w:rsidR="00266B37" w:rsidRDefault="00266B37" w:rsidP="00266B37">
      <w:pPr>
        <w:pStyle w:val="whitespace-normal"/>
      </w:pPr>
      <w:r>
        <w:rPr>
          <w:rStyle w:val="Fett"/>
          <w:rFonts w:eastAsiaTheme="majorEastAsia"/>
        </w:rPr>
        <w:t>Die LXX</w:t>
      </w:r>
      <w:r>
        <w:t xml:space="preserve"> übersetzt „wird vertreiben" mit „</w:t>
      </w:r>
      <w:proofErr w:type="spellStart"/>
      <w:r>
        <w:t>ἐξολεθρεύσει</w:t>
      </w:r>
      <w:proofErr w:type="spellEnd"/>
      <w:r>
        <w:t>", „in Besitz nehmen" mit „</w:t>
      </w:r>
      <w:proofErr w:type="spellStart"/>
      <w:r>
        <w:t>κληρονομήσετε</w:t>
      </w:r>
      <w:proofErr w:type="spellEnd"/>
      <w:r>
        <w:t>" und „größer und stärker als ihr" mit „</w:t>
      </w:r>
      <w:proofErr w:type="spellStart"/>
      <w:r>
        <w:t>μείζον</w:t>
      </w:r>
      <w:proofErr w:type="spellEnd"/>
      <w:r>
        <w:t xml:space="preserve">α καὶ </w:t>
      </w:r>
      <w:proofErr w:type="spellStart"/>
      <w:r>
        <w:t>ἰσχυρότερ</w:t>
      </w:r>
      <w:proofErr w:type="spellEnd"/>
      <w:r>
        <w:t xml:space="preserve">α </w:t>
      </w:r>
      <w:proofErr w:type="spellStart"/>
      <w:r>
        <w:t>ὑμῶν</w:t>
      </w:r>
      <w:proofErr w:type="spellEnd"/>
      <w:r>
        <w:t>".</w:t>
      </w:r>
    </w:p>
    <w:p w14:paraId="54F17DBB" w14:textId="77777777" w:rsidR="00266B37" w:rsidRDefault="00266B37" w:rsidP="00266B37">
      <w:pPr>
        <w:pStyle w:val="whitespace-normal"/>
      </w:pPr>
      <w:r>
        <w:t xml:space="preserve">Die Satzstruktur besteht aus zwei koordinierten Hauptsätzen: Erster Hauptsatz mit Prädikat (wird vertreiben), Subjekt (JHWH), direktem Objekt (alle diese Nationen) und lokaler Bestimmung (von vor euch); zweiter Hauptsatz mit Prädikat (werdet in Besitz nehmen), </w:t>
      </w:r>
      <w:r>
        <w:lastRenderedPageBreak/>
        <w:t>direktem Objekt (Nationen) und attributiver Bestimmung mit Vergleich (größer und stärker als ihr).</w:t>
      </w:r>
    </w:p>
    <w:p w14:paraId="4F716000" w14:textId="77777777" w:rsidR="00266B37" w:rsidRDefault="00266B37" w:rsidP="00266B37">
      <w:pPr>
        <w:pStyle w:val="whitespace-normal"/>
      </w:pPr>
      <w:r>
        <w:t>Der Vers verheißt als erste Folge des Gehorsams die erfolgreiche Landnahme: JHWH wird die mächtigen Völker Kanaans vertreiben, sodass Israel trotz seiner zahlenmäßigen Unterlegenheit das Land in Besitz nehmen kann.</w:t>
      </w:r>
    </w:p>
    <w:p w14:paraId="4B7CBD83" w14:textId="77777777" w:rsidR="00266B37" w:rsidRPr="00266B37" w:rsidRDefault="00266B37" w:rsidP="00266B37">
      <w:pPr>
        <w:pStyle w:val="berschrift1"/>
        <w:rPr>
          <w:rFonts w:ascii="Times New Roman" w:hAnsi="Times New Roman"/>
          <w:color w:val="auto"/>
          <w:sz w:val="36"/>
          <w:szCs w:val="36"/>
        </w:rPr>
      </w:pPr>
      <w:r w:rsidRPr="00266B37">
        <w:rPr>
          <w:rStyle w:val="Fett"/>
          <w:rFonts w:ascii="Times New Roman" w:hAnsi="Times New Roman"/>
          <w:color w:val="auto"/>
          <w:sz w:val="36"/>
          <w:szCs w:val="36"/>
        </w:rPr>
        <w:t>Deuteronomium 11,24</w:t>
      </w:r>
    </w:p>
    <w:p w14:paraId="0B7F1872" w14:textId="77777777" w:rsidR="00266B37" w:rsidRDefault="00266B37" w:rsidP="00266B37">
      <w:pPr>
        <w:pStyle w:val="whitespace-normal"/>
      </w:pPr>
      <w:r>
        <w:rPr>
          <w:rStyle w:val="Fett"/>
          <w:rFonts w:eastAsiaTheme="majorEastAsia"/>
        </w:rPr>
        <w:t>Hebräisch:</w:t>
      </w:r>
      <w:r>
        <w:t xml:space="preserve"> </w:t>
      </w:r>
      <w:r>
        <w:rPr>
          <w:rtl/>
        </w:rPr>
        <w:t>כָּל־הַמָּק֗וֹם אֲשֶׁ֨ר תִּדְרֹ֧ךְ כַּֽף־רַגְלְכֶ֛ם בּוֹ֖ לָכֶ֣ם יִהְיֶ֑ה מִן־הַמִּדְבָּ֨ר וְהַלְּבָנ֜וֹן מִן־הַנָּהָ֣ר נְהַר־פְּרָ֗ת וְעַד֙ הַיָּ֣ם הָֽאַחֲר֔וֹן יִהְיֶ֖ה גְּבֻלְכֶֽם׃</w:t>
      </w:r>
    </w:p>
    <w:p w14:paraId="25D97654" w14:textId="77777777" w:rsidR="00266B37" w:rsidRDefault="00266B37" w:rsidP="00266B37">
      <w:pPr>
        <w:pStyle w:val="whitespace-normal"/>
      </w:pPr>
      <w:r>
        <w:rPr>
          <w:rStyle w:val="Fett"/>
          <w:rFonts w:eastAsiaTheme="majorEastAsia"/>
        </w:rPr>
        <w:t>Deutsch:</w:t>
      </w:r>
      <w:r>
        <w:t xml:space="preserve"> Jeder Ort, auf den eure Fußsohle treten wird, wird euer sein: von der Wüste und dem Levanon, vom Strom, dem Strom P'rat, bis an das westliche Meer wird eure Grenze sein.</w:t>
      </w:r>
    </w:p>
    <w:p w14:paraId="229D2EBD" w14:textId="77777777" w:rsidR="00266B37" w:rsidRDefault="004F5CEB" w:rsidP="00266B37">
      <w:r>
        <w:rPr>
          <w:noProof/>
        </w:rPr>
        <w:pict w14:anchorId="0710D6D0">
          <v:rect id="_x0000_i1364" style="width:0;height:1.5pt" o:hralign="center" o:hrstd="t" o:hr="t" fillcolor="#a0a0a0" stroked="f"/>
        </w:pict>
      </w:r>
    </w:p>
    <w:p w14:paraId="0316C14F" w14:textId="77777777" w:rsidR="00266B37" w:rsidRDefault="00266B37" w:rsidP="00266B37">
      <w:pPr>
        <w:pStyle w:val="whitespace-normal"/>
      </w:pPr>
      <w:r>
        <w:rPr>
          <w:rStyle w:val="Fett"/>
          <w:rFonts w:eastAsiaTheme="majorEastAsia"/>
        </w:rPr>
        <w:t>Kommentar:</w:t>
      </w:r>
      <w:r>
        <w:t xml:space="preserve"> </w:t>
      </w:r>
      <w:r>
        <w:rPr>
          <w:rStyle w:val="Fett"/>
          <w:rFonts w:eastAsiaTheme="majorEastAsia"/>
          <w:rtl/>
        </w:rPr>
        <w:t>כָּל־הַמָּקוֹם אֲשֶׁר תִּדְרֹךְ כַּף־רַגְלְכֶם בּוֹ לָכֶם יִהְיֶה</w:t>
      </w:r>
      <w:r>
        <w:rPr>
          <w:rtl/>
        </w:rPr>
        <w:t xml:space="preserve"> </w:t>
      </w:r>
      <w:r>
        <w:t xml:space="preserve">ist ein Nominalsatz mit Relativsatz: </w:t>
      </w:r>
      <w:r>
        <w:rPr>
          <w:rStyle w:val="Fett"/>
          <w:rFonts w:eastAsiaTheme="majorEastAsia"/>
          <w:rtl/>
        </w:rPr>
        <w:t>כָּל־הַמָּקוֹם</w:t>
      </w:r>
      <w:r>
        <w:rPr>
          <w:rtl/>
        </w:rPr>
        <w:t xml:space="preserve"> </w:t>
      </w:r>
      <w:r>
        <w:t>(</w:t>
      </w:r>
      <w:r>
        <w:rPr>
          <w:rStyle w:val="Fett"/>
          <w:rFonts w:eastAsiaTheme="majorEastAsia"/>
          <w:rtl/>
        </w:rPr>
        <w:t>כֹּל</w:t>
      </w:r>
      <w:r>
        <w:rPr>
          <w:rtl/>
        </w:rPr>
        <w:t xml:space="preserve"> </w:t>
      </w:r>
      <w:r>
        <w:t xml:space="preserve">im Construct mit </w:t>
      </w:r>
      <w:r>
        <w:rPr>
          <w:rStyle w:val="Fett"/>
          <w:rFonts w:eastAsiaTheme="majorEastAsia"/>
          <w:rtl/>
        </w:rPr>
        <w:t>מָקוֹם</w:t>
      </w:r>
      <w:r>
        <w:t xml:space="preserve">, „Ort, Platz", mit Artikel) als Subjekt, </w:t>
      </w:r>
      <w:r>
        <w:rPr>
          <w:rStyle w:val="Fett"/>
          <w:rFonts w:eastAsiaTheme="majorEastAsia"/>
          <w:rtl/>
        </w:rPr>
        <w:t>אֲשֶׁר</w:t>
      </w:r>
      <w:r>
        <w:rPr>
          <w:rtl/>
        </w:rPr>
        <w:t xml:space="preserve"> </w:t>
      </w:r>
      <w:r>
        <w:t xml:space="preserve">(Relativpronomen) mit </w:t>
      </w:r>
      <w:r>
        <w:rPr>
          <w:rStyle w:val="Fett"/>
          <w:rFonts w:eastAsiaTheme="majorEastAsia"/>
          <w:rtl/>
        </w:rPr>
        <w:t>תִּדְרֹךְ</w:t>
      </w:r>
      <w:r>
        <w:rPr>
          <w:rtl/>
        </w:rPr>
        <w:t xml:space="preserve"> </w:t>
      </w:r>
      <w:r>
        <w:t xml:space="preserve">(Qal Imperfekt, 3. Person feminin Singular von </w:t>
      </w:r>
      <w:r>
        <w:rPr>
          <w:rStyle w:val="Fett"/>
          <w:rFonts w:eastAsiaTheme="majorEastAsia"/>
          <w:rtl/>
        </w:rPr>
        <w:t>דרך</w:t>
      </w:r>
      <w:r>
        <w:t xml:space="preserve">, „treten, betreten"), </w:t>
      </w:r>
      <w:r>
        <w:rPr>
          <w:rStyle w:val="Fett"/>
          <w:rFonts w:eastAsiaTheme="majorEastAsia"/>
          <w:rtl/>
        </w:rPr>
        <w:t>כַּף־רַגְלְכֶם</w:t>
      </w:r>
      <w:r>
        <w:rPr>
          <w:rtl/>
        </w:rPr>
        <w:t xml:space="preserve"> </w:t>
      </w:r>
      <w:r>
        <w:t>(</w:t>
      </w:r>
      <w:r>
        <w:rPr>
          <w:rStyle w:val="Fett"/>
          <w:rFonts w:eastAsiaTheme="majorEastAsia"/>
          <w:rtl/>
        </w:rPr>
        <w:t>כַּף</w:t>
      </w:r>
      <w:r>
        <w:t xml:space="preserve">, „Handfläche, Fußsohle", im Construct mit </w:t>
      </w:r>
      <w:r>
        <w:rPr>
          <w:rStyle w:val="Fett"/>
          <w:rFonts w:eastAsiaTheme="majorEastAsia"/>
          <w:rtl/>
        </w:rPr>
        <w:t>רֶגֶל</w:t>
      </w:r>
      <w:r>
        <w:t xml:space="preserve">, „Fuß", Plural mit Suffix 2. Person Maskulinum Plural) als Subjekt des Relativsatzes, </w:t>
      </w:r>
      <w:r>
        <w:rPr>
          <w:rStyle w:val="Fett"/>
          <w:rFonts w:eastAsiaTheme="majorEastAsia"/>
          <w:rtl/>
        </w:rPr>
        <w:t>בּוֹ</w:t>
      </w:r>
      <w:r>
        <w:rPr>
          <w:rtl/>
        </w:rPr>
        <w:t xml:space="preserve"> </w:t>
      </w:r>
      <w:r>
        <w:t xml:space="preserve">(Präposition </w:t>
      </w:r>
      <w:r>
        <w:rPr>
          <w:rStyle w:val="Fett"/>
          <w:rFonts w:eastAsiaTheme="majorEastAsia"/>
          <w:rtl/>
        </w:rPr>
        <w:t>בְּ</w:t>
      </w:r>
      <w:r>
        <w:rPr>
          <w:rtl/>
        </w:rPr>
        <w:t xml:space="preserve"> </w:t>
      </w:r>
      <w:r>
        <w:t xml:space="preserve">mit Suffix 3. Person Maskulinum Singular, rückverweisend auf </w:t>
      </w:r>
      <w:r>
        <w:rPr>
          <w:rStyle w:val="Fett"/>
          <w:rFonts w:eastAsiaTheme="majorEastAsia"/>
          <w:rtl/>
        </w:rPr>
        <w:t>מָקוֹם</w:t>
      </w:r>
      <w:r>
        <w:t xml:space="preserve">) als lokale Bestimmung, </w:t>
      </w:r>
      <w:r>
        <w:rPr>
          <w:rStyle w:val="Fett"/>
          <w:rFonts w:eastAsiaTheme="majorEastAsia"/>
          <w:rtl/>
        </w:rPr>
        <w:t>לָכֶם</w:t>
      </w:r>
      <w:r>
        <w:rPr>
          <w:rtl/>
        </w:rPr>
        <w:t xml:space="preserve"> </w:t>
      </w:r>
      <w:r>
        <w:t xml:space="preserve">(Präposition </w:t>
      </w:r>
      <w:r>
        <w:rPr>
          <w:rStyle w:val="Fett"/>
          <w:rFonts w:eastAsiaTheme="majorEastAsia"/>
          <w:rtl/>
        </w:rPr>
        <w:t>לְ</w:t>
      </w:r>
      <w:r>
        <w:rPr>
          <w:rtl/>
        </w:rPr>
        <w:t xml:space="preserve"> </w:t>
      </w:r>
      <w:r>
        <w:t xml:space="preserve">mit Suffix 2. Person Maskulinum Plural) als Dativ und </w:t>
      </w:r>
      <w:r>
        <w:rPr>
          <w:rStyle w:val="Fett"/>
          <w:rFonts w:eastAsiaTheme="majorEastAsia"/>
          <w:rtl/>
        </w:rPr>
        <w:t>יִהְיֶה</w:t>
      </w:r>
      <w:r>
        <w:rPr>
          <w:rtl/>
        </w:rPr>
        <w:t xml:space="preserve"> </w:t>
      </w:r>
      <w:r>
        <w:t xml:space="preserve">(Qal Imperfekt, 3. Person Maskulinum Singular von </w:t>
      </w:r>
      <w:r>
        <w:rPr>
          <w:rStyle w:val="Fett"/>
          <w:rFonts w:eastAsiaTheme="majorEastAsia"/>
          <w:rtl/>
        </w:rPr>
        <w:t>היה</w:t>
      </w:r>
      <w:r>
        <w:t xml:space="preserve">, „sein, werden") als Prädikat. Die Wendung </w:t>
      </w:r>
      <w:r>
        <w:rPr>
          <w:rStyle w:val="Fett"/>
          <w:rFonts w:eastAsiaTheme="majorEastAsia"/>
          <w:rtl/>
        </w:rPr>
        <w:t>כַּף־רֶגֶל</w:t>
      </w:r>
      <w:r>
        <w:rPr>
          <w:rtl/>
        </w:rPr>
        <w:t xml:space="preserve"> </w:t>
      </w:r>
      <w:r>
        <w:t>(„Fußsohle") betont das konkrete Betreten des Landes. Die Formel verbindet physische Präsenz mit rechtlichem Besitz.</w:t>
      </w:r>
    </w:p>
    <w:p w14:paraId="1B02B377" w14:textId="77777777" w:rsidR="00266B37" w:rsidRDefault="00266B37" w:rsidP="00266B37">
      <w:pPr>
        <w:pStyle w:val="whitespace-normal"/>
      </w:pPr>
      <w:r>
        <w:rPr>
          <w:rStyle w:val="Fett"/>
          <w:rFonts w:eastAsiaTheme="majorEastAsia"/>
          <w:rtl/>
        </w:rPr>
        <w:t>מִן־הַמִּדְבָּר וְהַלְּבָנוֹן מִן־הַנָּהָר נְהַר־פְּרָת וְעַד הַיָּם הָאַחֲרוֹן יִהְיֶה גְּבֻלְכֶם</w:t>
      </w:r>
      <w:r>
        <w:rPr>
          <w:rtl/>
        </w:rPr>
        <w:t xml:space="preserve"> </w:t>
      </w:r>
      <w:r>
        <w:t xml:space="preserve">konkretisiert die Grenzen: </w:t>
      </w:r>
      <w:r>
        <w:rPr>
          <w:rStyle w:val="Fett"/>
          <w:rFonts w:eastAsiaTheme="majorEastAsia"/>
          <w:rtl/>
        </w:rPr>
        <w:t>מִן־הַמִּדְבָּר</w:t>
      </w:r>
      <w:r>
        <w:rPr>
          <w:rtl/>
        </w:rPr>
        <w:t xml:space="preserve"> </w:t>
      </w:r>
      <w:r>
        <w:t xml:space="preserve">(Präposition </w:t>
      </w:r>
      <w:r>
        <w:rPr>
          <w:rStyle w:val="Fett"/>
          <w:rFonts w:eastAsiaTheme="majorEastAsia"/>
          <w:rtl/>
        </w:rPr>
        <w:t>מִן</w:t>
      </w:r>
      <w:r>
        <w:t xml:space="preserve">, „von", mit </w:t>
      </w:r>
      <w:r>
        <w:rPr>
          <w:rStyle w:val="Fett"/>
          <w:rFonts w:eastAsiaTheme="majorEastAsia"/>
          <w:rtl/>
        </w:rPr>
        <w:t>מִדְבָּר</w:t>
      </w:r>
      <w:r>
        <w:t xml:space="preserve">, „Wüste", mit Artikel, die Wüste im Süden, Negev oder Sinai), </w:t>
      </w:r>
      <w:r>
        <w:rPr>
          <w:rStyle w:val="Fett"/>
          <w:rFonts w:eastAsiaTheme="majorEastAsia"/>
          <w:rtl/>
        </w:rPr>
        <w:t>וְהַלְּבָנוֹן</w:t>
      </w:r>
      <w:r>
        <w:rPr>
          <w:rtl/>
        </w:rPr>
        <w:t xml:space="preserve"> </w:t>
      </w:r>
      <w:r>
        <w:t>(</w:t>
      </w:r>
      <w:r>
        <w:rPr>
          <w:rStyle w:val="Fett"/>
          <w:rFonts w:eastAsiaTheme="majorEastAsia"/>
        </w:rPr>
        <w:t>Waw</w:t>
      </w:r>
      <w:r>
        <w:t xml:space="preserve"> mit </w:t>
      </w:r>
      <w:r>
        <w:rPr>
          <w:rStyle w:val="Fett"/>
          <w:rFonts w:eastAsiaTheme="majorEastAsia"/>
          <w:rtl/>
        </w:rPr>
        <w:t>לְבָנוֹן</w:t>
      </w:r>
      <w:r>
        <w:t xml:space="preserve">, „Libanon", mit Artikel, das Libanongebirge im Norden), </w:t>
      </w:r>
      <w:r>
        <w:rPr>
          <w:rStyle w:val="Fett"/>
          <w:rFonts w:eastAsiaTheme="majorEastAsia"/>
          <w:rtl/>
        </w:rPr>
        <w:t>מִן־הַנָּהָר נְהַר־פְּרָת</w:t>
      </w:r>
      <w:r>
        <w:rPr>
          <w:rtl/>
        </w:rPr>
        <w:t xml:space="preserve"> </w:t>
      </w:r>
      <w:r>
        <w:t>(</w:t>
      </w:r>
      <w:r>
        <w:rPr>
          <w:rStyle w:val="Fett"/>
          <w:rFonts w:eastAsiaTheme="majorEastAsia"/>
          <w:rtl/>
        </w:rPr>
        <w:t>מִן</w:t>
      </w:r>
      <w:r>
        <w:rPr>
          <w:rtl/>
        </w:rPr>
        <w:t xml:space="preserve"> </w:t>
      </w:r>
      <w:r>
        <w:t xml:space="preserve">mit </w:t>
      </w:r>
      <w:r>
        <w:rPr>
          <w:rStyle w:val="Fett"/>
          <w:rFonts w:eastAsiaTheme="majorEastAsia"/>
          <w:rtl/>
        </w:rPr>
        <w:t>נָהָר</w:t>
      </w:r>
      <w:r>
        <w:t xml:space="preserve">, „Strom, Fluss", mit Artikel, gefolgt von der Apposition </w:t>
      </w:r>
      <w:r>
        <w:rPr>
          <w:rStyle w:val="Fett"/>
          <w:rFonts w:eastAsiaTheme="majorEastAsia"/>
          <w:rtl/>
        </w:rPr>
        <w:t>נְהַר־פְּרָת</w:t>
      </w:r>
      <w:r>
        <w:t xml:space="preserve">, wobei </w:t>
      </w:r>
      <w:r>
        <w:rPr>
          <w:rStyle w:val="Fett"/>
          <w:rFonts w:eastAsiaTheme="majorEastAsia"/>
          <w:rtl/>
        </w:rPr>
        <w:t>נָהָר</w:t>
      </w:r>
      <w:r>
        <w:rPr>
          <w:rtl/>
        </w:rPr>
        <w:t xml:space="preserve"> </w:t>
      </w:r>
      <w:r>
        <w:t xml:space="preserve">im Construct mit </w:t>
      </w:r>
      <w:r>
        <w:rPr>
          <w:rStyle w:val="Fett"/>
          <w:rFonts w:eastAsiaTheme="majorEastAsia"/>
          <w:rtl/>
        </w:rPr>
        <w:t>פְּרָת</w:t>
      </w:r>
      <w:r>
        <w:t xml:space="preserve">, „Euphrat", steht), </w:t>
      </w:r>
      <w:r>
        <w:rPr>
          <w:rStyle w:val="Fett"/>
          <w:rFonts w:eastAsiaTheme="majorEastAsia"/>
          <w:rtl/>
        </w:rPr>
        <w:t>וְעַד הַיָּם הָאַחֲרוֹן</w:t>
      </w:r>
      <w:r>
        <w:rPr>
          <w:rtl/>
        </w:rPr>
        <w:t xml:space="preserve"> </w:t>
      </w:r>
      <w:r>
        <w:t>(</w:t>
      </w:r>
      <w:r>
        <w:rPr>
          <w:rStyle w:val="Fett"/>
          <w:rFonts w:eastAsiaTheme="majorEastAsia"/>
          <w:rtl/>
        </w:rPr>
        <w:t>וְעַד</w:t>
      </w:r>
      <w:r>
        <w:t xml:space="preserve">, „und bis", mit </w:t>
      </w:r>
      <w:r>
        <w:rPr>
          <w:rStyle w:val="Fett"/>
          <w:rFonts w:eastAsiaTheme="majorEastAsia"/>
          <w:rtl/>
        </w:rPr>
        <w:t>יָם</w:t>
      </w:r>
      <w:r>
        <w:t xml:space="preserve">, „Meer", mit Artikel und Adjektiv </w:t>
      </w:r>
      <w:r>
        <w:rPr>
          <w:rStyle w:val="Fett"/>
          <w:rFonts w:eastAsiaTheme="majorEastAsia"/>
          <w:rtl/>
        </w:rPr>
        <w:t>אַחֲרוֹן</w:t>
      </w:r>
      <w:r>
        <w:t xml:space="preserve">, „hintere, westliche", das Mittelmeer) und </w:t>
      </w:r>
      <w:r>
        <w:rPr>
          <w:rStyle w:val="Fett"/>
          <w:rFonts w:eastAsiaTheme="majorEastAsia"/>
          <w:rtl/>
        </w:rPr>
        <w:t>יִהְיֶה גְּבֻלְכֶם</w:t>
      </w:r>
      <w:r>
        <w:rPr>
          <w:rtl/>
        </w:rPr>
        <w:t xml:space="preserve"> </w:t>
      </w:r>
      <w:r>
        <w:t xml:space="preserve">(Qal Imperfekt von </w:t>
      </w:r>
      <w:r>
        <w:rPr>
          <w:rStyle w:val="Fett"/>
          <w:rFonts w:eastAsiaTheme="majorEastAsia"/>
          <w:rtl/>
        </w:rPr>
        <w:t>היה</w:t>
      </w:r>
      <w:r>
        <w:rPr>
          <w:rtl/>
        </w:rPr>
        <w:t xml:space="preserve"> </w:t>
      </w:r>
      <w:r>
        <w:t xml:space="preserve">mit </w:t>
      </w:r>
      <w:r>
        <w:rPr>
          <w:rStyle w:val="Fett"/>
          <w:rFonts w:eastAsiaTheme="majorEastAsia"/>
          <w:rtl/>
        </w:rPr>
        <w:t>גְּבוּל</w:t>
      </w:r>
      <w:r>
        <w:t>, „Grenze, Gebiet", und Suffix 2. Person Maskulinum Plural) als Prädikat. Die vier Punkte beschreiben die idealen Grenzen des verheißenen Landes: Süden (Wüste), Norden (Libanon), Osten (Euphrat), Westen (Mittelmeer).</w:t>
      </w:r>
    </w:p>
    <w:p w14:paraId="51ABA5D0" w14:textId="77777777" w:rsidR="00266B37" w:rsidRDefault="00266B37" w:rsidP="00266B37">
      <w:pPr>
        <w:pStyle w:val="whitespace-normal"/>
      </w:pPr>
      <w:r>
        <w:t xml:space="preserve">Die Syntax zeigt eine großzügige Landverheißung: Überall, wo Israel seinen Fuß hinsetzt, wird ihm gehören. Die Grenzangaben entsprechen dem idealen Großreich unter David und Salomo (vgl. 1,7; Jos 1,4). Die Wiederholung von </w:t>
      </w:r>
      <w:r>
        <w:rPr>
          <w:rStyle w:val="Fett"/>
          <w:rFonts w:eastAsiaTheme="majorEastAsia"/>
          <w:rtl/>
        </w:rPr>
        <w:t>יִהְיֶה</w:t>
      </w:r>
      <w:r>
        <w:rPr>
          <w:rtl/>
        </w:rPr>
        <w:t xml:space="preserve"> </w:t>
      </w:r>
      <w:r>
        <w:t>am Anfang und Ende des Verses rahmt die Verheißung ein. Die doppelte Nennung des Euphrat (</w:t>
      </w:r>
      <w:r>
        <w:rPr>
          <w:rStyle w:val="Fett"/>
          <w:rFonts w:eastAsiaTheme="majorEastAsia"/>
          <w:rtl/>
        </w:rPr>
        <w:t>הַנָּהָר</w:t>
      </w:r>
      <w:r>
        <w:rPr>
          <w:rtl/>
        </w:rPr>
        <w:t xml:space="preserve"> </w:t>
      </w:r>
      <w:r>
        <w:t xml:space="preserve">... </w:t>
      </w:r>
      <w:r>
        <w:rPr>
          <w:rStyle w:val="Fett"/>
          <w:rFonts w:eastAsiaTheme="majorEastAsia"/>
          <w:rtl/>
        </w:rPr>
        <w:t>נְהַר־פְּרָת</w:t>
      </w:r>
      <w:r>
        <w:t xml:space="preserve">) betont diese östliche Grenze; </w:t>
      </w:r>
      <w:r>
        <w:rPr>
          <w:rStyle w:val="Fett"/>
          <w:rFonts w:eastAsiaTheme="majorEastAsia"/>
          <w:rtl/>
        </w:rPr>
        <w:t>הַנָּהָר</w:t>
      </w:r>
      <w:r>
        <w:rPr>
          <w:rtl/>
        </w:rPr>
        <w:t xml:space="preserve"> </w:t>
      </w:r>
      <w:r>
        <w:t xml:space="preserve">(„der Strom") ist der Standardbegriff für den Euphrat. Das Adjektiv </w:t>
      </w:r>
      <w:r>
        <w:rPr>
          <w:rStyle w:val="Fett"/>
          <w:rFonts w:eastAsiaTheme="majorEastAsia"/>
          <w:rtl/>
        </w:rPr>
        <w:t>אַחֲרוֹן</w:t>
      </w:r>
      <w:r>
        <w:rPr>
          <w:rtl/>
        </w:rPr>
        <w:t xml:space="preserve"> </w:t>
      </w:r>
      <w:r>
        <w:t xml:space="preserve">beim Mittelmeer bedeutet wörtlich „das hintere Meer" aus der Perspektive eines nach Osten blickenden Betrachters, also das westliche Meer. Die Konstruktion </w:t>
      </w:r>
      <w:r>
        <w:rPr>
          <w:rStyle w:val="Fett"/>
          <w:rFonts w:eastAsiaTheme="majorEastAsia"/>
          <w:rtl/>
        </w:rPr>
        <w:t>כָּל־הַמָּקוֹם אֲשֶׁר</w:t>
      </w:r>
      <w:r>
        <w:rPr>
          <w:rtl/>
        </w:rPr>
        <w:t xml:space="preserve"> </w:t>
      </w:r>
      <w:r>
        <w:t xml:space="preserve">... </w:t>
      </w:r>
      <w:r>
        <w:rPr>
          <w:rStyle w:val="Fett"/>
          <w:rFonts w:eastAsiaTheme="majorEastAsia"/>
          <w:rtl/>
        </w:rPr>
        <w:t>לָכֶם יִהְיֶה</w:t>
      </w:r>
      <w:r>
        <w:rPr>
          <w:rtl/>
        </w:rPr>
        <w:t xml:space="preserve"> </w:t>
      </w:r>
      <w:r>
        <w:t>verbindet universale Verheißung (jeder Ort) mit konkreter Grenzbeschreibung.</w:t>
      </w:r>
    </w:p>
    <w:p w14:paraId="4104F547" w14:textId="77777777" w:rsidR="00266B37" w:rsidRDefault="00266B37" w:rsidP="00266B37">
      <w:pPr>
        <w:pStyle w:val="whitespace-normal"/>
      </w:pPr>
      <w:r>
        <w:rPr>
          <w:rStyle w:val="Fett"/>
          <w:rFonts w:eastAsiaTheme="majorEastAsia"/>
        </w:rPr>
        <w:lastRenderedPageBreak/>
        <w:t>Die LXX</w:t>
      </w:r>
      <w:r>
        <w:t xml:space="preserve"> übersetzt „jeder Ort" mit „π</w:t>
      </w:r>
      <w:proofErr w:type="spellStart"/>
      <w:r>
        <w:t>άντ</w:t>
      </w:r>
      <w:proofErr w:type="spellEnd"/>
      <w:r>
        <w:t xml:space="preserve">α </w:t>
      </w:r>
      <w:proofErr w:type="spellStart"/>
      <w:r>
        <w:t>τὸν</w:t>
      </w:r>
      <w:proofErr w:type="spellEnd"/>
      <w:r>
        <w:t xml:space="preserve"> </w:t>
      </w:r>
      <w:proofErr w:type="spellStart"/>
      <w:r>
        <w:t>τό</w:t>
      </w:r>
      <w:proofErr w:type="spellEnd"/>
      <w:r>
        <w:t>πον", „Fußsohle" mit „</w:t>
      </w:r>
      <w:proofErr w:type="spellStart"/>
      <w:r>
        <w:t>ἴχνος</w:t>
      </w:r>
      <w:proofErr w:type="spellEnd"/>
      <w:r>
        <w:t xml:space="preserve"> </w:t>
      </w:r>
      <w:proofErr w:type="spellStart"/>
      <w:r>
        <w:t>τοῦ</w:t>
      </w:r>
      <w:proofErr w:type="spellEnd"/>
      <w:r>
        <w:t xml:space="preserve"> π</w:t>
      </w:r>
      <w:proofErr w:type="spellStart"/>
      <w:r>
        <w:t>οδὸς</w:t>
      </w:r>
      <w:proofErr w:type="spellEnd"/>
      <w:r>
        <w:t xml:space="preserve"> </w:t>
      </w:r>
      <w:proofErr w:type="spellStart"/>
      <w:r>
        <w:t>ὑμῶν</w:t>
      </w:r>
      <w:proofErr w:type="spellEnd"/>
      <w:r>
        <w:t>", „Libanon" mit „</w:t>
      </w:r>
      <w:proofErr w:type="spellStart"/>
      <w:r>
        <w:t>Λί</w:t>
      </w:r>
      <w:proofErr w:type="spellEnd"/>
      <w:r>
        <w:t>βανον", „der Strom Euphrat" mit „</w:t>
      </w:r>
      <w:proofErr w:type="spellStart"/>
      <w:r>
        <w:t>τοῦ</w:t>
      </w:r>
      <w:proofErr w:type="spellEnd"/>
      <w:r>
        <w:t xml:space="preserve"> π</w:t>
      </w:r>
      <w:proofErr w:type="spellStart"/>
      <w:r>
        <w:t>οτ</w:t>
      </w:r>
      <w:proofErr w:type="spellEnd"/>
      <w:r>
        <w:t xml:space="preserve">αμοῦ </w:t>
      </w:r>
      <w:proofErr w:type="spellStart"/>
      <w:r>
        <w:t>τοῦ</w:t>
      </w:r>
      <w:proofErr w:type="spellEnd"/>
      <w:r>
        <w:t xml:space="preserve"> </w:t>
      </w:r>
      <w:proofErr w:type="spellStart"/>
      <w:r>
        <w:t>μεγάλου</w:t>
      </w:r>
      <w:proofErr w:type="spellEnd"/>
      <w:r>
        <w:t xml:space="preserve"> </w:t>
      </w:r>
      <w:proofErr w:type="spellStart"/>
      <w:r>
        <w:t>Εὐφράτου</w:t>
      </w:r>
      <w:proofErr w:type="spellEnd"/>
      <w:r>
        <w:t>" („der große Strom Euphrat") und „das westliche Meer" mit „</w:t>
      </w:r>
      <w:proofErr w:type="spellStart"/>
      <w:r>
        <w:t>τῆς</w:t>
      </w:r>
      <w:proofErr w:type="spellEnd"/>
      <w:r>
        <w:t xml:space="preserve"> θα</w:t>
      </w:r>
      <w:proofErr w:type="spellStart"/>
      <w:r>
        <w:t>λάσσης</w:t>
      </w:r>
      <w:proofErr w:type="spellEnd"/>
      <w:r>
        <w:t xml:space="preserve"> </w:t>
      </w:r>
      <w:proofErr w:type="spellStart"/>
      <w:r>
        <w:t>τῆς</w:t>
      </w:r>
      <w:proofErr w:type="spellEnd"/>
      <w:r>
        <w:t xml:space="preserve"> </w:t>
      </w:r>
      <w:proofErr w:type="spellStart"/>
      <w:r>
        <w:t>ἐσχάτης</w:t>
      </w:r>
      <w:proofErr w:type="spellEnd"/>
      <w:r>
        <w:t xml:space="preserve">" („das </w:t>
      </w:r>
      <w:proofErr w:type="spellStart"/>
      <w:r>
        <w:t>äußerste</w:t>
      </w:r>
      <w:proofErr w:type="spellEnd"/>
      <w:r>
        <w:t xml:space="preserve"> Meer").</w:t>
      </w:r>
    </w:p>
    <w:p w14:paraId="76428107" w14:textId="77777777" w:rsidR="00266B37" w:rsidRDefault="00266B37" w:rsidP="00266B37">
      <w:pPr>
        <w:pStyle w:val="whitespace-normal"/>
      </w:pPr>
      <w:r>
        <w:t>Die Satzstruktur besteht aus einem Nominalsatz mit Relativsatz und anschließender Grenzspezifikation: Subjekt (jeder Ort), Relativsatz mit Prädikat (treten wird), Subjekt (eure Fußsohle), lokaler Bestimmung (darauf), Dativ (euch), Prädikat (wird sein); Grenzangaben mit vier Punkten (von der Wüste und dem Libanon, vom Strom Euphrat und bis zum westlichen Meer) und abschließendem Prädikat mit Subjekt (wird eure Grenze sein).</w:t>
      </w:r>
    </w:p>
    <w:p w14:paraId="705CDA62" w14:textId="77777777" w:rsidR="00266B37" w:rsidRDefault="00266B37" w:rsidP="00266B37">
      <w:pPr>
        <w:pStyle w:val="whitespace-normal"/>
      </w:pPr>
      <w:r>
        <w:t>Der Vers verheißt die maximale Ausdehnung des Landes: Überall, wo Israel seinen Fuß hinsetzt, wird ihm gehören, mit Grenzen von der Wüste im Süden bis zum Libanon im Norden und vom Euphrat im Osten bis zum Mittelmeer im Westen – das ideale Großreich.</w:t>
      </w:r>
    </w:p>
    <w:p w14:paraId="3532D0B9" w14:textId="77777777" w:rsidR="00266B37" w:rsidRPr="00266B37" w:rsidRDefault="00266B37" w:rsidP="00266B37">
      <w:pPr>
        <w:pStyle w:val="berschrift1"/>
        <w:rPr>
          <w:rFonts w:ascii="Times New Roman" w:hAnsi="Times New Roman"/>
          <w:color w:val="auto"/>
          <w:sz w:val="36"/>
          <w:szCs w:val="36"/>
        </w:rPr>
      </w:pPr>
      <w:r w:rsidRPr="00266B37">
        <w:rPr>
          <w:rStyle w:val="Fett"/>
          <w:rFonts w:ascii="Times New Roman" w:hAnsi="Times New Roman"/>
          <w:color w:val="auto"/>
          <w:sz w:val="36"/>
          <w:szCs w:val="36"/>
        </w:rPr>
        <w:t>Deuteronomium 11,25</w:t>
      </w:r>
    </w:p>
    <w:p w14:paraId="797E0B11" w14:textId="77777777" w:rsidR="00266B37" w:rsidRDefault="00266B37" w:rsidP="00266B37">
      <w:pPr>
        <w:pStyle w:val="whitespace-normal"/>
      </w:pPr>
      <w:r>
        <w:rPr>
          <w:rStyle w:val="Fett"/>
          <w:rFonts w:eastAsiaTheme="majorEastAsia"/>
        </w:rPr>
        <w:t>Hebräisch:</w:t>
      </w:r>
      <w:r>
        <w:t xml:space="preserve"> </w:t>
      </w:r>
      <w:r>
        <w:rPr>
          <w:rtl/>
        </w:rPr>
        <w:t>לֹא־יִתְיַצֵּ֥ב אִ֖ישׁ בִּפְנֵיכֶ֑ם פַּחְדְּכֶ֨ם וּמֽוֹרַאֲכֶ֜ם יִתֵּ֣ן׀ יְהוָ֣ה אֱלֹֽהֵיכֶ֗ם עַל־פְּנֵ֤י כָל־הָאָ֨רֶץ֙ אֲשֶׁ֣ר תִּדְרְכוּ־בָ֔הּ כַּאֲשֶׁ֖ר דִּבֶּ֥ר לָכֶֽם׃</w:t>
      </w:r>
    </w:p>
    <w:p w14:paraId="737B7E6A" w14:textId="77777777" w:rsidR="00266B37" w:rsidRDefault="00266B37" w:rsidP="00266B37">
      <w:pPr>
        <w:pStyle w:val="whitespace-normal"/>
      </w:pPr>
      <w:r>
        <w:rPr>
          <w:rStyle w:val="Fett"/>
          <w:rFonts w:eastAsiaTheme="majorEastAsia"/>
        </w:rPr>
        <w:t>Deutsch:</w:t>
      </w:r>
      <w:r>
        <w:t xml:space="preserve"> Niemand wird vor euch bestehen; euren Schrecken und eure Furcht wird der Ewige, euer Gott, auf das ganze Land legen, auf das ihr treten werdet, wie er zu euch geredet hat.</w:t>
      </w:r>
    </w:p>
    <w:p w14:paraId="63AD906E" w14:textId="77777777" w:rsidR="00266B37" w:rsidRDefault="004F5CEB" w:rsidP="00266B37">
      <w:r>
        <w:rPr>
          <w:noProof/>
        </w:rPr>
        <w:pict w14:anchorId="2C0D9DA4">
          <v:rect id="_x0000_i1365" style="width:0;height:1.5pt" o:hralign="center" o:hrstd="t" o:hr="t" fillcolor="#a0a0a0" stroked="f"/>
        </w:pict>
      </w:r>
    </w:p>
    <w:p w14:paraId="148AC9C5" w14:textId="77777777" w:rsidR="00266B37" w:rsidRDefault="00266B37" w:rsidP="00266B37">
      <w:pPr>
        <w:pStyle w:val="whitespace-normal"/>
      </w:pPr>
      <w:r>
        <w:rPr>
          <w:rStyle w:val="Fett"/>
          <w:rFonts w:eastAsiaTheme="majorEastAsia"/>
        </w:rPr>
        <w:t>Kommentar:</w:t>
      </w:r>
      <w:r>
        <w:t xml:space="preserve"> </w:t>
      </w:r>
      <w:r>
        <w:rPr>
          <w:rStyle w:val="Fett"/>
          <w:rFonts w:eastAsiaTheme="majorEastAsia"/>
          <w:rtl/>
        </w:rPr>
        <w:t>לֹא־יִתְיַצֵּב אִישׁ בִּפְנֵיכֶם</w:t>
      </w:r>
      <w:r>
        <w:rPr>
          <w:rtl/>
        </w:rPr>
        <w:t xml:space="preserve"> </w:t>
      </w:r>
      <w:r>
        <w:t xml:space="preserve">ist ein negativer Aussagesatz: </w:t>
      </w:r>
      <w:r>
        <w:rPr>
          <w:rStyle w:val="Fett"/>
          <w:rFonts w:eastAsiaTheme="majorEastAsia"/>
          <w:rtl/>
        </w:rPr>
        <w:t>לֹא</w:t>
      </w:r>
      <w:r>
        <w:rPr>
          <w:rtl/>
        </w:rPr>
        <w:t xml:space="preserve"> </w:t>
      </w:r>
      <w:r>
        <w:t xml:space="preserve">(Negation) mit </w:t>
      </w:r>
      <w:r>
        <w:rPr>
          <w:rStyle w:val="Fett"/>
          <w:rFonts w:eastAsiaTheme="majorEastAsia"/>
          <w:rtl/>
        </w:rPr>
        <w:t>יִתְיַצֵּב</w:t>
      </w:r>
      <w:r>
        <w:rPr>
          <w:rtl/>
        </w:rPr>
        <w:t xml:space="preserve"> </w:t>
      </w:r>
      <w:r>
        <w:t xml:space="preserve">(Hithpael Imperfekt, 3. Person Maskulinum Singular von </w:t>
      </w:r>
      <w:r>
        <w:rPr>
          <w:rStyle w:val="Fett"/>
          <w:rFonts w:eastAsiaTheme="majorEastAsia"/>
          <w:rtl/>
        </w:rPr>
        <w:t>יצב</w:t>
      </w:r>
      <w:r>
        <w:t xml:space="preserve">, „sich hinstellen, sich aufstellen, standhalten"), </w:t>
      </w:r>
      <w:r>
        <w:rPr>
          <w:rStyle w:val="Fett"/>
          <w:rFonts w:eastAsiaTheme="majorEastAsia"/>
          <w:rtl/>
        </w:rPr>
        <w:t>אִישׁ</w:t>
      </w:r>
      <w:r>
        <w:rPr>
          <w:rtl/>
        </w:rPr>
        <w:t xml:space="preserve"> </w:t>
      </w:r>
      <w:r>
        <w:t xml:space="preserve">(„Mann, Mensch, jemand") als Subjekt und </w:t>
      </w:r>
      <w:r>
        <w:rPr>
          <w:rStyle w:val="Fett"/>
          <w:rFonts w:eastAsiaTheme="majorEastAsia"/>
          <w:rtl/>
        </w:rPr>
        <w:t>בִּפְנֵיכֶם</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פָּנִים</w:t>
      </w:r>
      <w:r>
        <w:t xml:space="preserve">, „Gesicht, Angesicht", Plural im Construct mit Suffix 2. Person Maskulinum Plural, „vor euch") als lokale Bestimmung. Die Hithpael-Form von </w:t>
      </w:r>
      <w:r>
        <w:rPr>
          <w:rStyle w:val="Fett"/>
          <w:rFonts w:eastAsiaTheme="majorEastAsia"/>
          <w:rtl/>
        </w:rPr>
        <w:t>יצב</w:t>
      </w:r>
      <w:r>
        <w:rPr>
          <w:rtl/>
        </w:rPr>
        <w:t xml:space="preserve"> </w:t>
      </w:r>
      <w:r>
        <w:t xml:space="preserve">bedeutet „sich aufstellen, Widerstand leisten, standhalten". Die Wendung </w:t>
      </w:r>
      <w:r>
        <w:rPr>
          <w:rStyle w:val="Fett"/>
          <w:rFonts w:eastAsiaTheme="majorEastAsia"/>
          <w:rtl/>
        </w:rPr>
        <w:t>יתיצב בפני</w:t>
      </w:r>
      <w:r>
        <w:rPr>
          <w:rtl/>
        </w:rPr>
        <w:t xml:space="preserve"> </w:t>
      </w:r>
      <w:r>
        <w:t xml:space="preserve">bedeutet „vor jemandem bestehen, jemandem widerstehen". Das indefinite </w:t>
      </w:r>
      <w:r>
        <w:rPr>
          <w:rStyle w:val="Fett"/>
          <w:rFonts w:eastAsiaTheme="majorEastAsia"/>
          <w:rtl/>
        </w:rPr>
        <w:t>אִישׁ</w:t>
      </w:r>
      <w:r>
        <w:rPr>
          <w:rtl/>
        </w:rPr>
        <w:t xml:space="preserve"> </w:t>
      </w:r>
      <w:r>
        <w:t>mit Negation bedeutet „niemand".</w:t>
      </w:r>
    </w:p>
    <w:p w14:paraId="2B6B3D12" w14:textId="77777777" w:rsidR="00266B37" w:rsidRDefault="00266B37" w:rsidP="00266B37">
      <w:pPr>
        <w:pStyle w:val="whitespace-normal"/>
      </w:pPr>
      <w:r>
        <w:rPr>
          <w:rStyle w:val="Fett"/>
          <w:rFonts w:eastAsiaTheme="majorEastAsia"/>
          <w:rtl/>
        </w:rPr>
        <w:t>פַּחְדְּכֶם וּמוֹרַאֲכֶם יִתֵּן יְהוָה אֱלֹהֵיכֶם עַל־פְּנֵי כָל־הָאָרֶץ</w:t>
      </w:r>
      <w:r>
        <w:rPr>
          <w:rtl/>
        </w:rPr>
        <w:t xml:space="preserve"> </w:t>
      </w:r>
      <w:r>
        <w:t xml:space="preserve">ist der zweite Satz: </w:t>
      </w:r>
      <w:r>
        <w:rPr>
          <w:rStyle w:val="Fett"/>
          <w:rFonts w:eastAsiaTheme="majorEastAsia"/>
          <w:rtl/>
        </w:rPr>
        <w:t>פַּחְדְּכֶם וּמוֹרַאֲכֶם</w:t>
      </w:r>
      <w:r>
        <w:rPr>
          <w:rtl/>
        </w:rPr>
        <w:t xml:space="preserve"> </w:t>
      </w:r>
      <w:r>
        <w:t>(</w:t>
      </w:r>
      <w:r>
        <w:rPr>
          <w:rStyle w:val="Fett"/>
          <w:rFonts w:eastAsiaTheme="majorEastAsia"/>
          <w:rtl/>
        </w:rPr>
        <w:t>פַּחַד</w:t>
      </w:r>
      <w:r>
        <w:t xml:space="preserve">, „Schrecken, Furcht", mit Suffix 2. Person Maskulinum Plural, koordiniert durch </w:t>
      </w:r>
      <w:r>
        <w:rPr>
          <w:rStyle w:val="Fett"/>
          <w:rFonts w:eastAsiaTheme="majorEastAsia"/>
        </w:rPr>
        <w:t>Waw</w:t>
      </w:r>
      <w:r>
        <w:t xml:space="preserve"> mit </w:t>
      </w:r>
      <w:r>
        <w:rPr>
          <w:rStyle w:val="Fett"/>
          <w:rFonts w:eastAsiaTheme="majorEastAsia"/>
          <w:rtl/>
        </w:rPr>
        <w:t>מוֹרָא</w:t>
      </w:r>
      <w:r>
        <w:t xml:space="preserve">, „Furcht, Ehrfurcht", mit Suffix 2. Person Maskulinum Plural) als vorangestelltes direktes Objekt, </w:t>
      </w:r>
      <w:r>
        <w:rPr>
          <w:rStyle w:val="Fett"/>
          <w:rFonts w:eastAsiaTheme="majorEastAsia"/>
          <w:rtl/>
        </w:rPr>
        <w:t>יִתֵּן</w:t>
      </w:r>
      <w:r>
        <w:rPr>
          <w:rtl/>
        </w:rPr>
        <w:t xml:space="preserve"> </w:t>
      </w:r>
      <w:r>
        <w:t xml:space="preserve">(Qal Imperfekt, 3. Person Maskulinum Singular von </w:t>
      </w:r>
      <w:r>
        <w:rPr>
          <w:rStyle w:val="Fett"/>
          <w:rFonts w:eastAsiaTheme="majorEastAsia"/>
          <w:rtl/>
        </w:rPr>
        <w:t>נתן</w:t>
      </w:r>
      <w:r>
        <w:t xml:space="preserve">, „geben, legen"), </w:t>
      </w:r>
      <w:r>
        <w:rPr>
          <w:rStyle w:val="Fett"/>
          <w:rFonts w:eastAsiaTheme="majorEastAsia"/>
          <w:rtl/>
        </w:rPr>
        <w:t>יְהוָה אֱלֹהֵיכֶם</w:t>
      </w:r>
      <w:r>
        <w:rPr>
          <w:rtl/>
        </w:rPr>
        <w:t xml:space="preserve"> </w:t>
      </w:r>
      <w:r>
        <w:t xml:space="preserve">als Subjekt und </w:t>
      </w:r>
      <w:r>
        <w:rPr>
          <w:rStyle w:val="Fett"/>
          <w:rFonts w:eastAsiaTheme="majorEastAsia"/>
          <w:rtl/>
        </w:rPr>
        <w:t>עַל־פְּנֵי כָל־הָאָרֶץ</w:t>
      </w:r>
      <w:r>
        <w:rPr>
          <w:rtl/>
        </w:rPr>
        <w:t xml:space="preserve"> </w:t>
      </w:r>
      <w:r>
        <w:t xml:space="preserve">(Präposition </w:t>
      </w:r>
      <w:r>
        <w:rPr>
          <w:rStyle w:val="Fett"/>
          <w:rFonts w:eastAsiaTheme="majorEastAsia"/>
          <w:rtl/>
        </w:rPr>
        <w:t>עַל</w:t>
      </w:r>
      <w:r>
        <w:rPr>
          <w:rtl/>
        </w:rPr>
        <w:t xml:space="preserve"> </w:t>
      </w:r>
      <w:r>
        <w:t xml:space="preserve">mit </w:t>
      </w:r>
      <w:r>
        <w:rPr>
          <w:rStyle w:val="Fett"/>
          <w:rFonts w:eastAsiaTheme="majorEastAsia"/>
          <w:rtl/>
        </w:rPr>
        <w:t>פְּנֵי</w:t>
      </w:r>
      <w:r>
        <w:t xml:space="preserve">, „Gesicht, Oberfläche", Plural Construct, mit </w:t>
      </w:r>
      <w:r>
        <w:rPr>
          <w:rStyle w:val="Fett"/>
          <w:rFonts w:eastAsiaTheme="majorEastAsia"/>
          <w:rtl/>
        </w:rPr>
        <w:t>כָּל־הָאָרֶץ</w:t>
      </w:r>
      <w:r>
        <w:t xml:space="preserve">, „das ganze Land") als lokale Bestimmung. Die beiden Begriffe </w:t>
      </w:r>
      <w:r>
        <w:rPr>
          <w:rStyle w:val="Fett"/>
          <w:rFonts w:eastAsiaTheme="majorEastAsia"/>
          <w:rtl/>
        </w:rPr>
        <w:t>פַּחַד</w:t>
      </w:r>
      <w:r>
        <w:rPr>
          <w:rtl/>
        </w:rPr>
        <w:t xml:space="preserve"> </w:t>
      </w:r>
      <w:r>
        <w:t xml:space="preserve">und </w:t>
      </w:r>
      <w:r>
        <w:rPr>
          <w:rStyle w:val="Fett"/>
          <w:rFonts w:eastAsiaTheme="majorEastAsia"/>
          <w:rtl/>
        </w:rPr>
        <w:t>מוֹרָא</w:t>
      </w:r>
      <w:r>
        <w:rPr>
          <w:rtl/>
        </w:rPr>
        <w:t xml:space="preserve"> </w:t>
      </w:r>
      <w:r>
        <w:t>sind nahezu synonym und verstärken sich gegenseitig; beide bezeichnen den Schrecken oder die Furcht, die von Israel ausgeht und die Feinde lähmt. Die Voranstellung des Objekts betont, dass es Israels Schrecken ist (nicht Israels eigene Macht), den JHWH auf die Feinde legt.</w:t>
      </w:r>
    </w:p>
    <w:p w14:paraId="4C129F59" w14:textId="4022AE0F" w:rsidR="00266B37" w:rsidRDefault="00266B37" w:rsidP="00266B37">
      <w:pPr>
        <w:pStyle w:val="whitespace-normal"/>
      </w:pPr>
      <w:r>
        <w:rPr>
          <w:rStyle w:val="Fett"/>
          <w:rFonts w:eastAsiaTheme="majorEastAsia"/>
          <w:rtl/>
        </w:rPr>
        <w:t>אֲשֶׁר תִּדְרְכוּ־בָהּ</w:t>
      </w:r>
      <w:r>
        <w:rPr>
          <w:rtl/>
        </w:rPr>
        <w:t xml:space="preserve"> </w:t>
      </w:r>
      <w:r>
        <w:t xml:space="preserve">ist ein Relativsatz: </w:t>
      </w:r>
      <w:r>
        <w:rPr>
          <w:rStyle w:val="Fett"/>
          <w:rFonts w:eastAsiaTheme="majorEastAsia"/>
          <w:rtl/>
        </w:rPr>
        <w:t>אֲשֶׁר</w:t>
      </w:r>
      <w:r>
        <w:rPr>
          <w:rtl/>
        </w:rPr>
        <w:t xml:space="preserve"> </w:t>
      </w:r>
      <w:r>
        <w:t xml:space="preserve">(Relativpronomen) mit </w:t>
      </w:r>
      <w:r>
        <w:rPr>
          <w:rStyle w:val="Fett"/>
          <w:rFonts w:eastAsiaTheme="majorEastAsia"/>
          <w:rtl/>
        </w:rPr>
        <w:t>תִּדְרְכוּ</w:t>
      </w:r>
      <w:r>
        <w:rPr>
          <w:rtl/>
        </w:rPr>
        <w:t xml:space="preserve"> </w:t>
      </w:r>
      <w:r>
        <w:t xml:space="preserve">(Qal Imperfekt, 2. Person Maskulinum Plural von </w:t>
      </w:r>
      <w:r>
        <w:rPr>
          <w:rStyle w:val="Fett"/>
          <w:rFonts w:eastAsiaTheme="majorEastAsia"/>
          <w:rtl/>
        </w:rPr>
        <w:t>דרך</w:t>
      </w:r>
      <w:r>
        <w:t xml:space="preserve">, „treten, betreten") und </w:t>
      </w:r>
      <w:r>
        <w:rPr>
          <w:rStyle w:val="Fett"/>
          <w:rFonts w:eastAsiaTheme="majorEastAsia"/>
          <w:rtl/>
        </w:rPr>
        <w:t>בָהּ</w:t>
      </w:r>
      <w:r>
        <w:rPr>
          <w:rtl/>
        </w:rPr>
        <w:t xml:space="preserve"> </w:t>
      </w:r>
      <w:r>
        <w:t xml:space="preserve">(Präposition </w:t>
      </w:r>
      <w:r>
        <w:rPr>
          <w:rStyle w:val="Fett"/>
          <w:rFonts w:eastAsiaTheme="majorEastAsia"/>
          <w:rtl/>
        </w:rPr>
        <w:t>בְּ</w:t>
      </w:r>
      <w:r>
        <w:rPr>
          <w:rtl/>
        </w:rPr>
        <w:t xml:space="preserve"> </w:t>
      </w:r>
      <w:r>
        <w:t xml:space="preserve">mit Suffix 3. Person feminin Singular, rückverweisend auf </w:t>
      </w:r>
      <w:r>
        <w:rPr>
          <w:rStyle w:val="Fett"/>
          <w:rFonts w:eastAsiaTheme="majorEastAsia"/>
          <w:rtl/>
        </w:rPr>
        <w:t>הָאָרֶץ</w:t>
      </w:r>
      <w:r>
        <w:t xml:space="preserve">). </w:t>
      </w:r>
      <w:r>
        <w:rPr>
          <w:rStyle w:val="Fett"/>
          <w:rFonts w:eastAsiaTheme="majorEastAsia"/>
          <w:rtl/>
        </w:rPr>
        <w:t>כַּאֲשֶׁר דִּבֶּר לָכֶם</w:t>
      </w:r>
      <w:r>
        <w:rPr>
          <w:rtl/>
        </w:rPr>
        <w:t xml:space="preserve"> </w:t>
      </w:r>
      <w:r>
        <w:t xml:space="preserve">ist eine Vergleichs- oder </w:t>
      </w:r>
      <w:r>
        <w:lastRenderedPageBreak/>
        <w:t xml:space="preserve">Bestätigungsformel: </w:t>
      </w:r>
      <w:r>
        <w:rPr>
          <w:rStyle w:val="Fett"/>
          <w:rFonts w:eastAsiaTheme="majorEastAsia"/>
          <w:rtl/>
        </w:rPr>
        <w:t>כַּאֲשֶׁר</w:t>
      </w:r>
      <w:r>
        <w:rPr>
          <w:rtl/>
        </w:rPr>
        <w:t xml:space="preserve"> </w:t>
      </w:r>
      <w:r w:rsidR="00D84597">
        <w:t>(„wie, sowie“)</w:t>
      </w:r>
      <w:r>
        <w:t xml:space="preserve"> mit </w:t>
      </w:r>
      <w:r>
        <w:rPr>
          <w:rStyle w:val="Fett"/>
          <w:rFonts w:eastAsiaTheme="majorEastAsia"/>
          <w:rtl/>
        </w:rPr>
        <w:t>דִּבֶּר</w:t>
      </w:r>
      <w:r>
        <w:rPr>
          <w:rtl/>
        </w:rPr>
        <w:t xml:space="preserve"> </w:t>
      </w:r>
      <w:r>
        <w:t xml:space="preserve">(Piel Perfekt, 3. Person Maskulinum Singular von </w:t>
      </w:r>
      <w:r>
        <w:rPr>
          <w:rStyle w:val="Fett"/>
          <w:rFonts w:eastAsiaTheme="majorEastAsia"/>
          <w:rtl/>
        </w:rPr>
        <w:t>דבר</w:t>
      </w:r>
      <w:r>
        <w:t xml:space="preserve">, „reden, sprechen") und </w:t>
      </w:r>
      <w:r>
        <w:rPr>
          <w:rStyle w:val="Fett"/>
          <w:rFonts w:eastAsiaTheme="majorEastAsia"/>
          <w:rtl/>
        </w:rPr>
        <w:t>לָכֶם</w:t>
      </w:r>
      <w:r>
        <w:rPr>
          <w:rtl/>
        </w:rPr>
        <w:t xml:space="preserve"> </w:t>
      </w:r>
      <w:r>
        <w:t xml:space="preserve">(Präposition </w:t>
      </w:r>
      <w:r>
        <w:rPr>
          <w:rStyle w:val="Fett"/>
          <w:rFonts w:eastAsiaTheme="majorEastAsia"/>
          <w:rtl/>
        </w:rPr>
        <w:t>לְ</w:t>
      </w:r>
      <w:r>
        <w:rPr>
          <w:rtl/>
        </w:rPr>
        <w:t xml:space="preserve"> </w:t>
      </w:r>
      <w:r>
        <w:t>mit Suffix 2. Person Maskulinum Plural). Diese Formel verweist auf frühere göttliche Verheißungen (vgl. 2,25; Ex 23,27).</w:t>
      </w:r>
    </w:p>
    <w:p w14:paraId="017801F0" w14:textId="77777777" w:rsidR="00266B37" w:rsidRDefault="00266B37" w:rsidP="00266B37">
      <w:pPr>
        <w:pStyle w:val="whitespace-normal"/>
      </w:pPr>
      <w:r>
        <w:t>Die Syntax zeigt die militärische Dimension der Segensverheißung: Kein Feind wird Israel widerstehen können, weil JHWH selbst Schrecken vor Israel auf die Bewohner des Landes legt. Die beiden Sätze sind komplementär: Der erste negiert menschlichen Widerstand (</w:t>
      </w:r>
      <w:r>
        <w:rPr>
          <w:rStyle w:val="Fett"/>
          <w:rFonts w:eastAsiaTheme="majorEastAsia"/>
          <w:rtl/>
        </w:rPr>
        <w:t>לֹא־יִתְיַצֵּב אִישׁ</w:t>
      </w:r>
      <w:r>
        <w:t xml:space="preserve">), der zweite erklärt den Grund dafür (JHWH legt Schrecken auf). Die Doppelung </w:t>
      </w:r>
      <w:r>
        <w:rPr>
          <w:rStyle w:val="Fett"/>
          <w:rFonts w:eastAsiaTheme="majorEastAsia"/>
          <w:rtl/>
        </w:rPr>
        <w:t>פַּחְדְּכֶם וּמוֹרַאֲכֶם</w:t>
      </w:r>
      <w:r>
        <w:rPr>
          <w:rtl/>
        </w:rPr>
        <w:t xml:space="preserve"> </w:t>
      </w:r>
      <w:r>
        <w:t xml:space="preserve">intensiviert den psychologischen Effekt. Der Relativsatz </w:t>
      </w:r>
      <w:r>
        <w:rPr>
          <w:rStyle w:val="Fett"/>
          <w:rFonts w:eastAsiaTheme="majorEastAsia"/>
          <w:rtl/>
        </w:rPr>
        <w:t>אֲשֶׁר תִּדְרְכוּ־בָהּ</w:t>
      </w:r>
      <w:r>
        <w:rPr>
          <w:rtl/>
        </w:rPr>
        <w:t xml:space="preserve"> </w:t>
      </w:r>
      <w:r>
        <w:t xml:space="preserve">verbindet diesen Vers mit V. 24: Überall, wo Israel seinen Fuß hinsetzt, wird Schrecken vor ihm hergehen. Die abschließende Formel </w:t>
      </w:r>
      <w:r>
        <w:rPr>
          <w:rStyle w:val="Fett"/>
          <w:rFonts w:eastAsiaTheme="majorEastAsia"/>
          <w:rtl/>
        </w:rPr>
        <w:t>כַּאֲשֶׁר דִּבֶּר לָכֶם</w:t>
      </w:r>
      <w:r>
        <w:rPr>
          <w:rtl/>
        </w:rPr>
        <w:t xml:space="preserve"> </w:t>
      </w:r>
      <w:r>
        <w:t>legitimiert die Verheißung durch Verweis auf frühere göttliche Zusagen.</w:t>
      </w:r>
    </w:p>
    <w:p w14:paraId="73EEF72D" w14:textId="77777777" w:rsidR="00266B37" w:rsidRDefault="00266B37" w:rsidP="00266B37">
      <w:pPr>
        <w:pStyle w:val="whitespace-normal"/>
      </w:pPr>
      <w:r>
        <w:rPr>
          <w:rStyle w:val="Fett"/>
          <w:rFonts w:eastAsiaTheme="majorEastAsia"/>
        </w:rPr>
        <w:t>Die LXX</w:t>
      </w:r>
      <w:r>
        <w:t xml:space="preserve"> übersetzt „wird bestehen" mit „</w:t>
      </w:r>
      <w:proofErr w:type="spellStart"/>
      <w:r>
        <w:t>ἀντιστήσετ</w:t>
      </w:r>
      <w:proofErr w:type="spellEnd"/>
      <w:r>
        <w:t>αι", „euren Schrecken und eure Furcht" mit „</w:t>
      </w:r>
      <w:proofErr w:type="spellStart"/>
      <w:r>
        <w:t>τὸν</w:t>
      </w:r>
      <w:proofErr w:type="spellEnd"/>
      <w:r>
        <w:t xml:space="preserve"> </w:t>
      </w:r>
      <w:proofErr w:type="spellStart"/>
      <w:r>
        <w:t>τρόμον</w:t>
      </w:r>
      <w:proofErr w:type="spellEnd"/>
      <w:r>
        <w:t xml:space="preserve"> </w:t>
      </w:r>
      <w:proofErr w:type="spellStart"/>
      <w:r>
        <w:t>ὑμῶν</w:t>
      </w:r>
      <w:proofErr w:type="spellEnd"/>
      <w:r>
        <w:t xml:space="preserve"> καὶ </w:t>
      </w:r>
      <w:proofErr w:type="spellStart"/>
      <w:r>
        <w:t>τὸν</w:t>
      </w:r>
      <w:proofErr w:type="spellEnd"/>
      <w:r>
        <w:t xml:space="preserve"> </w:t>
      </w:r>
      <w:proofErr w:type="spellStart"/>
      <w:r>
        <w:t>φό</w:t>
      </w:r>
      <w:proofErr w:type="spellEnd"/>
      <w:r>
        <w:t xml:space="preserve">βον </w:t>
      </w:r>
      <w:proofErr w:type="spellStart"/>
      <w:r>
        <w:t>ὑμῶν</w:t>
      </w:r>
      <w:proofErr w:type="spellEnd"/>
      <w:r>
        <w:t>", „wird legen" mit „ἐπ</w:t>
      </w:r>
      <w:proofErr w:type="spellStart"/>
      <w:r>
        <w:t>ιθήσει</w:t>
      </w:r>
      <w:proofErr w:type="spellEnd"/>
      <w:r>
        <w:t>" und „wie er geredet hat" mit „</w:t>
      </w:r>
      <w:proofErr w:type="spellStart"/>
      <w:r>
        <w:t>ὃν</w:t>
      </w:r>
      <w:proofErr w:type="spellEnd"/>
      <w:r>
        <w:t xml:space="preserve"> </w:t>
      </w:r>
      <w:proofErr w:type="spellStart"/>
      <w:r>
        <w:t>τρό</w:t>
      </w:r>
      <w:proofErr w:type="spellEnd"/>
      <w:r>
        <w:t xml:space="preserve">πον </w:t>
      </w:r>
      <w:proofErr w:type="spellStart"/>
      <w:r>
        <w:t>ἐλάλησεν</w:t>
      </w:r>
      <w:proofErr w:type="spellEnd"/>
      <w:r>
        <w:t>".</w:t>
      </w:r>
    </w:p>
    <w:p w14:paraId="318D72E2" w14:textId="77777777" w:rsidR="00266B37" w:rsidRDefault="00266B37" w:rsidP="00266B37">
      <w:pPr>
        <w:pStyle w:val="whitespace-normal"/>
      </w:pPr>
      <w:r>
        <w:t>Die Satzstruktur besteht aus zwei Hauptsätzen mit Relativsatz und abschließender Formel: Erster Hauptsatz mit Negation, Prädikat und Subjekt (niemand wird bestehen), lokaler Bestimmung (vor euch); zweiter Hauptsatz mit vorangestelltem direktem Objekt (euren Schrecken und eure Furcht), Prädikat (wird legen), Subjekt (JHWH, euer Gott), lokaler Bestimmung (auf die Oberfläche des ganzen Landes), Relativsatz mit Prädikat und lokaler Bestimmung (auf das ihr treten werdet) und Bestätigungsformel (wie er zu euch geredet hat).</w:t>
      </w:r>
    </w:p>
    <w:p w14:paraId="1A7D1EF2" w14:textId="77777777" w:rsidR="00266B37" w:rsidRDefault="00266B37" w:rsidP="00266B37">
      <w:pPr>
        <w:pStyle w:val="whitespace-normal"/>
      </w:pPr>
      <w:r>
        <w:t>Der Vers verheißt militärische Unbesiegbarkeit: Kein Feind wird Israel widerstehen können, weil JHWH Schrecken vor Israel auf alle Bewohner des Landes legt – eine Erfüllung früherer göttlicher Zusagen.</w:t>
      </w:r>
    </w:p>
    <w:p w14:paraId="1CD5B715" w14:textId="77777777" w:rsidR="00266B37" w:rsidRPr="00266B37" w:rsidRDefault="00266B37" w:rsidP="00266B37">
      <w:pPr>
        <w:pStyle w:val="berschrift1"/>
        <w:rPr>
          <w:rFonts w:ascii="Times New Roman" w:hAnsi="Times New Roman"/>
          <w:color w:val="auto"/>
          <w:sz w:val="36"/>
          <w:szCs w:val="36"/>
        </w:rPr>
      </w:pPr>
      <w:r w:rsidRPr="00266B37">
        <w:rPr>
          <w:rStyle w:val="Fett"/>
          <w:rFonts w:ascii="Times New Roman" w:hAnsi="Times New Roman"/>
          <w:color w:val="auto"/>
          <w:sz w:val="36"/>
          <w:szCs w:val="36"/>
        </w:rPr>
        <w:t>Deuteronomium 11,26</w:t>
      </w:r>
    </w:p>
    <w:p w14:paraId="4DDD6856" w14:textId="77777777" w:rsidR="00266B37" w:rsidRDefault="00266B37" w:rsidP="00266B37">
      <w:pPr>
        <w:pStyle w:val="whitespace-normal"/>
      </w:pPr>
      <w:r>
        <w:rPr>
          <w:rStyle w:val="Fett"/>
          <w:rFonts w:eastAsiaTheme="majorEastAsia"/>
        </w:rPr>
        <w:t>Hebräisch:</w:t>
      </w:r>
      <w:r>
        <w:t xml:space="preserve"> </w:t>
      </w:r>
      <w:r>
        <w:rPr>
          <w:rtl/>
        </w:rPr>
        <w:t>רְאֵ֗ה אָנֹכִ֛י נֹתֵ֥ן לִפְנֵיכֶ֖ם הַיּ֑וֹם בְּרָכָ֖ה וּקְלָלָֽה׃</w:t>
      </w:r>
    </w:p>
    <w:p w14:paraId="41F87E90" w14:textId="77777777" w:rsidR="00266B37" w:rsidRDefault="00266B37" w:rsidP="00266B37">
      <w:pPr>
        <w:pStyle w:val="whitespace-normal"/>
      </w:pPr>
      <w:r>
        <w:rPr>
          <w:rStyle w:val="Fett"/>
          <w:rFonts w:eastAsiaTheme="majorEastAsia"/>
        </w:rPr>
        <w:t>Deutsch:</w:t>
      </w:r>
      <w:r>
        <w:t xml:space="preserve"> Siehe, ich lege euch heute Segen und Fluch vor:</w:t>
      </w:r>
    </w:p>
    <w:p w14:paraId="751C338D" w14:textId="77777777" w:rsidR="00266B37" w:rsidRDefault="004F5CEB" w:rsidP="00266B37">
      <w:r>
        <w:rPr>
          <w:noProof/>
        </w:rPr>
        <w:pict w14:anchorId="20F190C2">
          <v:rect id="_x0000_i1366" style="width:0;height:1.5pt" o:hralign="center" o:hrstd="t" o:hr="t" fillcolor="#a0a0a0" stroked="f"/>
        </w:pict>
      </w:r>
    </w:p>
    <w:p w14:paraId="55F28EE0" w14:textId="77777777" w:rsidR="00266B37" w:rsidRDefault="00266B37" w:rsidP="00266B37">
      <w:pPr>
        <w:pStyle w:val="whitespace-normal"/>
      </w:pPr>
      <w:r>
        <w:rPr>
          <w:rStyle w:val="Fett"/>
          <w:rFonts w:eastAsiaTheme="majorEastAsia"/>
        </w:rPr>
        <w:t>Kommentar:</w:t>
      </w:r>
      <w:r>
        <w:t xml:space="preserve"> </w:t>
      </w:r>
      <w:r>
        <w:rPr>
          <w:rStyle w:val="Fett"/>
          <w:rFonts w:eastAsiaTheme="majorEastAsia"/>
          <w:rtl/>
        </w:rPr>
        <w:t>רְאֵה אָנֹכִי נֹתֵן לִפְנֵיכֶם הַיּוֹם בְּרָכָה וּקְלָלָה</w:t>
      </w:r>
      <w:r>
        <w:rPr>
          <w:rtl/>
        </w:rPr>
        <w:t xml:space="preserve"> </w:t>
      </w:r>
      <w:r>
        <w:t xml:space="preserve">ist ein Aufmerksamkeitsruf mit nachfolgendem Hauptsatz: </w:t>
      </w:r>
      <w:r>
        <w:rPr>
          <w:rStyle w:val="Fett"/>
          <w:rFonts w:eastAsiaTheme="majorEastAsia"/>
          <w:rtl/>
        </w:rPr>
        <w:t>רְאֵה</w:t>
      </w:r>
      <w:r>
        <w:rPr>
          <w:rtl/>
        </w:rPr>
        <w:t xml:space="preserve"> </w:t>
      </w:r>
      <w:r>
        <w:t xml:space="preserve">(Qal Imperativ, 2. Person Maskulinum Singular von </w:t>
      </w:r>
      <w:r>
        <w:rPr>
          <w:rStyle w:val="Fett"/>
          <w:rFonts w:eastAsiaTheme="majorEastAsia"/>
          <w:rtl/>
        </w:rPr>
        <w:t>ראה</w:t>
      </w:r>
      <w:r>
        <w:t xml:space="preserve">, „sehen") als Interjektion („siehe!"), </w:t>
      </w:r>
      <w:r>
        <w:rPr>
          <w:rStyle w:val="Fett"/>
          <w:rFonts w:eastAsiaTheme="majorEastAsia"/>
          <w:rtl/>
        </w:rPr>
        <w:t>אָנֹכִי</w:t>
      </w:r>
      <w:r>
        <w:rPr>
          <w:rtl/>
        </w:rPr>
        <w:t xml:space="preserve"> </w:t>
      </w:r>
      <w:r>
        <w:t xml:space="preserve">(emphatisches Personalpronomen 1. Person Singular, „ich") als Subjekt, </w:t>
      </w:r>
      <w:r>
        <w:rPr>
          <w:rStyle w:val="Fett"/>
          <w:rFonts w:eastAsiaTheme="majorEastAsia"/>
          <w:rtl/>
        </w:rPr>
        <w:t>נֹתֵן</w:t>
      </w:r>
      <w:r>
        <w:rPr>
          <w:rtl/>
        </w:rPr>
        <w:t xml:space="preserve"> </w:t>
      </w:r>
      <w:r>
        <w:t xml:space="preserve">(Qal Partizip Maskulinum Singular von </w:t>
      </w:r>
      <w:r>
        <w:rPr>
          <w:rStyle w:val="Fett"/>
          <w:rFonts w:eastAsiaTheme="majorEastAsia"/>
          <w:rtl/>
        </w:rPr>
        <w:t>נתן</w:t>
      </w:r>
      <w:r>
        <w:t xml:space="preserve">, „geben, legen, vorlegen") als Prädikat, </w:t>
      </w:r>
      <w:r>
        <w:rPr>
          <w:rStyle w:val="Fett"/>
          <w:rFonts w:eastAsiaTheme="majorEastAsia"/>
          <w:rtl/>
        </w:rPr>
        <w:t>לִפְנֵיכֶם</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פָּנִים</w:t>
      </w:r>
      <w:r>
        <w:t xml:space="preserve">, „Gesicht, Angesicht", Plural im Construct mit Suffix 2. Person Maskulinum Plural, „vor euch") als lokale Bestimmung, </w:t>
      </w:r>
      <w:r>
        <w:rPr>
          <w:rStyle w:val="Fett"/>
          <w:rFonts w:eastAsiaTheme="majorEastAsia"/>
          <w:rtl/>
        </w:rPr>
        <w:t>הַיּוֹם</w:t>
      </w:r>
      <w:r>
        <w:rPr>
          <w:rtl/>
        </w:rPr>
        <w:t xml:space="preserve"> </w:t>
      </w:r>
      <w:r>
        <w:t xml:space="preserve">(„heute") als temporales Adverb und </w:t>
      </w:r>
      <w:r>
        <w:rPr>
          <w:rStyle w:val="Fett"/>
          <w:rFonts w:eastAsiaTheme="majorEastAsia"/>
          <w:rtl/>
        </w:rPr>
        <w:t>בְּרָכָה וּקְלָלָה</w:t>
      </w:r>
      <w:r>
        <w:rPr>
          <w:rtl/>
        </w:rPr>
        <w:t xml:space="preserve"> </w:t>
      </w:r>
      <w:r>
        <w:t>(</w:t>
      </w:r>
      <w:r>
        <w:rPr>
          <w:rStyle w:val="Fett"/>
          <w:rFonts w:eastAsiaTheme="majorEastAsia"/>
          <w:rtl/>
        </w:rPr>
        <w:t>בְּרָכָה</w:t>
      </w:r>
      <w:r>
        <w:t xml:space="preserve">, „Segen", koordiniert durch </w:t>
      </w:r>
      <w:r>
        <w:rPr>
          <w:rStyle w:val="Fett"/>
          <w:rFonts w:eastAsiaTheme="majorEastAsia"/>
        </w:rPr>
        <w:t>Waw</w:t>
      </w:r>
      <w:r>
        <w:t xml:space="preserve"> mit </w:t>
      </w:r>
      <w:r>
        <w:rPr>
          <w:rStyle w:val="Fett"/>
          <w:rFonts w:eastAsiaTheme="majorEastAsia"/>
          <w:rtl/>
        </w:rPr>
        <w:t>קְלָלָה</w:t>
      </w:r>
      <w:r>
        <w:t xml:space="preserve">, „Fluch") als direktes Objekt. Der Imperativ </w:t>
      </w:r>
      <w:r>
        <w:rPr>
          <w:rStyle w:val="Fett"/>
          <w:rFonts w:eastAsiaTheme="majorEastAsia"/>
          <w:rtl/>
        </w:rPr>
        <w:t>רְאֵה</w:t>
      </w:r>
      <w:r>
        <w:rPr>
          <w:rtl/>
        </w:rPr>
        <w:t xml:space="preserve"> </w:t>
      </w:r>
      <w:r>
        <w:t xml:space="preserve">im Singular ist eine rhetorische Anrede trotz des folgenden Plurals </w:t>
      </w:r>
      <w:r>
        <w:rPr>
          <w:rStyle w:val="Fett"/>
          <w:rFonts w:eastAsiaTheme="majorEastAsia"/>
          <w:rtl/>
        </w:rPr>
        <w:t>לִפְנֵיכֶם</w:t>
      </w:r>
      <w:r>
        <w:t xml:space="preserve">, eine stilistische Eigenart des Deuteronomiums, die die persönliche Verantwortung jedes Einzelnen betont. Das Partizip </w:t>
      </w:r>
      <w:r>
        <w:rPr>
          <w:rStyle w:val="Fett"/>
          <w:rFonts w:eastAsiaTheme="majorEastAsia"/>
          <w:rtl/>
        </w:rPr>
        <w:t>נֹתֵן</w:t>
      </w:r>
      <w:r>
        <w:rPr>
          <w:rtl/>
        </w:rPr>
        <w:t xml:space="preserve"> </w:t>
      </w:r>
      <w:r>
        <w:t>drückt die gegenwärtige, unmittelbare Handlung aus.</w:t>
      </w:r>
    </w:p>
    <w:p w14:paraId="555FFB85" w14:textId="77777777" w:rsidR="00266B37" w:rsidRDefault="00266B37" w:rsidP="00266B37">
      <w:pPr>
        <w:pStyle w:val="whitespace-normal"/>
      </w:pPr>
      <w:r>
        <w:lastRenderedPageBreak/>
        <w:t xml:space="preserve">Die Syntax zeigt einen dramatischen Wendepunkt in der Rede: Nach den ausführlichen Segensverheißungen (V. 13-25) wird nun die Alternative eingeführt. Die Doppelung </w:t>
      </w:r>
      <w:r>
        <w:rPr>
          <w:rStyle w:val="Fett"/>
          <w:rFonts w:eastAsiaTheme="majorEastAsia"/>
          <w:rtl/>
        </w:rPr>
        <w:t>בְּרָכָה וּקְלָלָה</w:t>
      </w:r>
      <w:r>
        <w:rPr>
          <w:rtl/>
        </w:rPr>
        <w:t xml:space="preserve"> </w:t>
      </w:r>
      <w:r>
        <w:t xml:space="preserve">stellt zwei gegensätzliche Möglichkeiten vor, die von Israels Entscheidung abhängen. Die Wendung </w:t>
      </w:r>
      <w:r>
        <w:rPr>
          <w:rStyle w:val="Fett"/>
          <w:rFonts w:eastAsiaTheme="majorEastAsia"/>
          <w:rtl/>
        </w:rPr>
        <w:t>נתן לפני</w:t>
      </w:r>
      <w:r>
        <w:rPr>
          <w:rtl/>
        </w:rPr>
        <w:t xml:space="preserve"> </w:t>
      </w:r>
      <w:r>
        <w:t xml:space="preserve">(„vor jemanden legen, vorlegen") drückt die Präsentation von Optionen aus, zwischen denen gewählt werden muss. Das emphatische </w:t>
      </w:r>
      <w:r>
        <w:rPr>
          <w:rStyle w:val="Fett"/>
          <w:rFonts w:eastAsiaTheme="majorEastAsia"/>
          <w:rtl/>
        </w:rPr>
        <w:t>אָנֹכִי</w:t>
      </w:r>
      <w:r>
        <w:rPr>
          <w:rtl/>
        </w:rPr>
        <w:t xml:space="preserve"> </w:t>
      </w:r>
      <w:r>
        <w:t xml:space="preserve">betont, dass Mose als Vermittler Gottes spricht. Das temporale Adverb </w:t>
      </w:r>
      <w:r>
        <w:rPr>
          <w:rStyle w:val="Fett"/>
          <w:rFonts w:eastAsiaTheme="majorEastAsia"/>
          <w:rtl/>
        </w:rPr>
        <w:t>הַיּוֹם</w:t>
      </w:r>
      <w:r>
        <w:rPr>
          <w:rtl/>
        </w:rPr>
        <w:t xml:space="preserve"> </w:t>
      </w:r>
      <w:r>
        <w:t xml:space="preserve">unterstreicht die Dringlichkeit und Aktualität der Entscheidung. Der Vers bildet einen programmatischen Auftakt zu den folgenden Versen (V. 27-28), die Segen und Fluch konkretisieren, und zur gesamten Perikope Deuteronomium 27-28, die Segen und Fluch ausführlich entfaltet. Der knappe, prägnante Stil (nur fünf Hebräische Wörter im Hauptsatz: </w:t>
      </w:r>
      <w:r>
        <w:rPr>
          <w:rStyle w:val="Fett"/>
          <w:rFonts w:eastAsiaTheme="majorEastAsia"/>
          <w:rtl/>
        </w:rPr>
        <w:t>אָנֹכִי נֹתֵן לִפְנֵיכֶם הַיּוֹם בְּרָכָה וּקְלָלָה</w:t>
      </w:r>
      <w:r>
        <w:t>) verleiht der Aussage besonderes Gewicht.</w:t>
      </w:r>
    </w:p>
    <w:p w14:paraId="5E40F67B" w14:textId="77777777" w:rsidR="00266B37" w:rsidRDefault="00266B37" w:rsidP="00266B37">
      <w:pPr>
        <w:pStyle w:val="whitespace-normal"/>
      </w:pPr>
      <w:r>
        <w:rPr>
          <w:rStyle w:val="Fett"/>
          <w:rFonts w:eastAsiaTheme="majorEastAsia"/>
        </w:rPr>
        <w:t>Die LXX</w:t>
      </w:r>
      <w:r>
        <w:t xml:space="preserve"> übersetzt „siehe" mit „</w:t>
      </w:r>
      <w:proofErr w:type="spellStart"/>
      <w:r>
        <w:t>ἰδοὺ</w:t>
      </w:r>
      <w:proofErr w:type="spellEnd"/>
      <w:r>
        <w:t>", „ich lege vor" mit „</w:t>
      </w:r>
      <w:proofErr w:type="spellStart"/>
      <w:r>
        <w:t>ἐγὼ</w:t>
      </w:r>
      <w:proofErr w:type="spellEnd"/>
      <w:r>
        <w:t xml:space="preserve"> </w:t>
      </w:r>
      <w:proofErr w:type="spellStart"/>
      <w:r>
        <w:t>δίδωμι</w:t>
      </w:r>
      <w:proofErr w:type="spellEnd"/>
      <w:r>
        <w:t xml:space="preserve"> </w:t>
      </w:r>
      <w:proofErr w:type="spellStart"/>
      <w:r>
        <w:t>ἐνώ</w:t>
      </w:r>
      <w:proofErr w:type="spellEnd"/>
      <w:r>
        <w:t xml:space="preserve">πιον </w:t>
      </w:r>
      <w:proofErr w:type="spellStart"/>
      <w:r>
        <w:t>ὑμῶν</w:t>
      </w:r>
      <w:proofErr w:type="spellEnd"/>
      <w:r>
        <w:t>" und „Segen und Fluch" mit „</w:t>
      </w:r>
      <w:proofErr w:type="spellStart"/>
      <w:r>
        <w:t>εὐλογί</w:t>
      </w:r>
      <w:proofErr w:type="spellEnd"/>
      <w:r>
        <w:t>αν καὶ κα</w:t>
      </w:r>
      <w:proofErr w:type="spellStart"/>
      <w:r>
        <w:t>τάρ</w:t>
      </w:r>
      <w:proofErr w:type="spellEnd"/>
      <w:r>
        <w:t>αν".</w:t>
      </w:r>
    </w:p>
    <w:p w14:paraId="7D3CAC5D" w14:textId="77777777" w:rsidR="00266B37" w:rsidRDefault="00266B37" w:rsidP="00266B37">
      <w:pPr>
        <w:pStyle w:val="whitespace-normal"/>
      </w:pPr>
      <w:r>
        <w:t>Die Satzstruktur besteht aus einem Aufmerksamkeitsruf und einem Hauptsatz: Imperativ als Interjektion (siehe), emphatisches Subjekt (ich), partizipiales Prädikat (lege vor), lokale Bestimmung (vor euch), temporales Adverb (heute) und zweigliedriges direktes Objekt (Segen und Fluch).</w:t>
      </w:r>
    </w:p>
    <w:p w14:paraId="1BAD6A44" w14:textId="77777777" w:rsidR="00266B37" w:rsidRDefault="00266B37" w:rsidP="00266B37">
      <w:pPr>
        <w:pStyle w:val="whitespace-normal"/>
      </w:pPr>
      <w:r>
        <w:t>Der Vers markiert einen entscheidenden Wendepunkt: Mose legt Israel die fundamentale Wahl zwischen Segen und Fluch vor – die Konsequenzen hängen von ihrer Entscheidung für oder gegen JHWH ab.</w:t>
      </w:r>
    </w:p>
    <w:p w14:paraId="66D27D8E" w14:textId="77777777" w:rsidR="00266B37" w:rsidRPr="00266B37" w:rsidRDefault="00266B37" w:rsidP="00266B37">
      <w:pPr>
        <w:pStyle w:val="berschrift1"/>
        <w:rPr>
          <w:rFonts w:ascii="Times New Roman" w:hAnsi="Times New Roman"/>
          <w:color w:val="auto"/>
          <w:sz w:val="36"/>
          <w:szCs w:val="36"/>
        </w:rPr>
      </w:pPr>
      <w:r w:rsidRPr="00266B37">
        <w:rPr>
          <w:rStyle w:val="Fett"/>
          <w:rFonts w:ascii="Times New Roman" w:hAnsi="Times New Roman"/>
          <w:color w:val="auto"/>
          <w:sz w:val="36"/>
          <w:szCs w:val="36"/>
        </w:rPr>
        <w:t>Deuteronomium 11,27</w:t>
      </w:r>
    </w:p>
    <w:p w14:paraId="34279C09" w14:textId="77777777" w:rsidR="00266B37" w:rsidRDefault="00266B37" w:rsidP="00266B37">
      <w:pPr>
        <w:pStyle w:val="whitespace-normal"/>
      </w:pPr>
      <w:r>
        <w:rPr>
          <w:rStyle w:val="Fett"/>
          <w:rFonts w:eastAsiaTheme="majorEastAsia"/>
        </w:rPr>
        <w:t>Hebräisch:</w:t>
      </w:r>
      <w:r>
        <w:t xml:space="preserve"> </w:t>
      </w:r>
      <w:r>
        <w:rPr>
          <w:rtl/>
        </w:rPr>
        <w:t>אֶֽת־הַבְּרָכָ֑ה אֲשֶׁ֣ר תִּשְׁמְע֗וּ אֶל־מִצְוֹת֙ יְהוָ֣ה אֱלֹֽהֵיכֶ֔ם אֲשֶׁ֧ר אָנֹכִ֛י מְצַוֶּ֥ה אֶתְכֶ֖ם הַיּֽוֹם׃</w:t>
      </w:r>
    </w:p>
    <w:p w14:paraId="6E99CAE0" w14:textId="77777777" w:rsidR="00266B37" w:rsidRDefault="00266B37" w:rsidP="00266B37">
      <w:pPr>
        <w:pStyle w:val="whitespace-normal"/>
      </w:pPr>
      <w:r>
        <w:rPr>
          <w:rStyle w:val="Fett"/>
          <w:rFonts w:eastAsiaTheme="majorEastAsia"/>
        </w:rPr>
        <w:t>Deutsch:</w:t>
      </w:r>
      <w:r>
        <w:t xml:space="preserve"> den Segen, wenn ihr den Geboten des Ewigen, eures Gottes, gehorcht, die ich euch heute gebiete;</w:t>
      </w:r>
    </w:p>
    <w:p w14:paraId="1D08E9C4" w14:textId="77777777" w:rsidR="00266B37" w:rsidRDefault="004F5CEB" w:rsidP="00266B37">
      <w:r>
        <w:rPr>
          <w:noProof/>
        </w:rPr>
        <w:pict w14:anchorId="6E4B2CCE">
          <v:rect id="_x0000_i1367" style="width:0;height:1.5pt" o:hralign="center" o:hrstd="t" o:hr="t" fillcolor="#a0a0a0" stroked="f"/>
        </w:pict>
      </w:r>
    </w:p>
    <w:p w14:paraId="79FCB760" w14:textId="77777777" w:rsidR="00266B37" w:rsidRDefault="00266B37" w:rsidP="00266B37">
      <w:pPr>
        <w:pStyle w:val="whitespace-normal"/>
      </w:pPr>
      <w:r>
        <w:rPr>
          <w:rStyle w:val="Fett"/>
          <w:rFonts w:eastAsiaTheme="majorEastAsia"/>
        </w:rPr>
        <w:t>Kommentar:</w:t>
      </w:r>
      <w:r>
        <w:t xml:space="preserve"> </w:t>
      </w:r>
      <w:r>
        <w:rPr>
          <w:rStyle w:val="Fett"/>
          <w:rFonts w:eastAsiaTheme="majorEastAsia"/>
          <w:rtl/>
        </w:rPr>
        <w:t>אֶת־הַבְּרָכָה</w:t>
      </w:r>
      <w:r>
        <w:rPr>
          <w:rtl/>
        </w:rPr>
        <w:t xml:space="preserve"> </w:t>
      </w:r>
      <w:r>
        <w:t xml:space="preserve">ist ein vorangestelltes direktes Objekt, das </w:t>
      </w:r>
      <w:r>
        <w:rPr>
          <w:rStyle w:val="Fett"/>
          <w:rFonts w:eastAsiaTheme="majorEastAsia"/>
          <w:rtl/>
        </w:rPr>
        <w:t>בְּרָכָה</w:t>
      </w:r>
      <w:r>
        <w:rPr>
          <w:rtl/>
        </w:rPr>
        <w:t xml:space="preserve"> </w:t>
      </w:r>
      <w:r>
        <w:t xml:space="preserve">aus V. 26 wieder aufnimmt: </w:t>
      </w:r>
      <w:r>
        <w:rPr>
          <w:rStyle w:val="Fett"/>
          <w:rFonts w:eastAsiaTheme="majorEastAsia"/>
          <w:rtl/>
        </w:rPr>
        <w:t>אֵת</w:t>
      </w:r>
      <w:r>
        <w:rPr>
          <w:rtl/>
        </w:rPr>
        <w:t xml:space="preserve"> </w:t>
      </w:r>
      <w:r>
        <w:t xml:space="preserve">(Objektpartikel) mit </w:t>
      </w:r>
      <w:r>
        <w:rPr>
          <w:rStyle w:val="Fett"/>
          <w:rFonts w:eastAsiaTheme="majorEastAsia"/>
          <w:rtl/>
        </w:rPr>
        <w:t>בְּרָכָה</w:t>
      </w:r>
      <w:r>
        <w:rPr>
          <w:rtl/>
        </w:rPr>
        <w:t xml:space="preserve"> </w:t>
      </w:r>
      <w:r>
        <w:t xml:space="preserve">(„Segen") mit Artikel. Die Voranstellung betont den Segen als erste Option. </w:t>
      </w:r>
      <w:r>
        <w:rPr>
          <w:rStyle w:val="Fett"/>
          <w:rFonts w:eastAsiaTheme="majorEastAsia"/>
          <w:rtl/>
        </w:rPr>
        <w:t>אֲשֶׁר תִּשְׁמְעוּ אֶל־מִצְוֹת יְהוָה אֱלֹהֵיכֶם</w:t>
      </w:r>
      <w:r>
        <w:rPr>
          <w:rtl/>
        </w:rPr>
        <w:t xml:space="preserve"> </w:t>
      </w:r>
      <w:r>
        <w:t xml:space="preserve">ist ein konditionaler Relativsatz: </w:t>
      </w:r>
      <w:r>
        <w:rPr>
          <w:rStyle w:val="Fett"/>
          <w:rFonts w:eastAsiaTheme="majorEastAsia"/>
          <w:rtl/>
        </w:rPr>
        <w:t>אֲשֶׁר</w:t>
      </w:r>
      <w:r>
        <w:rPr>
          <w:rtl/>
        </w:rPr>
        <w:t xml:space="preserve"> </w:t>
      </w:r>
      <w:r>
        <w:t xml:space="preserve">(Relativpronomen, hier in konditionaler Funktion, „wenn") mit </w:t>
      </w:r>
      <w:r>
        <w:rPr>
          <w:rStyle w:val="Fett"/>
          <w:rFonts w:eastAsiaTheme="majorEastAsia"/>
          <w:rtl/>
        </w:rPr>
        <w:t>תִּשְׁמְעוּ</w:t>
      </w:r>
      <w:r>
        <w:rPr>
          <w:rtl/>
        </w:rPr>
        <w:t xml:space="preserve"> </w:t>
      </w:r>
      <w:r>
        <w:t xml:space="preserve">(Qal Imperfekt, 2. Person Maskulinum Plural von </w:t>
      </w:r>
      <w:r>
        <w:rPr>
          <w:rStyle w:val="Fett"/>
          <w:rFonts w:eastAsiaTheme="majorEastAsia"/>
          <w:rtl/>
        </w:rPr>
        <w:t>שׁמע</w:t>
      </w:r>
      <w:r>
        <w:t xml:space="preserve">, „hören, gehorchen"), </w:t>
      </w:r>
      <w:r>
        <w:rPr>
          <w:rStyle w:val="Fett"/>
          <w:rFonts w:eastAsiaTheme="majorEastAsia"/>
          <w:rtl/>
        </w:rPr>
        <w:t>אֶל־מִצְוֹת יְהוָה אֱלֹהֵיכֶם</w:t>
      </w:r>
      <w:r>
        <w:rPr>
          <w:rtl/>
        </w:rPr>
        <w:t xml:space="preserve"> </w:t>
      </w:r>
      <w:r>
        <w:t xml:space="preserve">(Präposition </w:t>
      </w:r>
      <w:r>
        <w:rPr>
          <w:rStyle w:val="Fett"/>
          <w:rFonts w:eastAsiaTheme="majorEastAsia"/>
          <w:rtl/>
        </w:rPr>
        <w:t>אֶל</w:t>
      </w:r>
      <w:r>
        <w:t xml:space="preserve">, „zu, auf", mit </w:t>
      </w:r>
      <w:r>
        <w:rPr>
          <w:rStyle w:val="Fett"/>
          <w:rFonts w:eastAsiaTheme="majorEastAsia"/>
          <w:rtl/>
        </w:rPr>
        <w:t>מִצְוָה</w:t>
      </w:r>
      <w:r>
        <w:t xml:space="preserve">, „Gebot", Plural im Construct mit </w:t>
      </w:r>
      <w:r>
        <w:rPr>
          <w:rStyle w:val="Fett"/>
          <w:rFonts w:eastAsiaTheme="majorEastAsia"/>
          <w:rtl/>
        </w:rPr>
        <w:t>יְהוָה אֱלֹהֵיכֶם</w:t>
      </w:r>
      <w:r>
        <w:t xml:space="preserve">, Tetragramm und Apposition). Die Präposition </w:t>
      </w:r>
      <w:r>
        <w:rPr>
          <w:rStyle w:val="Fett"/>
          <w:rFonts w:eastAsiaTheme="majorEastAsia"/>
          <w:rtl/>
        </w:rPr>
        <w:t>אֶל</w:t>
      </w:r>
      <w:r>
        <w:rPr>
          <w:rtl/>
        </w:rPr>
        <w:t xml:space="preserve"> </w:t>
      </w:r>
      <w:r>
        <w:t xml:space="preserve">mit </w:t>
      </w:r>
      <w:r>
        <w:rPr>
          <w:rStyle w:val="Fett"/>
          <w:rFonts w:eastAsiaTheme="majorEastAsia"/>
          <w:rtl/>
        </w:rPr>
        <w:t>שׁמע</w:t>
      </w:r>
      <w:r>
        <w:rPr>
          <w:rtl/>
        </w:rPr>
        <w:t xml:space="preserve"> </w:t>
      </w:r>
      <w:r>
        <w:t>bedeutet „auf etwas hören, einer Sache gehorchen".</w:t>
      </w:r>
    </w:p>
    <w:p w14:paraId="6F13E066" w14:textId="77777777" w:rsidR="00266B37" w:rsidRDefault="00266B37" w:rsidP="00266B37">
      <w:pPr>
        <w:pStyle w:val="whitespace-normal"/>
      </w:pPr>
      <w:r>
        <w:rPr>
          <w:rStyle w:val="Fett"/>
          <w:rFonts w:eastAsiaTheme="majorEastAsia"/>
          <w:rtl/>
        </w:rPr>
        <w:t>אֲשֶׁר אָנֹכִי מְצַוֶּה אֶתְכֶם הַיּוֹם</w:t>
      </w:r>
      <w:r>
        <w:rPr>
          <w:rtl/>
        </w:rPr>
        <w:t xml:space="preserve"> </w:t>
      </w:r>
      <w:r>
        <w:t xml:space="preserve">ist ein zweiter Relativsatz, der </w:t>
      </w:r>
      <w:r>
        <w:rPr>
          <w:rStyle w:val="Fett"/>
          <w:rFonts w:eastAsiaTheme="majorEastAsia"/>
          <w:rtl/>
        </w:rPr>
        <w:t>מִצְוֹת</w:t>
      </w:r>
      <w:r>
        <w:rPr>
          <w:rtl/>
        </w:rPr>
        <w:t xml:space="preserve"> </w:t>
      </w:r>
      <w:r>
        <w:t xml:space="preserve">näher bestimmt: </w:t>
      </w:r>
      <w:r>
        <w:rPr>
          <w:rStyle w:val="Fett"/>
          <w:rFonts w:eastAsiaTheme="majorEastAsia"/>
          <w:rtl/>
        </w:rPr>
        <w:t>אֲשֶׁר</w:t>
      </w:r>
      <w:r>
        <w:rPr>
          <w:rtl/>
        </w:rPr>
        <w:t xml:space="preserve"> </w:t>
      </w:r>
      <w:r>
        <w:t xml:space="preserve">(Relativpronomen) mit </w:t>
      </w:r>
      <w:r>
        <w:rPr>
          <w:rStyle w:val="Fett"/>
          <w:rFonts w:eastAsiaTheme="majorEastAsia"/>
          <w:rtl/>
        </w:rPr>
        <w:t>אָנֹכִי</w:t>
      </w:r>
      <w:r>
        <w:rPr>
          <w:rtl/>
        </w:rPr>
        <w:t xml:space="preserve"> </w:t>
      </w:r>
      <w:r>
        <w:t xml:space="preserve">(emphatisches Personalpronomen 1. Person Singular) als Subjekt, </w:t>
      </w:r>
      <w:r>
        <w:rPr>
          <w:rStyle w:val="Fett"/>
          <w:rFonts w:eastAsiaTheme="majorEastAsia"/>
          <w:rtl/>
        </w:rPr>
        <w:t>מְצַוֶּה</w:t>
      </w:r>
      <w:r>
        <w:rPr>
          <w:rtl/>
        </w:rPr>
        <w:t xml:space="preserve"> </w:t>
      </w:r>
      <w:r>
        <w:t xml:space="preserve">(Piel Partizip Maskulinum Singular von </w:t>
      </w:r>
      <w:r>
        <w:rPr>
          <w:rStyle w:val="Fett"/>
          <w:rFonts w:eastAsiaTheme="majorEastAsia"/>
          <w:rtl/>
        </w:rPr>
        <w:t>צוה</w:t>
      </w:r>
      <w:r>
        <w:t xml:space="preserve">, „befehlen, gebieten") als Prädikat, </w:t>
      </w:r>
      <w:r>
        <w:rPr>
          <w:rStyle w:val="Fett"/>
          <w:rFonts w:eastAsiaTheme="majorEastAsia"/>
          <w:rtl/>
        </w:rPr>
        <w:t>אֶתְכֶם</w:t>
      </w:r>
      <w:r>
        <w:rPr>
          <w:rtl/>
        </w:rPr>
        <w:t xml:space="preserve"> </w:t>
      </w:r>
      <w:r>
        <w:t xml:space="preserve">(Objektpartikel </w:t>
      </w:r>
      <w:r>
        <w:rPr>
          <w:rStyle w:val="Fett"/>
          <w:rFonts w:eastAsiaTheme="majorEastAsia"/>
          <w:rtl/>
        </w:rPr>
        <w:t>אֵת</w:t>
      </w:r>
      <w:r>
        <w:rPr>
          <w:rtl/>
        </w:rPr>
        <w:t xml:space="preserve"> </w:t>
      </w:r>
      <w:r>
        <w:t xml:space="preserve">mit Suffix 2. Person Maskulinum Plural) als direktes Objekt und </w:t>
      </w:r>
      <w:r>
        <w:rPr>
          <w:rStyle w:val="Fett"/>
          <w:rFonts w:eastAsiaTheme="majorEastAsia"/>
          <w:rtl/>
        </w:rPr>
        <w:t>הַיּוֹם</w:t>
      </w:r>
      <w:r>
        <w:rPr>
          <w:rtl/>
        </w:rPr>
        <w:t xml:space="preserve"> </w:t>
      </w:r>
      <w:r>
        <w:t>(„heute") als temporales Adverb. Das Partizip betont die gegenwärtige Gültigkeit der Gebote.</w:t>
      </w:r>
    </w:p>
    <w:p w14:paraId="68949313" w14:textId="77777777" w:rsidR="00266B37" w:rsidRDefault="00266B37" w:rsidP="00266B37">
      <w:pPr>
        <w:pStyle w:val="whitespace-normal"/>
      </w:pPr>
      <w:r>
        <w:lastRenderedPageBreak/>
        <w:t>Die Syntax zeigt eine klare Bedingung für den Segen: Gehorsam gegenüber den Geboten JHWHs. Die Struktur ist unvollständig (ein sogenannter Nominalsatz ohne Verb), da das Prädikat aus V. 26 (</w:t>
      </w:r>
      <w:r>
        <w:rPr>
          <w:rStyle w:val="Fett"/>
          <w:rFonts w:eastAsiaTheme="majorEastAsia"/>
          <w:rtl/>
        </w:rPr>
        <w:t>נֹתֵן</w:t>
      </w:r>
      <w:r>
        <w:t>) zu ergänzen ist: „Den Segen (lege ich vor), wenn ihr gehorcht." Die doppelte Relativsatzkonstruktion (</w:t>
      </w:r>
      <w:r>
        <w:rPr>
          <w:rStyle w:val="Fett"/>
          <w:rFonts w:eastAsiaTheme="majorEastAsia"/>
          <w:rtl/>
        </w:rPr>
        <w:t>אֲשֶׁר תִּשְׁמְעוּ</w:t>
      </w:r>
      <w:r>
        <w:rPr>
          <w:rtl/>
        </w:rPr>
        <w:t xml:space="preserve"> </w:t>
      </w:r>
      <w:r>
        <w:t xml:space="preserve">... </w:t>
      </w:r>
      <w:r>
        <w:rPr>
          <w:rStyle w:val="Fett"/>
          <w:rFonts w:eastAsiaTheme="majorEastAsia"/>
          <w:rtl/>
        </w:rPr>
        <w:t>אֲשֶׁר אָנֹכִי מְצַוֶּה</w:t>
      </w:r>
      <w:r>
        <w:t xml:space="preserve">) verbindet die Bedingung (Gehorsam) mit der Autorität (Mose als Vermittler Gottes). Das emphatische </w:t>
      </w:r>
      <w:r>
        <w:rPr>
          <w:rStyle w:val="Fett"/>
          <w:rFonts w:eastAsiaTheme="majorEastAsia"/>
          <w:rtl/>
        </w:rPr>
        <w:t>אָנֹכִי</w:t>
      </w:r>
      <w:r>
        <w:rPr>
          <w:rtl/>
        </w:rPr>
        <w:t xml:space="preserve"> </w:t>
      </w:r>
      <w:r>
        <w:t xml:space="preserve">unterstreicht Moses Rolle. Das temporale Adverb </w:t>
      </w:r>
      <w:r>
        <w:rPr>
          <w:rStyle w:val="Fett"/>
          <w:rFonts w:eastAsiaTheme="majorEastAsia"/>
          <w:rtl/>
        </w:rPr>
        <w:t>הַיּוֹם</w:t>
      </w:r>
      <w:r>
        <w:rPr>
          <w:rtl/>
        </w:rPr>
        <w:t xml:space="preserve"> </w:t>
      </w:r>
      <w:r>
        <w:t>wiederholt das Wort aus V. 26 und betont die Aktualität. Der Vers antizipiert die ausführlicheren Segensformeln in Kapitel 28,1-14.</w:t>
      </w:r>
    </w:p>
    <w:p w14:paraId="26DB4101" w14:textId="77777777" w:rsidR="00266B37" w:rsidRDefault="00266B37" w:rsidP="00266B37">
      <w:pPr>
        <w:pStyle w:val="whitespace-normal"/>
      </w:pPr>
      <w:r>
        <w:rPr>
          <w:rStyle w:val="Fett"/>
          <w:rFonts w:eastAsiaTheme="majorEastAsia"/>
        </w:rPr>
        <w:t>Die LXX</w:t>
      </w:r>
      <w:r>
        <w:t xml:space="preserve"> übersetzt „den Segen, wenn" mit „τὴν </w:t>
      </w:r>
      <w:proofErr w:type="spellStart"/>
      <w:r>
        <w:t>εὐλογί</w:t>
      </w:r>
      <w:proofErr w:type="spellEnd"/>
      <w:r>
        <w:t xml:space="preserve">αν </w:t>
      </w:r>
      <w:proofErr w:type="spellStart"/>
      <w:r>
        <w:t>ἐὰν</w:t>
      </w:r>
      <w:proofErr w:type="spellEnd"/>
      <w:r>
        <w:t>", „gehorcht" mit „</w:t>
      </w:r>
      <w:proofErr w:type="spellStart"/>
      <w:r>
        <w:t>ἀκούσητε</w:t>
      </w:r>
      <w:proofErr w:type="spellEnd"/>
      <w:r>
        <w:t>" und „die ich gebiete" mit „</w:t>
      </w:r>
      <w:proofErr w:type="spellStart"/>
      <w:r>
        <w:t>ἃς</w:t>
      </w:r>
      <w:proofErr w:type="spellEnd"/>
      <w:r>
        <w:t xml:space="preserve"> </w:t>
      </w:r>
      <w:proofErr w:type="spellStart"/>
      <w:r>
        <w:t>ἐγὼ</w:t>
      </w:r>
      <w:proofErr w:type="spellEnd"/>
      <w:r>
        <w:t xml:space="preserve"> </w:t>
      </w:r>
      <w:proofErr w:type="spellStart"/>
      <w:r>
        <w:t>ἐντέλλομ</w:t>
      </w:r>
      <w:proofErr w:type="spellEnd"/>
      <w:r>
        <w:t>αι".</w:t>
      </w:r>
    </w:p>
    <w:p w14:paraId="44599BEE" w14:textId="77777777" w:rsidR="00266B37" w:rsidRDefault="00266B37" w:rsidP="00266B37">
      <w:pPr>
        <w:pStyle w:val="whitespace-normal"/>
      </w:pPr>
      <w:r>
        <w:t>Die Satzstruktur besteht aus einem vorangestellten direkten Objekt mit zwei Relativsätzen: Direktes Objekt (den Segen), erster konditionaler Relativsatz mit Prädikat (wenn ihr gehorcht) und präpositionalem Objekt (den Geboten JHWHs, eures Gottes); zweiter Relativsatz mit emphatischem Subjekt (ich), partizipialem Prädikat (gebiete), direktem Objekt (euch) und temporalem Adverb (heute).</w:t>
      </w:r>
    </w:p>
    <w:p w14:paraId="3CBFC7C3" w14:textId="77777777" w:rsidR="00266B37" w:rsidRDefault="00266B37" w:rsidP="00266B37">
      <w:pPr>
        <w:pStyle w:val="whitespace-normal"/>
      </w:pPr>
      <w:r>
        <w:t>Der Vers definiert die Bedingung für den Segen: Gehorsam gegenüber den Geboten JHWHs, die Mose heute verkündet – eine klare Bundesbedingung.</w:t>
      </w:r>
    </w:p>
    <w:p w14:paraId="245F5690" w14:textId="77777777" w:rsidR="00266B37" w:rsidRPr="00266B37" w:rsidRDefault="00266B37" w:rsidP="00266B37">
      <w:pPr>
        <w:pStyle w:val="berschrift1"/>
        <w:rPr>
          <w:rFonts w:ascii="Times New Roman" w:hAnsi="Times New Roman"/>
          <w:color w:val="auto"/>
          <w:sz w:val="36"/>
          <w:szCs w:val="36"/>
        </w:rPr>
      </w:pPr>
      <w:r w:rsidRPr="00266B37">
        <w:rPr>
          <w:rStyle w:val="Fett"/>
          <w:rFonts w:ascii="Times New Roman" w:hAnsi="Times New Roman"/>
          <w:color w:val="auto"/>
          <w:sz w:val="36"/>
          <w:szCs w:val="36"/>
        </w:rPr>
        <w:t>Deuteronomium 11,28</w:t>
      </w:r>
    </w:p>
    <w:p w14:paraId="78889A2A" w14:textId="77777777" w:rsidR="00266B37" w:rsidRDefault="00266B37" w:rsidP="00266B37">
      <w:pPr>
        <w:pStyle w:val="whitespace-normal"/>
      </w:pPr>
      <w:r>
        <w:rPr>
          <w:rStyle w:val="Fett"/>
          <w:rFonts w:eastAsiaTheme="majorEastAsia"/>
        </w:rPr>
        <w:t>Hebräisch:</w:t>
      </w:r>
      <w:r>
        <w:t xml:space="preserve"> </w:t>
      </w:r>
      <w:r>
        <w:rPr>
          <w:rtl/>
        </w:rPr>
        <w:t>וְהַקְּלָלָ֗ה אִם־לֹ֤א תִשְׁמְעוּ֙ אֶל־מִצְוֹת֙ יְהוָ֣ה אֱלֹֽהֵיכֶ֔ם וְסַרְתֶּ֣ם מִן־הַדֶּ֔רֶךְ אֲשֶׁ֧ר אָנֹכִ֛י מְצַוֶּ֥ה אֶתְכֶ֖ם הַיּ֑וֹם לָלֶ֗כֶת אַחֲרֵ֛י אֱלֹהִ֥ים אֲחֵרִ֖ים אֲשֶׁ֥ר לֹֽא־יְדַעְתֶּֽם׃</w:t>
      </w:r>
    </w:p>
    <w:p w14:paraId="2B8F44E1" w14:textId="77777777" w:rsidR="00266B37" w:rsidRDefault="00266B37" w:rsidP="00266B37">
      <w:pPr>
        <w:pStyle w:val="whitespace-normal"/>
      </w:pPr>
      <w:r>
        <w:rPr>
          <w:rStyle w:val="Fett"/>
          <w:rFonts w:eastAsiaTheme="majorEastAsia"/>
        </w:rPr>
        <w:t>Deutsch:</w:t>
      </w:r>
      <w:r>
        <w:t xml:space="preserve"> und den Fluch, wenn ihr den Geboten des Ewigen, eures Gottes, nicht gehorcht und von dem Weg abweicht, den ich euch heute gebiete, um anderen Göttern nachzugehen, die ihr nicht kennt.</w:t>
      </w:r>
    </w:p>
    <w:p w14:paraId="32523CE3" w14:textId="77777777" w:rsidR="00266B37" w:rsidRDefault="004F5CEB" w:rsidP="00266B37">
      <w:r>
        <w:rPr>
          <w:noProof/>
        </w:rPr>
        <w:pict w14:anchorId="5502BBDE">
          <v:rect id="_x0000_i1368" style="width:0;height:1.5pt" o:hralign="center" o:hrstd="t" o:hr="t" fillcolor="#a0a0a0" stroked="f"/>
        </w:pict>
      </w:r>
    </w:p>
    <w:p w14:paraId="17F69F71" w14:textId="77777777" w:rsidR="00266B37" w:rsidRDefault="00266B37" w:rsidP="00266B37">
      <w:pPr>
        <w:pStyle w:val="whitespace-normal"/>
      </w:pPr>
      <w:r>
        <w:rPr>
          <w:rStyle w:val="Fett"/>
          <w:rFonts w:eastAsiaTheme="majorEastAsia"/>
        </w:rPr>
        <w:t>Kommentar:</w:t>
      </w:r>
      <w:r>
        <w:t xml:space="preserve"> </w:t>
      </w:r>
      <w:r>
        <w:rPr>
          <w:rStyle w:val="Fett"/>
          <w:rFonts w:eastAsiaTheme="majorEastAsia"/>
          <w:rtl/>
        </w:rPr>
        <w:t>וְהַקְּלָלָה</w:t>
      </w:r>
      <w:r>
        <w:rPr>
          <w:rtl/>
        </w:rPr>
        <w:t xml:space="preserve"> </w:t>
      </w:r>
      <w:r>
        <w:t xml:space="preserve">ist das vorangestellte direkte Objekt, parallel zu V. 27: </w:t>
      </w:r>
      <w:r>
        <w:rPr>
          <w:rStyle w:val="Fett"/>
          <w:rFonts w:eastAsiaTheme="majorEastAsia"/>
          <w:rtl/>
        </w:rPr>
        <w:t>וְ</w:t>
      </w:r>
      <w:r>
        <w:rPr>
          <w:rtl/>
        </w:rPr>
        <w:t xml:space="preserve"> </w:t>
      </w:r>
      <w:r>
        <w:t xml:space="preserve">(koordinierendes </w:t>
      </w:r>
      <w:r>
        <w:rPr>
          <w:rStyle w:val="Fett"/>
          <w:rFonts w:eastAsiaTheme="majorEastAsia"/>
        </w:rPr>
        <w:t>Waw</w:t>
      </w:r>
      <w:r>
        <w:t xml:space="preserve">) mit </w:t>
      </w:r>
      <w:r>
        <w:rPr>
          <w:rStyle w:val="Fett"/>
          <w:rFonts w:eastAsiaTheme="majorEastAsia"/>
          <w:rtl/>
        </w:rPr>
        <w:t>הַקְּלָלָה</w:t>
      </w:r>
      <w:r>
        <w:rPr>
          <w:rtl/>
        </w:rPr>
        <w:t xml:space="preserve"> </w:t>
      </w:r>
      <w:r>
        <w:t>(</w:t>
      </w:r>
      <w:r>
        <w:rPr>
          <w:rStyle w:val="Fett"/>
          <w:rFonts w:eastAsiaTheme="majorEastAsia"/>
          <w:rtl/>
        </w:rPr>
        <w:t>קְלָלָה</w:t>
      </w:r>
      <w:r>
        <w:t xml:space="preserve">, „Fluch", mit Artikel). Die Voranstellung entspricht der Struktur von V. 27 und betont nun die negative Alternative. </w:t>
      </w:r>
      <w:r>
        <w:rPr>
          <w:rStyle w:val="Fett"/>
          <w:rFonts w:eastAsiaTheme="majorEastAsia"/>
          <w:rtl/>
        </w:rPr>
        <w:t>אִם־לֹא תִשְׁמְעוּ אֶל־מִצְוֹת יְהוָה אֱלֹהֵיכֶם</w:t>
      </w:r>
      <w:r>
        <w:rPr>
          <w:rtl/>
        </w:rPr>
        <w:t xml:space="preserve"> </w:t>
      </w:r>
      <w:r>
        <w:t xml:space="preserve">ist ein negativer konditionaler Satz: </w:t>
      </w:r>
      <w:r>
        <w:rPr>
          <w:rStyle w:val="Fett"/>
          <w:rFonts w:eastAsiaTheme="majorEastAsia"/>
          <w:rtl/>
        </w:rPr>
        <w:t>אִם־לֹא</w:t>
      </w:r>
      <w:r>
        <w:rPr>
          <w:rtl/>
        </w:rPr>
        <w:t xml:space="preserve"> </w:t>
      </w:r>
      <w:r>
        <w:t xml:space="preserve">(„wenn nicht") als negative konditionale Konjunktion, </w:t>
      </w:r>
      <w:r>
        <w:rPr>
          <w:rStyle w:val="Fett"/>
          <w:rFonts w:eastAsiaTheme="majorEastAsia"/>
          <w:rtl/>
        </w:rPr>
        <w:t>תִשְׁמְעוּ</w:t>
      </w:r>
      <w:r>
        <w:rPr>
          <w:rtl/>
        </w:rPr>
        <w:t xml:space="preserve"> </w:t>
      </w:r>
      <w:r>
        <w:t xml:space="preserve">(Qal Imperfekt, 2. Person Maskulinum Plural von </w:t>
      </w:r>
      <w:r>
        <w:rPr>
          <w:rStyle w:val="Fett"/>
          <w:rFonts w:eastAsiaTheme="majorEastAsia"/>
          <w:rtl/>
        </w:rPr>
        <w:t>שׁמע</w:t>
      </w:r>
      <w:r>
        <w:t xml:space="preserve">, „hören, gehorchen"), </w:t>
      </w:r>
      <w:r>
        <w:rPr>
          <w:rStyle w:val="Fett"/>
          <w:rFonts w:eastAsiaTheme="majorEastAsia"/>
          <w:rtl/>
        </w:rPr>
        <w:t>אֶל־מִצְוֹת יְהוָה אֱלֹהֵיכֶם</w:t>
      </w:r>
      <w:r>
        <w:rPr>
          <w:rtl/>
        </w:rPr>
        <w:t xml:space="preserve"> </w:t>
      </w:r>
      <w:r>
        <w:t xml:space="preserve">(Präposition </w:t>
      </w:r>
      <w:r>
        <w:rPr>
          <w:rStyle w:val="Fett"/>
          <w:rFonts w:eastAsiaTheme="majorEastAsia"/>
          <w:rtl/>
        </w:rPr>
        <w:t>אֶל</w:t>
      </w:r>
      <w:r>
        <w:rPr>
          <w:rtl/>
        </w:rPr>
        <w:t xml:space="preserve"> </w:t>
      </w:r>
      <w:r>
        <w:t xml:space="preserve">mit </w:t>
      </w:r>
      <w:r>
        <w:rPr>
          <w:rStyle w:val="Fett"/>
          <w:rFonts w:eastAsiaTheme="majorEastAsia"/>
          <w:rtl/>
        </w:rPr>
        <w:t>מִצְוָה</w:t>
      </w:r>
      <w:r>
        <w:t xml:space="preserve">, Plural im Construct mit </w:t>
      </w:r>
      <w:r>
        <w:rPr>
          <w:rStyle w:val="Fett"/>
          <w:rFonts w:eastAsiaTheme="majorEastAsia"/>
          <w:rtl/>
        </w:rPr>
        <w:t>יְהוָה אֱלֹהֵיכֶם</w:t>
      </w:r>
      <w:r>
        <w:t xml:space="preserve">). Die Struktur ist identisch mit V. 27, jedoch durch die Negation </w:t>
      </w:r>
      <w:r>
        <w:rPr>
          <w:rStyle w:val="Fett"/>
          <w:rFonts w:eastAsiaTheme="majorEastAsia"/>
          <w:rtl/>
        </w:rPr>
        <w:t>לֹא</w:t>
      </w:r>
      <w:r>
        <w:rPr>
          <w:rtl/>
        </w:rPr>
        <w:t xml:space="preserve"> </w:t>
      </w:r>
      <w:r>
        <w:t>umgekehrt.</w:t>
      </w:r>
    </w:p>
    <w:p w14:paraId="6B4F76C2" w14:textId="77777777" w:rsidR="00266B37" w:rsidRDefault="00266B37" w:rsidP="00266B37">
      <w:pPr>
        <w:pStyle w:val="whitespace-normal"/>
      </w:pPr>
      <w:r>
        <w:rPr>
          <w:rStyle w:val="Fett"/>
          <w:rFonts w:eastAsiaTheme="majorEastAsia"/>
          <w:rtl/>
        </w:rPr>
        <w:t>וְסַרְתֶּם מִן־הַדֶּרֶךְ</w:t>
      </w:r>
      <w:r>
        <w:rPr>
          <w:rtl/>
        </w:rPr>
        <w:t xml:space="preserve"> </w:t>
      </w:r>
      <w:r>
        <w:t xml:space="preserve">ist ein koordinierter Satz, der die negative Bedingung konkretisiert: </w:t>
      </w:r>
      <w:r>
        <w:rPr>
          <w:rStyle w:val="Fett"/>
          <w:rFonts w:eastAsiaTheme="majorEastAsia"/>
          <w:rtl/>
        </w:rPr>
        <w:t>וְסַרְתֶּם</w:t>
      </w:r>
      <w:r>
        <w:rPr>
          <w:rtl/>
        </w:rPr>
        <w:t xml:space="preserve"> </w:t>
      </w:r>
      <w:r>
        <w:t xml:space="preserve">(Qal Perfekt, 2. Person Maskulinum Plural von </w:t>
      </w:r>
      <w:r>
        <w:rPr>
          <w:rStyle w:val="Fett"/>
          <w:rFonts w:eastAsiaTheme="majorEastAsia"/>
          <w:rtl/>
        </w:rPr>
        <w:t>סור</w:t>
      </w:r>
      <w:r>
        <w:t xml:space="preserve">, „abweichen, sich abwenden", mit </w:t>
      </w:r>
      <w:r>
        <w:rPr>
          <w:rStyle w:val="Fett"/>
          <w:rFonts w:eastAsiaTheme="majorEastAsia"/>
        </w:rPr>
        <w:t>Waw</w:t>
      </w:r>
      <w:r>
        <w:t xml:space="preserve"> als consecutives Perfekt), </w:t>
      </w:r>
      <w:r>
        <w:rPr>
          <w:rStyle w:val="Fett"/>
          <w:rFonts w:eastAsiaTheme="majorEastAsia"/>
          <w:rtl/>
        </w:rPr>
        <w:t>מִן־הַדֶּרֶךְ</w:t>
      </w:r>
      <w:r>
        <w:rPr>
          <w:rtl/>
        </w:rPr>
        <w:t xml:space="preserve"> </w:t>
      </w:r>
      <w:r>
        <w:t xml:space="preserve">(Präposition </w:t>
      </w:r>
      <w:r>
        <w:rPr>
          <w:rStyle w:val="Fett"/>
          <w:rFonts w:eastAsiaTheme="majorEastAsia"/>
          <w:rtl/>
        </w:rPr>
        <w:t>מִן</w:t>
      </w:r>
      <w:r>
        <w:t xml:space="preserve">, „von", mit </w:t>
      </w:r>
      <w:r>
        <w:rPr>
          <w:rStyle w:val="Fett"/>
          <w:rFonts w:eastAsiaTheme="majorEastAsia"/>
          <w:rtl/>
        </w:rPr>
        <w:t>דֶּרֶךְ</w:t>
      </w:r>
      <w:r>
        <w:t xml:space="preserve">, „Weg", mit Artikel). Die Wendung </w:t>
      </w:r>
      <w:r>
        <w:rPr>
          <w:rStyle w:val="Fett"/>
          <w:rFonts w:eastAsiaTheme="majorEastAsia"/>
          <w:rtl/>
        </w:rPr>
        <w:t>סור מן הדרך</w:t>
      </w:r>
      <w:r>
        <w:rPr>
          <w:rtl/>
        </w:rPr>
        <w:t xml:space="preserve"> </w:t>
      </w:r>
      <w:r>
        <w:t xml:space="preserve">(„vom Weg abweichen") bezeichnet Abfall und Untreue. </w:t>
      </w:r>
      <w:r>
        <w:rPr>
          <w:rStyle w:val="Fett"/>
          <w:rFonts w:eastAsiaTheme="majorEastAsia"/>
          <w:rtl/>
        </w:rPr>
        <w:t>אֲשֶׁר אָנֹכִי מְצַוֶּה אֶתְכֶם הַיּוֹם</w:t>
      </w:r>
      <w:r>
        <w:rPr>
          <w:rtl/>
        </w:rPr>
        <w:t xml:space="preserve"> </w:t>
      </w:r>
      <w:r>
        <w:t xml:space="preserve">ist ein Relativsatz: </w:t>
      </w:r>
      <w:r>
        <w:rPr>
          <w:rStyle w:val="Fett"/>
          <w:rFonts w:eastAsiaTheme="majorEastAsia"/>
          <w:rtl/>
        </w:rPr>
        <w:t>אֲשֶׁר</w:t>
      </w:r>
      <w:r>
        <w:rPr>
          <w:rtl/>
        </w:rPr>
        <w:t xml:space="preserve"> </w:t>
      </w:r>
      <w:r>
        <w:t xml:space="preserve">(Relativpronomen) mit </w:t>
      </w:r>
      <w:r>
        <w:rPr>
          <w:rStyle w:val="Fett"/>
          <w:rFonts w:eastAsiaTheme="majorEastAsia"/>
          <w:rtl/>
        </w:rPr>
        <w:t>אָנֹכִי</w:t>
      </w:r>
      <w:r>
        <w:rPr>
          <w:rtl/>
        </w:rPr>
        <w:t xml:space="preserve"> </w:t>
      </w:r>
      <w:r>
        <w:t xml:space="preserve">(emphatisches Personalpronomen 1. Person Singular) als Subjekt, </w:t>
      </w:r>
      <w:r>
        <w:rPr>
          <w:rStyle w:val="Fett"/>
          <w:rFonts w:eastAsiaTheme="majorEastAsia"/>
          <w:rtl/>
        </w:rPr>
        <w:t>מְצַוֶּה</w:t>
      </w:r>
      <w:r>
        <w:rPr>
          <w:rtl/>
        </w:rPr>
        <w:t xml:space="preserve"> </w:t>
      </w:r>
      <w:r>
        <w:t xml:space="preserve">(Piel Partizip Maskulinum Singular </w:t>
      </w:r>
      <w:r>
        <w:lastRenderedPageBreak/>
        <w:t xml:space="preserve">von </w:t>
      </w:r>
      <w:r>
        <w:rPr>
          <w:rStyle w:val="Fett"/>
          <w:rFonts w:eastAsiaTheme="majorEastAsia"/>
          <w:rtl/>
        </w:rPr>
        <w:t>צוה</w:t>
      </w:r>
      <w:r>
        <w:t xml:space="preserve">) als Prädikat, </w:t>
      </w:r>
      <w:r>
        <w:rPr>
          <w:rStyle w:val="Fett"/>
          <w:rFonts w:eastAsiaTheme="majorEastAsia"/>
          <w:rtl/>
        </w:rPr>
        <w:t>אֶתְכֶם</w:t>
      </w:r>
      <w:r>
        <w:rPr>
          <w:rtl/>
        </w:rPr>
        <w:t xml:space="preserve"> </w:t>
      </w:r>
      <w:r>
        <w:t xml:space="preserve">(Objektpartikel </w:t>
      </w:r>
      <w:r>
        <w:rPr>
          <w:rStyle w:val="Fett"/>
          <w:rFonts w:eastAsiaTheme="majorEastAsia"/>
          <w:rtl/>
        </w:rPr>
        <w:t>אֵת</w:t>
      </w:r>
      <w:r>
        <w:rPr>
          <w:rtl/>
        </w:rPr>
        <w:t xml:space="preserve"> </w:t>
      </w:r>
      <w:r>
        <w:t xml:space="preserve">mit Suffix 2. Person Maskulinum Plural) als direktes Objekt und </w:t>
      </w:r>
      <w:r>
        <w:rPr>
          <w:rStyle w:val="Fett"/>
          <w:rFonts w:eastAsiaTheme="majorEastAsia"/>
          <w:rtl/>
        </w:rPr>
        <w:t>הַיּוֹם</w:t>
      </w:r>
      <w:r>
        <w:rPr>
          <w:rtl/>
        </w:rPr>
        <w:t xml:space="preserve"> </w:t>
      </w:r>
      <w:r>
        <w:t>als temporales Adverb. Die Formulierung ist identisch mit V. 27.</w:t>
      </w:r>
    </w:p>
    <w:p w14:paraId="628BDFF8" w14:textId="77777777" w:rsidR="00266B37" w:rsidRDefault="00266B37" w:rsidP="00266B37">
      <w:pPr>
        <w:pStyle w:val="whitespace-normal"/>
      </w:pPr>
      <w:r>
        <w:rPr>
          <w:rStyle w:val="Fett"/>
          <w:rFonts w:eastAsiaTheme="majorEastAsia"/>
          <w:rtl/>
        </w:rPr>
        <w:t>לָלֶכֶת אַחֲרֵי אֱלֹהִים אֲחֵרִים</w:t>
      </w:r>
      <w:r>
        <w:rPr>
          <w:rtl/>
        </w:rPr>
        <w:t xml:space="preserve"> </w:t>
      </w:r>
      <w:r>
        <w:t xml:space="preserve">ist eine finale Bestimmung, die das Abweichen konkretisiert: </w:t>
      </w:r>
      <w:r>
        <w:rPr>
          <w:rStyle w:val="Fett"/>
          <w:rFonts w:eastAsiaTheme="majorEastAsia"/>
          <w:rtl/>
        </w:rPr>
        <w:t>לְ</w:t>
      </w:r>
      <w:r>
        <w:rPr>
          <w:rtl/>
        </w:rPr>
        <w:t xml:space="preserve"> </w:t>
      </w:r>
      <w:r>
        <w:t xml:space="preserve">mit </w:t>
      </w:r>
      <w:r>
        <w:rPr>
          <w:rStyle w:val="Fett"/>
          <w:rFonts w:eastAsiaTheme="majorEastAsia"/>
          <w:rtl/>
        </w:rPr>
        <w:t>הָלַךְ</w:t>
      </w:r>
      <w:r>
        <w:rPr>
          <w:rtl/>
        </w:rPr>
        <w:t xml:space="preserve"> </w:t>
      </w:r>
      <w:r>
        <w:t xml:space="preserve">(Qal Infinitiv Construct von </w:t>
      </w:r>
      <w:r>
        <w:rPr>
          <w:rStyle w:val="Fett"/>
          <w:rFonts w:eastAsiaTheme="majorEastAsia"/>
          <w:rtl/>
        </w:rPr>
        <w:t>הלך</w:t>
      </w:r>
      <w:r>
        <w:t xml:space="preserve">, „gehen, wandeln"), </w:t>
      </w:r>
      <w:r>
        <w:rPr>
          <w:rStyle w:val="Fett"/>
          <w:rFonts w:eastAsiaTheme="majorEastAsia"/>
          <w:rtl/>
        </w:rPr>
        <w:t>אַחֲרֵי</w:t>
      </w:r>
      <w:r>
        <w:rPr>
          <w:rtl/>
        </w:rPr>
        <w:t xml:space="preserve"> </w:t>
      </w:r>
      <w:r>
        <w:t xml:space="preserve">(Präposition, „hinter, nach") mit </w:t>
      </w:r>
      <w:r>
        <w:rPr>
          <w:rStyle w:val="Fett"/>
          <w:rFonts w:eastAsiaTheme="majorEastAsia"/>
          <w:rtl/>
        </w:rPr>
        <w:t>אֱלֹהִים אֲחֵרִים</w:t>
      </w:r>
      <w:r>
        <w:rPr>
          <w:rtl/>
        </w:rPr>
        <w:t xml:space="preserve"> </w:t>
      </w:r>
      <w:r>
        <w:t xml:space="preserve">(Plural von </w:t>
      </w:r>
      <w:r>
        <w:rPr>
          <w:rStyle w:val="Fett"/>
          <w:rFonts w:eastAsiaTheme="majorEastAsia"/>
          <w:rtl/>
        </w:rPr>
        <w:t>אֱלֹהִים</w:t>
      </w:r>
      <w:r>
        <w:t xml:space="preserve">, „Götter", mit Adjektiv </w:t>
      </w:r>
      <w:r>
        <w:rPr>
          <w:rStyle w:val="Fett"/>
          <w:rFonts w:eastAsiaTheme="majorEastAsia"/>
          <w:rtl/>
        </w:rPr>
        <w:t>אַחֵר</w:t>
      </w:r>
      <w:r>
        <w:t xml:space="preserve">, „andere", Plural). Die Wendung </w:t>
      </w:r>
      <w:r>
        <w:rPr>
          <w:rStyle w:val="Fett"/>
          <w:rFonts w:eastAsiaTheme="majorEastAsia"/>
          <w:rtl/>
        </w:rPr>
        <w:t>הלך אחרי אלהים אחרים</w:t>
      </w:r>
      <w:r>
        <w:rPr>
          <w:rtl/>
        </w:rPr>
        <w:t xml:space="preserve"> </w:t>
      </w:r>
      <w:r>
        <w:t xml:space="preserve">(„anderen Göttern nachgehen") ist die deuteronomische Standardformulierung für Götzendienst und Bundesbruch. </w:t>
      </w:r>
      <w:r>
        <w:rPr>
          <w:rStyle w:val="Fett"/>
          <w:rFonts w:eastAsiaTheme="majorEastAsia"/>
          <w:rtl/>
        </w:rPr>
        <w:t>אֲשֶׁר לֹא־יְדַעְתֶּם</w:t>
      </w:r>
      <w:r>
        <w:rPr>
          <w:rtl/>
        </w:rPr>
        <w:t xml:space="preserve"> </w:t>
      </w:r>
      <w:r>
        <w:t xml:space="preserve">ist ein zweiter Relativsatz: </w:t>
      </w:r>
      <w:r>
        <w:rPr>
          <w:rStyle w:val="Fett"/>
          <w:rFonts w:eastAsiaTheme="majorEastAsia"/>
          <w:rtl/>
        </w:rPr>
        <w:t>אֲשֶׁר</w:t>
      </w:r>
      <w:r>
        <w:rPr>
          <w:rtl/>
        </w:rPr>
        <w:t xml:space="preserve"> </w:t>
      </w:r>
      <w:r>
        <w:t xml:space="preserve">mit </w:t>
      </w:r>
      <w:r>
        <w:rPr>
          <w:rStyle w:val="Fett"/>
          <w:rFonts w:eastAsiaTheme="majorEastAsia"/>
          <w:rtl/>
        </w:rPr>
        <w:t>לֹא־יְדַעְתֶּם</w:t>
      </w:r>
      <w:r>
        <w:rPr>
          <w:rtl/>
        </w:rPr>
        <w:t xml:space="preserve"> </w:t>
      </w:r>
      <w:r>
        <w:t xml:space="preserve">(Qal Perfekt, 2. Person Maskulinum Plural von </w:t>
      </w:r>
      <w:r>
        <w:rPr>
          <w:rStyle w:val="Fett"/>
          <w:rFonts w:eastAsiaTheme="majorEastAsia"/>
          <w:rtl/>
        </w:rPr>
        <w:t>ידע</w:t>
      </w:r>
      <w:r>
        <w:t xml:space="preserve">, „wissen, kennen", negiert). Die Wendung </w:t>
      </w:r>
      <w:r>
        <w:rPr>
          <w:rStyle w:val="Fett"/>
          <w:rFonts w:eastAsiaTheme="majorEastAsia"/>
          <w:rtl/>
        </w:rPr>
        <w:t>אֲשֶׁר לֹא־יְדַעְתֶּם</w:t>
      </w:r>
      <w:r>
        <w:rPr>
          <w:rtl/>
        </w:rPr>
        <w:t xml:space="preserve"> </w:t>
      </w:r>
      <w:r>
        <w:t>betont die Fremdheit und Illegitimität dieser Götter: Israel hat keine Bundesbeziehung zu ihnen, im Gegensatz zu JHWH, den sie kennen (vgl. 13,3.7.14; 28,64; 29,25).</w:t>
      </w:r>
    </w:p>
    <w:p w14:paraId="2B1C11B9" w14:textId="6138061D" w:rsidR="00266B37" w:rsidRDefault="00266B37" w:rsidP="00266B37">
      <w:pPr>
        <w:pStyle w:val="whitespace-normal"/>
      </w:pPr>
      <w:r>
        <w:t xml:space="preserve">Die Syntax zeigt eine doppelte Bedingung für den Fluch: (1) Ungehorsam gegenüber JHWHs Geboten und (2) Abweichen vom Weg, konkretisiert als Götzendienst. Die Struktur ist komplexer als V. 27, da die negative Bedingung ausführlicher dargestellt wird. Die Formulierung </w:t>
      </w:r>
      <w:r>
        <w:rPr>
          <w:rStyle w:val="Fett"/>
          <w:rFonts w:eastAsiaTheme="majorEastAsia"/>
          <w:rtl/>
        </w:rPr>
        <w:t>וְסַרְתֶּם מִן־הַדֶּרֶךְ</w:t>
      </w:r>
      <w:r>
        <w:rPr>
          <w:rtl/>
        </w:rPr>
        <w:t xml:space="preserve"> </w:t>
      </w:r>
      <w:r>
        <w:t xml:space="preserve">... </w:t>
      </w:r>
      <w:r>
        <w:rPr>
          <w:rStyle w:val="Fett"/>
          <w:rFonts w:eastAsiaTheme="majorEastAsia"/>
          <w:rtl/>
        </w:rPr>
        <w:t>לָלֶכֶת אַחֲרֵי אֱלֹהִים אֲחֵרִים</w:t>
      </w:r>
      <w:r>
        <w:rPr>
          <w:rtl/>
        </w:rPr>
        <w:t xml:space="preserve"> </w:t>
      </w:r>
      <w:r>
        <w:t>zeigt, dass das Abweichen vom Weg JHWHs konkret den Götzendienst meint. Das consecutive</w:t>
      </w:r>
      <w:r w:rsidR="007E2044">
        <w:t>s</w:t>
      </w:r>
      <w:r>
        <w:t xml:space="preserve"> Perfekt </w:t>
      </w:r>
      <w:r>
        <w:rPr>
          <w:rStyle w:val="Fett"/>
          <w:rFonts w:eastAsiaTheme="majorEastAsia"/>
          <w:rtl/>
        </w:rPr>
        <w:t>וְסַרְתֶּם</w:t>
      </w:r>
      <w:r>
        <w:rPr>
          <w:rtl/>
        </w:rPr>
        <w:t xml:space="preserve"> </w:t>
      </w:r>
      <w:r>
        <w:t xml:space="preserve">drückt die Folge des Ungehorsams aus. Die Charakterisierung der fremden Götter als </w:t>
      </w:r>
      <w:r>
        <w:rPr>
          <w:rStyle w:val="Fett"/>
          <w:rFonts w:eastAsiaTheme="majorEastAsia"/>
          <w:rtl/>
        </w:rPr>
        <w:t>אֲשֶׁר לֹא־יְדַעְתֶּם</w:t>
      </w:r>
      <w:r>
        <w:rPr>
          <w:rtl/>
        </w:rPr>
        <w:t xml:space="preserve"> </w:t>
      </w:r>
      <w:r>
        <w:t>unterstreicht ihre Illegitimität und kontrastiert mit der Bundesbeziehung zu JHWH, die auf Kennen und Erkennen basiert.</w:t>
      </w:r>
    </w:p>
    <w:p w14:paraId="6EE0BDDF" w14:textId="77777777" w:rsidR="00266B37" w:rsidRDefault="00266B37" w:rsidP="00266B37">
      <w:pPr>
        <w:pStyle w:val="whitespace-normal"/>
      </w:pPr>
      <w:r>
        <w:rPr>
          <w:rStyle w:val="Fett"/>
          <w:rFonts w:eastAsiaTheme="majorEastAsia"/>
        </w:rPr>
        <w:t>Die LXX</w:t>
      </w:r>
      <w:r>
        <w:t xml:space="preserve"> übersetzt „den Fluch, wenn nicht" mit „καὶ τὴν κα</w:t>
      </w:r>
      <w:proofErr w:type="spellStart"/>
      <w:r>
        <w:t>τάρ</w:t>
      </w:r>
      <w:proofErr w:type="spellEnd"/>
      <w:r>
        <w:t xml:space="preserve">αν </w:t>
      </w:r>
      <w:proofErr w:type="spellStart"/>
      <w:r>
        <w:t>ἐὰν</w:t>
      </w:r>
      <w:proofErr w:type="spellEnd"/>
      <w:r>
        <w:t xml:space="preserve"> </w:t>
      </w:r>
      <w:proofErr w:type="spellStart"/>
      <w:r>
        <w:t>μὴ</w:t>
      </w:r>
      <w:proofErr w:type="spellEnd"/>
      <w:r>
        <w:t>", „abweicht" mit „</w:t>
      </w:r>
      <w:proofErr w:type="spellStart"/>
      <w:r>
        <w:t>ἐκκλίνητε</w:t>
      </w:r>
      <w:proofErr w:type="spellEnd"/>
      <w:r>
        <w:t>", „anderen Göttern nachzugehen" mit „π</w:t>
      </w:r>
      <w:proofErr w:type="spellStart"/>
      <w:r>
        <w:t>ορεύεσθ</w:t>
      </w:r>
      <w:proofErr w:type="spellEnd"/>
      <w:r>
        <w:t>αι ὀπ</w:t>
      </w:r>
      <w:proofErr w:type="spellStart"/>
      <w:r>
        <w:t>ίσω</w:t>
      </w:r>
      <w:proofErr w:type="spellEnd"/>
      <w:r>
        <w:t xml:space="preserve"> </w:t>
      </w:r>
      <w:proofErr w:type="spellStart"/>
      <w:r>
        <w:t>θεῶν</w:t>
      </w:r>
      <w:proofErr w:type="spellEnd"/>
      <w:r>
        <w:t xml:space="preserve"> </w:t>
      </w:r>
      <w:proofErr w:type="spellStart"/>
      <w:r>
        <w:t>ἑτέρων</w:t>
      </w:r>
      <w:proofErr w:type="spellEnd"/>
      <w:r>
        <w:t>" und „die ihr nicht kennt" mit „</w:t>
      </w:r>
      <w:proofErr w:type="spellStart"/>
      <w:r>
        <w:t>ὧν</w:t>
      </w:r>
      <w:proofErr w:type="spellEnd"/>
      <w:r>
        <w:t xml:space="preserve"> </w:t>
      </w:r>
      <w:proofErr w:type="spellStart"/>
      <w:r>
        <w:t>οὐκ</w:t>
      </w:r>
      <w:proofErr w:type="spellEnd"/>
      <w:r>
        <w:t xml:space="preserve"> </w:t>
      </w:r>
      <w:proofErr w:type="spellStart"/>
      <w:r>
        <w:t>οἴδ</w:t>
      </w:r>
      <w:proofErr w:type="spellEnd"/>
      <w:r>
        <w:t>ατε".</w:t>
      </w:r>
    </w:p>
    <w:p w14:paraId="3EE101C8" w14:textId="77777777" w:rsidR="00266B37" w:rsidRDefault="00266B37" w:rsidP="00266B37">
      <w:pPr>
        <w:pStyle w:val="whitespace-normal"/>
      </w:pPr>
      <w:r>
        <w:t>Die Satzstruktur besteht aus einem vorangestellten direkten Objekt mit negativer konditionaler Bedingung, koordiniertem Folgesatz und zwei Relativsätzen: Direktes Objekt (den Fluch), negative konditionale Bedingung (wenn ihr nicht gehorcht den Geboten JHWHs, eures Gottes), koordinierter Folgesatz mit Prädikat (abweicht), Herkunftsangabe (von dem Weg), erster Relativsatz mit emphatischem Subjekt (ich), partizipialem Prädikat (gebiete), direktem Objekt (euch) und temporalem Adverb (heute); finale Bestimmung mit Infinitiv (nachzugehen) und Objekt (anderen Göttern), zweiter Relativsatz mit negiertem Prädikat (die ihr nicht kennt).</w:t>
      </w:r>
    </w:p>
    <w:p w14:paraId="590E338A" w14:textId="77777777" w:rsidR="00266B37" w:rsidRDefault="00266B37" w:rsidP="00266B37">
      <w:pPr>
        <w:pStyle w:val="whitespace-normal"/>
      </w:pPr>
      <w:r>
        <w:t>Der Vers definiert die Bedingung für den Fluch: Ungehorsam gegenüber JHWHs Geboten und Götzendienst – das Gegenteil der Segensverheißung und ein klarer Bundesbruch.</w:t>
      </w:r>
    </w:p>
    <w:p w14:paraId="10DC25D4" w14:textId="77777777" w:rsidR="00266B37" w:rsidRPr="00266B37" w:rsidRDefault="00266B37" w:rsidP="00266B37">
      <w:pPr>
        <w:pStyle w:val="berschrift1"/>
        <w:rPr>
          <w:rFonts w:ascii="Times New Roman" w:hAnsi="Times New Roman"/>
          <w:color w:val="auto"/>
          <w:sz w:val="36"/>
          <w:szCs w:val="36"/>
        </w:rPr>
      </w:pPr>
      <w:r w:rsidRPr="00266B37">
        <w:rPr>
          <w:rStyle w:val="Fett"/>
          <w:rFonts w:ascii="Times New Roman" w:hAnsi="Times New Roman"/>
          <w:color w:val="auto"/>
          <w:sz w:val="36"/>
          <w:szCs w:val="36"/>
        </w:rPr>
        <w:t>Deuteronomium 11,29</w:t>
      </w:r>
    </w:p>
    <w:p w14:paraId="68A3F0AF" w14:textId="77777777" w:rsidR="00266B37" w:rsidRDefault="00266B37" w:rsidP="00266B37">
      <w:pPr>
        <w:pStyle w:val="whitespace-normal"/>
      </w:pPr>
      <w:r>
        <w:rPr>
          <w:rStyle w:val="Fett"/>
          <w:rFonts w:eastAsiaTheme="majorEastAsia"/>
        </w:rPr>
        <w:t>Hebräisch:</w:t>
      </w:r>
      <w:r>
        <w:t xml:space="preserve"> </w:t>
      </w:r>
      <w:r>
        <w:rPr>
          <w:rtl/>
        </w:rPr>
        <w:t>וְהָיָ֗ה כִּ֤י יְבִֽיאֲךָ֙ יְהוָ֣ה אֱלֹהֶ֔יךָ אֶל־הָאָ֕רֶץ אֲשֶׁר־אַתָּ֥ה בָא־שָׁ֖מָּה לְרִשְׁתָּ֑הּ וְנָתַתָּ֤ה אֶת־הַבְּרָכָה֙ עַל־הַ֣ר גְּרִזִ֔ים וְאֶת־הַקְּלָלָ֖ה עַל־הַ֥ר עֵיבָֽל׃</w:t>
      </w:r>
    </w:p>
    <w:p w14:paraId="74554C07" w14:textId="77777777" w:rsidR="00266B37" w:rsidRDefault="00266B37" w:rsidP="00266B37">
      <w:pPr>
        <w:pStyle w:val="whitespace-normal"/>
      </w:pPr>
      <w:r>
        <w:rPr>
          <w:rStyle w:val="Fett"/>
          <w:rFonts w:eastAsiaTheme="majorEastAsia"/>
        </w:rPr>
        <w:t>Deutsch:</w:t>
      </w:r>
      <w:r>
        <w:t xml:space="preserve"> Und es soll geschehen, wenn der Ewige, dein Gott, dich in das Land bringt, wohin du kommst, um es in Besitz zu nehmen, so sollst du den Segen erteilen auf dem Berg Gerisim und den Fluch auf dem Berg Ebal.</w:t>
      </w:r>
    </w:p>
    <w:p w14:paraId="07529C50" w14:textId="77777777" w:rsidR="00266B37" w:rsidRDefault="004F5CEB" w:rsidP="00266B37">
      <w:r>
        <w:rPr>
          <w:noProof/>
        </w:rPr>
        <w:lastRenderedPageBreak/>
        <w:pict w14:anchorId="64EE162D">
          <v:rect id="_x0000_i1369" style="width:0;height:1.5pt" o:hralign="center" o:hrstd="t" o:hr="t" fillcolor="#a0a0a0" stroked="f"/>
        </w:pict>
      </w:r>
    </w:p>
    <w:p w14:paraId="07434E9B" w14:textId="77777777" w:rsidR="00266B37" w:rsidRDefault="00266B37" w:rsidP="00266B37">
      <w:pPr>
        <w:pStyle w:val="whitespace-normal"/>
      </w:pPr>
      <w:r>
        <w:rPr>
          <w:rStyle w:val="Fett"/>
          <w:rFonts w:eastAsiaTheme="majorEastAsia"/>
        </w:rPr>
        <w:t>Kommentar:</w:t>
      </w:r>
      <w:r>
        <w:t xml:space="preserve"> </w:t>
      </w:r>
      <w:r>
        <w:rPr>
          <w:rStyle w:val="Fett"/>
          <w:rFonts w:eastAsiaTheme="majorEastAsia"/>
          <w:rtl/>
        </w:rPr>
        <w:t>וְהָיָה כִּי יְבִיאֲךָ יְהוָה אֱלֹהֶיךָ אֶל־הָאָרֶץ</w:t>
      </w:r>
      <w:r>
        <w:rPr>
          <w:rtl/>
        </w:rPr>
        <w:t xml:space="preserve"> </w:t>
      </w:r>
      <w:r>
        <w:t xml:space="preserve">ist eine konditional-temporale Einleitung: </w:t>
      </w:r>
      <w:r>
        <w:rPr>
          <w:rStyle w:val="Fett"/>
          <w:rFonts w:eastAsiaTheme="majorEastAsia"/>
          <w:rtl/>
        </w:rPr>
        <w:t>וְהָיָה</w:t>
      </w:r>
      <w:r>
        <w:rPr>
          <w:rtl/>
        </w:rPr>
        <w:t xml:space="preserve"> </w:t>
      </w:r>
      <w:r>
        <w:t xml:space="preserve">(Qal Perfekt, 3. Person Maskulinum Singular von </w:t>
      </w:r>
      <w:r>
        <w:rPr>
          <w:rStyle w:val="Fett"/>
          <w:rFonts w:eastAsiaTheme="majorEastAsia"/>
          <w:rtl/>
        </w:rPr>
        <w:t>היה</w:t>
      </w:r>
      <w:r>
        <w:t xml:space="preserve">, „sein, werden, geschehen", mit </w:t>
      </w:r>
      <w:r>
        <w:rPr>
          <w:rStyle w:val="Fett"/>
          <w:rFonts w:eastAsiaTheme="majorEastAsia"/>
        </w:rPr>
        <w:t>Waw</w:t>
      </w:r>
      <w:r>
        <w:t xml:space="preserve">) leitet die Formel ein, </w:t>
      </w:r>
      <w:r>
        <w:rPr>
          <w:rStyle w:val="Fett"/>
          <w:rFonts w:eastAsiaTheme="majorEastAsia"/>
          <w:rtl/>
        </w:rPr>
        <w:t>כִּי</w:t>
      </w:r>
      <w:r>
        <w:rPr>
          <w:rtl/>
        </w:rPr>
        <w:t xml:space="preserve"> </w:t>
      </w:r>
      <w:r>
        <w:t xml:space="preserve">(„wenn, dass") als temporale oder konditionale Konjunktion, </w:t>
      </w:r>
      <w:r>
        <w:rPr>
          <w:rStyle w:val="Fett"/>
          <w:rFonts w:eastAsiaTheme="majorEastAsia"/>
          <w:rtl/>
        </w:rPr>
        <w:t>יְבִיאֲךָ</w:t>
      </w:r>
      <w:r>
        <w:rPr>
          <w:rtl/>
        </w:rPr>
        <w:t xml:space="preserve"> </w:t>
      </w:r>
      <w:r>
        <w:t xml:space="preserve">(Hiphil Imperfekt, 3. Person Maskulinum Singular von </w:t>
      </w:r>
      <w:r>
        <w:rPr>
          <w:rStyle w:val="Fett"/>
          <w:rFonts w:eastAsiaTheme="majorEastAsia"/>
          <w:rtl/>
        </w:rPr>
        <w:t>בוא</w:t>
      </w:r>
      <w:r>
        <w:t xml:space="preserve">, „kommen", in der Hiphil-Form „bringen", mit Suffix 2. Person Maskulinum Singular als direktes Objekt), </w:t>
      </w:r>
      <w:r>
        <w:rPr>
          <w:rStyle w:val="Fett"/>
          <w:rFonts w:eastAsiaTheme="majorEastAsia"/>
          <w:rtl/>
        </w:rPr>
        <w:t>יְהוָה אֱלֹהֶיךָ</w:t>
      </w:r>
      <w:r>
        <w:rPr>
          <w:rtl/>
        </w:rPr>
        <w:t xml:space="preserve"> </w:t>
      </w:r>
      <w:r>
        <w:t xml:space="preserve">(Tetragramm mit Apposition </w:t>
      </w:r>
      <w:r>
        <w:rPr>
          <w:rStyle w:val="Fett"/>
          <w:rFonts w:eastAsiaTheme="majorEastAsia"/>
          <w:rtl/>
        </w:rPr>
        <w:t>אֱלֹהֶיךָ</w:t>
      </w:r>
      <w:r>
        <w:t xml:space="preserve">) als Subjekt und </w:t>
      </w:r>
      <w:r>
        <w:rPr>
          <w:rStyle w:val="Fett"/>
          <w:rFonts w:eastAsiaTheme="majorEastAsia"/>
          <w:rtl/>
        </w:rPr>
        <w:t>אֶל־הָאָרֶץ</w:t>
      </w:r>
      <w:r>
        <w:rPr>
          <w:rtl/>
        </w:rPr>
        <w:t xml:space="preserve"> </w:t>
      </w:r>
      <w:r>
        <w:t xml:space="preserve">(Präposition </w:t>
      </w:r>
      <w:r>
        <w:rPr>
          <w:rStyle w:val="Fett"/>
          <w:rFonts w:eastAsiaTheme="majorEastAsia"/>
          <w:rtl/>
        </w:rPr>
        <w:t>אֶל</w:t>
      </w:r>
      <w:r>
        <w:t xml:space="preserve">, „zu, nach", mit </w:t>
      </w:r>
      <w:r>
        <w:rPr>
          <w:rStyle w:val="Fett"/>
          <w:rFonts w:eastAsiaTheme="majorEastAsia"/>
          <w:rtl/>
        </w:rPr>
        <w:t>אֶרֶץ</w:t>
      </w:r>
      <w:r>
        <w:t xml:space="preserve">, „Land", mit Artikel) als Richtungsangabe. Die Formel </w:t>
      </w:r>
      <w:r>
        <w:rPr>
          <w:rStyle w:val="Fett"/>
          <w:rFonts w:eastAsiaTheme="majorEastAsia"/>
          <w:rtl/>
        </w:rPr>
        <w:t>וְהָיָה כִּי</w:t>
      </w:r>
      <w:r>
        <w:rPr>
          <w:rtl/>
        </w:rPr>
        <w:t xml:space="preserve"> </w:t>
      </w:r>
      <w:r>
        <w:t>ist charakteristisch für deuteronomische Zukunftsanweisungen.</w:t>
      </w:r>
    </w:p>
    <w:p w14:paraId="3C2B43DC" w14:textId="77777777" w:rsidR="00266B37" w:rsidRDefault="00266B37" w:rsidP="00266B37">
      <w:pPr>
        <w:pStyle w:val="whitespace-normal"/>
      </w:pPr>
      <w:r>
        <w:rPr>
          <w:rStyle w:val="Fett"/>
          <w:rFonts w:eastAsiaTheme="majorEastAsia"/>
          <w:rtl/>
        </w:rPr>
        <w:t>אֲשֶׁר־אַתָּה בָא־שָׁמָּה לְרִשְׁתָּהּ</w:t>
      </w:r>
      <w:r>
        <w:rPr>
          <w:rtl/>
        </w:rPr>
        <w:t xml:space="preserve"> </w:t>
      </w:r>
      <w:r>
        <w:t xml:space="preserve">ist ein Relativsatz: </w:t>
      </w:r>
      <w:r>
        <w:rPr>
          <w:rStyle w:val="Fett"/>
          <w:rFonts w:eastAsiaTheme="majorEastAsia"/>
          <w:rtl/>
        </w:rPr>
        <w:t>אֲשֶׁר</w:t>
      </w:r>
      <w:r>
        <w:rPr>
          <w:rtl/>
        </w:rPr>
        <w:t xml:space="preserve"> </w:t>
      </w:r>
      <w:r>
        <w:t xml:space="preserve">(Relativpronomen) mit </w:t>
      </w:r>
      <w:r>
        <w:rPr>
          <w:rStyle w:val="Fett"/>
          <w:rFonts w:eastAsiaTheme="majorEastAsia"/>
          <w:rtl/>
        </w:rPr>
        <w:t>אַתָּה</w:t>
      </w:r>
      <w:r>
        <w:rPr>
          <w:rtl/>
        </w:rPr>
        <w:t xml:space="preserve"> </w:t>
      </w:r>
      <w:r>
        <w:t xml:space="preserve">(Personalpronomen 2. Person Maskulinum Singular) als Subjekt, </w:t>
      </w:r>
      <w:r>
        <w:rPr>
          <w:rStyle w:val="Fett"/>
          <w:rFonts w:eastAsiaTheme="majorEastAsia"/>
          <w:rtl/>
        </w:rPr>
        <w:t>בָא</w:t>
      </w:r>
      <w:r>
        <w:rPr>
          <w:rtl/>
        </w:rPr>
        <w:t xml:space="preserve"> </w:t>
      </w:r>
      <w:r>
        <w:t xml:space="preserve">(Qal Partizip Maskulinum Singular von </w:t>
      </w:r>
      <w:r>
        <w:rPr>
          <w:rStyle w:val="Fett"/>
          <w:rFonts w:eastAsiaTheme="majorEastAsia"/>
          <w:rtl/>
        </w:rPr>
        <w:t>בוא</w:t>
      </w:r>
      <w:r>
        <w:t xml:space="preserve">, „kommen"), </w:t>
      </w:r>
      <w:r>
        <w:rPr>
          <w:rStyle w:val="Fett"/>
          <w:rFonts w:eastAsiaTheme="majorEastAsia"/>
          <w:rtl/>
        </w:rPr>
        <w:t>שָׁמָּה</w:t>
      </w:r>
      <w:r>
        <w:rPr>
          <w:rtl/>
        </w:rPr>
        <w:t xml:space="preserve"> </w:t>
      </w:r>
      <w:r>
        <w:t xml:space="preserve">(„dorthin") als Richtungsangabe und </w:t>
      </w:r>
      <w:r>
        <w:rPr>
          <w:rStyle w:val="Fett"/>
          <w:rFonts w:eastAsiaTheme="majorEastAsia"/>
          <w:rtl/>
        </w:rPr>
        <w:t>לְרִשְׁתָּהּ</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ירשׁ</w:t>
      </w:r>
      <w:r>
        <w:t>, „in Besitz nehmen", und Suffix 3. Person feminin Singular) als finale Bestimmung. Die Wendung wiederholt die Formulierung aus 11,10.</w:t>
      </w:r>
    </w:p>
    <w:p w14:paraId="62D7278F" w14:textId="60265003" w:rsidR="00266B37" w:rsidRDefault="00266B37" w:rsidP="00266B37">
      <w:pPr>
        <w:pStyle w:val="whitespace-normal"/>
      </w:pPr>
      <w:r>
        <w:rPr>
          <w:rStyle w:val="Fett"/>
          <w:rFonts w:eastAsiaTheme="majorEastAsia"/>
          <w:rtl/>
        </w:rPr>
        <w:t>וְנָתַתָּה אֶת־הַבְּרָכָה עַל־הַר גְּרִזִים וְאֶת־הַקְּלָלָה עַל־הַר עֵיבָל</w:t>
      </w:r>
      <w:r>
        <w:rPr>
          <w:rtl/>
        </w:rPr>
        <w:t xml:space="preserve"> </w:t>
      </w:r>
      <w:r>
        <w:t xml:space="preserve">ist die Apodosis (Folge): </w:t>
      </w:r>
      <w:r>
        <w:rPr>
          <w:rStyle w:val="Fett"/>
          <w:rFonts w:eastAsiaTheme="majorEastAsia"/>
          <w:rtl/>
        </w:rPr>
        <w:t>וְנָתַתָּה</w:t>
      </w:r>
      <w:r>
        <w:rPr>
          <w:rtl/>
        </w:rPr>
        <w:t xml:space="preserve"> </w:t>
      </w:r>
      <w:r>
        <w:t xml:space="preserve">(Qal Perfekt, 2. Person Maskulinum Singular von </w:t>
      </w:r>
      <w:r>
        <w:rPr>
          <w:rStyle w:val="Fett"/>
          <w:rFonts w:eastAsiaTheme="majorEastAsia"/>
          <w:rtl/>
        </w:rPr>
        <w:t>נתן</w:t>
      </w:r>
      <w:r>
        <w:t xml:space="preserve">, „geben, legen", hier „erteilen, verkünden", mit </w:t>
      </w:r>
      <w:r>
        <w:rPr>
          <w:rStyle w:val="Fett"/>
          <w:rFonts w:eastAsiaTheme="majorEastAsia"/>
        </w:rPr>
        <w:t>Waw</w:t>
      </w:r>
      <w:r>
        <w:t xml:space="preserve"> als consecutives Perfekt), </w:t>
      </w:r>
      <w:r>
        <w:rPr>
          <w:rStyle w:val="Fett"/>
          <w:rFonts w:eastAsiaTheme="majorEastAsia"/>
          <w:rtl/>
        </w:rPr>
        <w:t>אֶת־הַבְּרָכָה</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בְּרָכָה</w:t>
      </w:r>
      <w:r>
        <w:t xml:space="preserve">, „Segen", mit Artikel) als erstes direktes Objekt, </w:t>
      </w:r>
      <w:r>
        <w:rPr>
          <w:rStyle w:val="Fett"/>
          <w:rFonts w:eastAsiaTheme="majorEastAsia"/>
          <w:rtl/>
        </w:rPr>
        <w:t>עַל־הַר גְּרִזִים</w:t>
      </w:r>
      <w:r>
        <w:rPr>
          <w:rtl/>
        </w:rPr>
        <w:t xml:space="preserve"> </w:t>
      </w:r>
      <w:r>
        <w:t xml:space="preserve">(Präposition </w:t>
      </w:r>
      <w:r>
        <w:rPr>
          <w:rStyle w:val="Fett"/>
          <w:rFonts w:eastAsiaTheme="majorEastAsia"/>
          <w:rtl/>
        </w:rPr>
        <w:t>עַל</w:t>
      </w:r>
      <w:r>
        <w:t xml:space="preserve">, „auf", mit </w:t>
      </w:r>
      <w:r>
        <w:rPr>
          <w:rStyle w:val="Fett"/>
          <w:rFonts w:eastAsiaTheme="majorEastAsia"/>
          <w:rtl/>
        </w:rPr>
        <w:t>הַר</w:t>
      </w:r>
      <w:r>
        <w:t xml:space="preserve">, „Berg", im Construct mit </w:t>
      </w:r>
      <w:r>
        <w:rPr>
          <w:rStyle w:val="Fett"/>
          <w:rFonts w:eastAsiaTheme="majorEastAsia"/>
          <w:rtl/>
        </w:rPr>
        <w:t>גְּרִזִים</w:t>
      </w:r>
      <w:r>
        <w:t xml:space="preserve">, „Gerisim", mit Artikel) als erste lokale Bestimmung, </w:t>
      </w:r>
      <w:r>
        <w:rPr>
          <w:rStyle w:val="Fett"/>
          <w:rFonts w:eastAsiaTheme="majorEastAsia"/>
          <w:rtl/>
        </w:rPr>
        <w:t>וְאֶת־הַקְּלָלָה</w:t>
      </w:r>
      <w:r>
        <w:rPr>
          <w:rtl/>
        </w:rPr>
        <w:t xml:space="preserve"> </w:t>
      </w:r>
      <w:r>
        <w:t xml:space="preserve">(koordiniert durch </w:t>
      </w:r>
      <w:r>
        <w:rPr>
          <w:rStyle w:val="Fett"/>
          <w:rFonts w:eastAsiaTheme="majorEastAsia"/>
          <w:rtl/>
        </w:rPr>
        <w:t>וְ</w:t>
      </w:r>
      <w:r>
        <w:rPr>
          <w:rtl/>
        </w:rPr>
        <w:t xml:space="preserve"> </w:t>
      </w:r>
      <w:r>
        <w:t xml:space="preserve">mit Objektpartikel </w:t>
      </w:r>
      <w:r>
        <w:rPr>
          <w:rStyle w:val="Fett"/>
          <w:rFonts w:eastAsiaTheme="majorEastAsia"/>
          <w:rtl/>
        </w:rPr>
        <w:t>אֵת</w:t>
      </w:r>
      <w:r>
        <w:rPr>
          <w:rtl/>
        </w:rPr>
        <w:t xml:space="preserve"> </w:t>
      </w:r>
      <w:r>
        <w:t xml:space="preserve">und </w:t>
      </w:r>
      <w:r>
        <w:rPr>
          <w:rStyle w:val="Fett"/>
          <w:rFonts w:eastAsiaTheme="majorEastAsia"/>
          <w:rtl/>
        </w:rPr>
        <w:t>קְלָלָה</w:t>
      </w:r>
      <w:r>
        <w:t xml:space="preserve">, „Fluch", mit Artikel) als zweites direktes Objekt und </w:t>
      </w:r>
      <w:r>
        <w:rPr>
          <w:rStyle w:val="Fett"/>
          <w:rFonts w:eastAsiaTheme="majorEastAsia"/>
          <w:rtl/>
        </w:rPr>
        <w:t>עַל־הַר עֵיבָל</w:t>
      </w:r>
      <w:r>
        <w:rPr>
          <w:rtl/>
        </w:rPr>
        <w:t xml:space="preserve"> </w:t>
      </w:r>
      <w:r>
        <w:t xml:space="preserve">(Präposition </w:t>
      </w:r>
      <w:r>
        <w:rPr>
          <w:rStyle w:val="Fett"/>
          <w:rFonts w:eastAsiaTheme="majorEastAsia"/>
          <w:rtl/>
        </w:rPr>
        <w:t>עַל</w:t>
      </w:r>
      <w:r>
        <w:rPr>
          <w:rtl/>
        </w:rPr>
        <w:t xml:space="preserve"> </w:t>
      </w:r>
      <w:r>
        <w:t xml:space="preserve">mit </w:t>
      </w:r>
      <w:r>
        <w:rPr>
          <w:rStyle w:val="Fett"/>
          <w:rFonts w:eastAsiaTheme="majorEastAsia"/>
          <w:rtl/>
        </w:rPr>
        <w:t>הַר</w:t>
      </w:r>
      <w:r>
        <w:rPr>
          <w:rtl/>
        </w:rPr>
        <w:t xml:space="preserve"> </w:t>
      </w:r>
      <w:r>
        <w:t xml:space="preserve">im Construct mit </w:t>
      </w:r>
      <w:r>
        <w:rPr>
          <w:rStyle w:val="Fett"/>
          <w:rFonts w:eastAsiaTheme="majorEastAsia"/>
          <w:rtl/>
        </w:rPr>
        <w:t>עֵיבָל</w:t>
      </w:r>
      <w:r>
        <w:t xml:space="preserve">, „Ebal", mit Artikel) als zweite lokale Bestimmung. Das Verb </w:t>
      </w:r>
      <w:r>
        <w:rPr>
          <w:rStyle w:val="Fett"/>
          <w:rFonts w:eastAsiaTheme="majorEastAsia"/>
          <w:rtl/>
        </w:rPr>
        <w:t>נתן</w:t>
      </w:r>
      <w:r>
        <w:rPr>
          <w:rtl/>
        </w:rPr>
        <w:t xml:space="preserve"> </w:t>
      </w:r>
      <w:r>
        <w:t xml:space="preserve">bedeutet hier „erteilen, proklamieren" im Sinne einer rituellen Handlung. Die beiden Berge Gerisim und Ebal liegen bei Sichem und bilden eine natürliche </w:t>
      </w:r>
      <w:r w:rsidR="007E2044">
        <w:t>Amphitheater Struktur</w:t>
      </w:r>
      <w:r>
        <w:t>.</w:t>
      </w:r>
    </w:p>
    <w:p w14:paraId="73159494" w14:textId="77777777" w:rsidR="00266B37" w:rsidRDefault="00266B37" w:rsidP="00266B37">
      <w:pPr>
        <w:pStyle w:val="whitespace-normal"/>
      </w:pPr>
      <w:r>
        <w:t xml:space="preserve">Die Syntax zeigt eine rituelle Anweisung für die Zukunft: Nach der Landnahme soll Israel eine Bundeserneuerungszeremonie durchführen, bei der Segen und Fluch an spezifischen geographischen Orten proklamiert werden. Die Struktur mit </w:t>
      </w:r>
      <w:r>
        <w:rPr>
          <w:rStyle w:val="Fett"/>
          <w:rFonts w:eastAsiaTheme="majorEastAsia"/>
          <w:rtl/>
        </w:rPr>
        <w:t>וְהָיָה כִּי</w:t>
      </w:r>
      <w:r>
        <w:rPr>
          <w:rtl/>
        </w:rPr>
        <w:t xml:space="preserve"> </w:t>
      </w:r>
      <w:r>
        <w:t xml:space="preserve">markiert den Übergang von der gegenwärtigen Ermahnung zur zukünftigen Ausführung. Die parallele Konstruktion </w:t>
      </w:r>
      <w:r>
        <w:rPr>
          <w:rStyle w:val="Fett"/>
          <w:rFonts w:eastAsiaTheme="majorEastAsia"/>
          <w:rtl/>
        </w:rPr>
        <w:t>אֶת־הַבְּרָכָה עַל־הַר גְּרִזִים וְאֶת־הַקְּלָלָה עַל־הַר עֵיבָל</w:t>
      </w:r>
      <w:r>
        <w:rPr>
          <w:rtl/>
        </w:rPr>
        <w:t xml:space="preserve"> </w:t>
      </w:r>
      <w:r>
        <w:t>betont die Symmetrie der rituellen Handlung. Der Wechsel von Plural (</w:t>
      </w:r>
      <w:r>
        <w:rPr>
          <w:rStyle w:val="Fett"/>
          <w:rFonts w:eastAsiaTheme="majorEastAsia"/>
          <w:rtl/>
        </w:rPr>
        <w:t>לִפְנֵיכֶם</w:t>
      </w:r>
      <w:r>
        <w:t>, V. 26) zu Singular (</w:t>
      </w:r>
      <w:r>
        <w:rPr>
          <w:rStyle w:val="Fett"/>
          <w:rFonts w:eastAsiaTheme="majorEastAsia"/>
          <w:rtl/>
        </w:rPr>
        <w:t>יְבִיאֲךָ</w:t>
      </w:r>
      <w:r>
        <w:t xml:space="preserve">, </w:t>
      </w:r>
      <w:r>
        <w:rPr>
          <w:rStyle w:val="Fett"/>
          <w:rFonts w:eastAsiaTheme="majorEastAsia"/>
          <w:rtl/>
        </w:rPr>
        <w:t>וְנָתַתָּה</w:t>
      </w:r>
      <w:r>
        <w:t>) individualisiert die Anrede. Kapitel 27 wird diese Anweisung ausführlicher entfalten. Die geographische Spezifizierung (</w:t>
      </w:r>
      <w:r>
        <w:rPr>
          <w:rStyle w:val="Fett"/>
          <w:rFonts w:eastAsiaTheme="majorEastAsia"/>
          <w:rtl/>
        </w:rPr>
        <w:t>גְּרִזִים</w:t>
      </w:r>
      <w:r>
        <w:rPr>
          <w:rtl/>
        </w:rPr>
        <w:t xml:space="preserve"> </w:t>
      </w:r>
      <w:r>
        <w:t xml:space="preserve">und </w:t>
      </w:r>
      <w:r>
        <w:rPr>
          <w:rStyle w:val="Fett"/>
          <w:rFonts w:eastAsiaTheme="majorEastAsia"/>
          <w:rtl/>
        </w:rPr>
        <w:t>עֵיבָל</w:t>
      </w:r>
      <w:r>
        <w:t>) verleiht der Verheißung konkrete Realität.</w:t>
      </w:r>
    </w:p>
    <w:p w14:paraId="1DF1E6BB" w14:textId="77777777" w:rsidR="00266B37" w:rsidRDefault="00266B37" w:rsidP="00266B37">
      <w:pPr>
        <w:pStyle w:val="whitespace-normal"/>
      </w:pPr>
      <w:r>
        <w:rPr>
          <w:rStyle w:val="Fett"/>
          <w:rFonts w:eastAsiaTheme="majorEastAsia"/>
        </w:rPr>
        <w:t>Die LXX</w:t>
      </w:r>
      <w:r>
        <w:t xml:space="preserve"> übersetzt „es soll geschehen, wenn" mit „καὶ </w:t>
      </w:r>
      <w:proofErr w:type="spellStart"/>
      <w:r>
        <w:t>ἔστ</w:t>
      </w:r>
      <w:proofErr w:type="spellEnd"/>
      <w:r>
        <w:t xml:space="preserve">αι </w:t>
      </w:r>
      <w:proofErr w:type="spellStart"/>
      <w:r>
        <w:t>ὅτ</w:t>
      </w:r>
      <w:proofErr w:type="spellEnd"/>
      <w:r>
        <w:t>αν", „dich bringt" mit „</w:t>
      </w:r>
      <w:proofErr w:type="spellStart"/>
      <w:r>
        <w:t>εἰσ</w:t>
      </w:r>
      <w:proofErr w:type="spellEnd"/>
      <w:r>
        <w:t xml:space="preserve">αγάγῃ </w:t>
      </w:r>
      <w:proofErr w:type="spellStart"/>
      <w:r>
        <w:t>σε</w:t>
      </w:r>
      <w:proofErr w:type="spellEnd"/>
      <w:r>
        <w:t>", „sollst erteilen" mit „</w:t>
      </w:r>
      <w:proofErr w:type="spellStart"/>
      <w:r>
        <w:t>δώσεις</w:t>
      </w:r>
      <w:proofErr w:type="spellEnd"/>
      <w:r>
        <w:t>" und die Bergnamen als „Γα</w:t>
      </w:r>
      <w:proofErr w:type="spellStart"/>
      <w:r>
        <w:t>ριζιν</w:t>
      </w:r>
      <w:proofErr w:type="spellEnd"/>
      <w:r>
        <w:t>" und „Γαιβαλ".</w:t>
      </w:r>
    </w:p>
    <w:p w14:paraId="642D5C3D" w14:textId="77777777" w:rsidR="00266B37" w:rsidRDefault="00266B37" w:rsidP="00266B37">
      <w:pPr>
        <w:pStyle w:val="whitespace-normal"/>
      </w:pPr>
      <w:r>
        <w:t xml:space="preserve">Die Satzstruktur besteht aus einer konditionalen Einleitung mit Relativsatz und einer Apodosis mit doppelter lokaler Bestimmung: Einleitungsformel (und es soll geschehen), temporale Konjunktion (wenn), Prädikat (bringt), direktes Objekt (dich), Subjekt (JHWH, dein Gott), Richtungsangabe (in das Land), Relativsatz mit Subjekt (du), partizipialem Prädikat (kommst), Richtungsangabe (dorthin) und finaler Bestimmung (um es in Besitz zu nehmen); Apodosis mit Prädikat (sollst erteilen), erstem direktem Objekt (den Segen), erster </w:t>
      </w:r>
      <w:r>
        <w:lastRenderedPageBreak/>
        <w:t>lokaler Bestimmung (auf dem Berg Gerisim), zweitem direktem Objekt (den Fluch) und zweiter lokaler Bestimmung (auf dem Berg Ebal).</w:t>
      </w:r>
    </w:p>
    <w:p w14:paraId="3B3874DD" w14:textId="77777777" w:rsidR="00266B37" w:rsidRDefault="00266B37" w:rsidP="00266B37">
      <w:pPr>
        <w:pStyle w:val="whitespace-normal"/>
      </w:pPr>
      <w:r>
        <w:t>Der Vers gibt eine konkrete rituelle Anweisung: Nach der Landnahme soll Israel auf den Bergen Gerisim und Ebal eine Bundeserneuerungszeremonie durchführen, bei der Segen und Fluch feierlich proklamiert werden.</w:t>
      </w:r>
    </w:p>
    <w:p w14:paraId="30A32BAD" w14:textId="77777777" w:rsidR="00266B37" w:rsidRPr="00266B37" w:rsidRDefault="00266B37" w:rsidP="00266B37">
      <w:pPr>
        <w:pStyle w:val="berschrift1"/>
        <w:rPr>
          <w:rFonts w:ascii="Times New Roman" w:hAnsi="Times New Roman"/>
          <w:color w:val="auto"/>
          <w:sz w:val="36"/>
          <w:szCs w:val="36"/>
        </w:rPr>
      </w:pPr>
      <w:r w:rsidRPr="00266B37">
        <w:rPr>
          <w:rStyle w:val="Fett"/>
          <w:rFonts w:ascii="Times New Roman" w:hAnsi="Times New Roman"/>
          <w:color w:val="auto"/>
          <w:sz w:val="36"/>
          <w:szCs w:val="36"/>
        </w:rPr>
        <w:t>Deuteronomium 11,30</w:t>
      </w:r>
    </w:p>
    <w:p w14:paraId="7ECF62B0" w14:textId="77777777" w:rsidR="00266B37" w:rsidRDefault="00266B37" w:rsidP="00266B37">
      <w:pPr>
        <w:pStyle w:val="whitespace-normal"/>
      </w:pPr>
      <w:r>
        <w:rPr>
          <w:rStyle w:val="Fett"/>
          <w:rFonts w:eastAsiaTheme="majorEastAsia"/>
        </w:rPr>
        <w:t>Hebräisch:</w:t>
      </w:r>
      <w:r>
        <w:t xml:space="preserve"> </w:t>
      </w:r>
      <w:r>
        <w:rPr>
          <w:rtl/>
        </w:rPr>
        <w:t>הֲלֹא־הֵ֜מָּה בְּעֵ֣בֶר הַיַּרְדֵּ֗ן אַֽחֲרֵי֙ דֶּ֚רֶךְ מְב֣וֹא הַשֶּׁ֔מֶשׁ בְּאֶ֨רֶץ֙ הַֽכְּנַעֲנִ֔י הַיֹּשֵׁ֖ב בָּעֲרָבָ֑ה מ֚וּל הַגִּלְגָּ֔ל אֵ֖צֶל אֵלוֹנֵ֥י מֹרֶֽה׃</w:t>
      </w:r>
    </w:p>
    <w:p w14:paraId="7509E7C8" w14:textId="77777777" w:rsidR="00266B37" w:rsidRDefault="00266B37" w:rsidP="00266B37">
      <w:pPr>
        <w:pStyle w:val="whitespace-normal"/>
      </w:pPr>
      <w:r>
        <w:rPr>
          <w:rStyle w:val="Fett"/>
          <w:rFonts w:eastAsiaTheme="majorEastAsia"/>
        </w:rPr>
        <w:t>Deutsch:</w:t>
      </w:r>
      <w:r>
        <w:t xml:space="preserve"> Sind sie nicht jenseits des Jardens, hinter dem Weg gegen Sonnenuntergang im Land des Kena'ani, der in der Ebene wohnt, Gilgal gegenüber, bei den Terebinthen More?</w:t>
      </w:r>
    </w:p>
    <w:p w14:paraId="180DC896" w14:textId="77777777" w:rsidR="00266B37" w:rsidRDefault="004F5CEB" w:rsidP="00266B37">
      <w:r>
        <w:rPr>
          <w:noProof/>
        </w:rPr>
        <w:pict w14:anchorId="52BDCE1A">
          <v:rect id="_x0000_i1370" style="width:0;height:1.5pt" o:hralign="center" o:hrstd="t" o:hr="t" fillcolor="#a0a0a0" stroked="f"/>
        </w:pict>
      </w:r>
    </w:p>
    <w:p w14:paraId="63D4EFBE" w14:textId="77777777" w:rsidR="00266B37" w:rsidRDefault="00266B37" w:rsidP="00266B37">
      <w:pPr>
        <w:pStyle w:val="whitespace-normal"/>
      </w:pPr>
      <w:r>
        <w:rPr>
          <w:rStyle w:val="Fett"/>
          <w:rFonts w:eastAsiaTheme="majorEastAsia"/>
        </w:rPr>
        <w:t>Kommentar:</w:t>
      </w:r>
      <w:r>
        <w:t xml:space="preserve"> </w:t>
      </w:r>
      <w:r>
        <w:rPr>
          <w:rStyle w:val="Fett"/>
          <w:rFonts w:eastAsiaTheme="majorEastAsia"/>
          <w:rtl/>
        </w:rPr>
        <w:t>הֲלֹא־הֵמָּה בְּעֵבֶר הַיַּרְדֵּן</w:t>
      </w:r>
      <w:r>
        <w:rPr>
          <w:rtl/>
        </w:rPr>
        <w:t xml:space="preserve"> </w:t>
      </w:r>
      <w:r>
        <w:t xml:space="preserve">ist eine rhetorische Frage: </w:t>
      </w:r>
      <w:r>
        <w:rPr>
          <w:rStyle w:val="Fett"/>
          <w:rFonts w:eastAsiaTheme="majorEastAsia"/>
          <w:rtl/>
        </w:rPr>
        <w:t>הֲלֹא</w:t>
      </w:r>
      <w:r>
        <w:rPr>
          <w:rtl/>
        </w:rPr>
        <w:t xml:space="preserve"> </w:t>
      </w:r>
      <w:r>
        <w:t xml:space="preserve">(Fragepartikel </w:t>
      </w:r>
      <w:r>
        <w:rPr>
          <w:rStyle w:val="Fett"/>
          <w:rFonts w:eastAsiaTheme="majorEastAsia"/>
          <w:rtl/>
        </w:rPr>
        <w:t>הֲ</w:t>
      </w:r>
      <w:r>
        <w:rPr>
          <w:rtl/>
        </w:rPr>
        <w:t xml:space="preserve"> </w:t>
      </w:r>
      <w:r>
        <w:t xml:space="preserve">mit Negation </w:t>
      </w:r>
      <w:r>
        <w:rPr>
          <w:rStyle w:val="Fett"/>
          <w:rFonts w:eastAsiaTheme="majorEastAsia"/>
          <w:rtl/>
        </w:rPr>
        <w:t>לֹא</w:t>
      </w:r>
      <w:r>
        <w:t xml:space="preserve">, „nicht wahr?", „sind nicht?") leitet eine Frage ein, die Zustimmung erwartet, </w:t>
      </w:r>
      <w:r>
        <w:rPr>
          <w:rStyle w:val="Fett"/>
          <w:rFonts w:eastAsiaTheme="majorEastAsia"/>
          <w:rtl/>
        </w:rPr>
        <w:t>הֵמָּה</w:t>
      </w:r>
      <w:r>
        <w:rPr>
          <w:rtl/>
        </w:rPr>
        <w:t xml:space="preserve"> </w:t>
      </w:r>
      <w:r>
        <w:t xml:space="preserve">(Personalpronomen 3. Person Plural, „sie") als Subjekt, das auf die Berge Gerisim und Ebal aus V. 29 zurückverweist, </w:t>
      </w:r>
      <w:r>
        <w:rPr>
          <w:rStyle w:val="Fett"/>
          <w:rFonts w:eastAsiaTheme="majorEastAsia"/>
          <w:rtl/>
        </w:rPr>
        <w:t>בְּעֵבֶר הַיַּרְדֵּן</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עֵבֶר</w:t>
      </w:r>
      <w:r>
        <w:t xml:space="preserve">, „Seite, jenseits", im Construct mit </w:t>
      </w:r>
      <w:r>
        <w:rPr>
          <w:rStyle w:val="Fett"/>
          <w:rFonts w:eastAsiaTheme="majorEastAsia"/>
          <w:rtl/>
        </w:rPr>
        <w:t>הַיַּרְדֵּן</w:t>
      </w:r>
      <w:r>
        <w:t xml:space="preserve">, „der Jordan", mit Artikel). Die Wendung </w:t>
      </w:r>
      <w:r>
        <w:rPr>
          <w:rStyle w:val="Fett"/>
          <w:rFonts w:eastAsiaTheme="majorEastAsia"/>
          <w:rtl/>
        </w:rPr>
        <w:t>בְּעֵבֶר הַיַּרְדֵּן</w:t>
      </w:r>
      <w:r>
        <w:rPr>
          <w:rtl/>
        </w:rPr>
        <w:t xml:space="preserve"> </w:t>
      </w:r>
      <w:r>
        <w:t>bedeutet „auf der anderen Seite des Jordan", aus der Perspektive der Moabsteppen gesprochen also die Westseite (Kanaan).</w:t>
      </w:r>
    </w:p>
    <w:p w14:paraId="7AFE3046" w14:textId="77777777" w:rsidR="00266B37" w:rsidRDefault="00266B37" w:rsidP="00266B37">
      <w:pPr>
        <w:pStyle w:val="whitespace-normal"/>
      </w:pPr>
      <w:r>
        <w:rPr>
          <w:rStyle w:val="Fett"/>
          <w:rFonts w:eastAsiaTheme="majorEastAsia"/>
          <w:rtl/>
        </w:rPr>
        <w:t>אַחֲרֵי דֶּרֶךְ מְבוֹא הַשֶּׁמֶשׁ</w:t>
      </w:r>
      <w:r>
        <w:rPr>
          <w:rtl/>
        </w:rPr>
        <w:t xml:space="preserve"> </w:t>
      </w:r>
      <w:r>
        <w:t xml:space="preserve">ist eine weitere Ortsangabe: </w:t>
      </w:r>
      <w:r>
        <w:rPr>
          <w:rStyle w:val="Fett"/>
          <w:rFonts w:eastAsiaTheme="majorEastAsia"/>
          <w:rtl/>
        </w:rPr>
        <w:t>אַחֲרֵי</w:t>
      </w:r>
      <w:r>
        <w:rPr>
          <w:rtl/>
        </w:rPr>
        <w:t xml:space="preserve"> </w:t>
      </w:r>
      <w:r>
        <w:t xml:space="preserve">(Präposition, „hinter, nach") mit </w:t>
      </w:r>
      <w:r>
        <w:rPr>
          <w:rStyle w:val="Fett"/>
          <w:rFonts w:eastAsiaTheme="majorEastAsia"/>
          <w:rtl/>
        </w:rPr>
        <w:t>דֶּרֶךְ</w:t>
      </w:r>
      <w:r>
        <w:rPr>
          <w:rtl/>
        </w:rPr>
        <w:t xml:space="preserve"> </w:t>
      </w:r>
      <w:r>
        <w:t xml:space="preserve">(„Weg") im Construct mit </w:t>
      </w:r>
      <w:r>
        <w:rPr>
          <w:rStyle w:val="Fett"/>
          <w:rFonts w:eastAsiaTheme="majorEastAsia"/>
          <w:rtl/>
        </w:rPr>
        <w:t>מְבוֹא הַשֶּׁמֶשׁ</w:t>
      </w:r>
      <w:r>
        <w:rPr>
          <w:rtl/>
        </w:rPr>
        <w:t xml:space="preserve"> </w:t>
      </w:r>
      <w:r>
        <w:t>(</w:t>
      </w:r>
      <w:r>
        <w:rPr>
          <w:rStyle w:val="Fett"/>
          <w:rFonts w:eastAsiaTheme="majorEastAsia"/>
          <w:rtl/>
        </w:rPr>
        <w:t>מָבוֹא</w:t>
      </w:r>
      <w:r>
        <w:t xml:space="preserve">, „Eingang, Untergang", im Construct mit </w:t>
      </w:r>
      <w:r>
        <w:rPr>
          <w:rStyle w:val="Fett"/>
          <w:rFonts w:eastAsiaTheme="majorEastAsia"/>
          <w:rtl/>
        </w:rPr>
        <w:t>שֶׁמֶשׁ</w:t>
      </w:r>
      <w:r>
        <w:t xml:space="preserve">, „Sonne", mit Artikel). Die Wendung </w:t>
      </w:r>
      <w:r>
        <w:rPr>
          <w:rStyle w:val="Fett"/>
          <w:rFonts w:eastAsiaTheme="majorEastAsia"/>
          <w:rtl/>
        </w:rPr>
        <w:t>דֶּרֶךְ מְבוֹא הַשֶּׁמֶשׁ</w:t>
      </w:r>
      <w:r>
        <w:rPr>
          <w:rtl/>
        </w:rPr>
        <w:t xml:space="preserve"> </w:t>
      </w:r>
      <w:r>
        <w:t xml:space="preserve">bedeutet wörtlich „Weg des Sonnenuntergangs", also „gegen Westen". Die Formulierung ist poetisch und beschreibt die westliche Richtung. </w:t>
      </w:r>
      <w:r>
        <w:rPr>
          <w:rStyle w:val="Fett"/>
          <w:rFonts w:eastAsiaTheme="majorEastAsia"/>
          <w:rtl/>
        </w:rPr>
        <w:t>בְּאֶרֶץ הַכְּנַעֲנִי הַיֹּשֵׁב בָּעֲרָבָה</w:t>
      </w:r>
      <w:r>
        <w:rPr>
          <w:rtl/>
        </w:rPr>
        <w:t xml:space="preserve"> </w:t>
      </w:r>
      <w:r>
        <w:t xml:space="preserve">ist eine dritte Ortsangabe: </w:t>
      </w:r>
      <w:r>
        <w:rPr>
          <w:rStyle w:val="Fett"/>
          <w:rFonts w:eastAsiaTheme="majorEastAsia"/>
          <w:rtl/>
        </w:rPr>
        <w:t>בְּאֶרֶץ</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אֶרֶץ</w:t>
      </w:r>
      <w:r>
        <w:t xml:space="preserve">, „Land") im Construct mit </w:t>
      </w:r>
      <w:r>
        <w:rPr>
          <w:rStyle w:val="Fett"/>
          <w:rFonts w:eastAsiaTheme="majorEastAsia"/>
          <w:rtl/>
        </w:rPr>
        <w:t>הַכְּנַעֲנִי</w:t>
      </w:r>
      <w:r>
        <w:rPr>
          <w:rtl/>
        </w:rPr>
        <w:t xml:space="preserve"> </w:t>
      </w:r>
      <w:r>
        <w:t>(</w:t>
      </w:r>
      <w:r>
        <w:rPr>
          <w:rStyle w:val="Fett"/>
          <w:rFonts w:eastAsiaTheme="majorEastAsia"/>
          <w:rtl/>
        </w:rPr>
        <w:t>כְּנַעֲנִי</w:t>
      </w:r>
      <w:r>
        <w:t xml:space="preserve">, „Kanaaniter", mit Artikel), </w:t>
      </w:r>
      <w:r>
        <w:rPr>
          <w:rStyle w:val="Fett"/>
          <w:rFonts w:eastAsiaTheme="majorEastAsia"/>
          <w:rtl/>
        </w:rPr>
        <w:t>הַיֹּשֵׁב</w:t>
      </w:r>
      <w:r>
        <w:rPr>
          <w:rtl/>
        </w:rPr>
        <w:t xml:space="preserve"> </w:t>
      </w:r>
      <w:r>
        <w:t xml:space="preserve">(Qal Partizip Maskulinum Singular von </w:t>
      </w:r>
      <w:r>
        <w:rPr>
          <w:rStyle w:val="Fett"/>
          <w:rFonts w:eastAsiaTheme="majorEastAsia"/>
          <w:rtl/>
        </w:rPr>
        <w:t>ישׁב</w:t>
      </w:r>
      <w:r>
        <w:t xml:space="preserve">, „sitzen, wohnen", mit Artikel) als Attribut und </w:t>
      </w:r>
      <w:r>
        <w:rPr>
          <w:rStyle w:val="Fett"/>
          <w:rFonts w:eastAsiaTheme="majorEastAsia"/>
          <w:rtl/>
        </w:rPr>
        <w:t>בָּעֲרָבָה</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עֲרָבָה</w:t>
      </w:r>
      <w:r>
        <w:t xml:space="preserve">, „Ebene, Steppe", mit Artikel). Die </w:t>
      </w:r>
      <w:r>
        <w:rPr>
          <w:rStyle w:val="Fett"/>
          <w:rFonts w:eastAsiaTheme="majorEastAsia"/>
          <w:rtl/>
        </w:rPr>
        <w:t>עֲרָבָה</w:t>
      </w:r>
      <w:r>
        <w:rPr>
          <w:rtl/>
        </w:rPr>
        <w:t xml:space="preserve"> </w:t>
      </w:r>
      <w:r>
        <w:t>bezeichnet hier wahrscheinlich die Jordansenke oder eine spezifische Ebene bei Sichem.</w:t>
      </w:r>
    </w:p>
    <w:p w14:paraId="048EEEFC" w14:textId="77777777" w:rsidR="00266B37" w:rsidRDefault="00266B37" w:rsidP="00266B37">
      <w:pPr>
        <w:pStyle w:val="whitespace-normal"/>
      </w:pPr>
      <w:r>
        <w:rPr>
          <w:rStyle w:val="Fett"/>
          <w:rFonts w:eastAsiaTheme="majorEastAsia"/>
          <w:rtl/>
        </w:rPr>
        <w:t>מוּל הַגִּלְגָּל</w:t>
      </w:r>
      <w:r>
        <w:rPr>
          <w:rtl/>
        </w:rPr>
        <w:t xml:space="preserve"> </w:t>
      </w:r>
      <w:r>
        <w:t xml:space="preserve">ist eine vierte Ortsangabe: </w:t>
      </w:r>
      <w:r>
        <w:rPr>
          <w:rStyle w:val="Fett"/>
          <w:rFonts w:eastAsiaTheme="majorEastAsia"/>
          <w:rtl/>
        </w:rPr>
        <w:t>מוּל</w:t>
      </w:r>
      <w:r>
        <w:rPr>
          <w:rtl/>
        </w:rPr>
        <w:t xml:space="preserve"> </w:t>
      </w:r>
      <w:r>
        <w:t xml:space="preserve">(Präposition, „gegenüber, vor") mit </w:t>
      </w:r>
      <w:r>
        <w:rPr>
          <w:rStyle w:val="Fett"/>
          <w:rFonts w:eastAsiaTheme="majorEastAsia"/>
          <w:rtl/>
        </w:rPr>
        <w:t>הַגִּלְגָּל</w:t>
      </w:r>
      <w:r>
        <w:rPr>
          <w:rtl/>
        </w:rPr>
        <w:t xml:space="preserve"> </w:t>
      </w:r>
      <w:r>
        <w:t>(</w:t>
      </w:r>
      <w:r>
        <w:rPr>
          <w:rStyle w:val="Fett"/>
          <w:rFonts w:eastAsiaTheme="majorEastAsia"/>
          <w:rtl/>
        </w:rPr>
        <w:t>גִּלְגָּל</w:t>
      </w:r>
      <w:r>
        <w:t xml:space="preserve">, „Gilgal", mit Artikel). </w:t>
      </w:r>
      <w:r>
        <w:rPr>
          <w:rStyle w:val="Fett"/>
          <w:rFonts w:eastAsiaTheme="majorEastAsia"/>
          <w:rtl/>
        </w:rPr>
        <w:t>גִּלְגָּל</w:t>
      </w:r>
      <w:r>
        <w:rPr>
          <w:rtl/>
        </w:rPr>
        <w:t xml:space="preserve"> </w:t>
      </w:r>
      <w:r>
        <w:t xml:space="preserve">ist ein Ortsname, möglicherweise nicht das bekannte Gilgal bei Jericho, sondern ein anderer Ort bei Sichem. </w:t>
      </w:r>
      <w:r>
        <w:rPr>
          <w:rStyle w:val="Fett"/>
          <w:rFonts w:eastAsiaTheme="majorEastAsia"/>
          <w:rtl/>
        </w:rPr>
        <w:t>אֵצֶל אֵלוֹנֵי מֹרֶה</w:t>
      </w:r>
      <w:r>
        <w:rPr>
          <w:rtl/>
        </w:rPr>
        <w:t xml:space="preserve"> </w:t>
      </w:r>
      <w:r>
        <w:t xml:space="preserve">ist die fünfte Ortsangabe: </w:t>
      </w:r>
      <w:r>
        <w:rPr>
          <w:rStyle w:val="Fett"/>
          <w:rFonts w:eastAsiaTheme="majorEastAsia"/>
          <w:rtl/>
        </w:rPr>
        <w:t>אֵצֶל</w:t>
      </w:r>
      <w:r>
        <w:rPr>
          <w:rtl/>
        </w:rPr>
        <w:t xml:space="preserve"> </w:t>
      </w:r>
      <w:r>
        <w:t xml:space="preserve">(Präposition, „bei, neben") mit </w:t>
      </w:r>
      <w:r>
        <w:rPr>
          <w:rStyle w:val="Fett"/>
          <w:rFonts w:eastAsiaTheme="majorEastAsia"/>
          <w:rtl/>
        </w:rPr>
        <w:t>אֵלוֹנֵי מֹרֶה</w:t>
      </w:r>
      <w:r>
        <w:rPr>
          <w:rtl/>
        </w:rPr>
        <w:t xml:space="preserve"> </w:t>
      </w:r>
      <w:r>
        <w:t>(</w:t>
      </w:r>
      <w:r>
        <w:rPr>
          <w:rStyle w:val="Fett"/>
          <w:rFonts w:eastAsiaTheme="majorEastAsia"/>
          <w:rtl/>
        </w:rPr>
        <w:t>אֵלוֹן</w:t>
      </w:r>
      <w:r>
        <w:t xml:space="preserve">, „Eiche, Terebinthe", Plural Construct mit </w:t>
      </w:r>
      <w:r>
        <w:rPr>
          <w:rStyle w:val="Fett"/>
          <w:rFonts w:eastAsiaTheme="majorEastAsia"/>
          <w:rtl/>
        </w:rPr>
        <w:t>מֹרֶה</w:t>
      </w:r>
      <w:r>
        <w:t xml:space="preserve">, „More"). Die </w:t>
      </w:r>
      <w:r>
        <w:rPr>
          <w:rStyle w:val="Fett"/>
          <w:rFonts w:eastAsiaTheme="majorEastAsia"/>
          <w:rtl/>
        </w:rPr>
        <w:t>אֵלוֹנֵי מֹרֶה</w:t>
      </w:r>
      <w:r>
        <w:rPr>
          <w:rtl/>
        </w:rPr>
        <w:t xml:space="preserve"> </w:t>
      </w:r>
      <w:r>
        <w:t>(„Eichen/Terebinthen von More") sind ein bekannter Ort bei Sichem, der bereits in Genesis 12,6 erwähnt wird, wo Abraham eine Offenbarung empfing.</w:t>
      </w:r>
    </w:p>
    <w:p w14:paraId="7A72EF44" w14:textId="77777777" w:rsidR="00266B37" w:rsidRDefault="00266B37" w:rsidP="00266B37">
      <w:pPr>
        <w:pStyle w:val="whitespace-normal"/>
      </w:pPr>
      <w:r>
        <w:t xml:space="preserve">Die Syntax zeigt eine detaillierte geographische Beschreibung mit fünf aufeinanderfolgenden Ortsangaben, die die Lage der Berge Gerisim und Ebal präzisieren. Die rhetorische Frage </w:t>
      </w:r>
      <w:r>
        <w:rPr>
          <w:rStyle w:val="Fett"/>
          <w:rFonts w:eastAsiaTheme="majorEastAsia"/>
          <w:rtl/>
        </w:rPr>
        <w:t>הֲלֹא־הֵמָּה</w:t>
      </w:r>
      <w:r>
        <w:rPr>
          <w:rtl/>
        </w:rPr>
        <w:t xml:space="preserve"> </w:t>
      </w:r>
      <w:r>
        <w:t>erwartet Zustimmung und setzt voraus, dass die Adressaten (oder zumindest einige von ihnen) die geographischen Angaben kennen oder nachvollziehen können. Die Häufung von Ortsangaben (</w:t>
      </w:r>
      <w:r>
        <w:rPr>
          <w:rStyle w:val="Fett"/>
          <w:rFonts w:eastAsiaTheme="majorEastAsia"/>
          <w:rtl/>
        </w:rPr>
        <w:t>בְּעֵבֶר הַיַּרְדֵּן</w:t>
      </w:r>
      <w:r>
        <w:t xml:space="preserve">, </w:t>
      </w:r>
      <w:r>
        <w:rPr>
          <w:rStyle w:val="Fett"/>
          <w:rFonts w:eastAsiaTheme="majorEastAsia"/>
          <w:rtl/>
        </w:rPr>
        <w:t>אַחֲרֵי דֶּרֶךְ מְבוֹא הַשֶּׁמֶשׁ</w:t>
      </w:r>
      <w:r>
        <w:t xml:space="preserve">, </w:t>
      </w:r>
      <w:r>
        <w:rPr>
          <w:rStyle w:val="Fett"/>
          <w:rFonts w:eastAsiaTheme="majorEastAsia"/>
          <w:rtl/>
        </w:rPr>
        <w:t>בְּאֶרֶץ הַכְּנַעֲנִי</w:t>
      </w:r>
      <w:r>
        <w:t xml:space="preserve">, </w:t>
      </w:r>
      <w:r>
        <w:rPr>
          <w:rStyle w:val="Fett"/>
          <w:rFonts w:eastAsiaTheme="majorEastAsia"/>
          <w:rtl/>
        </w:rPr>
        <w:t>מוּל הַגִּלְגָּל</w:t>
      </w:r>
      <w:r>
        <w:t xml:space="preserve">, </w:t>
      </w:r>
      <w:r>
        <w:rPr>
          <w:rStyle w:val="Fett"/>
          <w:rFonts w:eastAsiaTheme="majorEastAsia"/>
          <w:rtl/>
        </w:rPr>
        <w:t>אֵצֶל אֵלוֹנֵי מֹרֶה</w:t>
      </w:r>
      <w:r>
        <w:t xml:space="preserve">) </w:t>
      </w:r>
      <w:r>
        <w:lastRenderedPageBreak/>
        <w:t xml:space="preserve">verleiht der Verheißung konkrete Realität und Greifbarkeit. Die Erwähnung der </w:t>
      </w:r>
      <w:r>
        <w:rPr>
          <w:rStyle w:val="Fett"/>
          <w:rFonts w:eastAsiaTheme="majorEastAsia"/>
          <w:rtl/>
        </w:rPr>
        <w:t>אֵלוֹנֵי מֹרֶה</w:t>
      </w:r>
      <w:r>
        <w:rPr>
          <w:rtl/>
        </w:rPr>
        <w:t xml:space="preserve"> </w:t>
      </w:r>
      <w:r>
        <w:t xml:space="preserve">verbindet diese Stelle mit der Abrahamstradition (Gen 12,6) und unterstreicht die Kontinuität der göttlichen Verheißung. Das Partizip </w:t>
      </w:r>
      <w:r>
        <w:rPr>
          <w:rStyle w:val="Fett"/>
          <w:rFonts w:eastAsiaTheme="majorEastAsia"/>
          <w:rtl/>
        </w:rPr>
        <w:t>הַיֹּשֵׁב</w:t>
      </w:r>
      <w:r>
        <w:rPr>
          <w:rtl/>
        </w:rPr>
        <w:t xml:space="preserve"> </w:t>
      </w:r>
      <w:r>
        <w:t>beschreibt die gegenwärtige Situation: Die Kanaaniter wohnen dort noch, aber nicht mehr lange.</w:t>
      </w:r>
    </w:p>
    <w:p w14:paraId="26520CF9" w14:textId="77777777" w:rsidR="00266B37" w:rsidRDefault="00266B37" w:rsidP="00266B37">
      <w:pPr>
        <w:pStyle w:val="whitespace-normal"/>
      </w:pPr>
      <w:r>
        <w:rPr>
          <w:rStyle w:val="Fett"/>
          <w:rFonts w:eastAsiaTheme="majorEastAsia"/>
        </w:rPr>
        <w:t>Die LXX</w:t>
      </w:r>
      <w:r>
        <w:t xml:space="preserve"> übersetzt „sind sie nicht" mit „</w:t>
      </w:r>
      <w:proofErr w:type="spellStart"/>
      <w:r>
        <w:t>οὐκ</w:t>
      </w:r>
      <w:proofErr w:type="spellEnd"/>
      <w:r>
        <w:t xml:space="preserve"> </w:t>
      </w:r>
      <w:proofErr w:type="spellStart"/>
      <w:r>
        <w:t>ἰδοὺ</w:t>
      </w:r>
      <w:proofErr w:type="spellEnd"/>
      <w:r>
        <w:t xml:space="preserve"> τα</w:t>
      </w:r>
      <w:proofErr w:type="spellStart"/>
      <w:r>
        <w:t>ῦτ</w:t>
      </w:r>
      <w:proofErr w:type="spellEnd"/>
      <w:r>
        <w:t>α", „jenseits des Jordan" mit „π</w:t>
      </w:r>
      <w:proofErr w:type="spellStart"/>
      <w:r>
        <w:t>έρ</w:t>
      </w:r>
      <w:proofErr w:type="spellEnd"/>
      <w:r>
        <w:t xml:space="preserve">αν </w:t>
      </w:r>
      <w:proofErr w:type="spellStart"/>
      <w:r>
        <w:t>τοῦ</w:t>
      </w:r>
      <w:proofErr w:type="spellEnd"/>
      <w:r>
        <w:t xml:space="preserve"> </w:t>
      </w:r>
      <w:proofErr w:type="spellStart"/>
      <w:r>
        <w:t>Ιορδάνου</w:t>
      </w:r>
      <w:proofErr w:type="spellEnd"/>
      <w:r>
        <w:t>", „gegen Sonnenuntergang" mit „</w:t>
      </w:r>
      <w:proofErr w:type="spellStart"/>
      <w:r>
        <w:t>ὁδὸν</w:t>
      </w:r>
      <w:proofErr w:type="spellEnd"/>
      <w:r>
        <w:t xml:space="preserve"> </w:t>
      </w:r>
      <w:proofErr w:type="spellStart"/>
      <w:r>
        <w:t>δυσμῶν</w:t>
      </w:r>
      <w:proofErr w:type="spellEnd"/>
      <w:r>
        <w:t xml:space="preserve"> </w:t>
      </w:r>
      <w:proofErr w:type="spellStart"/>
      <w:r>
        <w:t>ἡλίου</w:t>
      </w:r>
      <w:proofErr w:type="spellEnd"/>
      <w:r>
        <w:t>", „in der Ebene" mit „</w:t>
      </w:r>
      <w:proofErr w:type="spellStart"/>
      <w:r>
        <w:t>ἐν</w:t>
      </w:r>
      <w:proofErr w:type="spellEnd"/>
      <w:r>
        <w:t xml:space="preserve"> </w:t>
      </w:r>
      <w:proofErr w:type="spellStart"/>
      <w:r>
        <w:t>τῇ</w:t>
      </w:r>
      <w:proofErr w:type="spellEnd"/>
      <w:r>
        <w:t xml:space="preserve"> </w:t>
      </w:r>
      <w:proofErr w:type="spellStart"/>
      <w:r>
        <w:t>Αρ</w:t>
      </w:r>
      <w:proofErr w:type="spellEnd"/>
      <w:r>
        <w:t>αβα" und „Terebinthen More" mit „</w:t>
      </w:r>
      <w:proofErr w:type="spellStart"/>
      <w:r>
        <w:t>δρυὸς</w:t>
      </w:r>
      <w:proofErr w:type="spellEnd"/>
      <w:r>
        <w:t xml:space="preserve"> </w:t>
      </w:r>
      <w:proofErr w:type="spellStart"/>
      <w:r>
        <w:t>ὑψηλῆς</w:t>
      </w:r>
      <w:proofErr w:type="spellEnd"/>
      <w:r>
        <w:t>" („hohe Eiche").</w:t>
      </w:r>
    </w:p>
    <w:p w14:paraId="34C87D4E" w14:textId="77777777" w:rsidR="00266B37" w:rsidRDefault="00266B37" w:rsidP="00266B37">
      <w:pPr>
        <w:pStyle w:val="whitespace-normal"/>
      </w:pPr>
      <w:r>
        <w:t>Die Satzstruktur besteht aus einer rhetorischen Frage mit fünf koordinierten Ortsangaben: Fragepartikel mit Negation (sind nicht), Subjekt (sie), erste lokale Bestimmung (jenseits des Jordan), zweite lokale Bestimmung (hinter dem Weg gegen Sonnenuntergang), dritte lokale Bestimmung mit Partizip (im Land des Kanaaniters, der in der Ebene wohnt), vierte lokale Bestimmung (Gilgal gegenüber) und fünfte lokale Bestimmung (bei den Terebinthen More).</w:t>
      </w:r>
    </w:p>
    <w:p w14:paraId="0A7BF2CE" w14:textId="77777777" w:rsidR="00266B37" w:rsidRDefault="00266B37" w:rsidP="00266B37">
      <w:pPr>
        <w:pStyle w:val="whitespace-normal"/>
      </w:pPr>
      <w:r>
        <w:t>Der Vers gibt eine detaillierte geographische Beschreibung der Lage der Berge Gerisim und Ebal: westlich des Jordan, im Land der Kanaaniter bei Sichem, nahe den historisch bedeutsamen Terebinthen von More – eine Lokalisierung, die die Verheißung konkret macht.</w:t>
      </w:r>
    </w:p>
    <w:p w14:paraId="501E77AA" w14:textId="77777777" w:rsidR="00266B37" w:rsidRPr="00266B37" w:rsidRDefault="00266B37" w:rsidP="00266B37">
      <w:pPr>
        <w:pStyle w:val="berschrift1"/>
        <w:rPr>
          <w:rFonts w:ascii="Times New Roman" w:hAnsi="Times New Roman"/>
          <w:color w:val="auto"/>
          <w:sz w:val="36"/>
          <w:szCs w:val="36"/>
        </w:rPr>
      </w:pPr>
      <w:r w:rsidRPr="00266B37">
        <w:rPr>
          <w:rStyle w:val="Fett"/>
          <w:rFonts w:ascii="Times New Roman" w:hAnsi="Times New Roman"/>
          <w:color w:val="auto"/>
          <w:sz w:val="36"/>
          <w:szCs w:val="36"/>
        </w:rPr>
        <w:t>Deuteronomium 11,31</w:t>
      </w:r>
    </w:p>
    <w:p w14:paraId="3BE1A2C1" w14:textId="77777777" w:rsidR="00266B37" w:rsidRDefault="00266B37" w:rsidP="00266B37">
      <w:pPr>
        <w:pStyle w:val="whitespace-normal"/>
      </w:pPr>
      <w:r>
        <w:rPr>
          <w:rStyle w:val="Fett"/>
          <w:rFonts w:eastAsiaTheme="majorEastAsia"/>
        </w:rPr>
        <w:t>Hebräisch:</w:t>
      </w:r>
      <w:r>
        <w:t xml:space="preserve"> </w:t>
      </w:r>
      <w:r>
        <w:rPr>
          <w:rtl/>
        </w:rPr>
        <w:t>כִּ֤י אַתֶּם֙ עֹבְרִ֣ים אֶת־הַיַּרְדֵּ֔ן לָבֹא֙ לָרֶ֣שֶׁת אֶת־הָאָ֔רֶץ אֲשֶׁר־יְהוָ֥ה אֱלֹהֵיכֶ֖ם נֹתֵ֣ן לָכֶ֑ם וִֽירִשְׁתֶּ֥ם אֹתָ֖הּ וִֽישַׁבְתֶּם־בָּֽהּ׃</w:t>
      </w:r>
    </w:p>
    <w:p w14:paraId="5A2D9277" w14:textId="77777777" w:rsidR="00266B37" w:rsidRDefault="00266B37" w:rsidP="00266B37">
      <w:pPr>
        <w:pStyle w:val="whitespace-normal"/>
      </w:pPr>
      <w:r>
        <w:rPr>
          <w:rStyle w:val="Fett"/>
          <w:rFonts w:eastAsiaTheme="majorEastAsia"/>
        </w:rPr>
        <w:t>Deutsch:</w:t>
      </w:r>
      <w:r>
        <w:t xml:space="preserve"> Denn ihr seid dabei, über den Jarden zu gehen, um hineinzukommen, das Land in Besitz zu nehmen, das der Ewige, euer Gott, euch gibt; und ihr werdet es in Besitz nehmen und darin wohnen.</w:t>
      </w:r>
    </w:p>
    <w:p w14:paraId="2158BC98" w14:textId="77777777" w:rsidR="00266B37" w:rsidRDefault="004F5CEB" w:rsidP="00266B37">
      <w:r>
        <w:rPr>
          <w:noProof/>
        </w:rPr>
        <w:pict w14:anchorId="56989702">
          <v:rect id="_x0000_i1371" style="width:0;height:1.5pt" o:hralign="center" o:hrstd="t" o:hr="t" fillcolor="#a0a0a0" stroked="f"/>
        </w:pict>
      </w:r>
    </w:p>
    <w:p w14:paraId="6447D321" w14:textId="77777777" w:rsidR="00266B37" w:rsidRDefault="00266B37" w:rsidP="00266B37">
      <w:pPr>
        <w:pStyle w:val="whitespace-normal"/>
      </w:pPr>
      <w:r>
        <w:rPr>
          <w:rStyle w:val="Fett"/>
          <w:rFonts w:eastAsiaTheme="majorEastAsia"/>
        </w:rPr>
        <w:t>Kommentar:</w:t>
      </w:r>
      <w:r>
        <w:t xml:space="preserve"> </w:t>
      </w:r>
      <w:r>
        <w:rPr>
          <w:rStyle w:val="Fett"/>
          <w:rFonts w:eastAsiaTheme="majorEastAsia"/>
          <w:rtl/>
        </w:rPr>
        <w:t>כִּי אַתֶּם עֹבְרִים אֶת־הַיַּרְדֵּן</w:t>
      </w:r>
      <w:r>
        <w:rPr>
          <w:rtl/>
        </w:rPr>
        <w:t xml:space="preserve"> </w:t>
      </w:r>
      <w:r>
        <w:t xml:space="preserve">ist ein kausaler Hauptsatz: </w:t>
      </w:r>
      <w:r>
        <w:rPr>
          <w:rStyle w:val="Fett"/>
          <w:rFonts w:eastAsiaTheme="majorEastAsia"/>
          <w:rtl/>
        </w:rPr>
        <w:t>כִּי</w:t>
      </w:r>
      <w:r>
        <w:rPr>
          <w:rtl/>
        </w:rPr>
        <w:t xml:space="preserve"> </w:t>
      </w:r>
      <w:r>
        <w:t xml:space="preserve">(„denn, weil") als kausale Konjunktion, </w:t>
      </w:r>
      <w:r>
        <w:rPr>
          <w:rStyle w:val="Fett"/>
          <w:rFonts w:eastAsiaTheme="majorEastAsia"/>
          <w:rtl/>
        </w:rPr>
        <w:t>אַתֶּם</w:t>
      </w:r>
      <w:r>
        <w:rPr>
          <w:rtl/>
        </w:rPr>
        <w:t xml:space="preserve"> </w:t>
      </w:r>
      <w:r>
        <w:t xml:space="preserve">(Personalpronomen 2. Person Maskulinum Plural, „ihr") als Subjekt, </w:t>
      </w:r>
      <w:r>
        <w:rPr>
          <w:rStyle w:val="Fett"/>
          <w:rFonts w:eastAsiaTheme="majorEastAsia"/>
          <w:rtl/>
        </w:rPr>
        <w:t>עֹבְרִים</w:t>
      </w:r>
      <w:r>
        <w:rPr>
          <w:rtl/>
        </w:rPr>
        <w:t xml:space="preserve"> </w:t>
      </w:r>
      <w:r>
        <w:t xml:space="preserve">(Qal Partizip Maskulinum Plural von </w:t>
      </w:r>
      <w:r>
        <w:rPr>
          <w:rStyle w:val="Fett"/>
          <w:rFonts w:eastAsiaTheme="majorEastAsia"/>
          <w:rtl/>
        </w:rPr>
        <w:t>עבר</w:t>
      </w:r>
      <w:r>
        <w:t xml:space="preserve">, „hinübergehen, durchziehen") als Prädikat und </w:t>
      </w:r>
      <w:r>
        <w:rPr>
          <w:rStyle w:val="Fett"/>
          <w:rFonts w:eastAsiaTheme="majorEastAsia"/>
          <w:rtl/>
        </w:rPr>
        <w:t>אֶת־הַיַּרְדֵּן</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יַרְדֵּן</w:t>
      </w:r>
      <w:r>
        <w:t xml:space="preserve">, „Jordan", mit Artikel) als direktes Objekt. Das Partizip </w:t>
      </w:r>
      <w:r>
        <w:rPr>
          <w:rStyle w:val="Fett"/>
          <w:rFonts w:eastAsiaTheme="majorEastAsia"/>
          <w:rtl/>
        </w:rPr>
        <w:t>עֹבְרִים</w:t>
      </w:r>
      <w:r>
        <w:rPr>
          <w:rtl/>
        </w:rPr>
        <w:t xml:space="preserve"> </w:t>
      </w:r>
      <w:r>
        <w:t xml:space="preserve">drückt die unmittelbar bevorstehende oder gegenwärtige Handlung aus („ihr seid dabei zu gehen, ihr geht bald"). </w:t>
      </w:r>
      <w:r>
        <w:rPr>
          <w:rStyle w:val="Fett"/>
          <w:rFonts w:eastAsiaTheme="majorEastAsia"/>
          <w:rtl/>
        </w:rPr>
        <w:t>לָבֹא לָרֶשֶׁת אֶת־הָאָרֶץ</w:t>
      </w:r>
      <w:r>
        <w:rPr>
          <w:rtl/>
        </w:rPr>
        <w:t xml:space="preserve"> </w:t>
      </w:r>
      <w:r>
        <w:t xml:space="preserve">ist eine doppelte finale Bestimmung: </w:t>
      </w:r>
      <w:r>
        <w:rPr>
          <w:rStyle w:val="Fett"/>
          <w:rFonts w:eastAsiaTheme="majorEastAsia"/>
          <w:rtl/>
        </w:rPr>
        <w:t>לָבֹא</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בוא</w:t>
      </w:r>
      <w:r>
        <w:t xml:space="preserve">, „kommen, hineingehen") und </w:t>
      </w:r>
      <w:r>
        <w:rPr>
          <w:rStyle w:val="Fett"/>
          <w:rFonts w:eastAsiaTheme="majorEastAsia"/>
          <w:rtl/>
        </w:rPr>
        <w:t>לָרֶשֶׁת</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ירשׁ</w:t>
      </w:r>
      <w:r>
        <w:t xml:space="preserve">, „in Besitz nehmen, erben"), </w:t>
      </w:r>
      <w:r>
        <w:rPr>
          <w:rStyle w:val="Fett"/>
          <w:rFonts w:eastAsiaTheme="majorEastAsia"/>
          <w:rtl/>
        </w:rPr>
        <w:t>אֶת־הָאָרֶץ</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אֶרֶץ</w:t>
      </w:r>
      <w:r>
        <w:t>, „Land", mit Artikel) als direktes Objekt des zweiten Infinitivs. Die beiden Infinitive drücken Zweck und Ziel der Jordanüberquerung aus.</w:t>
      </w:r>
    </w:p>
    <w:p w14:paraId="327B96DE" w14:textId="77777777" w:rsidR="00266B37" w:rsidRDefault="00266B37" w:rsidP="00266B37">
      <w:pPr>
        <w:pStyle w:val="whitespace-normal"/>
      </w:pPr>
      <w:r>
        <w:rPr>
          <w:rStyle w:val="Fett"/>
          <w:rFonts w:eastAsiaTheme="majorEastAsia"/>
          <w:rtl/>
        </w:rPr>
        <w:t>אֲשֶׁר־יְהוָה אֱלֹהֵיכֶם נֹתֵן לָכֶם</w:t>
      </w:r>
      <w:r>
        <w:rPr>
          <w:rtl/>
        </w:rPr>
        <w:t xml:space="preserve"> </w:t>
      </w:r>
      <w:r>
        <w:t xml:space="preserve">ist ein Relativsatz: </w:t>
      </w:r>
      <w:r>
        <w:rPr>
          <w:rStyle w:val="Fett"/>
          <w:rFonts w:eastAsiaTheme="majorEastAsia"/>
          <w:rtl/>
        </w:rPr>
        <w:t>אֲשֶׁר</w:t>
      </w:r>
      <w:r>
        <w:rPr>
          <w:rtl/>
        </w:rPr>
        <w:t xml:space="preserve"> </w:t>
      </w:r>
      <w:r>
        <w:t xml:space="preserve">(Relativpronomen) mit </w:t>
      </w:r>
      <w:r>
        <w:rPr>
          <w:rStyle w:val="Fett"/>
          <w:rFonts w:eastAsiaTheme="majorEastAsia"/>
          <w:rtl/>
        </w:rPr>
        <w:t>יְהוָה אֱלֹהֵיכֶם</w:t>
      </w:r>
      <w:r>
        <w:rPr>
          <w:rtl/>
        </w:rPr>
        <w:t xml:space="preserve"> </w:t>
      </w:r>
      <w:r>
        <w:t xml:space="preserve">(Tetragramm mit Apposition </w:t>
      </w:r>
      <w:r>
        <w:rPr>
          <w:rStyle w:val="Fett"/>
          <w:rFonts w:eastAsiaTheme="majorEastAsia"/>
          <w:rtl/>
        </w:rPr>
        <w:t>אֱלֹהֵיכֶם</w:t>
      </w:r>
      <w:r>
        <w:t xml:space="preserve">) als Subjekt, </w:t>
      </w:r>
      <w:r>
        <w:rPr>
          <w:rStyle w:val="Fett"/>
          <w:rFonts w:eastAsiaTheme="majorEastAsia"/>
          <w:rtl/>
        </w:rPr>
        <w:t>נֹתֵן</w:t>
      </w:r>
      <w:r>
        <w:rPr>
          <w:rtl/>
        </w:rPr>
        <w:t xml:space="preserve"> </w:t>
      </w:r>
      <w:r>
        <w:t xml:space="preserve">(Qal Partizip Maskulinum Singular von </w:t>
      </w:r>
      <w:r>
        <w:rPr>
          <w:rStyle w:val="Fett"/>
          <w:rFonts w:eastAsiaTheme="majorEastAsia"/>
          <w:rtl/>
        </w:rPr>
        <w:t>נתן</w:t>
      </w:r>
      <w:r>
        <w:t xml:space="preserve">, „geben") als Prädikat und </w:t>
      </w:r>
      <w:r>
        <w:rPr>
          <w:rStyle w:val="Fett"/>
          <w:rFonts w:eastAsiaTheme="majorEastAsia"/>
          <w:rtl/>
        </w:rPr>
        <w:t>לָכֶם</w:t>
      </w:r>
      <w:r>
        <w:rPr>
          <w:rtl/>
        </w:rPr>
        <w:t xml:space="preserve"> </w:t>
      </w:r>
      <w:r>
        <w:t xml:space="preserve">(Präposition </w:t>
      </w:r>
      <w:r>
        <w:rPr>
          <w:rStyle w:val="Fett"/>
          <w:rFonts w:eastAsiaTheme="majorEastAsia"/>
          <w:rtl/>
        </w:rPr>
        <w:t>לְ</w:t>
      </w:r>
      <w:r>
        <w:rPr>
          <w:rtl/>
        </w:rPr>
        <w:t xml:space="preserve"> </w:t>
      </w:r>
      <w:r>
        <w:t xml:space="preserve">mit Suffix 2. Person Maskulinum Plural) als Dativobjekt. Das Partizip betont die fortdauernde Gabe Gottes. </w:t>
      </w:r>
      <w:r>
        <w:rPr>
          <w:rStyle w:val="Fett"/>
          <w:rFonts w:eastAsiaTheme="majorEastAsia"/>
          <w:rtl/>
        </w:rPr>
        <w:t>וִירִשְׁתֶּם אֹתָהּ וִישַׁבְתֶּם־בָּהּ</w:t>
      </w:r>
      <w:r>
        <w:rPr>
          <w:rtl/>
        </w:rPr>
        <w:t xml:space="preserve"> </w:t>
      </w:r>
      <w:r>
        <w:t xml:space="preserve">sind zwei koordinierte Sätze: </w:t>
      </w:r>
      <w:r>
        <w:rPr>
          <w:rStyle w:val="Fett"/>
          <w:rFonts w:eastAsiaTheme="majorEastAsia"/>
          <w:rtl/>
        </w:rPr>
        <w:t>וִירִשְׁתֶּם</w:t>
      </w:r>
      <w:r>
        <w:rPr>
          <w:rtl/>
        </w:rPr>
        <w:t xml:space="preserve"> </w:t>
      </w:r>
      <w:r>
        <w:t xml:space="preserve">(Qal Perfekt, 2. Person Maskulinum Plural von </w:t>
      </w:r>
      <w:r>
        <w:rPr>
          <w:rStyle w:val="Fett"/>
          <w:rFonts w:eastAsiaTheme="majorEastAsia"/>
          <w:rtl/>
        </w:rPr>
        <w:t>ירשׁ</w:t>
      </w:r>
      <w:r>
        <w:t xml:space="preserve">, „in Besitz nehmen", mit </w:t>
      </w:r>
      <w:r>
        <w:rPr>
          <w:rStyle w:val="Fett"/>
          <w:rFonts w:eastAsiaTheme="majorEastAsia"/>
        </w:rPr>
        <w:t>Waw</w:t>
      </w:r>
      <w:r>
        <w:t xml:space="preserve"> als consecutives Perfekt), </w:t>
      </w:r>
      <w:r>
        <w:rPr>
          <w:rStyle w:val="Fett"/>
          <w:rFonts w:eastAsiaTheme="majorEastAsia"/>
          <w:rtl/>
        </w:rPr>
        <w:t>אֹתָהּ</w:t>
      </w:r>
      <w:r>
        <w:rPr>
          <w:rtl/>
        </w:rPr>
        <w:t xml:space="preserve"> </w:t>
      </w:r>
      <w:r>
        <w:t xml:space="preserve">(Objektpartikel </w:t>
      </w:r>
      <w:r>
        <w:rPr>
          <w:rStyle w:val="Fett"/>
          <w:rFonts w:eastAsiaTheme="majorEastAsia"/>
          <w:rtl/>
        </w:rPr>
        <w:t>אֵת</w:t>
      </w:r>
      <w:r>
        <w:rPr>
          <w:rtl/>
        </w:rPr>
        <w:t xml:space="preserve"> </w:t>
      </w:r>
      <w:r>
        <w:t xml:space="preserve">mit Suffix 3. </w:t>
      </w:r>
      <w:r>
        <w:lastRenderedPageBreak/>
        <w:t xml:space="preserve">Person feminin Singular, rückverweisend auf </w:t>
      </w:r>
      <w:r>
        <w:rPr>
          <w:rStyle w:val="Fett"/>
          <w:rFonts w:eastAsiaTheme="majorEastAsia"/>
          <w:rtl/>
        </w:rPr>
        <w:t>הָאָרֶץ</w:t>
      </w:r>
      <w:r>
        <w:t xml:space="preserve">) als direktes Objekt, </w:t>
      </w:r>
      <w:r>
        <w:rPr>
          <w:rStyle w:val="Fett"/>
          <w:rFonts w:eastAsiaTheme="majorEastAsia"/>
          <w:rtl/>
        </w:rPr>
        <w:t>וִישַׁבְתֶּם</w:t>
      </w:r>
      <w:r>
        <w:rPr>
          <w:rtl/>
        </w:rPr>
        <w:t xml:space="preserve"> </w:t>
      </w:r>
      <w:r>
        <w:t xml:space="preserve">(Qal Perfekt, 2. Person Maskulinum Plural von </w:t>
      </w:r>
      <w:r>
        <w:rPr>
          <w:rStyle w:val="Fett"/>
          <w:rFonts w:eastAsiaTheme="majorEastAsia"/>
          <w:rtl/>
        </w:rPr>
        <w:t>ישׁב</w:t>
      </w:r>
      <w:r>
        <w:t xml:space="preserve">, „wohnen, sitzen", mit </w:t>
      </w:r>
      <w:r>
        <w:rPr>
          <w:rStyle w:val="Fett"/>
          <w:rFonts w:eastAsiaTheme="majorEastAsia"/>
        </w:rPr>
        <w:t>Waw</w:t>
      </w:r>
      <w:r>
        <w:t xml:space="preserve"> als consecutives Perfekt) und </w:t>
      </w:r>
      <w:r>
        <w:rPr>
          <w:rStyle w:val="Fett"/>
          <w:rFonts w:eastAsiaTheme="majorEastAsia"/>
          <w:rtl/>
        </w:rPr>
        <w:t>בָּהּ</w:t>
      </w:r>
      <w:r>
        <w:rPr>
          <w:rtl/>
        </w:rPr>
        <w:t xml:space="preserve"> </w:t>
      </w:r>
      <w:r>
        <w:t xml:space="preserve">(Präposition </w:t>
      </w:r>
      <w:r>
        <w:rPr>
          <w:rStyle w:val="Fett"/>
          <w:rFonts w:eastAsiaTheme="majorEastAsia"/>
          <w:rtl/>
        </w:rPr>
        <w:t>בְּ</w:t>
      </w:r>
      <w:r>
        <w:rPr>
          <w:rtl/>
        </w:rPr>
        <w:t xml:space="preserve"> </w:t>
      </w:r>
      <w:r>
        <w:t xml:space="preserve">mit Suffix 3. Person feminin Singular, „darin") als lokale Bestimmung. Die beiden Verben </w:t>
      </w:r>
      <w:r>
        <w:rPr>
          <w:rStyle w:val="Fett"/>
          <w:rFonts w:eastAsiaTheme="majorEastAsia"/>
          <w:rtl/>
        </w:rPr>
        <w:t>ירשׁ</w:t>
      </w:r>
      <w:r>
        <w:rPr>
          <w:rtl/>
        </w:rPr>
        <w:t xml:space="preserve"> </w:t>
      </w:r>
      <w:r>
        <w:t xml:space="preserve">(„in Besitz nehmen") und </w:t>
      </w:r>
      <w:r>
        <w:rPr>
          <w:rStyle w:val="Fett"/>
          <w:rFonts w:eastAsiaTheme="majorEastAsia"/>
          <w:rtl/>
        </w:rPr>
        <w:t>ישׁב</w:t>
      </w:r>
      <w:r>
        <w:rPr>
          <w:rtl/>
        </w:rPr>
        <w:t xml:space="preserve"> </w:t>
      </w:r>
      <w:r>
        <w:t>(„wohnen") bilden eine feste deuteronomische Formel für die vollständige Landnahme.</w:t>
      </w:r>
    </w:p>
    <w:p w14:paraId="4A57A27B" w14:textId="77777777" w:rsidR="00266B37" w:rsidRDefault="00266B37" w:rsidP="00266B37">
      <w:pPr>
        <w:pStyle w:val="whitespace-normal"/>
      </w:pPr>
      <w:r>
        <w:t xml:space="preserve">Die Syntax zeigt die unmittelbare Relevanz der vorangehenden Anweisungen: Weil Israel kurz vor der Landnahme steht, sind die Gebote über Segen und Fluch (V. 26-30) von akuter Bedeutung. Das Partizip </w:t>
      </w:r>
      <w:r>
        <w:rPr>
          <w:rStyle w:val="Fett"/>
          <w:rFonts w:eastAsiaTheme="majorEastAsia"/>
          <w:rtl/>
        </w:rPr>
        <w:t>עֹבְרִים</w:t>
      </w:r>
      <w:r>
        <w:rPr>
          <w:rtl/>
        </w:rPr>
        <w:t xml:space="preserve"> </w:t>
      </w:r>
      <w:r>
        <w:t>betont die Gegenwärtigkeit und Dringlichkeit. Die Struktur mit drei aufeinanderfolgenden Verben (</w:t>
      </w:r>
      <w:r>
        <w:rPr>
          <w:rStyle w:val="Fett"/>
          <w:rFonts w:eastAsiaTheme="majorEastAsia"/>
          <w:rtl/>
        </w:rPr>
        <w:t>עֹבְרִים</w:t>
      </w:r>
      <w:r>
        <w:t xml:space="preserve">, </w:t>
      </w:r>
      <w:r>
        <w:rPr>
          <w:rStyle w:val="Fett"/>
          <w:rFonts w:eastAsiaTheme="majorEastAsia"/>
          <w:rtl/>
        </w:rPr>
        <w:t>וִירִשְׁתֶּם</w:t>
      </w:r>
      <w:r>
        <w:t xml:space="preserve">, </w:t>
      </w:r>
      <w:r>
        <w:rPr>
          <w:rStyle w:val="Fett"/>
          <w:rFonts w:eastAsiaTheme="majorEastAsia"/>
          <w:rtl/>
        </w:rPr>
        <w:t>וִישַׁבְתֶּם</w:t>
      </w:r>
      <w:r>
        <w:t>) beschreibt den Prozess der Landnahme: Überquerung → Besitznahme → Bewohnung. Die Betonung, dass JHWH das Land gibt (</w:t>
      </w:r>
      <w:r>
        <w:rPr>
          <w:rStyle w:val="Fett"/>
          <w:rFonts w:eastAsiaTheme="majorEastAsia"/>
          <w:rtl/>
        </w:rPr>
        <w:t>נֹתֵן לָכֶם</w:t>
      </w:r>
      <w:r>
        <w:t>), unterstreicht, dass die Landnahme göttliche Gabe ist, nicht menschliche Eroberung. Der Vers bildet einen Übergang zum abschließenden V. 32 und bereitet die folgenden Gesetzessammlungen (Kap. 12ff.) vor.</w:t>
      </w:r>
    </w:p>
    <w:p w14:paraId="1F012EBD" w14:textId="77777777" w:rsidR="00266B37" w:rsidRDefault="00266B37" w:rsidP="00266B37">
      <w:pPr>
        <w:pStyle w:val="whitespace-normal"/>
      </w:pPr>
      <w:r>
        <w:rPr>
          <w:rStyle w:val="Fett"/>
          <w:rFonts w:eastAsiaTheme="majorEastAsia"/>
        </w:rPr>
        <w:t>Die LXX</w:t>
      </w:r>
      <w:r>
        <w:t xml:space="preserve"> übersetzt „ihr seid dabei zu gehen" mit „</w:t>
      </w:r>
      <w:proofErr w:type="spellStart"/>
      <w:r>
        <w:t>ὑμεῖς</w:t>
      </w:r>
      <w:proofErr w:type="spellEnd"/>
      <w:r>
        <w:t xml:space="preserve"> </w:t>
      </w:r>
      <w:proofErr w:type="spellStart"/>
      <w:r>
        <w:t>δι</w:t>
      </w:r>
      <w:proofErr w:type="spellEnd"/>
      <w:r>
        <w:t>αβαίνετε", „um hineinzukommen" mit „</w:t>
      </w:r>
      <w:proofErr w:type="spellStart"/>
      <w:r>
        <w:t>εἰσελθεῖν</w:t>
      </w:r>
      <w:proofErr w:type="spellEnd"/>
      <w:r>
        <w:t>", „in Besitz zu nehmen" mit „</w:t>
      </w:r>
      <w:proofErr w:type="spellStart"/>
      <w:r>
        <w:t>κληρονομῆσ</w:t>
      </w:r>
      <w:proofErr w:type="spellEnd"/>
      <w:r>
        <w:t>αι", „gibt" mit „</w:t>
      </w:r>
      <w:proofErr w:type="spellStart"/>
      <w:r>
        <w:t>δίδωσιν</w:t>
      </w:r>
      <w:proofErr w:type="spellEnd"/>
      <w:r>
        <w:t>" und „ihr werdet darin wohnen" mit „κα</w:t>
      </w:r>
      <w:proofErr w:type="spellStart"/>
      <w:r>
        <w:t>τοικήσετε</w:t>
      </w:r>
      <w:proofErr w:type="spellEnd"/>
      <w:r>
        <w:t xml:space="preserve"> </w:t>
      </w:r>
      <w:proofErr w:type="spellStart"/>
      <w:r>
        <w:t>ἐν</w:t>
      </w:r>
      <w:proofErr w:type="spellEnd"/>
      <w:r>
        <w:t xml:space="preserve"> α</w:t>
      </w:r>
      <w:proofErr w:type="spellStart"/>
      <w:r>
        <w:t>ὐτῇ</w:t>
      </w:r>
      <w:proofErr w:type="spellEnd"/>
      <w:r>
        <w:t>".</w:t>
      </w:r>
    </w:p>
    <w:p w14:paraId="0B6ACB46" w14:textId="77777777" w:rsidR="00266B37" w:rsidRDefault="00266B37" w:rsidP="00266B37">
      <w:pPr>
        <w:pStyle w:val="whitespace-normal"/>
      </w:pPr>
      <w:r>
        <w:t>Die Satzstruktur besteht aus einem kausalen Hauptsatz mit Relativsatz und zwei koordinierten Folgesätzen: Kausale Konjunktion (denn), Subjekt (ihr), partizipiales Prädikat (seid dabei zu gehen), direktes Objekt (den Jordan), doppelte finale Bestimmung mit Infinitiven (um hineinzukommen, in Besitz zu nehmen) und direktem Objekt (das Land), Relativsatz mit Subjekt (JHWH, euer Gott), partizipialem Prädikat (gibt) und Dativobjekt (euch); zwei koordinierte Folgesätze mit Prädikat und direktem Objekt (werdet in Besitz nehmen es) sowie Prädikat und lokaler Bestimmung (werdet wohnen darin).</w:t>
      </w:r>
    </w:p>
    <w:p w14:paraId="1B050244" w14:textId="77777777" w:rsidR="00266B37" w:rsidRDefault="00266B37" w:rsidP="00266B37">
      <w:pPr>
        <w:pStyle w:val="whitespace-normal"/>
      </w:pPr>
      <w:r>
        <w:t>Der Vers begründet die Dringlichkeit der vorangehenden Ermahnungen: Israel steht kurz vor der Jordanüberquerung und Landnahme – deshalb müssen sie jetzt die Gebote über Segen und Fluch beherzigen.</w:t>
      </w:r>
    </w:p>
    <w:p w14:paraId="2A34A945" w14:textId="77777777" w:rsidR="00266B37" w:rsidRPr="00266B37" w:rsidRDefault="00266B37" w:rsidP="00266B37">
      <w:pPr>
        <w:pStyle w:val="berschrift1"/>
        <w:rPr>
          <w:rFonts w:ascii="Times New Roman" w:hAnsi="Times New Roman"/>
          <w:color w:val="auto"/>
          <w:sz w:val="36"/>
          <w:szCs w:val="36"/>
        </w:rPr>
      </w:pPr>
      <w:r w:rsidRPr="00266B37">
        <w:rPr>
          <w:rStyle w:val="Fett"/>
          <w:rFonts w:ascii="Times New Roman" w:hAnsi="Times New Roman"/>
          <w:color w:val="auto"/>
          <w:sz w:val="36"/>
          <w:szCs w:val="36"/>
        </w:rPr>
        <w:t>Deuteronomium 11,32</w:t>
      </w:r>
    </w:p>
    <w:p w14:paraId="414E893E" w14:textId="77777777" w:rsidR="00266B37" w:rsidRDefault="00266B37" w:rsidP="00266B37">
      <w:pPr>
        <w:pStyle w:val="whitespace-normal"/>
      </w:pPr>
      <w:r>
        <w:rPr>
          <w:rStyle w:val="Fett"/>
          <w:rFonts w:eastAsiaTheme="majorEastAsia"/>
        </w:rPr>
        <w:t>Hebräisch:</w:t>
      </w:r>
      <w:r>
        <w:t xml:space="preserve"> </w:t>
      </w:r>
      <w:r>
        <w:rPr>
          <w:rtl/>
        </w:rPr>
        <w:t>וּשְׁמַרְתֶּ֣ם לַעֲשׂ֔וֹת אֵ֥ת כָּל־הַֽחֻקִּ֖ים וְאֶת־הַמִּשְׁפָּטִ֑ים אֲשֶׁ֧ר אָנֹכִ֛י נֹתֵ֥ן לִפְנֵיכֶ֖ם הַיּֽוֹם׃</w:t>
      </w:r>
    </w:p>
    <w:p w14:paraId="7CF3ECCE" w14:textId="77777777" w:rsidR="00266B37" w:rsidRDefault="00266B37" w:rsidP="00266B37">
      <w:pPr>
        <w:pStyle w:val="whitespace-normal"/>
      </w:pPr>
      <w:r>
        <w:rPr>
          <w:rStyle w:val="Fett"/>
          <w:rFonts w:eastAsiaTheme="majorEastAsia"/>
        </w:rPr>
        <w:t>Deutsch:</w:t>
      </w:r>
      <w:r>
        <w:t xml:space="preserve"> So achtet darauf, alle die Satzungen und die Rechtsvorschriften zu tun, die ich euch heute vorlege.</w:t>
      </w:r>
    </w:p>
    <w:p w14:paraId="34D0A082" w14:textId="77777777" w:rsidR="00266B37" w:rsidRDefault="004F5CEB" w:rsidP="00266B37">
      <w:r>
        <w:rPr>
          <w:noProof/>
        </w:rPr>
        <w:pict w14:anchorId="36E60038">
          <v:rect id="_x0000_i1372" style="width:0;height:1.5pt" o:hralign="center" o:hrstd="t" o:hr="t" fillcolor="#a0a0a0" stroked="f"/>
        </w:pict>
      </w:r>
    </w:p>
    <w:p w14:paraId="42AA76DD" w14:textId="77777777" w:rsidR="00266B37" w:rsidRDefault="00266B37" w:rsidP="00266B37">
      <w:pPr>
        <w:pStyle w:val="whitespace-normal"/>
      </w:pPr>
      <w:r>
        <w:rPr>
          <w:rStyle w:val="Fett"/>
          <w:rFonts w:eastAsiaTheme="majorEastAsia"/>
        </w:rPr>
        <w:t>Kommentar:</w:t>
      </w:r>
      <w:r>
        <w:t xml:space="preserve"> </w:t>
      </w:r>
      <w:r>
        <w:rPr>
          <w:rStyle w:val="Fett"/>
          <w:rFonts w:eastAsiaTheme="majorEastAsia"/>
          <w:rtl/>
        </w:rPr>
        <w:t>וּשְׁמַרְתֶּם לַעֲשׂוֹת</w:t>
      </w:r>
      <w:r>
        <w:rPr>
          <w:rtl/>
        </w:rPr>
        <w:t xml:space="preserve"> </w:t>
      </w:r>
      <w:r>
        <w:t xml:space="preserve">ist ein Imperativsatz mit finalem Infinitiv: </w:t>
      </w:r>
      <w:r>
        <w:rPr>
          <w:rStyle w:val="Fett"/>
          <w:rFonts w:eastAsiaTheme="majorEastAsia"/>
          <w:rtl/>
        </w:rPr>
        <w:t>וּשְׁמַרְתֶּם</w:t>
      </w:r>
      <w:r>
        <w:rPr>
          <w:rtl/>
        </w:rPr>
        <w:t xml:space="preserve"> </w:t>
      </w:r>
      <w:r>
        <w:t xml:space="preserve">(Qal Perfekt, 2. Person Maskulinum Plural von </w:t>
      </w:r>
      <w:r>
        <w:rPr>
          <w:rStyle w:val="Fett"/>
          <w:rFonts w:eastAsiaTheme="majorEastAsia"/>
          <w:rtl/>
        </w:rPr>
        <w:t>שׁמר</w:t>
      </w:r>
      <w:r>
        <w:t xml:space="preserve">, „bewahren, halten, beobachten", mit </w:t>
      </w:r>
      <w:r>
        <w:rPr>
          <w:rStyle w:val="Fett"/>
          <w:rFonts w:eastAsiaTheme="majorEastAsia"/>
        </w:rPr>
        <w:t>Waw</w:t>
      </w:r>
      <w:r>
        <w:t xml:space="preserve"> copulativum, imperativisch) und </w:t>
      </w:r>
      <w:r>
        <w:rPr>
          <w:rStyle w:val="Fett"/>
          <w:rFonts w:eastAsiaTheme="majorEastAsia"/>
          <w:rtl/>
        </w:rPr>
        <w:t>לַעֲשׂוֹת</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עשׂה</w:t>
      </w:r>
      <w:r>
        <w:t xml:space="preserve">, „tun, machen"). Die Konstruktion </w:t>
      </w:r>
      <w:r>
        <w:rPr>
          <w:rStyle w:val="Fett"/>
          <w:rFonts w:eastAsiaTheme="majorEastAsia"/>
          <w:rtl/>
        </w:rPr>
        <w:t>שׁמר לעשׂות</w:t>
      </w:r>
      <w:r>
        <w:rPr>
          <w:rtl/>
        </w:rPr>
        <w:t xml:space="preserve"> </w:t>
      </w:r>
      <w:r>
        <w:t xml:space="preserve">(„achten darauf zu tun, sorgfältig tun") ist eine charakteristische deuteronomische Wendung, die die sorgfältige Befolgung betont (vgl. 5,1.32; 6,3; 12,1; 26,16). Die Präposition </w:t>
      </w:r>
      <w:r>
        <w:rPr>
          <w:rStyle w:val="Fett"/>
          <w:rFonts w:eastAsiaTheme="majorEastAsia"/>
          <w:rtl/>
        </w:rPr>
        <w:t>לְ</w:t>
      </w:r>
      <w:r>
        <w:rPr>
          <w:rtl/>
        </w:rPr>
        <w:t xml:space="preserve"> </w:t>
      </w:r>
      <w:r>
        <w:t>mit Infinitiv drückt Zweck oder Resultat aus.</w:t>
      </w:r>
    </w:p>
    <w:p w14:paraId="209EDBBF" w14:textId="77777777" w:rsidR="00266B37" w:rsidRDefault="00266B37" w:rsidP="00266B37">
      <w:pPr>
        <w:pStyle w:val="whitespace-normal"/>
      </w:pPr>
      <w:r>
        <w:rPr>
          <w:rStyle w:val="Fett"/>
          <w:rFonts w:eastAsiaTheme="majorEastAsia"/>
          <w:rtl/>
        </w:rPr>
        <w:lastRenderedPageBreak/>
        <w:t>אֵת כָּל־הַחֻקִּים וְאֶת־הַמִּשְׁפָּטִים</w:t>
      </w:r>
      <w:r>
        <w:rPr>
          <w:rtl/>
        </w:rPr>
        <w:t xml:space="preserve"> </w:t>
      </w:r>
      <w:r>
        <w:t xml:space="preserve">ist das direkte Objekt: </w:t>
      </w:r>
      <w:r>
        <w:rPr>
          <w:rStyle w:val="Fett"/>
          <w:rFonts w:eastAsiaTheme="majorEastAsia"/>
          <w:rtl/>
        </w:rPr>
        <w:t>אֵת</w:t>
      </w:r>
      <w:r>
        <w:rPr>
          <w:rtl/>
        </w:rPr>
        <w:t xml:space="preserve"> </w:t>
      </w:r>
      <w:r>
        <w:t xml:space="preserve">(Objektpartikel) mit </w:t>
      </w:r>
      <w:r>
        <w:rPr>
          <w:rStyle w:val="Fett"/>
          <w:rFonts w:eastAsiaTheme="majorEastAsia"/>
          <w:rtl/>
        </w:rPr>
        <w:t>כָּל־הַחֻקִּים</w:t>
      </w:r>
      <w:r>
        <w:rPr>
          <w:rtl/>
        </w:rPr>
        <w:t xml:space="preserve"> </w:t>
      </w:r>
      <w:r>
        <w:t>(</w:t>
      </w:r>
      <w:r>
        <w:rPr>
          <w:rStyle w:val="Fett"/>
          <w:rFonts w:eastAsiaTheme="majorEastAsia"/>
          <w:rtl/>
        </w:rPr>
        <w:t>כֹּל</w:t>
      </w:r>
      <w:r>
        <w:t xml:space="preserve">, „ganz, all", im Construct mit </w:t>
      </w:r>
      <w:r>
        <w:rPr>
          <w:rStyle w:val="Fett"/>
          <w:rFonts w:eastAsiaTheme="majorEastAsia"/>
          <w:rtl/>
        </w:rPr>
        <w:t>חֻקָּה</w:t>
      </w:r>
      <w:r>
        <w:t xml:space="preserve">, „Satzung", Plural mit Artikel), koordiniert durch </w:t>
      </w:r>
      <w:r>
        <w:rPr>
          <w:rStyle w:val="Fett"/>
          <w:rFonts w:eastAsiaTheme="majorEastAsia"/>
          <w:rtl/>
        </w:rPr>
        <w:t>וְאֶת</w:t>
      </w:r>
      <w:r>
        <w:rPr>
          <w:rtl/>
        </w:rPr>
        <w:t xml:space="preserve"> </w:t>
      </w:r>
      <w:r>
        <w:t xml:space="preserve">mit </w:t>
      </w:r>
      <w:r>
        <w:rPr>
          <w:rStyle w:val="Fett"/>
          <w:rFonts w:eastAsiaTheme="majorEastAsia"/>
          <w:rtl/>
        </w:rPr>
        <w:t>הַמִּשְׁפָּטִים</w:t>
      </w:r>
      <w:r>
        <w:rPr>
          <w:rtl/>
        </w:rPr>
        <w:t xml:space="preserve"> </w:t>
      </w:r>
      <w:r>
        <w:t>(</w:t>
      </w:r>
      <w:r>
        <w:rPr>
          <w:rStyle w:val="Fett"/>
          <w:rFonts w:eastAsiaTheme="majorEastAsia"/>
          <w:rtl/>
        </w:rPr>
        <w:t>מִשְׁפָּט</w:t>
      </w:r>
      <w:r>
        <w:t xml:space="preserve">, „Rechtsvorschrift, Rechtsentscheid", Plural mit Artikel). Die Doppelung </w:t>
      </w:r>
      <w:r>
        <w:rPr>
          <w:rStyle w:val="Fett"/>
          <w:rFonts w:eastAsiaTheme="majorEastAsia"/>
          <w:rtl/>
        </w:rPr>
        <w:t>חֻקִּים וּמִשְׁפָּטִים</w:t>
      </w:r>
      <w:r>
        <w:rPr>
          <w:rtl/>
        </w:rPr>
        <w:t xml:space="preserve"> </w:t>
      </w:r>
      <w:r>
        <w:t xml:space="preserve">ist eine feste deuteronomische Formel für die Gesamtheit der göttlichen Gesetzgebung: </w:t>
      </w:r>
      <w:r>
        <w:rPr>
          <w:rStyle w:val="Fett"/>
          <w:rFonts w:eastAsiaTheme="majorEastAsia"/>
          <w:rtl/>
        </w:rPr>
        <w:t>חֻקִּים</w:t>
      </w:r>
      <w:r>
        <w:rPr>
          <w:rtl/>
        </w:rPr>
        <w:t xml:space="preserve"> </w:t>
      </w:r>
      <w:r>
        <w:t xml:space="preserve">bezeichnet eher kultische und rituelle Ordnungen, </w:t>
      </w:r>
      <w:r>
        <w:rPr>
          <w:rStyle w:val="Fett"/>
          <w:rFonts w:eastAsiaTheme="majorEastAsia"/>
          <w:rtl/>
        </w:rPr>
        <w:t>מִשְׁפָּטִים</w:t>
      </w:r>
      <w:r>
        <w:rPr>
          <w:rtl/>
        </w:rPr>
        <w:t xml:space="preserve"> </w:t>
      </w:r>
      <w:r>
        <w:t xml:space="preserve">eher rechtliche und soziale Bestimmungen. Zusammen umfassen sie das gesamte Gesetz. </w:t>
      </w:r>
      <w:r>
        <w:rPr>
          <w:rStyle w:val="Fett"/>
          <w:rFonts w:eastAsiaTheme="majorEastAsia"/>
          <w:rtl/>
        </w:rPr>
        <w:t>אֲשֶׁר אָנֹכִי נֹתֵן לִפְנֵיכֶם הַיּוֹם</w:t>
      </w:r>
      <w:r>
        <w:rPr>
          <w:rtl/>
        </w:rPr>
        <w:t xml:space="preserve"> </w:t>
      </w:r>
      <w:r>
        <w:t xml:space="preserve">ist ein Relativsatz: </w:t>
      </w:r>
      <w:r>
        <w:rPr>
          <w:rStyle w:val="Fett"/>
          <w:rFonts w:eastAsiaTheme="majorEastAsia"/>
          <w:rtl/>
        </w:rPr>
        <w:t>אֲשֶׁר</w:t>
      </w:r>
      <w:r>
        <w:rPr>
          <w:rtl/>
        </w:rPr>
        <w:t xml:space="preserve"> </w:t>
      </w:r>
      <w:r>
        <w:t xml:space="preserve">(Relativpronomen) mit </w:t>
      </w:r>
      <w:r>
        <w:rPr>
          <w:rStyle w:val="Fett"/>
          <w:rFonts w:eastAsiaTheme="majorEastAsia"/>
          <w:rtl/>
        </w:rPr>
        <w:t>אָנֹכִי</w:t>
      </w:r>
      <w:r>
        <w:rPr>
          <w:rtl/>
        </w:rPr>
        <w:t xml:space="preserve"> </w:t>
      </w:r>
      <w:r>
        <w:t xml:space="preserve">(emphatisches Personalpronomen 1. Person Singular) als Subjekt, </w:t>
      </w:r>
      <w:r>
        <w:rPr>
          <w:rStyle w:val="Fett"/>
          <w:rFonts w:eastAsiaTheme="majorEastAsia"/>
          <w:rtl/>
        </w:rPr>
        <w:t>נֹתֵן</w:t>
      </w:r>
      <w:r>
        <w:rPr>
          <w:rtl/>
        </w:rPr>
        <w:t xml:space="preserve"> </w:t>
      </w:r>
      <w:r>
        <w:t xml:space="preserve">(Qal Partizip Maskulinum Singular von </w:t>
      </w:r>
      <w:r>
        <w:rPr>
          <w:rStyle w:val="Fett"/>
          <w:rFonts w:eastAsiaTheme="majorEastAsia"/>
          <w:rtl/>
        </w:rPr>
        <w:t>נתן</w:t>
      </w:r>
      <w:r>
        <w:t xml:space="preserve">, „geben, vorlegen") als Prädikat, </w:t>
      </w:r>
      <w:r>
        <w:rPr>
          <w:rStyle w:val="Fett"/>
          <w:rFonts w:eastAsiaTheme="majorEastAsia"/>
          <w:rtl/>
        </w:rPr>
        <w:t>לִפְנֵיכֶם</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פָּנִים</w:t>
      </w:r>
      <w:r>
        <w:t xml:space="preserve">, „Gesicht, Angesicht", Plural im Construct mit Suffix 2. Person Maskulinum Plural, „vor euch") als lokale Bestimmung und </w:t>
      </w:r>
      <w:r>
        <w:rPr>
          <w:rStyle w:val="Fett"/>
          <w:rFonts w:eastAsiaTheme="majorEastAsia"/>
          <w:rtl/>
        </w:rPr>
        <w:t>הַיּוֹם</w:t>
      </w:r>
      <w:r>
        <w:rPr>
          <w:rtl/>
        </w:rPr>
        <w:t xml:space="preserve"> </w:t>
      </w:r>
      <w:r>
        <w:t xml:space="preserve">(„heute") als temporales Adverb. Das Partizip </w:t>
      </w:r>
      <w:r>
        <w:rPr>
          <w:rStyle w:val="Fett"/>
          <w:rFonts w:eastAsiaTheme="majorEastAsia"/>
          <w:rtl/>
        </w:rPr>
        <w:t>נֹתֵן</w:t>
      </w:r>
      <w:r>
        <w:rPr>
          <w:rtl/>
        </w:rPr>
        <w:t xml:space="preserve"> </w:t>
      </w:r>
      <w:r>
        <w:t>betont die gegenwärtige Handlung des Vorlegens.</w:t>
      </w:r>
    </w:p>
    <w:p w14:paraId="0960F19A" w14:textId="77777777" w:rsidR="00266B37" w:rsidRDefault="00266B37" w:rsidP="00266B37">
      <w:pPr>
        <w:pStyle w:val="whitespace-normal"/>
      </w:pPr>
      <w:r>
        <w:t xml:space="preserve">Die Syntax zeigt einen abschließenden Aufruf zum Gehorsam, der Kapitel 11 abrundet und gleichzeitig zur folgenden Gesetzessammlung (Kap. 12-26) überleitet. Die Konstruktion </w:t>
      </w:r>
      <w:r>
        <w:rPr>
          <w:rStyle w:val="Fett"/>
          <w:rFonts w:eastAsiaTheme="majorEastAsia"/>
          <w:rtl/>
        </w:rPr>
        <w:t>שׁמר לעשׂות</w:t>
      </w:r>
      <w:r>
        <w:rPr>
          <w:rtl/>
        </w:rPr>
        <w:t xml:space="preserve"> </w:t>
      </w:r>
      <w:r>
        <w:t xml:space="preserve">verstärkt die Aufforderung: nicht nur kennen, sondern tun. Die umfassende Formulierung </w:t>
      </w:r>
      <w:r>
        <w:rPr>
          <w:rStyle w:val="Fett"/>
          <w:rFonts w:eastAsiaTheme="majorEastAsia"/>
          <w:rtl/>
        </w:rPr>
        <w:t>כָּל־הַחֻקִּים וְאֶת־הַמִּשְׁפָּטִים</w:t>
      </w:r>
      <w:r>
        <w:rPr>
          <w:rtl/>
        </w:rPr>
        <w:t xml:space="preserve"> </w:t>
      </w:r>
      <w:r>
        <w:t xml:space="preserve">betont die Vollständigkeit des geforderten Gehorsams. Das emphatische </w:t>
      </w:r>
      <w:r>
        <w:rPr>
          <w:rStyle w:val="Fett"/>
          <w:rFonts w:eastAsiaTheme="majorEastAsia"/>
          <w:rtl/>
        </w:rPr>
        <w:t>אָנֹכִי</w:t>
      </w:r>
      <w:r>
        <w:rPr>
          <w:rtl/>
        </w:rPr>
        <w:t xml:space="preserve"> </w:t>
      </w:r>
      <w:r>
        <w:t xml:space="preserve">unterstreicht Moses Autorität als Vermittler. Das temporale Adverb </w:t>
      </w:r>
      <w:r>
        <w:rPr>
          <w:rStyle w:val="Fett"/>
          <w:rFonts w:eastAsiaTheme="majorEastAsia"/>
          <w:rtl/>
        </w:rPr>
        <w:t>הַיּוֹם</w:t>
      </w:r>
      <w:r>
        <w:rPr>
          <w:rtl/>
        </w:rPr>
        <w:t xml:space="preserve"> </w:t>
      </w:r>
      <w:r>
        <w:t xml:space="preserve">schafft Dringlichkeit und Aktualität. Der Vers bildet einen Inclusio mit dem Beginn von Kapitel 11 (V. 1: </w:t>
      </w:r>
      <w:r>
        <w:rPr>
          <w:rStyle w:val="Fett"/>
          <w:rFonts w:eastAsiaTheme="majorEastAsia"/>
          <w:rtl/>
        </w:rPr>
        <w:t>וְשָׁמַרְתָּ מִשְׁמַרְתּוֹ וְחֻקֹּתָיו וּמִשְׁפָּטָיו וּמִצְוֹתָיו</w:t>
      </w:r>
      <w:r>
        <w:t>) und rahmt das gesamte Kapitel mit der Aufforderung zum Gehorsam. Gleichzeitig leitet der Vers zur Gesetzessammlung über, die in 12,1 mit fast identischer Formulierung beginnt (</w:t>
      </w:r>
      <w:r>
        <w:rPr>
          <w:rStyle w:val="Fett"/>
          <w:rFonts w:eastAsiaTheme="majorEastAsia"/>
          <w:rtl/>
        </w:rPr>
        <w:t>אֵלֶּה הַחֻקִּים וְהַמִּשְׁפָּטִים אֲשֶׁר תִּשְׁמְרוּן לַעֲשׂוֹת</w:t>
      </w:r>
      <w:r>
        <w:t>).</w:t>
      </w:r>
    </w:p>
    <w:p w14:paraId="672151CC" w14:textId="77777777" w:rsidR="00266B37" w:rsidRDefault="00266B37" w:rsidP="00266B37">
      <w:pPr>
        <w:pStyle w:val="whitespace-normal"/>
      </w:pPr>
      <w:r>
        <w:rPr>
          <w:rStyle w:val="Fett"/>
          <w:rFonts w:eastAsiaTheme="majorEastAsia"/>
        </w:rPr>
        <w:t>Die LXX</w:t>
      </w:r>
      <w:r>
        <w:t xml:space="preserve"> übersetzt „achtet darauf zu tun" mit „</w:t>
      </w:r>
      <w:proofErr w:type="spellStart"/>
      <w:r>
        <w:t>φυλάξεσθε</w:t>
      </w:r>
      <w:proofErr w:type="spellEnd"/>
      <w:r>
        <w:t xml:space="preserve"> π</w:t>
      </w:r>
      <w:proofErr w:type="spellStart"/>
      <w:r>
        <w:t>οιεῖν</w:t>
      </w:r>
      <w:proofErr w:type="spellEnd"/>
      <w:r>
        <w:t>", „alle Satzungen und Rechtsvorschriften" mit „π</w:t>
      </w:r>
      <w:proofErr w:type="spellStart"/>
      <w:r>
        <w:t>άντ</w:t>
      </w:r>
      <w:proofErr w:type="spellEnd"/>
      <w:r>
        <w:t xml:space="preserve">α </w:t>
      </w:r>
      <w:proofErr w:type="spellStart"/>
      <w:r>
        <w:t>τὰ</w:t>
      </w:r>
      <w:proofErr w:type="spellEnd"/>
      <w:r>
        <w:t xml:space="preserve"> </w:t>
      </w:r>
      <w:proofErr w:type="spellStart"/>
      <w:r>
        <w:t>δικ</w:t>
      </w:r>
      <w:proofErr w:type="spellEnd"/>
      <w:r>
        <w:t xml:space="preserve">αιώματα καὶ </w:t>
      </w:r>
      <w:proofErr w:type="spellStart"/>
      <w:r>
        <w:t>τὰς</w:t>
      </w:r>
      <w:proofErr w:type="spellEnd"/>
      <w:r>
        <w:t xml:space="preserve"> </w:t>
      </w:r>
      <w:proofErr w:type="spellStart"/>
      <w:r>
        <w:t>κρίσεις</w:t>
      </w:r>
      <w:proofErr w:type="spellEnd"/>
      <w:r>
        <w:t>" (in umgekehrter Reihenfolge), „die ich vorlege" mit „</w:t>
      </w:r>
      <w:proofErr w:type="spellStart"/>
      <w:r>
        <w:t>ἃς</w:t>
      </w:r>
      <w:proofErr w:type="spellEnd"/>
      <w:r>
        <w:t xml:space="preserve"> </w:t>
      </w:r>
      <w:proofErr w:type="spellStart"/>
      <w:r>
        <w:t>ἐγὼ</w:t>
      </w:r>
      <w:proofErr w:type="spellEnd"/>
      <w:r>
        <w:t xml:space="preserve"> </w:t>
      </w:r>
      <w:proofErr w:type="spellStart"/>
      <w:r>
        <w:t>δίδωμι</w:t>
      </w:r>
      <w:proofErr w:type="spellEnd"/>
      <w:r>
        <w:t>" und „vor euch heute" mit „</w:t>
      </w:r>
      <w:proofErr w:type="spellStart"/>
      <w:r>
        <w:t>ἐνώ</w:t>
      </w:r>
      <w:proofErr w:type="spellEnd"/>
      <w:r>
        <w:t xml:space="preserve">πιον </w:t>
      </w:r>
      <w:proofErr w:type="spellStart"/>
      <w:r>
        <w:t>ὑμῶν</w:t>
      </w:r>
      <w:proofErr w:type="spellEnd"/>
      <w:r>
        <w:t xml:space="preserve"> </w:t>
      </w:r>
      <w:proofErr w:type="spellStart"/>
      <w:r>
        <w:t>σήμερον</w:t>
      </w:r>
      <w:proofErr w:type="spellEnd"/>
      <w:r>
        <w:t>".</w:t>
      </w:r>
    </w:p>
    <w:p w14:paraId="044BE970" w14:textId="77777777" w:rsidR="00266B37" w:rsidRDefault="00266B37" w:rsidP="00266B37">
      <w:pPr>
        <w:pStyle w:val="whitespace-normal"/>
      </w:pPr>
      <w:r>
        <w:t>Die Satzstruktur besteht aus einem Imperativsatz mit finalem Infinitiv und Relativsatz: Prädikat (achtet darauf), finaler Infinitiv (zu tun), direktes Objekt mit doppelter Aufzählung (alle Satzungen und Rechtsvorschriften), Relativsatz mit emphatischem Subjekt (ich), partizipialem Prädikat (vorlege), lokaler Bestimmung (vor euch) und temporalem Adverb (heute).</w:t>
      </w:r>
    </w:p>
    <w:p w14:paraId="6F47177F" w14:textId="77777777" w:rsidR="00266B37" w:rsidRDefault="00266B37" w:rsidP="00266B37">
      <w:pPr>
        <w:pStyle w:val="whitespace-normal"/>
      </w:pPr>
      <w:r>
        <w:t>Der Vers schließt Kapitel 11 ab mit einem dringenden Aufruf zum umfassenden Gehorsam gegenüber allen Satzungen und Rechtsvorschriften, die Mose heute vorlegt – eine Überleitung zur folgenden detaillierten Gesetzessammlung.</w:t>
      </w:r>
    </w:p>
    <w:p w14:paraId="32486E1E"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12,1</w:t>
      </w:r>
    </w:p>
    <w:p w14:paraId="1FB545E6" w14:textId="77777777" w:rsidR="00724090" w:rsidRDefault="00724090" w:rsidP="00724090">
      <w:pPr>
        <w:pStyle w:val="whitespace-normal"/>
      </w:pPr>
      <w:r>
        <w:rPr>
          <w:rStyle w:val="Fett"/>
          <w:rFonts w:eastAsiaTheme="majorEastAsia"/>
        </w:rPr>
        <w:t>Hebräisch:</w:t>
      </w:r>
      <w:r>
        <w:t xml:space="preserve"> </w:t>
      </w:r>
      <w:r>
        <w:rPr>
          <w:rtl/>
        </w:rPr>
        <w:t>אֵ֠לֶּה הַֽחֻקִּ֣ים וְהַמִּשְׁפָּטִים֮ אֲשֶׁ֣ר תִּשְׁמְר֣וּן לַעֲשׂוֹת֒ בָּאָ֕רֶץ אֲשֶׁר֩ נָתַ֨ן יְהוָ֜ה אֱלֹהֵ֧י אֲבֹתֶ֛יךָ לְךָ֖ לְרִשְׁתָּ֑הּ כָּל־הַיָּמִ֔ים אֲשֶׁר־אַתֶּ֥ם חַיִּ֖ים עַל־הָאֲדָמָֽה׃</w:t>
      </w:r>
    </w:p>
    <w:p w14:paraId="08474999" w14:textId="12057FAB" w:rsidR="00724090" w:rsidRDefault="00724090" w:rsidP="00724090">
      <w:pPr>
        <w:pStyle w:val="whitespace-normal"/>
      </w:pPr>
      <w:r>
        <w:rPr>
          <w:rStyle w:val="Fett"/>
          <w:rFonts w:eastAsiaTheme="majorEastAsia"/>
        </w:rPr>
        <w:t>Deutsch:</w:t>
      </w:r>
      <w:r>
        <w:t xml:space="preserve"> Dies sind die Satzungen und die Rechtsvorschriften, die ihr halten sollt, sie zu tun in dem Land, das der Ewige, der Gott deiner Väter, dir gegeben hat, es zu besitzen alle Tage, die ihr auf dem Erdboden lebt.</w:t>
      </w:r>
    </w:p>
    <w:p w14:paraId="77FF798E" w14:textId="24FBF6B9" w:rsidR="009C316F" w:rsidRDefault="004F5CEB" w:rsidP="00724090">
      <w:pPr>
        <w:pStyle w:val="whitespace-normal"/>
      </w:pPr>
      <w:r>
        <w:rPr>
          <w:noProof/>
        </w:rPr>
        <w:lastRenderedPageBreak/>
        <w:pict w14:anchorId="1EE72826">
          <v:rect id="_x0000_i1373" style="width:0;height:1.5pt" o:hralign="center" o:hrstd="t" o:hr="t" fillcolor="#a0a0a0" stroked="f"/>
        </w:pict>
      </w:r>
    </w:p>
    <w:p w14:paraId="31DF192C"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אֵלֶּה הַחֻקִּים וְהַמִּשְׁפָּטִים</w:t>
      </w:r>
      <w:r>
        <w:rPr>
          <w:rtl/>
        </w:rPr>
        <w:t xml:space="preserve"> </w:t>
      </w:r>
      <w:r>
        <w:t xml:space="preserve">ist ein Nominalsatz mit demonstrativem Subjekt: </w:t>
      </w:r>
      <w:r>
        <w:rPr>
          <w:rStyle w:val="Fett"/>
          <w:rFonts w:eastAsiaTheme="majorEastAsia"/>
          <w:rtl/>
        </w:rPr>
        <w:t>אֵלֶּה</w:t>
      </w:r>
      <w:r>
        <w:rPr>
          <w:rtl/>
        </w:rPr>
        <w:t xml:space="preserve"> </w:t>
      </w:r>
      <w:r>
        <w:t xml:space="preserve">(Demonstrativpronomen, „diese") mit </w:t>
      </w:r>
      <w:r>
        <w:rPr>
          <w:rStyle w:val="Fett"/>
          <w:rFonts w:eastAsiaTheme="majorEastAsia"/>
          <w:rtl/>
        </w:rPr>
        <w:t>הַחֻקִּים וְהַמִּשְׁפָּטִים</w:t>
      </w:r>
      <w:r>
        <w:rPr>
          <w:rtl/>
        </w:rPr>
        <w:t xml:space="preserve"> </w:t>
      </w:r>
      <w:r>
        <w:t>(</w:t>
      </w:r>
      <w:r>
        <w:rPr>
          <w:rStyle w:val="Fett"/>
          <w:rFonts w:eastAsiaTheme="majorEastAsia"/>
          <w:rtl/>
        </w:rPr>
        <w:t>חֻקָּה</w:t>
      </w:r>
      <w:r>
        <w:t xml:space="preserve">, „Satzung", Plural mit Artikel, koordiniert durch </w:t>
      </w:r>
      <w:r>
        <w:rPr>
          <w:rStyle w:val="Fett"/>
          <w:rFonts w:eastAsiaTheme="majorEastAsia"/>
          <w:rtl/>
        </w:rPr>
        <w:t>וְ</w:t>
      </w:r>
      <w:r>
        <w:rPr>
          <w:rtl/>
        </w:rPr>
        <w:t xml:space="preserve"> </w:t>
      </w:r>
      <w:r>
        <w:t xml:space="preserve">mit </w:t>
      </w:r>
      <w:r>
        <w:rPr>
          <w:rStyle w:val="Fett"/>
          <w:rFonts w:eastAsiaTheme="majorEastAsia"/>
          <w:rtl/>
        </w:rPr>
        <w:t>מִשְׁפָּט</w:t>
      </w:r>
      <w:r>
        <w:t>, „Rechtsvorschrift", Plural mit Artikel). Diese Doppelung bildet eine Überschrift für die folgende Gesetzessammlung (Kap. 12-26) und nimmt die Formulierung aus 11,32 auf.</w:t>
      </w:r>
    </w:p>
    <w:p w14:paraId="56D5755D" w14:textId="77777777" w:rsidR="00724090" w:rsidRDefault="00724090" w:rsidP="00724090">
      <w:pPr>
        <w:pStyle w:val="whitespace-normal"/>
      </w:pPr>
      <w:r>
        <w:rPr>
          <w:rStyle w:val="Fett"/>
          <w:rFonts w:eastAsiaTheme="majorEastAsia"/>
          <w:rtl/>
        </w:rPr>
        <w:t>אֲשֶׁר תִּשְׁמְרוּן לַעֲשׂוֹת</w:t>
      </w:r>
      <w:r>
        <w:rPr>
          <w:rtl/>
        </w:rPr>
        <w:t xml:space="preserve"> </w:t>
      </w:r>
      <w:r>
        <w:t xml:space="preserve">ist ein Relativsatz: </w:t>
      </w:r>
      <w:r>
        <w:rPr>
          <w:rStyle w:val="Fett"/>
          <w:rFonts w:eastAsiaTheme="majorEastAsia"/>
          <w:rtl/>
        </w:rPr>
        <w:t>אֲשֶׁר</w:t>
      </w:r>
      <w:r>
        <w:rPr>
          <w:rtl/>
        </w:rPr>
        <w:t xml:space="preserve"> </w:t>
      </w:r>
      <w:r>
        <w:t xml:space="preserve">(Relativpronomen) mit </w:t>
      </w:r>
      <w:r>
        <w:rPr>
          <w:rStyle w:val="Fett"/>
          <w:rFonts w:eastAsiaTheme="majorEastAsia"/>
          <w:rtl/>
        </w:rPr>
        <w:t>תִּשְׁמְרוּן</w:t>
      </w:r>
      <w:r>
        <w:rPr>
          <w:rtl/>
        </w:rPr>
        <w:t xml:space="preserve"> </w:t>
      </w:r>
      <w:r>
        <w:t xml:space="preserve">(Qal Imperfekt, 2. Person Maskulinum Plural von </w:t>
      </w:r>
      <w:r>
        <w:rPr>
          <w:rStyle w:val="Fett"/>
          <w:rFonts w:eastAsiaTheme="majorEastAsia"/>
          <w:rtl/>
        </w:rPr>
        <w:t>שׁמר</w:t>
      </w:r>
      <w:r>
        <w:t xml:space="preserve">, „bewahren, halten", mit Paragogischem Nun) und </w:t>
      </w:r>
      <w:r>
        <w:rPr>
          <w:rStyle w:val="Fett"/>
          <w:rFonts w:eastAsiaTheme="majorEastAsia"/>
          <w:rtl/>
        </w:rPr>
        <w:t>לַעֲשׂוֹת</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עשׂה</w:t>
      </w:r>
      <w:r>
        <w:t xml:space="preserve">, „tun"). Die Konstruktion </w:t>
      </w:r>
      <w:r>
        <w:rPr>
          <w:rStyle w:val="Fett"/>
          <w:rFonts w:eastAsiaTheme="majorEastAsia"/>
          <w:rtl/>
        </w:rPr>
        <w:t>שׁמר לעשׂות</w:t>
      </w:r>
      <w:r>
        <w:rPr>
          <w:rtl/>
        </w:rPr>
        <w:t xml:space="preserve"> </w:t>
      </w:r>
      <w:r>
        <w:t>betont sorgfältigen Gehorsam.</w:t>
      </w:r>
    </w:p>
    <w:p w14:paraId="56045C75" w14:textId="77777777" w:rsidR="00724090" w:rsidRDefault="00724090" w:rsidP="00724090">
      <w:pPr>
        <w:pStyle w:val="whitespace-normal"/>
      </w:pPr>
      <w:r>
        <w:rPr>
          <w:rStyle w:val="Fett"/>
          <w:rFonts w:eastAsiaTheme="majorEastAsia"/>
          <w:rtl/>
        </w:rPr>
        <w:t>בָּאָרֶץ אֲשֶׁר נָתַן יְהוָה אֱלֹהֵי אֲבֹתֶיךָ לְךָ לְרִשְׁתָּהּ</w:t>
      </w:r>
      <w:r>
        <w:rPr>
          <w:rtl/>
        </w:rPr>
        <w:t xml:space="preserve"> </w:t>
      </w:r>
      <w:r>
        <w:t xml:space="preserve">ist eine lokale Bestimmung mit Relativsatz: </w:t>
      </w:r>
      <w:r>
        <w:rPr>
          <w:rStyle w:val="Fett"/>
          <w:rFonts w:eastAsiaTheme="majorEastAsia"/>
          <w:rtl/>
        </w:rPr>
        <w:t>בָּאָרֶץ</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אֶרֶץ</w:t>
      </w:r>
      <w:r>
        <w:t xml:space="preserve">, „Land", mit Artikel), </w:t>
      </w:r>
      <w:r>
        <w:rPr>
          <w:rStyle w:val="Fett"/>
          <w:rFonts w:eastAsiaTheme="majorEastAsia"/>
          <w:rtl/>
        </w:rPr>
        <w:t>אֲשֶׁר</w:t>
      </w:r>
      <w:r>
        <w:rPr>
          <w:rtl/>
        </w:rPr>
        <w:t xml:space="preserve"> </w:t>
      </w:r>
      <w:r>
        <w:t xml:space="preserve">(Relativpronomen) mit </w:t>
      </w:r>
      <w:r>
        <w:rPr>
          <w:rStyle w:val="Fett"/>
          <w:rFonts w:eastAsiaTheme="majorEastAsia"/>
          <w:rtl/>
        </w:rPr>
        <w:t>נָתַן</w:t>
      </w:r>
      <w:r>
        <w:rPr>
          <w:rtl/>
        </w:rPr>
        <w:t xml:space="preserve"> </w:t>
      </w:r>
      <w:r>
        <w:t xml:space="preserve">(Qal Perfekt, 3. Person Maskulinum Singular von </w:t>
      </w:r>
      <w:r>
        <w:rPr>
          <w:rStyle w:val="Fett"/>
          <w:rFonts w:eastAsiaTheme="majorEastAsia"/>
          <w:rtl/>
        </w:rPr>
        <w:t>נתן</w:t>
      </w:r>
      <w:r>
        <w:t xml:space="preserve">, „geben"), </w:t>
      </w:r>
      <w:r>
        <w:rPr>
          <w:rStyle w:val="Fett"/>
          <w:rFonts w:eastAsiaTheme="majorEastAsia"/>
          <w:rtl/>
        </w:rPr>
        <w:t>יְהוָה אֱלֹהֵי אֲבֹתֶיךָ</w:t>
      </w:r>
      <w:r>
        <w:rPr>
          <w:rtl/>
        </w:rPr>
        <w:t xml:space="preserve"> </w:t>
      </w:r>
      <w:r>
        <w:t xml:space="preserve">(Tetragramm mit Apposition </w:t>
      </w:r>
      <w:r>
        <w:rPr>
          <w:rStyle w:val="Fett"/>
          <w:rFonts w:eastAsiaTheme="majorEastAsia"/>
          <w:rtl/>
        </w:rPr>
        <w:t>אֱלֹהֵי אֲבֹתֶיךָ</w:t>
      </w:r>
      <w:r>
        <w:t xml:space="preserve">, „Gott deiner Väter") als Subjekt, </w:t>
      </w:r>
      <w:r>
        <w:rPr>
          <w:rStyle w:val="Fett"/>
          <w:rFonts w:eastAsiaTheme="majorEastAsia"/>
          <w:rtl/>
        </w:rPr>
        <w:t>לְךָ</w:t>
      </w:r>
      <w:r>
        <w:rPr>
          <w:rtl/>
        </w:rPr>
        <w:t xml:space="preserve"> </w:t>
      </w:r>
      <w:r>
        <w:t xml:space="preserve">(Präposition </w:t>
      </w:r>
      <w:r>
        <w:rPr>
          <w:rStyle w:val="Fett"/>
          <w:rFonts w:eastAsiaTheme="majorEastAsia"/>
          <w:rtl/>
        </w:rPr>
        <w:t>לְ</w:t>
      </w:r>
      <w:r>
        <w:rPr>
          <w:rtl/>
        </w:rPr>
        <w:t xml:space="preserve"> </w:t>
      </w:r>
      <w:r>
        <w:t xml:space="preserve">mit Suffix 2. Person Maskulinum Singular) als Dativobjekt und </w:t>
      </w:r>
      <w:r>
        <w:rPr>
          <w:rStyle w:val="Fett"/>
          <w:rFonts w:eastAsiaTheme="majorEastAsia"/>
          <w:rtl/>
        </w:rPr>
        <w:t>לְרִשְׁתָּהּ</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ירשׁ</w:t>
      </w:r>
      <w:r>
        <w:t>, „in Besitz nehmen", und Suffix 3. Person feminin Singular) als finale Bestimmung.</w:t>
      </w:r>
    </w:p>
    <w:p w14:paraId="005BCF06" w14:textId="77777777" w:rsidR="00724090" w:rsidRDefault="00724090" w:rsidP="00724090">
      <w:pPr>
        <w:pStyle w:val="whitespace-normal"/>
      </w:pPr>
      <w:r>
        <w:rPr>
          <w:rStyle w:val="Fett"/>
          <w:rFonts w:eastAsiaTheme="majorEastAsia"/>
          <w:rtl/>
        </w:rPr>
        <w:t>כָּל־הַיָּמִים אֲשֶׁר־אַתֶּם חַיִּים עַל־הָאֲדָמָה</w:t>
      </w:r>
      <w:r>
        <w:rPr>
          <w:rtl/>
        </w:rPr>
        <w:t xml:space="preserve"> </w:t>
      </w:r>
      <w:r>
        <w:t xml:space="preserve">ist eine temporale Bestimmung: </w:t>
      </w:r>
      <w:r>
        <w:rPr>
          <w:rStyle w:val="Fett"/>
          <w:rFonts w:eastAsiaTheme="majorEastAsia"/>
          <w:rtl/>
        </w:rPr>
        <w:t>כָּל־הַיָּמִים</w:t>
      </w:r>
      <w:r>
        <w:rPr>
          <w:rtl/>
        </w:rPr>
        <w:t xml:space="preserve"> </w:t>
      </w:r>
      <w:r>
        <w:t>(</w:t>
      </w:r>
      <w:r>
        <w:rPr>
          <w:rStyle w:val="Fett"/>
          <w:rFonts w:eastAsiaTheme="majorEastAsia"/>
          <w:rtl/>
        </w:rPr>
        <w:t>כֹּל</w:t>
      </w:r>
      <w:r>
        <w:t xml:space="preserve">, „ganz, all", im Construct mit </w:t>
      </w:r>
      <w:r>
        <w:rPr>
          <w:rStyle w:val="Fett"/>
          <w:rFonts w:eastAsiaTheme="majorEastAsia"/>
          <w:rtl/>
        </w:rPr>
        <w:t>יוֹם</w:t>
      </w:r>
      <w:r>
        <w:t xml:space="preserve">, „Tag", Plural mit Artikel, „alle Tage"), </w:t>
      </w:r>
      <w:r>
        <w:rPr>
          <w:rStyle w:val="Fett"/>
          <w:rFonts w:eastAsiaTheme="majorEastAsia"/>
          <w:rtl/>
        </w:rPr>
        <w:t>אֲשֶׁר</w:t>
      </w:r>
      <w:r>
        <w:rPr>
          <w:rtl/>
        </w:rPr>
        <w:t xml:space="preserve"> </w:t>
      </w:r>
      <w:r>
        <w:t xml:space="preserve">(Relativpronomen) mit </w:t>
      </w:r>
      <w:r>
        <w:rPr>
          <w:rStyle w:val="Fett"/>
          <w:rFonts w:eastAsiaTheme="majorEastAsia"/>
          <w:rtl/>
        </w:rPr>
        <w:t>אַתֶּם</w:t>
      </w:r>
      <w:r>
        <w:rPr>
          <w:rtl/>
        </w:rPr>
        <w:t xml:space="preserve"> </w:t>
      </w:r>
      <w:r>
        <w:t xml:space="preserve">(Personalpronomen 2. Person Maskulinum Plural) als Subjekt, </w:t>
      </w:r>
      <w:r>
        <w:rPr>
          <w:rStyle w:val="Fett"/>
          <w:rFonts w:eastAsiaTheme="majorEastAsia"/>
          <w:rtl/>
        </w:rPr>
        <w:t>חַיִּים</w:t>
      </w:r>
      <w:r>
        <w:rPr>
          <w:rtl/>
        </w:rPr>
        <w:t xml:space="preserve"> </w:t>
      </w:r>
      <w:r>
        <w:t xml:space="preserve">(Qal Partizip Maskulinum Plural von </w:t>
      </w:r>
      <w:r>
        <w:rPr>
          <w:rStyle w:val="Fett"/>
          <w:rFonts w:eastAsiaTheme="majorEastAsia"/>
          <w:rtl/>
        </w:rPr>
        <w:t>חיה</w:t>
      </w:r>
      <w:r>
        <w:t xml:space="preserve">, „leben") als Prädikat und </w:t>
      </w:r>
      <w:r>
        <w:rPr>
          <w:rStyle w:val="Fett"/>
          <w:rFonts w:eastAsiaTheme="majorEastAsia"/>
          <w:rtl/>
        </w:rPr>
        <w:t>עַל־הָאֲדָמָה</w:t>
      </w:r>
      <w:r>
        <w:rPr>
          <w:rtl/>
        </w:rPr>
        <w:t xml:space="preserve"> </w:t>
      </w:r>
      <w:r>
        <w:t xml:space="preserve">(Präposition </w:t>
      </w:r>
      <w:r>
        <w:rPr>
          <w:rStyle w:val="Fett"/>
          <w:rFonts w:eastAsiaTheme="majorEastAsia"/>
          <w:rtl/>
        </w:rPr>
        <w:t>עַל</w:t>
      </w:r>
      <w:r>
        <w:t xml:space="preserve">, „auf", mit </w:t>
      </w:r>
      <w:r>
        <w:rPr>
          <w:rStyle w:val="Fett"/>
          <w:rFonts w:eastAsiaTheme="majorEastAsia"/>
          <w:rtl/>
        </w:rPr>
        <w:t>אֲדָמָה</w:t>
      </w:r>
      <w:r>
        <w:t>, „Erdboden", mit Artikel) als lokale Bestimmung.</w:t>
      </w:r>
    </w:p>
    <w:p w14:paraId="5D21B67A" w14:textId="77777777" w:rsidR="00724090" w:rsidRDefault="00724090" w:rsidP="00724090">
      <w:pPr>
        <w:pStyle w:val="whitespace-normal"/>
      </w:pPr>
      <w:r>
        <w:t>Die Syntax zeigt, dass diese Gesetzessammlung für das Leben im verheißenen Land gilt. Der Wechsel von Plural (</w:t>
      </w:r>
      <w:r>
        <w:rPr>
          <w:rStyle w:val="Fett"/>
          <w:rFonts w:eastAsiaTheme="majorEastAsia"/>
          <w:rtl/>
        </w:rPr>
        <w:t>תִּשְׁמְרוּן</w:t>
      </w:r>
      <w:r>
        <w:t xml:space="preserve">, </w:t>
      </w:r>
      <w:r>
        <w:rPr>
          <w:rStyle w:val="Fett"/>
          <w:rFonts w:eastAsiaTheme="majorEastAsia"/>
          <w:rtl/>
        </w:rPr>
        <w:t>אַתֶּם</w:t>
      </w:r>
      <w:r>
        <w:t>) zu Singular (</w:t>
      </w:r>
      <w:r>
        <w:rPr>
          <w:rStyle w:val="Fett"/>
          <w:rFonts w:eastAsiaTheme="majorEastAsia"/>
          <w:rtl/>
        </w:rPr>
        <w:t>לְךָ</w:t>
      </w:r>
      <w:r>
        <w:t xml:space="preserve">, </w:t>
      </w:r>
      <w:r>
        <w:rPr>
          <w:rStyle w:val="Fett"/>
          <w:rFonts w:eastAsiaTheme="majorEastAsia"/>
          <w:rtl/>
        </w:rPr>
        <w:t>אֲבֹתֶיךָ</w:t>
      </w:r>
      <w:r>
        <w:t xml:space="preserve">) ist typisch für das Deuteronomium. Die Wendung </w:t>
      </w:r>
      <w:r>
        <w:rPr>
          <w:rStyle w:val="Fett"/>
          <w:rFonts w:eastAsiaTheme="majorEastAsia"/>
          <w:rtl/>
        </w:rPr>
        <w:t>כָּל־הַיָּמִים</w:t>
      </w:r>
      <w:r>
        <w:rPr>
          <w:rtl/>
        </w:rPr>
        <w:t xml:space="preserve"> </w:t>
      </w:r>
      <w:r>
        <w:t>betont die dauerhafte Gültigkeit.</w:t>
      </w:r>
    </w:p>
    <w:p w14:paraId="716240FB" w14:textId="77777777" w:rsidR="00724090" w:rsidRDefault="00724090" w:rsidP="00724090">
      <w:pPr>
        <w:pStyle w:val="whitespace-normal"/>
      </w:pPr>
      <w:r>
        <w:rPr>
          <w:rStyle w:val="Fett"/>
          <w:rFonts w:eastAsiaTheme="majorEastAsia"/>
        </w:rPr>
        <w:t>Die LXX</w:t>
      </w:r>
      <w:r>
        <w:t xml:space="preserve"> übersetzt „halten sollt, zu tun" mit „</w:t>
      </w:r>
      <w:proofErr w:type="spellStart"/>
      <w:r>
        <w:t>φυλάξεσθε</w:t>
      </w:r>
      <w:proofErr w:type="spellEnd"/>
      <w:r>
        <w:t xml:space="preserve"> π</w:t>
      </w:r>
      <w:proofErr w:type="spellStart"/>
      <w:r>
        <w:t>οιεῖν</w:t>
      </w:r>
      <w:proofErr w:type="spellEnd"/>
      <w:r>
        <w:t>".</w:t>
      </w:r>
    </w:p>
    <w:p w14:paraId="6163E387" w14:textId="77777777" w:rsidR="00724090" w:rsidRDefault="00724090" w:rsidP="00724090">
      <w:pPr>
        <w:pStyle w:val="whitespace-normal"/>
      </w:pPr>
      <w:r>
        <w:rPr>
          <w:rStyle w:val="Fett"/>
          <w:rFonts w:eastAsiaTheme="majorEastAsia"/>
        </w:rPr>
        <w:t>Die Satzstruktur</w:t>
      </w:r>
      <w:r>
        <w:t xml:space="preserve"> besteht aus einem Nominalsatz mit Relativsatz, lokaler Bestimmung und temporaler Bestimmung: Demonstratives Subjekt (dies), Prädikat (sind die Satzungen und Rechtsvorschriften), Relativsatz mit Prädikat und finalem Infinitiv (die ihr halten sollt, zu tun), lokale Bestimmung mit Relativsatz (in dem Land, das JHWH, der Gott deiner Väter, dir gegeben hat, es zu besitzen) und temporale Bestimmung (alle Tage, die ihr auf dem Erdboden lebt).</w:t>
      </w:r>
    </w:p>
    <w:p w14:paraId="501CA61B" w14:textId="77777777" w:rsidR="00724090" w:rsidRDefault="00724090" w:rsidP="00724090">
      <w:pPr>
        <w:pStyle w:val="whitespace-normal"/>
      </w:pPr>
      <w:r>
        <w:t>Der Vers bildet die Überschrift zur gesamten Gesetzessammlung Deuteronomium 12-26 und betont, dass diese Gesetze für das Leben im verheißenen Land gelten – solange Israel dort lebt.</w:t>
      </w:r>
    </w:p>
    <w:p w14:paraId="761D4182"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12,2</w:t>
      </w:r>
    </w:p>
    <w:p w14:paraId="5B67010D" w14:textId="77777777" w:rsidR="00724090" w:rsidRDefault="00724090" w:rsidP="00724090">
      <w:pPr>
        <w:pStyle w:val="whitespace-normal"/>
      </w:pPr>
      <w:r>
        <w:rPr>
          <w:rStyle w:val="Fett"/>
          <w:rFonts w:eastAsiaTheme="majorEastAsia"/>
        </w:rPr>
        <w:t>Hebräisch:</w:t>
      </w:r>
      <w:r>
        <w:t xml:space="preserve"> </w:t>
      </w:r>
      <w:r>
        <w:rPr>
          <w:rtl/>
        </w:rPr>
        <w:t>אַבֵּ֣ד תְּ֠אַבְּדוּן אֶֽת־כָּל־הַמְּקֹמ֞וֹת אֲשֶׁ֧ר עָֽבְדוּ־שָׁ֣ם הַגּוֹיִ֗ם אֲשֶׁ֥ר אַתֶּ֛ם יֹרְשִׁ֥ים אֹתָ֖ם אֶת־אֱלֹהֵיהֶ֑ם עַל־הֶהָרִ֤ים הָֽרָמִים֙ וְעַל־הַגְּבָע֔וֹת וְתַ֖חַת כָּל־עֵ֥ץ רַעֲנָן׃</w:t>
      </w:r>
    </w:p>
    <w:p w14:paraId="19A02E0F" w14:textId="7134E488" w:rsidR="00724090" w:rsidRDefault="00724090" w:rsidP="00724090">
      <w:pPr>
        <w:pStyle w:val="whitespace-normal"/>
      </w:pPr>
      <w:r>
        <w:rPr>
          <w:rStyle w:val="Fett"/>
          <w:rFonts w:eastAsiaTheme="majorEastAsia"/>
        </w:rPr>
        <w:lastRenderedPageBreak/>
        <w:t>Deutsch:</w:t>
      </w:r>
      <w:r>
        <w:t xml:space="preserve"> Ihr sollt alle Orte vollständig zerstören, wo die Nationen, die ihr vertreiben werdet, ihren Göttern gedient haben: auf den hohen Bergen und auf den Hügeln und unter jedem grünen Baum.</w:t>
      </w:r>
    </w:p>
    <w:p w14:paraId="153020A2" w14:textId="7EA5DED7" w:rsidR="009C316F" w:rsidRDefault="004F5CEB" w:rsidP="00724090">
      <w:pPr>
        <w:pStyle w:val="whitespace-normal"/>
      </w:pPr>
      <w:r>
        <w:rPr>
          <w:noProof/>
        </w:rPr>
        <w:pict w14:anchorId="726097A1">
          <v:rect id="_x0000_i1374" style="width:0;height:1.5pt" o:hralign="center" o:hrstd="t" o:hr="t" fillcolor="#a0a0a0" stroked="f"/>
        </w:pict>
      </w:r>
    </w:p>
    <w:p w14:paraId="3113C33A"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אַבֵּד תְּאַבְּדוּן</w:t>
      </w:r>
      <w:r>
        <w:rPr>
          <w:rtl/>
        </w:rPr>
        <w:t xml:space="preserve"> </w:t>
      </w:r>
      <w:r>
        <w:t xml:space="preserve">ist eine emphatische Konstruktion: </w:t>
      </w:r>
      <w:r>
        <w:rPr>
          <w:rStyle w:val="Fett"/>
          <w:rFonts w:eastAsiaTheme="majorEastAsia"/>
          <w:rtl/>
        </w:rPr>
        <w:t>אַבֵּד</w:t>
      </w:r>
      <w:r>
        <w:rPr>
          <w:rtl/>
        </w:rPr>
        <w:t xml:space="preserve"> </w:t>
      </w:r>
      <w:r>
        <w:t xml:space="preserve">(Piel Infinitiv Absolut von </w:t>
      </w:r>
      <w:r>
        <w:rPr>
          <w:rStyle w:val="Fett"/>
          <w:rFonts w:eastAsiaTheme="majorEastAsia"/>
          <w:rtl/>
        </w:rPr>
        <w:t>אבד</w:t>
      </w:r>
      <w:r>
        <w:t xml:space="preserve">, „zugrunde gehen", in der Piel-Form „vernichten, zerstören") mit </w:t>
      </w:r>
      <w:r>
        <w:rPr>
          <w:rStyle w:val="Fett"/>
          <w:rFonts w:eastAsiaTheme="majorEastAsia"/>
          <w:rtl/>
        </w:rPr>
        <w:t>תְּאַבְּדוּן</w:t>
      </w:r>
      <w:r>
        <w:rPr>
          <w:rtl/>
        </w:rPr>
        <w:t xml:space="preserve"> </w:t>
      </w:r>
      <w:r>
        <w:t xml:space="preserve">(Piel Imperfekt, 2. Person Maskulinum Plural von </w:t>
      </w:r>
      <w:r>
        <w:rPr>
          <w:rStyle w:val="Fett"/>
          <w:rFonts w:eastAsiaTheme="majorEastAsia"/>
          <w:rtl/>
        </w:rPr>
        <w:t>אבד</w:t>
      </w:r>
      <w:r>
        <w:rPr>
          <w:rtl/>
        </w:rPr>
        <w:t xml:space="preserve"> </w:t>
      </w:r>
      <w:r>
        <w:t>mit Paragogischem Nun, imperativisch). Die Kombination von Infinitiv Absolut und finitem Verb drückt Emphase aus („vollständig zerstören, gänzlich vernichten").</w:t>
      </w:r>
    </w:p>
    <w:p w14:paraId="5E355060" w14:textId="77777777" w:rsidR="00724090" w:rsidRDefault="00724090" w:rsidP="00724090">
      <w:pPr>
        <w:pStyle w:val="whitespace-normal"/>
      </w:pPr>
      <w:r>
        <w:rPr>
          <w:rStyle w:val="Fett"/>
          <w:rFonts w:eastAsiaTheme="majorEastAsia"/>
          <w:rtl/>
        </w:rPr>
        <w:t>אֶת־כָּל־הַמְּקֹמוֹת</w:t>
      </w:r>
      <w:r>
        <w:rPr>
          <w:rtl/>
        </w:rPr>
        <w:t xml:space="preserve"> </w:t>
      </w:r>
      <w:r>
        <w:t xml:space="preserve">ist das direkte Objekt: </w:t>
      </w:r>
      <w:r>
        <w:rPr>
          <w:rStyle w:val="Fett"/>
          <w:rFonts w:eastAsiaTheme="majorEastAsia"/>
          <w:rtl/>
        </w:rPr>
        <w:t>אֵת</w:t>
      </w:r>
      <w:r>
        <w:rPr>
          <w:rtl/>
        </w:rPr>
        <w:t xml:space="preserve"> </w:t>
      </w:r>
      <w:r>
        <w:t xml:space="preserve">mit </w:t>
      </w:r>
      <w:r>
        <w:rPr>
          <w:rStyle w:val="Fett"/>
          <w:rFonts w:eastAsiaTheme="majorEastAsia"/>
          <w:rtl/>
        </w:rPr>
        <w:t>כָּל־הַמְּקֹמוֹת</w:t>
      </w:r>
      <w:r>
        <w:rPr>
          <w:rtl/>
        </w:rPr>
        <w:t xml:space="preserve"> </w:t>
      </w:r>
      <w:r>
        <w:t>(</w:t>
      </w:r>
      <w:r>
        <w:rPr>
          <w:rStyle w:val="Fett"/>
          <w:rFonts w:eastAsiaTheme="majorEastAsia"/>
          <w:rtl/>
        </w:rPr>
        <w:t>כֹּל</w:t>
      </w:r>
      <w:r>
        <w:rPr>
          <w:rtl/>
        </w:rPr>
        <w:t xml:space="preserve"> </w:t>
      </w:r>
      <w:r>
        <w:t xml:space="preserve">im Construct mit </w:t>
      </w:r>
      <w:r>
        <w:rPr>
          <w:rStyle w:val="Fett"/>
          <w:rFonts w:eastAsiaTheme="majorEastAsia"/>
          <w:rtl/>
        </w:rPr>
        <w:t>מָקוֹם</w:t>
      </w:r>
      <w:r>
        <w:t xml:space="preserve">, „Ort, Platz", Plural mit Artikel). </w:t>
      </w:r>
      <w:r>
        <w:rPr>
          <w:rStyle w:val="Fett"/>
          <w:rFonts w:eastAsiaTheme="majorEastAsia"/>
          <w:rtl/>
        </w:rPr>
        <w:t>אֲשֶׁר עָבְדוּ־שָׁם הַגּוֹיִם ... אֶת־אֱלֹהֵיהֶם</w:t>
      </w:r>
      <w:r>
        <w:rPr>
          <w:rtl/>
        </w:rPr>
        <w:t xml:space="preserve"> </w:t>
      </w:r>
      <w:r>
        <w:t xml:space="preserve">ist ein Relativsatz: </w:t>
      </w:r>
      <w:r>
        <w:rPr>
          <w:rStyle w:val="Fett"/>
          <w:rFonts w:eastAsiaTheme="majorEastAsia"/>
          <w:rtl/>
        </w:rPr>
        <w:t>אֲשֶׁר</w:t>
      </w:r>
      <w:r>
        <w:rPr>
          <w:rtl/>
        </w:rPr>
        <w:t xml:space="preserve"> </w:t>
      </w:r>
      <w:r>
        <w:t xml:space="preserve">(Relativpronomen) mit </w:t>
      </w:r>
      <w:r>
        <w:rPr>
          <w:rStyle w:val="Fett"/>
          <w:rFonts w:eastAsiaTheme="majorEastAsia"/>
          <w:rtl/>
        </w:rPr>
        <w:t>עָבְדוּ</w:t>
      </w:r>
      <w:r>
        <w:rPr>
          <w:rtl/>
        </w:rPr>
        <w:t xml:space="preserve"> </w:t>
      </w:r>
      <w:r>
        <w:t xml:space="preserve">(Qal Perfekt, 3. Person Plural von </w:t>
      </w:r>
      <w:r>
        <w:rPr>
          <w:rStyle w:val="Fett"/>
          <w:rFonts w:eastAsiaTheme="majorEastAsia"/>
          <w:rtl/>
        </w:rPr>
        <w:t>עבד</w:t>
      </w:r>
      <w:r>
        <w:t xml:space="preserve">, „dienen"), </w:t>
      </w:r>
      <w:r>
        <w:rPr>
          <w:rStyle w:val="Fett"/>
          <w:rFonts w:eastAsiaTheme="majorEastAsia"/>
          <w:rtl/>
        </w:rPr>
        <w:t>שָׁם</w:t>
      </w:r>
      <w:r>
        <w:rPr>
          <w:rtl/>
        </w:rPr>
        <w:t xml:space="preserve"> </w:t>
      </w:r>
      <w:r>
        <w:t xml:space="preserve">(„dort") als lokales Adverb, </w:t>
      </w:r>
      <w:r>
        <w:rPr>
          <w:rStyle w:val="Fett"/>
          <w:rFonts w:eastAsiaTheme="majorEastAsia"/>
          <w:rtl/>
        </w:rPr>
        <w:t>הַגּוֹיִם</w:t>
      </w:r>
      <w:r>
        <w:rPr>
          <w:rtl/>
        </w:rPr>
        <w:t xml:space="preserve"> </w:t>
      </w:r>
      <w:r>
        <w:t xml:space="preserve">(„die Nationen", Plural mit Artikel) als Subjekt und </w:t>
      </w:r>
      <w:r>
        <w:rPr>
          <w:rStyle w:val="Fett"/>
          <w:rFonts w:eastAsiaTheme="majorEastAsia"/>
          <w:rtl/>
        </w:rPr>
        <w:t>אֶת־אֱלֹהֵיהֶם</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אֱלֹהִים</w:t>
      </w:r>
      <w:r>
        <w:t>, „Götter", Plural mit Suffix 3. Person Maskulinum Plural) als direktes Objekt.</w:t>
      </w:r>
    </w:p>
    <w:p w14:paraId="3E595794" w14:textId="77777777" w:rsidR="00724090" w:rsidRDefault="00724090" w:rsidP="00724090">
      <w:pPr>
        <w:pStyle w:val="whitespace-normal"/>
      </w:pPr>
      <w:r>
        <w:rPr>
          <w:rStyle w:val="Fett"/>
          <w:rFonts w:eastAsiaTheme="majorEastAsia"/>
          <w:rtl/>
        </w:rPr>
        <w:t>אֲשֶׁר אַתֶּם יֹרְשִׁים אֹתָם</w:t>
      </w:r>
      <w:r>
        <w:rPr>
          <w:rtl/>
        </w:rPr>
        <w:t xml:space="preserve"> </w:t>
      </w:r>
      <w:r>
        <w:t xml:space="preserve">ist ein zweiter Relativsatz: </w:t>
      </w:r>
      <w:r>
        <w:rPr>
          <w:rStyle w:val="Fett"/>
          <w:rFonts w:eastAsiaTheme="majorEastAsia"/>
          <w:rtl/>
        </w:rPr>
        <w:t>אֲשֶׁר</w:t>
      </w:r>
      <w:r>
        <w:rPr>
          <w:rtl/>
        </w:rPr>
        <w:t xml:space="preserve"> </w:t>
      </w:r>
      <w:r>
        <w:t xml:space="preserve">mit </w:t>
      </w:r>
      <w:r>
        <w:rPr>
          <w:rStyle w:val="Fett"/>
          <w:rFonts w:eastAsiaTheme="majorEastAsia"/>
          <w:rtl/>
        </w:rPr>
        <w:t>אַתֶּם</w:t>
      </w:r>
      <w:r>
        <w:rPr>
          <w:rtl/>
        </w:rPr>
        <w:t xml:space="preserve"> </w:t>
      </w:r>
      <w:r>
        <w:t xml:space="preserve">(Personalpronomen 2. Person Maskulinum Plural) als Subjekt, </w:t>
      </w:r>
      <w:r>
        <w:rPr>
          <w:rStyle w:val="Fett"/>
          <w:rFonts w:eastAsiaTheme="majorEastAsia"/>
          <w:rtl/>
        </w:rPr>
        <w:t>יֹרְשִׁים</w:t>
      </w:r>
      <w:r>
        <w:rPr>
          <w:rtl/>
        </w:rPr>
        <w:t xml:space="preserve"> </w:t>
      </w:r>
      <w:r>
        <w:t xml:space="preserve">(Qal Partizip Maskulinum Plural von </w:t>
      </w:r>
      <w:r>
        <w:rPr>
          <w:rStyle w:val="Fett"/>
          <w:rFonts w:eastAsiaTheme="majorEastAsia"/>
          <w:rtl/>
        </w:rPr>
        <w:t>ירשׁ</w:t>
      </w:r>
      <w:r>
        <w:t xml:space="preserve">, „vertreiben, in Besitz nehmen") als Prädikat und </w:t>
      </w:r>
      <w:r>
        <w:rPr>
          <w:rStyle w:val="Fett"/>
          <w:rFonts w:eastAsiaTheme="majorEastAsia"/>
          <w:rtl/>
        </w:rPr>
        <w:t>אֹתָם</w:t>
      </w:r>
      <w:r>
        <w:rPr>
          <w:rtl/>
        </w:rPr>
        <w:t xml:space="preserve"> </w:t>
      </w:r>
      <w:r>
        <w:t xml:space="preserve">(Objektpartikel </w:t>
      </w:r>
      <w:r>
        <w:rPr>
          <w:rStyle w:val="Fett"/>
          <w:rFonts w:eastAsiaTheme="majorEastAsia"/>
          <w:rtl/>
        </w:rPr>
        <w:t>אֵת</w:t>
      </w:r>
      <w:r>
        <w:rPr>
          <w:rtl/>
        </w:rPr>
        <w:t xml:space="preserve"> </w:t>
      </w:r>
      <w:r>
        <w:t xml:space="preserve">mit Suffix 3. Person Maskulinum Plural, rückverweisend auf </w:t>
      </w:r>
      <w:r>
        <w:rPr>
          <w:rStyle w:val="Fett"/>
          <w:rFonts w:eastAsiaTheme="majorEastAsia"/>
          <w:rtl/>
        </w:rPr>
        <w:t>הַגּוֹיִם</w:t>
      </w:r>
      <w:r>
        <w:t>) als direktes Objekt.</w:t>
      </w:r>
    </w:p>
    <w:p w14:paraId="0481A767" w14:textId="77777777" w:rsidR="00724090" w:rsidRDefault="00724090" w:rsidP="00724090">
      <w:pPr>
        <w:pStyle w:val="whitespace-normal"/>
      </w:pPr>
      <w:r>
        <w:rPr>
          <w:rStyle w:val="Fett"/>
          <w:rFonts w:eastAsiaTheme="majorEastAsia"/>
          <w:rtl/>
        </w:rPr>
        <w:t>עַל־הֶהָרִים הָרָמִים וְעַל־הַגְּבָעוֹת וְתַחַת כָּל־עֵץ רַעֲנָן</w:t>
      </w:r>
      <w:r>
        <w:rPr>
          <w:rtl/>
        </w:rPr>
        <w:t xml:space="preserve"> </w:t>
      </w:r>
      <w:r>
        <w:t xml:space="preserve">ist eine dreifache lokale Bestimmung: </w:t>
      </w:r>
      <w:r>
        <w:rPr>
          <w:rStyle w:val="Fett"/>
          <w:rFonts w:eastAsiaTheme="majorEastAsia"/>
          <w:rtl/>
        </w:rPr>
        <w:t>עַל־הֶהָרִים הָרָמִים</w:t>
      </w:r>
      <w:r>
        <w:rPr>
          <w:rtl/>
        </w:rPr>
        <w:t xml:space="preserve"> </w:t>
      </w:r>
      <w:r>
        <w:t xml:space="preserve">(Präposition </w:t>
      </w:r>
      <w:r>
        <w:rPr>
          <w:rStyle w:val="Fett"/>
          <w:rFonts w:eastAsiaTheme="majorEastAsia"/>
          <w:rtl/>
        </w:rPr>
        <w:t>עַל</w:t>
      </w:r>
      <w:r>
        <w:t xml:space="preserve">, „auf", mit </w:t>
      </w:r>
      <w:r>
        <w:rPr>
          <w:rStyle w:val="Fett"/>
          <w:rFonts w:eastAsiaTheme="majorEastAsia"/>
          <w:rtl/>
        </w:rPr>
        <w:t>הַר</w:t>
      </w:r>
      <w:r>
        <w:t xml:space="preserve">, „Berg", Plural mit Artikel und Adjektiv </w:t>
      </w:r>
      <w:r>
        <w:rPr>
          <w:rStyle w:val="Fett"/>
          <w:rFonts w:eastAsiaTheme="majorEastAsia"/>
          <w:rtl/>
        </w:rPr>
        <w:t>רָם</w:t>
      </w:r>
      <w:r>
        <w:t xml:space="preserve">, „hoch", Plural mit Artikel), </w:t>
      </w:r>
      <w:r>
        <w:rPr>
          <w:rStyle w:val="Fett"/>
          <w:rFonts w:eastAsiaTheme="majorEastAsia"/>
          <w:rtl/>
        </w:rPr>
        <w:t>וְעַל־הַגְּבָעוֹת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גִּבְעָה</w:t>
      </w:r>
      <w:r>
        <w:t xml:space="preserve">, „Hügel", Plural mit Artikel) und </w:t>
      </w:r>
      <w:r>
        <w:rPr>
          <w:rStyle w:val="Fett"/>
          <w:rFonts w:eastAsiaTheme="majorEastAsia"/>
          <w:rtl/>
        </w:rPr>
        <w:t>וְתַחַת כָּל־עֵץ רַעֲנָן</w:t>
      </w:r>
      <w:r>
        <w:rPr>
          <w:rtl/>
        </w:rPr>
        <w:t xml:space="preserve"> </w:t>
      </w:r>
      <w:r>
        <w:t xml:space="preserve">(koordiniert durch </w:t>
      </w:r>
      <w:r>
        <w:rPr>
          <w:rStyle w:val="Fett"/>
          <w:rFonts w:eastAsiaTheme="majorEastAsia"/>
          <w:rtl/>
        </w:rPr>
        <w:t>וְ</w:t>
      </w:r>
      <w:r>
        <w:rPr>
          <w:rtl/>
        </w:rPr>
        <w:t xml:space="preserve"> </w:t>
      </w:r>
      <w:r>
        <w:t xml:space="preserve">mit Präposition </w:t>
      </w:r>
      <w:r>
        <w:rPr>
          <w:rStyle w:val="Fett"/>
          <w:rFonts w:eastAsiaTheme="majorEastAsia"/>
          <w:rtl/>
        </w:rPr>
        <w:t>תַּחַת</w:t>
      </w:r>
      <w:r>
        <w:t xml:space="preserve">, „unter", </w:t>
      </w:r>
      <w:r>
        <w:rPr>
          <w:rStyle w:val="Fett"/>
          <w:rFonts w:eastAsiaTheme="majorEastAsia"/>
          <w:rtl/>
        </w:rPr>
        <w:t>כָּל־עֵץ</w:t>
      </w:r>
      <w:r>
        <w:t xml:space="preserve">, „jeder Baum", und Adjektiv </w:t>
      </w:r>
      <w:r>
        <w:rPr>
          <w:rStyle w:val="Fett"/>
          <w:rFonts w:eastAsiaTheme="majorEastAsia"/>
          <w:rtl/>
        </w:rPr>
        <w:t>רַעֲנָן</w:t>
      </w:r>
      <w:r>
        <w:t>, „grün, frisch", Maskulinum Singular).</w:t>
      </w:r>
    </w:p>
    <w:p w14:paraId="7CFFDDB3" w14:textId="6D71806D" w:rsidR="00724090" w:rsidRDefault="00724090" w:rsidP="00724090">
      <w:pPr>
        <w:pStyle w:val="whitespace-normal"/>
      </w:pPr>
      <w:r>
        <w:t xml:space="preserve">Die dreifache Lokalisierung beschreibt die typischen Kulthöhen der Kanaaniter: Berge, Hügel und Bäume waren bevorzugte Kultstätten. Die Wendung </w:t>
      </w:r>
      <w:r>
        <w:rPr>
          <w:rStyle w:val="Fett"/>
          <w:rFonts w:eastAsiaTheme="majorEastAsia"/>
          <w:rtl/>
        </w:rPr>
        <w:t>תַחַת כָּל־עֵץ רַעֲנָן</w:t>
      </w:r>
      <w:r>
        <w:rPr>
          <w:rtl/>
        </w:rPr>
        <w:t xml:space="preserve"> </w:t>
      </w:r>
      <w:r>
        <w:t xml:space="preserve">ist eine feste prophetische Formel für Götzendienst (vgl. 1Kön 14,23; 2Kön 16,4; 17,10; Jer 2,20; 3,6.13; </w:t>
      </w:r>
      <w:r w:rsidR="00BF3748">
        <w:t>Hes</w:t>
      </w:r>
      <w:r>
        <w:t xml:space="preserve"> 6,13). Die emphatische Konstruktion </w:t>
      </w:r>
      <w:r>
        <w:rPr>
          <w:rStyle w:val="Fett"/>
          <w:rFonts w:eastAsiaTheme="majorEastAsia"/>
          <w:rtl/>
        </w:rPr>
        <w:t>אַבֵּד תְּאַבְּדוּן</w:t>
      </w:r>
      <w:r>
        <w:rPr>
          <w:rtl/>
        </w:rPr>
        <w:t xml:space="preserve"> </w:t>
      </w:r>
      <w:r>
        <w:t>unterstreicht die Radikalität der geforderten Maßnahme.</w:t>
      </w:r>
    </w:p>
    <w:p w14:paraId="7EE92092" w14:textId="77777777" w:rsidR="00724090" w:rsidRDefault="00724090" w:rsidP="00724090">
      <w:pPr>
        <w:pStyle w:val="whitespace-normal"/>
      </w:pPr>
      <w:r>
        <w:rPr>
          <w:rStyle w:val="Fett"/>
          <w:rFonts w:eastAsiaTheme="majorEastAsia"/>
        </w:rPr>
        <w:t>Die LXX</w:t>
      </w:r>
      <w:r>
        <w:t xml:space="preserve"> übersetzt „vollständig zerstören" mit „ἀπ</w:t>
      </w:r>
      <w:proofErr w:type="spellStart"/>
      <w:r>
        <w:t>ωλείᾳ</w:t>
      </w:r>
      <w:proofErr w:type="spellEnd"/>
      <w:r>
        <w:t xml:space="preserve"> ἀπ</w:t>
      </w:r>
      <w:proofErr w:type="spellStart"/>
      <w:r>
        <w:t>ολεῖτε</w:t>
      </w:r>
      <w:proofErr w:type="spellEnd"/>
      <w:r>
        <w:t xml:space="preserve">", „auf den hohen Bergen" mit „ἐπὶ </w:t>
      </w:r>
      <w:proofErr w:type="spellStart"/>
      <w:r>
        <w:t>τῶν</w:t>
      </w:r>
      <w:proofErr w:type="spellEnd"/>
      <w:r>
        <w:t xml:space="preserve"> </w:t>
      </w:r>
      <w:proofErr w:type="spellStart"/>
      <w:r>
        <w:t>ὀρέων</w:t>
      </w:r>
      <w:proofErr w:type="spellEnd"/>
      <w:r>
        <w:t xml:space="preserve"> </w:t>
      </w:r>
      <w:proofErr w:type="spellStart"/>
      <w:r>
        <w:t>τῶν</w:t>
      </w:r>
      <w:proofErr w:type="spellEnd"/>
      <w:r>
        <w:t xml:space="preserve"> </w:t>
      </w:r>
      <w:proofErr w:type="spellStart"/>
      <w:r>
        <w:t>ὑψηλῶν</w:t>
      </w:r>
      <w:proofErr w:type="spellEnd"/>
      <w:r>
        <w:t>" und „unter jedem grünen Baum" mit „ὑπ</w:t>
      </w:r>
      <w:proofErr w:type="spellStart"/>
      <w:r>
        <w:t>οκάτω</w:t>
      </w:r>
      <w:proofErr w:type="spellEnd"/>
      <w:r>
        <w:t xml:space="preserve"> πα</w:t>
      </w:r>
      <w:proofErr w:type="spellStart"/>
      <w:r>
        <w:t>ντὸς</w:t>
      </w:r>
      <w:proofErr w:type="spellEnd"/>
      <w:r>
        <w:t xml:space="preserve"> </w:t>
      </w:r>
      <w:proofErr w:type="spellStart"/>
      <w:r>
        <w:t>ξύλου</w:t>
      </w:r>
      <w:proofErr w:type="spellEnd"/>
      <w:r>
        <w:t xml:space="preserve"> δα</w:t>
      </w:r>
      <w:proofErr w:type="spellStart"/>
      <w:r>
        <w:t>σέος</w:t>
      </w:r>
      <w:proofErr w:type="spellEnd"/>
      <w:r>
        <w:t>".</w:t>
      </w:r>
    </w:p>
    <w:p w14:paraId="50938DAE" w14:textId="77777777" w:rsidR="00724090" w:rsidRDefault="00724090" w:rsidP="00724090">
      <w:pPr>
        <w:pStyle w:val="whitespace-normal"/>
      </w:pPr>
      <w:r>
        <w:rPr>
          <w:rStyle w:val="Fett"/>
          <w:rFonts w:eastAsiaTheme="majorEastAsia"/>
        </w:rPr>
        <w:t>Die Satzstruktur</w:t>
      </w:r>
      <w:r>
        <w:t xml:space="preserve"> besteht aus einer emphatischen Konstruktion mit direktem Objekt, zwei Relativsätzen und dreifacher lokaler Bestimmung: Emphatische Konstruktion mit Infinitiv Absolut und finitem Verb (vollständig zerstören), direktes Objekt (alle Orte), erster Relativsatz (wo gedient haben die Nationen ihren Göttern), zweiter Relativsatz (die ihr vertreibt), dreifache lokale Bestimmung (auf den hohen Bergen, auf den Hügeln, unter jedem grünen Baum).</w:t>
      </w:r>
    </w:p>
    <w:p w14:paraId="47AF23CD" w14:textId="77777777" w:rsidR="00724090" w:rsidRDefault="00724090" w:rsidP="00724090">
      <w:pPr>
        <w:pStyle w:val="whitespace-normal"/>
      </w:pPr>
      <w:r>
        <w:lastRenderedPageBreak/>
        <w:t>Der Vers fordert die vollständige Zerstörung aller kanaanäischen Kultstätten – eine radikale Maßnahme zur Vermeidung synkretistischer Versuchungen.</w:t>
      </w:r>
    </w:p>
    <w:p w14:paraId="24FD5647"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12,3</w:t>
      </w:r>
    </w:p>
    <w:p w14:paraId="25E39D5D" w14:textId="77777777" w:rsidR="00724090" w:rsidRDefault="00724090" w:rsidP="00724090">
      <w:pPr>
        <w:pStyle w:val="whitespace-normal"/>
      </w:pPr>
      <w:r>
        <w:rPr>
          <w:rStyle w:val="Fett"/>
          <w:rFonts w:eastAsiaTheme="majorEastAsia"/>
        </w:rPr>
        <w:t>Hebräisch:</w:t>
      </w:r>
      <w:r>
        <w:t xml:space="preserve"> </w:t>
      </w:r>
      <w:r>
        <w:rPr>
          <w:rtl/>
        </w:rPr>
        <w:t>וְנִתַּצְתֶּ֣ם אֶת־מִזְבּחֹתָ֗ם וְשִׁבַּרְתֶּם֙ אֶת־מַצֵּ֣בֹתָ֔ם וַאֲשֵֽׁרֵיהֶם֙ תִּשְׂרְפ֣וּן בָּאֵ֔שׁ וּפְסִילֵ֥י אֱלֹֽהֵיהֶ֖ם תְּגַדֵּע֑וּן וְאִבַּדְתֶּ֣ם אֶת־שְׁמָ֔ם מִן־הַמָּק֖וֹם הַהֽוּא׃</w:t>
      </w:r>
    </w:p>
    <w:p w14:paraId="2818BBC6" w14:textId="3C62D8EA" w:rsidR="00724090" w:rsidRDefault="00724090" w:rsidP="00724090">
      <w:pPr>
        <w:pStyle w:val="whitespace-normal"/>
      </w:pPr>
      <w:r>
        <w:rPr>
          <w:rStyle w:val="Fett"/>
          <w:rFonts w:eastAsiaTheme="majorEastAsia"/>
        </w:rPr>
        <w:t>Deutsch:</w:t>
      </w:r>
      <w:r>
        <w:t xml:space="preserve"> Und ihr sollt ihre Altäre niederreißen und ihre Gedenksteine zerbrechen und ihre Ascherim mit Feuer verbrennen und die geschnitzten Bilder ihrer Götter umhauen; und ihr sollt ihre Namen aus jenem Ort vertilgen.</w:t>
      </w:r>
    </w:p>
    <w:p w14:paraId="372857C2" w14:textId="31B62670" w:rsidR="009C316F" w:rsidRDefault="004F5CEB" w:rsidP="00724090">
      <w:pPr>
        <w:pStyle w:val="whitespace-normal"/>
      </w:pPr>
      <w:r>
        <w:rPr>
          <w:noProof/>
        </w:rPr>
        <w:pict w14:anchorId="21BB83A5">
          <v:rect id="_x0000_i1375" style="width:0;height:1.5pt" o:hralign="center" o:hrstd="t" o:hr="t" fillcolor="#a0a0a0" stroked="f"/>
        </w:pict>
      </w:r>
    </w:p>
    <w:p w14:paraId="57E85D3D"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וְנִתַּצְתֶּם אֶת־מִזְבּחֹתָם</w:t>
      </w:r>
      <w:r>
        <w:rPr>
          <w:rtl/>
        </w:rPr>
        <w:t xml:space="preserve"> </w:t>
      </w:r>
      <w:r>
        <w:t xml:space="preserve">ist der erste von fünf koordinierten Imperativen: </w:t>
      </w:r>
      <w:r>
        <w:rPr>
          <w:rStyle w:val="Fett"/>
          <w:rFonts w:eastAsiaTheme="majorEastAsia"/>
          <w:rtl/>
        </w:rPr>
        <w:t>וְנִתַּצְתֶּם</w:t>
      </w:r>
      <w:r>
        <w:rPr>
          <w:rtl/>
        </w:rPr>
        <w:t xml:space="preserve"> </w:t>
      </w:r>
      <w:r>
        <w:t xml:space="preserve">(Piel Perfekt, 2. Person Maskulinum Plural von </w:t>
      </w:r>
      <w:r>
        <w:rPr>
          <w:rStyle w:val="Fett"/>
          <w:rFonts w:eastAsiaTheme="majorEastAsia"/>
          <w:rtl/>
        </w:rPr>
        <w:t>נתץ</w:t>
      </w:r>
      <w:r>
        <w:t xml:space="preserve">, „niederreißen, zerstören", mit </w:t>
      </w:r>
      <w:r>
        <w:rPr>
          <w:rStyle w:val="Fett"/>
          <w:rFonts w:eastAsiaTheme="majorEastAsia"/>
        </w:rPr>
        <w:t>Waw</w:t>
      </w:r>
      <w:r>
        <w:t xml:space="preserve">, imperativisch) und </w:t>
      </w:r>
      <w:r>
        <w:rPr>
          <w:rStyle w:val="Fett"/>
          <w:rFonts w:eastAsiaTheme="majorEastAsia"/>
          <w:rtl/>
        </w:rPr>
        <w:t>אֶת־מִזְבּחֹתָם</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מִזְבֵּחַ</w:t>
      </w:r>
      <w:r>
        <w:t>, „Altar", Plural mit Suffix 3. Person Maskulinum Plural). Die Piel-Form verstärkt die Intensität der Handlung.</w:t>
      </w:r>
    </w:p>
    <w:p w14:paraId="084DE3DA" w14:textId="77777777" w:rsidR="00724090" w:rsidRDefault="00724090" w:rsidP="00724090">
      <w:pPr>
        <w:pStyle w:val="whitespace-normal"/>
      </w:pPr>
      <w:r>
        <w:rPr>
          <w:rStyle w:val="Fett"/>
          <w:rFonts w:eastAsiaTheme="majorEastAsia"/>
          <w:rtl/>
        </w:rPr>
        <w:t>וְשִׁבַּרְתֶּם אֶת־מַצֵּבֹתָם</w:t>
      </w:r>
      <w:r>
        <w:rPr>
          <w:rtl/>
        </w:rPr>
        <w:t xml:space="preserve"> </w:t>
      </w:r>
      <w:r>
        <w:t xml:space="preserve">ist der zweite Imperativ: </w:t>
      </w:r>
      <w:r>
        <w:rPr>
          <w:rStyle w:val="Fett"/>
          <w:rFonts w:eastAsiaTheme="majorEastAsia"/>
          <w:rtl/>
        </w:rPr>
        <w:t>וְשִׁבַּרְתֶּם</w:t>
      </w:r>
      <w:r>
        <w:rPr>
          <w:rtl/>
        </w:rPr>
        <w:t xml:space="preserve"> </w:t>
      </w:r>
      <w:r>
        <w:t xml:space="preserve">(Piel Perfekt, 2. Person Maskulinum Plural von </w:t>
      </w:r>
      <w:r>
        <w:rPr>
          <w:rStyle w:val="Fett"/>
          <w:rFonts w:eastAsiaTheme="majorEastAsia"/>
          <w:rtl/>
        </w:rPr>
        <w:t>שׁבר</w:t>
      </w:r>
      <w:r>
        <w:t xml:space="preserve">, „zerbrechen, zerschlagen", mit </w:t>
      </w:r>
      <w:r>
        <w:rPr>
          <w:rStyle w:val="Fett"/>
          <w:rFonts w:eastAsiaTheme="majorEastAsia"/>
        </w:rPr>
        <w:t>Waw</w:t>
      </w:r>
      <w:r>
        <w:t xml:space="preserve">, imperativisch) und </w:t>
      </w:r>
      <w:r>
        <w:rPr>
          <w:rStyle w:val="Fett"/>
          <w:rFonts w:eastAsiaTheme="majorEastAsia"/>
          <w:rtl/>
        </w:rPr>
        <w:t>אֶת־מַצֵּבֹתָם</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מַצֵּבָה</w:t>
      </w:r>
      <w:r>
        <w:t xml:space="preserve">, „Gedenkstein, Steinsäule", Plural mit Suffix 3. Person Maskulinum Plural). Die </w:t>
      </w:r>
      <w:r>
        <w:rPr>
          <w:rStyle w:val="Fett"/>
          <w:rFonts w:eastAsiaTheme="majorEastAsia"/>
          <w:rtl/>
        </w:rPr>
        <w:t>מַצֵּבוֹת</w:t>
      </w:r>
      <w:r>
        <w:rPr>
          <w:rtl/>
        </w:rPr>
        <w:t xml:space="preserve"> </w:t>
      </w:r>
      <w:r>
        <w:t>waren aufrecht stehende Steinsäulen mit kultischer Bedeutung.</w:t>
      </w:r>
    </w:p>
    <w:p w14:paraId="2F2ACAE2" w14:textId="77777777" w:rsidR="00724090" w:rsidRDefault="00724090" w:rsidP="00724090">
      <w:pPr>
        <w:pStyle w:val="whitespace-normal"/>
      </w:pPr>
      <w:r>
        <w:rPr>
          <w:rStyle w:val="Fett"/>
          <w:rFonts w:eastAsiaTheme="majorEastAsia"/>
          <w:rtl/>
        </w:rPr>
        <w:t>וַאֲשֵׁרֵיהֶם תִּשְׂרְפוּן בָּאֵשׁ</w:t>
      </w:r>
      <w:r>
        <w:rPr>
          <w:rtl/>
        </w:rPr>
        <w:t xml:space="preserve"> </w:t>
      </w:r>
      <w:r>
        <w:t xml:space="preserve">ist der dritte Imperativ mit vorangestelltem Objekt: </w:t>
      </w:r>
      <w:r>
        <w:rPr>
          <w:rStyle w:val="Fett"/>
          <w:rFonts w:eastAsiaTheme="majorEastAsia"/>
          <w:rtl/>
        </w:rPr>
        <w:t>וַאֲשֵׁרֵיהֶם</w:t>
      </w:r>
      <w:r>
        <w:rPr>
          <w:rtl/>
        </w:rPr>
        <w:t xml:space="preserve"> </w:t>
      </w:r>
      <w:r>
        <w:t xml:space="preserve">(koordiniert durch </w:t>
      </w:r>
      <w:r>
        <w:rPr>
          <w:rStyle w:val="Fett"/>
          <w:rFonts w:eastAsiaTheme="majorEastAsia"/>
          <w:rtl/>
        </w:rPr>
        <w:t>וְ</w:t>
      </w:r>
      <w:r>
        <w:rPr>
          <w:rtl/>
        </w:rPr>
        <w:t xml:space="preserve"> </w:t>
      </w:r>
      <w:r>
        <w:t xml:space="preserve">mit Objektpartikel und </w:t>
      </w:r>
      <w:r>
        <w:rPr>
          <w:rStyle w:val="Fett"/>
          <w:rFonts w:eastAsiaTheme="majorEastAsia"/>
          <w:rtl/>
        </w:rPr>
        <w:t>אֲשֵׁרָה</w:t>
      </w:r>
      <w:r>
        <w:t xml:space="preserve">, „Aschera, Kultpfahl", Plural mit Suffix 3. Person Maskulinum Plural), </w:t>
      </w:r>
      <w:r>
        <w:rPr>
          <w:rStyle w:val="Fett"/>
          <w:rFonts w:eastAsiaTheme="majorEastAsia"/>
          <w:rtl/>
        </w:rPr>
        <w:t>תִּשְׂרְפוּן</w:t>
      </w:r>
      <w:r>
        <w:rPr>
          <w:rtl/>
        </w:rPr>
        <w:t xml:space="preserve"> </w:t>
      </w:r>
      <w:r>
        <w:t xml:space="preserve">(Qal Imperfekt, 2. Person Maskulinum Plural von </w:t>
      </w:r>
      <w:r>
        <w:rPr>
          <w:rStyle w:val="Fett"/>
          <w:rFonts w:eastAsiaTheme="majorEastAsia"/>
          <w:rtl/>
        </w:rPr>
        <w:t>שׂרף</w:t>
      </w:r>
      <w:r>
        <w:t xml:space="preserve">, „verbrennen", mit Paragogischem Nun, imperativisch) und </w:t>
      </w:r>
      <w:r>
        <w:rPr>
          <w:rStyle w:val="Fett"/>
          <w:rFonts w:eastAsiaTheme="majorEastAsia"/>
          <w:rtl/>
        </w:rPr>
        <w:t>בָּאֵשׁ</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אֵשׁ</w:t>
      </w:r>
      <w:r>
        <w:t xml:space="preserve">, „Feuer", mit Artikel). Die </w:t>
      </w:r>
      <w:r>
        <w:rPr>
          <w:rStyle w:val="Fett"/>
          <w:rFonts w:eastAsiaTheme="majorEastAsia"/>
          <w:rtl/>
        </w:rPr>
        <w:t>אֲשֵׁרוֹת</w:t>
      </w:r>
      <w:r>
        <w:rPr>
          <w:rtl/>
        </w:rPr>
        <w:t xml:space="preserve"> </w:t>
      </w:r>
      <w:r>
        <w:t>waren hölzerne Kultpfähle oder -bäume der Göttin Aschera.</w:t>
      </w:r>
    </w:p>
    <w:p w14:paraId="17B60BC8" w14:textId="77777777" w:rsidR="00724090" w:rsidRDefault="00724090" w:rsidP="00724090">
      <w:pPr>
        <w:pStyle w:val="whitespace-normal"/>
      </w:pPr>
      <w:r>
        <w:rPr>
          <w:rStyle w:val="Fett"/>
          <w:rFonts w:eastAsiaTheme="majorEastAsia"/>
          <w:rtl/>
        </w:rPr>
        <w:t>וּפְסִילֵי אֱלֹהֵיהֶם תְּגַדֵּעוּן</w:t>
      </w:r>
      <w:r>
        <w:rPr>
          <w:rtl/>
        </w:rPr>
        <w:t xml:space="preserve"> </w:t>
      </w:r>
      <w:r>
        <w:t xml:space="preserve">ist der vierte Imperativ mit vorangestelltem Objekt: </w:t>
      </w:r>
      <w:r>
        <w:rPr>
          <w:rStyle w:val="Fett"/>
          <w:rFonts w:eastAsiaTheme="majorEastAsia"/>
          <w:rtl/>
        </w:rPr>
        <w:t>וּפְסִילֵי אֱלֹהֵיהֶם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פֶּסֶל</w:t>
      </w:r>
      <w:r>
        <w:t xml:space="preserve">, „geschnitztes Bild, Götzenbild", Plural Construct mit </w:t>
      </w:r>
      <w:r>
        <w:rPr>
          <w:rStyle w:val="Fett"/>
          <w:rFonts w:eastAsiaTheme="majorEastAsia"/>
          <w:rtl/>
        </w:rPr>
        <w:t>אֱלֹהִים</w:t>
      </w:r>
      <w:r>
        <w:t xml:space="preserve">, Plural mit Suffix 3. Person Maskulinum Plural) und </w:t>
      </w:r>
      <w:r>
        <w:rPr>
          <w:rStyle w:val="Fett"/>
          <w:rFonts w:eastAsiaTheme="majorEastAsia"/>
          <w:rtl/>
        </w:rPr>
        <w:t>תְּגַדֵּעוּן</w:t>
      </w:r>
      <w:r>
        <w:rPr>
          <w:rtl/>
        </w:rPr>
        <w:t xml:space="preserve"> </w:t>
      </w:r>
      <w:r>
        <w:t xml:space="preserve">(Piel Imperfekt, 2. Person Maskulinum Plural von </w:t>
      </w:r>
      <w:r>
        <w:rPr>
          <w:rStyle w:val="Fett"/>
          <w:rFonts w:eastAsiaTheme="majorEastAsia"/>
          <w:rtl/>
        </w:rPr>
        <w:t>גדע</w:t>
      </w:r>
      <w:r>
        <w:t>, „abhauen, umhauen", mit Paragogischem Nun, imperativisch).</w:t>
      </w:r>
    </w:p>
    <w:p w14:paraId="3DEEBCAA" w14:textId="77777777" w:rsidR="00724090" w:rsidRDefault="00724090" w:rsidP="00724090">
      <w:pPr>
        <w:pStyle w:val="whitespace-normal"/>
      </w:pPr>
      <w:r>
        <w:rPr>
          <w:rStyle w:val="Fett"/>
          <w:rFonts w:eastAsiaTheme="majorEastAsia"/>
          <w:rtl/>
        </w:rPr>
        <w:t>וְאִבַּדְתֶּם אֶת־שְׁמָם מִן־הַמָּקוֹם הַהוּא</w:t>
      </w:r>
      <w:r>
        <w:rPr>
          <w:rtl/>
        </w:rPr>
        <w:t xml:space="preserve"> </w:t>
      </w:r>
      <w:r>
        <w:t xml:space="preserve">ist der fünfte Imperativ: </w:t>
      </w:r>
      <w:r>
        <w:rPr>
          <w:rStyle w:val="Fett"/>
          <w:rFonts w:eastAsiaTheme="majorEastAsia"/>
          <w:rtl/>
        </w:rPr>
        <w:t>וְאִבַּדְתֶּם</w:t>
      </w:r>
      <w:r>
        <w:rPr>
          <w:rtl/>
        </w:rPr>
        <w:t xml:space="preserve"> </w:t>
      </w:r>
      <w:r>
        <w:t xml:space="preserve">(Piel Perfekt, 2. Person Maskulinum Plural von </w:t>
      </w:r>
      <w:r>
        <w:rPr>
          <w:rStyle w:val="Fett"/>
          <w:rFonts w:eastAsiaTheme="majorEastAsia"/>
          <w:rtl/>
        </w:rPr>
        <w:t>אבד</w:t>
      </w:r>
      <w:r>
        <w:t xml:space="preserve">, „vertilgen, vernichten", mit </w:t>
      </w:r>
      <w:r>
        <w:rPr>
          <w:rStyle w:val="Fett"/>
          <w:rFonts w:eastAsiaTheme="majorEastAsia"/>
        </w:rPr>
        <w:t>Waw</w:t>
      </w:r>
      <w:r>
        <w:t xml:space="preserve">, imperativisch), </w:t>
      </w:r>
      <w:r>
        <w:rPr>
          <w:rStyle w:val="Fett"/>
          <w:rFonts w:eastAsiaTheme="majorEastAsia"/>
          <w:rtl/>
        </w:rPr>
        <w:t>אֶת־שְׁמָם</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שֵׁם</w:t>
      </w:r>
      <w:r>
        <w:t xml:space="preserve">, „Name", Plural mit Suffix 3. Person Maskulinum Plural) als direktes Objekt und </w:t>
      </w:r>
      <w:r>
        <w:rPr>
          <w:rStyle w:val="Fett"/>
          <w:rFonts w:eastAsiaTheme="majorEastAsia"/>
          <w:rtl/>
        </w:rPr>
        <w:t>מִן־הַמָּקוֹם הַהוּא</w:t>
      </w:r>
      <w:r>
        <w:rPr>
          <w:rtl/>
        </w:rPr>
        <w:t xml:space="preserve"> </w:t>
      </w:r>
      <w:r>
        <w:t xml:space="preserve">(Präposition </w:t>
      </w:r>
      <w:r>
        <w:rPr>
          <w:rStyle w:val="Fett"/>
          <w:rFonts w:eastAsiaTheme="majorEastAsia"/>
          <w:rtl/>
        </w:rPr>
        <w:t>מִן</w:t>
      </w:r>
      <w:r>
        <w:t xml:space="preserve">, „von, aus", mit </w:t>
      </w:r>
      <w:r>
        <w:rPr>
          <w:rStyle w:val="Fett"/>
          <w:rFonts w:eastAsiaTheme="majorEastAsia"/>
          <w:rtl/>
        </w:rPr>
        <w:t>מָקוֹם</w:t>
      </w:r>
      <w:r>
        <w:t xml:space="preserve">, „Ort", mit Artikel und Demonstrativpronomen </w:t>
      </w:r>
      <w:r>
        <w:rPr>
          <w:rStyle w:val="Fett"/>
          <w:rFonts w:eastAsiaTheme="majorEastAsia"/>
          <w:rtl/>
        </w:rPr>
        <w:t>הוּא</w:t>
      </w:r>
      <w:r>
        <w:t>, „jener") als Herkunftsangabe.</w:t>
      </w:r>
    </w:p>
    <w:p w14:paraId="0AC8AAC4" w14:textId="77777777" w:rsidR="00724090" w:rsidRDefault="00724090" w:rsidP="00724090">
      <w:pPr>
        <w:pStyle w:val="whitespace-normal"/>
      </w:pPr>
      <w:r>
        <w:t>Die fünf Imperative beschreiben eine systematische Vernichtung aller Elemente des kanaanäischen Kultes: Altäre, Steinsäulen, Kultpfähle, Götzenbilder und schließlich sogar die Namen. Die Klimax liegt in der Auslöschung der Namen – damit wird jede Erinnerung getilgt. Die Voranstellung der Objekte in den letzten drei Sätzen verleiht ihnen besonderen Nachdruck.</w:t>
      </w:r>
    </w:p>
    <w:p w14:paraId="4F4BCEFC" w14:textId="77777777" w:rsidR="00724090" w:rsidRDefault="00724090" w:rsidP="00724090">
      <w:pPr>
        <w:pStyle w:val="whitespace-normal"/>
      </w:pPr>
      <w:r>
        <w:rPr>
          <w:rStyle w:val="Fett"/>
          <w:rFonts w:eastAsiaTheme="majorEastAsia"/>
        </w:rPr>
        <w:lastRenderedPageBreak/>
        <w:t>Die LXX</w:t>
      </w:r>
      <w:r>
        <w:t xml:space="preserve"> übersetzt „niederreißen" mit „κα</w:t>
      </w:r>
      <w:proofErr w:type="spellStart"/>
      <w:r>
        <w:t>θελεῖτε</w:t>
      </w:r>
      <w:proofErr w:type="spellEnd"/>
      <w:r>
        <w:t>", „zerbrechen" mit „</w:t>
      </w:r>
      <w:proofErr w:type="spellStart"/>
      <w:r>
        <w:t>συντρίψετε</w:t>
      </w:r>
      <w:proofErr w:type="spellEnd"/>
      <w:r>
        <w:t>", „verbrennen" mit „κατακα</w:t>
      </w:r>
      <w:proofErr w:type="spellStart"/>
      <w:r>
        <w:t>ύσετε</w:t>
      </w:r>
      <w:proofErr w:type="spellEnd"/>
      <w:r>
        <w:t>", „umhauen" mit „κατα</w:t>
      </w:r>
      <w:proofErr w:type="spellStart"/>
      <w:r>
        <w:t>κόψετε</w:t>
      </w:r>
      <w:proofErr w:type="spellEnd"/>
      <w:r>
        <w:t>" und „vertilgen ihre Namen" mit „ἀπ</w:t>
      </w:r>
      <w:proofErr w:type="spellStart"/>
      <w:r>
        <w:t>ολεῖτε</w:t>
      </w:r>
      <w:proofErr w:type="spellEnd"/>
      <w:r>
        <w:t xml:space="preserve"> </w:t>
      </w:r>
      <w:proofErr w:type="spellStart"/>
      <w:r>
        <w:t>τὰ</w:t>
      </w:r>
      <w:proofErr w:type="spellEnd"/>
      <w:r>
        <w:t xml:space="preserve"> </w:t>
      </w:r>
      <w:proofErr w:type="spellStart"/>
      <w:r>
        <w:t>ὀνόμ</w:t>
      </w:r>
      <w:proofErr w:type="spellEnd"/>
      <w:r>
        <w:t>ατα α</w:t>
      </w:r>
      <w:proofErr w:type="spellStart"/>
      <w:r>
        <w:t>ὐτῶν</w:t>
      </w:r>
      <w:proofErr w:type="spellEnd"/>
      <w:r>
        <w:t>".</w:t>
      </w:r>
    </w:p>
    <w:p w14:paraId="2A5072B7" w14:textId="77777777" w:rsidR="00724090" w:rsidRDefault="00724090" w:rsidP="00724090">
      <w:pPr>
        <w:pStyle w:val="whitespace-normal"/>
      </w:pPr>
      <w:r>
        <w:rPr>
          <w:rStyle w:val="Fett"/>
          <w:rFonts w:eastAsiaTheme="majorEastAsia"/>
        </w:rPr>
        <w:t>Die Satzstruktur</w:t>
      </w:r>
      <w:r>
        <w:t xml:space="preserve"> besteht aus fünf koordinierten Imperativen: Erster Imperativ mit direktem Objekt (niederreißen ihre Altäre), zweiter Imperativ mit direktem Objekt (zerbrechen ihre Gedenksteine), dritter Imperativ mit vorangestelltem Objekt und instrumentaler Bestimmung (ihre Ascherim verbrennen mit Feuer), vierter Imperativ mit vorangestelltem Objekt (die geschnitzten Bilder ihrer Götter umhauen), fünfter Imperativ mit direktem Objekt und Herkunftsangabe (vertilgen ihre Namen aus jenem Ort).</w:t>
      </w:r>
    </w:p>
    <w:p w14:paraId="6B4D8FCC" w14:textId="77777777" w:rsidR="00724090" w:rsidRDefault="00724090" w:rsidP="00724090">
      <w:pPr>
        <w:pStyle w:val="whitespace-normal"/>
      </w:pPr>
      <w:r>
        <w:t>Der Vers konkretisiert die geforderte Zerstörung: Alle Kultobjekte der Kanaaniter – Altäre, Steinsäulen, Kultpfähle und Götzenbilder – müssen vernichtet und sogar ihre Namen ausgelöscht werden.</w:t>
      </w:r>
    </w:p>
    <w:p w14:paraId="19928397"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12,4</w:t>
      </w:r>
    </w:p>
    <w:p w14:paraId="24CF02B6" w14:textId="77777777" w:rsidR="00724090" w:rsidRDefault="00724090" w:rsidP="00724090">
      <w:pPr>
        <w:pStyle w:val="whitespace-normal"/>
      </w:pPr>
      <w:r>
        <w:rPr>
          <w:rStyle w:val="Fett"/>
          <w:rFonts w:eastAsiaTheme="majorEastAsia"/>
        </w:rPr>
        <w:t>Hebräisch:</w:t>
      </w:r>
      <w:r>
        <w:t xml:space="preserve"> </w:t>
      </w:r>
      <w:r>
        <w:rPr>
          <w:rtl/>
        </w:rPr>
        <w:t>לֹֽא־תַעֲשׂ֣וּן כֵּ֔ן לַיהוָ֖ה אֱלֹהֵיכֶֽם׃</w:t>
      </w:r>
    </w:p>
    <w:p w14:paraId="34A7C534" w14:textId="33ED53D4" w:rsidR="00724090" w:rsidRDefault="00724090" w:rsidP="00724090">
      <w:pPr>
        <w:pStyle w:val="whitespace-normal"/>
      </w:pPr>
      <w:r>
        <w:rPr>
          <w:rStyle w:val="Fett"/>
          <w:rFonts w:eastAsiaTheme="majorEastAsia"/>
        </w:rPr>
        <w:t>Deutsch:</w:t>
      </w:r>
      <w:r>
        <w:t xml:space="preserve"> Dem Ewigen, eurem Gott, sollt ihr nicht so tun.</w:t>
      </w:r>
    </w:p>
    <w:p w14:paraId="32B5CE3F" w14:textId="7DD2E893" w:rsidR="009C316F" w:rsidRDefault="004F5CEB" w:rsidP="00724090">
      <w:pPr>
        <w:pStyle w:val="whitespace-normal"/>
      </w:pPr>
      <w:r>
        <w:rPr>
          <w:noProof/>
        </w:rPr>
        <w:pict w14:anchorId="03B625C0">
          <v:rect id="_x0000_i1376" style="width:0;height:1.5pt" o:hralign="center" o:hrstd="t" o:hr="t" fillcolor="#a0a0a0" stroked="f"/>
        </w:pict>
      </w:r>
    </w:p>
    <w:p w14:paraId="23452180"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לֹא־תַעֲשׂוּן כֵּן לַיהוָה אֱלֹהֵיכֶם</w:t>
      </w:r>
      <w:r>
        <w:rPr>
          <w:rtl/>
        </w:rPr>
        <w:t xml:space="preserve"> </w:t>
      </w:r>
      <w:r>
        <w:t xml:space="preserve">ist ein negativer Imperativsatz: </w:t>
      </w:r>
      <w:r>
        <w:rPr>
          <w:rStyle w:val="Fett"/>
          <w:rFonts w:eastAsiaTheme="majorEastAsia"/>
          <w:rtl/>
        </w:rPr>
        <w:t>לֹא</w:t>
      </w:r>
      <w:r>
        <w:rPr>
          <w:rtl/>
        </w:rPr>
        <w:t xml:space="preserve"> </w:t>
      </w:r>
      <w:r>
        <w:t xml:space="preserve">(Negation) mit </w:t>
      </w:r>
      <w:r>
        <w:rPr>
          <w:rStyle w:val="Fett"/>
          <w:rFonts w:eastAsiaTheme="majorEastAsia"/>
          <w:rtl/>
        </w:rPr>
        <w:t>תַעֲשׂוּן</w:t>
      </w:r>
      <w:r>
        <w:rPr>
          <w:rtl/>
        </w:rPr>
        <w:t xml:space="preserve"> </w:t>
      </w:r>
      <w:r>
        <w:t xml:space="preserve">(Qal Imperfekt, 2. Person Maskulinum Plural von </w:t>
      </w:r>
      <w:r>
        <w:rPr>
          <w:rStyle w:val="Fett"/>
          <w:rFonts w:eastAsiaTheme="majorEastAsia"/>
          <w:rtl/>
        </w:rPr>
        <w:t>עשׂה</w:t>
      </w:r>
      <w:r>
        <w:t xml:space="preserve">, „tun, machen", mit Paragogischem Nun), </w:t>
      </w:r>
      <w:r>
        <w:rPr>
          <w:rStyle w:val="Fett"/>
          <w:rFonts w:eastAsiaTheme="majorEastAsia"/>
          <w:rtl/>
        </w:rPr>
        <w:t>כֵּן</w:t>
      </w:r>
      <w:r>
        <w:rPr>
          <w:rtl/>
        </w:rPr>
        <w:t xml:space="preserve"> </w:t>
      </w:r>
      <w:r>
        <w:t xml:space="preserve">(„so") als adverbiale Bestimmung und </w:t>
      </w:r>
      <w:r>
        <w:rPr>
          <w:rStyle w:val="Fett"/>
          <w:rFonts w:eastAsiaTheme="majorEastAsia"/>
          <w:rtl/>
        </w:rPr>
        <w:t>לַיהוָה אֱלֹהֵיכֶם</w:t>
      </w:r>
      <w:r>
        <w:rPr>
          <w:rtl/>
        </w:rPr>
        <w:t xml:space="preserve"> </w:t>
      </w:r>
      <w:r>
        <w:t xml:space="preserve">(Präposition </w:t>
      </w:r>
      <w:r>
        <w:rPr>
          <w:rStyle w:val="Fett"/>
          <w:rFonts w:eastAsiaTheme="majorEastAsia"/>
          <w:rtl/>
        </w:rPr>
        <w:t>לְ</w:t>
      </w:r>
      <w:r>
        <w:rPr>
          <w:rtl/>
        </w:rPr>
        <w:t xml:space="preserve"> </w:t>
      </w:r>
      <w:r>
        <w:t xml:space="preserve">mit Tetragramm und Apposition </w:t>
      </w:r>
      <w:r>
        <w:rPr>
          <w:rStyle w:val="Fett"/>
          <w:rFonts w:eastAsiaTheme="majorEastAsia"/>
          <w:rtl/>
        </w:rPr>
        <w:t>אֱלֹהֵיכֶם</w:t>
      </w:r>
      <w:r>
        <w:t>) als Dativobjekt.</w:t>
      </w:r>
    </w:p>
    <w:p w14:paraId="2E22FB86" w14:textId="77777777" w:rsidR="00724090" w:rsidRDefault="00724090" w:rsidP="00724090">
      <w:pPr>
        <w:pStyle w:val="whitespace-normal"/>
      </w:pPr>
      <w:r>
        <w:t xml:space="preserve">Der kurze, prägnante Vers bildet einen scharfen Kontrast zu den Versen 2-3. Während die kanaanäischen Kultstätten zerstört werden sollen, darf Israel JHWH nicht auf die gleiche Weise verehren wie die Kanaaniter ihre Götter. Das Adverb </w:t>
      </w:r>
      <w:r>
        <w:rPr>
          <w:rStyle w:val="Fett"/>
          <w:rFonts w:eastAsiaTheme="majorEastAsia"/>
          <w:rtl/>
        </w:rPr>
        <w:t>כֵּן</w:t>
      </w:r>
      <w:r>
        <w:rPr>
          <w:rtl/>
        </w:rPr>
        <w:t xml:space="preserve"> </w:t>
      </w:r>
      <w:r>
        <w:t>(„so") verweist zurück auf die Kultpraxis der Kanaaniter (auf Bergen, Hügeln, unter grünen Bäumen). Die Negation impliziert: JHWH will nicht an beliebigen Orten verehrt werden, sondern nur an dem Ort, den er erwählen wird (V. 5).</w:t>
      </w:r>
    </w:p>
    <w:p w14:paraId="0F181D39" w14:textId="77777777" w:rsidR="00724090" w:rsidRDefault="00724090" w:rsidP="00724090">
      <w:pPr>
        <w:pStyle w:val="whitespace-normal"/>
      </w:pPr>
      <w:r>
        <w:rPr>
          <w:rStyle w:val="Fett"/>
          <w:rFonts w:eastAsiaTheme="majorEastAsia"/>
        </w:rPr>
        <w:t>Die LXX</w:t>
      </w:r>
      <w:r>
        <w:t xml:space="preserve"> übersetzt „nicht so tun" mit „</w:t>
      </w:r>
      <w:proofErr w:type="spellStart"/>
      <w:r>
        <w:t>οὐ</w:t>
      </w:r>
      <w:proofErr w:type="spellEnd"/>
      <w:r>
        <w:t xml:space="preserve"> π</w:t>
      </w:r>
      <w:proofErr w:type="spellStart"/>
      <w:r>
        <w:t>οιήσετε</w:t>
      </w:r>
      <w:proofErr w:type="spellEnd"/>
      <w:r>
        <w:t xml:space="preserve"> </w:t>
      </w:r>
      <w:proofErr w:type="spellStart"/>
      <w:r>
        <w:t>οὕτως</w:t>
      </w:r>
      <w:proofErr w:type="spellEnd"/>
      <w:r>
        <w:t>".</w:t>
      </w:r>
    </w:p>
    <w:p w14:paraId="2B25C982" w14:textId="5583F825" w:rsidR="00724090" w:rsidRDefault="00724090" w:rsidP="00724090">
      <w:pPr>
        <w:pStyle w:val="whitespace-normal"/>
      </w:pPr>
      <w:r>
        <w:rPr>
          <w:rStyle w:val="Fett"/>
          <w:rFonts w:eastAsiaTheme="majorEastAsia"/>
        </w:rPr>
        <w:t>Die Satzstruktur</w:t>
      </w:r>
      <w:r>
        <w:t xml:space="preserve"> besteht aus einem negativen Imperativsatz: Negation (nicht), Prädikat (sollt tun), adverbiale Bestimmung (so), Dativobjekt (</w:t>
      </w:r>
      <w:r w:rsidR="00281FDB">
        <w:t>JHWH</w:t>
      </w:r>
      <w:r>
        <w:t>, eurem Gott).</w:t>
      </w:r>
    </w:p>
    <w:p w14:paraId="63B043BC" w14:textId="77777777" w:rsidR="00724090" w:rsidRDefault="00724090" w:rsidP="00724090">
      <w:pPr>
        <w:pStyle w:val="whitespace-normal"/>
      </w:pPr>
      <w:r>
        <w:t>Der Vers bildet die Überleitung vom Verbot kanaanäischer Kultpraktiken zur positiven Anweisung über die legitime JHWH-Verehrung: Israel soll JHWH nicht nach kanaanäischem Muster an vielen Orten verehren.</w:t>
      </w:r>
    </w:p>
    <w:p w14:paraId="2F386371"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lastRenderedPageBreak/>
        <w:t>Deuteronomium 12,5</w:t>
      </w:r>
    </w:p>
    <w:p w14:paraId="214BA9B7" w14:textId="77777777" w:rsidR="00724090" w:rsidRDefault="00724090" w:rsidP="00724090">
      <w:pPr>
        <w:pStyle w:val="whitespace-normal"/>
      </w:pPr>
      <w:r>
        <w:rPr>
          <w:rStyle w:val="Fett"/>
          <w:rFonts w:eastAsiaTheme="majorEastAsia"/>
        </w:rPr>
        <w:t>Hebräisch:</w:t>
      </w:r>
      <w:r>
        <w:t xml:space="preserve"> </w:t>
      </w:r>
      <w:r>
        <w:rPr>
          <w:rtl/>
        </w:rPr>
        <w:t>כִּ֠י אִֽם־אֶל־הַמָּק֞וֹם אֲשֶׁר־יִבְחַ֨ר יְהוָ֤ה אֱלֹֽהֵיכֶם֙ מִכָּל־שִׁבְטֵיכֶ֔ם לָשׂ֥וּם אֶת־שְׁמֹ֖ו שָׁ֑ם לְשִׁכְנֹ֥ו תִדְרְשׁ֖וּ וּבָ֥אתָ שָֽׁמָּה׃</w:t>
      </w:r>
    </w:p>
    <w:p w14:paraId="6EBA85C7" w14:textId="1F314797" w:rsidR="00724090" w:rsidRDefault="00724090" w:rsidP="00724090">
      <w:pPr>
        <w:pStyle w:val="whitespace-normal"/>
      </w:pPr>
      <w:r>
        <w:rPr>
          <w:rStyle w:val="Fett"/>
          <w:rFonts w:eastAsiaTheme="majorEastAsia"/>
        </w:rPr>
        <w:t>Deutsch:</w:t>
      </w:r>
      <w:r>
        <w:t xml:space="preserve"> Sondern den Ort, den der Ewige, euer Gott, aus allen euren Stämmen erwählen wird, um seinen Namen dorthin zu setzen, sollt ihr aufsuchen und dahin sollst du kommen.</w:t>
      </w:r>
    </w:p>
    <w:p w14:paraId="40942CD2" w14:textId="78305BEE" w:rsidR="009C316F" w:rsidRDefault="004F5CEB" w:rsidP="00724090">
      <w:pPr>
        <w:pStyle w:val="whitespace-normal"/>
      </w:pPr>
      <w:r>
        <w:rPr>
          <w:noProof/>
        </w:rPr>
        <w:pict w14:anchorId="0F883A46">
          <v:rect id="_x0000_i1377" style="width:0;height:1.5pt" o:hralign="center" o:hrstd="t" o:hr="t" fillcolor="#a0a0a0" stroked="f"/>
        </w:pict>
      </w:r>
    </w:p>
    <w:p w14:paraId="04AB1B42"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כִּי אִם־אֶל־הַמָּקוֹם</w:t>
      </w:r>
      <w:r>
        <w:rPr>
          <w:rtl/>
        </w:rPr>
        <w:t xml:space="preserve"> </w:t>
      </w:r>
      <w:r>
        <w:t xml:space="preserve">ist eine adversative Einleitung: </w:t>
      </w:r>
      <w:r>
        <w:rPr>
          <w:rStyle w:val="Fett"/>
          <w:rFonts w:eastAsiaTheme="majorEastAsia"/>
          <w:rtl/>
        </w:rPr>
        <w:t>כִּי אִם</w:t>
      </w:r>
      <w:r>
        <w:rPr>
          <w:rtl/>
        </w:rPr>
        <w:t xml:space="preserve"> </w:t>
      </w:r>
      <w:r>
        <w:t xml:space="preserve">(„sondern, vielmehr") als adversative Partikel, die einen Gegensatz zu V. 4 markiert, mit </w:t>
      </w:r>
      <w:r>
        <w:rPr>
          <w:rStyle w:val="Fett"/>
          <w:rFonts w:eastAsiaTheme="majorEastAsia"/>
          <w:rtl/>
        </w:rPr>
        <w:t>אֶל־הַמָּקוֹם</w:t>
      </w:r>
      <w:r>
        <w:rPr>
          <w:rtl/>
        </w:rPr>
        <w:t xml:space="preserve"> </w:t>
      </w:r>
      <w:r>
        <w:t xml:space="preserve">(Präposition </w:t>
      </w:r>
      <w:r>
        <w:rPr>
          <w:rStyle w:val="Fett"/>
          <w:rFonts w:eastAsiaTheme="majorEastAsia"/>
          <w:rtl/>
        </w:rPr>
        <w:t>אֶל</w:t>
      </w:r>
      <w:r>
        <w:t xml:space="preserve">, „zu, nach", mit </w:t>
      </w:r>
      <w:r>
        <w:rPr>
          <w:rStyle w:val="Fett"/>
          <w:rFonts w:eastAsiaTheme="majorEastAsia"/>
          <w:rtl/>
        </w:rPr>
        <w:t>מָקוֹם</w:t>
      </w:r>
      <w:r>
        <w:t xml:space="preserve">, „Ort", mit Artikel). Die Konstruktion </w:t>
      </w:r>
      <w:r>
        <w:rPr>
          <w:rStyle w:val="Fett"/>
          <w:rFonts w:eastAsiaTheme="majorEastAsia"/>
          <w:rtl/>
        </w:rPr>
        <w:t>כִּי אִם</w:t>
      </w:r>
      <w:r>
        <w:rPr>
          <w:rtl/>
        </w:rPr>
        <w:t xml:space="preserve"> </w:t>
      </w:r>
      <w:r>
        <w:t>leitet nach einer Negation die positive Alternative ein.</w:t>
      </w:r>
    </w:p>
    <w:p w14:paraId="33415F1C" w14:textId="77777777" w:rsidR="00724090" w:rsidRDefault="00724090" w:rsidP="00724090">
      <w:pPr>
        <w:pStyle w:val="whitespace-normal"/>
      </w:pPr>
      <w:r>
        <w:rPr>
          <w:rStyle w:val="Fett"/>
          <w:rFonts w:eastAsiaTheme="majorEastAsia"/>
          <w:rtl/>
        </w:rPr>
        <w:t>אֲשֶׁר־יִבְחַר יְהוָה אֱלֹהֵיכֶם מִכָּל־שִׁבְטֵיכֶם</w:t>
      </w:r>
      <w:r>
        <w:rPr>
          <w:rtl/>
        </w:rPr>
        <w:t xml:space="preserve"> </w:t>
      </w:r>
      <w:r>
        <w:t xml:space="preserve">ist ein Relativsatz: </w:t>
      </w:r>
      <w:r>
        <w:rPr>
          <w:rStyle w:val="Fett"/>
          <w:rFonts w:eastAsiaTheme="majorEastAsia"/>
          <w:rtl/>
        </w:rPr>
        <w:t>אֲשֶׁר</w:t>
      </w:r>
      <w:r>
        <w:rPr>
          <w:rtl/>
        </w:rPr>
        <w:t xml:space="preserve"> </w:t>
      </w:r>
      <w:r>
        <w:t xml:space="preserve">(Relativpronomen) mit </w:t>
      </w:r>
      <w:r>
        <w:rPr>
          <w:rStyle w:val="Fett"/>
          <w:rFonts w:eastAsiaTheme="majorEastAsia"/>
          <w:rtl/>
        </w:rPr>
        <w:t>יִבְחַר</w:t>
      </w:r>
      <w:r>
        <w:rPr>
          <w:rtl/>
        </w:rPr>
        <w:t xml:space="preserve"> </w:t>
      </w:r>
      <w:r>
        <w:t xml:space="preserve">(Qal Imperfekt, 3. Person Maskulinum Singular von </w:t>
      </w:r>
      <w:r>
        <w:rPr>
          <w:rStyle w:val="Fett"/>
          <w:rFonts w:eastAsiaTheme="majorEastAsia"/>
          <w:rtl/>
        </w:rPr>
        <w:t>בחר</w:t>
      </w:r>
      <w:r>
        <w:t xml:space="preserve">, „erwählen, auswählen"), </w:t>
      </w:r>
      <w:r>
        <w:rPr>
          <w:rStyle w:val="Fett"/>
          <w:rFonts w:eastAsiaTheme="majorEastAsia"/>
          <w:rtl/>
        </w:rPr>
        <w:t>יְהוָה אֱלֹהֵיכֶם</w:t>
      </w:r>
      <w:r>
        <w:rPr>
          <w:rtl/>
        </w:rPr>
        <w:t xml:space="preserve"> </w:t>
      </w:r>
      <w:r>
        <w:t xml:space="preserve">(Tetragramm mit Apposition </w:t>
      </w:r>
      <w:r>
        <w:rPr>
          <w:rStyle w:val="Fett"/>
          <w:rFonts w:eastAsiaTheme="majorEastAsia"/>
          <w:rtl/>
        </w:rPr>
        <w:t>אֱלֹהֵיכֶם</w:t>
      </w:r>
      <w:r>
        <w:t xml:space="preserve">) als Subjekt und </w:t>
      </w:r>
      <w:r>
        <w:rPr>
          <w:rStyle w:val="Fett"/>
          <w:rFonts w:eastAsiaTheme="majorEastAsia"/>
          <w:rtl/>
        </w:rPr>
        <w:t>מִכָּל־שִׁבְטֵיכֶם</w:t>
      </w:r>
      <w:r>
        <w:rPr>
          <w:rtl/>
        </w:rPr>
        <w:t xml:space="preserve"> </w:t>
      </w:r>
      <w:r>
        <w:t xml:space="preserve">(Präposition </w:t>
      </w:r>
      <w:r>
        <w:rPr>
          <w:rStyle w:val="Fett"/>
          <w:rFonts w:eastAsiaTheme="majorEastAsia"/>
          <w:rtl/>
        </w:rPr>
        <w:t>מִן</w:t>
      </w:r>
      <w:r>
        <w:t xml:space="preserve">, „aus, von", mit </w:t>
      </w:r>
      <w:r>
        <w:rPr>
          <w:rStyle w:val="Fett"/>
          <w:rFonts w:eastAsiaTheme="majorEastAsia"/>
          <w:rtl/>
        </w:rPr>
        <w:t>כָּל־שִׁבְטֵיכֶם</w:t>
      </w:r>
      <w:r>
        <w:t xml:space="preserve">, </w:t>
      </w:r>
      <w:r>
        <w:rPr>
          <w:rStyle w:val="Fett"/>
          <w:rFonts w:eastAsiaTheme="majorEastAsia"/>
          <w:rtl/>
        </w:rPr>
        <w:t>שֵׁבֶט</w:t>
      </w:r>
      <w:r>
        <w:t xml:space="preserve">, „Stamm", Plural mit Suffix 2. Person Maskulinum Plural) als partitiver Bestimmung. Das Imperfekt </w:t>
      </w:r>
      <w:r>
        <w:rPr>
          <w:rStyle w:val="Fett"/>
          <w:rFonts w:eastAsiaTheme="majorEastAsia"/>
          <w:rtl/>
        </w:rPr>
        <w:t>יִבְחַר</w:t>
      </w:r>
      <w:r>
        <w:rPr>
          <w:rtl/>
        </w:rPr>
        <w:t xml:space="preserve"> </w:t>
      </w:r>
      <w:r>
        <w:t xml:space="preserve">drückt die zukünftige göttliche Wahl aus. Die Wendung </w:t>
      </w:r>
      <w:r>
        <w:rPr>
          <w:rStyle w:val="Fett"/>
          <w:rFonts w:eastAsiaTheme="majorEastAsia"/>
          <w:rtl/>
        </w:rPr>
        <w:t>בחר ב</w:t>
      </w:r>
      <w:r>
        <w:rPr>
          <w:rtl/>
        </w:rPr>
        <w:t xml:space="preserve"> </w:t>
      </w:r>
      <w:r>
        <w:t xml:space="preserve">oder </w:t>
      </w:r>
      <w:r>
        <w:rPr>
          <w:rStyle w:val="Fett"/>
          <w:rFonts w:eastAsiaTheme="majorEastAsia"/>
          <w:rtl/>
        </w:rPr>
        <w:t>בחר מן</w:t>
      </w:r>
      <w:r>
        <w:rPr>
          <w:rtl/>
        </w:rPr>
        <w:t xml:space="preserve"> </w:t>
      </w:r>
      <w:r>
        <w:t>ist zentral für die deuteronomische Kultzentralisationstheologie.</w:t>
      </w:r>
    </w:p>
    <w:p w14:paraId="6DEA8E7C" w14:textId="77777777" w:rsidR="00724090" w:rsidRDefault="00724090" w:rsidP="00724090">
      <w:pPr>
        <w:pStyle w:val="whitespace-normal"/>
      </w:pPr>
      <w:r>
        <w:rPr>
          <w:rStyle w:val="Fett"/>
          <w:rFonts w:eastAsiaTheme="majorEastAsia"/>
          <w:rtl/>
        </w:rPr>
        <w:t>לָשׂוּם אֶת־שְׁמוֹ שָׁם</w:t>
      </w:r>
      <w:r>
        <w:rPr>
          <w:rtl/>
        </w:rPr>
        <w:t xml:space="preserve"> </w:t>
      </w:r>
      <w:r>
        <w:t xml:space="preserve">ist eine finale Bestimmung: </w:t>
      </w:r>
      <w:r>
        <w:rPr>
          <w:rStyle w:val="Fett"/>
          <w:rFonts w:eastAsiaTheme="majorEastAsia"/>
          <w:rtl/>
        </w:rPr>
        <w:t>לָשׂוּם</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שׂים</w:t>
      </w:r>
      <w:r>
        <w:t xml:space="preserve">, „setzen, legen, stellen"), </w:t>
      </w:r>
      <w:r>
        <w:rPr>
          <w:rStyle w:val="Fett"/>
          <w:rFonts w:eastAsiaTheme="majorEastAsia"/>
          <w:rtl/>
        </w:rPr>
        <w:t>אֶת־שְׁמוֹ</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שֵׁם</w:t>
      </w:r>
      <w:r>
        <w:t xml:space="preserve">, „Name", und Suffix 3. Person Maskulinum Singular) als direktes Objekt und </w:t>
      </w:r>
      <w:r>
        <w:rPr>
          <w:rStyle w:val="Fett"/>
          <w:rFonts w:eastAsiaTheme="majorEastAsia"/>
          <w:rtl/>
        </w:rPr>
        <w:t>שָׁם</w:t>
      </w:r>
      <w:r>
        <w:rPr>
          <w:rtl/>
        </w:rPr>
        <w:t xml:space="preserve"> </w:t>
      </w:r>
      <w:r>
        <w:t xml:space="preserve">(„dort, dorthin") als lokales Adverb. Die Wendung </w:t>
      </w:r>
      <w:r>
        <w:rPr>
          <w:rStyle w:val="Fett"/>
          <w:rFonts w:eastAsiaTheme="majorEastAsia"/>
          <w:rtl/>
        </w:rPr>
        <w:t>שׂים שם</w:t>
      </w:r>
      <w:r>
        <w:rPr>
          <w:rtl/>
        </w:rPr>
        <w:t xml:space="preserve"> </w:t>
      </w:r>
      <w:r>
        <w:t>(„den Namen setzen") bezeichnet die göttliche Präsenz am Heiligtum. Der Name repräsentiert die Person und Autorität JHWHs.</w:t>
      </w:r>
    </w:p>
    <w:p w14:paraId="5A6918AA" w14:textId="77777777" w:rsidR="00724090" w:rsidRDefault="00724090" w:rsidP="00724090">
      <w:pPr>
        <w:pStyle w:val="whitespace-normal"/>
      </w:pPr>
      <w:r>
        <w:rPr>
          <w:rStyle w:val="Fett"/>
          <w:rFonts w:eastAsiaTheme="majorEastAsia"/>
          <w:rtl/>
        </w:rPr>
        <w:t>לְשִׁכְנוֹ תִדְרְשׁוּ</w:t>
      </w:r>
      <w:r>
        <w:rPr>
          <w:rtl/>
        </w:rPr>
        <w:t xml:space="preserve"> </w:t>
      </w:r>
      <w:r>
        <w:t xml:space="preserve">ist der erste Imperativsatz: </w:t>
      </w:r>
      <w:r>
        <w:rPr>
          <w:rStyle w:val="Fett"/>
          <w:rFonts w:eastAsiaTheme="majorEastAsia"/>
          <w:rtl/>
        </w:rPr>
        <w:t>לְשִׁכְנוֹ</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שֶׁכֶן</w:t>
      </w:r>
      <w:r>
        <w:t xml:space="preserve">, „Wohnung", und Suffix 3. Person Maskulinum Singular, „zu seiner Wohnung") als Richtungsangabe und </w:t>
      </w:r>
      <w:r>
        <w:rPr>
          <w:rStyle w:val="Fett"/>
          <w:rFonts w:eastAsiaTheme="majorEastAsia"/>
          <w:rtl/>
        </w:rPr>
        <w:t>תִדְרְשׁוּ</w:t>
      </w:r>
      <w:r>
        <w:rPr>
          <w:rtl/>
        </w:rPr>
        <w:t xml:space="preserve"> </w:t>
      </w:r>
      <w:r>
        <w:t xml:space="preserve">(Qal Imperfekt, 2. Person Maskulinum Plural von </w:t>
      </w:r>
      <w:r>
        <w:rPr>
          <w:rStyle w:val="Fett"/>
          <w:rFonts w:eastAsiaTheme="majorEastAsia"/>
          <w:rtl/>
        </w:rPr>
        <w:t>דרשׁ</w:t>
      </w:r>
      <w:r>
        <w:t xml:space="preserve">, „suchen, aufsuchen, fragen nach", imperativisch). Das Verb </w:t>
      </w:r>
      <w:r>
        <w:rPr>
          <w:rStyle w:val="Fett"/>
          <w:rFonts w:eastAsiaTheme="majorEastAsia"/>
          <w:rtl/>
        </w:rPr>
        <w:t>דרשׁ</w:t>
      </w:r>
      <w:r>
        <w:rPr>
          <w:rtl/>
        </w:rPr>
        <w:t xml:space="preserve"> </w:t>
      </w:r>
      <w:r>
        <w:t xml:space="preserve">bedeutet hier „aufsuchen, sich begeben zu". Die Voranstellung von </w:t>
      </w:r>
      <w:r>
        <w:rPr>
          <w:rStyle w:val="Fett"/>
          <w:rFonts w:eastAsiaTheme="majorEastAsia"/>
          <w:rtl/>
        </w:rPr>
        <w:t>לְשִׁכְנוֹ</w:t>
      </w:r>
      <w:r>
        <w:rPr>
          <w:rtl/>
        </w:rPr>
        <w:t xml:space="preserve"> </w:t>
      </w:r>
      <w:r>
        <w:t>betont das Ziel.</w:t>
      </w:r>
    </w:p>
    <w:p w14:paraId="0CE42813" w14:textId="77777777" w:rsidR="00724090" w:rsidRDefault="00724090" w:rsidP="00724090">
      <w:pPr>
        <w:pStyle w:val="whitespace-normal"/>
      </w:pPr>
      <w:r>
        <w:rPr>
          <w:rStyle w:val="Fett"/>
          <w:rFonts w:eastAsiaTheme="majorEastAsia"/>
          <w:rtl/>
        </w:rPr>
        <w:t>וּבָאתָ שָׁמָּה</w:t>
      </w:r>
      <w:r>
        <w:rPr>
          <w:rtl/>
        </w:rPr>
        <w:t xml:space="preserve"> </w:t>
      </w:r>
      <w:r>
        <w:t xml:space="preserve">ist der zweite Imperativsatz: </w:t>
      </w:r>
      <w:r>
        <w:rPr>
          <w:rStyle w:val="Fett"/>
          <w:rFonts w:eastAsiaTheme="majorEastAsia"/>
          <w:rtl/>
        </w:rPr>
        <w:t>וּבָאתָ</w:t>
      </w:r>
      <w:r>
        <w:rPr>
          <w:rtl/>
        </w:rPr>
        <w:t xml:space="preserve"> </w:t>
      </w:r>
      <w:r>
        <w:t xml:space="preserve">(Qal Perfekt, 2. Person Maskulinum Singular von </w:t>
      </w:r>
      <w:r>
        <w:rPr>
          <w:rStyle w:val="Fett"/>
          <w:rFonts w:eastAsiaTheme="majorEastAsia"/>
          <w:rtl/>
        </w:rPr>
        <w:t>בוא</w:t>
      </w:r>
      <w:r>
        <w:t xml:space="preserve">, „kommen", mit </w:t>
      </w:r>
      <w:r>
        <w:rPr>
          <w:rStyle w:val="Fett"/>
          <w:rFonts w:eastAsiaTheme="majorEastAsia"/>
        </w:rPr>
        <w:t>Waw</w:t>
      </w:r>
      <w:r>
        <w:t xml:space="preserve">, imperativisch) und </w:t>
      </w:r>
      <w:r>
        <w:rPr>
          <w:rStyle w:val="Fett"/>
          <w:rFonts w:eastAsiaTheme="majorEastAsia"/>
          <w:rtl/>
        </w:rPr>
        <w:t>שָׁמָּה</w:t>
      </w:r>
      <w:r>
        <w:rPr>
          <w:rtl/>
        </w:rPr>
        <w:t xml:space="preserve"> </w:t>
      </w:r>
      <w:r>
        <w:t>(„dorthin") als Richtungsangabe. Der Wechsel von Plural (</w:t>
      </w:r>
      <w:r>
        <w:rPr>
          <w:rStyle w:val="Fett"/>
          <w:rFonts w:eastAsiaTheme="majorEastAsia"/>
          <w:rtl/>
        </w:rPr>
        <w:t>תִדְרְשׁוּ</w:t>
      </w:r>
      <w:r>
        <w:t>) zu Singular (</w:t>
      </w:r>
      <w:r>
        <w:rPr>
          <w:rStyle w:val="Fett"/>
          <w:rFonts w:eastAsiaTheme="majorEastAsia"/>
          <w:rtl/>
        </w:rPr>
        <w:t>וּבָאתָ</w:t>
      </w:r>
      <w:r>
        <w:t>) ist charakteristisch für das Deuteronomium und individualisiert die Anrede.</w:t>
      </w:r>
    </w:p>
    <w:p w14:paraId="27E20D1D" w14:textId="77777777" w:rsidR="00724090" w:rsidRDefault="00724090" w:rsidP="00724090">
      <w:pPr>
        <w:pStyle w:val="whitespace-normal"/>
      </w:pPr>
      <w:r>
        <w:t xml:space="preserve">Die Syntax zeigt den zentralen Grundsatz der deuteronomischen Kultzentralisation: Nicht viele Orte (wie bei den Kanaanitern), sondern ein einziger von JHWH erwählter Ort. Die Formulierung ist bewusst offen: Der Ort wird nicht genannt, sondern nur als zukünftige göttliche Wahl angekündigt. Die doppelte Wendung </w:t>
      </w:r>
      <w:r>
        <w:rPr>
          <w:rStyle w:val="Fett"/>
          <w:rFonts w:eastAsiaTheme="majorEastAsia"/>
          <w:rtl/>
        </w:rPr>
        <w:t>לָשׂוּם אֶת־שְׁמוֹ שָׁם לְשִׁכְנוֹ</w:t>
      </w:r>
      <w:r>
        <w:rPr>
          <w:rtl/>
        </w:rPr>
        <w:t xml:space="preserve"> </w:t>
      </w:r>
      <w:r>
        <w:t xml:space="preserve">(„um seinen Namen dorthin zu setzen, zu seiner Wohnung") betont die göttliche Präsenz am erwählten Ort. Die beiden Imperative </w:t>
      </w:r>
      <w:r>
        <w:rPr>
          <w:rStyle w:val="Fett"/>
          <w:rFonts w:eastAsiaTheme="majorEastAsia"/>
          <w:rtl/>
        </w:rPr>
        <w:t>תִדְרְשׁוּ</w:t>
      </w:r>
      <w:r>
        <w:rPr>
          <w:rtl/>
        </w:rPr>
        <w:t xml:space="preserve"> </w:t>
      </w:r>
      <w:r>
        <w:t xml:space="preserve">und </w:t>
      </w:r>
      <w:r>
        <w:rPr>
          <w:rStyle w:val="Fett"/>
          <w:rFonts w:eastAsiaTheme="majorEastAsia"/>
          <w:rtl/>
        </w:rPr>
        <w:t>וּבָאתָ</w:t>
      </w:r>
      <w:r>
        <w:rPr>
          <w:rtl/>
        </w:rPr>
        <w:t xml:space="preserve"> </w:t>
      </w:r>
      <w:r>
        <w:t>fordern aktives Aufsuchen des Heiligtums.</w:t>
      </w:r>
    </w:p>
    <w:p w14:paraId="261DCB75" w14:textId="77777777" w:rsidR="00724090" w:rsidRDefault="00724090" w:rsidP="00724090">
      <w:pPr>
        <w:pStyle w:val="whitespace-normal"/>
      </w:pPr>
      <w:r>
        <w:rPr>
          <w:rStyle w:val="Fett"/>
          <w:rFonts w:eastAsiaTheme="majorEastAsia"/>
        </w:rPr>
        <w:lastRenderedPageBreak/>
        <w:t>Die LXX</w:t>
      </w:r>
      <w:r>
        <w:t xml:space="preserve"> übersetzt „sondern zu dem Ort" mit „</w:t>
      </w:r>
      <w:proofErr w:type="spellStart"/>
      <w:r>
        <w:t>ἀλλ</w:t>
      </w:r>
      <w:proofErr w:type="spellEnd"/>
      <w:r>
        <w:t xml:space="preserve">᾽ ἢ </w:t>
      </w:r>
      <w:proofErr w:type="spellStart"/>
      <w:r>
        <w:t>εἰς</w:t>
      </w:r>
      <w:proofErr w:type="spellEnd"/>
      <w:r>
        <w:t xml:space="preserve"> </w:t>
      </w:r>
      <w:proofErr w:type="spellStart"/>
      <w:r>
        <w:t>τὸν</w:t>
      </w:r>
      <w:proofErr w:type="spellEnd"/>
      <w:r>
        <w:t xml:space="preserve"> </w:t>
      </w:r>
      <w:proofErr w:type="spellStart"/>
      <w:r>
        <w:t>τό</w:t>
      </w:r>
      <w:proofErr w:type="spellEnd"/>
      <w:r>
        <w:t>πον", „erwählen wird" mit „</w:t>
      </w:r>
      <w:proofErr w:type="spellStart"/>
      <w:r>
        <w:t>ἐκλέξητ</w:t>
      </w:r>
      <w:proofErr w:type="spellEnd"/>
      <w:r>
        <w:t>αι", „um seinen Namen zu setzen" mit „ἐπ</w:t>
      </w:r>
      <w:proofErr w:type="spellStart"/>
      <w:r>
        <w:t>ικληθῆν</w:t>
      </w:r>
      <w:proofErr w:type="spellEnd"/>
      <w:r>
        <w:t xml:space="preserve">αι </w:t>
      </w:r>
      <w:proofErr w:type="spellStart"/>
      <w:r>
        <w:t>τὸ</w:t>
      </w:r>
      <w:proofErr w:type="spellEnd"/>
      <w:r>
        <w:t xml:space="preserve"> </w:t>
      </w:r>
      <w:proofErr w:type="spellStart"/>
      <w:r>
        <w:t>ὄνομ</w:t>
      </w:r>
      <w:proofErr w:type="spellEnd"/>
      <w:r>
        <w:t>α α</w:t>
      </w:r>
      <w:proofErr w:type="spellStart"/>
      <w:r>
        <w:t>ὐτοῦ</w:t>
      </w:r>
      <w:proofErr w:type="spellEnd"/>
      <w:r>
        <w:t xml:space="preserve"> </w:t>
      </w:r>
      <w:proofErr w:type="spellStart"/>
      <w:r>
        <w:t>ἐκεῖ</w:t>
      </w:r>
      <w:proofErr w:type="spellEnd"/>
      <w:r>
        <w:t>" und „sollt ihr aufsuchen" mit „</w:t>
      </w:r>
      <w:proofErr w:type="spellStart"/>
      <w:r>
        <w:t>ζητήσετε</w:t>
      </w:r>
      <w:proofErr w:type="spellEnd"/>
      <w:r>
        <w:t>".</w:t>
      </w:r>
    </w:p>
    <w:p w14:paraId="60130AA3" w14:textId="77777777" w:rsidR="00724090" w:rsidRDefault="00724090" w:rsidP="00724090">
      <w:pPr>
        <w:pStyle w:val="whitespace-normal"/>
      </w:pPr>
      <w:r>
        <w:rPr>
          <w:rStyle w:val="Fett"/>
          <w:rFonts w:eastAsiaTheme="majorEastAsia"/>
        </w:rPr>
        <w:t>Die Satzstruktur</w:t>
      </w:r>
      <w:r>
        <w:t xml:space="preserve"> besteht aus einer adversativen Einleitung mit Relativsatz, zwei finalen Bestimmungen und zwei Imperativen: Adversative Partikel (sondern), Richtungsangabe (zu dem Ort), Relativsatz mit Prädikat (erwählen wird), Subjekt (JHWH, euer Gott), partitiver Bestimmung (aus allen euren Stämmen), erste finale Bestimmung (um seinen Namen dorthin zu setzen), zweite finale Bestimmung als vorangestellte Richtungsangabe mit Imperativ (zu seiner Wohnung sollt ihr aufsuchen), zweiter Imperativ mit Richtungsangabe (und kommen sollst du dorthin).</w:t>
      </w:r>
    </w:p>
    <w:p w14:paraId="558C05D3" w14:textId="77777777" w:rsidR="00724090" w:rsidRDefault="00724090" w:rsidP="00724090">
      <w:pPr>
        <w:pStyle w:val="whitespace-normal"/>
      </w:pPr>
      <w:r>
        <w:t>Der Vers formuliert das Kernprinzip der Kultzentralisation: Israel soll nicht an beliebigen Orten opfern, sondern nur an dem einen Ort, den JHWH erwählen wird, um dort seinen Namen und seine Wohnung zu etablieren.</w:t>
      </w:r>
    </w:p>
    <w:p w14:paraId="77C85E18"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12,6</w:t>
      </w:r>
    </w:p>
    <w:p w14:paraId="5CCEB4E1" w14:textId="77777777" w:rsidR="00724090" w:rsidRDefault="00724090" w:rsidP="00724090">
      <w:pPr>
        <w:pStyle w:val="whitespace-normal"/>
      </w:pPr>
      <w:r>
        <w:rPr>
          <w:rStyle w:val="Fett"/>
          <w:rFonts w:eastAsiaTheme="majorEastAsia"/>
        </w:rPr>
        <w:t>Hebräisch:</w:t>
      </w:r>
      <w:r>
        <w:t xml:space="preserve"> </w:t>
      </w:r>
      <w:r>
        <w:rPr>
          <w:rtl/>
        </w:rPr>
        <w:t>וַהֲבֵאתֶ֣ם שָׁ֗מָּה עֹלֹֽתֵיכֶם֙ וְזִבְחֵיכֶ֔ם וְאֵת֙ מַעְשְׂרֹ֣תֵיכֶ֔ם וְאֵ֖ת תְּרוּמַ֣ת יֶדְכֶ֑ם וְנִדְרֵיכֶם֙ וְנִדְבֹ֣תֵיכֶ֔ם וּבְכֹרֹ֥ת בְּקַרְכֶ֖ם וְצֹאנְכֶֽם׃</w:t>
      </w:r>
    </w:p>
    <w:p w14:paraId="00FE06D1" w14:textId="7243A4C1" w:rsidR="00724090" w:rsidRDefault="00724090" w:rsidP="00724090">
      <w:pPr>
        <w:pStyle w:val="whitespace-normal"/>
      </w:pPr>
      <w:r>
        <w:rPr>
          <w:rStyle w:val="Fett"/>
          <w:rFonts w:eastAsiaTheme="majorEastAsia"/>
        </w:rPr>
        <w:t>Deutsch:</w:t>
      </w:r>
      <w:r>
        <w:t xml:space="preserve"> Und dahin sollt ihr eure Aufsteigeopfer und eure Schlachtopfer bringen und eure Zehnten und das Hebopfer eurer Hand und eure Gelübde und eure freiwilligen Gaben und die Erstgeburten eures Rind- und eures Kleinviehs.</w:t>
      </w:r>
    </w:p>
    <w:p w14:paraId="28148483" w14:textId="61822338" w:rsidR="009C316F" w:rsidRDefault="004F5CEB" w:rsidP="00724090">
      <w:pPr>
        <w:pStyle w:val="whitespace-normal"/>
      </w:pPr>
      <w:r>
        <w:rPr>
          <w:noProof/>
        </w:rPr>
        <w:pict w14:anchorId="362C6DEE">
          <v:rect id="_x0000_i1378" style="width:0;height:1.5pt" o:hralign="center" o:hrstd="t" o:hr="t" fillcolor="#a0a0a0" stroked="f"/>
        </w:pict>
      </w:r>
    </w:p>
    <w:p w14:paraId="2C5822B2"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וַהֲבֵאתֶם שָׁמָּה</w:t>
      </w:r>
      <w:r>
        <w:rPr>
          <w:rtl/>
        </w:rPr>
        <w:t xml:space="preserve"> </w:t>
      </w:r>
      <w:r>
        <w:t xml:space="preserve">ist die Einleitung: </w:t>
      </w:r>
      <w:r>
        <w:rPr>
          <w:rStyle w:val="Fett"/>
          <w:rFonts w:eastAsiaTheme="majorEastAsia"/>
          <w:rtl/>
        </w:rPr>
        <w:t>וַהֲבֵאתֶם</w:t>
      </w:r>
      <w:r>
        <w:rPr>
          <w:rtl/>
        </w:rPr>
        <w:t xml:space="preserve"> </w:t>
      </w:r>
      <w:r>
        <w:t xml:space="preserve">(Hiphil Perfekt, 2. Person Maskulinum Plural von </w:t>
      </w:r>
      <w:r>
        <w:rPr>
          <w:rStyle w:val="Fett"/>
          <w:rFonts w:eastAsiaTheme="majorEastAsia"/>
          <w:rtl/>
        </w:rPr>
        <w:t>בוא</w:t>
      </w:r>
      <w:r>
        <w:t xml:space="preserve">, „kommen", in der Hiphil-Form „bringen", mit </w:t>
      </w:r>
      <w:r>
        <w:rPr>
          <w:rStyle w:val="Fett"/>
          <w:rFonts w:eastAsiaTheme="majorEastAsia"/>
        </w:rPr>
        <w:t>Waw</w:t>
      </w:r>
      <w:r>
        <w:t xml:space="preserve">, imperativisch) und </w:t>
      </w:r>
      <w:r>
        <w:rPr>
          <w:rStyle w:val="Fett"/>
          <w:rFonts w:eastAsiaTheme="majorEastAsia"/>
          <w:rtl/>
        </w:rPr>
        <w:t>שָׁמָּה</w:t>
      </w:r>
      <w:r>
        <w:rPr>
          <w:rtl/>
        </w:rPr>
        <w:t xml:space="preserve"> </w:t>
      </w:r>
      <w:r>
        <w:t>(„dorthin") als Richtungsangabe, rückverweisend auf den erwählten Ort aus V. 5. Die Hiphil-Form ist kausativ.</w:t>
      </w:r>
    </w:p>
    <w:p w14:paraId="4C37C4EE" w14:textId="7029B356" w:rsidR="00724090" w:rsidRDefault="00724090" w:rsidP="00724090">
      <w:pPr>
        <w:pStyle w:val="whitespace-normal"/>
      </w:pPr>
      <w:r>
        <w:rPr>
          <w:rStyle w:val="Fett"/>
          <w:rFonts w:eastAsiaTheme="majorEastAsia"/>
          <w:rtl/>
        </w:rPr>
        <w:t>עֹלֹתֵיכֶם וְזִבְחֵיכֶם</w:t>
      </w:r>
      <w:r>
        <w:rPr>
          <w:rtl/>
        </w:rPr>
        <w:t xml:space="preserve"> </w:t>
      </w:r>
      <w:r>
        <w:t xml:space="preserve">ist das erste Glied einer siebengliedrigen Aufzählung: </w:t>
      </w:r>
      <w:r>
        <w:rPr>
          <w:rStyle w:val="Fett"/>
          <w:rFonts w:eastAsiaTheme="majorEastAsia"/>
          <w:rtl/>
        </w:rPr>
        <w:t>עֹלָה</w:t>
      </w:r>
      <w:r>
        <w:rPr>
          <w:rtl/>
        </w:rPr>
        <w:t xml:space="preserve"> </w:t>
      </w:r>
      <w:r>
        <w:t xml:space="preserve">(„Aufsteigeopfer", Plural mit Suffix 2. Person Maskulinum Plural), koordiniert durch </w:t>
      </w:r>
      <w:r>
        <w:rPr>
          <w:rStyle w:val="Fett"/>
          <w:rFonts w:eastAsiaTheme="majorEastAsia"/>
          <w:rtl/>
        </w:rPr>
        <w:t>וְ</w:t>
      </w:r>
      <w:r>
        <w:rPr>
          <w:rtl/>
        </w:rPr>
        <w:t xml:space="preserve"> </w:t>
      </w:r>
      <w:r>
        <w:t xml:space="preserve">mit </w:t>
      </w:r>
      <w:r>
        <w:rPr>
          <w:rStyle w:val="Fett"/>
          <w:rFonts w:eastAsiaTheme="majorEastAsia"/>
          <w:rtl/>
        </w:rPr>
        <w:t>זֶבַח</w:t>
      </w:r>
      <w:r>
        <w:rPr>
          <w:rtl/>
        </w:rPr>
        <w:t xml:space="preserve"> </w:t>
      </w:r>
      <w:r>
        <w:t xml:space="preserve">(„Schlachtopfer", Plural mit Suffix 2. Person Maskulinum Plural). </w:t>
      </w:r>
      <w:r>
        <w:rPr>
          <w:rStyle w:val="Fett"/>
          <w:rFonts w:eastAsiaTheme="majorEastAsia"/>
          <w:rtl/>
        </w:rPr>
        <w:t>עֹלָה</w:t>
      </w:r>
      <w:r>
        <w:rPr>
          <w:rtl/>
        </w:rPr>
        <w:t xml:space="preserve"> </w:t>
      </w:r>
      <w:r>
        <w:t xml:space="preserve">bezeichnet das vollständig verbrannte Opfer, </w:t>
      </w:r>
      <w:r>
        <w:rPr>
          <w:rStyle w:val="Fett"/>
          <w:rFonts w:eastAsiaTheme="majorEastAsia"/>
          <w:rtl/>
        </w:rPr>
        <w:t>זֶבַח</w:t>
      </w:r>
      <w:r>
        <w:rPr>
          <w:rtl/>
        </w:rPr>
        <w:t xml:space="preserve"> </w:t>
      </w:r>
      <w:r>
        <w:t>das Gemeinschaftsopfer, bei dem Teile gegessen werden.</w:t>
      </w:r>
    </w:p>
    <w:p w14:paraId="128AC1A2" w14:textId="77777777" w:rsidR="00724090" w:rsidRDefault="00724090" w:rsidP="00724090">
      <w:pPr>
        <w:pStyle w:val="whitespace-normal"/>
      </w:pPr>
      <w:r>
        <w:rPr>
          <w:rStyle w:val="Fett"/>
          <w:rFonts w:eastAsiaTheme="majorEastAsia"/>
          <w:rtl/>
        </w:rPr>
        <w:t>וְאֵת מַעְשְׂרֹתֵיכֶם</w:t>
      </w:r>
      <w:r>
        <w:rPr>
          <w:rtl/>
        </w:rPr>
        <w:t xml:space="preserve"> </w:t>
      </w:r>
      <w:r>
        <w:t xml:space="preserve">ist das zweite Glied: </w:t>
      </w:r>
      <w:r>
        <w:rPr>
          <w:rStyle w:val="Fett"/>
          <w:rFonts w:eastAsiaTheme="majorEastAsia"/>
          <w:rtl/>
        </w:rPr>
        <w:t>וְ</w:t>
      </w:r>
      <w:r>
        <w:rPr>
          <w:rtl/>
        </w:rPr>
        <w:t xml:space="preserve"> </w:t>
      </w:r>
      <w:r>
        <w:t xml:space="preserve">mit Objektpartikel </w:t>
      </w:r>
      <w:r>
        <w:rPr>
          <w:rStyle w:val="Fett"/>
          <w:rFonts w:eastAsiaTheme="majorEastAsia"/>
          <w:rtl/>
        </w:rPr>
        <w:t>אֵת</w:t>
      </w:r>
      <w:r>
        <w:rPr>
          <w:rtl/>
        </w:rPr>
        <w:t xml:space="preserve"> </w:t>
      </w:r>
      <w:r>
        <w:t xml:space="preserve">und </w:t>
      </w:r>
      <w:r>
        <w:rPr>
          <w:rStyle w:val="Fett"/>
          <w:rFonts w:eastAsiaTheme="majorEastAsia"/>
          <w:rtl/>
        </w:rPr>
        <w:t>מַעֲשֵׂר</w:t>
      </w:r>
      <w:r>
        <w:rPr>
          <w:rtl/>
        </w:rPr>
        <w:t xml:space="preserve"> </w:t>
      </w:r>
      <w:r>
        <w:t>(„Zehnt, Zehnter", Plural mit Suffix 2. Person Maskulinum Plural). Der Zehnt war eine Abgabe von zehn Prozent der Ernte.</w:t>
      </w:r>
    </w:p>
    <w:p w14:paraId="70331381" w14:textId="77777777" w:rsidR="00724090" w:rsidRDefault="00724090" w:rsidP="00724090">
      <w:pPr>
        <w:pStyle w:val="whitespace-normal"/>
      </w:pPr>
      <w:r>
        <w:rPr>
          <w:rStyle w:val="Fett"/>
          <w:rFonts w:eastAsiaTheme="majorEastAsia"/>
          <w:rtl/>
        </w:rPr>
        <w:t>וְאֵת תְּרוּמַת יֶדְכֶם</w:t>
      </w:r>
      <w:r>
        <w:rPr>
          <w:rtl/>
        </w:rPr>
        <w:t xml:space="preserve"> </w:t>
      </w:r>
      <w:r>
        <w:t xml:space="preserve">ist das dritte Glied: </w:t>
      </w:r>
      <w:r>
        <w:rPr>
          <w:rStyle w:val="Fett"/>
          <w:rFonts w:eastAsiaTheme="majorEastAsia"/>
          <w:rtl/>
        </w:rPr>
        <w:t>וְ</w:t>
      </w:r>
      <w:r>
        <w:rPr>
          <w:rtl/>
        </w:rPr>
        <w:t xml:space="preserve"> </w:t>
      </w:r>
      <w:r>
        <w:t xml:space="preserve">mit Objektpartikel </w:t>
      </w:r>
      <w:r>
        <w:rPr>
          <w:rStyle w:val="Fett"/>
          <w:rFonts w:eastAsiaTheme="majorEastAsia"/>
          <w:rtl/>
        </w:rPr>
        <w:t>אֵת</w:t>
      </w:r>
      <w:r>
        <w:t xml:space="preserve">, </w:t>
      </w:r>
      <w:r>
        <w:rPr>
          <w:rStyle w:val="Fett"/>
          <w:rFonts w:eastAsiaTheme="majorEastAsia"/>
          <w:rtl/>
        </w:rPr>
        <w:t>תְּרוּמָה</w:t>
      </w:r>
      <w:r>
        <w:rPr>
          <w:rtl/>
        </w:rPr>
        <w:t xml:space="preserve"> </w:t>
      </w:r>
      <w:r>
        <w:t xml:space="preserve">(„Hebopfer, Abgabe", Construct) und </w:t>
      </w:r>
      <w:r>
        <w:rPr>
          <w:rStyle w:val="Fett"/>
          <w:rFonts w:eastAsiaTheme="majorEastAsia"/>
          <w:rtl/>
        </w:rPr>
        <w:t>יָד</w:t>
      </w:r>
      <w:r>
        <w:rPr>
          <w:rtl/>
        </w:rPr>
        <w:t xml:space="preserve"> </w:t>
      </w:r>
      <w:r>
        <w:t xml:space="preserve">(„Hand", Plural mit Suffix 2. Person Maskulinum Plural). Die Wendung </w:t>
      </w:r>
      <w:r>
        <w:rPr>
          <w:rStyle w:val="Fett"/>
          <w:rFonts w:eastAsiaTheme="majorEastAsia"/>
          <w:rtl/>
        </w:rPr>
        <w:t>תְּרוּמַת יֶדְכֶם</w:t>
      </w:r>
      <w:r>
        <w:rPr>
          <w:rtl/>
        </w:rPr>
        <w:t xml:space="preserve"> </w:t>
      </w:r>
      <w:r>
        <w:t>(„Hebopfer eurer Hand") bezeichnet eine freiwillige Gabe oder Opferabgabe.</w:t>
      </w:r>
    </w:p>
    <w:p w14:paraId="728029C8" w14:textId="77777777" w:rsidR="00724090" w:rsidRDefault="00724090" w:rsidP="00724090">
      <w:pPr>
        <w:pStyle w:val="whitespace-normal"/>
      </w:pPr>
      <w:r>
        <w:rPr>
          <w:rStyle w:val="Fett"/>
          <w:rFonts w:eastAsiaTheme="majorEastAsia"/>
          <w:rtl/>
        </w:rPr>
        <w:t>וְנִדְרֵיכֶם וְנִדְבֹתֵיכֶם</w:t>
      </w:r>
      <w:r>
        <w:rPr>
          <w:rtl/>
        </w:rPr>
        <w:t xml:space="preserve"> </w:t>
      </w:r>
      <w:r>
        <w:t xml:space="preserve">ist das vierte und fünfte Glied: </w:t>
      </w:r>
      <w:r>
        <w:rPr>
          <w:rStyle w:val="Fett"/>
          <w:rFonts w:eastAsiaTheme="majorEastAsia"/>
          <w:rtl/>
        </w:rPr>
        <w:t>וְנִדְרֵיכֶם</w:t>
      </w:r>
      <w:r>
        <w:rPr>
          <w:rtl/>
        </w:rPr>
        <w:t xml:space="preserve"> </w:t>
      </w:r>
      <w:r>
        <w:t>(</w:t>
      </w:r>
      <w:r>
        <w:rPr>
          <w:rStyle w:val="Fett"/>
          <w:rFonts w:eastAsiaTheme="majorEastAsia"/>
          <w:rtl/>
        </w:rPr>
        <w:t>נֶדֶר</w:t>
      </w:r>
      <w:r>
        <w:t xml:space="preserve">, „Gelübde", Plural mit Suffix 2. Person Maskulinum Plural), koordiniert durch </w:t>
      </w:r>
      <w:r>
        <w:rPr>
          <w:rStyle w:val="Fett"/>
          <w:rFonts w:eastAsiaTheme="majorEastAsia"/>
          <w:rtl/>
        </w:rPr>
        <w:t>וְ</w:t>
      </w:r>
      <w:r>
        <w:rPr>
          <w:rtl/>
        </w:rPr>
        <w:t xml:space="preserve"> </w:t>
      </w:r>
      <w:r>
        <w:t xml:space="preserve">mit </w:t>
      </w:r>
      <w:r>
        <w:rPr>
          <w:rStyle w:val="Fett"/>
          <w:rFonts w:eastAsiaTheme="majorEastAsia"/>
          <w:rtl/>
        </w:rPr>
        <w:t>נְדָבָה</w:t>
      </w:r>
      <w:r>
        <w:rPr>
          <w:rtl/>
        </w:rPr>
        <w:t xml:space="preserve"> </w:t>
      </w:r>
      <w:r>
        <w:t xml:space="preserve">(„freiwillige Gabe", Plural mit Suffix </w:t>
      </w:r>
      <w:r>
        <w:lastRenderedPageBreak/>
        <w:t xml:space="preserve">2. Person Maskulinum Plural). </w:t>
      </w:r>
      <w:r>
        <w:rPr>
          <w:rStyle w:val="Fett"/>
          <w:rFonts w:eastAsiaTheme="majorEastAsia"/>
          <w:rtl/>
        </w:rPr>
        <w:t>נֶדֶר</w:t>
      </w:r>
      <w:r>
        <w:rPr>
          <w:rtl/>
        </w:rPr>
        <w:t xml:space="preserve"> </w:t>
      </w:r>
      <w:r>
        <w:t xml:space="preserve">bezeichnet ein gelobtes Opfer, </w:t>
      </w:r>
      <w:r>
        <w:rPr>
          <w:rStyle w:val="Fett"/>
          <w:rFonts w:eastAsiaTheme="majorEastAsia"/>
          <w:rtl/>
        </w:rPr>
        <w:t>נְדָבָה</w:t>
      </w:r>
      <w:r>
        <w:rPr>
          <w:rtl/>
        </w:rPr>
        <w:t xml:space="preserve"> </w:t>
      </w:r>
      <w:r>
        <w:t>eine spontane freiwillige Gabe.</w:t>
      </w:r>
    </w:p>
    <w:p w14:paraId="39CFC97B" w14:textId="77777777" w:rsidR="00724090" w:rsidRDefault="00724090" w:rsidP="00724090">
      <w:pPr>
        <w:pStyle w:val="whitespace-normal"/>
      </w:pPr>
      <w:r>
        <w:rPr>
          <w:rStyle w:val="Fett"/>
          <w:rFonts w:eastAsiaTheme="majorEastAsia"/>
          <w:rtl/>
        </w:rPr>
        <w:t>וּבְכֹרֹת בְּקַרְכֶם וְצֹאנְכֶם</w:t>
      </w:r>
      <w:r>
        <w:rPr>
          <w:rtl/>
        </w:rPr>
        <w:t xml:space="preserve"> </w:t>
      </w:r>
      <w:r>
        <w:t xml:space="preserve">ist das sechste und siebte Glied: </w:t>
      </w:r>
      <w:r>
        <w:rPr>
          <w:rStyle w:val="Fett"/>
          <w:rFonts w:eastAsiaTheme="majorEastAsia"/>
          <w:rtl/>
        </w:rPr>
        <w:t>וּבְכֹרֹת</w:t>
      </w:r>
      <w:r>
        <w:rPr>
          <w:rtl/>
        </w:rPr>
        <w:t xml:space="preserve"> </w:t>
      </w:r>
      <w:r>
        <w:t>(</w:t>
      </w:r>
      <w:r>
        <w:rPr>
          <w:rStyle w:val="Fett"/>
          <w:rFonts w:eastAsiaTheme="majorEastAsia"/>
          <w:rtl/>
        </w:rPr>
        <w:t>בְּכוֹר</w:t>
      </w:r>
      <w:r>
        <w:t xml:space="preserve">, „Erstgeburt, Erstgeborener", Plural Construct) mit </w:t>
      </w:r>
      <w:r>
        <w:rPr>
          <w:rStyle w:val="Fett"/>
          <w:rFonts w:eastAsiaTheme="majorEastAsia"/>
          <w:rtl/>
        </w:rPr>
        <w:t>בְּקַרְכֶם</w:t>
      </w:r>
      <w:r>
        <w:rPr>
          <w:rtl/>
        </w:rPr>
        <w:t xml:space="preserve"> </w:t>
      </w:r>
      <w:r>
        <w:t>(</w:t>
      </w:r>
      <w:r>
        <w:rPr>
          <w:rStyle w:val="Fett"/>
          <w:rFonts w:eastAsiaTheme="majorEastAsia"/>
          <w:rtl/>
        </w:rPr>
        <w:t>בָּקָר</w:t>
      </w:r>
      <w:r>
        <w:t xml:space="preserve">, „Rindvieh", Plural mit Suffix 2. Person Maskulinum Plural), koordiniert durch </w:t>
      </w:r>
      <w:r>
        <w:rPr>
          <w:rStyle w:val="Fett"/>
          <w:rFonts w:eastAsiaTheme="majorEastAsia"/>
          <w:rtl/>
        </w:rPr>
        <w:t>וְ</w:t>
      </w:r>
      <w:r>
        <w:rPr>
          <w:rtl/>
        </w:rPr>
        <w:t xml:space="preserve"> </w:t>
      </w:r>
      <w:r>
        <w:t xml:space="preserve">mit </w:t>
      </w:r>
      <w:r>
        <w:rPr>
          <w:rStyle w:val="Fett"/>
          <w:rFonts w:eastAsiaTheme="majorEastAsia"/>
          <w:rtl/>
        </w:rPr>
        <w:t>צֹאנְכֶם</w:t>
      </w:r>
      <w:r>
        <w:rPr>
          <w:rtl/>
        </w:rPr>
        <w:t xml:space="preserve"> </w:t>
      </w:r>
      <w:r>
        <w:t>(</w:t>
      </w:r>
      <w:r>
        <w:rPr>
          <w:rStyle w:val="Fett"/>
          <w:rFonts w:eastAsiaTheme="majorEastAsia"/>
          <w:rtl/>
        </w:rPr>
        <w:t>צֹאן</w:t>
      </w:r>
      <w:r>
        <w:t>, „Kleinvieh, Schafe und Ziegen", Kollektivum mit Suffix 2. Person Maskulinum Plural). Die Erstgeburten der Tiere gehörten JHWH (vgl. Ex 13,2.12; 34,19).</w:t>
      </w:r>
    </w:p>
    <w:p w14:paraId="737135D8" w14:textId="66E2242F" w:rsidR="00724090" w:rsidRDefault="00724090" w:rsidP="00724090">
      <w:pPr>
        <w:pStyle w:val="whitespace-normal"/>
      </w:pPr>
      <w:r>
        <w:t xml:space="preserve">Die siebengliedrige Aufzählung umfasst alle Arten von Opfern, Abgaben und Gaben: (1) </w:t>
      </w:r>
      <w:r w:rsidR="00A705B7">
        <w:t>Aufsteigeopfer</w:t>
      </w:r>
      <w:r>
        <w:t xml:space="preserve">, (2) Schlachtopfer, (3) Zehnten, (4) Hebopfer, (5) Gelübdeopfer, (6) Freiwillige Gaben, (7) Erstgeburten. Die Zahl Sieben symbolisiert Vollständigkeit. Die Aufzählung betont, dass alle kultischen Gaben ausschließlich am zentralen Heiligtum dargebracht werden sollen. Die Verwendung von </w:t>
      </w:r>
      <w:r>
        <w:rPr>
          <w:rStyle w:val="Fett"/>
          <w:rFonts w:eastAsiaTheme="majorEastAsia"/>
          <w:rtl/>
        </w:rPr>
        <w:t>אֵת</w:t>
      </w:r>
      <w:r>
        <w:rPr>
          <w:rtl/>
        </w:rPr>
        <w:t xml:space="preserve"> </w:t>
      </w:r>
      <w:r>
        <w:t xml:space="preserve">vor </w:t>
      </w:r>
      <w:r>
        <w:rPr>
          <w:rStyle w:val="Fett"/>
          <w:rFonts w:eastAsiaTheme="majorEastAsia"/>
          <w:rtl/>
        </w:rPr>
        <w:t>מַעְשְׂרֹתֵיכֶם</w:t>
      </w:r>
      <w:r>
        <w:rPr>
          <w:rtl/>
        </w:rPr>
        <w:t xml:space="preserve"> </w:t>
      </w:r>
      <w:r>
        <w:t xml:space="preserve">und </w:t>
      </w:r>
      <w:r>
        <w:rPr>
          <w:rStyle w:val="Fett"/>
          <w:rFonts w:eastAsiaTheme="majorEastAsia"/>
          <w:rtl/>
        </w:rPr>
        <w:t>תְּרוּמַת יֶדְכֶם</w:t>
      </w:r>
      <w:r>
        <w:rPr>
          <w:rtl/>
        </w:rPr>
        <w:t xml:space="preserve"> </w:t>
      </w:r>
      <w:r>
        <w:t>hebt diese beiden Glieder hervor.</w:t>
      </w:r>
    </w:p>
    <w:p w14:paraId="592B8838" w14:textId="77777777" w:rsidR="00724090" w:rsidRDefault="00724090" w:rsidP="00724090">
      <w:pPr>
        <w:pStyle w:val="whitespace-normal"/>
      </w:pPr>
      <w:r>
        <w:rPr>
          <w:rStyle w:val="Fett"/>
          <w:rFonts w:eastAsiaTheme="majorEastAsia"/>
        </w:rPr>
        <w:t>Die LXX</w:t>
      </w:r>
      <w:r>
        <w:t xml:space="preserve"> übersetzt „bringen" mit „</w:t>
      </w:r>
      <w:proofErr w:type="spellStart"/>
      <w:r>
        <w:t>οἴσετε</w:t>
      </w:r>
      <w:proofErr w:type="spellEnd"/>
      <w:r>
        <w:t>", „Aufsteigeopfer" mit „</w:t>
      </w:r>
      <w:proofErr w:type="spellStart"/>
      <w:r>
        <w:t>τὰ</w:t>
      </w:r>
      <w:proofErr w:type="spellEnd"/>
      <w:r>
        <w:t xml:space="preserve"> </w:t>
      </w:r>
      <w:proofErr w:type="spellStart"/>
      <w:r>
        <w:t>ὁλοκ</w:t>
      </w:r>
      <w:proofErr w:type="spellEnd"/>
      <w:r>
        <w:t>αυτώματα", „Schlachtopfer" mit „</w:t>
      </w:r>
      <w:proofErr w:type="spellStart"/>
      <w:r>
        <w:t>τὰ</w:t>
      </w:r>
      <w:proofErr w:type="spellEnd"/>
      <w:r>
        <w:t xml:space="preserve"> </w:t>
      </w:r>
      <w:proofErr w:type="spellStart"/>
      <w:r>
        <w:t>θυσιάσμ</w:t>
      </w:r>
      <w:proofErr w:type="spellEnd"/>
      <w:r>
        <w:t>ατα", „Zehnten" mit „</w:t>
      </w:r>
      <w:proofErr w:type="spellStart"/>
      <w:r>
        <w:t>τὰς</w:t>
      </w:r>
      <w:proofErr w:type="spellEnd"/>
      <w:r>
        <w:t xml:space="preserve"> </w:t>
      </w:r>
      <w:proofErr w:type="spellStart"/>
      <w:r>
        <w:t>δεκάτ</w:t>
      </w:r>
      <w:proofErr w:type="spellEnd"/>
      <w:r>
        <w:t>ας", „Hebopfer" mit „</w:t>
      </w:r>
      <w:proofErr w:type="spellStart"/>
      <w:r>
        <w:t>τὰς</w:t>
      </w:r>
      <w:proofErr w:type="spellEnd"/>
      <w:r>
        <w:t xml:space="preserve"> ἀπα</w:t>
      </w:r>
      <w:proofErr w:type="spellStart"/>
      <w:r>
        <w:t>ρχὰς</w:t>
      </w:r>
      <w:proofErr w:type="spellEnd"/>
      <w:r>
        <w:t xml:space="preserve"> </w:t>
      </w:r>
      <w:proofErr w:type="spellStart"/>
      <w:r>
        <w:t>τῶν</w:t>
      </w:r>
      <w:proofErr w:type="spellEnd"/>
      <w:r>
        <w:t xml:space="preserve"> </w:t>
      </w:r>
      <w:proofErr w:type="spellStart"/>
      <w:r>
        <w:t>χειρῶν</w:t>
      </w:r>
      <w:proofErr w:type="spellEnd"/>
      <w:r>
        <w:t xml:space="preserve"> </w:t>
      </w:r>
      <w:proofErr w:type="spellStart"/>
      <w:r>
        <w:t>ὑμῶν</w:t>
      </w:r>
      <w:proofErr w:type="spellEnd"/>
      <w:r>
        <w:t>", „Gelübde" mit „</w:t>
      </w:r>
      <w:proofErr w:type="spellStart"/>
      <w:r>
        <w:t>τὰς</w:t>
      </w:r>
      <w:proofErr w:type="spellEnd"/>
      <w:r>
        <w:t xml:space="preserve"> </w:t>
      </w:r>
      <w:proofErr w:type="spellStart"/>
      <w:r>
        <w:t>εὐχὰς</w:t>
      </w:r>
      <w:proofErr w:type="spellEnd"/>
      <w:r>
        <w:t>" und „freiwillige Gaben" mit „</w:t>
      </w:r>
      <w:proofErr w:type="spellStart"/>
      <w:r>
        <w:t>τὰς</w:t>
      </w:r>
      <w:proofErr w:type="spellEnd"/>
      <w:r>
        <w:t xml:space="preserve"> </w:t>
      </w:r>
      <w:proofErr w:type="spellStart"/>
      <w:r>
        <w:t>ὁμολογί</w:t>
      </w:r>
      <w:proofErr w:type="spellEnd"/>
      <w:r>
        <w:t>ας".</w:t>
      </w:r>
    </w:p>
    <w:p w14:paraId="7615A3C8" w14:textId="77777777" w:rsidR="00724090" w:rsidRDefault="00724090" w:rsidP="00724090">
      <w:pPr>
        <w:pStyle w:val="whitespace-normal"/>
      </w:pPr>
      <w:r>
        <w:rPr>
          <w:rStyle w:val="Fett"/>
          <w:rFonts w:eastAsiaTheme="majorEastAsia"/>
        </w:rPr>
        <w:t>Die Satzstruktur</w:t>
      </w:r>
      <w:r>
        <w:t xml:space="preserve"> besteht aus einem Imperativ mit Richtungsangabe und siebengliedriger Aufzählung: Prädikat (sollt bringen), Richtungsangabe (dorthin), siebengliedriges direktes Objekt (eure Aufsteigeopfer, eure Schlachtopfer, eure Zehnten, das Hebopfer eurer Hand, eure Gelübde, eure freiwilligen Gaben, die Erstgeburten eures Rind- und Kleinviehs).</w:t>
      </w:r>
    </w:p>
    <w:p w14:paraId="37392EE3" w14:textId="77777777" w:rsidR="00724090" w:rsidRDefault="00724090" w:rsidP="00724090">
      <w:pPr>
        <w:pStyle w:val="whitespace-normal"/>
      </w:pPr>
      <w:r>
        <w:t>Der Vers konkretisiert, was am zentralen Heiligtum dargebracht werden soll: alle Arten von Opfern, Zehnten und Erstgeburten – eine umfassende Kultzentralisation.</w:t>
      </w:r>
    </w:p>
    <w:p w14:paraId="27C87E6D"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12,7</w:t>
      </w:r>
    </w:p>
    <w:p w14:paraId="51A6EBC5" w14:textId="77777777" w:rsidR="00724090" w:rsidRDefault="00724090" w:rsidP="00724090">
      <w:pPr>
        <w:pStyle w:val="whitespace-normal"/>
      </w:pPr>
      <w:r>
        <w:rPr>
          <w:rStyle w:val="Fett"/>
          <w:rFonts w:eastAsiaTheme="majorEastAsia"/>
        </w:rPr>
        <w:t>Hebräisch:</w:t>
      </w:r>
      <w:r>
        <w:t xml:space="preserve"> </w:t>
      </w:r>
      <w:r>
        <w:rPr>
          <w:rtl/>
        </w:rPr>
        <w:t>וַאֲכַלְתֶּם־שָׁ֗ם לִפְנֵי֙ יְהוָ֣ה אֱלֹֽהֵיכֶ֔ם וּשְׂמַחְתֶּ֗ם בְּכֹל֙ מִשְׁלַ֣ח יֶדְכֶ֔ם אַתֶּ֖ם וּבָתֵּיכֶ֑ם אֲשֶׁ֥ר בֵּֽרַכְךָ֖ יְהוָ֥ה אֱלֹהֶֽיךָ׃</w:t>
      </w:r>
    </w:p>
    <w:p w14:paraId="0BAFCC0C" w14:textId="588DFA6D" w:rsidR="00724090" w:rsidRDefault="00724090" w:rsidP="00724090">
      <w:pPr>
        <w:pStyle w:val="whitespace-normal"/>
      </w:pPr>
      <w:r>
        <w:rPr>
          <w:rStyle w:val="Fett"/>
          <w:rFonts w:eastAsiaTheme="majorEastAsia"/>
        </w:rPr>
        <w:t>Deutsch:</w:t>
      </w:r>
      <w:r>
        <w:t xml:space="preserve"> Und dort sollt ihr vor dem Ewigen, eurem Gott, essen und euch erfreuen, ihr und eure Häuser, an allem Erwerb eurer Hand, worin der Ewige, dein Gott, dich gesegnet hat.</w:t>
      </w:r>
    </w:p>
    <w:p w14:paraId="59CD14B1" w14:textId="291AABB7" w:rsidR="009C316F" w:rsidRDefault="004F5CEB" w:rsidP="00724090">
      <w:pPr>
        <w:pStyle w:val="whitespace-normal"/>
      </w:pPr>
      <w:r>
        <w:rPr>
          <w:noProof/>
        </w:rPr>
        <w:pict w14:anchorId="2B9FB620">
          <v:rect id="_x0000_i1379" style="width:0;height:1.5pt" o:hralign="center" o:hrstd="t" o:hr="t" fillcolor="#a0a0a0" stroked="f"/>
        </w:pict>
      </w:r>
    </w:p>
    <w:p w14:paraId="723395EA"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וַאֲכַלְתֶּם־שָׁם לִפְנֵי יְהוָה אֱלֹהֵיכֶם</w:t>
      </w:r>
      <w:r>
        <w:rPr>
          <w:rtl/>
        </w:rPr>
        <w:t xml:space="preserve"> </w:t>
      </w:r>
      <w:r>
        <w:t xml:space="preserve">ist der erste Imperativsatz: </w:t>
      </w:r>
      <w:r>
        <w:rPr>
          <w:rStyle w:val="Fett"/>
          <w:rFonts w:eastAsiaTheme="majorEastAsia"/>
          <w:rtl/>
        </w:rPr>
        <w:t>וַאֲכַלְתֶּם</w:t>
      </w:r>
      <w:r>
        <w:rPr>
          <w:rtl/>
        </w:rPr>
        <w:t xml:space="preserve"> </w:t>
      </w:r>
      <w:r>
        <w:t xml:space="preserve">(Qal Perfekt, 2. Person Maskulinum Plural von </w:t>
      </w:r>
      <w:r>
        <w:rPr>
          <w:rStyle w:val="Fett"/>
          <w:rFonts w:eastAsiaTheme="majorEastAsia"/>
          <w:rtl/>
        </w:rPr>
        <w:t>אכל</w:t>
      </w:r>
      <w:r>
        <w:t xml:space="preserve">, „essen", mit </w:t>
      </w:r>
      <w:r>
        <w:rPr>
          <w:rStyle w:val="Fett"/>
          <w:rFonts w:eastAsiaTheme="majorEastAsia"/>
        </w:rPr>
        <w:t>Waw</w:t>
      </w:r>
      <w:r>
        <w:t xml:space="preserve">, imperativisch), </w:t>
      </w:r>
      <w:r>
        <w:rPr>
          <w:rStyle w:val="Fett"/>
          <w:rFonts w:eastAsiaTheme="majorEastAsia"/>
          <w:rtl/>
        </w:rPr>
        <w:t>שָׁם</w:t>
      </w:r>
      <w:r>
        <w:rPr>
          <w:rtl/>
        </w:rPr>
        <w:t xml:space="preserve"> </w:t>
      </w:r>
      <w:r>
        <w:t xml:space="preserve">(„dort") als lokales Adverb und </w:t>
      </w:r>
      <w:r>
        <w:rPr>
          <w:rStyle w:val="Fett"/>
          <w:rFonts w:eastAsiaTheme="majorEastAsia"/>
          <w:rtl/>
        </w:rPr>
        <w:t>לִפְנֵי יְהוָה אֱלֹהֵיכֶם</w:t>
      </w:r>
      <w:r>
        <w:rPr>
          <w:rtl/>
        </w:rPr>
        <w:t xml:space="preserve"> </w:t>
      </w:r>
      <w:r>
        <w:t xml:space="preserve">(Präposition </w:t>
      </w:r>
      <w:r>
        <w:rPr>
          <w:rStyle w:val="Fett"/>
          <w:rFonts w:eastAsiaTheme="majorEastAsia"/>
          <w:rtl/>
        </w:rPr>
        <w:t>לִפְנֵי</w:t>
      </w:r>
      <w:r>
        <w:t xml:space="preserve">, „vor, vor dem Angesicht", mit </w:t>
      </w:r>
      <w:r>
        <w:rPr>
          <w:rStyle w:val="Fett"/>
          <w:rFonts w:eastAsiaTheme="majorEastAsia"/>
          <w:rtl/>
        </w:rPr>
        <w:t>יְהוָה אֱלֹהֵיכֶם</w:t>
      </w:r>
      <w:r>
        <w:t xml:space="preserve">) als lokale Bestimmung. Die Wendung </w:t>
      </w:r>
      <w:r>
        <w:rPr>
          <w:rStyle w:val="Fett"/>
          <w:rFonts w:eastAsiaTheme="majorEastAsia"/>
          <w:rtl/>
        </w:rPr>
        <w:t>אכל לפני יהוה</w:t>
      </w:r>
      <w:r>
        <w:rPr>
          <w:rtl/>
        </w:rPr>
        <w:t xml:space="preserve"> </w:t>
      </w:r>
      <w:r>
        <w:t>(„essen vor JHWH") bezeichnet das kultische Opfermahl in Gottes Gegenwart.</w:t>
      </w:r>
    </w:p>
    <w:p w14:paraId="400B1CA2" w14:textId="77777777" w:rsidR="00724090" w:rsidRDefault="00724090" w:rsidP="00724090">
      <w:pPr>
        <w:pStyle w:val="whitespace-normal"/>
      </w:pPr>
      <w:r>
        <w:rPr>
          <w:rStyle w:val="Fett"/>
          <w:rFonts w:eastAsiaTheme="majorEastAsia"/>
          <w:rtl/>
        </w:rPr>
        <w:t>וּשְׂמַחְתֶּם בְּכֹל מִשְׁלַח יֶדְכֶם</w:t>
      </w:r>
      <w:r>
        <w:rPr>
          <w:rtl/>
        </w:rPr>
        <w:t xml:space="preserve"> </w:t>
      </w:r>
      <w:r>
        <w:t xml:space="preserve">ist der zweite Imperativsatz: </w:t>
      </w:r>
      <w:r>
        <w:rPr>
          <w:rStyle w:val="Fett"/>
          <w:rFonts w:eastAsiaTheme="majorEastAsia"/>
          <w:rtl/>
        </w:rPr>
        <w:t>וּשְׂמַחְתֶּם</w:t>
      </w:r>
      <w:r>
        <w:rPr>
          <w:rtl/>
        </w:rPr>
        <w:t xml:space="preserve"> </w:t>
      </w:r>
      <w:r>
        <w:t xml:space="preserve">(Qal Perfekt, 2. Person Maskulinum Plural von </w:t>
      </w:r>
      <w:r>
        <w:rPr>
          <w:rStyle w:val="Fett"/>
          <w:rFonts w:eastAsiaTheme="majorEastAsia"/>
          <w:rtl/>
        </w:rPr>
        <w:t>שׂמח</w:t>
      </w:r>
      <w:r>
        <w:t xml:space="preserve">, „sich freuen", mit </w:t>
      </w:r>
      <w:r>
        <w:rPr>
          <w:rStyle w:val="Fett"/>
          <w:rFonts w:eastAsiaTheme="majorEastAsia"/>
        </w:rPr>
        <w:t>Waw</w:t>
      </w:r>
      <w:r>
        <w:t xml:space="preserve">, imperativisch) und </w:t>
      </w:r>
      <w:r>
        <w:rPr>
          <w:rStyle w:val="Fett"/>
          <w:rFonts w:eastAsiaTheme="majorEastAsia"/>
          <w:rtl/>
        </w:rPr>
        <w:t>בְּכֹל מִשְׁלַח יֶדְכֶם</w:t>
      </w:r>
      <w:r>
        <w:rPr>
          <w:rtl/>
        </w:rPr>
        <w:t xml:space="preserve"> </w:t>
      </w:r>
      <w:r>
        <w:t xml:space="preserve">(Präposition </w:t>
      </w:r>
      <w:r>
        <w:rPr>
          <w:rStyle w:val="Fett"/>
          <w:rFonts w:eastAsiaTheme="majorEastAsia"/>
          <w:rtl/>
        </w:rPr>
        <w:t>בְּ</w:t>
      </w:r>
      <w:r>
        <w:t xml:space="preserve">, „an, über", mit </w:t>
      </w:r>
      <w:r>
        <w:rPr>
          <w:rStyle w:val="Fett"/>
          <w:rFonts w:eastAsiaTheme="majorEastAsia"/>
          <w:rtl/>
        </w:rPr>
        <w:t>כֹּל</w:t>
      </w:r>
      <w:r>
        <w:rPr>
          <w:rtl/>
        </w:rPr>
        <w:t xml:space="preserve"> </w:t>
      </w:r>
      <w:r>
        <w:t xml:space="preserve">im Construct mit </w:t>
      </w:r>
      <w:r>
        <w:rPr>
          <w:rStyle w:val="Fett"/>
          <w:rFonts w:eastAsiaTheme="majorEastAsia"/>
          <w:rtl/>
        </w:rPr>
        <w:t>מִשְׁלַח</w:t>
      </w:r>
      <w:r>
        <w:t xml:space="preserve">, „Aussendung, Unternehmen, </w:t>
      </w:r>
      <w:r>
        <w:lastRenderedPageBreak/>
        <w:t xml:space="preserve">Erwerb", Singular Construct mit </w:t>
      </w:r>
      <w:r>
        <w:rPr>
          <w:rStyle w:val="Fett"/>
          <w:rFonts w:eastAsiaTheme="majorEastAsia"/>
          <w:rtl/>
        </w:rPr>
        <w:t>יָד</w:t>
      </w:r>
      <w:r>
        <w:t xml:space="preserve">, „Hand", Plural mit Suffix 2. Person Maskulinum Plural). Die Wendung </w:t>
      </w:r>
      <w:r>
        <w:rPr>
          <w:rStyle w:val="Fett"/>
          <w:rFonts w:eastAsiaTheme="majorEastAsia"/>
          <w:rtl/>
        </w:rPr>
        <w:t>מִשְׁלַח יֶדְכֶם</w:t>
      </w:r>
      <w:r>
        <w:rPr>
          <w:rtl/>
        </w:rPr>
        <w:t xml:space="preserve"> </w:t>
      </w:r>
      <w:r>
        <w:t>bedeutet „der Erwerb eurer Hand, das Werk eurer Hände". Die Freude ist ein zentrales Element des deuteronomischen Gottesdienstes.</w:t>
      </w:r>
    </w:p>
    <w:p w14:paraId="0556389D" w14:textId="77777777" w:rsidR="00724090" w:rsidRDefault="00724090" w:rsidP="00724090">
      <w:pPr>
        <w:pStyle w:val="whitespace-normal"/>
      </w:pPr>
      <w:r>
        <w:rPr>
          <w:rStyle w:val="Fett"/>
          <w:rFonts w:eastAsiaTheme="majorEastAsia"/>
          <w:rtl/>
        </w:rPr>
        <w:t>אַתֶּם וּבָתֵּיכֶם</w:t>
      </w:r>
      <w:r>
        <w:rPr>
          <w:rtl/>
        </w:rPr>
        <w:t xml:space="preserve"> </w:t>
      </w:r>
      <w:r>
        <w:t xml:space="preserve">ist eine Apposition: </w:t>
      </w:r>
      <w:r>
        <w:rPr>
          <w:rStyle w:val="Fett"/>
          <w:rFonts w:eastAsiaTheme="majorEastAsia"/>
          <w:rtl/>
        </w:rPr>
        <w:t>אַתֶּם</w:t>
      </w:r>
      <w:r>
        <w:rPr>
          <w:rtl/>
        </w:rPr>
        <w:t xml:space="preserve"> </w:t>
      </w:r>
      <w:r>
        <w:t xml:space="preserve">(Personalpronomen 2. Person Maskulinum Plural, „ihr"), koordiniert durch </w:t>
      </w:r>
      <w:r>
        <w:rPr>
          <w:rStyle w:val="Fett"/>
          <w:rFonts w:eastAsiaTheme="majorEastAsia"/>
          <w:rtl/>
        </w:rPr>
        <w:t>וּ</w:t>
      </w:r>
      <w:r>
        <w:rPr>
          <w:rtl/>
        </w:rPr>
        <w:t xml:space="preserve"> </w:t>
      </w:r>
      <w:r>
        <w:t xml:space="preserve">mit </w:t>
      </w:r>
      <w:r>
        <w:rPr>
          <w:rStyle w:val="Fett"/>
          <w:rFonts w:eastAsiaTheme="majorEastAsia"/>
          <w:rtl/>
        </w:rPr>
        <w:t>בָתֵּיכֶם</w:t>
      </w:r>
      <w:r>
        <w:rPr>
          <w:rtl/>
        </w:rPr>
        <w:t xml:space="preserve"> </w:t>
      </w:r>
      <w:r>
        <w:t>(</w:t>
      </w:r>
      <w:r>
        <w:rPr>
          <w:rStyle w:val="Fett"/>
          <w:rFonts w:eastAsiaTheme="majorEastAsia"/>
          <w:rtl/>
        </w:rPr>
        <w:t>בַּיִת</w:t>
      </w:r>
      <w:r>
        <w:t xml:space="preserve">, „Haus, Haushalt, Familie", Plural mit Suffix 2. Person Maskulinum Plural). Die Wendung </w:t>
      </w:r>
      <w:r>
        <w:rPr>
          <w:rStyle w:val="Fett"/>
          <w:rFonts w:eastAsiaTheme="majorEastAsia"/>
          <w:rtl/>
        </w:rPr>
        <w:t>אַתֶּם וּבָתֵּיכֶם</w:t>
      </w:r>
      <w:r>
        <w:rPr>
          <w:rtl/>
        </w:rPr>
        <w:t xml:space="preserve"> </w:t>
      </w:r>
      <w:r>
        <w:t>(„ihr und eure Häuser") umfasst die ganze Familie.</w:t>
      </w:r>
    </w:p>
    <w:p w14:paraId="57C696A1" w14:textId="77777777" w:rsidR="00724090" w:rsidRDefault="00724090" w:rsidP="00724090">
      <w:pPr>
        <w:pStyle w:val="whitespace-normal"/>
      </w:pPr>
      <w:r>
        <w:rPr>
          <w:rStyle w:val="Fett"/>
          <w:rFonts w:eastAsiaTheme="majorEastAsia"/>
          <w:rtl/>
        </w:rPr>
        <w:t>אֲשֶׁר בֵּרַכְךָ יְהוָה אֱלֹהֶיךָ</w:t>
      </w:r>
      <w:r>
        <w:rPr>
          <w:rtl/>
        </w:rPr>
        <w:t xml:space="preserve"> </w:t>
      </w:r>
      <w:r>
        <w:t xml:space="preserve">ist ein Relativsatz: </w:t>
      </w:r>
      <w:r>
        <w:rPr>
          <w:rStyle w:val="Fett"/>
          <w:rFonts w:eastAsiaTheme="majorEastAsia"/>
          <w:rtl/>
        </w:rPr>
        <w:t>אֲשֶׁר</w:t>
      </w:r>
      <w:r>
        <w:rPr>
          <w:rtl/>
        </w:rPr>
        <w:t xml:space="preserve"> </w:t>
      </w:r>
      <w:r>
        <w:t xml:space="preserve">(Relativpronomen) mit </w:t>
      </w:r>
      <w:r>
        <w:rPr>
          <w:rStyle w:val="Fett"/>
          <w:rFonts w:eastAsiaTheme="majorEastAsia"/>
          <w:rtl/>
        </w:rPr>
        <w:t>בֵּרַכְךָ</w:t>
      </w:r>
      <w:r>
        <w:rPr>
          <w:rtl/>
        </w:rPr>
        <w:t xml:space="preserve"> </w:t>
      </w:r>
      <w:r>
        <w:t xml:space="preserve">(Piel Perfekt, 3. Person Maskulinum Singular von </w:t>
      </w:r>
      <w:r>
        <w:rPr>
          <w:rStyle w:val="Fett"/>
          <w:rFonts w:eastAsiaTheme="majorEastAsia"/>
          <w:rtl/>
        </w:rPr>
        <w:t>ברך</w:t>
      </w:r>
      <w:r>
        <w:t xml:space="preserve">, „segnen", mit Suffix 2. Person Maskulinum Singular als direktes Objekt) und </w:t>
      </w:r>
      <w:r>
        <w:rPr>
          <w:rStyle w:val="Fett"/>
          <w:rFonts w:eastAsiaTheme="majorEastAsia"/>
          <w:rtl/>
        </w:rPr>
        <w:t>יְהוָה אֱלֹהֶיךָ</w:t>
      </w:r>
      <w:r>
        <w:rPr>
          <w:rtl/>
        </w:rPr>
        <w:t xml:space="preserve"> </w:t>
      </w:r>
      <w:r>
        <w:t xml:space="preserve">(Tetragramm mit Apposition </w:t>
      </w:r>
      <w:r>
        <w:rPr>
          <w:rStyle w:val="Fett"/>
          <w:rFonts w:eastAsiaTheme="majorEastAsia"/>
          <w:rtl/>
        </w:rPr>
        <w:t>אֱלֹהֶיךָ</w:t>
      </w:r>
      <w:r>
        <w:t>) als Subjekt. Der Wechsel von Plural (</w:t>
      </w:r>
      <w:r>
        <w:rPr>
          <w:rStyle w:val="Fett"/>
          <w:rFonts w:eastAsiaTheme="majorEastAsia"/>
          <w:rtl/>
        </w:rPr>
        <w:t>אֱלֹהֵיכֶם</w:t>
      </w:r>
      <w:r>
        <w:t>) zu Singular (</w:t>
      </w:r>
      <w:r>
        <w:rPr>
          <w:rStyle w:val="Fett"/>
          <w:rFonts w:eastAsiaTheme="majorEastAsia"/>
          <w:rtl/>
        </w:rPr>
        <w:t>אֱלֹהֶיךָ</w:t>
      </w:r>
      <w:r>
        <w:t xml:space="preserve">, </w:t>
      </w:r>
      <w:r>
        <w:rPr>
          <w:rStyle w:val="Fett"/>
          <w:rFonts w:eastAsiaTheme="majorEastAsia"/>
          <w:rtl/>
        </w:rPr>
        <w:t>בֵּרַכְךָ</w:t>
      </w:r>
      <w:r>
        <w:t>) ist typisch für das Deuteronomium.</w:t>
      </w:r>
    </w:p>
    <w:p w14:paraId="788D9625" w14:textId="77777777" w:rsidR="00724090" w:rsidRDefault="00724090" w:rsidP="00724090">
      <w:pPr>
        <w:pStyle w:val="whitespace-normal"/>
      </w:pPr>
      <w:r>
        <w:t xml:space="preserve">Die Syntax betont die Freude am zentralen Heiligtum. Das Essen vor JHWH ist kein rein ritueller Akt, sondern ein fröhliches Fest. Die Formulierung </w:t>
      </w:r>
      <w:r>
        <w:rPr>
          <w:rStyle w:val="Fett"/>
          <w:rFonts w:eastAsiaTheme="majorEastAsia"/>
          <w:rtl/>
        </w:rPr>
        <w:t>מִשְׁלַח יֶדְכֶם</w:t>
      </w:r>
      <w:r>
        <w:rPr>
          <w:rtl/>
        </w:rPr>
        <w:t xml:space="preserve"> </w:t>
      </w:r>
      <w:r>
        <w:t>verbindet die Opfer mit dem alltäglichen Arbeitserwerb: Was Israel durch seiner Hände Arbeit erwirbt, wird vor JHWH gebracht und dort in Freude genossen. Die Einbeziehung der ganzen Familie (</w:t>
      </w:r>
      <w:r>
        <w:rPr>
          <w:rStyle w:val="Fett"/>
          <w:rFonts w:eastAsiaTheme="majorEastAsia"/>
          <w:rtl/>
        </w:rPr>
        <w:t>אַתֶּם וּבָתֵּיכֶם</w:t>
      </w:r>
      <w:r>
        <w:t xml:space="preserve">) unterstreicht den gemeinschaftlichen Charakter. Der Relativsatz </w:t>
      </w:r>
      <w:r>
        <w:rPr>
          <w:rStyle w:val="Fett"/>
          <w:rFonts w:eastAsiaTheme="majorEastAsia"/>
          <w:rtl/>
        </w:rPr>
        <w:t>אֲשֶׁר בֵּרַכְךָ יְהוָה אֱלֹהֶיךָ</w:t>
      </w:r>
      <w:r>
        <w:rPr>
          <w:rtl/>
        </w:rPr>
        <w:t xml:space="preserve"> </w:t>
      </w:r>
      <w:r>
        <w:t>begründet die Freude: Sie basiert auf dem göttlichen Segen.</w:t>
      </w:r>
    </w:p>
    <w:p w14:paraId="6AC60CB7" w14:textId="77777777" w:rsidR="00724090" w:rsidRDefault="00724090" w:rsidP="00724090">
      <w:pPr>
        <w:pStyle w:val="whitespace-normal"/>
      </w:pPr>
      <w:r>
        <w:rPr>
          <w:rStyle w:val="Fett"/>
          <w:rFonts w:eastAsiaTheme="majorEastAsia"/>
        </w:rPr>
        <w:t>Die LXX</w:t>
      </w:r>
      <w:r>
        <w:t xml:space="preserve"> übersetzt „essen" mit „</w:t>
      </w:r>
      <w:proofErr w:type="spellStart"/>
      <w:r>
        <w:t>φάγεσθε</w:t>
      </w:r>
      <w:proofErr w:type="spellEnd"/>
      <w:r>
        <w:t>", „sich freuen" mit „</w:t>
      </w:r>
      <w:proofErr w:type="spellStart"/>
      <w:r>
        <w:t>εὐφρ</w:t>
      </w:r>
      <w:proofErr w:type="spellEnd"/>
      <w:r>
        <w:t>ανθήσεσθε", „an allem Erwerb eurer Hand" mit „ἐπὶ π</w:t>
      </w:r>
      <w:proofErr w:type="spellStart"/>
      <w:r>
        <w:t>ᾶσιν</w:t>
      </w:r>
      <w:proofErr w:type="spellEnd"/>
      <w:r>
        <w:t xml:space="preserve"> </w:t>
      </w:r>
      <w:proofErr w:type="spellStart"/>
      <w:r>
        <w:t>οἷς</w:t>
      </w:r>
      <w:proofErr w:type="spellEnd"/>
      <w:r>
        <w:t xml:space="preserve"> </w:t>
      </w:r>
      <w:proofErr w:type="spellStart"/>
      <w:r>
        <w:t>ἂν</w:t>
      </w:r>
      <w:proofErr w:type="spellEnd"/>
      <w:r>
        <w:t xml:space="preserve"> </w:t>
      </w:r>
      <w:proofErr w:type="spellStart"/>
      <w:r>
        <w:t>τὰς</w:t>
      </w:r>
      <w:proofErr w:type="spellEnd"/>
      <w:r>
        <w:t xml:space="preserve"> </w:t>
      </w:r>
      <w:proofErr w:type="spellStart"/>
      <w:r>
        <w:t>χεῖρ</w:t>
      </w:r>
      <w:proofErr w:type="spellEnd"/>
      <w:r>
        <w:t xml:space="preserve">ας </w:t>
      </w:r>
      <w:proofErr w:type="spellStart"/>
      <w:r>
        <w:t>ὑμῶν</w:t>
      </w:r>
      <w:proofErr w:type="spellEnd"/>
      <w:r>
        <w:t xml:space="preserve"> ἐπιβ</w:t>
      </w:r>
      <w:proofErr w:type="spellStart"/>
      <w:r>
        <w:t>άλητε</w:t>
      </w:r>
      <w:proofErr w:type="spellEnd"/>
      <w:r>
        <w:t>" und „worin gesegnet hat" mit „</w:t>
      </w:r>
      <w:proofErr w:type="spellStart"/>
      <w:r>
        <w:t>ὅσ</w:t>
      </w:r>
      <w:proofErr w:type="spellEnd"/>
      <w:r>
        <w:t xml:space="preserve">α </w:t>
      </w:r>
      <w:proofErr w:type="spellStart"/>
      <w:r>
        <w:t>ἂν</w:t>
      </w:r>
      <w:proofErr w:type="spellEnd"/>
      <w:r>
        <w:t xml:space="preserve"> </w:t>
      </w:r>
      <w:proofErr w:type="spellStart"/>
      <w:r>
        <w:t>εὐλογήσῃ</w:t>
      </w:r>
      <w:proofErr w:type="spellEnd"/>
      <w:r>
        <w:t>".</w:t>
      </w:r>
    </w:p>
    <w:p w14:paraId="4AE2AB50" w14:textId="77777777" w:rsidR="00724090" w:rsidRDefault="00724090" w:rsidP="00724090">
      <w:pPr>
        <w:pStyle w:val="whitespace-normal"/>
      </w:pPr>
      <w:r>
        <w:rPr>
          <w:rStyle w:val="Fett"/>
          <w:rFonts w:eastAsiaTheme="majorEastAsia"/>
        </w:rPr>
        <w:t>Die Satzstruktur</w:t>
      </w:r>
      <w:r>
        <w:t xml:space="preserve"> besteht aus zwei koordinierten Imperativen mit Apposition und Relativsatz: Erster Imperativ (sollt essen), lokales Adverb (dort), lokale Bestimmung (vor JHWH, eurem Gott), zweiter Imperativ (sollt euch freuen), modale Bestimmung (an allem Erwerb eurer Hand), Apposition (ihr und eure Häuser), Relativsatz mit Prädikat und Subjekt (worin gesegnet hat dich JHWH, dein Gott).</w:t>
      </w:r>
    </w:p>
    <w:p w14:paraId="74D2E604" w14:textId="77777777" w:rsidR="00724090" w:rsidRDefault="00724090" w:rsidP="00724090">
      <w:pPr>
        <w:pStyle w:val="whitespace-normal"/>
      </w:pPr>
      <w:r>
        <w:t>Der Vers betont die fröhliche Gemeinschaft am zentralen Heiligtum: Israel soll dort mit der ganzen Familie vor JHWH essen und sich freuen an allem, womit JHWH sie gesegnet hat.</w:t>
      </w:r>
    </w:p>
    <w:p w14:paraId="59CF0C01"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12,8</w:t>
      </w:r>
    </w:p>
    <w:p w14:paraId="770C7992" w14:textId="77777777" w:rsidR="00724090" w:rsidRDefault="00724090" w:rsidP="00724090">
      <w:pPr>
        <w:pStyle w:val="whitespace-normal"/>
      </w:pPr>
      <w:r>
        <w:rPr>
          <w:rStyle w:val="Fett"/>
          <w:rFonts w:eastAsiaTheme="majorEastAsia"/>
        </w:rPr>
        <w:t>Hebräisch:</w:t>
      </w:r>
      <w:r>
        <w:t xml:space="preserve"> </w:t>
      </w:r>
      <w:r>
        <w:rPr>
          <w:rtl/>
        </w:rPr>
        <w:t>לֹ֣א תַעֲשׂ֔וּן כְּ֠כֹל אֲשֶׁ֨ר אֲנַ֧חְנוּ עֹשִׂ֛ים פֹּ֖ה הַיּ֑וֹם אִ֖ישׁ כָּל־הַיָּשָׁ֥ר בְּעֵינָֽיו׃</w:t>
      </w:r>
    </w:p>
    <w:p w14:paraId="34A0D5DE" w14:textId="7F3A46E5" w:rsidR="00724090" w:rsidRDefault="00724090" w:rsidP="00724090">
      <w:pPr>
        <w:pStyle w:val="whitespace-normal"/>
      </w:pPr>
      <w:r>
        <w:rPr>
          <w:rStyle w:val="Fett"/>
          <w:rFonts w:eastAsiaTheme="majorEastAsia"/>
        </w:rPr>
        <w:t>Deutsch:</w:t>
      </w:r>
      <w:r>
        <w:t xml:space="preserve"> Ihr sollt nicht tun nach allem, was wir heute hier tun, ein jeder, was irgend recht ist in seinen Augen.</w:t>
      </w:r>
    </w:p>
    <w:p w14:paraId="79BEC0F7" w14:textId="110813F5" w:rsidR="009C316F" w:rsidRDefault="004F5CEB" w:rsidP="00724090">
      <w:pPr>
        <w:pStyle w:val="whitespace-normal"/>
      </w:pPr>
      <w:r>
        <w:rPr>
          <w:noProof/>
        </w:rPr>
        <w:pict w14:anchorId="25FDB4A6">
          <v:rect id="_x0000_i1380" style="width:0;height:1.5pt" o:hralign="center" o:hrstd="t" o:hr="t" fillcolor="#a0a0a0" stroked="f"/>
        </w:pict>
      </w:r>
    </w:p>
    <w:p w14:paraId="19397AFF"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לֹא תַעֲשׂוּן כְּכֹל אֲשֶׁר אֲנַחְנוּ עֹשִׂים פֹּה הַיּוֹם</w:t>
      </w:r>
      <w:r>
        <w:rPr>
          <w:rtl/>
        </w:rPr>
        <w:t xml:space="preserve"> </w:t>
      </w:r>
      <w:r>
        <w:t xml:space="preserve">ist ein negativer Imperativsatz mit Vergleich: </w:t>
      </w:r>
      <w:r>
        <w:rPr>
          <w:rStyle w:val="Fett"/>
          <w:rFonts w:eastAsiaTheme="majorEastAsia"/>
          <w:rtl/>
        </w:rPr>
        <w:t>לֹא</w:t>
      </w:r>
      <w:r>
        <w:rPr>
          <w:rtl/>
        </w:rPr>
        <w:t xml:space="preserve"> </w:t>
      </w:r>
      <w:r>
        <w:t xml:space="preserve">(Negation) mit </w:t>
      </w:r>
      <w:r>
        <w:rPr>
          <w:rStyle w:val="Fett"/>
          <w:rFonts w:eastAsiaTheme="majorEastAsia"/>
          <w:rtl/>
        </w:rPr>
        <w:t>תַעֲשׂוּן</w:t>
      </w:r>
      <w:r>
        <w:rPr>
          <w:rtl/>
        </w:rPr>
        <w:t xml:space="preserve"> </w:t>
      </w:r>
      <w:r>
        <w:t xml:space="preserve">(Qal Imperfekt, 2. Person Maskulinum Plural von </w:t>
      </w:r>
      <w:r>
        <w:rPr>
          <w:rStyle w:val="Fett"/>
          <w:rFonts w:eastAsiaTheme="majorEastAsia"/>
          <w:rtl/>
        </w:rPr>
        <w:t>עשׂה</w:t>
      </w:r>
      <w:r>
        <w:t xml:space="preserve">, „tun", mit Paragogischem Nun), </w:t>
      </w:r>
      <w:r>
        <w:rPr>
          <w:rStyle w:val="Fett"/>
          <w:rFonts w:eastAsiaTheme="majorEastAsia"/>
          <w:rtl/>
        </w:rPr>
        <w:t>כְּכֹל</w:t>
      </w:r>
      <w:r>
        <w:rPr>
          <w:rtl/>
        </w:rPr>
        <w:t xml:space="preserve"> </w:t>
      </w:r>
      <w:r>
        <w:t xml:space="preserve">(Präposition </w:t>
      </w:r>
      <w:r>
        <w:rPr>
          <w:rStyle w:val="Fett"/>
          <w:rFonts w:eastAsiaTheme="majorEastAsia"/>
          <w:rtl/>
        </w:rPr>
        <w:t>כְּ</w:t>
      </w:r>
      <w:r>
        <w:t xml:space="preserve">, „wie, nach", mit </w:t>
      </w:r>
      <w:r>
        <w:rPr>
          <w:rStyle w:val="Fett"/>
          <w:rFonts w:eastAsiaTheme="majorEastAsia"/>
          <w:rtl/>
        </w:rPr>
        <w:t>כֹּל</w:t>
      </w:r>
      <w:r>
        <w:t xml:space="preserve">, „alles"), </w:t>
      </w:r>
      <w:r>
        <w:rPr>
          <w:rStyle w:val="Fett"/>
          <w:rFonts w:eastAsiaTheme="majorEastAsia"/>
          <w:rtl/>
        </w:rPr>
        <w:t>אֲשֶׁר</w:t>
      </w:r>
      <w:r>
        <w:rPr>
          <w:rtl/>
        </w:rPr>
        <w:t xml:space="preserve"> </w:t>
      </w:r>
      <w:r>
        <w:t xml:space="preserve">(Relativpronomen) mit </w:t>
      </w:r>
      <w:r>
        <w:rPr>
          <w:rStyle w:val="Fett"/>
          <w:rFonts w:eastAsiaTheme="majorEastAsia"/>
          <w:rtl/>
        </w:rPr>
        <w:t>אֲנַחְנוּ</w:t>
      </w:r>
      <w:r>
        <w:rPr>
          <w:rtl/>
        </w:rPr>
        <w:t xml:space="preserve"> </w:t>
      </w:r>
      <w:r>
        <w:t xml:space="preserve">(Personalpronomen 1. Person Plural, „wir") als Subjekt, </w:t>
      </w:r>
      <w:r>
        <w:rPr>
          <w:rStyle w:val="Fett"/>
          <w:rFonts w:eastAsiaTheme="majorEastAsia"/>
          <w:rtl/>
        </w:rPr>
        <w:t>עֹשִׂים</w:t>
      </w:r>
      <w:r>
        <w:rPr>
          <w:rtl/>
        </w:rPr>
        <w:t xml:space="preserve"> </w:t>
      </w:r>
      <w:r>
        <w:lastRenderedPageBreak/>
        <w:t xml:space="preserve">(Qal Partizip Maskulinum Plural von </w:t>
      </w:r>
      <w:r>
        <w:rPr>
          <w:rStyle w:val="Fett"/>
          <w:rFonts w:eastAsiaTheme="majorEastAsia"/>
          <w:rtl/>
        </w:rPr>
        <w:t>עשׂה</w:t>
      </w:r>
      <w:r>
        <w:t xml:space="preserve">) als Prädikat, </w:t>
      </w:r>
      <w:r>
        <w:rPr>
          <w:rStyle w:val="Fett"/>
          <w:rFonts w:eastAsiaTheme="majorEastAsia"/>
          <w:rtl/>
        </w:rPr>
        <w:t>פֹּה</w:t>
      </w:r>
      <w:r>
        <w:rPr>
          <w:rtl/>
        </w:rPr>
        <w:t xml:space="preserve"> </w:t>
      </w:r>
      <w:r>
        <w:t xml:space="preserve">(„hier") als lokales Adverb und </w:t>
      </w:r>
      <w:r>
        <w:rPr>
          <w:rStyle w:val="Fett"/>
          <w:rFonts w:eastAsiaTheme="majorEastAsia"/>
          <w:rtl/>
        </w:rPr>
        <w:t>הַיּוֹם</w:t>
      </w:r>
      <w:r>
        <w:rPr>
          <w:rtl/>
        </w:rPr>
        <w:t xml:space="preserve"> </w:t>
      </w:r>
      <w:r>
        <w:t>(„heute") als temporales Adverb. Mose spricht von der gegenwärtigen Situation in den Moabsteppen, wo noch keine strikte Kultzentralisation herrscht.</w:t>
      </w:r>
    </w:p>
    <w:p w14:paraId="4D3037D7" w14:textId="77777777" w:rsidR="00724090" w:rsidRDefault="00724090" w:rsidP="00724090">
      <w:pPr>
        <w:pStyle w:val="whitespace-normal"/>
      </w:pPr>
      <w:r>
        <w:rPr>
          <w:rStyle w:val="Fett"/>
          <w:rFonts w:eastAsiaTheme="majorEastAsia"/>
          <w:rtl/>
        </w:rPr>
        <w:t>אִישׁ כָּל־הַיָּשָׁ֥ר בְּעֵינָֽיו</w:t>
      </w:r>
      <w:r>
        <w:rPr>
          <w:rtl/>
        </w:rPr>
        <w:t xml:space="preserve"> </w:t>
      </w:r>
      <w:r>
        <w:t xml:space="preserve">ist eine erklärende Apposition: </w:t>
      </w:r>
      <w:r>
        <w:rPr>
          <w:rStyle w:val="Fett"/>
          <w:rFonts w:eastAsiaTheme="majorEastAsia"/>
          <w:rtl/>
        </w:rPr>
        <w:t>אִישׁ</w:t>
      </w:r>
      <w:r>
        <w:rPr>
          <w:rtl/>
        </w:rPr>
        <w:t xml:space="preserve"> </w:t>
      </w:r>
      <w:r>
        <w:t xml:space="preserve">(„Mann, jeder"), </w:t>
      </w:r>
      <w:r>
        <w:rPr>
          <w:rStyle w:val="Fett"/>
          <w:rFonts w:eastAsiaTheme="majorEastAsia"/>
          <w:rtl/>
        </w:rPr>
        <w:t>כָּל־הַיָּשָׁר</w:t>
      </w:r>
      <w:r>
        <w:rPr>
          <w:rtl/>
        </w:rPr>
        <w:t xml:space="preserve"> </w:t>
      </w:r>
      <w:r>
        <w:t>(</w:t>
      </w:r>
      <w:r>
        <w:rPr>
          <w:rStyle w:val="Fett"/>
          <w:rFonts w:eastAsiaTheme="majorEastAsia"/>
          <w:rtl/>
        </w:rPr>
        <w:t>כֹּל</w:t>
      </w:r>
      <w:r>
        <w:rPr>
          <w:rtl/>
        </w:rPr>
        <w:t xml:space="preserve"> </w:t>
      </w:r>
      <w:r>
        <w:t xml:space="preserve">im Construct mit </w:t>
      </w:r>
      <w:r>
        <w:rPr>
          <w:rStyle w:val="Fett"/>
          <w:rFonts w:eastAsiaTheme="majorEastAsia"/>
          <w:rtl/>
        </w:rPr>
        <w:t>יָשָׁר</w:t>
      </w:r>
      <w:r>
        <w:t xml:space="preserve">, „gerade, recht", mit Artikel, „alles, was recht ist") und </w:t>
      </w:r>
      <w:r>
        <w:rPr>
          <w:rStyle w:val="Fett"/>
          <w:rFonts w:eastAsiaTheme="majorEastAsia"/>
          <w:rtl/>
        </w:rPr>
        <w:t>בְּעֵינָיו</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עַיִן</w:t>
      </w:r>
      <w:r>
        <w:t xml:space="preserve">, „Auge", Dual mit Suffix 3. Person Maskulinum Singular, „in seinen Augen"). Die Wendung </w:t>
      </w:r>
      <w:r>
        <w:rPr>
          <w:rStyle w:val="Fett"/>
          <w:rFonts w:eastAsiaTheme="majorEastAsia"/>
          <w:rtl/>
        </w:rPr>
        <w:t>הַיָּשָׁר בְּעֵינָיו</w:t>
      </w:r>
      <w:r>
        <w:rPr>
          <w:rtl/>
        </w:rPr>
        <w:t xml:space="preserve"> </w:t>
      </w:r>
      <w:r>
        <w:t>(„was recht ist in seinen Augen") bezeichnet subjektive Willkür. Diese Formulierung hat meist negative Konnotationen (vgl. Ri 17,6; 21,25).</w:t>
      </w:r>
    </w:p>
    <w:p w14:paraId="4DDB1D94" w14:textId="77777777" w:rsidR="00724090" w:rsidRDefault="00724090" w:rsidP="00724090">
      <w:pPr>
        <w:pStyle w:val="whitespace-normal"/>
      </w:pPr>
      <w:r>
        <w:t xml:space="preserve">Die Syntax zeigt, dass die gegenwärtige Praxis (in der Wüste) nicht als Vorbild für die Zukunft (im Land) dienen soll. Die aktuelle Situation erlaubt eine gewisse Flexibilität, aber nach der Landnahme wird strikte Kultzentralisation gefordert. Die Wendung </w:t>
      </w:r>
      <w:r>
        <w:rPr>
          <w:rStyle w:val="Fett"/>
          <w:rFonts w:eastAsiaTheme="majorEastAsia"/>
          <w:rtl/>
        </w:rPr>
        <w:t>אִישׁ כָּל־הַיָּשָׁר בְּעֵינָיו</w:t>
      </w:r>
      <w:r>
        <w:rPr>
          <w:rtl/>
        </w:rPr>
        <w:t xml:space="preserve"> </w:t>
      </w:r>
      <w:r>
        <w:t>beschreibt die gegenwärtige Praxis als dezentralisiert und individualistisch – jeder tut, was ihm richtig erscheint. Dies steht im Gegensatz zur kommenden Ordnung mit einem zentralen Heiligtum.</w:t>
      </w:r>
    </w:p>
    <w:p w14:paraId="6A0A94E0" w14:textId="77777777" w:rsidR="00724090" w:rsidRDefault="00724090" w:rsidP="00724090">
      <w:pPr>
        <w:pStyle w:val="whitespace-normal"/>
      </w:pPr>
      <w:r>
        <w:rPr>
          <w:rStyle w:val="Fett"/>
          <w:rFonts w:eastAsiaTheme="majorEastAsia"/>
        </w:rPr>
        <w:t>Die LXX</w:t>
      </w:r>
      <w:r>
        <w:t xml:space="preserve"> übersetzt „nicht tun nach allem" mit „</w:t>
      </w:r>
      <w:proofErr w:type="spellStart"/>
      <w:r>
        <w:t>οὐ</w:t>
      </w:r>
      <w:proofErr w:type="spellEnd"/>
      <w:r>
        <w:t xml:space="preserve"> π</w:t>
      </w:r>
      <w:proofErr w:type="spellStart"/>
      <w:r>
        <w:t>οιήσετε</w:t>
      </w:r>
      <w:proofErr w:type="spellEnd"/>
      <w:r>
        <w:t xml:space="preserve"> π</w:t>
      </w:r>
      <w:proofErr w:type="spellStart"/>
      <w:r>
        <w:t>άντ</w:t>
      </w:r>
      <w:proofErr w:type="spellEnd"/>
      <w:r>
        <w:t xml:space="preserve">α", „was wir tun hier heute" mit „ἃ </w:t>
      </w:r>
      <w:proofErr w:type="spellStart"/>
      <w:r>
        <w:t>ἡμεῖς</w:t>
      </w:r>
      <w:proofErr w:type="spellEnd"/>
      <w:r>
        <w:t xml:space="preserve"> π</w:t>
      </w:r>
      <w:proofErr w:type="spellStart"/>
      <w:r>
        <w:t>οιοῦμεν</w:t>
      </w:r>
      <w:proofErr w:type="spellEnd"/>
      <w:r>
        <w:t xml:space="preserve"> </w:t>
      </w:r>
      <w:proofErr w:type="spellStart"/>
      <w:r>
        <w:t>ὧδε</w:t>
      </w:r>
      <w:proofErr w:type="spellEnd"/>
      <w:r>
        <w:t xml:space="preserve"> </w:t>
      </w:r>
      <w:proofErr w:type="spellStart"/>
      <w:r>
        <w:t>σήμερον</w:t>
      </w:r>
      <w:proofErr w:type="spellEnd"/>
      <w:r>
        <w:t>" und „ein jeder, was recht ist in seinen Augen" mit „</w:t>
      </w:r>
      <w:proofErr w:type="spellStart"/>
      <w:r>
        <w:t>ἕκ</w:t>
      </w:r>
      <w:proofErr w:type="spellEnd"/>
      <w:r>
        <w:t>αστος π</w:t>
      </w:r>
      <w:proofErr w:type="spellStart"/>
      <w:r>
        <w:t>ᾶν</w:t>
      </w:r>
      <w:proofErr w:type="spellEnd"/>
      <w:r>
        <w:t xml:space="preserve"> </w:t>
      </w:r>
      <w:proofErr w:type="spellStart"/>
      <w:r>
        <w:t>τὸ</w:t>
      </w:r>
      <w:proofErr w:type="spellEnd"/>
      <w:r>
        <w:t xml:space="preserve"> </w:t>
      </w:r>
      <w:proofErr w:type="spellStart"/>
      <w:r>
        <w:t>ἀρεστὸν</w:t>
      </w:r>
      <w:proofErr w:type="spellEnd"/>
      <w:r>
        <w:t xml:space="preserve"> </w:t>
      </w:r>
      <w:proofErr w:type="spellStart"/>
      <w:r>
        <w:t>ἐνώ</w:t>
      </w:r>
      <w:proofErr w:type="spellEnd"/>
      <w:r>
        <w:t>πιον α</w:t>
      </w:r>
      <w:proofErr w:type="spellStart"/>
      <w:r>
        <w:t>ὐτοῦ</w:t>
      </w:r>
      <w:proofErr w:type="spellEnd"/>
      <w:r>
        <w:t>".</w:t>
      </w:r>
    </w:p>
    <w:p w14:paraId="32FE349C" w14:textId="77777777" w:rsidR="00724090" w:rsidRDefault="00724090" w:rsidP="00724090">
      <w:pPr>
        <w:pStyle w:val="whitespace-normal"/>
      </w:pPr>
      <w:r>
        <w:rPr>
          <w:rStyle w:val="Fett"/>
          <w:rFonts w:eastAsiaTheme="majorEastAsia"/>
        </w:rPr>
        <w:t>Die Satzstruktur</w:t>
      </w:r>
      <w:r>
        <w:t xml:space="preserve"> besteht aus einem negativen Imperativsatz mit Vergleich und erklärender Apposition: Negation (nicht), Prädikat (sollt tun), Vergleich (nach allem), Relativsatz mit Subjekt (wir), partizipialem Prädikat (tun), lokalem Adverb (hier) und temporalem Adverb (heute); erklärende Apposition (ein jeder, alles, was recht ist in seinen Augen).</w:t>
      </w:r>
    </w:p>
    <w:p w14:paraId="5D351957" w14:textId="77777777" w:rsidR="00724090" w:rsidRDefault="00724090" w:rsidP="00724090">
      <w:pPr>
        <w:pStyle w:val="whitespace-normal"/>
      </w:pPr>
      <w:r>
        <w:t>Der Vers verbietet die Fortsetzung der gegenwärtigen dezentralisierten Kultpraxis: Nach der Landnahme soll nicht jeder nach eigenem Gutdünken opfern, sondern nur am zentralen Heiligtum.</w:t>
      </w:r>
    </w:p>
    <w:p w14:paraId="591A022F"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12,9</w:t>
      </w:r>
    </w:p>
    <w:p w14:paraId="55D2AE46" w14:textId="77777777" w:rsidR="00724090" w:rsidRDefault="00724090" w:rsidP="00724090">
      <w:pPr>
        <w:pStyle w:val="whitespace-normal"/>
      </w:pPr>
      <w:r>
        <w:rPr>
          <w:rStyle w:val="Fett"/>
          <w:rFonts w:eastAsiaTheme="majorEastAsia"/>
        </w:rPr>
        <w:t>Hebräisch:</w:t>
      </w:r>
      <w:r>
        <w:t xml:space="preserve"> </w:t>
      </w:r>
      <w:r>
        <w:rPr>
          <w:rtl/>
        </w:rPr>
        <w:t>כִּ֥י לֹא־בָּאתֶ֖ם עַד־עָ֑תָּה אֶל־הַמְּנוּחָה֙ וְאֶל־הַֽנַּחֲלָ֔ה אֲשֶׁר־יְהוָ֥ה אֱלֹהֶ֖יךָ נֹתֵ֥ן לָֽךְ׃</w:t>
      </w:r>
    </w:p>
    <w:p w14:paraId="0E748E2C" w14:textId="7DF254B3" w:rsidR="00724090" w:rsidRDefault="00724090" w:rsidP="00724090">
      <w:pPr>
        <w:pStyle w:val="whitespace-normal"/>
      </w:pPr>
      <w:r>
        <w:rPr>
          <w:rStyle w:val="Fett"/>
          <w:rFonts w:eastAsiaTheme="majorEastAsia"/>
        </w:rPr>
        <w:t>Deutsch:</w:t>
      </w:r>
      <w:r>
        <w:t xml:space="preserve"> Denn ihr seid bis jetzt noch nicht zur Ruhe und zu dem Erbteil gekommen, das der Ewige, dein Gott, dir gibt.</w:t>
      </w:r>
    </w:p>
    <w:p w14:paraId="54A847CB" w14:textId="15C64398" w:rsidR="009C316F" w:rsidRDefault="004F5CEB" w:rsidP="00724090">
      <w:pPr>
        <w:pStyle w:val="whitespace-normal"/>
      </w:pPr>
      <w:r>
        <w:rPr>
          <w:noProof/>
        </w:rPr>
        <w:pict w14:anchorId="56D71ED2">
          <v:rect id="_x0000_i1381" style="width:0;height:1.5pt" o:hralign="center" o:hrstd="t" o:hr="t" fillcolor="#a0a0a0" stroked="f"/>
        </w:pict>
      </w:r>
    </w:p>
    <w:p w14:paraId="287EE030"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כִּי לֹא־בָּאתֶם עַד־עָתָּה אֶל־הַמְּנוּחָה וְאֶל־הַנַּחֲלָה</w:t>
      </w:r>
      <w:r>
        <w:rPr>
          <w:rtl/>
        </w:rPr>
        <w:t xml:space="preserve"> </w:t>
      </w:r>
      <w:r>
        <w:t xml:space="preserve">ist ein kausaler Satz: </w:t>
      </w:r>
      <w:r>
        <w:rPr>
          <w:rStyle w:val="Fett"/>
          <w:rFonts w:eastAsiaTheme="majorEastAsia"/>
          <w:rtl/>
        </w:rPr>
        <w:t>כִּי</w:t>
      </w:r>
      <w:r>
        <w:rPr>
          <w:rtl/>
        </w:rPr>
        <w:t xml:space="preserve"> </w:t>
      </w:r>
      <w:r>
        <w:t xml:space="preserve">(„denn, weil") als kausale Konjunktion, </w:t>
      </w:r>
      <w:r>
        <w:rPr>
          <w:rStyle w:val="Fett"/>
          <w:rFonts w:eastAsiaTheme="majorEastAsia"/>
          <w:rtl/>
        </w:rPr>
        <w:t>לֹא־בָּאתֶם</w:t>
      </w:r>
      <w:r>
        <w:rPr>
          <w:rtl/>
        </w:rPr>
        <w:t xml:space="preserve"> </w:t>
      </w:r>
      <w:r>
        <w:t xml:space="preserve">(Negation </w:t>
      </w:r>
      <w:r>
        <w:rPr>
          <w:rStyle w:val="Fett"/>
          <w:rFonts w:eastAsiaTheme="majorEastAsia"/>
          <w:rtl/>
        </w:rPr>
        <w:t>לֹא</w:t>
      </w:r>
      <w:r>
        <w:rPr>
          <w:rtl/>
        </w:rPr>
        <w:t xml:space="preserve"> </w:t>
      </w:r>
      <w:r>
        <w:t xml:space="preserve">mit </w:t>
      </w:r>
      <w:r>
        <w:rPr>
          <w:rStyle w:val="Fett"/>
          <w:rFonts w:eastAsiaTheme="majorEastAsia"/>
          <w:rtl/>
        </w:rPr>
        <w:t>בוא</w:t>
      </w:r>
      <w:r>
        <w:t xml:space="preserve">, Qal Perfekt, 2. Person Maskulinum Plural, „ihr seid nicht gekommen"), </w:t>
      </w:r>
      <w:r>
        <w:rPr>
          <w:rStyle w:val="Fett"/>
          <w:rFonts w:eastAsiaTheme="majorEastAsia"/>
          <w:rtl/>
        </w:rPr>
        <w:t>עַד־עָתָּה</w:t>
      </w:r>
      <w:r>
        <w:rPr>
          <w:rtl/>
        </w:rPr>
        <w:t xml:space="preserve"> </w:t>
      </w:r>
      <w:r>
        <w:t xml:space="preserve">(Präposition </w:t>
      </w:r>
      <w:r>
        <w:rPr>
          <w:rStyle w:val="Fett"/>
          <w:rFonts w:eastAsiaTheme="majorEastAsia"/>
          <w:rtl/>
        </w:rPr>
        <w:t>עַד</w:t>
      </w:r>
      <w:r>
        <w:t xml:space="preserve">, „bis", mit </w:t>
      </w:r>
      <w:r>
        <w:rPr>
          <w:rStyle w:val="Fett"/>
          <w:rFonts w:eastAsiaTheme="majorEastAsia"/>
          <w:rtl/>
        </w:rPr>
        <w:t>עַתָּה</w:t>
      </w:r>
      <w:r>
        <w:t xml:space="preserve">, „jetzt", „bis jetzt") als temporale Bestimmung, </w:t>
      </w:r>
      <w:r>
        <w:rPr>
          <w:rStyle w:val="Fett"/>
          <w:rFonts w:eastAsiaTheme="majorEastAsia"/>
          <w:rtl/>
        </w:rPr>
        <w:t>אֶל־הַמְּנוּחָה</w:t>
      </w:r>
      <w:r>
        <w:rPr>
          <w:rtl/>
        </w:rPr>
        <w:t xml:space="preserve"> </w:t>
      </w:r>
      <w:r>
        <w:t xml:space="preserve">(Präposition </w:t>
      </w:r>
      <w:r>
        <w:rPr>
          <w:rStyle w:val="Fett"/>
          <w:rFonts w:eastAsiaTheme="majorEastAsia"/>
          <w:rtl/>
        </w:rPr>
        <w:t>אֶל</w:t>
      </w:r>
      <w:r>
        <w:rPr>
          <w:rtl/>
        </w:rPr>
        <w:t xml:space="preserve"> </w:t>
      </w:r>
      <w:r>
        <w:t xml:space="preserve">mit </w:t>
      </w:r>
      <w:r>
        <w:rPr>
          <w:rStyle w:val="Fett"/>
          <w:rFonts w:eastAsiaTheme="majorEastAsia"/>
          <w:rtl/>
        </w:rPr>
        <w:t>מְנוּחָה</w:t>
      </w:r>
      <w:r>
        <w:t xml:space="preserve">, „Ruhe, Ruhestätte", mit Artikel), koordiniert durch </w:t>
      </w:r>
      <w:r>
        <w:rPr>
          <w:rStyle w:val="Fett"/>
          <w:rFonts w:eastAsiaTheme="majorEastAsia"/>
          <w:rtl/>
        </w:rPr>
        <w:t>וְאֶל</w:t>
      </w:r>
      <w:r>
        <w:rPr>
          <w:rtl/>
        </w:rPr>
        <w:t xml:space="preserve"> </w:t>
      </w:r>
      <w:r>
        <w:t xml:space="preserve">mit </w:t>
      </w:r>
      <w:r>
        <w:rPr>
          <w:rStyle w:val="Fett"/>
          <w:rFonts w:eastAsiaTheme="majorEastAsia"/>
          <w:rtl/>
        </w:rPr>
        <w:t>הַנַּחֲלָה</w:t>
      </w:r>
      <w:r>
        <w:rPr>
          <w:rtl/>
        </w:rPr>
        <w:t xml:space="preserve"> </w:t>
      </w:r>
      <w:r>
        <w:t>(</w:t>
      </w:r>
      <w:r>
        <w:rPr>
          <w:rStyle w:val="Fett"/>
          <w:rFonts w:eastAsiaTheme="majorEastAsia"/>
          <w:rtl/>
        </w:rPr>
        <w:t>נַחֲלָה</w:t>
      </w:r>
      <w:r>
        <w:t xml:space="preserve">, „Erbteil, Erbbesitz", mit Artikel). Die beiden Begriffe </w:t>
      </w:r>
      <w:r>
        <w:rPr>
          <w:rStyle w:val="Fett"/>
          <w:rFonts w:eastAsiaTheme="majorEastAsia"/>
          <w:rtl/>
        </w:rPr>
        <w:t>מְנוּחָה</w:t>
      </w:r>
      <w:r>
        <w:rPr>
          <w:rtl/>
        </w:rPr>
        <w:t xml:space="preserve"> </w:t>
      </w:r>
      <w:r>
        <w:t xml:space="preserve">und </w:t>
      </w:r>
      <w:r>
        <w:rPr>
          <w:rStyle w:val="Fett"/>
          <w:rFonts w:eastAsiaTheme="majorEastAsia"/>
          <w:rtl/>
        </w:rPr>
        <w:t>נַחֲלָה</w:t>
      </w:r>
      <w:r>
        <w:rPr>
          <w:rtl/>
        </w:rPr>
        <w:t xml:space="preserve"> </w:t>
      </w:r>
      <w:r>
        <w:t>bilden ein Hendiadyoin: die Ruhe im Erbland.</w:t>
      </w:r>
    </w:p>
    <w:p w14:paraId="266B5FBD" w14:textId="77777777" w:rsidR="00724090" w:rsidRDefault="00724090" w:rsidP="00724090">
      <w:pPr>
        <w:pStyle w:val="whitespace-normal"/>
      </w:pPr>
      <w:r>
        <w:rPr>
          <w:rStyle w:val="Fett"/>
          <w:rFonts w:eastAsiaTheme="majorEastAsia"/>
          <w:rtl/>
        </w:rPr>
        <w:lastRenderedPageBreak/>
        <w:t>אֲשֶׁר־יְהוָה אֱלֹהֶיךָ נֹתֵן לָךְ</w:t>
      </w:r>
      <w:r>
        <w:rPr>
          <w:rtl/>
        </w:rPr>
        <w:t xml:space="preserve"> </w:t>
      </w:r>
      <w:r>
        <w:t xml:space="preserve">ist ein Relativsatz: </w:t>
      </w:r>
      <w:r>
        <w:rPr>
          <w:rStyle w:val="Fett"/>
          <w:rFonts w:eastAsiaTheme="majorEastAsia"/>
          <w:rtl/>
        </w:rPr>
        <w:t>אֲשֶׁר</w:t>
      </w:r>
      <w:r>
        <w:rPr>
          <w:rtl/>
        </w:rPr>
        <w:t xml:space="preserve"> </w:t>
      </w:r>
      <w:r>
        <w:t xml:space="preserve">(Relativpronomen) mit </w:t>
      </w:r>
      <w:r>
        <w:rPr>
          <w:rStyle w:val="Fett"/>
          <w:rFonts w:eastAsiaTheme="majorEastAsia"/>
          <w:rtl/>
        </w:rPr>
        <w:t>יְהוָה אֱלֹהֶיךָ</w:t>
      </w:r>
      <w:r>
        <w:rPr>
          <w:rtl/>
        </w:rPr>
        <w:t xml:space="preserve"> </w:t>
      </w:r>
      <w:r>
        <w:t xml:space="preserve">(Tetragramm mit Apposition </w:t>
      </w:r>
      <w:r>
        <w:rPr>
          <w:rStyle w:val="Fett"/>
          <w:rFonts w:eastAsiaTheme="majorEastAsia"/>
          <w:rtl/>
        </w:rPr>
        <w:t>אֱלֹהֶיךָ</w:t>
      </w:r>
      <w:r>
        <w:t xml:space="preserve">) als Subjekt, </w:t>
      </w:r>
      <w:r>
        <w:rPr>
          <w:rStyle w:val="Fett"/>
          <w:rFonts w:eastAsiaTheme="majorEastAsia"/>
          <w:rtl/>
        </w:rPr>
        <w:t>נֹתֵן</w:t>
      </w:r>
      <w:r>
        <w:rPr>
          <w:rtl/>
        </w:rPr>
        <w:t xml:space="preserve"> </w:t>
      </w:r>
      <w:r>
        <w:t xml:space="preserve">(Qal Partizip Maskulinum Singular von </w:t>
      </w:r>
      <w:r>
        <w:rPr>
          <w:rStyle w:val="Fett"/>
          <w:rFonts w:eastAsiaTheme="majorEastAsia"/>
          <w:rtl/>
        </w:rPr>
        <w:t>נתן</w:t>
      </w:r>
      <w:r>
        <w:t xml:space="preserve">, „geben") als Prädikat und </w:t>
      </w:r>
      <w:r>
        <w:rPr>
          <w:rStyle w:val="Fett"/>
          <w:rFonts w:eastAsiaTheme="majorEastAsia"/>
          <w:rtl/>
        </w:rPr>
        <w:t>לָךְ</w:t>
      </w:r>
      <w:r>
        <w:rPr>
          <w:rtl/>
        </w:rPr>
        <w:t xml:space="preserve"> </w:t>
      </w:r>
      <w:r>
        <w:t xml:space="preserve">(Präposition </w:t>
      </w:r>
      <w:r>
        <w:rPr>
          <w:rStyle w:val="Fett"/>
          <w:rFonts w:eastAsiaTheme="majorEastAsia"/>
          <w:rtl/>
        </w:rPr>
        <w:t>לְ</w:t>
      </w:r>
      <w:r>
        <w:rPr>
          <w:rtl/>
        </w:rPr>
        <w:t xml:space="preserve"> </w:t>
      </w:r>
      <w:r>
        <w:t>mit Suffix 2. Person Maskulinum Singular) als Dativobjekt.</w:t>
      </w:r>
    </w:p>
    <w:p w14:paraId="0044A863" w14:textId="77777777" w:rsidR="00724090" w:rsidRDefault="00724090" w:rsidP="00724090">
      <w:pPr>
        <w:pStyle w:val="whitespace-normal"/>
      </w:pPr>
      <w:r>
        <w:t xml:space="preserve">Die Syntax begründet, warum die gegenwärtige Praxis (V. 8) noch toleriert wird: Israel ist noch nicht im verheißenen Land angekommen. Die </w:t>
      </w:r>
      <w:r>
        <w:rPr>
          <w:rStyle w:val="Fett"/>
          <w:rFonts w:eastAsiaTheme="majorEastAsia"/>
          <w:rtl/>
        </w:rPr>
        <w:t>מְנוּחָה</w:t>
      </w:r>
      <w:r>
        <w:rPr>
          <w:rtl/>
        </w:rPr>
        <w:t xml:space="preserve"> </w:t>
      </w:r>
      <w:r>
        <w:t xml:space="preserve">(„Ruhe") bezeichnet nicht nur geographische Sicherheit, sondern auch Frieden von Feinden (vgl. 3,20; 25,19; Jos 1,13.15; 21,44; 23,1). Die </w:t>
      </w:r>
      <w:r>
        <w:rPr>
          <w:rStyle w:val="Fett"/>
          <w:rFonts w:eastAsiaTheme="majorEastAsia"/>
          <w:rtl/>
        </w:rPr>
        <w:t>נַחֲלָה</w:t>
      </w:r>
      <w:r>
        <w:rPr>
          <w:rtl/>
        </w:rPr>
        <w:t xml:space="preserve"> </w:t>
      </w:r>
      <w:r>
        <w:t>(„Erbteil") ist das verheißene Land als göttliche Gabe. Erst nach Erlangung beider – Ruhe und Erbbesitz – wird die strikte Kultzentralisation gefordert.</w:t>
      </w:r>
    </w:p>
    <w:p w14:paraId="64FC7F75" w14:textId="77777777" w:rsidR="00724090" w:rsidRDefault="00724090" w:rsidP="00724090">
      <w:pPr>
        <w:pStyle w:val="whitespace-normal"/>
      </w:pPr>
      <w:r>
        <w:rPr>
          <w:rStyle w:val="Fett"/>
          <w:rFonts w:eastAsiaTheme="majorEastAsia"/>
        </w:rPr>
        <w:t>Die LXX</w:t>
      </w:r>
      <w:r>
        <w:t xml:space="preserve"> übersetzt „denn nicht gekommen seid" mit „</w:t>
      </w:r>
      <w:proofErr w:type="spellStart"/>
      <w:r>
        <w:t>οὐ</w:t>
      </w:r>
      <w:proofErr w:type="spellEnd"/>
      <w:r>
        <w:t xml:space="preserve"> </w:t>
      </w:r>
      <w:proofErr w:type="spellStart"/>
      <w:r>
        <w:t>γὰρ</w:t>
      </w:r>
      <w:proofErr w:type="spellEnd"/>
      <w:r>
        <w:t xml:space="preserve"> </w:t>
      </w:r>
      <w:proofErr w:type="spellStart"/>
      <w:r>
        <w:t>ἥκ</w:t>
      </w:r>
      <w:proofErr w:type="spellEnd"/>
      <w:r>
        <w:t>ατε", „bis jetzt" mit „</w:t>
      </w:r>
      <w:proofErr w:type="spellStart"/>
      <w:r>
        <w:t>ἕως</w:t>
      </w:r>
      <w:proofErr w:type="spellEnd"/>
      <w:r>
        <w:t xml:space="preserve"> </w:t>
      </w:r>
      <w:proofErr w:type="spellStart"/>
      <w:r>
        <w:t>τοῦ</w:t>
      </w:r>
      <w:proofErr w:type="spellEnd"/>
      <w:r>
        <w:t xml:space="preserve"> </w:t>
      </w:r>
      <w:proofErr w:type="spellStart"/>
      <w:r>
        <w:t>νῦν</w:t>
      </w:r>
      <w:proofErr w:type="spellEnd"/>
      <w:r>
        <w:t>", „zur Ruhe" mit „</w:t>
      </w:r>
      <w:proofErr w:type="spellStart"/>
      <w:r>
        <w:t>εἰς</w:t>
      </w:r>
      <w:proofErr w:type="spellEnd"/>
      <w:r>
        <w:t xml:space="preserve"> τὴν κα</w:t>
      </w:r>
      <w:proofErr w:type="spellStart"/>
      <w:r>
        <w:t>τά</w:t>
      </w:r>
      <w:proofErr w:type="spellEnd"/>
      <w:r>
        <w:t>παυσιν" und „zum Erbteil" mit „</w:t>
      </w:r>
      <w:proofErr w:type="spellStart"/>
      <w:r>
        <w:t>εἰς</w:t>
      </w:r>
      <w:proofErr w:type="spellEnd"/>
      <w:r>
        <w:t xml:space="preserve"> τὴν </w:t>
      </w:r>
      <w:proofErr w:type="spellStart"/>
      <w:r>
        <w:t>κληρονομί</w:t>
      </w:r>
      <w:proofErr w:type="spellEnd"/>
      <w:r>
        <w:t>αν".</w:t>
      </w:r>
    </w:p>
    <w:p w14:paraId="45B28CC3" w14:textId="77777777" w:rsidR="00724090" w:rsidRDefault="00724090" w:rsidP="00724090">
      <w:pPr>
        <w:pStyle w:val="whitespace-normal"/>
      </w:pPr>
      <w:r>
        <w:rPr>
          <w:rStyle w:val="Fett"/>
          <w:rFonts w:eastAsiaTheme="majorEastAsia"/>
        </w:rPr>
        <w:t>Die Satzstruktur</w:t>
      </w:r>
      <w:r>
        <w:t xml:space="preserve"> besteht aus einem kausalen Satz mit Relativsatz: Kausale Konjunktion (denn), negiertes Prädikat (nicht gekommen seid), temporale Bestimmung (bis jetzt), doppelte Richtungsangabe (zur Ruhe und zum Erbteil), Relativsatz mit Subjekt (JHWH, dein Gott), partizipialem Prädikat (gibt) und Dativobjekt (dir).</w:t>
      </w:r>
    </w:p>
    <w:p w14:paraId="6DCEF439" w14:textId="77777777" w:rsidR="00724090" w:rsidRDefault="00724090" w:rsidP="00724090">
      <w:pPr>
        <w:pStyle w:val="whitespace-normal"/>
      </w:pPr>
      <w:r>
        <w:t>Der Vers begründet die gegenwärtige Toleranz dezentralisierten Kultes: Weil Israel noch nicht zur Ruhe im verheißenen Land gekommen ist, gelten noch nicht die strengen Regeln der Kultzentralisation.</w:t>
      </w:r>
    </w:p>
    <w:p w14:paraId="4C1C6C77"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12,10</w:t>
      </w:r>
    </w:p>
    <w:p w14:paraId="7979DD21" w14:textId="77777777" w:rsidR="00724090" w:rsidRDefault="00724090" w:rsidP="00724090">
      <w:pPr>
        <w:pStyle w:val="whitespace-normal"/>
      </w:pPr>
      <w:r>
        <w:rPr>
          <w:rStyle w:val="Fett"/>
          <w:rFonts w:eastAsiaTheme="majorEastAsia"/>
        </w:rPr>
        <w:t>Hebräisch:</w:t>
      </w:r>
      <w:r>
        <w:t xml:space="preserve"> </w:t>
      </w:r>
      <w:r>
        <w:rPr>
          <w:rtl/>
        </w:rPr>
        <w:t>וַעֲבַרְתֶּם֮ אֶת־הַיַּרְדֵּן֒ וִֽישַׁבְתֶּ֣ם בָּאָ֔רֶץ אֲשֶׁר־יְהוָ֥ה אֱלֹהֵיכֶ֖ם מַנְחִ֣יל אֶתְכֶ֑ם וְהֵנִ֨יחַ לָכֶ֧ם מִכָּל־אֹיְבֵיכֶ֛ם מִסָּבִ֖יב וִֽישַׁבְתֶּם־בֶּֽטַח׃</w:t>
      </w:r>
    </w:p>
    <w:p w14:paraId="53253B44" w14:textId="721BE7DF" w:rsidR="00724090" w:rsidRDefault="00724090" w:rsidP="00724090">
      <w:pPr>
        <w:pStyle w:val="whitespace-normal"/>
      </w:pPr>
      <w:r>
        <w:rPr>
          <w:rStyle w:val="Fett"/>
          <w:rFonts w:eastAsiaTheme="majorEastAsia"/>
        </w:rPr>
        <w:t>Deutsch:</w:t>
      </w:r>
      <w:r>
        <w:t xml:space="preserve"> Aber ihr werdet über den Jarden gehen und in dem Land wohnen, das der Ewige, euer Gott, euch als Erbe austeilen wird; und er wird euch Ruhe geben vor allen euren Feinden ringsum, und ihr werdet sicher wohnen.</w:t>
      </w:r>
    </w:p>
    <w:p w14:paraId="339B450E" w14:textId="4A83DFD6" w:rsidR="009C316F" w:rsidRDefault="004F5CEB" w:rsidP="00724090">
      <w:pPr>
        <w:pStyle w:val="whitespace-normal"/>
      </w:pPr>
      <w:r>
        <w:rPr>
          <w:noProof/>
        </w:rPr>
        <w:pict w14:anchorId="66B50B6A">
          <v:rect id="_x0000_i1382" style="width:0;height:1.5pt" o:hralign="center" o:hrstd="t" o:hr="t" fillcolor="#a0a0a0" stroked="f"/>
        </w:pict>
      </w:r>
    </w:p>
    <w:p w14:paraId="565F7858"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וַעֲבַרְתֶּם אֶת־הַיַּרְדֵּן</w:t>
      </w:r>
      <w:r>
        <w:rPr>
          <w:rtl/>
        </w:rPr>
        <w:t xml:space="preserve"> </w:t>
      </w:r>
      <w:r>
        <w:t xml:space="preserve">ist der erste Satz: </w:t>
      </w:r>
      <w:r>
        <w:rPr>
          <w:rStyle w:val="Fett"/>
          <w:rFonts w:eastAsiaTheme="majorEastAsia"/>
          <w:rtl/>
        </w:rPr>
        <w:t>וַעֲבַרְתֶּם</w:t>
      </w:r>
      <w:r>
        <w:rPr>
          <w:rtl/>
        </w:rPr>
        <w:t xml:space="preserve"> </w:t>
      </w:r>
      <w:r>
        <w:t xml:space="preserve">(Qal Perfekt, 2. Person Maskulinum Plural von </w:t>
      </w:r>
      <w:r>
        <w:rPr>
          <w:rStyle w:val="Fett"/>
          <w:rFonts w:eastAsiaTheme="majorEastAsia"/>
          <w:rtl/>
        </w:rPr>
        <w:t>עבר</w:t>
      </w:r>
      <w:r>
        <w:t xml:space="preserve">, „hinübergehen, durchziehen", mit </w:t>
      </w:r>
      <w:r>
        <w:rPr>
          <w:rStyle w:val="Fett"/>
          <w:rFonts w:eastAsiaTheme="majorEastAsia"/>
        </w:rPr>
        <w:t>Waw</w:t>
      </w:r>
      <w:r>
        <w:t xml:space="preserve"> als consecutives Perfekt) und </w:t>
      </w:r>
      <w:r>
        <w:rPr>
          <w:rStyle w:val="Fett"/>
          <w:rFonts w:eastAsiaTheme="majorEastAsia"/>
          <w:rtl/>
        </w:rPr>
        <w:t>אֶת־הַיַּרְדֵּן</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יַרְדֵּן</w:t>
      </w:r>
      <w:r>
        <w:t>, „Jordan", mit Artikel) als direktes Objekt. Die Jordanüberquerung symbolisiert den Eintritt ins verheißene Land.</w:t>
      </w:r>
    </w:p>
    <w:p w14:paraId="27989D3D" w14:textId="77777777" w:rsidR="00724090" w:rsidRDefault="00724090" w:rsidP="00724090">
      <w:pPr>
        <w:pStyle w:val="whitespace-normal"/>
      </w:pPr>
      <w:r>
        <w:rPr>
          <w:rStyle w:val="Fett"/>
          <w:rFonts w:eastAsiaTheme="majorEastAsia"/>
          <w:rtl/>
        </w:rPr>
        <w:t>וִישַׁבְתֶּם בָּאָרֶץ אֲשֶׁר־יְהוָה אֱלֹהֵיכֶם מַנְחִיל אֶתְכֶם</w:t>
      </w:r>
      <w:r>
        <w:rPr>
          <w:rtl/>
        </w:rPr>
        <w:t xml:space="preserve"> </w:t>
      </w:r>
      <w:r>
        <w:t xml:space="preserve">ist der zweite Satz: </w:t>
      </w:r>
      <w:r>
        <w:rPr>
          <w:rStyle w:val="Fett"/>
          <w:rFonts w:eastAsiaTheme="majorEastAsia"/>
          <w:rtl/>
        </w:rPr>
        <w:t>וִישַׁבְתֶּם</w:t>
      </w:r>
      <w:r>
        <w:rPr>
          <w:rtl/>
        </w:rPr>
        <w:t xml:space="preserve"> </w:t>
      </w:r>
      <w:r>
        <w:t xml:space="preserve">(Qal Perfekt, 2. Person Maskulinum Plural von </w:t>
      </w:r>
      <w:r>
        <w:rPr>
          <w:rStyle w:val="Fett"/>
          <w:rFonts w:eastAsiaTheme="majorEastAsia"/>
          <w:rtl/>
        </w:rPr>
        <w:t>ישׁב</w:t>
      </w:r>
      <w:r>
        <w:t xml:space="preserve">, „wohnen, sitzen", mit </w:t>
      </w:r>
      <w:r>
        <w:rPr>
          <w:rStyle w:val="Fett"/>
          <w:rFonts w:eastAsiaTheme="majorEastAsia"/>
        </w:rPr>
        <w:t>Waw</w:t>
      </w:r>
      <w:r>
        <w:t xml:space="preserve">), </w:t>
      </w:r>
      <w:r>
        <w:rPr>
          <w:rStyle w:val="Fett"/>
          <w:rFonts w:eastAsiaTheme="majorEastAsia"/>
          <w:rtl/>
        </w:rPr>
        <w:t>בָּאָרֶץ</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אֶרֶץ</w:t>
      </w:r>
      <w:r>
        <w:t xml:space="preserve">, „Land", mit Artikel) als lokale Bestimmung, </w:t>
      </w:r>
      <w:r>
        <w:rPr>
          <w:rStyle w:val="Fett"/>
          <w:rFonts w:eastAsiaTheme="majorEastAsia"/>
          <w:rtl/>
        </w:rPr>
        <w:t>אֲשֶׁר</w:t>
      </w:r>
      <w:r>
        <w:rPr>
          <w:rtl/>
        </w:rPr>
        <w:t xml:space="preserve"> </w:t>
      </w:r>
      <w:r>
        <w:t xml:space="preserve">(Relativpronomen) mit </w:t>
      </w:r>
      <w:r>
        <w:rPr>
          <w:rStyle w:val="Fett"/>
          <w:rFonts w:eastAsiaTheme="majorEastAsia"/>
          <w:rtl/>
        </w:rPr>
        <w:t>יְהוָה אֱלֹהֵיכֶם</w:t>
      </w:r>
      <w:r>
        <w:rPr>
          <w:rtl/>
        </w:rPr>
        <w:t xml:space="preserve"> </w:t>
      </w:r>
      <w:r>
        <w:t xml:space="preserve">(Tetragramm mit Apposition </w:t>
      </w:r>
      <w:r>
        <w:rPr>
          <w:rStyle w:val="Fett"/>
          <w:rFonts w:eastAsiaTheme="majorEastAsia"/>
          <w:rtl/>
        </w:rPr>
        <w:t>אֱלֹהֵיכֶם</w:t>
      </w:r>
      <w:r>
        <w:t xml:space="preserve">) als Subjekt, </w:t>
      </w:r>
      <w:r>
        <w:rPr>
          <w:rStyle w:val="Fett"/>
          <w:rFonts w:eastAsiaTheme="majorEastAsia"/>
          <w:rtl/>
        </w:rPr>
        <w:t>מַנְחִיל</w:t>
      </w:r>
      <w:r>
        <w:rPr>
          <w:rtl/>
        </w:rPr>
        <w:t xml:space="preserve"> </w:t>
      </w:r>
      <w:r>
        <w:t xml:space="preserve">(Hiphil Partizip Maskulinum Singular von </w:t>
      </w:r>
      <w:r>
        <w:rPr>
          <w:rStyle w:val="Fett"/>
          <w:rFonts w:eastAsiaTheme="majorEastAsia"/>
          <w:rtl/>
        </w:rPr>
        <w:t>נחל</w:t>
      </w:r>
      <w:r>
        <w:t xml:space="preserve">, „in Besitz nehmen", in der Hiphil-Form „als Erbe geben, zuteilen") als Prädikat und </w:t>
      </w:r>
      <w:r>
        <w:rPr>
          <w:rStyle w:val="Fett"/>
          <w:rFonts w:eastAsiaTheme="majorEastAsia"/>
          <w:rtl/>
        </w:rPr>
        <w:t>אֶתְכֶם</w:t>
      </w:r>
      <w:r>
        <w:rPr>
          <w:rtl/>
        </w:rPr>
        <w:t xml:space="preserve"> </w:t>
      </w:r>
      <w:r>
        <w:t xml:space="preserve">(Objektpartikel </w:t>
      </w:r>
      <w:r>
        <w:rPr>
          <w:rStyle w:val="Fett"/>
          <w:rFonts w:eastAsiaTheme="majorEastAsia"/>
          <w:rtl/>
        </w:rPr>
        <w:t>אֵת</w:t>
      </w:r>
      <w:r>
        <w:rPr>
          <w:rtl/>
        </w:rPr>
        <w:t xml:space="preserve"> </w:t>
      </w:r>
      <w:r>
        <w:t>mit Suffix 2. Person Maskulinum Plural) als direktes Objekt. Die Hiphil-Form betont, dass JHWH aktiv das Land als Erbe zuteilt.</w:t>
      </w:r>
    </w:p>
    <w:p w14:paraId="24D4FBC3" w14:textId="77777777" w:rsidR="00724090" w:rsidRDefault="00724090" w:rsidP="00724090">
      <w:pPr>
        <w:pStyle w:val="whitespace-normal"/>
      </w:pPr>
      <w:r>
        <w:rPr>
          <w:rStyle w:val="Fett"/>
          <w:rFonts w:eastAsiaTheme="majorEastAsia"/>
          <w:rtl/>
        </w:rPr>
        <w:lastRenderedPageBreak/>
        <w:t>וְהֵנִיחַ לָכֶם מִכָּל־אֹיְבֵיכֶם מִסָּבִיב</w:t>
      </w:r>
      <w:r>
        <w:rPr>
          <w:rtl/>
        </w:rPr>
        <w:t xml:space="preserve"> </w:t>
      </w:r>
      <w:r>
        <w:t xml:space="preserve">ist der dritte Satz: </w:t>
      </w:r>
      <w:r>
        <w:rPr>
          <w:rStyle w:val="Fett"/>
          <w:rFonts w:eastAsiaTheme="majorEastAsia"/>
          <w:rtl/>
        </w:rPr>
        <w:t>וְהֵנִיחַ</w:t>
      </w:r>
      <w:r>
        <w:rPr>
          <w:rtl/>
        </w:rPr>
        <w:t xml:space="preserve"> </w:t>
      </w:r>
      <w:r>
        <w:t xml:space="preserve">(Hiphil Perfekt, 3. Person Maskulinum Singular von </w:t>
      </w:r>
      <w:r>
        <w:rPr>
          <w:rStyle w:val="Fett"/>
          <w:rFonts w:eastAsiaTheme="majorEastAsia"/>
          <w:rtl/>
        </w:rPr>
        <w:t>נוח</w:t>
      </w:r>
      <w:r>
        <w:t xml:space="preserve">, „ruhen", in der Hiphil-Form „Ruhe geben, Ruhe verschaffen", mit </w:t>
      </w:r>
      <w:r>
        <w:rPr>
          <w:rStyle w:val="Fett"/>
          <w:rFonts w:eastAsiaTheme="majorEastAsia"/>
        </w:rPr>
        <w:t>Waw</w:t>
      </w:r>
      <w:r>
        <w:t xml:space="preserve">), </w:t>
      </w:r>
      <w:r>
        <w:rPr>
          <w:rStyle w:val="Fett"/>
          <w:rFonts w:eastAsiaTheme="majorEastAsia"/>
          <w:rtl/>
        </w:rPr>
        <w:t>לָכֶם</w:t>
      </w:r>
      <w:r>
        <w:rPr>
          <w:rtl/>
        </w:rPr>
        <w:t xml:space="preserve"> </w:t>
      </w:r>
      <w:r>
        <w:t xml:space="preserve">(Präposition </w:t>
      </w:r>
      <w:r>
        <w:rPr>
          <w:rStyle w:val="Fett"/>
          <w:rFonts w:eastAsiaTheme="majorEastAsia"/>
          <w:rtl/>
        </w:rPr>
        <w:t>לְ</w:t>
      </w:r>
      <w:r>
        <w:rPr>
          <w:rtl/>
        </w:rPr>
        <w:t xml:space="preserve"> </w:t>
      </w:r>
      <w:r>
        <w:t xml:space="preserve">mit Suffix 2. Person Maskulinum Plural) als Dativobjekt, </w:t>
      </w:r>
      <w:r>
        <w:rPr>
          <w:rStyle w:val="Fett"/>
          <w:rFonts w:eastAsiaTheme="majorEastAsia"/>
          <w:rtl/>
        </w:rPr>
        <w:t>מִכָּל־אֹיְבֵיכֶם</w:t>
      </w:r>
      <w:r>
        <w:rPr>
          <w:rtl/>
        </w:rPr>
        <w:t xml:space="preserve"> </w:t>
      </w:r>
      <w:r>
        <w:t xml:space="preserve">(Präposition </w:t>
      </w:r>
      <w:r>
        <w:rPr>
          <w:rStyle w:val="Fett"/>
          <w:rFonts w:eastAsiaTheme="majorEastAsia"/>
          <w:rtl/>
        </w:rPr>
        <w:t>מִן</w:t>
      </w:r>
      <w:r>
        <w:t xml:space="preserve">, „von", mit </w:t>
      </w:r>
      <w:r>
        <w:rPr>
          <w:rStyle w:val="Fett"/>
          <w:rFonts w:eastAsiaTheme="majorEastAsia"/>
          <w:rtl/>
        </w:rPr>
        <w:t>כָּל</w:t>
      </w:r>
      <w:r>
        <w:rPr>
          <w:rtl/>
        </w:rPr>
        <w:t xml:space="preserve"> </w:t>
      </w:r>
      <w:r>
        <w:t xml:space="preserve">im Construct mit </w:t>
      </w:r>
      <w:r>
        <w:rPr>
          <w:rStyle w:val="Fett"/>
          <w:rFonts w:eastAsiaTheme="majorEastAsia"/>
          <w:rtl/>
        </w:rPr>
        <w:t>אֹיֵב</w:t>
      </w:r>
      <w:r>
        <w:t xml:space="preserve">, „Feind", Plural mit Suffix 2. Person Maskulinum Plural) als Herkunftsangabe und </w:t>
      </w:r>
      <w:r>
        <w:rPr>
          <w:rStyle w:val="Fett"/>
          <w:rFonts w:eastAsiaTheme="majorEastAsia"/>
          <w:rtl/>
        </w:rPr>
        <w:t>מִסָּבִיב</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סָבִיב</w:t>
      </w:r>
      <w:r>
        <w:t xml:space="preserve">, „Umgebung, ringsum") als lokale Bestimmung. Die Wendung </w:t>
      </w:r>
      <w:r>
        <w:rPr>
          <w:rStyle w:val="Fett"/>
          <w:rFonts w:eastAsiaTheme="majorEastAsia"/>
          <w:rtl/>
        </w:rPr>
        <w:t>הניח מן</w:t>
      </w:r>
      <w:r>
        <w:rPr>
          <w:rtl/>
        </w:rPr>
        <w:t xml:space="preserve"> </w:t>
      </w:r>
      <w:r>
        <w:t xml:space="preserve">bedeutet „Ruhe geben von, befreien von". Dies nimmt </w:t>
      </w:r>
      <w:r>
        <w:rPr>
          <w:rStyle w:val="Fett"/>
          <w:rFonts w:eastAsiaTheme="majorEastAsia"/>
          <w:rtl/>
        </w:rPr>
        <w:t>מְנוּחָה</w:t>
      </w:r>
      <w:r>
        <w:rPr>
          <w:rtl/>
        </w:rPr>
        <w:t xml:space="preserve"> </w:t>
      </w:r>
      <w:r>
        <w:t>aus V. 9 auf.</w:t>
      </w:r>
    </w:p>
    <w:p w14:paraId="19CB3013" w14:textId="42FC80B3" w:rsidR="00724090" w:rsidRDefault="00724090" w:rsidP="00724090">
      <w:pPr>
        <w:pStyle w:val="whitespace-normal"/>
      </w:pPr>
      <w:r>
        <w:rPr>
          <w:rStyle w:val="Fett"/>
          <w:rFonts w:eastAsiaTheme="majorEastAsia"/>
          <w:rtl/>
        </w:rPr>
        <w:t>וִישַׁבְתֶּם־בֶּטַח</w:t>
      </w:r>
      <w:r>
        <w:rPr>
          <w:rtl/>
        </w:rPr>
        <w:t xml:space="preserve"> </w:t>
      </w:r>
      <w:r>
        <w:t xml:space="preserve">ist der vierte Satz: </w:t>
      </w:r>
      <w:r>
        <w:rPr>
          <w:rStyle w:val="Fett"/>
          <w:rFonts w:eastAsiaTheme="majorEastAsia"/>
          <w:rtl/>
        </w:rPr>
        <w:t>וִישַׁבְתֶּם</w:t>
      </w:r>
      <w:r>
        <w:rPr>
          <w:rtl/>
        </w:rPr>
        <w:t xml:space="preserve"> </w:t>
      </w:r>
      <w:r>
        <w:t xml:space="preserve">(Qal Perfekt, 2. Person Maskulinum Plural von </w:t>
      </w:r>
      <w:r>
        <w:rPr>
          <w:rStyle w:val="Fett"/>
          <w:rFonts w:eastAsiaTheme="majorEastAsia"/>
          <w:rtl/>
        </w:rPr>
        <w:t>ישׁב</w:t>
      </w:r>
      <w:r>
        <w:t xml:space="preserve">, „wohnen", mit </w:t>
      </w:r>
      <w:r>
        <w:rPr>
          <w:rStyle w:val="Fett"/>
          <w:rFonts w:eastAsiaTheme="majorEastAsia"/>
        </w:rPr>
        <w:t>Waw</w:t>
      </w:r>
      <w:r>
        <w:t xml:space="preserve">) und </w:t>
      </w:r>
      <w:r>
        <w:rPr>
          <w:rStyle w:val="Fett"/>
          <w:rFonts w:eastAsiaTheme="majorEastAsia"/>
          <w:rtl/>
        </w:rPr>
        <w:t>בֶּטַח</w:t>
      </w:r>
      <w:r>
        <w:rPr>
          <w:rtl/>
        </w:rPr>
        <w:t xml:space="preserve"> </w:t>
      </w:r>
      <w:r>
        <w:t xml:space="preserve">(„Sicherheit, sicher") als adverbiale Bestimmung. Die Wendung </w:t>
      </w:r>
      <w:r>
        <w:rPr>
          <w:rStyle w:val="Fett"/>
          <w:rFonts w:eastAsiaTheme="majorEastAsia"/>
          <w:rtl/>
        </w:rPr>
        <w:t>ישׁב בטח</w:t>
      </w:r>
      <w:r>
        <w:rPr>
          <w:rtl/>
        </w:rPr>
        <w:t xml:space="preserve"> </w:t>
      </w:r>
      <w:r>
        <w:t xml:space="preserve">(„sicher wohnen") ist eine feste Formel für Leben ohne Bedrohung (vgl. </w:t>
      </w:r>
      <w:r w:rsidR="00664EB6">
        <w:t>Lev</w:t>
      </w:r>
      <w:r>
        <w:t xml:space="preserve"> 25,18.19; 26,5; Jer 23,6; 32,37; 33,16; </w:t>
      </w:r>
      <w:r w:rsidR="00BF3748">
        <w:t>Hes</w:t>
      </w:r>
      <w:r>
        <w:t xml:space="preserve"> 28,26; 34,25.28; 38,8.11.14; 39,26).</w:t>
      </w:r>
    </w:p>
    <w:p w14:paraId="23000047" w14:textId="77777777" w:rsidR="00724090" w:rsidRDefault="00724090" w:rsidP="00724090">
      <w:pPr>
        <w:pStyle w:val="whitespace-normal"/>
      </w:pPr>
      <w:r>
        <w:t xml:space="preserve">Die Syntax zeigt die Abfolge: Jordanüberquerung → Wohnen im Land → Ruhe von Feinden → sicheres Wohnen. Diese vier Schritte beschreiben die Etablierung Israels im verheißenen Land. Der Vers kontrastiert mit V. 9: Dort war Israel noch nicht angekommen, hier wird die baldige Ankunft und Sicherheit verheißen. Die doppelte Verwendung von </w:t>
      </w:r>
      <w:r>
        <w:rPr>
          <w:rStyle w:val="Fett"/>
          <w:rFonts w:eastAsiaTheme="majorEastAsia"/>
          <w:rtl/>
        </w:rPr>
        <w:t>ישׁב</w:t>
      </w:r>
      <w:r>
        <w:rPr>
          <w:rtl/>
        </w:rPr>
        <w:t xml:space="preserve"> </w:t>
      </w:r>
      <w:r>
        <w:t xml:space="preserve">(„wohnen") rahmt die Aussage ein. Das Verb </w:t>
      </w:r>
      <w:r>
        <w:rPr>
          <w:rStyle w:val="Fett"/>
          <w:rFonts w:eastAsiaTheme="majorEastAsia"/>
          <w:rtl/>
        </w:rPr>
        <w:t>מַנְחִיל</w:t>
      </w:r>
      <w:r>
        <w:rPr>
          <w:rtl/>
        </w:rPr>
        <w:t xml:space="preserve"> </w:t>
      </w:r>
      <w:r>
        <w:t>(Hiphil Partizip) betont die fortdauernde göttliche Aktion der Landverteilung.</w:t>
      </w:r>
    </w:p>
    <w:p w14:paraId="5217602F" w14:textId="77777777" w:rsidR="00724090" w:rsidRDefault="00724090" w:rsidP="00724090">
      <w:pPr>
        <w:pStyle w:val="whitespace-normal"/>
      </w:pPr>
      <w:r>
        <w:rPr>
          <w:rStyle w:val="Fett"/>
          <w:rFonts w:eastAsiaTheme="majorEastAsia"/>
        </w:rPr>
        <w:t>Die LXX</w:t>
      </w:r>
      <w:r>
        <w:t xml:space="preserve"> übersetzt „werdet hinübergehen" mit „</w:t>
      </w:r>
      <w:proofErr w:type="spellStart"/>
      <w:r>
        <w:t>δι</w:t>
      </w:r>
      <w:proofErr w:type="spellEnd"/>
      <w:r>
        <w:t>αβήσεσθε", „als Erbe austeilen" mit „κατα</w:t>
      </w:r>
      <w:proofErr w:type="spellStart"/>
      <w:r>
        <w:t>κληρονομεῖ</w:t>
      </w:r>
      <w:proofErr w:type="spellEnd"/>
      <w:r>
        <w:t>", „wird Ruhe geben" mit „καταπα</w:t>
      </w:r>
      <w:proofErr w:type="spellStart"/>
      <w:r>
        <w:t>ύσει</w:t>
      </w:r>
      <w:proofErr w:type="spellEnd"/>
      <w:r>
        <w:t>" und „sicher wohnen" mit „κα</w:t>
      </w:r>
      <w:proofErr w:type="spellStart"/>
      <w:r>
        <w:t>τοικήσετε</w:t>
      </w:r>
      <w:proofErr w:type="spellEnd"/>
      <w:r>
        <w:t xml:space="preserve"> </w:t>
      </w:r>
      <w:proofErr w:type="spellStart"/>
      <w:r>
        <w:t>μετὰ</w:t>
      </w:r>
      <w:proofErr w:type="spellEnd"/>
      <w:r>
        <w:t xml:space="preserve"> </w:t>
      </w:r>
      <w:proofErr w:type="spellStart"/>
      <w:r>
        <w:t>ἀσφ</w:t>
      </w:r>
      <w:proofErr w:type="spellEnd"/>
      <w:r>
        <w:t>αλείας".</w:t>
      </w:r>
    </w:p>
    <w:p w14:paraId="65D1D459" w14:textId="77777777" w:rsidR="00724090" w:rsidRDefault="00724090" w:rsidP="00724090">
      <w:pPr>
        <w:pStyle w:val="whitespace-normal"/>
      </w:pPr>
      <w:r>
        <w:rPr>
          <w:rStyle w:val="Fett"/>
          <w:rFonts w:eastAsiaTheme="majorEastAsia"/>
        </w:rPr>
        <w:t>Die Satzstruktur</w:t>
      </w:r>
      <w:r>
        <w:t xml:space="preserve"> besteht aus vier koordinierten Sätzen: Erster Satz mit Prädikat und direktem Objekt (werdet hinübergehen den Jordan), zweiter Satz mit Prädikat, lokaler Bestimmung und Relativsatz (werdet wohnen in dem Land, das JHWH, euer Gott, euch als Erbe austeilt), dritter Satz mit Prädikat, Dativobjekt und doppelter Herkunfts-/lokaler Bestimmung (wird Ruhe geben euch vor allen euren Feinden ringsum), vierter Satz mit Prädikat und adverbialer Bestimmung (werdet wohnen sicher).</w:t>
      </w:r>
    </w:p>
    <w:p w14:paraId="3DCC3C0A" w14:textId="77777777" w:rsidR="00724090" w:rsidRDefault="00724090" w:rsidP="00724090">
      <w:pPr>
        <w:pStyle w:val="whitespace-normal"/>
      </w:pPr>
      <w:r>
        <w:t>Der Vers verheißt die baldige Landnahme und Sicherheit: Nach der Jordanüberquerung wird Israel im Land wohnen, JHWH wird Ruhe von allen Feinden geben, und Israel wird in Sicherheit leben.</w:t>
      </w:r>
    </w:p>
    <w:p w14:paraId="5F282013"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12,11</w:t>
      </w:r>
    </w:p>
    <w:p w14:paraId="21636DF1" w14:textId="77777777" w:rsidR="00724090" w:rsidRDefault="00724090" w:rsidP="00724090">
      <w:pPr>
        <w:pStyle w:val="whitespace-normal"/>
      </w:pPr>
      <w:r>
        <w:rPr>
          <w:rStyle w:val="Fett"/>
          <w:rFonts w:eastAsiaTheme="majorEastAsia"/>
        </w:rPr>
        <w:t>Hebräisch:</w:t>
      </w:r>
      <w:r>
        <w:t xml:space="preserve"> </w:t>
      </w:r>
      <w:r>
        <w:rPr>
          <w:rtl/>
        </w:rPr>
        <w:t>וְהָיָ֣ה הַמָּק֗וֹם אֲשֶׁר־יִבְחַר֩ יְהוָ֨ה אֱלֹהֵיכֶ֥ם בּוֹ֙ לְשַׁכֵּ֤ן שְׁמוֹ֙ שָׁ֔ם שָׁ֣מָּה תָבִ֔יאוּ אֵ֛ת כָּל־אֲשֶׁ֥ר אָנֹכִ֖י מְצַוֶּ֣ה אֶתְכֶ֑ם עוֹלֹתֵיכֶ֣ם וְזִבְחֵיכֶ֗ם מַעְשְׂרֹֽתֵיכֶם֙ וּתְרֻמַ֣ת יֶדְכֶ֔ם וְכֹל֙ מִבְחַ֣ר נִדְרֵיכֶ֔ם אֲשֶׁ֥ר תִּדְּר֖וּ לַֽיהוָֽה׃</w:t>
      </w:r>
    </w:p>
    <w:p w14:paraId="7E7D85BF" w14:textId="402EF806" w:rsidR="00724090" w:rsidRDefault="00724090" w:rsidP="00724090">
      <w:pPr>
        <w:pStyle w:val="whitespace-normal"/>
      </w:pPr>
      <w:r>
        <w:rPr>
          <w:rStyle w:val="Fett"/>
          <w:rFonts w:eastAsiaTheme="majorEastAsia"/>
        </w:rPr>
        <w:t>Deutsch:</w:t>
      </w:r>
      <w:r>
        <w:t xml:space="preserve"> Und es soll geschehen: Der Ort, den der Ewige, euer Gott, erwählen wird, um seinen Namen dort wohnen zu lassen, dahin sollt ihr alles bringen, was ich euch gebiete: eure Aufsteigeopfer und eure Schlachtopfer, eure Zehnten und das Hebopfer eurer Hand und alle Auswahl eurer Gelübde, die ihr dem Ewigen geloben werdet.</w:t>
      </w:r>
    </w:p>
    <w:p w14:paraId="64EDCB81" w14:textId="01DAC610" w:rsidR="009C316F" w:rsidRDefault="004F5CEB" w:rsidP="00724090">
      <w:pPr>
        <w:pStyle w:val="whitespace-normal"/>
      </w:pPr>
      <w:r>
        <w:rPr>
          <w:noProof/>
        </w:rPr>
        <w:pict w14:anchorId="11A4FF17">
          <v:rect id="_x0000_i1383" style="width:0;height:1.5pt" o:hralign="center" o:hrstd="t" o:hr="t" fillcolor="#a0a0a0" stroked="f"/>
        </w:pict>
      </w:r>
    </w:p>
    <w:p w14:paraId="3080F05E" w14:textId="77777777" w:rsidR="00724090" w:rsidRDefault="00724090" w:rsidP="00724090">
      <w:pPr>
        <w:pStyle w:val="whitespace-normal"/>
      </w:pPr>
      <w:r>
        <w:rPr>
          <w:rStyle w:val="Fett"/>
          <w:rFonts w:eastAsiaTheme="majorEastAsia"/>
        </w:rPr>
        <w:lastRenderedPageBreak/>
        <w:t>Kommentar:</w:t>
      </w:r>
      <w:r>
        <w:t xml:space="preserve"> </w:t>
      </w:r>
      <w:r>
        <w:rPr>
          <w:rStyle w:val="Fett"/>
          <w:rFonts w:eastAsiaTheme="majorEastAsia"/>
          <w:rtl/>
        </w:rPr>
        <w:t>וְהָיָה הַמָּקוֹם אֲשֶׁר־יִבְחַר יְהוָה אֱלֹהֵיכֶם בּוֹ לְשַׁכֵּן שְׁמוֹ שָׁם</w:t>
      </w:r>
      <w:r>
        <w:rPr>
          <w:rtl/>
        </w:rPr>
        <w:t xml:space="preserve"> </w:t>
      </w:r>
      <w:r>
        <w:t xml:space="preserve">ist die konditional-temporale Einleitung: </w:t>
      </w:r>
      <w:r>
        <w:rPr>
          <w:rStyle w:val="Fett"/>
          <w:rFonts w:eastAsiaTheme="majorEastAsia"/>
          <w:rtl/>
        </w:rPr>
        <w:t>וְהָיָה</w:t>
      </w:r>
      <w:r>
        <w:rPr>
          <w:rtl/>
        </w:rPr>
        <w:t xml:space="preserve"> </w:t>
      </w:r>
      <w:r>
        <w:t xml:space="preserve">(Qal Perfekt, 3. Person Maskulinum Singular von </w:t>
      </w:r>
      <w:r>
        <w:rPr>
          <w:rStyle w:val="Fett"/>
          <w:rFonts w:eastAsiaTheme="majorEastAsia"/>
          <w:rtl/>
        </w:rPr>
        <w:t>היה</w:t>
      </w:r>
      <w:r>
        <w:t xml:space="preserve">, „sein, werden, geschehen", mit </w:t>
      </w:r>
      <w:r>
        <w:rPr>
          <w:rStyle w:val="Fett"/>
          <w:rFonts w:eastAsiaTheme="majorEastAsia"/>
        </w:rPr>
        <w:t>Waw</w:t>
      </w:r>
      <w:r>
        <w:t xml:space="preserve">) leitet die Formel ein, </w:t>
      </w:r>
      <w:r>
        <w:rPr>
          <w:rStyle w:val="Fett"/>
          <w:rFonts w:eastAsiaTheme="majorEastAsia"/>
          <w:rtl/>
        </w:rPr>
        <w:t>הַמָּקוֹם</w:t>
      </w:r>
      <w:r>
        <w:rPr>
          <w:rtl/>
        </w:rPr>
        <w:t xml:space="preserve"> </w:t>
      </w:r>
      <w:r>
        <w:t>(</w:t>
      </w:r>
      <w:r>
        <w:rPr>
          <w:rStyle w:val="Fett"/>
          <w:rFonts w:eastAsiaTheme="majorEastAsia"/>
          <w:rtl/>
        </w:rPr>
        <w:t>מָקוֹם</w:t>
      </w:r>
      <w:r>
        <w:t xml:space="preserve">, „Ort", mit Artikel) als Subjekt, </w:t>
      </w:r>
      <w:r>
        <w:rPr>
          <w:rStyle w:val="Fett"/>
          <w:rFonts w:eastAsiaTheme="majorEastAsia"/>
          <w:rtl/>
        </w:rPr>
        <w:t>אֲשֶׁר־יִבְחַר יְהוָה אֱלֹהֵיכֶם בּוֹ</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יִבְחַר</w:t>
      </w:r>
      <w:r>
        <w:t xml:space="preserve">, Qal Imperfekt, 3. Person Maskulinum Singular von </w:t>
      </w:r>
      <w:r>
        <w:rPr>
          <w:rStyle w:val="Fett"/>
          <w:rFonts w:eastAsiaTheme="majorEastAsia"/>
          <w:rtl/>
        </w:rPr>
        <w:t>בחר</w:t>
      </w:r>
      <w:r>
        <w:t xml:space="preserve">, „erwählen", </w:t>
      </w:r>
      <w:r>
        <w:rPr>
          <w:rStyle w:val="Fett"/>
          <w:rFonts w:eastAsiaTheme="majorEastAsia"/>
          <w:rtl/>
        </w:rPr>
        <w:t>יְהוָה אֱלֹהֵיכֶם</w:t>
      </w:r>
      <w:r>
        <w:rPr>
          <w:rtl/>
        </w:rPr>
        <w:t xml:space="preserve"> </w:t>
      </w:r>
      <w:r>
        <w:t xml:space="preserve">als Subjekt und </w:t>
      </w:r>
      <w:r>
        <w:rPr>
          <w:rStyle w:val="Fett"/>
          <w:rFonts w:eastAsiaTheme="majorEastAsia"/>
          <w:rtl/>
        </w:rPr>
        <w:t>בּוֹ</w:t>
      </w:r>
      <w:r>
        <w:t xml:space="preserve">, Präposition </w:t>
      </w:r>
      <w:r>
        <w:rPr>
          <w:rStyle w:val="Fett"/>
          <w:rFonts w:eastAsiaTheme="majorEastAsia"/>
          <w:rtl/>
        </w:rPr>
        <w:t>בְּ</w:t>
      </w:r>
      <w:r>
        <w:rPr>
          <w:rtl/>
        </w:rPr>
        <w:t xml:space="preserve"> </w:t>
      </w:r>
      <w:r>
        <w:t xml:space="preserve">mit Suffix 3. Person Maskulinum Singular, rückverweisend auf </w:t>
      </w:r>
      <w:r>
        <w:rPr>
          <w:rStyle w:val="Fett"/>
          <w:rFonts w:eastAsiaTheme="majorEastAsia"/>
          <w:rtl/>
        </w:rPr>
        <w:t>הַמָּקוֹם</w:t>
      </w:r>
      <w:r>
        <w:t xml:space="preserve">), </w:t>
      </w:r>
      <w:r>
        <w:rPr>
          <w:rStyle w:val="Fett"/>
          <w:rFonts w:eastAsiaTheme="majorEastAsia"/>
          <w:rtl/>
        </w:rPr>
        <w:t>לְשַׁכֵּן שְׁמוֹ שָׁם</w:t>
      </w:r>
      <w:r>
        <w:rPr>
          <w:rtl/>
        </w:rPr>
        <w:t xml:space="preserve"> </w:t>
      </w:r>
      <w:r>
        <w:t xml:space="preserve">(Präposition </w:t>
      </w:r>
      <w:r>
        <w:rPr>
          <w:rStyle w:val="Fett"/>
          <w:rFonts w:eastAsiaTheme="majorEastAsia"/>
          <w:rtl/>
        </w:rPr>
        <w:t>לְ</w:t>
      </w:r>
      <w:r>
        <w:rPr>
          <w:rtl/>
        </w:rPr>
        <w:t xml:space="preserve"> </w:t>
      </w:r>
      <w:r>
        <w:t xml:space="preserve">mit Piel Infinitiv Construct von </w:t>
      </w:r>
      <w:r>
        <w:rPr>
          <w:rStyle w:val="Fett"/>
          <w:rFonts w:eastAsiaTheme="majorEastAsia"/>
          <w:rtl/>
        </w:rPr>
        <w:t>שׁכן</w:t>
      </w:r>
      <w:r>
        <w:t xml:space="preserve">, „wohnen, verweilen, lagern", </w:t>
      </w:r>
      <w:r>
        <w:rPr>
          <w:rStyle w:val="Fett"/>
          <w:rFonts w:eastAsiaTheme="majorEastAsia"/>
          <w:rtl/>
        </w:rPr>
        <w:t>שְׁמוֹ</w:t>
      </w:r>
      <w:r>
        <w:t xml:space="preserve">, </w:t>
      </w:r>
      <w:r>
        <w:rPr>
          <w:rStyle w:val="Fett"/>
          <w:rFonts w:eastAsiaTheme="majorEastAsia"/>
          <w:rtl/>
        </w:rPr>
        <w:t>שֵׁם</w:t>
      </w:r>
      <w:r>
        <w:t xml:space="preserve">, „Name", mit Suffix 3. Person Maskulinum Singular, und </w:t>
      </w:r>
      <w:r>
        <w:rPr>
          <w:rStyle w:val="Fett"/>
          <w:rFonts w:eastAsiaTheme="majorEastAsia"/>
          <w:rtl/>
        </w:rPr>
        <w:t>שָׁם</w:t>
      </w:r>
      <w:r>
        <w:t xml:space="preserve">, „dort") als finale Bestimmung. Die Wendung </w:t>
      </w:r>
      <w:r>
        <w:rPr>
          <w:rStyle w:val="Fett"/>
          <w:rFonts w:eastAsiaTheme="majorEastAsia"/>
          <w:rtl/>
        </w:rPr>
        <w:t>שׁכן שם</w:t>
      </w:r>
      <w:r>
        <w:rPr>
          <w:rtl/>
        </w:rPr>
        <w:t xml:space="preserve"> </w:t>
      </w:r>
      <w:r>
        <w:t xml:space="preserve">(„den Namen wohnen lassen") ist eine Variation zu </w:t>
      </w:r>
      <w:r>
        <w:rPr>
          <w:rStyle w:val="Fett"/>
          <w:rFonts w:eastAsiaTheme="majorEastAsia"/>
          <w:rtl/>
        </w:rPr>
        <w:t>שׂים שם</w:t>
      </w:r>
      <w:r>
        <w:rPr>
          <w:rtl/>
        </w:rPr>
        <w:t xml:space="preserve"> </w:t>
      </w:r>
      <w:r>
        <w:t>aus V. 5 und betont die dauerhafte göttliche Präsenz.</w:t>
      </w:r>
    </w:p>
    <w:p w14:paraId="5D9202EA" w14:textId="77777777" w:rsidR="00724090" w:rsidRDefault="00724090" w:rsidP="00724090">
      <w:pPr>
        <w:pStyle w:val="whitespace-normal"/>
      </w:pPr>
      <w:r>
        <w:rPr>
          <w:rStyle w:val="Fett"/>
          <w:rFonts w:eastAsiaTheme="majorEastAsia"/>
          <w:rtl/>
        </w:rPr>
        <w:t>שָׁמָּה תָבִיאוּ אֵת כָּל־אֲשֶׁר אָנֹכִי מְצַוֶּה אֶתְכֶם</w:t>
      </w:r>
      <w:r>
        <w:rPr>
          <w:rtl/>
        </w:rPr>
        <w:t xml:space="preserve"> </w:t>
      </w:r>
      <w:r>
        <w:t xml:space="preserve">ist die Apodosis: </w:t>
      </w:r>
      <w:r>
        <w:rPr>
          <w:rStyle w:val="Fett"/>
          <w:rFonts w:eastAsiaTheme="majorEastAsia"/>
          <w:rtl/>
        </w:rPr>
        <w:t>שָׁמָּה</w:t>
      </w:r>
      <w:r>
        <w:rPr>
          <w:rtl/>
        </w:rPr>
        <w:t xml:space="preserve"> </w:t>
      </w:r>
      <w:r>
        <w:t xml:space="preserve">(„dorthin") als vorangestellte Richtungsangabe, </w:t>
      </w:r>
      <w:r>
        <w:rPr>
          <w:rStyle w:val="Fett"/>
          <w:rFonts w:eastAsiaTheme="majorEastAsia"/>
          <w:rtl/>
        </w:rPr>
        <w:t>תָבִיאוּ</w:t>
      </w:r>
      <w:r>
        <w:rPr>
          <w:rtl/>
        </w:rPr>
        <w:t xml:space="preserve"> </w:t>
      </w:r>
      <w:r>
        <w:t xml:space="preserve">(Hiphil Imperfekt, 2. Person Maskulinum Plural von </w:t>
      </w:r>
      <w:r>
        <w:rPr>
          <w:rStyle w:val="Fett"/>
          <w:rFonts w:eastAsiaTheme="majorEastAsia"/>
          <w:rtl/>
        </w:rPr>
        <w:t>בוא</w:t>
      </w:r>
      <w:r>
        <w:t xml:space="preserve">, „kommen", in der Hiphil-Form „bringen"), </w:t>
      </w:r>
      <w:r>
        <w:rPr>
          <w:rStyle w:val="Fett"/>
          <w:rFonts w:eastAsiaTheme="majorEastAsia"/>
          <w:rtl/>
        </w:rPr>
        <w:t>אֵת כָּל־אֲשֶׁר</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כֹּל</w:t>
      </w:r>
      <w:r>
        <w:t xml:space="preserve">, „alles", und Relativpronomen </w:t>
      </w:r>
      <w:r>
        <w:rPr>
          <w:rStyle w:val="Fett"/>
          <w:rFonts w:eastAsiaTheme="majorEastAsia"/>
          <w:rtl/>
        </w:rPr>
        <w:t>אֲשֶׁר</w:t>
      </w:r>
      <w:r>
        <w:t xml:space="preserve">), </w:t>
      </w:r>
      <w:r>
        <w:rPr>
          <w:rStyle w:val="Fett"/>
          <w:rFonts w:eastAsiaTheme="majorEastAsia"/>
          <w:rtl/>
        </w:rPr>
        <w:t>אָנֹכִי</w:t>
      </w:r>
      <w:r>
        <w:rPr>
          <w:rtl/>
        </w:rPr>
        <w:t xml:space="preserve"> </w:t>
      </w:r>
      <w:r>
        <w:t xml:space="preserve">(emphatisches Personalpronomen 1. Person Singular) als Subjekt, </w:t>
      </w:r>
      <w:r>
        <w:rPr>
          <w:rStyle w:val="Fett"/>
          <w:rFonts w:eastAsiaTheme="majorEastAsia"/>
          <w:rtl/>
        </w:rPr>
        <w:t>מְצַוֶּה</w:t>
      </w:r>
      <w:r>
        <w:rPr>
          <w:rtl/>
        </w:rPr>
        <w:t xml:space="preserve"> </w:t>
      </w:r>
      <w:r>
        <w:t xml:space="preserve">(Piel Partizip Maskulinum Singular von </w:t>
      </w:r>
      <w:r>
        <w:rPr>
          <w:rStyle w:val="Fett"/>
          <w:rFonts w:eastAsiaTheme="majorEastAsia"/>
          <w:rtl/>
        </w:rPr>
        <w:t>צוה</w:t>
      </w:r>
      <w:r>
        <w:t xml:space="preserve">, „befehlen, gebieten") und </w:t>
      </w:r>
      <w:r>
        <w:rPr>
          <w:rStyle w:val="Fett"/>
          <w:rFonts w:eastAsiaTheme="majorEastAsia"/>
          <w:rtl/>
        </w:rPr>
        <w:t>אֶתְכֶם</w:t>
      </w:r>
      <w:r>
        <w:rPr>
          <w:rtl/>
        </w:rPr>
        <w:t xml:space="preserve"> </w:t>
      </w:r>
      <w:r>
        <w:t xml:space="preserve">(Objektpartikel </w:t>
      </w:r>
      <w:r>
        <w:rPr>
          <w:rStyle w:val="Fett"/>
          <w:rFonts w:eastAsiaTheme="majorEastAsia"/>
          <w:rtl/>
        </w:rPr>
        <w:t>אֵת</w:t>
      </w:r>
      <w:r>
        <w:rPr>
          <w:rtl/>
        </w:rPr>
        <w:t xml:space="preserve"> </w:t>
      </w:r>
      <w:r>
        <w:t>mit Suffix 2. Person Maskulinum Plural).</w:t>
      </w:r>
    </w:p>
    <w:p w14:paraId="4586B0C3" w14:textId="77777777" w:rsidR="00724090" w:rsidRDefault="00724090" w:rsidP="00724090">
      <w:pPr>
        <w:pStyle w:val="whitespace-normal"/>
      </w:pPr>
      <w:r>
        <w:rPr>
          <w:rStyle w:val="Fett"/>
          <w:rFonts w:eastAsiaTheme="majorEastAsia"/>
          <w:rtl/>
        </w:rPr>
        <w:t>עוֹלֹתֵיכֶם וְזִבְחֵיכֶם מַעְשְׂרֹתֵיכֶם וּתְרֻמַת יֶדְכֶם וְכֹל מִבְחַר נִדְרֵיכֶם אֲשֶׁר תִּדְּרוּ לַיהוָה</w:t>
      </w:r>
      <w:r>
        <w:rPr>
          <w:rtl/>
        </w:rPr>
        <w:t xml:space="preserve"> </w:t>
      </w:r>
      <w:r>
        <w:t xml:space="preserve">ist eine fünfgliedrige Aufzählung, die das vorangehende </w:t>
      </w:r>
      <w:r>
        <w:rPr>
          <w:rStyle w:val="Fett"/>
          <w:rFonts w:eastAsiaTheme="majorEastAsia"/>
          <w:rtl/>
        </w:rPr>
        <w:t>כָּל־אֲשֶׁר</w:t>
      </w:r>
      <w:r>
        <w:rPr>
          <w:rtl/>
        </w:rPr>
        <w:t xml:space="preserve"> </w:t>
      </w:r>
      <w:r>
        <w:t xml:space="preserve">konkretisiert: </w:t>
      </w:r>
      <w:r>
        <w:rPr>
          <w:rStyle w:val="Fett"/>
          <w:rFonts w:eastAsiaTheme="majorEastAsia"/>
          <w:rtl/>
        </w:rPr>
        <w:t>עוֹלֹתֵיכֶם וְזִבְחֵיכֶם</w:t>
      </w:r>
      <w:r>
        <w:rPr>
          <w:rtl/>
        </w:rPr>
        <w:t xml:space="preserve"> </w:t>
      </w:r>
      <w:r>
        <w:t xml:space="preserve">(„eure Aufsteigeopfer und eure Schlachtopfer", wie V. 6), </w:t>
      </w:r>
      <w:r>
        <w:rPr>
          <w:rStyle w:val="Fett"/>
          <w:rFonts w:eastAsiaTheme="majorEastAsia"/>
          <w:rtl/>
        </w:rPr>
        <w:t>מַעְשְׂרֹתֵיכֶם</w:t>
      </w:r>
      <w:r>
        <w:rPr>
          <w:rtl/>
        </w:rPr>
        <w:t xml:space="preserve"> </w:t>
      </w:r>
      <w:r>
        <w:t xml:space="preserve">(„eure Zehnten"), </w:t>
      </w:r>
      <w:r>
        <w:rPr>
          <w:rStyle w:val="Fett"/>
          <w:rFonts w:eastAsiaTheme="majorEastAsia"/>
          <w:rtl/>
        </w:rPr>
        <w:t>וּתְרֻמַת יֶדְכֶם</w:t>
      </w:r>
      <w:r>
        <w:rPr>
          <w:rtl/>
        </w:rPr>
        <w:t xml:space="preserve"> </w:t>
      </w:r>
      <w:r>
        <w:t xml:space="preserve">(„das Hebopfer eurer Hand"), </w:t>
      </w:r>
      <w:r>
        <w:rPr>
          <w:rStyle w:val="Fett"/>
          <w:rFonts w:eastAsiaTheme="majorEastAsia"/>
          <w:rtl/>
        </w:rPr>
        <w:t>וְכֹל מִבְחַר נִדְרֵיכֶם</w:t>
      </w:r>
      <w:r>
        <w:rPr>
          <w:rtl/>
        </w:rPr>
        <w:t xml:space="preserve"> </w:t>
      </w:r>
      <w:r>
        <w:t>(</w:t>
      </w:r>
      <w:r>
        <w:rPr>
          <w:rStyle w:val="Fett"/>
          <w:rFonts w:eastAsiaTheme="majorEastAsia"/>
          <w:rtl/>
        </w:rPr>
        <w:t>כֹּל</w:t>
      </w:r>
      <w:r>
        <w:t xml:space="preserve">, „all", mit </w:t>
      </w:r>
      <w:r>
        <w:rPr>
          <w:rStyle w:val="Fett"/>
          <w:rFonts w:eastAsiaTheme="majorEastAsia"/>
          <w:rtl/>
        </w:rPr>
        <w:t>מִבְחָר</w:t>
      </w:r>
      <w:r>
        <w:t xml:space="preserve">, „Auswahl, das Beste", Singular Construct mit </w:t>
      </w:r>
      <w:r>
        <w:rPr>
          <w:rStyle w:val="Fett"/>
          <w:rFonts w:eastAsiaTheme="majorEastAsia"/>
          <w:rtl/>
        </w:rPr>
        <w:t>נֶדֶר</w:t>
      </w:r>
      <w:r>
        <w:t xml:space="preserve">, „Gelübde", Plural mit Suffix 2. Person Maskulinum Plural) und </w:t>
      </w:r>
      <w:r>
        <w:rPr>
          <w:rStyle w:val="Fett"/>
          <w:rFonts w:eastAsiaTheme="majorEastAsia"/>
          <w:rtl/>
        </w:rPr>
        <w:t>אֲשֶׁר תִּדְּרוּ לַיהוָה</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תִּדְּרוּ</w:t>
      </w:r>
      <w:r>
        <w:t xml:space="preserve">, Qal Imperfekt, 2. Person Maskulinum Plural von </w:t>
      </w:r>
      <w:r>
        <w:rPr>
          <w:rStyle w:val="Fett"/>
          <w:rFonts w:eastAsiaTheme="majorEastAsia"/>
          <w:rtl/>
        </w:rPr>
        <w:t>נדר</w:t>
      </w:r>
      <w:r>
        <w:t xml:space="preserve">, „geloben", und </w:t>
      </w:r>
      <w:r>
        <w:rPr>
          <w:rStyle w:val="Fett"/>
          <w:rFonts w:eastAsiaTheme="majorEastAsia"/>
          <w:rtl/>
        </w:rPr>
        <w:t>לַיהוָה</w:t>
      </w:r>
      <w:r>
        <w:t xml:space="preserve">, Präposition </w:t>
      </w:r>
      <w:r>
        <w:rPr>
          <w:rStyle w:val="Fett"/>
          <w:rFonts w:eastAsiaTheme="majorEastAsia"/>
          <w:rtl/>
        </w:rPr>
        <w:t>לְ</w:t>
      </w:r>
      <w:r>
        <w:rPr>
          <w:rtl/>
        </w:rPr>
        <w:t xml:space="preserve"> </w:t>
      </w:r>
      <w:r>
        <w:t xml:space="preserve">mit Tetragramm). Die Wendung </w:t>
      </w:r>
      <w:r>
        <w:rPr>
          <w:rStyle w:val="Fett"/>
          <w:rFonts w:eastAsiaTheme="majorEastAsia"/>
          <w:rtl/>
        </w:rPr>
        <w:t>מִבְחַר נִדְרֵיכֶם</w:t>
      </w:r>
      <w:r>
        <w:rPr>
          <w:rtl/>
        </w:rPr>
        <w:t xml:space="preserve"> </w:t>
      </w:r>
      <w:r>
        <w:t>(„die Auswahl/das Beste eurer Gelübde") betont Qualität.</w:t>
      </w:r>
    </w:p>
    <w:p w14:paraId="5B37F5F1" w14:textId="77777777" w:rsidR="00724090" w:rsidRDefault="00724090" w:rsidP="00724090">
      <w:pPr>
        <w:pStyle w:val="whitespace-normal"/>
      </w:pPr>
      <w:r>
        <w:t xml:space="preserve">Diese Aufzählung ist kürzer als in V. 6 (dort sieben Glieder, hier fünf) und variiert die Formulierung: Statt </w:t>
      </w:r>
      <w:r>
        <w:rPr>
          <w:rStyle w:val="Fett"/>
          <w:rFonts w:eastAsiaTheme="majorEastAsia"/>
          <w:rtl/>
        </w:rPr>
        <w:t>נִדְרֵיכֶם וְנִדְבֹתֵיכֶם</w:t>
      </w:r>
      <w:r>
        <w:rPr>
          <w:rtl/>
        </w:rPr>
        <w:t xml:space="preserve"> </w:t>
      </w:r>
      <w:r>
        <w:t xml:space="preserve">(V. 6) hier </w:t>
      </w:r>
      <w:r>
        <w:rPr>
          <w:rStyle w:val="Fett"/>
          <w:rFonts w:eastAsiaTheme="majorEastAsia"/>
          <w:rtl/>
        </w:rPr>
        <w:t>כֹל מִבְחַר נִדְרֵיכֶם</w:t>
      </w:r>
      <w:r>
        <w:t>, und die Erstgeburten fehlen. Die Variation zeigt, dass es nicht um eine vollständige Aufzählung geht, sondern um das Prinzip: alle Opfergaben sollen zum zentralen Heiligtum gebracht werden.</w:t>
      </w:r>
    </w:p>
    <w:p w14:paraId="0CE2F4DF" w14:textId="77777777" w:rsidR="00724090" w:rsidRDefault="00724090" w:rsidP="00724090">
      <w:pPr>
        <w:pStyle w:val="whitespace-normal"/>
      </w:pPr>
      <w:r>
        <w:rPr>
          <w:rStyle w:val="Fett"/>
          <w:rFonts w:eastAsiaTheme="majorEastAsia"/>
        </w:rPr>
        <w:t>Die LXX</w:t>
      </w:r>
      <w:r>
        <w:t xml:space="preserve"> übersetzt „um seinen Namen dort wohnen zu lassen" mit „ἐπ</w:t>
      </w:r>
      <w:proofErr w:type="spellStart"/>
      <w:r>
        <w:t>ικληθῆν</w:t>
      </w:r>
      <w:proofErr w:type="spellEnd"/>
      <w:r>
        <w:t xml:space="preserve">αι </w:t>
      </w:r>
      <w:proofErr w:type="spellStart"/>
      <w:r>
        <w:t>τὸ</w:t>
      </w:r>
      <w:proofErr w:type="spellEnd"/>
      <w:r>
        <w:t xml:space="preserve"> </w:t>
      </w:r>
      <w:proofErr w:type="spellStart"/>
      <w:r>
        <w:t>ὄνομ</w:t>
      </w:r>
      <w:proofErr w:type="spellEnd"/>
      <w:r>
        <w:t>α α</w:t>
      </w:r>
      <w:proofErr w:type="spellStart"/>
      <w:r>
        <w:t>ὐτοῦ</w:t>
      </w:r>
      <w:proofErr w:type="spellEnd"/>
      <w:r>
        <w:t xml:space="preserve"> </w:t>
      </w:r>
      <w:proofErr w:type="spellStart"/>
      <w:r>
        <w:t>ἐκεῖ</w:t>
      </w:r>
      <w:proofErr w:type="spellEnd"/>
      <w:r>
        <w:t>", „dahin sollt ihr bringen" mit „</w:t>
      </w:r>
      <w:proofErr w:type="spellStart"/>
      <w:r>
        <w:t>ἐκεῖ</w:t>
      </w:r>
      <w:proofErr w:type="spellEnd"/>
      <w:r>
        <w:t xml:space="preserve"> </w:t>
      </w:r>
      <w:proofErr w:type="spellStart"/>
      <w:r>
        <w:t>οἴσετε</w:t>
      </w:r>
      <w:proofErr w:type="spellEnd"/>
      <w:r>
        <w:t>" und „alle Auswahl eurer Gelübde" mit „π</w:t>
      </w:r>
      <w:proofErr w:type="spellStart"/>
      <w:r>
        <w:t>άντ</w:t>
      </w:r>
      <w:proofErr w:type="spellEnd"/>
      <w:r>
        <w:t xml:space="preserve">α </w:t>
      </w:r>
      <w:proofErr w:type="spellStart"/>
      <w:r>
        <w:t>τὰ</w:t>
      </w:r>
      <w:proofErr w:type="spellEnd"/>
      <w:r>
        <w:t xml:space="preserve"> </w:t>
      </w:r>
      <w:proofErr w:type="spellStart"/>
      <w:r>
        <w:t>ἐκλεκτὰ</w:t>
      </w:r>
      <w:proofErr w:type="spellEnd"/>
      <w:r>
        <w:t xml:space="preserve"> </w:t>
      </w:r>
      <w:proofErr w:type="spellStart"/>
      <w:r>
        <w:t>τῶν</w:t>
      </w:r>
      <w:proofErr w:type="spellEnd"/>
      <w:r>
        <w:t xml:space="preserve"> </w:t>
      </w:r>
      <w:proofErr w:type="spellStart"/>
      <w:r>
        <w:t>δώρων</w:t>
      </w:r>
      <w:proofErr w:type="spellEnd"/>
      <w:r>
        <w:t xml:space="preserve"> </w:t>
      </w:r>
      <w:proofErr w:type="spellStart"/>
      <w:r>
        <w:t>ὑμῶν</w:t>
      </w:r>
      <w:proofErr w:type="spellEnd"/>
      <w:r>
        <w:t>".</w:t>
      </w:r>
    </w:p>
    <w:p w14:paraId="79D8CC13" w14:textId="77777777" w:rsidR="00724090" w:rsidRDefault="00724090" w:rsidP="00724090">
      <w:pPr>
        <w:pStyle w:val="whitespace-normal"/>
      </w:pPr>
      <w:r>
        <w:rPr>
          <w:rStyle w:val="Fett"/>
          <w:rFonts w:eastAsiaTheme="majorEastAsia"/>
        </w:rPr>
        <w:t>Die Satzstruktur</w:t>
      </w:r>
      <w:r>
        <w:t xml:space="preserve"> besteht aus einer konditional-temporalen Einleitung mit Relativsatz und finalen Bestimmungen sowie einer Apodosis mit fünfgliedriger Aufzählung: Einleitungsformel (und es soll geschehen), Subjekt (der Ort), Relativsatz mit Prädikat (erwählen wird), Subjekt (JHWH, euer Gott), präpositionalem Objekt (ihn), finaler Bestimmung (um seinen Namen dort wohnen zu lassen); Apodosis mit vorangestellter Richtungsangabe (dahin), Prädikat (sollt bringen), direktem Objekt (alles), Relativsatz (was ich euch gebiete); fünfgliedrige Aufzählung (eure Aufsteigeopfer und eure Schlachtopfer, eure Zehnten, das Hebopfer eurer Hand, alle Auswahl eurer Gelübde, die ihr JHWH geloben werdet).</w:t>
      </w:r>
    </w:p>
    <w:p w14:paraId="0D19F688" w14:textId="77777777" w:rsidR="00724090" w:rsidRDefault="00724090" w:rsidP="00724090">
      <w:pPr>
        <w:pStyle w:val="whitespace-normal"/>
      </w:pPr>
      <w:r>
        <w:t>Der Vers wiederholt und präzisiert das Prinzip der Kultzentralisation: Am von JHWH erwählten Ort, wo sein Name wohnt, sollen alle Opfer und Abgaben dargebracht werden.</w:t>
      </w:r>
    </w:p>
    <w:p w14:paraId="38137C2D"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lastRenderedPageBreak/>
        <w:t>Deuteronomium 12,12</w:t>
      </w:r>
    </w:p>
    <w:p w14:paraId="5E8F89BC" w14:textId="77777777" w:rsidR="00724090" w:rsidRDefault="00724090" w:rsidP="00724090">
      <w:pPr>
        <w:pStyle w:val="whitespace-normal"/>
      </w:pPr>
      <w:r>
        <w:rPr>
          <w:rStyle w:val="Fett"/>
          <w:rFonts w:eastAsiaTheme="majorEastAsia"/>
        </w:rPr>
        <w:t>Hebräisch:</w:t>
      </w:r>
      <w:r>
        <w:t xml:space="preserve"> </w:t>
      </w:r>
      <w:r>
        <w:rPr>
          <w:rtl/>
        </w:rPr>
        <w:t>וּשְׂמַחְתֶּ֗ם לִפְנֵי֮ יְהוָ֣ה אֱלֹֽהֵיכֶם֒ אַתֶּ֗ם וּבְנֵיכֶם֙ וּבְנֹ֣תֵיכֶ֔ם וְעַבְדֵיכֶ֖ם וְאַמְהֹתֵיכֶ֑ם וְהַלֵּוִי֙ אֲשֶׁ֣ר בְּשַֽׁעֲרֵיכֶ֔ם כִּ֣י אֵ֥ין לוֹ֛ חֵ֥לֶק וְנַחֲלָ֖ה אִתְּכֶֽם׃</w:t>
      </w:r>
    </w:p>
    <w:p w14:paraId="43A3E4C3" w14:textId="40ED09D6" w:rsidR="00724090" w:rsidRDefault="00724090" w:rsidP="00724090">
      <w:pPr>
        <w:pStyle w:val="whitespace-normal"/>
      </w:pPr>
      <w:r>
        <w:rPr>
          <w:rStyle w:val="Fett"/>
          <w:rFonts w:eastAsiaTheme="majorEastAsia"/>
        </w:rPr>
        <w:t>Deutsch:</w:t>
      </w:r>
      <w:r>
        <w:t xml:space="preserve"> Und ihr sollt euch freuen vor dem Ewigen, eurem Gott, ihr und eure Söhne und eure Töchter und eure Knechte und eure Mägde und Levi, der in euren Toren ist; denn er hat kein Teil noch Erbe mit euch.</w:t>
      </w:r>
    </w:p>
    <w:p w14:paraId="609F2F29" w14:textId="36134F3D" w:rsidR="009C316F" w:rsidRDefault="004F5CEB" w:rsidP="00724090">
      <w:pPr>
        <w:pStyle w:val="whitespace-normal"/>
      </w:pPr>
      <w:r>
        <w:rPr>
          <w:noProof/>
        </w:rPr>
        <w:pict w14:anchorId="55E10F43">
          <v:rect id="_x0000_i1384" style="width:0;height:1.5pt" o:hralign="center" o:hrstd="t" o:hr="t" fillcolor="#a0a0a0" stroked="f"/>
        </w:pict>
      </w:r>
    </w:p>
    <w:p w14:paraId="018BE329"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וּשְׂמַחְתֶּם לִפְנֵי יְהוָה אֱלֹהֵיכֶם</w:t>
      </w:r>
      <w:r>
        <w:rPr>
          <w:rtl/>
        </w:rPr>
        <w:t xml:space="preserve"> </w:t>
      </w:r>
      <w:r>
        <w:t xml:space="preserve">ist der Imperativsatz: </w:t>
      </w:r>
      <w:r>
        <w:rPr>
          <w:rStyle w:val="Fett"/>
          <w:rFonts w:eastAsiaTheme="majorEastAsia"/>
          <w:rtl/>
        </w:rPr>
        <w:t>וּשְׂמַחְתֶּם</w:t>
      </w:r>
      <w:r>
        <w:rPr>
          <w:rtl/>
        </w:rPr>
        <w:t xml:space="preserve"> </w:t>
      </w:r>
      <w:r>
        <w:t xml:space="preserve">(Qal Perfekt, 2. Person Maskulinum Plural von </w:t>
      </w:r>
      <w:r>
        <w:rPr>
          <w:rStyle w:val="Fett"/>
          <w:rFonts w:eastAsiaTheme="majorEastAsia"/>
          <w:rtl/>
        </w:rPr>
        <w:t>שׂמח</w:t>
      </w:r>
      <w:r>
        <w:t xml:space="preserve">, „sich freuen", mit </w:t>
      </w:r>
      <w:r>
        <w:rPr>
          <w:rStyle w:val="Fett"/>
          <w:rFonts w:eastAsiaTheme="majorEastAsia"/>
        </w:rPr>
        <w:t>Waw</w:t>
      </w:r>
      <w:r>
        <w:t xml:space="preserve">, imperativisch) und </w:t>
      </w:r>
      <w:r>
        <w:rPr>
          <w:rStyle w:val="Fett"/>
          <w:rFonts w:eastAsiaTheme="majorEastAsia"/>
          <w:rtl/>
        </w:rPr>
        <w:t>לִפְנֵי יְהוָה אֱלֹהֵיכֶם</w:t>
      </w:r>
      <w:r>
        <w:rPr>
          <w:rtl/>
        </w:rPr>
        <w:t xml:space="preserve"> </w:t>
      </w:r>
      <w:r>
        <w:t xml:space="preserve">(Präposition </w:t>
      </w:r>
      <w:r>
        <w:rPr>
          <w:rStyle w:val="Fett"/>
          <w:rFonts w:eastAsiaTheme="majorEastAsia"/>
          <w:rtl/>
        </w:rPr>
        <w:t>לִפְנֵי</w:t>
      </w:r>
      <w:r>
        <w:t xml:space="preserve">, „vor, vor dem Angesicht", mit </w:t>
      </w:r>
      <w:r>
        <w:rPr>
          <w:rStyle w:val="Fett"/>
          <w:rFonts w:eastAsiaTheme="majorEastAsia"/>
          <w:rtl/>
        </w:rPr>
        <w:t>יְהוָה אֱלֹהֵיכֶם</w:t>
      </w:r>
      <w:r>
        <w:t>) als lokale Bestimmung. Diese Aufforderung wiederholt V. 7 und betont erneut die Freude als zentrales Element des Gottesdienstes.</w:t>
      </w:r>
    </w:p>
    <w:p w14:paraId="6E9658F5" w14:textId="77777777" w:rsidR="00724090" w:rsidRDefault="00724090" w:rsidP="00724090">
      <w:pPr>
        <w:pStyle w:val="whitespace-normal"/>
      </w:pPr>
      <w:r>
        <w:rPr>
          <w:rStyle w:val="Fett"/>
          <w:rFonts w:eastAsiaTheme="majorEastAsia"/>
          <w:rtl/>
        </w:rPr>
        <w:t>אַתֶּם וּבְנֵיכֶם וּבְנֹתֵיכֶם וְעַבְדֵיכֶם וְאַמְהֹתֵיכֶם וְהַלֵּוִי אֲשֶׁר בְּשַׁעֲרֵיכֶם</w:t>
      </w:r>
      <w:r>
        <w:rPr>
          <w:rtl/>
        </w:rPr>
        <w:t xml:space="preserve"> </w:t>
      </w:r>
      <w:r>
        <w:t xml:space="preserve">ist eine sechsgliedrige Aufzählung der Teilnehmenden: </w:t>
      </w:r>
      <w:r>
        <w:rPr>
          <w:rStyle w:val="Fett"/>
          <w:rFonts w:eastAsiaTheme="majorEastAsia"/>
          <w:rtl/>
        </w:rPr>
        <w:t>אַתֶּם</w:t>
      </w:r>
      <w:r>
        <w:rPr>
          <w:rtl/>
        </w:rPr>
        <w:t xml:space="preserve"> </w:t>
      </w:r>
      <w:r>
        <w:t xml:space="preserve">(Personalpronomen 2. Person Maskulinum Plural, „ihr"), koordiniert durch </w:t>
      </w:r>
      <w:r>
        <w:rPr>
          <w:rStyle w:val="Fett"/>
          <w:rFonts w:eastAsiaTheme="majorEastAsia"/>
          <w:rtl/>
        </w:rPr>
        <w:t>וּ</w:t>
      </w:r>
      <w:r>
        <w:rPr>
          <w:rtl/>
        </w:rPr>
        <w:t xml:space="preserve"> </w:t>
      </w:r>
      <w:r>
        <w:t xml:space="preserve">mit </w:t>
      </w:r>
      <w:r>
        <w:rPr>
          <w:rStyle w:val="Fett"/>
          <w:rFonts w:eastAsiaTheme="majorEastAsia"/>
          <w:rtl/>
        </w:rPr>
        <w:t>בְּנֵיכֶם</w:t>
      </w:r>
      <w:r>
        <w:rPr>
          <w:rtl/>
        </w:rPr>
        <w:t xml:space="preserve"> </w:t>
      </w:r>
      <w:r>
        <w:t>(</w:t>
      </w:r>
      <w:r>
        <w:rPr>
          <w:rStyle w:val="Fett"/>
          <w:rFonts w:eastAsiaTheme="majorEastAsia"/>
          <w:rtl/>
        </w:rPr>
        <w:t>בֵּן</w:t>
      </w:r>
      <w:r>
        <w:t xml:space="preserve">, „Sohn", Plural mit Suffix 2. Person Maskulinum Plural), </w:t>
      </w:r>
      <w:r>
        <w:rPr>
          <w:rStyle w:val="Fett"/>
          <w:rFonts w:eastAsiaTheme="majorEastAsia"/>
          <w:rtl/>
        </w:rPr>
        <w:t>וּבְנֹתֵיכֶם</w:t>
      </w:r>
      <w:r>
        <w:rPr>
          <w:rtl/>
        </w:rPr>
        <w:t xml:space="preserve"> </w:t>
      </w:r>
      <w:r>
        <w:t>(</w:t>
      </w:r>
      <w:r>
        <w:rPr>
          <w:rStyle w:val="Fett"/>
          <w:rFonts w:eastAsiaTheme="majorEastAsia"/>
          <w:rtl/>
        </w:rPr>
        <w:t>בַּת</w:t>
      </w:r>
      <w:r>
        <w:t xml:space="preserve">, „Tochter", Plural mit Suffix 2. Person Maskulinum Plural), </w:t>
      </w:r>
      <w:r>
        <w:rPr>
          <w:rStyle w:val="Fett"/>
          <w:rFonts w:eastAsiaTheme="majorEastAsia"/>
          <w:rtl/>
        </w:rPr>
        <w:t>וְעַבְדֵיכֶם</w:t>
      </w:r>
      <w:r>
        <w:rPr>
          <w:rtl/>
        </w:rPr>
        <w:t xml:space="preserve"> </w:t>
      </w:r>
      <w:r>
        <w:t>(</w:t>
      </w:r>
      <w:r>
        <w:rPr>
          <w:rStyle w:val="Fett"/>
          <w:rFonts w:eastAsiaTheme="majorEastAsia"/>
          <w:rtl/>
        </w:rPr>
        <w:t>עֶבֶד</w:t>
      </w:r>
      <w:r>
        <w:t xml:space="preserve">, „Knecht, Sklave", Plural mit Suffix 2. Person Maskulinum Plural), </w:t>
      </w:r>
      <w:r>
        <w:rPr>
          <w:rStyle w:val="Fett"/>
          <w:rFonts w:eastAsiaTheme="majorEastAsia"/>
          <w:rtl/>
        </w:rPr>
        <w:t>וְאַמְהֹתֵיכֶם</w:t>
      </w:r>
      <w:r>
        <w:rPr>
          <w:rtl/>
        </w:rPr>
        <w:t xml:space="preserve"> </w:t>
      </w:r>
      <w:r>
        <w:t>(</w:t>
      </w:r>
      <w:r>
        <w:rPr>
          <w:rStyle w:val="Fett"/>
          <w:rFonts w:eastAsiaTheme="majorEastAsia"/>
          <w:rtl/>
        </w:rPr>
        <w:t>אָמָה</w:t>
      </w:r>
      <w:r>
        <w:t xml:space="preserve">, „Magd, Sklavin", Plural mit Suffix 2. Person Maskulinum Plural) und </w:t>
      </w:r>
      <w:r>
        <w:rPr>
          <w:rStyle w:val="Fett"/>
          <w:rFonts w:eastAsiaTheme="majorEastAsia"/>
          <w:rtl/>
        </w:rPr>
        <w:t>וְהַלֵּוִי אֲשֶׁר בְּשַׁעֲרֵיכֶם</w:t>
      </w:r>
      <w:r>
        <w:rPr>
          <w:rtl/>
        </w:rPr>
        <w:t xml:space="preserve"> </w:t>
      </w:r>
      <w:r>
        <w:t>(</w:t>
      </w:r>
      <w:r>
        <w:rPr>
          <w:rStyle w:val="Fett"/>
          <w:rFonts w:eastAsiaTheme="majorEastAsia"/>
          <w:rtl/>
        </w:rPr>
        <w:t>לֵוִי</w:t>
      </w:r>
      <w:r>
        <w:t xml:space="preserve">, „Levit", mit Artikel, Relativsatz: </w:t>
      </w:r>
      <w:r>
        <w:rPr>
          <w:rStyle w:val="Fett"/>
          <w:rFonts w:eastAsiaTheme="majorEastAsia"/>
          <w:rtl/>
        </w:rPr>
        <w:t>אֲשֶׁר</w:t>
      </w:r>
      <w:r>
        <w:rPr>
          <w:rtl/>
        </w:rPr>
        <w:t xml:space="preserve"> </w:t>
      </w:r>
      <w:r>
        <w:t xml:space="preserve">mit </w:t>
      </w:r>
      <w:r>
        <w:rPr>
          <w:rStyle w:val="Fett"/>
          <w:rFonts w:eastAsiaTheme="majorEastAsia"/>
          <w:rtl/>
        </w:rPr>
        <w:t>בְּשַׁעֲרֵיכֶם</w:t>
      </w:r>
      <w:r>
        <w:t xml:space="preserve">, Präposition </w:t>
      </w:r>
      <w:r>
        <w:rPr>
          <w:rStyle w:val="Fett"/>
          <w:rFonts w:eastAsiaTheme="majorEastAsia"/>
          <w:rtl/>
        </w:rPr>
        <w:t>בְּ</w:t>
      </w:r>
      <w:r>
        <w:rPr>
          <w:rtl/>
        </w:rPr>
        <w:t xml:space="preserve"> </w:t>
      </w:r>
      <w:r>
        <w:t xml:space="preserve">mit </w:t>
      </w:r>
      <w:r>
        <w:rPr>
          <w:rStyle w:val="Fett"/>
          <w:rFonts w:eastAsiaTheme="majorEastAsia"/>
          <w:rtl/>
        </w:rPr>
        <w:t>שַׁעַר</w:t>
      </w:r>
      <w:r>
        <w:t>, „Tor", Plural mit Suffix 2. Person Maskulinum Plural). Die Aufzählung ist umfassender als in V. 7 (</w:t>
      </w:r>
      <w:r>
        <w:rPr>
          <w:rStyle w:val="Fett"/>
          <w:rFonts w:eastAsiaTheme="majorEastAsia"/>
          <w:rtl/>
        </w:rPr>
        <w:t>אַתֶּם וּבָתֵּיכֶם</w:t>
      </w:r>
      <w:r>
        <w:t>) und spezifiziert die einzelnen Familienmitglieder einschließlich der Sklaven.</w:t>
      </w:r>
    </w:p>
    <w:p w14:paraId="18DFB0A2" w14:textId="77777777" w:rsidR="00724090" w:rsidRDefault="00724090" w:rsidP="00724090">
      <w:pPr>
        <w:pStyle w:val="whitespace-normal"/>
      </w:pPr>
      <w:r>
        <w:rPr>
          <w:rStyle w:val="Fett"/>
          <w:rFonts w:eastAsiaTheme="majorEastAsia"/>
          <w:rtl/>
        </w:rPr>
        <w:t>כִּי אֵין לוֹ חֵלֶק וְנַחֲלָה אִתְּכֶם</w:t>
      </w:r>
      <w:r>
        <w:rPr>
          <w:rtl/>
        </w:rPr>
        <w:t xml:space="preserve"> </w:t>
      </w:r>
      <w:r>
        <w:t xml:space="preserve">ist ein kausaler Satz: </w:t>
      </w:r>
      <w:r>
        <w:rPr>
          <w:rStyle w:val="Fett"/>
          <w:rFonts w:eastAsiaTheme="majorEastAsia"/>
          <w:rtl/>
        </w:rPr>
        <w:t>כִּי</w:t>
      </w:r>
      <w:r>
        <w:rPr>
          <w:rtl/>
        </w:rPr>
        <w:t xml:space="preserve"> </w:t>
      </w:r>
      <w:r>
        <w:t xml:space="preserve">(„denn, weil") als kausale Konjunktion, </w:t>
      </w:r>
      <w:r>
        <w:rPr>
          <w:rStyle w:val="Fett"/>
          <w:rFonts w:eastAsiaTheme="majorEastAsia"/>
          <w:rtl/>
        </w:rPr>
        <w:t>אֵין</w:t>
      </w:r>
      <w:r>
        <w:rPr>
          <w:rtl/>
        </w:rPr>
        <w:t xml:space="preserve"> </w:t>
      </w:r>
      <w:r>
        <w:t xml:space="preserve">(Negationspartikel, „es gibt nicht, nicht vorhanden"), </w:t>
      </w:r>
      <w:r>
        <w:rPr>
          <w:rStyle w:val="Fett"/>
          <w:rFonts w:eastAsiaTheme="majorEastAsia"/>
          <w:rtl/>
        </w:rPr>
        <w:t>לוֹ</w:t>
      </w:r>
      <w:r>
        <w:rPr>
          <w:rtl/>
        </w:rPr>
        <w:t xml:space="preserve"> </w:t>
      </w:r>
      <w:r>
        <w:t xml:space="preserve">(Präposition </w:t>
      </w:r>
      <w:r>
        <w:rPr>
          <w:rStyle w:val="Fett"/>
          <w:rFonts w:eastAsiaTheme="majorEastAsia"/>
          <w:rtl/>
        </w:rPr>
        <w:t>לְ</w:t>
      </w:r>
      <w:r>
        <w:rPr>
          <w:rtl/>
        </w:rPr>
        <w:t xml:space="preserve"> </w:t>
      </w:r>
      <w:r>
        <w:t xml:space="preserve">mit Suffix 3. Person Maskulinum Singular, „für ihn") als Dativ, </w:t>
      </w:r>
      <w:r>
        <w:rPr>
          <w:rStyle w:val="Fett"/>
          <w:rFonts w:eastAsiaTheme="majorEastAsia"/>
          <w:rtl/>
        </w:rPr>
        <w:t>חֵלֶק וְנַחֲלָה</w:t>
      </w:r>
      <w:r>
        <w:rPr>
          <w:rtl/>
        </w:rPr>
        <w:t xml:space="preserve"> </w:t>
      </w:r>
      <w:r>
        <w:t>(</w:t>
      </w:r>
      <w:r>
        <w:rPr>
          <w:rStyle w:val="Fett"/>
          <w:rFonts w:eastAsiaTheme="majorEastAsia"/>
          <w:rtl/>
        </w:rPr>
        <w:t>חֵלֶק</w:t>
      </w:r>
      <w:r>
        <w:t xml:space="preserve">, „Teil, Anteil", koordiniert durch </w:t>
      </w:r>
      <w:r>
        <w:rPr>
          <w:rStyle w:val="Fett"/>
          <w:rFonts w:eastAsiaTheme="majorEastAsia"/>
          <w:rtl/>
        </w:rPr>
        <w:t>וְ</w:t>
      </w:r>
      <w:r>
        <w:rPr>
          <w:rtl/>
        </w:rPr>
        <w:t xml:space="preserve"> </w:t>
      </w:r>
      <w:r>
        <w:t xml:space="preserve">mit </w:t>
      </w:r>
      <w:r>
        <w:rPr>
          <w:rStyle w:val="Fett"/>
          <w:rFonts w:eastAsiaTheme="majorEastAsia"/>
          <w:rtl/>
        </w:rPr>
        <w:t>נַחֲלָה</w:t>
      </w:r>
      <w:r>
        <w:t xml:space="preserve">, „Erbteil") als Subjekt und </w:t>
      </w:r>
      <w:r>
        <w:rPr>
          <w:rStyle w:val="Fett"/>
          <w:rFonts w:eastAsiaTheme="majorEastAsia"/>
          <w:rtl/>
        </w:rPr>
        <w:t>אִתְּכֶם</w:t>
      </w:r>
      <w:r>
        <w:rPr>
          <w:rtl/>
        </w:rPr>
        <w:t xml:space="preserve"> </w:t>
      </w:r>
      <w:r>
        <w:t xml:space="preserve">(Präposition </w:t>
      </w:r>
      <w:r>
        <w:rPr>
          <w:rStyle w:val="Fett"/>
          <w:rFonts w:eastAsiaTheme="majorEastAsia"/>
          <w:rtl/>
        </w:rPr>
        <w:t>אֵת</w:t>
      </w:r>
      <w:r>
        <w:t xml:space="preserve">, „mit", mit Suffix 2. Person Maskulinum Plural) als Begleitung. Die Doppelung </w:t>
      </w:r>
      <w:r>
        <w:rPr>
          <w:rStyle w:val="Fett"/>
          <w:rFonts w:eastAsiaTheme="majorEastAsia"/>
          <w:rtl/>
        </w:rPr>
        <w:t>חֵלֶק וְנַחֲלָה</w:t>
      </w:r>
      <w:r>
        <w:rPr>
          <w:rtl/>
        </w:rPr>
        <w:t xml:space="preserve"> </w:t>
      </w:r>
      <w:r>
        <w:t>betont die vollständige Landlosigkeit der Leviten.</w:t>
      </w:r>
    </w:p>
    <w:p w14:paraId="5887FF02" w14:textId="77777777" w:rsidR="00724090" w:rsidRDefault="00724090" w:rsidP="00724090">
      <w:pPr>
        <w:pStyle w:val="whitespace-normal"/>
      </w:pPr>
      <w:r>
        <w:t xml:space="preserve">Die besondere Erwähnung der Leviten und die Begründung ihrer Teilnahme ist charakteristisch für das Deuteronomium. Die Leviten haben kein Stammesland erhalten (vgl. 10,9; 14,27.29; 18,1-2; Jos 13,14.33; 14,3-4; 18,7) und sind daher auf die Unterstützung der anderen Stämme angewiesen. Die Wendung </w:t>
      </w:r>
      <w:r>
        <w:rPr>
          <w:rStyle w:val="Fett"/>
          <w:rFonts w:eastAsiaTheme="majorEastAsia"/>
          <w:rtl/>
        </w:rPr>
        <w:t>בְּשַׁעֲרֵיכֶם</w:t>
      </w:r>
      <w:r>
        <w:rPr>
          <w:rtl/>
        </w:rPr>
        <w:t xml:space="preserve"> </w:t>
      </w:r>
      <w:r>
        <w:t>(„in euren Toren") bezeichnet die Leviten, die in den Städten Israels wohnen. Die Einbeziehung aller Familienmitglieder und der Sklaven unterstreicht den inklusiven und gemeinschaftlichen Charakter der Freude vor JHWH.</w:t>
      </w:r>
    </w:p>
    <w:p w14:paraId="744EC67E" w14:textId="77777777" w:rsidR="00724090" w:rsidRDefault="00724090" w:rsidP="00724090">
      <w:pPr>
        <w:pStyle w:val="whitespace-normal"/>
      </w:pPr>
      <w:r>
        <w:rPr>
          <w:rStyle w:val="Fett"/>
          <w:rFonts w:eastAsiaTheme="majorEastAsia"/>
        </w:rPr>
        <w:t>Die LXX</w:t>
      </w:r>
      <w:r>
        <w:t xml:space="preserve"> übersetzt „sollt euch freuen" mit „</w:t>
      </w:r>
      <w:proofErr w:type="spellStart"/>
      <w:r>
        <w:t>εὐφρ</w:t>
      </w:r>
      <w:proofErr w:type="spellEnd"/>
      <w:r>
        <w:t>ανθήσεσθε", die Aufzählung parallel zum Hebräischen und „denn er hat kein Teil noch Erbe mit euch" mit „</w:t>
      </w:r>
      <w:proofErr w:type="spellStart"/>
      <w:r>
        <w:t>ὅτι</w:t>
      </w:r>
      <w:proofErr w:type="spellEnd"/>
      <w:r>
        <w:t xml:space="preserve"> </w:t>
      </w:r>
      <w:proofErr w:type="spellStart"/>
      <w:r>
        <w:t>οὐκ</w:t>
      </w:r>
      <w:proofErr w:type="spellEnd"/>
      <w:r>
        <w:t xml:space="preserve"> </w:t>
      </w:r>
      <w:proofErr w:type="spellStart"/>
      <w:r>
        <w:t>ἔστιν</w:t>
      </w:r>
      <w:proofErr w:type="spellEnd"/>
      <w:r>
        <w:t xml:space="preserve"> α</w:t>
      </w:r>
      <w:proofErr w:type="spellStart"/>
      <w:r>
        <w:t>ὐτῷ</w:t>
      </w:r>
      <w:proofErr w:type="spellEnd"/>
      <w:r>
        <w:t xml:space="preserve"> </w:t>
      </w:r>
      <w:proofErr w:type="spellStart"/>
      <w:r>
        <w:t>μερὶς</w:t>
      </w:r>
      <w:proofErr w:type="spellEnd"/>
      <w:r>
        <w:t xml:space="preserve"> </w:t>
      </w:r>
      <w:proofErr w:type="spellStart"/>
      <w:r>
        <w:t>οὐδὲ</w:t>
      </w:r>
      <w:proofErr w:type="spellEnd"/>
      <w:r>
        <w:t xml:space="preserve"> </w:t>
      </w:r>
      <w:proofErr w:type="spellStart"/>
      <w:r>
        <w:t>κλῆρος</w:t>
      </w:r>
      <w:proofErr w:type="spellEnd"/>
      <w:r>
        <w:t xml:space="preserve"> </w:t>
      </w:r>
      <w:proofErr w:type="spellStart"/>
      <w:r>
        <w:t>μεθ</w:t>
      </w:r>
      <w:proofErr w:type="spellEnd"/>
      <w:r>
        <w:t xml:space="preserve">᾽ </w:t>
      </w:r>
      <w:proofErr w:type="spellStart"/>
      <w:r>
        <w:t>ὑμῶν</w:t>
      </w:r>
      <w:proofErr w:type="spellEnd"/>
      <w:r>
        <w:t>".</w:t>
      </w:r>
    </w:p>
    <w:p w14:paraId="0D21B6A7" w14:textId="77777777" w:rsidR="00724090" w:rsidRDefault="00724090" w:rsidP="00724090">
      <w:pPr>
        <w:pStyle w:val="whitespace-normal"/>
      </w:pPr>
      <w:r>
        <w:rPr>
          <w:rStyle w:val="Fett"/>
          <w:rFonts w:eastAsiaTheme="majorEastAsia"/>
        </w:rPr>
        <w:lastRenderedPageBreak/>
        <w:t>Die Satzstruktur</w:t>
      </w:r>
      <w:r>
        <w:t xml:space="preserve"> besteht aus einem Imperativsatz mit lokaler Bestimmung, sechsgliedriger Aufzählung und kausalem Begründungssatz: Prädikat (sollt euch freuen), lokale Bestimmung (vor JHWH, eurem Gott), sechsgliedrige Aufzählung (ihr, eure Söhne, eure Töchter, eure Knechte, eure Mägde, der Levit, der in euren Toren ist), kausaler Begründungssatz mit Negation (denn er hat nicht Teil und Erbteil mit euch).</w:t>
      </w:r>
    </w:p>
    <w:p w14:paraId="6168E747" w14:textId="77777777" w:rsidR="00724090" w:rsidRDefault="00724090" w:rsidP="00724090">
      <w:pPr>
        <w:pStyle w:val="whitespace-normal"/>
      </w:pPr>
      <w:r>
        <w:t>Der Vers betont die inklusive Gemeinschaft der Freude am zentralen Heiligtum: Die ganze Familie, einschließlich der Sklaven und besonders der landlosen Leviten, soll gemeinsam vor JHWH fröhlich sein.</w:t>
      </w:r>
    </w:p>
    <w:p w14:paraId="107D7AFE"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12,13</w:t>
      </w:r>
    </w:p>
    <w:p w14:paraId="38E420D7" w14:textId="77777777" w:rsidR="00724090" w:rsidRDefault="00724090" w:rsidP="00724090">
      <w:pPr>
        <w:pStyle w:val="whitespace-normal"/>
      </w:pPr>
      <w:r>
        <w:rPr>
          <w:rStyle w:val="Fett"/>
          <w:rFonts w:eastAsiaTheme="majorEastAsia"/>
        </w:rPr>
        <w:t>Hebräisch:</w:t>
      </w:r>
      <w:r>
        <w:t xml:space="preserve"> </w:t>
      </w:r>
      <w:r>
        <w:rPr>
          <w:rtl/>
        </w:rPr>
        <w:t>הִשָּׁ֣מֶר לְךָ֔ פֶּֽן־תַּעֲלֶ֖ה עֹלֹתֶ֑יךָ בְּכָל־מָק֖וֹם אֲשֶׁ֥ר תִּרְאֶֽה׃</w:t>
      </w:r>
    </w:p>
    <w:p w14:paraId="22CCA549" w14:textId="1DD39F18" w:rsidR="00724090" w:rsidRDefault="00724090" w:rsidP="00724090">
      <w:pPr>
        <w:pStyle w:val="whitespace-normal"/>
      </w:pPr>
      <w:r>
        <w:rPr>
          <w:rStyle w:val="Fett"/>
          <w:rFonts w:eastAsiaTheme="majorEastAsia"/>
        </w:rPr>
        <w:t>Deutsch:</w:t>
      </w:r>
      <w:r>
        <w:t xml:space="preserve"> Hüte dich, dass du deine Aufsteigeopfer nicht an jedem Ort aufsteigen lässt, den du siehst!</w:t>
      </w:r>
    </w:p>
    <w:p w14:paraId="5A8B1D94" w14:textId="1C58D024" w:rsidR="009C316F" w:rsidRDefault="004F5CEB" w:rsidP="00724090">
      <w:pPr>
        <w:pStyle w:val="whitespace-normal"/>
      </w:pPr>
      <w:r>
        <w:rPr>
          <w:noProof/>
        </w:rPr>
        <w:pict w14:anchorId="25FAAA02">
          <v:rect id="_x0000_i1385" style="width:0;height:1.5pt" o:hralign="center" o:hrstd="t" o:hr="t" fillcolor="#a0a0a0" stroked="f"/>
        </w:pict>
      </w:r>
    </w:p>
    <w:p w14:paraId="1FED9872"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הִשָּׁמֶר לְךָ</w:t>
      </w:r>
      <w:r>
        <w:rPr>
          <w:rtl/>
        </w:rPr>
        <w:t xml:space="preserve"> </w:t>
      </w:r>
      <w:r>
        <w:t xml:space="preserve">ist ein Imperativ mit ethischem Dativ: </w:t>
      </w:r>
      <w:r>
        <w:rPr>
          <w:rStyle w:val="Fett"/>
          <w:rFonts w:eastAsiaTheme="majorEastAsia"/>
          <w:rtl/>
        </w:rPr>
        <w:t>הִשָּׁמֶר</w:t>
      </w:r>
      <w:r>
        <w:rPr>
          <w:rtl/>
        </w:rPr>
        <w:t xml:space="preserve"> </w:t>
      </w:r>
      <w:r>
        <w:t xml:space="preserve">(Niphal Imperativ, 2. Person Maskulinum Singular von </w:t>
      </w:r>
      <w:r>
        <w:rPr>
          <w:rStyle w:val="Fett"/>
          <w:rFonts w:eastAsiaTheme="majorEastAsia"/>
          <w:rtl/>
        </w:rPr>
        <w:t>שׁמר</w:t>
      </w:r>
      <w:r>
        <w:t xml:space="preserve">, „sich hüten, auf der Hut sein") und </w:t>
      </w:r>
      <w:r>
        <w:rPr>
          <w:rStyle w:val="Fett"/>
          <w:rFonts w:eastAsiaTheme="majorEastAsia"/>
          <w:rtl/>
        </w:rPr>
        <w:t>לְךָ</w:t>
      </w:r>
      <w:r>
        <w:rPr>
          <w:rtl/>
        </w:rPr>
        <w:t xml:space="preserve"> </w:t>
      </w:r>
      <w:r>
        <w:t xml:space="preserve">(Präposition </w:t>
      </w:r>
      <w:r>
        <w:rPr>
          <w:rStyle w:val="Fett"/>
          <w:rFonts w:eastAsiaTheme="majorEastAsia"/>
          <w:rtl/>
        </w:rPr>
        <w:t>לְ</w:t>
      </w:r>
      <w:r>
        <w:rPr>
          <w:rtl/>
        </w:rPr>
        <w:t xml:space="preserve"> </w:t>
      </w:r>
      <w:r>
        <w:t xml:space="preserve">mit Suffix 2. Person Maskulinum Singular als ethischer Dativ, „für dich, dir selbst"). Die Niphal-Form von </w:t>
      </w:r>
      <w:r>
        <w:rPr>
          <w:rStyle w:val="Fett"/>
          <w:rFonts w:eastAsiaTheme="majorEastAsia"/>
          <w:rtl/>
        </w:rPr>
        <w:t>שׁמר</w:t>
      </w:r>
      <w:r>
        <w:rPr>
          <w:rtl/>
        </w:rPr>
        <w:t xml:space="preserve"> </w:t>
      </w:r>
      <w:r>
        <w:t>hat reflexive Bedeutung.</w:t>
      </w:r>
    </w:p>
    <w:p w14:paraId="78FE065B" w14:textId="4B751496" w:rsidR="00724090" w:rsidRDefault="00724090" w:rsidP="00724090">
      <w:pPr>
        <w:pStyle w:val="whitespace-normal"/>
      </w:pPr>
      <w:r>
        <w:rPr>
          <w:rStyle w:val="Fett"/>
          <w:rFonts w:eastAsiaTheme="majorEastAsia"/>
          <w:rtl/>
        </w:rPr>
        <w:t>פֶּן־תַּעֲלֶה עֹלֹתֶיךָ בְּכָל־מָקוֹם אֲשֶׁר תִּרְאֶה</w:t>
      </w:r>
      <w:r>
        <w:rPr>
          <w:rtl/>
        </w:rPr>
        <w:t xml:space="preserve"> </w:t>
      </w:r>
      <w:r>
        <w:t xml:space="preserve">ist ein negativer Finalsatz: </w:t>
      </w:r>
      <w:r>
        <w:rPr>
          <w:rStyle w:val="Fett"/>
          <w:rFonts w:eastAsiaTheme="majorEastAsia"/>
          <w:rtl/>
        </w:rPr>
        <w:t>פֶּן</w:t>
      </w:r>
      <w:r>
        <w:rPr>
          <w:rtl/>
        </w:rPr>
        <w:t xml:space="preserve"> </w:t>
      </w:r>
      <w:r>
        <w:t xml:space="preserve">(„damit nicht, dass nicht") als negative finale Konjunktion, </w:t>
      </w:r>
      <w:r>
        <w:rPr>
          <w:rStyle w:val="Fett"/>
          <w:rFonts w:eastAsiaTheme="majorEastAsia"/>
          <w:rtl/>
        </w:rPr>
        <w:t>תַּעֲלֶה</w:t>
      </w:r>
      <w:r>
        <w:rPr>
          <w:rtl/>
        </w:rPr>
        <w:t xml:space="preserve"> </w:t>
      </w:r>
      <w:r>
        <w:t xml:space="preserve">(Hiphil Imperfekt, 2. Person Maskulinum Singular von </w:t>
      </w:r>
      <w:r>
        <w:rPr>
          <w:rStyle w:val="Fett"/>
          <w:rFonts w:eastAsiaTheme="majorEastAsia"/>
          <w:rtl/>
        </w:rPr>
        <w:t>עלה</w:t>
      </w:r>
      <w:r>
        <w:t xml:space="preserve">, „hinaufsteigen", in der Hiphil-Form „hinaufsteigen lassen, darbringen"), </w:t>
      </w:r>
      <w:r>
        <w:rPr>
          <w:rStyle w:val="Fett"/>
          <w:rFonts w:eastAsiaTheme="majorEastAsia"/>
          <w:rtl/>
        </w:rPr>
        <w:t>עֹלֹתֶיךָ</w:t>
      </w:r>
      <w:r>
        <w:rPr>
          <w:rtl/>
        </w:rPr>
        <w:t xml:space="preserve"> </w:t>
      </w:r>
      <w:r>
        <w:t>(</w:t>
      </w:r>
      <w:r>
        <w:rPr>
          <w:rStyle w:val="Fett"/>
          <w:rFonts w:eastAsiaTheme="majorEastAsia"/>
          <w:rtl/>
        </w:rPr>
        <w:t>עֹלָה</w:t>
      </w:r>
      <w:r>
        <w:t xml:space="preserve">, „Aufsteigeopfer", Plural mit Suffix 2. Person Maskulinum Singular) als direktes Objekt, </w:t>
      </w:r>
      <w:r>
        <w:rPr>
          <w:rStyle w:val="Fett"/>
          <w:rFonts w:eastAsiaTheme="majorEastAsia"/>
          <w:rtl/>
        </w:rPr>
        <w:t>בְּכָל־מָקוֹם</w:t>
      </w:r>
      <w:r>
        <w:rPr>
          <w:rtl/>
        </w:rPr>
        <w:t xml:space="preserve"> </w:t>
      </w:r>
      <w:r>
        <w:t xml:space="preserve">(Präposition </w:t>
      </w:r>
      <w:r>
        <w:rPr>
          <w:rStyle w:val="Fett"/>
          <w:rFonts w:eastAsiaTheme="majorEastAsia"/>
          <w:rtl/>
        </w:rPr>
        <w:t>בְּ</w:t>
      </w:r>
      <w:r>
        <w:t xml:space="preserve">, „an, in", mit </w:t>
      </w:r>
      <w:r>
        <w:rPr>
          <w:rStyle w:val="Fett"/>
          <w:rFonts w:eastAsiaTheme="majorEastAsia"/>
          <w:rtl/>
        </w:rPr>
        <w:t>כָּל־מָקוֹם</w:t>
      </w:r>
      <w:r>
        <w:t xml:space="preserve">, „jeder Ort") als lokale Bestimmung und </w:t>
      </w:r>
      <w:r>
        <w:rPr>
          <w:rStyle w:val="Fett"/>
          <w:rFonts w:eastAsiaTheme="majorEastAsia"/>
          <w:rtl/>
        </w:rPr>
        <w:t>אֲשֶׁר תִּרְאֶה</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תִּרְאֶה</w:t>
      </w:r>
      <w:r>
        <w:t xml:space="preserve">, Qal Imperfekt, 2. Person Maskulinum Singular von </w:t>
      </w:r>
      <w:r>
        <w:rPr>
          <w:rStyle w:val="Fett"/>
          <w:rFonts w:eastAsiaTheme="majorEastAsia"/>
          <w:rtl/>
        </w:rPr>
        <w:t>ראה</w:t>
      </w:r>
      <w:r>
        <w:t xml:space="preserve">, „sehen"). Das Verb </w:t>
      </w:r>
      <w:r>
        <w:rPr>
          <w:rStyle w:val="Fett"/>
          <w:rFonts w:eastAsiaTheme="majorEastAsia"/>
          <w:rtl/>
        </w:rPr>
        <w:t>העלה</w:t>
      </w:r>
      <w:r>
        <w:rPr>
          <w:rtl/>
        </w:rPr>
        <w:t xml:space="preserve"> </w:t>
      </w:r>
      <w:r>
        <w:t xml:space="preserve">(Hiphil von </w:t>
      </w:r>
      <w:r>
        <w:rPr>
          <w:rStyle w:val="Fett"/>
          <w:rFonts w:eastAsiaTheme="majorEastAsia"/>
          <w:rtl/>
        </w:rPr>
        <w:t>עלה</w:t>
      </w:r>
      <w:r>
        <w:t xml:space="preserve">) ist das technische Wort für das Darbringen von Opfern. Die Wendung </w:t>
      </w:r>
      <w:r>
        <w:rPr>
          <w:rStyle w:val="Fett"/>
          <w:rFonts w:eastAsiaTheme="majorEastAsia"/>
          <w:rtl/>
        </w:rPr>
        <w:t>בְּכָל־מָקוֹם אֲשֶׁר תִּרְאֶה</w:t>
      </w:r>
      <w:r>
        <w:rPr>
          <w:rtl/>
        </w:rPr>
        <w:t xml:space="preserve"> </w:t>
      </w:r>
      <w:r>
        <w:t>(„an jedem Ort, den du siehst") impliziert willkürliche, selbst gewählte Kultstätten.</w:t>
      </w:r>
    </w:p>
    <w:p w14:paraId="4446D30F" w14:textId="77777777" w:rsidR="00724090" w:rsidRDefault="00724090" w:rsidP="00724090">
      <w:pPr>
        <w:pStyle w:val="whitespace-normal"/>
      </w:pPr>
      <w:r>
        <w:t xml:space="preserve">Die Syntax warnt eindringlich vor dezentralisiertem Opferkult. Die Formulierung </w:t>
      </w:r>
      <w:r>
        <w:rPr>
          <w:rStyle w:val="Fett"/>
          <w:rFonts w:eastAsiaTheme="majorEastAsia"/>
          <w:rtl/>
        </w:rPr>
        <w:t>כָּל־מָקוֹם אֲשֶׁר תִּרְאֶה</w:t>
      </w:r>
      <w:r>
        <w:rPr>
          <w:rtl/>
        </w:rPr>
        <w:t xml:space="preserve"> </w:t>
      </w:r>
      <w:r>
        <w:t xml:space="preserve">kontrastiert scharf mit </w:t>
      </w:r>
      <w:r>
        <w:rPr>
          <w:rStyle w:val="Fett"/>
          <w:rFonts w:eastAsiaTheme="majorEastAsia"/>
          <w:rtl/>
        </w:rPr>
        <w:t>הַמָּקוֹם אֲשֶׁר־יִבְחַר יְהוָה</w:t>
      </w:r>
      <w:r>
        <w:rPr>
          <w:rtl/>
        </w:rPr>
        <w:t xml:space="preserve"> </w:t>
      </w:r>
      <w:r>
        <w:t>(V. 5.11): nicht jeder beliebige, sichtbare Ort, sondern der von JHWH erwählte Ort. Die Warnung richtet sich gegen die Versuchung, nach kanaanäischem Vorbild an landschaftlich markanten Orten (Bergen, Hügeln, unter Bäumen, vgl. V. 2) zu opfern.</w:t>
      </w:r>
    </w:p>
    <w:p w14:paraId="6C1BC5FB" w14:textId="77777777" w:rsidR="00724090" w:rsidRDefault="00724090" w:rsidP="00724090">
      <w:pPr>
        <w:pStyle w:val="whitespace-normal"/>
      </w:pPr>
      <w:r>
        <w:rPr>
          <w:rStyle w:val="Fett"/>
          <w:rFonts w:eastAsiaTheme="majorEastAsia"/>
        </w:rPr>
        <w:t>Die LXX</w:t>
      </w:r>
      <w:r>
        <w:t xml:space="preserve"> übersetzt „hüte dich" mit „π</w:t>
      </w:r>
      <w:proofErr w:type="spellStart"/>
      <w:r>
        <w:t>ρόσεχε</w:t>
      </w:r>
      <w:proofErr w:type="spellEnd"/>
      <w:r>
        <w:t xml:space="preserve"> </w:t>
      </w:r>
      <w:proofErr w:type="spellStart"/>
      <w:r>
        <w:t>σε</w:t>
      </w:r>
      <w:proofErr w:type="spellEnd"/>
      <w:r>
        <w:t>αυτῷ", „damit nicht aufsteigen lässt" mit „</w:t>
      </w:r>
      <w:proofErr w:type="spellStart"/>
      <w:r>
        <w:t>μὴ</w:t>
      </w:r>
      <w:proofErr w:type="spellEnd"/>
      <w:r>
        <w:t xml:space="preserve"> </w:t>
      </w:r>
      <w:proofErr w:type="spellStart"/>
      <w:r>
        <w:t>ἀνενέγκῃς</w:t>
      </w:r>
      <w:proofErr w:type="spellEnd"/>
      <w:r>
        <w:t>" und „an jedem Ort, den du siehst" mit „</w:t>
      </w:r>
      <w:proofErr w:type="spellStart"/>
      <w:r>
        <w:t>ἐν</w:t>
      </w:r>
      <w:proofErr w:type="spellEnd"/>
      <w:r>
        <w:t xml:space="preserve"> πα</w:t>
      </w:r>
      <w:proofErr w:type="spellStart"/>
      <w:r>
        <w:t>ντὶ</w:t>
      </w:r>
      <w:proofErr w:type="spellEnd"/>
      <w:r>
        <w:t xml:space="preserve"> </w:t>
      </w:r>
      <w:proofErr w:type="spellStart"/>
      <w:r>
        <w:t>τό</w:t>
      </w:r>
      <w:proofErr w:type="spellEnd"/>
      <w:r>
        <w:t xml:space="preserve">πῳ </w:t>
      </w:r>
      <w:proofErr w:type="spellStart"/>
      <w:r>
        <w:t>οὗ</w:t>
      </w:r>
      <w:proofErr w:type="spellEnd"/>
      <w:r>
        <w:t xml:space="preserve"> </w:t>
      </w:r>
      <w:proofErr w:type="spellStart"/>
      <w:r>
        <w:t>ἐὰν</w:t>
      </w:r>
      <w:proofErr w:type="spellEnd"/>
      <w:r>
        <w:t xml:space="preserve"> </w:t>
      </w:r>
      <w:proofErr w:type="spellStart"/>
      <w:r>
        <w:t>ἴδῃς</w:t>
      </w:r>
      <w:proofErr w:type="spellEnd"/>
      <w:r>
        <w:t>".</w:t>
      </w:r>
    </w:p>
    <w:p w14:paraId="00871EBB" w14:textId="77777777" w:rsidR="00724090" w:rsidRDefault="00724090" w:rsidP="00724090">
      <w:pPr>
        <w:pStyle w:val="whitespace-normal"/>
      </w:pPr>
      <w:r>
        <w:rPr>
          <w:rStyle w:val="Fett"/>
          <w:rFonts w:eastAsiaTheme="majorEastAsia"/>
        </w:rPr>
        <w:t>Die Satzstruktur</w:t>
      </w:r>
      <w:r>
        <w:t xml:space="preserve"> besteht aus einem Imperativ mit ethischem Dativ und negativem Finalsatz: Imperativ (hüte dich), ethischer Dativ (dir), negative finale Konjunktion (damit nicht), Prädikat (aufsteigen lässt), direktes Objekt (deine Aufsteigeopfer), lokale Bestimmung (an jedem Ort), Relativsatz mit Prädikat (den du siehst).</w:t>
      </w:r>
    </w:p>
    <w:p w14:paraId="5AB298D0" w14:textId="77777777" w:rsidR="00724090" w:rsidRDefault="00724090" w:rsidP="00724090">
      <w:pPr>
        <w:pStyle w:val="whitespace-normal"/>
      </w:pPr>
      <w:r>
        <w:lastRenderedPageBreak/>
        <w:t>Der Vers warnt eindringlich vor willkürlicher Wahl von Opferstätten: Israel soll nicht an beliebigen, selbst gewählten Orten opfern, sondern nur am von JHWH bestimmten Ort.</w:t>
      </w:r>
    </w:p>
    <w:p w14:paraId="11D1F7BB"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12,14</w:t>
      </w:r>
    </w:p>
    <w:p w14:paraId="3F1980B3" w14:textId="77777777" w:rsidR="00724090" w:rsidRDefault="00724090" w:rsidP="00724090">
      <w:pPr>
        <w:pStyle w:val="whitespace-normal"/>
      </w:pPr>
      <w:r>
        <w:rPr>
          <w:rStyle w:val="Fett"/>
          <w:rFonts w:eastAsiaTheme="majorEastAsia"/>
        </w:rPr>
        <w:t>Hebräisch:</w:t>
      </w:r>
      <w:r>
        <w:t xml:space="preserve"> </w:t>
      </w:r>
      <w:r>
        <w:rPr>
          <w:rtl/>
        </w:rPr>
        <w:t>כִּ֣י אִם־בַּמָּק֞וֹם אֲשֶׁר־יִבְחַ֤ר יְהוָה֙ בְּאַחַ֣ד שְׁבָטֶ֔יךָ שָׁ֖ם תַּעֲלֶ֣ה עֹלֹתֶ֑יךָ וְשָׁ֣ם תַּעֲשֶׂ֔ה כֹּ֛ל אֲשֶׁ֥ר אָנֹכִ֖י מְצַוֶּֽךָּ׃</w:t>
      </w:r>
    </w:p>
    <w:p w14:paraId="506B1C9B" w14:textId="1635BE83" w:rsidR="00724090" w:rsidRDefault="00724090" w:rsidP="00724090">
      <w:pPr>
        <w:pStyle w:val="whitespace-normal"/>
      </w:pPr>
      <w:r>
        <w:rPr>
          <w:rStyle w:val="Fett"/>
          <w:rFonts w:eastAsiaTheme="majorEastAsia"/>
        </w:rPr>
        <w:t>Deutsch:</w:t>
      </w:r>
      <w:r>
        <w:t xml:space="preserve"> Sondern an dem Ort, den der Ewige in einem deiner Stämme erwählen wird, dort sollst du deine Aufsteigeopfer aufsteigen lassen und dort alles tun, was ich dir gebiete.</w:t>
      </w:r>
    </w:p>
    <w:p w14:paraId="26DA5B5E" w14:textId="0C4A41CA" w:rsidR="009C316F" w:rsidRDefault="004F5CEB" w:rsidP="00724090">
      <w:pPr>
        <w:pStyle w:val="whitespace-normal"/>
      </w:pPr>
      <w:r>
        <w:rPr>
          <w:noProof/>
        </w:rPr>
        <w:pict w14:anchorId="21EFEC55">
          <v:rect id="_x0000_i1386" style="width:0;height:1.5pt" o:hralign="center" o:hrstd="t" o:hr="t" fillcolor="#a0a0a0" stroked="f"/>
        </w:pict>
      </w:r>
    </w:p>
    <w:p w14:paraId="38354E63"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כִּי אִם־בַּמָּקוֹם אֲשֶׁר־יִבְחַר יְהוָה בְּאַחַד שְׁבָטֶיךָ</w:t>
      </w:r>
      <w:r>
        <w:rPr>
          <w:rtl/>
        </w:rPr>
        <w:t xml:space="preserve"> </w:t>
      </w:r>
      <w:r>
        <w:t xml:space="preserve">ist eine adversative Einleitung mit Relativsatz: </w:t>
      </w:r>
      <w:r>
        <w:rPr>
          <w:rStyle w:val="Fett"/>
          <w:rFonts w:eastAsiaTheme="majorEastAsia"/>
          <w:rtl/>
        </w:rPr>
        <w:t>כִּי אִם</w:t>
      </w:r>
      <w:r>
        <w:rPr>
          <w:rtl/>
        </w:rPr>
        <w:t xml:space="preserve"> </w:t>
      </w:r>
      <w:r>
        <w:t xml:space="preserve">(„sondern, vielmehr") als adversative Partikel nach der Negation in V. 13, </w:t>
      </w:r>
      <w:r>
        <w:rPr>
          <w:rStyle w:val="Fett"/>
          <w:rFonts w:eastAsiaTheme="majorEastAsia"/>
          <w:rtl/>
        </w:rPr>
        <w:t>בַּמָּקוֹם</w:t>
      </w:r>
      <w:r>
        <w:rPr>
          <w:rtl/>
        </w:rPr>
        <w:t xml:space="preserve"> </w:t>
      </w:r>
      <w:r>
        <w:t xml:space="preserve">(Präposition </w:t>
      </w:r>
      <w:r>
        <w:rPr>
          <w:rStyle w:val="Fett"/>
          <w:rFonts w:eastAsiaTheme="majorEastAsia"/>
          <w:rtl/>
        </w:rPr>
        <w:t>בְּ</w:t>
      </w:r>
      <w:r>
        <w:t xml:space="preserve">, „an, in", mit </w:t>
      </w:r>
      <w:r>
        <w:rPr>
          <w:rStyle w:val="Fett"/>
          <w:rFonts w:eastAsiaTheme="majorEastAsia"/>
          <w:rtl/>
        </w:rPr>
        <w:t>מָקוֹם</w:t>
      </w:r>
      <w:r>
        <w:t xml:space="preserve">, „Ort", mit Artikel), </w:t>
      </w:r>
      <w:r>
        <w:rPr>
          <w:rStyle w:val="Fett"/>
          <w:rFonts w:eastAsiaTheme="majorEastAsia"/>
          <w:rtl/>
        </w:rPr>
        <w:t>אֲשֶׁר־יִבְחַר</w:t>
      </w:r>
      <w:r>
        <w:rPr>
          <w:rtl/>
        </w:rPr>
        <w:t xml:space="preserve"> </w:t>
      </w:r>
      <w:r>
        <w:t xml:space="preserve">(Relativpronomen </w:t>
      </w:r>
      <w:r>
        <w:rPr>
          <w:rStyle w:val="Fett"/>
          <w:rFonts w:eastAsiaTheme="majorEastAsia"/>
          <w:rtl/>
        </w:rPr>
        <w:t>אֲשֶׁר</w:t>
      </w:r>
      <w:r>
        <w:rPr>
          <w:rtl/>
        </w:rPr>
        <w:t xml:space="preserve"> </w:t>
      </w:r>
      <w:r>
        <w:t xml:space="preserve">mit </w:t>
      </w:r>
      <w:r>
        <w:rPr>
          <w:rStyle w:val="Fett"/>
          <w:rFonts w:eastAsiaTheme="majorEastAsia"/>
          <w:rtl/>
        </w:rPr>
        <w:t>יִבְחַר</w:t>
      </w:r>
      <w:r>
        <w:t xml:space="preserve">, Qal Imperfekt, 3. Person Maskulinum Singular von </w:t>
      </w:r>
      <w:r>
        <w:rPr>
          <w:rStyle w:val="Fett"/>
          <w:rFonts w:eastAsiaTheme="majorEastAsia"/>
          <w:rtl/>
        </w:rPr>
        <w:t>בחר</w:t>
      </w:r>
      <w:r>
        <w:t xml:space="preserve">, „erwählen"), </w:t>
      </w:r>
      <w:r>
        <w:rPr>
          <w:rStyle w:val="Fett"/>
          <w:rFonts w:eastAsiaTheme="majorEastAsia"/>
          <w:rtl/>
        </w:rPr>
        <w:t>יְהוָה</w:t>
      </w:r>
      <w:r>
        <w:rPr>
          <w:rtl/>
        </w:rPr>
        <w:t xml:space="preserve"> </w:t>
      </w:r>
      <w:r>
        <w:t xml:space="preserve">(Tetragramm) als Subjekt und </w:t>
      </w:r>
      <w:r>
        <w:rPr>
          <w:rStyle w:val="Fett"/>
          <w:rFonts w:eastAsiaTheme="majorEastAsia"/>
          <w:rtl/>
        </w:rPr>
        <w:t>בְּאַחַד שְׁבָטֶיךָ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אֶחָד</w:t>
      </w:r>
      <w:r>
        <w:t xml:space="preserve">, „einer", im Construct mit </w:t>
      </w:r>
      <w:r>
        <w:rPr>
          <w:rStyle w:val="Fett"/>
          <w:rFonts w:eastAsiaTheme="majorEastAsia"/>
          <w:rtl/>
        </w:rPr>
        <w:t>שֵׁבֶט</w:t>
      </w:r>
      <w:r>
        <w:t xml:space="preserve">, „Stamm", Plural mit Suffix 2. Person Maskulinum Singular) als partitiver Bestimmung. Die Wendung </w:t>
      </w:r>
      <w:r>
        <w:rPr>
          <w:rStyle w:val="Fett"/>
          <w:rFonts w:eastAsiaTheme="majorEastAsia"/>
          <w:rtl/>
        </w:rPr>
        <w:t>בְּאַחַד שְׁבָטֶיךָ</w:t>
      </w:r>
      <w:r>
        <w:rPr>
          <w:rtl/>
        </w:rPr>
        <w:t xml:space="preserve"> </w:t>
      </w:r>
      <w:r>
        <w:t xml:space="preserve">(„in einem deiner Stämme") ist eine Variation zu </w:t>
      </w:r>
      <w:r>
        <w:rPr>
          <w:rStyle w:val="Fett"/>
          <w:rFonts w:eastAsiaTheme="majorEastAsia"/>
          <w:rtl/>
        </w:rPr>
        <w:t>מִכָּל־שִׁבְטֵיכֶם</w:t>
      </w:r>
      <w:r>
        <w:rPr>
          <w:rtl/>
        </w:rPr>
        <w:t xml:space="preserve"> </w:t>
      </w:r>
      <w:r>
        <w:t>aus V. 5 und betont, dass der erwählte Ort im Gebiet eines bestimmten Stammes liegen wird.</w:t>
      </w:r>
    </w:p>
    <w:p w14:paraId="700CEAE7" w14:textId="77777777" w:rsidR="00724090" w:rsidRDefault="00724090" w:rsidP="00724090">
      <w:pPr>
        <w:pStyle w:val="whitespace-normal"/>
      </w:pPr>
      <w:r>
        <w:rPr>
          <w:rStyle w:val="Fett"/>
          <w:rFonts w:eastAsiaTheme="majorEastAsia"/>
          <w:rtl/>
        </w:rPr>
        <w:t>שָׁם תַּעֲלֶה עֹלֹתֶיךָ</w:t>
      </w:r>
      <w:r>
        <w:rPr>
          <w:rtl/>
        </w:rPr>
        <w:t xml:space="preserve"> </w:t>
      </w:r>
      <w:r>
        <w:t xml:space="preserve">ist der erste Imperativsatz: </w:t>
      </w:r>
      <w:r>
        <w:rPr>
          <w:rStyle w:val="Fett"/>
          <w:rFonts w:eastAsiaTheme="majorEastAsia"/>
          <w:rtl/>
        </w:rPr>
        <w:t>שָׁם</w:t>
      </w:r>
      <w:r>
        <w:rPr>
          <w:rtl/>
        </w:rPr>
        <w:t xml:space="preserve"> </w:t>
      </w:r>
      <w:r>
        <w:t xml:space="preserve">(„dort") als vorangestelltes lokales Adverb, </w:t>
      </w:r>
      <w:r>
        <w:rPr>
          <w:rStyle w:val="Fett"/>
          <w:rFonts w:eastAsiaTheme="majorEastAsia"/>
          <w:rtl/>
        </w:rPr>
        <w:t>תַּעֲלֶה</w:t>
      </w:r>
      <w:r>
        <w:rPr>
          <w:rtl/>
        </w:rPr>
        <w:t xml:space="preserve"> </w:t>
      </w:r>
      <w:r>
        <w:t xml:space="preserve">(Hiphil Imperfekt, 2. Person Maskulinum Singular von </w:t>
      </w:r>
      <w:r>
        <w:rPr>
          <w:rStyle w:val="Fett"/>
          <w:rFonts w:eastAsiaTheme="majorEastAsia"/>
          <w:rtl/>
        </w:rPr>
        <w:t>עלה</w:t>
      </w:r>
      <w:r>
        <w:t xml:space="preserve">, „hinaufsteigen lassen, darbringen", imperativisch) und </w:t>
      </w:r>
      <w:r>
        <w:rPr>
          <w:rStyle w:val="Fett"/>
          <w:rFonts w:eastAsiaTheme="majorEastAsia"/>
          <w:rtl/>
        </w:rPr>
        <w:t>עֹלֹתֶיךָ</w:t>
      </w:r>
      <w:r>
        <w:rPr>
          <w:rtl/>
        </w:rPr>
        <w:t xml:space="preserve"> </w:t>
      </w:r>
      <w:r>
        <w:t>(</w:t>
      </w:r>
      <w:r>
        <w:rPr>
          <w:rStyle w:val="Fett"/>
          <w:rFonts w:eastAsiaTheme="majorEastAsia"/>
          <w:rtl/>
        </w:rPr>
        <w:t>עֹלָה</w:t>
      </w:r>
      <w:r>
        <w:t xml:space="preserve">, „Aufsteigeopfer", Plural mit Suffix 2. Person Maskulinum Singular) als direktes Objekt. Das Verb wiederholt </w:t>
      </w:r>
      <w:r>
        <w:rPr>
          <w:rStyle w:val="Fett"/>
          <w:rFonts w:eastAsiaTheme="majorEastAsia"/>
          <w:rtl/>
        </w:rPr>
        <w:t>תַּעֲלֶה</w:t>
      </w:r>
      <w:r>
        <w:rPr>
          <w:rtl/>
        </w:rPr>
        <w:t xml:space="preserve"> </w:t>
      </w:r>
      <w:r>
        <w:t>aus V. 13, nun aber positiv: dort (am erwählten Ort) sollst du opfern.</w:t>
      </w:r>
    </w:p>
    <w:p w14:paraId="3A9C8FF0" w14:textId="77777777" w:rsidR="00724090" w:rsidRDefault="00724090" w:rsidP="00724090">
      <w:pPr>
        <w:pStyle w:val="whitespace-normal"/>
      </w:pPr>
      <w:r>
        <w:rPr>
          <w:rStyle w:val="Fett"/>
          <w:rFonts w:eastAsiaTheme="majorEastAsia"/>
          <w:rtl/>
        </w:rPr>
        <w:t>וְשָׁם תַּעֲשֶׂה כֹּל אֲשֶׁר אָנֹכִ֖י מְצַוֶּךָּ</w:t>
      </w:r>
      <w:r>
        <w:rPr>
          <w:rtl/>
        </w:rPr>
        <w:t xml:space="preserve"> </w:t>
      </w:r>
      <w:r>
        <w:t xml:space="preserve">ist der zweite Imperativsatz: </w:t>
      </w:r>
      <w:r>
        <w:rPr>
          <w:rStyle w:val="Fett"/>
          <w:rFonts w:eastAsiaTheme="majorEastAsia"/>
          <w:rtl/>
        </w:rPr>
        <w:t>וְשָׁם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שָׁם</w:t>
      </w:r>
      <w:r>
        <w:t xml:space="preserve">, „dort") als lokales Adverb, </w:t>
      </w:r>
      <w:r>
        <w:rPr>
          <w:rStyle w:val="Fett"/>
          <w:rFonts w:eastAsiaTheme="majorEastAsia"/>
          <w:rtl/>
        </w:rPr>
        <w:t>תַּעֲשֶׂה</w:t>
      </w:r>
      <w:r>
        <w:rPr>
          <w:rtl/>
        </w:rPr>
        <w:t xml:space="preserve"> </w:t>
      </w:r>
      <w:r>
        <w:t xml:space="preserve">(Qal Imperfekt, 2. Person Maskulinum Singular von </w:t>
      </w:r>
      <w:r>
        <w:rPr>
          <w:rStyle w:val="Fett"/>
          <w:rFonts w:eastAsiaTheme="majorEastAsia"/>
          <w:rtl/>
        </w:rPr>
        <w:t>עשׂה</w:t>
      </w:r>
      <w:r>
        <w:t xml:space="preserve">, „tun", imperativisch), </w:t>
      </w:r>
      <w:r>
        <w:rPr>
          <w:rStyle w:val="Fett"/>
          <w:rFonts w:eastAsiaTheme="majorEastAsia"/>
          <w:rtl/>
        </w:rPr>
        <w:t>כֹּל</w:t>
      </w:r>
      <w:r>
        <w:rPr>
          <w:rtl/>
        </w:rPr>
        <w:t xml:space="preserve"> </w:t>
      </w:r>
      <w:r>
        <w:t xml:space="preserve">(„alles") als direktes Objekt, </w:t>
      </w:r>
      <w:r>
        <w:rPr>
          <w:rStyle w:val="Fett"/>
          <w:rFonts w:eastAsiaTheme="majorEastAsia"/>
          <w:rtl/>
        </w:rPr>
        <w:t>אֲשֶׁר</w:t>
      </w:r>
      <w:r>
        <w:rPr>
          <w:rtl/>
        </w:rPr>
        <w:t xml:space="preserve"> </w:t>
      </w:r>
      <w:r>
        <w:t xml:space="preserve">(Relativpronomen) mit </w:t>
      </w:r>
      <w:r>
        <w:rPr>
          <w:rStyle w:val="Fett"/>
          <w:rFonts w:eastAsiaTheme="majorEastAsia"/>
          <w:rtl/>
        </w:rPr>
        <w:t>אָנֹכִי</w:t>
      </w:r>
      <w:r>
        <w:rPr>
          <w:rtl/>
        </w:rPr>
        <w:t xml:space="preserve"> </w:t>
      </w:r>
      <w:r>
        <w:t xml:space="preserve">(emphatisches Personalpronomen 1. Person Singular) als Subjekt, </w:t>
      </w:r>
      <w:r>
        <w:rPr>
          <w:rStyle w:val="Fett"/>
          <w:rFonts w:eastAsiaTheme="majorEastAsia"/>
          <w:rtl/>
        </w:rPr>
        <w:t>מְצַוֶּךָּ</w:t>
      </w:r>
      <w:r>
        <w:rPr>
          <w:rtl/>
        </w:rPr>
        <w:t xml:space="preserve"> </w:t>
      </w:r>
      <w:r>
        <w:t xml:space="preserve">(Piel Partizip Maskulinum Singular von </w:t>
      </w:r>
      <w:r>
        <w:rPr>
          <w:rStyle w:val="Fett"/>
          <w:rFonts w:eastAsiaTheme="majorEastAsia"/>
          <w:rtl/>
        </w:rPr>
        <w:t>צוה</w:t>
      </w:r>
      <w:r>
        <w:t xml:space="preserve">, „befehlen, gebieten", mit Suffix 2. Person Maskulinum Singular als direktes Objekt). Die Formulierung </w:t>
      </w:r>
      <w:r>
        <w:rPr>
          <w:rStyle w:val="Fett"/>
          <w:rFonts w:eastAsiaTheme="majorEastAsia"/>
          <w:rtl/>
        </w:rPr>
        <w:t>כֹּל אֲשֶׁר אָנֹכִי מְצַוֶּךָּ</w:t>
      </w:r>
      <w:r>
        <w:rPr>
          <w:rtl/>
        </w:rPr>
        <w:t xml:space="preserve"> </w:t>
      </w:r>
      <w:r>
        <w:t>umfasst alle kultischen Handlungen, nicht nur die Aufsteigeopfer.</w:t>
      </w:r>
    </w:p>
    <w:p w14:paraId="234AB2F2" w14:textId="77777777" w:rsidR="00724090" w:rsidRDefault="00724090" w:rsidP="00724090">
      <w:pPr>
        <w:pStyle w:val="whitespace-normal"/>
      </w:pPr>
      <w:r>
        <w:t xml:space="preserve">Die Syntax zeigt den scharfen Kontrast zu V. 13: nicht an jedem beliebigen Ort, sondern nur am von JHWH erwählten Ort. Die doppelte Verwendung von </w:t>
      </w:r>
      <w:r>
        <w:rPr>
          <w:rStyle w:val="Fett"/>
          <w:rFonts w:eastAsiaTheme="majorEastAsia"/>
          <w:rtl/>
        </w:rPr>
        <w:t>שָׁם</w:t>
      </w:r>
      <w:r>
        <w:rPr>
          <w:rtl/>
        </w:rPr>
        <w:t xml:space="preserve"> </w:t>
      </w:r>
      <w:r>
        <w:t xml:space="preserve">(„dort") betont nachdrücklich die Exklusivität des erwählten Ortes. Die Wiederholung des Verbs </w:t>
      </w:r>
      <w:r>
        <w:rPr>
          <w:rStyle w:val="Fett"/>
          <w:rFonts w:eastAsiaTheme="majorEastAsia"/>
          <w:rtl/>
        </w:rPr>
        <w:t>תַּעֲלֶה</w:t>
      </w:r>
      <w:r>
        <w:rPr>
          <w:rtl/>
        </w:rPr>
        <w:t xml:space="preserve"> </w:t>
      </w:r>
      <w:r>
        <w:t>aus V. 13 verbindet Verbot und Gebot. Der Wechsel vom allgemeinen Imperativ (</w:t>
      </w:r>
      <w:r>
        <w:rPr>
          <w:rStyle w:val="Fett"/>
          <w:rFonts w:eastAsiaTheme="majorEastAsia"/>
          <w:rtl/>
        </w:rPr>
        <w:t>תַּעֲלֶה עֹלֹתֶיךָ</w:t>
      </w:r>
      <w:r>
        <w:t>) zum umfassenden Imperativ (</w:t>
      </w:r>
      <w:r>
        <w:rPr>
          <w:rStyle w:val="Fett"/>
          <w:rFonts w:eastAsiaTheme="majorEastAsia"/>
          <w:rtl/>
        </w:rPr>
        <w:t>תַּעֲשֶׂה כֹּל אֲשֶׁר אָנֹכִי מְצַוֶּךָּ</w:t>
      </w:r>
      <w:r>
        <w:t xml:space="preserve">) weitet die Forderung aus: Am zentralen Heiligtum soll der gesamte kultische Gehorsam praktiziert werden. Die Variation </w:t>
      </w:r>
      <w:r>
        <w:rPr>
          <w:rStyle w:val="Fett"/>
          <w:rFonts w:eastAsiaTheme="majorEastAsia"/>
          <w:rtl/>
        </w:rPr>
        <w:t>בְּאַחַד שְׁבָטֶיךָ</w:t>
      </w:r>
      <w:r>
        <w:rPr>
          <w:rtl/>
        </w:rPr>
        <w:t xml:space="preserve"> </w:t>
      </w:r>
      <w:r>
        <w:t xml:space="preserve">statt </w:t>
      </w:r>
      <w:r>
        <w:rPr>
          <w:rStyle w:val="Fett"/>
          <w:rFonts w:eastAsiaTheme="majorEastAsia"/>
          <w:rtl/>
        </w:rPr>
        <w:t>מִכָּל־שִׁבְטֵיכֶם</w:t>
      </w:r>
      <w:r>
        <w:rPr>
          <w:rtl/>
        </w:rPr>
        <w:t xml:space="preserve"> </w:t>
      </w:r>
      <w:r>
        <w:t>(V. 5) zeigt, dass der erwählte Ort im Territorium eines spezifischen Stammes liegen wird (historisch: Jerusalem im Stammesgebiet Juda/Benjamin).</w:t>
      </w:r>
    </w:p>
    <w:p w14:paraId="03BFAFB5" w14:textId="77777777" w:rsidR="00724090" w:rsidRDefault="00724090" w:rsidP="00724090">
      <w:pPr>
        <w:pStyle w:val="whitespace-normal"/>
      </w:pPr>
      <w:r>
        <w:rPr>
          <w:rStyle w:val="Fett"/>
          <w:rFonts w:eastAsiaTheme="majorEastAsia"/>
        </w:rPr>
        <w:t>Die LXX</w:t>
      </w:r>
      <w:r>
        <w:t xml:space="preserve"> übersetzt „sondern an dem Ort" mit „</w:t>
      </w:r>
      <w:proofErr w:type="spellStart"/>
      <w:r>
        <w:t>ἀλλ</w:t>
      </w:r>
      <w:proofErr w:type="spellEnd"/>
      <w:r>
        <w:t xml:space="preserve">᾽ ἢ </w:t>
      </w:r>
      <w:proofErr w:type="spellStart"/>
      <w:r>
        <w:t>εἰς</w:t>
      </w:r>
      <w:proofErr w:type="spellEnd"/>
      <w:r>
        <w:t xml:space="preserve"> </w:t>
      </w:r>
      <w:proofErr w:type="spellStart"/>
      <w:r>
        <w:t>τὸν</w:t>
      </w:r>
      <w:proofErr w:type="spellEnd"/>
      <w:r>
        <w:t xml:space="preserve"> </w:t>
      </w:r>
      <w:proofErr w:type="spellStart"/>
      <w:r>
        <w:t>τό</w:t>
      </w:r>
      <w:proofErr w:type="spellEnd"/>
      <w:r>
        <w:t>πον", „in einem deiner Stämme" mit „</w:t>
      </w:r>
      <w:proofErr w:type="spellStart"/>
      <w:r>
        <w:t>ἐν</w:t>
      </w:r>
      <w:proofErr w:type="spellEnd"/>
      <w:r>
        <w:t xml:space="preserve"> </w:t>
      </w:r>
      <w:proofErr w:type="spellStart"/>
      <w:r>
        <w:t>μιᾷ</w:t>
      </w:r>
      <w:proofErr w:type="spellEnd"/>
      <w:r>
        <w:t xml:space="preserve"> </w:t>
      </w:r>
      <w:proofErr w:type="spellStart"/>
      <w:r>
        <w:t>τῶν</w:t>
      </w:r>
      <w:proofErr w:type="spellEnd"/>
      <w:r>
        <w:t xml:space="preserve"> </w:t>
      </w:r>
      <w:proofErr w:type="spellStart"/>
      <w:r>
        <w:t>φυλῶν</w:t>
      </w:r>
      <w:proofErr w:type="spellEnd"/>
      <w:r>
        <w:t xml:space="preserve"> </w:t>
      </w:r>
      <w:proofErr w:type="spellStart"/>
      <w:r>
        <w:t>σου</w:t>
      </w:r>
      <w:proofErr w:type="spellEnd"/>
      <w:r>
        <w:t>", „dort sollst du aufsteigen lassen" mit „</w:t>
      </w:r>
      <w:proofErr w:type="spellStart"/>
      <w:r>
        <w:t>ἐκεῖ</w:t>
      </w:r>
      <w:proofErr w:type="spellEnd"/>
      <w:r>
        <w:t xml:space="preserve"> </w:t>
      </w:r>
      <w:proofErr w:type="spellStart"/>
      <w:r>
        <w:t>ἀνοίσεις</w:t>
      </w:r>
      <w:proofErr w:type="spellEnd"/>
      <w:r>
        <w:t>" und „alles tun" mit „π</w:t>
      </w:r>
      <w:proofErr w:type="spellStart"/>
      <w:r>
        <w:t>οιήσεις</w:t>
      </w:r>
      <w:proofErr w:type="spellEnd"/>
      <w:r>
        <w:t xml:space="preserve"> π</w:t>
      </w:r>
      <w:proofErr w:type="spellStart"/>
      <w:r>
        <w:t>άντ</w:t>
      </w:r>
      <w:proofErr w:type="spellEnd"/>
      <w:r>
        <w:t>α".</w:t>
      </w:r>
    </w:p>
    <w:p w14:paraId="6BC4524C" w14:textId="77777777" w:rsidR="00724090" w:rsidRDefault="00724090" w:rsidP="00724090">
      <w:pPr>
        <w:pStyle w:val="whitespace-normal"/>
      </w:pPr>
      <w:r>
        <w:rPr>
          <w:rStyle w:val="Fett"/>
          <w:rFonts w:eastAsiaTheme="majorEastAsia"/>
        </w:rPr>
        <w:lastRenderedPageBreak/>
        <w:t>Die Satzstruktur</w:t>
      </w:r>
      <w:r>
        <w:t xml:space="preserve"> besteht aus einer adversativen Einleitung mit Relativsatz und zwei koordinierten Imperativen: Adversative Partikel (sondern), lokale Bestimmung (an dem Ort), Relativsatz mit Prädikat (erwählen wird), Subjekt (JHWH), partitiver Bestimmung (in einem deiner Stämme); erster Imperativ mit vorangestelltem lokalem Adverb (dort), Prädikat (sollst aufsteigen lassen) und direktem Objekt (deine Aufsteigeopfer); zweiter Imperativ mit lokalem Adverb (dort), Prädikat (sollst tun), direktem Objekt (alles) und Relativsatz (was ich dir gebiete).</w:t>
      </w:r>
    </w:p>
    <w:p w14:paraId="65961981" w14:textId="77777777" w:rsidR="00724090" w:rsidRDefault="00724090" w:rsidP="00724090">
      <w:pPr>
        <w:pStyle w:val="whitespace-normal"/>
      </w:pPr>
      <w:r>
        <w:t>Der Vers formuliert positiv das Gebot der Kultzentralisation: Nur am von JHWH in einem Stammesgebiet erwählten Ort sollen Opfer dargebracht und alle kultischen Pflichten erfüllt werden.</w:t>
      </w:r>
    </w:p>
    <w:p w14:paraId="4A5D5948"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12,15</w:t>
      </w:r>
    </w:p>
    <w:p w14:paraId="7A36FCD0" w14:textId="77777777" w:rsidR="00724090" w:rsidRDefault="00724090" w:rsidP="00724090">
      <w:pPr>
        <w:pStyle w:val="whitespace-normal"/>
      </w:pPr>
      <w:r>
        <w:rPr>
          <w:rStyle w:val="Fett"/>
          <w:rFonts w:eastAsiaTheme="majorEastAsia"/>
        </w:rPr>
        <w:t>Hebräisch:</w:t>
      </w:r>
      <w:r>
        <w:t xml:space="preserve"> </w:t>
      </w:r>
      <w:r>
        <w:rPr>
          <w:rtl/>
        </w:rPr>
        <w:t>רַק֩ בְּכָל־אַוַּ֨ת נַפְשְׁךָ֜ תִּזְבַּ֣ח׀ וְאָכַלְתָּ֣ בָשָׂ֗ר כְּבִרְכַּ֨ת יְהוָ֧ה אֱלֹהֶ֛יךָ אֲשֶׁ֥ר נָֽתַן־לְךָ֖ בְּכָל־שְׁעָרֶ֑יךָ הַטָּמֵ֤א וְהַטָּהוֹר֙ יֹאכְלֶ֔נּוּ כַּצְּבִ֖י וְכָאַיָּֽל׃</w:t>
      </w:r>
    </w:p>
    <w:p w14:paraId="2A8DB9B7" w14:textId="17CA8BBF" w:rsidR="00724090" w:rsidRDefault="00724090" w:rsidP="00724090">
      <w:pPr>
        <w:pStyle w:val="whitespace-normal"/>
      </w:pPr>
      <w:r>
        <w:rPr>
          <w:rStyle w:val="Fett"/>
          <w:rFonts w:eastAsiaTheme="majorEastAsia"/>
        </w:rPr>
        <w:t>Deutsch:</w:t>
      </w:r>
      <w:r>
        <w:t xml:space="preserve"> Doch magst du nach allem Begehr deiner Seele schlachten und Fleisch essen in allen deinen Toren, nach dem Segen des Ewigen, deines Gottes, den er dir gegeben hat: Der Unreine und der Reine mögen es essen, wie die Gazelle und wie den Hirsch.</w:t>
      </w:r>
    </w:p>
    <w:p w14:paraId="505FDC0D" w14:textId="294BBD86" w:rsidR="009C316F" w:rsidRDefault="004F5CEB" w:rsidP="00724090">
      <w:pPr>
        <w:pStyle w:val="whitespace-normal"/>
      </w:pPr>
      <w:r>
        <w:rPr>
          <w:noProof/>
        </w:rPr>
        <w:pict w14:anchorId="0889CB5F">
          <v:rect id="_x0000_i1387" style="width:0;height:1.5pt" o:hralign="center" o:hrstd="t" o:hr="t" fillcolor="#a0a0a0" stroked="f"/>
        </w:pict>
      </w:r>
    </w:p>
    <w:p w14:paraId="1A1A6897"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רַק בְּכָל־אַוַּת נַפְשְׁךָ תִּזְבַּח וְאָכַלְתָּ בָשָׂר</w:t>
      </w:r>
      <w:r>
        <w:rPr>
          <w:rtl/>
        </w:rPr>
        <w:t xml:space="preserve"> </w:t>
      </w:r>
      <w:r>
        <w:t xml:space="preserve">ist eine Konzessivsatz mit zwei Verben: </w:t>
      </w:r>
      <w:r>
        <w:rPr>
          <w:rStyle w:val="Fett"/>
          <w:rFonts w:eastAsiaTheme="majorEastAsia"/>
          <w:rtl/>
        </w:rPr>
        <w:t>רַק</w:t>
      </w:r>
      <w:r>
        <w:rPr>
          <w:rtl/>
        </w:rPr>
        <w:t xml:space="preserve"> </w:t>
      </w:r>
      <w:r>
        <w:t xml:space="preserve">(„jedoch, nur, doch") als restriktive Partikel, die eine Ausnahme oder Einschränkung einleitet, </w:t>
      </w:r>
      <w:r>
        <w:rPr>
          <w:rStyle w:val="Fett"/>
          <w:rFonts w:eastAsiaTheme="majorEastAsia"/>
          <w:rtl/>
        </w:rPr>
        <w:t>בְּכָל־אַוַּת נַפְשְׁךָ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כָּל־אַוַּת</w:t>
      </w:r>
      <w:r>
        <w:t xml:space="preserve">, </w:t>
      </w:r>
      <w:r>
        <w:rPr>
          <w:rStyle w:val="Fett"/>
          <w:rFonts w:eastAsiaTheme="majorEastAsia"/>
          <w:rtl/>
        </w:rPr>
        <w:t>אַוָּה</w:t>
      </w:r>
      <w:r>
        <w:t xml:space="preserve">, „Begierde, Verlangen", im Construct mit </w:t>
      </w:r>
      <w:r>
        <w:rPr>
          <w:rStyle w:val="Fett"/>
          <w:rFonts w:eastAsiaTheme="majorEastAsia"/>
          <w:rtl/>
        </w:rPr>
        <w:t>נֶפֶשׁ</w:t>
      </w:r>
      <w:r>
        <w:t xml:space="preserve">, „Seele, Leben", mit Suffix 2. Person Maskulinum Singular, „nach allem Begehr deiner Seele") als modale Bestimmung, </w:t>
      </w:r>
      <w:r>
        <w:rPr>
          <w:rStyle w:val="Fett"/>
          <w:rFonts w:eastAsiaTheme="majorEastAsia"/>
          <w:rtl/>
        </w:rPr>
        <w:t>תִּזְבַּח</w:t>
      </w:r>
      <w:r>
        <w:rPr>
          <w:rtl/>
        </w:rPr>
        <w:t xml:space="preserve"> </w:t>
      </w:r>
      <w:r>
        <w:t xml:space="preserve">(Qal Imperfekt, 2. Person Maskulinum Singular von </w:t>
      </w:r>
      <w:r>
        <w:rPr>
          <w:rStyle w:val="Fett"/>
          <w:rFonts w:eastAsiaTheme="majorEastAsia"/>
          <w:rtl/>
        </w:rPr>
        <w:t>זבח</w:t>
      </w:r>
      <w:r>
        <w:t xml:space="preserve">, „schlachten, opfern"), koordiniert durch </w:t>
      </w:r>
      <w:r>
        <w:rPr>
          <w:rStyle w:val="Fett"/>
          <w:rFonts w:eastAsiaTheme="majorEastAsia"/>
          <w:rtl/>
        </w:rPr>
        <w:t>וְ</w:t>
      </w:r>
      <w:r>
        <w:rPr>
          <w:rtl/>
        </w:rPr>
        <w:t xml:space="preserve"> </w:t>
      </w:r>
      <w:r>
        <w:t xml:space="preserve">mit </w:t>
      </w:r>
      <w:r>
        <w:rPr>
          <w:rStyle w:val="Fett"/>
          <w:rFonts w:eastAsiaTheme="majorEastAsia"/>
          <w:rtl/>
        </w:rPr>
        <w:t>אָכַלְתָּ</w:t>
      </w:r>
      <w:r>
        <w:rPr>
          <w:rtl/>
        </w:rPr>
        <w:t xml:space="preserve"> </w:t>
      </w:r>
      <w:r>
        <w:t xml:space="preserve">(Qal Perfekt, 2. Person Maskulinum Singular von </w:t>
      </w:r>
      <w:r>
        <w:rPr>
          <w:rStyle w:val="Fett"/>
          <w:rFonts w:eastAsiaTheme="majorEastAsia"/>
          <w:rtl/>
        </w:rPr>
        <w:t>אכל</w:t>
      </w:r>
      <w:r>
        <w:t xml:space="preserve">, „essen", consecutives Perfekt) und </w:t>
      </w:r>
      <w:r>
        <w:rPr>
          <w:rStyle w:val="Fett"/>
          <w:rFonts w:eastAsiaTheme="majorEastAsia"/>
          <w:rtl/>
        </w:rPr>
        <w:t>בָשָׂר</w:t>
      </w:r>
      <w:r>
        <w:rPr>
          <w:rtl/>
        </w:rPr>
        <w:t xml:space="preserve"> </w:t>
      </w:r>
      <w:r>
        <w:t xml:space="preserve">(„Fleisch") als direktes Objekt. Die Wendung </w:t>
      </w:r>
      <w:r>
        <w:rPr>
          <w:rStyle w:val="Fett"/>
          <w:rFonts w:eastAsiaTheme="majorEastAsia"/>
          <w:rtl/>
        </w:rPr>
        <w:t>בְּכָל־אַוַּת נֶפֶשׁ</w:t>
      </w:r>
      <w:r>
        <w:rPr>
          <w:rtl/>
        </w:rPr>
        <w:t xml:space="preserve"> </w:t>
      </w:r>
      <w:r>
        <w:t>drückt freies Verlangen aus.</w:t>
      </w:r>
    </w:p>
    <w:p w14:paraId="022B2ACC" w14:textId="77777777" w:rsidR="00724090" w:rsidRDefault="00724090" w:rsidP="00724090">
      <w:pPr>
        <w:pStyle w:val="whitespace-normal"/>
      </w:pPr>
      <w:r>
        <w:rPr>
          <w:rStyle w:val="Fett"/>
          <w:rFonts w:eastAsiaTheme="majorEastAsia"/>
          <w:rtl/>
        </w:rPr>
        <w:t>כְּבִרְכַּת יְהוָה אֱלֹהֶיךָ אֲשֶׁר נָתַן־לְךָ בְּכָל־שְׁעָרֶיךָ</w:t>
      </w:r>
      <w:r>
        <w:rPr>
          <w:rtl/>
        </w:rPr>
        <w:t xml:space="preserve"> </w:t>
      </w:r>
      <w:r>
        <w:t xml:space="preserve">ist eine modale Bestimmung mit Relativsatz: </w:t>
      </w:r>
      <w:r>
        <w:rPr>
          <w:rStyle w:val="Fett"/>
          <w:rFonts w:eastAsiaTheme="majorEastAsia"/>
          <w:rtl/>
        </w:rPr>
        <w:t>כְּבִרְכַּת</w:t>
      </w:r>
      <w:r>
        <w:rPr>
          <w:rtl/>
        </w:rPr>
        <w:t xml:space="preserve"> </w:t>
      </w:r>
      <w:r>
        <w:t xml:space="preserve">(Präposition </w:t>
      </w:r>
      <w:r>
        <w:rPr>
          <w:rStyle w:val="Fett"/>
          <w:rFonts w:eastAsiaTheme="majorEastAsia"/>
          <w:rtl/>
        </w:rPr>
        <w:t>כְּ</w:t>
      </w:r>
      <w:r>
        <w:t xml:space="preserve">, „gemäß, nach", mit </w:t>
      </w:r>
      <w:r>
        <w:rPr>
          <w:rStyle w:val="Fett"/>
          <w:rFonts w:eastAsiaTheme="majorEastAsia"/>
          <w:rtl/>
        </w:rPr>
        <w:t>בְּרָכָה</w:t>
      </w:r>
      <w:r>
        <w:t xml:space="preserve">, „Segen", Construct), </w:t>
      </w:r>
      <w:r>
        <w:rPr>
          <w:rStyle w:val="Fett"/>
          <w:rFonts w:eastAsiaTheme="majorEastAsia"/>
          <w:rtl/>
        </w:rPr>
        <w:t>יְהוָה אֱלֹהֶיךָ</w:t>
      </w:r>
      <w:r>
        <w:rPr>
          <w:rtl/>
        </w:rPr>
        <w:t xml:space="preserve"> </w:t>
      </w:r>
      <w:r>
        <w:t xml:space="preserve">(Tetragramm mit Apposition </w:t>
      </w:r>
      <w:r>
        <w:rPr>
          <w:rStyle w:val="Fett"/>
          <w:rFonts w:eastAsiaTheme="majorEastAsia"/>
          <w:rtl/>
        </w:rPr>
        <w:t>אֱלֹהֶיךָ</w:t>
      </w:r>
      <w:r>
        <w:t xml:space="preserve">), </w:t>
      </w:r>
      <w:r>
        <w:rPr>
          <w:rStyle w:val="Fett"/>
          <w:rFonts w:eastAsiaTheme="majorEastAsia"/>
          <w:rtl/>
        </w:rPr>
        <w:t>אֲשֶׁר נָתַן־לְךָ</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נָתַן</w:t>
      </w:r>
      <w:r>
        <w:t xml:space="preserve">, Qal Perfekt, 3. Person Maskulinum Singular von </w:t>
      </w:r>
      <w:r>
        <w:rPr>
          <w:rStyle w:val="Fett"/>
          <w:rFonts w:eastAsiaTheme="majorEastAsia"/>
          <w:rtl/>
        </w:rPr>
        <w:t>נתן</w:t>
      </w:r>
      <w:r>
        <w:t xml:space="preserve">, „geben", und </w:t>
      </w:r>
      <w:r>
        <w:rPr>
          <w:rStyle w:val="Fett"/>
          <w:rFonts w:eastAsiaTheme="majorEastAsia"/>
          <w:rtl/>
        </w:rPr>
        <w:t>לְךָ</w:t>
      </w:r>
      <w:r>
        <w:t xml:space="preserve">, Präposition </w:t>
      </w:r>
      <w:r>
        <w:rPr>
          <w:rStyle w:val="Fett"/>
          <w:rFonts w:eastAsiaTheme="majorEastAsia"/>
          <w:rtl/>
        </w:rPr>
        <w:t>לְ</w:t>
      </w:r>
      <w:r>
        <w:rPr>
          <w:rtl/>
        </w:rPr>
        <w:t xml:space="preserve"> </w:t>
      </w:r>
      <w:r>
        <w:t xml:space="preserve">mit Suffix 2. Person Maskulinum Singular) und </w:t>
      </w:r>
      <w:r>
        <w:rPr>
          <w:rStyle w:val="Fett"/>
          <w:rFonts w:eastAsiaTheme="majorEastAsia"/>
          <w:rtl/>
        </w:rPr>
        <w:t>בְּכָל־שְׁעָרֶיךָ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כָּל</w:t>
      </w:r>
      <w:r>
        <w:t xml:space="preserve">, „all", im Construct mit </w:t>
      </w:r>
      <w:r>
        <w:rPr>
          <w:rStyle w:val="Fett"/>
          <w:rFonts w:eastAsiaTheme="majorEastAsia"/>
          <w:rtl/>
        </w:rPr>
        <w:t>שַׁעַר</w:t>
      </w:r>
      <w:r>
        <w:t xml:space="preserve">, „Tor, Stadt", Plural mit Suffix 2. Person Maskulinum Singular). Die Wendung </w:t>
      </w:r>
      <w:r>
        <w:rPr>
          <w:rStyle w:val="Fett"/>
          <w:rFonts w:eastAsiaTheme="majorEastAsia"/>
          <w:rtl/>
        </w:rPr>
        <w:t>בְּכָל־שְׁעָרֶיךָ</w:t>
      </w:r>
      <w:r>
        <w:rPr>
          <w:rtl/>
        </w:rPr>
        <w:t xml:space="preserve"> </w:t>
      </w:r>
      <w:r>
        <w:t>(„in allen deinen Toren") bedeutet „überall in deinen Städten" und kontrastiert mit dem einen zentralen Heiligtum.</w:t>
      </w:r>
    </w:p>
    <w:p w14:paraId="4D158197" w14:textId="77777777" w:rsidR="00724090" w:rsidRDefault="00724090" w:rsidP="00724090">
      <w:pPr>
        <w:pStyle w:val="whitespace-normal"/>
      </w:pPr>
      <w:r>
        <w:rPr>
          <w:rStyle w:val="Fett"/>
          <w:rFonts w:eastAsiaTheme="majorEastAsia"/>
          <w:rtl/>
        </w:rPr>
        <w:t>הַטָּמֵא וְהַטָּהוֹר יֹאכְלֶנּוּ</w:t>
      </w:r>
      <w:r>
        <w:rPr>
          <w:rtl/>
        </w:rPr>
        <w:t xml:space="preserve"> </w:t>
      </w:r>
      <w:r>
        <w:t xml:space="preserve">ist ein Nominalsatz: </w:t>
      </w:r>
      <w:r>
        <w:rPr>
          <w:rStyle w:val="Fett"/>
          <w:rFonts w:eastAsiaTheme="majorEastAsia"/>
          <w:rtl/>
        </w:rPr>
        <w:t>הַטָּמֵא</w:t>
      </w:r>
      <w:r>
        <w:rPr>
          <w:rtl/>
        </w:rPr>
        <w:t xml:space="preserve"> </w:t>
      </w:r>
      <w:r>
        <w:t>(</w:t>
      </w:r>
      <w:r>
        <w:rPr>
          <w:rStyle w:val="Fett"/>
          <w:rFonts w:eastAsiaTheme="majorEastAsia"/>
          <w:rtl/>
        </w:rPr>
        <w:t>טָמֵא</w:t>
      </w:r>
      <w:r>
        <w:t xml:space="preserve">, „unrein", Adjektiv mit Artikel, substantivisch, „der Unreine"), koordiniert durch </w:t>
      </w:r>
      <w:r>
        <w:rPr>
          <w:rStyle w:val="Fett"/>
          <w:rFonts w:eastAsiaTheme="majorEastAsia"/>
          <w:rtl/>
        </w:rPr>
        <w:t>וְ</w:t>
      </w:r>
      <w:r>
        <w:rPr>
          <w:rtl/>
        </w:rPr>
        <w:t xml:space="preserve"> </w:t>
      </w:r>
      <w:r>
        <w:t xml:space="preserve">mit </w:t>
      </w:r>
      <w:r>
        <w:rPr>
          <w:rStyle w:val="Fett"/>
          <w:rFonts w:eastAsiaTheme="majorEastAsia"/>
          <w:rtl/>
        </w:rPr>
        <w:t>הַטָּהוֹר</w:t>
      </w:r>
      <w:r>
        <w:rPr>
          <w:rtl/>
        </w:rPr>
        <w:t xml:space="preserve"> </w:t>
      </w:r>
      <w:r>
        <w:t>(</w:t>
      </w:r>
      <w:r>
        <w:rPr>
          <w:rStyle w:val="Fett"/>
          <w:rFonts w:eastAsiaTheme="majorEastAsia"/>
          <w:rtl/>
        </w:rPr>
        <w:t>טָהוֹר</w:t>
      </w:r>
      <w:r>
        <w:t xml:space="preserve">, „rein", Adjektiv mit Artikel, substantivisch, „der Reine") als Subjekt, </w:t>
      </w:r>
      <w:r>
        <w:rPr>
          <w:rStyle w:val="Fett"/>
          <w:rFonts w:eastAsiaTheme="majorEastAsia"/>
          <w:rtl/>
        </w:rPr>
        <w:t>יֹאכְלֶנּוּ</w:t>
      </w:r>
      <w:r>
        <w:rPr>
          <w:rtl/>
        </w:rPr>
        <w:t xml:space="preserve"> </w:t>
      </w:r>
      <w:r>
        <w:t xml:space="preserve">(Qal Imperfekt, 3. Person Maskulinum Singular von </w:t>
      </w:r>
      <w:r>
        <w:rPr>
          <w:rStyle w:val="Fett"/>
          <w:rFonts w:eastAsiaTheme="majorEastAsia"/>
          <w:rtl/>
        </w:rPr>
        <w:t>אכל</w:t>
      </w:r>
      <w:r>
        <w:t>, „essen", mit Suffix 3. Person Maskulinum Singular als direktes Objekt) als Prädikat. Die Aussage, dass sowohl rituelle Unreine als auch Reine davon essen dürfen, ist bemerkenswert und zeigt, dass diese Schlachtung nicht kultisch ist.</w:t>
      </w:r>
    </w:p>
    <w:p w14:paraId="4D196183" w14:textId="77777777" w:rsidR="00724090" w:rsidRDefault="00724090" w:rsidP="00724090">
      <w:pPr>
        <w:pStyle w:val="whitespace-normal"/>
      </w:pPr>
      <w:r>
        <w:rPr>
          <w:rStyle w:val="Fett"/>
          <w:rFonts w:eastAsiaTheme="majorEastAsia"/>
          <w:rtl/>
        </w:rPr>
        <w:lastRenderedPageBreak/>
        <w:t>כַּצְּבִי וְכָאַיָּל</w:t>
      </w:r>
      <w:r>
        <w:rPr>
          <w:rtl/>
        </w:rPr>
        <w:t xml:space="preserve"> </w:t>
      </w:r>
      <w:r>
        <w:t xml:space="preserve">ist eine Vergleichsphrase: </w:t>
      </w:r>
      <w:r>
        <w:rPr>
          <w:rStyle w:val="Fett"/>
          <w:rFonts w:eastAsiaTheme="majorEastAsia"/>
          <w:rtl/>
        </w:rPr>
        <w:t>כַּצְּבִי</w:t>
      </w:r>
      <w:r>
        <w:rPr>
          <w:rtl/>
        </w:rPr>
        <w:t xml:space="preserve"> </w:t>
      </w:r>
      <w:r>
        <w:t xml:space="preserve">(Präposition </w:t>
      </w:r>
      <w:r>
        <w:rPr>
          <w:rStyle w:val="Fett"/>
          <w:rFonts w:eastAsiaTheme="majorEastAsia"/>
          <w:rtl/>
        </w:rPr>
        <w:t>כְּ</w:t>
      </w:r>
      <w:r>
        <w:t xml:space="preserve">, „wie", mit </w:t>
      </w:r>
      <w:r>
        <w:rPr>
          <w:rStyle w:val="Fett"/>
          <w:rFonts w:eastAsiaTheme="majorEastAsia"/>
          <w:rtl/>
        </w:rPr>
        <w:t>צְבִי</w:t>
      </w:r>
      <w:r>
        <w:t xml:space="preserve">, „Gazelle"), koordiniert durch </w:t>
      </w:r>
      <w:r>
        <w:rPr>
          <w:rStyle w:val="Fett"/>
          <w:rFonts w:eastAsiaTheme="majorEastAsia"/>
          <w:rtl/>
        </w:rPr>
        <w:t>וְכָ</w:t>
      </w:r>
      <w:r>
        <w:rPr>
          <w:rtl/>
        </w:rPr>
        <w:t xml:space="preserve"> </w:t>
      </w:r>
      <w:r>
        <w:t xml:space="preserve">mit </w:t>
      </w:r>
      <w:r>
        <w:rPr>
          <w:rStyle w:val="Fett"/>
          <w:rFonts w:eastAsiaTheme="majorEastAsia"/>
          <w:rtl/>
        </w:rPr>
        <w:t>אַיָּל</w:t>
      </w:r>
      <w:r>
        <w:rPr>
          <w:rtl/>
        </w:rPr>
        <w:t xml:space="preserve"> </w:t>
      </w:r>
      <w:r>
        <w:t>(„Hirsch"). Gazelle und Hirsch sind reine, aber nicht domestizierte Wildtiere, die nicht geopfert werden können und daher profan geschlachtet und gegessen werden (vgl. 14,5; 15,22).</w:t>
      </w:r>
    </w:p>
    <w:p w14:paraId="61BEBF65" w14:textId="5C6D6E83" w:rsidR="00724090" w:rsidRDefault="00724090" w:rsidP="00724090">
      <w:pPr>
        <w:pStyle w:val="whitespace-normal"/>
      </w:pPr>
      <w:r>
        <w:t xml:space="preserve">Die Syntax zeigt eine wichtige Ausnahme von der Kultzentralisation: Während Opfer nur am zentralen Heiligtum dargebracht werden dürfen, ist profane Schlachtung zum Fleischkonsum überall erlaubt. Dies ist eine bedeutende Konzession, da vor der Kultzentralisation vermutlich jede Schlachtung kultischen Charakter hatte (vgl. </w:t>
      </w:r>
      <w:r w:rsidR="00664EB6">
        <w:t>Lev</w:t>
      </w:r>
      <w:r>
        <w:t xml:space="preserve"> 17,3-7). Die Wendung </w:t>
      </w:r>
      <w:r>
        <w:rPr>
          <w:rStyle w:val="Fett"/>
          <w:rFonts w:eastAsiaTheme="majorEastAsia"/>
          <w:rtl/>
        </w:rPr>
        <w:t>בְּכָל־אַוַּת נַפְשְׁךָ</w:t>
      </w:r>
      <w:r>
        <w:rPr>
          <w:rtl/>
        </w:rPr>
        <w:t xml:space="preserve"> </w:t>
      </w:r>
      <w:r>
        <w:t xml:space="preserve">betont die Freiheit des Fleischkonsums. Die Begründung </w:t>
      </w:r>
      <w:r>
        <w:rPr>
          <w:rStyle w:val="Fett"/>
          <w:rFonts w:eastAsiaTheme="majorEastAsia"/>
          <w:rtl/>
        </w:rPr>
        <w:t>כְּבִרְכַּת יְהוָה אֱלֹהֶיךָ אֲשֶׁר נָתַן־לְךָ</w:t>
      </w:r>
      <w:r>
        <w:rPr>
          <w:rtl/>
        </w:rPr>
        <w:t xml:space="preserve"> </w:t>
      </w:r>
      <w:r>
        <w:t xml:space="preserve">verknüpft den Fleischkonsum mit dem göttlichen Segen: Je mehr JHWH segnet, desto mehr Vieh besitzt man. Die Erlaubnis für Reine und Unreine zeigt, dass diese Schlachtung rein profan ist. Der Vergleich mit Gazelle und Hirsch verdeutlicht: So wie Wildtiere ohne kultische Einschränkungen gegessen werden, so darf nun auch </w:t>
      </w:r>
      <w:proofErr w:type="spellStart"/>
      <w:r>
        <w:t>Hausvieh</w:t>
      </w:r>
      <w:proofErr w:type="spellEnd"/>
      <w:r>
        <w:t xml:space="preserve"> profan geschlachtet und gegessen werden.</w:t>
      </w:r>
    </w:p>
    <w:p w14:paraId="6DC1799A" w14:textId="77777777" w:rsidR="00724090" w:rsidRDefault="00724090" w:rsidP="00724090">
      <w:pPr>
        <w:pStyle w:val="whitespace-normal"/>
      </w:pPr>
      <w:r>
        <w:rPr>
          <w:rStyle w:val="Fett"/>
          <w:rFonts w:eastAsiaTheme="majorEastAsia"/>
        </w:rPr>
        <w:t>Die LXX</w:t>
      </w:r>
      <w:r>
        <w:t xml:space="preserve"> übersetzt „doch magst du nach allem Begehr deiner Seele schlachten" mit „π</w:t>
      </w:r>
      <w:proofErr w:type="spellStart"/>
      <w:r>
        <w:t>λὴν</w:t>
      </w:r>
      <w:proofErr w:type="spellEnd"/>
      <w:r>
        <w:t xml:space="preserve"> </w:t>
      </w:r>
      <w:proofErr w:type="spellStart"/>
      <w:r>
        <w:t>ἐν</w:t>
      </w:r>
      <w:proofErr w:type="spellEnd"/>
      <w:r>
        <w:t xml:space="preserve"> π</w:t>
      </w:r>
      <w:proofErr w:type="spellStart"/>
      <w:r>
        <w:t>άσῃ</w:t>
      </w:r>
      <w:proofErr w:type="spellEnd"/>
      <w:r>
        <w:t xml:space="preserve"> ἐπ</w:t>
      </w:r>
      <w:proofErr w:type="spellStart"/>
      <w:r>
        <w:t>ιθυμίᾳ</w:t>
      </w:r>
      <w:proofErr w:type="spellEnd"/>
      <w:r>
        <w:t xml:space="preserve"> </w:t>
      </w:r>
      <w:proofErr w:type="spellStart"/>
      <w:r>
        <w:t>σου</w:t>
      </w:r>
      <w:proofErr w:type="spellEnd"/>
      <w:r>
        <w:t xml:space="preserve"> </w:t>
      </w:r>
      <w:proofErr w:type="spellStart"/>
      <w:r>
        <w:t>θύσεις</w:t>
      </w:r>
      <w:proofErr w:type="spellEnd"/>
      <w:r>
        <w:t>", „nach dem Segen" mit „κα</w:t>
      </w:r>
      <w:proofErr w:type="spellStart"/>
      <w:r>
        <w:t>τὰ</w:t>
      </w:r>
      <w:proofErr w:type="spellEnd"/>
      <w:r>
        <w:t xml:space="preserve"> τὴν </w:t>
      </w:r>
      <w:proofErr w:type="spellStart"/>
      <w:r>
        <w:t>εὐλογί</w:t>
      </w:r>
      <w:proofErr w:type="spellEnd"/>
      <w:r>
        <w:t>αν", „in allen deinen Toren" mit „</w:t>
      </w:r>
      <w:proofErr w:type="spellStart"/>
      <w:r>
        <w:t>ἐν</w:t>
      </w:r>
      <w:proofErr w:type="spellEnd"/>
      <w:r>
        <w:t xml:space="preserve"> π</w:t>
      </w:r>
      <w:proofErr w:type="spellStart"/>
      <w:r>
        <w:t>άσῃ</w:t>
      </w:r>
      <w:proofErr w:type="spellEnd"/>
      <w:r>
        <w:t xml:space="preserve"> π</w:t>
      </w:r>
      <w:proofErr w:type="spellStart"/>
      <w:r>
        <w:t>όλει</w:t>
      </w:r>
      <w:proofErr w:type="spellEnd"/>
      <w:r>
        <w:t xml:space="preserve"> </w:t>
      </w:r>
      <w:proofErr w:type="spellStart"/>
      <w:r>
        <w:t>σου</w:t>
      </w:r>
      <w:proofErr w:type="spellEnd"/>
      <w:r>
        <w:t>", „der Unreine und der Reine" mit „ὁ ἀκάθα</w:t>
      </w:r>
      <w:proofErr w:type="spellStart"/>
      <w:r>
        <w:t>ρτος</w:t>
      </w:r>
      <w:proofErr w:type="spellEnd"/>
      <w:r>
        <w:t xml:space="preserve"> </w:t>
      </w:r>
      <w:proofErr w:type="spellStart"/>
      <w:r>
        <w:t>ἐν</w:t>
      </w:r>
      <w:proofErr w:type="spellEnd"/>
      <w:r>
        <w:t xml:space="preserve"> </w:t>
      </w:r>
      <w:proofErr w:type="spellStart"/>
      <w:r>
        <w:t>σοὶ</w:t>
      </w:r>
      <w:proofErr w:type="spellEnd"/>
      <w:r>
        <w:t xml:space="preserve"> καὶ ὁ καθα</w:t>
      </w:r>
      <w:proofErr w:type="spellStart"/>
      <w:r>
        <w:t>ρὸς</w:t>
      </w:r>
      <w:proofErr w:type="spellEnd"/>
      <w:r>
        <w:t>" und „wie die Gazelle und wie den Hirsch" mit „</w:t>
      </w:r>
      <w:proofErr w:type="spellStart"/>
      <w:r>
        <w:t>ὡς</w:t>
      </w:r>
      <w:proofErr w:type="spellEnd"/>
      <w:r>
        <w:t xml:space="preserve"> </w:t>
      </w:r>
      <w:proofErr w:type="spellStart"/>
      <w:r>
        <w:t>δορκάδ</w:t>
      </w:r>
      <w:proofErr w:type="spellEnd"/>
      <w:r>
        <w:t xml:space="preserve">α ἢ </w:t>
      </w:r>
      <w:proofErr w:type="spellStart"/>
      <w:r>
        <w:t>ἔλ</w:t>
      </w:r>
      <w:proofErr w:type="spellEnd"/>
      <w:r>
        <w:t>αφον".</w:t>
      </w:r>
    </w:p>
    <w:p w14:paraId="32630913" w14:textId="77777777" w:rsidR="00724090" w:rsidRDefault="00724090" w:rsidP="00724090">
      <w:pPr>
        <w:pStyle w:val="whitespace-normal"/>
      </w:pPr>
      <w:r>
        <w:rPr>
          <w:rStyle w:val="Fett"/>
          <w:rFonts w:eastAsiaTheme="majorEastAsia"/>
        </w:rPr>
        <w:t>Die Satzstruktur</w:t>
      </w:r>
      <w:r>
        <w:t xml:space="preserve"> besteht aus einer restriktiven Einleitung mit zwei koordinierten Verben, modaler Bestimmung mit Relativsatz, Nominalsatz und Vergleichsphrase: Restriktive Partikel (doch), modale Bestimmung (nach allem Begehr deiner Seele), erstes Prädikat (magst du schlachten), zweites Prädikat (essen), direktes Objekt (Fleisch), modale Bestimmung (gemäß dem Segen JHWHs, deines Gottes), Relativsatz (den er dir gegeben hat), lokale Bestimmung (in allen deinen Toren); Nominalsatz mit zweigliedrigem Subjekt (der Unreine und der Reine) und Prädikat (mögen es essen); Vergleichsphrase (wie die Gazelle und wie den Hirsch).</w:t>
      </w:r>
    </w:p>
    <w:p w14:paraId="1C5FE8C2" w14:textId="77777777" w:rsidR="00724090" w:rsidRDefault="00724090" w:rsidP="00724090">
      <w:pPr>
        <w:pStyle w:val="whitespace-normal"/>
      </w:pPr>
      <w:r>
        <w:t>Der Vers erlaubt eine wichtige Ausnahme: Während Opfer nur am zentralen Heiligtum dargebracht werden dürfen, ist profane Schlachtung zum Fleischessen überall erlaubt – auch Unreine dürfen davon essen, wie bei Wildfleisch.</w:t>
      </w:r>
    </w:p>
    <w:p w14:paraId="26711F90"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12,16</w:t>
      </w:r>
    </w:p>
    <w:p w14:paraId="5CD49CEB" w14:textId="77777777" w:rsidR="00724090" w:rsidRDefault="00724090" w:rsidP="00724090">
      <w:pPr>
        <w:pStyle w:val="whitespace-normal"/>
      </w:pPr>
      <w:r>
        <w:rPr>
          <w:rStyle w:val="Fett"/>
          <w:rFonts w:eastAsiaTheme="majorEastAsia"/>
        </w:rPr>
        <w:t>Hebräisch:</w:t>
      </w:r>
      <w:r>
        <w:t xml:space="preserve"> </w:t>
      </w:r>
      <w:r>
        <w:rPr>
          <w:rtl/>
        </w:rPr>
        <w:t>רַ֥ק הַדָּ֖ם לֹ֣א תֹאכֵ֑לוּ עַל־הָאָ֥רֶץ תִּשְׁפְּכֶ֖נּוּ כַּמָּֽיִם׃</w:t>
      </w:r>
    </w:p>
    <w:p w14:paraId="6394D9C2" w14:textId="59B2987E" w:rsidR="00724090" w:rsidRDefault="00724090" w:rsidP="00724090">
      <w:pPr>
        <w:pStyle w:val="whitespace-normal"/>
      </w:pPr>
      <w:r>
        <w:rPr>
          <w:rStyle w:val="Fett"/>
          <w:rFonts w:eastAsiaTheme="majorEastAsia"/>
        </w:rPr>
        <w:t>Deutsch:</w:t>
      </w:r>
      <w:r>
        <w:t xml:space="preserve"> Nur das Blut sollt ihr nicht essen; auf die Erde sollt ihr es gießen wie Wasser.</w:t>
      </w:r>
    </w:p>
    <w:p w14:paraId="3390F94F" w14:textId="66892BD5" w:rsidR="009C316F" w:rsidRDefault="004F5CEB" w:rsidP="00724090">
      <w:pPr>
        <w:pStyle w:val="whitespace-normal"/>
      </w:pPr>
      <w:r>
        <w:rPr>
          <w:noProof/>
        </w:rPr>
        <w:pict w14:anchorId="5BB915E0">
          <v:rect id="_x0000_i1388" style="width:0;height:1.5pt" o:hralign="center" o:hrstd="t" o:hr="t" fillcolor="#a0a0a0" stroked="f"/>
        </w:pict>
      </w:r>
    </w:p>
    <w:p w14:paraId="6072C104" w14:textId="38A33FBC" w:rsidR="00724090" w:rsidRDefault="00724090" w:rsidP="00724090">
      <w:pPr>
        <w:pStyle w:val="whitespace-normal"/>
      </w:pPr>
      <w:r>
        <w:rPr>
          <w:rStyle w:val="Fett"/>
          <w:rFonts w:eastAsiaTheme="majorEastAsia"/>
        </w:rPr>
        <w:t>Kommentar:</w:t>
      </w:r>
      <w:r>
        <w:t xml:space="preserve"> </w:t>
      </w:r>
      <w:r>
        <w:rPr>
          <w:rStyle w:val="Fett"/>
          <w:rFonts w:eastAsiaTheme="majorEastAsia"/>
          <w:rtl/>
        </w:rPr>
        <w:t>רַק הַדָּם לֹא תֹאכֵלוּ</w:t>
      </w:r>
      <w:r>
        <w:rPr>
          <w:rtl/>
        </w:rPr>
        <w:t xml:space="preserve"> </w:t>
      </w:r>
      <w:r>
        <w:t xml:space="preserve">ist ein negativer Imperativsatz: </w:t>
      </w:r>
      <w:r>
        <w:rPr>
          <w:rStyle w:val="Fett"/>
          <w:rFonts w:eastAsiaTheme="majorEastAsia"/>
          <w:rtl/>
        </w:rPr>
        <w:t>רַק</w:t>
      </w:r>
      <w:r>
        <w:rPr>
          <w:rtl/>
        </w:rPr>
        <w:t xml:space="preserve"> </w:t>
      </w:r>
      <w:r>
        <w:t xml:space="preserve">(„nur, jedoch") als restriktive Partikel, </w:t>
      </w:r>
      <w:r>
        <w:rPr>
          <w:rStyle w:val="Fett"/>
          <w:rFonts w:eastAsiaTheme="majorEastAsia"/>
          <w:rtl/>
        </w:rPr>
        <w:t>הַדָּם</w:t>
      </w:r>
      <w:r>
        <w:rPr>
          <w:rtl/>
        </w:rPr>
        <w:t xml:space="preserve"> </w:t>
      </w:r>
      <w:r>
        <w:t>(</w:t>
      </w:r>
      <w:r>
        <w:rPr>
          <w:rStyle w:val="Fett"/>
          <w:rFonts w:eastAsiaTheme="majorEastAsia"/>
          <w:rtl/>
        </w:rPr>
        <w:t>דָּם</w:t>
      </w:r>
      <w:r>
        <w:t xml:space="preserve">, „Blut", mit Artikel) als vorangestelltes direktes Objekt, </w:t>
      </w:r>
      <w:r>
        <w:rPr>
          <w:rStyle w:val="Fett"/>
          <w:rFonts w:eastAsiaTheme="majorEastAsia"/>
          <w:rtl/>
        </w:rPr>
        <w:t>לֹא</w:t>
      </w:r>
      <w:r>
        <w:rPr>
          <w:rtl/>
        </w:rPr>
        <w:t xml:space="preserve"> </w:t>
      </w:r>
      <w:r>
        <w:t xml:space="preserve">(Negation) und </w:t>
      </w:r>
      <w:r>
        <w:rPr>
          <w:rStyle w:val="Fett"/>
          <w:rFonts w:eastAsiaTheme="majorEastAsia"/>
          <w:rtl/>
        </w:rPr>
        <w:t>תֹאכֵלוּ</w:t>
      </w:r>
      <w:r>
        <w:rPr>
          <w:rtl/>
        </w:rPr>
        <w:t xml:space="preserve"> </w:t>
      </w:r>
      <w:r>
        <w:t xml:space="preserve">(Qal Imperfekt, 2. Person Maskulinum Plural von </w:t>
      </w:r>
      <w:r>
        <w:rPr>
          <w:rStyle w:val="Fett"/>
          <w:rFonts w:eastAsiaTheme="majorEastAsia"/>
          <w:rtl/>
        </w:rPr>
        <w:t>אכל</w:t>
      </w:r>
      <w:r>
        <w:t xml:space="preserve">, „essen"). Die Voranstellung von </w:t>
      </w:r>
      <w:r>
        <w:rPr>
          <w:rStyle w:val="Fett"/>
          <w:rFonts w:eastAsiaTheme="majorEastAsia"/>
          <w:rtl/>
        </w:rPr>
        <w:t>הַדָּם</w:t>
      </w:r>
      <w:r>
        <w:rPr>
          <w:rtl/>
        </w:rPr>
        <w:t xml:space="preserve"> </w:t>
      </w:r>
      <w:r>
        <w:t xml:space="preserve">betont das Verbot. Das Blutverbot ist fundamental im Pentateuch (vgl. </w:t>
      </w:r>
      <w:r w:rsidR="00664EB6">
        <w:t>Lev</w:t>
      </w:r>
      <w:r>
        <w:t xml:space="preserve"> 3,17; 7,26-27; 17,10-14; 19,26; </w:t>
      </w:r>
      <w:r w:rsidR="00664EB6">
        <w:t>1Sam</w:t>
      </w:r>
      <w:r>
        <w:t xml:space="preserve"> 14,32-34) und gilt unabhängig davon, ob die Schlachtung kultisch oder profan ist.</w:t>
      </w:r>
    </w:p>
    <w:p w14:paraId="2D63929E" w14:textId="77777777" w:rsidR="00724090" w:rsidRDefault="00724090" w:rsidP="00724090">
      <w:pPr>
        <w:pStyle w:val="whitespace-normal"/>
      </w:pPr>
      <w:r>
        <w:rPr>
          <w:rStyle w:val="Fett"/>
          <w:rFonts w:eastAsiaTheme="majorEastAsia"/>
          <w:rtl/>
        </w:rPr>
        <w:lastRenderedPageBreak/>
        <w:t>עַל־הָאָרֶץ תִּשְׁפְּכֶנּוּ כַּמָּיִם</w:t>
      </w:r>
      <w:r>
        <w:rPr>
          <w:rtl/>
        </w:rPr>
        <w:t xml:space="preserve"> </w:t>
      </w:r>
      <w:r>
        <w:t xml:space="preserve">ist der zweite Imperativsatz: </w:t>
      </w:r>
      <w:r>
        <w:rPr>
          <w:rStyle w:val="Fett"/>
          <w:rFonts w:eastAsiaTheme="majorEastAsia"/>
          <w:rtl/>
        </w:rPr>
        <w:t>עַל־הָאָרֶץ</w:t>
      </w:r>
      <w:r>
        <w:rPr>
          <w:rtl/>
        </w:rPr>
        <w:t xml:space="preserve"> </w:t>
      </w:r>
      <w:r>
        <w:t xml:space="preserve">(Präposition </w:t>
      </w:r>
      <w:r>
        <w:rPr>
          <w:rStyle w:val="Fett"/>
          <w:rFonts w:eastAsiaTheme="majorEastAsia"/>
          <w:rtl/>
        </w:rPr>
        <w:t>עַל</w:t>
      </w:r>
      <w:r>
        <w:t xml:space="preserve">, „auf", mit </w:t>
      </w:r>
      <w:r>
        <w:rPr>
          <w:rStyle w:val="Fett"/>
          <w:rFonts w:eastAsiaTheme="majorEastAsia"/>
          <w:rtl/>
        </w:rPr>
        <w:t>אֶרֶץ</w:t>
      </w:r>
      <w:r>
        <w:t xml:space="preserve">, „Erde, Erdboden", mit Artikel) als vorangestellte lokale Bestimmung, </w:t>
      </w:r>
      <w:r>
        <w:rPr>
          <w:rStyle w:val="Fett"/>
          <w:rFonts w:eastAsiaTheme="majorEastAsia"/>
          <w:rtl/>
        </w:rPr>
        <w:t>תִּשְׁפְּכֶנּוּ</w:t>
      </w:r>
      <w:r>
        <w:rPr>
          <w:rtl/>
        </w:rPr>
        <w:t xml:space="preserve"> </w:t>
      </w:r>
      <w:r>
        <w:t xml:space="preserve">(Qal Imperfekt, 2. Person Maskulinum Plural von </w:t>
      </w:r>
      <w:r>
        <w:rPr>
          <w:rStyle w:val="Fett"/>
          <w:rFonts w:eastAsiaTheme="majorEastAsia"/>
          <w:rtl/>
        </w:rPr>
        <w:t>שׁפך</w:t>
      </w:r>
      <w:r>
        <w:t xml:space="preserve">, „ausgießen, schütten", mit Suffix 3. Person Maskulinum Singular als direktes Objekt) und </w:t>
      </w:r>
      <w:r>
        <w:rPr>
          <w:rStyle w:val="Fett"/>
          <w:rFonts w:eastAsiaTheme="majorEastAsia"/>
          <w:rtl/>
        </w:rPr>
        <w:t>כַּמָּיִם</w:t>
      </w:r>
      <w:r>
        <w:rPr>
          <w:rtl/>
        </w:rPr>
        <w:t xml:space="preserve"> </w:t>
      </w:r>
      <w:r>
        <w:t xml:space="preserve">(Präposition </w:t>
      </w:r>
      <w:r>
        <w:rPr>
          <w:rStyle w:val="Fett"/>
          <w:rFonts w:eastAsiaTheme="majorEastAsia"/>
          <w:rtl/>
        </w:rPr>
        <w:t>כְּ</w:t>
      </w:r>
      <w:r>
        <w:t xml:space="preserve">, „wie", mit </w:t>
      </w:r>
      <w:r>
        <w:rPr>
          <w:rStyle w:val="Fett"/>
          <w:rFonts w:eastAsiaTheme="majorEastAsia"/>
          <w:rtl/>
        </w:rPr>
        <w:t>מַיִם</w:t>
      </w:r>
      <w:r>
        <w:t xml:space="preserve">, „Wasser", mit Artikel) als Vergleich. Die Wendung </w:t>
      </w:r>
      <w:r>
        <w:rPr>
          <w:rStyle w:val="Fett"/>
          <w:rFonts w:eastAsiaTheme="majorEastAsia"/>
          <w:rtl/>
        </w:rPr>
        <w:t>שׁפך על הארץ</w:t>
      </w:r>
      <w:r>
        <w:rPr>
          <w:rtl/>
        </w:rPr>
        <w:t xml:space="preserve"> </w:t>
      </w:r>
      <w:r>
        <w:t xml:space="preserve">(„auf die Erde gießen") bezeichnet das rituelle Ausgießen des Blutes. Der Vergleich </w:t>
      </w:r>
      <w:r>
        <w:rPr>
          <w:rStyle w:val="Fett"/>
          <w:rFonts w:eastAsiaTheme="majorEastAsia"/>
          <w:rtl/>
        </w:rPr>
        <w:t>כַּמָּיִם</w:t>
      </w:r>
      <w:r>
        <w:rPr>
          <w:rtl/>
        </w:rPr>
        <w:t xml:space="preserve"> </w:t>
      </w:r>
      <w:r>
        <w:t>(„wie Wasser") betont die Selbstverständlichkeit und Notwendigkeit dieser Handlung.</w:t>
      </w:r>
    </w:p>
    <w:p w14:paraId="5FFC7AE8" w14:textId="77777777" w:rsidR="00724090" w:rsidRDefault="00724090" w:rsidP="00724090">
      <w:pPr>
        <w:pStyle w:val="whitespace-normal"/>
      </w:pPr>
      <w:r>
        <w:t>Die Syntax zeigt eine entscheidende Einschränkung zur Konzession in V. 15: Obwohl profane Schlachtung erlaubt ist, bleibt das Blutverbot absolut. Die beiden Imperative sind komplementär: Das Blut darf nicht gegessen werden (negativ), sondern muss auf die Erde gegossen werden (positiv). Das Blut repräsentiert das Leben (</w:t>
      </w:r>
      <w:r>
        <w:rPr>
          <w:rStyle w:val="Fett"/>
          <w:rFonts w:eastAsiaTheme="majorEastAsia"/>
          <w:rtl/>
        </w:rPr>
        <w:t>נֶפֶשׁ</w:t>
      </w:r>
      <w:r>
        <w:t xml:space="preserve">, vgl. V. 23) und gehört JHWH. Durch das Ausgießen auf die Erde wird das Blut JHWH zurückgegeben. Die Formulierung </w:t>
      </w:r>
      <w:r>
        <w:rPr>
          <w:rStyle w:val="Fett"/>
          <w:rFonts w:eastAsiaTheme="majorEastAsia"/>
          <w:rtl/>
        </w:rPr>
        <w:t>כַּמָּיִם</w:t>
      </w:r>
      <w:r>
        <w:rPr>
          <w:rtl/>
        </w:rPr>
        <w:t xml:space="preserve"> </w:t>
      </w:r>
      <w:r>
        <w:t>unterstreicht, dass das Blut behandelt werden soll wie etwas Gewöhnliches (Wasser), das man einfach ausgießt – nicht konsumiert.</w:t>
      </w:r>
    </w:p>
    <w:p w14:paraId="7404095E" w14:textId="77777777" w:rsidR="00724090" w:rsidRDefault="00724090" w:rsidP="00724090">
      <w:pPr>
        <w:pStyle w:val="whitespace-normal"/>
      </w:pPr>
      <w:r>
        <w:rPr>
          <w:rStyle w:val="Fett"/>
          <w:rFonts w:eastAsiaTheme="majorEastAsia"/>
        </w:rPr>
        <w:t>Die LXX</w:t>
      </w:r>
      <w:r>
        <w:t xml:space="preserve"> übersetzt „nur das Blut sollt ihr nicht essen" mit „π</w:t>
      </w:r>
      <w:proofErr w:type="spellStart"/>
      <w:r>
        <w:t>λὴν</w:t>
      </w:r>
      <w:proofErr w:type="spellEnd"/>
      <w:r>
        <w:t xml:space="preserve"> α</w:t>
      </w:r>
      <w:proofErr w:type="spellStart"/>
      <w:r>
        <w:t>ἷμ</w:t>
      </w:r>
      <w:proofErr w:type="spellEnd"/>
      <w:r>
        <w:t xml:space="preserve">α </w:t>
      </w:r>
      <w:proofErr w:type="spellStart"/>
      <w:r>
        <w:t>οὐ</w:t>
      </w:r>
      <w:proofErr w:type="spellEnd"/>
      <w:r>
        <w:t xml:space="preserve"> </w:t>
      </w:r>
      <w:proofErr w:type="spellStart"/>
      <w:r>
        <w:t>φάγεσθε</w:t>
      </w:r>
      <w:proofErr w:type="spellEnd"/>
      <w:r>
        <w:t xml:space="preserve">", „auf die Erde sollt ihr es gießen" mit „ἐπὶ τὴν </w:t>
      </w:r>
      <w:proofErr w:type="spellStart"/>
      <w:r>
        <w:t>γῆν</w:t>
      </w:r>
      <w:proofErr w:type="spellEnd"/>
      <w:r>
        <w:t xml:space="preserve"> </w:t>
      </w:r>
      <w:proofErr w:type="spellStart"/>
      <w:r>
        <w:t>ἐκχεεῖς</w:t>
      </w:r>
      <w:proofErr w:type="spellEnd"/>
      <w:r>
        <w:t xml:space="preserve"> α</w:t>
      </w:r>
      <w:proofErr w:type="spellStart"/>
      <w:r>
        <w:t>ὐτὸ</w:t>
      </w:r>
      <w:proofErr w:type="spellEnd"/>
      <w:r>
        <w:t>" und „wie Wasser" mit „</w:t>
      </w:r>
      <w:proofErr w:type="spellStart"/>
      <w:r>
        <w:t>ὡς</w:t>
      </w:r>
      <w:proofErr w:type="spellEnd"/>
      <w:r>
        <w:t xml:space="preserve"> </w:t>
      </w:r>
      <w:proofErr w:type="spellStart"/>
      <w:r>
        <w:t>ὕδωρ</w:t>
      </w:r>
      <w:proofErr w:type="spellEnd"/>
      <w:r>
        <w:t>".</w:t>
      </w:r>
    </w:p>
    <w:p w14:paraId="59E85B59" w14:textId="77777777" w:rsidR="00724090" w:rsidRDefault="00724090" w:rsidP="00724090">
      <w:pPr>
        <w:pStyle w:val="whitespace-normal"/>
      </w:pPr>
      <w:r>
        <w:rPr>
          <w:rStyle w:val="Fett"/>
          <w:rFonts w:eastAsiaTheme="majorEastAsia"/>
        </w:rPr>
        <w:t>Die Satzstruktur</w:t>
      </w:r>
      <w:r>
        <w:t xml:space="preserve"> besteht aus zwei koordinierten Imperativen: Erster Imperativ mit restriktiver Partikel (nur), vorangestelltem direktem Objekt (das Blut), Negation (nicht) und Prädikat (sollt essen); zweiter Imperativ mit vorangestellter lokaler Bestimmung (auf die Erde), Prädikat mit integriertem direktem Objekt (sollt es gießen) und Vergleich (wie Wasser).</w:t>
      </w:r>
    </w:p>
    <w:p w14:paraId="42055D71" w14:textId="77777777" w:rsidR="00724090" w:rsidRDefault="00724090" w:rsidP="00724090">
      <w:pPr>
        <w:pStyle w:val="whitespace-normal"/>
      </w:pPr>
      <w:r>
        <w:t>Der Vers formuliert die entscheidende Einschränkung zur profanen Schlachtung: Das Blut darf niemals gegessen werden, sondern muss auf die Erde gegossen werden wie Wasser.</w:t>
      </w:r>
    </w:p>
    <w:p w14:paraId="62DE9868"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12,17</w:t>
      </w:r>
    </w:p>
    <w:p w14:paraId="1089BE40" w14:textId="77777777" w:rsidR="00724090" w:rsidRDefault="00724090" w:rsidP="00724090">
      <w:pPr>
        <w:pStyle w:val="whitespace-normal"/>
      </w:pPr>
      <w:r>
        <w:rPr>
          <w:rStyle w:val="Fett"/>
          <w:rFonts w:eastAsiaTheme="majorEastAsia"/>
        </w:rPr>
        <w:t>Hebräisch:</w:t>
      </w:r>
      <w:r>
        <w:t xml:space="preserve"> </w:t>
      </w:r>
      <w:r>
        <w:rPr>
          <w:rtl/>
        </w:rPr>
        <w:t>לֹֽא־תוּכַ֞ל לֶאֱכֹ֣ל בִּשְׁעָרֶ֗יךָ מַעְשַׂ֤ר דְּגָֽנְךָ֙ וְתִֽירֹשְׁךָ֣ וְיִצְהָרֶ֔ךָ וּבְכֹרֹ֥ת בְּקָרְךָ֖ וְצֹאנֶ֑ךָ וְכָל־נְדָרֶ֨יךָ֙ אֲשֶׁ֣ר תִּדֹּ֔ר וְנִדְבֹתֶ֖יךָ וּתְרוּמַ֥ת יָדֶֽךָ׃</w:t>
      </w:r>
    </w:p>
    <w:p w14:paraId="0F546961" w14:textId="37637514" w:rsidR="00724090" w:rsidRDefault="00724090" w:rsidP="00724090">
      <w:pPr>
        <w:pStyle w:val="whitespace-normal"/>
      </w:pPr>
      <w:r>
        <w:rPr>
          <w:rStyle w:val="Fett"/>
          <w:rFonts w:eastAsiaTheme="majorEastAsia"/>
        </w:rPr>
        <w:t>Deutsch:</w:t>
      </w:r>
      <w:r>
        <w:t xml:space="preserve"> Du darfst in deinen Toren nicht essen den Zehnten deines Getreides und deines Mostes und deines Öls, noch die Erstgeburten deines Rind- und deines Kleinviehs, noch alle deine Gelübde, die du gelobst, noch deine freiwilligen Gaben, noch das Hebopfer deiner Hand.</w:t>
      </w:r>
    </w:p>
    <w:p w14:paraId="7D8F4CEA" w14:textId="31A46E78" w:rsidR="009C316F" w:rsidRDefault="004F5CEB" w:rsidP="00724090">
      <w:pPr>
        <w:pStyle w:val="whitespace-normal"/>
      </w:pPr>
      <w:r>
        <w:rPr>
          <w:noProof/>
        </w:rPr>
        <w:pict w14:anchorId="7D86A63D">
          <v:rect id="_x0000_i1389" style="width:0;height:1.5pt" o:hralign="center" o:hrstd="t" o:hr="t" fillcolor="#a0a0a0" stroked="f"/>
        </w:pict>
      </w:r>
    </w:p>
    <w:p w14:paraId="345B76B2"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לֹא־תוּכַל לֶאֱכֹל בִּשְׁעָרֶיךָ</w:t>
      </w:r>
      <w:r>
        <w:rPr>
          <w:rtl/>
        </w:rPr>
        <w:t xml:space="preserve"> </w:t>
      </w:r>
      <w:r>
        <w:t xml:space="preserve">ist die negative Einleitung: </w:t>
      </w:r>
      <w:r>
        <w:rPr>
          <w:rStyle w:val="Fett"/>
          <w:rFonts w:eastAsiaTheme="majorEastAsia"/>
          <w:rtl/>
        </w:rPr>
        <w:t>לֹא־תוּכַל</w:t>
      </w:r>
      <w:r>
        <w:rPr>
          <w:rtl/>
        </w:rPr>
        <w:t xml:space="preserve"> </w:t>
      </w:r>
      <w:r>
        <w:t xml:space="preserve">(Negation </w:t>
      </w:r>
      <w:r>
        <w:rPr>
          <w:rStyle w:val="Fett"/>
          <w:rFonts w:eastAsiaTheme="majorEastAsia"/>
          <w:rtl/>
        </w:rPr>
        <w:t>לֹא</w:t>
      </w:r>
      <w:r>
        <w:rPr>
          <w:rtl/>
        </w:rPr>
        <w:t xml:space="preserve"> </w:t>
      </w:r>
      <w:r>
        <w:t xml:space="preserve">mit </w:t>
      </w:r>
      <w:r>
        <w:rPr>
          <w:rStyle w:val="Fett"/>
          <w:rFonts w:eastAsiaTheme="majorEastAsia"/>
          <w:rtl/>
        </w:rPr>
        <w:t>יכל</w:t>
      </w:r>
      <w:r>
        <w:t xml:space="preserve">, Qal Imperfekt, 2. Person Maskulinum Singular, „können, dürfen, vermögen", „du darfst nicht, du kannst nicht"), </w:t>
      </w:r>
      <w:r>
        <w:rPr>
          <w:rStyle w:val="Fett"/>
          <w:rFonts w:eastAsiaTheme="majorEastAsia"/>
          <w:rtl/>
        </w:rPr>
        <w:t>לֶאֱכֹל</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אכל</w:t>
      </w:r>
      <w:r>
        <w:t xml:space="preserve">, „essen") und </w:t>
      </w:r>
      <w:r>
        <w:rPr>
          <w:rStyle w:val="Fett"/>
          <w:rFonts w:eastAsiaTheme="majorEastAsia"/>
          <w:rtl/>
        </w:rPr>
        <w:t>בִּשְׁעָרֶיךָ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שַׁעַר</w:t>
      </w:r>
      <w:r>
        <w:t xml:space="preserve">, „Tor", Plural mit Suffix 2. Person Maskulinum Singular, „in deinen Toren/Städten") als lokale Bestimmung. Die Konstruktion </w:t>
      </w:r>
      <w:r>
        <w:rPr>
          <w:rStyle w:val="Fett"/>
          <w:rFonts w:eastAsiaTheme="majorEastAsia"/>
          <w:rtl/>
        </w:rPr>
        <w:t>לא יכל ל</w:t>
      </w:r>
      <w:r>
        <w:rPr>
          <w:rtl/>
        </w:rPr>
        <w:t xml:space="preserve"> </w:t>
      </w:r>
      <w:r>
        <w:t>mit Infinitiv drückt Unmöglichkeit oder Verbot aus.</w:t>
      </w:r>
    </w:p>
    <w:p w14:paraId="33E556F1" w14:textId="77777777" w:rsidR="00724090" w:rsidRDefault="00724090" w:rsidP="00724090">
      <w:pPr>
        <w:pStyle w:val="whitespace-normal"/>
      </w:pPr>
      <w:r>
        <w:rPr>
          <w:rStyle w:val="Fett"/>
          <w:rFonts w:eastAsiaTheme="majorEastAsia"/>
          <w:rtl/>
        </w:rPr>
        <w:lastRenderedPageBreak/>
        <w:t>מַעְשַׂר דְּגָנְךָ וְתִירֹשְׁךָ וְיִצְהָרֶךָ וּבְכֹרֹת בְּקָרְךָ וְצֹאנֶךָ וְכָל־נְדָרֶיךָ אֲשֶׁר תִּדֹּר וְנִדְבֹתֶיךָ וּתְרוּמַת יָדֶךָ</w:t>
      </w:r>
      <w:r>
        <w:rPr>
          <w:rtl/>
        </w:rPr>
        <w:t xml:space="preserve"> </w:t>
      </w:r>
      <w:r>
        <w:t xml:space="preserve">ist eine siebengliedrige Aufzählung, die das Objekt des Infinitivs </w:t>
      </w:r>
      <w:r>
        <w:rPr>
          <w:rStyle w:val="Fett"/>
          <w:rFonts w:eastAsiaTheme="majorEastAsia"/>
          <w:rtl/>
        </w:rPr>
        <w:t>לֶאֱכֹל</w:t>
      </w:r>
      <w:r>
        <w:rPr>
          <w:rtl/>
        </w:rPr>
        <w:t xml:space="preserve"> </w:t>
      </w:r>
      <w:r>
        <w:t xml:space="preserve">bildet: </w:t>
      </w:r>
      <w:r>
        <w:rPr>
          <w:rStyle w:val="Fett"/>
          <w:rFonts w:eastAsiaTheme="majorEastAsia"/>
          <w:rtl/>
        </w:rPr>
        <w:t>מַעְשַׂר דְּגָנְךָ וְתִירֹשְׁךָ וְיִצְהָרֶךָ</w:t>
      </w:r>
      <w:r>
        <w:rPr>
          <w:rtl/>
        </w:rPr>
        <w:t xml:space="preserve"> </w:t>
      </w:r>
      <w:r>
        <w:t>(</w:t>
      </w:r>
      <w:r>
        <w:rPr>
          <w:rStyle w:val="Fett"/>
          <w:rFonts w:eastAsiaTheme="majorEastAsia"/>
          <w:rtl/>
        </w:rPr>
        <w:t>מַעֲשֵׂר</w:t>
      </w:r>
      <w:r>
        <w:t xml:space="preserve">, „Zehnt", Singular Construct mit der Trias </w:t>
      </w:r>
      <w:r>
        <w:rPr>
          <w:rStyle w:val="Fett"/>
          <w:rFonts w:eastAsiaTheme="majorEastAsia"/>
          <w:rtl/>
        </w:rPr>
        <w:t>דָּגָן</w:t>
      </w:r>
      <w:r>
        <w:t xml:space="preserve">, „Getreide", </w:t>
      </w:r>
      <w:r>
        <w:rPr>
          <w:rStyle w:val="Fett"/>
          <w:rFonts w:eastAsiaTheme="majorEastAsia"/>
          <w:rtl/>
        </w:rPr>
        <w:t>תִּירוֹשׁ</w:t>
      </w:r>
      <w:r>
        <w:t xml:space="preserve">, „Most", </w:t>
      </w:r>
      <w:r>
        <w:rPr>
          <w:rStyle w:val="Fett"/>
          <w:rFonts w:eastAsiaTheme="majorEastAsia"/>
          <w:rtl/>
        </w:rPr>
        <w:t>יִצְהָר</w:t>
      </w:r>
      <w:r>
        <w:t xml:space="preserve">, „Öl", jeweils mit Suffix 2. Person Maskulinum Singular, vgl. 11,14), </w:t>
      </w:r>
      <w:r>
        <w:rPr>
          <w:rStyle w:val="Fett"/>
          <w:rFonts w:eastAsiaTheme="majorEastAsia"/>
          <w:rtl/>
        </w:rPr>
        <w:t>וּבְכֹרֹת בְּקָרְךָ וְצֹאנֶךָ</w:t>
      </w:r>
      <w:r>
        <w:rPr>
          <w:rtl/>
        </w:rPr>
        <w:t xml:space="preserve"> </w:t>
      </w:r>
      <w:r>
        <w:t>(</w:t>
      </w:r>
      <w:r>
        <w:rPr>
          <w:rStyle w:val="Fett"/>
          <w:rFonts w:eastAsiaTheme="majorEastAsia"/>
          <w:rtl/>
        </w:rPr>
        <w:t>בְּכוֹר</w:t>
      </w:r>
      <w:r>
        <w:t xml:space="preserve">, „Erstgeburt", Plural Construct mit </w:t>
      </w:r>
      <w:r>
        <w:rPr>
          <w:rStyle w:val="Fett"/>
          <w:rFonts w:eastAsiaTheme="majorEastAsia"/>
          <w:rtl/>
        </w:rPr>
        <w:t>בָּקָר</w:t>
      </w:r>
      <w:r>
        <w:t xml:space="preserve">, „Rindvieh", und </w:t>
      </w:r>
      <w:r>
        <w:rPr>
          <w:rStyle w:val="Fett"/>
          <w:rFonts w:eastAsiaTheme="majorEastAsia"/>
          <w:rtl/>
        </w:rPr>
        <w:t>צֹאן</w:t>
      </w:r>
      <w:r>
        <w:t xml:space="preserve">, „Kleinvieh", jeweils mit Suffix 2. Person Maskulinum Singular), </w:t>
      </w:r>
      <w:r>
        <w:rPr>
          <w:rStyle w:val="Fett"/>
          <w:rFonts w:eastAsiaTheme="majorEastAsia"/>
          <w:rtl/>
        </w:rPr>
        <w:t>וְכָל־נְדָרֶיךָ אֲשֶׁר תִּדֹּר</w:t>
      </w:r>
      <w:r>
        <w:rPr>
          <w:rtl/>
        </w:rPr>
        <w:t xml:space="preserve"> </w:t>
      </w:r>
      <w:r>
        <w:t>(</w:t>
      </w:r>
      <w:r>
        <w:rPr>
          <w:rStyle w:val="Fett"/>
          <w:rFonts w:eastAsiaTheme="majorEastAsia"/>
          <w:rtl/>
        </w:rPr>
        <w:t>כֹּל</w:t>
      </w:r>
      <w:r>
        <w:t xml:space="preserve">, „all", mit </w:t>
      </w:r>
      <w:r>
        <w:rPr>
          <w:rStyle w:val="Fett"/>
          <w:rFonts w:eastAsiaTheme="majorEastAsia"/>
          <w:rtl/>
        </w:rPr>
        <w:t>נֶדֶר</w:t>
      </w:r>
      <w:r>
        <w:t xml:space="preserve">, „Gelübde", Plural mit Suffix 2. Person Maskulinum Singular, und Relativsatz: </w:t>
      </w:r>
      <w:r>
        <w:rPr>
          <w:rStyle w:val="Fett"/>
          <w:rFonts w:eastAsiaTheme="majorEastAsia"/>
          <w:rtl/>
        </w:rPr>
        <w:t>אֲשֶׁר</w:t>
      </w:r>
      <w:r>
        <w:rPr>
          <w:rtl/>
        </w:rPr>
        <w:t xml:space="preserve"> </w:t>
      </w:r>
      <w:r>
        <w:t xml:space="preserve">mit </w:t>
      </w:r>
      <w:r>
        <w:rPr>
          <w:rStyle w:val="Fett"/>
          <w:rFonts w:eastAsiaTheme="majorEastAsia"/>
          <w:rtl/>
        </w:rPr>
        <w:t>תִּדֹּר</w:t>
      </w:r>
      <w:r>
        <w:t xml:space="preserve">, Qal Imperfekt, 2. Person Maskulinum Singular von </w:t>
      </w:r>
      <w:r>
        <w:rPr>
          <w:rStyle w:val="Fett"/>
          <w:rFonts w:eastAsiaTheme="majorEastAsia"/>
          <w:rtl/>
        </w:rPr>
        <w:t>נדר</w:t>
      </w:r>
      <w:r>
        <w:t xml:space="preserve">, „geloben"), </w:t>
      </w:r>
      <w:r>
        <w:rPr>
          <w:rStyle w:val="Fett"/>
          <w:rFonts w:eastAsiaTheme="majorEastAsia"/>
          <w:rtl/>
        </w:rPr>
        <w:t>וְנִדְבֹתֶיךָ</w:t>
      </w:r>
      <w:r>
        <w:rPr>
          <w:rtl/>
        </w:rPr>
        <w:t xml:space="preserve"> </w:t>
      </w:r>
      <w:r>
        <w:t>(</w:t>
      </w:r>
      <w:r>
        <w:rPr>
          <w:rStyle w:val="Fett"/>
          <w:rFonts w:eastAsiaTheme="majorEastAsia"/>
          <w:rtl/>
        </w:rPr>
        <w:t>נְדָבָה</w:t>
      </w:r>
      <w:r>
        <w:t xml:space="preserve">, „freiwillige Gabe", Plural mit Suffix 2. Person Maskulinum Singular) und </w:t>
      </w:r>
      <w:r>
        <w:rPr>
          <w:rStyle w:val="Fett"/>
          <w:rFonts w:eastAsiaTheme="majorEastAsia"/>
          <w:rtl/>
        </w:rPr>
        <w:t>וּתְרוּמַת יָדֶךָ</w:t>
      </w:r>
      <w:r>
        <w:rPr>
          <w:rtl/>
        </w:rPr>
        <w:t xml:space="preserve"> </w:t>
      </w:r>
      <w:r>
        <w:t>(</w:t>
      </w:r>
      <w:r>
        <w:rPr>
          <w:rStyle w:val="Fett"/>
          <w:rFonts w:eastAsiaTheme="majorEastAsia"/>
          <w:rtl/>
        </w:rPr>
        <w:t>תְּרוּמָה</w:t>
      </w:r>
      <w:r>
        <w:t xml:space="preserve">, „Hebopfer", Construct mit </w:t>
      </w:r>
      <w:r>
        <w:rPr>
          <w:rStyle w:val="Fett"/>
          <w:rFonts w:eastAsiaTheme="majorEastAsia"/>
          <w:rtl/>
        </w:rPr>
        <w:t>יָד</w:t>
      </w:r>
      <w:r>
        <w:t>, „Hand", mit Suffix 2. Person Maskulinum Singular).</w:t>
      </w:r>
    </w:p>
    <w:p w14:paraId="004531F3" w14:textId="77777777" w:rsidR="00724090" w:rsidRDefault="00724090" w:rsidP="00724090">
      <w:pPr>
        <w:pStyle w:val="whitespace-normal"/>
      </w:pPr>
      <w:r>
        <w:t xml:space="preserve">Die Aufzählung ist umfassend und listet alle heiligen Gaben auf, die zum zentralen Heiligtum gebracht werden müssen (vgl. V. 6.11). Im Gegensatz zum profanen Fleisch (V. 15), das überall gegessen werden darf, müssen diese geheiligten Gaben am zentralen Heiligtum verzehrt werden. Die Trias </w:t>
      </w:r>
      <w:r>
        <w:rPr>
          <w:rStyle w:val="Fett"/>
          <w:rFonts w:eastAsiaTheme="majorEastAsia"/>
          <w:rtl/>
        </w:rPr>
        <w:t>דָּגָן</w:t>
      </w:r>
      <w:r>
        <w:t xml:space="preserve">, </w:t>
      </w:r>
      <w:r>
        <w:rPr>
          <w:rStyle w:val="Fett"/>
          <w:rFonts w:eastAsiaTheme="majorEastAsia"/>
          <w:rtl/>
        </w:rPr>
        <w:t>תִּירוֹשׁ</w:t>
      </w:r>
      <w:r>
        <w:t xml:space="preserve">, </w:t>
      </w:r>
      <w:r>
        <w:rPr>
          <w:rStyle w:val="Fett"/>
          <w:rFonts w:eastAsiaTheme="majorEastAsia"/>
          <w:rtl/>
        </w:rPr>
        <w:t>יִצְהָר</w:t>
      </w:r>
      <w:r>
        <w:rPr>
          <w:rtl/>
        </w:rPr>
        <w:t xml:space="preserve"> </w:t>
      </w:r>
      <w:r>
        <w:t>ist eine feste deuteronomische Formel für die Hauptprodukte des Landes. Die siebengliedrige Struktur (Zehnten + Erstgeburten + Gelübde + Freiwillige Gaben + Hebopfer, wobei einige Glieder mehrfach unterteilt sind) symbolisiert Vollständigkeit.</w:t>
      </w:r>
    </w:p>
    <w:p w14:paraId="7999D4F2" w14:textId="77777777" w:rsidR="00724090" w:rsidRDefault="00724090" w:rsidP="00724090">
      <w:pPr>
        <w:pStyle w:val="whitespace-normal"/>
      </w:pPr>
      <w:r>
        <w:rPr>
          <w:rStyle w:val="Fett"/>
          <w:rFonts w:eastAsiaTheme="majorEastAsia"/>
        </w:rPr>
        <w:t>Die LXX</w:t>
      </w:r>
      <w:r>
        <w:t xml:space="preserve"> übersetzt „du darfst nicht essen" mit „</w:t>
      </w:r>
      <w:proofErr w:type="spellStart"/>
      <w:r>
        <w:t>οὐ</w:t>
      </w:r>
      <w:proofErr w:type="spellEnd"/>
      <w:r>
        <w:t xml:space="preserve"> </w:t>
      </w:r>
      <w:proofErr w:type="spellStart"/>
      <w:r>
        <w:t>δυνήσῃ</w:t>
      </w:r>
      <w:proofErr w:type="spellEnd"/>
      <w:r>
        <w:t xml:space="preserve"> φα</w:t>
      </w:r>
      <w:proofErr w:type="spellStart"/>
      <w:r>
        <w:t>γεῖν</w:t>
      </w:r>
      <w:proofErr w:type="spellEnd"/>
      <w:r>
        <w:t>", „in deinen Toren" mit „</w:t>
      </w:r>
      <w:proofErr w:type="spellStart"/>
      <w:r>
        <w:t>ἐν</w:t>
      </w:r>
      <w:proofErr w:type="spellEnd"/>
      <w:r>
        <w:t xml:space="preserve"> τα</w:t>
      </w:r>
      <w:proofErr w:type="spellStart"/>
      <w:r>
        <w:t>ῖς</w:t>
      </w:r>
      <w:proofErr w:type="spellEnd"/>
      <w:r>
        <w:t xml:space="preserve"> π</w:t>
      </w:r>
      <w:proofErr w:type="spellStart"/>
      <w:r>
        <w:t>όλεσίν</w:t>
      </w:r>
      <w:proofErr w:type="spellEnd"/>
      <w:r>
        <w:t xml:space="preserve"> </w:t>
      </w:r>
      <w:proofErr w:type="spellStart"/>
      <w:r>
        <w:t>σου</w:t>
      </w:r>
      <w:proofErr w:type="spellEnd"/>
      <w:r>
        <w:t>", die Trias „Getreide, Most, Öl" mit „</w:t>
      </w:r>
      <w:proofErr w:type="spellStart"/>
      <w:r>
        <w:t>τὸν</w:t>
      </w:r>
      <w:proofErr w:type="spellEnd"/>
      <w:r>
        <w:t xml:space="preserve"> </w:t>
      </w:r>
      <w:proofErr w:type="spellStart"/>
      <w:r>
        <w:t>δέκ</w:t>
      </w:r>
      <w:proofErr w:type="spellEnd"/>
      <w:r>
        <w:t xml:space="preserve">ατον </w:t>
      </w:r>
      <w:proofErr w:type="spellStart"/>
      <w:r>
        <w:t>τοῦ</w:t>
      </w:r>
      <w:proofErr w:type="spellEnd"/>
      <w:r>
        <w:t xml:space="preserve"> </w:t>
      </w:r>
      <w:proofErr w:type="spellStart"/>
      <w:r>
        <w:t>σίτου</w:t>
      </w:r>
      <w:proofErr w:type="spellEnd"/>
      <w:r>
        <w:t xml:space="preserve"> </w:t>
      </w:r>
      <w:proofErr w:type="spellStart"/>
      <w:r>
        <w:t>σου</w:t>
      </w:r>
      <w:proofErr w:type="spellEnd"/>
      <w:r>
        <w:t xml:space="preserve"> καὶ </w:t>
      </w:r>
      <w:proofErr w:type="spellStart"/>
      <w:r>
        <w:t>τοῦ</w:t>
      </w:r>
      <w:proofErr w:type="spellEnd"/>
      <w:r>
        <w:t xml:space="preserve"> </w:t>
      </w:r>
      <w:proofErr w:type="spellStart"/>
      <w:r>
        <w:t>οἴνου</w:t>
      </w:r>
      <w:proofErr w:type="spellEnd"/>
      <w:r>
        <w:t xml:space="preserve"> </w:t>
      </w:r>
      <w:proofErr w:type="spellStart"/>
      <w:r>
        <w:t>σου</w:t>
      </w:r>
      <w:proofErr w:type="spellEnd"/>
      <w:r>
        <w:t xml:space="preserve"> καὶ </w:t>
      </w:r>
      <w:proofErr w:type="spellStart"/>
      <w:r>
        <w:t>τοῦ</w:t>
      </w:r>
      <w:proofErr w:type="spellEnd"/>
      <w:r>
        <w:t xml:space="preserve"> </w:t>
      </w:r>
      <w:proofErr w:type="spellStart"/>
      <w:r>
        <w:t>ἐλ</w:t>
      </w:r>
      <w:proofErr w:type="spellEnd"/>
      <w:r>
        <w:t xml:space="preserve">αίου </w:t>
      </w:r>
      <w:proofErr w:type="spellStart"/>
      <w:r>
        <w:t>σου</w:t>
      </w:r>
      <w:proofErr w:type="spellEnd"/>
      <w:r>
        <w:t>" und „Erstgeburten" mit „</w:t>
      </w:r>
      <w:proofErr w:type="spellStart"/>
      <w:r>
        <w:t>τὰ</w:t>
      </w:r>
      <w:proofErr w:type="spellEnd"/>
      <w:r>
        <w:t xml:space="preserve"> π</w:t>
      </w:r>
      <w:proofErr w:type="spellStart"/>
      <w:r>
        <w:t>ρωτότοκ</w:t>
      </w:r>
      <w:proofErr w:type="spellEnd"/>
      <w:r>
        <w:t>α".</w:t>
      </w:r>
    </w:p>
    <w:p w14:paraId="1D8B456C" w14:textId="77777777" w:rsidR="00724090" w:rsidRDefault="00724090" w:rsidP="00724090">
      <w:pPr>
        <w:pStyle w:val="whitespace-normal"/>
      </w:pPr>
      <w:r>
        <w:rPr>
          <w:rStyle w:val="Fett"/>
          <w:rFonts w:eastAsiaTheme="majorEastAsia"/>
        </w:rPr>
        <w:t>Die Satzstruktur</w:t>
      </w:r>
      <w:r>
        <w:t xml:space="preserve"> besteht aus einer negativen Konstruktion mit Infinitiv, lokaler Bestimmung und siebengliedriger Aufzählung: Negation mit modalem Verb (du darfst nicht), Infinitiv (essen), lokale Bestimmung (in deinen Toren), siebengliedriges direktes Objekt (den Zehnten deines Getreides, deines Mostes und deines Öls; die Erstgeburten deines Rind- und Kleinviehs; alle deine Gelübde, die du gelobst; deine freiwilligen Gaben; das Hebopfer deiner Hand).</w:t>
      </w:r>
    </w:p>
    <w:p w14:paraId="02F30BB1" w14:textId="77777777" w:rsidR="00724090" w:rsidRDefault="00724090" w:rsidP="00724090">
      <w:pPr>
        <w:pStyle w:val="whitespace-normal"/>
      </w:pPr>
      <w:r>
        <w:t>Der Vers verbietet den Verzehr heiliger Gaben in den eigenen Städten: Zehnten, Erstgeburten, Gelübde, freiwillige Gaben und Hebopfer dürfen nur am zentralen Heiligtum gegessen werden – im Gegensatz zum profanen Fleisch aus V. 15.</w:t>
      </w:r>
    </w:p>
    <w:p w14:paraId="328E74AD"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12,18</w:t>
      </w:r>
    </w:p>
    <w:p w14:paraId="1E1EE8F7" w14:textId="77777777" w:rsidR="00724090" w:rsidRDefault="00724090" w:rsidP="00724090">
      <w:pPr>
        <w:pStyle w:val="whitespace-normal"/>
      </w:pPr>
      <w:r>
        <w:rPr>
          <w:rStyle w:val="Fett"/>
          <w:rFonts w:eastAsiaTheme="majorEastAsia"/>
        </w:rPr>
        <w:t>Hebräisch:</w:t>
      </w:r>
      <w:r>
        <w:t xml:space="preserve"> </w:t>
      </w:r>
      <w:r>
        <w:rPr>
          <w:rtl/>
        </w:rPr>
        <w:t>כִּ֡י אִם־לִפְנֵי֩ יְהוָ֨ה אֱלֹהֶ֜יךָ תֹּאכְלֶ֗נּוּ בַּמָּקוֹם֙ אֲשֶׁ֨ר יִבְחַ֜ר יְהוָ֣ה אֱלֹהֶיךָ֮ בּוֹ֒ אַתָּ֨ה וּבִנְךָ֤ וּבִתֶּ֨ךָ֙ וְעַבְדְּךָ֣ וַאֲמָתֶ֔ךָ וְהַלֵּוִ֖י אֲשֶׁ֣ר בִּשְׁעָרֶ֑יךָ וְשָׂמַחְתָּ֗ לִפְנֵי֙ יְהוָ֣ה אֱלֹהֶ֔יךָ בְּכֹ֖ל מִשְׁלַ֥ח יָדֶֽךָ׃</w:t>
      </w:r>
    </w:p>
    <w:p w14:paraId="22DC1696" w14:textId="0C2EB243" w:rsidR="00724090" w:rsidRDefault="00724090" w:rsidP="00724090">
      <w:pPr>
        <w:pStyle w:val="whitespace-normal"/>
      </w:pPr>
      <w:r>
        <w:rPr>
          <w:rStyle w:val="Fett"/>
          <w:rFonts w:eastAsiaTheme="majorEastAsia"/>
        </w:rPr>
        <w:t>Deutsch:</w:t>
      </w:r>
      <w:r>
        <w:t xml:space="preserve"> Sondern vor dem Ewigen, deinem Gott, an dem Ort, den der Ewige, dein Gott, erwählen wird, sollst du es essen, du und dein Sohn und deine Tochter und dein Knecht und deine Magd und Levi, der in deinen Toren ist; und du sollst dich vor dem Ewigen, deinem Gott, erfreuen an allem Erwerb deiner Hand.</w:t>
      </w:r>
    </w:p>
    <w:p w14:paraId="76795E72" w14:textId="2E59A8B7" w:rsidR="009C316F" w:rsidRDefault="004F5CEB" w:rsidP="00724090">
      <w:pPr>
        <w:pStyle w:val="whitespace-normal"/>
      </w:pPr>
      <w:r>
        <w:rPr>
          <w:noProof/>
        </w:rPr>
        <w:pict w14:anchorId="29293EC4">
          <v:rect id="_x0000_i1390" style="width:0;height:1.5pt" o:hralign="center" o:hrstd="t" o:hr="t" fillcolor="#a0a0a0" stroked="f"/>
        </w:pict>
      </w:r>
    </w:p>
    <w:p w14:paraId="705B3D93" w14:textId="77777777" w:rsidR="00724090" w:rsidRDefault="00724090" w:rsidP="00724090">
      <w:pPr>
        <w:pStyle w:val="whitespace-normal"/>
      </w:pPr>
      <w:r>
        <w:rPr>
          <w:rStyle w:val="Fett"/>
          <w:rFonts w:eastAsiaTheme="majorEastAsia"/>
        </w:rPr>
        <w:lastRenderedPageBreak/>
        <w:t>Kommentar:</w:t>
      </w:r>
      <w:r>
        <w:t xml:space="preserve"> </w:t>
      </w:r>
      <w:r>
        <w:rPr>
          <w:rStyle w:val="Fett"/>
          <w:rFonts w:eastAsiaTheme="majorEastAsia"/>
          <w:rtl/>
        </w:rPr>
        <w:t>כִּי אִם־לִפְנֵי יְהוָה אֱלֹהֶיךָ תֹּאכְלֶנּוּ בַּמָּקוֹם אֲשֶׁר יִבְחַר יְהוָה אֱלֹהֶיךָ בּוֹ</w:t>
      </w:r>
      <w:r>
        <w:rPr>
          <w:rtl/>
        </w:rPr>
        <w:t xml:space="preserve"> </w:t>
      </w:r>
      <w:r>
        <w:t xml:space="preserve">ist eine adversative Konstruktion mit Relativsatz: </w:t>
      </w:r>
      <w:r>
        <w:rPr>
          <w:rStyle w:val="Fett"/>
          <w:rFonts w:eastAsiaTheme="majorEastAsia"/>
          <w:rtl/>
        </w:rPr>
        <w:t>כִּי אִם</w:t>
      </w:r>
      <w:r>
        <w:rPr>
          <w:rtl/>
        </w:rPr>
        <w:t xml:space="preserve"> </w:t>
      </w:r>
      <w:r>
        <w:t xml:space="preserve">(„sondern, vielmehr") als adversative Partikel nach dem Verbot in V. 17, </w:t>
      </w:r>
      <w:r>
        <w:rPr>
          <w:rStyle w:val="Fett"/>
          <w:rFonts w:eastAsiaTheme="majorEastAsia"/>
          <w:rtl/>
        </w:rPr>
        <w:t>לִפְנֵי יְהוָה אֱלֹהֶיךָ</w:t>
      </w:r>
      <w:r>
        <w:rPr>
          <w:rtl/>
        </w:rPr>
        <w:t xml:space="preserve"> </w:t>
      </w:r>
      <w:r>
        <w:t xml:space="preserve">(Präposition </w:t>
      </w:r>
      <w:r>
        <w:rPr>
          <w:rStyle w:val="Fett"/>
          <w:rFonts w:eastAsiaTheme="majorEastAsia"/>
          <w:rtl/>
        </w:rPr>
        <w:t>לִפְנֵי</w:t>
      </w:r>
      <w:r>
        <w:t xml:space="preserve">, „vor, vor dem Angesicht", mit </w:t>
      </w:r>
      <w:r>
        <w:rPr>
          <w:rStyle w:val="Fett"/>
          <w:rFonts w:eastAsiaTheme="majorEastAsia"/>
          <w:rtl/>
        </w:rPr>
        <w:t>יְהוָה אֱלֹהֶיךָ</w:t>
      </w:r>
      <w:r>
        <w:t xml:space="preserve">) als vorangestellte lokale Bestimmung, </w:t>
      </w:r>
      <w:r>
        <w:rPr>
          <w:rStyle w:val="Fett"/>
          <w:rFonts w:eastAsiaTheme="majorEastAsia"/>
          <w:rtl/>
        </w:rPr>
        <w:t>תֹּאכְלֶנּוּ</w:t>
      </w:r>
      <w:r>
        <w:rPr>
          <w:rtl/>
        </w:rPr>
        <w:t xml:space="preserve"> </w:t>
      </w:r>
      <w:r>
        <w:t xml:space="preserve">(Qal Imperfekt, 2. Person Maskulinum Singular von </w:t>
      </w:r>
      <w:r>
        <w:rPr>
          <w:rStyle w:val="Fett"/>
          <w:rFonts w:eastAsiaTheme="majorEastAsia"/>
          <w:rtl/>
        </w:rPr>
        <w:t>אכל</w:t>
      </w:r>
      <w:r>
        <w:t xml:space="preserve">, „essen", mit Suffix 3. Person Maskulinum Singular als direktes Objekt, rückverweisend auf die aufgezählten Gaben aus V. 17), </w:t>
      </w:r>
      <w:r>
        <w:rPr>
          <w:rStyle w:val="Fett"/>
          <w:rFonts w:eastAsiaTheme="majorEastAsia"/>
          <w:rtl/>
        </w:rPr>
        <w:t>בַּמָּקוֹם</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מָקוֹם</w:t>
      </w:r>
      <w:r>
        <w:t xml:space="preserve">, „Ort", mit Artikel) als weitere lokale Bestimmung und </w:t>
      </w:r>
      <w:r>
        <w:rPr>
          <w:rStyle w:val="Fett"/>
          <w:rFonts w:eastAsiaTheme="majorEastAsia"/>
          <w:rtl/>
        </w:rPr>
        <w:t>אֲשֶׁר יִבְחַר יְהוָה אֱלֹהֶיךָ בּוֹ</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יִבְחַר</w:t>
      </w:r>
      <w:r>
        <w:t xml:space="preserve">, Qal Imperfekt, 3. Person Maskulinum Singular von </w:t>
      </w:r>
      <w:r>
        <w:rPr>
          <w:rStyle w:val="Fett"/>
          <w:rFonts w:eastAsiaTheme="majorEastAsia"/>
          <w:rtl/>
        </w:rPr>
        <w:t>בחר</w:t>
      </w:r>
      <w:r>
        <w:t xml:space="preserve">, „erwählen", </w:t>
      </w:r>
      <w:r>
        <w:rPr>
          <w:rStyle w:val="Fett"/>
          <w:rFonts w:eastAsiaTheme="majorEastAsia"/>
          <w:rtl/>
        </w:rPr>
        <w:t>יְהוָה אֱלֹהֶיךָ</w:t>
      </w:r>
      <w:r>
        <w:rPr>
          <w:rtl/>
        </w:rPr>
        <w:t xml:space="preserve"> </w:t>
      </w:r>
      <w:r>
        <w:t xml:space="preserve">als Subjekt und </w:t>
      </w:r>
      <w:r>
        <w:rPr>
          <w:rStyle w:val="Fett"/>
          <w:rFonts w:eastAsiaTheme="majorEastAsia"/>
          <w:rtl/>
        </w:rPr>
        <w:t>בּוֹ</w:t>
      </w:r>
      <w:r>
        <w:t xml:space="preserve">, Präposition </w:t>
      </w:r>
      <w:r>
        <w:rPr>
          <w:rStyle w:val="Fett"/>
          <w:rFonts w:eastAsiaTheme="majorEastAsia"/>
          <w:rtl/>
        </w:rPr>
        <w:t>בְּ</w:t>
      </w:r>
      <w:r>
        <w:rPr>
          <w:rtl/>
        </w:rPr>
        <w:t xml:space="preserve"> </w:t>
      </w:r>
      <w:r>
        <w:t xml:space="preserve">mit Suffix 3. Person Maskulinum Singular, rückverweisend auf </w:t>
      </w:r>
      <w:r>
        <w:rPr>
          <w:rStyle w:val="Fett"/>
          <w:rFonts w:eastAsiaTheme="majorEastAsia"/>
          <w:rtl/>
        </w:rPr>
        <w:t>הַמָּקוֹם</w:t>
      </w:r>
      <w:r>
        <w:t xml:space="preserve">). Die doppelte Lokalisierung </w:t>
      </w:r>
      <w:r>
        <w:rPr>
          <w:rStyle w:val="Fett"/>
          <w:rFonts w:eastAsiaTheme="majorEastAsia"/>
          <w:rtl/>
        </w:rPr>
        <w:t>לִפְנֵי יְהוָה</w:t>
      </w:r>
      <w:r>
        <w:rPr>
          <w:rtl/>
        </w:rPr>
        <w:t xml:space="preserve"> </w:t>
      </w:r>
      <w:r>
        <w:t xml:space="preserve">... </w:t>
      </w:r>
      <w:r>
        <w:rPr>
          <w:rStyle w:val="Fett"/>
          <w:rFonts w:eastAsiaTheme="majorEastAsia"/>
          <w:rtl/>
        </w:rPr>
        <w:t>בַּמָּקוֹם אֲשֶׁר יִבְחַר</w:t>
      </w:r>
      <w:r>
        <w:rPr>
          <w:rtl/>
        </w:rPr>
        <w:t xml:space="preserve"> </w:t>
      </w:r>
      <w:r>
        <w:t>betont die Exklusivität.</w:t>
      </w:r>
    </w:p>
    <w:p w14:paraId="77561C5F" w14:textId="77777777" w:rsidR="00724090" w:rsidRDefault="00724090" w:rsidP="00724090">
      <w:pPr>
        <w:pStyle w:val="whitespace-normal"/>
      </w:pPr>
      <w:r>
        <w:rPr>
          <w:rStyle w:val="Fett"/>
          <w:rFonts w:eastAsiaTheme="majorEastAsia"/>
          <w:rtl/>
        </w:rPr>
        <w:t>אַתָּה וּבִנְךָ וּבִתֶּךָ וְעַבְדְּךָ וַאֲמָתֶךָ וְהַלֵּוִי אֲשֶׁר בִּשְׁעָרֶיךָ</w:t>
      </w:r>
      <w:r>
        <w:rPr>
          <w:rtl/>
        </w:rPr>
        <w:t xml:space="preserve"> </w:t>
      </w:r>
      <w:r>
        <w:t xml:space="preserve">ist eine sechsgliedrige Aufzählung der Teilnehmenden: </w:t>
      </w:r>
      <w:r>
        <w:rPr>
          <w:rStyle w:val="Fett"/>
          <w:rFonts w:eastAsiaTheme="majorEastAsia"/>
          <w:rtl/>
        </w:rPr>
        <w:t>אַתָּה</w:t>
      </w:r>
      <w:r>
        <w:rPr>
          <w:rtl/>
        </w:rPr>
        <w:t xml:space="preserve"> </w:t>
      </w:r>
      <w:r>
        <w:t xml:space="preserve">(Personalpronomen 2. Person Maskulinum Singular, „du"), koordiniert durch </w:t>
      </w:r>
      <w:r>
        <w:rPr>
          <w:rStyle w:val="Fett"/>
          <w:rFonts w:eastAsiaTheme="majorEastAsia"/>
          <w:rtl/>
        </w:rPr>
        <w:t>וּ</w:t>
      </w:r>
      <w:r>
        <w:rPr>
          <w:rtl/>
        </w:rPr>
        <w:t xml:space="preserve"> </w:t>
      </w:r>
      <w:r>
        <w:t xml:space="preserve">mit </w:t>
      </w:r>
      <w:r>
        <w:rPr>
          <w:rStyle w:val="Fett"/>
          <w:rFonts w:eastAsiaTheme="majorEastAsia"/>
          <w:rtl/>
        </w:rPr>
        <w:t>בִנְךָ</w:t>
      </w:r>
      <w:r>
        <w:rPr>
          <w:rtl/>
        </w:rPr>
        <w:t xml:space="preserve"> </w:t>
      </w:r>
      <w:r>
        <w:t>(</w:t>
      </w:r>
      <w:r>
        <w:rPr>
          <w:rStyle w:val="Fett"/>
          <w:rFonts w:eastAsiaTheme="majorEastAsia"/>
          <w:rtl/>
        </w:rPr>
        <w:t>בֵּן</w:t>
      </w:r>
      <w:r>
        <w:t xml:space="preserve">, „Sohn", mit Suffix 2. Person Maskulinum Singular), </w:t>
      </w:r>
      <w:r>
        <w:rPr>
          <w:rStyle w:val="Fett"/>
          <w:rFonts w:eastAsiaTheme="majorEastAsia"/>
          <w:rtl/>
        </w:rPr>
        <w:t>וּבִתֶּךָ</w:t>
      </w:r>
      <w:r>
        <w:rPr>
          <w:rtl/>
        </w:rPr>
        <w:t xml:space="preserve"> </w:t>
      </w:r>
      <w:r>
        <w:t>(</w:t>
      </w:r>
      <w:r>
        <w:rPr>
          <w:rStyle w:val="Fett"/>
          <w:rFonts w:eastAsiaTheme="majorEastAsia"/>
          <w:rtl/>
        </w:rPr>
        <w:t>בַּת</w:t>
      </w:r>
      <w:r>
        <w:t xml:space="preserve">, „Tochter", mit Suffix 2. Person Maskulinum Singular), </w:t>
      </w:r>
      <w:r>
        <w:rPr>
          <w:rStyle w:val="Fett"/>
          <w:rFonts w:eastAsiaTheme="majorEastAsia"/>
          <w:rtl/>
        </w:rPr>
        <w:t>וְעַבְדְּךָ</w:t>
      </w:r>
      <w:r>
        <w:rPr>
          <w:rtl/>
        </w:rPr>
        <w:t xml:space="preserve"> </w:t>
      </w:r>
      <w:r>
        <w:t>(</w:t>
      </w:r>
      <w:r>
        <w:rPr>
          <w:rStyle w:val="Fett"/>
          <w:rFonts w:eastAsiaTheme="majorEastAsia"/>
          <w:rtl/>
        </w:rPr>
        <w:t>עֶבֶד</w:t>
      </w:r>
      <w:r>
        <w:t xml:space="preserve">, „Knecht, Sklave", mit Suffix 2. Person Maskulinum Singular), </w:t>
      </w:r>
      <w:r>
        <w:rPr>
          <w:rStyle w:val="Fett"/>
          <w:rFonts w:eastAsiaTheme="majorEastAsia"/>
          <w:rtl/>
        </w:rPr>
        <w:t>וַאֲמָתֶךָ</w:t>
      </w:r>
      <w:r>
        <w:rPr>
          <w:rtl/>
        </w:rPr>
        <w:t xml:space="preserve"> </w:t>
      </w:r>
      <w:r>
        <w:t>(</w:t>
      </w:r>
      <w:r>
        <w:rPr>
          <w:rStyle w:val="Fett"/>
          <w:rFonts w:eastAsiaTheme="majorEastAsia"/>
          <w:rtl/>
        </w:rPr>
        <w:t>אָמָה</w:t>
      </w:r>
      <w:r>
        <w:t xml:space="preserve">, „Magd, Sklavin", mit Suffix 2. Person Maskulinum Singular) und </w:t>
      </w:r>
      <w:r>
        <w:rPr>
          <w:rStyle w:val="Fett"/>
          <w:rFonts w:eastAsiaTheme="majorEastAsia"/>
          <w:rtl/>
        </w:rPr>
        <w:t>וְהַלֵּוִי אֲשֶׁר בִּשְׁעָרֶיךָ</w:t>
      </w:r>
      <w:r>
        <w:rPr>
          <w:rtl/>
        </w:rPr>
        <w:t xml:space="preserve"> </w:t>
      </w:r>
      <w:r>
        <w:t>(</w:t>
      </w:r>
      <w:r>
        <w:rPr>
          <w:rStyle w:val="Fett"/>
          <w:rFonts w:eastAsiaTheme="majorEastAsia"/>
          <w:rtl/>
        </w:rPr>
        <w:t>לֵוִי</w:t>
      </w:r>
      <w:r>
        <w:t xml:space="preserve">, „Levit", mit Artikel, Relativsatz: </w:t>
      </w:r>
      <w:r>
        <w:rPr>
          <w:rStyle w:val="Fett"/>
          <w:rFonts w:eastAsiaTheme="majorEastAsia"/>
          <w:rtl/>
        </w:rPr>
        <w:t>אֲשֶׁר</w:t>
      </w:r>
      <w:r>
        <w:rPr>
          <w:rtl/>
        </w:rPr>
        <w:t xml:space="preserve"> </w:t>
      </w:r>
      <w:r>
        <w:t xml:space="preserve">mit </w:t>
      </w:r>
      <w:r>
        <w:rPr>
          <w:rStyle w:val="Fett"/>
          <w:rFonts w:eastAsiaTheme="majorEastAsia"/>
          <w:rtl/>
        </w:rPr>
        <w:t>בִּשְׁעָרֶיךָ</w:t>
      </w:r>
      <w:r>
        <w:t xml:space="preserve">, Präposition </w:t>
      </w:r>
      <w:r>
        <w:rPr>
          <w:rStyle w:val="Fett"/>
          <w:rFonts w:eastAsiaTheme="majorEastAsia"/>
          <w:rtl/>
        </w:rPr>
        <w:t>בְּ</w:t>
      </w:r>
      <w:r>
        <w:rPr>
          <w:rtl/>
        </w:rPr>
        <w:t xml:space="preserve"> </w:t>
      </w:r>
      <w:r>
        <w:t xml:space="preserve">mit </w:t>
      </w:r>
      <w:r>
        <w:rPr>
          <w:rStyle w:val="Fett"/>
          <w:rFonts w:eastAsiaTheme="majorEastAsia"/>
          <w:rtl/>
        </w:rPr>
        <w:t>שַׁעַר</w:t>
      </w:r>
      <w:r>
        <w:t>, Plural mit Suffix 2. Person Maskulinum Singular). Die Aufzählung ist ähnlich wie in V. 12, jedoch im Singular statt Plural und ohne explizite Nennung der „Töchter" (Plural), sondern nur „deine Tochter" (Singular).</w:t>
      </w:r>
    </w:p>
    <w:p w14:paraId="3D8B5EF9" w14:textId="77777777" w:rsidR="00724090" w:rsidRDefault="00724090" w:rsidP="00724090">
      <w:pPr>
        <w:pStyle w:val="whitespace-normal"/>
      </w:pPr>
      <w:r>
        <w:rPr>
          <w:rStyle w:val="Fett"/>
          <w:rFonts w:eastAsiaTheme="majorEastAsia"/>
          <w:rtl/>
        </w:rPr>
        <w:t>וְשָׂמַחְתָּ לִפְנֵי יְהוָה אֱלֹהֶיךָ בְּכֹל מִשְׁלַח יָדֶךָ</w:t>
      </w:r>
      <w:r>
        <w:rPr>
          <w:rtl/>
        </w:rPr>
        <w:t xml:space="preserve"> </w:t>
      </w:r>
      <w:r>
        <w:t xml:space="preserve">ist der zweite Imperativsatz: </w:t>
      </w:r>
      <w:r>
        <w:rPr>
          <w:rStyle w:val="Fett"/>
          <w:rFonts w:eastAsiaTheme="majorEastAsia"/>
          <w:rtl/>
        </w:rPr>
        <w:t>וְשָׂמַחְתָּ</w:t>
      </w:r>
      <w:r>
        <w:rPr>
          <w:rtl/>
        </w:rPr>
        <w:t xml:space="preserve"> </w:t>
      </w:r>
      <w:r>
        <w:t xml:space="preserve">(Qal Perfekt, 2. Person Maskulinum Singular von </w:t>
      </w:r>
      <w:r>
        <w:rPr>
          <w:rStyle w:val="Fett"/>
          <w:rFonts w:eastAsiaTheme="majorEastAsia"/>
          <w:rtl/>
        </w:rPr>
        <w:t>שׂמח</w:t>
      </w:r>
      <w:r>
        <w:t xml:space="preserve">, „sich freuen", mit </w:t>
      </w:r>
      <w:r>
        <w:rPr>
          <w:rStyle w:val="Fett"/>
          <w:rFonts w:eastAsiaTheme="majorEastAsia"/>
        </w:rPr>
        <w:t>Waw</w:t>
      </w:r>
      <w:r>
        <w:t xml:space="preserve">, imperativisch), </w:t>
      </w:r>
      <w:r>
        <w:rPr>
          <w:rStyle w:val="Fett"/>
          <w:rFonts w:eastAsiaTheme="majorEastAsia"/>
          <w:rtl/>
        </w:rPr>
        <w:t>לִפְנֵי יְהוָה אֱלֹהֶיךָ</w:t>
      </w:r>
      <w:r>
        <w:rPr>
          <w:rtl/>
        </w:rPr>
        <w:t xml:space="preserve"> </w:t>
      </w:r>
      <w:r>
        <w:t xml:space="preserve">als lokale Bestimmung und </w:t>
      </w:r>
      <w:r>
        <w:rPr>
          <w:rStyle w:val="Fett"/>
          <w:rFonts w:eastAsiaTheme="majorEastAsia"/>
          <w:rtl/>
        </w:rPr>
        <w:t>בְּכֹל מִשְׁלַח יָדֶךָ</w:t>
      </w:r>
      <w:r>
        <w:rPr>
          <w:rtl/>
        </w:rPr>
        <w:t xml:space="preserve"> </w:t>
      </w:r>
      <w:r>
        <w:t xml:space="preserve">(Präposition </w:t>
      </w:r>
      <w:r>
        <w:rPr>
          <w:rStyle w:val="Fett"/>
          <w:rFonts w:eastAsiaTheme="majorEastAsia"/>
          <w:rtl/>
        </w:rPr>
        <w:t>בְּ</w:t>
      </w:r>
      <w:r>
        <w:t xml:space="preserve">, „an, über", mit </w:t>
      </w:r>
      <w:r>
        <w:rPr>
          <w:rStyle w:val="Fett"/>
          <w:rFonts w:eastAsiaTheme="majorEastAsia"/>
          <w:rtl/>
        </w:rPr>
        <w:t>כֹּל</w:t>
      </w:r>
      <w:r>
        <w:rPr>
          <w:rtl/>
        </w:rPr>
        <w:t xml:space="preserve"> </w:t>
      </w:r>
      <w:r>
        <w:t xml:space="preserve">im Construct mit </w:t>
      </w:r>
      <w:r>
        <w:rPr>
          <w:rStyle w:val="Fett"/>
          <w:rFonts w:eastAsiaTheme="majorEastAsia"/>
          <w:rtl/>
        </w:rPr>
        <w:t>מִשְׁלַח</w:t>
      </w:r>
      <w:r>
        <w:t xml:space="preserve">, „Aussendung, Unternehmen, Erwerb", Singular Construct mit </w:t>
      </w:r>
      <w:r>
        <w:rPr>
          <w:rStyle w:val="Fett"/>
          <w:rFonts w:eastAsiaTheme="majorEastAsia"/>
          <w:rtl/>
        </w:rPr>
        <w:t>יָד</w:t>
      </w:r>
      <w:r>
        <w:t>, „Hand", mit Suffix 2. Person Maskulinum Singular) als modale Bestimmung. Diese Formulierung wiederholt V. 7 fast wörtlich.</w:t>
      </w:r>
    </w:p>
    <w:p w14:paraId="26C7570B" w14:textId="77777777" w:rsidR="00724090" w:rsidRDefault="00724090" w:rsidP="00724090">
      <w:pPr>
        <w:pStyle w:val="whitespace-normal"/>
      </w:pPr>
      <w:r>
        <w:t xml:space="preserve">Die Syntax zeigt den Kontrast zu V. 17: Die heiligen Gaben dürfen nicht in den eigenen Städten gegessen werden, sondern nur vor JHWH am zentralen Heiligtum. Die Wiederholung der Formel </w:t>
      </w:r>
      <w:r>
        <w:rPr>
          <w:rStyle w:val="Fett"/>
          <w:rFonts w:eastAsiaTheme="majorEastAsia"/>
          <w:rtl/>
        </w:rPr>
        <w:t>לִפְנֵי יְהוָה</w:t>
      </w:r>
      <w:r>
        <w:rPr>
          <w:rtl/>
        </w:rPr>
        <w:t xml:space="preserve"> </w:t>
      </w:r>
      <w:r>
        <w:t xml:space="preserve">betont die kultische Dimension dieses Essens. Die Einbeziehung der ganzen Familie und besonders des Leviten unterstreicht den gemeinschaftlichen und fröhlichen Charakter. Der Wechsel von Plural in V. 12 zu Singular hier individualisiert die Anrede. Die abschließende Aufforderung zur Freude </w:t>
      </w:r>
      <w:r>
        <w:rPr>
          <w:rStyle w:val="Fett"/>
          <w:rFonts w:eastAsiaTheme="majorEastAsia"/>
          <w:rtl/>
        </w:rPr>
        <w:t>וְשָׂמַחְתָּ</w:t>
      </w:r>
      <w:r>
        <w:rPr>
          <w:rtl/>
        </w:rPr>
        <w:t xml:space="preserve"> </w:t>
      </w:r>
      <w:r>
        <w:t>rahmt die Kultzentralisation positiv: Es geht nicht nur um Verbote und Gebote, sondern um fröhliche Gemeinschaft vor JHWH.</w:t>
      </w:r>
    </w:p>
    <w:p w14:paraId="4862F9A4" w14:textId="77777777" w:rsidR="00724090" w:rsidRDefault="00724090" w:rsidP="00724090">
      <w:pPr>
        <w:pStyle w:val="whitespace-normal"/>
      </w:pPr>
      <w:r>
        <w:rPr>
          <w:rStyle w:val="Fett"/>
          <w:rFonts w:eastAsiaTheme="majorEastAsia"/>
        </w:rPr>
        <w:t>Die LXX</w:t>
      </w:r>
      <w:r>
        <w:t xml:space="preserve"> übersetzt „sondern vor JHWH, deinem Gott" mit „</w:t>
      </w:r>
      <w:proofErr w:type="spellStart"/>
      <w:r>
        <w:t>ἀλλ</w:t>
      </w:r>
      <w:proofErr w:type="spellEnd"/>
      <w:r>
        <w:t xml:space="preserve">᾽ ἢ </w:t>
      </w:r>
      <w:proofErr w:type="spellStart"/>
      <w:r>
        <w:t>ἔν</w:t>
      </w:r>
      <w:proofErr w:type="spellEnd"/>
      <w:r>
        <w:t xml:space="preserve">αντι </w:t>
      </w:r>
      <w:proofErr w:type="spellStart"/>
      <w:r>
        <w:t>κυρίου</w:t>
      </w:r>
      <w:proofErr w:type="spellEnd"/>
      <w:r>
        <w:t xml:space="preserve"> </w:t>
      </w:r>
      <w:proofErr w:type="spellStart"/>
      <w:r>
        <w:t>τοῦ</w:t>
      </w:r>
      <w:proofErr w:type="spellEnd"/>
      <w:r>
        <w:t xml:space="preserve"> </w:t>
      </w:r>
      <w:proofErr w:type="spellStart"/>
      <w:r>
        <w:t>θεοῦ</w:t>
      </w:r>
      <w:proofErr w:type="spellEnd"/>
      <w:r>
        <w:t xml:space="preserve"> </w:t>
      </w:r>
      <w:proofErr w:type="spellStart"/>
      <w:r>
        <w:t>σου</w:t>
      </w:r>
      <w:proofErr w:type="spellEnd"/>
      <w:r>
        <w:t>", „sollst du es essen" mit „</w:t>
      </w:r>
      <w:proofErr w:type="spellStart"/>
      <w:r>
        <w:t>φάγῃ</w:t>
      </w:r>
      <w:proofErr w:type="spellEnd"/>
      <w:r>
        <w:t xml:space="preserve"> α</w:t>
      </w:r>
      <w:proofErr w:type="spellStart"/>
      <w:r>
        <w:t>ὐτά</w:t>
      </w:r>
      <w:proofErr w:type="spellEnd"/>
      <w:r>
        <w:t>", die Aufzählung parallel zum Hebräischen und „sollst dich erfreuen" mit „</w:t>
      </w:r>
      <w:proofErr w:type="spellStart"/>
      <w:r>
        <w:t>εὐφρ</w:t>
      </w:r>
      <w:proofErr w:type="spellEnd"/>
      <w:r>
        <w:t>ανθήσῃ".</w:t>
      </w:r>
    </w:p>
    <w:p w14:paraId="180FEEB5" w14:textId="77777777" w:rsidR="00724090" w:rsidRDefault="00724090" w:rsidP="00724090">
      <w:pPr>
        <w:pStyle w:val="whitespace-normal"/>
      </w:pPr>
      <w:r>
        <w:rPr>
          <w:rStyle w:val="Fett"/>
          <w:rFonts w:eastAsiaTheme="majorEastAsia"/>
        </w:rPr>
        <w:t>Die Satzstruktur</w:t>
      </w:r>
      <w:r>
        <w:t xml:space="preserve"> besteht aus einer adversativen Einleitung mit Relativsatz, sechsgliedriger Aufzählung und abschließendem Imperativ: Adversative Partikel (sondern), vorangestellte lokale Bestimmung (vor JHWH, deinem Gott), Prädikat mit integriertem direktem Objekt (sollst es essen), weitere lokale Bestimmung (an dem Ort), Relativsatz mit Prädikat (erwählen wird), Subjekt (JHWH, dein Gott), präpositionalem Objekt (ihn); sechsgliedrige Aufzählung (du, dein Sohn, deine Tochter, dein Knecht, deine Magd, der Levit, der in deinen Toren ist); </w:t>
      </w:r>
      <w:r>
        <w:lastRenderedPageBreak/>
        <w:t>zweiter Imperativ (sollst dich erfreuen), lokale Bestimmung (vor JHWH, deinem Gott), modale Bestimmung (an allem Erwerb deiner Hand).</w:t>
      </w:r>
    </w:p>
    <w:p w14:paraId="36455F56" w14:textId="77777777" w:rsidR="00724090" w:rsidRDefault="00724090" w:rsidP="00724090">
      <w:pPr>
        <w:pStyle w:val="whitespace-normal"/>
      </w:pPr>
      <w:r>
        <w:t>Der Vers formuliert positiv die Pflicht zum Verzehr heiliger Gaben am zentralen Heiligtum: Dort sollen sie vor JHWH mit der ganzen Familie und dem Leviten in Freude gegessen werden.</w:t>
      </w:r>
    </w:p>
    <w:p w14:paraId="1E6727F5"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12,19</w:t>
      </w:r>
    </w:p>
    <w:p w14:paraId="7674A0F1" w14:textId="77777777" w:rsidR="00724090" w:rsidRDefault="00724090" w:rsidP="00724090">
      <w:pPr>
        <w:pStyle w:val="whitespace-normal"/>
      </w:pPr>
      <w:r>
        <w:rPr>
          <w:rStyle w:val="Fett"/>
          <w:rFonts w:eastAsiaTheme="majorEastAsia"/>
        </w:rPr>
        <w:t>Hebräisch:</w:t>
      </w:r>
      <w:r>
        <w:t xml:space="preserve"> </w:t>
      </w:r>
      <w:r>
        <w:rPr>
          <w:rtl/>
        </w:rPr>
        <w:t>הִשָּׁ֣מֶר לְךָ֔ פֶּֽן־תַּעֲזֹ֖ב אֶת־הַלֵּוִ֑י כָּל־יָמֶ֖יךָ עַל־אַדְמָתֶֽךָ׃</w:t>
      </w:r>
    </w:p>
    <w:p w14:paraId="734F2D91" w14:textId="40AA4135" w:rsidR="00724090" w:rsidRDefault="00724090" w:rsidP="00724090">
      <w:pPr>
        <w:pStyle w:val="whitespace-normal"/>
      </w:pPr>
      <w:r>
        <w:rPr>
          <w:rStyle w:val="Fett"/>
          <w:rFonts w:eastAsiaTheme="majorEastAsia"/>
        </w:rPr>
        <w:t>Deutsch:</w:t>
      </w:r>
      <w:r>
        <w:t xml:space="preserve"> Hüte dich, dass du Levi nicht alle deine Tage in deinem Land verlässt.</w:t>
      </w:r>
    </w:p>
    <w:p w14:paraId="5E946817" w14:textId="4B1BFFB8" w:rsidR="009C316F" w:rsidRDefault="004F5CEB" w:rsidP="00724090">
      <w:pPr>
        <w:pStyle w:val="whitespace-normal"/>
      </w:pPr>
      <w:r>
        <w:rPr>
          <w:noProof/>
        </w:rPr>
        <w:pict w14:anchorId="7E6A3263">
          <v:rect id="_x0000_i1391" style="width:0;height:1.5pt" o:hralign="center" o:hrstd="t" o:hr="t" fillcolor="#a0a0a0" stroked="f"/>
        </w:pict>
      </w:r>
    </w:p>
    <w:p w14:paraId="3F9402CB"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הִשָּׁמֶר לְךָ פֶּן־תַּעֲזֹב אֶת־הַלֵּוִי</w:t>
      </w:r>
      <w:r>
        <w:rPr>
          <w:rtl/>
        </w:rPr>
        <w:t xml:space="preserve"> </w:t>
      </w:r>
      <w:r>
        <w:t xml:space="preserve">ist ein Imperativ mit ethischem Dativ und negativem Finalsatz: </w:t>
      </w:r>
      <w:r>
        <w:rPr>
          <w:rStyle w:val="Fett"/>
          <w:rFonts w:eastAsiaTheme="majorEastAsia"/>
          <w:rtl/>
        </w:rPr>
        <w:t>הִשָּׁמֶר</w:t>
      </w:r>
      <w:r>
        <w:rPr>
          <w:rtl/>
        </w:rPr>
        <w:t xml:space="preserve"> </w:t>
      </w:r>
      <w:r>
        <w:t xml:space="preserve">(Niphal Imperativ, 2. Person Maskulinum Singular von </w:t>
      </w:r>
      <w:r>
        <w:rPr>
          <w:rStyle w:val="Fett"/>
          <w:rFonts w:eastAsiaTheme="majorEastAsia"/>
          <w:rtl/>
        </w:rPr>
        <w:t>שׁמר</w:t>
      </w:r>
      <w:r>
        <w:t xml:space="preserve">, „sich hüten"), </w:t>
      </w:r>
      <w:r>
        <w:rPr>
          <w:rStyle w:val="Fett"/>
          <w:rFonts w:eastAsiaTheme="majorEastAsia"/>
          <w:rtl/>
        </w:rPr>
        <w:t>לְךָ</w:t>
      </w:r>
      <w:r>
        <w:rPr>
          <w:rtl/>
        </w:rPr>
        <w:t xml:space="preserve"> </w:t>
      </w:r>
      <w:r>
        <w:t xml:space="preserve">(Präposition </w:t>
      </w:r>
      <w:r>
        <w:rPr>
          <w:rStyle w:val="Fett"/>
          <w:rFonts w:eastAsiaTheme="majorEastAsia"/>
          <w:rtl/>
        </w:rPr>
        <w:t>לְ</w:t>
      </w:r>
      <w:r>
        <w:rPr>
          <w:rtl/>
        </w:rPr>
        <w:t xml:space="preserve"> </w:t>
      </w:r>
      <w:r>
        <w:t xml:space="preserve">mit Suffix 2. Person Maskulinum Singular als ethischer Dativ), </w:t>
      </w:r>
      <w:r>
        <w:rPr>
          <w:rStyle w:val="Fett"/>
          <w:rFonts w:eastAsiaTheme="majorEastAsia"/>
          <w:rtl/>
        </w:rPr>
        <w:t>פֶּן</w:t>
      </w:r>
      <w:r>
        <w:rPr>
          <w:rtl/>
        </w:rPr>
        <w:t xml:space="preserve"> </w:t>
      </w:r>
      <w:r>
        <w:t xml:space="preserve">(„damit nicht, dass nicht") als negative finale Konjunktion, </w:t>
      </w:r>
      <w:r>
        <w:rPr>
          <w:rStyle w:val="Fett"/>
          <w:rFonts w:eastAsiaTheme="majorEastAsia"/>
          <w:rtl/>
        </w:rPr>
        <w:t>תַּעֲזֹב</w:t>
      </w:r>
      <w:r>
        <w:rPr>
          <w:rtl/>
        </w:rPr>
        <w:t xml:space="preserve"> </w:t>
      </w:r>
      <w:r>
        <w:t xml:space="preserve">(Qal Imperfekt, 2. Person Maskulinum Singular von </w:t>
      </w:r>
      <w:r>
        <w:rPr>
          <w:rStyle w:val="Fett"/>
          <w:rFonts w:eastAsiaTheme="majorEastAsia"/>
          <w:rtl/>
        </w:rPr>
        <w:t>עזב</w:t>
      </w:r>
      <w:r>
        <w:t xml:space="preserve">, „verlassen, im Stich lassen, aufgeben") und </w:t>
      </w:r>
      <w:r>
        <w:rPr>
          <w:rStyle w:val="Fett"/>
          <w:rFonts w:eastAsiaTheme="majorEastAsia"/>
          <w:rtl/>
        </w:rPr>
        <w:t>אֶת־הַלֵּוִי</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לֵוִי</w:t>
      </w:r>
      <w:r>
        <w:t xml:space="preserve">, „Levit", mit Artikel, kollektiv für alle Leviten). Das Verb </w:t>
      </w:r>
      <w:r>
        <w:rPr>
          <w:rStyle w:val="Fett"/>
          <w:rFonts w:eastAsiaTheme="majorEastAsia"/>
          <w:rtl/>
        </w:rPr>
        <w:t>עזב</w:t>
      </w:r>
      <w:r>
        <w:rPr>
          <w:rtl/>
        </w:rPr>
        <w:t xml:space="preserve"> </w:t>
      </w:r>
      <w:r>
        <w:t>bezeichnet das Verlassen oder Vernachlässigen einer Person oder Sache.</w:t>
      </w:r>
    </w:p>
    <w:p w14:paraId="2C3C0DF9" w14:textId="77777777" w:rsidR="00724090" w:rsidRDefault="00724090" w:rsidP="00724090">
      <w:pPr>
        <w:pStyle w:val="whitespace-normal"/>
      </w:pPr>
      <w:r>
        <w:rPr>
          <w:rStyle w:val="Fett"/>
          <w:rFonts w:eastAsiaTheme="majorEastAsia"/>
          <w:rtl/>
        </w:rPr>
        <w:t>כָּל־יָמֶיךָ עַל־אַדְמָתֶךָ</w:t>
      </w:r>
      <w:r>
        <w:rPr>
          <w:rtl/>
        </w:rPr>
        <w:t xml:space="preserve"> </w:t>
      </w:r>
      <w:r>
        <w:t xml:space="preserve">ist eine doppelte temporale und lokale Bestimmung: </w:t>
      </w:r>
      <w:r>
        <w:rPr>
          <w:rStyle w:val="Fett"/>
          <w:rFonts w:eastAsiaTheme="majorEastAsia"/>
          <w:rtl/>
        </w:rPr>
        <w:t>כָּל־יָמֶיךָ</w:t>
      </w:r>
      <w:r>
        <w:rPr>
          <w:rtl/>
        </w:rPr>
        <w:t xml:space="preserve"> </w:t>
      </w:r>
      <w:r>
        <w:t>(</w:t>
      </w:r>
      <w:r>
        <w:rPr>
          <w:rStyle w:val="Fett"/>
          <w:rFonts w:eastAsiaTheme="majorEastAsia"/>
          <w:rtl/>
        </w:rPr>
        <w:t>כֹּל</w:t>
      </w:r>
      <w:r>
        <w:t xml:space="preserve">, „all", im Construct mit </w:t>
      </w:r>
      <w:r>
        <w:rPr>
          <w:rStyle w:val="Fett"/>
          <w:rFonts w:eastAsiaTheme="majorEastAsia"/>
          <w:rtl/>
        </w:rPr>
        <w:t>יוֹם</w:t>
      </w:r>
      <w:r>
        <w:t xml:space="preserve">, „Tag", Plural mit Suffix 2. Person Maskulinum Singular, „alle deine Tage") als temporale Bestimmung und </w:t>
      </w:r>
      <w:r>
        <w:rPr>
          <w:rStyle w:val="Fett"/>
          <w:rFonts w:eastAsiaTheme="majorEastAsia"/>
          <w:rtl/>
        </w:rPr>
        <w:t>עַל־אַדְמָתֶךָ</w:t>
      </w:r>
      <w:r>
        <w:rPr>
          <w:rtl/>
        </w:rPr>
        <w:t xml:space="preserve"> </w:t>
      </w:r>
      <w:r>
        <w:t xml:space="preserve">(Präposition </w:t>
      </w:r>
      <w:r>
        <w:rPr>
          <w:rStyle w:val="Fett"/>
          <w:rFonts w:eastAsiaTheme="majorEastAsia"/>
          <w:rtl/>
        </w:rPr>
        <w:t>עַל</w:t>
      </w:r>
      <w:r>
        <w:t xml:space="preserve">, „auf, in", mit </w:t>
      </w:r>
      <w:r>
        <w:rPr>
          <w:rStyle w:val="Fett"/>
          <w:rFonts w:eastAsiaTheme="majorEastAsia"/>
          <w:rtl/>
        </w:rPr>
        <w:t>אֲדָמָה</w:t>
      </w:r>
      <w:r>
        <w:t xml:space="preserve">, „Erdboden, Land", mit Suffix 2. Person Maskulinum Singular) als lokale Bestimmung. Die Formulierung </w:t>
      </w:r>
      <w:r>
        <w:rPr>
          <w:rStyle w:val="Fett"/>
          <w:rFonts w:eastAsiaTheme="majorEastAsia"/>
          <w:rtl/>
        </w:rPr>
        <w:t>כָּל־יָמֶיךָ עַל־אַדְמָתֶךָ</w:t>
      </w:r>
      <w:r>
        <w:rPr>
          <w:rtl/>
        </w:rPr>
        <w:t xml:space="preserve"> </w:t>
      </w:r>
      <w:r>
        <w:t>(„alle deine Tage auf deinem Land") betont die dauerhafte Verpflichtung während des gesamten Lebens im verheißenen Land.</w:t>
      </w:r>
    </w:p>
    <w:p w14:paraId="16F0D656" w14:textId="77777777" w:rsidR="00724090" w:rsidRDefault="00724090" w:rsidP="00724090">
      <w:pPr>
        <w:pStyle w:val="whitespace-normal"/>
      </w:pPr>
      <w:r>
        <w:t xml:space="preserve">Die Syntax zeigt eine nachdrückliche Mahnung zur Fürsorge für die Leviten. Diese Warnung ist die logische Folge der vorangehenden Anweisungen: Da die Leviten kein Landbesitz haben (V. 12) und von der Teilnahme an den Opfermahlzeiten am zentralen Heiligtum abhängig sind, müssen sie in die Festgemeinschaft einbezogen werden. Das Verb </w:t>
      </w:r>
      <w:r>
        <w:rPr>
          <w:rStyle w:val="Fett"/>
          <w:rFonts w:eastAsiaTheme="majorEastAsia"/>
          <w:rtl/>
        </w:rPr>
        <w:t>עזב</w:t>
      </w:r>
      <w:r>
        <w:rPr>
          <w:rtl/>
        </w:rPr>
        <w:t xml:space="preserve"> </w:t>
      </w:r>
      <w:r>
        <w:t xml:space="preserve">(„verlassen, im Stich lassen") ist stark und drückt mehr aus als bloßes Vergessen – es bezeichnet aktive Vernachlässigung. Die umfassende temporale Bestimmung </w:t>
      </w:r>
      <w:r>
        <w:rPr>
          <w:rStyle w:val="Fett"/>
          <w:rFonts w:eastAsiaTheme="majorEastAsia"/>
          <w:rtl/>
        </w:rPr>
        <w:t>כָּל־יָמֶיךָ</w:t>
      </w:r>
      <w:r>
        <w:rPr>
          <w:rtl/>
        </w:rPr>
        <w:t xml:space="preserve"> </w:t>
      </w:r>
      <w:r>
        <w:t>macht die Verpflichtung lebenslang. Diese Mahnung wiederholt sich im Deuteronomium mehrfach (14,27; 16,11.14), was ihre Wichtigkeit unterstreicht.</w:t>
      </w:r>
    </w:p>
    <w:p w14:paraId="305B62A8" w14:textId="77777777" w:rsidR="00724090" w:rsidRDefault="00724090" w:rsidP="00724090">
      <w:pPr>
        <w:pStyle w:val="whitespace-normal"/>
      </w:pPr>
      <w:r>
        <w:rPr>
          <w:rStyle w:val="Fett"/>
          <w:rFonts w:eastAsiaTheme="majorEastAsia"/>
        </w:rPr>
        <w:t>Die LXX</w:t>
      </w:r>
      <w:r>
        <w:t xml:space="preserve"> übersetzt „hüte dich" mit „π</w:t>
      </w:r>
      <w:proofErr w:type="spellStart"/>
      <w:r>
        <w:t>ρόσεχε</w:t>
      </w:r>
      <w:proofErr w:type="spellEnd"/>
      <w:r>
        <w:t xml:space="preserve"> </w:t>
      </w:r>
      <w:proofErr w:type="spellStart"/>
      <w:r>
        <w:t>σε</w:t>
      </w:r>
      <w:proofErr w:type="spellEnd"/>
      <w:r>
        <w:t>αυτῷ", „damit du nicht verlässt" mit „</w:t>
      </w:r>
      <w:proofErr w:type="spellStart"/>
      <w:r>
        <w:t>μὴ</w:t>
      </w:r>
      <w:proofErr w:type="spellEnd"/>
      <w:r>
        <w:t xml:space="preserve"> </w:t>
      </w:r>
      <w:proofErr w:type="spellStart"/>
      <w:r>
        <w:t>ἐγκ</w:t>
      </w:r>
      <w:proofErr w:type="spellEnd"/>
      <w:r>
        <w:t>αταλίπῃς", „den Leviten" mit „</w:t>
      </w:r>
      <w:proofErr w:type="spellStart"/>
      <w:r>
        <w:t>τὸν</w:t>
      </w:r>
      <w:proofErr w:type="spellEnd"/>
      <w:r>
        <w:t xml:space="preserve"> </w:t>
      </w:r>
      <w:proofErr w:type="spellStart"/>
      <w:r>
        <w:t>Λευίτην</w:t>
      </w:r>
      <w:proofErr w:type="spellEnd"/>
      <w:r>
        <w:t>" und „alle deine Tage auf deinem Land" mit „π</w:t>
      </w:r>
      <w:proofErr w:type="spellStart"/>
      <w:r>
        <w:t>άντ</w:t>
      </w:r>
      <w:proofErr w:type="spellEnd"/>
      <w:r>
        <w:t xml:space="preserve">α </w:t>
      </w:r>
      <w:proofErr w:type="spellStart"/>
      <w:r>
        <w:t>τὸν</w:t>
      </w:r>
      <w:proofErr w:type="spellEnd"/>
      <w:r>
        <w:t xml:space="preserve"> </w:t>
      </w:r>
      <w:proofErr w:type="spellStart"/>
      <w:r>
        <w:t>χρόνον</w:t>
      </w:r>
      <w:proofErr w:type="spellEnd"/>
      <w:r>
        <w:t xml:space="preserve"> </w:t>
      </w:r>
      <w:proofErr w:type="spellStart"/>
      <w:r>
        <w:t>ὅσον</w:t>
      </w:r>
      <w:proofErr w:type="spellEnd"/>
      <w:r>
        <w:t xml:space="preserve"> </w:t>
      </w:r>
      <w:proofErr w:type="spellStart"/>
      <w:r>
        <w:t>ἐὰν</w:t>
      </w:r>
      <w:proofErr w:type="spellEnd"/>
      <w:r>
        <w:t xml:space="preserve"> </w:t>
      </w:r>
      <w:proofErr w:type="spellStart"/>
      <w:r>
        <w:t>ζῇς</w:t>
      </w:r>
      <w:proofErr w:type="spellEnd"/>
      <w:r>
        <w:t xml:space="preserve"> ἐπὶ </w:t>
      </w:r>
      <w:proofErr w:type="spellStart"/>
      <w:r>
        <w:t>τῆς</w:t>
      </w:r>
      <w:proofErr w:type="spellEnd"/>
      <w:r>
        <w:t xml:space="preserve"> </w:t>
      </w:r>
      <w:proofErr w:type="spellStart"/>
      <w:r>
        <w:t>γῆς</w:t>
      </w:r>
      <w:proofErr w:type="spellEnd"/>
      <w:r>
        <w:t>" (mit interpretativer Erweiterung „solange du lebst").</w:t>
      </w:r>
    </w:p>
    <w:p w14:paraId="3CE49076" w14:textId="77777777" w:rsidR="00724090" w:rsidRDefault="00724090" w:rsidP="00724090">
      <w:pPr>
        <w:pStyle w:val="whitespace-normal"/>
      </w:pPr>
      <w:r>
        <w:rPr>
          <w:rStyle w:val="Fett"/>
          <w:rFonts w:eastAsiaTheme="majorEastAsia"/>
        </w:rPr>
        <w:t>Die Satzstruktur</w:t>
      </w:r>
      <w:r>
        <w:t xml:space="preserve"> besteht aus einem Imperativ mit ethischem Dativ, negativem Finalsatz und doppelter temporaler/lokaler Bestimmung: Imperativ (hüte dich), ethischer Dativ (dir), </w:t>
      </w:r>
      <w:r>
        <w:lastRenderedPageBreak/>
        <w:t>negative finale Konjunktion (damit nicht), Prädikat (verlässt), direktes Objekt (den Leviten), temporale Bestimmung (alle deine Tage), lokale Bestimmung (auf deinem Land).</w:t>
      </w:r>
    </w:p>
    <w:p w14:paraId="2786D902" w14:textId="77777777" w:rsidR="00724090" w:rsidRDefault="00724090" w:rsidP="00724090">
      <w:pPr>
        <w:pStyle w:val="whitespace-normal"/>
      </w:pPr>
      <w:r>
        <w:t>Der Vers mahnt eindringlich zur lebenslangen Fürsorge für die landlosen Leviten: Sie dürfen nicht vernachlässigt werden, sondern müssen an allen Festfreuden teilhaben.</w:t>
      </w:r>
    </w:p>
    <w:p w14:paraId="7B3FE8E8"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12,20</w:t>
      </w:r>
    </w:p>
    <w:p w14:paraId="5DD6FB8C" w14:textId="77777777" w:rsidR="00724090" w:rsidRDefault="00724090" w:rsidP="00724090">
      <w:pPr>
        <w:pStyle w:val="whitespace-normal"/>
      </w:pPr>
      <w:r>
        <w:rPr>
          <w:rStyle w:val="Fett"/>
          <w:rFonts w:eastAsiaTheme="majorEastAsia"/>
        </w:rPr>
        <w:t>Hebräisch:</w:t>
      </w:r>
      <w:r>
        <w:t xml:space="preserve"> </w:t>
      </w:r>
      <w:r>
        <w:rPr>
          <w:rtl/>
        </w:rPr>
        <w:t>כִּֽי־יַרְחִיב֩ יְהוָ֨ה אֱלֹהֶ֥יךָ אֶֽת־גְּבֽוּלְךָ֮ כַּאֲשֶׁ֣ר דִּבֶּר־לָךְ֒ וְאָמַרְתָּ֙ אֹכְלָ֣ה בָשָׂ֔ר כִּֽי־תְאַוֶּ֥ה נַפְשְׁךָ֖ לֶאֱכֹ֣ל בָּשָׂ֑ר בְּכָל־אַוַּ֥ת נַפְשְׁךָ֖ תֹּאכַ֥ל בָּשָֽׂר׃</w:t>
      </w:r>
    </w:p>
    <w:p w14:paraId="1B7D2006" w14:textId="0C2E0426" w:rsidR="00724090" w:rsidRDefault="00724090" w:rsidP="00724090">
      <w:pPr>
        <w:pStyle w:val="whitespace-normal"/>
      </w:pPr>
      <w:r>
        <w:rPr>
          <w:rStyle w:val="Fett"/>
          <w:rFonts w:eastAsiaTheme="majorEastAsia"/>
        </w:rPr>
        <w:t>Deutsch:</w:t>
      </w:r>
      <w:r>
        <w:t xml:space="preserve"> Wenn der Ewige, dein Gott, deine Grenze erweitern wird, so wie er zu dir geredet hat, und du sagst: Ich will Fleisch essen, weil deine Seele Fleisch zu essen begehrt, so magst du Fleisch essen nach allem Begehr deiner Seele.</w:t>
      </w:r>
    </w:p>
    <w:p w14:paraId="5C61D229" w14:textId="34A902CB" w:rsidR="009C316F" w:rsidRDefault="004F5CEB" w:rsidP="00724090">
      <w:pPr>
        <w:pStyle w:val="whitespace-normal"/>
      </w:pPr>
      <w:r>
        <w:rPr>
          <w:noProof/>
        </w:rPr>
        <w:pict w14:anchorId="2FC85D1E">
          <v:rect id="_x0000_i1392" style="width:0;height:1.5pt" o:hralign="center" o:hrstd="t" o:hr="t" fillcolor="#a0a0a0" stroked="f"/>
        </w:pict>
      </w:r>
    </w:p>
    <w:p w14:paraId="2A424AD1" w14:textId="60FCE3B7" w:rsidR="00724090" w:rsidRDefault="00724090" w:rsidP="00724090">
      <w:pPr>
        <w:pStyle w:val="whitespace-normal"/>
      </w:pPr>
      <w:r>
        <w:rPr>
          <w:rStyle w:val="Fett"/>
          <w:rFonts w:eastAsiaTheme="majorEastAsia"/>
        </w:rPr>
        <w:t>Kommentar:</w:t>
      </w:r>
      <w:r>
        <w:t xml:space="preserve"> </w:t>
      </w:r>
      <w:r>
        <w:rPr>
          <w:rStyle w:val="Fett"/>
          <w:rFonts w:eastAsiaTheme="majorEastAsia"/>
          <w:rtl/>
        </w:rPr>
        <w:t>כִּי־יַרְחִיב יְהוָה אֱלֹהֶיךָ אֶת־גְּבוּלְךָ כַּאֲשֶׁר דִּבֶּר־לָךְ</w:t>
      </w:r>
      <w:r>
        <w:rPr>
          <w:rtl/>
        </w:rPr>
        <w:t xml:space="preserve"> </w:t>
      </w:r>
      <w:r>
        <w:t xml:space="preserve">ist ein konditionaler Temporalsatz: </w:t>
      </w:r>
      <w:r>
        <w:rPr>
          <w:rStyle w:val="Fett"/>
          <w:rFonts w:eastAsiaTheme="majorEastAsia"/>
          <w:rtl/>
        </w:rPr>
        <w:t>כִּי</w:t>
      </w:r>
      <w:r>
        <w:rPr>
          <w:rtl/>
        </w:rPr>
        <w:t xml:space="preserve"> </w:t>
      </w:r>
      <w:r>
        <w:t xml:space="preserve">(„wenn, wann") als temporale oder konditionale Konjunktion, </w:t>
      </w:r>
      <w:r>
        <w:rPr>
          <w:rStyle w:val="Fett"/>
          <w:rFonts w:eastAsiaTheme="majorEastAsia"/>
          <w:rtl/>
        </w:rPr>
        <w:t>יַרְחִיב</w:t>
      </w:r>
      <w:r>
        <w:rPr>
          <w:rtl/>
        </w:rPr>
        <w:t xml:space="preserve"> </w:t>
      </w:r>
      <w:r>
        <w:t xml:space="preserve">(Hiphil Imperfekt, 3. Person Maskulinum Singular von </w:t>
      </w:r>
      <w:r>
        <w:rPr>
          <w:rStyle w:val="Fett"/>
          <w:rFonts w:eastAsiaTheme="majorEastAsia"/>
          <w:rtl/>
        </w:rPr>
        <w:t>רחב</w:t>
      </w:r>
      <w:r>
        <w:t xml:space="preserve">, „weit sein", in der Hiphil-Form „weit machen, erweitern"), </w:t>
      </w:r>
      <w:r>
        <w:rPr>
          <w:rStyle w:val="Fett"/>
          <w:rFonts w:eastAsiaTheme="majorEastAsia"/>
          <w:rtl/>
        </w:rPr>
        <w:t>יְהוָה אֱלֹהֶיךָ</w:t>
      </w:r>
      <w:r>
        <w:rPr>
          <w:rtl/>
        </w:rPr>
        <w:t xml:space="preserve"> </w:t>
      </w:r>
      <w:r>
        <w:t xml:space="preserve">(Tetragramm mit Apposition </w:t>
      </w:r>
      <w:r>
        <w:rPr>
          <w:rStyle w:val="Fett"/>
          <w:rFonts w:eastAsiaTheme="majorEastAsia"/>
          <w:rtl/>
        </w:rPr>
        <w:t>אֱלֹהֶיךָ</w:t>
      </w:r>
      <w:r>
        <w:t xml:space="preserve">) als Subjekt, </w:t>
      </w:r>
      <w:r>
        <w:rPr>
          <w:rStyle w:val="Fett"/>
          <w:rFonts w:eastAsiaTheme="majorEastAsia"/>
          <w:rtl/>
        </w:rPr>
        <w:t>אֶת־גְּבוּלְךָ</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גְּבוּל</w:t>
      </w:r>
      <w:r>
        <w:t xml:space="preserve">, „Grenze, Gebiet", mit Suffix 2. Person Maskulinum Singular) als direktes Objekt und </w:t>
      </w:r>
      <w:r>
        <w:rPr>
          <w:rStyle w:val="Fett"/>
          <w:rFonts w:eastAsiaTheme="majorEastAsia"/>
          <w:rtl/>
        </w:rPr>
        <w:t>כַּאֲשֶׁר דִּבֶּר־לָךְ</w:t>
      </w:r>
      <w:r>
        <w:rPr>
          <w:rtl/>
        </w:rPr>
        <w:t xml:space="preserve"> </w:t>
      </w:r>
      <w:r>
        <w:t xml:space="preserve">(Vergleichspartikel </w:t>
      </w:r>
      <w:r>
        <w:rPr>
          <w:rStyle w:val="Fett"/>
          <w:rFonts w:eastAsiaTheme="majorEastAsia"/>
          <w:rtl/>
        </w:rPr>
        <w:t>כַּאֲשֶׁר</w:t>
      </w:r>
      <w:r>
        <w:t xml:space="preserve">, „wie, </w:t>
      </w:r>
      <w:r w:rsidR="003D657E">
        <w:t>sowie</w:t>
      </w:r>
      <w:r>
        <w:t xml:space="preserve">", mit </w:t>
      </w:r>
      <w:r>
        <w:rPr>
          <w:rStyle w:val="Fett"/>
          <w:rFonts w:eastAsiaTheme="majorEastAsia"/>
          <w:rtl/>
        </w:rPr>
        <w:t>דִּבֶּר</w:t>
      </w:r>
      <w:r>
        <w:t xml:space="preserve">, Piel Perfekt, 3. Person Maskulinum Singular von </w:t>
      </w:r>
      <w:r>
        <w:rPr>
          <w:rStyle w:val="Fett"/>
          <w:rFonts w:eastAsiaTheme="majorEastAsia"/>
          <w:rtl/>
        </w:rPr>
        <w:t>דבר</w:t>
      </w:r>
      <w:r>
        <w:t xml:space="preserve">, „reden", und </w:t>
      </w:r>
      <w:r>
        <w:rPr>
          <w:rStyle w:val="Fett"/>
          <w:rFonts w:eastAsiaTheme="majorEastAsia"/>
          <w:rtl/>
        </w:rPr>
        <w:t>לָךְ</w:t>
      </w:r>
      <w:r>
        <w:t xml:space="preserve">, Präposition </w:t>
      </w:r>
      <w:r>
        <w:rPr>
          <w:rStyle w:val="Fett"/>
          <w:rFonts w:eastAsiaTheme="majorEastAsia"/>
          <w:rtl/>
        </w:rPr>
        <w:t>לְ</w:t>
      </w:r>
      <w:r>
        <w:rPr>
          <w:rtl/>
        </w:rPr>
        <w:t xml:space="preserve"> </w:t>
      </w:r>
      <w:r>
        <w:t xml:space="preserve">mit Suffix 2. Person Maskulinum Singular) als Vergleich. Die Wendung </w:t>
      </w:r>
      <w:r>
        <w:rPr>
          <w:rStyle w:val="Fett"/>
          <w:rFonts w:eastAsiaTheme="majorEastAsia"/>
          <w:rtl/>
        </w:rPr>
        <w:t>הרחיב את גבול</w:t>
      </w:r>
      <w:r>
        <w:rPr>
          <w:rtl/>
        </w:rPr>
        <w:t xml:space="preserve"> </w:t>
      </w:r>
      <w:r>
        <w:t>(„die Grenze erweitern") bezeichnet Gebietserweiterung (vgl. 19,8; Ex 34,24).</w:t>
      </w:r>
    </w:p>
    <w:p w14:paraId="4C3CF616" w14:textId="77777777" w:rsidR="00724090" w:rsidRDefault="00724090" w:rsidP="00724090">
      <w:pPr>
        <w:pStyle w:val="whitespace-normal"/>
      </w:pPr>
      <w:r>
        <w:rPr>
          <w:rStyle w:val="Fett"/>
          <w:rFonts w:eastAsiaTheme="majorEastAsia"/>
          <w:rtl/>
        </w:rPr>
        <w:t>וְאָמַרְתָּ אֹכְלָה בָשָׂ֔ר כִּי־תְאַוֶּה נַפְשְׁךָ לֶאֱכֹל בָּשָׂר</w:t>
      </w:r>
      <w:r>
        <w:rPr>
          <w:rtl/>
        </w:rPr>
        <w:t xml:space="preserve"> </w:t>
      </w:r>
      <w:r>
        <w:t xml:space="preserve">ist der zweite Bedingungssatz: </w:t>
      </w:r>
      <w:r>
        <w:rPr>
          <w:rStyle w:val="Fett"/>
          <w:rFonts w:eastAsiaTheme="majorEastAsia"/>
          <w:rtl/>
        </w:rPr>
        <w:t>וְאָמַרְתָּ</w:t>
      </w:r>
      <w:r>
        <w:rPr>
          <w:rtl/>
        </w:rPr>
        <w:t xml:space="preserve"> </w:t>
      </w:r>
      <w:r>
        <w:t xml:space="preserve">(Qal Perfekt, 2. Person Maskulinum Singular von </w:t>
      </w:r>
      <w:r>
        <w:rPr>
          <w:rStyle w:val="Fett"/>
          <w:rFonts w:eastAsiaTheme="majorEastAsia"/>
          <w:rtl/>
        </w:rPr>
        <w:t>אמר</w:t>
      </w:r>
      <w:r>
        <w:t xml:space="preserve">, „sagen", mit </w:t>
      </w:r>
      <w:r>
        <w:rPr>
          <w:rStyle w:val="Fett"/>
          <w:rFonts w:eastAsiaTheme="majorEastAsia"/>
        </w:rPr>
        <w:t>Waw</w:t>
      </w:r>
      <w:r>
        <w:t xml:space="preserve">), </w:t>
      </w:r>
      <w:r>
        <w:rPr>
          <w:rStyle w:val="Fett"/>
          <w:rFonts w:eastAsiaTheme="majorEastAsia"/>
          <w:rtl/>
        </w:rPr>
        <w:t>אֹכְלָה</w:t>
      </w:r>
      <w:r>
        <w:rPr>
          <w:rtl/>
        </w:rPr>
        <w:t xml:space="preserve"> </w:t>
      </w:r>
      <w:r>
        <w:t xml:space="preserve">(Qal Imperfekt, 1. Person Singular von </w:t>
      </w:r>
      <w:r>
        <w:rPr>
          <w:rStyle w:val="Fett"/>
          <w:rFonts w:eastAsiaTheme="majorEastAsia"/>
          <w:rtl/>
        </w:rPr>
        <w:t>אכל</w:t>
      </w:r>
      <w:r>
        <w:t xml:space="preserve">, „essen", als Ausdruck des Wunsches, „ich will essen"), </w:t>
      </w:r>
      <w:r>
        <w:rPr>
          <w:rStyle w:val="Fett"/>
          <w:rFonts w:eastAsiaTheme="majorEastAsia"/>
          <w:rtl/>
        </w:rPr>
        <w:t>בָשָׂר</w:t>
      </w:r>
      <w:r>
        <w:rPr>
          <w:rtl/>
        </w:rPr>
        <w:t xml:space="preserve"> </w:t>
      </w:r>
      <w:r>
        <w:t xml:space="preserve">(„Fleisch") als direktes Objekt, </w:t>
      </w:r>
      <w:r>
        <w:rPr>
          <w:rStyle w:val="Fett"/>
          <w:rFonts w:eastAsiaTheme="majorEastAsia"/>
          <w:rtl/>
        </w:rPr>
        <w:t>כִּי</w:t>
      </w:r>
      <w:r>
        <w:rPr>
          <w:rtl/>
        </w:rPr>
        <w:t xml:space="preserve"> </w:t>
      </w:r>
      <w:r>
        <w:t xml:space="preserve">(„weil, denn") als kausale Konjunktion, </w:t>
      </w:r>
      <w:r>
        <w:rPr>
          <w:rStyle w:val="Fett"/>
          <w:rFonts w:eastAsiaTheme="majorEastAsia"/>
          <w:rtl/>
        </w:rPr>
        <w:t>תְאַוֶּה</w:t>
      </w:r>
      <w:r>
        <w:rPr>
          <w:rtl/>
        </w:rPr>
        <w:t xml:space="preserve"> </w:t>
      </w:r>
      <w:r>
        <w:t xml:space="preserve">(Piel Imperfekt, 3. Person feminin Singular von </w:t>
      </w:r>
      <w:r>
        <w:rPr>
          <w:rStyle w:val="Fett"/>
          <w:rFonts w:eastAsiaTheme="majorEastAsia"/>
          <w:rtl/>
        </w:rPr>
        <w:t>אוה</w:t>
      </w:r>
      <w:r>
        <w:t xml:space="preserve">, „begehren, verlangen"), </w:t>
      </w:r>
      <w:r>
        <w:rPr>
          <w:rStyle w:val="Fett"/>
          <w:rFonts w:eastAsiaTheme="majorEastAsia"/>
          <w:rtl/>
        </w:rPr>
        <w:t>נַפְשְׁךָ</w:t>
      </w:r>
      <w:r>
        <w:rPr>
          <w:rtl/>
        </w:rPr>
        <w:t xml:space="preserve"> </w:t>
      </w:r>
      <w:r>
        <w:t>(</w:t>
      </w:r>
      <w:r>
        <w:rPr>
          <w:rStyle w:val="Fett"/>
          <w:rFonts w:eastAsiaTheme="majorEastAsia"/>
          <w:rtl/>
        </w:rPr>
        <w:t>נֶפֶשׁ</w:t>
      </w:r>
      <w:r>
        <w:t xml:space="preserve">, „Seele, Appetit", mit Suffix 2. Person Maskulinum Singular) als Subjekt, </w:t>
      </w:r>
      <w:r>
        <w:rPr>
          <w:rStyle w:val="Fett"/>
          <w:rFonts w:eastAsiaTheme="majorEastAsia"/>
          <w:rtl/>
        </w:rPr>
        <w:t>לֶאֱכֹל בָּשָׂר</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אכל</w:t>
      </w:r>
      <w:r>
        <w:rPr>
          <w:rtl/>
        </w:rPr>
        <w:t xml:space="preserve"> </w:t>
      </w:r>
      <w:r>
        <w:t xml:space="preserve">und </w:t>
      </w:r>
      <w:r>
        <w:rPr>
          <w:rStyle w:val="Fett"/>
          <w:rFonts w:eastAsiaTheme="majorEastAsia"/>
          <w:rtl/>
        </w:rPr>
        <w:t>בָשָׂר</w:t>
      </w:r>
      <w:r>
        <w:t>) als finale oder epexegetische Bestimmung.</w:t>
      </w:r>
    </w:p>
    <w:p w14:paraId="59B992BE" w14:textId="77777777" w:rsidR="00724090" w:rsidRDefault="00724090" w:rsidP="00724090">
      <w:pPr>
        <w:pStyle w:val="whitespace-normal"/>
      </w:pPr>
      <w:r>
        <w:rPr>
          <w:rStyle w:val="Fett"/>
          <w:rFonts w:eastAsiaTheme="majorEastAsia"/>
          <w:rtl/>
        </w:rPr>
        <w:t>בְּכָל־אַוַּת נַפְשְׁךָ תֹּאכַל בָּשָׂר</w:t>
      </w:r>
      <w:r>
        <w:rPr>
          <w:rtl/>
        </w:rPr>
        <w:t xml:space="preserve"> </w:t>
      </w:r>
      <w:r>
        <w:t xml:space="preserve">ist die Apodosis: </w:t>
      </w:r>
      <w:r>
        <w:rPr>
          <w:rStyle w:val="Fett"/>
          <w:rFonts w:eastAsiaTheme="majorEastAsia"/>
          <w:rtl/>
        </w:rPr>
        <w:t>בְּכָל־אַוַּת נַפְשְׁךָ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כָּל</w:t>
      </w:r>
      <w:r>
        <w:t xml:space="preserve">, „all", im Construct mit </w:t>
      </w:r>
      <w:r>
        <w:rPr>
          <w:rStyle w:val="Fett"/>
          <w:rFonts w:eastAsiaTheme="majorEastAsia"/>
          <w:rtl/>
        </w:rPr>
        <w:t>אַוָּה</w:t>
      </w:r>
      <w:r>
        <w:t xml:space="preserve">, „Begierde, Verlangen", Construct mit </w:t>
      </w:r>
      <w:r>
        <w:rPr>
          <w:rStyle w:val="Fett"/>
          <w:rFonts w:eastAsiaTheme="majorEastAsia"/>
          <w:rtl/>
        </w:rPr>
        <w:t>נֶפֶשׁ</w:t>
      </w:r>
      <w:r>
        <w:rPr>
          <w:rtl/>
        </w:rPr>
        <w:t xml:space="preserve"> </w:t>
      </w:r>
      <w:r>
        <w:t xml:space="preserve">und Suffix 2. Person Maskulinum Singular) als modale Bestimmung, </w:t>
      </w:r>
      <w:r>
        <w:rPr>
          <w:rStyle w:val="Fett"/>
          <w:rFonts w:eastAsiaTheme="majorEastAsia"/>
          <w:rtl/>
        </w:rPr>
        <w:t>תֹּאכַל</w:t>
      </w:r>
      <w:r>
        <w:rPr>
          <w:rtl/>
        </w:rPr>
        <w:t xml:space="preserve"> </w:t>
      </w:r>
      <w:r>
        <w:t xml:space="preserve">(Qal Imperfect, 2. Person Maskulinum Singular von </w:t>
      </w:r>
      <w:r>
        <w:rPr>
          <w:rStyle w:val="Fett"/>
          <w:rFonts w:eastAsiaTheme="majorEastAsia"/>
          <w:rtl/>
        </w:rPr>
        <w:t>אכל</w:t>
      </w:r>
      <w:r>
        <w:t xml:space="preserve">, „essen") und </w:t>
      </w:r>
      <w:r>
        <w:rPr>
          <w:rStyle w:val="Fett"/>
          <w:rFonts w:eastAsiaTheme="majorEastAsia"/>
          <w:rtl/>
        </w:rPr>
        <w:t>בָּשָׂר</w:t>
      </w:r>
      <w:r>
        <w:rPr>
          <w:rtl/>
        </w:rPr>
        <w:t xml:space="preserve"> </w:t>
      </w:r>
      <w:r>
        <w:t>als direktes Objekt. Diese Formulierung wiederholt V. 15.</w:t>
      </w:r>
    </w:p>
    <w:p w14:paraId="3F3F5A51" w14:textId="77777777" w:rsidR="00724090" w:rsidRDefault="00724090" w:rsidP="00724090">
      <w:pPr>
        <w:pStyle w:val="whitespace-normal"/>
      </w:pPr>
      <w:r>
        <w:t xml:space="preserve">Die Syntax zeigt eine Erweiterung der Konzession aus V. 15: Wenn JHWH das Gebiet erweitert (und damit die Entfernung zum zentralen Heiligtum für viele noch größer wird), ist profane Schlachtung zum Fleischessen erst recht erlaubt. Die Bedingung </w:t>
      </w:r>
      <w:r>
        <w:rPr>
          <w:rStyle w:val="Fett"/>
          <w:rFonts w:eastAsiaTheme="majorEastAsia"/>
          <w:rtl/>
        </w:rPr>
        <w:t>כִּי־יַרְחִיב יְהוָה אֱלֹהֶיךָ אֶת־גְּבוּלְךָ</w:t>
      </w:r>
      <w:r>
        <w:rPr>
          <w:rtl/>
        </w:rPr>
        <w:t xml:space="preserve"> </w:t>
      </w:r>
      <w:r>
        <w:t xml:space="preserve">verweist auf zukünftige Landgewinne (vgl. 19,8), möglicherweise unter David und Salomo. Die Formel </w:t>
      </w:r>
      <w:r>
        <w:rPr>
          <w:rStyle w:val="Fett"/>
          <w:rFonts w:eastAsiaTheme="majorEastAsia"/>
          <w:rtl/>
        </w:rPr>
        <w:t>כַּאֲשֶׁר דִּבֶּר־לָךְ</w:t>
      </w:r>
      <w:r>
        <w:rPr>
          <w:rtl/>
        </w:rPr>
        <w:t xml:space="preserve"> </w:t>
      </w:r>
      <w:r>
        <w:t>legitimiert diese Erweiterung durch Verweis auf frühere göttliche Verheißungen. Die Beschreibung des Fleischverlangens (</w:t>
      </w:r>
      <w:r>
        <w:rPr>
          <w:rStyle w:val="Fett"/>
          <w:rFonts w:eastAsiaTheme="majorEastAsia"/>
          <w:rtl/>
        </w:rPr>
        <w:t>אֹכְלָה בָשָׂר</w:t>
      </w:r>
      <w:r>
        <w:t xml:space="preserve">, </w:t>
      </w:r>
      <w:r>
        <w:rPr>
          <w:rStyle w:val="Fett"/>
          <w:rFonts w:eastAsiaTheme="majorEastAsia"/>
          <w:rtl/>
        </w:rPr>
        <w:t>כִּי־תְאַוֶּה נַפְשְׁךָ</w:t>
      </w:r>
      <w:r>
        <w:t xml:space="preserve">, </w:t>
      </w:r>
      <w:r>
        <w:rPr>
          <w:rStyle w:val="Fett"/>
          <w:rFonts w:eastAsiaTheme="majorEastAsia"/>
          <w:rtl/>
        </w:rPr>
        <w:t>בְּכָל־אַוַּת נַפְשְׁךָ</w:t>
      </w:r>
      <w:r>
        <w:t>) betont die Natürlichkeit und Legitimität dieses Wunsches.</w:t>
      </w:r>
    </w:p>
    <w:p w14:paraId="7C78A05A" w14:textId="77777777" w:rsidR="00724090" w:rsidRDefault="00724090" w:rsidP="00724090">
      <w:pPr>
        <w:pStyle w:val="whitespace-normal"/>
      </w:pPr>
      <w:r>
        <w:rPr>
          <w:rStyle w:val="Fett"/>
          <w:rFonts w:eastAsiaTheme="majorEastAsia"/>
        </w:rPr>
        <w:lastRenderedPageBreak/>
        <w:t>Die LXX</w:t>
      </w:r>
      <w:r>
        <w:t xml:space="preserve"> übersetzt „erweitern wird" mit „</w:t>
      </w:r>
      <w:proofErr w:type="spellStart"/>
      <w:r>
        <w:t>ἐμ</w:t>
      </w:r>
      <w:proofErr w:type="spellEnd"/>
      <w:r>
        <w:t>πλατύνῃ", „deine Grenze" mit „</w:t>
      </w:r>
      <w:proofErr w:type="spellStart"/>
      <w:r>
        <w:t>τὰ</w:t>
      </w:r>
      <w:proofErr w:type="spellEnd"/>
      <w:r>
        <w:t xml:space="preserve"> </w:t>
      </w:r>
      <w:proofErr w:type="spellStart"/>
      <w:r>
        <w:t>ὅριά</w:t>
      </w:r>
      <w:proofErr w:type="spellEnd"/>
      <w:r>
        <w:t xml:space="preserve"> </w:t>
      </w:r>
      <w:proofErr w:type="spellStart"/>
      <w:r>
        <w:t>σου</w:t>
      </w:r>
      <w:proofErr w:type="spellEnd"/>
      <w:r>
        <w:t>", „wie er geredet hat" mit „κα</w:t>
      </w:r>
      <w:proofErr w:type="spellStart"/>
      <w:r>
        <w:t>θά</w:t>
      </w:r>
      <w:proofErr w:type="spellEnd"/>
      <w:r>
        <w:t xml:space="preserve">περ </w:t>
      </w:r>
      <w:proofErr w:type="spellStart"/>
      <w:r>
        <w:t>ἐλάλησέν</w:t>
      </w:r>
      <w:proofErr w:type="spellEnd"/>
      <w:r>
        <w:t xml:space="preserve"> </w:t>
      </w:r>
      <w:proofErr w:type="spellStart"/>
      <w:r>
        <w:t>σοι</w:t>
      </w:r>
      <w:proofErr w:type="spellEnd"/>
      <w:r>
        <w:t>", „weil begehrt deine Seele" mit „</w:t>
      </w:r>
      <w:proofErr w:type="spellStart"/>
      <w:r>
        <w:t>ὅτι</w:t>
      </w:r>
      <w:proofErr w:type="spellEnd"/>
      <w:r>
        <w:t xml:space="preserve"> ἐπ</w:t>
      </w:r>
      <w:proofErr w:type="spellStart"/>
      <w:r>
        <w:t>ιθυμήσει</w:t>
      </w:r>
      <w:proofErr w:type="spellEnd"/>
      <w:r>
        <w:t xml:space="preserve"> ἡ </w:t>
      </w:r>
      <w:proofErr w:type="spellStart"/>
      <w:r>
        <w:t>ψυχή</w:t>
      </w:r>
      <w:proofErr w:type="spellEnd"/>
      <w:r>
        <w:t xml:space="preserve"> </w:t>
      </w:r>
      <w:proofErr w:type="spellStart"/>
      <w:r>
        <w:t>σου</w:t>
      </w:r>
      <w:proofErr w:type="spellEnd"/>
      <w:r>
        <w:t>" und „nach allem Begehr deiner Seele" mit „κα</w:t>
      </w:r>
      <w:proofErr w:type="spellStart"/>
      <w:r>
        <w:t>τὰ</w:t>
      </w:r>
      <w:proofErr w:type="spellEnd"/>
      <w:r>
        <w:t xml:space="preserve"> τὴν ἐπ</w:t>
      </w:r>
      <w:proofErr w:type="spellStart"/>
      <w:r>
        <w:t>ιθυμί</w:t>
      </w:r>
      <w:proofErr w:type="spellEnd"/>
      <w:r>
        <w:t xml:space="preserve">αν </w:t>
      </w:r>
      <w:proofErr w:type="spellStart"/>
      <w:r>
        <w:t>τῆς</w:t>
      </w:r>
      <w:proofErr w:type="spellEnd"/>
      <w:r>
        <w:t xml:space="preserve"> </w:t>
      </w:r>
      <w:proofErr w:type="spellStart"/>
      <w:r>
        <w:t>ψυχῆς</w:t>
      </w:r>
      <w:proofErr w:type="spellEnd"/>
      <w:r>
        <w:t xml:space="preserve"> </w:t>
      </w:r>
      <w:proofErr w:type="spellStart"/>
      <w:r>
        <w:t>σου</w:t>
      </w:r>
      <w:proofErr w:type="spellEnd"/>
      <w:r>
        <w:t>".</w:t>
      </w:r>
    </w:p>
    <w:p w14:paraId="3AAC8F1D" w14:textId="77777777" w:rsidR="00724090" w:rsidRDefault="00724090" w:rsidP="00724090">
      <w:pPr>
        <w:pStyle w:val="whitespace-normal"/>
      </w:pPr>
      <w:r>
        <w:rPr>
          <w:rStyle w:val="Fett"/>
          <w:rFonts w:eastAsiaTheme="majorEastAsia"/>
        </w:rPr>
        <w:t>Die Satzstruktur</w:t>
      </w:r>
      <w:r>
        <w:t xml:space="preserve"> besteht aus zwei konditionalen Sätzen und einer Apodosis: Erster Konditionalsatz mit Prädikat (erweitern wird), Subjekt (JHWH, dein Gott), direktem Objekt (deine Grenze), Vergleich (wie er zu dir geredet hat); zweiter Konditionalsatz mit Prädikat (sagst), direktem Zitat (ich will Fleisch essen), kausaler Begründung (weil begehrt deine Seele Fleisch zu essen); Apodosis mit modaler Bestimmung (nach allem Begehr deiner Seele), Prädikat (magst essen) und direktem Objekt (Fleisch).</w:t>
      </w:r>
    </w:p>
    <w:p w14:paraId="08FB0D1A" w14:textId="77777777" w:rsidR="00724090" w:rsidRDefault="00724090" w:rsidP="00724090">
      <w:pPr>
        <w:pStyle w:val="whitespace-normal"/>
      </w:pPr>
      <w:r>
        <w:t>Der Vers erweitert die Konzession zur profanen Schlachtung: Wenn JHWH das Gebiet erweitert und damit die Entfernung zum Heiligtum größer wird, ist Fleischessen nach Belieben erst recht erlaubt.</w:t>
      </w:r>
    </w:p>
    <w:p w14:paraId="22324F73"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12,21</w:t>
      </w:r>
    </w:p>
    <w:p w14:paraId="7F1EC0AC" w14:textId="77777777" w:rsidR="00724090" w:rsidRDefault="00724090" w:rsidP="00724090">
      <w:pPr>
        <w:pStyle w:val="whitespace-normal"/>
      </w:pPr>
      <w:r>
        <w:rPr>
          <w:rStyle w:val="Fett"/>
          <w:rFonts w:eastAsiaTheme="majorEastAsia"/>
        </w:rPr>
        <w:t>Hebräisch:</w:t>
      </w:r>
      <w:r>
        <w:t xml:space="preserve"> </w:t>
      </w:r>
      <w:r>
        <w:rPr>
          <w:rtl/>
        </w:rPr>
        <w:t>כִּֽי־יִרְחַ֨ק מִמְּךָ֜ הַמָּק֗וֹם אֲשֶׁ֨ר יִבְחַ֜ר יְהוָ֣ה אֱלֹהֶיךָ֮ לָשׂ֣וּם שְׁמֹ֣ו שָׁם֒ וְזָבַחְתָּ֞ מִבְּקָרְךָ֣ וּמִצֹּֽאנְךָ֗ אֲשֶׁ֨ר נָתַ֤ן יְהוָה֙ לְךָ֔ כַּאֲשֶׁ֖ר צִוִּיתִ֑ךָ וְאָֽכַלְתָּ֙ בִּשְׁעָרֶ֔יךָ בְּכֹ֖ל אַוַּ֥ת נַפְשֶֽׁךָ׃</w:t>
      </w:r>
    </w:p>
    <w:p w14:paraId="59D274C7" w14:textId="52DCF6BE" w:rsidR="00724090" w:rsidRDefault="00724090" w:rsidP="00724090">
      <w:pPr>
        <w:pStyle w:val="whitespace-normal"/>
      </w:pPr>
      <w:r>
        <w:rPr>
          <w:rStyle w:val="Fett"/>
          <w:rFonts w:eastAsiaTheme="majorEastAsia"/>
        </w:rPr>
        <w:t>Deutsch:</w:t>
      </w:r>
      <w:r>
        <w:t xml:space="preserve"> Wenn der Ort, den der Ewige, dein Gott, erwählen wird, um seinen Namen dorthin zu setzen, fern von dir ist, so magst du schlachten von deinem Rind- und von deinem Kleinvieh, das der Ewige dir gegeben hat, so wie ich dir geboten habe, und in deinen Toren essen nach allem Begehr deiner Seele.</w:t>
      </w:r>
    </w:p>
    <w:p w14:paraId="01F2BE6E" w14:textId="47A0719B" w:rsidR="009C316F" w:rsidRDefault="004F5CEB" w:rsidP="00724090">
      <w:pPr>
        <w:pStyle w:val="whitespace-normal"/>
      </w:pPr>
      <w:r>
        <w:rPr>
          <w:noProof/>
        </w:rPr>
        <w:pict w14:anchorId="5880288C">
          <v:rect id="_x0000_i1393" style="width:0;height:1.5pt" o:hralign="center" o:hrstd="t" o:hr="t" fillcolor="#a0a0a0" stroked="f"/>
        </w:pict>
      </w:r>
    </w:p>
    <w:p w14:paraId="79D6DE84"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כִּי־יִרְחַק מִמְּךָ הַמָּקוֹם אֲשֶׁר יִבְחַר יְהוָה אֱלֹהֶיךָ לָשׂוּם שְׁמוֹ שָׁם</w:t>
      </w:r>
      <w:r>
        <w:rPr>
          <w:rtl/>
        </w:rPr>
        <w:t xml:space="preserve"> </w:t>
      </w:r>
      <w:r>
        <w:t xml:space="preserve">ist ein konditionaler Temporalsatz mit Relativsatz: </w:t>
      </w:r>
      <w:r>
        <w:rPr>
          <w:rStyle w:val="Fett"/>
          <w:rFonts w:eastAsiaTheme="majorEastAsia"/>
          <w:rtl/>
        </w:rPr>
        <w:t>כִּי</w:t>
      </w:r>
      <w:r>
        <w:rPr>
          <w:rtl/>
        </w:rPr>
        <w:t xml:space="preserve"> </w:t>
      </w:r>
      <w:r>
        <w:t xml:space="preserve">(„wenn, wann") als konditionale Konjunktion, </w:t>
      </w:r>
      <w:r>
        <w:rPr>
          <w:rStyle w:val="Fett"/>
          <w:rFonts w:eastAsiaTheme="majorEastAsia"/>
          <w:rtl/>
        </w:rPr>
        <w:t>יִרְחַק</w:t>
      </w:r>
      <w:r>
        <w:rPr>
          <w:rtl/>
        </w:rPr>
        <w:t xml:space="preserve"> </w:t>
      </w:r>
      <w:r>
        <w:t xml:space="preserve">(Qal Imperfekt, 3. Person Maskulinum Singular von </w:t>
      </w:r>
      <w:r>
        <w:rPr>
          <w:rStyle w:val="Fett"/>
          <w:rFonts w:eastAsiaTheme="majorEastAsia"/>
          <w:rtl/>
        </w:rPr>
        <w:t>רחק</w:t>
      </w:r>
      <w:r>
        <w:t xml:space="preserve">, „fern sein, sich entfernen"), </w:t>
      </w:r>
      <w:r>
        <w:rPr>
          <w:rStyle w:val="Fett"/>
          <w:rFonts w:eastAsiaTheme="majorEastAsia"/>
          <w:rtl/>
        </w:rPr>
        <w:t>מִמְּךָ</w:t>
      </w:r>
      <w:r>
        <w:rPr>
          <w:rtl/>
        </w:rPr>
        <w:t xml:space="preserve"> </w:t>
      </w:r>
      <w:r>
        <w:t xml:space="preserve">(Präposition </w:t>
      </w:r>
      <w:r>
        <w:rPr>
          <w:rStyle w:val="Fett"/>
          <w:rFonts w:eastAsiaTheme="majorEastAsia"/>
          <w:rtl/>
        </w:rPr>
        <w:t>מִן</w:t>
      </w:r>
      <w:r>
        <w:t xml:space="preserve">, „von", mit Suffix 2. Person Maskulinum Singular) als Herkunftsangabe, </w:t>
      </w:r>
      <w:r>
        <w:rPr>
          <w:rStyle w:val="Fett"/>
          <w:rFonts w:eastAsiaTheme="majorEastAsia"/>
          <w:rtl/>
        </w:rPr>
        <w:t>הַמָּקוֹם</w:t>
      </w:r>
      <w:r>
        <w:rPr>
          <w:rtl/>
        </w:rPr>
        <w:t xml:space="preserve"> </w:t>
      </w:r>
      <w:r>
        <w:t>(</w:t>
      </w:r>
      <w:r>
        <w:rPr>
          <w:rStyle w:val="Fett"/>
          <w:rFonts w:eastAsiaTheme="majorEastAsia"/>
          <w:rtl/>
        </w:rPr>
        <w:t>מָקוֹם</w:t>
      </w:r>
      <w:r>
        <w:t xml:space="preserve">, „Ort", mit Artikel) als Subjekt, </w:t>
      </w:r>
      <w:r>
        <w:rPr>
          <w:rStyle w:val="Fett"/>
          <w:rFonts w:eastAsiaTheme="majorEastAsia"/>
          <w:rtl/>
        </w:rPr>
        <w:t>אֲשֶׁר יִבְחַר יְהוָה אֱלֹהֶיךָ</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יִבְחַר</w:t>
      </w:r>
      <w:r>
        <w:t xml:space="preserve">, Qal Imperfekt, 3. Person Maskulinum Singular von </w:t>
      </w:r>
      <w:r>
        <w:rPr>
          <w:rStyle w:val="Fett"/>
          <w:rFonts w:eastAsiaTheme="majorEastAsia"/>
          <w:rtl/>
        </w:rPr>
        <w:t>בחר</w:t>
      </w:r>
      <w:r>
        <w:t xml:space="preserve">, „erwählen", </w:t>
      </w:r>
      <w:r>
        <w:rPr>
          <w:rStyle w:val="Fett"/>
          <w:rFonts w:eastAsiaTheme="majorEastAsia"/>
          <w:rtl/>
        </w:rPr>
        <w:t>יְהוָה אֱלֹהֶיךָ</w:t>
      </w:r>
      <w:r>
        <w:rPr>
          <w:rtl/>
        </w:rPr>
        <w:t xml:space="preserve"> </w:t>
      </w:r>
      <w:r>
        <w:t xml:space="preserve">als Subjekt) und </w:t>
      </w:r>
      <w:r>
        <w:rPr>
          <w:rStyle w:val="Fett"/>
          <w:rFonts w:eastAsiaTheme="majorEastAsia"/>
          <w:rtl/>
        </w:rPr>
        <w:t>לָשׂוּם שְׁמוֹ שָׁם</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שׂים</w:t>
      </w:r>
      <w:r>
        <w:t xml:space="preserve">, „setzen", </w:t>
      </w:r>
      <w:r>
        <w:rPr>
          <w:rStyle w:val="Fett"/>
          <w:rFonts w:eastAsiaTheme="majorEastAsia"/>
          <w:rtl/>
        </w:rPr>
        <w:t>שְׁמוֹ</w:t>
      </w:r>
      <w:r>
        <w:t xml:space="preserve">, </w:t>
      </w:r>
      <w:r>
        <w:rPr>
          <w:rStyle w:val="Fett"/>
          <w:rFonts w:eastAsiaTheme="majorEastAsia"/>
          <w:rtl/>
        </w:rPr>
        <w:t>שֵׁם</w:t>
      </w:r>
      <w:r>
        <w:t xml:space="preserve">, „Name", mit Suffix 3. Person Maskulinum Singular, und </w:t>
      </w:r>
      <w:r>
        <w:rPr>
          <w:rStyle w:val="Fett"/>
          <w:rFonts w:eastAsiaTheme="majorEastAsia"/>
          <w:rtl/>
        </w:rPr>
        <w:t>שָׁם</w:t>
      </w:r>
      <w:r>
        <w:t>, „dort") als finale Bestimmung. Diese Formulierung konkretisiert die Bedingung aus V. 20: Die große Entfernung zum zentralen Heiligtum legitimiert die profane Schlachtung.</w:t>
      </w:r>
    </w:p>
    <w:p w14:paraId="43236131" w14:textId="2EEF8EAA" w:rsidR="00724090" w:rsidRDefault="00724090" w:rsidP="00724090">
      <w:pPr>
        <w:pStyle w:val="whitespace-normal"/>
      </w:pPr>
      <w:r>
        <w:rPr>
          <w:rStyle w:val="Fett"/>
          <w:rFonts w:eastAsiaTheme="majorEastAsia"/>
          <w:rtl/>
        </w:rPr>
        <w:t>וְזָבַחְתָּ מִבְּקָרְךָ וּמִצֹּאנְךָ אֲשֶׁר נָתַן יְהוָה לְךָ כַּאֲשֶׁר צִוִּיתִךָ</w:t>
      </w:r>
      <w:r>
        <w:rPr>
          <w:rtl/>
        </w:rPr>
        <w:t xml:space="preserve"> </w:t>
      </w:r>
      <w:r>
        <w:t xml:space="preserve">ist die erste Apodosis: </w:t>
      </w:r>
      <w:r>
        <w:rPr>
          <w:rStyle w:val="Fett"/>
          <w:rFonts w:eastAsiaTheme="majorEastAsia"/>
          <w:rtl/>
        </w:rPr>
        <w:t>וְזָבַחְתָּ</w:t>
      </w:r>
      <w:r>
        <w:rPr>
          <w:rtl/>
        </w:rPr>
        <w:t xml:space="preserve"> </w:t>
      </w:r>
      <w:r>
        <w:t xml:space="preserve">(Qal Perfekt, 2. Person Maskulinum Singular von </w:t>
      </w:r>
      <w:r>
        <w:rPr>
          <w:rStyle w:val="Fett"/>
          <w:rFonts w:eastAsiaTheme="majorEastAsia"/>
          <w:rtl/>
        </w:rPr>
        <w:t>זבח</w:t>
      </w:r>
      <w:r>
        <w:t xml:space="preserve">, „schlachten", mit </w:t>
      </w:r>
      <w:r>
        <w:rPr>
          <w:rStyle w:val="Fett"/>
          <w:rFonts w:eastAsiaTheme="majorEastAsia"/>
        </w:rPr>
        <w:t>Waw</w:t>
      </w:r>
      <w:r>
        <w:t xml:space="preserve">, consecutives Perfekt), </w:t>
      </w:r>
      <w:r>
        <w:rPr>
          <w:rStyle w:val="Fett"/>
          <w:rFonts w:eastAsiaTheme="majorEastAsia"/>
          <w:rtl/>
        </w:rPr>
        <w:t>מִבְּקָרְךָ וּמִצֹּאנְךָ</w:t>
      </w:r>
      <w:r>
        <w:rPr>
          <w:rtl/>
        </w:rPr>
        <w:t xml:space="preserve"> </w:t>
      </w:r>
      <w:r>
        <w:t xml:space="preserve">(Präposition </w:t>
      </w:r>
      <w:r>
        <w:rPr>
          <w:rStyle w:val="Fett"/>
          <w:rFonts w:eastAsiaTheme="majorEastAsia"/>
          <w:rtl/>
        </w:rPr>
        <w:t>מִן</w:t>
      </w:r>
      <w:r>
        <w:t xml:space="preserve">, „von", partitiv, mit </w:t>
      </w:r>
      <w:r>
        <w:rPr>
          <w:rStyle w:val="Fett"/>
          <w:rFonts w:eastAsiaTheme="majorEastAsia"/>
          <w:rtl/>
        </w:rPr>
        <w:t>בָּקָר</w:t>
      </w:r>
      <w:r>
        <w:t xml:space="preserve">, „Rindvieh", mit Suffix 2. Person Maskulinum Singular, koordiniert durch </w:t>
      </w:r>
      <w:r>
        <w:rPr>
          <w:rStyle w:val="Fett"/>
          <w:rFonts w:eastAsiaTheme="majorEastAsia"/>
          <w:rtl/>
        </w:rPr>
        <w:t>וּ</w:t>
      </w:r>
      <w:r>
        <w:rPr>
          <w:rtl/>
        </w:rPr>
        <w:t xml:space="preserve"> </w:t>
      </w:r>
      <w:r>
        <w:t xml:space="preserve">mit </w:t>
      </w:r>
      <w:r>
        <w:rPr>
          <w:rStyle w:val="Fett"/>
          <w:rFonts w:eastAsiaTheme="majorEastAsia"/>
          <w:rtl/>
        </w:rPr>
        <w:t>מִן</w:t>
      </w:r>
      <w:r>
        <w:rPr>
          <w:rtl/>
        </w:rPr>
        <w:t xml:space="preserve"> </w:t>
      </w:r>
      <w:r>
        <w:t xml:space="preserve">und </w:t>
      </w:r>
      <w:r>
        <w:rPr>
          <w:rStyle w:val="Fett"/>
          <w:rFonts w:eastAsiaTheme="majorEastAsia"/>
          <w:rtl/>
        </w:rPr>
        <w:t>צֹאן</w:t>
      </w:r>
      <w:r>
        <w:t xml:space="preserve">, „Kleinvieh", mit Suffix 2. Person Maskulinum Singular) als partitives Objekt, </w:t>
      </w:r>
      <w:r>
        <w:rPr>
          <w:rStyle w:val="Fett"/>
          <w:rFonts w:eastAsiaTheme="majorEastAsia"/>
          <w:rtl/>
        </w:rPr>
        <w:t>אֲשֶׁר נָתַן יְהוָה לְךָ</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נָתַן</w:t>
      </w:r>
      <w:r>
        <w:t xml:space="preserve">, Qal Perfekt, 3. Person Maskulinum Singular von </w:t>
      </w:r>
      <w:r>
        <w:rPr>
          <w:rStyle w:val="Fett"/>
          <w:rFonts w:eastAsiaTheme="majorEastAsia"/>
          <w:rtl/>
        </w:rPr>
        <w:t>נתן</w:t>
      </w:r>
      <w:r>
        <w:t xml:space="preserve">, „geben", </w:t>
      </w:r>
      <w:r>
        <w:rPr>
          <w:rStyle w:val="Fett"/>
          <w:rFonts w:eastAsiaTheme="majorEastAsia"/>
          <w:rtl/>
        </w:rPr>
        <w:t>יְהוָה</w:t>
      </w:r>
      <w:r>
        <w:rPr>
          <w:rtl/>
        </w:rPr>
        <w:t xml:space="preserve"> </w:t>
      </w:r>
      <w:r>
        <w:t xml:space="preserve">als Subjekt und </w:t>
      </w:r>
      <w:r>
        <w:rPr>
          <w:rStyle w:val="Fett"/>
          <w:rFonts w:eastAsiaTheme="majorEastAsia"/>
          <w:rtl/>
        </w:rPr>
        <w:t>לְךָ</w:t>
      </w:r>
      <w:r>
        <w:t xml:space="preserve">, Präposition </w:t>
      </w:r>
      <w:r>
        <w:rPr>
          <w:rStyle w:val="Fett"/>
          <w:rFonts w:eastAsiaTheme="majorEastAsia"/>
          <w:rtl/>
        </w:rPr>
        <w:t>לְ</w:t>
      </w:r>
      <w:r>
        <w:rPr>
          <w:rtl/>
        </w:rPr>
        <w:t xml:space="preserve"> </w:t>
      </w:r>
      <w:r>
        <w:t xml:space="preserve">mit Suffix 2. Person Maskulinum Singular) und </w:t>
      </w:r>
      <w:r>
        <w:rPr>
          <w:rStyle w:val="Fett"/>
          <w:rFonts w:eastAsiaTheme="majorEastAsia"/>
          <w:rtl/>
        </w:rPr>
        <w:t>כַּאֲשֶׁר צִוִּיתִךָ</w:t>
      </w:r>
      <w:r>
        <w:rPr>
          <w:rtl/>
        </w:rPr>
        <w:t xml:space="preserve"> </w:t>
      </w:r>
      <w:r>
        <w:t xml:space="preserve">(Vergleichspartikel </w:t>
      </w:r>
      <w:r>
        <w:rPr>
          <w:rStyle w:val="Fett"/>
          <w:rFonts w:eastAsiaTheme="majorEastAsia"/>
          <w:rtl/>
        </w:rPr>
        <w:t>כַּאֲשֶׁר</w:t>
      </w:r>
      <w:r>
        <w:t xml:space="preserve">, „wie, </w:t>
      </w:r>
      <w:r w:rsidR="003D657E">
        <w:t>sowie</w:t>
      </w:r>
      <w:r>
        <w:t xml:space="preserve">", mit </w:t>
      </w:r>
      <w:r>
        <w:rPr>
          <w:rStyle w:val="Fett"/>
          <w:rFonts w:eastAsiaTheme="majorEastAsia"/>
          <w:rtl/>
        </w:rPr>
        <w:t>צִוִּיתִךָ</w:t>
      </w:r>
      <w:r>
        <w:t xml:space="preserve">, Piel Perfekt, 1. Person Singular von </w:t>
      </w:r>
      <w:r>
        <w:rPr>
          <w:rStyle w:val="Fett"/>
          <w:rFonts w:eastAsiaTheme="majorEastAsia"/>
          <w:rtl/>
        </w:rPr>
        <w:t>צוה</w:t>
      </w:r>
      <w:r>
        <w:t xml:space="preserve">, „befehlen, gebieten", mit Suffix 2. </w:t>
      </w:r>
      <w:r>
        <w:lastRenderedPageBreak/>
        <w:t xml:space="preserve">Person Maskulinum Singular als direktes Objekt). Die Formulierung </w:t>
      </w:r>
      <w:r>
        <w:rPr>
          <w:rStyle w:val="Fett"/>
          <w:rFonts w:eastAsiaTheme="majorEastAsia"/>
          <w:rtl/>
        </w:rPr>
        <w:t>כַּאֲשֶׁר צִוִּיתִךָ</w:t>
      </w:r>
      <w:r>
        <w:rPr>
          <w:rtl/>
        </w:rPr>
        <w:t xml:space="preserve"> </w:t>
      </w:r>
      <w:r>
        <w:t>verweist auf die vorangehenden Anweisungen, besonders das Blutverbot (V. 16).</w:t>
      </w:r>
    </w:p>
    <w:p w14:paraId="3F547CBA" w14:textId="77777777" w:rsidR="00724090" w:rsidRDefault="00724090" w:rsidP="00724090">
      <w:pPr>
        <w:pStyle w:val="whitespace-normal"/>
      </w:pPr>
      <w:r>
        <w:rPr>
          <w:rStyle w:val="Fett"/>
          <w:rFonts w:eastAsiaTheme="majorEastAsia"/>
          <w:rtl/>
        </w:rPr>
        <w:t>וְאָכַלְתָּ בִּשְׁעָרֶיךָ בְּכֹל אַוַּת נַפְשֶׁךָ</w:t>
      </w:r>
      <w:r>
        <w:rPr>
          <w:rtl/>
        </w:rPr>
        <w:t xml:space="preserve"> </w:t>
      </w:r>
      <w:r>
        <w:t xml:space="preserve">ist die zweite Apodosis: </w:t>
      </w:r>
      <w:r>
        <w:rPr>
          <w:rStyle w:val="Fett"/>
          <w:rFonts w:eastAsiaTheme="majorEastAsia"/>
          <w:rtl/>
        </w:rPr>
        <w:t>וְאָכַלְתָּ</w:t>
      </w:r>
      <w:r>
        <w:rPr>
          <w:rtl/>
        </w:rPr>
        <w:t xml:space="preserve"> </w:t>
      </w:r>
      <w:r>
        <w:t xml:space="preserve">(Qal Perfekt, 2. Person Maskulinum Singular von </w:t>
      </w:r>
      <w:r>
        <w:rPr>
          <w:rStyle w:val="Fett"/>
          <w:rFonts w:eastAsiaTheme="majorEastAsia"/>
          <w:rtl/>
        </w:rPr>
        <w:t>אכל</w:t>
      </w:r>
      <w:r>
        <w:t xml:space="preserve">, „essen", mit </w:t>
      </w:r>
      <w:r>
        <w:rPr>
          <w:rStyle w:val="Fett"/>
          <w:rFonts w:eastAsiaTheme="majorEastAsia"/>
        </w:rPr>
        <w:t>Waw</w:t>
      </w:r>
      <w:r>
        <w:t xml:space="preserve">, consecutives Perfekt), </w:t>
      </w:r>
      <w:r>
        <w:rPr>
          <w:rStyle w:val="Fett"/>
          <w:rFonts w:eastAsiaTheme="majorEastAsia"/>
          <w:rtl/>
        </w:rPr>
        <w:t>בִּשְׁעָרֶיךָ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שַׁעַר</w:t>
      </w:r>
      <w:r>
        <w:t xml:space="preserve">, „Tor", Plural mit Suffix 2. Person Maskulinum Singular, „in deinen Toren/Städten") als lokale Bestimmung und </w:t>
      </w:r>
      <w:r>
        <w:rPr>
          <w:rStyle w:val="Fett"/>
          <w:rFonts w:eastAsiaTheme="majorEastAsia"/>
          <w:rtl/>
        </w:rPr>
        <w:t>בְּכֹל אַוַּת נַפְשֶׁךָ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כֹּל</w:t>
      </w:r>
      <w:r>
        <w:rPr>
          <w:rtl/>
        </w:rPr>
        <w:t xml:space="preserve"> </w:t>
      </w:r>
      <w:r>
        <w:t xml:space="preserve">im Construct mit </w:t>
      </w:r>
      <w:r>
        <w:rPr>
          <w:rStyle w:val="Fett"/>
          <w:rFonts w:eastAsiaTheme="majorEastAsia"/>
          <w:rtl/>
        </w:rPr>
        <w:t>אַוָּה</w:t>
      </w:r>
      <w:r>
        <w:t xml:space="preserve">, „Begierde", Construct mit </w:t>
      </w:r>
      <w:r>
        <w:rPr>
          <w:rStyle w:val="Fett"/>
          <w:rFonts w:eastAsiaTheme="majorEastAsia"/>
          <w:rtl/>
        </w:rPr>
        <w:t>נֶפֶשׁ</w:t>
      </w:r>
      <w:r>
        <w:rPr>
          <w:rtl/>
        </w:rPr>
        <w:t xml:space="preserve"> </w:t>
      </w:r>
      <w:r>
        <w:t>und Suffix 2. Person Maskulinum Singular) als modale Bestimmung. Diese Formulierung wiederholt V. 15 und 20.</w:t>
      </w:r>
    </w:p>
    <w:p w14:paraId="2741C2F0" w14:textId="77777777" w:rsidR="00724090" w:rsidRDefault="00724090" w:rsidP="00724090">
      <w:pPr>
        <w:pStyle w:val="whitespace-normal"/>
      </w:pPr>
      <w:r>
        <w:t xml:space="preserve">Die Syntax konkretisiert die Erlaubnis zur profanen Schlachtung: Wenn die Entfernung zum Heiligtum zu groß ist, darf man zu Hause schlachten und essen. Die partitive Präposition </w:t>
      </w:r>
      <w:r>
        <w:rPr>
          <w:rStyle w:val="Fett"/>
          <w:rFonts w:eastAsiaTheme="majorEastAsia"/>
          <w:rtl/>
        </w:rPr>
        <w:t>מִן</w:t>
      </w:r>
      <w:r>
        <w:rPr>
          <w:rtl/>
        </w:rPr>
        <w:t xml:space="preserve"> </w:t>
      </w:r>
      <w:r>
        <w:t xml:space="preserve">betont, dass man nur einen Teil des Viehs schlachtet, nicht das </w:t>
      </w:r>
      <w:proofErr w:type="spellStart"/>
      <w:r>
        <w:t>ganze</w:t>
      </w:r>
      <w:proofErr w:type="spellEnd"/>
      <w:r>
        <w:t xml:space="preserve">. Der Relativsatz </w:t>
      </w:r>
      <w:r>
        <w:rPr>
          <w:rStyle w:val="Fett"/>
          <w:rFonts w:eastAsiaTheme="majorEastAsia"/>
          <w:rtl/>
        </w:rPr>
        <w:t>אֲשֶׁר נָתַן יְהוָה לְךָ</w:t>
      </w:r>
      <w:r>
        <w:rPr>
          <w:rtl/>
        </w:rPr>
        <w:t xml:space="preserve"> </w:t>
      </w:r>
      <w:r>
        <w:t xml:space="preserve">erinnert daran, dass das Vieh göttliche Gabe ist. Die Formel </w:t>
      </w:r>
      <w:r>
        <w:rPr>
          <w:rStyle w:val="Fett"/>
          <w:rFonts w:eastAsiaTheme="majorEastAsia"/>
          <w:rtl/>
        </w:rPr>
        <w:t>כַּאֲשֶׁר צִוִּיתִךָ</w:t>
      </w:r>
      <w:r>
        <w:rPr>
          <w:rtl/>
        </w:rPr>
        <w:t xml:space="preserve"> </w:t>
      </w:r>
      <w:r>
        <w:t xml:space="preserve">verbindet diese Erlaubnis mit den vorangehenden Geboten, besonders dem Blutverbot. Die dreifache Wiederholung der Wendung </w:t>
      </w:r>
      <w:r>
        <w:rPr>
          <w:rStyle w:val="Fett"/>
          <w:rFonts w:eastAsiaTheme="majorEastAsia"/>
          <w:rtl/>
        </w:rPr>
        <w:t>בְּכָל אַוַּת נֶפֶשׁ</w:t>
      </w:r>
      <w:r>
        <w:rPr>
          <w:rtl/>
        </w:rPr>
        <w:t xml:space="preserve"> </w:t>
      </w:r>
      <w:r>
        <w:t>(V. 15.20.21) betont nachdrücklich die Freiheit des Fleischkonsums.</w:t>
      </w:r>
    </w:p>
    <w:p w14:paraId="20E04316" w14:textId="77777777" w:rsidR="00724090" w:rsidRDefault="00724090" w:rsidP="00724090">
      <w:pPr>
        <w:pStyle w:val="whitespace-normal"/>
      </w:pPr>
      <w:r>
        <w:rPr>
          <w:rStyle w:val="Fett"/>
          <w:rFonts w:eastAsiaTheme="majorEastAsia"/>
        </w:rPr>
        <w:t>Die LXX</w:t>
      </w:r>
      <w:r>
        <w:t xml:space="preserve"> übersetzt „fern sein wird von dir" mit „μα</w:t>
      </w:r>
      <w:proofErr w:type="spellStart"/>
      <w:r>
        <w:t>κρὰν</w:t>
      </w:r>
      <w:proofErr w:type="spellEnd"/>
      <w:r>
        <w:t xml:space="preserve"> ἀπ</w:t>
      </w:r>
      <w:proofErr w:type="spellStart"/>
      <w:r>
        <w:t>έχῃ</w:t>
      </w:r>
      <w:proofErr w:type="spellEnd"/>
      <w:r>
        <w:t xml:space="preserve"> ἀπὸ </w:t>
      </w:r>
      <w:proofErr w:type="spellStart"/>
      <w:r>
        <w:t>σοῦ</w:t>
      </w:r>
      <w:proofErr w:type="spellEnd"/>
      <w:r>
        <w:t xml:space="preserve">", „magst du schlachten" mit „καὶ </w:t>
      </w:r>
      <w:proofErr w:type="spellStart"/>
      <w:r>
        <w:t>θύσεις</w:t>
      </w:r>
      <w:proofErr w:type="spellEnd"/>
      <w:r>
        <w:t>", „wie ich dir geboten habe" mit „</w:t>
      </w:r>
      <w:proofErr w:type="spellStart"/>
      <w:r>
        <w:t>ὃν</w:t>
      </w:r>
      <w:proofErr w:type="spellEnd"/>
      <w:r>
        <w:t xml:space="preserve"> </w:t>
      </w:r>
      <w:proofErr w:type="spellStart"/>
      <w:r>
        <w:t>τρό</w:t>
      </w:r>
      <w:proofErr w:type="spellEnd"/>
      <w:r>
        <w:t xml:space="preserve">πον </w:t>
      </w:r>
      <w:proofErr w:type="spellStart"/>
      <w:r>
        <w:t>ἐνετειλάμην</w:t>
      </w:r>
      <w:proofErr w:type="spellEnd"/>
      <w:r>
        <w:t xml:space="preserve"> </w:t>
      </w:r>
      <w:proofErr w:type="spellStart"/>
      <w:r>
        <w:t>σοι</w:t>
      </w:r>
      <w:proofErr w:type="spellEnd"/>
      <w:r>
        <w:t>" und „nach allem Begehr deiner Seele" mit „κα</w:t>
      </w:r>
      <w:proofErr w:type="spellStart"/>
      <w:r>
        <w:t>τὰ</w:t>
      </w:r>
      <w:proofErr w:type="spellEnd"/>
      <w:r>
        <w:t xml:space="preserve"> π</w:t>
      </w:r>
      <w:proofErr w:type="spellStart"/>
      <w:r>
        <w:t>ᾶσ</w:t>
      </w:r>
      <w:proofErr w:type="spellEnd"/>
      <w:r>
        <w:t>αν τὴν ἐπ</w:t>
      </w:r>
      <w:proofErr w:type="spellStart"/>
      <w:r>
        <w:t>ιθυμί</w:t>
      </w:r>
      <w:proofErr w:type="spellEnd"/>
      <w:r>
        <w:t xml:space="preserve">αν </w:t>
      </w:r>
      <w:proofErr w:type="spellStart"/>
      <w:r>
        <w:t>τῆς</w:t>
      </w:r>
      <w:proofErr w:type="spellEnd"/>
      <w:r>
        <w:t xml:space="preserve"> </w:t>
      </w:r>
      <w:proofErr w:type="spellStart"/>
      <w:r>
        <w:t>ψυχῆς</w:t>
      </w:r>
      <w:proofErr w:type="spellEnd"/>
      <w:r>
        <w:t xml:space="preserve"> </w:t>
      </w:r>
      <w:proofErr w:type="spellStart"/>
      <w:r>
        <w:t>σου</w:t>
      </w:r>
      <w:proofErr w:type="spellEnd"/>
      <w:r>
        <w:t>".</w:t>
      </w:r>
    </w:p>
    <w:p w14:paraId="567A6AEC" w14:textId="77777777" w:rsidR="00724090" w:rsidRDefault="00724090" w:rsidP="00724090">
      <w:pPr>
        <w:pStyle w:val="whitespace-normal"/>
      </w:pPr>
      <w:r>
        <w:rPr>
          <w:rStyle w:val="Fett"/>
          <w:rFonts w:eastAsiaTheme="majorEastAsia"/>
        </w:rPr>
        <w:t>Die Satzstruktur</w:t>
      </w:r>
      <w:r>
        <w:t xml:space="preserve"> besteht aus einem konditionalen Satz mit Relativsatz und zwei koordinierten </w:t>
      </w:r>
      <w:proofErr w:type="spellStart"/>
      <w:r>
        <w:t>Apodoses</w:t>
      </w:r>
      <w:proofErr w:type="spellEnd"/>
      <w:r>
        <w:t>: Konditionalsatz mit Prädikat (fern sein wird), Herkunftsangabe (von dir), Subjekt (der Ort), Relativsatz mit Prädikat (erwählen wird), Subjekt (JHWH, dein Gott), finaler Bestimmung (um seinen Namen dorthin zu setzen); erste Apodosis mit Prädikat (magst schlachten), partitivem Objekt (von deinem Rind- und Kleinvieh), Relativsatz (das JHWH dir gegeben hat), Vergleich (wie ich dir geboten habe); zweite Apodosis mit Prädikat (essen), lokaler Bestimmung (in deinen Toren), modaler Bestimmung (nach allem Begehr deiner Seele).</w:t>
      </w:r>
    </w:p>
    <w:p w14:paraId="3164C7F6" w14:textId="77777777" w:rsidR="00724090" w:rsidRDefault="00724090" w:rsidP="00724090">
      <w:pPr>
        <w:pStyle w:val="whitespace-normal"/>
      </w:pPr>
      <w:r>
        <w:t>Der Vers konkretisiert die Bedingung für profane Schlachtung: Wenn das zentrale Heiligtum zu weit entfernt ist, darf man zu Hause nach den gebotenen Regeln schlachten und nach Belieben Fleisch essen.</w:t>
      </w:r>
    </w:p>
    <w:p w14:paraId="3BF97830"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12,22</w:t>
      </w:r>
    </w:p>
    <w:p w14:paraId="6C84AA3E" w14:textId="77777777" w:rsidR="00724090" w:rsidRDefault="00724090" w:rsidP="00724090">
      <w:pPr>
        <w:pStyle w:val="whitespace-normal"/>
      </w:pPr>
      <w:r>
        <w:rPr>
          <w:rStyle w:val="Fett"/>
          <w:rFonts w:eastAsiaTheme="majorEastAsia"/>
        </w:rPr>
        <w:t>Hebräisch:</w:t>
      </w:r>
      <w:r>
        <w:t xml:space="preserve"> </w:t>
      </w:r>
      <w:r>
        <w:rPr>
          <w:rtl/>
        </w:rPr>
        <w:t>אַ֗ךְ כַּאֲשֶׁ֨ר יֵאָכֵ֤ל אֶֽת־הַצְּבִי֙ וְאֶת־הָ֣אַיָּ֔ל כֵּ֖ן תֹּאכְלֶ֑נּוּ הַטָּמֵא֙ וְהַטָּה֔וֹר יַחְדָּ֖ו יֹאכְלֶֽנּוּ׃</w:t>
      </w:r>
    </w:p>
    <w:p w14:paraId="38840070" w14:textId="7133239E" w:rsidR="00724090" w:rsidRDefault="00724090" w:rsidP="00724090">
      <w:pPr>
        <w:pStyle w:val="whitespace-normal"/>
      </w:pPr>
      <w:r>
        <w:rPr>
          <w:rStyle w:val="Fett"/>
          <w:rFonts w:eastAsiaTheme="majorEastAsia"/>
        </w:rPr>
        <w:t>Deutsch:</w:t>
      </w:r>
      <w:r>
        <w:t xml:space="preserve"> Gerade so wie die Gazelle und der Hirsch gegessen werden, so magst du es essen: Der Unreine und der Reine mögen es zusammen essen.</w:t>
      </w:r>
    </w:p>
    <w:p w14:paraId="51EA5C35" w14:textId="053DC7E9" w:rsidR="009C316F" w:rsidRDefault="004F5CEB" w:rsidP="00724090">
      <w:pPr>
        <w:pStyle w:val="whitespace-normal"/>
      </w:pPr>
      <w:r>
        <w:rPr>
          <w:noProof/>
        </w:rPr>
        <w:pict w14:anchorId="26E0482E">
          <v:rect id="_x0000_i1394" style="width:0;height:1.5pt" o:hralign="center" o:hrstd="t" o:hr="t" fillcolor="#a0a0a0" stroked="f"/>
        </w:pict>
      </w:r>
    </w:p>
    <w:p w14:paraId="3B11A287" w14:textId="77284276" w:rsidR="00724090" w:rsidRDefault="00724090" w:rsidP="00724090">
      <w:pPr>
        <w:pStyle w:val="whitespace-normal"/>
      </w:pPr>
      <w:r>
        <w:rPr>
          <w:rStyle w:val="Fett"/>
          <w:rFonts w:eastAsiaTheme="majorEastAsia"/>
        </w:rPr>
        <w:t>Kommentar:</w:t>
      </w:r>
      <w:r>
        <w:t xml:space="preserve"> </w:t>
      </w:r>
      <w:r>
        <w:rPr>
          <w:rStyle w:val="Fett"/>
          <w:rFonts w:eastAsiaTheme="majorEastAsia"/>
          <w:rtl/>
        </w:rPr>
        <w:t>אַךְ כַּאֲשֶׁר יֵאָכֵל אֶת־הַצְּבִי וְאֶת־הָאַיָּל כֵּן תֹּאכְלֶנּוּ</w:t>
      </w:r>
      <w:r>
        <w:rPr>
          <w:rtl/>
        </w:rPr>
        <w:t xml:space="preserve"> </w:t>
      </w:r>
      <w:r>
        <w:t xml:space="preserve">ist ein Vergleichssatz: </w:t>
      </w:r>
      <w:r>
        <w:rPr>
          <w:rStyle w:val="Fett"/>
          <w:rFonts w:eastAsiaTheme="majorEastAsia"/>
          <w:rtl/>
        </w:rPr>
        <w:t>אַךְ</w:t>
      </w:r>
      <w:r>
        <w:rPr>
          <w:rtl/>
        </w:rPr>
        <w:t xml:space="preserve"> </w:t>
      </w:r>
      <w:r>
        <w:t xml:space="preserve">(„gerade, nur, jedoch") als restriktive oder bekräftigende Partikel, </w:t>
      </w:r>
      <w:r>
        <w:rPr>
          <w:rStyle w:val="Fett"/>
          <w:rFonts w:eastAsiaTheme="majorEastAsia"/>
          <w:rtl/>
        </w:rPr>
        <w:t>כַּאֲשֶׁר</w:t>
      </w:r>
      <w:r>
        <w:rPr>
          <w:rtl/>
        </w:rPr>
        <w:t xml:space="preserve"> </w:t>
      </w:r>
      <w:r w:rsidR="00D84597">
        <w:t>(„wie, sowie“)</w:t>
      </w:r>
      <w:r>
        <w:t xml:space="preserve"> als Vergleichspartikel, </w:t>
      </w:r>
      <w:r>
        <w:rPr>
          <w:rStyle w:val="Fett"/>
          <w:rFonts w:eastAsiaTheme="majorEastAsia"/>
          <w:rtl/>
        </w:rPr>
        <w:t>יֵאָכֵל</w:t>
      </w:r>
      <w:r>
        <w:rPr>
          <w:rtl/>
        </w:rPr>
        <w:t xml:space="preserve"> </w:t>
      </w:r>
      <w:r>
        <w:t xml:space="preserve">(Niphal Imperfekt, 3. Person Maskulinum Singular von </w:t>
      </w:r>
      <w:r>
        <w:rPr>
          <w:rStyle w:val="Fett"/>
          <w:rFonts w:eastAsiaTheme="majorEastAsia"/>
          <w:rtl/>
        </w:rPr>
        <w:t>אכל</w:t>
      </w:r>
      <w:r>
        <w:t xml:space="preserve">, „essen", </w:t>
      </w:r>
      <w:r>
        <w:lastRenderedPageBreak/>
        <w:t xml:space="preserve">in der Niphal-Form passivisch „gegessen werden"), </w:t>
      </w:r>
      <w:r>
        <w:rPr>
          <w:rStyle w:val="Fett"/>
          <w:rFonts w:eastAsiaTheme="majorEastAsia"/>
          <w:rtl/>
        </w:rPr>
        <w:t>אֶת־הַצְּבִי</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צְבִי</w:t>
      </w:r>
      <w:r>
        <w:t xml:space="preserve">, „Gazelle", mit Artikel), koordiniert durch </w:t>
      </w:r>
      <w:r>
        <w:rPr>
          <w:rStyle w:val="Fett"/>
          <w:rFonts w:eastAsiaTheme="majorEastAsia"/>
          <w:rtl/>
        </w:rPr>
        <w:t>וְאֶת</w:t>
      </w:r>
      <w:r>
        <w:rPr>
          <w:rtl/>
        </w:rPr>
        <w:t xml:space="preserve"> </w:t>
      </w:r>
      <w:r>
        <w:t xml:space="preserve">mit </w:t>
      </w:r>
      <w:r>
        <w:rPr>
          <w:rStyle w:val="Fett"/>
          <w:rFonts w:eastAsiaTheme="majorEastAsia"/>
          <w:rtl/>
        </w:rPr>
        <w:t>הָאַיָּל</w:t>
      </w:r>
      <w:r>
        <w:rPr>
          <w:rtl/>
        </w:rPr>
        <w:t xml:space="preserve"> </w:t>
      </w:r>
      <w:r>
        <w:t>(</w:t>
      </w:r>
      <w:r>
        <w:rPr>
          <w:rStyle w:val="Fett"/>
          <w:rFonts w:eastAsiaTheme="majorEastAsia"/>
          <w:rtl/>
        </w:rPr>
        <w:t>אַיָּל</w:t>
      </w:r>
      <w:r>
        <w:t xml:space="preserve">, „Hirsch", mit Artikel), </w:t>
      </w:r>
      <w:r>
        <w:rPr>
          <w:rStyle w:val="Fett"/>
          <w:rFonts w:eastAsiaTheme="majorEastAsia"/>
          <w:rtl/>
        </w:rPr>
        <w:t>כֵּן</w:t>
      </w:r>
      <w:r>
        <w:rPr>
          <w:rtl/>
        </w:rPr>
        <w:t xml:space="preserve"> </w:t>
      </w:r>
      <w:r>
        <w:t xml:space="preserve">(„so, ebenso") als adverbiale Bestimmung und </w:t>
      </w:r>
      <w:r>
        <w:rPr>
          <w:rStyle w:val="Fett"/>
          <w:rFonts w:eastAsiaTheme="majorEastAsia"/>
          <w:rtl/>
        </w:rPr>
        <w:t>תֹּאכְלֶנּוּ</w:t>
      </w:r>
      <w:r>
        <w:rPr>
          <w:rtl/>
        </w:rPr>
        <w:t xml:space="preserve"> </w:t>
      </w:r>
      <w:r>
        <w:t xml:space="preserve">(Qal Imperfekt, 2. Person Maskulinum Singular von </w:t>
      </w:r>
      <w:r>
        <w:rPr>
          <w:rStyle w:val="Fett"/>
          <w:rFonts w:eastAsiaTheme="majorEastAsia"/>
          <w:rtl/>
        </w:rPr>
        <w:t>אכל</w:t>
      </w:r>
      <w:r>
        <w:t xml:space="preserve">, „essen", mit Suffix 3. Person Maskulinum Singular als direktes Objekt). Die Konstruktion </w:t>
      </w:r>
      <w:r>
        <w:rPr>
          <w:rStyle w:val="Fett"/>
          <w:rFonts w:eastAsiaTheme="majorEastAsia"/>
          <w:rtl/>
        </w:rPr>
        <w:t>כַּאֲשֶׁר</w:t>
      </w:r>
      <w:r>
        <w:rPr>
          <w:rtl/>
        </w:rPr>
        <w:t xml:space="preserve"> </w:t>
      </w:r>
      <w:r>
        <w:t xml:space="preserve">... </w:t>
      </w:r>
      <w:r>
        <w:rPr>
          <w:rStyle w:val="Fett"/>
          <w:rFonts w:eastAsiaTheme="majorEastAsia"/>
          <w:rtl/>
        </w:rPr>
        <w:t>כֵּן</w:t>
      </w:r>
      <w:r>
        <w:rPr>
          <w:rtl/>
        </w:rPr>
        <w:t xml:space="preserve"> </w:t>
      </w:r>
      <w:r>
        <w:t>(„wie ... so") drückt einen Vergleich aus.</w:t>
      </w:r>
    </w:p>
    <w:p w14:paraId="2E94E6B7" w14:textId="77777777" w:rsidR="00724090" w:rsidRDefault="00724090" w:rsidP="00724090">
      <w:pPr>
        <w:pStyle w:val="whitespace-normal"/>
      </w:pPr>
      <w:r>
        <w:rPr>
          <w:rStyle w:val="Fett"/>
          <w:rFonts w:eastAsiaTheme="majorEastAsia"/>
          <w:rtl/>
        </w:rPr>
        <w:t>הַטָּמֵא וְהַטָּהוֹר יַחְדָּו יֹאכְלֶנּוּ</w:t>
      </w:r>
      <w:r>
        <w:rPr>
          <w:rtl/>
        </w:rPr>
        <w:t xml:space="preserve"> </w:t>
      </w:r>
      <w:r>
        <w:t xml:space="preserve">ist ein Nominalsatz: </w:t>
      </w:r>
      <w:r>
        <w:rPr>
          <w:rStyle w:val="Fett"/>
          <w:rFonts w:eastAsiaTheme="majorEastAsia"/>
          <w:rtl/>
        </w:rPr>
        <w:t>הַטָּמֵא</w:t>
      </w:r>
      <w:r>
        <w:rPr>
          <w:rtl/>
        </w:rPr>
        <w:t xml:space="preserve"> </w:t>
      </w:r>
      <w:r>
        <w:t>(</w:t>
      </w:r>
      <w:r>
        <w:rPr>
          <w:rStyle w:val="Fett"/>
          <w:rFonts w:eastAsiaTheme="majorEastAsia"/>
          <w:rtl/>
        </w:rPr>
        <w:t>טָמֵא</w:t>
      </w:r>
      <w:r>
        <w:t xml:space="preserve">, „unrein", Adjektiv mit Artikel, substantivisch, „der Unreine"), koordiniert durch </w:t>
      </w:r>
      <w:r>
        <w:rPr>
          <w:rStyle w:val="Fett"/>
          <w:rFonts w:eastAsiaTheme="majorEastAsia"/>
          <w:rtl/>
        </w:rPr>
        <w:t>וְ</w:t>
      </w:r>
      <w:r>
        <w:rPr>
          <w:rtl/>
        </w:rPr>
        <w:t xml:space="preserve"> </w:t>
      </w:r>
      <w:r>
        <w:t xml:space="preserve">mit </w:t>
      </w:r>
      <w:r>
        <w:rPr>
          <w:rStyle w:val="Fett"/>
          <w:rFonts w:eastAsiaTheme="majorEastAsia"/>
          <w:rtl/>
        </w:rPr>
        <w:t>הַטָּהוֹר</w:t>
      </w:r>
      <w:r>
        <w:rPr>
          <w:rtl/>
        </w:rPr>
        <w:t xml:space="preserve"> </w:t>
      </w:r>
      <w:r>
        <w:t>(</w:t>
      </w:r>
      <w:r>
        <w:rPr>
          <w:rStyle w:val="Fett"/>
          <w:rFonts w:eastAsiaTheme="majorEastAsia"/>
          <w:rtl/>
        </w:rPr>
        <w:t>טָהוֹר</w:t>
      </w:r>
      <w:r>
        <w:t xml:space="preserve">, „rein", Adjektiv mit Artikel, substantivisch, „der Reine") als Subjekt, </w:t>
      </w:r>
      <w:r>
        <w:rPr>
          <w:rStyle w:val="Fett"/>
          <w:rFonts w:eastAsiaTheme="majorEastAsia"/>
          <w:rtl/>
        </w:rPr>
        <w:t>יַחְדָּו</w:t>
      </w:r>
      <w:r>
        <w:rPr>
          <w:rtl/>
        </w:rPr>
        <w:t xml:space="preserve"> </w:t>
      </w:r>
      <w:r>
        <w:t xml:space="preserve">(„zusammen, gemeinsam") als adverbiale Bestimmung und </w:t>
      </w:r>
      <w:r>
        <w:rPr>
          <w:rStyle w:val="Fett"/>
          <w:rFonts w:eastAsiaTheme="majorEastAsia"/>
          <w:rtl/>
        </w:rPr>
        <w:t>יֹאכְלֶנּוּ</w:t>
      </w:r>
      <w:r>
        <w:rPr>
          <w:rtl/>
        </w:rPr>
        <w:t xml:space="preserve"> </w:t>
      </w:r>
      <w:r>
        <w:t xml:space="preserve">(Qal Imperfekt, 3. Person Maskulinum Singular von </w:t>
      </w:r>
      <w:r>
        <w:rPr>
          <w:rStyle w:val="Fett"/>
          <w:rFonts w:eastAsiaTheme="majorEastAsia"/>
          <w:rtl/>
        </w:rPr>
        <w:t>אכל</w:t>
      </w:r>
      <w:r>
        <w:t xml:space="preserve">, mit Suffix 3. Person Maskulinum Singular als direktes Objekt) als Prädikat. Das Adverb </w:t>
      </w:r>
      <w:r>
        <w:rPr>
          <w:rStyle w:val="Fett"/>
          <w:rFonts w:eastAsiaTheme="majorEastAsia"/>
          <w:rtl/>
        </w:rPr>
        <w:t>יַחְדָּו</w:t>
      </w:r>
      <w:r>
        <w:rPr>
          <w:rtl/>
        </w:rPr>
        <w:t xml:space="preserve"> </w:t>
      </w:r>
      <w:r>
        <w:t>betont die Gleichberechtigung.</w:t>
      </w:r>
    </w:p>
    <w:p w14:paraId="2163D3DF" w14:textId="77777777" w:rsidR="00724090" w:rsidRDefault="00724090" w:rsidP="00724090">
      <w:pPr>
        <w:pStyle w:val="whitespace-normal"/>
      </w:pPr>
      <w:r>
        <w:t xml:space="preserve">Die Syntax wiederholt und bekräftigt die Aussage aus V. 15b fast wörtlich. Der Vergleich mit Gazelle und Hirsch ist entscheidend: Diese Wildtiere sind zwar rein (nach den Speisegesetzen essbar, vgl. 14,5), aber nicht domestiziert und daher nicht opferfähig. Sie werden rein profan gegessen, ohne kultische Einschränkungen. Ebenso soll nun auch das domestizierte Vieh bei profaner Schlachtung behandelt werden. Die Betonung durch </w:t>
      </w:r>
      <w:r>
        <w:rPr>
          <w:rStyle w:val="Fett"/>
          <w:rFonts w:eastAsiaTheme="majorEastAsia"/>
          <w:rtl/>
        </w:rPr>
        <w:t>אַךְ</w:t>
      </w:r>
      <w:r>
        <w:rPr>
          <w:rtl/>
        </w:rPr>
        <w:t xml:space="preserve"> </w:t>
      </w:r>
      <w:r>
        <w:t xml:space="preserve">zu Beginn unterstreicht die Wichtigkeit dieser Analogie. Die explizite Erlaubnis für rituelle Unreine zeigt, dass diese Schlachtung völlig profan ist – im Gegensatz zu Opfermahlzeiten, an denen nur rituelle Reine teilnehmen durften. Das Adverb </w:t>
      </w:r>
      <w:r>
        <w:rPr>
          <w:rStyle w:val="Fett"/>
          <w:rFonts w:eastAsiaTheme="majorEastAsia"/>
          <w:rtl/>
        </w:rPr>
        <w:t>יַחְדָּו</w:t>
      </w:r>
      <w:r>
        <w:rPr>
          <w:rtl/>
        </w:rPr>
        <w:t xml:space="preserve"> </w:t>
      </w:r>
      <w:r>
        <w:t>(„zusammen") verstärkt: Unreine und Reine dürfen gemeinsam von diesem Fleisch essen.</w:t>
      </w:r>
    </w:p>
    <w:p w14:paraId="0DC3E03E" w14:textId="77777777" w:rsidR="00724090" w:rsidRDefault="00724090" w:rsidP="00724090">
      <w:pPr>
        <w:pStyle w:val="whitespace-normal"/>
      </w:pPr>
      <w:r>
        <w:rPr>
          <w:rStyle w:val="Fett"/>
          <w:rFonts w:eastAsiaTheme="majorEastAsia"/>
        </w:rPr>
        <w:t>Die LXX</w:t>
      </w:r>
      <w:r>
        <w:t xml:space="preserve"> übersetzt „gerade so wie gegessen wird" mit „</w:t>
      </w:r>
      <w:proofErr w:type="spellStart"/>
      <w:r>
        <w:t>ὡς</w:t>
      </w:r>
      <w:proofErr w:type="spellEnd"/>
      <w:r>
        <w:t xml:space="preserve"> </w:t>
      </w:r>
      <w:proofErr w:type="spellStart"/>
      <w:r>
        <w:t>ἔσθετ</w:t>
      </w:r>
      <w:proofErr w:type="spellEnd"/>
      <w:r>
        <w:t xml:space="preserve">αι", „die Gazelle und der Hirsch" mit „ἡ </w:t>
      </w:r>
      <w:proofErr w:type="spellStart"/>
      <w:r>
        <w:t>δορκὰς</w:t>
      </w:r>
      <w:proofErr w:type="spellEnd"/>
      <w:r>
        <w:t xml:space="preserve"> καὶ ἡ </w:t>
      </w:r>
      <w:proofErr w:type="spellStart"/>
      <w:r>
        <w:t>ἔλ</w:t>
      </w:r>
      <w:proofErr w:type="spellEnd"/>
      <w:r>
        <w:t>αφος", „so magst du es essen" mit „</w:t>
      </w:r>
      <w:proofErr w:type="spellStart"/>
      <w:r>
        <w:t>οὕτως</w:t>
      </w:r>
      <w:proofErr w:type="spellEnd"/>
      <w:r>
        <w:t xml:space="preserve"> </w:t>
      </w:r>
      <w:proofErr w:type="spellStart"/>
      <w:r>
        <w:t>φάγῃ</w:t>
      </w:r>
      <w:proofErr w:type="spellEnd"/>
      <w:r>
        <w:t xml:space="preserve"> α</w:t>
      </w:r>
      <w:proofErr w:type="spellStart"/>
      <w:r>
        <w:t>ὐτό</w:t>
      </w:r>
      <w:proofErr w:type="spellEnd"/>
      <w:r>
        <w:t>", „der Unreine und der Reine" mit „ὁ ἀκάθα</w:t>
      </w:r>
      <w:proofErr w:type="spellStart"/>
      <w:r>
        <w:t>ρτος</w:t>
      </w:r>
      <w:proofErr w:type="spellEnd"/>
      <w:r>
        <w:t xml:space="preserve"> καὶ ὁ καθα</w:t>
      </w:r>
      <w:proofErr w:type="spellStart"/>
      <w:r>
        <w:t>ρὸς</w:t>
      </w:r>
      <w:proofErr w:type="spellEnd"/>
      <w:r>
        <w:t>" und „zusammen mögen es essen" mit „</w:t>
      </w:r>
      <w:proofErr w:type="spellStart"/>
      <w:r>
        <w:t>ὁμοῦ</w:t>
      </w:r>
      <w:proofErr w:type="spellEnd"/>
      <w:r>
        <w:t xml:space="preserve"> </w:t>
      </w:r>
      <w:proofErr w:type="spellStart"/>
      <w:r>
        <w:t>φάγοντ</w:t>
      </w:r>
      <w:proofErr w:type="spellEnd"/>
      <w:r>
        <w:t>αι".</w:t>
      </w:r>
    </w:p>
    <w:p w14:paraId="2E7E4FEA" w14:textId="77777777" w:rsidR="00724090" w:rsidRDefault="00724090" w:rsidP="00724090">
      <w:pPr>
        <w:pStyle w:val="whitespace-normal"/>
      </w:pPr>
      <w:r>
        <w:rPr>
          <w:rStyle w:val="Fett"/>
          <w:rFonts w:eastAsiaTheme="majorEastAsia"/>
        </w:rPr>
        <w:t>Die Satzstruktur</w:t>
      </w:r>
      <w:r>
        <w:t xml:space="preserve"> besteht aus einem Vergleichssatz und einem Nominalsatz: Bekräftigende Partikel (gerade), Vergleichspartikel (wie), passives Prädikat (gegessen wird), direktes Objekt (die Gazelle und der Hirsch), adverbiale Entsprechung (so), Prädikat mit integriertem direktem Objekt (magst du es essen); Nominalsatz mit zweigliedrigem Subjekt (der Unreine und der Reine), adverbialer Bestimmung (zusammen) und Prädikat mit integriertem direktem Objekt (mögen es essen).</w:t>
      </w:r>
    </w:p>
    <w:p w14:paraId="3ECC8FFC" w14:textId="77777777" w:rsidR="00724090" w:rsidRDefault="00724090" w:rsidP="00724090">
      <w:pPr>
        <w:pStyle w:val="whitespace-normal"/>
      </w:pPr>
      <w:r>
        <w:t xml:space="preserve">Der Vers bekräftigt durch Vergleich mit Wildfleisch: Die profane Schlachtung von </w:t>
      </w:r>
      <w:proofErr w:type="spellStart"/>
      <w:r>
        <w:t>Hausvieh</w:t>
      </w:r>
      <w:proofErr w:type="spellEnd"/>
      <w:r>
        <w:t xml:space="preserve"> ist völlig </w:t>
      </w:r>
      <w:proofErr w:type="spellStart"/>
      <w:r>
        <w:t>kultfrei</w:t>
      </w:r>
      <w:proofErr w:type="spellEnd"/>
      <w:r>
        <w:t xml:space="preserve"> – Unreine und Reine dürfen gemeinsam davon essen, wie bei Gazelle und Hirsch.</w:t>
      </w:r>
    </w:p>
    <w:p w14:paraId="48BC976E"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12,23</w:t>
      </w:r>
    </w:p>
    <w:p w14:paraId="060A2B7C" w14:textId="77777777" w:rsidR="00724090" w:rsidRDefault="00724090" w:rsidP="00724090">
      <w:pPr>
        <w:pStyle w:val="whitespace-normal"/>
      </w:pPr>
      <w:r>
        <w:rPr>
          <w:rStyle w:val="Fett"/>
          <w:rFonts w:eastAsiaTheme="majorEastAsia"/>
        </w:rPr>
        <w:t>Hebräisch:</w:t>
      </w:r>
      <w:r>
        <w:t xml:space="preserve"> </w:t>
      </w:r>
      <w:r>
        <w:rPr>
          <w:rtl/>
        </w:rPr>
        <w:t>רַ֣ק חֲזַ֗ק לְבִלְתִּי֙ אֲכֹ֣ל הַדָּ֔ם כִּ֥י הַדָּ֖ם ה֣וּא הַנָּ֑פֶשׁ וְלֹא־תֹאכַ֥ל הַנֶּ֖פֶשׁ עִם־הַבָּשָֽׂר׃</w:t>
      </w:r>
    </w:p>
    <w:p w14:paraId="4F32E353" w14:textId="2E2AD5CA" w:rsidR="00724090" w:rsidRDefault="00724090" w:rsidP="00724090">
      <w:pPr>
        <w:pStyle w:val="whitespace-normal"/>
      </w:pPr>
      <w:r>
        <w:rPr>
          <w:rStyle w:val="Fett"/>
          <w:rFonts w:eastAsiaTheme="majorEastAsia"/>
        </w:rPr>
        <w:t>Deutsch:</w:t>
      </w:r>
      <w:r>
        <w:t xml:space="preserve"> Nur halte daran fest, kein Blut zu essen, denn das Blut ist die Seele; und du sollst nicht die Seele mit dem Fleisch essen.</w:t>
      </w:r>
    </w:p>
    <w:p w14:paraId="3C587D4D" w14:textId="08C82CE5" w:rsidR="009C316F" w:rsidRDefault="004F5CEB" w:rsidP="00724090">
      <w:pPr>
        <w:pStyle w:val="whitespace-normal"/>
      </w:pPr>
      <w:r>
        <w:rPr>
          <w:noProof/>
        </w:rPr>
        <w:pict w14:anchorId="29CBC16D">
          <v:rect id="_x0000_i1395" style="width:0;height:1.5pt" o:hralign="center" o:hrstd="t" o:hr="t" fillcolor="#a0a0a0" stroked="f"/>
        </w:pict>
      </w:r>
    </w:p>
    <w:p w14:paraId="6E47D897" w14:textId="77777777" w:rsidR="00724090" w:rsidRDefault="00724090" w:rsidP="00724090">
      <w:pPr>
        <w:pStyle w:val="whitespace-normal"/>
      </w:pPr>
      <w:r>
        <w:rPr>
          <w:rStyle w:val="Fett"/>
          <w:rFonts w:eastAsiaTheme="majorEastAsia"/>
        </w:rPr>
        <w:lastRenderedPageBreak/>
        <w:t>Kommentar:</w:t>
      </w:r>
      <w:r>
        <w:t xml:space="preserve"> </w:t>
      </w:r>
      <w:r>
        <w:rPr>
          <w:rStyle w:val="Fett"/>
          <w:rFonts w:eastAsiaTheme="majorEastAsia"/>
          <w:rtl/>
        </w:rPr>
        <w:t>רַק חֲזַק לְבִלְתִּי אֲכֹל הַדָּם</w:t>
      </w:r>
      <w:r>
        <w:rPr>
          <w:rtl/>
        </w:rPr>
        <w:t xml:space="preserve"> </w:t>
      </w:r>
      <w:r>
        <w:t xml:space="preserve">ist ein Imperativsatz mit negativem Infinitiv: </w:t>
      </w:r>
      <w:r>
        <w:rPr>
          <w:rStyle w:val="Fett"/>
          <w:rFonts w:eastAsiaTheme="majorEastAsia"/>
          <w:rtl/>
        </w:rPr>
        <w:t>רַק</w:t>
      </w:r>
      <w:r>
        <w:rPr>
          <w:rtl/>
        </w:rPr>
        <w:t xml:space="preserve"> </w:t>
      </w:r>
      <w:r>
        <w:t xml:space="preserve">(„nur, jedoch") als restriktive Partikel, </w:t>
      </w:r>
      <w:r>
        <w:rPr>
          <w:rStyle w:val="Fett"/>
          <w:rFonts w:eastAsiaTheme="majorEastAsia"/>
          <w:rtl/>
        </w:rPr>
        <w:t>חֲזַק</w:t>
      </w:r>
      <w:r>
        <w:rPr>
          <w:rtl/>
        </w:rPr>
        <w:t xml:space="preserve"> </w:t>
      </w:r>
      <w:r>
        <w:t xml:space="preserve">(Qal Imperativ, 2. Person Maskulinum Singular von </w:t>
      </w:r>
      <w:r>
        <w:rPr>
          <w:rStyle w:val="Fett"/>
          <w:rFonts w:eastAsiaTheme="majorEastAsia"/>
          <w:rtl/>
        </w:rPr>
        <w:t>חזק</w:t>
      </w:r>
      <w:r>
        <w:t xml:space="preserve">, „stark sein, festhalten, beharren"), </w:t>
      </w:r>
      <w:r>
        <w:rPr>
          <w:rStyle w:val="Fett"/>
          <w:rFonts w:eastAsiaTheme="majorEastAsia"/>
          <w:rtl/>
        </w:rPr>
        <w:t>לְבִלְתִּי</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בִּלְתִּי</w:t>
      </w:r>
      <w:r>
        <w:t xml:space="preserve">, „nicht, ohne", als negative Infinitivpartikel), </w:t>
      </w:r>
      <w:r>
        <w:rPr>
          <w:rStyle w:val="Fett"/>
          <w:rFonts w:eastAsiaTheme="majorEastAsia"/>
          <w:rtl/>
        </w:rPr>
        <w:t>אֲכֹל</w:t>
      </w:r>
      <w:r>
        <w:rPr>
          <w:rtl/>
        </w:rPr>
        <w:t xml:space="preserve"> </w:t>
      </w:r>
      <w:r>
        <w:t xml:space="preserve">(Qal Infinitiv Construct von </w:t>
      </w:r>
      <w:r>
        <w:rPr>
          <w:rStyle w:val="Fett"/>
          <w:rFonts w:eastAsiaTheme="majorEastAsia"/>
          <w:rtl/>
        </w:rPr>
        <w:t>אכל</w:t>
      </w:r>
      <w:r>
        <w:t xml:space="preserve">, „essen") und </w:t>
      </w:r>
      <w:r>
        <w:rPr>
          <w:rStyle w:val="Fett"/>
          <w:rFonts w:eastAsiaTheme="majorEastAsia"/>
          <w:rtl/>
        </w:rPr>
        <w:t>הַדָּם</w:t>
      </w:r>
      <w:r>
        <w:rPr>
          <w:rtl/>
        </w:rPr>
        <w:t xml:space="preserve"> </w:t>
      </w:r>
      <w:r>
        <w:t>(</w:t>
      </w:r>
      <w:r>
        <w:rPr>
          <w:rStyle w:val="Fett"/>
          <w:rFonts w:eastAsiaTheme="majorEastAsia"/>
          <w:rtl/>
        </w:rPr>
        <w:t>דָּם</w:t>
      </w:r>
      <w:r>
        <w:t xml:space="preserve">, „Blut", mit Artikel) als direktes Objekt des Infinitivs. Die Konstruktion </w:t>
      </w:r>
      <w:r>
        <w:rPr>
          <w:rStyle w:val="Fett"/>
          <w:rFonts w:eastAsiaTheme="majorEastAsia"/>
          <w:rtl/>
        </w:rPr>
        <w:t>חזק לבלתי</w:t>
      </w:r>
      <w:r>
        <w:rPr>
          <w:rtl/>
        </w:rPr>
        <w:t xml:space="preserve"> </w:t>
      </w:r>
      <w:r>
        <w:t xml:space="preserve">drückt nachdrückliche Warnung oder Ermahnung aus („halte fest daran, nicht zu ... / sei standhaft, nicht zu ..."). Das Verb </w:t>
      </w:r>
      <w:r>
        <w:rPr>
          <w:rStyle w:val="Fett"/>
          <w:rFonts w:eastAsiaTheme="majorEastAsia"/>
          <w:rtl/>
        </w:rPr>
        <w:t>חזק</w:t>
      </w:r>
      <w:r>
        <w:rPr>
          <w:rtl/>
        </w:rPr>
        <w:t xml:space="preserve"> </w:t>
      </w:r>
      <w:r>
        <w:t>im Imperativ verstärkt die Dringlichkeit.</w:t>
      </w:r>
    </w:p>
    <w:p w14:paraId="554D1935" w14:textId="0C874CAB" w:rsidR="00724090" w:rsidRDefault="00724090" w:rsidP="00724090">
      <w:pPr>
        <w:pStyle w:val="whitespace-normal"/>
      </w:pPr>
      <w:r>
        <w:rPr>
          <w:rStyle w:val="Fett"/>
          <w:rFonts w:eastAsiaTheme="majorEastAsia"/>
          <w:rtl/>
        </w:rPr>
        <w:t>כִּי הַדָּם הוּא הַנָּפֶשׁ</w:t>
      </w:r>
      <w:r>
        <w:rPr>
          <w:rtl/>
        </w:rPr>
        <w:t xml:space="preserve"> </w:t>
      </w:r>
      <w:r>
        <w:t xml:space="preserve">ist ein kausaler Nominalsatz: </w:t>
      </w:r>
      <w:r>
        <w:rPr>
          <w:rStyle w:val="Fett"/>
          <w:rFonts w:eastAsiaTheme="majorEastAsia"/>
          <w:rtl/>
        </w:rPr>
        <w:t>כִּי</w:t>
      </w:r>
      <w:r>
        <w:rPr>
          <w:rtl/>
        </w:rPr>
        <w:t xml:space="preserve"> </w:t>
      </w:r>
      <w:r>
        <w:t xml:space="preserve">(„denn, weil") als kausale Konjunktion, </w:t>
      </w:r>
      <w:r>
        <w:rPr>
          <w:rStyle w:val="Fett"/>
          <w:rFonts w:eastAsiaTheme="majorEastAsia"/>
          <w:rtl/>
        </w:rPr>
        <w:t>הַדָּם</w:t>
      </w:r>
      <w:r>
        <w:rPr>
          <w:rtl/>
        </w:rPr>
        <w:t xml:space="preserve"> </w:t>
      </w:r>
      <w:r>
        <w:t>(</w:t>
      </w:r>
      <w:r>
        <w:rPr>
          <w:rStyle w:val="Fett"/>
          <w:rFonts w:eastAsiaTheme="majorEastAsia"/>
          <w:rtl/>
        </w:rPr>
        <w:t>דָּם</w:t>
      </w:r>
      <w:r>
        <w:t xml:space="preserve">, „Blut", mit Artikel) als Subjekt, </w:t>
      </w:r>
      <w:r>
        <w:rPr>
          <w:rStyle w:val="Fett"/>
          <w:rFonts w:eastAsiaTheme="majorEastAsia"/>
          <w:rtl/>
        </w:rPr>
        <w:t>הוּא</w:t>
      </w:r>
      <w:r>
        <w:rPr>
          <w:rtl/>
        </w:rPr>
        <w:t xml:space="preserve"> </w:t>
      </w:r>
      <w:r>
        <w:t xml:space="preserve">(Personalpronomen 3. Person Maskulinum Singular, „er, es", emphatisch) und </w:t>
      </w:r>
      <w:r>
        <w:rPr>
          <w:rStyle w:val="Fett"/>
          <w:rFonts w:eastAsiaTheme="majorEastAsia"/>
          <w:rtl/>
        </w:rPr>
        <w:t>הַנָּפֶשׁ</w:t>
      </w:r>
      <w:r>
        <w:rPr>
          <w:rtl/>
        </w:rPr>
        <w:t xml:space="preserve"> </w:t>
      </w:r>
      <w:r>
        <w:t>(</w:t>
      </w:r>
      <w:r>
        <w:rPr>
          <w:rStyle w:val="Fett"/>
          <w:rFonts w:eastAsiaTheme="majorEastAsia"/>
          <w:rtl/>
        </w:rPr>
        <w:t>נֶפֶשׁ</w:t>
      </w:r>
      <w:r>
        <w:t xml:space="preserve">, „Seele, Leben", mit Artikel) als Prädikat. Diese fundamentale theologische Aussage identifiziert das Blut mit dem Leben und begründet das Blutverbot (vgl. </w:t>
      </w:r>
      <w:r w:rsidR="00664EB6">
        <w:t>Lev</w:t>
      </w:r>
      <w:r>
        <w:t xml:space="preserve"> 17,11.14; Gen 9,4).</w:t>
      </w:r>
    </w:p>
    <w:p w14:paraId="09CCE5F1" w14:textId="77777777" w:rsidR="00724090" w:rsidRDefault="00724090" w:rsidP="00724090">
      <w:pPr>
        <w:pStyle w:val="whitespace-normal"/>
      </w:pPr>
      <w:r>
        <w:rPr>
          <w:rStyle w:val="Fett"/>
          <w:rFonts w:eastAsiaTheme="majorEastAsia"/>
          <w:rtl/>
        </w:rPr>
        <w:t>וְלֹא־תֹאכַל הַנֶּפֶשׁ עִם־הַבָּשָׂר</w:t>
      </w:r>
      <w:r>
        <w:rPr>
          <w:rtl/>
        </w:rPr>
        <w:t xml:space="preserve"> </w:t>
      </w:r>
      <w:r>
        <w:t xml:space="preserve">ist ein zweiter negativer Imperativsatz: </w:t>
      </w:r>
      <w:r>
        <w:rPr>
          <w:rStyle w:val="Fett"/>
          <w:rFonts w:eastAsiaTheme="majorEastAsia"/>
          <w:rtl/>
        </w:rPr>
        <w:t>וְלֹא־תֹאכַל</w:t>
      </w:r>
      <w:r>
        <w:rPr>
          <w:rtl/>
        </w:rPr>
        <w:t xml:space="preserve"> </w:t>
      </w:r>
      <w:r>
        <w:t xml:space="preserve">(Negation </w:t>
      </w:r>
      <w:r>
        <w:rPr>
          <w:rStyle w:val="Fett"/>
          <w:rFonts w:eastAsiaTheme="majorEastAsia"/>
          <w:rtl/>
        </w:rPr>
        <w:t>לֹא</w:t>
      </w:r>
      <w:r>
        <w:rPr>
          <w:rtl/>
        </w:rPr>
        <w:t xml:space="preserve"> </w:t>
      </w:r>
      <w:r>
        <w:t xml:space="preserve">mit </w:t>
      </w:r>
      <w:r>
        <w:rPr>
          <w:rStyle w:val="Fett"/>
          <w:rFonts w:eastAsiaTheme="majorEastAsia"/>
          <w:rtl/>
        </w:rPr>
        <w:t>אכל</w:t>
      </w:r>
      <w:r>
        <w:t xml:space="preserve">, Qal Imperfekt, 2. Person Maskulinum Singular, „essen", mit </w:t>
      </w:r>
      <w:r>
        <w:rPr>
          <w:rStyle w:val="Fett"/>
          <w:rFonts w:eastAsiaTheme="majorEastAsia"/>
        </w:rPr>
        <w:t>Waw</w:t>
      </w:r>
      <w:r>
        <w:t xml:space="preserve">, imperativisch), </w:t>
      </w:r>
      <w:r>
        <w:rPr>
          <w:rStyle w:val="Fett"/>
          <w:rFonts w:eastAsiaTheme="majorEastAsia"/>
          <w:rtl/>
        </w:rPr>
        <w:t>הַנֶּפֶשׁ</w:t>
      </w:r>
      <w:r>
        <w:rPr>
          <w:rtl/>
        </w:rPr>
        <w:t xml:space="preserve"> </w:t>
      </w:r>
      <w:r>
        <w:t>(</w:t>
      </w:r>
      <w:r>
        <w:rPr>
          <w:rStyle w:val="Fett"/>
          <w:rFonts w:eastAsiaTheme="majorEastAsia"/>
          <w:rtl/>
        </w:rPr>
        <w:t>נֶפֶשׁ</w:t>
      </w:r>
      <w:r>
        <w:t xml:space="preserve">, „Seele, Leben", mit Artikel) als direktes Objekt und </w:t>
      </w:r>
      <w:r>
        <w:rPr>
          <w:rStyle w:val="Fett"/>
          <w:rFonts w:eastAsiaTheme="majorEastAsia"/>
          <w:rtl/>
        </w:rPr>
        <w:t>עִם־הַבָּשָׂר</w:t>
      </w:r>
      <w:r>
        <w:rPr>
          <w:rtl/>
        </w:rPr>
        <w:t xml:space="preserve"> </w:t>
      </w:r>
      <w:r>
        <w:t xml:space="preserve">(Präposition </w:t>
      </w:r>
      <w:r>
        <w:rPr>
          <w:rStyle w:val="Fett"/>
          <w:rFonts w:eastAsiaTheme="majorEastAsia"/>
          <w:rtl/>
        </w:rPr>
        <w:t>עִם</w:t>
      </w:r>
      <w:r>
        <w:t xml:space="preserve">, „mit", mit </w:t>
      </w:r>
      <w:r>
        <w:rPr>
          <w:rStyle w:val="Fett"/>
          <w:rFonts w:eastAsiaTheme="majorEastAsia"/>
          <w:rtl/>
        </w:rPr>
        <w:t>בָּשָׂר</w:t>
      </w:r>
      <w:r>
        <w:t>, „Fleisch", mit Artikel) als Begleitung. Die Formulierung ist rhetorisch: Da das Blut die Seele/das Leben ist, bedeutet Blut essen, die Seele mit dem Fleisch zu essen.</w:t>
      </w:r>
    </w:p>
    <w:p w14:paraId="149E004E" w14:textId="77777777" w:rsidR="00724090" w:rsidRDefault="00724090" w:rsidP="00724090">
      <w:pPr>
        <w:pStyle w:val="whitespace-normal"/>
      </w:pPr>
      <w:r>
        <w:t xml:space="preserve">Die Syntax zeigt die absolute Priorität des Blutverbots trotz der Konzessionen zur profanen Schlachtung. Die nachdrückliche Warnung </w:t>
      </w:r>
      <w:r>
        <w:rPr>
          <w:rStyle w:val="Fett"/>
          <w:rFonts w:eastAsiaTheme="majorEastAsia"/>
          <w:rtl/>
        </w:rPr>
        <w:t>רַק חֲזַק</w:t>
      </w:r>
      <w:r>
        <w:rPr>
          <w:rtl/>
        </w:rPr>
        <w:t xml:space="preserve"> </w:t>
      </w:r>
      <w:r>
        <w:t xml:space="preserve">hebt das Blutverbot als unverrückbare Grenze hervor. Die theologische Begründung </w:t>
      </w:r>
      <w:r>
        <w:rPr>
          <w:rStyle w:val="Fett"/>
          <w:rFonts w:eastAsiaTheme="majorEastAsia"/>
          <w:rtl/>
        </w:rPr>
        <w:t>כִּי הַדָּם הוּא הַנָּפֶשׁ</w:t>
      </w:r>
      <w:r>
        <w:rPr>
          <w:rtl/>
        </w:rPr>
        <w:t xml:space="preserve"> </w:t>
      </w:r>
      <w:r>
        <w:t xml:space="preserve">erklärt, warum das Blutverbot so fundamental ist: Das Blut repräsentiert das Leben selbst, das JHWH gehört. Die abschließende Formulierung </w:t>
      </w:r>
      <w:r>
        <w:rPr>
          <w:rStyle w:val="Fett"/>
          <w:rFonts w:eastAsiaTheme="majorEastAsia"/>
          <w:rtl/>
        </w:rPr>
        <w:t>וְלֹא־תֹאכַל הַנֶּפֶשׁ עִם־הַבָּשָׂר</w:t>
      </w:r>
      <w:r>
        <w:rPr>
          <w:rtl/>
        </w:rPr>
        <w:t xml:space="preserve"> </w:t>
      </w:r>
      <w:r>
        <w:t xml:space="preserve">macht die theologische Implikation explizit: Wer Blut isst, verzehrt das Leben, was einen fundamentalen Verstoß gegen die Heiligkeit des Lebens darstellt. Das emphatische Pronomen </w:t>
      </w:r>
      <w:r>
        <w:rPr>
          <w:rStyle w:val="Fett"/>
          <w:rFonts w:eastAsiaTheme="majorEastAsia"/>
          <w:rtl/>
        </w:rPr>
        <w:t>הוּא</w:t>
      </w:r>
      <w:r>
        <w:rPr>
          <w:rtl/>
        </w:rPr>
        <w:t xml:space="preserve"> </w:t>
      </w:r>
      <w:r>
        <w:t xml:space="preserve">in der Gleichung </w:t>
      </w:r>
      <w:r>
        <w:rPr>
          <w:rStyle w:val="Fett"/>
          <w:rFonts w:eastAsiaTheme="majorEastAsia"/>
          <w:rtl/>
        </w:rPr>
        <w:t>הַדָּם הוּא הַנָּפֶשׁ</w:t>
      </w:r>
      <w:r>
        <w:rPr>
          <w:rtl/>
        </w:rPr>
        <w:t xml:space="preserve"> </w:t>
      </w:r>
      <w:r>
        <w:t>betont die totale Identität von Blut und Leben.</w:t>
      </w:r>
    </w:p>
    <w:p w14:paraId="0C7E7B31" w14:textId="77777777" w:rsidR="00724090" w:rsidRDefault="00724090" w:rsidP="00724090">
      <w:pPr>
        <w:pStyle w:val="whitespace-normal"/>
      </w:pPr>
      <w:r>
        <w:rPr>
          <w:rStyle w:val="Fett"/>
          <w:rFonts w:eastAsiaTheme="majorEastAsia"/>
        </w:rPr>
        <w:t>Die LXX</w:t>
      </w:r>
      <w:r>
        <w:t xml:space="preserve"> übersetzt „nur halte fest" mit „π</w:t>
      </w:r>
      <w:proofErr w:type="spellStart"/>
      <w:r>
        <w:t>λὴν</w:t>
      </w:r>
      <w:proofErr w:type="spellEnd"/>
      <w:r>
        <w:t xml:space="preserve"> κα</w:t>
      </w:r>
      <w:proofErr w:type="spellStart"/>
      <w:r>
        <w:t>τίσχυε</w:t>
      </w:r>
      <w:proofErr w:type="spellEnd"/>
      <w:r>
        <w:t>", „kein Blut zu essen" mit „</w:t>
      </w:r>
      <w:proofErr w:type="spellStart"/>
      <w:r>
        <w:t>τοῦ</w:t>
      </w:r>
      <w:proofErr w:type="spellEnd"/>
      <w:r>
        <w:t xml:space="preserve"> </w:t>
      </w:r>
      <w:proofErr w:type="spellStart"/>
      <w:r>
        <w:t>μὴ</w:t>
      </w:r>
      <w:proofErr w:type="spellEnd"/>
      <w:r>
        <w:t xml:space="preserve"> φα</w:t>
      </w:r>
      <w:proofErr w:type="spellStart"/>
      <w:r>
        <w:t>γεῖν</w:t>
      </w:r>
      <w:proofErr w:type="spellEnd"/>
      <w:r>
        <w:t xml:space="preserve"> α</w:t>
      </w:r>
      <w:proofErr w:type="spellStart"/>
      <w:r>
        <w:t>ἷμ</w:t>
      </w:r>
      <w:proofErr w:type="spellEnd"/>
      <w:r>
        <w:t>α", „denn das Blut ist die Seele" mit „</w:t>
      </w:r>
      <w:proofErr w:type="spellStart"/>
      <w:r>
        <w:t>ὅτι</w:t>
      </w:r>
      <w:proofErr w:type="spellEnd"/>
      <w:r>
        <w:t xml:space="preserve"> </w:t>
      </w:r>
      <w:proofErr w:type="spellStart"/>
      <w:r>
        <w:t>τὸ</w:t>
      </w:r>
      <w:proofErr w:type="spellEnd"/>
      <w:r>
        <w:t xml:space="preserve"> α</w:t>
      </w:r>
      <w:proofErr w:type="spellStart"/>
      <w:r>
        <w:t>ἷμ</w:t>
      </w:r>
      <w:proofErr w:type="spellEnd"/>
      <w:r>
        <w:t>α α</w:t>
      </w:r>
      <w:proofErr w:type="spellStart"/>
      <w:r>
        <w:t>ὐτοῦ</w:t>
      </w:r>
      <w:proofErr w:type="spellEnd"/>
      <w:r>
        <w:t xml:space="preserve"> </w:t>
      </w:r>
      <w:proofErr w:type="spellStart"/>
      <w:r>
        <w:t>ψυχή</w:t>
      </w:r>
      <w:proofErr w:type="spellEnd"/>
      <w:r>
        <w:t>" und „du sollst nicht die Seele mit dem Fleisch essen" mit „</w:t>
      </w:r>
      <w:proofErr w:type="spellStart"/>
      <w:r>
        <w:t>οὐ</w:t>
      </w:r>
      <w:proofErr w:type="spellEnd"/>
      <w:r>
        <w:t xml:space="preserve"> β</w:t>
      </w:r>
      <w:proofErr w:type="spellStart"/>
      <w:r>
        <w:t>ρωθήσετ</w:t>
      </w:r>
      <w:proofErr w:type="spellEnd"/>
      <w:r>
        <w:t xml:space="preserve">αι ἡ </w:t>
      </w:r>
      <w:proofErr w:type="spellStart"/>
      <w:r>
        <w:t>ψυχὴ</w:t>
      </w:r>
      <w:proofErr w:type="spellEnd"/>
      <w:r>
        <w:t xml:space="preserve"> </w:t>
      </w:r>
      <w:proofErr w:type="spellStart"/>
      <w:r>
        <w:t>μετὰ</w:t>
      </w:r>
      <w:proofErr w:type="spellEnd"/>
      <w:r>
        <w:t xml:space="preserve"> </w:t>
      </w:r>
      <w:proofErr w:type="spellStart"/>
      <w:r>
        <w:t>τῶν</w:t>
      </w:r>
      <w:proofErr w:type="spellEnd"/>
      <w:r>
        <w:t xml:space="preserve"> </w:t>
      </w:r>
      <w:proofErr w:type="spellStart"/>
      <w:r>
        <w:t>κρεῶν</w:t>
      </w:r>
      <w:proofErr w:type="spellEnd"/>
      <w:r>
        <w:t>".</w:t>
      </w:r>
    </w:p>
    <w:p w14:paraId="6B48CBE2" w14:textId="77777777" w:rsidR="00724090" w:rsidRDefault="00724090" w:rsidP="00724090">
      <w:pPr>
        <w:pStyle w:val="whitespace-normal"/>
      </w:pPr>
      <w:r>
        <w:rPr>
          <w:rStyle w:val="Fett"/>
          <w:rFonts w:eastAsiaTheme="majorEastAsia"/>
        </w:rPr>
        <w:t>Die Satzstruktur</w:t>
      </w:r>
      <w:r>
        <w:t xml:space="preserve"> besteht aus einem Imperativsatz mit negativem Infinitiv, kausalem Nominalsatz und weiterem negativem Imperativsatz: Restriktive Partikel (nur), Imperativ (halte fest), negativer Infinitiv (nicht zu essen), direktes Objekt (das Blut); kausaler Nominalsatz mit Subjekt (das Blut), emphatischem Pronomen (es) und Prädikat (ist die Seele); zweiter negativer Imperativ mit Prädikat (sollst nicht essen), direktem Objekt (die Seele) und Begleitung (mit dem Fleisch).</w:t>
      </w:r>
    </w:p>
    <w:p w14:paraId="62C28912" w14:textId="77777777" w:rsidR="00724090" w:rsidRDefault="00724090" w:rsidP="00724090">
      <w:pPr>
        <w:pStyle w:val="whitespace-normal"/>
      </w:pPr>
      <w:r>
        <w:t>Der Vers betont nachdrücklich das absolute Blutverbot: Das Blut muss gemieden werden, weil es das Leben selbst ist und JHWH gehört – Blut essen bedeutet, das Leben mit dem Fleisch zu verzehren.</w:t>
      </w:r>
    </w:p>
    <w:p w14:paraId="5C116E00"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12,24</w:t>
      </w:r>
    </w:p>
    <w:p w14:paraId="23B5D682" w14:textId="77777777" w:rsidR="00724090" w:rsidRDefault="00724090" w:rsidP="00724090">
      <w:pPr>
        <w:pStyle w:val="whitespace-normal"/>
      </w:pPr>
      <w:r>
        <w:rPr>
          <w:rStyle w:val="Fett"/>
          <w:rFonts w:eastAsiaTheme="majorEastAsia"/>
        </w:rPr>
        <w:t>Hebräisch:</w:t>
      </w:r>
      <w:r>
        <w:t xml:space="preserve"> </w:t>
      </w:r>
      <w:r>
        <w:rPr>
          <w:rtl/>
        </w:rPr>
        <w:t>לֹ֖א תֹּאכְלֶ֑נּוּ עַל־הָאָ֥רֶץ תִּשְׁפְּכֶ֖נּוּ כַּמָּֽיִם׃</w:t>
      </w:r>
    </w:p>
    <w:p w14:paraId="11F31145" w14:textId="026F0CCF" w:rsidR="00724090" w:rsidRDefault="00724090" w:rsidP="00724090">
      <w:pPr>
        <w:pStyle w:val="whitespace-normal"/>
      </w:pPr>
      <w:r>
        <w:rPr>
          <w:rStyle w:val="Fett"/>
          <w:rFonts w:eastAsiaTheme="majorEastAsia"/>
        </w:rPr>
        <w:lastRenderedPageBreak/>
        <w:t>Deutsch:</w:t>
      </w:r>
      <w:r>
        <w:t xml:space="preserve"> Du sollst es nicht essen, auf die Erde sollst du es gießen wie Wasser.</w:t>
      </w:r>
    </w:p>
    <w:p w14:paraId="794B1CD7" w14:textId="4219AECB" w:rsidR="009C316F" w:rsidRDefault="004F5CEB" w:rsidP="00724090">
      <w:pPr>
        <w:pStyle w:val="whitespace-normal"/>
      </w:pPr>
      <w:r>
        <w:rPr>
          <w:noProof/>
        </w:rPr>
        <w:pict w14:anchorId="519E546D">
          <v:rect id="_x0000_i1396" style="width:0;height:1.5pt" o:hralign="center" o:hrstd="t" o:hr="t" fillcolor="#a0a0a0" stroked="f"/>
        </w:pict>
      </w:r>
    </w:p>
    <w:p w14:paraId="34EA47F4"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לֹא תֹּאכְלֶנּוּ</w:t>
      </w:r>
      <w:r>
        <w:rPr>
          <w:rtl/>
        </w:rPr>
        <w:t xml:space="preserve"> </w:t>
      </w:r>
      <w:r>
        <w:t xml:space="preserve">ist ein negativer Imperativsatz: </w:t>
      </w:r>
      <w:r>
        <w:rPr>
          <w:rStyle w:val="Fett"/>
          <w:rFonts w:eastAsiaTheme="majorEastAsia"/>
          <w:rtl/>
        </w:rPr>
        <w:t>לֹא</w:t>
      </w:r>
      <w:r>
        <w:rPr>
          <w:rtl/>
        </w:rPr>
        <w:t xml:space="preserve"> </w:t>
      </w:r>
      <w:r>
        <w:t xml:space="preserve">(Negation) mit </w:t>
      </w:r>
      <w:r>
        <w:rPr>
          <w:rStyle w:val="Fett"/>
          <w:rFonts w:eastAsiaTheme="majorEastAsia"/>
          <w:rtl/>
        </w:rPr>
        <w:t>תֹּאכְלֶנּוּ</w:t>
      </w:r>
      <w:r>
        <w:rPr>
          <w:rtl/>
        </w:rPr>
        <w:t xml:space="preserve"> </w:t>
      </w:r>
      <w:r>
        <w:t xml:space="preserve">(Qal Imperfekt, 2. Person Maskulinum Singular von </w:t>
      </w:r>
      <w:r>
        <w:rPr>
          <w:rStyle w:val="Fett"/>
          <w:rFonts w:eastAsiaTheme="majorEastAsia"/>
          <w:rtl/>
        </w:rPr>
        <w:t>אכל</w:t>
      </w:r>
      <w:r>
        <w:t xml:space="preserve">, „essen", mit Suffix 3. Person Maskulinum Singular als direktes Objekt, rückverweisend auf </w:t>
      </w:r>
      <w:r>
        <w:rPr>
          <w:rStyle w:val="Fett"/>
          <w:rFonts w:eastAsiaTheme="majorEastAsia"/>
          <w:rtl/>
        </w:rPr>
        <w:t>הַדָּם</w:t>
      </w:r>
      <w:r>
        <w:rPr>
          <w:rtl/>
        </w:rPr>
        <w:t xml:space="preserve"> </w:t>
      </w:r>
      <w:r>
        <w:t>aus V. 23). Der Satz wiederholt fast wörtlich V. 16a.</w:t>
      </w:r>
    </w:p>
    <w:p w14:paraId="1AD724D9" w14:textId="77777777" w:rsidR="00724090" w:rsidRDefault="00724090" w:rsidP="00724090">
      <w:pPr>
        <w:pStyle w:val="whitespace-normal"/>
      </w:pPr>
      <w:r>
        <w:rPr>
          <w:rStyle w:val="Fett"/>
          <w:rFonts w:eastAsiaTheme="majorEastAsia"/>
          <w:rtl/>
        </w:rPr>
        <w:t>עַל־הָאָרֶץ תִּשְׁפְּכֶנּוּ כַּמָּיִם</w:t>
      </w:r>
      <w:r>
        <w:rPr>
          <w:rtl/>
        </w:rPr>
        <w:t xml:space="preserve"> </w:t>
      </w:r>
      <w:r>
        <w:t xml:space="preserve">ist der zweite Imperativsatz: </w:t>
      </w:r>
      <w:r>
        <w:rPr>
          <w:rStyle w:val="Fett"/>
          <w:rFonts w:eastAsiaTheme="majorEastAsia"/>
          <w:rtl/>
        </w:rPr>
        <w:t>עַל־הָאָרֶץ</w:t>
      </w:r>
      <w:r>
        <w:rPr>
          <w:rtl/>
        </w:rPr>
        <w:t xml:space="preserve"> </w:t>
      </w:r>
      <w:r>
        <w:t xml:space="preserve">(Präposition </w:t>
      </w:r>
      <w:r>
        <w:rPr>
          <w:rStyle w:val="Fett"/>
          <w:rFonts w:eastAsiaTheme="majorEastAsia"/>
          <w:rtl/>
        </w:rPr>
        <w:t>עַל</w:t>
      </w:r>
      <w:r>
        <w:t xml:space="preserve">, „auf", mit </w:t>
      </w:r>
      <w:r>
        <w:rPr>
          <w:rStyle w:val="Fett"/>
          <w:rFonts w:eastAsiaTheme="majorEastAsia"/>
          <w:rtl/>
        </w:rPr>
        <w:t>אֶרֶץ</w:t>
      </w:r>
      <w:r>
        <w:t xml:space="preserve">, „Erde, Erdboden", mit Artikel) als vorangestellte lokale Bestimmung, </w:t>
      </w:r>
      <w:r>
        <w:rPr>
          <w:rStyle w:val="Fett"/>
          <w:rFonts w:eastAsiaTheme="majorEastAsia"/>
          <w:rtl/>
        </w:rPr>
        <w:t>תִּשְׁפְּכֶנּוּ</w:t>
      </w:r>
      <w:r>
        <w:rPr>
          <w:rtl/>
        </w:rPr>
        <w:t xml:space="preserve"> </w:t>
      </w:r>
      <w:r>
        <w:t xml:space="preserve">(Qal Imperfekt, 2. Person Maskulinum Singular von </w:t>
      </w:r>
      <w:r>
        <w:rPr>
          <w:rStyle w:val="Fett"/>
          <w:rFonts w:eastAsiaTheme="majorEastAsia"/>
          <w:rtl/>
        </w:rPr>
        <w:t>שׁפך</w:t>
      </w:r>
      <w:r>
        <w:t xml:space="preserve">, „ausgießen, schütten", mit Suffix 3. Person Maskulinum Singular als direktes Objekt) und </w:t>
      </w:r>
      <w:r>
        <w:rPr>
          <w:rStyle w:val="Fett"/>
          <w:rFonts w:eastAsiaTheme="majorEastAsia"/>
          <w:rtl/>
        </w:rPr>
        <w:t>כַּמָּיִם</w:t>
      </w:r>
      <w:r>
        <w:rPr>
          <w:rtl/>
        </w:rPr>
        <w:t xml:space="preserve"> </w:t>
      </w:r>
      <w:r>
        <w:t xml:space="preserve">(Präposition </w:t>
      </w:r>
      <w:r>
        <w:rPr>
          <w:rStyle w:val="Fett"/>
          <w:rFonts w:eastAsiaTheme="majorEastAsia"/>
          <w:rtl/>
        </w:rPr>
        <w:t>כְּ</w:t>
      </w:r>
      <w:r>
        <w:t xml:space="preserve">, „wie", mit </w:t>
      </w:r>
      <w:r>
        <w:rPr>
          <w:rStyle w:val="Fett"/>
          <w:rFonts w:eastAsiaTheme="majorEastAsia"/>
          <w:rtl/>
        </w:rPr>
        <w:t>מַיִם</w:t>
      </w:r>
      <w:r>
        <w:t>, „Wasser", mit Artikel) als Vergleich. Dieser Satz wiederholt V. 16b wörtlich.</w:t>
      </w:r>
    </w:p>
    <w:p w14:paraId="4AAD5E11" w14:textId="77777777" w:rsidR="00724090" w:rsidRDefault="00724090" w:rsidP="00724090">
      <w:pPr>
        <w:pStyle w:val="whitespace-normal"/>
      </w:pPr>
      <w:r>
        <w:t xml:space="preserve">Die Syntax zeigt eine wörtliche Wiederholung von V. 16, die das Blutverbot nach der theologischen Begründung in V. 23 nochmals bekräftigt. Die Wiederholung unterstreicht die fundamentale Bedeutung dieses Gebots. Die Struktur ist identisch: negatives Verbot (nicht essen) gefolgt von positivem Gebot (auf die Erde gießen). Die beiden Verse 16 und 24 rahmen die Passage über profane Schlachtung (V. 15-25) mit dem unveränderlichen Blutverbot. Der Vergleich </w:t>
      </w:r>
      <w:r>
        <w:rPr>
          <w:rStyle w:val="Fett"/>
          <w:rFonts w:eastAsiaTheme="majorEastAsia"/>
          <w:rtl/>
        </w:rPr>
        <w:t>כַּמָּיִם</w:t>
      </w:r>
      <w:r>
        <w:rPr>
          <w:rtl/>
        </w:rPr>
        <w:t xml:space="preserve"> </w:t>
      </w:r>
      <w:r>
        <w:t>(„wie Wasser") betont erneut: Das Blut soll behandelt werden wie etwas Gewöhnliches, das man einfach ausgießt – aber eben nicht konsumiert.</w:t>
      </w:r>
    </w:p>
    <w:p w14:paraId="77FE85B8" w14:textId="77777777" w:rsidR="00724090" w:rsidRDefault="00724090" w:rsidP="00724090">
      <w:pPr>
        <w:pStyle w:val="whitespace-normal"/>
      </w:pPr>
      <w:r>
        <w:rPr>
          <w:rStyle w:val="Fett"/>
          <w:rFonts w:eastAsiaTheme="majorEastAsia"/>
        </w:rPr>
        <w:t>Die LXX</w:t>
      </w:r>
      <w:r>
        <w:t xml:space="preserve"> übersetzt „du sollst es nicht essen" mit „</w:t>
      </w:r>
      <w:proofErr w:type="spellStart"/>
      <w:r>
        <w:t>οὐ</w:t>
      </w:r>
      <w:proofErr w:type="spellEnd"/>
      <w:r>
        <w:t xml:space="preserve"> </w:t>
      </w:r>
      <w:proofErr w:type="spellStart"/>
      <w:r>
        <w:t>φάγεσθε</w:t>
      </w:r>
      <w:proofErr w:type="spellEnd"/>
      <w:r>
        <w:t xml:space="preserve"> α</w:t>
      </w:r>
      <w:proofErr w:type="spellStart"/>
      <w:r>
        <w:t>ὐτό</w:t>
      </w:r>
      <w:proofErr w:type="spellEnd"/>
      <w:r>
        <w:t xml:space="preserve">" und den zweiten Satz identisch mit V. 16: „ἐπὶ τὴν </w:t>
      </w:r>
      <w:proofErr w:type="spellStart"/>
      <w:r>
        <w:t>γῆν</w:t>
      </w:r>
      <w:proofErr w:type="spellEnd"/>
      <w:r>
        <w:t xml:space="preserve"> </w:t>
      </w:r>
      <w:proofErr w:type="spellStart"/>
      <w:r>
        <w:t>ἐκχεεῖς</w:t>
      </w:r>
      <w:proofErr w:type="spellEnd"/>
      <w:r>
        <w:t xml:space="preserve"> α</w:t>
      </w:r>
      <w:proofErr w:type="spellStart"/>
      <w:r>
        <w:t>ὐτὸ</w:t>
      </w:r>
      <w:proofErr w:type="spellEnd"/>
      <w:r>
        <w:t xml:space="preserve"> </w:t>
      </w:r>
      <w:proofErr w:type="spellStart"/>
      <w:r>
        <w:t>ὡς</w:t>
      </w:r>
      <w:proofErr w:type="spellEnd"/>
      <w:r>
        <w:t xml:space="preserve"> </w:t>
      </w:r>
      <w:proofErr w:type="spellStart"/>
      <w:r>
        <w:t>ὕδωρ</w:t>
      </w:r>
      <w:proofErr w:type="spellEnd"/>
      <w:r>
        <w:t>".</w:t>
      </w:r>
    </w:p>
    <w:p w14:paraId="7A5CD1FC" w14:textId="77777777" w:rsidR="00724090" w:rsidRDefault="00724090" w:rsidP="00724090">
      <w:pPr>
        <w:pStyle w:val="whitespace-normal"/>
      </w:pPr>
      <w:r>
        <w:rPr>
          <w:rStyle w:val="Fett"/>
          <w:rFonts w:eastAsiaTheme="majorEastAsia"/>
        </w:rPr>
        <w:t>Die Satzstruktur</w:t>
      </w:r>
      <w:r>
        <w:t xml:space="preserve"> besteht aus zwei koordinierten Imperativen: Erster negativer Imperativ mit Prädikat und integriertem direktem Objekt (sollst es nicht essen); zweiter Imperativ mit vorangestellter lokaler Bestimmung (auf die Erde), Prädikat mit integriertem direktem Objekt (sollst es gießen) und Vergleich (wie Wasser).</w:t>
      </w:r>
    </w:p>
    <w:p w14:paraId="55F0B159" w14:textId="77777777" w:rsidR="00724090" w:rsidRDefault="00724090" w:rsidP="00724090">
      <w:pPr>
        <w:pStyle w:val="whitespace-normal"/>
      </w:pPr>
      <w:r>
        <w:t>Der Vers wiederholt das Blutverbot aus V. 16 wörtlich und bekräftigt nach der theologischen Begründung: Das Blut darf niemals gegessen, sondern muss auf die Erde gegossen werden.</w:t>
      </w:r>
    </w:p>
    <w:p w14:paraId="0DD08677"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12,25</w:t>
      </w:r>
    </w:p>
    <w:p w14:paraId="13C3429F" w14:textId="77777777" w:rsidR="00724090" w:rsidRDefault="00724090" w:rsidP="00724090">
      <w:pPr>
        <w:pStyle w:val="whitespace-normal"/>
      </w:pPr>
      <w:r>
        <w:rPr>
          <w:rStyle w:val="Fett"/>
          <w:rFonts w:eastAsiaTheme="majorEastAsia"/>
        </w:rPr>
        <w:t>Hebräisch:</w:t>
      </w:r>
      <w:r>
        <w:t xml:space="preserve"> </w:t>
      </w:r>
      <w:r>
        <w:rPr>
          <w:rtl/>
        </w:rPr>
        <w:t>לֹ֖א תֹּאכְלֶ֑נּוּ לְמַ֨עַן יִיטַ֤ב לְךָ֙ וּלְבָנֶ֣יךָ אַחֲרֶ֔יךָ כִּֽי־תַעֲשֶׂ֥ה הַיָּשָׁ֖ר בְּעֵינֵ֥י יְהוָֽה׃</w:t>
      </w:r>
    </w:p>
    <w:p w14:paraId="44DF9ADD" w14:textId="6E536960" w:rsidR="00724090" w:rsidRDefault="00724090" w:rsidP="00724090">
      <w:pPr>
        <w:pStyle w:val="whitespace-normal"/>
      </w:pPr>
      <w:r>
        <w:rPr>
          <w:rStyle w:val="Fett"/>
          <w:rFonts w:eastAsiaTheme="majorEastAsia"/>
        </w:rPr>
        <w:t>Deutsch:</w:t>
      </w:r>
      <w:r>
        <w:t xml:space="preserve"> Du sollst es nicht essen, damit es dir und deinen Kindern nach dir wohl gehe, weil du tust, was recht ist in den Augen des Ewigen.</w:t>
      </w:r>
    </w:p>
    <w:p w14:paraId="10FE7A98" w14:textId="2F9654E3" w:rsidR="009C316F" w:rsidRDefault="004F5CEB" w:rsidP="00724090">
      <w:pPr>
        <w:pStyle w:val="whitespace-normal"/>
      </w:pPr>
      <w:r>
        <w:rPr>
          <w:noProof/>
        </w:rPr>
        <w:pict w14:anchorId="3A8F8962">
          <v:rect id="_x0000_i1397" style="width:0;height:1.5pt" o:hralign="center" o:hrstd="t" o:hr="t" fillcolor="#a0a0a0" stroked="f"/>
        </w:pict>
      </w:r>
    </w:p>
    <w:p w14:paraId="5144E69A"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לֹא תֹּאכְלֶנּוּ</w:t>
      </w:r>
      <w:r>
        <w:rPr>
          <w:rtl/>
        </w:rPr>
        <w:t xml:space="preserve"> </w:t>
      </w:r>
      <w:r>
        <w:t xml:space="preserve">ist ein negativer Imperativsatz: </w:t>
      </w:r>
      <w:r>
        <w:rPr>
          <w:rStyle w:val="Fett"/>
          <w:rFonts w:eastAsiaTheme="majorEastAsia"/>
          <w:rtl/>
        </w:rPr>
        <w:t>לֹא</w:t>
      </w:r>
      <w:r>
        <w:rPr>
          <w:rtl/>
        </w:rPr>
        <w:t xml:space="preserve"> </w:t>
      </w:r>
      <w:r>
        <w:t xml:space="preserve">(Negation) mit </w:t>
      </w:r>
      <w:r>
        <w:rPr>
          <w:rStyle w:val="Fett"/>
          <w:rFonts w:eastAsiaTheme="majorEastAsia"/>
          <w:rtl/>
        </w:rPr>
        <w:t>תֹּאכְלֶנּוּ</w:t>
      </w:r>
      <w:r>
        <w:rPr>
          <w:rtl/>
        </w:rPr>
        <w:t xml:space="preserve"> </w:t>
      </w:r>
      <w:r>
        <w:t xml:space="preserve">(Qal Imperfekt, 2. Person Maskulinum Singular von </w:t>
      </w:r>
      <w:r>
        <w:rPr>
          <w:rStyle w:val="Fett"/>
          <w:rFonts w:eastAsiaTheme="majorEastAsia"/>
          <w:rtl/>
        </w:rPr>
        <w:t>אכל</w:t>
      </w:r>
      <w:r>
        <w:t>, „essen", mit Suffix 3. Person Maskulinum Singular als direktes Objekt). Dies ist die dritte Wiederholung des Blutverbots in diesem Abschnitt (V. 16.24.25).</w:t>
      </w:r>
    </w:p>
    <w:p w14:paraId="5B4F8560" w14:textId="77777777" w:rsidR="00724090" w:rsidRDefault="00724090" w:rsidP="00724090">
      <w:pPr>
        <w:pStyle w:val="whitespace-normal"/>
      </w:pPr>
      <w:r>
        <w:rPr>
          <w:rStyle w:val="Fett"/>
          <w:rFonts w:eastAsiaTheme="majorEastAsia"/>
          <w:rtl/>
        </w:rPr>
        <w:lastRenderedPageBreak/>
        <w:t>לְמַעַן יִיטַב לְךָ וּלְבָנֶיךָ אַחֲרֶיךָ</w:t>
      </w:r>
      <w:r>
        <w:rPr>
          <w:rtl/>
        </w:rPr>
        <w:t xml:space="preserve"> </w:t>
      </w:r>
      <w:r>
        <w:t xml:space="preserve">ist eine finale Bestimmung: </w:t>
      </w:r>
      <w:r>
        <w:rPr>
          <w:rStyle w:val="Fett"/>
          <w:rFonts w:eastAsiaTheme="majorEastAsia"/>
          <w:rtl/>
        </w:rPr>
        <w:t>לְמַעַן</w:t>
      </w:r>
      <w:r>
        <w:rPr>
          <w:rtl/>
        </w:rPr>
        <w:t xml:space="preserve"> </w:t>
      </w:r>
      <w:r>
        <w:t xml:space="preserve">(„damit, auf dass") als finale Konjunktion, </w:t>
      </w:r>
      <w:r>
        <w:rPr>
          <w:rStyle w:val="Fett"/>
          <w:rFonts w:eastAsiaTheme="majorEastAsia"/>
          <w:rtl/>
        </w:rPr>
        <w:t>יִיטַב</w:t>
      </w:r>
      <w:r>
        <w:rPr>
          <w:rtl/>
        </w:rPr>
        <w:t xml:space="preserve"> </w:t>
      </w:r>
      <w:r>
        <w:t xml:space="preserve">(Qal Imperfekt, 3. Person Maskulinum Singular von </w:t>
      </w:r>
      <w:r>
        <w:rPr>
          <w:rStyle w:val="Fett"/>
          <w:rFonts w:eastAsiaTheme="majorEastAsia"/>
          <w:rtl/>
        </w:rPr>
        <w:t>יטב</w:t>
      </w:r>
      <w:r>
        <w:t xml:space="preserve">, „gut sein, wohl ergehen"), </w:t>
      </w:r>
      <w:r>
        <w:rPr>
          <w:rStyle w:val="Fett"/>
          <w:rFonts w:eastAsiaTheme="majorEastAsia"/>
          <w:rtl/>
        </w:rPr>
        <w:t>לְךָ</w:t>
      </w:r>
      <w:r>
        <w:rPr>
          <w:rtl/>
        </w:rPr>
        <w:t xml:space="preserve"> </w:t>
      </w:r>
      <w:r>
        <w:t xml:space="preserve">(Präposition </w:t>
      </w:r>
      <w:r>
        <w:rPr>
          <w:rStyle w:val="Fett"/>
          <w:rFonts w:eastAsiaTheme="majorEastAsia"/>
          <w:rtl/>
        </w:rPr>
        <w:t>לְ</w:t>
      </w:r>
      <w:r>
        <w:rPr>
          <w:rtl/>
        </w:rPr>
        <w:t xml:space="preserve"> </w:t>
      </w:r>
      <w:r>
        <w:t xml:space="preserve">mit Suffix 2. Person Maskulinum Singular) als Dativ, koordiniert durch </w:t>
      </w:r>
      <w:r>
        <w:rPr>
          <w:rStyle w:val="Fett"/>
          <w:rFonts w:eastAsiaTheme="majorEastAsia"/>
          <w:rtl/>
        </w:rPr>
        <w:t>וּלְ</w:t>
      </w:r>
      <w:r>
        <w:rPr>
          <w:rtl/>
        </w:rPr>
        <w:t xml:space="preserve"> </w:t>
      </w:r>
      <w:r>
        <w:t xml:space="preserve">mit </w:t>
      </w:r>
      <w:r>
        <w:rPr>
          <w:rStyle w:val="Fett"/>
          <w:rFonts w:eastAsiaTheme="majorEastAsia"/>
          <w:rtl/>
        </w:rPr>
        <w:t>בָנֶיךָ</w:t>
      </w:r>
      <w:r>
        <w:rPr>
          <w:rtl/>
        </w:rPr>
        <w:t xml:space="preserve"> </w:t>
      </w:r>
      <w:r>
        <w:t>(</w:t>
      </w:r>
      <w:r>
        <w:rPr>
          <w:rStyle w:val="Fett"/>
          <w:rFonts w:eastAsiaTheme="majorEastAsia"/>
          <w:rtl/>
        </w:rPr>
        <w:t>בֵּן</w:t>
      </w:r>
      <w:r>
        <w:t xml:space="preserve">, „Sohn, Kind", Plural mit Suffix 2. Person Maskulinum Singular) und </w:t>
      </w:r>
      <w:r>
        <w:rPr>
          <w:rStyle w:val="Fett"/>
          <w:rFonts w:eastAsiaTheme="majorEastAsia"/>
          <w:rtl/>
        </w:rPr>
        <w:t>אַחֲרֶיךָ</w:t>
      </w:r>
      <w:r>
        <w:rPr>
          <w:rtl/>
        </w:rPr>
        <w:t xml:space="preserve"> </w:t>
      </w:r>
      <w:r>
        <w:t xml:space="preserve">(Präposition </w:t>
      </w:r>
      <w:r>
        <w:rPr>
          <w:rStyle w:val="Fett"/>
          <w:rFonts w:eastAsiaTheme="majorEastAsia"/>
          <w:rtl/>
        </w:rPr>
        <w:t>אַחֲרֵי</w:t>
      </w:r>
      <w:r>
        <w:t xml:space="preserve">, „nach, hinter", mit Suffix 2. Person Maskulinum Singular, „nach dir"). Die Wendung </w:t>
      </w:r>
      <w:r>
        <w:rPr>
          <w:rStyle w:val="Fett"/>
          <w:rFonts w:eastAsiaTheme="majorEastAsia"/>
          <w:rtl/>
        </w:rPr>
        <w:t>יטב ל</w:t>
      </w:r>
      <w:r>
        <w:rPr>
          <w:rtl/>
        </w:rPr>
        <w:t xml:space="preserve"> </w:t>
      </w:r>
      <w:r>
        <w:t xml:space="preserve">bedeutet „jemandem wohl ergehen, gut gehen". Die Erweiterung </w:t>
      </w:r>
      <w:r>
        <w:rPr>
          <w:rStyle w:val="Fett"/>
          <w:rFonts w:eastAsiaTheme="majorEastAsia"/>
          <w:rtl/>
        </w:rPr>
        <w:t>וּלְבָנֶיךָ אַחֲרֶיךָ</w:t>
      </w:r>
      <w:r>
        <w:rPr>
          <w:rtl/>
        </w:rPr>
        <w:t xml:space="preserve"> </w:t>
      </w:r>
      <w:r>
        <w:t>betont den generationenübergreifenden Segen.</w:t>
      </w:r>
    </w:p>
    <w:p w14:paraId="14BC8F24" w14:textId="77777777" w:rsidR="00724090" w:rsidRDefault="00724090" w:rsidP="00724090">
      <w:pPr>
        <w:pStyle w:val="whitespace-normal"/>
      </w:pPr>
      <w:r>
        <w:rPr>
          <w:rStyle w:val="Fett"/>
          <w:rFonts w:eastAsiaTheme="majorEastAsia"/>
          <w:rtl/>
        </w:rPr>
        <w:t>כִּי־תַעֲשֶׂה הַיָּשָׁר בְּעֵינֵי יְהוָה</w:t>
      </w:r>
      <w:r>
        <w:rPr>
          <w:rtl/>
        </w:rPr>
        <w:t xml:space="preserve"> </w:t>
      </w:r>
      <w:r>
        <w:t xml:space="preserve">ist ein kausaler Satz: </w:t>
      </w:r>
      <w:r>
        <w:rPr>
          <w:rStyle w:val="Fett"/>
          <w:rFonts w:eastAsiaTheme="majorEastAsia"/>
          <w:rtl/>
        </w:rPr>
        <w:t>כִּי</w:t>
      </w:r>
      <w:r>
        <w:rPr>
          <w:rtl/>
        </w:rPr>
        <w:t xml:space="preserve"> </w:t>
      </w:r>
      <w:r>
        <w:t xml:space="preserve">(„weil, denn") als kausale Konjunktion, </w:t>
      </w:r>
      <w:r>
        <w:rPr>
          <w:rStyle w:val="Fett"/>
          <w:rFonts w:eastAsiaTheme="majorEastAsia"/>
          <w:rtl/>
        </w:rPr>
        <w:t>תַעֲשֶׂה</w:t>
      </w:r>
      <w:r>
        <w:rPr>
          <w:rtl/>
        </w:rPr>
        <w:t xml:space="preserve"> </w:t>
      </w:r>
      <w:r>
        <w:t xml:space="preserve">(Qal Imperfekt, 2. Person Maskulinum Singular von </w:t>
      </w:r>
      <w:r>
        <w:rPr>
          <w:rStyle w:val="Fett"/>
          <w:rFonts w:eastAsiaTheme="majorEastAsia"/>
          <w:rtl/>
        </w:rPr>
        <w:t>עשׂה</w:t>
      </w:r>
      <w:r>
        <w:t xml:space="preserve">, „tun"), </w:t>
      </w:r>
      <w:r>
        <w:rPr>
          <w:rStyle w:val="Fett"/>
          <w:rFonts w:eastAsiaTheme="majorEastAsia"/>
          <w:rtl/>
        </w:rPr>
        <w:t>הַיָּשָׁר</w:t>
      </w:r>
      <w:r>
        <w:rPr>
          <w:rtl/>
        </w:rPr>
        <w:t xml:space="preserve"> </w:t>
      </w:r>
      <w:r>
        <w:t>(</w:t>
      </w:r>
      <w:r>
        <w:rPr>
          <w:rStyle w:val="Fett"/>
          <w:rFonts w:eastAsiaTheme="majorEastAsia"/>
          <w:rtl/>
        </w:rPr>
        <w:t>יָשָׁר</w:t>
      </w:r>
      <w:r>
        <w:t xml:space="preserve">, „gerade, recht", Adjektiv mit Artikel, substantivisch, „das Rechte") als direktes Objekt und </w:t>
      </w:r>
      <w:r>
        <w:rPr>
          <w:rStyle w:val="Fett"/>
          <w:rFonts w:eastAsiaTheme="majorEastAsia"/>
          <w:rtl/>
        </w:rPr>
        <w:t>בְּעֵינֵי יְהוָה</w:t>
      </w:r>
      <w:r>
        <w:rPr>
          <w:rtl/>
        </w:rPr>
        <w:t xml:space="preserve"> </w:t>
      </w:r>
      <w:r>
        <w:t xml:space="preserve">(Präposition </w:t>
      </w:r>
      <w:r>
        <w:rPr>
          <w:rStyle w:val="Fett"/>
          <w:rFonts w:eastAsiaTheme="majorEastAsia"/>
          <w:rtl/>
        </w:rPr>
        <w:t>בְּ</w:t>
      </w:r>
      <w:r>
        <w:t xml:space="preserve">, „in", mit </w:t>
      </w:r>
      <w:r>
        <w:rPr>
          <w:rStyle w:val="Fett"/>
          <w:rFonts w:eastAsiaTheme="majorEastAsia"/>
          <w:rtl/>
        </w:rPr>
        <w:t>עַיִן</w:t>
      </w:r>
      <w:r>
        <w:t xml:space="preserve">, „Auge", Dual Construct mit </w:t>
      </w:r>
      <w:r>
        <w:rPr>
          <w:rStyle w:val="Fett"/>
          <w:rFonts w:eastAsiaTheme="majorEastAsia"/>
          <w:rtl/>
        </w:rPr>
        <w:t>יְהוָה</w:t>
      </w:r>
      <w:r>
        <w:t xml:space="preserve">) als modale Bestimmung. Die Wendung </w:t>
      </w:r>
      <w:r>
        <w:rPr>
          <w:rStyle w:val="Fett"/>
          <w:rFonts w:eastAsiaTheme="majorEastAsia"/>
          <w:rtl/>
        </w:rPr>
        <w:t>עשׂה הישׁר בעיני יהוה</w:t>
      </w:r>
      <w:r>
        <w:rPr>
          <w:rtl/>
        </w:rPr>
        <w:t xml:space="preserve"> </w:t>
      </w:r>
      <w:r>
        <w:t>(„das Rechte tun in den Augen JHWHs") ist eine feste deuteronomische Formel für Gehorsam (vgl. 6,18; 13,19; 21,9).</w:t>
      </w:r>
    </w:p>
    <w:p w14:paraId="20CC14B3" w14:textId="77777777" w:rsidR="00724090" w:rsidRDefault="00724090" w:rsidP="00724090">
      <w:pPr>
        <w:pStyle w:val="whitespace-normal"/>
      </w:pPr>
      <w:r>
        <w:t xml:space="preserve">Die Syntax verknüpft das Blutverbot mit Segensverheißung: Gehorsam führt zu Wohlergehen für die gegenwärtige und zukünftige Generation. Die dreifache Wiederholung des Verbots (V. 16.24.25) zeigt seine fundamentale Bedeutung. Die finale Bestimmung </w:t>
      </w:r>
      <w:r>
        <w:rPr>
          <w:rStyle w:val="Fett"/>
          <w:rFonts w:eastAsiaTheme="majorEastAsia"/>
          <w:rtl/>
        </w:rPr>
        <w:t>לְמַעַן יִיטַב לְךָ וּלְבָנֶיךָ אַחֲרֶיךָ</w:t>
      </w:r>
      <w:r>
        <w:rPr>
          <w:rtl/>
        </w:rPr>
        <w:t xml:space="preserve"> </w:t>
      </w:r>
      <w:r>
        <w:t xml:space="preserve">ist charakteristisch für das Deuteronomium und verbindet Gehorsam mit materiellem und sozialem Wohlergehen (vgl. 4,40; 5,16.29; 6,3.18; 22,7). Die kausale Begründung </w:t>
      </w:r>
      <w:r>
        <w:rPr>
          <w:rStyle w:val="Fett"/>
          <w:rFonts w:eastAsiaTheme="majorEastAsia"/>
          <w:rtl/>
        </w:rPr>
        <w:t>כִּי־תַעֲשֶׂה הַיָּשָׁר בְּעֵינֵי יְהוָה</w:t>
      </w:r>
      <w:r>
        <w:rPr>
          <w:rtl/>
        </w:rPr>
        <w:t xml:space="preserve"> </w:t>
      </w:r>
      <w:r>
        <w:t xml:space="preserve">zeigt, dass das Halten des Blutverbots nicht willkürlich ist, sondern objektiv recht vor JHWH. Der Kontrast zu 12,8 ist bemerkenswert: Dort tat jeder </w:t>
      </w:r>
      <w:r>
        <w:rPr>
          <w:rStyle w:val="Fett"/>
          <w:rFonts w:eastAsiaTheme="majorEastAsia"/>
          <w:rtl/>
        </w:rPr>
        <w:t>הַיָּשָׁר בְּעֵינָיו</w:t>
      </w:r>
      <w:r>
        <w:rPr>
          <w:rtl/>
        </w:rPr>
        <w:t xml:space="preserve"> </w:t>
      </w:r>
      <w:r>
        <w:t xml:space="preserve">(„was recht ist in seinen Augen"), hier soll Israel </w:t>
      </w:r>
      <w:r>
        <w:rPr>
          <w:rStyle w:val="Fett"/>
          <w:rFonts w:eastAsiaTheme="majorEastAsia"/>
          <w:rtl/>
        </w:rPr>
        <w:t>הַיָּשָׁר בְּעֵינֵי יְהוָה</w:t>
      </w:r>
      <w:r>
        <w:rPr>
          <w:rtl/>
        </w:rPr>
        <w:t xml:space="preserve"> </w:t>
      </w:r>
      <w:r>
        <w:t>(„was recht ist in JHWHs Augen") tun.</w:t>
      </w:r>
    </w:p>
    <w:p w14:paraId="5042C87B" w14:textId="77777777" w:rsidR="00724090" w:rsidRDefault="00724090" w:rsidP="00724090">
      <w:pPr>
        <w:pStyle w:val="whitespace-normal"/>
      </w:pPr>
      <w:r>
        <w:rPr>
          <w:rStyle w:val="Fett"/>
          <w:rFonts w:eastAsiaTheme="majorEastAsia"/>
        </w:rPr>
        <w:t>Die LXX</w:t>
      </w:r>
      <w:r>
        <w:t xml:space="preserve"> übersetzt „du sollst es nicht essen" mit „</w:t>
      </w:r>
      <w:proofErr w:type="spellStart"/>
      <w:r>
        <w:t>οὐ</w:t>
      </w:r>
      <w:proofErr w:type="spellEnd"/>
      <w:r>
        <w:t xml:space="preserve"> </w:t>
      </w:r>
      <w:proofErr w:type="spellStart"/>
      <w:r>
        <w:t>φάγεσθε</w:t>
      </w:r>
      <w:proofErr w:type="spellEnd"/>
      <w:r>
        <w:t xml:space="preserve"> α</w:t>
      </w:r>
      <w:proofErr w:type="spellStart"/>
      <w:r>
        <w:t>ὐτό</w:t>
      </w:r>
      <w:proofErr w:type="spellEnd"/>
      <w:r>
        <w:t>", „damit es wohl gehe" mit „</w:t>
      </w:r>
      <w:proofErr w:type="spellStart"/>
      <w:r>
        <w:t>ἵν</w:t>
      </w:r>
      <w:proofErr w:type="spellEnd"/>
      <w:r>
        <w:t xml:space="preserve">α </w:t>
      </w:r>
      <w:proofErr w:type="spellStart"/>
      <w:r>
        <w:t>εὖ</w:t>
      </w:r>
      <w:proofErr w:type="spellEnd"/>
      <w:r>
        <w:t xml:space="preserve"> </w:t>
      </w:r>
      <w:proofErr w:type="spellStart"/>
      <w:r>
        <w:t>σοι</w:t>
      </w:r>
      <w:proofErr w:type="spellEnd"/>
      <w:r>
        <w:t xml:space="preserve"> </w:t>
      </w:r>
      <w:proofErr w:type="spellStart"/>
      <w:r>
        <w:t>γένητ</w:t>
      </w:r>
      <w:proofErr w:type="spellEnd"/>
      <w:r>
        <w:t xml:space="preserve">αι", „und deinen Kindern nach dir" mit „καὶ </w:t>
      </w:r>
      <w:proofErr w:type="spellStart"/>
      <w:r>
        <w:t>τοῖς</w:t>
      </w:r>
      <w:proofErr w:type="spellEnd"/>
      <w:r>
        <w:t xml:space="preserve"> </w:t>
      </w:r>
      <w:proofErr w:type="spellStart"/>
      <w:r>
        <w:t>υἱοῖς</w:t>
      </w:r>
      <w:proofErr w:type="spellEnd"/>
      <w:r>
        <w:t xml:space="preserve"> </w:t>
      </w:r>
      <w:proofErr w:type="spellStart"/>
      <w:r>
        <w:t>σου</w:t>
      </w:r>
      <w:proofErr w:type="spellEnd"/>
      <w:r>
        <w:t xml:space="preserve"> </w:t>
      </w:r>
      <w:proofErr w:type="spellStart"/>
      <w:r>
        <w:t>μετὰ</w:t>
      </w:r>
      <w:proofErr w:type="spellEnd"/>
      <w:r>
        <w:t xml:space="preserve"> </w:t>
      </w:r>
      <w:proofErr w:type="spellStart"/>
      <w:r>
        <w:t>σέ</w:t>
      </w:r>
      <w:proofErr w:type="spellEnd"/>
      <w:r>
        <w:t>" und „weil du tust, was recht ist" mit „</w:t>
      </w:r>
      <w:proofErr w:type="spellStart"/>
      <w:r>
        <w:t>ἐὰν</w:t>
      </w:r>
      <w:proofErr w:type="spellEnd"/>
      <w:r>
        <w:t xml:space="preserve"> π</w:t>
      </w:r>
      <w:proofErr w:type="spellStart"/>
      <w:r>
        <w:t>οιήσῃς</w:t>
      </w:r>
      <w:proofErr w:type="spellEnd"/>
      <w:r>
        <w:t xml:space="preserve"> </w:t>
      </w:r>
      <w:proofErr w:type="spellStart"/>
      <w:r>
        <w:t>τὸ</w:t>
      </w:r>
      <w:proofErr w:type="spellEnd"/>
      <w:r>
        <w:t xml:space="preserve"> κα</w:t>
      </w:r>
      <w:proofErr w:type="spellStart"/>
      <w:r>
        <w:t>λὸν</w:t>
      </w:r>
      <w:proofErr w:type="spellEnd"/>
      <w:r>
        <w:t xml:space="preserve"> καὶ </w:t>
      </w:r>
      <w:proofErr w:type="spellStart"/>
      <w:r>
        <w:t>τὸ</w:t>
      </w:r>
      <w:proofErr w:type="spellEnd"/>
      <w:r>
        <w:t xml:space="preserve"> </w:t>
      </w:r>
      <w:proofErr w:type="spellStart"/>
      <w:r>
        <w:t>ἀρεστὸν</w:t>
      </w:r>
      <w:proofErr w:type="spellEnd"/>
      <w:r>
        <w:t>".</w:t>
      </w:r>
    </w:p>
    <w:p w14:paraId="2D11EC07" w14:textId="77777777" w:rsidR="00724090" w:rsidRDefault="00724090" w:rsidP="00724090">
      <w:pPr>
        <w:pStyle w:val="whitespace-normal"/>
      </w:pPr>
      <w:r>
        <w:rPr>
          <w:rStyle w:val="Fett"/>
          <w:rFonts w:eastAsiaTheme="majorEastAsia"/>
        </w:rPr>
        <w:t>Die Satzstruktur</w:t>
      </w:r>
      <w:r>
        <w:t xml:space="preserve"> besteht aus einem negativen Imperativ, finaler Bestimmung und kausalem Begründungssatz: Negativer Imperativ mit Prädikat und integriertem direktem Objekt (sollst es nicht essen); finale Bestimmung mit Prädikat (damit wohl gehe), doppeltem Dativ (dir und deinen Kindern nach dir); kausaler Begründungssatz mit Prädikat (tust), direktem Objekt (das Rechte) und modaler Bestimmung (in den Augen JHWHs).</w:t>
      </w:r>
    </w:p>
    <w:p w14:paraId="23989E1D" w14:textId="77777777" w:rsidR="00724090" w:rsidRDefault="00724090" w:rsidP="00724090">
      <w:pPr>
        <w:pStyle w:val="whitespace-normal"/>
      </w:pPr>
      <w:r>
        <w:t>Der Vers motiviert das Blutverbot durch Segensverheißung: Wer es hält, dem wird es wohl ergehen über Generationen hinweg, weil er das Rechte tut in JHWHs Augen.</w:t>
      </w:r>
    </w:p>
    <w:p w14:paraId="30F682A5"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12,26</w:t>
      </w:r>
    </w:p>
    <w:p w14:paraId="7BFED20C" w14:textId="77777777" w:rsidR="00724090" w:rsidRDefault="00724090" w:rsidP="00724090">
      <w:pPr>
        <w:pStyle w:val="whitespace-normal"/>
      </w:pPr>
      <w:r>
        <w:rPr>
          <w:rStyle w:val="Fett"/>
          <w:rFonts w:eastAsiaTheme="majorEastAsia"/>
        </w:rPr>
        <w:t>Hebräisch:</w:t>
      </w:r>
      <w:r>
        <w:t xml:space="preserve"> </w:t>
      </w:r>
      <w:r>
        <w:rPr>
          <w:rtl/>
        </w:rPr>
        <w:t>רַ֧ק קָֽדָשֶׁ֛יךָ אֲשֶׁר־יִהְי֥וּ לְךָ֖ וּנְדָרֶ֑יךָ תִּשָּׂ֣א וּבָ֔אתָ אֶל־הַמָּק֖וֹם אֲשֶׁר־יִבְחַ֥ר יְהוָֽה׃</w:t>
      </w:r>
    </w:p>
    <w:p w14:paraId="79CD1BF4" w14:textId="35434B9A" w:rsidR="00724090" w:rsidRDefault="00724090" w:rsidP="00724090">
      <w:pPr>
        <w:pStyle w:val="whitespace-normal"/>
      </w:pPr>
      <w:r>
        <w:rPr>
          <w:rStyle w:val="Fett"/>
          <w:rFonts w:eastAsiaTheme="majorEastAsia"/>
        </w:rPr>
        <w:t>Deutsch:</w:t>
      </w:r>
      <w:r>
        <w:t xml:space="preserve"> Aber deine heiligen Dinge, die du haben wirst, und deine Gelübde sollst du nehmen und an den Ort kommen, den der Ewige erwählen wird.</w:t>
      </w:r>
    </w:p>
    <w:p w14:paraId="71B82331" w14:textId="4C4229D6" w:rsidR="009C316F" w:rsidRDefault="004F5CEB" w:rsidP="00724090">
      <w:pPr>
        <w:pStyle w:val="whitespace-normal"/>
      </w:pPr>
      <w:r>
        <w:rPr>
          <w:noProof/>
        </w:rPr>
        <w:pict w14:anchorId="402AFD3F">
          <v:rect id="_x0000_i1398" style="width:0;height:1.5pt" o:hralign="center" o:hrstd="t" o:hr="t" fillcolor="#a0a0a0" stroked="f"/>
        </w:pict>
      </w:r>
    </w:p>
    <w:p w14:paraId="4CB65ABF" w14:textId="77777777" w:rsidR="00724090" w:rsidRDefault="00724090" w:rsidP="00724090">
      <w:pPr>
        <w:pStyle w:val="whitespace-normal"/>
      </w:pPr>
      <w:r>
        <w:rPr>
          <w:rStyle w:val="Fett"/>
          <w:rFonts w:eastAsiaTheme="majorEastAsia"/>
        </w:rPr>
        <w:lastRenderedPageBreak/>
        <w:t>Kommentar:</w:t>
      </w:r>
      <w:r>
        <w:t xml:space="preserve"> </w:t>
      </w:r>
      <w:r>
        <w:rPr>
          <w:rStyle w:val="Fett"/>
          <w:rFonts w:eastAsiaTheme="majorEastAsia"/>
          <w:rtl/>
        </w:rPr>
        <w:t>רַק קָדָשֶׁיךָ אֲשֶׁר־יִהְיוּ לְךָ וּנְדָרֶיךָ תִּשָּׂא</w:t>
      </w:r>
      <w:r>
        <w:rPr>
          <w:rtl/>
        </w:rPr>
        <w:t xml:space="preserve"> </w:t>
      </w:r>
      <w:r>
        <w:t xml:space="preserve">ist ein Imperativsatz mit vorangestelltem Objekt: </w:t>
      </w:r>
      <w:r>
        <w:rPr>
          <w:rStyle w:val="Fett"/>
          <w:rFonts w:eastAsiaTheme="majorEastAsia"/>
          <w:rtl/>
        </w:rPr>
        <w:t>רַק</w:t>
      </w:r>
      <w:r>
        <w:rPr>
          <w:rtl/>
        </w:rPr>
        <w:t xml:space="preserve"> </w:t>
      </w:r>
      <w:r>
        <w:t xml:space="preserve">(„aber, jedoch, nur") als adversative oder restriktive Partikel, die einen Kontrast zur profanen Schlachtung (V. 15-25) markiert, </w:t>
      </w:r>
      <w:r>
        <w:rPr>
          <w:rStyle w:val="Fett"/>
          <w:rFonts w:eastAsiaTheme="majorEastAsia"/>
          <w:rtl/>
        </w:rPr>
        <w:t>קָדָשֶׁיךָ</w:t>
      </w:r>
      <w:r>
        <w:rPr>
          <w:rtl/>
        </w:rPr>
        <w:t xml:space="preserve"> </w:t>
      </w:r>
      <w:r>
        <w:t>(</w:t>
      </w:r>
      <w:r>
        <w:rPr>
          <w:rStyle w:val="Fett"/>
          <w:rFonts w:eastAsiaTheme="majorEastAsia"/>
          <w:rtl/>
        </w:rPr>
        <w:t>קֹדֶשׁ</w:t>
      </w:r>
      <w:r>
        <w:t xml:space="preserve">, „heilige Dinge, heilige Gaben", Plural mit Suffix 2. Person Maskulinum Singular) als vorangestelltes direktes Objekt, </w:t>
      </w:r>
      <w:r>
        <w:rPr>
          <w:rStyle w:val="Fett"/>
          <w:rFonts w:eastAsiaTheme="majorEastAsia"/>
          <w:rtl/>
        </w:rPr>
        <w:t>אֲשֶׁר־יִהְיוּ לְךָ</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יִהְיוּ</w:t>
      </w:r>
      <w:r>
        <w:t xml:space="preserve">, Qal Imperfekt, 3. Person Plural von </w:t>
      </w:r>
      <w:r>
        <w:rPr>
          <w:rStyle w:val="Fett"/>
          <w:rFonts w:eastAsiaTheme="majorEastAsia"/>
          <w:rtl/>
        </w:rPr>
        <w:t>היה</w:t>
      </w:r>
      <w:r>
        <w:t xml:space="preserve">, „sein, werden, haben", und </w:t>
      </w:r>
      <w:r>
        <w:rPr>
          <w:rStyle w:val="Fett"/>
          <w:rFonts w:eastAsiaTheme="majorEastAsia"/>
          <w:rtl/>
        </w:rPr>
        <w:t>לְךָ</w:t>
      </w:r>
      <w:r>
        <w:t xml:space="preserve">, Präposition </w:t>
      </w:r>
      <w:r>
        <w:rPr>
          <w:rStyle w:val="Fett"/>
          <w:rFonts w:eastAsiaTheme="majorEastAsia"/>
          <w:rtl/>
        </w:rPr>
        <w:t>לְ</w:t>
      </w:r>
      <w:r>
        <w:rPr>
          <w:rtl/>
        </w:rPr>
        <w:t xml:space="preserve"> </w:t>
      </w:r>
      <w:r>
        <w:t xml:space="preserve">mit Suffix 2. Person Maskulinum Singular, „die du haben wirst"), </w:t>
      </w:r>
      <w:r>
        <w:rPr>
          <w:rStyle w:val="Fett"/>
          <w:rFonts w:eastAsiaTheme="majorEastAsia"/>
          <w:rtl/>
        </w:rPr>
        <w:t>וּנְדָרֶיךָ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נֶדֶר</w:t>
      </w:r>
      <w:r>
        <w:t xml:space="preserve">, „Gelübde", Plural mit Suffix 2. Person Maskulinum Singular) und </w:t>
      </w:r>
      <w:r>
        <w:rPr>
          <w:rStyle w:val="Fett"/>
          <w:rFonts w:eastAsiaTheme="majorEastAsia"/>
          <w:rtl/>
        </w:rPr>
        <w:t>תִּשָּׂא</w:t>
      </w:r>
      <w:r>
        <w:rPr>
          <w:rtl/>
        </w:rPr>
        <w:t xml:space="preserve"> </w:t>
      </w:r>
      <w:r>
        <w:t xml:space="preserve">(Qal Imperfekt, 2. Person Maskulinum Singular von </w:t>
      </w:r>
      <w:r>
        <w:rPr>
          <w:rStyle w:val="Fett"/>
          <w:rFonts w:eastAsiaTheme="majorEastAsia"/>
          <w:rtl/>
        </w:rPr>
        <w:t>נשׂא</w:t>
      </w:r>
      <w:r>
        <w:t xml:space="preserve">, „tragen, nehmen, erheben"). Das Verb </w:t>
      </w:r>
      <w:r>
        <w:rPr>
          <w:rStyle w:val="Fett"/>
          <w:rFonts w:eastAsiaTheme="majorEastAsia"/>
          <w:rtl/>
        </w:rPr>
        <w:t>נשׂא</w:t>
      </w:r>
      <w:r>
        <w:rPr>
          <w:rtl/>
        </w:rPr>
        <w:t xml:space="preserve"> </w:t>
      </w:r>
      <w:r>
        <w:t>bedeutet hier „nehmen, mit sich nehmen".</w:t>
      </w:r>
    </w:p>
    <w:p w14:paraId="0AC43C03" w14:textId="77777777" w:rsidR="00724090" w:rsidRDefault="00724090" w:rsidP="00724090">
      <w:pPr>
        <w:pStyle w:val="whitespace-normal"/>
      </w:pPr>
      <w:r>
        <w:rPr>
          <w:rStyle w:val="Fett"/>
          <w:rFonts w:eastAsiaTheme="majorEastAsia"/>
          <w:rtl/>
        </w:rPr>
        <w:t>וּבָאתָ אֶל־הַמָּקוֹם אֲשֶׁר־יִבְחַר יְהוָה</w:t>
      </w:r>
      <w:r>
        <w:rPr>
          <w:rtl/>
        </w:rPr>
        <w:t xml:space="preserve"> </w:t>
      </w:r>
      <w:r>
        <w:t xml:space="preserve">ist der zweite Imperativsatz: </w:t>
      </w:r>
      <w:r>
        <w:rPr>
          <w:rStyle w:val="Fett"/>
          <w:rFonts w:eastAsiaTheme="majorEastAsia"/>
          <w:rtl/>
        </w:rPr>
        <w:t>וּבָאתָ</w:t>
      </w:r>
      <w:r>
        <w:rPr>
          <w:rtl/>
        </w:rPr>
        <w:t xml:space="preserve"> </w:t>
      </w:r>
      <w:r>
        <w:t xml:space="preserve">(Qal Perfekt, 2. Person Maskulinum Singular von </w:t>
      </w:r>
      <w:r>
        <w:rPr>
          <w:rStyle w:val="Fett"/>
          <w:rFonts w:eastAsiaTheme="majorEastAsia"/>
          <w:rtl/>
        </w:rPr>
        <w:t>בוא</w:t>
      </w:r>
      <w:r>
        <w:t xml:space="preserve">, „kommen", mit </w:t>
      </w:r>
      <w:r>
        <w:rPr>
          <w:rStyle w:val="Fett"/>
          <w:rFonts w:eastAsiaTheme="majorEastAsia"/>
        </w:rPr>
        <w:t>Waw</w:t>
      </w:r>
      <w:r>
        <w:t xml:space="preserve">, imperativisch), </w:t>
      </w:r>
      <w:r>
        <w:rPr>
          <w:rStyle w:val="Fett"/>
          <w:rFonts w:eastAsiaTheme="majorEastAsia"/>
          <w:rtl/>
        </w:rPr>
        <w:t>אֶל־הַמָּקוֹם</w:t>
      </w:r>
      <w:r>
        <w:rPr>
          <w:rtl/>
        </w:rPr>
        <w:t xml:space="preserve"> </w:t>
      </w:r>
      <w:r>
        <w:t xml:space="preserve">(Präposition </w:t>
      </w:r>
      <w:r>
        <w:rPr>
          <w:rStyle w:val="Fett"/>
          <w:rFonts w:eastAsiaTheme="majorEastAsia"/>
          <w:rtl/>
        </w:rPr>
        <w:t>אֶל</w:t>
      </w:r>
      <w:r>
        <w:t xml:space="preserve">, „zu, nach", mit </w:t>
      </w:r>
      <w:r>
        <w:rPr>
          <w:rStyle w:val="Fett"/>
          <w:rFonts w:eastAsiaTheme="majorEastAsia"/>
          <w:rtl/>
        </w:rPr>
        <w:t>מָקוֹם</w:t>
      </w:r>
      <w:r>
        <w:t xml:space="preserve">, „Ort", mit Artikel) als Richtungsangabe und </w:t>
      </w:r>
      <w:r>
        <w:rPr>
          <w:rStyle w:val="Fett"/>
          <w:rFonts w:eastAsiaTheme="majorEastAsia"/>
          <w:rtl/>
        </w:rPr>
        <w:t>אֲשֶׁר־יִבְחַר יְהוָה</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יִבְחַר</w:t>
      </w:r>
      <w:r>
        <w:t xml:space="preserve">, Qal Imperfekt, 3. Person Maskulinum Singular von </w:t>
      </w:r>
      <w:r>
        <w:rPr>
          <w:rStyle w:val="Fett"/>
          <w:rFonts w:eastAsiaTheme="majorEastAsia"/>
          <w:rtl/>
        </w:rPr>
        <w:t>בחר</w:t>
      </w:r>
      <w:r>
        <w:t xml:space="preserve">, „erwählen", </w:t>
      </w:r>
      <w:r>
        <w:rPr>
          <w:rStyle w:val="Fett"/>
          <w:rFonts w:eastAsiaTheme="majorEastAsia"/>
          <w:rtl/>
        </w:rPr>
        <w:t>יְהוָה</w:t>
      </w:r>
      <w:r>
        <w:rPr>
          <w:rtl/>
        </w:rPr>
        <w:t xml:space="preserve"> </w:t>
      </w:r>
      <w:r>
        <w:t xml:space="preserve">als Subjekt). Die Formulierung ist kürzer als in den vorherigen Versen und nennt nur </w:t>
      </w:r>
      <w:r>
        <w:rPr>
          <w:rStyle w:val="Fett"/>
          <w:rFonts w:eastAsiaTheme="majorEastAsia"/>
          <w:rtl/>
        </w:rPr>
        <w:t>יְהוָה</w:t>
      </w:r>
      <w:r>
        <w:rPr>
          <w:rtl/>
        </w:rPr>
        <w:t xml:space="preserve"> </w:t>
      </w:r>
      <w:r>
        <w:t xml:space="preserve">ohne </w:t>
      </w:r>
      <w:r>
        <w:rPr>
          <w:rStyle w:val="Fett"/>
          <w:rFonts w:eastAsiaTheme="majorEastAsia"/>
          <w:rtl/>
        </w:rPr>
        <w:t>אֱלֹהֶיךָ</w:t>
      </w:r>
      <w:r>
        <w:t>.</w:t>
      </w:r>
    </w:p>
    <w:p w14:paraId="253F04C6" w14:textId="4C0AE843" w:rsidR="00724090" w:rsidRDefault="00724090" w:rsidP="00724090">
      <w:pPr>
        <w:pStyle w:val="whitespace-normal"/>
      </w:pPr>
      <w:r>
        <w:t xml:space="preserve">Die Syntax markiert eine Rückkehr zum Thema der heiligen Gaben nach dem Exkurs über profane Schlachtung. Das adversative </w:t>
      </w:r>
      <w:r>
        <w:rPr>
          <w:rStyle w:val="Fett"/>
          <w:rFonts w:eastAsiaTheme="majorEastAsia"/>
          <w:rtl/>
        </w:rPr>
        <w:t>רַק</w:t>
      </w:r>
      <w:r>
        <w:rPr>
          <w:rtl/>
        </w:rPr>
        <w:t xml:space="preserve"> </w:t>
      </w:r>
      <w:r>
        <w:t xml:space="preserve">signalisiert: Im Gegensatz zum profanen Fleisch (das überall gegessen werden darf) müssen heilige Gaben zum zentralen Heiligtum gebracht werden. Die Voranstellung des Objekts </w:t>
      </w:r>
      <w:r>
        <w:rPr>
          <w:rStyle w:val="Fett"/>
          <w:rFonts w:eastAsiaTheme="majorEastAsia"/>
          <w:rtl/>
        </w:rPr>
        <w:t>קָדָשֶׁיךָ</w:t>
      </w:r>
      <w:r>
        <w:rPr>
          <w:rtl/>
        </w:rPr>
        <w:t xml:space="preserve"> </w:t>
      </w:r>
      <w:r>
        <w:t xml:space="preserve">... </w:t>
      </w:r>
      <w:r>
        <w:rPr>
          <w:rStyle w:val="Fett"/>
          <w:rFonts w:eastAsiaTheme="majorEastAsia"/>
          <w:rtl/>
        </w:rPr>
        <w:t>וּנְדָרֶיךָ</w:t>
      </w:r>
      <w:r>
        <w:rPr>
          <w:rtl/>
        </w:rPr>
        <w:t xml:space="preserve"> </w:t>
      </w:r>
      <w:r>
        <w:t xml:space="preserve">betont diese Gaben. Der Begriff </w:t>
      </w:r>
      <w:r>
        <w:rPr>
          <w:rStyle w:val="Fett"/>
          <w:rFonts w:eastAsiaTheme="majorEastAsia"/>
          <w:rtl/>
        </w:rPr>
        <w:t>קָדָשֶׁיךָ</w:t>
      </w:r>
      <w:r>
        <w:rPr>
          <w:rtl/>
        </w:rPr>
        <w:t xml:space="preserve"> </w:t>
      </w:r>
      <w:r>
        <w:t xml:space="preserve">ist umfassend und kann verschiedene heilige Gaben einschließen (Erstgeburten, Zehnten, Opfertiere etc.). Die </w:t>
      </w:r>
      <w:r>
        <w:rPr>
          <w:rStyle w:val="Fett"/>
          <w:rFonts w:eastAsiaTheme="majorEastAsia"/>
          <w:rtl/>
        </w:rPr>
        <w:t>נְדָרִים</w:t>
      </w:r>
      <w:r>
        <w:rPr>
          <w:rtl/>
        </w:rPr>
        <w:t xml:space="preserve"> </w:t>
      </w:r>
      <w:r>
        <w:t xml:space="preserve">(„Gelübde") werden besonders genannt, wahrscheinlich weil sie freiwillig sind und die </w:t>
      </w:r>
      <w:r w:rsidR="00D84597">
        <w:t>Gefahr</w:t>
      </w:r>
      <w:r>
        <w:t xml:space="preserve"> besteht, sie zu vernachlässigen. Das Verb </w:t>
      </w:r>
      <w:r>
        <w:rPr>
          <w:rStyle w:val="Fett"/>
          <w:rFonts w:eastAsiaTheme="majorEastAsia"/>
          <w:rtl/>
        </w:rPr>
        <w:t>נשׂא</w:t>
      </w:r>
      <w:r>
        <w:rPr>
          <w:rtl/>
        </w:rPr>
        <w:t xml:space="preserve"> </w:t>
      </w:r>
      <w:r>
        <w:t xml:space="preserve">(„nehmen, tragen") impliziert die physische Überführung zum Heiligtum. Die beiden Imperative </w:t>
      </w:r>
      <w:r>
        <w:rPr>
          <w:rStyle w:val="Fett"/>
          <w:rFonts w:eastAsiaTheme="majorEastAsia"/>
          <w:rtl/>
        </w:rPr>
        <w:t>תִּשָּׂא</w:t>
      </w:r>
      <w:r>
        <w:rPr>
          <w:rtl/>
        </w:rPr>
        <w:t xml:space="preserve"> </w:t>
      </w:r>
      <w:r>
        <w:t xml:space="preserve">und </w:t>
      </w:r>
      <w:r>
        <w:rPr>
          <w:rStyle w:val="Fett"/>
          <w:rFonts w:eastAsiaTheme="majorEastAsia"/>
          <w:rtl/>
        </w:rPr>
        <w:t>וּבָאתָ</w:t>
      </w:r>
      <w:r>
        <w:rPr>
          <w:rtl/>
        </w:rPr>
        <w:t xml:space="preserve"> </w:t>
      </w:r>
      <w:r>
        <w:t>bilden eine Handlungsfolge: Nehmen → Kommen.</w:t>
      </w:r>
    </w:p>
    <w:p w14:paraId="7DA6F6EB" w14:textId="77777777" w:rsidR="00724090" w:rsidRDefault="00724090" w:rsidP="00724090">
      <w:pPr>
        <w:pStyle w:val="whitespace-normal"/>
      </w:pPr>
      <w:r>
        <w:rPr>
          <w:rStyle w:val="Fett"/>
          <w:rFonts w:eastAsiaTheme="majorEastAsia"/>
        </w:rPr>
        <w:t>Die LXX</w:t>
      </w:r>
      <w:r>
        <w:t xml:space="preserve"> übersetzt „aber deine heiligen Dinge" mit „π</w:t>
      </w:r>
      <w:proofErr w:type="spellStart"/>
      <w:r>
        <w:t>λὴν</w:t>
      </w:r>
      <w:proofErr w:type="spellEnd"/>
      <w:r>
        <w:t xml:space="preserve"> </w:t>
      </w:r>
      <w:proofErr w:type="spellStart"/>
      <w:r>
        <w:t>τὰ</w:t>
      </w:r>
      <w:proofErr w:type="spellEnd"/>
      <w:r>
        <w:t xml:space="preserve"> </w:t>
      </w:r>
      <w:proofErr w:type="spellStart"/>
      <w:r>
        <w:t>ἅγιά</w:t>
      </w:r>
      <w:proofErr w:type="spellEnd"/>
      <w:r>
        <w:t xml:space="preserve"> </w:t>
      </w:r>
      <w:proofErr w:type="spellStart"/>
      <w:r>
        <w:t>σου</w:t>
      </w:r>
      <w:proofErr w:type="spellEnd"/>
      <w:r>
        <w:t>", „die du haben wirst" mit „</w:t>
      </w:r>
      <w:proofErr w:type="spellStart"/>
      <w:r>
        <w:t>ἐὰν</w:t>
      </w:r>
      <w:proofErr w:type="spellEnd"/>
      <w:r>
        <w:t xml:space="preserve"> </w:t>
      </w:r>
      <w:proofErr w:type="spellStart"/>
      <w:r>
        <w:t>γένητ</w:t>
      </w:r>
      <w:proofErr w:type="spellEnd"/>
      <w:r>
        <w:t xml:space="preserve">αί </w:t>
      </w:r>
      <w:proofErr w:type="spellStart"/>
      <w:r>
        <w:t>σοι</w:t>
      </w:r>
      <w:proofErr w:type="spellEnd"/>
      <w:r>
        <w:t xml:space="preserve">", „und deine Gelübde" mit „καὶ </w:t>
      </w:r>
      <w:proofErr w:type="spellStart"/>
      <w:r>
        <w:t>τὰς</w:t>
      </w:r>
      <w:proofErr w:type="spellEnd"/>
      <w:r>
        <w:t xml:space="preserve"> </w:t>
      </w:r>
      <w:proofErr w:type="spellStart"/>
      <w:r>
        <w:t>εὐχάς</w:t>
      </w:r>
      <w:proofErr w:type="spellEnd"/>
      <w:r>
        <w:t xml:space="preserve"> </w:t>
      </w:r>
      <w:proofErr w:type="spellStart"/>
      <w:r>
        <w:t>σου</w:t>
      </w:r>
      <w:proofErr w:type="spellEnd"/>
      <w:r>
        <w:t>", „sollst du nehmen" mit „</w:t>
      </w:r>
      <w:proofErr w:type="spellStart"/>
      <w:r>
        <w:t>λήμψῃ</w:t>
      </w:r>
      <w:proofErr w:type="spellEnd"/>
      <w:r>
        <w:t xml:space="preserve">" und „an den Ort kommen" mit „καὶ </w:t>
      </w:r>
      <w:proofErr w:type="spellStart"/>
      <w:r>
        <w:t>ἥξεις</w:t>
      </w:r>
      <w:proofErr w:type="spellEnd"/>
      <w:r>
        <w:t xml:space="preserve"> </w:t>
      </w:r>
      <w:proofErr w:type="spellStart"/>
      <w:r>
        <w:t>εἰς</w:t>
      </w:r>
      <w:proofErr w:type="spellEnd"/>
      <w:r>
        <w:t xml:space="preserve"> </w:t>
      </w:r>
      <w:proofErr w:type="spellStart"/>
      <w:r>
        <w:t>τὸν</w:t>
      </w:r>
      <w:proofErr w:type="spellEnd"/>
      <w:r>
        <w:t xml:space="preserve"> </w:t>
      </w:r>
      <w:proofErr w:type="spellStart"/>
      <w:r>
        <w:t>τό</w:t>
      </w:r>
      <w:proofErr w:type="spellEnd"/>
      <w:r>
        <w:t>πον".</w:t>
      </w:r>
    </w:p>
    <w:p w14:paraId="095B9128" w14:textId="77777777" w:rsidR="00724090" w:rsidRDefault="00724090" w:rsidP="00724090">
      <w:pPr>
        <w:pStyle w:val="whitespace-normal"/>
      </w:pPr>
      <w:r>
        <w:rPr>
          <w:rStyle w:val="Fett"/>
          <w:rFonts w:eastAsiaTheme="majorEastAsia"/>
        </w:rPr>
        <w:t>Die Satzstruktur</w:t>
      </w:r>
      <w:r>
        <w:t xml:space="preserve"> besteht aus zwei koordinierten Imperativen: Erster Imperativ mit adversativer Partikel (aber), vorangestelltem doppeltem direktem Objekt (deine heiligen Dinge, die du haben wirst, und deine Gelübde), Prädikat (sollst nehmen); zweiter Imperativ mit Prädikat (kommen), Richtungsangabe (zu dem Ort) und Relativsatz (den JHWH erwählen wird).</w:t>
      </w:r>
    </w:p>
    <w:p w14:paraId="18DC61B5" w14:textId="77777777" w:rsidR="00724090" w:rsidRDefault="00724090" w:rsidP="00724090">
      <w:pPr>
        <w:pStyle w:val="whitespace-normal"/>
      </w:pPr>
      <w:r>
        <w:t>Der Vers leitet zurück zur Kultzentralisation: Im Gegensatz zum profanen Fleisch müssen heilige Gaben und Gelübdeopfer zum von JHWH erwählten Ort gebracht werden.</w:t>
      </w:r>
    </w:p>
    <w:p w14:paraId="0C655844"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12,27</w:t>
      </w:r>
    </w:p>
    <w:p w14:paraId="26F7DAAF" w14:textId="77777777" w:rsidR="00724090" w:rsidRDefault="00724090" w:rsidP="00724090">
      <w:pPr>
        <w:pStyle w:val="whitespace-normal"/>
      </w:pPr>
      <w:r>
        <w:rPr>
          <w:rStyle w:val="Fett"/>
          <w:rFonts w:eastAsiaTheme="majorEastAsia"/>
        </w:rPr>
        <w:t>Hebräisch:</w:t>
      </w:r>
      <w:r>
        <w:t xml:space="preserve"> </w:t>
      </w:r>
      <w:r>
        <w:rPr>
          <w:rtl/>
        </w:rPr>
        <w:t>וְעָשִׂ֤יתָ עֹלֹתֶ֨יךָ֙ הַבָּשָׂ֣ר וְהַדָּ֔ם עַל־מִזְבַּ֖ח יְהוָ֣ה אֱלֹהֶ֑יךָ וְדַם־זְבָחֶ֗יךָ יִשָּׁפֵךְ֙ עַל־מִזְבַּח֙ יְהוָ֣ה אֱלֹהֶ֔יךָ וְהַבָּשָׂ֖ר תֹּאכֵֽל׃</w:t>
      </w:r>
    </w:p>
    <w:p w14:paraId="0D8D24F9" w14:textId="214BC951" w:rsidR="00724090" w:rsidRDefault="00724090" w:rsidP="00724090">
      <w:pPr>
        <w:pStyle w:val="whitespace-normal"/>
      </w:pPr>
      <w:r>
        <w:rPr>
          <w:rStyle w:val="Fett"/>
          <w:rFonts w:eastAsiaTheme="majorEastAsia"/>
        </w:rPr>
        <w:lastRenderedPageBreak/>
        <w:t>Deutsch:</w:t>
      </w:r>
      <w:r>
        <w:t xml:space="preserve"> Und deine Aufsteigeopfer, das Fleisch und das Blut, sollst du auf dem Altar des Ewigen, deines Gottes, opfern; und das Blut deiner Schlachtopfer soll an den Altar des Ewigen, deines Gottes, gegossen werden, und das Fleisch magst du essen.</w:t>
      </w:r>
    </w:p>
    <w:p w14:paraId="7376E258" w14:textId="5E8152D7" w:rsidR="009C316F" w:rsidRDefault="004F5CEB" w:rsidP="00724090">
      <w:pPr>
        <w:pStyle w:val="whitespace-normal"/>
      </w:pPr>
      <w:r>
        <w:rPr>
          <w:noProof/>
        </w:rPr>
        <w:pict w14:anchorId="32D63378">
          <v:rect id="_x0000_i1399" style="width:0;height:1.5pt" o:hralign="center" o:hrstd="t" o:hr="t" fillcolor="#a0a0a0" stroked="f"/>
        </w:pict>
      </w:r>
    </w:p>
    <w:p w14:paraId="7AD01D2D" w14:textId="2D44FD3D" w:rsidR="00724090" w:rsidRDefault="00724090" w:rsidP="00724090">
      <w:pPr>
        <w:pStyle w:val="whitespace-normal"/>
      </w:pPr>
      <w:r>
        <w:rPr>
          <w:rStyle w:val="Fett"/>
          <w:rFonts w:eastAsiaTheme="majorEastAsia"/>
        </w:rPr>
        <w:t>Kommentar:</w:t>
      </w:r>
      <w:r>
        <w:t xml:space="preserve"> </w:t>
      </w:r>
      <w:r>
        <w:rPr>
          <w:rStyle w:val="Fett"/>
          <w:rFonts w:eastAsiaTheme="majorEastAsia"/>
          <w:rtl/>
        </w:rPr>
        <w:t>וְעָשִׂיתָ עֹלֹתֶיךָ הַבָּשָׂר וְהַדָּם עַל־מִזְבַּח יְהוָה אֱלֹהֶיךָ</w:t>
      </w:r>
      <w:r>
        <w:rPr>
          <w:rtl/>
        </w:rPr>
        <w:t xml:space="preserve"> </w:t>
      </w:r>
      <w:r>
        <w:t xml:space="preserve">ist der erste Imperativsatz: </w:t>
      </w:r>
      <w:r>
        <w:rPr>
          <w:rStyle w:val="Fett"/>
          <w:rFonts w:eastAsiaTheme="majorEastAsia"/>
          <w:rtl/>
        </w:rPr>
        <w:t>וְעָשִׂיתָ</w:t>
      </w:r>
      <w:r>
        <w:rPr>
          <w:rtl/>
        </w:rPr>
        <w:t xml:space="preserve"> </w:t>
      </w:r>
      <w:r>
        <w:t xml:space="preserve">(Qal Perfekt, 2. Person Maskulinum Singular von </w:t>
      </w:r>
      <w:r>
        <w:rPr>
          <w:rStyle w:val="Fett"/>
          <w:rFonts w:eastAsiaTheme="majorEastAsia"/>
          <w:rtl/>
        </w:rPr>
        <w:t>עשׂה</w:t>
      </w:r>
      <w:r>
        <w:t xml:space="preserve">, „tun, machen", mit </w:t>
      </w:r>
      <w:r>
        <w:rPr>
          <w:rStyle w:val="Fett"/>
          <w:rFonts w:eastAsiaTheme="majorEastAsia"/>
        </w:rPr>
        <w:t>Waw</w:t>
      </w:r>
      <w:r>
        <w:t xml:space="preserve">, imperativisch), </w:t>
      </w:r>
      <w:r>
        <w:rPr>
          <w:rStyle w:val="Fett"/>
          <w:rFonts w:eastAsiaTheme="majorEastAsia"/>
          <w:rtl/>
        </w:rPr>
        <w:t>עֹלֹתֶיךָ</w:t>
      </w:r>
      <w:r>
        <w:rPr>
          <w:rtl/>
        </w:rPr>
        <w:t xml:space="preserve"> </w:t>
      </w:r>
      <w:r>
        <w:t>(</w:t>
      </w:r>
      <w:r>
        <w:rPr>
          <w:rStyle w:val="Fett"/>
          <w:rFonts w:eastAsiaTheme="majorEastAsia"/>
          <w:rtl/>
        </w:rPr>
        <w:t>עֹלָה</w:t>
      </w:r>
      <w:r>
        <w:t xml:space="preserve">, „Aufsteigeopfer", Plural mit Suffix 2. Person Maskulinum Singular) als direktes Objekt, </w:t>
      </w:r>
      <w:r>
        <w:rPr>
          <w:rStyle w:val="Fett"/>
          <w:rFonts w:eastAsiaTheme="majorEastAsia"/>
          <w:rtl/>
        </w:rPr>
        <w:t>הַבָּשָׂר וְהַדָּם</w:t>
      </w:r>
      <w:r>
        <w:rPr>
          <w:rtl/>
        </w:rPr>
        <w:t xml:space="preserve"> </w:t>
      </w:r>
      <w:r>
        <w:t>(</w:t>
      </w:r>
      <w:r>
        <w:rPr>
          <w:rStyle w:val="Fett"/>
          <w:rFonts w:eastAsiaTheme="majorEastAsia"/>
          <w:rtl/>
        </w:rPr>
        <w:t>בָּשָׂר</w:t>
      </w:r>
      <w:r>
        <w:t xml:space="preserve">, „Fleisch", mit Artikel, koordiniert durch </w:t>
      </w:r>
      <w:r>
        <w:rPr>
          <w:rStyle w:val="Fett"/>
          <w:rFonts w:eastAsiaTheme="majorEastAsia"/>
          <w:rtl/>
        </w:rPr>
        <w:t>וְ</w:t>
      </w:r>
      <w:r>
        <w:rPr>
          <w:rtl/>
        </w:rPr>
        <w:t xml:space="preserve"> </w:t>
      </w:r>
      <w:r>
        <w:t xml:space="preserve">mit </w:t>
      </w:r>
      <w:r>
        <w:rPr>
          <w:rStyle w:val="Fett"/>
          <w:rFonts w:eastAsiaTheme="majorEastAsia"/>
          <w:rtl/>
        </w:rPr>
        <w:t>דָּם</w:t>
      </w:r>
      <w:r>
        <w:t xml:space="preserve">, „Blut", mit Artikel) als appositionale Erläuterung und </w:t>
      </w:r>
      <w:r>
        <w:rPr>
          <w:rStyle w:val="Fett"/>
          <w:rFonts w:eastAsiaTheme="majorEastAsia"/>
          <w:rtl/>
        </w:rPr>
        <w:t>עַל־מִזְבַּח יְהוָה אֱלֹהֶיךָ</w:t>
      </w:r>
      <w:r>
        <w:rPr>
          <w:rtl/>
        </w:rPr>
        <w:t xml:space="preserve"> </w:t>
      </w:r>
      <w:r>
        <w:t xml:space="preserve">(Präposition </w:t>
      </w:r>
      <w:r>
        <w:rPr>
          <w:rStyle w:val="Fett"/>
          <w:rFonts w:eastAsiaTheme="majorEastAsia"/>
          <w:rtl/>
        </w:rPr>
        <w:t>עַל</w:t>
      </w:r>
      <w:r>
        <w:t xml:space="preserve">, „auf", mit </w:t>
      </w:r>
      <w:r>
        <w:rPr>
          <w:rStyle w:val="Fett"/>
          <w:rFonts w:eastAsiaTheme="majorEastAsia"/>
          <w:rtl/>
        </w:rPr>
        <w:t>מִזְבֵּחַ</w:t>
      </w:r>
      <w:r>
        <w:t xml:space="preserve">, „Altar", Construct mit </w:t>
      </w:r>
      <w:r>
        <w:rPr>
          <w:rStyle w:val="Fett"/>
          <w:rFonts w:eastAsiaTheme="majorEastAsia"/>
          <w:rtl/>
        </w:rPr>
        <w:t>יְהוָה אֱלֹהֶיךָ</w:t>
      </w:r>
      <w:r>
        <w:t xml:space="preserve">) als lokale Bestimmung. Das Verb </w:t>
      </w:r>
      <w:r>
        <w:rPr>
          <w:rStyle w:val="Fett"/>
          <w:rFonts w:eastAsiaTheme="majorEastAsia"/>
          <w:rtl/>
        </w:rPr>
        <w:t>עשׂה</w:t>
      </w:r>
      <w:r>
        <w:rPr>
          <w:rtl/>
        </w:rPr>
        <w:t xml:space="preserve"> </w:t>
      </w:r>
      <w:r>
        <w:t xml:space="preserve">wird hier im Sinne von „darbringen, opfern" verwendet. Die Apposition </w:t>
      </w:r>
      <w:r>
        <w:rPr>
          <w:rStyle w:val="Fett"/>
          <w:rFonts w:eastAsiaTheme="majorEastAsia"/>
          <w:rtl/>
        </w:rPr>
        <w:t>הַבָּשָׂר וְהַדָּם</w:t>
      </w:r>
      <w:r>
        <w:rPr>
          <w:rtl/>
        </w:rPr>
        <w:t xml:space="preserve"> </w:t>
      </w:r>
      <w:r>
        <w:t xml:space="preserve">spezifiziert, dass beim </w:t>
      </w:r>
      <w:r>
        <w:rPr>
          <w:rStyle w:val="Fett"/>
          <w:rFonts w:eastAsiaTheme="majorEastAsia"/>
          <w:rtl/>
        </w:rPr>
        <w:t>עֹלָה</w:t>
      </w:r>
      <w:r>
        <w:rPr>
          <w:rtl/>
        </w:rPr>
        <w:t xml:space="preserve"> </w:t>
      </w:r>
      <w:r>
        <w:t>(</w:t>
      </w:r>
      <w:r w:rsidR="00A705B7">
        <w:t>Aufsteigeopfer</w:t>
      </w:r>
      <w:r>
        <w:t>) sowohl Fleisch als auch Blut auf dem Altar dargebracht werden – das ganze Tier wird verbrannt.</w:t>
      </w:r>
    </w:p>
    <w:p w14:paraId="1CFC3472" w14:textId="77777777" w:rsidR="00724090" w:rsidRDefault="00724090" w:rsidP="00724090">
      <w:pPr>
        <w:pStyle w:val="whitespace-normal"/>
      </w:pPr>
      <w:r>
        <w:rPr>
          <w:rStyle w:val="Fett"/>
          <w:rFonts w:eastAsiaTheme="majorEastAsia"/>
          <w:rtl/>
        </w:rPr>
        <w:t>וְדַם־זְבָחֶיךָ יִשָּׁפֵךְ עַל־מִזְבַּח יְהוָה אֱלֹהֶיךָ</w:t>
      </w:r>
      <w:r>
        <w:rPr>
          <w:rtl/>
        </w:rPr>
        <w:t xml:space="preserve"> </w:t>
      </w:r>
      <w:r>
        <w:t xml:space="preserve">ist der zweite Satz: </w:t>
      </w:r>
      <w:r>
        <w:rPr>
          <w:rStyle w:val="Fett"/>
          <w:rFonts w:eastAsiaTheme="majorEastAsia"/>
          <w:rtl/>
        </w:rPr>
        <w:t>וְדַם־זְבָחֶיךָ</w:t>
      </w:r>
      <w:r>
        <w:rPr>
          <w:rtl/>
        </w:rPr>
        <w:t xml:space="preserve"> </w:t>
      </w:r>
      <w:r>
        <w:t>(</w:t>
      </w:r>
      <w:r>
        <w:rPr>
          <w:rStyle w:val="Fett"/>
          <w:rFonts w:eastAsiaTheme="majorEastAsia"/>
          <w:rtl/>
        </w:rPr>
        <w:t>דָּם</w:t>
      </w:r>
      <w:r>
        <w:t xml:space="preserve">, „Blut", im Construct mit </w:t>
      </w:r>
      <w:r>
        <w:rPr>
          <w:rStyle w:val="Fett"/>
          <w:rFonts w:eastAsiaTheme="majorEastAsia"/>
          <w:rtl/>
        </w:rPr>
        <w:t>זֶבַח</w:t>
      </w:r>
      <w:r>
        <w:t xml:space="preserve">, „Schlachtopfer", Plural mit Suffix 2. Person Maskulinum Singular) als vorangestelltes Subjekt, </w:t>
      </w:r>
      <w:r>
        <w:rPr>
          <w:rStyle w:val="Fett"/>
          <w:rFonts w:eastAsiaTheme="majorEastAsia"/>
          <w:rtl/>
        </w:rPr>
        <w:t>יִשָּׁפֵךְ</w:t>
      </w:r>
      <w:r>
        <w:rPr>
          <w:rtl/>
        </w:rPr>
        <w:t xml:space="preserve"> </w:t>
      </w:r>
      <w:r>
        <w:t xml:space="preserve">(Niphal Imperfekt, 3. Person Maskulinum Singular von </w:t>
      </w:r>
      <w:r>
        <w:rPr>
          <w:rStyle w:val="Fett"/>
          <w:rFonts w:eastAsiaTheme="majorEastAsia"/>
          <w:rtl/>
        </w:rPr>
        <w:t>שׁפך</w:t>
      </w:r>
      <w:r>
        <w:t xml:space="preserve">, „ausgießen", in der Niphal-Form passivisch „gegossen werden") und </w:t>
      </w:r>
      <w:r>
        <w:rPr>
          <w:rStyle w:val="Fett"/>
          <w:rFonts w:eastAsiaTheme="majorEastAsia"/>
          <w:rtl/>
        </w:rPr>
        <w:t>עַל־מִזְבַּח יְהוָה אֱלֹהֶיךָ</w:t>
      </w:r>
      <w:r>
        <w:rPr>
          <w:rtl/>
        </w:rPr>
        <w:t xml:space="preserve"> </w:t>
      </w:r>
      <w:r>
        <w:t xml:space="preserve">als lokale Bestimmung. Das </w:t>
      </w:r>
      <w:r>
        <w:rPr>
          <w:rStyle w:val="Fett"/>
          <w:rFonts w:eastAsiaTheme="majorEastAsia"/>
          <w:rtl/>
        </w:rPr>
        <w:t>זֶבַח</w:t>
      </w:r>
      <w:r>
        <w:rPr>
          <w:rtl/>
        </w:rPr>
        <w:t xml:space="preserve"> </w:t>
      </w:r>
      <w:r>
        <w:t xml:space="preserve">(Schlachtopfer) ist ein Gemeinschaftsopfer, bei dem Teile gegessen werden dürfen, im Gegensatz zum </w:t>
      </w:r>
      <w:r>
        <w:rPr>
          <w:rStyle w:val="Fett"/>
          <w:rFonts w:eastAsiaTheme="majorEastAsia"/>
          <w:rtl/>
        </w:rPr>
        <w:t>עֹלָה</w:t>
      </w:r>
      <w:r>
        <w:t>, das vollständig verbrannt wird.</w:t>
      </w:r>
    </w:p>
    <w:p w14:paraId="1274BEE0" w14:textId="77777777" w:rsidR="00724090" w:rsidRDefault="00724090" w:rsidP="00724090">
      <w:pPr>
        <w:pStyle w:val="whitespace-normal"/>
      </w:pPr>
      <w:r>
        <w:rPr>
          <w:rStyle w:val="Fett"/>
          <w:rFonts w:eastAsiaTheme="majorEastAsia"/>
          <w:rtl/>
        </w:rPr>
        <w:t>וְהַבָּשָׂר תֹּאכֵל</w:t>
      </w:r>
      <w:r>
        <w:rPr>
          <w:rtl/>
        </w:rPr>
        <w:t xml:space="preserve"> </w:t>
      </w:r>
      <w:r>
        <w:t xml:space="preserve">ist der dritte Satz: </w:t>
      </w:r>
      <w:r>
        <w:rPr>
          <w:rStyle w:val="Fett"/>
          <w:rFonts w:eastAsiaTheme="majorEastAsia"/>
          <w:rtl/>
        </w:rPr>
        <w:t>וְהַבָּשָׂר</w:t>
      </w:r>
      <w:r>
        <w:rPr>
          <w:rtl/>
        </w:rPr>
        <w:t xml:space="preserve"> </w:t>
      </w:r>
      <w:r>
        <w:t>(</w:t>
      </w:r>
      <w:r>
        <w:rPr>
          <w:rStyle w:val="Fett"/>
          <w:rFonts w:eastAsiaTheme="majorEastAsia"/>
          <w:rtl/>
        </w:rPr>
        <w:t>בָּשָׂר</w:t>
      </w:r>
      <w:r>
        <w:t xml:space="preserve">, „Fleisch", mit Artikel) als vorangestelltes direktes Objekt und </w:t>
      </w:r>
      <w:r>
        <w:rPr>
          <w:rStyle w:val="Fett"/>
          <w:rFonts w:eastAsiaTheme="majorEastAsia"/>
          <w:rtl/>
        </w:rPr>
        <w:t>תֹּאכֵל</w:t>
      </w:r>
      <w:r>
        <w:rPr>
          <w:rtl/>
        </w:rPr>
        <w:t xml:space="preserve"> </w:t>
      </w:r>
      <w:r>
        <w:t xml:space="preserve">(Qal Imperfekt, 2. Person Maskulinum Singular von </w:t>
      </w:r>
      <w:r>
        <w:rPr>
          <w:rStyle w:val="Fett"/>
          <w:rFonts w:eastAsiaTheme="majorEastAsia"/>
          <w:rtl/>
        </w:rPr>
        <w:t>אכל</w:t>
      </w:r>
      <w:r>
        <w:t xml:space="preserve">, „essen"). Dieser Satz bezieht sich auf das Fleisch der </w:t>
      </w:r>
      <w:r>
        <w:rPr>
          <w:rStyle w:val="Fett"/>
          <w:rFonts w:eastAsiaTheme="majorEastAsia"/>
          <w:rtl/>
        </w:rPr>
        <w:t>זְבָחִים</w:t>
      </w:r>
      <w:r>
        <w:rPr>
          <w:rtl/>
        </w:rPr>
        <w:t xml:space="preserve"> </w:t>
      </w:r>
      <w:r>
        <w:t>(Schlachtopfer), von denen nach der Darbringung des Blutes gegessen werden darf.</w:t>
      </w:r>
    </w:p>
    <w:p w14:paraId="23CB5977" w14:textId="1795BCCA" w:rsidR="00724090" w:rsidRDefault="00724090" w:rsidP="00724090">
      <w:pPr>
        <w:pStyle w:val="whitespace-normal"/>
      </w:pPr>
      <w:r>
        <w:t xml:space="preserve">Die Syntax unterscheidet klar zwischen zwei Opferarten: Beim </w:t>
      </w:r>
      <w:r>
        <w:rPr>
          <w:rStyle w:val="Fett"/>
          <w:rFonts w:eastAsiaTheme="majorEastAsia"/>
          <w:rtl/>
        </w:rPr>
        <w:t>עֹלָה</w:t>
      </w:r>
      <w:r>
        <w:rPr>
          <w:rtl/>
        </w:rPr>
        <w:t xml:space="preserve"> </w:t>
      </w:r>
      <w:r>
        <w:t>(</w:t>
      </w:r>
      <w:r w:rsidR="00A705B7">
        <w:t>Aufsteigeopfer</w:t>
      </w:r>
      <w:r>
        <w:t xml:space="preserve">) werden Fleisch und Blut vollständig auf dem Altar dargebracht – nichts darf gegessen werden. Beim </w:t>
      </w:r>
      <w:r>
        <w:rPr>
          <w:rStyle w:val="Fett"/>
          <w:rFonts w:eastAsiaTheme="majorEastAsia"/>
          <w:rtl/>
        </w:rPr>
        <w:t>זֶבַח</w:t>
      </w:r>
      <w:r>
        <w:rPr>
          <w:rtl/>
        </w:rPr>
        <w:t xml:space="preserve"> </w:t>
      </w:r>
      <w:r>
        <w:t xml:space="preserve">(Schlachtopfer) wird nur das Blut an den Altar gegossen, während das Fleisch gegessen werden darf. Diese Unterscheidung ist fundamental für das israelitische Opfersystem (vgl. </w:t>
      </w:r>
      <w:r w:rsidR="00664EB6">
        <w:t>Lev</w:t>
      </w:r>
      <w:r>
        <w:t xml:space="preserve"> 1-7). Die Betonung des richtigen Umgangs mit dem Blut zeigt die Kontinuität mit den Versen 16.23-25. Die Voranstellung von </w:t>
      </w:r>
      <w:r>
        <w:rPr>
          <w:rStyle w:val="Fett"/>
          <w:rFonts w:eastAsiaTheme="majorEastAsia"/>
          <w:rtl/>
        </w:rPr>
        <w:t>דַם־זְבָחֶיךָ</w:t>
      </w:r>
      <w:r>
        <w:rPr>
          <w:rtl/>
        </w:rPr>
        <w:t xml:space="preserve"> </w:t>
      </w:r>
      <w:r>
        <w:t xml:space="preserve">und </w:t>
      </w:r>
      <w:r>
        <w:rPr>
          <w:rStyle w:val="Fett"/>
          <w:rFonts w:eastAsiaTheme="majorEastAsia"/>
          <w:rtl/>
        </w:rPr>
        <w:t>הַבָּשָׂר</w:t>
      </w:r>
      <w:r>
        <w:rPr>
          <w:rtl/>
        </w:rPr>
        <w:t xml:space="preserve"> </w:t>
      </w:r>
      <w:r>
        <w:t xml:space="preserve">betont beide Elemente. Die passivische Formulierung </w:t>
      </w:r>
      <w:r>
        <w:rPr>
          <w:rStyle w:val="Fett"/>
          <w:rFonts w:eastAsiaTheme="majorEastAsia"/>
          <w:rtl/>
        </w:rPr>
        <w:t>יִשָּׁפֵךְ</w:t>
      </w:r>
      <w:r>
        <w:rPr>
          <w:rtl/>
        </w:rPr>
        <w:t xml:space="preserve"> </w:t>
      </w:r>
      <w:r>
        <w:t>(Niphal) statt eines Imperativs zeigt, dass dies eine selbstverständliche, vorgeschriebene Handlung ist.</w:t>
      </w:r>
    </w:p>
    <w:p w14:paraId="4B33E5A6" w14:textId="77777777" w:rsidR="00724090" w:rsidRDefault="00724090" w:rsidP="00724090">
      <w:pPr>
        <w:pStyle w:val="whitespace-normal"/>
      </w:pPr>
      <w:r>
        <w:rPr>
          <w:rStyle w:val="Fett"/>
          <w:rFonts w:eastAsiaTheme="majorEastAsia"/>
        </w:rPr>
        <w:t>Die LXX</w:t>
      </w:r>
      <w:r>
        <w:t xml:space="preserve"> übersetzt „sollst du opfern" mit „π</w:t>
      </w:r>
      <w:proofErr w:type="spellStart"/>
      <w:r>
        <w:t>οιήσεις</w:t>
      </w:r>
      <w:proofErr w:type="spellEnd"/>
      <w:r>
        <w:t>", „deine Aufsteigeopfer, das Fleisch und das Blut" mit „</w:t>
      </w:r>
      <w:proofErr w:type="spellStart"/>
      <w:r>
        <w:t>τὰ</w:t>
      </w:r>
      <w:proofErr w:type="spellEnd"/>
      <w:r>
        <w:t xml:space="preserve"> </w:t>
      </w:r>
      <w:proofErr w:type="spellStart"/>
      <w:r>
        <w:t>ὁλοκ</w:t>
      </w:r>
      <w:proofErr w:type="spellEnd"/>
      <w:r>
        <w:t xml:space="preserve">αυτώματά </w:t>
      </w:r>
      <w:proofErr w:type="spellStart"/>
      <w:r>
        <w:t>σου</w:t>
      </w:r>
      <w:proofErr w:type="spellEnd"/>
      <w:r>
        <w:t xml:space="preserve">, </w:t>
      </w:r>
      <w:proofErr w:type="spellStart"/>
      <w:r>
        <w:t>τὰ</w:t>
      </w:r>
      <w:proofErr w:type="spellEnd"/>
      <w:r>
        <w:t xml:space="preserve"> </w:t>
      </w:r>
      <w:proofErr w:type="spellStart"/>
      <w:r>
        <w:t>κρέ</w:t>
      </w:r>
      <w:proofErr w:type="spellEnd"/>
      <w:r>
        <w:t xml:space="preserve">α καὶ </w:t>
      </w:r>
      <w:proofErr w:type="spellStart"/>
      <w:r>
        <w:t>τὸ</w:t>
      </w:r>
      <w:proofErr w:type="spellEnd"/>
      <w:r>
        <w:t xml:space="preserve"> α</w:t>
      </w:r>
      <w:proofErr w:type="spellStart"/>
      <w:r>
        <w:t>ἷμ</w:t>
      </w:r>
      <w:proofErr w:type="spellEnd"/>
      <w:r>
        <w:t>α", „soll gegossen werden" mit „π</w:t>
      </w:r>
      <w:proofErr w:type="spellStart"/>
      <w:r>
        <w:t>ροσχεεῖς</w:t>
      </w:r>
      <w:proofErr w:type="spellEnd"/>
      <w:r>
        <w:t>", „an den Altar" mit „π</w:t>
      </w:r>
      <w:proofErr w:type="spellStart"/>
      <w:r>
        <w:t>ρὸς</w:t>
      </w:r>
      <w:proofErr w:type="spellEnd"/>
      <w:r>
        <w:t xml:space="preserve"> </w:t>
      </w:r>
      <w:proofErr w:type="spellStart"/>
      <w:r>
        <w:t>τὸ</w:t>
      </w:r>
      <w:proofErr w:type="spellEnd"/>
      <w:r>
        <w:t xml:space="preserve"> </w:t>
      </w:r>
      <w:proofErr w:type="spellStart"/>
      <w:r>
        <w:t>θυσι</w:t>
      </w:r>
      <w:proofErr w:type="spellEnd"/>
      <w:r>
        <w:t>αστήριον" und „das Fleisch magst du essen" mit „</w:t>
      </w:r>
      <w:proofErr w:type="spellStart"/>
      <w:r>
        <w:t>τὰ</w:t>
      </w:r>
      <w:proofErr w:type="spellEnd"/>
      <w:r>
        <w:t xml:space="preserve"> </w:t>
      </w:r>
      <w:proofErr w:type="spellStart"/>
      <w:r>
        <w:t>δὲ</w:t>
      </w:r>
      <w:proofErr w:type="spellEnd"/>
      <w:r>
        <w:t xml:space="preserve"> </w:t>
      </w:r>
      <w:proofErr w:type="spellStart"/>
      <w:r>
        <w:t>κρέ</w:t>
      </w:r>
      <w:proofErr w:type="spellEnd"/>
      <w:r>
        <w:t xml:space="preserve">α </w:t>
      </w:r>
      <w:proofErr w:type="spellStart"/>
      <w:r>
        <w:t>φάγεσθε</w:t>
      </w:r>
      <w:proofErr w:type="spellEnd"/>
      <w:r>
        <w:t>".</w:t>
      </w:r>
    </w:p>
    <w:p w14:paraId="20FDECB8" w14:textId="77777777" w:rsidR="00724090" w:rsidRDefault="00724090" w:rsidP="00724090">
      <w:pPr>
        <w:pStyle w:val="whitespace-normal"/>
      </w:pPr>
      <w:r>
        <w:rPr>
          <w:rStyle w:val="Fett"/>
          <w:rFonts w:eastAsiaTheme="majorEastAsia"/>
        </w:rPr>
        <w:t>Die Satzstruktur</w:t>
      </w:r>
      <w:r>
        <w:t xml:space="preserve"> besteht aus drei koordinierten Sätzen: Erster Imperativsatz mit Prädikat (sollst opfern), direktem Objekt (deine Aufsteigeopfer), appositionale Erläuterung (das Fleisch und das Blut), lokaler Bestimmung (auf dem Altar JHWHs, deines Gottes); zweiter Satz mit vorangestelltem Subjekt (das Blut deiner Schlachtopfer), passivem Prädikat (soll gegossen werden), lokaler Bestimmung (an den Altar JHWHs, deines Gottes); dritter Satz mit vorangestelltem direktem Objekt (das Fleisch) und Prädikat (magst du essen).</w:t>
      </w:r>
    </w:p>
    <w:p w14:paraId="486F1966" w14:textId="77712B2B" w:rsidR="00724090" w:rsidRDefault="00724090" w:rsidP="00724090">
      <w:pPr>
        <w:pStyle w:val="whitespace-normal"/>
      </w:pPr>
      <w:r>
        <w:lastRenderedPageBreak/>
        <w:t xml:space="preserve">Der Vers regelt die richtige Darbringung der Opfer am zentralen Heiligtum: </w:t>
      </w:r>
      <w:r w:rsidR="00A705B7">
        <w:t>Aufsteigeopfer</w:t>
      </w:r>
      <w:r>
        <w:t xml:space="preserve"> werden vollständig auf dem Altar verbrannt, bei Schlachtopfern wird das Blut an den Altar gegossen, während das Fleisch gegessen werden darf.</w:t>
      </w:r>
    </w:p>
    <w:p w14:paraId="692E2DA0"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12,28</w:t>
      </w:r>
    </w:p>
    <w:p w14:paraId="2B994F95" w14:textId="77777777" w:rsidR="00724090" w:rsidRDefault="00724090" w:rsidP="00724090">
      <w:pPr>
        <w:pStyle w:val="whitespace-normal"/>
      </w:pPr>
      <w:r>
        <w:rPr>
          <w:rStyle w:val="Fett"/>
          <w:rFonts w:eastAsiaTheme="majorEastAsia"/>
        </w:rPr>
        <w:t>Hebräisch:</w:t>
      </w:r>
      <w:r>
        <w:t xml:space="preserve"> </w:t>
      </w:r>
      <w:r>
        <w:rPr>
          <w:rtl/>
        </w:rPr>
        <w:t>שְׁמֹ֣ר וְשָׁמַעְתָּ֗ אֵ֚ת כָּל־הַדְּבָרִ֣ים הָאֵ֔לֶּה אֲשֶׁ֥ר אָנֹכִ֖י מְצַוֶּ֑ךָּ לְמַעַן֩ יִיטַ֨ב לְךָ֜ וּלְבָנֶ֤יךָ אַחֲרֶ֨יךָ֙ עַד־עוֹלָ֔ם כִּ֤י תַעֲשֶׂה֙ הַטּ֣וֹב וְהַיָּשָׁ֔ר בְּעֵינֵ֖י יְהוָ֥ה אֱלֹהֶֽיךָ׃</w:t>
      </w:r>
    </w:p>
    <w:p w14:paraId="338ED5A8" w14:textId="2253F08D" w:rsidR="00724090" w:rsidRDefault="00724090" w:rsidP="00724090">
      <w:pPr>
        <w:pStyle w:val="whitespace-normal"/>
      </w:pPr>
      <w:r>
        <w:rPr>
          <w:rStyle w:val="Fett"/>
          <w:rFonts w:eastAsiaTheme="majorEastAsia"/>
        </w:rPr>
        <w:t>Deutsch:</w:t>
      </w:r>
      <w:r>
        <w:t xml:space="preserve"> Habe acht und höre auf alle diese Worte, die ich dir gebiete, damit es dir und deinen Kindern nach dir wohl gehe ewiglich, weil du tust, was gut und recht ist in den Augen des Ewigen, deines Gottes.</w:t>
      </w:r>
    </w:p>
    <w:p w14:paraId="09402106" w14:textId="3115BF17" w:rsidR="009C316F" w:rsidRDefault="004F5CEB" w:rsidP="00724090">
      <w:pPr>
        <w:pStyle w:val="whitespace-normal"/>
      </w:pPr>
      <w:r>
        <w:rPr>
          <w:noProof/>
        </w:rPr>
        <w:pict w14:anchorId="7C3FA7D0">
          <v:rect id="_x0000_i1400" style="width:0;height:1.5pt" o:hralign="center" o:hrstd="t" o:hr="t" fillcolor="#a0a0a0" stroked="f"/>
        </w:pict>
      </w:r>
    </w:p>
    <w:p w14:paraId="09A74F4C"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שְׁמֹר וְשָׁמַעְתָּ אֵת כָּל־הַדְּבָרִים הָאֵלֶּה אֲשֶׁר אָנֹכִי מְצַוֶּךָ</w:t>
      </w:r>
      <w:r>
        <w:rPr>
          <w:rtl/>
        </w:rPr>
        <w:t xml:space="preserve"> </w:t>
      </w:r>
      <w:r>
        <w:t xml:space="preserve">ist ein doppelter Imperativsatz: </w:t>
      </w:r>
      <w:r>
        <w:rPr>
          <w:rStyle w:val="Fett"/>
          <w:rFonts w:eastAsiaTheme="majorEastAsia"/>
          <w:rtl/>
        </w:rPr>
        <w:t>שְׁמֹר</w:t>
      </w:r>
      <w:r>
        <w:rPr>
          <w:rtl/>
        </w:rPr>
        <w:t xml:space="preserve"> </w:t>
      </w:r>
      <w:r>
        <w:t xml:space="preserve">(Qal Imperativ, 2. Person Maskulinum Singular von </w:t>
      </w:r>
      <w:r>
        <w:rPr>
          <w:rStyle w:val="Fett"/>
          <w:rFonts w:eastAsiaTheme="majorEastAsia"/>
          <w:rtl/>
        </w:rPr>
        <w:t>שׁמר</w:t>
      </w:r>
      <w:r>
        <w:t xml:space="preserve">, „bewahren, achthaben, beobachten"), koordiniert durch </w:t>
      </w:r>
      <w:r>
        <w:rPr>
          <w:rStyle w:val="Fett"/>
          <w:rFonts w:eastAsiaTheme="majorEastAsia"/>
          <w:rtl/>
        </w:rPr>
        <w:t>וְ</w:t>
      </w:r>
      <w:r>
        <w:rPr>
          <w:rtl/>
        </w:rPr>
        <w:t xml:space="preserve"> </w:t>
      </w:r>
      <w:r>
        <w:t xml:space="preserve">mit </w:t>
      </w:r>
      <w:r>
        <w:rPr>
          <w:rStyle w:val="Fett"/>
          <w:rFonts w:eastAsiaTheme="majorEastAsia"/>
          <w:rtl/>
        </w:rPr>
        <w:t>שָׁמַעְתָּ</w:t>
      </w:r>
      <w:r>
        <w:rPr>
          <w:rtl/>
        </w:rPr>
        <w:t xml:space="preserve"> </w:t>
      </w:r>
      <w:r>
        <w:t xml:space="preserve">(Qal Perfekt, 2. Person Maskulinum Singular von </w:t>
      </w:r>
      <w:r>
        <w:rPr>
          <w:rStyle w:val="Fett"/>
          <w:rFonts w:eastAsiaTheme="majorEastAsia"/>
          <w:rtl/>
        </w:rPr>
        <w:t>שׁמע</w:t>
      </w:r>
      <w:r>
        <w:t xml:space="preserve">, „hören, gehorchen", mit </w:t>
      </w:r>
      <w:r>
        <w:rPr>
          <w:rStyle w:val="Fett"/>
          <w:rFonts w:eastAsiaTheme="majorEastAsia"/>
        </w:rPr>
        <w:t>Waw</w:t>
      </w:r>
      <w:r>
        <w:t xml:space="preserve">, imperativisch), </w:t>
      </w:r>
      <w:r>
        <w:rPr>
          <w:rStyle w:val="Fett"/>
          <w:rFonts w:eastAsiaTheme="majorEastAsia"/>
          <w:rtl/>
        </w:rPr>
        <w:t>אֵת כָּל־הַדְּבָרִים הָאֵלֶּה</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כֹּל</w:t>
      </w:r>
      <w:r>
        <w:t xml:space="preserve">, „all", im Construct mit </w:t>
      </w:r>
      <w:r>
        <w:rPr>
          <w:rStyle w:val="Fett"/>
          <w:rFonts w:eastAsiaTheme="majorEastAsia"/>
          <w:rtl/>
        </w:rPr>
        <w:t>דָּבָר</w:t>
      </w:r>
      <w:r>
        <w:t xml:space="preserve">, „Wort, Sache", Plural mit Artikel und Demonstrativpronomen </w:t>
      </w:r>
      <w:r>
        <w:rPr>
          <w:rStyle w:val="Fett"/>
          <w:rFonts w:eastAsiaTheme="majorEastAsia"/>
          <w:rtl/>
        </w:rPr>
        <w:t>אֵלֶּה</w:t>
      </w:r>
      <w:r>
        <w:t xml:space="preserve">, „diese") als direktes Objekt und </w:t>
      </w:r>
      <w:r>
        <w:rPr>
          <w:rStyle w:val="Fett"/>
          <w:rFonts w:eastAsiaTheme="majorEastAsia"/>
          <w:rtl/>
        </w:rPr>
        <w:t>אֲשֶׁר אָנֹכִי מְצַוֶּךָ</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אָנֹכִי</w:t>
      </w:r>
      <w:r>
        <w:t xml:space="preserve">, emphatisches Personalpronomen 1. Person Singular, </w:t>
      </w:r>
      <w:r>
        <w:rPr>
          <w:rStyle w:val="Fett"/>
          <w:rFonts w:eastAsiaTheme="majorEastAsia"/>
          <w:rtl/>
        </w:rPr>
        <w:t>מְצַוֶּךָ</w:t>
      </w:r>
      <w:r>
        <w:t xml:space="preserve">, Piel Partizip Maskulinum Singular von </w:t>
      </w:r>
      <w:r>
        <w:rPr>
          <w:rStyle w:val="Fett"/>
          <w:rFonts w:eastAsiaTheme="majorEastAsia"/>
          <w:rtl/>
        </w:rPr>
        <w:t>צוה</w:t>
      </w:r>
      <w:r>
        <w:t xml:space="preserve">, „befehlen, gebieten", mit Suffix 2. Person Maskulinum Singular als direktes Objekt). Die Kombination </w:t>
      </w:r>
      <w:r>
        <w:rPr>
          <w:rStyle w:val="Fett"/>
          <w:rFonts w:eastAsiaTheme="majorEastAsia"/>
          <w:rtl/>
        </w:rPr>
        <w:t>שׁמר ושׁמע</w:t>
      </w:r>
      <w:r>
        <w:rPr>
          <w:rtl/>
        </w:rPr>
        <w:t xml:space="preserve"> </w:t>
      </w:r>
      <w:r>
        <w:t>(„achthaben und hören/gehorchen") betont sowohl die sorgfältige Bewahrung als auch den praktischen Gehorsam.</w:t>
      </w:r>
    </w:p>
    <w:p w14:paraId="7299D21A" w14:textId="77777777" w:rsidR="00724090" w:rsidRDefault="00724090" w:rsidP="00724090">
      <w:pPr>
        <w:pStyle w:val="whitespace-normal"/>
      </w:pPr>
      <w:r>
        <w:rPr>
          <w:rStyle w:val="Fett"/>
          <w:rFonts w:eastAsiaTheme="majorEastAsia"/>
          <w:rtl/>
        </w:rPr>
        <w:t>לְמַעַן יִיטַב לְךָ וּלְבָנֶיךָ אַחֲרֶיךָ עַד־עוֹלָם</w:t>
      </w:r>
      <w:r>
        <w:rPr>
          <w:rtl/>
        </w:rPr>
        <w:t xml:space="preserve"> </w:t>
      </w:r>
      <w:r>
        <w:t xml:space="preserve">ist eine finale Bestimmung: </w:t>
      </w:r>
      <w:r>
        <w:rPr>
          <w:rStyle w:val="Fett"/>
          <w:rFonts w:eastAsiaTheme="majorEastAsia"/>
          <w:rtl/>
        </w:rPr>
        <w:t>לְמַעַן</w:t>
      </w:r>
      <w:r>
        <w:rPr>
          <w:rtl/>
        </w:rPr>
        <w:t xml:space="preserve"> </w:t>
      </w:r>
      <w:r>
        <w:t xml:space="preserve">(„damit, auf dass") als finale Konjunktion, </w:t>
      </w:r>
      <w:r>
        <w:rPr>
          <w:rStyle w:val="Fett"/>
          <w:rFonts w:eastAsiaTheme="majorEastAsia"/>
          <w:rtl/>
        </w:rPr>
        <w:t>יִיטַב</w:t>
      </w:r>
      <w:r>
        <w:rPr>
          <w:rtl/>
        </w:rPr>
        <w:t xml:space="preserve"> </w:t>
      </w:r>
      <w:r>
        <w:t xml:space="preserve">(Qal Imperfekt, 3. Person Maskulinum Singular von </w:t>
      </w:r>
      <w:r>
        <w:rPr>
          <w:rStyle w:val="Fett"/>
          <w:rFonts w:eastAsiaTheme="majorEastAsia"/>
          <w:rtl/>
        </w:rPr>
        <w:t>יטב</w:t>
      </w:r>
      <w:r>
        <w:t xml:space="preserve">, „gut sein, wohl ergehen"), </w:t>
      </w:r>
      <w:r>
        <w:rPr>
          <w:rStyle w:val="Fett"/>
          <w:rFonts w:eastAsiaTheme="majorEastAsia"/>
          <w:rtl/>
        </w:rPr>
        <w:t>לְךָ</w:t>
      </w:r>
      <w:r>
        <w:rPr>
          <w:rtl/>
        </w:rPr>
        <w:t xml:space="preserve"> </w:t>
      </w:r>
      <w:r>
        <w:t xml:space="preserve">(Präposition </w:t>
      </w:r>
      <w:r>
        <w:rPr>
          <w:rStyle w:val="Fett"/>
          <w:rFonts w:eastAsiaTheme="majorEastAsia"/>
          <w:rtl/>
        </w:rPr>
        <w:t>לְ</w:t>
      </w:r>
      <w:r>
        <w:rPr>
          <w:rtl/>
        </w:rPr>
        <w:t xml:space="preserve"> </w:t>
      </w:r>
      <w:r>
        <w:t xml:space="preserve">mit Suffix 2. Person Maskulinum Singular) als Dativ, koordiniert durch </w:t>
      </w:r>
      <w:r>
        <w:rPr>
          <w:rStyle w:val="Fett"/>
          <w:rFonts w:eastAsiaTheme="majorEastAsia"/>
          <w:rtl/>
        </w:rPr>
        <w:t>וּלְ</w:t>
      </w:r>
      <w:r>
        <w:rPr>
          <w:rtl/>
        </w:rPr>
        <w:t xml:space="preserve"> </w:t>
      </w:r>
      <w:r>
        <w:t xml:space="preserve">mit </w:t>
      </w:r>
      <w:r>
        <w:rPr>
          <w:rStyle w:val="Fett"/>
          <w:rFonts w:eastAsiaTheme="majorEastAsia"/>
          <w:rtl/>
        </w:rPr>
        <w:t>בָנֶיךָ</w:t>
      </w:r>
      <w:r>
        <w:rPr>
          <w:rtl/>
        </w:rPr>
        <w:t xml:space="preserve"> </w:t>
      </w:r>
      <w:r>
        <w:t>(</w:t>
      </w:r>
      <w:r>
        <w:rPr>
          <w:rStyle w:val="Fett"/>
          <w:rFonts w:eastAsiaTheme="majorEastAsia"/>
          <w:rtl/>
        </w:rPr>
        <w:t>בֵּן</w:t>
      </w:r>
      <w:r>
        <w:t xml:space="preserve">, „Sohn, Kind", Plural mit Suffix 2. Person Maskulinum Singular), </w:t>
      </w:r>
      <w:r>
        <w:rPr>
          <w:rStyle w:val="Fett"/>
          <w:rFonts w:eastAsiaTheme="majorEastAsia"/>
          <w:rtl/>
        </w:rPr>
        <w:t>אַחֲרֶיךָ</w:t>
      </w:r>
      <w:r>
        <w:rPr>
          <w:rtl/>
        </w:rPr>
        <w:t xml:space="preserve"> </w:t>
      </w:r>
      <w:r>
        <w:t xml:space="preserve">(Präposition </w:t>
      </w:r>
      <w:r>
        <w:rPr>
          <w:rStyle w:val="Fett"/>
          <w:rFonts w:eastAsiaTheme="majorEastAsia"/>
          <w:rtl/>
        </w:rPr>
        <w:t>אַחֲרֵי</w:t>
      </w:r>
      <w:r>
        <w:t xml:space="preserve">, „nach", mit Suffix 2. Person Maskulinum Singular) und </w:t>
      </w:r>
      <w:r>
        <w:rPr>
          <w:rStyle w:val="Fett"/>
          <w:rFonts w:eastAsiaTheme="majorEastAsia"/>
          <w:rtl/>
        </w:rPr>
        <w:t>עַד־עוֹלָם</w:t>
      </w:r>
      <w:r>
        <w:rPr>
          <w:rtl/>
        </w:rPr>
        <w:t xml:space="preserve"> </w:t>
      </w:r>
      <w:r>
        <w:t xml:space="preserve">(Präposition </w:t>
      </w:r>
      <w:r>
        <w:rPr>
          <w:rStyle w:val="Fett"/>
          <w:rFonts w:eastAsiaTheme="majorEastAsia"/>
          <w:rtl/>
        </w:rPr>
        <w:t>עַד</w:t>
      </w:r>
      <w:r>
        <w:t xml:space="preserve">, „bis", mit </w:t>
      </w:r>
      <w:r>
        <w:rPr>
          <w:rStyle w:val="Fett"/>
          <w:rFonts w:eastAsiaTheme="majorEastAsia"/>
          <w:rtl/>
        </w:rPr>
        <w:t>עוֹלָם</w:t>
      </w:r>
      <w:r>
        <w:t xml:space="preserve">, „Ewigkeit", „bis zur Ewigkeit, ewiglich"). Die Erweiterung </w:t>
      </w:r>
      <w:r>
        <w:rPr>
          <w:rStyle w:val="Fett"/>
          <w:rFonts w:eastAsiaTheme="majorEastAsia"/>
          <w:rtl/>
        </w:rPr>
        <w:t>עַד־עוֹלָם</w:t>
      </w:r>
      <w:r>
        <w:rPr>
          <w:rtl/>
        </w:rPr>
        <w:t xml:space="preserve"> </w:t>
      </w:r>
      <w:r>
        <w:t>verstärkt die Segensverheißung über V. 25 hinaus.</w:t>
      </w:r>
    </w:p>
    <w:p w14:paraId="121E11D4" w14:textId="77777777" w:rsidR="00724090" w:rsidRDefault="00724090" w:rsidP="00724090">
      <w:pPr>
        <w:pStyle w:val="whitespace-normal"/>
      </w:pPr>
      <w:r>
        <w:rPr>
          <w:rStyle w:val="Fett"/>
          <w:rFonts w:eastAsiaTheme="majorEastAsia"/>
          <w:rtl/>
        </w:rPr>
        <w:t>כִּי תַעֲשֶׂה הַטּוֹב וְהַיָּשָׁר בְּעֵינֵי יְהוָה אֱלֹהֶיךָ</w:t>
      </w:r>
      <w:r>
        <w:rPr>
          <w:rtl/>
        </w:rPr>
        <w:t xml:space="preserve"> </w:t>
      </w:r>
      <w:r>
        <w:t xml:space="preserve">ist ein kausaler Satz: </w:t>
      </w:r>
      <w:r>
        <w:rPr>
          <w:rStyle w:val="Fett"/>
          <w:rFonts w:eastAsiaTheme="majorEastAsia"/>
          <w:rtl/>
        </w:rPr>
        <w:t>כִּי</w:t>
      </w:r>
      <w:r>
        <w:rPr>
          <w:rtl/>
        </w:rPr>
        <w:t xml:space="preserve"> </w:t>
      </w:r>
      <w:r>
        <w:t xml:space="preserve">(„weil, denn") als kausale Konjunktion, </w:t>
      </w:r>
      <w:r>
        <w:rPr>
          <w:rStyle w:val="Fett"/>
          <w:rFonts w:eastAsiaTheme="majorEastAsia"/>
          <w:rtl/>
        </w:rPr>
        <w:t>תַעֲשֶׂה</w:t>
      </w:r>
      <w:r>
        <w:rPr>
          <w:rtl/>
        </w:rPr>
        <w:t xml:space="preserve"> </w:t>
      </w:r>
      <w:r>
        <w:t xml:space="preserve">(Qal Imperfekt, 2. Person Maskulinum Singular von </w:t>
      </w:r>
      <w:r>
        <w:rPr>
          <w:rStyle w:val="Fett"/>
          <w:rFonts w:eastAsiaTheme="majorEastAsia"/>
          <w:rtl/>
        </w:rPr>
        <w:t>עשׂה</w:t>
      </w:r>
      <w:r>
        <w:t xml:space="preserve">, „tun"), </w:t>
      </w:r>
      <w:r>
        <w:rPr>
          <w:rStyle w:val="Fett"/>
          <w:rFonts w:eastAsiaTheme="majorEastAsia"/>
          <w:rtl/>
        </w:rPr>
        <w:t>הַטּוֹב וְהַיָּשָׁר</w:t>
      </w:r>
      <w:r>
        <w:rPr>
          <w:rtl/>
        </w:rPr>
        <w:t xml:space="preserve"> </w:t>
      </w:r>
      <w:r>
        <w:t>(</w:t>
      </w:r>
      <w:r>
        <w:rPr>
          <w:rStyle w:val="Fett"/>
          <w:rFonts w:eastAsiaTheme="majorEastAsia"/>
          <w:rtl/>
        </w:rPr>
        <w:t>טוֹב</w:t>
      </w:r>
      <w:r>
        <w:t xml:space="preserve">, „gut", Adjektiv mit Artikel, substantivisch, koordiniert durch </w:t>
      </w:r>
      <w:r>
        <w:rPr>
          <w:rStyle w:val="Fett"/>
          <w:rFonts w:eastAsiaTheme="majorEastAsia"/>
          <w:rtl/>
        </w:rPr>
        <w:t>וְ</w:t>
      </w:r>
      <w:r>
        <w:rPr>
          <w:rtl/>
        </w:rPr>
        <w:t xml:space="preserve"> </w:t>
      </w:r>
      <w:r>
        <w:t xml:space="preserve">mit </w:t>
      </w:r>
      <w:r>
        <w:rPr>
          <w:rStyle w:val="Fett"/>
          <w:rFonts w:eastAsiaTheme="majorEastAsia"/>
          <w:rtl/>
        </w:rPr>
        <w:t>יָשָׁר</w:t>
      </w:r>
      <w:r>
        <w:t xml:space="preserve">, „recht", Adjektiv mit Artikel, substantivisch) als direktes Objekt und </w:t>
      </w:r>
      <w:r>
        <w:rPr>
          <w:rStyle w:val="Fett"/>
          <w:rFonts w:eastAsiaTheme="majorEastAsia"/>
          <w:rtl/>
        </w:rPr>
        <w:t>בְּעֵינֵי יְהוָה אֱלֹהֶיךָ</w:t>
      </w:r>
      <w:r>
        <w:rPr>
          <w:rtl/>
        </w:rPr>
        <w:t xml:space="preserve"> </w:t>
      </w:r>
      <w:r>
        <w:t xml:space="preserve">(Präposition </w:t>
      </w:r>
      <w:r>
        <w:rPr>
          <w:rStyle w:val="Fett"/>
          <w:rFonts w:eastAsiaTheme="majorEastAsia"/>
          <w:rtl/>
        </w:rPr>
        <w:t>בְּ</w:t>
      </w:r>
      <w:r>
        <w:t xml:space="preserve">, „in", mit </w:t>
      </w:r>
      <w:r>
        <w:rPr>
          <w:rStyle w:val="Fett"/>
          <w:rFonts w:eastAsiaTheme="majorEastAsia"/>
          <w:rtl/>
        </w:rPr>
        <w:t>עַיִן</w:t>
      </w:r>
      <w:r>
        <w:t xml:space="preserve">, „Auge", Dual Construct mit </w:t>
      </w:r>
      <w:r>
        <w:rPr>
          <w:rStyle w:val="Fett"/>
          <w:rFonts w:eastAsiaTheme="majorEastAsia"/>
          <w:rtl/>
        </w:rPr>
        <w:t>יְהוָה אֱלֹהֶיךָ</w:t>
      </w:r>
      <w:r>
        <w:t xml:space="preserve">) als modale Bestimmung. Die Doppelung </w:t>
      </w:r>
      <w:r>
        <w:rPr>
          <w:rStyle w:val="Fett"/>
          <w:rFonts w:eastAsiaTheme="majorEastAsia"/>
          <w:rtl/>
        </w:rPr>
        <w:t>הַטּוֹב וְהַיָּשָׁר</w:t>
      </w:r>
      <w:r>
        <w:rPr>
          <w:rtl/>
        </w:rPr>
        <w:t xml:space="preserve"> </w:t>
      </w:r>
      <w:r>
        <w:t xml:space="preserve">(„das Gute und das Rechte") ist umfassender als </w:t>
      </w:r>
      <w:r>
        <w:rPr>
          <w:rStyle w:val="Fett"/>
          <w:rFonts w:eastAsiaTheme="majorEastAsia"/>
          <w:rtl/>
        </w:rPr>
        <w:t>הַיָּשָׁר</w:t>
      </w:r>
      <w:r>
        <w:rPr>
          <w:rtl/>
        </w:rPr>
        <w:t xml:space="preserve"> </w:t>
      </w:r>
      <w:r>
        <w:t>allein in V. 25 und betont beide Dimensionen: moralisch gut und rechtlich richtig.</w:t>
      </w:r>
    </w:p>
    <w:p w14:paraId="269EB886" w14:textId="77777777" w:rsidR="00724090" w:rsidRDefault="00724090" w:rsidP="00724090">
      <w:pPr>
        <w:pStyle w:val="whitespace-normal"/>
      </w:pPr>
      <w:r>
        <w:t xml:space="preserve">Die Syntax bildet eine feierliche Abschlussermahnung für Kapitel 12. Die doppelte Aufforderung </w:t>
      </w:r>
      <w:r>
        <w:rPr>
          <w:rStyle w:val="Fett"/>
          <w:rFonts w:eastAsiaTheme="majorEastAsia"/>
          <w:rtl/>
        </w:rPr>
        <w:t>שְׁמֹר וְשָׁמַעְתָּ</w:t>
      </w:r>
      <w:r>
        <w:rPr>
          <w:rtl/>
        </w:rPr>
        <w:t xml:space="preserve"> </w:t>
      </w:r>
      <w:r>
        <w:t xml:space="preserve">unterstreicht die Wichtigkeit des Gehorsams. Das Demonstrativpronomen </w:t>
      </w:r>
      <w:r>
        <w:rPr>
          <w:rStyle w:val="Fett"/>
          <w:rFonts w:eastAsiaTheme="majorEastAsia"/>
          <w:rtl/>
        </w:rPr>
        <w:t>הָאֵלֶּה</w:t>
      </w:r>
      <w:r>
        <w:rPr>
          <w:rtl/>
        </w:rPr>
        <w:t xml:space="preserve"> </w:t>
      </w:r>
      <w:r>
        <w:t xml:space="preserve">(„diese") verweist auf alle Gebote in Kapitel 12. Die Segensverheißung ist hier maximal erweitert: nicht nur für diese Generation, sondern </w:t>
      </w:r>
      <w:r>
        <w:rPr>
          <w:rStyle w:val="Fett"/>
          <w:rFonts w:eastAsiaTheme="majorEastAsia"/>
          <w:rtl/>
        </w:rPr>
        <w:t>עַד־עוֹלָם</w:t>
      </w:r>
      <w:r>
        <w:rPr>
          <w:rtl/>
        </w:rPr>
        <w:t xml:space="preserve"> </w:t>
      </w:r>
      <w:r>
        <w:t xml:space="preserve">(„bis zur Ewigkeit"). Die kausale Begründung verbindet Gehorsam mit dem Tun des Guten </w:t>
      </w:r>
      <w:r>
        <w:lastRenderedPageBreak/>
        <w:t xml:space="preserve">und Rechten vor JHWH. Der Vers nimmt die Struktur von V. 25 auf, erweitert sie aber durch die doppelte Mahnung am Anfang und die doppelte Qualifikation </w:t>
      </w:r>
      <w:r>
        <w:rPr>
          <w:rStyle w:val="Fett"/>
          <w:rFonts w:eastAsiaTheme="majorEastAsia"/>
          <w:rtl/>
        </w:rPr>
        <w:t>הַטּוֹב וְהַיָּשָׁר</w:t>
      </w:r>
      <w:r>
        <w:rPr>
          <w:rtl/>
        </w:rPr>
        <w:t xml:space="preserve"> </w:t>
      </w:r>
      <w:r>
        <w:t>am Ende. Dies bildet einen würdigen Abschluss der Kultzentralisationsgesetze.</w:t>
      </w:r>
    </w:p>
    <w:p w14:paraId="3219C399" w14:textId="77777777" w:rsidR="00724090" w:rsidRDefault="00724090" w:rsidP="00724090">
      <w:pPr>
        <w:pStyle w:val="whitespace-normal"/>
      </w:pPr>
      <w:r>
        <w:rPr>
          <w:rStyle w:val="Fett"/>
          <w:rFonts w:eastAsiaTheme="majorEastAsia"/>
        </w:rPr>
        <w:t>Die LXX</w:t>
      </w:r>
      <w:r>
        <w:t xml:space="preserve"> übersetzt „habe acht und höre" mit „</w:t>
      </w:r>
      <w:proofErr w:type="spellStart"/>
      <w:r>
        <w:t>φύλ</w:t>
      </w:r>
      <w:proofErr w:type="spellEnd"/>
      <w:r>
        <w:t xml:space="preserve">αξαι καὶ </w:t>
      </w:r>
      <w:proofErr w:type="spellStart"/>
      <w:r>
        <w:t>ἄκουε</w:t>
      </w:r>
      <w:proofErr w:type="spellEnd"/>
      <w:r>
        <w:t>", „alle diese Worte" mit „π</w:t>
      </w:r>
      <w:proofErr w:type="spellStart"/>
      <w:r>
        <w:t>άντ</w:t>
      </w:r>
      <w:proofErr w:type="spellEnd"/>
      <w:r>
        <w:t xml:space="preserve">ας </w:t>
      </w:r>
      <w:proofErr w:type="spellStart"/>
      <w:r>
        <w:t>τοὺς</w:t>
      </w:r>
      <w:proofErr w:type="spellEnd"/>
      <w:r>
        <w:t xml:space="preserve"> </w:t>
      </w:r>
      <w:proofErr w:type="spellStart"/>
      <w:r>
        <w:t>λόγους</w:t>
      </w:r>
      <w:proofErr w:type="spellEnd"/>
      <w:r>
        <w:t xml:space="preserve"> </w:t>
      </w:r>
      <w:proofErr w:type="spellStart"/>
      <w:r>
        <w:t>τούτους</w:t>
      </w:r>
      <w:proofErr w:type="spellEnd"/>
      <w:r>
        <w:t>", „damit wohl gehe" mit „</w:t>
      </w:r>
      <w:proofErr w:type="spellStart"/>
      <w:r>
        <w:t>ἵν</w:t>
      </w:r>
      <w:proofErr w:type="spellEnd"/>
      <w:r>
        <w:t xml:space="preserve">α </w:t>
      </w:r>
      <w:proofErr w:type="spellStart"/>
      <w:r>
        <w:t>εὖ</w:t>
      </w:r>
      <w:proofErr w:type="spellEnd"/>
      <w:r>
        <w:t xml:space="preserve"> </w:t>
      </w:r>
      <w:proofErr w:type="spellStart"/>
      <w:r>
        <w:t>σοι</w:t>
      </w:r>
      <w:proofErr w:type="spellEnd"/>
      <w:r>
        <w:t xml:space="preserve"> </w:t>
      </w:r>
      <w:proofErr w:type="spellStart"/>
      <w:r>
        <w:t>γένητ</w:t>
      </w:r>
      <w:proofErr w:type="spellEnd"/>
      <w:r>
        <w:t>αι", „bis zur Ewigkeit" mit „</w:t>
      </w:r>
      <w:proofErr w:type="spellStart"/>
      <w:r>
        <w:t>ἕως</w:t>
      </w:r>
      <w:proofErr w:type="spellEnd"/>
      <w:r>
        <w:t xml:space="preserve"> α</w:t>
      </w:r>
      <w:proofErr w:type="spellStart"/>
      <w:r>
        <w:t>ἰῶνος</w:t>
      </w:r>
      <w:proofErr w:type="spellEnd"/>
      <w:r>
        <w:t>" und „was gut und recht ist" mit „</w:t>
      </w:r>
      <w:proofErr w:type="spellStart"/>
      <w:r>
        <w:t>τὸ</w:t>
      </w:r>
      <w:proofErr w:type="spellEnd"/>
      <w:r>
        <w:t xml:space="preserve"> κα</w:t>
      </w:r>
      <w:proofErr w:type="spellStart"/>
      <w:r>
        <w:t>λὸν</w:t>
      </w:r>
      <w:proofErr w:type="spellEnd"/>
      <w:r>
        <w:t xml:space="preserve"> καὶ </w:t>
      </w:r>
      <w:proofErr w:type="spellStart"/>
      <w:r>
        <w:t>τὸ</w:t>
      </w:r>
      <w:proofErr w:type="spellEnd"/>
      <w:r>
        <w:t xml:space="preserve"> </w:t>
      </w:r>
      <w:proofErr w:type="spellStart"/>
      <w:r>
        <w:t>ἀρεστὸν</w:t>
      </w:r>
      <w:proofErr w:type="spellEnd"/>
      <w:r>
        <w:t>".</w:t>
      </w:r>
    </w:p>
    <w:p w14:paraId="21719309" w14:textId="77777777" w:rsidR="00724090" w:rsidRDefault="00724090" w:rsidP="00724090">
      <w:pPr>
        <w:pStyle w:val="whitespace-normal"/>
      </w:pPr>
      <w:r>
        <w:rPr>
          <w:rStyle w:val="Fett"/>
          <w:rFonts w:eastAsiaTheme="majorEastAsia"/>
        </w:rPr>
        <w:t>Die Satzstruktur</w:t>
      </w:r>
      <w:r>
        <w:t xml:space="preserve"> besteht aus einem doppelten Imperativ mit Relativsatz, finaler Bestimmung und kausalem Begründungssatz: Doppelter Imperativ (habe acht und höre), direktes Objekt (alle diese Worte), Relativsatz (die ich dir gebiete); finale Bestimmung mit Prädikat (damit wohl gehe), doppeltem Dativ (dir und deinen Kindern nach dir), temporaler Bestimmung (bis zur Ewigkeit); kausaler Begründungssatz mit Prädikat (tust), doppeltem direktem Objekt (das Gute und das Rechte) und modaler Bestimmung (in den Augen JHWHs, deines Gottes).</w:t>
      </w:r>
    </w:p>
    <w:p w14:paraId="1D227A91" w14:textId="77777777" w:rsidR="00724090" w:rsidRDefault="00724090" w:rsidP="00724090">
      <w:pPr>
        <w:pStyle w:val="whitespace-normal"/>
      </w:pPr>
      <w:r>
        <w:t>Der Vers bildet eine feierliche Abschlussermahnung: Israel soll auf alle Gebote achten und ihnen gehorchen, damit es ihnen und ihren Nachkommen ewiglich wohl ergehe, weil sie das Gute und Rechte vor JHWH tun.</w:t>
      </w:r>
    </w:p>
    <w:p w14:paraId="4EC4CC4A"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12,29</w:t>
      </w:r>
    </w:p>
    <w:p w14:paraId="6EDE14E3" w14:textId="77777777" w:rsidR="00724090" w:rsidRDefault="00724090" w:rsidP="00724090">
      <w:pPr>
        <w:pStyle w:val="whitespace-normal"/>
      </w:pPr>
      <w:r>
        <w:rPr>
          <w:rStyle w:val="Fett"/>
          <w:rFonts w:eastAsiaTheme="majorEastAsia"/>
        </w:rPr>
        <w:t>Hebräisch:</w:t>
      </w:r>
      <w:r>
        <w:t xml:space="preserve"> </w:t>
      </w:r>
      <w:r>
        <w:rPr>
          <w:rtl/>
        </w:rPr>
        <w:t>כִּֽי־יַכְרִית֩ יְהוָ֨ה אֱלֹהֶ֜יךָ אֶת־הַגּוֹיִ֗ם אֲשֶׁ֨ר אַתָּ֥ה בָא־שָׁ֛מָּה לָרֶ֥שֶׁת אוֹתָ֖ם מִפָּנֶ֑יךָ וְיָרַשְׁתָּ֣ אֹתָ֔ם וְיָשַׁבְתָּ֖ בְּאַרְצָֽם׃</w:t>
      </w:r>
    </w:p>
    <w:p w14:paraId="58D438C8" w14:textId="2A5097D2" w:rsidR="00724090" w:rsidRDefault="00724090" w:rsidP="00724090">
      <w:pPr>
        <w:pStyle w:val="whitespace-normal"/>
      </w:pPr>
      <w:r>
        <w:rPr>
          <w:rStyle w:val="Fett"/>
          <w:rFonts w:eastAsiaTheme="majorEastAsia"/>
        </w:rPr>
        <w:t>Deutsch:</w:t>
      </w:r>
      <w:r>
        <w:t xml:space="preserve"> Wenn der Ewige, dein Gott, die Nationen vor dir ausrotten wird, zu denen du kommst, um sie zu vertreiben, und du sie vertreibst und in ihrem Land wohnst.</w:t>
      </w:r>
    </w:p>
    <w:p w14:paraId="70DD0B2F" w14:textId="6BD3F863" w:rsidR="009C316F" w:rsidRDefault="004F5CEB" w:rsidP="00724090">
      <w:pPr>
        <w:pStyle w:val="whitespace-normal"/>
      </w:pPr>
      <w:r>
        <w:rPr>
          <w:noProof/>
        </w:rPr>
        <w:pict w14:anchorId="6B02F73E">
          <v:rect id="_x0000_i1401" style="width:0;height:1.5pt" o:hralign="center" o:hrstd="t" o:hr="t" fillcolor="#a0a0a0" stroked="f"/>
        </w:pict>
      </w:r>
    </w:p>
    <w:p w14:paraId="60933549"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כִּי־יַכְרִית יְהוָה אֱלֹהֶיךָ אֶת־הַגּוֹיִם אֲשֶׁר אַתָּה בָא־שָׁמָּה לָרֶשֶׁת אוֹתָם מִפָּנֶיךָ</w:t>
      </w:r>
      <w:r>
        <w:rPr>
          <w:rtl/>
        </w:rPr>
        <w:t xml:space="preserve"> </w:t>
      </w:r>
      <w:r>
        <w:t xml:space="preserve">ist ein konditionaler Temporalsatz mit Relativsatz: </w:t>
      </w:r>
      <w:r>
        <w:rPr>
          <w:rStyle w:val="Fett"/>
          <w:rFonts w:eastAsiaTheme="majorEastAsia"/>
          <w:rtl/>
        </w:rPr>
        <w:t>כִּי</w:t>
      </w:r>
      <w:r>
        <w:rPr>
          <w:rtl/>
        </w:rPr>
        <w:t xml:space="preserve"> </w:t>
      </w:r>
      <w:r>
        <w:t xml:space="preserve">(„wenn, wann") als temporale oder konditionale Konjunktion, </w:t>
      </w:r>
      <w:r>
        <w:rPr>
          <w:rStyle w:val="Fett"/>
          <w:rFonts w:eastAsiaTheme="majorEastAsia"/>
          <w:rtl/>
        </w:rPr>
        <w:t>יַכְרִית</w:t>
      </w:r>
      <w:r>
        <w:rPr>
          <w:rtl/>
        </w:rPr>
        <w:t xml:space="preserve"> </w:t>
      </w:r>
      <w:r>
        <w:t xml:space="preserve">(Hiphil Imperfekt, 3. Person Maskulinum Singular von </w:t>
      </w:r>
      <w:r>
        <w:rPr>
          <w:rStyle w:val="Fett"/>
          <w:rFonts w:eastAsiaTheme="majorEastAsia"/>
          <w:rtl/>
        </w:rPr>
        <w:t>כרת</w:t>
      </w:r>
      <w:r>
        <w:t xml:space="preserve">, „abschneiden", in der Hiphil-Form „ausrotten, vernichten"), </w:t>
      </w:r>
      <w:r>
        <w:rPr>
          <w:rStyle w:val="Fett"/>
          <w:rFonts w:eastAsiaTheme="majorEastAsia"/>
          <w:rtl/>
        </w:rPr>
        <w:t>יְהוָה אֱלֹהֶיךָ</w:t>
      </w:r>
      <w:r>
        <w:rPr>
          <w:rtl/>
        </w:rPr>
        <w:t xml:space="preserve"> </w:t>
      </w:r>
      <w:r>
        <w:t xml:space="preserve">(Tetragramm mit Apposition </w:t>
      </w:r>
      <w:r>
        <w:rPr>
          <w:rStyle w:val="Fett"/>
          <w:rFonts w:eastAsiaTheme="majorEastAsia"/>
          <w:rtl/>
        </w:rPr>
        <w:t>אֱלֹהֶיךָ</w:t>
      </w:r>
      <w:r>
        <w:t xml:space="preserve">) als Subjekt, </w:t>
      </w:r>
      <w:r>
        <w:rPr>
          <w:rStyle w:val="Fett"/>
          <w:rFonts w:eastAsiaTheme="majorEastAsia"/>
          <w:rtl/>
        </w:rPr>
        <w:t>אֶת־הַגּוֹיִם</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גּוֹי</w:t>
      </w:r>
      <w:r>
        <w:t xml:space="preserve">, „Nation, Volk", Plural mit Artikel) als direktes Objekt, </w:t>
      </w:r>
      <w:r>
        <w:rPr>
          <w:rStyle w:val="Fett"/>
          <w:rFonts w:eastAsiaTheme="majorEastAsia"/>
          <w:rtl/>
        </w:rPr>
        <w:t>אֲשֶׁר אַתָּה בָא־שָׁמָּה לָרֶשֶׁת אוֹתָם</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אַתָּה</w:t>
      </w:r>
      <w:r>
        <w:t xml:space="preserve">, Personalpronomen 2. Person Maskulinum Singular, als Subjekt, </w:t>
      </w:r>
      <w:r>
        <w:rPr>
          <w:rStyle w:val="Fett"/>
          <w:rFonts w:eastAsiaTheme="majorEastAsia"/>
          <w:rtl/>
        </w:rPr>
        <w:t>בָא</w:t>
      </w:r>
      <w:r>
        <w:t xml:space="preserve">, Qal Partizip Maskulinum Singular von </w:t>
      </w:r>
      <w:r>
        <w:rPr>
          <w:rStyle w:val="Fett"/>
          <w:rFonts w:eastAsiaTheme="majorEastAsia"/>
          <w:rtl/>
        </w:rPr>
        <w:t>בוא</w:t>
      </w:r>
      <w:r>
        <w:t xml:space="preserve">, „kommen", </w:t>
      </w:r>
      <w:r>
        <w:rPr>
          <w:rStyle w:val="Fett"/>
          <w:rFonts w:eastAsiaTheme="majorEastAsia"/>
          <w:rtl/>
        </w:rPr>
        <w:t>שָׁמָּה</w:t>
      </w:r>
      <w:r>
        <w:t xml:space="preserve">, „dorthin", </w:t>
      </w:r>
      <w:r>
        <w:rPr>
          <w:rStyle w:val="Fett"/>
          <w:rFonts w:eastAsiaTheme="majorEastAsia"/>
          <w:rtl/>
        </w:rPr>
        <w:t>לָרֶשֶׁת</w:t>
      </w:r>
      <w:r>
        <w:t xml:space="preserve">, Präposition </w:t>
      </w:r>
      <w:r>
        <w:rPr>
          <w:rStyle w:val="Fett"/>
          <w:rFonts w:eastAsiaTheme="majorEastAsia"/>
          <w:rtl/>
        </w:rPr>
        <w:t>לְ</w:t>
      </w:r>
      <w:r>
        <w:rPr>
          <w:rtl/>
        </w:rPr>
        <w:t xml:space="preserve"> </w:t>
      </w:r>
      <w:r>
        <w:t xml:space="preserve">mit Qal Infinitiv Construct von </w:t>
      </w:r>
      <w:r>
        <w:rPr>
          <w:rStyle w:val="Fett"/>
          <w:rFonts w:eastAsiaTheme="majorEastAsia"/>
          <w:rtl/>
        </w:rPr>
        <w:t>ירשׁ</w:t>
      </w:r>
      <w:r>
        <w:t xml:space="preserve">, „vertreiben, in Besitz nehmen", und </w:t>
      </w:r>
      <w:r>
        <w:rPr>
          <w:rStyle w:val="Fett"/>
          <w:rFonts w:eastAsiaTheme="majorEastAsia"/>
          <w:rtl/>
        </w:rPr>
        <w:t>אוֹתָם</w:t>
      </w:r>
      <w:r>
        <w:t xml:space="preserve">, Objektpartikel </w:t>
      </w:r>
      <w:r>
        <w:rPr>
          <w:rStyle w:val="Fett"/>
          <w:rFonts w:eastAsiaTheme="majorEastAsia"/>
          <w:rtl/>
        </w:rPr>
        <w:t>אֵת</w:t>
      </w:r>
      <w:r>
        <w:rPr>
          <w:rtl/>
        </w:rPr>
        <w:t xml:space="preserve"> </w:t>
      </w:r>
      <w:r>
        <w:t xml:space="preserve">mit Suffix 3. Person Maskulinum Plural) und </w:t>
      </w:r>
      <w:r>
        <w:rPr>
          <w:rStyle w:val="Fett"/>
          <w:rFonts w:eastAsiaTheme="majorEastAsia"/>
          <w:rtl/>
        </w:rPr>
        <w:t>מִפָּנֶיךָ</w:t>
      </w:r>
      <w:r>
        <w:rPr>
          <w:rtl/>
        </w:rPr>
        <w:t xml:space="preserve"> </w:t>
      </w:r>
      <w:r>
        <w:t xml:space="preserve">(Präposition </w:t>
      </w:r>
      <w:r>
        <w:rPr>
          <w:rStyle w:val="Fett"/>
          <w:rFonts w:eastAsiaTheme="majorEastAsia"/>
          <w:rtl/>
        </w:rPr>
        <w:t>מִן</w:t>
      </w:r>
      <w:r>
        <w:t xml:space="preserve">, „von", mit </w:t>
      </w:r>
      <w:r>
        <w:rPr>
          <w:rStyle w:val="Fett"/>
          <w:rFonts w:eastAsiaTheme="majorEastAsia"/>
          <w:rtl/>
        </w:rPr>
        <w:t>פָּנֶה</w:t>
      </w:r>
      <w:r>
        <w:t xml:space="preserve">, „Angesicht", Plural mit Suffix 2. Person Maskulinum Singular, „vor dir") als Herkunftsangabe. Das Verb </w:t>
      </w:r>
      <w:r>
        <w:rPr>
          <w:rStyle w:val="Fett"/>
          <w:rFonts w:eastAsiaTheme="majorEastAsia"/>
          <w:rtl/>
        </w:rPr>
        <w:t>כרת</w:t>
      </w:r>
      <w:r>
        <w:rPr>
          <w:rtl/>
        </w:rPr>
        <w:t xml:space="preserve"> </w:t>
      </w:r>
      <w:r>
        <w:t>in der Hiphil-Form bezeichnet vollständige Vernichtung.</w:t>
      </w:r>
    </w:p>
    <w:p w14:paraId="0A700930" w14:textId="2DA93CE4" w:rsidR="00724090" w:rsidRDefault="00724090" w:rsidP="00724090">
      <w:pPr>
        <w:pStyle w:val="whitespace-normal"/>
      </w:pPr>
      <w:r>
        <w:rPr>
          <w:rStyle w:val="Fett"/>
          <w:rFonts w:eastAsiaTheme="majorEastAsia"/>
          <w:rtl/>
        </w:rPr>
        <w:t>וְיָרַשְׁתָּ אֹתָם וְיָשַׁבְתָּ בְּאַרְצָם</w:t>
      </w:r>
      <w:r>
        <w:rPr>
          <w:rtl/>
        </w:rPr>
        <w:t xml:space="preserve"> </w:t>
      </w:r>
      <w:r>
        <w:t xml:space="preserve">sind zwei koordinierte consecutive Perfekte: </w:t>
      </w:r>
      <w:r>
        <w:rPr>
          <w:rStyle w:val="Fett"/>
          <w:rFonts w:eastAsiaTheme="majorEastAsia"/>
          <w:rtl/>
        </w:rPr>
        <w:t>וְיָרַשְׁתָּ</w:t>
      </w:r>
      <w:r>
        <w:rPr>
          <w:rtl/>
        </w:rPr>
        <w:t xml:space="preserve"> </w:t>
      </w:r>
      <w:r>
        <w:t xml:space="preserve">(Qal Perfekt, 2. Person Maskulinum Singular von </w:t>
      </w:r>
      <w:r>
        <w:rPr>
          <w:rStyle w:val="Fett"/>
          <w:rFonts w:eastAsiaTheme="majorEastAsia"/>
          <w:rtl/>
        </w:rPr>
        <w:t>ירשׁ</w:t>
      </w:r>
      <w:r>
        <w:t xml:space="preserve">, „vertreiben, in Besitz nehmen", mit </w:t>
      </w:r>
      <w:r>
        <w:rPr>
          <w:rStyle w:val="Fett"/>
          <w:rFonts w:eastAsiaTheme="majorEastAsia"/>
        </w:rPr>
        <w:t>Waw</w:t>
      </w:r>
      <w:r>
        <w:t xml:space="preserve">), </w:t>
      </w:r>
      <w:r>
        <w:rPr>
          <w:rStyle w:val="Fett"/>
          <w:rFonts w:eastAsiaTheme="majorEastAsia"/>
          <w:rtl/>
        </w:rPr>
        <w:t>אֹתָם</w:t>
      </w:r>
      <w:r>
        <w:rPr>
          <w:rtl/>
        </w:rPr>
        <w:t xml:space="preserve"> </w:t>
      </w:r>
      <w:r>
        <w:t xml:space="preserve">(Objektpartikel </w:t>
      </w:r>
      <w:r>
        <w:rPr>
          <w:rStyle w:val="Fett"/>
          <w:rFonts w:eastAsiaTheme="majorEastAsia"/>
          <w:rtl/>
        </w:rPr>
        <w:t>אֵת</w:t>
      </w:r>
      <w:r>
        <w:rPr>
          <w:rtl/>
        </w:rPr>
        <w:t xml:space="preserve"> </w:t>
      </w:r>
      <w:r>
        <w:t xml:space="preserve">mit Suffix 3. Person Maskulinum Plural) als direktes Objekt, koordiniert durch </w:t>
      </w:r>
      <w:r>
        <w:rPr>
          <w:rStyle w:val="Fett"/>
          <w:rFonts w:eastAsiaTheme="majorEastAsia"/>
          <w:rtl/>
        </w:rPr>
        <w:t>וְ</w:t>
      </w:r>
      <w:r>
        <w:rPr>
          <w:rtl/>
        </w:rPr>
        <w:t xml:space="preserve"> </w:t>
      </w:r>
      <w:r>
        <w:t xml:space="preserve">mit </w:t>
      </w:r>
      <w:r>
        <w:rPr>
          <w:rStyle w:val="Fett"/>
          <w:rFonts w:eastAsiaTheme="majorEastAsia"/>
          <w:rtl/>
        </w:rPr>
        <w:t>יָשַׁבְתָּ</w:t>
      </w:r>
      <w:r>
        <w:rPr>
          <w:rtl/>
        </w:rPr>
        <w:t xml:space="preserve"> </w:t>
      </w:r>
      <w:r>
        <w:t xml:space="preserve">(Qal Perfekt, 2. Person Maskulinum Singular von </w:t>
      </w:r>
      <w:r>
        <w:rPr>
          <w:rStyle w:val="Fett"/>
          <w:rFonts w:eastAsiaTheme="majorEastAsia"/>
          <w:rtl/>
        </w:rPr>
        <w:t>ישׁב</w:t>
      </w:r>
      <w:r>
        <w:t xml:space="preserve">, „wohnen, sitzen", mit </w:t>
      </w:r>
      <w:r>
        <w:rPr>
          <w:rStyle w:val="Fett"/>
          <w:rFonts w:eastAsiaTheme="majorEastAsia"/>
        </w:rPr>
        <w:lastRenderedPageBreak/>
        <w:t>Waw</w:t>
      </w:r>
      <w:r>
        <w:t xml:space="preserve">) und </w:t>
      </w:r>
      <w:r>
        <w:rPr>
          <w:rStyle w:val="Fett"/>
          <w:rFonts w:eastAsiaTheme="majorEastAsia"/>
          <w:rtl/>
        </w:rPr>
        <w:t>בְּאַרְצָם</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אֶרֶץ</w:t>
      </w:r>
      <w:r>
        <w:t>, „Land", mit Suffix 3. Person Maskulinum Plural) als lokale Bestimmung.</w:t>
      </w:r>
    </w:p>
    <w:p w14:paraId="071D3DD9" w14:textId="32B5AB24" w:rsidR="00724090" w:rsidRDefault="00724090" w:rsidP="00724090">
      <w:pPr>
        <w:pStyle w:val="whitespace-normal"/>
      </w:pPr>
      <w:r>
        <w:t xml:space="preserve">Die Syntax leitet einen neuen Abschnitt ein (12,29-31), der vor der Übernahme kanaanäischer Kulte warnt. Der konditionale Satz beschreibt die Situation nach der erfolgreichen Landnahme: JHWH rottet die Nationen aus → Israel vertreibt sie → Israel wohnt in ihrem Land. Diese dreistufige Abfolge zeigt, dass JHWHs Handeln (Ausrottung) der menschlichen Aktion (Vertreibung und Besiedlung) vorangeht. Die Formulierung </w:t>
      </w:r>
      <w:r>
        <w:rPr>
          <w:rStyle w:val="Fett"/>
          <w:rFonts w:eastAsiaTheme="majorEastAsia"/>
          <w:rtl/>
        </w:rPr>
        <w:t>מִפָּנֶיךָ</w:t>
      </w:r>
      <w:r>
        <w:rPr>
          <w:rtl/>
        </w:rPr>
        <w:t xml:space="preserve"> </w:t>
      </w:r>
      <w:r>
        <w:t xml:space="preserve">(„vor dir") betont, dass JHWH die Völker vor Israel her vertreibt. Der Vers bereitet die Warnung in V. 30-31 vor: Gerade in der Situation des Wohnens im Land der vertriebenen Völker besteht die </w:t>
      </w:r>
      <w:r w:rsidR="00D84597">
        <w:t>Gefahr</w:t>
      </w:r>
      <w:r>
        <w:t xml:space="preserve"> der kultischen Assimilation.</w:t>
      </w:r>
    </w:p>
    <w:p w14:paraId="07DA6548" w14:textId="77777777" w:rsidR="00724090" w:rsidRDefault="00724090" w:rsidP="00724090">
      <w:pPr>
        <w:pStyle w:val="whitespace-normal"/>
      </w:pPr>
      <w:r>
        <w:rPr>
          <w:rStyle w:val="Fett"/>
          <w:rFonts w:eastAsiaTheme="majorEastAsia"/>
        </w:rPr>
        <w:t>Die LXX</w:t>
      </w:r>
      <w:r>
        <w:t xml:space="preserve"> übersetzt „ausrotten wird" mit „</w:t>
      </w:r>
      <w:proofErr w:type="spellStart"/>
      <w:r>
        <w:t>ἐξολεθρεύσῃ</w:t>
      </w:r>
      <w:proofErr w:type="spellEnd"/>
      <w:r>
        <w:t>", „die Nationen" mit „</w:t>
      </w:r>
      <w:proofErr w:type="spellStart"/>
      <w:r>
        <w:t>τὰ</w:t>
      </w:r>
      <w:proofErr w:type="spellEnd"/>
      <w:r>
        <w:t xml:space="preserve"> </w:t>
      </w:r>
      <w:proofErr w:type="spellStart"/>
      <w:r>
        <w:t>ἔθνη</w:t>
      </w:r>
      <w:proofErr w:type="spellEnd"/>
      <w:r>
        <w:t>", „zu denen du kommst" mit „</w:t>
      </w:r>
      <w:proofErr w:type="spellStart"/>
      <w:r>
        <w:t>οὗ</w:t>
      </w:r>
      <w:proofErr w:type="spellEnd"/>
      <w:r>
        <w:t xml:space="preserve"> </w:t>
      </w:r>
      <w:proofErr w:type="spellStart"/>
      <w:r>
        <w:t>σὺ</w:t>
      </w:r>
      <w:proofErr w:type="spellEnd"/>
      <w:r>
        <w:t xml:space="preserve"> </w:t>
      </w:r>
      <w:proofErr w:type="spellStart"/>
      <w:r>
        <w:t>εἰσ</w:t>
      </w:r>
      <w:proofErr w:type="spellEnd"/>
      <w:r>
        <w:t xml:space="preserve">πορεύῃ </w:t>
      </w:r>
      <w:proofErr w:type="spellStart"/>
      <w:r>
        <w:t>ἐκεῖ</w:t>
      </w:r>
      <w:proofErr w:type="spellEnd"/>
      <w:r>
        <w:t>", „um sie zu vertreiben" mit „</w:t>
      </w:r>
      <w:proofErr w:type="spellStart"/>
      <w:r>
        <w:t>κληρονομῆσ</w:t>
      </w:r>
      <w:proofErr w:type="spellEnd"/>
      <w:r>
        <w:t>αι α</w:t>
      </w:r>
      <w:proofErr w:type="spellStart"/>
      <w:r>
        <w:t>ὐτούς</w:t>
      </w:r>
      <w:proofErr w:type="spellEnd"/>
      <w:r>
        <w:t>", „vor dir" mit „ἀπὸ π</w:t>
      </w:r>
      <w:proofErr w:type="spellStart"/>
      <w:r>
        <w:t>ροσώ</w:t>
      </w:r>
      <w:proofErr w:type="spellEnd"/>
      <w:r>
        <w:t xml:space="preserve">που </w:t>
      </w:r>
      <w:proofErr w:type="spellStart"/>
      <w:r>
        <w:t>σου</w:t>
      </w:r>
      <w:proofErr w:type="spellEnd"/>
      <w:r>
        <w:t>", „und du sie vertreibst" mit „καὶ κατα</w:t>
      </w:r>
      <w:proofErr w:type="spellStart"/>
      <w:r>
        <w:t>κληρονομήσῃς</w:t>
      </w:r>
      <w:proofErr w:type="spellEnd"/>
      <w:r>
        <w:t xml:space="preserve"> α</w:t>
      </w:r>
      <w:proofErr w:type="spellStart"/>
      <w:r>
        <w:t>ὐτοὺς</w:t>
      </w:r>
      <w:proofErr w:type="spellEnd"/>
      <w:r>
        <w:t>" und „in ihrem Land wohnst" mit „κα</w:t>
      </w:r>
      <w:proofErr w:type="spellStart"/>
      <w:r>
        <w:t>τοικήσῃς</w:t>
      </w:r>
      <w:proofErr w:type="spellEnd"/>
      <w:r>
        <w:t xml:space="preserve"> </w:t>
      </w:r>
      <w:proofErr w:type="spellStart"/>
      <w:r>
        <w:t>ἐν</w:t>
      </w:r>
      <w:proofErr w:type="spellEnd"/>
      <w:r>
        <w:t xml:space="preserve"> </w:t>
      </w:r>
      <w:proofErr w:type="spellStart"/>
      <w:r>
        <w:t>τῇ</w:t>
      </w:r>
      <w:proofErr w:type="spellEnd"/>
      <w:r>
        <w:t xml:space="preserve"> </w:t>
      </w:r>
      <w:proofErr w:type="spellStart"/>
      <w:r>
        <w:t>γῇ</w:t>
      </w:r>
      <w:proofErr w:type="spellEnd"/>
      <w:r>
        <w:t xml:space="preserve"> α</w:t>
      </w:r>
      <w:proofErr w:type="spellStart"/>
      <w:r>
        <w:t>ὐτῶν</w:t>
      </w:r>
      <w:proofErr w:type="spellEnd"/>
      <w:r>
        <w:t>".</w:t>
      </w:r>
    </w:p>
    <w:p w14:paraId="606C3E84" w14:textId="77777777" w:rsidR="00724090" w:rsidRDefault="00724090" w:rsidP="00724090">
      <w:pPr>
        <w:pStyle w:val="whitespace-normal"/>
      </w:pPr>
      <w:r>
        <w:rPr>
          <w:rStyle w:val="Fett"/>
          <w:rFonts w:eastAsiaTheme="majorEastAsia"/>
        </w:rPr>
        <w:t>Die Satzstruktur</w:t>
      </w:r>
      <w:r>
        <w:t xml:space="preserve"> besteht aus einem konditionalen Satz mit Relativsatz und zwei koordinierten Folgesätzen: Konditionale Konjunktion (wenn), Prädikat (ausrotten wird), Subjekt (JHWH, dein Gott), direktes Objekt (die Nationen), Relativsatz mit Subjekt (du), partizipialem Prädikat (kommst), Richtungsangabe (dorthin), finalem Infinitiv (um zu vertreiben), direktem Objekt (sie), Herkunftsangabe (vor dir); erster Folgesatz mit Prädikat (vertreibst) und direktem Objekt (sie); zweiter Folgesatz mit Prädikat (wohnst) und lokaler Bestimmung (in ihrem Land).</w:t>
      </w:r>
    </w:p>
    <w:p w14:paraId="33A7331B" w14:textId="77777777" w:rsidR="00724090" w:rsidRDefault="00724090" w:rsidP="00724090">
      <w:pPr>
        <w:pStyle w:val="whitespace-normal"/>
      </w:pPr>
      <w:r>
        <w:t>Der Vers leitet die Warnung vor kanaanäischer Kultübernahme ein: Wenn JHWH die Völker ausrottet, Israel sie vertreibt und in ihrem Land wohnt, entsteht eine gefährliche Situation.</w:t>
      </w:r>
    </w:p>
    <w:p w14:paraId="306074E4"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12,30</w:t>
      </w:r>
    </w:p>
    <w:p w14:paraId="7F711FBF" w14:textId="77777777" w:rsidR="00724090" w:rsidRDefault="00724090" w:rsidP="00724090">
      <w:pPr>
        <w:pStyle w:val="whitespace-normal"/>
      </w:pPr>
      <w:r>
        <w:rPr>
          <w:rStyle w:val="Fett"/>
          <w:rFonts w:eastAsiaTheme="majorEastAsia"/>
        </w:rPr>
        <w:t>Hebräisch:</w:t>
      </w:r>
      <w:r>
        <w:t xml:space="preserve"> </w:t>
      </w:r>
      <w:r>
        <w:rPr>
          <w:rtl/>
        </w:rPr>
        <w:t>הִשָּׁ֣מֶר לְךָ֗ פֶּן־תִּנָּקֵשׁ֙ אַחֲרֵיהֶ֔ם אַחֲרֵ֖י הִשָּׁמְדָ֣ם מִפָּנֶ֑יךָ וּפֶן־תִּדְרֹ֨שׁ לֵֽאלֹהֵיהֶ֜ם לֵאמֹ֨ר אֵיכָ֨ה יַעַבְד֜וּ הַגּוֹיִ֤ם הָאֵ֨לֶּה֙ אֶת־אֱלֹ֣הֵיהֶ֔ם וְאֶעֱשֶׂה־כֵּ֖ן גַּם־אָֽנִי׃</w:t>
      </w:r>
    </w:p>
    <w:p w14:paraId="31DBE92F" w14:textId="3DECD956" w:rsidR="00724090" w:rsidRDefault="00724090" w:rsidP="00724090">
      <w:pPr>
        <w:pStyle w:val="whitespace-normal"/>
      </w:pPr>
      <w:r>
        <w:rPr>
          <w:rStyle w:val="Fett"/>
          <w:rFonts w:eastAsiaTheme="majorEastAsia"/>
        </w:rPr>
        <w:t>Deutsch:</w:t>
      </w:r>
      <w:r>
        <w:t xml:space="preserve"> So hüte dich, dass du ihnen nicht verstrickt wirst, nachdem sie vor deinem Angesicht vertilgt sind, und dass du nicht nach ihren Göttern fragst und sagst: Wie dienten diese Nationen ihren Göttern? So werde ich auch ebenso tun.</w:t>
      </w:r>
    </w:p>
    <w:p w14:paraId="425A9D52" w14:textId="50B7CBF6" w:rsidR="009C316F" w:rsidRDefault="004F5CEB" w:rsidP="00724090">
      <w:pPr>
        <w:pStyle w:val="whitespace-normal"/>
      </w:pPr>
      <w:r>
        <w:rPr>
          <w:noProof/>
        </w:rPr>
        <w:pict w14:anchorId="29522DE7">
          <v:rect id="_x0000_i1402" style="width:0;height:1.5pt" o:hralign="center" o:hrstd="t" o:hr="t" fillcolor="#a0a0a0" stroked="f"/>
        </w:pict>
      </w:r>
    </w:p>
    <w:p w14:paraId="5C8D8138" w14:textId="475ADF25" w:rsidR="00724090" w:rsidRDefault="00724090" w:rsidP="00724090">
      <w:pPr>
        <w:pStyle w:val="whitespace-normal"/>
      </w:pPr>
      <w:r>
        <w:rPr>
          <w:rStyle w:val="Fett"/>
          <w:rFonts w:eastAsiaTheme="majorEastAsia"/>
        </w:rPr>
        <w:t>Kommentar:</w:t>
      </w:r>
      <w:r>
        <w:t xml:space="preserve"> </w:t>
      </w:r>
      <w:r>
        <w:rPr>
          <w:rStyle w:val="Fett"/>
          <w:rFonts w:eastAsiaTheme="majorEastAsia"/>
          <w:rtl/>
        </w:rPr>
        <w:t>הִשָּׁמֶר לְךָ פֶּן־תִּנָּקֵשׁ אַחֲרֵיהֶם אַחֲרֵי הִשָּׁמְדָם מִפָּנֶיךָ</w:t>
      </w:r>
      <w:r>
        <w:rPr>
          <w:rtl/>
        </w:rPr>
        <w:t xml:space="preserve"> </w:t>
      </w:r>
      <w:r>
        <w:t xml:space="preserve">ist ein Imperativ mit ethischem Dativ und negativem Finalsatz: </w:t>
      </w:r>
      <w:r>
        <w:rPr>
          <w:rStyle w:val="Fett"/>
          <w:rFonts w:eastAsiaTheme="majorEastAsia"/>
          <w:rtl/>
        </w:rPr>
        <w:t>הִשָּׁמֶר</w:t>
      </w:r>
      <w:r>
        <w:rPr>
          <w:rtl/>
        </w:rPr>
        <w:t xml:space="preserve"> </w:t>
      </w:r>
      <w:r>
        <w:t xml:space="preserve">(Niphal Imperativ, 2. Person Maskulinum Singular von </w:t>
      </w:r>
      <w:r>
        <w:rPr>
          <w:rStyle w:val="Fett"/>
          <w:rFonts w:eastAsiaTheme="majorEastAsia"/>
          <w:rtl/>
        </w:rPr>
        <w:t>שׁמר</w:t>
      </w:r>
      <w:r>
        <w:t xml:space="preserve">, „sich hüten"), </w:t>
      </w:r>
      <w:r>
        <w:rPr>
          <w:rStyle w:val="Fett"/>
          <w:rFonts w:eastAsiaTheme="majorEastAsia"/>
          <w:rtl/>
        </w:rPr>
        <w:t>לְךָ</w:t>
      </w:r>
      <w:r>
        <w:rPr>
          <w:rtl/>
        </w:rPr>
        <w:t xml:space="preserve"> </w:t>
      </w:r>
      <w:r>
        <w:t xml:space="preserve">(Präposition </w:t>
      </w:r>
      <w:r>
        <w:rPr>
          <w:rStyle w:val="Fett"/>
          <w:rFonts w:eastAsiaTheme="majorEastAsia"/>
          <w:rtl/>
        </w:rPr>
        <w:t>לְ</w:t>
      </w:r>
      <w:r>
        <w:rPr>
          <w:rtl/>
        </w:rPr>
        <w:t xml:space="preserve"> </w:t>
      </w:r>
      <w:r>
        <w:t xml:space="preserve">mit Suffix 2. Person Maskulinum Singular als ethischer Dativ), </w:t>
      </w:r>
      <w:r>
        <w:rPr>
          <w:rStyle w:val="Fett"/>
          <w:rFonts w:eastAsiaTheme="majorEastAsia"/>
          <w:rtl/>
        </w:rPr>
        <w:t>פֶּן</w:t>
      </w:r>
      <w:r>
        <w:rPr>
          <w:rtl/>
        </w:rPr>
        <w:t xml:space="preserve"> </w:t>
      </w:r>
      <w:r>
        <w:t xml:space="preserve">(„damit nicht, dass nicht") als negative finale Konjunktion, </w:t>
      </w:r>
      <w:r>
        <w:rPr>
          <w:rStyle w:val="Fett"/>
          <w:rFonts w:eastAsiaTheme="majorEastAsia"/>
          <w:rtl/>
        </w:rPr>
        <w:t>תִּנָּקֵשׁ</w:t>
      </w:r>
      <w:r>
        <w:rPr>
          <w:rtl/>
        </w:rPr>
        <w:t xml:space="preserve"> </w:t>
      </w:r>
      <w:r>
        <w:t xml:space="preserve">(Niphal Imperfekt, 2. Person Maskulinum Singular von </w:t>
      </w:r>
      <w:r>
        <w:rPr>
          <w:rStyle w:val="Fett"/>
          <w:rFonts w:eastAsiaTheme="majorEastAsia"/>
          <w:rtl/>
        </w:rPr>
        <w:t>נקשׁ</w:t>
      </w:r>
      <w:r>
        <w:t>, „eine Falle legen", in der Niphal-Form „</w:t>
      </w:r>
      <w:r w:rsidR="00BF3748">
        <w:t>gefangen</w:t>
      </w:r>
      <w:r>
        <w:t xml:space="preserve"> werden, verstrickt werden"), </w:t>
      </w:r>
      <w:r>
        <w:rPr>
          <w:rStyle w:val="Fett"/>
          <w:rFonts w:eastAsiaTheme="majorEastAsia"/>
          <w:rtl/>
        </w:rPr>
        <w:t>אַחֲרֵיהֶם</w:t>
      </w:r>
      <w:r>
        <w:rPr>
          <w:rtl/>
        </w:rPr>
        <w:t xml:space="preserve"> </w:t>
      </w:r>
      <w:r>
        <w:t xml:space="preserve">(Präposition </w:t>
      </w:r>
      <w:r>
        <w:rPr>
          <w:rStyle w:val="Fett"/>
          <w:rFonts w:eastAsiaTheme="majorEastAsia"/>
          <w:rtl/>
        </w:rPr>
        <w:t>אַחֲרֵי</w:t>
      </w:r>
      <w:r>
        <w:t xml:space="preserve">, „nach, hinter", mit Suffix 3. Person Maskulinum Plural, „ihnen nach"), </w:t>
      </w:r>
      <w:r>
        <w:rPr>
          <w:rStyle w:val="Fett"/>
          <w:rFonts w:eastAsiaTheme="majorEastAsia"/>
          <w:rtl/>
        </w:rPr>
        <w:t>אַחֲרֵי הִשָּׁמְדָם</w:t>
      </w:r>
      <w:r>
        <w:rPr>
          <w:rtl/>
        </w:rPr>
        <w:t xml:space="preserve"> </w:t>
      </w:r>
      <w:r>
        <w:t xml:space="preserve">(Präposition </w:t>
      </w:r>
      <w:r>
        <w:rPr>
          <w:rStyle w:val="Fett"/>
          <w:rFonts w:eastAsiaTheme="majorEastAsia"/>
          <w:rtl/>
        </w:rPr>
        <w:t>אַחֲרֵי</w:t>
      </w:r>
      <w:r>
        <w:rPr>
          <w:rtl/>
        </w:rPr>
        <w:t xml:space="preserve"> </w:t>
      </w:r>
      <w:r>
        <w:t xml:space="preserve">mit </w:t>
      </w:r>
      <w:r>
        <w:rPr>
          <w:rStyle w:val="Fett"/>
          <w:rFonts w:eastAsiaTheme="majorEastAsia"/>
          <w:rtl/>
        </w:rPr>
        <w:t>שׁמד</w:t>
      </w:r>
      <w:r>
        <w:t xml:space="preserve">, Niphal Infinitiv Construct von </w:t>
      </w:r>
      <w:r>
        <w:rPr>
          <w:rStyle w:val="Fett"/>
          <w:rFonts w:eastAsiaTheme="majorEastAsia"/>
          <w:rtl/>
        </w:rPr>
        <w:t>שׁמד</w:t>
      </w:r>
      <w:r>
        <w:t xml:space="preserve">, „vernichten", in der Niphal-Form „vernichtet werden", mit Suffix 3. </w:t>
      </w:r>
      <w:r>
        <w:lastRenderedPageBreak/>
        <w:t xml:space="preserve">Person Maskulinum Plural, „nachdem sie vernichtet sind") als temporale Bestimmung und </w:t>
      </w:r>
      <w:r>
        <w:rPr>
          <w:rStyle w:val="Fett"/>
          <w:rFonts w:eastAsiaTheme="majorEastAsia"/>
          <w:rtl/>
        </w:rPr>
        <w:t>מִפָּנֶיךָ</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פָּנֶה</w:t>
      </w:r>
      <w:r>
        <w:t xml:space="preserve">, Plural mit Suffix 2. Person Maskulinum Singular, „vor dir") als Herkunftsangabe. Das Verb </w:t>
      </w:r>
      <w:r>
        <w:rPr>
          <w:rStyle w:val="Fett"/>
          <w:rFonts w:eastAsiaTheme="majorEastAsia"/>
          <w:rtl/>
        </w:rPr>
        <w:t>נקשׁ</w:t>
      </w:r>
      <w:r>
        <w:rPr>
          <w:rtl/>
        </w:rPr>
        <w:t xml:space="preserve"> </w:t>
      </w:r>
      <w:r>
        <w:t xml:space="preserve">im Niphal bezeichnet das </w:t>
      </w:r>
      <w:proofErr w:type="spellStart"/>
      <w:r>
        <w:t>G</w:t>
      </w:r>
      <w:r w:rsidR="00743283">
        <w:t>Epha</w:t>
      </w:r>
      <w:r>
        <w:t>ngenwerden</w:t>
      </w:r>
      <w:proofErr w:type="spellEnd"/>
      <w:r>
        <w:t xml:space="preserve"> in einer Falle, metaphorisch für Verführung.</w:t>
      </w:r>
    </w:p>
    <w:p w14:paraId="3BA336AF" w14:textId="77777777" w:rsidR="00724090" w:rsidRDefault="00724090" w:rsidP="00724090">
      <w:pPr>
        <w:pStyle w:val="whitespace-normal"/>
      </w:pPr>
      <w:r>
        <w:rPr>
          <w:rStyle w:val="Fett"/>
          <w:rFonts w:eastAsiaTheme="majorEastAsia"/>
          <w:rtl/>
        </w:rPr>
        <w:t>וּפֶן־תִּדְרֹשׁ לֵאלֹהֵיהֶם לֵאמֹר אֵיכָה יַעַבְדוּ הַגּוֹיִם הָאֵלֶּה אֶת־אֱלֹהֵיהֶם וְאֶעֱשֶׂה־כֵּן גַּם־אָנִי</w:t>
      </w:r>
      <w:r>
        <w:rPr>
          <w:rtl/>
        </w:rPr>
        <w:t xml:space="preserve"> </w:t>
      </w:r>
      <w:r>
        <w:t xml:space="preserve">ist ein zweiter negativer Finalsatz mit direkter Rede: </w:t>
      </w:r>
      <w:r>
        <w:rPr>
          <w:rStyle w:val="Fett"/>
          <w:rFonts w:eastAsiaTheme="majorEastAsia"/>
          <w:rtl/>
        </w:rPr>
        <w:t>וּפֶן</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פֶּן</w:t>
      </w:r>
      <w:r>
        <w:t xml:space="preserve">), </w:t>
      </w:r>
      <w:r>
        <w:rPr>
          <w:rStyle w:val="Fett"/>
          <w:rFonts w:eastAsiaTheme="majorEastAsia"/>
          <w:rtl/>
        </w:rPr>
        <w:t>תִּדְרֹשׁ</w:t>
      </w:r>
      <w:r>
        <w:rPr>
          <w:rtl/>
        </w:rPr>
        <w:t xml:space="preserve"> </w:t>
      </w:r>
      <w:r>
        <w:t xml:space="preserve">(Qal Imperfekt, 2. Person Maskulinum Singular von </w:t>
      </w:r>
      <w:r>
        <w:rPr>
          <w:rStyle w:val="Fett"/>
          <w:rFonts w:eastAsiaTheme="majorEastAsia"/>
          <w:rtl/>
        </w:rPr>
        <w:t>דרשׁ</w:t>
      </w:r>
      <w:r>
        <w:t xml:space="preserve">, „suchen, fragen nach, erforschen"), </w:t>
      </w:r>
      <w:r>
        <w:rPr>
          <w:rStyle w:val="Fett"/>
          <w:rFonts w:eastAsiaTheme="majorEastAsia"/>
          <w:rtl/>
        </w:rPr>
        <w:t>לֵאלֹהֵיהֶם</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אֱלֹהִים</w:t>
      </w:r>
      <w:r>
        <w:t xml:space="preserve">, „Götter", Plural mit Suffix 3. Person Maskulinum Plural) als indirektes Objekt, </w:t>
      </w:r>
      <w:r>
        <w:rPr>
          <w:rStyle w:val="Fett"/>
          <w:rFonts w:eastAsiaTheme="majorEastAsia"/>
          <w:rtl/>
        </w:rPr>
        <w:t>לֵאמֹר</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אמר</w:t>
      </w:r>
      <w:r>
        <w:t xml:space="preserve">, „sagen", „indem du sagst"), </w:t>
      </w:r>
      <w:r>
        <w:rPr>
          <w:rStyle w:val="Fett"/>
          <w:rFonts w:eastAsiaTheme="majorEastAsia"/>
          <w:rtl/>
        </w:rPr>
        <w:t>אֵיכָה יַעַבְדוּ הַגּוֹיִם הָאֵלֶּה אֶת־אֱלֹהֵיהֶם</w:t>
      </w:r>
      <w:r>
        <w:rPr>
          <w:rtl/>
        </w:rPr>
        <w:t xml:space="preserve"> </w:t>
      </w:r>
      <w:r>
        <w:t xml:space="preserve">(Fragesatz: </w:t>
      </w:r>
      <w:r>
        <w:rPr>
          <w:rStyle w:val="Fett"/>
          <w:rFonts w:eastAsiaTheme="majorEastAsia"/>
          <w:rtl/>
        </w:rPr>
        <w:t>אֵיכָה</w:t>
      </w:r>
      <w:r>
        <w:t xml:space="preserve">, „wie", </w:t>
      </w:r>
      <w:r>
        <w:rPr>
          <w:rStyle w:val="Fett"/>
          <w:rFonts w:eastAsiaTheme="majorEastAsia"/>
          <w:rtl/>
        </w:rPr>
        <w:t>יַעַבְדוּ</w:t>
      </w:r>
      <w:r>
        <w:t xml:space="preserve">, Qal Imperfekt, 3. Person Plural von </w:t>
      </w:r>
      <w:r>
        <w:rPr>
          <w:rStyle w:val="Fett"/>
          <w:rFonts w:eastAsiaTheme="majorEastAsia"/>
          <w:rtl/>
        </w:rPr>
        <w:t>עבד</w:t>
      </w:r>
      <w:r>
        <w:t xml:space="preserve">, „dienen", </w:t>
      </w:r>
      <w:r>
        <w:rPr>
          <w:rStyle w:val="Fett"/>
          <w:rFonts w:eastAsiaTheme="majorEastAsia"/>
          <w:rtl/>
        </w:rPr>
        <w:t>הַגּוֹיִם הָאֵלֶּה</w:t>
      </w:r>
      <w:r>
        <w:t xml:space="preserve">, „diese Nationen", als Subjekt und </w:t>
      </w:r>
      <w:r>
        <w:rPr>
          <w:rStyle w:val="Fett"/>
          <w:rFonts w:eastAsiaTheme="majorEastAsia"/>
          <w:rtl/>
        </w:rPr>
        <w:t>אֶת־אֱלֹהֵיהֶם</w:t>
      </w:r>
      <w:r>
        <w:t xml:space="preserve">, „ihre Götter", als direktes Objekt), koordiniert durch </w:t>
      </w:r>
      <w:r>
        <w:rPr>
          <w:rStyle w:val="Fett"/>
          <w:rFonts w:eastAsiaTheme="majorEastAsia"/>
          <w:rtl/>
        </w:rPr>
        <w:t>וְ</w:t>
      </w:r>
      <w:r>
        <w:rPr>
          <w:rtl/>
        </w:rPr>
        <w:t xml:space="preserve"> </w:t>
      </w:r>
      <w:r>
        <w:t xml:space="preserve">mit </w:t>
      </w:r>
      <w:r>
        <w:rPr>
          <w:rStyle w:val="Fett"/>
          <w:rFonts w:eastAsiaTheme="majorEastAsia"/>
          <w:rtl/>
        </w:rPr>
        <w:t>אֶעֱשֶׂה־כֵּן גַּם־אָנִי</w:t>
      </w:r>
      <w:r>
        <w:rPr>
          <w:rtl/>
        </w:rPr>
        <w:t xml:space="preserve"> </w:t>
      </w:r>
      <w:r>
        <w:t xml:space="preserve">(Qal Imperfekt, 1. Person Singular von </w:t>
      </w:r>
      <w:r>
        <w:rPr>
          <w:rStyle w:val="Fett"/>
          <w:rFonts w:eastAsiaTheme="majorEastAsia"/>
          <w:rtl/>
        </w:rPr>
        <w:t>עשׂה</w:t>
      </w:r>
      <w:r>
        <w:t xml:space="preserve">, „tun", </w:t>
      </w:r>
      <w:r>
        <w:rPr>
          <w:rStyle w:val="Fett"/>
          <w:rFonts w:eastAsiaTheme="majorEastAsia"/>
          <w:rtl/>
        </w:rPr>
        <w:t>כֵּן</w:t>
      </w:r>
      <w:r>
        <w:t xml:space="preserve">, „so, ebenso", als adverbiale Bestimmung, </w:t>
      </w:r>
      <w:r>
        <w:rPr>
          <w:rStyle w:val="Fett"/>
          <w:rFonts w:eastAsiaTheme="majorEastAsia"/>
          <w:rtl/>
        </w:rPr>
        <w:t>גַּם</w:t>
      </w:r>
      <w:r>
        <w:t xml:space="preserve">, „auch", als emphatische Partikel und </w:t>
      </w:r>
      <w:r>
        <w:rPr>
          <w:rStyle w:val="Fett"/>
          <w:rFonts w:eastAsiaTheme="majorEastAsia"/>
          <w:rtl/>
        </w:rPr>
        <w:t>אָנִי</w:t>
      </w:r>
      <w:r>
        <w:t xml:space="preserve">, Personalpronomen 1. Person Singular, „ich", betont). Das Verb </w:t>
      </w:r>
      <w:r>
        <w:rPr>
          <w:rStyle w:val="Fett"/>
          <w:rFonts w:eastAsiaTheme="majorEastAsia"/>
          <w:rtl/>
        </w:rPr>
        <w:t>דרשׁ לאלהים</w:t>
      </w:r>
      <w:r>
        <w:rPr>
          <w:rtl/>
        </w:rPr>
        <w:t xml:space="preserve"> </w:t>
      </w:r>
      <w:r>
        <w:t>bedeutet „Götter befragen, nach Göttern forschen".</w:t>
      </w:r>
    </w:p>
    <w:p w14:paraId="7F759C48" w14:textId="2E52465A" w:rsidR="00724090" w:rsidRDefault="00724090" w:rsidP="00724090">
      <w:pPr>
        <w:pStyle w:val="whitespace-normal"/>
      </w:pPr>
      <w:r>
        <w:t xml:space="preserve">Die Syntax warnt vor zwei </w:t>
      </w:r>
      <w:r w:rsidR="00D84597">
        <w:t>Gefahr</w:t>
      </w:r>
      <w:r>
        <w:t>en: (1) kultische Verstrickung (</w:t>
      </w:r>
      <w:r>
        <w:rPr>
          <w:rStyle w:val="Fett"/>
          <w:rFonts w:eastAsiaTheme="majorEastAsia"/>
          <w:rtl/>
        </w:rPr>
        <w:t>תִּנָּקֵשׁ אַחֲרֵיהֶם</w:t>
      </w:r>
      <w:r>
        <w:t>), (2) neugieriges Erforschen der fremden Kulte (</w:t>
      </w:r>
      <w:r>
        <w:rPr>
          <w:rStyle w:val="Fett"/>
          <w:rFonts w:eastAsiaTheme="majorEastAsia"/>
          <w:rtl/>
        </w:rPr>
        <w:t>תִּדְרֹשׁ לֵאלֹהֵיהֶם</w:t>
      </w:r>
      <w:r>
        <w:t>). Die Metapher der Falle (</w:t>
      </w:r>
      <w:r>
        <w:rPr>
          <w:rStyle w:val="Fett"/>
          <w:rFonts w:eastAsiaTheme="majorEastAsia"/>
          <w:rtl/>
        </w:rPr>
        <w:t>נקשׁ</w:t>
      </w:r>
      <w:r>
        <w:t xml:space="preserve">) beschreibt die Verführungskraft fremder Kulte. Die temporale Bestimmung </w:t>
      </w:r>
      <w:r>
        <w:rPr>
          <w:rStyle w:val="Fett"/>
          <w:rFonts w:eastAsiaTheme="majorEastAsia"/>
          <w:rtl/>
        </w:rPr>
        <w:t>אַחֲרֵי הִשָּׁמְדָם</w:t>
      </w:r>
      <w:r>
        <w:rPr>
          <w:rtl/>
        </w:rPr>
        <w:t xml:space="preserve"> </w:t>
      </w:r>
      <w:r>
        <w:t xml:space="preserve">betont die Ironie: Gerade nachdem die Völker vernichtet sind, besteht die </w:t>
      </w:r>
      <w:r w:rsidR="00D84597">
        <w:t>Gefahr</w:t>
      </w:r>
      <w:r>
        <w:t xml:space="preserve"> der Nachahmung ihrer Kulte. Die direkte Rede illustriert die gefährliche Gedankenkette: neugierige Frage („Wie dienten diese Nationen?") führt zur Nachahmung („So werde ich auch tun"). Die Formulierung </w:t>
      </w:r>
      <w:r>
        <w:rPr>
          <w:rStyle w:val="Fett"/>
          <w:rFonts w:eastAsiaTheme="majorEastAsia"/>
          <w:rtl/>
        </w:rPr>
        <w:t>גַּם־אָנִי</w:t>
      </w:r>
      <w:r>
        <w:rPr>
          <w:rtl/>
        </w:rPr>
        <w:t xml:space="preserve"> </w:t>
      </w:r>
      <w:r>
        <w:t>(„auch ich") zeigt die Assimilationsabsicht. Die Warnung ist hochaktuell: Archäologische Neugier oder religionswissenschaftliches Interesse an fremden Kulten kann zur synkretistischen Praxis führen.</w:t>
      </w:r>
    </w:p>
    <w:p w14:paraId="5DF965A6" w14:textId="77777777" w:rsidR="00724090" w:rsidRDefault="00724090" w:rsidP="00724090">
      <w:pPr>
        <w:pStyle w:val="whitespace-normal"/>
      </w:pPr>
      <w:r>
        <w:rPr>
          <w:rStyle w:val="Fett"/>
          <w:rFonts w:eastAsiaTheme="majorEastAsia"/>
        </w:rPr>
        <w:t>Die LXX</w:t>
      </w:r>
      <w:r>
        <w:t xml:space="preserve"> übersetzt „hüte dich" mit „π</w:t>
      </w:r>
      <w:proofErr w:type="spellStart"/>
      <w:r>
        <w:t>ρόσεχε</w:t>
      </w:r>
      <w:proofErr w:type="spellEnd"/>
      <w:r>
        <w:t xml:space="preserve"> </w:t>
      </w:r>
      <w:proofErr w:type="spellStart"/>
      <w:r>
        <w:t>σε</w:t>
      </w:r>
      <w:proofErr w:type="spellEnd"/>
      <w:r>
        <w:t>αυτῷ", „damit du nicht verstrickt wirst" mit „</w:t>
      </w:r>
      <w:proofErr w:type="spellStart"/>
      <w:r>
        <w:t>μὴ</w:t>
      </w:r>
      <w:proofErr w:type="spellEnd"/>
      <w:r>
        <w:t xml:space="preserve"> </w:t>
      </w:r>
      <w:proofErr w:type="spellStart"/>
      <w:r>
        <w:t>ἐκζητήσῃς</w:t>
      </w:r>
      <w:proofErr w:type="spellEnd"/>
      <w:r>
        <w:t>", „ihnen nach" mit „ὀπ</w:t>
      </w:r>
      <w:proofErr w:type="spellStart"/>
      <w:r>
        <w:t>ίσω</w:t>
      </w:r>
      <w:proofErr w:type="spellEnd"/>
      <w:r>
        <w:t xml:space="preserve"> α</w:t>
      </w:r>
      <w:proofErr w:type="spellStart"/>
      <w:r>
        <w:t>ὐτῶν</w:t>
      </w:r>
      <w:proofErr w:type="spellEnd"/>
      <w:r>
        <w:t>", „nachdem sie vernichtet sind" mit „</w:t>
      </w:r>
      <w:proofErr w:type="spellStart"/>
      <w:r>
        <w:t>μετὰ</w:t>
      </w:r>
      <w:proofErr w:type="spellEnd"/>
      <w:r>
        <w:t xml:space="preserve"> </w:t>
      </w:r>
      <w:proofErr w:type="spellStart"/>
      <w:r>
        <w:t>τὸ</w:t>
      </w:r>
      <w:proofErr w:type="spellEnd"/>
      <w:r>
        <w:t xml:space="preserve"> </w:t>
      </w:r>
      <w:proofErr w:type="spellStart"/>
      <w:r>
        <w:t>ἐξολεθρευθῆν</w:t>
      </w:r>
      <w:proofErr w:type="spellEnd"/>
      <w:r>
        <w:t>αι α</w:t>
      </w:r>
      <w:proofErr w:type="spellStart"/>
      <w:r>
        <w:t>ὐτοὺς</w:t>
      </w:r>
      <w:proofErr w:type="spellEnd"/>
      <w:r>
        <w:t>", „dass du nicht fragst nach ihren Göttern" mit „</w:t>
      </w:r>
      <w:proofErr w:type="spellStart"/>
      <w:r>
        <w:t>μὴ</w:t>
      </w:r>
      <w:proofErr w:type="spellEnd"/>
      <w:r>
        <w:t xml:space="preserve"> </w:t>
      </w:r>
      <w:proofErr w:type="spellStart"/>
      <w:r>
        <w:t>ἐκζητήσῃς</w:t>
      </w:r>
      <w:proofErr w:type="spellEnd"/>
      <w:r>
        <w:t xml:space="preserve"> </w:t>
      </w:r>
      <w:proofErr w:type="spellStart"/>
      <w:r>
        <w:t>τοὺς</w:t>
      </w:r>
      <w:proofErr w:type="spellEnd"/>
      <w:r>
        <w:t xml:space="preserve"> </w:t>
      </w:r>
      <w:proofErr w:type="spellStart"/>
      <w:r>
        <w:t>θεοὺς</w:t>
      </w:r>
      <w:proofErr w:type="spellEnd"/>
      <w:r>
        <w:t xml:space="preserve"> α</w:t>
      </w:r>
      <w:proofErr w:type="spellStart"/>
      <w:r>
        <w:t>ὐτῶν</w:t>
      </w:r>
      <w:proofErr w:type="spellEnd"/>
      <w:r>
        <w:t>" und „wie dienten diese Nationen ihren Göttern" mit „π</w:t>
      </w:r>
      <w:proofErr w:type="spellStart"/>
      <w:r>
        <w:t>ῶς</w:t>
      </w:r>
      <w:proofErr w:type="spellEnd"/>
      <w:r>
        <w:t xml:space="preserve"> π</w:t>
      </w:r>
      <w:proofErr w:type="spellStart"/>
      <w:r>
        <w:t>οιοῦσιν</w:t>
      </w:r>
      <w:proofErr w:type="spellEnd"/>
      <w:r>
        <w:t xml:space="preserve"> </w:t>
      </w:r>
      <w:proofErr w:type="spellStart"/>
      <w:r>
        <w:t>τὰ</w:t>
      </w:r>
      <w:proofErr w:type="spellEnd"/>
      <w:r>
        <w:t xml:space="preserve"> </w:t>
      </w:r>
      <w:proofErr w:type="spellStart"/>
      <w:r>
        <w:t>ἔθνη</w:t>
      </w:r>
      <w:proofErr w:type="spellEnd"/>
      <w:r>
        <w:t xml:space="preserve"> τα</w:t>
      </w:r>
      <w:proofErr w:type="spellStart"/>
      <w:r>
        <w:t>ῦτ</w:t>
      </w:r>
      <w:proofErr w:type="spellEnd"/>
      <w:r>
        <w:t xml:space="preserve">α </w:t>
      </w:r>
      <w:proofErr w:type="spellStart"/>
      <w:r>
        <w:t>τοῖς</w:t>
      </w:r>
      <w:proofErr w:type="spellEnd"/>
      <w:r>
        <w:t xml:space="preserve"> </w:t>
      </w:r>
      <w:proofErr w:type="spellStart"/>
      <w:r>
        <w:t>θεοῖς</w:t>
      </w:r>
      <w:proofErr w:type="spellEnd"/>
      <w:r>
        <w:t xml:space="preserve"> α</w:t>
      </w:r>
      <w:proofErr w:type="spellStart"/>
      <w:r>
        <w:t>ὐτῶν</w:t>
      </w:r>
      <w:proofErr w:type="spellEnd"/>
      <w:r>
        <w:t>".</w:t>
      </w:r>
    </w:p>
    <w:p w14:paraId="43BD75EF" w14:textId="77777777" w:rsidR="00724090" w:rsidRDefault="00724090" w:rsidP="00724090">
      <w:pPr>
        <w:pStyle w:val="whitespace-normal"/>
      </w:pPr>
      <w:r>
        <w:rPr>
          <w:rStyle w:val="Fett"/>
          <w:rFonts w:eastAsiaTheme="majorEastAsia"/>
        </w:rPr>
        <w:t>Die Satzstruktur</w:t>
      </w:r>
      <w:r>
        <w:t xml:space="preserve"> besteht aus einem Imperativ mit ethischem Dativ und zwei koordinierten negativen Finalsätzen: Imperativ (hüte dich), ethischer Dativ (dir), erster negativer Finalsatz mit Prädikat (damit nicht verstrickt wirst), adverbialer Bestimmung (ihnen nach), temporaler Bestimmung (nachdem sie vernichtet sind), Herkunftsangabe (vor dir); zweiter negativer Finalsatz mit Prädikat (fragst), indirektem Objekt (nach ihren Göttern), einleitendem Infinitiv (indem du sagst), direkte Rede mit Fragesatz (wie dienten diese Nationen ihren Göttern) und koordiniertem Aussagesatz (so werde ich auch ebenso tun).</w:t>
      </w:r>
    </w:p>
    <w:p w14:paraId="5662297D" w14:textId="77777777" w:rsidR="00724090" w:rsidRDefault="00724090" w:rsidP="00724090">
      <w:pPr>
        <w:pStyle w:val="whitespace-normal"/>
      </w:pPr>
      <w:r>
        <w:t>Der Vers warnt eindringlich vor kultischer Assimilation: Israel soll sich nicht von kanaanäischen Kulten verführen lassen und nicht aus Neugier nach ihren Praktiken forschen, um sie nachzuahmen.</w:t>
      </w:r>
    </w:p>
    <w:p w14:paraId="5C75DF0D"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lastRenderedPageBreak/>
        <w:t>Deuteronomium 12,31</w:t>
      </w:r>
    </w:p>
    <w:p w14:paraId="30FAE4FE" w14:textId="77777777" w:rsidR="00724090" w:rsidRDefault="00724090" w:rsidP="00724090">
      <w:pPr>
        <w:pStyle w:val="whitespace-normal"/>
      </w:pPr>
      <w:r>
        <w:rPr>
          <w:rStyle w:val="Fett"/>
          <w:rFonts w:eastAsiaTheme="majorEastAsia"/>
        </w:rPr>
        <w:t>Hebräisch:</w:t>
      </w:r>
      <w:r>
        <w:t xml:space="preserve"> </w:t>
      </w:r>
      <w:r>
        <w:rPr>
          <w:rtl/>
        </w:rPr>
        <w:t>לֹא־תַעֲשֶׂ֣ה כֵ֔ן לַיהוָ֖ה אֱלֹהֶ֑יךָ כִּי֩ כָּל־תּוֹעֲבַ֨ת יְהוָ֜ה אֲשֶׁ֣ר שָׂנֵ֗א עָשׂוּ֙ לֵאלֹ֣הֵיהֶ֔ם כִּ֣י גַ֤ם אֶת־בְּנֵיהֶם֙ וְאֶת־בְּנֹ֣תֵיהֶ֔ם יִשְׂרְפ֥וּ בָאֵ֖שׁ לֵֽאלֹהֵיהֶֽם׃</w:t>
      </w:r>
    </w:p>
    <w:p w14:paraId="242FB400" w14:textId="36187C6D" w:rsidR="00724090" w:rsidRDefault="00724090" w:rsidP="00724090">
      <w:pPr>
        <w:pStyle w:val="whitespace-normal"/>
      </w:pPr>
      <w:r>
        <w:rPr>
          <w:rStyle w:val="Fett"/>
          <w:rFonts w:eastAsiaTheme="majorEastAsia"/>
        </w:rPr>
        <w:t>Deutsch:</w:t>
      </w:r>
      <w:r>
        <w:t xml:space="preserve"> Dem Ewigen, deinem Gott, sollst du nicht so tun; denn alles, was dem Ewigen ein Gräuel ist, was er hasst, haben sie ihren Göttern getan; denn sogar ihre Söhne und ihre Töchter haben sie ihren Göttern mit Feuer verbrannt.</w:t>
      </w:r>
    </w:p>
    <w:p w14:paraId="646A3631" w14:textId="7C6DF376" w:rsidR="009C316F" w:rsidRDefault="004F5CEB" w:rsidP="00724090">
      <w:pPr>
        <w:pStyle w:val="whitespace-normal"/>
      </w:pPr>
      <w:r>
        <w:rPr>
          <w:noProof/>
        </w:rPr>
        <w:pict w14:anchorId="59ADD269">
          <v:rect id="_x0000_i1403" style="width:0;height:1.5pt" o:hralign="center" o:hrstd="t" o:hr="t" fillcolor="#a0a0a0" stroked="f"/>
        </w:pict>
      </w:r>
    </w:p>
    <w:p w14:paraId="551921AA"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לֹא־תַעֲשֶׂה כֵן לַיהוָה אֱלֹהֶיךָ</w:t>
      </w:r>
      <w:r>
        <w:rPr>
          <w:rtl/>
        </w:rPr>
        <w:t xml:space="preserve"> </w:t>
      </w:r>
      <w:r>
        <w:t xml:space="preserve">ist ein negativer Imperativsatz: </w:t>
      </w:r>
      <w:r>
        <w:rPr>
          <w:rStyle w:val="Fett"/>
          <w:rFonts w:eastAsiaTheme="majorEastAsia"/>
          <w:rtl/>
        </w:rPr>
        <w:t>לֹא</w:t>
      </w:r>
      <w:r>
        <w:rPr>
          <w:rtl/>
        </w:rPr>
        <w:t xml:space="preserve"> </w:t>
      </w:r>
      <w:r>
        <w:t xml:space="preserve">(Negation) mit </w:t>
      </w:r>
      <w:r>
        <w:rPr>
          <w:rStyle w:val="Fett"/>
          <w:rFonts w:eastAsiaTheme="majorEastAsia"/>
          <w:rtl/>
        </w:rPr>
        <w:t>תַעֲשֶׂה</w:t>
      </w:r>
      <w:r>
        <w:rPr>
          <w:rtl/>
        </w:rPr>
        <w:t xml:space="preserve"> </w:t>
      </w:r>
      <w:r>
        <w:t xml:space="preserve">(Qal Imperfekt, 2. Person Maskulinum Singular von </w:t>
      </w:r>
      <w:r>
        <w:rPr>
          <w:rStyle w:val="Fett"/>
          <w:rFonts w:eastAsiaTheme="majorEastAsia"/>
          <w:rtl/>
        </w:rPr>
        <w:t>עשׂה</w:t>
      </w:r>
      <w:r>
        <w:t xml:space="preserve">, „tun"), </w:t>
      </w:r>
      <w:r>
        <w:rPr>
          <w:rStyle w:val="Fett"/>
          <w:rFonts w:eastAsiaTheme="majorEastAsia"/>
          <w:rtl/>
        </w:rPr>
        <w:t>כֵּן</w:t>
      </w:r>
      <w:r>
        <w:rPr>
          <w:rtl/>
        </w:rPr>
        <w:t xml:space="preserve"> </w:t>
      </w:r>
      <w:r>
        <w:t xml:space="preserve">(„so, ebenso") als adverbiale Bestimmung und </w:t>
      </w:r>
      <w:r>
        <w:rPr>
          <w:rStyle w:val="Fett"/>
          <w:rFonts w:eastAsiaTheme="majorEastAsia"/>
          <w:rtl/>
        </w:rPr>
        <w:t>לַיהוָה אֱלֹהֶיךָ</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יְהוָה אֱלֹהֶיךָ</w:t>
      </w:r>
      <w:r>
        <w:t>) als Dativobjekt. Dieser Satz wiederholt fast wörtlich V. 4, bildet damit eine Inklusion für das gesamte Kapitel 12 und verstärkt das Verbot synkretistischer Kultpraktiken.</w:t>
      </w:r>
    </w:p>
    <w:p w14:paraId="402D6367" w14:textId="77777777" w:rsidR="00724090" w:rsidRDefault="00724090" w:rsidP="00724090">
      <w:pPr>
        <w:pStyle w:val="whitespace-normal"/>
      </w:pPr>
      <w:r>
        <w:rPr>
          <w:rStyle w:val="Fett"/>
          <w:rFonts w:eastAsiaTheme="majorEastAsia"/>
          <w:rtl/>
        </w:rPr>
        <w:t>כִּי כָּל־תּוֹעֲבַת יְהוָה אֲשֶׁר שָׂנֵא עָשׂוּ לֵאלֹהֵיהֶם</w:t>
      </w:r>
      <w:r>
        <w:rPr>
          <w:rtl/>
        </w:rPr>
        <w:t xml:space="preserve"> </w:t>
      </w:r>
      <w:r>
        <w:t xml:space="preserve">ist ein kausaler Satz mit Relativsatz: </w:t>
      </w:r>
      <w:r>
        <w:rPr>
          <w:rStyle w:val="Fett"/>
          <w:rFonts w:eastAsiaTheme="majorEastAsia"/>
          <w:rtl/>
        </w:rPr>
        <w:t>כִּי</w:t>
      </w:r>
      <w:r>
        <w:rPr>
          <w:rtl/>
        </w:rPr>
        <w:t xml:space="preserve"> </w:t>
      </w:r>
      <w:r>
        <w:t xml:space="preserve">(„denn, weil") als kausale Konjunktion, </w:t>
      </w:r>
      <w:r>
        <w:rPr>
          <w:rStyle w:val="Fett"/>
          <w:rFonts w:eastAsiaTheme="majorEastAsia"/>
          <w:rtl/>
        </w:rPr>
        <w:t>כָּל־תּוֹעֲבַת יְהוָה</w:t>
      </w:r>
      <w:r>
        <w:rPr>
          <w:rtl/>
        </w:rPr>
        <w:t xml:space="preserve"> </w:t>
      </w:r>
      <w:r>
        <w:t>(</w:t>
      </w:r>
      <w:r>
        <w:rPr>
          <w:rStyle w:val="Fett"/>
          <w:rFonts w:eastAsiaTheme="majorEastAsia"/>
          <w:rtl/>
        </w:rPr>
        <w:t>כֹּל</w:t>
      </w:r>
      <w:r>
        <w:t xml:space="preserve">, „all", im Construct mit </w:t>
      </w:r>
      <w:r>
        <w:rPr>
          <w:rStyle w:val="Fett"/>
          <w:rFonts w:eastAsiaTheme="majorEastAsia"/>
          <w:rtl/>
        </w:rPr>
        <w:t>תּוֹעֵבָה</w:t>
      </w:r>
      <w:r>
        <w:t xml:space="preserve">, „Gräuel, Abscheu", Construct mit </w:t>
      </w:r>
      <w:r>
        <w:rPr>
          <w:rStyle w:val="Fett"/>
          <w:rFonts w:eastAsiaTheme="majorEastAsia"/>
          <w:rtl/>
        </w:rPr>
        <w:t>יְהוָה</w:t>
      </w:r>
      <w:r>
        <w:t xml:space="preserve">) als direktes Objekt, vorangestellt, </w:t>
      </w:r>
      <w:r>
        <w:rPr>
          <w:rStyle w:val="Fett"/>
          <w:rFonts w:eastAsiaTheme="majorEastAsia"/>
          <w:rtl/>
        </w:rPr>
        <w:t>אֲשֶׁר שָׂנֵא</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שָׂנֵא</w:t>
      </w:r>
      <w:r>
        <w:t xml:space="preserve">, Qal Perfekt, 3. Person Maskulinum Singular von </w:t>
      </w:r>
      <w:r>
        <w:rPr>
          <w:rStyle w:val="Fett"/>
          <w:rFonts w:eastAsiaTheme="majorEastAsia"/>
          <w:rtl/>
        </w:rPr>
        <w:t>שׂנא</w:t>
      </w:r>
      <w:r>
        <w:t xml:space="preserve">, „hassen"), </w:t>
      </w:r>
      <w:r>
        <w:rPr>
          <w:rStyle w:val="Fett"/>
          <w:rFonts w:eastAsiaTheme="majorEastAsia"/>
          <w:rtl/>
        </w:rPr>
        <w:t>עָשׂוּ</w:t>
      </w:r>
      <w:r>
        <w:rPr>
          <w:rtl/>
        </w:rPr>
        <w:t xml:space="preserve"> </w:t>
      </w:r>
      <w:r>
        <w:t xml:space="preserve">(Qal Perfekt, 3. Person Plural von </w:t>
      </w:r>
      <w:r>
        <w:rPr>
          <w:rStyle w:val="Fett"/>
          <w:rFonts w:eastAsiaTheme="majorEastAsia"/>
          <w:rtl/>
        </w:rPr>
        <w:t>עשׂה</w:t>
      </w:r>
      <w:r>
        <w:t xml:space="preserve">, „tun") als Prädikat und </w:t>
      </w:r>
      <w:r>
        <w:rPr>
          <w:rStyle w:val="Fett"/>
          <w:rFonts w:eastAsiaTheme="majorEastAsia"/>
          <w:rtl/>
        </w:rPr>
        <w:t>לֵאלֹהֵיהֶם</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אֱלֹהִים</w:t>
      </w:r>
      <w:r>
        <w:t xml:space="preserve">, Plural mit Suffix 3. Person Maskulinum Plural, „für ihre Götter, ihren Göttern") als Dativobjekt. Die Konstruktion </w:t>
      </w:r>
      <w:r>
        <w:rPr>
          <w:rStyle w:val="Fett"/>
          <w:rFonts w:eastAsiaTheme="majorEastAsia"/>
          <w:rtl/>
        </w:rPr>
        <w:t>תּוֹעֲבַת יְהוָה אֲשֶׁר שָׂנֵא</w:t>
      </w:r>
      <w:r>
        <w:rPr>
          <w:rtl/>
        </w:rPr>
        <w:t xml:space="preserve"> </w:t>
      </w:r>
      <w:r>
        <w:t xml:space="preserve">(„Gräuel JHWHs, den er hasst") ist eine emphatische Doppelung, die die Abscheu verstärkt. Die Voranstellung des Objekts </w:t>
      </w:r>
      <w:r>
        <w:rPr>
          <w:rStyle w:val="Fett"/>
          <w:rFonts w:eastAsiaTheme="majorEastAsia"/>
          <w:rtl/>
        </w:rPr>
        <w:t>כָּל־תּוֹעֲבַת יְהוָה</w:t>
      </w:r>
      <w:r>
        <w:rPr>
          <w:rtl/>
        </w:rPr>
        <w:t xml:space="preserve"> </w:t>
      </w:r>
      <w:r>
        <w:t>betont die Schwere der Sünde.</w:t>
      </w:r>
    </w:p>
    <w:p w14:paraId="284B4ECB" w14:textId="77777777" w:rsidR="00724090" w:rsidRDefault="00724090" w:rsidP="00724090">
      <w:pPr>
        <w:pStyle w:val="whitespace-normal"/>
      </w:pPr>
      <w:r>
        <w:rPr>
          <w:rStyle w:val="Fett"/>
          <w:rFonts w:eastAsiaTheme="majorEastAsia"/>
          <w:rtl/>
        </w:rPr>
        <w:t>כִּי גַם אֶת־בְּנֵיהֶם וְאֶת־בְּנֹתֵיהֶם יִשְׂרְפוּ בָאֵשׁ לֵאלֹהֵיהֶם</w:t>
      </w:r>
      <w:r>
        <w:rPr>
          <w:rtl/>
        </w:rPr>
        <w:t xml:space="preserve"> </w:t>
      </w:r>
      <w:r>
        <w:t xml:space="preserve">ist ein zweiter kausaler Satz als konkrete Illustration: </w:t>
      </w:r>
      <w:r>
        <w:rPr>
          <w:rStyle w:val="Fett"/>
          <w:rFonts w:eastAsiaTheme="majorEastAsia"/>
          <w:rtl/>
        </w:rPr>
        <w:t>כִּי</w:t>
      </w:r>
      <w:r>
        <w:rPr>
          <w:rtl/>
        </w:rPr>
        <w:t xml:space="preserve"> </w:t>
      </w:r>
      <w:r>
        <w:t xml:space="preserve">(„denn, weil") als kausale Konjunktion, </w:t>
      </w:r>
      <w:r>
        <w:rPr>
          <w:rStyle w:val="Fett"/>
          <w:rFonts w:eastAsiaTheme="majorEastAsia"/>
          <w:rtl/>
        </w:rPr>
        <w:t>גַם</w:t>
      </w:r>
      <w:r>
        <w:rPr>
          <w:rtl/>
        </w:rPr>
        <w:t xml:space="preserve"> </w:t>
      </w:r>
      <w:r>
        <w:t xml:space="preserve">(„auch, sogar") als steigernde Partikel, </w:t>
      </w:r>
      <w:r>
        <w:rPr>
          <w:rStyle w:val="Fett"/>
          <w:rFonts w:eastAsiaTheme="majorEastAsia"/>
          <w:rtl/>
        </w:rPr>
        <w:t>אֶת־בְּנֵיהֶם וְאֶת־בְּנֹתֵיהֶם</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בֵּן</w:t>
      </w:r>
      <w:r>
        <w:t xml:space="preserve">, „Sohn", Plural mit Suffix 3. Person Maskulinum Plural, koordiniert durch </w:t>
      </w:r>
      <w:r>
        <w:rPr>
          <w:rStyle w:val="Fett"/>
          <w:rFonts w:eastAsiaTheme="majorEastAsia"/>
          <w:rtl/>
        </w:rPr>
        <w:t>וְאֶת</w:t>
      </w:r>
      <w:r>
        <w:rPr>
          <w:rtl/>
        </w:rPr>
        <w:t xml:space="preserve"> </w:t>
      </w:r>
      <w:r>
        <w:t xml:space="preserve">mit </w:t>
      </w:r>
      <w:r>
        <w:rPr>
          <w:rStyle w:val="Fett"/>
          <w:rFonts w:eastAsiaTheme="majorEastAsia"/>
          <w:rtl/>
        </w:rPr>
        <w:t>בַּת</w:t>
      </w:r>
      <w:r>
        <w:t xml:space="preserve">, „Tochter", Plural mit Suffix 3. Person Maskulinum Plural) als vorangestelltes direktes Objekt, </w:t>
      </w:r>
      <w:r>
        <w:rPr>
          <w:rStyle w:val="Fett"/>
          <w:rFonts w:eastAsiaTheme="majorEastAsia"/>
          <w:rtl/>
        </w:rPr>
        <w:t>יִשְׂרְפוּ</w:t>
      </w:r>
      <w:r>
        <w:rPr>
          <w:rtl/>
        </w:rPr>
        <w:t xml:space="preserve"> </w:t>
      </w:r>
      <w:r>
        <w:t xml:space="preserve">(Qal Imperfekt, 3. Person Plural von </w:t>
      </w:r>
      <w:r>
        <w:rPr>
          <w:rStyle w:val="Fett"/>
          <w:rFonts w:eastAsiaTheme="majorEastAsia"/>
          <w:rtl/>
        </w:rPr>
        <w:t>שׂרף</w:t>
      </w:r>
      <w:r>
        <w:t xml:space="preserve">, „verbrennen"), </w:t>
      </w:r>
      <w:r>
        <w:rPr>
          <w:rStyle w:val="Fett"/>
          <w:rFonts w:eastAsiaTheme="majorEastAsia"/>
          <w:rtl/>
        </w:rPr>
        <w:t>בָאֵשׁ</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אֵשׁ</w:t>
      </w:r>
      <w:r>
        <w:t xml:space="preserve">, „Feuer", mit Artikel) als instrumentaler Bestimmung und </w:t>
      </w:r>
      <w:r>
        <w:rPr>
          <w:rStyle w:val="Fett"/>
          <w:rFonts w:eastAsiaTheme="majorEastAsia"/>
          <w:rtl/>
        </w:rPr>
        <w:t>לֵאלֹהֵיהֶם</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אֱלֹהִים</w:t>
      </w:r>
      <w:r>
        <w:t xml:space="preserve">, Plural mit Suffix 3. Person Maskulinum Plural) als Dativobjekt. Die Voranstellung von </w:t>
      </w:r>
      <w:r>
        <w:rPr>
          <w:rStyle w:val="Fett"/>
          <w:rFonts w:eastAsiaTheme="majorEastAsia"/>
          <w:rtl/>
        </w:rPr>
        <w:t>אֶת־בְּנֵיהֶם וְאֶת־בְּנֹתֵיהֶם</w:t>
      </w:r>
      <w:r>
        <w:rPr>
          <w:rtl/>
        </w:rPr>
        <w:t xml:space="preserve"> </w:t>
      </w:r>
      <w:r>
        <w:t xml:space="preserve">und die Verwendung von </w:t>
      </w:r>
      <w:r>
        <w:rPr>
          <w:rStyle w:val="Fett"/>
          <w:rFonts w:eastAsiaTheme="majorEastAsia"/>
          <w:rtl/>
        </w:rPr>
        <w:t>גַם</w:t>
      </w:r>
      <w:r>
        <w:rPr>
          <w:rtl/>
        </w:rPr>
        <w:t xml:space="preserve"> </w:t>
      </w:r>
      <w:r>
        <w:t>(„sogar") betonen das Entsetzliche dieser Praxis.</w:t>
      </w:r>
    </w:p>
    <w:p w14:paraId="6C1A9C8F" w14:textId="398B8496" w:rsidR="00724090" w:rsidRDefault="00724090" w:rsidP="00724090">
      <w:pPr>
        <w:pStyle w:val="whitespace-normal"/>
      </w:pPr>
      <w:r>
        <w:t xml:space="preserve">Die Syntax zeigt die drastische Begründung für das Verbot der Kultübernahme: Die kanaanäischen Kulte beinhalten Praktiken, die JHWH abscheulich sind, insbesondere Kinderopfer. Die Wiederholung von V. 4 rahmt das gesamte Kapitel 12 ein. Die Doppelung </w:t>
      </w:r>
      <w:r>
        <w:rPr>
          <w:rStyle w:val="Fett"/>
          <w:rFonts w:eastAsiaTheme="majorEastAsia"/>
          <w:rtl/>
        </w:rPr>
        <w:t>תּוֹעֲבַת יְהוָה אֲשֶׁר שָׂנֵא</w:t>
      </w:r>
      <w:r>
        <w:rPr>
          <w:rtl/>
        </w:rPr>
        <w:t xml:space="preserve"> </w:t>
      </w:r>
      <w:r>
        <w:t>(„Gräuel JHWHs, den er hasst") verstärkt die Ablehnung. Die konkrete Nennung der Kinderopfer (</w:t>
      </w:r>
      <w:r>
        <w:rPr>
          <w:rStyle w:val="Fett"/>
          <w:rFonts w:eastAsiaTheme="majorEastAsia"/>
          <w:rtl/>
        </w:rPr>
        <w:t>שׂרף בנים ובנות באשׁ</w:t>
      </w:r>
      <w:r>
        <w:t xml:space="preserve">) ist der Höhepunkt der Abscheulichkeit. Kinderopfer waren in Kanaan praktiziert, besonders im </w:t>
      </w:r>
      <w:proofErr w:type="spellStart"/>
      <w:r>
        <w:t>Molechkult</w:t>
      </w:r>
      <w:proofErr w:type="spellEnd"/>
      <w:r>
        <w:t xml:space="preserve"> (vgl. 18,10; </w:t>
      </w:r>
      <w:r w:rsidR="00664EB6">
        <w:t>2Kön</w:t>
      </w:r>
      <w:r>
        <w:t xml:space="preserve"> 16,3; 17,17.31; 21,6; 23,10; Jer 7,31; 19,5; 32,35; </w:t>
      </w:r>
      <w:r w:rsidR="00BF3748">
        <w:t>Hes</w:t>
      </w:r>
      <w:r>
        <w:t xml:space="preserve"> 16,20-21; 20,31; 23,37.39). Die emphatische Partikel </w:t>
      </w:r>
      <w:r>
        <w:rPr>
          <w:rStyle w:val="Fett"/>
          <w:rFonts w:eastAsiaTheme="majorEastAsia"/>
          <w:rtl/>
        </w:rPr>
        <w:t>גַם</w:t>
      </w:r>
      <w:r>
        <w:rPr>
          <w:rtl/>
        </w:rPr>
        <w:t xml:space="preserve"> </w:t>
      </w:r>
      <w:r>
        <w:t xml:space="preserve">(„sogar, auch") zeigt: Von allen Gräueln ist dies der schlimmste. Die beiden </w:t>
      </w:r>
      <w:r>
        <w:rPr>
          <w:rStyle w:val="Fett"/>
          <w:rFonts w:eastAsiaTheme="majorEastAsia"/>
          <w:rtl/>
        </w:rPr>
        <w:t>כִּי</w:t>
      </w:r>
      <w:r>
        <w:t>-Sätze bauen aufeinander auf: allgemeine Begründung (alle Gräuel) → konkrete Illustration (Kinderopfer).</w:t>
      </w:r>
    </w:p>
    <w:p w14:paraId="53F4F97B" w14:textId="77777777" w:rsidR="00724090" w:rsidRDefault="00724090" w:rsidP="00724090">
      <w:pPr>
        <w:pStyle w:val="whitespace-normal"/>
      </w:pPr>
      <w:r>
        <w:rPr>
          <w:rStyle w:val="Fett"/>
          <w:rFonts w:eastAsiaTheme="majorEastAsia"/>
        </w:rPr>
        <w:lastRenderedPageBreak/>
        <w:t>Die LXX</w:t>
      </w:r>
      <w:r>
        <w:t xml:space="preserve"> übersetzt „sollst du nicht so tun" mit „</w:t>
      </w:r>
      <w:proofErr w:type="spellStart"/>
      <w:r>
        <w:t>οὐ</w:t>
      </w:r>
      <w:proofErr w:type="spellEnd"/>
      <w:r>
        <w:t xml:space="preserve"> π</w:t>
      </w:r>
      <w:proofErr w:type="spellStart"/>
      <w:r>
        <w:t>οιήσεις</w:t>
      </w:r>
      <w:proofErr w:type="spellEnd"/>
      <w:r>
        <w:t xml:space="preserve"> </w:t>
      </w:r>
      <w:proofErr w:type="spellStart"/>
      <w:r>
        <w:t>οὕτως</w:t>
      </w:r>
      <w:proofErr w:type="spellEnd"/>
      <w:r>
        <w:t>", „denn alle Gräuel" mit „</w:t>
      </w:r>
      <w:proofErr w:type="spellStart"/>
      <w:r>
        <w:t>τὰ</w:t>
      </w:r>
      <w:proofErr w:type="spellEnd"/>
      <w:r>
        <w:t xml:space="preserve"> </w:t>
      </w:r>
      <w:proofErr w:type="spellStart"/>
      <w:r>
        <w:t>γὰρ</w:t>
      </w:r>
      <w:proofErr w:type="spellEnd"/>
      <w:r>
        <w:t xml:space="preserve"> β</w:t>
      </w:r>
      <w:proofErr w:type="spellStart"/>
      <w:r>
        <w:t>δελύγμ</w:t>
      </w:r>
      <w:proofErr w:type="spellEnd"/>
      <w:r>
        <w:t xml:space="preserve">ατα", „die JHWH hasst" mit „ἃ </w:t>
      </w:r>
      <w:proofErr w:type="spellStart"/>
      <w:r>
        <w:t>ἐμίσησεν</w:t>
      </w:r>
      <w:proofErr w:type="spellEnd"/>
      <w:r>
        <w:t xml:space="preserve"> </w:t>
      </w:r>
      <w:proofErr w:type="spellStart"/>
      <w:r>
        <w:t>κύριος</w:t>
      </w:r>
      <w:proofErr w:type="spellEnd"/>
      <w:r>
        <w:t>", „haben sie ihren Göttern getan" mit „ἐπ</w:t>
      </w:r>
      <w:proofErr w:type="spellStart"/>
      <w:r>
        <w:t>οίησ</w:t>
      </w:r>
      <w:proofErr w:type="spellEnd"/>
      <w:r>
        <w:t xml:space="preserve">αν </w:t>
      </w:r>
      <w:proofErr w:type="spellStart"/>
      <w:r>
        <w:t>τοῖς</w:t>
      </w:r>
      <w:proofErr w:type="spellEnd"/>
      <w:r>
        <w:t xml:space="preserve"> </w:t>
      </w:r>
      <w:proofErr w:type="spellStart"/>
      <w:r>
        <w:t>θεοῖς</w:t>
      </w:r>
      <w:proofErr w:type="spellEnd"/>
      <w:r>
        <w:t xml:space="preserve"> α</w:t>
      </w:r>
      <w:proofErr w:type="spellStart"/>
      <w:r>
        <w:t>ὐτῶν</w:t>
      </w:r>
      <w:proofErr w:type="spellEnd"/>
      <w:r>
        <w:t>", „sogar ihre Söhne und ihre Töchter" mit „</w:t>
      </w:r>
      <w:proofErr w:type="spellStart"/>
      <w:r>
        <w:t>τοὺς</w:t>
      </w:r>
      <w:proofErr w:type="spellEnd"/>
      <w:r>
        <w:t xml:space="preserve"> </w:t>
      </w:r>
      <w:proofErr w:type="spellStart"/>
      <w:r>
        <w:t>γὰρ</w:t>
      </w:r>
      <w:proofErr w:type="spellEnd"/>
      <w:r>
        <w:t xml:space="preserve"> </w:t>
      </w:r>
      <w:proofErr w:type="spellStart"/>
      <w:r>
        <w:t>υἱοὺς</w:t>
      </w:r>
      <w:proofErr w:type="spellEnd"/>
      <w:r>
        <w:t xml:space="preserve"> α</w:t>
      </w:r>
      <w:proofErr w:type="spellStart"/>
      <w:r>
        <w:t>ὐτῶν</w:t>
      </w:r>
      <w:proofErr w:type="spellEnd"/>
      <w:r>
        <w:t xml:space="preserve"> καὶ </w:t>
      </w:r>
      <w:proofErr w:type="spellStart"/>
      <w:r>
        <w:t>τὰς</w:t>
      </w:r>
      <w:proofErr w:type="spellEnd"/>
      <w:r>
        <w:t xml:space="preserve"> </w:t>
      </w:r>
      <w:proofErr w:type="spellStart"/>
      <w:r>
        <w:t>θυγ</w:t>
      </w:r>
      <w:proofErr w:type="spellEnd"/>
      <w:r>
        <w:t>ατέρας α</w:t>
      </w:r>
      <w:proofErr w:type="spellStart"/>
      <w:r>
        <w:t>ὐτῶν</w:t>
      </w:r>
      <w:proofErr w:type="spellEnd"/>
      <w:r>
        <w:t>" und „verbrennen sie mit Feuer" mit „κατακα</w:t>
      </w:r>
      <w:proofErr w:type="spellStart"/>
      <w:r>
        <w:t>ίουσιν</w:t>
      </w:r>
      <w:proofErr w:type="spellEnd"/>
      <w:r>
        <w:t xml:space="preserve"> </w:t>
      </w:r>
      <w:proofErr w:type="spellStart"/>
      <w:r>
        <w:t>ἐν</w:t>
      </w:r>
      <w:proofErr w:type="spellEnd"/>
      <w:r>
        <w:t xml:space="preserve"> π</w:t>
      </w:r>
      <w:proofErr w:type="spellStart"/>
      <w:r>
        <w:t>υρὶ</w:t>
      </w:r>
      <w:proofErr w:type="spellEnd"/>
      <w:r>
        <w:t>".</w:t>
      </w:r>
    </w:p>
    <w:p w14:paraId="7813D44C" w14:textId="77777777" w:rsidR="00724090" w:rsidRDefault="00724090" w:rsidP="00724090">
      <w:pPr>
        <w:pStyle w:val="whitespace-normal"/>
      </w:pPr>
      <w:r>
        <w:rPr>
          <w:rStyle w:val="Fett"/>
          <w:rFonts w:eastAsiaTheme="majorEastAsia"/>
        </w:rPr>
        <w:t>Die Satzstruktur</w:t>
      </w:r>
      <w:r>
        <w:t xml:space="preserve"> besteht aus einem negativen Imperativsatz und zwei kausalen Begründungssätzen: Negativer Imperativ mit Prädikat (sollst nicht tun), adverbialer Bestimmung (so), Dativobjekt (JHWH, deinem Gott); erster kausaler Satz mit vorangestelltem direktem Objekt (alle Gräuel JHWHs), Relativsatz (die er hasst), Prädikat (haben sie getan), Dativobjekt (ihren Göttern); zweiter kausaler Satz mit steigernder Partikel (sogar), vorangestelltem direktem Objekt (ihre Söhne und ihre Töchter), Prädikat (verbrennen sie), instrumentaler Bestimmung (mit Feuer), Dativobjekt (ihren Göttern).</w:t>
      </w:r>
    </w:p>
    <w:p w14:paraId="2BC4680A" w14:textId="77777777" w:rsidR="00724090" w:rsidRDefault="00724090" w:rsidP="00724090">
      <w:pPr>
        <w:pStyle w:val="whitespace-normal"/>
      </w:pPr>
      <w:r>
        <w:t>Der Vers verbietet kategorisch die Übernahme kanaanäischer Kulte: Israel soll JHWH nicht nach kanaanäischem Muster verehren, denn diese Kulte beinhalten für JHWH abscheuliche Praktiken, insbesondere das Verbrennen von Kindern als Opfer.</w:t>
      </w:r>
    </w:p>
    <w:p w14:paraId="74FD8320"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13,1</w:t>
      </w:r>
    </w:p>
    <w:p w14:paraId="3C9C60BB" w14:textId="77777777" w:rsidR="00724090" w:rsidRDefault="00724090" w:rsidP="00724090">
      <w:pPr>
        <w:pStyle w:val="whitespace-normal"/>
      </w:pPr>
      <w:r>
        <w:rPr>
          <w:rStyle w:val="Fett"/>
          <w:rFonts w:eastAsiaTheme="majorEastAsia"/>
        </w:rPr>
        <w:t>Hebräisch:</w:t>
      </w:r>
      <w:r>
        <w:t xml:space="preserve"> </w:t>
      </w:r>
      <w:r>
        <w:rPr>
          <w:rtl/>
        </w:rPr>
        <w:t>אֵ֣ת כָּל־הַדָּבָ֗ר אֲשֶׁ֤ר אָנֹכִי֙ מְצַוֶּ֣ה אֶתְכֶ֔ם אֹתוֹ֥ תִשְׁמְר֖וּ לַעֲשׂ֑וֹת לֹא־תֹסֵ֣ף עָלָ֔יו וְלֹ֥א תִגְרַ֖ע מִמֶּֽנּוּ׃</w:t>
      </w:r>
    </w:p>
    <w:p w14:paraId="5637B462" w14:textId="2121F699" w:rsidR="00724090" w:rsidRDefault="00724090" w:rsidP="00724090">
      <w:pPr>
        <w:pStyle w:val="whitespace-normal"/>
      </w:pPr>
      <w:r>
        <w:rPr>
          <w:rStyle w:val="Fett"/>
          <w:rFonts w:eastAsiaTheme="majorEastAsia"/>
        </w:rPr>
        <w:t>Deutsch:</w:t>
      </w:r>
      <w:r>
        <w:t xml:space="preserve"> Das ganze Wort, das ich euch gebiete, das sollt ihr beobachten, es zu tun; du sollst nichts hinzufügen und nichts davon wegnehmen.</w:t>
      </w:r>
    </w:p>
    <w:p w14:paraId="2EFE0175" w14:textId="208E1F28" w:rsidR="009C316F" w:rsidRDefault="004F5CEB" w:rsidP="00724090">
      <w:pPr>
        <w:pStyle w:val="whitespace-normal"/>
      </w:pPr>
      <w:r>
        <w:rPr>
          <w:noProof/>
        </w:rPr>
        <w:pict w14:anchorId="618AAFFB">
          <v:rect id="_x0000_i1404" style="width:0;height:1.5pt" o:hralign="center" o:hrstd="t" o:hr="t" fillcolor="#a0a0a0" stroked="f"/>
        </w:pict>
      </w:r>
    </w:p>
    <w:p w14:paraId="320FF443"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אֵת כָּל־הַדָּבָר אֲשֶׁר אָנֹכִי מְצַוֶּה אֶתְכֶם אֹתוֹ תִשְׁמְרוּ לַעֲשׂוֹת</w:t>
      </w:r>
      <w:r>
        <w:rPr>
          <w:rtl/>
        </w:rPr>
        <w:t xml:space="preserve"> </w:t>
      </w:r>
      <w:r>
        <w:t xml:space="preserve">ist ein Imperativsatz mit vorangestelltem direktem Objekt: </w:t>
      </w:r>
      <w:r>
        <w:rPr>
          <w:rStyle w:val="Fett"/>
          <w:rFonts w:eastAsiaTheme="majorEastAsia"/>
          <w:rtl/>
        </w:rPr>
        <w:t>אֵת כָּל־הַדָּבָר</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כֹּל</w:t>
      </w:r>
      <w:r>
        <w:t xml:space="preserve">, „ganz, all", im Construct mit </w:t>
      </w:r>
      <w:r>
        <w:rPr>
          <w:rStyle w:val="Fett"/>
          <w:rFonts w:eastAsiaTheme="majorEastAsia"/>
          <w:rtl/>
        </w:rPr>
        <w:t>דָּבָר</w:t>
      </w:r>
      <w:r>
        <w:t xml:space="preserve">, „Wort, Sache", mit Artikel, „das ganze Wort") als direktes Objekt, </w:t>
      </w:r>
      <w:r>
        <w:rPr>
          <w:rStyle w:val="Fett"/>
          <w:rFonts w:eastAsiaTheme="majorEastAsia"/>
          <w:rtl/>
        </w:rPr>
        <w:t>אֲשֶׁר אָנֹכִי מְצַוֶּה אֶתְכֶם</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אָנֹכִי</w:t>
      </w:r>
      <w:r>
        <w:t xml:space="preserve">, emphatisches Personalpronomen 1. Person Singular, als Subjekt, </w:t>
      </w:r>
      <w:r>
        <w:rPr>
          <w:rStyle w:val="Fett"/>
          <w:rFonts w:eastAsiaTheme="majorEastAsia"/>
          <w:rtl/>
        </w:rPr>
        <w:t>מְצַוֶּה</w:t>
      </w:r>
      <w:r>
        <w:t xml:space="preserve">, Piel Partizip Maskulinum Singular von </w:t>
      </w:r>
      <w:r>
        <w:rPr>
          <w:rStyle w:val="Fett"/>
          <w:rFonts w:eastAsiaTheme="majorEastAsia"/>
          <w:rtl/>
        </w:rPr>
        <w:t>צוה</w:t>
      </w:r>
      <w:r>
        <w:t xml:space="preserve">, „befehlen, gebieten", und </w:t>
      </w:r>
      <w:r>
        <w:rPr>
          <w:rStyle w:val="Fett"/>
          <w:rFonts w:eastAsiaTheme="majorEastAsia"/>
          <w:rtl/>
        </w:rPr>
        <w:t>אֶתְכֶם</w:t>
      </w:r>
      <w:r>
        <w:t xml:space="preserve">, Objektpartikel </w:t>
      </w:r>
      <w:r>
        <w:rPr>
          <w:rStyle w:val="Fett"/>
          <w:rFonts w:eastAsiaTheme="majorEastAsia"/>
          <w:rtl/>
        </w:rPr>
        <w:t>אֵת</w:t>
      </w:r>
      <w:r>
        <w:rPr>
          <w:rtl/>
        </w:rPr>
        <w:t xml:space="preserve"> </w:t>
      </w:r>
      <w:r>
        <w:t xml:space="preserve">mit Suffix 2. Person Maskulinum Plural), </w:t>
      </w:r>
      <w:r>
        <w:rPr>
          <w:rStyle w:val="Fett"/>
          <w:rFonts w:eastAsiaTheme="majorEastAsia"/>
          <w:rtl/>
        </w:rPr>
        <w:t>אֹתוֹ</w:t>
      </w:r>
      <w:r>
        <w:rPr>
          <w:rtl/>
        </w:rPr>
        <w:t xml:space="preserve"> </w:t>
      </w:r>
      <w:r>
        <w:t xml:space="preserve">(Objektpartikel </w:t>
      </w:r>
      <w:r>
        <w:rPr>
          <w:rStyle w:val="Fett"/>
          <w:rFonts w:eastAsiaTheme="majorEastAsia"/>
          <w:rtl/>
        </w:rPr>
        <w:t>אֵת</w:t>
      </w:r>
      <w:r>
        <w:rPr>
          <w:rtl/>
        </w:rPr>
        <w:t xml:space="preserve"> </w:t>
      </w:r>
      <w:r>
        <w:t xml:space="preserve">mit Suffix 3. Person Maskulinum Singular, rückverweisend auf </w:t>
      </w:r>
      <w:r>
        <w:rPr>
          <w:rStyle w:val="Fett"/>
          <w:rFonts w:eastAsiaTheme="majorEastAsia"/>
          <w:rtl/>
        </w:rPr>
        <w:t>הַדָּבָר</w:t>
      </w:r>
      <w:r>
        <w:t xml:space="preserve">, wiederholend), </w:t>
      </w:r>
      <w:r>
        <w:rPr>
          <w:rStyle w:val="Fett"/>
          <w:rFonts w:eastAsiaTheme="majorEastAsia"/>
          <w:rtl/>
        </w:rPr>
        <w:t>תִשְׁמְרוּ</w:t>
      </w:r>
      <w:r>
        <w:rPr>
          <w:rtl/>
        </w:rPr>
        <w:t xml:space="preserve"> </w:t>
      </w:r>
      <w:r>
        <w:t xml:space="preserve">(Qal Imperfekt, 2. Person Maskulinum Plural von </w:t>
      </w:r>
      <w:r>
        <w:rPr>
          <w:rStyle w:val="Fett"/>
          <w:rFonts w:eastAsiaTheme="majorEastAsia"/>
          <w:rtl/>
        </w:rPr>
        <w:t>שׁמר</w:t>
      </w:r>
      <w:r>
        <w:t xml:space="preserve">, „bewahren, beobachten, halten") und </w:t>
      </w:r>
      <w:r>
        <w:rPr>
          <w:rStyle w:val="Fett"/>
          <w:rFonts w:eastAsiaTheme="majorEastAsia"/>
          <w:rtl/>
        </w:rPr>
        <w:t>לַעֲשׂוֹת</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עשׂה</w:t>
      </w:r>
      <w:r>
        <w:t>, „tun"). Die doppelte Objektmarkierung (</w:t>
      </w:r>
      <w:r>
        <w:rPr>
          <w:rStyle w:val="Fett"/>
          <w:rFonts w:eastAsiaTheme="majorEastAsia"/>
          <w:rtl/>
        </w:rPr>
        <w:t>אֵת כָּל־הַדָּבָר</w:t>
      </w:r>
      <w:r>
        <w:rPr>
          <w:rtl/>
        </w:rPr>
        <w:t xml:space="preserve"> </w:t>
      </w:r>
      <w:r>
        <w:t xml:space="preserve">... </w:t>
      </w:r>
      <w:r>
        <w:rPr>
          <w:rStyle w:val="Fett"/>
          <w:rFonts w:eastAsiaTheme="majorEastAsia"/>
          <w:rtl/>
        </w:rPr>
        <w:t>אֹתוֹ</w:t>
      </w:r>
      <w:r>
        <w:t>) betont nachdrücklich das Objekt.</w:t>
      </w:r>
    </w:p>
    <w:p w14:paraId="291A6DF5" w14:textId="77777777" w:rsidR="00724090" w:rsidRDefault="00724090" w:rsidP="00724090">
      <w:pPr>
        <w:pStyle w:val="whitespace-normal"/>
      </w:pPr>
      <w:r>
        <w:rPr>
          <w:rStyle w:val="Fett"/>
          <w:rFonts w:eastAsiaTheme="majorEastAsia"/>
          <w:rtl/>
        </w:rPr>
        <w:t>לֹא־תֹסֵף עָלָיו וְלֹא תִגְרַע מִמֶּנּוּ</w:t>
      </w:r>
      <w:r>
        <w:rPr>
          <w:rtl/>
        </w:rPr>
        <w:t xml:space="preserve"> </w:t>
      </w:r>
      <w:r>
        <w:t xml:space="preserve">sind zwei koordinierte negative Imperative: </w:t>
      </w:r>
      <w:r>
        <w:rPr>
          <w:rStyle w:val="Fett"/>
          <w:rFonts w:eastAsiaTheme="majorEastAsia"/>
          <w:rtl/>
        </w:rPr>
        <w:t>לֹא־תֹסֵף</w:t>
      </w:r>
      <w:r>
        <w:rPr>
          <w:rtl/>
        </w:rPr>
        <w:t xml:space="preserve"> </w:t>
      </w:r>
      <w:r>
        <w:t xml:space="preserve">(Negation </w:t>
      </w:r>
      <w:r>
        <w:rPr>
          <w:rStyle w:val="Fett"/>
          <w:rFonts w:eastAsiaTheme="majorEastAsia"/>
          <w:rtl/>
        </w:rPr>
        <w:t>לֹא</w:t>
      </w:r>
      <w:r>
        <w:rPr>
          <w:rtl/>
        </w:rPr>
        <w:t xml:space="preserve"> </w:t>
      </w:r>
      <w:r>
        <w:t xml:space="preserve">mit </w:t>
      </w:r>
      <w:r>
        <w:rPr>
          <w:rStyle w:val="Fett"/>
          <w:rFonts w:eastAsiaTheme="majorEastAsia"/>
          <w:rtl/>
        </w:rPr>
        <w:t>יסף</w:t>
      </w:r>
      <w:r>
        <w:t xml:space="preserve">, Hiphil Imperfekt, 2. Person Maskulinum Singular von </w:t>
      </w:r>
      <w:r>
        <w:rPr>
          <w:rStyle w:val="Fett"/>
          <w:rFonts w:eastAsiaTheme="majorEastAsia"/>
          <w:rtl/>
        </w:rPr>
        <w:t>יסף</w:t>
      </w:r>
      <w:r>
        <w:t xml:space="preserve">, „hinzufügen, vermehren"), </w:t>
      </w:r>
      <w:r>
        <w:rPr>
          <w:rStyle w:val="Fett"/>
          <w:rFonts w:eastAsiaTheme="majorEastAsia"/>
          <w:rtl/>
        </w:rPr>
        <w:t>עָלָיו</w:t>
      </w:r>
      <w:r>
        <w:rPr>
          <w:rtl/>
        </w:rPr>
        <w:t xml:space="preserve"> </w:t>
      </w:r>
      <w:r>
        <w:t xml:space="preserve">(Präposition </w:t>
      </w:r>
      <w:r>
        <w:rPr>
          <w:rStyle w:val="Fett"/>
          <w:rFonts w:eastAsiaTheme="majorEastAsia"/>
          <w:rtl/>
        </w:rPr>
        <w:t>עַל</w:t>
      </w:r>
      <w:r>
        <w:t xml:space="preserve">, „auf, zu", mit Suffix 3. Person Maskulinum Singular, rückverweisend auf </w:t>
      </w:r>
      <w:r>
        <w:rPr>
          <w:rStyle w:val="Fett"/>
          <w:rFonts w:eastAsiaTheme="majorEastAsia"/>
          <w:rtl/>
        </w:rPr>
        <w:t>הַדָּבָר</w:t>
      </w:r>
      <w:r>
        <w:t xml:space="preserve">), koordiniert durch </w:t>
      </w:r>
      <w:r>
        <w:rPr>
          <w:rStyle w:val="Fett"/>
          <w:rFonts w:eastAsiaTheme="majorEastAsia"/>
          <w:rtl/>
        </w:rPr>
        <w:t>וְלֹא</w:t>
      </w:r>
      <w:r>
        <w:rPr>
          <w:rtl/>
        </w:rPr>
        <w:t xml:space="preserve"> </w:t>
      </w:r>
      <w:r>
        <w:t xml:space="preserve">mit </w:t>
      </w:r>
      <w:r>
        <w:rPr>
          <w:rStyle w:val="Fett"/>
          <w:rFonts w:eastAsiaTheme="majorEastAsia"/>
          <w:rtl/>
        </w:rPr>
        <w:t>תִגְרַע</w:t>
      </w:r>
      <w:r>
        <w:rPr>
          <w:rtl/>
        </w:rPr>
        <w:t xml:space="preserve"> </w:t>
      </w:r>
      <w:r>
        <w:t xml:space="preserve">(Qal Imperfekt, 2. Person Maskulinum Singular von </w:t>
      </w:r>
      <w:r>
        <w:rPr>
          <w:rStyle w:val="Fett"/>
          <w:rFonts w:eastAsiaTheme="majorEastAsia"/>
          <w:rtl/>
        </w:rPr>
        <w:t>גרע</w:t>
      </w:r>
      <w:r>
        <w:t xml:space="preserve">, „vermindern, wegnehmen, schmälern") und </w:t>
      </w:r>
      <w:r>
        <w:rPr>
          <w:rStyle w:val="Fett"/>
          <w:rFonts w:eastAsiaTheme="majorEastAsia"/>
          <w:rtl/>
        </w:rPr>
        <w:t>מִמֶּנּוּ</w:t>
      </w:r>
      <w:r>
        <w:rPr>
          <w:rtl/>
        </w:rPr>
        <w:t xml:space="preserve"> </w:t>
      </w:r>
      <w:r>
        <w:t xml:space="preserve">(Präposition </w:t>
      </w:r>
      <w:r>
        <w:rPr>
          <w:rStyle w:val="Fett"/>
          <w:rFonts w:eastAsiaTheme="majorEastAsia"/>
          <w:rtl/>
        </w:rPr>
        <w:t>מִן</w:t>
      </w:r>
      <w:r>
        <w:t>, „von", mit Suffix 3. Person Maskulinum Singular). Der Wechsel von Plural (</w:t>
      </w:r>
      <w:r>
        <w:rPr>
          <w:rStyle w:val="Fett"/>
          <w:rFonts w:eastAsiaTheme="majorEastAsia"/>
          <w:rtl/>
        </w:rPr>
        <w:t>תִשְׁמְרוּ</w:t>
      </w:r>
      <w:r>
        <w:t xml:space="preserve">, </w:t>
      </w:r>
      <w:r>
        <w:rPr>
          <w:rStyle w:val="Fett"/>
          <w:rFonts w:eastAsiaTheme="majorEastAsia"/>
          <w:rtl/>
        </w:rPr>
        <w:t>אֶתְכֶם</w:t>
      </w:r>
      <w:r>
        <w:t>) zu Singular (</w:t>
      </w:r>
      <w:r>
        <w:rPr>
          <w:rStyle w:val="Fett"/>
          <w:rFonts w:eastAsiaTheme="majorEastAsia"/>
          <w:rtl/>
        </w:rPr>
        <w:t>תֹסֵף</w:t>
      </w:r>
      <w:r>
        <w:t xml:space="preserve">, </w:t>
      </w:r>
      <w:r>
        <w:rPr>
          <w:rStyle w:val="Fett"/>
          <w:rFonts w:eastAsiaTheme="majorEastAsia"/>
          <w:rtl/>
        </w:rPr>
        <w:t>תִגְרַע</w:t>
      </w:r>
      <w:r>
        <w:t>) ist charakteristisch für das Deuteronomium.</w:t>
      </w:r>
    </w:p>
    <w:p w14:paraId="75F90BA5" w14:textId="3FFB7D45" w:rsidR="00724090" w:rsidRDefault="00724090" w:rsidP="00724090">
      <w:pPr>
        <w:pStyle w:val="whitespace-normal"/>
      </w:pPr>
      <w:r>
        <w:lastRenderedPageBreak/>
        <w:t xml:space="preserve">Der Vers bildet eine Überleitung von Kapitel 12 zu Kapitel 13 und betont die Unveränderlichkeit des göttlichen Gebots. Die Formulierung </w:t>
      </w:r>
      <w:r>
        <w:rPr>
          <w:rStyle w:val="Fett"/>
          <w:rFonts w:eastAsiaTheme="majorEastAsia"/>
          <w:rtl/>
        </w:rPr>
        <w:t>כָּל־הַדָּבָר</w:t>
      </w:r>
      <w:r>
        <w:rPr>
          <w:rtl/>
        </w:rPr>
        <w:t xml:space="preserve"> </w:t>
      </w:r>
      <w:r>
        <w:t xml:space="preserve">(„das ganze Wort") umfasst alle vorangehenden und folgenden Gebote. Die Konstruktion </w:t>
      </w:r>
      <w:r>
        <w:rPr>
          <w:rStyle w:val="Fett"/>
          <w:rFonts w:eastAsiaTheme="majorEastAsia"/>
          <w:rtl/>
        </w:rPr>
        <w:t>שׁמר לעשׂות</w:t>
      </w:r>
      <w:r>
        <w:rPr>
          <w:rtl/>
        </w:rPr>
        <w:t xml:space="preserve"> </w:t>
      </w:r>
      <w:r>
        <w:t>(„beobachten, um zu tun") betont sorgfältigen Gehorsam. Das Verbot von Hinzufügen und Wegnehmen schützt die Integrität der Offenbarung (vgl. 4,2). Dies ist besonders relevant für Kapitel 13, das falsche Propheten behandelt, die versuchen könnten, die Gebote zu verändern oder zu ergänzen.</w:t>
      </w:r>
    </w:p>
    <w:p w14:paraId="205ED12E" w14:textId="77777777" w:rsidR="00E3356A" w:rsidRPr="00E3356A" w:rsidRDefault="00E3356A" w:rsidP="00E3356A">
      <w:pPr>
        <w:spacing w:before="100" w:beforeAutospacing="1" w:after="100" w:afterAutospacing="1" w:line="240" w:lineRule="auto"/>
        <w:outlineLvl w:val="1"/>
        <w:rPr>
          <w:rFonts w:eastAsia="Times New Roman"/>
          <w:b/>
          <w:bCs/>
          <w:sz w:val="36"/>
          <w:szCs w:val="36"/>
          <w:lang w:eastAsia="de-DE"/>
        </w:rPr>
      </w:pPr>
      <w:r w:rsidRPr="00E3356A">
        <w:rPr>
          <w:rFonts w:eastAsia="Times New Roman"/>
          <w:b/>
          <w:bCs/>
          <w:sz w:val="36"/>
          <w:szCs w:val="36"/>
          <w:lang w:eastAsia="de-DE"/>
        </w:rPr>
        <w:t>Vers 1 (MT 13,1) / Vers 1 (LXX 13,1)</w:t>
      </w:r>
    </w:p>
    <w:p w14:paraId="2E018A9F" w14:textId="33CEA7A4" w:rsidR="00371C95" w:rsidRPr="00E3356A" w:rsidRDefault="00E3356A" w:rsidP="00E3356A">
      <w:pPr>
        <w:spacing w:before="100" w:beforeAutospacing="1" w:after="100" w:afterAutospacing="1" w:line="240" w:lineRule="auto"/>
        <w:rPr>
          <w:rFonts w:eastAsia="Times New Roman"/>
          <w:lang w:eastAsia="de-DE"/>
        </w:rPr>
      </w:pPr>
      <w:r w:rsidRPr="00E3356A">
        <w:rPr>
          <w:rFonts w:eastAsia="Times New Roman"/>
          <w:b/>
          <w:bCs/>
          <w:lang w:eastAsia="de-DE"/>
        </w:rPr>
        <w:t>Die LXX</w:t>
      </w:r>
      <w:r w:rsidRPr="00E3356A">
        <w:rPr>
          <w:rFonts w:eastAsia="Times New Roman"/>
          <w:lang w:eastAsia="de-DE"/>
        </w:rPr>
        <w:t xml:space="preserve"> fehlt der gesamte Vers 13,1 des MT an dieser Stelle. Im MT bildet dieser Vers den Abschluss von Kapitel 12 und fungiert als Überleitung: "Das ganze Wort, das ich euch gebiete, sollt ihr bewahren, um es zu tun; du sollst nichts hinzufügen und nichts davon wegnehmen." Die LXX beginnt direkt mit der Warnung vor falschen Propheten, was zu einer durchgängigen Versverschiebung führt (MT-Vers = LXX-Vers minus 1).</w:t>
      </w:r>
    </w:p>
    <w:p w14:paraId="6E40A942" w14:textId="77777777" w:rsidR="00724090" w:rsidRDefault="00724090" w:rsidP="00724090">
      <w:pPr>
        <w:pStyle w:val="whitespace-normal"/>
      </w:pPr>
      <w:r>
        <w:rPr>
          <w:rStyle w:val="Fett"/>
          <w:rFonts w:eastAsiaTheme="majorEastAsia"/>
        </w:rPr>
        <w:t>Die Satzstruktur</w:t>
      </w:r>
      <w:r>
        <w:t xml:space="preserve"> besteht aus einem Imperativsatz mit vorangestelltem direktem Objekt, Relativsatz und finalem Infinitiv sowie zwei koordinierten negativen Imperativen: Direktes Objekt (das ganze Wort), Relativsatz (das ich euch gebiete), wiederholendes Objekt (es), Prädikat (sollt beobachten), finaler Infinitiv (zu tun); erster negativer Imperativ (sollst nicht hinzufügen), präpositionales Objekt (zu ihm); zweiter negativer Imperativ (nicht wegnehmen), präpositionales Objekt (von ihm).</w:t>
      </w:r>
    </w:p>
    <w:p w14:paraId="41AA2D9B" w14:textId="77777777" w:rsidR="00724090" w:rsidRDefault="00724090" w:rsidP="00724090">
      <w:pPr>
        <w:pStyle w:val="whitespace-normal"/>
      </w:pPr>
      <w:r>
        <w:t>Der Vers fordert vollständigen Gehorsam gegenüber dem göttlichen Gebot ohne Hinzufügung oder Weglassung – eine Mahnung zur Bewahrung der reinen Offenbarung.</w:t>
      </w:r>
    </w:p>
    <w:p w14:paraId="38A46B0D"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13,2</w:t>
      </w:r>
    </w:p>
    <w:p w14:paraId="16ABA01A" w14:textId="77777777" w:rsidR="00724090" w:rsidRDefault="00724090" w:rsidP="00724090">
      <w:pPr>
        <w:pStyle w:val="whitespace-normal"/>
      </w:pPr>
      <w:r>
        <w:rPr>
          <w:rStyle w:val="Fett"/>
          <w:rFonts w:eastAsiaTheme="majorEastAsia"/>
        </w:rPr>
        <w:t>Hebräisch:</w:t>
      </w:r>
      <w:r>
        <w:t xml:space="preserve"> </w:t>
      </w:r>
      <w:r>
        <w:rPr>
          <w:rtl/>
        </w:rPr>
        <w:t>כִּֽי־יָק֤וּם בְּקִרְבְּךָ֙ נָבִ֔יא א֖וֹ חֹלֵ֣ם חֲל֑וֹם וְנָתַ֥ן אֵלֶ֛יךָ א֖וֹת א֥וֹ מוֹפֵֽת׃</w:t>
      </w:r>
    </w:p>
    <w:p w14:paraId="5129B8C5" w14:textId="074DF563" w:rsidR="00724090" w:rsidRDefault="00724090" w:rsidP="00724090">
      <w:pPr>
        <w:pStyle w:val="whitespace-normal"/>
      </w:pPr>
      <w:r>
        <w:rPr>
          <w:rStyle w:val="Fett"/>
          <w:rFonts w:eastAsiaTheme="majorEastAsia"/>
        </w:rPr>
        <w:t>Deutsch:</w:t>
      </w:r>
      <w:r>
        <w:t xml:space="preserve"> Wenn in deiner Mitte ein Prophet aufsteht oder jemand, der Träume hat, und er gibt dir ein Zeichen oder ein Wunder.</w:t>
      </w:r>
    </w:p>
    <w:p w14:paraId="54CB7EC0" w14:textId="7B4025A6" w:rsidR="009C316F" w:rsidRDefault="004F5CEB" w:rsidP="00724090">
      <w:pPr>
        <w:pStyle w:val="whitespace-normal"/>
      </w:pPr>
      <w:r>
        <w:rPr>
          <w:noProof/>
        </w:rPr>
        <w:pict w14:anchorId="1DCA76E6">
          <v:rect id="_x0000_i1405" style="width:0;height:1.5pt" o:hralign="center" o:hrstd="t" o:hr="t" fillcolor="#a0a0a0" stroked="f"/>
        </w:pict>
      </w:r>
    </w:p>
    <w:p w14:paraId="48A247AA"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כִּי־יָקוּם בְּקִרְבְּךָ נָבִיא אוֹ חֹלֵם חֲלוֹם</w:t>
      </w:r>
      <w:r>
        <w:rPr>
          <w:rtl/>
        </w:rPr>
        <w:t xml:space="preserve"> </w:t>
      </w:r>
      <w:r>
        <w:t xml:space="preserve">ist ein konditionaler Temporalsatz: </w:t>
      </w:r>
      <w:r>
        <w:rPr>
          <w:rStyle w:val="Fett"/>
          <w:rFonts w:eastAsiaTheme="majorEastAsia"/>
          <w:rtl/>
        </w:rPr>
        <w:t>כִּי</w:t>
      </w:r>
      <w:r>
        <w:rPr>
          <w:rtl/>
        </w:rPr>
        <w:t xml:space="preserve"> </w:t>
      </w:r>
      <w:r>
        <w:t xml:space="preserve">(„wenn, wann") als konditionale Konjunktion, </w:t>
      </w:r>
      <w:r>
        <w:rPr>
          <w:rStyle w:val="Fett"/>
          <w:rFonts w:eastAsiaTheme="majorEastAsia"/>
          <w:rtl/>
        </w:rPr>
        <w:t>יָקוּם</w:t>
      </w:r>
      <w:r>
        <w:rPr>
          <w:rtl/>
        </w:rPr>
        <w:t xml:space="preserve"> </w:t>
      </w:r>
      <w:r>
        <w:t xml:space="preserve">(Qal Imperfekt, 3. Person Maskulinum Singular von </w:t>
      </w:r>
      <w:r>
        <w:rPr>
          <w:rStyle w:val="Fett"/>
          <w:rFonts w:eastAsiaTheme="majorEastAsia"/>
          <w:rtl/>
        </w:rPr>
        <w:t>קום</w:t>
      </w:r>
      <w:r>
        <w:t xml:space="preserve">, „aufstehen, sich erheben"), </w:t>
      </w:r>
      <w:r>
        <w:rPr>
          <w:rStyle w:val="Fett"/>
          <w:rFonts w:eastAsiaTheme="majorEastAsia"/>
          <w:rtl/>
        </w:rPr>
        <w:t>בְּקִרְבְּךָ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קֶרֶב</w:t>
      </w:r>
      <w:r>
        <w:t xml:space="preserve">, „Mitte, Inneres", mit Suffix 2. Person Maskulinum Singular, „in deiner Mitte") als lokale Bestimmung, </w:t>
      </w:r>
      <w:r>
        <w:rPr>
          <w:rStyle w:val="Fett"/>
          <w:rFonts w:eastAsiaTheme="majorEastAsia"/>
          <w:rtl/>
        </w:rPr>
        <w:t>נָבִיא</w:t>
      </w:r>
      <w:r>
        <w:rPr>
          <w:rtl/>
        </w:rPr>
        <w:t xml:space="preserve"> </w:t>
      </w:r>
      <w:r>
        <w:t xml:space="preserve">(„Prophet") als Subjekt, koordiniert durch </w:t>
      </w:r>
      <w:r>
        <w:rPr>
          <w:rStyle w:val="Fett"/>
          <w:rFonts w:eastAsiaTheme="majorEastAsia"/>
          <w:rtl/>
        </w:rPr>
        <w:t>אוֹ</w:t>
      </w:r>
      <w:r>
        <w:rPr>
          <w:rtl/>
        </w:rPr>
        <w:t xml:space="preserve"> </w:t>
      </w:r>
      <w:r>
        <w:t xml:space="preserve">(„oder") mit </w:t>
      </w:r>
      <w:r>
        <w:rPr>
          <w:rStyle w:val="Fett"/>
          <w:rFonts w:eastAsiaTheme="majorEastAsia"/>
          <w:rtl/>
        </w:rPr>
        <w:t>חֹלֵם חֲלוֹם</w:t>
      </w:r>
      <w:r>
        <w:rPr>
          <w:rtl/>
        </w:rPr>
        <w:t xml:space="preserve"> </w:t>
      </w:r>
      <w:r>
        <w:t>(</w:t>
      </w:r>
      <w:r>
        <w:rPr>
          <w:rStyle w:val="Fett"/>
          <w:rFonts w:eastAsiaTheme="majorEastAsia"/>
          <w:rtl/>
        </w:rPr>
        <w:t>חלם</w:t>
      </w:r>
      <w:r>
        <w:t xml:space="preserve">, Qal Partizip Maskulinum Singular von </w:t>
      </w:r>
      <w:r>
        <w:rPr>
          <w:rStyle w:val="Fett"/>
          <w:rFonts w:eastAsiaTheme="majorEastAsia"/>
          <w:rtl/>
        </w:rPr>
        <w:t>חלם</w:t>
      </w:r>
      <w:r>
        <w:t xml:space="preserve">, „träumen", mit innerem Objekt </w:t>
      </w:r>
      <w:r>
        <w:rPr>
          <w:rStyle w:val="Fett"/>
          <w:rFonts w:eastAsiaTheme="majorEastAsia"/>
          <w:rtl/>
        </w:rPr>
        <w:t>חֲלוֹם</w:t>
      </w:r>
      <w:r>
        <w:t xml:space="preserve">, „Traum", „Träumer von Träumen"). Die Konstruktion </w:t>
      </w:r>
      <w:r>
        <w:rPr>
          <w:rStyle w:val="Fett"/>
          <w:rFonts w:eastAsiaTheme="majorEastAsia"/>
          <w:rtl/>
        </w:rPr>
        <w:t>חלם חלום</w:t>
      </w:r>
      <w:r>
        <w:rPr>
          <w:rtl/>
        </w:rPr>
        <w:t xml:space="preserve"> </w:t>
      </w:r>
      <w:r>
        <w:t>ist ein figura etymologica, der die Tätigkeit verstärkt.</w:t>
      </w:r>
    </w:p>
    <w:p w14:paraId="14A42664" w14:textId="77777777" w:rsidR="00724090" w:rsidRDefault="00724090" w:rsidP="00724090">
      <w:pPr>
        <w:pStyle w:val="whitespace-normal"/>
      </w:pPr>
      <w:r>
        <w:rPr>
          <w:rStyle w:val="Fett"/>
          <w:rFonts w:eastAsiaTheme="majorEastAsia"/>
          <w:rtl/>
        </w:rPr>
        <w:t>וְנָתַן אֵלֶיךָ אוֹת אוֹ מוֹפֵת</w:t>
      </w:r>
      <w:r>
        <w:rPr>
          <w:rtl/>
        </w:rPr>
        <w:t xml:space="preserve"> </w:t>
      </w:r>
      <w:r>
        <w:t xml:space="preserve">ist der zweite Teil der Protasis: </w:t>
      </w:r>
      <w:r>
        <w:rPr>
          <w:rStyle w:val="Fett"/>
          <w:rFonts w:eastAsiaTheme="majorEastAsia"/>
          <w:rtl/>
        </w:rPr>
        <w:t>וְנָתַן</w:t>
      </w:r>
      <w:r>
        <w:rPr>
          <w:rtl/>
        </w:rPr>
        <w:t xml:space="preserve"> </w:t>
      </w:r>
      <w:r>
        <w:t xml:space="preserve">(Qal Perfekt, 3. Person Maskulinum Singular von </w:t>
      </w:r>
      <w:r>
        <w:rPr>
          <w:rStyle w:val="Fett"/>
          <w:rFonts w:eastAsiaTheme="majorEastAsia"/>
          <w:rtl/>
        </w:rPr>
        <w:t>נתן</w:t>
      </w:r>
      <w:r>
        <w:t xml:space="preserve">, „geben", mit </w:t>
      </w:r>
      <w:r>
        <w:rPr>
          <w:rStyle w:val="Fett"/>
          <w:rFonts w:eastAsiaTheme="majorEastAsia"/>
        </w:rPr>
        <w:t>Waw</w:t>
      </w:r>
      <w:r>
        <w:t xml:space="preserve"> consecutives Perfekt), </w:t>
      </w:r>
      <w:r>
        <w:rPr>
          <w:rStyle w:val="Fett"/>
          <w:rFonts w:eastAsiaTheme="majorEastAsia"/>
          <w:rtl/>
        </w:rPr>
        <w:t>אֵלֶיךָ</w:t>
      </w:r>
      <w:r>
        <w:rPr>
          <w:rtl/>
        </w:rPr>
        <w:t xml:space="preserve"> </w:t>
      </w:r>
      <w:r>
        <w:t xml:space="preserve">(Präposition </w:t>
      </w:r>
      <w:r>
        <w:rPr>
          <w:rStyle w:val="Fett"/>
          <w:rFonts w:eastAsiaTheme="majorEastAsia"/>
          <w:rtl/>
        </w:rPr>
        <w:t>אֶל</w:t>
      </w:r>
      <w:r>
        <w:t xml:space="preserve">, „zu", mit Suffix 2. Person Maskulinum Singular) als Richtungsangabe, </w:t>
      </w:r>
      <w:r>
        <w:rPr>
          <w:rStyle w:val="Fett"/>
          <w:rFonts w:eastAsiaTheme="majorEastAsia"/>
          <w:rtl/>
        </w:rPr>
        <w:t>אוֹת</w:t>
      </w:r>
      <w:r>
        <w:rPr>
          <w:rtl/>
        </w:rPr>
        <w:t xml:space="preserve"> </w:t>
      </w:r>
      <w:r>
        <w:t xml:space="preserve">(„Zeichen"), koordiniert </w:t>
      </w:r>
      <w:r>
        <w:lastRenderedPageBreak/>
        <w:t xml:space="preserve">durch </w:t>
      </w:r>
      <w:r>
        <w:rPr>
          <w:rStyle w:val="Fett"/>
          <w:rFonts w:eastAsiaTheme="majorEastAsia"/>
          <w:rtl/>
        </w:rPr>
        <w:t>אוֹ</w:t>
      </w:r>
      <w:r>
        <w:rPr>
          <w:rtl/>
        </w:rPr>
        <w:t xml:space="preserve"> </w:t>
      </w:r>
      <w:r>
        <w:t xml:space="preserve">mit </w:t>
      </w:r>
      <w:r>
        <w:rPr>
          <w:rStyle w:val="Fett"/>
          <w:rFonts w:eastAsiaTheme="majorEastAsia"/>
          <w:rtl/>
        </w:rPr>
        <w:t>מוֹפֵת</w:t>
      </w:r>
      <w:r>
        <w:rPr>
          <w:rtl/>
        </w:rPr>
        <w:t xml:space="preserve"> </w:t>
      </w:r>
      <w:r>
        <w:t xml:space="preserve">(„Wunder, Wunderzeichen") als direktes Objekt. </w:t>
      </w:r>
      <w:r>
        <w:rPr>
          <w:rStyle w:val="Fett"/>
          <w:rFonts w:eastAsiaTheme="majorEastAsia"/>
          <w:rtl/>
        </w:rPr>
        <w:t>אוֹת</w:t>
      </w:r>
      <w:r>
        <w:rPr>
          <w:rtl/>
        </w:rPr>
        <w:t xml:space="preserve"> </w:t>
      </w:r>
      <w:r>
        <w:t xml:space="preserve">bezeichnet ein Zeichen als Legitimation, </w:t>
      </w:r>
      <w:r>
        <w:rPr>
          <w:rStyle w:val="Fett"/>
          <w:rFonts w:eastAsiaTheme="majorEastAsia"/>
          <w:rtl/>
        </w:rPr>
        <w:t>מוֹפֵת</w:t>
      </w:r>
      <w:r>
        <w:rPr>
          <w:rtl/>
        </w:rPr>
        <w:t xml:space="preserve"> </w:t>
      </w:r>
      <w:r>
        <w:t>ein außergewöhnliches Wunder.</w:t>
      </w:r>
    </w:p>
    <w:p w14:paraId="786197CD" w14:textId="324A929E" w:rsidR="00724090" w:rsidRDefault="00724090" w:rsidP="00724090">
      <w:pPr>
        <w:pStyle w:val="whitespace-normal"/>
      </w:pPr>
      <w:r>
        <w:t xml:space="preserve">Der Vers leitet die Warnung vor falschen Propheten ein. Die Kombination </w:t>
      </w:r>
      <w:r>
        <w:rPr>
          <w:rStyle w:val="Fett"/>
          <w:rFonts w:eastAsiaTheme="majorEastAsia"/>
          <w:rtl/>
        </w:rPr>
        <w:t>נָבִיא אוֹ חֹלֵם חֲלוֹם</w:t>
      </w:r>
      <w:r>
        <w:rPr>
          <w:rtl/>
        </w:rPr>
        <w:t xml:space="preserve"> </w:t>
      </w:r>
      <w:r>
        <w:t xml:space="preserve">umfasst zwei Arten von Offenbarungsempfängern: Propheten (die durch Visionen oder direkte Gottesrede empfangen) und Traumdeuter (die durch Träume empfangen). Die Formulierung </w:t>
      </w:r>
      <w:r>
        <w:rPr>
          <w:rStyle w:val="Fett"/>
          <w:rFonts w:eastAsiaTheme="majorEastAsia"/>
          <w:rtl/>
        </w:rPr>
        <w:t>בְּקִרְבְּךָ</w:t>
      </w:r>
      <w:r>
        <w:rPr>
          <w:rtl/>
        </w:rPr>
        <w:t xml:space="preserve"> </w:t>
      </w:r>
      <w:r>
        <w:t xml:space="preserve">(„in deiner Mitte") betont, dass die </w:t>
      </w:r>
      <w:r w:rsidR="00D84597">
        <w:t>Gefahr</w:t>
      </w:r>
      <w:r>
        <w:t xml:space="preserve"> von innen kommt. Die Erwähnung von </w:t>
      </w:r>
      <w:r>
        <w:rPr>
          <w:rStyle w:val="Fett"/>
          <w:rFonts w:eastAsiaTheme="majorEastAsia"/>
          <w:rtl/>
        </w:rPr>
        <w:t>אוֹת אוֹ מוֹפֵת</w:t>
      </w:r>
      <w:r>
        <w:rPr>
          <w:rtl/>
        </w:rPr>
        <w:t xml:space="preserve"> </w:t>
      </w:r>
      <w:r>
        <w:t>zeigt, dass selbst echte Wunderzeichen nicht automatisch die Botschaft legitimieren – entscheidend ist der Inhalt der Botschaft (V. 3-4).</w:t>
      </w:r>
    </w:p>
    <w:p w14:paraId="111C1525" w14:textId="77777777" w:rsidR="00E3356A" w:rsidRPr="00E3356A" w:rsidRDefault="00E3356A" w:rsidP="00E3356A">
      <w:pPr>
        <w:spacing w:before="100" w:beforeAutospacing="1" w:after="100" w:afterAutospacing="1" w:line="240" w:lineRule="auto"/>
        <w:outlineLvl w:val="1"/>
        <w:rPr>
          <w:rFonts w:eastAsia="Times New Roman"/>
          <w:b/>
          <w:bCs/>
          <w:sz w:val="36"/>
          <w:szCs w:val="36"/>
          <w:lang w:eastAsia="de-DE"/>
        </w:rPr>
      </w:pPr>
      <w:r w:rsidRPr="00E3356A">
        <w:rPr>
          <w:rFonts w:eastAsia="Times New Roman"/>
          <w:b/>
          <w:bCs/>
          <w:sz w:val="36"/>
          <w:szCs w:val="36"/>
          <w:lang w:eastAsia="de-DE"/>
        </w:rPr>
        <w:t>Vers 2 (MT 13,2) / Vers 1 (LXX 13,1)</w:t>
      </w:r>
    </w:p>
    <w:p w14:paraId="5AA6B29D" w14:textId="3DD98921" w:rsidR="00E3356A" w:rsidRPr="00E3356A" w:rsidRDefault="00E3356A" w:rsidP="00E3356A">
      <w:pPr>
        <w:spacing w:before="100" w:beforeAutospacing="1" w:after="100" w:afterAutospacing="1" w:line="240" w:lineRule="auto"/>
        <w:rPr>
          <w:rFonts w:eastAsia="Times New Roman"/>
          <w:lang w:eastAsia="de-DE"/>
        </w:rPr>
      </w:pPr>
      <w:r w:rsidRPr="00E3356A">
        <w:rPr>
          <w:rFonts w:eastAsia="Times New Roman"/>
          <w:b/>
          <w:bCs/>
          <w:lang w:eastAsia="de-DE"/>
        </w:rPr>
        <w:t>Die LXX</w:t>
      </w:r>
      <w:r w:rsidRPr="00E3356A">
        <w:rPr>
          <w:rFonts w:eastAsia="Times New Roman"/>
          <w:lang w:eastAsia="de-DE"/>
        </w:rPr>
        <w:t xml:space="preserve"> übersetzt mit "</w:t>
      </w:r>
      <w:proofErr w:type="spellStart"/>
      <w:r w:rsidRPr="00E3356A">
        <w:rPr>
          <w:rFonts w:eastAsia="Times New Roman"/>
          <w:lang w:eastAsia="de-DE"/>
        </w:rPr>
        <w:t>Ἐὰν</w:t>
      </w:r>
      <w:proofErr w:type="spellEnd"/>
      <w:r w:rsidRPr="00E3356A">
        <w:rPr>
          <w:rFonts w:eastAsia="Times New Roman"/>
          <w:lang w:eastAsia="de-DE"/>
        </w:rPr>
        <w:t xml:space="preserve"> </w:t>
      </w:r>
      <w:proofErr w:type="spellStart"/>
      <w:r w:rsidRPr="00E3356A">
        <w:rPr>
          <w:rFonts w:eastAsia="Times New Roman"/>
          <w:lang w:eastAsia="de-DE"/>
        </w:rPr>
        <w:t>δὲ</w:t>
      </w:r>
      <w:proofErr w:type="spellEnd"/>
      <w:r w:rsidRPr="00E3356A">
        <w:rPr>
          <w:rFonts w:eastAsia="Times New Roman"/>
          <w:lang w:eastAsia="de-DE"/>
        </w:rPr>
        <w:t xml:space="preserve"> </w:t>
      </w:r>
      <w:proofErr w:type="spellStart"/>
      <w:r w:rsidRPr="00E3356A">
        <w:rPr>
          <w:rFonts w:eastAsia="Times New Roman"/>
          <w:lang w:eastAsia="de-DE"/>
        </w:rPr>
        <w:t>ἀν</w:t>
      </w:r>
      <w:proofErr w:type="spellEnd"/>
      <w:r w:rsidRPr="00E3356A">
        <w:rPr>
          <w:rFonts w:eastAsia="Times New Roman"/>
          <w:lang w:eastAsia="de-DE"/>
        </w:rPr>
        <w:t xml:space="preserve">αστῇ" (Wenn aber aufstehen wird) für das hebräische </w:t>
      </w:r>
      <w:r w:rsidRPr="00E3356A">
        <w:rPr>
          <w:rFonts w:eastAsia="Times New Roman"/>
          <w:rtl/>
          <w:lang w:eastAsia="de-DE"/>
        </w:rPr>
        <w:t>כִּי־יָקוּם</w:t>
      </w:r>
      <w:r w:rsidRPr="00E3356A">
        <w:rPr>
          <w:rFonts w:eastAsia="Times New Roman"/>
          <w:lang w:eastAsia="de-DE"/>
        </w:rPr>
        <w:t xml:space="preserve">, wobei das griechische Konditional </w:t>
      </w:r>
      <w:proofErr w:type="spellStart"/>
      <w:r w:rsidRPr="00E3356A">
        <w:rPr>
          <w:rFonts w:eastAsia="Times New Roman"/>
          <w:lang w:eastAsia="de-DE"/>
        </w:rPr>
        <w:t>ἐάν</w:t>
      </w:r>
      <w:proofErr w:type="spellEnd"/>
      <w:r w:rsidRPr="00E3356A">
        <w:rPr>
          <w:rFonts w:eastAsia="Times New Roman"/>
          <w:lang w:eastAsia="de-DE"/>
        </w:rPr>
        <w:t xml:space="preserve"> die Möglichkeit stärker betont als das einfache </w:t>
      </w:r>
      <w:r w:rsidRPr="00E3356A">
        <w:rPr>
          <w:rFonts w:eastAsia="Times New Roman"/>
          <w:rtl/>
          <w:lang w:eastAsia="de-DE"/>
        </w:rPr>
        <w:t>כִּי</w:t>
      </w:r>
      <w:r w:rsidRPr="00E3356A">
        <w:rPr>
          <w:rFonts w:eastAsia="Times New Roman"/>
          <w:lang w:eastAsia="de-DE"/>
        </w:rPr>
        <w:t xml:space="preserve">. Die Phrase </w:t>
      </w:r>
      <w:proofErr w:type="spellStart"/>
      <w:r w:rsidRPr="00E3356A">
        <w:rPr>
          <w:rFonts w:eastAsia="Times New Roman"/>
          <w:lang w:eastAsia="de-DE"/>
        </w:rPr>
        <w:t>ἐνυ</w:t>
      </w:r>
      <w:proofErr w:type="spellEnd"/>
      <w:r w:rsidRPr="00E3356A">
        <w:rPr>
          <w:rFonts w:eastAsia="Times New Roman"/>
          <w:lang w:eastAsia="de-DE"/>
        </w:rPr>
        <w:t xml:space="preserve">πνιαζόμενος </w:t>
      </w:r>
      <w:proofErr w:type="spellStart"/>
      <w:r w:rsidRPr="00E3356A">
        <w:rPr>
          <w:rFonts w:eastAsia="Times New Roman"/>
          <w:lang w:eastAsia="de-DE"/>
        </w:rPr>
        <w:t>ἐνύ</w:t>
      </w:r>
      <w:proofErr w:type="spellEnd"/>
      <w:r w:rsidRPr="00E3356A">
        <w:rPr>
          <w:rFonts w:eastAsia="Times New Roman"/>
          <w:lang w:eastAsia="de-DE"/>
        </w:rPr>
        <w:t xml:space="preserve">πνιον (einer, der einen Traum träumt) ist eine wörtliche Wiedergabe von </w:t>
      </w:r>
      <w:r w:rsidRPr="00E3356A">
        <w:rPr>
          <w:rFonts w:eastAsia="Times New Roman"/>
          <w:rtl/>
          <w:lang w:eastAsia="de-DE"/>
        </w:rPr>
        <w:t>חֹלֵם חֲלוֹם</w:t>
      </w:r>
      <w:r w:rsidRPr="00E3356A">
        <w:rPr>
          <w:rFonts w:eastAsia="Times New Roman"/>
          <w:lang w:eastAsia="de-DE"/>
        </w:rPr>
        <w:t xml:space="preserve"> mit einem Partizip Präsens Medium, das den aktiven Prozess des Träumens hervorhebt. Der Begriff </w:t>
      </w:r>
      <w:proofErr w:type="spellStart"/>
      <w:r w:rsidRPr="00E3356A">
        <w:rPr>
          <w:rFonts w:eastAsia="Times New Roman"/>
          <w:lang w:eastAsia="de-DE"/>
        </w:rPr>
        <w:t>σημεῖον</w:t>
      </w:r>
      <w:proofErr w:type="spellEnd"/>
      <w:r w:rsidRPr="00E3356A">
        <w:rPr>
          <w:rFonts w:eastAsia="Times New Roman"/>
          <w:lang w:eastAsia="de-DE"/>
        </w:rPr>
        <w:t xml:space="preserve"> ἢ </w:t>
      </w:r>
      <w:proofErr w:type="spellStart"/>
      <w:r w:rsidRPr="00E3356A">
        <w:rPr>
          <w:rFonts w:eastAsia="Times New Roman"/>
          <w:lang w:eastAsia="de-DE"/>
        </w:rPr>
        <w:t>τέρ</w:t>
      </w:r>
      <w:proofErr w:type="spellEnd"/>
      <w:r w:rsidRPr="00E3356A">
        <w:rPr>
          <w:rFonts w:eastAsia="Times New Roman"/>
          <w:lang w:eastAsia="de-DE"/>
        </w:rPr>
        <w:t xml:space="preserve">ας (Zeichen oder Wunder) entspricht dem hebräischen </w:t>
      </w:r>
      <w:r w:rsidRPr="00E3356A">
        <w:rPr>
          <w:rFonts w:eastAsia="Times New Roman"/>
          <w:rtl/>
          <w:lang w:eastAsia="de-DE"/>
        </w:rPr>
        <w:t>אוֹת אוֹ מוֹפֵת</w:t>
      </w:r>
      <w:r w:rsidRPr="00E3356A">
        <w:rPr>
          <w:rFonts w:eastAsia="Times New Roman"/>
          <w:lang w:eastAsia="de-DE"/>
        </w:rPr>
        <w:t xml:space="preserve"> und bleibt semantisch äquivalent.</w:t>
      </w:r>
    </w:p>
    <w:p w14:paraId="53098CA2" w14:textId="77777777" w:rsidR="00724090" w:rsidRDefault="00724090" w:rsidP="00724090">
      <w:pPr>
        <w:pStyle w:val="whitespace-normal"/>
      </w:pPr>
      <w:r>
        <w:rPr>
          <w:rStyle w:val="Fett"/>
          <w:rFonts w:eastAsiaTheme="majorEastAsia"/>
        </w:rPr>
        <w:t>Die Satzstruktur</w:t>
      </w:r>
      <w:r>
        <w:t xml:space="preserve"> besteht aus einem konditionalen Satz mit zweigliedrigem Subjekt und einem </w:t>
      </w:r>
      <w:proofErr w:type="spellStart"/>
      <w:r>
        <w:t>coordinierten</w:t>
      </w:r>
      <w:proofErr w:type="spellEnd"/>
      <w:r>
        <w:t xml:space="preserve"> Satz: Konditionale Konjunktion (wenn), Prädikat (aufsteht), lokale Bestimmung (in deiner Mitte), zweigliedriges Subjekt (ein Prophet oder ein Träumer von Träumen); koordinierter Satz mit Prädikat (gibt), Richtungsangabe (dir), zweigliedrigem direktem Objekt (ein Zeichen oder ein Wunder).</w:t>
      </w:r>
    </w:p>
    <w:p w14:paraId="3064F1C1" w14:textId="77777777" w:rsidR="00724090" w:rsidRDefault="00724090" w:rsidP="00724090">
      <w:pPr>
        <w:pStyle w:val="whitespace-normal"/>
      </w:pPr>
      <w:r>
        <w:t>Der Vers eröffnet das Szenario: Wenn ein Prophet oder Traumdeuter in Israels Mitte auftritt und ein Zeichen oder Wunder ankündigt – dann folgt in V. 3-6 die Warnung.</w:t>
      </w:r>
    </w:p>
    <w:p w14:paraId="2B9B36DB"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13,3</w:t>
      </w:r>
    </w:p>
    <w:p w14:paraId="7C943CCE" w14:textId="77777777" w:rsidR="00724090" w:rsidRDefault="00724090" w:rsidP="00724090">
      <w:pPr>
        <w:pStyle w:val="whitespace-normal"/>
      </w:pPr>
      <w:r>
        <w:rPr>
          <w:rStyle w:val="Fett"/>
          <w:rFonts w:eastAsiaTheme="majorEastAsia"/>
        </w:rPr>
        <w:t>Hebräisch:</w:t>
      </w:r>
      <w:r>
        <w:t xml:space="preserve"> </w:t>
      </w:r>
      <w:r>
        <w:rPr>
          <w:rtl/>
        </w:rPr>
        <w:t>וּבָ֤א הָאוֹת֙ וְהַמּוֹפֵ֔ת אֲשֶׁר־דִּבֶּ֥ר אֵלֶ֖יךָ לֵאמֹ֑ר נֵֽלְכָ֞ה אַחֲרֵ֨י אֱלֹהִ֧ים אֲחֵרִ֛ים אֲשֶׁ֥ר לֹֽא־יְדַעְתָּ֖ם וְנָֽעָבְדֵֽם׃</w:t>
      </w:r>
    </w:p>
    <w:p w14:paraId="5DEDB574" w14:textId="66F1582C" w:rsidR="00724090" w:rsidRDefault="00724090" w:rsidP="00724090">
      <w:pPr>
        <w:pStyle w:val="whitespace-normal"/>
      </w:pPr>
      <w:r>
        <w:rPr>
          <w:rStyle w:val="Fett"/>
          <w:rFonts w:eastAsiaTheme="majorEastAsia"/>
        </w:rPr>
        <w:t>Deutsch:</w:t>
      </w:r>
      <w:r>
        <w:t xml:space="preserve"> Und das Zeichen oder das Wunder trifft ein, von dem er zu dir geredet hat, indem er sprach: Lass uns anderen Göttern nachgehen, die du nicht gekannt hast, und ihnen dienen!</w:t>
      </w:r>
    </w:p>
    <w:p w14:paraId="53D08E63" w14:textId="4C3F452F" w:rsidR="009C316F" w:rsidRDefault="004F5CEB" w:rsidP="00724090">
      <w:pPr>
        <w:pStyle w:val="whitespace-normal"/>
      </w:pPr>
      <w:r>
        <w:rPr>
          <w:noProof/>
        </w:rPr>
        <w:pict w14:anchorId="02F35638">
          <v:rect id="_x0000_i1406" style="width:0;height:1.5pt" o:hralign="center" o:hrstd="t" o:hr="t" fillcolor="#a0a0a0" stroked="f"/>
        </w:pict>
      </w:r>
    </w:p>
    <w:p w14:paraId="0356FE7B"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וּבָא הָאוֹת וְהַמּוֹפֵת אֲשֶׁר־דִּבֶּר אֵלֶיךָ לֵאמֹר</w:t>
      </w:r>
      <w:r>
        <w:rPr>
          <w:rtl/>
        </w:rPr>
        <w:t xml:space="preserve"> </w:t>
      </w:r>
      <w:r>
        <w:t xml:space="preserve">ist die Fortsetzung der Protasis: </w:t>
      </w:r>
      <w:r>
        <w:rPr>
          <w:rStyle w:val="Fett"/>
          <w:rFonts w:eastAsiaTheme="majorEastAsia"/>
          <w:rtl/>
        </w:rPr>
        <w:t>וּבָא</w:t>
      </w:r>
      <w:r>
        <w:rPr>
          <w:rtl/>
        </w:rPr>
        <w:t xml:space="preserve"> </w:t>
      </w:r>
      <w:r>
        <w:t xml:space="preserve">(Qal Perfekt, 3. Person Maskulinum Singular von </w:t>
      </w:r>
      <w:r>
        <w:rPr>
          <w:rStyle w:val="Fett"/>
          <w:rFonts w:eastAsiaTheme="majorEastAsia"/>
          <w:rtl/>
        </w:rPr>
        <w:t>בוא</w:t>
      </w:r>
      <w:r>
        <w:t xml:space="preserve">, „kommen", in diesem Kontext „eintreffen, sich erfüllen", mit </w:t>
      </w:r>
      <w:r>
        <w:rPr>
          <w:rStyle w:val="Fett"/>
          <w:rFonts w:eastAsiaTheme="majorEastAsia"/>
        </w:rPr>
        <w:t>Waw</w:t>
      </w:r>
      <w:r>
        <w:t xml:space="preserve"> consecutives Perfekt), </w:t>
      </w:r>
      <w:r>
        <w:rPr>
          <w:rStyle w:val="Fett"/>
          <w:rFonts w:eastAsiaTheme="majorEastAsia"/>
          <w:rtl/>
        </w:rPr>
        <w:t>הָאוֹת וְהַמּוֹפֵת</w:t>
      </w:r>
      <w:r>
        <w:rPr>
          <w:rtl/>
        </w:rPr>
        <w:t xml:space="preserve"> </w:t>
      </w:r>
      <w:r>
        <w:t xml:space="preserve">(„das Zeichen und das Wunder", beide mit Artikel) als Subjekt, </w:t>
      </w:r>
      <w:r>
        <w:rPr>
          <w:rStyle w:val="Fett"/>
          <w:rFonts w:eastAsiaTheme="majorEastAsia"/>
          <w:rtl/>
        </w:rPr>
        <w:t>אֲשֶׁר־דִּבֶּר אֵלֶיךָ</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דִּבֶּר</w:t>
      </w:r>
      <w:r>
        <w:t xml:space="preserve">, Piel Perfekt, 3. Person Maskulinum Singular von </w:t>
      </w:r>
      <w:r>
        <w:rPr>
          <w:rStyle w:val="Fett"/>
          <w:rFonts w:eastAsiaTheme="majorEastAsia"/>
          <w:rtl/>
        </w:rPr>
        <w:t>דבר</w:t>
      </w:r>
      <w:r>
        <w:t xml:space="preserve">, „reden", und </w:t>
      </w:r>
      <w:r>
        <w:rPr>
          <w:rStyle w:val="Fett"/>
          <w:rFonts w:eastAsiaTheme="majorEastAsia"/>
          <w:rtl/>
        </w:rPr>
        <w:t>אֵלֶיךָ</w:t>
      </w:r>
      <w:r>
        <w:t xml:space="preserve">, Präposition </w:t>
      </w:r>
      <w:r>
        <w:rPr>
          <w:rStyle w:val="Fett"/>
          <w:rFonts w:eastAsiaTheme="majorEastAsia"/>
          <w:rtl/>
        </w:rPr>
        <w:t>אֶל</w:t>
      </w:r>
      <w:r>
        <w:rPr>
          <w:rtl/>
        </w:rPr>
        <w:t xml:space="preserve"> </w:t>
      </w:r>
      <w:r>
        <w:t xml:space="preserve">mit Suffix 2. Person Maskulinum Singular) und </w:t>
      </w:r>
      <w:r>
        <w:rPr>
          <w:rStyle w:val="Fett"/>
          <w:rFonts w:eastAsiaTheme="majorEastAsia"/>
          <w:rtl/>
        </w:rPr>
        <w:t>לֵאמֹר</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אמר</w:t>
      </w:r>
      <w:r>
        <w:t>, „sagen", „indem er sprach, sagend").</w:t>
      </w:r>
    </w:p>
    <w:p w14:paraId="3B6D7845" w14:textId="77777777" w:rsidR="00724090" w:rsidRDefault="00724090" w:rsidP="00724090">
      <w:pPr>
        <w:pStyle w:val="whitespace-normal"/>
      </w:pPr>
      <w:r>
        <w:rPr>
          <w:rStyle w:val="Fett"/>
          <w:rFonts w:eastAsiaTheme="majorEastAsia"/>
          <w:rtl/>
        </w:rPr>
        <w:t>נֵלְכָה אַחֲרֵי אֱלֹהִים אֲחֵרִים אֲשֶׁר לֹא־יְדַעְתָּם וְנָעָבְדֵם</w:t>
      </w:r>
      <w:r>
        <w:rPr>
          <w:rtl/>
        </w:rPr>
        <w:t xml:space="preserve"> </w:t>
      </w:r>
      <w:r>
        <w:t xml:space="preserve">ist die direkte Rede: </w:t>
      </w:r>
      <w:r>
        <w:rPr>
          <w:rStyle w:val="Fett"/>
          <w:rFonts w:eastAsiaTheme="majorEastAsia"/>
          <w:rtl/>
        </w:rPr>
        <w:t>נֵלְכָה</w:t>
      </w:r>
      <w:r>
        <w:rPr>
          <w:rtl/>
        </w:rPr>
        <w:t xml:space="preserve"> </w:t>
      </w:r>
      <w:r>
        <w:t xml:space="preserve">(Qal Imperfekt, 1. Person Plural von </w:t>
      </w:r>
      <w:r>
        <w:rPr>
          <w:rStyle w:val="Fett"/>
          <w:rFonts w:eastAsiaTheme="majorEastAsia"/>
          <w:rtl/>
        </w:rPr>
        <w:t>הלך</w:t>
      </w:r>
      <w:r>
        <w:t xml:space="preserve">, „gehen", als Kohortativ, „lass uns gehen"), </w:t>
      </w:r>
      <w:r>
        <w:rPr>
          <w:rStyle w:val="Fett"/>
          <w:rFonts w:eastAsiaTheme="majorEastAsia"/>
          <w:rtl/>
        </w:rPr>
        <w:t>אַחֲרֵי אֱלֹהִים אֲחֵרִים</w:t>
      </w:r>
      <w:r>
        <w:rPr>
          <w:rtl/>
        </w:rPr>
        <w:t xml:space="preserve"> </w:t>
      </w:r>
      <w:r>
        <w:lastRenderedPageBreak/>
        <w:t xml:space="preserve">(Präposition </w:t>
      </w:r>
      <w:r>
        <w:rPr>
          <w:rStyle w:val="Fett"/>
          <w:rFonts w:eastAsiaTheme="majorEastAsia"/>
          <w:rtl/>
        </w:rPr>
        <w:t>אַחֲרֵי</w:t>
      </w:r>
      <w:r>
        <w:t xml:space="preserve">, „nach, hinter", mit </w:t>
      </w:r>
      <w:r>
        <w:rPr>
          <w:rStyle w:val="Fett"/>
          <w:rFonts w:eastAsiaTheme="majorEastAsia"/>
          <w:rtl/>
        </w:rPr>
        <w:t>אֱלֹהִים אֲחֵרִים</w:t>
      </w:r>
      <w:r>
        <w:t xml:space="preserve">, „andere Götter"), </w:t>
      </w:r>
      <w:r>
        <w:rPr>
          <w:rStyle w:val="Fett"/>
          <w:rFonts w:eastAsiaTheme="majorEastAsia"/>
          <w:rtl/>
        </w:rPr>
        <w:t>אֲשֶׁר לֹא־יְדַעְתָּם</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לֹא־יְדַעְתָּם</w:t>
      </w:r>
      <w:r>
        <w:t xml:space="preserve">, Negation </w:t>
      </w:r>
      <w:r>
        <w:rPr>
          <w:rStyle w:val="Fett"/>
          <w:rFonts w:eastAsiaTheme="majorEastAsia"/>
          <w:rtl/>
        </w:rPr>
        <w:t>לֹא</w:t>
      </w:r>
      <w:r>
        <w:rPr>
          <w:rtl/>
        </w:rPr>
        <w:t xml:space="preserve"> </w:t>
      </w:r>
      <w:r>
        <w:t xml:space="preserve">mit </w:t>
      </w:r>
      <w:r>
        <w:rPr>
          <w:rStyle w:val="Fett"/>
          <w:rFonts w:eastAsiaTheme="majorEastAsia"/>
          <w:rtl/>
        </w:rPr>
        <w:t>ידע</w:t>
      </w:r>
      <w:r>
        <w:t xml:space="preserve">, Qal Perfekt, 2. Person Maskulinum Singular von </w:t>
      </w:r>
      <w:r>
        <w:rPr>
          <w:rStyle w:val="Fett"/>
          <w:rFonts w:eastAsiaTheme="majorEastAsia"/>
          <w:rtl/>
        </w:rPr>
        <w:t>ידע</w:t>
      </w:r>
      <w:r>
        <w:t xml:space="preserve">, „kennen", und Suffix 3. Person Maskulinum Plural als direktes Objekt), koordiniert durch </w:t>
      </w:r>
      <w:r>
        <w:rPr>
          <w:rStyle w:val="Fett"/>
          <w:rFonts w:eastAsiaTheme="majorEastAsia"/>
          <w:rtl/>
        </w:rPr>
        <w:t>וְ</w:t>
      </w:r>
      <w:r>
        <w:rPr>
          <w:rtl/>
        </w:rPr>
        <w:t xml:space="preserve"> </w:t>
      </w:r>
      <w:r>
        <w:t xml:space="preserve">mit </w:t>
      </w:r>
      <w:r>
        <w:rPr>
          <w:rStyle w:val="Fett"/>
          <w:rFonts w:eastAsiaTheme="majorEastAsia"/>
          <w:rtl/>
        </w:rPr>
        <w:t>נָעָבְדֵם</w:t>
      </w:r>
      <w:r>
        <w:rPr>
          <w:rtl/>
        </w:rPr>
        <w:t xml:space="preserve"> </w:t>
      </w:r>
      <w:r>
        <w:t xml:space="preserve">(Qal Imperfekt, 1. Person Plural von </w:t>
      </w:r>
      <w:r>
        <w:rPr>
          <w:rStyle w:val="Fett"/>
          <w:rFonts w:eastAsiaTheme="majorEastAsia"/>
          <w:rtl/>
        </w:rPr>
        <w:t>עבד</w:t>
      </w:r>
      <w:r>
        <w:t>, „dienen", als Kohortativ, mit Suffix 3. Person Maskulinum Plural als direktes Objekt).</w:t>
      </w:r>
    </w:p>
    <w:p w14:paraId="71ABC2C2" w14:textId="5D6E79F9" w:rsidR="00724090" w:rsidRDefault="00724090" w:rsidP="00724090">
      <w:pPr>
        <w:pStyle w:val="whitespace-normal"/>
      </w:pPr>
      <w:r>
        <w:t xml:space="preserve">Der Vers zeigt das Kriterium: Selbst wenn das angekündigte Zeichen eintrifft, disqualifiziert der Aufruf zu anderen Göttern den Propheten. Die Wendung </w:t>
      </w:r>
      <w:r>
        <w:rPr>
          <w:rStyle w:val="Fett"/>
          <w:rFonts w:eastAsiaTheme="majorEastAsia"/>
          <w:rtl/>
        </w:rPr>
        <w:t>אַחֲרֵי אֱלֹהִים אֲחֵרִים</w:t>
      </w:r>
      <w:r>
        <w:rPr>
          <w:rtl/>
        </w:rPr>
        <w:t xml:space="preserve"> </w:t>
      </w:r>
      <w:r>
        <w:t xml:space="preserve">(„anderen Göttern nachgehen") ist eine feste Formel für Abfall (vgl. 6,14; 8,19; 11,28). Die Charakterisierung </w:t>
      </w:r>
      <w:r>
        <w:rPr>
          <w:rStyle w:val="Fett"/>
          <w:rFonts w:eastAsiaTheme="majorEastAsia"/>
          <w:rtl/>
        </w:rPr>
        <w:t>אֲשֶׁר לֹא־יְדַעְתָּם</w:t>
      </w:r>
      <w:r>
        <w:rPr>
          <w:rtl/>
        </w:rPr>
        <w:t xml:space="preserve"> </w:t>
      </w:r>
      <w:r>
        <w:t xml:space="preserve">(„die du nicht gekannt hast") betont die Fremdheit dieser Götter – sie stehen außerhalb der Bundesbeziehung mit JHWH. Die beiden Kohortativen </w:t>
      </w:r>
      <w:r>
        <w:rPr>
          <w:rStyle w:val="Fett"/>
          <w:rFonts w:eastAsiaTheme="majorEastAsia"/>
          <w:rtl/>
        </w:rPr>
        <w:t>נֵלְכָה</w:t>
      </w:r>
      <w:r>
        <w:rPr>
          <w:rtl/>
        </w:rPr>
        <w:t xml:space="preserve"> </w:t>
      </w:r>
      <w:r>
        <w:t xml:space="preserve">... </w:t>
      </w:r>
      <w:r>
        <w:rPr>
          <w:rStyle w:val="Fett"/>
          <w:rFonts w:eastAsiaTheme="majorEastAsia"/>
          <w:rtl/>
        </w:rPr>
        <w:t>וְנָעָבְדֵם</w:t>
      </w:r>
      <w:r>
        <w:rPr>
          <w:rtl/>
        </w:rPr>
        <w:t xml:space="preserve"> </w:t>
      </w:r>
      <w:r>
        <w:t>zeigen die verführerische Aufforderung.</w:t>
      </w:r>
    </w:p>
    <w:p w14:paraId="125AA962" w14:textId="77777777" w:rsidR="00E3356A" w:rsidRPr="00E3356A" w:rsidRDefault="00E3356A" w:rsidP="00E3356A">
      <w:pPr>
        <w:spacing w:before="100" w:beforeAutospacing="1" w:after="100" w:afterAutospacing="1" w:line="240" w:lineRule="auto"/>
        <w:outlineLvl w:val="1"/>
        <w:rPr>
          <w:rFonts w:eastAsia="Times New Roman"/>
          <w:b/>
          <w:bCs/>
          <w:sz w:val="36"/>
          <w:szCs w:val="36"/>
          <w:lang w:eastAsia="de-DE"/>
        </w:rPr>
      </w:pPr>
      <w:r w:rsidRPr="00E3356A">
        <w:rPr>
          <w:rFonts w:eastAsia="Times New Roman"/>
          <w:b/>
          <w:bCs/>
          <w:sz w:val="36"/>
          <w:szCs w:val="36"/>
          <w:lang w:eastAsia="de-DE"/>
        </w:rPr>
        <w:t>Vers 3 (MT 13,3) / Vers 2 (LXX 13,2)</w:t>
      </w:r>
    </w:p>
    <w:p w14:paraId="724A2E21" w14:textId="7E625C65" w:rsidR="00E3356A" w:rsidRPr="00E3356A" w:rsidRDefault="00E3356A" w:rsidP="00E3356A">
      <w:pPr>
        <w:spacing w:before="100" w:beforeAutospacing="1" w:after="100" w:afterAutospacing="1" w:line="240" w:lineRule="auto"/>
        <w:rPr>
          <w:rFonts w:eastAsia="Times New Roman"/>
          <w:lang w:eastAsia="de-DE"/>
        </w:rPr>
      </w:pPr>
      <w:r w:rsidRPr="00E3356A">
        <w:rPr>
          <w:rFonts w:eastAsia="Times New Roman"/>
          <w:b/>
          <w:bCs/>
          <w:lang w:eastAsia="de-DE"/>
        </w:rPr>
        <w:t>Die LXX</w:t>
      </w:r>
      <w:r w:rsidRPr="00E3356A">
        <w:rPr>
          <w:rFonts w:eastAsia="Times New Roman"/>
          <w:lang w:eastAsia="de-DE"/>
        </w:rPr>
        <w:t xml:space="preserve"> verwendet καὶ </w:t>
      </w:r>
      <w:proofErr w:type="spellStart"/>
      <w:r w:rsidRPr="00E3356A">
        <w:rPr>
          <w:rFonts w:eastAsia="Times New Roman"/>
          <w:lang w:eastAsia="de-DE"/>
        </w:rPr>
        <w:t>ἔλθῃ</w:t>
      </w:r>
      <w:proofErr w:type="spellEnd"/>
      <w:r w:rsidRPr="00E3356A">
        <w:rPr>
          <w:rFonts w:eastAsia="Times New Roman"/>
          <w:lang w:eastAsia="de-DE"/>
        </w:rPr>
        <w:t xml:space="preserve"> (und es komme/geschehe) für </w:t>
      </w:r>
      <w:r w:rsidRPr="00E3356A">
        <w:rPr>
          <w:rFonts w:eastAsia="Times New Roman"/>
          <w:rtl/>
          <w:lang w:eastAsia="de-DE"/>
        </w:rPr>
        <w:t>וּבָא</w:t>
      </w:r>
      <w:r w:rsidRPr="00E3356A">
        <w:rPr>
          <w:rFonts w:eastAsia="Times New Roman"/>
          <w:lang w:eastAsia="de-DE"/>
        </w:rPr>
        <w:t xml:space="preserve">, wobei der Konjunktiv Aorist die hypothetische Erfüllung des Zeichens ausdrückt. Die Formulierung ὃ </w:t>
      </w:r>
      <w:proofErr w:type="spellStart"/>
      <w:r w:rsidRPr="00E3356A">
        <w:rPr>
          <w:rFonts w:eastAsia="Times New Roman"/>
          <w:lang w:eastAsia="de-DE"/>
        </w:rPr>
        <w:t>ἐλάλησεν</w:t>
      </w:r>
      <w:proofErr w:type="spellEnd"/>
      <w:r w:rsidRPr="00E3356A">
        <w:rPr>
          <w:rFonts w:eastAsia="Times New Roman"/>
          <w:lang w:eastAsia="de-DE"/>
        </w:rPr>
        <w:t xml:space="preserve"> π</w:t>
      </w:r>
      <w:proofErr w:type="spellStart"/>
      <w:r w:rsidRPr="00E3356A">
        <w:rPr>
          <w:rFonts w:eastAsia="Times New Roman"/>
          <w:lang w:eastAsia="de-DE"/>
        </w:rPr>
        <w:t>ρὸς</w:t>
      </w:r>
      <w:proofErr w:type="spellEnd"/>
      <w:r w:rsidRPr="00E3356A">
        <w:rPr>
          <w:rFonts w:eastAsia="Times New Roman"/>
          <w:lang w:eastAsia="de-DE"/>
        </w:rPr>
        <w:t xml:space="preserve"> </w:t>
      </w:r>
      <w:proofErr w:type="spellStart"/>
      <w:r w:rsidRPr="00E3356A">
        <w:rPr>
          <w:rFonts w:eastAsia="Times New Roman"/>
          <w:lang w:eastAsia="de-DE"/>
        </w:rPr>
        <w:t>σὲ</w:t>
      </w:r>
      <w:proofErr w:type="spellEnd"/>
      <w:r w:rsidRPr="00E3356A">
        <w:rPr>
          <w:rFonts w:eastAsia="Times New Roman"/>
          <w:lang w:eastAsia="de-DE"/>
        </w:rPr>
        <w:t xml:space="preserve"> </w:t>
      </w:r>
      <w:proofErr w:type="spellStart"/>
      <w:r w:rsidRPr="00E3356A">
        <w:rPr>
          <w:rFonts w:eastAsia="Times New Roman"/>
          <w:lang w:eastAsia="de-DE"/>
        </w:rPr>
        <w:t>λέγων</w:t>
      </w:r>
      <w:proofErr w:type="spellEnd"/>
      <w:r w:rsidRPr="00E3356A">
        <w:rPr>
          <w:rFonts w:eastAsia="Times New Roman"/>
          <w:lang w:eastAsia="de-DE"/>
        </w:rPr>
        <w:t xml:space="preserve"> (was er zu dir gesprochen hat, sagend) gibt das hebräische </w:t>
      </w:r>
      <w:r w:rsidRPr="00E3356A">
        <w:rPr>
          <w:rFonts w:eastAsia="Times New Roman"/>
          <w:rtl/>
          <w:lang w:eastAsia="de-DE"/>
        </w:rPr>
        <w:t>אֲשֶׁר־דִּבֶּר אֵלֶיךָ לֵאמֹר</w:t>
      </w:r>
      <w:r w:rsidRPr="00E3356A">
        <w:rPr>
          <w:rFonts w:eastAsia="Times New Roman"/>
          <w:lang w:eastAsia="de-DE"/>
        </w:rPr>
        <w:t xml:space="preserve"> präzise wieder. Bei </w:t>
      </w:r>
      <w:proofErr w:type="spellStart"/>
      <w:r w:rsidRPr="00E3356A">
        <w:rPr>
          <w:rFonts w:eastAsia="Times New Roman"/>
          <w:lang w:eastAsia="de-DE"/>
        </w:rPr>
        <w:t>θεοῖς</w:t>
      </w:r>
      <w:proofErr w:type="spellEnd"/>
      <w:r w:rsidRPr="00E3356A">
        <w:rPr>
          <w:rFonts w:eastAsia="Times New Roman"/>
          <w:lang w:eastAsia="de-DE"/>
        </w:rPr>
        <w:t xml:space="preserve"> </w:t>
      </w:r>
      <w:proofErr w:type="spellStart"/>
      <w:r w:rsidRPr="00E3356A">
        <w:rPr>
          <w:rFonts w:eastAsia="Times New Roman"/>
          <w:lang w:eastAsia="de-DE"/>
        </w:rPr>
        <w:t>ἑτέροις</w:t>
      </w:r>
      <w:proofErr w:type="spellEnd"/>
      <w:r w:rsidRPr="00E3356A">
        <w:rPr>
          <w:rFonts w:eastAsia="Times New Roman"/>
          <w:lang w:eastAsia="de-DE"/>
        </w:rPr>
        <w:t xml:space="preserve"> (anderen Göttern) für </w:t>
      </w:r>
      <w:r w:rsidRPr="00E3356A">
        <w:rPr>
          <w:rFonts w:eastAsia="Times New Roman"/>
          <w:rtl/>
          <w:lang w:eastAsia="de-DE"/>
        </w:rPr>
        <w:t>אֱלֹהִים אֲחֵרִים</w:t>
      </w:r>
      <w:r w:rsidRPr="00E3356A">
        <w:rPr>
          <w:rFonts w:eastAsia="Times New Roman"/>
          <w:lang w:eastAsia="de-DE"/>
        </w:rPr>
        <w:t xml:space="preserve"> wählt die LXX den Plural </w:t>
      </w:r>
      <w:proofErr w:type="spellStart"/>
      <w:r w:rsidRPr="00E3356A">
        <w:rPr>
          <w:rFonts w:eastAsia="Times New Roman"/>
          <w:lang w:eastAsia="de-DE"/>
        </w:rPr>
        <w:t>θεοῖς</w:t>
      </w:r>
      <w:proofErr w:type="spellEnd"/>
      <w:r w:rsidRPr="00E3356A">
        <w:rPr>
          <w:rFonts w:eastAsia="Times New Roman"/>
          <w:lang w:eastAsia="de-DE"/>
        </w:rPr>
        <w:t xml:space="preserve">, während das Hebräische die ambige Pluralform </w:t>
      </w:r>
      <w:r w:rsidRPr="00E3356A">
        <w:rPr>
          <w:rFonts w:eastAsia="Times New Roman"/>
          <w:rtl/>
          <w:lang w:eastAsia="de-DE"/>
        </w:rPr>
        <w:t>אֱלֹהִים</w:t>
      </w:r>
      <w:r w:rsidRPr="00E3356A">
        <w:rPr>
          <w:rFonts w:eastAsia="Times New Roman"/>
          <w:lang w:eastAsia="de-DE"/>
        </w:rPr>
        <w:t xml:space="preserve"> verwendet. Die Wendung </w:t>
      </w:r>
      <w:proofErr w:type="spellStart"/>
      <w:r w:rsidRPr="00E3356A">
        <w:rPr>
          <w:rFonts w:eastAsia="Times New Roman"/>
          <w:lang w:eastAsia="de-DE"/>
        </w:rPr>
        <w:t>οὓς</w:t>
      </w:r>
      <w:proofErr w:type="spellEnd"/>
      <w:r w:rsidRPr="00E3356A">
        <w:rPr>
          <w:rFonts w:eastAsia="Times New Roman"/>
          <w:lang w:eastAsia="de-DE"/>
        </w:rPr>
        <w:t xml:space="preserve"> </w:t>
      </w:r>
      <w:proofErr w:type="spellStart"/>
      <w:r w:rsidRPr="00E3356A">
        <w:rPr>
          <w:rFonts w:eastAsia="Times New Roman"/>
          <w:lang w:eastAsia="de-DE"/>
        </w:rPr>
        <w:t>οὐκ</w:t>
      </w:r>
      <w:proofErr w:type="spellEnd"/>
      <w:r w:rsidRPr="00E3356A">
        <w:rPr>
          <w:rFonts w:eastAsia="Times New Roman"/>
          <w:lang w:eastAsia="de-DE"/>
        </w:rPr>
        <w:t xml:space="preserve"> </w:t>
      </w:r>
      <w:proofErr w:type="spellStart"/>
      <w:r w:rsidRPr="00E3356A">
        <w:rPr>
          <w:rFonts w:eastAsia="Times New Roman"/>
          <w:lang w:eastAsia="de-DE"/>
        </w:rPr>
        <w:t>οἴδ</w:t>
      </w:r>
      <w:proofErr w:type="spellEnd"/>
      <w:r w:rsidRPr="00E3356A">
        <w:rPr>
          <w:rFonts w:eastAsia="Times New Roman"/>
          <w:lang w:eastAsia="de-DE"/>
        </w:rPr>
        <w:t xml:space="preserve">ατε (die ihr nicht kennt) entspricht genau dem hebräischen </w:t>
      </w:r>
      <w:r w:rsidRPr="00E3356A">
        <w:rPr>
          <w:rFonts w:eastAsia="Times New Roman"/>
          <w:rtl/>
          <w:lang w:eastAsia="de-DE"/>
        </w:rPr>
        <w:t>אֲשֶׁר לֹא־יְדַעְתָּם</w:t>
      </w:r>
      <w:r w:rsidRPr="00E3356A">
        <w:rPr>
          <w:rFonts w:eastAsia="Times New Roman"/>
          <w:lang w:eastAsia="de-DE"/>
        </w:rPr>
        <w:t>.</w:t>
      </w:r>
    </w:p>
    <w:p w14:paraId="655B888E" w14:textId="77777777" w:rsidR="00724090" w:rsidRDefault="00724090" w:rsidP="00724090">
      <w:pPr>
        <w:pStyle w:val="whitespace-normal"/>
      </w:pPr>
      <w:r>
        <w:rPr>
          <w:rStyle w:val="Fett"/>
          <w:rFonts w:eastAsiaTheme="majorEastAsia"/>
        </w:rPr>
        <w:t>Die Satzstruktur</w:t>
      </w:r>
      <w:r>
        <w:t xml:space="preserve"> besteht aus einer Fortsetzung der Protasis mit Relativsatz, einleitendem Infinitiv und direkter Rede: Prädikat (trifft ein), Subjekt (das Zeichen und das Wunder), Relativsatz (von dem er zu dir geredet hat), einleitender Infinitiv (indem er sprach); direkte Rede mit erstem Kohortativ (lass uns gehen), Richtungsangabe (anderen Göttern nach), Relativsatz (die du nicht gekannt hast), zweitem Kohortativ (und ihnen dienen).</w:t>
      </w:r>
    </w:p>
    <w:p w14:paraId="0392A800" w14:textId="579F922A" w:rsidR="00724090" w:rsidRDefault="00724090" w:rsidP="00724090">
      <w:pPr>
        <w:pStyle w:val="whitespace-normal"/>
      </w:pPr>
      <w:r>
        <w:t xml:space="preserve">Der Vers präzisiert die </w:t>
      </w:r>
      <w:r w:rsidR="00D84597">
        <w:t>Gefahr</w:t>
      </w:r>
      <w:r>
        <w:t>: Ein Prophet, dessen Zeichen sich erfüllt, fordert zum Götzendienst auf – eine tödliche Verführung trotz scheinbarer Legitimation.</w:t>
      </w:r>
    </w:p>
    <w:p w14:paraId="2C43B782"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13,4</w:t>
      </w:r>
    </w:p>
    <w:p w14:paraId="3CE3AFD9" w14:textId="77777777" w:rsidR="00724090" w:rsidRDefault="00724090" w:rsidP="00724090">
      <w:pPr>
        <w:pStyle w:val="whitespace-normal"/>
      </w:pPr>
      <w:r>
        <w:rPr>
          <w:rStyle w:val="Fett"/>
          <w:rFonts w:eastAsiaTheme="majorEastAsia"/>
        </w:rPr>
        <w:t>Hebräisch:</w:t>
      </w:r>
      <w:r>
        <w:t xml:space="preserve"> </w:t>
      </w:r>
      <w:r>
        <w:rPr>
          <w:rtl/>
        </w:rPr>
        <w:t>לֹ֣א תִשְׁמַ֗ע אֶל־דִּבְרֵי֙ הַנָּבִ֣יא הַה֔וּא א֛וֹ אֶל־חוֹלֵ֥ם הַחֲל֖וֹם הַה֑וּא כִּ֣י מְנַסֶּ֞ה יְהוָ֤ה אֱלֹֽהֵיכֶם֙ אֶתְכֶ֔ם לָדַ֗עַת הֲיִשְׁכֶ֤ם אֹֽהֲבִים֙ אֶת־יְהוָ֣ה אֱלֹהֵיכֶ֔ם בְּכָל־לְבַבְכֶ֖ם וּבְכָל־נַפְשְׁכֶֽם׃</w:t>
      </w:r>
    </w:p>
    <w:p w14:paraId="05DDE576" w14:textId="324E07AD" w:rsidR="00724090" w:rsidRDefault="00724090" w:rsidP="00724090">
      <w:pPr>
        <w:pStyle w:val="whitespace-normal"/>
      </w:pPr>
      <w:r>
        <w:rPr>
          <w:rStyle w:val="Fett"/>
          <w:rFonts w:eastAsiaTheme="majorEastAsia"/>
        </w:rPr>
        <w:t>Deutsch:</w:t>
      </w:r>
      <w:r>
        <w:t xml:space="preserve"> So sollst du nicht hören auf die Worte dieses Propheten oder auf den, der die Träume hat; denn der Ewige, euer Gott, prüft euch, um zu erkennen, ob ihr den Ewigen, euren Gott, liebt mit eurem ganzen Herzen und mit eurer ganzen Seele.</w:t>
      </w:r>
    </w:p>
    <w:p w14:paraId="76893C08" w14:textId="2DC715BC" w:rsidR="009C316F" w:rsidRDefault="004F5CEB" w:rsidP="00724090">
      <w:pPr>
        <w:pStyle w:val="whitespace-normal"/>
      </w:pPr>
      <w:r>
        <w:rPr>
          <w:noProof/>
        </w:rPr>
        <w:pict w14:anchorId="09D0E3FD">
          <v:rect id="_x0000_i1407" style="width:0;height:1.5pt" o:hralign="center" o:hrstd="t" o:hr="t" fillcolor="#a0a0a0" stroked="f"/>
        </w:pict>
      </w:r>
    </w:p>
    <w:p w14:paraId="2CB89A3D"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לֹא תִשְׁמַע אֶל־דִּבְרֵי הַנָּבִיא הַהוּא אוֹ אֶל־חוֹלֵם הַחֲלוֹם הַהוּא</w:t>
      </w:r>
      <w:r>
        <w:rPr>
          <w:rtl/>
        </w:rPr>
        <w:t xml:space="preserve"> </w:t>
      </w:r>
      <w:r>
        <w:t xml:space="preserve">ist die Apodosis: </w:t>
      </w:r>
      <w:r>
        <w:rPr>
          <w:rStyle w:val="Fett"/>
          <w:rFonts w:eastAsiaTheme="majorEastAsia"/>
          <w:rtl/>
        </w:rPr>
        <w:t>לֹא תִשְׁמַע</w:t>
      </w:r>
      <w:r>
        <w:rPr>
          <w:rtl/>
        </w:rPr>
        <w:t xml:space="preserve"> </w:t>
      </w:r>
      <w:r>
        <w:t xml:space="preserve">(Negation </w:t>
      </w:r>
      <w:r>
        <w:rPr>
          <w:rStyle w:val="Fett"/>
          <w:rFonts w:eastAsiaTheme="majorEastAsia"/>
          <w:rtl/>
        </w:rPr>
        <w:t>לֹא</w:t>
      </w:r>
      <w:r>
        <w:rPr>
          <w:rtl/>
        </w:rPr>
        <w:t xml:space="preserve"> </w:t>
      </w:r>
      <w:r>
        <w:t xml:space="preserve">mit </w:t>
      </w:r>
      <w:r>
        <w:rPr>
          <w:rStyle w:val="Fett"/>
          <w:rFonts w:eastAsiaTheme="majorEastAsia"/>
          <w:rtl/>
        </w:rPr>
        <w:t>שׁמע</w:t>
      </w:r>
      <w:r>
        <w:t xml:space="preserve">, Qal Imperfekt, 2. Person Maskulinum Singular, „hören"), </w:t>
      </w:r>
      <w:r>
        <w:rPr>
          <w:rStyle w:val="Fett"/>
          <w:rFonts w:eastAsiaTheme="majorEastAsia"/>
          <w:rtl/>
        </w:rPr>
        <w:t>אֶל־דִּבְרֵי הַנָּבִיא הַהוּא</w:t>
      </w:r>
      <w:r>
        <w:rPr>
          <w:rtl/>
        </w:rPr>
        <w:t xml:space="preserve"> </w:t>
      </w:r>
      <w:r>
        <w:t xml:space="preserve">(Präposition </w:t>
      </w:r>
      <w:r>
        <w:rPr>
          <w:rStyle w:val="Fett"/>
          <w:rFonts w:eastAsiaTheme="majorEastAsia"/>
          <w:rtl/>
        </w:rPr>
        <w:t>אֶל</w:t>
      </w:r>
      <w:r>
        <w:t xml:space="preserve">, „zu, auf", mit </w:t>
      </w:r>
      <w:r>
        <w:rPr>
          <w:rStyle w:val="Fett"/>
          <w:rFonts w:eastAsiaTheme="majorEastAsia"/>
          <w:rtl/>
        </w:rPr>
        <w:t>דָּבָר</w:t>
      </w:r>
      <w:r>
        <w:t xml:space="preserve">, „Wort", Plural Construct mit </w:t>
      </w:r>
      <w:r>
        <w:rPr>
          <w:rStyle w:val="Fett"/>
          <w:rFonts w:eastAsiaTheme="majorEastAsia"/>
          <w:rtl/>
        </w:rPr>
        <w:t>נָבִיא</w:t>
      </w:r>
      <w:r>
        <w:t xml:space="preserve">, „Prophet", mit Artikel und Demonstrativpronomen </w:t>
      </w:r>
      <w:r>
        <w:rPr>
          <w:rStyle w:val="Fett"/>
          <w:rFonts w:eastAsiaTheme="majorEastAsia"/>
          <w:rtl/>
        </w:rPr>
        <w:t>הַהוּא</w:t>
      </w:r>
      <w:r>
        <w:t xml:space="preserve">, „jener"), koordiniert durch </w:t>
      </w:r>
      <w:r>
        <w:rPr>
          <w:rStyle w:val="Fett"/>
          <w:rFonts w:eastAsiaTheme="majorEastAsia"/>
          <w:rtl/>
        </w:rPr>
        <w:t>אוֹ אֶל</w:t>
      </w:r>
      <w:r>
        <w:rPr>
          <w:rtl/>
        </w:rPr>
        <w:t xml:space="preserve"> </w:t>
      </w:r>
      <w:r>
        <w:t xml:space="preserve">mit </w:t>
      </w:r>
      <w:r>
        <w:rPr>
          <w:rStyle w:val="Fett"/>
          <w:rFonts w:eastAsiaTheme="majorEastAsia"/>
          <w:rtl/>
        </w:rPr>
        <w:t>חוֹלֵם הַחֲלוֹם הַהוּא</w:t>
      </w:r>
      <w:r>
        <w:rPr>
          <w:rtl/>
        </w:rPr>
        <w:t xml:space="preserve"> </w:t>
      </w:r>
      <w:r>
        <w:t xml:space="preserve">(Qal Partizip Maskulinum Singular von </w:t>
      </w:r>
      <w:r>
        <w:rPr>
          <w:rStyle w:val="Fett"/>
          <w:rFonts w:eastAsiaTheme="majorEastAsia"/>
          <w:rtl/>
        </w:rPr>
        <w:t>חלם</w:t>
      </w:r>
      <w:r>
        <w:t xml:space="preserve">, „träumen", mit Artikel, Construct mit </w:t>
      </w:r>
      <w:r>
        <w:rPr>
          <w:rStyle w:val="Fett"/>
          <w:rFonts w:eastAsiaTheme="majorEastAsia"/>
          <w:rtl/>
        </w:rPr>
        <w:t>חֲלוֹם</w:t>
      </w:r>
      <w:r>
        <w:t xml:space="preserve">, </w:t>
      </w:r>
      <w:r>
        <w:lastRenderedPageBreak/>
        <w:t xml:space="preserve">„Traum", mit Artikel und Demonstrativpronomen). Das Demonstrativpronomen </w:t>
      </w:r>
      <w:r>
        <w:rPr>
          <w:rStyle w:val="Fett"/>
          <w:rFonts w:eastAsiaTheme="majorEastAsia"/>
          <w:rtl/>
        </w:rPr>
        <w:t>הַהוּא</w:t>
      </w:r>
      <w:r>
        <w:rPr>
          <w:rtl/>
        </w:rPr>
        <w:t xml:space="preserve"> </w:t>
      </w:r>
      <w:r>
        <w:t>(„jener") weist abweisend auf den falschen Propheten hin.</w:t>
      </w:r>
    </w:p>
    <w:p w14:paraId="4101DCBE" w14:textId="77777777" w:rsidR="00724090" w:rsidRDefault="00724090" w:rsidP="00724090">
      <w:pPr>
        <w:pStyle w:val="whitespace-normal"/>
      </w:pPr>
      <w:r>
        <w:rPr>
          <w:rStyle w:val="Fett"/>
          <w:rFonts w:eastAsiaTheme="majorEastAsia"/>
          <w:rtl/>
        </w:rPr>
        <w:t>כִּי מְנַסֶּה יְהוָה אֱלֹהֵיכֶם אֶתְכֶם לָדַעַת הֲיִשְׁכֶם אֹהֲבִים אֶת־יְהוָה אֱלֹהֵיכֶם בְּכָל־לְבַבְכֶם וּבְכָל־נַפְשְׁכֶם</w:t>
      </w:r>
      <w:r>
        <w:rPr>
          <w:rtl/>
        </w:rPr>
        <w:t xml:space="preserve"> </w:t>
      </w:r>
      <w:r>
        <w:t xml:space="preserve">ist die kausale Begründung: </w:t>
      </w:r>
      <w:r>
        <w:rPr>
          <w:rStyle w:val="Fett"/>
          <w:rFonts w:eastAsiaTheme="majorEastAsia"/>
          <w:rtl/>
        </w:rPr>
        <w:t>כִּי</w:t>
      </w:r>
      <w:r>
        <w:rPr>
          <w:rtl/>
        </w:rPr>
        <w:t xml:space="preserve"> </w:t>
      </w:r>
      <w:r>
        <w:t xml:space="preserve">(„denn, weil") als kausale Konjunktion, </w:t>
      </w:r>
      <w:r>
        <w:rPr>
          <w:rStyle w:val="Fett"/>
          <w:rFonts w:eastAsiaTheme="majorEastAsia"/>
          <w:rtl/>
        </w:rPr>
        <w:t>מְנַסֶּה</w:t>
      </w:r>
      <w:r>
        <w:rPr>
          <w:rtl/>
        </w:rPr>
        <w:t xml:space="preserve"> </w:t>
      </w:r>
      <w:r>
        <w:t xml:space="preserve">(Piel Partizip Maskulinum Singular von </w:t>
      </w:r>
      <w:r>
        <w:rPr>
          <w:rStyle w:val="Fett"/>
          <w:rFonts w:eastAsiaTheme="majorEastAsia"/>
          <w:rtl/>
        </w:rPr>
        <w:t>נסה</w:t>
      </w:r>
      <w:r>
        <w:t xml:space="preserve">, „prüfen, versuchen"), </w:t>
      </w:r>
      <w:r>
        <w:rPr>
          <w:rStyle w:val="Fett"/>
          <w:rFonts w:eastAsiaTheme="majorEastAsia"/>
          <w:rtl/>
        </w:rPr>
        <w:t>יְהוָה אֱלֹהֵיכֶם</w:t>
      </w:r>
      <w:r>
        <w:rPr>
          <w:rtl/>
        </w:rPr>
        <w:t xml:space="preserve"> </w:t>
      </w:r>
      <w:r>
        <w:t xml:space="preserve">(Tetragramm mit Apposition </w:t>
      </w:r>
      <w:r>
        <w:rPr>
          <w:rStyle w:val="Fett"/>
          <w:rFonts w:eastAsiaTheme="majorEastAsia"/>
          <w:rtl/>
        </w:rPr>
        <w:t>אֱלֹהֵיכֶם</w:t>
      </w:r>
      <w:r>
        <w:t xml:space="preserve">) als Subjekt, </w:t>
      </w:r>
      <w:r>
        <w:rPr>
          <w:rStyle w:val="Fett"/>
          <w:rFonts w:eastAsiaTheme="majorEastAsia"/>
          <w:rtl/>
        </w:rPr>
        <w:t>אֶתְכֶם</w:t>
      </w:r>
      <w:r>
        <w:rPr>
          <w:rtl/>
        </w:rPr>
        <w:t xml:space="preserve"> </w:t>
      </w:r>
      <w:r>
        <w:t xml:space="preserve">(Objektpartikel </w:t>
      </w:r>
      <w:r>
        <w:rPr>
          <w:rStyle w:val="Fett"/>
          <w:rFonts w:eastAsiaTheme="majorEastAsia"/>
          <w:rtl/>
        </w:rPr>
        <w:t>אֵת</w:t>
      </w:r>
      <w:r>
        <w:rPr>
          <w:rtl/>
        </w:rPr>
        <w:t xml:space="preserve"> </w:t>
      </w:r>
      <w:r>
        <w:t xml:space="preserve">mit Suffix 2. Person Maskulinum Plural) als direktes Objekt, </w:t>
      </w:r>
      <w:r>
        <w:rPr>
          <w:rStyle w:val="Fett"/>
          <w:rFonts w:eastAsiaTheme="majorEastAsia"/>
          <w:rtl/>
        </w:rPr>
        <w:t>לָדַעַת</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ידע</w:t>
      </w:r>
      <w:r>
        <w:t xml:space="preserve">, „kennen, erkennen, wissen") als finale Bestimmung, </w:t>
      </w:r>
      <w:r>
        <w:rPr>
          <w:rStyle w:val="Fett"/>
          <w:rFonts w:eastAsiaTheme="majorEastAsia"/>
          <w:rtl/>
        </w:rPr>
        <w:t>הֲיִשְׁכֶם</w:t>
      </w:r>
      <w:r>
        <w:rPr>
          <w:rtl/>
        </w:rPr>
        <w:t xml:space="preserve"> </w:t>
      </w:r>
      <w:r>
        <w:t xml:space="preserve">(Fragepartikel </w:t>
      </w:r>
      <w:r>
        <w:rPr>
          <w:rStyle w:val="Fett"/>
          <w:rFonts w:eastAsiaTheme="majorEastAsia"/>
          <w:rtl/>
        </w:rPr>
        <w:t>הֲ</w:t>
      </w:r>
      <w:r>
        <w:rPr>
          <w:rtl/>
        </w:rPr>
        <w:t xml:space="preserve"> </w:t>
      </w:r>
      <w:r>
        <w:t xml:space="preserve">mit </w:t>
      </w:r>
      <w:r>
        <w:rPr>
          <w:rStyle w:val="Fett"/>
          <w:rFonts w:eastAsiaTheme="majorEastAsia"/>
          <w:rtl/>
        </w:rPr>
        <w:t>יֵשׁ</w:t>
      </w:r>
      <w:r>
        <w:t xml:space="preserve">, „es gibt, vorhanden sein", und Suffix 2. Person Maskulinum Plural, „ob ihr [seid]") als Fragepartikel mit Subjekt, </w:t>
      </w:r>
      <w:r>
        <w:rPr>
          <w:rStyle w:val="Fett"/>
          <w:rFonts w:eastAsiaTheme="majorEastAsia"/>
          <w:rtl/>
        </w:rPr>
        <w:t>אֹהֲבִים</w:t>
      </w:r>
      <w:r>
        <w:rPr>
          <w:rtl/>
        </w:rPr>
        <w:t xml:space="preserve"> </w:t>
      </w:r>
      <w:r>
        <w:t xml:space="preserve">(Qal Partizip Maskulinum Plural von </w:t>
      </w:r>
      <w:r>
        <w:rPr>
          <w:rStyle w:val="Fett"/>
          <w:rFonts w:eastAsiaTheme="majorEastAsia"/>
          <w:rtl/>
        </w:rPr>
        <w:t>אהב</w:t>
      </w:r>
      <w:r>
        <w:t xml:space="preserve">, „lieben") als Prädikat, </w:t>
      </w:r>
      <w:r>
        <w:rPr>
          <w:rStyle w:val="Fett"/>
          <w:rFonts w:eastAsiaTheme="majorEastAsia"/>
          <w:rtl/>
        </w:rPr>
        <w:t>אֶת־יְהוָה אֱלֹהֵיכֶם</w:t>
      </w:r>
      <w:r>
        <w:rPr>
          <w:rtl/>
        </w:rPr>
        <w:t xml:space="preserve"> </w:t>
      </w:r>
      <w:r>
        <w:t xml:space="preserve">als direktes Objekt und </w:t>
      </w:r>
      <w:r>
        <w:rPr>
          <w:rStyle w:val="Fett"/>
          <w:rFonts w:eastAsiaTheme="majorEastAsia"/>
          <w:rtl/>
        </w:rPr>
        <w:t>בְּכָל־לְבַבְכֶם וּבְכָל־נַפְשְׁכֶם</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כֹּל</w:t>
      </w:r>
      <w:r>
        <w:t xml:space="preserve">, „ganz, all", im Construct mit </w:t>
      </w:r>
      <w:r>
        <w:rPr>
          <w:rStyle w:val="Fett"/>
          <w:rFonts w:eastAsiaTheme="majorEastAsia"/>
          <w:rtl/>
        </w:rPr>
        <w:t>לֵבָב</w:t>
      </w:r>
      <w:r>
        <w:t xml:space="preserve">, „Herz", mit Suffix 2. Person Maskulinum Plural, koordiniert durch </w:t>
      </w:r>
      <w:r>
        <w:rPr>
          <w:rStyle w:val="Fett"/>
          <w:rFonts w:eastAsiaTheme="majorEastAsia"/>
          <w:rtl/>
        </w:rPr>
        <w:t>וּבְכָל</w:t>
      </w:r>
      <w:r>
        <w:rPr>
          <w:rtl/>
        </w:rPr>
        <w:t xml:space="preserve"> </w:t>
      </w:r>
      <w:r>
        <w:t xml:space="preserve">mit </w:t>
      </w:r>
      <w:r>
        <w:rPr>
          <w:rStyle w:val="Fett"/>
          <w:rFonts w:eastAsiaTheme="majorEastAsia"/>
          <w:rtl/>
        </w:rPr>
        <w:t>נֶפֶשׁ</w:t>
      </w:r>
      <w:r>
        <w:t>, „Seele", mit Suffix 2. Person Maskulinum Plural) als modale Bestimmung.</w:t>
      </w:r>
    </w:p>
    <w:p w14:paraId="7F7E42E8" w14:textId="1E7F872E" w:rsidR="00724090" w:rsidRDefault="00724090" w:rsidP="00724090">
      <w:pPr>
        <w:pStyle w:val="whitespace-normal"/>
      </w:pPr>
      <w:r>
        <w:t xml:space="preserve">Der Vers gibt die theologische Deutung: Das Auftreten falscher Propheten mit echten Zeichen ist göttliche Prüfung der Liebe Israels zu JHWH. Das Verb </w:t>
      </w:r>
      <w:r>
        <w:rPr>
          <w:rStyle w:val="Fett"/>
          <w:rFonts w:eastAsiaTheme="majorEastAsia"/>
          <w:rtl/>
        </w:rPr>
        <w:t>נסה</w:t>
      </w:r>
      <w:r>
        <w:rPr>
          <w:rtl/>
        </w:rPr>
        <w:t xml:space="preserve"> </w:t>
      </w:r>
      <w:r>
        <w:t xml:space="preserve">im Piel bedeutet „prüfen, auf die Probe stellen" (vgl. Gen 22,1; Ex 15,25; 16,4; 20,20). Die Frage </w:t>
      </w:r>
      <w:r>
        <w:rPr>
          <w:rStyle w:val="Fett"/>
          <w:rFonts w:eastAsiaTheme="majorEastAsia"/>
          <w:rtl/>
        </w:rPr>
        <w:t>הֲיִשְׁכֶם אֹהֲבִים</w:t>
      </w:r>
      <w:r>
        <w:rPr>
          <w:rtl/>
        </w:rPr>
        <w:t xml:space="preserve"> </w:t>
      </w:r>
      <w:r>
        <w:t xml:space="preserve">(„ob ihr liebt") zeigt: Die Prüfung zielt auf die Liebesbeziehung, nicht nur auf äußerlichen Gehorsam. Die Formel </w:t>
      </w:r>
      <w:r>
        <w:rPr>
          <w:rStyle w:val="Fett"/>
          <w:rFonts w:eastAsiaTheme="majorEastAsia"/>
          <w:rtl/>
        </w:rPr>
        <w:t>בְּכָל־לְבַבְכֶם וּבְכָל־נַפְשְׁכֶם</w:t>
      </w:r>
      <w:r>
        <w:rPr>
          <w:rtl/>
        </w:rPr>
        <w:t xml:space="preserve"> </w:t>
      </w:r>
      <w:r>
        <w:t>(„mit eurem ganzen Herzen und mit eurer ganzen Seele") ist zentral im Deuteronomium (vgl. 6,5; 10,12; 11,13; 30,2.6.10) und fordert totale Hingabe.</w:t>
      </w:r>
    </w:p>
    <w:p w14:paraId="1EA9073C" w14:textId="77777777" w:rsidR="00E3356A" w:rsidRPr="00E3356A" w:rsidRDefault="00E3356A" w:rsidP="00E3356A">
      <w:pPr>
        <w:spacing w:before="100" w:beforeAutospacing="1" w:after="100" w:afterAutospacing="1" w:line="240" w:lineRule="auto"/>
        <w:outlineLvl w:val="1"/>
        <w:rPr>
          <w:rFonts w:eastAsia="Times New Roman"/>
          <w:b/>
          <w:bCs/>
          <w:sz w:val="36"/>
          <w:szCs w:val="36"/>
          <w:lang w:eastAsia="de-DE"/>
        </w:rPr>
      </w:pPr>
      <w:r w:rsidRPr="00E3356A">
        <w:rPr>
          <w:rFonts w:eastAsia="Times New Roman"/>
          <w:b/>
          <w:bCs/>
          <w:sz w:val="36"/>
          <w:szCs w:val="36"/>
          <w:lang w:eastAsia="de-DE"/>
        </w:rPr>
        <w:t>Vers 4 (MT 13,4) / Vers 3 (LXX 13,3)</w:t>
      </w:r>
    </w:p>
    <w:p w14:paraId="1D71A630" w14:textId="7EB42E17" w:rsidR="00E3356A" w:rsidRPr="00E3356A" w:rsidRDefault="00E3356A" w:rsidP="00E3356A">
      <w:pPr>
        <w:spacing w:before="100" w:beforeAutospacing="1" w:after="100" w:afterAutospacing="1" w:line="240" w:lineRule="auto"/>
        <w:rPr>
          <w:rFonts w:eastAsia="Times New Roman"/>
          <w:lang w:eastAsia="de-DE"/>
        </w:rPr>
      </w:pPr>
      <w:r w:rsidRPr="00E3356A">
        <w:rPr>
          <w:rFonts w:eastAsia="Times New Roman"/>
          <w:b/>
          <w:bCs/>
          <w:lang w:eastAsia="de-DE"/>
        </w:rPr>
        <w:t>Die LXX</w:t>
      </w:r>
      <w:r w:rsidRPr="00E3356A">
        <w:rPr>
          <w:rFonts w:eastAsia="Times New Roman"/>
          <w:lang w:eastAsia="de-DE"/>
        </w:rPr>
        <w:t xml:space="preserve"> bietet mit </w:t>
      </w:r>
      <w:proofErr w:type="spellStart"/>
      <w:r w:rsidRPr="00E3356A">
        <w:rPr>
          <w:rFonts w:eastAsia="Times New Roman"/>
          <w:lang w:eastAsia="de-DE"/>
        </w:rPr>
        <w:t>οὐκ</w:t>
      </w:r>
      <w:proofErr w:type="spellEnd"/>
      <w:r w:rsidRPr="00E3356A">
        <w:rPr>
          <w:rFonts w:eastAsia="Times New Roman"/>
          <w:lang w:eastAsia="de-DE"/>
        </w:rPr>
        <w:t xml:space="preserve"> </w:t>
      </w:r>
      <w:proofErr w:type="spellStart"/>
      <w:r w:rsidRPr="00E3356A">
        <w:rPr>
          <w:rFonts w:eastAsia="Times New Roman"/>
          <w:lang w:eastAsia="de-DE"/>
        </w:rPr>
        <w:t>ἀκούσεσθε</w:t>
      </w:r>
      <w:proofErr w:type="spellEnd"/>
      <w:r w:rsidRPr="00E3356A">
        <w:rPr>
          <w:rFonts w:eastAsia="Times New Roman"/>
          <w:lang w:eastAsia="de-DE"/>
        </w:rPr>
        <w:t xml:space="preserve"> (ihr werdet nicht hören) eine klare Zukunftsform für das hebräische </w:t>
      </w:r>
      <w:r w:rsidRPr="00E3356A">
        <w:rPr>
          <w:rFonts w:eastAsia="Times New Roman"/>
          <w:rtl/>
          <w:lang w:eastAsia="de-DE"/>
        </w:rPr>
        <w:t>לֹא תִשְׁמַע</w:t>
      </w:r>
      <w:r w:rsidRPr="00E3356A">
        <w:rPr>
          <w:rFonts w:eastAsia="Times New Roman"/>
          <w:lang w:eastAsia="de-DE"/>
        </w:rPr>
        <w:t xml:space="preserve">, wobei der Plural im Griechischen möglicherweise eine interpretierende Erweiterung darstellt. Die Begründung </w:t>
      </w:r>
      <w:proofErr w:type="spellStart"/>
      <w:r w:rsidRPr="00E3356A">
        <w:rPr>
          <w:rFonts w:eastAsia="Times New Roman"/>
          <w:lang w:eastAsia="de-DE"/>
        </w:rPr>
        <w:t>ὅτι</w:t>
      </w:r>
      <w:proofErr w:type="spellEnd"/>
      <w:r w:rsidRPr="00E3356A">
        <w:rPr>
          <w:rFonts w:eastAsia="Times New Roman"/>
          <w:lang w:eastAsia="de-DE"/>
        </w:rPr>
        <w:t xml:space="preserve"> π</w:t>
      </w:r>
      <w:proofErr w:type="spellStart"/>
      <w:r w:rsidRPr="00E3356A">
        <w:rPr>
          <w:rFonts w:eastAsia="Times New Roman"/>
          <w:lang w:eastAsia="de-DE"/>
        </w:rPr>
        <w:t>ειράζει</w:t>
      </w:r>
      <w:proofErr w:type="spellEnd"/>
      <w:r w:rsidRPr="00E3356A">
        <w:rPr>
          <w:rFonts w:eastAsia="Times New Roman"/>
          <w:lang w:eastAsia="de-DE"/>
        </w:rPr>
        <w:t xml:space="preserve"> </w:t>
      </w:r>
      <w:proofErr w:type="spellStart"/>
      <w:r w:rsidRPr="00E3356A">
        <w:rPr>
          <w:rFonts w:eastAsia="Times New Roman"/>
          <w:lang w:eastAsia="de-DE"/>
        </w:rPr>
        <w:t>κύριος</w:t>
      </w:r>
      <w:proofErr w:type="spellEnd"/>
      <w:r w:rsidRPr="00E3356A">
        <w:rPr>
          <w:rFonts w:eastAsia="Times New Roman"/>
          <w:lang w:eastAsia="de-DE"/>
        </w:rPr>
        <w:t xml:space="preserve"> ὁ </w:t>
      </w:r>
      <w:proofErr w:type="spellStart"/>
      <w:r w:rsidRPr="00E3356A">
        <w:rPr>
          <w:rFonts w:eastAsia="Times New Roman"/>
          <w:lang w:eastAsia="de-DE"/>
        </w:rPr>
        <w:t>θεὸς</w:t>
      </w:r>
      <w:proofErr w:type="spellEnd"/>
      <w:r w:rsidRPr="00E3356A">
        <w:rPr>
          <w:rFonts w:eastAsia="Times New Roman"/>
          <w:lang w:eastAsia="de-DE"/>
        </w:rPr>
        <w:t xml:space="preserve"> </w:t>
      </w:r>
      <w:proofErr w:type="spellStart"/>
      <w:r w:rsidRPr="00E3356A">
        <w:rPr>
          <w:rFonts w:eastAsia="Times New Roman"/>
          <w:lang w:eastAsia="de-DE"/>
        </w:rPr>
        <w:t>ὑμᾶς</w:t>
      </w:r>
      <w:proofErr w:type="spellEnd"/>
      <w:r w:rsidRPr="00E3356A">
        <w:rPr>
          <w:rFonts w:eastAsia="Times New Roman"/>
          <w:lang w:eastAsia="de-DE"/>
        </w:rPr>
        <w:t xml:space="preserve"> (denn der Herr, euer Gott, prüft euch) entspricht </w:t>
      </w:r>
      <w:r w:rsidRPr="00E3356A">
        <w:rPr>
          <w:rFonts w:eastAsia="Times New Roman"/>
          <w:rtl/>
          <w:lang w:eastAsia="de-DE"/>
        </w:rPr>
        <w:t>כִּי מְנַסֶּה יְהוָה אֱלֹהֵיכֶם אֶתְכֶם</w:t>
      </w:r>
      <w:r w:rsidRPr="00E3356A">
        <w:rPr>
          <w:rFonts w:eastAsia="Times New Roman"/>
          <w:lang w:eastAsia="de-DE"/>
        </w:rPr>
        <w:t>, wobei das Präsens π</w:t>
      </w:r>
      <w:proofErr w:type="spellStart"/>
      <w:r w:rsidRPr="00E3356A">
        <w:rPr>
          <w:rFonts w:eastAsia="Times New Roman"/>
          <w:lang w:eastAsia="de-DE"/>
        </w:rPr>
        <w:t>ειράζει</w:t>
      </w:r>
      <w:proofErr w:type="spellEnd"/>
      <w:r w:rsidRPr="00E3356A">
        <w:rPr>
          <w:rFonts w:eastAsia="Times New Roman"/>
          <w:lang w:eastAsia="de-DE"/>
        </w:rPr>
        <w:t xml:space="preserve"> den fortdauernden Charakter der Prüfung betont. Der Zweck </w:t>
      </w:r>
      <w:proofErr w:type="spellStart"/>
      <w:r w:rsidRPr="00E3356A">
        <w:rPr>
          <w:rFonts w:eastAsia="Times New Roman"/>
          <w:lang w:eastAsia="de-DE"/>
        </w:rPr>
        <w:t>εἰδέν</w:t>
      </w:r>
      <w:proofErr w:type="spellEnd"/>
      <w:r w:rsidRPr="00E3356A">
        <w:rPr>
          <w:rFonts w:eastAsia="Times New Roman"/>
          <w:lang w:eastAsia="de-DE"/>
        </w:rPr>
        <w:t xml:space="preserve">αι εἰ </w:t>
      </w:r>
      <w:proofErr w:type="spellStart"/>
      <w:r w:rsidRPr="00E3356A">
        <w:rPr>
          <w:rFonts w:eastAsia="Times New Roman"/>
          <w:lang w:eastAsia="de-DE"/>
        </w:rPr>
        <w:t>ἀγ</w:t>
      </w:r>
      <w:proofErr w:type="spellEnd"/>
      <w:r w:rsidRPr="00E3356A">
        <w:rPr>
          <w:rFonts w:eastAsia="Times New Roman"/>
          <w:lang w:eastAsia="de-DE"/>
        </w:rPr>
        <w:t xml:space="preserve">απᾶτε (zu wissen, ob ihr liebt) für </w:t>
      </w:r>
      <w:r w:rsidRPr="00E3356A">
        <w:rPr>
          <w:rFonts w:eastAsia="Times New Roman"/>
          <w:rtl/>
          <w:lang w:eastAsia="de-DE"/>
        </w:rPr>
        <w:t>לָדַעַת הֲיִשְׁכֶם אֹהֲבִים</w:t>
      </w:r>
      <w:r w:rsidRPr="00E3356A">
        <w:rPr>
          <w:rFonts w:eastAsia="Times New Roman"/>
          <w:lang w:eastAsia="de-DE"/>
        </w:rPr>
        <w:t xml:space="preserve"> ist eine elegante griechische Konstruktion mit Infinitiv und indirekter Frage. Die Formulierung </w:t>
      </w:r>
      <w:proofErr w:type="spellStart"/>
      <w:r w:rsidRPr="00E3356A">
        <w:rPr>
          <w:rFonts w:eastAsia="Times New Roman"/>
          <w:lang w:eastAsia="de-DE"/>
        </w:rPr>
        <w:t>ἐξ</w:t>
      </w:r>
      <w:proofErr w:type="spellEnd"/>
      <w:r w:rsidRPr="00E3356A">
        <w:rPr>
          <w:rFonts w:eastAsia="Times New Roman"/>
          <w:lang w:eastAsia="de-DE"/>
        </w:rPr>
        <w:t xml:space="preserve"> </w:t>
      </w:r>
      <w:proofErr w:type="spellStart"/>
      <w:r w:rsidRPr="00E3356A">
        <w:rPr>
          <w:rFonts w:eastAsia="Times New Roman"/>
          <w:lang w:eastAsia="de-DE"/>
        </w:rPr>
        <w:t>ὅλης</w:t>
      </w:r>
      <w:proofErr w:type="spellEnd"/>
      <w:r w:rsidRPr="00E3356A">
        <w:rPr>
          <w:rFonts w:eastAsia="Times New Roman"/>
          <w:lang w:eastAsia="de-DE"/>
        </w:rPr>
        <w:t xml:space="preserve"> </w:t>
      </w:r>
      <w:proofErr w:type="spellStart"/>
      <w:r w:rsidRPr="00E3356A">
        <w:rPr>
          <w:rFonts w:eastAsia="Times New Roman"/>
          <w:lang w:eastAsia="de-DE"/>
        </w:rPr>
        <w:t>τῆς</w:t>
      </w:r>
      <w:proofErr w:type="spellEnd"/>
      <w:r w:rsidRPr="00E3356A">
        <w:rPr>
          <w:rFonts w:eastAsia="Times New Roman"/>
          <w:lang w:eastAsia="de-DE"/>
        </w:rPr>
        <w:t xml:space="preserve"> κα</w:t>
      </w:r>
      <w:proofErr w:type="spellStart"/>
      <w:r w:rsidRPr="00E3356A">
        <w:rPr>
          <w:rFonts w:eastAsia="Times New Roman"/>
          <w:lang w:eastAsia="de-DE"/>
        </w:rPr>
        <w:t>ρδί</w:t>
      </w:r>
      <w:proofErr w:type="spellEnd"/>
      <w:r w:rsidRPr="00E3356A">
        <w:rPr>
          <w:rFonts w:eastAsia="Times New Roman"/>
          <w:lang w:eastAsia="de-DE"/>
        </w:rPr>
        <w:t xml:space="preserve">ας... καὶ </w:t>
      </w:r>
      <w:proofErr w:type="spellStart"/>
      <w:r w:rsidRPr="00E3356A">
        <w:rPr>
          <w:rFonts w:eastAsia="Times New Roman"/>
          <w:lang w:eastAsia="de-DE"/>
        </w:rPr>
        <w:t>ἐξ</w:t>
      </w:r>
      <w:proofErr w:type="spellEnd"/>
      <w:r w:rsidRPr="00E3356A">
        <w:rPr>
          <w:rFonts w:eastAsia="Times New Roman"/>
          <w:lang w:eastAsia="de-DE"/>
        </w:rPr>
        <w:t xml:space="preserve"> </w:t>
      </w:r>
      <w:proofErr w:type="spellStart"/>
      <w:r w:rsidRPr="00E3356A">
        <w:rPr>
          <w:rFonts w:eastAsia="Times New Roman"/>
          <w:lang w:eastAsia="de-DE"/>
        </w:rPr>
        <w:t>ὅλης</w:t>
      </w:r>
      <w:proofErr w:type="spellEnd"/>
      <w:r w:rsidRPr="00E3356A">
        <w:rPr>
          <w:rFonts w:eastAsia="Times New Roman"/>
          <w:lang w:eastAsia="de-DE"/>
        </w:rPr>
        <w:t xml:space="preserve"> </w:t>
      </w:r>
      <w:proofErr w:type="spellStart"/>
      <w:r w:rsidRPr="00E3356A">
        <w:rPr>
          <w:rFonts w:eastAsia="Times New Roman"/>
          <w:lang w:eastAsia="de-DE"/>
        </w:rPr>
        <w:t>τῆς</w:t>
      </w:r>
      <w:proofErr w:type="spellEnd"/>
      <w:r w:rsidRPr="00E3356A">
        <w:rPr>
          <w:rFonts w:eastAsia="Times New Roman"/>
          <w:lang w:eastAsia="de-DE"/>
        </w:rPr>
        <w:t xml:space="preserve"> </w:t>
      </w:r>
      <w:proofErr w:type="spellStart"/>
      <w:r w:rsidRPr="00E3356A">
        <w:rPr>
          <w:rFonts w:eastAsia="Times New Roman"/>
          <w:lang w:eastAsia="de-DE"/>
        </w:rPr>
        <w:t>ψυχῆς</w:t>
      </w:r>
      <w:proofErr w:type="spellEnd"/>
      <w:r w:rsidRPr="00E3356A">
        <w:rPr>
          <w:rFonts w:eastAsia="Times New Roman"/>
          <w:lang w:eastAsia="de-DE"/>
        </w:rPr>
        <w:t xml:space="preserve"> (aus ganzem Herzen... und aus ganzer Seele) gibt das hebräische </w:t>
      </w:r>
      <w:r w:rsidRPr="00E3356A">
        <w:rPr>
          <w:rFonts w:eastAsia="Times New Roman"/>
          <w:rtl/>
          <w:lang w:eastAsia="de-DE"/>
        </w:rPr>
        <w:t>בְּכָל־לְבַבְכֶם וּבְכָל־נַפְשְׁכֶם</w:t>
      </w:r>
      <w:r w:rsidRPr="00E3356A">
        <w:rPr>
          <w:rFonts w:eastAsia="Times New Roman"/>
          <w:lang w:eastAsia="de-DE"/>
        </w:rPr>
        <w:t xml:space="preserve"> präzise wieder.</w:t>
      </w:r>
    </w:p>
    <w:p w14:paraId="29D9AEFA" w14:textId="77777777" w:rsidR="00724090" w:rsidRDefault="00724090" w:rsidP="00724090">
      <w:pPr>
        <w:pStyle w:val="whitespace-normal"/>
      </w:pPr>
      <w:r>
        <w:rPr>
          <w:rStyle w:val="Fett"/>
          <w:rFonts w:eastAsiaTheme="majorEastAsia"/>
        </w:rPr>
        <w:t>Die Satzstruktur</w:t>
      </w:r>
      <w:r>
        <w:t xml:space="preserve"> besteht aus einer negativen Apodosis und kausaler Begründung mit finaler Bestimmung: Negation (nicht), Prädikat (sollst hören), präpositionales Objekt (auf die Worte jenes Propheten oder auf jenen Träumer); kausale Begründung mit Prädikat (prüft), Subjekt (JHWH, euer Gott), direktes Objekt (euch), finale Bestimmung (um zu erkennen), indirekte Frage (ob ihr liebt JHWH, euren Gott, mit eurem ganzen Herzen und eurer ganzen Seele).</w:t>
      </w:r>
    </w:p>
    <w:p w14:paraId="1F1A677E" w14:textId="77777777" w:rsidR="00724090" w:rsidRDefault="00724090" w:rsidP="00724090">
      <w:pPr>
        <w:pStyle w:val="whitespace-normal"/>
      </w:pPr>
      <w:r>
        <w:t>Der Vers verbietet, auf solche Propheten zu hören, und deutet ihr Auftreten als göttliche Prüfung der Bundesliebe: Will Israel JHWH mit ganzem Herzen lieben oder sich von Zeichen und Wundern verführen lassen?</w:t>
      </w:r>
    </w:p>
    <w:p w14:paraId="2492608F"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13,5</w:t>
      </w:r>
    </w:p>
    <w:p w14:paraId="1E8F095F" w14:textId="77777777" w:rsidR="00724090" w:rsidRDefault="00724090" w:rsidP="00724090">
      <w:pPr>
        <w:pStyle w:val="whitespace-normal"/>
      </w:pPr>
      <w:r>
        <w:rPr>
          <w:rStyle w:val="Fett"/>
          <w:rFonts w:eastAsiaTheme="majorEastAsia"/>
        </w:rPr>
        <w:t>Hebräisch:</w:t>
      </w:r>
      <w:r>
        <w:t xml:space="preserve"> </w:t>
      </w:r>
      <w:r>
        <w:rPr>
          <w:rtl/>
        </w:rPr>
        <w:t>אַחֲרֵ֨י יְהוָ֧ה אֱלֹהֵיכֶ֛ם תֵּלֵ֖כוּ וְאֹתוֹ֣ תִירָ֑אוּ וְאֶת־מִצְוֹתָ֤יו תִּשְׁמֹ֨רוּ֙ וּבְקֹלֹ֣ו תִשְׁמָ֔עוּ וְאֹתוֹ֥ תַעֲבֹ֖דוּ וּבוֹ֥ תִדְבָּקֽוּן׃</w:t>
      </w:r>
    </w:p>
    <w:p w14:paraId="7067368F" w14:textId="4999A94F" w:rsidR="00724090" w:rsidRDefault="00724090" w:rsidP="00724090">
      <w:pPr>
        <w:pStyle w:val="whitespace-normal"/>
      </w:pPr>
      <w:r>
        <w:rPr>
          <w:rStyle w:val="Fett"/>
          <w:rFonts w:eastAsiaTheme="majorEastAsia"/>
        </w:rPr>
        <w:lastRenderedPageBreak/>
        <w:t>Deutsch:</w:t>
      </w:r>
      <w:r>
        <w:t xml:space="preserve"> Dem Ewigen, eurem Gott, sollt ihr nachfolgen und ihn fürchten; und seine Gebote sollt ihr halten und seiner Stimme gehorchen und ihm dienen und ihm anhängen.</w:t>
      </w:r>
    </w:p>
    <w:p w14:paraId="270117A3" w14:textId="163EED2B" w:rsidR="009C316F" w:rsidRDefault="004F5CEB" w:rsidP="00724090">
      <w:pPr>
        <w:pStyle w:val="whitespace-normal"/>
      </w:pPr>
      <w:r>
        <w:rPr>
          <w:noProof/>
        </w:rPr>
        <w:pict w14:anchorId="6FF49D2E">
          <v:rect id="_x0000_i1408" style="width:0;height:1.5pt" o:hralign="center" o:hrstd="t" o:hr="t" fillcolor="#a0a0a0" stroked="f"/>
        </w:pict>
      </w:r>
    </w:p>
    <w:p w14:paraId="42A4FCDE"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אַחֲרֵי יְהוָה אֱלֹהֵיכֶם תֵּלֵכוּ</w:t>
      </w:r>
      <w:r>
        <w:rPr>
          <w:rtl/>
        </w:rPr>
        <w:t xml:space="preserve"> </w:t>
      </w:r>
      <w:r>
        <w:t xml:space="preserve">ist der erste Imperativsatz: </w:t>
      </w:r>
      <w:r>
        <w:rPr>
          <w:rStyle w:val="Fett"/>
          <w:rFonts w:eastAsiaTheme="majorEastAsia"/>
          <w:rtl/>
        </w:rPr>
        <w:t>אַחֲרֵי יְהוָה אֱלֹהֵיכֶם</w:t>
      </w:r>
      <w:r>
        <w:rPr>
          <w:rtl/>
        </w:rPr>
        <w:t xml:space="preserve"> </w:t>
      </w:r>
      <w:r>
        <w:t xml:space="preserve">(Präposition </w:t>
      </w:r>
      <w:r>
        <w:rPr>
          <w:rStyle w:val="Fett"/>
          <w:rFonts w:eastAsiaTheme="majorEastAsia"/>
          <w:rtl/>
        </w:rPr>
        <w:t>אַחֲרֵי</w:t>
      </w:r>
      <w:r>
        <w:t xml:space="preserve">, „nach, hinter", mit </w:t>
      </w:r>
      <w:r>
        <w:rPr>
          <w:rStyle w:val="Fett"/>
          <w:rFonts w:eastAsiaTheme="majorEastAsia"/>
          <w:rtl/>
        </w:rPr>
        <w:t>יְהוָה אֱלֹהֵיכֶם</w:t>
      </w:r>
      <w:r>
        <w:t xml:space="preserve">) als vorangestellte Richtungsangabe und </w:t>
      </w:r>
      <w:r>
        <w:rPr>
          <w:rStyle w:val="Fett"/>
          <w:rFonts w:eastAsiaTheme="majorEastAsia"/>
          <w:rtl/>
        </w:rPr>
        <w:t>תֵּלֵכוּ</w:t>
      </w:r>
      <w:r>
        <w:rPr>
          <w:rtl/>
        </w:rPr>
        <w:t xml:space="preserve"> </w:t>
      </w:r>
      <w:r>
        <w:t xml:space="preserve">(Qal Imperfekt, 2. Person Maskulinum Plural von </w:t>
      </w:r>
      <w:r>
        <w:rPr>
          <w:rStyle w:val="Fett"/>
          <w:rFonts w:eastAsiaTheme="majorEastAsia"/>
          <w:rtl/>
        </w:rPr>
        <w:t>הלך</w:t>
      </w:r>
      <w:r>
        <w:t xml:space="preserve">, „gehen, wandeln"). Die Wendung </w:t>
      </w:r>
      <w:r>
        <w:rPr>
          <w:rStyle w:val="Fett"/>
          <w:rFonts w:eastAsiaTheme="majorEastAsia"/>
          <w:rtl/>
        </w:rPr>
        <w:t>הלך אחרי</w:t>
      </w:r>
      <w:r>
        <w:rPr>
          <w:rtl/>
        </w:rPr>
        <w:t xml:space="preserve"> </w:t>
      </w:r>
      <w:r>
        <w:t xml:space="preserve">bedeutet „nachfolgen, folgen" und steht im scharfen Kontrast zu </w:t>
      </w:r>
      <w:r>
        <w:rPr>
          <w:rStyle w:val="Fett"/>
          <w:rFonts w:eastAsiaTheme="majorEastAsia"/>
          <w:rtl/>
        </w:rPr>
        <w:t>הלך אחרי אלהים אחרים</w:t>
      </w:r>
      <w:r>
        <w:rPr>
          <w:rtl/>
        </w:rPr>
        <w:t xml:space="preserve"> </w:t>
      </w:r>
      <w:r>
        <w:t>(„anderen Göttern nachgehen") aus V. 3.</w:t>
      </w:r>
    </w:p>
    <w:p w14:paraId="4E85A04C" w14:textId="77777777" w:rsidR="00724090" w:rsidRDefault="00724090" w:rsidP="00724090">
      <w:pPr>
        <w:pStyle w:val="whitespace-normal"/>
      </w:pPr>
      <w:r>
        <w:rPr>
          <w:rStyle w:val="Fett"/>
          <w:rFonts w:eastAsiaTheme="majorEastAsia"/>
          <w:rtl/>
        </w:rPr>
        <w:t>וְאֹתוֹ תִירָאוּ</w:t>
      </w:r>
      <w:r>
        <w:rPr>
          <w:rtl/>
        </w:rPr>
        <w:t xml:space="preserve"> </w:t>
      </w:r>
      <w:r>
        <w:t xml:space="preserve">ist der zweite Imperativsatz: </w:t>
      </w:r>
      <w:r>
        <w:rPr>
          <w:rStyle w:val="Fett"/>
          <w:rFonts w:eastAsiaTheme="majorEastAsia"/>
          <w:rtl/>
        </w:rPr>
        <w:t>וְאֹתוֹ</w:t>
      </w:r>
      <w:r>
        <w:rPr>
          <w:rtl/>
        </w:rPr>
        <w:t xml:space="preserve"> </w:t>
      </w:r>
      <w:r>
        <w:t xml:space="preserve">(koordiniert durch </w:t>
      </w:r>
      <w:r>
        <w:rPr>
          <w:rStyle w:val="Fett"/>
          <w:rFonts w:eastAsiaTheme="majorEastAsia"/>
          <w:rtl/>
        </w:rPr>
        <w:t>וְ</w:t>
      </w:r>
      <w:r>
        <w:rPr>
          <w:rtl/>
        </w:rPr>
        <w:t xml:space="preserve"> </w:t>
      </w:r>
      <w:r>
        <w:t xml:space="preserve">mit Objektpartikel </w:t>
      </w:r>
      <w:r>
        <w:rPr>
          <w:rStyle w:val="Fett"/>
          <w:rFonts w:eastAsiaTheme="majorEastAsia"/>
          <w:rtl/>
        </w:rPr>
        <w:t>אֵת</w:t>
      </w:r>
      <w:r>
        <w:rPr>
          <w:rtl/>
        </w:rPr>
        <w:t xml:space="preserve"> </w:t>
      </w:r>
      <w:r>
        <w:t xml:space="preserve">und Suffix 3. Person Maskulinum Singular, vorangestellt) und </w:t>
      </w:r>
      <w:r>
        <w:rPr>
          <w:rStyle w:val="Fett"/>
          <w:rFonts w:eastAsiaTheme="majorEastAsia"/>
          <w:rtl/>
        </w:rPr>
        <w:t>תִירָאוּ</w:t>
      </w:r>
      <w:r>
        <w:rPr>
          <w:rtl/>
        </w:rPr>
        <w:t xml:space="preserve"> </w:t>
      </w:r>
      <w:r>
        <w:t xml:space="preserve">(Qal Imperfekt, 2. Person Maskulinum Plural von </w:t>
      </w:r>
      <w:r>
        <w:rPr>
          <w:rStyle w:val="Fett"/>
          <w:rFonts w:eastAsiaTheme="majorEastAsia"/>
          <w:rtl/>
        </w:rPr>
        <w:t>ירא</w:t>
      </w:r>
      <w:r>
        <w:t xml:space="preserve">, „fürchten"). Die Voranstellung des Objekts </w:t>
      </w:r>
      <w:r>
        <w:rPr>
          <w:rStyle w:val="Fett"/>
          <w:rFonts w:eastAsiaTheme="majorEastAsia"/>
          <w:rtl/>
        </w:rPr>
        <w:t>אֹתוֹ</w:t>
      </w:r>
      <w:r>
        <w:rPr>
          <w:rtl/>
        </w:rPr>
        <w:t xml:space="preserve"> </w:t>
      </w:r>
      <w:r>
        <w:t>betont: ihn (JHWH) allein sollt ihr fürchten.</w:t>
      </w:r>
    </w:p>
    <w:p w14:paraId="776360AB" w14:textId="77777777" w:rsidR="00724090" w:rsidRDefault="00724090" w:rsidP="00724090">
      <w:pPr>
        <w:pStyle w:val="whitespace-normal"/>
      </w:pPr>
      <w:r>
        <w:rPr>
          <w:rStyle w:val="Fett"/>
          <w:rFonts w:eastAsiaTheme="majorEastAsia"/>
          <w:rtl/>
        </w:rPr>
        <w:t>וְאֶת־מִצְוֹתָיו תִּשְׁמֹרוּ</w:t>
      </w:r>
      <w:r>
        <w:rPr>
          <w:rtl/>
        </w:rPr>
        <w:t xml:space="preserve"> </w:t>
      </w:r>
      <w:r>
        <w:t xml:space="preserve">ist der dritte Imperativsatz: </w:t>
      </w:r>
      <w:r>
        <w:rPr>
          <w:rStyle w:val="Fett"/>
          <w:rFonts w:eastAsiaTheme="majorEastAsia"/>
          <w:rtl/>
        </w:rPr>
        <w:t>וְאֶת־מִצְוֹתָיו</w:t>
      </w:r>
      <w:r>
        <w:rPr>
          <w:rtl/>
        </w:rPr>
        <w:t xml:space="preserve"> </w:t>
      </w:r>
      <w:r>
        <w:t xml:space="preserve">(koordiniert durch </w:t>
      </w:r>
      <w:r>
        <w:rPr>
          <w:rStyle w:val="Fett"/>
          <w:rFonts w:eastAsiaTheme="majorEastAsia"/>
          <w:rtl/>
        </w:rPr>
        <w:t>וְ</w:t>
      </w:r>
      <w:r>
        <w:rPr>
          <w:rtl/>
        </w:rPr>
        <w:t xml:space="preserve"> </w:t>
      </w:r>
      <w:r>
        <w:t xml:space="preserve">mit Objektpartikel </w:t>
      </w:r>
      <w:r>
        <w:rPr>
          <w:rStyle w:val="Fett"/>
          <w:rFonts w:eastAsiaTheme="majorEastAsia"/>
          <w:rtl/>
        </w:rPr>
        <w:t>אֵת</w:t>
      </w:r>
      <w:r>
        <w:t xml:space="preserve">, </w:t>
      </w:r>
      <w:r>
        <w:rPr>
          <w:rStyle w:val="Fett"/>
          <w:rFonts w:eastAsiaTheme="majorEastAsia"/>
          <w:rtl/>
        </w:rPr>
        <w:t>מִצְוָה</w:t>
      </w:r>
      <w:r>
        <w:t xml:space="preserve">, „Gebot", Plural mit Suffix 3. Person Maskulinum Singular, vorangestellt) und </w:t>
      </w:r>
      <w:r>
        <w:rPr>
          <w:rStyle w:val="Fett"/>
          <w:rFonts w:eastAsiaTheme="majorEastAsia"/>
          <w:rtl/>
        </w:rPr>
        <w:t>תִּשְׁמֹרוּ</w:t>
      </w:r>
      <w:r>
        <w:rPr>
          <w:rtl/>
        </w:rPr>
        <w:t xml:space="preserve"> </w:t>
      </w:r>
      <w:r>
        <w:t xml:space="preserve">(Qal Imperfekt, 2. Person Maskulinum Plural von </w:t>
      </w:r>
      <w:r>
        <w:rPr>
          <w:rStyle w:val="Fett"/>
          <w:rFonts w:eastAsiaTheme="majorEastAsia"/>
          <w:rtl/>
        </w:rPr>
        <w:t>שׁמר</w:t>
      </w:r>
      <w:r>
        <w:t>, „bewahren, halten").</w:t>
      </w:r>
    </w:p>
    <w:p w14:paraId="3A8070E4" w14:textId="77777777" w:rsidR="00724090" w:rsidRDefault="00724090" w:rsidP="00724090">
      <w:pPr>
        <w:pStyle w:val="whitespace-normal"/>
      </w:pPr>
      <w:r>
        <w:rPr>
          <w:rStyle w:val="Fett"/>
          <w:rFonts w:eastAsiaTheme="majorEastAsia"/>
          <w:rtl/>
        </w:rPr>
        <w:t>וּבְקֹלוֹ תִשְׁמָעוּ</w:t>
      </w:r>
      <w:r>
        <w:rPr>
          <w:rtl/>
        </w:rPr>
        <w:t xml:space="preserve"> </w:t>
      </w:r>
      <w:r>
        <w:t xml:space="preserve">ist der vierte Imperativsatz: </w:t>
      </w:r>
      <w:r>
        <w:rPr>
          <w:rStyle w:val="Fett"/>
          <w:rFonts w:eastAsiaTheme="majorEastAsia"/>
          <w:rtl/>
        </w:rPr>
        <w:t>וּבְקֹלוֹ</w:t>
      </w:r>
      <w:r>
        <w:rPr>
          <w:rtl/>
        </w:rPr>
        <w:t xml:space="preserve"> </w:t>
      </w:r>
      <w:r>
        <w:t xml:space="preserve">(koordiniert durch </w:t>
      </w:r>
      <w:r>
        <w:rPr>
          <w:rStyle w:val="Fett"/>
          <w:rFonts w:eastAsiaTheme="majorEastAsia"/>
          <w:rtl/>
        </w:rPr>
        <w:t>וּ</w:t>
      </w:r>
      <w:r>
        <w:rPr>
          <w:rtl/>
        </w:rPr>
        <w:t xml:space="preserve"> </w:t>
      </w:r>
      <w:r>
        <w:t xml:space="preserve">mit Präposition </w:t>
      </w:r>
      <w:r>
        <w:rPr>
          <w:rStyle w:val="Fett"/>
          <w:rFonts w:eastAsiaTheme="majorEastAsia"/>
          <w:rtl/>
        </w:rPr>
        <w:t>בְּ</w:t>
      </w:r>
      <w:r>
        <w:rPr>
          <w:rtl/>
        </w:rPr>
        <w:t xml:space="preserve"> </w:t>
      </w:r>
      <w:r>
        <w:t xml:space="preserve">mit </w:t>
      </w:r>
      <w:r>
        <w:rPr>
          <w:rStyle w:val="Fett"/>
          <w:rFonts w:eastAsiaTheme="majorEastAsia"/>
          <w:rtl/>
        </w:rPr>
        <w:t>קוֹל</w:t>
      </w:r>
      <w:r>
        <w:t xml:space="preserve">, „Stimme", und Suffix 3. Person Maskulinum Singular, vorangestellt) und </w:t>
      </w:r>
      <w:r>
        <w:rPr>
          <w:rStyle w:val="Fett"/>
          <w:rFonts w:eastAsiaTheme="majorEastAsia"/>
          <w:rtl/>
        </w:rPr>
        <w:t>תִשְׁמָעוּ</w:t>
      </w:r>
      <w:r>
        <w:rPr>
          <w:rtl/>
        </w:rPr>
        <w:t xml:space="preserve"> </w:t>
      </w:r>
      <w:r>
        <w:t xml:space="preserve">(Qal Imperfekt, 2. Person Maskulinum Plural von </w:t>
      </w:r>
      <w:r>
        <w:rPr>
          <w:rStyle w:val="Fett"/>
          <w:rFonts w:eastAsiaTheme="majorEastAsia"/>
          <w:rtl/>
        </w:rPr>
        <w:t>שׁמע</w:t>
      </w:r>
      <w:r>
        <w:t xml:space="preserve">, „hören, gehorchen"). Die Wendung </w:t>
      </w:r>
      <w:r>
        <w:rPr>
          <w:rStyle w:val="Fett"/>
          <w:rFonts w:eastAsiaTheme="majorEastAsia"/>
          <w:rtl/>
        </w:rPr>
        <w:t>שׁמע בקול</w:t>
      </w:r>
      <w:r>
        <w:rPr>
          <w:rtl/>
        </w:rPr>
        <w:t xml:space="preserve"> </w:t>
      </w:r>
      <w:r>
        <w:t>bedeutet „auf die Stimme hören, der Stimme gehorchen".</w:t>
      </w:r>
    </w:p>
    <w:p w14:paraId="6C779C8A" w14:textId="77777777" w:rsidR="00724090" w:rsidRDefault="00724090" w:rsidP="00724090">
      <w:pPr>
        <w:pStyle w:val="whitespace-normal"/>
      </w:pPr>
      <w:r>
        <w:rPr>
          <w:rStyle w:val="Fett"/>
          <w:rFonts w:eastAsiaTheme="majorEastAsia"/>
          <w:rtl/>
        </w:rPr>
        <w:t>וְאֹתוֹ תַעֲבֹדוּ</w:t>
      </w:r>
      <w:r>
        <w:rPr>
          <w:rtl/>
        </w:rPr>
        <w:t xml:space="preserve"> </w:t>
      </w:r>
      <w:r>
        <w:t xml:space="preserve">ist der fünfte Imperativsatz: </w:t>
      </w:r>
      <w:r>
        <w:rPr>
          <w:rStyle w:val="Fett"/>
          <w:rFonts w:eastAsiaTheme="majorEastAsia"/>
          <w:rtl/>
        </w:rPr>
        <w:t>וְאֹתוֹ</w:t>
      </w:r>
      <w:r>
        <w:rPr>
          <w:rtl/>
        </w:rPr>
        <w:t xml:space="preserve"> </w:t>
      </w:r>
      <w:r>
        <w:t xml:space="preserve">(koordiniert durch </w:t>
      </w:r>
      <w:r>
        <w:rPr>
          <w:rStyle w:val="Fett"/>
          <w:rFonts w:eastAsiaTheme="majorEastAsia"/>
          <w:rtl/>
        </w:rPr>
        <w:t>וְ</w:t>
      </w:r>
      <w:r>
        <w:rPr>
          <w:rtl/>
        </w:rPr>
        <w:t xml:space="preserve"> </w:t>
      </w:r>
      <w:r>
        <w:t xml:space="preserve">mit Objektpartikel </w:t>
      </w:r>
      <w:r>
        <w:rPr>
          <w:rStyle w:val="Fett"/>
          <w:rFonts w:eastAsiaTheme="majorEastAsia"/>
          <w:rtl/>
        </w:rPr>
        <w:t>אֵת</w:t>
      </w:r>
      <w:r>
        <w:rPr>
          <w:rtl/>
        </w:rPr>
        <w:t xml:space="preserve"> </w:t>
      </w:r>
      <w:r>
        <w:t xml:space="preserve">und Suffix 3. Person Maskulinum Singular, vorangestellt) und </w:t>
      </w:r>
      <w:r>
        <w:rPr>
          <w:rStyle w:val="Fett"/>
          <w:rFonts w:eastAsiaTheme="majorEastAsia"/>
          <w:rtl/>
        </w:rPr>
        <w:t>תַעֲבֹדוּ</w:t>
      </w:r>
      <w:r>
        <w:rPr>
          <w:rtl/>
        </w:rPr>
        <w:t xml:space="preserve"> </w:t>
      </w:r>
      <w:r>
        <w:t xml:space="preserve">(Qal Imperfekt, 2. Person Maskulinum Plural von </w:t>
      </w:r>
      <w:r>
        <w:rPr>
          <w:rStyle w:val="Fett"/>
          <w:rFonts w:eastAsiaTheme="majorEastAsia"/>
          <w:rtl/>
        </w:rPr>
        <w:t>עבד</w:t>
      </w:r>
      <w:r>
        <w:t xml:space="preserve">, „dienen"). Dies steht im Kontrast zu </w:t>
      </w:r>
      <w:r>
        <w:rPr>
          <w:rStyle w:val="Fett"/>
          <w:rFonts w:eastAsiaTheme="majorEastAsia"/>
          <w:rtl/>
        </w:rPr>
        <w:t>נָעָבְדֵם</w:t>
      </w:r>
      <w:r>
        <w:rPr>
          <w:rtl/>
        </w:rPr>
        <w:t xml:space="preserve"> </w:t>
      </w:r>
      <w:r>
        <w:t>(„ihnen [anderen Göttern] dienen") aus V. 3.</w:t>
      </w:r>
    </w:p>
    <w:p w14:paraId="43BD3F70" w14:textId="77777777" w:rsidR="00724090" w:rsidRDefault="00724090" w:rsidP="00724090">
      <w:pPr>
        <w:pStyle w:val="whitespace-normal"/>
      </w:pPr>
      <w:r>
        <w:rPr>
          <w:rStyle w:val="Fett"/>
          <w:rFonts w:eastAsiaTheme="majorEastAsia"/>
          <w:rtl/>
        </w:rPr>
        <w:t>וּבוֹ תִדְבָּקוּן</w:t>
      </w:r>
      <w:r>
        <w:rPr>
          <w:rtl/>
        </w:rPr>
        <w:t xml:space="preserve"> </w:t>
      </w:r>
      <w:r>
        <w:t xml:space="preserve">ist der sechste Imperativsatz: </w:t>
      </w:r>
      <w:r>
        <w:rPr>
          <w:rStyle w:val="Fett"/>
          <w:rFonts w:eastAsiaTheme="majorEastAsia"/>
          <w:rtl/>
        </w:rPr>
        <w:t>וּבוֹ</w:t>
      </w:r>
      <w:r>
        <w:rPr>
          <w:rtl/>
        </w:rPr>
        <w:t xml:space="preserve"> </w:t>
      </w:r>
      <w:r>
        <w:t xml:space="preserve">(koordiniert durch </w:t>
      </w:r>
      <w:r>
        <w:rPr>
          <w:rStyle w:val="Fett"/>
          <w:rFonts w:eastAsiaTheme="majorEastAsia"/>
          <w:rtl/>
        </w:rPr>
        <w:t>וּ</w:t>
      </w:r>
      <w:r>
        <w:rPr>
          <w:rtl/>
        </w:rPr>
        <w:t xml:space="preserve"> </w:t>
      </w:r>
      <w:r>
        <w:t xml:space="preserve">mit Präposition </w:t>
      </w:r>
      <w:r>
        <w:rPr>
          <w:rStyle w:val="Fett"/>
          <w:rFonts w:eastAsiaTheme="majorEastAsia"/>
          <w:rtl/>
        </w:rPr>
        <w:t>בְּ</w:t>
      </w:r>
      <w:r>
        <w:rPr>
          <w:rtl/>
        </w:rPr>
        <w:t xml:space="preserve"> </w:t>
      </w:r>
      <w:r>
        <w:t xml:space="preserve">und Suffix 3. Person Maskulinum Singular, vorangestellt) und </w:t>
      </w:r>
      <w:r>
        <w:rPr>
          <w:rStyle w:val="Fett"/>
          <w:rFonts w:eastAsiaTheme="majorEastAsia"/>
          <w:rtl/>
        </w:rPr>
        <w:t>תִדְבָּקוּן</w:t>
      </w:r>
      <w:r>
        <w:rPr>
          <w:rtl/>
        </w:rPr>
        <w:t xml:space="preserve"> </w:t>
      </w:r>
      <w:r>
        <w:t xml:space="preserve">(Qal Imperfekt, 2. Person Maskulinum Plural von </w:t>
      </w:r>
      <w:r>
        <w:rPr>
          <w:rStyle w:val="Fett"/>
          <w:rFonts w:eastAsiaTheme="majorEastAsia"/>
          <w:rtl/>
        </w:rPr>
        <w:t>דבק</w:t>
      </w:r>
      <w:r>
        <w:t xml:space="preserve">, „anhängen, anhaften, </w:t>
      </w:r>
      <w:proofErr w:type="spellStart"/>
      <w:r>
        <w:t>festhalten</w:t>
      </w:r>
      <w:proofErr w:type="spellEnd"/>
      <w:r>
        <w:t xml:space="preserve"> an", mit Paragogischem Nun). Das Verb </w:t>
      </w:r>
      <w:r>
        <w:rPr>
          <w:rStyle w:val="Fett"/>
          <w:rFonts w:eastAsiaTheme="majorEastAsia"/>
          <w:rtl/>
        </w:rPr>
        <w:t>דבק</w:t>
      </w:r>
      <w:r>
        <w:rPr>
          <w:rtl/>
        </w:rPr>
        <w:t xml:space="preserve"> </w:t>
      </w:r>
      <w:r>
        <w:t>bezeichnet intensive Bindung und Treue (vgl. 10,20; 11,22; 30,20; Gen 2,24; Ruth 1,14).</w:t>
      </w:r>
    </w:p>
    <w:p w14:paraId="4E377557" w14:textId="61591885" w:rsidR="00724090" w:rsidRDefault="00724090" w:rsidP="00724090">
      <w:pPr>
        <w:pStyle w:val="whitespace-normal"/>
      </w:pPr>
      <w:r>
        <w:t>Der Vers bildet eine sechsgliedrige positive Alternative zum Abfall: Statt anderen Göttern nachzugehen (V. 3), soll Israel JHWH nachfolgen. Die sechs Imperative umfassen die ganze Bundesbeziehung: (1) Nachfolge (</w:t>
      </w:r>
      <w:r>
        <w:rPr>
          <w:rStyle w:val="Fett"/>
          <w:rFonts w:eastAsiaTheme="majorEastAsia"/>
          <w:rtl/>
        </w:rPr>
        <w:t>הלך אחרי</w:t>
      </w:r>
      <w:r>
        <w:t>), (2) Furcht (</w:t>
      </w:r>
      <w:r>
        <w:rPr>
          <w:rStyle w:val="Fett"/>
          <w:rFonts w:eastAsiaTheme="majorEastAsia"/>
          <w:rtl/>
        </w:rPr>
        <w:t>ירא</w:t>
      </w:r>
      <w:r>
        <w:t>), (3) Gehorsam gegenüber Geboten (</w:t>
      </w:r>
      <w:r>
        <w:rPr>
          <w:rStyle w:val="Fett"/>
          <w:rFonts w:eastAsiaTheme="majorEastAsia"/>
          <w:rtl/>
        </w:rPr>
        <w:t>שׁמר מצות</w:t>
      </w:r>
      <w:r>
        <w:t>), (4) Gehorsam gegenüber der Stimme (</w:t>
      </w:r>
      <w:r>
        <w:rPr>
          <w:rStyle w:val="Fett"/>
          <w:rFonts w:eastAsiaTheme="majorEastAsia"/>
          <w:rtl/>
        </w:rPr>
        <w:t>שׁמע בקול</w:t>
      </w:r>
      <w:r>
        <w:t>), (5) Dienst (</w:t>
      </w:r>
      <w:r>
        <w:rPr>
          <w:rStyle w:val="Fett"/>
          <w:rFonts w:eastAsiaTheme="majorEastAsia"/>
          <w:rtl/>
        </w:rPr>
        <w:t>עבד</w:t>
      </w:r>
      <w:r>
        <w:t>), (6) Anhänglichkeit (</w:t>
      </w:r>
      <w:r>
        <w:rPr>
          <w:rStyle w:val="Fett"/>
          <w:rFonts w:eastAsiaTheme="majorEastAsia"/>
          <w:rtl/>
        </w:rPr>
        <w:t>דבק</w:t>
      </w:r>
      <w:r>
        <w:t xml:space="preserve">). Die Voranstellung der Objekte in den Sätzen 2, 3, 4, 5 und 6 betont jeweils: ihn, seine Gebote, seine Stimme, ihn, ihm – durchgehend JHWH allein. Die Zahl sechs symbolisiert möglicherweise Vollständigkeit. Das abschließende </w:t>
      </w:r>
      <w:r>
        <w:rPr>
          <w:rStyle w:val="Fett"/>
          <w:rFonts w:eastAsiaTheme="majorEastAsia"/>
          <w:rtl/>
        </w:rPr>
        <w:t>דבק</w:t>
      </w:r>
      <w:r>
        <w:rPr>
          <w:rtl/>
        </w:rPr>
        <w:t xml:space="preserve"> </w:t>
      </w:r>
      <w:r>
        <w:t>(„anhängen") ist der intensivste Ausdruck und beschreibt untrennbare Verbundenheit.</w:t>
      </w:r>
    </w:p>
    <w:p w14:paraId="4AF40A70" w14:textId="77777777" w:rsidR="00E3356A" w:rsidRPr="00E3356A" w:rsidRDefault="00E3356A" w:rsidP="00E3356A">
      <w:pPr>
        <w:spacing w:before="100" w:beforeAutospacing="1" w:after="100" w:afterAutospacing="1" w:line="240" w:lineRule="auto"/>
        <w:outlineLvl w:val="1"/>
        <w:rPr>
          <w:rFonts w:eastAsia="Times New Roman"/>
          <w:b/>
          <w:bCs/>
          <w:sz w:val="36"/>
          <w:szCs w:val="36"/>
          <w:lang w:eastAsia="de-DE"/>
        </w:rPr>
      </w:pPr>
      <w:r w:rsidRPr="00E3356A">
        <w:rPr>
          <w:rFonts w:eastAsia="Times New Roman"/>
          <w:b/>
          <w:bCs/>
          <w:sz w:val="36"/>
          <w:szCs w:val="36"/>
          <w:lang w:eastAsia="de-DE"/>
        </w:rPr>
        <w:t>Vers 5 (MT 13,5) / Vers 4 (LXX 13,4)</w:t>
      </w:r>
    </w:p>
    <w:p w14:paraId="320EA35F" w14:textId="10B22B83" w:rsidR="00E3356A" w:rsidRPr="00E3356A" w:rsidRDefault="00E3356A" w:rsidP="00E3356A">
      <w:pPr>
        <w:spacing w:before="100" w:beforeAutospacing="1" w:after="100" w:afterAutospacing="1" w:line="240" w:lineRule="auto"/>
        <w:rPr>
          <w:rFonts w:eastAsia="Times New Roman"/>
          <w:lang w:eastAsia="de-DE"/>
        </w:rPr>
      </w:pPr>
      <w:r w:rsidRPr="00E3356A">
        <w:rPr>
          <w:rFonts w:eastAsia="Times New Roman"/>
          <w:b/>
          <w:bCs/>
          <w:lang w:eastAsia="de-DE"/>
        </w:rPr>
        <w:lastRenderedPageBreak/>
        <w:t>Die LXX</w:t>
      </w:r>
      <w:r w:rsidRPr="00E3356A">
        <w:rPr>
          <w:rFonts w:eastAsia="Times New Roman"/>
          <w:lang w:eastAsia="de-DE"/>
        </w:rPr>
        <w:t xml:space="preserve"> verwendet ὀπ</w:t>
      </w:r>
      <w:proofErr w:type="spellStart"/>
      <w:r w:rsidRPr="00E3356A">
        <w:rPr>
          <w:rFonts w:eastAsia="Times New Roman"/>
          <w:lang w:eastAsia="de-DE"/>
        </w:rPr>
        <w:t>ίσω</w:t>
      </w:r>
      <w:proofErr w:type="spellEnd"/>
      <w:r w:rsidRPr="00E3356A">
        <w:rPr>
          <w:rFonts w:eastAsia="Times New Roman"/>
          <w:lang w:eastAsia="de-DE"/>
        </w:rPr>
        <w:t xml:space="preserve"> </w:t>
      </w:r>
      <w:proofErr w:type="spellStart"/>
      <w:r w:rsidRPr="00E3356A">
        <w:rPr>
          <w:rFonts w:eastAsia="Times New Roman"/>
          <w:lang w:eastAsia="de-DE"/>
        </w:rPr>
        <w:t>κυρίου</w:t>
      </w:r>
      <w:proofErr w:type="spellEnd"/>
      <w:r w:rsidRPr="00E3356A">
        <w:rPr>
          <w:rFonts w:eastAsia="Times New Roman"/>
          <w:lang w:eastAsia="de-DE"/>
        </w:rPr>
        <w:t xml:space="preserve"> </w:t>
      </w:r>
      <w:proofErr w:type="spellStart"/>
      <w:r w:rsidRPr="00E3356A">
        <w:rPr>
          <w:rFonts w:eastAsia="Times New Roman"/>
          <w:lang w:eastAsia="de-DE"/>
        </w:rPr>
        <w:t>τοῦ</w:t>
      </w:r>
      <w:proofErr w:type="spellEnd"/>
      <w:r w:rsidRPr="00E3356A">
        <w:rPr>
          <w:rFonts w:eastAsia="Times New Roman"/>
          <w:lang w:eastAsia="de-DE"/>
        </w:rPr>
        <w:t xml:space="preserve"> </w:t>
      </w:r>
      <w:proofErr w:type="spellStart"/>
      <w:r w:rsidRPr="00E3356A">
        <w:rPr>
          <w:rFonts w:eastAsia="Times New Roman"/>
          <w:lang w:eastAsia="de-DE"/>
        </w:rPr>
        <w:t>θεοῦ</w:t>
      </w:r>
      <w:proofErr w:type="spellEnd"/>
      <w:r w:rsidRPr="00E3356A">
        <w:rPr>
          <w:rFonts w:eastAsia="Times New Roman"/>
          <w:lang w:eastAsia="de-DE"/>
        </w:rPr>
        <w:t xml:space="preserve"> </w:t>
      </w:r>
      <w:proofErr w:type="spellStart"/>
      <w:r w:rsidRPr="00E3356A">
        <w:rPr>
          <w:rFonts w:eastAsia="Times New Roman"/>
          <w:lang w:eastAsia="de-DE"/>
        </w:rPr>
        <w:t>ὑμῶν</w:t>
      </w:r>
      <w:proofErr w:type="spellEnd"/>
      <w:r w:rsidRPr="00E3356A">
        <w:rPr>
          <w:rFonts w:eastAsia="Times New Roman"/>
          <w:lang w:eastAsia="de-DE"/>
        </w:rPr>
        <w:t xml:space="preserve"> π</w:t>
      </w:r>
      <w:proofErr w:type="spellStart"/>
      <w:r w:rsidRPr="00E3356A">
        <w:rPr>
          <w:rFonts w:eastAsia="Times New Roman"/>
          <w:lang w:eastAsia="de-DE"/>
        </w:rPr>
        <w:t>ορεύεσθε</w:t>
      </w:r>
      <w:proofErr w:type="spellEnd"/>
      <w:r w:rsidRPr="00E3356A">
        <w:rPr>
          <w:rFonts w:eastAsia="Times New Roman"/>
          <w:lang w:eastAsia="de-DE"/>
        </w:rPr>
        <w:t xml:space="preserve"> (hinter dem Herrn, eurem Gott, sollt ihr gehen) für </w:t>
      </w:r>
      <w:r w:rsidRPr="00E3356A">
        <w:rPr>
          <w:rFonts w:eastAsia="Times New Roman"/>
          <w:rtl/>
          <w:lang w:eastAsia="de-DE"/>
        </w:rPr>
        <w:t>אַחֲרֵי יְהוָה אֱלֹהֵיכֶם תֵּלֵכוּ</w:t>
      </w:r>
      <w:r w:rsidRPr="00E3356A">
        <w:rPr>
          <w:rFonts w:eastAsia="Times New Roman"/>
          <w:lang w:eastAsia="de-DE"/>
        </w:rPr>
        <w:t>, wobei die Präposition ὀπ</w:t>
      </w:r>
      <w:proofErr w:type="spellStart"/>
      <w:r w:rsidRPr="00E3356A">
        <w:rPr>
          <w:rFonts w:eastAsia="Times New Roman"/>
          <w:lang w:eastAsia="de-DE"/>
        </w:rPr>
        <w:t>ίσω</w:t>
      </w:r>
      <w:proofErr w:type="spellEnd"/>
      <w:r w:rsidRPr="00E3356A">
        <w:rPr>
          <w:rFonts w:eastAsia="Times New Roman"/>
          <w:lang w:eastAsia="de-DE"/>
        </w:rPr>
        <w:t xml:space="preserve"> mit Genitiv die Nachfolge ausdrückt. Die Serie von Imperativen im Futur (</w:t>
      </w:r>
      <w:proofErr w:type="spellStart"/>
      <w:r w:rsidRPr="00E3356A">
        <w:rPr>
          <w:rFonts w:eastAsia="Times New Roman"/>
          <w:lang w:eastAsia="de-DE"/>
        </w:rPr>
        <w:t>φο</w:t>
      </w:r>
      <w:proofErr w:type="spellEnd"/>
      <w:r w:rsidRPr="00E3356A">
        <w:rPr>
          <w:rFonts w:eastAsia="Times New Roman"/>
          <w:lang w:eastAsia="de-DE"/>
        </w:rPr>
        <w:t xml:space="preserve">βηθήσεσθε, </w:t>
      </w:r>
      <w:proofErr w:type="spellStart"/>
      <w:r w:rsidRPr="00E3356A">
        <w:rPr>
          <w:rFonts w:eastAsia="Times New Roman"/>
          <w:lang w:eastAsia="de-DE"/>
        </w:rPr>
        <w:t>φυλάξεσθε</w:t>
      </w:r>
      <w:proofErr w:type="spellEnd"/>
      <w:r w:rsidRPr="00E3356A">
        <w:rPr>
          <w:rFonts w:eastAsia="Times New Roman"/>
          <w:lang w:eastAsia="de-DE"/>
        </w:rPr>
        <w:t xml:space="preserve">, </w:t>
      </w:r>
      <w:proofErr w:type="spellStart"/>
      <w:r w:rsidRPr="00E3356A">
        <w:rPr>
          <w:rFonts w:eastAsia="Times New Roman"/>
          <w:lang w:eastAsia="de-DE"/>
        </w:rPr>
        <w:t>ἀκούσεσθε</w:t>
      </w:r>
      <w:proofErr w:type="spellEnd"/>
      <w:r w:rsidRPr="00E3356A">
        <w:rPr>
          <w:rFonts w:eastAsia="Times New Roman"/>
          <w:lang w:eastAsia="de-DE"/>
        </w:rPr>
        <w:t>) entspricht den hebräischen Imperfektformen mit imperativischer Funktion. Bemerkenswert ist π</w:t>
      </w:r>
      <w:proofErr w:type="spellStart"/>
      <w:r w:rsidRPr="00E3356A">
        <w:rPr>
          <w:rFonts w:eastAsia="Times New Roman"/>
          <w:lang w:eastAsia="de-DE"/>
        </w:rPr>
        <w:t>ροστεθήσεσθε</w:t>
      </w:r>
      <w:proofErr w:type="spellEnd"/>
      <w:r w:rsidRPr="00E3356A">
        <w:rPr>
          <w:rFonts w:eastAsia="Times New Roman"/>
          <w:lang w:eastAsia="de-DE"/>
        </w:rPr>
        <w:t xml:space="preserve"> (ihr werdet euch anschließen) für </w:t>
      </w:r>
      <w:r w:rsidRPr="00E3356A">
        <w:rPr>
          <w:rFonts w:eastAsia="Times New Roman"/>
          <w:rtl/>
          <w:lang w:eastAsia="de-DE"/>
        </w:rPr>
        <w:t>וּבוֹ תִדְבָּקוּן</w:t>
      </w:r>
      <w:r w:rsidRPr="00E3356A">
        <w:rPr>
          <w:rFonts w:eastAsia="Times New Roman"/>
          <w:lang w:eastAsia="de-DE"/>
        </w:rPr>
        <w:t xml:space="preserve">, wo die LXX ein anderes Verb wählt als das übliche </w:t>
      </w:r>
      <w:proofErr w:type="spellStart"/>
      <w:r w:rsidRPr="00E3356A">
        <w:rPr>
          <w:rFonts w:eastAsia="Times New Roman"/>
          <w:lang w:eastAsia="de-DE"/>
        </w:rPr>
        <w:t>κολλάω</w:t>
      </w:r>
      <w:proofErr w:type="spellEnd"/>
      <w:r w:rsidRPr="00E3356A">
        <w:rPr>
          <w:rFonts w:eastAsia="Times New Roman"/>
          <w:lang w:eastAsia="de-DE"/>
        </w:rPr>
        <w:t xml:space="preserve"> für </w:t>
      </w:r>
      <w:r w:rsidRPr="00E3356A">
        <w:rPr>
          <w:rFonts w:eastAsia="Times New Roman"/>
          <w:rtl/>
          <w:lang w:eastAsia="de-DE"/>
        </w:rPr>
        <w:t>דבק</w:t>
      </w:r>
      <w:r w:rsidRPr="00E3356A">
        <w:rPr>
          <w:rFonts w:eastAsia="Times New Roman"/>
          <w:lang w:eastAsia="de-DE"/>
        </w:rPr>
        <w:t>, möglicherweise um Wiederholung mit Vers 17 zu vermeiden.</w:t>
      </w:r>
    </w:p>
    <w:p w14:paraId="409D79A6" w14:textId="77777777" w:rsidR="00724090" w:rsidRDefault="00724090" w:rsidP="00724090">
      <w:pPr>
        <w:pStyle w:val="whitespace-normal"/>
      </w:pPr>
      <w:r>
        <w:rPr>
          <w:rStyle w:val="Fett"/>
          <w:rFonts w:eastAsiaTheme="majorEastAsia"/>
        </w:rPr>
        <w:t>Die Satzstruktur</w:t>
      </w:r>
      <w:r>
        <w:t xml:space="preserve"> besteht aus sechs koordinierten Imperativen mit vorangestellten Objekten oder Bestimmungen: Erster Imperativ mit vorangestellter Richtungsangabe (JHWH, eurem Gott, nach), Prädikat (sollt ihr gehen); zweiter bis sechster Imperativ jeweils mit vorangestelltem Objekt oder präpositionaler Bestimmung und Prädikat (ihn fürchten, seine Gebote halten, seiner Stimme gehorchen, ihm dienen, ihm anhängen).</w:t>
      </w:r>
    </w:p>
    <w:p w14:paraId="7450B67C" w14:textId="77777777" w:rsidR="00724090" w:rsidRDefault="00724090" w:rsidP="00724090">
      <w:pPr>
        <w:pStyle w:val="whitespace-normal"/>
      </w:pPr>
      <w:r>
        <w:t>Der Vers formuliert positiv die richtige Antwort auf die Prüfung: Totale, umfassende, exklusive Hingabe an JHWH in Nachfolge, Furcht, Gehorsam, Dienst und untrennbarer Verbundenheit.</w:t>
      </w:r>
    </w:p>
    <w:p w14:paraId="5775A370"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13,6</w:t>
      </w:r>
    </w:p>
    <w:p w14:paraId="570BEB35" w14:textId="77777777" w:rsidR="00724090" w:rsidRDefault="00724090" w:rsidP="00724090">
      <w:pPr>
        <w:pStyle w:val="whitespace-normal"/>
      </w:pPr>
      <w:r>
        <w:rPr>
          <w:rStyle w:val="Fett"/>
          <w:rFonts w:eastAsiaTheme="majorEastAsia"/>
        </w:rPr>
        <w:t>Hebräisch:</w:t>
      </w:r>
      <w:r>
        <w:t xml:space="preserve"> </w:t>
      </w:r>
      <w:r>
        <w:rPr>
          <w:rtl/>
        </w:rPr>
        <w:t>וְהַנָּבִ֣יא הַה֡וּא א֣וֹ חֹלֵם֩ הַחֲל֨וֹם הַה֜וּא יוּמָ֗ת כִּ֣י דִבֶּר־סָ֠רָה עַל־יְהוָ֨ה אֱלֹֽהֵיכֶ֜ם הַמּוֹצִ֥יא אֶתְכֶ֣ם׀ מֵאֶ֣רֶץ מִצְרַ֗יִם וְהַפֹּֽדְךָ֙ מִבֵּ֣ית עֲבָדִ֔ים לְהַדִּֽיחֲךָ֙ מִן־הַדֶּ֔רֶךְ אֲשֶׁ֧ר צִוְּךָ֛ יְהוָ֥ה אֱלֹהֶ֖יךָ לָלֶ֣כֶת בָּ֑הּ וּבִֽעַרְתָּ֥ הָרָ֖ע מִקִּרְבֶּֽךָ׃</w:t>
      </w:r>
    </w:p>
    <w:p w14:paraId="7F4B4331" w14:textId="071D3D0D" w:rsidR="00724090" w:rsidRDefault="00724090" w:rsidP="00724090">
      <w:pPr>
        <w:pStyle w:val="whitespace-normal"/>
      </w:pPr>
      <w:r>
        <w:rPr>
          <w:rStyle w:val="Fett"/>
          <w:rFonts w:eastAsiaTheme="majorEastAsia"/>
        </w:rPr>
        <w:t>Deutsch:</w:t>
      </w:r>
      <w:r>
        <w:t xml:space="preserve"> Und jener Prophet oder jener, der die Träume hat, soll getötet werden; denn er hat Abfall geredet gegen den Ewigen, euren Gott, der euch aus dem Land Mizrajim herausgeführt und dich erlöst hat aus dem Haus der Knechtschaft, - um dich abzubringen von dem Weg, auf dem zu wandeln der Ewige, dein Gott, dir geboten hat. Und du sollst das Böse aus deiner Mitte wegschaffen.</w:t>
      </w:r>
    </w:p>
    <w:p w14:paraId="07BBD891" w14:textId="7EB1973F" w:rsidR="009C316F" w:rsidRDefault="004F5CEB" w:rsidP="00724090">
      <w:pPr>
        <w:pStyle w:val="whitespace-normal"/>
      </w:pPr>
      <w:r>
        <w:rPr>
          <w:noProof/>
        </w:rPr>
        <w:pict w14:anchorId="4C6FF908">
          <v:rect id="_x0000_i1409" style="width:0;height:1.5pt" o:hralign="center" o:hrstd="t" o:hr="t" fillcolor="#a0a0a0" stroked="f"/>
        </w:pict>
      </w:r>
    </w:p>
    <w:p w14:paraId="055DA112"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וְהַנָּבִיא הַהוּא אוֹ חֹלֵם הַחֲלוֹם הַהוּא יוּמָת</w:t>
      </w:r>
      <w:r>
        <w:rPr>
          <w:rtl/>
        </w:rPr>
        <w:t xml:space="preserve"> </w:t>
      </w:r>
      <w:r>
        <w:t xml:space="preserve">ist der erste Satz: </w:t>
      </w:r>
      <w:r>
        <w:rPr>
          <w:rStyle w:val="Fett"/>
          <w:rFonts w:eastAsiaTheme="majorEastAsia"/>
          <w:rtl/>
        </w:rPr>
        <w:t>וְהַנָּבִיא הַהוּא</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נָבִיא</w:t>
      </w:r>
      <w:r>
        <w:t xml:space="preserve">, „Prophet", mit Artikel und Demonstrativpronomen </w:t>
      </w:r>
      <w:r>
        <w:rPr>
          <w:rStyle w:val="Fett"/>
          <w:rFonts w:eastAsiaTheme="majorEastAsia"/>
          <w:rtl/>
        </w:rPr>
        <w:t>הַהוּא</w:t>
      </w:r>
      <w:r>
        <w:t xml:space="preserve">, „jener"), koordiniert durch </w:t>
      </w:r>
      <w:r>
        <w:rPr>
          <w:rStyle w:val="Fett"/>
          <w:rFonts w:eastAsiaTheme="majorEastAsia"/>
          <w:rtl/>
        </w:rPr>
        <w:t>אוֹ</w:t>
      </w:r>
      <w:r>
        <w:rPr>
          <w:rtl/>
        </w:rPr>
        <w:t xml:space="preserve"> </w:t>
      </w:r>
      <w:r>
        <w:t xml:space="preserve">mit </w:t>
      </w:r>
      <w:r>
        <w:rPr>
          <w:rStyle w:val="Fett"/>
          <w:rFonts w:eastAsiaTheme="majorEastAsia"/>
          <w:rtl/>
        </w:rPr>
        <w:t>חֹלֵם הַחֲלוֹם הַהוּא</w:t>
      </w:r>
      <w:r>
        <w:rPr>
          <w:rtl/>
        </w:rPr>
        <w:t xml:space="preserve"> </w:t>
      </w:r>
      <w:r>
        <w:t xml:space="preserve">(Qal Partizip von </w:t>
      </w:r>
      <w:r>
        <w:rPr>
          <w:rStyle w:val="Fett"/>
          <w:rFonts w:eastAsiaTheme="majorEastAsia"/>
          <w:rtl/>
        </w:rPr>
        <w:t>חלם</w:t>
      </w:r>
      <w:r>
        <w:t xml:space="preserve">, „träumen", mit Artikel, Construct mit </w:t>
      </w:r>
      <w:r>
        <w:rPr>
          <w:rStyle w:val="Fett"/>
          <w:rFonts w:eastAsiaTheme="majorEastAsia"/>
          <w:rtl/>
        </w:rPr>
        <w:t>חֲלוֹם</w:t>
      </w:r>
      <w:r>
        <w:t xml:space="preserve">, mit Artikel und Demonstrativpronomen) als Subjekt und </w:t>
      </w:r>
      <w:r>
        <w:rPr>
          <w:rStyle w:val="Fett"/>
          <w:rFonts w:eastAsiaTheme="majorEastAsia"/>
          <w:rtl/>
        </w:rPr>
        <w:t>יוּמָת</w:t>
      </w:r>
      <w:r>
        <w:rPr>
          <w:rtl/>
        </w:rPr>
        <w:t xml:space="preserve"> </w:t>
      </w:r>
      <w:r>
        <w:t xml:space="preserve">(Hophal Imperfekt, 3. Person Maskulinum Singular von </w:t>
      </w:r>
      <w:r>
        <w:rPr>
          <w:rStyle w:val="Fett"/>
          <w:rFonts w:eastAsiaTheme="majorEastAsia"/>
          <w:rtl/>
        </w:rPr>
        <w:t>מות</w:t>
      </w:r>
      <w:r>
        <w:t>, „sterben, töten", in der Hophal-Form passivisch „getötet werden") als Prädikat. Die Hophal-Form drückt die gerichtliche Todesstrafe aus.</w:t>
      </w:r>
    </w:p>
    <w:p w14:paraId="73F8E329" w14:textId="77777777" w:rsidR="00724090" w:rsidRDefault="00724090" w:rsidP="00724090">
      <w:pPr>
        <w:pStyle w:val="whitespace-normal"/>
      </w:pPr>
      <w:r>
        <w:rPr>
          <w:rStyle w:val="Fett"/>
          <w:rFonts w:eastAsiaTheme="majorEastAsia"/>
          <w:rtl/>
        </w:rPr>
        <w:t>כִּי דִבֶּר־סָרָה עַל־יְהוָה אֱלֹהֵיכֶם הַמּוֹצִיא אֶתְכֶם מֵאֶרֶץ מִצְרַיִם וְהַפֹּדְךָ מִבֵּית עֲבָדִים</w:t>
      </w:r>
      <w:r>
        <w:rPr>
          <w:rtl/>
        </w:rPr>
        <w:t xml:space="preserve"> </w:t>
      </w:r>
      <w:r>
        <w:t xml:space="preserve">ist die erste kausale Begründung mit partizipialer Apposition: </w:t>
      </w:r>
      <w:r>
        <w:rPr>
          <w:rStyle w:val="Fett"/>
          <w:rFonts w:eastAsiaTheme="majorEastAsia"/>
          <w:rtl/>
        </w:rPr>
        <w:t>כִּי</w:t>
      </w:r>
      <w:r>
        <w:rPr>
          <w:rtl/>
        </w:rPr>
        <w:t xml:space="preserve"> </w:t>
      </w:r>
      <w:r>
        <w:t xml:space="preserve">(„denn, weil") als kausale Konjunktion, </w:t>
      </w:r>
      <w:r>
        <w:rPr>
          <w:rStyle w:val="Fett"/>
          <w:rFonts w:eastAsiaTheme="majorEastAsia"/>
          <w:rtl/>
        </w:rPr>
        <w:t>דִבֶּר־סָרָה</w:t>
      </w:r>
      <w:r>
        <w:rPr>
          <w:rtl/>
        </w:rPr>
        <w:t xml:space="preserve"> </w:t>
      </w:r>
      <w:r>
        <w:t xml:space="preserve">(Piel Perfekt, 3. Person Maskulinum Singular von </w:t>
      </w:r>
      <w:r>
        <w:rPr>
          <w:rStyle w:val="Fett"/>
          <w:rFonts w:eastAsiaTheme="majorEastAsia"/>
          <w:rtl/>
        </w:rPr>
        <w:t>דבר</w:t>
      </w:r>
      <w:r>
        <w:t xml:space="preserve">, „reden", mit </w:t>
      </w:r>
      <w:r>
        <w:rPr>
          <w:rStyle w:val="Fett"/>
          <w:rFonts w:eastAsiaTheme="majorEastAsia"/>
          <w:rtl/>
        </w:rPr>
        <w:t>סָרָה</w:t>
      </w:r>
      <w:r>
        <w:t xml:space="preserve">, „Abfall, Abtrünnigkeit, Auflehnung", als innerem Objekt, „Abfall reden") als Prädikat, </w:t>
      </w:r>
      <w:r>
        <w:rPr>
          <w:rStyle w:val="Fett"/>
          <w:rFonts w:eastAsiaTheme="majorEastAsia"/>
          <w:rtl/>
        </w:rPr>
        <w:t>עַל־יְהוָה אֱלֹהֵיכֶם</w:t>
      </w:r>
      <w:r>
        <w:rPr>
          <w:rtl/>
        </w:rPr>
        <w:t xml:space="preserve"> </w:t>
      </w:r>
      <w:r>
        <w:t xml:space="preserve">(Präposition </w:t>
      </w:r>
      <w:r>
        <w:rPr>
          <w:rStyle w:val="Fett"/>
          <w:rFonts w:eastAsiaTheme="majorEastAsia"/>
          <w:rtl/>
        </w:rPr>
        <w:t>עַל</w:t>
      </w:r>
      <w:r>
        <w:t xml:space="preserve">, „gegen", mit </w:t>
      </w:r>
      <w:r>
        <w:rPr>
          <w:rStyle w:val="Fett"/>
          <w:rFonts w:eastAsiaTheme="majorEastAsia"/>
          <w:rtl/>
        </w:rPr>
        <w:t>יְהוָה אֱלֹהֵיכֶם</w:t>
      </w:r>
      <w:r>
        <w:t xml:space="preserve">), </w:t>
      </w:r>
      <w:r>
        <w:rPr>
          <w:rStyle w:val="Fett"/>
          <w:rFonts w:eastAsiaTheme="majorEastAsia"/>
          <w:rtl/>
        </w:rPr>
        <w:t>הַמּוֹצִיא אֶתְכֶם מֵאֶרֶץ מִצְרַיִם</w:t>
      </w:r>
      <w:r>
        <w:rPr>
          <w:rtl/>
        </w:rPr>
        <w:t xml:space="preserve"> </w:t>
      </w:r>
      <w:r>
        <w:t xml:space="preserve">(Hiphil Partizip Maskulinum Singular von </w:t>
      </w:r>
      <w:r>
        <w:rPr>
          <w:rStyle w:val="Fett"/>
          <w:rFonts w:eastAsiaTheme="majorEastAsia"/>
          <w:rtl/>
        </w:rPr>
        <w:t>יצא</w:t>
      </w:r>
      <w:r>
        <w:t xml:space="preserve">, „hinausgehen", in der Hiphil-Form „hinausführen", mit Artikel, </w:t>
      </w:r>
      <w:r>
        <w:rPr>
          <w:rStyle w:val="Fett"/>
          <w:rFonts w:eastAsiaTheme="majorEastAsia"/>
          <w:rtl/>
        </w:rPr>
        <w:t>אֶתְכֶם</w:t>
      </w:r>
      <w:r>
        <w:rPr>
          <w:rtl/>
        </w:rPr>
        <w:t xml:space="preserve"> </w:t>
      </w:r>
      <w:r>
        <w:t xml:space="preserve">als direktes Objekt und </w:t>
      </w:r>
      <w:r>
        <w:rPr>
          <w:rStyle w:val="Fett"/>
          <w:rFonts w:eastAsiaTheme="majorEastAsia"/>
          <w:rtl/>
        </w:rPr>
        <w:t>מֵאֶרֶץ מִצְרַיִם</w:t>
      </w:r>
      <w:r>
        <w:t xml:space="preserve">, Präposition </w:t>
      </w:r>
      <w:r>
        <w:rPr>
          <w:rStyle w:val="Fett"/>
          <w:rFonts w:eastAsiaTheme="majorEastAsia"/>
          <w:rtl/>
        </w:rPr>
        <w:t>מִן</w:t>
      </w:r>
      <w:r>
        <w:rPr>
          <w:rtl/>
        </w:rPr>
        <w:t xml:space="preserve"> </w:t>
      </w:r>
      <w:r>
        <w:t xml:space="preserve">mit </w:t>
      </w:r>
      <w:r>
        <w:rPr>
          <w:rStyle w:val="Fett"/>
          <w:rFonts w:eastAsiaTheme="majorEastAsia"/>
          <w:rtl/>
        </w:rPr>
        <w:t>אֶרֶץ מִצְרַיִם</w:t>
      </w:r>
      <w:r>
        <w:t xml:space="preserve">, als Herkunftsangabe) als partizipiale Apposition, koordiniert durch </w:t>
      </w:r>
      <w:r>
        <w:rPr>
          <w:rStyle w:val="Fett"/>
          <w:rFonts w:eastAsiaTheme="majorEastAsia"/>
          <w:rtl/>
        </w:rPr>
        <w:t>וְ</w:t>
      </w:r>
      <w:r>
        <w:rPr>
          <w:rtl/>
        </w:rPr>
        <w:t xml:space="preserve"> </w:t>
      </w:r>
      <w:r>
        <w:t xml:space="preserve">mit </w:t>
      </w:r>
      <w:r>
        <w:rPr>
          <w:rStyle w:val="Fett"/>
          <w:rFonts w:eastAsiaTheme="majorEastAsia"/>
          <w:rtl/>
        </w:rPr>
        <w:t>הַפֹּדְךָ מִבֵּית עֲבָדִים</w:t>
      </w:r>
      <w:r>
        <w:rPr>
          <w:rtl/>
        </w:rPr>
        <w:t xml:space="preserve"> </w:t>
      </w:r>
      <w:r>
        <w:t xml:space="preserve">(Qal </w:t>
      </w:r>
      <w:r>
        <w:lastRenderedPageBreak/>
        <w:t xml:space="preserve">Partizip Maskulinum Singular von </w:t>
      </w:r>
      <w:r>
        <w:rPr>
          <w:rStyle w:val="Fett"/>
          <w:rFonts w:eastAsiaTheme="majorEastAsia"/>
          <w:rtl/>
        </w:rPr>
        <w:t>פדה</w:t>
      </w:r>
      <w:r>
        <w:t xml:space="preserve">, „erlösen, loskaufen", mit Artikel, Suffix 2. Person Maskulinum Singular als direktes Objekt und </w:t>
      </w:r>
      <w:r>
        <w:rPr>
          <w:rStyle w:val="Fett"/>
          <w:rFonts w:eastAsiaTheme="majorEastAsia"/>
          <w:rtl/>
        </w:rPr>
        <w:t>מִבֵּית עֲבָדִים</w:t>
      </w:r>
      <w:r>
        <w:t xml:space="preserve">, Präposition </w:t>
      </w:r>
      <w:r>
        <w:rPr>
          <w:rStyle w:val="Fett"/>
          <w:rFonts w:eastAsiaTheme="majorEastAsia"/>
          <w:rtl/>
        </w:rPr>
        <w:t>מִן</w:t>
      </w:r>
      <w:r>
        <w:rPr>
          <w:rtl/>
        </w:rPr>
        <w:t xml:space="preserve"> </w:t>
      </w:r>
      <w:r>
        <w:t xml:space="preserve">mit </w:t>
      </w:r>
      <w:r>
        <w:rPr>
          <w:rStyle w:val="Fett"/>
          <w:rFonts w:eastAsiaTheme="majorEastAsia"/>
          <w:rtl/>
        </w:rPr>
        <w:t>בַּיִת</w:t>
      </w:r>
      <w:r>
        <w:t xml:space="preserve">, „Haus", Construct mit </w:t>
      </w:r>
      <w:r>
        <w:rPr>
          <w:rStyle w:val="Fett"/>
          <w:rFonts w:eastAsiaTheme="majorEastAsia"/>
          <w:rtl/>
        </w:rPr>
        <w:t>עֶבֶד</w:t>
      </w:r>
      <w:r>
        <w:t xml:space="preserve">, „Knecht, Sklave", Plural, „Haus der Knechtschaft", als Herkunftsangabe). Die Wendung </w:t>
      </w:r>
      <w:r>
        <w:rPr>
          <w:rStyle w:val="Fett"/>
          <w:rFonts w:eastAsiaTheme="majorEastAsia"/>
          <w:rtl/>
        </w:rPr>
        <w:t>דבר סרה על</w:t>
      </w:r>
      <w:r>
        <w:rPr>
          <w:rtl/>
        </w:rPr>
        <w:t xml:space="preserve"> </w:t>
      </w:r>
      <w:r>
        <w:t xml:space="preserve">bedeutet „Abfall/Auflehnung reden </w:t>
      </w:r>
      <w:proofErr w:type="spellStart"/>
      <w:r>
        <w:t>gegen</w:t>
      </w:r>
      <w:proofErr w:type="spellEnd"/>
      <w:r>
        <w:t>". Die doppelte Beschreibung JHWHs als Erlöser aus Ägypten betont die Schwere des Vergehens: Rebellion gegen den Bundesgott und Erlöser.</w:t>
      </w:r>
    </w:p>
    <w:p w14:paraId="2E2FA1DE" w14:textId="77777777" w:rsidR="00724090" w:rsidRDefault="00724090" w:rsidP="00724090">
      <w:pPr>
        <w:pStyle w:val="whitespace-normal"/>
      </w:pPr>
      <w:r>
        <w:rPr>
          <w:rStyle w:val="Fett"/>
          <w:rFonts w:eastAsiaTheme="majorEastAsia"/>
          <w:rtl/>
        </w:rPr>
        <w:t>לְהַדִּיחֲךָ מִן־הַדֶּרֶךְ אֲשֶׁר צִוְּךָ יְהוָה אֱלֹהֶיךָ לָלֶכֶת בָּהּ</w:t>
      </w:r>
      <w:r>
        <w:rPr>
          <w:rtl/>
        </w:rPr>
        <w:t xml:space="preserve"> </w:t>
      </w:r>
      <w:r>
        <w:t xml:space="preserve">ist eine finale Bestimmung: </w:t>
      </w:r>
      <w:r>
        <w:rPr>
          <w:rStyle w:val="Fett"/>
          <w:rFonts w:eastAsiaTheme="majorEastAsia"/>
          <w:rtl/>
        </w:rPr>
        <w:t>לְהַדִּיחֲךָ</w:t>
      </w:r>
      <w:r>
        <w:rPr>
          <w:rtl/>
        </w:rPr>
        <w:t xml:space="preserve"> </w:t>
      </w:r>
      <w:r>
        <w:t xml:space="preserve">(Präposition </w:t>
      </w:r>
      <w:r>
        <w:rPr>
          <w:rStyle w:val="Fett"/>
          <w:rFonts w:eastAsiaTheme="majorEastAsia"/>
          <w:rtl/>
        </w:rPr>
        <w:t>לְ</w:t>
      </w:r>
      <w:r>
        <w:rPr>
          <w:rtl/>
        </w:rPr>
        <w:t xml:space="preserve"> </w:t>
      </w:r>
      <w:r>
        <w:t xml:space="preserve">mit Hiphil Infinitiv Construct von </w:t>
      </w:r>
      <w:r>
        <w:rPr>
          <w:rStyle w:val="Fett"/>
          <w:rFonts w:eastAsiaTheme="majorEastAsia"/>
          <w:rtl/>
        </w:rPr>
        <w:t>נדח</w:t>
      </w:r>
      <w:r>
        <w:t xml:space="preserve">, „verstoßen, wegführen", in der Hiphil-Form „abführen, verführen", mit Suffix 2. Person Maskulinum Singular als direktes Objekt), </w:t>
      </w:r>
      <w:r>
        <w:rPr>
          <w:rStyle w:val="Fett"/>
          <w:rFonts w:eastAsiaTheme="majorEastAsia"/>
          <w:rtl/>
        </w:rPr>
        <w:t>מִן־הַדֶּרֶךְ</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דֶּרֶךְ</w:t>
      </w:r>
      <w:r>
        <w:t xml:space="preserve">, „Weg", mit Artikel) als Herkunftsangabe, </w:t>
      </w:r>
      <w:r>
        <w:rPr>
          <w:rStyle w:val="Fett"/>
          <w:rFonts w:eastAsiaTheme="majorEastAsia"/>
          <w:rtl/>
        </w:rPr>
        <w:t>אֲשֶׁר צִוְּךָ יְהוָה אֱלֹהֶיךָ לָלֶכֶת בָּהּ</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צִוְּךָ</w:t>
      </w:r>
      <w:r>
        <w:t xml:space="preserve">, Piel Perfekt, 3. Person Maskulinum Singular von </w:t>
      </w:r>
      <w:r>
        <w:rPr>
          <w:rStyle w:val="Fett"/>
          <w:rFonts w:eastAsiaTheme="majorEastAsia"/>
          <w:rtl/>
        </w:rPr>
        <w:t>צוה</w:t>
      </w:r>
      <w:r>
        <w:t xml:space="preserve">, „befehlen", mit Suffix 2. Person Maskulinum Singular, </w:t>
      </w:r>
      <w:r>
        <w:rPr>
          <w:rStyle w:val="Fett"/>
          <w:rFonts w:eastAsiaTheme="majorEastAsia"/>
          <w:rtl/>
        </w:rPr>
        <w:t>יְהוָה אֱלֹהֶיךָ</w:t>
      </w:r>
      <w:r>
        <w:rPr>
          <w:rtl/>
        </w:rPr>
        <w:t xml:space="preserve"> </w:t>
      </w:r>
      <w:r>
        <w:t xml:space="preserve">als Subjekt, </w:t>
      </w:r>
      <w:r>
        <w:rPr>
          <w:rStyle w:val="Fett"/>
          <w:rFonts w:eastAsiaTheme="majorEastAsia"/>
          <w:rtl/>
        </w:rPr>
        <w:t>לָלֶכֶת</w:t>
      </w:r>
      <w:r>
        <w:t xml:space="preserve">, Präposition </w:t>
      </w:r>
      <w:r>
        <w:rPr>
          <w:rStyle w:val="Fett"/>
          <w:rFonts w:eastAsiaTheme="majorEastAsia"/>
          <w:rtl/>
        </w:rPr>
        <w:t>לְ</w:t>
      </w:r>
      <w:r>
        <w:rPr>
          <w:rtl/>
        </w:rPr>
        <w:t xml:space="preserve"> </w:t>
      </w:r>
      <w:r>
        <w:t xml:space="preserve">mit Qal Infinitiv Construct von </w:t>
      </w:r>
      <w:r>
        <w:rPr>
          <w:rStyle w:val="Fett"/>
          <w:rFonts w:eastAsiaTheme="majorEastAsia"/>
          <w:rtl/>
        </w:rPr>
        <w:t>הלך</w:t>
      </w:r>
      <w:r>
        <w:t xml:space="preserve">, „gehen", und </w:t>
      </w:r>
      <w:r>
        <w:rPr>
          <w:rStyle w:val="Fett"/>
          <w:rFonts w:eastAsiaTheme="majorEastAsia"/>
          <w:rtl/>
        </w:rPr>
        <w:t>בָּהּ</w:t>
      </w:r>
      <w:r>
        <w:t xml:space="preserve">, Präposition </w:t>
      </w:r>
      <w:r>
        <w:rPr>
          <w:rStyle w:val="Fett"/>
          <w:rFonts w:eastAsiaTheme="majorEastAsia"/>
          <w:rtl/>
        </w:rPr>
        <w:t>בְּ</w:t>
      </w:r>
      <w:r>
        <w:rPr>
          <w:rtl/>
        </w:rPr>
        <w:t xml:space="preserve"> </w:t>
      </w:r>
      <w:r>
        <w:t xml:space="preserve">mit Suffix 3. Person feminin Singular, rückverweisend auf </w:t>
      </w:r>
      <w:r>
        <w:rPr>
          <w:rStyle w:val="Fett"/>
          <w:rFonts w:eastAsiaTheme="majorEastAsia"/>
          <w:rtl/>
        </w:rPr>
        <w:t>הַדֶּרֶךְ</w:t>
      </w:r>
      <w:r>
        <w:t xml:space="preserve">). Die Metapher </w:t>
      </w:r>
      <w:r>
        <w:rPr>
          <w:rStyle w:val="Fett"/>
          <w:rFonts w:eastAsiaTheme="majorEastAsia"/>
          <w:rtl/>
        </w:rPr>
        <w:t>דֶּרֶךְ</w:t>
      </w:r>
      <w:r>
        <w:rPr>
          <w:rtl/>
        </w:rPr>
        <w:t xml:space="preserve"> </w:t>
      </w:r>
      <w:r>
        <w:t>(„Weg") bezeichnet den Lebenswandel nach Gottes Gebot.</w:t>
      </w:r>
    </w:p>
    <w:p w14:paraId="746192CB" w14:textId="77777777" w:rsidR="00724090" w:rsidRDefault="00724090" w:rsidP="00724090">
      <w:pPr>
        <w:pStyle w:val="whitespace-normal"/>
      </w:pPr>
      <w:r>
        <w:rPr>
          <w:rStyle w:val="Fett"/>
          <w:rFonts w:eastAsiaTheme="majorEastAsia"/>
          <w:rtl/>
        </w:rPr>
        <w:t>וּבִעַרְתָּ הָרָע מִקִּרְבֶּךָ</w:t>
      </w:r>
      <w:r>
        <w:rPr>
          <w:rtl/>
        </w:rPr>
        <w:t xml:space="preserve"> </w:t>
      </w:r>
      <w:r>
        <w:t xml:space="preserve">ist der abschließende Imperativsatz: </w:t>
      </w:r>
      <w:r>
        <w:rPr>
          <w:rStyle w:val="Fett"/>
          <w:rFonts w:eastAsiaTheme="majorEastAsia"/>
          <w:rtl/>
        </w:rPr>
        <w:t>וּבִעַרְתָּ</w:t>
      </w:r>
      <w:r>
        <w:rPr>
          <w:rtl/>
        </w:rPr>
        <w:t xml:space="preserve"> </w:t>
      </w:r>
      <w:r>
        <w:t xml:space="preserve">(Piel Perfekt, 2. Person Maskulinum Singular von </w:t>
      </w:r>
      <w:r>
        <w:rPr>
          <w:rStyle w:val="Fett"/>
          <w:rFonts w:eastAsiaTheme="majorEastAsia"/>
          <w:rtl/>
        </w:rPr>
        <w:t>בער</w:t>
      </w:r>
      <w:r>
        <w:t xml:space="preserve">, „wegbrennen, ausrotten", mit </w:t>
      </w:r>
      <w:r>
        <w:rPr>
          <w:rStyle w:val="Fett"/>
          <w:rFonts w:eastAsiaTheme="majorEastAsia"/>
        </w:rPr>
        <w:t>Waw</w:t>
      </w:r>
      <w:r>
        <w:t xml:space="preserve">, imperativisch), </w:t>
      </w:r>
      <w:r>
        <w:rPr>
          <w:rStyle w:val="Fett"/>
          <w:rFonts w:eastAsiaTheme="majorEastAsia"/>
          <w:rtl/>
        </w:rPr>
        <w:t>הָרָע</w:t>
      </w:r>
      <w:r>
        <w:rPr>
          <w:rtl/>
        </w:rPr>
        <w:t xml:space="preserve"> </w:t>
      </w:r>
      <w:r>
        <w:t>(</w:t>
      </w:r>
      <w:r>
        <w:rPr>
          <w:rStyle w:val="Fett"/>
          <w:rFonts w:eastAsiaTheme="majorEastAsia"/>
          <w:rtl/>
        </w:rPr>
        <w:t>רַע</w:t>
      </w:r>
      <w:r>
        <w:t xml:space="preserve">, „Böse, das Böse", mit Artikel) als direktes Objekt und </w:t>
      </w:r>
      <w:r>
        <w:rPr>
          <w:rStyle w:val="Fett"/>
          <w:rFonts w:eastAsiaTheme="majorEastAsia"/>
          <w:rtl/>
        </w:rPr>
        <w:t>מִקִּרְבֶּךָ</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קֶרֶב</w:t>
      </w:r>
      <w:r>
        <w:t xml:space="preserve">, „Mitte, Inneres", mit Suffix 2. Person Maskulinum Singular, „aus deiner Mitte") als Herkunftsangabe. Diese Formel </w:t>
      </w:r>
      <w:r>
        <w:rPr>
          <w:rStyle w:val="Fett"/>
          <w:rFonts w:eastAsiaTheme="majorEastAsia"/>
          <w:rtl/>
        </w:rPr>
        <w:t>בער הרע מקרב</w:t>
      </w:r>
      <w:r>
        <w:rPr>
          <w:rtl/>
        </w:rPr>
        <w:t xml:space="preserve"> </w:t>
      </w:r>
      <w:r>
        <w:t>(„das Böse ausrotten aus der Mitte") ist charakteristisch für das Deuteronomium und bezeichnet die Entfernung des Übels aus der Gemeinschaft durch Hinrichtung (vgl. 17,7.12; 19,19; 21,21; 22,21.22.24; 24,7).</w:t>
      </w:r>
    </w:p>
    <w:p w14:paraId="5E496B15" w14:textId="1E3C00A8" w:rsidR="00724090" w:rsidRDefault="00724090" w:rsidP="00724090">
      <w:pPr>
        <w:pStyle w:val="whitespace-normal"/>
      </w:pPr>
      <w:r>
        <w:t>Der Vers fordert die Todesstrafe für den falschen Propheten und begründet sie dreifach: (1) er hat Abfall gegen JHWH geredet, (2) gegen den Erlöser aus Ägypten, (3) um vom gebotenen Weg abzuführen. Der Wechsel von Plural (</w:t>
      </w:r>
      <w:r>
        <w:rPr>
          <w:rStyle w:val="Fett"/>
          <w:rFonts w:eastAsiaTheme="majorEastAsia"/>
          <w:rtl/>
        </w:rPr>
        <w:t>אֱלֹהֵיכֶם</w:t>
      </w:r>
      <w:r>
        <w:t xml:space="preserve">, </w:t>
      </w:r>
      <w:r>
        <w:rPr>
          <w:rStyle w:val="Fett"/>
          <w:rFonts w:eastAsiaTheme="majorEastAsia"/>
          <w:rtl/>
        </w:rPr>
        <w:t>אֶתְכֶם</w:t>
      </w:r>
      <w:r>
        <w:t>) zu Singular (</w:t>
      </w:r>
      <w:r>
        <w:rPr>
          <w:rStyle w:val="Fett"/>
          <w:rFonts w:eastAsiaTheme="majorEastAsia"/>
          <w:rtl/>
        </w:rPr>
        <w:t>אֱלֹהֶיךָ</w:t>
      </w:r>
      <w:r>
        <w:t xml:space="preserve">, </w:t>
      </w:r>
      <w:r>
        <w:rPr>
          <w:rStyle w:val="Fett"/>
          <w:rFonts w:eastAsiaTheme="majorEastAsia"/>
          <w:rtl/>
        </w:rPr>
        <w:t>הַפֹּדְךָ</w:t>
      </w:r>
      <w:r>
        <w:t xml:space="preserve">, </w:t>
      </w:r>
      <w:r>
        <w:rPr>
          <w:rStyle w:val="Fett"/>
          <w:rFonts w:eastAsiaTheme="majorEastAsia"/>
          <w:rtl/>
        </w:rPr>
        <w:t>לְהַדִּיחֲךָ</w:t>
      </w:r>
      <w:r>
        <w:t xml:space="preserve">, </w:t>
      </w:r>
      <w:r>
        <w:rPr>
          <w:rStyle w:val="Fett"/>
          <w:rFonts w:eastAsiaTheme="majorEastAsia"/>
          <w:rtl/>
        </w:rPr>
        <w:t>צִוְּךָ</w:t>
      </w:r>
      <w:r>
        <w:t xml:space="preserve">) ist typisch für das Deuteronomium. Die partizipiale Beschreibung JHWHs als </w:t>
      </w:r>
      <w:r>
        <w:rPr>
          <w:rStyle w:val="Fett"/>
          <w:rFonts w:eastAsiaTheme="majorEastAsia"/>
          <w:rtl/>
        </w:rPr>
        <w:t>הַמּוֹצִיא</w:t>
      </w:r>
      <w:r>
        <w:rPr>
          <w:rtl/>
        </w:rPr>
        <w:t xml:space="preserve"> </w:t>
      </w:r>
      <w:r>
        <w:t xml:space="preserve">... </w:t>
      </w:r>
      <w:r>
        <w:rPr>
          <w:rStyle w:val="Fett"/>
          <w:rFonts w:eastAsiaTheme="majorEastAsia"/>
          <w:rtl/>
        </w:rPr>
        <w:t>וְהַפֹּדְךָ</w:t>
      </w:r>
      <w:r>
        <w:rPr>
          <w:rtl/>
        </w:rPr>
        <w:t xml:space="preserve"> </w:t>
      </w:r>
      <w:r>
        <w:t>betont die Bundesbeziehung: Der falsche Prophet rebelliert gegen den, der Israel erlöst hat. Die Metapher des Weges zeigt: Das Gebot ist nicht statisch, sondern ein zu gehender Weg.</w:t>
      </w:r>
    </w:p>
    <w:p w14:paraId="35F3AC22" w14:textId="77777777" w:rsidR="00E3356A" w:rsidRPr="00E3356A" w:rsidRDefault="00E3356A" w:rsidP="00E3356A">
      <w:pPr>
        <w:spacing w:before="100" w:beforeAutospacing="1" w:after="100" w:afterAutospacing="1" w:line="240" w:lineRule="auto"/>
        <w:outlineLvl w:val="1"/>
        <w:rPr>
          <w:rFonts w:eastAsia="Times New Roman"/>
          <w:b/>
          <w:bCs/>
          <w:sz w:val="36"/>
          <w:szCs w:val="36"/>
          <w:lang w:eastAsia="de-DE"/>
        </w:rPr>
      </w:pPr>
      <w:r w:rsidRPr="00E3356A">
        <w:rPr>
          <w:rFonts w:eastAsia="Times New Roman"/>
          <w:b/>
          <w:bCs/>
          <w:sz w:val="36"/>
          <w:szCs w:val="36"/>
          <w:lang w:eastAsia="de-DE"/>
        </w:rPr>
        <w:t>Vers 6 (MT 13,6) / Vers 5 (LXX 13,5)</w:t>
      </w:r>
    </w:p>
    <w:p w14:paraId="7EF1EC1E" w14:textId="79196C28" w:rsidR="00E3356A" w:rsidRPr="00E3356A" w:rsidRDefault="00E3356A" w:rsidP="00E3356A">
      <w:pPr>
        <w:spacing w:before="100" w:beforeAutospacing="1" w:after="100" w:afterAutospacing="1" w:line="240" w:lineRule="auto"/>
        <w:rPr>
          <w:rFonts w:eastAsia="Times New Roman"/>
          <w:lang w:eastAsia="de-DE"/>
        </w:rPr>
      </w:pPr>
      <w:r w:rsidRPr="00E3356A">
        <w:rPr>
          <w:rFonts w:eastAsia="Times New Roman"/>
          <w:b/>
          <w:bCs/>
          <w:lang w:eastAsia="de-DE"/>
        </w:rPr>
        <w:t>Die LXX</w:t>
      </w:r>
      <w:r w:rsidRPr="00E3356A">
        <w:rPr>
          <w:rFonts w:eastAsia="Times New Roman"/>
          <w:lang w:eastAsia="de-DE"/>
        </w:rPr>
        <w:t xml:space="preserve"> bietet ἀπ</w:t>
      </w:r>
      <w:proofErr w:type="spellStart"/>
      <w:r w:rsidRPr="00E3356A">
        <w:rPr>
          <w:rFonts w:eastAsia="Times New Roman"/>
          <w:lang w:eastAsia="de-DE"/>
        </w:rPr>
        <w:t>οθ</w:t>
      </w:r>
      <w:proofErr w:type="spellEnd"/>
      <w:r w:rsidRPr="00E3356A">
        <w:rPr>
          <w:rFonts w:eastAsia="Times New Roman"/>
          <w:lang w:eastAsia="de-DE"/>
        </w:rPr>
        <w:t xml:space="preserve">ανεῖται (er wird sterben) für das hebräische </w:t>
      </w:r>
      <w:r w:rsidRPr="00E3356A">
        <w:rPr>
          <w:rFonts w:eastAsia="Times New Roman"/>
          <w:rtl/>
          <w:lang w:eastAsia="de-DE"/>
        </w:rPr>
        <w:t>יוּמָת</w:t>
      </w:r>
      <w:r w:rsidRPr="00E3356A">
        <w:rPr>
          <w:rFonts w:eastAsia="Times New Roman"/>
          <w:lang w:eastAsia="de-DE"/>
        </w:rPr>
        <w:t xml:space="preserve">, wobei das Futur Medium das passive </w:t>
      </w:r>
      <w:r w:rsidRPr="00E3356A">
        <w:rPr>
          <w:rFonts w:eastAsia="Times New Roman"/>
          <w:rtl/>
          <w:lang w:eastAsia="de-DE"/>
        </w:rPr>
        <w:t>יומת</w:t>
      </w:r>
      <w:r w:rsidRPr="00E3356A">
        <w:rPr>
          <w:rFonts w:eastAsia="Times New Roman"/>
          <w:lang w:eastAsia="de-DE"/>
        </w:rPr>
        <w:t xml:space="preserve"> wiedergibt. Die Begründung </w:t>
      </w:r>
      <w:proofErr w:type="spellStart"/>
      <w:r w:rsidRPr="00E3356A">
        <w:rPr>
          <w:rFonts w:eastAsia="Times New Roman"/>
          <w:lang w:eastAsia="de-DE"/>
        </w:rPr>
        <w:t>ἐλάλησεν</w:t>
      </w:r>
      <w:proofErr w:type="spellEnd"/>
      <w:r w:rsidRPr="00E3356A">
        <w:rPr>
          <w:rFonts w:eastAsia="Times New Roman"/>
          <w:lang w:eastAsia="de-DE"/>
        </w:rPr>
        <w:t xml:space="preserve"> </w:t>
      </w:r>
      <w:proofErr w:type="spellStart"/>
      <w:r w:rsidRPr="00E3356A">
        <w:rPr>
          <w:rFonts w:eastAsia="Times New Roman"/>
          <w:lang w:eastAsia="de-DE"/>
        </w:rPr>
        <w:t>γὰρ</w:t>
      </w:r>
      <w:proofErr w:type="spellEnd"/>
      <w:r w:rsidRPr="00E3356A">
        <w:rPr>
          <w:rFonts w:eastAsia="Times New Roman"/>
          <w:lang w:eastAsia="de-DE"/>
        </w:rPr>
        <w:t xml:space="preserve"> πλα</w:t>
      </w:r>
      <w:proofErr w:type="spellStart"/>
      <w:r w:rsidRPr="00E3356A">
        <w:rPr>
          <w:rFonts w:eastAsia="Times New Roman"/>
          <w:lang w:eastAsia="de-DE"/>
        </w:rPr>
        <w:t>νῆσ</w:t>
      </w:r>
      <w:proofErr w:type="spellEnd"/>
      <w:r w:rsidRPr="00E3356A">
        <w:rPr>
          <w:rFonts w:eastAsia="Times New Roman"/>
          <w:lang w:eastAsia="de-DE"/>
        </w:rPr>
        <w:t xml:space="preserve">αί </w:t>
      </w:r>
      <w:proofErr w:type="spellStart"/>
      <w:r w:rsidRPr="00E3356A">
        <w:rPr>
          <w:rFonts w:eastAsia="Times New Roman"/>
          <w:lang w:eastAsia="de-DE"/>
        </w:rPr>
        <w:t>σε</w:t>
      </w:r>
      <w:proofErr w:type="spellEnd"/>
      <w:r w:rsidRPr="00E3356A">
        <w:rPr>
          <w:rFonts w:eastAsia="Times New Roman"/>
          <w:lang w:eastAsia="de-DE"/>
        </w:rPr>
        <w:t xml:space="preserve"> (denn er hat gesprochen, um dich zu verführen) für </w:t>
      </w:r>
      <w:r w:rsidRPr="00E3356A">
        <w:rPr>
          <w:rFonts w:eastAsia="Times New Roman"/>
          <w:rtl/>
          <w:lang w:eastAsia="de-DE"/>
        </w:rPr>
        <w:t>כִּי דִבֶּר־סָרָה</w:t>
      </w:r>
      <w:r w:rsidRPr="00E3356A">
        <w:rPr>
          <w:rFonts w:eastAsia="Times New Roman"/>
          <w:lang w:eastAsia="de-DE"/>
        </w:rPr>
        <w:t xml:space="preserve"> interpretiert das abstrakte hebräische </w:t>
      </w:r>
      <w:r w:rsidRPr="00E3356A">
        <w:rPr>
          <w:rFonts w:eastAsia="Times New Roman"/>
          <w:rtl/>
          <w:lang w:eastAsia="de-DE"/>
        </w:rPr>
        <w:t>סָרָה</w:t>
      </w:r>
      <w:r w:rsidRPr="00E3356A">
        <w:rPr>
          <w:rFonts w:eastAsia="Times New Roman"/>
          <w:lang w:eastAsia="de-DE"/>
        </w:rPr>
        <w:t xml:space="preserve"> (Abfall) mit dem konkreten Verb πλα</w:t>
      </w:r>
      <w:proofErr w:type="spellStart"/>
      <w:r w:rsidRPr="00E3356A">
        <w:rPr>
          <w:rFonts w:eastAsia="Times New Roman"/>
          <w:lang w:eastAsia="de-DE"/>
        </w:rPr>
        <w:t>νάω</w:t>
      </w:r>
      <w:proofErr w:type="spellEnd"/>
      <w:r w:rsidRPr="00E3356A">
        <w:rPr>
          <w:rFonts w:eastAsia="Times New Roman"/>
          <w:lang w:eastAsia="de-DE"/>
        </w:rPr>
        <w:t xml:space="preserve"> (verführen, irreleiten). Die Partizipialkonstruktionen </w:t>
      </w:r>
      <w:proofErr w:type="spellStart"/>
      <w:r w:rsidRPr="00E3356A">
        <w:rPr>
          <w:rFonts w:eastAsia="Times New Roman"/>
          <w:lang w:eastAsia="de-DE"/>
        </w:rPr>
        <w:t>τοῦ</w:t>
      </w:r>
      <w:proofErr w:type="spellEnd"/>
      <w:r w:rsidRPr="00E3356A">
        <w:rPr>
          <w:rFonts w:eastAsia="Times New Roman"/>
          <w:lang w:eastAsia="de-DE"/>
        </w:rPr>
        <w:t xml:space="preserve"> </w:t>
      </w:r>
      <w:proofErr w:type="spellStart"/>
      <w:r w:rsidRPr="00E3356A">
        <w:rPr>
          <w:rFonts w:eastAsia="Times New Roman"/>
          <w:lang w:eastAsia="de-DE"/>
        </w:rPr>
        <w:t>ἐξ</w:t>
      </w:r>
      <w:proofErr w:type="spellEnd"/>
      <w:r w:rsidRPr="00E3356A">
        <w:rPr>
          <w:rFonts w:eastAsia="Times New Roman"/>
          <w:lang w:eastAsia="de-DE"/>
        </w:rPr>
        <w:t xml:space="preserve">αγαγόντος... </w:t>
      </w:r>
      <w:proofErr w:type="spellStart"/>
      <w:r w:rsidRPr="00E3356A">
        <w:rPr>
          <w:rFonts w:eastAsia="Times New Roman"/>
          <w:lang w:eastAsia="de-DE"/>
        </w:rPr>
        <w:t>τοῦ</w:t>
      </w:r>
      <w:proofErr w:type="spellEnd"/>
      <w:r w:rsidRPr="00E3356A">
        <w:rPr>
          <w:rFonts w:eastAsia="Times New Roman"/>
          <w:lang w:eastAsia="de-DE"/>
        </w:rPr>
        <w:t xml:space="preserve"> </w:t>
      </w:r>
      <w:proofErr w:type="spellStart"/>
      <w:r w:rsidRPr="00E3356A">
        <w:rPr>
          <w:rFonts w:eastAsia="Times New Roman"/>
          <w:lang w:eastAsia="de-DE"/>
        </w:rPr>
        <w:t>λυτρωσ</w:t>
      </w:r>
      <w:proofErr w:type="spellEnd"/>
      <w:r w:rsidRPr="00E3356A">
        <w:rPr>
          <w:rFonts w:eastAsia="Times New Roman"/>
          <w:lang w:eastAsia="de-DE"/>
        </w:rPr>
        <w:t xml:space="preserve">αμένου (der herausgeführt hat... der losgekauft hat) geben die hebräischen Partizipien </w:t>
      </w:r>
      <w:r w:rsidRPr="00E3356A">
        <w:rPr>
          <w:rFonts w:eastAsia="Times New Roman"/>
          <w:rtl/>
          <w:lang w:eastAsia="de-DE"/>
        </w:rPr>
        <w:t>הַמּוֹצִיא</w:t>
      </w:r>
      <w:r w:rsidRPr="00E3356A">
        <w:rPr>
          <w:rFonts w:eastAsia="Times New Roman"/>
          <w:lang w:eastAsia="de-DE"/>
        </w:rPr>
        <w:t xml:space="preserve"> und </w:t>
      </w:r>
      <w:r w:rsidRPr="00E3356A">
        <w:rPr>
          <w:rFonts w:eastAsia="Times New Roman"/>
          <w:rtl/>
          <w:lang w:eastAsia="de-DE"/>
        </w:rPr>
        <w:t>הַפֹּדְךָ</w:t>
      </w:r>
      <w:r w:rsidRPr="00E3356A">
        <w:rPr>
          <w:rFonts w:eastAsia="Times New Roman"/>
          <w:lang w:eastAsia="de-DE"/>
        </w:rPr>
        <w:t xml:space="preserve"> präzise wieder. Der Zweck </w:t>
      </w:r>
      <w:proofErr w:type="spellStart"/>
      <w:r w:rsidRPr="00E3356A">
        <w:rPr>
          <w:rFonts w:eastAsia="Times New Roman"/>
          <w:lang w:eastAsia="de-DE"/>
        </w:rPr>
        <w:t>ἐξῶσ</w:t>
      </w:r>
      <w:proofErr w:type="spellEnd"/>
      <w:r w:rsidRPr="00E3356A">
        <w:rPr>
          <w:rFonts w:eastAsia="Times New Roman"/>
          <w:lang w:eastAsia="de-DE"/>
        </w:rPr>
        <w:t xml:space="preserve">αί </w:t>
      </w:r>
      <w:proofErr w:type="spellStart"/>
      <w:r w:rsidRPr="00E3356A">
        <w:rPr>
          <w:rFonts w:eastAsia="Times New Roman"/>
          <w:lang w:eastAsia="de-DE"/>
        </w:rPr>
        <w:t>σε</w:t>
      </w:r>
      <w:proofErr w:type="spellEnd"/>
      <w:r w:rsidRPr="00E3356A">
        <w:rPr>
          <w:rFonts w:eastAsia="Times New Roman"/>
          <w:lang w:eastAsia="de-DE"/>
        </w:rPr>
        <w:t xml:space="preserve"> </w:t>
      </w:r>
      <w:proofErr w:type="spellStart"/>
      <w:r w:rsidRPr="00E3356A">
        <w:rPr>
          <w:rFonts w:eastAsia="Times New Roman"/>
          <w:lang w:eastAsia="de-DE"/>
        </w:rPr>
        <w:t>ἐκ</w:t>
      </w:r>
      <w:proofErr w:type="spellEnd"/>
      <w:r w:rsidRPr="00E3356A">
        <w:rPr>
          <w:rFonts w:eastAsia="Times New Roman"/>
          <w:lang w:eastAsia="de-DE"/>
        </w:rPr>
        <w:t xml:space="preserve"> </w:t>
      </w:r>
      <w:proofErr w:type="spellStart"/>
      <w:r w:rsidRPr="00E3356A">
        <w:rPr>
          <w:rFonts w:eastAsia="Times New Roman"/>
          <w:lang w:eastAsia="de-DE"/>
        </w:rPr>
        <w:t>τῆς</w:t>
      </w:r>
      <w:proofErr w:type="spellEnd"/>
      <w:r w:rsidRPr="00E3356A">
        <w:rPr>
          <w:rFonts w:eastAsia="Times New Roman"/>
          <w:lang w:eastAsia="de-DE"/>
        </w:rPr>
        <w:t xml:space="preserve"> </w:t>
      </w:r>
      <w:proofErr w:type="spellStart"/>
      <w:r w:rsidRPr="00E3356A">
        <w:rPr>
          <w:rFonts w:eastAsia="Times New Roman"/>
          <w:lang w:eastAsia="de-DE"/>
        </w:rPr>
        <w:t>ὁδοῦ</w:t>
      </w:r>
      <w:proofErr w:type="spellEnd"/>
      <w:r w:rsidRPr="00E3356A">
        <w:rPr>
          <w:rFonts w:eastAsia="Times New Roman"/>
          <w:lang w:eastAsia="de-DE"/>
        </w:rPr>
        <w:t xml:space="preserve"> (dich hinauszustoßen aus dem Weg) entspricht </w:t>
      </w:r>
      <w:r w:rsidRPr="00E3356A">
        <w:rPr>
          <w:rFonts w:eastAsia="Times New Roman"/>
          <w:rtl/>
          <w:lang w:eastAsia="de-DE"/>
        </w:rPr>
        <w:t>לְהַדִּיחֲךָ מִן־הַדֶּרֶךְ</w:t>
      </w:r>
      <w:r w:rsidRPr="00E3356A">
        <w:rPr>
          <w:rFonts w:eastAsia="Times New Roman"/>
          <w:lang w:eastAsia="de-DE"/>
        </w:rPr>
        <w:t xml:space="preserve">. Die Schlussformel καὶ </w:t>
      </w:r>
      <w:proofErr w:type="spellStart"/>
      <w:r w:rsidRPr="00E3356A">
        <w:rPr>
          <w:rFonts w:eastAsia="Times New Roman"/>
          <w:lang w:eastAsia="de-DE"/>
        </w:rPr>
        <w:t>ἀφ</w:t>
      </w:r>
      <w:proofErr w:type="spellEnd"/>
      <w:r w:rsidRPr="00E3356A">
        <w:rPr>
          <w:rFonts w:eastAsia="Times New Roman"/>
          <w:lang w:eastAsia="de-DE"/>
        </w:rPr>
        <w:t xml:space="preserve">ανιεῖς </w:t>
      </w:r>
      <w:proofErr w:type="spellStart"/>
      <w:r w:rsidRPr="00E3356A">
        <w:rPr>
          <w:rFonts w:eastAsia="Times New Roman"/>
          <w:lang w:eastAsia="de-DE"/>
        </w:rPr>
        <w:t>τὸν</w:t>
      </w:r>
      <w:proofErr w:type="spellEnd"/>
      <w:r w:rsidRPr="00E3356A">
        <w:rPr>
          <w:rFonts w:eastAsia="Times New Roman"/>
          <w:lang w:eastAsia="de-DE"/>
        </w:rPr>
        <w:t xml:space="preserve"> π</w:t>
      </w:r>
      <w:proofErr w:type="spellStart"/>
      <w:r w:rsidRPr="00E3356A">
        <w:rPr>
          <w:rFonts w:eastAsia="Times New Roman"/>
          <w:lang w:eastAsia="de-DE"/>
        </w:rPr>
        <w:t>ονηρὸν</w:t>
      </w:r>
      <w:proofErr w:type="spellEnd"/>
      <w:r w:rsidRPr="00E3356A">
        <w:rPr>
          <w:rFonts w:eastAsia="Times New Roman"/>
          <w:lang w:eastAsia="de-DE"/>
        </w:rPr>
        <w:t xml:space="preserve"> </w:t>
      </w:r>
      <w:proofErr w:type="spellStart"/>
      <w:r w:rsidRPr="00E3356A">
        <w:rPr>
          <w:rFonts w:eastAsia="Times New Roman"/>
          <w:lang w:eastAsia="de-DE"/>
        </w:rPr>
        <w:t>ἐξ</w:t>
      </w:r>
      <w:proofErr w:type="spellEnd"/>
      <w:r w:rsidRPr="00E3356A">
        <w:rPr>
          <w:rFonts w:eastAsia="Times New Roman"/>
          <w:lang w:eastAsia="de-DE"/>
        </w:rPr>
        <w:t xml:space="preserve"> </w:t>
      </w:r>
      <w:proofErr w:type="spellStart"/>
      <w:r w:rsidRPr="00E3356A">
        <w:rPr>
          <w:rFonts w:eastAsia="Times New Roman"/>
          <w:lang w:eastAsia="de-DE"/>
        </w:rPr>
        <w:t>ὑμῶν</w:t>
      </w:r>
      <w:proofErr w:type="spellEnd"/>
      <w:r w:rsidRPr="00E3356A">
        <w:rPr>
          <w:rFonts w:eastAsia="Times New Roman"/>
          <w:lang w:eastAsia="de-DE"/>
        </w:rPr>
        <w:t xml:space="preserve"> α</w:t>
      </w:r>
      <w:proofErr w:type="spellStart"/>
      <w:r w:rsidRPr="00E3356A">
        <w:rPr>
          <w:rFonts w:eastAsia="Times New Roman"/>
          <w:lang w:eastAsia="de-DE"/>
        </w:rPr>
        <w:t>ὐτῶν</w:t>
      </w:r>
      <w:proofErr w:type="spellEnd"/>
      <w:r w:rsidRPr="00E3356A">
        <w:rPr>
          <w:rFonts w:eastAsia="Times New Roman"/>
          <w:lang w:eastAsia="de-DE"/>
        </w:rPr>
        <w:t xml:space="preserve"> (und du wirst das Böse aus euch selbst beseitigen) gibt </w:t>
      </w:r>
      <w:r w:rsidRPr="00E3356A">
        <w:rPr>
          <w:rFonts w:eastAsia="Times New Roman"/>
          <w:rtl/>
          <w:lang w:eastAsia="de-DE"/>
        </w:rPr>
        <w:t>וּבִעַרְתָּ הָרָע מִקִּרְבֶּךָ</w:t>
      </w:r>
      <w:r w:rsidRPr="00E3356A">
        <w:rPr>
          <w:rFonts w:eastAsia="Times New Roman"/>
          <w:lang w:eastAsia="de-DE"/>
        </w:rPr>
        <w:t xml:space="preserve"> wieder.</w:t>
      </w:r>
    </w:p>
    <w:p w14:paraId="419DEFDA" w14:textId="77777777" w:rsidR="00724090" w:rsidRDefault="00724090" w:rsidP="00724090">
      <w:pPr>
        <w:pStyle w:val="whitespace-normal"/>
      </w:pPr>
      <w:r>
        <w:rPr>
          <w:rStyle w:val="Fett"/>
          <w:rFonts w:eastAsiaTheme="majorEastAsia"/>
        </w:rPr>
        <w:t>Die Satzstruktur</w:t>
      </w:r>
      <w:r>
        <w:t xml:space="preserve"> besteht aus einem Hauptsatz mit Todesurteil, kausaler Begründung mit partizipialen Appositionen, finaler Bestimmung mit Relativsatz und abschließendem </w:t>
      </w:r>
      <w:r>
        <w:lastRenderedPageBreak/>
        <w:t>Imperativ: Subjekt (jener Prophet oder jener Träumer), Prädikat (soll getötet werden); kausale Begründung (denn er hat Abfall geredet), präpositionales Objekt (gegen JHWH, euren Gott), partizipiale Appositionen (der euch herausgeführt hat aus Ägypten und dich erlöst hat aus dem Haus der Knechtschaft); finale Bestimmung (um dich abzubringen von dem Weg), Relativsatz (auf dem zu wandeln JHWH, dein Gott, dir geboten hat); abschließender Imperativ (sollst wegschaffen das Böse aus deiner Mitte).</w:t>
      </w:r>
    </w:p>
    <w:p w14:paraId="63075543" w14:textId="77777777" w:rsidR="00724090" w:rsidRDefault="00724090" w:rsidP="00724090">
      <w:pPr>
        <w:pStyle w:val="whitespace-normal"/>
      </w:pPr>
      <w:r>
        <w:t>Der Vers verhängt die Todesstrafe über den falschen Propheten: Er hat gegen den Bundesgott und Erlöser Abfall gepredigt, um Israel vom gebotenen Weg abzubringen – deshalb muss das Böse aus der Mitte entfernt werden.</w:t>
      </w:r>
    </w:p>
    <w:p w14:paraId="2B5EC7BA"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13,7</w:t>
      </w:r>
    </w:p>
    <w:p w14:paraId="6E2102FC" w14:textId="77777777" w:rsidR="00724090" w:rsidRDefault="00724090" w:rsidP="00724090">
      <w:pPr>
        <w:pStyle w:val="whitespace-normal"/>
      </w:pPr>
      <w:r>
        <w:rPr>
          <w:rStyle w:val="Fett"/>
          <w:rFonts w:eastAsiaTheme="majorEastAsia"/>
        </w:rPr>
        <w:t>Hebräisch:</w:t>
      </w:r>
      <w:r>
        <w:t xml:space="preserve"> </w:t>
      </w:r>
      <w:r>
        <w:rPr>
          <w:rtl/>
        </w:rPr>
        <w:t>כִּ֣י יְסִֽיתְךָ֡ אָחִ֣יךָ בֶן־אִ֠מֶּךָ אֽוֹ־בִנְךָ֨ אֽוֹ־בִתְּךָ֜ א֣וֹ׀ אֵ֣שֶׁת חֵיקֶ֗ךָ א֧וֹ רֵֽעֲךָ֛ אֲשֶׁ֥ר כְּנַפְשְׁךָ֖ בַּסֵּ֣תֶר לֵאמֹ֑ר נֵֽלְכָ֗ה וְנַֽעַבְדָה֙ אֱלֹהִ֣ים אֲחֵרִ֔ים אֲשֶׁר֙ לֹ֣א יָדַ֔עְתָּ אַתָּ֖ה וַאֲבֹתֶֽיךָ׃</w:t>
      </w:r>
    </w:p>
    <w:p w14:paraId="037C6447" w14:textId="7E0448F0" w:rsidR="00724090" w:rsidRDefault="00724090" w:rsidP="00724090">
      <w:pPr>
        <w:pStyle w:val="whitespace-normal"/>
      </w:pPr>
      <w:r>
        <w:rPr>
          <w:rStyle w:val="Fett"/>
          <w:rFonts w:eastAsiaTheme="majorEastAsia"/>
        </w:rPr>
        <w:t>Deutsch:</w:t>
      </w:r>
      <w:r>
        <w:t xml:space="preserve"> Wenn dich dein Bruder, der Sohn deiner Mutter, oder dein Sohn oder deine Tochter oder die Frau an deinem Busen oder dein Freund, der wie deine Seele ist, heimlich anreizt, sagend: Lass uns gehen und anderen Göttern dienen, die du nicht gekannt hast, du noch deine Väter.</w:t>
      </w:r>
    </w:p>
    <w:p w14:paraId="056F258A" w14:textId="566DD14B" w:rsidR="009C316F" w:rsidRDefault="004F5CEB" w:rsidP="00724090">
      <w:pPr>
        <w:pStyle w:val="whitespace-normal"/>
      </w:pPr>
      <w:r>
        <w:rPr>
          <w:noProof/>
        </w:rPr>
        <w:pict w14:anchorId="13FFC679">
          <v:rect id="_x0000_i1410" style="width:0;height:1.5pt" o:hralign="center" o:hrstd="t" o:hr="t" fillcolor="#a0a0a0" stroked="f"/>
        </w:pict>
      </w:r>
    </w:p>
    <w:p w14:paraId="561FAC77"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כִּי יְסִיתְךָ אָחִיךָ בֶן־אִמֶּךָ אוֹ־בִנְךָ אוֹ־בִתְּךָ אוֹ אֵשֶׁת חֵיקֶךָ אוֹ רֵעֲךָ אֲשֶׁר כְּנַפְשְׁךָ בַּסֵּתֶר לֵאמֹר</w:t>
      </w:r>
      <w:r>
        <w:rPr>
          <w:rtl/>
        </w:rPr>
        <w:t xml:space="preserve"> </w:t>
      </w:r>
      <w:r>
        <w:t xml:space="preserve">ist ein konditionaler Temporalsatz mit fünfgliedriger Aufzählung: </w:t>
      </w:r>
      <w:r>
        <w:rPr>
          <w:rStyle w:val="Fett"/>
          <w:rFonts w:eastAsiaTheme="majorEastAsia"/>
          <w:rtl/>
        </w:rPr>
        <w:t>כִּי</w:t>
      </w:r>
      <w:r>
        <w:rPr>
          <w:rtl/>
        </w:rPr>
        <w:t xml:space="preserve"> </w:t>
      </w:r>
      <w:r>
        <w:t xml:space="preserve">(„wenn, wann") als konditionale Konjunktion, </w:t>
      </w:r>
      <w:r>
        <w:rPr>
          <w:rStyle w:val="Fett"/>
          <w:rFonts w:eastAsiaTheme="majorEastAsia"/>
          <w:rtl/>
        </w:rPr>
        <w:t>יְסִיתְךָ</w:t>
      </w:r>
      <w:r>
        <w:rPr>
          <w:rtl/>
        </w:rPr>
        <w:t xml:space="preserve"> </w:t>
      </w:r>
      <w:r>
        <w:t xml:space="preserve">(Hiphil Imperfekt, 3. Person Maskulinum Singular von </w:t>
      </w:r>
      <w:r>
        <w:rPr>
          <w:rStyle w:val="Fett"/>
          <w:rFonts w:eastAsiaTheme="majorEastAsia"/>
          <w:rtl/>
        </w:rPr>
        <w:t>סות</w:t>
      </w:r>
      <w:r>
        <w:t xml:space="preserve">, „anreizen, verführen, aufwiegeln", mit Suffix 2. Person Maskulinum Singular als direktes Objekt), </w:t>
      </w:r>
      <w:r>
        <w:rPr>
          <w:rStyle w:val="Fett"/>
          <w:rFonts w:eastAsiaTheme="majorEastAsia"/>
          <w:rtl/>
        </w:rPr>
        <w:t>אָחִיךָ בֶן־אִמֶּךָ</w:t>
      </w:r>
      <w:r>
        <w:rPr>
          <w:rtl/>
        </w:rPr>
        <w:t xml:space="preserve"> </w:t>
      </w:r>
      <w:r>
        <w:t>(</w:t>
      </w:r>
      <w:r>
        <w:rPr>
          <w:rStyle w:val="Fett"/>
          <w:rFonts w:eastAsiaTheme="majorEastAsia"/>
          <w:rtl/>
        </w:rPr>
        <w:t>אָח</w:t>
      </w:r>
      <w:r>
        <w:t xml:space="preserve">, „Bruder", mit Suffix 2. Person Maskulinum Singular, Apposition </w:t>
      </w:r>
      <w:r>
        <w:rPr>
          <w:rStyle w:val="Fett"/>
          <w:rFonts w:eastAsiaTheme="majorEastAsia"/>
          <w:rtl/>
        </w:rPr>
        <w:t>בֶן־אִמֶּךָ</w:t>
      </w:r>
      <w:r>
        <w:t xml:space="preserve">, „Sohn deiner Mutter", betont den leiblichen Bruder) als erstes Subjekt, koordiniert durch </w:t>
      </w:r>
      <w:r>
        <w:rPr>
          <w:rStyle w:val="Fett"/>
          <w:rFonts w:eastAsiaTheme="majorEastAsia"/>
          <w:rtl/>
        </w:rPr>
        <w:t>אוֹ</w:t>
      </w:r>
      <w:r>
        <w:rPr>
          <w:rtl/>
        </w:rPr>
        <w:t xml:space="preserve"> </w:t>
      </w:r>
      <w:r>
        <w:t xml:space="preserve">mit </w:t>
      </w:r>
      <w:r>
        <w:rPr>
          <w:rStyle w:val="Fett"/>
          <w:rFonts w:eastAsiaTheme="majorEastAsia"/>
          <w:rtl/>
        </w:rPr>
        <w:t>בִנְךָ</w:t>
      </w:r>
      <w:r>
        <w:rPr>
          <w:rtl/>
        </w:rPr>
        <w:t xml:space="preserve"> </w:t>
      </w:r>
      <w:r>
        <w:t>(</w:t>
      </w:r>
      <w:r>
        <w:rPr>
          <w:rStyle w:val="Fett"/>
          <w:rFonts w:eastAsiaTheme="majorEastAsia"/>
          <w:rtl/>
        </w:rPr>
        <w:t>בֵּן</w:t>
      </w:r>
      <w:r>
        <w:t xml:space="preserve">, „Sohn", mit Suffix 2. Person Maskulinum Singular), </w:t>
      </w:r>
      <w:r>
        <w:rPr>
          <w:rStyle w:val="Fett"/>
          <w:rFonts w:eastAsiaTheme="majorEastAsia"/>
          <w:rtl/>
        </w:rPr>
        <w:t>אוֹ־בִתְּךָ</w:t>
      </w:r>
      <w:r>
        <w:rPr>
          <w:rtl/>
        </w:rPr>
        <w:t xml:space="preserve"> </w:t>
      </w:r>
      <w:r>
        <w:t>(</w:t>
      </w:r>
      <w:r>
        <w:rPr>
          <w:rStyle w:val="Fett"/>
          <w:rFonts w:eastAsiaTheme="majorEastAsia"/>
          <w:rtl/>
        </w:rPr>
        <w:t>בַּת</w:t>
      </w:r>
      <w:r>
        <w:t xml:space="preserve">, „Tochter", mit Suffix 2. Person Maskulinum Singular), </w:t>
      </w:r>
      <w:r>
        <w:rPr>
          <w:rStyle w:val="Fett"/>
          <w:rFonts w:eastAsiaTheme="majorEastAsia"/>
          <w:rtl/>
        </w:rPr>
        <w:t>אוֹ אֵשֶׁת חֵיקֶךָ</w:t>
      </w:r>
      <w:r>
        <w:rPr>
          <w:rtl/>
        </w:rPr>
        <w:t xml:space="preserve"> </w:t>
      </w:r>
      <w:r>
        <w:t>(</w:t>
      </w:r>
      <w:r>
        <w:rPr>
          <w:rStyle w:val="Fett"/>
          <w:rFonts w:eastAsiaTheme="majorEastAsia"/>
          <w:rtl/>
        </w:rPr>
        <w:t>אִשָּׁה</w:t>
      </w:r>
      <w:r>
        <w:t xml:space="preserve">, „Frau", Construct mit </w:t>
      </w:r>
      <w:r>
        <w:rPr>
          <w:rStyle w:val="Fett"/>
          <w:rFonts w:eastAsiaTheme="majorEastAsia"/>
          <w:rtl/>
        </w:rPr>
        <w:t>חֵיק</w:t>
      </w:r>
      <w:r>
        <w:t xml:space="preserve">, „Busen, Schoß", mit Suffix 2. Person Maskulinum Singular, „die Frau deines Busens" = die geliebte Ehefrau), </w:t>
      </w:r>
      <w:r>
        <w:rPr>
          <w:rStyle w:val="Fett"/>
          <w:rFonts w:eastAsiaTheme="majorEastAsia"/>
          <w:rtl/>
        </w:rPr>
        <w:t>אוֹ רֵעֲךָ אֲשֶׁר כְּנַפְשְׁךָ</w:t>
      </w:r>
      <w:r>
        <w:rPr>
          <w:rtl/>
        </w:rPr>
        <w:t xml:space="preserve"> </w:t>
      </w:r>
      <w:r>
        <w:t>(</w:t>
      </w:r>
      <w:r>
        <w:rPr>
          <w:rStyle w:val="Fett"/>
          <w:rFonts w:eastAsiaTheme="majorEastAsia"/>
          <w:rtl/>
        </w:rPr>
        <w:t>רֵעַ</w:t>
      </w:r>
      <w:r>
        <w:t xml:space="preserve">, „Freund, Gefährte", mit Suffix 2. Person Maskulinum Singular, Relativsatz: </w:t>
      </w:r>
      <w:r>
        <w:rPr>
          <w:rStyle w:val="Fett"/>
          <w:rFonts w:eastAsiaTheme="majorEastAsia"/>
          <w:rtl/>
        </w:rPr>
        <w:t>אֲשֶׁר</w:t>
      </w:r>
      <w:r>
        <w:rPr>
          <w:rtl/>
        </w:rPr>
        <w:t xml:space="preserve"> </w:t>
      </w:r>
      <w:r>
        <w:t xml:space="preserve">mit </w:t>
      </w:r>
      <w:r>
        <w:rPr>
          <w:rStyle w:val="Fett"/>
          <w:rFonts w:eastAsiaTheme="majorEastAsia"/>
          <w:rtl/>
        </w:rPr>
        <w:t>כְּנַפְשְׁךָ</w:t>
      </w:r>
      <w:r>
        <w:t xml:space="preserve">, Präposition </w:t>
      </w:r>
      <w:r>
        <w:rPr>
          <w:rStyle w:val="Fett"/>
          <w:rFonts w:eastAsiaTheme="majorEastAsia"/>
          <w:rtl/>
        </w:rPr>
        <w:t>כְּ</w:t>
      </w:r>
      <w:r>
        <w:t xml:space="preserve">, „wie", mit </w:t>
      </w:r>
      <w:r>
        <w:rPr>
          <w:rStyle w:val="Fett"/>
          <w:rFonts w:eastAsiaTheme="majorEastAsia"/>
          <w:rtl/>
        </w:rPr>
        <w:t>נֶפֶשׁ</w:t>
      </w:r>
      <w:r>
        <w:t xml:space="preserve">, „Seele", mit Suffix 2. Person Maskulinum Singular, „der wie deine Seele ist" = der Seelenfreund), </w:t>
      </w:r>
      <w:r>
        <w:rPr>
          <w:rStyle w:val="Fett"/>
          <w:rFonts w:eastAsiaTheme="majorEastAsia"/>
          <w:rtl/>
        </w:rPr>
        <w:t>בַּסֵּתֶר</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סֵתֶר</w:t>
      </w:r>
      <w:r>
        <w:t xml:space="preserve">, „Verborgenheit, Heimlichkeit", mit Artikel, „im Verborgenen, heimlich") als modale Bestimmung und </w:t>
      </w:r>
      <w:r>
        <w:rPr>
          <w:rStyle w:val="Fett"/>
          <w:rFonts w:eastAsiaTheme="majorEastAsia"/>
          <w:rtl/>
        </w:rPr>
        <w:t>לֵאמֹר</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אמר</w:t>
      </w:r>
      <w:r>
        <w:t>, „sagen", „indem er sagt, sagend").</w:t>
      </w:r>
    </w:p>
    <w:p w14:paraId="182845AC" w14:textId="77777777" w:rsidR="00724090" w:rsidRDefault="00724090" w:rsidP="00724090">
      <w:pPr>
        <w:pStyle w:val="whitespace-normal"/>
      </w:pPr>
      <w:r>
        <w:rPr>
          <w:rStyle w:val="Fett"/>
          <w:rFonts w:eastAsiaTheme="majorEastAsia"/>
          <w:rtl/>
        </w:rPr>
        <w:t>נֵלְכָה וְנַעַבְדָה אֱלֹהִים אֲחֵרִים אֲשֶׁר לֹא יָדַעְתָּ אַתָּה וַאֲבֹתֶיךָ</w:t>
      </w:r>
      <w:r>
        <w:rPr>
          <w:rtl/>
        </w:rPr>
        <w:t xml:space="preserve"> </w:t>
      </w:r>
      <w:r>
        <w:t xml:space="preserve">ist die direkte Rede: </w:t>
      </w:r>
      <w:r>
        <w:rPr>
          <w:rStyle w:val="Fett"/>
          <w:rFonts w:eastAsiaTheme="majorEastAsia"/>
          <w:rtl/>
        </w:rPr>
        <w:t>נֵלְכָה</w:t>
      </w:r>
      <w:r>
        <w:rPr>
          <w:rtl/>
        </w:rPr>
        <w:t xml:space="preserve"> </w:t>
      </w:r>
      <w:r>
        <w:t xml:space="preserve">(Qal Imperfekt, 1. Person Plural von </w:t>
      </w:r>
      <w:r>
        <w:rPr>
          <w:rStyle w:val="Fett"/>
          <w:rFonts w:eastAsiaTheme="majorEastAsia"/>
          <w:rtl/>
        </w:rPr>
        <w:t>הלך</w:t>
      </w:r>
      <w:r>
        <w:t xml:space="preserve">, „gehen", als Kohortativ), koordiniert durch </w:t>
      </w:r>
      <w:r>
        <w:rPr>
          <w:rStyle w:val="Fett"/>
          <w:rFonts w:eastAsiaTheme="majorEastAsia"/>
          <w:rtl/>
        </w:rPr>
        <w:t>וְ</w:t>
      </w:r>
      <w:r>
        <w:rPr>
          <w:rtl/>
        </w:rPr>
        <w:t xml:space="preserve"> </w:t>
      </w:r>
      <w:r>
        <w:t xml:space="preserve">mit </w:t>
      </w:r>
      <w:r>
        <w:rPr>
          <w:rStyle w:val="Fett"/>
          <w:rFonts w:eastAsiaTheme="majorEastAsia"/>
          <w:rtl/>
        </w:rPr>
        <w:t>נַעַבְדָה</w:t>
      </w:r>
      <w:r>
        <w:rPr>
          <w:rtl/>
        </w:rPr>
        <w:t xml:space="preserve"> </w:t>
      </w:r>
      <w:r>
        <w:t xml:space="preserve">(Qal Imperfekt, 1. Person Plural von </w:t>
      </w:r>
      <w:r>
        <w:rPr>
          <w:rStyle w:val="Fett"/>
          <w:rFonts w:eastAsiaTheme="majorEastAsia"/>
          <w:rtl/>
        </w:rPr>
        <w:t>עבד</w:t>
      </w:r>
      <w:r>
        <w:t xml:space="preserve">, „dienen", als Kohortativ), </w:t>
      </w:r>
      <w:r>
        <w:rPr>
          <w:rStyle w:val="Fett"/>
          <w:rFonts w:eastAsiaTheme="majorEastAsia"/>
          <w:rtl/>
        </w:rPr>
        <w:t>אֱלֹהִים אֲחֵרִים</w:t>
      </w:r>
      <w:r>
        <w:rPr>
          <w:rtl/>
        </w:rPr>
        <w:t xml:space="preserve"> </w:t>
      </w:r>
      <w:r>
        <w:t xml:space="preserve">(„andere Götter") als direktes Objekt, </w:t>
      </w:r>
      <w:r>
        <w:rPr>
          <w:rStyle w:val="Fett"/>
          <w:rFonts w:eastAsiaTheme="majorEastAsia"/>
          <w:rtl/>
        </w:rPr>
        <w:t>אֲשֶׁר לֹא יָדַעְתָּ</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לֹא יָדַעְתָּ</w:t>
      </w:r>
      <w:r>
        <w:t xml:space="preserve">, Negation </w:t>
      </w:r>
      <w:r>
        <w:rPr>
          <w:rStyle w:val="Fett"/>
          <w:rFonts w:eastAsiaTheme="majorEastAsia"/>
          <w:rtl/>
        </w:rPr>
        <w:t>לֹא</w:t>
      </w:r>
      <w:r>
        <w:rPr>
          <w:rtl/>
        </w:rPr>
        <w:t xml:space="preserve"> </w:t>
      </w:r>
      <w:r>
        <w:t xml:space="preserve">mit </w:t>
      </w:r>
      <w:r>
        <w:rPr>
          <w:rStyle w:val="Fett"/>
          <w:rFonts w:eastAsiaTheme="majorEastAsia"/>
          <w:rtl/>
        </w:rPr>
        <w:t>ידע</w:t>
      </w:r>
      <w:r>
        <w:t xml:space="preserve">, Qal Perfekt, 2. Person Maskulinum Singular von </w:t>
      </w:r>
      <w:r>
        <w:rPr>
          <w:rStyle w:val="Fett"/>
          <w:rFonts w:eastAsiaTheme="majorEastAsia"/>
          <w:rtl/>
        </w:rPr>
        <w:t>ידע</w:t>
      </w:r>
      <w:r>
        <w:t xml:space="preserve">, „kennen"), </w:t>
      </w:r>
      <w:r>
        <w:rPr>
          <w:rStyle w:val="Fett"/>
          <w:rFonts w:eastAsiaTheme="majorEastAsia"/>
          <w:rtl/>
        </w:rPr>
        <w:t>אַתָּה</w:t>
      </w:r>
      <w:r>
        <w:rPr>
          <w:rtl/>
        </w:rPr>
        <w:t xml:space="preserve"> </w:t>
      </w:r>
      <w:r>
        <w:t xml:space="preserve">(Personalpronomen 2. Person Maskulinum Singular, betont, „du") und </w:t>
      </w:r>
      <w:r>
        <w:rPr>
          <w:rStyle w:val="Fett"/>
          <w:rFonts w:eastAsiaTheme="majorEastAsia"/>
          <w:rtl/>
        </w:rPr>
        <w:t>וַאֲבֹתֶיךָ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אָב</w:t>
      </w:r>
      <w:r>
        <w:t xml:space="preserve">, „Vater", Plural mit Suffix 2. Person Maskulinum Singular, „deine Väter"). Die Formulierung wiederholt V. 3, aber erweitert durch </w:t>
      </w:r>
      <w:r>
        <w:rPr>
          <w:rStyle w:val="Fett"/>
          <w:rFonts w:eastAsiaTheme="majorEastAsia"/>
          <w:rtl/>
        </w:rPr>
        <w:t>אַתָּה וַאֲבֹתֶיךָ</w:t>
      </w:r>
      <w:r>
        <w:rPr>
          <w:rtl/>
        </w:rPr>
        <w:t xml:space="preserve"> </w:t>
      </w:r>
      <w:r>
        <w:t>– diese Götter sind Israel völlig fremd.</w:t>
      </w:r>
    </w:p>
    <w:p w14:paraId="5C05954D" w14:textId="43395B61" w:rsidR="00724090" w:rsidRDefault="00724090" w:rsidP="00724090">
      <w:pPr>
        <w:pStyle w:val="whitespace-normal"/>
      </w:pPr>
      <w:r>
        <w:lastRenderedPageBreak/>
        <w:t xml:space="preserve">Der Vers leitet den zweiten Fall ein: geheime Verführung durch die engsten Vertrauten. Die fünfgliedrige Aufzählung umfasst die intimsten Beziehungen: (1) leiblicher Bruder, (2) Sohn, (3) Tochter, (4) geliebte Ehefrau, (5) Seelenfreund. Die Betonung </w:t>
      </w:r>
      <w:r>
        <w:rPr>
          <w:rStyle w:val="Fett"/>
          <w:rFonts w:eastAsiaTheme="majorEastAsia"/>
          <w:rtl/>
        </w:rPr>
        <w:t>בֶן־אִמֶּךָ</w:t>
      </w:r>
      <w:r>
        <w:rPr>
          <w:rtl/>
        </w:rPr>
        <w:t xml:space="preserve"> </w:t>
      </w:r>
      <w:r>
        <w:t xml:space="preserve">(„Sohn deiner Mutter") hebt den leiblichen Bruder hervor (im Unterschied zu Halbbrüdern). Die Wendung </w:t>
      </w:r>
      <w:r>
        <w:rPr>
          <w:rStyle w:val="Fett"/>
          <w:rFonts w:eastAsiaTheme="majorEastAsia"/>
          <w:rtl/>
        </w:rPr>
        <w:t>אֵשֶׁת חֵיקֶךָ</w:t>
      </w:r>
      <w:r>
        <w:rPr>
          <w:rtl/>
        </w:rPr>
        <w:t xml:space="preserve"> </w:t>
      </w:r>
      <w:r>
        <w:t xml:space="preserve">(„die Frau deines Busens") ist poetisch und intim. Die Beschreibung </w:t>
      </w:r>
      <w:r>
        <w:rPr>
          <w:rStyle w:val="Fett"/>
          <w:rFonts w:eastAsiaTheme="majorEastAsia"/>
          <w:rtl/>
        </w:rPr>
        <w:t>אֲשֶׁר כְּנַפְשְׁךָ</w:t>
      </w:r>
      <w:r>
        <w:rPr>
          <w:rtl/>
        </w:rPr>
        <w:t xml:space="preserve"> </w:t>
      </w:r>
      <w:r>
        <w:t xml:space="preserve">(„der wie deine Seele ist") bezeichnet höchste Freundschaft (vgl. </w:t>
      </w:r>
      <w:r w:rsidR="00664EB6">
        <w:t>1Sam</w:t>
      </w:r>
      <w:r>
        <w:t xml:space="preserve"> 18,1.3; 20,17 über David und Jonathan). Das Adverb </w:t>
      </w:r>
      <w:r>
        <w:rPr>
          <w:rStyle w:val="Fett"/>
          <w:rFonts w:eastAsiaTheme="majorEastAsia"/>
          <w:rtl/>
        </w:rPr>
        <w:t>בַּסֵּתֶר</w:t>
      </w:r>
      <w:r>
        <w:rPr>
          <w:rtl/>
        </w:rPr>
        <w:t xml:space="preserve"> </w:t>
      </w:r>
      <w:r>
        <w:t xml:space="preserve">(„heimlich") unterscheidet diesen Fall von V. 2-6: dort öffentliches Auftreten eines Propheten, hier private Verführung. Die </w:t>
      </w:r>
      <w:r w:rsidR="00D84597">
        <w:t>Gefahr</w:t>
      </w:r>
      <w:r>
        <w:t xml:space="preserve"> ist größer, weil sie von den geliebten Menschen kommt.</w:t>
      </w:r>
    </w:p>
    <w:p w14:paraId="00C27318" w14:textId="77777777" w:rsidR="00E3356A" w:rsidRPr="00E3356A" w:rsidRDefault="00E3356A" w:rsidP="00E3356A">
      <w:pPr>
        <w:spacing w:before="100" w:beforeAutospacing="1" w:after="100" w:afterAutospacing="1" w:line="240" w:lineRule="auto"/>
        <w:outlineLvl w:val="1"/>
        <w:rPr>
          <w:rFonts w:eastAsia="Times New Roman"/>
          <w:b/>
          <w:bCs/>
          <w:sz w:val="36"/>
          <w:szCs w:val="36"/>
          <w:lang w:eastAsia="de-DE"/>
        </w:rPr>
      </w:pPr>
      <w:r w:rsidRPr="00E3356A">
        <w:rPr>
          <w:rFonts w:eastAsia="Times New Roman"/>
          <w:b/>
          <w:bCs/>
          <w:sz w:val="36"/>
          <w:szCs w:val="36"/>
          <w:lang w:eastAsia="de-DE"/>
        </w:rPr>
        <w:t>Vers 7 (MT 13,7) / Vers 6 (LXX 13,6)</w:t>
      </w:r>
    </w:p>
    <w:p w14:paraId="31526603" w14:textId="362AE2C7" w:rsidR="00E3356A" w:rsidRPr="00E3356A" w:rsidRDefault="00E3356A" w:rsidP="00E3356A">
      <w:pPr>
        <w:spacing w:before="100" w:beforeAutospacing="1" w:after="100" w:afterAutospacing="1" w:line="240" w:lineRule="auto"/>
        <w:rPr>
          <w:rFonts w:eastAsia="Times New Roman"/>
          <w:lang w:eastAsia="de-DE"/>
        </w:rPr>
      </w:pPr>
      <w:r w:rsidRPr="00E3356A">
        <w:rPr>
          <w:rFonts w:eastAsia="Times New Roman"/>
          <w:b/>
          <w:bCs/>
          <w:lang w:eastAsia="de-DE"/>
        </w:rPr>
        <w:t>Die LXX</w:t>
      </w:r>
      <w:r w:rsidRPr="00E3356A">
        <w:rPr>
          <w:rFonts w:eastAsia="Times New Roman"/>
          <w:lang w:eastAsia="de-DE"/>
        </w:rPr>
        <w:t xml:space="preserve"> beginnt mit </w:t>
      </w:r>
      <w:proofErr w:type="spellStart"/>
      <w:r w:rsidRPr="00E3356A">
        <w:rPr>
          <w:rFonts w:eastAsia="Times New Roman"/>
          <w:lang w:eastAsia="de-DE"/>
        </w:rPr>
        <w:t>Ἐὰν</w:t>
      </w:r>
      <w:proofErr w:type="spellEnd"/>
      <w:r w:rsidRPr="00E3356A">
        <w:rPr>
          <w:rFonts w:eastAsia="Times New Roman"/>
          <w:lang w:eastAsia="de-DE"/>
        </w:rPr>
        <w:t xml:space="preserve"> </w:t>
      </w:r>
      <w:proofErr w:type="spellStart"/>
      <w:r w:rsidRPr="00E3356A">
        <w:rPr>
          <w:rFonts w:eastAsia="Times New Roman"/>
          <w:lang w:eastAsia="de-DE"/>
        </w:rPr>
        <w:t>δὲ</w:t>
      </w:r>
      <w:proofErr w:type="spellEnd"/>
      <w:r w:rsidRPr="00E3356A">
        <w:rPr>
          <w:rFonts w:eastAsia="Times New Roman"/>
          <w:lang w:eastAsia="de-DE"/>
        </w:rPr>
        <w:t xml:space="preserve"> παρακα</w:t>
      </w:r>
      <w:proofErr w:type="spellStart"/>
      <w:r w:rsidRPr="00E3356A">
        <w:rPr>
          <w:rFonts w:eastAsia="Times New Roman"/>
          <w:lang w:eastAsia="de-DE"/>
        </w:rPr>
        <w:t>λέσῃ</w:t>
      </w:r>
      <w:proofErr w:type="spellEnd"/>
      <w:r w:rsidRPr="00E3356A">
        <w:rPr>
          <w:rFonts w:eastAsia="Times New Roman"/>
          <w:lang w:eastAsia="de-DE"/>
        </w:rPr>
        <w:t xml:space="preserve"> </w:t>
      </w:r>
      <w:proofErr w:type="spellStart"/>
      <w:r w:rsidRPr="00E3356A">
        <w:rPr>
          <w:rFonts w:eastAsia="Times New Roman"/>
          <w:lang w:eastAsia="de-DE"/>
        </w:rPr>
        <w:t>σε</w:t>
      </w:r>
      <w:proofErr w:type="spellEnd"/>
      <w:r w:rsidRPr="00E3356A">
        <w:rPr>
          <w:rFonts w:eastAsia="Times New Roman"/>
          <w:lang w:eastAsia="de-DE"/>
        </w:rPr>
        <w:t xml:space="preserve"> (wenn aber dich anruft/überredet) für </w:t>
      </w:r>
      <w:r w:rsidRPr="00E3356A">
        <w:rPr>
          <w:rFonts w:eastAsia="Times New Roman"/>
          <w:rtl/>
          <w:lang w:eastAsia="de-DE"/>
        </w:rPr>
        <w:t>כִּי יְסִיתְךָ</w:t>
      </w:r>
      <w:r w:rsidRPr="00E3356A">
        <w:rPr>
          <w:rFonts w:eastAsia="Times New Roman"/>
          <w:lang w:eastAsia="de-DE"/>
        </w:rPr>
        <w:t>, wobei παρακα</w:t>
      </w:r>
      <w:proofErr w:type="spellStart"/>
      <w:r w:rsidRPr="00E3356A">
        <w:rPr>
          <w:rFonts w:eastAsia="Times New Roman"/>
          <w:lang w:eastAsia="de-DE"/>
        </w:rPr>
        <w:t>λέω</w:t>
      </w:r>
      <w:proofErr w:type="spellEnd"/>
      <w:r w:rsidRPr="00E3356A">
        <w:rPr>
          <w:rFonts w:eastAsia="Times New Roman"/>
          <w:lang w:eastAsia="de-DE"/>
        </w:rPr>
        <w:t xml:space="preserve"> semantisch schwächer ist als das hebräische </w:t>
      </w:r>
      <w:r w:rsidRPr="00E3356A">
        <w:rPr>
          <w:rFonts w:eastAsia="Times New Roman"/>
          <w:rtl/>
          <w:lang w:eastAsia="de-DE"/>
        </w:rPr>
        <w:t>סות</w:t>
      </w:r>
      <w:r w:rsidRPr="00E3356A">
        <w:rPr>
          <w:rFonts w:eastAsia="Times New Roman"/>
          <w:lang w:eastAsia="de-DE"/>
        </w:rPr>
        <w:t xml:space="preserve"> (verführen, anstiften). Die Aufzählung der Verwandten wird leicht variiert: ὁ </w:t>
      </w:r>
      <w:proofErr w:type="spellStart"/>
      <w:r w:rsidRPr="00E3356A">
        <w:rPr>
          <w:rFonts w:eastAsia="Times New Roman"/>
          <w:lang w:eastAsia="de-DE"/>
        </w:rPr>
        <w:t>ἀδελφός</w:t>
      </w:r>
      <w:proofErr w:type="spellEnd"/>
      <w:r w:rsidRPr="00E3356A">
        <w:rPr>
          <w:rFonts w:eastAsia="Times New Roman"/>
          <w:lang w:eastAsia="de-DE"/>
        </w:rPr>
        <w:t xml:space="preserve"> </w:t>
      </w:r>
      <w:proofErr w:type="spellStart"/>
      <w:r w:rsidRPr="00E3356A">
        <w:rPr>
          <w:rFonts w:eastAsia="Times New Roman"/>
          <w:lang w:eastAsia="de-DE"/>
        </w:rPr>
        <w:t>σου</w:t>
      </w:r>
      <w:proofErr w:type="spellEnd"/>
      <w:r w:rsidRPr="00E3356A">
        <w:rPr>
          <w:rFonts w:eastAsia="Times New Roman"/>
          <w:lang w:eastAsia="de-DE"/>
        </w:rPr>
        <w:t xml:space="preserve"> </w:t>
      </w:r>
      <w:proofErr w:type="spellStart"/>
      <w:r w:rsidRPr="00E3356A">
        <w:rPr>
          <w:rFonts w:eastAsia="Times New Roman"/>
          <w:lang w:eastAsia="de-DE"/>
        </w:rPr>
        <w:t>ἐκ</w:t>
      </w:r>
      <w:proofErr w:type="spellEnd"/>
      <w:r w:rsidRPr="00E3356A">
        <w:rPr>
          <w:rFonts w:eastAsia="Times New Roman"/>
          <w:lang w:eastAsia="de-DE"/>
        </w:rPr>
        <w:t xml:space="preserve"> πα</w:t>
      </w:r>
      <w:proofErr w:type="spellStart"/>
      <w:r w:rsidRPr="00E3356A">
        <w:rPr>
          <w:rFonts w:eastAsia="Times New Roman"/>
          <w:lang w:eastAsia="de-DE"/>
        </w:rPr>
        <w:t>τρός</w:t>
      </w:r>
      <w:proofErr w:type="spellEnd"/>
      <w:r w:rsidRPr="00E3356A">
        <w:rPr>
          <w:rFonts w:eastAsia="Times New Roman"/>
          <w:lang w:eastAsia="de-DE"/>
        </w:rPr>
        <w:t xml:space="preserve"> </w:t>
      </w:r>
      <w:proofErr w:type="spellStart"/>
      <w:r w:rsidRPr="00E3356A">
        <w:rPr>
          <w:rFonts w:eastAsia="Times New Roman"/>
          <w:lang w:eastAsia="de-DE"/>
        </w:rPr>
        <w:t>σου</w:t>
      </w:r>
      <w:proofErr w:type="spellEnd"/>
      <w:r w:rsidRPr="00E3356A">
        <w:rPr>
          <w:rFonts w:eastAsia="Times New Roman"/>
          <w:lang w:eastAsia="de-DE"/>
        </w:rPr>
        <w:t xml:space="preserve"> ἢ </w:t>
      </w:r>
      <w:proofErr w:type="spellStart"/>
      <w:r w:rsidRPr="00E3356A">
        <w:rPr>
          <w:rFonts w:eastAsia="Times New Roman"/>
          <w:lang w:eastAsia="de-DE"/>
        </w:rPr>
        <w:t>ἐκ</w:t>
      </w:r>
      <w:proofErr w:type="spellEnd"/>
      <w:r w:rsidRPr="00E3356A">
        <w:rPr>
          <w:rFonts w:eastAsia="Times New Roman"/>
          <w:lang w:eastAsia="de-DE"/>
        </w:rPr>
        <w:t xml:space="preserve"> </w:t>
      </w:r>
      <w:proofErr w:type="spellStart"/>
      <w:r w:rsidRPr="00E3356A">
        <w:rPr>
          <w:rFonts w:eastAsia="Times New Roman"/>
          <w:lang w:eastAsia="de-DE"/>
        </w:rPr>
        <w:t>μητρός</w:t>
      </w:r>
      <w:proofErr w:type="spellEnd"/>
      <w:r w:rsidRPr="00E3356A">
        <w:rPr>
          <w:rFonts w:eastAsia="Times New Roman"/>
          <w:lang w:eastAsia="de-DE"/>
        </w:rPr>
        <w:t xml:space="preserve"> </w:t>
      </w:r>
      <w:proofErr w:type="spellStart"/>
      <w:r w:rsidRPr="00E3356A">
        <w:rPr>
          <w:rFonts w:eastAsia="Times New Roman"/>
          <w:lang w:eastAsia="de-DE"/>
        </w:rPr>
        <w:t>σου</w:t>
      </w:r>
      <w:proofErr w:type="spellEnd"/>
      <w:r w:rsidRPr="00E3356A">
        <w:rPr>
          <w:rFonts w:eastAsia="Times New Roman"/>
          <w:lang w:eastAsia="de-DE"/>
        </w:rPr>
        <w:t xml:space="preserve"> (dein Bruder von deinem Vater oder von deiner Mutter) expliziert die Verwandtschaftsgrade klarer als das hebräische </w:t>
      </w:r>
      <w:r w:rsidRPr="00E3356A">
        <w:rPr>
          <w:rFonts w:eastAsia="Times New Roman"/>
          <w:rtl/>
          <w:lang w:eastAsia="de-DE"/>
        </w:rPr>
        <w:t>אָחִיךָ בֶן־אִמֶּךָ</w:t>
      </w:r>
      <w:r w:rsidRPr="00E3356A">
        <w:rPr>
          <w:rFonts w:eastAsia="Times New Roman"/>
          <w:lang w:eastAsia="de-DE"/>
        </w:rPr>
        <w:t xml:space="preserve">. Die Phrase ἡ </w:t>
      </w:r>
      <w:proofErr w:type="spellStart"/>
      <w:r w:rsidRPr="00E3356A">
        <w:rPr>
          <w:rFonts w:eastAsia="Times New Roman"/>
          <w:lang w:eastAsia="de-DE"/>
        </w:rPr>
        <w:t>γυνὴ</w:t>
      </w:r>
      <w:proofErr w:type="spellEnd"/>
      <w:r w:rsidRPr="00E3356A">
        <w:rPr>
          <w:rFonts w:eastAsia="Times New Roman"/>
          <w:lang w:eastAsia="de-DE"/>
        </w:rPr>
        <w:t xml:space="preserve"> ἡ </w:t>
      </w:r>
      <w:proofErr w:type="spellStart"/>
      <w:r w:rsidRPr="00E3356A">
        <w:rPr>
          <w:rFonts w:eastAsia="Times New Roman"/>
          <w:lang w:eastAsia="de-DE"/>
        </w:rPr>
        <w:t>ἐν</w:t>
      </w:r>
      <w:proofErr w:type="spellEnd"/>
      <w:r w:rsidRPr="00E3356A">
        <w:rPr>
          <w:rFonts w:eastAsia="Times New Roman"/>
          <w:lang w:eastAsia="de-DE"/>
        </w:rPr>
        <w:t xml:space="preserve"> </w:t>
      </w:r>
      <w:proofErr w:type="spellStart"/>
      <w:r w:rsidRPr="00E3356A">
        <w:rPr>
          <w:rFonts w:eastAsia="Times New Roman"/>
          <w:lang w:eastAsia="de-DE"/>
        </w:rPr>
        <w:t>κόλ</w:t>
      </w:r>
      <w:proofErr w:type="spellEnd"/>
      <w:r w:rsidRPr="00E3356A">
        <w:rPr>
          <w:rFonts w:eastAsia="Times New Roman"/>
          <w:lang w:eastAsia="de-DE"/>
        </w:rPr>
        <w:t xml:space="preserve">πῳ </w:t>
      </w:r>
      <w:proofErr w:type="spellStart"/>
      <w:r w:rsidRPr="00E3356A">
        <w:rPr>
          <w:rFonts w:eastAsia="Times New Roman"/>
          <w:lang w:eastAsia="de-DE"/>
        </w:rPr>
        <w:t>σου</w:t>
      </w:r>
      <w:proofErr w:type="spellEnd"/>
      <w:r w:rsidRPr="00E3356A">
        <w:rPr>
          <w:rFonts w:eastAsia="Times New Roman"/>
          <w:lang w:eastAsia="de-DE"/>
        </w:rPr>
        <w:t xml:space="preserve"> (die Frau in deinem Schoß) gibt </w:t>
      </w:r>
      <w:r w:rsidRPr="00E3356A">
        <w:rPr>
          <w:rFonts w:eastAsia="Times New Roman"/>
          <w:rtl/>
          <w:lang w:eastAsia="de-DE"/>
        </w:rPr>
        <w:t>אֵשֶׁת חֵיקֶךָ</w:t>
      </w:r>
      <w:r w:rsidRPr="00E3356A">
        <w:rPr>
          <w:rFonts w:eastAsia="Times New Roman"/>
          <w:lang w:eastAsia="de-DE"/>
        </w:rPr>
        <w:t xml:space="preserve"> wörtlich wieder. Bemerkenswert ist ὁ </w:t>
      </w:r>
      <w:proofErr w:type="spellStart"/>
      <w:r w:rsidRPr="00E3356A">
        <w:rPr>
          <w:rFonts w:eastAsia="Times New Roman"/>
          <w:lang w:eastAsia="de-DE"/>
        </w:rPr>
        <w:t>φίλος</w:t>
      </w:r>
      <w:proofErr w:type="spellEnd"/>
      <w:r w:rsidRPr="00E3356A">
        <w:rPr>
          <w:rFonts w:eastAsia="Times New Roman"/>
          <w:lang w:eastAsia="de-DE"/>
        </w:rPr>
        <w:t xml:space="preserve"> ὁ </w:t>
      </w:r>
      <w:proofErr w:type="spellStart"/>
      <w:r w:rsidRPr="00E3356A">
        <w:rPr>
          <w:rFonts w:eastAsia="Times New Roman"/>
          <w:lang w:eastAsia="de-DE"/>
        </w:rPr>
        <w:t>ἴσος</w:t>
      </w:r>
      <w:proofErr w:type="spellEnd"/>
      <w:r w:rsidRPr="00E3356A">
        <w:rPr>
          <w:rFonts w:eastAsia="Times New Roman"/>
          <w:lang w:eastAsia="de-DE"/>
        </w:rPr>
        <w:t xml:space="preserve"> </w:t>
      </w:r>
      <w:proofErr w:type="spellStart"/>
      <w:r w:rsidRPr="00E3356A">
        <w:rPr>
          <w:rFonts w:eastAsia="Times New Roman"/>
          <w:lang w:eastAsia="de-DE"/>
        </w:rPr>
        <w:t>τῆς</w:t>
      </w:r>
      <w:proofErr w:type="spellEnd"/>
      <w:r w:rsidRPr="00E3356A">
        <w:rPr>
          <w:rFonts w:eastAsia="Times New Roman"/>
          <w:lang w:eastAsia="de-DE"/>
        </w:rPr>
        <w:t xml:space="preserve"> </w:t>
      </w:r>
      <w:proofErr w:type="spellStart"/>
      <w:r w:rsidRPr="00E3356A">
        <w:rPr>
          <w:rFonts w:eastAsia="Times New Roman"/>
          <w:lang w:eastAsia="de-DE"/>
        </w:rPr>
        <w:t>ψυχῆς</w:t>
      </w:r>
      <w:proofErr w:type="spellEnd"/>
      <w:r w:rsidRPr="00E3356A">
        <w:rPr>
          <w:rFonts w:eastAsia="Times New Roman"/>
          <w:lang w:eastAsia="de-DE"/>
        </w:rPr>
        <w:t xml:space="preserve"> </w:t>
      </w:r>
      <w:proofErr w:type="spellStart"/>
      <w:r w:rsidRPr="00E3356A">
        <w:rPr>
          <w:rFonts w:eastAsia="Times New Roman"/>
          <w:lang w:eastAsia="de-DE"/>
        </w:rPr>
        <w:t>σου</w:t>
      </w:r>
      <w:proofErr w:type="spellEnd"/>
      <w:r w:rsidRPr="00E3356A">
        <w:rPr>
          <w:rFonts w:eastAsia="Times New Roman"/>
          <w:lang w:eastAsia="de-DE"/>
        </w:rPr>
        <w:t xml:space="preserve"> (der Freund, der gleich deiner Seele ist) für </w:t>
      </w:r>
      <w:r w:rsidRPr="00E3356A">
        <w:rPr>
          <w:rFonts w:eastAsia="Times New Roman"/>
          <w:rtl/>
          <w:lang w:eastAsia="de-DE"/>
        </w:rPr>
        <w:t>רֵעֲךָ אֲשֶׁר כְּנַפְשְׁךָ</w:t>
      </w:r>
      <w:r w:rsidRPr="00E3356A">
        <w:rPr>
          <w:rFonts w:eastAsia="Times New Roman"/>
          <w:lang w:eastAsia="de-DE"/>
        </w:rPr>
        <w:t xml:space="preserve">. Das Adverb </w:t>
      </w:r>
      <w:proofErr w:type="spellStart"/>
      <w:r w:rsidRPr="00E3356A">
        <w:rPr>
          <w:rFonts w:eastAsia="Times New Roman"/>
          <w:lang w:eastAsia="de-DE"/>
        </w:rPr>
        <w:t>λάθρᾳ</w:t>
      </w:r>
      <w:proofErr w:type="spellEnd"/>
      <w:r w:rsidRPr="00E3356A">
        <w:rPr>
          <w:rFonts w:eastAsia="Times New Roman"/>
          <w:lang w:eastAsia="de-DE"/>
        </w:rPr>
        <w:t xml:space="preserve"> (heimlich) entspricht </w:t>
      </w:r>
      <w:r w:rsidRPr="00E3356A">
        <w:rPr>
          <w:rFonts w:eastAsia="Times New Roman"/>
          <w:rtl/>
          <w:lang w:eastAsia="de-DE"/>
        </w:rPr>
        <w:t>בַּסֵּתֶר</w:t>
      </w:r>
      <w:r w:rsidRPr="00E3356A">
        <w:rPr>
          <w:rFonts w:eastAsia="Times New Roman"/>
          <w:lang w:eastAsia="de-DE"/>
        </w:rPr>
        <w:t xml:space="preserve">. Die Formulierung </w:t>
      </w:r>
      <w:proofErr w:type="spellStart"/>
      <w:r w:rsidRPr="00E3356A">
        <w:rPr>
          <w:rFonts w:eastAsia="Times New Roman"/>
          <w:lang w:eastAsia="de-DE"/>
        </w:rPr>
        <w:t>οὓς</w:t>
      </w:r>
      <w:proofErr w:type="spellEnd"/>
      <w:r w:rsidRPr="00E3356A">
        <w:rPr>
          <w:rFonts w:eastAsia="Times New Roman"/>
          <w:lang w:eastAsia="de-DE"/>
        </w:rPr>
        <w:t xml:space="preserve"> </w:t>
      </w:r>
      <w:proofErr w:type="spellStart"/>
      <w:r w:rsidRPr="00E3356A">
        <w:rPr>
          <w:rFonts w:eastAsia="Times New Roman"/>
          <w:lang w:eastAsia="de-DE"/>
        </w:rPr>
        <w:t>οὐκ</w:t>
      </w:r>
      <w:proofErr w:type="spellEnd"/>
      <w:r w:rsidRPr="00E3356A">
        <w:rPr>
          <w:rFonts w:eastAsia="Times New Roman"/>
          <w:lang w:eastAsia="de-DE"/>
        </w:rPr>
        <w:t xml:space="preserve"> </w:t>
      </w:r>
      <w:proofErr w:type="spellStart"/>
      <w:r w:rsidRPr="00E3356A">
        <w:rPr>
          <w:rFonts w:eastAsia="Times New Roman"/>
          <w:lang w:eastAsia="de-DE"/>
        </w:rPr>
        <w:t>ᾔδεις</w:t>
      </w:r>
      <w:proofErr w:type="spellEnd"/>
      <w:r w:rsidRPr="00E3356A">
        <w:rPr>
          <w:rFonts w:eastAsia="Times New Roman"/>
          <w:lang w:eastAsia="de-DE"/>
        </w:rPr>
        <w:t xml:space="preserve"> </w:t>
      </w:r>
      <w:proofErr w:type="spellStart"/>
      <w:r w:rsidRPr="00E3356A">
        <w:rPr>
          <w:rFonts w:eastAsia="Times New Roman"/>
          <w:lang w:eastAsia="de-DE"/>
        </w:rPr>
        <w:t>σὺ</w:t>
      </w:r>
      <w:proofErr w:type="spellEnd"/>
      <w:r w:rsidRPr="00E3356A">
        <w:rPr>
          <w:rFonts w:eastAsia="Times New Roman"/>
          <w:lang w:eastAsia="de-DE"/>
        </w:rPr>
        <w:t xml:space="preserve"> καὶ </w:t>
      </w:r>
      <w:proofErr w:type="spellStart"/>
      <w:r w:rsidRPr="00E3356A">
        <w:rPr>
          <w:rFonts w:eastAsia="Times New Roman"/>
          <w:lang w:eastAsia="de-DE"/>
        </w:rPr>
        <w:t>οἱ</w:t>
      </w:r>
      <w:proofErr w:type="spellEnd"/>
      <w:r w:rsidRPr="00E3356A">
        <w:rPr>
          <w:rFonts w:eastAsia="Times New Roman"/>
          <w:lang w:eastAsia="de-DE"/>
        </w:rPr>
        <w:t xml:space="preserve"> πα</w:t>
      </w:r>
      <w:proofErr w:type="spellStart"/>
      <w:r w:rsidRPr="00E3356A">
        <w:rPr>
          <w:rFonts w:eastAsia="Times New Roman"/>
          <w:lang w:eastAsia="de-DE"/>
        </w:rPr>
        <w:t>τέρες</w:t>
      </w:r>
      <w:proofErr w:type="spellEnd"/>
      <w:r w:rsidRPr="00E3356A">
        <w:rPr>
          <w:rFonts w:eastAsia="Times New Roman"/>
          <w:lang w:eastAsia="de-DE"/>
        </w:rPr>
        <w:t xml:space="preserve"> </w:t>
      </w:r>
      <w:proofErr w:type="spellStart"/>
      <w:r w:rsidRPr="00E3356A">
        <w:rPr>
          <w:rFonts w:eastAsia="Times New Roman"/>
          <w:lang w:eastAsia="de-DE"/>
        </w:rPr>
        <w:t>σου</w:t>
      </w:r>
      <w:proofErr w:type="spellEnd"/>
      <w:r w:rsidRPr="00E3356A">
        <w:rPr>
          <w:rFonts w:eastAsia="Times New Roman"/>
          <w:lang w:eastAsia="de-DE"/>
        </w:rPr>
        <w:t xml:space="preserve"> (die du nicht kanntest, du und deine Väter) gibt </w:t>
      </w:r>
      <w:r w:rsidRPr="00E3356A">
        <w:rPr>
          <w:rFonts w:eastAsia="Times New Roman"/>
          <w:rtl/>
          <w:lang w:eastAsia="de-DE"/>
        </w:rPr>
        <w:t>אֲשֶׁר לֹא יָדַעְתָּ אַתָּה וַאֲבֹתֶיךָ</w:t>
      </w:r>
      <w:r w:rsidRPr="00E3356A">
        <w:rPr>
          <w:rFonts w:eastAsia="Times New Roman"/>
          <w:lang w:eastAsia="de-DE"/>
        </w:rPr>
        <w:t xml:space="preserve"> präzise wieder.</w:t>
      </w:r>
    </w:p>
    <w:p w14:paraId="5D3D7F31" w14:textId="77777777" w:rsidR="00724090" w:rsidRDefault="00724090" w:rsidP="00724090">
      <w:pPr>
        <w:pStyle w:val="whitespace-normal"/>
      </w:pPr>
      <w:r>
        <w:rPr>
          <w:rStyle w:val="Fett"/>
          <w:rFonts w:eastAsiaTheme="majorEastAsia"/>
        </w:rPr>
        <w:t>Die Satzstruktur</w:t>
      </w:r>
      <w:r>
        <w:t xml:space="preserve"> besteht aus einem konditionalen Satz mit fünfgliedrigem Subjekt, modaler Bestimmung, einleitendem Infinitiv und direkter Rede: Konditionale Konjunktion (wenn), Prädikat mit integriertem direktem Objekt (dich anreizt), fünfgliedriges Subjekt (dein Bruder, der Sohn deiner Mutter, oder dein Sohn, oder deine Tochter, oder die Frau deines Busens, oder dein Freund, der wie deine Seele ist), modale Bestimmung (heimlich), einleitender Infinitiv (sagend); direkte Rede mit zwei Kohortativ (lass uns gehen und dienen), direktem Objekt (anderen Göttern), Relativsatz (die du nicht gekannt hast, du noch deine Väter).</w:t>
      </w:r>
    </w:p>
    <w:p w14:paraId="1B455AF0" w14:textId="77777777" w:rsidR="00724090" w:rsidRDefault="00724090" w:rsidP="00724090">
      <w:pPr>
        <w:pStyle w:val="whitespace-normal"/>
      </w:pPr>
      <w:r>
        <w:t>Der Vers schildert den zweiten Fall der Verführung: Wenn die engsten Vertrauten – Bruder, Kinder, Ehefrau oder Seelenfreund – heimlich zum Götzendienst anreizen, sind Götter gemeint, die weder dem Einzelnen noch den Vätern bekannt sind.</w:t>
      </w:r>
    </w:p>
    <w:p w14:paraId="4EBE5E63"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13,8</w:t>
      </w:r>
    </w:p>
    <w:p w14:paraId="7837D474" w14:textId="77777777" w:rsidR="00724090" w:rsidRDefault="00724090" w:rsidP="00724090">
      <w:pPr>
        <w:pStyle w:val="whitespace-normal"/>
      </w:pPr>
      <w:r>
        <w:rPr>
          <w:rStyle w:val="Fett"/>
          <w:rFonts w:eastAsiaTheme="majorEastAsia"/>
        </w:rPr>
        <w:t>Hebräisch:</w:t>
      </w:r>
      <w:r>
        <w:t xml:space="preserve"> </w:t>
      </w:r>
      <w:r>
        <w:rPr>
          <w:rtl/>
        </w:rPr>
        <w:t>מֵאֱלֹהֵ֣י הָֽעַמִּ֗ים אֲשֶׁר֙ סְבִיבֹ֣תֵיכֶ֔ם הַקְּרֹבִ֣ים אֵלֶ֔יךָ א֖וֹ הָרְחֹקִ֣ים מִמֶּ֑ךָּ מִקְצֵ֥ה הָאָ֖רֶץ וְעַד־קְצֵ֥ה הָאָֽרֶץ׃</w:t>
      </w:r>
    </w:p>
    <w:p w14:paraId="10DE53D7" w14:textId="4E031312" w:rsidR="00724090" w:rsidRDefault="00724090" w:rsidP="00724090">
      <w:pPr>
        <w:pStyle w:val="whitespace-normal"/>
      </w:pPr>
      <w:r>
        <w:rPr>
          <w:rStyle w:val="Fett"/>
          <w:rFonts w:eastAsiaTheme="majorEastAsia"/>
        </w:rPr>
        <w:t>Deutsch:</w:t>
      </w:r>
      <w:r>
        <w:t xml:space="preserve"> Von den Göttern der Völker, die ringsum euch her sind, nahe bei dir oder fern von dir, von einem Ende der Erde bis zum anderen Ende der Erde -.</w:t>
      </w:r>
    </w:p>
    <w:p w14:paraId="66FF77CC" w14:textId="312E2896" w:rsidR="009C316F" w:rsidRDefault="004F5CEB" w:rsidP="00724090">
      <w:pPr>
        <w:pStyle w:val="whitespace-normal"/>
      </w:pPr>
      <w:r>
        <w:rPr>
          <w:noProof/>
        </w:rPr>
        <w:pict w14:anchorId="71A3BA47">
          <v:rect id="_x0000_i1411" style="width:0;height:1.5pt" o:hralign="center" o:hrstd="t" o:hr="t" fillcolor="#a0a0a0" stroked="f"/>
        </w:pict>
      </w:r>
    </w:p>
    <w:p w14:paraId="3C430F96"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מֵאֱלֹהֵי הָעַמִּים אֲשֶׁר סְבִיבֹתֵיכֶם הַקְּרֹבִים אֵלֶיךָ אוֹ הָרְחֹקִים מִמֶּךָּ מִקְצֵה הָאָרֶץ וְעַד־קְצֵה הָאָרֶץ</w:t>
      </w:r>
      <w:r>
        <w:rPr>
          <w:rtl/>
        </w:rPr>
        <w:t xml:space="preserve"> </w:t>
      </w:r>
      <w:r>
        <w:t xml:space="preserve">ist eine nähere Bestimmung zu </w:t>
      </w:r>
      <w:r>
        <w:rPr>
          <w:rStyle w:val="Fett"/>
          <w:rFonts w:eastAsiaTheme="majorEastAsia"/>
          <w:rtl/>
        </w:rPr>
        <w:t>אֱלֹהִים אֲחֵרִים</w:t>
      </w:r>
      <w:r>
        <w:rPr>
          <w:rtl/>
        </w:rPr>
        <w:t xml:space="preserve"> </w:t>
      </w:r>
      <w:r>
        <w:t xml:space="preserve">aus V. 7: </w:t>
      </w:r>
      <w:r>
        <w:rPr>
          <w:rStyle w:val="Fett"/>
          <w:rFonts w:eastAsiaTheme="majorEastAsia"/>
          <w:rtl/>
        </w:rPr>
        <w:t>מֵאֱלֹהֵי הָעַמִּים</w:t>
      </w:r>
      <w:r>
        <w:rPr>
          <w:rtl/>
        </w:rPr>
        <w:t xml:space="preserve"> </w:t>
      </w:r>
      <w:r>
        <w:t xml:space="preserve">(Präposition </w:t>
      </w:r>
      <w:r>
        <w:rPr>
          <w:rStyle w:val="Fett"/>
          <w:rFonts w:eastAsiaTheme="majorEastAsia"/>
          <w:rtl/>
        </w:rPr>
        <w:t>מִן</w:t>
      </w:r>
      <w:r>
        <w:t xml:space="preserve">, „von", mit </w:t>
      </w:r>
      <w:r>
        <w:rPr>
          <w:rStyle w:val="Fett"/>
          <w:rFonts w:eastAsiaTheme="majorEastAsia"/>
          <w:rtl/>
        </w:rPr>
        <w:t>אֱלֹהִים</w:t>
      </w:r>
      <w:r>
        <w:t xml:space="preserve">, „Götter", Plural Construct mit </w:t>
      </w:r>
      <w:r>
        <w:rPr>
          <w:rStyle w:val="Fett"/>
          <w:rFonts w:eastAsiaTheme="majorEastAsia"/>
          <w:rtl/>
        </w:rPr>
        <w:t>עַם</w:t>
      </w:r>
      <w:r>
        <w:t xml:space="preserve">, „Volk", Plural mit Artikel, „von den Göttern der Völker"), </w:t>
      </w:r>
      <w:r>
        <w:rPr>
          <w:rStyle w:val="Fett"/>
          <w:rFonts w:eastAsiaTheme="majorEastAsia"/>
          <w:rtl/>
        </w:rPr>
        <w:t>אֲשֶׁר סְבִיבֹתֵיכֶם</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סָבִיב</w:t>
      </w:r>
      <w:r>
        <w:t xml:space="preserve">, „ringsum, umher", mit Suffix </w:t>
      </w:r>
      <w:r>
        <w:lastRenderedPageBreak/>
        <w:t xml:space="preserve">2. Person Maskulinum Plural, „die ringsum euch her sind"), </w:t>
      </w:r>
      <w:r>
        <w:rPr>
          <w:rStyle w:val="Fett"/>
          <w:rFonts w:eastAsiaTheme="majorEastAsia"/>
          <w:rtl/>
        </w:rPr>
        <w:t>הַקְּרֹבִים אֵלֶיךָ</w:t>
      </w:r>
      <w:r>
        <w:rPr>
          <w:rtl/>
        </w:rPr>
        <w:t xml:space="preserve"> </w:t>
      </w:r>
      <w:r>
        <w:t>(</w:t>
      </w:r>
      <w:r>
        <w:rPr>
          <w:rStyle w:val="Fett"/>
          <w:rFonts w:eastAsiaTheme="majorEastAsia"/>
          <w:rtl/>
        </w:rPr>
        <w:t>קָרוֹב</w:t>
      </w:r>
      <w:r>
        <w:t xml:space="preserve">, „nahe", Plural mit Artikel, </w:t>
      </w:r>
      <w:r>
        <w:rPr>
          <w:rStyle w:val="Fett"/>
          <w:rFonts w:eastAsiaTheme="majorEastAsia"/>
          <w:rtl/>
        </w:rPr>
        <w:t>אֵלֶיךָ</w:t>
      </w:r>
      <w:r>
        <w:t xml:space="preserve">, Präposition </w:t>
      </w:r>
      <w:r>
        <w:rPr>
          <w:rStyle w:val="Fett"/>
          <w:rFonts w:eastAsiaTheme="majorEastAsia"/>
          <w:rtl/>
        </w:rPr>
        <w:t>אֶל</w:t>
      </w:r>
      <w:r>
        <w:rPr>
          <w:rtl/>
        </w:rPr>
        <w:t xml:space="preserve"> </w:t>
      </w:r>
      <w:r>
        <w:t xml:space="preserve">mit Suffix 2. Person Maskulinum Singular, „die nahen zu dir"), koordiniert durch </w:t>
      </w:r>
      <w:r>
        <w:rPr>
          <w:rStyle w:val="Fett"/>
          <w:rFonts w:eastAsiaTheme="majorEastAsia"/>
          <w:rtl/>
        </w:rPr>
        <w:t>אוֹ</w:t>
      </w:r>
      <w:r>
        <w:rPr>
          <w:rtl/>
        </w:rPr>
        <w:t xml:space="preserve"> </w:t>
      </w:r>
      <w:r>
        <w:t xml:space="preserve">mit </w:t>
      </w:r>
      <w:r>
        <w:rPr>
          <w:rStyle w:val="Fett"/>
          <w:rFonts w:eastAsiaTheme="majorEastAsia"/>
          <w:rtl/>
        </w:rPr>
        <w:t>הָרְחֹקִים מִמֶּךָּ</w:t>
      </w:r>
      <w:r>
        <w:rPr>
          <w:rtl/>
        </w:rPr>
        <w:t xml:space="preserve"> </w:t>
      </w:r>
      <w:r>
        <w:t>(</w:t>
      </w:r>
      <w:r>
        <w:rPr>
          <w:rStyle w:val="Fett"/>
          <w:rFonts w:eastAsiaTheme="majorEastAsia"/>
          <w:rtl/>
        </w:rPr>
        <w:t>רָחוֹק</w:t>
      </w:r>
      <w:r>
        <w:t xml:space="preserve">, „fern", Plural mit Artikel, </w:t>
      </w:r>
      <w:r>
        <w:rPr>
          <w:rStyle w:val="Fett"/>
          <w:rFonts w:eastAsiaTheme="majorEastAsia"/>
          <w:rtl/>
        </w:rPr>
        <w:t>מִמֶּךָּ</w:t>
      </w:r>
      <w:r>
        <w:t xml:space="preserve">, Präposition </w:t>
      </w:r>
      <w:r>
        <w:rPr>
          <w:rStyle w:val="Fett"/>
          <w:rFonts w:eastAsiaTheme="majorEastAsia"/>
          <w:rtl/>
        </w:rPr>
        <w:t>מִן</w:t>
      </w:r>
      <w:r>
        <w:rPr>
          <w:rtl/>
        </w:rPr>
        <w:t xml:space="preserve"> </w:t>
      </w:r>
      <w:r>
        <w:t xml:space="preserve">mit Suffix 2. Person Maskulinum Singular, „die fernen von dir"), </w:t>
      </w:r>
      <w:r>
        <w:rPr>
          <w:rStyle w:val="Fett"/>
          <w:rFonts w:eastAsiaTheme="majorEastAsia"/>
          <w:rtl/>
        </w:rPr>
        <w:t>מִקְצֵה הָאָרֶץ וְעַד־קְצֵה הָאָרֶץ</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קָצֶה</w:t>
      </w:r>
      <w:r>
        <w:t xml:space="preserve">, „Ende, Rand", Construct mit </w:t>
      </w:r>
      <w:r>
        <w:rPr>
          <w:rStyle w:val="Fett"/>
          <w:rFonts w:eastAsiaTheme="majorEastAsia"/>
          <w:rtl/>
        </w:rPr>
        <w:t>אֶרֶץ</w:t>
      </w:r>
      <w:r>
        <w:t xml:space="preserve">, „Erde", mit Artikel, koordiniert durch </w:t>
      </w:r>
      <w:r>
        <w:rPr>
          <w:rStyle w:val="Fett"/>
          <w:rFonts w:eastAsiaTheme="majorEastAsia"/>
          <w:rtl/>
        </w:rPr>
        <w:t>וְעַד</w:t>
      </w:r>
      <w:r>
        <w:rPr>
          <w:rtl/>
        </w:rPr>
        <w:t xml:space="preserve"> </w:t>
      </w:r>
      <w:r>
        <w:t xml:space="preserve">mit </w:t>
      </w:r>
      <w:r>
        <w:rPr>
          <w:rStyle w:val="Fett"/>
          <w:rFonts w:eastAsiaTheme="majorEastAsia"/>
          <w:rtl/>
        </w:rPr>
        <w:t>קָצֶה הָאָרֶץ</w:t>
      </w:r>
      <w:r>
        <w:t>, „von einem Ende der Erde bis zum anderen Ende der Erde"). Diese Wendung bezeichnet die gesamte bewohnte Welt (vgl. 28,64; Jes 5,26; 42,10; 48,20; 62,11; Jer 10,13; 16,19; 25,31-32; Ps 2,8; 46,10; 61,3; 72,8).</w:t>
      </w:r>
    </w:p>
    <w:p w14:paraId="73B9B4F9" w14:textId="264ABC18" w:rsidR="00724090" w:rsidRDefault="00724090" w:rsidP="00724090">
      <w:pPr>
        <w:pStyle w:val="whitespace-normal"/>
      </w:pPr>
      <w:r>
        <w:t xml:space="preserve">Der Vers spezifiziert die </w:t>
      </w:r>
      <w:r>
        <w:rPr>
          <w:rStyle w:val="Fett"/>
          <w:rFonts w:eastAsiaTheme="majorEastAsia"/>
          <w:rtl/>
        </w:rPr>
        <w:t>אֱלֹהִים אֲחֵרִים</w:t>
      </w:r>
      <w:r>
        <w:rPr>
          <w:rtl/>
        </w:rPr>
        <w:t xml:space="preserve"> </w:t>
      </w:r>
      <w:r>
        <w:t xml:space="preserve">aus V. 7: Es sind Götter der umliegenden oder fernen Völker. Die doppelte Beschreibung </w:t>
      </w:r>
      <w:r>
        <w:rPr>
          <w:rStyle w:val="Fett"/>
          <w:rFonts w:eastAsiaTheme="majorEastAsia"/>
          <w:rtl/>
        </w:rPr>
        <w:t>הַקְּרֹבִים אֵלֶיךָ אוֹ הָרְחֹקִים מִמֶּךָּ</w:t>
      </w:r>
      <w:r>
        <w:rPr>
          <w:rtl/>
        </w:rPr>
        <w:t xml:space="preserve"> </w:t>
      </w:r>
      <w:r>
        <w:t xml:space="preserve">(„nahe bei dir oder fern von dir") wird durch </w:t>
      </w:r>
      <w:r>
        <w:rPr>
          <w:rStyle w:val="Fett"/>
          <w:rFonts w:eastAsiaTheme="majorEastAsia"/>
          <w:rtl/>
        </w:rPr>
        <w:t>מִקְצֵה הָאָרֶץ וְעַד־קְצֵה הָאָרֶץ</w:t>
      </w:r>
      <w:r>
        <w:rPr>
          <w:rtl/>
        </w:rPr>
        <w:t xml:space="preserve"> </w:t>
      </w:r>
      <w:r>
        <w:t>(„von einem Ende der Erde bis zum anderen Ende") maximal erweitert: Es geht um alle fremden Götter weltweit. Die Formulierung zeigt: Keine geographische Entfernung legitimiert den Götzendienst – weder nahe kanaanäische Götter noch ferne mesopotamische, ägyptische oder andere Gottheiten dürfen verehrt werden.</w:t>
      </w:r>
    </w:p>
    <w:p w14:paraId="596FC6E6" w14:textId="77777777" w:rsidR="00E3356A" w:rsidRPr="00E3356A" w:rsidRDefault="00E3356A" w:rsidP="00E3356A">
      <w:pPr>
        <w:spacing w:before="100" w:beforeAutospacing="1" w:after="100" w:afterAutospacing="1" w:line="240" w:lineRule="auto"/>
        <w:outlineLvl w:val="1"/>
        <w:rPr>
          <w:rFonts w:eastAsia="Times New Roman"/>
          <w:b/>
          <w:bCs/>
          <w:sz w:val="36"/>
          <w:szCs w:val="36"/>
          <w:lang w:eastAsia="de-DE"/>
        </w:rPr>
      </w:pPr>
      <w:r w:rsidRPr="00E3356A">
        <w:rPr>
          <w:rFonts w:eastAsia="Times New Roman"/>
          <w:b/>
          <w:bCs/>
          <w:sz w:val="36"/>
          <w:szCs w:val="36"/>
          <w:lang w:eastAsia="de-DE"/>
        </w:rPr>
        <w:t>Vers 8 (MT 13,8) / Vers 7 (LXX 13,7)</w:t>
      </w:r>
    </w:p>
    <w:p w14:paraId="1C1EA95B" w14:textId="3DCE050E" w:rsidR="00E3356A" w:rsidRPr="00E3356A" w:rsidRDefault="00E3356A" w:rsidP="00E3356A">
      <w:pPr>
        <w:spacing w:before="100" w:beforeAutospacing="1" w:after="100" w:afterAutospacing="1" w:line="240" w:lineRule="auto"/>
        <w:rPr>
          <w:rFonts w:eastAsia="Times New Roman"/>
          <w:lang w:eastAsia="de-DE"/>
        </w:rPr>
      </w:pPr>
      <w:r w:rsidRPr="00E3356A">
        <w:rPr>
          <w:rFonts w:eastAsia="Times New Roman"/>
          <w:b/>
          <w:bCs/>
          <w:lang w:eastAsia="de-DE"/>
        </w:rPr>
        <w:t>Die LXX</w:t>
      </w:r>
      <w:r w:rsidRPr="00E3356A">
        <w:rPr>
          <w:rFonts w:eastAsia="Times New Roman"/>
          <w:lang w:eastAsia="de-DE"/>
        </w:rPr>
        <w:t xml:space="preserve"> verwendet ἀπὸ </w:t>
      </w:r>
      <w:proofErr w:type="spellStart"/>
      <w:r w:rsidRPr="00E3356A">
        <w:rPr>
          <w:rFonts w:eastAsia="Times New Roman"/>
          <w:lang w:eastAsia="de-DE"/>
        </w:rPr>
        <w:t>τῶν</w:t>
      </w:r>
      <w:proofErr w:type="spellEnd"/>
      <w:r w:rsidRPr="00E3356A">
        <w:rPr>
          <w:rFonts w:eastAsia="Times New Roman"/>
          <w:lang w:eastAsia="de-DE"/>
        </w:rPr>
        <w:t xml:space="preserve"> </w:t>
      </w:r>
      <w:proofErr w:type="spellStart"/>
      <w:r w:rsidRPr="00E3356A">
        <w:rPr>
          <w:rFonts w:eastAsia="Times New Roman"/>
          <w:lang w:eastAsia="de-DE"/>
        </w:rPr>
        <w:t>θεῶν</w:t>
      </w:r>
      <w:proofErr w:type="spellEnd"/>
      <w:r w:rsidRPr="00E3356A">
        <w:rPr>
          <w:rFonts w:eastAsia="Times New Roman"/>
          <w:lang w:eastAsia="de-DE"/>
        </w:rPr>
        <w:t xml:space="preserve"> </w:t>
      </w:r>
      <w:proofErr w:type="spellStart"/>
      <w:r w:rsidRPr="00E3356A">
        <w:rPr>
          <w:rFonts w:eastAsia="Times New Roman"/>
          <w:lang w:eastAsia="de-DE"/>
        </w:rPr>
        <w:t>τῶν</w:t>
      </w:r>
      <w:proofErr w:type="spellEnd"/>
      <w:r w:rsidRPr="00E3356A">
        <w:rPr>
          <w:rFonts w:eastAsia="Times New Roman"/>
          <w:lang w:eastAsia="de-DE"/>
        </w:rPr>
        <w:t xml:space="preserve"> </w:t>
      </w:r>
      <w:proofErr w:type="spellStart"/>
      <w:r w:rsidRPr="00E3356A">
        <w:rPr>
          <w:rFonts w:eastAsia="Times New Roman"/>
          <w:lang w:eastAsia="de-DE"/>
        </w:rPr>
        <w:t>ἐθνῶν</w:t>
      </w:r>
      <w:proofErr w:type="spellEnd"/>
      <w:r w:rsidRPr="00E3356A">
        <w:rPr>
          <w:rFonts w:eastAsia="Times New Roman"/>
          <w:lang w:eastAsia="de-DE"/>
        </w:rPr>
        <w:t xml:space="preserve"> (von den Göttern der Völker) für </w:t>
      </w:r>
      <w:r w:rsidRPr="00E3356A">
        <w:rPr>
          <w:rFonts w:eastAsia="Times New Roman"/>
          <w:rtl/>
          <w:lang w:eastAsia="de-DE"/>
        </w:rPr>
        <w:t>מֵאֱלֹהֵי הָעַמִּים</w:t>
      </w:r>
      <w:r w:rsidRPr="00E3356A">
        <w:rPr>
          <w:rFonts w:eastAsia="Times New Roman"/>
          <w:lang w:eastAsia="de-DE"/>
        </w:rPr>
        <w:t xml:space="preserve"> als genauere Spezifikation. Die räumliche Beschreibung </w:t>
      </w:r>
      <w:proofErr w:type="spellStart"/>
      <w:r w:rsidRPr="00E3356A">
        <w:rPr>
          <w:rFonts w:eastAsia="Times New Roman"/>
          <w:lang w:eastAsia="de-DE"/>
        </w:rPr>
        <w:t>τῶν</w:t>
      </w:r>
      <w:proofErr w:type="spellEnd"/>
      <w:r w:rsidRPr="00E3356A">
        <w:rPr>
          <w:rFonts w:eastAsia="Times New Roman"/>
          <w:lang w:eastAsia="de-DE"/>
        </w:rPr>
        <w:t xml:space="preserve"> π</w:t>
      </w:r>
      <w:proofErr w:type="spellStart"/>
      <w:r w:rsidRPr="00E3356A">
        <w:rPr>
          <w:rFonts w:eastAsia="Times New Roman"/>
          <w:lang w:eastAsia="de-DE"/>
        </w:rPr>
        <w:t>ερικύκλῳ</w:t>
      </w:r>
      <w:proofErr w:type="spellEnd"/>
      <w:r w:rsidRPr="00E3356A">
        <w:rPr>
          <w:rFonts w:eastAsia="Times New Roman"/>
          <w:lang w:eastAsia="de-DE"/>
        </w:rPr>
        <w:t xml:space="preserve"> </w:t>
      </w:r>
      <w:proofErr w:type="spellStart"/>
      <w:r w:rsidRPr="00E3356A">
        <w:rPr>
          <w:rFonts w:eastAsia="Times New Roman"/>
          <w:lang w:eastAsia="de-DE"/>
        </w:rPr>
        <w:t>ὑμῶν</w:t>
      </w:r>
      <w:proofErr w:type="spellEnd"/>
      <w:r w:rsidRPr="00E3356A">
        <w:rPr>
          <w:rFonts w:eastAsia="Times New Roman"/>
          <w:lang w:eastAsia="de-DE"/>
        </w:rPr>
        <w:t xml:space="preserve">, </w:t>
      </w:r>
      <w:proofErr w:type="spellStart"/>
      <w:r w:rsidRPr="00E3356A">
        <w:rPr>
          <w:rFonts w:eastAsia="Times New Roman"/>
          <w:lang w:eastAsia="de-DE"/>
        </w:rPr>
        <w:t>τῶν</w:t>
      </w:r>
      <w:proofErr w:type="spellEnd"/>
      <w:r w:rsidRPr="00E3356A">
        <w:rPr>
          <w:rFonts w:eastAsia="Times New Roman"/>
          <w:lang w:eastAsia="de-DE"/>
        </w:rPr>
        <w:t xml:space="preserve"> </w:t>
      </w:r>
      <w:proofErr w:type="spellStart"/>
      <w:r w:rsidRPr="00E3356A">
        <w:rPr>
          <w:rFonts w:eastAsia="Times New Roman"/>
          <w:lang w:eastAsia="de-DE"/>
        </w:rPr>
        <w:t>ἐγγιζόντων</w:t>
      </w:r>
      <w:proofErr w:type="spellEnd"/>
      <w:r w:rsidRPr="00E3356A">
        <w:rPr>
          <w:rFonts w:eastAsia="Times New Roman"/>
          <w:lang w:eastAsia="de-DE"/>
        </w:rPr>
        <w:t xml:space="preserve"> </w:t>
      </w:r>
      <w:proofErr w:type="spellStart"/>
      <w:r w:rsidRPr="00E3356A">
        <w:rPr>
          <w:rFonts w:eastAsia="Times New Roman"/>
          <w:lang w:eastAsia="de-DE"/>
        </w:rPr>
        <w:t>σοι</w:t>
      </w:r>
      <w:proofErr w:type="spellEnd"/>
      <w:r w:rsidRPr="00E3356A">
        <w:rPr>
          <w:rFonts w:eastAsia="Times New Roman"/>
          <w:lang w:eastAsia="de-DE"/>
        </w:rPr>
        <w:t xml:space="preserve"> ἢ </w:t>
      </w:r>
      <w:proofErr w:type="spellStart"/>
      <w:r w:rsidRPr="00E3356A">
        <w:rPr>
          <w:rFonts w:eastAsia="Times New Roman"/>
          <w:lang w:eastAsia="de-DE"/>
        </w:rPr>
        <w:t>τῶν</w:t>
      </w:r>
      <w:proofErr w:type="spellEnd"/>
      <w:r w:rsidRPr="00E3356A">
        <w:rPr>
          <w:rFonts w:eastAsia="Times New Roman"/>
          <w:lang w:eastAsia="de-DE"/>
        </w:rPr>
        <w:t xml:space="preserve"> μα</w:t>
      </w:r>
      <w:proofErr w:type="spellStart"/>
      <w:r w:rsidRPr="00E3356A">
        <w:rPr>
          <w:rFonts w:eastAsia="Times New Roman"/>
          <w:lang w:eastAsia="de-DE"/>
        </w:rPr>
        <w:t>κρὰν</w:t>
      </w:r>
      <w:proofErr w:type="spellEnd"/>
      <w:r w:rsidRPr="00E3356A">
        <w:rPr>
          <w:rFonts w:eastAsia="Times New Roman"/>
          <w:lang w:eastAsia="de-DE"/>
        </w:rPr>
        <w:t xml:space="preserve"> ἀπὸ </w:t>
      </w:r>
      <w:proofErr w:type="spellStart"/>
      <w:r w:rsidRPr="00E3356A">
        <w:rPr>
          <w:rFonts w:eastAsia="Times New Roman"/>
          <w:lang w:eastAsia="de-DE"/>
        </w:rPr>
        <w:t>σοῦ</w:t>
      </w:r>
      <w:proofErr w:type="spellEnd"/>
      <w:r w:rsidRPr="00E3356A">
        <w:rPr>
          <w:rFonts w:eastAsia="Times New Roman"/>
          <w:lang w:eastAsia="de-DE"/>
        </w:rPr>
        <w:t xml:space="preserve"> (die rings um euch, die sich dir nähern oder die fern von dir sind) gibt die hebräische Wendung </w:t>
      </w:r>
      <w:r w:rsidRPr="00E3356A">
        <w:rPr>
          <w:rFonts w:eastAsia="Times New Roman"/>
          <w:rtl/>
          <w:lang w:eastAsia="de-DE"/>
        </w:rPr>
        <w:t>אֲשֶׁר סְבִיבֹתֵיכֶם הַקְּרֹבִים אֵלֶיךָ אוֹ הָרְחֹקִים מִמֶּךָּ</w:t>
      </w:r>
      <w:r w:rsidRPr="00E3356A">
        <w:rPr>
          <w:rFonts w:eastAsia="Times New Roman"/>
          <w:lang w:eastAsia="de-DE"/>
        </w:rPr>
        <w:t xml:space="preserve"> wieder. Die Formulierung ἀπʼ </w:t>
      </w:r>
      <w:proofErr w:type="spellStart"/>
      <w:r w:rsidRPr="00E3356A">
        <w:rPr>
          <w:rFonts w:eastAsia="Times New Roman"/>
          <w:lang w:eastAsia="de-DE"/>
        </w:rPr>
        <w:t>ἄκρου</w:t>
      </w:r>
      <w:proofErr w:type="spellEnd"/>
      <w:r w:rsidRPr="00E3356A">
        <w:rPr>
          <w:rFonts w:eastAsia="Times New Roman"/>
          <w:lang w:eastAsia="de-DE"/>
        </w:rPr>
        <w:t xml:space="preserve"> </w:t>
      </w:r>
      <w:proofErr w:type="spellStart"/>
      <w:r w:rsidRPr="00E3356A">
        <w:rPr>
          <w:rFonts w:eastAsia="Times New Roman"/>
          <w:lang w:eastAsia="de-DE"/>
        </w:rPr>
        <w:t>τῆς</w:t>
      </w:r>
      <w:proofErr w:type="spellEnd"/>
      <w:r w:rsidRPr="00E3356A">
        <w:rPr>
          <w:rFonts w:eastAsia="Times New Roman"/>
          <w:lang w:eastAsia="de-DE"/>
        </w:rPr>
        <w:t xml:space="preserve"> </w:t>
      </w:r>
      <w:proofErr w:type="spellStart"/>
      <w:r w:rsidRPr="00E3356A">
        <w:rPr>
          <w:rFonts w:eastAsia="Times New Roman"/>
          <w:lang w:eastAsia="de-DE"/>
        </w:rPr>
        <w:t>γῆς</w:t>
      </w:r>
      <w:proofErr w:type="spellEnd"/>
      <w:r w:rsidRPr="00E3356A">
        <w:rPr>
          <w:rFonts w:eastAsia="Times New Roman"/>
          <w:lang w:eastAsia="de-DE"/>
        </w:rPr>
        <w:t xml:space="preserve"> </w:t>
      </w:r>
      <w:proofErr w:type="spellStart"/>
      <w:r w:rsidRPr="00E3356A">
        <w:rPr>
          <w:rFonts w:eastAsia="Times New Roman"/>
          <w:lang w:eastAsia="de-DE"/>
        </w:rPr>
        <w:t>ἕως</w:t>
      </w:r>
      <w:proofErr w:type="spellEnd"/>
      <w:r w:rsidRPr="00E3356A">
        <w:rPr>
          <w:rFonts w:eastAsia="Times New Roman"/>
          <w:lang w:eastAsia="de-DE"/>
        </w:rPr>
        <w:t xml:space="preserve"> </w:t>
      </w:r>
      <w:proofErr w:type="spellStart"/>
      <w:r w:rsidRPr="00E3356A">
        <w:rPr>
          <w:rFonts w:eastAsia="Times New Roman"/>
          <w:lang w:eastAsia="de-DE"/>
        </w:rPr>
        <w:t>ἄκρου</w:t>
      </w:r>
      <w:proofErr w:type="spellEnd"/>
      <w:r w:rsidRPr="00E3356A">
        <w:rPr>
          <w:rFonts w:eastAsia="Times New Roman"/>
          <w:lang w:eastAsia="de-DE"/>
        </w:rPr>
        <w:t xml:space="preserve"> </w:t>
      </w:r>
      <w:proofErr w:type="spellStart"/>
      <w:r w:rsidRPr="00E3356A">
        <w:rPr>
          <w:rFonts w:eastAsia="Times New Roman"/>
          <w:lang w:eastAsia="de-DE"/>
        </w:rPr>
        <w:t>τῆς</w:t>
      </w:r>
      <w:proofErr w:type="spellEnd"/>
      <w:r w:rsidRPr="00E3356A">
        <w:rPr>
          <w:rFonts w:eastAsia="Times New Roman"/>
          <w:lang w:eastAsia="de-DE"/>
        </w:rPr>
        <w:t xml:space="preserve"> </w:t>
      </w:r>
      <w:proofErr w:type="spellStart"/>
      <w:r w:rsidRPr="00E3356A">
        <w:rPr>
          <w:rFonts w:eastAsia="Times New Roman"/>
          <w:lang w:eastAsia="de-DE"/>
        </w:rPr>
        <w:t>γῆς</w:t>
      </w:r>
      <w:proofErr w:type="spellEnd"/>
      <w:r w:rsidRPr="00E3356A">
        <w:rPr>
          <w:rFonts w:eastAsia="Times New Roman"/>
          <w:lang w:eastAsia="de-DE"/>
        </w:rPr>
        <w:t xml:space="preserve"> (von einem Ende der Erde bis zum anderen Ende der Erde) entspricht </w:t>
      </w:r>
      <w:r>
        <w:rPr>
          <w:rtl/>
        </w:rPr>
        <w:t>מִקְצֵה הָאָרֶץ וְעַד־קְצֵה הָאָרֶץ</w:t>
      </w:r>
      <w:r>
        <w:t>.</w:t>
      </w:r>
    </w:p>
    <w:p w14:paraId="3660993D" w14:textId="77777777" w:rsidR="00724090" w:rsidRDefault="00724090" w:rsidP="00724090">
      <w:pPr>
        <w:pStyle w:val="whitespace-normal"/>
      </w:pPr>
      <w:r>
        <w:rPr>
          <w:rStyle w:val="Fett"/>
          <w:rFonts w:eastAsiaTheme="majorEastAsia"/>
        </w:rPr>
        <w:t>Die Satzstruktur</w:t>
      </w:r>
      <w:r>
        <w:t xml:space="preserve"> ist eine appositionale Erweiterung: Präpositionale Bestimmung (von den Göttern der Völker), Relativsatz (die ringsum euch her sind), doppelte appositionale Beschreibung (die nahen zu dir oder die fernen von dir), maximale Erweiterung (von einem Ende der Erde bis zum anderen Ende der Erde).</w:t>
      </w:r>
    </w:p>
    <w:p w14:paraId="32E3787A" w14:textId="77777777" w:rsidR="00724090" w:rsidRDefault="00724090" w:rsidP="00724090">
      <w:pPr>
        <w:pStyle w:val="whitespace-normal"/>
      </w:pPr>
      <w:r>
        <w:t>Der Vers erweitert die Beschreibung der fremden Götter aus V. 7: Es sind Götter von Völkern nah und fern, von einem Ende der Erde zum anderen – jeder fremde Gott ist gemeint, unabhängig von geographischer Nähe.</w:t>
      </w:r>
    </w:p>
    <w:p w14:paraId="54302DB2"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13,9</w:t>
      </w:r>
    </w:p>
    <w:p w14:paraId="5755DB02" w14:textId="77777777" w:rsidR="00724090" w:rsidRDefault="00724090" w:rsidP="00724090">
      <w:pPr>
        <w:pStyle w:val="whitespace-normal"/>
      </w:pPr>
      <w:r>
        <w:rPr>
          <w:rStyle w:val="Fett"/>
          <w:rFonts w:eastAsiaTheme="majorEastAsia"/>
        </w:rPr>
        <w:t>Hebräisch:</w:t>
      </w:r>
      <w:r>
        <w:t xml:space="preserve"> </w:t>
      </w:r>
      <w:r>
        <w:rPr>
          <w:rtl/>
        </w:rPr>
        <w:t>לֹא־תֹאבֶ֣ה לוֹ֔ וְלֹ֥א תִשְׁמַ֖ע אֵלָ֑יו וְלֹא־תָח֤וֹס עֵֽינְךָ֙ עָלָ֔יו וְלֹֽא־תַחְמֹ֥ל וְלֹֽא־תְכַסֶּ֖ה עָלָֽיו׃</w:t>
      </w:r>
    </w:p>
    <w:p w14:paraId="13BFB14C" w14:textId="52D7C075" w:rsidR="00724090" w:rsidRDefault="00724090" w:rsidP="00724090">
      <w:pPr>
        <w:pStyle w:val="whitespace-normal"/>
      </w:pPr>
      <w:r>
        <w:rPr>
          <w:rStyle w:val="Fett"/>
          <w:rFonts w:eastAsiaTheme="majorEastAsia"/>
        </w:rPr>
        <w:t>Deutsch:</w:t>
      </w:r>
      <w:r>
        <w:t xml:space="preserve"> So sollst du ihm nicht willfahren und nicht auf ihn hören; und dein Auge soll ihn nicht verschonen, und du sollst dich seiner nicht erbarmen und ihn nicht verbergen.</w:t>
      </w:r>
    </w:p>
    <w:p w14:paraId="39FF2AA9" w14:textId="63B165D4" w:rsidR="009C316F" w:rsidRDefault="004F5CEB" w:rsidP="00724090">
      <w:pPr>
        <w:pStyle w:val="whitespace-normal"/>
      </w:pPr>
      <w:r>
        <w:rPr>
          <w:noProof/>
        </w:rPr>
        <w:pict w14:anchorId="0D146D4A">
          <v:rect id="_x0000_i1412" style="width:0;height:1.5pt" o:hralign="center" o:hrstd="t" o:hr="t" fillcolor="#a0a0a0" stroked="f"/>
        </w:pict>
      </w:r>
    </w:p>
    <w:p w14:paraId="3C0174B8"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לֹא־תֹאבֶה לוֹ וְלֹא תִשְׁמַע אֵלָיו</w:t>
      </w:r>
      <w:r>
        <w:rPr>
          <w:rtl/>
        </w:rPr>
        <w:t xml:space="preserve"> </w:t>
      </w:r>
      <w:r>
        <w:t xml:space="preserve">sind zwei koordinierte negative Imperative: </w:t>
      </w:r>
      <w:r>
        <w:rPr>
          <w:rStyle w:val="Fett"/>
          <w:rFonts w:eastAsiaTheme="majorEastAsia"/>
          <w:rtl/>
        </w:rPr>
        <w:t>לֹא־תֹאבֶה</w:t>
      </w:r>
      <w:r>
        <w:rPr>
          <w:rtl/>
        </w:rPr>
        <w:t xml:space="preserve"> </w:t>
      </w:r>
      <w:r>
        <w:t xml:space="preserve">(Negation </w:t>
      </w:r>
      <w:r>
        <w:rPr>
          <w:rStyle w:val="Fett"/>
          <w:rFonts w:eastAsiaTheme="majorEastAsia"/>
          <w:rtl/>
        </w:rPr>
        <w:t>לֹא</w:t>
      </w:r>
      <w:r>
        <w:rPr>
          <w:rtl/>
        </w:rPr>
        <w:t xml:space="preserve"> </w:t>
      </w:r>
      <w:r>
        <w:t xml:space="preserve">mit </w:t>
      </w:r>
      <w:r>
        <w:rPr>
          <w:rStyle w:val="Fett"/>
          <w:rFonts w:eastAsiaTheme="majorEastAsia"/>
          <w:rtl/>
        </w:rPr>
        <w:t>אבה</w:t>
      </w:r>
      <w:r>
        <w:t xml:space="preserve">, Qal Imperfekt, 2. Person Maskulinum Singular, „willfahren, einwilligen, zustimmen"), </w:t>
      </w:r>
      <w:r>
        <w:rPr>
          <w:rStyle w:val="Fett"/>
          <w:rFonts w:eastAsiaTheme="majorEastAsia"/>
          <w:rtl/>
        </w:rPr>
        <w:t>לוֹ</w:t>
      </w:r>
      <w:r>
        <w:rPr>
          <w:rtl/>
        </w:rPr>
        <w:t xml:space="preserve"> </w:t>
      </w:r>
      <w:r>
        <w:t xml:space="preserve">(Präposition </w:t>
      </w:r>
      <w:r>
        <w:rPr>
          <w:rStyle w:val="Fett"/>
          <w:rFonts w:eastAsiaTheme="majorEastAsia"/>
          <w:rtl/>
        </w:rPr>
        <w:t>לְ</w:t>
      </w:r>
      <w:r>
        <w:rPr>
          <w:rtl/>
        </w:rPr>
        <w:t xml:space="preserve"> </w:t>
      </w:r>
      <w:r>
        <w:t xml:space="preserve">mit Suffix 3. Person Maskulinum Singular, „ihm"), koordiniert durch </w:t>
      </w:r>
      <w:r>
        <w:rPr>
          <w:rStyle w:val="Fett"/>
          <w:rFonts w:eastAsiaTheme="majorEastAsia"/>
          <w:rtl/>
        </w:rPr>
        <w:t>וְלֹא</w:t>
      </w:r>
      <w:r>
        <w:rPr>
          <w:rtl/>
        </w:rPr>
        <w:t xml:space="preserve"> </w:t>
      </w:r>
      <w:r>
        <w:t xml:space="preserve">mit </w:t>
      </w:r>
      <w:r>
        <w:rPr>
          <w:rStyle w:val="Fett"/>
          <w:rFonts w:eastAsiaTheme="majorEastAsia"/>
          <w:rtl/>
        </w:rPr>
        <w:t>תִשְׁמַע</w:t>
      </w:r>
      <w:r>
        <w:rPr>
          <w:rtl/>
        </w:rPr>
        <w:t xml:space="preserve"> </w:t>
      </w:r>
      <w:r>
        <w:t xml:space="preserve">(Qal Imperfekt, 2. Person Maskulinum Singular von </w:t>
      </w:r>
      <w:r>
        <w:rPr>
          <w:rStyle w:val="Fett"/>
          <w:rFonts w:eastAsiaTheme="majorEastAsia"/>
          <w:rtl/>
        </w:rPr>
        <w:lastRenderedPageBreak/>
        <w:t>שׁמע</w:t>
      </w:r>
      <w:r>
        <w:t xml:space="preserve">, „hören") und </w:t>
      </w:r>
      <w:r>
        <w:rPr>
          <w:rStyle w:val="Fett"/>
          <w:rFonts w:eastAsiaTheme="majorEastAsia"/>
          <w:rtl/>
        </w:rPr>
        <w:t>אֵלָיו</w:t>
      </w:r>
      <w:r>
        <w:rPr>
          <w:rtl/>
        </w:rPr>
        <w:t xml:space="preserve"> </w:t>
      </w:r>
      <w:r>
        <w:t xml:space="preserve">(Präposition </w:t>
      </w:r>
      <w:r>
        <w:rPr>
          <w:rStyle w:val="Fett"/>
          <w:rFonts w:eastAsiaTheme="majorEastAsia"/>
          <w:rtl/>
        </w:rPr>
        <w:t>אֶל</w:t>
      </w:r>
      <w:r>
        <w:rPr>
          <w:rtl/>
        </w:rPr>
        <w:t xml:space="preserve"> </w:t>
      </w:r>
      <w:r>
        <w:t>mit Suffix 3. Person Maskulinum Singular, „zu ihm, auf ihn").</w:t>
      </w:r>
    </w:p>
    <w:p w14:paraId="1EE794F5" w14:textId="43818F84" w:rsidR="00724090" w:rsidRDefault="00724090" w:rsidP="00724090">
      <w:pPr>
        <w:pStyle w:val="whitespace-normal"/>
      </w:pPr>
      <w:r>
        <w:rPr>
          <w:rStyle w:val="Fett"/>
          <w:rFonts w:eastAsiaTheme="majorEastAsia"/>
          <w:rtl/>
        </w:rPr>
        <w:t>וְלֹא־תָחוֹס עֵינְךָ עָלָיו</w:t>
      </w:r>
      <w:r>
        <w:rPr>
          <w:rtl/>
        </w:rPr>
        <w:t xml:space="preserve"> </w:t>
      </w:r>
      <w:r>
        <w:t xml:space="preserve">ist der dritte negative Imperativ: </w:t>
      </w:r>
      <w:r>
        <w:rPr>
          <w:rStyle w:val="Fett"/>
          <w:rFonts w:eastAsiaTheme="majorEastAsia"/>
          <w:rtl/>
        </w:rPr>
        <w:t>וְלֹא־תָחוֹס</w:t>
      </w:r>
      <w:r>
        <w:rPr>
          <w:rtl/>
        </w:rPr>
        <w:t xml:space="preserve"> </w:t>
      </w:r>
      <w:r>
        <w:t xml:space="preserve">(koordiniert durch </w:t>
      </w:r>
      <w:r>
        <w:rPr>
          <w:rStyle w:val="Fett"/>
          <w:rFonts w:eastAsiaTheme="majorEastAsia"/>
          <w:rtl/>
        </w:rPr>
        <w:t>וְלֹא</w:t>
      </w:r>
      <w:r>
        <w:rPr>
          <w:rtl/>
        </w:rPr>
        <w:t xml:space="preserve"> </w:t>
      </w:r>
      <w:r>
        <w:t xml:space="preserve">mit </w:t>
      </w:r>
      <w:r>
        <w:rPr>
          <w:rStyle w:val="Fett"/>
          <w:rFonts w:eastAsiaTheme="majorEastAsia"/>
          <w:rtl/>
        </w:rPr>
        <w:t>חוס</w:t>
      </w:r>
      <w:r>
        <w:t xml:space="preserve">, Qal Imperfekt, 2. Person Maskulinum Singular, „Mitleid haben, verschonen"), </w:t>
      </w:r>
      <w:r>
        <w:rPr>
          <w:rStyle w:val="Fett"/>
          <w:rFonts w:eastAsiaTheme="majorEastAsia"/>
          <w:rtl/>
        </w:rPr>
        <w:t>עֵינְךָ</w:t>
      </w:r>
      <w:r>
        <w:rPr>
          <w:rtl/>
        </w:rPr>
        <w:t xml:space="preserve"> </w:t>
      </w:r>
      <w:r>
        <w:t>(</w:t>
      </w:r>
      <w:r>
        <w:rPr>
          <w:rStyle w:val="Fett"/>
          <w:rFonts w:eastAsiaTheme="majorEastAsia"/>
          <w:rtl/>
        </w:rPr>
        <w:t>עַיִן</w:t>
      </w:r>
      <w:r>
        <w:t xml:space="preserve">, „Auge", mit Suffix 2. Person Maskulinum Singular) als Subjekt und </w:t>
      </w:r>
      <w:r>
        <w:rPr>
          <w:rStyle w:val="Fett"/>
          <w:rFonts w:eastAsiaTheme="majorEastAsia"/>
          <w:rtl/>
        </w:rPr>
        <w:t>עָלָיו</w:t>
      </w:r>
      <w:r>
        <w:rPr>
          <w:rtl/>
        </w:rPr>
        <w:t xml:space="preserve"> </w:t>
      </w:r>
      <w:r>
        <w:t xml:space="preserve">(Präposition </w:t>
      </w:r>
      <w:r>
        <w:rPr>
          <w:rStyle w:val="Fett"/>
          <w:rFonts w:eastAsiaTheme="majorEastAsia"/>
          <w:rtl/>
        </w:rPr>
        <w:t>עַל</w:t>
      </w:r>
      <w:r>
        <w:rPr>
          <w:rtl/>
        </w:rPr>
        <w:t xml:space="preserve"> </w:t>
      </w:r>
      <w:r>
        <w:t xml:space="preserve">mit Suffix 3. Person Maskulinum Singular, „auf ihn, über ihn"). Die Wendung </w:t>
      </w:r>
      <w:r>
        <w:rPr>
          <w:rStyle w:val="Fett"/>
          <w:rFonts w:eastAsiaTheme="majorEastAsia"/>
          <w:rtl/>
        </w:rPr>
        <w:t>חוס עין על</w:t>
      </w:r>
      <w:r>
        <w:rPr>
          <w:rtl/>
        </w:rPr>
        <w:t xml:space="preserve"> </w:t>
      </w:r>
      <w:r>
        <w:t xml:space="preserve">(„das Auge verschont jemanden") bezeichnet Mitleid oder Schonung (vgl. 7,16; 19,13.21; 25,12; </w:t>
      </w:r>
      <w:r w:rsidR="00BF3748">
        <w:t>Hes</w:t>
      </w:r>
      <w:r>
        <w:t xml:space="preserve"> 5,11; 7,4.9; 8,18; 9,5.10).</w:t>
      </w:r>
    </w:p>
    <w:p w14:paraId="354A33E0" w14:textId="77777777" w:rsidR="00724090" w:rsidRDefault="00724090" w:rsidP="00724090">
      <w:pPr>
        <w:pStyle w:val="whitespace-normal"/>
      </w:pPr>
      <w:r>
        <w:rPr>
          <w:rStyle w:val="Fett"/>
          <w:rFonts w:eastAsiaTheme="majorEastAsia"/>
          <w:rtl/>
        </w:rPr>
        <w:t>וְלֹא־תַחְמֹל וְלֹא־תְכַסֶּה עָלָיו</w:t>
      </w:r>
      <w:r>
        <w:rPr>
          <w:rtl/>
        </w:rPr>
        <w:t xml:space="preserve"> </w:t>
      </w:r>
      <w:r>
        <w:t xml:space="preserve">sind der vierte und fünfte negative Imperativ: </w:t>
      </w:r>
      <w:r>
        <w:rPr>
          <w:rStyle w:val="Fett"/>
          <w:rFonts w:eastAsiaTheme="majorEastAsia"/>
          <w:rtl/>
        </w:rPr>
        <w:t>וְלֹא־תַחְמֹל</w:t>
      </w:r>
      <w:r>
        <w:rPr>
          <w:rtl/>
        </w:rPr>
        <w:t xml:space="preserve"> </w:t>
      </w:r>
      <w:r>
        <w:t xml:space="preserve">(koordiniert durch </w:t>
      </w:r>
      <w:r>
        <w:rPr>
          <w:rStyle w:val="Fett"/>
          <w:rFonts w:eastAsiaTheme="majorEastAsia"/>
          <w:rtl/>
        </w:rPr>
        <w:t>וְלֹא</w:t>
      </w:r>
      <w:r>
        <w:rPr>
          <w:rtl/>
        </w:rPr>
        <w:t xml:space="preserve"> </w:t>
      </w:r>
      <w:r>
        <w:t xml:space="preserve">mit </w:t>
      </w:r>
      <w:r>
        <w:rPr>
          <w:rStyle w:val="Fett"/>
          <w:rFonts w:eastAsiaTheme="majorEastAsia"/>
          <w:rtl/>
        </w:rPr>
        <w:t>חמל</w:t>
      </w:r>
      <w:r>
        <w:t xml:space="preserve">, Qal Imperfekt, 2. Person Maskulinum Singular, „Erbarmen haben, Mitleid haben, verschonen"), koordiniert durch </w:t>
      </w:r>
      <w:r>
        <w:rPr>
          <w:rStyle w:val="Fett"/>
          <w:rFonts w:eastAsiaTheme="majorEastAsia"/>
          <w:rtl/>
        </w:rPr>
        <w:t>וְלֹא</w:t>
      </w:r>
      <w:r>
        <w:rPr>
          <w:rtl/>
        </w:rPr>
        <w:t xml:space="preserve"> </w:t>
      </w:r>
      <w:r>
        <w:t xml:space="preserve">mit </w:t>
      </w:r>
      <w:r>
        <w:rPr>
          <w:rStyle w:val="Fett"/>
          <w:rFonts w:eastAsiaTheme="majorEastAsia"/>
          <w:rtl/>
        </w:rPr>
        <w:t>תְכַסֶּה</w:t>
      </w:r>
      <w:r>
        <w:rPr>
          <w:rtl/>
        </w:rPr>
        <w:t xml:space="preserve"> </w:t>
      </w:r>
      <w:r>
        <w:t xml:space="preserve">(Piel Imperfekt, 2. Person Maskulinum Singular von </w:t>
      </w:r>
      <w:r>
        <w:rPr>
          <w:rStyle w:val="Fett"/>
          <w:rFonts w:eastAsiaTheme="majorEastAsia"/>
          <w:rtl/>
        </w:rPr>
        <w:t>כסה</w:t>
      </w:r>
      <w:r>
        <w:t xml:space="preserve">, „bedecken, verbergen") und </w:t>
      </w:r>
      <w:r>
        <w:rPr>
          <w:rStyle w:val="Fett"/>
          <w:rFonts w:eastAsiaTheme="majorEastAsia"/>
          <w:rtl/>
        </w:rPr>
        <w:t>עָלָיו</w:t>
      </w:r>
      <w:r>
        <w:rPr>
          <w:rtl/>
        </w:rPr>
        <w:t xml:space="preserve"> </w:t>
      </w:r>
      <w:r>
        <w:t xml:space="preserve">(Präposition </w:t>
      </w:r>
      <w:r>
        <w:rPr>
          <w:rStyle w:val="Fett"/>
          <w:rFonts w:eastAsiaTheme="majorEastAsia"/>
          <w:rtl/>
        </w:rPr>
        <w:t>עַל</w:t>
      </w:r>
      <w:r>
        <w:rPr>
          <w:rtl/>
        </w:rPr>
        <w:t xml:space="preserve"> </w:t>
      </w:r>
      <w:r>
        <w:t>mit Suffix 3. Person Maskulinum Singular).</w:t>
      </w:r>
    </w:p>
    <w:p w14:paraId="7AB4ED0A" w14:textId="77777777" w:rsidR="00724090" w:rsidRDefault="00724090" w:rsidP="00724090">
      <w:pPr>
        <w:pStyle w:val="whitespace-normal"/>
      </w:pPr>
      <w:r>
        <w:t>Der Vers formuliert fünf negative Imperative, die jede mögliche Nachgiebigkeit ausschließen: (1) nicht einwilligen, (2) nicht hören, (3) nicht verschonen, (4) kein Erbarmen, (5) nicht verbergen. Die ersten beiden Verbote betreffen die innere Haltung und äußere Reaktion auf die Verführung. Die drei letzten Verbote betreffen das Verhalten nach der Verführung: kein Mitleid, das von der Anzeige abhält, und kein Verbergen des Täters.</w:t>
      </w:r>
    </w:p>
    <w:p w14:paraId="09F6A294" w14:textId="458C3DD9" w:rsidR="00724090" w:rsidRDefault="00724090" w:rsidP="00724090">
      <w:pPr>
        <w:pStyle w:val="whitespace-normal"/>
      </w:pPr>
      <w:r>
        <w:t xml:space="preserve">Die Wendung </w:t>
      </w:r>
      <w:r>
        <w:rPr>
          <w:rStyle w:val="Fett"/>
          <w:rFonts w:eastAsiaTheme="majorEastAsia"/>
          <w:rtl/>
        </w:rPr>
        <w:t>לֹא־תָחוֹס עֵינְךָ עָלָיו</w:t>
      </w:r>
      <w:r>
        <w:rPr>
          <w:rtl/>
        </w:rPr>
        <w:t xml:space="preserve"> </w:t>
      </w:r>
      <w:r>
        <w:t xml:space="preserve">(„dein Auge soll ihn nicht verschonen") ist poetisch und betont die emotionale Herausforderung: Trotz engster Beziehung (V. 7) darf es kein Mitleid geben. Das Verb </w:t>
      </w:r>
      <w:r>
        <w:rPr>
          <w:rStyle w:val="Fett"/>
          <w:rFonts w:eastAsiaTheme="majorEastAsia"/>
          <w:rtl/>
        </w:rPr>
        <w:t>כסה</w:t>
      </w:r>
      <w:r>
        <w:rPr>
          <w:rtl/>
        </w:rPr>
        <w:t xml:space="preserve"> </w:t>
      </w:r>
      <w:r>
        <w:t>(„verbergen") im Piel bezeichnet aktives Verstecken oder Decken des Täters. Die fünffache Negation unterstreicht die Härte des Gebots: Selbst engste Verwandte und Freunde dürfen bei Verführung zum Götzendienst nicht geschont werden.</w:t>
      </w:r>
    </w:p>
    <w:p w14:paraId="54EF216E" w14:textId="77777777" w:rsidR="00E3356A" w:rsidRPr="00E3356A" w:rsidRDefault="00E3356A" w:rsidP="00E3356A">
      <w:pPr>
        <w:spacing w:before="100" w:beforeAutospacing="1" w:after="100" w:afterAutospacing="1" w:line="240" w:lineRule="auto"/>
        <w:outlineLvl w:val="1"/>
        <w:rPr>
          <w:rFonts w:eastAsia="Times New Roman"/>
          <w:b/>
          <w:bCs/>
          <w:sz w:val="36"/>
          <w:szCs w:val="36"/>
          <w:lang w:eastAsia="de-DE"/>
        </w:rPr>
      </w:pPr>
      <w:r w:rsidRPr="00E3356A">
        <w:rPr>
          <w:rFonts w:eastAsia="Times New Roman"/>
          <w:b/>
          <w:bCs/>
          <w:sz w:val="36"/>
          <w:szCs w:val="36"/>
          <w:lang w:eastAsia="de-DE"/>
        </w:rPr>
        <w:t>Vers 9 (MT 13,9) / Vers 8 (LXX 13,8)</w:t>
      </w:r>
    </w:p>
    <w:p w14:paraId="302D9469" w14:textId="36E040BF" w:rsidR="00E3356A" w:rsidRPr="00E3356A" w:rsidRDefault="00E3356A" w:rsidP="00E3356A">
      <w:pPr>
        <w:spacing w:before="100" w:beforeAutospacing="1" w:after="100" w:afterAutospacing="1" w:line="240" w:lineRule="auto"/>
        <w:rPr>
          <w:rFonts w:eastAsia="Times New Roman"/>
          <w:lang w:eastAsia="de-DE"/>
        </w:rPr>
      </w:pPr>
      <w:r w:rsidRPr="00E3356A">
        <w:rPr>
          <w:rFonts w:eastAsia="Times New Roman"/>
          <w:b/>
          <w:bCs/>
          <w:lang w:eastAsia="de-DE"/>
        </w:rPr>
        <w:t>Die LXX</w:t>
      </w:r>
      <w:r w:rsidRPr="00E3356A">
        <w:rPr>
          <w:rFonts w:eastAsia="Times New Roman"/>
          <w:lang w:eastAsia="de-DE"/>
        </w:rPr>
        <w:t xml:space="preserve"> bietet </w:t>
      </w:r>
      <w:proofErr w:type="spellStart"/>
      <w:r w:rsidRPr="00E3356A">
        <w:rPr>
          <w:rFonts w:eastAsia="Times New Roman"/>
          <w:lang w:eastAsia="de-DE"/>
        </w:rPr>
        <w:t>οὐ</w:t>
      </w:r>
      <w:proofErr w:type="spellEnd"/>
      <w:r w:rsidRPr="00E3356A">
        <w:rPr>
          <w:rFonts w:eastAsia="Times New Roman"/>
          <w:lang w:eastAsia="de-DE"/>
        </w:rPr>
        <w:t xml:space="preserve"> </w:t>
      </w:r>
      <w:proofErr w:type="spellStart"/>
      <w:r w:rsidRPr="00E3356A">
        <w:rPr>
          <w:rFonts w:eastAsia="Times New Roman"/>
          <w:lang w:eastAsia="de-DE"/>
        </w:rPr>
        <w:t>συνθελήσεις</w:t>
      </w:r>
      <w:proofErr w:type="spellEnd"/>
      <w:r w:rsidRPr="00E3356A">
        <w:rPr>
          <w:rFonts w:eastAsia="Times New Roman"/>
          <w:lang w:eastAsia="de-DE"/>
        </w:rPr>
        <w:t xml:space="preserve"> α</w:t>
      </w:r>
      <w:proofErr w:type="spellStart"/>
      <w:r w:rsidRPr="00E3356A">
        <w:rPr>
          <w:rFonts w:eastAsia="Times New Roman"/>
          <w:lang w:eastAsia="de-DE"/>
        </w:rPr>
        <w:t>ὐτῷ</w:t>
      </w:r>
      <w:proofErr w:type="spellEnd"/>
      <w:r w:rsidRPr="00E3356A">
        <w:rPr>
          <w:rFonts w:eastAsia="Times New Roman"/>
          <w:lang w:eastAsia="de-DE"/>
        </w:rPr>
        <w:t xml:space="preserve"> (du wirst nicht mit ihm übereinstimmen) für </w:t>
      </w:r>
      <w:r w:rsidRPr="00E3356A">
        <w:rPr>
          <w:rFonts w:eastAsia="Times New Roman"/>
          <w:rtl/>
          <w:lang w:eastAsia="de-DE"/>
        </w:rPr>
        <w:t>לֹא־תֹאבֶה לוֹ</w:t>
      </w:r>
      <w:r w:rsidRPr="00E3356A">
        <w:rPr>
          <w:rFonts w:eastAsia="Times New Roman"/>
          <w:lang w:eastAsia="de-DE"/>
        </w:rPr>
        <w:t xml:space="preserve">, wobei </w:t>
      </w:r>
      <w:proofErr w:type="spellStart"/>
      <w:r w:rsidRPr="00E3356A">
        <w:rPr>
          <w:rFonts w:eastAsia="Times New Roman"/>
          <w:lang w:eastAsia="de-DE"/>
        </w:rPr>
        <w:t>συνθέλω</w:t>
      </w:r>
      <w:proofErr w:type="spellEnd"/>
      <w:r w:rsidRPr="00E3356A">
        <w:rPr>
          <w:rFonts w:eastAsia="Times New Roman"/>
          <w:lang w:eastAsia="de-DE"/>
        </w:rPr>
        <w:t xml:space="preserve"> eine stärkere Bedeutung der aktiven Zustimmung hat. Die Serie </w:t>
      </w:r>
      <w:proofErr w:type="spellStart"/>
      <w:r w:rsidRPr="00E3356A">
        <w:rPr>
          <w:rFonts w:eastAsia="Times New Roman"/>
          <w:lang w:eastAsia="de-DE"/>
        </w:rPr>
        <w:t>οὐκ</w:t>
      </w:r>
      <w:proofErr w:type="spellEnd"/>
      <w:r w:rsidRPr="00E3356A">
        <w:rPr>
          <w:rFonts w:eastAsia="Times New Roman"/>
          <w:lang w:eastAsia="de-DE"/>
        </w:rPr>
        <w:t xml:space="preserve"> </w:t>
      </w:r>
      <w:proofErr w:type="spellStart"/>
      <w:r w:rsidRPr="00E3356A">
        <w:rPr>
          <w:rFonts w:eastAsia="Times New Roman"/>
          <w:lang w:eastAsia="de-DE"/>
        </w:rPr>
        <w:t>εἰσ</w:t>
      </w:r>
      <w:proofErr w:type="spellEnd"/>
      <w:r w:rsidRPr="00E3356A">
        <w:rPr>
          <w:rFonts w:eastAsia="Times New Roman"/>
          <w:lang w:eastAsia="de-DE"/>
        </w:rPr>
        <w:t xml:space="preserve">ακούσῃ... </w:t>
      </w:r>
      <w:proofErr w:type="spellStart"/>
      <w:r w:rsidRPr="00E3356A">
        <w:rPr>
          <w:rFonts w:eastAsia="Times New Roman"/>
          <w:lang w:eastAsia="de-DE"/>
        </w:rPr>
        <w:t>οὐ</w:t>
      </w:r>
      <w:proofErr w:type="spellEnd"/>
      <w:r w:rsidRPr="00E3356A">
        <w:rPr>
          <w:rFonts w:eastAsia="Times New Roman"/>
          <w:lang w:eastAsia="de-DE"/>
        </w:rPr>
        <w:t xml:space="preserve"> </w:t>
      </w:r>
      <w:proofErr w:type="spellStart"/>
      <w:r w:rsidRPr="00E3356A">
        <w:rPr>
          <w:rFonts w:eastAsia="Times New Roman"/>
          <w:lang w:eastAsia="de-DE"/>
        </w:rPr>
        <w:t>φείσετ</w:t>
      </w:r>
      <w:proofErr w:type="spellEnd"/>
      <w:r w:rsidRPr="00E3356A">
        <w:rPr>
          <w:rFonts w:eastAsia="Times New Roman"/>
          <w:lang w:eastAsia="de-DE"/>
        </w:rPr>
        <w:t xml:space="preserve">αι ὁ </w:t>
      </w:r>
      <w:proofErr w:type="spellStart"/>
      <w:r w:rsidRPr="00E3356A">
        <w:rPr>
          <w:rFonts w:eastAsia="Times New Roman"/>
          <w:lang w:eastAsia="de-DE"/>
        </w:rPr>
        <w:t>ὀφθ</w:t>
      </w:r>
      <w:proofErr w:type="spellEnd"/>
      <w:r w:rsidRPr="00E3356A">
        <w:rPr>
          <w:rFonts w:eastAsia="Times New Roman"/>
          <w:lang w:eastAsia="de-DE"/>
        </w:rPr>
        <w:t xml:space="preserve">αλμός </w:t>
      </w:r>
      <w:proofErr w:type="spellStart"/>
      <w:r w:rsidRPr="00E3356A">
        <w:rPr>
          <w:rFonts w:eastAsia="Times New Roman"/>
          <w:lang w:eastAsia="de-DE"/>
        </w:rPr>
        <w:t>σου</w:t>
      </w:r>
      <w:proofErr w:type="spellEnd"/>
      <w:r w:rsidRPr="00E3356A">
        <w:rPr>
          <w:rFonts w:eastAsia="Times New Roman"/>
          <w:lang w:eastAsia="de-DE"/>
        </w:rPr>
        <w:t xml:space="preserve">... </w:t>
      </w:r>
      <w:proofErr w:type="spellStart"/>
      <w:r w:rsidRPr="00E3356A">
        <w:rPr>
          <w:rFonts w:eastAsia="Times New Roman"/>
          <w:lang w:eastAsia="de-DE"/>
        </w:rPr>
        <w:t>οὐκ</w:t>
      </w:r>
      <w:proofErr w:type="spellEnd"/>
      <w:r w:rsidRPr="00E3356A">
        <w:rPr>
          <w:rFonts w:eastAsia="Times New Roman"/>
          <w:lang w:eastAsia="de-DE"/>
        </w:rPr>
        <w:t xml:space="preserve"> ἐπιπ</w:t>
      </w:r>
      <w:proofErr w:type="spellStart"/>
      <w:r w:rsidRPr="00E3356A">
        <w:rPr>
          <w:rFonts w:eastAsia="Times New Roman"/>
          <w:lang w:eastAsia="de-DE"/>
        </w:rPr>
        <w:t>οθήσεις</w:t>
      </w:r>
      <w:proofErr w:type="spellEnd"/>
      <w:r w:rsidRPr="00E3356A">
        <w:rPr>
          <w:rFonts w:eastAsia="Times New Roman"/>
          <w:lang w:eastAsia="de-DE"/>
        </w:rPr>
        <w:t xml:space="preserve">... </w:t>
      </w:r>
      <w:proofErr w:type="spellStart"/>
      <w:r w:rsidRPr="00E3356A">
        <w:rPr>
          <w:rFonts w:eastAsia="Times New Roman"/>
          <w:lang w:eastAsia="de-DE"/>
        </w:rPr>
        <w:t>οὐδὲ</w:t>
      </w:r>
      <w:proofErr w:type="spellEnd"/>
      <w:r w:rsidRPr="00E3356A">
        <w:rPr>
          <w:rFonts w:eastAsia="Times New Roman"/>
          <w:lang w:eastAsia="de-DE"/>
        </w:rPr>
        <w:t xml:space="preserve"> μὴ </w:t>
      </w:r>
      <w:proofErr w:type="spellStart"/>
      <w:r w:rsidRPr="00E3356A">
        <w:rPr>
          <w:rFonts w:eastAsia="Times New Roman"/>
          <w:lang w:eastAsia="de-DE"/>
        </w:rPr>
        <w:t>σκε</w:t>
      </w:r>
      <w:proofErr w:type="spellEnd"/>
      <w:r w:rsidRPr="00E3356A">
        <w:rPr>
          <w:rFonts w:eastAsia="Times New Roman"/>
          <w:lang w:eastAsia="de-DE"/>
        </w:rPr>
        <w:t xml:space="preserve">πάσῃς (du wirst nicht auf ihn hören... dein Auge wird nicht schonen... du wirst nicht begehren... und du wirst keinesfalls verbergen) gibt die hebräische Reihe </w:t>
      </w:r>
      <w:r w:rsidRPr="00E3356A">
        <w:rPr>
          <w:rFonts w:eastAsia="Times New Roman"/>
          <w:rtl/>
          <w:lang w:eastAsia="de-DE"/>
        </w:rPr>
        <w:t>וְלֹא תִשְׁמַע אֵלָיו וְלֹא־תָחוֹס עֵינְךָ עָלָיו וְלֹא־תַחְמֹל וְלֹא־תְכַסֶּה עָלָיו</w:t>
      </w:r>
      <w:r w:rsidRPr="00E3356A">
        <w:rPr>
          <w:rFonts w:eastAsia="Times New Roman"/>
          <w:lang w:eastAsia="de-DE"/>
        </w:rPr>
        <w:t xml:space="preserve"> präzise wieder, wobei </w:t>
      </w:r>
      <w:proofErr w:type="spellStart"/>
      <w:r w:rsidRPr="00E3356A">
        <w:rPr>
          <w:rFonts w:eastAsia="Times New Roman"/>
          <w:lang w:eastAsia="de-DE"/>
        </w:rPr>
        <w:t>οὐδὲ</w:t>
      </w:r>
      <w:proofErr w:type="spellEnd"/>
      <w:r w:rsidRPr="00E3356A">
        <w:rPr>
          <w:rFonts w:eastAsia="Times New Roman"/>
          <w:lang w:eastAsia="de-DE"/>
        </w:rPr>
        <w:t xml:space="preserve"> </w:t>
      </w:r>
      <w:proofErr w:type="spellStart"/>
      <w:r w:rsidRPr="00E3356A">
        <w:rPr>
          <w:rFonts w:eastAsia="Times New Roman"/>
          <w:lang w:eastAsia="de-DE"/>
        </w:rPr>
        <w:t>μή</w:t>
      </w:r>
      <w:proofErr w:type="spellEnd"/>
      <w:r w:rsidRPr="00E3356A">
        <w:rPr>
          <w:rFonts w:eastAsia="Times New Roman"/>
          <w:lang w:eastAsia="de-DE"/>
        </w:rPr>
        <w:t xml:space="preserve"> die stärkste griechische Verneinung darstellt.</w:t>
      </w:r>
    </w:p>
    <w:p w14:paraId="55C7CAAD" w14:textId="77777777" w:rsidR="00724090" w:rsidRDefault="00724090" w:rsidP="00724090">
      <w:pPr>
        <w:pStyle w:val="whitespace-normal"/>
      </w:pPr>
      <w:r>
        <w:rPr>
          <w:rStyle w:val="Fett"/>
          <w:rFonts w:eastAsiaTheme="majorEastAsia"/>
        </w:rPr>
        <w:t>Die Satzstruktur</w:t>
      </w:r>
      <w:r>
        <w:t xml:space="preserve"> besteht aus fünf koordinierten negativen Imperativen: Erster negativer Imperativ (sollst nicht willfahren), Dativ (ihm); zweiter negativer Imperativ (nicht hören), präpositionales Objekt (auf ihn); dritter negativer Imperativ mit Subjekt (dein Auge soll nicht verschonen), präpositionales Objekt (ihn); vierter negativer Imperativ (sollst nicht erbarmen); fünfter negativer Imperativ (nicht verbergen), präpositionales Objekt (ihn).</w:t>
      </w:r>
    </w:p>
    <w:p w14:paraId="6CB7308D" w14:textId="77777777" w:rsidR="00724090" w:rsidRDefault="00724090" w:rsidP="00724090">
      <w:pPr>
        <w:pStyle w:val="whitespace-normal"/>
      </w:pPr>
      <w:r>
        <w:t>Der Vers verbietet jede Form von Nachgiebigkeit oder Schonung: Keine Zustimmung, kein Gehör, kein Mitleid, kein Erbarmen, kein Verstecken des verführenden Verwandten oder Freundes.</w:t>
      </w:r>
    </w:p>
    <w:p w14:paraId="4ACE8C08"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lastRenderedPageBreak/>
        <w:t>Deuteronomium 13,10</w:t>
      </w:r>
    </w:p>
    <w:p w14:paraId="70DEDDA7" w14:textId="77777777" w:rsidR="00724090" w:rsidRDefault="00724090" w:rsidP="00724090">
      <w:pPr>
        <w:pStyle w:val="whitespace-normal"/>
      </w:pPr>
      <w:r>
        <w:rPr>
          <w:rStyle w:val="Fett"/>
          <w:rFonts w:eastAsiaTheme="majorEastAsia"/>
        </w:rPr>
        <w:t>Hebräisch:</w:t>
      </w:r>
      <w:r>
        <w:t xml:space="preserve"> </w:t>
      </w:r>
      <w:r>
        <w:rPr>
          <w:rtl/>
        </w:rPr>
        <w:t>כִּ֤י הָרֹג֙ תַּֽהַרְגֶ֔נּוּ יָֽדְךָ֛ תִּֽהְיֶה־בּוֹ֥ בָרִֽאשׁוֹנָ֖ה לַהֲמִיתֹ֑ו וְיַ֥ד כָּל־הָעָ֖ם בָּאַחֲרֹנָֽה׃</w:t>
      </w:r>
    </w:p>
    <w:p w14:paraId="30EA4C33" w14:textId="279C6DD4" w:rsidR="00724090" w:rsidRDefault="00724090" w:rsidP="00724090">
      <w:pPr>
        <w:pStyle w:val="whitespace-normal"/>
      </w:pPr>
      <w:r>
        <w:rPr>
          <w:rStyle w:val="Fett"/>
          <w:rFonts w:eastAsiaTheme="majorEastAsia"/>
        </w:rPr>
        <w:t>Deutsch:</w:t>
      </w:r>
      <w:r>
        <w:t xml:space="preserve"> Sondern du sollst ihn gewiss töten; deine Hand soll die erste an ihm sein, ihn zu töten, und danach die Hand des ganzen Volkes.</w:t>
      </w:r>
    </w:p>
    <w:p w14:paraId="372E2280" w14:textId="775C33FB" w:rsidR="009C316F" w:rsidRDefault="004F5CEB" w:rsidP="00724090">
      <w:pPr>
        <w:pStyle w:val="whitespace-normal"/>
      </w:pPr>
      <w:r>
        <w:rPr>
          <w:noProof/>
        </w:rPr>
        <w:pict w14:anchorId="7FEE6316">
          <v:rect id="_x0000_i1413" style="width:0;height:1.5pt" o:hralign="center" o:hrstd="t" o:hr="t" fillcolor="#a0a0a0" stroked="f"/>
        </w:pict>
      </w:r>
    </w:p>
    <w:p w14:paraId="277A162C"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כִּי הָרֹג תַּהַרְגֶנּוּ</w:t>
      </w:r>
      <w:r>
        <w:rPr>
          <w:rtl/>
        </w:rPr>
        <w:t xml:space="preserve"> </w:t>
      </w:r>
      <w:r>
        <w:t xml:space="preserve">ist eine emphatische Konstruktion: </w:t>
      </w:r>
      <w:r>
        <w:rPr>
          <w:rStyle w:val="Fett"/>
          <w:rFonts w:eastAsiaTheme="majorEastAsia"/>
          <w:rtl/>
        </w:rPr>
        <w:t>כִּי</w:t>
      </w:r>
      <w:r>
        <w:rPr>
          <w:rtl/>
        </w:rPr>
        <w:t xml:space="preserve"> </w:t>
      </w:r>
      <w:r>
        <w:t xml:space="preserve">(„sondern, vielmehr") als adversative Partikel nach den Negationen in V. 9, </w:t>
      </w:r>
      <w:r>
        <w:rPr>
          <w:rStyle w:val="Fett"/>
          <w:rFonts w:eastAsiaTheme="majorEastAsia"/>
          <w:rtl/>
        </w:rPr>
        <w:t>הָרֹג</w:t>
      </w:r>
      <w:r>
        <w:rPr>
          <w:rtl/>
        </w:rPr>
        <w:t xml:space="preserve"> </w:t>
      </w:r>
      <w:r>
        <w:t xml:space="preserve">(Qal Infinitiv Absolut von </w:t>
      </w:r>
      <w:r>
        <w:rPr>
          <w:rStyle w:val="Fett"/>
          <w:rFonts w:eastAsiaTheme="majorEastAsia"/>
          <w:rtl/>
        </w:rPr>
        <w:t>הרג</w:t>
      </w:r>
      <w:r>
        <w:t xml:space="preserve">, „töten") mit </w:t>
      </w:r>
      <w:r>
        <w:rPr>
          <w:rStyle w:val="Fett"/>
          <w:rFonts w:eastAsiaTheme="majorEastAsia"/>
          <w:rtl/>
        </w:rPr>
        <w:t>תַּהַרְגֶנּוּ</w:t>
      </w:r>
      <w:r>
        <w:rPr>
          <w:rtl/>
        </w:rPr>
        <w:t xml:space="preserve"> </w:t>
      </w:r>
      <w:r>
        <w:t xml:space="preserve">(Qal Imperfekt, 2. Person Maskulinum Singular von </w:t>
      </w:r>
      <w:r>
        <w:rPr>
          <w:rStyle w:val="Fett"/>
          <w:rFonts w:eastAsiaTheme="majorEastAsia"/>
          <w:rtl/>
        </w:rPr>
        <w:t>הרג</w:t>
      </w:r>
      <w:r>
        <w:t>, mit Suffix 3. Person Maskulinum Singular als direktes Objekt, „du sollst ihn töten"). Die Kombination von Infinitiv Absolut und finitem Verb drückt Emphase aus („gewiss töten, unbedingt töten").</w:t>
      </w:r>
    </w:p>
    <w:p w14:paraId="11B16111" w14:textId="77777777" w:rsidR="00724090" w:rsidRDefault="00724090" w:rsidP="00724090">
      <w:pPr>
        <w:pStyle w:val="whitespace-normal"/>
      </w:pPr>
      <w:r>
        <w:rPr>
          <w:rStyle w:val="Fett"/>
          <w:rFonts w:eastAsiaTheme="majorEastAsia"/>
          <w:rtl/>
        </w:rPr>
        <w:t>יָדְךָ תִּהְיֶה־בּוֹ בָרִאשׁוֹנָה לַהֲמִיתוֹ</w:t>
      </w:r>
      <w:r>
        <w:rPr>
          <w:rtl/>
        </w:rPr>
        <w:t xml:space="preserve"> </w:t>
      </w:r>
      <w:r>
        <w:t xml:space="preserve">ist der zweite Satz: </w:t>
      </w:r>
      <w:r>
        <w:rPr>
          <w:rStyle w:val="Fett"/>
          <w:rFonts w:eastAsiaTheme="majorEastAsia"/>
          <w:rtl/>
        </w:rPr>
        <w:t>יָדְךָ</w:t>
      </w:r>
      <w:r>
        <w:rPr>
          <w:rtl/>
        </w:rPr>
        <w:t xml:space="preserve"> </w:t>
      </w:r>
      <w:r>
        <w:t>(</w:t>
      </w:r>
      <w:r>
        <w:rPr>
          <w:rStyle w:val="Fett"/>
          <w:rFonts w:eastAsiaTheme="majorEastAsia"/>
          <w:rtl/>
        </w:rPr>
        <w:t>יָד</w:t>
      </w:r>
      <w:r>
        <w:t xml:space="preserve">, „Hand", mit Suffix 2. Person Maskulinum Singular) als vorangestelltes Subjekt, </w:t>
      </w:r>
      <w:r>
        <w:rPr>
          <w:rStyle w:val="Fett"/>
          <w:rFonts w:eastAsiaTheme="majorEastAsia"/>
          <w:rtl/>
        </w:rPr>
        <w:t>תִּהְיֶה</w:t>
      </w:r>
      <w:r>
        <w:rPr>
          <w:rtl/>
        </w:rPr>
        <w:t xml:space="preserve"> </w:t>
      </w:r>
      <w:r>
        <w:t xml:space="preserve">(Qal Imperfekt, 3. Person feminin Singular von </w:t>
      </w:r>
      <w:r>
        <w:rPr>
          <w:rStyle w:val="Fett"/>
          <w:rFonts w:eastAsiaTheme="majorEastAsia"/>
          <w:rtl/>
        </w:rPr>
        <w:t>היה</w:t>
      </w:r>
      <w:r>
        <w:t xml:space="preserve">, „sein, werden"), </w:t>
      </w:r>
      <w:r>
        <w:rPr>
          <w:rStyle w:val="Fett"/>
          <w:rFonts w:eastAsiaTheme="majorEastAsia"/>
          <w:rtl/>
        </w:rPr>
        <w:t>בּוֹ</w:t>
      </w:r>
      <w:r>
        <w:rPr>
          <w:rtl/>
        </w:rPr>
        <w:t xml:space="preserve"> </w:t>
      </w:r>
      <w:r>
        <w:t xml:space="preserve">(Präposition </w:t>
      </w:r>
      <w:r>
        <w:rPr>
          <w:rStyle w:val="Fett"/>
          <w:rFonts w:eastAsiaTheme="majorEastAsia"/>
          <w:rtl/>
        </w:rPr>
        <w:t>בְּ</w:t>
      </w:r>
      <w:r>
        <w:rPr>
          <w:rtl/>
        </w:rPr>
        <w:t xml:space="preserve"> </w:t>
      </w:r>
      <w:r>
        <w:t xml:space="preserve">mit Suffix 3. Person Maskulinum Singular, „an ihm, bei ihm"), </w:t>
      </w:r>
      <w:r>
        <w:rPr>
          <w:rStyle w:val="Fett"/>
          <w:rFonts w:eastAsiaTheme="majorEastAsia"/>
          <w:rtl/>
        </w:rPr>
        <w:t>בָרִאשׁוֹנָה</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רִאשׁוֹן</w:t>
      </w:r>
      <w:r>
        <w:t xml:space="preserve">, „erster", feminin mit </w:t>
      </w:r>
      <w:proofErr w:type="spellStart"/>
      <w:r>
        <w:t>lokativem</w:t>
      </w:r>
      <w:proofErr w:type="spellEnd"/>
      <w:r>
        <w:t xml:space="preserve"> </w:t>
      </w:r>
      <w:r>
        <w:rPr>
          <w:rStyle w:val="Fett"/>
          <w:rFonts w:eastAsiaTheme="majorEastAsia"/>
          <w:rtl/>
        </w:rPr>
        <w:t>ה</w:t>
      </w:r>
      <w:r>
        <w:t xml:space="preserve">, „als erste, zuerst") und </w:t>
      </w:r>
      <w:r>
        <w:rPr>
          <w:rStyle w:val="Fett"/>
          <w:rFonts w:eastAsiaTheme="majorEastAsia"/>
          <w:rtl/>
        </w:rPr>
        <w:t>לַהֲמִיתוֹ</w:t>
      </w:r>
      <w:r>
        <w:rPr>
          <w:rtl/>
        </w:rPr>
        <w:t xml:space="preserve"> </w:t>
      </w:r>
      <w:r>
        <w:t xml:space="preserve">(Präposition </w:t>
      </w:r>
      <w:r>
        <w:rPr>
          <w:rStyle w:val="Fett"/>
          <w:rFonts w:eastAsiaTheme="majorEastAsia"/>
          <w:rtl/>
        </w:rPr>
        <w:t>לְ</w:t>
      </w:r>
      <w:r>
        <w:rPr>
          <w:rtl/>
        </w:rPr>
        <w:t xml:space="preserve"> </w:t>
      </w:r>
      <w:r>
        <w:t xml:space="preserve">mit Hiphil Infinitiv Construct von </w:t>
      </w:r>
      <w:r>
        <w:rPr>
          <w:rStyle w:val="Fett"/>
          <w:rFonts w:eastAsiaTheme="majorEastAsia"/>
          <w:rtl/>
        </w:rPr>
        <w:t>מות</w:t>
      </w:r>
      <w:r>
        <w:t>, „sterben", in der Hiphil-Form „töten", mit Suffix 3. Person Maskulinum Singular als direktes Objekt) als finale Bestimmung.</w:t>
      </w:r>
    </w:p>
    <w:p w14:paraId="5CE57CCD" w14:textId="77777777" w:rsidR="00724090" w:rsidRDefault="00724090" w:rsidP="00724090">
      <w:pPr>
        <w:pStyle w:val="whitespace-normal"/>
      </w:pPr>
      <w:r>
        <w:rPr>
          <w:rStyle w:val="Fett"/>
          <w:rFonts w:eastAsiaTheme="majorEastAsia"/>
          <w:rtl/>
        </w:rPr>
        <w:t>וְיַד כָּל־הָעָם בָּאַחֲרֹנָה</w:t>
      </w:r>
      <w:r>
        <w:rPr>
          <w:rtl/>
        </w:rPr>
        <w:t xml:space="preserve"> </w:t>
      </w:r>
      <w:r>
        <w:t xml:space="preserve">ist der dritte Satz: </w:t>
      </w:r>
      <w:r>
        <w:rPr>
          <w:rStyle w:val="Fett"/>
          <w:rFonts w:eastAsiaTheme="majorEastAsia"/>
          <w:rtl/>
        </w:rPr>
        <w:t>וְיַד כָּל־הָעָם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יָד</w:t>
      </w:r>
      <w:r>
        <w:t xml:space="preserve">, „Hand", Construct mit </w:t>
      </w:r>
      <w:r>
        <w:rPr>
          <w:rStyle w:val="Fett"/>
          <w:rFonts w:eastAsiaTheme="majorEastAsia"/>
          <w:rtl/>
        </w:rPr>
        <w:t>כֹּל</w:t>
      </w:r>
      <w:r>
        <w:t xml:space="preserve">, „ganz, all", im Construct mit </w:t>
      </w:r>
      <w:r>
        <w:rPr>
          <w:rStyle w:val="Fett"/>
          <w:rFonts w:eastAsiaTheme="majorEastAsia"/>
          <w:rtl/>
        </w:rPr>
        <w:t>עַם</w:t>
      </w:r>
      <w:r>
        <w:t xml:space="preserve">, „Volk", mit Artikel, „die Hand des ganzen Volkes") als Subjekt und </w:t>
      </w:r>
      <w:r>
        <w:rPr>
          <w:rStyle w:val="Fett"/>
          <w:rFonts w:eastAsiaTheme="majorEastAsia"/>
          <w:rtl/>
        </w:rPr>
        <w:t>בָּאַחֲרֹנָה</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אַחֲרוֹן</w:t>
      </w:r>
      <w:r>
        <w:t xml:space="preserve">, „letzter", feminin mit </w:t>
      </w:r>
      <w:proofErr w:type="spellStart"/>
      <w:r>
        <w:t>lokativem</w:t>
      </w:r>
      <w:proofErr w:type="spellEnd"/>
      <w:r>
        <w:t xml:space="preserve"> </w:t>
      </w:r>
      <w:r>
        <w:rPr>
          <w:rStyle w:val="Fett"/>
          <w:rFonts w:eastAsiaTheme="majorEastAsia"/>
          <w:rtl/>
        </w:rPr>
        <w:t>ה</w:t>
      </w:r>
      <w:r>
        <w:t>, „als letzte, danach, zuletzt") als temporale Bestimmung. Das Prädikat (</w:t>
      </w:r>
      <w:r>
        <w:rPr>
          <w:rStyle w:val="Fett"/>
          <w:rFonts w:eastAsiaTheme="majorEastAsia"/>
          <w:rtl/>
        </w:rPr>
        <w:t>תִּהְיֶה בּוֹ לַהֲמִיתוֹ</w:t>
      </w:r>
      <w:r>
        <w:t>) ist zu ergänzen.</w:t>
      </w:r>
    </w:p>
    <w:p w14:paraId="6AF1A414" w14:textId="77777777" w:rsidR="00724090" w:rsidRDefault="00724090" w:rsidP="00724090">
      <w:pPr>
        <w:pStyle w:val="whitespace-normal"/>
      </w:pPr>
      <w:r>
        <w:t>Der Vers fordert die Hinrichtung und regelt die Reihenfolge: Der Verwandte oder Freund, der den Verführungsversuch gemeldet hat, muss selbst die Steinigung beginnen. Dies dient mehreren Zwecken: (1) Es testet die Ernsthaftigkeit der Anklage – niemand wird leichtfertig einen geliebten Menschen anzeigen, wenn er selbst die Hinrichtung beginnen muss. (2) Es zeigt die Priorität der Treue zu JHWH über familiäre Bindungen. (3) Es macht die ganze Gemeinschaft zu Zeugen und Teilnehmern an der Hinrichtung.</w:t>
      </w:r>
    </w:p>
    <w:p w14:paraId="53308AC7" w14:textId="5420C25E" w:rsidR="00724090" w:rsidRDefault="00724090" w:rsidP="00724090">
      <w:pPr>
        <w:pStyle w:val="whitespace-normal"/>
      </w:pPr>
      <w:r>
        <w:t xml:space="preserve">Die emphatische Konstruktion </w:t>
      </w:r>
      <w:r>
        <w:rPr>
          <w:rStyle w:val="Fett"/>
          <w:rFonts w:eastAsiaTheme="majorEastAsia"/>
          <w:rtl/>
        </w:rPr>
        <w:t>הָרֹג תַּהַרְגֶנּוּ</w:t>
      </w:r>
      <w:r>
        <w:rPr>
          <w:rtl/>
        </w:rPr>
        <w:t xml:space="preserve"> </w:t>
      </w:r>
      <w:r>
        <w:t xml:space="preserve">unterstreicht die Unnachgiebigkeit. Die Voranstellung von </w:t>
      </w:r>
      <w:r>
        <w:rPr>
          <w:rStyle w:val="Fett"/>
          <w:rFonts w:eastAsiaTheme="majorEastAsia"/>
          <w:rtl/>
        </w:rPr>
        <w:t>יָדְךָ</w:t>
      </w:r>
      <w:r>
        <w:rPr>
          <w:rtl/>
        </w:rPr>
        <w:t xml:space="preserve"> </w:t>
      </w:r>
      <w:r>
        <w:t xml:space="preserve">betont: deine Hand persönlich. Der Kontrast </w:t>
      </w:r>
      <w:r>
        <w:rPr>
          <w:rStyle w:val="Fett"/>
          <w:rFonts w:eastAsiaTheme="majorEastAsia"/>
          <w:rtl/>
        </w:rPr>
        <w:t>בָרִאשׁוֹנָה</w:t>
      </w:r>
      <w:r>
        <w:rPr>
          <w:rtl/>
        </w:rPr>
        <w:t xml:space="preserve"> </w:t>
      </w:r>
      <w:r>
        <w:t xml:space="preserve">(„als erste") und </w:t>
      </w:r>
      <w:r>
        <w:rPr>
          <w:rStyle w:val="Fett"/>
          <w:rFonts w:eastAsiaTheme="majorEastAsia"/>
          <w:rtl/>
        </w:rPr>
        <w:t>בָּאַחֲרֹנָה</w:t>
      </w:r>
      <w:r>
        <w:rPr>
          <w:rtl/>
        </w:rPr>
        <w:t xml:space="preserve"> </w:t>
      </w:r>
      <w:r>
        <w:t xml:space="preserve">(„danach") strukturiert die Hinrichtung. Die Formulierung </w:t>
      </w:r>
      <w:r>
        <w:rPr>
          <w:rStyle w:val="Fett"/>
          <w:rFonts w:eastAsiaTheme="majorEastAsia"/>
          <w:rtl/>
        </w:rPr>
        <w:t>יַד כָּל־הָעָם</w:t>
      </w:r>
      <w:r>
        <w:rPr>
          <w:rtl/>
        </w:rPr>
        <w:t xml:space="preserve"> </w:t>
      </w:r>
      <w:r>
        <w:t>zeigt: Die ganze Gemeinschaft muss sich beteiligen, um zu zeigen, dass sie den Götzendienst ablehnt.</w:t>
      </w:r>
    </w:p>
    <w:p w14:paraId="6FAEAD51" w14:textId="77777777" w:rsidR="00E3356A" w:rsidRPr="00E3356A" w:rsidRDefault="00E3356A" w:rsidP="00E3356A">
      <w:pPr>
        <w:spacing w:before="100" w:beforeAutospacing="1" w:after="100" w:afterAutospacing="1" w:line="240" w:lineRule="auto"/>
        <w:outlineLvl w:val="1"/>
        <w:rPr>
          <w:rFonts w:eastAsia="Times New Roman"/>
          <w:b/>
          <w:bCs/>
          <w:sz w:val="36"/>
          <w:szCs w:val="36"/>
          <w:lang w:eastAsia="de-DE"/>
        </w:rPr>
      </w:pPr>
      <w:r w:rsidRPr="00E3356A">
        <w:rPr>
          <w:rFonts w:eastAsia="Times New Roman"/>
          <w:b/>
          <w:bCs/>
          <w:sz w:val="36"/>
          <w:szCs w:val="36"/>
          <w:lang w:eastAsia="de-DE"/>
        </w:rPr>
        <w:t>Vers 10 (MT 13,10) / Vers 9 (LXX 13,9)</w:t>
      </w:r>
    </w:p>
    <w:p w14:paraId="07CD67F8" w14:textId="03B642F4" w:rsidR="00E3356A" w:rsidRPr="00E3356A" w:rsidRDefault="00E3356A" w:rsidP="00E3356A">
      <w:pPr>
        <w:spacing w:before="100" w:beforeAutospacing="1" w:after="100" w:afterAutospacing="1" w:line="240" w:lineRule="auto"/>
        <w:rPr>
          <w:rFonts w:eastAsia="Times New Roman"/>
          <w:lang w:eastAsia="de-DE"/>
        </w:rPr>
      </w:pPr>
      <w:r w:rsidRPr="00E3356A">
        <w:rPr>
          <w:rFonts w:eastAsia="Times New Roman"/>
          <w:b/>
          <w:bCs/>
          <w:lang w:eastAsia="de-DE"/>
        </w:rPr>
        <w:t>Die LXX</w:t>
      </w:r>
      <w:r w:rsidRPr="00E3356A">
        <w:rPr>
          <w:rFonts w:eastAsia="Times New Roman"/>
          <w:lang w:eastAsia="de-DE"/>
        </w:rPr>
        <w:t xml:space="preserve"> verwendet </w:t>
      </w:r>
      <w:proofErr w:type="spellStart"/>
      <w:r w:rsidRPr="00E3356A">
        <w:rPr>
          <w:rFonts w:eastAsia="Times New Roman"/>
          <w:lang w:eastAsia="de-DE"/>
        </w:rPr>
        <w:t>ἀν</w:t>
      </w:r>
      <w:proofErr w:type="spellEnd"/>
      <w:r w:rsidRPr="00E3356A">
        <w:rPr>
          <w:rFonts w:eastAsia="Times New Roman"/>
          <w:lang w:eastAsia="de-DE"/>
        </w:rPr>
        <w:t xml:space="preserve">αγγέλλων </w:t>
      </w:r>
      <w:proofErr w:type="spellStart"/>
      <w:r w:rsidRPr="00E3356A">
        <w:rPr>
          <w:rFonts w:eastAsia="Times New Roman"/>
          <w:lang w:eastAsia="de-DE"/>
        </w:rPr>
        <w:t>ἀν</w:t>
      </w:r>
      <w:proofErr w:type="spellEnd"/>
      <w:r w:rsidRPr="00E3356A">
        <w:rPr>
          <w:rFonts w:eastAsia="Times New Roman"/>
          <w:lang w:eastAsia="de-DE"/>
        </w:rPr>
        <w:t>αγγελεῖς π</w:t>
      </w:r>
      <w:proofErr w:type="spellStart"/>
      <w:r w:rsidRPr="00E3356A">
        <w:rPr>
          <w:rFonts w:eastAsia="Times New Roman"/>
          <w:lang w:eastAsia="de-DE"/>
        </w:rPr>
        <w:t>ερὶ</w:t>
      </w:r>
      <w:proofErr w:type="spellEnd"/>
      <w:r w:rsidRPr="00E3356A">
        <w:rPr>
          <w:rFonts w:eastAsia="Times New Roman"/>
          <w:lang w:eastAsia="de-DE"/>
        </w:rPr>
        <w:t xml:space="preserve"> α</w:t>
      </w:r>
      <w:proofErr w:type="spellStart"/>
      <w:r w:rsidRPr="00E3356A">
        <w:rPr>
          <w:rFonts w:eastAsia="Times New Roman"/>
          <w:lang w:eastAsia="de-DE"/>
        </w:rPr>
        <w:t>ὐτοῦ</w:t>
      </w:r>
      <w:proofErr w:type="spellEnd"/>
      <w:r w:rsidRPr="00E3356A">
        <w:rPr>
          <w:rFonts w:eastAsia="Times New Roman"/>
          <w:lang w:eastAsia="de-DE"/>
        </w:rPr>
        <w:t xml:space="preserve"> (anklagend wirst du über ihn anklagen) als Interpretation des hebräischen </w:t>
      </w:r>
      <w:r w:rsidRPr="00E3356A">
        <w:rPr>
          <w:rFonts w:eastAsia="Times New Roman"/>
          <w:rtl/>
          <w:lang w:eastAsia="de-DE"/>
        </w:rPr>
        <w:t>כִּי הָרֹג תַּהַרְגֶנּוּ</w:t>
      </w:r>
      <w:r w:rsidRPr="00E3356A">
        <w:rPr>
          <w:rFonts w:eastAsia="Times New Roman"/>
          <w:lang w:eastAsia="de-DE"/>
        </w:rPr>
        <w:t xml:space="preserve"> (denn töten sollst du ihn töten). Dies ist ein signifikanter interpretativer Unterschied: Die LXX scheint einen legalen Prozess zu betonen, während der MT die direkte Exekution vorschreibt. Die Fortsetzung καὶ αἱ </w:t>
      </w:r>
      <w:proofErr w:type="spellStart"/>
      <w:r w:rsidRPr="00E3356A">
        <w:rPr>
          <w:rFonts w:eastAsia="Times New Roman"/>
          <w:lang w:eastAsia="de-DE"/>
        </w:rPr>
        <w:t>χεῖρές</w:t>
      </w:r>
      <w:proofErr w:type="spellEnd"/>
      <w:r w:rsidRPr="00E3356A">
        <w:rPr>
          <w:rFonts w:eastAsia="Times New Roman"/>
          <w:lang w:eastAsia="de-DE"/>
        </w:rPr>
        <w:t xml:space="preserve"> </w:t>
      </w:r>
      <w:proofErr w:type="spellStart"/>
      <w:r w:rsidRPr="00E3356A">
        <w:rPr>
          <w:rFonts w:eastAsia="Times New Roman"/>
          <w:lang w:eastAsia="de-DE"/>
        </w:rPr>
        <w:t>σου</w:t>
      </w:r>
      <w:proofErr w:type="spellEnd"/>
      <w:r w:rsidRPr="00E3356A">
        <w:rPr>
          <w:rFonts w:eastAsia="Times New Roman"/>
          <w:lang w:eastAsia="de-DE"/>
        </w:rPr>
        <w:t xml:space="preserve"> </w:t>
      </w:r>
      <w:proofErr w:type="spellStart"/>
      <w:r w:rsidRPr="00E3356A">
        <w:rPr>
          <w:rFonts w:eastAsia="Times New Roman"/>
          <w:lang w:eastAsia="de-DE"/>
        </w:rPr>
        <w:t>ἔσοντ</w:t>
      </w:r>
      <w:proofErr w:type="spellEnd"/>
      <w:r w:rsidRPr="00E3356A">
        <w:rPr>
          <w:rFonts w:eastAsia="Times New Roman"/>
          <w:lang w:eastAsia="de-DE"/>
        </w:rPr>
        <w:t>αι ἐπʼ α</w:t>
      </w:r>
      <w:proofErr w:type="spellStart"/>
      <w:r w:rsidRPr="00E3356A">
        <w:rPr>
          <w:rFonts w:eastAsia="Times New Roman"/>
          <w:lang w:eastAsia="de-DE"/>
        </w:rPr>
        <w:t>ὐτῷ</w:t>
      </w:r>
      <w:proofErr w:type="spellEnd"/>
      <w:r w:rsidRPr="00E3356A">
        <w:rPr>
          <w:rFonts w:eastAsia="Times New Roman"/>
          <w:lang w:eastAsia="de-DE"/>
        </w:rPr>
        <w:t xml:space="preserve"> </w:t>
      </w:r>
      <w:proofErr w:type="spellStart"/>
      <w:r w:rsidRPr="00E3356A">
        <w:rPr>
          <w:rFonts w:eastAsia="Times New Roman"/>
          <w:lang w:eastAsia="de-DE"/>
        </w:rPr>
        <w:t>ἐν</w:t>
      </w:r>
      <w:proofErr w:type="spellEnd"/>
      <w:r w:rsidRPr="00E3356A">
        <w:rPr>
          <w:rFonts w:eastAsia="Times New Roman"/>
          <w:lang w:eastAsia="de-DE"/>
        </w:rPr>
        <w:t xml:space="preserve"> π</w:t>
      </w:r>
      <w:proofErr w:type="spellStart"/>
      <w:r w:rsidRPr="00E3356A">
        <w:rPr>
          <w:rFonts w:eastAsia="Times New Roman"/>
          <w:lang w:eastAsia="de-DE"/>
        </w:rPr>
        <w:t>ρώτοις</w:t>
      </w:r>
      <w:proofErr w:type="spellEnd"/>
      <w:r w:rsidRPr="00E3356A">
        <w:rPr>
          <w:rFonts w:eastAsia="Times New Roman"/>
          <w:lang w:eastAsia="de-DE"/>
        </w:rPr>
        <w:t xml:space="preserve"> ἀπ</w:t>
      </w:r>
      <w:proofErr w:type="spellStart"/>
      <w:r w:rsidRPr="00E3356A">
        <w:rPr>
          <w:rFonts w:eastAsia="Times New Roman"/>
          <w:lang w:eastAsia="de-DE"/>
        </w:rPr>
        <w:t>οκτεῖν</w:t>
      </w:r>
      <w:proofErr w:type="spellEnd"/>
      <w:r w:rsidRPr="00E3356A">
        <w:rPr>
          <w:rFonts w:eastAsia="Times New Roman"/>
          <w:lang w:eastAsia="de-DE"/>
        </w:rPr>
        <w:t>αι α</w:t>
      </w:r>
      <w:proofErr w:type="spellStart"/>
      <w:r w:rsidRPr="00E3356A">
        <w:rPr>
          <w:rFonts w:eastAsia="Times New Roman"/>
          <w:lang w:eastAsia="de-DE"/>
        </w:rPr>
        <w:t>ὐτόν</w:t>
      </w:r>
      <w:proofErr w:type="spellEnd"/>
      <w:r w:rsidRPr="00E3356A">
        <w:rPr>
          <w:rFonts w:eastAsia="Times New Roman"/>
          <w:lang w:eastAsia="de-DE"/>
        </w:rPr>
        <w:t xml:space="preserve"> (und deine Hände werden auf ihm sein als </w:t>
      </w:r>
      <w:r w:rsidRPr="00E3356A">
        <w:rPr>
          <w:rFonts w:eastAsia="Times New Roman"/>
          <w:lang w:eastAsia="de-DE"/>
        </w:rPr>
        <w:lastRenderedPageBreak/>
        <w:t xml:space="preserve">erste, um ihn zu töten) entspricht </w:t>
      </w:r>
      <w:r w:rsidRPr="00E3356A">
        <w:rPr>
          <w:rFonts w:eastAsia="Times New Roman"/>
          <w:rtl/>
          <w:lang w:eastAsia="de-DE"/>
        </w:rPr>
        <w:t>יָדְךָ תִּהְיֶה־בּוֹ בָרִאשׁוֹנָה לַהֲמִיתוֹ</w:t>
      </w:r>
      <w:r w:rsidRPr="00E3356A">
        <w:rPr>
          <w:rFonts w:eastAsia="Times New Roman"/>
          <w:lang w:eastAsia="de-DE"/>
        </w:rPr>
        <w:t xml:space="preserve">. Die Wendung καὶ αἱ </w:t>
      </w:r>
      <w:proofErr w:type="spellStart"/>
      <w:r w:rsidRPr="00E3356A">
        <w:rPr>
          <w:rFonts w:eastAsia="Times New Roman"/>
          <w:lang w:eastAsia="de-DE"/>
        </w:rPr>
        <w:t>χεῖρες</w:t>
      </w:r>
      <w:proofErr w:type="spellEnd"/>
      <w:r w:rsidRPr="00E3356A">
        <w:rPr>
          <w:rFonts w:eastAsia="Times New Roman"/>
          <w:lang w:eastAsia="de-DE"/>
        </w:rPr>
        <w:t xml:space="preserve"> πα</w:t>
      </w:r>
      <w:proofErr w:type="spellStart"/>
      <w:r w:rsidRPr="00E3356A">
        <w:rPr>
          <w:rFonts w:eastAsia="Times New Roman"/>
          <w:lang w:eastAsia="de-DE"/>
        </w:rPr>
        <w:t>ντὸς</w:t>
      </w:r>
      <w:proofErr w:type="spellEnd"/>
      <w:r w:rsidRPr="00E3356A">
        <w:rPr>
          <w:rFonts w:eastAsia="Times New Roman"/>
          <w:lang w:eastAsia="de-DE"/>
        </w:rPr>
        <w:t xml:space="preserve"> </w:t>
      </w:r>
      <w:proofErr w:type="spellStart"/>
      <w:r w:rsidRPr="00E3356A">
        <w:rPr>
          <w:rFonts w:eastAsia="Times New Roman"/>
          <w:lang w:eastAsia="de-DE"/>
        </w:rPr>
        <w:t>τοῦ</w:t>
      </w:r>
      <w:proofErr w:type="spellEnd"/>
      <w:r w:rsidRPr="00E3356A">
        <w:rPr>
          <w:rFonts w:eastAsia="Times New Roman"/>
          <w:lang w:eastAsia="de-DE"/>
        </w:rPr>
        <w:t xml:space="preserve"> λα</w:t>
      </w:r>
      <w:proofErr w:type="spellStart"/>
      <w:r w:rsidRPr="00E3356A">
        <w:rPr>
          <w:rFonts w:eastAsia="Times New Roman"/>
          <w:lang w:eastAsia="de-DE"/>
        </w:rPr>
        <w:t>οῦ</w:t>
      </w:r>
      <w:proofErr w:type="spellEnd"/>
      <w:r w:rsidRPr="00E3356A">
        <w:rPr>
          <w:rFonts w:eastAsia="Times New Roman"/>
          <w:lang w:eastAsia="de-DE"/>
        </w:rPr>
        <w:t xml:space="preserve"> ἐπʼ </w:t>
      </w:r>
      <w:proofErr w:type="spellStart"/>
      <w:r w:rsidRPr="00E3356A">
        <w:rPr>
          <w:rFonts w:eastAsia="Times New Roman"/>
          <w:lang w:eastAsia="de-DE"/>
        </w:rPr>
        <w:t>ἐσχάτῳ</w:t>
      </w:r>
      <w:proofErr w:type="spellEnd"/>
      <w:r w:rsidRPr="00E3356A">
        <w:rPr>
          <w:rFonts w:eastAsia="Times New Roman"/>
          <w:lang w:eastAsia="de-DE"/>
        </w:rPr>
        <w:t xml:space="preserve"> (und die Hände des ganzen Volkes zuletzt) gibt </w:t>
      </w:r>
      <w:r w:rsidRPr="00E3356A">
        <w:rPr>
          <w:rFonts w:eastAsia="Times New Roman"/>
          <w:rtl/>
          <w:lang w:eastAsia="de-DE"/>
        </w:rPr>
        <w:t>וְיַד כָּל־הָעָם בָּאַחֲרֹנָה</w:t>
      </w:r>
      <w:r w:rsidRPr="00E3356A">
        <w:rPr>
          <w:rFonts w:eastAsia="Times New Roman"/>
          <w:lang w:eastAsia="de-DE"/>
        </w:rPr>
        <w:t xml:space="preserve"> wieder.</w:t>
      </w:r>
    </w:p>
    <w:p w14:paraId="0848C359" w14:textId="77777777" w:rsidR="00724090" w:rsidRDefault="00724090" w:rsidP="00724090">
      <w:pPr>
        <w:pStyle w:val="whitespace-normal"/>
      </w:pPr>
      <w:r>
        <w:rPr>
          <w:rStyle w:val="Fett"/>
          <w:rFonts w:eastAsiaTheme="majorEastAsia"/>
        </w:rPr>
        <w:t>Die Satzstruktur</w:t>
      </w:r>
      <w:r>
        <w:t xml:space="preserve"> besteht aus einer emphatischen Konstruktion und zwei koordinierten Sätzen: Adversative Partikel (sondern), emphatischer Infinitiv Absolut (töten), Prädikat mit integriertem direktem Objekt (sollst du ihn töten); zweiter Satz mit vorangestelltem Subjekt (deine Hand), Prädikat (soll sein), präpositionalem Objekt (an ihm), temporaler Bestimmung (als erste), finaler Bestimmung (um ihn zu töten); dritter Satz mit Subjekt (die Hand des ganzen Volkes), temporaler Bestimmung (danach).</w:t>
      </w:r>
    </w:p>
    <w:p w14:paraId="6A7AD2A5" w14:textId="77777777" w:rsidR="00724090" w:rsidRDefault="00724090" w:rsidP="00724090">
      <w:pPr>
        <w:pStyle w:val="whitespace-normal"/>
      </w:pPr>
      <w:r>
        <w:t>Der Vers fordert kategorisch die Hinrichtung: Der Angehörige oder Freund muss selbst die Steinigung beginnen, dann folgt das ganze Volk – ein drastischer Test der Bundesstreue.</w:t>
      </w:r>
    </w:p>
    <w:p w14:paraId="04EFEF51"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13,11</w:t>
      </w:r>
    </w:p>
    <w:p w14:paraId="03BCB512" w14:textId="77777777" w:rsidR="00724090" w:rsidRDefault="00724090" w:rsidP="00724090">
      <w:pPr>
        <w:pStyle w:val="whitespace-normal"/>
      </w:pPr>
      <w:r>
        <w:rPr>
          <w:rStyle w:val="Fett"/>
          <w:rFonts w:eastAsiaTheme="majorEastAsia"/>
        </w:rPr>
        <w:t>Hebräisch:</w:t>
      </w:r>
      <w:r>
        <w:t xml:space="preserve"> </w:t>
      </w:r>
      <w:r>
        <w:rPr>
          <w:rtl/>
        </w:rPr>
        <w:t>וּסְקַלְתּוֹ֥ בָאֲבָנִ֖ים וָמֵ֑ת כִּ֣י בִקֵּ֗שׁ לְהַדִּֽיחֲךָ֙ מֵעַל֙ יְהוָ֣ה אֱלֹהֶ֔יךָ הַמּוֹצִיאֲךָ֛ מֵאֶ֥רֶץ מִצְרַ֖יִם מִבֵּ֥ית עֲבָדִֽים׃</w:t>
      </w:r>
    </w:p>
    <w:p w14:paraId="797B2151" w14:textId="27432117" w:rsidR="00724090" w:rsidRDefault="00724090" w:rsidP="00724090">
      <w:pPr>
        <w:pStyle w:val="whitespace-normal"/>
      </w:pPr>
      <w:r>
        <w:rPr>
          <w:rStyle w:val="Fett"/>
          <w:rFonts w:eastAsiaTheme="majorEastAsia"/>
        </w:rPr>
        <w:t>Deutsch:</w:t>
      </w:r>
      <w:r>
        <w:t xml:space="preserve"> Und du sollst ihn steinigen, dass er sterbe. Denn er hat gesucht, dich abzubringen von dem Ewigen, deinem Gott, der dich herausgeführt hat aus dem Land Mizrajim, aus dem Haus der Knechtschaft.</w:t>
      </w:r>
    </w:p>
    <w:p w14:paraId="55594167" w14:textId="0DABEA82" w:rsidR="009C316F" w:rsidRDefault="004F5CEB" w:rsidP="00724090">
      <w:pPr>
        <w:pStyle w:val="whitespace-normal"/>
      </w:pPr>
      <w:r>
        <w:rPr>
          <w:noProof/>
        </w:rPr>
        <w:pict w14:anchorId="5C2EE249">
          <v:rect id="_x0000_i1414" style="width:0;height:1.5pt" o:hralign="center" o:hrstd="t" o:hr="t" fillcolor="#a0a0a0" stroked="f"/>
        </w:pict>
      </w:r>
    </w:p>
    <w:p w14:paraId="03BA1FF5"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וּסְקַלְתּוֹ בָאֲבָנִים וָמֵת</w:t>
      </w:r>
      <w:r>
        <w:rPr>
          <w:rtl/>
        </w:rPr>
        <w:t xml:space="preserve"> </w:t>
      </w:r>
      <w:r>
        <w:t xml:space="preserve">ist ein Imperativsatz mit Folge: </w:t>
      </w:r>
      <w:r>
        <w:rPr>
          <w:rStyle w:val="Fett"/>
          <w:rFonts w:eastAsiaTheme="majorEastAsia"/>
          <w:rtl/>
        </w:rPr>
        <w:t>וּסְקַלְתּוֹ</w:t>
      </w:r>
      <w:r>
        <w:rPr>
          <w:rtl/>
        </w:rPr>
        <w:t xml:space="preserve"> </w:t>
      </w:r>
      <w:r>
        <w:t xml:space="preserve">(Qal Perfekt, 2. Person Maskulinum Singular von </w:t>
      </w:r>
      <w:r>
        <w:rPr>
          <w:rStyle w:val="Fett"/>
          <w:rFonts w:eastAsiaTheme="majorEastAsia"/>
          <w:rtl/>
        </w:rPr>
        <w:t>סקל</w:t>
      </w:r>
      <w:r>
        <w:t xml:space="preserve">, „steinigen", mit </w:t>
      </w:r>
      <w:r>
        <w:rPr>
          <w:rStyle w:val="Fett"/>
          <w:rFonts w:eastAsiaTheme="majorEastAsia"/>
        </w:rPr>
        <w:t>Waw</w:t>
      </w:r>
      <w:r>
        <w:t xml:space="preserve">, imperativisch, und Suffix 3. Person Maskulinum Singular als direktes Objekt), </w:t>
      </w:r>
      <w:r>
        <w:rPr>
          <w:rStyle w:val="Fett"/>
          <w:rFonts w:eastAsiaTheme="majorEastAsia"/>
          <w:rtl/>
        </w:rPr>
        <w:t>בָאֲבָנִים</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אֶבֶן</w:t>
      </w:r>
      <w:r>
        <w:t xml:space="preserve">, „Stein", Plural mit Artikel) als instrumentale Bestimmung und </w:t>
      </w:r>
      <w:r>
        <w:rPr>
          <w:rStyle w:val="Fett"/>
          <w:rFonts w:eastAsiaTheme="majorEastAsia"/>
          <w:rtl/>
        </w:rPr>
        <w:t>וָמֵת</w:t>
      </w:r>
      <w:r>
        <w:rPr>
          <w:rtl/>
        </w:rPr>
        <w:t xml:space="preserve"> </w:t>
      </w:r>
      <w:r>
        <w:t xml:space="preserve">(Qal Perfekt, 3. Person Maskulinum Singular von </w:t>
      </w:r>
      <w:r>
        <w:rPr>
          <w:rStyle w:val="Fett"/>
          <w:rFonts w:eastAsiaTheme="majorEastAsia"/>
          <w:rtl/>
        </w:rPr>
        <w:t>מות</w:t>
      </w:r>
      <w:r>
        <w:t xml:space="preserve">, „sterben", mit </w:t>
      </w:r>
      <w:r>
        <w:rPr>
          <w:rStyle w:val="Fett"/>
          <w:rFonts w:eastAsiaTheme="majorEastAsia"/>
        </w:rPr>
        <w:t>Waw</w:t>
      </w:r>
      <w:r>
        <w:t>, consecutives Perfekt) als Folge. Die Konstruktion zeigt: Das Steinigen soll zum Tod führen.</w:t>
      </w:r>
    </w:p>
    <w:p w14:paraId="1668B37A" w14:textId="77777777" w:rsidR="00724090" w:rsidRDefault="00724090" w:rsidP="00724090">
      <w:pPr>
        <w:pStyle w:val="whitespace-normal"/>
      </w:pPr>
      <w:r>
        <w:rPr>
          <w:rStyle w:val="Fett"/>
          <w:rFonts w:eastAsiaTheme="majorEastAsia"/>
          <w:rtl/>
        </w:rPr>
        <w:t>כִּי בִקֵּשׁ לְהַדִּיחֲךָ מֵעַל יְהוָה אֱלֹהֶיךָ הַמּוֹצִיאֲךָ מֵאֶרֶץ מִצְרַיִם מִבֵּית עֲבָדִים</w:t>
      </w:r>
      <w:r>
        <w:rPr>
          <w:rtl/>
        </w:rPr>
        <w:t xml:space="preserve"> </w:t>
      </w:r>
      <w:r>
        <w:t xml:space="preserve">ist die kausale Begründung mit partizipialer Apposition: </w:t>
      </w:r>
      <w:r>
        <w:rPr>
          <w:rStyle w:val="Fett"/>
          <w:rFonts w:eastAsiaTheme="majorEastAsia"/>
          <w:rtl/>
        </w:rPr>
        <w:t>כִּי</w:t>
      </w:r>
      <w:r>
        <w:rPr>
          <w:rtl/>
        </w:rPr>
        <w:t xml:space="preserve"> </w:t>
      </w:r>
      <w:r>
        <w:t xml:space="preserve">(„denn, weil") als kausale Konjunktion, </w:t>
      </w:r>
      <w:r>
        <w:rPr>
          <w:rStyle w:val="Fett"/>
          <w:rFonts w:eastAsiaTheme="majorEastAsia"/>
          <w:rtl/>
        </w:rPr>
        <w:t>בִקֵּשׁ</w:t>
      </w:r>
      <w:r>
        <w:rPr>
          <w:rtl/>
        </w:rPr>
        <w:t xml:space="preserve"> </w:t>
      </w:r>
      <w:r>
        <w:t xml:space="preserve">(Piel Perfekt, 3. Person Maskulinum Singular von </w:t>
      </w:r>
      <w:r>
        <w:rPr>
          <w:rStyle w:val="Fett"/>
          <w:rFonts w:eastAsiaTheme="majorEastAsia"/>
          <w:rtl/>
        </w:rPr>
        <w:t>בקשׁ</w:t>
      </w:r>
      <w:r>
        <w:t xml:space="preserve">, „suchen, trachten nach"), </w:t>
      </w:r>
      <w:r>
        <w:rPr>
          <w:rStyle w:val="Fett"/>
          <w:rFonts w:eastAsiaTheme="majorEastAsia"/>
          <w:rtl/>
        </w:rPr>
        <w:t>לְהַדִּיחֲךָ</w:t>
      </w:r>
      <w:r>
        <w:rPr>
          <w:rtl/>
        </w:rPr>
        <w:t xml:space="preserve"> </w:t>
      </w:r>
      <w:r>
        <w:t xml:space="preserve">(Präposition </w:t>
      </w:r>
      <w:r>
        <w:rPr>
          <w:rStyle w:val="Fett"/>
          <w:rFonts w:eastAsiaTheme="majorEastAsia"/>
          <w:rtl/>
        </w:rPr>
        <w:t>לְ</w:t>
      </w:r>
      <w:r>
        <w:rPr>
          <w:rtl/>
        </w:rPr>
        <w:t xml:space="preserve"> </w:t>
      </w:r>
      <w:r>
        <w:t xml:space="preserve">mit Hiphil Infinitiv Construct von </w:t>
      </w:r>
      <w:r>
        <w:rPr>
          <w:rStyle w:val="Fett"/>
          <w:rFonts w:eastAsiaTheme="majorEastAsia"/>
          <w:rtl/>
        </w:rPr>
        <w:t>נדח</w:t>
      </w:r>
      <w:r>
        <w:t xml:space="preserve">, „verstoßen, wegführen", in der Hiphil-Form „abführen, verführen", mit Suffix 2. Person Maskulinum Singular als direktes Objekt) als finale oder epexegetische Bestimmung, </w:t>
      </w:r>
      <w:r>
        <w:rPr>
          <w:rStyle w:val="Fett"/>
          <w:rFonts w:eastAsiaTheme="majorEastAsia"/>
          <w:rtl/>
        </w:rPr>
        <w:t>מֵעַל יְהוָה אֱלֹהֶיךָ</w:t>
      </w:r>
      <w:r>
        <w:rPr>
          <w:rtl/>
        </w:rPr>
        <w:t xml:space="preserve"> </w:t>
      </w:r>
      <w:r>
        <w:t xml:space="preserve">(Präposition </w:t>
      </w:r>
      <w:r>
        <w:rPr>
          <w:rStyle w:val="Fett"/>
          <w:rFonts w:eastAsiaTheme="majorEastAsia"/>
          <w:rtl/>
        </w:rPr>
        <w:t>מֵעַל</w:t>
      </w:r>
      <w:r>
        <w:t xml:space="preserve">, „von ... weg, von", mit </w:t>
      </w:r>
      <w:r>
        <w:rPr>
          <w:rStyle w:val="Fett"/>
          <w:rFonts w:eastAsiaTheme="majorEastAsia"/>
          <w:rtl/>
        </w:rPr>
        <w:t>יְהוָה אֱלֹהֶיךָ</w:t>
      </w:r>
      <w:r>
        <w:t xml:space="preserve">) als Herkunftsangabe, </w:t>
      </w:r>
      <w:r>
        <w:rPr>
          <w:rStyle w:val="Fett"/>
          <w:rFonts w:eastAsiaTheme="majorEastAsia"/>
          <w:rtl/>
        </w:rPr>
        <w:t>הַמּוֹצִיאֲךָ מֵאֶרֶץ מִצְרַיִם מִבֵּית עֲבָדִים</w:t>
      </w:r>
      <w:r>
        <w:rPr>
          <w:rtl/>
        </w:rPr>
        <w:t xml:space="preserve"> </w:t>
      </w:r>
      <w:r>
        <w:t xml:space="preserve">(Hiphil Partizip Maskulinum Singular von </w:t>
      </w:r>
      <w:r>
        <w:rPr>
          <w:rStyle w:val="Fett"/>
          <w:rFonts w:eastAsiaTheme="majorEastAsia"/>
          <w:rtl/>
        </w:rPr>
        <w:t>יצא</w:t>
      </w:r>
      <w:r>
        <w:t xml:space="preserve">, „hinausgehen", in der Hiphil-Form „hinausführen", mit Artikel, Suffix 2. Person Maskulinum Singular als direktes Objekt, </w:t>
      </w:r>
      <w:r>
        <w:rPr>
          <w:rStyle w:val="Fett"/>
          <w:rFonts w:eastAsiaTheme="majorEastAsia"/>
          <w:rtl/>
        </w:rPr>
        <w:t>מֵאֶרֶץ מִצְרַיִם</w:t>
      </w:r>
      <w:r>
        <w:t xml:space="preserve">, Präposition </w:t>
      </w:r>
      <w:r>
        <w:rPr>
          <w:rStyle w:val="Fett"/>
          <w:rFonts w:eastAsiaTheme="majorEastAsia"/>
          <w:rtl/>
        </w:rPr>
        <w:t>מִן</w:t>
      </w:r>
      <w:r>
        <w:rPr>
          <w:rtl/>
        </w:rPr>
        <w:t xml:space="preserve"> </w:t>
      </w:r>
      <w:r>
        <w:t xml:space="preserve">mit </w:t>
      </w:r>
      <w:r>
        <w:rPr>
          <w:rStyle w:val="Fett"/>
          <w:rFonts w:eastAsiaTheme="majorEastAsia"/>
          <w:rtl/>
        </w:rPr>
        <w:t>אֶרֶץ מִצְרַיִם</w:t>
      </w:r>
      <w:r>
        <w:t xml:space="preserve">, als Herkunftsangabe und </w:t>
      </w:r>
      <w:r>
        <w:rPr>
          <w:rStyle w:val="Fett"/>
          <w:rFonts w:eastAsiaTheme="majorEastAsia"/>
          <w:rtl/>
        </w:rPr>
        <w:t>מִבֵּית עֲבָדִים</w:t>
      </w:r>
      <w:r>
        <w:t xml:space="preserve">, Präposition </w:t>
      </w:r>
      <w:r>
        <w:rPr>
          <w:rStyle w:val="Fett"/>
          <w:rFonts w:eastAsiaTheme="majorEastAsia"/>
          <w:rtl/>
        </w:rPr>
        <w:t>מִן</w:t>
      </w:r>
      <w:r>
        <w:rPr>
          <w:rtl/>
        </w:rPr>
        <w:t xml:space="preserve"> </w:t>
      </w:r>
      <w:r>
        <w:t xml:space="preserve">mit </w:t>
      </w:r>
      <w:r>
        <w:rPr>
          <w:rStyle w:val="Fett"/>
          <w:rFonts w:eastAsiaTheme="majorEastAsia"/>
          <w:rtl/>
        </w:rPr>
        <w:t>בַּיִת עֲבָדִים</w:t>
      </w:r>
      <w:r>
        <w:t>, „Haus der Knechtschaft", als weitere Herkunftsangabe) als partizipiale Apposition.</w:t>
      </w:r>
    </w:p>
    <w:p w14:paraId="49BA0F02" w14:textId="77777777" w:rsidR="00724090" w:rsidRDefault="00724090" w:rsidP="00724090">
      <w:pPr>
        <w:pStyle w:val="whitespace-normal"/>
      </w:pPr>
      <w:r>
        <w:t xml:space="preserve">Der Vers spezifiziert die Hinrichtungsmethode (Steinigung) und begründet sie durch den Exodus. Die Steinigung ist die typische biblische Hinrichtungsmethode für religiöse Vergehen. Die Begründung </w:t>
      </w:r>
      <w:r>
        <w:rPr>
          <w:rStyle w:val="Fett"/>
          <w:rFonts w:eastAsiaTheme="majorEastAsia"/>
          <w:rtl/>
        </w:rPr>
        <w:t>כִּי בִקֵּשׁ לְהַדִּיחֲךָ מֵעַל יְהוָה אֱלֹהֶיךָ</w:t>
      </w:r>
      <w:r>
        <w:rPr>
          <w:rtl/>
        </w:rPr>
        <w:t xml:space="preserve"> </w:t>
      </w:r>
      <w:r>
        <w:t xml:space="preserve">zeigt: Die Verführung ist Versuch der Trennung von JHWH. Die partizipiale Beschreibung JHWHs als </w:t>
      </w:r>
      <w:r>
        <w:rPr>
          <w:rStyle w:val="Fett"/>
          <w:rFonts w:eastAsiaTheme="majorEastAsia"/>
          <w:rtl/>
        </w:rPr>
        <w:t xml:space="preserve">הַמּוֹצִיאֲךָ מֵאֶרֶץ מִצְרַיִם </w:t>
      </w:r>
      <w:r>
        <w:rPr>
          <w:rStyle w:val="Fett"/>
          <w:rFonts w:eastAsiaTheme="majorEastAsia"/>
          <w:rtl/>
        </w:rPr>
        <w:lastRenderedPageBreak/>
        <w:t>מִבֵּית עֲבָדִים</w:t>
      </w:r>
      <w:r>
        <w:rPr>
          <w:rtl/>
        </w:rPr>
        <w:t xml:space="preserve"> </w:t>
      </w:r>
      <w:r>
        <w:t>wiederholt V. 6 und erinnert an die Bundesgrundlage: JHWH hat Israel aus der Knechtschaft befreit, deshalb ist Verführung zu anderen Göttern Verrat am Erlöser.</w:t>
      </w:r>
    </w:p>
    <w:p w14:paraId="01DEA8B5" w14:textId="02332C83" w:rsidR="00724090" w:rsidRDefault="00724090" w:rsidP="00724090">
      <w:pPr>
        <w:pStyle w:val="whitespace-normal"/>
      </w:pPr>
      <w:r>
        <w:t xml:space="preserve">Die doppelte Herkunftsangabe </w:t>
      </w:r>
      <w:r>
        <w:rPr>
          <w:rStyle w:val="Fett"/>
          <w:rFonts w:eastAsiaTheme="majorEastAsia"/>
          <w:rtl/>
        </w:rPr>
        <w:t>מֵאֶרֶץ מִצְרַיִם מִבֵּית עֲבָדִים</w:t>
      </w:r>
      <w:r>
        <w:rPr>
          <w:rtl/>
        </w:rPr>
        <w:t xml:space="preserve"> </w:t>
      </w:r>
      <w:r>
        <w:t xml:space="preserve">(„aus dem Land Ägypten, aus dem Haus der Knechtschaft") ist eine feste Formel, die den Exodus als Befreiung aus Sklaverei charakterisiert. Die Formulierung </w:t>
      </w:r>
      <w:r>
        <w:rPr>
          <w:rStyle w:val="Fett"/>
          <w:rFonts w:eastAsiaTheme="majorEastAsia"/>
          <w:rtl/>
        </w:rPr>
        <w:t>לְהַדִּיחֲךָ מֵעַל יְהוָה</w:t>
      </w:r>
      <w:r>
        <w:rPr>
          <w:rtl/>
        </w:rPr>
        <w:t xml:space="preserve"> </w:t>
      </w:r>
      <w:r>
        <w:t>(„dich abzubringen von JHWH") zeigt: Götzendienst ist nicht nur falsche Verehrung, sondern Trennung vom Bundesgott.</w:t>
      </w:r>
    </w:p>
    <w:p w14:paraId="630AC37C" w14:textId="77777777" w:rsidR="00E3356A" w:rsidRPr="00E3356A" w:rsidRDefault="00E3356A" w:rsidP="00E3356A">
      <w:pPr>
        <w:spacing w:before="100" w:beforeAutospacing="1" w:after="100" w:afterAutospacing="1" w:line="240" w:lineRule="auto"/>
        <w:outlineLvl w:val="1"/>
        <w:rPr>
          <w:rFonts w:eastAsia="Times New Roman"/>
          <w:b/>
          <w:bCs/>
          <w:sz w:val="36"/>
          <w:szCs w:val="36"/>
          <w:lang w:eastAsia="de-DE"/>
        </w:rPr>
      </w:pPr>
      <w:r w:rsidRPr="00E3356A">
        <w:rPr>
          <w:rFonts w:eastAsia="Times New Roman"/>
          <w:b/>
          <w:bCs/>
          <w:sz w:val="36"/>
          <w:szCs w:val="36"/>
          <w:lang w:eastAsia="de-DE"/>
        </w:rPr>
        <w:t>Vers 11 (MT 13,11) / Vers 10 (LXX 13,10)</w:t>
      </w:r>
    </w:p>
    <w:p w14:paraId="003F54F7" w14:textId="7D936F7B" w:rsidR="00E3356A" w:rsidRPr="00E3356A" w:rsidRDefault="00E3356A" w:rsidP="00E3356A">
      <w:pPr>
        <w:spacing w:before="100" w:beforeAutospacing="1" w:after="100" w:afterAutospacing="1" w:line="240" w:lineRule="auto"/>
        <w:rPr>
          <w:rFonts w:eastAsia="Times New Roman"/>
          <w:lang w:eastAsia="de-DE"/>
        </w:rPr>
      </w:pPr>
      <w:r w:rsidRPr="00E3356A">
        <w:rPr>
          <w:rFonts w:eastAsia="Times New Roman"/>
          <w:b/>
          <w:bCs/>
          <w:lang w:eastAsia="de-DE"/>
        </w:rPr>
        <w:t>Die LXX</w:t>
      </w:r>
      <w:r w:rsidRPr="00E3356A">
        <w:rPr>
          <w:rFonts w:eastAsia="Times New Roman"/>
          <w:lang w:eastAsia="de-DE"/>
        </w:rPr>
        <w:t xml:space="preserve"> formuliert καὶ </w:t>
      </w:r>
      <w:proofErr w:type="spellStart"/>
      <w:r w:rsidRPr="00E3356A">
        <w:rPr>
          <w:rFonts w:eastAsia="Times New Roman"/>
          <w:lang w:eastAsia="de-DE"/>
        </w:rPr>
        <w:t>λιθο</w:t>
      </w:r>
      <w:proofErr w:type="spellEnd"/>
      <w:r w:rsidRPr="00E3356A">
        <w:rPr>
          <w:rFonts w:eastAsia="Times New Roman"/>
          <w:lang w:eastAsia="de-DE"/>
        </w:rPr>
        <w:t>βολήσουσιν α</w:t>
      </w:r>
      <w:proofErr w:type="spellStart"/>
      <w:r w:rsidRPr="00E3356A">
        <w:rPr>
          <w:rFonts w:eastAsia="Times New Roman"/>
          <w:lang w:eastAsia="de-DE"/>
        </w:rPr>
        <w:t>ὐτὸν</w:t>
      </w:r>
      <w:proofErr w:type="spellEnd"/>
      <w:r w:rsidRPr="00E3356A">
        <w:rPr>
          <w:rFonts w:eastAsia="Times New Roman"/>
          <w:lang w:eastAsia="de-DE"/>
        </w:rPr>
        <w:t xml:space="preserve"> </w:t>
      </w:r>
      <w:proofErr w:type="spellStart"/>
      <w:r w:rsidRPr="00E3356A">
        <w:rPr>
          <w:rFonts w:eastAsia="Times New Roman"/>
          <w:lang w:eastAsia="de-DE"/>
        </w:rPr>
        <w:t>ἐν</w:t>
      </w:r>
      <w:proofErr w:type="spellEnd"/>
      <w:r w:rsidRPr="00E3356A">
        <w:rPr>
          <w:rFonts w:eastAsia="Times New Roman"/>
          <w:lang w:eastAsia="de-DE"/>
        </w:rPr>
        <w:t xml:space="preserve"> </w:t>
      </w:r>
      <w:proofErr w:type="spellStart"/>
      <w:r w:rsidRPr="00E3356A">
        <w:rPr>
          <w:rFonts w:eastAsia="Times New Roman"/>
          <w:lang w:eastAsia="de-DE"/>
        </w:rPr>
        <w:t>λίθοις</w:t>
      </w:r>
      <w:proofErr w:type="spellEnd"/>
      <w:r w:rsidRPr="00E3356A">
        <w:rPr>
          <w:rFonts w:eastAsia="Times New Roman"/>
          <w:lang w:eastAsia="de-DE"/>
        </w:rPr>
        <w:t xml:space="preserve"> (und sie werden ihn mit Steinen steinigen) für </w:t>
      </w:r>
      <w:r w:rsidRPr="00E3356A">
        <w:rPr>
          <w:rFonts w:eastAsia="Times New Roman"/>
          <w:rtl/>
          <w:lang w:eastAsia="de-DE"/>
        </w:rPr>
        <w:t>וּסְקַלְתּוֹ בָאֲבָנִים</w:t>
      </w:r>
      <w:r w:rsidRPr="00E3356A">
        <w:rPr>
          <w:rFonts w:eastAsia="Times New Roman"/>
          <w:lang w:eastAsia="de-DE"/>
        </w:rPr>
        <w:t xml:space="preserve">, wobei der Plural </w:t>
      </w:r>
      <w:proofErr w:type="spellStart"/>
      <w:r w:rsidRPr="00E3356A">
        <w:rPr>
          <w:rFonts w:eastAsia="Times New Roman"/>
          <w:lang w:eastAsia="de-DE"/>
        </w:rPr>
        <w:t>λιθο</w:t>
      </w:r>
      <w:proofErr w:type="spellEnd"/>
      <w:r w:rsidRPr="00E3356A">
        <w:rPr>
          <w:rFonts w:eastAsia="Times New Roman"/>
          <w:lang w:eastAsia="de-DE"/>
        </w:rPr>
        <w:t>βολήσουσιν die gemeinschaftliche Ausführung betont, während das Hebräische die 2. Person Singular verwendet. Das Verb καὶ ἀπ</w:t>
      </w:r>
      <w:proofErr w:type="spellStart"/>
      <w:r w:rsidRPr="00E3356A">
        <w:rPr>
          <w:rFonts w:eastAsia="Times New Roman"/>
          <w:lang w:eastAsia="de-DE"/>
        </w:rPr>
        <w:t>οθ</w:t>
      </w:r>
      <w:proofErr w:type="spellEnd"/>
      <w:r w:rsidRPr="00E3356A">
        <w:rPr>
          <w:rFonts w:eastAsia="Times New Roman"/>
          <w:lang w:eastAsia="de-DE"/>
        </w:rPr>
        <w:t xml:space="preserve">ανεῖται (und er wird sterben) entspricht </w:t>
      </w:r>
      <w:r w:rsidRPr="00E3356A">
        <w:rPr>
          <w:rFonts w:eastAsia="Times New Roman"/>
          <w:rtl/>
          <w:lang w:eastAsia="de-DE"/>
        </w:rPr>
        <w:t>וָמֵת</w:t>
      </w:r>
      <w:r w:rsidRPr="00E3356A">
        <w:rPr>
          <w:rFonts w:eastAsia="Times New Roman"/>
          <w:lang w:eastAsia="de-DE"/>
        </w:rPr>
        <w:t xml:space="preserve">. Die Begründung </w:t>
      </w:r>
      <w:proofErr w:type="spellStart"/>
      <w:r w:rsidRPr="00E3356A">
        <w:rPr>
          <w:rFonts w:eastAsia="Times New Roman"/>
          <w:lang w:eastAsia="de-DE"/>
        </w:rPr>
        <w:t>ὅτι</w:t>
      </w:r>
      <w:proofErr w:type="spellEnd"/>
      <w:r w:rsidRPr="00E3356A">
        <w:rPr>
          <w:rFonts w:eastAsia="Times New Roman"/>
          <w:lang w:eastAsia="de-DE"/>
        </w:rPr>
        <w:t xml:space="preserve"> </w:t>
      </w:r>
      <w:proofErr w:type="spellStart"/>
      <w:r w:rsidRPr="00E3356A">
        <w:rPr>
          <w:rFonts w:eastAsia="Times New Roman"/>
          <w:lang w:eastAsia="de-DE"/>
        </w:rPr>
        <w:t>ἐζήτησεν</w:t>
      </w:r>
      <w:proofErr w:type="spellEnd"/>
      <w:r w:rsidRPr="00E3356A">
        <w:rPr>
          <w:rFonts w:eastAsia="Times New Roman"/>
          <w:lang w:eastAsia="de-DE"/>
        </w:rPr>
        <w:t xml:space="preserve"> ἀπ</w:t>
      </w:r>
      <w:proofErr w:type="spellStart"/>
      <w:r w:rsidRPr="00E3356A">
        <w:rPr>
          <w:rFonts w:eastAsia="Times New Roman"/>
          <w:lang w:eastAsia="de-DE"/>
        </w:rPr>
        <w:t>οστῆσ</w:t>
      </w:r>
      <w:proofErr w:type="spellEnd"/>
      <w:r w:rsidRPr="00E3356A">
        <w:rPr>
          <w:rFonts w:eastAsia="Times New Roman"/>
          <w:lang w:eastAsia="de-DE"/>
        </w:rPr>
        <w:t xml:space="preserve">αί </w:t>
      </w:r>
      <w:proofErr w:type="spellStart"/>
      <w:r w:rsidRPr="00E3356A">
        <w:rPr>
          <w:rFonts w:eastAsia="Times New Roman"/>
          <w:lang w:eastAsia="de-DE"/>
        </w:rPr>
        <w:t>σε</w:t>
      </w:r>
      <w:proofErr w:type="spellEnd"/>
      <w:r w:rsidRPr="00E3356A">
        <w:rPr>
          <w:rFonts w:eastAsia="Times New Roman"/>
          <w:lang w:eastAsia="de-DE"/>
        </w:rPr>
        <w:t xml:space="preserve"> (denn er suchte dich abzubringen) für </w:t>
      </w:r>
      <w:r w:rsidRPr="00E3356A">
        <w:rPr>
          <w:rFonts w:eastAsia="Times New Roman"/>
          <w:rtl/>
          <w:lang w:eastAsia="de-DE"/>
        </w:rPr>
        <w:t>כִּי בִקֵּשׁ לְהַדִּיחֲךָ</w:t>
      </w:r>
      <w:r w:rsidRPr="00E3356A">
        <w:rPr>
          <w:rFonts w:eastAsia="Times New Roman"/>
          <w:lang w:eastAsia="de-DE"/>
        </w:rPr>
        <w:t xml:space="preserve"> ist präzise. Die Gottesbezeichnung </w:t>
      </w:r>
      <w:proofErr w:type="spellStart"/>
      <w:r w:rsidRPr="00E3356A">
        <w:rPr>
          <w:rFonts w:eastAsia="Times New Roman"/>
          <w:lang w:eastAsia="de-DE"/>
        </w:rPr>
        <w:t>κυρίου</w:t>
      </w:r>
      <w:proofErr w:type="spellEnd"/>
      <w:r w:rsidRPr="00E3356A">
        <w:rPr>
          <w:rFonts w:eastAsia="Times New Roman"/>
          <w:lang w:eastAsia="de-DE"/>
        </w:rPr>
        <w:t xml:space="preserve"> </w:t>
      </w:r>
      <w:proofErr w:type="spellStart"/>
      <w:r w:rsidRPr="00E3356A">
        <w:rPr>
          <w:rFonts w:eastAsia="Times New Roman"/>
          <w:lang w:eastAsia="de-DE"/>
        </w:rPr>
        <w:t>τοῦ</w:t>
      </w:r>
      <w:proofErr w:type="spellEnd"/>
      <w:r w:rsidRPr="00E3356A">
        <w:rPr>
          <w:rFonts w:eastAsia="Times New Roman"/>
          <w:lang w:eastAsia="de-DE"/>
        </w:rPr>
        <w:t xml:space="preserve"> </w:t>
      </w:r>
      <w:proofErr w:type="spellStart"/>
      <w:r w:rsidRPr="00E3356A">
        <w:rPr>
          <w:rFonts w:eastAsia="Times New Roman"/>
          <w:lang w:eastAsia="de-DE"/>
        </w:rPr>
        <w:t>θεοῦ</w:t>
      </w:r>
      <w:proofErr w:type="spellEnd"/>
      <w:r w:rsidRPr="00E3356A">
        <w:rPr>
          <w:rFonts w:eastAsia="Times New Roman"/>
          <w:lang w:eastAsia="de-DE"/>
        </w:rPr>
        <w:t xml:space="preserve"> </w:t>
      </w:r>
      <w:proofErr w:type="spellStart"/>
      <w:r w:rsidRPr="00E3356A">
        <w:rPr>
          <w:rFonts w:eastAsia="Times New Roman"/>
          <w:lang w:eastAsia="de-DE"/>
        </w:rPr>
        <w:t>σου</w:t>
      </w:r>
      <w:proofErr w:type="spellEnd"/>
      <w:r w:rsidRPr="00E3356A">
        <w:rPr>
          <w:rFonts w:eastAsia="Times New Roman"/>
          <w:lang w:eastAsia="de-DE"/>
        </w:rPr>
        <w:t xml:space="preserve"> (des Herrn, deines Gottes) mit Partizip </w:t>
      </w:r>
      <w:proofErr w:type="spellStart"/>
      <w:r w:rsidRPr="00E3356A">
        <w:rPr>
          <w:rFonts w:eastAsia="Times New Roman"/>
          <w:lang w:eastAsia="de-DE"/>
        </w:rPr>
        <w:t>τοῦ</w:t>
      </w:r>
      <w:proofErr w:type="spellEnd"/>
      <w:r w:rsidRPr="00E3356A">
        <w:rPr>
          <w:rFonts w:eastAsia="Times New Roman"/>
          <w:lang w:eastAsia="de-DE"/>
        </w:rPr>
        <w:t xml:space="preserve"> </w:t>
      </w:r>
      <w:proofErr w:type="spellStart"/>
      <w:r w:rsidRPr="00E3356A">
        <w:rPr>
          <w:rFonts w:eastAsia="Times New Roman"/>
          <w:lang w:eastAsia="de-DE"/>
        </w:rPr>
        <w:t>ἐξ</w:t>
      </w:r>
      <w:proofErr w:type="spellEnd"/>
      <w:r w:rsidRPr="00E3356A">
        <w:rPr>
          <w:rFonts w:eastAsia="Times New Roman"/>
          <w:lang w:eastAsia="de-DE"/>
        </w:rPr>
        <w:t xml:space="preserve">αγαγόντος (der herausgeführt hat) entspricht </w:t>
      </w:r>
      <w:r w:rsidRPr="00E3356A">
        <w:rPr>
          <w:rFonts w:eastAsia="Times New Roman"/>
          <w:rtl/>
          <w:lang w:eastAsia="de-DE"/>
        </w:rPr>
        <w:t>יְהוָה אֱלֹהֶיךָ הַמּוֹצִיאֲךָ</w:t>
      </w:r>
      <w:r w:rsidRPr="00E3356A">
        <w:rPr>
          <w:rFonts w:eastAsia="Times New Roman"/>
          <w:lang w:eastAsia="de-DE"/>
        </w:rPr>
        <w:t xml:space="preserve">. Die Wendung </w:t>
      </w:r>
      <w:proofErr w:type="spellStart"/>
      <w:r w:rsidRPr="00E3356A">
        <w:rPr>
          <w:rFonts w:eastAsia="Times New Roman"/>
          <w:lang w:eastAsia="de-DE"/>
        </w:rPr>
        <w:t>ἐξ</w:t>
      </w:r>
      <w:proofErr w:type="spellEnd"/>
      <w:r w:rsidRPr="00E3356A">
        <w:rPr>
          <w:rFonts w:eastAsia="Times New Roman"/>
          <w:lang w:eastAsia="de-DE"/>
        </w:rPr>
        <w:t xml:space="preserve"> </w:t>
      </w:r>
      <w:proofErr w:type="spellStart"/>
      <w:r w:rsidRPr="00E3356A">
        <w:rPr>
          <w:rFonts w:eastAsia="Times New Roman"/>
          <w:lang w:eastAsia="de-DE"/>
        </w:rPr>
        <w:t>οἴκου</w:t>
      </w:r>
      <w:proofErr w:type="spellEnd"/>
      <w:r w:rsidRPr="00E3356A">
        <w:rPr>
          <w:rFonts w:eastAsia="Times New Roman"/>
          <w:lang w:eastAsia="de-DE"/>
        </w:rPr>
        <w:t xml:space="preserve"> </w:t>
      </w:r>
      <w:proofErr w:type="spellStart"/>
      <w:r w:rsidRPr="00E3356A">
        <w:rPr>
          <w:rFonts w:eastAsia="Times New Roman"/>
          <w:lang w:eastAsia="de-DE"/>
        </w:rPr>
        <w:t>δουλεί</w:t>
      </w:r>
      <w:proofErr w:type="spellEnd"/>
      <w:r w:rsidRPr="00E3356A">
        <w:rPr>
          <w:rFonts w:eastAsia="Times New Roman"/>
          <w:lang w:eastAsia="de-DE"/>
        </w:rPr>
        <w:t xml:space="preserve">ας (aus dem Haus der Sklaverei) gibt </w:t>
      </w:r>
      <w:r w:rsidRPr="00E3356A">
        <w:rPr>
          <w:rFonts w:eastAsia="Times New Roman"/>
          <w:rtl/>
          <w:lang w:eastAsia="de-DE"/>
        </w:rPr>
        <w:t>מִבֵּית עֲבָדִים</w:t>
      </w:r>
      <w:r w:rsidRPr="00E3356A">
        <w:rPr>
          <w:rFonts w:eastAsia="Times New Roman"/>
          <w:lang w:eastAsia="de-DE"/>
        </w:rPr>
        <w:t xml:space="preserve"> präzise wieder.</w:t>
      </w:r>
    </w:p>
    <w:p w14:paraId="55FAC739" w14:textId="77777777" w:rsidR="00724090" w:rsidRDefault="00724090" w:rsidP="00724090">
      <w:pPr>
        <w:pStyle w:val="whitespace-normal"/>
      </w:pPr>
      <w:r>
        <w:rPr>
          <w:rStyle w:val="Fett"/>
          <w:rFonts w:eastAsiaTheme="majorEastAsia"/>
        </w:rPr>
        <w:t>Die Satzstruktur</w:t>
      </w:r>
      <w:r>
        <w:t xml:space="preserve"> besteht aus einem Imperativsatz mit Folge und kausaler Begründung mit partizipialer Apposition: Prädikat mit integriertem direktem Objekt (sollst ihn steinigen), instrumentale Bestimmung (mit Steinen), Folge (dass er sterbe); kausale Begründung mit Prädikat (denn er hat gesucht), finale Bestimmung (dich abzubringen), Herkunftsangabe (von JHWH, deinem Gott), partizipiale Apposition (der dich herausgeführt hat aus dem Land Ägypten, aus dem Haus der Knechtschaft).</w:t>
      </w:r>
    </w:p>
    <w:p w14:paraId="10B9BAA4" w14:textId="77777777" w:rsidR="00724090" w:rsidRDefault="00724090" w:rsidP="00724090">
      <w:pPr>
        <w:pStyle w:val="whitespace-normal"/>
      </w:pPr>
      <w:r>
        <w:t>Der Vers fordert die Steinigung bis zum Tod und begründet sie: Der Verführer hat versucht, Israel von JHWH, dem Erlöser aus Ägypten, abzubringen – ein tödliches Vergehen.</w:t>
      </w:r>
    </w:p>
    <w:p w14:paraId="4039E365"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13,12</w:t>
      </w:r>
    </w:p>
    <w:p w14:paraId="07D56DEA" w14:textId="77777777" w:rsidR="00724090" w:rsidRDefault="00724090" w:rsidP="00724090">
      <w:pPr>
        <w:pStyle w:val="whitespace-normal"/>
      </w:pPr>
      <w:r>
        <w:rPr>
          <w:rStyle w:val="Fett"/>
          <w:rFonts w:eastAsiaTheme="majorEastAsia"/>
        </w:rPr>
        <w:t>Hebräisch:</w:t>
      </w:r>
      <w:r>
        <w:t xml:space="preserve"> </w:t>
      </w:r>
      <w:r>
        <w:rPr>
          <w:rtl/>
        </w:rPr>
        <w:t>וְכָל־יִשְׂרָאֵ֔ל יִשְׁמְע֖וּ וְיִֽרָא֑וּן וְלֹֽא־יוֹסִ֣פוּ לַעֲשׂ֗וֹת כַּדָּבָ֥ר הָרָ֛ע הַזֶּ֖ה בְּקִרְבֶּֽךָ׃</w:t>
      </w:r>
    </w:p>
    <w:p w14:paraId="21E663C8" w14:textId="1750247E" w:rsidR="00724090" w:rsidRDefault="00724090" w:rsidP="00724090">
      <w:pPr>
        <w:pStyle w:val="whitespace-normal"/>
      </w:pPr>
      <w:r>
        <w:rPr>
          <w:rStyle w:val="Fett"/>
          <w:rFonts w:eastAsiaTheme="majorEastAsia"/>
        </w:rPr>
        <w:t>Deutsch:</w:t>
      </w:r>
      <w:r>
        <w:t xml:space="preserve"> Und ganz Jisra'el soll es hören und sich fürchten, damit sie nicht mehr eine solche Bosheit in deiner Mitte begehen.</w:t>
      </w:r>
    </w:p>
    <w:p w14:paraId="7894B024" w14:textId="6B8FBE36" w:rsidR="009C316F" w:rsidRDefault="004F5CEB" w:rsidP="00724090">
      <w:pPr>
        <w:pStyle w:val="whitespace-normal"/>
      </w:pPr>
      <w:r>
        <w:rPr>
          <w:noProof/>
        </w:rPr>
        <w:pict w14:anchorId="7B364205">
          <v:rect id="_x0000_i1415" style="width:0;height:1.5pt" o:hralign="center" o:hrstd="t" o:hr="t" fillcolor="#a0a0a0" stroked="f"/>
        </w:pict>
      </w:r>
    </w:p>
    <w:p w14:paraId="1E8EA4DC"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וְכָל־יִשְׂרָאֵל יִשְׁמְעוּ וְיִרָאוּן</w:t>
      </w:r>
      <w:r>
        <w:rPr>
          <w:rtl/>
        </w:rPr>
        <w:t xml:space="preserve"> </w:t>
      </w:r>
      <w:r>
        <w:t xml:space="preserve">sind zwei koordinierte Sätze: </w:t>
      </w:r>
      <w:r>
        <w:rPr>
          <w:rStyle w:val="Fett"/>
          <w:rFonts w:eastAsiaTheme="majorEastAsia"/>
          <w:rtl/>
        </w:rPr>
        <w:t>וְכָל־יִשְׂרָאֵל</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כֹּל</w:t>
      </w:r>
      <w:r>
        <w:t xml:space="preserve">, „ganz, all", im Construct mit </w:t>
      </w:r>
      <w:r>
        <w:rPr>
          <w:rStyle w:val="Fett"/>
          <w:rFonts w:eastAsiaTheme="majorEastAsia"/>
          <w:rtl/>
        </w:rPr>
        <w:t>יִשְׂרָאֵל</w:t>
      </w:r>
      <w:r>
        <w:t xml:space="preserve">) als Subjekt, </w:t>
      </w:r>
      <w:r>
        <w:rPr>
          <w:rStyle w:val="Fett"/>
          <w:rFonts w:eastAsiaTheme="majorEastAsia"/>
          <w:rtl/>
        </w:rPr>
        <w:t>יִשְׁמְעוּ</w:t>
      </w:r>
      <w:r>
        <w:rPr>
          <w:rtl/>
        </w:rPr>
        <w:t xml:space="preserve"> </w:t>
      </w:r>
      <w:r>
        <w:t xml:space="preserve">(Qal Imperfekt, 3. Person Maskulinum Plural von </w:t>
      </w:r>
      <w:r>
        <w:rPr>
          <w:rStyle w:val="Fett"/>
          <w:rFonts w:eastAsiaTheme="majorEastAsia"/>
          <w:rtl/>
        </w:rPr>
        <w:t>שׁמע</w:t>
      </w:r>
      <w:r>
        <w:t xml:space="preserve">, „hören"), koordiniert durch </w:t>
      </w:r>
      <w:r>
        <w:rPr>
          <w:rStyle w:val="Fett"/>
          <w:rFonts w:eastAsiaTheme="majorEastAsia"/>
          <w:rtl/>
        </w:rPr>
        <w:t>וְ</w:t>
      </w:r>
      <w:r>
        <w:rPr>
          <w:rtl/>
        </w:rPr>
        <w:t xml:space="preserve"> </w:t>
      </w:r>
      <w:r>
        <w:t xml:space="preserve">mit </w:t>
      </w:r>
      <w:r>
        <w:rPr>
          <w:rStyle w:val="Fett"/>
          <w:rFonts w:eastAsiaTheme="majorEastAsia"/>
          <w:rtl/>
        </w:rPr>
        <w:t>יִרָאוּן</w:t>
      </w:r>
      <w:r>
        <w:rPr>
          <w:rtl/>
        </w:rPr>
        <w:t xml:space="preserve"> </w:t>
      </w:r>
      <w:r>
        <w:t xml:space="preserve">(Qal Imperfekt, 3. Person Maskulinum Plural von </w:t>
      </w:r>
      <w:r>
        <w:rPr>
          <w:rStyle w:val="Fett"/>
          <w:rFonts w:eastAsiaTheme="majorEastAsia"/>
          <w:rtl/>
        </w:rPr>
        <w:t>ירא</w:t>
      </w:r>
      <w:r>
        <w:t>, „fürchten", mit Paragogischem Nun). Das Hören bezieht sich auf die Nachricht von der Hinrichtung.</w:t>
      </w:r>
    </w:p>
    <w:p w14:paraId="61573E0C" w14:textId="77777777" w:rsidR="00724090" w:rsidRDefault="00724090" w:rsidP="00724090">
      <w:pPr>
        <w:pStyle w:val="whitespace-normal"/>
      </w:pPr>
      <w:r>
        <w:rPr>
          <w:rStyle w:val="Fett"/>
          <w:rFonts w:eastAsiaTheme="majorEastAsia"/>
          <w:rtl/>
        </w:rPr>
        <w:t>וְלֹא־יוֹסִפוּ לַעֲשׂוֹת כַּדָּבָר הָרָע הַזֶּה בְּקִרְבֶּךָ</w:t>
      </w:r>
      <w:r>
        <w:rPr>
          <w:rtl/>
        </w:rPr>
        <w:t xml:space="preserve"> </w:t>
      </w:r>
      <w:r>
        <w:t xml:space="preserve">ist ein finaler oder konsekutiver Satz: </w:t>
      </w:r>
      <w:r>
        <w:rPr>
          <w:rStyle w:val="Fett"/>
          <w:rFonts w:eastAsiaTheme="majorEastAsia"/>
          <w:rtl/>
        </w:rPr>
        <w:t>וְלֹא־יוֹסִפוּ</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לֹא</w:t>
      </w:r>
      <w:r>
        <w:rPr>
          <w:rtl/>
        </w:rPr>
        <w:t xml:space="preserve"> </w:t>
      </w:r>
      <w:r>
        <w:t xml:space="preserve">und </w:t>
      </w:r>
      <w:r>
        <w:rPr>
          <w:rStyle w:val="Fett"/>
          <w:rFonts w:eastAsiaTheme="majorEastAsia"/>
          <w:rtl/>
        </w:rPr>
        <w:t>יסף</w:t>
      </w:r>
      <w:r>
        <w:t xml:space="preserve">, Hiphil Imperfekt, 3. Person Maskulinum Plural, „hinzufügen", in der Konstruktion </w:t>
      </w:r>
      <w:r>
        <w:rPr>
          <w:rStyle w:val="Fett"/>
          <w:rFonts w:eastAsiaTheme="majorEastAsia"/>
          <w:rtl/>
        </w:rPr>
        <w:t>לא יסף ל</w:t>
      </w:r>
      <w:r>
        <w:rPr>
          <w:rtl/>
        </w:rPr>
        <w:t xml:space="preserve"> </w:t>
      </w:r>
      <w:r>
        <w:t xml:space="preserve">mit Infinitiv bedeutet „nicht mehr tun, aufhören zu </w:t>
      </w:r>
      <w:r>
        <w:lastRenderedPageBreak/>
        <w:t xml:space="preserve">tun"), </w:t>
      </w:r>
      <w:r>
        <w:rPr>
          <w:rStyle w:val="Fett"/>
          <w:rFonts w:eastAsiaTheme="majorEastAsia"/>
          <w:rtl/>
        </w:rPr>
        <w:t>לַעֲשׂוֹת</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עשׂה</w:t>
      </w:r>
      <w:r>
        <w:t xml:space="preserve">, „tun"), </w:t>
      </w:r>
      <w:r>
        <w:rPr>
          <w:rStyle w:val="Fett"/>
          <w:rFonts w:eastAsiaTheme="majorEastAsia"/>
          <w:rtl/>
        </w:rPr>
        <w:t>כַּדָּבָר הָרָע הַזֶּה</w:t>
      </w:r>
      <w:r>
        <w:rPr>
          <w:rtl/>
        </w:rPr>
        <w:t xml:space="preserve"> </w:t>
      </w:r>
      <w:r>
        <w:t xml:space="preserve">(Präposition </w:t>
      </w:r>
      <w:r>
        <w:rPr>
          <w:rStyle w:val="Fett"/>
          <w:rFonts w:eastAsiaTheme="majorEastAsia"/>
          <w:rtl/>
        </w:rPr>
        <w:t>כְּ</w:t>
      </w:r>
      <w:r>
        <w:t xml:space="preserve">, „wie, gemäß", mit Artikel, </w:t>
      </w:r>
      <w:r>
        <w:rPr>
          <w:rStyle w:val="Fett"/>
          <w:rFonts w:eastAsiaTheme="majorEastAsia"/>
          <w:rtl/>
        </w:rPr>
        <w:t>דָּבָר</w:t>
      </w:r>
      <w:r>
        <w:t xml:space="preserve">, „Wort, Sache", mit Artikel, </w:t>
      </w:r>
      <w:r>
        <w:rPr>
          <w:rStyle w:val="Fett"/>
          <w:rFonts w:eastAsiaTheme="majorEastAsia"/>
          <w:rtl/>
        </w:rPr>
        <w:t>רַע</w:t>
      </w:r>
      <w:r>
        <w:t xml:space="preserve">, „böse, das Böse", mit Artikel, und Demonstrativpronomen </w:t>
      </w:r>
      <w:r>
        <w:rPr>
          <w:rStyle w:val="Fett"/>
          <w:rFonts w:eastAsiaTheme="majorEastAsia"/>
          <w:rtl/>
        </w:rPr>
        <w:t>הַזֶּה</w:t>
      </w:r>
      <w:r>
        <w:t xml:space="preserve">, „dieses", „wie diese böse Sache") als Vergleich und </w:t>
      </w:r>
      <w:r>
        <w:rPr>
          <w:rStyle w:val="Fett"/>
          <w:rFonts w:eastAsiaTheme="majorEastAsia"/>
          <w:rtl/>
        </w:rPr>
        <w:t>בְּקִרְבֶּךָ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קֶרֶב</w:t>
      </w:r>
      <w:r>
        <w:t>, „Mitte", mit Suffix 2. Person Maskulinum Singular) als lokale Bestimmung.</w:t>
      </w:r>
    </w:p>
    <w:p w14:paraId="6AF4400D" w14:textId="77777777" w:rsidR="00724090" w:rsidRDefault="00724090" w:rsidP="00724090">
      <w:pPr>
        <w:pStyle w:val="whitespace-normal"/>
      </w:pPr>
      <w:r>
        <w:t xml:space="preserve">Der Vers formuliert den abschreckenden Zweck der öffentlichen Hinrichtung: Ganz Israel soll davon hören und sich fürchten, sodass solche Taten künftig unterbleiben. Die Wendung </w:t>
      </w:r>
      <w:r>
        <w:rPr>
          <w:rStyle w:val="Fett"/>
          <w:rFonts w:eastAsiaTheme="majorEastAsia"/>
          <w:rtl/>
        </w:rPr>
        <w:t>כָל־יִשְׂרָאֵל יִשְׁמְעוּ</w:t>
      </w:r>
      <w:r>
        <w:rPr>
          <w:rtl/>
        </w:rPr>
        <w:t xml:space="preserve"> </w:t>
      </w:r>
      <w:r>
        <w:t xml:space="preserve">(„ganz Israel soll hören") zeigt: Die Hinrichtung hat öffentlichen Charakter und soll bekannt werden. Das Verb </w:t>
      </w:r>
      <w:r>
        <w:rPr>
          <w:rStyle w:val="Fett"/>
          <w:rFonts w:eastAsiaTheme="majorEastAsia"/>
          <w:rtl/>
        </w:rPr>
        <w:t>ירא</w:t>
      </w:r>
      <w:r>
        <w:rPr>
          <w:rtl/>
        </w:rPr>
        <w:t xml:space="preserve"> </w:t>
      </w:r>
      <w:r>
        <w:t>(„sich fürchten") bezeichnet hier heilsame Furcht vor der Konsequenz von Götzendienst.</w:t>
      </w:r>
    </w:p>
    <w:p w14:paraId="374A2FEE" w14:textId="11A88EB9" w:rsidR="00724090" w:rsidRDefault="00724090" w:rsidP="00724090">
      <w:pPr>
        <w:pStyle w:val="whitespace-normal"/>
      </w:pPr>
      <w:r>
        <w:t xml:space="preserve">Die Konstruktion </w:t>
      </w:r>
      <w:r>
        <w:rPr>
          <w:rStyle w:val="Fett"/>
          <w:rFonts w:eastAsiaTheme="majorEastAsia"/>
          <w:rtl/>
        </w:rPr>
        <w:t>לא יסף לעשׂות</w:t>
      </w:r>
      <w:r>
        <w:rPr>
          <w:rtl/>
        </w:rPr>
        <w:t xml:space="preserve"> </w:t>
      </w:r>
      <w:r>
        <w:t xml:space="preserve">(„nicht mehr tun, aufhören zu tun") drückt vollständiges Aufhören aus. Die Formulierung </w:t>
      </w:r>
      <w:r>
        <w:rPr>
          <w:rStyle w:val="Fett"/>
          <w:rFonts w:eastAsiaTheme="majorEastAsia"/>
          <w:rtl/>
        </w:rPr>
        <w:t>הַדָּבָר הָרָע הַזֶּה</w:t>
      </w:r>
      <w:r>
        <w:rPr>
          <w:rtl/>
        </w:rPr>
        <w:t xml:space="preserve"> </w:t>
      </w:r>
      <w:r>
        <w:t xml:space="preserve">(„diese böse Sache") charakterisiert die Verführung zum Götzendienst als radikal böse. Die Wendung </w:t>
      </w:r>
      <w:r>
        <w:rPr>
          <w:rStyle w:val="Fett"/>
          <w:rFonts w:eastAsiaTheme="majorEastAsia"/>
          <w:rtl/>
        </w:rPr>
        <w:t>בְּקִרְבֶּךָ</w:t>
      </w:r>
      <w:r>
        <w:rPr>
          <w:rtl/>
        </w:rPr>
        <w:t xml:space="preserve"> </w:t>
      </w:r>
      <w:r>
        <w:t xml:space="preserve">(„in deiner Mitte") wiederholt die Lokalisierung aus V. 2 und zeigt: Die </w:t>
      </w:r>
      <w:r w:rsidR="00D84597">
        <w:t>Gefahr</w:t>
      </w:r>
      <w:r>
        <w:t xml:space="preserve"> kommt von innen und muss in der Mitte ausgerottet werden.</w:t>
      </w:r>
    </w:p>
    <w:p w14:paraId="3A0413E9" w14:textId="77777777" w:rsidR="00E3356A" w:rsidRPr="00E3356A" w:rsidRDefault="00E3356A" w:rsidP="00E3356A">
      <w:pPr>
        <w:spacing w:before="100" w:beforeAutospacing="1" w:after="100" w:afterAutospacing="1" w:line="240" w:lineRule="auto"/>
        <w:outlineLvl w:val="1"/>
        <w:rPr>
          <w:rFonts w:eastAsia="Times New Roman"/>
          <w:b/>
          <w:bCs/>
          <w:sz w:val="36"/>
          <w:szCs w:val="36"/>
          <w:lang w:eastAsia="de-DE"/>
        </w:rPr>
      </w:pPr>
      <w:r w:rsidRPr="00E3356A">
        <w:rPr>
          <w:rFonts w:eastAsia="Times New Roman"/>
          <w:b/>
          <w:bCs/>
          <w:sz w:val="36"/>
          <w:szCs w:val="36"/>
          <w:lang w:eastAsia="de-DE"/>
        </w:rPr>
        <w:t>Vers 12 (MT 13,12) / Vers 11 (LXX 13,11)</w:t>
      </w:r>
    </w:p>
    <w:p w14:paraId="64B3DB6A" w14:textId="5821A59C" w:rsidR="00E3356A" w:rsidRPr="00E3356A" w:rsidRDefault="00E3356A" w:rsidP="00E3356A">
      <w:pPr>
        <w:spacing w:before="100" w:beforeAutospacing="1" w:after="100" w:afterAutospacing="1" w:line="240" w:lineRule="auto"/>
        <w:rPr>
          <w:rFonts w:eastAsia="Times New Roman"/>
          <w:lang w:eastAsia="de-DE"/>
        </w:rPr>
      </w:pPr>
      <w:r w:rsidRPr="00E3356A">
        <w:rPr>
          <w:rFonts w:eastAsia="Times New Roman"/>
          <w:b/>
          <w:bCs/>
          <w:lang w:eastAsia="de-DE"/>
        </w:rPr>
        <w:t>Die LXX</w:t>
      </w:r>
      <w:r w:rsidRPr="00E3356A">
        <w:rPr>
          <w:rFonts w:eastAsia="Times New Roman"/>
          <w:lang w:eastAsia="de-DE"/>
        </w:rPr>
        <w:t xml:space="preserve"> bietet καὶ π</w:t>
      </w:r>
      <w:proofErr w:type="spellStart"/>
      <w:r w:rsidRPr="00E3356A">
        <w:rPr>
          <w:rFonts w:eastAsia="Times New Roman"/>
          <w:lang w:eastAsia="de-DE"/>
        </w:rPr>
        <w:t>ᾶς</w:t>
      </w:r>
      <w:proofErr w:type="spellEnd"/>
      <w:r w:rsidRPr="00E3356A">
        <w:rPr>
          <w:rFonts w:eastAsia="Times New Roman"/>
          <w:lang w:eastAsia="de-DE"/>
        </w:rPr>
        <w:t xml:space="preserve"> </w:t>
      </w:r>
      <w:proofErr w:type="spellStart"/>
      <w:r w:rsidRPr="00E3356A">
        <w:rPr>
          <w:rFonts w:eastAsia="Times New Roman"/>
          <w:lang w:eastAsia="de-DE"/>
        </w:rPr>
        <w:t>Ἰσρ</w:t>
      </w:r>
      <w:proofErr w:type="spellEnd"/>
      <w:r w:rsidRPr="00E3356A">
        <w:rPr>
          <w:rFonts w:eastAsia="Times New Roman"/>
          <w:lang w:eastAsia="de-DE"/>
        </w:rPr>
        <w:t xml:space="preserve">αὴλ </w:t>
      </w:r>
      <w:proofErr w:type="spellStart"/>
      <w:r w:rsidRPr="00E3356A">
        <w:rPr>
          <w:rFonts w:eastAsia="Times New Roman"/>
          <w:lang w:eastAsia="de-DE"/>
        </w:rPr>
        <w:t>ἀκούσ</w:t>
      </w:r>
      <w:proofErr w:type="spellEnd"/>
      <w:r w:rsidRPr="00E3356A">
        <w:rPr>
          <w:rFonts w:eastAsia="Times New Roman"/>
          <w:lang w:eastAsia="de-DE"/>
        </w:rPr>
        <w:t xml:space="preserve">ας </w:t>
      </w:r>
      <w:proofErr w:type="spellStart"/>
      <w:r w:rsidRPr="00E3356A">
        <w:rPr>
          <w:rFonts w:eastAsia="Times New Roman"/>
          <w:lang w:eastAsia="de-DE"/>
        </w:rPr>
        <w:t>φο</w:t>
      </w:r>
      <w:proofErr w:type="spellEnd"/>
      <w:r w:rsidRPr="00E3356A">
        <w:rPr>
          <w:rFonts w:eastAsia="Times New Roman"/>
          <w:lang w:eastAsia="de-DE"/>
        </w:rPr>
        <w:t xml:space="preserve">βηθήσεται (und ganz Israel wird hören und sich fürchten) für </w:t>
      </w:r>
      <w:r w:rsidRPr="00E3356A">
        <w:rPr>
          <w:rFonts w:eastAsia="Times New Roman"/>
          <w:rtl/>
          <w:lang w:eastAsia="de-DE"/>
        </w:rPr>
        <w:t>וְכָל־יִשְׂרָאֵל יִשְׁמְעוּ וְיִרָאוּן</w:t>
      </w:r>
      <w:r w:rsidRPr="00E3356A">
        <w:rPr>
          <w:rFonts w:eastAsia="Times New Roman"/>
          <w:lang w:eastAsia="de-DE"/>
        </w:rPr>
        <w:t xml:space="preserve">, wobei das Partizip </w:t>
      </w:r>
      <w:proofErr w:type="spellStart"/>
      <w:r w:rsidRPr="00E3356A">
        <w:rPr>
          <w:rFonts w:eastAsia="Times New Roman"/>
          <w:lang w:eastAsia="de-DE"/>
        </w:rPr>
        <w:t>ἀκούσ</w:t>
      </w:r>
      <w:proofErr w:type="spellEnd"/>
      <w:r w:rsidRPr="00E3356A">
        <w:rPr>
          <w:rFonts w:eastAsia="Times New Roman"/>
          <w:lang w:eastAsia="de-DE"/>
        </w:rPr>
        <w:t xml:space="preserve">ας (hörend) und das Futur </w:t>
      </w:r>
      <w:proofErr w:type="spellStart"/>
      <w:r w:rsidRPr="00E3356A">
        <w:rPr>
          <w:rFonts w:eastAsia="Times New Roman"/>
          <w:lang w:eastAsia="de-DE"/>
        </w:rPr>
        <w:t>φο</w:t>
      </w:r>
      <w:proofErr w:type="spellEnd"/>
      <w:r w:rsidRPr="00E3356A">
        <w:rPr>
          <w:rFonts w:eastAsia="Times New Roman"/>
          <w:lang w:eastAsia="de-DE"/>
        </w:rPr>
        <w:t xml:space="preserve">βηθήσεται die Abfolge betonen. Die Fortsetzung καὶ </w:t>
      </w:r>
      <w:proofErr w:type="spellStart"/>
      <w:r w:rsidRPr="00E3356A">
        <w:rPr>
          <w:rFonts w:eastAsia="Times New Roman"/>
          <w:lang w:eastAsia="de-DE"/>
        </w:rPr>
        <w:t>οὐ</w:t>
      </w:r>
      <w:proofErr w:type="spellEnd"/>
      <w:r w:rsidRPr="00E3356A">
        <w:rPr>
          <w:rFonts w:eastAsia="Times New Roman"/>
          <w:lang w:eastAsia="de-DE"/>
        </w:rPr>
        <w:t xml:space="preserve"> π</w:t>
      </w:r>
      <w:proofErr w:type="spellStart"/>
      <w:r w:rsidRPr="00E3356A">
        <w:rPr>
          <w:rFonts w:eastAsia="Times New Roman"/>
          <w:lang w:eastAsia="de-DE"/>
        </w:rPr>
        <w:t>ροσθήσουσιν</w:t>
      </w:r>
      <w:proofErr w:type="spellEnd"/>
      <w:r w:rsidRPr="00E3356A">
        <w:rPr>
          <w:rFonts w:eastAsia="Times New Roman"/>
          <w:lang w:eastAsia="de-DE"/>
        </w:rPr>
        <w:t xml:space="preserve"> </w:t>
      </w:r>
      <w:proofErr w:type="spellStart"/>
      <w:r w:rsidRPr="00E3356A">
        <w:rPr>
          <w:rFonts w:eastAsia="Times New Roman"/>
          <w:lang w:eastAsia="de-DE"/>
        </w:rPr>
        <w:t>ἔτι</w:t>
      </w:r>
      <w:proofErr w:type="spellEnd"/>
      <w:r w:rsidRPr="00E3356A">
        <w:rPr>
          <w:rFonts w:eastAsia="Times New Roman"/>
          <w:lang w:eastAsia="de-DE"/>
        </w:rPr>
        <w:t xml:space="preserve"> π</w:t>
      </w:r>
      <w:proofErr w:type="spellStart"/>
      <w:r w:rsidRPr="00E3356A">
        <w:rPr>
          <w:rFonts w:eastAsia="Times New Roman"/>
          <w:lang w:eastAsia="de-DE"/>
        </w:rPr>
        <w:t>οιῆσ</w:t>
      </w:r>
      <w:proofErr w:type="spellEnd"/>
      <w:r w:rsidRPr="00E3356A">
        <w:rPr>
          <w:rFonts w:eastAsia="Times New Roman"/>
          <w:lang w:eastAsia="de-DE"/>
        </w:rPr>
        <w:t xml:space="preserve">αι (und sie werden nicht mehr hinzufügen zu tun) entspricht </w:t>
      </w:r>
      <w:r w:rsidRPr="00E3356A">
        <w:rPr>
          <w:rFonts w:eastAsia="Times New Roman"/>
          <w:rtl/>
          <w:lang w:eastAsia="de-DE"/>
        </w:rPr>
        <w:t>וְלֹא־יוֹסִפוּ לַעֲשׂוֹת</w:t>
      </w:r>
      <w:r w:rsidRPr="00E3356A">
        <w:rPr>
          <w:rFonts w:eastAsia="Times New Roman"/>
          <w:lang w:eastAsia="de-DE"/>
        </w:rPr>
        <w:t>. Die Wendung κα</w:t>
      </w:r>
      <w:proofErr w:type="spellStart"/>
      <w:r w:rsidRPr="00E3356A">
        <w:rPr>
          <w:rFonts w:eastAsia="Times New Roman"/>
          <w:lang w:eastAsia="de-DE"/>
        </w:rPr>
        <w:t>τὰ</w:t>
      </w:r>
      <w:proofErr w:type="spellEnd"/>
      <w:r w:rsidRPr="00E3356A">
        <w:rPr>
          <w:rFonts w:eastAsia="Times New Roman"/>
          <w:lang w:eastAsia="de-DE"/>
        </w:rPr>
        <w:t xml:space="preserve"> </w:t>
      </w:r>
      <w:proofErr w:type="spellStart"/>
      <w:r w:rsidRPr="00E3356A">
        <w:rPr>
          <w:rFonts w:eastAsia="Times New Roman"/>
          <w:lang w:eastAsia="de-DE"/>
        </w:rPr>
        <w:t>τὸ</w:t>
      </w:r>
      <w:proofErr w:type="spellEnd"/>
      <w:r w:rsidRPr="00E3356A">
        <w:rPr>
          <w:rFonts w:eastAsia="Times New Roman"/>
          <w:lang w:eastAsia="de-DE"/>
        </w:rPr>
        <w:t xml:space="preserve"> </w:t>
      </w:r>
      <w:proofErr w:type="spellStart"/>
      <w:r w:rsidRPr="00E3356A">
        <w:rPr>
          <w:rFonts w:eastAsia="Times New Roman"/>
          <w:lang w:eastAsia="de-DE"/>
        </w:rPr>
        <w:t>ῥῆμ</w:t>
      </w:r>
      <w:proofErr w:type="spellEnd"/>
      <w:r w:rsidRPr="00E3356A">
        <w:rPr>
          <w:rFonts w:eastAsia="Times New Roman"/>
          <w:lang w:eastAsia="de-DE"/>
        </w:rPr>
        <w:t xml:space="preserve">α </w:t>
      </w:r>
      <w:proofErr w:type="spellStart"/>
      <w:r w:rsidRPr="00E3356A">
        <w:rPr>
          <w:rFonts w:eastAsia="Times New Roman"/>
          <w:lang w:eastAsia="de-DE"/>
        </w:rPr>
        <w:t>τὸ</w:t>
      </w:r>
      <w:proofErr w:type="spellEnd"/>
      <w:r w:rsidRPr="00E3356A">
        <w:rPr>
          <w:rFonts w:eastAsia="Times New Roman"/>
          <w:lang w:eastAsia="de-DE"/>
        </w:rPr>
        <w:t xml:space="preserve"> π</w:t>
      </w:r>
      <w:proofErr w:type="spellStart"/>
      <w:r w:rsidRPr="00E3356A">
        <w:rPr>
          <w:rFonts w:eastAsia="Times New Roman"/>
          <w:lang w:eastAsia="de-DE"/>
        </w:rPr>
        <w:t>ονηρὸν</w:t>
      </w:r>
      <w:proofErr w:type="spellEnd"/>
      <w:r w:rsidRPr="00E3356A">
        <w:rPr>
          <w:rFonts w:eastAsia="Times New Roman"/>
          <w:lang w:eastAsia="de-DE"/>
        </w:rPr>
        <w:t xml:space="preserve"> </w:t>
      </w:r>
      <w:proofErr w:type="spellStart"/>
      <w:r w:rsidRPr="00E3356A">
        <w:rPr>
          <w:rFonts w:eastAsia="Times New Roman"/>
          <w:lang w:eastAsia="de-DE"/>
        </w:rPr>
        <w:t>τοῦτο</w:t>
      </w:r>
      <w:proofErr w:type="spellEnd"/>
      <w:r w:rsidRPr="00E3356A">
        <w:rPr>
          <w:rFonts w:eastAsia="Times New Roman"/>
          <w:lang w:eastAsia="de-DE"/>
        </w:rPr>
        <w:t xml:space="preserve"> </w:t>
      </w:r>
      <w:proofErr w:type="spellStart"/>
      <w:r w:rsidRPr="00E3356A">
        <w:rPr>
          <w:rFonts w:eastAsia="Times New Roman"/>
          <w:lang w:eastAsia="de-DE"/>
        </w:rPr>
        <w:t>ἐν</w:t>
      </w:r>
      <w:proofErr w:type="spellEnd"/>
      <w:r w:rsidRPr="00E3356A">
        <w:rPr>
          <w:rFonts w:eastAsia="Times New Roman"/>
          <w:lang w:eastAsia="de-DE"/>
        </w:rPr>
        <w:t xml:space="preserve"> </w:t>
      </w:r>
      <w:proofErr w:type="spellStart"/>
      <w:r w:rsidRPr="00E3356A">
        <w:rPr>
          <w:rFonts w:eastAsia="Times New Roman"/>
          <w:lang w:eastAsia="de-DE"/>
        </w:rPr>
        <w:t>ὑμῖν</w:t>
      </w:r>
      <w:proofErr w:type="spellEnd"/>
      <w:r w:rsidRPr="00E3356A">
        <w:rPr>
          <w:rFonts w:eastAsia="Times New Roman"/>
          <w:lang w:eastAsia="de-DE"/>
        </w:rPr>
        <w:t xml:space="preserve"> (gemäß diesem bösen Wort unter euch) gibt </w:t>
      </w:r>
      <w:r w:rsidRPr="00E3356A">
        <w:rPr>
          <w:rFonts w:eastAsia="Times New Roman"/>
          <w:rtl/>
          <w:lang w:eastAsia="de-DE"/>
        </w:rPr>
        <w:t>כַּדָּבָר הָרָע הַזֶּה בְּקִרְבֶּךָ</w:t>
      </w:r>
      <w:r w:rsidRPr="00E3356A">
        <w:rPr>
          <w:rFonts w:eastAsia="Times New Roman"/>
          <w:lang w:eastAsia="de-DE"/>
        </w:rPr>
        <w:t xml:space="preserve"> wieder.</w:t>
      </w:r>
    </w:p>
    <w:p w14:paraId="341D8505" w14:textId="77777777" w:rsidR="00724090" w:rsidRDefault="00724090" w:rsidP="00724090">
      <w:pPr>
        <w:pStyle w:val="whitespace-normal"/>
      </w:pPr>
      <w:r>
        <w:rPr>
          <w:rStyle w:val="Fett"/>
          <w:rFonts w:eastAsiaTheme="majorEastAsia"/>
        </w:rPr>
        <w:t>Die Satzstruktur</w:t>
      </w:r>
      <w:r>
        <w:t xml:space="preserve"> besteht aus zwei koordinierten Sätzen und einem finalen/konsekutiven Satz: Erstes Subjekt (ganz Israel), erstes Prädikat (soll hören), zweites Prädikat (sich fürchten); finaler/konsekutiver Satz mit Negation (damit nicht), Prädikat (mehr tun), Infinitiv (tun), Vergleich (wie diese böse Sache), lokale Bestimmung (in deiner Mitte).</w:t>
      </w:r>
    </w:p>
    <w:p w14:paraId="6B84D633" w14:textId="77777777" w:rsidR="00724090" w:rsidRDefault="00724090" w:rsidP="00724090">
      <w:pPr>
        <w:pStyle w:val="whitespace-normal"/>
      </w:pPr>
      <w:r>
        <w:t>Der Vers nennt den abschreckenden Zweck der Hinrichtung: Ganz Israel soll davon hören und sich fürchten, damit solche Bosheit künftig nicht mehr in ihrer Mitte geschieht.</w:t>
      </w:r>
    </w:p>
    <w:p w14:paraId="621A4402"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13,13</w:t>
      </w:r>
    </w:p>
    <w:p w14:paraId="24AFE6B5" w14:textId="77777777" w:rsidR="00724090" w:rsidRDefault="00724090" w:rsidP="00724090">
      <w:pPr>
        <w:pStyle w:val="whitespace-normal"/>
      </w:pPr>
      <w:r>
        <w:rPr>
          <w:rStyle w:val="Fett"/>
          <w:rFonts w:eastAsiaTheme="majorEastAsia"/>
        </w:rPr>
        <w:t>Hebräisch:</w:t>
      </w:r>
      <w:r>
        <w:t xml:space="preserve"> </w:t>
      </w:r>
      <w:r>
        <w:rPr>
          <w:rtl/>
        </w:rPr>
        <w:t>כִּֽי־תִשְׁמַ֞ע בְּאַחַ֣ת עָרֶ֗יךָ אֲשֶׁר֩ יְהוָ֨ה אֱלֹהֶ֜יךָ נֹתֵ֥ן לְךָ֛ לָשֶׁ֥בֶת שָׁ֖ם לֵאמֹֽר׃</w:t>
      </w:r>
    </w:p>
    <w:p w14:paraId="0B326966" w14:textId="04811C53" w:rsidR="00724090" w:rsidRDefault="00724090" w:rsidP="00724090">
      <w:pPr>
        <w:pStyle w:val="whitespace-normal"/>
      </w:pPr>
      <w:r>
        <w:rPr>
          <w:rStyle w:val="Fett"/>
          <w:rFonts w:eastAsiaTheme="majorEastAsia"/>
        </w:rPr>
        <w:t>Deutsch:</w:t>
      </w:r>
      <w:r>
        <w:t xml:space="preserve"> Wenn du von einer deiner Städte, die der Ewige, dein Gott, dir gibt, um dort zu wohnen, sagen hörst:</w:t>
      </w:r>
    </w:p>
    <w:p w14:paraId="6828559F" w14:textId="64650689" w:rsidR="009C316F" w:rsidRDefault="004F5CEB" w:rsidP="00724090">
      <w:pPr>
        <w:pStyle w:val="whitespace-normal"/>
      </w:pPr>
      <w:r>
        <w:rPr>
          <w:noProof/>
        </w:rPr>
        <w:pict w14:anchorId="6E699AD0">
          <v:rect id="_x0000_i1416" style="width:0;height:1.5pt" o:hralign="center" o:hrstd="t" o:hr="t" fillcolor="#a0a0a0" stroked="f"/>
        </w:pict>
      </w:r>
    </w:p>
    <w:p w14:paraId="28023803"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כִּי־תִשְׁמַע בְּאַחַת עָרֶיךָ אֲשֶׁר יְהוָה אֱלֹהֶיךָ נֹתֵן לְךָ לָשֶׁבֶת שָׁם לֵאמֹר</w:t>
      </w:r>
      <w:r>
        <w:rPr>
          <w:rtl/>
        </w:rPr>
        <w:t xml:space="preserve"> </w:t>
      </w:r>
      <w:r>
        <w:t xml:space="preserve">ist ein konditionaler Temporalsatz mit Relativsatz: </w:t>
      </w:r>
      <w:r>
        <w:rPr>
          <w:rStyle w:val="Fett"/>
          <w:rFonts w:eastAsiaTheme="majorEastAsia"/>
          <w:rtl/>
        </w:rPr>
        <w:t>כִּי</w:t>
      </w:r>
      <w:r>
        <w:rPr>
          <w:rtl/>
        </w:rPr>
        <w:t xml:space="preserve"> </w:t>
      </w:r>
      <w:r>
        <w:t xml:space="preserve">(„wenn, wann") als konditionale Konjunktion, </w:t>
      </w:r>
      <w:r>
        <w:rPr>
          <w:rStyle w:val="Fett"/>
          <w:rFonts w:eastAsiaTheme="majorEastAsia"/>
          <w:rtl/>
        </w:rPr>
        <w:t>תִשְׁמַע</w:t>
      </w:r>
      <w:r>
        <w:rPr>
          <w:rtl/>
        </w:rPr>
        <w:t xml:space="preserve"> </w:t>
      </w:r>
      <w:r>
        <w:t xml:space="preserve">(Qal Imperfekt, 2. Person Maskulinum Singular von </w:t>
      </w:r>
      <w:r>
        <w:rPr>
          <w:rStyle w:val="Fett"/>
          <w:rFonts w:eastAsiaTheme="majorEastAsia"/>
          <w:rtl/>
        </w:rPr>
        <w:t>שׁמע</w:t>
      </w:r>
      <w:r>
        <w:t xml:space="preserve">, „hören"), </w:t>
      </w:r>
      <w:r>
        <w:rPr>
          <w:rStyle w:val="Fett"/>
          <w:rFonts w:eastAsiaTheme="majorEastAsia"/>
          <w:rtl/>
        </w:rPr>
        <w:t>בְּאַחַת עָרֶיךָ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lastRenderedPageBreak/>
        <w:t>אֶחָד</w:t>
      </w:r>
      <w:r>
        <w:t xml:space="preserve">, „einer", feminin, im Construct mit </w:t>
      </w:r>
      <w:r>
        <w:rPr>
          <w:rStyle w:val="Fett"/>
          <w:rFonts w:eastAsiaTheme="majorEastAsia"/>
          <w:rtl/>
        </w:rPr>
        <w:t>עִיר</w:t>
      </w:r>
      <w:r>
        <w:t xml:space="preserve">, „Stadt", Plural mit Suffix 2. Person Maskulinum Singular, „in einer deiner Städte"), </w:t>
      </w:r>
      <w:r>
        <w:rPr>
          <w:rStyle w:val="Fett"/>
          <w:rFonts w:eastAsiaTheme="majorEastAsia"/>
          <w:rtl/>
        </w:rPr>
        <w:t>אֲשֶׁר יְהוָה אֱלֹהֶיךָ נֹתֵן לְךָ</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יְהוָה אֱלֹהֶיךָ</w:t>
      </w:r>
      <w:r>
        <w:rPr>
          <w:rtl/>
        </w:rPr>
        <w:t xml:space="preserve"> </w:t>
      </w:r>
      <w:r>
        <w:t xml:space="preserve">als Subjekt, </w:t>
      </w:r>
      <w:r>
        <w:rPr>
          <w:rStyle w:val="Fett"/>
          <w:rFonts w:eastAsiaTheme="majorEastAsia"/>
          <w:rtl/>
        </w:rPr>
        <w:t>נֹתֵן</w:t>
      </w:r>
      <w:r>
        <w:t xml:space="preserve">, Qal Partizip Maskulinum Singular von </w:t>
      </w:r>
      <w:r>
        <w:rPr>
          <w:rStyle w:val="Fett"/>
          <w:rFonts w:eastAsiaTheme="majorEastAsia"/>
          <w:rtl/>
        </w:rPr>
        <w:t>נתן</w:t>
      </w:r>
      <w:r>
        <w:t xml:space="preserve">, „geben", und </w:t>
      </w:r>
      <w:r>
        <w:rPr>
          <w:rStyle w:val="Fett"/>
          <w:rFonts w:eastAsiaTheme="majorEastAsia"/>
          <w:rtl/>
        </w:rPr>
        <w:t>לְךָ</w:t>
      </w:r>
      <w:r>
        <w:t xml:space="preserve">, Präposition </w:t>
      </w:r>
      <w:r>
        <w:rPr>
          <w:rStyle w:val="Fett"/>
          <w:rFonts w:eastAsiaTheme="majorEastAsia"/>
          <w:rtl/>
        </w:rPr>
        <w:t>לְ</w:t>
      </w:r>
      <w:r>
        <w:rPr>
          <w:rtl/>
        </w:rPr>
        <w:t xml:space="preserve"> </w:t>
      </w:r>
      <w:r>
        <w:t xml:space="preserve">mit Suffix 2. Person Maskulinum Singular als Dativ), </w:t>
      </w:r>
      <w:r>
        <w:rPr>
          <w:rStyle w:val="Fett"/>
          <w:rFonts w:eastAsiaTheme="majorEastAsia"/>
          <w:rtl/>
        </w:rPr>
        <w:t>לָשֶׁבֶת שָׁם</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ישׁב</w:t>
      </w:r>
      <w:r>
        <w:t xml:space="preserve">, „wohnen, sitzen", und </w:t>
      </w:r>
      <w:r>
        <w:rPr>
          <w:rStyle w:val="Fett"/>
          <w:rFonts w:eastAsiaTheme="majorEastAsia"/>
          <w:rtl/>
        </w:rPr>
        <w:t>שָׁם</w:t>
      </w:r>
      <w:r>
        <w:t xml:space="preserve">, „dort") als finale Bestimmung und </w:t>
      </w:r>
      <w:r>
        <w:rPr>
          <w:rStyle w:val="Fett"/>
          <w:rFonts w:eastAsiaTheme="majorEastAsia"/>
          <w:rtl/>
        </w:rPr>
        <w:t>לֵאמֹר</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אמר</w:t>
      </w:r>
      <w:r>
        <w:t>, „sagen", „indem man sagt, sagend").</w:t>
      </w:r>
    </w:p>
    <w:p w14:paraId="782B8947" w14:textId="77777777" w:rsidR="00724090" w:rsidRDefault="00724090" w:rsidP="00724090">
      <w:pPr>
        <w:pStyle w:val="whitespace-normal"/>
      </w:pPr>
      <w:r>
        <w:t>Der Vers leitet den dritten Fall ein: kollektiver Abfall einer ganzen Stadt. Im Unterschied zu V. 2-6 (einzelner Prophet) und V. 7-12 (einzelner Verführer aus dem engsten Kreis) geht es hier um eine Stadt, in der viele zum Götzendienst verführt wurden.</w:t>
      </w:r>
    </w:p>
    <w:p w14:paraId="393E5FDB" w14:textId="1DDB42E4" w:rsidR="00724090" w:rsidRDefault="00724090" w:rsidP="00724090">
      <w:pPr>
        <w:pStyle w:val="whitespace-normal"/>
      </w:pPr>
      <w:r>
        <w:t xml:space="preserve">Die Formulierung </w:t>
      </w:r>
      <w:r>
        <w:rPr>
          <w:rStyle w:val="Fett"/>
          <w:rFonts w:eastAsiaTheme="majorEastAsia"/>
          <w:rtl/>
        </w:rPr>
        <w:t>בְּאַחַת עָרֶיךָ</w:t>
      </w:r>
      <w:r>
        <w:rPr>
          <w:rtl/>
        </w:rPr>
        <w:t xml:space="preserve"> </w:t>
      </w:r>
      <w:r>
        <w:t xml:space="preserve">(„in einer deiner Städte") zeigt: Es geht um eine israelitische Stadt im verheißenen Land. Der Relativsatz </w:t>
      </w:r>
      <w:r>
        <w:rPr>
          <w:rStyle w:val="Fett"/>
          <w:rFonts w:eastAsiaTheme="majorEastAsia"/>
          <w:rtl/>
        </w:rPr>
        <w:t>אֲשֶׁר יְהוָה אֱלֹהֶיךָ נֹתֵן לְךָ לָשֶׁבֶת שָׁם</w:t>
      </w:r>
      <w:r>
        <w:rPr>
          <w:rtl/>
        </w:rPr>
        <w:t xml:space="preserve"> </w:t>
      </w:r>
      <w:r>
        <w:t xml:space="preserve">betont: Diese Städte sind göttliche Gabe zum Wohnen – der Abfall ist daher besonders schwerwiegend. Das Verb </w:t>
      </w:r>
      <w:r>
        <w:rPr>
          <w:rStyle w:val="Fett"/>
          <w:rFonts w:eastAsiaTheme="majorEastAsia"/>
          <w:rtl/>
        </w:rPr>
        <w:t>שׁמע</w:t>
      </w:r>
      <w:r>
        <w:rPr>
          <w:rtl/>
        </w:rPr>
        <w:t xml:space="preserve"> </w:t>
      </w:r>
      <w:r>
        <w:t xml:space="preserve">(„hören") mit Präposition </w:t>
      </w:r>
      <w:r>
        <w:rPr>
          <w:rStyle w:val="Fett"/>
          <w:rFonts w:eastAsiaTheme="majorEastAsia"/>
          <w:rtl/>
        </w:rPr>
        <w:t>בְּ</w:t>
      </w:r>
      <w:r>
        <w:rPr>
          <w:rtl/>
        </w:rPr>
        <w:t xml:space="preserve"> </w:t>
      </w:r>
      <w:r>
        <w:t>bedeutet „von etwas hören, etwas hörend erfahren".</w:t>
      </w:r>
    </w:p>
    <w:p w14:paraId="0A2C0974" w14:textId="77777777" w:rsidR="00E3356A" w:rsidRPr="00E3356A" w:rsidRDefault="00E3356A" w:rsidP="00E3356A">
      <w:pPr>
        <w:spacing w:before="100" w:beforeAutospacing="1" w:after="100" w:afterAutospacing="1" w:line="240" w:lineRule="auto"/>
        <w:outlineLvl w:val="1"/>
        <w:rPr>
          <w:rFonts w:eastAsia="Times New Roman"/>
          <w:b/>
          <w:bCs/>
          <w:sz w:val="36"/>
          <w:szCs w:val="36"/>
          <w:lang w:eastAsia="de-DE"/>
        </w:rPr>
      </w:pPr>
      <w:r w:rsidRPr="00E3356A">
        <w:rPr>
          <w:rFonts w:eastAsia="Times New Roman"/>
          <w:b/>
          <w:bCs/>
          <w:sz w:val="36"/>
          <w:szCs w:val="36"/>
          <w:lang w:eastAsia="de-DE"/>
        </w:rPr>
        <w:t>Vers 13 (MT 13,13) / Vers 12 (LXX 13,12)</w:t>
      </w:r>
    </w:p>
    <w:p w14:paraId="7FA1E9E9" w14:textId="4521483E" w:rsidR="00E3356A" w:rsidRPr="00E3356A" w:rsidRDefault="00E3356A" w:rsidP="00E3356A">
      <w:pPr>
        <w:spacing w:before="100" w:beforeAutospacing="1" w:after="100" w:afterAutospacing="1" w:line="240" w:lineRule="auto"/>
        <w:rPr>
          <w:rFonts w:eastAsia="Times New Roman"/>
          <w:lang w:eastAsia="de-DE"/>
        </w:rPr>
      </w:pPr>
      <w:r w:rsidRPr="00E3356A">
        <w:rPr>
          <w:rFonts w:eastAsia="Times New Roman"/>
          <w:b/>
          <w:bCs/>
          <w:lang w:eastAsia="de-DE"/>
        </w:rPr>
        <w:t>Die LXX</w:t>
      </w:r>
      <w:r w:rsidRPr="00E3356A">
        <w:rPr>
          <w:rFonts w:eastAsia="Times New Roman"/>
          <w:lang w:eastAsia="de-DE"/>
        </w:rPr>
        <w:t xml:space="preserve"> formuliert </w:t>
      </w:r>
      <w:proofErr w:type="spellStart"/>
      <w:r w:rsidRPr="00E3356A">
        <w:rPr>
          <w:rFonts w:eastAsia="Times New Roman"/>
          <w:lang w:eastAsia="de-DE"/>
        </w:rPr>
        <w:t>Ἐὰν</w:t>
      </w:r>
      <w:proofErr w:type="spellEnd"/>
      <w:r w:rsidRPr="00E3356A">
        <w:rPr>
          <w:rFonts w:eastAsia="Times New Roman"/>
          <w:lang w:eastAsia="de-DE"/>
        </w:rPr>
        <w:t xml:space="preserve"> </w:t>
      </w:r>
      <w:proofErr w:type="spellStart"/>
      <w:r w:rsidRPr="00E3356A">
        <w:rPr>
          <w:rFonts w:eastAsia="Times New Roman"/>
          <w:lang w:eastAsia="de-DE"/>
        </w:rPr>
        <w:t>δὲ</w:t>
      </w:r>
      <w:proofErr w:type="spellEnd"/>
      <w:r w:rsidRPr="00E3356A">
        <w:rPr>
          <w:rFonts w:eastAsia="Times New Roman"/>
          <w:lang w:eastAsia="de-DE"/>
        </w:rPr>
        <w:t xml:space="preserve"> </w:t>
      </w:r>
      <w:proofErr w:type="spellStart"/>
      <w:r w:rsidRPr="00E3356A">
        <w:rPr>
          <w:rFonts w:eastAsia="Times New Roman"/>
          <w:lang w:eastAsia="de-DE"/>
        </w:rPr>
        <w:t>ἀκούσῃς</w:t>
      </w:r>
      <w:proofErr w:type="spellEnd"/>
      <w:r w:rsidRPr="00E3356A">
        <w:rPr>
          <w:rFonts w:eastAsia="Times New Roman"/>
          <w:lang w:eastAsia="de-DE"/>
        </w:rPr>
        <w:t xml:space="preserve"> </w:t>
      </w:r>
      <w:proofErr w:type="spellStart"/>
      <w:r w:rsidRPr="00E3356A">
        <w:rPr>
          <w:rFonts w:eastAsia="Times New Roman"/>
          <w:lang w:eastAsia="de-DE"/>
        </w:rPr>
        <w:t>ἐν</w:t>
      </w:r>
      <w:proofErr w:type="spellEnd"/>
      <w:r w:rsidRPr="00E3356A">
        <w:rPr>
          <w:rFonts w:eastAsia="Times New Roman"/>
          <w:lang w:eastAsia="de-DE"/>
        </w:rPr>
        <w:t xml:space="preserve"> </w:t>
      </w:r>
      <w:proofErr w:type="spellStart"/>
      <w:r w:rsidRPr="00E3356A">
        <w:rPr>
          <w:rFonts w:eastAsia="Times New Roman"/>
          <w:lang w:eastAsia="de-DE"/>
        </w:rPr>
        <w:t>μιᾷ</w:t>
      </w:r>
      <w:proofErr w:type="spellEnd"/>
      <w:r w:rsidRPr="00E3356A">
        <w:rPr>
          <w:rFonts w:eastAsia="Times New Roman"/>
          <w:lang w:eastAsia="de-DE"/>
        </w:rPr>
        <w:t xml:space="preserve"> </w:t>
      </w:r>
      <w:proofErr w:type="spellStart"/>
      <w:r w:rsidRPr="00E3356A">
        <w:rPr>
          <w:rFonts w:eastAsia="Times New Roman"/>
          <w:lang w:eastAsia="de-DE"/>
        </w:rPr>
        <w:t>τῶν</w:t>
      </w:r>
      <w:proofErr w:type="spellEnd"/>
      <w:r w:rsidRPr="00E3356A">
        <w:rPr>
          <w:rFonts w:eastAsia="Times New Roman"/>
          <w:lang w:eastAsia="de-DE"/>
        </w:rPr>
        <w:t xml:space="preserve"> π</w:t>
      </w:r>
      <w:proofErr w:type="spellStart"/>
      <w:r w:rsidRPr="00E3356A">
        <w:rPr>
          <w:rFonts w:eastAsia="Times New Roman"/>
          <w:lang w:eastAsia="de-DE"/>
        </w:rPr>
        <w:t>όλεών</w:t>
      </w:r>
      <w:proofErr w:type="spellEnd"/>
      <w:r w:rsidRPr="00E3356A">
        <w:rPr>
          <w:rFonts w:eastAsia="Times New Roman"/>
          <w:lang w:eastAsia="de-DE"/>
        </w:rPr>
        <w:t xml:space="preserve"> (wenn aber du hörst in einer der Städte) für </w:t>
      </w:r>
      <w:r w:rsidRPr="00E3356A">
        <w:rPr>
          <w:rFonts w:eastAsia="Times New Roman"/>
          <w:rtl/>
          <w:lang w:eastAsia="de-DE"/>
        </w:rPr>
        <w:t>כִּי־תִשְׁמַע בְּאַחַת עָרֶיךָ</w:t>
      </w:r>
      <w:r w:rsidRPr="00E3356A">
        <w:rPr>
          <w:rFonts w:eastAsia="Times New Roman"/>
          <w:lang w:eastAsia="de-DE"/>
        </w:rPr>
        <w:t xml:space="preserve">, wobei der Genitiv </w:t>
      </w:r>
      <w:proofErr w:type="spellStart"/>
      <w:r w:rsidRPr="00E3356A">
        <w:rPr>
          <w:rFonts w:eastAsia="Times New Roman"/>
          <w:lang w:eastAsia="de-DE"/>
        </w:rPr>
        <w:t>τῶν</w:t>
      </w:r>
      <w:proofErr w:type="spellEnd"/>
      <w:r w:rsidRPr="00E3356A">
        <w:rPr>
          <w:rFonts w:eastAsia="Times New Roman"/>
          <w:lang w:eastAsia="de-DE"/>
        </w:rPr>
        <w:t xml:space="preserve"> π</w:t>
      </w:r>
      <w:proofErr w:type="spellStart"/>
      <w:r w:rsidRPr="00E3356A">
        <w:rPr>
          <w:rFonts w:eastAsia="Times New Roman"/>
          <w:lang w:eastAsia="de-DE"/>
        </w:rPr>
        <w:t>όλεών</w:t>
      </w:r>
      <w:proofErr w:type="spellEnd"/>
      <w:r w:rsidRPr="00E3356A">
        <w:rPr>
          <w:rFonts w:eastAsia="Times New Roman"/>
          <w:lang w:eastAsia="de-DE"/>
        </w:rPr>
        <w:t xml:space="preserve"> partitiv ist. Der Relativsatz </w:t>
      </w:r>
      <w:proofErr w:type="spellStart"/>
      <w:r w:rsidRPr="00E3356A">
        <w:rPr>
          <w:rFonts w:eastAsia="Times New Roman"/>
          <w:lang w:eastAsia="de-DE"/>
        </w:rPr>
        <w:t>ὧν</w:t>
      </w:r>
      <w:proofErr w:type="spellEnd"/>
      <w:r w:rsidRPr="00E3356A">
        <w:rPr>
          <w:rFonts w:eastAsia="Times New Roman"/>
          <w:lang w:eastAsia="de-DE"/>
        </w:rPr>
        <w:t xml:space="preserve"> </w:t>
      </w:r>
      <w:proofErr w:type="spellStart"/>
      <w:r w:rsidRPr="00E3356A">
        <w:rPr>
          <w:rFonts w:eastAsia="Times New Roman"/>
          <w:lang w:eastAsia="de-DE"/>
        </w:rPr>
        <w:t>κύριος</w:t>
      </w:r>
      <w:proofErr w:type="spellEnd"/>
      <w:r w:rsidRPr="00E3356A">
        <w:rPr>
          <w:rFonts w:eastAsia="Times New Roman"/>
          <w:lang w:eastAsia="de-DE"/>
        </w:rPr>
        <w:t xml:space="preserve"> ὁ </w:t>
      </w:r>
      <w:proofErr w:type="spellStart"/>
      <w:r w:rsidRPr="00E3356A">
        <w:rPr>
          <w:rFonts w:eastAsia="Times New Roman"/>
          <w:lang w:eastAsia="de-DE"/>
        </w:rPr>
        <w:t>θεός</w:t>
      </w:r>
      <w:proofErr w:type="spellEnd"/>
      <w:r w:rsidRPr="00E3356A">
        <w:rPr>
          <w:rFonts w:eastAsia="Times New Roman"/>
          <w:lang w:eastAsia="de-DE"/>
        </w:rPr>
        <w:t xml:space="preserve"> </w:t>
      </w:r>
      <w:proofErr w:type="spellStart"/>
      <w:r w:rsidRPr="00E3356A">
        <w:rPr>
          <w:rFonts w:eastAsia="Times New Roman"/>
          <w:lang w:eastAsia="de-DE"/>
        </w:rPr>
        <w:t>σου</w:t>
      </w:r>
      <w:proofErr w:type="spellEnd"/>
      <w:r w:rsidRPr="00E3356A">
        <w:rPr>
          <w:rFonts w:eastAsia="Times New Roman"/>
          <w:lang w:eastAsia="de-DE"/>
        </w:rPr>
        <w:t xml:space="preserve"> </w:t>
      </w:r>
      <w:proofErr w:type="spellStart"/>
      <w:r w:rsidRPr="00E3356A">
        <w:rPr>
          <w:rFonts w:eastAsia="Times New Roman"/>
          <w:lang w:eastAsia="de-DE"/>
        </w:rPr>
        <w:t>δίδωσίν</w:t>
      </w:r>
      <w:proofErr w:type="spellEnd"/>
      <w:r w:rsidRPr="00E3356A">
        <w:rPr>
          <w:rFonts w:eastAsia="Times New Roman"/>
          <w:lang w:eastAsia="de-DE"/>
        </w:rPr>
        <w:t xml:space="preserve"> </w:t>
      </w:r>
      <w:proofErr w:type="spellStart"/>
      <w:r w:rsidRPr="00E3356A">
        <w:rPr>
          <w:rFonts w:eastAsia="Times New Roman"/>
          <w:lang w:eastAsia="de-DE"/>
        </w:rPr>
        <w:t>σοι</w:t>
      </w:r>
      <w:proofErr w:type="spellEnd"/>
      <w:r w:rsidRPr="00E3356A">
        <w:rPr>
          <w:rFonts w:eastAsia="Times New Roman"/>
          <w:lang w:eastAsia="de-DE"/>
        </w:rPr>
        <w:t xml:space="preserve"> κα</w:t>
      </w:r>
      <w:proofErr w:type="spellStart"/>
      <w:r w:rsidRPr="00E3356A">
        <w:rPr>
          <w:rFonts w:eastAsia="Times New Roman"/>
          <w:lang w:eastAsia="de-DE"/>
        </w:rPr>
        <w:t>τοικεῖν</w:t>
      </w:r>
      <w:proofErr w:type="spellEnd"/>
      <w:r w:rsidRPr="00E3356A">
        <w:rPr>
          <w:rFonts w:eastAsia="Times New Roman"/>
          <w:lang w:eastAsia="de-DE"/>
        </w:rPr>
        <w:t xml:space="preserve"> </w:t>
      </w:r>
      <w:proofErr w:type="spellStart"/>
      <w:r w:rsidRPr="00E3356A">
        <w:rPr>
          <w:rFonts w:eastAsia="Times New Roman"/>
          <w:lang w:eastAsia="de-DE"/>
        </w:rPr>
        <w:t>σε</w:t>
      </w:r>
      <w:proofErr w:type="spellEnd"/>
      <w:r w:rsidRPr="00E3356A">
        <w:rPr>
          <w:rFonts w:eastAsia="Times New Roman"/>
          <w:lang w:eastAsia="de-DE"/>
        </w:rPr>
        <w:t xml:space="preserve"> </w:t>
      </w:r>
      <w:proofErr w:type="spellStart"/>
      <w:r w:rsidRPr="00E3356A">
        <w:rPr>
          <w:rFonts w:eastAsia="Times New Roman"/>
          <w:lang w:eastAsia="de-DE"/>
        </w:rPr>
        <w:t>ἐκεῖ</w:t>
      </w:r>
      <w:proofErr w:type="spellEnd"/>
      <w:r w:rsidRPr="00E3356A">
        <w:rPr>
          <w:rFonts w:eastAsia="Times New Roman"/>
          <w:lang w:eastAsia="de-DE"/>
        </w:rPr>
        <w:t xml:space="preserve"> (die der Herr, dein Gott, dir gibt, damit du dort wohnst) gibt </w:t>
      </w:r>
      <w:r w:rsidRPr="00E3356A">
        <w:rPr>
          <w:rFonts w:eastAsia="Times New Roman"/>
          <w:rtl/>
          <w:lang w:eastAsia="de-DE"/>
        </w:rPr>
        <w:t>אֲשֶׁר יְהוָה אֱלֹהֶיךָ נֹתֵן לְךָ לָשֶׁבֶת שָׁם</w:t>
      </w:r>
      <w:r w:rsidRPr="00E3356A">
        <w:rPr>
          <w:rFonts w:eastAsia="Times New Roman"/>
          <w:lang w:eastAsia="de-DE"/>
        </w:rPr>
        <w:t xml:space="preserve"> wieder, wobei der Infinitiv κα</w:t>
      </w:r>
      <w:proofErr w:type="spellStart"/>
      <w:r w:rsidRPr="00E3356A">
        <w:rPr>
          <w:rFonts w:eastAsia="Times New Roman"/>
          <w:lang w:eastAsia="de-DE"/>
        </w:rPr>
        <w:t>τοικεῖν</w:t>
      </w:r>
      <w:proofErr w:type="spellEnd"/>
      <w:r w:rsidRPr="00E3356A">
        <w:rPr>
          <w:rFonts w:eastAsia="Times New Roman"/>
          <w:lang w:eastAsia="de-DE"/>
        </w:rPr>
        <w:t xml:space="preserve"> den Zweck ausdrückt. Das partizipiale </w:t>
      </w:r>
      <w:proofErr w:type="spellStart"/>
      <w:r w:rsidRPr="00E3356A">
        <w:rPr>
          <w:rFonts w:eastAsia="Times New Roman"/>
          <w:lang w:eastAsia="de-DE"/>
        </w:rPr>
        <w:t>λεγόντων</w:t>
      </w:r>
      <w:proofErr w:type="spellEnd"/>
      <w:r w:rsidRPr="00E3356A">
        <w:rPr>
          <w:rFonts w:eastAsia="Times New Roman"/>
          <w:lang w:eastAsia="de-DE"/>
        </w:rPr>
        <w:t xml:space="preserve"> (sagend) entspricht dem hebräischen </w:t>
      </w:r>
      <w:r w:rsidRPr="00E3356A">
        <w:rPr>
          <w:rFonts w:eastAsia="Times New Roman"/>
          <w:rtl/>
          <w:lang w:eastAsia="de-DE"/>
        </w:rPr>
        <w:t>לֵאמֹר</w:t>
      </w:r>
      <w:r w:rsidRPr="00E3356A">
        <w:rPr>
          <w:rFonts w:eastAsia="Times New Roman"/>
          <w:lang w:eastAsia="de-DE"/>
        </w:rPr>
        <w:t>.</w:t>
      </w:r>
    </w:p>
    <w:p w14:paraId="28F0202A" w14:textId="77777777" w:rsidR="00724090" w:rsidRDefault="00724090" w:rsidP="00724090">
      <w:pPr>
        <w:pStyle w:val="whitespace-normal"/>
      </w:pPr>
      <w:r>
        <w:rPr>
          <w:rStyle w:val="Fett"/>
          <w:rFonts w:eastAsiaTheme="majorEastAsia"/>
        </w:rPr>
        <w:t>Die Satzstruktur</w:t>
      </w:r>
      <w:r>
        <w:t xml:space="preserve"> besteht aus einem konditionalen Satz mit Relativsatz und finaler Bestimmung: Konditionale Konjunktion (wenn), Prädikat (du hörst), lokale Bestimmung (in einer deiner Städte), Relativsatz mit Subjekt (JHWH, dein Gott), Prädikat (gibt), Dativ (dir), finale Bestimmung (um dort zu wohnen), einleitender Infinitiv (sagend).</w:t>
      </w:r>
    </w:p>
    <w:p w14:paraId="1F0EA94D" w14:textId="77777777" w:rsidR="00724090" w:rsidRDefault="00724090" w:rsidP="00724090">
      <w:pPr>
        <w:pStyle w:val="whitespace-normal"/>
      </w:pPr>
      <w:r>
        <w:t>Der Vers eröffnet das dritte Szenario: Wenn man von einer israelitischen Stadt hört, die JHWH zum Wohnen gegeben hat, dass dort etwas gesagt wird – V. 14 spezifiziert, was gesagt wird.</w:t>
      </w:r>
    </w:p>
    <w:p w14:paraId="1081B1BD"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13,14</w:t>
      </w:r>
    </w:p>
    <w:p w14:paraId="5A8C4D11" w14:textId="77777777" w:rsidR="00724090" w:rsidRDefault="00724090" w:rsidP="00724090">
      <w:pPr>
        <w:pStyle w:val="whitespace-normal"/>
      </w:pPr>
      <w:r>
        <w:rPr>
          <w:rStyle w:val="Fett"/>
          <w:rFonts w:eastAsiaTheme="majorEastAsia"/>
        </w:rPr>
        <w:t>Hebräisch:</w:t>
      </w:r>
      <w:r>
        <w:t xml:space="preserve"> </w:t>
      </w:r>
      <w:r>
        <w:rPr>
          <w:rtl/>
        </w:rPr>
        <w:t>יָצְא֞וּ אֲנָשִׁ֤ים בְּנֵֽי־בְלִיַּ֨עַל֙ מִקִּרְבֶּ֔ךָ וַיַּדִּ֛יחוּ אֶת־יֹשְׁבֵ֥י עִירָ֖ם לֵאמֹ֑ר נֵלְכָ֗ה וְנַעַבְדָ֛ה אֱלֹהִ֥ים אֲחֵרִ֖ים אֲשֶׁ֥ר לֹא־יְדַעְתֶּֽם׃</w:t>
      </w:r>
    </w:p>
    <w:p w14:paraId="537561DC" w14:textId="12B8A20B" w:rsidR="00724090" w:rsidRDefault="00724090" w:rsidP="00724090">
      <w:pPr>
        <w:pStyle w:val="whitespace-normal"/>
      </w:pPr>
      <w:r>
        <w:rPr>
          <w:rStyle w:val="Fett"/>
          <w:rFonts w:eastAsiaTheme="majorEastAsia"/>
        </w:rPr>
        <w:t>Deutsch:</w:t>
      </w:r>
      <w:r>
        <w:t xml:space="preserve"> Es sind Männer, Söhne ohne Nutzen, aus deiner Mitte ausgegangen und haben die Bewohner ihrer Stadt verführt und gesagt: Lasst uns gehen und anderen Göttern dienen, die ihr nicht gekannt habt.</w:t>
      </w:r>
    </w:p>
    <w:p w14:paraId="502D4587" w14:textId="3CE2FB87" w:rsidR="009C316F" w:rsidRDefault="004F5CEB" w:rsidP="00724090">
      <w:pPr>
        <w:pStyle w:val="whitespace-normal"/>
      </w:pPr>
      <w:r>
        <w:rPr>
          <w:noProof/>
        </w:rPr>
        <w:pict w14:anchorId="73D13B75">
          <v:rect id="_x0000_i1417" style="width:0;height:1.5pt" o:hralign="center" o:hrstd="t" o:hr="t" fillcolor="#a0a0a0" stroked="f"/>
        </w:pict>
      </w:r>
    </w:p>
    <w:p w14:paraId="59382936"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יָצְאוּ אֲנָשִׁים בְּנֵי־בְלִיַּעַל מִקִּרְבֶּךָ</w:t>
      </w:r>
      <w:r>
        <w:rPr>
          <w:rtl/>
        </w:rPr>
        <w:t xml:space="preserve"> </w:t>
      </w:r>
      <w:r>
        <w:t xml:space="preserve">ist der erste Satz: </w:t>
      </w:r>
      <w:r>
        <w:rPr>
          <w:rStyle w:val="Fett"/>
          <w:rFonts w:eastAsiaTheme="majorEastAsia"/>
          <w:rtl/>
        </w:rPr>
        <w:t>יָצְאוּ</w:t>
      </w:r>
      <w:r>
        <w:rPr>
          <w:rtl/>
        </w:rPr>
        <w:t xml:space="preserve"> </w:t>
      </w:r>
      <w:r>
        <w:t xml:space="preserve">(Qal Perfekt, 3. Person Plural von </w:t>
      </w:r>
      <w:r>
        <w:rPr>
          <w:rStyle w:val="Fett"/>
          <w:rFonts w:eastAsiaTheme="majorEastAsia"/>
          <w:rtl/>
        </w:rPr>
        <w:t>יצא</w:t>
      </w:r>
      <w:r>
        <w:t xml:space="preserve">, „hinausgehen, ausgehen"), </w:t>
      </w:r>
      <w:r>
        <w:rPr>
          <w:rStyle w:val="Fett"/>
          <w:rFonts w:eastAsiaTheme="majorEastAsia"/>
          <w:rtl/>
        </w:rPr>
        <w:t>אֲנָשִׁים</w:t>
      </w:r>
      <w:r>
        <w:rPr>
          <w:rtl/>
        </w:rPr>
        <w:t xml:space="preserve"> </w:t>
      </w:r>
      <w:r>
        <w:t>(</w:t>
      </w:r>
      <w:r>
        <w:rPr>
          <w:rStyle w:val="Fett"/>
          <w:rFonts w:eastAsiaTheme="majorEastAsia"/>
          <w:rtl/>
        </w:rPr>
        <w:t>אִישׁ</w:t>
      </w:r>
      <w:r>
        <w:t xml:space="preserve">, „Mann", Plural, „Männer") als Subjekt, </w:t>
      </w:r>
      <w:r>
        <w:rPr>
          <w:rStyle w:val="Fett"/>
          <w:rFonts w:eastAsiaTheme="majorEastAsia"/>
          <w:rtl/>
        </w:rPr>
        <w:t>בְּנֵי־בְלִיַּעַל</w:t>
      </w:r>
      <w:r>
        <w:rPr>
          <w:rtl/>
        </w:rPr>
        <w:t xml:space="preserve"> </w:t>
      </w:r>
      <w:r>
        <w:t>(</w:t>
      </w:r>
      <w:r>
        <w:rPr>
          <w:rStyle w:val="Fett"/>
          <w:rFonts w:eastAsiaTheme="majorEastAsia"/>
          <w:rtl/>
        </w:rPr>
        <w:t>בֵּן</w:t>
      </w:r>
      <w:r>
        <w:t xml:space="preserve">, „Sohn", Plural Construct mit </w:t>
      </w:r>
      <w:r>
        <w:rPr>
          <w:rStyle w:val="Fett"/>
          <w:rFonts w:eastAsiaTheme="majorEastAsia"/>
          <w:rtl/>
        </w:rPr>
        <w:t>בְּלִיַּעַל</w:t>
      </w:r>
      <w:r>
        <w:t xml:space="preserve">, „Wertlosigkeit, Nichtswürdigkeit", „Söhne des </w:t>
      </w:r>
      <w:r>
        <w:lastRenderedPageBreak/>
        <w:t xml:space="preserve">Belial, nichtsnutzige Männer") als Apposition und </w:t>
      </w:r>
      <w:r>
        <w:rPr>
          <w:rStyle w:val="Fett"/>
          <w:rFonts w:eastAsiaTheme="majorEastAsia"/>
          <w:rtl/>
        </w:rPr>
        <w:t>מִקִּרְבֶּךָ</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קֶרֶב</w:t>
      </w:r>
      <w:r>
        <w:t>, mit Suffix 2. Person Maskulinum Singular, „aus deiner Mitte") als Herkunftsangabe.</w:t>
      </w:r>
    </w:p>
    <w:p w14:paraId="5A91D2DC" w14:textId="56F81A1C" w:rsidR="00724090" w:rsidRDefault="00724090" w:rsidP="00724090">
      <w:pPr>
        <w:pStyle w:val="whitespace-normal"/>
      </w:pPr>
      <w:r>
        <w:t xml:space="preserve">Die Wendung </w:t>
      </w:r>
      <w:r>
        <w:rPr>
          <w:rStyle w:val="Fett"/>
          <w:rFonts w:eastAsiaTheme="majorEastAsia"/>
          <w:rtl/>
        </w:rPr>
        <w:t>בְּנֵי־בְלִיַּעַל</w:t>
      </w:r>
      <w:r>
        <w:rPr>
          <w:rtl/>
        </w:rPr>
        <w:t xml:space="preserve"> </w:t>
      </w:r>
      <w:r>
        <w:t xml:space="preserve">ist schwierig zu übersetzen. </w:t>
      </w:r>
      <w:r>
        <w:rPr>
          <w:rStyle w:val="Fett"/>
          <w:rFonts w:eastAsiaTheme="majorEastAsia"/>
          <w:rtl/>
        </w:rPr>
        <w:t>בְּלִיַּעַל</w:t>
      </w:r>
      <w:r>
        <w:rPr>
          <w:rtl/>
        </w:rPr>
        <w:t xml:space="preserve"> </w:t>
      </w:r>
      <w:r>
        <w:t xml:space="preserve">ist ein Abstraktum von </w:t>
      </w:r>
      <w:r>
        <w:rPr>
          <w:rStyle w:val="Fett"/>
          <w:rFonts w:eastAsiaTheme="majorEastAsia"/>
          <w:rtl/>
        </w:rPr>
        <w:t>בלע</w:t>
      </w:r>
      <w:r>
        <w:t xml:space="preserve">, „verschlingen", mit Negation </w:t>
      </w:r>
      <w:r>
        <w:rPr>
          <w:rStyle w:val="Fett"/>
          <w:rFonts w:eastAsiaTheme="majorEastAsia"/>
          <w:rtl/>
        </w:rPr>
        <w:t>בְּלִי</w:t>
      </w:r>
      <w:r>
        <w:t xml:space="preserve">, „ohne", also „ohne Nutzen, wertlos, nichtsnutzig". Die Konstruktion </w:t>
      </w:r>
      <w:r>
        <w:rPr>
          <w:rStyle w:val="Fett"/>
          <w:rFonts w:eastAsiaTheme="majorEastAsia"/>
          <w:rtl/>
        </w:rPr>
        <w:t>בְּנֵי־בְלִיַּעַל</w:t>
      </w:r>
      <w:r>
        <w:rPr>
          <w:rtl/>
        </w:rPr>
        <w:t xml:space="preserve"> </w:t>
      </w:r>
      <w:r>
        <w:t xml:space="preserve">bezeichnet charakterlich verdorbene, niederträchtige Menschen (vgl. Ri 19,22; 20,13; </w:t>
      </w:r>
      <w:r w:rsidR="00664EB6">
        <w:t>1Sam</w:t>
      </w:r>
      <w:r>
        <w:t xml:space="preserve"> 1,16; 2,12; 10,27; 25,17.25; 30,22; </w:t>
      </w:r>
      <w:r w:rsidR="00664EB6">
        <w:t>2Sam</w:t>
      </w:r>
      <w:r>
        <w:t xml:space="preserve"> 16,7; 20,1; 23,6; </w:t>
      </w:r>
      <w:r w:rsidR="00664EB6">
        <w:t>1Kön</w:t>
      </w:r>
      <w:r>
        <w:t xml:space="preserve"> 21,10.13; </w:t>
      </w:r>
      <w:r w:rsidR="00664EB6">
        <w:t>2Chr</w:t>
      </w:r>
      <w:r>
        <w:t xml:space="preserve"> 13,7; Spr 6,12; 16,27; 19,28).</w:t>
      </w:r>
    </w:p>
    <w:p w14:paraId="27531E63" w14:textId="77777777" w:rsidR="00724090" w:rsidRDefault="00724090" w:rsidP="00724090">
      <w:pPr>
        <w:pStyle w:val="whitespace-normal"/>
      </w:pPr>
      <w:r>
        <w:rPr>
          <w:rStyle w:val="Fett"/>
          <w:rFonts w:eastAsiaTheme="majorEastAsia"/>
          <w:rtl/>
        </w:rPr>
        <w:t>וַיַּדִּיחוּ אֶת־יֹשְׁבֵי עִירָם לֵאמֹר</w:t>
      </w:r>
      <w:r>
        <w:rPr>
          <w:rtl/>
        </w:rPr>
        <w:t xml:space="preserve"> </w:t>
      </w:r>
      <w:r>
        <w:t xml:space="preserve">ist der zweite Satz: </w:t>
      </w:r>
      <w:r>
        <w:rPr>
          <w:rStyle w:val="Fett"/>
          <w:rFonts w:eastAsiaTheme="majorEastAsia"/>
          <w:rtl/>
        </w:rPr>
        <w:t>וַיַּדִּיחוּ</w:t>
      </w:r>
      <w:r>
        <w:rPr>
          <w:rtl/>
        </w:rPr>
        <w:t xml:space="preserve"> </w:t>
      </w:r>
      <w:r>
        <w:t xml:space="preserve">(Hiphil Imperfekt, 3. Person Plural von </w:t>
      </w:r>
      <w:r>
        <w:rPr>
          <w:rStyle w:val="Fett"/>
          <w:rFonts w:eastAsiaTheme="majorEastAsia"/>
          <w:rtl/>
        </w:rPr>
        <w:t>נדח</w:t>
      </w:r>
      <w:r>
        <w:t xml:space="preserve">, „verstoßen", in der Hiphil-Form „verführen, abführen", mit </w:t>
      </w:r>
      <w:r>
        <w:rPr>
          <w:rStyle w:val="Fett"/>
          <w:rFonts w:eastAsiaTheme="majorEastAsia"/>
        </w:rPr>
        <w:t>Waw</w:t>
      </w:r>
      <w:r>
        <w:t xml:space="preserve"> consecutives Imperfekt), </w:t>
      </w:r>
      <w:r>
        <w:rPr>
          <w:rStyle w:val="Fett"/>
          <w:rFonts w:eastAsiaTheme="majorEastAsia"/>
          <w:rtl/>
        </w:rPr>
        <w:t>אֶת־יֹשְׁבֵי עִירָם</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ישׁב</w:t>
      </w:r>
      <w:r>
        <w:t xml:space="preserve">, Qal Partizip Maskulinum Plural von </w:t>
      </w:r>
      <w:r>
        <w:rPr>
          <w:rStyle w:val="Fett"/>
          <w:rFonts w:eastAsiaTheme="majorEastAsia"/>
          <w:rtl/>
        </w:rPr>
        <w:t>ישׁב</w:t>
      </w:r>
      <w:r>
        <w:t xml:space="preserve">, „wohnen, sitzen", „Bewohner", Construct mit </w:t>
      </w:r>
      <w:r>
        <w:rPr>
          <w:rStyle w:val="Fett"/>
          <w:rFonts w:eastAsiaTheme="majorEastAsia"/>
          <w:rtl/>
        </w:rPr>
        <w:t>עִיר</w:t>
      </w:r>
      <w:r>
        <w:t xml:space="preserve">, „Stadt", mit Suffix 3. Person Maskulinum Plural, „die Bewohner ihrer Stadt") als direktes Objekt und </w:t>
      </w:r>
      <w:r>
        <w:rPr>
          <w:rStyle w:val="Fett"/>
          <w:rFonts w:eastAsiaTheme="majorEastAsia"/>
          <w:rtl/>
        </w:rPr>
        <w:t>לֵאמֹר</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אמר</w:t>
      </w:r>
      <w:r>
        <w:t>, „sagen", „indem sie sagten, sagend").</w:t>
      </w:r>
    </w:p>
    <w:p w14:paraId="3AC174FC" w14:textId="77777777" w:rsidR="00724090" w:rsidRDefault="00724090" w:rsidP="00724090">
      <w:pPr>
        <w:pStyle w:val="whitespace-normal"/>
      </w:pPr>
      <w:r>
        <w:rPr>
          <w:rStyle w:val="Fett"/>
          <w:rFonts w:eastAsiaTheme="majorEastAsia"/>
          <w:rtl/>
        </w:rPr>
        <w:t>נֵלְכָה וְנַעַבְדָה אֱלֹהִים אֲחֵרִים אֲשֶׁר לֹא־יְדַעְתֶּם</w:t>
      </w:r>
      <w:r>
        <w:rPr>
          <w:rtl/>
        </w:rPr>
        <w:t xml:space="preserve"> </w:t>
      </w:r>
      <w:r>
        <w:t xml:space="preserve">ist die direkte Rede: </w:t>
      </w:r>
      <w:r>
        <w:rPr>
          <w:rStyle w:val="Fett"/>
          <w:rFonts w:eastAsiaTheme="majorEastAsia"/>
          <w:rtl/>
        </w:rPr>
        <w:t>נֵלְכָה</w:t>
      </w:r>
      <w:r>
        <w:rPr>
          <w:rtl/>
        </w:rPr>
        <w:t xml:space="preserve"> </w:t>
      </w:r>
      <w:r>
        <w:t xml:space="preserve">(Qal Imperfekt, 1. Person Plural von </w:t>
      </w:r>
      <w:r>
        <w:rPr>
          <w:rStyle w:val="Fett"/>
          <w:rFonts w:eastAsiaTheme="majorEastAsia"/>
          <w:rtl/>
        </w:rPr>
        <w:t>הלך</w:t>
      </w:r>
      <w:r>
        <w:t xml:space="preserve">, „gehen", als Kohortativ, „lasst uns gehen"), koordiniert durch </w:t>
      </w:r>
      <w:r>
        <w:rPr>
          <w:rStyle w:val="Fett"/>
          <w:rFonts w:eastAsiaTheme="majorEastAsia"/>
          <w:rtl/>
        </w:rPr>
        <w:t>וְ</w:t>
      </w:r>
      <w:r>
        <w:rPr>
          <w:rtl/>
        </w:rPr>
        <w:t xml:space="preserve"> </w:t>
      </w:r>
      <w:r>
        <w:t xml:space="preserve">mit </w:t>
      </w:r>
      <w:r>
        <w:rPr>
          <w:rStyle w:val="Fett"/>
          <w:rFonts w:eastAsiaTheme="majorEastAsia"/>
          <w:rtl/>
        </w:rPr>
        <w:t>נַעַבְדָה</w:t>
      </w:r>
      <w:r>
        <w:rPr>
          <w:rtl/>
        </w:rPr>
        <w:t xml:space="preserve"> </w:t>
      </w:r>
      <w:r>
        <w:t xml:space="preserve">(Qal Imperfekt, 1. Person Plural von </w:t>
      </w:r>
      <w:r>
        <w:rPr>
          <w:rStyle w:val="Fett"/>
          <w:rFonts w:eastAsiaTheme="majorEastAsia"/>
          <w:rtl/>
        </w:rPr>
        <w:t>עבד</w:t>
      </w:r>
      <w:r>
        <w:t xml:space="preserve">, „dienen", als Kohortativ), </w:t>
      </w:r>
      <w:r>
        <w:rPr>
          <w:rStyle w:val="Fett"/>
          <w:rFonts w:eastAsiaTheme="majorEastAsia"/>
          <w:rtl/>
        </w:rPr>
        <w:t>אֱלֹהִים אֲחֵרִים</w:t>
      </w:r>
      <w:r>
        <w:rPr>
          <w:rtl/>
        </w:rPr>
        <w:t xml:space="preserve"> </w:t>
      </w:r>
      <w:r>
        <w:t xml:space="preserve">(„andere Götter") als direktes Objekt und </w:t>
      </w:r>
      <w:r>
        <w:rPr>
          <w:rStyle w:val="Fett"/>
          <w:rFonts w:eastAsiaTheme="majorEastAsia"/>
          <w:rtl/>
        </w:rPr>
        <w:t>אֲשֶׁר לֹא־יְדַעְתֶּם</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לֹא־יְדַעְתֶּם</w:t>
      </w:r>
      <w:r>
        <w:t xml:space="preserve">, Negation </w:t>
      </w:r>
      <w:r>
        <w:rPr>
          <w:rStyle w:val="Fett"/>
          <w:rFonts w:eastAsiaTheme="majorEastAsia"/>
          <w:rtl/>
        </w:rPr>
        <w:t>לֹא</w:t>
      </w:r>
      <w:r>
        <w:rPr>
          <w:rtl/>
        </w:rPr>
        <w:t xml:space="preserve"> </w:t>
      </w:r>
      <w:r>
        <w:t xml:space="preserve">mit </w:t>
      </w:r>
      <w:r>
        <w:rPr>
          <w:rStyle w:val="Fett"/>
          <w:rFonts w:eastAsiaTheme="majorEastAsia"/>
          <w:rtl/>
        </w:rPr>
        <w:t>ידע</w:t>
      </w:r>
      <w:r>
        <w:t xml:space="preserve">, Qal Perfekt, 2. Person Maskulinum Plural von </w:t>
      </w:r>
      <w:r>
        <w:rPr>
          <w:rStyle w:val="Fett"/>
          <w:rFonts w:eastAsiaTheme="majorEastAsia"/>
          <w:rtl/>
        </w:rPr>
        <w:t>ידע</w:t>
      </w:r>
      <w:r>
        <w:t>, „kennen"). Die Formulierung wiederholt die verführerische Aufforderung aus V. 3 und 7, nun aber im Plural.</w:t>
      </w:r>
    </w:p>
    <w:p w14:paraId="2AB1CA27" w14:textId="28DD5ECC" w:rsidR="00724090" w:rsidRDefault="00724090" w:rsidP="00724090">
      <w:pPr>
        <w:pStyle w:val="whitespace-normal"/>
      </w:pPr>
      <w:r>
        <w:t xml:space="preserve">Der Vers beschreibt die Verführer als </w:t>
      </w:r>
      <w:r>
        <w:rPr>
          <w:rStyle w:val="Fett"/>
          <w:rFonts w:eastAsiaTheme="majorEastAsia"/>
          <w:rtl/>
        </w:rPr>
        <w:t>בְּנֵי־בְלִיַּעַל</w:t>
      </w:r>
      <w:r>
        <w:rPr>
          <w:rtl/>
        </w:rPr>
        <w:t xml:space="preserve"> </w:t>
      </w:r>
      <w:r>
        <w:t xml:space="preserve">(„Söhne des Belial") – charakterlich verdorbene Männer. Sie kommen </w:t>
      </w:r>
      <w:r>
        <w:rPr>
          <w:rStyle w:val="Fett"/>
          <w:rFonts w:eastAsiaTheme="majorEastAsia"/>
          <w:rtl/>
        </w:rPr>
        <w:t>מִקִּרְבֶּךָ</w:t>
      </w:r>
      <w:r>
        <w:rPr>
          <w:rtl/>
        </w:rPr>
        <w:t xml:space="preserve"> </w:t>
      </w:r>
      <w:r>
        <w:t xml:space="preserve">(„aus deiner Mitte"), sind also Israeliten, keine Fremden. Das Verb </w:t>
      </w:r>
      <w:r>
        <w:rPr>
          <w:rStyle w:val="Fett"/>
          <w:rFonts w:eastAsiaTheme="majorEastAsia"/>
          <w:rtl/>
        </w:rPr>
        <w:t>נדח</w:t>
      </w:r>
      <w:r>
        <w:rPr>
          <w:rtl/>
        </w:rPr>
        <w:t xml:space="preserve"> </w:t>
      </w:r>
      <w:r>
        <w:t xml:space="preserve">im Hiphil („verführen, abführen") ist dasselbe wie in V. 6 und 11. Die Verführung richtet sich an </w:t>
      </w:r>
      <w:r>
        <w:rPr>
          <w:rStyle w:val="Fett"/>
          <w:rFonts w:eastAsiaTheme="majorEastAsia"/>
          <w:rtl/>
        </w:rPr>
        <w:t>יֹשְׁבֵי עִירָם</w:t>
      </w:r>
      <w:r>
        <w:rPr>
          <w:rtl/>
        </w:rPr>
        <w:t xml:space="preserve"> </w:t>
      </w:r>
      <w:r>
        <w:t>(„die Bewohner ihrer Stadt") – sie verführen ihre eigenen Mitbürger. Die direkte Rede zeigt: Es geht um aktive Missionierung für den Götzendienst.</w:t>
      </w:r>
    </w:p>
    <w:p w14:paraId="158C6562" w14:textId="77777777" w:rsidR="00E3356A" w:rsidRPr="00E3356A" w:rsidRDefault="00E3356A" w:rsidP="00E3356A">
      <w:pPr>
        <w:spacing w:before="100" w:beforeAutospacing="1" w:after="100" w:afterAutospacing="1" w:line="240" w:lineRule="auto"/>
        <w:outlineLvl w:val="1"/>
        <w:rPr>
          <w:rFonts w:eastAsia="Times New Roman"/>
          <w:b/>
          <w:bCs/>
          <w:sz w:val="36"/>
          <w:szCs w:val="36"/>
          <w:lang w:eastAsia="de-DE"/>
        </w:rPr>
      </w:pPr>
      <w:r w:rsidRPr="00E3356A">
        <w:rPr>
          <w:rFonts w:eastAsia="Times New Roman"/>
          <w:b/>
          <w:bCs/>
          <w:sz w:val="36"/>
          <w:szCs w:val="36"/>
          <w:lang w:eastAsia="de-DE"/>
        </w:rPr>
        <w:t>Vers 14 (MT 13,14) / Vers 13 (LXX 13,13)</w:t>
      </w:r>
    </w:p>
    <w:p w14:paraId="4F8A7DA4" w14:textId="67B09C7D" w:rsidR="00E3356A" w:rsidRPr="00E3356A" w:rsidRDefault="00E3356A" w:rsidP="00E3356A">
      <w:pPr>
        <w:spacing w:before="100" w:beforeAutospacing="1" w:after="100" w:afterAutospacing="1" w:line="240" w:lineRule="auto"/>
        <w:rPr>
          <w:rFonts w:eastAsia="Times New Roman"/>
          <w:lang w:eastAsia="de-DE"/>
        </w:rPr>
      </w:pPr>
      <w:r w:rsidRPr="00E3356A">
        <w:rPr>
          <w:rFonts w:eastAsia="Times New Roman"/>
          <w:b/>
          <w:bCs/>
          <w:lang w:eastAsia="de-DE"/>
        </w:rPr>
        <w:t>Die LXX</w:t>
      </w:r>
      <w:r w:rsidRPr="00E3356A">
        <w:rPr>
          <w:rFonts w:eastAsia="Times New Roman"/>
          <w:lang w:eastAsia="de-DE"/>
        </w:rPr>
        <w:t xml:space="preserve"> bietet </w:t>
      </w:r>
      <w:proofErr w:type="spellStart"/>
      <w:r w:rsidRPr="00E3356A">
        <w:rPr>
          <w:rFonts w:eastAsia="Times New Roman"/>
          <w:lang w:eastAsia="de-DE"/>
        </w:rPr>
        <w:t>Ἐξήλθοσ</w:t>
      </w:r>
      <w:proofErr w:type="spellEnd"/>
      <w:r w:rsidRPr="00E3356A">
        <w:rPr>
          <w:rFonts w:eastAsia="Times New Roman"/>
          <w:lang w:eastAsia="de-DE"/>
        </w:rPr>
        <w:t xml:space="preserve">αν </w:t>
      </w:r>
      <w:proofErr w:type="spellStart"/>
      <w:r w:rsidRPr="00E3356A">
        <w:rPr>
          <w:rFonts w:eastAsia="Times New Roman"/>
          <w:lang w:eastAsia="de-DE"/>
        </w:rPr>
        <w:t>ἄνδρες</w:t>
      </w:r>
      <w:proofErr w:type="spellEnd"/>
      <w:r w:rsidRPr="00E3356A">
        <w:rPr>
          <w:rFonts w:eastAsia="Times New Roman"/>
          <w:lang w:eastAsia="de-DE"/>
        </w:rPr>
        <w:t xml:space="preserve"> πα</w:t>
      </w:r>
      <w:proofErr w:type="spellStart"/>
      <w:r w:rsidRPr="00E3356A">
        <w:rPr>
          <w:rFonts w:eastAsia="Times New Roman"/>
          <w:lang w:eastAsia="de-DE"/>
        </w:rPr>
        <w:t>ράνομοι</w:t>
      </w:r>
      <w:proofErr w:type="spellEnd"/>
      <w:r w:rsidRPr="00E3356A">
        <w:rPr>
          <w:rFonts w:eastAsia="Times New Roman"/>
          <w:lang w:eastAsia="de-DE"/>
        </w:rPr>
        <w:t xml:space="preserve"> </w:t>
      </w:r>
      <w:proofErr w:type="spellStart"/>
      <w:r w:rsidRPr="00E3356A">
        <w:rPr>
          <w:rFonts w:eastAsia="Times New Roman"/>
          <w:lang w:eastAsia="de-DE"/>
        </w:rPr>
        <w:t>ἐξ</w:t>
      </w:r>
      <w:proofErr w:type="spellEnd"/>
      <w:r w:rsidRPr="00E3356A">
        <w:rPr>
          <w:rFonts w:eastAsia="Times New Roman"/>
          <w:lang w:eastAsia="de-DE"/>
        </w:rPr>
        <w:t xml:space="preserve"> </w:t>
      </w:r>
      <w:proofErr w:type="spellStart"/>
      <w:r w:rsidRPr="00E3356A">
        <w:rPr>
          <w:rFonts w:eastAsia="Times New Roman"/>
          <w:lang w:eastAsia="de-DE"/>
        </w:rPr>
        <w:t>ὑμῶν</w:t>
      </w:r>
      <w:proofErr w:type="spellEnd"/>
      <w:r w:rsidRPr="00E3356A">
        <w:rPr>
          <w:rFonts w:eastAsia="Times New Roman"/>
          <w:lang w:eastAsia="de-DE"/>
        </w:rPr>
        <w:t xml:space="preserve"> (Es sind gesetzlose Männer aus euch hinausgegangen) für </w:t>
      </w:r>
      <w:r w:rsidRPr="00E3356A">
        <w:rPr>
          <w:rFonts w:eastAsia="Times New Roman"/>
          <w:rtl/>
          <w:lang w:eastAsia="de-DE"/>
        </w:rPr>
        <w:t>יָצְאוּ אֲנָשִׁים בְּנֵי־בְלִיַּעַל מִקִּרְבֶּךָ</w:t>
      </w:r>
      <w:r w:rsidRPr="00E3356A">
        <w:rPr>
          <w:rFonts w:eastAsia="Times New Roman"/>
          <w:lang w:eastAsia="de-DE"/>
        </w:rPr>
        <w:t>, wobei πα</w:t>
      </w:r>
      <w:proofErr w:type="spellStart"/>
      <w:r w:rsidRPr="00E3356A">
        <w:rPr>
          <w:rFonts w:eastAsia="Times New Roman"/>
          <w:lang w:eastAsia="de-DE"/>
        </w:rPr>
        <w:t>ράνομοι</w:t>
      </w:r>
      <w:proofErr w:type="spellEnd"/>
      <w:r w:rsidRPr="00E3356A">
        <w:rPr>
          <w:rFonts w:eastAsia="Times New Roman"/>
          <w:lang w:eastAsia="de-DE"/>
        </w:rPr>
        <w:t xml:space="preserve"> (gesetzlos) eine interpretative Wiedergabe von </w:t>
      </w:r>
      <w:r w:rsidRPr="00E3356A">
        <w:rPr>
          <w:rFonts w:eastAsia="Times New Roman"/>
          <w:rtl/>
          <w:lang w:eastAsia="de-DE"/>
        </w:rPr>
        <w:t>בְּנֵי־בְלִיַּעַל</w:t>
      </w:r>
      <w:r w:rsidRPr="00E3356A">
        <w:rPr>
          <w:rFonts w:eastAsia="Times New Roman"/>
          <w:lang w:eastAsia="de-DE"/>
        </w:rPr>
        <w:t xml:space="preserve"> (Söhne Belials) darstellt. Das Verb καὶ ἀπ</w:t>
      </w:r>
      <w:proofErr w:type="spellStart"/>
      <w:r w:rsidRPr="00E3356A">
        <w:rPr>
          <w:rFonts w:eastAsia="Times New Roman"/>
          <w:lang w:eastAsia="de-DE"/>
        </w:rPr>
        <w:t>έστησ</w:t>
      </w:r>
      <w:proofErr w:type="spellEnd"/>
      <w:r w:rsidRPr="00E3356A">
        <w:rPr>
          <w:rFonts w:eastAsia="Times New Roman"/>
          <w:lang w:eastAsia="de-DE"/>
        </w:rPr>
        <w:t xml:space="preserve">αν (und sie haben abgewandt) für </w:t>
      </w:r>
      <w:r w:rsidRPr="00E3356A">
        <w:rPr>
          <w:rFonts w:eastAsia="Times New Roman"/>
          <w:rtl/>
          <w:lang w:eastAsia="de-DE"/>
        </w:rPr>
        <w:t>וַיַּדִּיחוּ</w:t>
      </w:r>
      <w:r w:rsidRPr="00E3356A">
        <w:rPr>
          <w:rFonts w:eastAsia="Times New Roman"/>
          <w:lang w:eastAsia="de-DE"/>
        </w:rPr>
        <w:t xml:space="preserve"> entspricht dem Hif'il von </w:t>
      </w:r>
      <w:r w:rsidRPr="00E3356A">
        <w:rPr>
          <w:rFonts w:eastAsia="Times New Roman"/>
          <w:rtl/>
          <w:lang w:eastAsia="de-DE"/>
        </w:rPr>
        <w:t>נדח</w:t>
      </w:r>
      <w:r w:rsidRPr="00E3356A">
        <w:rPr>
          <w:rFonts w:eastAsia="Times New Roman"/>
          <w:lang w:eastAsia="de-DE"/>
        </w:rPr>
        <w:t>. Die Formulierung π</w:t>
      </w:r>
      <w:proofErr w:type="spellStart"/>
      <w:r w:rsidRPr="00E3356A">
        <w:rPr>
          <w:rFonts w:eastAsia="Times New Roman"/>
          <w:lang w:eastAsia="de-DE"/>
        </w:rPr>
        <w:t>άντ</w:t>
      </w:r>
      <w:proofErr w:type="spellEnd"/>
      <w:r w:rsidRPr="00E3356A">
        <w:rPr>
          <w:rFonts w:eastAsia="Times New Roman"/>
          <w:lang w:eastAsia="de-DE"/>
        </w:rPr>
        <w:t xml:space="preserve">ας </w:t>
      </w:r>
      <w:proofErr w:type="spellStart"/>
      <w:r w:rsidRPr="00E3356A">
        <w:rPr>
          <w:rFonts w:eastAsia="Times New Roman"/>
          <w:lang w:eastAsia="de-DE"/>
        </w:rPr>
        <w:t>τοὺς</w:t>
      </w:r>
      <w:proofErr w:type="spellEnd"/>
      <w:r w:rsidRPr="00E3356A">
        <w:rPr>
          <w:rFonts w:eastAsia="Times New Roman"/>
          <w:lang w:eastAsia="de-DE"/>
        </w:rPr>
        <w:t xml:space="preserve"> κα</w:t>
      </w:r>
      <w:proofErr w:type="spellStart"/>
      <w:r w:rsidRPr="00E3356A">
        <w:rPr>
          <w:rFonts w:eastAsia="Times New Roman"/>
          <w:lang w:eastAsia="de-DE"/>
        </w:rPr>
        <w:t>τοικοῦντ</w:t>
      </w:r>
      <w:proofErr w:type="spellEnd"/>
      <w:r w:rsidRPr="00E3356A">
        <w:rPr>
          <w:rFonts w:eastAsia="Times New Roman"/>
          <w:lang w:eastAsia="de-DE"/>
        </w:rPr>
        <w:t>ας τὴν π</w:t>
      </w:r>
      <w:proofErr w:type="spellStart"/>
      <w:r w:rsidRPr="00E3356A">
        <w:rPr>
          <w:rFonts w:eastAsia="Times New Roman"/>
          <w:lang w:eastAsia="de-DE"/>
        </w:rPr>
        <w:t>όλιν</w:t>
      </w:r>
      <w:proofErr w:type="spellEnd"/>
      <w:r w:rsidRPr="00E3356A">
        <w:rPr>
          <w:rFonts w:eastAsia="Times New Roman"/>
          <w:lang w:eastAsia="de-DE"/>
        </w:rPr>
        <w:t xml:space="preserve"> α</w:t>
      </w:r>
      <w:proofErr w:type="spellStart"/>
      <w:r w:rsidRPr="00E3356A">
        <w:rPr>
          <w:rFonts w:eastAsia="Times New Roman"/>
          <w:lang w:eastAsia="de-DE"/>
        </w:rPr>
        <w:t>ὐτῶν</w:t>
      </w:r>
      <w:proofErr w:type="spellEnd"/>
      <w:r w:rsidRPr="00E3356A">
        <w:rPr>
          <w:rFonts w:eastAsia="Times New Roman"/>
          <w:lang w:eastAsia="de-DE"/>
        </w:rPr>
        <w:t xml:space="preserve"> (alle, die ihre Stadt bewohnen) gibt </w:t>
      </w:r>
      <w:r w:rsidRPr="00E3356A">
        <w:rPr>
          <w:rFonts w:eastAsia="Times New Roman"/>
          <w:rtl/>
          <w:lang w:eastAsia="de-DE"/>
        </w:rPr>
        <w:t>אֶת־יֹשְׁבֵי עִירָם</w:t>
      </w:r>
      <w:r w:rsidRPr="00E3356A">
        <w:rPr>
          <w:rFonts w:eastAsia="Times New Roman"/>
          <w:lang w:eastAsia="de-DE"/>
        </w:rPr>
        <w:t xml:space="preserve"> wieder. Die direkte Rede </w:t>
      </w:r>
      <w:proofErr w:type="spellStart"/>
      <w:r w:rsidRPr="00E3356A">
        <w:rPr>
          <w:rFonts w:eastAsia="Times New Roman"/>
          <w:lang w:eastAsia="de-DE"/>
        </w:rPr>
        <w:t>Πορευθῶμεν</w:t>
      </w:r>
      <w:proofErr w:type="spellEnd"/>
      <w:r w:rsidRPr="00E3356A">
        <w:rPr>
          <w:rFonts w:eastAsia="Times New Roman"/>
          <w:lang w:eastAsia="de-DE"/>
        </w:rPr>
        <w:t xml:space="preserve"> καὶ λα</w:t>
      </w:r>
      <w:proofErr w:type="spellStart"/>
      <w:r w:rsidRPr="00E3356A">
        <w:rPr>
          <w:rFonts w:eastAsia="Times New Roman"/>
          <w:lang w:eastAsia="de-DE"/>
        </w:rPr>
        <w:t>τρεύσωμεν</w:t>
      </w:r>
      <w:proofErr w:type="spellEnd"/>
      <w:r w:rsidRPr="00E3356A">
        <w:rPr>
          <w:rFonts w:eastAsia="Times New Roman"/>
          <w:lang w:eastAsia="de-DE"/>
        </w:rPr>
        <w:t xml:space="preserve"> </w:t>
      </w:r>
      <w:proofErr w:type="spellStart"/>
      <w:r w:rsidRPr="00E3356A">
        <w:rPr>
          <w:rFonts w:eastAsia="Times New Roman"/>
          <w:lang w:eastAsia="de-DE"/>
        </w:rPr>
        <w:t>θεοῖς</w:t>
      </w:r>
      <w:proofErr w:type="spellEnd"/>
      <w:r w:rsidRPr="00E3356A">
        <w:rPr>
          <w:rFonts w:eastAsia="Times New Roman"/>
          <w:lang w:eastAsia="de-DE"/>
        </w:rPr>
        <w:t xml:space="preserve"> </w:t>
      </w:r>
      <w:proofErr w:type="spellStart"/>
      <w:r w:rsidRPr="00E3356A">
        <w:rPr>
          <w:rFonts w:eastAsia="Times New Roman"/>
          <w:lang w:eastAsia="de-DE"/>
        </w:rPr>
        <w:t>ἑτέροις</w:t>
      </w:r>
      <w:proofErr w:type="spellEnd"/>
      <w:r w:rsidRPr="00E3356A">
        <w:rPr>
          <w:rFonts w:eastAsia="Times New Roman"/>
          <w:lang w:eastAsia="de-DE"/>
        </w:rPr>
        <w:t xml:space="preserve"> (Lasst uns gehen und anderen Göttern dienen) entspricht </w:t>
      </w:r>
      <w:r w:rsidRPr="00E3356A">
        <w:rPr>
          <w:rFonts w:eastAsia="Times New Roman"/>
          <w:rtl/>
          <w:lang w:eastAsia="de-DE"/>
        </w:rPr>
        <w:t>נֵלְכָה וְנַעַבְדָה אֱלֹהִים אֲחֵרִים</w:t>
      </w:r>
      <w:r w:rsidRPr="00E3356A">
        <w:rPr>
          <w:rFonts w:eastAsia="Times New Roman"/>
          <w:lang w:eastAsia="de-DE"/>
        </w:rPr>
        <w:t xml:space="preserve"> mit Konjunktiv Aorist für die </w:t>
      </w:r>
      <w:proofErr w:type="spellStart"/>
      <w:r w:rsidRPr="00E3356A">
        <w:rPr>
          <w:rFonts w:eastAsia="Times New Roman"/>
          <w:lang w:eastAsia="de-DE"/>
        </w:rPr>
        <w:t>kohortative</w:t>
      </w:r>
      <w:proofErr w:type="spellEnd"/>
      <w:r w:rsidRPr="00E3356A">
        <w:rPr>
          <w:rFonts w:eastAsia="Times New Roman"/>
          <w:lang w:eastAsia="de-DE"/>
        </w:rPr>
        <w:t xml:space="preserve"> Form. Der Relativsatz </w:t>
      </w:r>
      <w:proofErr w:type="spellStart"/>
      <w:r w:rsidRPr="00E3356A">
        <w:rPr>
          <w:rFonts w:eastAsia="Times New Roman"/>
          <w:lang w:eastAsia="de-DE"/>
        </w:rPr>
        <w:t>οὓς</w:t>
      </w:r>
      <w:proofErr w:type="spellEnd"/>
      <w:r w:rsidRPr="00E3356A">
        <w:rPr>
          <w:rFonts w:eastAsia="Times New Roman"/>
          <w:lang w:eastAsia="de-DE"/>
        </w:rPr>
        <w:t xml:space="preserve"> </w:t>
      </w:r>
      <w:proofErr w:type="spellStart"/>
      <w:r w:rsidRPr="00E3356A">
        <w:rPr>
          <w:rFonts w:eastAsia="Times New Roman"/>
          <w:lang w:eastAsia="de-DE"/>
        </w:rPr>
        <w:t>οὐκ</w:t>
      </w:r>
      <w:proofErr w:type="spellEnd"/>
      <w:r w:rsidRPr="00E3356A">
        <w:rPr>
          <w:rFonts w:eastAsia="Times New Roman"/>
          <w:lang w:eastAsia="de-DE"/>
        </w:rPr>
        <w:t xml:space="preserve"> </w:t>
      </w:r>
      <w:proofErr w:type="spellStart"/>
      <w:r w:rsidRPr="00E3356A">
        <w:rPr>
          <w:rFonts w:eastAsia="Times New Roman"/>
          <w:lang w:eastAsia="de-DE"/>
        </w:rPr>
        <w:t>ᾔδειτε</w:t>
      </w:r>
      <w:proofErr w:type="spellEnd"/>
      <w:r w:rsidRPr="00E3356A">
        <w:rPr>
          <w:rFonts w:eastAsia="Times New Roman"/>
          <w:lang w:eastAsia="de-DE"/>
        </w:rPr>
        <w:t xml:space="preserve"> (die ihr nicht kanntet) gibt </w:t>
      </w:r>
      <w:r w:rsidRPr="00E3356A">
        <w:rPr>
          <w:rFonts w:eastAsia="Times New Roman"/>
          <w:rtl/>
          <w:lang w:eastAsia="de-DE"/>
        </w:rPr>
        <w:t>אֲשֶׁר לֹא־יְדַעְתֶּם</w:t>
      </w:r>
      <w:r w:rsidRPr="00E3356A">
        <w:rPr>
          <w:rFonts w:eastAsia="Times New Roman"/>
          <w:lang w:eastAsia="de-DE"/>
        </w:rPr>
        <w:t xml:space="preserve"> präzise wieder.</w:t>
      </w:r>
    </w:p>
    <w:p w14:paraId="01A51582" w14:textId="77777777" w:rsidR="00724090" w:rsidRDefault="00724090" w:rsidP="00724090">
      <w:pPr>
        <w:pStyle w:val="whitespace-normal"/>
      </w:pPr>
      <w:r>
        <w:rPr>
          <w:rStyle w:val="Fett"/>
          <w:rFonts w:eastAsiaTheme="majorEastAsia"/>
        </w:rPr>
        <w:t>Die Satzstruktur</w:t>
      </w:r>
      <w:r>
        <w:t xml:space="preserve"> besteht aus zwei koordinierten Sätzen und direkter Rede: Erstes Prädikat (sind ausgegangen), Subjekt (Männer), Apposition (Söhne des Belial), Herkunftsangabe (aus deiner Mitte); zweites Prädikat (haben verführt), direktes Objekt (die Bewohner ihrer Stadt), einleitender Infinitiv (indem sie sagten); direkte Rede mit zwei Kohortativ (lasst uns gehen und dienen), direktem Objekt (anderen Göttern), Relativsatz (die ihr nicht gekannt habt).</w:t>
      </w:r>
    </w:p>
    <w:p w14:paraId="3536DFD0" w14:textId="77777777" w:rsidR="00724090" w:rsidRDefault="00724090" w:rsidP="00724090">
      <w:pPr>
        <w:pStyle w:val="whitespace-normal"/>
      </w:pPr>
      <w:r>
        <w:lastRenderedPageBreak/>
        <w:t>Der Vers spezifiziert: Charakterlose Männer sind aus der israelitischen Gemeinschaft hervorgegangen und haben die Bewohner ihrer eigenen Stadt zum Götzendienst verführt – Göttern, die Israel nicht kennt.</w:t>
      </w:r>
    </w:p>
    <w:p w14:paraId="15350243"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13,15</w:t>
      </w:r>
    </w:p>
    <w:p w14:paraId="2DA47F33" w14:textId="77777777" w:rsidR="00724090" w:rsidRDefault="00724090" w:rsidP="00724090">
      <w:pPr>
        <w:pStyle w:val="whitespace-normal"/>
      </w:pPr>
      <w:r>
        <w:rPr>
          <w:rStyle w:val="Fett"/>
          <w:rFonts w:eastAsiaTheme="majorEastAsia"/>
        </w:rPr>
        <w:t>Hebräisch:</w:t>
      </w:r>
      <w:r>
        <w:t xml:space="preserve"> </w:t>
      </w:r>
      <w:r>
        <w:rPr>
          <w:rtl/>
        </w:rPr>
        <w:t>וְדָרַשְׁתָּ֧ וְחָקַרְתָּ֧ וְשָׁאַלְתָּ֖ הֵיטֵ֑ב וְהִנֵּ֤ה אֱמֶת֙ נָכ֣וֹן הַדָּבָ֔ר נֶעֶשְׂתָ֛ה הַתּוֹעֵבָ֥ה הַזֹּ֖את בְּקִרְבֶּֽךָ׃</w:t>
      </w:r>
    </w:p>
    <w:p w14:paraId="1AB081DD" w14:textId="6AD845FA" w:rsidR="00724090" w:rsidRDefault="00724090" w:rsidP="00724090">
      <w:pPr>
        <w:pStyle w:val="whitespace-normal"/>
      </w:pPr>
      <w:r>
        <w:rPr>
          <w:rStyle w:val="Fett"/>
          <w:rFonts w:eastAsiaTheme="majorEastAsia"/>
        </w:rPr>
        <w:t>Deutsch:</w:t>
      </w:r>
      <w:r>
        <w:t xml:space="preserve"> So sollst du genau untersuchen und nachforschen und fragen; und siehe, ist es Wahrheit, steht die Sache fest, ist dieser Gräuel in deiner Mitte verübt worden.</w:t>
      </w:r>
    </w:p>
    <w:p w14:paraId="06018328" w14:textId="4913A46F" w:rsidR="009C316F" w:rsidRDefault="004F5CEB" w:rsidP="00724090">
      <w:pPr>
        <w:pStyle w:val="whitespace-normal"/>
      </w:pPr>
      <w:r>
        <w:rPr>
          <w:noProof/>
        </w:rPr>
        <w:pict w14:anchorId="03114869">
          <v:rect id="_x0000_i1418" style="width:0;height:1.5pt" o:hralign="center" o:hrstd="t" o:hr="t" fillcolor="#a0a0a0" stroked="f"/>
        </w:pict>
      </w:r>
    </w:p>
    <w:p w14:paraId="0072AB35"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וְדָרַשְׁתָּ וְחָקַרְתָּ וְשָׁאַלְתָּ הֵיטֵב</w:t>
      </w:r>
      <w:r>
        <w:rPr>
          <w:rtl/>
        </w:rPr>
        <w:t xml:space="preserve"> </w:t>
      </w:r>
      <w:r>
        <w:t xml:space="preserve">sind drei koordinierte Imperative mit adverbialer Verstärkung: </w:t>
      </w:r>
      <w:r>
        <w:rPr>
          <w:rStyle w:val="Fett"/>
          <w:rFonts w:eastAsiaTheme="majorEastAsia"/>
          <w:rtl/>
        </w:rPr>
        <w:t>וְדָרַשְׁתָּ</w:t>
      </w:r>
      <w:r>
        <w:rPr>
          <w:rtl/>
        </w:rPr>
        <w:t xml:space="preserve"> </w:t>
      </w:r>
      <w:r>
        <w:t xml:space="preserve">(Qal Perfekt, 2. Person Maskulinum Singular von </w:t>
      </w:r>
      <w:r>
        <w:rPr>
          <w:rStyle w:val="Fett"/>
          <w:rFonts w:eastAsiaTheme="majorEastAsia"/>
          <w:rtl/>
        </w:rPr>
        <w:t>דרשׁ</w:t>
      </w:r>
      <w:r>
        <w:t xml:space="preserve">, „suchen, forschen, untersuchen", mit </w:t>
      </w:r>
      <w:r>
        <w:rPr>
          <w:rStyle w:val="Fett"/>
          <w:rFonts w:eastAsiaTheme="majorEastAsia"/>
        </w:rPr>
        <w:t>Waw</w:t>
      </w:r>
      <w:r>
        <w:t xml:space="preserve">, imperativisch), koordiniert durch </w:t>
      </w:r>
      <w:r>
        <w:rPr>
          <w:rStyle w:val="Fett"/>
          <w:rFonts w:eastAsiaTheme="majorEastAsia"/>
          <w:rtl/>
        </w:rPr>
        <w:t>וְ</w:t>
      </w:r>
      <w:r>
        <w:rPr>
          <w:rtl/>
        </w:rPr>
        <w:t xml:space="preserve"> </w:t>
      </w:r>
      <w:r>
        <w:t xml:space="preserve">mit </w:t>
      </w:r>
      <w:r>
        <w:rPr>
          <w:rStyle w:val="Fett"/>
          <w:rFonts w:eastAsiaTheme="majorEastAsia"/>
          <w:rtl/>
        </w:rPr>
        <w:t>חָקַרְתָּ</w:t>
      </w:r>
      <w:r>
        <w:rPr>
          <w:rtl/>
        </w:rPr>
        <w:t xml:space="preserve"> </w:t>
      </w:r>
      <w:r>
        <w:t xml:space="preserve">(Qal Perfekt, 2. Person Maskulinum Singular von </w:t>
      </w:r>
      <w:r>
        <w:rPr>
          <w:rStyle w:val="Fett"/>
          <w:rFonts w:eastAsiaTheme="majorEastAsia"/>
          <w:rtl/>
        </w:rPr>
        <w:t>חקר</w:t>
      </w:r>
      <w:r>
        <w:t xml:space="preserve">, „erforschen, nachforschen, prüfen", mit </w:t>
      </w:r>
      <w:r>
        <w:rPr>
          <w:rStyle w:val="Fett"/>
          <w:rFonts w:eastAsiaTheme="majorEastAsia"/>
        </w:rPr>
        <w:t>Waw</w:t>
      </w:r>
      <w:r>
        <w:t xml:space="preserve">), koordiniert durch </w:t>
      </w:r>
      <w:r>
        <w:rPr>
          <w:rStyle w:val="Fett"/>
          <w:rFonts w:eastAsiaTheme="majorEastAsia"/>
          <w:rtl/>
        </w:rPr>
        <w:t>וְ</w:t>
      </w:r>
      <w:r>
        <w:rPr>
          <w:rtl/>
        </w:rPr>
        <w:t xml:space="preserve"> </w:t>
      </w:r>
      <w:r>
        <w:t xml:space="preserve">mit </w:t>
      </w:r>
      <w:r>
        <w:rPr>
          <w:rStyle w:val="Fett"/>
          <w:rFonts w:eastAsiaTheme="majorEastAsia"/>
          <w:rtl/>
        </w:rPr>
        <w:t>שָׁאַלְתָּ</w:t>
      </w:r>
      <w:r>
        <w:rPr>
          <w:rtl/>
        </w:rPr>
        <w:t xml:space="preserve"> </w:t>
      </w:r>
      <w:r>
        <w:t xml:space="preserve">(Qal Perfekt, 2. Person Maskulinum Singular von </w:t>
      </w:r>
      <w:r>
        <w:rPr>
          <w:rStyle w:val="Fett"/>
          <w:rFonts w:eastAsiaTheme="majorEastAsia"/>
          <w:rtl/>
        </w:rPr>
        <w:t>שׁאל</w:t>
      </w:r>
      <w:r>
        <w:t xml:space="preserve">, „fragen, befragen", mit </w:t>
      </w:r>
      <w:r>
        <w:rPr>
          <w:rStyle w:val="Fett"/>
          <w:rFonts w:eastAsiaTheme="majorEastAsia"/>
        </w:rPr>
        <w:t>Waw</w:t>
      </w:r>
      <w:r>
        <w:t xml:space="preserve">) und </w:t>
      </w:r>
      <w:r>
        <w:rPr>
          <w:rStyle w:val="Fett"/>
          <w:rFonts w:eastAsiaTheme="majorEastAsia"/>
          <w:rtl/>
        </w:rPr>
        <w:t>הֵיטֵב</w:t>
      </w:r>
      <w:r>
        <w:rPr>
          <w:rtl/>
        </w:rPr>
        <w:t xml:space="preserve"> </w:t>
      </w:r>
      <w:r>
        <w:t xml:space="preserve">(Hiphil Infinitiv Absolut von </w:t>
      </w:r>
      <w:r>
        <w:rPr>
          <w:rStyle w:val="Fett"/>
          <w:rFonts w:eastAsiaTheme="majorEastAsia"/>
          <w:rtl/>
        </w:rPr>
        <w:t>יטב</w:t>
      </w:r>
      <w:r>
        <w:t xml:space="preserve">, „gut sein", in der Hiphil-Form als Adverb „gut, gründlich, sorgfältig") als adverbiale Verstärkung. Die drei Verben bilden eine Steigerung: untersuchen, erforschen, befragen. Der Infinitiv Absolut </w:t>
      </w:r>
      <w:r>
        <w:rPr>
          <w:rStyle w:val="Fett"/>
          <w:rFonts w:eastAsiaTheme="majorEastAsia"/>
          <w:rtl/>
        </w:rPr>
        <w:t>הֵיטֵב</w:t>
      </w:r>
      <w:r>
        <w:rPr>
          <w:rtl/>
        </w:rPr>
        <w:t xml:space="preserve"> </w:t>
      </w:r>
      <w:r>
        <w:t>verstärkt alle drei Imperative.</w:t>
      </w:r>
    </w:p>
    <w:p w14:paraId="4A1EB6A8" w14:textId="77777777" w:rsidR="00724090" w:rsidRDefault="00724090" w:rsidP="00724090">
      <w:pPr>
        <w:pStyle w:val="whitespace-normal"/>
      </w:pPr>
      <w:r>
        <w:rPr>
          <w:rStyle w:val="Fett"/>
          <w:rFonts w:eastAsiaTheme="majorEastAsia"/>
          <w:rtl/>
        </w:rPr>
        <w:t>וְהִנֵּה אֱמֶת נָכוֹן הַדָּבָר נֶעֶשְׂתָה הַתּוֹעֵבָה הַזֹּאת בְּקִרְבֶּךָ</w:t>
      </w:r>
      <w:r>
        <w:rPr>
          <w:rtl/>
        </w:rPr>
        <w:t xml:space="preserve"> </w:t>
      </w:r>
      <w:r>
        <w:t xml:space="preserve">ist ein dreigliedriger konditionaler Satz: </w:t>
      </w:r>
      <w:r>
        <w:rPr>
          <w:rStyle w:val="Fett"/>
          <w:rFonts w:eastAsiaTheme="majorEastAsia"/>
          <w:rtl/>
        </w:rPr>
        <w:t>וְהִנֵּה</w:t>
      </w:r>
      <w:r>
        <w:rPr>
          <w:rtl/>
        </w:rPr>
        <w:t xml:space="preserve"> </w:t>
      </w:r>
      <w:r>
        <w:t xml:space="preserve">(Partikel </w:t>
      </w:r>
      <w:r>
        <w:rPr>
          <w:rStyle w:val="Fett"/>
          <w:rFonts w:eastAsiaTheme="majorEastAsia"/>
          <w:rtl/>
        </w:rPr>
        <w:t>הִנֵּה</w:t>
      </w:r>
      <w:r>
        <w:t xml:space="preserve">, „siehe", mit </w:t>
      </w:r>
      <w:r>
        <w:rPr>
          <w:rStyle w:val="Fett"/>
          <w:rFonts w:eastAsiaTheme="majorEastAsia"/>
        </w:rPr>
        <w:t>Waw</w:t>
      </w:r>
      <w:r>
        <w:t xml:space="preserve">, „und siehe"), </w:t>
      </w:r>
      <w:r>
        <w:rPr>
          <w:rStyle w:val="Fett"/>
          <w:rFonts w:eastAsiaTheme="majorEastAsia"/>
          <w:rtl/>
        </w:rPr>
        <w:t>אֱמֶת</w:t>
      </w:r>
      <w:r>
        <w:rPr>
          <w:rtl/>
        </w:rPr>
        <w:t xml:space="preserve"> </w:t>
      </w:r>
      <w:r>
        <w:t>(</w:t>
      </w:r>
      <w:r>
        <w:rPr>
          <w:rStyle w:val="Fett"/>
          <w:rFonts w:eastAsiaTheme="majorEastAsia"/>
          <w:rtl/>
        </w:rPr>
        <w:t>אֱמֶת</w:t>
      </w:r>
      <w:r>
        <w:t xml:space="preserve">, „Wahrheit, Treue"), </w:t>
      </w:r>
      <w:r>
        <w:rPr>
          <w:rStyle w:val="Fett"/>
          <w:rFonts w:eastAsiaTheme="majorEastAsia"/>
          <w:rtl/>
        </w:rPr>
        <w:t>נָכוֹן</w:t>
      </w:r>
      <w:r>
        <w:rPr>
          <w:rtl/>
        </w:rPr>
        <w:t xml:space="preserve"> </w:t>
      </w:r>
      <w:r>
        <w:t xml:space="preserve">(Niphal Partizip Maskulinum Singular von </w:t>
      </w:r>
      <w:r>
        <w:rPr>
          <w:rStyle w:val="Fett"/>
          <w:rFonts w:eastAsiaTheme="majorEastAsia"/>
          <w:rtl/>
        </w:rPr>
        <w:t>כון</w:t>
      </w:r>
      <w:r>
        <w:t xml:space="preserve">, „feststehen, fest sein, zuverlässig sein"), </w:t>
      </w:r>
      <w:r>
        <w:rPr>
          <w:rStyle w:val="Fett"/>
          <w:rFonts w:eastAsiaTheme="majorEastAsia"/>
          <w:rtl/>
        </w:rPr>
        <w:t>הַדָּבָר</w:t>
      </w:r>
      <w:r>
        <w:rPr>
          <w:rtl/>
        </w:rPr>
        <w:t xml:space="preserve"> </w:t>
      </w:r>
      <w:r>
        <w:t>(</w:t>
      </w:r>
      <w:r>
        <w:rPr>
          <w:rStyle w:val="Fett"/>
          <w:rFonts w:eastAsiaTheme="majorEastAsia"/>
          <w:rtl/>
        </w:rPr>
        <w:t>דָּבָר</w:t>
      </w:r>
      <w:r>
        <w:t xml:space="preserve">, „Wort, Sache", mit Artikel) als Subjekt, </w:t>
      </w:r>
      <w:r>
        <w:rPr>
          <w:rStyle w:val="Fett"/>
          <w:rFonts w:eastAsiaTheme="majorEastAsia"/>
          <w:rtl/>
        </w:rPr>
        <w:t>נֶעֶשְׂתָה</w:t>
      </w:r>
      <w:r>
        <w:rPr>
          <w:rtl/>
        </w:rPr>
        <w:t xml:space="preserve"> </w:t>
      </w:r>
      <w:r>
        <w:t xml:space="preserve">(Niphal Perfekt, 3. Person feminin Singular von </w:t>
      </w:r>
      <w:r>
        <w:rPr>
          <w:rStyle w:val="Fett"/>
          <w:rFonts w:eastAsiaTheme="majorEastAsia"/>
          <w:rtl/>
        </w:rPr>
        <w:t>עשׂה</w:t>
      </w:r>
      <w:r>
        <w:t xml:space="preserve">, „tun", in der Niphal-Form „getan werden, verübt werden"), </w:t>
      </w:r>
      <w:r>
        <w:rPr>
          <w:rStyle w:val="Fett"/>
          <w:rFonts w:eastAsiaTheme="majorEastAsia"/>
          <w:rtl/>
        </w:rPr>
        <w:t>הַתּוֹעֵבָה הַזֹּאת</w:t>
      </w:r>
      <w:r>
        <w:rPr>
          <w:rtl/>
        </w:rPr>
        <w:t xml:space="preserve"> </w:t>
      </w:r>
      <w:r>
        <w:t>(</w:t>
      </w:r>
      <w:r>
        <w:rPr>
          <w:rStyle w:val="Fett"/>
          <w:rFonts w:eastAsiaTheme="majorEastAsia"/>
          <w:rtl/>
        </w:rPr>
        <w:t>תּוֹעֵבָה</w:t>
      </w:r>
      <w:r>
        <w:t xml:space="preserve">, „Gräuel", mit Artikel und Demonstrativpronomen </w:t>
      </w:r>
      <w:r>
        <w:rPr>
          <w:rStyle w:val="Fett"/>
          <w:rFonts w:eastAsiaTheme="majorEastAsia"/>
          <w:rtl/>
        </w:rPr>
        <w:t>הַזֹּאת</w:t>
      </w:r>
      <w:r>
        <w:t xml:space="preserve">, „dieser") als Subjekt und </w:t>
      </w:r>
      <w:r>
        <w:rPr>
          <w:rStyle w:val="Fett"/>
          <w:rFonts w:eastAsiaTheme="majorEastAsia"/>
          <w:rtl/>
        </w:rPr>
        <w:t>בְּקִרְבֶּךָ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קֶרֶב</w:t>
      </w:r>
      <w:r>
        <w:t>, mit Suffix 2. Person Maskulinum Singular, „in deiner Mitte") als lokale Bestimmung.</w:t>
      </w:r>
    </w:p>
    <w:p w14:paraId="1752152D" w14:textId="77777777" w:rsidR="00724090" w:rsidRDefault="00724090" w:rsidP="00724090">
      <w:pPr>
        <w:pStyle w:val="whitespace-normal"/>
      </w:pPr>
      <w:r>
        <w:t xml:space="preserve">Der Vers fordert sorgfältige Untersuchung vor der Verurteilung. Die drei Verben </w:t>
      </w:r>
      <w:r>
        <w:rPr>
          <w:rStyle w:val="Fett"/>
          <w:rFonts w:eastAsiaTheme="majorEastAsia"/>
          <w:rtl/>
        </w:rPr>
        <w:t>דרשׁ</w:t>
      </w:r>
      <w:r>
        <w:t xml:space="preserve">, </w:t>
      </w:r>
      <w:r>
        <w:rPr>
          <w:rStyle w:val="Fett"/>
          <w:rFonts w:eastAsiaTheme="majorEastAsia"/>
          <w:rtl/>
        </w:rPr>
        <w:t>חקר</w:t>
      </w:r>
      <w:r>
        <w:t xml:space="preserve">, </w:t>
      </w:r>
      <w:r>
        <w:rPr>
          <w:rStyle w:val="Fett"/>
          <w:rFonts w:eastAsiaTheme="majorEastAsia"/>
          <w:rtl/>
        </w:rPr>
        <w:t>שׁאל</w:t>
      </w:r>
      <w:r>
        <w:rPr>
          <w:rtl/>
        </w:rPr>
        <w:t xml:space="preserve"> </w:t>
      </w:r>
      <w:r>
        <w:t xml:space="preserve">decken verschiedene Aspekte der Untersuchung ab: allgemeine Nachforschung, gründliche Prüfung, Zeugenbefragung. Die adverbiale Verstärkung </w:t>
      </w:r>
      <w:r>
        <w:rPr>
          <w:rStyle w:val="Fett"/>
          <w:rFonts w:eastAsiaTheme="majorEastAsia"/>
          <w:rtl/>
        </w:rPr>
        <w:t>הֵיטֵב</w:t>
      </w:r>
      <w:r>
        <w:rPr>
          <w:rtl/>
        </w:rPr>
        <w:t xml:space="preserve"> </w:t>
      </w:r>
      <w:r>
        <w:t>(„gründlich, sorgfältig") unterstreicht die Notwendigkeit gewissenhafter Untersuchung.</w:t>
      </w:r>
    </w:p>
    <w:p w14:paraId="09BAA351" w14:textId="3AD7B08E" w:rsidR="00864B28" w:rsidRDefault="00724090" w:rsidP="00864B28">
      <w:pPr>
        <w:pStyle w:val="whitespace-normal"/>
      </w:pPr>
      <w:r>
        <w:t xml:space="preserve">Die dreifache Kondition </w:t>
      </w:r>
      <w:r>
        <w:rPr>
          <w:rStyle w:val="Fett"/>
          <w:rFonts w:eastAsiaTheme="majorEastAsia"/>
          <w:rtl/>
        </w:rPr>
        <w:t>אֱמֶת נָכוֹן הַדָּבָר</w:t>
      </w:r>
      <w:r>
        <w:rPr>
          <w:rtl/>
        </w:rPr>
        <w:t xml:space="preserve"> </w:t>
      </w:r>
      <w:r>
        <w:t xml:space="preserve">(„es ist Wahrheit, die Sache steht fest") zeigt: Nur wenn die Anklage bewiesen ist, darf das Urteil vollstreckt werden. Die Charakterisierung als </w:t>
      </w:r>
      <w:r>
        <w:rPr>
          <w:rStyle w:val="Fett"/>
          <w:rFonts w:eastAsiaTheme="majorEastAsia"/>
          <w:rtl/>
        </w:rPr>
        <w:t>הַתּוֹעֵבָה</w:t>
      </w:r>
      <w:r>
        <w:rPr>
          <w:rtl/>
        </w:rPr>
        <w:t xml:space="preserve"> </w:t>
      </w:r>
      <w:r>
        <w:t xml:space="preserve">(„der Gräuel") wiederholt die Terminologie aus 12,31 für abscheuliche religiöse Praktiken. Die Lokalisierung </w:t>
      </w:r>
      <w:r>
        <w:rPr>
          <w:rStyle w:val="Fett"/>
          <w:rFonts w:eastAsiaTheme="majorEastAsia"/>
          <w:rtl/>
        </w:rPr>
        <w:t>בְּקִרְבֶּךָ</w:t>
      </w:r>
      <w:r>
        <w:rPr>
          <w:rtl/>
        </w:rPr>
        <w:t xml:space="preserve"> </w:t>
      </w:r>
      <w:r>
        <w:t xml:space="preserve">(„in deiner Mitte") betont erneut: Die </w:t>
      </w:r>
      <w:r w:rsidR="00D84597">
        <w:t>Gefahr</w:t>
      </w:r>
      <w:r>
        <w:t xml:space="preserve"> kommt von innen.</w:t>
      </w:r>
    </w:p>
    <w:p w14:paraId="765A1677" w14:textId="77777777" w:rsidR="00864B28" w:rsidRPr="00864B28" w:rsidRDefault="00864B28" w:rsidP="00864B28">
      <w:pPr>
        <w:spacing w:before="100" w:beforeAutospacing="1" w:after="100" w:afterAutospacing="1" w:line="240" w:lineRule="auto"/>
        <w:outlineLvl w:val="1"/>
        <w:rPr>
          <w:rFonts w:eastAsia="Times New Roman"/>
          <w:b/>
          <w:bCs/>
          <w:sz w:val="36"/>
          <w:szCs w:val="36"/>
          <w:lang w:eastAsia="de-DE"/>
        </w:rPr>
      </w:pPr>
      <w:r w:rsidRPr="00864B28">
        <w:rPr>
          <w:rFonts w:eastAsia="Times New Roman"/>
          <w:b/>
          <w:bCs/>
          <w:sz w:val="36"/>
          <w:szCs w:val="36"/>
          <w:lang w:eastAsia="de-DE"/>
        </w:rPr>
        <w:t>Vers 15 (MT 13,15) / Vers 14 (LXX 13,14)</w:t>
      </w:r>
    </w:p>
    <w:p w14:paraId="2CDA5F9A" w14:textId="225E76D4" w:rsidR="00864B28" w:rsidRPr="00864B28" w:rsidRDefault="00864B28" w:rsidP="00864B28">
      <w:pPr>
        <w:spacing w:before="100" w:beforeAutospacing="1" w:after="100" w:afterAutospacing="1" w:line="240" w:lineRule="auto"/>
        <w:rPr>
          <w:rFonts w:eastAsia="Times New Roman"/>
          <w:lang w:eastAsia="de-DE"/>
        </w:rPr>
      </w:pPr>
      <w:r w:rsidRPr="00864B28">
        <w:rPr>
          <w:rFonts w:eastAsia="Times New Roman"/>
          <w:b/>
          <w:bCs/>
          <w:lang w:eastAsia="de-DE"/>
        </w:rPr>
        <w:t>Die LXX</w:t>
      </w:r>
      <w:r w:rsidRPr="00864B28">
        <w:rPr>
          <w:rFonts w:eastAsia="Times New Roman"/>
          <w:lang w:eastAsia="de-DE"/>
        </w:rPr>
        <w:t xml:space="preserve"> verwendet eine dreifache Verbreihe καὶ </w:t>
      </w:r>
      <w:proofErr w:type="spellStart"/>
      <w:r w:rsidRPr="00864B28">
        <w:rPr>
          <w:rFonts w:eastAsia="Times New Roman"/>
          <w:lang w:eastAsia="de-DE"/>
        </w:rPr>
        <w:t>ἐτάσεις</w:t>
      </w:r>
      <w:proofErr w:type="spellEnd"/>
      <w:r w:rsidRPr="00864B28">
        <w:rPr>
          <w:rFonts w:eastAsia="Times New Roman"/>
          <w:lang w:eastAsia="de-DE"/>
        </w:rPr>
        <w:t xml:space="preserve"> καὶ </w:t>
      </w:r>
      <w:proofErr w:type="spellStart"/>
      <w:r w:rsidRPr="00864B28">
        <w:rPr>
          <w:rFonts w:eastAsia="Times New Roman"/>
          <w:lang w:eastAsia="de-DE"/>
        </w:rPr>
        <w:t>ἐρωτήσεις</w:t>
      </w:r>
      <w:proofErr w:type="spellEnd"/>
      <w:r w:rsidRPr="00864B28">
        <w:rPr>
          <w:rFonts w:eastAsia="Times New Roman"/>
          <w:lang w:eastAsia="de-DE"/>
        </w:rPr>
        <w:t xml:space="preserve"> καὶ </w:t>
      </w:r>
      <w:proofErr w:type="spellStart"/>
      <w:r w:rsidRPr="00864B28">
        <w:rPr>
          <w:rFonts w:eastAsia="Times New Roman"/>
          <w:lang w:eastAsia="de-DE"/>
        </w:rPr>
        <w:t>ἐξερευνήσεις</w:t>
      </w:r>
      <w:proofErr w:type="spellEnd"/>
      <w:r w:rsidRPr="00864B28">
        <w:rPr>
          <w:rFonts w:eastAsia="Times New Roman"/>
          <w:lang w:eastAsia="de-DE"/>
        </w:rPr>
        <w:t xml:space="preserve"> (und du wirst prüfen und fragen und gründlich erforschen) für </w:t>
      </w:r>
      <w:r w:rsidRPr="00864B28">
        <w:rPr>
          <w:rFonts w:eastAsia="Times New Roman"/>
          <w:rtl/>
          <w:lang w:eastAsia="de-DE"/>
        </w:rPr>
        <w:t>וְדָרַשְׁתָּ וְחָקַרְתָּ וְשָׁאַלְתָּ</w:t>
      </w:r>
      <w:r w:rsidRPr="00864B28">
        <w:rPr>
          <w:rFonts w:eastAsia="Times New Roman"/>
          <w:lang w:eastAsia="de-DE"/>
        </w:rPr>
        <w:t xml:space="preserve">, wobei jedes </w:t>
      </w:r>
      <w:r w:rsidRPr="00864B28">
        <w:rPr>
          <w:rFonts w:eastAsia="Times New Roman"/>
          <w:lang w:eastAsia="de-DE"/>
        </w:rPr>
        <w:lastRenderedPageBreak/>
        <w:t xml:space="preserve">griechische Verb eine Nuance des Untersuchungsprozesses wiedergibt. Das Adverb </w:t>
      </w:r>
      <w:proofErr w:type="spellStart"/>
      <w:r w:rsidRPr="00864B28">
        <w:rPr>
          <w:rFonts w:eastAsia="Times New Roman"/>
          <w:lang w:eastAsia="de-DE"/>
        </w:rPr>
        <w:t>σφόδρ</w:t>
      </w:r>
      <w:proofErr w:type="spellEnd"/>
      <w:r w:rsidRPr="00864B28">
        <w:rPr>
          <w:rFonts w:eastAsia="Times New Roman"/>
          <w:lang w:eastAsia="de-DE"/>
        </w:rPr>
        <w:t xml:space="preserve">α (sehr, gründlich) entspricht </w:t>
      </w:r>
      <w:r w:rsidRPr="00864B28">
        <w:rPr>
          <w:rFonts w:eastAsia="Times New Roman"/>
          <w:rtl/>
          <w:lang w:eastAsia="de-DE"/>
        </w:rPr>
        <w:t>הֵיטֵב</w:t>
      </w:r>
      <w:r w:rsidRPr="00864B28">
        <w:rPr>
          <w:rFonts w:eastAsia="Times New Roman"/>
          <w:lang w:eastAsia="de-DE"/>
        </w:rPr>
        <w:t xml:space="preserve">. Die Bestätigung καὶ </w:t>
      </w:r>
      <w:proofErr w:type="spellStart"/>
      <w:r w:rsidRPr="00864B28">
        <w:rPr>
          <w:rFonts w:eastAsia="Times New Roman"/>
          <w:lang w:eastAsia="de-DE"/>
        </w:rPr>
        <w:t>ἰδοὺ</w:t>
      </w:r>
      <w:proofErr w:type="spellEnd"/>
      <w:r w:rsidRPr="00864B28">
        <w:rPr>
          <w:rFonts w:eastAsia="Times New Roman"/>
          <w:lang w:eastAsia="de-DE"/>
        </w:rPr>
        <w:t xml:space="preserve"> </w:t>
      </w:r>
      <w:proofErr w:type="spellStart"/>
      <w:r w:rsidRPr="00864B28">
        <w:rPr>
          <w:rFonts w:eastAsia="Times New Roman"/>
          <w:lang w:eastAsia="de-DE"/>
        </w:rPr>
        <w:t>ἀληθὴς</w:t>
      </w:r>
      <w:proofErr w:type="spellEnd"/>
      <w:r w:rsidRPr="00864B28">
        <w:rPr>
          <w:rFonts w:eastAsia="Times New Roman"/>
          <w:lang w:eastAsia="de-DE"/>
        </w:rPr>
        <w:t xml:space="preserve"> σα</w:t>
      </w:r>
      <w:proofErr w:type="spellStart"/>
      <w:r w:rsidRPr="00864B28">
        <w:rPr>
          <w:rFonts w:eastAsia="Times New Roman"/>
          <w:lang w:eastAsia="de-DE"/>
        </w:rPr>
        <w:t>φῶς</w:t>
      </w:r>
      <w:proofErr w:type="spellEnd"/>
      <w:r w:rsidRPr="00864B28">
        <w:rPr>
          <w:rFonts w:eastAsia="Times New Roman"/>
          <w:lang w:eastAsia="de-DE"/>
        </w:rPr>
        <w:t xml:space="preserve"> ὁ </w:t>
      </w:r>
      <w:proofErr w:type="spellStart"/>
      <w:r w:rsidRPr="00864B28">
        <w:rPr>
          <w:rFonts w:eastAsia="Times New Roman"/>
          <w:lang w:eastAsia="de-DE"/>
        </w:rPr>
        <w:t>λόγος</w:t>
      </w:r>
      <w:proofErr w:type="spellEnd"/>
      <w:r w:rsidRPr="00864B28">
        <w:rPr>
          <w:rFonts w:eastAsia="Times New Roman"/>
          <w:lang w:eastAsia="de-DE"/>
        </w:rPr>
        <w:t xml:space="preserve"> (und siehe, wahr und deutlich ist die Sache) gibt </w:t>
      </w:r>
      <w:r w:rsidRPr="00864B28">
        <w:rPr>
          <w:rFonts w:eastAsia="Times New Roman"/>
          <w:rtl/>
          <w:lang w:eastAsia="de-DE"/>
        </w:rPr>
        <w:t>וְהִנֵּה אֱמֶת נָכוֹן הַדָּבָר</w:t>
      </w:r>
      <w:r w:rsidRPr="00864B28">
        <w:rPr>
          <w:rFonts w:eastAsia="Times New Roman"/>
          <w:lang w:eastAsia="de-DE"/>
        </w:rPr>
        <w:t xml:space="preserve"> wieder, wobei σα</w:t>
      </w:r>
      <w:proofErr w:type="spellStart"/>
      <w:r w:rsidRPr="00864B28">
        <w:rPr>
          <w:rFonts w:eastAsia="Times New Roman"/>
          <w:lang w:eastAsia="de-DE"/>
        </w:rPr>
        <w:t>φῶς</w:t>
      </w:r>
      <w:proofErr w:type="spellEnd"/>
      <w:r w:rsidRPr="00864B28">
        <w:rPr>
          <w:rFonts w:eastAsia="Times New Roman"/>
          <w:lang w:eastAsia="de-DE"/>
        </w:rPr>
        <w:t xml:space="preserve"> (deutlich) </w:t>
      </w:r>
      <w:r w:rsidRPr="00864B28">
        <w:rPr>
          <w:rFonts w:eastAsia="Times New Roman"/>
          <w:rtl/>
          <w:lang w:eastAsia="de-DE"/>
        </w:rPr>
        <w:t>נָכוֹן</w:t>
      </w:r>
      <w:r w:rsidRPr="00864B28">
        <w:rPr>
          <w:rFonts w:eastAsia="Times New Roman"/>
          <w:lang w:eastAsia="de-DE"/>
        </w:rPr>
        <w:t xml:space="preserve"> (fest, zuverlässig) interpretiert. Die Feststellung </w:t>
      </w:r>
      <w:proofErr w:type="spellStart"/>
      <w:r w:rsidRPr="00864B28">
        <w:rPr>
          <w:rFonts w:eastAsia="Times New Roman"/>
          <w:lang w:eastAsia="de-DE"/>
        </w:rPr>
        <w:t>γεγένητ</w:t>
      </w:r>
      <w:proofErr w:type="spellEnd"/>
      <w:r w:rsidRPr="00864B28">
        <w:rPr>
          <w:rFonts w:eastAsia="Times New Roman"/>
          <w:lang w:eastAsia="de-DE"/>
        </w:rPr>
        <w:t xml:space="preserve">αι </w:t>
      </w:r>
      <w:proofErr w:type="spellStart"/>
      <w:r w:rsidRPr="00864B28">
        <w:rPr>
          <w:rFonts w:eastAsia="Times New Roman"/>
          <w:lang w:eastAsia="de-DE"/>
        </w:rPr>
        <w:t>τὸ</w:t>
      </w:r>
      <w:proofErr w:type="spellEnd"/>
      <w:r w:rsidRPr="00864B28">
        <w:rPr>
          <w:rFonts w:eastAsia="Times New Roman"/>
          <w:lang w:eastAsia="de-DE"/>
        </w:rPr>
        <w:t xml:space="preserve"> β</w:t>
      </w:r>
      <w:proofErr w:type="spellStart"/>
      <w:r w:rsidRPr="00864B28">
        <w:rPr>
          <w:rFonts w:eastAsia="Times New Roman"/>
          <w:lang w:eastAsia="de-DE"/>
        </w:rPr>
        <w:t>δέλυγμ</w:t>
      </w:r>
      <w:proofErr w:type="spellEnd"/>
      <w:r w:rsidRPr="00864B28">
        <w:rPr>
          <w:rFonts w:eastAsia="Times New Roman"/>
          <w:lang w:eastAsia="de-DE"/>
        </w:rPr>
        <w:t xml:space="preserve">α </w:t>
      </w:r>
      <w:proofErr w:type="spellStart"/>
      <w:r w:rsidRPr="00864B28">
        <w:rPr>
          <w:rFonts w:eastAsia="Times New Roman"/>
          <w:lang w:eastAsia="de-DE"/>
        </w:rPr>
        <w:t>τοῦτο</w:t>
      </w:r>
      <w:proofErr w:type="spellEnd"/>
      <w:r w:rsidRPr="00864B28">
        <w:rPr>
          <w:rFonts w:eastAsia="Times New Roman"/>
          <w:lang w:eastAsia="de-DE"/>
        </w:rPr>
        <w:t xml:space="preserve"> </w:t>
      </w:r>
      <w:proofErr w:type="spellStart"/>
      <w:r w:rsidRPr="00864B28">
        <w:rPr>
          <w:rFonts w:eastAsia="Times New Roman"/>
          <w:lang w:eastAsia="de-DE"/>
        </w:rPr>
        <w:t>ἐν</w:t>
      </w:r>
      <w:proofErr w:type="spellEnd"/>
      <w:r w:rsidRPr="00864B28">
        <w:rPr>
          <w:rFonts w:eastAsia="Times New Roman"/>
          <w:lang w:eastAsia="de-DE"/>
        </w:rPr>
        <w:t xml:space="preserve"> </w:t>
      </w:r>
      <w:proofErr w:type="spellStart"/>
      <w:r w:rsidRPr="00864B28">
        <w:rPr>
          <w:rFonts w:eastAsia="Times New Roman"/>
          <w:lang w:eastAsia="de-DE"/>
        </w:rPr>
        <w:t>ὑμῖν</w:t>
      </w:r>
      <w:proofErr w:type="spellEnd"/>
      <w:r w:rsidRPr="00864B28">
        <w:rPr>
          <w:rFonts w:eastAsia="Times New Roman"/>
          <w:lang w:eastAsia="de-DE"/>
        </w:rPr>
        <w:t xml:space="preserve"> (dieser Gräuel ist geschehen unter euch) entspricht </w:t>
      </w:r>
      <w:r w:rsidRPr="00864B28">
        <w:rPr>
          <w:rFonts w:eastAsia="Times New Roman"/>
          <w:rtl/>
          <w:lang w:eastAsia="de-DE"/>
        </w:rPr>
        <w:t>נֶעֶשְׂתָה הַתּוֹעֵבָה הַזֹּאת בְּקִרְבֶּךָ</w:t>
      </w:r>
      <w:r w:rsidRPr="00864B28">
        <w:rPr>
          <w:rFonts w:eastAsia="Times New Roman"/>
          <w:lang w:eastAsia="de-DE"/>
        </w:rPr>
        <w:t xml:space="preserve">, wobei das Perfekt </w:t>
      </w:r>
      <w:proofErr w:type="spellStart"/>
      <w:r w:rsidRPr="00864B28">
        <w:rPr>
          <w:rFonts w:eastAsia="Times New Roman"/>
          <w:lang w:eastAsia="de-DE"/>
        </w:rPr>
        <w:t>γεγένητ</w:t>
      </w:r>
      <w:proofErr w:type="spellEnd"/>
      <w:r w:rsidRPr="00864B28">
        <w:rPr>
          <w:rFonts w:eastAsia="Times New Roman"/>
          <w:lang w:eastAsia="de-DE"/>
        </w:rPr>
        <w:t>αι die vollendete Handlung betont.</w:t>
      </w:r>
    </w:p>
    <w:p w14:paraId="6B06B704" w14:textId="00DF187A" w:rsidR="00724090" w:rsidRDefault="00724090" w:rsidP="00864B28">
      <w:pPr>
        <w:pStyle w:val="whitespace-normal"/>
      </w:pPr>
      <w:r>
        <w:rPr>
          <w:rStyle w:val="Fett"/>
          <w:rFonts w:eastAsiaTheme="majorEastAsia"/>
        </w:rPr>
        <w:t>Die Satzstruktur</w:t>
      </w:r>
      <w:r>
        <w:t xml:space="preserve"> besteht aus drei koordinierten Imperativen mit adverbialer Verstärkung und einem dreigliedrigen konditionalen Satz: Drei koordinierte Imperative (sollst untersuchen, erforschen, fragen), adverbiale Verstärkung (gründlich); konditionaler Satz mit Einleitungspartikel (und siehe), dreigliedrige Bedingung (ist Wahrheit, steht fest die Sache), Prädikat (ist verübt worden), Subjekt (dieser Gräuel), lokale Bestimmung (in deiner Mitte).</w:t>
      </w:r>
    </w:p>
    <w:p w14:paraId="7BA807B1" w14:textId="77777777" w:rsidR="00724090" w:rsidRDefault="00724090" w:rsidP="00724090">
      <w:pPr>
        <w:pStyle w:val="whitespace-normal"/>
      </w:pPr>
      <w:r>
        <w:t>Der Vers fordert gründliche Untersuchung: Erst wenn durch sorgfältiges Forschen, Prüfen und Befragen feststeht, dass der Gräuel tatsächlich in der Mitte Israels verübt wurde, folgt das Urteil in V. 16-18.</w:t>
      </w:r>
    </w:p>
    <w:p w14:paraId="5CA46426"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13,16</w:t>
      </w:r>
    </w:p>
    <w:p w14:paraId="29A2FC58" w14:textId="77777777" w:rsidR="00724090" w:rsidRDefault="00724090" w:rsidP="00724090">
      <w:pPr>
        <w:pStyle w:val="whitespace-normal"/>
      </w:pPr>
      <w:r>
        <w:rPr>
          <w:rStyle w:val="Fett"/>
          <w:rFonts w:eastAsiaTheme="majorEastAsia"/>
        </w:rPr>
        <w:t>Hebräisch:</w:t>
      </w:r>
      <w:r>
        <w:t xml:space="preserve"> </w:t>
      </w:r>
      <w:r>
        <w:rPr>
          <w:rtl/>
        </w:rPr>
        <w:t>הַכֵּ֣ה תַכֶּ֗ה אֶת־יֹֽשְׁבֵ֛י הָעִ֥יר הַהוּא לְפִי־חָ֑רֶב הַחֲרֵ֨ם אֹתָ֧הּ וְאֶת־כָּל־אֲשֶׁר־בָּ֛הּ וְאֶת־בְּהֶמְתָּ֖הּ לְפִי־חָֽרֶב׃</w:t>
      </w:r>
    </w:p>
    <w:p w14:paraId="6CB77D14" w14:textId="11980A53" w:rsidR="00724090" w:rsidRDefault="00724090" w:rsidP="00724090">
      <w:pPr>
        <w:pStyle w:val="whitespace-normal"/>
      </w:pPr>
      <w:r>
        <w:rPr>
          <w:rStyle w:val="Fett"/>
          <w:rFonts w:eastAsiaTheme="majorEastAsia"/>
        </w:rPr>
        <w:t>Deutsch:</w:t>
      </w:r>
      <w:r>
        <w:t xml:space="preserve"> So sollst du die Bewohner jener Stadt gewiss mit der Schärfe des Schwertes schlagen, indem du an ihr und an allem, was in ihr ist, und an ihrem Vieh den Bann vollstreckst mit der Schärfe des Schwertes.</w:t>
      </w:r>
    </w:p>
    <w:p w14:paraId="10D0CE06" w14:textId="0294E90B" w:rsidR="009C316F" w:rsidRDefault="004F5CEB" w:rsidP="00724090">
      <w:pPr>
        <w:pStyle w:val="whitespace-normal"/>
      </w:pPr>
      <w:r>
        <w:rPr>
          <w:noProof/>
        </w:rPr>
        <w:pict w14:anchorId="357C74AD">
          <v:rect id="_x0000_i1419" style="width:0;height:1.5pt" o:hralign="center" o:hrstd="t" o:hr="t" fillcolor="#a0a0a0" stroked="f"/>
        </w:pict>
      </w:r>
    </w:p>
    <w:p w14:paraId="5646628C"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הַכֵּה תַכֶּה אֶת־יֹשְׁבֵי הָעִיר הַהוּא לְפִי־חָרֶב</w:t>
      </w:r>
      <w:r>
        <w:rPr>
          <w:rtl/>
        </w:rPr>
        <w:t xml:space="preserve"> </w:t>
      </w:r>
      <w:r>
        <w:t xml:space="preserve">ist eine emphatische Konstruktion: </w:t>
      </w:r>
      <w:r>
        <w:rPr>
          <w:rStyle w:val="Fett"/>
          <w:rFonts w:eastAsiaTheme="majorEastAsia"/>
          <w:rtl/>
        </w:rPr>
        <w:t>הַכֵּה</w:t>
      </w:r>
      <w:r>
        <w:rPr>
          <w:rtl/>
        </w:rPr>
        <w:t xml:space="preserve"> </w:t>
      </w:r>
      <w:r>
        <w:t xml:space="preserve">(Hiphil Infinitiv Absolut von </w:t>
      </w:r>
      <w:r>
        <w:rPr>
          <w:rStyle w:val="Fett"/>
          <w:rFonts w:eastAsiaTheme="majorEastAsia"/>
          <w:rtl/>
        </w:rPr>
        <w:t>נכה</w:t>
      </w:r>
      <w:r>
        <w:t xml:space="preserve">, „schlagen, töten") mit </w:t>
      </w:r>
      <w:r>
        <w:rPr>
          <w:rStyle w:val="Fett"/>
          <w:rFonts w:eastAsiaTheme="majorEastAsia"/>
          <w:rtl/>
        </w:rPr>
        <w:t>תַכֶּה</w:t>
      </w:r>
      <w:r>
        <w:rPr>
          <w:rtl/>
        </w:rPr>
        <w:t xml:space="preserve"> </w:t>
      </w:r>
      <w:r>
        <w:t xml:space="preserve">(Hiphil Imperfekt, 2. Person Maskulinum Singular von </w:t>
      </w:r>
      <w:r>
        <w:rPr>
          <w:rStyle w:val="Fett"/>
          <w:rFonts w:eastAsiaTheme="majorEastAsia"/>
          <w:rtl/>
        </w:rPr>
        <w:t>נכה</w:t>
      </w:r>
      <w:r>
        <w:t xml:space="preserve">), </w:t>
      </w:r>
      <w:r>
        <w:rPr>
          <w:rStyle w:val="Fett"/>
          <w:rFonts w:eastAsiaTheme="majorEastAsia"/>
          <w:rtl/>
        </w:rPr>
        <w:t>אֶת־יֹשְׁבֵי הָעִיר הַהוּא</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ישׁב</w:t>
      </w:r>
      <w:r>
        <w:t xml:space="preserve">, Qal Partizip Maskulinum Plural, „Bewohner", Construct mit </w:t>
      </w:r>
      <w:r>
        <w:rPr>
          <w:rStyle w:val="Fett"/>
          <w:rFonts w:eastAsiaTheme="majorEastAsia"/>
          <w:rtl/>
        </w:rPr>
        <w:t>עִיר</w:t>
      </w:r>
      <w:r>
        <w:t xml:space="preserve">, „Stadt", mit Artikel und Demonstrativpronomen </w:t>
      </w:r>
      <w:r>
        <w:rPr>
          <w:rStyle w:val="Fett"/>
          <w:rFonts w:eastAsiaTheme="majorEastAsia"/>
          <w:rtl/>
        </w:rPr>
        <w:t>הַהוּא</w:t>
      </w:r>
      <w:r>
        <w:t xml:space="preserve">, „jener") als direktes Objekt und </w:t>
      </w:r>
      <w:r>
        <w:rPr>
          <w:rStyle w:val="Fett"/>
          <w:rFonts w:eastAsiaTheme="majorEastAsia"/>
          <w:rtl/>
        </w:rPr>
        <w:t>לְפִי־חָרֶב</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פֶּה</w:t>
      </w:r>
      <w:r>
        <w:t xml:space="preserve">, „Mund", Construct mit </w:t>
      </w:r>
      <w:r>
        <w:rPr>
          <w:rStyle w:val="Fett"/>
          <w:rFonts w:eastAsiaTheme="majorEastAsia"/>
          <w:rtl/>
        </w:rPr>
        <w:t>חֶרֶב</w:t>
      </w:r>
      <w:r>
        <w:t>, „Schwert", „nach dem Mund des Schwertes" = mit der Schärfe des Schwertes) als instrumentale Bestimmung.</w:t>
      </w:r>
    </w:p>
    <w:p w14:paraId="653F7F7B" w14:textId="10FE32D6" w:rsidR="00724090" w:rsidRDefault="00724090" w:rsidP="00724090">
      <w:pPr>
        <w:pStyle w:val="whitespace-normal"/>
      </w:pPr>
      <w:r>
        <w:t xml:space="preserve">Die Kombination von Infinitiv Absolut und finitem Verb drückt Emphase aus („gewiss schlagen, unbedingt schlagen"). Die idiomatische Wendung </w:t>
      </w:r>
      <w:r>
        <w:rPr>
          <w:rStyle w:val="Fett"/>
          <w:rFonts w:eastAsiaTheme="majorEastAsia"/>
          <w:rtl/>
        </w:rPr>
        <w:t>לְפִי־חֶרֶב</w:t>
      </w:r>
      <w:r>
        <w:rPr>
          <w:rtl/>
        </w:rPr>
        <w:t xml:space="preserve"> </w:t>
      </w:r>
      <w:r>
        <w:t xml:space="preserve">(„nach dem Mund des Schwertes") bedeutet „mit der Schärfe des Schwertes" und bezeichnet vollständige Vernichtung durch das Schwert (vgl. Gen 34,26; Ex 17,13; Num 21,24; Dtn 20,13; Jos 6,21; 8,24; 10,28.30.32.35.37.39; 11,11.12.14; 19,47; Ri 1,8.25; 4,15.16; 18,27; 20,37.48; 21,10; </w:t>
      </w:r>
      <w:r w:rsidR="00664EB6">
        <w:t>1Sam</w:t>
      </w:r>
      <w:r>
        <w:t xml:space="preserve"> 15,8; 22,19; </w:t>
      </w:r>
      <w:r w:rsidR="00664EB6">
        <w:t>2Sam</w:t>
      </w:r>
      <w:r>
        <w:t xml:space="preserve"> 15,14; </w:t>
      </w:r>
      <w:r w:rsidR="00664EB6">
        <w:t>2Kön</w:t>
      </w:r>
      <w:r>
        <w:t xml:space="preserve"> 10,25; Ijob 1,15.17; Jer 21,7).</w:t>
      </w:r>
    </w:p>
    <w:p w14:paraId="500A7DBB" w14:textId="77777777" w:rsidR="00724090" w:rsidRDefault="00724090" w:rsidP="00724090">
      <w:pPr>
        <w:pStyle w:val="whitespace-normal"/>
      </w:pPr>
      <w:r>
        <w:rPr>
          <w:rStyle w:val="Fett"/>
          <w:rFonts w:eastAsiaTheme="majorEastAsia"/>
          <w:rtl/>
        </w:rPr>
        <w:t>הַחֲרֵם אֹתָהּ וְאֶת־כָּל־אֲשֶׁר־בָּהּ וְאֶת־בְּהֶמְתָּהּ לְפִי־חָרֶב</w:t>
      </w:r>
      <w:r>
        <w:rPr>
          <w:rtl/>
        </w:rPr>
        <w:t xml:space="preserve"> </w:t>
      </w:r>
      <w:r>
        <w:t xml:space="preserve">ist der zweite Imperativsatz: </w:t>
      </w:r>
      <w:r>
        <w:rPr>
          <w:rStyle w:val="Fett"/>
          <w:rFonts w:eastAsiaTheme="majorEastAsia"/>
          <w:rtl/>
        </w:rPr>
        <w:t>הַחֲרֵם</w:t>
      </w:r>
      <w:r>
        <w:rPr>
          <w:rtl/>
        </w:rPr>
        <w:t xml:space="preserve"> </w:t>
      </w:r>
      <w:r>
        <w:t xml:space="preserve">(Hiphil Infinitiv Absolut von </w:t>
      </w:r>
      <w:r>
        <w:rPr>
          <w:rStyle w:val="Fett"/>
          <w:rFonts w:eastAsiaTheme="majorEastAsia"/>
          <w:rtl/>
        </w:rPr>
        <w:t>חרם</w:t>
      </w:r>
      <w:r>
        <w:t xml:space="preserve">, „bannen, dem Bann weihen", verwendet als Imperativ), </w:t>
      </w:r>
      <w:r>
        <w:rPr>
          <w:rStyle w:val="Fett"/>
          <w:rFonts w:eastAsiaTheme="majorEastAsia"/>
          <w:rtl/>
        </w:rPr>
        <w:t>אֹתָהּ</w:t>
      </w:r>
      <w:r>
        <w:rPr>
          <w:rtl/>
        </w:rPr>
        <w:t xml:space="preserve"> </w:t>
      </w:r>
      <w:r>
        <w:t xml:space="preserve">(Objektpartikel </w:t>
      </w:r>
      <w:r>
        <w:rPr>
          <w:rStyle w:val="Fett"/>
          <w:rFonts w:eastAsiaTheme="majorEastAsia"/>
          <w:rtl/>
        </w:rPr>
        <w:t>אֵת</w:t>
      </w:r>
      <w:r>
        <w:rPr>
          <w:rtl/>
        </w:rPr>
        <w:t xml:space="preserve"> </w:t>
      </w:r>
      <w:r>
        <w:t xml:space="preserve">mit Suffix 3. Person feminin Singular, rückverweisend auf </w:t>
      </w:r>
      <w:r>
        <w:rPr>
          <w:rStyle w:val="Fett"/>
          <w:rFonts w:eastAsiaTheme="majorEastAsia"/>
          <w:rtl/>
        </w:rPr>
        <w:t>הָעִיר</w:t>
      </w:r>
      <w:r>
        <w:t xml:space="preserve">), koordiniert durch </w:t>
      </w:r>
      <w:r>
        <w:rPr>
          <w:rStyle w:val="Fett"/>
          <w:rFonts w:eastAsiaTheme="majorEastAsia"/>
          <w:rtl/>
        </w:rPr>
        <w:t>וְאֶת</w:t>
      </w:r>
      <w:r>
        <w:rPr>
          <w:rtl/>
        </w:rPr>
        <w:t xml:space="preserve"> </w:t>
      </w:r>
      <w:r>
        <w:t xml:space="preserve">mit </w:t>
      </w:r>
      <w:r>
        <w:rPr>
          <w:rStyle w:val="Fett"/>
          <w:rFonts w:eastAsiaTheme="majorEastAsia"/>
          <w:rtl/>
        </w:rPr>
        <w:t>כָּל־אֲשֶׁר־בָּהּ</w:t>
      </w:r>
      <w:r>
        <w:rPr>
          <w:rtl/>
        </w:rPr>
        <w:t xml:space="preserve"> </w:t>
      </w:r>
      <w:r>
        <w:t>(</w:t>
      </w:r>
      <w:r>
        <w:rPr>
          <w:rStyle w:val="Fett"/>
          <w:rFonts w:eastAsiaTheme="majorEastAsia"/>
          <w:rtl/>
        </w:rPr>
        <w:t>כֹּל</w:t>
      </w:r>
      <w:r>
        <w:t xml:space="preserve">, „all", im Construct mit </w:t>
      </w:r>
      <w:r>
        <w:rPr>
          <w:rStyle w:val="Fett"/>
          <w:rFonts w:eastAsiaTheme="majorEastAsia"/>
          <w:rtl/>
        </w:rPr>
        <w:t>אֲשֶׁר־בָּהּ</w:t>
      </w:r>
      <w:r>
        <w:t xml:space="preserve">, Relativsatz: </w:t>
      </w:r>
      <w:r>
        <w:rPr>
          <w:rStyle w:val="Fett"/>
          <w:rFonts w:eastAsiaTheme="majorEastAsia"/>
          <w:rtl/>
        </w:rPr>
        <w:t>אֲשֶׁר</w:t>
      </w:r>
      <w:r>
        <w:rPr>
          <w:rtl/>
        </w:rPr>
        <w:t xml:space="preserve"> </w:t>
      </w:r>
      <w:r>
        <w:t xml:space="preserve">mit </w:t>
      </w:r>
      <w:r>
        <w:rPr>
          <w:rStyle w:val="Fett"/>
          <w:rFonts w:eastAsiaTheme="majorEastAsia"/>
          <w:rtl/>
        </w:rPr>
        <w:t>בָּהּ</w:t>
      </w:r>
      <w:r>
        <w:t xml:space="preserve">, Präposition </w:t>
      </w:r>
      <w:r>
        <w:rPr>
          <w:rStyle w:val="Fett"/>
          <w:rFonts w:eastAsiaTheme="majorEastAsia"/>
          <w:rtl/>
        </w:rPr>
        <w:t>בְּ</w:t>
      </w:r>
      <w:r>
        <w:rPr>
          <w:rtl/>
        </w:rPr>
        <w:t xml:space="preserve"> </w:t>
      </w:r>
      <w:r>
        <w:t xml:space="preserve">mit Suffix 3. Person feminin Singular, „alles, was in ihr ist"), koordiniert </w:t>
      </w:r>
      <w:r>
        <w:lastRenderedPageBreak/>
        <w:t xml:space="preserve">durch </w:t>
      </w:r>
      <w:r>
        <w:rPr>
          <w:rStyle w:val="Fett"/>
          <w:rFonts w:eastAsiaTheme="majorEastAsia"/>
          <w:rtl/>
        </w:rPr>
        <w:t>וְאֶת</w:t>
      </w:r>
      <w:r>
        <w:rPr>
          <w:rtl/>
        </w:rPr>
        <w:t xml:space="preserve"> </w:t>
      </w:r>
      <w:r>
        <w:t xml:space="preserve">mit </w:t>
      </w:r>
      <w:r>
        <w:rPr>
          <w:rStyle w:val="Fett"/>
          <w:rFonts w:eastAsiaTheme="majorEastAsia"/>
          <w:rtl/>
        </w:rPr>
        <w:t>בְּהֶמְתָּהּ</w:t>
      </w:r>
      <w:r>
        <w:rPr>
          <w:rtl/>
        </w:rPr>
        <w:t xml:space="preserve"> </w:t>
      </w:r>
      <w:r>
        <w:t>(</w:t>
      </w:r>
      <w:r>
        <w:rPr>
          <w:rStyle w:val="Fett"/>
          <w:rFonts w:eastAsiaTheme="majorEastAsia"/>
          <w:rtl/>
        </w:rPr>
        <w:t>בְּהֵמָה</w:t>
      </w:r>
      <w:r>
        <w:t xml:space="preserve">, „Vieh", mit Suffix 3. Person feminin Singular, „ihr Vieh") und </w:t>
      </w:r>
      <w:r>
        <w:rPr>
          <w:rStyle w:val="Fett"/>
          <w:rFonts w:eastAsiaTheme="majorEastAsia"/>
          <w:rtl/>
        </w:rPr>
        <w:t>לְפִי־חָרֶב</w:t>
      </w:r>
      <w:r>
        <w:rPr>
          <w:rtl/>
        </w:rPr>
        <w:t xml:space="preserve"> </w:t>
      </w:r>
      <w:r>
        <w:t>als instrumentale Bestimmung.</w:t>
      </w:r>
    </w:p>
    <w:p w14:paraId="3D8645ED" w14:textId="711A8225" w:rsidR="00724090" w:rsidRDefault="00724090" w:rsidP="00724090">
      <w:pPr>
        <w:pStyle w:val="whitespace-normal"/>
      </w:pPr>
      <w:r>
        <w:t xml:space="preserve">Das Verb </w:t>
      </w:r>
      <w:r>
        <w:rPr>
          <w:rStyle w:val="Fett"/>
          <w:rFonts w:eastAsiaTheme="majorEastAsia"/>
          <w:rtl/>
        </w:rPr>
        <w:t>חרם</w:t>
      </w:r>
      <w:r>
        <w:rPr>
          <w:rtl/>
        </w:rPr>
        <w:t xml:space="preserve"> </w:t>
      </w:r>
      <w:r>
        <w:t xml:space="preserve">im Hiphil bezeichnet die Vollstreckung des </w:t>
      </w:r>
      <w:r>
        <w:rPr>
          <w:rStyle w:val="Fett"/>
          <w:rFonts w:eastAsiaTheme="majorEastAsia"/>
          <w:rtl/>
        </w:rPr>
        <w:t>חֵרֶם</w:t>
      </w:r>
      <w:r>
        <w:rPr>
          <w:rtl/>
        </w:rPr>
        <w:t xml:space="preserve"> </w:t>
      </w:r>
      <w:r>
        <w:t xml:space="preserve">(„Bann"), die vollständige Weihe an JHWH durch Vernichtung. Dies ist die schärfste Form der Bestrafung im Alten Testament. Ursprünglich auf kanaanäische Städte bei der Landnahme angewandt (vgl. Dtn 7,2; 20,17; Jos 6,17-21; 8,26; 10,28-40; 11,11-21), wird hier der </w:t>
      </w:r>
      <w:r>
        <w:rPr>
          <w:rStyle w:val="Fett"/>
          <w:rFonts w:eastAsiaTheme="majorEastAsia"/>
          <w:rtl/>
        </w:rPr>
        <w:t>חֵרֶם</w:t>
      </w:r>
      <w:r>
        <w:rPr>
          <w:rtl/>
        </w:rPr>
        <w:t xml:space="preserve"> </w:t>
      </w:r>
      <w:r>
        <w:t>auf eine ab</w:t>
      </w:r>
      <w:r w:rsidR="00D47758">
        <w:t>gefallen</w:t>
      </w:r>
      <w:r>
        <w:t>e israelitische Stadt angewandt.</w:t>
      </w:r>
    </w:p>
    <w:p w14:paraId="63356A84" w14:textId="1D015765" w:rsidR="00724090" w:rsidRDefault="00724090" w:rsidP="00724090">
      <w:pPr>
        <w:pStyle w:val="whitespace-normal"/>
      </w:pPr>
      <w:r>
        <w:t xml:space="preserve">Die dreifache Aufzählung </w:t>
      </w:r>
      <w:r>
        <w:rPr>
          <w:rStyle w:val="Fett"/>
          <w:rFonts w:eastAsiaTheme="majorEastAsia"/>
          <w:rtl/>
        </w:rPr>
        <w:t>אֹתָהּ וְאֶת־כָּל־אֲשֶׁר־בָּהּ וְאֶת־בְּהֶמְתָּהּ</w:t>
      </w:r>
      <w:r>
        <w:rPr>
          <w:rtl/>
        </w:rPr>
        <w:t xml:space="preserve"> </w:t>
      </w:r>
      <w:r>
        <w:t xml:space="preserve">(„sie und alles, was in ihr ist, und ihr Vieh") zeigt die totale Vernichtung: Stadt, Bewohner, Besitz und Vieh. Die zweifache Erwähnung von </w:t>
      </w:r>
      <w:r>
        <w:rPr>
          <w:rStyle w:val="Fett"/>
          <w:rFonts w:eastAsiaTheme="majorEastAsia"/>
          <w:rtl/>
        </w:rPr>
        <w:t>לְפִי־חָרֶב</w:t>
      </w:r>
      <w:r>
        <w:rPr>
          <w:rtl/>
        </w:rPr>
        <w:t xml:space="preserve"> </w:t>
      </w:r>
      <w:r>
        <w:t>(„mit der Schärfe des Schwertes") am Ende jedes Satzes betont die Methode der Vernichtung.</w:t>
      </w:r>
    </w:p>
    <w:p w14:paraId="45053F3E" w14:textId="77777777" w:rsidR="00864B28" w:rsidRPr="00864B28" w:rsidRDefault="00864B28" w:rsidP="00864B28">
      <w:pPr>
        <w:spacing w:before="100" w:beforeAutospacing="1" w:after="100" w:afterAutospacing="1" w:line="240" w:lineRule="auto"/>
        <w:outlineLvl w:val="1"/>
        <w:rPr>
          <w:rFonts w:eastAsia="Times New Roman"/>
          <w:b/>
          <w:bCs/>
          <w:sz w:val="36"/>
          <w:szCs w:val="36"/>
          <w:lang w:eastAsia="de-DE"/>
        </w:rPr>
      </w:pPr>
      <w:r w:rsidRPr="00864B28">
        <w:rPr>
          <w:rFonts w:eastAsia="Times New Roman"/>
          <w:b/>
          <w:bCs/>
          <w:sz w:val="36"/>
          <w:szCs w:val="36"/>
          <w:lang w:eastAsia="de-DE"/>
        </w:rPr>
        <w:t>Vers 16 (MT 13,16) / Vers 15 (LXX 13,15)</w:t>
      </w:r>
    </w:p>
    <w:p w14:paraId="57826FE4" w14:textId="53DAE90B" w:rsidR="00864B28" w:rsidRPr="00864B28" w:rsidRDefault="00864B28" w:rsidP="00864B28">
      <w:pPr>
        <w:spacing w:before="100" w:beforeAutospacing="1" w:after="100" w:afterAutospacing="1" w:line="240" w:lineRule="auto"/>
        <w:rPr>
          <w:rFonts w:eastAsia="Times New Roman"/>
          <w:lang w:eastAsia="de-DE"/>
        </w:rPr>
      </w:pPr>
      <w:r w:rsidRPr="00864B28">
        <w:rPr>
          <w:rFonts w:eastAsia="Times New Roman"/>
          <w:b/>
          <w:bCs/>
          <w:lang w:eastAsia="de-DE"/>
        </w:rPr>
        <w:t>Die LXX</w:t>
      </w:r>
      <w:r w:rsidRPr="00864B28">
        <w:rPr>
          <w:rFonts w:eastAsia="Times New Roman"/>
          <w:lang w:eastAsia="de-DE"/>
        </w:rPr>
        <w:t xml:space="preserve"> formuliert </w:t>
      </w:r>
      <w:proofErr w:type="spellStart"/>
      <w:r w:rsidRPr="00864B28">
        <w:rPr>
          <w:rFonts w:eastAsia="Times New Roman"/>
          <w:lang w:eastAsia="de-DE"/>
        </w:rPr>
        <w:t>ἀν</w:t>
      </w:r>
      <w:proofErr w:type="spellEnd"/>
      <w:r w:rsidRPr="00864B28">
        <w:rPr>
          <w:rFonts w:eastAsia="Times New Roman"/>
          <w:lang w:eastAsia="de-DE"/>
        </w:rPr>
        <w:t xml:space="preserve">αιρῶν </w:t>
      </w:r>
      <w:proofErr w:type="spellStart"/>
      <w:r w:rsidRPr="00864B28">
        <w:rPr>
          <w:rFonts w:eastAsia="Times New Roman"/>
          <w:lang w:eastAsia="de-DE"/>
        </w:rPr>
        <w:t>ἀνελεῖς</w:t>
      </w:r>
      <w:proofErr w:type="spellEnd"/>
      <w:r w:rsidRPr="00864B28">
        <w:rPr>
          <w:rFonts w:eastAsia="Times New Roman"/>
          <w:lang w:eastAsia="de-DE"/>
        </w:rPr>
        <w:t xml:space="preserve"> (vernichtend wirst du vernichten) mit Partizip und Futur für </w:t>
      </w:r>
      <w:r w:rsidRPr="00864B28">
        <w:rPr>
          <w:rFonts w:eastAsia="Times New Roman"/>
          <w:rtl/>
          <w:lang w:eastAsia="de-DE"/>
        </w:rPr>
        <w:t>הַכֵּה תַכֶּה</w:t>
      </w:r>
      <w:r w:rsidRPr="00864B28">
        <w:rPr>
          <w:rFonts w:eastAsia="Times New Roman"/>
          <w:lang w:eastAsia="de-DE"/>
        </w:rPr>
        <w:t>, was die hebräische Konstruktion mit Infinitiv absolutus wiedergibt. Die Objekte π</w:t>
      </w:r>
      <w:proofErr w:type="spellStart"/>
      <w:r w:rsidRPr="00864B28">
        <w:rPr>
          <w:rFonts w:eastAsia="Times New Roman"/>
          <w:lang w:eastAsia="de-DE"/>
        </w:rPr>
        <w:t>άντ</w:t>
      </w:r>
      <w:proofErr w:type="spellEnd"/>
      <w:r w:rsidRPr="00864B28">
        <w:rPr>
          <w:rFonts w:eastAsia="Times New Roman"/>
          <w:lang w:eastAsia="de-DE"/>
        </w:rPr>
        <w:t xml:space="preserve">ας </w:t>
      </w:r>
      <w:proofErr w:type="spellStart"/>
      <w:r w:rsidRPr="00864B28">
        <w:rPr>
          <w:rFonts w:eastAsia="Times New Roman"/>
          <w:lang w:eastAsia="de-DE"/>
        </w:rPr>
        <w:t>τοὺς</w:t>
      </w:r>
      <w:proofErr w:type="spellEnd"/>
      <w:r w:rsidRPr="00864B28">
        <w:rPr>
          <w:rFonts w:eastAsia="Times New Roman"/>
          <w:lang w:eastAsia="de-DE"/>
        </w:rPr>
        <w:t xml:space="preserve"> κα</w:t>
      </w:r>
      <w:proofErr w:type="spellStart"/>
      <w:r w:rsidRPr="00864B28">
        <w:rPr>
          <w:rFonts w:eastAsia="Times New Roman"/>
          <w:lang w:eastAsia="de-DE"/>
        </w:rPr>
        <w:t>τοικοῦντ</w:t>
      </w:r>
      <w:proofErr w:type="spellEnd"/>
      <w:r w:rsidRPr="00864B28">
        <w:rPr>
          <w:rFonts w:eastAsia="Times New Roman"/>
          <w:lang w:eastAsia="de-DE"/>
        </w:rPr>
        <w:t xml:space="preserve">ας </w:t>
      </w:r>
      <w:proofErr w:type="spellStart"/>
      <w:r w:rsidRPr="00864B28">
        <w:rPr>
          <w:rFonts w:eastAsia="Times New Roman"/>
          <w:lang w:eastAsia="de-DE"/>
        </w:rPr>
        <w:t>ἐν</w:t>
      </w:r>
      <w:proofErr w:type="spellEnd"/>
      <w:r w:rsidRPr="00864B28">
        <w:rPr>
          <w:rFonts w:eastAsia="Times New Roman"/>
          <w:lang w:eastAsia="de-DE"/>
        </w:rPr>
        <w:t xml:space="preserve"> </w:t>
      </w:r>
      <w:proofErr w:type="spellStart"/>
      <w:r w:rsidRPr="00864B28">
        <w:rPr>
          <w:rFonts w:eastAsia="Times New Roman"/>
          <w:lang w:eastAsia="de-DE"/>
        </w:rPr>
        <w:t>τῇ</w:t>
      </w:r>
      <w:proofErr w:type="spellEnd"/>
      <w:r w:rsidRPr="00864B28">
        <w:rPr>
          <w:rFonts w:eastAsia="Times New Roman"/>
          <w:lang w:eastAsia="de-DE"/>
        </w:rPr>
        <w:t xml:space="preserve"> π</w:t>
      </w:r>
      <w:proofErr w:type="spellStart"/>
      <w:r w:rsidRPr="00864B28">
        <w:rPr>
          <w:rFonts w:eastAsia="Times New Roman"/>
          <w:lang w:eastAsia="de-DE"/>
        </w:rPr>
        <w:t>όλει</w:t>
      </w:r>
      <w:proofErr w:type="spellEnd"/>
      <w:r w:rsidRPr="00864B28">
        <w:rPr>
          <w:rFonts w:eastAsia="Times New Roman"/>
          <w:lang w:eastAsia="de-DE"/>
        </w:rPr>
        <w:t xml:space="preserve"> </w:t>
      </w:r>
      <w:proofErr w:type="spellStart"/>
      <w:r w:rsidRPr="00864B28">
        <w:rPr>
          <w:rFonts w:eastAsia="Times New Roman"/>
          <w:lang w:eastAsia="de-DE"/>
        </w:rPr>
        <w:t>ἐκείνῃ</w:t>
      </w:r>
      <w:proofErr w:type="spellEnd"/>
      <w:r w:rsidRPr="00864B28">
        <w:rPr>
          <w:rFonts w:eastAsia="Times New Roman"/>
          <w:lang w:eastAsia="de-DE"/>
        </w:rPr>
        <w:t xml:space="preserve"> (alle, die in jener Stadt wohnen) entsprechen </w:t>
      </w:r>
      <w:r w:rsidRPr="00864B28">
        <w:rPr>
          <w:rFonts w:eastAsia="Times New Roman"/>
          <w:rtl/>
          <w:lang w:eastAsia="de-DE"/>
        </w:rPr>
        <w:t>אֶת־יֹשְׁבֵי הָעִיר</w:t>
      </w:r>
      <w:r w:rsidRPr="00864B28">
        <w:rPr>
          <w:rFonts w:eastAsia="Times New Roman"/>
          <w:lang w:eastAsia="de-DE"/>
        </w:rPr>
        <w:t xml:space="preserve">. Die Art und Weise </w:t>
      </w:r>
      <w:proofErr w:type="spellStart"/>
      <w:r w:rsidRPr="00864B28">
        <w:rPr>
          <w:rFonts w:eastAsia="Times New Roman"/>
          <w:lang w:eastAsia="de-DE"/>
        </w:rPr>
        <w:t>ἐν</w:t>
      </w:r>
      <w:proofErr w:type="spellEnd"/>
      <w:r w:rsidRPr="00864B28">
        <w:rPr>
          <w:rFonts w:eastAsia="Times New Roman"/>
          <w:lang w:eastAsia="de-DE"/>
        </w:rPr>
        <w:t xml:space="preserve"> </w:t>
      </w:r>
      <w:proofErr w:type="spellStart"/>
      <w:r w:rsidRPr="00864B28">
        <w:rPr>
          <w:rFonts w:eastAsia="Times New Roman"/>
          <w:lang w:eastAsia="de-DE"/>
        </w:rPr>
        <w:t>φόνῳ</w:t>
      </w:r>
      <w:proofErr w:type="spellEnd"/>
      <w:r w:rsidRPr="00864B28">
        <w:rPr>
          <w:rFonts w:eastAsia="Times New Roman"/>
          <w:lang w:eastAsia="de-DE"/>
        </w:rPr>
        <w:t xml:space="preserve"> μαχα</w:t>
      </w:r>
      <w:proofErr w:type="spellStart"/>
      <w:r w:rsidRPr="00864B28">
        <w:rPr>
          <w:rFonts w:eastAsia="Times New Roman"/>
          <w:lang w:eastAsia="de-DE"/>
        </w:rPr>
        <w:t>ίρ</w:t>
      </w:r>
      <w:proofErr w:type="spellEnd"/>
      <w:r w:rsidRPr="00864B28">
        <w:rPr>
          <w:rFonts w:eastAsia="Times New Roman"/>
          <w:lang w:eastAsia="de-DE"/>
        </w:rPr>
        <w:t xml:space="preserve">ας (durch Schwerttötung) gibt </w:t>
      </w:r>
      <w:r w:rsidRPr="00864B28">
        <w:rPr>
          <w:rFonts w:eastAsia="Times New Roman"/>
          <w:rtl/>
          <w:lang w:eastAsia="de-DE"/>
        </w:rPr>
        <w:t>לְפִי־חָרֶב</w:t>
      </w:r>
      <w:r w:rsidRPr="00864B28">
        <w:rPr>
          <w:rFonts w:eastAsia="Times New Roman"/>
          <w:lang w:eastAsia="de-DE"/>
        </w:rPr>
        <w:t xml:space="preserve"> (durch die Schneide des Schwertes) wieder. Der Begriff </w:t>
      </w:r>
      <w:proofErr w:type="spellStart"/>
      <w:r w:rsidRPr="00864B28">
        <w:rPr>
          <w:rFonts w:eastAsia="Times New Roman"/>
          <w:lang w:eastAsia="de-DE"/>
        </w:rPr>
        <w:t>ἀν</w:t>
      </w:r>
      <w:proofErr w:type="spellEnd"/>
      <w:r w:rsidRPr="00864B28">
        <w:rPr>
          <w:rFonts w:eastAsia="Times New Roman"/>
          <w:lang w:eastAsia="de-DE"/>
        </w:rPr>
        <w:t xml:space="preserve">αθέματι </w:t>
      </w:r>
      <w:proofErr w:type="spellStart"/>
      <w:r w:rsidRPr="00864B28">
        <w:rPr>
          <w:rFonts w:eastAsia="Times New Roman"/>
          <w:lang w:eastAsia="de-DE"/>
        </w:rPr>
        <w:t>ἀν</w:t>
      </w:r>
      <w:proofErr w:type="spellEnd"/>
      <w:r w:rsidRPr="00864B28">
        <w:rPr>
          <w:rFonts w:eastAsia="Times New Roman"/>
          <w:lang w:eastAsia="de-DE"/>
        </w:rPr>
        <w:t xml:space="preserve">αθεματιεῖτε (zum Bann wirst du bannen) für </w:t>
      </w:r>
      <w:r w:rsidRPr="00864B28">
        <w:rPr>
          <w:rFonts w:eastAsia="Times New Roman"/>
          <w:rtl/>
          <w:lang w:eastAsia="de-DE"/>
        </w:rPr>
        <w:t>הַחֲרֵם</w:t>
      </w:r>
      <w:r w:rsidRPr="00864B28">
        <w:rPr>
          <w:rFonts w:eastAsia="Times New Roman"/>
          <w:lang w:eastAsia="de-DE"/>
        </w:rPr>
        <w:t xml:space="preserve"> ist eine präzise Wiedergabe mit dem technischen Begriff für den Vernichtungsbann. Die Wendung α</w:t>
      </w:r>
      <w:proofErr w:type="spellStart"/>
      <w:r w:rsidRPr="00864B28">
        <w:rPr>
          <w:rFonts w:eastAsia="Times New Roman"/>
          <w:lang w:eastAsia="de-DE"/>
        </w:rPr>
        <w:t>ὐτὴν</w:t>
      </w:r>
      <w:proofErr w:type="spellEnd"/>
      <w:r w:rsidRPr="00864B28">
        <w:rPr>
          <w:rFonts w:eastAsia="Times New Roman"/>
          <w:lang w:eastAsia="de-DE"/>
        </w:rPr>
        <w:t xml:space="preserve"> καὶ π</w:t>
      </w:r>
      <w:proofErr w:type="spellStart"/>
      <w:r w:rsidRPr="00864B28">
        <w:rPr>
          <w:rFonts w:eastAsia="Times New Roman"/>
          <w:lang w:eastAsia="de-DE"/>
        </w:rPr>
        <w:t>άντ</w:t>
      </w:r>
      <w:proofErr w:type="spellEnd"/>
      <w:r w:rsidRPr="00864B28">
        <w:rPr>
          <w:rFonts w:eastAsia="Times New Roman"/>
          <w:lang w:eastAsia="de-DE"/>
        </w:rPr>
        <w:t xml:space="preserve">α </w:t>
      </w:r>
      <w:proofErr w:type="spellStart"/>
      <w:r w:rsidRPr="00864B28">
        <w:rPr>
          <w:rFonts w:eastAsia="Times New Roman"/>
          <w:lang w:eastAsia="de-DE"/>
        </w:rPr>
        <w:t>τὰ</w:t>
      </w:r>
      <w:proofErr w:type="spellEnd"/>
      <w:r w:rsidRPr="00864B28">
        <w:rPr>
          <w:rFonts w:eastAsia="Times New Roman"/>
          <w:lang w:eastAsia="de-DE"/>
        </w:rPr>
        <w:t xml:space="preserve"> </w:t>
      </w:r>
      <w:proofErr w:type="spellStart"/>
      <w:r w:rsidRPr="00864B28">
        <w:rPr>
          <w:rFonts w:eastAsia="Times New Roman"/>
          <w:lang w:eastAsia="de-DE"/>
        </w:rPr>
        <w:t>ἐν</w:t>
      </w:r>
      <w:proofErr w:type="spellEnd"/>
      <w:r w:rsidRPr="00864B28">
        <w:rPr>
          <w:rFonts w:eastAsia="Times New Roman"/>
          <w:lang w:eastAsia="de-DE"/>
        </w:rPr>
        <w:t xml:space="preserve"> α</w:t>
      </w:r>
      <w:proofErr w:type="spellStart"/>
      <w:r w:rsidRPr="00864B28">
        <w:rPr>
          <w:rFonts w:eastAsia="Times New Roman"/>
          <w:lang w:eastAsia="de-DE"/>
        </w:rPr>
        <w:t>ὐτῇ</w:t>
      </w:r>
      <w:proofErr w:type="spellEnd"/>
      <w:r w:rsidRPr="00864B28">
        <w:rPr>
          <w:rFonts w:eastAsia="Times New Roman"/>
          <w:lang w:eastAsia="de-DE"/>
        </w:rPr>
        <w:t xml:space="preserve"> (sie und alles in ihr) entspricht </w:t>
      </w:r>
      <w:r w:rsidRPr="00864B28">
        <w:rPr>
          <w:rFonts w:eastAsia="Times New Roman"/>
          <w:rtl/>
          <w:lang w:eastAsia="de-DE"/>
        </w:rPr>
        <w:t>אֹתָהּ וְאֶת־כָּל־אֲשֶׁר־בָּהּ</w:t>
      </w:r>
      <w:r w:rsidRPr="00864B28">
        <w:rPr>
          <w:rFonts w:eastAsia="Times New Roman"/>
          <w:lang w:eastAsia="de-DE"/>
        </w:rPr>
        <w:t xml:space="preserve">. Der MT fügt noch </w:t>
      </w:r>
      <w:r w:rsidRPr="00864B28">
        <w:rPr>
          <w:rFonts w:eastAsia="Times New Roman"/>
          <w:rtl/>
          <w:lang w:eastAsia="de-DE"/>
        </w:rPr>
        <w:t>וְאֶת־בְּהֶמְתָּהּ</w:t>
      </w:r>
      <w:r w:rsidRPr="00864B28">
        <w:rPr>
          <w:rFonts w:eastAsia="Times New Roman"/>
          <w:lang w:eastAsia="de-DE"/>
        </w:rPr>
        <w:t xml:space="preserve"> (und ihr Vieh) hinzu, was in der LXX an dieser Stelle fehlt.</w:t>
      </w:r>
    </w:p>
    <w:p w14:paraId="1344267E" w14:textId="77777777" w:rsidR="00724090" w:rsidRDefault="00724090" w:rsidP="00724090">
      <w:pPr>
        <w:pStyle w:val="whitespace-normal"/>
      </w:pPr>
      <w:r>
        <w:rPr>
          <w:rStyle w:val="Fett"/>
          <w:rFonts w:eastAsiaTheme="majorEastAsia"/>
        </w:rPr>
        <w:t>Die Satzstruktur</w:t>
      </w:r>
      <w:r>
        <w:t xml:space="preserve"> besteht aus zwei koordinierten emphatischen Imperativen: Erster Imperativ mit emphatischem Infinitiv Absolut (schlagen sollst du schlagen), direktem Objekt (die Bewohner jener Stadt), instrumentaler Bestimmung (mit der Schärfe des Schwertes); zweiter Imperativ (vollstrecke den Bann), dreifaches direktes Objekt (an ihr und an allem, was in ihr ist, und an ihrem Vieh), instrumentale Bestimmung (mit der Schärfe des Schwertes).</w:t>
      </w:r>
    </w:p>
    <w:p w14:paraId="38856FC3" w14:textId="0FACF859" w:rsidR="00724090" w:rsidRDefault="00724090" w:rsidP="00724090">
      <w:pPr>
        <w:pStyle w:val="whitespace-normal"/>
      </w:pPr>
      <w:r>
        <w:t>Der Vers fordert die totale Vernichtung der ab</w:t>
      </w:r>
      <w:r w:rsidR="00D47758">
        <w:t>gefallen</w:t>
      </w:r>
      <w:r>
        <w:t>en Stadt: Alle Bewohner sollen mit dem Schwert erschlagen und die Stadt samt allem Besitz und Vieh dem Bann geweiht werden.</w:t>
      </w:r>
    </w:p>
    <w:p w14:paraId="721D6A52"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13,17</w:t>
      </w:r>
    </w:p>
    <w:p w14:paraId="6D84CDDD" w14:textId="77777777" w:rsidR="00724090" w:rsidRDefault="00724090" w:rsidP="00724090">
      <w:pPr>
        <w:pStyle w:val="whitespace-normal"/>
      </w:pPr>
      <w:r>
        <w:rPr>
          <w:rStyle w:val="Fett"/>
          <w:rFonts w:eastAsiaTheme="majorEastAsia"/>
        </w:rPr>
        <w:t>Hebräisch:</w:t>
      </w:r>
      <w:r>
        <w:t xml:space="preserve"> </w:t>
      </w:r>
      <w:r>
        <w:rPr>
          <w:rtl/>
        </w:rPr>
        <w:t>וְאֶת־כָּל־שְׁלָלָ֗הּ תִּקְבֹּץ֮ אֶל־תּ֣וֹךְ רְחֹבָהּ֒ וְשָׂרַפְתָּ֨ בָאֵ֜שׁ אֶת־הָעִ֤יר וְאֶת־כָּל־שְׁלָלָהּ֙ כָּלִ֔יל לַיהוָ֖ה אֱלֹהֶ֑יךָ וְהָיְתָה֙ תֵּ֣ל עוֹלָ֔ם לֹ֥א תִבָּנֶ֖ה עֽוֹד׃</w:t>
      </w:r>
    </w:p>
    <w:p w14:paraId="1ADA7DB7" w14:textId="25BCF675" w:rsidR="00724090" w:rsidRDefault="00724090" w:rsidP="00724090">
      <w:pPr>
        <w:pStyle w:val="whitespace-normal"/>
      </w:pPr>
      <w:r>
        <w:rPr>
          <w:rStyle w:val="Fett"/>
          <w:rFonts w:eastAsiaTheme="majorEastAsia"/>
        </w:rPr>
        <w:t>Deutsch:</w:t>
      </w:r>
      <w:r>
        <w:t xml:space="preserve"> Und alle ihre Beute sollst du mitten auf ihren Platz zusammentragen und die Stadt und alle ihre Beute dem Ewigen, deinem Gott, gänzlich mit Feuer verbrennen; und sie soll ein Schutthaufen sein ewiglich, sie soll nicht wieder aufgebaut werden.</w:t>
      </w:r>
    </w:p>
    <w:p w14:paraId="5D47A778" w14:textId="45F4AE90" w:rsidR="009C316F" w:rsidRDefault="004F5CEB" w:rsidP="00724090">
      <w:pPr>
        <w:pStyle w:val="whitespace-normal"/>
      </w:pPr>
      <w:r>
        <w:rPr>
          <w:noProof/>
        </w:rPr>
        <w:pict w14:anchorId="20F08395">
          <v:rect id="_x0000_i1420" style="width:0;height:1.5pt" o:hralign="center" o:hrstd="t" o:hr="t" fillcolor="#a0a0a0" stroked="f"/>
        </w:pict>
      </w:r>
    </w:p>
    <w:p w14:paraId="4B1594A5" w14:textId="77777777" w:rsidR="00724090" w:rsidRDefault="00724090" w:rsidP="00724090">
      <w:pPr>
        <w:pStyle w:val="whitespace-normal"/>
      </w:pPr>
      <w:r>
        <w:rPr>
          <w:rStyle w:val="Fett"/>
          <w:rFonts w:eastAsiaTheme="majorEastAsia"/>
        </w:rPr>
        <w:lastRenderedPageBreak/>
        <w:t>Kommentar:</w:t>
      </w:r>
      <w:r>
        <w:t xml:space="preserve"> </w:t>
      </w:r>
      <w:r>
        <w:rPr>
          <w:rStyle w:val="Fett"/>
          <w:rFonts w:eastAsiaTheme="majorEastAsia"/>
          <w:rtl/>
        </w:rPr>
        <w:t>וְאֶת־כָּל־שְׁלָלָהּ תִּקְבֹּץ אֶל־תּוֹךְ רְחֹבָהּ</w:t>
      </w:r>
      <w:r>
        <w:rPr>
          <w:rtl/>
        </w:rPr>
        <w:t xml:space="preserve"> </w:t>
      </w:r>
      <w:r>
        <w:t xml:space="preserve">ist der erste Imperativsatz: </w:t>
      </w:r>
      <w:r>
        <w:rPr>
          <w:rStyle w:val="Fett"/>
          <w:rFonts w:eastAsiaTheme="majorEastAsia"/>
          <w:rtl/>
        </w:rPr>
        <w:t>וְאֶת־כָּל־שְׁלָלָהּ</w:t>
      </w:r>
      <w:r>
        <w:rPr>
          <w:rtl/>
        </w:rPr>
        <w:t xml:space="preserve"> </w:t>
      </w:r>
      <w:r>
        <w:t xml:space="preserve">(koordiniert durch </w:t>
      </w:r>
      <w:r>
        <w:rPr>
          <w:rStyle w:val="Fett"/>
          <w:rFonts w:eastAsiaTheme="majorEastAsia"/>
          <w:rtl/>
        </w:rPr>
        <w:t>וְ</w:t>
      </w:r>
      <w:r>
        <w:rPr>
          <w:rtl/>
        </w:rPr>
        <w:t xml:space="preserve"> </w:t>
      </w:r>
      <w:r>
        <w:t xml:space="preserve">mit Objektpartikel </w:t>
      </w:r>
      <w:r>
        <w:rPr>
          <w:rStyle w:val="Fett"/>
          <w:rFonts w:eastAsiaTheme="majorEastAsia"/>
          <w:rtl/>
        </w:rPr>
        <w:t>אֵת</w:t>
      </w:r>
      <w:r>
        <w:t xml:space="preserve">, </w:t>
      </w:r>
      <w:r>
        <w:rPr>
          <w:rStyle w:val="Fett"/>
          <w:rFonts w:eastAsiaTheme="majorEastAsia"/>
          <w:rtl/>
        </w:rPr>
        <w:t>כֹּל</w:t>
      </w:r>
      <w:r>
        <w:t xml:space="preserve">, „all", im Construct mit </w:t>
      </w:r>
      <w:r>
        <w:rPr>
          <w:rStyle w:val="Fett"/>
          <w:rFonts w:eastAsiaTheme="majorEastAsia"/>
          <w:rtl/>
        </w:rPr>
        <w:t>שָׁלָל</w:t>
      </w:r>
      <w:r>
        <w:t xml:space="preserve">, „Beute, Plündergut", mit Suffix 3. Person feminin Singular, „ihre ganze Beute") als vorangestelltes direktes Objekt, </w:t>
      </w:r>
      <w:r>
        <w:rPr>
          <w:rStyle w:val="Fett"/>
          <w:rFonts w:eastAsiaTheme="majorEastAsia"/>
          <w:rtl/>
        </w:rPr>
        <w:t>תִּקְבֹּץ</w:t>
      </w:r>
      <w:r>
        <w:rPr>
          <w:rtl/>
        </w:rPr>
        <w:t xml:space="preserve"> </w:t>
      </w:r>
      <w:r>
        <w:t xml:space="preserve">(Qal Imperfekt, 2. Person Maskulinum Singular von </w:t>
      </w:r>
      <w:r>
        <w:rPr>
          <w:rStyle w:val="Fett"/>
          <w:rFonts w:eastAsiaTheme="majorEastAsia"/>
          <w:rtl/>
        </w:rPr>
        <w:t>קבץ</w:t>
      </w:r>
      <w:r>
        <w:t xml:space="preserve">, „sammeln, zusammentragen") und </w:t>
      </w:r>
      <w:r>
        <w:rPr>
          <w:rStyle w:val="Fett"/>
          <w:rFonts w:eastAsiaTheme="majorEastAsia"/>
          <w:rtl/>
        </w:rPr>
        <w:t>אֶל־תּוֹךְ רְחֹבָהּ</w:t>
      </w:r>
      <w:r>
        <w:rPr>
          <w:rtl/>
        </w:rPr>
        <w:t xml:space="preserve"> </w:t>
      </w:r>
      <w:r>
        <w:t xml:space="preserve">(Präposition </w:t>
      </w:r>
      <w:r>
        <w:rPr>
          <w:rStyle w:val="Fett"/>
          <w:rFonts w:eastAsiaTheme="majorEastAsia"/>
          <w:rtl/>
        </w:rPr>
        <w:t>אֶל</w:t>
      </w:r>
      <w:r>
        <w:t xml:space="preserve">, „zu, nach", mit </w:t>
      </w:r>
      <w:r>
        <w:rPr>
          <w:rStyle w:val="Fett"/>
          <w:rFonts w:eastAsiaTheme="majorEastAsia"/>
          <w:rtl/>
        </w:rPr>
        <w:t>תָּוֶךְ</w:t>
      </w:r>
      <w:r>
        <w:t xml:space="preserve">, „Mitte", Construct mit </w:t>
      </w:r>
      <w:r>
        <w:rPr>
          <w:rStyle w:val="Fett"/>
          <w:rFonts w:eastAsiaTheme="majorEastAsia"/>
          <w:rtl/>
        </w:rPr>
        <w:t>רְחוֹב</w:t>
      </w:r>
      <w:r>
        <w:t>, „Platz, breite Straße", mit Suffix 3. Person feminin Singular, „zur Mitte ihres Platzes") als Richtungsangabe.</w:t>
      </w:r>
    </w:p>
    <w:p w14:paraId="15F45C81" w14:textId="77777777" w:rsidR="00724090" w:rsidRDefault="00724090" w:rsidP="00724090">
      <w:pPr>
        <w:pStyle w:val="whitespace-normal"/>
      </w:pPr>
      <w:r>
        <w:t xml:space="preserve">Der </w:t>
      </w:r>
      <w:r>
        <w:rPr>
          <w:rStyle w:val="Fett"/>
          <w:rFonts w:eastAsiaTheme="majorEastAsia"/>
          <w:rtl/>
        </w:rPr>
        <w:t>רְחוֹב</w:t>
      </w:r>
      <w:r>
        <w:rPr>
          <w:rtl/>
        </w:rPr>
        <w:t xml:space="preserve"> </w:t>
      </w:r>
      <w:r>
        <w:t>bezeichnet den offenen Platz in der Stadt, oft am Stadttor, wo öffentliche Versammlungen stattfanden. Die Beute soll dorthin gebracht werden, um öffentlich verbrannt zu werden.</w:t>
      </w:r>
    </w:p>
    <w:p w14:paraId="5A8D7D2E" w14:textId="3E5CD7CF" w:rsidR="00724090" w:rsidRDefault="00724090" w:rsidP="00724090">
      <w:pPr>
        <w:pStyle w:val="whitespace-normal"/>
      </w:pPr>
      <w:r>
        <w:rPr>
          <w:rStyle w:val="Fett"/>
          <w:rFonts w:eastAsiaTheme="majorEastAsia"/>
          <w:rtl/>
        </w:rPr>
        <w:t>וְשָׂרַפְתָּ בָאֵשׁ אֶת־הָעִיר וְאֶת־כָּל־שְׁלָלָהּ כָּלִיל לַיהוָה אֱלֹהֶיךָ</w:t>
      </w:r>
      <w:r>
        <w:rPr>
          <w:rtl/>
        </w:rPr>
        <w:t xml:space="preserve"> </w:t>
      </w:r>
      <w:r>
        <w:t xml:space="preserve">ist der zweite Imperativsatz: </w:t>
      </w:r>
      <w:r>
        <w:rPr>
          <w:rStyle w:val="Fett"/>
          <w:rFonts w:eastAsiaTheme="majorEastAsia"/>
          <w:rtl/>
        </w:rPr>
        <w:t>וְשָׂרַפְתָּ</w:t>
      </w:r>
      <w:r>
        <w:rPr>
          <w:rtl/>
        </w:rPr>
        <w:t xml:space="preserve"> </w:t>
      </w:r>
      <w:r>
        <w:t xml:space="preserve">(Qal Perfekt, 2. Person Maskulinum Singular von </w:t>
      </w:r>
      <w:r>
        <w:rPr>
          <w:rStyle w:val="Fett"/>
          <w:rFonts w:eastAsiaTheme="majorEastAsia"/>
          <w:rtl/>
        </w:rPr>
        <w:t>שׂרף</w:t>
      </w:r>
      <w:r>
        <w:t xml:space="preserve">, „verbrennen", mit </w:t>
      </w:r>
      <w:r>
        <w:rPr>
          <w:rStyle w:val="Fett"/>
          <w:rFonts w:eastAsiaTheme="majorEastAsia"/>
        </w:rPr>
        <w:t>Waw</w:t>
      </w:r>
      <w:r>
        <w:t xml:space="preserve">, imperativisch), </w:t>
      </w:r>
      <w:r>
        <w:rPr>
          <w:rStyle w:val="Fett"/>
          <w:rFonts w:eastAsiaTheme="majorEastAsia"/>
          <w:rtl/>
        </w:rPr>
        <w:t>בָאֵשׁ</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אֵשׁ</w:t>
      </w:r>
      <w:r>
        <w:t xml:space="preserve">, „Feuer", mit Artikel) als instrumentale Bestimmung, </w:t>
      </w:r>
      <w:r>
        <w:rPr>
          <w:rStyle w:val="Fett"/>
          <w:rFonts w:eastAsiaTheme="majorEastAsia"/>
          <w:rtl/>
        </w:rPr>
        <w:t>אֶת־הָעִיר וְאֶת־כָּל־שְׁלָלָהּ</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עִיר</w:t>
      </w:r>
      <w:r>
        <w:t xml:space="preserve">, „Stadt", mit Artikel, koordiniert durch </w:t>
      </w:r>
      <w:r>
        <w:rPr>
          <w:rStyle w:val="Fett"/>
          <w:rFonts w:eastAsiaTheme="majorEastAsia"/>
          <w:rtl/>
        </w:rPr>
        <w:t>וְאֶת</w:t>
      </w:r>
      <w:r>
        <w:rPr>
          <w:rtl/>
        </w:rPr>
        <w:t xml:space="preserve"> </w:t>
      </w:r>
      <w:r>
        <w:t xml:space="preserve">mit </w:t>
      </w:r>
      <w:r>
        <w:rPr>
          <w:rStyle w:val="Fett"/>
          <w:rFonts w:eastAsiaTheme="majorEastAsia"/>
          <w:rtl/>
        </w:rPr>
        <w:t>כָּל־שְׁלָלָהּ</w:t>
      </w:r>
      <w:r>
        <w:t xml:space="preserve">, „ihre ganze Beute") als direktes Objekt, </w:t>
      </w:r>
      <w:r>
        <w:rPr>
          <w:rStyle w:val="Fett"/>
          <w:rFonts w:eastAsiaTheme="majorEastAsia"/>
          <w:rtl/>
        </w:rPr>
        <w:t>כָּלִיל</w:t>
      </w:r>
      <w:r>
        <w:rPr>
          <w:rtl/>
        </w:rPr>
        <w:t xml:space="preserve"> </w:t>
      </w:r>
      <w:r>
        <w:t xml:space="preserve">(Substantiv „Ganzopfer, völliges </w:t>
      </w:r>
      <w:r w:rsidR="00A705B7">
        <w:t>Aufsteigeopfer</w:t>
      </w:r>
      <w:r>
        <w:t xml:space="preserve">", verwendet als Adverb „gänzlich, vollständig") als adverbiale Bestimmung und </w:t>
      </w:r>
      <w:r>
        <w:rPr>
          <w:rStyle w:val="Fett"/>
          <w:rFonts w:eastAsiaTheme="majorEastAsia"/>
          <w:rtl/>
        </w:rPr>
        <w:t>לַיהוָה אֱלֹהֶיךָ</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יְהוָה אֱלֹהֶיךָ</w:t>
      </w:r>
      <w:r>
        <w:t>) als Dativ.</w:t>
      </w:r>
    </w:p>
    <w:p w14:paraId="01083005" w14:textId="1A5FADD1" w:rsidR="00724090" w:rsidRDefault="00724090" w:rsidP="00724090">
      <w:pPr>
        <w:pStyle w:val="whitespace-normal"/>
      </w:pPr>
      <w:r>
        <w:t xml:space="preserve">Das Wort </w:t>
      </w:r>
      <w:r>
        <w:rPr>
          <w:rStyle w:val="Fett"/>
          <w:rFonts w:eastAsiaTheme="majorEastAsia"/>
          <w:rtl/>
        </w:rPr>
        <w:t>כָּלִיל</w:t>
      </w:r>
      <w:r>
        <w:rPr>
          <w:rtl/>
        </w:rPr>
        <w:t xml:space="preserve"> </w:t>
      </w:r>
      <w:r>
        <w:t xml:space="preserve">ist verwandt mit </w:t>
      </w:r>
      <w:r>
        <w:rPr>
          <w:rStyle w:val="Fett"/>
          <w:rFonts w:eastAsiaTheme="majorEastAsia"/>
          <w:rtl/>
        </w:rPr>
        <w:t>כֹּל</w:t>
      </w:r>
      <w:r>
        <w:rPr>
          <w:rtl/>
        </w:rPr>
        <w:t xml:space="preserve"> </w:t>
      </w:r>
      <w:r>
        <w:t xml:space="preserve">(„all, ganz") und bezeichnet beim Opfer ein vollständiges </w:t>
      </w:r>
      <w:r w:rsidR="00A705B7">
        <w:t>Aufsteigeopfer</w:t>
      </w:r>
      <w:r>
        <w:t xml:space="preserve">, bei dem alles verbrannt wird. Die Präposition </w:t>
      </w:r>
      <w:r>
        <w:rPr>
          <w:rStyle w:val="Fett"/>
          <w:rFonts w:eastAsiaTheme="majorEastAsia"/>
          <w:rtl/>
        </w:rPr>
        <w:t>לְ</w:t>
      </w:r>
      <w:r>
        <w:rPr>
          <w:rtl/>
        </w:rPr>
        <w:t xml:space="preserve"> </w:t>
      </w:r>
      <w:r>
        <w:t xml:space="preserve">zeigt: Die Verbrennung ist ein Akt der Weihe an JHWH. Die Stadt und ihre Beute werden JHWH als </w:t>
      </w:r>
      <w:r>
        <w:rPr>
          <w:rStyle w:val="Fett"/>
          <w:rFonts w:eastAsiaTheme="majorEastAsia"/>
          <w:rtl/>
        </w:rPr>
        <w:t>כָּלִיל</w:t>
      </w:r>
      <w:r>
        <w:rPr>
          <w:rtl/>
        </w:rPr>
        <w:t xml:space="preserve"> </w:t>
      </w:r>
      <w:r>
        <w:t xml:space="preserve">dargebracht – ein totales </w:t>
      </w:r>
      <w:r w:rsidR="00A705B7">
        <w:t>Aufsteigeopfer</w:t>
      </w:r>
      <w:r>
        <w:t>.</w:t>
      </w:r>
    </w:p>
    <w:p w14:paraId="3226EF48" w14:textId="77777777" w:rsidR="00724090" w:rsidRDefault="00724090" w:rsidP="00724090">
      <w:pPr>
        <w:pStyle w:val="whitespace-normal"/>
      </w:pPr>
      <w:r>
        <w:rPr>
          <w:rStyle w:val="Fett"/>
          <w:rFonts w:eastAsiaTheme="majorEastAsia"/>
          <w:rtl/>
        </w:rPr>
        <w:t>וְהָיְתָה תֵּל עוֹלָם לֹא תִבָּנֶה עוֹד</w:t>
      </w:r>
      <w:r>
        <w:rPr>
          <w:rtl/>
        </w:rPr>
        <w:t xml:space="preserve"> </w:t>
      </w:r>
      <w:r>
        <w:t xml:space="preserve">ist der dritte Satz: </w:t>
      </w:r>
      <w:r>
        <w:rPr>
          <w:rStyle w:val="Fett"/>
          <w:rFonts w:eastAsiaTheme="majorEastAsia"/>
          <w:rtl/>
        </w:rPr>
        <w:t>וְהָיְתָה</w:t>
      </w:r>
      <w:r>
        <w:rPr>
          <w:rtl/>
        </w:rPr>
        <w:t xml:space="preserve"> </w:t>
      </w:r>
      <w:r>
        <w:t xml:space="preserve">(Qal Perfekt, 3. Person feminin Singular von </w:t>
      </w:r>
      <w:r>
        <w:rPr>
          <w:rStyle w:val="Fett"/>
          <w:rFonts w:eastAsiaTheme="majorEastAsia"/>
          <w:rtl/>
        </w:rPr>
        <w:t>היה</w:t>
      </w:r>
      <w:r>
        <w:t xml:space="preserve">, „sein, werden", mit </w:t>
      </w:r>
      <w:r>
        <w:rPr>
          <w:rStyle w:val="Fett"/>
          <w:rFonts w:eastAsiaTheme="majorEastAsia"/>
        </w:rPr>
        <w:t>Waw</w:t>
      </w:r>
      <w:r>
        <w:t xml:space="preserve">, consecutives Perfekt), </w:t>
      </w:r>
      <w:r>
        <w:rPr>
          <w:rStyle w:val="Fett"/>
          <w:rFonts w:eastAsiaTheme="majorEastAsia"/>
          <w:rtl/>
        </w:rPr>
        <w:t>תֵּל עוֹלָם</w:t>
      </w:r>
      <w:r>
        <w:rPr>
          <w:rtl/>
        </w:rPr>
        <w:t xml:space="preserve"> </w:t>
      </w:r>
      <w:r>
        <w:t>(</w:t>
      </w:r>
      <w:r>
        <w:rPr>
          <w:rStyle w:val="Fett"/>
          <w:rFonts w:eastAsiaTheme="majorEastAsia"/>
          <w:rtl/>
        </w:rPr>
        <w:t>תֵּל</w:t>
      </w:r>
      <w:r>
        <w:t xml:space="preserve">, „Hügel, Schutthaufen, Ruinenhügel", mit </w:t>
      </w:r>
      <w:r>
        <w:rPr>
          <w:rStyle w:val="Fett"/>
          <w:rFonts w:eastAsiaTheme="majorEastAsia"/>
          <w:rtl/>
        </w:rPr>
        <w:t>עוֹלָם</w:t>
      </w:r>
      <w:r>
        <w:t xml:space="preserve">, „Ewigkeit", „ein ewiger Schutthaufen") als Prädikatsnomen, </w:t>
      </w:r>
      <w:r>
        <w:rPr>
          <w:rStyle w:val="Fett"/>
          <w:rFonts w:eastAsiaTheme="majorEastAsia"/>
          <w:rtl/>
        </w:rPr>
        <w:t>לֹא תִבָּנֶה</w:t>
      </w:r>
      <w:r>
        <w:rPr>
          <w:rtl/>
        </w:rPr>
        <w:t xml:space="preserve"> </w:t>
      </w:r>
      <w:r>
        <w:t xml:space="preserve">(Negation </w:t>
      </w:r>
      <w:r>
        <w:rPr>
          <w:rStyle w:val="Fett"/>
          <w:rFonts w:eastAsiaTheme="majorEastAsia"/>
          <w:rtl/>
        </w:rPr>
        <w:t>לֹא</w:t>
      </w:r>
      <w:r>
        <w:rPr>
          <w:rtl/>
        </w:rPr>
        <w:t xml:space="preserve"> </w:t>
      </w:r>
      <w:r>
        <w:t xml:space="preserve">mit </w:t>
      </w:r>
      <w:r>
        <w:rPr>
          <w:rStyle w:val="Fett"/>
          <w:rFonts w:eastAsiaTheme="majorEastAsia"/>
          <w:rtl/>
        </w:rPr>
        <w:t>בנה</w:t>
      </w:r>
      <w:r>
        <w:t xml:space="preserve">, Niphal Imperfekt, 3. Person feminin Singular, „gebaut werden") und </w:t>
      </w:r>
      <w:r>
        <w:rPr>
          <w:rStyle w:val="Fett"/>
          <w:rFonts w:eastAsiaTheme="majorEastAsia"/>
          <w:rtl/>
        </w:rPr>
        <w:t>עוֹד</w:t>
      </w:r>
      <w:r>
        <w:rPr>
          <w:rtl/>
        </w:rPr>
        <w:t xml:space="preserve"> </w:t>
      </w:r>
      <w:r>
        <w:t>(„noch, wieder, mehr") als temporale Bestimmung.</w:t>
      </w:r>
    </w:p>
    <w:p w14:paraId="1AB6713B" w14:textId="102B218B" w:rsidR="00724090" w:rsidRDefault="00724090" w:rsidP="00724090">
      <w:pPr>
        <w:pStyle w:val="whitespace-normal"/>
      </w:pPr>
      <w:r>
        <w:t xml:space="preserve">Ein </w:t>
      </w:r>
      <w:r>
        <w:rPr>
          <w:rStyle w:val="Fett"/>
          <w:rFonts w:eastAsiaTheme="majorEastAsia"/>
          <w:rtl/>
        </w:rPr>
        <w:t>תֵּל</w:t>
      </w:r>
      <w:r>
        <w:rPr>
          <w:rtl/>
        </w:rPr>
        <w:t xml:space="preserve"> </w:t>
      </w:r>
      <w:r>
        <w:t xml:space="preserve">ist ein Ruinenhügel, wie er durch wiederholte Zerstörung und Wiederaufbau entsteht. Die Stadt soll als </w:t>
      </w:r>
      <w:r>
        <w:rPr>
          <w:rStyle w:val="Fett"/>
          <w:rFonts w:eastAsiaTheme="majorEastAsia"/>
          <w:rtl/>
        </w:rPr>
        <w:t>תֵּל עוֹלָם</w:t>
      </w:r>
      <w:r>
        <w:rPr>
          <w:rtl/>
        </w:rPr>
        <w:t xml:space="preserve"> </w:t>
      </w:r>
      <w:r>
        <w:t xml:space="preserve">(„ewiger Schutthaufen") liegenbleiben – ein bleibendes Mahnmal. Das Verbot </w:t>
      </w:r>
      <w:r>
        <w:rPr>
          <w:rStyle w:val="Fett"/>
          <w:rFonts w:eastAsiaTheme="majorEastAsia"/>
          <w:rtl/>
        </w:rPr>
        <w:t>לֹא תִבָּנֶה עוֹד</w:t>
      </w:r>
      <w:r>
        <w:rPr>
          <w:rtl/>
        </w:rPr>
        <w:t xml:space="preserve"> </w:t>
      </w:r>
      <w:r>
        <w:t>(„sie soll nicht wieder aufgebaut werden") macht dies explizit (vgl. Jos 6,26 über Jericho).</w:t>
      </w:r>
    </w:p>
    <w:p w14:paraId="08B2DFC8" w14:textId="77777777" w:rsidR="00864B28" w:rsidRPr="00864B28" w:rsidRDefault="00864B28" w:rsidP="00864B28">
      <w:pPr>
        <w:spacing w:before="100" w:beforeAutospacing="1" w:after="100" w:afterAutospacing="1" w:line="240" w:lineRule="auto"/>
        <w:outlineLvl w:val="1"/>
        <w:rPr>
          <w:rFonts w:eastAsia="Times New Roman"/>
          <w:b/>
          <w:bCs/>
          <w:sz w:val="36"/>
          <w:szCs w:val="36"/>
          <w:lang w:eastAsia="de-DE"/>
        </w:rPr>
      </w:pPr>
      <w:r w:rsidRPr="00864B28">
        <w:rPr>
          <w:rFonts w:eastAsia="Times New Roman"/>
          <w:b/>
          <w:bCs/>
          <w:sz w:val="36"/>
          <w:szCs w:val="36"/>
          <w:lang w:eastAsia="de-DE"/>
        </w:rPr>
        <w:t>Vers 17 (MT 13,17) / Vers 16 (LXX 13,16)</w:t>
      </w:r>
    </w:p>
    <w:p w14:paraId="61B27D1A" w14:textId="127E9EEF" w:rsidR="00864B28" w:rsidRPr="00864B28" w:rsidRDefault="00864B28" w:rsidP="00864B28">
      <w:pPr>
        <w:spacing w:before="100" w:beforeAutospacing="1" w:after="100" w:afterAutospacing="1" w:line="240" w:lineRule="auto"/>
        <w:rPr>
          <w:rFonts w:eastAsia="Times New Roman"/>
          <w:lang w:eastAsia="de-DE"/>
        </w:rPr>
      </w:pPr>
      <w:r w:rsidRPr="00864B28">
        <w:rPr>
          <w:rFonts w:eastAsia="Times New Roman"/>
          <w:b/>
          <w:bCs/>
          <w:lang w:eastAsia="de-DE"/>
        </w:rPr>
        <w:t>Die LXX</w:t>
      </w:r>
      <w:r w:rsidRPr="00864B28">
        <w:rPr>
          <w:rFonts w:eastAsia="Times New Roman"/>
          <w:lang w:eastAsia="de-DE"/>
        </w:rPr>
        <w:t xml:space="preserve"> bietet καὶ π</w:t>
      </w:r>
      <w:proofErr w:type="spellStart"/>
      <w:r w:rsidRPr="00864B28">
        <w:rPr>
          <w:rFonts w:eastAsia="Times New Roman"/>
          <w:lang w:eastAsia="de-DE"/>
        </w:rPr>
        <w:t>άντ</w:t>
      </w:r>
      <w:proofErr w:type="spellEnd"/>
      <w:r w:rsidRPr="00864B28">
        <w:rPr>
          <w:rFonts w:eastAsia="Times New Roman"/>
          <w:lang w:eastAsia="de-DE"/>
        </w:rPr>
        <w:t xml:space="preserve">α </w:t>
      </w:r>
      <w:proofErr w:type="spellStart"/>
      <w:r w:rsidRPr="00864B28">
        <w:rPr>
          <w:rFonts w:eastAsia="Times New Roman"/>
          <w:lang w:eastAsia="de-DE"/>
        </w:rPr>
        <w:t>τὰ</w:t>
      </w:r>
      <w:proofErr w:type="spellEnd"/>
      <w:r w:rsidRPr="00864B28">
        <w:rPr>
          <w:rFonts w:eastAsia="Times New Roman"/>
          <w:lang w:eastAsia="de-DE"/>
        </w:rPr>
        <w:t xml:space="preserve"> </w:t>
      </w:r>
      <w:proofErr w:type="spellStart"/>
      <w:r w:rsidRPr="00864B28">
        <w:rPr>
          <w:rFonts w:eastAsia="Times New Roman"/>
          <w:lang w:eastAsia="de-DE"/>
        </w:rPr>
        <w:t>σκῦλ</w:t>
      </w:r>
      <w:proofErr w:type="spellEnd"/>
      <w:r w:rsidRPr="00864B28">
        <w:rPr>
          <w:rFonts w:eastAsia="Times New Roman"/>
          <w:lang w:eastAsia="de-DE"/>
        </w:rPr>
        <w:t>α α</w:t>
      </w:r>
      <w:proofErr w:type="spellStart"/>
      <w:r w:rsidRPr="00864B28">
        <w:rPr>
          <w:rFonts w:eastAsia="Times New Roman"/>
          <w:lang w:eastAsia="de-DE"/>
        </w:rPr>
        <w:t>ὐτῆς</w:t>
      </w:r>
      <w:proofErr w:type="spellEnd"/>
      <w:r w:rsidRPr="00864B28">
        <w:rPr>
          <w:rFonts w:eastAsia="Times New Roman"/>
          <w:lang w:eastAsia="de-DE"/>
        </w:rPr>
        <w:t xml:space="preserve"> </w:t>
      </w:r>
      <w:proofErr w:type="spellStart"/>
      <w:r w:rsidRPr="00864B28">
        <w:rPr>
          <w:rFonts w:eastAsia="Times New Roman"/>
          <w:lang w:eastAsia="de-DE"/>
        </w:rPr>
        <w:t>συνάξεις</w:t>
      </w:r>
      <w:proofErr w:type="spellEnd"/>
      <w:r w:rsidRPr="00864B28">
        <w:rPr>
          <w:rFonts w:eastAsia="Times New Roman"/>
          <w:lang w:eastAsia="de-DE"/>
        </w:rPr>
        <w:t xml:space="preserve"> </w:t>
      </w:r>
      <w:proofErr w:type="spellStart"/>
      <w:r w:rsidRPr="00864B28">
        <w:rPr>
          <w:rFonts w:eastAsia="Times New Roman"/>
          <w:lang w:eastAsia="de-DE"/>
        </w:rPr>
        <w:t>εἰς</w:t>
      </w:r>
      <w:proofErr w:type="spellEnd"/>
      <w:r w:rsidRPr="00864B28">
        <w:rPr>
          <w:rFonts w:eastAsia="Times New Roman"/>
          <w:lang w:eastAsia="de-DE"/>
        </w:rPr>
        <w:t xml:space="preserve"> </w:t>
      </w:r>
      <w:proofErr w:type="spellStart"/>
      <w:r w:rsidRPr="00864B28">
        <w:rPr>
          <w:rFonts w:eastAsia="Times New Roman"/>
          <w:lang w:eastAsia="de-DE"/>
        </w:rPr>
        <w:t>τὰς</w:t>
      </w:r>
      <w:proofErr w:type="spellEnd"/>
      <w:r w:rsidRPr="00864B28">
        <w:rPr>
          <w:rFonts w:eastAsia="Times New Roman"/>
          <w:lang w:eastAsia="de-DE"/>
        </w:rPr>
        <w:t xml:space="preserve"> </w:t>
      </w:r>
      <w:proofErr w:type="spellStart"/>
      <w:r w:rsidRPr="00864B28">
        <w:rPr>
          <w:rFonts w:eastAsia="Times New Roman"/>
          <w:lang w:eastAsia="de-DE"/>
        </w:rPr>
        <w:t>διόδους</w:t>
      </w:r>
      <w:proofErr w:type="spellEnd"/>
      <w:r w:rsidRPr="00864B28">
        <w:rPr>
          <w:rFonts w:eastAsia="Times New Roman"/>
          <w:lang w:eastAsia="de-DE"/>
        </w:rPr>
        <w:t xml:space="preserve"> α</w:t>
      </w:r>
      <w:proofErr w:type="spellStart"/>
      <w:r w:rsidRPr="00864B28">
        <w:rPr>
          <w:rFonts w:eastAsia="Times New Roman"/>
          <w:lang w:eastAsia="de-DE"/>
        </w:rPr>
        <w:t>ὐτῆς</w:t>
      </w:r>
      <w:proofErr w:type="spellEnd"/>
      <w:r w:rsidRPr="00864B28">
        <w:rPr>
          <w:rFonts w:eastAsia="Times New Roman"/>
          <w:lang w:eastAsia="de-DE"/>
        </w:rPr>
        <w:t xml:space="preserve"> (und alle ihre Beute wirst du sammeln in ihre Straßen) für </w:t>
      </w:r>
      <w:r w:rsidRPr="00864B28">
        <w:rPr>
          <w:rFonts w:eastAsia="Times New Roman"/>
          <w:rtl/>
          <w:lang w:eastAsia="de-DE"/>
        </w:rPr>
        <w:t>וְאֶת־כָּל־שְׁלָלָהּ תִּקְבֹּץ אֶל־תּוֹךְ רְחֹבָהּ</w:t>
      </w:r>
      <w:r w:rsidRPr="00864B28">
        <w:rPr>
          <w:rFonts w:eastAsia="Times New Roman"/>
          <w:lang w:eastAsia="de-DE"/>
        </w:rPr>
        <w:t xml:space="preserve">, wobei </w:t>
      </w:r>
      <w:proofErr w:type="spellStart"/>
      <w:r w:rsidRPr="00864B28">
        <w:rPr>
          <w:rFonts w:eastAsia="Times New Roman"/>
          <w:lang w:eastAsia="de-DE"/>
        </w:rPr>
        <w:t>διόδους</w:t>
      </w:r>
      <w:proofErr w:type="spellEnd"/>
      <w:r w:rsidRPr="00864B28">
        <w:rPr>
          <w:rFonts w:eastAsia="Times New Roman"/>
          <w:lang w:eastAsia="de-DE"/>
        </w:rPr>
        <w:t xml:space="preserve"> (Durchgänge, Straßen) </w:t>
      </w:r>
      <w:r w:rsidRPr="00864B28">
        <w:rPr>
          <w:rFonts w:eastAsia="Times New Roman"/>
          <w:rtl/>
          <w:lang w:eastAsia="de-DE"/>
        </w:rPr>
        <w:t>רְחֹב</w:t>
      </w:r>
      <w:r w:rsidRPr="00864B28">
        <w:rPr>
          <w:rFonts w:eastAsia="Times New Roman"/>
          <w:lang w:eastAsia="de-DE"/>
        </w:rPr>
        <w:t xml:space="preserve"> (Platz) interpretiert. Das Verb καὶ </w:t>
      </w:r>
      <w:proofErr w:type="spellStart"/>
      <w:r w:rsidRPr="00864B28">
        <w:rPr>
          <w:rFonts w:eastAsia="Times New Roman"/>
          <w:lang w:eastAsia="de-DE"/>
        </w:rPr>
        <w:t>ἐμ</w:t>
      </w:r>
      <w:proofErr w:type="spellEnd"/>
      <w:r w:rsidRPr="00864B28">
        <w:rPr>
          <w:rFonts w:eastAsia="Times New Roman"/>
          <w:lang w:eastAsia="de-DE"/>
        </w:rPr>
        <w:t xml:space="preserve">πρήσεις (und du wirst verbrennen) entspricht </w:t>
      </w:r>
      <w:r w:rsidRPr="00864B28">
        <w:rPr>
          <w:rFonts w:eastAsia="Times New Roman"/>
          <w:rtl/>
          <w:lang w:eastAsia="de-DE"/>
        </w:rPr>
        <w:t>וְשָׂרַפְתָּ</w:t>
      </w:r>
      <w:r w:rsidRPr="00864B28">
        <w:rPr>
          <w:rFonts w:eastAsia="Times New Roman"/>
          <w:lang w:eastAsia="de-DE"/>
        </w:rPr>
        <w:t xml:space="preserve">. Die Wendung </w:t>
      </w:r>
      <w:proofErr w:type="spellStart"/>
      <w:r w:rsidRPr="00864B28">
        <w:rPr>
          <w:rFonts w:eastAsia="Times New Roman"/>
          <w:lang w:eastAsia="de-DE"/>
        </w:rPr>
        <w:t>ἐν</w:t>
      </w:r>
      <w:proofErr w:type="spellEnd"/>
      <w:r w:rsidRPr="00864B28">
        <w:rPr>
          <w:rFonts w:eastAsia="Times New Roman"/>
          <w:lang w:eastAsia="de-DE"/>
        </w:rPr>
        <w:t xml:space="preserve"> π</w:t>
      </w:r>
      <w:proofErr w:type="spellStart"/>
      <w:r w:rsidRPr="00864B28">
        <w:rPr>
          <w:rFonts w:eastAsia="Times New Roman"/>
          <w:lang w:eastAsia="de-DE"/>
        </w:rPr>
        <w:t>υρὶ</w:t>
      </w:r>
      <w:proofErr w:type="spellEnd"/>
      <w:r w:rsidRPr="00864B28">
        <w:rPr>
          <w:rFonts w:eastAsia="Times New Roman"/>
          <w:lang w:eastAsia="de-DE"/>
        </w:rPr>
        <w:t>... καὶ π</w:t>
      </w:r>
      <w:proofErr w:type="spellStart"/>
      <w:r w:rsidRPr="00864B28">
        <w:rPr>
          <w:rFonts w:eastAsia="Times New Roman"/>
          <w:lang w:eastAsia="de-DE"/>
        </w:rPr>
        <w:t>άντ</w:t>
      </w:r>
      <w:proofErr w:type="spellEnd"/>
      <w:r w:rsidRPr="00864B28">
        <w:rPr>
          <w:rFonts w:eastAsia="Times New Roman"/>
          <w:lang w:eastAsia="de-DE"/>
        </w:rPr>
        <w:t xml:space="preserve">α </w:t>
      </w:r>
      <w:proofErr w:type="spellStart"/>
      <w:r w:rsidRPr="00864B28">
        <w:rPr>
          <w:rFonts w:eastAsia="Times New Roman"/>
          <w:lang w:eastAsia="de-DE"/>
        </w:rPr>
        <w:t>τὰ</w:t>
      </w:r>
      <w:proofErr w:type="spellEnd"/>
      <w:r w:rsidRPr="00864B28">
        <w:rPr>
          <w:rFonts w:eastAsia="Times New Roman"/>
          <w:lang w:eastAsia="de-DE"/>
        </w:rPr>
        <w:t xml:space="preserve"> </w:t>
      </w:r>
      <w:proofErr w:type="spellStart"/>
      <w:r w:rsidRPr="00864B28">
        <w:rPr>
          <w:rFonts w:eastAsia="Times New Roman"/>
          <w:lang w:eastAsia="de-DE"/>
        </w:rPr>
        <w:t>σκῦλ</w:t>
      </w:r>
      <w:proofErr w:type="spellEnd"/>
      <w:r w:rsidRPr="00864B28">
        <w:rPr>
          <w:rFonts w:eastAsia="Times New Roman"/>
          <w:lang w:eastAsia="de-DE"/>
        </w:rPr>
        <w:t>α α</w:t>
      </w:r>
      <w:proofErr w:type="spellStart"/>
      <w:r w:rsidRPr="00864B28">
        <w:rPr>
          <w:rFonts w:eastAsia="Times New Roman"/>
          <w:lang w:eastAsia="de-DE"/>
        </w:rPr>
        <w:t>ὐτῆς</w:t>
      </w:r>
      <w:proofErr w:type="spellEnd"/>
      <w:r w:rsidRPr="00864B28">
        <w:rPr>
          <w:rFonts w:eastAsia="Times New Roman"/>
          <w:lang w:eastAsia="de-DE"/>
        </w:rPr>
        <w:t xml:space="preserve"> πα</w:t>
      </w:r>
      <w:proofErr w:type="spellStart"/>
      <w:r w:rsidRPr="00864B28">
        <w:rPr>
          <w:rFonts w:eastAsia="Times New Roman"/>
          <w:lang w:eastAsia="de-DE"/>
        </w:rPr>
        <w:t>νδημεὶ</w:t>
      </w:r>
      <w:proofErr w:type="spellEnd"/>
      <w:r w:rsidRPr="00864B28">
        <w:rPr>
          <w:rFonts w:eastAsia="Times New Roman"/>
          <w:lang w:eastAsia="de-DE"/>
        </w:rPr>
        <w:t xml:space="preserve"> </w:t>
      </w:r>
      <w:proofErr w:type="spellStart"/>
      <w:r w:rsidRPr="00864B28">
        <w:rPr>
          <w:rFonts w:eastAsia="Times New Roman"/>
          <w:lang w:eastAsia="de-DE"/>
        </w:rPr>
        <w:t>ἔν</w:t>
      </w:r>
      <w:proofErr w:type="spellEnd"/>
      <w:r w:rsidRPr="00864B28">
        <w:rPr>
          <w:rFonts w:eastAsia="Times New Roman"/>
          <w:lang w:eastAsia="de-DE"/>
        </w:rPr>
        <w:t xml:space="preserve">αντι </w:t>
      </w:r>
      <w:proofErr w:type="spellStart"/>
      <w:r w:rsidRPr="00864B28">
        <w:rPr>
          <w:rFonts w:eastAsia="Times New Roman"/>
          <w:lang w:eastAsia="de-DE"/>
        </w:rPr>
        <w:t>κυρίου</w:t>
      </w:r>
      <w:proofErr w:type="spellEnd"/>
      <w:r w:rsidRPr="00864B28">
        <w:rPr>
          <w:rFonts w:eastAsia="Times New Roman"/>
          <w:lang w:eastAsia="de-DE"/>
        </w:rPr>
        <w:t xml:space="preserve"> </w:t>
      </w:r>
      <w:proofErr w:type="spellStart"/>
      <w:r w:rsidRPr="00864B28">
        <w:rPr>
          <w:rFonts w:eastAsia="Times New Roman"/>
          <w:lang w:eastAsia="de-DE"/>
        </w:rPr>
        <w:t>τοῦ</w:t>
      </w:r>
      <w:proofErr w:type="spellEnd"/>
      <w:r w:rsidRPr="00864B28">
        <w:rPr>
          <w:rFonts w:eastAsia="Times New Roman"/>
          <w:lang w:eastAsia="de-DE"/>
        </w:rPr>
        <w:t xml:space="preserve"> </w:t>
      </w:r>
      <w:proofErr w:type="spellStart"/>
      <w:r w:rsidRPr="00864B28">
        <w:rPr>
          <w:rFonts w:eastAsia="Times New Roman"/>
          <w:lang w:eastAsia="de-DE"/>
        </w:rPr>
        <w:t>θεοῦ</w:t>
      </w:r>
      <w:proofErr w:type="spellEnd"/>
      <w:r w:rsidRPr="00864B28">
        <w:rPr>
          <w:rFonts w:eastAsia="Times New Roman"/>
          <w:lang w:eastAsia="de-DE"/>
        </w:rPr>
        <w:t xml:space="preserve"> </w:t>
      </w:r>
      <w:proofErr w:type="spellStart"/>
      <w:r w:rsidRPr="00864B28">
        <w:rPr>
          <w:rFonts w:eastAsia="Times New Roman"/>
          <w:lang w:eastAsia="de-DE"/>
        </w:rPr>
        <w:t>σου</w:t>
      </w:r>
      <w:proofErr w:type="spellEnd"/>
      <w:r w:rsidRPr="00864B28">
        <w:rPr>
          <w:rFonts w:eastAsia="Times New Roman"/>
          <w:lang w:eastAsia="de-DE"/>
        </w:rPr>
        <w:t xml:space="preserve"> (im Feuer... und alle ihre Beute vollständig vor dem Herrn, deinem Gott) gibt </w:t>
      </w:r>
      <w:r w:rsidRPr="00864B28">
        <w:rPr>
          <w:rFonts w:eastAsia="Times New Roman"/>
          <w:rtl/>
          <w:lang w:eastAsia="de-DE"/>
        </w:rPr>
        <w:t>בָאֵשׁ אֶת־הָעִיר וְאֶת־כָּל־שְׁלָלָהּ כָּלִיל לַיהוָה אֱלֹהֶיךָ</w:t>
      </w:r>
      <w:r w:rsidRPr="00864B28">
        <w:rPr>
          <w:rFonts w:eastAsia="Times New Roman"/>
          <w:lang w:eastAsia="de-DE"/>
        </w:rPr>
        <w:t xml:space="preserve"> wieder, wobei πα</w:t>
      </w:r>
      <w:proofErr w:type="spellStart"/>
      <w:r w:rsidRPr="00864B28">
        <w:rPr>
          <w:rFonts w:eastAsia="Times New Roman"/>
          <w:lang w:eastAsia="de-DE"/>
        </w:rPr>
        <w:t>νδημεὶ</w:t>
      </w:r>
      <w:proofErr w:type="spellEnd"/>
      <w:r w:rsidRPr="00864B28">
        <w:rPr>
          <w:rFonts w:eastAsia="Times New Roman"/>
          <w:lang w:eastAsia="de-DE"/>
        </w:rPr>
        <w:t xml:space="preserve"> (vollständig, ganz und gar) </w:t>
      </w:r>
      <w:r w:rsidRPr="00864B28">
        <w:rPr>
          <w:rFonts w:eastAsia="Times New Roman"/>
          <w:rtl/>
          <w:lang w:eastAsia="de-DE"/>
        </w:rPr>
        <w:t>כָּלִיל</w:t>
      </w:r>
      <w:r w:rsidRPr="00864B28">
        <w:rPr>
          <w:rFonts w:eastAsia="Times New Roman"/>
          <w:lang w:eastAsia="de-DE"/>
        </w:rPr>
        <w:t xml:space="preserve"> (Ganzopfer) interpretiert. Die Folge καὶ </w:t>
      </w:r>
      <w:proofErr w:type="spellStart"/>
      <w:r w:rsidRPr="00864B28">
        <w:rPr>
          <w:rFonts w:eastAsia="Times New Roman"/>
          <w:lang w:eastAsia="de-DE"/>
        </w:rPr>
        <w:t>ἔστ</w:t>
      </w:r>
      <w:proofErr w:type="spellEnd"/>
      <w:r w:rsidRPr="00864B28">
        <w:rPr>
          <w:rFonts w:eastAsia="Times New Roman"/>
          <w:lang w:eastAsia="de-DE"/>
        </w:rPr>
        <w:t xml:space="preserve">αι </w:t>
      </w:r>
      <w:proofErr w:type="spellStart"/>
      <w:r w:rsidRPr="00864B28">
        <w:rPr>
          <w:rFonts w:eastAsia="Times New Roman"/>
          <w:lang w:eastAsia="de-DE"/>
        </w:rPr>
        <w:t>ἀοίκητος</w:t>
      </w:r>
      <w:proofErr w:type="spellEnd"/>
      <w:r w:rsidRPr="00864B28">
        <w:rPr>
          <w:rFonts w:eastAsia="Times New Roman"/>
          <w:lang w:eastAsia="de-DE"/>
        </w:rPr>
        <w:t xml:space="preserve"> </w:t>
      </w:r>
      <w:proofErr w:type="spellStart"/>
      <w:r w:rsidRPr="00864B28">
        <w:rPr>
          <w:rFonts w:eastAsia="Times New Roman"/>
          <w:lang w:eastAsia="de-DE"/>
        </w:rPr>
        <w:t>εἰς</w:t>
      </w:r>
      <w:proofErr w:type="spellEnd"/>
      <w:r w:rsidRPr="00864B28">
        <w:rPr>
          <w:rFonts w:eastAsia="Times New Roman"/>
          <w:lang w:eastAsia="de-DE"/>
        </w:rPr>
        <w:t xml:space="preserve"> </w:t>
      </w:r>
      <w:proofErr w:type="spellStart"/>
      <w:r w:rsidRPr="00864B28">
        <w:rPr>
          <w:rFonts w:eastAsia="Times New Roman"/>
          <w:lang w:eastAsia="de-DE"/>
        </w:rPr>
        <w:t>τὸν</w:t>
      </w:r>
      <w:proofErr w:type="spellEnd"/>
      <w:r w:rsidRPr="00864B28">
        <w:rPr>
          <w:rFonts w:eastAsia="Times New Roman"/>
          <w:lang w:eastAsia="de-DE"/>
        </w:rPr>
        <w:t xml:space="preserve"> α</w:t>
      </w:r>
      <w:proofErr w:type="spellStart"/>
      <w:r w:rsidRPr="00864B28">
        <w:rPr>
          <w:rFonts w:eastAsia="Times New Roman"/>
          <w:lang w:eastAsia="de-DE"/>
        </w:rPr>
        <w:t>ἰῶν</w:t>
      </w:r>
      <w:proofErr w:type="spellEnd"/>
      <w:r w:rsidRPr="00864B28">
        <w:rPr>
          <w:rFonts w:eastAsia="Times New Roman"/>
          <w:lang w:eastAsia="de-DE"/>
        </w:rPr>
        <w:t xml:space="preserve">α (und sie wird unbewohnt sein für die Ewigkeit) entspricht </w:t>
      </w:r>
      <w:r w:rsidRPr="00864B28">
        <w:rPr>
          <w:rFonts w:eastAsia="Times New Roman"/>
          <w:rtl/>
          <w:lang w:eastAsia="de-DE"/>
        </w:rPr>
        <w:t>וְהָיְתָה תֵּל עוֹלָם</w:t>
      </w:r>
      <w:r w:rsidRPr="00864B28">
        <w:rPr>
          <w:rFonts w:eastAsia="Times New Roman"/>
          <w:lang w:eastAsia="de-DE"/>
        </w:rPr>
        <w:t xml:space="preserve">, wobei </w:t>
      </w:r>
      <w:proofErr w:type="spellStart"/>
      <w:r w:rsidRPr="00864B28">
        <w:rPr>
          <w:rFonts w:eastAsia="Times New Roman"/>
          <w:lang w:eastAsia="de-DE"/>
        </w:rPr>
        <w:t>ἀοίκητος</w:t>
      </w:r>
      <w:proofErr w:type="spellEnd"/>
      <w:r w:rsidRPr="00864B28">
        <w:rPr>
          <w:rFonts w:eastAsia="Times New Roman"/>
          <w:lang w:eastAsia="de-DE"/>
        </w:rPr>
        <w:t xml:space="preserve"> (unbewohnt) </w:t>
      </w:r>
      <w:r w:rsidRPr="00864B28">
        <w:rPr>
          <w:rFonts w:eastAsia="Times New Roman"/>
          <w:rtl/>
          <w:lang w:eastAsia="de-DE"/>
        </w:rPr>
        <w:t>תֵּל</w:t>
      </w:r>
      <w:r w:rsidRPr="00864B28">
        <w:rPr>
          <w:rFonts w:eastAsia="Times New Roman"/>
          <w:lang w:eastAsia="de-DE"/>
        </w:rPr>
        <w:t xml:space="preserve"> (Ruinenhügel) interpretiert. Die Schlussformel </w:t>
      </w:r>
      <w:proofErr w:type="spellStart"/>
      <w:r w:rsidRPr="00864B28">
        <w:rPr>
          <w:rFonts w:eastAsia="Times New Roman"/>
          <w:lang w:eastAsia="de-DE"/>
        </w:rPr>
        <w:t>οὐκ</w:t>
      </w:r>
      <w:proofErr w:type="spellEnd"/>
      <w:r w:rsidRPr="00864B28">
        <w:rPr>
          <w:rFonts w:eastAsia="Times New Roman"/>
          <w:lang w:eastAsia="de-DE"/>
        </w:rPr>
        <w:t xml:space="preserve"> </w:t>
      </w:r>
      <w:proofErr w:type="spellStart"/>
      <w:r w:rsidRPr="00864B28">
        <w:rPr>
          <w:rFonts w:eastAsia="Times New Roman"/>
          <w:lang w:eastAsia="de-DE"/>
        </w:rPr>
        <w:lastRenderedPageBreak/>
        <w:t>ἀνοικοδομηθήσετ</w:t>
      </w:r>
      <w:proofErr w:type="spellEnd"/>
      <w:r w:rsidRPr="00864B28">
        <w:rPr>
          <w:rFonts w:eastAsia="Times New Roman"/>
          <w:lang w:eastAsia="de-DE"/>
        </w:rPr>
        <w:t xml:space="preserve">αι </w:t>
      </w:r>
      <w:proofErr w:type="spellStart"/>
      <w:r w:rsidRPr="00864B28">
        <w:rPr>
          <w:rFonts w:eastAsia="Times New Roman"/>
          <w:lang w:eastAsia="de-DE"/>
        </w:rPr>
        <w:t>ἔτι</w:t>
      </w:r>
      <w:proofErr w:type="spellEnd"/>
      <w:r w:rsidRPr="00864B28">
        <w:rPr>
          <w:rFonts w:eastAsia="Times New Roman"/>
          <w:lang w:eastAsia="de-DE"/>
        </w:rPr>
        <w:t xml:space="preserve"> (sie wird nicht mehr aufgebaut werden) gibt </w:t>
      </w:r>
      <w:r w:rsidRPr="00864B28">
        <w:rPr>
          <w:rFonts w:eastAsia="Times New Roman"/>
          <w:rtl/>
          <w:lang w:eastAsia="de-DE"/>
        </w:rPr>
        <w:t>לֹא תִבָּנֶה עוֹד</w:t>
      </w:r>
      <w:r w:rsidRPr="00864B28">
        <w:rPr>
          <w:rFonts w:eastAsia="Times New Roman"/>
          <w:lang w:eastAsia="de-DE"/>
        </w:rPr>
        <w:t xml:space="preserve"> präzise wieder.</w:t>
      </w:r>
    </w:p>
    <w:p w14:paraId="64229BC4" w14:textId="77777777" w:rsidR="00724090" w:rsidRDefault="00724090" w:rsidP="00724090">
      <w:pPr>
        <w:pStyle w:val="whitespace-normal"/>
      </w:pPr>
      <w:r>
        <w:rPr>
          <w:rStyle w:val="Fett"/>
          <w:rFonts w:eastAsiaTheme="majorEastAsia"/>
        </w:rPr>
        <w:t>Die Satzstruktur</w:t>
      </w:r>
      <w:r>
        <w:t xml:space="preserve"> besteht aus drei koordinierten Sätzen: Erster Imperativ mit vorangestelltem direktem Objekt (ihre ganze Beute), Prädikat (sollst zusammentragen), Richtungsangabe (zur Mitte ihres Platzes); zweiter Imperativ mit Prädikat (sollst verbrennen), instrumentaler Bestimmung (mit Feuer), direktem Objekt (die Stadt und ihre ganze Beute), adverbialer Bestimmung (gänzlich), Dativ (JHWH, deinem Gott); dritter Satz mit Prädikat (soll sein), Prädikatsnomen (ein ewiger Schutthaufen), negativer Folge (soll nicht gebaut werden), temporale Bestimmung (wieder).</w:t>
      </w:r>
    </w:p>
    <w:p w14:paraId="1EBEA0A9" w14:textId="6FE06DDE" w:rsidR="00724090" w:rsidRDefault="00724090" w:rsidP="00724090">
      <w:pPr>
        <w:pStyle w:val="whitespace-normal"/>
      </w:pPr>
      <w:r>
        <w:t xml:space="preserve">Der Vers fordert die vollständige Vernichtung durch Feuer: Die Beute wird auf dem Stadtplatz gesammelt, dann Stadt und Beute JHWH als totales </w:t>
      </w:r>
      <w:r w:rsidR="00A705B7">
        <w:t>Aufsteigeopfer</w:t>
      </w:r>
      <w:r>
        <w:t xml:space="preserve"> dargebracht. Die Stadt soll ein ewiger Schutthaufen bleiben und nie wieder aufgebaut werden.</w:t>
      </w:r>
    </w:p>
    <w:p w14:paraId="12262526"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13,18</w:t>
      </w:r>
    </w:p>
    <w:p w14:paraId="5C6BEDA8" w14:textId="77777777" w:rsidR="00724090" w:rsidRDefault="00724090" w:rsidP="00724090">
      <w:pPr>
        <w:pStyle w:val="whitespace-normal"/>
      </w:pPr>
      <w:r>
        <w:rPr>
          <w:rStyle w:val="Fett"/>
          <w:rFonts w:eastAsiaTheme="majorEastAsia"/>
        </w:rPr>
        <w:t>Hebräisch:</w:t>
      </w:r>
      <w:r>
        <w:t xml:space="preserve"> </w:t>
      </w:r>
      <w:r>
        <w:rPr>
          <w:rtl/>
        </w:rPr>
        <w:t>וְלֹֽא־יִדְבַּ֧ק בְּיָדְךָ֛ מְא֖וּמָה מִן־הַחֵ֑רֶם לְמַעַן֩ יָשׁ֨וּב יְהוָ֜ה מֵחֲר֣וֹן אַפֹּ֗ו וְנָֽתַן־לְךָ֤ רַחֲמִים֙ וְרִֽחַמְךָ֣ וְהִרְבֶּ֔ךָ כַּאֲשֶׁ֥ר נִשְׁבַּ֖ע לַאֲבֹתֶֽיךָ׃</w:t>
      </w:r>
    </w:p>
    <w:p w14:paraId="3389317B" w14:textId="56D9B66F" w:rsidR="00724090" w:rsidRDefault="00724090" w:rsidP="00724090">
      <w:pPr>
        <w:pStyle w:val="whitespace-normal"/>
      </w:pPr>
      <w:r>
        <w:rPr>
          <w:rStyle w:val="Fett"/>
          <w:rFonts w:eastAsiaTheme="majorEastAsia"/>
        </w:rPr>
        <w:t>Deutsch:</w:t>
      </w:r>
      <w:r>
        <w:t xml:space="preserve"> Und nicht soll irgendetwas von dem Gebannten an deiner Hand haften, damit der Ewige sich von der Glut seines Zornes wende und dir Erbarmen gebe und sich deiner erbarme und dich mehre, wie er deinen Vätern geschworen hat.</w:t>
      </w:r>
    </w:p>
    <w:p w14:paraId="79389E48" w14:textId="558D59E9" w:rsidR="009C316F" w:rsidRDefault="004F5CEB" w:rsidP="00724090">
      <w:pPr>
        <w:pStyle w:val="whitespace-normal"/>
      </w:pPr>
      <w:r>
        <w:rPr>
          <w:noProof/>
        </w:rPr>
        <w:pict w14:anchorId="0C1D27D2">
          <v:rect id="_x0000_i1421" style="width:0;height:1.5pt" o:hralign="center" o:hrstd="t" o:hr="t" fillcolor="#a0a0a0" stroked="f"/>
        </w:pict>
      </w:r>
    </w:p>
    <w:p w14:paraId="313C014B"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וְלֹא־יִדְבַּק בְּיָדְךָ מְאוּמָה מִן־הַחֵרֶם</w:t>
      </w:r>
      <w:r>
        <w:rPr>
          <w:rtl/>
        </w:rPr>
        <w:t xml:space="preserve"> </w:t>
      </w:r>
      <w:r>
        <w:t xml:space="preserve">ist ein negativer Satz: </w:t>
      </w:r>
      <w:r>
        <w:rPr>
          <w:rStyle w:val="Fett"/>
          <w:rFonts w:eastAsiaTheme="majorEastAsia"/>
          <w:rtl/>
        </w:rPr>
        <w:t>וְלֹא־יִדְבַּק</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לֹא</w:t>
      </w:r>
      <w:r>
        <w:rPr>
          <w:rtl/>
        </w:rPr>
        <w:t xml:space="preserve"> </w:t>
      </w:r>
      <w:r>
        <w:t xml:space="preserve">und </w:t>
      </w:r>
      <w:r>
        <w:rPr>
          <w:rStyle w:val="Fett"/>
          <w:rFonts w:eastAsiaTheme="majorEastAsia"/>
          <w:rtl/>
        </w:rPr>
        <w:t>דבק</w:t>
      </w:r>
      <w:r>
        <w:t xml:space="preserve">, Qal Imperfekt, 3. Person Maskulinum Singular, „anhaften, anhängen, kleben"), </w:t>
      </w:r>
      <w:r>
        <w:rPr>
          <w:rStyle w:val="Fett"/>
          <w:rFonts w:eastAsiaTheme="majorEastAsia"/>
          <w:rtl/>
        </w:rPr>
        <w:t>בְּיָדְךָ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יָד</w:t>
      </w:r>
      <w:r>
        <w:t xml:space="preserve">, „Hand", mit Suffix 2. Person Maskulinum Singular, „an deiner Hand") als lokale Bestimmung, </w:t>
      </w:r>
      <w:r>
        <w:rPr>
          <w:rStyle w:val="Fett"/>
          <w:rFonts w:eastAsiaTheme="majorEastAsia"/>
          <w:rtl/>
        </w:rPr>
        <w:t>מְאוּמָה</w:t>
      </w:r>
      <w:r>
        <w:rPr>
          <w:rtl/>
        </w:rPr>
        <w:t xml:space="preserve"> </w:t>
      </w:r>
      <w:r>
        <w:t xml:space="preserve">(„irgendetwas, etwas, irgend") als Subjekt und </w:t>
      </w:r>
      <w:r>
        <w:rPr>
          <w:rStyle w:val="Fett"/>
          <w:rFonts w:eastAsiaTheme="majorEastAsia"/>
          <w:rtl/>
        </w:rPr>
        <w:t>מִן־הַחֵרֶם</w:t>
      </w:r>
      <w:r>
        <w:rPr>
          <w:rtl/>
        </w:rPr>
        <w:t xml:space="preserve"> </w:t>
      </w:r>
      <w:r>
        <w:t xml:space="preserve">(Präposition </w:t>
      </w:r>
      <w:r>
        <w:rPr>
          <w:rStyle w:val="Fett"/>
          <w:rFonts w:eastAsiaTheme="majorEastAsia"/>
          <w:rtl/>
        </w:rPr>
        <w:t>מִן</w:t>
      </w:r>
      <w:r>
        <w:t xml:space="preserve">, „von", mit </w:t>
      </w:r>
      <w:r>
        <w:rPr>
          <w:rStyle w:val="Fett"/>
          <w:rFonts w:eastAsiaTheme="majorEastAsia"/>
          <w:rtl/>
        </w:rPr>
        <w:t>חֵרֶם</w:t>
      </w:r>
      <w:r>
        <w:t>, „Bann, Gebanntes", mit Artikel, „von dem Gebannten") als partitive Bestimmung.</w:t>
      </w:r>
    </w:p>
    <w:p w14:paraId="660A6A44" w14:textId="77777777" w:rsidR="00724090" w:rsidRDefault="00724090" w:rsidP="00724090">
      <w:pPr>
        <w:pStyle w:val="whitespace-normal"/>
      </w:pPr>
      <w:r>
        <w:t xml:space="preserve">Die Wendung </w:t>
      </w:r>
      <w:r>
        <w:rPr>
          <w:rStyle w:val="Fett"/>
          <w:rFonts w:eastAsiaTheme="majorEastAsia"/>
          <w:rtl/>
        </w:rPr>
        <w:t>דבק ביד</w:t>
      </w:r>
      <w:r>
        <w:rPr>
          <w:rtl/>
        </w:rPr>
        <w:t xml:space="preserve"> </w:t>
      </w:r>
      <w:r>
        <w:t>(„an der Hand haften") bedeutet „in Besitz nehmen, sich aneignen". Das Verbot ist absolut: Nichts vom Gebannten darf angeeignet werden (vgl. Jos 7,1.11-12.15.25-26 über Achan, der vom Gebannten nahm).</w:t>
      </w:r>
    </w:p>
    <w:p w14:paraId="389BB29B" w14:textId="77777777" w:rsidR="00724090" w:rsidRDefault="00724090" w:rsidP="00724090">
      <w:pPr>
        <w:pStyle w:val="whitespace-normal"/>
      </w:pPr>
      <w:r>
        <w:rPr>
          <w:rStyle w:val="Fett"/>
          <w:rFonts w:eastAsiaTheme="majorEastAsia"/>
          <w:rtl/>
        </w:rPr>
        <w:t>לְמַעַן יָשׁוּב יְהוָה מֵחֲרוֹן אַפּוֹ וְנָתַן־לְךָ רַחֲמִים וְרִחַמְךָ וְהִרְבֶּךָ כַּאֲשֶׁר נִשְׁבַּע לַאֲבֹתֶיךָ</w:t>
      </w:r>
      <w:r>
        <w:rPr>
          <w:rtl/>
        </w:rPr>
        <w:t xml:space="preserve"> </w:t>
      </w:r>
      <w:r>
        <w:t xml:space="preserve">ist eine finale Bestimmung mit vier koordinierten Prädikaten: </w:t>
      </w:r>
      <w:r>
        <w:rPr>
          <w:rStyle w:val="Fett"/>
          <w:rFonts w:eastAsiaTheme="majorEastAsia"/>
          <w:rtl/>
        </w:rPr>
        <w:t>לְמַעַן</w:t>
      </w:r>
      <w:r>
        <w:rPr>
          <w:rtl/>
        </w:rPr>
        <w:t xml:space="preserve"> </w:t>
      </w:r>
      <w:r>
        <w:t xml:space="preserve">(„damit, auf dass") als finale Konjunktion, </w:t>
      </w:r>
      <w:r>
        <w:rPr>
          <w:rStyle w:val="Fett"/>
          <w:rFonts w:eastAsiaTheme="majorEastAsia"/>
          <w:rtl/>
        </w:rPr>
        <w:t>יָשׁוּב</w:t>
      </w:r>
      <w:r>
        <w:rPr>
          <w:rtl/>
        </w:rPr>
        <w:t xml:space="preserve"> </w:t>
      </w:r>
      <w:r>
        <w:t xml:space="preserve">(Qal Imperfekt, 3. Person Maskulinum Singular von </w:t>
      </w:r>
      <w:r>
        <w:rPr>
          <w:rStyle w:val="Fett"/>
          <w:rFonts w:eastAsiaTheme="majorEastAsia"/>
          <w:rtl/>
        </w:rPr>
        <w:t>שׁוב</w:t>
      </w:r>
      <w:r>
        <w:t xml:space="preserve">, „umkehren, zurückkehren"), </w:t>
      </w:r>
      <w:r>
        <w:rPr>
          <w:rStyle w:val="Fett"/>
          <w:rFonts w:eastAsiaTheme="majorEastAsia"/>
          <w:rtl/>
        </w:rPr>
        <w:t>יְהוָה</w:t>
      </w:r>
      <w:r>
        <w:rPr>
          <w:rtl/>
        </w:rPr>
        <w:t xml:space="preserve"> </w:t>
      </w:r>
      <w:r>
        <w:t xml:space="preserve">als Subjekt, </w:t>
      </w:r>
      <w:r>
        <w:rPr>
          <w:rStyle w:val="Fett"/>
          <w:rFonts w:eastAsiaTheme="majorEastAsia"/>
          <w:rtl/>
        </w:rPr>
        <w:t>מֵחֲרוֹן אַפּוֹ</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חָרוֹן</w:t>
      </w:r>
      <w:r>
        <w:t xml:space="preserve">, „Zorn, Glut", Construct mit </w:t>
      </w:r>
      <w:r>
        <w:rPr>
          <w:rStyle w:val="Fett"/>
          <w:rFonts w:eastAsiaTheme="majorEastAsia"/>
          <w:rtl/>
        </w:rPr>
        <w:t>אַף</w:t>
      </w:r>
      <w:r>
        <w:t xml:space="preserve">, „Nase, Zorn", mit Suffix 3. Person Maskulinum Singular, „von der Glut seines Zornes") als Herkunftsangabe, koordiniert durch </w:t>
      </w:r>
      <w:r>
        <w:rPr>
          <w:rStyle w:val="Fett"/>
          <w:rFonts w:eastAsiaTheme="majorEastAsia"/>
          <w:rtl/>
        </w:rPr>
        <w:t>וְ</w:t>
      </w:r>
      <w:r>
        <w:rPr>
          <w:rtl/>
        </w:rPr>
        <w:t xml:space="preserve"> </w:t>
      </w:r>
      <w:r>
        <w:t xml:space="preserve">mit </w:t>
      </w:r>
      <w:r>
        <w:rPr>
          <w:rStyle w:val="Fett"/>
          <w:rFonts w:eastAsiaTheme="majorEastAsia"/>
          <w:rtl/>
        </w:rPr>
        <w:t>נָתַן־לְךָ</w:t>
      </w:r>
      <w:r>
        <w:rPr>
          <w:rtl/>
        </w:rPr>
        <w:t xml:space="preserve"> </w:t>
      </w:r>
      <w:r>
        <w:t xml:space="preserve">(Qal Perfekt, 3. Person Maskulinum Singular von </w:t>
      </w:r>
      <w:r>
        <w:rPr>
          <w:rStyle w:val="Fett"/>
          <w:rFonts w:eastAsiaTheme="majorEastAsia"/>
          <w:rtl/>
        </w:rPr>
        <w:t>נתן</w:t>
      </w:r>
      <w:r>
        <w:t xml:space="preserve">, „geben", mit </w:t>
      </w:r>
      <w:r>
        <w:rPr>
          <w:rStyle w:val="Fett"/>
          <w:rFonts w:eastAsiaTheme="majorEastAsia"/>
        </w:rPr>
        <w:t>Waw</w:t>
      </w:r>
      <w:r>
        <w:t xml:space="preserve"> consecutives Perfekt, und </w:t>
      </w:r>
      <w:r>
        <w:rPr>
          <w:rStyle w:val="Fett"/>
          <w:rFonts w:eastAsiaTheme="majorEastAsia"/>
          <w:rtl/>
        </w:rPr>
        <w:t>לְךָ</w:t>
      </w:r>
      <w:r>
        <w:t xml:space="preserve">, Präposition </w:t>
      </w:r>
      <w:r>
        <w:rPr>
          <w:rStyle w:val="Fett"/>
          <w:rFonts w:eastAsiaTheme="majorEastAsia"/>
          <w:rtl/>
        </w:rPr>
        <w:t>לְ</w:t>
      </w:r>
      <w:r>
        <w:rPr>
          <w:rtl/>
        </w:rPr>
        <w:t xml:space="preserve"> </w:t>
      </w:r>
      <w:r>
        <w:t xml:space="preserve">mit Suffix 2. Person Maskulinum Singular als Dativ), </w:t>
      </w:r>
      <w:r>
        <w:rPr>
          <w:rStyle w:val="Fett"/>
          <w:rFonts w:eastAsiaTheme="majorEastAsia"/>
          <w:rtl/>
        </w:rPr>
        <w:t>רַחֲמִים</w:t>
      </w:r>
      <w:r>
        <w:rPr>
          <w:rtl/>
        </w:rPr>
        <w:t xml:space="preserve"> </w:t>
      </w:r>
      <w:r>
        <w:t>(</w:t>
      </w:r>
      <w:r>
        <w:rPr>
          <w:rStyle w:val="Fett"/>
          <w:rFonts w:eastAsiaTheme="majorEastAsia"/>
          <w:rtl/>
        </w:rPr>
        <w:t>רַחֲמִים</w:t>
      </w:r>
      <w:r>
        <w:t xml:space="preserve">, „Erbarmen, Barmherzigkeit", immer Plural) als direktes Objekt, koordiniert durch </w:t>
      </w:r>
      <w:r>
        <w:rPr>
          <w:rStyle w:val="Fett"/>
          <w:rFonts w:eastAsiaTheme="majorEastAsia"/>
          <w:rtl/>
        </w:rPr>
        <w:t>וְ</w:t>
      </w:r>
      <w:r>
        <w:rPr>
          <w:rtl/>
        </w:rPr>
        <w:t xml:space="preserve"> </w:t>
      </w:r>
      <w:r>
        <w:t xml:space="preserve">mit </w:t>
      </w:r>
      <w:r>
        <w:rPr>
          <w:rStyle w:val="Fett"/>
          <w:rFonts w:eastAsiaTheme="majorEastAsia"/>
          <w:rtl/>
        </w:rPr>
        <w:t>רִחַמְךָ</w:t>
      </w:r>
      <w:r>
        <w:rPr>
          <w:rtl/>
        </w:rPr>
        <w:t xml:space="preserve"> </w:t>
      </w:r>
      <w:r>
        <w:t xml:space="preserve">(Piel Perfekt, 3. Person Maskulinum Singular von </w:t>
      </w:r>
      <w:r>
        <w:rPr>
          <w:rStyle w:val="Fett"/>
          <w:rFonts w:eastAsiaTheme="majorEastAsia"/>
          <w:rtl/>
        </w:rPr>
        <w:t>רחם</w:t>
      </w:r>
      <w:r>
        <w:t xml:space="preserve">, „sich erbarmen", mit </w:t>
      </w:r>
      <w:r>
        <w:rPr>
          <w:rStyle w:val="Fett"/>
          <w:rFonts w:eastAsiaTheme="majorEastAsia"/>
        </w:rPr>
        <w:t>Waw</w:t>
      </w:r>
      <w:r>
        <w:t xml:space="preserve"> consecutives Perfekt, </w:t>
      </w:r>
      <w:r>
        <w:lastRenderedPageBreak/>
        <w:t xml:space="preserve">und Suffix 2. Person Maskulinum Singular als direktes Objekt), koordiniert durch </w:t>
      </w:r>
      <w:r>
        <w:rPr>
          <w:rStyle w:val="Fett"/>
          <w:rFonts w:eastAsiaTheme="majorEastAsia"/>
          <w:rtl/>
        </w:rPr>
        <w:t>וְ</w:t>
      </w:r>
      <w:r>
        <w:rPr>
          <w:rtl/>
        </w:rPr>
        <w:t xml:space="preserve"> </w:t>
      </w:r>
      <w:r>
        <w:t xml:space="preserve">mit </w:t>
      </w:r>
      <w:r>
        <w:rPr>
          <w:rStyle w:val="Fett"/>
          <w:rFonts w:eastAsiaTheme="majorEastAsia"/>
          <w:rtl/>
        </w:rPr>
        <w:t>הִרְבֶּךָ</w:t>
      </w:r>
      <w:r>
        <w:rPr>
          <w:rtl/>
        </w:rPr>
        <w:t xml:space="preserve"> </w:t>
      </w:r>
      <w:r>
        <w:t xml:space="preserve">(Hiphil Perfekt, 3. Person Maskulinum Singular von </w:t>
      </w:r>
      <w:r>
        <w:rPr>
          <w:rStyle w:val="Fett"/>
          <w:rFonts w:eastAsiaTheme="majorEastAsia"/>
          <w:rtl/>
        </w:rPr>
        <w:t>רבה</w:t>
      </w:r>
      <w:r>
        <w:t xml:space="preserve">, „viel sein", in der Hiphil-Form „vermehren", mit </w:t>
      </w:r>
      <w:r>
        <w:rPr>
          <w:rStyle w:val="Fett"/>
          <w:rFonts w:eastAsiaTheme="majorEastAsia"/>
        </w:rPr>
        <w:t>Waw</w:t>
      </w:r>
      <w:r>
        <w:t xml:space="preserve"> consecutives Perfekt, und Suffix 2. Person Maskulinum Singular als direktes Objekt) und </w:t>
      </w:r>
      <w:r>
        <w:rPr>
          <w:rStyle w:val="Fett"/>
          <w:rFonts w:eastAsiaTheme="majorEastAsia"/>
          <w:rtl/>
        </w:rPr>
        <w:t>כַּאֲשֶׁר נִשְׁבַּע לַאֲבֹתֶיךָ</w:t>
      </w:r>
      <w:r>
        <w:rPr>
          <w:rtl/>
        </w:rPr>
        <w:t xml:space="preserve"> </w:t>
      </w:r>
      <w:r>
        <w:t xml:space="preserve">(Vergleichssatz: </w:t>
      </w:r>
      <w:r>
        <w:rPr>
          <w:rStyle w:val="Fett"/>
          <w:rFonts w:eastAsiaTheme="majorEastAsia"/>
          <w:rtl/>
        </w:rPr>
        <w:t>כַּאֲשֶׁר</w:t>
      </w:r>
      <w:r>
        <w:t xml:space="preserve">, „wie, gemäß", mit </w:t>
      </w:r>
      <w:r>
        <w:rPr>
          <w:rStyle w:val="Fett"/>
          <w:rFonts w:eastAsiaTheme="majorEastAsia"/>
          <w:rtl/>
        </w:rPr>
        <w:t>נִשְׁבַּע</w:t>
      </w:r>
      <w:r>
        <w:t xml:space="preserve">, Niphal Perfekt, 3. Person Maskulinum Singular von </w:t>
      </w:r>
      <w:r>
        <w:rPr>
          <w:rStyle w:val="Fett"/>
          <w:rFonts w:eastAsiaTheme="majorEastAsia"/>
          <w:rtl/>
        </w:rPr>
        <w:t>שׁבע</w:t>
      </w:r>
      <w:r>
        <w:t xml:space="preserve">, „schwören", und </w:t>
      </w:r>
      <w:r>
        <w:rPr>
          <w:rStyle w:val="Fett"/>
          <w:rFonts w:eastAsiaTheme="majorEastAsia"/>
          <w:rtl/>
        </w:rPr>
        <w:t>לַאֲבֹתֶיךָ</w:t>
      </w:r>
      <w:r>
        <w:t xml:space="preserve">, Präposition </w:t>
      </w:r>
      <w:r>
        <w:rPr>
          <w:rStyle w:val="Fett"/>
          <w:rFonts w:eastAsiaTheme="majorEastAsia"/>
          <w:rtl/>
        </w:rPr>
        <w:t>לְ</w:t>
      </w:r>
      <w:r>
        <w:rPr>
          <w:rtl/>
        </w:rPr>
        <w:t xml:space="preserve"> </w:t>
      </w:r>
      <w:r>
        <w:t xml:space="preserve">mit </w:t>
      </w:r>
      <w:r>
        <w:rPr>
          <w:rStyle w:val="Fett"/>
          <w:rFonts w:eastAsiaTheme="majorEastAsia"/>
          <w:rtl/>
        </w:rPr>
        <w:t>אָב</w:t>
      </w:r>
      <w:r>
        <w:t>, „Vater", Plural mit Suffix 2. Person Maskulinum Singular, „deinen Vätern") als Vergleichsbestimmung.</w:t>
      </w:r>
    </w:p>
    <w:p w14:paraId="481FC078" w14:textId="0B2DD0A8" w:rsidR="00724090" w:rsidRDefault="00724090" w:rsidP="00724090">
      <w:pPr>
        <w:pStyle w:val="whitespace-normal"/>
      </w:pPr>
      <w:r>
        <w:t xml:space="preserve">Die finale Bestimmung zeigt vier Konsequenzen des Gehorsams: (1) JHWH wendet sich von seinem Zorn ab, (2) gibt Erbarmen, (3) erbarmt sich, (4) vermehrt Israel. Die Wendung </w:t>
      </w:r>
      <w:r>
        <w:rPr>
          <w:rStyle w:val="Fett"/>
          <w:rFonts w:eastAsiaTheme="majorEastAsia"/>
          <w:rtl/>
        </w:rPr>
        <w:t>שׁוב מחרון אף</w:t>
      </w:r>
      <w:r>
        <w:rPr>
          <w:rtl/>
        </w:rPr>
        <w:t xml:space="preserve"> </w:t>
      </w:r>
      <w:r>
        <w:t xml:space="preserve">(„sich vom </w:t>
      </w:r>
      <w:proofErr w:type="spellStart"/>
      <w:r>
        <w:t>Glutzorn</w:t>
      </w:r>
      <w:proofErr w:type="spellEnd"/>
      <w:r>
        <w:t xml:space="preserve"> abwenden") ist eine feste Formel (vgl. Ex 32,12; Num 25,4; Jos 7,26; </w:t>
      </w:r>
      <w:r w:rsidR="00664EB6">
        <w:t>2Kön</w:t>
      </w:r>
      <w:r>
        <w:t xml:space="preserve"> 23,26; Jer 4,8; 23,20; 30,24; 51,45; Hos 11,9; Jon 3,9; Sach 7,12).</w:t>
      </w:r>
    </w:p>
    <w:p w14:paraId="0527A579" w14:textId="1EA4032E" w:rsidR="00724090" w:rsidRDefault="00724090" w:rsidP="00724090">
      <w:pPr>
        <w:pStyle w:val="whitespace-normal"/>
      </w:pPr>
      <w:r>
        <w:t xml:space="preserve">Das Wortspiel </w:t>
      </w:r>
      <w:r>
        <w:rPr>
          <w:rStyle w:val="Fett"/>
          <w:rFonts w:eastAsiaTheme="majorEastAsia"/>
          <w:rtl/>
        </w:rPr>
        <w:t>נָתַן־לְךָ רַחֲמִים וְרִחַמְךָ</w:t>
      </w:r>
      <w:r>
        <w:rPr>
          <w:rtl/>
        </w:rPr>
        <w:t xml:space="preserve"> </w:t>
      </w:r>
      <w:r>
        <w:t>(„er gibt dir Erbarmen und erbarmt sich deiner") verstärkt die Aussage durch Substantiv und Verb derselben Wurzel. Der Hinweis auf den Väterschwur erinnert an die Verheißungen an Abraham, Isaak und Jakob (vgl. Gen 15,5; 17,2.6; 22,17; 26,4.24; 28,3.14; 35,11; 48,4).</w:t>
      </w:r>
    </w:p>
    <w:p w14:paraId="645D6BEE" w14:textId="77777777" w:rsidR="00864B28" w:rsidRPr="00864B28" w:rsidRDefault="00864B28" w:rsidP="00864B28">
      <w:pPr>
        <w:spacing w:before="100" w:beforeAutospacing="1" w:after="100" w:afterAutospacing="1" w:line="240" w:lineRule="auto"/>
        <w:outlineLvl w:val="1"/>
        <w:rPr>
          <w:rFonts w:eastAsia="Times New Roman"/>
          <w:b/>
          <w:bCs/>
          <w:sz w:val="36"/>
          <w:szCs w:val="36"/>
          <w:lang w:eastAsia="de-DE"/>
        </w:rPr>
      </w:pPr>
      <w:r w:rsidRPr="00864B28">
        <w:rPr>
          <w:rFonts w:eastAsia="Times New Roman"/>
          <w:b/>
          <w:bCs/>
          <w:sz w:val="36"/>
          <w:szCs w:val="36"/>
          <w:lang w:eastAsia="de-DE"/>
        </w:rPr>
        <w:t>Vers 18 (MT 13,18) / Vers 17 (LXX 13,17)</w:t>
      </w:r>
    </w:p>
    <w:p w14:paraId="151AB2B6" w14:textId="2386CFDE" w:rsidR="00864B28" w:rsidRPr="00864B28" w:rsidRDefault="00864B28" w:rsidP="00864B28">
      <w:pPr>
        <w:spacing w:before="100" w:beforeAutospacing="1" w:after="100" w:afterAutospacing="1" w:line="240" w:lineRule="auto"/>
        <w:rPr>
          <w:rFonts w:eastAsia="Times New Roman"/>
          <w:lang w:eastAsia="de-DE"/>
        </w:rPr>
      </w:pPr>
      <w:r w:rsidRPr="00864B28">
        <w:rPr>
          <w:rFonts w:eastAsia="Times New Roman"/>
          <w:b/>
          <w:bCs/>
          <w:lang w:eastAsia="de-DE"/>
        </w:rPr>
        <w:t>Die LXX</w:t>
      </w:r>
      <w:r w:rsidRPr="00864B28">
        <w:rPr>
          <w:rFonts w:eastAsia="Times New Roman"/>
          <w:lang w:eastAsia="de-DE"/>
        </w:rPr>
        <w:t xml:space="preserve"> formuliert </w:t>
      </w:r>
      <w:proofErr w:type="spellStart"/>
      <w:r w:rsidRPr="00864B28">
        <w:rPr>
          <w:rFonts w:eastAsia="Times New Roman"/>
          <w:lang w:eastAsia="de-DE"/>
        </w:rPr>
        <w:t>οὐ</w:t>
      </w:r>
      <w:proofErr w:type="spellEnd"/>
      <w:r w:rsidRPr="00864B28">
        <w:rPr>
          <w:rFonts w:eastAsia="Times New Roman"/>
          <w:lang w:eastAsia="de-DE"/>
        </w:rPr>
        <w:t xml:space="preserve"> π</w:t>
      </w:r>
      <w:proofErr w:type="spellStart"/>
      <w:r w:rsidRPr="00864B28">
        <w:rPr>
          <w:rFonts w:eastAsia="Times New Roman"/>
          <w:lang w:eastAsia="de-DE"/>
        </w:rPr>
        <w:t>ροσκολληθήσετ</w:t>
      </w:r>
      <w:proofErr w:type="spellEnd"/>
      <w:r w:rsidRPr="00864B28">
        <w:rPr>
          <w:rFonts w:eastAsia="Times New Roman"/>
          <w:lang w:eastAsia="de-DE"/>
        </w:rPr>
        <w:t xml:space="preserve">αι </w:t>
      </w:r>
      <w:proofErr w:type="spellStart"/>
      <w:r w:rsidRPr="00864B28">
        <w:rPr>
          <w:rFonts w:eastAsia="Times New Roman"/>
          <w:lang w:eastAsia="de-DE"/>
        </w:rPr>
        <w:t>ἐν</w:t>
      </w:r>
      <w:proofErr w:type="spellEnd"/>
      <w:r w:rsidRPr="00864B28">
        <w:rPr>
          <w:rFonts w:eastAsia="Times New Roman"/>
          <w:lang w:eastAsia="de-DE"/>
        </w:rPr>
        <w:t xml:space="preserve"> </w:t>
      </w:r>
      <w:proofErr w:type="spellStart"/>
      <w:r w:rsidRPr="00864B28">
        <w:rPr>
          <w:rFonts w:eastAsia="Times New Roman"/>
          <w:lang w:eastAsia="de-DE"/>
        </w:rPr>
        <w:t>τῇ</w:t>
      </w:r>
      <w:proofErr w:type="spellEnd"/>
      <w:r w:rsidRPr="00864B28">
        <w:rPr>
          <w:rFonts w:eastAsia="Times New Roman"/>
          <w:lang w:eastAsia="de-DE"/>
        </w:rPr>
        <w:t xml:space="preserve"> </w:t>
      </w:r>
      <w:proofErr w:type="spellStart"/>
      <w:r w:rsidRPr="00864B28">
        <w:rPr>
          <w:rFonts w:eastAsia="Times New Roman"/>
          <w:lang w:eastAsia="de-DE"/>
        </w:rPr>
        <w:t>χειρί</w:t>
      </w:r>
      <w:proofErr w:type="spellEnd"/>
      <w:r w:rsidRPr="00864B28">
        <w:rPr>
          <w:rFonts w:eastAsia="Times New Roman"/>
          <w:lang w:eastAsia="de-DE"/>
        </w:rPr>
        <w:t xml:space="preserve"> </w:t>
      </w:r>
      <w:proofErr w:type="spellStart"/>
      <w:r w:rsidRPr="00864B28">
        <w:rPr>
          <w:rFonts w:eastAsia="Times New Roman"/>
          <w:lang w:eastAsia="de-DE"/>
        </w:rPr>
        <w:t>σου</w:t>
      </w:r>
      <w:proofErr w:type="spellEnd"/>
      <w:r w:rsidRPr="00864B28">
        <w:rPr>
          <w:rFonts w:eastAsia="Times New Roman"/>
          <w:lang w:eastAsia="de-DE"/>
        </w:rPr>
        <w:t xml:space="preserve"> </w:t>
      </w:r>
      <w:proofErr w:type="spellStart"/>
      <w:r w:rsidRPr="00864B28">
        <w:rPr>
          <w:rFonts w:eastAsia="Times New Roman"/>
          <w:lang w:eastAsia="de-DE"/>
        </w:rPr>
        <w:t>οὐδὲν</w:t>
      </w:r>
      <w:proofErr w:type="spellEnd"/>
      <w:r w:rsidRPr="00864B28">
        <w:rPr>
          <w:rFonts w:eastAsia="Times New Roman"/>
          <w:lang w:eastAsia="de-DE"/>
        </w:rPr>
        <w:t xml:space="preserve"> ἀπὸ </w:t>
      </w:r>
      <w:proofErr w:type="spellStart"/>
      <w:r w:rsidRPr="00864B28">
        <w:rPr>
          <w:rFonts w:eastAsia="Times New Roman"/>
          <w:lang w:eastAsia="de-DE"/>
        </w:rPr>
        <w:t>τοῦ</w:t>
      </w:r>
      <w:proofErr w:type="spellEnd"/>
      <w:r w:rsidRPr="00864B28">
        <w:rPr>
          <w:rFonts w:eastAsia="Times New Roman"/>
          <w:lang w:eastAsia="de-DE"/>
        </w:rPr>
        <w:t xml:space="preserve"> </w:t>
      </w:r>
      <w:proofErr w:type="spellStart"/>
      <w:r w:rsidRPr="00864B28">
        <w:rPr>
          <w:rFonts w:eastAsia="Times New Roman"/>
          <w:lang w:eastAsia="de-DE"/>
        </w:rPr>
        <w:t>ἀν</w:t>
      </w:r>
      <w:proofErr w:type="spellEnd"/>
      <w:r w:rsidRPr="00864B28">
        <w:rPr>
          <w:rFonts w:eastAsia="Times New Roman"/>
          <w:lang w:eastAsia="de-DE"/>
        </w:rPr>
        <w:t xml:space="preserve">αθέματος (es wird nicht in deiner Hand haften bleiben irgendetwas vom Bann) für </w:t>
      </w:r>
      <w:r w:rsidRPr="00864B28">
        <w:rPr>
          <w:rFonts w:eastAsia="Times New Roman"/>
          <w:rtl/>
          <w:lang w:eastAsia="de-DE"/>
        </w:rPr>
        <w:t>וְלֹא־יִדְבַּק בְּיָדְךָ מְאוּמָה מִן־הַחֵרֶם</w:t>
      </w:r>
      <w:r w:rsidRPr="00864B28">
        <w:rPr>
          <w:rFonts w:eastAsia="Times New Roman"/>
          <w:lang w:eastAsia="de-DE"/>
        </w:rPr>
        <w:t>, wobei π</w:t>
      </w:r>
      <w:proofErr w:type="spellStart"/>
      <w:r w:rsidRPr="00864B28">
        <w:rPr>
          <w:rFonts w:eastAsia="Times New Roman"/>
          <w:lang w:eastAsia="de-DE"/>
        </w:rPr>
        <w:t>ροσκολλάω</w:t>
      </w:r>
      <w:proofErr w:type="spellEnd"/>
      <w:r w:rsidRPr="00864B28">
        <w:rPr>
          <w:rFonts w:eastAsia="Times New Roman"/>
          <w:lang w:eastAsia="de-DE"/>
        </w:rPr>
        <w:t xml:space="preserve"> (anhaften) </w:t>
      </w:r>
      <w:r w:rsidRPr="00864B28">
        <w:rPr>
          <w:rFonts w:eastAsia="Times New Roman"/>
          <w:rtl/>
          <w:lang w:eastAsia="de-DE"/>
        </w:rPr>
        <w:t>דבק</w:t>
      </w:r>
      <w:r w:rsidRPr="00864B28">
        <w:rPr>
          <w:rFonts w:eastAsia="Times New Roman"/>
          <w:lang w:eastAsia="de-DE"/>
        </w:rPr>
        <w:t xml:space="preserve"> wiedergibt. Der Zweck </w:t>
      </w:r>
      <w:proofErr w:type="spellStart"/>
      <w:r w:rsidRPr="00864B28">
        <w:rPr>
          <w:rFonts w:eastAsia="Times New Roman"/>
          <w:lang w:eastAsia="de-DE"/>
        </w:rPr>
        <w:t>ἵν</w:t>
      </w:r>
      <w:proofErr w:type="spellEnd"/>
      <w:r w:rsidRPr="00864B28">
        <w:rPr>
          <w:rFonts w:eastAsia="Times New Roman"/>
          <w:lang w:eastAsia="de-DE"/>
        </w:rPr>
        <w:t>α ἀπ</w:t>
      </w:r>
      <w:proofErr w:type="spellStart"/>
      <w:r w:rsidRPr="00864B28">
        <w:rPr>
          <w:rFonts w:eastAsia="Times New Roman"/>
          <w:lang w:eastAsia="de-DE"/>
        </w:rPr>
        <w:t>οστρ</w:t>
      </w:r>
      <w:proofErr w:type="spellEnd"/>
      <w:r w:rsidRPr="00864B28">
        <w:rPr>
          <w:rFonts w:eastAsia="Times New Roman"/>
          <w:lang w:eastAsia="de-DE"/>
        </w:rPr>
        <w:t xml:space="preserve">αφῇ </w:t>
      </w:r>
      <w:proofErr w:type="spellStart"/>
      <w:r w:rsidRPr="00864B28">
        <w:rPr>
          <w:rFonts w:eastAsia="Times New Roman"/>
          <w:lang w:eastAsia="de-DE"/>
        </w:rPr>
        <w:t>κύριος</w:t>
      </w:r>
      <w:proofErr w:type="spellEnd"/>
      <w:r w:rsidRPr="00864B28">
        <w:rPr>
          <w:rFonts w:eastAsia="Times New Roman"/>
          <w:lang w:eastAsia="de-DE"/>
        </w:rPr>
        <w:t xml:space="preserve"> ἀπὸ </w:t>
      </w:r>
      <w:proofErr w:type="spellStart"/>
      <w:r w:rsidRPr="00864B28">
        <w:rPr>
          <w:rFonts w:eastAsia="Times New Roman"/>
          <w:lang w:eastAsia="de-DE"/>
        </w:rPr>
        <w:t>θυμοῦ</w:t>
      </w:r>
      <w:proofErr w:type="spellEnd"/>
      <w:r w:rsidRPr="00864B28">
        <w:rPr>
          <w:rFonts w:eastAsia="Times New Roman"/>
          <w:lang w:eastAsia="de-DE"/>
        </w:rPr>
        <w:t xml:space="preserve"> </w:t>
      </w:r>
      <w:proofErr w:type="spellStart"/>
      <w:r w:rsidRPr="00864B28">
        <w:rPr>
          <w:rFonts w:eastAsia="Times New Roman"/>
          <w:lang w:eastAsia="de-DE"/>
        </w:rPr>
        <w:t>τῆς</w:t>
      </w:r>
      <w:proofErr w:type="spellEnd"/>
      <w:r w:rsidRPr="00864B28">
        <w:rPr>
          <w:rFonts w:eastAsia="Times New Roman"/>
          <w:lang w:eastAsia="de-DE"/>
        </w:rPr>
        <w:t xml:space="preserve"> </w:t>
      </w:r>
      <w:proofErr w:type="spellStart"/>
      <w:r w:rsidRPr="00864B28">
        <w:rPr>
          <w:rFonts w:eastAsia="Times New Roman"/>
          <w:lang w:eastAsia="de-DE"/>
        </w:rPr>
        <w:t>ὀργῆς</w:t>
      </w:r>
      <w:proofErr w:type="spellEnd"/>
      <w:r w:rsidRPr="00864B28">
        <w:rPr>
          <w:rFonts w:eastAsia="Times New Roman"/>
          <w:lang w:eastAsia="de-DE"/>
        </w:rPr>
        <w:t xml:space="preserve"> α</w:t>
      </w:r>
      <w:proofErr w:type="spellStart"/>
      <w:r w:rsidRPr="00864B28">
        <w:rPr>
          <w:rFonts w:eastAsia="Times New Roman"/>
          <w:lang w:eastAsia="de-DE"/>
        </w:rPr>
        <w:t>ὐτοῦ</w:t>
      </w:r>
      <w:proofErr w:type="spellEnd"/>
      <w:r w:rsidRPr="00864B28">
        <w:rPr>
          <w:rFonts w:eastAsia="Times New Roman"/>
          <w:lang w:eastAsia="de-DE"/>
        </w:rPr>
        <w:t xml:space="preserve"> (damit sich der Herr abwende von der Glut seines Zorns) entspricht </w:t>
      </w:r>
      <w:r w:rsidRPr="00864B28">
        <w:rPr>
          <w:rFonts w:eastAsia="Times New Roman"/>
          <w:rtl/>
          <w:lang w:eastAsia="de-DE"/>
        </w:rPr>
        <w:t>לְמַעַן יָשׁוּב יְהוָה מֵחֲרוֹן אַפּוֹ</w:t>
      </w:r>
      <w:r w:rsidRPr="00864B28">
        <w:rPr>
          <w:rFonts w:eastAsia="Times New Roman"/>
          <w:lang w:eastAsia="de-DE"/>
        </w:rPr>
        <w:t xml:space="preserve">. Die Verheißung καὶ </w:t>
      </w:r>
      <w:proofErr w:type="spellStart"/>
      <w:r w:rsidRPr="00864B28">
        <w:rPr>
          <w:rFonts w:eastAsia="Times New Roman"/>
          <w:lang w:eastAsia="de-DE"/>
        </w:rPr>
        <w:t>δώσει</w:t>
      </w:r>
      <w:proofErr w:type="spellEnd"/>
      <w:r w:rsidRPr="00864B28">
        <w:rPr>
          <w:rFonts w:eastAsia="Times New Roman"/>
          <w:lang w:eastAsia="de-DE"/>
        </w:rPr>
        <w:t xml:space="preserve"> </w:t>
      </w:r>
      <w:proofErr w:type="spellStart"/>
      <w:r w:rsidRPr="00864B28">
        <w:rPr>
          <w:rFonts w:eastAsia="Times New Roman"/>
          <w:lang w:eastAsia="de-DE"/>
        </w:rPr>
        <w:t>σοι</w:t>
      </w:r>
      <w:proofErr w:type="spellEnd"/>
      <w:r w:rsidRPr="00864B28">
        <w:rPr>
          <w:rFonts w:eastAsia="Times New Roman"/>
          <w:lang w:eastAsia="de-DE"/>
        </w:rPr>
        <w:t xml:space="preserve"> </w:t>
      </w:r>
      <w:proofErr w:type="spellStart"/>
      <w:r w:rsidRPr="00864B28">
        <w:rPr>
          <w:rFonts w:eastAsia="Times New Roman"/>
          <w:lang w:eastAsia="de-DE"/>
        </w:rPr>
        <w:t>ἔλεος</w:t>
      </w:r>
      <w:proofErr w:type="spellEnd"/>
      <w:r w:rsidRPr="00864B28">
        <w:rPr>
          <w:rFonts w:eastAsia="Times New Roman"/>
          <w:lang w:eastAsia="de-DE"/>
        </w:rPr>
        <w:t xml:space="preserve"> καὶ </w:t>
      </w:r>
      <w:proofErr w:type="spellStart"/>
      <w:r w:rsidRPr="00864B28">
        <w:rPr>
          <w:rFonts w:eastAsia="Times New Roman"/>
          <w:lang w:eastAsia="de-DE"/>
        </w:rPr>
        <w:t>ἐλεήσει</w:t>
      </w:r>
      <w:proofErr w:type="spellEnd"/>
      <w:r w:rsidRPr="00864B28">
        <w:rPr>
          <w:rFonts w:eastAsia="Times New Roman"/>
          <w:lang w:eastAsia="de-DE"/>
        </w:rPr>
        <w:t xml:space="preserve"> </w:t>
      </w:r>
      <w:proofErr w:type="spellStart"/>
      <w:r w:rsidRPr="00864B28">
        <w:rPr>
          <w:rFonts w:eastAsia="Times New Roman"/>
          <w:lang w:eastAsia="de-DE"/>
        </w:rPr>
        <w:t>σε</w:t>
      </w:r>
      <w:proofErr w:type="spellEnd"/>
      <w:r w:rsidRPr="00864B28">
        <w:rPr>
          <w:rFonts w:eastAsia="Times New Roman"/>
          <w:lang w:eastAsia="de-DE"/>
        </w:rPr>
        <w:t xml:space="preserve"> καὶ π</w:t>
      </w:r>
      <w:proofErr w:type="spellStart"/>
      <w:r w:rsidRPr="00864B28">
        <w:rPr>
          <w:rFonts w:eastAsia="Times New Roman"/>
          <w:lang w:eastAsia="de-DE"/>
        </w:rPr>
        <w:t>ληθυνεῖ</w:t>
      </w:r>
      <w:proofErr w:type="spellEnd"/>
      <w:r w:rsidRPr="00864B28">
        <w:rPr>
          <w:rFonts w:eastAsia="Times New Roman"/>
          <w:lang w:eastAsia="de-DE"/>
        </w:rPr>
        <w:t xml:space="preserve"> </w:t>
      </w:r>
      <w:proofErr w:type="spellStart"/>
      <w:r w:rsidRPr="00864B28">
        <w:rPr>
          <w:rFonts w:eastAsia="Times New Roman"/>
          <w:lang w:eastAsia="de-DE"/>
        </w:rPr>
        <w:t>σε</w:t>
      </w:r>
      <w:proofErr w:type="spellEnd"/>
      <w:r w:rsidRPr="00864B28">
        <w:rPr>
          <w:rFonts w:eastAsia="Times New Roman"/>
          <w:lang w:eastAsia="de-DE"/>
        </w:rPr>
        <w:t xml:space="preserve"> (und er wird dir Erbarmen geben und sich deiner </w:t>
      </w:r>
      <w:proofErr w:type="spellStart"/>
      <w:r w:rsidRPr="00864B28">
        <w:rPr>
          <w:rFonts w:eastAsia="Times New Roman"/>
          <w:lang w:eastAsia="de-DE"/>
        </w:rPr>
        <w:t>erbarmen</w:t>
      </w:r>
      <w:proofErr w:type="spellEnd"/>
      <w:r w:rsidRPr="00864B28">
        <w:rPr>
          <w:rFonts w:eastAsia="Times New Roman"/>
          <w:lang w:eastAsia="de-DE"/>
        </w:rPr>
        <w:t xml:space="preserve"> und dich mehren) gibt </w:t>
      </w:r>
      <w:r w:rsidRPr="00864B28">
        <w:rPr>
          <w:rFonts w:eastAsia="Times New Roman"/>
          <w:rtl/>
          <w:lang w:eastAsia="de-DE"/>
        </w:rPr>
        <w:t>וְנָתַן־לְךָ רַחֲמִים וְרִחַמְךָ וְהִרְבֶּךָ</w:t>
      </w:r>
      <w:r w:rsidRPr="00864B28">
        <w:rPr>
          <w:rFonts w:eastAsia="Times New Roman"/>
          <w:lang w:eastAsia="de-DE"/>
        </w:rPr>
        <w:t xml:space="preserve"> wieder, wobei </w:t>
      </w:r>
      <w:proofErr w:type="spellStart"/>
      <w:r w:rsidRPr="00864B28">
        <w:rPr>
          <w:rFonts w:eastAsia="Times New Roman"/>
          <w:lang w:eastAsia="de-DE"/>
        </w:rPr>
        <w:t>ἔλεος</w:t>
      </w:r>
      <w:proofErr w:type="spellEnd"/>
      <w:r w:rsidRPr="00864B28">
        <w:rPr>
          <w:rFonts w:eastAsia="Times New Roman"/>
          <w:lang w:eastAsia="de-DE"/>
        </w:rPr>
        <w:t xml:space="preserve"> und </w:t>
      </w:r>
      <w:proofErr w:type="spellStart"/>
      <w:r w:rsidRPr="00864B28">
        <w:rPr>
          <w:rFonts w:eastAsia="Times New Roman"/>
          <w:lang w:eastAsia="de-DE"/>
        </w:rPr>
        <w:t>ἐλεέω</w:t>
      </w:r>
      <w:proofErr w:type="spellEnd"/>
      <w:r w:rsidRPr="00864B28">
        <w:rPr>
          <w:rFonts w:eastAsia="Times New Roman"/>
          <w:lang w:eastAsia="de-DE"/>
        </w:rPr>
        <w:t xml:space="preserve"> beide </w:t>
      </w:r>
      <w:r w:rsidRPr="00864B28">
        <w:rPr>
          <w:rFonts w:eastAsia="Times New Roman"/>
          <w:rtl/>
          <w:lang w:eastAsia="de-DE"/>
        </w:rPr>
        <w:t>רחם</w:t>
      </w:r>
      <w:r w:rsidRPr="00864B28">
        <w:rPr>
          <w:rFonts w:eastAsia="Times New Roman"/>
          <w:lang w:eastAsia="de-DE"/>
        </w:rPr>
        <w:t xml:space="preserve"> repräsentieren. Der Vergleich </w:t>
      </w:r>
      <w:proofErr w:type="spellStart"/>
      <w:r w:rsidRPr="00864B28">
        <w:rPr>
          <w:rFonts w:eastAsia="Times New Roman"/>
          <w:lang w:eastAsia="de-DE"/>
        </w:rPr>
        <w:t>ὃν</w:t>
      </w:r>
      <w:proofErr w:type="spellEnd"/>
      <w:r w:rsidRPr="00864B28">
        <w:rPr>
          <w:rFonts w:eastAsia="Times New Roman"/>
          <w:lang w:eastAsia="de-DE"/>
        </w:rPr>
        <w:t xml:space="preserve"> </w:t>
      </w:r>
      <w:proofErr w:type="spellStart"/>
      <w:r w:rsidRPr="00864B28">
        <w:rPr>
          <w:rFonts w:eastAsia="Times New Roman"/>
          <w:lang w:eastAsia="de-DE"/>
        </w:rPr>
        <w:t>τρό</w:t>
      </w:r>
      <w:proofErr w:type="spellEnd"/>
      <w:r w:rsidRPr="00864B28">
        <w:rPr>
          <w:rFonts w:eastAsia="Times New Roman"/>
          <w:lang w:eastAsia="de-DE"/>
        </w:rPr>
        <w:t xml:space="preserve">πον </w:t>
      </w:r>
      <w:proofErr w:type="spellStart"/>
      <w:r w:rsidRPr="00864B28">
        <w:rPr>
          <w:rFonts w:eastAsia="Times New Roman"/>
          <w:lang w:eastAsia="de-DE"/>
        </w:rPr>
        <w:t>ὤμοσεν</w:t>
      </w:r>
      <w:proofErr w:type="spellEnd"/>
      <w:r w:rsidRPr="00864B28">
        <w:rPr>
          <w:rFonts w:eastAsia="Times New Roman"/>
          <w:lang w:eastAsia="de-DE"/>
        </w:rPr>
        <w:t xml:space="preserve"> </w:t>
      </w:r>
      <w:proofErr w:type="spellStart"/>
      <w:r w:rsidRPr="00864B28">
        <w:rPr>
          <w:rFonts w:eastAsia="Times New Roman"/>
          <w:lang w:eastAsia="de-DE"/>
        </w:rPr>
        <w:t>κύριος</w:t>
      </w:r>
      <w:proofErr w:type="spellEnd"/>
      <w:r w:rsidRPr="00864B28">
        <w:rPr>
          <w:rFonts w:eastAsia="Times New Roman"/>
          <w:lang w:eastAsia="de-DE"/>
        </w:rPr>
        <w:t xml:space="preserve"> </w:t>
      </w:r>
      <w:proofErr w:type="spellStart"/>
      <w:r w:rsidRPr="00864B28">
        <w:rPr>
          <w:rFonts w:eastAsia="Times New Roman"/>
          <w:lang w:eastAsia="de-DE"/>
        </w:rPr>
        <w:t>τοῖς</w:t>
      </w:r>
      <w:proofErr w:type="spellEnd"/>
      <w:r w:rsidRPr="00864B28">
        <w:rPr>
          <w:rFonts w:eastAsia="Times New Roman"/>
          <w:lang w:eastAsia="de-DE"/>
        </w:rPr>
        <w:t xml:space="preserve"> πα</w:t>
      </w:r>
      <w:proofErr w:type="spellStart"/>
      <w:r w:rsidRPr="00864B28">
        <w:rPr>
          <w:rFonts w:eastAsia="Times New Roman"/>
          <w:lang w:eastAsia="de-DE"/>
        </w:rPr>
        <w:t>τράσιν</w:t>
      </w:r>
      <w:proofErr w:type="spellEnd"/>
      <w:r w:rsidRPr="00864B28">
        <w:rPr>
          <w:rFonts w:eastAsia="Times New Roman"/>
          <w:lang w:eastAsia="de-DE"/>
        </w:rPr>
        <w:t xml:space="preserve"> </w:t>
      </w:r>
      <w:proofErr w:type="spellStart"/>
      <w:r w:rsidRPr="00864B28">
        <w:rPr>
          <w:rFonts w:eastAsia="Times New Roman"/>
          <w:lang w:eastAsia="de-DE"/>
        </w:rPr>
        <w:t>σου</w:t>
      </w:r>
      <w:proofErr w:type="spellEnd"/>
      <w:r w:rsidRPr="00864B28">
        <w:rPr>
          <w:rFonts w:eastAsia="Times New Roman"/>
          <w:lang w:eastAsia="de-DE"/>
        </w:rPr>
        <w:t xml:space="preserve"> (wie der Herr deinen Vätern geschworen hat) entspricht </w:t>
      </w:r>
      <w:r w:rsidRPr="00864B28">
        <w:rPr>
          <w:rFonts w:eastAsia="Times New Roman"/>
          <w:rtl/>
          <w:lang w:eastAsia="de-DE"/>
        </w:rPr>
        <w:t>כַּאֲשֶׁר נִשְׁבַּע לַאֲבֹתֶיךָ</w:t>
      </w:r>
      <w:r w:rsidRPr="00864B28">
        <w:rPr>
          <w:rFonts w:eastAsia="Times New Roman"/>
          <w:lang w:eastAsia="de-DE"/>
        </w:rPr>
        <w:t>. Ein Textproblem liegt bei π</w:t>
      </w:r>
      <w:proofErr w:type="spellStart"/>
      <w:r w:rsidRPr="00864B28">
        <w:rPr>
          <w:rFonts w:eastAsia="Times New Roman"/>
          <w:lang w:eastAsia="de-DE"/>
        </w:rPr>
        <w:t>ύριος</w:t>
      </w:r>
      <w:proofErr w:type="spellEnd"/>
      <w:r w:rsidRPr="00864B28">
        <w:rPr>
          <w:rFonts w:eastAsia="Times New Roman"/>
          <w:lang w:eastAsia="de-DE"/>
        </w:rPr>
        <w:t xml:space="preserve"> (statt </w:t>
      </w:r>
      <w:proofErr w:type="spellStart"/>
      <w:r w:rsidRPr="00864B28">
        <w:rPr>
          <w:rFonts w:eastAsia="Times New Roman"/>
          <w:lang w:eastAsia="de-DE"/>
        </w:rPr>
        <w:t>κύριος</w:t>
      </w:r>
      <w:proofErr w:type="spellEnd"/>
      <w:r w:rsidRPr="00864B28">
        <w:rPr>
          <w:rFonts w:eastAsia="Times New Roman"/>
          <w:lang w:eastAsia="de-DE"/>
        </w:rPr>
        <w:t>) vor, was vermutlich ein Schreibfehler ist.</w:t>
      </w:r>
    </w:p>
    <w:p w14:paraId="5D03B952" w14:textId="77777777" w:rsidR="00724090" w:rsidRDefault="00724090" w:rsidP="00724090">
      <w:pPr>
        <w:pStyle w:val="whitespace-normal"/>
      </w:pPr>
      <w:r>
        <w:rPr>
          <w:rStyle w:val="Fett"/>
          <w:rFonts w:eastAsiaTheme="majorEastAsia"/>
        </w:rPr>
        <w:t>Die Satzstruktur</w:t>
      </w:r>
      <w:r>
        <w:t xml:space="preserve"> besteht aus einem negativen Satz und einer finalen Bestimmung mit vier koordinierten Prädikaten: Negation (nicht), Prädikat (soll haften), lokale Bestimmung (an deiner Hand), Subjekt (irgendetwas), partitive Bestimmung (von dem Gebannten); finale Bestimmung mit erstem Prädikat (damit sich wende), Subjekt (JHWH), Herkunftsangabe (von der Glut seines Zornes), zweites Prädikat (gebe), Dativ (dir), direktes Objekt (Erbarmen), drittes Prädikat (sich erbarme), direktes Objekt (deiner), viertes Prädikat (mehre), direktes Objekt (dich), Vergleichsbestimmung (wie er deinen Vätern geschworen hat).</w:t>
      </w:r>
    </w:p>
    <w:p w14:paraId="72E958A0" w14:textId="77777777" w:rsidR="00724090" w:rsidRDefault="00724090" w:rsidP="00724090">
      <w:pPr>
        <w:pStyle w:val="whitespace-normal"/>
      </w:pPr>
      <w:r>
        <w:t>Der Vers verbietet jede Aneignung vom Gebannten und begründet dies: Nur so wendet sich JHWH von seinem Zorn ab, gibt Erbarmen, erbarmt sich und vermehrt Israel gemäß dem Väterschwur.</w:t>
      </w:r>
    </w:p>
    <w:p w14:paraId="7CF9EA28"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13,19</w:t>
      </w:r>
    </w:p>
    <w:p w14:paraId="1A990070" w14:textId="77777777" w:rsidR="00724090" w:rsidRDefault="00724090" w:rsidP="00724090">
      <w:pPr>
        <w:pStyle w:val="whitespace-normal"/>
      </w:pPr>
      <w:r>
        <w:rPr>
          <w:rStyle w:val="Fett"/>
          <w:rFonts w:eastAsiaTheme="majorEastAsia"/>
        </w:rPr>
        <w:t>Hebräisch:</w:t>
      </w:r>
      <w:r>
        <w:t xml:space="preserve"> </w:t>
      </w:r>
      <w:r>
        <w:rPr>
          <w:rtl/>
        </w:rPr>
        <w:t>כִּ֣י תִשְׁמַ֗ע בְּקוֹל֙ יְהוָ֣ה אֱלֹהֶ֔יךָ לִשְׁמֹר֙ אֶת־כָּל־מִצְוֹתָ֔יו אֲשֶׁ֛ר אָנֹכִ֥י מְצַוְּךָ֖ הַיּ֑וֹם לַעֲשׂוֹת֙ הַיָּשָׁ֔ר בְּעֵינֵ֖י יְהוָ֥ה אֱלֹהֶֽיךָ׃</w:t>
      </w:r>
    </w:p>
    <w:p w14:paraId="7AB27E8F" w14:textId="2ABF2972" w:rsidR="00724090" w:rsidRDefault="00724090" w:rsidP="00724090">
      <w:pPr>
        <w:pStyle w:val="whitespace-normal"/>
      </w:pPr>
      <w:r>
        <w:rPr>
          <w:rStyle w:val="Fett"/>
          <w:rFonts w:eastAsiaTheme="majorEastAsia"/>
        </w:rPr>
        <w:lastRenderedPageBreak/>
        <w:t>Deutsch:</w:t>
      </w:r>
      <w:r>
        <w:t xml:space="preserve"> Wenn du der Stimme des Ewigen, deines Gottes, gehorchst, alle seine Gebote zu halten, die ich dir heute gebiete, dass du tust, was recht ist in den Augen des Ewigen, deines Gottes.</w:t>
      </w:r>
    </w:p>
    <w:p w14:paraId="02A5C02D" w14:textId="07845638" w:rsidR="009C316F" w:rsidRDefault="004F5CEB" w:rsidP="00724090">
      <w:pPr>
        <w:pStyle w:val="whitespace-normal"/>
      </w:pPr>
      <w:r>
        <w:rPr>
          <w:noProof/>
        </w:rPr>
        <w:pict w14:anchorId="2BCA35F2">
          <v:rect id="_x0000_i1422" style="width:0;height:1.5pt" o:hralign="center" o:hrstd="t" o:hr="t" fillcolor="#a0a0a0" stroked="f"/>
        </w:pict>
      </w:r>
    </w:p>
    <w:p w14:paraId="2CAE24CB"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כִּי תִשְׁמַע בְּקוֹל יְהוָה אֱלֹהֶיךָ לִשְׁמֹר אֶת־כָּל־מִצְוֹתָיו אֲשֶׁר אָנֹכִי מְצַוְּךָ הַיּוֹם</w:t>
      </w:r>
      <w:r>
        <w:rPr>
          <w:rtl/>
        </w:rPr>
        <w:t xml:space="preserve"> </w:t>
      </w:r>
      <w:r>
        <w:t xml:space="preserve">ist ein konditionaler Satz mit finalem Infinitiv und Relativsatz: </w:t>
      </w:r>
      <w:r>
        <w:rPr>
          <w:rStyle w:val="Fett"/>
          <w:rFonts w:eastAsiaTheme="majorEastAsia"/>
          <w:rtl/>
        </w:rPr>
        <w:t>כִּי</w:t>
      </w:r>
      <w:r>
        <w:rPr>
          <w:rtl/>
        </w:rPr>
        <w:t xml:space="preserve"> </w:t>
      </w:r>
      <w:r>
        <w:t xml:space="preserve">(„wenn, wann") als konditionale Konjunktion, </w:t>
      </w:r>
      <w:r>
        <w:rPr>
          <w:rStyle w:val="Fett"/>
          <w:rFonts w:eastAsiaTheme="majorEastAsia"/>
          <w:rtl/>
        </w:rPr>
        <w:t>תִשְׁמַע</w:t>
      </w:r>
      <w:r>
        <w:rPr>
          <w:rtl/>
        </w:rPr>
        <w:t xml:space="preserve"> </w:t>
      </w:r>
      <w:r>
        <w:t xml:space="preserve">(Qal Imperfekt, 2. Person Maskulinum Singular von </w:t>
      </w:r>
      <w:r>
        <w:rPr>
          <w:rStyle w:val="Fett"/>
          <w:rFonts w:eastAsiaTheme="majorEastAsia"/>
          <w:rtl/>
        </w:rPr>
        <w:t>שׁמע</w:t>
      </w:r>
      <w:r>
        <w:t xml:space="preserve">, „hören, gehorchen"), </w:t>
      </w:r>
      <w:r>
        <w:rPr>
          <w:rStyle w:val="Fett"/>
          <w:rFonts w:eastAsiaTheme="majorEastAsia"/>
          <w:rtl/>
        </w:rPr>
        <w:t>בְּקוֹל יְהוָה אֱלֹהֶיךָ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קוֹל</w:t>
      </w:r>
      <w:r>
        <w:t xml:space="preserve">, „Stimme", Construct mit </w:t>
      </w:r>
      <w:r>
        <w:rPr>
          <w:rStyle w:val="Fett"/>
          <w:rFonts w:eastAsiaTheme="majorEastAsia"/>
          <w:rtl/>
        </w:rPr>
        <w:t>יְהוָה אֱלֹהֶיךָ</w:t>
      </w:r>
      <w:r>
        <w:t xml:space="preserve">, „der Stimme JHWHs, deines Gottes") als präpositionales Objekt, </w:t>
      </w:r>
      <w:r>
        <w:rPr>
          <w:rStyle w:val="Fett"/>
          <w:rFonts w:eastAsiaTheme="majorEastAsia"/>
          <w:rtl/>
        </w:rPr>
        <w:t>לִשְׁמֹר</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שׁמר</w:t>
      </w:r>
      <w:r>
        <w:t xml:space="preserve">, „bewahren, halten") als finale Bestimmung, </w:t>
      </w:r>
      <w:r>
        <w:rPr>
          <w:rStyle w:val="Fett"/>
          <w:rFonts w:eastAsiaTheme="majorEastAsia"/>
          <w:rtl/>
        </w:rPr>
        <w:t>אֶת־כָּל־מִצְוֹתָיו</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כֹּל</w:t>
      </w:r>
      <w:r>
        <w:t xml:space="preserve">, „all", im Construct mit </w:t>
      </w:r>
      <w:r>
        <w:rPr>
          <w:rStyle w:val="Fett"/>
          <w:rFonts w:eastAsiaTheme="majorEastAsia"/>
          <w:rtl/>
        </w:rPr>
        <w:t>מִצְוָה</w:t>
      </w:r>
      <w:r>
        <w:t xml:space="preserve">, „Gebot", Plural mit Suffix 3. Person Maskulinum Singular) als direktes Objekt des Infinitivs, </w:t>
      </w:r>
      <w:r>
        <w:rPr>
          <w:rStyle w:val="Fett"/>
          <w:rFonts w:eastAsiaTheme="majorEastAsia"/>
          <w:rtl/>
        </w:rPr>
        <w:t>אֲשֶׁר אָנֹכִי מְצַוְּךָ הַיּוֹם</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אָנֹכִי</w:t>
      </w:r>
      <w:r>
        <w:t xml:space="preserve">, emphatisches Personalpronomen 1. Person Singular, als Subjekt, </w:t>
      </w:r>
      <w:r>
        <w:rPr>
          <w:rStyle w:val="Fett"/>
          <w:rFonts w:eastAsiaTheme="majorEastAsia"/>
          <w:rtl/>
        </w:rPr>
        <w:t>מְצַוְּךָ</w:t>
      </w:r>
      <w:r>
        <w:t xml:space="preserve">, Piel Partizip Maskulinum Singular von </w:t>
      </w:r>
      <w:r>
        <w:rPr>
          <w:rStyle w:val="Fett"/>
          <w:rFonts w:eastAsiaTheme="majorEastAsia"/>
          <w:rtl/>
        </w:rPr>
        <w:t>צוה</w:t>
      </w:r>
      <w:r>
        <w:t xml:space="preserve">, „befehlen", mit Suffix 2. Person Maskulinum Singular als direktes Objekt, und </w:t>
      </w:r>
      <w:r>
        <w:rPr>
          <w:rStyle w:val="Fett"/>
          <w:rFonts w:eastAsiaTheme="majorEastAsia"/>
          <w:rtl/>
        </w:rPr>
        <w:t>הַיּוֹם</w:t>
      </w:r>
      <w:r>
        <w:t>, „heute", mit Artikel, als temporale Bestimmung).</w:t>
      </w:r>
    </w:p>
    <w:p w14:paraId="2FC64881" w14:textId="77777777" w:rsidR="00724090" w:rsidRDefault="00724090" w:rsidP="00724090">
      <w:pPr>
        <w:pStyle w:val="whitespace-normal"/>
      </w:pPr>
      <w:r>
        <w:t xml:space="preserve">Die Wendung </w:t>
      </w:r>
      <w:r>
        <w:rPr>
          <w:rStyle w:val="Fett"/>
          <w:rFonts w:eastAsiaTheme="majorEastAsia"/>
          <w:rtl/>
        </w:rPr>
        <w:t>שׁמע בקול</w:t>
      </w:r>
      <w:r>
        <w:rPr>
          <w:rtl/>
        </w:rPr>
        <w:t xml:space="preserve"> </w:t>
      </w:r>
      <w:r>
        <w:t xml:space="preserve">(„auf die Stimme hören, der Stimme gehorchen") ist eine feste Formel für Gehorsam (vgl. Gen 3,17; 16,2; 21,12; 22,18; 26,5; Ex 3,18; 4,8.9; 15,26; 18,19.24; 19,5; 23,21.22; Lev 26,14.18.21.27; Num 14,22; 21,3; Dtn 4,30; 8,20; 9,23; 13,5; 15,5; 18,15; 21,18.20; 26,14.17; 27,10; 28,1.2.15.45.62; 30,2.8.10.20). Der finale Infinitiv </w:t>
      </w:r>
      <w:r>
        <w:rPr>
          <w:rStyle w:val="Fett"/>
          <w:rFonts w:eastAsiaTheme="majorEastAsia"/>
          <w:rtl/>
        </w:rPr>
        <w:t>לִשְׁמֹר</w:t>
      </w:r>
      <w:r>
        <w:rPr>
          <w:rtl/>
        </w:rPr>
        <w:t xml:space="preserve"> </w:t>
      </w:r>
      <w:r>
        <w:t>zeigt den Zweck des Gehorsams: die Gebote zu halten. Der Relativsatz betont die Aktualität: die Gebote, die heute geboten werden.</w:t>
      </w:r>
    </w:p>
    <w:p w14:paraId="64D83EA6" w14:textId="77777777" w:rsidR="00724090" w:rsidRDefault="00724090" w:rsidP="00724090">
      <w:pPr>
        <w:pStyle w:val="whitespace-normal"/>
      </w:pPr>
      <w:r>
        <w:rPr>
          <w:rStyle w:val="Fett"/>
          <w:rFonts w:eastAsiaTheme="majorEastAsia"/>
          <w:rtl/>
        </w:rPr>
        <w:t>לַעֲשׂוֹת הַיָּשָׁר בְּעֵינֵי יְהוָה אֱלֹהֶיךָ</w:t>
      </w:r>
      <w:r>
        <w:rPr>
          <w:rtl/>
        </w:rPr>
        <w:t xml:space="preserve"> </w:t>
      </w:r>
      <w:r>
        <w:t xml:space="preserve">ist eine zweite finale Bestimmung: </w:t>
      </w:r>
      <w:r>
        <w:rPr>
          <w:rStyle w:val="Fett"/>
          <w:rFonts w:eastAsiaTheme="majorEastAsia"/>
          <w:rtl/>
        </w:rPr>
        <w:t>לַעֲשׂוֹת</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עשׂה</w:t>
      </w:r>
      <w:r>
        <w:t xml:space="preserve">, „tun"), </w:t>
      </w:r>
      <w:r>
        <w:rPr>
          <w:rStyle w:val="Fett"/>
          <w:rFonts w:eastAsiaTheme="majorEastAsia"/>
          <w:rtl/>
        </w:rPr>
        <w:t>הַיָּשָׁר</w:t>
      </w:r>
      <w:r>
        <w:rPr>
          <w:rtl/>
        </w:rPr>
        <w:t xml:space="preserve"> </w:t>
      </w:r>
      <w:r>
        <w:t>(</w:t>
      </w:r>
      <w:r>
        <w:rPr>
          <w:rStyle w:val="Fett"/>
          <w:rFonts w:eastAsiaTheme="majorEastAsia"/>
          <w:rtl/>
        </w:rPr>
        <w:t>יָשָׁר</w:t>
      </w:r>
      <w:r>
        <w:t xml:space="preserve">, „gerade, recht", Adjektiv mit Artikel, substantivisch, „das Rechte") als direktes Objekt und </w:t>
      </w:r>
      <w:r>
        <w:rPr>
          <w:rStyle w:val="Fett"/>
          <w:rFonts w:eastAsiaTheme="majorEastAsia"/>
          <w:rtl/>
        </w:rPr>
        <w:t>בְּעֵינֵי יְהוָה אֱלֹהֶיךָ</w:t>
      </w:r>
      <w:r>
        <w:rPr>
          <w:rtl/>
        </w:rPr>
        <w:t xml:space="preserve"> </w:t>
      </w:r>
      <w:r>
        <w:t xml:space="preserve">(Präposition </w:t>
      </w:r>
      <w:r>
        <w:rPr>
          <w:rStyle w:val="Fett"/>
          <w:rFonts w:eastAsiaTheme="majorEastAsia"/>
          <w:rtl/>
        </w:rPr>
        <w:t>בְּ</w:t>
      </w:r>
      <w:r>
        <w:t xml:space="preserve">, „in", mit </w:t>
      </w:r>
      <w:r>
        <w:rPr>
          <w:rStyle w:val="Fett"/>
          <w:rFonts w:eastAsiaTheme="majorEastAsia"/>
          <w:rtl/>
        </w:rPr>
        <w:t>עַיִן</w:t>
      </w:r>
      <w:r>
        <w:t xml:space="preserve">, „Auge", Dual Construct mit </w:t>
      </w:r>
      <w:r>
        <w:rPr>
          <w:rStyle w:val="Fett"/>
          <w:rFonts w:eastAsiaTheme="majorEastAsia"/>
          <w:rtl/>
        </w:rPr>
        <w:t>יְהוָה אֱלֹהֶיךָ</w:t>
      </w:r>
      <w:r>
        <w:t>) als modale Bestimmung.</w:t>
      </w:r>
    </w:p>
    <w:p w14:paraId="56E85293" w14:textId="77777777" w:rsidR="00724090" w:rsidRDefault="00724090" w:rsidP="00724090">
      <w:pPr>
        <w:pStyle w:val="whitespace-normal"/>
      </w:pPr>
      <w:r>
        <w:t xml:space="preserve">Die Formel </w:t>
      </w:r>
      <w:r>
        <w:rPr>
          <w:rStyle w:val="Fett"/>
          <w:rFonts w:eastAsiaTheme="majorEastAsia"/>
          <w:rtl/>
        </w:rPr>
        <w:t>עשׂה הישׁר בעיני יהוה</w:t>
      </w:r>
      <w:r>
        <w:rPr>
          <w:rtl/>
        </w:rPr>
        <w:t xml:space="preserve"> </w:t>
      </w:r>
      <w:r>
        <w:t>(„das Rechte tun in den Augen JHWHs") wurde bereits in 12,25.28 verwendet und bildet hier den Abschluss von Kapitel 13. Sie verbindet die Einzelgebote mit dem übergeordneten Prinzip: Gehorsam bedeutet, das zu tun, was in JHWHs Augen recht ist.</w:t>
      </w:r>
    </w:p>
    <w:p w14:paraId="29B4BD4D" w14:textId="05E13492" w:rsidR="00724090" w:rsidRDefault="00724090" w:rsidP="00724090">
      <w:pPr>
        <w:pStyle w:val="whitespace-normal"/>
      </w:pPr>
      <w:r>
        <w:t xml:space="preserve">Der Vers bildet eine zusammenfassende Bedingung für die Segensverheißungen in V. 18: Der Segen hängt vom Gehorsam ab – vom Hören auf JHWHs Stimme, vom Halten aller Gebote und vom Tun des Rechten vor JHWH. Die Betonung </w:t>
      </w:r>
      <w:r>
        <w:rPr>
          <w:rStyle w:val="Fett"/>
          <w:rFonts w:eastAsiaTheme="majorEastAsia"/>
          <w:rtl/>
        </w:rPr>
        <w:t>הַיּוֹם</w:t>
      </w:r>
      <w:r>
        <w:rPr>
          <w:rtl/>
        </w:rPr>
        <w:t xml:space="preserve"> </w:t>
      </w:r>
      <w:r>
        <w:t>(„heute") unterstreicht die Dringlichkeit und Aktualität der Forderung.</w:t>
      </w:r>
    </w:p>
    <w:p w14:paraId="78E2FE13" w14:textId="77777777" w:rsidR="00864B28" w:rsidRPr="00864B28" w:rsidRDefault="00864B28" w:rsidP="00864B28">
      <w:pPr>
        <w:spacing w:before="100" w:beforeAutospacing="1" w:after="100" w:afterAutospacing="1" w:line="240" w:lineRule="auto"/>
        <w:outlineLvl w:val="1"/>
        <w:rPr>
          <w:rFonts w:eastAsia="Times New Roman"/>
          <w:b/>
          <w:bCs/>
          <w:sz w:val="36"/>
          <w:szCs w:val="36"/>
          <w:lang w:eastAsia="de-DE"/>
        </w:rPr>
      </w:pPr>
      <w:r w:rsidRPr="00864B28">
        <w:rPr>
          <w:rFonts w:eastAsia="Times New Roman"/>
          <w:b/>
          <w:bCs/>
          <w:sz w:val="36"/>
          <w:szCs w:val="36"/>
          <w:lang w:eastAsia="de-DE"/>
        </w:rPr>
        <w:t>Vers 19 (MT 13,19) / Vers 18 (LXX 13,18)</w:t>
      </w:r>
    </w:p>
    <w:p w14:paraId="2BAA6C01" w14:textId="0F58B88B" w:rsidR="00864B28" w:rsidRPr="00864B28" w:rsidRDefault="00864B28" w:rsidP="00864B28">
      <w:pPr>
        <w:spacing w:before="100" w:beforeAutospacing="1" w:after="100" w:afterAutospacing="1" w:line="240" w:lineRule="auto"/>
        <w:rPr>
          <w:rFonts w:eastAsia="Times New Roman"/>
          <w:lang w:eastAsia="de-DE"/>
        </w:rPr>
      </w:pPr>
      <w:r w:rsidRPr="00864B28">
        <w:rPr>
          <w:rFonts w:eastAsia="Times New Roman"/>
          <w:b/>
          <w:bCs/>
          <w:lang w:eastAsia="de-DE"/>
        </w:rPr>
        <w:t>Die LXX</w:t>
      </w:r>
      <w:r w:rsidRPr="00864B28">
        <w:rPr>
          <w:rFonts w:eastAsia="Times New Roman"/>
          <w:lang w:eastAsia="de-DE"/>
        </w:rPr>
        <w:t xml:space="preserve"> schließt mit </w:t>
      </w:r>
      <w:proofErr w:type="spellStart"/>
      <w:r w:rsidRPr="00864B28">
        <w:rPr>
          <w:rFonts w:eastAsia="Times New Roman"/>
          <w:lang w:eastAsia="de-DE"/>
        </w:rPr>
        <w:t>ἐὰν</w:t>
      </w:r>
      <w:proofErr w:type="spellEnd"/>
      <w:r w:rsidRPr="00864B28">
        <w:rPr>
          <w:rFonts w:eastAsia="Times New Roman"/>
          <w:lang w:eastAsia="de-DE"/>
        </w:rPr>
        <w:t xml:space="preserve"> </w:t>
      </w:r>
      <w:proofErr w:type="spellStart"/>
      <w:r w:rsidRPr="00864B28">
        <w:rPr>
          <w:rFonts w:eastAsia="Times New Roman"/>
          <w:lang w:eastAsia="de-DE"/>
        </w:rPr>
        <w:t>ἀκούσῃς</w:t>
      </w:r>
      <w:proofErr w:type="spellEnd"/>
      <w:r w:rsidRPr="00864B28">
        <w:rPr>
          <w:rFonts w:eastAsia="Times New Roman"/>
          <w:lang w:eastAsia="de-DE"/>
        </w:rPr>
        <w:t xml:space="preserve"> </w:t>
      </w:r>
      <w:proofErr w:type="spellStart"/>
      <w:r w:rsidRPr="00864B28">
        <w:rPr>
          <w:rFonts w:eastAsia="Times New Roman"/>
          <w:lang w:eastAsia="de-DE"/>
        </w:rPr>
        <w:t>τῆς</w:t>
      </w:r>
      <w:proofErr w:type="spellEnd"/>
      <w:r w:rsidRPr="00864B28">
        <w:rPr>
          <w:rFonts w:eastAsia="Times New Roman"/>
          <w:lang w:eastAsia="de-DE"/>
        </w:rPr>
        <w:t xml:space="preserve"> </w:t>
      </w:r>
      <w:proofErr w:type="spellStart"/>
      <w:r w:rsidRPr="00864B28">
        <w:rPr>
          <w:rFonts w:eastAsia="Times New Roman"/>
          <w:lang w:eastAsia="de-DE"/>
        </w:rPr>
        <w:t>φωνῆς</w:t>
      </w:r>
      <w:proofErr w:type="spellEnd"/>
      <w:r w:rsidRPr="00864B28">
        <w:rPr>
          <w:rFonts w:eastAsia="Times New Roman"/>
          <w:lang w:eastAsia="de-DE"/>
        </w:rPr>
        <w:t xml:space="preserve"> </w:t>
      </w:r>
      <w:proofErr w:type="spellStart"/>
      <w:r w:rsidRPr="00864B28">
        <w:rPr>
          <w:rFonts w:eastAsia="Times New Roman"/>
          <w:lang w:eastAsia="de-DE"/>
        </w:rPr>
        <w:t>κυρίου</w:t>
      </w:r>
      <w:proofErr w:type="spellEnd"/>
      <w:r w:rsidRPr="00864B28">
        <w:rPr>
          <w:rFonts w:eastAsia="Times New Roman"/>
          <w:lang w:eastAsia="de-DE"/>
        </w:rPr>
        <w:t xml:space="preserve"> </w:t>
      </w:r>
      <w:proofErr w:type="spellStart"/>
      <w:r w:rsidRPr="00864B28">
        <w:rPr>
          <w:rFonts w:eastAsia="Times New Roman"/>
          <w:lang w:eastAsia="de-DE"/>
        </w:rPr>
        <w:t>τοῦ</w:t>
      </w:r>
      <w:proofErr w:type="spellEnd"/>
      <w:r w:rsidRPr="00864B28">
        <w:rPr>
          <w:rFonts w:eastAsia="Times New Roman"/>
          <w:lang w:eastAsia="de-DE"/>
        </w:rPr>
        <w:t xml:space="preserve"> </w:t>
      </w:r>
      <w:proofErr w:type="spellStart"/>
      <w:r w:rsidRPr="00864B28">
        <w:rPr>
          <w:rFonts w:eastAsia="Times New Roman"/>
          <w:lang w:eastAsia="de-DE"/>
        </w:rPr>
        <w:t>θεοῦ</w:t>
      </w:r>
      <w:proofErr w:type="spellEnd"/>
      <w:r w:rsidRPr="00864B28">
        <w:rPr>
          <w:rFonts w:eastAsia="Times New Roman"/>
          <w:lang w:eastAsia="de-DE"/>
        </w:rPr>
        <w:t xml:space="preserve"> </w:t>
      </w:r>
      <w:proofErr w:type="spellStart"/>
      <w:r w:rsidRPr="00864B28">
        <w:rPr>
          <w:rFonts w:eastAsia="Times New Roman"/>
          <w:lang w:eastAsia="de-DE"/>
        </w:rPr>
        <w:t>σου</w:t>
      </w:r>
      <w:proofErr w:type="spellEnd"/>
      <w:r w:rsidRPr="00864B28">
        <w:rPr>
          <w:rFonts w:eastAsia="Times New Roman"/>
          <w:lang w:eastAsia="de-DE"/>
        </w:rPr>
        <w:t xml:space="preserve"> (wenn du auf die Stimme des Herrn, deines Gottes, hörst) für </w:t>
      </w:r>
      <w:r w:rsidRPr="00864B28">
        <w:rPr>
          <w:rFonts w:eastAsia="Times New Roman"/>
          <w:rtl/>
          <w:lang w:eastAsia="de-DE"/>
        </w:rPr>
        <w:t>כִּי תִשְׁמַע בְּקוֹל יְהוָה אֱלֹהֶיךָ</w:t>
      </w:r>
      <w:r w:rsidRPr="00864B28">
        <w:rPr>
          <w:rFonts w:eastAsia="Times New Roman"/>
          <w:lang w:eastAsia="de-DE"/>
        </w:rPr>
        <w:t xml:space="preserve">, wobei </w:t>
      </w:r>
      <w:proofErr w:type="spellStart"/>
      <w:r w:rsidRPr="00864B28">
        <w:rPr>
          <w:rFonts w:eastAsia="Times New Roman"/>
          <w:lang w:eastAsia="de-DE"/>
        </w:rPr>
        <w:t>ἐάν</w:t>
      </w:r>
      <w:proofErr w:type="spellEnd"/>
      <w:r w:rsidRPr="00864B28">
        <w:rPr>
          <w:rFonts w:eastAsia="Times New Roman"/>
          <w:lang w:eastAsia="de-DE"/>
        </w:rPr>
        <w:t xml:space="preserve"> mit Konjunktiv die Bedingung ausdrückt. Der Infinitiv </w:t>
      </w:r>
      <w:proofErr w:type="spellStart"/>
      <w:r w:rsidRPr="00864B28">
        <w:rPr>
          <w:rFonts w:eastAsia="Times New Roman"/>
          <w:lang w:eastAsia="de-DE"/>
        </w:rPr>
        <w:t>φυλάσσειν</w:t>
      </w:r>
      <w:proofErr w:type="spellEnd"/>
      <w:r w:rsidRPr="00864B28">
        <w:rPr>
          <w:rFonts w:eastAsia="Times New Roman"/>
          <w:lang w:eastAsia="de-DE"/>
        </w:rPr>
        <w:t xml:space="preserve"> π</w:t>
      </w:r>
      <w:proofErr w:type="spellStart"/>
      <w:r w:rsidRPr="00864B28">
        <w:rPr>
          <w:rFonts w:eastAsia="Times New Roman"/>
          <w:lang w:eastAsia="de-DE"/>
        </w:rPr>
        <w:t>άσ</w:t>
      </w:r>
      <w:proofErr w:type="spellEnd"/>
      <w:r w:rsidRPr="00864B28">
        <w:rPr>
          <w:rFonts w:eastAsia="Times New Roman"/>
          <w:lang w:eastAsia="de-DE"/>
        </w:rPr>
        <w:t xml:space="preserve">ας </w:t>
      </w:r>
      <w:proofErr w:type="spellStart"/>
      <w:r w:rsidRPr="00864B28">
        <w:rPr>
          <w:rFonts w:eastAsia="Times New Roman"/>
          <w:lang w:eastAsia="de-DE"/>
        </w:rPr>
        <w:t>τὰς</w:t>
      </w:r>
      <w:proofErr w:type="spellEnd"/>
      <w:r w:rsidRPr="00864B28">
        <w:rPr>
          <w:rFonts w:eastAsia="Times New Roman"/>
          <w:lang w:eastAsia="de-DE"/>
        </w:rPr>
        <w:t xml:space="preserve"> </w:t>
      </w:r>
      <w:proofErr w:type="spellStart"/>
      <w:r w:rsidRPr="00864B28">
        <w:rPr>
          <w:rFonts w:eastAsia="Times New Roman"/>
          <w:lang w:eastAsia="de-DE"/>
        </w:rPr>
        <w:t>ἐντολὰς</w:t>
      </w:r>
      <w:proofErr w:type="spellEnd"/>
      <w:r w:rsidRPr="00864B28">
        <w:rPr>
          <w:rFonts w:eastAsia="Times New Roman"/>
          <w:lang w:eastAsia="de-DE"/>
        </w:rPr>
        <w:t xml:space="preserve"> α</w:t>
      </w:r>
      <w:proofErr w:type="spellStart"/>
      <w:r w:rsidRPr="00864B28">
        <w:rPr>
          <w:rFonts w:eastAsia="Times New Roman"/>
          <w:lang w:eastAsia="de-DE"/>
        </w:rPr>
        <w:t>ὐτοῦ</w:t>
      </w:r>
      <w:proofErr w:type="spellEnd"/>
      <w:r w:rsidRPr="00864B28">
        <w:rPr>
          <w:rFonts w:eastAsia="Times New Roman"/>
          <w:lang w:eastAsia="de-DE"/>
        </w:rPr>
        <w:t xml:space="preserve"> (zu bewahren alle seine Gebote) gibt </w:t>
      </w:r>
      <w:r w:rsidRPr="00864B28">
        <w:rPr>
          <w:rFonts w:eastAsia="Times New Roman"/>
          <w:rtl/>
          <w:lang w:eastAsia="de-DE"/>
        </w:rPr>
        <w:t>לִשְׁמֹר אֶת־כָּל־מִצְוֹתָיו</w:t>
      </w:r>
      <w:r w:rsidRPr="00864B28">
        <w:rPr>
          <w:rFonts w:eastAsia="Times New Roman"/>
          <w:lang w:eastAsia="de-DE"/>
        </w:rPr>
        <w:t xml:space="preserve"> wieder. Die Relativkonstruktion </w:t>
      </w:r>
      <w:proofErr w:type="spellStart"/>
      <w:r w:rsidRPr="00864B28">
        <w:rPr>
          <w:rFonts w:eastAsia="Times New Roman"/>
          <w:lang w:eastAsia="de-DE"/>
        </w:rPr>
        <w:t>ὅσ</w:t>
      </w:r>
      <w:proofErr w:type="spellEnd"/>
      <w:r w:rsidRPr="00864B28">
        <w:rPr>
          <w:rFonts w:eastAsia="Times New Roman"/>
          <w:lang w:eastAsia="de-DE"/>
        </w:rPr>
        <w:t xml:space="preserve">ας </w:t>
      </w:r>
      <w:proofErr w:type="spellStart"/>
      <w:r w:rsidRPr="00864B28">
        <w:rPr>
          <w:rFonts w:eastAsia="Times New Roman"/>
          <w:lang w:eastAsia="de-DE"/>
        </w:rPr>
        <w:t>ἐγὼ</w:t>
      </w:r>
      <w:proofErr w:type="spellEnd"/>
      <w:r w:rsidRPr="00864B28">
        <w:rPr>
          <w:rFonts w:eastAsia="Times New Roman"/>
          <w:lang w:eastAsia="de-DE"/>
        </w:rPr>
        <w:t xml:space="preserve"> </w:t>
      </w:r>
      <w:proofErr w:type="spellStart"/>
      <w:r w:rsidRPr="00864B28">
        <w:rPr>
          <w:rFonts w:eastAsia="Times New Roman"/>
          <w:lang w:eastAsia="de-DE"/>
        </w:rPr>
        <w:t>ἐντέλλομ</w:t>
      </w:r>
      <w:proofErr w:type="spellEnd"/>
      <w:r w:rsidRPr="00864B28">
        <w:rPr>
          <w:rFonts w:eastAsia="Times New Roman"/>
          <w:lang w:eastAsia="de-DE"/>
        </w:rPr>
        <w:t xml:space="preserve">αί </w:t>
      </w:r>
      <w:proofErr w:type="spellStart"/>
      <w:r w:rsidRPr="00864B28">
        <w:rPr>
          <w:rFonts w:eastAsia="Times New Roman"/>
          <w:lang w:eastAsia="de-DE"/>
        </w:rPr>
        <w:t>σοι</w:t>
      </w:r>
      <w:proofErr w:type="spellEnd"/>
      <w:r w:rsidRPr="00864B28">
        <w:rPr>
          <w:rFonts w:eastAsia="Times New Roman"/>
          <w:lang w:eastAsia="de-DE"/>
        </w:rPr>
        <w:t xml:space="preserve"> </w:t>
      </w:r>
      <w:proofErr w:type="spellStart"/>
      <w:r w:rsidRPr="00864B28">
        <w:rPr>
          <w:rFonts w:eastAsia="Times New Roman"/>
          <w:lang w:eastAsia="de-DE"/>
        </w:rPr>
        <w:t>σήμερον</w:t>
      </w:r>
      <w:proofErr w:type="spellEnd"/>
      <w:r w:rsidRPr="00864B28">
        <w:rPr>
          <w:rFonts w:eastAsia="Times New Roman"/>
          <w:lang w:eastAsia="de-DE"/>
        </w:rPr>
        <w:t xml:space="preserve"> (die ich dir heute gebiete) entspricht </w:t>
      </w:r>
      <w:r w:rsidRPr="00864B28">
        <w:rPr>
          <w:rFonts w:eastAsia="Times New Roman"/>
          <w:rtl/>
          <w:lang w:eastAsia="de-DE"/>
        </w:rPr>
        <w:t>אֲשֶׁר אָנֹכִי מְצַוְּךָ הַיּוֹם</w:t>
      </w:r>
      <w:r w:rsidRPr="00864B28">
        <w:rPr>
          <w:rFonts w:eastAsia="Times New Roman"/>
          <w:lang w:eastAsia="de-DE"/>
        </w:rPr>
        <w:t>. Der Zweck π</w:t>
      </w:r>
      <w:proofErr w:type="spellStart"/>
      <w:r w:rsidRPr="00864B28">
        <w:rPr>
          <w:rFonts w:eastAsia="Times New Roman"/>
          <w:lang w:eastAsia="de-DE"/>
        </w:rPr>
        <w:t>οιεῖν</w:t>
      </w:r>
      <w:proofErr w:type="spellEnd"/>
      <w:r w:rsidRPr="00864B28">
        <w:rPr>
          <w:rFonts w:eastAsia="Times New Roman"/>
          <w:lang w:eastAsia="de-DE"/>
        </w:rPr>
        <w:t xml:space="preserve"> </w:t>
      </w:r>
      <w:proofErr w:type="spellStart"/>
      <w:r w:rsidRPr="00864B28">
        <w:rPr>
          <w:rFonts w:eastAsia="Times New Roman"/>
          <w:lang w:eastAsia="de-DE"/>
        </w:rPr>
        <w:t>τὸ</w:t>
      </w:r>
      <w:proofErr w:type="spellEnd"/>
      <w:r w:rsidRPr="00864B28">
        <w:rPr>
          <w:rFonts w:eastAsia="Times New Roman"/>
          <w:lang w:eastAsia="de-DE"/>
        </w:rPr>
        <w:t xml:space="preserve"> </w:t>
      </w:r>
      <w:r w:rsidRPr="00864B28">
        <w:rPr>
          <w:rFonts w:eastAsia="Times New Roman"/>
          <w:lang w:eastAsia="de-DE"/>
        </w:rPr>
        <w:lastRenderedPageBreak/>
        <w:t>κα</w:t>
      </w:r>
      <w:proofErr w:type="spellStart"/>
      <w:r w:rsidRPr="00864B28">
        <w:rPr>
          <w:rFonts w:eastAsia="Times New Roman"/>
          <w:lang w:eastAsia="de-DE"/>
        </w:rPr>
        <w:t>λὸν</w:t>
      </w:r>
      <w:proofErr w:type="spellEnd"/>
      <w:r w:rsidRPr="00864B28">
        <w:rPr>
          <w:rFonts w:eastAsia="Times New Roman"/>
          <w:lang w:eastAsia="de-DE"/>
        </w:rPr>
        <w:t xml:space="preserve"> καὶ </w:t>
      </w:r>
      <w:proofErr w:type="spellStart"/>
      <w:r w:rsidRPr="00864B28">
        <w:rPr>
          <w:rFonts w:eastAsia="Times New Roman"/>
          <w:lang w:eastAsia="de-DE"/>
        </w:rPr>
        <w:t>τὸ</w:t>
      </w:r>
      <w:proofErr w:type="spellEnd"/>
      <w:r w:rsidRPr="00864B28">
        <w:rPr>
          <w:rFonts w:eastAsia="Times New Roman"/>
          <w:lang w:eastAsia="de-DE"/>
        </w:rPr>
        <w:t xml:space="preserve"> </w:t>
      </w:r>
      <w:proofErr w:type="spellStart"/>
      <w:r w:rsidRPr="00864B28">
        <w:rPr>
          <w:rFonts w:eastAsia="Times New Roman"/>
          <w:lang w:eastAsia="de-DE"/>
        </w:rPr>
        <w:t>ἀρεστὸν</w:t>
      </w:r>
      <w:proofErr w:type="spellEnd"/>
      <w:r w:rsidRPr="00864B28">
        <w:rPr>
          <w:rFonts w:eastAsia="Times New Roman"/>
          <w:lang w:eastAsia="de-DE"/>
        </w:rPr>
        <w:t xml:space="preserve"> </w:t>
      </w:r>
      <w:proofErr w:type="spellStart"/>
      <w:r w:rsidRPr="00864B28">
        <w:rPr>
          <w:rFonts w:eastAsia="Times New Roman"/>
          <w:lang w:eastAsia="de-DE"/>
        </w:rPr>
        <w:t>ἔν</w:t>
      </w:r>
      <w:proofErr w:type="spellEnd"/>
      <w:r w:rsidRPr="00864B28">
        <w:rPr>
          <w:rFonts w:eastAsia="Times New Roman"/>
          <w:lang w:eastAsia="de-DE"/>
        </w:rPr>
        <w:t xml:space="preserve">αντι </w:t>
      </w:r>
      <w:proofErr w:type="spellStart"/>
      <w:r w:rsidRPr="00864B28">
        <w:rPr>
          <w:rFonts w:eastAsia="Times New Roman"/>
          <w:lang w:eastAsia="de-DE"/>
        </w:rPr>
        <w:t>κυρίου</w:t>
      </w:r>
      <w:proofErr w:type="spellEnd"/>
      <w:r w:rsidRPr="00864B28">
        <w:rPr>
          <w:rFonts w:eastAsia="Times New Roman"/>
          <w:lang w:eastAsia="de-DE"/>
        </w:rPr>
        <w:t xml:space="preserve"> </w:t>
      </w:r>
      <w:proofErr w:type="spellStart"/>
      <w:r w:rsidRPr="00864B28">
        <w:rPr>
          <w:rFonts w:eastAsia="Times New Roman"/>
          <w:lang w:eastAsia="de-DE"/>
        </w:rPr>
        <w:t>τοῦ</w:t>
      </w:r>
      <w:proofErr w:type="spellEnd"/>
      <w:r w:rsidRPr="00864B28">
        <w:rPr>
          <w:rFonts w:eastAsia="Times New Roman"/>
          <w:lang w:eastAsia="de-DE"/>
        </w:rPr>
        <w:t xml:space="preserve"> </w:t>
      </w:r>
      <w:proofErr w:type="spellStart"/>
      <w:r w:rsidRPr="00864B28">
        <w:rPr>
          <w:rFonts w:eastAsia="Times New Roman"/>
          <w:lang w:eastAsia="de-DE"/>
        </w:rPr>
        <w:t>θεοῦ</w:t>
      </w:r>
      <w:proofErr w:type="spellEnd"/>
      <w:r w:rsidRPr="00864B28">
        <w:rPr>
          <w:rFonts w:eastAsia="Times New Roman"/>
          <w:lang w:eastAsia="de-DE"/>
        </w:rPr>
        <w:t xml:space="preserve"> </w:t>
      </w:r>
      <w:proofErr w:type="spellStart"/>
      <w:r w:rsidRPr="00864B28">
        <w:rPr>
          <w:rFonts w:eastAsia="Times New Roman"/>
          <w:lang w:eastAsia="de-DE"/>
        </w:rPr>
        <w:t>σου</w:t>
      </w:r>
      <w:proofErr w:type="spellEnd"/>
      <w:r w:rsidRPr="00864B28">
        <w:rPr>
          <w:rFonts w:eastAsia="Times New Roman"/>
          <w:lang w:eastAsia="de-DE"/>
        </w:rPr>
        <w:t xml:space="preserve"> (zu tun das Gute und das Wohlgefällige vor dem Herrn, deinem Gott) gibt </w:t>
      </w:r>
      <w:r w:rsidRPr="00864B28">
        <w:rPr>
          <w:rFonts w:eastAsia="Times New Roman"/>
          <w:rtl/>
          <w:lang w:eastAsia="de-DE"/>
        </w:rPr>
        <w:t>לַעֲשׂוֹת הַיָּשָׁר בְּעֵינֵי יְהוָה אֱלֹהֶיךָ</w:t>
      </w:r>
      <w:r w:rsidRPr="00864B28">
        <w:rPr>
          <w:rFonts w:eastAsia="Times New Roman"/>
          <w:lang w:eastAsia="de-DE"/>
        </w:rPr>
        <w:t xml:space="preserve"> wieder, wobei </w:t>
      </w:r>
      <w:proofErr w:type="spellStart"/>
      <w:r w:rsidRPr="00864B28">
        <w:rPr>
          <w:rFonts w:eastAsia="Times New Roman"/>
          <w:lang w:eastAsia="de-DE"/>
        </w:rPr>
        <w:t>τὸ</w:t>
      </w:r>
      <w:proofErr w:type="spellEnd"/>
      <w:r w:rsidRPr="00864B28">
        <w:rPr>
          <w:rFonts w:eastAsia="Times New Roman"/>
          <w:lang w:eastAsia="de-DE"/>
        </w:rPr>
        <w:t xml:space="preserve"> κα</w:t>
      </w:r>
      <w:proofErr w:type="spellStart"/>
      <w:r w:rsidRPr="00864B28">
        <w:rPr>
          <w:rFonts w:eastAsia="Times New Roman"/>
          <w:lang w:eastAsia="de-DE"/>
        </w:rPr>
        <w:t>λὸν</w:t>
      </w:r>
      <w:proofErr w:type="spellEnd"/>
      <w:r w:rsidRPr="00864B28">
        <w:rPr>
          <w:rFonts w:eastAsia="Times New Roman"/>
          <w:lang w:eastAsia="de-DE"/>
        </w:rPr>
        <w:t xml:space="preserve"> καὶ </w:t>
      </w:r>
      <w:proofErr w:type="spellStart"/>
      <w:r w:rsidRPr="00864B28">
        <w:rPr>
          <w:rFonts w:eastAsia="Times New Roman"/>
          <w:lang w:eastAsia="de-DE"/>
        </w:rPr>
        <w:t>τὸ</w:t>
      </w:r>
      <w:proofErr w:type="spellEnd"/>
      <w:r w:rsidRPr="00864B28">
        <w:rPr>
          <w:rFonts w:eastAsia="Times New Roman"/>
          <w:lang w:eastAsia="de-DE"/>
        </w:rPr>
        <w:t xml:space="preserve"> </w:t>
      </w:r>
      <w:proofErr w:type="spellStart"/>
      <w:r w:rsidRPr="00864B28">
        <w:rPr>
          <w:rFonts w:eastAsia="Times New Roman"/>
          <w:lang w:eastAsia="de-DE"/>
        </w:rPr>
        <w:t>ἀρεστὸν</w:t>
      </w:r>
      <w:proofErr w:type="spellEnd"/>
      <w:r w:rsidRPr="00864B28">
        <w:rPr>
          <w:rFonts w:eastAsia="Times New Roman"/>
          <w:lang w:eastAsia="de-DE"/>
        </w:rPr>
        <w:t xml:space="preserve"> (das Gute und das Wohlgefällige) das einzelne hebräische </w:t>
      </w:r>
      <w:r w:rsidRPr="00864B28">
        <w:rPr>
          <w:rFonts w:eastAsia="Times New Roman"/>
          <w:rtl/>
          <w:lang w:eastAsia="de-DE"/>
        </w:rPr>
        <w:t>הַיָּשָׁר</w:t>
      </w:r>
      <w:r w:rsidRPr="00864B28">
        <w:rPr>
          <w:rFonts w:eastAsia="Times New Roman"/>
          <w:lang w:eastAsia="de-DE"/>
        </w:rPr>
        <w:t xml:space="preserve"> (das Rechte) interpretiert und erweitert.</w:t>
      </w:r>
    </w:p>
    <w:p w14:paraId="15CEFC08" w14:textId="77777777" w:rsidR="00724090" w:rsidRDefault="00724090" w:rsidP="00724090">
      <w:pPr>
        <w:pStyle w:val="whitespace-normal"/>
      </w:pPr>
      <w:r>
        <w:rPr>
          <w:rStyle w:val="Fett"/>
          <w:rFonts w:eastAsiaTheme="majorEastAsia"/>
        </w:rPr>
        <w:t>Die Satzstruktur</w:t>
      </w:r>
      <w:r>
        <w:t xml:space="preserve"> besteht aus einem konditionalen Satz mit finalem Infinitiv, Relativsatz und zweiter finaler Bestimmung: Konditionale Konjunktion (wenn), Prädikat (du gehorchst), präpositionales Objekt (der Stimme JHWHs, deines Gottes), erster finaler Infinitiv (um zu halten), direktes Objekt (alle seine Gebote), Relativsatz (die ich dir heute gebiete), zweiter finaler Infinitiv (um zu tun), direktes Objekt (das Rechte), modale Bestimmung (in den Augen JHWHs, deines Gottes).</w:t>
      </w:r>
    </w:p>
    <w:p w14:paraId="40A77634" w14:textId="77777777" w:rsidR="00724090" w:rsidRDefault="00724090" w:rsidP="00724090">
      <w:pPr>
        <w:pStyle w:val="whitespace-normal"/>
      </w:pPr>
      <w:r>
        <w:t>Der Vers bildet den Abschluss von Kapitel 13: Wenn Israel der Stimme JHWHs gehorcht, alle Gebote hält, die heute geboten werden, und das Rechte in JHWHs Augen tut, dann folgen die Segensverheißungen aus V. 18.</w:t>
      </w:r>
    </w:p>
    <w:p w14:paraId="23138D53"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14,1</w:t>
      </w:r>
    </w:p>
    <w:p w14:paraId="40216099" w14:textId="77777777" w:rsidR="00724090" w:rsidRDefault="00724090" w:rsidP="00724090">
      <w:pPr>
        <w:pStyle w:val="whitespace-normal"/>
      </w:pPr>
      <w:r>
        <w:rPr>
          <w:rStyle w:val="Fett"/>
          <w:rFonts w:eastAsiaTheme="majorEastAsia"/>
        </w:rPr>
        <w:t>Hebräisch:</w:t>
      </w:r>
      <w:r>
        <w:t xml:space="preserve"> </w:t>
      </w:r>
      <w:r>
        <w:rPr>
          <w:rtl/>
        </w:rPr>
        <w:t>בָּנִ֣ים אַתֶּ֔ם לַֽיהוָ֖ה אֱלֹהֵיכֶ֑ם לֹ֣א תִתְגֹּֽדְד֗וּ וְלֹֽא־תָשִׂ֧ימוּ קָרְחָ֛ה בֵּ֥ין עֵינֵיכֶ֖ם לָמֵֽת׃</w:t>
      </w:r>
    </w:p>
    <w:p w14:paraId="5B83B74E" w14:textId="7AEC4987" w:rsidR="00724090" w:rsidRDefault="00724090" w:rsidP="00724090">
      <w:pPr>
        <w:pStyle w:val="whitespace-normal"/>
      </w:pPr>
      <w:r>
        <w:rPr>
          <w:rStyle w:val="Fett"/>
          <w:rFonts w:eastAsiaTheme="majorEastAsia"/>
        </w:rPr>
        <w:t>Deutsch:</w:t>
      </w:r>
      <w:r>
        <w:t xml:space="preserve"> Ihr seid Kinder des Ewigen, eures Gottes; ihr sollt euch nicht wegen eines Toten Einschnitte machen und euch nicht zwischen euren Augen kahl scheren.</w:t>
      </w:r>
    </w:p>
    <w:p w14:paraId="55CDC02B" w14:textId="570F5730" w:rsidR="009C316F" w:rsidRDefault="004F5CEB" w:rsidP="00724090">
      <w:pPr>
        <w:pStyle w:val="whitespace-normal"/>
      </w:pPr>
      <w:r>
        <w:rPr>
          <w:noProof/>
        </w:rPr>
        <w:pict w14:anchorId="515222D6">
          <v:rect id="_x0000_i1423" style="width:0;height:1.5pt" o:hralign="center" o:hrstd="t" o:hr="t" fillcolor="#a0a0a0" stroked="f"/>
        </w:pict>
      </w:r>
    </w:p>
    <w:p w14:paraId="671C107D" w14:textId="541E1393" w:rsidR="00724090" w:rsidRDefault="00724090" w:rsidP="00724090">
      <w:pPr>
        <w:pStyle w:val="whitespace-normal"/>
      </w:pPr>
      <w:r>
        <w:rPr>
          <w:rStyle w:val="Fett"/>
          <w:rFonts w:eastAsiaTheme="majorEastAsia"/>
        </w:rPr>
        <w:t>Kommentar:</w:t>
      </w:r>
      <w:r>
        <w:t xml:space="preserve"> </w:t>
      </w:r>
      <w:r>
        <w:rPr>
          <w:rStyle w:val="Fett"/>
          <w:rFonts w:eastAsiaTheme="majorEastAsia"/>
          <w:rtl/>
        </w:rPr>
        <w:t>בָּנִים אַתֶּם לַיהוָה אֱלֹהֵיכֶם</w:t>
      </w:r>
      <w:r>
        <w:rPr>
          <w:rtl/>
        </w:rPr>
        <w:t xml:space="preserve"> </w:t>
      </w:r>
      <w:r>
        <w:t xml:space="preserve">ist ein Nominalsatz: </w:t>
      </w:r>
      <w:r>
        <w:rPr>
          <w:rStyle w:val="Fett"/>
          <w:rFonts w:eastAsiaTheme="majorEastAsia"/>
          <w:rtl/>
        </w:rPr>
        <w:t>בָּנִים</w:t>
      </w:r>
      <w:r>
        <w:rPr>
          <w:rtl/>
        </w:rPr>
        <w:t xml:space="preserve"> </w:t>
      </w:r>
      <w:r>
        <w:t>(</w:t>
      </w:r>
      <w:r>
        <w:rPr>
          <w:rStyle w:val="Fett"/>
          <w:rFonts w:eastAsiaTheme="majorEastAsia"/>
          <w:rtl/>
        </w:rPr>
        <w:t>בֵּן</w:t>
      </w:r>
      <w:r>
        <w:t xml:space="preserve">, „Sohn, Kind", Plural, „Kinder, Söhne") als Prädikatsnomen, </w:t>
      </w:r>
      <w:r>
        <w:rPr>
          <w:rStyle w:val="Fett"/>
          <w:rFonts w:eastAsiaTheme="majorEastAsia"/>
          <w:rtl/>
        </w:rPr>
        <w:t>אַתֶּם</w:t>
      </w:r>
      <w:r>
        <w:rPr>
          <w:rtl/>
        </w:rPr>
        <w:t xml:space="preserve"> </w:t>
      </w:r>
      <w:r>
        <w:t xml:space="preserve">(Personalpronomen 2. Person Maskulinum Plural, „ihr") als Subjekt und </w:t>
      </w:r>
      <w:r>
        <w:rPr>
          <w:rStyle w:val="Fett"/>
          <w:rFonts w:eastAsiaTheme="majorEastAsia"/>
          <w:rtl/>
        </w:rPr>
        <w:t>לַיהוָה אֱלֹהֵיכֶם</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יְהוָה אֱלֹהֵיכֶם</w:t>
      </w:r>
      <w:r>
        <w:t>, „</w:t>
      </w:r>
      <w:bookmarkStart w:id="4" w:name="_Hlk214897161"/>
      <w:r w:rsidR="00281FDB">
        <w:t>JHWH</w:t>
      </w:r>
      <w:bookmarkEnd w:id="4"/>
      <w:r>
        <w:t>, eurem Gott") als Dativ.</w:t>
      </w:r>
    </w:p>
    <w:p w14:paraId="3AB16D7E" w14:textId="77777777" w:rsidR="00724090" w:rsidRDefault="00724090" w:rsidP="00724090">
      <w:pPr>
        <w:pStyle w:val="whitespace-normal"/>
      </w:pPr>
      <w:r>
        <w:t xml:space="preserve">Die Formulierung </w:t>
      </w:r>
      <w:r>
        <w:rPr>
          <w:rStyle w:val="Fett"/>
          <w:rFonts w:eastAsiaTheme="majorEastAsia"/>
          <w:rtl/>
        </w:rPr>
        <w:t>בָּנִים לַיהוָה</w:t>
      </w:r>
      <w:r>
        <w:rPr>
          <w:rtl/>
        </w:rPr>
        <w:t xml:space="preserve"> </w:t>
      </w:r>
      <w:r>
        <w:t>(„Kinder JHWHs") drückt die besondere Beziehung Israels zu JHWH aus (vgl. Ex 4,22-23; Dtn 32,5.6.18-20; Hos 1,10; 11,1; Jes 1,2; 30,1.9; 43,6; 45,11; 63,8; 64,7; Jer 3,14.19.22; 4,22). Die Sohnschaft begründet besondere Verantwortung und Heiligkeit.</w:t>
      </w:r>
    </w:p>
    <w:p w14:paraId="43C24BB2" w14:textId="77777777" w:rsidR="00724090" w:rsidRDefault="00724090" w:rsidP="00724090">
      <w:pPr>
        <w:pStyle w:val="whitespace-normal"/>
      </w:pPr>
      <w:r>
        <w:rPr>
          <w:rStyle w:val="Fett"/>
          <w:rFonts w:eastAsiaTheme="majorEastAsia"/>
          <w:rtl/>
        </w:rPr>
        <w:t>לֹא תִתְגֹּדְדוּ וְלֹא־תָשִׂימוּ קָרְחָה בֵּין עֵינֵיכֶם לָמֵת</w:t>
      </w:r>
      <w:r>
        <w:rPr>
          <w:rtl/>
        </w:rPr>
        <w:t xml:space="preserve"> </w:t>
      </w:r>
      <w:r>
        <w:t xml:space="preserve">sind zwei koordinierte negative Imperative: </w:t>
      </w:r>
      <w:r>
        <w:rPr>
          <w:rStyle w:val="Fett"/>
          <w:rFonts w:eastAsiaTheme="majorEastAsia"/>
          <w:rtl/>
        </w:rPr>
        <w:t>לֹא תִתְגֹּדְדוּ</w:t>
      </w:r>
      <w:r>
        <w:rPr>
          <w:rtl/>
        </w:rPr>
        <w:t xml:space="preserve"> </w:t>
      </w:r>
      <w:r>
        <w:t xml:space="preserve">(Negation </w:t>
      </w:r>
      <w:r>
        <w:rPr>
          <w:rStyle w:val="Fett"/>
          <w:rFonts w:eastAsiaTheme="majorEastAsia"/>
          <w:rtl/>
        </w:rPr>
        <w:t>לֹא</w:t>
      </w:r>
      <w:r>
        <w:rPr>
          <w:rtl/>
        </w:rPr>
        <w:t xml:space="preserve"> </w:t>
      </w:r>
      <w:r>
        <w:t xml:space="preserve">mit </w:t>
      </w:r>
      <w:r>
        <w:rPr>
          <w:rStyle w:val="Fett"/>
          <w:rFonts w:eastAsiaTheme="majorEastAsia"/>
          <w:rtl/>
        </w:rPr>
        <w:t>גדד</w:t>
      </w:r>
      <w:r>
        <w:t xml:space="preserve">, Hitpael Imperfekt, 2. Person Maskulinum Plural, „sich Einschnitte machen, sich ritzen"), koordiniert durch </w:t>
      </w:r>
      <w:r>
        <w:rPr>
          <w:rStyle w:val="Fett"/>
          <w:rFonts w:eastAsiaTheme="majorEastAsia"/>
          <w:rtl/>
        </w:rPr>
        <w:t>וְלֹא</w:t>
      </w:r>
      <w:r>
        <w:rPr>
          <w:rtl/>
        </w:rPr>
        <w:t xml:space="preserve"> </w:t>
      </w:r>
      <w:r>
        <w:t xml:space="preserve">mit </w:t>
      </w:r>
      <w:r>
        <w:rPr>
          <w:rStyle w:val="Fett"/>
          <w:rFonts w:eastAsiaTheme="majorEastAsia"/>
          <w:rtl/>
        </w:rPr>
        <w:t>תָשִׂימוּ</w:t>
      </w:r>
      <w:r>
        <w:rPr>
          <w:rtl/>
        </w:rPr>
        <w:t xml:space="preserve"> </w:t>
      </w:r>
      <w:r>
        <w:t xml:space="preserve">(Qal Imperfekt, 2. Person Maskulinum Plural von </w:t>
      </w:r>
      <w:r>
        <w:rPr>
          <w:rStyle w:val="Fett"/>
          <w:rFonts w:eastAsiaTheme="majorEastAsia"/>
          <w:rtl/>
        </w:rPr>
        <w:t>שׂים</w:t>
      </w:r>
      <w:r>
        <w:t xml:space="preserve">, „setzen, machen"), </w:t>
      </w:r>
      <w:r>
        <w:rPr>
          <w:rStyle w:val="Fett"/>
          <w:rFonts w:eastAsiaTheme="majorEastAsia"/>
          <w:rtl/>
        </w:rPr>
        <w:t>קָרְחָה</w:t>
      </w:r>
      <w:r>
        <w:rPr>
          <w:rtl/>
        </w:rPr>
        <w:t xml:space="preserve"> </w:t>
      </w:r>
      <w:r>
        <w:t>(</w:t>
      </w:r>
      <w:r>
        <w:rPr>
          <w:rStyle w:val="Fett"/>
          <w:rFonts w:eastAsiaTheme="majorEastAsia"/>
          <w:rtl/>
        </w:rPr>
        <w:t>קָרְחָה</w:t>
      </w:r>
      <w:r>
        <w:t xml:space="preserve">, „Kahlheit, kahle Stelle") als direktes Objekt, </w:t>
      </w:r>
      <w:r>
        <w:rPr>
          <w:rStyle w:val="Fett"/>
          <w:rFonts w:eastAsiaTheme="majorEastAsia"/>
          <w:rtl/>
        </w:rPr>
        <w:t>בֵּין עֵינֵיכֶם</w:t>
      </w:r>
      <w:r>
        <w:rPr>
          <w:rtl/>
        </w:rPr>
        <w:t xml:space="preserve"> </w:t>
      </w:r>
      <w:r>
        <w:t xml:space="preserve">(Präposition </w:t>
      </w:r>
      <w:r>
        <w:rPr>
          <w:rStyle w:val="Fett"/>
          <w:rFonts w:eastAsiaTheme="majorEastAsia"/>
          <w:rtl/>
        </w:rPr>
        <w:t>בֵּין</w:t>
      </w:r>
      <w:r>
        <w:t xml:space="preserve">, „zwischen", mit </w:t>
      </w:r>
      <w:r>
        <w:rPr>
          <w:rStyle w:val="Fett"/>
          <w:rFonts w:eastAsiaTheme="majorEastAsia"/>
          <w:rtl/>
        </w:rPr>
        <w:t>עַיִן</w:t>
      </w:r>
      <w:r>
        <w:t xml:space="preserve">, „Auge", Plural Construct mit Suffix 2. Person Maskulinum Plural, „zwischen euren Augen") als lokale Bestimmung und </w:t>
      </w:r>
      <w:r>
        <w:rPr>
          <w:rStyle w:val="Fett"/>
          <w:rFonts w:eastAsiaTheme="majorEastAsia"/>
          <w:rtl/>
        </w:rPr>
        <w:t>לָמֵת</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מֵת</w:t>
      </w:r>
      <w:r>
        <w:t xml:space="preserve">, Qal Partizip Maskulinum Singular von </w:t>
      </w:r>
      <w:r>
        <w:rPr>
          <w:rStyle w:val="Fett"/>
          <w:rFonts w:eastAsiaTheme="majorEastAsia"/>
          <w:rtl/>
        </w:rPr>
        <w:t>מות</w:t>
      </w:r>
      <w:r>
        <w:t>, „sterben", „für einen Toten, wegen eines Toten") als kausale Bestimmung.</w:t>
      </w:r>
    </w:p>
    <w:p w14:paraId="0FDECC1A" w14:textId="5571C351" w:rsidR="00724090" w:rsidRDefault="00724090" w:rsidP="00724090">
      <w:pPr>
        <w:pStyle w:val="whitespace-normal"/>
      </w:pPr>
      <w:r>
        <w:t xml:space="preserve">Das Verb </w:t>
      </w:r>
      <w:r>
        <w:rPr>
          <w:rStyle w:val="Fett"/>
          <w:rFonts w:eastAsiaTheme="majorEastAsia"/>
          <w:rtl/>
        </w:rPr>
        <w:t>גדד</w:t>
      </w:r>
      <w:r>
        <w:rPr>
          <w:rtl/>
        </w:rPr>
        <w:t xml:space="preserve"> </w:t>
      </w:r>
      <w:r>
        <w:t xml:space="preserve">im Hitpael bezeichnet das rituelle Einritzen der Haut als Trauerbrauch (vgl. </w:t>
      </w:r>
      <w:r w:rsidR="00664EB6">
        <w:t>Lev</w:t>
      </w:r>
      <w:r>
        <w:t xml:space="preserve"> 19,28; 21,5; Jer 16,6; 41,5; 47,5; 48,37). Das Scheren einer </w:t>
      </w:r>
      <w:r>
        <w:rPr>
          <w:rStyle w:val="Fett"/>
          <w:rFonts w:eastAsiaTheme="majorEastAsia"/>
          <w:rtl/>
        </w:rPr>
        <w:t>קָרְחָה</w:t>
      </w:r>
      <w:r>
        <w:rPr>
          <w:rtl/>
        </w:rPr>
        <w:t xml:space="preserve"> </w:t>
      </w:r>
      <w:r>
        <w:t xml:space="preserve">(„Kahlstelle") </w:t>
      </w:r>
      <w:r>
        <w:rPr>
          <w:rStyle w:val="Fett"/>
          <w:rFonts w:eastAsiaTheme="majorEastAsia"/>
          <w:rtl/>
        </w:rPr>
        <w:t>בֵּין עֵינֵיכֶם</w:t>
      </w:r>
      <w:r>
        <w:rPr>
          <w:rtl/>
        </w:rPr>
        <w:t xml:space="preserve"> </w:t>
      </w:r>
      <w:r>
        <w:lastRenderedPageBreak/>
        <w:t>(„zwischen den Augen") meint die Stirn. Beide Praktiken waren kanaanäische Trauerriten, die Israel verboten sind.</w:t>
      </w:r>
    </w:p>
    <w:p w14:paraId="7148AC27" w14:textId="59AC599A" w:rsidR="00724090" w:rsidRDefault="00724090" w:rsidP="00724090">
      <w:pPr>
        <w:pStyle w:val="whitespace-normal"/>
      </w:pPr>
      <w:r>
        <w:t>Die Begründung liegt im Nominalsatz: Als Kinder JHWHs soll Israel sich nicht wie die heidnischen Völker verhalten. Die Trauerriten implizierten möglicherweise Totenkult oder Beschwörung der Toten. Israels Gotteskindschaft fordert Abgrenzung von heidnischen Praktiken (vgl. V. 2).</w:t>
      </w:r>
    </w:p>
    <w:p w14:paraId="52C1FE00" w14:textId="77777777" w:rsidR="00FC5592" w:rsidRDefault="00FC5592" w:rsidP="00724090">
      <w:pPr>
        <w:pStyle w:val="whitespace-normal"/>
      </w:pPr>
      <w:r>
        <w:rPr>
          <w:rStyle w:val="Fett"/>
        </w:rPr>
        <w:t>Die LXX</w:t>
      </w:r>
      <w:r>
        <w:t xml:space="preserve"> übersetzt mit </w:t>
      </w:r>
      <w:proofErr w:type="spellStart"/>
      <w:r>
        <w:t>Υἱοί</w:t>
      </w:r>
      <w:proofErr w:type="spellEnd"/>
      <w:r>
        <w:t xml:space="preserve"> </w:t>
      </w:r>
      <w:proofErr w:type="spellStart"/>
      <w:r>
        <w:t>ἐστε</w:t>
      </w:r>
      <w:proofErr w:type="spellEnd"/>
      <w:r>
        <w:t xml:space="preserve"> </w:t>
      </w:r>
      <w:proofErr w:type="spellStart"/>
      <w:r>
        <w:t>κυρίου</w:t>
      </w:r>
      <w:proofErr w:type="spellEnd"/>
      <w:r>
        <w:t xml:space="preserve"> </w:t>
      </w:r>
      <w:proofErr w:type="spellStart"/>
      <w:r>
        <w:t>τοῦ</w:t>
      </w:r>
      <w:proofErr w:type="spellEnd"/>
      <w:r>
        <w:t xml:space="preserve"> </w:t>
      </w:r>
      <w:proofErr w:type="spellStart"/>
      <w:r>
        <w:t>θεοῦ</w:t>
      </w:r>
      <w:proofErr w:type="spellEnd"/>
      <w:r>
        <w:t xml:space="preserve"> </w:t>
      </w:r>
      <w:proofErr w:type="spellStart"/>
      <w:r>
        <w:t>ὑμῶν</w:t>
      </w:r>
      <w:proofErr w:type="spellEnd"/>
      <w:r>
        <w:t xml:space="preserve"> (Söhne seid ihr des Herrn, eures Gottes) für </w:t>
      </w:r>
      <w:r w:rsidRPr="00FC5592">
        <w:rPr>
          <w:b/>
          <w:bCs/>
          <w:rtl/>
        </w:rPr>
        <w:t>בָּנִים אַתֶּם לַיהוָה אֱלֹהֵיכֶם</w:t>
      </w:r>
      <w:r>
        <w:t xml:space="preserve">, wobei die Wortstellung leicht variiert wird. Das Verbot </w:t>
      </w:r>
      <w:proofErr w:type="spellStart"/>
      <w:r>
        <w:t>οὐ</w:t>
      </w:r>
      <w:proofErr w:type="spellEnd"/>
      <w:r>
        <w:t xml:space="preserve"> </w:t>
      </w:r>
      <w:proofErr w:type="spellStart"/>
      <w:r>
        <w:t>φοι</w:t>
      </w:r>
      <w:proofErr w:type="spellEnd"/>
      <w:r>
        <w:t xml:space="preserve">βήσετε (ihr werdet euch nicht einritzen) für </w:t>
      </w:r>
      <w:r w:rsidRPr="00FC5592">
        <w:rPr>
          <w:b/>
          <w:bCs/>
          <w:rtl/>
        </w:rPr>
        <w:t>לֹא תִתְגֹּדְדוּ</w:t>
      </w:r>
      <w:r w:rsidRPr="00FC5592">
        <w:rPr>
          <w:b/>
          <w:bCs/>
        </w:rPr>
        <w:t xml:space="preserve"> </w:t>
      </w:r>
      <w:r>
        <w:t xml:space="preserve">ist bemerkenswert, da </w:t>
      </w:r>
      <w:proofErr w:type="spellStart"/>
      <w:r>
        <w:t>φοι</w:t>
      </w:r>
      <w:proofErr w:type="spellEnd"/>
      <w:r>
        <w:t xml:space="preserve">βάω eine spezifische Bedeutung des rituellen Einritzens hat. Die zweite Prohibition </w:t>
      </w:r>
      <w:proofErr w:type="spellStart"/>
      <w:r>
        <w:t>οὐκ</w:t>
      </w:r>
      <w:proofErr w:type="spellEnd"/>
      <w:r>
        <w:t xml:space="preserve"> ἐπ</w:t>
      </w:r>
      <w:proofErr w:type="spellStart"/>
      <w:r>
        <w:t>ιθήσετε</w:t>
      </w:r>
      <w:proofErr w:type="spellEnd"/>
      <w:r>
        <w:t xml:space="preserve"> φα</w:t>
      </w:r>
      <w:proofErr w:type="spellStart"/>
      <w:r>
        <w:t>λάκρωμ</w:t>
      </w:r>
      <w:proofErr w:type="spellEnd"/>
      <w:r>
        <w:t xml:space="preserve">α </w:t>
      </w:r>
      <w:proofErr w:type="spellStart"/>
      <w:r>
        <w:t>ἀνὰ</w:t>
      </w:r>
      <w:proofErr w:type="spellEnd"/>
      <w:r>
        <w:t xml:space="preserve"> </w:t>
      </w:r>
      <w:proofErr w:type="spellStart"/>
      <w:r>
        <w:t>μέσον</w:t>
      </w:r>
      <w:proofErr w:type="spellEnd"/>
      <w:r>
        <w:t xml:space="preserve"> </w:t>
      </w:r>
      <w:proofErr w:type="spellStart"/>
      <w:r>
        <w:t>τῶν</w:t>
      </w:r>
      <w:proofErr w:type="spellEnd"/>
      <w:r>
        <w:t xml:space="preserve"> </w:t>
      </w:r>
      <w:proofErr w:type="spellStart"/>
      <w:r>
        <w:t>ὀφθ</w:t>
      </w:r>
      <w:proofErr w:type="spellEnd"/>
      <w:r>
        <w:t xml:space="preserve">αλμῶν </w:t>
      </w:r>
      <w:proofErr w:type="spellStart"/>
      <w:r>
        <w:t>ὑμῶν</w:t>
      </w:r>
      <w:proofErr w:type="spellEnd"/>
      <w:r>
        <w:t xml:space="preserve"> (ihr werdet keine Kahlheit machen zwischen euren Augen) gibt </w:t>
      </w:r>
      <w:r w:rsidRPr="00FC5592">
        <w:rPr>
          <w:b/>
          <w:bCs/>
          <w:rtl/>
        </w:rPr>
        <w:t>וְלֹא־תָשִׂימוּ קָרְחָה בֵּין עֵינֵיכֶם</w:t>
      </w:r>
      <w:r>
        <w:t xml:space="preserve"> präzise wieder, wobei φα</w:t>
      </w:r>
      <w:proofErr w:type="spellStart"/>
      <w:r>
        <w:t>λάκρωμ</w:t>
      </w:r>
      <w:proofErr w:type="spellEnd"/>
      <w:r>
        <w:t xml:space="preserve">α die künstlich herbeigeführte Kahlheit bezeichnet. Der Anlass ἐπὶ </w:t>
      </w:r>
      <w:proofErr w:type="spellStart"/>
      <w:r>
        <w:t>νεκρῷ</w:t>
      </w:r>
      <w:proofErr w:type="spellEnd"/>
      <w:r>
        <w:t xml:space="preserve"> (wegen eines Toten) entspricht </w:t>
      </w:r>
      <w:r w:rsidRPr="00FC5592">
        <w:rPr>
          <w:b/>
          <w:bCs/>
          <w:rtl/>
        </w:rPr>
        <w:t>לָמֵת</w:t>
      </w:r>
      <w:r>
        <w:t>.</w:t>
      </w:r>
    </w:p>
    <w:p w14:paraId="0C01428A" w14:textId="6A434691" w:rsidR="00724090" w:rsidRDefault="00724090" w:rsidP="00724090">
      <w:pPr>
        <w:pStyle w:val="whitespace-normal"/>
      </w:pPr>
      <w:r>
        <w:rPr>
          <w:rStyle w:val="Fett"/>
          <w:rFonts w:eastAsiaTheme="majorEastAsia"/>
        </w:rPr>
        <w:t>Die Satzstruktur</w:t>
      </w:r>
      <w:r>
        <w:t xml:space="preserve"> besteht aus einem Nominalsatz und zwei koordinierten negativen Imperativen: Prädikatsnomen (Kinder), Subjekt (ihr), Dativ (</w:t>
      </w:r>
      <w:r w:rsidR="00281FDB">
        <w:t>JHWH</w:t>
      </w:r>
      <w:r>
        <w:t>, eurem Gott); erster negativer Imperativ (sollt nicht Einschnitte machen); zweiter negativer Imperativ (nicht machen), direktes Objekt (eine Kahlstelle), lokale Bestimmung (zwischen euren Augen), kausale Bestimmung (für einen Toten).</w:t>
      </w:r>
    </w:p>
    <w:p w14:paraId="2762710A" w14:textId="77777777" w:rsidR="00724090" w:rsidRDefault="00724090" w:rsidP="00724090">
      <w:pPr>
        <w:pStyle w:val="whitespace-normal"/>
      </w:pPr>
      <w:r>
        <w:t>Der Vers begründet das Verbot heidnischer Trauerriten theologisch: Als Kinder JHWHs soll Israel sich nicht durch Einschnitte oder Kahlscheren für Tote verunreinigen.</w:t>
      </w:r>
    </w:p>
    <w:p w14:paraId="06975C5C"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14,2</w:t>
      </w:r>
    </w:p>
    <w:p w14:paraId="77BEF316" w14:textId="77777777" w:rsidR="00724090" w:rsidRDefault="00724090" w:rsidP="00724090">
      <w:pPr>
        <w:pStyle w:val="whitespace-normal"/>
      </w:pPr>
      <w:r>
        <w:rPr>
          <w:rStyle w:val="Fett"/>
          <w:rFonts w:eastAsiaTheme="majorEastAsia"/>
        </w:rPr>
        <w:t>Hebräisch:</w:t>
      </w:r>
      <w:r>
        <w:t xml:space="preserve"> </w:t>
      </w:r>
      <w:r>
        <w:rPr>
          <w:rtl/>
        </w:rPr>
        <w:t>כִּ֣י עַ֤ם קָדוֹשׁ֙ אַתָּ֔ה לַיהוָ֖ה אֱלֹהֶ֑יךָ וּבְךָ֞ בָּחַ֣ר יְהוָ֗ה לִֽהְי֥וֹת לוֹ֙ לְעַ֣ם סְגֻלָּ֔ה מִכֹּל֙ הָֽעַמִּ֔ים אֲשֶׁ֖ר עַל־פְּנֵ֥י הָאֲדָמָֽה׃</w:t>
      </w:r>
    </w:p>
    <w:p w14:paraId="73807FA3" w14:textId="0290B86A" w:rsidR="00724090" w:rsidRDefault="00724090" w:rsidP="00724090">
      <w:pPr>
        <w:pStyle w:val="whitespace-normal"/>
      </w:pPr>
      <w:r>
        <w:rPr>
          <w:rStyle w:val="Fett"/>
          <w:rFonts w:eastAsiaTheme="majorEastAsia"/>
        </w:rPr>
        <w:t>Deutsch:</w:t>
      </w:r>
      <w:r>
        <w:t xml:space="preserve"> Denn du bist ein heiliges Volk dem Ewigen, deinem Gott; und dich hat der Ewige erwählt, ihm ein Volk des Eigentums zu sein, aus allen Völkern, die auf dem Erdboden sind.</w:t>
      </w:r>
    </w:p>
    <w:p w14:paraId="04FF642C" w14:textId="23F66357" w:rsidR="009C316F" w:rsidRDefault="004F5CEB" w:rsidP="00724090">
      <w:pPr>
        <w:pStyle w:val="whitespace-normal"/>
      </w:pPr>
      <w:r>
        <w:rPr>
          <w:noProof/>
        </w:rPr>
        <w:pict w14:anchorId="4730533F">
          <v:rect id="_x0000_i1424" style="width:0;height:1.5pt" o:hralign="center" o:hrstd="t" o:hr="t" fillcolor="#a0a0a0" stroked="f"/>
        </w:pict>
      </w:r>
    </w:p>
    <w:p w14:paraId="23AD78BE"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כִּי עַם קָדוֹשׁ אַתָּה לַיהוָה אֱלֹהֶיךָ</w:t>
      </w:r>
      <w:r>
        <w:rPr>
          <w:rtl/>
        </w:rPr>
        <w:t xml:space="preserve"> </w:t>
      </w:r>
      <w:r>
        <w:t xml:space="preserve">ist ein kausaler Nominalsatz: </w:t>
      </w:r>
      <w:r>
        <w:rPr>
          <w:rStyle w:val="Fett"/>
          <w:rFonts w:eastAsiaTheme="majorEastAsia"/>
          <w:rtl/>
        </w:rPr>
        <w:t>כִּי</w:t>
      </w:r>
      <w:r>
        <w:rPr>
          <w:rtl/>
        </w:rPr>
        <w:t xml:space="preserve"> </w:t>
      </w:r>
      <w:r>
        <w:t xml:space="preserve">(„denn, weil") als kausale Konjunktion, </w:t>
      </w:r>
      <w:r>
        <w:rPr>
          <w:rStyle w:val="Fett"/>
          <w:rFonts w:eastAsiaTheme="majorEastAsia"/>
          <w:rtl/>
        </w:rPr>
        <w:t>עַם קָדוֹשׁ</w:t>
      </w:r>
      <w:r>
        <w:rPr>
          <w:rtl/>
        </w:rPr>
        <w:t xml:space="preserve"> </w:t>
      </w:r>
      <w:r>
        <w:t>(</w:t>
      </w:r>
      <w:r>
        <w:rPr>
          <w:rStyle w:val="Fett"/>
          <w:rFonts w:eastAsiaTheme="majorEastAsia"/>
          <w:rtl/>
        </w:rPr>
        <w:t>עַם</w:t>
      </w:r>
      <w:r>
        <w:t xml:space="preserve">, „Volk", mit </w:t>
      </w:r>
      <w:r>
        <w:rPr>
          <w:rStyle w:val="Fett"/>
          <w:rFonts w:eastAsiaTheme="majorEastAsia"/>
          <w:rtl/>
        </w:rPr>
        <w:t>קָדוֹשׁ</w:t>
      </w:r>
      <w:r>
        <w:t xml:space="preserve">, „heilig", „ein heiliges Volk") als Prädikatsnomen, </w:t>
      </w:r>
      <w:r>
        <w:rPr>
          <w:rStyle w:val="Fett"/>
          <w:rFonts w:eastAsiaTheme="majorEastAsia"/>
          <w:rtl/>
        </w:rPr>
        <w:t>אַתָּה</w:t>
      </w:r>
      <w:r>
        <w:rPr>
          <w:rtl/>
        </w:rPr>
        <w:t xml:space="preserve"> </w:t>
      </w:r>
      <w:r>
        <w:t xml:space="preserve">(Personalpronomen 2. Person Maskulinum Singular, „du") als Subjekt und </w:t>
      </w:r>
      <w:r>
        <w:rPr>
          <w:rStyle w:val="Fett"/>
          <w:rFonts w:eastAsiaTheme="majorEastAsia"/>
          <w:rtl/>
        </w:rPr>
        <w:t>לַיהוָה אֱלֹהֶיךָ</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יְהוָה אֱלֹהֶיךָ</w:t>
      </w:r>
      <w:r>
        <w:t>) als Dativ.</w:t>
      </w:r>
    </w:p>
    <w:p w14:paraId="50FDD37C" w14:textId="3A4C9781" w:rsidR="00724090" w:rsidRDefault="00724090" w:rsidP="00724090">
      <w:pPr>
        <w:pStyle w:val="whitespace-normal"/>
      </w:pPr>
      <w:r>
        <w:t xml:space="preserve">Die Formulierung </w:t>
      </w:r>
      <w:r>
        <w:rPr>
          <w:rStyle w:val="Fett"/>
          <w:rFonts w:eastAsiaTheme="majorEastAsia"/>
          <w:rtl/>
        </w:rPr>
        <w:t>עַם קָדוֹשׁ</w:t>
      </w:r>
      <w:r>
        <w:rPr>
          <w:rtl/>
        </w:rPr>
        <w:t xml:space="preserve"> </w:t>
      </w:r>
      <w:r>
        <w:t xml:space="preserve">bezeichnet Israel als JHWH geheiligt und für ihn abgesondert (vgl. 7,6; 26,19; 28,9; Ex 19,6; </w:t>
      </w:r>
      <w:r w:rsidR="00664EB6">
        <w:t>Lev</w:t>
      </w:r>
      <w:r>
        <w:t xml:space="preserve"> 19,2; 20,26).</w:t>
      </w:r>
    </w:p>
    <w:p w14:paraId="34A71A4F" w14:textId="77777777" w:rsidR="00724090" w:rsidRDefault="00724090" w:rsidP="00724090">
      <w:pPr>
        <w:pStyle w:val="whitespace-normal"/>
      </w:pPr>
      <w:r>
        <w:rPr>
          <w:rStyle w:val="Fett"/>
          <w:rFonts w:eastAsiaTheme="majorEastAsia"/>
          <w:rtl/>
        </w:rPr>
        <w:t>וּבְךָ בָּחַר יְהוָה לִהְיוֹת לוֹ לְעַם סְגֻלָּה מִכֹּל הָעַמִּים אֲשֶׁר עַל־פְּנֵי הָאֲדָמָה</w:t>
      </w:r>
      <w:r>
        <w:rPr>
          <w:rtl/>
        </w:rPr>
        <w:t xml:space="preserve"> </w:t>
      </w:r>
      <w:r>
        <w:t xml:space="preserve">ist der zweite kausale Satz: </w:t>
      </w:r>
      <w:r>
        <w:rPr>
          <w:rStyle w:val="Fett"/>
          <w:rFonts w:eastAsiaTheme="majorEastAsia"/>
          <w:rtl/>
        </w:rPr>
        <w:t>וּבְךָ</w:t>
      </w:r>
      <w:r>
        <w:rPr>
          <w:rtl/>
        </w:rPr>
        <w:t xml:space="preserve"> </w:t>
      </w:r>
      <w:r>
        <w:t xml:space="preserve">(koordiniert durch </w:t>
      </w:r>
      <w:r>
        <w:rPr>
          <w:rStyle w:val="Fett"/>
          <w:rFonts w:eastAsiaTheme="majorEastAsia"/>
          <w:rtl/>
        </w:rPr>
        <w:t>וּ</w:t>
      </w:r>
      <w:r>
        <w:rPr>
          <w:rtl/>
        </w:rPr>
        <w:t xml:space="preserve"> </w:t>
      </w:r>
      <w:r>
        <w:t xml:space="preserve">mit Präposition </w:t>
      </w:r>
      <w:r>
        <w:rPr>
          <w:rStyle w:val="Fett"/>
          <w:rFonts w:eastAsiaTheme="majorEastAsia"/>
          <w:rtl/>
        </w:rPr>
        <w:t>בְּ</w:t>
      </w:r>
      <w:r>
        <w:rPr>
          <w:rtl/>
        </w:rPr>
        <w:t xml:space="preserve"> </w:t>
      </w:r>
      <w:r>
        <w:t xml:space="preserve">und Suffix 2. Person Maskulinum Singular, „und dich") als vorangestelltes Objekt, </w:t>
      </w:r>
      <w:r>
        <w:rPr>
          <w:rStyle w:val="Fett"/>
          <w:rFonts w:eastAsiaTheme="majorEastAsia"/>
          <w:rtl/>
        </w:rPr>
        <w:t>בָּחַר</w:t>
      </w:r>
      <w:r>
        <w:rPr>
          <w:rtl/>
        </w:rPr>
        <w:t xml:space="preserve"> </w:t>
      </w:r>
      <w:r>
        <w:t xml:space="preserve">(Qal Perfekt, 3. Person Maskulinum Singular von </w:t>
      </w:r>
      <w:r>
        <w:rPr>
          <w:rStyle w:val="Fett"/>
          <w:rFonts w:eastAsiaTheme="majorEastAsia"/>
          <w:rtl/>
        </w:rPr>
        <w:t>בחר</w:t>
      </w:r>
      <w:r>
        <w:t xml:space="preserve">, </w:t>
      </w:r>
      <w:r>
        <w:lastRenderedPageBreak/>
        <w:t xml:space="preserve">„erwählen, auserwählen"), </w:t>
      </w:r>
      <w:r>
        <w:rPr>
          <w:rStyle w:val="Fett"/>
          <w:rFonts w:eastAsiaTheme="majorEastAsia"/>
          <w:rtl/>
        </w:rPr>
        <w:t>יְהוָה</w:t>
      </w:r>
      <w:r>
        <w:rPr>
          <w:rtl/>
        </w:rPr>
        <w:t xml:space="preserve"> </w:t>
      </w:r>
      <w:r>
        <w:t xml:space="preserve">als Subjekt, </w:t>
      </w:r>
      <w:r>
        <w:rPr>
          <w:rStyle w:val="Fett"/>
          <w:rFonts w:eastAsiaTheme="majorEastAsia"/>
          <w:rtl/>
        </w:rPr>
        <w:t>לִהְיוֹת</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היה</w:t>
      </w:r>
      <w:r>
        <w:t xml:space="preserve">, „sein, werden") als finale Bestimmung, </w:t>
      </w:r>
      <w:r>
        <w:rPr>
          <w:rStyle w:val="Fett"/>
          <w:rFonts w:eastAsiaTheme="majorEastAsia"/>
          <w:rtl/>
        </w:rPr>
        <w:t>לוֹ</w:t>
      </w:r>
      <w:r>
        <w:rPr>
          <w:rtl/>
        </w:rPr>
        <w:t xml:space="preserve"> </w:t>
      </w:r>
      <w:r>
        <w:t xml:space="preserve">(Präposition </w:t>
      </w:r>
      <w:r>
        <w:rPr>
          <w:rStyle w:val="Fett"/>
          <w:rFonts w:eastAsiaTheme="majorEastAsia"/>
          <w:rtl/>
        </w:rPr>
        <w:t>לְ</w:t>
      </w:r>
      <w:r>
        <w:rPr>
          <w:rtl/>
        </w:rPr>
        <w:t xml:space="preserve"> </w:t>
      </w:r>
      <w:r>
        <w:t xml:space="preserve">mit Suffix 3. Person Maskulinum Singular, „ihm") als Dativ, </w:t>
      </w:r>
      <w:r>
        <w:rPr>
          <w:rStyle w:val="Fett"/>
          <w:rFonts w:eastAsiaTheme="majorEastAsia"/>
          <w:rtl/>
        </w:rPr>
        <w:t>לְעַם סְגֻלָּה</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עַם סְגֻלָּה</w:t>
      </w:r>
      <w:r>
        <w:t xml:space="preserve">, „Volk des Eigentums, besonderes Volk") als Prädikatsnomen, </w:t>
      </w:r>
      <w:r>
        <w:rPr>
          <w:rStyle w:val="Fett"/>
          <w:rFonts w:eastAsiaTheme="majorEastAsia"/>
          <w:rtl/>
        </w:rPr>
        <w:t>מִכֹּל הָעַמִּים</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כֹּל</w:t>
      </w:r>
      <w:r>
        <w:t xml:space="preserve">, „all", im Construct mit </w:t>
      </w:r>
      <w:r>
        <w:rPr>
          <w:rStyle w:val="Fett"/>
          <w:rFonts w:eastAsiaTheme="majorEastAsia"/>
          <w:rtl/>
        </w:rPr>
        <w:t>עַם</w:t>
      </w:r>
      <w:r>
        <w:t xml:space="preserve">, „Volk", Plural mit Artikel, „aus allen Völkern") als Herkunftsangabe und </w:t>
      </w:r>
      <w:r>
        <w:rPr>
          <w:rStyle w:val="Fett"/>
          <w:rFonts w:eastAsiaTheme="majorEastAsia"/>
          <w:rtl/>
        </w:rPr>
        <w:t>אֲשֶׁר עַל־פְּנֵי הָאֲדָמָה</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עַל־פְּנֵי הָאֲדָמָה</w:t>
      </w:r>
      <w:r>
        <w:t xml:space="preserve">, Präposition </w:t>
      </w:r>
      <w:r>
        <w:rPr>
          <w:rStyle w:val="Fett"/>
          <w:rFonts w:eastAsiaTheme="majorEastAsia"/>
          <w:rtl/>
        </w:rPr>
        <w:t>עַל</w:t>
      </w:r>
      <w:r>
        <w:t xml:space="preserve">, „auf", mit </w:t>
      </w:r>
      <w:r>
        <w:rPr>
          <w:rStyle w:val="Fett"/>
          <w:rFonts w:eastAsiaTheme="majorEastAsia"/>
          <w:rtl/>
        </w:rPr>
        <w:t>פָּנֶה</w:t>
      </w:r>
      <w:r>
        <w:t xml:space="preserve">, „Angesicht", Plural Construct, mit </w:t>
      </w:r>
      <w:r>
        <w:rPr>
          <w:rStyle w:val="Fett"/>
          <w:rFonts w:eastAsiaTheme="majorEastAsia"/>
          <w:rtl/>
        </w:rPr>
        <w:t>אֲדָמָה</w:t>
      </w:r>
      <w:r>
        <w:t>, „Erdboden, Erde", mit Artikel, „die auf dem Angesicht des Erdbodens sind").</w:t>
      </w:r>
    </w:p>
    <w:p w14:paraId="09A90F83" w14:textId="0D39F9E7" w:rsidR="00724090" w:rsidRDefault="00724090" w:rsidP="00724090">
      <w:pPr>
        <w:pStyle w:val="whitespace-normal"/>
      </w:pPr>
      <w:r>
        <w:t xml:space="preserve">Das Wort </w:t>
      </w:r>
      <w:r>
        <w:rPr>
          <w:rStyle w:val="Fett"/>
          <w:rFonts w:eastAsiaTheme="majorEastAsia"/>
          <w:rtl/>
        </w:rPr>
        <w:t>סְגֻלָּה</w:t>
      </w:r>
      <w:r>
        <w:rPr>
          <w:rtl/>
        </w:rPr>
        <w:t xml:space="preserve"> </w:t>
      </w:r>
      <w:r>
        <w:t xml:space="preserve">bezeichnet besonders wertvolles Eigentum, Schatz, Kleinod (vgl. Ex 19,5; Ps 135,4; Mal 3,17; </w:t>
      </w:r>
      <w:r w:rsidR="00664EB6">
        <w:t>1Chr</w:t>
      </w:r>
      <w:r>
        <w:t xml:space="preserve"> 29,3; Pred 2,8). Die Wendung </w:t>
      </w:r>
      <w:r>
        <w:rPr>
          <w:rStyle w:val="Fett"/>
          <w:rFonts w:eastAsiaTheme="majorEastAsia"/>
          <w:rtl/>
        </w:rPr>
        <w:t>עַם סְגֻלָּה</w:t>
      </w:r>
      <w:r>
        <w:rPr>
          <w:rtl/>
        </w:rPr>
        <w:t xml:space="preserve"> </w:t>
      </w:r>
      <w:r>
        <w:t>hebt Israels einzigartige Stellung hervor: von allen Völkern erwählt als JHWHs kostbares Eigentum.</w:t>
      </w:r>
    </w:p>
    <w:p w14:paraId="35C4BAA8" w14:textId="79259A91" w:rsidR="00724090" w:rsidRDefault="00724090" w:rsidP="00724090">
      <w:pPr>
        <w:pStyle w:val="whitespace-normal"/>
      </w:pPr>
      <w:r>
        <w:t xml:space="preserve">Der Vers wiederholt fast wörtlich 7,6 und begründet die Gebote in V. 1 und V. 3ff.: Israels Heiligkeit und Erwählung fordert besonderes Verhalten. Die Voranstellung von </w:t>
      </w:r>
      <w:r>
        <w:rPr>
          <w:rStyle w:val="Fett"/>
          <w:rFonts w:eastAsiaTheme="majorEastAsia"/>
          <w:rtl/>
        </w:rPr>
        <w:t>בְךָ</w:t>
      </w:r>
      <w:r>
        <w:rPr>
          <w:rtl/>
        </w:rPr>
        <w:t xml:space="preserve"> </w:t>
      </w:r>
      <w:r>
        <w:t xml:space="preserve">(„dich") betont: Israel wurde persönlich erwählt. Die universale Perspektive </w:t>
      </w:r>
      <w:r>
        <w:rPr>
          <w:rStyle w:val="Fett"/>
          <w:rFonts w:eastAsiaTheme="majorEastAsia"/>
          <w:rtl/>
        </w:rPr>
        <w:t>מִכֹּל הָעַמִּים אֲשֶׁר עַל־פְּנֵי הָאֲדָמָה</w:t>
      </w:r>
      <w:r>
        <w:rPr>
          <w:rtl/>
        </w:rPr>
        <w:t xml:space="preserve"> </w:t>
      </w:r>
      <w:r>
        <w:t>unterstreicht die Besonderheit der Erwählung.</w:t>
      </w:r>
    </w:p>
    <w:p w14:paraId="32A79427" w14:textId="726AA264" w:rsidR="0091730D" w:rsidRDefault="0091730D" w:rsidP="00724090">
      <w:pPr>
        <w:pStyle w:val="whitespace-normal"/>
      </w:pPr>
      <w:r>
        <w:rPr>
          <w:rStyle w:val="Fett"/>
        </w:rPr>
        <w:t>Die LXX</w:t>
      </w:r>
      <w:r>
        <w:t xml:space="preserve"> formuliert die Begründung </w:t>
      </w:r>
      <w:proofErr w:type="spellStart"/>
      <w:r>
        <w:t>ὅτι</w:t>
      </w:r>
      <w:proofErr w:type="spellEnd"/>
      <w:r>
        <w:t xml:space="preserve"> λα</w:t>
      </w:r>
      <w:proofErr w:type="spellStart"/>
      <w:r>
        <w:t>ὸς</w:t>
      </w:r>
      <w:proofErr w:type="spellEnd"/>
      <w:r>
        <w:t xml:space="preserve"> </w:t>
      </w:r>
      <w:proofErr w:type="spellStart"/>
      <w:r>
        <w:t>ἅγιος</w:t>
      </w:r>
      <w:proofErr w:type="spellEnd"/>
      <w:r>
        <w:t xml:space="preserve"> </w:t>
      </w:r>
      <w:proofErr w:type="spellStart"/>
      <w:r>
        <w:t>εἶ</w:t>
      </w:r>
      <w:proofErr w:type="spellEnd"/>
      <w:r>
        <w:t xml:space="preserve"> </w:t>
      </w:r>
      <w:proofErr w:type="spellStart"/>
      <w:r>
        <w:t>κυρίῳ</w:t>
      </w:r>
      <w:proofErr w:type="spellEnd"/>
      <w:r>
        <w:t xml:space="preserve"> </w:t>
      </w:r>
      <w:proofErr w:type="spellStart"/>
      <w:r>
        <w:t>τῷ</w:t>
      </w:r>
      <w:proofErr w:type="spellEnd"/>
      <w:r>
        <w:t xml:space="preserve"> </w:t>
      </w:r>
      <w:proofErr w:type="spellStart"/>
      <w:r>
        <w:t>θεῷ</w:t>
      </w:r>
      <w:proofErr w:type="spellEnd"/>
      <w:r>
        <w:t xml:space="preserve"> </w:t>
      </w:r>
      <w:proofErr w:type="spellStart"/>
      <w:r>
        <w:t>σου</w:t>
      </w:r>
      <w:proofErr w:type="spellEnd"/>
      <w:r>
        <w:t xml:space="preserve"> (denn ein heiliges Volk bist du für den Herrn, deinen Gott) für </w:t>
      </w:r>
      <w:r w:rsidRPr="0091730D">
        <w:rPr>
          <w:b/>
          <w:bCs/>
          <w:rtl/>
        </w:rPr>
        <w:t>כִּי עַם קָדוֹשׁ אַתָּה לַיהוָה אֱלֹהֶיך</w:t>
      </w:r>
      <w:r>
        <w:rPr>
          <w:rtl/>
        </w:rPr>
        <w:t>ָ</w:t>
      </w:r>
      <w:r>
        <w:t xml:space="preserve">. Die Erwählungsaussage καὶ </w:t>
      </w:r>
      <w:proofErr w:type="spellStart"/>
      <w:r>
        <w:t>σὲ</w:t>
      </w:r>
      <w:proofErr w:type="spellEnd"/>
      <w:r>
        <w:t xml:space="preserve"> </w:t>
      </w:r>
      <w:proofErr w:type="spellStart"/>
      <w:r>
        <w:t>ἐξελέξ</w:t>
      </w:r>
      <w:proofErr w:type="spellEnd"/>
      <w:r>
        <w:t xml:space="preserve">ατο </w:t>
      </w:r>
      <w:proofErr w:type="spellStart"/>
      <w:r>
        <w:t>κύριος</w:t>
      </w:r>
      <w:proofErr w:type="spellEnd"/>
      <w:r>
        <w:t xml:space="preserve"> ὁ </w:t>
      </w:r>
      <w:proofErr w:type="spellStart"/>
      <w:r>
        <w:t>θεός</w:t>
      </w:r>
      <w:proofErr w:type="spellEnd"/>
      <w:r>
        <w:t xml:space="preserve"> </w:t>
      </w:r>
      <w:proofErr w:type="spellStart"/>
      <w:r>
        <w:t>σου</w:t>
      </w:r>
      <w:proofErr w:type="spellEnd"/>
      <w:r>
        <w:t xml:space="preserve"> (und dich hat erwählt der Herr, dein Gott) gibt </w:t>
      </w:r>
      <w:r w:rsidRPr="0091730D">
        <w:rPr>
          <w:b/>
          <w:bCs/>
          <w:rtl/>
        </w:rPr>
        <w:t>וּבְךָ בָּחַר יְהוָה</w:t>
      </w:r>
      <w:r w:rsidRPr="0091730D">
        <w:rPr>
          <w:b/>
          <w:bCs/>
        </w:rPr>
        <w:t xml:space="preserve"> </w:t>
      </w:r>
      <w:r>
        <w:t xml:space="preserve">wieder. Der Zweck </w:t>
      </w:r>
      <w:proofErr w:type="spellStart"/>
      <w:r>
        <w:t>γενέσθ</w:t>
      </w:r>
      <w:proofErr w:type="spellEnd"/>
      <w:r>
        <w:t xml:space="preserve">αι </w:t>
      </w:r>
      <w:proofErr w:type="spellStart"/>
      <w:r>
        <w:t>σε</w:t>
      </w:r>
      <w:proofErr w:type="spellEnd"/>
      <w:r>
        <w:t xml:space="preserve"> α</w:t>
      </w:r>
      <w:proofErr w:type="spellStart"/>
      <w:r>
        <w:t>ὐτῷ</w:t>
      </w:r>
      <w:proofErr w:type="spellEnd"/>
      <w:r>
        <w:t xml:space="preserve"> λα</w:t>
      </w:r>
      <w:proofErr w:type="spellStart"/>
      <w:r>
        <w:t>ὸν</w:t>
      </w:r>
      <w:proofErr w:type="spellEnd"/>
      <w:r>
        <w:t xml:space="preserve"> π</w:t>
      </w:r>
      <w:proofErr w:type="spellStart"/>
      <w:r>
        <w:t>εριούσιον</w:t>
      </w:r>
      <w:proofErr w:type="spellEnd"/>
      <w:r>
        <w:t xml:space="preserve"> (zu werden ihm ein Eigentumsvolk) entspricht </w:t>
      </w:r>
      <w:r>
        <w:rPr>
          <w:rtl/>
        </w:rPr>
        <w:t>לִהְיוֹת לוֹ לְעַם סְגֻלָּה</w:t>
      </w:r>
      <w:r>
        <w:t>, wobei π</w:t>
      </w:r>
      <w:proofErr w:type="spellStart"/>
      <w:r>
        <w:t>εριούσιος</w:t>
      </w:r>
      <w:proofErr w:type="spellEnd"/>
      <w:r>
        <w:t xml:space="preserve"> (kostbar, besonders) das hebräische </w:t>
      </w:r>
      <w:r>
        <w:rPr>
          <w:rtl/>
        </w:rPr>
        <w:t>סְגֻלָּה</w:t>
      </w:r>
      <w:r>
        <w:t xml:space="preserve"> wiedergibt. Die Formulierung ἀπὸ π</w:t>
      </w:r>
      <w:proofErr w:type="spellStart"/>
      <w:r>
        <w:t>άντων</w:t>
      </w:r>
      <w:proofErr w:type="spellEnd"/>
      <w:r>
        <w:t xml:space="preserve"> </w:t>
      </w:r>
      <w:proofErr w:type="spellStart"/>
      <w:r>
        <w:t>τῶν</w:t>
      </w:r>
      <w:proofErr w:type="spellEnd"/>
      <w:r>
        <w:t xml:space="preserve"> </w:t>
      </w:r>
      <w:proofErr w:type="spellStart"/>
      <w:r>
        <w:t>ἐθνῶν</w:t>
      </w:r>
      <w:proofErr w:type="spellEnd"/>
      <w:r>
        <w:t xml:space="preserve"> </w:t>
      </w:r>
      <w:proofErr w:type="spellStart"/>
      <w:r>
        <w:t>τῶν</w:t>
      </w:r>
      <w:proofErr w:type="spellEnd"/>
      <w:r>
        <w:t xml:space="preserve"> ἐπὶ π</w:t>
      </w:r>
      <w:proofErr w:type="spellStart"/>
      <w:r>
        <w:t>ροσώ</w:t>
      </w:r>
      <w:proofErr w:type="spellEnd"/>
      <w:r>
        <w:t xml:space="preserve">που </w:t>
      </w:r>
      <w:proofErr w:type="spellStart"/>
      <w:r>
        <w:t>τῆς</w:t>
      </w:r>
      <w:proofErr w:type="spellEnd"/>
      <w:r>
        <w:t xml:space="preserve"> </w:t>
      </w:r>
      <w:proofErr w:type="spellStart"/>
      <w:r>
        <w:t>γῆς</w:t>
      </w:r>
      <w:proofErr w:type="spellEnd"/>
      <w:r>
        <w:t xml:space="preserve"> (aus allen Völkern, die auf dem Angesicht der Erde sind) gibt </w:t>
      </w:r>
      <w:r>
        <w:rPr>
          <w:rtl/>
        </w:rPr>
        <w:t>מִכֹּל הָעַמִּים אֲשֶׁר עַל־פְּנֵי הָאֲדָמָה</w:t>
      </w:r>
      <w:r>
        <w:t xml:space="preserve"> präzise wieder.</w:t>
      </w:r>
    </w:p>
    <w:p w14:paraId="57397CFF" w14:textId="14713FD0" w:rsidR="00724090" w:rsidRDefault="00724090" w:rsidP="00724090">
      <w:pPr>
        <w:pStyle w:val="whitespace-normal"/>
      </w:pPr>
      <w:r>
        <w:rPr>
          <w:rStyle w:val="Fett"/>
          <w:rFonts w:eastAsiaTheme="majorEastAsia"/>
        </w:rPr>
        <w:t>Die Satzstruktur</w:t>
      </w:r>
      <w:r>
        <w:t xml:space="preserve"> besteht aus zwei koordinierten kausalen Sätzen: Erster kausaler Nominalsatz mit Prädikatsnomen (ein heiliges Volk), Subjekt (du), Dativ (</w:t>
      </w:r>
      <w:r w:rsidR="00281FDB">
        <w:t>JHWH</w:t>
      </w:r>
      <w:r>
        <w:t>, deinem Gott); zweiter kausaler Satz mit vorangestelltem Objekt (und dich), Prädikat (hat erwählt), Subjekt (JHWH), finale Bestimmung (zu sein), Dativ (ihm), Prädikatsnomen (ein Volk des Eigentums), Herkunftsangabe (aus allen Völkern), Relativsatz (die auf dem Erdboden sind).</w:t>
      </w:r>
    </w:p>
    <w:p w14:paraId="537D24CB" w14:textId="77777777" w:rsidR="00724090" w:rsidRDefault="00724090" w:rsidP="00724090">
      <w:pPr>
        <w:pStyle w:val="whitespace-normal"/>
      </w:pPr>
      <w:r>
        <w:t>Der Vers begründet die Gebote durch Israels doppelten Status: heiliges Volk und erwähltes Eigentumsvolk JHWHs unter allen Völkern der Erde.</w:t>
      </w:r>
    </w:p>
    <w:p w14:paraId="02F957A4"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14,3</w:t>
      </w:r>
    </w:p>
    <w:p w14:paraId="32A3E487" w14:textId="77777777" w:rsidR="00724090" w:rsidRDefault="00724090" w:rsidP="00724090">
      <w:pPr>
        <w:pStyle w:val="whitespace-normal"/>
      </w:pPr>
      <w:r>
        <w:rPr>
          <w:rStyle w:val="Fett"/>
          <w:rFonts w:eastAsiaTheme="majorEastAsia"/>
        </w:rPr>
        <w:t>Hebräisch:</w:t>
      </w:r>
      <w:r>
        <w:t xml:space="preserve"> </w:t>
      </w:r>
      <w:r>
        <w:rPr>
          <w:rtl/>
        </w:rPr>
        <w:t>לֹ֥א תֹאכַ֖ל כָּל־תּוֹעֵבָֽה׃</w:t>
      </w:r>
    </w:p>
    <w:p w14:paraId="5482E07E" w14:textId="3E4DD713" w:rsidR="00724090" w:rsidRDefault="00724090" w:rsidP="00724090">
      <w:pPr>
        <w:pStyle w:val="whitespace-normal"/>
      </w:pPr>
      <w:r>
        <w:rPr>
          <w:rStyle w:val="Fett"/>
          <w:rFonts w:eastAsiaTheme="majorEastAsia"/>
        </w:rPr>
        <w:t>Deutsch:</w:t>
      </w:r>
      <w:r>
        <w:t xml:space="preserve"> Du sollst keinen Gräuel essen.</w:t>
      </w:r>
    </w:p>
    <w:p w14:paraId="4B40BEE8" w14:textId="2FE776B4" w:rsidR="009C316F" w:rsidRDefault="004F5CEB" w:rsidP="00724090">
      <w:pPr>
        <w:pStyle w:val="whitespace-normal"/>
      </w:pPr>
      <w:r>
        <w:rPr>
          <w:noProof/>
        </w:rPr>
        <w:pict w14:anchorId="0DE89D4E">
          <v:rect id="_x0000_i1425" style="width:0;height:1.5pt" o:hralign="center" o:hrstd="t" o:hr="t" fillcolor="#a0a0a0" stroked="f"/>
        </w:pict>
      </w:r>
    </w:p>
    <w:p w14:paraId="3BEB1D43"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לֹא תֹאכַל כָּל־תּוֹעֵבָה</w:t>
      </w:r>
      <w:r>
        <w:rPr>
          <w:rtl/>
        </w:rPr>
        <w:t xml:space="preserve"> </w:t>
      </w:r>
      <w:r>
        <w:t xml:space="preserve">ist ein negativer Imperativsatz: </w:t>
      </w:r>
      <w:r>
        <w:rPr>
          <w:rStyle w:val="Fett"/>
          <w:rFonts w:eastAsiaTheme="majorEastAsia"/>
          <w:rtl/>
        </w:rPr>
        <w:t>לֹא</w:t>
      </w:r>
      <w:r>
        <w:rPr>
          <w:rtl/>
        </w:rPr>
        <w:t xml:space="preserve"> </w:t>
      </w:r>
      <w:r>
        <w:t xml:space="preserve">(Negation) mit </w:t>
      </w:r>
      <w:r>
        <w:rPr>
          <w:rStyle w:val="Fett"/>
          <w:rFonts w:eastAsiaTheme="majorEastAsia"/>
          <w:rtl/>
        </w:rPr>
        <w:t>תֹאכַל</w:t>
      </w:r>
      <w:r>
        <w:rPr>
          <w:rtl/>
        </w:rPr>
        <w:t xml:space="preserve"> </w:t>
      </w:r>
      <w:r>
        <w:t xml:space="preserve">(Qal Imperfekt, 2. Person Maskulinum Singular von </w:t>
      </w:r>
      <w:r>
        <w:rPr>
          <w:rStyle w:val="Fett"/>
          <w:rFonts w:eastAsiaTheme="majorEastAsia"/>
          <w:rtl/>
        </w:rPr>
        <w:t>אכל</w:t>
      </w:r>
      <w:r>
        <w:t xml:space="preserve">, „essen") und </w:t>
      </w:r>
      <w:r>
        <w:rPr>
          <w:rStyle w:val="Fett"/>
          <w:rFonts w:eastAsiaTheme="majorEastAsia"/>
          <w:rtl/>
        </w:rPr>
        <w:t>כָּל־תּוֹעֵבָה</w:t>
      </w:r>
      <w:r>
        <w:rPr>
          <w:rtl/>
        </w:rPr>
        <w:t xml:space="preserve"> </w:t>
      </w:r>
      <w:r>
        <w:t>(</w:t>
      </w:r>
      <w:r>
        <w:rPr>
          <w:rStyle w:val="Fett"/>
          <w:rFonts w:eastAsiaTheme="majorEastAsia"/>
          <w:rtl/>
        </w:rPr>
        <w:t>כֹּל</w:t>
      </w:r>
      <w:r>
        <w:t xml:space="preserve">, „all, jeder", im </w:t>
      </w:r>
      <w:r>
        <w:lastRenderedPageBreak/>
        <w:t xml:space="preserve">Construct mit </w:t>
      </w:r>
      <w:r>
        <w:rPr>
          <w:rStyle w:val="Fett"/>
          <w:rFonts w:eastAsiaTheme="majorEastAsia"/>
          <w:rtl/>
        </w:rPr>
        <w:t>תּוֹעֵבָה</w:t>
      </w:r>
      <w:r>
        <w:t>, „Gräuel, Abscheulichkeit", „jeden Gräuel, irgendeinen Gräuel") als direktes Objekt.</w:t>
      </w:r>
    </w:p>
    <w:p w14:paraId="45CE64DD" w14:textId="77777777" w:rsidR="00724090" w:rsidRDefault="00724090" w:rsidP="00724090">
      <w:pPr>
        <w:pStyle w:val="whitespace-normal"/>
      </w:pPr>
      <w:r>
        <w:t xml:space="preserve">Der Vers bildet die Überschrift für die folgenden Speisegebote (V. 4-21). Das Wort </w:t>
      </w:r>
      <w:r>
        <w:rPr>
          <w:rStyle w:val="Fett"/>
          <w:rFonts w:eastAsiaTheme="majorEastAsia"/>
          <w:rtl/>
        </w:rPr>
        <w:t>תּוֹעֵבָה</w:t>
      </w:r>
      <w:r>
        <w:rPr>
          <w:rtl/>
        </w:rPr>
        <w:t xml:space="preserve"> </w:t>
      </w:r>
      <w:r>
        <w:t>bezeichnet etwas, das JHWH verabscheut (vgl. 7,25.26; 12,31; 13,15; 17,1.4; 18,9.12; 20,18; 22,5; 23,19; 24,4; 25,16; 27,15; 32,16). Im Kontext der Speisegebote meint es unreine, nicht essbare Tiere.</w:t>
      </w:r>
    </w:p>
    <w:p w14:paraId="1A003DBE" w14:textId="64CB9662" w:rsidR="00724090" w:rsidRDefault="00724090" w:rsidP="00724090">
      <w:pPr>
        <w:pStyle w:val="whitespace-normal"/>
      </w:pPr>
      <w:r>
        <w:t xml:space="preserve">Die knappe, prinzipielle Formulierung zeigt: Die folgenden Speisegebote sind keine willkürlichen Regeln, sondern betreffen Dinge, die JHWH als Gräuel ansieht. Die Heiligkeit Israels (V. 2) erfordert Vermeidung alles Abscheulichen. Die Liste der erlaubten und verbotenen Tiere in V. 4-20 spezifiziert, was als </w:t>
      </w:r>
      <w:r>
        <w:rPr>
          <w:rStyle w:val="Fett"/>
          <w:rFonts w:eastAsiaTheme="majorEastAsia"/>
          <w:rtl/>
        </w:rPr>
        <w:t>תּוֹעֵבָה</w:t>
      </w:r>
      <w:r>
        <w:rPr>
          <w:rtl/>
        </w:rPr>
        <w:t xml:space="preserve"> </w:t>
      </w:r>
      <w:r>
        <w:t>gilt.</w:t>
      </w:r>
    </w:p>
    <w:p w14:paraId="71552CD4" w14:textId="534DB373" w:rsidR="0091730D" w:rsidRDefault="0091730D" w:rsidP="00724090">
      <w:pPr>
        <w:pStyle w:val="whitespace-normal"/>
      </w:pPr>
      <w:r>
        <w:rPr>
          <w:rStyle w:val="Fett"/>
        </w:rPr>
        <w:t>Die LXX</w:t>
      </w:r>
      <w:r>
        <w:t xml:space="preserve"> bietet das kurze Verbot </w:t>
      </w:r>
      <w:proofErr w:type="spellStart"/>
      <w:r>
        <w:t>Οὐ</w:t>
      </w:r>
      <w:proofErr w:type="spellEnd"/>
      <w:r>
        <w:t xml:space="preserve"> </w:t>
      </w:r>
      <w:proofErr w:type="spellStart"/>
      <w:r>
        <w:t>φάγεσθε</w:t>
      </w:r>
      <w:proofErr w:type="spellEnd"/>
      <w:r>
        <w:t xml:space="preserve"> π</w:t>
      </w:r>
      <w:proofErr w:type="spellStart"/>
      <w:r>
        <w:t>ᾶν</w:t>
      </w:r>
      <w:proofErr w:type="spellEnd"/>
      <w:r>
        <w:t xml:space="preserve"> β</w:t>
      </w:r>
      <w:proofErr w:type="spellStart"/>
      <w:r>
        <w:t>δέλυγμ</w:t>
      </w:r>
      <w:proofErr w:type="spellEnd"/>
      <w:r>
        <w:t xml:space="preserve">α (Ihr werdet nicht essen jeglichen Gräuel) für </w:t>
      </w:r>
      <w:r w:rsidRPr="0091730D">
        <w:rPr>
          <w:b/>
          <w:bCs/>
          <w:rtl/>
        </w:rPr>
        <w:t>לֹא תֹאכַל כָּל־תּוֹעֵבָה</w:t>
      </w:r>
      <w:r>
        <w:t xml:space="preserve">, wobei der Plural </w:t>
      </w:r>
      <w:proofErr w:type="spellStart"/>
      <w:r>
        <w:t>φάγεσθε</w:t>
      </w:r>
      <w:proofErr w:type="spellEnd"/>
      <w:r>
        <w:t xml:space="preserve"> dem Singular </w:t>
      </w:r>
      <w:r w:rsidRPr="0091730D">
        <w:rPr>
          <w:b/>
          <w:bCs/>
          <w:rtl/>
        </w:rPr>
        <w:t>תֹאכַל</w:t>
      </w:r>
      <w:r>
        <w:t xml:space="preserve"> gegenübersteht – die LXX richtet sich konsequent an die Gemeinschaft. Der Begriff β</w:t>
      </w:r>
      <w:proofErr w:type="spellStart"/>
      <w:r>
        <w:t>δέλυγμ</w:t>
      </w:r>
      <w:proofErr w:type="spellEnd"/>
      <w:r>
        <w:t xml:space="preserve">α entspricht dem hebräischen </w:t>
      </w:r>
      <w:r w:rsidRPr="0091730D">
        <w:rPr>
          <w:b/>
          <w:bCs/>
          <w:rtl/>
        </w:rPr>
        <w:t>תּוֹעֵבָה</w:t>
      </w:r>
      <w:r>
        <w:t>.</w:t>
      </w:r>
    </w:p>
    <w:p w14:paraId="164D5221" w14:textId="77777777" w:rsidR="00724090" w:rsidRDefault="00724090" w:rsidP="00724090">
      <w:pPr>
        <w:pStyle w:val="whitespace-normal"/>
      </w:pPr>
      <w:r>
        <w:rPr>
          <w:rStyle w:val="Fett"/>
          <w:rFonts w:eastAsiaTheme="majorEastAsia"/>
        </w:rPr>
        <w:t>Die Satzstruktur</w:t>
      </w:r>
      <w:r>
        <w:t xml:space="preserve"> besteht aus einem einfachen negativen Imperativ: Negation (nicht), Prädikat (sollst essen), direktes Objekt (irgendeinen Gräuel).</w:t>
      </w:r>
    </w:p>
    <w:p w14:paraId="2F5486FE" w14:textId="77777777" w:rsidR="00724090" w:rsidRDefault="00724090" w:rsidP="00724090">
      <w:pPr>
        <w:pStyle w:val="whitespace-normal"/>
      </w:pPr>
      <w:r>
        <w:t>Der Vers verbietet kategorisch den Verzehr von allem, was als Gräuel gilt, und leitet damit die Speisegebote ein.</w:t>
      </w:r>
    </w:p>
    <w:p w14:paraId="58CB914B"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14,4-5</w:t>
      </w:r>
    </w:p>
    <w:p w14:paraId="1491CDFB" w14:textId="77777777" w:rsidR="00724090" w:rsidRDefault="00724090" w:rsidP="00724090">
      <w:pPr>
        <w:pStyle w:val="whitespace-normal"/>
      </w:pPr>
      <w:r>
        <w:rPr>
          <w:rStyle w:val="Fett"/>
          <w:rFonts w:eastAsiaTheme="majorEastAsia"/>
        </w:rPr>
        <w:t>Hebräisch:</w:t>
      </w:r>
      <w:r>
        <w:t xml:space="preserve"> V. 4: </w:t>
      </w:r>
      <w:r>
        <w:rPr>
          <w:rtl/>
        </w:rPr>
        <w:t xml:space="preserve">זֹ֥את הַבְּהֵמָ֖ה אֲשֶׁ֣ר תֹּאכֵ֑לוּ שׁ֕וֹר שֵׂ֥ה כְשָׂבִ֖ים וְשֵׂ֥ה עִזִּֽים׃ </w:t>
      </w:r>
      <w:r>
        <w:t xml:space="preserve">V. 5: </w:t>
      </w:r>
      <w:r>
        <w:rPr>
          <w:rtl/>
        </w:rPr>
        <w:t>אַיָּ֥ל וּצְבִ֖י וְיַחְמ֑וּר וְאַקּ֥וֹ וְדִישֹׁ֖ן וּתְא֥וֹ וָזָֽמֶר׃</w:t>
      </w:r>
    </w:p>
    <w:p w14:paraId="3897C098" w14:textId="5DC1A829" w:rsidR="00724090" w:rsidRDefault="00724090" w:rsidP="00724090">
      <w:pPr>
        <w:pStyle w:val="whitespace-normal"/>
      </w:pPr>
      <w:r>
        <w:rPr>
          <w:rStyle w:val="Fett"/>
          <w:rFonts w:eastAsiaTheme="majorEastAsia"/>
        </w:rPr>
        <w:t>Deutsch:</w:t>
      </w:r>
      <w:r>
        <w:t xml:space="preserve"> V. 4: Dies sind die Tiere, die ihr essen dürft: Rind, Schaf und Ziege, V. 5: Hirsch und Gazelle und Damhirsch und Steinbock und Antilope und Wildschaf und Bergziege.</w:t>
      </w:r>
    </w:p>
    <w:p w14:paraId="695D25C0" w14:textId="45FAE138" w:rsidR="009C316F" w:rsidRDefault="004F5CEB" w:rsidP="00724090">
      <w:pPr>
        <w:pStyle w:val="whitespace-normal"/>
      </w:pPr>
      <w:r>
        <w:rPr>
          <w:noProof/>
        </w:rPr>
        <w:pict w14:anchorId="357E366E">
          <v:rect id="_x0000_i1426" style="width:0;height:1.5pt" o:hralign="center" o:hrstd="t" o:hr="t" fillcolor="#a0a0a0" stroked="f"/>
        </w:pict>
      </w:r>
    </w:p>
    <w:p w14:paraId="30C459B7"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זֹאת הַבְּהֵמָה אֲשֶׁר תֹּאכֵלוּ</w:t>
      </w:r>
      <w:r>
        <w:rPr>
          <w:rtl/>
        </w:rPr>
        <w:t xml:space="preserve"> </w:t>
      </w:r>
      <w:r>
        <w:t xml:space="preserve">ist ein deiktischer Nominalsatz mit Relativsatz: </w:t>
      </w:r>
      <w:r>
        <w:rPr>
          <w:rStyle w:val="Fett"/>
          <w:rFonts w:eastAsiaTheme="majorEastAsia"/>
          <w:rtl/>
        </w:rPr>
        <w:t>זֹאת</w:t>
      </w:r>
      <w:r>
        <w:rPr>
          <w:rtl/>
        </w:rPr>
        <w:t xml:space="preserve"> </w:t>
      </w:r>
      <w:r>
        <w:t xml:space="preserve">(Demonstrativpronomen feminin Singular, „dies, diese"), </w:t>
      </w:r>
      <w:r>
        <w:rPr>
          <w:rStyle w:val="Fett"/>
          <w:rFonts w:eastAsiaTheme="majorEastAsia"/>
          <w:rtl/>
        </w:rPr>
        <w:t>הַבְּהֵמָה</w:t>
      </w:r>
      <w:r>
        <w:rPr>
          <w:rtl/>
        </w:rPr>
        <w:t xml:space="preserve"> </w:t>
      </w:r>
      <w:r>
        <w:t>(</w:t>
      </w:r>
      <w:r>
        <w:rPr>
          <w:rStyle w:val="Fett"/>
          <w:rFonts w:eastAsiaTheme="majorEastAsia"/>
          <w:rtl/>
        </w:rPr>
        <w:t>בְּהֵמָה</w:t>
      </w:r>
      <w:r>
        <w:t xml:space="preserve">, „Tier, Vieh", mit Artikel) als Subjekt und </w:t>
      </w:r>
      <w:r>
        <w:rPr>
          <w:rStyle w:val="Fett"/>
          <w:rFonts w:eastAsiaTheme="majorEastAsia"/>
          <w:rtl/>
        </w:rPr>
        <w:t>אֲשֶׁר תֹּאכֵלוּ</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תֹּאכֵלוּ</w:t>
      </w:r>
      <w:r>
        <w:t xml:space="preserve">, Qal Imperfekt, 2. Person Maskulinum Plural von </w:t>
      </w:r>
      <w:r>
        <w:rPr>
          <w:rStyle w:val="Fett"/>
          <w:rFonts w:eastAsiaTheme="majorEastAsia"/>
          <w:rtl/>
        </w:rPr>
        <w:t>אכל</w:t>
      </w:r>
      <w:r>
        <w:t>, „essen", „die ihr essen dürft").</w:t>
      </w:r>
    </w:p>
    <w:p w14:paraId="77B29ACB" w14:textId="13CF8358" w:rsidR="00724090" w:rsidRDefault="00724090" w:rsidP="00724090">
      <w:pPr>
        <w:pStyle w:val="whitespace-normal"/>
      </w:pPr>
      <w:r>
        <w:rPr>
          <w:rStyle w:val="Fett"/>
          <w:rFonts w:eastAsiaTheme="majorEastAsia"/>
          <w:rtl/>
        </w:rPr>
        <w:t>שׁוֹר שֵׂה כְשָׂבִים וְשֵׂה עִזִּים</w:t>
      </w:r>
      <w:r>
        <w:rPr>
          <w:rtl/>
        </w:rPr>
        <w:t xml:space="preserve"> </w:t>
      </w:r>
      <w:r>
        <w:t xml:space="preserve">ist eine Aufzählung: </w:t>
      </w:r>
      <w:r>
        <w:rPr>
          <w:rStyle w:val="Fett"/>
          <w:rFonts w:eastAsiaTheme="majorEastAsia"/>
          <w:rtl/>
        </w:rPr>
        <w:t>שׁוֹר</w:t>
      </w:r>
      <w:r>
        <w:rPr>
          <w:rtl/>
        </w:rPr>
        <w:t xml:space="preserve"> </w:t>
      </w:r>
      <w:r>
        <w:t xml:space="preserve">(„Rind, Ochse, Stier"), </w:t>
      </w:r>
      <w:r>
        <w:rPr>
          <w:rStyle w:val="Fett"/>
          <w:rFonts w:eastAsiaTheme="majorEastAsia"/>
          <w:rtl/>
        </w:rPr>
        <w:t>שֵׂה כְשָׂבִים</w:t>
      </w:r>
      <w:r>
        <w:rPr>
          <w:rtl/>
        </w:rPr>
        <w:t xml:space="preserve"> </w:t>
      </w:r>
      <w:r>
        <w:t>(</w:t>
      </w:r>
      <w:r>
        <w:rPr>
          <w:rStyle w:val="Fett"/>
          <w:rFonts w:eastAsiaTheme="majorEastAsia"/>
          <w:rtl/>
        </w:rPr>
        <w:t>שֶׂה</w:t>
      </w:r>
      <w:r>
        <w:t xml:space="preserve">, „Kleinvieh, Schaf oder Ziege", Construct mit </w:t>
      </w:r>
      <w:r>
        <w:rPr>
          <w:rStyle w:val="Fett"/>
          <w:rFonts w:eastAsiaTheme="majorEastAsia"/>
          <w:rtl/>
        </w:rPr>
        <w:t>כֶּבֶשׂ</w:t>
      </w:r>
      <w:r>
        <w:t xml:space="preserve">, „Lamm, Schaf", Plural, „Schaf von den Schafen" = Schaf), koordiniert durch </w:t>
      </w:r>
      <w:r>
        <w:rPr>
          <w:rStyle w:val="Fett"/>
          <w:rFonts w:eastAsiaTheme="majorEastAsia"/>
          <w:rtl/>
        </w:rPr>
        <w:t>וְ</w:t>
      </w:r>
      <w:r>
        <w:rPr>
          <w:rtl/>
        </w:rPr>
        <w:t xml:space="preserve"> </w:t>
      </w:r>
      <w:r>
        <w:t xml:space="preserve">mit </w:t>
      </w:r>
      <w:r>
        <w:rPr>
          <w:rStyle w:val="Fett"/>
          <w:rFonts w:eastAsiaTheme="majorEastAsia"/>
          <w:rtl/>
        </w:rPr>
        <w:t>שֵׂה עִזִּים</w:t>
      </w:r>
      <w:r>
        <w:rPr>
          <w:rtl/>
        </w:rPr>
        <w:t xml:space="preserve"> </w:t>
      </w:r>
      <w:r>
        <w:t>(</w:t>
      </w:r>
      <w:r>
        <w:rPr>
          <w:rStyle w:val="Fett"/>
          <w:rFonts w:eastAsiaTheme="majorEastAsia"/>
          <w:rtl/>
        </w:rPr>
        <w:t>שֶׂה</w:t>
      </w:r>
      <w:r>
        <w:t xml:space="preserve">, Construct mit </w:t>
      </w:r>
      <w:r>
        <w:rPr>
          <w:rStyle w:val="Fett"/>
          <w:rFonts w:eastAsiaTheme="majorEastAsia"/>
          <w:rtl/>
        </w:rPr>
        <w:t>עֵז</w:t>
      </w:r>
      <w:r>
        <w:t>, „Ziege", Plural, „Ziege von den Ziegen" = Ziege). Diese drei sind Haustiere.</w:t>
      </w:r>
    </w:p>
    <w:p w14:paraId="1AEE702F" w14:textId="76E5DC4A" w:rsidR="0091730D" w:rsidRDefault="0091730D" w:rsidP="00724090">
      <w:pPr>
        <w:pStyle w:val="whitespace-normal"/>
      </w:pPr>
      <w:r>
        <w:rPr>
          <w:rStyle w:val="Fett"/>
        </w:rPr>
        <w:t>Die LXX</w:t>
      </w:r>
      <w:r>
        <w:t xml:space="preserve"> leitet ein mit τα</w:t>
      </w:r>
      <w:proofErr w:type="spellStart"/>
      <w:r>
        <w:t>ῦτ</w:t>
      </w:r>
      <w:proofErr w:type="spellEnd"/>
      <w:r>
        <w:t xml:space="preserve">α </w:t>
      </w:r>
      <w:proofErr w:type="spellStart"/>
      <w:r>
        <w:t>τὰ</w:t>
      </w:r>
      <w:proofErr w:type="spellEnd"/>
      <w:r>
        <w:t xml:space="preserve"> </w:t>
      </w:r>
      <w:proofErr w:type="spellStart"/>
      <w:r>
        <w:t>κτήνη</w:t>
      </w:r>
      <w:proofErr w:type="spellEnd"/>
      <w:r>
        <w:t xml:space="preserve">, ἃ </w:t>
      </w:r>
      <w:proofErr w:type="spellStart"/>
      <w:r>
        <w:t>φάγεσθε</w:t>
      </w:r>
      <w:proofErr w:type="spellEnd"/>
      <w:r>
        <w:t xml:space="preserve"> (dies sind die Tiere, die ihr essen werdet) für </w:t>
      </w:r>
      <w:r w:rsidRPr="0091730D">
        <w:rPr>
          <w:b/>
          <w:bCs/>
          <w:rtl/>
        </w:rPr>
        <w:t>זֹאת הַבְּהֵמָה אֲשֶׁר תֹּאכֵלו</w:t>
      </w:r>
      <w:r>
        <w:rPr>
          <w:rtl/>
        </w:rPr>
        <w:t>ּ</w:t>
      </w:r>
      <w:r>
        <w:t xml:space="preserve">. Die Aufzählung </w:t>
      </w:r>
      <w:proofErr w:type="spellStart"/>
      <w:r>
        <w:t>μόσχον</w:t>
      </w:r>
      <w:proofErr w:type="spellEnd"/>
      <w:r>
        <w:t xml:space="preserve"> </w:t>
      </w:r>
      <w:proofErr w:type="spellStart"/>
      <w:r>
        <w:t>ἐκ</w:t>
      </w:r>
      <w:proofErr w:type="spellEnd"/>
      <w:r>
        <w:t xml:space="preserve"> β</w:t>
      </w:r>
      <w:proofErr w:type="spellStart"/>
      <w:r>
        <w:t>οῶν</w:t>
      </w:r>
      <w:proofErr w:type="spellEnd"/>
      <w:r>
        <w:t xml:space="preserve"> καὶ </w:t>
      </w:r>
      <w:proofErr w:type="spellStart"/>
      <w:r>
        <w:t>ἀμνὸν</w:t>
      </w:r>
      <w:proofErr w:type="spellEnd"/>
      <w:r>
        <w:t xml:space="preserve"> </w:t>
      </w:r>
      <w:proofErr w:type="spellStart"/>
      <w:r>
        <w:t>ἐκ</w:t>
      </w:r>
      <w:proofErr w:type="spellEnd"/>
      <w:r>
        <w:t xml:space="preserve"> π</w:t>
      </w:r>
      <w:proofErr w:type="spellStart"/>
      <w:r>
        <w:t>ρο</w:t>
      </w:r>
      <w:proofErr w:type="spellEnd"/>
      <w:r>
        <w:t xml:space="preserve">βάτων καὶ </w:t>
      </w:r>
      <w:proofErr w:type="spellStart"/>
      <w:r>
        <w:t>χίμ</w:t>
      </w:r>
      <w:proofErr w:type="spellEnd"/>
      <w:r>
        <w:t xml:space="preserve">αρον </w:t>
      </w:r>
      <w:proofErr w:type="spellStart"/>
      <w:r>
        <w:t>ἐξ</w:t>
      </w:r>
      <w:proofErr w:type="spellEnd"/>
      <w:r>
        <w:t xml:space="preserve"> α</w:t>
      </w:r>
      <w:proofErr w:type="spellStart"/>
      <w:r>
        <w:t>ἰγῶν</w:t>
      </w:r>
      <w:proofErr w:type="spellEnd"/>
      <w:r>
        <w:t xml:space="preserve"> (Kalb aus Rindern und Lamm aus Schafen und Ziegenbock aus Ziegen) </w:t>
      </w:r>
      <w:r>
        <w:lastRenderedPageBreak/>
        <w:t xml:space="preserve">expliziert die hebräischen Begriffe </w:t>
      </w:r>
      <w:r w:rsidRPr="0091730D">
        <w:rPr>
          <w:b/>
          <w:bCs/>
          <w:rtl/>
        </w:rPr>
        <w:t>שׁוֹר שֵׂה כְשָׂבִים וְשֵׂה עִזִּים</w:t>
      </w:r>
      <w:r w:rsidRPr="0091730D">
        <w:rPr>
          <w:b/>
          <w:bCs/>
        </w:rPr>
        <w:t xml:space="preserve"> </w:t>
      </w:r>
      <w:r>
        <w:t>mit präzisierenden Genitivkonstruktionen, die die Herkunft der Tiere verdeutlichen.</w:t>
      </w:r>
    </w:p>
    <w:p w14:paraId="19E94B5E" w14:textId="77777777" w:rsidR="00724090" w:rsidRDefault="00724090" w:rsidP="00724090">
      <w:pPr>
        <w:pStyle w:val="whitespace-normal"/>
      </w:pPr>
      <w:r>
        <w:t xml:space="preserve">V. 5 führt sieben Wildtiere auf: </w:t>
      </w:r>
      <w:r>
        <w:rPr>
          <w:rStyle w:val="Fett"/>
          <w:rFonts w:eastAsiaTheme="majorEastAsia"/>
          <w:rtl/>
        </w:rPr>
        <w:t>אַיָּל</w:t>
      </w:r>
      <w:r>
        <w:rPr>
          <w:rtl/>
        </w:rPr>
        <w:t xml:space="preserve"> </w:t>
      </w:r>
      <w:r>
        <w:t xml:space="preserve">(„Hirsch"), koordiniert durch </w:t>
      </w:r>
      <w:r>
        <w:rPr>
          <w:rStyle w:val="Fett"/>
          <w:rFonts w:eastAsiaTheme="majorEastAsia"/>
          <w:rtl/>
        </w:rPr>
        <w:t>וּ</w:t>
      </w:r>
      <w:r>
        <w:rPr>
          <w:rtl/>
        </w:rPr>
        <w:t xml:space="preserve"> </w:t>
      </w:r>
      <w:r>
        <w:t xml:space="preserve">mit </w:t>
      </w:r>
      <w:r>
        <w:rPr>
          <w:rStyle w:val="Fett"/>
          <w:rFonts w:eastAsiaTheme="majorEastAsia"/>
          <w:rtl/>
        </w:rPr>
        <w:t>צְבִי</w:t>
      </w:r>
      <w:r>
        <w:rPr>
          <w:rtl/>
        </w:rPr>
        <w:t xml:space="preserve"> </w:t>
      </w:r>
      <w:r>
        <w:t xml:space="preserve">(„Gazelle"), </w:t>
      </w:r>
      <w:r>
        <w:rPr>
          <w:rStyle w:val="Fett"/>
          <w:rFonts w:eastAsiaTheme="majorEastAsia"/>
          <w:rtl/>
        </w:rPr>
        <w:t>וְיַחְמוּר</w:t>
      </w:r>
      <w:r>
        <w:rPr>
          <w:rtl/>
        </w:rPr>
        <w:t xml:space="preserve"> </w:t>
      </w:r>
      <w:r>
        <w:t xml:space="preserve">(„Damhirsch, Rehbock"), </w:t>
      </w:r>
      <w:r>
        <w:rPr>
          <w:rStyle w:val="Fett"/>
          <w:rFonts w:eastAsiaTheme="majorEastAsia"/>
          <w:rtl/>
        </w:rPr>
        <w:t>וְאַקּוֹ</w:t>
      </w:r>
      <w:r>
        <w:rPr>
          <w:rtl/>
        </w:rPr>
        <w:t xml:space="preserve"> </w:t>
      </w:r>
      <w:r>
        <w:t xml:space="preserve">(„Steinbock"), </w:t>
      </w:r>
      <w:r>
        <w:rPr>
          <w:rStyle w:val="Fett"/>
          <w:rFonts w:eastAsiaTheme="majorEastAsia"/>
          <w:rtl/>
        </w:rPr>
        <w:t>וְדִישֹׁן</w:t>
      </w:r>
      <w:r>
        <w:rPr>
          <w:rtl/>
        </w:rPr>
        <w:t xml:space="preserve"> </w:t>
      </w:r>
      <w:r>
        <w:t xml:space="preserve">(„Antilope, Wildschaf"), </w:t>
      </w:r>
      <w:r>
        <w:rPr>
          <w:rStyle w:val="Fett"/>
          <w:rFonts w:eastAsiaTheme="majorEastAsia"/>
          <w:rtl/>
        </w:rPr>
        <w:t>וּתְאוֹ</w:t>
      </w:r>
      <w:r>
        <w:rPr>
          <w:rtl/>
        </w:rPr>
        <w:t xml:space="preserve"> </w:t>
      </w:r>
      <w:r>
        <w:t xml:space="preserve">(„Wildochse, Wildschaf"), </w:t>
      </w:r>
      <w:r>
        <w:rPr>
          <w:rStyle w:val="Fett"/>
          <w:rFonts w:eastAsiaTheme="majorEastAsia"/>
          <w:rtl/>
        </w:rPr>
        <w:t>וָזָמֶר</w:t>
      </w:r>
      <w:r>
        <w:rPr>
          <w:rtl/>
        </w:rPr>
        <w:t xml:space="preserve"> </w:t>
      </w:r>
      <w:r>
        <w:t>(„Bergziege, Mufflon").</w:t>
      </w:r>
    </w:p>
    <w:p w14:paraId="25FD2519" w14:textId="77777777" w:rsidR="00724090" w:rsidRDefault="00724090" w:rsidP="00724090">
      <w:pPr>
        <w:pStyle w:val="whitespace-normal"/>
      </w:pPr>
      <w:r>
        <w:t>Die genaue Identifikation einiger dieser Wildtiere ist unsicher, da die hebräischen Namen selten vorkommen. Die Liste umfasst zehn erlaubte Tiere: drei Haustiere (Rind, Schaf, Ziege) und sieben Wildtiere.</w:t>
      </w:r>
    </w:p>
    <w:p w14:paraId="7B8502A6" w14:textId="4B07FB42" w:rsidR="00724090" w:rsidRDefault="00724090" w:rsidP="00724090">
      <w:pPr>
        <w:pStyle w:val="whitespace-normal"/>
      </w:pPr>
      <w:r>
        <w:t>Die Aufzählung ist positiv: Diese Tiere dürfen gegessen werden. V. 6 gibt dann das allgemeine Prinzip (gespaltene Hufe und Wiederkäuen), V. 7-8 nennen Ausnahmen. Die Unterscheidung zwischen Haustieren (V. 4) und Wildtieren (V. 5) ist bedeutsam: Haustiere können geopfert werden, Wildtiere nur profan geschlachtet werden (vgl. 12,15.22).</w:t>
      </w:r>
    </w:p>
    <w:p w14:paraId="0C3EDDAF" w14:textId="203388CD" w:rsidR="00864B28" w:rsidRDefault="00864B28" w:rsidP="00724090">
      <w:pPr>
        <w:pStyle w:val="whitespace-normal"/>
      </w:pPr>
      <w:r>
        <w:rPr>
          <w:rStyle w:val="Fett"/>
        </w:rPr>
        <w:t>Die LXX</w:t>
      </w:r>
      <w:r>
        <w:t xml:space="preserve"> expliziert mit </w:t>
      </w:r>
      <w:proofErr w:type="spellStart"/>
      <w:r>
        <w:t>μόσχον</w:t>
      </w:r>
      <w:proofErr w:type="spellEnd"/>
      <w:r>
        <w:t xml:space="preserve"> </w:t>
      </w:r>
      <w:proofErr w:type="spellStart"/>
      <w:r>
        <w:t>ἐκ</w:t>
      </w:r>
      <w:proofErr w:type="spellEnd"/>
      <w:r>
        <w:t xml:space="preserve"> β</w:t>
      </w:r>
      <w:proofErr w:type="spellStart"/>
      <w:r>
        <w:t>οῶν</w:t>
      </w:r>
      <w:proofErr w:type="spellEnd"/>
      <w:r>
        <w:t xml:space="preserve"> καὶ </w:t>
      </w:r>
      <w:proofErr w:type="spellStart"/>
      <w:r>
        <w:t>ἀμνὸν</w:t>
      </w:r>
      <w:proofErr w:type="spellEnd"/>
      <w:r>
        <w:t xml:space="preserve"> </w:t>
      </w:r>
      <w:proofErr w:type="spellStart"/>
      <w:r>
        <w:t>ἐκ</w:t>
      </w:r>
      <w:proofErr w:type="spellEnd"/>
      <w:r>
        <w:t xml:space="preserve"> π</w:t>
      </w:r>
      <w:proofErr w:type="spellStart"/>
      <w:r>
        <w:t>ρο</w:t>
      </w:r>
      <w:proofErr w:type="spellEnd"/>
      <w:r>
        <w:t xml:space="preserve">βάτων καὶ </w:t>
      </w:r>
      <w:proofErr w:type="spellStart"/>
      <w:r>
        <w:t>χίμ</w:t>
      </w:r>
      <w:proofErr w:type="spellEnd"/>
      <w:r>
        <w:t xml:space="preserve">αρον </w:t>
      </w:r>
      <w:proofErr w:type="spellStart"/>
      <w:r>
        <w:t>ἐξ</w:t>
      </w:r>
      <w:proofErr w:type="spellEnd"/>
      <w:r>
        <w:t xml:space="preserve"> α</w:t>
      </w:r>
      <w:proofErr w:type="spellStart"/>
      <w:r>
        <w:t>ἰγῶν</w:t>
      </w:r>
      <w:proofErr w:type="spellEnd"/>
      <w:r>
        <w:t xml:space="preserve"> (Kalb aus Rindern, Lamm aus Schafen, Ziegenbock aus Ziegen) die knappen hebräischen Begriffe </w:t>
      </w:r>
      <w:r>
        <w:rPr>
          <w:rtl/>
        </w:rPr>
        <w:t>שׁוֹר שֵׂה כְשָׂבִים וְשֵׂה עִזִּים</w:t>
      </w:r>
      <w:r>
        <w:t xml:space="preserve"> durch präzisierende Genitivkonstruktionen.</w:t>
      </w:r>
    </w:p>
    <w:p w14:paraId="7413EA93" w14:textId="75716AA2" w:rsidR="00864B28" w:rsidRDefault="0091730D" w:rsidP="00724090">
      <w:pPr>
        <w:pStyle w:val="whitespace-normal"/>
      </w:pPr>
      <w:r>
        <w:rPr>
          <w:rStyle w:val="Fett"/>
        </w:rPr>
        <w:t>Die LXX</w:t>
      </w:r>
      <w:r>
        <w:t xml:space="preserve"> übersetzt die Wildtiere mit </w:t>
      </w:r>
      <w:proofErr w:type="spellStart"/>
      <w:r>
        <w:t>ἔλ</w:t>
      </w:r>
      <w:proofErr w:type="spellEnd"/>
      <w:r>
        <w:t xml:space="preserve">αφον καὶ </w:t>
      </w:r>
      <w:proofErr w:type="spellStart"/>
      <w:r>
        <w:t>δορκάδ</w:t>
      </w:r>
      <w:proofErr w:type="spellEnd"/>
      <w:r>
        <w:t>α καὶ β</w:t>
      </w:r>
      <w:proofErr w:type="spellStart"/>
      <w:r>
        <w:t>ού</w:t>
      </w:r>
      <w:proofErr w:type="spellEnd"/>
      <w:r>
        <w:t xml:space="preserve">βαλον καὶ </w:t>
      </w:r>
      <w:proofErr w:type="spellStart"/>
      <w:r>
        <w:t>τρ</w:t>
      </w:r>
      <w:proofErr w:type="spellEnd"/>
      <w:r>
        <w:t>αγέλαφον καὶ π</w:t>
      </w:r>
      <w:proofErr w:type="spellStart"/>
      <w:r>
        <w:t>ύγ</w:t>
      </w:r>
      <w:proofErr w:type="spellEnd"/>
      <w:r>
        <w:t xml:space="preserve">αργον καὶ </w:t>
      </w:r>
      <w:proofErr w:type="spellStart"/>
      <w:r>
        <w:t>ὄρυγ</w:t>
      </w:r>
      <w:proofErr w:type="spellEnd"/>
      <w:r>
        <w:t>α καὶ κα</w:t>
      </w:r>
      <w:proofErr w:type="spellStart"/>
      <w:r>
        <w:t>μηλο</w:t>
      </w:r>
      <w:proofErr w:type="spellEnd"/>
      <w:r>
        <w:t xml:space="preserve">πάρδαλιν (Hirsch und Gazelle und Büffel und Bockhirsch und Weißsteißantilope und </w:t>
      </w:r>
      <w:proofErr w:type="spellStart"/>
      <w:r>
        <w:t>Oryx</w:t>
      </w:r>
      <w:proofErr w:type="spellEnd"/>
      <w:r>
        <w:t xml:space="preserve"> und Giraffe) für </w:t>
      </w:r>
      <w:r>
        <w:rPr>
          <w:rtl/>
        </w:rPr>
        <w:t>אַיָּל וּצְבִי וְיַחְמוּר וְאַקּוֹ וְדִישֹׁן וּתְאוֹ וָזָמֶר</w:t>
      </w:r>
      <w:r>
        <w:t>. Die Identifikation einzelner Tierarten ist teilweise unsicher – besonders bemerkenswert ist κα</w:t>
      </w:r>
      <w:proofErr w:type="spellStart"/>
      <w:r>
        <w:t>μηλο</w:t>
      </w:r>
      <w:proofErr w:type="spellEnd"/>
      <w:r>
        <w:t xml:space="preserve">πάρδαλις (Giraffe) für </w:t>
      </w:r>
      <w:r>
        <w:rPr>
          <w:rtl/>
        </w:rPr>
        <w:t>זָמֶר</w:t>
      </w:r>
      <w:r>
        <w:t>, was zeigt, dass die Übersetzer versuchten, die hebräischen Tiernamen mit ihnen bekannten Tieren zu identifizieren.</w:t>
      </w:r>
    </w:p>
    <w:p w14:paraId="38C3A0F4" w14:textId="77777777" w:rsidR="00724090" w:rsidRDefault="00724090" w:rsidP="00724090">
      <w:pPr>
        <w:pStyle w:val="whitespace-normal"/>
      </w:pPr>
      <w:r>
        <w:rPr>
          <w:rStyle w:val="Fett"/>
          <w:rFonts w:eastAsiaTheme="majorEastAsia"/>
        </w:rPr>
        <w:t>Die Satzstruktur</w:t>
      </w:r>
      <w:r>
        <w:t xml:space="preserve"> besteht aus einem deiktischen Nominalsatz mit Relativsatz und Aufzählung: Demonstrativpronomen (dies), Subjekt (die Tiere), Relativsatz (die ihr essen dürft); Aufzählung von zehn Tieren in V. 4-5.</w:t>
      </w:r>
    </w:p>
    <w:p w14:paraId="440273DA" w14:textId="77777777" w:rsidR="00724090" w:rsidRDefault="00724090" w:rsidP="00724090">
      <w:pPr>
        <w:pStyle w:val="whitespace-normal"/>
      </w:pPr>
      <w:r>
        <w:t>Die Verse listen zehn erlaubte Tiere auf: drei Haustiere und sieben Wildtiere, die Israel essen darf.</w:t>
      </w:r>
    </w:p>
    <w:p w14:paraId="2D23496A" w14:textId="77777777" w:rsidR="00724090" w:rsidRPr="009C316F" w:rsidRDefault="00724090" w:rsidP="00724090">
      <w:pPr>
        <w:pStyle w:val="berschrift1"/>
        <w:rPr>
          <w:rFonts w:ascii="Times New Roman" w:hAnsi="Times New Roman"/>
          <w:color w:val="auto"/>
          <w:sz w:val="36"/>
          <w:szCs w:val="36"/>
        </w:rPr>
      </w:pPr>
      <w:r w:rsidRPr="009C316F">
        <w:rPr>
          <w:rStyle w:val="Fett"/>
          <w:rFonts w:ascii="Times New Roman" w:hAnsi="Times New Roman"/>
          <w:color w:val="auto"/>
          <w:sz w:val="36"/>
          <w:szCs w:val="36"/>
        </w:rPr>
        <w:t>Deuteronomium 14,6</w:t>
      </w:r>
    </w:p>
    <w:p w14:paraId="3DC42B78" w14:textId="77777777" w:rsidR="00724090" w:rsidRDefault="00724090" w:rsidP="00724090">
      <w:pPr>
        <w:pStyle w:val="whitespace-normal"/>
      </w:pPr>
      <w:r>
        <w:rPr>
          <w:rStyle w:val="Fett"/>
          <w:rFonts w:eastAsiaTheme="majorEastAsia"/>
        </w:rPr>
        <w:t>Hebräisch:</w:t>
      </w:r>
      <w:r>
        <w:t xml:space="preserve"> </w:t>
      </w:r>
      <w:r>
        <w:rPr>
          <w:rtl/>
        </w:rPr>
        <w:t>וְכָל־בְּהֵמָ֞ה מַפְרֶ֣סֶת פַּרְסָ֗ה וְשֹׁסַ֤עַת שֶׁ֨סַע֙ שְׁתֵּ֣י פְרָס֔וֹת מַעֲלַ֥ת גֵּרָ֖ה בַּבְּהֵמָ֑ה אֹתָ֖הּ תֹּאכֵֽלוּ׃</w:t>
      </w:r>
    </w:p>
    <w:p w14:paraId="29C46AC5" w14:textId="449EF138" w:rsidR="00724090" w:rsidRDefault="00724090" w:rsidP="00724090">
      <w:pPr>
        <w:pStyle w:val="whitespace-normal"/>
      </w:pPr>
      <w:r>
        <w:rPr>
          <w:rStyle w:val="Fett"/>
          <w:rFonts w:eastAsiaTheme="majorEastAsia"/>
        </w:rPr>
        <w:t>Deutsch:</w:t>
      </w:r>
      <w:r>
        <w:t xml:space="preserve"> Und jedes Tier, das gespaltene Hufe hat, und zwar beide Hufe ganz durchgespalten, und das wiederkäut unter den Tieren, das dürft ihr essen.</w:t>
      </w:r>
    </w:p>
    <w:p w14:paraId="2098BCF3" w14:textId="30D240F6" w:rsidR="009C316F" w:rsidRDefault="004F5CEB" w:rsidP="00724090">
      <w:pPr>
        <w:pStyle w:val="whitespace-normal"/>
      </w:pPr>
      <w:r>
        <w:rPr>
          <w:noProof/>
        </w:rPr>
        <w:pict w14:anchorId="10FF64FF">
          <v:rect id="_x0000_i1427" style="width:0;height:1.5pt" o:hralign="center" o:hrstd="t" o:hr="t" fillcolor="#a0a0a0" stroked="f"/>
        </w:pict>
      </w:r>
    </w:p>
    <w:p w14:paraId="6F40C8AD" w14:textId="77777777" w:rsidR="00724090" w:rsidRDefault="00724090" w:rsidP="00724090">
      <w:pPr>
        <w:pStyle w:val="whitespace-normal"/>
      </w:pPr>
      <w:r>
        <w:rPr>
          <w:rStyle w:val="Fett"/>
          <w:rFonts w:eastAsiaTheme="majorEastAsia"/>
        </w:rPr>
        <w:t>Kommentar:</w:t>
      </w:r>
      <w:r>
        <w:t xml:space="preserve"> </w:t>
      </w:r>
      <w:r>
        <w:rPr>
          <w:rStyle w:val="Fett"/>
          <w:rFonts w:eastAsiaTheme="majorEastAsia"/>
          <w:rtl/>
        </w:rPr>
        <w:t>וְכָל־בְּהֵמָה מַפְרֶסֶת פַּרְסָה וְשֹׁסַעַת שֶׁסַע שְׁתֵּי פְרָסוֹת מַעֲלַת גֵּרָה בַּבְּהֵמָה אֹתָהּ תֹּאכֵלוּ</w:t>
      </w:r>
      <w:r>
        <w:rPr>
          <w:rtl/>
        </w:rPr>
        <w:t xml:space="preserve"> </w:t>
      </w:r>
      <w:r>
        <w:t xml:space="preserve">ist ein Satz mit mehrfach qualifiziertem Subjekt: </w:t>
      </w:r>
      <w:r>
        <w:rPr>
          <w:rStyle w:val="Fett"/>
          <w:rFonts w:eastAsiaTheme="majorEastAsia"/>
          <w:rtl/>
        </w:rPr>
        <w:t>וְכָל־בְּהֵמָה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כֹּל</w:t>
      </w:r>
      <w:r>
        <w:t xml:space="preserve">, „jedes", im Construct mit </w:t>
      </w:r>
      <w:r>
        <w:rPr>
          <w:rStyle w:val="Fett"/>
          <w:rFonts w:eastAsiaTheme="majorEastAsia"/>
          <w:rtl/>
        </w:rPr>
        <w:t>בְּהֵמָה</w:t>
      </w:r>
      <w:r>
        <w:t xml:space="preserve">, „Tier") als Subjekt, </w:t>
      </w:r>
      <w:r>
        <w:rPr>
          <w:rStyle w:val="Fett"/>
          <w:rFonts w:eastAsiaTheme="majorEastAsia"/>
          <w:rtl/>
        </w:rPr>
        <w:t>מַפְרֶסֶת פַּרְסָה</w:t>
      </w:r>
      <w:r>
        <w:rPr>
          <w:rtl/>
        </w:rPr>
        <w:t xml:space="preserve"> </w:t>
      </w:r>
      <w:r>
        <w:t xml:space="preserve">(Hiphil Partizip feminin Singular von </w:t>
      </w:r>
      <w:r>
        <w:rPr>
          <w:rStyle w:val="Fett"/>
          <w:rFonts w:eastAsiaTheme="majorEastAsia"/>
          <w:rtl/>
        </w:rPr>
        <w:t>פרס</w:t>
      </w:r>
      <w:r>
        <w:t xml:space="preserve">, „spalten", mit direktem Objekt </w:t>
      </w:r>
      <w:r>
        <w:rPr>
          <w:rStyle w:val="Fett"/>
          <w:rFonts w:eastAsiaTheme="majorEastAsia"/>
          <w:rtl/>
        </w:rPr>
        <w:t>פַּרְסָה</w:t>
      </w:r>
      <w:r>
        <w:t xml:space="preserve">, „Huf", „die spaltet den Huf, die gespaltene Hufe </w:t>
      </w:r>
      <w:r>
        <w:lastRenderedPageBreak/>
        <w:t xml:space="preserve">hat") als erste Qualifikation, </w:t>
      </w:r>
      <w:r>
        <w:rPr>
          <w:rStyle w:val="Fett"/>
          <w:rFonts w:eastAsiaTheme="majorEastAsia"/>
          <w:rtl/>
        </w:rPr>
        <w:t>וְשֹׁסַעַת שֶׁסַע שְׁתֵּי פְרָסוֹת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שׁסע</w:t>
      </w:r>
      <w:r>
        <w:t xml:space="preserve">, Qal Partizip feminin Singular von </w:t>
      </w:r>
      <w:r>
        <w:rPr>
          <w:rStyle w:val="Fett"/>
          <w:rFonts w:eastAsiaTheme="majorEastAsia"/>
          <w:rtl/>
        </w:rPr>
        <w:t>שׁסע</w:t>
      </w:r>
      <w:r>
        <w:t xml:space="preserve">, „spalten, durchspalten", </w:t>
      </w:r>
      <w:r>
        <w:rPr>
          <w:rStyle w:val="Fett"/>
          <w:rFonts w:eastAsiaTheme="majorEastAsia"/>
          <w:rtl/>
        </w:rPr>
        <w:t>שֶׁסַע</w:t>
      </w:r>
      <w:r>
        <w:t xml:space="preserve">, „Spaltung", als innerem Objekt, und </w:t>
      </w:r>
      <w:r>
        <w:rPr>
          <w:rStyle w:val="Fett"/>
          <w:rFonts w:eastAsiaTheme="majorEastAsia"/>
          <w:rtl/>
        </w:rPr>
        <w:t>שְׁתֵּי פְרָסוֹת</w:t>
      </w:r>
      <w:r>
        <w:t xml:space="preserve">, „zwei Hufe", „die durchspaltet die Spaltung von zwei Hufen") als präzisierende zweite Qualifikation, </w:t>
      </w:r>
      <w:r>
        <w:rPr>
          <w:rStyle w:val="Fett"/>
          <w:rFonts w:eastAsiaTheme="majorEastAsia"/>
          <w:rtl/>
        </w:rPr>
        <w:t>מַעֲלַת גֵּרָה</w:t>
      </w:r>
      <w:r>
        <w:rPr>
          <w:rtl/>
        </w:rPr>
        <w:t xml:space="preserve"> </w:t>
      </w:r>
      <w:r>
        <w:t xml:space="preserve">(Hiphil Partizip feminin Singular von </w:t>
      </w:r>
      <w:r>
        <w:rPr>
          <w:rStyle w:val="Fett"/>
          <w:rFonts w:eastAsiaTheme="majorEastAsia"/>
          <w:rtl/>
        </w:rPr>
        <w:t>עלה</w:t>
      </w:r>
      <w:r>
        <w:t xml:space="preserve">, „hinaufgehen", in der Hiphil-Form „hinaufbringen", mit </w:t>
      </w:r>
      <w:r>
        <w:rPr>
          <w:rStyle w:val="Fett"/>
          <w:rFonts w:eastAsiaTheme="majorEastAsia"/>
          <w:rtl/>
        </w:rPr>
        <w:t>גֵּרָה</w:t>
      </w:r>
      <w:r>
        <w:t xml:space="preserve">, „Wiedergekäutes, Kau", „die wiederkäut, die das Wiedergekäute hinaufbringt") als dritte Qualifikation, </w:t>
      </w:r>
      <w:r>
        <w:rPr>
          <w:rStyle w:val="Fett"/>
          <w:rFonts w:eastAsiaTheme="majorEastAsia"/>
          <w:rtl/>
        </w:rPr>
        <w:t>בַּבְּהֵמָה</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בְּהֵמָה</w:t>
      </w:r>
      <w:r>
        <w:t xml:space="preserve">, „Tier", mit Artikel, „unter den Tieren") als Bereichsangabe, </w:t>
      </w:r>
      <w:r>
        <w:rPr>
          <w:rStyle w:val="Fett"/>
          <w:rFonts w:eastAsiaTheme="majorEastAsia"/>
          <w:rtl/>
        </w:rPr>
        <w:t>אֹתָהּ</w:t>
      </w:r>
      <w:r>
        <w:rPr>
          <w:rtl/>
        </w:rPr>
        <w:t xml:space="preserve"> </w:t>
      </w:r>
      <w:r>
        <w:t xml:space="preserve">(Objektpartikel </w:t>
      </w:r>
      <w:r>
        <w:rPr>
          <w:rStyle w:val="Fett"/>
          <w:rFonts w:eastAsiaTheme="majorEastAsia"/>
          <w:rtl/>
        </w:rPr>
        <w:t>אֵת</w:t>
      </w:r>
      <w:r>
        <w:rPr>
          <w:rtl/>
        </w:rPr>
        <w:t xml:space="preserve"> </w:t>
      </w:r>
      <w:r>
        <w:t xml:space="preserve">mit Suffix 3. Person feminin Singular, rückverweisend, betont) als direktes Objekt und </w:t>
      </w:r>
      <w:r>
        <w:rPr>
          <w:rStyle w:val="Fett"/>
          <w:rFonts w:eastAsiaTheme="majorEastAsia"/>
          <w:rtl/>
        </w:rPr>
        <w:t>תֹּאכֵלוּ</w:t>
      </w:r>
      <w:r>
        <w:rPr>
          <w:rtl/>
        </w:rPr>
        <w:t xml:space="preserve"> </w:t>
      </w:r>
      <w:r>
        <w:t xml:space="preserve">(Qal Imperfekt, 2. Person Maskulinum Plural von </w:t>
      </w:r>
      <w:r>
        <w:rPr>
          <w:rStyle w:val="Fett"/>
          <w:rFonts w:eastAsiaTheme="majorEastAsia"/>
          <w:rtl/>
        </w:rPr>
        <w:t>אכל</w:t>
      </w:r>
      <w:r>
        <w:t>, „essen") als Prädikat.</w:t>
      </w:r>
    </w:p>
    <w:p w14:paraId="235F8F22" w14:textId="77777777" w:rsidR="00724090" w:rsidRDefault="00724090" w:rsidP="00724090">
      <w:pPr>
        <w:pStyle w:val="whitespace-normal"/>
      </w:pPr>
      <w:r>
        <w:t xml:space="preserve">Der Vers gibt zwei kumulative Kriterien für reine Tiere: (1) gespaltene Hufe, genauer: vollständig durchgespaltene Hufe, (2) Wiederkäuen. Beide Merkmale müssen vorhanden sein. Die doppelte Formulierung </w:t>
      </w:r>
      <w:r>
        <w:rPr>
          <w:rStyle w:val="Fett"/>
          <w:rFonts w:eastAsiaTheme="majorEastAsia"/>
          <w:rtl/>
        </w:rPr>
        <w:t>מַפְרֶסֶת פַּרְסָה וְשֹׁסַעַת שֶׁסַע שְׁתֵּי פְרָסוֹת</w:t>
      </w:r>
      <w:r>
        <w:rPr>
          <w:rtl/>
        </w:rPr>
        <w:t xml:space="preserve"> </w:t>
      </w:r>
      <w:r>
        <w:t>präzisiert: nicht nur gespaltene, sondern vollständig durchgespaltene Hufe.</w:t>
      </w:r>
    </w:p>
    <w:p w14:paraId="2402CF9D" w14:textId="08473613" w:rsidR="00724090" w:rsidRDefault="00724090" w:rsidP="00724090">
      <w:pPr>
        <w:pStyle w:val="whitespace-normal"/>
      </w:pPr>
      <w:r>
        <w:t xml:space="preserve">Das Verb </w:t>
      </w:r>
      <w:r>
        <w:rPr>
          <w:rStyle w:val="Fett"/>
          <w:rFonts w:eastAsiaTheme="majorEastAsia"/>
          <w:rtl/>
        </w:rPr>
        <w:t>עלה</w:t>
      </w:r>
      <w:r>
        <w:rPr>
          <w:rtl/>
        </w:rPr>
        <w:t xml:space="preserve"> </w:t>
      </w:r>
      <w:r>
        <w:t xml:space="preserve">im Hiphil mit </w:t>
      </w:r>
      <w:r>
        <w:rPr>
          <w:rStyle w:val="Fett"/>
          <w:rFonts w:eastAsiaTheme="majorEastAsia"/>
          <w:rtl/>
        </w:rPr>
        <w:t>גֵּרָה</w:t>
      </w:r>
      <w:r>
        <w:rPr>
          <w:rtl/>
        </w:rPr>
        <w:t xml:space="preserve"> </w:t>
      </w:r>
      <w:r>
        <w:t xml:space="preserve">beschreibt das Wiederkäuen: Das Tier bringt Nahrung wieder hoch, um sie erneut zu kauen. Die Voranstellung des Objekts </w:t>
      </w:r>
      <w:r>
        <w:rPr>
          <w:rStyle w:val="Fett"/>
          <w:rFonts w:eastAsiaTheme="majorEastAsia"/>
          <w:rtl/>
        </w:rPr>
        <w:t>אֹתָהּ</w:t>
      </w:r>
      <w:r>
        <w:rPr>
          <w:rtl/>
        </w:rPr>
        <w:t xml:space="preserve"> </w:t>
      </w:r>
      <w:r>
        <w:t>betont: dieses (und nur dieses) darf gegessen werden. Der Vers fasst das Prinzip zusammen, das die Liste in V. 4-5 konkretisiert hat.</w:t>
      </w:r>
    </w:p>
    <w:p w14:paraId="2EF23013" w14:textId="710EAC42" w:rsidR="0091730D" w:rsidRDefault="0091730D" w:rsidP="00724090">
      <w:pPr>
        <w:pStyle w:val="whitespace-normal"/>
      </w:pPr>
      <w:r>
        <w:rPr>
          <w:rStyle w:val="Fett"/>
        </w:rPr>
        <w:t>Die LXX</w:t>
      </w:r>
      <w:r>
        <w:t xml:space="preserve"> formuliert das Kriterium π</w:t>
      </w:r>
      <w:proofErr w:type="spellStart"/>
      <w:r>
        <w:t>ᾶν</w:t>
      </w:r>
      <w:proofErr w:type="spellEnd"/>
      <w:r>
        <w:t xml:space="preserve"> </w:t>
      </w:r>
      <w:proofErr w:type="spellStart"/>
      <w:r>
        <w:t>κτῆνος</w:t>
      </w:r>
      <w:proofErr w:type="spellEnd"/>
      <w:r>
        <w:t xml:space="preserve"> </w:t>
      </w:r>
      <w:proofErr w:type="spellStart"/>
      <w:r>
        <w:t>διχηλοῦν</w:t>
      </w:r>
      <w:proofErr w:type="spellEnd"/>
      <w:r>
        <w:t xml:space="preserve"> ὁπ</w:t>
      </w:r>
      <w:proofErr w:type="spellStart"/>
      <w:r>
        <w:t>λὴν</w:t>
      </w:r>
      <w:proofErr w:type="spellEnd"/>
      <w:r>
        <w:t xml:space="preserve"> καὶ </w:t>
      </w:r>
      <w:proofErr w:type="spellStart"/>
      <w:r>
        <w:t>ὀνυχιστῆρ</w:t>
      </w:r>
      <w:proofErr w:type="spellEnd"/>
      <w:r>
        <w:t xml:space="preserve">ας </w:t>
      </w:r>
      <w:proofErr w:type="spellStart"/>
      <w:r>
        <w:t>ὀνυχίζον</w:t>
      </w:r>
      <w:proofErr w:type="spellEnd"/>
      <w:r>
        <w:t xml:space="preserve"> </w:t>
      </w:r>
      <w:proofErr w:type="spellStart"/>
      <w:r>
        <w:t>δύο</w:t>
      </w:r>
      <w:proofErr w:type="spellEnd"/>
      <w:r>
        <w:t xml:space="preserve"> </w:t>
      </w:r>
      <w:proofErr w:type="spellStart"/>
      <w:r>
        <w:t>χηλῶν</w:t>
      </w:r>
      <w:proofErr w:type="spellEnd"/>
      <w:r>
        <w:t xml:space="preserve"> (jedes Tier, das den Huf spaltet und Klauen klaut in zwei Hufen) für </w:t>
      </w:r>
      <w:r>
        <w:rPr>
          <w:rtl/>
        </w:rPr>
        <w:t>וְכָל־בְּהֵמָה מַפְרֶסֶת פַּרְסָה וְשֹׁסַעַת שֶׁסַע שְׁתֵּי פְרָסוֹת</w:t>
      </w:r>
      <w:r>
        <w:t xml:space="preserve">, wobei die griechische Formulierung umständlicher ist und die anatomischen Details betont. Die Wendung καὶ </w:t>
      </w:r>
      <w:proofErr w:type="spellStart"/>
      <w:r>
        <w:t>ἀνάγον</w:t>
      </w:r>
      <w:proofErr w:type="spellEnd"/>
      <w:r>
        <w:t xml:space="preserve"> </w:t>
      </w:r>
      <w:proofErr w:type="spellStart"/>
      <w:r>
        <w:t>μηρυκισμὸν</w:t>
      </w:r>
      <w:proofErr w:type="spellEnd"/>
      <w:r>
        <w:t xml:space="preserve"> </w:t>
      </w:r>
      <w:proofErr w:type="spellStart"/>
      <w:r>
        <w:t>ἐν</w:t>
      </w:r>
      <w:proofErr w:type="spellEnd"/>
      <w:r>
        <w:t xml:space="preserve"> </w:t>
      </w:r>
      <w:proofErr w:type="spellStart"/>
      <w:r>
        <w:t>τοῖς</w:t>
      </w:r>
      <w:proofErr w:type="spellEnd"/>
      <w:r>
        <w:t xml:space="preserve"> </w:t>
      </w:r>
      <w:proofErr w:type="spellStart"/>
      <w:r>
        <w:t>κτήνεσιν</w:t>
      </w:r>
      <w:proofErr w:type="spellEnd"/>
      <w:r>
        <w:t xml:space="preserve"> (und das Wiederkäuen wiederkäut unter den Tieren) gibt </w:t>
      </w:r>
      <w:r>
        <w:rPr>
          <w:rtl/>
        </w:rPr>
        <w:t>מַעֲלַת גֵּרָה בַּבְּהֵמָה</w:t>
      </w:r>
      <w:r>
        <w:t xml:space="preserve"> wieder. Der Schluss τα</w:t>
      </w:r>
      <w:proofErr w:type="spellStart"/>
      <w:r>
        <w:t>ῦτ</w:t>
      </w:r>
      <w:proofErr w:type="spellEnd"/>
      <w:r>
        <w:t xml:space="preserve">α </w:t>
      </w:r>
      <w:proofErr w:type="spellStart"/>
      <w:r>
        <w:t>φάγεσθε</w:t>
      </w:r>
      <w:proofErr w:type="spellEnd"/>
      <w:r>
        <w:t xml:space="preserve"> (diese werdet ihr essen) entspricht </w:t>
      </w:r>
      <w:r>
        <w:rPr>
          <w:rtl/>
        </w:rPr>
        <w:t>אֹתָהּ תֹּאכֵלוּ</w:t>
      </w:r>
      <w:r>
        <w:t>.</w:t>
      </w:r>
    </w:p>
    <w:p w14:paraId="1AE37FB9" w14:textId="77777777" w:rsidR="00724090" w:rsidRDefault="00724090" w:rsidP="00724090">
      <w:pPr>
        <w:pStyle w:val="whitespace-normal"/>
      </w:pPr>
      <w:r>
        <w:rPr>
          <w:rStyle w:val="Fett"/>
          <w:rFonts w:eastAsiaTheme="majorEastAsia"/>
        </w:rPr>
        <w:t>Die Satzstruktur</w:t>
      </w:r>
      <w:r>
        <w:t xml:space="preserve"> besteht aus einem Satz mit dreifach qualifiziertem Subjekt und betontem direktem Objekt: Subjekt (jedes Tier), erste Qualifikation (das gespaltene Hufe hat), zweite präzisierende Qualifikation (und ganz durchspaltet die Spaltung von zwei Hufen), dritte Qualifikation (das wiederkäut), Bereichsangabe (unter den Tieren), betontes direktes Objekt (das), Prädikat (dürft ihr essen).</w:t>
      </w:r>
    </w:p>
    <w:p w14:paraId="24A78CD6" w14:textId="77777777" w:rsidR="00724090" w:rsidRDefault="00724090" w:rsidP="00724090">
      <w:pPr>
        <w:pStyle w:val="whitespace-normal"/>
      </w:pPr>
      <w:r>
        <w:t>Der Vers formuliert das doppelte Kriterium für reine Tiere: gespaltene (vollständig durchgespaltene) Hufe und Wiederkäuen – nur Tiere, die beide Merkmale haben, dürfen gegessen werden.</w:t>
      </w:r>
    </w:p>
    <w:p w14:paraId="3B04EB81" w14:textId="77777777" w:rsidR="008068F7" w:rsidRPr="008068F7" w:rsidRDefault="008068F7" w:rsidP="008068F7">
      <w:pPr>
        <w:pStyle w:val="berschrift1"/>
        <w:rPr>
          <w:rFonts w:ascii="Times New Roman" w:hAnsi="Times New Roman"/>
          <w:color w:val="auto"/>
          <w:sz w:val="36"/>
          <w:szCs w:val="36"/>
        </w:rPr>
      </w:pPr>
      <w:r w:rsidRPr="008068F7">
        <w:rPr>
          <w:rStyle w:val="Fett"/>
          <w:rFonts w:ascii="Times New Roman" w:hAnsi="Times New Roman"/>
          <w:color w:val="auto"/>
          <w:sz w:val="36"/>
          <w:szCs w:val="36"/>
        </w:rPr>
        <w:t>Deuteronomium 14,7</w:t>
      </w:r>
    </w:p>
    <w:p w14:paraId="46CB86BC" w14:textId="77777777" w:rsidR="008068F7" w:rsidRDefault="008068F7" w:rsidP="008068F7">
      <w:pPr>
        <w:pStyle w:val="whitespace-normal"/>
      </w:pPr>
      <w:r>
        <w:rPr>
          <w:rStyle w:val="Fett"/>
          <w:rFonts w:eastAsiaTheme="majorEastAsia"/>
        </w:rPr>
        <w:t>Hebräisch:</w:t>
      </w:r>
      <w:r>
        <w:t xml:space="preserve"> </w:t>
      </w:r>
      <w:r>
        <w:rPr>
          <w:rtl/>
        </w:rPr>
        <w:t>אַ֣ךְ אֶת־זֶ֞ה לֹ֤א תֹֽאכְלוּ֙ מִמַּֽעֲלֵ֣י הַגֵּרָ֔ה וּמִמַּפְרִיסֵ֥י הַפַּרְסָ֖ה הַשְּׁסוּעָ֑ה אֶֽת־הַ֠גָּמָל וְאֶת־הָאַרְנֶ֨בֶת וְאֶת־הַשָּׁפָ֜ן כִּֽי־מַעֲלֵ֧ה גֵרָ֣ה הֵ֗מָּה וּפַרְסָה֙ לֹ֣א הִפְרִ֔יסוּ טְמֵאִ֥ים הֵ֖ם לָכֶֽם׃</w:t>
      </w:r>
    </w:p>
    <w:p w14:paraId="08FCB018" w14:textId="77777777" w:rsidR="008068F7" w:rsidRDefault="008068F7" w:rsidP="008068F7">
      <w:pPr>
        <w:pStyle w:val="whitespace-normal"/>
      </w:pPr>
      <w:r>
        <w:rPr>
          <w:rStyle w:val="Fett"/>
          <w:rFonts w:eastAsiaTheme="majorEastAsia"/>
        </w:rPr>
        <w:t>Deutsch:</w:t>
      </w:r>
      <w:r>
        <w:t xml:space="preserve"> Nur diese sollt ihr nicht essen von den wiederkäuenden und von denen, die gespaltene Hufe haben: das Kamel und den Hasen und den Klippdachs; denn sie käuen wieder, aber sie haben keine gespaltenen Hufe: unrein sollen sie euch sein.</w:t>
      </w:r>
    </w:p>
    <w:p w14:paraId="60FC3B5E" w14:textId="77777777" w:rsidR="008068F7" w:rsidRDefault="004F5CEB" w:rsidP="008068F7">
      <w:r>
        <w:rPr>
          <w:noProof/>
        </w:rPr>
        <w:pict w14:anchorId="33B774AC">
          <v:rect id="_x0000_i1428" style="width:0;height:1.5pt" o:hralign="center" o:hrstd="t" o:hr="t" fillcolor="#a0a0a0" stroked="f"/>
        </w:pict>
      </w:r>
    </w:p>
    <w:p w14:paraId="477E7D42" w14:textId="77777777" w:rsidR="008068F7" w:rsidRDefault="008068F7" w:rsidP="008068F7">
      <w:pPr>
        <w:pStyle w:val="whitespace-normal"/>
      </w:pPr>
      <w:r>
        <w:rPr>
          <w:rStyle w:val="Fett"/>
          <w:rFonts w:eastAsiaTheme="majorEastAsia"/>
        </w:rPr>
        <w:lastRenderedPageBreak/>
        <w:t>Kommentar:</w:t>
      </w:r>
      <w:r>
        <w:t xml:space="preserve"> </w:t>
      </w:r>
      <w:r>
        <w:rPr>
          <w:rStyle w:val="Fett"/>
          <w:rFonts w:eastAsiaTheme="majorEastAsia"/>
          <w:rtl/>
        </w:rPr>
        <w:t>אַךְ אֶת־זֶה לֹא תֹאכְלוּ מִמַּעֲלֵי הַגֵּרָה וּמִמַּפְרִיסֵי הַפַּרְסָה הַשְּׁסוּעָה</w:t>
      </w:r>
      <w:r>
        <w:rPr>
          <w:rtl/>
        </w:rPr>
        <w:t xml:space="preserve"> </w:t>
      </w:r>
      <w:r>
        <w:t xml:space="preserve">ist ein negativer Imperativsatz mit doppelter Herkunftsangabe: </w:t>
      </w:r>
      <w:r>
        <w:rPr>
          <w:rStyle w:val="Fett"/>
          <w:rFonts w:eastAsiaTheme="majorEastAsia"/>
          <w:rtl/>
        </w:rPr>
        <w:t>אַךְ</w:t>
      </w:r>
      <w:r>
        <w:rPr>
          <w:rtl/>
        </w:rPr>
        <w:t xml:space="preserve"> </w:t>
      </w:r>
      <w:r>
        <w:t xml:space="preserve">(„nur, jedoch") als restriktive Partikel, </w:t>
      </w:r>
      <w:r>
        <w:rPr>
          <w:rStyle w:val="Fett"/>
          <w:rFonts w:eastAsiaTheme="majorEastAsia"/>
          <w:rtl/>
        </w:rPr>
        <w:t>אֶת־זֶה</w:t>
      </w:r>
      <w:r>
        <w:rPr>
          <w:rtl/>
        </w:rPr>
        <w:t xml:space="preserve"> </w:t>
      </w:r>
      <w:r>
        <w:t xml:space="preserve">(Objektpartikel </w:t>
      </w:r>
      <w:r>
        <w:rPr>
          <w:rStyle w:val="Fett"/>
          <w:rFonts w:eastAsiaTheme="majorEastAsia"/>
          <w:rtl/>
        </w:rPr>
        <w:t>אֵת</w:t>
      </w:r>
      <w:r>
        <w:rPr>
          <w:rtl/>
        </w:rPr>
        <w:t xml:space="preserve"> </w:t>
      </w:r>
      <w:r>
        <w:t xml:space="preserve">mit Demonstrativpronomen </w:t>
      </w:r>
      <w:r>
        <w:rPr>
          <w:rStyle w:val="Fett"/>
          <w:rFonts w:eastAsiaTheme="majorEastAsia"/>
          <w:rtl/>
        </w:rPr>
        <w:t>זֶה</w:t>
      </w:r>
      <w:r>
        <w:t xml:space="preserve">, „dies, diese") als vorangestelltes direktes Objekt, </w:t>
      </w:r>
      <w:r>
        <w:rPr>
          <w:rStyle w:val="Fett"/>
          <w:rFonts w:eastAsiaTheme="majorEastAsia"/>
          <w:rtl/>
        </w:rPr>
        <w:t>לֹא תֹאכְלוּ</w:t>
      </w:r>
      <w:r>
        <w:rPr>
          <w:rtl/>
        </w:rPr>
        <w:t xml:space="preserve"> </w:t>
      </w:r>
      <w:r>
        <w:t xml:space="preserve">(Negation </w:t>
      </w:r>
      <w:r>
        <w:rPr>
          <w:rStyle w:val="Fett"/>
          <w:rFonts w:eastAsiaTheme="majorEastAsia"/>
          <w:rtl/>
        </w:rPr>
        <w:t>לֹא</w:t>
      </w:r>
      <w:r>
        <w:rPr>
          <w:rtl/>
        </w:rPr>
        <w:t xml:space="preserve"> </w:t>
      </w:r>
      <w:r>
        <w:t xml:space="preserve">mit </w:t>
      </w:r>
      <w:r>
        <w:rPr>
          <w:rStyle w:val="Fett"/>
          <w:rFonts w:eastAsiaTheme="majorEastAsia"/>
          <w:rtl/>
        </w:rPr>
        <w:t>אכל</w:t>
      </w:r>
      <w:r>
        <w:t xml:space="preserve">, Qal Imperfekt, 2. Person Maskulinum Plural, „essen"), </w:t>
      </w:r>
      <w:r>
        <w:rPr>
          <w:rStyle w:val="Fett"/>
          <w:rFonts w:eastAsiaTheme="majorEastAsia"/>
          <w:rtl/>
        </w:rPr>
        <w:t>מִמַּעֲלֵי הַגֵּרָה</w:t>
      </w:r>
      <w:r>
        <w:rPr>
          <w:rtl/>
        </w:rPr>
        <w:t xml:space="preserve"> </w:t>
      </w:r>
      <w:r>
        <w:t xml:space="preserve">(Präposition </w:t>
      </w:r>
      <w:r>
        <w:rPr>
          <w:rStyle w:val="Fett"/>
          <w:rFonts w:eastAsiaTheme="majorEastAsia"/>
          <w:rtl/>
        </w:rPr>
        <w:t>מִן</w:t>
      </w:r>
      <w:r>
        <w:t xml:space="preserve">, „von", mit </w:t>
      </w:r>
      <w:r>
        <w:rPr>
          <w:rStyle w:val="Fett"/>
          <w:rFonts w:eastAsiaTheme="majorEastAsia"/>
          <w:rtl/>
        </w:rPr>
        <w:t>עלה</w:t>
      </w:r>
      <w:r>
        <w:t xml:space="preserve">, Hiphil Partizip Maskulinum Plural von </w:t>
      </w:r>
      <w:r>
        <w:rPr>
          <w:rStyle w:val="Fett"/>
          <w:rFonts w:eastAsiaTheme="majorEastAsia"/>
          <w:rtl/>
        </w:rPr>
        <w:t>עלה</w:t>
      </w:r>
      <w:r>
        <w:t xml:space="preserve">, „hinaufbringen", Construct mit </w:t>
      </w:r>
      <w:r>
        <w:rPr>
          <w:rStyle w:val="Fett"/>
          <w:rFonts w:eastAsiaTheme="majorEastAsia"/>
          <w:rtl/>
        </w:rPr>
        <w:t>גֵּרָה</w:t>
      </w:r>
      <w:r>
        <w:t xml:space="preserve">, „Wiedergekäutes", mit Artikel, „von den wiederkäuenden") als erste Herkunftsangabe und </w:t>
      </w:r>
      <w:r>
        <w:rPr>
          <w:rStyle w:val="Fett"/>
          <w:rFonts w:eastAsiaTheme="majorEastAsia"/>
          <w:rtl/>
        </w:rPr>
        <w:t>וּמִמַּפְרִיסֵי הַפַּרְסָה הַשְּׁסוּעָה</w:t>
      </w:r>
      <w:r>
        <w:rPr>
          <w:rtl/>
        </w:rPr>
        <w:t xml:space="preserve"> </w:t>
      </w:r>
      <w:r>
        <w:t xml:space="preserve">(koordiniert durch </w:t>
      </w:r>
      <w:r>
        <w:rPr>
          <w:rStyle w:val="Fett"/>
          <w:rFonts w:eastAsiaTheme="majorEastAsia"/>
          <w:rtl/>
        </w:rPr>
        <w:t>וּמִן</w:t>
      </w:r>
      <w:r>
        <w:rPr>
          <w:rtl/>
        </w:rPr>
        <w:t xml:space="preserve"> </w:t>
      </w:r>
      <w:r>
        <w:t xml:space="preserve">mit </w:t>
      </w:r>
      <w:r>
        <w:rPr>
          <w:rStyle w:val="Fett"/>
          <w:rFonts w:eastAsiaTheme="majorEastAsia"/>
          <w:rtl/>
        </w:rPr>
        <w:t>פרס</w:t>
      </w:r>
      <w:r>
        <w:t xml:space="preserve">, Hiphil Partizip Maskulinum Plural, Construct mit </w:t>
      </w:r>
      <w:r>
        <w:rPr>
          <w:rStyle w:val="Fett"/>
          <w:rFonts w:eastAsiaTheme="majorEastAsia"/>
          <w:rtl/>
        </w:rPr>
        <w:t>פַּרְסָה</w:t>
      </w:r>
      <w:r>
        <w:t xml:space="preserve">, „Huf", mit Artikel, qualifiziert durch </w:t>
      </w:r>
      <w:r>
        <w:rPr>
          <w:rStyle w:val="Fett"/>
          <w:rFonts w:eastAsiaTheme="majorEastAsia"/>
          <w:rtl/>
        </w:rPr>
        <w:t>שׁסע</w:t>
      </w:r>
      <w:r>
        <w:t xml:space="preserve">, Qal Partizip Passiv feminin Singular </w:t>
      </w:r>
      <w:r>
        <w:rPr>
          <w:rStyle w:val="Fett"/>
          <w:rFonts w:eastAsiaTheme="majorEastAsia"/>
          <w:rtl/>
        </w:rPr>
        <w:t>הַשְּׁסוּעָה</w:t>
      </w:r>
      <w:r>
        <w:t>, „die gespaltene", mit Artikel, „und von denen, die den gespaltenen Huf spalten") als zweite Herkunftsangabe.</w:t>
      </w:r>
    </w:p>
    <w:p w14:paraId="5A982D55" w14:textId="77777777" w:rsidR="008068F7" w:rsidRDefault="008068F7" w:rsidP="008068F7">
      <w:pPr>
        <w:pStyle w:val="whitespace-normal"/>
      </w:pPr>
      <w:r>
        <w:rPr>
          <w:rStyle w:val="Fett"/>
          <w:rFonts w:eastAsiaTheme="majorEastAsia"/>
          <w:rtl/>
        </w:rPr>
        <w:t>אֶת־הַגָּמָל וְאֶת־הָאַרְנֶבֶת וְאֶת־הַשָּׁפָן</w:t>
      </w:r>
      <w:r>
        <w:rPr>
          <w:rtl/>
        </w:rPr>
        <w:t xml:space="preserve"> </w:t>
      </w:r>
      <w:r>
        <w:t xml:space="preserve">ist eine dreigliedrige Aufzählung: </w:t>
      </w:r>
      <w:r>
        <w:rPr>
          <w:rStyle w:val="Fett"/>
          <w:rFonts w:eastAsiaTheme="majorEastAsia"/>
          <w:rtl/>
        </w:rPr>
        <w:t>אֶת־הַגָּמָל</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גָּמָל</w:t>
      </w:r>
      <w:r>
        <w:t xml:space="preserve">, „Kamel", mit Artikel), koordiniert durch </w:t>
      </w:r>
      <w:r>
        <w:rPr>
          <w:rStyle w:val="Fett"/>
          <w:rFonts w:eastAsiaTheme="majorEastAsia"/>
          <w:rtl/>
        </w:rPr>
        <w:t>וְאֶת</w:t>
      </w:r>
      <w:r>
        <w:rPr>
          <w:rtl/>
        </w:rPr>
        <w:t xml:space="preserve"> </w:t>
      </w:r>
      <w:r>
        <w:t xml:space="preserve">mit </w:t>
      </w:r>
      <w:r>
        <w:rPr>
          <w:rStyle w:val="Fett"/>
          <w:rFonts w:eastAsiaTheme="majorEastAsia"/>
          <w:rtl/>
        </w:rPr>
        <w:t>הָאַרְנֶבֶת</w:t>
      </w:r>
      <w:r>
        <w:rPr>
          <w:rtl/>
        </w:rPr>
        <w:t xml:space="preserve"> </w:t>
      </w:r>
      <w:r>
        <w:t>(</w:t>
      </w:r>
      <w:r>
        <w:rPr>
          <w:rStyle w:val="Fett"/>
          <w:rFonts w:eastAsiaTheme="majorEastAsia"/>
          <w:rtl/>
        </w:rPr>
        <w:t>אַרְנֶבֶת</w:t>
      </w:r>
      <w:r>
        <w:t xml:space="preserve">, „Hase", mit Artikel) und </w:t>
      </w:r>
      <w:r>
        <w:rPr>
          <w:rStyle w:val="Fett"/>
          <w:rFonts w:eastAsiaTheme="majorEastAsia"/>
          <w:rtl/>
        </w:rPr>
        <w:t>וְאֶת־הַשָּׁפָן</w:t>
      </w:r>
      <w:r>
        <w:rPr>
          <w:rtl/>
        </w:rPr>
        <w:t xml:space="preserve"> </w:t>
      </w:r>
      <w:r>
        <w:t>(</w:t>
      </w:r>
      <w:r>
        <w:rPr>
          <w:rStyle w:val="Fett"/>
          <w:rFonts w:eastAsiaTheme="majorEastAsia"/>
          <w:rtl/>
        </w:rPr>
        <w:t>שָׁפָן</w:t>
      </w:r>
      <w:r>
        <w:t>, „Klippdachs, Klippschliefer", mit Artikel).</w:t>
      </w:r>
    </w:p>
    <w:p w14:paraId="1B100659" w14:textId="77777777" w:rsidR="008068F7" w:rsidRDefault="008068F7" w:rsidP="008068F7">
      <w:pPr>
        <w:pStyle w:val="whitespace-normal"/>
      </w:pPr>
      <w:r>
        <w:rPr>
          <w:rStyle w:val="Fett"/>
          <w:rFonts w:eastAsiaTheme="majorEastAsia"/>
          <w:rtl/>
        </w:rPr>
        <w:t>כִּי־מַעֲלֵה גֵרָה הֵמָּה וּפַרְסָה לֹא הִפְרִיסוּ</w:t>
      </w:r>
      <w:r>
        <w:rPr>
          <w:rtl/>
        </w:rPr>
        <w:t xml:space="preserve"> </w:t>
      </w:r>
      <w:r>
        <w:t xml:space="preserve">ist die kausale Begründung: </w:t>
      </w:r>
      <w:r>
        <w:rPr>
          <w:rStyle w:val="Fett"/>
          <w:rFonts w:eastAsiaTheme="majorEastAsia"/>
          <w:rtl/>
        </w:rPr>
        <w:t>כִּי</w:t>
      </w:r>
      <w:r>
        <w:rPr>
          <w:rtl/>
        </w:rPr>
        <w:t xml:space="preserve"> </w:t>
      </w:r>
      <w:r>
        <w:t xml:space="preserve">(„denn, weil") als kausale Konjunktion, </w:t>
      </w:r>
      <w:r>
        <w:rPr>
          <w:rStyle w:val="Fett"/>
          <w:rFonts w:eastAsiaTheme="majorEastAsia"/>
          <w:rtl/>
        </w:rPr>
        <w:t>מַעֲלֵה גֵרָה</w:t>
      </w:r>
      <w:r>
        <w:rPr>
          <w:rtl/>
        </w:rPr>
        <w:t xml:space="preserve"> </w:t>
      </w:r>
      <w:r>
        <w:t xml:space="preserve">(Hiphil Partizip Maskulinum Plural von </w:t>
      </w:r>
      <w:r>
        <w:rPr>
          <w:rStyle w:val="Fett"/>
          <w:rFonts w:eastAsiaTheme="majorEastAsia"/>
          <w:rtl/>
        </w:rPr>
        <w:t>עלה</w:t>
      </w:r>
      <w:r>
        <w:rPr>
          <w:rtl/>
        </w:rPr>
        <w:t xml:space="preserve"> </w:t>
      </w:r>
      <w:r>
        <w:t xml:space="preserve">mit </w:t>
      </w:r>
      <w:r>
        <w:rPr>
          <w:rStyle w:val="Fett"/>
          <w:rFonts w:eastAsiaTheme="majorEastAsia"/>
          <w:rtl/>
        </w:rPr>
        <w:t>גֵּרָה</w:t>
      </w:r>
      <w:r>
        <w:t xml:space="preserve">, „wiederkäuend") als Prädikatsnomen, </w:t>
      </w:r>
      <w:r>
        <w:rPr>
          <w:rStyle w:val="Fett"/>
          <w:rFonts w:eastAsiaTheme="majorEastAsia"/>
          <w:rtl/>
        </w:rPr>
        <w:t>הֵמָּה</w:t>
      </w:r>
      <w:r>
        <w:rPr>
          <w:rtl/>
        </w:rPr>
        <w:t xml:space="preserve"> </w:t>
      </w:r>
      <w:r>
        <w:t xml:space="preserve">(Personalpronomen 3. Person Plural, „sie") als Subjekt, koordiniert durch </w:t>
      </w:r>
      <w:r>
        <w:rPr>
          <w:rStyle w:val="Fett"/>
          <w:rFonts w:eastAsiaTheme="majorEastAsia"/>
          <w:rtl/>
        </w:rPr>
        <w:t>וּ</w:t>
      </w:r>
      <w:r>
        <w:rPr>
          <w:rtl/>
        </w:rPr>
        <w:t xml:space="preserve"> </w:t>
      </w:r>
      <w:r>
        <w:t xml:space="preserve">mit </w:t>
      </w:r>
      <w:r>
        <w:rPr>
          <w:rStyle w:val="Fett"/>
          <w:rFonts w:eastAsiaTheme="majorEastAsia"/>
          <w:rtl/>
        </w:rPr>
        <w:t>פַרְסָה לֹא הִפְרִיסוּ</w:t>
      </w:r>
      <w:r>
        <w:rPr>
          <w:rtl/>
        </w:rPr>
        <w:t xml:space="preserve"> </w:t>
      </w:r>
      <w:r>
        <w:t>(</w:t>
      </w:r>
      <w:r>
        <w:rPr>
          <w:rStyle w:val="Fett"/>
          <w:rFonts w:eastAsiaTheme="majorEastAsia"/>
          <w:rtl/>
        </w:rPr>
        <w:t>פַּרְסָה</w:t>
      </w:r>
      <w:r>
        <w:t xml:space="preserve">, „Huf", als vorangestelltes direktes Objekt, </w:t>
      </w:r>
      <w:r>
        <w:rPr>
          <w:rStyle w:val="Fett"/>
          <w:rFonts w:eastAsiaTheme="majorEastAsia"/>
          <w:rtl/>
        </w:rPr>
        <w:t>לֹא</w:t>
      </w:r>
      <w:r>
        <w:rPr>
          <w:rtl/>
        </w:rPr>
        <w:t xml:space="preserve"> </w:t>
      </w:r>
      <w:r>
        <w:t xml:space="preserve">als Negation und </w:t>
      </w:r>
      <w:r>
        <w:rPr>
          <w:rStyle w:val="Fett"/>
          <w:rFonts w:eastAsiaTheme="majorEastAsia"/>
          <w:rtl/>
        </w:rPr>
        <w:t>הִפְרִיסוּ</w:t>
      </w:r>
      <w:r>
        <w:t xml:space="preserve">, Hiphil Perfekt, 3. Person Plural von </w:t>
      </w:r>
      <w:r>
        <w:rPr>
          <w:rStyle w:val="Fett"/>
          <w:rFonts w:eastAsiaTheme="majorEastAsia"/>
          <w:rtl/>
        </w:rPr>
        <w:t>פרס</w:t>
      </w:r>
      <w:r>
        <w:t>, „spalten", „aber den Huf haben sie nicht gespalten").</w:t>
      </w:r>
    </w:p>
    <w:p w14:paraId="50D05075" w14:textId="77777777" w:rsidR="008068F7" w:rsidRDefault="008068F7" w:rsidP="008068F7">
      <w:pPr>
        <w:pStyle w:val="whitespace-normal"/>
      </w:pPr>
      <w:r>
        <w:rPr>
          <w:rStyle w:val="Fett"/>
          <w:rFonts w:eastAsiaTheme="majorEastAsia"/>
          <w:rtl/>
        </w:rPr>
        <w:t>טְמֵאִים הֵם לָכֶם</w:t>
      </w:r>
      <w:r>
        <w:rPr>
          <w:rtl/>
        </w:rPr>
        <w:t xml:space="preserve"> </w:t>
      </w:r>
      <w:r>
        <w:t xml:space="preserve">ist ein Nominalsatz: </w:t>
      </w:r>
      <w:r>
        <w:rPr>
          <w:rStyle w:val="Fett"/>
          <w:rFonts w:eastAsiaTheme="majorEastAsia"/>
          <w:rtl/>
        </w:rPr>
        <w:t>טְמֵאִים</w:t>
      </w:r>
      <w:r>
        <w:rPr>
          <w:rtl/>
        </w:rPr>
        <w:t xml:space="preserve"> </w:t>
      </w:r>
      <w:r>
        <w:t>(</w:t>
      </w:r>
      <w:r>
        <w:rPr>
          <w:rStyle w:val="Fett"/>
          <w:rFonts w:eastAsiaTheme="majorEastAsia"/>
          <w:rtl/>
        </w:rPr>
        <w:t>טָמֵא</w:t>
      </w:r>
      <w:r>
        <w:t xml:space="preserve">, „unrein", Plural) als Prädikatsnomen, </w:t>
      </w:r>
      <w:r>
        <w:rPr>
          <w:rStyle w:val="Fett"/>
          <w:rFonts w:eastAsiaTheme="majorEastAsia"/>
          <w:rtl/>
        </w:rPr>
        <w:t>הֵם</w:t>
      </w:r>
      <w:r>
        <w:rPr>
          <w:rtl/>
        </w:rPr>
        <w:t xml:space="preserve"> </w:t>
      </w:r>
      <w:r>
        <w:t xml:space="preserve">(Personalpronomen 3. Person Plural, „sie") als Subjekt und </w:t>
      </w:r>
      <w:r>
        <w:rPr>
          <w:rStyle w:val="Fett"/>
          <w:rFonts w:eastAsiaTheme="majorEastAsia"/>
          <w:rtl/>
        </w:rPr>
        <w:t>לָכֶם</w:t>
      </w:r>
      <w:r>
        <w:rPr>
          <w:rtl/>
        </w:rPr>
        <w:t xml:space="preserve"> </w:t>
      </w:r>
      <w:r>
        <w:t xml:space="preserve">(Präposition </w:t>
      </w:r>
      <w:r>
        <w:rPr>
          <w:rStyle w:val="Fett"/>
          <w:rFonts w:eastAsiaTheme="majorEastAsia"/>
          <w:rtl/>
        </w:rPr>
        <w:t>לְ</w:t>
      </w:r>
      <w:r>
        <w:rPr>
          <w:rtl/>
        </w:rPr>
        <w:t xml:space="preserve"> </w:t>
      </w:r>
      <w:r>
        <w:t>mit Suffix 2. Person Maskulinum Plural, „für euch") als Dativ.</w:t>
      </w:r>
    </w:p>
    <w:p w14:paraId="62AB8752" w14:textId="77777777" w:rsidR="008068F7" w:rsidRDefault="008068F7" w:rsidP="008068F7">
      <w:pPr>
        <w:pStyle w:val="whitespace-normal"/>
      </w:pPr>
      <w:r>
        <w:t>Der Vers nennt drei Ausnahmen: Tiere, die nur eines der beiden Kriterien erfüllen. Kamel, Hase und Klippdachs käuen wieder, haben aber keine gespaltenen Hufe. Biologisch gesehen kauen Hase und Klippdachs nicht wirklich wieder (sie sind keine Wiederkäuer), aber ihre kauende Bewegung ähnelt dem Wiederkäuen. Das Kamel hat zwar gespaltene Hufe, aber sie sind nicht vollständig durchgespalten (Schwielensohler).</w:t>
      </w:r>
    </w:p>
    <w:p w14:paraId="6973476D" w14:textId="16D2C23C" w:rsidR="008068F7" w:rsidRDefault="008068F7" w:rsidP="008068F7">
      <w:pPr>
        <w:pStyle w:val="whitespace-normal"/>
      </w:pPr>
      <w:r>
        <w:t xml:space="preserve">Die restriktive Partikel </w:t>
      </w:r>
      <w:r>
        <w:rPr>
          <w:rStyle w:val="Fett"/>
          <w:rFonts w:eastAsiaTheme="majorEastAsia"/>
          <w:rtl/>
        </w:rPr>
        <w:t>אַךְ</w:t>
      </w:r>
      <w:r>
        <w:rPr>
          <w:rtl/>
        </w:rPr>
        <w:t xml:space="preserve"> </w:t>
      </w:r>
      <w:r>
        <w:t xml:space="preserve">(„nur, jedoch") markiert die Ausnahme vom Prinzip in V. 6. Die Voranstellung von </w:t>
      </w:r>
      <w:r>
        <w:rPr>
          <w:rStyle w:val="Fett"/>
          <w:rFonts w:eastAsiaTheme="majorEastAsia"/>
          <w:rtl/>
        </w:rPr>
        <w:t>אֶת־זֶה</w:t>
      </w:r>
      <w:r>
        <w:rPr>
          <w:rtl/>
        </w:rPr>
        <w:t xml:space="preserve"> </w:t>
      </w:r>
      <w:r>
        <w:t xml:space="preserve">betont: diese hier speziell. Die Begründung zeigt: Beide Kriterien müssen erfüllt sein – eines allein reicht nicht. Der abschließende Nominalsatz </w:t>
      </w:r>
      <w:r>
        <w:rPr>
          <w:rStyle w:val="Fett"/>
          <w:rFonts w:eastAsiaTheme="majorEastAsia"/>
          <w:rtl/>
        </w:rPr>
        <w:t>טְמֵאִים הֵם לָכֶם</w:t>
      </w:r>
      <w:r>
        <w:rPr>
          <w:rtl/>
        </w:rPr>
        <w:t xml:space="preserve"> </w:t>
      </w:r>
      <w:r>
        <w:t>ist eine rechtliche Qualifikation: kultisch unrein für Israel.</w:t>
      </w:r>
    </w:p>
    <w:p w14:paraId="2E72262E" w14:textId="29BA6172" w:rsidR="00864B28" w:rsidRDefault="0091730D" w:rsidP="008068F7">
      <w:pPr>
        <w:pStyle w:val="whitespace-normal"/>
      </w:pPr>
      <w:r>
        <w:rPr>
          <w:rStyle w:val="Fett"/>
        </w:rPr>
        <w:t>Die LXX</w:t>
      </w:r>
      <w:r>
        <w:t xml:space="preserve"> beginnt mit καὶ τα</w:t>
      </w:r>
      <w:proofErr w:type="spellStart"/>
      <w:r>
        <w:t>ῦτ</w:t>
      </w:r>
      <w:proofErr w:type="spellEnd"/>
      <w:r>
        <w:t xml:space="preserve">α </w:t>
      </w:r>
      <w:proofErr w:type="spellStart"/>
      <w:r>
        <w:t>οὐ</w:t>
      </w:r>
      <w:proofErr w:type="spellEnd"/>
      <w:r>
        <w:t xml:space="preserve"> </w:t>
      </w:r>
      <w:proofErr w:type="spellStart"/>
      <w:r>
        <w:t>φάγεσθε</w:t>
      </w:r>
      <w:proofErr w:type="spellEnd"/>
      <w:r>
        <w:t xml:space="preserve"> (und diese werdet ihr nicht essen) für </w:t>
      </w:r>
      <w:r>
        <w:rPr>
          <w:rtl/>
        </w:rPr>
        <w:t>אַךְ אֶת־זֶה לֹא תֹאכְלוּ</w:t>
      </w:r>
      <w:r>
        <w:t xml:space="preserve">, wobei die adversative Kraft von </w:t>
      </w:r>
      <w:r w:rsidRPr="0091730D">
        <w:rPr>
          <w:b/>
          <w:bCs/>
          <w:rtl/>
        </w:rPr>
        <w:t>אַךְ</w:t>
      </w:r>
      <w:r>
        <w:t xml:space="preserve"> verloren geht. Die Beschreibung ἀπὸ </w:t>
      </w:r>
      <w:proofErr w:type="spellStart"/>
      <w:r>
        <w:t>τῶν</w:t>
      </w:r>
      <w:proofErr w:type="spellEnd"/>
      <w:r>
        <w:t xml:space="preserve"> </w:t>
      </w:r>
      <w:proofErr w:type="spellStart"/>
      <w:r>
        <w:t>ἀν</w:t>
      </w:r>
      <w:proofErr w:type="spellEnd"/>
      <w:r>
        <w:t xml:space="preserve">αγόντων </w:t>
      </w:r>
      <w:proofErr w:type="spellStart"/>
      <w:r>
        <w:t>μηρυκισμὸν</w:t>
      </w:r>
      <w:proofErr w:type="spellEnd"/>
      <w:r>
        <w:t xml:space="preserve"> καὶ ἀπὸ </w:t>
      </w:r>
      <w:proofErr w:type="spellStart"/>
      <w:r>
        <w:t>τῶν</w:t>
      </w:r>
      <w:proofErr w:type="spellEnd"/>
      <w:r>
        <w:t xml:space="preserve"> </w:t>
      </w:r>
      <w:proofErr w:type="spellStart"/>
      <w:r>
        <w:t>διχηλούντων</w:t>
      </w:r>
      <w:proofErr w:type="spellEnd"/>
      <w:r>
        <w:t xml:space="preserve"> </w:t>
      </w:r>
      <w:proofErr w:type="spellStart"/>
      <w:r>
        <w:t>τὰς</w:t>
      </w:r>
      <w:proofErr w:type="spellEnd"/>
      <w:r>
        <w:t xml:space="preserve"> ὁπ</w:t>
      </w:r>
      <w:proofErr w:type="spellStart"/>
      <w:r>
        <w:t>λὰς</w:t>
      </w:r>
      <w:proofErr w:type="spellEnd"/>
      <w:r>
        <w:t xml:space="preserve"> καὶ </w:t>
      </w:r>
      <w:proofErr w:type="spellStart"/>
      <w:r>
        <w:t>ὀνυχιζόντων</w:t>
      </w:r>
      <w:proofErr w:type="spellEnd"/>
      <w:r>
        <w:t xml:space="preserve"> </w:t>
      </w:r>
      <w:proofErr w:type="spellStart"/>
      <w:r>
        <w:t>ὀνυχιστῆρ</w:t>
      </w:r>
      <w:proofErr w:type="spellEnd"/>
      <w:r>
        <w:t xml:space="preserve">ας (von denen, die Wiederkäuen </w:t>
      </w:r>
      <w:proofErr w:type="spellStart"/>
      <w:r>
        <w:t>wiederkäuen</w:t>
      </w:r>
      <w:proofErr w:type="spellEnd"/>
      <w:r>
        <w:t xml:space="preserve"> und von denen, die die Hufe spalten und Klauen klauen) gibt </w:t>
      </w:r>
      <w:r w:rsidRPr="0091730D">
        <w:rPr>
          <w:b/>
          <w:bCs/>
          <w:rtl/>
        </w:rPr>
        <w:t>מִמַּעֲלֵי הַגֵּרָה וּמִמַּפְרִיסֵי הַפַּרְסָה הַשְּׁסוּעָה</w:t>
      </w:r>
      <w:r>
        <w:t xml:space="preserve"> wieder. Die Aufzählung </w:t>
      </w:r>
      <w:proofErr w:type="spellStart"/>
      <w:r>
        <w:t>τὸν</w:t>
      </w:r>
      <w:proofErr w:type="spellEnd"/>
      <w:r>
        <w:t xml:space="preserve"> </w:t>
      </w:r>
      <w:proofErr w:type="spellStart"/>
      <w:r>
        <w:t>κάμηλον</w:t>
      </w:r>
      <w:proofErr w:type="spellEnd"/>
      <w:r>
        <w:t xml:space="preserve"> καὶ δα</w:t>
      </w:r>
      <w:proofErr w:type="spellStart"/>
      <w:r>
        <w:t>σύ</w:t>
      </w:r>
      <w:proofErr w:type="spellEnd"/>
      <w:r>
        <w:t xml:space="preserve">ποδα καὶ </w:t>
      </w:r>
      <w:proofErr w:type="spellStart"/>
      <w:r>
        <w:t>χοιρογρύλλιον</w:t>
      </w:r>
      <w:proofErr w:type="spellEnd"/>
      <w:r>
        <w:t xml:space="preserve"> (das Kamel und den Hasen und den Klippschliefer) für </w:t>
      </w:r>
      <w:r>
        <w:rPr>
          <w:rtl/>
        </w:rPr>
        <w:t>א</w:t>
      </w:r>
      <w:r w:rsidRPr="0091730D">
        <w:rPr>
          <w:b/>
          <w:bCs/>
          <w:rtl/>
        </w:rPr>
        <w:t>ֶת־הַגָּמָל</w:t>
      </w:r>
      <w:r>
        <w:rPr>
          <w:rtl/>
        </w:rPr>
        <w:t xml:space="preserve"> </w:t>
      </w:r>
      <w:r w:rsidRPr="0091730D">
        <w:rPr>
          <w:b/>
          <w:bCs/>
          <w:rtl/>
        </w:rPr>
        <w:t>וְאֶת־הָאַרְנֶבֶת וְאֶת־הַשָּׁפָן</w:t>
      </w:r>
      <w:r>
        <w:t xml:space="preserve"> zeigt unterschiedliche Tieridentifikationen – </w:t>
      </w:r>
      <w:proofErr w:type="spellStart"/>
      <w:r>
        <w:t>χοιρογρύλλιον</w:t>
      </w:r>
      <w:proofErr w:type="spellEnd"/>
      <w:r>
        <w:t xml:space="preserve"> (wörtlich: Schweinerüssler) für </w:t>
      </w:r>
      <w:r w:rsidRPr="0091730D">
        <w:rPr>
          <w:b/>
          <w:bCs/>
          <w:rtl/>
        </w:rPr>
        <w:t>שָׁפָן</w:t>
      </w:r>
      <w:r>
        <w:t xml:space="preserve"> ist eine interpretative Übersetzung. Die Begründung </w:t>
      </w:r>
      <w:proofErr w:type="spellStart"/>
      <w:r>
        <w:t>ὅτι</w:t>
      </w:r>
      <w:proofErr w:type="spellEnd"/>
      <w:r>
        <w:t xml:space="preserve"> </w:t>
      </w:r>
      <w:proofErr w:type="spellStart"/>
      <w:r>
        <w:t>ἀνάγουσιν</w:t>
      </w:r>
      <w:proofErr w:type="spellEnd"/>
      <w:r>
        <w:t xml:space="preserve"> </w:t>
      </w:r>
      <w:proofErr w:type="spellStart"/>
      <w:r>
        <w:t>μηρυκισμὸν</w:t>
      </w:r>
      <w:proofErr w:type="spellEnd"/>
      <w:r>
        <w:t xml:space="preserve"> τα</w:t>
      </w:r>
      <w:proofErr w:type="spellStart"/>
      <w:r>
        <w:t>ῦτ</w:t>
      </w:r>
      <w:proofErr w:type="spellEnd"/>
      <w:r>
        <w:t>α καὶ ὁπ</w:t>
      </w:r>
      <w:proofErr w:type="spellStart"/>
      <w:r>
        <w:t>λὴν</w:t>
      </w:r>
      <w:proofErr w:type="spellEnd"/>
      <w:r>
        <w:t xml:space="preserve"> </w:t>
      </w:r>
      <w:proofErr w:type="spellStart"/>
      <w:r>
        <w:t>οὐ</w:t>
      </w:r>
      <w:proofErr w:type="spellEnd"/>
      <w:r>
        <w:t xml:space="preserve"> </w:t>
      </w:r>
      <w:proofErr w:type="spellStart"/>
      <w:r>
        <w:t>διχηλοῦσιν</w:t>
      </w:r>
      <w:proofErr w:type="spellEnd"/>
      <w:r>
        <w:t xml:space="preserve"> (denn diese käuen wieder, aber den Huf spalten sie nicht) entspricht </w:t>
      </w:r>
      <w:r>
        <w:rPr>
          <w:rtl/>
        </w:rPr>
        <w:t>כִ</w:t>
      </w:r>
      <w:r w:rsidRPr="0091730D">
        <w:rPr>
          <w:b/>
          <w:bCs/>
          <w:rtl/>
        </w:rPr>
        <w:t>ּי־מַעֲלֵה גֵרָה הֵמָּה וּפַרְסָה לֹא הִפְרִיסוּ</w:t>
      </w:r>
      <w:r w:rsidRPr="0091730D">
        <w:t>.</w:t>
      </w:r>
      <w:r>
        <w:t xml:space="preserve"> Das Urteil ἀκάθα</w:t>
      </w:r>
      <w:proofErr w:type="spellStart"/>
      <w:r>
        <w:t>ρτ</w:t>
      </w:r>
      <w:proofErr w:type="spellEnd"/>
      <w:r>
        <w:t>α τα</w:t>
      </w:r>
      <w:proofErr w:type="spellStart"/>
      <w:r>
        <w:t>ῦτ</w:t>
      </w:r>
      <w:proofErr w:type="spellEnd"/>
      <w:r>
        <w:t xml:space="preserve">α </w:t>
      </w:r>
      <w:proofErr w:type="spellStart"/>
      <w:r>
        <w:t>ὑμῖν</w:t>
      </w:r>
      <w:proofErr w:type="spellEnd"/>
      <w:r>
        <w:t xml:space="preserve"> </w:t>
      </w:r>
      <w:proofErr w:type="spellStart"/>
      <w:r>
        <w:t>ἐστιν</w:t>
      </w:r>
      <w:proofErr w:type="spellEnd"/>
      <w:r>
        <w:t xml:space="preserve"> (unrein sind diese für euch) gibt </w:t>
      </w:r>
      <w:r w:rsidRPr="0091730D">
        <w:rPr>
          <w:b/>
          <w:bCs/>
          <w:rtl/>
        </w:rPr>
        <w:t>טְמֵאִים הֵם לָכֶם</w:t>
      </w:r>
      <w:r>
        <w:t xml:space="preserve"> wieder.</w:t>
      </w:r>
    </w:p>
    <w:p w14:paraId="06881D5B" w14:textId="77777777" w:rsidR="008068F7" w:rsidRDefault="008068F7" w:rsidP="008068F7">
      <w:pPr>
        <w:pStyle w:val="whitespace-normal"/>
      </w:pPr>
      <w:r>
        <w:rPr>
          <w:rStyle w:val="Fett"/>
          <w:rFonts w:eastAsiaTheme="majorEastAsia"/>
        </w:rPr>
        <w:lastRenderedPageBreak/>
        <w:t>Die Satzstruktur</w:t>
      </w:r>
      <w:r>
        <w:t xml:space="preserve"> besteht aus einem negativen Imperativsatz mit doppelter Herkunftsangabe, dreigliedriger Aufzählung, kausaler Begründung und abschließendem Nominalsatz: Restriktive Partikel (nur), vorangestelltes direktes Objekt (diese), Negation (nicht), Prädikat (sollt ihr essen), erste Herkunftsangabe (von den wiederkäuenden), zweite Herkunftsangabe (und von denen, die den gespaltenen Huf spalten); dreigliedrige Aufzählung (das Kamel, den Hasen, den Klippdachs); kausale Begründung (denn wiederkäuend sind sie, aber den Huf haben sie nicht gespalten); abschließender Nominalsatz (unrein sind sie für euch).</w:t>
      </w:r>
    </w:p>
    <w:p w14:paraId="2EDAF018" w14:textId="77777777" w:rsidR="008068F7" w:rsidRDefault="008068F7" w:rsidP="008068F7">
      <w:pPr>
        <w:pStyle w:val="whitespace-normal"/>
      </w:pPr>
      <w:r>
        <w:t>Der Vers nennt drei Ausnahmen – Kamel, Hase, Klippdachs –, die zwar wiederkäuen, aber keine gespaltenen Hufe haben, und erklärt sie daher für unrein.</w:t>
      </w:r>
    </w:p>
    <w:p w14:paraId="20399FDD" w14:textId="77777777" w:rsidR="008068F7" w:rsidRPr="008068F7" w:rsidRDefault="008068F7" w:rsidP="008068F7">
      <w:pPr>
        <w:pStyle w:val="berschrift1"/>
        <w:rPr>
          <w:rFonts w:ascii="Times New Roman" w:hAnsi="Times New Roman"/>
          <w:color w:val="auto"/>
          <w:sz w:val="36"/>
          <w:szCs w:val="36"/>
        </w:rPr>
      </w:pPr>
      <w:r w:rsidRPr="008068F7">
        <w:rPr>
          <w:rStyle w:val="Fett"/>
          <w:rFonts w:ascii="Times New Roman" w:hAnsi="Times New Roman"/>
          <w:color w:val="auto"/>
          <w:sz w:val="36"/>
          <w:szCs w:val="36"/>
        </w:rPr>
        <w:t>Deuteronomium 14,8</w:t>
      </w:r>
    </w:p>
    <w:p w14:paraId="5DB69E46" w14:textId="77777777" w:rsidR="008068F7" w:rsidRDefault="008068F7" w:rsidP="008068F7">
      <w:pPr>
        <w:pStyle w:val="whitespace-normal"/>
      </w:pPr>
      <w:r>
        <w:rPr>
          <w:rStyle w:val="Fett"/>
          <w:rFonts w:eastAsiaTheme="majorEastAsia"/>
        </w:rPr>
        <w:t>Hebräisch:</w:t>
      </w:r>
      <w:r>
        <w:t xml:space="preserve"> </w:t>
      </w:r>
      <w:r>
        <w:rPr>
          <w:rtl/>
        </w:rPr>
        <w:t>וְאֶת־הַ֠חֲזִיר כִּֽי־מַפְרִ֨יס פַּרְסָ֥ה הוּא֙ וְלֹ֣א גֵרָ֔ה טָמֵ֥א ה֖וּא לָכֶ֑ם מִבְּשָׂרָם֙ לֹ֣א תֹאכֵ֔לוּ וּבְנִבְלָתָ֖ם לֹ֥א תִגָּֽעוּ׃</w:t>
      </w:r>
    </w:p>
    <w:p w14:paraId="41E2DE16" w14:textId="77777777" w:rsidR="008068F7" w:rsidRDefault="008068F7" w:rsidP="008068F7">
      <w:pPr>
        <w:pStyle w:val="whitespace-normal"/>
      </w:pPr>
      <w:r>
        <w:rPr>
          <w:rStyle w:val="Fett"/>
          <w:rFonts w:eastAsiaTheme="majorEastAsia"/>
        </w:rPr>
        <w:t>Deutsch:</w:t>
      </w:r>
      <w:r>
        <w:t xml:space="preserve"> Und das Schwein, denn es hat gespaltene Hufe, aber es käut nicht wieder: unrein soll es euch sein. Von ihrem Fleisch sollt ihr nicht essen, und ihr Aas sollt ihr nicht anrühren.</w:t>
      </w:r>
    </w:p>
    <w:p w14:paraId="376ED918" w14:textId="77777777" w:rsidR="008068F7" w:rsidRDefault="004F5CEB" w:rsidP="008068F7">
      <w:r>
        <w:rPr>
          <w:noProof/>
        </w:rPr>
        <w:pict w14:anchorId="2003CA05">
          <v:rect id="_x0000_i1429" style="width:0;height:1.5pt" o:hralign="center" o:hrstd="t" o:hr="t" fillcolor="#a0a0a0" stroked="f"/>
        </w:pict>
      </w:r>
    </w:p>
    <w:p w14:paraId="328B4529" w14:textId="77777777" w:rsidR="008068F7" w:rsidRDefault="008068F7" w:rsidP="008068F7">
      <w:pPr>
        <w:pStyle w:val="whitespace-normal"/>
      </w:pPr>
      <w:r>
        <w:rPr>
          <w:rStyle w:val="Fett"/>
          <w:rFonts w:eastAsiaTheme="majorEastAsia"/>
        </w:rPr>
        <w:t>Kommentar:</w:t>
      </w:r>
      <w:r>
        <w:t xml:space="preserve"> </w:t>
      </w:r>
      <w:r>
        <w:rPr>
          <w:rStyle w:val="Fett"/>
          <w:rFonts w:eastAsiaTheme="majorEastAsia"/>
          <w:rtl/>
        </w:rPr>
        <w:t>וְאֶת־הַחֲזִיר כִּי־מַפְרִיס פַּרְסָה הוּא וְלֹא גֵרָה טָמֵא הוּא לָכֶם</w:t>
      </w:r>
      <w:r>
        <w:rPr>
          <w:rtl/>
        </w:rPr>
        <w:t xml:space="preserve"> </w:t>
      </w:r>
      <w:r>
        <w:t xml:space="preserve">ist ein Satz mit kausaler Begründung und Nominalsatz: </w:t>
      </w:r>
      <w:r>
        <w:rPr>
          <w:rStyle w:val="Fett"/>
          <w:rFonts w:eastAsiaTheme="majorEastAsia"/>
          <w:rtl/>
        </w:rPr>
        <w:t>וְאֶת־הַחֲזִיר</w:t>
      </w:r>
      <w:r>
        <w:rPr>
          <w:rtl/>
        </w:rPr>
        <w:t xml:space="preserve"> </w:t>
      </w:r>
      <w:r>
        <w:t xml:space="preserve">(koordiniert durch </w:t>
      </w:r>
      <w:r>
        <w:rPr>
          <w:rStyle w:val="Fett"/>
          <w:rFonts w:eastAsiaTheme="majorEastAsia"/>
          <w:rtl/>
        </w:rPr>
        <w:t>וְ</w:t>
      </w:r>
      <w:r>
        <w:rPr>
          <w:rtl/>
        </w:rPr>
        <w:t xml:space="preserve"> </w:t>
      </w:r>
      <w:r>
        <w:t xml:space="preserve">mit Objektpartikel </w:t>
      </w:r>
      <w:r>
        <w:rPr>
          <w:rStyle w:val="Fett"/>
          <w:rFonts w:eastAsiaTheme="majorEastAsia"/>
          <w:rtl/>
        </w:rPr>
        <w:t>אֵת</w:t>
      </w:r>
      <w:r>
        <w:rPr>
          <w:rtl/>
        </w:rPr>
        <w:t xml:space="preserve"> </w:t>
      </w:r>
      <w:r>
        <w:t xml:space="preserve">und </w:t>
      </w:r>
      <w:r>
        <w:rPr>
          <w:rStyle w:val="Fett"/>
          <w:rFonts w:eastAsiaTheme="majorEastAsia"/>
          <w:rtl/>
        </w:rPr>
        <w:t>חֲזִיר</w:t>
      </w:r>
      <w:r>
        <w:t xml:space="preserve">, „Schwein", mit Artikel) als vorangestelltes direktes Objekt, </w:t>
      </w:r>
      <w:r>
        <w:rPr>
          <w:rStyle w:val="Fett"/>
          <w:rFonts w:eastAsiaTheme="majorEastAsia"/>
          <w:rtl/>
        </w:rPr>
        <w:t>כִּי</w:t>
      </w:r>
      <w:r>
        <w:rPr>
          <w:rtl/>
        </w:rPr>
        <w:t xml:space="preserve"> </w:t>
      </w:r>
      <w:r>
        <w:t xml:space="preserve">(„denn, weil") als kausale Konjunktion, </w:t>
      </w:r>
      <w:r>
        <w:rPr>
          <w:rStyle w:val="Fett"/>
          <w:rFonts w:eastAsiaTheme="majorEastAsia"/>
          <w:rtl/>
        </w:rPr>
        <w:t>מַפְרִיס פַּרְסָה</w:t>
      </w:r>
      <w:r>
        <w:rPr>
          <w:rtl/>
        </w:rPr>
        <w:t xml:space="preserve"> </w:t>
      </w:r>
      <w:r>
        <w:t xml:space="preserve">(Hiphil Partizip Maskulinum Singular von </w:t>
      </w:r>
      <w:r>
        <w:rPr>
          <w:rStyle w:val="Fett"/>
          <w:rFonts w:eastAsiaTheme="majorEastAsia"/>
          <w:rtl/>
        </w:rPr>
        <w:t>פרס</w:t>
      </w:r>
      <w:r>
        <w:t xml:space="preserve">, „spalten", mit </w:t>
      </w:r>
      <w:r>
        <w:rPr>
          <w:rStyle w:val="Fett"/>
          <w:rFonts w:eastAsiaTheme="majorEastAsia"/>
          <w:rtl/>
        </w:rPr>
        <w:t>פַּרְסָה</w:t>
      </w:r>
      <w:r>
        <w:t xml:space="preserve">, „Huf", „spaltet den Huf, hat gespaltene Hufe") als Prädikat, </w:t>
      </w:r>
      <w:r>
        <w:rPr>
          <w:rStyle w:val="Fett"/>
          <w:rFonts w:eastAsiaTheme="majorEastAsia"/>
          <w:rtl/>
        </w:rPr>
        <w:t>הוּא</w:t>
      </w:r>
      <w:r>
        <w:rPr>
          <w:rtl/>
        </w:rPr>
        <w:t xml:space="preserve"> </w:t>
      </w:r>
      <w:r>
        <w:t xml:space="preserve">(Personalpronomen 3. Person Maskulinum Singular, „er, es", betont) als Subjekt, koordiniert durch </w:t>
      </w:r>
      <w:r>
        <w:rPr>
          <w:rStyle w:val="Fett"/>
          <w:rFonts w:eastAsiaTheme="majorEastAsia"/>
          <w:rtl/>
        </w:rPr>
        <w:t>וְלֹא</w:t>
      </w:r>
      <w:r>
        <w:rPr>
          <w:rtl/>
        </w:rPr>
        <w:t xml:space="preserve"> </w:t>
      </w:r>
      <w:r>
        <w:t xml:space="preserve">mit </w:t>
      </w:r>
      <w:r>
        <w:rPr>
          <w:rStyle w:val="Fett"/>
          <w:rFonts w:eastAsiaTheme="majorEastAsia"/>
          <w:rtl/>
        </w:rPr>
        <w:t>גֵרָה</w:t>
      </w:r>
      <w:r>
        <w:rPr>
          <w:rtl/>
        </w:rPr>
        <w:t xml:space="preserve"> </w:t>
      </w:r>
      <w:r>
        <w:t>(</w:t>
      </w:r>
      <w:r>
        <w:rPr>
          <w:rStyle w:val="Fett"/>
          <w:rFonts w:eastAsiaTheme="majorEastAsia"/>
          <w:rtl/>
        </w:rPr>
        <w:t>גֵּרָה</w:t>
      </w:r>
      <w:r>
        <w:t xml:space="preserve">, „Wiedergekäutes", „aber nicht Wiedergekäutes", elliptisch für „aber käut nicht wieder"), </w:t>
      </w:r>
      <w:r>
        <w:rPr>
          <w:rStyle w:val="Fett"/>
          <w:rFonts w:eastAsiaTheme="majorEastAsia"/>
          <w:rtl/>
        </w:rPr>
        <w:t>טָמֵא</w:t>
      </w:r>
      <w:r>
        <w:rPr>
          <w:rtl/>
        </w:rPr>
        <w:t xml:space="preserve"> </w:t>
      </w:r>
      <w:r>
        <w:t>(</w:t>
      </w:r>
      <w:r>
        <w:rPr>
          <w:rStyle w:val="Fett"/>
          <w:rFonts w:eastAsiaTheme="majorEastAsia"/>
          <w:rtl/>
        </w:rPr>
        <w:t>טָמֵא</w:t>
      </w:r>
      <w:r>
        <w:t xml:space="preserve">, „unrein") als Prädikatsnomen, </w:t>
      </w:r>
      <w:r>
        <w:rPr>
          <w:rStyle w:val="Fett"/>
          <w:rFonts w:eastAsiaTheme="majorEastAsia"/>
          <w:rtl/>
        </w:rPr>
        <w:t>הוּא</w:t>
      </w:r>
      <w:r>
        <w:rPr>
          <w:rtl/>
        </w:rPr>
        <w:t xml:space="preserve"> </w:t>
      </w:r>
      <w:r>
        <w:t xml:space="preserve">als Subjekt und </w:t>
      </w:r>
      <w:r>
        <w:rPr>
          <w:rStyle w:val="Fett"/>
          <w:rFonts w:eastAsiaTheme="majorEastAsia"/>
          <w:rtl/>
        </w:rPr>
        <w:t>לָכֶם</w:t>
      </w:r>
      <w:r>
        <w:rPr>
          <w:rtl/>
        </w:rPr>
        <w:t xml:space="preserve"> </w:t>
      </w:r>
      <w:r>
        <w:t xml:space="preserve">(Präposition </w:t>
      </w:r>
      <w:r>
        <w:rPr>
          <w:rStyle w:val="Fett"/>
          <w:rFonts w:eastAsiaTheme="majorEastAsia"/>
          <w:rtl/>
        </w:rPr>
        <w:t>לְ</w:t>
      </w:r>
      <w:r>
        <w:rPr>
          <w:rtl/>
        </w:rPr>
        <w:t xml:space="preserve"> </w:t>
      </w:r>
      <w:r>
        <w:t>mit Suffix 2. Person Maskulinum Plural) als Dativ.</w:t>
      </w:r>
    </w:p>
    <w:p w14:paraId="23E90EC3" w14:textId="77777777" w:rsidR="008068F7" w:rsidRDefault="008068F7" w:rsidP="008068F7">
      <w:pPr>
        <w:pStyle w:val="whitespace-normal"/>
      </w:pPr>
      <w:r>
        <w:rPr>
          <w:rStyle w:val="Fett"/>
          <w:rFonts w:eastAsiaTheme="majorEastAsia"/>
          <w:rtl/>
        </w:rPr>
        <w:t>מִבְּשָׂרָם לֹא תֹאכֵלוּ וּבְנִבְלָתָם לֹא תִגָּעוּ</w:t>
      </w:r>
      <w:r>
        <w:rPr>
          <w:rtl/>
        </w:rPr>
        <w:t xml:space="preserve"> </w:t>
      </w:r>
      <w:r>
        <w:t xml:space="preserve">sind zwei koordinierte negative Imperative: </w:t>
      </w:r>
      <w:r>
        <w:rPr>
          <w:rStyle w:val="Fett"/>
          <w:rFonts w:eastAsiaTheme="majorEastAsia"/>
          <w:rtl/>
        </w:rPr>
        <w:t>מִבְּשָׂרָם</w:t>
      </w:r>
      <w:r>
        <w:rPr>
          <w:rtl/>
        </w:rPr>
        <w:t xml:space="preserve"> </w:t>
      </w:r>
      <w:r>
        <w:t xml:space="preserve">(Präposition </w:t>
      </w:r>
      <w:r>
        <w:rPr>
          <w:rStyle w:val="Fett"/>
          <w:rFonts w:eastAsiaTheme="majorEastAsia"/>
          <w:rtl/>
        </w:rPr>
        <w:t>מִן</w:t>
      </w:r>
      <w:r>
        <w:t xml:space="preserve">, „von", mit </w:t>
      </w:r>
      <w:r>
        <w:rPr>
          <w:rStyle w:val="Fett"/>
          <w:rFonts w:eastAsiaTheme="majorEastAsia"/>
          <w:rtl/>
        </w:rPr>
        <w:t>בָּשָׂר</w:t>
      </w:r>
      <w:r>
        <w:t xml:space="preserve">, „Fleisch", mit Suffix 3. Person Maskulinum Plural, „von ihrem Fleisch") als vorangestelltes präpositionales Objekt, </w:t>
      </w:r>
      <w:r>
        <w:rPr>
          <w:rStyle w:val="Fett"/>
          <w:rFonts w:eastAsiaTheme="majorEastAsia"/>
          <w:rtl/>
        </w:rPr>
        <w:t>לֹא תֹאכֵלוּ</w:t>
      </w:r>
      <w:r>
        <w:rPr>
          <w:rtl/>
        </w:rPr>
        <w:t xml:space="preserve"> </w:t>
      </w:r>
      <w:r>
        <w:t xml:space="preserve">(Negation </w:t>
      </w:r>
      <w:r>
        <w:rPr>
          <w:rStyle w:val="Fett"/>
          <w:rFonts w:eastAsiaTheme="majorEastAsia"/>
          <w:rtl/>
        </w:rPr>
        <w:t>לֹא</w:t>
      </w:r>
      <w:r>
        <w:rPr>
          <w:rtl/>
        </w:rPr>
        <w:t xml:space="preserve"> </w:t>
      </w:r>
      <w:r>
        <w:t xml:space="preserve">mit </w:t>
      </w:r>
      <w:r>
        <w:rPr>
          <w:rStyle w:val="Fett"/>
          <w:rFonts w:eastAsiaTheme="majorEastAsia"/>
          <w:rtl/>
        </w:rPr>
        <w:t>אכל</w:t>
      </w:r>
      <w:r>
        <w:t xml:space="preserve">, Qal Imperfekt, 2. Person Maskulinum Plural, „essen"), koordiniert durch </w:t>
      </w:r>
      <w:r>
        <w:rPr>
          <w:rStyle w:val="Fett"/>
          <w:rFonts w:eastAsiaTheme="majorEastAsia"/>
          <w:rtl/>
        </w:rPr>
        <w:t>וּ</w:t>
      </w:r>
      <w:r>
        <w:rPr>
          <w:rtl/>
        </w:rPr>
        <w:t xml:space="preserve"> </w:t>
      </w:r>
      <w:r>
        <w:t xml:space="preserve">mit </w:t>
      </w:r>
      <w:r>
        <w:rPr>
          <w:rStyle w:val="Fett"/>
          <w:rFonts w:eastAsiaTheme="majorEastAsia"/>
          <w:rtl/>
        </w:rPr>
        <w:t>בְנִבְלָתָם</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נְבֵלָה</w:t>
      </w:r>
      <w:r>
        <w:t xml:space="preserve">, „Aas, Kadaver", mit Suffix 3. Person Maskulinum Plural, „an ihr Aas") als vorangestelltes präpositionales Objekt und </w:t>
      </w:r>
      <w:r>
        <w:rPr>
          <w:rStyle w:val="Fett"/>
          <w:rFonts w:eastAsiaTheme="majorEastAsia"/>
          <w:rtl/>
        </w:rPr>
        <w:t>לֹא תִגָּעוּ</w:t>
      </w:r>
      <w:r>
        <w:rPr>
          <w:rtl/>
        </w:rPr>
        <w:t xml:space="preserve"> </w:t>
      </w:r>
      <w:r>
        <w:t xml:space="preserve">(Negation </w:t>
      </w:r>
      <w:r>
        <w:rPr>
          <w:rStyle w:val="Fett"/>
          <w:rFonts w:eastAsiaTheme="majorEastAsia"/>
          <w:rtl/>
        </w:rPr>
        <w:t>לֹא</w:t>
      </w:r>
      <w:r>
        <w:rPr>
          <w:rtl/>
        </w:rPr>
        <w:t xml:space="preserve"> </w:t>
      </w:r>
      <w:r>
        <w:t xml:space="preserve">mit </w:t>
      </w:r>
      <w:r>
        <w:rPr>
          <w:rStyle w:val="Fett"/>
          <w:rFonts w:eastAsiaTheme="majorEastAsia"/>
          <w:rtl/>
        </w:rPr>
        <w:t>נגע</w:t>
      </w:r>
      <w:r>
        <w:t>, Qal Imperfekt, 2. Person Maskulinum Plural, „berühren, anrühren").</w:t>
      </w:r>
    </w:p>
    <w:p w14:paraId="3EE812A6" w14:textId="77777777" w:rsidR="008068F7" w:rsidRDefault="008068F7" w:rsidP="008068F7">
      <w:pPr>
        <w:pStyle w:val="whitespace-normal"/>
      </w:pPr>
      <w:r>
        <w:t xml:space="preserve">Der Vers nennt die vierte Ausnahme: das Schwein. Es erfüllt das erste Kriterium (gespaltene Hufe), aber nicht das zweite (Wiederkäuen) – der umgekehrte Fall zu V. 7. Das emphatische </w:t>
      </w:r>
      <w:r>
        <w:rPr>
          <w:rStyle w:val="Fett"/>
          <w:rFonts w:eastAsiaTheme="majorEastAsia"/>
          <w:rtl/>
        </w:rPr>
        <w:t>הוּא</w:t>
      </w:r>
      <w:r>
        <w:rPr>
          <w:rtl/>
        </w:rPr>
        <w:t xml:space="preserve"> </w:t>
      </w:r>
      <w:r>
        <w:t xml:space="preserve">betont: es (das Schwein) ist unrein. Die elliptische Formulierung </w:t>
      </w:r>
      <w:r>
        <w:rPr>
          <w:rStyle w:val="Fett"/>
          <w:rFonts w:eastAsiaTheme="majorEastAsia"/>
          <w:rtl/>
        </w:rPr>
        <w:t>וְלֹא גֵרָה</w:t>
      </w:r>
      <w:r>
        <w:rPr>
          <w:rtl/>
        </w:rPr>
        <w:t xml:space="preserve"> </w:t>
      </w:r>
      <w:r>
        <w:t>spart das Verb; gemeint ist „käut nicht wieder".</w:t>
      </w:r>
    </w:p>
    <w:p w14:paraId="682052E7" w14:textId="3530883F" w:rsidR="008068F7" w:rsidRDefault="008068F7" w:rsidP="008068F7">
      <w:pPr>
        <w:pStyle w:val="whitespace-normal"/>
      </w:pPr>
      <w:r>
        <w:t xml:space="preserve">Die beiden Verbote betreffen (1) das Essen von Fleisch und (2) das Berühren des Kadavers. Das Verbot, das Aas anzurühren, geht über </w:t>
      </w:r>
      <w:r w:rsidR="00664EB6">
        <w:t>Lev</w:t>
      </w:r>
      <w:r>
        <w:t xml:space="preserve"> 11,8 hinaus und betont die strikte Meidung. Das Suffix </w:t>
      </w:r>
      <w:r>
        <w:rPr>
          <w:rStyle w:val="Fett"/>
          <w:rFonts w:eastAsiaTheme="majorEastAsia"/>
          <w:rtl/>
        </w:rPr>
        <w:t>־ָם</w:t>
      </w:r>
      <w:r>
        <w:rPr>
          <w:rtl/>
        </w:rPr>
        <w:t xml:space="preserve"> </w:t>
      </w:r>
      <w:r>
        <w:t>(„ihr") bezieht sich grammatisch auf alle in V. 7-8 genannten unreinen Tiere zurück (Kamel, Hase, Klippdachs, Schwein).</w:t>
      </w:r>
    </w:p>
    <w:p w14:paraId="3B1957A3" w14:textId="77777777" w:rsidR="008068F7" w:rsidRDefault="008068F7" w:rsidP="008068F7">
      <w:pPr>
        <w:pStyle w:val="whitespace-normal"/>
      </w:pPr>
      <w:r>
        <w:lastRenderedPageBreak/>
        <w:t xml:space="preserve">Das Schwein hatte im Alten Orient teils sakrale Bedeutung in heidnischen Kulten (vgl. Jes 65,4; 66,3.17), was das Verbot zusätzlich motiviert haben mag. Die Voranstellung der präpositionalen Objekte </w:t>
      </w:r>
      <w:r>
        <w:rPr>
          <w:rStyle w:val="Fett"/>
          <w:rFonts w:eastAsiaTheme="majorEastAsia"/>
          <w:rtl/>
        </w:rPr>
        <w:t>מִבְּשָׂרָם</w:t>
      </w:r>
      <w:r>
        <w:rPr>
          <w:rtl/>
        </w:rPr>
        <w:t xml:space="preserve"> </w:t>
      </w:r>
      <w:r>
        <w:t xml:space="preserve">und </w:t>
      </w:r>
      <w:r>
        <w:rPr>
          <w:rStyle w:val="Fett"/>
          <w:rFonts w:eastAsiaTheme="majorEastAsia"/>
          <w:rtl/>
        </w:rPr>
        <w:t>בְנִבְלָתָם</w:t>
      </w:r>
      <w:r>
        <w:rPr>
          <w:rtl/>
        </w:rPr>
        <w:t xml:space="preserve"> </w:t>
      </w:r>
      <w:r>
        <w:t>betont diese beiden Bereiche.</w:t>
      </w:r>
    </w:p>
    <w:p w14:paraId="5643DB62" w14:textId="77777777" w:rsidR="008068F7" w:rsidRDefault="008068F7" w:rsidP="008068F7">
      <w:pPr>
        <w:pStyle w:val="whitespace-normal"/>
      </w:pPr>
      <w:r>
        <w:rPr>
          <w:rStyle w:val="Fett"/>
          <w:rFonts w:eastAsiaTheme="majorEastAsia"/>
        </w:rPr>
        <w:t>Die Satzstruktur</w:t>
      </w:r>
      <w:r>
        <w:t xml:space="preserve"> besteht aus einem vorangestellten Objekt, kausaler Begründung, Nominalsatz und zwei koordinierten negativen Imperativen: Vorangestelltes Objekt (und das Schwein), kausale Begründung (denn spaltet den Huf es, aber nicht Wiedergekäutes), Nominalsatz (unrein ist es für euch); erster negativer Imperativ mit vorangestelltem präpositionalen Objekt (von ihrem Fleisch nicht sollt ihr essen); zweiter negativer Imperativ mit vorangestelltem präpositionalen Objekt (und an ihr Aas nicht sollt ihr rühren).</w:t>
      </w:r>
    </w:p>
    <w:p w14:paraId="04443046" w14:textId="77777777" w:rsidR="008068F7" w:rsidRDefault="008068F7" w:rsidP="008068F7">
      <w:pPr>
        <w:pStyle w:val="whitespace-normal"/>
      </w:pPr>
      <w:r>
        <w:t>Der Vers nennt das Schwein als weitere Ausnahme – es hat gespaltene Hufe, käut aber nicht wieder –, erklärt es für unrein und verbietet sowohl das Essen seines Fleisches als auch das Berühren seines Kadavers.</w:t>
      </w:r>
    </w:p>
    <w:p w14:paraId="46FC8F99" w14:textId="77777777" w:rsidR="008068F7" w:rsidRPr="008068F7" w:rsidRDefault="008068F7" w:rsidP="008068F7">
      <w:pPr>
        <w:pStyle w:val="berschrift1"/>
        <w:rPr>
          <w:rFonts w:ascii="Times New Roman" w:hAnsi="Times New Roman"/>
          <w:color w:val="auto"/>
          <w:sz w:val="36"/>
          <w:szCs w:val="36"/>
        </w:rPr>
      </w:pPr>
      <w:r w:rsidRPr="008068F7">
        <w:rPr>
          <w:rStyle w:val="Fett"/>
          <w:rFonts w:ascii="Times New Roman" w:hAnsi="Times New Roman"/>
          <w:color w:val="auto"/>
          <w:sz w:val="36"/>
          <w:szCs w:val="36"/>
        </w:rPr>
        <w:t>Deuteronomium 14,9</w:t>
      </w:r>
    </w:p>
    <w:p w14:paraId="621DB3D3" w14:textId="77777777" w:rsidR="008068F7" w:rsidRDefault="008068F7" w:rsidP="008068F7">
      <w:pPr>
        <w:pStyle w:val="whitespace-normal"/>
      </w:pPr>
      <w:r>
        <w:rPr>
          <w:rStyle w:val="Fett"/>
          <w:rFonts w:eastAsiaTheme="majorEastAsia"/>
        </w:rPr>
        <w:t>Hebräisch:</w:t>
      </w:r>
      <w:r>
        <w:t xml:space="preserve"> </w:t>
      </w:r>
      <w:r>
        <w:rPr>
          <w:rtl/>
        </w:rPr>
        <w:t>אֶת־זֶה֙ תֹּֽאכְל֔וּ מִכֹּ֖ל אֲשֶׁ֣ר בַּמָּ֑יִם כֹּ֧ל אֲשֶׁר־לוֹ֛ סְנַפִּ֥יר וְקַשְׂקֶ֖שֶׂת תֹּאכֵֽלוּ׃</w:t>
      </w:r>
    </w:p>
    <w:p w14:paraId="28889E4A" w14:textId="77777777" w:rsidR="008068F7" w:rsidRDefault="008068F7" w:rsidP="008068F7">
      <w:pPr>
        <w:pStyle w:val="whitespace-normal"/>
      </w:pPr>
      <w:r>
        <w:rPr>
          <w:rStyle w:val="Fett"/>
          <w:rFonts w:eastAsiaTheme="majorEastAsia"/>
        </w:rPr>
        <w:t>Deutsch:</w:t>
      </w:r>
      <w:r>
        <w:t xml:space="preserve"> Dies dürft ihr essen von allem, was im Wasser ist: alles, was Flossen und Schuppen hat, dürft ihr essen.</w:t>
      </w:r>
    </w:p>
    <w:p w14:paraId="1C2D414B" w14:textId="77777777" w:rsidR="008068F7" w:rsidRDefault="004F5CEB" w:rsidP="008068F7">
      <w:r>
        <w:rPr>
          <w:noProof/>
        </w:rPr>
        <w:pict w14:anchorId="4C69EBFF">
          <v:rect id="_x0000_i1430" style="width:0;height:1.5pt" o:hralign="center" o:hrstd="t" o:hr="t" fillcolor="#a0a0a0" stroked="f"/>
        </w:pict>
      </w:r>
    </w:p>
    <w:p w14:paraId="0F2EADDF" w14:textId="77777777" w:rsidR="008068F7" w:rsidRDefault="008068F7" w:rsidP="008068F7">
      <w:pPr>
        <w:pStyle w:val="whitespace-normal"/>
      </w:pPr>
      <w:r>
        <w:rPr>
          <w:rStyle w:val="Fett"/>
          <w:rFonts w:eastAsiaTheme="majorEastAsia"/>
        </w:rPr>
        <w:t>Kommentar:</w:t>
      </w:r>
      <w:r>
        <w:t xml:space="preserve"> </w:t>
      </w:r>
      <w:r>
        <w:rPr>
          <w:rStyle w:val="Fett"/>
          <w:rFonts w:eastAsiaTheme="majorEastAsia"/>
          <w:rtl/>
        </w:rPr>
        <w:t>אֶת־זֶה תֹּאכְלוּ מִכֹּל אֲשֶׁר בַּמָּיִם</w:t>
      </w:r>
      <w:r>
        <w:rPr>
          <w:rtl/>
        </w:rPr>
        <w:t xml:space="preserve"> </w:t>
      </w:r>
      <w:r>
        <w:t xml:space="preserve">ist ein Imperativsatz mit Herkunftsangabe: </w:t>
      </w:r>
      <w:r>
        <w:rPr>
          <w:rStyle w:val="Fett"/>
          <w:rFonts w:eastAsiaTheme="majorEastAsia"/>
          <w:rtl/>
        </w:rPr>
        <w:t>אֶת־זֶה</w:t>
      </w:r>
      <w:r>
        <w:rPr>
          <w:rtl/>
        </w:rPr>
        <w:t xml:space="preserve"> </w:t>
      </w:r>
      <w:r>
        <w:t xml:space="preserve">(Objektpartikel </w:t>
      </w:r>
      <w:r>
        <w:rPr>
          <w:rStyle w:val="Fett"/>
          <w:rFonts w:eastAsiaTheme="majorEastAsia"/>
          <w:rtl/>
        </w:rPr>
        <w:t>אֵת</w:t>
      </w:r>
      <w:r>
        <w:rPr>
          <w:rtl/>
        </w:rPr>
        <w:t xml:space="preserve"> </w:t>
      </w:r>
      <w:r>
        <w:t xml:space="preserve">mit Demonstrativpronomen </w:t>
      </w:r>
      <w:r>
        <w:rPr>
          <w:rStyle w:val="Fett"/>
          <w:rFonts w:eastAsiaTheme="majorEastAsia"/>
          <w:rtl/>
        </w:rPr>
        <w:t>זֶה</w:t>
      </w:r>
      <w:r>
        <w:t xml:space="preserve">, „dies, diese") als vorangestelltes direktes Objekt, </w:t>
      </w:r>
      <w:r>
        <w:rPr>
          <w:rStyle w:val="Fett"/>
          <w:rFonts w:eastAsiaTheme="majorEastAsia"/>
          <w:rtl/>
        </w:rPr>
        <w:t>תֹּאכְלוּ</w:t>
      </w:r>
      <w:r>
        <w:rPr>
          <w:rtl/>
        </w:rPr>
        <w:t xml:space="preserve"> </w:t>
      </w:r>
      <w:r>
        <w:t xml:space="preserve">(Qal Imperfekt, 2. Person Maskulinum Plural von </w:t>
      </w:r>
      <w:r>
        <w:rPr>
          <w:rStyle w:val="Fett"/>
          <w:rFonts w:eastAsiaTheme="majorEastAsia"/>
          <w:rtl/>
        </w:rPr>
        <w:t>אכל</w:t>
      </w:r>
      <w:r>
        <w:t xml:space="preserve">, „essen"), </w:t>
      </w:r>
      <w:r>
        <w:rPr>
          <w:rStyle w:val="Fett"/>
          <w:rFonts w:eastAsiaTheme="majorEastAsia"/>
          <w:rtl/>
        </w:rPr>
        <w:t>מִכֹּל אֲשֶׁר בַּמָּיִם</w:t>
      </w:r>
      <w:r>
        <w:rPr>
          <w:rtl/>
        </w:rPr>
        <w:t xml:space="preserve"> </w:t>
      </w:r>
      <w:r>
        <w:t xml:space="preserve">(Präposition </w:t>
      </w:r>
      <w:r>
        <w:rPr>
          <w:rStyle w:val="Fett"/>
          <w:rFonts w:eastAsiaTheme="majorEastAsia"/>
          <w:rtl/>
        </w:rPr>
        <w:t>מִן</w:t>
      </w:r>
      <w:r>
        <w:t xml:space="preserve">, „von", mit </w:t>
      </w:r>
      <w:r>
        <w:rPr>
          <w:rStyle w:val="Fett"/>
          <w:rFonts w:eastAsiaTheme="majorEastAsia"/>
          <w:rtl/>
        </w:rPr>
        <w:t>כֹּל</w:t>
      </w:r>
      <w:r>
        <w:t xml:space="preserve">, „all", im Construct mit Relativsatz: </w:t>
      </w:r>
      <w:r>
        <w:rPr>
          <w:rStyle w:val="Fett"/>
          <w:rFonts w:eastAsiaTheme="majorEastAsia"/>
          <w:rtl/>
        </w:rPr>
        <w:t>אֲשֶׁר בַּמָּיִם</w:t>
      </w:r>
      <w:r>
        <w:t xml:space="preserve">, </w:t>
      </w:r>
      <w:r>
        <w:rPr>
          <w:rStyle w:val="Fett"/>
          <w:rFonts w:eastAsiaTheme="majorEastAsia"/>
          <w:rtl/>
        </w:rPr>
        <w:t>אֲשֶׁר</w:t>
      </w:r>
      <w:r>
        <w:rPr>
          <w:rtl/>
        </w:rPr>
        <w:t xml:space="preserve"> </w:t>
      </w:r>
      <w:r>
        <w:t xml:space="preserve">mit </w:t>
      </w:r>
      <w:r>
        <w:rPr>
          <w:rStyle w:val="Fett"/>
          <w:rFonts w:eastAsiaTheme="majorEastAsia"/>
          <w:rtl/>
        </w:rPr>
        <w:t>בַּמָּיִם</w:t>
      </w:r>
      <w:r>
        <w:t xml:space="preserve">, Präposition </w:t>
      </w:r>
      <w:r>
        <w:rPr>
          <w:rStyle w:val="Fett"/>
          <w:rFonts w:eastAsiaTheme="majorEastAsia"/>
          <w:rtl/>
        </w:rPr>
        <w:t>בְּ</w:t>
      </w:r>
      <w:r>
        <w:rPr>
          <w:rtl/>
        </w:rPr>
        <w:t xml:space="preserve"> </w:t>
      </w:r>
      <w:r>
        <w:t xml:space="preserve">mit </w:t>
      </w:r>
      <w:r>
        <w:rPr>
          <w:rStyle w:val="Fett"/>
          <w:rFonts w:eastAsiaTheme="majorEastAsia"/>
          <w:rtl/>
        </w:rPr>
        <w:t>מַיִם</w:t>
      </w:r>
      <w:r>
        <w:t>, „Wasser", mit Artikel, „von allem, was in dem Wasser ist") als Herkunftsangabe.</w:t>
      </w:r>
    </w:p>
    <w:p w14:paraId="0CD0EC67" w14:textId="77777777" w:rsidR="008068F7" w:rsidRDefault="008068F7" w:rsidP="008068F7">
      <w:pPr>
        <w:pStyle w:val="whitespace-normal"/>
      </w:pPr>
      <w:r>
        <w:rPr>
          <w:rStyle w:val="Fett"/>
          <w:rFonts w:eastAsiaTheme="majorEastAsia"/>
          <w:rtl/>
        </w:rPr>
        <w:t>כֹּל אֲשֶׁר־לוֹ סְנַפִּיר וְקַשְׂקֶשֶׂת תֹּאכֵלוּ</w:t>
      </w:r>
      <w:r>
        <w:rPr>
          <w:rtl/>
        </w:rPr>
        <w:t xml:space="preserve"> </w:t>
      </w:r>
      <w:r>
        <w:t xml:space="preserve">ist der zweite Satz: </w:t>
      </w:r>
      <w:r>
        <w:rPr>
          <w:rStyle w:val="Fett"/>
          <w:rFonts w:eastAsiaTheme="majorEastAsia"/>
          <w:rtl/>
        </w:rPr>
        <w:t>כֹּל</w:t>
      </w:r>
      <w:r>
        <w:rPr>
          <w:rtl/>
        </w:rPr>
        <w:t xml:space="preserve"> </w:t>
      </w:r>
      <w:r>
        <w:t xml:space="preserve">(„alles") als direktes Objekt, </w:t>
      </w:r>
      <w:r>
        <w:rPr>
          <w:rStyle w:val="Fett"/>
          <w:rFonts w:eastAsiaTheme="majorEastAsia"/>
          <w:rtl/>
        </w:rPr>
        <w:t>אֲשֶׁר־לוֹ סְנַפִּיר וְקַשְׂקֶשֶׂת</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לוֹ</w:t>
      </w:r>
      <w:r>
        <w:t xml:space="preserve">, Präposition </w:t>
      </w:r>
      <w:r>
        <w:rPr>
          <w:rStyle w:val="Fett"/>
          <w:rFonts w:eastAsiaTheme="majorEastAsia"/>
          <w:rtl/>
        </w:rPr>
        <w:t>לְ</w:t>
      </w:r>
      <w:r>
        <w:rPr>
          <w:rtl/>
        </w:rPr>
        <w:t xml:space="preserve"> </w:t>
      </w:r>
      <w:r>
        <w:t xml:space="preserve">mit Suffix 3. Person Maskulinum Singular, „dem", </w:t>
      </w:r>
      <w:r>
        <w:rPr>
          <w:rStyle w:val="Fett"/>
          <w:rFonts w:eastAsiaTheme="majorEastAsia"/>
          <w:rtl/>
        </w:rPr>
        <w:t>סְנַפִּיר</w:t>
      </w:r>
      <w:r>
        <w:t xml:space="preserve">, „Flosse", koordiniert durch </w:t>
      </w:r>
      <w:r>
        <w:rPr>
          <w:rStyle w:val="Fett"/>
          <w:rFonts w:eastAsiaTheme="majorEastAsia"/>
          <w:rtl/>
        </w:rPr>
        <w:t>וְ</w:t>
      </w:r>
      <w:r>
        <w:rPr>
          <w:rtl/>
        </w:rPr>
        <w:t xml:space="preserve"> </w:t>
      </w:r>
      <w:r>
        <w:t xml:space="preserve">mit </w:t>
      </w:r>
      <w:r>
        <w:rPr>
          <w:rStyle w:val="Fett"/>
          <w:rFonts w:eastAsiaTheme="majorEastAsia"/>
          <w:rtl/>
        </w:rPr>
        <w:t>קַשְׂקֶשֶׂת</w:t>
      </w:r>
      <w:r>
        <w:t xml:space="preserve">, „Schuppe", „das Flossen und Schuppen hat") und </w:t>
      </w:r>
      <w:r>
        <w:rPr>
          <w:rStyle w:val="Fett"/>
          <w:rFonts w:eastAsiaTheme="majorEastAsia"/>
          <w:rtl/>
        </w:rPr>
        <w:t>תֹּאכֵלוּ</w:t>
      </w:r>
      <w:r>
        <w:rPr>
          <w:rtl/>
        </w:rPr>
        <w:t xml:space="preserve"> </w:t>
      </w:r>
      <w:r>
        <w:t xml:space="preserve">(Qal Imperfekt, 2. Person Maskulinum Plural von </w:t>
      </w:r>
      <w:r>
        <w:rPr>
          <w:rStyle w:val="Fett"/>
          <w:rFonts w:eastAsiaTheme="majorEastAsia"/>
          <w:rtl/>
        </w:rPr>
        <w:t>אכל</w:t>
      </w:r>
      <w:r>
        <w:t>, „essen") als Prädikat.</w:t>
      </w:r>
    </w:p>
    <w:p w14:paraId="4609DB39" w14:textId="51307633" w:rsidR="008068F7" w:rsidRDefault="008068F7" w:rsidP="008068F7">
      <w:pPr>
        <w:pStyle w:val="whitespace-normal"/>
      </w:pPr>
      <w:r>
        <w:t xml:space="preserve">Der Vers leitet zu den Wassertieren über und gibt das Kriterium für reine Wassertiere: Flossen und Schuppen. Beide Merkmale müssen vorhanden sein (vgl. </w:t>
      </w:r>
      <w:r w:rsidR="00664EB6">
        <w:t>Lev</w:t>
      </w:r>
      <w:r>
        <w:t xml:space="preserve"> 11,9-10). Die doppelte Formulierung </w:t>
      </w:r>
      <w:r>
        <w:rPr>
          <w:rStyle w:val="Fett"/>
          <w:rFonts w:eastAsiaTheme="majorEastAsia"/>
          <w:rtl/>
        </w:rPr>
        <w:t>אֶת־זֶה תֹּאכְלוּ</w:t>
      </w:r>
      <w:r>
        <w:rPr>
          <w:rtl/>
        </w:rPr>
        <w:t xml:space="preserve"> </w:t>
      </w:r>
      <w:r>
        <w:t xml:space="preserve">und </w:t>
      </w:r>
      <w:r>
        <w:rPr>
          <w:rStyle w:val="Fett"/>
          <w:rFonts w:eastAsiaTheme="majorEastAsia"/>
          <w:rtl/>
        </w:rPr>
        <w:t>כֹּל אֲשֶׁר־לוֹ סְנַפִּיר וְקַשְׂקֶשֶׂת תֹּאכֵלוּ</w:t>
      </w:r>
      <w:r>
        <w:rPr>
          <w:rtl/>
        </w:rPr>
        <w:t xml:space="preserve"> </w:t>
      </w:r>
      <w:r>
        <w:t>betont das Erlaubte.</w:t>
      </w:r>
    </w:p>
    <w:p w14:paraId="032BEF34" w14:textId="41C3F561" w:rsidR="008068F7" w:rsidRDefault="008068F7" w:rsidP="008068F7">
      <w:pPr>
        <w:pStyle w:val="whitespace-normal"/>
      </w:pPr>
      <w:r>
        <w:t xml:space="preserve">Das Wort </w:t>
      </w:r>
      <w:r>
        <w:rPr>
          <w:rStyle w:val="Fett"/>
          <w:rFonts w:eastAsiaTheme="majorEastAsia"/>
          <w:rtl/>
        </w:rPr>
        <w:t>סְנַפִּיר</w:t>
      </w:r>
      <w:r>
        <w:rPr>
          <w:rtl/>
        </w:rPr>
        <w:t xml:space="preserve"> </w:t>
      </w:r>
      <w:r>
        <w:t xml:space="preserve">bezeichnet die Flosse, </w:t>
      </w:r>
      <w:r>
        <w:rPr>
          <w:rStyle w:val="Fett"/>
          <w:rFonts w:eastAsiaTheme="majorEastAsia"/>
          <w:rtl/>
        </w:rPr>
        <w:t>קַשְׂקֶשֶׂת</w:t>
      </w:r>
      <w:r>
        <w:rPr>
          <w:rtl/>
        </w:rPr>
        <w:t xml:space="preserve"> </w:t>
      </w:r>
      <w:r>
        <w:t>die Schuppe. Das Kriterium schließt aus: Meeressäuger (Wale, Delfine), Schalentiere (Muscheln, Austern, Schnecken), Krustentiere (Krebse, Garnelen, Hummer), Tintenfische, Aale (keine Schuppen) und andere Wassertiere ohne Flossen und Schuppen.</w:t>
      </w:r>
    </w:p>
    <w:p w14:paraId="5FCBA15E" w14:textId="77777777" w:rsidR="00864B28" w:rsidRPr="00864B28" w:rsidRDefault="00864B28" w:rsidP="00864B28">
      <w:pPr>
        <w:spacing w:before="100" w:beforeAutospacing="1" w:after="100" w:afterAutospacing="1" w:line="240" w:lineRule="auto"/>
        <w:outlineLvl w:val="1"/>
        <w:rPr>
          <w:rFonts w:eastAsia="Times New Roman"/>
          <w:b/>
          <w:bCs/>
          <w:sz w:val="36"/>
          <w:szCs w:val="36"/>
          <w:lang w:eastAsia="de-DE"/>
        </w:rPr>
      </w:pPr>
      <w:r w:rsidRPr="00864B28">
        <w:rPr>
          <w:rFonts w:eastAsia="Times New Roman"/>
          <w:b/>
          <w:bCs/>
          <w:sz w:val="36"/>
          <w:szCs w:val="36"/>
          <w:lang w:eastAsia="de-DE"/>
        </w:rPr>
        <w:t>Vers 10 (MT) / Vers 9 (LXX)</w:t>
      </w:r>
    </w:p>
    <w:p w14:paraId="15A96C19" w14:textId="346C7130" w:rsidR="00864B28" w:rsidRPr="00864B28" w:rsidRDefault="00864B28" w:rsidP="00864B28">
      <w:pPr>
        <w:spacing w:before="100" w:beforeAutospacing="1" w:after="100" w:afterAutospacing="1" w:line="240" w:lineRule="auto"/>
        <w:rPr>
          <w:rFonts w:eastAsia="Times New Roman"/>
          <w:lang w:eastAsia="de-DE"/>
        </w:rPr>
      </w:pPr>
      <w:r w:rsidRPr="00864B28">
        <w:rPr>
          <w:rFonts w:eastAsia="Times New Roman"/>
          <w:b/>
          <w:bCs/>
          <w:lang w:eastAsia="de-DE"/>
        </w:rPr>
        <w:lastRenderedPageBreak/>
        <w:t>Die LXX</w:t>
      </w:r>
      <w:r w:rsidRPr="00864B28">
        <w:rPr>
          <w:rFonts w:eastAsia="Times New Roman"/>
          <w:lang w:eastAsia="de-DE"/>
        </w:rPr>
        <w:t xml:space="preserve"> verwendet π</w:t>
      </w:r>
      <w:proofErr w:type="spellStart"/>
      <w:r w:rsidRPr="00864B28">
        <w:rPr>
          <w:rFonts w:eastAsia="Times New Roman"/>
          <w:lang w:eastAsia="de-DE"/>
        </w:rPr>
        <w:t>τερύγι</w:t>
      </w:r>
      <w:proofErr w:type="spellEnd"/>
      <w:r w:rsidRPr="00864B28">
        <w:rPr>
          <w:rFonts w:eastAsia="Times New Roman"/>
          <w:lang w:eastAsia="de-DE"/>
        </w:rPr>
        <w:t xml:space="preserve">α (Flossen/Flügel) für </w:t>
      </w:r>
      <w:r w:rsidRPr="00864B28">
        <w:rPr>
          <w:rFonts w:eastAsia="Times New Roman"/>
          <w:rtl/>
          <w:lang w:eastAsia="de-DE"/>
        </w:rPr>
        <w:t>סְנַפִּיר</w:t>
      </w:r>
      <w:r w:rsidRPr="00864B28">
        <w:rPr>
          <w:rFonts w:eastAsia="Times New Roman"/>
          <w:lang w:eastAsia="de-DE"/>
        </w:rPr>
        <w:t xml:space="preserve"> – ein Begriff, der eigentlich "Flügel" bedeutet, hier aber für Flossen gebraucht wird.</w:t>
      </w:r>
    </w:p>
    <w:p w14:paraId="47845B08" w14:textId="77777777" w:rsidR="008068F7" w:rsidRDefault="008068F7" w:rsidP="008068F7">
      <w:pPr>
        <w:pStyle w:val="whitespace-normal"/>
      </w:pPr>
      <w:r>
        <w:rPr>
          <w:rStyle w:val="Fett"/>
          <w:rFonts w:eastAsiaTheme="majorEastAsia"/>
        </w:rPr>
        <w:t>Die Satzstruktur</w:t>
      </w:r>
      <w:r>
        <w:t xml:space="preserve"> besteht aus zwei koordinierten Sätzen: Erster Satz mit vorangestelltem direktem Objekt (dies), Prädikat (dürft ihr essen), Herkunftsangabe (von allem, was im Wasser ist); zweiter Satz mit direktem Objekt (alles), Relativsatz (das Flossen und Schuppen hat), Prädikat (dürft ihr essen).</w:t>
      </w:r>
    </w:p>
    <w:p w14:paraId="3BA52424" w14:textId="77777777" w:rsidR="008068F7" w:rsidRDefault="008068F7" w:rsidP="008068F7">
      <w:pPr>
        <w:pStyle w:val="whitespace-normal"/>
      </w:pPr>
      <w:r>
        <w:t>Der Vers gibt das Kriterium für reine Wassertiere: Nur was Flossen und Schuppen hat, darf gegessen werden – also im Wesentlichen Fische.</w:t>
      </w:r>
    </w:p>
    <w:p w14:paraId="49684894" w14:textId="77777777" w:rsidR="008068F7" w:rsidRPr="008068F7" w:rsidRDefault="008068F7" w:rsidP="008068F7">
      <w:pPr>
        <w:pStyle w:val="berschrift1"/>
        <w:rPr>
          <w:rFonts w:ascii="Times New Roman" w:hAnsi="Times New Roman"/>
          <w:color w:val="auto"/>
          <w:sz w:val="36"/>
          <w:szCs w:val="36"/>
        </w:rPr>
      </w:pPr>
      <w:r w:rsidRPr="008068F7">
        <w:rPr>
          <w:rStyle w:val="Fett"/>
          <w:rFonts w:ascii="Times New Roman" w:hAnsi="Times New Roman"/>
          <w:color w:val="auto"/>
          <w:sz w:val="36"/>
          <w:szCs w:val="36"/>
        </w:rPr>
        <w:t>Deuteronomium 14,10</w:t>
      </w:r>
    </w:p>
    <w:p w14:paraId="40B524E4" w14:textId="77777777" w:rsidR="008068F7" w:rsidRDefault="008068F7" w:rsidP="008068F7">
      <w:pPr>
        <w:pStyle w:val="whitespace-normal"/>
      </w:pPr>
      <w:r>
        <w:rPr>
          <w:rStyle w:val="Fett"/>
          <w:rFonts w:eastAsiaTheme="majorEastAsia"/>
        </w:rPr>
        <w:t>Hebräisch:</w:t>
      </w:r>
      <w:r>
        <w:t xml:space="preserve"> </w:t>
      </w:r>
      <w:r>
        <w:rPr>
          <w:rtl/>
        </w:rPr>
        <w:t>וְכֹ֨ל אֲשֶׁ֧ר אֵֽין־לוֹ֛ סְנַפִּ֥יר וְקַשְׂקֶ֖שֶׂת לֹ֣א תֹאכֵ֑לוּ טָמֵ֥א ה֖וּא לָכֶֽם׃</w:t>
      </w:r>
    </w:p>
    <w:p w14:paraId="0055117A" w14:textId="77777777" w:rsidR="008068F7" w:rsidRDefault="008068F7" w:rsidP="008068F7">
      <w:pPr>
        <w:pStyle w:val="whitespace-normal"/>
      </w:pPr>
      <w:r>
        <w:rPr>
          <w:rStyle w:val="Fett"/>
          <w:rFonts w:eastAsiaTheme="majorEastAsia"/>
        </w:rPr>
        <w:t>Deutsch:</w:t>
      </w:r>
      <w:r>
        <w:t xml:space="preserve"> Aber alles, was keine Flossen und Schuppen hat, sollt ihr nicht essen: unrein soll es euch sein.</w:t>
      </w:r>
    </w:p>
    <w:p w14:paraId="5A8C3635" w14:textId="77777777" w:rsidR="008068F7" w:rsidRDefault="004F5CEB" w:rsidP="008068F7">
      <w:r>
        <w:rPr>
          <w:noProof/>
        </w:rPr>
        <w:pict w14:anchorId="168F68BC">
          <v:rect id="_x0000_i1431" style="width:0;height:1.5pt" o:hralign="center" o:hrstd="t" o:hr="t" fillcolor="#a0a0a0" stroked="f"/>
        </w:pict>
      </w:r>
    </w:p>
    <w:p w14:paraId="500874A2" w14:textId="77777777" w:rsidR="008068F7" w:rsidRDefault="008068F7" w:rsidP="008068F7">
      <w:pPr>
        <w:pStyle w:val="whitespace-normal"/>
      </w:pPr>
      <w:r>
        <w:rPr>
          <w:rStyle w:val="Fett"/>
          <w:rFonts w:eastAsiaTheme="majorEastAsia"/>
        </w:rPr>
        <w:t>Kommentar:</w:t>
      </w:r>
      <w:r>
        <w:t xml:space="preserve"> </w:t>
      </w:r>
      <w:r>
        <w:rPr>
          <w:rStyle w:val="Fett"/>
          <w:rFonts w:eastAsiaTheme="majorEastAsia"/>
          <w:rtl/>
        </w:rPr>
        <w:t>וְכֹל אֲשֶׁר אֵין־לוֹ סְנַפִּיר וְקַשְׂקֶשֶׂת לֹא תֹאכֵלוּ</w:t>
      </w:r>
      <w:r>
        <w:rPr>
          <w:rtl/>
        </w:rPr>
        <w:t xml:space="preserve"> </w:t>
      </w:r>
      <w:r>
        <w:t xml:space="preserve">ist ein negativer Imperativsatz: </w:t>
      </w:r>
      <w:r>
        <w:rPr>
          <w:rStyle w:val="Fett"/>
          <w:rFonts w:eastAsiaTheme="majorEastAsia"/>
          <w:rtl/>
        </w:rPr>
        <w:t>וְכֹל</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כֹּל</w:t>
      </w:r>
      <w:r>
        <w:t xml:space="preserve">, „alles") als direktes Objekt, </w:t>
      </w:r>
      <w:r>
        <w:rPr>
          <w:rStyle w:val="Fett"/>
          <w:rFonts w:eastAsiaTheme="majorEastAsia"/>
          <w:rtl/>
        </w:rPr>
        <w:t>אֲשֶׁר אֵין־לוֹ סְנַפִּיר וְקַשְׂקֶשֶׂת</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אֵין</w:t>
      </w:r>
      <w:r>
        <w:t xml:space="preserve">, „es gibt nicht, nicht", </w:t>
      </w:r>
      <w:r>
        <w:rPr>
          <w:rStyle w:val="Fett"/>
          <w:rFonts w:eastAsiaTheme="majorEastAsia"/>
          <w:rtl/>
        </w:rPr>
        <w:t>לוֹ</w:t>
      </w:r>
      <w:r>
        <w:t xml:space="preserve">, Präposition </w:t>
      </w:r>
      <w:r>
        <w:rPr>
          <w:rStyle w:val="Fett"/>
          <w:rFonts w:eastAsiaTheme="majorEastAsia"/>
          <w:rtl/>
        </w:rPr>
        <w:t>לְ</w:t>
      </w:r>
      <w:r>
        <w:rPr>
          <w:rtl/>
        </w:rPr>
        <w:t xml:space="preserve"> </w:t>
      </w:r>
      <w:r>
        <w:t xml:space="preserve">mit Suffix 3. Person Maskulinum Singular, „dem", </w:t>
      </w:r>
      <w:r>
        <w:rPr>
          <w:rStyle w:val="Fett"/>
          <w:rFonts w:eastAsiaTheme="majorEastAsia"/>
          <w:rtl/>
        </w:rPr>
        <w:t>סְנַפִּיר</w:t>
      </w:r>
      <w:r>
        <w:t xml:space="preserve">, „Flosse", koordiniert durch </w:t>
      </w:r>
      <w:r>
        <w:rPr>
          <w:rStyle w:val="Fett"/>
          <w:rFonts w:eastAsiaTheme="majorEastAsia"/>
          <w:rtl/>
        </w:rPr>
        <w:t>וְ</w:t>
      </w:r>
      <w:r>
        <w:rPr>
          <w:rtl/>
        </w:rPr>
        <w:t xml:space="preserve"> </w:t>
      </w:r>
      <w:r>
        <w:t xml:space="preserve">mit </w:t>
      </w:r>
      <w:r>
        <w:rPr>
          <w:rStyle w:val="Fett"/>
          <w:rFonts w:eastAsiaTheme="majorEastAsia"/>
          <w:rtl/>
        </w:rPr>
        <w:t>קַשְׂקֶשֶׂת</w:t>
      </w:r>
      <w:r>
        <w:t xml:space="preserve">, „Schuppe", „das nicht Flossen und Schuppen hat") und </w:t>
      </w:r>
      <w:r>
        <w:rPr>
          <w:rStyle w:val="Fett"/>
          <w:rFonts w:eastAsiaTheme="majorEastAsia"/>
          <w:rtl/>
        </w:rPr>
        <w:t>לֹא תֹאכֵלוּ</w:t>
      </w:r>
      <w:r>
        <w:rPr>
          <w:rtl/>
        </w:rPr>
        <w:t xml:space="preserve"> </w:t>
      </w:r>
      <w:r>
        <w:t xml:space="preserve">(Negation </w:t>
      </w:r>
      <w:r>
        <w:rPr>
          <w:rStyle w:val="Fett"/>
          <w:rFonts w:eastAsiaTheme="majorEastAsia"/>
          <w:rtl/>
        </w:rPr>
        <w:t>לֹא</w:t>
      </w:r>
      <w:r>
        <w:rPr>
          <w:rtl/>
        </w:rPr>
        <w:t xml:space="preserve"> </w:t>
      </w:r>
      <w:r>
        <w:t xml:space="preserve">mit </w:t>
      </w:r>
      <w:r>
        <w:rPr>
          <w:rStyle w:val="Fett"/>
          <w:rFonts w:eastAsiaTheme="majorEastAsia"/>
          <w:rtl/>
        </w:rPr>
        <w:t>אכל</w:t>
      </w:r>
      <w:r>
        <w:t>, Qal Imperfekt, 2. Person Maskulinum Plural, „essen").</w:t>
      </w:r>
    </w:p>
    <w:p w14:paraId="6F6F49DC" w14:textId="77777777" w:rsidR="008068F7" w:rsidRDefault="008068F7" w:rsidP="008068F7">
      <w:pPr>
        <w:pStyle w:val="whitespace-normal"/>
      </w:pPr>
      <w:r>
        <w:rPr>
          <w:rStyle w:val="Fett"/>
          <w:rFonts w:eastAsiaTheme="majorEastAsia"/>
          <w:rtl/>
        </w:rPr>
        <w:t>טָמֵא הוּא לָכֶם</w:t>
      </w:r>
      <w:r>
        <w:rPr>
          <w:rtl/>
        </w:rPr>
        <w:t xml:space="preserve"> </w:t>
      </w:r>
      <w:r>
        <w:t xml:space="preserve">ist ein abschließender Nominalsatz: </w:t>
      </w:r>
      <w:r>
        <w:rPr>
          <w:rStyle w:val="Fett"/>
          <w:rFonts w:eastAsiaTheme="majorEastAsia"/>
          <w:rtl/>
        </w:rPr>
        <w:t>טָמֵא</w:t>
      </w:r>
      <w:r>
        <w:rPr>
          <w:rtl/>
        </w:rPr>
        <w:t xml:space="preserve"> </w:t>
      </w:r>
      <w:r>
        <w:t>(</w:t>
      </w:r>
      <w:r>
        <w:rPr>
          <w:rStyle w:val="Fett"/>
          <w:rFonts w:eastAsiaTheme="majorEastAsia"/>
          <w:rtl/>
        </w:rPr>
        <w:t>טָמֵא</w:t>
      </w:r>
      <w:r>
        <w:t xml:space="preserve">, „unrein") als Prädikatsnomen, </w:t>
      </w:r>
      <w:r>
        <w:rPr>
          <w:rStyle w:val="Fett"/>
          <w:rFonts w:eastAsiaTheme="majorEastAsia"/>
          <w:rtl/>
        </w:rPr>
        <w:t>הוּא</w:t>
      </w:r>
      <w:r>
        <w:rPr>
          <w:rtl/>
        </w:rPr>
        <w:t xml:space="preserve"> </w:t>
      </w:r>
      <w:r>
        <w:t xml:space="preserve">(Personalpronomen 3. Person Maskulinum Singular, „er, es") als Subjekt und </w:t>
      </w:r>
      <w:r>
        <w:rPr>
          <w:rStyle w:val="Fett"/>
          <w:rFonts w:eastAsiaTheme="majorEastAsia"/>
          <w:rtl/>
        </w:rPr>
        <w:t>לָכֶם</w:t>
      </w:r>
      <w:r>
        <w:rPr>
          <w:rtl/>
        </w:rPr>
        <w:t xml:space="preserve"> </w:t>
      </w:r>
      <w:r>
        <w:t xml:space="preserve">(Präposition </w:t>
      </w:r>
      <w:r>
        <w:rPr>
          <w:rStyle w:val="Fett"/>
          <w:rFonts w:eastAsiaTheme="majorEastAsia"/>
          <w:rtl/>
        </w:rPr>
        <w:t>לְ</w:t>
      </w:r>
      <w:r>
        <w:rPr>
          <w:rtl/>
        </w:rPr>
        <w:t xml:space="preserve"> </w:t>
      </w:r>
      <w:r>
        <w:t>mit Suffix 2. Person Maskulinum Plural) als Dativ.</w:t>
      </w:r>
    </w:p>
    <w:p w14:paraId="1B71630D" w14:textId="77777777" w:rsidR="008068F7" w:rsidRDefault="008068F7" w:rsidP="008068F7">
      <w:pPr>
        <w:pStyle w:val="whitespace-normal"/>
      </w:pPr>
      <w:r>
        <w:t xml:space="preserve">Der Vers formuliert die negative Kehrseite von V. 9: Was nicht beide Merkmale (Flossen und Schuppen) hat, ist unrein. Die Struktur entspricht der der Landtiere: Positives Kriterium (V. 6.9) → negative Anwendung (V. 7-8.10). Der abschließende Nominalsatz </w:t>
      </w:r>
      <w:r>
        <w:rPr>
          <w:rStyle w:val="Fett"/>
          <w:rFonts w:eastAsiaTheme="majorEastAsia"/>
          <w:rtl/>
        </w:rPr>
        <w:t>טָמֵא הוּא לָכֶם</w:t>
      </w:r>
      <w:r>
        <w:rPr>
          <w:rtl/>
        </w:rPr>
        <w:t xml:space="preserve"> </w:t>
      </w:r>
      <w:r>
        <w:t>gibt die rechtliche Qualifikation: kultisch unrein.</w:t>
      </w:r>
    </w:p>
    <w:p w14:paraId="67F1B360" w14:textId="77777777" w:rsidR="008068F7" w:rsidRDefault="008068F7" w:rsidP="008068F7">
      <w:pPr>
        <w:pStyle w:val="whitespace-normal"/>
      </w:pPr>
      <w:r>
        <w:rPr>
          <w:rStyle w:val="Fett"/>
          <w:rFonts w:eastAsiaTheme="majorEastAsia"/>
        </w:rPr>
        <w:t>Die Satzstruktur</w:t>
      </w:r>
      <w:r>
        <w:t xml:space="preserve"> besteht aus einem negativen Imperativsatz und einem Nominalsatz: Direktes Objekt (alles), Relativsatz (das nicht Flossen und Schuppen hat), Negation (nicht), Prädikat (sollt ihr essen); Nominalsatz (unrein ist es für euch).</w:t>
      </w:r>
    </w:p>
    <w:p w14:paraId="3E7B58EB" w14:textId="77777777" w:rsidR="008068F7" w:rsidRDefault="008068F7" w:rsidP="008068F7">
      <w:pPr>
        <w:pStyle w:val="whitespace-normal"/>
      </w:pPr>
      <w:r>
        <w:t>Der Vers verbietet alle Wassertiere ohne Flossen und Schuppen und erklärt sie für unrein.</w:t>
      </w:r>
    </w:p>
    <w:p w14:paraId="1D0F108E" w14:textId="77777777" w:rsidR="008068F7" w:rsidRPr="008068F7" w:rsidRDefault="008068F7" w:rsidP="008068F7">
      <w:pPr>
        <w:pStyle w:val="berschrift1"/>
        <w:rPr>
          <w:rFonts w:ascii="Times New Roman" w:hAnsi="Times New Roman"/>
          <w:color w:val="auto"/>
          <w:sz w:val="36"/>
          <w:szCs w:val="36"/>
        </w:rPr>
      </w:pPr>
      <w:r w:rsidRPr="008068F7">
        <w:rPr>
          <w:rStyle w:val="Fett"/>
          <w:rFonts w:ascii="Times New Roman" w:hAnsi="Times New Roman"/>
          <w:color w:val="auto"/>
          <w:sz w:val="36"/>
          <w:szCs w:val="36"/>
        </w:rPr>
        <w:t>Deuteronomium 14,11</w:t>
      </w:r>
    </w:p>
    <w:p w14:paraId="65FAE19D" w14:textId="77777777" w:rsidR="008068F7" w:rsidRDefault="008068F7" w:rsidP="008068F7">
      <w:pPr>
        <w:pStyle w:val="whitespace-normal"/>
      </w:pPr>
      <w:r>
        <w:rPr>
          <w:rStyle w:val="Fett"/>
          <w:rFonts w:eastAsiaTheme="majorEastAsia"/>
        </w:rPr>
        <w:t>Hebräisch:</w:t>
      </w:r>
      <w:r>
        <w:t xml:space="preserve"> </w:t>
      </w:r>
      <w:r>
        <w:rPr>
          <w:rtl/>
        </w:rPr>
        <w:t>כָּל־צִפּ֥וֹר טְהֹרָ֖ה תֹּאכֵֽלוּ׃</w:t>
      </w:r>
    </w:p>
    <w:p w14:paraId="64AE2F8E" w14:textId="77777777" w:rsidR="008068F7" w:rsidRDefault="008068F7" w:rsidP="008068F7">
      <w:pPr>
        <w:pStyle w:val="whitespace-normal"/>
      </w:pPr>
      <w:r>
        <w:rPr>
          <w:rStyle w:val="Fett"/>
          <w:rFonts w:eastAsiaTheme="majorEastAsia"/>
        </w:rPr>
        <w:t>Deutsch:</w:t>
      </w:r>
      <w:r>
        <w:t xml:space="preserve"> Alle reinen Vögel dürft ihr essen.</w:t>
      </w:r>
    </w:p>
    <w:p w14:paraId="09634D88" w14:textId="77777777" w:rsidR="008068F7" w:rsidRDefault="004F5CEB" w:rsidP="008068F7">
      <w:r>
        <w:rPr>
          <w:noProof/>
        </w:rPr>
        <w:lastRenderedPageBreak/>
        <w:pict w14:anchorId="16B1B8A2">
          <v:rect id="_x0000_i1432" style="width:0;height:1.5pt" o:hralign="center" o:hrstd="t" o:hr="t" fillcolor="#a0a0a0" stroked="f"/>
        </w:pict>
      </w:r>
    </w:p>
    <w:p w14:paraId="41A1FFF2" w14:textId="77777777" w:rsidR="008068F7" w:rsidRDefault="008068F7" w:rsidP="008068F7">
      <w:pPr>
        <w:pStyle w:val="whitespace-normal"/>
      </w:pPr>
      <w:r>
        <w:rPr>
          <w:rStyle w:val="Fett"/>
          <w:rFonts w:eastAsiaTheme="majorEastAsia"/>
        </w:rPr>
        <w:t>Kommentar:</w:t>
      </w:r>
      <w:r>
        <w:t xml:space="preserve"> </w:t>
      </w:r>
      <w:r>
        <w:rPr>
          <w:rStyle w:val="Fett"/>
          <w:rFonts w:eastAsiaTheme="majorEastAsia"/>
          <w:rtl/>
        </w:rPr>
        <w:t>כָּל־צִפּוֹר טְהֹרָה תֹּאכֵלוּ</w:t>
      </w:r>
      <w:r>
        <w:rPr>
          <w:rtl/>
        </w:rPr>
        <w:t xml:space="preserve"> </w:t>
      </w:r>
      <w:r>
        <w:t xml:space="preserve">ist ein einfacher Imperativsatz: </w:t>
      </w:r>
      <w:r>
        <w:rPr>
          <w:rStyle w:val="Fett"/>
          <w:rFonts w:eastAsiaTheme="majorEastAsia"/>
          <w:rtl/>
        </w:rPr>
        <w:t>כָּל־צִפּוֹר טְהֹרָה</w:t>
      </w:r>
      <w:r>
        <w:rPr>
          <w:rtl/>
        </w:rPr>
        <w:t xml:space="preserve"> </w:t>
      </w:r>
      <w:r>
        <w:t>(</w:t>
      </w:r>
      <w:r>
        <w:rPr>
          <w:rStyle w:val="Fett"/>
          <w:rFonts w:eastAsiaTheme="majorEastAsia"/>
          <w:rtl/>
        </w:rPr>
        <w:t>כֹּל</w:t>
      </w:r>
      <w:r>
        <w:t xml:space="preserve">, „all, jeder", im Construct mit </w:t>
      </w:r>
      <w:r>
        <w:rPr>
          <w:rStyle w:val="Fett"/>
          <w:rFonts w:eastAsiaTheme="majorEastAsia"/>
          <w:rtl/>
        </w:rPr>
        <w:t>צִפּוֹר</w:t>
      </w:r>
      <w:r>
        <w:t xml:space="preserve">, „Vogel", qualifiziert durch </w:t>
      </w:r>
      <w:r>
        <w:rPr>
          <w:rStyle w:val="Fett"/>
          <w:rFonts w:eastAsiaTheme="majorEastAsia"/>
          <w:rtl/>
        </w:rPr>
        <w:t>טָהוֹר</w:t>
      </w:r>
      <w:r>
        <w:t xml:space="preserve">, „rein", feminin </w:t>
      </w:r>
      <w:r>
        <w:rPr>
          <w:rStyle w:val="Fett"/>
          <w:rFonts w:eastAsiaTheme="majorEastAsia"/>
          <w:rtl/>
        </w:rPr>
        <w:t>טְהֹרָה</w:t>
      </w:r>
      <w:r>
        <w:t xml:space="preserve">, „jeder reine Vogel, alle reinen Vögel") als direktes Objekt und </w:t>
      </w:r>
      <w:r>
        <w:rPr>
          <w:rStyle w:val="Fett"/>
          <w:rFonts w:eastAsiaTheme="majorEastAsia"/>
          <w:rtl/>
        </w:rPr>
        <w:t>תֹּאכֵלוּ</w:t>
      </w:r>
      <w:r>
        <w:rPr>
          <w:rtl/>
        </w:rPr>
        <w:t xml:space="preserve"> </w:t>
      </w:r>
      <w:r>
        <w:t xml:space="preserve">(Qal Imperfekt, 2. Person Maskulinum Plural von </w:t>
      </w:r>
      <w:r>
        <w:rPr>
          <w:rStyle w:val="Fett"/>
          <w:rFonts w:eastAsiaTheme="majorEastAsia"/>
          <w:rtl/>
        </w:rPr>
        <w:t>אכל</w:t>
      </w:r>
      <w:r>
        <w:t>, „essen") als Prädikat.</w:t>
      </w:r>
    </w:p>
    <w:p w14:paraId="7EE4C0D3" w14:textId="77777777" w:rsidR="008068F7" w:rsidRDefault="008068F7" w:rsidP="008068F7">
      <w:pPr>
        <w:pStyle w:val="whitespace-normal"/>
      </w:pPr>
      <w:r>
        <w:t>Der Vers leitet zu den Vögeln über, verwendet aber einen anderen Ansatz als bei Landtieren und Wassertieren: Statt ein positives Kriterium anzugeben (wie gespaltene Hufe/Wiederkäuen oder Flossen/Schuppen), wird pauschal gesagt: alle reinen Vögel. Was „rein" ist, wird dann negativ definiert durch die Liste der unreinen Vögel in V. 12-18.</w:t>
      </w:r>
    </w:p>
    <w:p w14:paraId="28C65DA8" w14:textId="77777777" w:rsidR="008068F7" w:rsidRDefault="008068F7" w:rsidP="008068F7">
      <w:pPr>
        <w:pStyle w:val="whitespace-normal"/>
      </w:pPr>
      <w:r>
        <w:t xml:space="preserve">Das Adjektiv </w:t>
      </w:r>
      <w:r>
        <w:rPr>
          <w:rStyle w:val="Fett"/>
          <w:rFonts w:eastAsiaTheme="majorEastAsia"/>
          <w:rtl/>
        </w:rPr>
        <w:t>טְהֹרָה</w:t>
      </w:r>
      <w:r>
        <w:rPr>
          <w:rtl/>
        </w:rPr>
        <w:t xml:space="preserve"> </w:t>
      </w:r>
      <w:r>
        <w:t xml:space="preserve">(„rein") steht im Gegensatz zu </w:t>
      </w:r>
      <w:r>
        <w:rPr>
          <w:rStyle w:val="Fett"/>
          <w:rFonts w:eastAsiaTheme="majorEastAsia"/>
          <w:rtl/>
        </w:rPr>
        <w:t>טָמֵא</w:t>
      </w:r>
      <w:r>
        <w:rPr>
          <w:rtl/>
        </w:rPr>
        <w:t xml:space="preserve"> </w:t>
      </w:r>
      <w:r>
        <w:t>(„unrein") aus den vorherigen Versen. Die positive Formulierung betont die Erlaubnis: Die meisten Vögel dürfen gegessen werden, nur bestimmte sind verboten.</w:t>
      </w:r>
    </w:p>
    <w:p w14:paraId="5D03CB60" w14:textId="77777777" w:rsidR="008068F7" w:rsidRDefault="008068F7" w:rsidP="008068F7">
      <w:pPr>
        <w:pStyle w:val="whitespace-normal"/>
      </w:pPr>
      <w:r>
        <w:rPr>
          <w:rStyle w:val="Fett"/>
          <w:rFonts w:eastAsiaTheme="majorEastAsia"/>
        </w:rPr>
        <w:t>Die Satzstruktur</w:t>
      </w:r>
      <w:r>
        <w:t xml:space="preserve"> besteht aus einem einfachen Satz: Direktes Objekt (alle reinen Vögel), Prädikat (dürft ihr essen).</w:t>
      </w:r>
    </w:p>
    <w:p w14:paraId="759DF771" w14:textId="77777777" w:rsidR="008068F7" w:rsidRDefault="008068F7" w:rsidP="008068F7">
      <w:pPr>
        <w:pStyle w:val="whitespace-normal"/>
      </w:pPr>
      <w:r>
        <w:t>Der Vers erlaubt pauschal alle reinen Vögel, wobei die Liste der unreinen Vögel in V. 12-18 folgt.</w:t>
      </w:r>
    </w:p>
    <w:p w14:paraId="60D47474" w14:textId="77777777" w:rsidR="008068F7" w:rsidRPr="008068F7" w:rsidRDefault="008068F7" w:rsidP="008068F7">
      <w:pPr>
        <w:pStyle w:val="berschrift1"/>
        <w:rPr>
          <w:rFonts w:ascii="Times New Roman" w:hAnsi="Times New Roman"/>
          <w:color w:val="auto"/>
          <w:sz w:val="36"/>
          <w:szCs w:val="36"/>
        </w:rPr>
      </w:pPr>
      <w:r w:rsidRPr="008068F7">
        <w:rPr>
          <w:rStyle w:val="Fett"/>
          <w:rFonts w:ascii="Times New Roman" w:hAnsi="Times New Roman"/>
          <w:color w:val="auto"/>
          <w:sz w:val="36"/>
          <w:szCs w:val="36"/>
        </w:rPr>
        <w:t>Deuteronomium 14,12-18</w:t>
      </w:r>
    </w:p>
    <w:p w14:paraId="5184629A" w14:textId="77777777" w:rsidR="008068F7" w:rsidRDefault="008068F7" w:rsidP="008068F7">
      <w:pPr>
        <w:pStyle w:val="whitespace-normal"/>
      </w:pPr>
      <w:r>
        <w:rPr>
          <w:rStyle w:val="Fett"/>
          <w:rFonts w:eastAsiaTheme="majorEastAsia"/>
        </w:rPr>
        <w:t>Hebräisch:</w:t>
      </w:r>
      <w:r>
        <w:t xml:space="preserve"> V. 12: </w:t>
      </w:r>
      <w:r>
        <w:rPr>
          <w:rtl/>
        </w:rPr>
        <w:t xml:space="preserve">וְזֶ֕ה אֲשֶׁ֥ר לֹֽא־תֹאכְל֖וּ מֵהֶ֑ם הַנֶּ֥שֶׁר וְהַפֶּ֖רֶס וְהָֽעָזְנִיָּֽה׃ </w:t>
      </w:r>
      <w:r>
        <w:t xml:space="preserve">V. 13: </w:t>
      </w:r>
      <w:r>
        <w:rPr>
          <w:rtl/>
        </w:rPr>
        <w:t xml:space="preserve">וְהָרָאָה֙ וְאֶת־הָ֣אַיָּ֔ה וְהַדַּיָּ֖ה לְמִינָֽהּ׃ </w:t>
      </w:r>
      <w:r>
        <w:t xml:space="preserve">V. 14: </w:t>
      </w:r>
      <w:r>
        <w:rPr>
          <w:rtl/>
        </w:rPr>
        <w:t xml:space="preserve">וְאֵ֥ת כָּל־עֹרֵ֖ב לְמִינֹֽו׃ </w:t>
      </w:r>
      <w:r>
        <w:t xml:space="preserve">V. 15: </w:t>
      </w:r>
      <w:r>
        <w:rPr>
          <w:rtl/>
        </w:rPr>
        <w:t xml:space="preserve">וְאֵת֙ בַּ֣ת הַֽיַּעֲנָ֔ה וְאֶת־הַתַּחְמָ֖ס וְאֶת־הַשָּׁ֑חַף וְאֶת־הַנֵּ֖ץ לְמִינֵֽהוּ׃ </w:t>
      </w:r>
      <w:r>
        <w:t xml:space="preserve">V. 16: </w:t>
      </w:r>
      <w:r>
        <w:rPr>
          <w:rtl/>
        </w:rPr>
        <w:t xml:space="preserve">אֶת־הַכּ֥וֹס וְאֶת־הַיַּנְשׁ֖וּף וְהַתִּנְשָֽׁמֶת׃ </w:t>
      </w:r>
      <w:r>
        <w:t xml:space="preserve">V. 17: </w:t>
      </w:r>
      <w:r>
        <w:rPr>
          <w:rtl/>
        </w:rPr>
        <w:t xml:space="preserve">וְהַקָּאָ֥ת וְאֶֽת־הָרָחָ֖מָה וְאֶת־הַשָּׁלָֽךְ׃ </w:t>
      </w:r>
      <w:r>
        <w:t xml:space="preserve">V. 18: </w:t>
      </w:r>
      <w:r>
        <w:rPr>
          <w:rtl/>
        </w:rPr>
        <w:t>וְהַ֣חֲסִידָ֔ה וְהָאֲנָפָ֖ה לְמִינָ֑הּ וְהַדּוּכִיפַ֖ת וְהָעֲטַלֵּֽף׃</w:t>
      </w:r>
    </w:p>
    <w:p w14:paraId="5EC78D54" w14:textId="77777777" w:rsidR="008068F7" w:rsidRDefault="008068F7" w:rsidP="008068F7">
      <w:pPr>
        <w:pStyle w:val="whitespace-normal"/>
      </w:pPr>
      <w:r>
        <w:rPr>
          <w:rStyle w:val="Fett"/>
          <w:rFonts w:eastAsiaTheme="majorEastAsia"/>
        </w:rPr>
        <w:t>Deutsch:</w:t>
      </w:r>
      <w:r>
        <w:t xml:space="preserve"> V. 12: Aber diese sind es, von denen ihr nicht essen sollt: der Adler und der Steinadler und der Meeradler, V. 13: und der Falke und der Habicht und die Weihe nach ihrer Art, V. 14: und alle Raben nach ihrer Art, V. 15: und die Straußhenne und der Strauß und die Möwe und der Sperber nach seiner Art, V. 16: die Eule und der Ibis und das Purpurhuhn, V. 17: und der Pelikan und der Aasgeier und der Sturzpelikan, V. 18: und der Storch und der Fischreiher nach seiner Art, und der Wiedehopf und die Fledermaus.</w:t>
      </w:r>
    </w:p>
    <w:p w14:paraId="2885B21F" w14:textId="77777777" w:rsidR="008068F7" w:rsidRDefault="004F5CEB" w:rsidP="008068F7">
      <w:r>
        <w:rPr>
          <w:noProof/>
        </w:rPr>
        <w:pict w14:anchorId="7E313091">
          <v:rect id="_x0000_i1433" style="width:0;height:1.5pt" o:hralign="center" o:hrstd="t" o:hr="t" fillcolor="#a0a0a0" stroked="f"/>
        </w:pict>
      </w:r>
    </w:p>
    <w:p w14:paraId="2C0F2A9A" w14:textId="77777777" w:rsidR="008068F7" w:rsidRDefault="008068F7" w:rsidP="008068F7">
      <w:pPr>
        <w:pStyle w:val="whitespace-normal"/>
      </w:pPr>
      <w:r>
        <w:rPr>
          <w:rStyle w:val="Fett"/>
          <w:rFonts w:eastAsiaTheme="majorEastAsia"/>
        </w:rPr>
        <w:t>Kommentar:</w:t>
      </w:r>
      <w:r>
        <w:t xml:space="preserve"> </w:t>
      </w:r>
      <w:r>
        <w:rPr>
          <w:rStyle w:val="Fett"/>
          <w:rFonts w:eastAsiaTheme="majorEastAsia"/>
          <w:rtl/>
        </w:rPr>
        <w:t>וְזֶה אֲשֶׁר לֹא־תֹאכְלוּ מֵהֶם</w:t>
      </w:r>
      <w:r>
        <w:rPr>
          <w:rtl/>
        </w:rPr>
        <w:t xml:space="preserve"> </w:t>
      </w:r>
      <w:r>
        <w:t xml:space="preserve">ist eine einleitende Formel: </w:t>
      </w:r>
      <w:r>
        <w:rPr>
          <w:rStyle w:val="Fett"/>
          <w:rFonts w:eastAsiaTheme="majorEastAsia"/>
          <w:rtl/>
        </w:rPr>
        <w:t>וְזֶה</w:t>
      </w:r>
      <w:r>
        <w:rPr>
          <w:rtl/>
        </w:rPr>
        <w:t xml:space="preserve"> </w:t>
      </w:r>
      <w:r>
        <w:t xml:space="preserve">(koordiniert durch </w:t>
      </w:r>
      <w:r>
        <w:rPr>
          <w:rStyle w:val="Fett"/>
          <w:rFonts w:eastAsiaTheme="majorEastAsia"/>
          <w:rtl/>
        </w:rPr>
        <w:t>וְ</w:t>
      </w:r>
      <w:r>
        <w:rPr>
          <w:rtl/>
        </w:rPr>
        <w:t xml:space="preserve"> </w:t>
      </w:r>
      <w:r>
        <w:t xml:space="preserve">mit Demonstrativpronomen </w:t>
      </w:r>
      <w:r>
        <w:rPr>
          <w:rStyle w:val="Fett"/>
          <w:rFonts w:eastAsiaTheme="majorEastAsia"/>
          <w:rtl/>
        </w:rPr>
        <w:t>זֶה</w:t>
      </w:r>
      <w:r>
        <w:t xml:space="preserve">, „dies, diese"), </w:t>
      </w:r>
      <w:r>
        <w:rPr>
          <w:rStyle w:val="Fett"/>
          <w:rFonts w:eastAsiaTheme="majorEastAsia"/>
          <w:rtl/>
        </w:rPr>
        <w:t>אֲשֶׁר לֹא־תֹאכְלוּ</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לֹא־תֹאכְלוּ</w:t>
      </w:r>
      <w:r>
        <w:t xml:space="preserve">, Negation </w:t>
      </w:r>
      <w:r>
        <w:rPr>
          <w:rStyle w:val="Fett"/>
          <w:rFonts w:eastAsiaTheme="majorEastAsia"/>
          <w:rtl/>
        </w:rPr>
        <w:t>לֹא</w:t>
      </w:r>
      <w:r>
        <w:rPr>
          <w:rtl/>
        </w:rPr>
        <w:t xml:space="preserve"> </w:t>
      </w:r>
      <w:r>
        <w:t xml:space="preserve">mit </w:t>
      </w:r>
      <w:r>
        <w:rPr>
          <w:rStyle w:val="Fett"/>
          <w:rFonts w:eastAsiaTheme="majorEastAsia"/>
          <w:rtl/>
        </w:rPr>
        <w:t>אכל</w:t>
      </w:r>
      <w:r>
        <w:t xml:space="preserve">, Qal Imperfekt, 2. Person Maskulinum Plural, „essen", „die ihr nicht essen sollt") und </w:t>
      </w:r>
      <w:r>
        <w:rPr>
          <w:rStyle w:val="Fett"/>
          <w:rFonts w:eastAsiaTheme="majorEastAsia"/>
          <w:rtl/>
        </w:rPr>
        <w:t>מֵהֶם</w:t>
      </w:r>
      <w:r>
        <w:rPr>
          <w:rtl/>
        </w:rPr>
        <w:t xml:space="preserve"> </w:t>
      </w:r>
      <w:r>
        <w:t xml:space="preserve">(Präposition </w:t>
      </w:r>
      <w:r>
        <w:rPr>
          <w:rStyle w:val="Fett"/>
          <w:rFonts w:eastAsiaTheme="majorEastAsia"/>
          <w:rtl/>
        </w:rPr>
        <w:t>מִן</w:t>
      </w:r>
      <w:r>
        <w:t>, „von", mit Suffix 3. Person Maskulinum Plural, „von ihnen") als Herkunftsangabe.</w:t>
      </w:r>
    </w:p>
    <w:p w14:paraId="5CE21987" w14:textId="77777777" w:rsidR="008068F7" w:rsidRDefault="008068F7" w:rsidP="008068F7">
      <w:pPr>
        <w:pStyle w:val="whitespace-normal"/>
      </w:pPr>
      <w:r>
        <w:t>Die Liste umfasst 20 (oder 21, je nach Zählung) Vogelarten. Die genaue Identifikation ist schwierig, da viele dieser hebräischen Namen selten vorkommen und ihre genaue zoologische Entsprechung unsicher ist. Die meisten sind Raubvögel oder Aasfresser.</w:t>
      </w:r>
    </w:p>
    <w:p w14:paraId="68FA4A19" w14:textId="77777777" w:rsidR="008068F7" w:rsidRDefault="008068F7" w:rsidP="008068F7">
      <w:pPr>
        <w:pStyle w:val="whitespace-normal"/>
      </w:pPr>
      <w:r>
        <w:lastRenderedPageBreak/>
        <w:t xml:space="preserve">V. 12: </w:t>
      </w:r>
      <w:r>
        <w:rPr>
          <w:rStyle w:val="Fett"/>
          <w:rFonts w:eastAsiaTheme="majorEastAsia"/>
          <w:rtl/>
        </w:rPr>
        <w:t>הַנֶּשֶׁר</w:t>
      </w:r>
      <w:r>
        <w:rPr>
          <w:rtl/>
        </w:rPr>
        <w:t xml:space="preserve"> </w:t>
      </w:r>
      <w:r>
        <w:t xml:space="preserve">(„Adler, Geier"), </w:t>
      </w:r>
      <w:r>
        <w:rPr>
          <w:rStyle w:val="Fett"/>
          <w:rFonts w:eastAsiaTheme="majorEastAsia"/>
          <w:rtl/>
        </w:rPr>
        <w:t>וְהַפֶּרֶס</w:t>
      </w:r>
      <w:r>
        <w:rPr>
          <w:rtl/>
        </w:rPr>
        <w:t xml:space="preserve"> </w:t>
      </w:r>
      <w:r>
        <w:t xml:space="preserve">(„Bartgeier, Steinadler, Lämmergeier"), </w:t>
      </w:r>
      <w:r>
        <w:rPr>
          <w:rStyle w:val="Fett"/>
          <w:rFonts w:eastAsiaTheme="majorEastAsia"/>
          <w:rtl/>
        </w:rPr>
        <w:t>וְהָעָזְנִיָּה</w:t>
      </w:r>
      <w:r>
        <w:rPr>
          <w:rtl/>
        </w:rPr>
        <w:t xml:space="preserve"> </w:t>
      </w:r>
      <w:r>
        <w:t>(„Fischadler, Meeradler, Seeadler")</w:t>
      </w:r>
    </w:p>
    <w:p w14:paraId="64F99D29" w14:textId="77777777" w:rsidR="008068F7" w:rsidRDefault="008068F7" w:rsidP="008068F7">
      <w:pPr>
        <w:pStyle w:val="whitespace-normal"/>
      </w:pPr>
      <w:r>
        <w:t xml:space="preserve">V. 13: </w:t>
      </w:r>
      <w:r>
        <w:rPr>
          <w:rStyle w:val="Fett"/>
          <w:rFonts w:eastAsiaTheme="majorEastAsia"/>
          <w:rtl/>
        </w:rPr>
        <w:t>וְהָרָאָה</w:t>
      </w:r>
      <w:r>
        <w:rPr>
          <w:rtl/>
        </w:rPr>
        <w:t xml:space="preserve"> </w:t>
      </w:r>
      <w:r>
        <w:t xml:space="preserve">(„Falke, Weihe, Habicht"), </w:t>
      </w:r>
      <w:r>
        <w:rPr>
          <w:rStyle w:val="Fett"/>
          <w:rFonts w:eastAsiaTheme="majorEastAsia"/>
          <w:rtl/>
        </w:rPr>
        <w:t>וְאֶת־הָאַיָּה</w:t>
      </w:r>
      <w:r>
        <w:rPr>
          <w:rtl/>
        </w:rPr>
        <w:t xml:space="preserve"> </w:t>
      </w:r>
      <w:r>
        <w:t xml:space="preserve">(„Milan, Weihe, Habicht"), </w:t>
      </w:r>
      <w:r>
        <w:rPr>
          <w:rStyle w:val="Fett"/>
          <w:rFonts w:eastAsiaTheme="majorEastAsia"/>
          <w:rtl/>
        </w:rPr>
        <w:t>וְהַדַּיָּה לְמִינָהּ</w:t>
      </w:r>
      <w:r>
        <w:rPr>
          <w:rtl/>
        </w:rPr>
        <w:t xml:space="preserve"> </w:t>
      </w:r>
      <w:r>
        <w:t>(„Weihe nach ihrer Art")</w:t>
      </w:r>
    </w:p>
    <w:p w14:paraId="570F264E" w14:textId="77777777" w:rsidR="008068F7" w:rsidRDefault="008068F7" w:rsidP="008068F7">
      <w:pPr>
        <w:pStyle w:val="whitespace-normal"/>
      </w:pPr>
      <w:r>
        <w:t xml:space="preserve">V. 14: </w:t>
      </w:r>
      <w:r>
        <w:rPr>
          <w:rStyle w:val="Fett"/>
          <w:rFonts w:eastAsiaTheme="majorEastAsia"/>
          <w:rtl/>
        </w:rPr>
        <w:t>וְאֵת כָּל־עֹרֵב לְמִינוֹ</w:t>
      </w:r>
      <w:r>
        <w:rPr>
          <w:rtl/>
        </w:rPr>
        <w:t xml:space="preserve"> </w:t>
      </w:r>
      <w:r>
        <w:t>(„alle Raben nach ihrer Art") – umfasst verschiedene Rabenarten</w:t>
      </w:r>
    </w:p>
    <w:p w14:paraId="7B3D5433" w14:textId="77777777" w:rsidR="008068F7" w:rsidRDefault="008068F7" w:rsidP="008068F7">
      <w:pPr>
        <w:pStyle w:val="whitespace-normal"/>
      </w:pPr>
      <w:r>
        <w:t xml:space="preserve">V. 15: </w:t>
      </w:r>
      <w:r>
        <w:rPr>
          <w:rStyle w:val="Fett"/>
          <w:rFonts w:eastAsiaTheme="majorEastAsia"/>
          <w:rtl/>
        </w:rPr>
        <w:t>וְאֵת בַּת הַיַּעֲנָה</w:t>
      </w:r>
      <w:r>
        <w:rPr>
          <w:rtl/>
        </w:rPr>
        <w:t xml:space="preserve"> </w:t>
      </w:r>
      <w:r>
        <w:t xml:space="preserve">(„Straußhenne, Tochter des Schreis"), </w:t>
      </w:r>
      <w:r>
        <w:rPr>
          <w:rStyle w:val="Fett"/>
          <w:rFonts w:eastAsiaTheme="majorEastAsia"/>
          <w:rtl/>
        </w:rPr>
        <w:t>וְאֶת־הַתַּחְמָס</w:t>
      </w:r>
      <w:r>
        <w:rPr>
          <w:rtl/>
        </w:rPr>
        <w:t xml:space="preserve"> </w:t>
      </w:r>
      <w:r>
        <w:t xml:space="preserve">(„Nachtschwalbe, Schwalbe, Strauß"), </w:t>
      </w:r>
      <w:r>
        <w:rPr>
          <w:rStyle w:val="Fett"/>
          <w:rFonts w:eastAsiaTheme="majorEastAsia"/>
          <w:rtl/>
        </w:rPr>
        <w:t>וְאֶת־הַשָּׁחַף</w:t>
      </w:r>
      <w:r>
        <w:rPr>
          <w:rtl/>
        </w:rPr>
        <w:t xml:space="preserve"> </w:t>
      </w:r>
      <w:r>
        <w:t xml:space="preserve">(„Möwe, Seeschwalbe"), </w:t>
      </w:r>
      <w:r>
        <w:rPr>
          <w:rStyle w:val="Fett"/>
          <w:rFonts w:eastAsiaTheme="majorEastAsia"/>
          <w:rtl/>
        </w:rPr>
        <w:t>וְאֶת־הַנֵּץ לְמִינֵהוּ</w:t>
      </w:r>
      <w:r>
        <w:rPr>
          <w:rtl/>
        </w:rPr>
        <w:t xml:space="preserve"> </w:t>
      </w:r>
      <w:r>
        <w:t>(„Sperber, Habicht nach seiner Art")</w:t>
      </w:r>
    </w:p>
    <w:p w14:paraId="7AD42EDF" w14:textId="77777777" w:rsidR="008068F7" w:rsidRDefault="008068F7" w:rsidP="008068F7">
      <w:pPr>
        <w:pStyle w:val="whitespace-normal"/>
      </w:pPr>
      <w:r>
        <w:t xml:space="preserve">V. 16: </w:t>
      </w:r>
      <w:r>
        <w:rPr>
          <w:rStyle w:val="Fett"/>
          <w:rFonts w:eastAsiaTheme="majorEastAsia"/>
          <w:rtl/>
        </w:rPr>
        <w:t>אֶת־הַכּוֹס</w:t>
      </w:r>
      <w:r>
        <w:rPr>
          <w:rtl/>
        </w:rPr>
        <w:t xml:space="preserve"> </w:t>
      </w:r>
      <w:r>
        <w:t xml:space="preserve">(„Kauz, kleine Eule"), </w:t>
      </w:r>
      <w:r>
        <w:rPr>
          <w:rStyle w:val="Fett"/>
          <w:rFonts w:eastAsiaTheme="majorEastAsia"/>
          <w:rtl/>
        </w:rPr>
        <w:t>וְאֶת־הַיַּנְשׁוּף</w:t>
      </w:r>
      <w:r>
        <w:rPr>
          <w:rtl/>
        </w:rPr>
        <w:t xml:space="preserve"> </w:t>
      </w:r>
      <w:r>
        <w:t xml:space="preserve">(„Uhu, Ibis"), </w:t>
      </w:r>
      <w:r>
        <w:rPr>
          <w:rStyle w:val="Fett"/>
          <w:rFonts w:eastAsiaTheme="majorEastAsia"/>
          <w:rtl/>
        </w:rPr>
        <w:t>וְהַתִּנְשָׁמֶת</w:t>
      </w:r>
      <w:r>
        <w:rPr>
          <w:rtl/>
        </w:rPr>
        <w:t xml:space="preserve"> </w:t>
      </w:r>
      <w:r>
        <w:t>(„Eule, Purpurhuhn, Schwan")</w:t>
      </w:r>
    </w:p>
    <w:p w14:paraId="39171514" w14:textId="77777777" w:rsidR="008068F7" w:rsidRDefault="008068F7" w:rsidP="008068F7">
      <w:pPr>
        <w:pStyle w:val="whitespace-normal"/>
      </w:pPr>
      <w:r>
        <w:t xml:space="preserve">V. 17: </w:t>
      </w:r>
      <w:r>
        <w:rPr>
          <w:rStyle w:val="Fett"/>
          <w:rFonts w:eastAsiaTheme="majorEastAsia"/>
          <w:rtl/>
        </w:rPr>
        <w:t>וְהַקָּאָת</w:t>
      </w:r>
      <w:r>
        <w:rPr>
          <w:rtl/>
        </w:rPr>
        <w:t xml:space="preserve"> </w:t>
      </w:r>
      <w:r>
        <w:t xml:space="preserve">(„Pelikan, </w:t>
      </w:r>
      <w:proofErr w:type="spellStart"/>
      <w:r>
        <w:t>Würfnatter</w:t>
      </w:r>
      <w:proofErr w:type="spellEnd"/>
      <w:r>
        <w:t xml:space="preserve">"), </w:t>
      </w:r>
      <w:r>
        <w:rPr>
          <w:rStyle w:val="Fett"/>
          <w:rFonts w:eastAsiaTheme="majorEastAsia"/>
          <w:rtl/>
        </w:rPr>
        <w:t>וְאֶת־הָרָחָמָה</w:t>
      </w:r>
      <w:r>
        <w:rPr>
          <w:rtl/>
        </w:rPr>
        <w:t xml:space="preserve"> </w:t>
      </w:r>
      <w:r>
        <w:t xml:space="preserve">(„Aasgeier, Geier"), </w:t>
      </w:r>
      <w:r>
        <w:rPr>
          <w:rStyle w:val="Fett"/>
          <w:rFonts w:eastAsiaTheme="majorEastAsia"/>
          <w:rtl/>
        </w:rPr>
        <w:t>וְאֶת־הַשָּׁלָךְ</w:t>
      </w:r>
      <w:r>
        <w:rPr>
          <w:rtl/>
        </w:rPr>
        <w:t xml:space="preserve"> </w:t>
      </w:r>
      <w:r>
        <w:t>(„Kormoran, Sturzpelikan")</w:t>
      </w:r>
    </w:p>
    <w:p w14:paraId="459061AE" w14:textId="77777777" w:rsidR="008068F7" w:rsidRDefault="008068F7" w:rsidP="008068F7">
      <w:pPr>
        <w:pStyle w:val="whitespace-normal"/>
      </w:pPr>
      <w:r>
        <w:t xml:space="preserve">V. 18: </w:t>
      </w:r>
      <w:r>
        <w:rPr>
          <w:rStyle w:val="Fett"/>
          <w:rFonts w:eastAsiaTheme="majorEastAsia"/>
          <w:rtl/>
        </w:rPr>
        <w:t>וְהַחֲסִידָה</w:t>
      </w:r>
      <w:r>
        <w:rPr>
          <w:rtl/>
        </w:rPr>
        <w:t xml:space="preserve"> </w:t>
      </w:r>
      <w:r>
        <w:t xml:space="preserve">(„Storch"), </w:t>
      </w:r>
      <w:r>
        <w:rPr>
          <w:rStyle w:val="Fett"/>
          <w:rFonts w:eastAsiaTheme="majorEastAsia"/>
          <w:rtl/>
        </w:rPr>
        <w:t>וְהָאֲנָפָה לְמִינָהּ</w:t>
      </w:r>
      <w:r>
        <w:rPr>
          <w:rtl/>
        </w:rPr>
        <w:t xml:space="preserve"> </w:t>
      </w:r>
      <w:r>
        <w:t xml:space="preserve">(„Reiher, Fischreiher nach seiner Art"), </w:t>
      </w:r>
      <w:r>
        <w:rPr>
          <w:rStyle w:val="Fett"/>
          <w:rFonts w:eastAsiaTheme="majorEastAsia"/>
          <w:rtl/>
        </w:rPr>
        <w:t>וְהַדּוּכִיפַת</w:t>
      </w:r>
      <w:r>
        <w:rPr>
          <w:rtl/>
        </w:rPr>
        <w:t xml:space="preserve"> </w:t>
      </w:r>
      <w:r>
        <w:t xml:space="preserve">(„Wiedehopf"), </w:t>
      </w:r>
      <w:r>
        <w:rPr>
          <w:rStyle w:val="Fett"/>
          <w:rFonts w:eastAsiaTheme="majorEastAsia"/>
          <w:rtl/>
        </w:rPr>
        <w:t>וְהָעֲטַלֵּף</w:t>
      </w:r>
      <w:r>
        <w:rPr>
          <w:rtl/>
        </w:rPr>
        <w:t xml:space="preserve"> </w:t>
      </w:r>
      <w:r>
        <w:t>(„Fledermaus")</w:t>
      </w:r>
    </w:p>
    <w:p w14:paraId="4F0019A4" w14:textId="77777777" w:rsidR="008068F7" w:rsidRDefault="008068F7" w:rsidP="008068F7">
      <w:pPr>
        <w:pStyle w:val="whitespace-normal"/>
      </w:pPr>
      <w:r>
        <w:t xml:space="preserve">Die Wendung </w:t>
      </w:r>
      <w:r>
        <w:rPr>
          <w:rStyle w:val="Fett"/>
          <w:rFonts w:eastAsiaTheme="majorEastAsia"/>
          <w:rtl/>
        </w:rPr>
        <w:t>לְמִינָהּ/לְמִינֵהוּ/לְמִינוֹ</w:t>
      </w:r>
      <w:r>
        <w:rPr>
          <w:rtl/>
        </w:rPr>
        <w:t xml:space="preserve"> </w:t>
      </w:r>
      <w:r>
        <w:t>(„nach seiner/ihrer Art") erscheint viermal (V. 13.14.15.18) und zeigt: Mehrere Arten dieser Gattung sind gemeint.</w:t>
      </w:r>
    </w:p>
    <w:p w14:paraId="51E482B7" w14:textId="77777777" w:rsidR="008068F7" w:rsidRDefault="008068F7" w:rsidP="008068F7">
      <w:pPr>
        <w:pStyle w:val="whitespace-normal"/>
      </w:pPr>
      <w:r>
        <w:t>Die Fledermaus (</w:t>
      </w:r>
      <w:r>
        <w:rPr>
          <w:rStyle w:val="Fett"/>
          <w:rFonts w:eastAsiaTheme="majorEastAsia"/>
          <w:rtl/>
        </w:rPr>
        <w:t>עֲטַלֵּף</w:t>
      </w:r>
      <w:r>
        <w:t>) wird hier zu den Vögeln gezählt, obwohl sie zoologisch ein Säugetier ist – eine Klassifikation nach Erscheinung (fliegend) statt nach moderner Taxonomie.</w:t>
      </w:r>
    </w:p>
    <w:p w14:paraId="46779407" w14:textId="3F3F15E1" w:rsidR="008068F7" w:rsidRDefault="008068F7" w:rsidP="008068F7">
      <w:pPr>
        <w:pStyle w:val="whitespace-normal"/>
      </w:pPr>
      <w:r>
        <w:t>Gemeinsam ist vielen dieser Vögel, dass sie Raubvögel, Aasfresser oder Nachtvögel sind. Dies könnte mit Unreinheit (Fleischfresser, Aasfresser) oder mit Verbindung zu Tod und Finsternis zusammenhängen.</w:t>
      </w:r>
    </w:p>
    <w:p w14:paraId="7237319A" w14:textId="29C64E10" w:rsidR="00864B28" w:rsidRDefault="00864B28" w:rsidP="008068F7">
      <w:pPr>
        <w:pStyle w:val="whitespace-normal"/>
      </w:pPr>
      <w:r>
        <w:rPr>
          <w:rStyle w:val="Fett"/>
        </w:rPr>
        <w:t>Die LXX</w:t>
      </w:r>
      <w:r>
        <w:t xml:space="preserve"> zeigt erhebliche Unterschiede bei den Vogelidentifikationen. Die griechischen Begriffe entsprechen oft nicht den hebräischen Tiernamen, sondern repräsentieren Versuche, unbekannte Vögel mit bekannten mediterranen Arten zu identifizieren. Die Reihenfolge und Gruppierung weicht teilweise ab.</w:t>
      </w:r>
    </w:p>
    <w:p w14:paraId="74769972" w14:textId="77777777" w:rsidR="008068F7" w:rsidRDefault="008068F7" w:rsidP="008068F7">
      <w:pPr>
        <w:pStyle w:val="whitespace-normal"/>
      </w:pPr>
      <w:r>
        <w:rPr>
          <w:rStyle w:val="Fett"/>
          <w:rFonts w:eastAsiaTheme="majorEastAsia"/>
        </w:rPr>
        <w:t>Die Satzstruktur</w:t>
      </w:r>
      <w:r>
        <w:t xml:space="preserve"> besteht aus einer einleitenden Formel und einer langen Aufzählung: Demonstrativpronomen (diese), Relativsatz (die ihr nicht essen sollt), Herkunftsangabe (von ihnen); Aufzählung von 20-21 Vogelarten in V. 12-18.</w:t>
      </w:r>
    </w:p>
    <w:p w14:paraId="04E9A081" w14:textId="77777777" w:rsidR="008068F7" w:rsidRDefault="008068F7" w:rsidP="008068F7">
      <w:pPr>
        <w:pStyle w:val="whitespace-normal"/>
      </w:pPr>
      <w:r>
        <w:t>Die Verse listen 20-21 unreine Vogelarten auf – meist Raubvögel, Aasfresser oder Nachtvögel –, die nicht gegessen werden dürfen.</w:t>
      </w:r>
    </w:p>
    <w:p w14:paraId="11BF3288" w14:textId="77777777" w:rsidR="008068F7" w:rsidRPr="008068F7" w:rsidRDefault="008068F7" w:rsidP="008068F7">
      <w:pPr>
        <w:pStyle w:val="berschrift1"/>
        <w:rPr>
          <w:rFonts w:ascii="Times New Roman" w:hAnsi="Times New Roman"/>
          <w:color w:val="auto"/>
          <w:sz w:val="36"/>
          <w:szCs w:val="36"/>
        </w:rPr>
      </w:pPr>
      <w:r w:rsidRPr="008068F7">
        <w:rPr>
          <w:rStyle w:val="Fett"/>
          <w:rFonts w:ascii="Times New Roman" w:hAnsi="Times New Roman"/>
          <w:color w:val="auto"/>
          <w:sz w:val="36"/>
          <w:szCs w:val="36"/>
        </w:rPr>
        <w:t>Deuteronomium 14,19</w:t>
      </w:r>
    </w:p>
    <w:p w14:paraId="6F0251B0" w14:textId="77777777" w:rsidR="008068F7" w:rsidRDefault="008068F7" w:rsidP="008068F7">
      <w:pPr>
        <w:pStyle w:val="whitespace-normal"/>
      </w:pPr>
      <w:r>
        <w:rPr>
          <w:rStyle w:val="Fett"/>
          <w:rFonts w:eastAsiaTheme="majorEastAsia"/>
        </w:rPr>
        <w:t>Hebräisch:</w:t>
      </w:r>
      <w:r>
        <w:t xml:space="preserve"> </w:t>
      </w:r>
      <w:r>
        <w:rPr>
          <w:rtl/>
        </w:rPr>
        <w:t>וְכֹל֙ שֶׁ֣רֶץ הָע֔וֹף טָמֵ֥א ה֖וּא לָכֶ֑ם לֹ֖א יֵאָכֵֽלוּ׃</w:t>
      </w:r>
    </w:p>
    <w:p w14:paraId="4704B550" w14:textId="77777777" w:rsidR="008068F7" w:rsidRDefault="008068F7" w:rsidP="008068F7">
      <w:pPr>
        <w:pStyle w:val="whitespace-normal"/>
      </w:pPr>
      <w:r>
        <w:rPr>
          <w:rStyle w:val="Fett"/>
          <w:rFonts w:eastAsiaTheme="majorEastAsia"/>
        </w:rPr>
        <w:lastRenderedPageBreak/>
        <w:t>Deutsch:</w:t>
      </w:r>
      <w:r>
        <w:t xml:space="preserve"> Und alles geflügelte Gewimmel soll euch unrein sein; es soll nicht gegessen werden.</w:t>
      </w:r>
    </w:p>
    <w:p w14:paraId="1AAC98F4" w14:textId="77777777" w:rsidR="008068F7" w:rsidRDefault="004F5CEB" w:rsidP="008068F7">
      <w:r>
        <w:rPr>
          <w:noProof/>
        </w:rPr>
        <w:pict w14:anchorId="40213644">
          <v:rect id="_x0000_i1434" style="width:0;height:1.5pt" o:hralign="center" o:hrstd="t" o:hr="t" fillcolor="#a0a0a0" stroked="f"/>
        </w:pict>
      </w:r>
    </w:p>
    <w:p w14:paraId="6A7488C7" w14:textId="77777777" w:rsidR="008068F7" w:rsidRDefault="008068F7" w:rsidP="008068F7">
      <w:pPr>
        <w:pStyle w:val="whitespace-normal"/>
      </w:pPr>
      <w:r>
        <w:rPr>
          <w:rStyle w:val="Fett"/>
          <w:rFonts w:eastAsiaTheme="majorEastAsia"/>
        </w:rPr>
        <w:t>Kommentar:</w:t>
      </w:r>
      <w:r>
        <w:t xml:space="preserve"> </w:t>
      </w:r>
      <w:r>
        <w:rPr>
          <w:rStyle w:val="Fett"/>
          <w:rFonts w:eastAsiaTheme="majorEastAsia"/>
          <w:rtl/>
        </w:rPr>
        <w:t>וְכֹל שֶׁרֶץ הָעוֹף טָמֵא הוּא לָכֶם</w:t>
      </w:r>
      <w:r>
        <w:rPr>
          <w:rtl/>
        </w:rPr>
        <w:t xml:space="preserve"> </w:t>
      </w:r>
      <w:r>
        <w:t xml:space="preserve">ist ein Nominalsatz: </w:t>
      </w:r>
      <w:r>
        <w:rPr>
          <w:rStyle w:val="Fett"/>
          <w:rFonts w:eastAsiaTheme="majorEastAsia"/>
          <w:rtl/>
        </w:rPr>
        <w:t>וְכֹל שֶׁרֶץ הָעוֹף</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כֹּל</w:t>
      </w:r>
      <w:r>
        <w:t xml:space="preserve">, „all, jedes", im Construct mit </w:t>
      </w:r>
      <w:r>
        <w:rPr>
          <w:rStyle w:val="Fett"/>
          <w:rFonts w:eastAsiaTheme="majorEastAsia"/>
          <w:rtl/>
        </w:rPr>
        <w:t>שֶׁרֶץ</w:t>
      </w:r>
      <w:r>
        <w:t xml:space="preserve">, „Gewimmel, Kriechtier, schwärmendes Getier", Construct mit </w:t>
      </w:r>
      <w:r>
        <w:rPr>
          <w:rStyle w:val="Fett"/>
          <w:rFonts w:eastAsiaTheme="majorEastAsia"/>
          <w:rtl/>
        </w:rPr>
        <w:t>עוֹף</w:t>
      </w:r>
      <w:r>
        <w:t xml:space="preserve">, „Vogel, Geflügel", mit Artikel, „alles geflügelte Gewimmel") als Subjekt, </w:t>
      </w:r>
      <w:r>
        <w:rPr>
          <w:rStyle w:val="Fett"/>
          <w:rFonts w:eastAsiaTheme="majorEastAsia"/>
          <w:rtl/>
        </w:rPr>
        <w:t>טָמֵא</w:t>
      </w:r>
      <w:r>
        <w:rPr>
          <w:rtl/>
        </w:rPr>
        <w:t xml:space="preserve"> </w:t>
      </w:r>
      <w:r>
        <w:t>(</w:t>
      </w:r>
      <w:r>
        <w:rPr>
          <w:rStyle w:val="Fett"/>
          <w:rFonts w:eastAsiaTheme="majorEastAsia"/>
          <w:rtl/>
        </w:rPr>
        <w:t>טָמֵא</w:t>
      </w:r>
      <w:r>
        <w:t xml:space="preserve">, „unrein") als Prädikatsnomen, </w:t>
      </w:r>
      <w:r>
        <w:rPr>
          <w:rStyle w:val="Fett"/>
          <w:rFonts w:eastAsiaTheme="majorEastAsia"/>
          <w:rtl/>
        </w:rPr>
        <w:t>הוּא</w:t>
      </w:r>
      <w:r>
        <w:rPr>
          <w:rtl/>
        </w:rPr>
        <w:t xml:space="preserve"> </w:t>
      </w:r>
      <w:r>
        <w:t xml:space="preserve">(Personalpronomen 3. Person Maskulinum Singular, „er, es") als Subjekt und </w:t>
      </w:r>
      <w:r>
        <w:rPr>
          <w:rStyle w:val="Fett"/>
          <w:rFonts w:eastAsiaTheme="majorEastAsia"/>
          <w:rtl/>
        </w:rPr>
        <w:t>לָכֶם</w:t>
      </w:r>
      <w:r>
        <w:rPr>
          <w:rtl/>
        </w:rPr>
        <w:t xml:space="preserve"> </w:t>
      </w:r>
      <w:r>
        <w:t xml:space="preserve">(Präposition </w:t>
      </w:r>
      <w:r>
        <w:rPr>
          <w:rStyle w:val="Fett"/>
          <w:rFonts w:eastAsiaTheme="majorEastAsia"/>
          <w:rtl/>
        </w:rPr>
        <w:t>לְ</w:t>
      </w:r>
      <w:r>
        <w:rPr>
          <w:rtl/>
        </w:rPr>
        <w:t xml:space="preserve"> </w:t>
      </w:r>
      <w:r>
        <w:t>mit Suffix 2. Person Maskulinum Plural) als Dativ.</w:t>
      </w:r>
    </w:p>
    <w:p w14:paraId="13B026B8" w14:textId="77777777" w:rsidR="008068F7" w:rsidRDefault="008068F7" w:rsidP="008068F7">
      <w:pPr>
        <w:pStyle w:val="whitespace-normal"/>
      </w:pPr>
      <w:r>
        <w:rPr>
          <w:rStyle w:val="Fett"/>
          <w:rFonts w:eastAsiaTheme="majorEastAsia"/>
          <w:rtl/>
        </w:rPr>
        <w:t>לֹא יֵאָכֵלוּ</w:t>
      </w:r>
      <w:r>
        <w:rPr>
          <w:rtl/>
        </w:rPr>
        <w:t xml:space="preserve"> </w:t>
      </w:r>
      <w:r>
        <w:t xml:space="preserve">ist ein negativer Imperativsatz im Passiv: </w:t>
      </w:r>
      <w:r>
        <w:rPr>
          <w:rStyle w:val="Fett"/>
          <w:rFonts w:eastAsiaTheme="majorEastAsia"/>
          <w:rtl/>
        </w:rPr>
        <w:t>לֹא</w:t>
      </w:r>
      <w:r>
        <w:rPr>
          <w:rtl/>
        </w:rPr>
        <w:t xml:space="preserve"> </w:t>
      </w:r>
      <w:r>
        <w:t xml:space="preserve">(Negation) mit </w:t>
      </w:r>
      <w:r>
        <w:rPr>
          <w:rStyle w:val="Fett"/>
          <w:rFonts w:eastAsiaTheme="majorEastAsia"/>
          <w:rtl/>
        </w:rPr>
        <w:t>יֵאָכֵלוּ</w:t>
      </w:r>
      <w:r>
        <w:rPr>
          <w:rtl/>
        </w:rPr>
        <w:t xml:space="preserve"> </w:t>
      </w:r>
      <w:r>
        <w:t xml:space="preserve">(Niphal Imperfekt, 3. Person Maskulinum Plural von </w:t>
      </w:r>
      <w:r>
        <w:rPr>
          <w:rStyle w:val="Fett"/>
          <w:rFonts w:eastAsiaTheme="majorEastAsia"/>
          <w:rtl/>
        </w:rPr>
        <w:t>אכל</w:t>
      </w:r>
      <w:r>
        <w:t xml:space="preserve">, „essen", in der Niphal-Form passivisch „gegessen werden", „sie sollen nicht gegessen werden"). Die Pluralform bezieht sich auf die verschiedenen Arten des </w:t>
      </w:r>
      <w:r>
        <w:rPr>
          <w:rStyle w:val="Fett"/>
          <w:rFonts w:eastAsiaTheme="majorEastAsia"/>
          <w:rtl/>
        </w:rPr>
        <w:t>שֶׁרֶץ הָעוֹף</w:t>
      </w:r>
      <w:r>
        <w:t>.</w:t>
      </w:r>
    </w:p>
    <w:p w14:paraId="67CA0DF3" w14:textId="0B434125" w:rsidR="008068F7" w:rsidRDefault="008068F7" w:rsidP="008068F7">
      <w:pPr>
        <w:pStyle w:val="whitespace-normal"/>
      </w:pPr>
      <w:r>
        <w:t xml:space="preserve">Der Ausdruck </w:t>
      </w:r>
      <w:r>
        <w:rPr>
          <w:rStyle w:val="Fett"/>
          <w:rFonts w:eastAsiaTheme="majorEastAsia"/>
          <w:rtl/>
        </w:rPr>
        <w:t>שֶׁרֶץ הָעוֹף</w:t>
      </w:r>
      <w:r>
        <w:rPr>
          <w:rtl/>
        </w:rPr>
        <w:t xml:space="preserve"> </w:t>
      </w:r>
      <w:r>
        <w:t xml:space="preserve">(„geflügeltes Gewimmel") bezeichnet kleine fliegende Insekten und geflügelte Kriechtiere. Das Wort </w:t>
      </w:r>
      <w:r>
        <w:rPr>
          <w:rStyle w:val="Fett"/>
          <w:rFonts w:eastAsiaTheme="majorEastAsia"/>
          <w:rtl/>
        </w:rPr>
        <w:t>שֶׁרֶץ</w:t>
      </w:r>
      <w:r>
        <w:rPr>
          <w:rtl/>
        </w:rPr>
        <w:t xml:space="preserve"> </w:t>
      </w:r>
      <w:r>
        <w:t xml:space="preserve">kommt von </w:t>
      </w:r>
      <w:r>
        <w:rPr>
          <w:rStyle w:val="Fett"/>
          <w:rFonts w:eastAsiaTheme="majorEastAsia"/>
          <w:rtl/>
        </w:rPr>
        <w:t>שׁרץ</w:t>
      </w:r>
      <w:r>
        <w:t xml:space="preserve">, „wimmeln, schwärmen", und bezeichnet kleine Tiere, die in Massen auftreten (vgl. </w:t>
      </w:r>
      <w:r w:rsidR="00664EB6">
        <w:t>Lev</w:t>
      </w:r>
      <w:r>
        <w:t xml:space="preserve"> 11,20-23.41-42; Gen 1,20-21; 7,21; 8,17.19; 9,7).</w:t>
      </w:r>
    </w:p>
    <w:p w14:paraId="4D860A74" w14:textId="241D348E" w:rsidR="008068F7" w:rsidRDefault="008068F7" w:rsidP="008068F7">
      <w:pPr>
        <w:pStyle w:val="whitespace-normal"/>
      </w:pPr>
      <w:r>
        <w:t xml:space="preserve">Die Kategorie umfasst vermutlich fliegende Insekten wie Fliegen, Mücken, Wespen, Bienen (außer </w:t>
      </w:r>
      <w:r w:rsidR="00664EB6">
        <w:t>Lev</w:t>
      </w:r>
      <w:r>
        <w:t xml:space="preserve"> 11,22 nennt vier Ausnahmen: bestimmte Heuschreckenarten). Der Nominalsatz </w:t>
      </w:r>
      <w:r>
        <w:rPr>
          <w:rStyle w:val="Fett"/>
          <w:rFonts w:eastAsiaTheme="majorEastAsia"/>
          <w:rtl/>
        </w:rPr>
        <w:t>טָמֵא הוּא לָכֶם</w:t>
      </w:r>
      <w:r>
        <w:rPr>
          <w:rtl/>
        </w:rPr>
        <w:t xml:space="preserve"> </w:t>
      </w:r>
      <w:r>
        <w:t xml:space="preserve">gibt die rechtliche Qualifikation. Der passive Imperativ </w:t>
      </w:r>
      <w:r>
        <w:rPr>
          <w:rStyle w:val="Fett"/>
          <w:rFonts w:eastAsiaTheme="majorEastAsia"/>
          <w:rtl/>
        </w:rPr>
        <w:t>לֹא יֵאָכֵלוּ</w:t>
      </w:r>
      <w:r>
        <w:rPr>
          <w:rtl/>
        </w:rPr>
        <w:t xml:space="preserve"> </w:t>
      </w:r>
      <w:r>
        <w:t>unterstreicht das absolute Verbot.</w:t>
      </w:r>
    </w:p>
    <w:p w14:paraId="61B98D0A" w14:textId="77777777" w:rsidR="00864B28" w:rsidRPr="00864B28" w:rsidRDefault="00864B28" w:rsidP="00864B28">
      <w:pPr>
        <w:spacing w:before="100" w:beforeAutospacing="1" w:after="100" w:afterAutospacing="1" w:line="240" w:lineRule="auto"/>
        <w:outlineLvl w:val="1"/>
        <w:rPr>
          <w:rFonts w:eastAsia="Times New Roman"/>
          <w:b/>
          <w:bCs/>
          <w:sz w:val="36"/>
          <w:szCs w:val="36"/>
          <w:lang w:eastAsia="de-DE"/>
        </w:rPr>
      </w:pPr>
      <w:r w:rsidRPr="00864B28">
        <w:rPr>
          <w:rFonts w:eastAsia="Times New Roman"/>
          <w:b/>
          <w:bCs/>
          <w:sz w:val="36"/>
          <w:szCs w:val="36"/>
          <w:lang w:eastAsia="de-DE"/>
        </w:rPr>
        <w:t>Vers 19 (MT) / Vers 18 (LXX)</w:t>
      </w:r>
    </w:p>
    <w:p w14:paraId="0C373677" w14:textId="246D283A" w:rsidR="00864B28" w:rsidRPr="00864B28" w:rsidRDefault="00864B28" w:rsidP="00864B28">
      <w:pPr>
        <w:spacing w:before="100" w:beforeAutospacing="1" w:after="100" w:afterAutospacing="1" w:line="240" w:lineRule="auto"/>
        <w:rPr>
          <w:rFonts w:eastAsia="Times New Roman"/>
          <w:lang w:eastAsia="de-DE"/>
        </w:rPr>
      </w:pPr>
      <w:r w:rsidRPr="00864B28">
        <w:rPr>
          <w:rFonts w:eastAsia="Times New Roman"/>
          <w:b/>
          <w:bCs/>
          <w:lang w:eastAsia="de-DE"/>
        </w:rPr>
        <w:t>Die LXX</w:t>
      </w:r>
      <w:r w:rsidRPr="00864B28">
        <w:rPr>
          <w:rFonts w:eastAsia="Times New Roman"/>
          <w:lang w:eastAsia="de-DE"/>
        </w:rPr>
        <w:t xml:space="preserve"> übersetzt </w:t>
      </w:r>
      <w:r w:rsidRPr="00864B28">
        <w:rPr>
          <w:rFonts w:eastAsia="Times New Roman"/>
          <w:rtl/>
          <w:lang w:eastAsia="de-DE"/>
        </w:rPr>
        <w:t>שֶׁרֶץ הָעוֹף</w:t>
      </w:r>
      <w:r w:rsidRPr="00864B28">
        <w:rPr>
          <w:rFonts w:eastAsia="Times New Roman"/>
          <w:lang w:eastAsia="de-DE"/>
        </w:rPr>
        <w:t xml:space="preserve"> mit </w:t>
      </w:r>
      <w:proofErr w:type="spellStart"/>
      <w:r w:rsidRPr="00864B28">
        <w:rPr>
          <w:rFonts w:eastAsia="Times New Roman"/>
          <w:lang w:eastAsia="de-DE"/>
        </w:rPr>
        <w:t>τὰ</w:t>
      </w:r>
      <w:proofErr w:type="spellEnd"/>
      <w:r w:rsidRPr="00864B28">
        <w:rPr>
          <w:rFonts w:eastAsia="Times New Roman"/>
          <w:lang w:eastAsia="de-DE"/>
        </w:rPr>
        <w:t xml:space="preserve"> </w:t>
      </w:r>
      <w:proofErr w:type="spellStart"/>
      <w:r w:rsidRPr="00864B28">
        <w:rPr>
          <w:rFonts w:eastAsia="Times New Roman"/>
          <w:lang w:eastAsia="de-DE"/>
        </w:rPr>
        <w:t>ἑρ</w:t>
      </w:r>
      <w:proofErr w:type="spellEnd"/>
      <w:r w:rsidRPr="00864B28">
        <w:rPr>
          <w:rFonts w:eastAsia="Times New Roman"/>
          <w:lang w:eastAsia="de-DE"/>
        </w:rPr>
        <w:t xml:space="preserve">πετὰ </w:t>
      </w:r>
      <w:proofErr w:type="spellStart"/>
      <w:r w:rsidRPr="00864B28">
        <w:rPr>
          <w:rFonts w:eastAsia="Times New Roman"/>
          <w:lang w:eastAsia="de-DE"/>
        </w:rPr>
        <w:t>τῶν</w:t>
      </w:r>
      <w:proofErr w:type="spellEnd"/>
      <w:r w:rsidRPr="00864B28">
        <w:rPr>
          <w:rFonts w:eastAsia="Times New Roman"/>
          <w:lang w:eastAsia="de-DE"/>
        </w:rPr>
        <w:t xml:space="preserve"> π</w:t>
      </w:r>
      <w:proofErr w:type="spellStart"/>
      <w:r w:rsidRPr="00864B28">
        <w:rPr>
          <w:rFonts w:eastAsia="Times New Roman"/>
          <w:lang w:eastAsia="de-DE"/>
        </w:rPr>
        <w:t>ετεινῶν</w:t>
      </w:r>
      <w:proofErr w:type="spellEnd"/>
      <w:r w:rsidRPr="00864B28">
        <w:rPr>
          <w:rFonts w:eastAsia="Times New Roman"/>
          <w:lang w:eastAsia="de-DE"/>
        </w:rPr>
        <w:t xml:space="preserve"> (die Kriechtiere der Vögel/Fliegenden) – eine wörtliche Wiedergabe, die das Konzept der geflügelten Insekten ausdrückt.</w:t>
      </w:r>
    </w:p>
    <w:p w14:paraId="2A4BE28D" w14:textId="77777777" w:rsidR="008068F7" w:rsidRDefault="008068F7" w:rsidP="008068F7">
      <w:pPr>
        <w:pStyle w:val="whitespace-normal"/>
      </w:pPr>
      <w:r>
        <w:rPr>
          <w:rStyle w:val="Fett"/>
          <w:rFonts w:eastAsiaTheme="majorEastAsia"/>
        </w:rPr>
        <w:t>Die Satzstruktur</w:t>
      </w:r>
      <w:r>
        <w:t xml:space="preserve"> besteht aus einem Nominalsatz und einem passiven negativen Imperativ: Subjekt (alles geflügelte Gewimmel), Prädikatsnomen (unrein), Subjekt-Pronomen (ist es), Dativ (für euch); passiver negativer Imperativ (nicht soll es gegessen werden).</w:t>
      </w:r>
    </w:p>
    <w:p w14:paraId="3C3F0FF8" w14:textId="77777777" w:rsidR="008068F7" w:rsidRDefault="008068F7" w:rsidP="008068F7">
      <w:pPr>
        <w:pStyle w:val="whitespace-normal"/>
      </w:pPr>
      <w:r>
        <w:t>Der Vers erklärt alle fliegenden Insekten und geflügelten Kleintiere für unrein und verbietet ihren Verzehr.</w:t>
      </w:r>
    </w:p>
    <w:p w14:paraId="5A546147" w14:textId="77777777" w:rsidR="008068F7" w:rsidRPr="008068F7" w:rsidRDefault="008068F7" w:rsidP="008068F7">
      <w:pPr>
        <w:pStyle w:val="berschrift1"/>
        <w:rPr>
          <w:rFonts w:ascii="Times New Roman" w:hAnsi="Times New Roman"/>
          <w:color w:val="auto"/>
          <w:sz w:val="36"/>
          <w:szCs w:val="36"/>
        </w:rPr>
      </w:pPr>
      <w:r w:rsidRPr="008068F7">
        <w:rPr>
          <w:rStyle w:val="Fett"/>
          <w:rFonts w:ascii="Times New Roman" w:hAnsi="Times New Roman"/>
          <w:color w:val="auto"/>
          <w:sz w:val="36"/>
          <w:szCs w:val="36"/>
        </w:rPr>
        <w:t>Deuteronomium 14,20</w:t>
      </w:r>
    </w:p>
    <w:p w14:paraId="7224C5DE" w14:textId="77777777" w:rsidR="008068F7" w:rsidRDefault="008068F7" w:rsidP="008068F7">
      <w:pPr>
        <w:pStyle w:val="whitespace-normal"/>
      </w:pPr>
      <w:r>
        <w:rPr>
          <w:rStyle w:val="Fett"/>
          <w:rFonts w:eastAsiaTheme="majorEastAsia"/>
        </w:rPr>
        <w:t>Hebräisch:</w:t>
      </w:r>
      <w:r>
        <w:t xml:space="preserve"> </w:t>
      </w:r>
      <w:r>
        <w:rPr>
          <w:rtl/>
        </w:rPr>
        <w:t>כָּל־ע֥וֹף טָה֖וֹר תֹּאכֵֽלוּ׃</w:t>
      </w:r>
    </w:p>
    <w:p w14:paraId="07C7D721" w14:textId="77777777" w:rsidR="008068F7" w:rsidRDefault="008068F7" w:rsidP="008068F7">
      <w:pPr>
        <w:pStyle w:val="whitespace-normal"/>
      </w:pPr>
      <w:r>
        <w:rPr>
          <w:rStyle w:val="Fett"/>
          <w:rFonts w:eastAsiaTheme="majorEastAsia"/>
        </w:rPr>
        <w:t>Deutsch:</w:t>
      </w:r>
      <w:r>
        <w:t xml:space="preserve"> Alles reine Geflügel dürft ihr essen.</w:t>
      </w:r>
    </w:p>
    <w:p w14:paraId="1894BBAC" w14:textId="77777777" w:rsidR="008068F7" w:rsidRDefault="004F5CEB" w:rsidP="008068F7">
      <w:r>
        <w:rPr>
          <w:noProof/>
        </w:rPr>
        <w:pict w14:anchorId="552BB7D4">
          <v:rect id="_x0000_i1435" style="width:0;height:1.5pt" o:hralign="center" o:hrstd="t" o:hr="t" fillcolor="#a0a0a0" stroked="f"/>
        </w:pict>
      </w:r>
    </w:p>
    <w:p w14:paraId="1CF06F2E" w14:textId="77777777" w:rsidR="008068F7" w:rsidRDefault="008068F7" w:rsidP="008068F7">
      <w:pPr>
        <w:pStyle w:val="whitespace-normal"/>
      </w:pPr>
      <w:r>
        <w:rPr>
          <w:rStyle w:val="Fett"/>
          <w:rFonts w:eastAsiaTheme="majorEastAsia"/>
        </w:rPr>
        <w:lastRenderedPageBreak/>
        <w:t>Kommentar:</w:t>
      </w:r>
      <w:r>
        <w:t xml:space="preserve"> </w:t>
      </w:r>
      <w:r>
        <w:rPr>
          <w:rStyle w:val="Fett"/>
          <w:rFonts w:eastAsiaTheme="majorEastAsia"/>
          <w:rtl/>
        </w:rPr>
        <w:t>כָּל־עוֹף טָהוֹר תֹּאכֵלוּ</w:t>
      </w:r>
      <w:r>
        <w:rPr>
          <w:rtl/>
        </w:rPr>
        <w:t xml:space="preserve"> </w:t>
      </w:r>
      <w:r>
        <w:t xml:space="preserve">ist ein einfacher Imperativsatz: </w:t>
      </w:r>
      <w:r>
        <w:rPr>
          <w:rStyle w:val="Fett"/>
          <w:rFonts w:eastAsiaTheme="majorEastAsia"/>
          <w:rtl/>
        </w:rPr>
        <w:t>כָּל־עוֹף טָהוֹר</w:t>
      </w:r>
      <w:r>
        <w:rPr>
          <w:rtl/>
        </w:rPr>
        <w:t xml:space="preserve"> </w:t>
      </w:r>
      <w:r>
        <w:t>(</w:t>
      </w:r>
      <w:r>
        <w:rPr>
          <w:rStyle w:val="Fett"/>
          <w:rFonts w:eastAsiaTheme="majorEastAsia"/>
          <w:rtl/>
        </w:rPr>
        <w:t>כֹּל</w:t>
      </w:r>
      <w:r>
        <w:t xml:space="preserve">, „all, jedes", im Construct mit </w:t>
      </w:r>
      <w:r>
        <w:rPr>
          <w:rStyle w:val="Fett"/>
          <w:rFonts w:eastAsiaTheme="majorEastAsia"/>
          <w:rtl/>
        </w:rPr>
        <w:t>עוֹף</w:t>
      </w:r>
      <w:r>
        <w:t xml:space="preserve">, „Vogel, Geflügel", qualifiziert durch </w:t>
      </w:r>
      <w:r>
        <w:rPr>
          <w:rStyle w:val="Fett"/>
          <w:rFonts w:eastAsiaTheme="majorEastAsia"/>
          <w:rtl/>
        </w:rPr>
        <w:t>טָהוֹר</w:t>
      </w:r>
      <w:r>
        <w:t xml:space="preserve">, „rein", „jedes reine Geflügel, alles reine Geflügel") als direktes Objekt und </w:t>
      </w:r>
      <w:r>
        <w:rPr>
          <w:rStyle w:val="Fett"/>
          <w:rFonts w:eastAsiaTheme="majorEastAsia"/>
          <w:rtl/>
        </w:rPr>
        <w:t>תֹּאכֵלוּ</w:t>
      </w:r>
      <w:r>
        <w:rPr>
          <w:rtl/>
        </w:rPr>
        <w:t xml:space="preserve"> </w:t>
      </w:r>
      <w:r>
        <w:t xml:space="preserve">(Qal Imperfekt, 2. Person Maskulinum Plural von </w:t>
      </w:r>
      <w:r>
        <w:rPr>
          <w:rStyle w:val="Fett"/>
          <w:rFonts w:eastAsiaTheme="majorEastAsia"/>
          <w:rtl/>
        </w:rPr>
        <w:t>אכל</w:t>
      </w:r>
      <w:r>
        <w:t>, „essen") als Prädikat.</w:t>
      </w:r>
    </w:p>
    <w:p w14:paraId="4EE60C4E" w14:textId="77777777" w:rsidR="008068F7" w:rsidRDefault="008068F7" w:rsidP="008068F7">
      <w:pPr>
        <w:pStyle w:val="whitespace-normal"/>
      </w:pPr>
      <w:r>
        <w:t>Der Vers wiederholt V. 11 nach der Negativliste (V. 12-19) und bildet damit eine Inklusion: positive Erlaubnis (V. 11) → Negativliste (V. 12-19) → positive Wiederholung (V. 20). Die Wiederholung betont: Trotz der langen Liste unreiner Vögel bleiben viele Vögel erlaubt – alle, die nicht in der Liste stehen.</w:t>
      </w:r>
    </w:p>
    <w:p w14:paraId="6A72E8F2" w14:textId="77777777" w:rsidR="008068F7" w:rsidRDefault="008068F7" w:rsidP="008068F7">
      <w:pPr>
        <w:pStyle w:val="whitespace-normal"/>
      </w:pPr>
      <w:r>
        <w:rPr>
          <w:rStyle w:val="Fett"/>
          <w:rFonts w:eastAsiaTheme="majorEastAsia"/>
        </w:rPr>
        <w:t>Die Satzstruktur</w:t>
      </w:r>
      <w:r>
        <w:t xml:space="preserve"> besteht aus einem einfachen Satz: Direktes Objekt (alles reine Geflügel), Prädikat (dürft ihr essen).</w:t>
      </w:r>
    </w:p>
    <w:p w14:paraId="555F793C" w14:textId="77777777" w:rsidR="008068F7" w:rsidRDefault="008068F7" w:rsidP="008068F7">
      <w:pPr>
        <w:pStyle w:val="whitespace-normal"/>
      </w:pPr>
      <w:r>
        <w:t>Der Vers wiederholt die Erlaubnis aus V. 11: Alle reinen Vögel – solche, die nicht in V. 12-19 aufgelistet sind – dürfen gegessen werden.</w:t>
      </w:r>
    </w:p>
    <w:p w14:paraId="4ABACD29" w14:textId="77777777" w:rsidR="008068F7" w:rsidRPr="008068F7" w:rsidRDefault="008068F7" w:rsidP="008068F7">
      <w:pPr>
        <w:pStyle w:val="berschrift1"/>
        <w:rPr>
          <w:rFonts w:ascii="Times New Roman" w:hAnsi="Times New Roman"/>
          <w:color w:val="auto"/>
          <w:sz w:val="36"/>
          <w:szCs w:val="36"/>
        </w:rPr>
      </w:pPr>
      <w:r w:rsidRPr="008068F7">
        <w:rPr>
          <w:rStyle w:val="Fett"/>
          <w:rFonts w:ascii="Times New Roman" w:hAnsi="Times New Roman"/>
          <w:color w:val="auto"/>
          <w:sz w:val="36"/>
          <w:szCs w:val="36"/>
        </w:rPr>
        <w:t>Deuteronomium 14,21</w:t>
      </w:r>
    </w:p>
    <w:p w14:paraId="7B5D79FA" w14:textId="77777777" w:rsidR="008068F7" w:rsidRDefault="008068F7" w:rsidP="008068F7">
      <w:pPr>
        <w:pStyle w:val="whitespace-normal"/>
      </w:pPr>
      <w:r>
        <w:rPr>
          <w:rStyle w:val="Fett"/>
          <w:rFonts w:eastAsiaTheme="majorEastAsia"/>
        </w:rPr>
        <w:t>Hebräisch:</w:t>
      </w:r>
      <w:r>
        <w:t xml:space="preserve"> </w:t>
      </w:r>
      <w:r>
        <w:rPr>
          <w:rtl/>
        </w:rPr>
        <w:t>לֹ֣א תֹאכְל֣וּ כָל־נְ֠בֵלָה לַגֵּ֨ר אֲשֶׁר־בִּשְׁעָרֶ֜יךָ תִּתְּנֶ֣נָּה וַאֲכָלָ֗הּ א֤וֹ מָכֹר֙ לְנָכְרִ֔י כִּ֣י עַ֤ם קָדוֹשׁ֙ אַתָּ֔ה לַיהוָ֖ה אֱלֹהֶ֑יךָ לֹֽא־תְבַשֵּׁ֥ל גְּדִ֖י בַּחֲלֵ֥ב אִמֹּֽו׃</w:t>
      </w:r>
    </w:p>
    <w:p w14:paraId="4C1D7517" w14:textId="77777777" w:rsidR="008068F7" w:rsidRDefault="008068F7" w:rsidP="008068F7">
      <w:pPr>
        <w:pStyle w:val="whitespace-normal"/>
      </w:pPr>
      <w:r>
        <w:rPr>
          <w:rStyle w:val="Fett"/>
          <w:rFonts w:eastAsiaTheme="majorEastAsia"/>
        </w:rPr>
        <w:t>Deutsch:</w:t>
      </w:r>
      <w:r>
        <w:t xml:space="preserve"> Ihr sollt keinerlei Aas essen; dem Fremden, der in deinen Toren ist, magst du es geben, dass er es esse, oder verkaufe es einem Ausländer; denn du bist ein heiliges Volk dem Ewigen, deinem Gott. Du sollst ein Böcklein nicht in der Milch seiner Mutter kochen.</w:t>
      </w:r>
    </w:p>
    <w:p w14:paraId="2121C435" w14:textId="77777777" w:rsidR="008068F7" w:rsidRDefault="004F5CEB" w:rsidP="008068F7">
      <w:r>
        <w:rPr>
          <w:noProof/>
        </w:rPr>
        <w:pict w14:anchorId="093813CA">
          <v:rect id="_x0000_i1436" style="width:0;height:1.5pt" o:hralign="center" o:hrstd="t" o:hr="t" fillcolor="#a0a0a0" stroked="f"/>
        </w:pict>
      </w:r>
    </w:p>
    <w:p w14:paraId="2770D85B" w14:textId="77777777" w:rsidR="008068F7" w:rsidRDefault="008068F7" w:rsidP="008068F7">
      <w:pPr>
        <w:pStyle w:val="whitespace-normal"/>
      </w:pPr>
      <w:r>
        <w:rPr>
          <w:rStyle w:val="Fett"/>
          <w:rFonts w:eastAsiaTheme="majorEastAsia"/>
        </w:rPr>
        <w:t>Kommentar:</w:t>
      </w:r>
      <w:r>
        <w:t xml:space="preserve"> </w:t>
      </w:r>
      <w:r>
        <w:rPr>
          <w:rStyle w:val="Fett"/>
          <w:rFonts w:eastAsiaTheme="majorEastAsia"/>
          <w:rtl/>
        </w:rPr>
        <w:t>לֹא תֹאכְלוּ כָל־נְבֵלָה</w:t>
      </w:r>
      <w:r>
        <w:rPr>
          <w:rtl/>
        </w:rPr>
        <w:t xml:space="preserve"> </w:t>
      </w:r>
      <w:r>
        <w:t xml:space="preserve">ist ein negativer Imperativsatz: </w:t>
      </w:r>
      <w:r>
        <w:rPr>
          <w:rStyle w:val="Fett"/>
          <w:rFonts w:eastAsiaTheme="majorEastAsia"/>
          <w:rtl/>
        </w:rPr>
        <w:t>לֹא</w:t>
      </w:r>
      <w:r>
        <w:rPr>
          <w:rtl/>
        </w:rPr>
        <w:t xml:space="preserve"> </w:t>
      </w:r>
      <w:r>
        <w:t xml:space="preserve">(Negation) mit </w:t>
      </w:r>
      <w:r>
        <w:rPr>
          <w:rStyle w:val="Fett"/>
          <w:rFonts w:eastAsiaTheme="majorEastAsia"/>
          <w:rtl/>
        </w:rPr>
        <w:t>תֹאכְלוּ</w:t>
      </w:r>
      <w:r>
        <w:rPr>
          <w:rtl/>
        </w:rPr>
        <w:t xml:space="preserve"> </w:t>
      </w:r>
      <w:r>
        <w:t xml:space="preserve">(Qal Imperfekt, 2. Person Maskulinum Plural von </w:t>
      </w:r>
      <w:r>
        <w:rPr>
          <w:rStyle w:val="Fett"/>
          <w:rFonts w:eastAsiaTheme="majorEastAsia"/>
          <w:rtl/>
        </w:rPr>
        <w:t>אכל</w:t>
      </w:r>
      <w:r>
        <w:t xml:space="preserve">, „essen") und </w:t>
      </w:r>
      <w:r>
        <w:rPr>
          <w:rStyle w:val="Fett"/>
          <w:rFonts w:eastAsiaTheme="majorEastAsia"/>
          <w:rtl/>
        </w:rPr>
        <w:t>כָל־נְבֵלָה</w:t>
      </w:r>
      <w:r>
        <w:rPr>
          <w:rtl/>
        </w:rPr>
        <w:t xml:space="preserve"> </w:t>
      </w:r>
      <w:r>
        <w:t>(</w:t>
      </w:r>
      <w:r>
        <w:rPr>
          <w:rStyle w:val="Fett"/>
          <w:rFonts w:eastAsiaTheme="majorEastAsia"/>
          <w:rtl/>
        </w:rPr>
        <w:t>כֹּל</w:t>
      </w:r>
      <w:r>
        <w:t xml:space="preserve">, „all, jeder", im Construct mit </w:t>
      </w:r>
      <w:r>
        <w:rPr>
          <w:rStyle w:val="Fett"/>
          <w:rFonts w:eastAsiaTheme="majorEastAsia"/>
          <w:rtl/>
        </w:rPr>
        <w:t>נְבֵלָה</w:t>
      </w:r>
      <w:r>
        <w:t>, „Aas, Kadaver", „jedes Aas, irgendein Aas") als direktes Objekt.</w:t>
      </w:r>
    </w:p>
    <w:p w14:paraId="2F28F041" w14:textId="387C94AA" w:rsidR="008068F7" w:rsidRDefault="008068F7" w:rsidP="008068F7">
      <w:pPr>
        <w:pStyle w:val="whitespace-normal"/>
      </w:pPr>
      <w:r>
        <w:t xml:space="preserve">Das Wort </w:t>
      </w:r>
      <w:r>
        <w:rPr>
          <w:rStyle w:val="Fett"/>
          <w:rFonts w:eastAsiaTheme="majorEastAsia"/>
          <w:rtl/>
        </w:rPr>
        <w:t>נְבֵלָה</w:t>
      </w:r>
      <w:r>
        <w:rPr>
          <w:rtl/>
        </w:rPr>
        <w:t xml:space="preserve"> </w:t>
      </w:r>
      <w:r>
        <w:t xml:space="preserve">bezeichnet ein Tier, das eines natürlichen Todes gestorben ist oder nicht ordnungsgemäß geschlachtet wurde (vgl. </w:t>
      </w:r>
      <w:r w:rsidR="00664EB6">
        <w:t>Lev</w:t>
      </w:r>
      <w:r>
        <w:t xml:space="preserve"> 7,24; 11,39-40; 17,15; 22,8; </w:t>
      </w:r>
      <w:r w:rsidR="00BF3748">
        <w:t>Hes</w:t>
      </w:r>
      <w:r>
        <w:t xml:space="preserve"> 4,14; 44,31).</w:t>
      </w:r>
    </w:p>
    <w:p w14:paraId="5095B53E" w14:textId="77777777" w:rsidR="008068F7" w:rsidRDefault="008068F7" w:rsidP="008068F7">
      <w:pPr>
        <w:pStyle w:val="whitespace-normal"/>
      </w:pPr>
      <w:r>
        <w:rPr>
          <w:rStyle w:val="Fett"/>
          <w:rFonts w:eastAsiaTheme="majorEastAsia"/>
          <w:rtl/>
        </w:rPr>
        <w:t>לַגֵּר אֲשֶׁר־בִּשְׁעָרֶיךָ תִּתְּנֶנָּה וַאֲכָלָהּ אוֹ מָכֹר לְנָכְרִי</w:t>
      </w:r>
      <w:r>
        <w:rPr>
          <w:rtl/>
        </w:rPr>
        <w:t xml:space="preserve"> </w:t>
      </w:r>
      <w:r>
        <w:t xml:space="preserve">sind zwei alternative Imperative: </w:t>
      </w:r>
      <w:r>
        <w:rPr>
          <w:rStyle w:val="Fett"/>
          <w:rFonts w:eastAsiaTheme="majorEastAsia"/>
          <w:rtl/>
        </w:rPr>
        <w:t>לַגֵּר אֲשֶׁר־בִּשְׁעָרֶיךָ</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גֵּר</w:t>
      </w:r>
      <w:r>
        <w:t xml:space="preserve">, „Fremder, Beisasse", Relativsatz: </w:t>
      </w:r>
      <w:r>
        <w:rPr>
          <w:rStyle w:val="Fett"/>
          <w:rFonts w:eastAsiaTheme="majorEastAsia"/>
          <w:rtl/>
        </w:rPr>
        <w:t>אֲשֶׁר־בִּשְׁעָרֶיךָ</w:t>
      </w:r>
      <w:r>
        <w:t xml:space="preserve">, </w:t>
      </w:r>
      <w:r>
        <w:rPr>
          <w:rStyle w:val="Fett"/>
          <w:rFonts w:eastAsiaTheme="majorEastAsia"/>
          <w:rtl/>
        </w:rPr>
        <w:t>אֲשֶׁר</w:t>
      </w:r>
      <w:r>
        <w:rPr>
          <w:rtl/>
        </w:rPr>
        <w:t xml:space="preserve"> </w:t>
      </w:r>
      <w:r>
        <w:t xml:space="preserve">mit </w:t>
      </w:r>
      <w:r>
        <w:rPr>
          <w:rStyle w:val="Fett"/>
          <w:rFonts w:eastAsiaTheme="majorEastAsia"/>
          <w:rtl/>
        </w:rPr>
        <w:t>בִּשְׁעָרֶיךָ</w:t>
      </w:r>
      <w:r>
        <w:t xml:space="preserve">, Präposition </w:t>
      </w:r>
      <w:r>
        <w:rPr>
          <w:rStyle w:val="Fett"/>
          <w:rFonts w:eastAsiaTheme="majorEastAsia"/>
          <w:rtl/>
        </w:rPr>
        <w:t>בְּ</w:t>
      </w:r>
      <w:r>
        <w:rPr>
          <w:rtl/>
        </w:rPr>
        <w:t xml:space="preserve"> </w:t>
      </w:r>
      <w:r>
        <w:t xml:space="preserve">mit </w:t>
      </w:r>
      <w:r>
        <w:rPr>
          <w:rStyle w:val="Fett"/>
          <w:rFonts w:eastAsiaTheme="majorEastAsia"/>
          <w:rtl/>
        </w:rPr>
        <w:t>שַׁעַר</w:t>
      </w:r>
      <w:r>
        <w:t xml:space="preserve">, „Tor", Plural mit Suffix 2. Person Maskulinum Singular, „der in deinen Toren ist") als Dativ, </w:t>
      </w:r>
      <w:r>
        <w:rPr>
          <w:rStyle w:val="Fett"/>
          <w:rFonts w:eastAsiaTheme="majorEastAsia"/>
          <w:rtl/>
        </w:rPr>
        <w:t>תִּתְּנֶנָּה</w:t>
      </w:r>
      <w:r>
        <w:rPr>
          <w:rtl/>
        </w:rPr>
        <w:t xml:space="preserve"> </w:t>
      </w:r>
      <w:r>
        <w:t xml:space="preserve">(Qal Imperfekt, 2. Person Maskulinum Singular von </w:t>
      </w:r>
      <w:r>
        <w:rPr>
          <w:rStyle w:val="Fett"/>
          <w:rFonts w:eastAsiaTheme="majorEastAsia"/>
          <w:rtl/>
        </w:rPr>
        <w:t>נתן</w:t>
      </w:r>
      <w:r>
        <w:t xml:space="preserve">, „geben", mit Suffix 3. Person feminin Singular als direktes Objekt, rückverweisend auf </w:t>
      </w:r>
      <w:r>
        <w:rPr>
          <w:rStyle w:val="Fett"/>
          <w:rFonts w:eastAsiaTheme="majorEastAsia"/>
          <w:rtl/>
        </w:rPr>
        <w:t>נְבֵלָה</w:t>
      </w:r>
      <w:r>
        <w:t xml:space="preserve">, mit Paragogischem </w:t>
      </w:r>
      <w:r>
        <w:rPr>
          <w:rStyle w:val="Fett"/>
          <w:rFonts w:eastAsiaTheme="majorEastAsia"/>
          <w:rtl/>
        </w:rPr>
        <w:t>נָה</w:t>
      </w:r>
      <w:r>
        <w:t xml:space="preserve">), </w:t>
      </w:r>
      <w:r>
        <w:rPr>
          <w:rStyle w:val="Fett"/>
          <w:rFonts w:eastAsiaTheme="majorEastAsia"/>
          <w:rtl/>
        </w:rPr>
        <w:t>וַאֲכָלָהּ</w:t>
      </w:r>
      <w:r>
        <w:rPr>
          <w:rtl/>
        </w:rPr>
        <w:t xml:space="preserve"> </w:t>
      </w:r>
      <w:r>
        <w:t xml:space="preserve">(Qal Perfekt, 3. Person Maskulinum Singular von </w:t>
      </w:r>
      <w:r>
        <w:rPr>
          <w:rStyle w:val="Fett"/>
          <w:rFonts w:eastAsiaTheme="majorEastAsia"/>
          <w:rtl/>
        </w:rPr>
        <w:t>אכל</w:t>
      </w:r>
      <w:r>
        <w:t xml:space="preserve">, „essen", mit </w:t>
      </w:r>
      <w:r>
        <w:rPr>
          <w:rStyle w:val="Fett"/>
          <w:rFonts w:eastAsiaTheme="majorEastAsia"/>
        </w:rPr>
        <w:t>Waw</w:t>
      </w:r>
      <w:r>
        <w:t xml:space="preserve"> consecutives Perfekt, und Suffix 3. Person feminin Singular als direktes Objekt, „dass er es esse") als finale Folge, koordiniert durch </w:t>
      </w:r>
      <w:r>
        <w:rPr>
          <w:rStyle w:val="Fett"/>
          <w:rFonts w:eastAsiaTheme="majorEastAsia"/>
          <w:rtl/>
        </w:rPr>
        <w:t>אוֹ</w:t>
      </w:r>
      <w:r>
        <w:rPr>
          <w:rtl/>
        </w:rPr>
        <w:t xml:space="preserve"> </w:t>
      </w:r>
      <w:r>
        <w:t xml:space="preserve">(„oder") mit </w:t>
      </w:r>
      <w:r>
        <w:rPr>
          <w:rStyle w:val="Fett"/>
          <w:rFonts w:eastAsiaTheme="majorEastAsia"/>
          <w:rtl/>
        </w:rPr>
        <w:t>מָכֹר</w:t>
      </w:r>
      <w:r>
        <w:rPr>
          <w:rtl/>
        </w:rPr>
        <w:t xml:space="preserve"> </w:t>
      </w:r>
      <w:r>
        <w:t xml:space="preserve">(Qal Infinitiv Absolut von </w:t>
      </w:r>
      <w:r>
        <w:rPr>
          <w:rStyle w:val="Fett"/>
          <w:rFonts w:eastAsiaTheme="majorEastAsia"/>
          <w:rtl/>
        </w:rPr>
        <w:t>מכר</w:t>
      </w:r>
      <w:r>
        <w:t xml:space="preserve">, „verkaufen", verwendet als Imperativ) und </w:t>
      </w:r>
      <w:r>
        <w:rPr>
          <w:rStyle w:val="Fett"/>
          <w:rFonts w:eastAsiaTheme="majorEastAsia"/>
          <w:rtl/>
        </w:rPr>
        <w:t>לְנָכְרִי</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נָכְרִי</w:t>
      </w:r>
      <w:r>
        <w:t>, „Ausländer, Fremder") als Dativ.</w:t>
      </w:r>
    </w:p>
    <w:p w14:paraId="1A56FE3E" w14:textId="77777777" w:rsidR="008068F7" w:rsidRDefault="008068F7" w:rsidP="008068F7">
      <w:pPr>
        <w:pStyle w:val="whitespace-normal"/>
      </w:pPr>
      <w:r>
        <w:t xml:space="preserve">Der </w:t>
      </w:r>
      <w:r>
        <w:rPr>
          <w:rStyle w:val="Fett"/>
          <w:rFonts w:eastAsiaTheme="majorEastAsia"/>
          <w:rtl/>
        </w:rPr>
        <w:t>גֵּר</w:t>
      </w:r>
      <w:r>
        <w:rPr>
          <w:rtl/>
        </w:rPr>
        <w:t xml:space="preserve"> </w:t>
      </w:r>
      <w:r>
        <w:t xml:space="preserve">(„Fremder, Beisasse") ist der in Israel lebende Fremde, der unter israelitischem Schutz steht, aber nicht zum Bundesvolk gehört. Der </w:t>
      </w:r>
      <w:r>
        <w:rPr>
          <w:rStyle w:val="Fett"/>
          <w:rFonts w:eastAsiaTheme="majorEastAsia"/>
          <w:rtl/>
        </w:rPr>
        <w:t>נָכְרִי</w:t>
      </w:r>
      <w:r>
        <w:rPr>
          <w:rtl/>
        </w:rPr>
        <w:t xml:space="preserve"> </w:t>
      </w:r>
      <w:r>
        <w:t xml:space="preserve">(„Ausländer") ist der Ausländer außerhalb </w:t>
      </w:r>
      <w:r>
        <w:lastRenderedPageBreak/>
        <w:t xml:space="preserve">Israels oder der durchreisende Fremde. Dem </w:t>
      </w:r>
      <w:r>
        <w:rPr>
          <w:rStyle w:val="Fett"/>
          <w:rFonts w:eastAsiaTheme="majorEastAsia"/>
          <w:rtl/>
        </w:rPr>
        <w:t>גֵּר</w:t>
      </w:r>
      <w:r>
        <w:rPr>
          <w:rtl/>
        </w:rPr>
        <w:t xml:space="preserve"> </w:t>
      </w:r>
      <w:r>
        <w:t xml:space="preserve">darf man das Aas geben, dem </w:t>
      </w:r>
      <w:r>
        <w:rPr>
          <w:rStyle w:val="Fett"/>
          <w:rFonts w:eastAsiaTheme="majorEastAsia"/>
          <w:rtl/>
        </w:rPr>
        <w:t>נָכְרִי</w:t>
      </w:r>
      <w:r>
        <w:rPr>
          <w:rtl/>
        </w:rPr>
        <w:t xml:space="preserve"> </w:t>
      </w:r>
      <w:r>
        <w:t>verkaufen – Israel selbst darf es nicht essen.</w:t>
      </w:r>
    </w:p>
    <w:p w14:paraId="16644786" w14:textId="77777777" w:rsidR="008068F7" w:rsidRDefault="008068F7" w:rsidP="008068F7">
      <w:pPr>
        <w:pStyle w:val="whitespace-normal"/>
      </w:pPr>
      <w:r>
        <w:rPr>
          <w:rStyle w:val="Fett"/>
          <w:rFonts w:eastAsiaTheme="majorEastAsia"/>
          <w:rtl/>
        </w:rPr>
        <w:t>כִּי עַם קָדוֹשׁ אַתָּה לַיהוָה אֱלֹהֶיךָ</w:t>
      </w:r>
      <w:r>
        <w:rPr>
          <w:rtl/>
        </w:rPr>
        <w:t xml:space="preserve"> </w:t>
      </w:r>
      <w:r>
        <w:t xml:space="preserve">ist die kausale Begründung: </w:t>
      </w:r>
      <w:r>
        <w:rPr>
          <w:rStyle w:val="Fett"/>
          <w:rFonts w:eastAsiaTheme="majorEastAsia"/>
          <w:rtl/>
        </w:rPr>
        <w:t>כִּי</w:t>
      </w:r>
      <w:r>
        <w:rPr>
          <w:rtl/>
        </w:rPr>
        <w:t xml:space="preserve"> </w:t>
      </w:r>
      <w:r>
        <w:t xml:space="preserve">(„denn, weil") als kausale Konjunktion, </w:t>
      </w:r>
      <w:r>
        <w:rPr>
          <w:rStyle w:val="Fett"/>
          <w:rFonts w:eastAsiaTheme="majorEastAsia"/>
          <w:rtl/>
        </w:rPr>
        <w:t>עַם קָדוֹשׁ</w:t>
      </w:r>
      <w:r>
        <w:rPr>
          <w:rtl/>
        </w:rPr>
        <w:t xml:space="preserve"> </w:t>
      </w:r>
      <w:r>
        <w:t>(</w:t>
      </w:r>
      <w:r>
        <w:rPr>
          <w:rStyle w:val="Fett"/>
          <w:rFonts w:eastAsiaTheme="majorEastAsia"/>
          <w:rtl/>
        </w:rPr>
        <w:t>עַם</w:t>
      </w:r>
      <w:r>
        <w:t xml:space="preserve">, „Volk", mit </w:t>
      </w:r>
      <w:r>
        <w:rPr>
          <w:rStyle w:val="Fett"/>
          <w:rFonts w:eastAsiaTheme="majorEastAsia"/>
          <w:rtl/>
        </w:rPr>
        <w:t>קָדוֹשׁ</w:t>
      </w:r>
      <w:r>
        <w:t xml:space="preserve">, „heilig", „ein heiliges Volk") als Prädikatsnomen, </w:t>
      </w:r>
      <w:r>
        <w:rPr>
          <w:rStyle w:val="Fett"/>
          <w:rFonts w:eastAsiaTheme="majorEastAsia"/>
          <w:rtl/>
        </w:rPr>
        <w:t>אַתָּה</w:t>
      </w:r>
      <w:r>
        <w:rPr>
          <w:rtl/>
        </w:rPr>
        <w:t xml:space="preserve"> </w:t>
      </w:r>
      <w:r>
        <w:t xml:space="preserve">(Personalpronomen 2. Person Maskulinum Singular, „du") als Subjekt und </w:t>
      </w:r>
      <w:r>
        <w:rPr>
          <w:rStyle w:val="Fett"/>
          <w:rFonts w:eastAsiaTheme="majorEastAsia"/>
          <w:rtl/>
        </w:rPr>
        <w:t>לַיהוָה אֱלֹהֶיךָ</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יְהוָה אֱלֹהֶיךָ</w:t>
      </w:r>
      <w:r>
        <w:t>) als Dativ. Diese Begründung wiederholt V. 2.</w:t>
      </w:r>
    </w:p>
    <w:p w14:paraId="20189F99" w14:textId="77777777" w:rsidR="008068F7" w:rsidRDefault="008068F7" w:rsidP="008068F7">
      <w:pPr>
        <w:pStyle w:val="whitespace-normal"/>
      </w:pPr>
      <w:r>
        <w:rPr>
          <w:rStyle w:val="Fett"/>
          <w:rFonts w:eastAsiaTheme="majorEastAsia"/>
          <w:rtl/>
        </w:rPr>
        <w:t>לֹא־תְבַשֵּׁל גְּדִי בַּחֲלֵב אִמּוֹ</w:t>
      </w:r>
      <w:r>
        <w:rPr>
          <w:rtl/>
        </w:rPr>
        <w:t xml:space="preserve"> </w:t>
      </w:r>
      <w:r>
        <w:t xml:space="preserve">ist ein angehängter negativer Imperativsatz: </w:t>
      </w:r>
      <w:r>
        <w:rPr>
          <w:rStyle w:val="Fett"/>
          <w:rFonts w:eastAsiaTheme="majorEastAsia"/>
          <w:rtl/>
        </w:rPr>
        <w:t>לֹא</w:t>
      </w:r>
      <w:r>
        <w:rPr>
          <w:rtl/>
        </w:rPr>
        <w:t xml:space="preserve"> </w:t>
      </w:r>
      <w:r>
        <w:t xml:space="preserve">(Negation) mit </w:t>
      </w:r>
      <w:r>
        <w:rPr>
          <w:rStyle w:val="Fett"/>
          <w:rFonts w:eastAsiaTheme="majorEastAsia"/>
          <w:rtl/>
        </w:rPr>
        <w:t>תְבַשֵּׁל</w:t>
      </w:r>
      <w:r>
        <w:rPr>
          <w:rtl/>
        </w:rPr>
        <w:t xml:space="preserve"> </w:t>
      </w:r>
      <w:r>
        <w:t xml:space="preserve">(Piel Imperfekt, 2. Person Maskulinum Singular von </w:t>
      </w:r>
      <w:r>
        <w:rPr>
          <w:rStyle w:val="Fett"/>
          <w:rFonts w:eastAsiaTheme="majorEastAsia"/>
          <w:rtl/>
        </w:rPr>
        <w:t>בשׁל</w:t>
      </w:r>
      <w:r>
        <w:t xml:space="preserve">, „kochen"), </w:t>
      </w:r>
      <w:r>
        <w:rPr>
          <w:rStyle w:val="Fett"/>
          <w:rFonts w:eastAsiaTheme="majorEastAsia"/>
          <w:rtl/>
        </w:rPr>
        <w:t>גְּדִי</w:t>
      </w:r>
      <w:r>
        <w:rPr>
          <w:rtl/>
        </w:rPr>
        <w:t xml:space="preserve"> </w:t>
      </w:r>
      <w:r>
        <w:t>(</w:t>
      </w:r>
      <w:r>
        <w:rPr>
          <w:rStyle w:val="Fett"/>
          <w:rFonts w:eastAsiaTheme="majorEastAsia"/>
          <w:rtl/>
        </w:rPr>
        <w:t>גְּדִי</w:t>
      </w:r>
      <w:r>
        <w:t xml:space="preserve">, „Böcklein, junges Zicklein") als direktes Objekt und </w:t>
      </w:r>
      <w:r>
        <w:rPr>
          <w:rStyle w:val="Fett"/>
          <w:rFonts w:eastAsiaTheme="majorEastAsia"/>
          <w:rtl/>
        </w:rPr>
        <w:t>בַּחֲלֵב אִמּוֹ</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חָלָב</w:t>
      </w:r>
      <w:r>
        <w:t xml:space="preserve">, „Milch", Construct mit </w:t>
      </w:r>
      <w:r>
        <w:rPr>
          <w:rStyle w:val="Fett"/>
          <w:rFonts w:eastAsiaTheme="majorEastAsia"/>
          <w:rtl/>
        </w:rPr>
        <w:t>אֵם</w:t>
      </w:r>
      <w:r>
        <w:t>, „Mutter", mit Suffix 3. Person Maskulinum Singular, „in der Milch seiner Mutter") als instrumentaler Bestimmung.</w:t>
      </w:r>
    </w:p>
    <w:p w14:paraId="6BAF61BC" w14:textId="0AACF1B8" w:rsidR="008068F7" w:rsidRDefault="008068F7" w:rsidP="008068F7">
      <w:pPr>
        <w:pStyle w:val="whitespace-normal"/>
      </w:pPr>
      <w:r>
        <w:t>Dieses Verbot erscheint dreimal im Pentateuch (Ex 23,19; 34,26; Dtn 14,21) und ist eines der Speisegebote. Die genaue Begründung ist umstritten: möglicherweise Abgrenzung von kanaanäischen Fruchtbarkeitsriten, ethische Rücksicht (Mutter und Kind nicht zusammen) oder symbolische Trennung von Leben (Milch) und Tod (geschlachtetes Tier). Die rabbinische Tradition hat daraus das umfassende Verbot entwickelt, Fleisch- und Milchprodukte zusammen zu essen.</w:t>
      </w:r>
    </w:p>
    <w:p w14:paraId="4E179885" w14:textId="77777777" w:rsidR="00864B28" w:rsidRPr="00864B28" w:rsidRDefault="00864B28" w:rsidP="00864B28">
      <w:pPr>
        <w:spacing w:before="100" w:beforeAutospacing="1" w:after="100" w:afterAutospacing="1" w:line="240" w:lineRule="auto"/>
        <w:outlineLvl w:val="1"/>
        <w:rPr>
          <w:rFonts w:eastAsia="Times New Roman"/>
          <w:b/>
          <w:bCs/>
          <w:sz w:val="36"/>
          <w:szCs w:val="36"/>
          <w:lang w:eastAsia="de-DE"/>
        </w:rPr>
      </w:pPr>
      <w:r w:rsidRPr="00864B28">
        <w:rPr>
          <w:rFonts w:eastAsia="Times New Roman"/>
          <w:b/>
          <w:bCs/>
          <w:sz w:val="36"/>
          <w:szCs w:val="36"/>
          <w:lang w:eastAsia="de-DE"/>
        </w:rPr>
        <w:t>Vers 21 (MT) / Vers 20-21 (LXX)</w:t>
      </w:r>
    </w:p>
    <w:p w14:paraId="27C1DF9C" w14:textId="1CF32C0E" w:rsidR="00864B28" w:rsidRPr="00864B28" w:rsidRDefault="00864B28" w:rsidP="00864B28">
      <w:pPr>
        <w:spacing w:before="100" w:beforeAutospacing="1" w:after="100" w:afterAutospacing="1" w:line="240" w:lineRule="auto"/>
        <w:rPr>
          <w:rFonts w:eastAsia="Times New Roman"/>
          <w:lang w:eastAsia="de-DE"/>
        </w:rPr>
      </w:pPr>
      <w:r w:rsidRPr="00864B28">
        <w:rPr>
          <w:rFonts w:eastAsia="Times New Roman"/>
          <w:b/>
          <w:bCs/>
          <w:lang w:eastAsia="de-DE"/>
        </w:rPr>
        <w:t>Die LXX</w:t>
      </w:r>
      <w:r w:rsidRPr="00864B28">
        <w:rPr>
          <w:rFonts w:eastAsia="Times New Roman"/>
          <w:lang w:eastAsia="de-DE"/>
        </w:rPr>
        <w:t xml:space="preserve"> teilt diesen langen Vers in zwei Teile und setzt das Verbot über das Kochen eines Lammes in Muttermilch als eigenständigen Satz ab: </w:t>
      </w:r>
      <w:proofErr w:type="spellStart"/>
      <w:r w:rsidRPr="00864B28">
        <w:rPr>
          <w:rFonts w:eastAsia="Times New Roman"/>
          <w:lang w:eastAsia="de-DE"/>
        </w:rPr>
        <w:t>Οὐχ</w:t>
      </w:r>
      <w:proofErr w:type="spellEnd"/>
      <w:r w:rsidRPr="00864B28">
        <w:rPr>
          <w:rFonts w:eastAsia="Times New Roman"/>
          <w:lang w:eastAsia="de-DE"/>
        </w:rPr>
        <w:t xml:space="preserve"> </w:t>
      </w:r>
      <w:proofErr w:type="spellStart"/>
      <w:r w:rsidRPr="00864B28">
        <w:rPr>
          <w:rFonts w:eastAsia="Times New Roman"/>
          <w:lang w:eastAsia="de-DE"/>
        </w:rPr>
        <w:t>ἑψήσεις</w:t>
      </w:r>
      <w:proofErr w:type="spellEnd"/>
      <w:r w:rsidRPr="00864B28">
        <w:rPr>
          <w:rFonts w:eastAsia="Times New Roman"/>
          <w:lang w:eastAsia="de-DE"/>
        </w:rPr>
        <w:t xml:space="preserve"> </w:t>
      </w:r>
      <w:proofErr w:type="spellStart"/>
      <w:r w:rsidRPr="00864B28">
        <w:rPr>
          <w:rFonts w:eastAsia="Times New Roman"/>
          <w:lang w:eastAsia="de-DE"/>
        </w:rPr>
        <w:t>ἄρν</w:t>
      </w:r>
      <w:proofErr w:type="spellEnd"/>
      <w:r w:rsidRPr="00864B28">
        <w:rPr>
          <w:rFonts w:eastAsia="Times New Roman"/>
          <w:lang w:eastAsia="de-DE"/>
        </w:rPr>
        <w:t xml:space="preserve">α </w:t>
      </w:r>
      <w:proofErr w:type="spellStart"/>
      <w:r w:rsidRPr="00864B28">
        <w:rPr>
          <w:rFonts w:eastAsia="Times New Roman"/>
          <w:lang w:eastAsia="de-DE"/>
        </w:rPr>
        <w:t>ἐν</w:t>
      </w:r>
      <w:proofErr w:type="spellEnd"/>
      <w:r w:rsidRPr="00864B28">
        <w:rPr>
          <w:rFonts w:eastAsia="Times New Roman"/>
          <w:lang w:eastAsia="de-DE"/>
        </w:rPr>
        <w:t xml:space="preserve"> </w:t>
      </w:r>
      <w:proofErr w:type="spellStart"/>
      <w:r w:rsidRPr="00864B28">
        <w:rPr>
          <w:rFonts w:eastAsia="Times New Roman"/>
          <w:lang w:eastAsia="de-DE"/>
        </w:rPr>
        <w:t>γάλ</w:t>
      </w:r>
      <w:proofErr w:type="spellEnd"/>
      <w:r w:rsidRPr="00864B28">
        <w:rPr>
          <w:rFonts w:eastAsia="Times New Roman"/>
          <w:lang w:eastAsia="de-DE"/>
        </w:rPr>
        <w:t xml:space="preserve">ακτι </w:t>
      </w:r>
      <w:proofErr w:type="spellStart"/>
      <w:r w:rsidRPr="00864B28">
        <w:rPr>
          <w:rFonts w:eastAsia="Times New Roman"/>
          <w:lang w:eastAsia="de-DE"/>
        </w:rPr>
        <w:t>μητρὸς</w:t>
      </w:r>
      <w:proofErr w:type="spellEnd"/>
      <w:r w:rsidRPr="00864B28">
        <w:rPr>
          <w:rFonts w:eastAsia="Times New Roman"/>
          <w:lang w:eastAsia="de-DE"/>
        </w:rPr>
        <w:t xml:space="preserve"> α</w:t>
      </w:r>
      <w:proofErr w:type="spellStart"/>
      <w:r w:rsidRPr="00864B28">
        <w:rPr>
          <w:rFonts w:eastAsia="Times New Roman"/>
          <w:lang w:eastAsia="de-DE"/>
        </w:rPr>
        <w:t>ὐτοῦ</w:t>
      </w:r>
      <w:proofErr w:type="spellEnd"/>
      <w:r w:rsidRPr="00864B28">
        <w:rPr>
          <w:rFonts w:eastAsia="Times New Roman"/>
          <w:lang w:eastAsia="de-DE"/>
        </w:rPr>
        <w:t xml:space="preserve">. Zudem verwendet die LXX </w:t>
      </w:r>
      <w:proofErr w:type="spellStart"/>
      <w:r w:rsidRPr="00864B28">
        <w:rPr>
          <w:rFonts w:eastAsia="Times New Roman"/>
          <w:lang w:eastAsia="de-DE"/>
        </w:rPr>
        <w:t>ἄρν</w:t>
      </w:r>
      <w:proofErr w:type="spellEnd"/>
      <w:r w:rsidRPr="00864B28">
        <w:rPr>
          <w:rFonts w:eastAsia="Times New Roman"/>
          <w:lang w:eastAsia="de-DE"/>
        </w:rPr>
        <w:t xml:space="preserve">α (Lamm) für </w:t>
      </w:r>
      <w:r w:rsidRPr="00864B28">
        <w:rPr>
          <w:rFonts w:eastAsia="Times New Roman"/>
          <w:rtl/>
          <w:lang w:eastAsia="de-DE"/>
        </w:rPr>
        <w:t>גְּדִי</w:t>
      </w:r>
      <w:r w:rsidRPr="00864B28">
        <w:rPr>
          <w:rFonts w:eastAsia="Times New Roman"/>
          <w:lang w:eastAsia="de-DE"/>
        </w:rPr>
        <w:t xml:space="preserve"> (Zicklein) – eine bedeutsame inhaltliche Abweichung.</w:t>
      </w:r>
    </w:p>
    <w:p w14:paraId="42454921" w14:textId="70620A88" w:rsidR="008068F7" w:rsidRDefault="008068F7" w:rsidP="008068F7">
      <w:pPr>
        <w:pStyle w:val="whitespace-normal"/>
      </w:pPr>
      <w:r>
        <w:rPr>
          <w:rStyle w:val="Fett"/>
          <w:rFonts w:eastAsiaTheme="majorEastAsia"/>
        </w:rPr>
        <w:t>Die Satzstruktur</w:t>
      </w:r>
      <w:r>
        <w:t xml:space="preserve"> besteht aus einem negativen Imperativsatz, zwei alternativen Imperativen, kausaler Begründung und angehängtem negativen Imperativ: Negation (nicht), Prädikat (sollt ihr essen), direktes Objekt (jedes Aas); erster Imperativ mit Dativ (dem Fremden, der in deinen Toren ist), Prädikat (magst du es geben), finale Folge (dass er es esse); zweiter Imperativ (oder verkaufe) mit Dativ (einem Ausländer); kausale Begründung (denn ein heiliges Volk bist du </w:t>
      </w:r>
      <w:r w:rsidR="00281FDB">
        <w:t>JHWH</w:t>
      </w:r>
      <w:r>
        <w:t>, deinem Gott); angehängter negativer Imperativ (nicht sollst du kochen), direktes Objekt (ein Böcklein), instrumentale Bestimmung (in der Milch seiner Mutter).</w:t>
      </w:r>
    </w:p>
    <w:p w14:paraId="77135D1D" w14:textId="77777777" w:rsidR="008068F7" w:rsidRDefault="008068F7" w:rsidP="008068F7">
      <w:pPr>
        <w:pStyle w:val="whitespace-normal"/>
      </w:pPr>
      <w:r>
        <w:t>Der Vers verbietet Israel den Verzehr von Aas – es darf dem ansässigen Fremden gegeben oder dem Ausländer verkauft werden –, begründet dies durch Israels Heiligkeit und fügt das Verbot hinzu, ein Böcklein in der Milch seiner Mutter zu kochen.</w:t>
      </w:r>
    </w:p>
    <w:p w14:paraId="3CE8117B" w14:textId="77777777" w:rsidR="008068F7" w:rsidRPr="008068F7" w:rsidRDefault="008068F7" w:rsidP="008068F7">
      <w:pPr>
        <w:pStyle w:val="berschrift1"/>
        <w:rPr>
          <w:rFonts w:ascii="Times New Roman" w:hAnsi="Times New Roman"/>
          <w:color w:val="auto"/>
          <w:sz w:val="36"/>
          <w:szCs w:val="36"/>
        </w:rPr>
      </w:pPr>
      <w:r w:rsidRPr="008068F7">
        <w:rPr>
          <w:rStyle w:val="Fett"/>
          <w:rFonts w:ascii="Times New Roman" w:hAnsi="Times New Roman"/>
          <w:color w:val="auto"/>
          <w:sz w:val="36"/>
          <w:szCs w:val="36"/>
        </w:rPr>
        <w:t>Deuteronomium 14,22</w:t>
      </w:r>
    </w:p>
    <w:p w14:paraId="2DF35D8C" w14:textId="77777777" w:rsidR="008068F7" w:rsidRDefault="008068F7" w:rsidP="008068F7">
      <w:pPr>
        <w:pStyle w:val="whitespace-normal"/>
      </w:pPr>
      <w:r>
        <w:rPr>
          <w:rStyle w:val="Fett"/>
          <w:rFonts w:eastAsiaTheme="majorEastAsia"/>
        </w:rPr>
        <w:t>Hebräisch:</w:t>
      </w:r>
      <w:r>
        <w:t xml:space="preserve"> </w:t>
      </w:r>
      <w:r>
        <w:rPr>
          <w:rtl/>
        </w:rPr>
        <w:t>עַשֵּׂ֣ר תְּעַשֵּׂ֔ר אֵ֖ת כָּל־תְּבוּאַ֣ת זַרְעֶ֑ךָ הַיֹּצֵ֥א הַשָּׂדֶ֖ה שָׁנָ֥ה שָׁנָֽה׃</w:t>
      </w:r>
    </w:p>
    <w:p w14:paraId="6C5890BC" w14:textId="77777777" w:rsidR="008068F7" w:rsidRDefault="008068F7" w:rsidP="008068F7">
      <w:pPr>
        <w:pStyle w:val="whitespace-normal"/>
      </w:pPr>
      <w:r>
        <w:rPr>
          <w:rStyle w:val="Fett"/>
          <w:rFonts w:eastAsiaTheme="majorEastAsia"/>
        </w:rPr>
        <w:t>Deutsch:</w:t>
      </w:r>
      <w:r>
        <w:t xml:space="preserve"> Du sollst allen Ertrag deiner Saat verzehnten, der aus dem Feld hervorkommt, Jahr für Jahr.</w:t>
      </w:r>
    </w:p>
    <w:p w14:paraId="1CB56413" w14:textId="77777777" w:rsidR="008068F7" w:rsidRDefault="004F5CEB" w:rsidP="008068F7">
      <w:r>
        <w:rPr>
          <w:noProof/>
        </w:rPr>
        <w:lastRenderedPageBreak/>
        <w:pict w14:anchorId="475BE2B5">
          <v:rect id="_x0000_i1437" style="width:0;height:1.5pt" o:hralign="center" o:hrstd="t" o:hr="t" fillcolor="#a0a0a0" stroked="f"/>
        </w:pict>
      </w:r>
    </w:p>
    <w:p w14:paraId="75CCF667" w14:textId="77777777" w:rsidR="008068F7" w:rsidRDefault="008068F7" w:rsidP="008068F7">
      <w:pPr>
        <w:pStyle w:val="whitespace-normal"/>
      </w:pPr>
      <w:r>
        <w:rPr>
          <w:rStyle w:val="Fett"/>
          <w:rFonts w:eastAsiaTheme="majorEastAsia"/>
        </w:rPr>
        <w:t>Kommentar:</w:t>
      </w:r>
      <w:r>
        <w:t xml:space="preserve"> </w:t>
      </w:r>
      <w:r>
        <w:rPr>
          <w:rStyle w:val="Fett"/>
          <w:rFonts w:eastAsiaTheme="majorEastAsia"/>
          <w:rtl/>
        </w:rPr>
        <w:t>עַשֵּׂר תְּעַשֵּׂר אֵת כָּל־תְּבוּאַת זַרְעֶךָ הַיֹּצֵא הַשָּׂדֶה שָׁנָה שָׁנָה</w:t>
      </w:r>
      <w:r>
        <w:rPr>
          <w:rtl/>
        </w:rPr>
        <w:t xml:space="preserve"> </w:t>
      </w:r>
      <w:r>
        <w:t xml:space="preserve">ist ein emphatischer Imperativsatz: </w:t>
      </w:r>
      <w:r>
        <w:rPr>
          <w:rStyle w:val="Fett"/>
          <w:rFonts w:eastAsiaTheme="majorEastAsia"/>
          <w:rtl/>
        </w:rPr>
        <w:t>עַשֵּׂר</w:t>
      </w:r>
      <w:r>
        <w:rPr>
          <w:rtl/>
        </w:rPr>
        <w:t xml:space="preserve"> </w:t>
      </w:r>
      <w:r>
        <w:t xml:space="preserve">(Piel Infinitiv Absolut von </w:t>
      </w:r>
      <w:r>
        <w:rPr>
          <w:rStyle w:val="Fett"/>
          <w:rFonts w:eastAsiaTheme="majorEastAsia"/>
          <w:rtl/>
        </w:rPr>
        <w:t>עשׂר</w:t>
      </w:r>
      <w:r>
        <w:t xml:space="preserve">, „verzehnten, den Zehnten geben") mit </w:t>
      </w:r>
      <w:r>
        <w:rPr>
          <w:rStyle w:val="Fett"/>
          <w:rFonts w:eastAsiaTheme="majorEastAsia"/>
          <w:rtl/>
        </w:rPr>
        <w:t>תְּעַשֵּׂר</w:t>
      </w:r>
      <w:r>
        <w:rPr>
          <w:rtl/>
        </w:rPr>
        <w:t xml:space="preserve"> </w:t>
      </w:r>
      <w:r>
        <w:t xml:space="preserve">(Piel Imperfekt, 2. Person Maskulinum Singular von </w:t>
      </w:r>
      <w:r>
        <w:rPr>
          <w:rStyle w:val="Fett"/>
          <w:rFonts w:eastAsiaTheme="majorEastAsia"/>
          <w:rtl/>
        </w:rPr>
        <w:t>עשׂר</w:t>
      </w:r>
      <w:r>
        <w:t xml:space="preserve">), </w:t>
      </w:r>
      <w:r>
        <w:rPr>
          <w:rStyle w:val="Fett"/>
          <w:rFonts w:eastAsiaTheme="majorEastAsia"/>
          <w:rtl/>
        </w:rPr>
        <w:t>אֵת כָּל־תְּבוּאַת זַרְעֶךָ</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כֹּל</w:t>
      </w:r>
      <w:r>
        <w:t xml:space="preserve">, „all", im Construct mit </w:t>
      </w:r>
      <w:r>
        <w:rPr>
          <w:rStyle w:val="Fett"/>
          <w:rFonts w:eastAsiaTheme="majorEastAsia"/>
          <w:rtl/>
        </w:rPr>
        <w:t>תְּבוּאָה</w:t>
      </w:r>
      <w:r>
        <w:t xml:space="preserve">, „Ertrag, Ernte", Construct mit </w:t>
      </w:r>
      <w:r>
        <w:rPr>
          <w:rStyle w:val="Fett"/>
          <w:rFonts w:eastAsiaTheme="majorEastAsia"/>
          <w:rtl/>
        </w:rPr>
        <w:t>זֶרַע</w:t>
      </w:r>
      <w:r>
        <w:t xml:space="preserve">, „Saat, Same", mit Suffix 2. Person Maskulinum Singular, „allen Ertrag deiner Saat") als direktes Objekt, </w:t>
      </w:r>
      <w:r>
        <w:rPr>
          <w:rStyle w:val="Fett"/>
          <w:rFonts w:eastAsiaTheme="majorEastAsia"/>
          <w:rtl/>
        </w:rPr>
        <w:t>הַיֹּצֵא הַשָּׂדֶה</w:t>
      </w:r>
      <w:r>
        <w:rPr>
          <w:rtl/>
        </w:rPr>
        <w:t xml:space="preserve"> </w:t>
      </w:r>
      <w:r>
        <w:t xml:space="preserve">(Qal Partizip Maskulinum Singular von </w:t>
      </w:r>
      <w:r>
        <w:rPr>
          <w:rStyle w:val="Fett"/>
          <w:rFonts w:eastAsiaTheme="majorEastAsia"/>
          <w:rtl/>
        </w:rPr>
        <w:t>יצא</w:t>
      </w:r>
      <w:r>
        <w:t xml:space="preserve">, „hinausgehen, hervorkommen", mit Artikel, </w:t>
      </w:r>
      <w:r>
        <w:rPr>
          <w:rStyle w:val="Fett"/>
          <w:rFonts w:eastAsiaTheme="majorEastAsia"/>
          <w:rtl/>
        </w:rPr>
        <w:t>הַשָּׂדֶה</w:t>
      </w:r>
      <w:r>
        <w:t xml:space="preserve">, Artikel mit </w:t>
      </w:r>
      <w:r>
        <w:rPr>
          <w:rStyle w:val="Fett"/>
          <w:rFonts w:eastAsiaTheme="majorEastAsia"/>
          <w:rtl/>
        </w:rPr>
        <w:t>שָׂדֶה</w:t>
      </w:r>
      <w:r>
        <w:t xml:space="preserve">, „Feld", „der aus dem Feld hervorkommt") als nähere Bestimmung und </w:t>
      </w:r>
      <w:r>
        <w:rPr>
          <w:rStyle w:val="Fett"/>
          <w:rFonts w:eastAsiaTheme="majorEastAsia"/>
          <w:rtl/>
        </w:rPr>
        <w:t>שָׁנָה שָׁנָה</w:t>
      </w:r>
      <w:r>
        <w:rPr>
          <w:rtl/>
        </w:rPr>
        <w:t xml:space="preserve"> </w:t>
      </w:r>
      <w:r>
        <w:t>(</w:t>
      </w:r>
      <w:r>
        <w:rPr>
          <w:rStyle w:val="Fett"/>
          <w:rFonts w:eastAsiaTheme="majorEastAsia"/>
          <w:rtl/>
        </w:rPr>
        <w:t>שָׁנָה</w:t>
      </w:r>
      <w:r>
        <w:t>, „Jahr", wiederholt, „Jahr für Jahr, jährlich") als temporale Bestimmung.</w:t>
      </w:r>
    </w:p>
    <w:p w14:paraId="5315D4E3" w14:textId="77777777" w:rsidR="008068F7" w:rsidRDefault="008068F7" w:rsidP="008068F7">
      <w:pPr>
        <w:pStyle w:val="whitespace-normal"/>
      </w:pPr>
      <w:r>
        <w:t>Die Kombination von Infinitiv Absolut und finitem Verb drückt Emphase aus („gewiss verzehnten, unbedingt verzehnten"). Der Zehnte (</w:t>
      </w:r>
      <w:r>
        <w:rPr>
          <w:rStyle w:val="Fett"/>
          <w:rFonts w:eastAsiaTheme="majorEastAsia"/>
          <w:rtl/>
        </w:rPr>
        <w:t>מַעֲשֵׂר</w:t>
      </w:r>
      <w:r>
        <w:t xml:space="preserve">, von </w:t>
      </w:r>
      <w:r>
        <w:rPr>
          <w:rStyle w:val="Fett"/>
          <w:rFonts w:eastAsiaTheme="majorEastAsia"/>
          <w:rtl/>
        </w:rPr>
        <w:t>עֶשֶׂר</w:t>
      </w:r>
      <w:r>
        <w:t>, „zehn") ist der zehnte Teil des Ertrags, der JHWH geweiht wird.</w:t>
      </w:r>
    </w:p>
    <w:p w14:paraId="0794F1E5" w14:textId="77777777" w:rsidR="008068F7" w:rsidRDefault="008068F7" w:rsidP="008068F7">
      <w:pPr>
        <w:pStyle w:val="whitespace-normal"/>
      </w:pPr>
      <w:r>
        <w:t xml:space="preserve">Der Vers leitet zum Thema des Zehnten über. Der Zehnte betrifft </w:t>
      </w:r>
      <w:r>
        <w:rPr>
          <w:rStyle w:val="Fett"/>
          <w:rFonts w:eastAsiaTheme="majorEastAsia"/>
          <w:rtl/>
        </w:rPr>
        <w:t>תְּבוּאַת זַרְעֶךָ</w:t>
      </w:r>
      <w:r>
        <w:rPr>
          <w:rtl/>
        </w:rPr>
        <w:t xml:space="preserve"> </w:t>
      </w:r>
      <w:r>
        <w:t xml:space="preserve">(„Ertrag deiner Saat") – Getreide und andere Feldfrüchte. Die partizipiale Beschreibung </w:t>
      </w:r>
      <w:r>
        <w:rPr>
          <w:rStyle w:val="Fett"/>
          <w:rFonts w:eastAsiaTheme="majorEastAsia"/>
          <w:rtl/>
        </w:rPr>
        <w:t>הַיֹּצֵא הַשָּׂדֶה</w:t>
      </w:r>
      <w:r>
        <w:rPr>
          <w:rtl/>
        </w:rPr>
        <w:t xml:space="preserve"> </w:t>
      </w:r>
      <w:r>
        <w:t xml:space="preserve">(„der aus dem Feld hervorkommt") betont: Es geht um den tatsächlichen Ertrag, nicht um die Aussaat. Die Wiederholung </w:t>
      </w:r>
      <w:r>
        <w:rPr>
          <w:rStyle w:val="Fett"/>
          <w:rFonts w:eastAsiaTheme="majorEastAsia"/>
          <w:rtl/>
        </w:rPr>
        <w:t>שָׁנָה שָׁנָה</w:t>
      </w:r>
      <w:r>
        <w:rPr>
          <w:rtl/>
        </w:rPr>
        <w:t xml:space="preserve"> </w:t>
      </w:r>
      <w:r>
        <w:t>(„Jahr für Jahr") unterstreicht die jährliche Verpflichtung.</w:t>
      </w:r>
    </w:p>
    <w:p w14:paraId="7810811B" w14:textId="68593009" w:rsidR="008068F7" w:rsidRDefault="008068F7" w:rsidP="008068F7">
      <w:pPr>
        <w:pStyle w:val="whitespace-normal"/>
      </w:pPr>
      <w:r>
        <w:t>Das Deuteronomium kennt zwei (oder drei) Arten von Zehnten: (1) den jährlichen Zehnten, der am zentralen Heiligtum gegessen wird (V. 22-27), (2) den dreijährlichen Zehnten für Leviten und Bedürftige (V. 28-29). Das Verhältnis zu anderen Zehnten-Regelungen (</w:t>
      </w:r>
      <w:r w:rsidR="00664EB6">
        <w:t>Lev</w:t>
      </w:r>
      <w:r>
        <w:t xml:space="preserve"> 27,30-33; Num 18,21-32) ist komplex.</w:t>
      </w:r>
    </w:p>
    <w:p w14:paraId="68E1E6A6" w14:textId="77777777" w:rsidR="00864B28" w:rsidRPr="00864B28" w:rsidRDefault="00864B28" w:rsidP="00864B28">
      <w:pPr>
        <w:spacing w:before="100" w:beforeAutospacing="1" w:after="100" w:afterAutospacing="1" w:line="240" w:lineRule="auto"/>
        <w:outlineLvl w:val="1"/>
        <w:rPr>
          <w:rFonts w:eastAsia="Times New Roman"/>
          <w:b/>
          <w:bCs/>
          <w:sz w:val="36"/>
          <w:szCs w:val="36"/>
          <w:lang w:eastAsia="de-DE"/>
        </w:rPr>
      </w:pPr>
      <w:r w:rsidRPr="00864B28">
        <w:rPr>
          <w:rFonts w:eastAsia="Times New Roman"/>
          <w:b/>
          <w:bCs/>
          <w:sz w:val="36"/>
          <w:szCs w:val="36"/>
          <w:lang w:eastAsia="de-DE"/>
        </w:rPr>
        <w:t>Vers 22 (MT) / Vers 21 (LXX)</w:t>
      </w:r>
    </w:p>
    <w:p w14:paraId="3D5A67C4" w14:textId="77777777" w:rsidR="00864B28" w:rsidRPr="00864B28" w:rsidRDefault="00864B28" w:rsidP="00864B28">
      <w:pPr>
        <w:spacing w:before="100" w:beforeAutospacing="1" w:after="100" w:afterAutospacing="1" w:line="240" w:lineRule="auto"/>
        <w:rPr>
          <w:rFonts w:eastAsia="Times New Roman"/>
          <w:lang w:eastAsia="de-DE"/>
        </w:rPr>
      </w:pPr>
      <w:r w:rsidRPr="00864B28">
        <w:rPr>
          <w:rFonts w:eastAsia="Times New Roman"/>
          <w:b/>
          <w:bCs/>
          <w:lang w:eastAsia="de-DE"/>
        </w:rPr>
        <w:t>Die LXX</w:t>
      </w:r>
      <w:r w:rsidRPr="00864B28">
        <w:rPr>
          <w:rFonts w:eastAsia="Times New Roman"/>
          <w:lang w:eastAsia="de-DE"/>
        </w:rPr>
        <w:t xml:space="preserve"> übersetzt mit </w:t>
      </w:r>
      <w:proofErr w:type="spellStart"/>
      <w:r w:rsidRPr="00864B28">
        <w:rPr>
          <w:rFonts w:eastAsia="Times New Roman"/>
          <w:lang w:eastAsia="de-DE"/>
        </w:rPr>
        <w:t>Δεκάτην</w:t>
      </w:r>
      <w:proofErr w:type="spellEnd"/>
      <w:r w:rsidRPr="00864B28">
        <w:rPr>
          <w:rFonts w:eastAsia="Times New Roman"/>
          <w:lang w:eastAsia="de-DE"/>
        </w:rPr>
        <w:t xml:space="preserve"> ἀπ</w:t>
      </w:r>
      <w:proofErr w:type="spellStart"/>
      <w:r w:rsidRPr="00864B28">
        <w:rPr>
          <w:rFonts w:eastAsia="Times New Roman"/>
          <w:lang w:eastAsia="de-DE"/>
        </w:rPr>
        <w:t>οδεκ</w:t>
      </w:r>
      <w:proofErr w:type="spellEnd"/>
      <w:r w:rsidRPr="00864B28">
        <w:rPr>
          <w:rFonts w:eastAsia="Times New Roman"/>
          <w:lang w:eastAsia="de-DE"/>
        </w:rPr>
        <w:t xml:space="preserve">ατώσεις (den Zehnten wirst du verzehnten) für </w:t>
      </w:r>
      <w:r w:rsidRPr="00864B28">
        <w:rPr>
          <w:rFonts w:eastAsia="Times New Roman"/>
          <w:rtl/>
          <w:lang w:eastAsia="de-DE"/>
        </w:rPr>
        <w:t>עַשֵּׂר תְּעַשֵּׂר</w:t>
      </w:r>
      <w:r w:rsidRPr="00864B28">
        <w:rPr>
          <w:rFonts w:eastAsia="Times New Roman"/>
          <w:lang w:eastAsia="de-DE"/>
        </w:rPr>
        <w:t xml:space="preserve"> – eine prägnante Wiedergabe der hebräischen figura etymologica.</w:t>
      </w:r>
    </w:p>
    <w:p w14:paraId="2C35DB60" w14:textId="77777777" w:rsidR="008068F7" w:rsidRDefault="008068F7" w:rsidP="008068F7">
      <w:pPr>
        <w:pStyle w:val="whitespace-normal"/>
      </w:pPr>
      <w:r>
        <w:rPr>
          <w:rStyle w:val="Fett"/>
          <w:rFonts w:eastAsiaTheme="majorEastAsia"/>
        </w:rPr>
        <w:t>Die Satzstruktur</w:t>
      </w:r>
      <w:r>
        <w:t xml:space="preserve"> besteht aus einem emphatischen Imperativ: Emphatischer Infinitiv Absolut (verzehnten), Prädikat (sollst du verzehnten), direktes Objekt (allen Ertrag deiner Saat), partizipiale Bestimmung (der aus dem Feld hervorkommt), temporale Bestimmung (Jahr für Jahr).</w:t>
      </w:r>
    </w:p>
    <w:p w14:paraId="292DC160" w14:textId="724C8E15" w:rsidR="008068F7" w:rsidRDefault="008068F7" w:rsidP="008068F7">
      <w:pPr>
        <w:pStyle w:val="whitespace-normal"/>
      </w:pPr>
      <w:r>
        <w:t xml:space="preserve">Der Vers fordert emphatisch die jährliche </w:t>
      </w:r>
      <w:proofErr w:type="spellStart"/>
      <w:r>
        <w:t>Verzehn</w:t>
      </w:r>
      <w:r w:rsidR="003D657E">
        <w:t>t</w:t>
      </w:r>
      <w:r>
        <w:t>ung</w:t>
      </w:r>
      <w:proofErr w:type="spellEnd"/>
      <w:r>
        <w:t xml:space="preserve"> des gesamten Feldertrags – Jahr für Jahr soll der zehnte Teil abgegeben werden.</w:t>
      </w:r>
    </w:p>
    <w:p w14:paraId="5B604EFF" w14:textId="77777777" w:rsidR="008068F7" w:rsidRPr="008068F7" w:rsidRDefault="008068F7" w:rsidP="008068F7">
      <w:pPr>
        <w:pStyle w:val="berschrift1"/>
        <w:rPr>
          <w:rFonts w:ascii="Times New Roman" w:hAnsi="Times New Roman"/>
          <w:color w:val="auto"/>
          <w:sz w:val="36"/>
          <w:szCs w:val="36"/>
        </w:rPr>
      </w:pPr>
      <w:r w:rsidRPr="008068F7">
        <w:rPr>
          <w:rStyle w:val="Fett"/>
          <w:rFonts w:ascii="Times New Roman" w:hAnsi="Times New Roman"/>
          <w:color w:val="auto"/>
          <w:sz w:val="36"/>
          <w:szCs w:val="36"/>
        </w:rPr>
        <w:t>Deuteronomium 14,23</w:t>
      </w:r>
    </w:p>
    <w:p w14:paraId="18C385A6" w14:textId="77777777" w:rsidR="008068F7" w:rsidRDefault="008068F7" w:rsidP="008068F7">
      <w:pPr>
        <w:pStyle w:val="whitespace-normal"/>
      </w:pPr>
      <w:r>
        <w:rPr>
          <w:rStyle w:val="Fett"/>
          <w:rFonts w:eastAsiaTheme="majorEastAsia"/>
        </w:rPr>
        <w:t>Hebräisch:</w:t>
      </w:r>
      <w:r>
        <w:t xml:space="preserve"> </w:t>
      </w:r>
      <w:r>
        <w:rPr>
          <w:rtl/>
        </w:rPr>
        <w:t>וְאָכַלְתָּ֞ לִפְנֵ֣י׀ יְהוָ֣ה אֱלֹהֶ֗יךָ בַּמָּק֣וֹם אֲשֶׁר־יִבְחַר֮ לְשַׁכֵּ֣ן שְׁמֹ֣ו שָׁם֒ מַעְשַׂ֤ר דְּגָֽנְךָ֙ תִּֽירֹשְׁךָ֣ וְיִצְהָרֶ֔ךָ וּבְכֹרֹ֥ת בְּקָרְךָ֖ וְצֹאנֶ֑ךָ לְמַ֣עַן תִּלְמַ֗ד לְיִרְאָ֛ה אֶת־יְהוָ֥ה אֱלֹהֶ֖יךָ כָּל־הַיָּמִֽים׃</w:t>
      </w:r>
    </w:p>
    <w:p w14:paraId="1FEAF232" w14:textId="77777777" w:rsidR="008068F7" w:rsidRDefault="008068F7" w:rsidP="008068F7">
      <w:pPr>
        <w:pStyle w:val="whitespace-normal"/>
      </w:pPr>
      <w:r>
        <w:rPr>
          <w:rStyle w:val="Fett"/>
          <w:rFonts w:eastAsiaTheme="majorEastAsia"/>
        </w:rPr>
        <w:t>Deutsch:</w:t>
      </w:r>
      <w:r>
        <w:t xml:space="preserve"> Und du sollst essen vor dem Ewigen, deinem Gott, an dem Ort, den er erwählen wird, um seinen Namen dort wohnen zu lassen, den Zehnten deines Getreides, deines Mostes </w:t>
      </w:r>
      <w:r>
        <w:lastRenderedPageBreak/>
        <w:t>und deines Öls, und die Erstgeborenen deines Rind- und deines Kleinviehs, damit du den Ewigen, deinen Gott, fürchten lernst alle Tage.</w:t>
      </w:r>
    </w:p>
    <w:p w14:paraId="135A272F" w14:textId="77777777" w:rsidR="008068F7" w:rsidRDefault="004F5CEB" w:rsidP="008068F7">
      <w:r>
        <w:rPr>
          <w:noProof/>
        </w:rPr>
        <w:pict w14:anchorId="2B1507AE">
          <v:rect id="_x0000_i1438" style="width:0;height:1.5pt" o:hralign="center" o:hrstd="t" o:hr="t" fillcolor="#a0a0a0" stroked="f"/>
        </w:pict>
      </w:r>
    </w:p>
    <w:p w14:paraId="049DE056" w14:textId="7C3D697D" w:rsidR="008068F7" w:rsidRDefault="008068F7" w:rsidP="008068F7">
      <w:pPr>
        <w:pStyle w:val="whitespace-normal"/>
      </w:pPr>
      <w:r>
        <w:rPr>
          <w:rStyle w:val="Fett"/>
          <w:rFonts w:eastAsiaTheme="majorEastAsia"/>
        </w:rPr>
        <w:t>Kommentar:</w:t>
      </w:r>
      <w:r>
        <w:t xml:space="preserve"> </w:t>
      </w:r>
      <w:r>
        <w:rPr>
          <w:rStyle w:val="Fett"/>
          <w:rFonts w:eastAsiaTheme="majorEastAsia"/>
          <w:rtl/>
        </w:rPr>
        <w:t>וְאָכַלְתָּ לִפְנֵי יְהוָה אֱלֹהֶיךָ בַּמָּקוֹם אֲשֶׁר־יִבְחַר לְשַׁכֵּן שְׁמוֹ שָׁם</w:t>
      </w:r>
      <w:r>
        <w:rPr>
          <w:rtl/>
        </w:rPr>
        <w:t xml:space="preserve"> </w:t>
      </w:r>
      <w:r>
        <w:t xml:space="preserve">ist ein Imperativsatz mit lokaler Bestimmung: </w:t>
      </w:r>
      <w:r>
        <w:rPr>
          <w:rStyle w:val="Fett"/>
          <w:rFonts w:eastAsiaTheme="majorEastAsia"/>
          <w:rtl/>
        </w:rPr>
        <w:t>וְאָכַלְתָּ</w:t>
      </w:r>
      <w:r>
        <w:rPr>
          <w:rtl/>
        </w:rPr>
        <w:t xml:space="preserve"> </w:t>
      </w:r>
      <w:r>
        <w:t xml:space="preserve">(Qal Perfekt, 2. Person Maskulinum Singular von </w:t>
      </w:r>
      <w:r>
        <w:rPr>
          <w:rStyle w:val="Fett"/>
          <w:rFonts w:eastAsiaTheme="majorEastAsia"/>
          <w:rtl/>
        </w:rPr>
        <w:t>אכל</w:t>
      </w:r>
      <w:r>
        <w:t xml:space="preserve">, „essen", mit </w:t>
      </w:r>
      <w:r>
        <w:rPr>
          <w:rStyle w:val="Fett"/>
          <w:rFonts w:eastAsiaTheme="majorEastAsia"/>
        </w:rPr>
        <w:t>Waw</w:t>
      </w:r>
      <w:r>
        <w:t xml:space="preserve">, imperativisch), </w:t>
      </w:r>
      <w:r>
        <w:rPr>
          <w:rStyle w:val="Fett"/>
          <w:rFonts w:eastAsiaTheme="majorEastAsia"/>
          <w:rtl/>
        </w:rPr>
        <w:t>לִפְנֵי יְהוָה אֱלֹהֶיךָ</w:t>
      </w:r>
      <w:r>
        <w:rPr>
          <w:rtl/>
        </w:rPr>
        <w:t xml:space="preserve"> </w:t>
      </w:r>
      <w:r>
        <w:t xml:space="preserve">(Präposition </w:t>
      </w:r>
      <w:r>
        <w:rPr>
          <w:rStyle w:val="Fett"/>
          <w:rFonts w:eastAsiaTheme="majorEastAsia"/>
          <w:rtl/>
        </w:rPr>
        <w:t>לִפְנֵי</w:t>
      </w:r>
      <w:r>
        <w:t xml:space="preserve">, „vor, angesichts", mit </w:t>
      </w:r>
      <w:r>
        <w:rPr>
          <w:rStyle w:val="Fett"/>
          <w:rFonts w:eastAsiaTheme="majorEastAsia"/>
          <w:rtl/>
        </w:rPr>
        <w:t>יְהוָה אֱלֹהֶיךָ</w:t>
      </w:r>
      <w:r>
        <w:t xml:space="preserve">, „vor </w:t>
      </w:r>
      <w:r w:rsidR="00281FDB">
        <w:t>JHWH</w:t>
      </w:r>
      <w:r>
        <w:t xml:space="preserve">, deinem Gott") als lokale Bestimmung, </w:t>
      </w:r>
      <w:r>
        <w:rPr>
          <w:rStyle w:val="Fett"/>
          <w:rFonts w:eastAsiaTheme="majorEastAsia"/>
          <w:rtl/>
        </w:rPr>
        <w:t>בַּמָּקוֹם</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מָקוֹם</w:t>
      </w:r>
      <w:r>
        <w:t xml:space="preserve">, „Ort", mit Artikel, „an dem Ort") als weitere lokale Bestimmung, </w:t>
      </w:r>
      <w:r>
        <w:rPr>
          <w:rStyle w:val="Fett"/>
          <w:rFonts w:eastAsiaTheme="majorEastAsia"/>
          <w:rtl/>
        </w:rPr>
        <w:t>אֲשֶׁר־יִבְחַר לְשַׁכֵּן שְׁמוֹ שָׁם</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יִבְחַר</w:t>
      </w:r>
      <w:r>
        <w:t xml:space="preserve">, Qal Imperfekt, 3. Person Maskulinum Singular von </w:t>
      </w:r>
      <w:r>
        <w:rPr>
          <w:rStyle w:val="Fett"/>
          <w:rFonts w:eastAsiaTheme="majorEastAsia"/>
          <w:rtl/>
        </w:rPr>
        <w:t>בחר</w:t>
      </w:r>
      <w:r>
        <w:t xml:space="preserve">, „erwählen", </w:t>
      </w:r>
      <w:r>
        <w:rPr>
          <w:rStyle w:val="Fett"/>
          <w:rFonts w:eastAsiaTheme="majorEastAsia"/>
          <w:rtl/>
        </w:rPr>
        <w:t>לְשַׁכֵּן</w:t>
      </w:r>
      <w:r>
        <w:t xml:space="preserve">, Präposition </w:t>
      </w:r>
      <w:r>
        <w:rPr>
          <w:rStyle w:val="Fett"/>
          <w:rFonts w:eastAsiaTheme="majorEastAsia"/>
          <w:rtl/>
        </w:rPr>
        <w:t>לְ</w:t>
      </w:r>
      <w:r>
        <w:rPr>
          <w:rtl/>
        </w:rPr>
        <w:t xml:space="preserve"> </w:t>
      </w:r>
      <w:r>
        <w:t xml:space="preserve">mit Piel Infinitiv Construct von </w:t>
      </w:r>
      <w:r>
        <w:rPr>
          <w:rStyle w:val="Fett"/>
          <w:rFonts w:eastAsiaTheme="majorEastAsia"/>
          <w:rtl/>
        </w:rPr>
        <w:t>שׁכן</w:t>
      </w:r>
      <w:r>
        <w:t xml:space="preserve">, „wohnen, verweilen", </w:t>
      </w:r>
      <w:r>
        <w:rPr>
          <w:rStyle w:val="Fett"/>
          <w:rFonts w:eastAsiaTheme="majorEastAsia"/>
          <w:rtl/>
        </w:rPr>
        <w:t>שְׁמוֹ</w:t>
      </w:r>
      <w:r>
        <w:t xml:space="preserve">, </w:t>
      </w:r>
      <w:r>
        <w:rPr>
          <w:rStyle w:val="Fett"/>
          <w:rFonts w:eastAsiaTheme="majorEastAsia"/>
          <w:rtl/>
        </w:rPr>
        <w:t>שֵׁם</w:t>
      </w:r>
      <w:r>
        <w:t xml:space="preserve">, „Name", mit Suffix 3. Person Maskulinum Singular, als direktes Objekt, und </w:t>
      </w:r>
      <w:r>
        <w:rPr>
          <w:rStyle w:val="Fett"/>
          <w:rFonts w:eastAsiaTheme="majorEastAsia"/>
          <w:rtl/>
        </w:rPr>
        <w:t>שָׁם</w:t>
      </w:r>
      <w:r>
        <w:t>, „dort", „den er erwählen wird, um seinen Namen dort wohnen zu lassen").</w:t>
      </w:r>
    </w:p>
    <w:p w14:paraId="37B407CD" w14:textId="77777777" w:rsidR="008068F7" w:rsidRDefault="008068F7" w:rsidP="008068F7">
      <w:pPr>
        <w:pStyle w:val="whitespace-normal"/>
      </w:pPr>
      <w:r>
        <w:rPr>
          <w:rStyle w:val="Fett"/>
          <w:rFonts w:eastAsiaTheme="majorEastAsia"/>
          <w:rtl/>
        </w:rPr>
        <w:t>מַעְשַׂר דְּגָנְךָ תִּירֹשְׁךָ וְיִצְהָרֶךָ וּבְכֹרֹת בְּקָרְךָ וְצֹאנֶךָ</w:t>
      </w:r>
      <w:r>
        <w:rPr>
          <w:rtl/>
        </w:rPr>
        <w:t xml:space="preserve"> </w:t>
      </w:r>
      <w:r>
        <w:t xml:space="preserve">ist das vorangestellte direkte Objekt: </w:t>
      </w:r>
      <w:r>
        <w:rPr>
          <w:rStyle w:val="Fett"/>
          <w:rFonts w:eastAsiaTheme="majorEastAsia"/>
          <w:rtl/>
        </w:rPr>
        <w:t>מַעְשַׂר</w:t>
      </w:r>
      <w:r>
        <w:rPr>
          <w:rtl/>
        </w:rPr>
        <w:t xml:space="preserve"> </w:t>
      </w:r>
      <w:r>
        <w:t>(</w:t>
      </w:r>
      <w:r>
        <w:rPr>
          <w:rStyle w:val="Fett"/>
          <w:rFonts w:eastAsiaTheme="majorEastAsia"/>
          <w:rtl/>
        </w:rPr>
        <w:t>מַעֲשֵׂר</w:t>
      </w:r>
      <w:r>
        <w:t xml:space="preserve">, „Zehnte", Construct) mit </w:t>
      </w:r>
      <w:r>
        <w:rPr>
          <w:rStyle w:val="Fett"/>
          <w:rFonts w:eastAsiaTheme="majorEastAsia"/>
          <w:rtl/>
        </w:rPr>
        <w:t>דְּגָנְךָ תִּירֹשְׁךָ וְיִצְהָרֶךָ</w:t>
      </w:r>
      <w:r>
        <w:rPr>
          <w:rtl/>
        </w:rPr>
        <w:t xml:space="preserve"> </w:t>
      </w:r>
      <w:r>
        <w:t>(</w:t>
      </w:r>
      <w:r>
        <w:rPr>
          <w:rStyle w:val="Fett"/>
          <w:rFonts w:eastAsiaTheme="majorEastAsia"/>
          <w:rtl/>
        </w:rPr>
        <w:t>דָּגָן</w:t>
      </w:r>
      <w:r>
        <w:t xml:space="preserve">, „Getreide, Korn", mit Suffix 2. Person Maskulinum Singular, koordiniert durch Juxtaposition mit </w:t>
      </w:r>
      <w:r>
        <w:rPr>
          <w:rStyle w:val="Fett"/>
          <w:rFonts w:eastAsiaTheme="majorEastAsia"/>
          <w:rtl/>
        </w:rPr>
        <w:t>תִּירוֹשׁ</w:t>
      </w:r>
      <w:r>
        <w:t xml:space="preserve">, „Most, neuer Wein", mit Suffix 2. Person Maskulinum Singular, koordiniert durch </w:t>
      </w:r>
      <w:r>
        <w:rPr>
          <w:rStyle w:val="Fett"/>
          <w:rFonts w:eastAsiaTheme="majorEastAsia"/>
          <w:rtl/>
        </w:rPr>
        <w:t>וְ</w:t>
      </w:r>
      <w:r>
        <w:rPr>
          <w:rtl/>
        </w:rPr>
        <w:t xml:space="preserve"> </w:t>
      </w:r>
      <w:r>
        <w:t xml:space="preserve">mit </w:t>
      </w:r>
      <w:r>
        <w:rPr>
          <w:rStyle w:val="Fett"/>
          <w:rFonts w:eastAsiaTheme="majorEastAsia"/>
          <w:rtl/>
        </w:rPr>
        <w:t>יִצְהָר</w:t>
      </w:r>
      <w:r>
        <w:t xml:space="preserve">, „Öl, frisches Öl", mit Suffix 2. Person Maskulinum Singular, „den Zehnten deines Getreides, deines Mostes und deines Öls"), koordiniert durch </w:t>
      </w:r>
      <w:r>
        <w:rPr>
          <w:rStyle w:val="Fett"/>
          <w:rFonts w:eastAsiaTheme="majorEastAsia"/>
          <w:rtl/>
        </w:rPr>
        <w:t>וּ</w:t>
      </w:r>
      <w:r>
        <w:rPr>
          <w:rtl/>
        </w:rPr>
        <w:t xml:space="preserve"> </w:t>
      </w:r>
      <w:r>
        <w:t xml:space="preserve">mit </w:t>
      </w:r>
      <w:r>
        <w:rPr>
          <w:rStyle w:val="Fett"/>
          <w:rFonts w:eastAsiaTheme="majorEastAsia"/>
          <w:rtl/>
        </w:rPr>
        <w:t>בְכֹרֹת בְּקָרְךָ וְצֹאנֶךָ</w:t>
      </w:r>
      <w:r>
        <w:rPr>
          <w:rtl/>
        </w:rPr>
        <w:t xml:space="preserve"> </w:t>
      </w:r>
      <w:r>
        <w:t>(</w:t>
      </w:r>
      <w:r>
        <w:rPr>
          <w:rStyle w:val="Fett"/>
          <w:rFonts w:eastAsiaTheme="majorEastAsia"/>
          <w:rtl/>
        </w:rPr>
        <w:t>בְּכוֹר</w:t>
      </w:r>
      <w:r>
        <w:t xml:space="preserve">, „Erstgeburt, Erstgeborenes", Plural Construct mit </w:t>
      </w:r>
      <w:r>
        <w:rPr>
          <w:rStyle w:val="Fett"/>
          <w:rFonts w:eastAsiaTheme="majorEastAsia"/>
          <w:rtl/>
        </w:rPr>
        <w:t>בָּקָר</w:t>
      </w:r>
      <w:r>
        <w:t xml:space="preserve">, „Rind, Rindvieh", mit Suffix 2. Person Maskulinum Singular, koordiniert durch </w:t>
      </w:r>
      <w:r>
        <w:rPr>
          <w:rStyle w:val="Fett"/>
          <w:rFonts w:eastAsiaTheme="majorEastAsia"/>
          <w:rtl/>
        </w:rPr>
        <w:t>וְ</w:t>
      </w:r>
      <w:r>
        <w:rPr>
          <w:rtl/>
        </w:rPr>
        <w:t xml:space="preserve"> </w:t>
      </w:r>
      <w:r>
        <w:t xml:space="preserve">mit </w:t>
      </w:r>
      <w:r>
        <w:rPr>
          <w:rStyle w:val="Fett"/>
          <w:rFonts w:eastAsiaTheme="majorEastAsia"/>
          <w:rtl/>
        </w:rPr>
        <w:t>צֹאן</w:t>
      </w:r>
      <w:r>
        <w:t>, „Kleinvieh", mit Suffix 2. Person Maskulinum Singular, „die Erstgeborenen deines Rindviehs und deines Kleinviehs").</w:t>
      </w:r>
    </w:p>
    <w:p w14:paraId="109C2508" w14:textId="77777777" w:rsidR="008068F7" w:rsidRDefault="008068F7" w:rsidP="008068F7">
      <w:pPr>
        <w:pStyle w:val="whitespace-normal"/>
      </w:pPr>
      <w:r>
        <w:rPr>
          <w:rStyle w:val="Fett"/>
          <w:rFonts w:eastAsiaTheme="majorEastAsia"/>
          <w:rtl/>
        </w:rPr>
        <w:t>לְמַעַן תִּלְמַד לְיִרְאָה אֶת־יְהוָה אֱלֹהֶיךָ כָּל־הַיָּמִים</w:t>
      </w:r>
      <w:r>
        <w:rPr>
          <w:rtl/>
        </w:rPr>
        <w:t xml:space="preserve"> </w:t>
      </w:r>
      <w:r>
        <w:t xml:space="preserve">ist eine finale Bestimmung: </w:t>
      </w:r>
      <w:r>
        <w:rPr>
          <w:rStyle w:val="Fett"/>
          <w:rFonts w:eastAsiaTheme="majorEastAsia"/>
          <w:rtl/>
        </w:rPr>
        <w:t>לְמַעַן</w:t>
      </w:r>
      <w:r>
        <w:rPr>
          <w:rtl/>
        </w:rPr>
        <w:t xml:space="preserve"> </w:t>
      </w:r>
      <w:r>
        <w:t xml:space="preserve">(„damit, auf dass") als finale Konjunktion, </w:t>
      </w:r>
      <w:r>
        <w:rPr>
          <w:rStyle w:val="Fett"/>
          <w:rFonts w:eastAsiaTheme="majorEastAsia"/>
          <w:rtl/>
        </w:rPr>
        <w:t>תִּלְמַד</w:t>
      </w:r>
      <w:r>
        <w:rPr>
          <w:rtl/>
        </w:rPr>
        <w:t xml:space="preserve"> </w:t>
      </w:r>
      <w:r>
        <w:t xml:space="preserve">(Qal Imperfekt, 2. Person Maskulinum Singular von </w:t>
      </w:r>
      <w:r>
        <w:rPr>
          <w:rStyle w:val="Fett"/>
          <w:rFonts w:eastAsiaTheme="majorEastAsia"/>
          <w:rtl/>
        </w:rPr>
        <w:t>למד</w:t>
      </w:r>
      <w:r>
        <w:t xml:space="preserve">, „lernen"), </w:t>
      </w:r>
      <w:r>
        <w:rPr>
          <w:rStyle w:val="Fett"/>
          <w:rFonts w:eastAsiaTheme="majorEastAsia"/>
          <w:rtl/>
        </w:rPr>
        <w:t>לְיִרְאָה</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ירא</w:t>
      </w:r>
      <w:r>
        <w:t xml:space="preserve">, „fürchten") als Objekt, </w:t>
      </w:r>
      <w:r>
        <w:rPr>
          <w:rStyle w:val="Fett"/>
          <w:rFonts w:eastAsiaTheme="majorEastAsia"/>
          <w:rtl/>
        </w:rPr>
        <w:t>אֶת־יְהוָה אֱלֹהֶיךָ</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יְהוָה אֱלֹהֶיךָ</w:t>
      </w:r>
      <w:r>
        <w:t xml:space="preserve">) als direktes Objekt des Infinitivs und </w:t>
      </w:r>
      <w:r>
        <w:rPr>
          <w:rStyle w:val="Fett"/>
          <w:rFonts w:eastAsiaTheme="majorEastAsia"/>
          <w:rtl/>
        </w:rPr>
        <w:t>כָּל־הַיָּמִים</w:t>
      </w:r>
      <w:r>
        <w:rPr>
          <w:rtl/>
        </w:rPr>
        <w:t xml:space="preserve"> </w:t>
      </w:r>
      <w:r>
        <w:t>(</w:t>
      </w:r>
      <w:r>
        <w:rPr>
          <w:rStyle w:val="Fett"/>
          <w:rFonts w:eastAsiaTheme="majorEastAsia"/>
          <w:rtl/>
        </w:rPr>
        <w:t>כֹּל</w:t>
      </w:r>
      <w:r>
        <w:t xml:space="preserve">, „all", im Construct mit </w:t>
      </w:r>
      <w:r>
        <w:rPr>
          <w:rStyle w:val="Fett"/>
          <w:rFonts w:eastAsiaTheme="majorEastAsia"/>
          <w:rtl/>
        </w:rPr>
        <w:t>יוֹם</w:t>
      </w:r>
      <w:r>
        <w:t>, „Tag", Plural mit Artikel, „alle Tage") als temporale Bestimmung.</w:t>
      </w:r>
    </w:p>
    <w:p w14:paraId="51456A6A" w14:textId="77777777" w:rsidR="008068F7" w:rsidRDefault="008068F7" w:rsidP="008068F7">
      <w:pPr>
        <w:pStyle w:val="whitespace-normal"/>
      </w:pPr>
      <w:r>
        <w:t xml:space="preserve">Der Vers spezifiziert, was mit dem Zehnten geschehen soll: Er wird am zentralen Heiligtum </w:t>
      </w:r>
      <w:r>
        <w:rPr>
          <w:rStyle w:val="Fett"/>
          <w:rFonts w:eastAsiaTheme="majorEastAsia"/>
          <w:rtl/>
        </w:rPr>
        <w:t>לִפְנֵי יְהוָה</w:t>
      </w:r>
      <w:r>
        <w:rPr>
          <w:rtl/>
        </w:rPr>
        <w:t xml:space="preserve"> </w:t>
      </w:r>
      <w:r>
        <w:t xml:space="preserve">(„vor JHWH") gegessen – ein Festmahl in JHWHs Gegenwart. Die Wendung </w:t>
      </w:r>
      <w:r>
        <w:rPr>
          <w:rStyle w:val="Fett"/>
          <w:rFonts w:eastAsiaTheme="majorEastAsia"/>
          <w:rtl/>
        </w:rPr>
        <w:t>לְשַׁכֵּן שְׁמוֹ שָׁם</w:t>
      </w:r>
      <w:r>
        <w:rPr>
          <w:rtl/>
        </w:rPr>
        <w:t xml:space="preserve"> </w:t>
      </w:r>
      <w:r>
        <w:t>(„um seinen Namen dort wohnen zu lassen") ist charakteristisch für das Deuteronomium und bezeichnet die Gegenwart JHWHs am zentralen Heiligtum.</w:t>
      </w:r>
    </w:p>
    <w:p w14:paraId="6F103B6C" w14:textId="77777777" w:rsidR="008068F7" w:rsidRDefault="008068F7" w:rsidP="008068F7">
      <w:pPr>
        <w:pStyle w:val="whitespace-normal"/>
      </w:pPr>
      <w:r>
        <w:t xml:space="preserve">Die Aufzählung </w:t>
      </w:r>
      <w:r>
        <w:rPr>
          <w:rStyle w:val="Fett"/>
          <w:rFonts w:eastAsiaTheme="majorEastAsia"/>
          <w:rtl/>
        </w:rPr>
        <w:t>דְּגָנְךָ תִּירֹשְׁךָ וְיִצְהָרֶךָ</w:t>
      </w:r>
      <w:r>
        <w:rPr>
          <w:rtl/>
        </w:rPr>
        <w:t xml:space="preserve"> </w:t>
      </w:r>
      <w:r>
        <w:t xml:space="preserve">(„dein Getreide, dein Most und dein Öl") ist eine feste triadische Formel für die Hauptprodukte des Landes (vgl. 7,13; 11,14; 12,17; 18,4; 28,51; Hos 2,10.24; Joel 1,10; 2,19; Hag 1,11). Die Hinzufügung von </w:t>
      </w:r>
      <w:r>
        <w:rPr>
          <w:rStyle w:val="Fett"/>
          <w:rFonts w:eastAsiaTheme="majorEastAsia"/>
          <w:rtl/>
        </w:rPr>
        <w:t>בְכֹרֹת בְּקָרְךָ וְצֹאנֶךָ</w:t>
      </w:r>
      <w:r>
        <w:rPr>
          <w:rtl/>
        </w:rPr>
        <w:t xml:space="preserve"> </w:t>
      </w:r>
      <w:r>
        <w:t>(„die Erstgeborenen deines Rindviehs und deines Kleinviehs") erweitert den Zehnten auf Tiere.</w:t>
      </w:r>
    </w:p>
    <w:p w14:paraId="5CC4930C" w14:textId="008B3166" w:rsidR="008068F7" w:rsidRDefault="008068F7" w:rsidP="008068F7">
      <w:pPr>
        <w:pStyle w:val="whitespace-normal"/>
      </w:pPr>
      <w:r>
        <w:t xml:space="preserve">Die finale Begründung </w:t>
      </w:r>
      <w:r>
        <w:rPr>
          <w:rStyle w:val="Fett"/>
          <w:rFonts w:eastAsiaTheme="majorEastAsia"/>
          <w:rtl/>
        </w:rPr>
        <w:t>לְמַעַן תִּלְמַד לְיִרְאָה אֶת־יְהוָה</w:t>
      </w:r>
      <w:r>
        <w:rPr>
          <w:rtl/>
        </w:rPr>
        <w:t xml:space="preserve"> </w:t>
      </w:r>
      <w:r>
        <w:t xml:space="preserve">(„damit du lernst, JHWH zu fürchten") zeigt den pädagogischen Zweck: Die jährliche Pilgerfahrt und das Festmahl sollen die Gottesfurcht lehren und stärken. Die Wendung </w:t>
      </w:r>
      <w:r>
        <w:rPr>
          <w:rStyle w:val="Fett"/>
          <w:rFonts w:eastAsiaTheme="majorEastAsia"/>
          <w:rtl/>
        </w:rPr>
        <w:t>כָּל־הַיָּמִים</w:t>
      </w:r>
      <w:r>
        <w:rPr>
          <w:rtl/>
        </w:rPr>
        <w:t xml:space="preserve"> </w:t>
      </w:r>
      <w:r>
        <w:t>(„alle Tage") unterstreicht die lebenslange Gültigkeit.</w:t>
      </w:r>
    </w:p>
    <w:p w14:paraId="20043960" w14:textId="77777777" w:rsidR="00A93C3C" w:rsidRPr="00A93C3C" w:rsidRDefault="00A93C3C" w:rsidP="00A93C3C">
      <w:pPr>
        <w:spacing w:before="100" w:beforeAutospacing="1" w:after="100" w:afterAutospacing="1" w:line="240" w:lineRule="auto"/>
        <w:outlineLvl w:val="1"/>
        <w:rPr>
          <w:rFonts w:eastAsia="Times New Roman"/>
          <w:b/>
          <w:bCs/>
          <w:sz w:val="36"/>
          <w:szCs w:val="36"/>
          <w:lang w:eastAsia="de-DE"/>
        </w:rPr>
      </w:pPr>
      <w:r w:rsidRPr="00A93C3C">
        <w:rPr>
          <w:rFonts w:eastAsia="Times New Roman"/>
          <w:b/>
          <w:bCs/>
          <w:sz w:val="36"/>
          <w:szCs w:val="36"/>
          <w:lang w:eastAsia="de-DE"/>
        </w:rPr>
        <w:lastRenderedPageBreak/>
        <w:t>Vers 23 (MT) / Vers 22 (LXX)</w:t>
      </w:r>
    </w:p>
    <w:p w14:paraId="76F2D91D" w14:textId="24DB9BE6" w:rsidR="00A93C3C" w:rsidRPr="00A93C3C" w:rsidRDefault="00A93C3C" w:rsidP="00A93C3C">
      <w:pPr>
        <w:spacing w:before="100" w:beforeAutospacing="1" w:after="100" w:afterAutospacing="1" w:line="240" w:lineRule="auto"/>
        <w:rPr>
          <w:rFonts w:eastAsia="Times New Roman"/>
          <w:lang w:eastAsia="de-DE"/>
        </w:rPr>
      </w:pPr>
      <w:r w:rsidRPr="00A93C3C">
        <w:rPr>
          <w:rFonts w:eastAsia="Times New Roman"/>
          <w:b/>
          <w:bCs/>
          <w:lang w:eastAsia="de-DE"/>
        </w:rPr>
        <w:t>Die LXX</w:t>
      </w:r>
      <w:r w:rsidRPr="00A93C3C">
        <w:rPr>
          <w:rFonts w:eastAsia="Times New Roman"/>
          <w:lang w:eastAsia="de-DE"/>
        </w:rPr>
        <w:t xml:space="preserve"> verwendet ἐπ</w:t>
      </w:r>
      <w:proofErr w:type="spellStart"/>
      <w:r w:rsidRPr="00A93C3C">
        <w:rPr>
          <w:rFonts w:eastAsia="Times New Roman"/>
          <w:lang w:eastAsia="de-DE"/>
        </w:rPr>
        <w:t>ικληθῆν</w:t>
      </w:r>
      <w:proofErr w:type="spellEnd"/>
      <w:r w:rsidRPr="00A93C3C">
        <w:rPr>
          <w:rFonts w:eastAsia="Times New Roman"/>
          <w:lang w:eastAsia="de-DE"/>
        </w:rPr>
        <w:t xml:space="preserve">αι </w:t>
      </w:r>
      <w:proofErr w:type="spellStart"/>
      <w:r w:rsidRPr="00A93C3C">
        <w:rPr>
          <w:rFonts w:eastAsia="Times New Roman"/>
          <w:lang w:eastAsia="de-DE"/>
        </w:rPr>
        <w:t>τὸ</w:t>
      </w:r>
      <w:proofErr w:type="spellEnd"/>
      <w:r w:rsidRPr="00A93C3C">
        <w:rPr>
          <w:rFonts w:eastAsia="Times New Roman"/>
          <w:lang w:eastAsia="de-DE"/>
        </w:rPr>
        <w:t xml:space="preserve"> </w:t>
      </w:r>
      <w:proofErr w:type="spellStart"/>
      <w:r w:rsidRPr="00A93C3C">
        <w:rPr>
          <w:rFonts w:eastAsia="Times New Roman"/>
          <w:lang w:eastAsia="de-DE"/>
        </w:rPr>
        <w:t>ὄνομ</w:t>
      </w:r>
      <w:proofErr w:type="spellEnd"/>
      <w:r w:rsidRPr="00A93C3C">
        <w:rPr>
          <w:rFonts w:eastAsia="Times New Roman"/>
          <w:lang w:eastAsia="de-DE"/>
        </w:rPr>
        <w:t>α α</w:t>
      </w:r>
      <w:proofErr w:type="spellStart"/>
      <w:r w:rsidRPr="00A93C3C">
        <w:rPr>
          <w:rFonts w:eastAsia="Times New Roman"/>
          <w:lang w:eastAsia="de-DE"/>
        </w:rPr>
        <w:t>ὐτοῦ</w:t>
      </w:r>
      <w:proofErr w:type="spellEnd"/>
      <w:r w:rsidRPr="00A93C3C">
        <w:rPr>
          <w:rFonts w:eastAsia="Times New Roman"/>
          <w:lang w:eastAsia="de-DE"/>
        </w:rPr>
        <w:t xml:space="preserve"> </w:t>
      </w:r>
      <w:proofErr w:type="spellStart"/>
      <w:r w:rsidRPr="00A93C3C">
        <w:rPr>
          <w:rFonts w:eastAsia="Times New Roman"/>
          <w:lang w:eastAsia="de-DE"/>
        </w:rPr>
        <w:t>ἐκεῖ</w:t>
      </w:r>
      <w:proofErr w:type="spellEnd"/>
      <w:r w:rsidRPr="00A93C3C">
        <w:rPr>
          <w:rFonts w:eastAsia="Times New Roman"/>
          <w:lang w:eastAsia="de-DE"/>
        </w:rPr>
        <w:t xml:space="preserve"> (angerufen zu werden sein Name dort) für </w:t>
      </w:r>
      <w:r w:rsidRPr="00A93C3C">
        <w:rPr>
          <w:rFonts w:eastAsia="Times New Roman"/>
          <w:rtl/>
          <w:lang w:eastAsia="de-DE"/>
        </w:rPr>
        <w:t>לְשַׁכֵּן שְׁמוֹ שָׁם</w:t>
      </w:r>
      <w:r w:rsidRPr="00A93C3C">
        <w:rPr>
          <w:rFonts w:eastAsia="Times New Roman"/>
          <w:lang w:eastAsia="de-DE"/>
        </w:rPr>
        <w:t xml:space="preserve"> – ein signifikanter theologischer Unterschied: Statt "wohnen lassen" betont die LXX das "Anrufen" des Namens, was eine andere Vorstellung von Gottes Präsenz reflektiert.</w:t>
      </w:r>
    </w:p>
    <w:p w14:paraId="7C4A1417" w14:textId="77777777" w:rsidR="008068F7" w:rsidRDefault="008068F7" w:rsidP="008068F7">
      <w:pPr>
        <w:pStyle w:val="whitespace-normal"/>
      </w:pPr>
      <w:r>
        <w:rPr>
          <w:rStyle w:val="Fett"/>
          <w:rFonts w:eastAsiaTheme="majorEastAsia"/>
        </w:rPr>
        <w:t>Die Satzstruktur</w:t>
      </w:r>
      <w:r>
        <w:t xml:space="preserve"> besteht aus einem Imperativsatz mit lokaler Bestimmung, vorangestelltem direktem Objekt und finaler Bestimmung: Prädikat (sollst du essen), erste lokale Bestimmung (vor JHWH, deinem Gott), zweite lokale Bestimmung (an dem Ort), Relativsatz (den er erwählen wird, um seinen Namen dort wohnen zu lassen), vorangestelltes direktes Objekt (den Zehnten deines Getreides, deines Mostes und deines Öls, und die Erstgeborenen deines Rindviehs und deines Kleinviehs); finale Bestimmung (damit du lernst zu fürchten JHWH, deinen Gott, alle Tage).</w:t>
      </w:r>
    </w:p>
    <w:p w14:paraId="40F1A34D" w14:textId="77777777" w:rsidR="008068F7" w:rsidRDefault="008068F7" w:rsidP="008068F7">
      <w:pPr>
        <w:pStyle w:val="whitespace-normal"/>
      </w:pPr>
      <w:r>
        <w:t>Der Vers fordert, den Zehnten und die Erstgeborenen am zentralen Heiligtum vor JHWH zu essen, damit Israel lernt, JHWH lebenslang zu fürchten.</w:t>
      </w:r>
    </w:p>
    <w:p w14:paraId="4AA0910A" w14:textId="77777777" w:rsidR="00F30413" w:rsidRPr="00F30413" w:rsidRDefault="00F30413" w:rsidP="00F30413">
      <w:pPr>
        <w:pStyle w:val="berschrift1"/>
        <w:rPr>
          <w:rFonts w:ascii="Times New Roman" w:hAnsi="Times New Roman"/>
          <w:color w:val="auto"/>
          <w:sz w:val="36"/>
          <w:szCs w:val="36"/>
        </w:rPr>
      </w:pPr>
      <w:r w:rsidRPr="00F30413">
        <w:rPr>
          <w:rStyle w:val="Fett"/>
          <w:rFonts w:ascii="Times New Roman" w:hAnsi="Times New Roman"/>
          <w:color w:val="auto"/>
          <w:sz w:val="36"/>
          <w:szCs w:val="36"/>
        </w:rPr>
        <w:t>Deuteronomium 14,24</w:t>
      </w:r>
    </w:p>
    <w:p w14:paraId="0CE90C18" w14:textId="77777777" w:rsidR="00F30413" w:rsidRDefault="00F30413" w:rsidP="00F30413">
      <w:pPr>
        <w:pStyle w:val="whitespace-normal"/>
      </w:pPr>
      <w:r>
        <w:rPr>
          <w:rStyle w:val="Fett"/>
          <w:rFonts w:eastAsiaTheme="majorEastAsia"/>
        </w:rPr>
        <w:t>Hebräisch:</w:t>
      </w:r>
      <w:r>
        <w:t xml:space="preserve"> </w:t>
      </w:r>
      <w:r>
        <w:rPr>
          <w:rtl/>
        </w:rPr>
        <w:t>וְכִֽי־יִרְבֶּ֨ה מִמְּךָ֜ הַדֶּ֗רֶךְ כִּ֣י לֹ֣א תוּכַל֮ שְׂאֵתוֹ֒ כִּֽי־יִרְחַ֤ק מִמְּךָ֙ הַמָּק֔וֹם אֲשֶׁ֤ר יִבְחַר֙ יְהוָ֣ה אֱלֹהֶ֔יךָ לָשׂ֥וּם שְׁמֹ֖ו שָׁ֑ם כִּ֥י יְבָרֶכְךָ֖ יְהוָ֥ה אֱלֹהֶֽיךָ׃</w:t>
      </w:r>
    </w:p>
    <w:p w14:paraId="6381B7ED" w14:textId="77777777" w:rsidR="00F30413" w:rsidRDefault="00F30413" w:rsidP="00F30413">
      <w:pPr>
        <w:pStyle w:val="whitespace-normal"/>
      </w:pPr>
      <w:r>
        <w:rPr>
          <w:rStyle w:val="Fett"/>
          <w:rFonts w:eastAsiaTheme="majorEastAsia"/>
        </w:rPr>
        <w:t>Deutsch:</w:t>
      </w:r>
      <w:r>
        <w:t xml:space="preserve"> Und wenn der Weg zu weit für dich ist, dass du es nicht hintragen kannst, weil der Ort fern von dir ist, den der Ewige, dein Gott, erwählen wird, um seinen Namen dorthin zu setzen, wenn der Ewige, dein Gott, dich segnet:</w:t>
      </w:r>
    </w:p>
    <w:p w14:paraId="0279FCAE" w14:textId="77777777" w:rsidR="00F30413" w:rsidRDefault="004F5CEB" w:rsidP="00F30413">
      <w:r>
        <w:rPr>
          <w:noProof/>
        </w:rPr>
        <w:pict w14:anchorId="25B72298">
          <v:rect id="_x0000_i1439" style="width:0;height:1.5pt" o:hralign="center" o:hrstd="t" o:hr="t" fillcolor="#a0a0a0" stroked="f"/>
        </w:pict>
      </w:r>
    </w:p>
    <w:p w14:paraId="1CDF632C" w14:textId="77777777" w:rsidR="00F30413" w:rsidRDefault="00F30413" w:rsidP="00F30413">
      <w:pPr>
        <w:pStyle w:val="whitespace-normal"/>
      </w:pPr>
      <w:r>
        <w:rPr>
          <w:rStyle w:val="Fett"/>
          <w:rFonts w:eastAsiaTheme="majorEastAsia"/>
        </w:rPr>
        <w:t>Kommentar:</w:t>
      </w:r>
      <w:r>
        <w:t xml:space="preserve"> </w:t>
      </w:r>
      <w:r>
        <w:rPr>
          <w:rStyle w:val="Fett"/>
          <w:rFonts w:eastAsiaTheme="majorEastAsia"/>
          <w:rtl/>
        </w:rPr>
        <w:t>וְכִי־יִרְבֶּה מִמְּךָ הַדֶּרֶךְ כִּי לֹא תוּכַל שְׂאֵתוֹ</w:t>
      </w:r>
      <w:r>
        <w:rPr>
          <w:rtl/>
        </w:rPr>
        <w:t xml:space="preserve"> </w:t>
      </w:r>
      <w:r>
        <w:t xml:space="preserve">ist ein konditionaler Satz mit kausalem Folgesatz: </w:t>
      </w:r>
      <w:r>
        <w:rPr>
          <w:rStyle w:val="Fett"/>
          <w:rFonts w:eastAsiaTheme="majorEastAsia"/>
          <w:rtl/>
        </w:rPr>
        <w:t>וְכִי</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כִּי</w:t>
      </w:r>
      <w:r>
        <w:t xml:space="preserve">, „wenn, wann") als konditionale Konjunktion, </w:t>
      </w:r>
      <w:r>
        <w:rPr>
          <w:rStyle w:val="Fett"/>
          <w:rFonts w:eastAsiaTheme="majorEastAsia"/>
          <w:rtl/>
        </w:rPr>
        <w:t>יִרְבֶּה</w:t>
      </w:r>
      <w:r>
        <w:rPr>
          <w:rtl/>
        </w:rPr>
        <w:t xml:space="preserve"> </w:t>
      </w:r>
      <w:r>
        <w:t xml:space="preserve">(Qal Imperfekt, 3. Person Maskulinum Singular von </w:t>
      </w:r>
      <w:r>
        <w:rPr>
          <w:rStyle w:val="Fett"/>
          <w:rFonts w:eastAsiaTheme="majorEastAsia"/>
          <w:rtl/>
        </w:rPr>
        <w:t>רבה</w:t>
      </w:r>
      <w:r>
        <w:t xml:space="preserve">, „viel sein, groß sein"), </w:t>
      </w:r>
      <w:r>
        <w:rPr>
          <w:rStyle w:val="Fett"/>
          <w:rFonts w:eastAsiaTheme="majorEastAsia"/>
          <w:rtl/>
        </w:rPr>
        <w:t>מִמְּךָ</w:t>
      </w:r>
      <w:r>
        <w:rPr>
          <w:rtl/>
        </w:rPr>
        <w:t xml:space="preserve"> </w:t>
      </w:r>
      <w:r>
        <w:t xml:space="preserve">(Präposition </w:t>
      </w:r>
      <w:r>
        <w:rPr>
          <w:rStyle w:val="Fett"/>
          <w:rFonts w:eastAsiaTheme="majorEastAsia"/>
          <w:rtl/>
        </w:rPr>
        <w:t>מִן</w:t>
      </w:r>
      <w:r>
        <w:t xml:space="preserve">, „von", mit Suffix 2. Person Maskulinum Singular, „für dich, von dir aus") als Bereichsangabe, </w:t>
      </w:r>
      <w:r>
        <w:rPr>
          <w:rStyle w:val="Fett"/>
          <w:rFonts w:eastAsiaTheme="majorEastAsia"/>
          <w:rtl/>
        </w:rPr>
        <w:t>הַדֶּרֶךְ</w:t>
      </w:r>
      <w:r>
        <w:rPr>
          <w:rtl/>
        </w:rPr>
        <w:t xml:space="preserve"> </w:t>
      </w:r>
      <w:r>
        <w:t>(</w:t>
      </w:r>
      <w:r>
        <w:rPr>
          <w:rStyle w:val="Fett"/>
          <w:rFonts w:eastAsiaTheme="majorEastAsia"/>
          <w:rtl/>
        </w:rPr>
        <w:t>דֶּרֶךְ</w:t>
      </w:r>
      <w:r>
        <w:t xml:space="preserve">, „Weg", mit Artikel) als Subjekt, </w:t>
      </w:r>
      <w:r>
        <w:rPr>
          <w:rStyle w:val="Fett"/>
          <w:rFonts w:eastAsiaTheme="majorEastAsia"/>
          <w:rtl/>
        </w:rPr>
        <w:t>כִּי</w:t>
      </w:r>
      <w:r>
        <w:rPr>
          <w:rtl/>
        </w:rPr>
        <w:t xml:space="preserve"> </w:t>
      </w:r>
      <w:r>
        <w:t xml:space="preserve">(„dass, weil, so dass") als kausale oder konsekutive Konjunktion, </w:t>
      </w:r>
      <w:r>
        <w:rPr>
          <w:rStyle w:val="Fett"/>
          <w:rFonts w:eastAsiaTheme="majorEastAsia"/>
          <w:rtl/>
        </w:rPr>
        <w:t>לֹא תוּכַל</w:t>
      </w:r>
      <w:r>
        <w:rPr>
          <w:rtl/>
        </w:rPr>
        <w:t xml:space="preserve"> </w:t>
      </w:r>
      <w:r>
        <w:t xml:space="preserve">(Negation </w:t>
      </w:r>
      <w:r>
        <w:rPr>
          <w:rStyle w:val="Fett"/>
          <w:rFonts w:eastAsiaTheme="majorEastAsia"/>
          <w:rtl/>
        </w:rPr>
        <w:t>לֹא</w:t>
      </w:r>
      <w:r>
        <w:rPr>
          <w:rtl/>
        </w:rPr>
        <w:t xml:space="preserve"> </w:t>
      </w:r>
      <w:r>
        <w:t xml:space="preserve">mit </w:t>
      </w:r>
      <w:r>
        <w:rPr>
          <w:rStyle w:val="Fett"/>
          <w:rFonts w:eastAsiaTheme="majorEastAsia"/>
          <w:rtl/>
        </w:rPr>
        <w:t>יכל</w:t>
      </w:r>
      <w:r>
        <w:t xml:space="preserve">, Qal Imperfekt, 2. Person Maskulinum Singular, „können, vermögen") und </w:t>
      </w:r>
      <w:r>
        <w:rPr>
          <w:rStyle w:val="Fett"/>
          <w:rFonts w:eastAsiaTheme="majorEastAsia"/>
          <w:rtl/>
        </w:rPr>
        <w:t>שְׂאֵתוֹ</w:t>
      </w:r>
      <w:r>
        <w:rPr>
          <w:rtl/>
        </w:rPr>
        <w:t xml:space="preserve"> </w:t>
      </w:r>
      <w:r>
        <w:t xml:space="preserve">(Qal Infinitiv Construct von </w:t>
      </w:r>
      <w:r>
        <w:rPr>
          <w:rStyle w:val="Fett"/>
          <w:rFonts w:eastAsiaTheme="majorEastAsia"/>
          <w:rtl/>
        </w:rPr>
        <w:t>נשׂא</w:t>
      </w:r>
      <w:r>
        <w:t>, „tragen, heben", mit Suffix 3. Person Maskulinum Singular als direktes Objekt, rückverweisend auf den Zehnten, „es zu tragen").</w:t>
      </w:r>
    </w:p>
    <w:p w14:paraId="40EC5F29" w14:textId="77777777" w:rsidR="00F30413" w:rsidRDefault="00F30413" w:rsidP="00F30413">
      <w:pPr>
        <w:pStyle w:val="whitespace-normal"/>
      </w:pPr>
      <w:r>
        <w:t xml:space="preserve">Die Wendung </w:t>
      </w:r>
      <w:r>
        <w:rPr>
          <w:rStyle w:val="Fett"/>
          <w:rFonts w:eastAsiaTheme="majorEastAsia"/>
          <w:rtl/>
        </w:rPr>
        <w:t>רבה הדרך</w:t>
      </w:r>
      <w:r>
        <w:rPr>
          <w:rtl/>
        </w:rPr>
        <w:t xml:space="preserve"> </w:t>
      </w:r>
      <w:r>
        <w:t xml:space="preserve">bedeutet wörtlich „der Weg ist groß/viel" = „der Weg ist zu weit". Die Konstruktion </w:t>
      </w:r>
      <w:r>
        <w:rPr>
          <w:rStyle w:val="Fett"/>
          <w:rFonts w:eastAsiaTheme="majorEastAsia"/>
          <w:rtl/>
        </w:rPr>
        <w:t>מִמְּךָ</w:t>
      </w:r>
      <w:r>
        <w:rPr>
          <w:rtl/>
        </w:rPr>
        <w:t xml:space="preserve"> </w:t>
      </w:r>
      <w:r>
        <w:t>drückt die Perspektive aus: „für dich, von dir aus gesehen".</w:t>
      </w:r>
    </w:p>
    <w:p w14:paraId="470B8003" w14:textId="77777777" w:rsidR="00F30413" w:rsidRDefault="00F30413" w:rsidP="00F30413">
      <w:pPr>
        <w:pStyle w:val="whitespace-normal"/>
      </w:pPr>
      <w:r>
        <w:rPr>
          <w:rStyle w:val="Fett"/>
          <w:rFonts w:eastAsiaTheme="majorEastAsia"/>
          <w:rtl/>
        </w:rPr>
        <w:t>כִּי־יִרְחַק מִמְּךָ הַמָּקוֹם אֲשֶׁר יִבְחַר יְהוָה אֱלֹהֶיךָ לָשׂוּם שְׁמוֹ שָׁם</w:t>
      </w:r>
      <w:r>
        <w:rPr>
          <w:rtl/>
        </w:rPr>
        <w:t xml:space="preserve"> </w:t>
      </w:r>
      <w:r>
        <w:t xml:space="preserve">ist der zweite kausale Satz: </w:t>
      </w:r>
      <w:r>
        <w:rPr>
          <w:rStyle w:val="Fett"/>
          <w:rFonts w:eastAsiaTheme="majorEastAsia"/>
          <w:rtl/>
        </w:rPr>
        <w:t>כִּי</w:t>
      </w:r>
      <w:r>
        <w:rPr>
          <w:rtl/>
        </w:rPr>
        <w:t xml:space="preserve"> </w:t>
      </w:r>
      <w:r>
        <w:t xml:space="preserve">(„weil, dass") als kausale Konjunktion, </w:t>
      </w:r>
      <w:r>
        <w:rPr>
          <w:rStyle w:val="Fett"/>
          <w:rFonts w:eastAsiaTheme="majorEastAsia"/>
          <w:rtl/>
        </w:rPr>
        <w:t>יִרְחַק</w:t>
      </w:r>
      <w:r>
        <w:rPr>
          <w:rtl/>
        </w:rPr>
        <w:t xml:space="preserve"> </w:t>
      </w:r>
      <w:r>
        <w:t xml:space="preserve">(Qal Imperfekt, 3. Person Maskulinum Singular von </w:t>
      </w:r>
      <w:r>
        <w:rPr>
          <w:rStyle w:val="Fett"/>
          <w:rFonts w:eastAsiaTheme="majorEastAsia"/>
          <w:rtl/>
        </w:rPr>
        <w:t>רחק</w:t>
      </w:r>
      <w:r>
        <w:t xml:space="preserve">, „fern sein, entfernt sein"), </w:t>
      </w:r>
      <w:r>
        <w:rPr>
          <w:rStyle w:val="Fett"/>
          <w:rFonts w:eastAsiaTheme="majorEastAsia"/>
          <w:rtl/>
        </w:rPr>
        <w:t>מִמְּךָ</w:t>
      </w:r>
      <w:r>
        <w:rPr>
          <w:rtl/>
        </w:rPr>
        <w:t xml:space="preserve"> </w:t>
      </w:r>
      <w:r>
        <w:t xml:space="preserve">(Präposition </w:t>
      </w:r>
      <w:r>
        <w:rPr>
          <w:rStyle w:val="Fett"/>
          <w:rFonts w:eastAsiaTheme="majorEastAsia"/>
          <w:rtl/>
        </w:rPr>
        <w:t>מִן</w:t>
      </w:r>
      <w:r>
        <w:rPr>
          <w:rtl/>
        </w:rPr>
        <w:t xml:space="preserve"> </w:t>
      </w:r>
      <w:r>
        <w:t xml:space="preserve">mit Suffix 2. Person Maskulinum Singular, „von dir"), </w:t>
      </w:r>
      <w:r>
        <w:rPr>
          <w:rStyle w:val="Fett"/>
          <w:rFonts w:eastAsiaTheme="majorEastAsia"/>
          <w:rtl/>
        </w:rPr>
        <w:t>הַמָּקוֹם</w:t>
      </w:r>
      <w:r>
        <w:rPr>
          <w:rtl/>
        </w:rPr>
        <w:t xml:space="preserve"> </w:t>
      </w:r>
      <w:r>
        <w:t>(</w:t>
      </w:r>
      <w:r>
        <w:rPr>
          <w:rStyle w:val="Fett"/>
          <w:rFonts w:eastAsiaTheme="majorEastAsia"/>
          <w:rtl/>
        </w:rPr>
        <w:t>מָקוֹם</w:t>
      </w:r>
      <w:r>
        <w:t xml:space="preserve">, „Ort", mit Artikel) als Subjekt, </w:t>
      </w:r>
      <w:r>
        <w:rPr>
          <w:rStyle w:val="Fett"/>
          <w:rFonts w:eastAsiaTheme="majorEastAsia"/>
          <w:rtl/>
        </w:rPr>
        <w:t>אֲשֶׁר יִבְחַר יְהוָה אֱלֹהֶיךָ</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יִבְחַר</w:t>
      </w:r>
      <w:r>
        <w:t xml:space="preserve">, Qal Imperfekt, 3. Person Maskulinum Singular von </w:t>
      </w:r>
      <w:r>
        <w:rPr>
          <w:rStyle w:val="Fett"/>
          <w:rFonts w:eastAsiaTheme="majorEastAsia"/>
          <w:rtl/>
        </w:rPr>
        <w:t>בחר</w:t>
      </w:r>
      <w:r>
        <w:t xml:space="preserve">, „erwählen", </w:t>
      </w:r>
      <w:r>
        <w:rPr>
          <w:rStyle w:val="Fett"/>
          <w:rFonts w:eastAsiaTheme="majorEastAsia"/>
          <w:rtl/>
        </w:rPr>
        <w:t xml:space="preserve">יְהוָה </w:t>
      </w:r>
      <w:r>
        <w:rPr>
          <w:rStyle w:val="Fett"/>
          <w:rFonts w:eastAsiaTheme="majorEastAsia"/>
          <w:rtl/>
        </w:rPr>
        <w:lastRenderedPageBreak/>
        <w:t>אֱלֹהֶיךָ</w:t>
      </w:r>
      <w:r>
        <w:rPr>
          <w:rtl/>
        </w:rPr>
        <w:t xml:space="preserve"> </w:t>
      </w:r>
      <w:r>
        <w:t xml:space="preserve">als Subjekt), </w:t>
      </w:r>
      <w:r>
        <w:rPr>
          <w:rStyle w:val="Fett"/>
          <w:rFonts w:eastAsiaTheme="majorEastAsia"/>
          <w:rtl/>
        </w:rPr>
        <w:t>לָשׂוּם שְׁמוֹ שָׁם</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שׂים</w:t>
      </w:r>
      <w:r>
        <w:t xml:space="preserve">, „setzen, legen", </w:t>
      </w:r>
      <w:r>
        <w:rPr>
          <w:rStyle w:val="Fett"/>
          <w:rFonts w:eastAsiaTheme="majorEastAsia"/>
          <w:rtl/>
        </w:rPr>
        <w:t>שְׁמוֹ</w:t>
      </w:r>
      <w:r>
        <w:t xml:space="preserve">, </w:t>
      </w:r>
      <w:r>
        <w:rPr>
          <w:rStyle w:val="Fett"/>
          <w:rFonts w:eastAsiaTheme="majorEastAsia"/>
          <w:rtl/>
        </w:rPr>
        <w:t>שֵׁם</w:t>
      </w:r>
      <w:r>
        <w:t xml:space="preserve">, „Name", mit Suffix 3. Person Maskulinum Singular, als direktes Objekt, und </w:t>
      </w:r>
      <w:r>
        <w:rPr>
          <w:rStyle w:val="Fett"/>
          <w:rFonts w:eastAsiaTheme="majorEastAsia"/>
          <w:rtl/>
        </w:rPr>
        <w:t>שָׁם</w:t>
      </w:r>
      <w:r>
        <w:t>, „dort", „um seinen Namen dort zu setzen").</w:t>
      </w:r>
    </w:p>
    <w:p w14:paraId="1F3ABDF2" w14:textId="77777777" w:rsidR="00F30413" w:rsidRDefault="00F30413" w:rsidP="00F30413">
      <w:pPr>
        <w:pStyle w:val="whitespace-normal"/>
      </w:pPr>
      <w:r>
        <w:rPr>
          <w:rStyle w:val="Fett"/>
          <w:rFonts w:eastAsiaTheme="majorEastAsia"/>
          <w:rtl/>
        </w:rPr>
        <w:t>כִּי יְבָרֶכְךָ יְהוָה אֱלֹהֶיךָ</w:t>
      </w:r>
      <w:r>
        <w:rPr>
          <w:rtl/>
        </w:rPr>
        <w:t xml:space="preserve"> </w:t>
      </w:r>
      <w:r>
        <w:t xml:space="preserve">ist ein dritter kausaler Satz: </w:t>
      </w:r>
      <w:r>
        <w:rPr>
          <w:rStyle w:val="Fett"/>
          <w:rFonts w:eastAsiaTheme="majorEastAsia"/>
          <w:rtl/>
        </w:rPr>
        <w:t>כִּי</w:t>
      </w:r>
      <w:r>
        <w:rPr>
          <w:rtl/>
        </w:rPr>
        <w:t xml:space="preserve"> </w:t>
      </w:r>
      <w:r>
        <w:t xml:space="preserve">(„wenn, weil") als konditionale oder kausale Konjunktion, </w:t>
      </w:r>
      <w:r>
        <w:rPr>
          <w:rStyle w:val="Fett"/>
          <w:rFonts w:eastAsiaTheme="majorEastAsia"/>
          <w:rtl/>
        </w:rPr>
        <w:t>יְבָרֶכְךָ</w:t>
      </w:r>
      <w:r>
        <w:rPr>
          <w:rtl/>
        </w:rPr>
        <w:t xml:space="preserve"> </w:t>
      </w:r>
      <w:r>
        <w:t xml:space="preserve">(Piel Imperfekt, 3. Person Maskulinum Singular von </w:t>
      </w:r>
      <w:r>
        <w:rPr>
          <w:rStyle w:val="Fett"/>
          <w:rFonts w:eastAsiaTheme="majorEastAsia"/>
          <w:rtl/>
        </w:rPr>
        <w:t>ברך</w:t>
      </w:r>
      <w:r>
        <w:t xml:space="preserve">, „segnen", mit Suffix 2. Person Maskulinum Singular als direktes Objekt) und </w:t>
      </w:r>
      <w:r>
        <w:rPr>
          <w:rStyle w:val="Fett"/>
          <w:rFonts w:eastAsiaTheme="majorEastAsia"/>
          <w:rtl/>
        </w:rPr>
        <w:t>יְהוָה אֱלֹהֶיךָ</w:t>
      </w:r>
      <w:r>
        <w:rPr>
          <w:rtl/>
        </w:rPr>
        <w:t xml:space="preserve"> </w:t>
      </w:r>
      <w:r>
        <w:t>als Subjekt.</w:t>
      </w:r>
    </w:p>
    <w:p w14:paraId="2B95B200" w14:textId="77777777" w:rsidR="00F30413" w:rsidRDefault="00F30413" w:rsidP="00F30413">
      <w:pPr>
        <w:pStyle w:val="whitespace-normal"/>
      </w:pPr>
      <w:r>
        <w:t xml:space="preserve">Der Vers beschreibt eine praktische Schwierigkeit: Wenn die Entfernung zum zentralen Heiligtum zu groß ist und der Ertrag (durch JHWHs Segen) so reichlich, dass der Transport unmöglich wird. Die dreifache </w:t>
      </w:r>
      <w:r>
        <w:rPr>
          <w:rStyle w:val="Fett"/>
          <w:rFonts w:eastAsiaTheme="majorEastAsia"/>
          <w:rtl/>
        </w:rPr>
        <w:t>כִּי</w:t>
      </w:r>
      <w:r>
        <w:t>-Konstruktion zeigt eine kausale Kette: (1) weil der Weg zu weit ist (→ du kannst es nicht tragen), (2) weil der Ort fern ist, (3) weil JHWH gesegnet hat (→ reichlicher Ertrag). Die Ironie: Der Segen macht den Gehorsam schwierig!</w:t>
      </w:r>
    </w:p>
    <w:p w14:paraId="28DA6F9C" w14:textId="77777777" w:rsidR="00F30413" w:rsidRDefault="00F30413" w:rsidP="00F30413">
      <w:pPr>
        <w:pStyle w:val="whitespace-normal"/>
      </w:pPr>
      <w:r>
        <w:t xml:space="preserve">Die Wendung </w:t>
      </w:r>
      <w:r>
        <w:rPr>
          <w:rStyle w:val="Fett"/>
          <w:rFonts w:eastAsiaTheme="majorEastAsia"/>
          <w:rtl/>
        </w:rPr>
        <w:t>לָשׂוּם שְׁמוֹ שָׁם</w:t>
      </w:r>
      <w:r>
        <w:rPr>
          <w:rtl/>
        </w:rPr>
        <w:t xml:space="preserve"> </w:t>
      </w:r>
      <w:r>
        <w:t xml:space="preserve">(„um seinen Namen dort zu setzen") ist eine Variante der häufigeren Formel </w:t>
      </w:r>
      <w:r>
        <w:rPr>
          <w:rStyle w:val="Fett"/>
          <w:rFonts w:eastAsiaTheme="majorEastAsia"/>
          <w:rtl/>
        </w:rPr>
        <w:t>לְשַׁכֵּן שְׁמוֹ שָׁם</w:t>
      </w:r>
      <w:r>
        <w:rPr>
          <w:rtl/>
        </w:rPr>
        <w:t xml:space="preserve"> </w:t>
      </w:r>
      <w:r>
        <w:t>(„um seinen Namen dort wohnen zu lassen") aus V. 23. Beide drücken JHWHs Gegenwart am erwählten Ort aus.</w:t>
      </w:r>
    </w:p>
    <w:p w14:paraId="5EF883B2" w14:textId="77777777" w:rsidR="00F30413" w:rsidRDefault="00F30413" w:rsidP="00F30413">
      <w:pPr>
        <w:pStyle w:val="whitespace-normal"/>
      </w:pPr>
      <w:r>
        <w:rPr>
          <w:rStyle w:val="Fett"/>
          <w:rFonts w:eastAsiaTheme="majorEastAsia"/>
        </w:rPr>
        <w:t>Die Satzstruktur</w:t>
      </w:r>
      <w:r>
        <w:t xml:space="preserve"> besteht aus drei koordinierten konditionalen/kausalen Sätzen: Erster konditionaler Satz (wenn zu weit ist für dich der Weg), konsekutiver Folgesatz (</w:t>
      </w:r>
      <w:proofErr w:type="spellStart"/>
      <w:r>
        <w:t>dass</w:t>
      </w:r>
      <w:proofErr w:type="spellEnd"/>
      <w:r>
        <w:t xml:space="preserve"> nicht du kannst es zu tragen); zweiter kausaler Satz (weil fern ist von dir der Ort), Relativsatz (den erwählen wird JHWH, dein Gott), finale Bestimmung (um zu setzen seinen Namen dort); dritter kausaler/konditionaler Satz (wenn/weil segnet dich JHWH, dein Gott).</w:t>
      </w:r>
    </w:p>
    <w:p w14:paraId="7EE11D33" w14:textId="77777777" w:rsidR="00F30413" w:rsidRDefault="00F30413" w:rsidP="00F30413">
      <w:pPr>
        <w:pStyle w:val="whitespace-normal"/>
      </w:pPr>
      <w:r>
        <w:t>Der Vers beschreibt das Problem: Wenn der Weg zum zentralen Heiligtum zu weit ist, der Ort zu fern und JHWH so reichlich gesegnet hat, dass der Transport des Zehnten unmöglich wird – V. 25 gibt die Lösung.</w:t>
      </w:r>
    </w:p>
    <w:p w14:paraId="1D2A300E" w14:textId="77777777" w:rsidR="00F30413" w:rsidRPr="00F30413" w:rsidRDefault="00F30413" w:rsidP="00F30413">
      <w:pPr>
        <w:pStyle w:val="berschrift1"/>
        <w:rPr>
          <w:rFonts w:ascii="Times New Roman" w:hAnsi="Times New Roman"/>
          <w:color w:val="auto"/>
          <w:sz w:val="36"/>
          <w:szCs w:val="36"/>
        </w:rPr>
      </w:pPr>
      <w:r w:rsidRPr="00F30413">
        <w:rPr>
          <w:rStyle w:val="Fett"/>
          <w:rFonts w:ascii="Times New Roman" w:hAnsi="Times New Roman"/>
          <w:color w:val="auto"/>
          <w:sz w:val="36"/>
          <w:szCs w:val="36"/>
        </w:rPr>
        <w:t>Deuteronomium 14,25</w:t>
      </w:r>
    </w:p>
    <w:p w14:paraId="76824CBE" w14:textId="77777777" w:rsidR="00F30413" w:rsidRDefault="00F30413" w:rsidP="00F30413">
      <w:pPr>
        <w:pStyle w:val="whitespace-normal"/>
      </w:pPr>
      <w:r>
        <w:rPr>
          <w:rStyle w:val="Fett"/>
          <w:rFonts w:eastAsiaTheme="majorEastAsia"/>
        </w:rPr>
        <w:t>Hebräisch:</w:t>
      </w:r>
      <w:r>
        <w:t xml:space="preserve"> </w:t>
      </w:r>
      <w:r>
        <w:rPr>
          <w:rtl/>
        </w:rPr>
        <w:t>וְנָתַתָּ֖ה בַּכָּ֑סֶף וְצַרְתָּ֤ הַכֶּ֨סֶף֙ בְּיָ֣דְךָ֔ וְהָֽלַכְתָּ֙ אֶל־הַמָּק֔וֹם אֲשֶׁ֥ר יִבְחַ֛ר יְהוָ֥ה אֱלֹהֶ֖יךָ בּוֹֽ׃</w:t>
      </w:r>
    </w:p>
    <w:p w14:paraId="7FC7160C" w14:textId="77777777" w:rsidR="00F30413" w:rsidRDefault="00F30413" w:rsidP="00F30413">
      <w:pPr>
        <w:pStyle w:val="whitespace-normal"/>
      </w:pPr>
      <w:r>
        <w:rPr>
          <w:rStyle w:val="Fett"/>
          <w:rFonts w:eastAsiaTheme="majorEastAsia"/>
        </w:rPr>
        <w:t>Deutsch:</w:t>
      </w:r>
      <w:r>
        <w:t xml:space="preserve"> So sollst du es zu Geld machen und das Geld in deine Hand binden und an den Ort gehen, den der Ewige, dein Gott, erwählen wird.</w:t>
      </w:r>
    </w:p>
    <w:p w14:paraId="13A5C279" w14:textId="77777777" w:rsidR="00F30413" w:rsidRDefault="004F5CEB" w:rsidP="00F30413">
      <w:r>
        <w:rPr>
          <w:noProof/>
        </w:rPr>
        <w:pict w14:anchorId="7DB6DBBC">
          <v:rect id="_x0000_i1440" style="width:0;height:1.5pt" o:hralign="center" o:hrstd="t" o:hr="t" fillcolor="#a0a0a0" stroked="f"/>
        </w:pict>
      </w:r>
    </w:p>
    <w:p w14:paraId="59225606" w14:textId="2424F99C" w:rsidR="00F30413" w:rsidRDefault="00F30413" w:rsidP="00F30413">
      <w:pPr>
        <w:pStyle w:val="whitespace-normal"/>
      </w:pPr>
      <w:r>
        <w:rPr>
          <w:rStyle w:val="Fett"/>
          <w:rFonts w:eastAsiaTheme="majorEastAsia"/>
        </w:rPr>
        <w:t>Kommentar:</w:t>
      </w:r>
      <w:r>
        <w:t xml:space="preserve"> </w:t>
      </w:r>
      <w:r>
        <w:rPr>
          <w:rStyle w:val="Fett"/>
          <w:rFonts w:eastAsiaTheme="majorEastAsia"/>
          <w:rtl/>
        </w:rPr>
        <w:t>וְנָתַתָּה בַּכָּסֶף</w:t>
      </w:r>
      <w:r>
        <w:rPr>
          <w:rtl/>
        </w:rPr>
        <w:t xml:space="preserve"> </w:t>
      </w:r>
      <w:r>
        <w:t xml:space="preserve">ist der erste Imperativsatz: </w:t>
      </w:r>
      <w:r>
        <w:rPr>
          <w:rStyle w:val="Fett"/>
          <w:rFonts w:eastAsiaTheme="majorEastAsia"/>
          <w:rtl/>
        </w:rPr>
        <w:t>וְנָתַתָּה</w:t>
      </w:r>
      <w:r>
        <w:rPr>
          <w:rtl/>
        </w:rPr>
        <w:t xml:space="preserve"> </w:t>
      </w:r>
      <w:r>
        <w:t xml:space="preserve">(Qal Perfekt, 2. Person Maskulinum Singular von </w:t>
      </w:r>
      <w:r>
        <w:rPr>
          <w:rStyle w:val="Fett"/>
          <w:rFonts w:eastAsiaTheme="majorEastAsia"/>
          <w:rtl/>
        </w:rPr>
        <w:t>נתן</w:t>
      </w:r>
      <w:r>
        <w:t xml:space="preserve">, „geben", mit </w:t>
      </w:r>
      <w:r>
        <w:rPr>
          <w:rStyle w:val="Fett"/>
          <w:rFonts w:eastAsiaTheme="majorEastAsia"/>
        </w:rPr>
        <w:t>Waw</w:t>
      </w:r>
      <w:r>
        <w:t xml:space="preserve">, imperativisch, und Paragogischem </w:t>
      </w:r>
      <w:r>
        <w:rPr>
          <w:rStyle w:val="Fett"/>
          <w:rFonts w:eastAsiaTheme="majorEastAsia"/>
          <w:rtl/>
        </w:rPr>
        <w:t>ה</w:t>
      </w:r>
      <w:r>
        <w:t xml:space="preserve">) und </w:t>
      </w:r>
      <w:r>
        <w:rPr>
          <w:rStyle w:val="Fett"/>
          <w:rFonts w:eastAsiaTheme="majorEastAsia"/>
          <w:rtl/>
        </w:rPr>
        <w:t>בַּכָּסֶף</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כֶּסֶף</w:t>
      </w:r>
      <w:r>
        <w:t xml:space="preserve">, „Silber, Geld", mit Artikel) als präpositionales Objekt. Die Konstruktion </w:t>
      </w:r>
      <w:r>
        <w:rPr>
          <w:rStyle w:val="Fett"/>
          <w:rFonts w:eastAsiaTheme="majorEastAsia"/>
          <w:rtl/>
        </w:rPr>
        <w:t>נתן ב</w:t>
      </w:r>
      <w:r>
        <w:rPr>
          <w:rtl/>
        </w:rPr>
        <w:t xml:space="preserve"> </w:t>
      </w:r>
      <w:r>
        <w:t xml:space="preserve">mit </w:t>
      </w:r>
      <w:r>
        <w:rPr>
          <w:rStyle w:val="Fett"/>
          <w:rFonts w:eastAsiaTheme="majorEastAsia"/>
          <w:rtl/>
        </w:rPr>
        <w:t>כֶּסֶף</w:t>
      </w:r>
      <w:r>
        <w:rPr>
          <w:rtl/>
        </w:rPr>
        <w:t xml:space="preserve"> </w:t>
      </w:r>
      <w:r>
        <w:t xml:space="preserve">bedeutet „gegen Geld geben, zu Geld machen, verkaufen" (vgl. Gen 23,9; 37,28; Ex 21,8.11; </w:t>
      </w:r>
      <w:r w:rsidR="00664EB6">
        <w:t>Lev</w:t>
      </w:r>
      <w:r>
        <w:t xml:space="preserve"> 25,37; Dtn 21,14).</w:t>
      </w:r>
    </w:p>
    <w:p w14:paraId="154B1B9E" w14:textId="77777777" w:rsidR="00F30413" w:rsidRDefault="00F30413" w:rsidP="00F30413">
      <w:pPr>
        <w:pStyle w:val="whitespace-normal"/>
      </w:pPr>
      <w:r>
        <w:rPr>
          <w:rStyle w:val="Fett"/>
          <w:rFonts w:eastAsiaTheme="majorEastAsia"/>
          <w:rtl/>
        </w:rPr>
        <w:t>וְצַרְתָּ הַכֶּסֶף בְּיָדְךָ</w:t>
      </w:r>
      <w:r>
        <w:rPr>
          <w:rtl/>
        </w:rPr>
        <w:t xml:space="preserve"> </w:t>
      </w:r>
      <w:r>
        <w:t xml:space="preserve">ist der zweite Imperativsatz: </w:t>
      </w:r>
      <w:r>
        <w:rPr>
          <w:rStyle w:val="Fett"/>
          <w:rFonts w:eastAsiaTheme="majorEastAsia"/>
          <w:rtl/>
        </w:rPr>
        <w:t>וְצַרְתָּ</w:t>
      </w:r>
      <w:r>
        <w:rPr>
          <w:rtl/>
        </w:rPr>
        <w:t xml:space="preserve"> </w:t>
      </w:r>
      <w:r>
        <w:t xml:space="preserve">(Qal Perfekt, 2. Person Maskulinum Singular von </w:t>
      </w:r>
      <w:r>
        <w:rPr>
          <w:rStyle w:val="Fett"/>
          <w:rFonts w:eastAsiaTheme="majorEastAsia"/>
          <w:rtl/>
        </w:rPr>
        <w:t>צור</w:t>
      </w:r>
      <w:r>
        <w:t xml:space="preserve">, „binden, einbinden, zusammenbinden", mit </w:t>
      </w:r>
      <w:r>
        <w:rPr>
          <w:rStyle w:val="Fett"/>
          <w:rFonts w:eastAsiaTheme="majorEastAsia"/>
        </w:rPr>
        <w:t>Waw</w:t>
      </w:r>
      <w:r>
        <w:t xml:space="preserve">, imperativisch), </w:t>
      </w:r>
      <w:r>
        <w:rPr>
          <w:rStyle w:val="Fett"/>
          <w:rFonts w:eastAsiaTheme="majorEastAsia"/>
          <w:rtl/>
        </w:rPr>
        <w:t>הַכֶּסֶף</w:t>
      </w:r>
      <w:r>
        <w:rPr>
          <w:rtl/>
        </w:rPr>
        <w:t xml:space="preserve"> </w:t>
      </w:r>
      <w:r>
        <w:t>(</w:t>
      </w:r>
      <w:r>
        <w:rPr>
          <w:rStyle w:val="Fett"/>
          <w:rFonts w:eastAsiaTheme="majorEastAsia"/>
          <w:rtl/>
        </w:rPr>
        <w:t>כֶּסֶף</w:t>
      </w:r>
      <w:r>
        <w:t xml:space="preserve">, „Silber, Geld", mit Artikel) als direktes Objekt und </w:t>
      </w:r>
      <w:r>
        <w:rPr>
          <w:rStyle w:val="Fett"/>
          <w:rFonts w:eastAsiaTheme="majorEastAsia"/>
          <w:rtl/>
        </w:rPr>
        <w:t>בְּיָדְךָ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יָד</w:t>
      </w:r>
      <w:r>
        <w:t xml:space="preserve">, „Hand", mit Suffix 2. Person Maskulinum Singular, „in deine Hand") als lokale Bestimmung. Das </w:t>
      </w:r>
      <w:r>
        <w:lastRenderedPageBreak/>
        <w:t xml:space="preserve">Verb </w:t>
      </w:r>
      <w:r>
        <w:rPr>
          <w:rStyle w:val="Fett"/>
          <w:rFonts w:eastAsiaTheme="majorEastAsia"/>
          <w:rtl/>
        </w:rPr>
        <w:t>צור</w:t>
      </w:r>
      <w:r>
        <w:rPr>
          <w:rtl/>
        </w:rPr>
        <w:t xml:space="preserve"> </w:t>
      </w:r>
      <w:r>
        <w:t>bedeutet „binden, einbinden" und meint hier: das Geld sicher verwahren, vielleicht in einem Beutel am Gürtel oder in der Hand gebunden.</w:t>
      </w:r>
    </w:p>
    <w:p w14:paraId="7D6F4467" w14:textId="77777777" w:rsidR="00F30413" w:rsidRDefault="00F30413" w:rsidP="00F30413">
      <w:pPr>
        <w:pStyle w:val="whitespace-normal"/>
      </w:pPr>
      <w:r>
        <w:rPr>
          <w:rStyle w:val="Fett"/>
          <w:rFonts w:eastAsiaTheme="majorEastAsia"/>
          <w:rtl/>
        </w:rPr>
        <w:t>וְהָלַכְתָּ אֶל־הַמָּקוֹם אֲשֶׁר יִבְחַר יְהוָה אֱלֹהֶיךָ בּוֹ</w:t>
      </w:r>
      <w:r>
        <w:rPr>
          <w:rtl/>
        </w:rPr>
        <w:t xml:space="preserve"> </w:t>
      </w:r>
      <w:r>
        <w:t xml:space="preserve">ist der dritte Imperativsatz: </w:t>
      </w:r>
      <w:r>
        <w:rPr>
          <w:rStyle w:val="Fett"/>
          <w:rFonts w:eastAsiaTheme="majorEastAsia"/>
          <w:rtl/>
        </w:rPr>
        <w:t>וְהָלַכְתָּ</w:t>
      </w:r>
      <w:r>
        <w:rPr>
          <w:rtl/>
        </w:rPr>
        <w:t xml:space="preserve"> </w:t>
      </w:r>
      <w:r>
        <w:t xml:space="preserve">(Qal Perfekt, 2. Person Maskulinum Singular von </w:t>
      </w:r>
      <w:r>
        <w:rPr>
          <w:rStyle w:val="Fett"/>
          <w:rFonts w:eastAsiaTheme="majorEastAsia"/>
          <w:rtl/>
        </w:rPr>
        <w:t>הלך</w:t>
      </w:r>
      <w:r>
        <w:t xml:space="preserve">, „gehen", mit </w:t>
      </w:r>
      <w:r>
        <w:rPr>
          <w:rStyle w:val="Fett"/>
          <w:rFonts w:eastAsiaTheme="majorEastAsia"/>
        </w:rPr>
        <w:t>Waw</w:t>
      </w:r>
      <w:r>
        <w:t xml:space="preserve">, imperativisch), </w:t>
      </w:r>
      <w:r>
        <w:rPr>
          <w:rStyle w:val="Fett"/>
          <w:rFonts w:eastAsiaTheme="majorEastAsia"/>
          <w:rtl/>
        </w:rPr>
        <w:t>אֶל־הַמָּקוֹם</w:t>
      </w:r>
      <w:r>
        <w:rPr>
          <w:rtl/>
        </w:rPr>
        <w:t xml:space="preserve"> </w:t>
      </w:r>
      <w:r>
        <w:t xml:space="preserve">(Präposition </w:t>
      </w:r>
      <w:r>
        <w:rPr>
          <w:rStyle w:val="Fett"/>
          <w:rFonts w:eastAsiaTheme="majorEastAsia"/>
          <w:rtl/>
        </w:rPr>
        <w:t>אֶל</w:t>
      </w:r>
      <w:r>
        <w:t xml:space="preserve">, „zu, nach", mit </w:t>
      </w:r>
      <w:r>
        <w:rPr>
          <w:rStyle w:val="Fett"/>
          <w:rFonts w:eastAsiaTheme="majorEastAsia"/>
          <w:rtl/>
        </w:rPr>
        <w:t>מָקוֹם</w:t>
      </w:r>
      <w:r>
        <w:t xml:space="preserve">, „Ort", mit Artikel) als Richtungsangabe, </w:t>
      </w:r>
      <w:r>
        <w:rPr>
          <w:rStyle w:val="Fett"/>
          <w:rFonts w:eastAsiaTheme="majorEastAsia"/>
          <w:rtl/>
        </w:rPr>
        <w:t>אֲשֶׁר יִבְחַר יְהוָה אֱלֹהֶיךָ בּוֹ</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יִבְחַר</w:t>
      </w:r>
      <w:r>
        <w:t xml:space="preserve">, Qal Imperfekt, 3. Person Maskulinum Singular von </w:t>
      </w:r>
      <w:r>
        <w:rPr>
          <w:rStyle w:val="Fett"/>
          <w:rFonts w:eastAsiaTheme="majorEastAsia"/>
          <w:rtl/>
        </w:rPr>
        <w:t>בחר</w:t>
      </w:r>
      <w:r>
        <w:t xml:space="preserve">, „erwählen", </w:t>
      </w:r>
      <w:r>
        <w:rPr>
          <w:rStyle w:val="Fett"/>
          <w:rFonts w:eastAsiaTheme="majorEastAsia"/>
          <w:rtl/>
        </w:rPr>
        <w:t>יְהוָה אֱלֹהֶיךָ</w:t>
      </w:r>
      <w:r>
        <w:rPr>
          <w:rtl/>
        </w:rPr>
        <w:t xml:space="preserve"> </w:t>
      </w:r>
      <w:r>
        <w:t xml:space="preserve">als Subjekt, und </w:t>
      </w:r>
      <w:r>
        <w:rPr>
          <w:rStyle w:val="Fett"/>
          <w:rFonts w:eastAsiaTheme="majorEastAsia"/>
          <w:rtl/>
        </w:rPr>
        <w:t>בּוֹ</w:t>
      </w:r>
      <w:r>
        <w:t xml:space="preserve">, Präposition </w:t>
      </w:r>
      <w:r>
        <w:rPr>
          <w:rStyle w:val="Fett"/>
          <w:rFonts w:eastAsiaTheme="majorEastAsia"/>
          <w:rtl/>
        </w:rPr>
        <w:t>בְּ</w:t>
      </w:r>
      <w:r>
        <w:rPr>
          <w:rtl/>
        </w:rPr>
        <w:t xml:space="preserve"> </w:t>
      </w:r>
      <w:r>
        <w:t xml:space="preserve">mit Suffix 3. Person Maskulinum Singular, „in ihm", als lokale Bestimmung des Verbs </w:t>
      </w:r>
      <w:r>
        <w:rPr>
          <w:rStyle w:val="Fett"/>
          <w:rFonts w:eastAsiaTheme="majorEastAsia"/>
          <w:rtl/>
        </w:rPr>
        <w:t>בחר</w:t>
      </w:r>
      <w:r>
        <w:t>).</w:t>
      </w:r>
    </w:p>
    <w:p w14:paraId="30A0129D" w14:textId="77777777" w:rsidR="00F30413" w:rsidRDefault="00F30413" w:rsidP="00F30413">
      <w:pPr>
        <w:pStyle w:val="whitespace-normal"/>
      </w:pPr>
      <w:r>
        <w:t>Der Vers gibt die praktische Lösung für das Problem aus V. 24: Der Zehnte wird vor Ort zu Geld gemacht (verkauft), das Geld sicher verwahrt und zum zentralen Heiligtum gebracht. Diese pragmatische Regelung ermöglicht die Kultzentralisation auch für weit entfernte Regionen.</w:t>
      </w:r>
    </w:p>
    <w:p w14:paraId="07F6D9CB" w14:textId="77777777" w:rsidR="00F30413" w:rsidRDefault="00F30413" w:rsidP="00F30413">
      <w:pPr>
        <w:pStyle w:val="whitespace-normal"/>
      </w:pPr>
      <w:r>
        <w:t xml:space="preserve">Die drei Imperative bilden eine Handlungsfolge: (1) zu Geld machen (verkaufen), (2) sicher verwahren, (3) zum Heiligtum gehen. Die Formulierung </w:t>
      </w:r>
      <w:r>
        <w:rPr>
          <w:rStyle w:val="Fett"/>
          <w:rFonts w:eastAsiaTheme="majorEastAsia"/>
          <w:rtl/>
        </w:rPr>
        <w:t>צרת הכסף בידך</w:t>
      </w:r>
      <w:r>
        <w:rPr>
          <w:rtl/>
        </w:rPr>
        <w:t xml:space="preserve"> </w:t>
      </w:r>
      <w:r>
        <w:t>(„binde das Geld in deine Hand") ist anschaulich und betont die sichere Verwahrung für die Reise.</w:t>
      </w:r>
    </w:p>
    <w:p w14:paraId="240E0289" w14:textId="77777777" w:rsidR="00F30413" w:rsidRDefault="00F30413" w:rsidP="00F30413">
      <w:pPr>
        <w:pStyle w:val="whitespace-normal"/>
      </w:pPr>
      <w:r>
        <w:t xml:space="preserve">Die Relativsatzformulierung </w:t>
      </w:r>
      <w:r>
        <w:rPr>
          <w:rStyle w:val="Fett"/>
          <w:rFonts w:eastAsiaTheme="majorEastAsia"/>
          <w:rtl/>
        </w:rPr>
        <w:t>אֲשֶׁר יִבְחַר יְהוָה אֱלֹהֶיךָ בּוֹ</w:t>
      </w:r>
      <w:r>
        <w:rPr>
          <w:rtl/>
        </w:rPr>
        <w:t xml:space="preserve"> </w:t>
      </w:r>
      <w:r>
        <w:t xml:space="preserve">(„den JHWH, dein Gott, in ihm erwählen wird") mit der Präposition </w:t>
      </w:r>
      <w:r>
        <w:rPr>
          <w:rStyle w:val="Fett"/>
          <w:rFonts w:eastAsiaTheme="majorEastAsia"/>
          <w:rtl/>
        </w:rPr>
        <w:t>בְּ</w:t>
      </w:r>
      <w:r>
        <w:rPr>
          <w:rtl/>
        </w:rPr>
        <w:t xml:space="preserve"> </w:t>
      </w:r>
      <w:r>
        <w:t xml:space="preserve">beim Verb </w:t>
      </w:r>
      <w:r>
        <w:rPr>
          <w:rStyle w:val="Fett"/>
          <w:rFonts w:eastAsiaTheme="majorEastAsia"/>
          <w:rtl/>
        </w:rPr>
        <w:t>בחר</w:t>
      </w:r>
      <w:r>
        <w:rPr>
          <w:rtl/>
        </w:rPr>
        <w:t xml:space="preserve"> </w:t>
      </w:r>
      <w:r>
        <w:t xml:space="preserve">ist eine Variante der üblichen Konstruktion ohne </w:t>
      </w:r>
      <w:r>
        <w:rPr>
          <w:rStyle w:val="Fett"/>
          <w:rFonts w:eastAsiaTheme="majorEastAsia"/>
          <w:rtl/>
        </w:rPr>
        <w:t>בְּ</w:t>
      </w:r>
      <w:r>
        <w:rPr>
          <w:rtl/>
        </w:rPr>
        <w:t xml:space="preserve"> </w:t>
      </w:r>
      <w:r>
        <w:t>(vgl. V. 23.24).</w:t>
      </w:r>
    </w:p>
    <w:p w14:paraId="488407AD" w14:textId="77777777" w:rsidR="00F30413" w:rsidRDefault="00F30413" w:rsidP="00F30413">
      <w:pPr>
        <w:pStyle w:val="whitespace-normal"/>
      </w:pPr>
      <w:r>
        <w:rPr>
          <w:rStyle w:val="Fett"/>
          <w:rFonts w:eastAsiaTheme="majorEastAsia"/>
        </w:rPr>
        <w:t>Die Satzstruktur</w:t>
      </w:r>
      <w:r>
        <w:t xml:space="preserve"> besteht aus drei koordinierten Imperativen: Erster Imperativ (sollst du es geben), präpositionales Objekt (für Geld = zu Geld machen); zweiter Imperativ (binden), direktes Objekt (das Geld), lokale Bestimmung (in deine Hand); dritter Imperativ (gehen), Richtungsangabe (zu dem Ort), Relativsatz (den erwählen wird JHWH, dein Gott, in ihm).</w:t>
      </w:r>
    </w:p>
    <w:p w14:paraId="0C2763BF" w14:textId="77777777" w:rsidR="00F30413" w:rsidRDefault="00F30413" w:rsidP="00F30413">
      <w:pPr>
        <w:pStyle w:val="whitespace-normal"/>
      </w:pPr>
      <w:r>
        <w:t>Der Vers gibt die praktische Lösung: Verkaufe den Zehnten zu Geld, verwahre das Geld sicher und gehe damit zum erwählten Ort – eine realistische Konzession an die Kultzentralisation.</w:t>
      </w:r>
    </w:p>
    <w:p w14:paraId="5E2A5F71" w14:textId="77777777" w:rsidR="00F30413" w:rsidRPr="00F30413" w:rsidRDefault="00F30413" w:rsidP="00F30413">
      <w:pPr>
        <w:pStyle w:val="berschrift1"/>
        <w:rPr>
          <w:rFonts w:ascii="Times New Roman" w:hAnsi="Times New Roman"/>
          <w:color w:val="auto"/>
          <w:sz w:val="36"/>
          <w:szCs w:val="36"/>
        </w:rPr>
      </w:pPr>
      <w:r w:rsidRPr="00F30413">
        <w:rPr>
          <w:rStyle w:val="Fett"/>
          <w:rFonts w:ascii="Times New Roman" w:hAnsi="Times New Roman"/>
          <w:color w:val="auto"/>
          <w:sz w:val="36"/>
          <w:szCs w:val="36"/>
        </w:rPr>
        <w:t>Deuteronomium 14,26</w:t>
      </w:r>
    </w:p>
    <w:p w14:paraId="1A9C4FB7" w14:textId="77777777" w:rsidR="00F30413" w:rsidRDefault="00F30413" w:rsidP="00F30413">
      <w:pPr>
        <w:pStyle w:val="whitespace-normal"/>
      </w:pPr>
      <w:r>
        <w:rPr>
          <w:rStyle w:val="Fett"/>
          <w:rFonts w:eastAsiaTheme="majorEastAsia"/>
        </w:rPr>
        <w:t>Hebräisch:</w:t>
      </w:r>
      <w:r>
        <w:t xml:space="preserve"> </w:t>
      </w:r>
      <w:r>
        <w:rPr>
          <w:rtl/>
        </w:rPr>
        <w:t>וְנָתַתָּ֣ה הַכֶּ֡סֶף בְּכֹל֩ אֲשֶׁר־תְּאַוֶּ֨ה נַפְשְׁךָ֜ בַּבָּקָ֣ר וּבַצֹּ֗אן וּבַיַּ֨יִן֙ וּבַשֵּׁכָ֔ר וּבְכֹ֛ל אֲשֶׁ֥ר תִּֽשְׁאָלְךָ֖ נַפְשֶׁ֑ךָ וְאָכַ֣לְתָּ שָּׁ֗ם לִפְנֵי֙ יְהוָ֣ה אֱלֹהֶ֔יךָ וְשָׂמַחְתָּ֖ אַתָּ֥ה וּבֵיתֶֽךָ׃</w:t>
      </w:r>
    </w:p>
    <w:p w14:paraId="79AAD4E7" w14:textId="77777777" w:rsidR="00F30413" w:rsidRDefault="00F30413" w:rsidP="00F30413">
      <w:pPr>
        <w:pStyle w:val="whitespace-normal"/>
      </w:pPr>
      <w:r>
        <w:rPr>
          <w:rStyle w:val="Fett"/>
          <w:rFonts w:eastAsiaTheme="majorEastAsia"/>
        </w:rPr>
        <w:t>Deutsch:</w:t>
      </w:r>
      <w:r>
        <w:t xml:space="preserve"> Und gib das Geld für alles, was deine Seele begehrt, für Rinder und für Kleinvieh und für Wein und für starkes Getränk, und für alles, was deine Seele wünscht; und iss dort vor dem Ewigen, deinem Gott, und freue dich, du und dein Haus.</w:t>
      </w:r>
    </w:p>
    <w:p w14:paraId="29B68F51" w14:textId="77777777" w:rsidR="00F30413" w:rsidRDefault="004F5CEB" w:rsidP="00F30413">
      <w:r>
        <w:rPr>
          <w:noProof/>
        </w:rPr>
        <w:pict w14:anchorId="6B18B62D">
          <v:rect id="_x0000_i1441" style="width:0;height:1.5pt" o:hralign="center" o:hrstd="t" o:hr="t" fillcolor="#a0a0a0" stroked="f"/>
        </w:pict>
      </w:r>
    </w:p>
    <w:p w14:paraId="5BA4D165" w14:textId="77777777" w:rsidR="00F30413" w:rsidRDefault="00F30413" w:rsidP="00F30413">
      <w:pPr>
        <w:pStyle w:val="whitespace-normal"/>
      </w:pPr>
      <w:r>
        <w:rPr>
          <w:rStyle w:val="Fett"/>
          <w:rFonts w:eastAsiaTheme="majorEastAsia"/>
        </w:rPr>
        <w:t>Kommentar:</w:t>
      </w:r>
      <w:r>
        <w:t xml:space="preserve"> </w:t>
      </w:r>
      <w:r>
        <w:rPr>
          <w:rStyle w:val="Fett"/>
          <w:rFonts w:eastAsiaTheme="majorEastAsia"/>
          <w:rtl/>
        </w:rPr>
        <w:t>וְנָתַתָּה הַכֶּסֶף בְּכֹל אֲשֶׁר־תְּאַוֶּה נַפְשְׁךָ</w:t>
      </w:r>
      <w:r>
        <w:rPr>
          <w:rtl/>
        </w:rPr>
        <w:t xml:space="preserve"> </w:t>
      </w:r>
      <w:r>
        <w:t xml:space="preserve">ist der erste Imperativsatz: </w:t>
      </w:r>
      <w:r>
        <w:rPr>
          <w:rStyle w:val="Fett"/>
          <w:rFonts w:eastAsiaTheme="majorEastAsia"/>
          <w:rtl/>
        </w:rPr>
        <w:t>וְנָתַתָּה</w:t>
      </w:r>
      <w:r>
        <w:rPr>
          <w:rtl/>
        </w:rPr>
        <w:t xml:space="preserve"> </w:t>
      </w:r>
      <w:r>
        <w:t xml:space="preserve">(Qal Perfekt, 2. Person Maskulinum Singular von </w:t>
      </w:r>
      <w:r>
        <w:rPr>
          <w:rStyle w:val="Fett"/>
          <w:rFonts w:eastAsiaTheme="majorEastAsia"/>
          <w:rtl/>
        </w:rPr>
        <w:t>נתן</w:t>
      </w:r>
      <w:r>
        <w:t xml:space="preserve">, „geben", mit </w:t>
      </w:r>
      <w:r>
        <w:rPr>
          <w:rStyle w:val="Fett"/>
          <w:rFonts w:eastAsiaTheme="majorEastAsia"/>
        </w:rPr>
        <w:t>Waw</w:t>
      </w:r>
      <w:r>
        <w:t xml:space="preserve">, imperativisch, und Paragogischem </w:t>
      </w:r>
      <w:r>
        <w:rPr>
          <w:rStyle w:val="Fett"/>
          <w:rFonts w:eastAsiaTheme="majorEastAsia"/>
          <w:rtl/>
        </w:rPr>
        <w:t>ה</w:t>
      </w:r>
      <w:r>
        <w:t xml:space="preserve">), </w:t>
      </w:r>
      <w:r>
        <w:rPr>
          <w:rStyle w:val="Fett"/>
          <w:rFonts w:eastAsiaTheme="majorEastAsia"/>
          <w:rtl/>
        </w:rPr>
        <w:t>הַכֶּסֶף</w:t>
      </w:r>
      <w:r>
        <w:rPr>
          <w:rtl/>
        </w:rPr>
        <w:t xml:space="preserve"> </w:t>
      </w:r>
      <w:r>
        <w:t>(</w:t>
      </w:r>
      <w:r>
        <w:rPr>
          <w:rStyle w:val="Fett"/>
          <w:rFonts w:eastAsiaTheme="majorEastAsia"/>
          <w:rtl/>
        </w:rPr>
        <w:t>כֶּסֶף</w:t>
      </w:r>
      <w:r>
        <w:t xml:space="preserve">, „Silber, Geld", mit Artikel) als direktes Objekt, </w:t>
      </w:r>
      <w:r>
        <w:rPr>
          <w:rStyle w:val="Fett"/>
          <w:rFonts w:eastAsiaTheme="majorEastAsia"/>
          <w:rtl/>
        </w:rPr>
        <w:t>בְּכֹל אֲשֶׁר־תְּאַוֶּה נַפְשְׁךָ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כֹּל</w:t>
      </w:r>
      <w:r>
        <w:t xml:space="preserve">, „all", im Construct mit Relativsatz: </w:t>
      </w:r>
      <w:r>
        <w:rPr>
          <w:rStyle w:val="Fett"/>
          <w:rFonts w:eastAsiaTheme="majorEastAsia"/>
          <w:rtl/>
        </w:rPr>
        <w:t>אֲשֶׁר־תְּאַוֶּה נַפְשְׁךָ</w:t>
      </w:r>
      <w:r>
        <w:t xml:space="preserve">, </w:t>
      </w:r>
      <w:r>
        <w:rPr>
          <w:rStyle w:val="Fett"/>
          <w:rFonts w:eastAsiaTheme="majorEastAsia"/>
          <w:rtl/>
        </w:rPr>
        <w:t>אֲשֶׁר</w:t>
      </w:r>
      <w:r>
        <w:rPr>
          <w:rtl/>
        </w:rPr>
        <w:t xml:space="preserve"> </w:t>
      </w:r>
      <w:r>
        <w:t xml:space="preserve">mit </w:t>
      </w:r>
      <w:r>
        <w:rPr>
          <w:rStyle w:val="Fett"/>
          <w:rFonts w:eastAsiaTheme="majorEastAsia"/>
          <w:rtl/>
        </w:rPr>
        <w:t>תְּאַוֶּה</w:t>
      </w:r>
      <w:r>
        <w:t xml:space="preserve">, Piel Imperfekt, 3. </w:t>
      </w:r>
      <w:r>
        <w:lastRenderedPageBreak/>
        <w:t xml:space="preserve">Person feminin Singular von </w:t>
      </w:r>
      <w:r>
        <w:rPr>
          <w:rStyle w:val="Fett"/>
          <w:rFonts w:eastAsiaTheme="majorEastAsia"/>
          <w:rtl/>
        </w:rPr>
        <w:t>אוה</w:t>
      </w:r>
      <w:r>
        <w:t xml:space="preserve">, „begehren, wünschen", und </w:t>
      </w:r>
      <w:r>
        <w:rPr>
          <w:rStyle w:val="Fett"/>
          <w:rFonts w:eastAsiaTheme="majorEastAsia"/>
          <w:rtl/>
        </w:rPr>
        <w:t>נַפְשְׁךָ</w:t>
      </w:r>
      <w:r>
        <w:t xml:space="preserve">, </w:t>
      </w:r>
      <w:r>
        <w:rPr>
          <w:rStyle w:val="Fett"/>
          <w:rFonts w:eastAsiaTheme="majorEastAsia"/>
          <w:rtl/>
        </w:rPr>
        <w:t>נֶפֶשׁ</w:t>
      </w:r>
      <w:r>
        <w:t>, „Seele, Kehle, Verlangen", mit Suffix 2. Person Maskulinum Singular, als Subjekt, „für alles, was deine Seele begehrt") als präpositionales Objekt.</w:t>
      </w:r>
    </w:p>
    <w:p w14:paraId="5D01E7A8" w14:textId="77777777" w:rsidR="00F30413" w:rsidRDefault="00F30413" w:rsidP="00F30413">
      <w:pPr>
        <w:pStyle w:val="whitespace-normal"/>
      </w:pPr>
      <w:r>
        <w:rPr>
          <w:rStyle w:val="Fett"/>
          <w:rFonts w:eastAsiaTheme="majorEastAsia"/>
          <w:rtl/>
        </w:rPr>
        <w:t>בַּבָּקָר וּבַצֹּאן וּבַיַּיִן וּבַשֵּׁכָר וּבְכֹל אֲשֶׁר תִּשְׁאָלְךָ נַפְשֶׁךָ</w:t>
      </w:r>
      <w:r>
        <w:rPr>
          <w:rtl/>
        </w:rPr>
        <w:t xml:space="preserve"> </w:t>
      </w:r>
      <w:r>
        <w:t xml:space="preserve">ist eine erweiternde Aufzählung: </w:t>
      </w:r>
      <w:r>
        <w:rPr>
          <w:rStyle w:val="Fett"/>
          <w:rFonts w:eastAsiaTheme="majorEastAsia"/>
          <w:rtl/>
        </w:rPr>
        <w:t>בַּבָּקָר</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בָּקָר</w:t>
      </w:r>
      <w:r>
        <w:t xml:space="preserve">, „Rind, Rindvieh", mit Artikel), koordiniert durch </w:t>
      </w:r>
      <w:r>
        <w:rPr>
          <w:rStyle w:val="Fett"/>
          <w:rFonts w:eastAsiaTheme="majorEastAsia"/>
          <w:rtl/>
        </w:rPr>
        <w:t>וּבַ</w:t>
      </w:r>
      <w:r>
        <w:rPr>
          <w:rtl/>
        </w:rPr>
        <w:t xml:space="preserve"> </w:t>
      </w:r>
      <w:r>
        <w:t xml:space="preserve">mit </w:t>
      </w:r>
      <w:r>
        <w:rPr>
          <w:rStyle w:val="Fett"/>
          <w:rFonts w:eastAsiaTheme="majorEastAsia"/>
          <w:rtl/>
        </w:rPr>
        <w:t>צֹאן</w:t>
      </w:r>
      <w:r>
        <w:rPr>
          <w:rtl/>
        </w:rPr>
        <w:t xml:space="preserve"> </w:t>
      </w:r>
      <w:r>
        <w:t>(</w:t>
      </w:r>
      <w:r>
        <w:rPr>
          <w:rStyle w:val="Fett"/>
          <w:rFonts w:eastAsiaTheme="majorEastAsia"/>
          <w:rtl/>
        </w:rPr>
        <w:t>צֹאן</w:t>
      </w:r>
      <w:r>
        <w:t xml:space="preserve">, „Kleinvieh", „Schafe und Ziegen"), </w:t>
      </w:r>
      <w:r>
        <w:rPr>
          <w:rStyle w:val="Fett"/>
          <w:rFonts w:eastAsiaTheme="majorEastAsia"/>
          <w:rtl/>
        </w:rPr>
        <w:t>וּבַיַּיִן</w:t>
      </w:r>
      <w:r>
        <w:rPr>
          <w:rtl/>
        </w:rPr>
        <w:t xml:space="preserve"> </w:t>
      </w:r>
      <w:r>
        <w:t>(</w:t>
      </w:r>
      <w:r>
        <w:rPr>
          <w:rStyle w:val="Fett"/>
          <w:rFonts w:eastAsiaTheme="majorEastAsia"/>
          <w:rtl/>
        </w:rPr>
        <w:t>יַיִן</w:t>
      </w:r>
      <w:r>
        <w:t xml:space="preserve">, „Wein"), </w:t>
      </w:r>
      <w:r>
        <w:rPr>
          <w:rStyle w:val="Fett"/>
          <w:rFonts w:eastAsiaTheme="majorEastAsia"/>
          <w:rtl/>
        </w:rPr>
        <w:t>וּבַשֵּׁכָר</w:t>
      </w:r>
      <w:r>
        <w:rPr>
          <w:rtl/>
        </w:rPr>
        <w:t xml:space="preserve"> </w:t>
      </w:r>
      <w:r>
        <w:t>(</w:t>
      </w:r>
      <w:r>
        <w:rPr>
          <w:rStyle w:val="Fett"/>
          <w:rFonts w:eastAsiaTheme="majorEastAsia"/>
          <w:rtl/>
        </w:rPr>
        <w:t>שֵׁכָר</w:t>
      </w:r>
      <w:r>
        <w:t xml:space="preserve">, „starkes Getränk, berauschendes Getränk", vermutlich Bier oder vergorene Getränke) und </w:t>
      </w:r>
      <w:r>
        <w:rPr>
          <w:rStyle w:val="Fett"/>
          <w:rFonts w:eastAsiaTheme="majorEastAsia"/>
          <w:rtl/>
        </w:rPr>
        <w:t>וּבְכֹל אֲשֶׁר תִּשְׁאָלְךָ נַפְשֶׁךָ</w:t>
      </w:r>
      <w:r>
        <w:rPr>
          <w:rtl/>
        </w:rPr>
        <w:t xml:space="preserve"> </w:t>
      </w:r>
      <w:r>
        <w:t>(</w:t>
      </w:r>
      <w:r>
        <w:rPr>
          <w:rStyle w:val="Fett"/>
          <w:rFonts w:eastAsiaTheme="majorEastAsia"/>
          <w:rtl/>
        </w:rPr>
        <w:t>כֹּל</w:t>
      </w:r>
      <w:r>
        <w:t xml:space="preserve">, „all", im Construct mit Relativsatz: </w:t>
      </w:r>
      <w:r>
        <w:rPr>
          <w:rStyle w:val="Fett"/>
          <w:rFonts w:eastAsiaTheme="majorEastAsia"/>
          <w:rtl/>
        </w:rPr>
        <w:t>אֲשֶׁר תִּשְׁאָלְךָ נַפְשֶׁךָ</w:t>
      </w:r>
      <w:r>
        <w:t xml:space="preserve">, </w:t>
      </w:r>
      <w:r>
        <w:rPr>
          <w:rStyle w:val="Fett"/>
          <w:rFonts w:eastAsiaTheme="majorEastAsia"/>
          <w:rtl/>
        </w:rPr>
        <w:t>אֲשֶׁר</w:t>
      </w:r>
      <w:r>
        <w:rPr>
          <w:rtl/>
        </w:rPr>
        <w:t xml:space="preserve"> </w:t>
      </w:r>
      <w:r>
        <w:t xml:space="preserve">mit </w:t>
      </w:r>
      <w:r>
        <w:rPr>
          <w:rStyle w:val="Fett"/>
          <w:rFonts w:eastAsiaTheme="majorEastAsia"/>
          <w:rtl/>
        </w:rPr>
        <w:t>תִּשְׁאָלְךָ</w:t>
      </w:r>
      <w:r>
        <w:t xml:space="preserve">, Qal Imperfekt, 3. Person feminin Singular von </w:t>
      </w:r>
      <w:r>
        <w:rPr>
          <w:rStyle w:val="Fett"/>
          <w:rFonts w:eastAsiaTheme="majorEastAsia"/>
          <w:rtl/>
        </w:rPr>
        <w:t>שׁאל</w:t>
      </w:r>
      <w:r>
        <w:t xml:space="preserve">, „fragen, wünschen", mit Suffix 2. Person Maskulinum Singular, und </w:t>
      </w:r>
      <w:r>
        <w:rPr>
          <w:rStyle w:val="Fett"/>
          <w:rFonts w:eastAsiaTheme="majorEastAsia"/>
          <w:rtl/>
        </w:rPr>
        <w:t>נַפְשֶׁךָ</w:t>
      </w:r>
      <w:r>
        <w:rPr>
          <w:rtl/>
        </w:rPr>
        <w:t xml:space="preserve"> </w:t>
      </w:r>
      <w:r>
        <w:t>als Subjekt, „und für alles, was deine Seele dich wünscht/von dir verlangt").</w:t>
      </w:r>
    </w:p>
    <w:p w14:paraId="2D20FB50" w14:textId="77777777" w:rsidR="00F30413" w:rsidRDefault="00F30413" w:rsidP="00F30413">
      <w:pPr>
        <w:pStyle w:val="whitespace-normal"/>
      </w:pPr>
      <w:r>
        <w:rPr>
          <w:rStyle w:val="Fett"/>
          <w:rFonts w:eastAsiaTheme="majorEastAsia"/>
          <w:rtl/>
        </w:rPr>
        <w:t>וְאָכַלְתָּ שָּׁם לִפְנֵי יְהוָה אֱלֹהֶיךָ וְשָׂמַחְתָּ אַתָּה וּבֵיתֶךָ</w:t>
      </w:r>
      <w:r>
        <w:rPr>
          <w:rtl/>
        </w:rPr>
        <w:t xml:space="preserve"> </w:t>
      </w:r>
      <w:r>
        <w:t xml:space="preserve">sind zwei koordinierte Imperative: </w:t>
      </w:r>
      <w:r>
        <w:rPr>
          <w:rStyle w:val="Fett"/>
          <w:rFonts w:eastAsiaTheme="majorEastAsia"/>
          <w:rtl/>
        </w:rPr>
        <w:t>וְאָכַלְתָּ</w:t>
      </w:r>
      <w:r>
        <w:rPr>
          <w:rtl/>
        </w:rPr>
        <w:t xml:space="preserve"> </w:t>
      </w:r>
      <w:r>
        <w:t xml:space="preserve">(Qal Perfekt, 2. Person Maskulinum Singular von </w:t>
      </w:r>
      <w:r>
        <w:rPr>
          <w:rStyle w:val="Fett"/>
          <w:rFonts w:eastAsiaTheme="majorEastAsia"/>
          <w:rtl/>
        </w:rPr>
        <w:t>אכל</w:t>
      </w:r>
      <w:r>
        <w:t xml:space="preserve">, „essen", mit </w:t>
      </w:r>
      <w:r>
        <w:rPr>
          <w:rStyle w:val="Fett"/>
          <w:rFonts w:eastAsiaTheme="majorEastAsia"/>
        </w:rPr>
        <w:t>Waw</w:t>
      </w:r>
      <w:r>
        <w:t xml:space="preserve">, imperativisch), </w:t>
      </w:r>
      <w:r>
        <w:rPr>
          <w:rStyle w:val="Fett"/>
          <w:rFonts w:eastAsiaTheme="majorEastAsia"/>
          <w:rtl/>
        </w:rPr>
        <w:t>שָׁם</w:t>
      </w:r>
      <w:r>
        <w:rPr>
          <w:rtl/>
        </w:rPr>
        <w:t xml:space="preserve"> </w:t>
      </w:r>
      <w:r>
        <w:t xml:space="preserve">(„dort") als lokale Bestimmung, </w:t>
      </w:r>
      <w:r>
        <w:rPr>
          <w:rStyle w:val="Fett"/>
          <w:rFonts w:eastAsiaTheme="majorEastAsia"/>
          <w:rtl/>
        </w:rPr>
        <w:t>לִפְנֵי יְהוָה אֱלֹהֶיךָ</w:t>
      </w:r>
      <w:r>
        <w:rPr>
          <w:rtl/>
        </w:rPr>
        <w:t xml:space="preserve"> </w:t>
      </w:r>
      <w:r>
        <w:t xml:space="preserve">(Präposition </w:t>
      </w:r>
      <w:r>
        <w:rPr>
          <w:rStyle w:val="Fett"/>
          <w:rFonts w:eastAsiaTheme="majorEastAsia"/>
          <w:rtl/>
        </w:rPr>
        <w:t>לִפְנֵי</w:t>
      </w:r>
      <w:r>
        <w:t xml:space="preserve">, „vor, angesichts", mit </w:t>
      </w:r>
      <w:r>
        <w:rPr>
          <w:rStyle w:val="Fett"/>
          <w:rFonts w:eastAsiaTheme="majorEastAsia"/>
          <w:rtl/>
        </w:rPr>
        <w:t>יְהוָה אֱלֹהֶיךָ</w:t>
      </w:r>
      <w:r>
        <w:t xml:space="preserve">) als weitere lokale Bestimmung, koordiniert durch </w:t>
      </w:r>
      <w:r>
        <w:rPr>
          <w:rStyle w:val="Fett"/>
          <w:rFonts w:eastAsiaTheme="majorEastAsia"/>
          <w:rtl/>
        </w:rPr>
        <w:t>וְ</w:t>
      </w:r>
      <w:r>
        <w:rPr>
          <w:rtl/>
        </w:rPr>
        <w:t xml:space="preserve"> </w:t>
      </w:r>
      <w:r>
        <w:t xml:space="preserve">mit </w:t>
      </w:r>
      <w:r>
        <w:rPr>
          <w:rStyle w:val="Fett"/>
          <w:rFonts w:eastAsiaTheme="majorEastAsia"/>
          <w:rtl/>
        </w:rPr>
        <w:t>שָׂמַחְתָּ</w:t>
      </w:r>
      <w:r>
        <w:rPr>
          <w:rtl/>
        </w:rPr>
        <w:t xml:space="preserve"> </w:t>
      </w:r>
      <w:r>
        <w:t xml:space="preserve">(Qal Perfekt, 2. Person Maskulinum Singular von </w:t>
      </w:r>
      <w:r>
        <w:rPr>
          <w:rStyle w:val="Fett"/>
          <w:rFonts w:eastAsiaTheme="majorEastAsia"/>
          <w:rtl/>
        </w:rPr>
        <w:t>שׂמח</w:t>
      </w:r>
      <w:r>
        <w:t xml:space="preserve">, „sich freuen", mit </w:t>
      </w:r>
      <w:r>
        <w:rPr>
          <w:rStyle w:val="Fett"/>
          <w:rFonts w:eastAsiaTheme="majorEastAsia"/>
        </w:rPr>
        <w:t>Waw</w:t>
      </w:r>
      <w:r>
        <w:t xml:space="preserve">, imperativisch), </w:t>
      </w:r>
      <w:r>
        <w:rPr>
          <w:rStyle w:val="Fett"/>
          <w:rFonts w:eastAsiaTheme="majorEastAsia"/>
          <w:rtl/>
        </w:rPr>
        <w:t>אַתָּה</w:t>
      </w:r>
      <w:r>
        <w:rPr>
          <w:rtl/>
        </w:rPr>
        <w:t xml:space="preserve"> </w:t>
      </w:r>
      <w:r>
        <w:t xml:space="preserve">(Personalpronomen 2. Person Maskulinum Singular, „du", betont) als Subjekt und </w:t>
      </w:r>
      <w:r>
        <w:rPr>
          <w:rStyle w:val="Fett"/>
          <w:rFonts w:eastAsiaTheme="majorEastAsia"/>
          <w:rtl/>
        </w:rPr>
        <w:t>וּבֵיתֶךָ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בַּיִת</w:t>
      </w:r>
      <w:r>
        <w:t>, „Haus, Hausgemeinschaft", mit Suffix 2. Person Maskulinum Singular, „und dein Haus").</w:t>
      </w:r>
    </w:p>
    <w:p w14:paraId="6555F963" w14:textId="77777777" w:rsidR="00F30413" w:rsidRDefault="00F30413" w:rsidP="00F30413">
      <w:pPr>
        <w:pStyle w:val="whitespace-normal"/>
      </w:pPr>
      <w:r>
        <w:t xml:space="preserve">Der Vers zeigt die bemerkenswerte Freiheit bei der Verwendung des Zehntgeldes: Israel darf kaufen, was immer </w:t>
      </w:r>
      <w:r>
        <w:rPr>
          <w:rStyle w:val="Fett"/>
          <w:rFonts w:eastAsiaTheme="majorEastAsia"/>
          <w:rtl/>
        </w:rPr>
        <w:t>נַפְשְׁךָ</w:t>
      </w:r>
      <w:r>
        <w:rPr>
          <w:rtl/>
        </w:rPr>
        <w:t xml:space="preserve"> </w:t>
      </w:r>
      <w:r>
        <w:t xml:space="preserve">(„deine Seele, dein Verlangen") begehrt. Die konkrete Aufzählung </w:t>
      </w:r>
      <w:r>
        <w:rPr>
          <w:rStyle w:val="Fett"/>
          <w:rFonts w:eastAsiaTheme="majorEastAsia"/>
          <w:rtl/>
        </w:rPr>
        <w:t>בַּבָּקָר וּבַצֹּאן וּבַיַּיִן וּבַשֵּׁכָר</w:t>
      </w:r>
      <w:r>
        <w:rPr>
          <w:rtl/>
        </w:rPr>
        <w:t xml:space="preserve"> </w:t>
      </w:r>
      <w:r>
        <w:t xml:space="preserve">(„Rind, Kleinvieh, Wein, starkes Getränk") zeigt: Es geht um ein reichliches Festmahl. Die abschließende offene Kategorie </w:t>
      </w:r>
      <w:r>
        <w:rPr>
          <w:rStyle w:val="Fett"/>
          <w:rFonts w:eastAsiaTheme="majorEastAsia"/>
          <w:rtl/>
        </w:rPr>
        <w:t>וּבְכֹל אֲשֶׁר תִּשְׁאָלְךָ נַפְשֶׁךָ</w:t>
      </w:r>
      <w:r>
        <w:rPr>
          <w:rtl/>
        </w:rPr>
        <w:t xml:space="preserve"> </w:t>
      </w:r>
      <w:r>
        <w:t>(„und für alles, was deine Seele von dir verlangt") unterstreicht die Freiheit.</w:t>
      </w:r>
    </w:p>
    <w:p w14:paraId="2E4D3630" w14:textId="77777777" w:rsidR="00F30413" w:rsidRDefault="00F30413" w:rsidP="00F30413">
      <w:pPr>
        <w:pStyle w:val="whitespace-normal"/>
      </w:pPr>
      <w:r>
        <w:t xml:space="preserve">Die zweimalige Verwendung von </w:t>
      </w:r>
      <w:r>
        <w:rPr>
          <w:rStyle w:val="Fett"/>
          <w:rFonts w:eastAsiaTheme="majorEastAsia"/>
          <w:rtl/>
        </w:rPr>
        <w:t>נֶפֶשׁ</w:t>
      </w:r>
      <w:r>
        <w:rPr>
          <w:rtl/>
        </w:rPr>
        <w:t xml:space="preserve"> </w:t>
      </w:r>
      <w:r>
        <w:t xml:space="preserve">(„Seele, Verlangen") betont den persönlichen Wunsch. Das Verb </w:t>
      </w:r>
      <w:r>
        <w:rPr>
          <w:rStyle w:val="Fett"/>
          <w:rFonts w:eastAsiaTheme="majorEastAsia"/>
          <w:rtl/>
        </w:rPr>
        <w:t>אוה</w:t>
      </w:r>
      <w:r>
        <w:rPr>
          <w:rtl/>
        </w:rPr>
        <w:t xml:space="preserve"> </w:t>
      </w:r>
      <w:r>
        <w:t xml:space="preserve">(„begehren") ist neutral (vgl. 5,21; 12,20), das Verb </w:t>
      </w:r>
      <w:r>
        <w:rPr>
          <w:rStyle w:val="Fett"/>
          <w:rFonts w:eastAsiaTheme="majorEastAsia"/>
          <w:rtl/>
        </w:rPr>
        <w:t>שׁאל</w:t>
      </w:r>
      <w:r>
        <w:rPr>
          <w:rtl/>
        </w:rPr>
        <w:t xml:space="preserve"> </w:t>
      </w:r>
      <w:r>
        <w:t>(„fragen, wünschen") ebenso. Die Freude (</w:t>
      </w:r>
      <w:r>
        <w:rPr>
          <w:rStyle w:val="Fett"/>
          <w:rFonts w:eastAsiaTheme="majorEastAsia"/>
          <w:rtl/>
        </w:rPr>
        <w:t>שׂמח</w:t>
      </w:r>
      <w:r>
        <w:t>) ist ein zentrales Motiv des Deuteronomiums beim Gottesdienst (vgl. 12,7.12.18; 16,11.14.15; 26,11; 27,7).</w:t>
      </w:r>
    </w:p>
    <w:p w14:paraId="6324A681" w14:textId="17F89635" w:rsidR="00F30413" w:rsidRDefault="00F30413" w:rsidP="00F30413">
      <w:pPr>
        <w:pStyle w:val="whitespace-normal"/>
      </w:pPr>
      <w:r>
        <w:t xml:space="preserve">Die Formulierung </w:t>
      </w:r>
      <w:r>
        <w:rPr>
          <w:rStyle w:val="Fett"/>
          <w:rFonts w:eastAsiaTheme="majorEastAsia"/>
          <w:rtl/>
        </w:rPr>
        <w:t>אַתָּה וּבֵיתֶךָ</w:t>
      </w:r>
      <w:r>
        <w:rPr>
          <w:rtl/>
        </w:rPr>
        <w:t xml:space="preserve"> </w:t>
      </w:r>
      <w:r>
        <w:t>(„du und dein Haus") zeigt: Die ganze Hausgemeinschaft – Familie, Knechte, Mägde – soll am Festmahl teilnehmen. Der Gegensatz ist bemerkenswert: Strikte Kultzentralisation (nur ein Ort!) verbunden mit großer Freiheit beim Festmahl (kaufe, was du willst!).</w:t>
      </w:r>
    </w:p>
    <w:p w14:paraId="320C9B5F" w14:textId="77777777" w:rsidR="00A93C3C" w:rsidRPr="00A93C3C" w:rsidRDefault="00A93C3C" w:rsidP="00A93C3C">
      <w:pPr>
        <w:spacing w:before="100" w:beforeAutospacing="1" w:after="100" w:afterAutospacing="1" w:line="240" w:lineRule="auto"/>
        <w:outlineLvl w:val="1"/>
        <w:rPr>
          <w:rFonts w:eastAsia="Times New Roman"/>
          <w:b/>
          <w:bCs/>
          <w:sz w:val="36"/>
          <w:szCs w:val="36"/>
          <w:lang w:eastAsia="de-DE"/>
        </w:rPr>
      </w:pPr>
      <w:r w:rsidRPr="00A93C3C">
        <w:rPr>
          <w:rFonts w:eastAsia="Times New Roman"/>
          <w:b/>
          <w:bCs/>
          <w:sz w:val="36"/>
          <w:szCs w:val="36"/>
          <w:lang w:eastAsia="de-DE"/>
        </w:rPr>
        <w:t>Vers 26 (MT) / Vers 25 (LXX)</w:t>
      </w:r>
    </w:p>
    <w:p w14:paraId="36A725F4" w14:textId="1FB3A112" w:rsidR="00A93C3C" w:rsidRPr="00A93C3C" w:rsidRDefault="00A93C3C" w:rsidP="00A93C3C">
      <w:pPr>
        <w:spacing w:before="100" w:beforeAutospacing="1" w:after="100" w:afterAutospacing="1" w:line="240" w:lineRule="auto"/>
        <w:rPr>
          <w:rFonts w:eastAsia="Times New Roman"/>
          <w:lang w:eastAsia="de-DE"/>
        </w:rPr>
      </w:pPr>
      <w:r w:rsidRPr="00A93C3C">
        <w:rPr>
          <w:rFonts w:eastAsia="Times New Roman"/>
          <w:b/>
          <w:bCs/>
          <w:lang w:eastAsia="de-DE"/>
        </w:rPr>
        <w:t>Die LXX</w:t>
      </w:r>
      <w:r w:rsidRPr="00A93C3C">
        <w:rPr>
          <w:rFonts w:eastAsia="Times New Roman"/>
          <w:lang w:eastAsia="de-DE"/>
        </w:rPr>
        <w:t xml:space="preserve"> bietet ἐπὶ </w:t>
      </w:r>
      <w:proofErr w:type="spellStart"/>
      <w:r w:rsidRPr="00A93C3C">
        <w:rPr>
          <w:rFonts w:eastAsia="Times New Roman"/>
          <w:lang w:eastAsia="de-DE"/>
        </w:rPr>
        <w:t>σίκερ</w:t>
      </w:r>
      <w:proofErr w:type="spellEnd"/>
      <w:r w:rsidRPr="00A93C3C">
        <w:rPr>
          <w:rFonts w:eastAsia="Times New Roman"/>
          <w:lang w:eastAsia="de-DE"/>
        </w:rPr>
        <w:t xml:space="preserve">α für </w:t>
      </w:r>
      <w:r w:rsidRPr="00A93C3C">
        <w:rPr>
          <w:rFonts w:eastAsia="Times New Roman"/>
          <w:rtl/>
          <w:lang w:eastAsia="de-DE"/>
        </w:rPr>
        <w:t>וּבַשֵּׁכָר</w:t>
      </w:r>
      <w:r w:rsidRPr="00A93C3C">
        <w:rPr>
          <w:rFonts w:eastAsia="Times New Roman"/>
          <w:lang w:eastAsia="de-DE"/>
        </w:rPr>
        <w:t xml:space="preserve"> – eine Transliteration des hebräischen Begriffs für Rauschtrank. Zudem liest die LXX ὁ </w:t>
      </w:r>
      <w:proofErr w:type="spellStart"/>
      <w:r w:rsidRPr="00A93C3C">
        <w:rPr>
          <w:rFonts w:eastAsia="Times New Roman"/>
          <w:lang w:eastAsia="de-DE"/>
        </w:rPr>
        <w:t>υἷκός</w:t>
      </w:r>
      <w:proofErr w:type="spellEnd"/>
      <w:r w:rsidRPr="00A93C3C">
        <w:rPr>
          <w:rFonts w:eastAsia="Times New Roman"/>
          <w:lang w:eastAsia="de-DE"/>
        </w:rPr>
        <w:t xml:space="preserve"> (eine verderbte Form, möglicherweise für </w:t>
      </w:r>
      <w:proofErr w:type="spellStart"/>
      <w:r w:rsidRPr="00A93C3C">
        <w:rPr>
          <w:rFonts w:eastAsia="Times New Roman"/>
          <w:lang w:eastAsia="de-DE"/>
        </w:rPr>
        <w:t>οἶκος</w:t>
      </w:r>
      <w:proofErr w:type="spellEnd"/>
      <w:r w:rsidRPr="00A93C3C">
        <w:rPr>
          <w:rFonts w:eastAsia="Times New Roman"/>
          <w:lang w:eastAsia="de-DE"/>
        </w:rPr>
        <w:t xml:space="preserve"> = Haus) statt des erwarteten </w:t>
      </w:r>
      <w:proofErr w:type="spellStart"/>
      <w:r w:rsidRPr="00A93C3C">
        <w:rPr>
          <w:rFonts w:eastAsia="Times New Roman"/>
          <w:lang w:eastAsia="de-DE"/>
        </w:rPr>
        <w:t>οἶκός</w:t>
      </w:r>
      <w:proofErr w:type="spellEnd"/>
      <w:r w:rsidRPr="00A93C3C">
        <w:rPr>
          <w:rFonts w:eastAsia="Times New Roman"/>
          <w:lang w:eastAsia="de-DE"/>
        </w:rPr>
        <w:t xml:space="preserve"> </w:t>
      </w:r>
      <w:proofErr w:type="spellStart"/>
      <w:r w:rsidRPr="00A93C3C">
        <w:rPr>
          <w:rFonts w:eastAsia="Times New Roman"/>
          <w:lang w:eastAsia="de-DE"/>
        </w:rPr>
        <w:t>σου</w:t>
      </w:r>
      <w:proofErr w:type="spellEnd"/>
      <w:r w:rsidRPr="00A93C3C">
        <w:rPr>
          <w:rFonts w:eastAsia="Times New Roman"/>
          <w:lang w:eastAsia="de-DE"/>
        </w:rPr>
        <w:t>.</w:t>
      </w:r>
    </w:p>
    <w:p w14:paraId="10147F41" w14:textId="77777777" w:rsidR="00F30413" w:rsidRDefault="00F30413" w:rsidP="00F30413">
      <w:pPr>
        <w:pStyle w:val="whitespace-normal"/>
      </w:pPr>
      <w:r>
        <w:rPr>
          <w:rStyle w:val="Fett"/>
          <w:rFonts w:eastAsiaTheme="majorEastAsia"/>
        </w:rPr>
        <w:t>Die Satzstruktur</w:t>
      </w:r>
      <w:r>
        <w:t xml:space="preserve"> besteht aus einem Imperativsatz mit präpositionalem Objekt, erweiternder Aufzählung und zwei koordinierten Imperativen: Prädikat (gib), direktes Objekt (das Geld), präpositionales Objekt (für alles, was begehrt deine Seele); erweiternde Aufzählung (für Rind, </w:t>
      </w:r>
      <w:r>
        <w:lastRenderedPageBreak/>
        <w:t>für Kleinvieh, für Wein, für starkes Getränk, und für alles, was wünscht deine Seele); zweiter Imperativ (iss), lokale Bestimmung (dort vor JHWH, deinem Gott); dritter Imperativ (freue dich), betontes Subjekt (du), koordiniertes Subjekt (und dein Haus).</w:t>
      </w:r>
    </w:p>
    <w:p w14:paraId="7D6292A9" w14:textId="77777777" w:rsidR="00F30413" w:rsidRDefault="00F30413" w:rsidP="00F30413">
      <w:pPr>
        <w:pStyle w:val="whitespace-normal"/>
      </w:pPr>
      <w:r>
        <w:t>Der Vers erlaubt großzügig, das Geld für ein reichliches Festmahl zu verwenden – was immer das Herz begehrt –, vor JHWH zu essen und mit der ganzen Hausgemeinschaft zu feiern.</w:t>
      </w:r>
    </w:p>
    <w:p w14:paraId="49A16A7C" w14:textId="77777777" w:rsidR="00F30413" w:rsidRPr="00F30413" w:rsidRDefault="00F30413" w:rsidP="00F30413">
      <w:pPr>
        <w:pStyle w:val="berschrift1"/>
        <w:rPr>
          <w:rFonts w:ascii="Times New Roman" w:hAnsi="Times New Roman"/>
          <w:color w:val="auto"/>
          <w:sz w:val="36"/>
          <w:szCs w:val="36"/>
        </w:rPr>
      </w:pPr>
      <w:r w:rsidRPr="00F30413">
        <w:rPr>
          <w:rStyle w:val="Fett"/>
          <w:rFonts w:ascii="Times New Roman" w:hAnsi="Times New Roman"/>
          <w:color w:val="auto"/>
          <w:sz w:val="36"/>
          <w:szCs w:val="36"/>
        </w:rPr>
        <w:t>Deuteronomium 14,27</w:t>
      </w:r>
    </w:p>
    <w:p w14:paraId="507EF216" w14:textId="77777777" w:rsidR="00F30413" w:rsidRDefault="00F30413" w:rsidP="00F30413">
      <w:pPr>
        <w:pStyle w:val="whitespace-normal"/>
      </w:pPr>
      <w:r>
        <w:rPr>
          <w:rStyle w:val="Fett"/>
          <w:rFonts w:eastAsiaTheme="majorEastAsia"/>
        </w:rPr>
        <w:t>Hebräisch:</w:t>
      </w:r>
      <w:r>
        <w:t xml:space="preserve"> </w:t>
      </w:r>
      <w:r>
        <w:rPr>
          <w:rtl/>
        </w:rPr>
        <w:t>וְהַלֵּוִ֥י אֲשֶׁר־בִּשְׁעָרֶ֖יךָ לֹ֣א תַֽעַזְבֶ֑נּוּ כִּ֣י אֵ֥ין לוֹ֛ חֵ֥לֶק וְנַחֲלָ֖ה עִמָּֽךְ׃</w:t>
      </w:r>
    </w:p>
    <w:p w14:paraId="311A0412" w14:textId="77777777" w:rsidR="00F30413" w:rsidRDefault="00F30413" w:rsidP="00F30413">
      <w:pPr>
        <w:pStyle w:val="whitespace-normal"/>
      </w:pPr>
      <w:r>
        <w:rPr>
          <w:rStyle w:val="Fett"/>
          <w:rFonts w:eastAsiaTheme="majorEastAsia"/>
        </w:rPr>
        <w:t>Deutsch:</w:t>
      </w:r>
      <w:r>
        <w:t xml:space="preserve"> Und den Levi, der in deinen Toren ist, sollst du nicht verlassen; denn er hat keinen Teil noch Erbe mit dir.</w:t>
      </w:r>
    </w:p>
    <w:p w14:paraId="4E1AE45B" w14:textId="77777777" w:rsidR="00F30413" w:rsidRDefault="004F5CEB" w:rsidP="00F30413">
      <w:r>
        <w:rPr>
          <w:noProof/>
        </w:rPr>
        <w:pict w14:anchorId="2E11D85B">
          <v:rect id="_x0000_i1442" style="width:0;height:1.5pt" o:hralign="center" o:hrstd="t" o:hr="t" fillcolor="#a0a0a0" stroked="f"/>
        </w:pict>
      </w:r>
    </w:p>
    <w:p w14:paraId="78B74B46" w14:textId="77777777" w:rsidR="00F30413" w:rsidRDefault="00F30413" w:rsidP="00F30413">
      <w:pPr>
        <w:pStyle w:val="whitespace-normal"/>
      </w:pPr>
      <w:r>
        <w:rPr>
          <w:rStyle w:val="Fett"/>
          <w:rFonts w:eastAsiaTheme="majorEastAsia"/>
        </w:rPr>
        <w:t>Kommentar:</w:t>
      </w:r>
      <w:r>
        <w:t xml:space="preserve"> </w:t>
      </w:r>
      <w:r>
        <w:rPr>
          <w:rStyle w:val="Fett"/>
          <w:rFonts w:eastAsiaTheme="majorEastAsia"/>
          <w:rtl/>
        </w:rPr>
        <w:t>וְהַלֵּוִי אֲשֶׁר־בִּשְׁעָרֶיךָ לֹא תַעַזְבֶנּוּ</w:t>
      </w:r>
      <w:r>
        <w:rPr>
          <w:rtl/>
        </w:rPr>
        <w:t xml:space="preserve"> </w:t>
      </w:r>
      <w:r>
        <w:t xml:space="preserve">ist ein negativer Imperativsatz: </w:t>
      </w:r>
      <w:r>
        <w:rPr>
          <w:rStyle w:val="Fett"/>
          <w:rFonts w:eastAsiaTheme="majorEastAsia"/>
          <w:rtl/>
        </w:rPr>
        <w:t>וְהַלֵּוִי אֲשֶׁר־בִּשְׁעָרֶיךָ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לֵוִי</w:t>
      </w:r>
      <w:r>
        <w:t xml:space="preserve">, „Levit", mit Artikel, Relativsatz: </w:t>
      </w:r>
      <w:r>
        <w:rPr>
          <w:rStyle w:val="Fett"/>
          <w:rFonts w:eastAsiaTheme="majorEastAsia"/>
          <w:rtl/>
        </w:rPr>
        <w:t>אֲשֶׁר־בִּשְׁעָרֶיךָ</w:t>
      </w:r>
      <w:r>
        <w:t xml:space="preserve">, </w:t>
      </w:r>
      <w:r>
        <w:rPr>
          <w:rStyle w:val="Fett"/>
          <w:rFonts w:eastAsiaTheme="majorEastAsia"/>
          <w:rtl/>
        </w:rPr>
        <w:t>אֲשֶׁר</w:t>
      </w:r>
      <w:r>
        <w:rPr>
          <w:rtl/>
        </w:rPr>
        <w:t xml:space="preserve"> </w:t>
      </w:r>
      <w:r>
        <w:t xml:space="preserve">mit </w:t>
      </w:r>
      <w:r>
        <w:rPr>
          <w:rStyle w:val="Fett"/>
          <w:rFonts w:eastAsiaTheme="majorEastAsia"/>
          <w:rtl/>
        </w:rPr>
        <w:t>בִּשְׁעָרֶיךָ</w:t>
      </w:r>
      <w:r>
        <w:t xml:space="preserve">, Präposition </w:t>
      </w:r>
      <w:r>
        <w:rPr>
          <w:rStyle w:val="Fett"/>
          <w:rFonts w:eastAsiaTheme="majorEastAsia"/>
          <w:rtl/>
        </w:rPr>
        <w:t>בְּ</w:t>
      </w:r>
      <w:r>
        <w:rPr>
          <w:rtl/>
        </w:rPr>
        <w:t xml:space="preserve"> </w:t>
      </w:r>
      <w:r>
        <w:t xml:space="preserve">mit </w:t>
      </w:r>
      <w:r>
        <w:rPr>
          <w:rStyle w:val="Fett"/>
          <w:rFonts w:eastAsiaTheme="majorEastAsia"/>
          <w:rtl/>
        </w:rPr>
        <w:t>שַׁעַר</w:t>
      </w:r>
      <w:r>
        <w:t xml:space="preserve">, „Tor", Plural mit Suffix 2. Person Maskulinum Singular, „der in deinen Toren ist") als vorangestelltes direktes Objekt, </w:t>
      </w:r>
      <w:r>
        <w:rPr>
          <w:rStyle w:val="Fett"/>
          <w:rFonts w:eastAsiaTheme="majorEastAsia"/>
          <w:rtl/>
        </w:rPr>
        <w:t>לֹא תַעַזְבֶנּוּ</w:t>
      </w:r>
      <w:r>
        <w:rPr>
          <w:rtl/>
        </w:rPr>
        <w:t xml:space="preserve"> </w:t>
      </w:r>
      <w:r>
        <w:t xml:space="preserve">(Negation </w:t>
      </w:r>
      <w:r>
        <w:rPr>
          <w:rStyle w:val="Fett"/>
          <w:rFonts w:eastAsiaTheme="majorEastAsia"/>
          <w:rtl/>
        </w:rPr>
        <w:t>לֹא</w:t>
      </w:r>
      <w:r>
        <w:rPr>
          <w:rtl/>
        </w:rPr>
        <w:t xml:space="preserve"> </w:t>
      </w:r>
      <w:r>
        <w:t xml:space="preserve">mit </w:t>
      </w:r>
      <w:r>
        <w:rPr>
          <w:rStyle w:val="Fett"/>
          <w:rFonts w:eastAsiaTheme="majorEastAsia"/>
          <w:rtl/>
        </w:rPr>
        <w:t>עזב</w:t>
      </w:r>
      <w:r>
        <w:t>, Qal Imperfekt, 2. Person Maskulinum Singular, „verlassen, im Stich lassen", mit Suffix 3. Person Maskulinum Singular als direktes Objekt, „du sollst ihn nicht verlassen").</w:t>
      </w:r>
    </w:p>
    <w:p w14:paraId="2ACFC2ED" w14:textId="77777777" w:rsidR="00F30413" w:rsidRDefault="00F30413" w:rsidP="00F30413">
      <w:pPr>
        <w:pStyle w:val="whitespace-normal"/>
      </w:pPr>
      <w:r>
        <w:rPr>
          <w:rStyle w:val="Fett"/>
          <w:rFonts w:eastAsiaTheme="majorEastAsia"/>
          <w:rtl/>
        </w:rPr>
        <w:t>כִּי אֵין לוֹ חֵלֶק וְנַחֲלָה עִמָּךְ</w:t>
      </w:r>
      <w:r>
        <w:rPr>
          <w:rtl/>
        </w:rPr>
        <w:t xml:space="preserve"> </w:t>
      </w:r>
      <w:r>
        <w:t xml:space="preserve">ist die kausale Begründung: </w:t>
      </w:r>
      <w:r>
        <w:rPr>
          <w:rStyle w:val="Fett"/>
          <w:rFonts w:eastAsiaTheme="majorEastAsia"/>
          <w:rtl/>
        </w:rPr>
        <w:t>כִּי</w:t>
      </w:r>
      <w:r>
        <w:rPr>
          <w:rtl/>
        </w:rPr>
        <w:t xml:space="preserve"> </w:t>
      </w:r>
      <w:r>
        <w:t xml:space="preserve">(„denn, weil") als kausale Konjunktion, </w:t>
      </w:r>
      <w:r>
        <w:rPr>
          <w:rStyle w:val="Fett"/>
          <w:rFonts w:eastAsiaTheme="majorEastAsia"/>
          <w:rtl/>
        </w:rPr>
        <w:t>אֵין</w:t>
      </w:r>
      <w:r>
        <w:rPr>
          <w:rtl/>
        </w:rPr>
        <w:t xml:space="preserve"> </w:t>
      </w:r>
      <w:r>
        <w:t xml:space="preserve">(„es gibt nicht, nicht") als Negation, </w:t>
      </w:r>
      <w:r>
        <w:rPr>
          <w:rStyle w:val="Fett"/>
          <w:rFonts w:eastAsiaTheme="majorEastAsia"/>
          <w:rtl/>
        </w:rPr>
        <w:t>לוֹ</w:t>
      </w:r>
      <w:r>
        <w:rPr>
          <w:rtl/>
        </w:rPr>
        <w:t xml:space="preserve"> </w:t>
      </w:r>
      <w:r>
        <w:t xml:space="preserve">(Präposition </w:t>
      </w:r>
      <w:r>
        <w:rPr>
          <w:rStyle w:val="Fett"/>
          <w:rFonts w:eastAsiaTheme="majorEastAsia"/>
          <w:rtl/>
        </w:rPr>
        <w:t>לְ</w:t>
      </w:r>
      <w:r>
        <w:rPr>
          <w:rtl/>
        </w:rPr>
        <w:t xml:space="preserve"> </w:t>
      </w:r>
      <w:r>
        <w:t xml:space="preserve">mit Suffix 3. Person Maskulinum Singular, „ihm") als Dativ, </w:t>
      </w:r>
      <w:r>
        <w:rPr>
          <w:rStyle w:val="Fett"/>
          <w:rFonts w:eastAsiaTheme="majorEastAsia"/>
          <w:rtl/>
        </w:rPr>
        <w:t>חֵלֶק וְנַחֲלָה</w:t>
      </w:r>
      <w:r>
        <w:rPr>
          <w:rtl/>
        </w:rPr>
        <w:t xml:space="preserve"> </w:t>
      </w:r>
      <w:r>
        <w:t>(</w:t>
      </w:r>
      <w:r>
        <w:rPr>
          <w:rStyle w:val="Fett"/>
          <w:rFonts w:eastAsiaTheme="majorEastAsia"/>
          <w:rtl/>
        </w:rPr>
        <w:t>חֵלֶק</w:t>
      </w:r>
      <w:r>
        <w:t xml:space="preserve">, „Teil, Anteil", koordiniert durch </w:t>
      </w:r>
      <w:r>
        <w:rPr>
          <w:rStyle w:val="Fett"/>
          <w:rFonts w:eastAsiaTheme="majorEastAsia"/>
          <w:rtl/>
        </w:rPr>
        <w:t>וְ</w:t>
      </w:r>
      <w:r>
        <w:rPr>
          <w:rtl/>
        </w:rPr>
        <w:t xml:space="preserve"> </w:t>
      </w:r>
      <w:r>
        <w:t xml:space="preserve">mit </w:t>
      </w:r>
      <w:r>
        <w:rPr>
          <w:rStyle w:val="Fett"/>
          <w:rFonts w:eastAsiaTheme="majorEastAsia"/>
          <w:rtl/>
        </w:rPr>
        <w:t>נַחֲלָה</w:t>
      </w:r>
      <w:r>
        <w:t xml:space="preserve">, „Erbe, Erbbesitz") als Subjekt und </w:t>
      </w:r>
      <w:r>
        <w:rPr>
          <w:rStyle w:val="Fett"/>
          <w:rFonts w:eastAsiaTheme="majorEastAsia"/>
          <w:rtl/>
        </w:rPr>
        <w:t>עִמָּךְ</w:t>
      </w:r>
      <w:r>
        <w:rPr>
          <w:rtl/>
        </w:rPr>
        <w:t xml:space="preserve"> </w:t>
      </w:r>
      <w:r>
        <w:t xml:space="preserve">(Präposition </w:t>
      </w:r>
      <w:r>
        <w:rPr>
          <w:rStyle w:val="Fett"/>
          <w:rFonts w:eastAsiaTheme="majorEastAsia"/>
          <w:rtl/>
        </w:rPr>
        <w:t>עִם</w:t>
      </w:r>
      <w:r>
        <w:t>, „mit", mit Suffix 2. Person Maskulinum Singular, „mit dir") als Begleitung.</w:t>
      </w:r>
    </w:p>
    <w:p w14:paraId="7F75D9BB" w14:textId="77777777" w:rsidR="00F30413" w:rsidRDefault="00F30413" w:rsidP="00F30413">
      <w:pPr>
        <w:pStyle w:val="whitespace-normal"/>
      </w:pPr>
      <w:r>
        <w:t xml:space="preserve">Der Vers mahnt zur Fürsorge für die Leviten. Die Wendung </w:t>
      </w:r>
      <w:r>
        <w:rPr>
          <w:rStyle w:val="Fett"/>
          <w:rFonts w:eastAsiaTheme="majorEastAsia"/>
          <w:rtl/>
        </w:rPr>
        <w:t>בִּשְׁעָרֶיךָ</w:t>
      </w:r>
      <w:r>
        <w:rPr>
          <w:rtl/>
        </w:rPr>
        <w:t xml:space="preserve"> </w:t>
      </w:r>
      <w:r>
        <w:t xml:space="preserve">(„in deinen Toren") bezeichnet die Leviten, die in den Ortschaften Israels leben (nicht am zentralen Heiligtum). Das Verb </w:t>
      </w:r>
      <w:r>
        <w:rPr>
          <w:rStyle w:val="Fett"/>
          <w:rFonts w:eastAsiaTheme="majorEastAsia"/>
          <w:rtl/>
        </w:rPr>
        <w:t>עזב</w:t>
      </w:r>
      <w:r>
        <w:rPr>
          <w:rtl/>
        </w:rPr>
        <w:t xml:space="preserve"> </w:t>
      </w:r>
      <w:r>
        <w:t>(„verlassen, im Stich lassen") ist stark und bedeutet: nicht vergessen, nicht ausschließen, nicht vernachlässigen (vgl. 12,19).</w:t>
      </w:r>
    </w:p>
    <w:p w14:paraId="672EE0C1" w14:textId="77777777" w:rsidR="00F30413" w:rsidRDefault="00F30413" w:rsidP="00F30413">
      <w:pPr>
        <w:pStyle w:val="whitespace-normal"/>
      </w:pPr>
      <w:r>
        <w:t xml:space="preserve">Die Begründung </w:t>
      </w:r>
      <w:r>
        <w:rPr>
          <w:rStyle w:val="Fett"/>
          <w:rFonts w:eastAsiaTheme="majorEastAsia"/>
          <w:rtl/>
        </w:rPr>
        <w:t>כִּי אֵין לוֹ חֵלֶק וְנַחֲלָה עִמָּךְ</w:t>
      </w:r>
      <w:r>
        <w:rPr>
          <w:rtl/>
        </w:rPr>
        <w:t xml:space="preserve"> </w:t>
      </w:r>
      <w:r>
        <w:t xml:space="preserve">wiederholt die feste Formel über die Leviten (vgl. 10,9; 12,12; 18,1-2; Num 18,20.23-24; Jos 13,14.33; 14,3-4; 18,7): Sie haben keinen Landanteil wie die anderen Stämme. Die Doppelung </w:t>
      </w:r>
      <w:r>
        <w:rPr>
          <w:rStyle w:val="Fett"/>
          <w:rFonts w:eastAsiaTheme="majorEastAsia"/>
          <w:rtl/>
        </w:rPr>
        <w:t>חֵלֶק וְנַחֲלָה</w:t>
      </w:r>
      <w:r>
        <w:rPr>
          <w:rtl/>
        </w:rPr>
        <w:t xml:space="preserve"> </w:t>
      </w:r>
      <w:r>
        <w:t>(„Teil und Erbe") betont: keinerlei Landbesitz.</w:t>
      </w:r>
    </w:p>
    <w:p w14:paraId="0C7135D7" w14:textId="77777777" w:rsidR="00F30413" w:rsidRDefault="00F30413" w:rsidP="00F30413">
      <w:pPr>
        <w:pStyle w:val="whitespace-normal"/>
      </w:pPr>
      <w:r>
        <w:t xml:space="preserve">Die Mahnung ist wichtig im Kontext der Kultzentralisation: Durch die Schließung lokaler Heiligtümer verlieren viele Leviten ihre Lebensgrundlage. Der Zehnte (V. 22-26) und der dreijährliche Zehnte (V. 28-29) sollen ihre Versorgung sichern. Die Voranstellung von </w:t>
      </w:r>
      <w:r>
        <w:rPr>
          <w:rStyle w:val="Fett"/>
          <w:rFonts w:eastAsiaTheme="majorEastAsia"/>
          <w:rtl/>
        </w:rPr>
        <w:t>הַלֵּוִי</w:t>
      </w:r>
      <w:r>
        <w:rPr>
          <w:rtl/>
        </w:rPr>
        <w:t xml:space="preserve"> </w:t>
      </w:r>
      <w:r>
        <w:t>betont: Vergiss den Leviten nicht!</w:t>
      </w:r>
    </w:p>
    <w:p w14:paraId="6E2B37E5" w14:textId="77777777" w:rsidR="00F30413" w:rsidRDefault="00F30413" w:rsidP="00F30413">
      <w:pPr>
        <w:pStyle w:val="whitespace-normal"/>
      </w:pPr>
      <w:r>
        <w:rPr>
          <w:rStyle w:val="Fett"/>
          <w:rFonts w:eastAsiaTheme="majorEastAsia"/>
        </w:rPr>
        <w:t>Die Satzstruktur</w:t>
      </w:r>
      <w:r>
        <w:t xml:space="preserve"> besteht aus einem negativen Imperativsatz und kausaler Begründung: Vorangestelltes direktes Objekt (den Levi, der in deinen Toren ist), Negation (nicht), Prädikat </w:t>
      </w:r>
      <w:r>
        <w:lastRenderedPageBreak/>
        <w:t>mit integriertem direktem Objekt (sollst du ihn verlassen); kausale Begründung (denn nicht gibt es ihm einen Teil und ein Erbe mit dir).</w:t>
      </w:r>
    </w:p>
    <w:p w14:paraId="0B0C2E47" w14:textId="77777777" w:rsidR="00F30413" w:rsidRDefault="00F30413" w:rsidP="00F30413">
      <w:pPr>
        <w:pStyle w:val="whitespace-normal"/>
      </w:pPr>
      <w:r>
        <w:t>Der Vers mahnt eindringlich: Vergiss den Leviten in deiner Stadt nicht beim Festmahl, denn er hat keinen Landbesitz und ist auf deine Fürsorge angewiesen.</w:t>
      </w:r>
    </w:p>
    <w:p w14:paraId="6D58046D" w14:textId="77777777" w:rsidR="00F30413" w:rsidRPr="00F30413" w:rsidRDefault="00F30413" w:rsidP="00F30413">
      <w:pPr>
        <w:pStyle w:val="berschrift1"/>
        <w:rPr>
          <w:rFonts w:ascii="Times New Roman" w:hAnsi="Times New Roman"/>
          <w:color w:val="auto"/>
          <w:sz w:val="36"/>
          <w:szCs w:val="36"/>
        </w:rPr>
      </w:pPr>
      <w:r w:rsidRPr="00F30413">
        <w:rPr>
          <w:rStyle w:val="Fett"/>
          <w:rFonts w:ascii="Times New Roman" w:hAnsi="Times New Roman"/>
          <w:color w:val="auto"/>
          <w:sz w:val="36"/>
          <w:szCs w:val="36"/>
        </w:rPr>
        <w:t>Deuteronomium 14,28</w:t>
      </w:r>
    </w:p>
    <w:p w14:paraId="64AEB0FF" w14:textId="77777777" w:rsidR="00F30413" w:rsidRDefault="00F30413" w:rsidP="00F30413">
      <w:pPr>
        <w:pStyle w:val="whitespace-normal"/>
      </w:pPr>
      <w:r>
        <w:rPr>
          <w:rStyle w:val="Fett"/>
          <w:rFonts w:eastAsiaTheme="majorEastAsia"/>
        </w:rPr>
        <w:t>Hebräisch:</w:t>
      </w:r>
      <w:r>
        <w:t xml:space="preserve"> </w:t>
      </w:r>
      <w:r>
        <w:rPr>
          <w:rtl/>
        </w:rPr>
        <w:t>מִקְצֵ֣ה׀ שָׁלֹ֣שׁ שָׁנִ֗ים תּוֹצִיא֙ אֶת־כָּל־מַעְשַׂר֙ תְּבוּאָ֣תְךָ֔ בַּשָּׁנָ֖ה הַהִ֑וא וְהִנַּחְתָּ֖ בִּשְׁעָרֶֽיךָ׃</w:t>
      </w:r>
    </w:p>
    <w:p w14:paraId="1CC919F4" w14:textId="77777777" w:rsidR="00F30413" w:rsidRDefault="00F30413" w:rsidP="00F30413">
      <w:pPr>
        <w:pStyle w:val="whitespace-normal"/>
      </w:pPr>
      <w:r>
        <w:rPr>
          <w:rStyle w:val="Fett"/>
          <w:rFonts w:eastAsiaTheme="majorEastAsia"/>
        </w:rPr>
        <w:t>Deutsch:</w:t>
      </w:r>
      <w:r>
        <w:t xml:space="preserve"> Am Ende von drei Jahren sollst du allen Zehnten deines Ertrages in jenem Jahr aussondern und ihn in deinen Toren niederlegen.</w:t>
      </w:r>
    </w:p>
    <w:p w14:paraId="69F56E05" w14:textId="77777777" w:rsidR="00F30413" w:rsidRDefault="004F5CEB" w:rsidP="00F30413">
      <w:r>
        <w:rPr>
          <w:noProof/>
        </w:rPr>
        <w:pict w14:anchorId="7DA5E635">
          <v:rect id="_x0000_i1443" style="width:0;height:1.5pt" o:hralign="center" o:hrstd="t" o:hr="t" fillcolor="#a0a0a0" stroked="f"/>
        </w:pict>
      </w:r>
    </w:p>
    <w:p w14:paraId="078AA17E" w14:textId="77777777" w:rsidR="00F30413" w:rsidRDefault="00F30413" w:rsidP="00F30413">
      <w:pPr>
        <w:pStyle w:val="whitespace-normal"/>
      </w:pPr>
      <w:r>
        <w:rPr>
          <w:rStyle w:val="Fett"/>
          <w:rFonts w:eastAsiaTheme="majorEastAsia"/>
        </w:rPr>
        <w:t>Kommentar:</w:t>
      </w:r>
      <w:r>
        <w:t xml:space="preserve"> </w:t>
      </w:r>
      <w:r>
        <w:rPr>
          <w:rStyle w:val="Fett"/>
          <w:rFonts w:eastAsiaTheme="majorEastAsia"/>
          <w:rtl/>
        </w:rPr>
        <w:t>מִקְצֵה שָׁלֹשׁ שָׁנִים תּוֹצִיא אֶת־כָּל־מַעְשַׂר תְּבוּאָתְךָ בַּשָּׁנָה הַהִוא</w:t>
      </w:r>
      <w:r>
        <w:rPr>
          <w:rtl/>
        </w:rPr>
        <w:t xml:space="preserve"> </w:t>
      </w:r>
      <w:r>
        <w:t xml:space="preserve">ist ein Imperativsatz mit temporalen Bestimmungen: </w:t>
      </w:r>
      <w:r>
        <w:rPr>
          <w:rStyle w:val="Fett"/>
          <w:rFonts w:eastAsiaTheme="majorEastAsia"/>
          <w:rtl/>
        </w:rPr>
        <w:t>מִקְצֵה שָׁלֹשׁ שָׁנִים</w:t>
      </w:r>
      <w:r>
        <w:rPr>
          <w:rtl/>
        </w:rPr>
        <w:t xml:space="preserve"> </w:t>
      </w:r>
      <w:r>
        <w:t xml:space="preserve">(Präposition </w:t>
      </w:r>
      <w:r>
        <w:rPr>
          <w:rStyle w:val="Fett"/>
          <w:rFonts w:eastAsiaTheme="majorEastAsia"/>
          <w:rtl/>
        </w:rPr>
        <w:t>מִן</w:t>
      </w:r>
      <w:r>
        <w:t xml:space="preserve">, „von, am", mit </w:t>
      </w:r>
      <w:r>
        <w:rPr>
          <w:rStyle w:val="Fett"/>
          <w:rFonts w:eastAsiaTheme="majorEastAsia"/>
          <w:rtl/>
        </w:rPr>
        <w:t>קָצֶה</w:t>
      </w:r>
      <w:r>
        <w:t xml:space="preserve">, „Ende", Construct mit </w:t>
      </w:r>
      <w:r>
        <w:rPr>
          <w:rStyle w:val="Fett"/>
          <w:rFonts w:eastAsiaTheme="majorEastAsia"/>
          <w:rtl/>
        </w:rPr>
        <w:t>שָׁלֹשׁ</w:t>
      </w:r>
      <w:r>
        <w:t xml:space="preserve">, „drei", und </w:t>
      </w:r>
      <w:r>
        <w:rPr>
          <w:rStyle w:val="Fett"/>
          <w:rFonts w:eastAsiaTheme="majorEastAsia"/>
          <w:rtl/>
        </w:rPr>
        <w:t>שָׁנָה</w:t>
      </w:r>
      <w:r>
        <w:t xml:space="preserve">, „Jahr", Plural, „am Ende von drei Jahren") als temporale Bestimmung, </w:t>
      </w:r>
      <w:r>
        <w:rPr>
          <w:rStyle w:val="Fett"/>
          <w:rFonts w:eastAsiaTheme="majorEastAsia"/>
          <w:rtl/>
        </w:rPr>
        <w:t>תּוֹצִיא</w:t>
      </w:r>
      <w:r>
        <w:rPr>
          <w:rtl/>
        </w:rPr>
        <w:t xml:space="preserve"> </w:t>
      </w:r>
      <w:r>
        <w:t xml:space="preserve">(Hiphil Imperfekt, 2. Person Maskulinum Singular von </w:t>
      </w:r>
      <w:r>
        <w:rPr>
          <w:rStyle w:val="Fett"/>
          <w:rFonts w:eastAsiaTheme="majorEastAsia"/>
          <w:rtl/>
        </w:rPr>
        <w:t>יצא</w:t>
      </w:r>
      <w:r>
        <w:t xml:space="preserve">, „hinausgehen", in der Hiphil-Form „hinausbringen, herausbringen, aussondern"), </w:t>
      </w:r>
      <w:r>
        <w:rPr>
          <w:rStyle w:val="Fett"/>
          <w:rFonts w:eastAsiaTheme="majorEastAsia"/>
          <w:rtl/>
        </w:rPr>
        <w:t>אֶת־כָּל־מַעְשַׂר תְּבוּאָתְךָ</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כֹּל</w:t>
      </w:r>
      <w:r>
        <w:t xml:space="preserve">, „all", im Construct mit </w:t>
      </w:r>
      <w:r>
        <w:rPr>
          <w:rStyle w:val="Fett"/>
          <w:rFonts w:eastAsiaTheme="majorEastAsia"/>
          <w:rtl/>
        </w:rPr>
        <w:t>מַעֲשֵׂר</w:t>
      </w:r>
      <w:r>
        <w:t xml:space="preserve">, „Zehnte", Construct mit </w:t>
      </w:r>
      <w:r>
        <w:rPr>
          <w:rStyle w:val="Fett"/>
          <w:rFonts w:eastAsiaTheme="majorEastAsia"/>
          <w:rtl/>
        </w:rPr>
        <w:t>תְּבוּאָה</w:t>
      </w:r>
      <w:r>
        <w:t xml:space="preserve">, „Ertrag", mit Suffix 2. Person Maskulinum Singular, „allen Zehnten deines Ertrages") als direktes Objekt und </w:t>
      </w:r>
      <w:r>
        <w:rPr>
          <w:rStyle w:val="Fett"/>
          <w:rFonts w:eastAsiaTheme="majorEastAsia"/>
          <w:rtl/>
        </w:rPr>
        <w:t>בַּשָּׁנָה הַהִוא</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שָׁנָה</w:t>
      </w:r>
      <w:r>
        <w:t xml:space="preserve">, „Jahr", mit Artikel und Demonstrativpronomen </w:t>
      </w:r>
      <w:r>
        <w:rPr>
          <w:rStyle w:val="Fett"/>
          <w:rFonts w:eastAsiaTheme="majorEastAsia"/>
          <w:rtl/>
        </w:rPr>
        <w:t>הַהִוא</w:t>
      </w:r>
      <w:r>
        <w:t>, „jenes", „in jenem Jahr") als weitere temporale Bestimmung.</w:t>
      </w:r>
    </w:p>
    <w:p w14:paraId="6C6212EC" w14:textId="77777777" w:rsidR="00F30413" w:rsidRDefault="00F30413" w:rsidP="00F30413">
      <w:pPr>
        <w:pStyle w:val="whitespace-normal"/>
      </w:pPr>
      <w:r>
        <w:rPr>
          <w:rStyle w:val="Fett"/>
          <w:rFonts w:eastAsiaTheme="majorEastAsia"/>
          <w:rtl/>
        </w:rPr>
        <w:t>וְהִנַּחְתָּ בִּשְׁעָרֶיךָ</w:t>
      </w:r>
      <w:r>
        <w:rPr>
          <w:rtl/>
        </w:rPr>
        <w:t xml:space="preserve"> </w:t>
      </w:r>
      <w:r>
        <w:t xml:space="preserve">ist der zweite Imperativsatz: </w:t>
      </w:r>
      <w:r>
        <w:rPr>
          <w:rStyle w:val="Fett"/>
          <w:rFonts w:eastAsiaTheme="majorEastAsia"/>
          <w:rtl/>
        </w:rPr>
        <w:t>וְהִנַּחְתָּ</w:t>
      </w:r>
      <w:r>
        <w:rPr>
          <w:rtl/>
        </w:rPr>
        <w:t xml:space="preserve"> </w:t>
      </w:r>
      <w:r>
        <w:t xml:space="preserve">(Hiphil Perfekt, 2. Person Maskulinum Singular von </w:t>
      </w:r>
      <w:r>
        <w:rPr>
          <w:rStyle w:val="Fett"/>
          <w:rFonts w:eastAsiaTheme="majorEastAsia"/>
          <w:rtl/>
        </w:rPr>
        <w:t>נוח</w:t>
      </w:r>
      <w:r>
        <w:t xml:space="preserve">, „ruhen", in der Hiphil-Form „niederlegen, deponieren", mit </w:t>
      </w:r>
      <w:r>
        <w:rPr>
          <w:rStyle w:val="Fett"/>
          <w:rFonts w:eastAsiaTheme="majorEastAsia"/>
        </w:rPr>
        <w:t>Waw</w:t>
      </w:r>
      <w:r>
        <w:t xml:space="preserve">, imperativisch) und </w:t>
      </w:r>
      <w:r>
        <w:rPr>
          <w:rStyle w:val="Fett"/>
          <w:rFonts w:eastAsiaTheme="majorEastAsia"/>
          <w:rtl/>
        </w:rPr>
        <w:t>בִּשְׁעָרֶיךָ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שַׁעַר</w:t>
      </w:r>
      <w:r>
        <w:t>, „Tor", Plural mit Suffix 2. Person Maskulinum Singular, „in deinen Toren") als lokale Bestimmung.</w:t>
      </w:r>
    </w:p>
    <w:p w14:paraId="097CD1C3" w14:textId="63236072" w:rsidR="00F30413" w:rsidRDefault="00F30413" w:rsidP="00F30413">
      <w:pPr>
        <w:pStyle w:val="whitespace-normal"/>
      </w:pPr>
      <w:r>
        <w:t xml:space="preserve">Der Vers führt einen zweiten Zehnten ein: den dreijährlichen Zehnte. Die Wendung </w:t>
      </w:r>
      <w:r>
        <w:rPr>
          <w:rStyle w:val="Fett"/>
          <w:rFonts w:eastAsiaTheme="majorEastAsia"/>
          <w:rtl/>
        </w:rPr>
        <w:t>מִקְצֵה שָׁלֹשׁ שָׁנִים</w:t>
      </w:r>
      <w:r>
        <w:rPr>
          <w:rtl/>
        </w:rPr>
        <w:t xml:space="preserve"> </w:t>
      </w:r>
      <w:r>
        <w:t xml:space="preserve">(„am Ende von drei Jahren") bedeutet: jedes dritte Jahr (vgl. 15,1; 31,10; </w:t>
      </w:r>
      <w:r w:rsidR="00664EB6">
        <w:t>2Kön</w:t>
      </w:r>
      <w:r>
        <w:t xml:space="preserve"> 18,10). Das Verb </w:t>
      </w:r>
      <w:r>
        <w:rPr>
          <w:rStyle w:val="Fett"/>
          <w:rFonts w:eastAsiaTheme="majorEastAsia"/>
          <w:rtl/>
        </w:rPr>
        <w:t>יצא</w:t>
      </w:r>
      <w:r>
        <w:rPr>
          <w:rtl/>
        </w:rPr>
        <w:t xml:space="preserve"> </w:t>
      </w:r>
      <w:r>
        <w:t>im Hiphil bedeutet hier „aussondern, separieren" – den Zehnten vom übrigen Ertrag trennen.</w:t>
      </w:r>
    </w:p>
    <w:p w14:paraId="1487DA38" w14:textId="77777777" w:rsidR="00F30413" w:rsidRDefault="00F30413" w:rsidP="00F30413">
      <w:pPr>
        <w:pStyle w:val="whitespace-normal"/>
      </w:pPr>
      <w:r>
        <w:t xml:space="preserve">Der Unterschied zum Zehnten aus V. 22-27: Dieser wird nicht zum zentralen Heiligtum gebracht, sondern </w:t>
      </w:r>
      <w:r>
        <w:rPr>
          <w:rStyle w:val="Fett"/>
          <w:rFonts w:eastAsiaTheme="majorEastAsia"/>
          <w:rtl/>
        </w:rPr>
        <w:t>בִּשְׁעָרֶיךָ</w:t>
      </w:r>
      <w:r>
        <w:rPr>
          <w:rtl/>
        </w:rPr>
        <w:t xml:space="preserve"> </w:t>
      </w:r>
      <w:r>
        <w:t xml:space="preserve">(„in deinen Toren") = in der Ortschaft niedergelegt. Die Formulierung </w:t>
      </w:r>
      <w:r>
        <w:rPr>
          <w:rStyle w:val="Fett"/>
          <w:rFonts w:eastAsiaTheme="majorEastAsia"/>
          <w:rtl/>
        </w:rPr>
        <w:t>הנח בשׁערים</w:t>
      </w:r>
      <w:r>
        <w:rPr>
          <w:rtl/>
        </w:rPr>
        <w:t xml:space="preserve"> </w:t>
      </w:r>
      <w:r>
        <w:t>(„niederlegen in den Toren") bezeichnet öffentliches Deponieren am Stadttor, wo die Bedürftigen (V. 29) Zugang haben.</w:t>
      </w:r>
    </w:p>
    <w:p w14:paraId="3ACB488C" w14:textId="4936ED6E" w:rsidR="00F30413" w:rsidRDefault="00F30413" w:rsidP="00F30413">
      <w:pPr>
        <w:pStyle w:val="whitespace-normal"/>
      </w:pPr>
      <w:r>
        <w:t xml:space="preserve">Die zeitliche Bestimmung </w:t>
      </w:r>
      <w:r>
        <w:rPr>
          <w:rStyle w:val="Fett"/>
          <w:rFonts w:eastAsiaTheme="majorEastAsia"/>
          <w:rtl/>
        </w:rPr>
        <w:t>בַּשָּׁנָה הַהִוא</w:t>
      </w:r>
      <w:r>
        <w:rPr>
          <w:rtl/>
        </w:rPr>
        <w:t xml:space="preserve"> </w:t>
      </w:r>
      <w:r>
        <w:t>(„in jenem Jahr") unterstreicht: Es geht um den Ertrag dieses speziellen dritten Jahres. Das Verhältnis zum jährlichen Zehnten (V. 22-27) ist umstritten: Ist dies ein zusätzlicher (vierter) Zehnte? Oder wird im dritten Jahr der Zehnte anders verwendet? Die wahrscheinlichste Lösung: Im dritten Jahr ersetzt der soziale Zehnte (V. 28-29) den Festzehnte (V. 22-27).</w:t>
      </w:r>
    </w:p>
    <w:p w14:paraId="6BEFAFD6" w14:textId="77777777" w:rsidR="00A93C3C" w:rsidRPr="00A93C3C" w:rsidRDefault="00A93C3C" w:rsidP="00A93C3C">
      <w:pPr>
        <w:spacing w:before="100" w:beforeAutospacing="1" w:after="100" w:afterAutospacing="1" w:line="240" w:lineRule="auto"/>
        <w:outlineLvl w:val="1"/>
        <w:rPr>
          <w:rFonts w:eastAsia="Times New Roman"/>
          <w:b/>
          <w:bCs/>
          <w:sz w:val="36"/>
          <w:szCs w:val="36"/>
          <w:lang w:eastAsia="de-DE"/>
        </w:rPr>
      </w:pPr>
      <w:r w:rsidRPr="00A93C3C">
        <w:rPr>
          <w:rFonts w:eastAsia="Times New Roman"/>
          <w:b/>
          <w:bCs/>
          <w:sz w:val="36"/>
          <w:szCs w:val="36"/>
          <w:lang w:eastAsia="de-DE"/>
        </w:rPr>
        <w:t>Vers 28-29 (MT) / Vers 27-28 (LXX)</w:t>
      </w:r>
    </w:p>
    <w:p w14:paraId="5B3F7026" w14:textId="1C56DF95" w:rsidR="00A93C3C" w:rsidRPr="00A93C3C" w:rsidRDefault="00A93C3C" w:rsidP="00A93C3C">
      <w:pPr>
        <w:spacing w:before="100" w:beforeAutospacing="1" w:after="100" w:afterAutospacing="1" w:line="240" w:lineRule="auto"/>
        <w:rPr>
          <w:rFonts w:eastAsia="Times New Roman"/>
          <w:lang w:eastAsia="de-DE"/>
        </w:rPr>
      </w:pPr>
      <w:r w:rsidRPr="00A93C3C">
        <w:rPr>
          <w:rFonts w:eastAsia="Times New Roman"/>
          <w:b/>
          <w:bCs/>
          <w:lang w:eastAsia="de-DE"/>
        </w:rPr>
        <w:lastRenderedPageBreak/>
        <w:t>Die LXX</w:t>
      </w:r>
      <w:r w:rsidRPr="00A93C3C">
        <w:rPr>
          <w:rFonts w:eastAsia="Times New Roman"/>
          <w:lang w:eastAsia="de-DE"/>
        </w:rPr>
        <w:t xml:space="preserve"> verwendet </w:t>
      </w:r>
      <w:proofErr w:type="spellStart"/>
      <w:r w:rsidRPr="00A93C3C">
        <w:rPr>
          <w:rFonts w:eastAsia="Times New Roman"/>
          <w:lang w:eastAsia="de-DE"/>
        </w:rPr>
        <w:t>Μετὰ</w:t>
      </w:r>
      <w:proofErr w:type="spellEnd"/>
      <w:r w:rsidRPr="00A93C3C">
        <w:rPr>
          <w:rFonts w:eastAsia="Times New Roman"/>
          <w:lang w:eastAsia="de-DE"/>
        </w:rPr>
        <w:t xml:space="preserve"> </w:t>
      </w:r>
      <w:proofErr w:type="spellStart"/>
      <w:r w:rsidRPr="00A93C3C">
        <w:rPr>
          <w:rFonts w:eastAsia="Times New Roman"/>
          <w:lang w:eastAsia="de-DE"/>
        </w:rPr>
        <w:t>τρί</w:t>
      </w:r>
      <w:proofErr w:type="spellEnd"/>
      <w:r w:rsidRPr="00A93C3C">
        <w:rPr>
          <w:rFonts w:eastAsia="Times New Roman"/>
          <w:lang w:eastAsia="de-DE"/>
        </w:rPr>
        <w:t xml:space="preserve">α </w:t>
      </w:r>
      <w:proofErr w:type="spellStart"/>
      <w:r w:rsidRPr="00A93C3C">
        <w:rPr>
          <w:rFonts w:eastAsia="Times New Roman"/>
          <w:lang w:eastAsia="de-DE"/>
        </w:rPr>
        <w:t>ἔτη</w:t>
      </w:r>
      <w:proofErr w:type="spellEnd"/>
      <w:r w:rsidRPr="00A93C3C">
        <w:rPr>
          <w:rFonts w:eastAsia="Times New Roman"/>
          <w:lang w:eastAsia="de-DE"/>
        </w:rPr>
        <w:t xml:space="preserve"> (nach drei Jahren) für </w:t>
      </w:r>
      <w:r w:rsidRPr="00A93C3C">
        <w:rPr>
          <w:rFonts w:eastAsia="Times New Roman"/>
          <w:rtl/>
          <w:lang w:eastAsia="de-DE"/>
        </w:rPr>
        <w:t>מִקְצֵה שָׁלֹשׁ שָׁנִים</w:t>
      </w:r>
      <w:r w:rsidRPr="00A93C3C">
        <w:rPr>
          <w:rFonts w:eastAsia="Times New Roman"/>
          <w:lang w:eastAsia="de-DE"/>
        </w:rPr>
        <w:t xml:space="preserve"> (am Ende von drei Jahren) – eine vereinfachende Zeitangabe. In Vers 28 (LXX) erscheint ὁ </w:t>
      </w:r>
      <w:proofErr w:type="spellStart"/>
      <w:r w:rsidRPr="00A93C3C">
        <w:rPr>
          <w:rFonts w:eastAsia="Times New Roman"/>
          <w:lang w:eastAsia="de-DE"/>
        </w:rPr>
        <w:t>Λευείτης</w:t>
      </w:r>
      <w:proofErr w:type="spellEnd"/>
      <w:r w:rsidRPr="00A93C3C">
        <w:rPr>
          <w:rFonts w:eastAsia="Times New Roman"/>
          <w:lang w:eastAsia="de-DE"/>
        </w:rPr>
        <w:t xml:space="preserve"> (mit </w:t>
      </w:r>
      <w:proofErr w:type="spellStart"/>
      <w:r w:rsidRPr="00A93C3C">
        <w:rPr>
          <w:rFonts w:eastAsia="Times New Roman"/>
          <w:lang w:eastAsia="de-DE"/>
        </w:rPr>
        <w:t>ει</w:t>
      </w:r>
      <w:proofErr w:type="spellEnd"/>
      <w:r w:rsidRPr="00A93C3C">
        <w:rPr>
          <w:rFonts w:eastAsia="Times New Roman"/>
          <w:lang w:eastAsia="de-DE"/>
        </w:rPr>
        <w:t xml:space="preserve">-Schreibung) statt des üblicheren </w:t>
      </w:r>
      <w:proofErr w:type="spellStart"/>
      <w:r w:rsidRPr="00A93C3C">
        <w:rPr>
          <w:rFonts w:eastAsia="Times New Roman"/>
          <w:lang w:eastAsia="de-DE"/>
        </w:rPr>
        <w:t>Λευίτης</w:t>
      </w:r>
      <w:proofErr w:type="spellEnd"/>
      <w:r w:rsidRPr="00A93C3C">
        <w:rPr>
          <w:rFonts w:eastAsia="Times New Roman"/>
          <w:lang w:eastAsia="de-DE"/>
        </w:rPr>
        <w:t>.</w:t>
      </w:r>
    </w:p>
    <w:p w14:paraId="23AAF129" w14:textId="77777777" w:rsidR="00F30413" w:rsidRDefault="00F30413" w:rsidP="00F30413">
      <w:pPr>
        <w:pStyle w:val="whitespace-normal"/>
      </w:pPr>
      <w:r>
        <w:rPr>
          <w:rStyle w:val="Fett"/>
          <w:rFonts w:eastAsiaTheme="majorEastAsia"/>
        </w:rPr>
        <w:t>Die Satzstruktur</w:t>
      </w:r>
      <w:r>
        <w:t xml:space="preserve"> besteht aus zwei koordinierten Imperativen: Erster Imperativ mit temporaler Bestimmung (am Ende von drei Jahren), Prädikat (sollst du aussondern), direktes Objekt (allen Zehnten deines Ertrages), weitere temporale Bestimmung (in jenem Jahr); zweiter Imperativ (sollst niederlegen), lokale Bestimmung (in deinen Toren).</w:t>
      </w:r>
    </w:p>
    <w:p w14:paraId="6FF2849D" w14:textId="77777777" w:rsidR="00F30413" w:rsidRDefault="00F30413" w:rsidP="00F30413">
      <w:pPr>
        <w:pStyle w:val="whitespace-normal"/>
      </w:pPr>
      <w:r>
        <w:t>Der Vers fordert: Jedes dritte Jahr soll der Zehnte des Ertrags ausgesondert und in der Ortschaft niedergelegt werden – nicht zum Heiligtum gebracht, sondern vor Ort deponiert.</w:t>
      </w:r>
    </w:p>
    <w:p w14:paraId="45D66941" w14:textId="77777777" w:rsidR="00F30413" w:rsidRPr="00F30413" w:rsidRDefault="00F30413" w:rsidP="00F30413">
      <w:pPr>
        <w:pStyle w:val="berschrift1"/>
        <w:rPr>
          <w:rFonts w:ascii="Times New Roman" w:hAnsi="Times New Roman"/>
          <w:color w:val="auto"/>
          <w:sz w:val="36"/>
          <w:szCs w:val="36"/>
        </w:rPr>
      </w:pPr>
      <w:r w:rsidRPr="00F30413">
        <w:rPr>
          <w:rStyle w:val="Fett"/>
          <w:rFonts w:ascii="Times New Roman" w:hAnsi="Times New Roman"/>
          <w:color w:val="auto"/>
          <w:sz w:val="36"/>
          <w:szCs w:val="36"/>
        </w:rPr>
        <w:t>Deuteronomium 14,29</w:t>
      </w:r>
    </w:p>
    <w:p w14:paraId="4D90C3F2" w14:textId="77777777" w:rsidR="00F30413" w:rsidRDefault="00F30413" w:rsidP="00F30413">
      <w:pPr>
        <w:pStyle w:val="whitespace-normal"/>
      </w:pPr>
      <w:r>
        <w:rPr>
          <w:rStyle w:val="Fett"/>
          <w:rFonts w:eastAsiaTheme="majorEastAsia"/>
        </w:rPr>
        <w:t>Hebräisch:</w:t>
      </w:r>
      <w:r>
        <w:t xml:space="preserve"> </w:t>
      </w:r>
      <w:r>
        <w:rPr>
          <w:rtl/>
        </w:rPr>
        <w:t>וּבָ֣א הַלֵּוִ֡י כִּ֣י אֵֽין־לוֹ֩ חֵ֨לֶק וְנַחֲלָ֜ה עִמָּ֗ךְ וְ֠הַגֵּר וְהַיָּת֤וֹם וְהָֽאַלְמָנָה֙ אֲשֶׁ֣ר בִּשְׁעָרֶ֔יךָ וְאָכְל֖וּ וְשָׂבֵ֑עוּ לְמַ֤עַן יְבָרֶכְךָ֙ יְהוָ֣ה אֱלֹהֶ֔יךָ בְּכָל־מַעֲשֵׂ֥ה יָדְךָ֖ אֲשֶׁ֥ר תַּעֲשֶֽׂה׃</w:t>
      </w:r>
    </w:p>
    <w:p w14:paraId="45B9F2E1" w14:textId="77777777" w:rsidR="00F30413" w:rsidRDefault="00F30413" w:rsidP="00F30413">
      <w:pPr>
        <w:pStyle w:val="whitespace-normal"/>
      </w:pPr>
      <w:r>
        <w:rPr>
          <w:rStyle w:val="Fett"/>
          <w:rFonts w:eastAsiaTheme="majorEastAsia"/>
        </w:rPr>
        <w:t>Deutsch:</w:t>
      </w:r>
      <w:r>
        <w:t xml:space="preserve"> Und der Levi – denn er hat keinen Teil noch Erbe mit dir – und der Fremde und die Waise und die Witwe, die in deinen Toren sind, sollen kommen und essen und sich sättigen; damit der Ewige, dein Gott, dich segne in allem Werk deiner Hand, das du tust.</w:t>
      </w:r>
    </w:p>
    <w:p w14:paraId="09A78506" w14:textId="77777777" w:rsidR="00F30413" w:rsidRDefault="004F5CEB" w:rsidP="00F30413">
      <w:r>
        <w:rPr>
          <w:noProof/>
        </w:rPr>
        <w:pict w14:anchorId="607D8693">
          <v:rect id="_x0000_i1444" style="width:0;height:1.5pt" o:hralign="center" o:hrstd="t" o:hr="t" fillcolor="#a0a0a0" stroked="f"/>
        </w:pict>
      </w:r>
    </w:p>
    <w:p w14:paraId="7AA6DE24" w14:textId="77777777" w:rsidR="00F30413" w:rsidRDefault="00F30413" w:rsidP="00F30413">
      <w:pPr>
        <w:pStyle w:val="whitespace-normal"/>
      </w:pPr>
      <w:r>
        <w:rPr>
          <w:rStyle w:val="Fett"/>
          <w:rFonts w:eastAsiaTheme="majorEastAsia"/>
        </w:rPr>
        <w:t>Kommentar:</w:t>
      </w:r>
      <w:r>
        <w:t xml:space="preserve"> </w:t>
      </w:r>
      <w:r>
        <w:rPr>
          <w:rStyle w:val="Fett"/>
          <w:rFonts w:eastAsiaTheme="majorEastAsia"/>
          <w:rtl/>
        </w:rPr>
        <w:t>וּבָא הַלֵּוִי כִּי אֵין־לוֹ חֵלֶק וְנַחֲלָה עִמָּךְ וְהַגֵּר וְהַיָּתוֹם וְהָאַלְמָנָה אֲשֶׁר בִּשְׁעָרֶיךָ וְאָכְלוּ וְשָׂבֵעוּ</w:t>
      </w:r>
      <w:r>
        <w:rPr>
          <w:rtl/>
        </w:rPr>
        <w:t xml:space="preserve"> </w:t>
      </w:r>
      <w:r>
        <w:t xml:space="preserve">ist ein komplexer Satz mit mehrgliedrigem Subjekt: </w:t>
      </w:r>
      <w:r>
        <w:rPr>
          <w:rStyle w:val="Fett"/>
          <w:rFonts w:eastAsiaTheme="majorEastAsia"/>
          <w:rtl/>
        </w:rPr>
        <w:t>וּבָא</w:t>
      </w:r>
      <w:r>
        <w:rPr>
          <w:rtl/>
        </w:rPr>
        <w:t xml:space="preserve"> </w:t>
      </w:r>
      <w:r>
        <w:t xml:space="preserve">(Qal Perfekt, 3. Person Maskulinum Singular von </w:t>
      </w:r>
      <w:r>
        <w:rPr>
          <w:rStyle w:val="Fett"/>
          <w:rFonts w:eastAsiaTheme="majorEastAsia"/>
          <w:rtl/>
        </w:rPr>
        <w:t>בוא</w:t>
      </w:r>
      <w:r>
        <w:t xml:space="preserve">, „kommen", mit </w:t>
      </w:r>
      <w:r>
        <w:rPr>
          <w:rStyle w:val="Fett"/>
          <w:rFonts w:eastAsiaTheme="majorEastAsia"/>
        </w:rPr>
        <w:t>Waw</w:t>
      </w:r>
      <w:r>
        <w:t xml:space="preserve"> consecutives Perfekt), </w:t>
      </w:r>
      <w:r>
        <w:rPr>
          <w:rStyle w:val="Fett"/>
          <w:rFonts w:eastAsiaTheme="majorEastAsia"/>
          <w:rtl/>
        </w:rPr>
        <w:t>הַלֵּוִי</w:t>
      </w:r>
      <w:r>
        <w:rPr>
          <w:rtl/>
        </w:rPr>
        <w:t xml:space="preserve"> </w:t>
      </w:r>
      <w:r>
        <w:t>(</w:t>
      </w:r>
      <w:r>
        <w:rPr>
          <w:rStyle w:val="Fett"/>
          <w:rFonts w:eastAsiaTheme="majorEastAsia"/>
          <w:rtl/>
        </w:rPr>
        <w:t>לֵוִי</w:t>
      </w:r>
      <w:r>
        <w:t xml:space="preserve">, „Levit", mit Artikel) als erstes Subjekt, </w:t>
      </w:r>
      <w:r>
        <w:rPr>
          <w:rStyle w:val="Fett"/>
          <w:rFonts w:eastAsiaTheme="majorEastAsia"/>
          <w:rtl/>
        </w:rPr>
        <w:t>כִּי אֵין־לוֹ חֵלֶק וְנַחֲלָה עִמָּךְ</w:t>
      </w:r>
      <w:r>
        <w:rPr>
          <w:rtl/>
        </w:rPr>
        <w:t xml:space="preserve"> </w:t>
      </w:r>
      <w:r>
        <w:t xml:space="preserve">(eingefügter kausaler Satz, identisch mit V. 27), </w:t>
      </w:r>
      <w:r>
        <w:rPr>
          <w:rStyle w:val="Fett"/>
          <w:rFonts w:eastAsiaTheme="majorEastAsia"/>
          <w:rtl/>
        </w:rPr>
        <w:t>וְהַגֵּר</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גֵּר</w:t>
      </w:r>
      <w:r>
        <w:t xml:space="preserve">, „Fremder, Beisasse", mit Artikel), </w:t>
      </w:r>
      <w:r>
        <w:rPr>
          <w:rStyle w:val="Fett"/>
          <w:rFonts w:eastAsiaTheme="majorEastAsia"/>
          <w:rtl/>
        </w:rPr>
        <w:t>וְהַיָּתוֹם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יָתוֹם</w:t>
      </w:r>
      <w:r>
        <w:t xml:space="preserve">, „Waise, Waisenkind", mit Artikel), </w:t>
      </w:r>
      <w:r>
        <w:rPr>
          <w:rStyle w:val="Fett"/>
          <w:rFonts w:eastAsiaTheme="majorEastAsia"/>
          <w:rtl/>
        </w:rPr>
        <w:t>וְהָאַלְמָנָה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אַלְמָנָה</w:t>
      </w:r>
      <w:r>
        <w:t xml:space="preserve">, „Witwe", mit Artikel), </w:t>
      </w:r>
      <w:r>
        <w:rPr>
          <w:rStyle w:val="Fett"/>
          <w:rFonts w:eastAsiaTheme="majorEastAsia"/>
          <w:rtl/>
        </w:rPr>
        <w:t>אֲשֶׁר בִּשְׁעָרֶיךָ</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בִּשְׁעָרֶיךָ</w:t>
      </w:r>
      <w:r>
        <w:t xml:space="preserve">, Präposition </w:t>
      </w:r>
      <w:r>
        <w:rPr>
          <w:rStyle w:val="Fett"/>
          <w:rFonts w:eastAsiaTheme="majorEastAsia"/>
          <w:rtl/>
        </w:rPr>
        <w:t>בְּ</w:t>
      </w:r>
      <w:r>
        <w:rPr>
          <w:rtl/>
        </w:rPr>
        <w:t xml:space="preserve"> </w:t>
      </w:r>
      <w:r>
        <w:t xml:space="preserve">mit </w:t>
      </w:r>
      <w:r>
        <w:rPr>
          <w:rStyle w:val="Fett"/>
          <w:rFonts w:eastAsiaTheme="majorEastAsia"/>
          <w:rtl/>
        </w:rPr>
        <w:t>שַׁעַר</w:t>
      </w:r>
      <w:r>
        <w:t xml:space="preserve">, Plural mit Suffix 2. Person Maskulinum Singular), </w:t>
      </w:r>
      <w:r>
        <w:rPr>
          <w:rStyle w:val="Fett"/>
          <w:rFonts w:eastAsiaTheme="majorEastAsia"/>
          <w:rtl/>
        </w:rPr>
        <w:t>וְאָכְלוּ</w:t>
      </w:r>
      <w:r>
        <w:rPr>
          <w:rtl/>
        </w:rPr>
        <w:t xml:space="preserve"> </w:t>
      </w:r>
      <w:r>
        <w:t xml:space="preserve">(Qal Perfekt, 3. Person Plural von </w:t>
      </w:r>
      <w:r>
        <w:rPr>
          <w:rStyle w:val="Fett"/>
          <w:rFonts w:eastAsiaTheme="majorEastAsia"/>
          <w:rtl/>
        </w:rPr>
        <w:t>אכל</w:t>
      </w:r>
      <w:r>
        <w:t xml:space="preserve">, „essen", mit </w:t>
      </w:r>
      <w:r>
        <w:rPr>
          <w:rStyle w:val="Fett"/>
          <w:rFonts w:eastAsiaTheme="majorEastAsia"/>
        </w:rPr>
        <w:t>Waw</w:t>
      </w:r>
      <w:r>
        <w:t xml:space="preserve"> consecutives Perfekt) und </w:t>
      </w:r>
      <w:r>
        <w:rPr>
          <w:rStyle w:val="Fett"/>
          <w:rFonts w:eastAsiaTheme="majorEastAsia"/>
          <w:rtl/>
        </w:rPr>
        <w:t>וְשָׂבֵעוּ</w:t>
      </w:r>
      <w:r>
        <w:rPr>
          <w:rtl/>
        </w:rPr>
        <w:t xml:space="preserve"> </w:t>
      </w:r>
      <w:r>
        <w:t xml:space="preserve">(Qal Perfekt, 3. Person Plural von </w:t>
      </w:r>
      <w:r>
        <w:rPr>
          <w:rStyle w:val="Fett"/>
          <w:rFonts w:eastAsiaTheme="majorEastAsia"/>
          <w:rtl/>
        </w:rPr>
        <w:t>שׂבע</w:t>
      </w:r>
      <w:r>
        <w:t xml:space="preserve">, „satt sein, sich sättigen", mit </w:t>
      </w:r>
      <w:r>
        <w:rPr>
          <w:rStyle w:val="Fett"/>
          <w:rFonts w:eastAsiaTheme="majorEastAsia"/>
        </w:rPr>
        <w:t>Waw</w:t>
      </w:r>
      <w:r>
        <w:t xml:space="preserve"> consecutives Perfekt).</w:t>
      </w:r>
    </w:p>
    <w:p w14:paraId="6EA4F64C" w14:textId="77777777" w:rsidR="00F30413" w:rsidRDefault="00F30413" w:rsidP="00F30413">
      <w:pPr>
        <w:pStyle w:val="whitespace-normal"/>
      </w:pPr>
      <w:r>
        <w:rPr>
          <w:rStyle w:val="Fett"/>
          <w:rFonts w:eastAsiaTheme="majorEastAsia"/>
          <w:rtl/>
        </w:rPr>
        <w:t>לְמַעַן יְבָרֶכְךָ יְהוָה אֱלֹהֶיךָ בְּכָל־מַעֲשֵׂה יָדְךָ אֲשֶׁר תַּעֲשֶׂה</w:t>
      </w:r>
      <w:r>
        <w:rPr>
          <w:rtl/>
        </w:rPr>
        <w:t xml:space="preserve"> </w:t>
      </w:r>
      <w:r>
        <w:t xml:space="preserve">ist eine finale Bestimmung: </w:t>
      </w:r>
      <w:r>
        <w:rPr>
          <w:rStyle w:val="Fett"/>
          <w:rFonts w:eastAsiaTheme="majorEastAsia"/>
          <w:rtl/>
        </w:rPr>
        <w:t>לְמַעַן</w:t>
      </w:r>
      <w:r>
        <w:rPr>
          <w:rtl/>
        </w:rPr>
        <w:t xml:space="preserve"> </w:t>
      </w:r>
      <w:r>
        <w:t xml:space="preserve">(„damit, auf dass") als finale Konjunktion, </w:t>
      </w:r>
      <w:r>
        <w:rPr>
          <w:rStyle w:val="Fett"/>
          <w:rFonts w:eastAsiaTheme="majorEastAsia"/>
          <w:rtl/>
        </w:rPr>
        <w:t>יְבָרֶכְךָ</w:t>
      </w:r>
      <w:r>
        <w:rPr>
          <w:rtl/>
        </w:rPr>
        <w:t xml:space="preserve"> </w:t>
      </w:r>
      <w:r>
        <w:t xml:space="preserve">(Piel Imperfekt, 3. Person Maskulinum Singular von </w:t>
      </w:r>
      <w:r>
        <w:rPr>
          <w:rStyle w:val="Fett"/>
          <w:rFonts w:eastAsiaTheme="majorEastAsia"/>
          <w:rtl/>
        </w:rPr>
        <w:t>ברך</w:t>
      </w:r>
      <w:r>
        <w:t xml:space="preserve">, „segnen", mit Suffix 2. Person Maskulinum Singular als direktes Objekt), </w:t>
      </w:r>
      <w:r>
        <w:rPr>
          <w:rStyle w:val="Fett"/>
          <w:rFonts w:eastAsiaTheme="majorEastAsia"/>
          <w:rtl/>
        </w:rPr>
        <w:t>יְהוָה אֱלֹהֶיךָ</w:t>
      </w:r>
      <w:r>
        <w:rPr>
          <w:rtl/>
        </w:rPr>
        <w:t xml:space="preserve"> </w:t>
      </w:r>
      <w:r>
        <w:t xml:space="preserve">als Subjekt, </w:t>
      </w:r>
      <w:r>
        <w:rPr>
          <w:rStyle w:val="Fett"/>
          <w:rFonts w:eastAsiaTheme="majorEastAsia"/>
          <w:rtl/>
        </w:rPr>
        <w:t>בְּכָל־מַעֲשֵׂה יָדְךָ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כֹּל</w:t>
      </w:r>
      <w:r>
        <w:t xml:space="preserve">, „all", im Construct mit </w:t>
      </w:r>
      <w:r>
        <w:rPr>
          <w:rStyle w:val="Fett"/>
          <w:rFonts w:eastAsiaTheme="majorEastAsia"/>
          <w:rtl/>
        </w:rPr>
        <w:t>מַעֲשֶׂה</w:t>
      </w:r>
      <w:r>
        <w:t xml:space="preserve">, „Werk, Tat", Construct mit </w:t>
      </w:r>
      <w:r>
        <w:rPr>
          <w:rStyle w:val="Fett"/>
          <w:rFonts w:eastAsiaTheme="majorEastAsia"/>
          <w:rtl/>
        </w:rPr>
        <w:t>יָד</w:t>
      </w:r>
      <w:r>
        <w:t xml:space="preserve">, „Hand", mit Suffix 2. Person Maskulinum Singular, „in allem Werk deiner Hand") als Bereichsangabe und </w:t>
      </w:r>
      <w:r>
        <w:rPr>
          <w:rStyle w:val="Fett"/>
          <w:rFonts w:eastAsiaTheme="majorEastAsia"/>
          <w:rtl/>
        </w:rPr>
        <w:t>אֲשֶׁר תַּעֲשֶׂה</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תַּעֲשֶׂה</w:t>
      </w:r>
      <w:r>
        <w:t xml:space="preserve">, Qal Imperfekt, 2. Person Maskulinum Singular von </w:t>
      </w:r>
      <w:r>
        <w:rPr>
          <w:rStyle w:val="Fett"/>
          <w:rFonts w:eastAsiaTheme="majorEastAsia"/>
          <w:rtl/>
        </w:rPr>
        <w:t>עשׂה</w:t>
      </w:r>
      <w:r>
        <w:t>, „tun", „</w:t>
      </w:r>
      <w:proofErr w:type="spellStart"/>
      <w:r>
        <w:t>das</w:t>
      </w:r>
      <w:proofErr w:type="spellEnd"/>
      <w:r>
        <w:t xml:space="preserve"> du tust").</w:t>
      </w:r>
    </w:p>
    <w:p w14:paraId="4989BF1D" w14:textId="77777777" w:rsidR="00F30413" w:rsidRDefault="00F30413" w:rsidP="00F30413">
      <w:pPr>
        <w:pStyle w:val="whitespace-normal"/>
      </w:pPr>
      <w:r>
        <w:t xml:space="preserve">Der Vers nennt vier Gruppen von Bedürftigen, die vom dreijährlichen Zehnten essen sollen: (1) der Levit (mit Begründung), (2) der </w:t>
      </w:r>
      <w:r>
        <w:rPr>
          <w:rStyle w:val="Fett"/>
          <w:rFonts w:eastAsiaTheme="majorEastAsia"/>
          <w:rtl/>
        </w:rPr>
        <w:t>גֵּר</w:t>
      </w:r>
      <w:r>
        <w:rPr>
          <w:rtl/>
        </w:rPr>
        <w:t xml:space="preserve"> </w:t>
      </w:r>
      <w:r>
        <w:t xml:space="preserve">(ansässiger Fremder), (3) die </w:t>
      </w:r>
      <w:r>
        <w:rPr>
          <w:rStyle w:val="Fett"/>
          <w:rFonts w:eastAsiaTheme="majorEastAsia"/>
          <w:rtl/>
        </w:rPr>
        <w:t>יָתוֹם</w:t>
      </w:r>
      <w:r>
        <w:rPr>
          <w:rtl/>
        </w:rPr>
        <w:t xml:space="preserve"> </w:t>
      </w:r>
      <w:r>
        <w:t xml:space="preserve">(Waise, vaterlose Kinder), (4) die </w:t>
      </w:r>
      <w:r>
        <w:rPr>
          <w:rStyle w:val="Fett"/>
          <w:rFonts w:eastAsiaTheme="majorEastAsia"/>
          <w:rtl/>
        </w:rPr>
        <w:t>אַלְמָנָה</w:t>
      </w:r>
      <w:r>
        <w:rPr>
          <w:rtl/>
        </w:rPr>
        <w:t xml:space="preserve"> </w:t>
      </w:r>
      <w:r>
        <w:t xml:space="preserve">(Witwe). Diese Trias </w:t>
      </w:r>
      <w:r>
        <w:rPr>
          <w:rStyle w:val="Fett"/>
          <w:rFonts w:eastAsiaTheme="majorEastAsia"/>
          <w:rtl/>
        </w:rPr>
        <w:t>גֵּר, יָתוֹם, אַלְמָנָה</w:t>
      </w:r>
      <w:r>
        <w:rPr>
          <w:rtl/>
        </w:rPr>
        <w:t xml:space="preserve"> </w:t>
      </w:r>
      <w:r>
        <w:t>erscheint häufig im Deuteronomium als Inbegriff der Schutzbedürftigen (vgl. 10,18; 16,11.14; 24,17.19.20.21; 26,12.13; 27,19).</w:t>
      </w:r>
    </w:p>
    <w:p w14:paraId="44759EF7" w14:textId="77777777" w:rsidR="00F30413" w:rsidRDefault="00F30413" w:rsidP="00F30413">
      <w:pPr>
        <w:pStyle w:val="whitespace-normal"/>
      </w:pPr>
      <w:r>
        <w:lastRenderedPageBreak/>
        <w:t xml:space="preserve">Die beiden Verben </w:t>
      </w:r>
      <w:r>
        <w:rPr>
          <w:rStyle w:val="Fett"/>
          <w:rFonts w:eastAsiaTheme="majorEastAsia"/>
          <w:rtl/>
        </w:rPr>
        <w:t>אָכְלוּ וְשָׂבֵעוּ</w:t>
      </w:r>
      <w:r>
        <w:rPr>
          <w:rtl/>
        </w:rPr>
        <w:t xml:space="preserve"> </w:t>
      </w:r>
      <w:r>
        <w:t xml:space="preserve">(„essen und sich sättigen") betonen: nicht nur minimale Versorgung, sondern Sättigung (vgl. 6,11; 8,10.12; 11,15; 31,20). Die Wendung </w:t>
      </w:r>
      <w:r>
        <w:rPr>
          <w:rStyle w:val="Fett"/>
          <w:rFonts w:eastAsiaTheme="majorEastAsia"/>
          <w:rtl/>
        </w:rPr>
        <w:t>מַעֲשֵׂה יָדְךָ</w:t>
      </w:r>
      <w:r>
        <w:rPr>
          <w:rtl/>
        </w:rPr>
        <w:t xml:space="preserve"> </w:t>
      </w:r>
      <w:r>
        <w:t>(„Werk deiner Hand") bezeichnet die Arbeit und deren Ertrag. Die finale Segensverheißung motiviert die Fürsorge: Wer für die Bedürftigen sorgt, wird von JHWH gesegnet.</w:t>
      </w:r>
    </w:p>
    <w:p w14:paraId="6F6044FE" w14:textId="77777777" w:rsidR="00F30413" w:rsidRDefault="00F30413" w:rsidP="00F30413">
      <w:pPr>
        <w:pStyle w:val="whitespace-normal"/>
      </w:pPr>
      <w:r>
        <w:t xml:space="preserve">Die Struktur ist bemerkenswert: Der eingefügte kausale Satz </w:t>
      </w:r>
      <w:r>
        <w:rPr>
          <w:rStyle w:val="Fett"/>
          <w:rFonts w:eastAsiaTheme="majorEastAsia"/>
          <w:rtl/>
        </w:rPr>
        <w:t>כִּי אֵין־לוֹ חֵלֶק וְנַחֲלָה עִמָּךְ</w:t>
      </w:r>
      <w:r>
        <w:rPr>
          <w:rtl/>
        </w:rPr>
        <w:t xml:space="preserve"> </w:t>
      </w:r>
      <w:r>
        <w:t>unterbricht die Aufzählung und hebt die besondere Situation der Leviten hervor.</w:t>
      </w:r>
    </w:p>
    <w:p w14:paraId="5B43A741" w14:textId="77777777" w:rsidR="00F30413" w:rsidRDefault="00F30413" w:rsidP="00F30413">
      <w:pPr>
        <w:pStyle w:val="whitespace-normal"/>
      </w:pPr>
      <w:r>
        <w:rPr>
          <w:rStyle w:val="Fett"/>
          <w:rFonts w:eastAsiaTheme="majorEastAsia"/>
        </w:rPr>
        <w:t>Die Satzstruktur</w:t>
      </w:r>
      <w:r>
        <w:t xml:space="preserve"> besteht aus einem Satz mit viergliedrigem Subjekt, eingefügtem kausalem Satz, zwei koordinierten Prädikaten und finaler Bestimmung: Prädikat (soll kommen), erstes Subjekt (der Levit), eingefügter kausaler Satz (denn nicht hat er einen Teil und ein Erbe mit dir), zweites bis viertes Subjekt (der Fremde, die Waise, die Witwe), Relativsatz (die in deinen Toren sind), zweites Prädikat (essen), drittes Prädikat (sich sättigen); finale Bestimmung (damit segne dich JHWH, dein Gott), Bereichsangabe (in allem Werk deiner Hand), Relativsatz (das du tust).</w:t>
      </w:r>
    </w:p>
    <w:p w14:paraId="4D744081" w14:textId="77777777" w:rsidR="00F30413" w:rsidRDefault="00F30413" w:rsidP="00F30413">
      <w:pPr>
        <w:pStyle w:val="whitespace-normal"/>
      </w:pPr>
      <w:r>
        <w:t>Der Vers nennt die vier Gruppen von Bedürftigen, die vom dreijährlichen Zehnten essen sollen – Levit, Fremder, Waise, Witwe –, damit sie sich sättigen, und verheißt dafür JHWHs Segen über alle Arbeit.</w:t>
      </w:r>
    </w:p>
    <w:p w14:paraId="6BF6235B" w14:textId="77777777" w:rsidR="00F30413" w:rsidRPr="00F30413" w:rsidRDefault="00F30413" w:rsidP="00F30413">
      <w:pPr>
        <w:pStyle w:val="berschrift1"/>
        <w:rPr>
          <w:rFonts w:ascii="Times New Roman" w:hAnsi="Times New Roman"/>
          <w:color w:val="auto"/>
          <w:sz w:val="36"/>
          <w:szCs w:val="36"/>
        </w:rPr>
      </w:pPr>
      <w:r w:rsidRPr="00F30413">
        <w:rPr>
          <w:rStyle w:val="Fett"/>
          <w:rFonts w:ascii="Times New Roman" w:hAnsi="Times New Roman"/>
          <w:color w:val="auto"/>
          <w:sz w:val="36"/>
          <w:szCs w:val="36"/>
        </w:rPr>
        <w:t>Deuteronomium 15,1</w:t>
      </w:r>
    </w:p>
    <w:p w14:paraId="5CB739D1" w14:textId="77777777" w:rsidR="00F30413" w:rsidRDefault="00F30413" w:rsidP="00F30413">
      <w:pPr>
        <w:pStyle w:val="whitespace-normal"/>
      </w:pPr>
      <w:r>
        <w:rPr>
          <w:rStyle w:val="Fett"/>
          <w:rFonts w:eastAsiaTheme="majorEastAsia"/>
        </w:rPr>
        <w:t>Hebräisch:</w:t>
      </w:r>
      <w:r>
        <w:t xml:space="preserve"> </w:t>
      </w:r>
      <w:r>
        <w:rPr>
          <w:rtl/>
        </w:rPr>
        <w:t>מִקֵּ֥ץ שֶֽׁבַע־שָׁנִ֖ים תַּעֲשֶׂ֥ה שְׁמִטָּֽה׃</w:t>
      </w:r>
    </w:p>
    <w:p w14:paraId="7C31E628" w14:textId="77777777" w:rsidR="00F30413" w:rsidRDefault="00F30413" w:rsidP="00F30413">
      <w:pPr>
        <w:pStyle w:val="whitespace-normal"/>
      </w:pPr>
      <w:r>
        <w:rPr>
          <w:rStyle w:val="Fett"/>
          <w:rFonts w:eastAsiaTheme="majorEastAsia"/>
        </w:rPr>
        <w:t>Deutsch:</w:t>
      </w:r>
      <w:r>
        <w:t xml:space="preserve"> Am Ende von sieben Jahren sollst du einen Erlass halten.</w:t>
      </w:r>
    </w:p>
    <w:p w14:paraId="21578791" w14:textId="77777777" w:rsidR="00F30413" w:rsidRDefault="004F5CEB" w:rsidP="00F30413">
      <w:r>
        <w:rPr>
          <w:noProof/>
        </w:rPr>
        <w:pict w14:anchorId="7C0A8663">
          <v:rect id="_x0000_i1445" style="width:0;height:1.5pt" o:hralign="center" o:hrstd="t" o:hr="t" fillcolor="#a0a0a0" stroked="f"/>
        </w:pict>
      </w:r>
    </w:p>
    <w:p w14:paraId="35F8830B" w14:textId="77777777" w:rsidR="00F30413" w:rsidRDefault="00F30413" w:rsidP="00F30413">
      <w:pPr>
        <w:pStyle w:val="whitespace-normal"/>
      </w:pPr>
      <w:r>
        <w:rPr>
          <w:rStyle w:val="Fett"/>
          <w:rFonts w:eastAsiaTheme="majorEastAsia"/>
        </w:rPr>
        <w:t>Kommentar:</w:t>
      </w:r>
      <w:r>
        <w:t xml:space="preserve"> </w:t>
      </w:r>
      <w:r>
        <w:rPr>
          <w:rStyle w:val="Fett"/>
          <w:rFonts w:eastAsiaTheme="majorEastAsia"/>
          <w:rtl/>
        </w:rPr>
        <w:t>מִקֵּץ שֶׁבַע־שָׁנִים תַּעֲשֶׂה שְׁמִטָּה</w:t>
      </w:r>
      <w:r>
        <w:rPr>
          <w:rtl/>
        </w:rPr>
        <w:t xml:space="preserve"> </w:t>
      </w:r>
      <w:r>
        <w:t xml:space="preserve">ist ein einfacher Imperativsatz: </w:t>
      </w:r>
      <w:r>
        <w:rPr>
          <w:rStyle w:val="Fett"/>
          <w:rFonts w:eastAsiaTheme="majorEastAsia"/>
          <w:rtl/>
        </w:rPr>
        <w:t>מִקֵּץ שֶׁבַע־שָׁנִים</w:t>
      </w:r>
      <w:r>
        <w:rPr>
          <w:rtl/>
        </w:rPr>
        <w:t xml:space="preserve"> </w:t>
      </w:r>
      <w:r>
        <w:t xml:space="preserve">(Präposition </w:t>
      </w:r>
      <w:r>
        <w:rPr>
          <w:rStyle w:val="Fett"/>
          <w:rFonts w:eastAsiaTheme="majorEastAsia"/>
          <w:rtl/>
        </w:rPr>
        <w:t>מִן</w:t>
      </w:r>
      <w:r>
        <w:t xml:space="preserve">, „von, am", mit </w:t>
      </w:r>
      <w:r>
        <w:rPr>
          <w:rStyle w:val="Fett"/>
          <w:rFonts w:eastAsiaTheme="majorEastAsia"/>
          <w:rtl/>
        </w:rPr>
        <w:t>קֵץ</w:t>
      </w:r>
      <w:r>
        <w:t xml:space="preserve">, „Ende", Construct mit </w:t>
      </w:r>
      <w:r>
        <w:rPr>
          <w:rStyle w:val="Fett"/>
          <w:rFonts w:eastAsiaTheme="majorEastAsia"/>
          <w:rtl/>
        </w:rPr>
        <w:t>שֶׁבַע</w:t>
      </w:r>
      <w:r>
        <w:t xml:space="preserve">, „sieben", und </w:t>
      </w:r>
      <w:r>
        <w:rPr>
          <w:rStyle w:val="Fett"/>
          <w:rFonts w:eastAsiaTheme="majorEastAsia"/>
          <w:rtl/>
        </w:rPr>
        <w:t>שָׁנָה</w:t>
      </w:r>
      <w:r>
        <w:t xml:space="preserve">, „Jahr", Plural, „am Ende von sieben Jahren") als temporale Bestimmung, </w:t>
      </w:r>
      <w:r>
        <w:rPr>
          <w:rStyle w:val="Fett"/>
          <w:rFonts w:eastAsiaTheme="majorEastAsia"/>
          <w:rtl/>
        </w:rPr>
        <w:t>תַּעֲשֶׂה</w:t>
      </w:r>
      <w:r>
        <w:rPr>
          <w:rtl/>
        </w:rPr>
        <w:t xml:space="preserve"> </w:t>
      </w:r>
      <w:r>
        <w:t xml:space="preserve">(Qal Imperfekt, 2. Person Maskulinum Singular von </w:t>
      </w:r>
      <w:r>
        <w:rPr>
          <w:rStyle w:val="Fett"/>
          <w:rFonts w:eastAsiaTheme="majorEastAsia"/>
          <w:rtl/>
        </w:rPr>
        <w:t>עשׂה</w:t>
      </w:r>
      <w:r>
        <w:t xml:space="preserve">, „tun, machen") als Prädikat und </w:t>
      </w:r>
      <w:r>
        <w:rPr>
          <w:rStyle w:val="Fett"/>
          <w:rFonts w:eastAsiaTheme="majorEastAsia"/>
          <w:rtl/>
        </w:rPr>
        <w:t>שְׁמִטָּה</w:t>
      </w:r>
      <w:r>
        <w:rPr>
          <w:rtl/>
        </w:rPr>
        <w:t xml:space="preserve"> </w:t>
      </w:r>
      <w:r>
        <w:t>(</w:t>
      </w:r>
      <w:r>
        <w:rPr>
          <w:rStyle w:val="Fett"/>
          <w:rFonts w:eastAsiaTheme="majorEastAsia"/>
          <w:rtl/>
        </w:rPr>
        <w:t>שְׁמִטָּה</w:t>
      </w:r>
      <w:r>
        <w:t>, „Erlassung, Freilassung, Erlass") als direktes Objekt.</w:t>
      </w:r>
    </w:p>
    <w:p w14:paraId="19C80DC5" w14:textId="77777777" w:rsidR="00F30413" w:rsidRDefault="00F30413" w:rsidP="00F30413">
      <w:pPr>
        <w:pStyle w:val="whitespace-normal"/>
      </w:pPr>
      <w:r>
        <w:t xml:space="preserve">Der Vers leitet das wichtige Kapitel über das Erlassjahr ein. Die temporale Bestimmung </w:t>
      </w:r>
      <w:r>
        <w:rPr>
          <w:rStyle w:val="Fett"/>
          <w:rFonts w:eastAsiaTheme="majorEastAsia"/>
          <w:rtl/>
        </w:rPr>
        <w:t>מִקֵּץ שֶׁבַע־שָׁנִים</w:t>
      </w:r>
      <w:r>
        <w:rPr>
          <w:rtl/>
        </w:rPr>
        <w:t xml:space="preserve"> </w:t>
      </w:r>
      <w:r>
        <w:t>(„am Ende von sieben Jahren") entspricht der Formulierung in 14,28 (</w:t>
      </w:r>
      <w:r>
        <w:rPr>
          <w:rStyle w:val="Fett"/>
          <w:rFonts w:eastAsiaTheme="majorEastAsia"/>
          <w:rtl/>
        </w:rPr>
        <w:t>מִקְצֵה שָׁלֹשׁ שָׁנִים</w:t>
      </w:r>
      <w:r>
        <w:t>) und bedeutet: jedes siebte Jahr, am Ende eines siebenjährigen Zyklus.</w:t>
      </w:r>
    </w:p>
    <w:p w14:paraId="2AC51110" w14:textId="4832CF42" w:rsidR="00F30413" w:rsidRDefault="00F30413" w:rsidP="00F30413">
      <w:pPr>
        <w:pStyle w:val="whitespace-normal"/>
      </w:pPr>
      <w:r>
        <w:t xml:space="preserve">Das Substantiv </w:t>
      </w:r>
      <w:r>
        <w:rPr>
          <w:rStyle w:val="Fett"/>
          <w:rFonts w:eastAsiaTheme="majorEastAsia"/>
          <w:rtl/>
        </w:rPr>
        <w:t>שְׁמִטָּה</w:t>
      </w:r>
      <w:r>
        <w:rPr>
          <w:rtl/>
        </w:rPr>
        <w:t xml:space="preserve"> </w:t>
      </w:r>
      <w:r>
        <w:t xml:space="preserve">kommt von der Wurzel </w:t>
      </w:r>
      <w:r>
        <w:rPr>
          <w:rStyle w:val="Fett"/>
          <w:rFonts w:eastAsiaTheme="majorEastAsia"/>
          <w:rtl/>
        </w:rPr>
        <w:t>שׁמט</w:t>
      </w:r>
      <w:r>
        <w:t xml:space="preserve">, „loslassen, fallen lassen, erlassen" (vgl. V. 2.3.9; Ex 23,11; Neh 10,32). Die </w:t>
      </w:r>
      <w:r>
        <w:rPr>
          <w:rStyle w:val="Fett"/>
          <w:rFonts w:eastAsiaTheme="majorEastAsia"/>
          <w:rtl/>
        </w:rPr>
        <w:t>שְׁמִטָּה</w:t>
      </w:r>
      <w:r>
        <w:rPr>
          <w:rtl/>
        </w:rPr>
        <w:t xml:space="preserve"> </w:t>
      </w:r>
      <w:r>
        <w:t xml:space="preserve">bezeichnet hier den Schuldenerlass (anders als in Ex 23,11 und </w:t>
      </w:r>
      <w:r w:rsidR="00664EB6">
        <w:t>Lev</w:t>
      </w:r>
      <w:r>
        <w:t xml:space="preserve"> 25,2-7, wo es um das Brachliegen des Landes geht). Das siebte Jahr ist ein Sabbatjahr für die Wirtschaft.</w:t>
      </w:r>
    </w:p>
    <w:p w14:paraId="652C6C20" w14:textId="7670B0E1" w:rsidR="00F30413" w:rsidRDefault="00F30413" w:rsidP="00F30413">
      <w:pPr>
        <w:pStyle w:val="whitespace-normal"/>
      </w:pPr>
      <w:r>
        <w:t xml:space="preserve">Die knappe Formulierung lässt offen, was genau die </w:t>
      </w:r>
      <w:r>
        <w:rPr>
          <w:rStyle w:val="Fett"/>
          <w:rFonts w:eastAsiaTheme="majorEastAsia"/>
          <w:rtl/>
        </w:rPr>
        <w:t>שְׁמִטָּה</w:t>
      </w:r>
      <w:r>
        <w:rPr>
          <w:rtl/>
        </w:rPr>
        <w:t xml:space="preserve"> </w:t>
      </w:r>
      <w:r>
        <w:t xml:space="preserve">beinhaltet – V. 2-3 wird dies präzisieren. Die Siebenzahl knüpft an das Sabbatprinzip an: Wie der siebte Tag (Sabbat) und das siebte Jahr (Sabbatjahr für das Land, </w:t>
      </w:r>
      <w:r w:rsidR="00664EB6">
        <w:t>Lev</w:t>
      </w:r>
      <w:r>
        <w:t xml:space="preserve"> 25,2-7) der Ruhe dienen, so dient das siebte Jahr auch dem sozialen und wirtschaftlichen Neuanfang durch Schuldenerlass.</w:t>
      </w:r>
    </w:p>
    <w:p w14:paraId="72181BEE" w14:textId="22254A5D" w:rsidR="00A93C3C" w:rsidRDefault="00A93C3C" w:rsidP="00F30413">
      <w:pPr>
        <w:pStyle w:val="whitespace-normal"/>
      </w:pPr>
      <w:r>
        <w:rPr>
          <w:rStyle w:val="Fett"/>
        </w:rPr>
        <w:lastRenderedPageBreak/>
        <w:t>Die LXX</w:t>
      </w:r>
      <w:r>
        <w:t xml:space="preserve"> verwendet </w:t>
      </w:r>
      <w:proofErr w:type="spellStart"/>
      <w:r>
        <w:t>Διʼ</w:t>
      </w:r>
      <w:proofErr w:type="spellEnd"/>
      <w:r>
        <w:t xml:space="preserve"> ἑπ</w:t>
      </w:r>
      <w:proofErr w:type="spellStart"/>
      <w:r>
        <w:t>τὰ</w:t>
      </w:r>
      <w:proofErr w:type="spellEnd"/>
      <w:r>
        <w:t xml:space="preserve"> </w:t>
      </w:r>
      <w:proofErr w:type="spellStart"/>
      <w:r>
        <w:t>ἐτῶν</w:t>
      </w:r>
      <w:proofErr w:type="spellEnd"/>
      <w:r>
        <w:t xml:space="preserve"> (durch sieben Jahre hindurch) für </w:t>
      </w:r>
      <w:r>
        <w:rPr>
          <w:rtl/>
        </w:rPr>
        <w:t>מִקֵּץ שֶׁבַע־שָׁנִים</w:t>
      </w:r>
      <w:r>
        <w:t xml:space="preserve"> (am Ende von sieben Jahren) – eine zeitliche Nuancierung, die den Prozess über die Zeit betont. Der Begriff </w:t>
      </w:r>
      <w:proofErr w:type="spellStart"/>
      <w:r>
        <w:t>ἄφεσις</w:t>
      </w:r>
      <w:proofErr w:type="spellEnd"/>
      <w:r>
        <w:t xml:space="preserve"> (Erlass, Freilassung) für </w:t>
      </w:r>
      <w:r>
        <w:rPr>
          <w:rtl/>
        </w:rPr>
        <w:t>שְׁמִטָּה</w:t>
      </w:r>
      <w:r>
        <w:t xml:space="preserve"> wird konsequent durch das Kapitel verwendet.</w:t>
      </w:r>
    </w:p>
    <w:p w14:paraId="743CF53E" w14:textId="77777777" w:rsidR="00F30413" w:rsidRDefault="00F30413" w:rsidP="00F30413">
      <w:pPr>
        <w:pStyle w:val="whitespace-normal"/>
      </w:pPr>
      <w:r>
        <w:rPr>
          <w:rStyle w:val="Fett"/>
          <w:rFonts w:eastAsiaTheme="majorEastAsia"/>
        </w:rPr>
        <w:t>Die Satzstruktur</w:t>
      </w:r>
      <w:r>
        <w:t xml:space="preserve"> besteht aus einem einfachen Imperativsatz: Temporale Bestimmung (am Ende von sieben Jahren), Prädikat (sollst du machen/halten), direktes Objekt (einen Erlass).</w:t>
      </w:r>
    </w:p>
    <w:p w14:paraId="619941C2" w14:textId="77777777" w:rsidR="00F30413" w:rsidRDefault="00F30413" w:rsidP="00F30413">
      <w:pPr>
        <w:pStyle w:val="whitespace-normal"/>
      </w:pPr>
      <w:r>
        <w:t>Der Vers fordert: Alle sieben Jahre soll ein Erlass (eine Freilassung von Schulden) gehalten werden – das Erlassjahr als soziale Institution.</w:t>
      </w:r>
    </w:p>
    <w:p w14:paraId="4F7CA197" w14:textId="77777777" w:rsidR="00F30413" w:rsidRPr="00F30413" w:rsidRDefault="00F30413" w:rsidP="00F30413">
      <w:pPr>
        <w:pStyle w:val="berschrift1"/>
        <w:rPr>
          <w:rFonts w:ascii="Times New Roman" w:hAnsi="Times New Roman"/>
          <w:color w:val="auto"/>
          <w:sz w:val="36"/>
          <w:szCs w:val="36"/>
        </w:rPr>
      </w:pPr>
      <w:r w:rsidRPr="00F30413">
        <w:rPr>
          <w:rStyle w:val="Fett"/>
          <w:rFonts w:ascii="Times New Roman" w:hAnsi="Times New Roman"/>
          <w:color w:val="auto"/>
          <w:sz w:val="36"/>
          <w:szCs w:val="36"/>
        </w:rPr>
        <w:t>Deuteronomium 15,2</w:t>
      </w:r>
    </w:p>
    <w:p w14:paraId="7B501031" w14:textId="77777777" w:rsidR="00F30413" w:rsidRDefault="00F30413" w:rsidP="00F30413">
      <w:pPr>
        <w:pStyle w:val="whitespace-normal"/>
      </w:pPr>
      <w:r>
        <w:rPr>
          <w:rStyle w:val="Fett"/>
          <w:rFonts w:eastAsiaTheme="majorEastAsia"/>
        </w:rPr>
        <w:t>Hebräisch:</w:t>
      </w:r>
      <w:r>
        <w:t xml:space="preserve"> </w:t>
      </w:r>
      <w:r>
        <w:rPr>
          <w:rtl/>
        </w:rPr>
        <w:t>וְזֶה֮ דְּבַ֣ר הַשְּׁמִטָּה֒ שָׁמ֗וֹט כָּל־בַּ֨עַל֙ מַשֵּׁ֣ה יָדֹ֔ו אֲשֶׁ֥ר יַשֶּׁ֖ה בְּרֵעֵ֑הוּ לֹֽא־יִגֹּ֤שׂ אֶת־רֵעֵ֨הוּ֙ וְאֶת־אָחִ֔יו כִּֽי־קָרָ֥א שְׁמִטָּ֖ה לַֽיהוָֽה׃</w:t>
      </w:r>
    </w:p>
    <w:p w14:paraId="498A2F0C" w14:textId="77777777" w:rsidR="00F30413" w:rsidRDefault="00F30413" w:rsidP="00F30413">
      <w:pPr>
        <w:pStyle w:val="whitespace-normal"/>
      </w:pPr>
      <w:r>
        <w:rPr>
          <w:rStyle w:val="Fett"/>
          <w:rFonts w:eastAsiaTheme="majorEastAsia"/>
        </w:rPr>
        <w:t>Deutsch:</w:t>
      </w:r>
      <w:r>
        <w:t xml:space="preserve"> Und dies ist die Sache mit dem Erlass: Jeder Schuldherr soll erlassen, was er seinem Nächsten geliehen hat; er soll seinen Nächsten und seinen Bruder nicht drängen; denn man hat einen Erlass für den Ewigen ausgerufen.</w:t>
      </w:r>
    </w:p>
    <w:p w14:paraId="553BB3F4" w14:textId="77777777" w:rsidR="00F30413" w:rsidRDefault="004F5CEB" w:rsidP="00F30413">
      <w:r>
        <w:rPr>
          <w:noProof/>
        </w:rPr>
        <w:pict w14:anchorId="3AD27123">
          <v:rect id="_x0000_i1446" style="width:0;height:1.5pt" o:hralign="center" o:hrstd="t" o:hr="t" fillcolor="#a0a0a0" stroked="f"/>
        </w:pict>
      </w:r>
    </w:p>
    <w:p w14:paraId="6E737440" w14:textId="77777777" w:rsidR="00F30413" w:rsidRDefault="00F30413" w:rsidP="00F30413">
      <w:pPr>
        <w:pStyle w:val="whitespace-normal"/>
      </w:pPr>
      <w:r>
        <w:rPr>
          <w:rStyle w:val="Fett"/>
          <w:rFonts w:eastAsiaTheme="majorEastAsia"/>
        </w:rPr>
        <w:t>Kommentar:</w:t>
      </w:r>
      <w:r>
        <w:t xml:space="preserve"> </w:t>
      </w:r>
      <w:r>
        <w:rPr>
          <w:rStyle w:val="Fett"/>
          <w:rFonts w:eastAsiaTheme="majorEastAsia"/>
          <w:rtl/>
        </w:rPr>
        <w:t>וְזֶה דְּבַר הַשְּׁמִטָּה</w:t>
      </w:r>
      <w:r>
        <w:rPr>
          <w:rtl/>
        </w:rPr>
        <w:t xml:space="preserve"> </w:t>
      </w:r>
      <w:r>
        <w:t xml:space="preserve">ist ein deiktischer Nominalsatz: </w:t>
      </w:r>
      <w:r>
        <w:rPr>
          <w:rStyle w:val="Fett"/>
          <w:rFonts w:eastAsiaTheme="majorEastAsia"/>
          <w:rtl/>
        </w:rPr>
        <w:t>וְזֶה</w:t>
      </w:r>
      <w:r>
        <w:rPr>
          <w:rtl/>
        </w:rPr>
        <w:t xml:space="preserve"> </w:t>
      </w:r>
      <w:r>
        <w:t xml:space="preserve">(koordiniert durch </w:t>
      </w:r>
      <w:r>
        <w:rPr>
          <w:rStyle w:val="Fett"/>
          <w:rFonts w:eastAsiaTheme="majorEastAsia"/>
          <w:rtl/>
        </w:rPr>
        <w:t>וְ</w:t>
      </w:r>
      <w:r>
        <w:rPr>
          <w:rtl/>
        </w:rPr>
        <w:t xml:space="preserve"> </w:t>
      </w:r>
      <w:r>
        <w:t xml:space="preserve">mit Demonstrativpronomen </w:t>
      </w:r>
      <w:r>
        <w:rPr>
          <w:rStyle w:val="Fett"/>
          <w:rFonts w:eastAsiaTheme="majorEastAsia"/>
          <w:rtl/>
        </w:rPr>
        <w:t>זֶה</w:t>
      </w:r>
      <w:r>
        <w:t xml:space="preserve">, „dies, dieses") als Prädikatsnomen und </w:t>
      </w:r>
      <w:r>
        <w:rPr>
          <w:rStyle w:val="Fett"/>
          <w:rFonts w:eastAsiaTheme="majorEastAsia"/>
          <w:rtl/>
        </w:rPr>
        <w:t>דְּבַר הַשְּׁמִטָּה</w:t>
      </w:r>
      <w:r>
        <w:rPr>
          <w:rtl/>
        </w:rPr>
        <w:t xml:space="preserve"> </w:t>
      </w:r>
      <w:r>
        <w:t>(</w:t>
      </w:r>
      <w:r>
        <w:rPr>
          <w:rStyle w:val="Fett"/>
          <w:rFonts w:eastAsiaTheme="majorEastAsia"/>
          <w:rtl/>
        </w:rPr>
        <w:t>דָּבָר</w:t>
      </w:r>
      <w:r>
        <w:t xml:space="preserve">, „Wort, Sache, Angelegenheit", Construct mit </w:t>
      </w:r>
      <w:r>
        <w:rPr>
          <w:rStyle w:val="Fett"/>
          <w:rFonts w:eastAsiaTheme="majorEastAsia"/>
          <w:rtl/>
        </w:rPr>
        <w:t>שְׁמִטָּה</w:t>
      </w:r>
      <w:r>
        <w:t>, „Erlass", mit Artikel, „die Sache/Angelegenheit des Erlasses") als Subjekt.</w:t>
      </w:r>
    </w:p>
    <w:p w14:paraId="5E3FA892" w14:textId="77777777" w:rsidR="00F30413" w:rsidRDefault="00F30413" w:rsidP="00F30413">
      <w:pPr>
        <w:pStyle w:val="whitespace-normal"/>
      </w:pPr>
      <w:r>
        <w:rPr>
          <w:rStyle w:val="Fett"/>
          <w:rFonts w:eastAsiaTheme="majorEastAsia"/>
          <w:rtl/>
        </w:rPr>
        <w:t>שָׁמוֹט כָּל־בַּעַל מַשֵּׁה יָדוֹ אֲשֶׁר יַשֶּׁה בְּרֵעֵהוּ</w:t>
      </w:r>
      <w:r>
        <w:rPr>
          <w:rtl/>
        </w:rPr>
        <w:t xml:space="preserve"> </w:t>
      </w:r>
      <w:r>
        <w:t xml:space="preserve">ist der Inhalt des Erlasses: </w:t>
      </w:r>
      <w:r>
        <w:rPr>
          <w:rStyle w:val="Fett"/>
          <w:rFonts w:eastAsiaTheme="majorEastAsia"/>
          <w:rtl/>
        </w:rPr>
        <w:t>שָׁמוֹט</w:t>
      </w:r>
      <w:r>
        <w:rPr>
          <w:rtl/>
        </w:rPr>
        <w:t xml:space="preserve"> </w:t>
      </w:r>
      <w:r>
        <w:t xml:space="preserve">(Qal Infinitiv Absolut von </w:t>
      </w:r>
      <w:r>
        <w:rPr>
          <w:rStyle w:val="Fett"/>
          <w:rFonts w:eastAsiaTheme="majorEastAsia"/>
          <w:rtl/>
        </w:rPr>
        <w:t>שׁמט</w:t>
      </w:r>
      <w:r>
        <w:t xml:space="preserve">, „loslassen, erlassen", verwendet als Imperativ oder als Substantiv „erlassen soll") als Prädikat, </w:t>
      </w:r>
      <w:r>
        <w:rPr>
          <w:rStyle w:val="Fett"/>
          <w:rFonts w:eastAsiaTheme="majorEastAsia"/>
          <w:rtl/>
        </w:rPr>
        <w:t>כָּל־בַּעַל מַשֵּׁה יָדוֹ</w:t>
      </w:r>
      <w:r>
        <w:rPr>
          <w:rtl/>
        </w:rPr>
        <w:t xml:space="preserve"> </w:t>
      </w:r>
      <w:r>
        <w:t>(</w:t>
      </w:r>
      <w:r>
        <w:rPr>
          <w:rStyle w:val="Fett"/>
          <w:rFonts w:eastAsiaTheme="majorEastAsia"/>
          <w:rtl/>
        </w:rPr>
        <w:t>כֹּל</w:t>
      </w:r>
      <w:r>
        <w:t xml:space="preserve">, „jeder", im Construct mit </w:t>
      </w:r>
      <w:r>
        <w:rPr>
          <w:rStyle w:val="Fett"/>
          <w:rFonts w:eastAsiaTheme="majorEastAsia"/>
          <w:rtl/>
        </w:rPr>
        <w:t>בַּעַל</w:t>
      </w:r>
      <w:r>
        <w:t xml:space="preserve">, „Herr, Besitzer", Construct mit </w:t>
      </w:r>
      <w:r>
        <w:rPr>
          <w:rStyle w:val="Fett"/>
          <w:rFonts w:eastAsiaTheme="majorEastAsia"/>
          <w:rtl/>
        </w:rPr>
        <w:t>מַשֵּׁה</w:t>
      </w:r>
      <w:r>
        <w:t xml:space="preserve">, „Darlehen, Ausleihe" (von </w:t>
      </w:r>
      <w:r>
        <w:rPr>
          <w:rStyle w:val="Fett"/>
          <w:rFonts w:eastAsiaTheme="majorEastAsia"/>
          <w:rtl/>
        </w:rPr>
        <w:t>נשׁה</w:t>
      </w:r>
      <w:r>
        <w:t xml:space="preserve">, „leihen"), Construct mit </w:t>
      </w:r>
      <w:r>
        <w:rPr>
          <w:rStyle w:val="Fett"/>
          <w:rFonts w:eastAsiaTheme="majorEastAsia"/>
          <w:rtl/>
        </w:rPr>
        <w:t>יָד</w:t>
      </w:r>
      <w:r>
        <w:t xml:space="preserve">, „Hand", mit Suffix 3. Person Maskulinum Singular, „jeder Herr/Besitzer seines Darlehens seiner Hand" = „jeder Gläubiger, jeder Schuldherr") als Subjekt, </w:t>
      </w:r>
      <w:r>
        <w:rPr>
          <w:rStyle w:val="Fett"/>
          <w:rFonts w:eastAsiaTheme="majorEastAsia"/>
          <w:rtl/>
        </w:rPr>
        <w:t>אֲשֶׁר יַשֶּׁה בְּרֵעֵהוּ</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יַשֶּׁה</w:t>
      </w:r>
      <w:r>
        <w:t xml:space="preserve">, Hiphil Imperfekt, 3. Person Maskulinum Singular von </w:t>
      </w:r>
      <w:r>
        <w:rPr>
          <w:rStyle w:val="Fett"/>
          <w:rFonts w:eastAsiaTheme="majorEastAsia"/>
          <w:rtl/>
        </w:rPr>
        <w:t>נשׁה</w:t>
      </w:r>
      <w:r>
        <w:t xml:space="preserve">, „leihen", in der Hiphil-Form „ausleihen, Darlehen geben", und </w:t>
      </w:r>
      <w:r>
        <w:rPr>
          <w:rStyle w:val="Fett"/>
          <w:rFonts w:eastAsiaTheme="majorEastAsia"/>
          <w:rtl/>
        </w:rPr>
        <w:t>בְּרֵעֵהוּ</w:t>
      </w:r>
      <w:r>
        <w:t xml:space="preserve">, Präposition </w:t>
      </w:r>
      <w:r>
        <w:rPr>
          <w:rStyle w:val="Fett"/>
          <w:rFonts w:eastAsiaTheme="majorEastAsia"/>
          <w:rtl/>
        </w:rPr>
        <w:t>בְּ</w:t>
      </w:r>
      <w:r>
        <w:rPr>
          <w:rtl/>
        </w:rPr>
        <w:t xml:space="preserve"> </w:t>
      </w:r>
      <w:r>
        <w:t xml:space="preserve">mit </w:t>
      </w:r>
      <w:r>
        <w:rPr>
          <w:rStyle w:val="Fett"/>
          <w:rFonts w:eastAsiaTheme="majorEastAsia"/>
          <w:rtl/>
        </w:rPr>
        <w:t>רֵעַ</w:t>
      </w:r>
      <w:r>
        <w:t>, „Nächster, Mitmensch", mit Suffix 3. Person Maskulinum Singular, „was er seinem Nächsten geliehen hat") als Objekt.</w:t>
      </w:r>
    </w:p>
    <w:p w14:paraId="4B32C37A" w14:textId="77777777" w:rsidR="00F30413" w:rsidRDefault="00F30413" w:rsidP="00F30413">
      <w:pPr>
        <w:pStyle w:val="whitespace-normal"/>
      </w:pPr>
      <w:r>
        <w:t xml:space="preserve">Die Wendung </w:t>
      </w:r>
      <w:r>
        <w:rPr>
          <w:rStyle w:val="Fett"/>
          <w:rFonts w:eastAsiaTheme="majorEastAsia"/>
          <w:rtl/>
        </w:rPr>
        <w:t>בַּעַל מַשֵּׁה יָדוֹ</w:t>
      </w:r>
      <w:r>
        <w:rPr>
          <w:rtl/>
        </w:rPr>
        <w:t xml:space="preserve"> </w:t>
      </w:r>
      <w:r>
        <w:t xml:space="preserve">(„Herr des Darlehens seiner Hand") ist eine ungewöhnliche Konstruktion für „Gläubiger". Das Wort </w:t>
      </w:r>
      <w:r>
        <w:rPr>
          <w:rStyle w:val="Fett"/>
          <w:rFonts w:eastAsiaTheme="majorEastAsia"/>
          <w:rtl/>
        </w:rPr>
        <w:t>מַשֵּׁה</w:t>
      </w:r>
      <w:r>
        <w:rPr>
          <w:rtl/>
        </w:rPr>
        <w:t xml:space="preserve"> </w:t>
      </w:r>
      <w:r>
        <w:t xml:space="preserve">(von </w:t>
      </w:r>
      <w:r>
        <w:rPr>
          <w:rStyle w:val="Fett"/>
          <w:rFonts w:eastAsiaTheme="majorEastAsia"/>
          <w:rtl/>
        </w:rPr>
        <w:t>נשׁה</w:t>
      </w:r>
      <w:r>
        <w:t>, „leihen") bezeichnet das Darlehen.</w:t>
      </w:r>
    </w:p>
    <w:p w14:paraId="7582025F" w14:textId="77777777" w:rsidR="00F30413" w:rsidRDefault="00F30413" w:rsidP="00F30413">
      <w:pPr>
        <w:pStyle w:val="whitespace-normal"/>
      </w:pPr>
      <w:r>
        <w:rPr>
          <w:rStyle w:val="Fett"/>
          <w:rFonts w:eastAsiaTheme="majorEastAsia"/>
          <w:rtl/>
        </w:rPr>
        <w:t>לֹא־יִגֹּשׂ אֶת־רֵעֵהוּ וְאֶת־אָחִיו</w:t>
      </w:r>
      <w:r>
        <w:rPr>
          <w:rtl/>
        </w:rPr>
        <w:t xml:space="preserve"> </w:t>
      </w:r>
      <w:r>
        <w:t xml:space="preserve">ist der negative Imperativsatz: </w:t>
      </w:r>
      <w:r>
        <w:rPr>
          <w:rStyle w:val="Fett"/>
          <w:rFonts w:eastAsiaTheme="majorEastAsia"/>
          <w:rtl/>
        </w:rPr>
        <w:t>לֹא</w:t>
      </w:r>
      <w:r>
        <w:rPr>
          <w:rtl/>
        </w:rPr>
        <w:t xml:space="preserve"> </w:t>
      </w:r>
      <w:r>
        <w:t xml:space="preserve">(Negation) mit </w:t>
      </w:r>
      <w:r>
        <w:rPr>
          <w:rStyle w:val="Fett"/>
          <w:rFonts w:eastAsiaTheme="majorEastAsia"/>
          <w:rtl/>
        </w:rPr>
        <w:t>יִגֹּשׂ</w:t>
      </w:r>
      <w:r>
        <w:rPr>
          <w:rtl/>
        </w:rPr>
        <w:t xml:space="preserve"> </w:t>
      </w:r>
      <w:r>
        <w:t xml:space="preserve">(Qal Imperfekt, 3. Person Maskulinum Singular von </w:t>
      </w:r>
      <w:r>
        <w:rPr>
          <w:rStyle w:val="Fett"/>
          <w:rFonts w:eastAsiaTheme="majorEastAsia"/>
          <w:rtl/>
        </w:rPr>
        <w:t>נגשׂ</w:t>
      </w:r>
      <w:r>
        <w:t xml:space="preserve">, „drängen, eintreiben, einfordern"), </w:t>
      </w:r>
      <w:r>
        <w:rPr>
          <w:rStyle w:val="Fett"/>
          <w:rFonts w:eastAsiaTheme="majorEastAsia"/>
          <w:rtl/>
        </w:rPr>
        <w:t>אֶת־רֵעֵהוּ</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רֵעַ</w:t>
      </w:r>
      <w:r>
        <w:t xml:space="preserve">, „Nächster", mit Suffix 3. Person Maskulinum Singular) als direktes Objekt, koordiniert durch </w:t>
      </w:r>
      <w:r>
        <w:rPr>
          <w:rStyle w:val="Fett"/>
          <w:rFonts w:eastAsiaTheme="majorEastAsia"/>
          <w:rtl/>
        </w:rPr>
        <w:t>וְאֶת</w:t>
      </w:r>
      <w:r>
        <w:rPr>
          <w:rtl/>
        </w:rPr>
        <w:t xml:space="preserve"> </w:t>
      </w:r>
      <w:r>
        <w:t xml:space="preserve">mit </w:t>
      </w:r>
      <w:r>
        <w:rPr>
          <w:rStyle w:val="Fett"/>
          <w:rFonts w:eastAsiaTheme="majorEastAsia"/>
          <w:rtl/>
        </w:rPr>
        <w:t>אָחִיו</w:t>
      </w:r>
      <w:r>
        <w:rPr>
          <w:rtl/>
        </w:rPr>
        <w:t xml:space="preserve"> </w:t>
      </w:r>
      <w:r>
        <w:t>(</w:t>
      </w:r>
      <w:r>
        <w:rPr>
          <w:rStyle w:val="Fett"/>
          <w:rFonts w:eastAsiaTheme="majorEastAsia"/>
          <w:rtl/>
        </w:rPr>
        <w:t>אָח</w:t>
      </w:r>
      <w:r>
        <w:t>, „Bruder", mit Suffix 3. Person Maskulinum Singular).</w:t>
      </w:r>
    </w:p>
    <w:p w14:paraId="17A1FBA9" w14:textId="77777777" w:rsidR="00F30413" w:rsidRDefault="00F30413" w:rsidP="00F30413">
      <w:pPr>
        <w:pStyle w:val="whitespace-normal"/>
      </w:pPr>
      <w:r>
        <w:rPr>
          <w:rStyle w:val="Fett"/>
          <w:rFonts w:eastAsiaTheme="majorEastAsia"/>
          <w:rtl/>
        </w:rPr>
        <w:t>כִּי־קָרָא שְׁמִטָּה לַיהוָה</w:t>
      </w:r>
      <w:r>
        <w:rPr>
          <w:rtl/>
        </w:rPr>
        <w:t xml:space="preserve"> </w:t>
      </w:r>
      <w:r>
        <w:t xml:space="preserve">ist die kausale Begründung: </w:t>
      </w:r>
      <w:r>
        <w:rPr>
          <w:rStyle w:val="Fett"/>
          <w:rFonts w:eastAsiaTheme="majorEastAsia"/>
          <w:rtl/>
        </w:rPr>
        <w:t>כִּי</w:t>
      </w:r>
      <w:r>
        <w:rPr>
          <w:rtl/>
        </w:rPr>
        <w:t xml:space="preserve"> </w:t>
      </w:r>
      <w:r>
        <w:t xml:space="preserve">(„denn, weil") als kausale Konjunktion, </w:t>
      </w:r>
      <w:r>
        <w:rPr>
          <w:rStyle w:val="Fett"/>
          <w:rFonts w:eastAsiaTheme="majorEastAsia"/>
          <w:rtl/>
        </w:rPr>
        <w:t>קָרָא</w:t>
      </w:r>
      <w:r>
        <w:rPr>
          <w:rtl/>
        </w:rPr>
        <w:t xml:space="preserve"> </w:t>
      </w:r>
      <w:r>
        <w:t xml:space="preserve">(Qal Perfekt, 3. Person Maskulinum Singular von </w:t>
      </w:r>
      <w:r>
        <w:rPr>
          <w:rStyle w:val="Fett"/>
          <w:rFonts w:eastAsiaTheme="majorEastAsia"/>
          <w:rtl/>
        </w:rPr>
        <w:t>קרא</w:t>
      </w:r>
      <w:r>
        <w:t xml:space="preserve">, „rufen, ausrufen, proklamieren", </w:t>
      </w:r>
      <w:r>
        <w:lastRenderedPageBreak/>
        <w:t xml:space="preserve">unpersönlich „man hat ausgerufen"), </w:t>
      </w:r>
      <w:r>
        <w:rPr>
          <w:rStyle w:val="Fett"/>
          <w:rFonts w:eastAsiaTheme="majorEastAsia"/>
          <w:rtl/>
        </w:rPr>
        <w:t>שְׁמִטָּה</w:t>
      </w:r>
      <w:r>
        <w:rPr>
          <w:rtl/>
        </w:rPr>
        <w:t xml:space="preserve"> </w:t>
      </w:r>
      <w:r>
        <w:t>(</w:t>
      </w:r>
      <w:r>
        <w:rPr>
          <w:rStyle w:val="Fett"/>
          <w:rFonts w:eastAsiaTheme="majorEastAsia"/>
          <w:rtl/>
        </w:rPr>
        <w:t>שְׁמִטָּה</w:t>
      </w:r>
      <w:r>
        <w:t xml:space="preserve">, „Erlass") als direktes Objekt und </w:t>
      </w:r>
      <w:r>
        <w:rPr>
          <w:rStyle w:val="Fett"/>
          <w:rFonts w:eastAsiaTheme="majorEastAsia"/>
          <w:rtl/>
        </w:rPr>
        <w:t>לַיהוָה</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יְהוָה</w:t>
      </w:r>
      <w:r>
        <w:t>, „für JHWH") als Dativ oder Nutznießer.</w:t>
      </w:r>
    </w:p>
    <w:p w14:paraId="3C4053B1" w14:textId="7D27AA7C" w:rsidR="00F30413" w:rsidRDefault="00F30413" w:rsidP="00F30413">
      <w:pPr>
        <w:pStyle w:val="whitespace-normal"/>
      </w:pPr>
      <w:r>
        <w:t xml:space="preserve">Der Vers erklärt den Inhalt der </w:t>
      </w:r>
      <w:r>
        <w:rPr>
          <w:rStyle w:val="Fett"/>
          <w:rFonts w:eastAsiaTheme="majorEastAsia"/>
          <w:rtl/>
        </w:rPr>
        <w:t>שְׁמִטָּה</w:t>
      </w:r>
      <w:r>
        <w:t xml:space="preserve">: Jeder Gläubiger soll das Darlehen erlassen. Das Verb </w:t>
      </w:r>
      <w:r>
        <w:rPr>
          <w:rStyle w:val="Fett"/>
          <w:rFonts w:eastAsiaTheme="majorEastAsia"/>
          <w:rtl/>
        </w:rPr>
        <w:t>שׁמט</w:t>
      </w:r>
      <w:r>
        <w:rPr>
          <w:rtl/>
        </w:rPr>
        <w:t xml:space="preserve"> </w:t>
      </w:r>
      <w:r>
        <w:t xml:space="preserve">bedeutet „loslassen, fallen lassen" – der Gläubiger soll die Schuld loslassen. Das Verb </w:t>
      </w:r>
      <w:r>
        <w:rPr>
          <w:rStyle w:val="Fett"/>
          <w:rFonts w:eastAsiaTheme="majorEastAsia"/>
          <w:rtl/>
        </w:rPr>
        <w:t>נגשׂ</w:t>
      </w:r>
      <w:r>
        <w:rPr>
          <w:rtl/>
        </w:rPr>
        <w:t xml:space="preserve"> </w:t>
      </w:r>
      <w:r>
        <w:t xml:space="preserve">(„drängen, eintreiben") bezeichnet das aggressive Einfordern von Schulden (vgl. </w:t>
      </w:r>
      <w:r w:rsidR="00664EB6">
        <w:t>2Kön</w:t>
      </w:r>
      <w:r>
        <w:t xml:space="preserve"> 23,35; Neh 5,7.10.11).</w:t>
      </w:r>
    </w:p>
    <w:p w14:paraId="0AD78A37" w14:textId="6B52BCAD" w:rsidR="00F30413" w:rsidRDefault="00F30413" w:rsidP="00F30413">
      <w:pPr>
        <w:pStyle w:val="whitespace-normal"/>
      </w:pPr>
      <w:r>
        <w:t xml:space="preserve">Die Formulierung </w:t>
      </w:r>
      <w:r>
        <w:rPr>
          <w:rStyle w:val="Fett"/>
          <w:rFonts w:eastAsiaTheme="majorEastAsia"/>
          <w:rtl/>
        </w:rPr>
        <w:t>רֵעֵהוּ וְאָחִיו</w:t>
      </w:r>
      <w:r>
        <w:rPr>
          <w:rtl/>
        </w:rPr>
        <w:t xml:space="preserve"> </w:t>
      </w:r>
      <w:r>
        <w:t xml:space="preserve">(„sein Nächster und sein Bruder") ist eine Hendiadyoin: beide Begriffe bezeichnen den israelitischen Volksgenossen. Die Begründung </w:t>
      </w:r>
      <w:r>
        <w:rPr>
          <w:rStyle w:val="Fett"/>
          <w:rFonts w:eastAsiaTheme="majorEastAsia"/>
          <w:rtl/>
        </w:rPr>
        <w:t>קָרָא שְׁמִטָּה לַיהוָה</w:t>
      </w:r>
      <w:r>
        <w:rPr>
          <w:rtl/>
        </w:rPr>
        <w:t xml:space="preserve"> </w:t>
      </w:r>
      <w:r>
        <w:t xml:space="preserve">(„man hat einen Erlass für JHWH ausgerufen") zeigt: Der Erlass ist nicht nur soziale Wohltat, sondern gottesdienstliche Verpflichtung – er geschieht </w:t>
      </w:r>
      <w:r>
        <w:rPr>
          <w:rStyle w:val="Fett"/>
          <w:rFonts w:eastAsiaTheme="majorEastAsia"/>
          <w:rtl/>
        </w:rPr>
        <w:t>לַיהוָה</w:t>
      </w:r>
      <w:r>
        <w:rPr>
          <w:rtl/>
        </w:rPr>
        <w:t xml:space="preserve"> </w:t>
      </w:r>
      <w:r>
        <w:t>(„für JHWH"), ihm zu Ehren.</w:t>
      </w:r>
    </w:p>
    <w:p w14:paraId="601D2AD0" w14:textId="21E3473D" w:rsidR="00A93C3C" w:rsidRDefault="00A93C3C" w:rsidP="00F30413">
      <w:pPr>
        <w:pStyle w:val="whitespace-normal"/>
      </w:pPr>
      <w:r>
        <w:rPr>
          <w:rStyle w:val="Fett"/>
        </w:rPr>
        <w:t>Die LXX</w:t>
      </w:r>
      <w:r>
        <w:t xml:space="preserve"> interpretiert </w:t>
      </w:r>
      <w:r>
        <w:rPr>
          <w:rtl/>
        </w:rPr>
        <w:t>שָׁמוֹט כָּל־בַּעַל מַשֵּׁה יָדוֹ</w:t>
      </w:r>
      <w:r>
        <w:t xml:space="preserve"> (Erlass jedes Besitzers eines Darlehens seiner Hand) mit </w:t>
      </w:r>
      <w:proofErr w:type="spellStart"/>
      <w:r>
        <w:t>ἀφήσεις</w:t>
      </w:r>
      <w:proofErr w:type="spellEnd"/>
      <w:r>
        <w:t xml:space="preserve"> π</w:t>
      </w:r>
      <w:proofErr w:type="spellStart"/>
      <w:r>
        <w:t>ᾶν</w:t>
      </w:r>
      <w:proofErr w:type="spellEnd"/>
      <w:r>
        <w:t xml:space="preserve"> </w:t>
      </w:r>
      <w:proofErr w:type="spellStart"/>
      <w:r>
        <w:t>χρέος</w:t>
      </w:r>
      <w:proofErr w:type="spellEnd"/>
      <w:r>
        <w:t xml:space="preserve"> </w:t>
      </w:r>
      <w:proofErr w:type="spellStart"/>
      <w:r>
        <w:t>ἴδιον</w:t>
      </w:r>
      <w:proofErr w:type="spellEnd"/>
      <w:r>
        <w:t xml:space="preserve"> (du wirst jede eigene Schuld erlassen) – eine inhaltliche Verschiebung vom Gläubiger zur Schuld selbst.</w:t>
      </w:r>
    </w:p>
    <w:p w14:paraId="09DE1C74" w14:textId="77777777" w:rsidR="00F30413" w:rsidRDefault="00F30413" w:rsidP="00F30413">
      <w:pPr>
        <w:pStyle w:val="whitespace-normal"/>
      </w:pPr>
      <w:r>
        <w:rPr>
          <w:rStyle w:val="Fett"/>
          <w:rFonts w:eastAsiaTheme="majorEastAsia"/>
        </w:rPr>
        <w:t>Die Satzstruktur</w:t>
      </w:r>
      <w:r>
        <w:t xml:space="preserve"> besteht aus einem deiktischen Nominalsatz, einem Infinitivsatz (oder Imperativ), einem negativen Imperativ und kausaler Begründung: Prädikatsnomen (dies), Subjekt (die Sache des Erlasses); Prädikat (erlassen soll), Subjekt (jeder Gläubiger), Relativsatz (was er seinem Nächsten geliehen hat); negativer Imperativ (nicht soll er drängen), direktes Objekt (seinen Nächsten und seinen Bruder); kausale Begründung (denn man hat ausgerufen einen Erlass für JHWH).</w:t>
      </w:r>
    </w:p>
    <w:p w14:paraId="28F631A9" w14:textId="77777777" w:rsidR="00F30413" w:rsidRDefault="00F30413" w:rsidP="00F30413">
      <w:pPr>
        <w:pStyle w:val="whitespace-normal"/>
      </w:pPr>
      <w:r>
        <w:t>Der Vers definiert den Erlass: Jeder Gläubiger soll die Schuld seines Nächsten erlassen und nicht eintreiben, denn ein Erlass für JHWH ist proklamiert worden – der Schuldenerlass ist gottesdienstliche Pflicht.</w:t>
      </w:r>
    </w:p>
    <w:p w14:paraId="07DBD79F" w14:textId="77777777" w:rsidR="00F30413" w:rsidRPr="00F30413" w:rsidRDefault="00F30413" w:rsidP="00F30413">
      <w:pPr>
        <w:pStyle w:val="berschrift1"/>
        <w:rPr>
          <w:rFonts w:ascii="Times New Roman" w:hAnsi="Times New Roman"/>
          <w:color w:val="auto"/>
          <w:sz w:val="36"/>
          <w:szCs w:val="36"/>
        </w:rPr>
      </w:pPr>
      <w:r w:rsidRPr="00F30413">
        <w:rPr>
          <w:rStyle w:val="Fett"/>
          <w:rFonts w:ascii="Times New Roman" w:hAnsi="Times New Roman"/>
          <w:color w:val="auto"/>
          <w:sz w:val="36"/>
          <w:szCs w:val="36"/>
        </w:rPr>
        <w:t>Deuteronomium 15,3</w:t>
      </w:r>
    </w:p>
    <w:p w14:paraId="17EB9D38" w14:textId="77777777" w:rsidR="00F30413" w:rsidRDefault="00F30413" w:rsidP="00F30413">
      <w:pPr>
        <w:pStyle w:val="whitespace-normal"/>
      </w:pPr>
      <w:r>
        <w:rPr>
          <w:rStyle w:val="Fett"/>
          <w:rFonts w:eastAsiaTheme="majorEastAsia"/>
        </w:rPr>
        <w:t>Hebräisch:</w:t>
      </w:r>
      <w:r>
        <w:t xml:space="preserve"> </w:t>
      </w:r>
      <w:r>
        <w:rPr>
          <w:rtl/>
        </w:rPr>
        <w:t>אֶת־הַנָּכְרִ֖י תִּגֹּ֑שׂ וַאֲשֶׁ֨ר יִהְיֶ֥ה לְךָ֛ אֶת־אָחִ֖יךָ תַּשְׁמֵ֥ט יָדֶֽךָ׃</w:t>
      </w:r>
    </w:p>
    <w:p w14:paraId="44FB387F" w14:textId="77777777" w:rsidR="00F30413" w:rsidRDefault="00F30413" w:rsidP="00F30413">
      <w:pPr>
        <w:pStyle w:val="whitespace-normal"/>
      </w:pPr>
      <w:r>
        <w:rPr>
          <w:rStyle w:val="Fett"/>
          <w:rFonts w:eastAsiaTheme="majorEastAsia"/>
        </w:rPr>
        <w:t>Deutsch:</w:t>
      </w:r>
      <w:r>
        <w:t xml:space="preserve"> Den Ausländer magst du drängen; was du aber bei deinem Bruder hast, soll deine Hand erlassen.</w:t>
      </w:r>
    </w:p>
    <w:p w14:paraId="74B34117" w14:textId="77777777" w:rsidR="00F30413" w:rsidRDefault="004F5CEB" w:rsidP="00F30413">
      <w:r>
        <w:rPr>
          <w:noProof/>
        </w:rPr>
        <w:pict w14:anchorId="364B1838">
          <v:rect id="_x0000_i1447" style="width:0;height:1.5pt" o:hralign="center" o:hrstd="t" o:hr="t" fillcolor="#a0a0a0" stroked="f"/>
        </w:pict>
      </w:r>
    </w:p>
    <w:p w14:paraId="1BD51135" w14:textId="77777777" w:rsidR="00F30413" w:rsidRDefault="00F30413" w:rsidP="00F30413">
      <w:pPr>
        <w:pStyle w:val="whitespace-normal"/>
      </w:pPr>
      <w:r>
        <w:rPr>
          <w:rStyle w:val="Fett"/>
          <w:rFonts w:eastAsiaTheme="majorEastAsia"/>
        </w:rPr>
        <w:t>Kommentar:</w:t>
      </w:r>
      <w:r>
        <w:t xml:space="preserve"> </w:t>
      </w:r>
      <w:r>
        <w:rPr>
          <w:rStyle w:val="Fett"/>
          <w:rFonts w:eastAsiaTheme="majorEastAsia"/>
          <w:rtl/>
        </w:rPr>
        <w:t>אֶת־הַנָּכְרִי תִּגֹּשׂ</w:t>
      </w:r>
      <w:r>
        <w:rPr>
          <w:rtl/>
        </w:rPr>
        <w:t xml:space="preserve"> </w:t>
      </w:r>
      <w:r>
        <w:t xml:space="preserve">ist ein Imperativsatz: </w:t>
      </w:r>
      <w:r>
        <w:rPr>
          <w:rStyle w:val="Fett"/>
          <w:rFonts w:eastAsiaTheme="majorEastAsia"/>
          <w:rtl/>
        </w:rPr>
        <w:t>אֶת־הַנָּכְרִי</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נָכְרִי</w:t>
      </w:r>
      <w:r>
        <w:t xml:space="preserve">, „Ausländer, Fremder", mit Artikel) als vorangestelltes direktes Objekt und </w:t>
      </w:r>
      <w:r>
        <w:rPr>
          <w:rStyle w:val="Fett"/>
          <w:rFonts w:eastAsiaTheme="majorEastAsia"/>
          <w:rtl/>
        </w:rPr>
        <w:t>תִּגֹּשׂ</w:t>
      </w:r>
      <w:r>
        <w:rPr>
          <w:rtl/>
        </w:rPr>
        <w:t xml:space="preserve"> </w:t>
      </w:r>
      <w:r>
        <w:t xml:space="preserve">(Qal Imperfekt, 2. Person Maskulinum Singular von </w:t>
      </w:r>
      <w:r>
        <w:rPr>
          <w:rStyle w:val="Fett"/>
          <w:rFonts w:eastAsiaTheme="majorEastAsia"/>
          <w:rtl/>
        </w:rPr>
        <w:t>נגשׂ</w:t>
      </w:r>
      <w:r>
        <w:t>, „drängen, eintreiben") als Prädikat.</w:t>
      </w:r>
    </w:p>
    <w:p w14:paraId="5801EFDA" w14:textId="77777777" w:rsidR="00F30413" w:rsidRDefault="00F30413" w:rsidP="00F30413">
      <w:pPr>
        <w:pStyle w:val="whitespace-normal"/>
      </w:pPr>
      <w:r>
        <w:rPr>
          <w:rStyle w:val="Fett"/>
          <w:rFonts w:eastAsiaTheme="majorEastAsia"/>
          <w:rtl/>
        </w:rPr>
        <w:t>וַאֲשֶׁר יִהְיֶה לְךָ אֶת־אָחִיךָ תַּשְׁמֵט יָדֶךָ</w:t>
      </w:r>
      <w:r>
        <w:rPr>
          <w:rtl/>
        </w:rPr>
        <w:t xml:space="preserve"> </w:t>
      </w:r>
      <w:r>
        <w:t xml:space="preserve">ist der kontrastierende zweite Satz: </w:t>
      </w:r>
      <w:r>
        <w:rPr>
          <w:rStyle w:val="Fett"/>
          <w:rFonts w:eastAsiaTheme="majorEastAsia"/>
          <w:rtl/>
        </w:rPr>
        <w:t>וַאֲשֶׁר יִהְיֶה לְךָ</w:t>
      </w:r>
      <w:r>
        <w:rPr>
          <w:rtl/>
        </w:rPr>
        <w:t xml:space="preserve"> </w:t>
      </w:r>
      <w:r>
        <w:t xml:space="preserve">(koordiniert durch </w:t>
      </w:r>
      <w:r>
        <w:rPr>
          <w:rStyle w:val="Fett"/>
          <w:rFonts w:eastAsiaTheme="majorEastAsia"/>
          <w:rtl/>
        </w:rPr>
        <w:t>וְ</w:t>
      </w:r>
      <w:r>
        <w:rPr>
          <w:rtl/>
        </w:rPr>
        <w:t xml:space="preserve"> </w:t>
      </w:r>
      <w:r>
        <w:t xml:space="preserve">mit Relativsatz: </w:t>
      </w:r>
      <w:r>
        <w:rPr>
          <w:rStyle w:val="Fett"/>
          <w:rFonts w:eastAsiaTheme="majorEastAsia"/>
          <w:rtl/>
        </w:rPr>
        <w:t>אֲשֶׁר יִהְיֶה</w:t>
      </w:r>
      <w:r>
        <w:t xml:space="preserve">, </w:t>
      </w:r>
      <w:r>
        <w:rPr>
          <w:rStyle w:val="Fett"/>
          <w:rFonts w:eastAsiaTheme="majorEastAsia"/>
          <w:rtl/>
        </w:rPr>
        <w:t>אֲשֶׁר</w:t>
      </w:r>
      <w:r>
        <w:rPr>
          <w:rtl/>
        </w:rPr>
        <w:t xml:space="preserve"> </w:t>
      </w:r>
      <w:r>
        <w:t xml:space="preserve">mit </w:t>
      </w:r>
      <w:r>
        <w:rPr>
          <w:rStyle w:val="Fett"/>
          <w:rFonts w:eastAsiaTheme="majorEastAsia"/>
          <w:rtl/>
        </w:rPr>
        <w:t>יִהְיֶה</w:t>
      </w:r>
      <w:r>
        <w:t xml:space="preserve">, Qal Imperfekt, 3. Person Maskulinum Singular von </w:t>
      </w:r>
      <w:r>
        <w:rPr>
          <w:rStyle w:val="Fett"/>
          <w:rFonts w:eastAsiaTheme="majorEastAsia"/>
          <w:rtl/>
        </w:rPr>
        <w:t>היה</w:t>
      </w:r>
      <w:r>
        <w:t xml:space="preserve">, „sein", und </w:t>
      </w:r>
      <w:r>
        <w:rPr>
          <w:rStyle w:val="Fett"/>
          <w:rFonts w:eastAsiaTheme="majorEastAsia"/>
          <w:rtl/>
        </w:rPr>
        <w:t>לְךָ</w:t>
      </w:r>
      <w:r>
        <w:t xml:space="preserve">, Präposition </w:t>
      </w:r>
      <w:r>
        <w:rPr>
          <w:rStyle w:val="Fett"/>
          <w:rFonts w:eastAsiaTheme="majorEastAsia"/>
          <w:rtl/>
        </w:rPr>
        <w:t>לְ</w:t>
      </w:r>
      <w:r>
        <w:rPr>
          <w:rtl/>
        </w:rPr>
        <w:t xml:space="preserve"> </w:t>
      </w:r>
      <w:r>
        <w:t xml:space="preserve">mit Suffix 2. Person Maskulinum Singular, „was bei dir sein wird, was du haben wirst"), </w:t>
      </w:r>
      <w:r>
        <w:rPr>
          <w:rStyle w:val="Fett"/>
          <w:rFonts w:eastAsiaTheme="majorEastAsia"/>
          <w:rtl/>
        </w:rPr>
        <w:t>אֶת־אָחִיךָ</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אָח</w:t>
      </w:r>
      <w:r>
        <w:t xml:space="preserve">, „Bruder", mit Suffix 2. Person Maskulinum Singular, „bei/von deinem Bruder") als präpositionale Bestimmung, </w:t>
      </w:r>
      <w:r>
        <w:rPr>
          <w:rStyle w:val="Fett"/>
          <w:rFonts w:eastAsiaTheme="majorEastAsia"/>
          <w:rtl/>
        </w:rPr>
        <w:t>תַּשְׁמֵט</w:t>
      </w:r>
      <w:r>
        <w:rPr>
          <w:rtl/>
        </w:rPr>
        <w:t xml:space="preserve"> </w:t>
      </w:r>
      <w:r>
        <w:t xml:space="preserve">(Hiphil Imperfekt, 3. Person feminin Singular von </w:t>
      </w:r>
      <w:r>
        <w:rPr>
          <w:rStyle w:val="Fett"/>
          <w:rFonts w:eastAsiaTheme="majorEastAsia"/>
          <w:rtl/>
        </w:rPr>
        <w:t>שׁמט</w:t>
      </w:r>
      <w:r>
        <w:t xml:space="preserve">, „loslassen, </w:t>
      </w:r>
      <w:r>
        <w:lastRenderedPageBreak/>
        <w:t xml:space="preserve">erlassen") als Prädikat und </w:t>
      </w:r>
      <w:r>
        <w:rPr>
          <w:rStyle w:val="Fett"/>
          <w:rFonts w:eastAsiaTheme="majorEastAsia"/>
          <w:rtl/>
        </w:rPr>
        <w:t>יָדֶךָ</w:t>
      </w:r>
      <w:r>
        <w:rPr>
          <w:rtl/>
        </w:rPr>
        <w:t xml:space="preserve"> </w:t>
      </w:r>
      <w:r>
        <w:t>(</w:t>
      </w:r>
      <w:r>
        <w:rPr>
          <w:rStyle w:val="Fett"/>
          <w:rFonts w:eastAsiaTheme="majorEastAsia"/>
          <w:rtl/>
        </w:rPr>
        <w:t>יָד</w:t>
      </w:r>
      <w:r>
        <w:t>, „Hand", mit Suffix 2. Person Maskulinum Singular) als Subjekt.</w:t>
      </w:r>
    </w:p>
    <w:p w14:paraId="5D5B509D" w14:textId="77777777" w:rsidR="00F30413" w:rsidRDefault="00F30413" w:rsidP="00F30413">
      <w:pPr>
        <w:pStyle w:val="whitespace-normal"/>
      </w:pPr>
      <w:r>
        <w:t xml:space="preserve">Der Vers differenziert zwischen </w:t>
      </w:r>
      <w:r>
        <w:rPr>
          <w:rStyle w:val="Fett"/>
          <w:rFonts w:eastAsiaTheme="majorEastAsia"/>
          <w:rtl/>
        </w:rPr>
        <w:t>נָכְרִי</w:t>
      </w:r>
      <w:r>
        <w:rPr>
          <w:rtl/>
        </w:rPr>
        <w:t xml:space="preserve"> </w:t>
      </w:r>
      <w:r>
        <w:t xml:space="preserve">(„Ausländer") und </w:t>
      </w:r>
      <w:r>
        <w:rPr>
          <w:rStyle w:val="Fett"/>
          <w:rFonts w:eastAsiaTheme="majorEastAsia"/>
          <w:rtl/>
        </w:rPr>
        <w:t>אָח</w:t>
      </w:r>
      <w:r>
        <w:rPr>
          <w:rtl/>
        </w:rPr>
        <w:t xml:space="preserve"> </w:t>
      </w:r>
      <w:r>
        <w:t xml:space="preserve">(„Bruder"): Den Ausländer – einen Nicht-Israeliten – darf man weiterhin zur Rückzahlung drängen. Was man aber einem israelitischen Bruder geliehen hat, soll man erlassen. Die Voranstellung von </w:t>
      </w:r>
      <w:r>
        <w:rPr>
          <w:rStyle w:val="Fett"/>
          <w:rFonts w:eastAsiaTheme="majorEastAsia"/>
          <w:rtl/>
        </w:rPr>
        <w:t>אֶת־הַנָּכְרִי</w:t>
      </w:r>
      <w:r>
        <w:rPr>
          <w:rtl/>
        </w:rPr>
        <w:t xml:space="preserve"> </w:t>
      </w:r>
      <w:r>
        <w:t>betont den Kontrast.</w:t>
      </w:r>
    </w:p>
    <w:p w14:paraId="13308FBF" w14:textId="77777777" w:rsidR="00F30413" w:rsidRDefault="00F30413" w:rsidP="00F30413">
      <w:pPr>
        <w:pStyle w:val="whitespace-normal"/>
      </w:pPr>
      <w:r>
        <w:t xml:space="preserve">Die Konstruktion </w:t>
      </w:r>
      <w:r>
        <w:rPr>
          <w:rStyle w:val="Fett"/>
          <w:rFonts w:eastAsiaTheme="majorEastAsia"/>
          <w:rtl/>
        </w:rPr>
        <w:t>אֲשֶׁר יִהְיֶה לְךָ אֶת־אָחִיךָ</w:t>
      </w:r>
      <w:r>
        <w:rPr>
          <w:rtl/>
        </w:rPr>
        <w:t xml:space="preserve"> </w:t>
      </w:r>
      <w:r>
        <w:t xml:space="preserve">ist ungewöhnlich und bedeutet wörtlich „was bei dir sein wird bei/von deinem Bruder" = „was du bei deinem Bruder hast" = „was dein Bruder dir schuldet". Die feminine Form </w:t>
      </w:r>
      <w:r>
        <w:rPr>
          <w:rStyle w:val="Fett"/>
          <w:rFonts w:eastAsiaTheme="majorEastAsia"/>
          <w:rtl/>
        </w:rPr>
        <w:t>תַּשְׁמֵט</w:t>
      </w:r>
      <w:r>
        <w:rPr>
          <w:rtl/>
        </w:rPr>
        <w:t xml:space="preserve"> </w:t>
      </w:r>
      <w:r>
        <w:t xml:space="preserve">stimmt mit </w:t>
      </w:r>
      <w:r>
        <w:rPr>
          <w:rStyle w:val="Fett"/>
          <w:rFonts w:eastAsiaTheme="majorEastAsia"/>
          <w:rtl/>
        </w:rPr>
        <w:t>יָדֶךָ</w:t>
      </w:r>
      <w:r>
        <w:rPr>
          <w:rtl/>
        </w:rPr>
        <w:t xml:space="preserve"> </w:t>
      </w:r>
      <w:r>
        <w:t>(„deine Hand", feminin) überein: „deine Hand soll erlassen".</w:t>
      </w:r>
    </w:p>
    <w:p w14:paraId="49075DC4" w14:textId="77777777" w:rsidR="00F30413" w:rsidRDefault="00F30413" w:rsidP="00F30413">
      <w:pPr>
        <w:pStyle w:val="whitespace-normal"/>
      </w:pPr>
      <w:r>
        <w:t xml:space="preserve">Der Unterschied zwischen </w:t>
      </w:r>
      <w:r>
        <w:rPr>
          <w:rStyle w:val="Fett"/>
          <w:rFonts w:eastAsiaTheme="majorEastAsia"/>
          <w:rtl/>
        </w:rPr>
        <w:t>נָכְרִי</w:t>
      </w:r>
      <w:r>
        <w:rPr>
          <w:rtl/>
        </w:rPr>
        <w:t xml:space="preserve"> </w:t>
      </w:r>
      <w:r>
        <w:t xml:space="preserve">(Ausländer) und </w:t>
      </w:r>
      <w:r>
        <w:rPr>
          <w:rStyle w:val="Fett"/>
          <w:rFonts w:eastAsiaTheme="majorEastAsia"/>
          <w:rtl/>
        </w:rPr>
        <w:t>גֵּר</w:t>
      </w:r>
      <w:r>
        <w:rPr>
          <w:rtl/>
        </w:rPr>
        <w:t xml:space="preserve"> </w:t>
      </w:r>
      <w:r>
        <w:t xml:space="preserve">(ansässiger Fremder, vgl. 14,21.29) ist wichtig: Der </w:t>
      </w:r>
      <w:r>
        <w:rPr>
          <w:rStyle w:val="Fett"/>
          <w:rFonts w:eastAsiaTheme="majorEastAsia"/>
          <w:rtl/>
        </w:rPr>
        <w:t>גֵּר</w:t>
      </w:r>
      <w:r>
        <w:rPr>
          <w:rtl/>
        </w:rPr>
        <w:t xml:space="preserve"> </w:t>
      </w:r>
      <w:r>
        <w:t xml:space="preserve">lebt in Israel und steht unter Schutz; der </w:t>
      </w:r>
      <w:r>
        <w:rPr>
          <w:rStyle w:val="Fett"/>
          <w:rFonts w:eastAsiaTheme="majorEastAsia"/>
          <w:rtl/>
        </w:rPr>
        <w:t>נָכְרִי</w:t>
      </w:r>
      <w:r>
        <w:rPr>
          <w:rtl/>
        </w:rPr>
        <w:t xml:space="preserve"> </w:t>
      </w:r>
      <w:r>
        <w:t xml:space="preserve">ist Ausländer von außerhalb. Nur für israelitische Brüder (und vermutlich auch für </w:t>
      </w:r>
      <w:r>
        <w:rPr>
          <w:rStyle w:val="Fett"/>
          <w:rFonts w:eastAsiaTheme="majorEastAsia"/>
          <w:rtl/>
        </w:rPr>
        <w:t>גֵּרִים</w:t>
      </w:r>
      <w:r>
        <w:t xml:space="preserve">) gilt die </w:t>
      </w:r>
      <w:r>
        <w:rPr>
          <w:rStyle w:val="Fett"/>
          <w:rFonts w:eastAsiaTheme="majorEastAsia"/>
          <w:rtl/>
        </w:rPr>
        <w:t>שְׁמִטָּה</w:t>
      </w:r>
      <w:r>
        <w:t>.</w:t>
      </w:r>
    </w:p>
    <w:p w14:paraId="3AA4F7B4" w14:textId="24CA3A65" w:rsidR="00F30413" w:rsidRDefault="00F30413" w:rsidP="00F30413">
      <w:pPr>
        <w:pStyle w:val="whitespace-normal"/>
      </w:pPr>
      <w:r>
        <w:t>Die Regelung ist pragmatisch: Internationale Geschäftsbeziehungen würden zusammenbrechen, wenn Israel auch ausländischen Gläubigern nicht zurückzahlen müsste. Umgekehrt gilt der Erlass nur innerhalb der Bundesgemeinschaft.</w:t>
      </w:r>
    </w:p>
    <w:p w14:paraId="7D2F0769" w14:textId="24760E2E" w:rsidR="00EC21B0" w:rsidRDefault="00EC21B0" w:rsidP="00F30413">
      <w:pPr>
        <w:pStyle w:val="whitespace-normal"/>
      </w:pPr>
      <w:r>
        <w:rPr>
          <w:rStyle w:val="Fett"/>
        </w:rPr>
        <w:t>Die LXX</w:t>
      </w:r>
      <w:r>
        <w:t xml:space="preserve"> fügt </w:t>
      </w:r>
      <w:proofErr w:type="spellStart"/>
      <w:r>
        <w:t>τοῦ</w:t>
      </w:r>
      <w:proofErr w:type="spellEnd"/>
      <w:r>
        <w:t xml:space="preserve"> </w:t>
      </w:r>
      <w:proofErr w:type="spellStart"/>
      <w:r>
        <w:t>χρέους</w:t>
      </w:r>
      <w:proofErr w:type="spellEnd"/>
      <w:r>
        <w:t xml:space="preserve"> </w:t>
      </w:r>
      <w:proofErr w:type="spellStart"/>
      <w:r>
        <w:t>σου</w:t>
      </w:r>
      <w:proofErr w:type="spellEnd"/>
      <w:r>
        <w:t xml:space="preserve"> (deiner Schuldforderung) am Ende hinzu, was im MT nicht explizit steht – eine verdeutlichende Ergänzung.</w:t>
      </w:r>
    </w:p>
    <w:p w14:paraId="65BF8383" w14:textId="77777777" w:rsidR="00F30413" w:rsidRDefault="00F30413" w:rsidP="00F30413">
      <w:pPr>
        <w:pStyle w:val="whitespace-normal"/>
      </w:pPr>
      <w:r>
        <w:rPr>
          <w:rStyle w:val="Fett"/>
          <w:rFonts w:eastAsiaTheme="majorEastAsia"/>
        </w:rPr>
        <w:t>Die Satzstruktur</w:t>
      </w:r>
      <w:r>
        <w:t xml:space="preserve"> besteht aus zwei kontrastierenden Sätzen: Erster Satz mit vorangestelltem direktem Objekt (den Ausländer), Prädikat (magst du drängen); zweiter Satz mit Relativsatz (was bei dir sein wird), präpositionaler Bestimmung (bei deinem Bruder), Prädikat (soll erlassen), Subjekt (deine Hand).</w:t>
      </w:r>
    </w:p>
    <w:p w14:paraId="7F253198" w14:textId="77777777" w:rsidR="00F30413" w:rsidRDefault="00F30413" w:rsidP="00F30413">
      <w:pPr>
        <w:pStyle w:val="whitespace-normal"/>
      </w:pPr>
      <w:r>
        <w:t>Der Vers grenzt ab: Den Ausländer darfst du zur Zahlung drängen, aber was dein israelitischer Bruder dir schuldet, soll deine Hand erlassen – der Erlass gilt nur innerhalb Israels.</w:t>
      </w:r>
    </w:p>
    <w:p w14:paraId="50ECA1D5" w14:textId="77777777" w:rsidR="00F30413" w:rsidRPr="00F30413" w:rsidRDefault="00F30413" w:rsidP="00F30413">
      <w:pPr>
        <w:pStyle w:val="berschrift1"/>
        <w:rPr>
          <w:rFonts w:ascii="Times New Roman" w:hAnsi="Times New Roman"/>
          <w:color w:val="auto"/>
          <w:sz w:val="36"/>
          <w:szCs w:val="36"/>
        </w:rPr>
      </w:pPr>
      <w:r w:rsidRPr="00F30413">
        <w:rPr>
          <w:rStyle w:val="Fett"/>
          <w:rFonts w:ascii="Times New Roman" w:hAnsi="Times New Roman"/>
          <w:color w:val="auto"/>
          <w:sz w:val="36"/>
          <w:szCs w:val="36"/>
        </w:rPr>
        <w:t>Deuteronomium 15,4</w:t>
      </w:r>
    </w:p>
    <w:p w14:paraId="21094DE9" w14:textId="77777777" w:rsidR="00F30413" w:rsidRDefault="00F30413" w:rsidP="00F30413">
      <w:pPr>
        <w:pStyle w:val="whitespace-normal"/>
      </w:pPr>
      <w:r>
        <w:rPr>
          <w:rStyle w:val="Fett"/>
          <w:rFonts w:eastAsiaTheme="majorEastAsia"/>
        </w:rPr>
        <w:t>Hebräisch:</w:t>
      </w:r>
      <w:r>
        <w:t xml:space="preserve"> </w:t>
      </w:r>
      <w:r>
        <w:rPr>
          <w:rtl/>
        </w:rPr>
        <w:t>אֶ֕פֶס כִּ֛י לֹ֥א יִֽהְיֶה־בְּךָ֖ אֶבְי֑וֹן כִּֽי־בָרֵ֤ךְ יְבָֽרֶכְךָ֙ יְהוָ֔ה בָּאָ֕רֶץ אֲשֶׁר֙ יְהוָ֣ה אֱלֹהֶ֔יךָ נֹֽתֵן־לְךָ֥ נַחֲלָ֖ה לְרִשְׁתָּֽהּ׃</w:t>
      </w:r>
    </w:p>
    <w:p w14:paraId="7CFE9BD6" w14:textId="77777777" w:rsidR="00F30413" w:rsidRDefault="00F30413" w:rsidP="00F30413">
      <w:pPr>
        <w:pStyle w:val="whitespace-normal"/>
      </w:pPr>
      <w:r>
        <w:rPr>
          <w:rStyle w:val="Fett"/>
          <w:rFonts w:eastAsiaTheme="majorEastAsia"/>
        </w:rPr>
        <w:t>Deutsch:</w:t>
      </w:r>
      <w:r>
        <w:t xml:space="preserve"> Es sollte zwar kein Armer unter dir sein; denn der Ewige wird dich reichlich segnen in dem Land, das der Ewige, dein Gott, dir als Erbteil gibt, es zu besitzen.</w:t>
      </w:r>
    </w:p>
    <w:p w14:paraId="4EAD69C9" w14:textId="77777777" w:rsidR="00F30413" w:rsidRDefault="004F5CEB" w:rsidP="00F30413">
      <w:r>
        <w:rPr>
          <w:noProof/>
        </w:rPr>
        <w:pict w14:anchorId="79ECE146">
          <v:rect id="_x0000_i1448" style="width:0;height:1.5pt" o:hralign="center" o:hrstd="t" o:hr="t" fillcolor="#a0a0a0" stroked="f"/>
        </w:pict>
      </w:r>
    </w:p>
    <w:p w14:paraId="6DC02666" w14:textId="77777777" w:rsidR="00F30413" w:rsidRDefault="00F30413" w:rsidP="00F30413">
      <w:pPr>
        <w:pStyle w:val="whitespace-normal"/>
      </w:pPr>
      <w:r>
        <w:rPr>
          <w:rStyle w:val="Fett"/>
          <w:rFonts w:eastAsiaTheme="majorEastAsia"/>
        </w:rPr>
        <w:t>Kommentar:</w:t>
      </w:r>
      <w:r>
        <w:t xml:space="preserve"> </w:t>
      </w:r>
      <w:r>
        <w:rPr>
          <w:rStyle w:val="Fett"/>
          <w:rFonts w:eastAsiaTheme="majorEastAsia"/>
          <w:rtl/>
        </w:rPr>
        <w:t>אֶפֶס כִּי לֹא יִהְיֶה־בְּךָ אֶבְיוֹן</w:t>
      </w:r>
      <w:r>
        <w:rPr>
          <w:rtl/>
        </w:rPr>
        <w:t xml:space="preserve"> </w:t>
      </w:r>
      <w:r>
        <w:t xml:space="preserve">ist ein einschränkender Satz: </w:t>
      </w:r>
      <w:r>
        <w:rPr>
          <w:rStyle w:val="Fett"/>
          <w:rFonts w:eastAsiaTheme="majorEastAsia"/>
          <w:rtl/>
        </w:rPr>
        <w:t>אֶפֶס</w:t>
      </w:r>
      <w:r>
        <w:rPr>
          <w:rtl/>
        </w:rPr>
        <w:t xml:space="preserve"> </w:t>
      </w:r>
      <w:r>
        <w:t xml:space="preserve">(„jedoch, nur, außer, zwar") als restriktive oder kontrastierende Partikel, </w:t>
      </w:r>
      <w:r>
        <w:rPr>
          <w:rStyle w:val="Fett"/>
          <w:rFonts w:eastAsiaTheme="majorEastAsia"/>
          <w:rtl/>
        </w:rPr>
        <w:t>כִּי</w:t>
      </w:r>
      <w:r>
        <w:rPr>
          <w:rtl/>
        </w:rPr>
        <w:t xml:space="preserve"> </w:t>
      </w:r>
      <w:r>
        <w:t xml:space="preserve">(„dass, denn") als Konjunktion (hier einleitend), </w:t>
      </w:r>
      <w:r>
        <w:rPr>
          <w:rStyle w:val="Fett"/>
          <w:rFonts w:eastAsiaTheme="majorEastAsia"/>
          <w:rtl/>
        </w:rPr>
        <w:t>לֹא יִהְיֶה</w:t>
      </w:r>
      <w:r>
        <w:rPr>
          <w:rtl/>
        </w:rPr>
        <w:t xml:space="preserve"> </w:t>
      </w:r>
      <w:r>
        <w:t xml:space="preserve">(Negation </w:t>
      </w:r>
      <w:r>
        <w:rPr>
          <w:rStyle w:val="Fett"/>
          <w:rFonts w:eastAsiaTheme="majorEastAsia"/>
          <w:rtl/>
        </w:rPr>
        <w:t>לֹא</w:t>
      </w:r>
      <w:r>
        <w:rPr>
          <w:rtl/>
        </w:rPr>
        <w:t xml:space="preserve"> </w:t>
      </w:r>
      <w:r>
        <w:t xml:space="preserve">mit </w:t>
      </w:r>
      <w:r>
        <w:rPr>
          <w:rStyle w:val="Fett"/>
          <w:rFonts w:eastAsiaTheme="majorEastAsia"/>
          <w:rtl/>
        </w:rPr>
        <w:t>היה</w:t>
      </w:r>
      <w:r>
        <w:t xml:space="preserve">, Qal Imperfekt, 3. Person Maskulinum Singular, „sein"), </w:t>
      </w:r>
      <w:r>
        <w:rPr>
          <w:rStyle w:val="Fett"/>
          <w:rFonts w:eastAsiaTheme="majorEastAsia"/>
          <w:rtl/>
        </w:rPr>
        <w:t>בְּךָ</w:t>
      </w:r>
      <w:r>
        <w:rPr>
          <w:rtl/>
        </w:rPr>
        <w:t xml:space="preserve"> </w:t>
      </w:r>
      <w:r>
        <w:t xml:space="preserve">(Präposition </w:t>
      </w:r>
      <w:r>
        <w:rPr>
          <w:rStyle w:val="Fett"/>
          <w:rFonts w:eastAsiaTheme="majorEastAsia"/>
          <w:rtl/>
        </w:rPr>
        <w:t>בְּ</w:t>
      </w:r>
      <w:r>
        <w:rPr>
          <w:rtl/>
        </w:rPr>
        <w:t xml:space="preserve"> </w:t>
      </w:r>
      <w:r>
        <w:t xml:space="preserve">mit Suffix 2. Person Maskulinum Singular, „in dir, unter dir") als lokale Bestimmung und </w:t>
      </w:r>
      <w:r>
        <w:rPr>
          <w:rStyle w:val="Fett"/>
          <w:rFonts w:eastAsiaTheme="majorEastAsia"/>
          <w:rtl/>
        </w:rPr>
        <w:t>אֶבְיוֹן</w:t>
      </w:r>
      <w:r>
        <w:rPr>
          <w:rtl/>
        </w:rPr>
        <w:t xml:space="preserve"> </w:t>
      </w:r>
      <w:r>
        <w:t>(</w:t>
      </w:r>
      <w:r>
        <w:rPr>
          <w:rStyle w:val="Fett"/>
          <w:rFonts w:eastAsiaTheme="majorEastAsia"/>
          <w:rtl/>
        </w:rPr>
        <w:t>אֶבְיוֹן</w:t>
      </w:r>
      <w:r>
        <w:t>, „Armer, Bedürftiger") als Subjekt.</w:t>
      </w:r>
    </w:p>
    <w:p w14:paraId="7F8E03D9" w14:textId="77777777" w:rsidR="00F30413" w:rsidRDefault="00F30413" w:rsidP="00F30413">
      <w:pPr>
        <w:pStyle w:val="whitespace-normal"/>
      </w:pPr>
      <w:r>
        <w:rPr>
          <w:rStyle w:val="Fett"/>
          <w:rFonts w:eastAsiaTheme="majorEastAsia"/>
          <w:rtl/>
        </w:rPr>
        <w:lastRenderedPageBreak/>
        <w:t>כִּי־בָרֵךְ יְבָרֶכְךָ יְהוָה בָּאָרֶץ אֲשֶׁר יְהוָה אֱלֹהֶיךָ נֹתֵן־לְךָ נַחֲלָה לְרִשְׁתָּהּ</w:t>
      </w:r>
      <w:r>
        <w:rPr>
          <w:rtl/>
        </w:rPr>
        <w:t xml:space="preserve"> </w:t>
      </w:r>
      <w:r>
        <w:t xml:space="preserve">ist die kausale Begründung: </w:t>
      </w:r>
      <w:r>
        <w:rPr>
          <w:rStyle w:val="Fett"/>
          <w:rFonts w:eastAsiaTheme="majorEastAsia"/>
          <w:rtl/>
        </w:rPr>
        <w:t>כִּי</w:t>
      </w:r>
      <w:r>
        <w:rPr>
          <w:rtl/>
        </w:rPr>
        <w:t xml:space="preserve"> </w:t>
      </w:r>
      <w:r>
        <w:t xml:space="preserve">(„denn, weil") als kausale Konjunktion, </w:t>
      </w:r>
      <w:r>
        <w:rPr>
          <w:rStyle w:val="Fett"/>
          <w:rFonts w:eastAsiaTheme="majorEastAsia"/>
          <w:rtl/>
        </w:rPr>
        <w:t>בָרֵךְ יְבָרֶכְךָ</w:t>
      </w:r>
      <w:r>
        <w:rPr>
          <w:rtl/>
        </w:rPr>
        <w:t xml:space="preserve"> </w:t>
      </w:r>
      <w:r>
        <w:t xml:space="preserve">(Piel Infinitiv Absolut </w:t>
      </w:r>
      <w:r>
        <w:rPr>
          <w:rStyle w:val="Fett"/>
          <w:rFonts w:eastAsiaTheme="majorEastAsia"/>
          <w:rtl/>
        </w:rPr>
        <w:t>בָרֵךְ</w:t>
      </w:r>
      <w:r>
        <w:rPr>
          <w:rtl/>
        </w:rPr>
        <w:t xml:space="preserve"> </w:t>
      </w:r>
      <w:r>
        <w:t xml:space="preserve">mit Piel Imperfekt </w:t>
      </w:r>
      <w:r>
        <w:rPr>
          <w:rStyle w:val="Fett"/>
          <w:rFonts w:eastAsiaTheme="majorEastAsia"/>
          <w:rtl/>
        </w:rPr>
        <w:t>יְבָרֶכְךָ</w:t>
      </w:r>
      <w:r>
        <w:t xml:space="preserve">, 3. Person Maskulinum Singular von </w:t>
      </w:r>
      <w:r>
        <w:rPr>
          <w:rStyle w:val="Fett"/>
          <w:rFonts w:eastAsiaTheme="majorEastAsia"/>
          <w:rtl/>
        </w:rPr>
        <w:t>ברך</w:t>
      </w:r>
      <w:r>
        <w:t xml:space="preserve">, „segnen", mit Suffix 2. Person Maskulinum Singular, emphatisch „reichlich segnen, gewiss segnen"), </w:t>
      </w:r>
      <w:r>
        <w:rPr>
          <w:rStyle w:val="Fett"/>
          <w:rFonts w:eastAsiaTheme="majorEastAsia"/>
          <w:rtl/>
        </w:rPr>
        <w:t>יְהוָה</w:t>
      </w:r>
      <w:r>
        <w:rPr>
          <w:rtl/>
        </w:rPr>
        <w:t xml:space="preserve"> </w:t>
      </w:r>
      <w:r>
        <w:t xml:space="preserve">als Subjekt, </w:t>
      </w:r>
      <w:r>
        <w:rPr>
          <w:rStyle w:val="Fett"/>
          <w:rFonts w:eastAsiaTheme="majorEastAsia"/>
          <w:rtl/>
        </w:rPr>
        <w:t>בָּאָרֶץ</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אֶרֶץ</w:t>
      </w:r>
      <w:r>
        <w:t xml:space="preserve">, „Land", mit Artikel) als lokale Bestimmung, </w:t>
      </w:r>
      <w:r>
        <w:rPr>
          <w:rStyle w:val="Fett"/>
          <w:rFonts w:eastAsiaTheme="majorEastAsia"/>
          <w:rtl/>
        </w:rPr>
        <w:t>אֲשֶׁר יְהוָה אֱלֹהֶיךָ נֹתֵן־לְךָ</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נֹתֵן</w:t>
      </w:r>
      <w:r>
        <w:t xml:space="preserve">, Qal Partizip Maskulinum Singular von </w:t>
      </w:r>
      <w:r>
        <w:rPr>
          <w:rStyle w:val="Fett"/>
          <w:rFonts w:eastAsiaTheme="majorEastAsia"/>
          <w:rtl/>
        </w:rPr>
        <w:t>נתן</w:t>
      </w:r>
      <w:r>
        <w:t xml:space="preserve">, „geben", </w:t>
      </w:r>
      <w:r>
        <w:rPr>
          <w:rStyle w:val="Fett"/>
          <w:rFonts w:eastAsiaTheme="majorEastAsia"/>
          <w:rtl/>
        </w:rPr>
        <w:t>יְהוָה אֱלֹהֶיךָ</w:t>
      </w:r>
      <w:r>
        <w:rPr>
          <w:rtl/>
        </w:rPr>
        <w:t xml:space="preserve"> </w:t>
      </w:r>
      <w:r>
        <w:t xml:space="preserve">als Subjekt, und </w:t>
      </w:r>
      <w:r>
        <w:rPr>
          <w:rStyle w:val="Fett"/>
          <w:rFonts w:eastAsiaTheme="majorEastAsia"/>
          <w:rtl/>
        </w:rPr>
        <w:t>לְךָ</w:t>
      </w:r>
      <w:r>
        <w:t xml:space="preserve">, Präposition </w:t>
      </w:r>
      <w:r>
        <w:rPr>
          <w:rStyle w:val="Fett"/>
          <w:rFonts w:eastAsiaTheme="majorEastAsia"/>
          <w:rtl/>
        </w:rPr>
        <w:t>לְ</w:t>
      </w:r>
      <w:r>
        <w:rPr>
          <w:rtl/>
        </w:rPr>
        <w:t xml:space="preserve"> </w:t>
      </w:r>
      <w:r>
        <w:t xml:space="preserve">mit Suffix 2. Person Maskulinum Singular), </w:t>
      </w:r>
      <w:r>
        <w:rPr>
          <w:rStyle w:val="Fett"/>
          <w:rFonts w:eastAsiaTheme="majorEastAsia"/>
          <w:rtl/>
        </w:rPr>
        <w:t>נַחֲלָה</w:t>
      </w:r>
      <w:r>
        <w:rPr>
          <w:rtl/>
        </w:rPr>
        <w:t xml:space="preserve"> </w:t>
      </w:r>
      <w:r>
        <w:t>(</w:t>
      </w:r>
      <w:r>
        <w:rPr>
          <w:rStyle w:val="Fett"/>
          <w:rFonts w:eastAsiaTheme="majorEastAsia"/>
          <w:rtl/>
        </w:rPr>
        <w:t>נַחֲלָה</w:t>
      </w:r>
      <w:r>
        <w:t xml:space="preserve">, „Erbteil, Erbbesitz") als adverbiale Bestimmung und </w:t>
      </w:r>
      <w:r>
        <w:rPr>
          <w:rStyle w:val="Fett"/>
          <w:rFonts w:eastAsiaTheme="majorEastAsia"/>
          <w:rtl/>
        </w:rPr>
        <w:t>לְרִשְׁתָּהּ</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ירשׁ</w:t>
      </w:r>
      <w:r>
        <w:t xml:space="preserve">, „in Besitz nehmen, erben", mit Suffix 3. Person feminin Singular, rückverweisend auf </w:t>
      </w:r>
      <w:r>
        <w:rPr>
          <w:rStyle w:val="Fett"/>
          <w:rFonts w:eastAsiaTheme="majorEastAsia"/>
          <w:rtl/>
        </w:rPr>
        <w:t>אֶרֶץ</w:t>
      </w:r>
      <w:r>
        <w:t>, „es zu besitzen") als finale Bestimmung.</w:t>
      </w:r>
    </w:p>
    <w:p w14:paraId="06369226" w14:textId="77777777" w:rsidR="00F30413" w:rsidRDefault="00F30413" w:rsidP="00F30413">
      <w:pPr>
        <w:pStyle w:val="whitespace-normal"/>
      </w:pPr>
      <w:r>
        <w:t xml:space="preserve">Der Vers formuliert ein Ideal: Idealerweise sollte es in Israel keine Armen geben. Die Partikel </w:t>
      </w:r>
      <w:r>
        <w:rPr>
          <w:rStyle w:val="Fett"/>
          <w:rFonts w:eastAsiaTheme="majorEastAsia"/>
          <w:rtl/>
        </w:rPr>
        <w:t>אֶפֶס</w:t>
      </w:r>
      <w:r>
        <w:rPr>
          <w:rtl/>
        </w:rPr>
        <w:t xml:space="preserve"> </w:t>
      </w:r>
      <w:r>
        <w:t>ist schwierig zu deuten – sie kann bedeuten „jedoch, nur" (einschränkend) oder „zwar" (konzessiv). Die Spannung zu V. 11 (</w:t>
      </w:r>
      <w:r>
        <w:rPr>
          <w:rStyle w:val="Fett"/>
          <w:rFonts w:eastAsiaTheme="majorEastAsia"/>
          <w:rtl/>
        </w:rPr>
        <w:t>כִּי לֹא־יֶחְדַּל אֶבְיוֹן</w:t>
      </w:r>
      <w:r>
        <w:t>, „denn der Arme wird nicht aufhören") ist offensichtlich: V. 4 formuliert das Ideal, V. 11 die Realität.</w:t>
      </w:r>
    </w:p>
    <w:p w14:paraId="76916816" w14:textId="77777777" w:rsidR="00F30413" w:rsidRDefault="00F30413" w:rsidP="00F30413">
      <w:pPr>
        <w:pStyle w:val="whitespace-normal"/>
      </w:pPr>
      <w:r>
        <w:t xml:space="preserve">Die Begründung zeigt: Wenn Israel gehorsam ist (V. 5), wird JHWH so reichlich segnen, dass es keine Armut geben müsste. Die emphatische Konstruktion </w:t>
      </w:r>
      <w:r>
        <w:rPr>
          <w:rStyle w:val="Fett"/>
          <w:rFonts w:eastAsiaTheme="majorEastAsia"/>
          <w:rtl/>
        </w:rPr>
        <w:t>בָרֵךְ יְבָרֶכְךָ</w:t>
      </w:r>
      <w:r>
        <w:rPr>
          <w:rtl/>
        </w:rPr>
        <w:t xml:space="preserve"> </w:t>
      </w:r>
      <w:r>
        <w:t xml:space="preserve">(„reichlich segnen, gewiss segnen") unterstreicht JHWHs Segenszusage. Die Wendung </w:t>
      </w:r>
      <w:r>
        <w:rPr>
          <w:rStyle w:val="Fett"/>
          <w:rFonts w:eastAsiaTheme="majorEastAsia"/>
          <w:rtl/>
        </w:rPr>
        <w:t>נֹתֵן לְךָ נַחֲלָה</w:t>
      </w:r>
      <w:r>
        <w:rPr>
          <w:rtl/>
        </w:rPr>
        <w:t xml:space="preserve"> </w:t>
      </w:r>
      <w:r>
        <w:t>(„gibt dir als Erbteil") betont: Das Land ist Geschenk JHWHs.</w:t>
      </w:r>
    </w:p>
    <w:p w14:paraId="4352FB3E" w14:textId="731DB1DB" w:rsidR="00F30413" w:rsidRDefault="00F30413" w:rsidP="00F30413">
      <w:pPr>
        <w:pStyle w:val="whitespace-normal"/>
      </w:pPr>
      <w:r>
        <w:t xml:space="preserve">Die finale Bestimmung </w:t>
      </w:r>
      <w:r>
        <w:rPr>
          <w:rStyle w:val="Fett"/>
          <w:rFonts w:eastAsiaTheme="majorEastAsia"/>
          <w:rtl/>
        </w:rPr>
        <w:t>לְרִשְׁתָּהּ</w:t>
      </w:r>
      <w:r>
        <w:rPr>
          <w:rtl/>
        </w:rPr>
        <w:t xml:space="preserve"> </w:t>
      </w:r>
      <w:r>
        <w:t xml:space="preserve">(„es zu besitzen") zeigt: Der Besitz ist Aufgabe – das Land muss in Besitz genommen und bewahrt werden (vgl. </w:t>
      </w:r>
      <w:r w:rsidR="00A93C3C">
        <w:t xml:space="preserve">Deu </w:t>
      </w:r>
      <w:r>
        <w:t>1,8.21; 2,24.31; 3,18; 4,1.5.14; 5,31; 6,1; 8,1; 9,23; 11,8.31; 12,1; 15,4; 17,14; 19,2.14; 21,1; 25,19; 26,1).</w:t>
      </w:r>
    </w:p>
    <w:p w14:paraId="4F2AB7F4" w14:textId="0AE6E901" w:rsidR="00A93C3C" w:rsidRDefault="00EC21B0" w:rsidP="00F30413">
      <w:pPr>
        <w:pStyle w:val="whitespace-normal"/>
      </w:pPr>
      <w:r>
        <w:rPr>
          <w:rStyle w:val="Fett"/>
        </w:rPr>
        <w:t>Die LXX</w:t>
      </w:r>
      <w:r>
        <w:t xml:space="preserve"> übersetzt </w:t>
      </w:r>
      <w:r w:rsidRPr="00EC21B0">
        <w:rPr>
          <w:b/>
          <w:bCs/>
          <w:rtl/>
        </w:rPr>
        <w:t>אֶפֶס</w:t>
      </w:r>
      <w:r>
        <w:t xml:space="preserve"> mit </w:t>
      </w:r>
      <w:proofErr w:type="spellStart"/>
      <w:r>
        <w:t>ὅτι</w:t>
      </w:r>
      <w:proofErr w:type="spellEnd"/>
      <w:r>
        <w:t xml:space="preserve"> (denn/weil), was die adversative Nuance des hebräischen "jedoch, freilich" verliert. Der Begriff </w:t>
      </w:r>
      <w:proofErr w:type="spellStart"/>
      <w:r>
        <w:t>ἐνδεής</w:t>
      </w:r>
      <w:proofErr w:type="spellEnd"/>
      <w:r>
        <w:t xml:space="preserve"> (bedürftig) für </w:t>
      </w:r>
      <w:r w:rsidRPr="00EC21B0">
        <w:rPr>
          <w:b/>
          <w:bCs/>
          <w:rtl/>
        </w:rPr>
        <w:t>אֶבְיוֹן</w:t>
      </w:r>
      <w:r>
        <w:t xml:space="preserve"> wird hier eingeführt und zieht sich durch das Kapitel. Die Wendung </w:t>
      </w:r>
      <w:proofErr w:type="spellStart"/>
      <w:r>
        <w:t>ἐν</w:t>
      </w:r>
      <w:proofErr w:type="spellEnd"/>
      <w:r>
        <w:t xml:space="preserve"> </w:t>
      </w:r>
      <w:proofErr w:type="spellStart"/>
      <w:r>
        <w:t>κλήρῳ</w:t>
      </w:r>
      <w:proofErr w:type="spellEnd"/>
      <w:r>
        <w:t xml:space="preserve"> κατα</w:t>
      </w:r>
      <w:proofErr w:type="spellStart"/>
      <w:r>
        <w:t>κληρονομῆσ</w:t>
      </w:r>
      <w:proofErr w:type="spellEnd"/>
      <w:r>
        <w:t xml:space="preserve">αι (als Erbteil zu beerben) für </w:t>
      </w:r>
      <w:r w:rsidRPr="00EC21B0">
        <w:rPr>
          <w:b/>
          <w:bCs/>
          <w:rtl/>
        </w:rPr>
        <w:t>נַחֲלָה לְרִשְׁתָּהּ</w:t>
      </w:r>
      <w:r>
        <w:t xml:space="preserve"> ist eine doppelte Betonung des Erbcharakters.</w:t>
      </w:r>
    </w:p>
    <w:p w14:paraId="617D5F0D" w14:textId="77777777" w:rsidR="00F30413" w:rsidRDefault="00F30413" w:rsidP="00F30413">
      <w:pPr>
        <w:pStyle w:val="whitespace-normal"/>
      </w:pPr>
      <w:r>
        <w:rPr>
          <w:rStyle w:val="Fett"/>
          <w:rFonts w:eastAsiaTheme="majorEastAsia"/>
        </w:rPr>
        <w:t>Die Satzstruktur</w:t>
      </w:r>
      <w:r>
        <w:t xml:space="preserve"> besteht aus einem einschränkenden Satz und kausaler Begründung: Restriktive Partikel (zwar), Konjunktion (dass), Negation (nicht), Prädikat (soll sein), lokale Bestimmung (in dir), Subjekt (ein Armer); kausale Begründung (denn), emphatischer Infinitiv (reichlich), Prädikat (wird segnen dich), Subjekt (JHWH), lokale Bestimmung (in dem Land), Relativsatz (das JHWH, dein Gott, gibt dir), adverbiale Bestimmung (als Erbteil), finale Bestimmung (es zu besitzen).</w:t>
      </w:r>
    </w:p>
    <w:p w14:paraId="21B45449" w14:textId="77777777" w:rsidR="00F30413" w:rsidRDefault="00F30413" w:rsidP="00F30413">
      <w:pPr>
        <w:pStyle w:val="whitespace-normal"/>
      </w:pPr>
      <w:r>
        <w:t>Der Vers formuliert das Ideal: Eigentlich sollte es in Israel keine Armen geben, denn JHWH wird reichlich segnen – der Gehorsam (V. 5) sollte Armut verhindern.</w:t>
      </w:r>
    </w:p>
    <w:p w14:paraId="1E1230D7" w14:textId="77777777" w:rsidR="00F30413" w:rsidRPr="00F30413" w:rsidRDefault="00F30413" w:rsidP="00F30413">
      <w:pPr>
        <w:pStyle w:val="berschrift1"/>
        <w:rPr>
          <w:rFonts w:ascii="Times New Roman" w:hAnsi="Times New Roman"/>
          <w:color w:val="auto"/>
          <w:sz w:val="36"/>
          <w:szCs w:val="36"/>
        </w:rPr>
      </w:pPr>
      <w:r w:rsidRPr="00F30413">
        <w:rPr>
          <w:rStyle w:val="Fett"/>
          <w:rFonts w:ascii="Times New Roman" w:hAnsi="Times New Roman"/>
          <w:color w:val="auto"/>
          <w:sz w:val="36"/>
          <w:szCs w:val="36"/>
        </w:rPr>
        <w:t>Deuteronomium 15,5</w:t>
      </w:r>
    </w:p>
    <w:p w14:paraId="3AE8640C" w14:textId="77777777" w:rsidR="00F30413" w:rsidRDefault="00F30413" w:rsidP="00F30413">
      <w:pPr>
        <w:pStyle w:val="whitespace-normal"/>
      </w:pPr>
      <w:r>
        <w:rPr>
          <w:rStyle w:val="Fett"/>
          <w:rFonts w:eastAsiaTheme="majorEastAsia"/>
        </w:rPr>
        <w:t>Hebräisch:</w:t>
      </w:r>
      <w:r>
        <w:t xml:space="preserve"> </w:t>
      </w:r>
      <w:r>
        <w:rPr>
          <w:rtl/>
        </w:rPr>
        <w:t>רַ֚ק אִם־שָׁמ֣וֹעַ תִּשְׁמַ֔ע בְּק֖וֹל יְהוָ֣ה אֱלֹהֶ֑יךָ לִשְׁמֹ֤ר לַעֲשׂוֹת֙ אֶת־כָּל־הַמִּצְוָ֣ה הַזֹּ֔את אֲשֶׁ֛ר אָנֹכִ֥י מְצַוְּךָ֖ הַיּֽוֹם׃</w:t>
      </w:r>
    </w:p>
    <w:p w14:paraId="00530631" w14:textId="77777777" w:rsidR="00F30413" w:rsidRDefault="00F30413" w:rsidP="00F30413">
      <w:pPr>
        <w:pStyle w:val="whitespace-normal"/>
      </w:pPr>
      <w:r>
        <w:rPr>
          <w:rStyle w:val="Fett"/>
          <w:rFonts w:eastAsiaTheme="majorEastAsia"/>
        </w:rPr>
        <w:t>Deutsch:</w:t>
      </w:r>
      <w:r>
        <w:t xml:space="preserve"> Wenn du nur der Stimme des Ewigen, deines Gottes, fleißig gehorchst, darauf zu achten, dieses ganze Gebot zu tun, das ich dir heute gebiete.</w:t>
      </w:r>
    </w:p>
    <w:p w14:paraId="0C213383" w14:textId="77777777" w:rsidR="00F30413" w:rsidRDefault="004F5CEB" w:rsidP="00F30413">
      <w:r>
        <w:rPr>
          <w:noProof/>
        </w:rPr>
        <w:lastRenderedPageBreak/>
        <w:pict w14:anchorId="0F8B3ED5">
          <v:rect id="_x0000_i1449" style="width:0;height:1.5pt" o:hralign="center" o:hrstd="t" o:hr="t" fillcolor="#a0a0a0" stroked="f"/>
        </w:pict>
      </w:r>
    </w:p>
    <w:p w14:paraId="70C1D46C" w14:textId="77777777" w:rsidR="00F30413" w:rsidRDefault="00F30413" w:rsidP="00F30413">
      <w:pPr>
        <w:pStyle w:val="whitespace-normal"/>
      </w:pPr>
      <w:r>
        <w:rPr>
          <w:rStyle w:val="Fett"/>
          <w:rFonts w:eastAsiaTheme="majorEastAsia"/>
        </w:rPr>
        <w:t>Kommentar:</w:t>
      </w:r>
      <w:r>
        <w:t xml:space="preserve"> </w:t>
      </w:r>
      <w:r>
        <w:rPr>
          <w:rStyle w:val="Fett"/>
          <w:rFonts w:eastAsiaTheme="majorEastAsia"/>
          <w:rtl/>
        </w:rPr>
        <w:t>רַק אִם־שָׁמוֹעַ תִּשְׁמַע בְּקוֹל יְהוָה אֱלֹהֶיךָ</w:t>
      </w:r>
      <w:r>
        <w:rPr>
          <w:rtl/>
        </w:rPr>
        <w:t xml:space="preserve"> </w:t>
      </w:r>
      <w:r>
        <w:t xml:space="preserve">ist ein konditionaler Satz: </w:t>
      </w:r>
      <w:r>
        <w:rPr>
          <w:rStyle w:val="Fett"/>
          <w:rFonts w:eastAsiaTheme="majorEastAsia"/>
          <w:rtl/>
        </w:rPr>
        <w:t>רַק</w:t>
      </w:r>
      <w:r>
        <w:rPr>
          <w:rtl/>
        </w:rPr>
        <w:t xml:space="preserve"> </w:t>
      </w:r>
      <w:r>
        <w:t xml:space="preserve">(„nur, jedoch") als restriktive Partikel, </w:t>
      </w:r>
      <w:r>
        <w:rPr>
          <w:rStyle w:val="Fett"/>
          <w:rFonts w:eastAsiaTheme="majorEastAsia"/>
          <w:rtl/>
        </w:rPr>
        <w:t>אִם</w:t>
      </w:r>
      <w:r>
        <w:rPr>
          <w:rtl/>
        </w:rPr>
        <w:t xml:space="preserve"> </w:t>
      </w:r>
      <w:r>
        <w:t xml:space="preserve">(„wenn, falls") als konditionale Konjunktion, </w:t>
      </w:r>
      <w:r>
        <w:rPr>
          <w:rStyle w:val="Fett"/>
          <w:rFonts w:eastAsiaTheme="majorEastAsia"/>
          <w:rtl/>
        </w:rPr>
        <w:t>שָׁמוֹעַ תִּשְׁמַע</w:t>
      </w:r>
      <w:r>
        <w:rPr>
          <w:rtl/>
        </w:rPr>
        <w:t xml:space="preserve"> </w:t>
      </w:r>
      <w:r>
        <w:t xml:space="preserve">(Qal Infinitiv Absolut </w:t>
      </w:r>
      <w:r>
        <w:rPr>
          <w:rStyle w:val="Fett"/>
          <w:rFonts w:eastAsiaTheme="majorEastAsia"/>
          <w:rtl/>
        </w:rPr>
        <w:t>שָׁמוֹעַ</w:t>
      </w:r>
      <w:r>
        <w:rPr>
          <w:rtl/>
        </w:rPr>
        <w:t xml:space="preserve"> </w:t>
      </w:r>
      <w:r>
        <w:t xml:space="preserve">mit Qal Imperfekt </w:t>
      </w:r>
      <w:r>
        <w:rPr>
          <w:rStyle w:val="Fett"/>
          <w:rFonts w:eastAsiaTheme="majorEastAsia"/>
          <w:rtl/>
        </w:rPr>
        <w:t>תִּשְׁמַע</w:t>
      </w:r>
      <w:r>
        <w:t xml:space="preserve">, 2. Person Maskulinum Singular von </w:t>
      </w:r>
      <w:r>
        <w:rPr>
          <w:rStyle w:val="Fett"/>
          <w:rFonts w:eastAsiaTheme="majorEastAsia"/>
          <w:rtl/>
        </w:rPr>
        <w:t>שׁמע</w:t>
      </w:r>
      <w:r>
        <w:t xml:space="preserve">, „hören, gehorchen", emphatisch „fleißig hören, gewiss gehorchen") und </w:t>
      </w:r>
      <w:r>
        <w:rPr>
          <w:rStyle w:val="Fett"/>
          <w:rFonts w:eastAsiaTheme="majorEastAsia"/>
          <w:rtl/>
        </w:rPr>
        <w:t>בְּקוֹל יְהוָה אֱלֹהֶיךָ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קוֹל</w:t>
      </w:r>
      <w:r>
        <w:t xml:space="preserve">, „Stimme", Construct mit </w:t>
      </w:r>
      <w:r>
        <w:rPr>
          <w:rStyle w:val="Fett"/>
          <w:rFonts w:eastAsiaTheme="majorEastAsia"/>
          <w:rtl/>
        </w:rPr>
        <w:t>יְהוָה אֱלֹהֶיךָ</w:t>
      </w:r>
      <w:r>
        <w:t>, „auf/in der Stimme JHWHs, deines Gottes" = „der Stimme JHWHs gehorchen").</w:t>
      </w:r>
    </w:p>
    <w:p w14:paraId="56FF256A" w14:textId="77777777" w:rsidR="00F30413" w:rsidRDefault="00F30413" w:rsidP="00F30413">
      <w:pPr>
        <w:pStyle w:val="whitespace-normal"/>
      </w:pPr>
      <w:r>
        <w:rPr>
          <w:rStyle w:val="Fett"/>
          <w:rFonts w:eastAsiaTheme="majorEastAsia"/>
          <w:rtl/>
        </w:rPr>
        <w:t>לִשְׁמֹר לַעֲשׂוֹת אֶת־כָּל־הַמִּצְוָה הַזֹּאת אֲשֶׁר אָנֹכִי מְצַוְּךָ הַיּוֹם</w:t>
      </w:r>
      <w:r>
        <w:rPr>
          <w:rtl/>
        </w:rPr>
        <w:t xml:space="preserve"> </w:t>
      </w:r>
      <w:r>
        <w:t xml:space="preserve">ist eine finale Erweiterung: </w:t>
      </w:r>
      <w:r>
        <w:rPr>
          <w:rStyle w:val="Fett"/>
          <w:rFonts w:eastAsiaTheme="majorEastAsia"/>
          <w:rtl/>
        </w:rPr>
        <w:t>לִשְׁמֹר</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שׁמר</w:t>
      </w:r>
      <w:r>
        <w:t xml:space="preserve">, „bewahren, beachten, halten"), </w:t>
      </w:r>
      <w:r>
        <w:rPr>
          <w:rStyle w:val="Fett"/>
          <w:rFonts w:eastAsiaTheme="majorEastAsia"/>
          <w:rtl/>
        </w:rPr>
        <w:t>לַעֲשׂוֹת</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עשׂה</w:t>
      </w:r>
      <w:r>
        <w:t xml:space="preserve">, „tun, machen"), </w:t>
      </w:r>
      <w:r>
        <w:rPr>
          <w:rStyle w:val="Fett"/>
          <w:rFonts w:eastAsiaTheme="majorEastAsia"/>
          <w:rtl/>
        </w:rPr>
        <w:t>אֶת־כָּל־הַמִּצְוָה הַזֹּאת</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כֹּל</w:t>
      </w:r>
      <w:r>
        <w:t xml:space="preserve">, „all", im Construct mit </w:t>
      </w:r>
      <w:r>
        <w:rPr>
          <w:rStyle w:val="Fett"/>
          <w:rFonts w:eastAsiaTheme="majorEastAsia"/>
          <w:rtl/>
        </w:rPr>
        <w:t>מִצְוָה</w:t>
      </w:r>
      <w:r>
        <w:t xml:space="preserve">, „Gebot", mit Artikel und Demonstrativpronomen </w:t>
      </w:r>
      <w:r>
        <w:rPr>
          <w:rStyle w:val="Fett"/>
          <w:rFonts w:eastAsiaTheme="majorEastAsia"/>
          <w:rtl/>
        </w:rPr>
        <w:t>הַזֹּאת</w:t>
      </w:r>
      <w:r>
        <w:t xml:space="preserve">, „dieses", „dieses ganze Gebot") als direktes Objekt, </w:t>
      </w:r>
      <w:r>
        <w:rPr>
          <w:rStyle w:val="Fett"/>
          <w:rFonts w:eastAsiaTheme="majorEastAsia"/>
          <w:rtl/>
        </w:rPr>
        <w:t>אֲשֶׁר אָנֹכִי מְצַוְּךָ</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אָנֹכִי</w:t>
      </w:r>
      <w:r>
        <w:t xml:space="preserve">, Personalpronomen 1. Person Singular, „ich", als Subjekt, und </w:t>
      </w:r>
      <w:r>
        <w:rPr>
          <w:rStyle w:val="Fett"/>
          <w:rFonts w:eastAsiaTheme="majorEastAsia"/>
          <w:rtl/>
        </w:rPr>
        <w:t>מְצַוְּךָ</w:t>
      </w:r>
      <w:r>
        <w:t xml:space="preserve">, Piel Partizip Maskulinum Singular von </w:t>
      </w:r>
      <w:r>
        <w:rPr>
          <w:rStyle w:val="Fett"/>
          <w:rFonts w:eastAsiaTheme="majorEastAsia"/>
          <w:rtl/>
        </w:rPr>
        <w:t>צוה</w:t>
      </w:r>
      <w:r>
        <w:t xml:space="preserve">, „befehlen, gebieten", mit Suffix 2. Person Maskulinum Singular) und </w:t>
      </w:r>
      <w:r>
        <w:rPr>
          <w:rStyle w:val="Fett"/>
          <w:rFonts w:eastAsiaTheme="majorEastAsia"/>
          <w:rtl/>
        </w:rPr>
        <w:t>הַיּוֹם</w:t>
      </w:r>
      <w:r>
        <w:rPr>
          <w:rtl/>
        </w:rPr>
        <w:t xml:space="preserve"> </w:t>
      </w:r>
      <w:r>
        <w:t>(</w:t>
      </w:r>
      <w:r>
        <w:rPr>
          <w:rStyle w:val="Fett"/>
          <w:rFonts w:eastAsiaTheme="majorEastAsia"/>
          <w:rtl/>
        </w:rPr>
        <w:t>יוֹם</w:t>
      </w:r>
      <w:r>
        <w:t>, „Tag", mit Artikel, „heute") als temporale Bestimmung.</w:t>
      </w:r>
    </w:p>
    <w:p w14:paraId="154B3DAF" w14:textId="77777777" w:rsidR="00F30413" w:rsidRDefault="00F30413" w:rsidP="00F30413">
      <w:pPr>
        <w:pStyle w:val="whitespace-normal"/>
      </w:pPr>
      <w:r>
        <w:t xml:space="preserve">Der Vers formuliert die Bedingung für die Segensverheißung aus V. 4: Der Segen ist an Gehorsam gebunden. Die Konstruktion </w:t>
      </w:r>
      <w:r>
        <w:rPr>
          <w:rStyle w:val="Fett"/>
          <w:rFonts w:eastAsiaTheme="majorEastAsia"/>
          <w:rtl/>
        </w:rPr>
        <w:t>רַק אִם</w:t>
      </w:r>
      <w:r>
        <w:rPr>
          <w:rtl/>
        </w:rPr>
        <w:t xml:space="preserve"> </w:t>
      </w:r>
      <w:r>
        <w:t xml:space="preserve">(„nur wenn, wenn nur") betont: Dies ist die einzige Bedingung, aber sie ist entscheidend. Die emphatische Formulierung </w:t>
      </w:r>
      <w:r>
        <w:rPr>
          <w:rStyle w:val="Fett"/>
          <w:rFonts w:eastAsiaTheme="majorEastAsia"/>
          <w:rtl/>
        </w:rPr>
        <w:t>שָׁמוֹעַ תִּשְׁמַע</w:t>
      </w:r>
      <w:r>
        <w:rPr>
          <w:rtl/>
        </w:rPr>
        <w:t xml:space="preserve"> </w:t>
      </w:r>
      <w:r>
        <w:t>(„fleißig hören/gehorchen") unterstreicht die Wichtigkeit.</w:t>
      </w:r>
    </w:p>
    <w:p w14:paraId="028A24D1" w14:textId="77777777" w:rsidR="00F30413" w:rsidRDefault="00F30413" w:rsidP="00F30413">
      <w:pPr>
        <w:pStyle w:val="whitespace-normal"/>
      </w:pPr>
      <w:r>
        <w:t xml:space="preserve">Die doppelte Infinitivkonstruktion </w:t>
      </w:r>
      <w:r>
        <w:rPr>
          <w:rStyle w:val="Fett"/>
          <w:rFonts w:eastAsiaTheme="majorEastAsia"/>
          <w:rtl/>
        </w:rPr>
        <w:t>לִשְׁמֹר לַעֲשׂוֹת</w:t>
      </w:r>
      <w:r>
        <w:rPr>
          <w:rtl/>
        </w:rPr>
        <w:t xml:space="preserve"> </w:t>
      </w:r>
      <w:r>
        <w:t>(„zu beachten, zu tun") ist charakteristisch für das Deuteronomium (vgl. 5,1.32; 6,3.25; 7,11.12; 8,1; 11,22.32; 12,1; 13,1; 15,5; 16,12; 17,19; 19,9; 24,8; 26,16; 28,1.13.15; 31,12; 32,46). Sie betont: Hören allein reicht nicht – das Gehörte muss getan werden.</w:t>
      </w:r>
    </w:p>
    <w:p w14:paraId="08B308EC" w14:textId="3B5756F9" w:rsidR="00F30413" w:rsidRDefault="00F30413" w:rsidP="00F30413">
      <w:pPr>
        <w:pStyle w:val="whitespace-normal"/>
      </w:pPr>
      <w:r>
        <w:t xml:space="preserve">Die Wendung </w:t>
      </w:r>
      <w:r>
        <w:rPr>
          <w:rStyle w:val="Fett"/>
          <w:rFonts w:eastAsiaTheme="majorEastAsia"/>
          <w:rtl/>
        </w:rPr>
        <w:t>כָּל־הַמִּצְוָה הַזֹּאת</w:t>
      </w:r>
      <w:r>
        <w:rPr>
          <w:rtl/>
        </w:rPr>
        <w:t xml:space="preserve"> </w:t>
      </w:r>
      <w:r>
        <w:t xml:space="preserve">(„dieses ganze Gebot") kann sich auf das unmittelbare Gebot (Erlassjahr) oder auf die gesamte </w:t>
      </w:r>
      <w:r w:rsidR="006D3FED">
        <w:t>Torah</w:t>
      </w:r>
      <w:r>
        <w:t xml:space="preserve"> beziehen. Die abschließende Formel </w:t>
      </w:r>
      <w:r>
        <w:rPr>
          <w:rStyle w:val="Fett"/>
          <w:rFonts w:eastAsiaTheme="majorEastAsia"/>
          <w:rtl/>
        </w:rPr>
        <w:t>אֲשֶׁר אָנֹכִי מְצַוְּךָ הַיּוֹם</w:t>
      </w:r>
      <w:r>
        <w:rPr>
          <w:rtl/>
        </w:rPr>
        <w:t xml:space="preserve"> </w:t>
      </w:r>
      <w:r>
        <w:t>(„das ich dir heute gebiete") ist typisch deuteronomisch und unterstreicht die Aktualität und Autorität des Gebots.</w:t>
      </w:r>
    </w:p>
    <w:p w14:paraId="5769F28B" w14:textId="1B572B86" w:rsidR="00F30413" w:rsidRDefault="00F30413" w:rsidP="00F30413">
      <w:pPr>
        <w:pStyle w:val="whitespace-normal"/>
      </w:pPr>
      <w:r>
        <w:t>Der Vers steht syntaktisch in Spannung: Er formuliert eine Bedingung für V. 4, ist aber grammatisch nicht als Protasis-Apodosis-Struktur konstruiert. Dies zeigt die redaktionelle Komplexität des Textes.</w:t>
      </w:r>
    </w:p>
    <w:p w14:paraId="7A2D6E92" w14:textId="2DF51DFB" w:rsidR="00EC21B0" w:rsidRDefault="00EC21B0" w:rsidP="00F30413">
      <w:pPr>
        <w:pStyle w:val="whitespace-normal"/>
      </w:pPr>
      <w:r>
        <w:rPr>
          <w:rStyle w:val="Fett"/>
        </w:rPr>
        <w:t>Die LXX</w:t>
      </w:r>
      <w:r>
        <w:t xml:space="preserve"> verwendet δα</w:t>
      </w:r>
      <w:proofErr w:type="spellStart"/>
      <w:r>
        <w:t>νιεῖς</w:t>
      </w:r>
      <w:proofErr w:type="spellEnd"/>
      <w:r>
        <w:t xml:space="preserve"> (du wirst ausleihen) und δα</w:t>
      </w:r>
      <w:proofErr w:type="spellStart"/>
      <w:r>
        <w:t>νιῇ</w:t>
      </w:r>
      <w:proofErr w:type="spellEnd"/>
      <w:r>
        <w:t xml:space="preserve"> (du wirst borgen) für </w:t>
      </w:r>
      <w:r w:rsidRPr="00EC21B0">
        <w:rPr>
          <w:b/>
          <w:bCs/>
          <w:rtl/>
        </w:rPr>
        <w:t>וְהַעֲבַטְתָּ</w:t>
      </w:r>
      <w:r>
        <w:t xml:space="preserve"> und </w:t>
      </w:r>
      <w:r w:rsidRPr="00EC21B0">
        <w:rPr>
          <w:b/>
          <w:bCs/>
          <w:rtl/>
        </w:rPr>
        <w:t>תַעֲבֹט</w:t>
      </w:r>
      <w:r>
        <w:t xml:space="preserve"> – eine Vereinfachung der hebräischen Terminologie mit einem einzigen griechischen Verbstamm. Ebenso </w:t>
      </w:r>
      <w:proofErr w:type="spellStart"/>
      <w:r>
        <w:t>ἄρξεις</w:t>
      </w:r>
      <w:proofErr w:type="spellEnd"/>
      <w:r>
        <w:t xml:space="preserve">... </w:t>
      </w:r>
      <w:proofErr w:type="spellStart"/>
      <w:r>
        <w:t>ἄρξουσιν</w:t>
      </w:r>
      <w:proofErr w:type="spellEnd"/>
      <w:r>
        <w:t xml:space="preserve"> (du wirst herrschen... sie werden herrschen) für </w:t>
      </w:r>
      <w:r w:rsidRPr="00EC21B0">
        <w:rPr>
          <w:b/>
          <w:bCs/>
          <w:rtl/>
        </w:rPr>
        <w:t>וּמָשַׁלְתָּ... יִמְשֹׁלוּ</w:t>
      </w:r>
      <w:r>
        <w:t>.</w:t>
      </w:r>
    </w:p>
    <w:p w14:paraId="168AA0CC" w14:textId="77777777" w:rsidR="00F30413" w:rsidRDefault="00F30413" w:rsidP="00F30413">
      <w:pPr>
        <w:pStyle w:val="whitespace-normal"/>
      </w:pPr>
      <w:r>
        <w:rPr>
          <w:rStyle w:val="Fett"/>
          <w:rFonts w:eastAsiaTheme="majorEastAsia"/>
        </w:rPr>
        <w:t>Die Satzstruktur</w:t>
      </w:r>
      <w:r>
        <w:t xml:space="preserve"> besteht aus einem konditionalen Satz mit finaler Erweiterung: Restriktive Partikel (nur), konditionale Konjunktion (wenn), emphatischer Infinitiv (fleißig), Prädikat (gehorchst), präpositionales Objekt (der Stimme JHWHs, deines Gottes); erster finaler Infinitiv (zu beachten), zweiter finaler Infinitiv (zu tun), direktes Objekt (dieses ganze Gebot), Relativsatz (das ich), Prädikat (gebiete dir), temporale Bestimmung (heute).</w:t>
      </w:r>
    </w:p>
    <w:p w14:paraId="5F476249" w14:textId="77777777" w:rsidR="00F30413" w:rsidRDefault="00F30413" w:rsidP="00F30413">
      <w:pPr>
        <w:pStyle w:val="whitespace-normal"/>
      </w:pPr>
      <w:r>
        <w:lastRenderedPageBreak/>
        <w:t>Der Vers formuliert die Bedingung für den Segen aus V. 4: Wenn Israel nur fleißig auf JHWHs Stimme hört und das ganze Gebot tut, das Mose heute gibt, wird es keine Armut geben.</w:t>
      </w:r>
    </w:p>
    <w:p w14:paraId="77CEF6BE" w14:textId="77777777" w:rsidR="00684135" w:rsidRPr="00684135" w:rsidRDefault="00684135" w:rsidP="00684135">
      <w:pPr>
        <w:pStyle w:val="berschrift1"/>
        <w:rPr>
          <w:rFonts w:ascii="Times New Roman" w:hAnsi="Times New Roman"/>
          <w:color w:val="auto"/>
          <w:sz w:val="36"/>
          <w:szCs w:val="36"/>
        </w:rPr>
      </w:pPr>
      <w:r w:rsidRPr="00684135">
        <w:rPr>
          <w:rStyle w:val="Fett"/>
          <w:rFonts w:ascii="Times New Roman" w:hAnsi="Times New Roman"/>
          <w:color w:val="auto"/>
          <w:sz w:val="36"/>
          <w:szCs w:val="36"/>
        </w:rPr>
        <w:t>Deuteronomium 15,6</w:t>
      </w:r>
    </w:p>
    <w:p w14:paraId="59DCD1FB" w14:textId="77777777" w:rsidR="00684135" w:rsidRDefault="00684135" w:rsidP="00684135">
      <w:pPr>
        <w:pStyle w:val="whitespace-normal"/>
      </w:pPr>
      <w:r>
        <w:rPr>
          <w:rStyle w:val="Fett"/>
          <w:rFonts w:eastAsiaTheme="majorEastAsia"/>
        </w:rPr>
        <w:t>Hebräisch:</w:t>
      </w:r>
      <w:r>
        <w:t xml:space="preserve"> </w:t>
      </w:r>
      <w:r>
        <w:rPr>
          <w:rtl/>
        </w:rPr>
        <w:t>כִּֽי־יְהוָ֤ה אֱלֹהֶ֨יךָ֙ בֵּֽרַכְךָ֔ כַּאֲשֶׁ֖ר דִּבֶּר־לָ֑ךְ וְהַֽעֲבַטְתָּ֞ גּוֹיִ֣ם רַבִּ֗ים וְאַתָּה֙ לֹ֣א תַעֲבֹ֔ט וּמָֽשַׁלְתָּ֙ בְּגוֹיִ֣ם רַבִּ֔ים וּבְךָ֖ לֹ֥א יִמְשֹֽׁלוּ׃</w:t>
      </w:r>
    </w:p>
    <w:p w14:paraId="077066E0" w14:textId="77777777" w:rsidR="00684135" w:rsidRDefault="00684135" w:rsidP="00684135">
      <w:pPr>
        <w:pStyle w:val="whitespace-normal"/>
      </w:pPr>
      <w:r>
        <w:rPr>
          <w:rStyle w:val="Fett"/>
          <w:rFonts w:eastAsiaTheme="majorEastAsia"/>
        </w:rPr>
        <w:t>Deutsch:</w:t>
      </w:r>
      <w:r>
        <w:t xml:space="preserve"> Denn der Ewige, dein Gott, hat dich gesegnet, wie er zu dir geredet hat; und du wirst vielen Nationen auf Pfand leihen, du aber wirst nicht entleihen; und du wirst über viele Nationen herrschen, über dich aber werden sie nicht herrschen.</w:t>
      </w:r>
    </w:p>
    <w:p w14:paraId="7E2746EF" w14:textId="77777777" w:rsidR="00684135" w:rsidRDefault="004F5CEB" w:rsidP="00684135">
      <w:r>
        <w:rPr>
          <w:noProof/>
        </w:rPr>
        <w:pict w14:anchorId="5E8533CA">
          <v:rect id="_x0000_i1450" style="width:0;height:1.5pt" o:hralign="center" o:hrstd="t" o:hr="t" fillcolor="#a0a0a0" stroked="f"/>
        </w:pict>
      </w:r>
    </w:p>
    <w:p w14:paraId="43D93B6E" w14:textId="34272E92" w:rsidR="00684135" w:rsidRDefault="00684135" w:rsidP="00684135">
      <w:pPr>
        <w:pStyle w:val="whitespace-normal"/>
      </w:pPr>
      <w:r>
        <w:rPr>
          <w:rStyle w:val="Fett"/>
          <w:rFonts w:eastAsiaTheme="majorEastAsia"/>
        </w:rPr>
        <w:t>Kommentar:</w:t>
      </w:r>
      <w:r>
        <w:t xml:space="preserve"> </w:t>
      </w:r>
      <w:r>
        <w:rPr>
          <w:rStyle w:val="Fett"/>
          <w:rFonts w:eastAsiaTheme="majorEastAsia"/>
          <w:rtl/>
        </w:rPr>
        <w:t>כִּי־יְהוָה אֱלֹהֶיךָ בֵּרַכְךָ כַּאֲשֶׁר דִּבֶּר־לָךְ</w:t>
      </w:r>
      <w:r>
        <w:rPr>
          <w:rtl/>
        </w:rPr>
        <w:t xml:space="preserve"> </w:t>
      </w:r>
      <w:r>
        <w:t xml:space="preserve">ist ein kausaler Satz mit Vergleichssatz: </w:t>
      </w:r>
      <w:r>
        <w:rPr>
          <w:rStyle w:val="Fett"/>
          <w:rFonts w:eastAsiaTheme="majorEastAsia"/>
          <w:rtl/>
        </w:rPr>
        <w:t>כִּי</w:t>
      </w:r>
      <w:r>
        <w:rPr>
          <w:rtl/>
        </w:rPr>
        <w:t xml:space="preserve"> </w:t>
      </w:r>
      <w:r>
        <w:t xml:space="preserve">(„denn, weil") als kausale Konjunktion, </w:t>
      </w:r>
      <w:r>
        <w:rPr>
          <w:rStyle w:val="Fett"/>
          <w:rFonts w:eastAsiaTheme="majorEastAsia"/>
          <w:rtl/>
        </w:rPr>
        <w:t>יְהוָה אֱלֹהֶיךָ</w:t>
      </w:r>
      <w:r>
        <w:rPr>
          <w:rtl/>
        </w:rPr>
        <w:t xml:space="preserve"> </w:t>
      </w:r>
      <w:r>
        <w:t xml:space="preserve">als Subjekt, </w:t>
      </w:r>
      <w:r>
        <w:rPr>
          <w:rStyle w:val="Fett"/>
          <w:rFonts w:eastAsiaTheme="majorEastAsia"/>
          <w:rtl/>
        </w:rPr>
        <w:t>בֵּרַכְךָ</w:t>
      </w:r>
      <w:r>
        <w:rPr>
          <w:rtl/>
        </w:rPr>
        <w:t xml:space="preserve"> </w:t>
      </w:r>
      <w:r>
        <w:t xml:space="preserve">(Piel Perfekt, 3. Person Maskulinum Singular von </w:t>
      </w:r>
      <w:r>
        <w:rPr>
          <w:rStyle w:val="Fett"/>
          <w:rFonts w:eastAsiaTheme="majorEastAsia"/>
          <w:rtl/>
        </w:rPr>
        <w:t>ברך</w:t>
      </w:r>
      <w:r>
        <w:t xml:space="preserve">, „segnen", mit Suffix 2. Person Maskulinum Singular als direktes Objekt), </w:t>
      </w:r>
      <w:r>
        <w:rPr>
          <w:rStyle w:val="Fett"/>
          <w:rFonts w:eastAsiaTheme="majorEastAsia"/>
          <w:rtl/>
        </w:rPr>
        <w:t>כַּאֲשֶׁר דִּבֶּר־לָךְ</w:t>
      </w:r>
      <w:r>
        <w:rPr>
          <w:rtl/>
        </w:rPr>
        <w:t xml:space="preserve"> </w:t>
      </w:r>
      <w:r>
        <w:t xml:space="preserve">(Vergleichssatz: </w:t>
      </w:r>
      <w:r>
        <w:rPr>
          <w:rStyle w:val="Fett"/>
          <w:rFonts w:eastAsiaTheme="majorEastAsia"/>
          <w:rtl/>
        </w:rPr>
        <w:t>כַּאֲשֶׁר</w:t>
      </w:r>
      <w:r>
        <w:t xml:space="preserve">, „wie, </w:t>
      </w:r>
      <w:r w:rsidR="003D657E">
        <w:t>sowie</w:t>
      </w:r>
      <w:r>
        <w:t xml:space="preserve">", mit </w:t>
      </w:r>
      <w:r>
        <w:rPr>
          <w:rStyle w:val="Fett"/>
          <w:rFonts w:eastAsiaTheme="majorEastAsia"/>
          <w:rtl/>
        </w:rPr>
        <w:t>דִּבֶּר</w:t>
      </w:r>
      <w:r>
        <w:t xml:space="preserve">, Piel Perfekt, 3. Person Maskulinum Singular von </w:t>
      </w:r>
      <w:r>
        <w:rPr>
          <w:rStyle w:val="Fett"/>
          <w:rFonts w:eastAsiaTheme="majorEastAsia"/>
          <w:rtl/>
        </w:rPr>
        <w:t>דבר</w:t>
      </w:r>
      <w:r>
        <w:t xml:space="preserve">, „reden, sprechen", und </w:t>
      </w:r>
      <w:r>
        <w:rPr>
          <w:rStyle w:val="Fett"/>
          <w:rFonts w:eastAsiaTheme="majorEastAsia"/>
          <w:rtl/>
        </w:rPr>
        <w:t>לָךְ</w:t>
      </w:r>
      <w:r>
        <w:t xml:space="preserve">, Präposition </w:t>
      </w:r>
      <w:r>
        <w:rPr>
          <w:rStyle w:val="Fett"/>
          <w:rFonts w:eastAsiaTheme="majorEastAsia"/>
          <w:rtl/>
        </w:rPr>
        <w:t>לְ</w:t>
      </w:r>
      <w:r>
        <w:rPr>
          <w:rtl/>
        </w:rPr>
        <w:t xml:space="preserve"> </w:t>
      </w:r>
      <w:r>
        <w:t>mit Suffix 2. Person Maskulinum Singular, „wie er zu dir geredet hat").</w:t>
      </w:r>
    </w:p>
    <w:p w14:paraId="7FC9C77E" w14:textId="77777777" w:rsidR="00684135" w:rsidRDefault="00684135" w:rsidP="00684135">
      <w:pPr>
        <w:pStyle w:val="whitespace-normal"/>
      </w:pPr>
      <w:r>
        <w:rPr>
          <w:rStyle w:val="Fett"/>
          <w:rFonts w:eastAsiaTheme="majorEastAsia"/>
          <w:rtl/>
        </w:rPr>
        <w:t>וְהַעֲבַטְתָּ גּוֹיִם רַבִּים וְאַתָּה לֹא תַעֲבֹט</w:t>
      </w:r>
      <w:r>
        <w:rPr>
          <w:rtl/>
        </w:rPr>
        <w:t xml:space="preserve"> </w:t>
      </w:r>
      <w:r>
        <w:t xml:space="preserve">ist der erste Folgesatz: </w:t>
      </w:r>
      <w:r>
        <w:rPr>
          <w:rStyle w:val="Fett"/>
          <w:rFonts w:eastAsiaTheme="majorEastAsia"/>
          <w:rtl/>
        </w:rPr>
        <w:t>וְהַעֲבַטְתָּ</w:t>
      </w:r>
      <w:r>
        <w:rPr>
          <w:rtl/>
        </w:rPr>
        <w:t xml:space="preserve"> </w:t>
      </w:r>
      <w:r>
        <w:t xml:space="preserve">(Hiphil Perfekt, 2. Person Maskulinum Singular von </w:t>
      </w:r>
      <w:r>
        <w:rPr>
          <w:rStyle w:val="Fett"/>
          <w:rFonts w:eastAsiaTheme="majorEastAsia"/>
          <w:rtl/>
        </w:rPr>
        <w:t>עבט</w:t>
      </w:r>
      <w:r>
        <w:t xml:space="preserve">, „verpfänden, auf Pfand leihen", mit </w:t>
      </w:r>
      <w:r>
        <w:rPr>
          <w:rStyle w:val="Fett"/>
          <w:rFonts w:eastAsiaTheme="majorEastAsia"/>
        </w:rPr>
        <w:t>Waw</w:t>
      </w:r>
      <w:r>
        <w:t xml:space="preserve"> consecutives Perfekt), </w:t>
      </w:r>
      <w:r>
        <w:rPr>
          <w:rStyle w:val="Fett"/>
          <w:rFonts w:eastAsiaTheme="majorEastAsia"/>
          <w:rtl/>
        </w:rPr>
        <w:t>גּוֹיִם רַבִּים</w:t>
      </w:r>
      <w:r>
        <w:rPr>
          <w:rtl/>
        </w:rPr>
        <w:t xml:space="preserve"> </w:t>
      </w:r>
      <w:r>
        <w:t>(</w:t>
      </w:r>
      <w:r>
        <w:rPr>
          <w:rStyle w:val="Fett"/>
          <w:rFonts w:eastAsiaTheme="majorEastAsia"/>
          <w:rtl/>
        </w:rPr>
        <w:t>גּוֹי</w:t>
      </w:r>
      <w:r>
        <w:t xml:space="preserve">, „Nation, Volk", Plural, mit </w:t>
      </w:r>
      <w:r>
        <w:rPr>
          <w:rStyle w:val="Fett"/>
          <w:rFonts w:eastAsiaTheme="majorEastAsia"/>
          <w:rtl/>
        </w:rPr>
        <w:t>רַב</w:t>
      </w:r>
      <w:r>
        <w:t xml:space="preserve">, „viel, zahlreich", Plural, „viele Nationen") als direktes Objekt, </w:t>
      </w:r>
      <w:r>
        <w:rPr>
          <w:rStyle w:val="Fett"/>
          <w:rFonts w:eastAsiaTheme="majorEastAsia"/>
          <w:rtl/>
        </w:rPr>
        <w:t>וְאַתָּה</w:t>
      </w:r>
      <w:r>
        <w:rPr>
          <w:rtl/>
        </w:rPr>
        <w:t xml:space="preserve"> </w:t>
      </w:r>
      <w:r>
        <w:t xml:space="preserve">(koordiniert durch </w:t>
      </w:r>
      <w:r>
        <w:rPr>
          <w:rStyle w:val="Fett"/>
          <w:rFonts w:eastAsiaTheme="majorEastAsia"/>
          <w:rtl/>
        </w:rPr>
        <w:t>וְ</w:t>
      </w:r>
      <w:r>
        <w:rPr>
          <w:rtl/>
        </w:rPr>
        <w:t xml:space="preserve"> </w:t>
      </w:r>
      <w:r>
        <w:t xml:space="preserve">mit Personalpronomen 2. Person Maskulinum Singular, betont, „aber du") als kontrastierendes Subjekt, </w:t>
      </w:r>
      <w:r>
        <w:rPr>
          <w:rStyle w:val="Fett"/>
          <w:rFonts w:eastAsiaTheme="majorEastAsia"/>
          <w:rtl/>
        </w:rPr>
        <w:t>לֹא תַעֲבֹט</w:t>
      </w:r>
      <w:r>
        <w:rPr>
          <w:rtl/>
        </w:rPr>
        <w:t xml:space="preserve"> </w:t>
      </w:r>
      <w:r>
        <w:t xml:space="preserve">(Negation </w:t>
      </w:r>
      <w:r>
        <w:rPr>
          <w:rStyle w:val="Fett"/>
          <w:rFonts w:eastAsiaTheme="majorEastAsia"/>
          <w:rtl/>
        </w:rPr>
        <w:t>לֹא</w:t>
      </w:r>
      <w:r>
        <w:rPr>
          <w:rtl/>
        </w:rPr>
        <w:t xml:space="preserve"> </w:t>
      </w:r>
      <w:r>
        <w:t xml:space="preserve">mit </w:t>
      </w:r>
      <w:r>
        <w:rPr>
          <w:rStyle w:val="Fett"/>
          <w:rFonts w:eastAsiaTheme="majorEastAsia"/>
          <w:rtl/>
        </w:rPr>
        <w:t>עבט</w:t>
      </w:r>
      <w:r>
        <w:t>, Qal Imperfekt, 2. Person Maskulinum Singular, „entleihen, auf Pfand borgen").</w:t>
      </w:r>
    </w:p>
    <w:p w14:paraId="7AF7397C" w14:textId="77777777" w:rsidR="00684135" w:rsidRDefault="00684135" w:rsidP="00684135">
      <w:pPr>
        <w:pStyle w:val="whitespace-normal"/>
      </w:pPr>
      <w:r>
        <w:rPr>
          <w:rStyle w:val="Fett"/>
          <w:rFonts w:eastAsiaTheme="majorEastAsia"/>
          <w:rtl/>
        </w:rPr>
        <w:t>וּמָשַׁלְתָּ בְּגוֹיִם רַבִּים וּבְךָ לֹא יִמְשֹׁלוּ</w:t>
      </w:r>
      <w:r>
        <w:rPr>
          <w:rtl/>
        </w:rPr>
        <w:t xml:space="preserve"> </w:t>
      </w:r>
      <w:r>
        <w:t xml:space="preserve">ist der zweite parallele Folgesatz: </w:t>
      </w:r>
      <w:r>
        <w:rPr>
          <w:rStyle w:val="Fett"/>
          <w:rFonts w:eastAsiaTheme="majorEastAsia"/>
          <w:rtl/>
        </w:rPr>
        <w:t>וּמָשַׁלְתָּ</w:t>
      </w:r>
      <w:r>
        <w:rPr>
          <w:rtl/>
        </w:rPr>
        <w:t xml:space="preserve"> </w:t>
      </w:r>
      <w:r>
        <w:t xml:space="preserve">(Qal Perfekt, 2. Person Maskulinum Singular von </w:t>
      </w:r>
      <w:r>
        <w:rPr>
          <w:rStyle w:val="Fett"/>
          <w:rFonts w:eastAsiaTheme="majorEastAsia"/>
          <w:rtl/>
        </w:rPr>
        <w:t>משׁל</w:t>
      </w:r>
      <w:r>
        <w:t xml:space="preserve">, „herrschen", mit </w:t>
      </w:r>
      <w:r>
        <w:rPr>
          <w:rStyle w:val="Fett"/>
          <w:rFonts w:eastAsiaTheme="majorEastAsia"/>
        </w:rPr>
        <w:t>Waw</w:t>
      </w:r>
      <w:r>
        <w:t xml:space="preserve"> consecutives Perfekt), </w:t>
      </w:r>
      <w:r>
        <w:rPr>
          <w:rStyle w:val="Fett"/>
          <w:rFonts w:eastAsiaTheme="majorEastAsia"/>
          <w:rtl/>
        </w:rPr>
        <w:t>בְּגוֹיִם רַבִּים</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גּוֹיִם רַבִּים</w:t>
      </w:r>
      <w:r>
        <w:t xml:space="preserve">, „über viele Nationen") als präpositionales Objekt, </w:t>
      </w:r>
      <w:r>
        <w:rPr>
          <w:rStyle w:val="Fett"/>
          <w:rFonts w:eastAsiaTheme="majorEastAsia"/>
          <w:rtl/>
        </w:rPr>
        <w:t>וּבְךָ</w:t>
      </w:r>
      <w:r>
        <w:rPr>
          <w:rtl/>
        </w:rPr>
        <w:t xml:space="preserve"> </w:t>
      </w:r>
      <w:r>
        <w:t xml:space="preserve">(koordiniert durch </w:t>
      </w:r>
      <w:r>
        <w:rPr>
          <w:rStyle w:val="Fett"/>
          <w:rFonts w:eastAsiaTheme="majorEastAsia"/>
          <w:rtl/>
        </w:rPr>
        <w:t>וּ</w:t>
      </w:r>
      <w:r>
        <w:rPr>
          <w:rtl/>
        </w:rPr>
        <w:t xml:space="preserve"> </w:t>
      </w:r>
      <w:r>
        <w:t xml:space="preserve">mit Präposition </w:t>
      </w:r>
      <w:r>
        <w:rPr>
          <w:rStyle w:val="Fett"/>
          <w:rFonts w:eastAsiaTheme="majorEastAsia"/>
          <w:rtl/>
        </w:rPr>
        <w:t>בְּ</w:t>
      </w:r>
      <w:r>
        <w:rPr>
          <w:rtl/>
        </w:rPr>
        <w:t xml:space="preserve"> </w:t>
      </w:r>
      <w:r>
        <w:t xml:space="preserve">und Suffix 2. Person Maskulinum Singular, kontrastierend, „aber über dich") als präpositionales Objekt und </w:t>
      </w:r>
      <w:r>
        <w:rPr>
          <w:rStyle w:val="Fett"/>
          <w:rFonts w:eastAsiaTheme="majorEastAsia"/>
          <w:rtl/>
        </w:rPr>
        <w:t>לֹא יִמְשֹׁלוּ</w:t>
      </w:r>
      <w:r>
        <w:rPr>
          <w:rtl/>
        </w:rPr>
        <w:t xml:space="preserve"> </w:t>
      </w:r>
      <w:r>
        <w:t xml:space="preserve">(Negation </w:t>
      </w:r>
      <w:r>
        <w:rPr>
          <w:rStyle w:val="Fett"/>
          <w:rFonts w:eastAsiaTheme="majorEastAsia"/>
          <w:rtl/>
        </w:rPr>
        <w:t>לֹא</w:t>
      </w:r>
      <w:r>
        <w:rPr>
          <w:rtl/>
        </w:rPr>
        <w:t xml:space="preserve"> </w:t>
      </w:r>
      <w:r>
        <w:t xml:space="preserve">mit </w:t>
      </w:r>
      <w:r>
        <w:rPr>
          <w:rStyle w:val="Fett"/>
          <w:rFonts w:eastAsiaTheme="majorEastAsia"/>
          <w:rtl/>
        </w:rPr>
        <w:t>משׁל</w:t>
      </w:r>
      <w:r>
        <w:t>, Qal Imperfekt, 3. Person Maskulinum Plural, „herrschen") als Prädikat.</w:t>
      </w:r>
    </w:p>
    <w:p w14:paraId="79654F0B" w14:textId="77777777" w:rsidR="00684135" w:rsidRDefault="00684135" w:rsidP="00684135">
      <w:pPr>
        <w:pStyle w:val="whitespace-normal"/>
      </w:pPr>
      <w:r>
        <w:t xml:space="preserve">Der Vers begründet die Segenszusage aus V. 4-5 und entfaltet sie in zwei Bereichen: (1) wirtschaftliche Überlegenheit (Gläubiger, nicht Schuldner), (2) politische Überlegenheit (Herrscher, nicht Beherrschte). Die Formulierung </w:t>
      </w:r>
      <w:r>
        <w:rPr>
          <w:rStyle w:val="Fett"/>
          <w:rFonts w:eastAsiaTheme="majorEastAsia"/>
          <w:rtl/>
        </w:rPr>
        <w:t>כַּאֲשֶׁר דִּבֶּר־לָךְ</w:t>
      </w:r>
      <w:r>
        <w:rPr>
          <w:rtl/>
        </w:rPr>
        <w:t xml:space="preserve"> </w:t>
      </w:r>
      <w:r>
        <w:t>(„wie er zu dir geredet hat") verweist auf frühere Verheißungen (vgl. 7,13; 28,1-14).</w:t>
      </w:r>
    </w:p>
    <w:p w14:paraId="3E9642B8" w14:textId="77777777" w:rsidR="00684135" w:rsidRDefault="00684135" w:rsidP="00684135">
      <w:pPr>
        <w:pStyle w:val="whitespace-normal"/>
      </w:pPr>
      <w:r>
        <w:t xml:space="preserve">Das Verb </w:t>
      </w:r>
      <w:r>
        <w:rPr>
          <w:rStyle w:val="Fett"/>
          <w:rFonts w:eastAsiaTheme="majorEastAsia"/>
          <w:rtl/>
        </w:rPr>
        <w:t>עבט</w:t>
      </w:r>
      <w:r>
        <w:rPr>
          <w:rtl/>
        </w:rPr>
        <w:t xml:space="preserve"> </w:t>
      </w:r>
      <w:r>
        <w:t>im Hiphil bedeutet „auf Pfand leihen, Darlehen geben" (als Gläubiger), im Qal „auf Pfand borgen, entleihen" (als Schuldner). Die Konstruktion zeigt den Kontrast: Israel wird Gläubiger vieler Völker sein, selbst aber kein Schuldner. Dies ist nicht als Aufruf zu wirtschaftlichem Imperialismus zu verstehen, sondern als Bild für Wohlstand und Unabhängigkeit.</w:t>
      </w:r>
    </w:p>
    <w:p w14:paraId="258A7213" w14:textId="77777777" w:rsidR="00684135" w:rsidRDefault="00684135" w:rsidP="00684135">
      <w:pPr>
        <w:pStyle w:val="whitespace-normal"/>
      </w:pPr>
      <w:r>
        <w:lastRenderedPageBreak/>
        <w:t xml:space="preserve">Die zweite Aussage </w:t>
      </w:r>
      <w:r>
        <w:rPr>
          <w:rStyle w:val="Fett"/>
          <w:rFonts w:eastAsiaTheme="majorEastAsia"/>
          <w:rtl/>
        </w:rPr>
        <w:t>מָשַׁלְתָּ בְּגוֹיִם רַבִּים</w:t>
      </w:r>
      <w:r>
        <w:rPr>
          <w:rtl/>
        </w:rPr>
        <w:t xml:space="preserve"> </w:t>
      </w:r>
      <w:r>
        <w:t>(„du wirst über viele Nationen herrschen") ist ähnlich problematisch. Im Kontext der Verheißungen kann dies politische Vormachtstellung bedeuten (vgl. 28,12-13), aber auch einfach: Israel wird nicht von anderen Völkern abhängig sein.</w:t>
      </w:r>
    </w:p>
    <w:p w14:paraId="4B470597" w14:textId="77777777" w:rsidR="00684135" w:rsidRDefault="00684135" w:rsidP="00684135">
      <w:pPr>
        <w:pStyle w:val="whitespace-normal"/>
      </w:pPr>
      <w:r>
        <w:t xml:space="preserve">Die doppelte Kontraststruktur (Israel tut X, aber andere tun nicht X zu Israel) ist rhetorisch stark und betont Israels privilegierte Stellung bei Gehorsam. Die emphatischen Pronomina </w:t>
      </w:r>
      <w:r>
        <w:rPr>
          <w:rStyle w:val="Fett"/>
          <w:rFonts w:eastAsiaTheme="majorEastAsia"/>
          <w:rtl/>
        </w:rPr>
        <w:t>וְאַתָּה</w:t>
      </w:r>
      <w:r>
        <w:rPr>
          <w:rtl/>
        </w:rPr>
        <w:t xml:space="preserve"> </w:t>
      </w:r>
      <w:r>
        <w:t xml:space="preserve">(„aber du") und </w:t>
      </w:r>
      <w:r>
        <w:rPr>
          <w:rStyle w:val="Fett"/>
          <w:rFonts w:eastAsiaTheme="majorEastAsia"/>
          <w:rtl/>
        </w:rPr>
        <w:t>וּבְךָ</w:t>
      </w:r>
      <w:r>
        <w:rPr>
          <w:rtl/>
        </w:rPr>
        <w:t xml:space="preserve"> </w:t>
      </w:r>
      <w:r>
        <w:t>(„aber über dich") unterstreichen den Kontrast.</w:t>
      </w:r>
    </w:p>
    <w:p w14:paraId="7EAE3EA7" w14:textId="77777777" w:rsidR="00684135" w:rsidRDefault="00684135" w:rsidP="00684135">
      <w:pPr>
        <w:pStyle w:val="whitespace-normal"/>
      </w:pPr>
      <w:r>
        <w:rPr>
          <w:rStyle w:val="Fett"/>
          <w:rFonts w:eastAsiaTheme="majorEastAsia"/>
        </w:rPr>
        <w:t>Die Satzstruktur</w:t>
      </w:r>
      <w:r>
        <w:t xml:space="preserve"> besteht aus einem kausalen Satz mit Vergleichssatz und zwei parallelen kontrastierenden Folgesätzen: Kausale Konjunktion (denn), Subjekt (JHWH, dein Gott), Prädikat (hat gesegnet dich), Vergleichssatz (wie er geredet hat zu dir); erster Folgesatz (wirst leihen), direktes Objekt (vielen Nationen), kontrastierendes Subjekt (aber du), negiertes Prädikat (nicht wirst entleihen); zweiter Folgesatz (wirst herrschen), präpositionales Objekt (über viele Nationen), kontrastierendes präpositionales Objekt (aber über dich), negiertes Prädikat (nicht werden sie herrschen).</w:t>
      </w:r>
    </w:p>
    <w:p w14:paraId="7DA693D6" w14:textId="77777777" w:rsidR="00684135" w:rsidRDefault="00684135" w:rsidP="00684135">
      <w:pPr>
        <w:pStyle w:val="whitespace-normal"/>
      </w:pPr>
      <w:r>
        <w:t>Der Vers begründet die Segenszusage: JHWH hat Israel gesegnet wie verheißen – daher wird Israel vielen Völkern leihen (nicht borgen) und über sie herrschen (nicht beherrscht werden) – wirtschaftliche und politische Überlegenheit als Zeichen des Segens.</w:t>
      </w:r>
    </w:p>
    <w:p w14:paraId="7A826CA7" w14:textId="77777777" w:rsidR="00684135" w:rsidRPr="00684135" w:rsidRDefault="00684135" w:rsidP="00684135">
      <w:pPr>
        <w:pStyle w:val="berschrift1"/>
        <w:rPr>
          <w:rFonts w:ascii="Times New Roman" w:hAnsi="Times New Roman"/>
          <w:color w:val="auto"/>
          <w:sz w:val="36"/>
          <w:szCs w:val="36"/>
        </w:rPr>
      </w:pPr>
      <w:r w:rsidRPr="00684135">
        <w:rPr>
          <w:rStyle w:val="Fett"/>
          <w:rFonts w:ascii="Times New Roman" w:hAnsi="Times New Roman"/>
          <w:color w:val="auto"/>
          <w:sz w:val="36"/>
          <w:szCs w:val="36"/>
        </w:rPr>
        <w:t>Deuteronomium 15,7</w:t>
      </w:r>
    </w:p>
    <w:p w14:paraId="788F42DE" w14:textId="77777777" w:rsidR="00684135" w:rsidRDefault="00684135" w:rsidP="00684135">
      <w:pPr>
        <w:pStyle w:val="whitespace-normal"/>
      </w:pPr>
      <w:r>
        <w:rPr>
          <w:rStyle w:val="Fett"/>
          <w:rFonts w:eastAsiaTheme="majorEastAsia"/>
        </w:rPr>
        <w:t>Hebräisch:</w:t>
      </w:r>
      <w:r>
        <w:t xml:space="preserve"> </w:t>
      </w:r>
      <w:r>
        <w:rPr>
          <w:rtl/>
        </w:rPr>
        <w:t>כִּֽי־יִהְיֶה֩ בְךָ֨ אֶבְי֜וֹן מֵאַחַ֤ד אַחֶ֨יךָ֙ בְּאַחַ֣ד שְׁעָרֶ֔יךָ בְּאַ֨רְצְךָ֔ אֲשֶׁר־יְהוָ֥ה אֱלֹהֶ֖יךָ נֹתֵ֣ן לָ֑ךְ לֹ֧א תְאַמֵּ֣ץ אֶת־לְבָבְךָ֗ וְלֹ֤א תִקְפֹּץ֙ אֶת־יָ֣דְךָ֔ מֵאָחִ֖יךָ הָאֶבְיֽוֹן׃</w:t>
      </w:r>
    </w:p>
    <w:p w14:paraId="2B0536C3" w14:textId="77777777" w:rsidR="00684135" w:rsidRDefault="00684135" w:rsidP="00684135">
      <w:pPr>
        <w:pStyle w:val="whitespace-normal"/>
      </w:pPr>
      <w:r>
        <w:rPr>
          <w:rStyle w:val="Fett"/>
          <w:rFonts w:eastAsiaTheme="majorEastAsia"/>
        </w:rPr>
        <w:t>Deutsch:</w:t>
      </w:r>
      <w:r>
        <w:t xml:space="preserve"> Wenn ein Armer bei dir sein wird, irgendeiner deiner Brüder in einem deiner Tore in deinem Land, das der Ewige, dein Gott, dir gibt, so sollst du dein Herz nicht verhärten und deine Hand vor deinem armen Bruder nicht verschließen.</w:t>
      </w:r>
    </w:p>
    <w:p w14:paraId="021290EA" w14:textId="77777777" w:rsidR="00684135" w:rsidRDefault="004F5CEB" w:rsidP="00684135">
      <w:r>
        <w:rPr>
          <w:noProof/>
        </w:rPr>
        <w:pict w14:anchorId="3720A792">
          <v:rect id="_x0000_i1451" style="width:0;height:1.5pt" o:hralign="center" o:hrstd="t" o:hr="t" fillcolor="#a0a0a0" stroked="f"/>
        </w:pict>
      </w:r>
    </w:p>
    <w:p w14:paraId="1D4E0BB8" w14:textId="77777777" w:rsidR="00684135" w:rsidRDefault="00684135" w:rsidP="00684135">
      <w:pPr>
        <w:pStyle w:val="whitespace-normal"/>
      </w:pPr>
      <w:r>
        <w:rPr>
          <w:rStyle w:val="Fett"/>
          <w:rFonts w:eastAsiaTheme="majorEastAsia"/>
        </w:rPr>
        <w:t>Kommentar:</w:t>
      </w:r>
      <w:r>
        <w:t xml:space="preserve"> </w:t>
      </w:r>
      <w:r>
        <w:rPr>
          <w:rStyle w:val="Fett"/>
          <w:rFonts w:eastAsiaTheme="majorEastAsia"/>
          <w:rtl/>
        </w:rPr>
        <w:t>כִּי־יִהְיֶה בְךָ אֶבְיוֹן מֵאַחַד אַחֶיךָ בְּאַחַד שְׁעָרֶיךָ בְּאַרְצְךָ אֲשֶׁר־יְהוָה אֱלֹהֶיךָ נֹתֵן לָךְ</w:t>
      </w:r>
      <w:r>
        <w:rPr>
          <w:rtl/>
        </w:rPr>
        <w:t xml:space="preserve"> </w:t>
      </w:r>
      <w:r>
        <w:t xml:space="preserve">ist ein konditionaler Satz: </w:t>
      </w:r>
      <w:r>
        <w:rPr>
          <w:rStyle w:val="Fett"/>
          <w:rFonts w:eastAsiaTheme="majorEastAsia"/>
          <w:rtl/>
        </w:rPr>
        <w:t>כִּי</w:t>
      </w:r>
      <w:r>
        <w:rPr>
          <w:rtl/>
        </w:rPr>
        <w:t xml:space="preserve"> </w:t>
      </w:r>
      <w:r>
        <w:t xml:space="preserve">(„wenn, falls") als konditionale Konjunktion, </w:t>
      </w:r>
      <w:r>
        <w:rPr>
          <w:rStyle w:val="Fett"/>
          <w:rFonts w:eastAsiaTheme="majorEastAsia"/>
          <w:rtl/>
        </w:rPr>
        <w:t>יִהְיֶה</w:t>
      </w:r>
      <w:r>
        <w:rPr>
          <w:rtl/>
        </w:rPr>
        <w:t xml:space="preserve"> </w:t>
      </w:r>
      <w:r>
        <w:t xml:space="preserve">(Qal Imperfekt, 3. Person Maskulinum Singular von </w:t>
      </w:r>
      <w:r>
        <w:rPr>
          <w:rStyle w:val="Fett"/>
          <w:rFonts w:eastAsiaTheme="majorEastAsia"/>
          <w:rtl/>
        </w:rPr>
        <w:t>היה</w:t>
      </w:r>
      <w:r>
        <w:t xml:space="preserve">, „sein"), </w:t>
      </w:r>
      <w:r>
        <w:rPr>
          <w:rStyle w:val="Fett"/>
          <w:rFonts w:eastAsiaTheme="majorEastAsia"/>
          <w:rtl/>
        </w:rPr>
        <w:t>בְךָ</w:t>
      </w:r>
      <w:r>
        <w:rPr>
          <w:rtl/>
        </w:rPr>
        <w:t xml:space="preserve"> </w:t>
      </w:r>
      <w:r>
        <w:t xml:space="preserve">(Präposition </w:t>
      </w:r>
      <w:r>
        <w:rPr>
          <w:rStyle w:val="Fett"/>
          <w:rFonts w:eastAsiaTheme="majorEastAsia"/>
          <w:rtl/>
        </w:rPr>
        <w:t>בְּ</w:t>
      </w:r>
      <w:r>
        <w:rPr>
          <w:rtl/>
        </w:rPr>
        <w:t xml:space="preserve"> </w:t>
      </w:r>
      <w:r>
        <w:t xml:space="preserve">mit Suffix 2. Person Maskulinum Singular, „bei dir, unter dir") als lokale Bestimmung, </w:t>
      </w:r>
      <w:r>
        <w:rPr>
          <w:rStyle w:val="Fett"/>
          <w:rFonts w:eastAsiaTheme="majorEastAsia"/>
          <w:rtl/>
        </w:rPr>
        <w:t>אֶבְיוֹן</w:t>
      </w:r>
      <w:r>
        <w:rPr>
          <w:rtl/>
        </w:rPr>
        <w:t xml:space="preserve"> </w:t>
      </w:r>
      <w:r>
        <w:t>(</w:t>
      </w:r>
      <w:r>
        <w:rPr>
          <w:rStyle w:val="Fett"/>
          <w:rFonts w:eastAsiaTheme="majorEastAsia"/>
          <w:rtl/>
        </w:rPr>
        <w:t>אֶבְיוֹן</w:t>
      </w:r>
      <w:r>
        <w:t xml:space="preserve">, „Armer, Bedürftiger") als Subjekt, </w:t>
      </w:r>
      <w:r>
        <w:rPr>
          <w:rStyle w:val="Fett"/>
          <w:rFonts w:eastAsiaTheme="majorEastAsia"/>
          <w:rtl/>
        </w:rPr>
        <w:t>מֵאַחַד אַחֶיךָ</w:t>
      </w:r>
      <w:r>
        <w:rPr>
          <w:rtl/>
        </w:rPr>
        <w:t xml:space="preserve"> </w:t>
      </w:r>
      <w:r>
        <w:t xml:space="preserve">(Präposition </w:t>
      </w:r>
      <w:r>
        <w:rPr>
          <w:rStyle w:val="Fett"/>
          <w:rFonts w:eastAsiaTheme="majorEastAsia"/>
          <w:rtl/>
        </w:rPr>
        <w:t>מִן</w:t>
      </w:r>
      <w:r>
        <w:t xml:space="preserve">, „von", mit </w:t>
      </w:r>
      <w:r>
        <w:rPr>
          <w:rStyle w:val="Fett"/>
          <w:rFonts w:eastAsiaTheme="majorEastAsia"/>
          <w:rtl/>
        </w:rPr>
        <w:t>אֶחָד</w:t>
      </w:r>
      <w:r>
        <w:t xml:space="preserve">, „einer", Construct mit </w:t>
      </w:r>
      <w:r>
        <w:rPr>
          <w:rStyle w:val="Fett"/>
          <w:rFonts w:eastAsiaTheme="majorEastAsia"/>
          <w:rtl/>
        </w:rPr>
        <w:t>אָח</w:t>
      </w:r>
      <w:r>
        <w:t xml:space="preserve">, „Bruder", Plural mit Suffix 2. Person Maskulinum Singular, „von einem deiner Brüder, irgendeiner deiner Brüder") als Herkunftsangabe, </w:t>
      </w:r>
      <w:r>
        <w:rPr>
          <w:rStyle w:val="Fett"/>
          <w:rFonts w:eastAsiaTheme="majorEastAsia"/>
          <w:rtl/>
        </w:rPr>
        <w:t>בְּאַחַד שְׁעָרֶיךָ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אֶחָד</w:t>
      </w:r>
      <w:r>
        <w:t xml:space="preserve">, Construct mit </w:t>
      </w:r>
      <w:r>
        <w:rPr>
          <w:rStyle w:val="Fett"/>
          <w:rFonts w:eastAsiaTheme="majorEastAsia"/>
          <w:rtl/>
        </w:rPr>
        <w:t>שַׁעַר</w:t>
      </w:r>
      <w:r>
        <w:t xml:space="preserve">, „Tor", Plural mit Suffix 2. Person Maskulinum Singular, „in einem deiner Tore") als weitere lokale Bestimmung, </w:t>
      </w:r>
      <w:r>
        <w:rPr>
          <w:rStyle w:val="Fett"/>
          <w:rFonts w:eastAsiaTheme="majorEastAsia"/>
          <w:rtl/>
        </w:rPr>
        <w:t>בְּאַרְצְךָ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אֶרֶץ</w:t>
      </w:r>
      <w:r>
        <w:t xml:space="preserve">, „Land", mit Suffix 2. Person Maskulinum Singular, „in deinem Land") als übergeordnete lokale Bestimmung und </w:t>
      </w:r>
      <w:r>
        <w:rPr>
          <w:rStyle w:val="Fett"/>
          <w:rFonts w:eastAsiaTheme="majorEastAsia"/>
          <w:rtl/>
        </w:rPr>
        <w:t>אֲשֶׁר־יְהוָה אֱלֹהֶיךָ נֹתֵן לָךְ</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נֹתֵן</w:t>
      </w:r>
      <w:r>
        <w:t xml:space="preserve">, Qal Partizip Maskulinum Singular von </w:t>
      </w:r>
      <w:r>
        <w:rPr>
          <w:rStyle w:val="Fett"/>
          <w:rFonts w:eastAsiaTheme="majorEastAsia"/>
          <w:rtl/>
        </w:rPr>
        <w:t>נתן</w:t>
      </w:r>
      <w:r>
        <w:t xml:space="preserve">, „geben", </w:t>
      </w:r>
      <w:r>
        <w:rPr>
          <w:rStyle w:val="Fett"/>
          <w:rFonts w:eastAsiaTheme="majorEastAsia"/>
          <w:rtl/>
        </w:rPr>
        <w:t>יְהוָה אֱלֹהֶיךָ</w:t>
      </w:r>
      <w:r>
        <w:rPr>
          <w:rtl/>
        </w:rPr>
        <w:t xml:space="preserve"> </w:t>
      </w:r>
      <w:r>
        <w:t xml:space="preserve">als Subjekt, und </w:t>
      </w:r>
      <w:r>
        <w:rPr>
          <w:rStyle w:val="Fett"/>
          <w:rFonts w:eastAsiaTheme="majorEastAsia"/>
          <w:rtl/>
        </w:rPr>
        <w:t>לָךְ</w:t>
      </w:r>
      <w:r>
        <w:t xml:space="preserve">, Präposition </w:t>
      </w:r>
      <w:r>
        <w:rPr>
          <w:rStyle w:val="Fett"/>
          <w:rFonts w:eastAsiaTheme="majorEastAsia"/>
          <w:rtl/>
        </w:rPr>
        <w:t>לְ</w:t>
      </w:r>
      <w:r>
        <w:rPr>
          <w:rtl/>
        </w:rPr>
        <w:t xml:space="preserve"> </w:t>
      </w:r>
      <w:r>
        <w:t>mit Suffix 2. Person Maskulinum Singular).</w:t>
      </w:r>
    </w:p>
    <w:p w14:paraId="562459DA" w14:textId="77777777" w:rsidR="00684135" w:rsidRDefault="00684135" w:rsidP="00684135">
      <w:pPr>
        <w:pStyle w:val="whitespace-normal"/>
      </w:pPr>
      <w:r>
        <w:rPr>
          <w:rStyle w:val="Fett"/>
          <w:rFonts w:eastAsiaTheme="majorEastAsia"/>
          <w:rtl/>
        </w:rPr>
        <w:t>לֹא תְאַמֵּץ אֶת־לְבָבְךָ וְלֹא תִקְפֹּץ אֶת־יָדְךָ מֵאָחִיךָ הָאֶבְיוֹן</w:t>
      </w:r>
      <w:r>
        <w:rPr>
          <w:rtl/>
        </w:rPr>
        <w:t xml:space="preserve"> </w:t>
      </w:r>
      <w:r>
        <w:t xml:space="preserve">sind zwei koordinierte negative Imperative: </w:t>
      </w:r>
      <w:r>
        <w:rPr>
          <w:rStyle w:val="Fett"/>
          <w:rFonts w:eastAsiaTheme="majorEastAsia"/>
          <w:rtl/>
        </w:rPr>
        <w:t>לֹא תְאַמֵּץ</w:t>
      </w:r>
      <w:r>
        <w:rPr>
          <w:rtl/>
        </w:rPr>
        <w:t xml:space="preserve"> </w:t>
      </w:r>
      <w:r>
        <w:t xml:space="preserve">(Negation </w:t>
      </w:r>
      <w:r>
        <w:rPr>
          <w:rStyle w:val="Fett"/>
          <w:rFonts w:eastAsiaTheme="majorEastAsia"/>
          <w:rtl/>
        </w:rPr>
        <w:t>לֹא</w:t>
      </w:r>
      <w:r>
        <w:rPr>
          <w:rtl/>
        </w:rPr>
        <w:t xml:space="preserve"> </w:t>
      </w:r>
      <w:r>
        <w:t xml:space="preserve">mit </w:t>
      </w:r>
      <w:r>
        <w:rPr>
          <w:rStyle w:val="Fett"/>
          <w:rFonts w:eastAsiaTheme="majorEastAsia"/>
          <w:rtl/>
        </w:rPr>
        <w:t>אמץ</w:t>
      </w:r>
      <w:r>
        <w:t xml:space="preserve">, Piel Imperfekt, 2. Person Maskulinum Singular, „hart machen, </w:t>
      </w:r>
      <w:r>
        <w:lastRenderedPageBreak/>
        <w:t xml:space="preserve">verhärten"), </w:t>
      </w:r>
      <w:r>
        <w:rPr>
          <w:rStyle w:val="Fett"/>
          <w:rFonts w:eastAsiaTheme="majorEastAsia"/>
          <w:rtl/>
        </w:rPr>
        <w:t>אֶת־לְבָבְךָ</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לֵבָב</w:t>
      </w:r>
      <w:r>
        <w:t xml:space="preserve">, „Herz", mit Suffix 2. Person Maskulinum Singular) als direktes Objekt, koordiniert durch </w:t>
      </w:r>
      <w:r>
        <w:rPr>
          <w:rStyle w:val="Fett"/>
          <w:rFonts w:eastAsiaTheme="majorEastAsia"/>
          <w:rtl/>
        </w:rPr>
        <w:t>וְלֹא</w:t>
      </w:r>
      <w:r>
        <w:rPr>
          <w:rtl/>
        </w:rPr>
        <w:t xml:space="preserve"> </w:t>
      </w:r>
      <w:r>
        <w:t xml:space="preserve">mit </w:t>
      </w:r>
      <w:r>
        <w:rPr>
          <w:rStyle w:val="Fett"/>
          <w:rFonts w:eastAsiaTheme="majorEastAsia"/>
          <w:rtl/>
        </w:rPr>
        <w:t>תִקְפֹּץ</w:t>
      </w:r>
      <w:r>
        <w:rPr>
          <w:rtl/>
        </w:rPr>
        <w:t xml:space="preserve"> </w:t>
      </w:r>
      <w:r>
        <w:t xml:space="preserve">(Qal Imperfekt, 2. Person Maskulinum Singular von </w:t>
      </w:r>
      <w:r>
        <w:rPr>
          <w:rStyle w:val="Fett"/>
          <w:rFonts w:eastAsiaTheme="majorEastAsia"/>
          <w:rtl/>
        </w:rPr>
        <w:t>קפץ</w:t>
      </w:r>
      <w:r>
        <w:t xml:space="preserve">, „zusammenziehen, schließen, verschließen"), </w:t>
      </w:r>
      <w:r>
        <w:rPr>
          <w:rStyle w:val="Fett"/>
          <w:rFonts w:eastAsiaTheme="majorEastAsia"/>
          <w:rtl/>
        </w:rPr>
        <w:t>אֶת־יָדְךָ</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יָד</w:t>
      </w:r>
      <w:r>
        <w:t xml:space="preserve">, „Hand", mit Suffix 2. Person Maskulinum Singular) als direktes Objekt und </w:t>
      </w:r>
      <w:r>
        <w:rPr>
          <w:rStyle w:val="Fett"/>
          <w:rFonts w:eastAsiaTheme="majorEastAsia"/>
          <w:rtl/>
        </w:rPr>
        <w:t>מֵאָחִיךָ הָאֶבְיוֹן</w:t>
      </w:r>
      <w:r>
        <w:rPr>
          <w:rtl/>
        </w:rPr>
        <w:t xml:space="preserve"> </w:t>
      </w:r>
      <w:r>
        <w:t xml:space="preserve">(Präposition </w:t>
      </w:r>
      <w:r>
        <w:rPr>
          <w:rStyle w:val="Fett"/>
          <w:rFonts w:eastAsiaTheme="majorEastAsia"/>
          <w:rtl/>
        </w:rPr>
        <w:t>מִן</w:t>
      </w:r>
      <w:r>
        <w:t xml:space="preserve">, „von", mit </w:t>
      </w:r>
      <w:r>
        <w:rPr>
          <w:rStyle w:val="Fett"/>
          <w:rFonts w:eastAsiaTheme="majorEastAsia"/>
          <w:rtl/>
        </w:rPr>
        <w:t>אָח</w:t>
      </w:r>
      <w:r>
        <w:t xml:space="preserve">, „Bruder", mit Suffix 2. Person Maskulinum Singular, und </w:t>
      </w:r>
      <w:r>
        <w:rPr>
          <w:rStyle w:val="Fett"/>
          <w:rFonts w:eastAsiaTheme="majorEastAsia"/>
          <w:rtl/>
        </w:rPr>
        <w:t>אֶבְיוֹן</w:t>
      </w:r>
      <w:r>
        <w:t>, „arm", mit Artikel, „vor/von deinem armen Bruder") als präpositionale Bestimmung.</w:t>
      </w:r>
    </w:p>
    <w:p w14:paraId="4B97E007" w14:textId="77777777" w:rsidR="00684135" w:rsidRDefault="00684135" w:rsidP="00684135">
      <w:pPr>
        <w:pStyle w:val="whitespace-normal"/>
      </w:pPr>
      <w:r>
        <w:t xml:space="preserve">Der Vers wendet sich nun von der idealen Situation (V. 4-6: keine Armut bei Gehorsam) zur realistischen Situation: Es wird Arme geben (vgl. V. 11). Die dreifache lokale Spezifikation </w:t>
      </w:r>
      <w:r>
        <w:rPr>
          <w:rStyle w:val="Fett"/>
          <w:rFonts w:eastAsiaTheme="majorEastAsia"/>
          <w:rtl/>
        </w:rPr>
        <w:t>מֵאַחַד אַחֶיךָ בְּאַחַד שְׁעָרֶיךָ בְּאַרְצְךָ</w:t>
      </w:r>
      <w:r>
        <w:rPr>
          <w:rtl/>
        </w:rPr>
        <w:t xml:space="preserve"> </w:t>
      </w:r>
      <w:r>
        <w:t>(„von einem deiner Brüder, in einem deiner Tore, in deinem Land") betont: überall, wo auch immer in Israel ein Armer sein mag.</w:t>
      </w:r>
    </w:p>
    <w:p w14:paraId="1C7A5299" w14:textId="77777777" w:rsidR="00684135" w:rsidRDefault="00684135" w:rsidP="00684135">
      <w:pPr>
        <w:pStyle w:val="whitespace-normal"/>
      </w:pPr>
      <w:r>
        <w:t xml:space="preserve">Die beiden metaphorischen Verbote verwenden Körperbilder: (1) </w:t>
      </w:r>
      <w:r>
        <w:rPr>
          <w:rStyle w:val="Fett"/>
          <w:rFonts w:eastAsiaTheme="majorEastAsia"/>
          <w:rtl/>
        </w:rPr>
        <w:t>לֹא תְאַמֵּץ אֶת־לְבָבְךָ</w:t>
      </w:r>
      <w:r>
        <w:rPr>
          <w:rtl/>
        </w:rPr>
        <w:t xml:space="preserve"> </w:t>
      </w:r>
      <w:r>
        <w:t xml:space="preserve">(„verhärte nicht dein Herz") – das harte Herz ist unempfänglich, mitleidlos (vgl. Ex 7,3.13.22; 8,15; 9,12.35; Dtn 2,30; 10,16; Jos 11,20); (2) </w:t>
      </w:r>
      <w:r>
        <w:rPr>
          <w:rStyle w:val="Fett"/>
          <w:rFonts w:eastAsiaTheme="majorEastAsia"/>
          <w:rtl/>
        </w:rPr>
        <w:t>לֹא תִקְפֹּץ אֶת־יָדְךָ</w:t>
      </w:r>
      <w:r>
        <w:rPr>
          <w:rtl/>
        </w:rPr>
        <w:t xml:space="preserve"> </w:t>
      </w:r>
      <w:r>
        <w:t>(„verschließe nicht deine Hand") – die geschlossene Hand gibt nichts (Gegenteil: offene Hand in V. 8.11).</w:t>
      </w:r>
    </w:p>
    <w:p w14:paraId="1BBF7A32" w14:textId="77777777" w:rsidR="00684135" w:rsidRDefault="00684135" w:rsidP="00684135">
      <w:pPr>
        <w:pStyle w:val="whitespace-normal"/>
      </w:pPr>
      <w:r>
        <w:t xml:space="preserve">Die Wendung </w:t>
      </w:r>
      <w:r>
        <w:rPr>
          <w:rStyle w:val="Fett"/>
          <w:rFonts w:eastAsiaTheme="majorEastAsia"/>
          <w:rtl/>
        </w:rPr>
        <w:t>מֵאָחִיךָ הָאֶבְיוֹן</w:t>
      </w:r>
      <w:r>
        <w:rPr>
          <w:rtl/>
        </w:rPr>
        <w:t xml:space="preserve"> </w:t>
      </w:r>
      <w:r>
        <w:t xml:space="preserve">(„vor/von deinem armen Bruder") mit </w:t>
      </w:r>
      <w:r>
        <w:rPr>
          <w:rStyle w:val="Fett"/>
          <w:rFonts w:eastAsiaTheme="majorEastAsia"/>
          <w:rtl/>
        </w:rPr>
        <w:t>מִן</w:t>
      </w:r>
      <w:r>
        <w:rPr>
          <w:rtl/>
        </w:rPr>
        <w:t xml:space="preserve"> </w:t>
      </w:r>
      <w:r>
        <w:t xml:space="preserve">drückt Abwendung aus: Wende dich nicht ab, verschließe dich nicht. Die Bezeichnung </w:t>
      </w:r>
      <w:r>
        <w:rPr>
          <w:rStyle w:val="Fett"/>
          <w:rFonts w:eastAsiaTheme="majorEastAsia"/>
          <w:rtl/>
        </w:rPr>
        <w:t>אָחִיךָ</w:t>
      </w:r>
      <w:r>
        <w:rPr>
          <w:rtl/>
        </w:rPr>
        <w:t xml:space="preserve"> </w:t>
      </w:r>
      <w:r>
        <w:t>(„dein Bruder") appelliert an Solidarität – der Arme ist kein Fremder, sondern Bruder.</w:t>
      </w:r>
    </w:p>
    <w:p w14:paraId="1BBF9600" w14:textId="553D202F" w:rsidR="00684135" w:rsidRDefault="00684135" w:rsidP="00684135">
      <w:pPr>
        <w:pStyle w:val="whitespace-normal"/>
      </w:pPr>
      <w:r>
        <w:t xml:space="preserve">Die charakteristische Formel </w:t>
      </w:r>
      <w:r>
        <w:rPr>
          <w:rStyle w:val="Fett"/>
          <w:rFonts w:eastAsiaTheme="majorEastAsia"/>
          <w:rtl/>
        </w:rPr>
        <w:t>אֲשֶׁר־יְהוָה אֱלֹהֶיךָ נֹתֵן לָךְ</w:t>
      </w:r>
      <w:r>
        <w:rPr>
          <w:rtl/>
        </w:rPr>
        <w:t xml:space="preserve"> </w:t>
      </w:r>
      <w:r>
        <w:t>(„das JHWH, dein Gott, dir gibt") erinnert: Das Land ist Geschenk – wer vom Geschenk empfangen hat, soll teilen.</w:t>
      </w:r>
    </w:p>
    <w:p w14:paraId="25088E35" w14:textId="4F3F2411" w:rsidR="00A93C3C" w:rsidRDefault="00A93C3C" w:rsidP="00684135">
      <w:pPr>
        <w:pStyle w:val="whitespace-normal"/>
      </w:pPr>
      <w:r>
        <w:rPr>
          <w:rStyle w:val="Fett"/>
        </w:rPr>
        <w:t>Die LXX</w:t>
      </w:r>
      <w:r>
        <w:t xml:space="preserve"> übersetzt </w:t>
      </w:r>
      <w:r>
        <w:rPr>
          <w:rtl/>
        </w:rPr>
        <w:t>לֹא תְאַמֵּץ אֶת־לְבָבְךָ</w:t>
      </w:r>
      <w:r>
        <w:t xml:space="preserve"> (du sollst dein Herz nicht verhärten) mit </w:t>
      </w:r>
      <w:proofErr w:type="spellStart"/>
      <w:r>
        <w:t>οὐκ</w:t>
      </w:r>
      <w:proofErr w:type="spellEnd"/>
      <w:r>
        <w:t xml:space="preserve"> ἀπ</w:t>
      </w:r>
      <w:proofErr w:type="spellStart"/>
      <w:r>
        <w:t>οστέρξεις</w:t>
      </w:r>
      <w:proofErr w:type="spellEnd"/>
      <w:r>
        <w:t xml:space="preserve"> τὴν κα</w:t>
      </w:r>
      <w:proofErr w:type="spellStart"/>
      <w:r>
        <w:t>ρδί</w:t>
      </w:r>
      <w:proofErr w:type="spellEnd"/>
      <w:r>
        <w:t xml:space="preserve">αν </w:t>
      </w:r>
      <w:proofErr w:type="spellStart"/>
      <w:r>
        <w:t>σου</w:t>
      </w:r>
      <w:proofErr w:type="spellEnd"/>
      <w:r>
        <w:t xml:space="preserve"> (du wirst dein Herz nicht abweisen/verschmähen) – ein anderes semantisches Konzept, das eher Zurückweisung als Verhärtung betont.</w:t>
      </w:r>
    </w:p>
    <w:p w14:paraId="1FEA3C91" w14:textId="77777777" w:rsidR="00684135" w:rsidRDefault="00684135" w:rsidP="00684135">
      <w:pPr>
        <w:pStyle w:val="whitespace-normal"/>
      </w:pPr>
      <w:r>
        <w:rPr>
          <w:rStyle w:val="Fett"/>
          <w:rFonts w:eastAsiaTheme="majorEastAsia"/>
        </w:rPr>
        <w:t>Die Satzstruktur</w:t>
      </w:r>
      <w:r>
        <w:t xml:space="preserve"> besteht aus einem konditionalen Satz mit mehrfacher lokaler Bestimmung und Relativsatz sowie zwei koordinierten negativen Imperativen: Konditionale Konjunktion (wenn), Prädikat (sein wird), erste lokale Bestimmung (bei dir), Subjekt (ein Armer), Herkunftsangabe (von einem deiner Brüder), zweite lokale Bestimmung (in einem deiner Tore), dritte lokale Bestimmung (in deinem Land), Relativsatz (das JHWH, dein Gott, gibt dir); erster negativer Imperativ (nicht sollst verhärten), direktes Objekt (dein Herz); zweiter negativer Imperativ (nicht sollst verschließen), direktes Objekt (deine Hand), präpositionale Bestimmung (vor deinem armen Bruder).</w:t>
      </w:r>
    </w:p>
    <w:p w14:paraId="782253D9" w14:textId="77777777" w:rsidR="00684135" w:rsidRDefault="00684135" w:rsidP="00684135">
      <w:pPr>
        <w:pStyle w:val="whitespace-normal"/>
      </w:pPr>
      <w:r>
        <w:t>Der Vers wendet sich der Realität zu: Wenn irgendwo in Israel ein Bruder arm wird, sollst du weder dein Herz verhärten noch deine Hand vor ihm verschließen – ein Appell an Mitgefühl und Großzügigkeit.</w:t>
      </w:r>
    </w:p>
    <w:p w14:paraId="57F7AF7B" w14:textId="77777777" w:rsidR="00684135" w:rsidRPr="00684135" w:rsidRDefault="00684135" w:rsidP="00684135">
      <w:pPr>
        <w:pStyle w:val="berschrift1"/>
        <w:rPr>
          <w:rFonts w:ascii="Times New Roman" w:hAnsi="Times New Roman"/>
          <w:color w:val="auto"/>
          <w:sz w:val="36"/>
          <w:szCs w:val="36"/>
        </w:rPr>
      </w:pPr>
      <w:r w:rsidRPr="00684135">
        <w:rPr>
          <w:rStyle w:val="Fett"/>
          <w:rFonts w:ascii="Times New Roman" w:hAnsi="Times New Roman"/>
          <w:color w:val="auto"/>
          <w:sz w:val="36"/>
          <w:szCs w:val="36"/>
        </w:rPr>
        <w:t>Deuteronomium 15,8</w:t>
      </w:r>
    </w:p>
    <w:p w14:paraId="5413E111" w14:textId="77777777" w:rsidR="00684135" w:rsidRDefault="00684135" w:rsidP="00684135">
      <w:pPr>
        <w:pStyle w:val="whitespace-normal"/>
      </w:pPr>
      <w:r>
        <w:rPr>
          <w:rStyle w:val="Fett"/>
          <w:rFonts w:eastAsiaTheme="majorEastAsia"/>
        </w:rPr>
        <w:t>Hebräisch:</w:t>
      </w:r>
      <w:r>
        <w:t xml:space="preserve"> </w:t>
      </w:r>
      <w:r>
        <w:rPr>
          <w:rtl/>
        </w:rPr>
        <w:t>כִּֽי־פָתֹ֧חַ תִּפְתַּ֛ח אֶת־יָדְךָ֖ לוֹ֑ וְהַעֲבֵט֙ תַּעֲבִיטֶ֔נּוּ דֵּ֚י מַחְסֹרֹ֔ו אֲשֶׁ֥ר יֶחְסַ֖ר לוֹֽ׃</w:t>
      </w:r>
    </w:p>
    <w:p w14:paraId="19AE2BC9" w14:textId="77777777" w:rsidR="00684135" w:rsidRDefault="00684135" w:rsidP="00684135">
      <w:pPr>
        <w:pStyle w:val="whitespace-normal"/>
      </w:pPr>
      <w:r>
        <w:rPr>
          <w:rStyle w:val="Fett"/>
          <w:rFonts w:eastAsiaTheme="majorEastAsia"/>
        </w:rPr>
        <w:lastRenderedPageBreak/>
        <w:t>Deutsch:</w:t>
      </w:r>
      <w:r>
        <w:t xml:space="preserve"> Sondern du sollst ihm deine Hand weit öffnen und ihm willig auf Pfand leihen, was für den Mangel ausreicht, der ihm fehlt.</w:t>
      </w:r>
    </w:p>
    <w:p w14:paraId="49D272FE" w14:textId="77777777" w:rsidR="00684135" w:rsidRDefault="004F5CEB" w:rsidP="00684135">
      <w:r>
        <w:rPr>
          <w:noProof/>
        </w:rPr>
        <w:pict w14:anchorId="7AC9680C">
          <v:rect id="_x0000_i1452" style="width:0;height:1.5pt" o:hralign="center" o:hrstd="t" o:hr="t" fillcolor="#a0a0a0" stroked="f"/>
        </w:pict>
      </w:r>
    </w:p>
    <w:p w14:paraId="29926439" w14:textId="77777777" w:rsidR="00684135" w:rsidRDefault="00684135" w:rsidP="00684135">
      <w:pPr>
        <w:pStyle w:val="whitespace-normal"/>
      </w:pPr>
      <w:r>
        <w:rPr>
          <w:rStyle w:val="Fett"/>
          <w:rFonts w:eastAsiaTheme="majorEastAsia"/>
        </w:rPr>
        <w:t>Kommentar:</w:t>
      </w:r>
      <w:r>
        <w:t xml:space="preserve"> </w:t>
      </w:r>
      <w:r>
        <w:rPr>
          <w:rStyle w:val="Fett"/>
          <w:rFonts w:eastAsiaTheme="majorEastAsia"/>
          <w:rtl/>
        </w:rPr>
        <w:t>כִּי־פָתֹחַ תִּפְתַּח אֶת־יָדְךָ לוֹ</w:t>
      </w:r>
      <w:r>
        <w:rPr>
          <w:rtl/>
        </w:rPr>
        <w:t xml:space="preserve"> </w:t>
      </w:r>
      <w:r>
        <w:t xml:space="preserve">ist der positive Gegensatz zu V. 7: </w:t>
      </w:r>
      <w:r>
        <w:rPr>
          <w:rStyle w:val="Fett"/>
          <w:rFonts w:eastAsiaTheme="majorEastAsia"/>
          <w:rtl/>
        </w:rPr>
        <w:t>כִּי</w:t>
      </w:r>
      <w:r>
        <w:rPr>
          <w:rtl/>
        </w:rPr>
        <w:t xml:space="preserve"> </w:t>
      </w:r>
      <w:r>
        <w:t xml:space="preserve">(„sondern, vielmehr") als adversative Konjunktion, </w:t>
      </w:r>
      <w:r>
        <w:rPr>
          <w:rStyle w:val="Fett"/>
          <w:rFonts w:eastAsiaTheme="majorEastAsia"/>
          <w:rtl/>
        </w:rPr>
        <w:t>פָתֹחַ תִּפְתַּח</w:t>
      </w:r>
      <w:r>
        <w:rPr>
          <w:rtl/>
        </w:rPr>
        <w:t xml:space="preserve"> </w:t>
      </w:r>
      <w:r>
        <w:t xml:space="preserve">(Qal Infinitiv Absolut </w:t>
      </w:r>
      <w:r>
        <w:rPr>
          <w:rStyle w:val="Fett"/>
          <w:rFonts w:eastAsiaTheme="majorEastAsia"/>
          <w:rtl/>
        </w:rPr>
        <w:t>פָתֹחַ</w:t>
      </w:r>
      <w:r>
        <w:rPr>
          <w:rtl/>
        </w:rPr>
        <w:t xml:space="preserve"> </w:t>
      </w:r>
      <w:r>
        <w:t xml:space="preserve">mit Qal Imperfekt </w:t>
      </w:r>
      <w:r>
        <w:rPr>
          <w:rStyle w:val="Fett"/>
          <w:rFonts w:eastAsiaTheme="majorEastAsia"/>
          <w:rtl/>
        </w:rPr>
        <w:t>תִּפְתַּח</w:t>
      </w:r>
      <w:r>
        <w:t xml:space="preserve">, 2. Person Maskulinum Singular von </w:t>
      </w:r>
      <w:r>
        <w:rPr>
          <w:rStyle w:val="Fett"/>
          <w:rFonts w:eastAsiaTheme="majorEastAsia"/>
          <w:rtl/>
        </w:rPr>
        <w:t>פתח</w:t>
      </w:r>
      <w:r>
        <w:t xml:space="preserve">, „öffnen", emphatisch „weit öffnen, gewiss öffnen"), </w:t>
      </w:r>
      <w:r>
        <w:rPr>
          <w:rStyle w:val="Fett"/>
          <w:rFonts w:eastAsiaTheme="majorEastAsia"/>
          <w:rtl/>
        </w:rPr>
        <w:t>אֶת־יָדְךָ</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יָד</w:t>
      </w:r>
      <w:r>
        <w:t xml:space="preserve">, „Hand", mit Suffix 2. Person Maskulinum Singular) als direktes Objekt und </w:t>
      </w:r>
      <w:r>
        <w:rPr>
          <w:rStyle w:val="Fett"/>
          <w:rFonts w:eastAsiaTheme="majorEastAsia"/>
          <w:rtl/>
        </w:rPr>
        <w:t>לוֹ</w:t>
      </w:r>
      <w:r>
        <w:rPr>
          <w:rtl/>
        </w:rPr>
        <w:t xml:space="preserve"> </w:t>
      </w:r>
      <w:r>
        <w:t xml:space="preserve">(Präposition </w:t>
      </w:r>
      <w:r>
        <w:rPr>
          <w:rStyle w:val="Fett"/>
          <w:rFonts w:eastAsiaTheme="majorEastAsia"/>
          <w:rtl/>
        </w:rPr>
        <w:t>לְ</w:t>
      </w:r>
      <w:r>
        <w:rPr>
          <w:rtl/>
        </w:rPr>
        <w:t xml:space="preserve"> </w:t>
      </w:r>
      <w:r>
        <w:t>mit Suffix 3. Person Maskulinum Singular, „ihm") als Dativ.</w:t>
      </w:r>
    </w:p>
    <w:p w14:paraId="701BB266" w14:textId="77777777" w:rsidR="00684135" w:rsidRDefault="00684135" w:rsidP="00684135">
      <w:pPr>
        <w:pStyle w:val="whitespace-normal"/>
      </w:pPr>
      <w:r>
        <w:rPr>
          <w:rStyle w:val="Fett"/>
          <w:rFonts w:eastAsiaTheme="majorEastAsia"/>
          <w:rtl/>
        </w:rPr>
        <w:t>וְהַעֲבֵט תַּעֲבִיטֶנּוּ דֵּי מַחְסֹרוֹ אֲשֶׁר יֶחְסַר לוֹ</w:t>
      </w:r>
      <w:r>
        <w:rPr>
          <w:rtl/>
        </w:rPr>
        <w:t xml:space="preserve"> </w:t>
      </w:r>
      <w:r>
        <w:t xml:space="preserve">ist der zweite Imperativsatz: </w:t>
      </w:r>
      <w:r>
        <w:rPr>
          <w:rStyle w:val="Fett"/>
          <w:rFonts w:eastAsiaTheme="majorEastAsia"/>
          <w:rtl/>
        </w:rPr>
        <w:t>וְהַעֲבֵט תַּעֲבִיטֶנּוּ</w:t>
      </w:r>
      <w:r>
        <w:rPr>
          <w:rtl/>
        </w:rPr>
        <w:t xml:space="preserve"> </w:t>
      </w:r>
      <w:r>
        <w:t xml:space="preserve">(koordiniert durch </w:t>
      </w:r>
      <w:r>
        <w:rPr>
          <w:rStyle w:val="Fett"/>
          <w:rFonts w:eastAsiaTheme="majorEastAsia"/>
          <w:rtl/>
        </w:rPr>
        <w:t>וְ</w:t>
      </w:r>
      <w:r>
        <w:rPr>
          <w:rtl/>
        </w:rPr>
        <w:t xml:space="preserve"> </w:t>
      </w:r>
      <w:r>
        <w:t xml:space="preserve">mit Hiphil Infinitiv Absolut </w:t>
      </w:r>
      <w:r>
        <w:rPr>
          <w:rStyle w:val="Fett"/>
          <w:rFonts w:eastAsiaTheme="majorEastAsia"/>
          <w:rtl/>
        </w:rPr>
        <w:t>הַעֲבֵט</w:t>
      </w:r>
      <w:r>
        <w:rPr>
          <w:rtl/>
        </w:rPr>
        <w:t xml:space="preserve"> </w:t>
      </w:r>
      <w:r>
        <w:t xml:space="preserve">und Hiphil Imperfekt </w:t>
      </w:r>
      <w:r>
        <w:rPr>
          <w:rStyle w:val="Fett"/>
          <w:rFonts w:eastAsiaTheme="majorEastAsia"/>
          <w:rtl/>
        </w:rPr>
        <w:t>תַּעֲבִיטֶנּוּ</w:t>
      </w:r>
      <w:r>
        <w:t xml:space="preserve">, 2. Person Maskulinum Singular von </w:t>
      </w:r>
      <w:r>
        <w:rPr>
          <w:rStyle w:val="Fett"/>
          <w:rFonts w:eastAsiaTheme="majorEastAsia"/>
          <w:rtl/>
        </w:rPr>
        <w:t>עבט</w:t>
      </w:r>
      <w:r>
        <w:t xml:space="preserve">, „auf Pfand leihen", mit Suffix 3. Person Maskulinum Singular als direktes Objekt, emphatisch „willig leihen, gewiss leihen"), </w:t>
      </w:r>
      <w:r>
        <w:rPr>
          <w:rStyle w:val="Fett"/>
          <w:rFonts w:eastAsiaTheme="majorEastAsia"/>
          <w:rtl/>
        </w:rPr>
        <w:t>דֵּי מַחְסֹרוֹ</w:t>
      </w:r>
      <w:r>
        <w:rPr>
          <w:rtl/>
        </w:rPr>
        <w:t xml:space="preserve"> </w:t>
      </w:r>
      <w:r>
        <w:t>(</w:t>
      </w:r>
      <w:r>
        <w:rPr>
          <w:rStyle w:val="Fett"/>
          <w:rFonts w:eastAsiaTheme="majorEastAsia"/>
          <w:rtl/>
        </w:rPr>
        <w:t>דַּי</w:t>
      </w:r>
      <w:r>
        <w:t xml:space="preserve">, „Genüge, ausreichend", Construct mit </w:t>
      </w:r>
      <w:r>
        <w:rPr>
          <w:rStyle w:val="Fett"/>
          <w:rFonts w:eastAsiaTheme="majorEastAsia"/>
          <w:rtl/>
        </w:rPr>
        <w:t>מַחְסוֹר</w:t>
      </w:r>
      <w:r>
        <w:t xml:space="preserve">, „Mangel, Bedürfnis", mit Suffix 3. Person Maskulinum Singular, „was für seinen Mangel ausreicht, genug für sein Bedürfnis") als Maßangabe und </w:t>
      </w:r>
      <w:r>
        <w:rPr>
          <w:rStyle w:val="Fett"/>
          <w:rFonts w:eastAsiaTheme="majorEastAsia"/>
          <w:rtl/>
        </w:rPr>
        <w:t>אֲשֶׁר יֶחְסַר לוֹ</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יֶחְסַר</w:t>
      </w:r>
      <w:r>
        <w:t xml:space="preserve">, Qal Imperfekt, 3. Person Maskulinum Singular von </w:t>
      </w:r>
      <w:r>
        <w:rPr>
          <w:rStyle w:val="Fett"/>
          <w:rFonts w:eastAsiaTheme="majorEastAsia"/>
          <w:rtl/>
        </w:rPr>
        <w:t>חסר</w:t>
      </w:r>
      <w:r>
        <w:t xml:space="preserve">, „mangeln, fehlen", und </w:t>
      </w:r>
      <w:r>
        <w:rPr>
          <w:rStyle w:val="Fett"/>
          <w:rFonts w:eastAsiaTheme="majorEastAsia"/>
          <w:rtl/>
        </w:rPr>
        <w:t>לוֹ</w:t>
      </w:r>
      <w:r>
        <w:t xml:space="preserve">, Präposition </w:t>
      </w:r>
      <w:r>
        <w:rPr>
          <w:rStyle w:val="Fett"/>
          <w:rFonts w:eastAsiaTheme="majorEastAsia"/>
          <w:rtl/>
        </w:rPr>
        <w:t>לְ</w:t>
      </w:r>
      <w:r>
        <w:rPr>
          <w:rtl/>
        </w:rPr>
        <w:t xml:space="preserve"> </w:t>
      </w:r>
      <w:r>
        <w:t>mit Suffix 3. Person Maskulinum Singular, „der ihm fehlt").</w:t>
      </w:r>
    </w:p>
    <w:p w14:paraId="7197EF22" w14:textId="77777777" w:rsidR="00684135" w:rsidRDefault="00684135" w:rsidP="00684135">
      <w:pPr>
        <w:pStyle w:val="whitespace-normal"/>
      </w:pPr>
      <w:r>
        <w:t xml:space="preserve">Der Vers formuliert das positive Gebot: Statt Herz und Hand zu verschließen (V. 7), soll man die Hand weit öffnen. Die emphatische Konstruktion </w:t>
      </w:r>
      <w:r>
        <w:rPr>
          <w:rStyle w:val="Fett"/>
          <w:rFonts w:eastAsiaTheme="majorEastAsia"/>
          <w:rtl/>
        </w:rPr>
        <w:t>פָתֹחַ תִּפְתַּח</w:t>
      </w:r>
      <w:r>
        <w:rPr>
          <w:rtl/>
        </w:rPr>
        <w:t xml:space="preserve"> </w:t>
      </w:r>
      <w:r>
        <w:t xml:space="preserve">(„weit öffnen") ist das direkte Gegenteil zu </w:t>
      </w:r>
      <w:r>
        <w:rPr>
          <w:rStyle w:val="Fett"/>
          <w:rFonts w:eastAsiaTheme="majorEastAsia"/>
          <w:rtl/>
        </w:rPr>
        <w:t>תִקְפֹּץ</w:t>
      </w:r>
      <w:r>
        <w:rPr>
          <w:rtl/>
        </w:rPr>
        <w:t xml:space="preserve"> </w:t>
      </w:r>
      <w:r>
        <w:t>(„verschließen") aus V. 7.</w:t>
      </w:r>
    </w:p>
    <w:p w14:paraId="6CBDE3C2" w14:textId="77777777" w:rsidR="00684135" w:rsidRDefault="00684135" w:rsidP="00684135">
      <w:pPr>
        <w:pStyle w:val="whitespace-normal"/>
      </w:pPr>
      <w:r>
        <w:t xml:space="preserve">Das Verb </w:t>
      </w:r>
      <w:r>
        <w:rPr>
          <w:rStyle w:val="Fett"/>
          <w:rFonts w:eastAsiaTheme="majorEastAsia"/>
          <w:rtl/>
        </w:rPr>
        <w:t>עבט</w:t>
      </w:r>
      <w:r>
        <w:rPr>
          <w:rtl/>
        </w:rPr>
        <w:t xml:space="preserve"> </w:t>
      </w:r>
      <w:r>
        <w:t xml:space="preserve">im Hiphil bedeutet „auf Pfand leihen, Darlehen geben". Die emphatische Konstruktion </w:t>
      </w:r>
      <w:r>
        <w:rPr>
          <w:rStyle w:val="Fett"/>
          <w:rFonts w:eastAsiaTheme="majorEastAsia"/>
          <w:rtl/>
        </w:rPr>
        <w:t>הַעֲבֵט תַּעֲבִיטֶנּוּ</w:t>
      </w:r>
      <w:r>
        <w:rPr>
          <w:rtl/>
        </w:rPr>
        <w:t xml:space="preserve"> </w:t>
      </w:r>
      <w:r>
        <w:t xml:space="preserve">(„willig leihen, reichlich leihen") unterstreicht die Großzügigkeit. Das Suffix </w:t>
      </w:r>
      <w:r>
        <w:rPr>
          <w:rStyle w:val="Fett"/>
          <w:rFonts w:eastAsiaTheme="majorEastAsia"/>
          <w:rtl/>
        </w:rPr>
        <w:t>־נּוּ</w:t>
      </w:r>
      <w:r>
        <w:rPr>
          <w:rtl/>
        </w:rPr>
        <w:t xml:space="preserve"> </w:t>
      </w:r>
      <w:r>
        <w:t>verweist auf den armen Bruder aus V. 7.</w:t>
      </w:r>
    </w:p>
    <w:p w14:paraId="4BD785C8" w14:textId="77777777" w:rsidR="00684135" w:rsidRDefault="00684135" w:rsidP="00684135">
      <w:pPr>
        <w:pStyle w:val="whitespace-normal"/>
      </w:pPr>
      <w:r>
        <w:t xml:space="preserve">Die Wendung </w:t>
      </w:r>
      <w:r>
        <w:rPr>
          <w:rStyle w:val="Fett"/>
          <w:rFonts w:eastAsiaTheme="majorEastAsia"/>
          <w:rtl/>
        </w:rPr>
        <w:t>דֵּי מַחְסֹרוֹ אֲשֶׁר יֶחְסַר לוֹ</w:t>
      </w:r>
      <w:r>
        <w:rPr>
          <w:rtl/>
        </w:rPr>
        <w:t xml:space="preserve"> </w:t>
      </w:r>
      <w:r>
        <w:t xml:space="preserve">(„ausreichend für seinen Mangel, der ihm fehlt") ist eine Tautologie zur Betonung: genau so viel, wie er wirklich braucht. Das Wort </w:t>
      </w:r>
      <w:r>
        <w:rPr>
          <w:rStyle w:val="Fett"/>
          <w:rFonts w:eastAsiaTheme="majorEastAsia"/>
          <w:rtl/>
        </w:rPr>
        <w:t>דַּי</w:t>
      </w:r>
      <w:r>
        <w:rPr>
          <w:rtl/>
        </w:rPr>
        <w:t xml:space="preserve"> </w:t>
      </w:r>
      <w:r>
        <w:t xml:space="preserve">(„Genüge, ausreichend") betont: nicht übermäßig, aber auch nicht zu wenig – sondern genau das Nötige. Die Konstruktion </w:t>
      </w:r>
      <w:r>
        <w:rPr>
          <w:rStyle w:val="Fett"/>
          <w:rFonts w:eastAsiaTheme="majorEastAsia"/>
          <w:rtl/>
        </w:rPr>
        <w:t>מַחְסוֹר... חסר</w:t>
      </w:r>
      <w:r>
        <w:rPr>
          <w:rtl/>
        </w:rPr>
        <w:t xml:space="preserve"> </w:t>
      </w:r>
      <w:r>
        <w:t>(Substantiv und Verb von derselben Wurzel) verstärkt die Aussage.</w:t>
      </w:r>
    </w:p>
    <w:p w14:paraId="263430AF" w14:textId="2B25E3A6" w:rsidR="00684135" w:rsidRDefault="00684135" w:rsidP="00684135">
      <w:pPr>
        <w:pStyle w:val="whitespace-normal"/>
      </w:pPr>
      <w:r>
        <w:t xml:space="preserve">Die rabbinische Tradition hat aus </w:t>
      </w:r>
      <w:r>
        <w:rPr>
          <w:rStyle w:val="Fett"/>
          <w:rFonts w:eastAsiaTheme="majorEastAsia"/>
          <w:rtl/>
        </w:rPr>
        <w:t>דֵּי מַחְסֹרוֹ</w:t>
      </w:r>
      <w:r>
        <w:rPr>
          <w:rtl/>
        </w:rPr>
        <w:t xml:space="preserve"> </w:t>
      </w:r>
      <w:r>
        <w:t xml:space="preserve">gefolgert: Jeder nach seinem Stand – einem vormals Reichen, der verarmt ist, soll man entsprechend seinem früheren Lebensstandard helfen (vgl. Talmud, </w:t>
      </w:r>
      <w:proofErr w:type="spellStart"/>
      <w:r>
        <w:t>Ketubot</w:t>
      </w:r>
      <w:proofErr w:type="spellEnd"/>
      <w:r>
        <w:t xml:space="preserve"> 67b).</w:t>
      </w:r>
    </w:p>
    <w:p w14:paraId="679B3304" w14:textId="11E06364" w:rsidR="00EC21B0" w:rsidRDefault="00EC21B0" w:rsidP="00684135">
      <w:pPr>
        <w:pStyle w:val="whitespace-normal"/>
      </w:pPr>
      <w:r>
        <w:rPr>
          <w:rStyle w:val="Fett"/>
        </w:rPr>
        <w:t>Die LXX</w:t>
      </w:r>
      <w:r>
        <w:t xml:space="preserve"> übersetzt </w:t>
      </w:r>
      <w:r w:rsidRPr="00EC21B0">
        <w:rPr>
          <w:b/>
          <w:bCs/>
          <w:rtl/>
        </w:rPr>
        <w:t>הַעֲבֵט תַּעֲבִיטֶנּו</w:t>
      </w:r>
      <w:r>
        <w:rPr>
          <w:rtl/>
        </w:rPr>
        <w:t>ּ</w:t>
      </w:r>
      <w:r>
        <w:t xml:space="preserve"> mit </w:t>
      </w:r>
      <w:proofErr w:type="spellStart"/>
      <w:r>
        <w:t>δάνειον</w:t>
      </w:r>
      <w:proofErr w:type="spellEnd"/>
      <w:r>
        <w:t xml:space="preserve"> δα</w:t>
      </w:r>
      <w:proofErr w:type="spellStart"/>
      <w:r>
        <w:t>νιεῖς</w:t>
      </w:r>
      <w:proofErr w:type="spellEnd"/>
      <w:r>
        <w:t xml:space="preserve"> α</w:t>
      </w:r>
      <w:proofErr w:type="spellStart"/>
      <w:r>
        <w:t>ὐτῷ</w:t>
      </w:r>
      <w:proofErr w:type="spellEnd"/>
      <w:r>
        <w:t xml:space="preserve"> (als Darlehen wirst du ihm leihen), wobei sie die figura etymologica des Hebräischen mit einem Cognate-Akkusativ wiedergibt. Die Formulierung κα</w:t>
      </w:r>
      <w:proofErr w:type="spellStart"/>
      <w:r>
        <w:t>θʼ</w:t>
      </w:r>
      <w:proofErr w:type="spellEnd"/>
      <w:r>
        <w:t xml:space="preserve"> </w:t>
      </w:r>
      <w:proofErr w:type="spellStart"/>
      <w:r>
        <w:t>ὅσον</w:t>
      </w:r>
      <w:proofErr w:type="spellEnd"/>
      <w:r>
        <w:t xml:space="preserve"> </w:t>
      </w:r>
      <w:proofErr w:type="spellStart"/>
      <w:r>
        <w:t>ἐνδεεῖτ</w:t>
      </w:r>
      <w:proofErr w:type="spellEnd"/>
      <w:r>
        <w:t xml:space="preserve">αι (gemäß dem, was er bedarf) ergänzt interpretierend </w:t>
      </w:r>
      <w:r w:rsidRPr="00EC21B0">
        <w:rPr>
          <w:b/>
          <w:bCs/>
          <w:rtl/>
        </w:rPr>
        <w:t>אֲשֶׁר יֶחְסַר לוֹ</w:t>
      </w:r>
      <w:r>
        <w:t>.</w:t>
      </w:r>
    </w:p>
    <w:p w14:paraId="3B3C7A0C" w14:textId="77777777" w:rsidR="00684135" w:rsidRDefault="00684135" w:rsidP="00684135">
      <w:pPr>
        <w:pStyle w:val="whitespace-normal"/>
      </w:pPr>
      <w:r>
        <w:rPr>
          <w:rStyle w:val="Fett"/>
          <w:rFonts w:eastAsiaTheme="majorEastAsia"/>
        </w:rPr>
        <w:t>Die Satzstruktur</w:t>
      </w:r>
      <w:r>
        <w:t xml:space="preserve"> besteht aus zwei koordinierten emphatischen Imperativsätzen: Adversative Konjunktion (sondern), emphatischer Infinitiv (weit), Prädikat (sollst öffnen), direktes Objekt </w:t>
      </w:r>
      <w:r>
        <w:lastRenderedPageBreak/>
        <w:t>(deine Hand), Dativ (ihm); zweiter emphatischer Imperativsatz (willig sollst leihen ihm), Maßangabe (ausreichend für seinen Mangel), Relativsatz (der fehlt ihm).</w:t>
      </w:r>
    </w:p>
    <w:p w14:paraId="1A22FB59" w14:textId="77777777" w:rsidR="00684135" w:rsidRDefault="00684135" w:rsidP="00684135">
      <w:pPr>
        <w:pStyle w:val="whitespace-normal"/>
      </w:pPr>
      <w:r>
        <w:t>Der Vers fordert das Gegenteil von V. 7: Öffne deine Hand weit und leihe dem Armen großzügig, so viel wie er wirklich braucht, um seinen Mangel zu decken.</w:t>
      </w:r>
    </w:p>
    <w:p w14:paraId="4B1148C4" w14:textId="77777777" w:rsidR="00684135" w:rsidRPr="00684135" w:rsidRDefault="00684135" w:rsidP="00684135">
      <w:pPr>
        <w:pStyle w:val="berschrift1"/>
        <w:rPr>
          <w:rFonts w:ascii="Times New Roman" w:hAnsi="Times New Roman"/>
          <w:color w:val="auto"/>
          <w:sz w:val="36"/>
          <w:szCs w:val="36"/>
        </w:rPr>
      </w:pPr>
      <w:r w:rsidRPr="00684135">
        <w:rPr>
          <w:rStyle w:val="Fett"/>
          <w:rFonts w:ascii="Times New Roman" w:hAnsi="Times New Roman"/>
          <w:color w:val="auto"/>
          <w:sz w:val="36"/>
          <w:szCs w:val="36"/>
        </w:rPr>
        <w:t>Deuteronomium 15,9</w:t>
      </w:r>
    </w:p>
    <w:p w14:paraId="71217352" w14:textId="77777777" w:rsidR="00684135" w:rsidRDefault="00684135" w:rsidP="00684135">
      <w:pPr>
        <w:pStyle w:val="whitespace-normal"/>
      </w:pPr>
      <w:r>
        <w:rPr>
          <w:rStyle w:val="Fett"/>
          <w:rFonts w:eastAsiaTheme="majorEastAsia"/>
        </w:rPr>
        <w:t>Hebräisch:</w:t>
      </w:r>
      <w:r>
        <w:t xml:space="preserve"> </w:t>
      </w:r>
      <w:r>
        <w:rPr>
          <w:rtl/>
        </w:rPr>
        <w:t>הִשָּׁ֣מֶר לְךָ֡ פֶּן־יִהְיֶ֣ה דָבָר֩ עִם־לְבָבְךָ֨ בְלִיַּ֜עַל לֵאמֹ֗ר קָֽרְבָ֣ה שְׁנַֽת־הַשֶּׁבַע֮ שְׁנַ֣ת הַשְּׁמִטָּה֒ וְרָעָ֣ה עֵֽינְךָ֗ בְּאָחִ֨יךָ֙ הָֽאֶבְי֔וֹן וְלֹ֥א תִתֵּ֖ן לוֹ֑ וְקָרָ֤א עָלֶ֨יךָ֙ אֶל־יְהוָ֔ה וְהָיָ֥ה בְךָ֖ חֵֽטְא׃</w:t>
      </w:r>
    </w:p>
    <w:p w14:paraId="2B52151D" w14:textId="77777777" w:rsidR="00684135" w:rsidRDefault="00684135" w:rsidP="00684135">
      <w:pPr>
        <w:pStyle w:val="whitespace-normal"/>
      </w:pPr>
      <w:r>
        <w:rPr>
          <w:rStyle w:val="Fett"/>
          <w:rFonts w:eastAsiaTheme="majorEastAsia"/>
        </w:rPr>
        <w:t>Deutsch:</w:t>
      </w:r>
      <w:r>
        <w:t xml:space="preserve"> Hüte dich, dass nicht in deinem Herzen ein Wort ohne Nutzen sei, dass du sprichst: Es naht das siebte Jahr, das Erlassjahr!, und dass dein Auge böse sei gegen deinen armen Bruder und du ihm nichts gibst, und er über dich zu dem Ewigen rufe und Sünde an dir sei.</w:t>
      </w:r>
    </w:p>
    <w:p w14:paraId="0700CAFC" w14:textId="77777777" w:rsidR="00684135" w:rsidRDefault="004F5CEB" w:rsidP="00684135">
      <w:r>
        <w:rPr>
          <w:noProof/>
        </w:rPr>
        <w:pict w14:anchorId="1BA996AA">
          <v:rect id="_x0000_i1453" style="width:0;height:1.5pt" o:hralign="center" o:hrstd="t" o:hr="t" fillcolor="#a0a0a0" stroked="f"/>
        </w:pict>
      </w:r>
    </w:p>
    <w:p w14:paraId="4477EA08" w14:textId="77777777" w:rsidR="00684135" w:rsidRDefault="00684135" w:rsidP="00684135">
      <w:pPr>
        <w:pStyle w:val="whitespace-normal"/>
      </w:pPr>
      <w:r>
        <w:rPr>
          <w:rStyle w:val="Fett"/>
          <w:rFonts w:eastAsiaTheme="majorEastAsia"/>
        </w:rPr>
        <w:t>Kommentar:</w:t>
      </w:r>
      <w:r>
        <w:t xml:space="preserve"> </w:t>
      </w:r>
      <w:r>
        <w:rPr>
          <w:rStyle w:val="Fett"/>
          <w:rFonts w:eastAsiaTheme="majorEastAsia"/>
          <w:rtl/>
        </w:rPr>
        <w:t>הִשָּׁמֶר לְךָ פֶּן־יִהְיֶה דָבָר עִם־לְבָבְךָ בְלִיַּעַל</w:t>
      </w:r>
      <w:r>
        <w:rPr>
          <w:rtl/>
        </w:rPr>
        <w:t xml:space="preserve"> </w:t>
      </w:r>
      <w:r>
        <w:t xml:space="preserve">ist ein </w:t>
      </w:r>
      <w:proofErr w:type="spellStart"/>
      <w:r>
        <w:t>Warnsatz</w:t>
      </w:r>
      <w:proofErr w:type="spellEnd"/>
      <w:r>
        <w:t xml:space="preserve">: </w:t>
      </w:r>
      <w:r>
        <w:rPr>
          <w:rStyle w:val="Fett"/>
          <w:rFonts w:eastAsiaTheme="majorEastAsia"/>
          <w:rtl/>
        </w:rPr>
        <w:t>הִשָּׁמֶר לְךָ</w:t>
      </w:r>
      <w:r>
        <w:rPr>
          <w:rtl/>
        </w:rPr>
        <w:t xml:space="preserve"> </w:t>
      </w:r>
      <w:r>
        <w:t xml:space="preserve">(Niphal Imperativ Maskulinum Singular von </w:t>
      </w:r>
      <w:r>
        <w:rPr>
          <w:rStyle w:val="Fett"/>
          <w:rFonts w:eastAsiaTheme="majorEastAsia"/>
          <w:rtl/>
        </w:rPr>
        <w:t>שׁמר</w:t>
      </w:r>
      <w:r>
        <w:t xml:space="preserve">, „sich hüten, bewahren", mit </w:t>
      </w:r>
      <w:r>
        <w:rPr>
          <w:rStyle w:val="Fett"/>
          <w:rFonts w:eastAsiaTheme="majorEastAsia"/>
          <w:rtl/>
        </w:rPr>
        <w:t>לְךָ</w:t>
      </w:r>
      <w:r>
        <w:t xml:space="preserve">, ethischer Dativ, „hüte dich"), </w:t>
      </w:r>
      <w:r>
        <w:rPr>
          <w:rStyle w:val="Fett"/>
          <w:rFonts w:eastAsiaTheme="majorEastAsia"/>
          <w:rtl/>
        </w:rPr>
        <w:t>פֶּן</w:t>
      </w:r>
      <w:r>
        <w:rPr>
          <w:rtl/>
        </w:rPr>
        <w:t xml:space="preserve"> </w:t>
      </w:r>
      <w:r>
        <w:t xml:space="preserve">(„dass nicht, damit nicht") als negative finale Konjunktion, </w:t>
      </w:r>
      <w:r>
        <w:rPr>
          <w:rStyle w:val="Fett"/>
          <w:rFonts w:eastAsiaTheme="majorEastAsia"/>
          <w:rtl/>
        </w:rPr>
        <w:t>יִהְיֶה</w:t>
      </w:r>
      <w:r>
        <w:rPr>
          <w:rtl/>
        </w:rPr>
        <w:t xml:space="preserve"> </w:t>
      </w:r>
      <w:r>
        <w:t xml:space="preserve">(Qal Imperfekt, 3. Person Maskulinum Singular von </w:t>
      </w:r>
      <w:r>
        <w:rPr>
          <w:rStyle w:val="Fett"/>
          <w:rFonts w:eastAsiaTheme="majorEastAsia"/>
          <w:rtl/>
        </w:rPr>
        <w:t>היה</w:t>
      </w:r>
      <w:r>
        <w:t xml:space="preserve">, „sein"), </w:t>
      </w:r>
      <w:r>
        <w:rPr>
          <w:rStyle w:val="Fett"/>
          <w:rFonts w:eastAsiaTheme="majorEastAsia"/>
          <w:rtl/>
        </w:rPr>
        <w:t>דָבָר</w:t>
      </w:r>
      <w:r>
        <w:rPr>
          <w:rtl/>
        </w:rPr>
        <w:t xml:space="preserve"> </w:t>
      </w:r>
      <w:r>
        <w:t>(</w:t>
      </w:r>
      <w:r>
        <w:rPr>
          <w:rStyle w:val="Fett"/>
          <w:rFonts w:eastAsiaTheme="majorEastAsia"/>
          <w:rtl/>
        </w:rPr>
        <w:t>דָּבָר</w:t>
      </w:r>
      <w:r>
        <w:t xml:space="preserve">, „Wort, Sache, Gedanke") als Subjekt, </w:t>
      </w:r>
      <w:r>
        <w:rPr>
          <w:rStyle w:val="Fett"/>
          <w:rFonts w:eastAsiaTheme="majorEastAsia"/>
          <w:rtl/>
        </w:rPr>
        <w:t>עִם־לְבָבְךָ</w:t>
      </w:r>
      <w:r>
        <w:rPr>
          <w:rtl/>
        </w:rPr>
        <w:t xml:space="preserve"> </w:t>
      </w:r>
      <w:r>
        <w:t xml:space="preserve">(Präposition </w:t>
      </w:r>
      <w:r>
        <w:rPr>
          <w:rStyle w:val="Fett"/>
          <w:rFonts w:eastAsiaTheme="majorEastAsia"/>
          <w:rtl/>
        </w:rPr>
        <w:t>עִם</w:t>
      </w:r>
      <w:r>
        <w:t xml:space="preserve">, „mit, bei", mit </w:t>
      </w:r>
      <w:r>
        <w:rPr>
          <w:rStyle w:val="Fett"/>
          <w:rFonts w:eastAsiaTheme="majorEastAsia"/>
          <w:rtl/>
        </w:rPr>
        <w:t>לֵבָב</w:t>
      </w:r>
      <w:r>
        <w:t xml:space="preserve">, „Herz", mit Suffix 2. Person Maskulinum Singular, „bei/in deinem Herzen") als lokale Bestimmung und </w:t>
      </w:r>
      <w:r>
        <w:rPr>
          <w:rStyle w:val="Fett"/>
          <w:rFonts w:eastAsiaTheme="majorEastAsia"/>
          <w:rtl/>
        </w:rPr>
        <w:t>בְלִיַּעַל</w:t>
      </w:r>
      <w:r>
        <w:rPr>
          <w:rtl/>
        </w:rPr>
        <w:t xml:space="preserve"> </w:t>
      </w:r>
      <w:r>
        <w:t>(</w:t>
      </w:r>
      <w:r>
        <w:rPr>
          <w:rStyle w:val="Fett"/>
          <w:rFonts w:eastAsiaTheme="majorEastAsia"/>
          <w:rtl/>
        </w:rPr>
        <w:t>בְּלִיַּעַל</w:t>
      </w:r>
      <w:r>
        <w:t>, „Nichtigkeit, Nutzlosigkeit, Bosheit") als Attribut.</w:t>
      </w:r>
    </w:p>
    <w:p w14:paraId="475A0F7F" w14:textId="77777777" w:rsidR="00684135" w:rsidRDefault="00684135" w:rsidP="00684135">
      <w:pPr>
        <w:pStyle w:val="whitespace-normal"/>
      </w:pPr>
      <w:r>
        <w:rPr>
          <w:rStyle w:val="Fett"/>
          <w:rFonts w:eastAsiaTheme="majorEastAsia"/>
          <w:rtl/>
        </w:rPr>
        <w:t>לֵאמֹר קָרְבָה שְׁנַת־הַשֶּׁבַע שְׁנַת הַשְּׁמִטָּה</w:t>
      </w:r>
      <w:r>
        <w:rPr>
          <w:rtl/>
        </w:rPr>
        <w:t xml:space="preserve"> </w:t>
      </w:r>
      <w:r>
        <w:t xml:space="preserve">ist der Inhalt des bösen Gedankens: </w:t>
      </w:r>
      <w:r>
        <w:rPr>
          <w:rStyle w:val="Fett"/>
          <w:rFonts w:eastAsiaTheme="majorEastAsia"/>
          <w:rtl/>
        </w:rPr>
        <w:t>לֵאמֹר</w:t>
      </w:r>
      <w:r>
        <w:rPr>
          <w:rtl/>
        </w:rPr>
        <w:t xml:space="preserve"> </w:t>
      </w:r>
      <w:r>
        <w:t xml:space="preserve">(Qal Infinitiv Construct von </w:t>
      </w:r>
      <w:r>
        <w:rPr>
          <w:rStyle w:val="Fett"/>
          <w:rFonts w:eastAsiaTheme="majorEastAsia"/>
          <w:rtl/>
        </w:rPr>
        <w:t>אמר</w:t>
      </w:r>
      <w:r>
        <w:t xml:space="preserve">, „sagen", „sagend, dass du sprichst"), </w:t>
      </w:r>
      <w:r>
        <w:rPr>
          <w:rStyle w:val="Fett"/>
          <w:rFonts w:eastAsiaTheme="majorEastAsia"/>
          <w:rtl/>
        </w:rPr>
        <w:t>קָרְבָה</w:t>
      </w:r>
      <w:r>
        <w:rPr>
          <w:rtl/>
        </w:rPr>
        <w:t xml:space="preserve"> </w:t>
      </w:r>
      <w:r>
        <w:t xml:space="preserve">(Qal Perfekt, 3. Person feminin Singular von </w:t>
      </w:r>
      <w:r>
        <w:rPr>
          <w:rStyle w:val="Fett"/>
          <w:rFonts w:eastAsiaTheme="majorEastAsia"/>
          <w:rtl/>
        </w:rPr>
        <w:t>קרב</w:t>
      </w:r>
      <w:r>
        <w:t xml:space="preserve">, „nahen, sich nähern"), </w:t>
      </w:r>
      <w:r>
        <w:rPr>
          <w:rStyle w:val="Fett"/>
          <w:rFonts w:eastAsiaTheme="majorEastAsia"/>
          <w:rtl/>
        </w:rPr>
        <w:t>שְׁנַת־הַשֶּׁבַע</w:t>
      </w:r>
      <w:r>
        <w:rPr>
          <w:rtl/>
        </w:rPr>
        <w:t xml:space="preserve"> </w:t>
      </w:r>
      <w:r>
        <w:t>(</w:t>
      </w:r>
      <w:r>
        <w:rPr>
          <w:rStyle w:val="Fett"/>
          <w:rFonts w:eastAsiaTheme="majorEastAsia"/>
          <w:rtl/>
        </w:rPr>
        <w:t>שָׁנָה</w:t>
      </w:r>
      <w:r>
        <w:t xml:space="preserve">, „Jahr", Construct mit </w:t>
      </w:r>
      <w:r>
        <w:rPr>
          <w:rStyle w:val="Fett"/>
          <w:rFonts w:eastAsiaTheme="majorEastAsia"/>
          <w:rtl/>
        </w:rPr>
        <w:t>שֶׁבַע</w:t>
      </w:r>
      <w:r>
        <w:t xml:space="preserve">, „sieben", mit Artikel, „das siebte Jahr") als Subjekt, </w:t>
      </w:r>
      <w:r>
        <w:rPr>
          <w:rStyle w:val="Fett"/>
          <w:rFonts w:eastAsiaTheme="majorEastAsia"/>
          <w:rtl/>
        </w:rPr>
        <w:t>שְׁנַת הַשְּׁמִטָּה</w:t>
      </w:r>
      <w:r>
        <w:rPr>
          <w:rtl/>
        </w:rPr>
        <w:t xml:space="preserve"> </w:t>
      </w:r>
      <w:r>
        <w:t>(</w:t>
      </w:r>
      <w:r>
        <w:rPr>
          <w:rStyle w:val="Fett"/>
          <w:rFonts w:eastAsiaTheme="majorEastAsia"/>
          <w:rtl/>
        </w:rPr>
        <w:t>שָׁנָה</w:t>
      </w:r>
      <w:r>
        <w:t xml:space="preserve">, Construct mit </w:t>
      </w:r>
      <w:r>
        <w:rPr>
          <w:rStyle w:val="Fett"/>
          <w:rFonts w:eastAsiaTheme="majorEastAsia"/>
          <w:rtl/>
        </w:rPr>
        <w:t>שְׁמִטָּה</w:t>
      </w:r>
      <w:r>
        <w:t>, „Erlass", mit Artikel, in Apposition, „das Jahr des Erlasses, das Erlassjahr").</w:t>
      </w:r>
    </w:p>
    <w:p w14:paraId="651145C3" w14:textId="77777777" w:rsidR="00684135" w:rsidRDefault="00684135" w:rsidP="00684135">
      <w:pPr>
        <w:pStyle w:val="whitespace-normal"/>
      </w:pPr>
      <w:r>
        <w:rPr>
          <w:rStyle w:val="Fett"/>
          <w:rFonts w:eastAsiaTheme="majorEastAsia"/>
          <w:rtl/>
        </w:rPr>
        <w:t>וְרָעָה עֵינְךָ בְּאָחִיךָ הָאֶבְיוֹן וְלֹא תִתֵּן לוֹ</w:t>
      </w:r>
      <w:r>
        <w:rPr>
          <w:rtl/>
        </w:rPr>
        <w:t xml:space="preserve"> </w:t>
      </w:r>
      <w:r>
        <w:t xml:space="preserve">sind zwei koordinierte Folgesätze: </w:t>
      </w:r>
      <w:r>
        <w:rPr>
          <w:rStyle w:val="Fett"/>
          <w:rFonts w:eastAsiaTheme="majorEastAsia"/>
          <w:rtl/>
        </w:rPr>
        <w:t>וְרָעָה עֵינְךָ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רעע</w:t>
      </w:r>
      <w:r>
        <w:t xml:space="preserve">, Qal Perfekt, 3. Person feminin Singular, „böse sein", mit </w:t>
      </w:r>
      <w:r>
        <w:rPr>
          <w:rStyle w:val="Fett"/>
          <w:rFonts w:eastAsiaTheme="majorEastAsia"/>
          <w:rtl/>
        </w:rPr>
        <w:t>עַיִן</w:t>
      </w:r>
      <w:r>
        <w:t xml:space="preserve">, „Auge", mit Suffix 2. Person Maskulinum Singular, als Subjekt, „dass dein Auge böse sei"), </w:t>
      </w:r>
      <w:r>
        <w:rPr>
          <w:rStyle w:val="Fett"/>
          <w:rFonts w:eastAsiaTheme="majorEastAsia"/>
          <w:rtl/>
        </w:rPr>
        <w:t>בְּאָחִיךָ הָאֶבְיוֹן</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אָח</w:t>
      </w:r>
      <w:r>
        <w:t xml:space="preserve">, „Bruder", mit Suffix 2. Person Maskulinum Singular, und </w:t>
      </w:r>
      <w:r>
        <w:rPr>
          <w:rStyle w:val="Fett"/>
          <w:rFonts w:eastAsiaTheme="majorEastAsia"/>
          <w:rtl/>
        </w:rPr>
        <w:t>אֶבְיוֹן</w:t>
      </w:r>
      <w:r>
        <w:t xml:space="preserve">, „arm", mit Artikel, „gegen deinen armen Bruder") als präpositionale Bestimmung, koordiniert durch </w:t>
      </w:r>
      <w:r>
        <w:rPr>
          <w:rStyle w:val="Fett"/>
          <w:rFonts w:eastAsiaTheme="majorEastAsia"/>
          <w:rtl/>
        </w:rPr>
        <w:t>וְלֹא</w:t>
      </w:r>
      <w:r>
        <w:rPr>
          <w:rtl/>
        </w:rPr>
        <w:t xml:space="preserve"> </w:t>
      </w:r>
      <w:r>
        <w:t xml:space="preserve">mit </w:t>
      </w:r>
      <w:r>
        <w:rPr>
          <w:rStyle w:val="Fett"/>
          <w:rFonts w:eastAsiaTheme="majorEastAsia"/>
          <w:rtl/>
        </w:rPr>
        <w:t>תִתֵּן</w:t>
      </w:r>
      <w:r>
        <w:rPr>
          <w:rtl/>
        </w:rPr>
        <w:t xml:space="preserve"> </w:t>
      </w:r>
      <w:r>
        <w:t xml:space="preserve">(Qal Imperfekt, 2. Person Maskulinum Singular von </w:t>
      </w:r>
      <w:r>
        <w:rPr>
          <w:rStyle w:val="Fett"/>
          <w:rFonts w:eastAsiaTheme="majorEastAsia"/>
          <w:rtl/>
        </w:rPr>
        <w:t>נתן</w:t>
      </w:r>
      <w:r>
        <w:t xml:space="preserve">, „geben") und </w:t>
      </w:r>
      <w:r>
        <w:rPr>
          <w:rStyle w:val="Fett"/>
          <w:rFonts w:eastAsiaTheme="majorEastAsia"/>
          <w:rtl/>
        </w:rPr>
        <w:t>לוֹ</w:t>
      </w:r>
      <w:r>
        <w:rPr>
          <w:rtl/>
        </w:rPr>
        <w:t xml:space="preserve"> </w:t>
      </w:r>
      <w:r>
        <w:t xml:space="preserve">(Präposition </w:t>
      </w:r>
      <w:r>
        <w:rPr>
          <w:rStyle w:val="Fett"/>
          <w:rFonts w:eastAsiaTheme="majorEastAsia"/>
          <w:rtl/>
        </w:rPr>
        <w:t>לְ</w:t>
      </w:r>
      <w:r>
        <w:rPr>
          <w:rtl/>
        </w:rPr>
        <w:t xml:space="preserve"> </w:t>
      </w:r>
      <w:r>
        <w:t>mit Suffix 3. Person Maskulinum Singular, „ihm") als Dativ.</w:t>
      </w:r>
    </w:p>
    <w:p w14:paraId="62AE46BE" w14:textId="77777777" w:rsidR="00684135" w:rsidRDefault="00684135" w:rsidP="00684135">
      <w:pPr>
        <w:pStyle w:val="whitespace-normal"/>
      </w:pPr>
      <w:r>
        <w:rPr>
          <w:rStyle w:val="Fett"/>
          <w:rFonts w:eastAsiaTheme="majorEastAsia"/>
          <w:rtl/>
        </w:rPr>
        <w:t>וְקָרָא עָלֶיךָ אֶל־יְהוָה וְהָיָה בְךָ חֵטְא</w:t>
      </w:r>
      <w:r>
        <w:rPr>
          <w:rtl/>
        </w:rPr>
        <w:t xml:space="preserve"> </w:t>
      </w:r>
      <w:r>
        <w:t xml:space="preserve">ist der dritte Folgesatz: </w:t>
      </w:r>
      <w:r>
        <w:rPr>
          <w:rStyle w:val="Fett"/>
          <w:rFonts w:eastAsiaTheme="majorEastAsia"/>
          <w:rtl/>
        </w:rPr>
        <w:t>וְקָרָא</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קרא</w:t>
      </w:r>
      <w:r>
        <w:t xml:space="preserve">, Qal Perfekt, 3. Person Maskulinum Singular, „rufen", mit </w:t>
      </w:r>
      <w:r>
        <w:rPr>
          <w:rStyle w:val="Fett"/>
          <w:rFonts w:eastAsiaTheme="majorEastAsia"/>
        </w:rPr>
        <w:t>Waw</w:t>
      </w:r>
      <w:r>
        <w:t xml:space="preserve"> consecutives Perfekt), </w:t>
      </w:r>
      <w:r>
        <w:rPr>
          <w:rStyle w:val="Fett"/>
          <w:rFonts w:eastAsiaTheme="majorEastAsia"/>
          <w:rtl/>
        </w:rPr>
        <w:t>עָלֶיךָ</w:t>
      </w:r>
      <w:r>
        <w:rPr>
          <w:rtl/>
        </w:rPr>
        <w:t xml:space="preserve"> </w:t>
      </w:r>
      <w:r>
        <w:t xml:space="preserve">(Präposition </w:t>
      </w:r>
      <w:r>
        <w:rPr>
          <w:rStyle w:val="Fett"/>
          <w:rFonts w:eastAsiaTheme="majorEastAsia"/>
          <w:rtl/>
        </w:rPr>
        <w:t>עַל</w:t>
      </w:r>
      <w:r>
        <w:t xml:space="preserve">, „über, gegen", mit Suffix 2. Person Maskulinum Singular, „gegen dich, über dich") als präpositionale Bestimmung, </w:t>
      </w:r>
      <w:r>
        <w:rPr>
          <w:rStyle w:val="Fett"/>
          <w:rFonts w:eastAsiaTheme="majorEastAsia"/>
          <w:rtl/>
        </w:rPr>
        <w:t>אֶל־יְהוָה</w:t>
      </w:r>
      <w:r>
        <w:rPr>
          <w:rtl/>
        </w:rPr>
        <w:t xml:space="preserve"> </w:t>
      </w:r>
      <w:r>
        <w:t xml:space="preserve">(Präposition </w:t>
      </w:r>
      <w:r>
        <w:rPr>
          <w:rStyle w:val="Fett"/>
          <w:rFonts w:eastAsiaTheme="majorEastAsia"/>
          <w:rtl/>
        </w:rPr>
        <w:t>אֶל</w:t>
      </w:r>
      <w:r>
        <w:t xml:space="preserve">, „zu", mit </w:t>
      </w:r>
      <w:r>
        <w:rPr>
          <w:rStyle w:val="Fett"/>
          <w:rFonts w:eastAsiaTheme="majorEastAsia"/>
          <w:rtl/>
        </w:rPr>
        <w:t>יְהוָה</w:t>
      </w:r>
      <w:r>
        <w:t xml:space="preserve">, „zu JHWH") als Richtungsangabe, koordiniert durch </w:t>
      </w:r>
      <w:r>
        <w:rPr>
          <w:rStyle w:val="Fett"/>
          <w:rFonts w:eastAsiaTheme="majorEastAsia"/>
          <w:rtl/>
        </w:rPr>
        <w:t>וְ</w:t>
      </w:r>
      <w:r>
        <w:rPr>
          <w:rtl/>
        </w:rPr>
        <w:t xml:space="preserve"> </w:t>
      </w:r>
      <w:r>
        <w:t xml:space="preserve">mit </w:t>
      </w:r>
      <w:r>
        <w:rPr>
          <w:rStyle w:val="Fett"/>
          <w:rFonts w:eastAsiaTheme="majorEastAsia"/>
          <w:rtl/>
        </w:rPr>
        <w:t>הָיָה</w:t>
      </w:r>
      <w:r>
        <w:rPr>
          <w:rtl/>
        </w:rPr>
        <w:t xml:space="preserve"> </w:t>
      </w:r>
      <w:r>
        <w:t xml:space="preserve">(Qal Perfekt, 3. Person Maskulinum Singular von </w:t>
      </w:r>
      <w:r>
        <w:rPr>
          <w:rStyle w:val="Fett"/>
          <w:rFonts w:eastAsiaTheme="majorEastAsia"/>
          <w:rtl/>
        </w:rPr>
        <w:t>היה</w:t>
      </w:r>
      <w:r>
        <w:t xml:space="preserve">, „sein", mit </w:t>
      </w:r>
      <w:r>
        <w:rPr>
          <w:rStyle w:val="Fett"/>
          <w:rFonts w:eastAsiaTheme="majorEastAsia"/>
        </w:rPr>
        <w:t>Waw</w:t>
      </w:r>
      <w:r>
        <w:t xml:space="preserve"> consecutives Perfekt), </w:t>
      </w:r>
      <w:r>
        <w:rPr>
          <w:rStyle w:val="Fett"/>
          <w:rFonts w:eastAsiaTheme="majorEastAsia"/>
          <w:rtl/>
        </w:rPr>
        <w:t>בְךָ</w:t>
      </w:r>
      <w:r>
        <w:rPr>
          <w:rtl/>
        </w:rPr>
        <w:t xml:space="preserve"> </w:t>
      </w:r>
      <w:r>
        <w:t xml:space="preserve">(Präposition </w:t>
      </w:r>
      <w:r>
        <w:rPr>
          <w:rStyle w:val="Fett"/>
          <w:rFonts w:eastAsiaTheme="majorEastAsia"/>
          <w:rtl/>
        </w:rPr>
        <w:t>בְּ</w:t>
      </w:r>
      <w:r>
        <w:rPr>
          <w:rtl/>
        </w:rPr>
        <w:t xml:space="preserve"> </w:t>
      </w:r>
      <w:r>
        <w:t xml:space="preserve">mit Suffix 2. Person Maskulinum Singular, „an dir, bei dir") als lokale Bestimmung und </w:t>
      </w:r>
      <w:r>
        <w:rPr>
          <w:rStyle w:val="Fett"/>
          <w:rFonts w:eastAsiaTheme="majorEastAsia"/>
          <w:rtl/>
        </w:rPr>
        <w:t>חֵטְא</w:t>
      </w:r>
      <w:r>
        <w:rPr>
          <w:rtl/>
        </w:rPr>
        <w:t xml:space="preserve"> </w:t>
      </w:r>
      <w:r>
        <w:t>(</w:t>
      </w:r>
      <w:r>
        <w:rPr>
          <w:rStyle w:val="Fett"/>
          <w:rFonts w:eastAsiaTheme="majorEastAsia"/>
          <w:rtl/>
        </w:rPr>
        <w:t>חֵטְא</w:t>
      </w:r>
      <w:r>
        <w:t>, „Sünde") als Subjekt.</w:t>
      </w:r>
    </w:p>
    <w:p w14:paraId="52DCDF5C" w14:textId="77777777" w:rsidR="00684135" w:rsidRDefault="00684135" w:rsidP="00684135">
      <w:pPr>
        <w:pStyle w:val="whitespace-normal"/>
      </w:pPr>
      <w:r>
        <w:lastRenderedPageBreak/>
        <w:t xml:space="preserve">Der Vers warnt vor einem spezifischen bösen Gedanken: Wenn das Erlassjahr naht, könnte jemand versucht sein, dem Armen nichts zu leihen, um den Verlust durch den bevorstehenden Erlass zu vermeiden. Die Wendung </w:t>
      </w:r>
      <w:r>
        <w:rPr>
          <w:rStyle w:val="Fett"/>
          <w:rFonts w:eastAsiaTheme="majorEastAsia"/>
          <w:rtl/>
        </w:rPr>
        <w:t>דָבָר בְלִיַּעַל</w:t>
      </w:r>
      <w:r>
        <w:rPr>
          <w:rtl/>
        </w:rPr>
        <w:t xml:space="preserve"> </w:t>
      </w:r>
      <w:r>
        <w:t>(„ein Wort/Gedanke der Nichtigkeit/Bosheit") bezeichnet einen nutzlosen, bösen, gottlosen Gedanken.</w:t>
      </w:r>
    </w:p>
    <w:p w14:paraId="7E719B51" w14:textId="77777777" w:rsidR="00684135" w:rsidRDefault="00684135" w:rsidP="00684135">
      <w:pPr>
        <w:pStyle w:val="whitespace-normal"/>
      </w:pPr>
      <w:r>
        <w:t xml:space="preserve">Der Ausdruck </w:t>
      </w:r>
      <w:r>
        <w:rPr>
          <w:rStyle w:val="Fett"/>
          <w:rFonts w:eastAsiaTheme="majorEastAsia"/>
          <w:rtl/>
        </w:rPr>
        <w:t>רָעָה עֵינְךָ</w:t>
      </w:r>
      <w:r>
        <w:rPr>
          <w:rtl/>
        </w:rPr>
        <w:t xml:space="preserve"> </w:t>
      </w:r>
      <w:r>
        <w:t>(„dein Auge ist böse") bedeutet „du bist missgünstig, geizig" (vgl. Dtn 28,54.56; Spr 23,6; 28,22; Mt 20,15). Das „böse Auge" ist ein fester Ausdruck für Geiz und Missgunst, Gegenteil vom „guten Auge" (Großzügigkeit).</w:t>
      </w:r>
    </w:p>
    <w:p w14:paraId="67607CE4" w14:textId="77777777" w:rsidR="00684135" w:rsidRDefault="00684135" w:rsidP="00684135">
      <w:pPr>
        <w:pStyle w:val="whitespace-normal"/>
      </w:pPr>
      <w:r>
        <w:t xml:space="preserve">Die Warnung </w:t>
      </w:r>
      <w:r>
        <w:rPr>
          <w:rStyle w:val="Fett"/>
          <w:rFonts w:eastAsiaTheme="majorEastAsia"/>
          <w:rtl/>
        </w:rPr>
        <w:t>וְקָרָא עָלֶיךָ אֶל־יְהוָה</w:t>
      </w:r>
      <w:r>
        <w:rPr>
          <w:rtl/>
        </w:rPr>
        <w:t xml:space="preserve"> </w:t>
      </w:r>
      <w:r>
        <w:t xml:space="preserve">(„und er ruft gegen dich zu JHWH") zeigt: Der benachteiligte Arme kann zu JHWH schreien, und JHWH hört (vgl. Ex 22,22-23; Dtn 24,15; Jak 5,4). Die Folge: </w:t>
      </w:r>
      <w:r>
        <w:rPr>
          <w:rStyle w:val="Fett"/>
          <w:rFonts w:eastAsiaTheme="majorEastAsia"/>
          <w:rtl/>
        </w:rPr>
        <w:t>וְהָיָה בְךָ חֵטְא</w:t>
      </w:r>
      <w:r>
        <w:rPr>
          <w:rtl/>
        </w:rPr>
        <w:t xml:space="preserve"> </w:t>
      </w:r>
      <w:r>
        <w:t>(„und Sünde wird an dir sein") – der Geizige wird schuldig vor Gott.</w:t>
      </w:r>
    </w:p>
    <w:p w14:paraId="7BA42A70" w14:textId="2722E560" w:rsidR="00684135" w:rsidRDefault="00684135" w:rsidP="00684135">
      <w:pPr>
        <w:pStyle w:val="whitespace-normal"/>
      </w:pPr>
      <w:r>
        <w:t xml:space="preserve">Der Vers zeigt das praktische Problem der </w:t>
      </w:r>
      <w:r>
        <w:rPr>
          <w:rStyle w:val="Fett"/>
          <w:rFonts w:eastAsiaTheme="majorEastAsia"/>
          <w:rtl/>
        </w:rPr>
        <w:t>שְׁמִטָּה</w:t>
      </w:r>
      <w:r>
        <w:t xml:space="preserve">: Wenn Schulden im siebten Jahr erlassen werden, könnte dies die Kreditvergabe im sechsten Jahr unterbinden. Die </w:t>
      </w:r>
      <w:r w:rsidR="006D3FED">
        <w:t>Torah</w:t>
      </w:r>
      <w:r>
        <w:t xml:space="preserve"> verbietet diese Kalkulation als </w:t>
      </w:r>
      <w:r>
        <w:rPr>
          <w:rStyle w:val="Fett"/>
          <w:rFonts w:eastAsiaTheme="majorEastAsia"/>
          <w:rtl/>
        </w:rPr>
        <w:t>בְלִיַּעַל</w:t>
      </w:r>
      <w:r>
        <w:rPr>
          <w:rtl/>
        </w:rPr>
        <w:t xml:space="preserve"> </w:t>
      </w:r>
      <w:r>
        <w:t>(„nutzlos, böse") – Solidarität soll nicht durch wirtschaftliche Überlegungen außer Kraft gesetzt werden.</w:t>
      </w:r>
    </w:p>
    <w:p w14:paraId="082D70CC" w14:textId="6B1A3782" w:rsidR="00A93C3C" w:rsidRDefault="00A93C3C" w:rsidP="00684135">
      <w:pPr>
        <w:pStyle w:val="whitespace-normal"/>
      </w:pPr>
      <w:r>
        <w:rPr>
          <w:rStyle w:val="Fett"/>
        </w:rPr>
        <w:t>Die LXX</w:t>
      </w:r>
      <w:r>
        <w:t xml:space="preserve"> interpretiert </w:t>
      </w:r>
      <w:r>
        <w:rPr>
          <w:rtl/>
        </w:rPr>
        <w:t>בְלִיַּעַל</w:t>
      </w:r>
      <w:r>
        <w:t xml:space="preserve"> (Belial, Nichtswürdigkeit) mit </w:t>
      </w:r>
      <w:proofErr w:type="spellStart"/>
      <w:r>
        <w:t>ἀνόμημ</w:t>
      </w:r>
      <w:proofErr w:type="spellEnd"/>
      <w:r>
        <w:t xml:space="preserve">α (Gesetzlosigkeit) – eine moralische Kategorisierung statt des hebräischen Eigennamens oder abstrakten Begriffs. Am Ende fügt die LXX </w:t>
      </w:r>
      <w:proofErr w:type="spellStart"/>
      <w:r>
        <w:t>ἁμ</w:t>
      </w:r>
      <w:proofErr w:type="spellEnd"/>
      <w:r>
        <w:t xml:space="preserve">αρτία </w:t>
      </w:r>
      <w:proofErr w:type="spellStart"/>
      <w:r>
        <w:t>μεγάλη</w:t>
      </w:r>
      <w:proofErr w:type="spellEnd"/>
      <w:r>
        <w:t xml:space="preserve"> (große Sünde) hinzu, wo der MT nur </w:t>
      </w:r>
      <w:r>
        <w:rPr>
          <w:rtl/>
        </w:rPr>
        <w:t>חֵטְא</w:t>
      </w:r>
      <w:r>
        <w:t xml:space="preserve"> (Sünde) hat.</w:t>
      </w:r>
    </w:p>
    <w:p w14:paraId="63FD154E" w14:textId="49BACA4A" w:rsidR="00684135" w:rsidRDefault="00684135" w:rsidP="00684135">
      <w:pPr>
        <w:pStyle w:val="whitespace-normal"/>
      </w:pPr>
      <w:r>
        <w:rPr>
          <w:rStyle w:val="Fett"/>
          <w:rFonts w:eastAsiaTheme="majorEastAsia"/>
        </w:rPr>
        <w:t>Die Satzstruktur</w:t>
      </w:r>
      <w:r>
        <w:t xml:space="preserve"> besteht aus einem </w:t>
      </w:r>
      <w:proofErr w:type="spellStart"/>
      <w:r>
        <w:t>Warnsatz</w:t>
      </w:r>
      <w:proofErr w:type="spellEnd"/>
      <w:r>
        <w:t xml:space="preserve"> mit negativer finaler Konjunktion, Inhaltssatz und drei koordinierten Folgesätzen: Imperativ (hüte dich), negative finale Konjunktion (</w:t>
      </w:r>
      <w:r w:rsidR="006D3FED">
        <w:t>das</w:t>
      </w:r>
      <w:r>
        <w:t xml:space="preserve"> nicht), Prädikat (sei), Subjekt (ein Gedanke), lokale Bestimmung (in deinem Herzen), Attribut (der Bosheit); Inhaltssatz mit Infinitiv (sagend), Prädikat (naht), Subjekt (das siebte Jahr), Apposition (das Erlassjahr); erster Folgesatz (</w:t>
      </w:r>
      <w:r w:rsidR="006D3FED">
        <w:t>das</w:t>
      </w:r>
      <w:r>
        <w:t xml:space="preserve"> böse sei dein Auge), präpositionale Bestimmung (gegen deinen armen Bruder); zweiter Folgesatz (und nicht gibst ihm); dritter Folgesatz (und ruft), präpositionale Bestimmung (über dich), Richtungsangabe (zu JHWH); vierter Folgesatz (und sei), lokale Bestimmung (an dir), Subjekt (Sünde).</w:t>
      </w:r>
    </w:p>
    <w:p w14:paraId="7F272CAC" w14:textId="77777777" w:rsidR="00684135" w:rsidRDefault="00684135" w:rsidP="00684135">
      <w:pPr>
        <w:pStyle w:val="whitespace-normal"/>
      </w:pPr>
      <w:r>
        <w:t>Der Vers warnt: Hüte dich vor dem bösen Gedanken, dem Armen nichts zu leihen, weil das Erlassjahr naht – sonst wird er zu JHWH rufen und du wirst schuldig.</w:t>
      </w:r>
    </w:p>
    <w:p w14:paraId="1CE9AC6F" w14:textId="77777777" w:rsidR="00684135" w:rsidRPr="00684135" w:rsidRDefault="00684135" w:rsidP="00684135">
      <w:pPr>
        <w:pStyle w:val="berschrift1"/>
        <w:rPr>
          <w:rFonts w:ascii="Times New Roman" w:hAnsi="Times New Roman"/>
          <w:color w:val="auto"/>
          <w:sz w:val="36"/>
          <w:szCs w:val="36"/>
        </w:rPr>
      </w:pPr>
      <w:r w:rsidRPr="00684135">
        <w:rPr>
          <w:rStyle w:val="Fett"/>
          <w:rFonts w:ascii="Times New Roman" w:hAnsi="Times New Roman"/>
          <w:color w:val="auto"/>
          <w:sz w:val="36"/>
          <w:szCs w:val="36"/>
        </w:rPr>
        <w:t>Deuteronomium 15,10</w:t>
      </w:r>
    </w:p>
    <w:p w14:paraId="4B88F22B" w14:textId="77777777" w:rsidR="00684135" w:rsidRDefault="00684135" w:rsidP="00684135">
      <w:pPr>
        <w:pStyle w:val="whitespace-normal"/>
      </w:pPr>
      <w:r>
        <w:rPr>
          <w:rStyle w:val="Fett"/>
          <w:rFonts w:eastAsiaTheme="majorEastAsia"/>
        </w:rPr>
        <w:t>Hebräisch:</w:t>
      </w:r>
      <w:r>
        <w:t xml:space="preserve"> </w:t>
      </w:r>
      <w:r>
        <w:rPr>
          <w:rtl/>
        </w:rPr>
        <w:t>נָת֤וֹן תִּתֵּן֙ לוֹ֔ וְלֹא־יֵרַ֥ע לְבָבְךָ֖ בְּתִתְּךָ֣ לוֹ֑ כִּ֞י בִּגְלַ֣ל׀ הַדָּבָ֣ר הַזֶּ֗ה יְבָרֶכְךָ֙ יְהוָ֣ה אֱלֹהֶ֔יךָ בְּכָֽל־מַעֲשֶׂ֔ךָ וּבְכֹ֖ל מִשְׁלַ֥ח יָדֶֽךָ׃</w:t>
      </w:r>
    </w:p>
    <w:p w14:paraId="5FBF3F46" w14:textId="77777777" w:rsidR="00684135" w:rsidRDefault="00684135" w:rsidP="00684135">
      <w:pPr>
        <w:pStyle w:val="whitespace-normal"/>
      </w:pPr>
      <w:r>
        <w:rPr>
          <w:rStyle w:val="Fett"/>
          <w:rFonts w:eastAsiaTheme="majorEastAsia"/>
        </w:rPr>
        <w:t>Deutsch:</w:t>
      </w:r>
      <w:r>
        <w:t xml:space="preserve"> Willig sollst du ihm geben, und dein Herz soll nicht böse sein, wenn du ihm gibst; denn um dieser Sache willen wird der Ewige, dein Gott, dich segnen in all deinem Werk und in allem Geschäft deiner Hand.</w:t>
      </w:r>
    </w:p>
    <w:p w14:paraId="46EB5099" w14:textId="77777777" w:rsidR="00684135" w:rsidRDefault="004F5CEB" w:rsidP="00684135">
      <w:r>
        <w:rPr>
          <w:noProof/>
        </w:rPr>
        <w:pict w14:anchorId="5405A670">
          <v:rect id="_x0000_i1454" style="width:0;height:1.5pt" o:hralign="center" o:hrstd="t" o:hr="t" fillcolor="#a0a0a0" stroked="f"/>
        </w:pict>
      </w:r>
    </w:p>
    <w:p w14:paraId="4C7FD433" w14:textId="77777777" w:rsidR="00684135" w:rsidRDefault="00684135" w:rsidP="00684135">
      <w:pPr>
        <w:pStyle w:val="whitespace-normal"/>
      </w:pPr>
      <w:r>
        <w:rPr>
          <w:rStyle w:val="Fett"/>
          <w:rFonts w:eastAsiaTheme="majorEastAsia"/>
        </w:rPr>
        <w:t>Kommentar:</w:t>
      </w:r>
      <w:r>
        <w:t xml:space="preserve"> </w:t>
      </w:r>
      <w:r>
        <w:rPr>
          <w:rStyle w:val="Fett"/>
          <w:rFonts w:eastAsiaTheme="majorEastAsia"/>
          <w:rtl/>
        </w:rPr>
        <w:t>נָתוֹן תִּתֵּן לוֹ וְלֹא־יֵרַע לְבָבְךָ בְּתִתְּךָ לוֹ</w:t>
      </w:r>
      <w:r>
        <w:rPr>
          <w:rtl/>
        </w:rPr>
        <w:t xml:space="preserve"> </w:t>
      </w:r>
      <w:r>
        <w:t xml:space="preserve">sind zwei koordinierte Imperative: </w:t>
      </w:r>
      <w:r>
        <w:rPr>
          <w:rStyle w:val="Fett"/>
          <w:rFonts w:eastAsiaTheme="majorEastAsia"/>
          <w:rtl/>
        </w:rPr>
        <w:t>נָתוֹן תִּתֵּן</w:t>
      </w:r>
      <w:r>
        <w:rPr>
          <w:rtl/>
        </w:rPr>
        <w:t xml:space="preserve"> </w:t>
      </w:r>
      <w:r>
        <w:t xml:space="preserve">(Qal Infinitiv Absolut </w:t>
      </w:r>
      <w:r>
        <w:rPr>
          <w:rStyle w:val="Fett"/>
          <w:rFonts w:eastAsiaTheme="majorEastAsia"/>
          <w:rtl/>
        </w:rPr>
        <w:t>נָתוֹן</w:t>
      </w:r>
      <w:r>
        <w:rPr>
          <w:rtl/>
        </w:rPr>
        <w:t xml:space="preserve"> </w:t>
      </w:r>
      <w:r>
        <w:t xml:space="preserve">mit Qal Imperfekt </w:t>
      </w:r>
      <w:r>
        <w:rPr>
          <w:rStyle w:val="Fett"/>
          <w:rFonts w:eastAsiaTheme="majorEastAsia"/>
          <w:rtl/>
        </w:rPr>
        <w:t>תִּתֵּן</w:t>
      </w:r>
      <w:r>
        <w:t xml:space="preserve">, 2. Person Maskulinum Singular von </w:t>
      </w:r>
      <w:r>
        <w:rPr>
          <w:rStyle w:val="Fett"/>
          <w:rFonts w:eastAsiaTheme="majorEastAsia"/>
          <w:rtl/>
        </w:rPr>
        <w:t>נתן</w:t>
      </w:r>
      <w:r>
        <w:t xml:space="preserve">, „geben", </w:t>
      </w:r>
      <w:r>
        <w:lastRenderedPageBreak/>
        <w:t xml:space="preserve">emphatisch „willig geben, gewiss geben"), </w:t>
      </w:r>
      <w:r>
        <w:rPr>
          <w:rStyle w:val="Fett"/>
          <w:rFonts w:eastAsiaTheme="majorEastAsia"/>
          <w:rtl/>
        </w:rPr>
        <w:t>לוֹ</w:t>
      </w:r>
      <w:r>
        <w:rPr>
          <w:rtl/>
        </w:rPr>
        <w:t xml:space="preserve"> </w:t>
      </w:r>
      <w:r>
        <w:t xml:space="preserve">(Präposition </w:t>
      </w:r>
      <w:r>
        <w:rPr>
          <w:rStyle w:val="Fett"/>
          <w:rFonts w:eastAsiaTheme="majorEastAsia"/>
          <w:rtl/>
        </w:rPr>
        <w:t>לְ</w:t>
      </w:r>
      <w:r>
        <w:rPr>
          <w:rtl/>
        </w:rPr>
        <w:t xml:space="preserve"> </w:t>
      </w:r>
      <w:r>
        <w:t xml:space="preserve">mit Suffix 3. Person Maskulinum Singular, „ihm") als Dativ, koordiniert durch </w:t>
      </w:r>
      <w:r>
        <w:rPr>
          <w:rStyle w:val="Fett"/>
          <w:rFonts w:eastAsiaTheme="majorEastAsia"/>
          <w:rtl/>
        </w:rPr>
        <w:t>וְלֹא</w:t>
      </w:r>
      <w:r>
        <w:rPr>
          <w:rtl/>
        </w:rPr>
        <w:t xml:space="preserve"> </w:t>
      </w:r>
      <w:r>
        <w:t xml:space="preserve">mit </w:t>
      </w:r>
      <w:r>
        <w:rPr>
          <w:rStyle w:val="Fett"/>
          <w:rFonts w:eastAsiaTheme="majorEastAsia"/>
          <w:rtl/>
        </w:rPr>
        <w:t>יֵרַע</w:t>
      </w:r>
      <w:r>
        <w:rPr>
          <w:rtl/>
        </w:rPr>
        <w:t xml:space="preserve"> </w:t>
      </w:r>
      <w:r>
        <w:t xml:space="preserve">(Qal Imperfekt, 3. Person Maskulinum Singular von </w:t>
      </w:r>
      <w:r>
        <w:rPr>
          <w:rStyle w:val="Fett"/>
          <w:rFonts w:eastAsiaTheme="majorEastAsia"/>
          <w:rtl/>
        </w:rPr>
        <w:t>רעע</w:t>
      </w:r>
      <w:r>
        <w:t xml:space="preserve">, „böse sein, sich ärgern"), </w:t>
      </w:r>
      <w:r>
        <w:rPr>
          <w:rStyle w:val="Fett"/>
          <w:rFonts w:eastAsiaTheme="majorEastAsia"/>
          <w:rtl/>
        </w:rPr>
        <w:t>לְבָבְךָ</w:t>
      </w:r>
      <w:r>
        <w:rPr>
          <w:rtl/>
        </w:rPr>
        <w:t xml:space="preserve"> </w:t>
      </w:r>
      <w:r>
        <w:t>(</w:t>
      </w:r>
      <w:r>
        <w:rPr>
          <w:rStyle w:val="Fett"/>
          <w:rFonts w:eastAsiaTheme="majorEastAsia"/>
          <w:rtl/>
        </w:rPr>
        <w:t>לֵבָב</w:t>
      </w:r>
      <w:r>
        <w:t xml:space="preserve">, „Herz", mit Suffix 2. Person Maskulinum Singular) als Subjekt und </w:t>
      </w:r>
      <w:r>
        <w:rPr>
          <w:rStyle w:val="Fett"/>
          <w:rFonts w:eastAsiaTheme="majorEastAsia"/>
          <w:rtl/>
        </w:rPr>
        <w:t>בְּתִתְּךָ לוֹ</w:t>
      </w:r>
      <w:r>
        <w:rPr>
          <w:rtl/>
        </w:rPr>
        <w:t xml:space="preserve"> </w:t>
      </w:r>
      <w:r>
        <w:t xml:space="preserve">(Präposition </w:t>
      </w:r>
      <w:r>
        <w:rPr>
          <w:rStyle w:val="Fett"/>
          <w:rFonts w:eastAsiaTheme="majorEastAsia"/>
          <w:rtl/>
        </w:rPr>
        <w:t>בְּ</w:t>
      </w:r>
      <w:r>
        <w:rPr>
          <w:rtl/>
        </w:rPr>
        <w:t xml:space="preserve"> </w:t>
      </w:r>
      <w:r>
        <w:t xml:space="preserve">mit Qal Infinitiv Construct von </w:t>
      </w:r>
      <w:r>
        <w:rPr>
          <w:rStyle w:val="Fett"/>
          <w:rFonts w:eastAsiaTheme="majorEastAsia"/>
          <w:rtl/>
        </w:rPr>
        <w:t>נתן</w:t>
      </w:r>
      <w:r>
        <w:t xml:space="preserve">, „geben", mit Suffix 2. Person Maskulinum Singular, und </w:t>
      </w:r>
      <w:r>
        <w:rPr>
          <w:rStyle w:val="Fett"/>
          <w:rFonts w:eastAsiaTheme="majorEastAsia"/>
          <w:rtl/>
        </w:rPr>
        <w:t>לוֹ</w:t>
      </w:r>
      <w:r>
        <w:t>, „wenn du ihm gibst") als temporale Bestimmung.</w:t>
      </w:r>
    </w:p>
    <w:p w14:paraId="5EFC8177" w14:textId="77777777" w:rsidR="00684135" w:rsidRDefault="00684135" w:rsidP="00684135">
      <w:pPr>
        <w:pStyle w:val="whitespace-normal"/>
      </w:pPr>
      <w:r>
        <w:rPr>
          <w:rStyle w:val="Fett"/>
          <w:rFonts w:eastAsiaTheme="majorEastAsia"/>
          <w:rtl/>
        </w:rPr>
        <w:t>כִּי בִּגְלַל הַדָּבָר הַזֶּה יְבָרֶכְךָ יְהוָה אֱלֹהֶיךָ בְּכָל־מַעֲשֶׂךָ וּבְכֹל מִשְׁלַח יָדֶךָ</w:t>
      </w:r>
      <w:r>
        <w:rPr>
          <w:rtl/>
        </w:rPr>
        <w:t xml:space="preserve"> </w:t>
      </w:r>
      <w:r>
        <w:t xml:space="preserve">ist die kausale Begründung: </w:t>
      </w:r>
      <w:r>
        <w:rPr>
          <w:rStyle w:val="Fett"/>
          <w:rFonts w:eastAsiaTheme="majorEastAsia"/>
          <w:rtl/>
        </w:rPr>
        <w:t>כִּי</w:t>
      </w:r>
      <w:r>
        <w:rPr>
          <w:rtl/>
        </w:rPr>
        <w:t xml:space="preserve"> </w:t>
      </w:r>
      <w:r>
        <w:t xml:space="preserve">(„denn, weil") als kausale Konjunktion, </w:t>
      </w:r>
      <w:r>
        <w:rPr>
          <w:rStyle w:val="Fett"/>
          <w:rFonts w:eastAsiaTheme="majorEastAsia"/>
          <w:rtl/>
        </w:rPr>
        <w:t>בִּגְלַל הַדָּבָר הַזֶּה</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גָּלָל</w:t>
      </w:r>
      <w:r>
        <w:t xml:space="preserve">, „wegen, um... willen", Construct mit </w:t>
      </w:r>
      <w:r>
        <w:rPr>
          <w:rStyle w:val="Fett"/>
          <w:rFonts w:eastAsiaTheme="majorEastAsia"/>
          <w:rtl/>
        </w:rPr>
        <w:t>דָּבָר</w:t>
      </w:r>
      <w:r>
        <w:t xml:space="preserve">, „Sache", mit Artikel und Demonstrativpronomen </w:t>
      </w:r>
      <w:r>
        <w:rPr>
          <w:rStyle w:val="Fett"/>
          <w:rFonts w:eastAsiaTheme="majorEastAsia"/>
          <w:rtl/>
        </w:rPr>
        <w:t>הַזֶּה</w:t>
      </w:r>
      <w:r>
        <w:t xml:space="preserve">, „um dieser Sache willen") als kausale Bestimmung, </w:t>
      </w:r>
      <w:r>
        <w:rPr>
          <w:rStyle w:val="Fett"/>
          <w:rFonts w:eastAsiaTheme="majorEastAsia"/>
          <w:rtl/>
        </w:rPr>
        <w:t>יְבָרֶכְךָ</w:t>
      </w:r>
      <w:r>
        <w:rPr>
          <w:rtl/>
        </w:rPr>
        <w:t xml:space="preserve"> </w:t>
      </w:r>
      <w:r>
        <w:t xml:space="preserve">(Piel Imperfekt, 3. Person Maskulinum Singular von </w:t>
      </w:r>
      <w:r>
        <w:rPr>
          <w:rStyle w:val="Fett"/>
          <w:rFonts w:eastAsiaTheme="majorEastAsia"/>
          <w:rtl/>
        </w:rPr>
        <w:t>ברך</w:t>
      </w:r>
      <w:r>
        <w:t xml:space="preserve">, „segnen", mit Suffix 2. Person Maskulinum Singular als direktes Objekt), </w:t>
      </w:r>
      <w:r>
        <w:rPr>
          <w:rStyle w:val="Fett"/>
          <w:rFonts w:eastAsiaTheme="majorEastAsia"/>
          <w:rtl/>
        </w:rPr>
        <w:t>יְהוָה אֱלֹהֶיךָ</w:t>
      </w:r>
      <w:r>
        <w:rPr>
          <w:rtl/>
        </w:rPr>
        <w:t xml:space="preserve"> </w:t>
      </w:r>
      <w:r>
        <w:t xml:space="preserve">als Subjekt, </w:t>
      </w:r>
      <w:r>
        <w:rPr>
          <w:rStyle w:val="Fett"/>
          <w:rFonts w:eastAsiaTheme="majorEastAsia"/>
          <w:rtl/>
        </w:rPr>
        <w:t>בְּכָל־מַעֲשֶׂךָ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כֹּל</w:t>
      </w:r>
      <w:r>
        <w:t xml:space="preserve">, „all", im Construct mit </w:t>
      </w:r>
      <w:r>
        <w:rPr>
          <w:rStyle w:val="Fett"/>
          <w:rFonts w:eastAsiaTheme="majorEastAsia"/>
          <w:rtl/>
        </w:rPr>
        <w:t>מַעֲשֶׂה</w:t>
      </w:r>
      <w:r>
        <w:t xml:space="preserve">, „Werk, Tat", mit Suffix 2. Person Maskulinum Singular, „in all deinem Werk") als erste Bereichsangabe und </w:t>
      </w:r>
      <w:r>
        <w:rPr>
          <w:rStyle w:val="Fett"/>
          <w:rFonts w:eastAsiaTheme="majorEastAsia"/>
          <w:rtl/>
        </w:rPr>
        <w:t>וּבְכֹל מִשְׁלַח יָדֶךָ</w:t>
      </w:r>
      <w:r>
        <w:rPr>
          <w:rtl/>
        </w:rPr>
        <w:t xml:space="preserve"> </w:t>
      </w:r>
      <w:r>
        <w:t xml:space="preserve">(koordiniert durch </w:t>
      </w:r>
      <w:r>
        <w:rPr>
          <w:rStyle w:val="Fett"/>
          <w:rFonts w:eastAsiaTheme="majorEastAsia"/>
          <w:rtl/>
        </w:rPr>
        <w:t>וּבְ</w:t>
      </w:r>
      <w:r>
        <w:rPr>
          <w:rtl/>
        </w:rPr>
        <w:t xml:space="preserve"> </w:t>
      </w:r>
      <w:r>
        <w:t xml:space="preserve">mit </w:t>
      </w:r>
      <w:r>
        <w:rPr>
          <w:rStyle w:val="Fett"/>
          <w:rFonts w:eastAsiaTheme="majorEastAsia"/>
          <w:rtl/>
        </w:rPr>
        <w:t>כֹּל</w:t>
      </w:r>
      <w:r>
        <w:t xml:space="preserve">, im Construct mit </w:t>
      </w:r>
      <w:r>
        <w:rPr>
          <w:rStyle w:val="Fett"/>
          <w:rFonts w:eastAsiaTheme="majorEastAsia"/>
          <w:rtl/>
        </w:rPr>
        <w:t>מִשְׁלָח</w:t>
      </w:r>
      <w:r>
        <w:t xml:space="preserve">, „Ausstrecken, Unternehmung, Geschäft", Construct mit </w:t>
      </w:r>
      <w:r>
        <w:rPr>
          <w:rStyle w:val="Fett"/>
          <w:rFonts w:eastAsiaTheme="majorEastAsia"/>
          <w:rtl/>
        </w:rPr>
        <w:t>יָד</w:t>
      </w:r>
      <w:r>
        <w:t>, „Hand", mit Suffix 2. Person Maskulinum Singular, „und in allem Geschäft/Unternehmen deiner Hand") als zweite Bereichsangabe.</w:t>
      </w:r>
    </w:p>
    <w:p w14:paraId="17FFA360" w14:textId="77777777" w:rsidR="00684135" w:rsidRDefault="00684135" w:rsidP="00684135">
      <w:pPr>
        <w:pStyle w:val="whitespace-normal"/>
      </w:pPr>
      <w:r>
        <w:t xml:space="preserve">Der Vers gibt positive Anweisungen: (1) Gib willig, großzügig; (2) Lass dein Herz nicht böse werden beim Geben. Die emphatische Konstruktion </w:t>
      </w:r>
      <w:r>
        <w:rPr>
          <w:rStyle w:val="Fett"/>
          <w:rFonts w:eastAsiaTheme="majorEastAsia"/>
          <w:rtl/>
        </w:rPr>
        <w:t>נָתוֹן תִּתֵּן</w:t>
      </w:r>
      <w:r>
        <w:rPr>
          <w:rtl/>
        </w:rPr>
        <w:t xml:space="preserve"> </w:t>
      </w:r>
      <w:r>
        <w:t>(„willig geben") unterstreicht die Haltung: nicht widerwillig oder widerstrebend, sondern freudig (vgl. 2 Kor 9,7).</w:t>
      </w:r>
    </w:p>
    <w:p w14:paraId="452B57FE" w14:textId="71101DC3" w:rsidR="00684135" w:rsidRDefault="00684135" w:rsidP="00684135">
      <w:pPr>
        <w:pStyle w:val="whitespace-normal"/>
      </w:pPr>
      <w:r>
        <w:t xml:space="preserve">Das Verbot </w:t>
      </w:r>
      <w:r>
        <w:rPr>
          <w:rStyle w:val="Fett"/>
          <w:rFonts w:eastAsiaTheme="majorEastAsia"/>
          <w:rtl/>
        </w:rPr>
        <w:t>וְלֹא־יֵרַע לְבָבְךָ בְּתִתְּךָ לוֹ</w:t>
      </w:r>
      <w:r>
        <w:rPr>
          <w:rtl/>
        </w:rPr>
        <w:t xml:space="preserve"> </w:t>
      </w:r>
      <w:r>
        <w:t xml:space="preserve">(„dein Herz soll nicht böse sein, wenn du ihm gibst") warnt vor innerem Groll, Ärger oder Bedauern beim Geben. Das Verb </w:t>
      </w:r>
      <w:r>
        <w:rPr>
          <w:rStyle w:val="Fett"/>
          <w:rFonts w:eastAsiaTheme="majorEastAsia"/>
          <w:rtl/>
        </w:rPr>
        <w:t>רעע</w:t>
      </w:r>
      <w:r>
        <w:rPr>
          <w:rtl/>
        </w:rPr>
        <w:t xml:space="preserve"> </w:t>
      </w:r>
      <w:r>
        <w:t xml:space="preserve">(„böse sein, sich ärgern") beschreibt die innere negative Haltung (vgl. Dtn 28,54.56; </w:t>
      </w:r>
      <w:r w:rsidR="00664EB6">
        <w:t>1Sam</w:t>
      </w:r>
      <w:r>
        <w:t xml:space="preserve"> 1,8; </w:t>
      </w:r>
      <w:r w:rsidR="00664EB6">
        <w:t>2Sam</w:t>
      </w:r>
      <w:r>
        <w:t xml:space="preserve"> 19,8; Neh 2,10).</w:t>
      </w:r>
    </w:p>
    <w:p w14:paraId="2ADB7501" w14:textId="77777777" w:rsidR="00684135" w:rsidRDefault="00684135" w:rsidP="00684135">
      <w:pPr>
        <w:pStyle w:val="whitespace-normal"/>
      </w:pPr>
      <w:r>
        <w:t xml:space="preserve">Die Begründung </w:t>
      </w:r>
      <w:r>
        <w:rPr>
          <w:rStyle w:val="Fett"/>
          <w:rFonts w:eastAsiaTheme="majorEastAsia"/>
          <w:rtl/>
        </w:rPr>
        <w:t>בִּגְלַל הַדָּבָר הַזֶּה</w:t>
      </w:r>
      <w:r>
        <w:rPr>
          <w:rtl/>
        </w:rPr>
        <w:t xml:space="preserve"> </w:t>
      </w:r>
      <w:r>
        <w:t xml:space="preserve">(„um dieser Sache willen") verweist auf die Großzügigkeit selbst: Gerade wegen dieser Tat wird JHWH segnen. Die doppelte Segensverheißung </w:t>
      </w:r>
      <w:r>
        <w:rPr>
          <w:rStyle w:val="Fett"/>
          <w:rFonts w:eastAsiaTheme="majorEastAsia"/>
          <w:rtl/>
        </w:rPr>
        <w:t>בְּכָל־מַעֲשֶׂךָ וּבְכֹל מִשְׁלַח יָדֶךָ</w:t>
      </w:r>
      <w:r>
        <w:rPr>
          <w:rtl/>
        </w:rPr>
        <w:t xml:space="preserve"> </w:t>
      </w:r>
      <w:r>
        <w:t>(„in all deinem Werk und in allem Geschäft deiner Hand") umfasst die gesamte Lebens- und Arbeitssphäre.</w:t>
      </w:r>
    </w:p>
    <w:p w14:paraId="40247703" w14:textId="7D829F2A" w:rsidR="00684135" w:rsidRDefault="00684135" w:rsidP="00684135">
      <w:pPr>
        <w:pStyle w:val="whitespace-normal"/>
      </w:pPr>
      <w:r>
        <w:t xml:space="preserve">Die Wendung </w:t>
      </w:r>
      <w:r>
        <w:rPr>
          <w:rStyle w:val="Fett"/>
          <w:rFonts w:eastAsiaTheme="majorEastAsia"/>
          <w:rtl/>
        </w:rPr>
        <w:t>מִשְׁלַח יָדֶךָ</w:t>
      </w:r>
      <w:r>
        <w:rPr>
          <w:rtl/>
        </w:rPr>
        <w:t xml:space="preserve"> </w:t>
      </w:r>
      <w:r>
        <w:t>(„Ausstrecken/Geschäft deiner Hand") bezeichnet jede Unternehmung, jedes Geschäft (vgl. Dtn 12,7.18; 23,21; 28,8.20; Ps 90,17). Der Segen betrifft also nicht nur die Landwirtschaft, sondern alle wirtschaftlichen Aktivitäten.</w:t>
      </w:r>
    </w:p>
    <w:p w14:paraId="1720F909" w14:textId="33AE573C" w:rsidR="00A93C3C" w:rsidRDefault="00A93C3C" w:rsidP="00684135">
      <w:pPr>
        <w:pStyle w:val="whitespace-normal"/>
      </w:pPr>
      <w:r>
        <w:rPr>
          <w:rStyle w:val="Fett"/>
        </w:rPr>
        <w:t>Die LXX</w:t>
      </w:r>
      <w:r>
        <w:t xml:space="preserve"> fügt eine ganze Phrase hinzu: καὶ </w:t>
      </w:r>
      <w:proofErr w:type="spellStart"/>
      <w:r>
        <w:t>δάνειον</w:t>
      </w:r>
      <w:proofErr w:type="spellEnd"/>
      <w:r>
        <w:t xml:space="preserve"> δα</w:t>
      </w:r>
      <w:proofErr w:type="spellStart"/>
      <w:r>
        <w:t>νιεῖς</w:t>
      </w:r>
      <w:proofErr w:type="spellEnd"/>
      <w:r>
        <w:t xml:space="preserve"> α</w:t>
      </w:r>
      <w:proofErr w:type="spellStart"/>
      <w:r>
        <w:t>ὐτῷ</w:t>
      </w:r>
      <w:proofErr w:type="spellEnd"/>
      <w:r>
        <w:t xml:space="preserve"> </w:t>
      </w:r>
      <w:proofErr w:type="spellStart"/>
      <w:r>
        <w:t>ὅσον</w:t>
      </w:r>
      <w:proofErr w:type="spellEnd"/>
      <w:r>
        <w:t xml:space="preserve"> </w:t>
      </w:r>
      <w:proofErr w:type="spellStart"/>
      <w:r>
        <w:t>ἂν</w:t>
      </w:r>
      <w:proofErr w:type="spellEnd"/>
      <w:r>
        <w:t xml:space="preserve"> ἐπ</w:t>
      </w:r>
      <w:proofErr w:type="spellStart"/>
      <w:r>
        <w:t>ιδέητ</w:t>
      </w:r>
      <w:proofErr w:type="spellEnd"/>
      <w:r>
        <w:t>αι (und als Darlehen wirst du ihm leihen, soviel er benötigt) – eine Wiederholung aus Vers 8, die im MT fehlt. Dies ist eine bedeutende textliche Expansion.</w:t>
      </w:r>
    </w:p>
    <w:p w14:paraId="51F68B26" w14:textId="77777777" w:rsidR="00684135" w:rsidRDefault="00684135" w:rsidP="00684135">
      <w:pPr>
        <w:pStyle w:val="whitespace-normal"/>
      </w:pPr>
      <w:r>
        <w:rPr>
          <w:rStyle w:val="Fett"/>
          <w:rFonts w:eastAsiaTheme="majorEastAsia"/>
        </w:rPr>
        <w:t>Die Satzstruktur</w:t>
      </w:r>
      <w:r>
        <w:t xml:space="preserve"> besteht aus zwei koordinierten Imperativen und kausaler Begründung: Emphatischer Infinitiv (willig), Prädikat (sollst geben), Dativ (ihm); negativer Imperativ (nicht soll böse sein), Subjekt (dein Herz), temporale Bestimmung (wenn du gibst ihm); kausale Begründung (denn), kausale Bestimmung (um dieser Sache willen), Prädikat (wird segnen dich), Subjekt (JHWH, dein Gott), erste Bereichsangabe (in all deinem Werk), zweite Bereichsangabe (und in allem Geschäft deiner Hand).</w:t>
      </w:r>
    </w:p>
    <w:p w14:paraId="7A452192" w14:textId="77777777" w:rsidR="00684135" w:rsidRDefault="00684135" w:rsidP="00684135">
      <w:pPr>
        <w:pStyle w:val="whitespace-normal"/>
      </w:pPr>
      <w:r>
        <w:lastRenderedPageBreak/>
        <w:t>Der Vers fordert großzügiges, freudiges Geben ohne inneren Groll und verheißt dafür JHWHs Segen über alle Arbeit und jedes Unternehmen.</w:t>
      </w:r>
    </w:p>
    <w:p w14:paraId="0527538B" w14:textId="77777777" w:rsidR="00684135" w:rsidRPr="00684135" w:rsidRDefault="00684135" w:rsidP="00684135">
      <w:pPr>
        <w:pStyle w:val="berschrift1"/>
        <w:rPr>
          <w:rFonts w:ascii="Times New Roman" w:hAnsi="Times New Roman"/>
          <w:color w:val="auto"/>
          <w:sz w:val="36"/>
          <w:szCs w:val="36"/>
        </w:rPr>
      </w:pPr>
      <w:r w:rsidRPr="00684135">
        <w:rPr>
          <w:rStyle w:val="Fett"/>
          <w:rFonts w:ascii="Times New Roman" w:hAnsi="Times New Roman"/>
          <w:color w:val="auto"/>
          <w:sz w:val="36"/>
          <w:szCs w:val="36"/>
        </w:rPr>
        <w:t>Deuteronomium 15,11</w:t>
      </w:r>
    </w:p>
    <w:p w14:paraId="50BCB1D2" w14:textId="77777777" w:rsidR="00684135" w:rsidRDefault="00684135" w:rsidP="00684135">
      <w:pPr>
        <w:pStyle w:val="whitespace-normal"/>
      </w:pPr>
      <w:r>
        <w:rPr>
          <w:rStyle w:val="Fett"/>
          <w:rFonts w:eastAsiaTheme="majorEastAsia"/>
        </w:rPr>
        <w:t>Hebräisch:</w:t>
      </w:r>
      <w:r>
        <w:t xml:space="preserve"> </w:t>
      </w:r>
      <w:r>
        <w:rPr>
          <w:rtl/>
        </w:rPr>
        <w:t>כִּ֛י לֹא־יֶחְדַּ֥ל אֶבְי֖וֹן מִקֶּ֣רֶב הָאָ֑רֶץ עַל־כֵּ֞ן אָנֹכִ֤י מְצַוְּךָ֙ לֵאמֹ֔ר פָּ֠תֹחַ תִּפְתַּ֨ח אֶת־יָדְךָ֜ לְאָחִ֧יךָ לַעֲנִיֶּ֛ךָ וּלְאֶבְיֹנְךָ֖ בְּאַרְצֶֽךָ׃</w:t>
      </w:r>
    </w:p>
    <w:p w14:paraId="71FE9336" w14:textId="77777777" w:rsidR="00684135" w:rsidRDefault="00684135" w:rsidP="00684135">
      <w:pPr>
        <w:pStyle w:val="whitespace-normal"/>
      </w:pPr>
      <w:r>
        <w:rPr>
          <w:rStyle w:val="Fett"/>
          <w:rFonts w:eastAsiaTheme="majorEastAsia"/>
        </w:rPr>
        <w:t>Deutsch:</w:t>
      </w:r>
      <w:r>
        <w:t xml:space="preserve"> Denn der Arme wird nicht aufhören inmitten des Landes; darum gebiete ich dir, sagend: Du sollst deine Hand weit auftun deinem Bruder, deinem Elenden und deinem Armen in deinem Land.</w:t>
      </w:r>
    </w:p>
    <w:p w14:paraId="4E627B39" w14:textId="77777777" w:rsidR="00684135" w:rsidRDefault="004F5CEB" w:rsidP="00684135">
      <w:r>
        <w:rPr>
          <w:noProof/>
        </w:rPr>
        <w:pict w14:anchorId="39A519F3">
          <v:rect id="_x0000_i1455" style="width:0;height:1.5pt" o:hralign="center" o:hrstd="t" o:hr="t" fillcolor="#a0a0a0" stroked="f"/>
        </w:pict>
      </w:r>
    </w:p>
    <w:p w14:paraId="331E163F" w14:textId="77777777" w:rsidR="00684135" w:rsidRDefault="00684135" w:rsidP="00684135">
      <w:pPr>
        <w:pStyle w:val="whitespace-normal"/>
      </w:pPr>
      <w:r>
        <w:rPr>
          <w:rStyle w:val="Fett"/>
          <w:rFonts w:eastAsiaTheme="majorEastAsia"/>
        </w:rPr>
        <w:t>Kommentar:</w:t>
      </w:r>
      <w:r>
        <w:t xml:space="preserve"> </w:t>
      </w:r>
      <w:r>
        <w:rPr>
          <w:rStyle w:val="Fett"/>
          <w:rFonts w:eastAsiaTheme="majorEastAsia"/>
          <w:rtl/>
        </w:rPr>
        <w:t>כִּי לֹא־יֶחְדַּל אֶבְיוֹן מִקֶּרֶב הָאָרֶץ</w:t>
      </w:r>
      <w:r>
        <w:rPr>
          <w:rtl/>
        </w:rPr>
        <w:t xml:space="preserve"> </w:t>
      </w:r>
      <w:r>
        <w:t xml:space="preserve">ist ein kausaler Satz: </w:t>
      </w:r>
      <w:r>
        <w:rPr>
          <w:rStyle w:val="Fett"/>
          <w:rFonts w:eastAsiaTheme="majorEastAsia"/>
          <w:rtl/>
        </w:rPr>
        <w:t>כִּי</w:t>
      </w:r>
      <w:r>
        <w:rPr>
          <w:rtl/>
        </w:rPr>
        <w:t xml:space="preserve"> </w:t>
      </w:r>
      <w:r>
        <w:t xml:space="preserve">(„denn, weil"), </w:t>
      </w:r>
      <w:r>
        <w:rPr>
          <w:rStyle w:val="Fett"/>
          <w:rFonts w:eastAsiaTheme="majorEastAsia"/>
          <w:rtl/>
        </w:rPr>
        <w:t>לֹא־יֶחְדַּל</w:t>
      </w:r>
      <w:r>
        <w:rPr>
          <w:rtl/>
        </w:rPr>
        <w:t xml:space="preserve"> </w:t>
      </w:r>
      <w:r>
        <w:t xml:space="preserve">(Negation </w:t>
      </w:r>
      <w:r>
        <w:rPr>
          <w:rStyle w:val="Fett"/>
          <w:rFonts w:eastAsiaTheme="majorEastAsia"/>
          <w:rtl/>
        </w:rPr>
        <w:t>לֹא</w:t>
      </w:r>
      <w:r>
        <w:rPr>
          <w:rtl/>
        </w:rPr>
        <w:t xml:space="preserve"> </w:t>
      </w:r>
      <w:r>
        <w:t xml:space="preserve">mit </w:t>
      </w:r>
      <w:r>
        <w:rPr>
          <w:rStyle w:val="Fett"/>
          <w:rFonts w:eastAsiaTheme="majorEastAsia"/>
          <w:rtl/>
        </w:rPr>
        <w:t>חדל</w:t>
      </w:r>
      <w:r>
        <w:t xml:space="preserve">, Qal Imperfekt, 3. Person Maskulinum Singular, „aufhören, nicht mehr </w:t>
      </w:r>
      <w:proofErr w:type="spellStart"/>
      <w:r>
        <w:t>dasein</w:t>
      </w:r>
      <w:proofErr w:type="spellEnd"/>
      <w:r>
        <w:t xml:space="preserve">"), </w:t>
      </w:r>
      <w:r>
        <w:rPr>
          <w:rStyle w:val="Fett"/>
          <w:rFonts w:eastAsiaTheme="majorEastAsia"/>
          <w:rtl/>
        </w:rPr>
        <w:t>אֶבְיוֹן</w:t>
      </w:r>
      <w:r>
        <w:rPr>
          <w:rtl/>
        </w:rPr>
        <w:t xml:space="preserve"> </w:t>
      </w:r>
      <w:r>
        <w:t>(</w:t>
      </w:r>
      <w:r>
        <w:rPr>
          <w:rStyle w:val="Fett"/>
          <w:rFonts w:eastAsiaTheme="majorEastAsia"/>
          <w:rtl/>
        </w:rPr>
        <w:t>אֶבְיוֹן</w:t>
      </w:r>
      <w:r>
        <w:t xml:space="preserve">, „Armer") als Subjekt und </w:t>
      </w:r>
      <w:r>
        <w:rPr>
          <w:rStyle w:val="Fett"/>
          <w:rFonts w:eastAsiaTheme="majorEastAsia"/>
          <w:rtl/>
        </w:rPr>
        <w:t>מִקֶּרֶב הָאָרֶץ</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קֶרֶב</w:t>
      </w:r>
      <w:r>
        <w:t xml:space="preserve">, „Mitte, Inneres", Construct mit </w:t>
      </w:r>
      <w:r>
        <w:rPr>
          <w:rStyle w:val="Fett"/>
          <w:rFonts w:eastAsiaTheme="majorEastAsia"/>
          <w:rtl/>
        </w:rPr>
        <w:t>אֶרֶץ</w:t>
      </w:r>
      <w:r>
        <w:t>, „Land", mit Artikel, „aus der Mitte des Landes, inmitten des Landes") als lokale Bestimmung.</w:t>
      </w:r>
    </w:p>
    <w:p w14:paraId="24482EE1" w14:textId="77777777" w:rsidR="00684135" w:rsidRDefault="00684135" w:rsidP="00684135">
      <w:pPr>
        <w:pStyle w:val="whitespace-normal"/>
      </w:pPr>
      <w:r>
        <w:rPr>
          <w:rStyle w:val="Fett"/>
          <w:rFonts w:eastAsiaTheme="majorEastAsia"/>
          <w:rtl/>
        </w:rPr>
        <w:t>עַל־כֵּן אָנֹכִי מְצַוְּךָ לֵאמֹר</w:t>
      </w:r>
      <w:r>
        <w:rPr>
          <w:rtl/>
        </w:rPr>
        <w:t xml:space="preserve"> </w:t>
      </w:r>
      <w:r>
        <w:t xml:space="preserve">ist die Folgerung: </w:t>
      </w:r>
      <w:r>
        <w:rPr>
          <w:rStyle w:val="Fett"/>
          <w:rFonts w:eastAsiaTheme="majorEastAsia"/>
          <w:rtl/>
        </w:rPr>
        <w:t>עַל־כֵּן</w:t>
      </w:r>
      <w:r>
        <w:rPr>
          <w:rtl/>
        </w:rPr>
        <w:t xml:space="preserve"> </w:t>
      </w:r>
      <w:r>
        <w:t xml:space="preserve">(„darum, deshalb") als konsekutive Konjunktion, </w:t>
      </w:r>
      <w:r>
        <w:rPr>
          <w:rStyle w:val="Fett"/>
          <w:rFonts w:eastAsiaTheme="majorEastAsia"/>
          <w:rtl/>
        </w:rPr>
        <w:t>אָנֹכִי</w:t>
      </w:r>
      <w:r>
        <w:rPr>
          <w:rtl/>
        </w:rPr>
        <w:t xml:space="preserve"> </w:t>
      </w:r>
      <w:r>
        <w:t xml:space="preserve">(Personalpronomen 1. Person Singular, „ich") als Subjekt, </w:t>
      </w:r>
      <w:r>
        <w:rPr>
          <w:rStyle w:val="Fett"/>
          <w:rFonts w:eastAsiaTheme="majorEastAsia"/>
          <w:rtl/>
        </w:rPr>
        <w:t>מְצַוְּךָ</w:t>
      </w:r>
      <w:r>
        <w:rPr>
          <w:rtl/>
        </w:rPr>
        <w:t xml:space="preserve"> </w:t>
      </w:r>
      <w:r>
        <w:t xml:space="preserve">(Piel Partizip Maskulinum Singular von </w:t>
      </w:r>
      <w:r>
        <w:rPr>
          <w:rStyle w:val="Fett"/>
          <w:rFonts w:eastAsiaTheme="majorEastAsia"/>
          <w:rtl/>
        </w:rPr>
        <w:t>צוה</w:t>
      </w:r>
      <w:r>
        <w:t xml:space="preserve">, „befehlen, gebieten", mit Suffix 2. Person Maskulinum Singular als direktes Objekt, „ich gebiete dir") und </w:t>
      </w:r>
      <w:r>
        <w:rPr>
          <w:rStyle w:val="Fett"/>
          <w:rFonts w:eastAsiaTheme="majorEastAsia"/>
          <w:rtl/>
        </w:rPr>
        <w:t>לֵאמֹר</w:t>
      </w:r>
      <w:r>
        <w:rPr>
          <w:rtl/>
        </w:rPr>
        <w:t xml:space="preserve"> </w:t>
      </w:r>
      <w:r>
        <w:t xml:space="preserve">(Qal Infinitiv Construct von </w:t>
      </w:r>
      <w:r>
        <w:rPr>
          <w:rStyle w:val="Fett"/>
          <w:rFonts w:eastAsiaTheme="majorEastAsia"/>
          <w:rtl/>
        </w:rPr>
        <w:t>אמר</w:t>
      </w:r>
      <w:r>
        <w:t>, „sagen", „sagend").</w:t>
      </w:r>
    </w:p>
    <w:p w14:paraId="003B25DD" w14:textId="77777777" w:rsidR="00684135" w:rsidRDefault="00684135" w:rsidP="00684135">
      <w:pPr>
        <w:pStyle w:val="whitespace-normal"/>
      </w:pPr>
      <w:r>
        <w:rPr>
          <w:rStyle w:val="Fett"/>
          <w:rFonts w:eastAsiaTheme="majorEastAsia"/>
          <w:rtl/>
        </w:rPr>
        <w:t>פָּתֹחַ תִּפְתַּח אֶת־יָדְךָ לְאָחִיךָ לַעֲנִיֶּךָ וּלְאֶבְיֹנְךָ בְּאַרְצֶךָ</w:t>
      </w:r>
      <w:r>
        <w:rPr>
          <w:rtl/>
        </w:rPr>
        <w:t xml:space="preserve"> </w:t>
      </w:r>
      <w:r>
        <w:t xml:space="preserve">ist der Inhalt des Gebots: </w:t>
      </w:r>
      <w:r>
        <w:rPr>
          <w:rStyle w:val="Fett"/>
          <w:rFonts w:eastAsiaTheme="majorEastAsia"/>
          <w:rtl/>
        </w:rPr>
        <w:t>פָּתֹחַ תִּפְתַּח</w:t>
      </w:r>
      <w:r>
        <w:rPr>
          <w:rtl/>
        </w:rPr>
        <w:t xml:space="preserve"> </w:t>
      </w:r>
      <w:r>
        <w:t xml:space="preserve">(Qal Infinitiv Absolut mit Qal Imperfekt, 2. Person Maskulinum Singular von </w:t>
      </w:r>
      <w:r>
        <w:rPr>
          <w:rStyle w:val="Fett"/>
          <w:rFonts w:eastAsiaTheme="majorEastAsia"/>
          <w:rtl/>
        </w:rPr>
        <w:t>פתח</w:t>
      </w:r>
      <w:r>
        <w:t xml:space="preserve">, „öffnen", emphatisch „weit öffnen"), </w:t>
      </w:r>
      <w:r>
        <w:rPr>
          <w:rStyle w:val="Fett"/>
          <w:rFonts w:eastAsiaTheme="majorEastAsia"/>
          <w:rtl/>
        </w:rPr>
        <w:t>אֶת־יָדְךָ</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יָד</w:t>
      </w:r>
      <w:r>
        <w:rPr>
          <w:rtl/>
        </w:rPr>
        <w:t xml:space="preserve"> </w:t>
      </w:r>
      <w:r>
        <w:t xml:space="preserve">mit Suffix 2. Person Maskulinum Singular), </w:t>
      </w:r>
      <w:r>
        <w:rPr>
          <w:rStyle w:val="Fett"/>
          <w:rFonts w:eastAsiaTheme="majorEastAsia"/>
          <w:rtl/>
        </w:rPr>
        <w:t>לְאָחִיךָ</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אָח</w:t>
      </w:r>
      <w:r>
        <w:t xml:space="preserve">, „Bruder", mit Suffix 2. Person Maskulinum Singular), </w:t>
      </w:r>
      <w:r>
        <w:rPr>
          <w:rStyle w:val="Fett"/>
          <w:rFonts w:eastAsiaTheme="majorEastAsia"/>
          <w:rtl/>
        </w:rPr>
        <w:t>לַעֲנִיֶּךָ</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עָנִי</w:t>
      </w:r>
      <w:r>
        <w:t xml:space="preserve">, „Elender, Armer", mit Suffix 2. Person Maskulinum Singular, in Apposition), </w:t>
      </w:r>
      <w:r>
        <w:rPr>
          <w:rStyle w:val="Fett"/>
          <w:rFonts w:eastAsiaTheme="majorEastAsia"/>
          <w:rtl/>
        </w:rPr>
        <w:t>וּלְאֶבְיֹנְךָ</w:t>
      </w:r>
      <w:r>
        <w:rPr>
          <w:rtl/>
        </w:rPr>
        <w:t xml:space="preserve"> </w:t>
      </w:r>
      <w:r>
        <w:t xml:space="preserve">(koordiniert durch </w:t>
      </w:r>
      <w:r>
        <w:rPr>
          <w:rStyle w:val="Fett"/>
          <w:rFonts w:eastAsiaTheme="majorEastAsia"/>
          <w:rtl/>
        </w:rPr>
        <w:t>וּלְ</w:t>
      </w:r>
      <w:r>
        <w:rPr>
          <w:rtl/>
        </w:rPr>
        <w:t xml:space="preserve"> </w:t>
      </w:r>
      <w:r>
        <w:t xml:space="preserve">mit </w:t>
      </w:r>
      <w:r>
        <w:rPr>
          <w:rStyle w:val="Fett"/>
          <w:rFonts w:eastAsiaTheme="majorEastAsia"/>
          <w:rtl/>
        </w:rPr>
        <w:t>אֶבְיוֹן</w:t>
      </w:r>
      <w:r>
        <w:t xml:space="preserve">, „Armer", mit Suffix 2. Person Maskulinum Singular, weitere Apposition) und </w:t>
      </w:r>
      <w:r>
        <w:rPr>
          <w:rStyle w:val="Fett"/>
          <w:rFonts w:eastAsiaTheme="majorEastAsia"/>
          <w:rtl/>
        </w:rPr>
        <w:t>בְּאַרְצֶךָ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אֶרֶץ</w:t>
      </w:r>
      <w:r>
        <w:rPr>
          <w:rtl/>
        </w:rPr>
        <w:t xml:space="preserve"> </w:t>
      </w:r>
      <w:r>
        <w:t>mit Suffix 2. Person Maskulinum Singular, „in deinem Land").</w:t>
      </w:r>
    </w:p>
    <w:p w14:paraId="782844A2" w14:textId="506CBCBE" w:rsidR="00684135" w:rsidRDefault="00684135" w:rsidP="00684135">
      <w:pPr>
        <w:pStyle w:val="whitespace-normal"/>
      </w:pPr>
      <w:r>
        <w:t xml:space="preserve">Der Vers steht in Spannung zu V. 4: Während V. 4 sagt „es sollte kein Armer sein" (Ideal), sagt V. 11 realistisch „der Arme wird nicht aufhören" (Realität). Das Verb </w:t>
      </w:r>
      <w:r>
        <w:rPr>
          <w:rStyle w:val="Fett"/>
          <w:rFonts w:eastAsiaTheme="majorEastAsia"/>
          <w:rtl/>
        </w:rPr>
        <w:t>חדל</w:t>
      </w:r>
      <w:r>
        <w:rPr>
          <w:rtl/>
        </w:rPr>
        <w:t xml:space="preserve"> </w:t>
      </w:r>
      <w:r>
        <w:t xml:space="preserve">(„aufhören, nicht mehr </w:t>
      </w:r>
      <w:r w:rsidR="006D3FED">
        <w:t>da sein</w:t>
      </w:r>
      <w:r>
        <w:t>") mit Negation bedeutet: Armut wird eine bleibende Realität sein (vgl. Mt 26,11; Mk 14,7; Joh 12,8).</w:t>
      </w:r>
    </w:p>
    <w:p w14:paraId="3BDDE148" w14:textId="77777777" w:rsidR="00684135" w:rsidRDefault="00684135" w:rsidP="00684135">
      <w:pPr>
        <w:pStyle w:val="whitespace-normal"/>
      </w:pPr>
      <w:r>
        <w:t xml:space="preserve">Die konsekutive Folgerung </w:t>
      </w:r>
      <w:r>
        <w:rPr>
          <w:rStyle w:val="Fett"/>
          <w:rFonts w:eastAsiaTheme="majorEastAsia"/>
          <w:rtl/>
        </w:rPr>
        <w:t>עַל־כֵּן</w:t>
      </w:r>
      <w:r>
        <w:rPr>
          <w:rtl/>
        </w:rPr>
        <w:t xml:space="preserve"> </w:t>
      </w:r>
      <w:r>
        <w:t xml:space="preserve">(„darum") zieht die praktische Konsequenz: Weil es immer Arme geben wird, ist ständige Fürsorge nötig. Das betonte Pronomen </w:t>
      </w:r>
      <w:r>
        <w:rPr>
          <w:rStyle w:val="Fett"/>
          <w:rFonts w:eastAsiaTheme="majorEastAsia"/>
          <w:rtl/>
        </w:rPr>
        <w:t>אָנֹכִי</w:t>
      </w:r>
      <w:r>
        <w:rPr>
          <w:rtl/>
        </w:rPr>
        <w:t xml:space="preserve"> </w:t>
      </w:r>
      <w:r>
        <w:t>(„ich") unterstreicht Moses Autorität als Gesetzgeber.</w:t>
      </w:r>
    </w:p>
    <w:p w14:paraId="4A1854B5" w14:textId="0319EE52" w:rsidR="00684135" w:rsidRDefault="00684135" w:rsidP="00684135">
      <w:pPr>
        <w:pStyle w:val="whitespace-normal"/>
      </w:pPr>
      <w:r>
        <w:t>Die emphatische Wiederholung von V. 8 (</w:t>
      </w:r>
      <w:r>
        <w:rPr>
          <w:rStyle w:val="Fett"/>
          <w:rFonts w:eastAsiaTheme="majorEastAsia"/>
          <w:rtl/>
        </w:rPr>
        <w:t>פָּתֹחַ תִּפְתַּח אֶת־יָדְךָ</w:t>
      </w:r>
      <w:r>
        <w:t xml:space="preserve">) bildet einen Rahmen. Die dreifache Spezifikation </w:t>
      </w:r>
      <w:r>
        <w:rPr>
          <w:rStyle w:val="Fett"/>
          <w:rFonts w:eastAsiaTheme="majorEastAsia"/>
          <w:rtl/>
        </w:rPr>
        <w:t>לְאָחִיךָ לַעֲנִיֶּךָ וּלְאֶבְיֹנְךָ</w:t>
      </w:r>
      <w:r>
        <w:rPr>
          <w:rtl/>
        </w:rPr>
        <w:t xml:space="preserve"> </w:t>
      </w:r>
      <w:r>
        <w:t xml:space="preserve">(„deinem Bruder, deinem Elenden und deinem </w:t>
      </w:r>
      <w:r>
        <w:lastRenderedPageBreak/>
        <w:t xml:space="preserve">Armen") betont durch Synonyme die Dringlichkeit. Die Wendung </w:t>
      </w:r>
      <w:r>
        <w:rPr>
          <w:rStyle w:val="Fett"/>
          <w:rFonts w:eastAsiaTheme="majorEastAsia"/>
          <w:rtl/>
        </w:rPr>
        <w:t>בְּאַרְצֶךָ</w:t>
      </w:r>
      <w:r>
        <w:rPr>
          <w:rtl/>
        </w:rPr>
        <w:t xml:space="preserve"> </w:t>
      </w:r>
      <w:r>
        <w:t>(„in deinem Land") grenzt wieder ab: innerhalb Israels.</w:t>
      </w:r>
    </w:p>
    <w:p w14:paraId="14D870F2" w14:textId="0F617B6F" w:rsidR="00EC21B0" w:rsidRDefault="00EC21B0" w:rsidP="00684135">
      <w:pPr>
        <w:pStyle w:val="whitespace-normal"/>
      </w:pPr>
      <w:r>
        <w:rPr>
          <w:rStyle w:val="Fett"/>
        </w:rPr>
        <w:t>Die LXX</w:t>
      </w:r>
      <w:r>
        <w:t xml:space="preserve"> verwendet die doppelte Verneinung </w:t>
      </w:r>
      <w:proofErr w:type="spellStart"/>
      <w:r>
        <w:t>οὐ</w:t>
      </w:r>
      <w:proofErr w:type="spellEnd"/>
      <w:r>
        <w:t xml:space="preserve"> </w:t>
      </w:r>
      <w:proofErr w:type="spellStart"/>
      <w:r>
        <w:t>γὰρ</w:t>
      </w:r>
      <w:proofErr w:type="spellEnd"/>
      <w:r>
        <w:t xml:space="preserve"> </w:t>
      </w:r>
      <w:proofErr w:type="spellStart"/>
      <w:r>
        <w:t>μὴ</w:t>
      </w:r>
      <w:proofErr w:type="spellEnd"/>
      <w:r>
        <w:t xml:space="preserve"> </w:t>
      </w:r>
      <w:proofErr w:type="spellStart"/>
      <w:r>
        <w:t>ἐκλί</w:t>
      </w:r>
      <w:proofErr w:type="spellEnd"/>
      <w:r>
        <w:t xml:space="preserve">πῃ (denn es wird keinesfalls aufhören) für </w:t>
      </w:r>
      <w:r w:rsidRPr="00EC21B0">
        <w:rPr>
          <w:b/>
          <w:bCs/>
          <w:rtl/>
        </w:rPr>
        <w:t>כִּי לֹא־יֶחְדַּל</w:t>
      </w:r>
      <w:r>
        <w:t xml:space="preserve"> – eine Verstärkung der Aussage. Der Begriff ὁ π</w:t>
      </w:r>
      <w:proofErr w:type="spellStart"/>
      <w:r>
        <w:t>ένης</w:t>
      </w:r>
      <w:proofErr w:type="spellEnd"/>
      <w:r>
        <w:t xml:space="preserve"> (der Arme) wird neben </w:t>
      </w:r>
      <w:proofErr w:type="spellStart"/>
      <w:r>
        <w:t>τῷ</w:t>
      </w:r>
      <w:proofErr w:type="spellEnd"/>
      <w:r>
        <w:t xml:space="preserve"> ἐπ</w:t>
      </w:r>
      <w:proofErr w:type="spellStart"/>
      <w:r>
        <w:t>ιδεομένῳ</w:t>
      </w:r>
      <w:proofErr w:type="spellEnd"/>
      <w:r>
        <w:t xml:space="preserve"> (dem Bedürftigen) für </w:t>
      </w:r>
      <w:r>
        <w:rPr>
          <w:rStyle w:val="Fett"/>
        </w:rPr>
        <w:t>Die LXX</w:t>
      </w:r>
      <w:r>
        <w:t xml:space="preserve"> verwendet die doppelte Verneinung </w:t>
      </w:r>
      <w:proofErr w:type="spellStart"/>
      <w:r>
        <w:t>οὐ</w:t>
      </w:r>
      <w:proofErr w:type="spellEnd"/>
      <w:r>
        <w:t xml:space="preserve"> </w:t>
      </w:r>
      <w:proofErr w:type="spellStart"/>
      <w:r>
        <w:t>γὰρ</w:t>
      </w:r>
      <w:proofErr w:type="spellEnd"/>
      <w:r>
        <w:t xml:space="preserve"> </w:t>
      </w:r>
      <w:proofErr w:type="spellStart"/>
      <w:r>
        <w:t>μὴ</w:t>
      </w:r>
      <w:proofErr w:type="spellEnd"/>
      <w:r>
        <w:t xml:space="preserve"> </w:t>
      </w:r>
      <w:proofErr w:type="spellStart"/>
      <w:r>
        <w:t>ἐκλί</w:t>
      </w:r>
      <w:proofErr w:type="spellEnd"/>
      <w:r>
        <w:t xml:space="preserve">πῃ (denn es wird keinesfalls aufhören) für </w:t>
      </w:r>
      <w:r>
        <w:rPr>
          <w:rtl/>
        </w:rPr>
        <w:t>כִּי לֹא־יֶחְדַּל</w:t>
      </w:r>
      <w:r>
        <w:t xml:space="preserve"> – eine Verstärkung der Aussage. Der Begriff ὁ π</w:t>
      </w:r>
      <w:proofErr w:type="spellStart"/>
      <w:r>
        <w:t>ένης</w:t>
      </w:r>
      <w:proofErr w:type="spellEnd"/>
      <w:r>
        <w:t xml:space="preserve"> (der Arme) wird neben </w:t>
      </w:r>
      <w:proofErr w:type="spellStart"/>
      <w:r>
        <w:t>τῷ</w:t>
      </w:r>
      <w:proofErr w:type="spellEnd"/>
      <w:r>
        <w:t xml:space="preserve"> ἐπ</w:t>
      </w:r>
      <w:proofErr w:type="spellStart"/>
      <w:r>
        <w:t>ιδεομένῳ</w:t>
      </w:r>
      <w:proofErr w:type="spellEnd"/>
      <w:r>
        <w:t xml:space="preserve"> (dem Bedürftigen) für </w:t>
      </w:r>
      <w:r>
        <w:rPr>
          <w:rtl/>
        </w:rPr>
        <w:t>לַעֲנִיֶּךָ וּלְאֶבְיֹנְךָ</w:t>
      </w:r>
      <w:r>
        <w:t xml:space="preserve"> verwendet. verwendet.</w:t>
      </w:r>
    </w:p>
    <w:p w14:paraId="22767D85" w14:textId="77777777" w:rsidR="00684135" w:rsidRDefault="00684135" w:rsidP="00684135">
      <w:pPr>
        <w:pStyle w:val="whitespace-normal"/>
      </w:pPr>
      <w:r>
        <w:rPr>
          <w:rStyle w:val="Fett"/>
          <w:rFonts w:eastAsiaTheme="majorEastAsia"/>
        </w:rPr>
        <w:t>Die Satzstruktur:</w:t>
      </w:r>
      <w:r>
        <w:t xml:space="preserve"> Kausaler Satz (denn nicht wird aufhören der Arme aus der Mitte des Landes); konsekutive Folgerung mit Partizipialsatz (darum ich gebiete dir sagend); emphatischer Imperativ mit dreifachem Dativ (weit öffnen sollst du deine Hand deinem Bruder, deinem Elenden und deinem Armen in deinem Land).</w:t>
      </w:r>
    </w:p>
    <w:p w14:paraId="36BA2205" w14:textId="77777777" w:rsidR="00684135" w:rsidRDefault="00684135" w:rsidP="00684135">
      <w:pPr>
        <w:pStyle w:val="whitespace-normal"/>
      </w:pPr>
      <w:r>
        <w:t>Der Vers konstatiert realistisch: Armut wird nicht aufhören – darum befiehlt Mose, die Hand weit zu öffnen für jeden bedürftigen Bruder im Land.</w:t>
      </w:r>
    </w:p>
    <w:p w14:paraId="1DB7F754" w14:textId="77777777" w:rsidR="00684135" w:rsidRPr="00684135" w:rsidRDefault="00684135" w:rsidP="00684135">
      <w:pPr>
        <w:pStyle w:val="berschrift1"/>
        <w:rPr>
          <w:rFonts w:ascii="Times New Roman" w:hAnsi="Times New Roman"/>
          <w:color w:val="auto"/>
          <w:sz w:val="36"/>
          <w:szCs w:val="36"/>
        </w:rPr>
      </w:pPr>
      <w:r w:rsidRPr="00684135">
        <w:rPr>
          <w:rStyle w:val="Fett"/>
          <w:rFonts w:ascii="Times New Roman" w:hAnsi="Times New Roman"/>
          <w:color w:val="auto"/>
          <w:sz w:val="36"/>
          <w:szCs w:val="36"/>
        </w:rPr>
        <w:t>Deuteronomium 15,12</w:t>
      </w:r>
    </w:p>
    <w:p w14:paraId="35981F5E" w14:textId="77777777" w:rsidR="00684135" w:rsidRDefault="00684135" w:rsidP="00684135">
      <w:pPr>
        <w:pStyle w:val="whitespace-normal"/>
      </w:pPr>
      <w:r>
        <w:rPr>
          <w:rStyle w:val="Fett"/>
          <w:rFonts w:eastAsiaTheme="majorEastAsia"/>
        </w:rPr>
        <w:t>Hebräisch:</w:t>
      </w:r>
      <w:r>
        <w:t xml:space="preserve"> </w:t>
      </w:r>
      <w:r>
        <w:rPr>
          <w:rtl/>
        </w:rPr>
        <w:t>כִּֽי־יִמָּכֵ֨ר לְךָ֜ אָחִ֣יךָ הָֽעִבְרִ֗י א֚וֹ הָֽעִבְרִיָּ֔ה וַעֲבָֽדְךָ֖ שֵׁ֣שׁ שָׁנִ֑ים וּבַשָּׁנָה֙ הַשְּׁבִיעִ֔ת תְּשַׁלְּחֶ֥נּוּ חָפְשִׁ֖י מֵעִמָּֽךְ׃</w:t>
      </w:r>
    </w:p>
    <w:p w14:paraId="27F8286D" w14:textId="77777777" w:rsidR="00684135" w:rsidRDefault="00684135" w:rsidP="00684135">
      <w:pPr>
        <w:pStyle w:val="whitespace-normal"/>
      </w:pPr>
      <w:r>
        <w:rPr>
          <w:rStyle w:val="Fett"/>
          <w:rFonts w:eastAsiaTheme="majorEastAsia"/>
        </w:rPr>
        <w:t>Deutsch:</w:t>
      </w:r>
      <w:r>
        <w:t xml:space="preserve"> Wenn dein Bruder, ein Ivri, oder eine Ivrijah, sich dir verkauft, so soll er dir sechs Jahre dienen, und im siebten Jahr sollst du ihn frei von dir wegschicken.</w:t>
      </w:r>
    </w:p>
    <w:p w14:paraId="763397D0" w14:textId="77777777" w:rsidR="00684135" w:rsidRDefault="004F5CEB" w:rsidP="00684135">
      <w:r>
        <w:rPr>
          <w:noProof/>
        </w:rPr>
        <w:pict w14:anchorId="0DE1645C">
          <v:rect id="_x0000_i1456" style="width:0;height:1.5pt" o:hralign="center" o:hrstd="t" o:hr="t" fillcolor="#a0a0a0" stroked="f"/>
        </w:pict>
      </w:r>
    </w:p>
    <w:p w14:paraId="34540BF0" w14:textId="77777777" w:rsidR="00684135" w:rsidRDefault="00684135" w:rsidP="00684135">
      <w:pPr>
        <w:pStyle w:val="whitespace-normal"/>
      </w:pPr>
      <w:r>
        <w:rPr>
          <w:rStyle w:val="Fett"/>
          <w:rFonts w:eastAsiaTheme="majorEastAsia"/>
        </w:rPr>
        <w:t>Kommentar:</w:t>
      </w:r>
      <w:r>
        <w:t xml:space="preserve"> </w:t>
      </w:r>
      <w:r>
        <w:rPr>
          <w:rStyle w:val="Fett"/>
          <w:rFonts w:eastAsiaTheme="majorEastAsia"/>
          <w:rtl/>
        </w:rPr>
        <w:t>כִּי־יִמָּכֵר לְךָ אָחִיךָ הָעִבְרִי אוֹ הָעִבְרִיָּה</w:t>
      </w:r>
      <w:r>
        <w:rPr>
          <w:rtl/>
        </w:rPr>
        <w:t xml:space="preserve"> </w:t>
      </w:r>
      <w:r>
        <w:t xml:space="preserve">ist ein konditionaler Satz: </w:t>
      </w:r>
      <w:r>
        <w:rPr>
          <w:rStyle w:val="Fett"/>
          <w:rFonts w:eastAsiaTheme="majorEastAsia"/>
          <w:rtl/>
        </w:rPr>
        <w:t>כִּי</w:t>
      </w:r>
      <w:r>
        <w:rPr>
          <w:rtl/>
        </w:rPr>
        <w:t xml:space="preserve"> </w:t>
      </w:r>
      <w:r>
        <w:t xml:space="preserve">(„wenn, falls"), </w:t>
      </w:r>
      <w:r>
        <w:rPr>
          <w:rStyle w:val="Fett"/>
          <w:rFonts w:eastAsiaTheme="majorEastAsia"/>
          <w:rtl/>
        </w:rPr>
        <w:t>יִמָּכֵר</w:t>
      </w:r>
      <w:r>
        <w:rPr>
          <w:rtl/>
        </w:rPr>
        <w:t xml:space="preserve"> </w:t>
      </w:r>
      <w:r>
        <w:t xml:space="preserve">(Niphal Imperfekt, 3. Person Maskulinum Singular von </w:t>
      </w:r>
      <w:r>
        <w:rPr>
          <w:rStyle w:val="Fett"/>
          <w:rFonts w:eastAsiaTheme="majorEastAsia"/>
          <w:rtl/>
        </w:rPr>
        <w:t>מכר</w:t>
      </w:r>
      <w:r>
        <w:t xml:space="preserve">, „verkaufen", reflexiv „sich verkaufen"), </w:t>
      </w:r>
      <w:r>
        <w:rPr>
          <w:rStyle w:val="Fett"/>
          <w:rFonts w:eastAsiaTheme="majorEastAsia"/>
          <w:rtl/>
        </w:rPr>
        <w:t>לְךָ</w:t>
      </w:r>
      <w:r>
        <w:rPr>
          <w:rtl/>
        </w:rPr>
        <w:t xml:space="preserve"> </w:t>
      </w:r>
      <w:r>
        <w:t xml:space="preserve">(Präposition </w:t>
      </w:r>
      <w:r>
        <w:rPr>
          <w:rStyle w:val="Fett"/>
          <w:rFonts w:eastAsiaTheme="majorEastAsia"/>
          <w:rtl/>
        </w:rPr>
        <w:t>לְ</w:t>
      </w:r>
      <w:r>
        <w:rPr>
          <w:rtl/>
        </w:rPr>
        <w:t xml:space="preserve"> </w:t>
      </w:r>
      <w:r>
        <w:t xml:space="preserve">mit Suffix 2. Person Maskulinum Singular, „dir"), </w:t>
      </w:r>
      <w:r>
        <w:rPr>
          <w:rStyle w:val="Fett"/>
          <w:rFonts w:eastAsiaTheme="majorEastAsia"/>
          <w:rtl/>
        </w:rPr>
        <w:t>אָחִיךָ הָעִבְרִי</w:t>
      </w:r>
      <w:r>
        <w:rPr>
          <w:rtl/>
        </w:rPr>
        <w:t xml:space="preserve"> </w:t>
      </w:r>
      <w:r>
        <w:t>(</w:t>
      </w:r>
      <w:r>
        <w:rPr>
          <w:rStyle w:val="Fett"/>
          <w:rFonts w:eastAsiaTheme="majorEastAsia"/>
          <w:rtl/>
        </w:rPr>
        <w:t>אָח</w:t>
      </w:r>
      <w:r>
        <w:t xml:space="preserve">, „Bruder", mit Suffix 2. Person Maskulinum Singular, mit </w:t>
      </w:r>
      <w:r>
        <w:rPr>
          <w:rStyle w:val="Fett"/>
          <w:rFonts w:eastAsiaTheme="majorEastAsia"/>
          <w:rtl/>
        </w:rPr>
        <w:t>עִבְרִי</w:t>
      </w:r>
      <w:r>
        <w:t xml:space="preserve">, „Hebräer, Ivri", mit Artikel, in Apposition), </w:t>
      </w:r>
      <w:r>
        <w:rPr>
          <w:rStyle w:val="Fett"/>
          <w:rFonts w:eastAsiaTheme="majorEastAsia"/>
          <w:rtl/>
        </w:rPr>
        <w:t>אוֹ הָעִבְרִיָּה</w:t>
      </w:r>
      <w:r>
        <w:rPr>
          <w:rtl/>
        </w:rPr>
        <w:t xml:space="preserve"> </w:t>
      </w:r>
      <w:r>
        <w:t xml:space="preserve">(koordiniert durch </w:t>
      </w:r>
      <w:r>
        <w:rPr>
          <w:rStyle w:val="Fett"/>
          <w:rFonts w:eastAsiaTheme="majorEastAsia"/>
          <w:rtl/>
        </w:rPr>
        <w:t>אוֹ</w:t>
      </w:r>
      <w:r>
        <w:t xml:space="preserve">, „oder", mit </w:t>
      </w:r>
      <w:r>
        <w:rPr>
          <w:rStyle w:val="Fett"/>
          <w:rFonts w:eastAsiaTheme="majorEastAsia"/>
          <w:rtl/>
        </w:rPr>
        <w:t>עִבְרִיָּה</w:t>
      </w:r>
      <w:r>
        <w:t xml:space="preserve">, feminin von </w:t>
      </w:r>
      <w:r>
        <w:rPr>
          <w:rStyle w:val="Fett"/>
          <w:rFonts w:eastAsiaTheme="majorEastAsia"/>
          <w:rtl/>
        </w:rPr>
        <w:t>עִבְרִי</w:t>
      </w:r>
      <w:r>
        <w:t>, mit Artikel, „eine Hebräerin, Ivrijah").</w:t>
      </w:r>
    </w:p>
    <w:p w14:paraId="175AB5F4" w14:textId="77777777" w:rsidR="00684135" w:rsidRDefault="00684135" w:rsidP="00684135">
      <w:pPr>
        <w:pStyle w:val="whitespace-normal"/>
      </w:pPr>
      <w:r>
        <w:rPr>
          <w:rStyle w:val="Fett"/>
          <w:rFonts w:eastAsiaTheme="majorEastAsia"/>
          <w:rtl/>
        </w:rPr>
        <w:t>וַעֲבָדְךָ שֵׁשׁ שָׁנִים</w:t>
      </w:r>
      <w:r>
        <w:rPr>
          <w:rtl/>
        </w:rPr>
        <w:t xml:space="preserve"> </w:t>
      </w:r>
      <w:r>
        <w:t xml:space="preserve">ist der erste Folgesatz: </w:t>
      </w:r>
      <w:r>
        <w:rPr>
          <w:rStyle w:val="Fett"/>
          <w:rFonts w:eastAsiaTheme="majorEastAsia"/>
          <w:rtl/>
        </w:rPr>
        <w:t>וַעֲבָדְךָ</w:t>
      </w:r>
      <w:r>
        <w:rPr>
          <w:rtl/>
        </w:rPr>
        <w:t xml:space="preserve"> </w:t>
      </w:r>
      <w:r>
        <w:t xml:space="preserve">(Qal Perfekt, 3. Person Maskulinum Singular von </w:t>
      </w:r>
      <w:r>
        <w:rPr>
          <w:rStyle w:val="Fett"/>
          <w:rFonts w:eastAsiaTheme="majorEastAsia"/>
          <w:rtl/>
        </w:rPr>
        <w:t>עבד</w:t>
      </w:r>
      <w:r>
        <w:t xml:space="preserve">, „dienen, arbeiten", mit Suffix 2. Person Maskulinum Singular als direktes Objekt und </w:t>
      </w:r>
      <w:r>
        <w:rPr>
          <w:rStyle w:val="Fett"/>
          <w:rFonts w:eastAsiaTheme="majorEastAsia"/>
        </w:rPr>
        <w:t>Waw</w:t>
      </w:r>
      <w:r>
        <w:t xml:space="preserve"> consecutives Perfekt, „so soll er dir dienen") und </w:t>
      </w:r>
      <w:r>
        <w:rPr>
          <w:rStyle w:val="Fett"/>
          <w:rFonts w:eastAsiaTheme="majorEastAsia"/>
          <w:rtl/>
        </w:rPr>
        <w:t>שֵׁשׁ שָׁנִים</w:t>
      </w:r>
      <w:r>
        <w:rPr>
          <w:rtl/>
        </w:rPr>
        <w:t xml:space="preserve"> </w:t>
      </w:r>
      <w:r>
        <w:t>(</w:t>
      </w:r>
      <w:r>
        <w:rPr>
          <w:rStyle w:val="Fett"/>
          <w:rFonts w:eastAsiaTheme="majorEastAsia"/>
          <w:rtl/>
        </w:rPr>
        <w:t>שֵׁשׁ</w:t>
      </w:r>
      <w:r>
        <w:t xml:space="preserve">, „sechs", mit </w:t>
      </w:r>
      <w:r>
        <w:rPr>
          <w:rStyle w:val="Fett"/>
          <w:rFonts w:eastAsiaTheme="majorEastAsia"/>
          <w:rtl/>
        </w:rPr>
        <w:t>שָׁנָה</w:t>
      </w:r>
      <w:r>
        <w:t>, „Jahr", Plural, „sechs Jahre") als temporale Bestimmung.</w:t>
      </w:r>
    </w:p>
    <w:p w14:paraId="0E031B39" w14:textId="77777777" w:rsidR="00684135" w:rsidRDefault="00684135" w:rsidP="00684135">
      <w:pPr>
        <w:pStyle w:val="whitespace-normal"/>
      </w:pPr>
      <w:r>
        <w:rPr>
          <w:rStyle w:val="Fett"/>
          <w:rFonts w:eastAsiaTheme="majorEastAsia"/>
          <w:rtl/>
        </w:rPr>
        <w:t>וּבַשָּׁנָה הַשְּׁבִיעִת תְּשַׁלְּחֶנּוּ חָפְשִׁי מֵעִמָּךְ</w:t>
      </w:r>
      <w:r>
        <w:rPr>
          <w:rtl/>
        </w:rPr>
        <w:t xml:space="preserve"> </w:t>
      </w:r>
      <w:r>
        <w:t xml:space="preserve">ist der zweite Folgesatz: </w:t>
      </w:r>
      <w:r>
        <w:rPr>
          <w:rStyle w:val="Fett"/>
          <w:rFonts w:eastAsiaTheme="majorEastAsia"/>
          <w:rtl/>
        </w:rPr>
        <w:t>וּבַשָּׁנָה הַשְּׁבִיעִת</w:t>
      </w:r>
      <w:r>
        <w:rPr>
          <w:rtl/>
        </w:rPr>
        <w:t xml:space="preserve"> </w:t>
      </w:r>
      <w:r>
        <w:t xml:space="preserve">(koordiniert durch </w:t>
      </w:r>
      <w:r>
        <w:rPr>
          <w:rStyle w:val="Fett"/>
          <w:rFonts w:eastAsiaTheme="majorEastAsia"/>
          <w:rtl/>
        </w:rPr>
        <w:t>וּ</w:t>
      </w:r>
      <w:r>
        <w:rPr>
          <w:rtl/>
        </w:rPr>
        <w:t xml:space="preserve"> </w:t>
      </w:r>
      <w:r>
        <w:t xml:space="preserve">mit Präposition </w:t>
      </w:r>
      <w:r>
        <w:rPr>
          <w:rStyle w:val="Fett"/>
          <w:rFonts w:eastAsiaTheme="majorEastAsia"/>
          <w:rtl/>
        </w:rPr>
        <w:t>בְּ</w:t>
      </w:r>
      <w:r>
        <w:t xml:space="preserve">, </w:t>
      </w:r>
      <w:r>
        <w:rPr>
          <w:rStyle w:val="Fett"/>
          <w:rFonts w:eastAsiaTheme="majorEastAsia"/>
          <w:rtl/>
        </w:rPr>
        <w:t>שָׁנָה</w:t>
      </w:r>
      <w:r>
        <w:t xml:space="preserve">, „Jahr", mit Artikel und </w:t>
      </w:r>
      <w:r>
        <w:rPr>
          <w:rStyle w:val="Fett"/>
          <w:rFonts w:eastAsiaTheme="majorEastAsia"/>
          <w:rtl/>
        </w:rPr>
        <w:t>שְׁבִיעִי</w:t>
      </w:r>
      <w:r>
        <w:t xml:space="preserve">, „siebte", mit Artikel, „im siebten Jahr"), </w:t>
      </w:r>
      <w:r>
        <w:rPr>
          <w:rStyle w:val="Fett"/>
          <w:rFonts w:eastAsiaTheme="majorEastAsia"/>
          <w:rtl/>
        </w:rPr>
        <w:t>תְּשַׁלְּחֶנּוּ</w:t>
      </w:r>
      <w:r>
        <w:rPr>
          <w:rtl/>
        </w:rPr>
        <w:t xml:space="preserve"> </w:t>
      </w:r>
      <w:r>
        <w:t xml:space="preserve">(Piel Imperfekt, 2. Person Maskulinum Singular von </w:t>
      </w:r>
      <w:r>
        <w:rPr>
          <w:rStyle w:val="Fett"/>
          <w:rFonts w:eastAsiaTheme="majorEastAsia"/>
          <w:rtl/>
        </w:rPr>
        <w:t>שׁלח</w:t>
      </w:r>
      <w:r>
        <w:t xml:space="preserve">, „schicken, wegschicken", mit Suffix 3. Person Maskulinum Singular als direktes Objekt), </w:t>
      </w:r>
      <w:r>
        <w:rPr>
          <w:rStyle w:val="Fett"/>
          <w:rFonts w:eastAsiaTheme="majorEastAsia"/>
          <w:rtl/>
        </w:rPr>
        <w:t>חָפְשִׁי</w:t>
      </w:r>
      <w:r>
        <w:rPr>
          <w:rtl/>
        </w:rPr>
        <w:t xml:space="preserve"> </w:t>
      </w:r>
      <w:r>
        <w:t>(</w:t>
      </w:r>
      <w:r>
        <w:rPr>
          <w:rStyle w:val="Fett"/>
          <w:rFonts w:eastAsiaTheme="majorEastAsia"/>
          <w:rtl/>
        </w:rPr>
        <w:t>חָפְשִׁי</w:t>
      </w:r>
      <w:r>
        <w:t xml:space="preserve">, „frei", als Zustandsangabe) und </w:t>
      </w:r>
      <w:r>
        <w:rPr>
          <w:rStyle w:val="Fett"/>
          <w:rFonts w:eastAsiaTheme="majorEastAsia"/>
          <w:rtl/>
        </w:rPr>
        <w:t>מֵעִמָּךְ</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עִם</w:t>
      </w:r>
      <w:r>
        <w:rPr>
          <w:rtl/>
        </w:rPr>
        <w:t xml:space="preserve"> </w:t>
      </w:r>
      <w:r>
        <w:t>mit Suffix 2. Person Maskulinum Singular, „von dir").</w:t>
      </w:r>
    </w:p>
    <w:p w14:paraId="28381B6C" w14:textId="6933CC17" w:rsidR="00684135" w:rsidRDefault="00684135" w:rsidP="00684135">
      <w:pPr>
        <w:pStyle w:val="whitespace-normal"/>
      </w:pPr>
      <w:r>
        <w:lastRenderedPageBreak/>
        <w:t xml:space="preserve">Der Vers leitet zu einem neuen Thema über: Schuldsklaverei. Das Niphal von </w:t>
      </w:r>
      <w:r>
        <w:rPr>
          <w:rStyle w:val="Fett"/>
          <w:rFonts w:eastAsiaTheme="majorEastAsia"/>
          <w:rtl/>
        </w:rPr>
        <w:t>מכר</w:t>
      </w:r>
      <w:r>
        <w:rPr>
          <w:rtl/>
        </w:rPr>
        <w:t xml:space="preserve"> </w:t>
      </w:r>
      <w:r>
        <w:t xml:space="preserve">(„sich verkaufen") zeigt: freiwilliger Verkauf aus Not, nicht Zwangsverkauf (vgl. </w:t>
      </w:r>
      <w:r w:rsidR="00664EB6">
        <w:t>Lev</w:t>
      </w:r>
      <w:r>
        <w:t xml:space="preserve"> 25,39-43.47-55; Ex 21,2-6). Ein verarmter Israelit verkauft sich selbst als Sklave, um Schulden zu bezahlen oder zu überleben.</w:t>
      </w:r>
    </w:p>
    <w:p w14:paraId="0B80BD2D" w14:textId="77777777" w:rsidR="00684135" w:rsidRDefault="00684135" w:rsidP="00684135">
      <w:pPr>
        <w:pStyle w:val="whitespace-normal"/>
      </w:pPr>
      <w:r>
        <w:t xml:space="preserve">Die Bezeichnung </w:t>
      </w:r>
      <w:r>
        <w:rPr>
          <w:rStyle w:val="Fett"/>
          <w:rFonts w:eastAsiaTheme="majorEastAsia"/>
          <w:rtl/>
        </w:rPr>
        <w:t>עִבְרִי/עִבְרִיָּה</w:t>
      </w:r>
      <w:r>
        <w:rPr>
          <w:rtl/>
        </w:rPr>
        <w:t xml:space="preserve"> </w:t>
      </w:r>
      <w:r>
        <w:t xml:space="preserve">(„Hebräer/Hebräerin") statt </w:t>
      </w:r>
      <w:r>
        <w:rPr>
          <w:rStyle w:val="Fett"/>
          <w:rFonts w:eastAsiaTheme="majorEastAsia"/>
          <w:rtl/>
        </w:rPr>
        <w:t>אָח/אָחוֹת</w:t>
      </w:r>
      <w:r>
        <w:rPr>
          <w:rtl/>
        </w:rPr>
        <w:t xml:space="preserve"> </w:t>
      </w:r>
      <w:r>
        <w:t xml:space="preserve">(„Bruder/Schwester") ist bemerkenswert. </w:t>
      </w:r>
      <w:r>
        <w:rPr>
          <w:rStyle w:val="Fett"/>
          <w:rFonts w:eastAsiaTheme="majorEastAsia"/>
          <w:rtl/>
        </w:rPr>
        <w:t>עִבְרִי</w:t>
      </w:r>
      <w:r>
        <w:rPr>
          <w:rtl/>
        </w:rPr>
        <w:t xml:space="preserve"> </w:t>
      </w:r>
      <w:r>
        <w:t>kann ethnisch („Hebräer") oder sozial („Sklave") verstanden werden. Hier bezeichnet es wohl einen israelitischen Volksgenossen, der in Schuldsklaverei geraten ist.</w:t>
      </w:r>
    </w:p>
    <w:p w14:paraId="64E63100" w14:textId="66F3B34F" w:rsidR="00684135" w:rsidRDefault="00684135" w:rsidP="00684135">
      <w:pPr>
        <w:pStyle w:val="whitespace-normal"/>
      </w:pPr>
      <w:r>
        <w:t xml:space="preserve">Die Frist </w:t>
      </w:r>
      <w:r>
        <w:rPr>
          <w:rStyle w:val="Fett"/>
          <w:rFonts w:eastAsiaTheme="majorEastAsia"/>
          <w:rtl/>
        </w:rPr>
        <w:t>שֵׁשׁ שָׁנִים</w:t>
      </w:r>
      <w:r>
        <w:rPr>
          <w:rtl/>
        </w:rPr>
        <w:t xml:space="preserve"> </w:t>
      </w:r>
      <w:r>
        <w:t xml:space="preserve">(„sechs Jahre") entspricht Ex 21,2. Das siebte Jahr bringt Freilassung – eine Parallele zur </w:t>
      </w:r>
      <w:r>
        <w:rPr>
          <w:rStyle w:val="Fett"/>
          <w:rFonts w:eastAsiaTheme="majorEastAsia"/>
          <w:rtl/>
        </w:rPr>
        <w:t>שְׁמִטָּה</w:t>
      </w:r>
      <w:r>
        <w:rPr>
          <w:rtl/>
        </w:rPr>
        <w:t xml:space="preserve"> </w:t>
      </w:r>
      <w:r>
        <w:t xml:space="preserve">(Schuldenerlass) in V. 1-11. Das Verb </w:t>
      </w:r>
      <w:r>
        <w:rPr>
          <w:rStyle w:val="Fett"/>
          <w:rFonts w:eastAsiaTheme="majorEastAsia"/>
          <w:rtl/>
        </w:rPr>
        <w:t>שׁלח</w:t>
      </w:r>
      <w:r>
        <w:rPr>
          <w:rtl/>
        </w:rPr>
        <w:t xml:space="preserve"> </w:t>
      </w:r>
      <w:r>
        <w:t xml:space="preserve">im Piel („wegschicken, freilassen") ist terminus technicus für Freilassung. Das Adjektiv </w:t>
      </w:r>
      <w:r>
        <w:rPr>
          <w:rStyle w:val="Fett"/>
          <w:rFonts w:eastAsiaTheme="majorEastAsia"/>
          <w:rtl/>
        </w:rPr>
        <w:t>חָפְשִׁי</w:t>
      </w:r>
      <w:r>
        <w:rPr>
          <w:rtl/>
        </w:rPr>
        <w:t xml:space="preserve"> </w:t>
      </w:r>
      <w:r>
        <w:t xml:space="preserve">(„frei") betont den neuen Status (vgl. Ex 21,2.5.26.27; </w:t>
      </w:r>
      <w:r w:rsidR="00664EB6">
        <w:t>Lev</w:t>
      </w:r>
      <w:r>
        <w:t xml:space="preserve"> 19,20; Dtn 15,12.13.18; Hi 3,19; 39,5; Jer 34,9.10.11.14.16).</w:t>
      </w:r>
    </w:p>
    <w:p w14:paraId="6DF2BC0B" w14:textId="77777777" w:rsidR="00684135" w:rsidRDefault="00684135" w:rsidP="00684135">
      <w:pPr>
        <w:pStyle w:val="whitespace-normal"/>
      </w:pPr>
      <w:r>
        <w:rPr>
          <w:rStyle w:val="Fett"/>
          <w:rFonts w:eastAsiaTheme="majorEastAsia"/>
        </w:rPr>
        <w:t>Die Satzstruktur:</w:t>
      </w:r>
      <w:r>
        <w:t xml:space="preserve"> Konditionaler Satz (wenn sich verkauft dir dein Bruder, der Ivri, oder die Ivrijah); erster Folgesatz (so soll er dir dienen sechs Jahre); zweiter Folgesatz (und im siebten Jahr sollst du ihn wegschicken frei von dir).</w:t>
      </w:r>
    </w:p>
    <w:p w14:paraId="1424D32E" w14:textId="77777777" w:rsidR="00684135" w:rsidRDefault="00684135" w:rsidP="00684135">
      <w:pPr>
        <w:pStyle w:val="whitespace-normal"/>
      </w:pPr>
      <w:r>
        <w:t>Der Vers regelt: Wenn ein israelitischer Bruder oder eine Schwester sich aus Not in Schuldsklaverei verkauft, soll die Dienstzeit sechs Jahre dauern – im siebten Jahr muss Freilassung erfolgen.</w:t>
      </w:r>
    </w:p>
    <w:p w14:paraId="63C655D0" w14:textId="77777777" w:rsidR="00684135" w:rsidRPr="00684135" w:rsidRDefault="00684135" w:rsidP="00684135">
      <w:pPr>
        <w:pStyle w:val="berschrift1"/>
        <w:rPr>
          <w:rFonts w:ascii="Times New Roman" w:hAnsi="Times New Roman"/>
          <w:color w:val="auto"/>
          <w:sz w:val="36"/>
          <w:szCs w:val="36"/>
        </w:rPr>
      </w:pPr>
      <w:r w:rsidRPr="00684135">
        <w:rPr>
          <w:rStyle w:val="Fett"/>
          <w:rFonts w:ascii="Times New Roman" w:hAnsi="Times New Roman"/>
          <w:color w:val="auto"/>
          <w:sz w:val="36"/>
          <w:szCs w:val="36"/>
        </w:rPr>
        <w:t>Deuteronomium 15,13</w:t>
      </w:r>
    </w:p>
    <w:p w14:paraId="4AD6FF0D" w14:textId="77777777" w:rsidR="00684135" w:rsidRDefault="00684135" w:rsidP="00684135">
      <w:pPr>
        <w:pStyle w:val="whitespace-normal"/>
      </w:pPr>
      <w:r>
        <w:rPr>
          <w:rStyle w:val="Fett"/>
          <w:rFonts w:eastAsiaTheme="majorEastAsia"/>
        </w:rPr>
        <w:t>Hebräisch:</w:t>
      </w:r>
      <w:r>
        <w:t xml:space="preserve"> </w:t>
      </w:r>
      <w:r>
        <w:rPr>
          <w:rtl/>
        </w:rPr>
        <w:t>וְכִֽי־תְשַׁלְּחֶ֥נּוּ חָפְשִׁ֖י מֵֽעִמָּ֑ךְ לֹ֥א תְשַׁלְּחֶ֖נּוּ רֵיקָֽם׃</w:t>
      </w:r>
    </w:p>
    <w:p w14:paraId="3503848B" w14:textId="77777777" w:rsidR="00684135" w:rsidRDefault="00684135" w:rsidP="00684135">
      <w:pPr>
        <w:pStyle w:val="whitespace-normal"/>
      </w:pPr>
      <w:r>
        <w:rPr>
          <w:rStyle w:val="Fett"/>
          <w:rFonts w:eastAsiaTheme="majorEastAsia"/>
        </w:rPr>
        <w:t>Deutsch:</w:t>
      </w:r>
      <w:r>
        <w:t xml:space="preserve"> Und wenn du ihn frei von dir wegschickst, sollst du ihn nicht leer wegschicken.</w:t>
      </w:r>
    </w:p>
    <w:p w14:paraId="630094C5" w14:textId="77777777" w:rsidR="00684135" w:rsidRDefault="004F5CEB" w:rsidP="00684135">
      <w:r>
        <w:rPr>
          <w:noProof/>
        </w:rPr>
        <w:pict w14:anchorId="1AD3D22D">
          <v:rect id="_x0000_i1457" style="width:0;height:1.5pt" o:hralign="center" o:hrstd="t" o:hr="t" fillcolor="#a0a0a0" stroked="f"/>
        </w:pict>
      </w:r>
    </w:p>
    <w:p w14:paraId="28584653" w14:textId="77777777" w:rsidR="00684135" w:rsidRDefault="00684135" w:rsidP="00684135">
      <w:pPr>
        <w:pStyle w:val="whitespace-normal"/>
      </w:pPr>
      <w:r>
        <w:rPr>
          <w:rStyle w:val="Fett"/>
          <w:rFonts w:eastAsiaTheme="majorEastAsia"/>
        </w:rPr>
        <w:t>Kommentar:</w:t>
      </w:r>
      <w:r>
        <w:t xml:space="preserve"> </w:t>
      </w:r>
      <w:r>
        <w:rPr>
          <w:rStyle w:val="Fett"/>
          <w:rFonts w:eastAsiaTheme="majorEastAsia"/>
          <w:rtl/>
        </w:rPr>
        <w:t>וְכִי־תְשַׁלְּחֶנּוּ חָפְשִׁי מֵעִמָּךְ לֹא תְשַׁלְּחֶנּוּ רֵיקָם</w:t>
      </w:r>
      <w:r>
        <w:rPr>
          <w:rtl/>
        </w:rPr>
        <w:t xml:space="preserve"> </w:t>
      </w:r>
      <w:r>
        <w:t xml:space="preserve">ist ein konditionaler Satz mit negativem Imperativ: </w:t>
      </w:r>
      <w:r>
        <w:rPr>
          <w:rStyle w:val="Fett"/>
          <w:rFonts w:eastAsiaTheme="majorEastAsia"/>
          <w:rtl/>
        </w:rPr>
        <w:t>וְכִי</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כִּי</w:t>
      </w:r>
      <w:r>
        <w:t xml:space="preserve">, „wenn, wann"), </w:t>
      </w:r>
      <w:r>
        <w:rPr>
          <w:rStyle w:val="Fett"/>
          <w:rFonts w:eastAsiaTheme="majorEastAsia"/>
          <w:rtl/>
        </w:rPr>
        <w:t>תְשַׁלְּחֶנּוּ</w:t>
      </w:r>
      <w:r>
        <w:rPr>
          <w:rtl/>
        </w:rPr>
        <w:t xml:space="preserve"> </w:t>
      </w:r>
      <w:r>
        <w:t xml:space="preserve">(Piel Imperfekt, 2. Person Maskulinum Singular von </w:t>
      </w:r>
      <w:r>
        <w:rPr>
          <w:rStyle w:val="Fett"/>
          <w:rFonts w:eastAsiaTheme="majorEastAsia"/>
          <w:rtl/>
        </w:rPr>
        <w:t>שׁלח</w:t>
      </w:r>
      <w:r>
        <w:t xml:space="preserve">, „wegschicken", mit Suffix 3. Person Maskulinum Singular), </w:t>
      </w:r>
      <w:r>
        <w:rPr>
          <w:rStyle w:val="Fett"/>
          <w:rFonts w:eastAsiaTheme="majorEastAsia"/>
          <w:rtl/>
        </w:rPr>
        <w:t>חָפְשִׁי</w:t>
      </w:r>
      <w:r>
        <w:rPr>
          <w:rtl/>
        </w:rPr>
        <w:t xml:space="preserve"> </w:t>
      </w:r>
      <w:r>
        <w:t>(</w:t>
      </w:r>
      <w:r>
        <w:rPr>
          <w:rStyle w:val="Fett"/>
          <w:rFonts w:eastAsiaTheme="majorEastAsia"/>
          <w:rtl/>
        </w:rPr>
        <w:t>חָפְשִׁי</w:t>
      </w:r>
      <w:r>
        <w:t xml:space="preserve">, „frei"), </w:t>
      </w:r>
      <w:r>
        <w:rPr>
          <w:rStyle w:val="Fett"/>
          <w:rFonts w:eastAsiaTheme="majorEastAsia"/>
          <w:rtl/>
        </w:rPr>
        <w:t>מֵעִמָּךְ</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עִם</w:t>
      </w:r>
      <w:r>
        <w:rPr>
          <w:rtl/>
        </w:rPr>
        <w:t xml:space="preserve"> </w:t>
      </w:r>
      <w:r>
        <w:t xml:space="preserve">mit Suffix 2. Person Maskulinum Singular), </w:t>
      </w:r>
      <w:r>
        <w:rPr>
          <w:rStyle w:val="Fett"/>
          <w:rFonts w:eastAsiaTheme="majorEastAsia"/>
          <w:rtl/>
        </w:rPr>
        <w:t>לֹא תְשַׁלְּחֶנּוּ</w:t>
      </w:r>
      <w:r>
        <w:rPr>
          <w:rtl/>
        </w:rPr>
        <w:t xml:space="preserve"> </w:t>
      </w:r>
      <w:r>
        <w:t xml:space="preserve">(Negation </w:t>
      </w:r>
      <w:r>
        <w:rPr>
          <w:rStyle w:val="Fett"/>
          <w:rFonts w:eastAsiaTheme="majorEastAsia"/>
          <w:rtl/>
        </w:rPr>
        <w:t>לֹא</w:t>
      </w:r>
      <w:r>
        <w:rPr>
          <w:rtl/>
        </w:rPr>
        <w:t xml:space="preserve"> </w:t>
      </w:r>
      <w:r>
        <w:t xml:space="preserve">mit </w:t>
      </w:r>
      <w:r>
        <w:rPr>
          <w:rStyle w:val="Fett"/>
          <w:rFonts w:eastAsiaTheme="majorEastAsia"/>
          <w:rtl/>
        </w:rPr>
        <w:t>שׁלח</w:t>
      </w:r>
      <w:r>
        <w:t xml:space="preserve">, Piel Imperfekt, 2. Person Maskulinum Singular, mit Suffix 3. Person Maskulinum Singular) und </w:t>
      </w:r>
      <w:r>
        <w:rPr>
          <w:rStyle w:val="Fett"/>
          <w:rFonts w:eastAsiaTheme="majorEastAsia"/>
          <w:rtl/>
        </w:rPr>
        <w:t>רֵיקָם</w:t>
      </w:r>
      <w:r>
        <w:rPr>
          <w:rtl/>
        </w:rPr>
        <w:t xml:space="preserve"> </w:t>
      </w:r>
      <w:r>
        <w:t>(</w:t>
      </w:r>
      <w:r>
        <w:rPr>
          <w:rStyle w:val="Fett"/>
          <w:rFonts w:eastAsiaTheme="majorEastAsia"/>
          <w:rtl/>
        </w:rPr>
        <w:t>רֵיקָם</w:t>
      </w:r>
      <w:r>
        <w:t>, „leer, mit leeren Händen", adverbial).</w:t>
      </w:r>
    </w:p>
    <w:p w14:paraId="5D8EA230" w14:textId="09DD006B" w:rsidR="00684135" w:rsidRDefault="00684135" w:rsidP="00684135">
      <w:pPr>
        <w:pStyle w:val="whitespace-normal"/>
      </w:pPr>
      <w:r>
        <w:t xml:space="preserve">Der Vers fügt eine wichtige Qualifikation hinzu: Die Freilassung darf nicht </w:t>
      </w:r>
      <w:r>
        <w:rPr>
          <w:rStyle w:val="Fett"/>
          <w:rFonts w:eastAsiaTheme="majorEastAsia"/>
          <w:rtl/>
        </w:rPr>
        <w:t>רֵיקָם</w:t>
      </w:r>
      <w:r>
        <w:rPr>
          <w:rtl/>
        </w:rPr>
        <w:t xml:space="preserve"> </w:t>
      </w:r>
      <w:r>
        <w:t xml:space="preserve">(„mit leeren Händen") erfolgen. Das Adverb </w:t>
      </w:r>
      <w:r>
        <w:rPr>
          <w:rStyle w:val="Fett"/>
          <w:rFonts w:eastAsiaTheme="majorEastAsia"/>
          <w:rtl/>
        </w:rPr>
        <w:t>רֵיקָם</w:t>
      </w:r>
      <w:r>
        <w:rPr>
          <w:rtl/>
        </w:rPr>
        <w:t xml:space="preserve"> </w:t>
      </w:r>
      <w:r>
        <w:t xml:space="preserve">bedeutet „leer, ohne etwas, mit leeren Händen" (vgl. Gen 31,42; Ex 3,21; 23,15; 34,20; Dtn 16,16; </w:t>
      </w:r>
      <w:r w:rsidR="00664EB6">
        <w:t>1Sam</w:t>
      </w:r>
      <w:r>
        <w:t xml:space="preserve"> 6,3; </w:t>
      </w:r>
      <w:r w:rsidR="00664EB6">
        <w:t>2Sam</w:t>
      </w:r>
      <w:r>
        <w:t xml:space="preserve"> 1,22; Rut 1,21; 3,17; Jer 14,3; 50,9).</w:t>
      </w:r>
    </w:p>
    <w:p w14:paraId="43F0E294" w14:textId="77777777" w:rsidR="00684135" w:rsidRDefault="00684135" w:rsidP="00684135">
      <w:pPr>
        <w:pStyle w:val="whitespace-normal"/>
      </w:pPr>
      <w:r>
        <w:t xml:space="preserve">Die Wiederholung </w:t>
      </w:r>
      <w:r>
        <w:rPr>
          <w:rStyle w:val="Fett"/>
          <w:rFonts w:eastAsiaTheme="majorEastAsia"/>
          <w:rtl/>
        </w:rPr>
        <w:t>תְשַׁלְּחֶנּוּ... לֹא תְשַׁלְּחֶנּוּ</w:t>
      </w:r>
      <w:r>
        <w:rPr>
          <w:rtl/>
        </w:rPr>
        <w:t xml:space="preserve"> </w:t>
      </w:r>
      <w:r>
        <w:t xml:space="preserve">(„du schickst ihn weg... du sollst ihn nicht wegschicken") ist rhetorisch stark. Das Verbot zeigt: Der freigelassene Sklave soll nicht ohne </w:t>
      </w:r>
      <w:r>
        <w:lastRenderedPageBreak/>
        <w:t>Existenzgrundlage in die Freiheit entlassen werden – eine bemerkenswerte soziale Fürsorge, die über die bloße Freilassung hinausgeht.</w:t>
      </w:r>
    </w:p>
    <w:p w14:paraId="0B312B20" w14:textId="77777777" w:rsidR="00684135" w:rsidRDefault="00684135" w:rsidP="00684135">
      <w:pPr>
        <w:pStyle w:val="whitespace-normal"/>
      </w:pPr>
      <w:r>
        <w:rPr>
          <w:rStyle w:val="Fett"/>
          <w:rFonts w:eastAsiaTheme="majorEastAsia"/>
        </w:rPr>
        <w:t>Die Satzstruktur:</w:t>
      </w:r>
      <w:r>
        <w:t xml:space="preserve"> Konditionaler Satz mit negativem Imperativ (und wenn du ihn wegschickst frei von dir, nicht sollst du ihn wegschicken leer).</w:t>
      </w:r>
    </w:p>
    <w:p w14:paraId="7850188E" w14:textId="77777777" w:rsidR="00684135" w:rsidRDefault="00684135" w:rsidP="00684135">
      <w:pPr>
        <w:pStyle w:val="whitespace-normal"/>
      </w:pPr>
      <w:r>
        <w:t>Der Vers verbietet, den freigelassenen Sklaven mit leeren Händen wegzuschicken – die Freilassung soll mit materieller Ausstattung verbunden sein.</w:t>
      </w:r>
    </w:p>
    <w:p w14:paraId="33CAE6B0" w14:textId="77777777" w:rsidR="00684135" w:rsidRPr="00684135" w:rsidRDefault="00684135" w:rsidP="00684135">
      <w:pPr>
        <w:pStyle w:val="berschrift1"/>
        <w:rPr>
          <w:rFonts w:ascii="Times New Roman" w:hAnsi="Times New Roman"/>
          <w:color w:val="auto"/>
          <w:sz w:val="36"/>
          <w:szCs w:val="36"/>
        </w:rPr>
      </w:pPr>
      <w:r w:rsidRPr="00684135">
        <w:rPr>
          <w:rStyle w:val="Fett"/>
          <w:rFonts w:ascii="Times New Roman" w:hAnsi="Times New Roman"/>
          <w:color w:val="auto"/>
          <w:sz w:val="36"/>
          <w:szCs w:val="36"/>
        </w:rPr>
        <w:t>Deuteronomium 15,14</w:t>
      </w:r>
    </w:p>
    <w:p w14:paraId="0A00C562" w14:textId="77777777" w:rsidR="00684135" w:rsidRDefault="00684135" w:rsidP="00684135">
      <w:pPr>
        <w:pStyle w:val="whitespace-normal"/>
      </w:pPr>
      <w:r>
        <w:rPr>
          <w:rStyle w:val="Fett"/>
          <w:rFonts w:eastAsiaTheme="majorEastAsia"/>
        </w:rPr>
        <w:t>Hebräisch:</w:t>
      </w:r>
      <w:r>
        <w:t xml:space="preserve"> </w:t>
      </w:r>
      <w:r>
        <w:rPr>
          <w:rtl/>
        </w:rPr>
        <w:t>הַעֲנֵ֤יק תַּעֲנִיק֙ לוֹ֔ מִצֹּ֣אנְךָ֔ וּמִֽגָּרְנְךָ֖ וּמִיִּקְבֶ֑ךָ אֲשֶׁ֧ר בֵּרַכְךָ֛ יְהוָ֥ה אֱלֹהֶ֖יךָ תִּתֶּן־לוֹֽ׃</w:t>
      </w:r>
    </w:p>
    <w:p w14:paraId="5AA0F31A" w14:textId="77777777" w:rsidR="00684135" w:rsidRDefault="00684135" w:rsidP="00684135">
      <w:pPr>
        <w:pStyle w:val="whitespace-normal"/>
      </w:pPr>
      <w:r>
        <w:rPr>
          <w:rStyle w:val="Fett"/>
          <w:rFonts w:eastAsiaTheme="majorEastAsia"/>
        </w:rPr>
        <w:t>Deutsch:</w:t>
      </w:r>
      <w:r>
        <w:t xml:space="preserve"> Du sollst ihm gewiss mitgeben von deinem Kleinvieh und von deiner Tenne und von deiner Kelter; womit der Ewige, dein Gott, dich gesegnet hat, sollst du ihm geben.</w:t>
      </w:r>
    </w:p>
    <w:p w14:paraId="6B9B169E" w14:textId="77777777" w:rsidR="00684135" w:rsidRDefault="004F5CEB" w:rsidP="00684135">
      <w:r>
        <w:rPr>
          <w:noProof/>
        </w:rPr>
        <w:pict w14:anchorId="4B32B707">
          <v:rect id="_x0000_i1458" style="width:0;height:1.5pt" o:hralign="center" o:hrstd="t" o:hr="t" fillcolor="#a0a0a0" stroked="f"/>
        </w:pict>
      </w:r>
    </w:p>
    <w:p w14:paraId="37BF9400" w14:textId="77777777" w:rsidR="00684135" w:rsidRDefault="00684135" w:rsidP="00684135">
      <w:pPr>
        <w:pStyle w:val="whitespace-normal"/>
      </w:pPr>
      <w:r>
        <w:rPr>
          <w:rStyle w:val="Fett"/>
          <w:rFonts w:eastAsiaTheme="majorEastAsia"/>
        </w:rPr>
        <w:t>Kommentar:</w:t>
      </w:r>
      <w:r>
        <w:t xml:space="preserve"> </w:t>
      </w:r>
      <w:r>
        <w:rPr>
          <w:rStyle w:val="Fett"/>
          <w:rFonts w:eastAsiaTheme="majorEastAsia"/>
          <w:rtl/>
        </w:rPr>
        <w:t>הַעֲנֵיק תַּעֲנִיק לוֹ מִצֹּאנְךָ וּמִגָּרְנְךָ וּמִיִּקְבֶךָ</w:t>
      </w:r>
      <w:r>
        <w:rPr>
          <w:rtl/>
        </w:rPr>
        <w:t xml:space="preserve"> </w:t>
      </w:r>
      <w:r>
        <w:t xml:space="preserve">ist ein emphatischer Imperativsatz: </w:t>
      </w:r>
      <w:r>
        <w:rPr>
          <w:rStyle w:val="Fett"/>
          <w:rFonts w:eastAsiaTheme="majorEastAsia"/>
          <w:rtl/>
        </w:rPr>
        <w:t>הַעֲנֵיק תַּעֲנִיק</w:t>
      </w:r>
      <w:r>
        <w:rPr>
          <w:rtl/>
        </w:rPr>
        <w:t xml:space="preserve"> </w:t>
      </w:r>
      <w:r>
        <w:t xml:space="preserve">(Hiphil Infinitiv Absolut mit Hiphil Imperfekt, 2. Person Maskulinum Singular von </w:t>
      </w:r>
      <w:r>
        <w:rPr>
          <w:rStyle w:val="Fett"/>
          <w:rFonts w:eastAsiaTheme="majorEastAsia"/>
          <w:rtl/>
        </w:rPr>
        <w:t>ענק</w:t>
      </w:r>
      <w:r>
        <w:t xml:space="preserve">, „schmücken, ausstatten, beschenken", emphatisch „gewiss mitgeben, reichlich ausstatten"), </w:t>
      </w:r>
      <w:r>
        <w:rPr>
          <w:rStyle w:val="Fett"/>
          <w:rFonts w:eastAsiaTheme="majorEastAsia"/>
          <w:rtl/>
        </w:rPr>
        <w:t>לוֹ</w:t>
      </w:r>
      <w:r>
        <w:rPr>
          <w:rtl/>
        </w:rPr>
        <w:t xml:space="preserve"> </w:t>
      </w:r>
      <w:r>
        <w:t xml:space="preserve">(Präposition </w:t>
      </w:r>
      <w:r>
        <w:rPr>
          <w:rStyle w:val="Fett"/>
          <w:rFonts w:eastAsiaTheme="majorEastAsia"/>
          <w:rtl/>
        </w:rPr>
        <w:t>לְ</w:t>
      </w:r>
      <w:r>
        <w:rPr>
          <w:rtl/>
        </w:rPr>
        <w:t xml:space="preserve"> </w:t>
      </w:r>
      <w:r>
        <w:t xml:space="preserve">mit Suffix 3. Person Maskulinum Singular), </w:t>
      </w:r>
      <w:r>
        <w:rPr>
          <w:rStyle w:val="Fett"/>
          <w:rFonts w:eastAsiaTheme="majorEastAsia"/>
          <w:rtl/>
        </w:rPr>
        <w:t>מִצֹּאנְךָ</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צֹאן</w:t>
      </w:r>
      <w:r>
        <w:t xml:space="preserve">, „Kleinvieh", mit Suffix 2. Person Maskulinum Singular, „von deinem Kleinvieh"), </w:t>
      </w:r>
      <w:r>
        <w:rPr>
          <w:rStyle w:val="Fett"/>
          <w:rFonts w:eastAsiaTheme="majorEastAsia"/>
          <w:rtl/>
        </w:rPr>
        <w:t>וּמִגָּרְנְךָ</w:t>
      </w:r>
      <w:r>
        <w:rPr>
          <w:rtl/>
        </w:rPr>
        <w:t xml:space="preserve"> </w:t>
      </w:r>
      <w:r>
        <w:t xml:space="preserve">(koordiniert durch </w:t>
      </w:r>
      <w:r>
        <w:rPr>
          <w:rStyle w:val="Fett"/>
          <w:rFonts w:eastAsiaTheme="majorEastAsia"/>
          <w:rtl/>
        </w:rPr>
        <w:t>וּמִן</w:t>
      </w:r>
      <w:r>
        <w:rPr>
          <w:rtl/>
        </w:rPr>
        <w:t xml:space="preserve"> </w:t>
      </w:r>
      <w:r>
        <w:t xml:space="preserve">mit </w:t>
      </w:r>
      <w:r>
        <w:rPr>
          <w:rStyle w:val="Fett"/>
          <w:rFonts w:eastAsiaTheme="majorEastAsia"/>
          <w:rtl/>
        </w:rPr>
        <w:t>גֹּרֶן</w:t>
      </w:r>
      <w:r>
        <w:t xml:space="preserve">, „Tenne, Dreschplatz", mit Suffix 2. Person Maskulinum Singular) und </w:t>
      </w:r>
      <w:r>
        <w:rPr>
          <w:rStyle w:val="Fett"/>
          <w:rFonts w:eastAsiaTheme="majorEastAsia"/>
          <w:rtl/>
        </w:rPr>
        <w:t>וּמִיִּקְבֶךָ</w:t>
      </w:r>
      <w:r>
        <w:rPr>
          <w:rtl/>
        </w:rPr>
        <w:t xml:space="preserve"> </w:t>
      </w:r>
      <w:r>
        <w:t xml:space="preserve">(koordiniert durch </w:t>
      </w:r>
      <w:r>
        <w:rPr>
          <w:rStyle w:val="Fett"/>
          <w:rFonts w:eastAsiaTheme="majorEastAsia"/>
          <w:rtl/>
        </w:rPr>
        <w:t>וּמִן</w:t>
      </w:r>
      <w:r>
        <w:rPr>
          <w:rtl/>
        </w:rPr>
        <w:t xml:space="preserve"> </w:t>
      </w:r>
      <w:r>
        <w:t xml:space="preserve">mit </w:t>
      </w:r>
      <w:r>
        <w:rPr>
          <w:rStyle w:val="Fett"/>
          <w:rFonts w:eastAsiaTheme="majorEastAsia"/>
          <w:rtl/>
        </w:rPr>
        <w:t>יֶקֶב</w:t>
      </w:r>
      <w:r>
        <w:t>, „Kelter, Weinpresse", mit Suffix 2. Person Maskulinum Singular).</w:t>
      </w:r>
    </w:p>
    <w:p w14:paraId="4B9D8D5B" w14:textId="77777777" w:rsidR="00684135" w:rsidRDefault="00684135" w:rsidP="00684135">
      <w:pPr>
        <w:pStyle w:val="whitespace-normal"/>
      </w:pPr>
      <w:r>
        <w:rPr>
          <w:rStyle w:val="Fett"/>
          <w:rFonts w:eastAsiaTheme="majorEastAsia"/>
          <w:rtl/>
        </w:rPr>
        <w:t>אֲשֶׁר בֵּרַכְךָ יְהוָה אֱלֹהֶיךָ תִּתֶּן־לוֹ</w:t>
      </w:r>
      <w:r>
        <w:rPr>
          <w:rtl/>
        </w:rPr>
        <w:t xml:space="preserve"> </w:t>
      </w:r>
      <w:r>
        <w:t xml:space="preserve">ist ein Relativsatz mit Imperativ: </w:t>
      </w:r>
      <w:r>
        <w:rPr>
          <w:rStyle w:val="Fett"/>
          <w:rFonts w:eastAsiaTheme="majorEastAsia"/>
          <w:rtl/>
        </w:rPr>
        <w:t>אֲשֶׁר בֵּרַכְךָ יְהוָה אֱלֹהֶיךָ</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בֵּרַכְךָ</w:t>
      </w:r>
      <w:r>
        <w:t xml:space="preserve">, Piel Perfekt, 3. Person Maskulinum Singular von </w:t>
      </w:r>
      <w:r>
        <w:rPr>
          <w:rStyle w:val="Fett"/>
          <w:rFonts w:eastAsiaTheme="majorEastAsia"/>
          <w:rtl/>
        </w:rPr>
        <w:t>ברך</w:t>
      </w:r>
      <w:r>
        <w:t xml:space="preserve">, „segnen", mit Suffix 2. Person Maskulinum Singular, </w:t>
      </w:r>
      <w:r>
        <w:rPr>
          <w:rStyle w:val="Fett"/>
          <w:rFonts w:eastAsiaTheme="majorEastAsia"/>
          <w:rtl/>
        </w:rPr>
        <w:t>יְהוָה אֱלֹהֶיךָ</w:t>
      </w:r>
      <w:r>
        <w:rPr>
          <w:rtl/>
        </w:rPr>
        <w:t xml:space="preserve"> </w:t>
      </w:r>
      <w:r>
        <w:t xml:space="preserve">als Subjekt, „womit JHWH, dein Gott, dich gesegnet hat") und </w:t>
      </w:r>
      <w:r>
        <w:rPr>
          <w:rStyle w:val="Fett"/>
          <w:rFonts w:eastAsiaTheme="majorEastAsia"/>
          <w:rtl/>
        </w:rPr>
        <w:t>תִּתֶּן־לוֹ</w:t>
      </w:r>
      <w:r>
        <w:rPr>
          <w:rtl/>
        </w:rPr>
        <w:t xml:space="preserve"> </w:t>
      </w:r>
      <w:r>
        <w:t xml:space="preserve">(Qal Imperfekt, 2. Person Maskulinum Singular von </w:t>
      </w:r>
      <w:r>
        <w:rPr>
          <w:rStyle w:val="Fett"/>
          <w:rFonts w:eastAsiaTheme="majorEastAsia"/>
          <w:rtl/>
        </w:rPr>
        <w:t>נתן</w:t>
      </w:r>
      <w:r>
        <w:t xml:space="preserve">, „geben", mit </w:t>
      </w:r>
      <w:r>
        <w:rPr>
          <w:rStyle w:val="Fett"/>
          <w:rFonts w:eastAsiaTheme="majorEastAsia"/>
          <w:rtl/>
        </w:rPr>
        <w:t>לוֹ</w:t>
      </w:r>
      <w:r>
        <w:t>, „sollst du ihm geben").</w:t>
      </w:r>
    </w:p>
    <w:p w14:paraId="7644AF3A" w14:textId="099BB542" w:rsidR="00684135" w:rsidRDefault="00684135" w:rsidP="00684135">
      <w:pPr>
        <w:pStyle w:val="whitespace-normal"/>
      </w:pPr>
      <w:r>
        <w:t xml:space="preserve">Der Vers spezifiziert die Ausstattung: aus drei Bereichen – (1) </w:t>
      </w:r>
      <w:r>
        <w:rPr>
          <w:rStyle w:val="Fett"/>
          <w:rFonts w:eastAsiaTheme="majorEastAsia"/>
          <w:rtl/>
        </w:rPr>
        <w:t>צֹאן</w:t>
      </w:r>
      <w:r>
        <w:rPr>
          <w:rtl/>
        </w:rPr>
        <w:t xml:space="preserve"> </w:t>
      </w:r>
      <w:r>
        <w:t xml:space="preserve">(Kleinvieh: Schafe und Ziegen), (2) </w:t>
      </w:r>
      <w:r>
        <w:rPr>
          <w:rStyle w:val="Fett"/>
          <w:rFonts w:eastAsiaTheme="majorEastAsia"/>
          <w:rtl/>
        </w:rPr>
        <w:t>גֹּרֶן</w:t>
      </w:r>
      <w:r>
        <w:rPr>
          <w:rtl/>
        </w:rPr>
        <w:t xml:space="preserve"> </w:t>
      </w:r>
      <w:r>
        <w:t xml:space="preserve">(Tenne: Getreide), (3) </w:t>
      </w:r>
      <w:r>
        <w:rPr>
          <w:rStyle w:val="Fett"/>
          <w:rFonts w:eastAsiaTheme="majorEastAsia"/>
          <w:rtl/>
        </w:rPr>
        <w:t>יֶקֶב</w:t>
      </w:r>
      <w:r>
        <w:rPr>
          <w:rtl/>
        </w:rPr>
        <w:t xml:space="preserve"> </w:t>
      </w:r>
      <w:r>
        <w:t xml:space="preserve">(Kelter: Wein/Öl). Diese Trias repräsentiert die Haupterzeugnisse der Landwirtschaft (vgl. Num 18,27.30; </w:t>
      </w:r>
      <w:r w:rsidR="00664EB6">
        <w:t>2Kön</w:t>
      </w:r>
      <w:r>
        <w:t xml:space="preserve"> 6,27; Hos 9,2; Joel 2,24).</w:t>
      </w:r>
    </w:p>
    <w:p w14:paraId="440335BD" w14:textId="77777777" w:rsidR="00684135" w:rsidRDefault="00684135" w:rsidP="00684135">
      <w:pPr>
        <w:pStyle w:val="whitespace-normal"/>
      </w:pPr>
      <w:r>
        <w:t xml:space="preserve">Das Verb </w:t>
      </w:r>
      <w:r>
        <w:rPr>
          <w:rStyle w:val="Fett"/>
          <w:rFonts w:eastAsiaTheme="majorEastAsia"/>
          <w:rtl/>
        </w:rPr>
        <w:t>ענק</w:t>
      </w:r>
      <w:r>
        <w:rPr>
          <w:rtl/>
        </w:rPr>
        <w:t xml:space="preserve"> </w:t>
      </w:r>
      <w:r>
        <w:t xml:space="preserve">im Hiphil ist selten und bedeutet „ausstatten, beschenken, reichlich mitgeben" (sonst nur hier und V. 14). Die emphatische Konstruktion </w:t>
      </w:r>
      <w:r>
        <w:rPr>
          <w:rStyle w:val="Fett"/>
          <w:rFonts w:eastAsiaTheme="majorEastAsia"/>
          <w:rtl/>
        </w:rPr>
        <w:t>הַעֲנֵיק תַּעֲנִיק</w:t>
      </w:r>
      <w:r>
        <w:rPr>
          <w:rtl/>
        </w:rPr>
        <w:t xml:space="preserve"> </w:t>
      </w:r>
      <w:r>
        <w:t>unterstreicht die Großzügigkeit.</w:t>
      </w:r>
    </w:p>
    <w:p w14:paraId="6F9E44F1" w14:textId="25C7B5F5" w:rsidR="00A93C3C" w:rsidRDefault="00684135" w:rsidP="00A93C3C">
      <w:pPr>
        <w:pStyle w:val="whitespace-normal"/>
      </w:pPr>
      <w:r>
        <w:t xml:space="preserve">Die Begründung </w:t>
      </w:r>
      <w:r>
        <w:rPr>
          <w:rStyle w:val="Fett"/>
          <w:rFonts w:eastAsiaTheme="majorEastAsia"/>
          <w:rtl/>
        </w:rPr>
        <w:t>אֲשֶׁר בֵּרַכְךָ יְהוָה אֱלֹהֶיךָ</w:t>
      </w:r>
      <w:r>
        <w:rPr>
          <w:rtl/>
        </w:rPr>
        <w:t xml:space="preserve"> </w:t>
      </w:r>
      <w:r>
        <w:t>(„womit JHWH dich gesegnet hat") zeigt: Der Herr soll von dem geben, was er selbst durch JHWHs Segen empfangen hat. Der Segen verpflichtet zum Teilen (vgl. V. 10).</w:t>
      </w:r>
    </w:p>
    <w:p w14:paraId="799C3AC3" w14:textId="3A22B0C6" w:rsidR="00A93C3C" w:rsidRDefault="00A93C3C" w:rsidP="00A93C3C">
      <w:pPr>
        <w:pStyle w:val="whitespace-normal"/>
      </w:pPr>
      <w:r>
        <w:rPr>
          <w:rStyle w:val="Fett"/>
        </w:rPr>
        <w:t>Die LXX</w:t>
      </w:r>
      <w:r>
        <w:t xml:space="preserve"> übersetzt </w:t>
      </w:r>
      <w:r>
        <w:rPr>
          <w:rtl/>
        </w:rPr>
        <w:t>הַעֲנֵיק תַּעֲנִיק</w:t>
      </w:r>
      <w:r>
        <w:t xml:space="preserve"> (großzügig sollst du geben) mit </w:t>
      </w:r>
      <w:proofErr w:type="spellStart"/>
      <w:r>
        <w:t>ἐφόδιον</w:t>
      </w:r>
      <w:proofErr w:type="spellEnd"/>
      <w:r>
        <w:t xml:space="preserve"> </w:t>
      </w:r>
      <w:proofErr w:type="spellStart"/>
      <w:r>
        <w:t>ἐφοδιάσεις</w:t>
      </w:r>
      <w:proofErr w:type="spellEnd"/>
      <w:r>
        <w:t xml:space="preserve"> (mit Reiseproviant wirst du ausstatten) – eine spezifischere Interpretation, die den konkreten </w:t>
      </w:r>
      <w:r>
        <w:lastRenderedPageBreak/>
        <w:t xml:space="preserve">Zweck der Ausstattung betont. Zudem übersetzt die LXX </w:t>
      </w:r>
      <w:r>
        <w:rPr>
          <w:rtl/>
        </w:rPr>
        <w:t>מִגָּרְנְךָ</w:t>
      </w:r>
      <w:r>
        <w:t xml:space="preserve"> (von deiner Tenne) mit ἀπὸ </w:t>
      </w:r>
      <w:proofErr w:type="spellStart"/>
      <w:r>
        <w:t>τοῦ</w:t>
      </w:r>
      <w:proofErr w:type="spellEnd"/>
      <w:r>
        <w:t xml:space="preserve"> </w:t>
      </w:r>
      <w:proofErr w:type="spellStart"/>
      <w:r>
        <w:t>σίτου</w:t>
      </w:r>
      <w:proofErr w:type="spellEnd"/>
      <w:r>
        <w:t xml:space="preserve"> </w:t>
      </w:r>
      <w:proofErr w:type="spellStart"/>
      <w:r>
        <w:t>σου</w:t>
      </w:r>
      <w:proofErr w:type="spellEnd"/>
      <w:r>
        <w:t xml:space="preserve"> (von deinem Getreide) – eine Verschiebung vom Ort zum Produkt.</w:t>
      </w:r>
    </w:p>
    <w:p w14:paraId="62AD76EA" w14:textId="34244CAC" w:rsidR="00684135" w:rsidRDefault="00684135" w:rsidP="00A93C3C">
      <w:pPr>
        <w:pStyle w:val="whitespace-normal"/>
      </w:pPr>
      <w:r>
        <w:rPr>
          <w:rStyle w:val="Fett"/>
          <w:rFonts w:eastAsiaTheme="majorEastAsia"/>
        </w:rPr>
        <w:t>Die Satzstruktur:</w:t>
      </w:r>
      <w:r>
        <w:t xml:space="preserve"> Emphatischer Imperativsatz mit dreifachem präpositionalem Objekt (gewiss mitgeben sollst du ihm von deinem Kleinvieh, von deiner Tenne und von deiner Kelter); Relativsatz mit Imperativ (womit gesegnet hat dich JHWH, dein Gott, sollst du ihm geben).</w:t>
      </w:r>
    </w:p>
    <w:p w14:paraId="33B7E386" w14:textId="77777777" w:rsidR="00684135" w:rsidRDefault="00684135" w:rsidP="00684135">
      <w:pPr>
        <w:pStyle w:val="whitespace-normal"/>
      </w:pPr>
      <w:r>
        <w:t>Der Vers konkretisiert die Ausstattung: Gib dem Freigelassenen reichlich von Vieh, Getreide und Wein – von allem, womit JHWH dich gesegnet hat.</w:t>
      </w:r>
    </w:p>
    <w:p w14:paraId="30A05077" w14:textId="77777777" w:rsidR="00684135" w:rsidRPr="00684135" w:rsidRDefault="00684135" w:rsidP="00684135">
      <w:pPr>
        <w:pStyle w:val="berschrift1"/>
        <w:rPr>
          <w:rFonts w:ascii="Times New Roman" w:hAnsi="Times New Roman"/>
          <w:color w:val="auto"/>
          <w:sz w:val="36"/>
          <w:szCs w:val="36"/>
        </w:rPr>
      </w:pPr>
      <w:r w:rsidRPr="00684135">
        <w:rPr>
          <w:rStyle w:val="Fett"/>
          <w:rFonts w:ascii="Times New Roman" w:hAnsi="Times New Roman"/>
          <w:color w:val="auto"/>
          <w:sz w:val="36"/>
          <w:szCs w:val="36"/>
        </w:rPr>
        <w:t>Deuteronomium 15,15</w:t>
      </w:r>
    </w:p>
    <w:p w14:paraId="113BB555" w14:textId="77777777" w:rsidR="00684135" w:rsidRDefault="00684135" w:rsidP="00684135">
      <w:pPr>
        <w:pStyle w:val="whitespace-normal"/>
      </w:pPr>
      <w:r>
        <w:rPr>
          <w:rStyle w:val="Fett"/>
          <w:rFonts w:eastAsiaTheme="majorEastAsia"/>
        </w:rPr>
        <w:t>Hebräisch:</w:t>
      </w:r>
      <w:r>
        <w:t xml:space="preserve"> </w:t>
      </w:r>
      <w:r>
        <w:rPr>
          <w:rtl/>
        </w:rPr>
        <w:t>וְזָכַרְתָּ֗ כִּ֣י עֶ֤בֶד הָיִ֨יתָ֙ בְּאֶ֣רֶץ מִצְרַ֔יִם וַֽיִּפְדְּךָ֖ יְהוָ֣ה אֱלֹהֶ֑יךָ עַל־כֵּ֞ן אָנֹכִ֧י מְצַוְּךָ֛ אֶת־הַדָּבָ֥ר הַזֶּ֖ה הַיּֽוֹם׃</w:t>
      </w:r>
    </w:p>
    <w:p w14:paraId="3AA83806" w14:textId="77777777" w:rsidR="00684135" w:rsidRDefault="00684135" w:rsidP="00684135">
      <w:pPr>
        <w:pStyle w:val="whitespace-normal"/>
      </w:pPr>
      <w:r>
        <w:rPr>
          <w:rStyle w:val="Fett"/>
          <w:rFonts w:eastAsiaTheme="majorEastAsia"/>
        </w:rPr>
        <w:t>Deutsch:</w:t>
      </w:r>
      <w:r>
        <w:t xml:space="preserve"> Und du sollst daran denken, dass du ein Sklave im Land Mizrajim warst und der Ewige, dein Gott, dich losgekauft hat; darum gebiete ich dir diese Sache heute.</w:t>
      </w:r>
    </w:p>
    <w:p w14:paraId="627A1638" w14:textId="77777777" w:rsidR="00684135" w:rsidRDefault="004F5CEB" w:rsidP="00684135">
      <w:r>
        <w:rPr>
          <w:noProof/>
        </w:rPr>
        <w:pict w14:anchorId="73A46799">
          <v:rect id="_x0000_i1459" style="width:0;height:1.5pt" o:hralign="center" o:hrstd="t" o:hr="t" fillcolor="#a0a0a0" stroked="f"/>
        </w:pict>
      </w:r>
    </w:p>
    <w:p w14:paraId="00B34C99" w14:textId="77777777" w:rsidR="00684135" w:rsidRDefault="00684135" w:rsidP="00684135">
      <w:pPr>
        <w:pStyle w:val="whitespace-normal"/>
      </w:pPr>
      <w:r>
        <w:rPr>
          <w:rStyle w:val="Fett"/>
          <w:rFonts w:eastAsiaTheme="majorEastAsia"/>
        </w:rPr>
        <w:t>Kommentar:</w:t>
      </w:r>
      <w:r>
        <w:t xml:space="preserve"> </w:t>
      </w:r>
      <w:r>
        <w:rPr>
          <w:rStyle w:val="Fett"/>
          <w:rFonts w:eastAsiaTheme="majorEastAsia"/>
          <w:rtl/>
        </w:rPr>
        <w:t>וְזָכַרְתָּ כִּי עֶבֶד הָיִיתָ בְּאֶרֶץ מִצְרַיִם וַיִּפְדְּךָ יְהוָה אֱלֹהֶיךָ</w:t>
      </w:r>
      <w:r>
        <w:rPr>
          <w:rtl/>
        </w:rPr>
        <w:t xml:space="preserve"> </w:t>
      </w:r>
      <w:r>
        <w:t xml:space="preserve">ist ein Imperativsatz mit kausalem Objektsatz: </w:t>
      </w:r>
      <w:r>
        <w:rPr>
          <w:rStyle w:val="Fett"/>
          <w:rFonts w:eastAsiaTheme="majorEastAsia"/>
          <w:rtl/>
        </w:rPr>
        <w:t>וְזָכַרְתָּ</w:t>
      </w:r>
      <w:r>
        <w:rPr>
          <w:rtl/>
        </w:rPr>
        <w:t xml:space="preserve"> </w:t>
      </w:r>
      <w:r>
        <w:t xml:space="preserve">(Qal Perfekt, 2. Person Maskulinum Singular von </w:t>
      </w:r>
      <w:r>
        <w:rPr>
          <w:rStyle w:val="Fett"/>
          <w:rFonts w:eastAsiaTheme="majorEastAsia"/>
          <w:rtl/>
        </w:rPr>
        <w:t>זכר</w:t>
      </w:r>
      <w:r>
        <w:t xml:space="preserve">, „gedenken, denken an", mit </w:t>
      </w:r>
      <w:r>
        <w:rPr>
          <w:rStyle w:val="Fett"/>
          <w:rFonts w:eastAsiaTheme="majorEastAsia"/>
        </w:rPr>
        <w:t>Waw</w:t>
      </w:r>
      <w:r>
        <w:t xml:space="preserve">, imperativisch), </w:t>
      </w:r>
      <w:r>
        <w:rPr>
          <w:rStyle w:val="Fett"/>
          <w:rFonts w:eastAsiaTheme="majorEastAsia"/>
          <w:rtl/>
        </w:rPr>
        <w:t>כִּי עֶבֶד הָיִיתָ בְּאֶרֶץ מִצְרַיִם</w:t>
      </w:r>
      <w:r>
        <w:rPr>
          <w:rtl/>
        </w:rPr>
        <w:t xml:space="preserve"> </w:t>
      </w:r>
      <w:r>
        <w:t xml:space="preserve">(Objektsatz: </w:t>
      </w:r>
      <w:r>
        <w:rPr>
          <w:rStyle w:val="Fett"/>
          <w:rFonts w:eastAsiaTheme="majorEastAsia"/>
          <w:rtl/>
        </w:rPr>
        <w:t>כִּי</w:t>
      </w:r>
      <w:r>
        <w:rPr>
          <w:rtl/>
        </w:rPr>
        <w:t xml:space="preserve"> </w:t>
      </w:r>
      <w:r>
        <w:t xml:space="preserve">mit </w:t>
      </w:r>
      <w:r>
        <w:rPr>
          <w:rStyle w:val="Fett"/>
          <w:rFonts w:eastAsiaTheme="majorEastAsia"/>
          <w:rtl/>
        </w:rPr>
        <w:t>עֶבֶד</w:t>
      </w:r>
      <w:r>
        <w:t xml:space="preserve">, „Sklave", </w:t>
      </w:r>
      <w:r>
        <w:rPr>
          <w:rStyle w:val="Fett"/>
          <w:rFonts w:eastAsiaTheme="majorEastAsia"/>
          <w:rtl/>
        </w:rPr>
        <w:t>הָיִיתָ</w:t>
      </w:r>
      <w:r>
        <w:t xml:space="preserve">, Qal Perfekt, 2. Person Maskulinum Singular von </w:t>
      </w:r>
      <w:r>
        <w:rPr>
          <w:rStyle w:val="Fett"/>
          <w:rFonts w:eastAsiaTheme="majorEastAsia"/>
          <w:rtl/>
        </w:rPr>
        <w:t>היה</w:t>
      </w:r>
      <w:r>
        <w:t xml:space="preserve">, „sein", </w:t>
      </w:r>
      <w:r>
        <w:rPr>
          <w:rStyle w:val="Fett"/>
          <w:rFonts w:eastAsiaTheme="majorEastAsia"/>
          <w:rtl/>
        </w:rPr>
        <w:t>בְּאֶרֶץ מִצְרַיִם</w:t>
      </w:r>
      <w:r>
        <w:t xml:space="preserve">, „im Land Ägypten"), koordiniert durch </w:t>
      </w:r>
      <w:r>
        <w:rPr>
          <w:rStyle w:val="Fett"/>
          <w:rFonts w:eastAsiaTheme="majorEastAsia"/>
          <w:rtl/>
        </w:rPr>
        <w:t>וַ</w:t>
      </w:r>
      <w:r>
        <w:rPr>
          <w:rtl/>
        </w:rPr>
        <w:t xml:space="preserve"> </w:t>
      </w:r>
      <w:r>
        <w:t xml:space="preserve">mit </w:t>
      </w:r>
      <w:r>
        <w:rPr>
          <w:rStyle w:val="Fett"/>
          <w:rFonts w:eastAsiaTheme="majorEastAsia"/>
          <w:rtl/>
        </w:rPr>
        <w:t>יִּפְדְּךָ יְהוָה אֱלֹהֶיךָ</w:t>
      </w:r>
      <w:r>
        <w:rPr>
          <w:rtl/>
        </w:rPr>
        <w:t xml:space="preserve"> </w:t>
      </w:r>
      <w:r>
        <w:t>(</w:t>
      </w:r>
      <w:r>
        <w:rPr>
          <w:rStyle w:val="Fett"/>
          <w:rFonts w:eastAsiaTheme="majorEastAsia"/>
          <w:rtl/>
        </w:rPr>
        <w:t>פדה</w:t>
      </w:r>
      <w:r>
        <w:t xml:space="preserve">, Qal Imperfekt, 3. Person Maskulinum Singular, „loskaufen, erlösen", mit Suffix 2. Person Maskulinum Singular und </w:t>
      </w:r>
      <w:r>
        <w:rPr>
          <w:rStyle w:val="Fett"/>
          <w:rFonts w:eastAsiaTheme="majorEastAsia"/>
        </w:rPr>
        <w:t>Waw</w:t>
      </w:r>
      <w:r>
        <w:t xml:space="preserve"> consecutives Imperfekt, </w:t>
      </w:r>
      <w:r>
        <w:rPr>
          <w:rStyle w:val="Fett"/>
          <w:rFonts w:eastAsiaTheme="majorEastAsia"/>
          <w:rtl/>
        </w:rPr>
        <w:t>יְהוָה אֱלֹהֶיךָ</w:t>
      </w:r>
      <w:r>
        <w:rPr>
          <w:rtl/>
        </w:rPr>
        <w:t xml:space="preserve"> </w:t>
      </w:r>
      <w:r>
        <w:t>als Subjekt).</w:t>
      </w:r>
    </w:p>
    <w:p w14:paraId="798E2C6C" w14:textId="77777777" w:rsidR="00684135" w:rsidRDefault="00684135" w:rsidP="00684135">
      <w:pPr>
        <w:pStyle w:val="whitespace-normal"/>
      </w:pPr>
      <w:r>
        <w:rPr>
          <w:rStyle w:val="Fett"/>
          <w:rFonts w:eastAsiaTheme="majorEastAsia"/>
          <w:rtl/>
        </w:rPr>
        <w:t>עַל־כֵּן אָנֹכִי מְצַוְּךָ אֶת־הַדָּבָר הַזֶּה הַיּוֹם</w:t>
      </w:r>
      <w:r>
        <w:rPr>
          <w:rtl/>
        </w:rPr>
        <w:t xml:space="preserve"> </w:t>
      </w:r>
      <w:r>
        <w:t xml:space="preserve">ist die Folgerung: </w:t>
      </w:r>
      <w:r>
        <w:rPr>
          <w:rStyle w:val="Fett"/>
          <w:rFonts w:eastAsiaTheme="majorEastAsia"/>
          <w:rtl/>
        </w:rPr>
        <w:t>עַל־כֵּן</w:t>
      </w:r>
      <w:r>
        <w:rPr>
          <w:rtl/>
        </w:rPr>
        <w:t xml:space="preserve"> </w:t>
      </w:r>
      <w:r>
        <w:t xml:space="preserve">(„darum"), </w:t>
      </w:r>
      <w:r>
        <w:rPr>
          <w:rStyle w:val="Fett"/>
          <w:rFonts w:eastAsiaTheme="majorEastAsia"/>
          <w:rtl/>
        </w:rPr>
        <w:t>אָנֹכִי</w:t>
      </w:r>
      <w:r>
        <w:rPr>
          <w:rtl/>
        </w:rPr>
        <w:t xml:space="preserve"> </w:t>
      </w:r>
      <w:r>
        <w:t xml:space="preserve">(Personalpronomen 1. Person Singular, betont), </w:t>
      </w:r>
      <w:r>
        <w:rPr>
          <w:rStyle w:val="Fett"/>
          <w:rFonts w:eastAsiaTheme="majorEastAsia"/>
          <w:rtl/>
        </w:rPr>
        <w:t>מְצַוְּךָ</w:t>
      </w:r>
      <w:r>
        <w:rPr>
          <w:rtl/>
        </w:rPr>
        <w:t xml:space="preserve"> </w:t>
      </w:r>
      <w:r>
        <w:t xml:space="preserve">(Piel Partizip Maskulinum Singular von </w:t>
      </w:r>
      <w:r>
        <w:rPr>
          <w:rStyle w:val="Fett"/>
          <w:rFonts w:eastAsiaTheme="majorEastAsia"/>
          <w:rtl/>
        </w:rPr>
        <w:t>צוה</w:t>
      </w:r>
      <w:r>
        <w:t xml:space="preserve">, „befehlen", mit Suffix 2. Person Maskulinum Singular), </w:t>
      </w:r>
      <w:r>
        <w:rPr>
          <w:rStyle w:val="Fett"/>
          <w:rFonts w:eastAsiaTheme="majorEastAsia"/>
          <w:rtl/>
        </w:rPr>
        <w:t>אֶת־הַדָּבָר הַזֶּה</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דָּבָר</w:t>
      </w:r>
      <w:r>
        <w:t xml:space="preserve">, „Sache, Wort", mit Artikel und Demonstrativpronomen </w:t>
      </w:r>
      <w:r>
        <w:rPr>
          <w:rStyle w:val="Fett"/>
          <w:rFonts w:eastAsiaTheme="majorEastAsia"/>
          <w:rtl/>
        </w:rPr>
        <w:t>הַזֶּה</w:t>
      </w:r>
      <w:r>
        <w:t xml:space="preserve">, „diese Sache") und </w:t>
      </w:r>
      <w:r>
        <w:rPr>
          <w:rStyle w:val="Fett"/>
          <w:rFonts w:eastAsiaTheme="majorEastAsia"/>
          <w:rtl/>
        </w:rPr>
        <w:t>הַיּוֹם</w:t>
      </w:r>
      <w:r>
        <w:rPr>
          <w:rtl/>
        </w:rPr>
        <w:t xml:space="preserve"> </w:t>
      </w:r>
      <w:r>
        <w:t>(</w:t>
      </w:r>
      <w:r>
        <w:rPr>
          <w:rStyle w:val="Fett"/>
          <w:rFonts w:eastAsiaTheme="majorEastAsia"/>
          <w:rtl/>
        </w:rPr>
        <w:t>יוֹם</w:t>
      </w:r>
      <w:r>
        <w:rPr>
          <w:rtl/>
        </w:rPr>
        <w:t xml:space="preserve"> </w:t>
      </w:r>
      <w:r>
        <w:t>mit Artikel, „heute").</w:t>
      </w:r>
    </w:p>
    <w:p w14:paraId="5E4B16D5" w14:textId="1D9EAF09" w:rsidR="00684135" w:rsidRDefault="00684135" w:rsidP="00684135">
      <w:pPr>
        <w:pStyle w:val="whitespace-normal"/>
      </w:pPr>
      <w:r>
        <w:t>Der Vers begründet die Sozialgesetzgebung theologisch mit dem Exodus: Israel war selbst in Sklaverei und wurde von JHWH befreit. Diese Erinnerung (</w:t>
      </w:r>
      <w:r>
        <w:rPr>
          <w:rStyle w:val="Fett"/>
          <w:rFonts w:eastAsiaTheme="majorEastAsia"/>
          <w:rtl/>
        </w:rPr>
        <w:t>זָכַרְתָּ</w:t>
      </w:r>
      <w:r>
        <w:t xml:space="preserve">, „du sollst denken") ist zentral im Deuteronomium (vgl. 5,15; 15,15; 16,12; 24,18.22). Das Verb </w:t>
      </w:r>
      <w:r>
        <w:rPr>
          <w:rStyle w:val="Fett"/>
          <w:rFonts w:eastAsiaTheme="majorEastAsia"/>
          <w:rtl/>
        </w:rPr>
        <w:t>פדה</w:t>
      </w:r>
      <w:r>
        <w:rPr>
          <w:rtl/>
        </w:rPr>
        <w:t xml:space="preserve"> </w:t>
      </w:r>
      <w:r>
        <w:t xml:space="preserve">(„loskaufen, erlösen") ist ein Terminus für die Befreiung aus Ägypten (vgl. 7,8; 9,26; 13,6; 21,8; 24,18; Ex 13,13.15; </w:t>
      </w:r>
      <w:r w:rsidR="00664EB6">
        <w:t>2Sam</w:t>
      </w:r>
      <w:r>
        <w:t xml:space="preserve"> 7,23; Mi 6,4; Ps 78,42).</w:t>
      </w:r>
    </w:p>
    <w:p w14:paraId="01B7C878" w14:textId="77777777" w:rsidR="00684135" w:rsidRDefault="00684135" w:rsidP="00684135">
      <w:pPr>
        <w:pStyle w:val="whitespace-normal"/>
      </w:pPr>
      <w:r>
        <w:t xml:space="preserve">Die Logik: Weil Israel selbst Sklaven waren und befreit wurden, sollen sie Sklaven großzügig behandeln und freilassen. Die eigene Erlösungserfahrung verpflichtet zur Barmherzigkeit. Die Schlussformel </w:t>
      </w:r>
      <w:r>
        <w:rPr>
          <w:rStyle w:val="Fett"/>
          <w:rFonts w:eastAsiaTheme="majorEastAsia"/>
          <w:rtl/>
        </w:rPr>
        <w:t>עַל־כֵּן אָנֹכִי מְצַוְּךָ... הַיּוֹם</w:t>
      </w:r>
      <w:r>
        <w:rPr>
          <w:rtl/>
        </w:rPr>
        <w:t xml:space="preserve"> </w:t>
      </w:r>
      <w:r>
        <w:t>unterstreicht die Autorität und Aktualität des Gebots.</w:t>
      </w:r>
    </w:p>
    <w:p w14:paraId="029243F8" w14:textId="77777777" w:rsidR="00684135" w:rsidRDefault="00684135" w:rsidP="00684135">
      <w:pPr>
        <w:pStyle w:val="whitespace-normal"/>
      </w:pPr>
      <w:r>
        <w:rPr>
          <w:rStyle w:val="Fett"/>
          <w:rFonts w:eastAsiaTheme="majorEastAsia"/>
        </w:rPr>
        <w:t>Die Satzstruktur:</w:t>
      </w:r>
      <w:r>
        <w:t xml:space="preserve"> Imperativ mit kausalem Objektsatz (denken sollst du dass Sklave warst du im Land Ägypten und losgekauft hat dich JHWH, dein Gott); konsekutive Folgerung (darum ich gebiete dir diese Sache heute).</w:t>
      </w:r>
    </w:p>
    <w:p w14:paraId="40462031" w14:textId="77777777" w:rsidR="00684135" w:rsidRDefault="00684135" w:rsidP="00684135">
      <w:pPr>
        <w:pStyle w:val="whitespace-normal"/>
      </w:pPr>
      <w:r>
        <w:lastRenderedPageBreak/>
        <w:t>Der Vers begründet: Denke daran, dass du selbst Sklave in Ägypten warst und JHWH dich befreit hat – darum befehle ich dir heute diese großzügige Behandlung freigelassener Sklaven.</w:t>
      </w:r>
    </w:p>
    <w:p w14:paraId="706A9002" w14:textId="77777777" w:rsidR="00684135" w:rsidRPr="00684135" w:rsidRDefault="00684135" w:rsidP="00684135">
      <w:pPr>
        <w:pStyle w:val="berschrift1"/>
        <w:rPr>
          <w:rFonts w:ascii="Times New Roman" w:hAnsi="Times New Roman"/>
          <w:color w:val="auto"/>
          <w:sz w:val="36"/>
          <w:szCs w:val="36"/>
        </w:rPr>
      </w:pPr>
      <w:r w:rsidRPr="00684135">
        <w:rPr>
          <w:rStyle w:val="Fett"/>
          <w:rFonts w:ascii="Times New Roman" w:hAnsi="Times New Roman"/>
          <w:color w:val="auto"/>
          <w:sz w:val="36"/>
          <w:szCs w:val="36"/>
        </w:rPr>
        <w:t>Deuteronomium 15,16</w:t>
      </w:r>
    </w:p>
    <w:p w14:paraId="43238D7E" w14:textId="77777777" w:rsidR="00684135" w:rsidRDefault="00684135" w:rsidP="00684135">
      <w:pPr>
        <w:pStyle w:val="whitespace-normal"/>
      </w:pPr>
      <w:r>
        <w:rPr>
          <w:rStyle w:val="Fett"/>
          <w:rFonts w:eastAsiaTheme="majorEastAsia"/>
        </w:rPr>
        <w:t>Hebräisch:</w:t>
      </w:r>
      <w:r>
        <w:t xml:space="preserve"> </w:t>
      </w:r>
      <w:r>
        <w:rPr>
          <w:rtl/>
        </w:rPr>
        <w:t>וְהָיָה֙ כִּֽי־יֹאמַ֣ר אֵלֶ֔יךָ לֹ֥א אֵצֵ֖א מֵעִמָּ֑ךְ כִּ֤י אֲהֵֽבְךָ֙ וְאֶת־בֵּיתֶ֔ךָ כִּי־ט֥וֹב לוֹ֖ עִמָּֽךְ׃</w:t>
      </w:r>
    </w:p>
    <w:p w14:paraId="45F802D9" w14:textId="77777777" w:rsidR="00684135" w:rsidRDefault="00684135" w:rsidP="00684135">
      <w:pPr>
        <w:pStyle w:val="whitespace-normal"/>
      </w:pPr>
      <w:r>
        <w:rPr>
          <w:rStyle w:val="Fett"/>
          <w:rFonts w:eastAsiaTheme="majorEastAsia"/>
        </w:rPr>
        <w:t>Deutsch:</w:t>
      </w:r>
      <w:r>
        <w:t xml:space="preserve"> Und es wird sein, wenn er zu dir sagt: Ich will nicht von dir weggehen – weil er dich und dein Haus liebt, weil es ihm gut bei dir ist –</w:t>
      </w:r>
    </w:p>
    <w:p w14:paraId="56922422" w14:textId="77777777" w:rsidR="00684135" w:rsidRDefault="004F5CEB" w:rsidP="00684135">
      <w:r>
        <w:rPr>
          <w:noProof/>
        </w:rPr>
        <w:pict w14:anchorId="3936773F">
          <v:rect id="_x0000_i1460" style="width:0;height:1.5pt" o:hralign="center" o:hrstd="t" o:hr="t" fillcolor="#a0a0a0" stroked="f"/>
        </w:pict>
      </w:r>
    </w:p>
    <w:p w14:paraId="3F811C5F" w14:textId="77777777" w:rsidR="00684135" w:rsidRDefault="00684135" w:rsidP="00684135">
      <w:pPr>
        <w:pStyle w:val="whitespace-normal"/>
      </w:pPr>
      <w:r>
        <w:rPr>
          <w:rStyle w:val="Fett"/>
          <w:rFonts w:eastAsiaTheme="majorEastAsia"/>
        </w:rPr>
        <w:t>Kommentar:</w:t>
      </w:r>
      <w:r>
        <w:t xml:space="preserve"> </w:t>
      </w:r>
      <w:r>
        <w:rPr>
          <w:rStyle w:val="Fett"/>
          <w:rFonts w:eastAsiaTheme="majorEastAsia"/>
          <w:rtl/>
        </w:rPr>
        <w:t>וְהָיָה כִּי־יֹאמַר אֵלֶיךָ לֹא אֵצֵא מֵעִמָּךְ</w:t>
      </w:r>
      <w:r>
        <w:rPr>
          <w:rtl/>
        </w:rPr>
        <w:t xml:space="preserve"> </w:t>
      </w:r>
      <w:r>
        <w:t xml:space="preserve">ist ein konditionaler Satz: </w:t>
      </w:r>
      <w:r>
        <w:rPr>
          <w:rStyle w:val="Fett"/>
          <w:rFonts w:eastAsiaTheme="majorEastAsia"/>
          <w:rtl/>
        </w:rPr>
        <w:t>וְהָיָה</w:t>
      </w:r>
      <w:r>
        <w:rPr>
          <w:rtl/>
        </w:rPr>
        <w:t xml:space="preserve"> </w:t>
      </w:r>
      <w:r>
        <w:t xml:space="preserve">(Qal Perfekt, 3. Person Maskulinum Singular von </w:t>
      </w:r>
      <w:r>
        <w:rPr>
          <w:rStyle w:val="Fett"/>
          <w:rFonts w:eastAsiaTheme="majorEastAsia"/>
          <w:rtl/>
        </w:rPr>
        <w:t>היה</w:t>
      </w:r>
      <w:r>
        <w:t xml:space="preserve">, „sein", mit </w:t>
      </w:r>
      <w:r>
        <w:rPr>
          <w:rStyle w:val="Fett"/>
          <w:rFonts w:eastAsiaTheme="majorEastAsia"/>
        </w:rPr>
        <w:t>Waw</w:t>
      </w:r>
      <w:r>
        <w:t xml:space="preserve">, „und es wird sein"), </w:t>
      </w:r>
      <w:r>
        <w:rPr>
          <w:rStyle w:val="Fett"/>
          <w:rFonts w:eastAsiaTheme="majorEastAsia"/>
          <w:rtl/>
        </w:rPr>
        <w:t>כִּי</w:t>
      </w:r>
      <w:r>
        <w:rPr>
          <w:rtl/>
        </w:rPr>
        <w:t xml:space="preserve"> </w:t>
      </w:r>
      <w:r>
        <w:t xml:space="preserve">(„wenn, falls"), </w:t>
      </w:r>
      <w:r>
        <w:rPr>
          <w:rStyle w:val="Fett"/>
          <w:rFonts w:eastAsiaTheme="majorEastAsia"/>
          <w:rtl/>
        </w:rPr>
        <w:t>יֹאמַר</w:t>
      </w:r>
      <w:r>
        <w:rPr>
          <w:rtl/>
        </w:rPr>
        <w:t xml:space="preserve"> </w:t>
      </w:r>
      <w:r>
        <w:t xml:space="preserve">(Qal Imperfekt, 3. Person Maskulinum Singular von </w:t>
      </w:r>
      <w:r>
        <w:rPr>
          <w:rStyle w:val="Fett"/>
          <w:rFonts w:eastAsiaTheme="majorEastAsia"/>
          <w:rtl/>
        </w:rPr>
        <w:t>אמר</w:t>
      </w:r>
      <w:r>
        <w:t xml:space="preserve">, „sagen"), </w:t>
      </w:r>
      <w:r>
        <w:rPr>
          <w:rStyle w:val="Fett"/>
          <w:rFonts w:eastAsiaTheme="majorEastAsia"/>
          <w:rtl/>
        </w:rPr>
        <w:t>אֵלֶיךָ</w:t>
      </w:r>
      <w:r>
        <w:rPr>
          <w:rtl/>
        </w:rPr>
        <w:t xml:space="preserve"> </w:t>
      </w:r>
      <w:r>
        <w:t xml:space="preserve">(Präposition </w:t>
      </w:r>
      <w:r>
        <w:rPr>
          <w:rStyle w:val="Fett"/>
          <w:rFonts w:eastAsiaTheme="majorEastAsia"/>
          <w:rtl/>
        </w:rPr>
        <w:t>אֶל</w:t>
      </w:r>
      <w:r>
        <w:rPr>
          <w:rtl/>
        </w:rPr>
        <w:t xml:space="preserve"> </w:t>
      </w:r>
      <w:r>
        <w:t xml:space="preserve">mit Suffix 2. Person Maskulinum Singular, „zu dir"), </w:t>
      </w:r>
      <w:r>
        <w:rPr>
          <w:rStyle w:val="Fett"/>
          <w:rFonts w:eastAsiaTheme="majorEastAsia"/>
          <w:rtl/>
        </w:rPr>
        <w:t>לֹא אֵצֵא</w:t>
      </w:r>
      <w:r>
        <w:rPr>
          <w:rtl/>
        </w:rPr>
        <w:t xml:space="preserve"> </w:t>
      </w:r>
      <w:r>
        <w:t xml:space="preserve">(Negation </w:t>
      </w:r>
      <w:r>
        <w:rPr>
          <w:rStyle w:val="Fett"/>
          <w:rFonts w:eastAsiaTheme="majorEastAsia"/>
          <w:rtl/>
        </w:rPr>
        <w:t>לֹא</w:t>
      </w:r>
      <w:r>
        <w:rPr>
          <w:rtl/>
        </w:rPr>
        <w:t xml:space="preserve"> </w:t>
      </w:r>
      <w:r>
        <w:t xml:space="preserve">mit </w:t>
      </w:r>
      <w:r>
        <w:rPr>
          <w:rStyle w:val="Fett"/>
          <w:rFonts w:eastAsiaTheme="majorEastAsia"/>
          <w:rtl/>
        </w:rPr>
        <w:t>יצא</w:t>
      </w:r>
      <w:r>
        <w:t xml:space="preserve">, Qal Imperfekt, 1. Person Singular, „hinausgehen, weggehen", als direkte Rede) und </w:t>
      </w:r>
      <w:r>
        <w:rPr>
          <w:rStyle w:val="Fett"/>
          <w:rFonts w:eastAsiaTheme="majorEastAsia"/>
          <w:rtl/>
        </w:rPr>
        <w:t>מֵעִמָּךְ</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עִם</w:t>
      </w:r>
      <w:r>
        <w:rPr>
          <w:rtl/>
        </w:rPr>
        <w:t xml:space="preserve"> </w:t>
      </w:r>
      <w:r>
        <w:t>mit Suffix 2. Person Maskulinum Singular, „von dir").</w:t>
      </w:r>
    </w:p>
    <w:p w14:paraId="572A3131" w14:textId="77777777" w:rsidR="00684135" w:rsidRDefault="00684135" w:rsidP="00684135">
      <w:pPr>
        <w:pStyle w:val="whitespace-normal"/>
      </w:pPr>
      <w:r>
        <w:rPr>
          <w:rStyle w:val="Fett"/>
          <w:rFonts w:eastAsiaTheme="majorEastAsia"/>
          <w:rtl/>
        </w:rPr>
        <w:t>כִּי אֲהֵבְךָ וְאֶת־בֵּיתֶךָ כִּי־טוֹב לוֹ עִמָּךְ</w:t>
      </w:r>
      <w:r>
        <w:rPr>
          <w:rtl/>
        </w:rPr>
        <w:t xml:space="preserve"> </w:t>
      </w:r>
      <w:r>
        <w:t xml:space="preserve">sind zwei kausale Begründungen: </w:t>
      </w:r>
      <w:r>
        <w:rPr>
          <w:rStyle w:val="Fett"/>
          <w:rFonts w:eastAsiaTheme="majorEastAsia"/>
          <w:rtl/>
        </w:rPr>
        <w:t>כִּי</w:t>
      </w:r>
      <w:r>
        <w:rPr>
          <w:rtl/>
        </w:rPr>
        <w:t xml:space="preserve"> </w:t>
      </w:r>
      <w:r>
        <w:t xml:space="preserve">(„weil, denn"), </w:t>
      </w:r>
      <w:r>
        <w:rPr>
          <w:rStyle w:val="Fett"/>
          <w:rFonts w:eastAsiaTheme="majorEastAsia"/>
          <w:rtl/>
        </w:rPr>
        <w:t>אֲהֵבְךָ</w:t>
      </w:r>
      <w:r>
        <w:rPr>
          <w:rtl/>
        </w:rPr>
        <w:t xml:space="preserve"> </w:t>
      </w:r>
      <w:r>
        <w:t xml:space="preserve">(Qal Perfekt, 3. Person Maskulinum Singular von </w:t>
      </w:r>
      <w:r>
        <w:rPr>
          <w:rStyle w:val="Fett"/>
          <w:rFonts w:eastAsiaTheme="majorEastAsia"/>
          <w:rtl/>
        </w:rPr>
        <w:t>אהב</w:t>
      </w:r>
      <w:r>
        <w:t xml:space="preserve">, „lieben", mit Suffix 2. Person Maskulinum Singular als direktes Objekt), </w:t>
      </w:r>
      <w:r>
        <w:rPr>
          <w:rStyle w:val="Fett"/>
          <w:rFonts w:eastAsiaTheme="majorEastAsia"/>
          <w:rtl/>
        </w:rPr>
        <w:t>וְאֶת־בֵּיתֶךָ</w:t>
      </w:r>
      <w:r>
        <w:rPr>
          <w:rtl/>
        </w:rPr>
        <w:t xml:space="preserve"> </w:t>
      </w:r>
      <w:r>
        <w:t xml:space="preserve">(koordiniert durch </w:t>
      </w:r>
      <w:r>
        <w:rPr>
          <w:rStyle w:val="Fett"/>
          <w:rFonts w:eastAsiaTheme="majorEastAsia"/>
          <w:rtl/>
        </w:rPr>
        <w:t>וְ</w:t>
      </w:r>
      <w:r>
        <w:rPr>
          <w:rtl/>
        </w:rPr>
        <w:t xml:space="preserve"> </w:t>
      </w:r>
      <w:r>
        <w:t xml:space="preserve">mit Objektpartikel </w:t>
      </w:r>
      <w:r>
        <w:rPr>
          <w:rStyle w:val="Fett"/>
          <w:rFonts w:eastAsiaTheme="majorEastAsia"/>
          <w:rtl/>
        </w:rPr>
        <w:t>אֵת</w:t>
      </w:r>
      <w:r>
        <w:rPr>
          <w:rtl/>
        </w:rPr>
        <w:t xml:space="preserve"> </w:t>
      </w:r>
      <w:r>
        <w:t xml:space="preserve">und </w:t>
      </w:r>
      <w:r>
        <w:rPr>
          <w:rStyle w:val="Fett"/>
          <w:rFonts w:eastAsiaTheme="majorEastAsia"/>
          <w:rtl/>
        </w:rPr>
        <w:t>בַּיִת</w:t>
      </w:r>
      <w:r>
        <w:t xml:space="preserve">, „Haus, Hausgemeinschaft", mit Suffix 2. Person Maskulinum Singular), koordiniert durch </w:t>
      </w:r>
      <w:r>
        <w:rPr>
          <w:rStyle w:val="Fett"/>
          <w:rFonts w:eastAsiaTheme="majorEastAsia"/>
          <w:rtl/>
        </w:rPr>
        <w:t>כִּי</w:t>
      </w:r>
      <w:r>
        <w:rPr>
          <w:rtl/>
        </w:rPr>
        <w:t xml:space="preserve"> </w:t>
      </w:r>
      <w:r>
        <w:t xml:space="preserve">mit </w:t>
      </w:r>
      <w:r>
        <w:rPr>
          <w:rStyle w:val="Fett"/>
          <w:rFonts w:eastAsiaTheme="majorEastAsia"/>
          <w:rtl/>
        </w:rPr>
        <w:t>טוֹב לוֹ</w:t>
      </w:r>
      <w:r>
        <w:rPr>
          <w:rtl/>
        </w:rPr>
        <w:t xml:space="preserve"> </w:t>
      </w:r>
      <w:r>
        <w:t>(</w:t>
      </w:r>
      <w:r>
        <w:rPr>
          <w:rStyle w:val="Fett"/>
          <w:rFonts w:eastAsiaTheme="majorEastAsia"/>
          <w:rtl/>
        </w:rPr>
        <w:t>טוֹב</w:t>
      </w:r>
      <w:r>
        <w:t xml:space="preserve">, „gut", mit </w:t>
      </w:r>
      <w:r>
        <w:rPr>
          <w:rStyle w:val="Fett"/>
          <w:rFonts w:eastAsiaTheme="majorEastAsia"/>
          <w:rtl/>
        </w:rPr>
        <w:t>לוֹ</w:t>
      </w:r>
      <w:r>
        <w:t xml:space="preserve">, Präposition </w:t>
      </w:r>
      <w:r>
        <w:rPr>
          <w:rStyle w:val="Fett"/>
          <w:rFonts w:eastAsiaTheme="majorEastAsia"/>
          <w:rtl/>
        </w:rPr>
        <w:t>לְ</w:t>
      </w:r>
      <w:r>
        <w:rPr>
          <w:rtl/>
        </w:rPr>
        <w:t xml:space="preserve"> </w:t>
      </w:r>
      <w:r>
        <w:t xml:space="preserve">mit Suffix 3. Person Maskulinum Singular, „gut ist es ihm") und </w:t>
      </w:r>
      <w:r>
        <w:rPr>
          <w:rStyle w:val="Fett"/>
          <w:rFonts w:eastAsiaTheme="majorEastAsia"/>
          <w:rtl/>
        </w:rPr>
        <w:t>עִמָּךְ</w:t>
      </w:r>
      <w:r>
        <w:rPr>
          <w:rtl/>
        </w:rPr>
        <w:t xml:space="preserve"> </w:t>
      </w:r>
      <w:r>
        <w:t xml:space="preserve">(Präposition </w:t>
      </w:r>
      <w:r>
        <w:rPr>
          <w:rStyle w:val="Fett"/>
          <w:rFonts w:eastAsiaTheme="majorEastAsia"/>
          <w:rtl/>
        </w:rPr>
        <w:t>עִם</w:t>
      </w:r>
      <w:r>
        <w:rPr>
          <w:rtl/>
        </w:rPr>
        <w:t xml:space="preserve"> </w:t>
      </w:r>
      <w:r>
        <w:t>mit Suffix 2. Person Maskulinum Singular, „bei dir, mit dir").</w:t>
      </w:r>
    </w:p>
    <w:p w14:paraId="08AE05FD" w14:textId="77777777" w:rsidR="00684135" w:rsidRDefault="00684135" w:rsidP="00684135">
      <w:pPr>
        <w:pStyle w:val="whitespace-normal"/>
      </w:pPr>
      <w:r>
        <w:t xml:space="preserve">Der Vers beschreibt eine Ausnahmesituation: Der Sklave will nicht freigelassen werden. Die direkte Rede </w:t>
      </w:r>
      <w:r>
        <w:rPr>
          <w:rStyle w:val="Fett"/>
          <w:rFonts w:eastAsiaTheme="majorEastAsia"/>
          <w:rtl/>
        </w:rPr>
        <w:t>לֹא אֵצֵא מֵעִמָּךְ</w:t>
      </w:r>
      <w:r>
        <w:rPr>
          <w:rtl/>
        </w:rPr>
        <w:t xml:space="preserve"> </w:t>
      </w:r>
      <w:r>
        <w:t>(„ich will nicht von dir weggehen") zeigt die freie Entscheidung des Sklaven. Die doppelte Begründung zeigt: (1) persönliche Bindung (</w:t>
      </w:r>
      <w:r>
        <w:rPr>
          <w:rStyle w:val="Fett"/>
          <w:rFonts w:eastAsiaTheme="majorEastAsia"/>
          <w:rtl/>
        </w:rPr>
        <w:t>אֲהֵבְךָ וְאֶת־בֵּיתֶךָ</w:t>
      </w:r>
      <w:r>
        <w:t>, „er liebt dich und dein Haus"), (2) materielle Zufriedenheit (</w:t>
      </w:r>
      <w:r>
        <w:rPr>
          <w:rStyle w:val="Fett"/>
          <w:rFonts w:eastAsiaTheme="majorEastAsia"/>
          <w:rtl/>
        </w:rPr>
        <w:t>טוֹב לוֹ עִמָּךְ</w:t>
      </w:r>
      <w:r>
        <w:t>, „es geht ihm gut bei dir").</w:t>
      </w:r>
    </w:p>
    <w:p w14:paraId="17285E94" w14:textId="77777777" w:rsidR="00684135" w:rsidRDefault="00684135" w:rsidP="00684135">
      <w:pPr>
        <w:pStyle w:val="whitespace-normal"/>
      </w:pPr>
      <w:r>
        <w:t xml:space="preserve">Die Möglichkeit des freiwilligen Verbleibens setzt eine gute Behandlung voraus. Das Verb </w:t>
      </w:r>
      <w:r>
        <w:rPr>
          <w:rStyle w:val="Fett"/>
          <w:rFonts w:eastAsiaTheme="majorEastAsia"/>
          <w:rtl/>
        </w:rPr>
        <w:t>אהב</w:t>
      </w:r>
      <w:r>
        <w:rPr>
          <w:rtl/>
        </w:rPr>
        <w:t xml:space="preserve"> </w:t>
      </w:r>
      <w:r>
        <w:t xml:space="preserve">(„lieben") beschreibt hier Zuneigung und Loyalität (vgl. Ex 21,5). Die Wendung </w:t>
      </w:r>
      <w:r>
        <w:rPr>
          <w:rStyle w:val="Fett"/>
          <w:rFonts w:eastAsiaTheme="majorEastAsia"/>
          <w:rtl/>
        </w:rPr>
        <w:t>אֶת־בֵּיתֶךָ</w:t>
      </w:r>
      <w:r>
        <w:rPr>
          <w:rtl/>
        </w:rPr>
        <w:t xml:space="preserve"> </w:t>
      </w:r>
      <w:r>
        <w:t>(„dein Haus") bezieht sich auf die Hausgemeinschaft, möglicherweise auch auf eine Bindung an Familienmitglieder oder andere Sklaven.</w:t>
      </w:r>
    </w:p>
    <w:p w14:paraId="02C118EE" w14:textId="77777777" w:rsidR="00684135" w:rsidRDefault="00684135" w:rsidP="00684135">
      <w:pPr>
        <w:pStyle w:val="whitespace-normal"/>
      </w:pPr>
      <w:r>
        <w:rPr>
          <w:rStyle w:val="Fett"/>
          <w:rFonts w:eastAsiaTheme="majorEastAsia"/>
        </w:rPr>
        <w:t>Die Satzstruktur:</w:t>
      </w:r>
      <w:r>
        <w:t xml:space="preserve"> Konditionaler Satz mit direkter Rede und doppelter kausaler Begründung (und es wird sein wenn er sagt zu dir: nicht will ich weggehen von dir – </w:t>
      </w:r>
      <w:proofErr w:type="gramStart"/>
      <w:r>
        <w:t>weil</w:t>
      </w:r>
      <w:proofErr w:type="gramEnd"/>
      <w:r>
        <w:t xml:space="preserve"> er liebt dich und dein Haus, weil gut ist es ihm mit dir).</w:t>
      </w:r>
    </w:p>
    <w:p w14:paraId="44E608AD" w14:textId="1B4F9B28" w:rsidR="00684135" w:rsidRDefault="00684135" w:rsidP="00684135">
      <w:pPr>
        <w:pStyle w:val="whitespace-normal"/>
      </w:pPr>
      <w:r>
        <w:t xml:space="preserve">Der Vers beschreibt den </w:t>
      </w:r>
      <w:r w:rsidR="006D3FED">
        <w:t>Ausnahmefall</w:t>
      </w:r>
      <w:r>
        <w:t>: Wenn der Sklave aus Liebe und Zufriedenheit freiwillig bleiben will – V. 17 regelt dann das Verfahren.</w:t>
      </w:r>
    </w:p>
    <w:p w14:paraId="47E7A0C1" w14:textId="77777777" w:rsidR="00684135" w:rsidRPr="00684135" w:rsidRDefault="00684135" w:rsidP="00684135">
      <w:pPr>
        <w:pStyle w:val="berschrift1"/>
        <w:rPr>
          <w:rFonts w:ascii="Times New Roman" w:hAnsi="Times New Roman"/>
          <w:color w:val="auto"/>
          <w:sz w:val="36"/>
          <w:szCs w:val="36"/>
        </w:rPr>
      </w:pPr>
      <w:r w:rsidRPr="00684135">
        <w:rPr>
          <w:rStyle w:val="Fett"/>
          <w:rFonts w:ascii="Times New Roman" w:hAnsi="Times New Roman"/>
          <w:color w:val="auto"/>
          <w:sz w:val="36"/>
          <w:szCs w:val="36"/>
        </w:rPr>
        <w:t>Deuteronomium 15,17</w:t>
      </w:r>
    </w:p>
    <w:p w14:paraId="1C0ED6AB" w14:textId="77777777" w:rsidR="00684135" w:rsidRDefault="00684135" w:rsidP="00684135">
      <w:pPr>
        <w:pStyle w:val="whitespace-normal"/>
      </w:pPr>
      <w:r>
        <w:rPr>
          <w:rStyle w:val="Fett"/>
          <w:rFonts w:eastAsiaTheme="majorEastAsia"/>
        </w:rPr>
        <w:t>Hebräisch:</w:t>
      </w:r>
      <w:r>
        <w:t xml:space="preserve"> </w:t>
      </w:r>
      <w:r>
        <w:rPr>
          <w:rtl/>
        </w:rPr>
        <w:t>וְלָקַחְתָּ֣ אֶת־הַמַּרְצֵ֗עַ וְנָתַתָּ֤ה בְאָזְנוֹ֙ וּבַדֶּ֔לֶת וְהָיָ֥ה לְךָ֖ עֶ֣בֶד עוֹלָ֑ם וְאַ֥ף לַאֲמָתְךָ֖ תַּעֲשֶׂה־כֵּֽן׃</w:t>
      </w:r>
    </w:p>
    <w:p w14:paraId="004E2DB3" w14:textId="77777777" w:rsidR="00684135" w:rsidRDefault="00684135" w:rsidP="00684135">
      <w:pPr>
        <w:pStyle w:val="whitespace-normal"/>
      </w:pPr>
      <w:r>
        <w:rPr>
          <w:rStyle w:val="Fett"/>
          <w:rFonts w:eastAsiaTheme="majorEastAsia"/>
        </w:rPr>
        <w:lastRenderedPageBreak/>
        <w:t>Deutsch:</w:t>
      </w:r>
      <w:r>
        <w:t xml:space="preserve"> So sollst du einen Pfriem nehmen und ihn durch sein Ohr in die Tür stechen, und er wird dir ein Sklave für immer sein; und auch an deiner Magd sollst du so tun.</w:t>
      </w:r>
    </w:p>
    <w:p w14:paraId="523BDBC2" w14:textId="77777777" w:rsidR="00684135" w:rsidRDefault="004F5CEB" w:rsidP="00684135">
      <w:r>
        <w:rPr>
          <w:noProof/>
        </w:rPr>
        <w:pict w14:anchorId="79897726">
          <v:rect id="_x0000_i1461" style="width:0;height:1.5pt" o:hralign="center" o:hrstd="t" o:hr="t" fillcolor="#a0a0a0" stroked="f"/>
        </w:pict>
      </w:r>
    </w:p>
    <w:p w14:paraId="5D6A7000" w14:textId="77777777" w:rsidR="00684135" w:rsidRDefault="00684135" w:rsidP="00684135">
      <w:pPr>
        <w:pStyle w:val="whitespace-normal"/>
      </w:pPr>
      <w:r>
        <w:rPr>
          <w:rStyle w:val="Fett"/>
          <w:rFonts w:eastAsiaTheme="majorEastAsia"/>
        </w:rPr>
        <w:t>Kommentar:</w:t>
      </w:r>
      <w:r>
        <w:t xml:space="preserve"> </w:t>
      </w:r>
      <w:r>
        <w:rPr>
          <w:rStyle w:val="Fett"/>
          <w:rFonts w:eastAsiaTheme="majorEastAsia"/>
          <w:rtl/>
        </w:rPr>
        <w:t>וְלָקַחְתָּ אֶת־הַמַּרְצֵעַ וְנָתַתָּה בְאָזְנוֹ וּבַדֶּלֶת</w:t>
      </w:r>
      <w:r>
        <w:rPr>
          <w:rtl/>
        </w:rPr>
        <w:t xml:space="preserve"> </w:t>
      </w:r>
      <w:r>
        <w:t xml:space="preserve">sind drei koordinierte Imperative: </w:t>
      </w:r>
      <w:r>
        <w:rPr>
          <w:rStyle w:val="Fett"/>
          <w:rFonts w:eastAsiaTheme="majorEastAsia"/>
          <w:rtl/>
        </w:rPr>
        <w:t>וְלָקַחְתָּ</w:t>
      </w:r>
      <w:r>
        <w:rPr>
          <w:rtl/>
        </w:rPr>
        <w:t xml:space="preserve"> </w:t>
      </w:r>
      <w:r>
        <w:t xml:space="preserve">(Qal Perfekt, 2. Person Maskulinum Singular von </w:t>
      </w:r>
      <w:r>
        <w:rPr>
          <w:rStyle w:val="Fett"/>
          <w:rFonts w:eastAsiaTheme="majorEastAsia"/>
          <w:rtl/>
        </w:rPr>
        <w:t>לקח</w:t>
      </w:r>
      <w:r>
        <w:t xml:space="preserve">, „nehmen", mit </w:t>
      </w:r>
      <w:r>
        <w:rPr>
          <w:rStyle w:val="Fett"/>
          <w:rFonts w:eastAsiaTheme="majorEastAsia"/>
        </w:rPr>
        <w:t>Waw</w:t>
      </w:r>
      <w:r>
        <w:t xml:space="preserve">, imperativisch), </w:t>
      </w:r>
      <w:r>
        <w:rPr>
          <w:rStyle w:val="Fett"/>
          <w:rFonts w:eastAsiaTheme="majorEastAsia"/>
          <w:rtl/>
        </w:rPr>
        <w:t>אֶת־הַמַּרְצֵעַ</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מַרְצֵעַ</w:t>
      </w:r>
      <w:r>
        <w:t xml:space="preserve">, „Pfriem, Ahle", mit Artikel), </w:t>
      </w:r>
      <w:r>
        <w:rPr>
          <w:rStyle w:val="Fett"/>
          <w:rFonts w:eastAsiaTheme="majorEastAsia"/>
          <w:rtl/>
        </w:rPr>
        <w:t>וְנָתַתָּה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נתן</w:t>
      </w:r>
      <w:r>
        <w:t xml:space="preserve">, Qal Perfekt, 2. Person Maskulinum Singular, „geben, setzen", imperativisch), </w:t>
      </w:r>
      <w:r>
        <w:rPr>
          <w:rStyle w:val="Fett"/>
          <w:rFonts w:eastAsiaTheme="majorEastAsia"/>
          <w:rtl/>
        </w:rPr>
        <w:t>בְאָזְנוֹ</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אֹזֶן</w:t>
      </w:r>
      <w:r>
        <w:t xml:space="preserve">, „Ohr", mit Suffix 3. Person Maskulinum Singular, „in sein Ohr") und </w:t>
      </w:r>
      <w:r>
        <w:rPr>
          <w:rStyle w:val="Fett"/>
          <w:rFonts w:eastAsiaTheme="majorEastAsia"/>
          <w:rtl/>
        </w:rPr>
        <w:t>וּבַדֶּלֶת</w:t>
      </w:r>
      <w:r>
        <w:rPr>
          <w:rtl/>
        </w:rPr>
        <w:t xml:space="preserve"> </w:t>
      </w:r>
      <w:r>
        <w:t xml:space="preserve">(koordiniert durch </w:t>
      </w:r>
      <w:r>
        <w:rPr>
          <w:rStyle w:val="Fett"/>
          <w:rFonts w:eastAsiaTheme="majorEastAsia"/>
          <w:rtl/>
        </w:rPr>
        <w:t>וּ</w:t>
      </w:r>
      <w:r>
        <w:rPr>
          <w:rtl/>
        </w:rPr>
        <w:t xml:space="preserve"> </w:t>
      </w:r>
      <w:r>
        <w:t xml:space="preserve">mit Präposition </w:t>
      </w:r>
      <w:r>
        <w:rPr>
          <w:rStyle w:val="Fett"/>
          <w:rFonts w:eastAsiaTheme="majorEastAsia"/>
          <w:rtl/>
        </w:rPr>
        <w:t>בְּ</w:t>
      </w:r>
      <w:r>
        <w:rPr>
          <w:rtl/>
        </w:rPr>
        <w:t xml:space="preserve"> </w:t>
      </w:r>
      <w:r>
        <w:t xml:space="preserve">und </w:t>
      </w:r>
      <w:r>
        <w:rPr>
          <w:rStyle w:val="Fett"/>
          <w:rFonts w:eastAsiaTheme="majorEastAsia"/>
          <w:rtl/>
        </w:rPr>
        <w:t>דֶּלֶת</w:t>
      </w:r>
      <w:r>
        <w:t>, „Tür", mit Artikel, „und in die Tür").</w:t>
      </w:r>
    </w:p>
    <w:p w14:paraId="5757A603" w14:textId="77777777" w:rsidR="00684135" w:rsidRDefault="00684135" w:rsidP="00684135">
      <w:pPr>
        <w:pStyle w:val="whitespace-normal"/>
      </w:pPr>
      <w:r>
        <w:rPr>
          <w:rStyle w:val="Fett"/>
          <w:rFonts w:eastAsiaTheme="majorEastAsia"/>
          <w:rtl/>
        </w:rPr>
        <w:t>וְהָיָה לְךָ עֶבֶד עוֹלָם</w:t>
      </w:r>
      <w:r>
        <w:rPr>
          <w:rtl/>
        </w:rPr>
        <w:t xml:space="preserve"> </w:t>
      </w:r>
      <w:r>
        <w:t xml:space="preserve">ist der Folgesatz: </w:t>
      </w:r>
      <w:r>
        <w:rPr>
          <w:rStyle w:val="Fett"/>
          <w:rFonts w:eastAsiaTheme="majorEastAsia"/>
          <w:rtl/>
        </w:rPr>
        <w:t>וְהָיָה</w:t>
      </w:r>
      <w:r>
        <w:rPr>
          <w:rtl/>
        </w:rPr>
        <w:t xml:space="preserve"> </w:t>
      </w:r>
      <w:r>
        <w:t xml:space="preserve">(Qal Perfekt, 3. Person Maskulinum Singular von </w:t>
      </w:r>
      <w:r>
        <w:rPr>
          <w:rStyle w:val="Fett"/>
          <w:rFonts w:eastAsiaTheme="majorEastAsia"/>
          <w:rtl/>
        </w:rPr>
        <w:t>היה</w:t>
      </w:r>
      <w:r>
        <w:t xml:space="preserve">, „sein", mit </w:t>
      </w:r>
      <w:r>
        <w:rPr>
          <w:rStyle w:val="Fett"/>
          <w:rFonts w:eastAsiaTheme="majorEastAsia"/>
        </w:rPr>
        <w:t>Waw</w:t>
      </w:r>
      <w:r>
        <w:t xml:space="preserve"> consecutives Perfekt), </w:t>
      </w:r>
      <w:r>
        <w:rPr>
          <w:rStyle w:val="Fett"/>
          <w:rFonts w:eastAsiaTheme="majorEastAsia"/>
          <w:rtl/>
        </w:rPr>
        <w:t>לְךָ</w:t>
      </w:r>
      <w:r>
        <w:rPr>
          <w:rtl/>
        </w:rPr>
        <w:t xml:space="preserve"> </w:t>
      </w:r>
      <w:r>
        <w:t xml:space="preserve">(Präposition </w:t>
      </w:r>
      <w:r>
        <w:rPr>
          <w:rStyle w:val="Fett"/>
          <w:rFonts w:eastAsiaTheme="majorEastAsia"/>
          <w:rtl/>
        </w:rPr>
        <w:t>לְ</w:t>
      </w:r>
      <w:r>
        <w:rPr>
          <w:rtl/>
        </w:rPr>
        <w:t xml:space="preserve"> </w:t>
      </w:r>
      <w:r>
        <w:t xml:space="preserve">mit Suffix 2. Person Maskulinum Singular, „dir"), </w:t>
      </w:r>
      <w:r>
        <w:rPr>
          <w:rStyle w:val="Fett"/>
          <w:rFonts w:eastAsiaTheme="majorEastAsia"/>
          <w:rtl/>
        </w:rPr>
        <w:t>עֶבֶד</w:t>
      </w:r>
      <w:r>
        <w:rPr>
          <w:rtl/>
        </w:rPr>
        <w:t xml:space="preserve"> </w:t>
      </w:r>
      <w:r>
        <w:t>(</w:t>
      </w:r>
      <w:r>
        <w:rPr>
          <w:rStyle w:val="Fett"/>
          <w:rFonts w:eastAsiaTheme="majorEastAsia"/>
          <w:rtl/>
        </w:rPr>
        <w:t>עֶבֶד</w:t>
      </w:r>
      <w:r>
        <w:t xml:space="preserve">, „Sklave") als Prädikatsnomen und </w:t>
      </w:r>
      <w:r>
        <w:rPr>
          <w:rStyle w:val="Fett"/>
          <w:rFonts w:eastAsiaTheme="majorEastAsia"/>
          <w:rtl/>
        </w:rPr>
        <w:t>עוֹלָם</w:t>
      </w:r>
      <w:r>
        <w:rPr>
          <w:rtl/>
        </w:rPr>
        <w:t xml:space="preserve"> </w:t>
      </w:r>
      <w:r>
        <w:t>(</w:t>
      </w:r>
      <w:r>
        <w:rPr>
          <w:rStyle w:val="Fett"/>
          <w:rFonts w:eastAsiaTheme="majorEastAsia"/>
          <w:rtl/>
        </w:rPr>
        <w:t>עוֹלָם</w:t>
      </w:r>
      <w:r>
        <w:t>, „Ewigkeit, für immer") als adverbiale Bestimmung.</w:t>
      </w:r>
    </w:p>
    <w:p w14:paraId="58889E26" w14:textId="77777777" w:rsidR="00684135" w:rsidRDefault="00684135" w:rsidP="00684135">
      <w:pPr>
        <w:pStyle w:val="whitespace-normal"/>
      </w:pPr>
      <w:r>
        <w:rPr>
          <w:rStyle w:val="Fett"/>
          <w:rFonts w:eastAsiaTheme="majorEastAsia"/>
          <w:rtl/>
        </w:rPr>
        <w:t>וְאַף לַאֲמָתְךָ תַּעֲשֶׂה־כֵּן</w:t>
      </w:r>
      <w:r>
        <w:rPr>
          <w:rtl/>
        </w:rPr>
        <w:t xml:space="preserve"> </w:t>
      </w:r>
      <w:r>
        <w:t xml:space="preserve">ist die Erweiterung: </w:t>
      </w:r>
      <w:r>
        <w:rPr>
          <w:rStyle w:val="Fett"/>
          <w:rFonts w:eastAsiaTheme="majorEastAsia"/>
          <w:rtl/>
        </w:rPr>
        <w:t>וְאַף</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אַף</w:t>
      </w:r>
      <w:r>
        <w:t xml:space="preserve">, „auch, sogar"), </w:t>
      </w:r>
      <w:r>
        <w:rPr>
          <w:rStyle w:val="Fett"/>
          <w:rFonts w:eastAsiaTheme="majorEastAsia"/>
          <w:rtl/>
        </w:rPr>
        <w:t>לַאֲמָתְךָ</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אָמָה</w:t>
      </w:r>
      <w:r>
        <w:t xml:space="preserve">, „Magd, Sklavin", mit Suffix 2. Person Maskulinum Singular, „an deiner Magd"), </w:t>
      </w:r>
      <w:r>
        <w:rPr>
          <w:rStyle w:val="Fett"/>
          <w:rFonts w:eastAsiaTheme="majorEastAsia"/>
          <w:rtl/>
        </w:rPr>
        <w:t>תַּעֲשֶׂה</w:t>
      </w:r>
      <w:r>
        <w:rPr>
          <w:rtl/>
        </w:rPr>
        <w:t xml:space="preserve"> </w:t>
      </w:r>
      <w:r>
        <w:t xml:space="preserve">(Qal Imperfekt, 2. Person Maskulinum Singular von </w:t>
      </w:r>
      <w:r>
        <w:rPr>
          <w:rStyle w:val="Fett"/>
          <w:rFonts w:eastAsiaTheme="majorEastAsia"/>
          <w:rtl/>
        </w:rPr>
        <w:t>עשׂה</w:t>
      </w:r>
      <w:r>
        <w:t xml:space="preserve">, „tun, machen") und </w:t>
      </w:r>
      <w:r>
        <w:rPr>
          <w:rStyle w:val="Fett"/>
          <w:rFonts w:eastAsiaTheme="majorEastAsia"/>
          <w:rtl/>
        </w:rPr>
        <w:t>כֵּן</w:t>
      </w:r>
      <w:r>
        <w:rPr>
          <w:rtl/>
        </w:rPr>
        <w:t xml:space="preserve"> </w:t>
      </w:r>
      <w:r>
        <w:t>(Adverb, „so, ebenso").</w:t>
      </w:r>
    </w:p>
    <w:p w14:paraId="0C280893" w14:textId="77777777" w:rsidR="00684135" w:rsidRDefault="00684135" w:rsidP="00684135">
      <w:pPr>
        <w:pStyle w:val="whitespace-normal"/>
      </w:pPr>
      <w:r>
        <w:t xml:space="preserve">Der Vers beschreibt das Ritual für lebenslangen Dienst: Die Ohrdurchbohrung an der Tür (oder am Türpfosten). Das Instrument </w:t>
      </w:r>
      <w:r>
        <w:rPr>
          <w:rStyle w:val="Fett"/>
          <w:rFonts w:eastAsiaTheme="majorEastAsia"/>
          <w:rtl/>
        </w:rPr>
        <w:t>מַרְצֵעַ</w:t>
      </w:r>
      <w:r>
        <w:rPr>
          <w:rtl/>
        </w:rPr>
        <w:t xml:space="preserve"> </w:t>
      </w:r>
      <w:r>
        <w:t xml:space="preserve">ist eine Ahle oder ein Pfriem (vgl. Ex 21,6). Die doppelte präpositionale Konstruktion </w:t>
      </w:r>
      <w:r>
        <w:rPr>
          <w:rStyle w:val="Fett"/>
          <w:rFonts w:eastAsiaTheme="majorEastAsia"/>
          <w:rtl/>
        </w:rPr>
        <w:t>בְאָזְנוֹ וּבַדֶּלֶת</w:t>
      </w:r>
      <w:r>
        <w:rPr>
          <w:rtl/>
        </w:rPr>
        <w:t xml:space="preserve"> </w:t>
      </w:r>
      <w:r>
        <w:t>bedeutet: durch das Ohr in/an die Tür – das Ohr wird an der Tür durchbohrt (nicht: Ohr durchbohren und dann an die Tür).</w:t>
      </w:r>
    </w:p>
    <w:p w14:paraId="76DDB109" w14:textId="6C0862AD" w:rsidR="00684135" w:rsidRDefault="00684135" w:rsidP="00684135">
      <w:pPr>
        <w:pStyle w:val="whitespace-normal"/>
      </w:pPr>
      <w:r>
        <w:t xml:space="preserve">Die symbolische Bedeutung: Das Ohr hört die Befehle des Herrn; die Durchbohrung markiert permanente Hörbereitschaft. Die Tür symbolisiert das Haus, an das der Sklave gebunden wird. Die Formulierung </w:t>
      </w:r>
      <w:r>
        <w:rPr>
          <w:rStyle w:val="Fett"/>
          <w:rFonts w:eastAsiaTheme="majorEastAsia"/>
          <w:rtl/>
        </w:rPr>
        <w:t>עֶבֶד עוֹלָם</w:t>
      </w:r>
      <w:r>
        <w:rPr>
          <w:rtl/>
        </w:rPr>
        <w:t xml:space="preserve"> </w:t>
      </w:r>
      <w:r>
        <w:t xml:space="preserve">(„Sklave für immer") bedeutet lebenslang (nicht buchstäblich ewig; vgl. Ex 21,6; </w:t>
      </w:r>
      <w:r w:rsidR="00664EB6">
        <w:t>Lev</w:t>
      </w:r>
      <w:r>
        <w:t xml:space="preserve"> 25,46).</w:t>
      </w:r>
    </w:p>
    <w:p w14:paraId="31DDAAF8" w14:textId="7BA87C44" w:rsidR="00684135" w:rsidRDefault="00684135" w:rsidP="00684135">
      <w:pPr>
        <w:pStyle w:val="whitespace-normal"/>
      </w:pPr>
      <w:r>
        <w:t xml:space="preserve">Die Erweiterung </w:t>
      </w:r>
      <w:r>
        <w:rPr>
          <w:rStyle w:val="Fett"/>
          <w:rFonts w:eastAsiaTheme="majorEastAsia"/>
          <w:rtl/>
        </w:rPr>
        <w:t>וְאַף לַאֲמָתְךָ תַּעֲשֶׂה־כֵּן</w:t>
      </w:r>
      <w:r>
        <w:rPr>
          <w:rtl/>
        </w:rPr>
        <w:t xml:space="preserve"> </w:t>
      </w:r>
      <w:r>
        <w:t>(„auch an deiner Magd sollst du so tun") zeigt: Das Recht gilt auch für weibliche Sklaven – bemerkenswert in einer patriarchalischen Gesellschaft (Ex 21,2-6 erwähnt die Sklavin nicht explizit bei diesem Ritual).</w:t>
      </w:r>
    </w:p>
    <w:p w14:paraId="09B447C6" w14:textId="67B2067D" w:rsidR="00EC21B0" w:rsidRDefault="00EC21B0" w:rsidP="00684135">
      <w:pPr>
        <w:pStyle w:val="whitespace-normal"/>
      </w:pPr>
      <w:r>
        <w:rPr>
          <w:rStyle w:val="Fett"/>
        </w:rPr>
        <w:t>Die LXX</w:t>
      </w:r>
      <w:r>
        <w:t xml:space="preserve"> verwendet ὀπ</w:t>
      </w:r>
      <w:proofErr w:type="spellStart"/>
      <w:r>
        <w:t>ήτιον</w:t>
      </w:r>
      <w:proofErr w:type="spellEnd"/>
      <w:r>
        <w:t xml:space="preserve"> (Pfriem, Ahle) für </w:t>
      </w:r>
      <w:r>
        <w:rPr>
          <w:rtl/>
        </w:rPr>
        <w:t>מַרְצֵעַ</w:t>
      </w:r>
      <w:r>
        <w:t xml:space="preserve"> und </w:t>
      </w:r>
      <w:proofErr w:type="spellStart"/>
      <w:r>
        <w:t>τρυ</w:t>
      </w:r>
      <w:proofErr w:type="spellEnd"/>
      <w:r>
        <w:t xml:space="preserve">πήσεις (du wirst durchbohren) für </w:t>
      </w:r>
      <w:r>
        <w:rPr>
          <w:rtl/>
        </w:rPr>
        <w:t>וְנָתַתָּה</w:t>
      </w:r>
      <w:r>
        <w:t xml:space="preserve"> – eine klarere Beschreibung der Handlung. Der Begriff </w:t>
      </w:r>
      <w:proofErr w:type="spellStart"/>
      <w:r>
        <w:t>οἰκέτης</w:t>
      </w:r>
      <w:proofErr w:type="spellEnd"/>
      <w:r>
        <w:t xml:space="preserve"> (Hausknecht) für </w:t>
      </w:r>
      <w:r>
        <w:rPr>
          <w:rtl/>
        </w:rPr>
        <w:t>עֶבֶד</w:t>
      </w:r>
      <w:r>
        <w:t xml:space="preserve"> betont den häuslichen Status.</w:t>
      </w:r>
    </w:p>
    <w:p w14:paraId="1FF4B9F2" w14:textId="77777777" w:rsidR="00684135" w:rsidRDefault="00684135" w:rsidP="00684135">
      <w:pPr>
        <w:pStyle w:val="whitespace-normal"/>
      </w:pPr>
      <w:r>
        <w:rPr>
          <w:rStyle w:val="Fett"/>
          <w:rFonts w:eastAsiaTheme="majorEastAsia"/>
        </w:rPr>
        <w:t>Die Satzstruktur:</w:t>
      </w:r>
      <w:r>
        <w:t xml:space="preserve"> Drei koordinierte Imperative (nehmen sollst du den Pfriem, setzen in sein Ohr und in die Tür); Folgesatz (und er wird sein dir ein Sklave für immer); Erweiterung (und auch an deiner Magd sollst du tun so).</w:t>
      </w:r>
    </w:p>
    <w:p w14:paraId="0A8E4831" w14:textId="77777777" w:rsidR="00684135" w:rsidRDefault="00684135" w:rsidP="00684135">
      <w:pPr>
        <w:pStyle w:val="whitespace-normal"/>
      </w:pPr>
      <w:r>
        <w:t>Der Vers regelt das Ritual: Durchbohre sein Ohr an der Tür mit einem Pfriem – dann wird er lebenslanger Sklave; dasselbe gilt für Sklavinnen.</w:t>
      </w:r>
    </w:p>
    <w:p w14:paraId="0F743A06" w14:textId="77777777" w:rsidR="00684135" w:rsidRPr="00684135" w:rsidRDefault="00684135" w:rsidP="00684135">
      <w:pPr>
        <w:pStyle w:val="berschrift1"/>
        <w:rPr>
          <w:rFonts w:ascii="Times New Roman" w:hAnsi="Times New Roman"/>
          <w:color w:val="auto"/>
          <w:sz w:val="36"/>
          <w:szCs w:val="36"/>
        </w:rPr>
      </w:pPr>
      <w:r w:rsidRPr="00684135">
        <w:rPr>
          <w:rStyle w:val="Fett"/>
          <w:rFonts w:ascii="Times New Roman" w:hAnsi="Times New Roman"/>
          <w:color w:val="auto"/>
          <w:sz w:val="36"/>
          <w:szCs w:val="36"/>
        </w:rPr>
        <w:lastRenderedPageBreak/>
        <w:t>Deuteronomium 15,18</w:t>
      </w:r>
    </w:p>
    <w:p w14:paraId="78E2B0D3" w14:textId="77777777" w:rsidR="00684135" w:rsidRDefault="00684135" w:rsidP="00684135">
      <w:pPr>
        <w:pStyle w:val="whitespace-normal"/>
      </w:pPr>
      <w:r>
        <w:rPr>
          <w:rStyle w:val="Fett"/>
          <w:rFonts w:eastAsiaTheme="majorEastAsia"/>
        </w:rPr>
        <w:t>Hebräisch:</w:t>
      </w:r>
      <w:r>
        <w:t xml:space="preserve"> </w:t>
      </w:r>
      <w:r>
        <w:rPr>
          <w:rtl/>
        </w:rPr>
        <w:t>לֹא־יִקְשֶׁ֣ה בְעֵינֶ֗ךָ בְּשַׁלֵּֽחֲךָ֙ אֹתוֹ֤ חָפְשִׁי֙ מֵֽעִמָּ֔ךְ כִּ֗י מִשְׁנֶה֙ שְׂכַ֣ר שָׂכִ֔יר עֲבָֽדְךָ֖ שֵׁ֣שׁ שָׁנִ֑ים וּבֵֽרַכְךָ֙ יְהוָ֣ה אֱלֹהֶ֔יךָ בְּכֹ֖ל אֲשֶׁ֥ר תַּעֲשֶֽׂה׃</w:t>
      </w:r>
    </w:p>
    <w:p w14:paraId="2BA674C8" w14:textId="77777777" w:rsidR="00684135" w:rsidRDefault="00684135" w:rsidP="00684135">
      <w:pPr>
        <w:pStyle w:val="whitespace-normal"/>
      </w:pPr>
      <w:r>
        <w:rPr>
          <w:rStyle w:val="Fett"/>
          <w:rFonts w:eastAsiaTheme="majorEastAsia"/>
        </w:rPr>
        <w:t>Deutsch:</w:t>
      </w:r>
      <w:r>
        <w:t xml:space="preserve"> Es soll nicht schwer sein in deinen Augen, wenn du ihn frei von dir wegschickst, denn das Doppelte des Lohnes eines Tagelöhners hat er dir sechs Jahre gedient; und der Ewige, dein Gott, wird dich segnen in allem, was du tust.</w:t>
      </w:r>
    </w:p>
    <w:p w14:paraId="2BDAE650" w14:textId="77777777" w:rsidR="00684135" w:rsidRDefault="004F5CEB" w:rsidP="00684135">
      <w:r>
        <w:rPr>
          <w:noProof/>
        </w:rPr>
        <w:pict w14:anchorId="29ACEB6F">
          <v:rect id="_x0000_i1462" style="width:0;height:1.5pt" o:hralign="center" o:hrstd="t" o:hr="t" fillcolor="#a0a0a0" stroked="f"/>
        </w:pict>
      </w:r>
    </w:p>
    <w:p w14:paraId="07C253BF" w14:textId="77777777" w:rsidR="00684135" w:rsidRDefault="00684135" w:rsidP="00684135">
      <w:pPr>
        <w:pStyle w:val="whitespace-normal"/>
      </w:pPr>
      <w:r>
        <w:rPr>
          <w:rStyle w:val="Fett"/>
          <w:rFonts w:eastAsiaTheme="majorEastAsia"/>
        </w:rPr>
        <w:t>Kommentar:</w:t>
      </w:r>
      <w:r>
        <w:t xml:space="preserve"> </w:t>
      </w:r>
      <w:r>
        <w:rPr>
          <w:rStyle w:val="Fett"/>
          <w:rFonts w:eastAsiaTheme="majorEastAsia"/>
          <w:rtl/>
        </w:rPr>
        <w:t>לֹא־יִקְשֶׁה בְעֵינֶיךָ בְּשַׁלֵּחֲךָ אֹתוֹ חָפְשִׁי מֵעִמָּךְ</w:t>
      </w:r>
      <w:r>
        <w:rPr>
          <w:rtl/>
        </w:rPr>
        <w:t xml:space="preserve"> </w:t>
      </w:r>
      <w:r>
        <w:t xml:space="preserve">ist ein negativer Imperativsatz: </w:t>
      </w:r>
      <w:r>
        <w:rPr>
          <w:rStyle w:val="Fett"/>
          <w:rFonts w:eastAsiaTheme="majorEastAsia"/>
          <w:rtl/>
        </w:rPr>
        <w:t>לֹא־יִקְשֶׁה</w:t>
      </w:r>
      <w:r>
        <w:rPr>
          <w:rtl/>
        </w:rPr>
        <w:t xml:space="preserve"> </w:t>
      </w:r>
      <w:r>
        <w:t xml:space="preserve">(Negation </w:t>
      </w:r>
      <w:r>
        <w:rPr>
          <w:rStyle w:val="Fett"/>
          <w:rFonts w:eastAsiaTheme="majorEastAsia"/>
          <w:rtl/>
        </w:rPr>
        <w:t>לֹא</w:t>
      </w:r>
      <w:r>
        <w:rPr>
          <w:rtl/>
        </w:rPr>
        <w:t xml:space="preserve"> </w:t>
      </w:r>
      <w:r>
        <w:t xml:space="preserve">mit </w:t>
      </w:r>
      <w:r>
        <w:rPr>
          <w:rStyle w:val="Fett"/>
          <w:rFonts w:eastAsiaTheme="majorEastAsia"/>
          <w:rtl/>
        </w:rPr>
        <w:t>קשׁה</w:t>
      </w:r>
      <w:r>
        <w:t xml:space="preserve">, Qal Imperfekt, 3. Person Maskulinum Singular, „schwer/hart sein"), </w:t>
      </w:r>
      <w:r>
        <w:rPr>
          <w:rStyle w:val="Fett"/>
          <w:rFonts w:eastAsiaTheme="majorEastAsia"/>
          <w:rtl/>
        </w:rPr>
        <w:t>בְעֵינֶיךָ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עַיִן</w:t>
      </w:r>
      <w:r>
        <w:t xml:space="preserve">, „Auge", Dual mit Suffix 2. Person Maskulinum Singular, „in deinen Augen"), </w:t>
      </w:r>
      <w:r>
        <w:rPr>
          <w:rStyle w:val="Fett"/>
          <w:rFonts w:eastAsiaTheme="majorEastAsia"/>
          <w:rtl/>
        </w:rPr>
        <w:t>בְּשַׁלֵּחֲךָ</w:t>
      </w:r>
      <w:r>
        <w:rPr>
          <w:rtl/>
        </w:rPr>
        <w:t xml:space="preserve"> </w:t>
      </w:r>
      <w:r>
        <w:t xml:space="preserve">(Präposition </w:t>
      </w:r>
      <w:r>
        <w:rPr>
          <w:rStyle w:val="Fett"/>
          <w:rFonts w:eastAsiaTheme="majorEastAsia"/>
          <w:rtl/>
        </w:rPr>
        <w:t>בְּ</w:t>
      </w:r>
      <w:r>
        <w:rPr>
          <w:rtl/>
        </w:rPr>
        <w:t xml:space="preserve"> </w:t>
      </w:r>
      <w:r>
        <w:t xml:space="preserve">mit Piel Infinitiv Construct von </w:t>
      </w:r>
      <w:r>
        <w:rPr>
          <w:rStyle w:val="Fett"/>
          <w:rFonts w:eastAsiaTheme="majorEastAsia"/>
          <w:rtl/>
        </w:rPr>
        <w:t>שׁלח</w:t>
      </w:r>
      <w:r>
        <w:t xml:space="preserve">, „wegschicken", mit Suffix 2. Person Maskulinum Singular, „wenn du wegschickst"), </w:t>
      </w:r>
      <w:r>
        <w:rPr>
          <w:rStyle w:val="Fett"/>
          <w:rFonts w:eastAsiaTheme="majorEastAsia"/>
          <w:rtl/>
        </w:rPr>
        <w:t>אֹתוֹ</w:t>
      </w:r>
      <w:r>
        <w:rPr>
          <w:rtl/>
        </w:rPr>
        <w:t xml:space="preserve"> </w:t>
      </w:r>
      <w:r>
        <w:t xml:space="preserve">(Objektpartikel </w:t>
      </w:r>
      <w:r>
        <w:rPr>
          <w:rStyle w:val="Fett"/>
          <w:rFonts w:eastAsiaTheme="majorEastAsia"/>
          <w:rtl/>
        </w:rPr>
        <w:t>אֵת</w:t>
      </w:r>
      <w:r>
        <w:rPr>
          <w:rtl/>
        </w:rPr>
        <w:t xml:space="preserve"> </w:t>
      </w:r>
      <w:r>
        <w:t xml:space="preserve">mit Suffix 3. Person Maskulinum Singular, „ihn"), </w:t>
      </w:r>
      <w:r>
        <w:rPr>
          <w:rStyle w:val="Fett"/>
          <w:rFonts w:eastAsiaTheme="majorEastAsia"/>
          <w:rtl/>
        </w:rPr>
        <w:t>חָפְשִׁי</w:t>
      </w:r>
      <w:r>
        <w:rPr>
          <w:rtl/>
        </w:rPr>
        <w:t xml:space="preserve"> </w:t>
      </w:r>
      <w:r>
        <w:t>(</w:t>
      </w:r>
      <w:r>
        <w:rPr>
          <w:rStyle w:val="Fett"/>
          <w:rFonts w:eastAsiaTheme="majorEastAsia"/>
          <w:rtl/>
        </w:rPr>
        <w:t>חָפְשִׁי</w:t>
      </w:r>
      <w:r>
        <w:t xml:space="preserve">, „frei") und </w:t>
      </w:r>
      <w:r>
        <w:rPr>
          <w:rStyle w:val="Fett"/>
          <w:rFonts w:eastAsiaTheme="majorEastAsia"/>
          <w:rtl/>
        </w:rPr>
        <w:t>מֵעִמָּךְ</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עִם</w:t>
      </w:r>
      <w:r>
        <w:rPr>
          <w:rtl/>
        </w:rPr>
        <w:t xml:space="preserve"> </w:t>
      </w:r>
      <w:r>
        <w:t>mit Suffix 2. Person Maskulinum Singular, „von dir").</w:t>
      </w:r>
    </w:p>
    <w:p w14:paraId="45138135" w14:textId="77777777" w:rsidR="00684135" w:rsidRDefault="00684135" w:rsidP="00684135">
      <w:pPr>
        <w:pStyle w:val="whitespace-normal"/>
      </w:pPr>
      <w:r>
        <w:rPr>
          <w:rStyle w:val="Fett"/>
          <w:rFonts w:eastAsiaTheme="majorEastAsia"/>
          <w:rtl/>
        </w:rPr>
        <w:t>כִּי מִשְׁנֶה שְׂכַר שָׂכִיר עֲבָדְךָ שֵׁשׁ שָׁנִים</w:t>
      </w:r>
      <w:r>
        <w:rPr>
          <w:rtl/>
        </w:rPr>
        <w:t xml:space="preserve"> </w:t>
      </w:r>
      <w:r>
        <w:t xml:space="preserve">ist die erste Begründung: </w:t>
      </w:r>
      <w:r>
        <w:rPr>
          <w:rStyle w:val="Fett"/>
          <w:rFonts w:eastAsiaTheme="majorEastAsia"/>
          <w:rtl/>
        </w:rPr>
        <w:t>כִּי</w:t>
      </w:r>
      <w:r>
        <w:rPr>
          <w:rtl/>
        </w:rPr>
        <w:t xml:space="preserve"> </w:t>
      </w:r>
      <w:r>
        <w:t xml:space="preserve">(„denn, weil"), </w:t>
      </w:r>
      <w:r>
        <w:rPr>
          <w:rStyle w:val="Fett"/>
          <w:rFonts w:eastAsiaTheme="majorEastAsia"/>
          <w:rtl/>
        </w:rPr>
        <w:t>מִשְׁנֶה</w:t>
      </w:r>
      <w:r>
        <w:rPr>
          <w:rtl/>
        </w:rPr>
        <w:t xml:space="preserve"> </w:t>
      </w:r>
      <w:r>
        <w:t>(</w:t>
      </w:r>
      <w:r>
        <w:rPr>
          <w:rStyle w:val="Fett"/>
          <w:rFonts w:eastAsiaTheme="majorEastAsia"/>
          <w:rtl/>
        </w:rPr>
        <w:t>מִשְׁנֶה</w:t>
      </w:r>
      <w:r>
        <w:t xml:space="preserve">, „das Doppelte, zweifach", von </w:t>
      </w:r>
      <w:r>
        <w:rPr>
          <w:rStyle w:val="Fett"/>
          <w:rFonts w:eastAsiaTheme="majorEastAsia"/>
          <w:rtl/>
        </w:rPr>
        <w:t>שׁנה</w:t>
      </w:r>
      <w:r>
        <w:t xml:space="preserve">, „wiederholen"), </w:t>
      </w:r>
      <w:r>
        <w:rPr>
          <w:rStyle w:val="Fett"/>
          <w:rFonts w:eastAsiaTheme="majorEastAsia"/>
          <w:rtl/>
        </w:rPr>
        <w:t>שְׂכַר שָׂכִיר</w:t>
      </w:r>
      <w:r>
        <w:rPr>
          <w:rtl/>
        </w:rPr>
        <w:t xml:space="preserve"> </w:t>
      </w:r>
      <w:r>
        <w:t>(</w:t>
      </w:r>
      <w:r>
        <w:rPr>
          <w:rStyle w:val="Fett"/>
          <w:rFonts w:eastAsiaTheme="majorEastAsia"/>
          <w:rtl/>
        </w:rPr>
        <w:t>שָׂכָר</w:t>
      </w:r>
      <w:r>
        <w:t xml:space="preserve">, „Lohn", Construct mit </w:t>
      </w:r>
      <w:r>
        <w:rPr>
          <w:rStyle w:val="Fett"/>
          <w:rFonts w:eastAsiaTheme="majorEastAsia"/>
          <w:rtl/>
        </w:rPr>
        <w:t>שָׂכִיר</w:t>
      </w:r>
      <w:r>
        <w:t xml:space="preserve">, „Tagelöhner, Lohnarbeiter", „den Lohn eines Tagelöhners") als Objekt, </w:t>
      </w:r>
      <w:r>
        <w:rPr>
          <w:rStyle w:val="Fett"/>
          <w:rFonts w:eastAsiaTheme="majorEastAsia"/>
          <w:rtl/>
        </w:rPr>
        <w:t>עֲבָדְךָ</w:t>
      </w:r>
      <w:r>
        <w:rPr>
          <w:rtl/>
        </w:rPr>
        <w:t xml:space="preserve"> </w:t>
      </w:r>
      <w:r>
        <w:t xml:space="preserve">(Qal Perfekt, 3. Person Maskulinum Singular von </w:t>
      </w:r>
      <w:r>
        <w:rPr>
          <w:rStyle w:val="Fett"/>
          <w:rFonts w:eastAsiaTheme="majorEastAsia"/>
          <w:rtl/>
        </w:rPr>
        <w:t>עבד</w:t>
      </w:r>
      <w:r>
        <w:t xml:space="preserve">, „dienen", mit Suffix 2. Person Maskulinum Singular als direktes Objekt, „er hat dir gedient") und </w:t>
      </w:r>
      <w:r>
        <w:rPr>
          <w:rStyle w:val="Fett"/>
          <w:rFonts w:eastAsiaTheme="majorEastAsia"/>
          <w:rtl/>
        </w:rPr>
        <w:t>שֵׁשׁ שָׁנִים</w:t>
      </w:r>
      <w:r>
        <w:rPr>
          <w:rtl/>
        </w:rPr>
        <w:t xml:space="preserve"> </w:t>
      </w:r>
      <w:r>
        <w:t>(</w:t>
      </w:r>
      <w:r>
        <w:rPr>
          <w:rStyle w:val="Fett"/>
          <w:rFonts w:eastAsiaTheme="majorEastAsia"/>
          <w:rtl/>
        </w:rPr>
        <w:t>שֵׁשׁ</w:t>
      </w:r>
      <w:r>
        <w:t xml:space="preserve">, „sechs", mit </w:t>
      </w:r>
      <w:r>
        <w:rPr>
          <w:rStyle w:val="Fett"/>
          <w:rFonts w:eastAsiaTheme="majorEastAsia"/>
          <w:rtl/>
        </w:rPr>
        <w:t>שָׁנָה</w:t>
      </w:r>
      <w:r>
        <w:t>, Plural, „sechs Jahre") als temporale Bestimmung.</w:t>
      </w:r>
    </w:p>
    <w:p w14:paraId="18509849" w14:textId="77777777" w:rsidR="00684135" w:rsidRDefault="00684135" w:rsidP="00684135">
      <w:pPr>
        <w:pStyle w:val="whitespace-normal"/>
      </w:pPr>
      <w:r>
        <w:rPr>
          <w:rStyle w:val="Fett"/>
          <w:rFonts w:eastAsiaTheme="majorEastAsia"/>
          <w:rtl/>
        </w:rPr>
        <w:t>וּבֵרַכְךָ יְהוָה אֱלֹהֶיךָ בְּכֹל אֲשֶׁר תַּעֲשֶׂה</w:t>
      </w:r>
      <w:r>
        <w:rPr>
          <w:rtl/>
        </w:rPr>
        <w:t xml:space="preserve"> </w:t>
      </w:r>
      <w:r>
        <w:t xml:space="preserve">ist die zweite Begründung: </w:t>
      </w:r>
      <w:r>
        <w:rPr>
          <w:rStyle w:val="Fett"/>
          <w:rFonts w:eastAsiaTheme="majorEastAsia"/>
          <w:rtl/>
        </w:rPr>
        <w:t>וּבֵרַכְךָ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ברך</w:t>
      </w:r>
      <w:r>
        <w:t xml:space="preserve">, Piel Perfekt, 3. Person Maskulinum Singular, „segnen", mit Suffix 2. Person Maskulinum Singular und </w:t>
      </w:r>
      <w:r>
        <w:rPr>
          <w:rStyle w:val="Fett"/>
          <w:rFonts w:eastAsiaTheme="majorEastAsia"/>
        </w:rPr>
        <w:t>Waw</w:t>
      </w:r>
      <w:r>
        <w:t xml:space="preserve"> consecutives Perfekt), </w:t>
      </w:r>
      <w:r>
        <w:rPr>
          <w:rStyle w:val="Fett"/>
          <w:rFonts w:eastAsiaTheme="majorEastAsia"/>
          <w:rtl/>
        </w:rPr>
        <w:t>יְהוָה אֱלֹהֶיךָ</w:t>
      </w:r>
      <w:r>
        <w:rPr>
          <w:rtl/>
        </w:rPr>
        <w:t xml:space="preserve"> </w:t>
      </w:r>
      <w:r>
        <w:t xml:space="preserve">als Subjekt, </w:t>
      </w:r>
      <w:r>
        <w:rPr>
          <w:rStyle w:val="Fett"/>
          <w:rFonts w:eastAsiaTheme="majorEastAsia"/>
          <w:rtl/>
        </w:rPr>
        <w:t>בְּכֹל אֲשֶׁר תַּעֲשֶׂה</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כֹּל</w:t>
      </w:r>
      <w:r>
        <w:t xml:space="preserve">, „all", Relativsatz: </w:t>
      </w:r>
      <w:r>
        <w:rPr>
          <w:rStyle w:val="Fett"/>
          <w:rFonts w:eastAsiaTheme="majorEastAsia"/>
          <w:rtl/>
        </w:rPr>
        <w:t>אֲשֶׁר תַּעֲשֶׂה</w:t>
      </w:r>
      <w:r>
        <w:t xml:space="preserve">, </w:t>
      </w:r>
      <w:r>
        <w:rPr>
          <w:rStyle w:val="Fett"/>
          <w:rFonts w:eastAsiaTheme="majorEastAsia"/>
          <w:rtl/>
        </w:rPr>
        <w:t>אֲשֶׁר</w:t>
      </w:r>
      <w:r>
        <w:rPr>
          <w:rtl/>
        </w:rPr>
        <w:t xml:space="preserve"> </w:t>
      </w:r>
      <w:r>
        <w:t xml:space="preserve">mit </w:t>
      </w:r>
      <w:r>
        <w:rPr>
          <w:rStyle w:val="Fett"/>
          <w:rFonts w:eastAsiaTheme="majorEastAsia"/>
          <w:rtl/>
        </w:rPr>
        <w:t>עשׂה</w:t>
      </w:r>
      <w:r>
        <w:t>, Qal Imperfekt, 2. Person Maskulinum Singular, „tun", „in allem, was du tust").</w:t>
      </w:r>
    </w:p>
    <w:p w14:paraId="66EEEDAD" w14:textId="77777777" w:rsidR="00684135" w:rsidRDefault="00684135" w:rsidP="00684135">
      <w:pPr>
        <w:pStyle w:val="whitespace-normal"/>
      </w:pPr>
      <w:r>
        <w:t xml:space="preserve">Der Vers ermutigt zur Freilassung mit zwei Argumenten: (1) Wirtschaftlich: Der Sklave hat </w:t>
      </w:r>
      <w:r>
        <w:rPr>
          <w:rStyle w:val="Fett"/>
          <w:rFonts w:eastAsiaTheme="majorEastAsia"/>
          <w:rtl/>
        </w:rPr>
        <w:t>מִשְׁנֶה שְׂכַר שָׂכִיר</w:t>
      </w:r>
      <w:r>
        <w:rPr>
          <w:rtl/>
        </w:rPr>
        <w:t xml:space="preserve"> </w:t>
      </w:r>
      <w:r>
        <w:t>(„das Doppelte des Lohnes eines Tagelöhners") erwirtschaftet. Die rabbinische Auslegung: Ein Sklave arbeitet Tag und Nacht, ein Tagelöhner nur tagsüber – daher doppelter Wert. (2) Theologisch: JHWH wird segnen (vgl. V. 10).</w:t>
      </w:r>
    </w:p>
    <w:p w14:paraId="7720F8C9" w14:textId="4059683D" w:rsidR="00684135" w:rsidRDefault="00684135" w:rsidP="00684135">
      <w:pPr>
        <w:pStyle w:val="whitespace-normal"/>
      </w:pPr>
      <w:r>
        <w:t xml:space="preserve">Die Wendung </w:t>
      </w:r>
      <w:r>
        <w:rPr>
          <w:rStyle w:val="Fett"/>
          <w:rFonts w:eastAsiaTheme="majorEastAsia"/>
          <w:rtl/>
        </w:rPr>
        <w:t>לֹא־יִקְשֶׁה בְעֵינֶיךָ</w:t>
      </w:r>
      <w:r>
        <w:rPr>
          <w:rtl/>
        </w:rPr>
        <w:t xml:space="preserve"> </w:t>
      </w:r>
      <w:r>
        <w:t xml:space="preserve">(„es soll nicht schwer sein in deinen Augen") verwendet die Körpermetapher: „schwer in den Augen" = schwer erscheinen, als Last empfunden werden (vgl. Gen 21,11.12; Num 22,34; Dtn 1,17; 15,18; </w:t>
      </w:r>
      <w:r w:rsidR="00664EB6">
        <w:t>1Sam</w:t>
      </w:r>
      <w:r>
        <w:t xml:space="preserve"> 20,10; Neh 13,26). Der Herr soll die Freilassung nicht bedauern oder als Verlust empfinden.</w:t>
      </w:r>
    </w:p>
    <w:p w14:paraId="7BE358E8" w14:textId="0C054AA0" w:rsidR="00A93C3C" w:rsidRDefault="00A93C3C" w:rsidP="00684135">
      <w:pPr>
        <w:pStyle w:val="whitespace-normal"/>
      </w:pPr>
      <w:r>
        <w:rPr>
          <w:rStyle w:val="Fett"/>
        </w:rPr>
        <w:t>Die LXX</w:t>
      </w:r>
      <w:r>
        <w:t xml:space="preserve"> verwendet </w:t>
      </w:r>
      <w:proofErr w:type="spellStart"/>
      <w:r>
        <w:t>ἐφέτειον</w:t>
      </w:r>
      <w:proofErr w:type="spellEnd"/>
      <w:r>
        <w:t xml:space="preserve"> (doppelt, zweijährig) für </w:t>
      </w:r>
      <w:r>
        <w:rPr>
          <w:rtl/>
        </w:rPr>
        <w:t>מִשְׁנֶה</w:t>
      </w:r>
      <w:r>
        <w:t xml:space="preserve"> (das Doppelte) – ein Begriff, der sowohl "doppelt" als auch "zweijährig" bedeuten kann, was eine mögliche Bedeutungsambiguität einführt.</w:t>
      </w:r>
    </w:p>
    <w:p w14:paraId="46F52949" w14:textId="77777777" w:rsidR="00684135" w:rsidRDefault="00684135" w:rsidP="00684135">
      <w:pPr>
        <w:pStyle w:val="whitespace-normal"/>
      </w:pPr>
      <w:r>
        <w:rPr>
          <w:rStyle w:val="Fett"/>
          <w:rFonts w:eastAsiaTheme="majorEastAsia"/>
        </w:rPr>
        <w:lastRenderedPageBreak/>
        <w:t>Die Satzstruktur:</w:t>
      </w:r>
      <w:r>
        <w:t xml:space="preserve"> Negativer Imperativsatz (nicht soll schwer sein in deinen Augen wenn du wegschickst ihn frei von dir); erste kausale Begründung (denn das Doppelte des Lohnes eines Tagelöhners hat er dir gedient sechs Jahre); zweite kausale Begründung (und segnen wird dich JHWH, dein Gott, in allem, was du tust).</w:t>
      </w:r>
    </w:p>
    <w:p w14:paraId="463DAF82" w14:textId="77777777" w:rsidR="00684135" w:rsidRDefault="00684135" w:rsidP="00684135">
      <w:pPr>
        <w:pStyle w:val="whitespace-normal"/>
      </w:pPr>
      <w:r>
        <w:t>Der Vers ermutigt: Empfinde die Freilassung nicht als Verlust – der Sklave hat das Doppelte eines Tagelöhners erwirtschaftet, und JHWH wird dich segnen.</w:t>
      </w:r>
    </w:p>
    <w:p w14:paraId="4782EDD6" w14:textId="77777777" w:rsidR="00684135" w:rsidRPr="00684135" w:rsidRDefault="00684135" w:rsidP="00684135">
      <w:pPr>
        <w:pStyle w:val="berschrift1"/>
        <w:rPr>
          <w:rFonts w:ascii="Times New Roman" w:hAnsi="Times New Roman"/>
          <w:color w:val="auto"/>
          <w:sz w:val="36"/>
          <w:szCs w:val="36"/>
        </w:rPr>
      </w:pPr>
      <w:r w:rsidRPr="00684135">
        <w:rPr>
          <w:rStyle w:val="Fett"/>
          <w:rFonts w:ascii="Times New Roman" w:hAnsi="Times New Roman"/>
          <w:color w:val="auto"/>
          <w:sz w:val="36"/>
          <w:szCs w:val="36"/>
        </w:rPr>
        <w:t>Deuteronomium 15,19</w:t>
      </w:r>
    </w:p>
    <w:p w14:paraId="04EAFBE5" w14:textId="77777777" w:rsidR="00684135" w:rsidRDefault="00684135" w:rsidP="00684135">
      <w:pPr>
        <w:pStyle w:val="whitespace-normal"/>
      </w:pPr>
      <w:r>
        <w:rPr>
          <w:rStyle w:val="Fett"/>
          <w:rFonts w:eastAsiaTheme="majorEastAsia"/>
        </w:rPr>
        <w:t>Hebräisch:</w:t>
      </w:r>
      <w:r>
        <w:t xml:space="preserve"> </w:t>
      </w:r>
      <w:r>
        <w:rPr>
          <w:rtl/>
        </w:rPr>
        <w:t>כָּֽל־הַבְּכ֡וֹר אֲשֶׁר֩ יִוָּלֵ֨ד בִּבְקָרְךָ֤ וּבְצֹֽאנְךָ֙ הַזָּכָ֔ר תַּקְדִּ֖ישׁ לַיהוָ֣ה אֱלֹהֶ֑יךָ לֹ֤א תַעֲבֹד֙ בִּבְכֹ֣ר שׁוֹרֶ֔ךָ וְלֹ֥א תָגֹ֖ז בְּכ֥וֹר צֹאנֶֽךָ׃</w:t>
      </w:r>
    </w:p>
    <w:p w14:paraId="45CE28CD" w14:textId="77777777" w:rsidR="00684135" w:rsidRDefault="00684135" w:rsidP="00684135">
      <w:pPr>
        <w:pStyle w:val="whitespace-normal"/>
      </w:pPr>
      <w:r>
        <w:rPr>
          <w:rStyle w:val="Fett"/>
          <w:rFonts w:eastAsiaTheme="majorEastAsia"/>
        </w:rPr>
        <w:t>Deutsch:</w:t>
      </w:r>
      <w:r>
        <w:t xml:space="preserve"> Alles Erstgeborene, das unter deinen Rindern und unter deinem Kleinvieh männlich geboren wird, sollst du dem Ewigen, deinem Gott, heiligen. Du sollst nicht mit dem Erstgeborenen deines Rindes arbeiten, und du sollst das Erstgeborene deines Kleinviehs nicht scheren.</w:t>
      </w:r>
    </w:p>
    <w:p w14:paraId="11002B8C" w14:textId="77777777" w:rsidR="00684135" w:rsidRDefault="004F5CEB" w:rsidP="00684135">
      <w:r>
        <w:rPr>
          <w:noProof/>
        </w:rPr>
        <w:pict w14:anchorId="69D0DA43">
          <v:rect id="_x0000_i1463" style="width:0;height:1.5pt" o:hralign="center" o:hrstd="t" o:hr="t" fillcolor="#a0a0a0" stroked="f"/>
        </w:pict>
      </w:r>
    </w:p>
    <w:p w14:paraId="4E9362FD" w14:textId="1BCF9D18" w:rsidR="00684135" w:rsidRDefault="00684135" w:rsidP="00684135">
      <w:pPr>
        <w:pStyle w:val="whitespace-normal"/>
      </w:pPr>
      <w:r>
        <w:rPr>
          <w:rStyle w:val="Fett"/>
          <w:rFonts w:eastAsiaTheme="majorEastAsia"/>
        </w:rPr>
        <w:t>Kommentar:</w:t>
      </w:r>
      <w:r>
        <w:t xml:space="preserve"> </w:t>
      </w:r>
      <w:r>
        <w:rPr>
          <w:rStyle w:val="Fett"/>
          <w:rFonts w:eastAsiaTheme="majorEastAsia"/>
          <w:rtl/>
        </w:rPr>
        <w:t>כָּל־הַבְּכוֹר אֲשֶׁר יִוָּלֵד בִּבְקָרְךָ וּבְצֹאנְךָ הַזָּכָר תַּקְדִּישׁ לַיהוָה אֱלֹהֶיךָ</w:t>
      </w:r>
      <w:r>
        <w:rPr>
          <w:rtl/>
        </w:rPr>
        <w:t xml:space="preserve"> </w:t>
      </w:r>
      <w:r>
        <w:t xml:space="preserve">ist ein Imperativsatz: </w:t>
      </w:r>
      <w:r>
        <w:rPr>
          <w:rStyle w:val="Fett"/>
          <w:rFonts w:eastAsiaTheme="majorEastAsia"/>
          <w:rtl/>
        </w:rPr>
        <w:t>כָּל־הַבְּכוֹר</w:t>
      </w:r>
      <w:r>
        <w:rPr>
          <w:rtl/>
        </w:rPr>
        <w:t xml:space="preserve"> </w:t>
      </w:r>
      <w:r>
        <w:t>(</w:t>
      </w:r>
      <w:r>
        <w:rPr>
          <w:rStyle w:val="Fett"/>
          <w:rFonts w:eastAsiaTheme="majorEastAsia"/>
          <w:rtl/>
        </w:rPr>
        <w:t>כֹּל</w:t>
      </w:r>
      <w:r>
        <w:t xml:space="preserve">, „all, jedes", im Construct mit </w:t>
      </w:r>
      <w:r>
        <w:rPr>
          <w:rStyle w:val="Fett"/>
          <w:rFonts w:eastAsiaTheme="majorEastAsia"/>
          <w:rtl/>
        </w:rPr>
        <w:t>בְּכוֹר</w:t>
      </w:r>
      <w:r>
        <w:t xml:space="preserve">, „Erstgeborenes, Erstling", mit Artikel), </w:t>
      </w:r>
      <w:r>
        <w:rPr>
          <w:rStyle w:val="Fett"/>
          <w:rFonts w:eastAsiaTheme="majorEastAsia"/>
          <w:rtl/>
        </w:rPr>
        <w:t>אֲשֶׁר יִוָּלֵד בִּבְקָרְךָ וּבְצֹאנְךָ</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יִוָּלֵד</w:t>
      </w:r>
      <w:r>
        <w:t xml:space="preserve">, Niphal Imperfekt, 3. Person Maskulinum Singular von </w:t>
      </w:r>
      <w:r>
        <w:rPr>
          <w:rStyle w:val="Fett"/>
          <w:rFonts w:eastAsiaTheme="majorEastAsia"/>
          <w:rtl/>
        </w:rPr>
        <w:t>ילד</w:t>
      </w:r>
      <w:r>
        <w:t xml:space="preserve">, „gebären", passivisch „geboren werden", </w:t>
      </w:r>
      <w:r>
        <w:rPr>
          <w:rStyle w:val="Fett"/>
          <w:rFonts w:eastAsiaTheme="majorEastAsia"/>
          <w:rtl/>
        </w:rPr>
        <w:t>בִּבְקָרְךָ</w:t>
      </w:r>
      <w:r>
        <w:t xml:space="preserve">, Präposition </w:t>
      </w:r>
      <w:r>
        <w:rPr>
          <w:rStyle w:val="Fett"/>
          <w:rFonts w:eastAsiaTheme="majorEastAsia"/>
          <w:rtl/>
        </w:rPr>
        <w:t>בְּ</w:t>
      </w:r>
      <w:r>
        <w:rPr>
          <w:rtl/>
        </w:rPr>
        <w:t xml:space="preserve"> </w:t>
      </w:r>
      <w:r>
        <w:t xml:space="preserve">mit </w:t>
      </w:r>
      <w:r>
        <w:rPr>
          <w:rStyle w:val="Fett"/>
          <w:rFonts w:eastAsiaTheme="majorEastAsia"/>
          <w:rtl/>
        </w:rPr>
        <w:t>בָּקָר</w:t>
      </w:r>
      <w:r>
        <w:t xml:space="preserve">, „Rind, Rindvieh", mit Suffix 2. Person Maskulinum Singular, koordiniert durch </w:t>
      </w:r>
      <w:r>
        <w:rPr>
          <w:rStyle w:val="Fett"/>
          <w:rFonts w:eastAsiaTheme="majorEastAsia"/>
          <w:rtl/>
        </w:rPr>
        <w:t>וּבְ</w:t>
      </w:r>
      <w:r>
        <w:rPr>
          <w:rtl/>
        </w:rPr>
        <w:t xml:space="preserve"> </w:t>
      </w:r>
      <w:r>
        <w:t xml:space="preserve">mit </w:t>
      </w:r>
      <w:r>
        <w:rPr>
          <w:rStyle w:val="Fett"/>
          <w:rFonts w:eastAsiaTheme="majorEastAsia"/>
          <w:rtl/>
        </w:rPr>
        <w:t>צֹאן</w:t>
      </w:r>
      <w:r>
        <w:t xml:space="preserve">, „Kleinvieh", mit Suffix 2. Person Maskulinum Singular), </w:t>
      </w:r>
      <w:r>
        <w:rPr>
          <w:rStyle w:val="Fett"/>
          <w:rFonts w:eastAsiaTheme="majorEastAsia"/>
          <w:rtl/>
        </w:rPr>
        <w:t>הַזָּכָר</w:t>
      </w:r>
      <w:r>
        <w:rPr>
          <w:rtl/>
        </w:rPr>
        <w:t xml:space="preserve"> </w:t>
      </w:r>
      <w:r>
        <w:t>(</w:t>
      </w:r>
      <w:r>
        <w:rPr>
          <w:rStyle w:val="Fett"/>
          <w:rFonts w:eastAsiaTheme="majorEastAsia"/>
          <w:rtl/>
        </w:rPr>
        <w:t>זָכָר</w:t>
      </w:r>
      <w:r>
        <w:t xml:space="preserve">, „männlich", mit Artikel, in Apposition), </w:t>
      </w:r>
      <w:r>
        <w:rPr>
          <w:rStyle w:val="Fett"/>
          <w:rFonts w:eastAsiaTheme="majorEastAsia"/>
          <w:rtl/>
        </w:rPr>
        <w:t>תַּקְדִּישׁ</w:t>
      </w:r>
      <w:r>
        <w:rPr>
          <w:rtl/>
        </w:rPr>
        <w:t xml:space="preserve"> </w:t>
      </w:r>
      <w:r>
        <w:t xml:space="preserve">(Hiphil Imperfekt, 2. Person Maskulinum Singular von </w:t>
      </w:r>
      <w:r>
        <w:rPr>
          <w:rStyle w:val="Fett"/>
          <w:rFonts w:eastAsiaTheme="majorEastAsia"/>
          <w:rtl/>
        </w:rPr>
        <w:t>קדשׁ</w:t>
      </w:r>
      <w:r>
        <w:t xml:space="preserve">, „heilig sein", in der Hiphil-Form „heiligen, weihen") und </w:t>
      </w:r>
      <w:r>
        <w:rPr>
          <w:rStyle w:val="Fett"/>
          <w:rFonts w:eastAsiaTheme="majorEastAsia"/>
          <w:rtl/>
        </w:rPr>
        <w:t>לַיהוָה אֱלֹהֶיךָ</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יְהוָה אֱלֹהֶיךָ</w:t>
      </w:r>
      <w:r>
        <w:t>, „</w:t>
      </w:r>
      <w:r w:rsidR="00281FDB">
        <w:t>JHWH</w:t>
      </w:r>
      <w:r>
        <w:t>, deinem Gott") als Dativ.</w:t>
      </w:r>
    </w:p>
    <w:p w14:paraId="0749688B" w14:textId="77777777" w:rsidR="00684135" w:rsidRDefault="00684135" w:rsidP="00684135">
      <w:pPr>
        <w:pStyle w:val="whitespace-normal"/>
      </w:pPr>
      <w:r>
        <w:rPr>
          <w:rStyle w:val="Fett"/>
          <w:rFonts w:eastAsiaTheme="majorEastAsia"/>
          <w:rtl/>
        </w:rPr>
        <w:t>לֹא תַעֲבֹד בִּבְכֹר שׁוֹרֶךָ וְלֹא תָגֹז בְּכוֹר צֹאנֶךָ</w:t>
      </w:r>
      <w:r>
        <w:rPr>
          <w:rtl/>
        </w:rPr>
        <w:t xml:space="preserve"> </w:t>
      </w:r>
      <w:r>
        <w:t xml:space="preserve">sind zwei koordinierte negative Imperative: </w:t>
      </w:r>
      <w:r>
        <w:rPr>
          <w:rStyle w:val="Fett"/>
          <w:rFonts w:eastAsiaTheme="majorEastAsia"/>
          <w:rtl/>
        </w:rPr>
        <w:t>לֹא תַעֲבֹד</w:t>
      </w:r>
      <w:r>
        <w:rPr>
          <w:rtl/>
        </w:rPr>
        <w:t xml:space="preserve"> </w:t>
      </w:r>
      <w:r>
        <w:t xml:space="preserve">(Negation </w:t>
      </w:r>
      <w:r>
        <w:rPr>
          <w:rStyle w:val="Fett"/>
          <w:rFonts w:eastAsiaTheme="majorEastAsia"/>
          <w:rtl/>
        </w:rPr>
        <w:t>לֹא</w:t>
      </w:r>
      <w:r>
        <w:rPr>
          <w:rtl/>
        </w:rPr>
        <w:t xml:space="preserve"> </w:t>
      </w:r>
      <w:r>
        <w:t xml:space="preserve">mit </w:t>
      </w:r>
      <w:r>
        <w:rPr>
          <w:rStyle w:val="Fett"/>
          <w:rFonts w:eastAsiaTheme="majorEastAsia"/>
          <w:rtl/>
        </w:rPr>
        <w:t>עבד</w:t>
      </w:r>
      <w:r>
        <w:t xml:space="preserve">, Qal Imperfekt, 2. Person Maskulinum Singular, „arbeiten"), </w:t>
      </w:r>
      <w:r>
        <w:rPr>
          <w:rStyle w:val="Fett"/>
          <w:rFonts w:eastAsiaTheme="majorEastAsia"/>
          <w:rtl/>
        </w:rPr>
        <w:t>בִּבְכֹר שׁוֹרֶךָ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בְּכוֹר</w:t>
      </w:r>
      <w:r>
        <w:t xml:space="preserve">, Construct mit </w:t>
      </w:r>
      <w:r>
        <w:rPr>
          <w:rStyle w:val="Fett"/>
          <w:rFonts w:eastAsiaTheme="majorEastAsia"/>
          <w:rtl/>
        </w:rPr>
        <w:t>שׁוֹר</w:t>
      </w:r>
      <w:r>
        <w:t xml:space="preserve">, „Rind, Ochse, Stier", mit Suffix 2. Person Maskulinum Singular, „mit dem Erstgeborenen deines Rindes"), koordiniert durch </w:t>
      </w:r>
      <w:r>
        <w:rPr>
          <w:rStyle w:val="Fett"/>
          <w:rFonts w:eastAsiaTheme="majorEastAsia"/>
          <w:rtl/>
        </w:rPr>
        <w:t>וְלֹא</w:t>
      </w:r>
      <w:r>
        <w:rPr>
          <w:rtl/>
        </w:rPr>
        <w:t xml:space="preserve"> </w:t>
      </w:r>
      <w:r>
        <w:t xml:space="preserve">mit </w:t>
      </w:r>
      <w:r>
        <w:rPr>
          <w:rStyle w:val="Fett"/>
          <w:rFonts w:eastAsiaTheme="majorEastAsia"/>
          <w:rtl/>
        </w:rPr>
        <w:t>תָגֹז</w:t>
      </w:r>
      <w:r>
        <w:rPr>
          <w:rtl/>
        </w:rPr>
        <w:t xml:space="preserve"> </w:t>
      </w:r>
      <w:r>
        <w:t xml:space="preserve">(Qal Imperfekt, 2. Person Maskulinum Singular von </w:t>
      </w:r>
      <w:r>
        <w:rPr>
          <w:rStyle w:val="Fett"/>
          <w:rFonts w:eastAsiaTheme="majorEastAsia"/>
          <w:rtl/>
        </w:rPr>
        <w:t>גזז</w:t>
      </w:r>
      <w:r>
        <w:t xml:space="preserve">, „scheren") und </w:t>
      </w:r>
      <w:r>
        <w:rPr>
          <w:rStyle w:val="Fett"/>
          <w:rFonts w:eastAsiaTheme="majorEastAsia"/>
          <w:rtl/>
        </w:rPr>
        <w:t>בְּכוֹר צֹאנֶךָ</w:t>
      </w:r>
      <w:r>
        <w:rPr>
          <w:rtl/>
        </w:rPr>
        <w:t xml:space="preserve"> </w:t>
      </w:r>
      <w:r>
        <w:t>(</w:t>
      </w:r>
      <w:r>
        <w:rPr>
          <w:rStyle w:val="Fett"/>
          <w:rFonts w:eastAsiaTheme="majorEastAsia"/>
          <w:rtl/>
        </w:rPr>
        <w:t>בְּכוֹר</w:t>
      </w:r>
      <w:r>
        <w:t xml:space="preserve">, Construct mit </w:t>
      </w:r>
      <w:r>
        <w:rPr>
          <w:rStyle w:val="Fett"/>
          <w:rFonts w:eastAsiaTheme="majorEastAsia"/>
          <w:rtl/>
        </w:rPr>
        <w:t>צֹאן</w:t>
      </w:r>
      <w:r>
        <w:rPr>
          <w:rtl/>
        </w:rPr>
        <w:t xml:space="preserve"> </w:t>
      </w:r>
      <w:r>
        <w:t>mit Suffix 2. Person Maskulinum Singular, „das Erstgeborene deines Kleinviehs").</w:t>
      </w:r>
    </w:p>
    <w:p w14:paraId="263C4DCD" w14:textId="5B9E4587" w:rsidR="00684135" w:rsidRDefault="00684135" w:rsidP="00684135">
      <w:pPr>
        <w:pStyle w:val="whitespace-normal"/>
      </w:pPr>
      <w:r>
        <w:t xml:space="preserve">Der Vers leitet zu einem neuen Thema über: Erstgeburtsopfer. Die Heiligung der Erstgeburt ist altes Bundesrecht (vgl. Ex 13,2.12-15; 22,28-29; 34,19-20; Num 18,15-18; </w:t>
      </w:r>
      <w:r w:rsidR="00664EB6">
        <w:t>Lev</w:t>
      </w:r>
      <w:r>
        <w:t xml:space="preserve"> 27,26). Das Verb </w:t>
      </w:r>
      <w:r>
        <w:rPr>
          <w:rStyle w:val="Fett"/>
          <w:rFonts w:eastAsiaTheme="majorEastAsia"/>
          <w:rtl/>
        </w:rPr>
        <w:t>קדשׁ</w:t>
      </w:r>
      <w:r>
        <w:rPr>
          <w:rtl/>
        </w:rPr>
        <w:t xml:space="preserve"> </w:t>
      </w:r>
      <w:r>
        <w:t>im Hiphil („heiligen, weihen") bedeutet: für JHWH absondern, ihm weihen.</w:t>
      </w:r>
    </w:p>
    <w:p w14:paraId="728178E0" w14:textId="77777777" w:rsidR="00684135" w:rsidRDefault="00684135" w:rsidP="00684135">
      <w:pPr>
        <w:pStyle w:val="whitespace-normal"/>
      </w:pPr>
      <w:r>
        <w:t xml:space="preserve">Die Spezifikation </w:t>
      </w:r>
      <w:r>
        <w:rPr>
          <w:rStyle w:val="Fett"/>
          <w:rFonts w:eastAsiaTheme="majorEastAsia"/>
          <w:rtl/>
        </w:rPr>
        <w:t>הַזָּכָר</w:t>
      </w:r>
      <w:r>
        <w:rPr>
          <w:rtl/>
        </w:rPr>
        <w:t xml:space="preserve"> </w:t>
      </w:r>
      <w:r>
        <w:t xml:space="preserve">(„das männliche") grenzt ab: Nur männliche Erstgeburten werden geweiht (weibliche Erstgeburten nicht; vgl. Ex 13,12; 34,19). Die beiden Tierarten </w:t>
      </w:r>
      <w:r>
        <w:rPr>
          <w:rStyle w:val="Fett"/>
          <w:rFonts w:eastAsiaTheme="majorEastAsia"/>
          <w:rtl/>
        </w:rPr>
        <w:t>בָּקָר</w:t>
      </w:r>
      <w:r>
        <w:rPr>
          <w:rtl/>
        </w:rPr>
        <w:t xml:space="preserve"> </w:t>
      </w:r>
      <w:r>
        <w:t xml:space="preserve">(Rinder) und </w:t>
      </w:r>
      <w:r>
        <w:rPr>
          <w:rStyle w:val="Fett"/>
          <w:rFonts w:eastAsiaTheme="majorEastAsia"/>
          <w:rtl/>
        </w:rPr>
        <w:t>צֹאן</w:t>
      </w:r>
      <w:r>
        <w:rPr>
          <w:rtl/>
        </w:rPr>
        <w:t xml:space="preserve"> </w:t>
      </w:r>
      <w:r>
        <w:t>(Kleinvieh: Schafe und Ziegen) decken die wichtigsten Nutztiere ab.</w:t>
      </w:r>
    </w:p>
    <w:p w14:paraId="6C072D8C" w14:textId="1E4AA80A" w:rsidR="00684135" w:rsidRDefault="00684135" w:rsidP="00684135">
      <w:pPr>
        <w:pStyle w:val="whitespace-normal"/>
      </w:pPr>
      <w:r>
        <w:lastRenderedPageBreak/>
        <w:t xml:space="preserve">Die beiden Verbote konkretisieren die Heiligung: (1) </w:t>
      </w:r>
      <w:r>
        <w:rPr>
          <w:rStyle w:val="Fett"/>
          <w:rFonts w:eastAsiaTheme="majorEastAsia"/>
          <w:rtl/>
        </w:rPr>
        <w:t>לֹא תַעֲבֹד בִּבְכֹר שׁוֹרֶךָ</w:t>
      </w:r>
      <w:r>
        <w:rPr>
          <w:rtl/>
        </w:rPr>
        <w:t xml:space="preserve"> </w:t>
      </w:r>
      <w:r>
        <w:t xml:space="preserve">(„du sollst nicht arbeiten mit dem Erstgeborenen deines Rindes") – kein Pflügen, Ziehen, Lastentragen; (2) </w:t>
      </w:r>
      <w:r>
        <w:rPr>
          <w:rStyle w:val="Fett"/>
          <w:rFonts w:eastAsiaTheme="majorEastAsia"/>
          <w:rtl/>
        </w:rPr>
        <w:t>וְלֹא תָגֹז בְּכוֹר צֹאנֶךָ</w:t>
      </w:r>
      <w:r>
        <w:rPr>
          <w:rtl/>
        </w:rPr>
        <w:t xml:space="preserve"> </w:t>
      </w:r>
      <w:r>
        <w:t>(„du sollst nicht scheren das Erstgeborene deines Kleinviehs") – keine Wollgewinnung. Das Erstgeborene darf nicht profan genutzt werden, es ist JHWH geweiht.</w:t>
      </w:r>
    </w:p>
    <w:p w14:paraId="311D54E3" w14:textId="4DA9C7FE" w:rsidR="00EC21B0" w:rsidRDefault="00EC21B0" w:rsidP="00684135">
      <w:pPr>
        <w:pStyle w:val="whitespace-normal"/>
      </w:pPr>
      <w:r>
        <w:rPr>
          <w:rStyle w:val="Fett"/>
        </w:rPr>
        <w:t>Die LXX</w:t>
      </w:r>
      <w:r>
        <w:t xml:space="preserve"> expliziert </w:t>
      </w:r>
      <w:proofErr w:type="spellStart"/>
      <w:r>
        <w:t>τὰ</w:t>
      </w:r>
      <w:proofErr w:type="spellEnd"/>
      <w:r>
        <w:t xml:space="preserve"> </w:t>
      </w:r>
      <w:proofErr w:type="spellStart"/>
      <w:r>
        <w:t>ἀρσενικὰ</w:t>
      </w:r>
      <w:proofErr w:type="spellEnd"/>
      <w:r>
        <w:t xml:space="preserve"> (die männlichen) für </w:t>
      </w:r>
      <w:r w:rsidRPr="00EC21B0">
        <w:rPr>
          <w:b/>
          <w:bCs/>
          <w:rtl/>
        </w:rPr>
        <w:t>הַזָּכָר</w:t>
      </w:r>
      <w:r>
        <w:t xml:space="preserve">. Die Wendung </w:t>
      </w:r>
      <w:proofErr w:type="spellStart"/>
      <w:r>
        <w:t>οὐκ</w:t>
      </w:r>
      <w:proofErr w:type="spellEnd"/>
      <w:r>
        <w:t xml:space="preserve"> </w:t>
      </w:r>
      <w:proofErr w:type="spellStart"/>
      <w:r>
        <w:t>ἐργᾷ</w:t>
      </w:r>
      <w:proofErr w:type="spellEnd"/>
      <w:r>
        <w:t xml:space="preserve"> </w:t>
      </w:r>
      <w:proofErr w:type="spellStart"/>
      <w:r>
        <w:t>ἐν</w:t>
      </w:r>
      <w:proofErr w:type="spellEnd"/>
      <w:r>
        <w:t xml:space="preserve"> </w:t>
      </w:r>
      <w:proofErr w:type="spellStart"/>
      <w:r>
        <w:t>τῷ</w:t>
      </w:r>
      <w:proofErr w:type="spellEnd"/>
      <w:r>
        <w:t xml:space="preserve"> π</w:t>
      </w:r>
      <w:proofErr w:type="spellStart"/>
      <w:r>
        <w:t>ρωτοτόκῳ</w:t>
      </w:r>
      <w:proofErr w:type="spellEnd"/>
      <w:r>
        <w:t xml:space="preserve"> </w:t>
      </w:r>
      <w:proofErr w:type="spellStart"/>
      <w:r>
        <w:t>μόσχῳ</w:t>
      </w:r>
      <w:proofErr w:type="spellEnd"/>
      <w:r>
        <w:t xml:space="preserve"> </w:t>
      </w:r>
      <w:proofErr w:type="spellStart"/>
      <w:r>
        <w:t>σου</w:t>
      </w:r>
      <w:proofErr w:type="spellEnd"/>
      <w:r>
        <w:t xml:space="preserve"> (du wirst nicht arbeiten mit dem erstgeborenen Kalb) fügt </w:t>
      </w:r>
      <w:proofErr w:type="spellStart"/>
      <w:r>
        <w:t>μόσχῳ</w:t>
      </w:r>
      <w:proofErr w:type="spellEnd"/>
      <w:r>
        <w:t xml:space="preserve"> hinzu, wo der MT nur </w:t>
      </w:r>
      <w:r w:rsidRPr="00EC21B0">
        <w:rPr>
          <w:b/>
          <w:bCs/>
          <w:rtl/>
        </w:rPr>
        <w:t>בִּבְכֹר</w:t>
      </w:r>
      <w:r>
        <w:rPr>
          <w:rtl/>
        </w:rPr>
        <w:t xml:space="preserve"> שׁוֹרֶךָ</w:t>
      </w:r>
      <w:r>
        <w:t xml:space="preserve"> hat.</w:t>
      </w:r>
    </w:p>
    <w:p w14:paraId="6A6B3D95" w14:textId="1B5AF4D3" w:rsidR="00684135" w:rsidRDefault="00684135" w:rsidP="00684135">
      <w:pPr>
        <w:pStyle w:val="whitespace-normal"/>
      </w:pPr>
      <w:r>
        <w:rPr>
          <w:rStyle w:val="Fett"/>
          <w:rFonts w:eastAsiaTheme="majorEastAsia"/>
        </w:rPr>
        <w:t>Die Satzstruktur:</w:t>
      </w:r>
      <w:r>
        <w:t xml:space="preserve"> Imperativsatz mit Relativsatz (alles Erstgeborene, das geboren wird in deinen Rindern und in deinem Kleinvieh, das männliche, sollst du heiligen </w:t>
      </w:r>
      <w:r w:rsidR="00281FDB">
        <w:t>JHWH</w:t>
      </w:r>
      <w:r>
        <w:t>, deinem Gott); zwei koordinierte negative Imperative (nicht sollst du arbeiten mit dem Erstgeborenen deines Rindes, und nicht sollst du scheren das Erstgeborene deines Kleinviehs).</w:t>
      </w:r>
    </w:p>
    <w:p w14:paraId="2F26625C" w14:textId="77777777" w:rsidR="00684135" w:rsidRDefault="00684135" w:rsidP="00684135">
      <w:pPr>
        <w:pStyle w:val="whitespace-normal"/>
      </w:pPr>
      <w:r>
        <w:t>Der Vers fordert: Weihe alle männlichen Erstgeburten von Rindern und Kleinvieh JHWH – du darfst sie weder zur Arbeit noch zur Wollgewinnung nutzen.</w:t>
      </w:r>
    </w:p>
    <w:p w14:paraId="6E98261B" w14:textId="77777777" w:rsidR="00684135" w:rsidRPr="00684135" w:rsidRDefault="00684135" w:rsidP="00684135">
      <w:pPr>
        <w:pStyle w:val="berschrift1"/>
        <w:rPr>
          <w:rFonts w:ascii="Times New Roman" w:hAnsi="Times New Roman"/>
          <w:color w:val="auto"/>
          <w:sz w:val="36"/>
          <w:szCs w:val="36"/>
        </w:rPr>
      </w:pPr>
      <w:r w:rsidRPr="00684135">
        <w:rPr>
          <w:rStyle w:val="Fett"/>
          <w:rFonts w:ascii="Times New Roman" w:hAnsi="Times New Roman"/>
          <w:color w:val="auto"/>
          <w:sz w:val="36"/>
          <w:szCs w:val="36"/>
        </w:rPr>
        <w:t>Deuteronomium 15,20</w:t>
      </w:r>
    </w:p>
    <w:p w14:paraId="5DFACCF9" w14:textId="77777777" w:rsidR="00684135" w:rsidRDefault="00684135" w:rsidP="00684135">
      <w:pPr>
        <w:pStyle w:val="whitespace-normal"/>
      </w:pPr>
      <w:r>
        <w:rPr>
          <w:rStyle w:val="Fett"/>
          <w:rFonts w:eastAsiaTheme="majorEastAsia"/>
        </w:rPr>
        <w:t>Hebräisch:</w:t>
      </w:r>
      <w:r>
        <w:t xml:space="preserve"> </w:t>
      </w:r>
      <w:r>
        <w:rPr>
          <w:rtl/>
        </w:rPr>
        <w:t>לִפְנֵי֩ יְהוָ֨ה אֱלֹהֶ֤יךָ תֹאכֲלֶ֨נּוּ֙ שָׁנָ֣ה בְשָׁנָ֔ה בַּמָּק֖וֹם אֲשֶׁר־יִבְחַ֣ר יְהוָ֑ה אַתָּ֖ה וּבֵיתֶֽךָ׃</w:t>
      </w:r>
    </w:p>
    <w:p w14:paraId="79964D56" w14:textId="77777777" w:rsidR="00684135" w:rsidRDefault="00684135" w:rsidP="00684135">
      <w:pPr>
        <w:pStyle w:val="whitespace-normal"/>
      </w:pPr>
      <w:r>
        <w:rPr>
          <w:rStyle w:val="Fett"/>
          <w:rFonts w:eastAsiaTheme="majorEastAsia"/>
        </w:rPr>
        <w:t>Deutsch:</w:t>
      </w:r>
      <w:r>
        <w:t xml:space="preserve"> Vor dem Ewigen, deinem Gott, sollst du es essen, Jahr für Jahr, an dem Ort, den der Ewige erwählen wird, du und dein Haus.</w:t>
      </w:r>
    </w:p>
    <w:p w14:paraId="1621D721" w14:textId="77777777" w:rsidR="00684135" w:rsidRDefault="004F5CEB" w:rsidP="00684135">
      <w:r>
        <w:rPr>
          <w:noProof/>
        </w:rPr>
        <w:pict w14:anchorId="0C522D7C">
          <v:rect id="_x0000_i1464" style="width:0;height:1.5pt" o:hralign="center" o:hrstd="t" o:hr="t" fillcolor="#a0a0a0" stroked="f"/>
        </w:pict>
      </w:r>
    </w:p>
    <w:p w14:paraId="2B46BC45" w14:textId="77777777" w:rsidR="00684135" w:rsidRDefault="00684135" w:rsidP="00684135">
      <w:pPr>
        <w:pStyle w:val="whitespace-normal"/>
      </w:pPr>
      <w:r>
        <w:rPr>
          <w:rStyle w:val="Fett"/>
          <w:rFonts w:eastAsiaTheme="majorEastAsia"/>
        </w:rPr>
        <w:t>Kommentar:</w:t>
      </w:r>
      <w:r>
        <w:t xml:space="preserve"> </w:t>
      </w:r>
      <w:r>
        <w:rPr>
          <w:rStyle w:val="Fett"/>
          <w:rFonts w:eastAsiaTheme="majorEastAsia"/>
          <w:rtl/>
        </w:rPr>
        <w:t>לִפְנֵי יְהוָה אֱלֹהֶיךָ תֹאכֲלֶנּוּ שָׁנָה בְשָׁנָה בַּמָּקוֹם אֲשֶׁר־יִבְחַר יְהוָה אַתָּה וּבֵיתֶךָ</w:t>
      </w:r>
      <w:r>
        <w:rPr>
          <w:rtl/>
        </w:rPr>
        <w:t xml:space="preserve"> </w:t>
      </w:r>
      <w:r>
        <w:t xml:space="preserve">ist ein Imperativsatz mit mehrfachen Bestimmungen: </w:t>
      </w:r>
      <w:r>
        <w:rPr>
          <w:rStyle w:val="Fett"/>
          <w:rFonts w:eastAsiaTheme="majorEastAsia"/>
          <w:rtl/>
        </w:rPr>
        <w:t>לִפְנֵי יְהוָה אֱלֹהֶיךָ</w:t>
      </w:r>
      <w:r>
        <w:rPr>
          <w:rtl/>
        </w:rPr>
        <w:t xml:space="preserve"> </w:t>
      </w:r>
      <w:r>
        <w:t xml:space="preserve">(Präposition </w:t>
      </w:r>
      <w:r>
        <w:rPr>
          <w:rStyle w:val="Fett"/>
          <w:rFonts w:eastAsiaTheme="majorEastAsia"/>
          <w:rtl/>
        </w:rPr>
        <w:t>לִפְנֵי</w:t>
      </w:r>
      <w:r>
        <w:t xml:space="preserve">, „vor, angesichts", mit </w:t>
      </w:r>
      <w:r>
        <w:rPr>
          <w:rStyle w:val="Fett"/>
          <w:rFonts w:eastAsiaTheme="majorEastAsia"/>
          <w:rtl/>
        </w:rPr>
        <w:t>יְהוָה אֱלֹהֶיךָ</w:t>
      </w:r>
      <w:r>
        <w:t xml:space="preserve">), </w:t>
      </w:r>
      <w:r>
        <w:rPr>
          <w:rStyle w:val="Fett"/>
          <w:rFonts w:eastAsiaTheme="majorEastAsia"/>
          <w:rtl/>
        </w:rPr>
        <w:t>תֹאכֲלֶנּוּ</w:t>
      </w:r>
      <w:r>
        <w:rPr>
          <w:rtl/>
        </w:rPr>
        <w:t xml:space="preserve"> </w:t>
      </w:r>
      <w:r>
        <w:t xml:space="preserve">(Qal Imperfekt, 2. Person Maskulinum Singular von </w:t>
      </w:r>
      <w:r>
        <w:rPr>
          <w:rStyle w:val="Fett"/>
          <w:rFonts w:eastAsiaTheme="majorEastAsia"/>
          <w:rtl/>
        </w:rPr>
        <w:t>אכל</w:t>
      </w:r>
      <w:r>
        <w:t xml:space="preserve">, „essen", mit Suffix 3. Person Maskulinum Singular als direktes Objekt), </w:t>
      </w:r>
      <w:r>
        <w:rPr>
          <w:rStyle w:val="Fett"/>
          <w:rFonts w:eastAsiaTheme="majorEastAsia"/>
          <w:rtl/>
        </w:rPr>
        <w:t>שָׁנָה בְשָׁנָה</w:t>
      </w:r>
      <w:r>
        <w:rPr>
          <w:rtl/>
        </w:rPr>
        <w:t xml:space="preserve"> </w:t>
      </w:r>
      <w:r>
        <w:t>(</w:t>
      </w:r>
      <w:r>
        <w:rPr>
          <w:rStyle w:val="Fett"/>
          <w:rFonts w:eastAsiaTheme="majorEastAsia"/>
          <w:rtl/>
        </w:rPr>
        <w:t>שָׁנָה</w:t>
      </w:r>
      <w:r>
        <w:rPr>
          <w:rtl/>
        </w:rPr>
        <w:t xml:space="preserve"> </w:t>
      </w:r>
      <w:r>
        <w:t xml:space="preserve">wiederholt mit Präposition </w:t>
      </w:r>
      <w:r>
        <w:rPr>
          <w:rStyle w:val="Fett"/>
          <w:rFonts w:eastAsiaTheme="majorEastAsia"/>
          <w:rtl/>
        </w:rPr>
        <w:t>בְּ</w:t>
      </w:r>
      <w:r>
        <w:t xml:space="preserve">, „Jahr für Jahr, jährlich"), </w:t>
      </w:r>
      <w:r>
        <w:rPr>
          <w:rStyle w:val="Fett"/>
          <w:rFonts w:eastAsiaTheme="majorEastAsia"/>
          <w:rtl/>
        </w:rPr>
        <w:t>בַּמָּקוֹם אֲשֶׁר־יִבְחַר יְהוָה</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מָקוֹם</w:t>
      </w:r>
      <w:r>
        <w:t xml:space="preserve">, „Ort", mit Artikel, Relativsatz: </w:t>
      </w:r>
      <w:r>
        <w:rPr>
          <w:rStyle w:val="Fett"/>
          <w:rFonts w:eastAsiaTheme="majorEastAsia"/>
          <w:rtl/>
        </w:rPr>
        <w:t>אֲשֶׁר־יִבְחַר יְהוָה</w:t>
      </w:r>
      <w:r>
        <w:t xml:space="preserve">, </w:t>
      </w:r>
      <w:r>
        <w:rPr>
          <w:rStyle w:val="Fett"/>
          <w:rFonts w:eastAsiaTheme="majorEastAsia"/>
          <w:rtl/>
        </w:rPr>
        <w:t>אֲשֶׁר</w:t>
      </w:r>
      <w:r>
        <w:rPr>
          <w:rtl/>
        </w:rPr>
        <w:t xml:space="preserve"> </w:t>
      </w:r>
      <w:r>
        <w:t xml:space="preserve">mit </w:t>
      </w:r>
      <w:r>
        <w:rPr>
          <w:rStyle w:val="Fett"/>
          <w:rFonts w:eastAsiaTheme="majorEastAsia"/>
          <w:rtl/>
        </w:rPr>
        <w:t>בחר</w:t>
      </w:r>
      <w:r>
        <w:t xml:space="preserve">, Qal Imperfekt, 3. Person Maskulinum Singular, „erwählen", </w:t>
      </w:r>
      <w:r>
        <w:rPr>
          <w:rStyle w:val="Fett"/>
          <w:rFonts w:eastAsiaTheme="majorEastAsia"/>
          <w:rtl/>
        </w:rPr>
        <w:t>יְהוָה</w:t>
      </w:r>
      <w:r>
        <w:rPr>
          <w:rtl/>
        </w:rPr>
        <w:t xml:space="preserve"> </w:t>
      </w:r>
      <w:r>
        <w:t xml:space="preserve">als Subjekt), </w:t>
      </w:r>
      <w:r>
        <w:rPr>
          <w:rStyle w:val="Fett"/>
          <w:rFonts w:eastAsiaTheme="majorEastAsia"/>
          <w:rtl/>
        </w:rPr>
        <w:t>אַתָּה וּבֵיתֶךָ</w:t>
      </w:r>
      <w:r>
        <w:rPr>
          <w:rtl/>
        </w:rPr>
        <w:t xml:space="preserve"> </w:t>
      </w:r>
      <w:r>
        <w:t>(</w:t>
      </w:r>
      <w:r>
        <w:rPr>
          <w:rStyle w:val="Fett"/>
          <w:rFonts w:eastAsiaTheme="majorEastAsia"/>
          <w:rtl/>
        </w:rPr>
        <w:t>אַתָּה</w:t>
      </w:r>
      <w:r>
        <w:t xml:space="preserve">, Personalpronomen 2. Person Maskulinum Singular, betont, koordiniert durch </w:t>
      </w:r>
      <w:r>
        <w:rPr>
          <w:rStyle w:val="Fett"/>
          <w:rFonts w:eastAsiaTheme="majorEastAsia"/>
          <w:rtl/>
        </w:rPr>
        <w:t>וּ</w:t>
      </w:r>
      <w:r>
        <w:rPr>
          <w:rtl/>
        </w:rPr>
        <w:t xml:space="preserve"> </w:t>
      </w:r>
      <w:r>
        <w:t xml:space="preserve">mit </w:t>
      </w:r>
      <w:r>
        <w:rPr>
          <w:rStyle w:val="Fett"/>
          <w:rFonts w:eastAsiaTheme="majorEastAsia"/>
          <w:rtl/>
        </w:rPr>
        <w:t>בַּיִת</w:t>
      </w:r>
      <w:r>
        <w:rPr>
          <w:rtl/>
        </w:rPr>
        <w:t xml:space="preserve"> </w:t>
      </w:r>
      <w:r>
        <w:t>mit Suffix 2. Person Maskulinum Singular, „du und dein Haus").</w:t>
      </w:r>
    </w:p>
    <w:p w14:paraId="53B16E25" w14:textId="77777777" w:rsidR="00684135" w:rsidRDefault="00684135" w:rsidP="00684135">
      <w:pPr>
        <w:pStyle w:val="whitespace-normal"/>
      </w:pPr>
      <w:r>
        <w:t xml:space="preserve">Der Vers regelt die Verwendung der Erstgeburt: Sie wird am zentralen Heiligtum </w:t>
      </w:r>
      <w:r>
        <w:rPr>
          <w:rStyle w:val="Fett"/>
          <w:rFonts w:eastAsiaTheme="majorEastAsia"/>
          <w:rtl/>
        </w:rPr>
        <w:t>לִפְנֵי יְהוָה</w:t>
      </w:r>
      <w:r>
        <w:rPr>
          <w:rtl/>
        </w:rPr>
        <w:t xml:space="preserve"> </w:t>
      </w:r>
      <w:r>
        <w:t xml:space="preserve">(„vor JHWH") in einem Festmahl verzehrt. Das Suffix </w:t>
      </w:r>
      <w:r>
        <w:rPr>
          <w:rStyle w:val="Fett"/>
          <w:rFonts w:eastAsiaTheme="majorEastAsia"/>
          <w:rtl/>
        </w:rPr>
        <w:t>־נּוּ</w:t>
      </w:r>
      <w:r>
        <w:rPr>
          <w:rtl/>
        </w:rPr>
        <w:t xml:space="preserve"> </w:t>
      </w:r>
      <w:r>
        <w:t xml:space="preserve">verweist auf das Erstgeborene aus V. 19. Die Wendung </w:t>
      </w:r>
      <w:r>
        <w:rPr>
          <w:rStyle w:val="Fett"/>
          <w:rFonts w:eastAsiaTheme="majorEastAsia"/>
          <w:rtl/>
        </w:rPr>
        <w:t>שָׁנָה בְשָׁנָה</w:t>
      </w:r>
      <w:r>
        <w:rPr>
          <w:rtl/>
        </w:rPr>
        <w:t xml:space="preserve"> </w:t>
      </w:r>
      <w:r>
        <w:t>(„Jahr für Jahr") zeigt: jährliche Verpflichtung (vgl. 14,23).</w:t>
      </w:r>
    </w:p>
    <w:p w14:paraId="58DB5B6E" w14:textId="77777777" w:rsidR="00684135" w:rsidRDefault="00684135" w:rsidP="00684135">
      <w:pPr>
        <w:pStyle w:val="whitespace-normal"/>
      </w:pPr>
      <w:r>
        <w:t xml:space="preserve">Die Formulierung </w:t>
      </w:r>
      <w:r>
        <w:rPr>
          <w:rStyle w:val="Fett"/>
          <w:rFonts w:eastAsiaTheme="majorEastAsia"/>
          <w:rtl/>
        </w:rPr>
        <w:t>בַּמָּקוֹם אֲשֶׁר־יִבְחַר יְהוָה</w:t>
      </w:r>
      <w:r>
        <w:rPr>
          <w:rtl/>
        </w:rPr>
        <w:t xml:space="preserve"> </w:t>
      </w:r>
      <w:r>
        <w:t xml:space="preserve">(„an dem Ort, den JHWH erwählen wird") ist die charakteristische deuteronomische Formel für Kultzentralisation (vgl. 12,5.11.14.18.21.26; 14,23-25; 15,20; 16,2.6.7.11.15.16; 17,8.10; 18,6; 26,2; 31,11). Die betonten Pronomina </w:t>
      </w:r>
      <w:r>
        <w:rPr>
          <w:rStyle w:val="Fett"/>
          <w:rFonts w:eastAsiaTheme="majorEastAsia"/>
          <w:rtl/>
        </w:rPr>
        <w:t>אַתָּה וּבֵיתֶךָ</w:t>
      </w:r>
      <w:r>
        <w:rPr>
          <w:rtl/>
        </w:rPr>
        <w:t xml:space="preserve"> </w:t>
      </w:r>
      <w:r>
        <w:t>zeigen: Der Besitzer und seine Hausgemeinschaft sollen am Festmahl teilnehmen.</w:t>
      </w:r>
    </w:p>
    <w:p w14:paraId="724F6A91" w14:textId="77777777" w:rsidR="00684135" w:rsidRDefault="00684135" w:rsidP="00684135">
      <w:pPr>
        <w:pStyle w:val="whitespace-normal"/>
      </w:pPr>
      <w:r>
        <w:lastRenderedPageBreak/>
        <w:t>Die Regelung unterscheidet sich von Num 18,15-18, wo die Erstgeburten den Priestern gehören. Das Deuteronomium betont stärker die Teilhabe des Volkes am Opfermahl. Möglicherweise werden nur Teile verzehrt, während andere Teile den Priestern zufallen.</w:t>
      </w:r>
    </w:p>
    <w:p w14:paraId="6BB8342F" w14:textId="77777777" w:rsidR="00684135" w:rsidRDefault="00684135" w:rsidP="00684135">
      <w:pPr>
        <w:pStyle w:val="whitespace-normal"/>
      </w:pPr>
      <w:r>
        <w:rPr>
          <w:rStyle w:val="Fett"/>
          <w:rFonts w:eastAsiaTheme="majorEastAsia"/>
        </w:rPr>
        <w:t>Die Satzstruktur:</w:t>
      </w:r>
      <w:r>
        <w:t xml:space="preserve"> Imperativsatz mit mehrfachen Bestimmungen (vor JHWH, deinem Gott, sollst du es essen Jahr für Jahr an dem Ort, den erwählen wird JHWH, du und dein Haus).</w:t>
      </w:r>
    </w:p>
    <w:p w14:paraId="14B6E47D" w14:textId="77777777" w:rsidR="00684135" w:rsidRDefault="00684135" w:rsidP="00684135">
      <w:pPr>
        <w:pStyle w:val="whitespace-normal"/>
      </w:pPr>
      <w:r>
        <w:t>Der Vers regelt: Das Erstgeborene soll jährlich am erwählten Ort vor JHWH gegessen werden – ein Festmahl für den Besitzer und seine Familie.</w:t>
      </w:r>
    </w:p>
    <w:p w14:paraId="47685B2A" w14:textId="77777777" w:rsidR="00684135" w:rsidRPr="00684135" w:rsidRDefault="00684135" w:rsidP="00684135">
      <w:pPr>
        <w:pStyle w:val="berschrift1"/>
        <w:rPr>
          <w:rFonts w:ascii="Times New Roman" w:hAnsi="Times New Roman"/>
          <w:color w:val="auto"/>
          <w:sz w:val="36"/>
          <w:szCs w:val="36"/>
        </w:rPr>
      </w:pPr>
      <w:r w:rsidRPr="00684135">
        <w:rPr>
          <w:rStyle w:val="Fett"/>
          <w:rFonts w:ascii="Times New Roman" w:hAnsi="Times New Roman"/>
          <w:color w:val="auto"/>
          <w:sz w:val="36"/>
          <w:szCs w:val="36"/>
        </w:rPr>
        <w:t>Deuteronomium 15,21</w:t>
      </w:r>
    </w:p>
    <w:p w14:paraId="097E263D" w14:textId="77777777" w:rsidR="00684135" w:rsidRDefault="00684135" w:rsidP="00684135">
      <w:pPr>
        <w:pStyle w:val="whitespace-normal"/>
      </w:pPr>
      <w:r>
        <w:rPr>
          <w:rStyle w:val="Fett"/>
          <w:rFonts w:eastAsiaTheme="majorEastAsia"/>
        </w:rPr>
        <w:t>Hebräisch:</w:t>
      </w:r>
      <w:r>
        <w:t xml:space="preserve"> </w:t>
      </w:r>
      <w:r>
        <w:rPr>
          <w:rtl/>
        </w:rPr>
        <w:t>וְכִֽי־יִהְיֶ֨ה בוֹ֜ מ֗וּם פִּסֵּ֨חַ֙ א֣וֹ עִוֵּ֔ר כֹּ֖ל מ֣וּם רָ֑ע לֹ֣א תִזְבָּחֶ֔נּוּ לַיהוָ֖ה אֱלֹהֶֽיךָ׃</w:t>
      </w:r>
    </w:p>
    <w:p w14:paraId="478DACAE" w14:textId="77777777" w:rsidR="00684135" w:rsidRDefault="00684135" w:rsidP="00684135">
      <w:pPr>
        <w:pStyle w:val="whitespace-normal"/>
      </w:pPr>
      <w:r>
        <w:rPr>
          <w:rStyle w:val="Fett"/>
          <w:rFonts w:eastAsiaTheme="majorEastAsia"/>
        </w:rPr>
        <w:t>Deutsch:</w:t>
      </w:r>
      <w:r>
        <w:t xml:space="preserve"> Und wenn ein Makel an ihm ist, lahm oder blind, irgendein schlimmer Makel, sollst du es dem Ewigen, deinem Gott, nicht opfern.</w:t>
      </w:r>
    </w:p>
    <w:p w14:paraId="212663BB" w14:textId="77777777" w:rsidR="00684135" w:rsidRDefault="004F5CEB" w:rsidP="00684135">
      <w:r>
        <w:rPr>
          <w:noProof/>
        </w:rPr>
        <w:pict w14:anchorId="47A7AC2A">
          <v:rect id="_x0000_i1465" style="width:0;height:1.5pt" o:hralign="center" o:hrstd="t" o:hr="t" fillcolor="#a0a0a0" stroked="f"/>
        </w:pict>
      </w:r>
    </w:p>
    <w:p w14:paraId="58CCD293" w14:textId="77777777" w:rsidR="00684135" w:rsidRDefault="00684135" w:rsidP="00684135">
      <w:pPr>
        <w:pStyle w:val="whitespace-normal"/>
      </w:pPr>
      <w:r>
        <w:rPr>
          <w:rStyle w:val="Fett"/>
          <w:rFonts w:eastAsiaTheme="majorEastAsia"/>
        </w:rPr>
        <w:t>Kommentar:</w:t>
      </w:r>
      <w:r>
        <w:t xml:space="preserve"> </w:t>
      </w:r>
      <w:r>
        <w:rPr>
          <w:rStyle w:val="Fett"/>
          <w:rFonts w:eastAsiaTheme="majorEastAsia"/>
          <w:rtl/>
        </w:rPr>
        <w:t>וְכִי־יִהְיֶה בוֹ מוּם פִּסֵּחַ אוֹ עִוֵּר כֹּל מוּם רָע</w:t>
      </w:r>
      <w:r>
        <w:rPr>
          <w:rtl/>
        </w:rPr>
        <w:t xml:space="preserve"> </w:t>
      </w:r>
      <w:r>
        <w:t xml:space="preserve">ist ein konditionaler Satz: </w:t>
      </w:r>
      <w:r>
        <w:rPr>
          <w:rStyle w:val="Fett"/>
          <w:rFonts w:eastAsiaTheme="majorEastAsia"/>
          <w:rtl/>
        </w:rPr>
        <w:t>וְכִי</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כִּי</w:t>
      </w:r>
      <w:r>
        <w:t xml:space="preserve">, „wenn, falls"), </w:t>
      </w:r>
      <w:r>
        <w:rPr>
          <w:rStyle w:val="Fett"/>
          <w:rFonts w:eastAsiaTheme="majorEastAsia"/>
          <w:rtl/>
        </w:rPr>
        <w:t>יִהְיֶה</w:t>
      </w:r>
      <w:r>
        <w:rPr>
          <w:rtl/>
        </w:rPr>
        <w:t xml:space="preserve"> </w:t>
      </w:r>
      <w:r>
        <w:t xml:space="preserve">(Qal Imperfekt, 3. Person Maskulinum Singular von </w:t>
      </w:r>
      <w:r>
        <w:rPr>
          <w:rStyle w:val="Fett"/>
          <w:rFonts w:eastAsiaTheme="majorEastAsia"/>
          <w:rtl/>
        </w:rPr>
        <w:t>היה</w:t>
      </w:r>
      <w:r>
        <w:t xml:space="preserve">, „sein"), </w:t>
      </w:r>
      <w:r>
        <w:rPr>
          <w:rStyle w:val="Fett"/>
          <w:rFonts w:eastAsiaTheme="majorEastAsia"/>
          <w:rtl/>
        </w:rPr>
        <w:t>בוֹ</w:t>
      </w:r>
      <w:r>
        <w:rPr>
          <w:rtl/>
        </w:rPr>
        <w:t xml:space="preserve"> </w:t>
      </w:r>
      <w:r>
        <w:t xml:space="preserve">(Präposition </w:t>
      </w:r>
      <w:r>
        <w:rPr>
          <w:rStyle w:val="Fett"/>
          <w:rFonts w:eastAsiaTheme="majorEastAsia"/>
          <w:rtl/>
        </w:rPr>
        <w:t>בְּ</w:t>
      </w:r>
      <w:r>
        <w:rPr>
          <w:rtl/>
        </w:rPr>
        <w:t xml:space="preserve"> </w:t>
      </w:r>
      <w:r>
        <w:t xml:space="preserve">mit Suffix 3. Person Maskulinum Singular, „an ihm, in ihm"), </w:t>
      </w:r>
      <w:r>
        <w:rPr>
          <w:rStyle w:val="Fett"/>
          <w:rFonts w:eastAsiaTheme="majorEastAsia"/>
          <w:rtl/>
        </w:rPr>
        <w:t>מוּם</w:t>
      </w:r>
      <w:r>
        <w:rPr>
          <w:rtl/>
        </w:rPr>
        <w:t xml:space="preserve"> </w:t>
      </w:r>
      <w:r>
        <w:t>(</w:t>
      </w:r>
      <w:r>
        <w:rPr>
          <w:rStyle w:val="Fett"/>
          <w:rFonts w:eastAsiaTheme="majorEastAsia"/>
          <w:rtl/>
        </w:rPr>
        <w:t>מוּם</w:t>
      </w:r>
      <w:r>
        <w:t xml:space="preserve">, „Makel, Fehler, Gebrechen") als Subjekt, </w:t>
      </w:r>
      <w:r>
        <w:rPr>
          <w:rStyle w:val="Fett"/>
          <w:rFonts w:eastAsiaTheme="majorEastAsia"/>
          <w:rtl/>
        </w:rPr>
        <w:t>פִּסֵּחַ</w:t>
      </w:r>
      <w:r>
        <w:rPr>
          <w:rtl/>
        </w:rPr>
        <w:t xml:space="preserve"> </w:t>
      </w:r>
      <w:r>
        <w:t>(</w:t>
      </w:r>
      <w:r>
        <w:rPr>
          <w:rStyle w:val="Fett"/>
          <w:rFonts w:eastAsiaTheme="majorEastAsia"/>
          <w:rtl/>
        </w:rPr>
        <w:t>פִּסֵּחַ</w:t>
      </w:r>
      <w:r>
        <w:t xml:space="preserve">, „lahm") als erste Spezifikation, </w:t>
      </w:r>
      <w:r>
        <w:rPr>
          <w:rStyle w:val="Fett"/>
          <w:rFonts w:eastAsiaTheme="majorEastAsia"/>
          <w:rtl/>
        </w:rPr>
        <w:t>אוֹ עִוֵּר</w:t>
      </w:r>
      <w:r>
        <w:rPr>
          <w:rtl/>
        </w:rPr>
        <w:t xml:space="preserve"> </w:t>
      </w:r>
      <w:r>
        <w:t xml:space="preserve">(koordiniert durch </w:t>
      </w:r>
      <w:r>
        <w:rPr>
          <w:rStyle w:val="Fett"/>
          <w:rFonts w:eastAsiaTheme="majorEastAsia"/>
          <w:rtl/>
        </w:rPr>
        <w:t>אוֹ</w:t>
      </w:r>
      <w:r>
        <w:t xml:space="preserve">, „oder", mit </w:t>
      </w:r>
      <w:r>
        <w:rPr>
          <w:rStyle w:val="Fett"/>
          <w:rFonts w:eastAsiaTheme="majorEastAsia"/>
          <w:rtl/>
        </w:rPr>
        <w:t>עִוֵּר</w:t>
      </w:r>
      <w:r>
        <w:t xml:space="preserve">, „blind"), </w:t>
      </w:r>
      <w:r>
        <w:rPr>
          <w:rStyle w:val="Fett"/>
          <w:rFonts w:eastAsiaTheme="majorEastAsia"/>
          <w:rtl/>
        </w:rPr>
        <w:t>כֹּל מוּם רָע</w:t>
      </w:r>
      <w:r>
        <w:rPr>
          <w:rtl/>
        </w:rPr>
        <w:t xml:space="preserve"> </w:t>
      </w:r>
      <w:r>
        <w:t>(</w:t>
      </w:r>
      <w:r>
        <w:rPr>
          <w:rStyle w:val="Fett"/>
          <w:rFonts w:eastAsiaTheme="majorEastAsia"/>
          <w:rtl/>
        </w:rPr>
        <w:t>כֹּל</w:t>
      </w:r>
      <w:r>
        <w:t xml:space="preserve">, „jeder, irgendein", mit </w:t>
      </w:r>
      <w:r>
        <w:rPr>
          <w:rStyle w:val="Fett"/>
          <w:rFonts w:eastAsiaTheme="majorEastAsia"/>
          <w:rtl/>
        </w:rPr>
        <w:t>מוּם</w:t>
      </w:r>
      <w:r>
        <w:t xml:space="preserve">, „Makel", und </w:t>
      </w:r>
      <w:r>
        <w:rPr>
          <w:rStyle w:val="Fett"/>
          <w:rFonts w:eastAsiaTheme="majorEastAsia"/>
          <w:rtl/>
        </w:rPr>
        <w:t>רַע</w:t>
      </w:r>
      <w:r>
        <w:t>, „schlimm, böse", „irgendein schlimmer Makel") als zusammenfassende Erweiterung.</w:t>
      </w:r>
    </w:p>
    <w:p w14:paraId="44B742D8" w14:textId="3C4F515E" w:rsidR="00684135" w:rsidRDefault="00684135" w:rsidP="00684135">
      <w:pPr>
        <w:pStyle w:val="whitespace-normal"/>
      </w:pPr>
      <w:r>
        <w:rPr>
          <w:rStyle w:val="Fett"/>
          <w:rFonts w:eastAsiaTheme="majorEastAsia"/>
          <w:rtl/>
        </w:rPr>
        <w:t>לֹא תִזְבָּחֶנּוּ לַיהוָה אֱלֹהֶיךָ</w:t>
      </w:r>
      <w:r>
        <w:rPr>
          <w:rtl/>
        </w:rPr>
        <w:t xml:space="preserve"> </w:t>
      </w:r>
      <w:r>
        <w:t xml:space="preserve">ist der negative Imperativ: </w:t>
      </w:r>
      <w:r>
        <w:rPr>
          <w:rStyle w:val="Fett"/>
          <w:rFonts w:eastAsiaTheme="majorEastAsia"/>
          <w:rtl/>
        </w:rPr>
        <w:t>לֹא</w:t>
      </w:r>
      <w:r>
        <w:rPr>
          <w:rtl/>
        </w:rPr>
        <w:t xml:space="preserve"> </w:t>
      </w:r>
      <w:r>
        <w:t xml:space="preserve">(Negation), </w:t>
      </w:r>
      <w:r>
        <w:rPr>
          <w:rStyle w:val="Fett"/>
          <w:rFonts w:eastAsiaTheme="majorEastAsia"/>
          <w:rtl/>
        </w:rPr>
        <w:t>תִזְבָּחֶנּוּ</w:t>
      </w:r>
      <w:r>
        <w:rPr>
          <w:rtl/>
        </w:rPr>
        <w:t xml:space="preserve"> </w:t>
      </w:r>
      <w:r>
        <w:t xml:space="preserve">(Qal Imperfekt, 2. Person Maskulinum Singular von </w:t>
      </w:r>
      <w:r>
        <w:rPr>
          <w:rStyle w:val="Fett"/>
          <w:rFonts w:eastAsiaTheme="majorEastAsia"/>
          <w:rtl/>
        </w:rPr>
        <w:t>זבח</w:t>
      </w:r>
      <w:r>
        <w:t xml:space="preserve">, „schlachten, opfern", mit Suffix 3. Person Maskulinum Singular als direktes Objekt) und </w:t>
      </w:r>
      <w:r>
        <w:rPr>
          <w:rStyle w:val="Fett"/>
          <w:rFonts w:eastAsiaTheme="majorEastAsia"/>
          <w:rtl/>
        </w:rPr>
        <w:t>לַיהוָה אֱלֹהֶיךָ</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יְהוָה אֱלֹהֶיךָ</w:t>
      </w:r>
      <w:r>
        <w:t>, „</w:t>
      </w:r>
      <w:r w:rsidR="00281FDB">
        <w:t>JHWH</w:t>
      </w:r>
      <w:r>
        <w:t>, deinem Gott") als Dativ.</w:t>
      </w:r>
    </w:p>
    <w:p w14:paraId="458C3275" w14:textId="186A2085" w:rsidR="00684135" w:rsidRDefault="00684135" w:rsidP="00684135">
      <w:pPr>
        <w:pStyle w:val="whitespace-normal"/>
      </w:pPr>
      <w:r>
        <w:t xml:space="preserve">Der Vers qualifiziert V. 19-20: Nur makellose Erstgeburten dürfen geopfert werden. Das Wort </w:t>
      </w:r>
      <w:r>
        <w:rPr>
          <w:rStyle w:val="Fett"/>
          <w:rFonts w:eastAsiaTheme="majorEastAsia"/>
          <w:rtl/>
        </w:rPr>
        <w:t>מוּם</w:t>
      </w:r>
      <w:r>
        <w:rPr>
          <w:rtl/>
        </w:rPr>
        <w:t xml:space="preserve"> </w:t>
      </w:r>
      <w:r>
        <w:t xml:space="preserve">(„Makel, Gebrechen") bezeichnet körperliche Mängel bei Opfertieren (vgl. </w:t>
      </w:r>
      <w:r w:rsidR="00664EB6">
        <w:t>Lev</w:t>
      </w:r>
      <w:r>
        <w:t xml:space="preserve"> 22,17-25; Mal 1,8.13-14). Die beiden Beispiele </w:t>
      </w:r>
      <w:r>
        <w:rPr>
          <w:rStyle w:val="Fett"/>
          <w:rFonts w:eastAsiaTheme="majorEastAsia"/>
          <w:rtl/>
        </w:rPr>
        <w:t>פִּסֵּחַ</w:t>
      </w:r>
      <w:r>
        <w:rPr>
          <w:rtl/>
        </w:rPr>
        <w:t xml:space="preserve"> </w:t>
      </w:r>
      <w:r>
        <w:t xml:space="preserve">(„lahm") und </w:t>
      </w:r>
      <w:r>
        <w:rPr>
          <w:rStyle w:val="Fett"/>
          <w:rFonts w:eastAsiaTheme="majorEastAsia"/>
          <w:rtl/>
        </w:rPr>
        <w:t>עִוֵּר</w:t>
      </w:r>
      <w:r>
        <w:rPr>
          <w:rtl/>
        </w:rPr>
        <w:t xml:space="preserve"> </w:t>
      </w:r>
      <w:r>
        <w:t xml:space="preserve">(„blind") sind typische disqualifizierende Mängel (vgl. </w:t>
      </w:r>
      <w:r w:rsidR="00664EB6">
        <w:t>Lev</w:t>
      </w:r>
      <w:r>
        <w:t xml:space="preserve"> 21,18; Mal 1,8.13).</w:t>
      </w:r>
    </w:p>
    <w:p w14:paraId="2E78921D" w14:textId="77777777" w:rsidR="00684135" w:rsidRDefault="00684135" w:rsidP="00684135">
      <w:pPr>
        <w:pStyle w:val="whitespace-normal"/>
      </w:pPr>
      <w:r>
        <w:t xml:space="preserve">Die zusammenfassende Formulierung </w:t>
      </w:r>
      <w:r>
        <w:rPr>
          <w:rStyle w:val="Fett"/>
          <w:rFonts w:eastAsiaTheme="majorEastAsia"/>
          <w:rtl/>
        </w:rPr>
        <w:t>כֹּל מוּם רָע</w:t>
      </w:r>
      <w:r>
        <w:rPr>
          <w:rtl/>
        </w:rPr>
        <w:t xml:space="preserve"> </w:t>
      </w:r>
      <w:r>
        <w:t xml:space="preserve">(„irgendein schlimmer Makel") zeigt: Die Liste ist nicht erschöpfend – jeder gravierende körperliche Mangel disqualifiziert. Das Verbot </w:t>
      </w:r>
      <w:r>
        <w:rPr>
          <w:rStyle w:val="Fett"/>
          <w:rFonts w:eastAsiaTheme="majorEastAsia"/>
          <w:rtl/>
        </w:rPr>
        <w:t>לֹא תִזְבָּחֶנּוּ</w:t>
      </w:r>
      <w:r>
        <w:rPr>
          <w:rtl/>
        </w:rPr>
        <w:t xml:space="preserve"> </w:t>
      </w:r>
      <w:r>
        <w:t>(„du sollst es nicht opfern") bedeutet: Es darf nicht als Opfer für JHWH verwendet werden.</w:t>
      </w:r>
    </w:p>
    <w:p w14:paraId="628A33AE" w14:textId="77777777" w:rsidR="00684135" w:rsidRDefault="00684135" w:rsidP="00684135">
      <w:pPr>
        <w:pStyle w:val="whitespace-normal"/>
      </w:pPr>
      <w:r>
        <w:t>Die Forderung nach makellosen Opfertieren spiegelt theologische Prinzipien: JHWH gebührt das Beste (vgl. Mal 1,6-14). Das beschädigte Tier darf nicht geopfert werden, aber V. 22 wird zeigen: Es darf profan verzehrt werden.</w:t>
      </w:r>
    </w:p>
    <w:p w14:paraId="6AED8F8C" w14:textId="48644BCB" w:rsidR="00684135" w:rsidRDefault="00684135" w:rsidP="00684135">
      <w:pPr>
        <w:pStyle w:val="whitespace-normal"/>
      </w:pPr>
      <w:r>
        <w:rPr>
          <w:rStyle w:val="Fett"/>
          <w:rFonts w:eastAsiaTheme="majorEastAsia"/>
        </w:rPr>
        <w:lastRenderedPageBreak/>
        <w:t>Die Satzstruktur:</w:t>
      </w:r>
      <w:r>
        <w:t xml:space="preserve"> Konditionaler Satz mit negativem Imperativ (und wenn sein wird an ihm ein Makel, lahm oder blind, irgendein schlimmer Makel, nicht sollst du es opfern </w:t>
      </w:r>
      <w:r w:rsidR="00281FDB">
        <w:t>JHWH</w:t>
      </w:r>
      <w:r>
        <w:t>, deinem Gott).</w:t>
      </w:r>
    </w:p>
    <w:p w14:paraId="36A8D8EF" w14:textId="77777777" w:rsidR="00684135" w:rsidRDefault="00684135" w:rsidP="00684135">
      <w:pPr>
        <w:pStyle w:val="whitespace-normal"/>
      </w:pPr>
      <w:r>
        <w:t>Der Vers qualifiziert: Wenn das Erstgeborene einen Makel hat – lahm, blind oder irgendeinen anderen schweren Fehler –, darfst du es JHWH nicht opfern.</w:t>
      </w:r>
    </w:p>
    <w:p w14:paraId="06971208" w14:textId="77777777" w:rsidR="00684135" w:rsidRPr="00684135" w:rsidRDefault="00684135" w:rsidP="00684135">
      <w:pPr>
        <w:pStyle w:val="berschrift1"/>
        <w:rPr>
          <w:rFonts w:ascii="Times New Roman" w:hAnsi="Times New Roman"/>
          <w:color w:val="auto"/>
          <w:sz w:val="36"/>
          <w:szCs w:val="36"/>
        </w:rPr>
      </w:pPr>
      <w:r w:rsidRPr="00684135">
        <w:rPr>
          <w:rStyle w:val="Fett"/>
          <w:rFonts w:ascii="Times New Roman" w:hAnsi="Times New Roman"/>
          <w:color w:val="auto"/>
          <w:sz w:val="36"/>
          <w:szCs w:val="36"/>
        </w:rPr>
        <w:t>Deuteronomium 15,22</w:t>
      </w:r>
    </w:p>
    <w:p w14:paraId="6C9B8223" w14:textId="77777777" w:rsidR="00684135" w:rsidRDefault="00684135" w:rsidP="00684135">
      <w:pPr>
        <w:pStyle w:val="whitespace-normal"/>
      </w:pPr>
      <w:r>
        <w:rPr>
          <w:rStyle w:val="Fett"/>
          <w:rFonts w:eastAsiaTheme="majorEastAsia"/>
        </w:rPr>
        <w:t>Hebräisch:</w:t>
      </w:r>
      <w:r>
        <w:t xml:space="preserve"> </w:t>
      </w:r>
      <w:r>
        <w:rPr>
          <w:rtl/>
        </w:rPr>
        <w:t>בִּשְׁעָרֶ֖יךָ תֹּאכֲלֶ֑נּוּ הַטָּמֵ֤א וְהַטָּהוֹר֙ יַחְדָּ֔ו כַּצְּבִ֖י וְכָאַיָּֽל׃</w:t>
      </w:r>
    </w:p>
    <w:p w14:paraId="24DC72A0" w14:textId="77777777" w:rsidR="00684135" w:rsidRDefault="00684135" w:rsidP="00684135">
      <w:pPr>
        <w:pStyle w:val="whitespace-normal"/>
      </w:pPr>
      <w:r>
        <w:rPr>
          <w:rStyle w:val="Fett"/>
          <w:rFonts w:eastAsiaTheme="majorEastAsia"/>
        </w:rPr>
        <w:t>Deutsch:</w:t>
      </w:r>
      <w:r>
        <w:t xml:space="preserve"> In deinen Toren sollst du es essen, der Unreine und der Reine zusammen, wie die Gazelle und wie den Hirsch.</w:t>
      </w:r>
    </w:p>
    <w:p w14:paraId="38262BFB" w14:textId="77777777" w:rsidR="00684135" w:rsidRDefault="004F5CEB" w:rsidP="00684135">
      <w:r>
        <w:rPr>
          <w:noProof/>
        </w:rPr>
        <w:pict w14:anchorId="068490FE">
          <v:rect id="_x0000_i1466" style="width:0;height:1.5pt" o:hralign="center" o:hrstd="t" o:hr="t" fillcolor="#a0a0a0" stroked="f"/>
        </w:pict>
      </w:r>
    </w:p>
    <w:p w14:paraId="2B721D71" w14:textId="77777777" w:rsidR="00684135" w:rsidRDefault="00684135" w:rsidP="00684135">
      <w:pPr>
        <w:pStyle w:val="whitespace-normal"/>
      </w:pPr>
      <w:r>
        <w:rPr>
          <w:rStyle w:val="Fett"/>
          <w:rFonts w:eastAsiaTheme="majorEastAsia"/>
        </w:rPr>
        <w:t>Kommentar:</w:t>
      </w:r>
      <w:r>
        <w:t xml:space="preserve"> </w:t>
      </w:r>
      <w:r>
        <w:rPr>
          <w:rStyle w:val="Fett"/>
          <w:rFonts w:eastAsiaTheme="majorEastAsia"/>
          <w:rtl/>
        </w:rPr>
        <w:t>בִּשְׁעָרֶיךָ תֹּאכֲלֶנּוּ הַטָּמֵא וְהַטָּהוֹר יַחְדָּו כַּצְּבִי וְכָאַיָּל</w:t>
      </w:r>
      <w:r>
        <w:rPr>
          <w:rtl/>
        </w:rPr>
        <w:t xml:space="preserve"> </w:t>
      </w:r>
      <w:r>
        <w:t xml:space="preserve">ist ein Imperativsatz mit mehrfachen Bestimmungen: </w:t>
      </w:r>
      <w:r>
        <w:rPr>
          <w:rStyle w:val="Fett"/>
          <w:rFonts w:eastAsiaTheme="majorEastAsia"/>
          <w:rtl/>
        </w:rPr>
        <w:t>בִּשְׁעָרֶיךָ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שַׁעַר</w:t>
      </w:r>
      <w:r>
        <w:t xml:space="preserve">, „Tor", Plural mit Suffix 2. Person Maskulinum Singular, „in deinen Toren" = in deiner Stadt), </w:t>
      </w:r>
      <w:r>
        <w:rPr>
          <w:rStyle w:val="Fett"/>
          <w:rFonts w:eastAsiaTheme="majorEastAsia"/>
          <w:rtl/>
        </w:rPr>
        <w:t>תֹּאכֲלֶנּוּ</w:t>
      </w:r>
      <w:r>
        <w:rPr>
          <w:rtl/>
        </w:rPr>
        <w:t xml:space="preserve"> </w:t>
      </w:r>
      <w:r>
        <w:t xml:space="preserve">(Qal Imperfekt, 2. Person Maskulinum Singular von </w:t>
      </w:r>
      <w:r>
        <w:rPr>
          <w:rStyle w:val="Fett"/>
          <w:rFonts w:eastAsiaTheme="majorEastAsia"/>
          <w:rtl/>
        </w:rPr>
        <w:t>אכל</w:t>
      </w:r>
      <w:r>
        <w:t xml:space="preserve">, „essen", mit Suffix 3. Person Maskulinum Singular als direktes Objekt), </w:t>
      </w:r>
      <w:r>
        <w:rPr>
          <w:rStyle w:val="Fett"/>
          <w:rFonts w:eastAsiaTheme="majorEastAsia"/>
          <w:rtl/>
        </w:rPr>
        <w:t>הַטָּמֵא וְהַטָּהוֹר</w:t>
      </w:r>
      <w:r>
        <w:rPr>
          <w:rtl/>
        </w:rPr>
        <w:t xml:space="preserve"> </w:t>
      </w:r>
      <w:r>
        <w:t>(</w:t>
      </w:r>
      <w:r>
        <w:rPr>
          <w:rStyle w:val="Fett"/>
          <w:rFonts w:eastAsiaTheme="majorEastAsia"/>
          <w:rtl/>
        </w:rPr>
        <w:t>טָמֵא</w:t>
      </w:r>
      <w:r>
        <w:t xml:space="preserve">, „unrein", mit Artikel, koordiniert durch </w:t>
      </w:r>
      <w:r>
        <w:rPr>
          <w:rStyle w:val="Fett"/>
          <w:rFonts w:eastAsiaTheme="majorEastAsia"/>
          <w:rtl/>
        </w:rPr>
        <w:t>וְ</w:t>
      </w:r>
      <w:r>
        <w:rPr>
          <w:rtl/>
        </w:rPr>
        <w:t xml:space="preserve"> </w:t>
      </w:r>
      <w:r>
        <w:t xml:space="preserve">mit </w:t>
      </w:r>
      <w:r>
        <w:rPr>
          <w:rStyle w:val="Fett"/>
          <w:rFonts w:eastAsiaTheme="majorEastAsia"/>
          <w:rtl/>
        </w:rPr>
        <w:t>טָהוֹר</w:t>
      </w:r>
      <w:r>
        <w:t xml:space="preserve">, „rein", mit Artikel, „der Unreine und der Reine") als Subjekt, </w:t>
      </w:r>
      <w:r>
        <w:rPr>
          <w:rStyle w:val="Fett"/>
          <w:rFonts w:eastAsiaTheme="majorEastAsia"/>
          <w:rtl/>
        </w:rPr>
        <w:t>יַחְדָּו</w:t>
      </w:r>
      <w:r>
        <w:rPr>
          <w:rtl/>
        </w:rPr>
        <w:t xml:space="preserve"> </w:t>
      </w:r>
      <w:r>
        <w:t xml:space="preserve">(Adverb, „zusammen"), </w:t>
      </w:r>
      <w:r>
        <w:rPr>
          <w:rStyle w:val="Fett"/>
          <w:rFonts w:eastAsiaTheme="majorEastAsia"/>
          <w:rtl/>
        </w:rPr>
        <w:t>כַּצְּבִי וְכָאַיָּל</w:t>
      </w:r>
      <w:r>
        <w:rPr>
          <w:rtl/>
        </w:rPr>
        <w:t xml:space="preserve"> </w:t>
      </w:r>
      <w:r>
        <w:t xml:space="preserve">(Präposition </w:t>
      </w:r>
      <w:r>
        <w:rPr>
          <w:rStyle w:val="Fett"/>
          <w:rFonts w:eastAsiaTheme="majorEastAsia"/>
          <w:rtl/>
        </w:rPr>
        <w:t>כְּ</w:t>
      </w:r>
      <w:r>
        <w:t xml:space="preserve">, „wie", mit </w:t>
      </w:r>
      <w:r>
        <w:rPr>
          <w:rStyle w:val="Fett"/>
          <w:rFonts w:eastAsiaTheme="majorEastAsia"/>
          <w:rtl/>
        </w:rPr>
        <w:t>צְבִי</w:t>
      </w:r>
      <w:r>
        <w:t xml:space="preserve">, „Gazelle", mit Artikel, koordiniert durch </w:t>
      </w:r>
      <w:r>
        <w:rPr>
          <w:rStyle w:val="Fett"/>
          <w:rFonts w:eastAsiaTheme="majorEastAsia"/>
          <w:rtl/>
        </w:rPr>
        <w:t>וְכָ</w:t>
      </w:r>
      <w:r>
        <w:rPr>
          <w:rtl/>
        </w:rPr>
        <w:t xml:space="preserve"> </w:t>
      </w:r>
      <w:r>
        <w:t xml:space="preserve">mit </w:t>
      </w:r>
      <w:r>
        <w:rPr>
          <w:rStyle w:val="Fett"/>
          <w:rFonts w:eastAsiaTheme="majorEastAsia"/>
          <w:rtl/>
        </w:rPr>
        <w:t>אַיָּל</w:t>
      </w:r>
      <w:r>
        <w:t>, „Hirsch", mit Artikel, „wie die Gazelle und wie den Hirsch") als Vergleich.</w:t>
      </w:r>
    </w:p>
    <w:p w14:paraId="53E0490C" w14:textId="77777777" w:rsidR="00684135" w:rsidRDefault="00684135" w:rsidP="00684135">
      <w:pPr>
        <w:pStyle w:val="whitespace-normal"/>
      </w:pPr>
      <w:r>
        <w:t xml:space="preserve">Der Vers regelt die Ausnahme: Das erstgeborene Tier mit Makel darf nicht geopfert werden (V. 21), aber es darf profan verzehrt werden. Die Wendung </w:t>
      </w:r>
      <w:r>
        <w:rPr>
          <w:rStyle w:val="Fett"/>
          <w:rFonts w:eastAsiaTheme="majorEastAsia"/>
          <w:rtl/>
        </w:rPr>
        <w:t>בִּשְׁעָרֶיךָ</w:t>
      </w:r>
      <w:r>
        <w:rPr>
          <w:rtl/>
        </w:rPr>
        <w:t xml:space="preserve"> </w:t>
      </w:r>
      <w:r>
        <w:t>(„in deinen Toren") bedeutet: zu Hause, in der eigenen Stadt (nicht am Heiligtum; vgl. 12,15.21; 14,21; 15,22).</w:t>
      </w:r>
    </w:p>
    <w:p w14:paraId="5E5F38C2" w14:textId="77777777" w:rsidR="00684135" w:rsidRDefault="00684135" w:rsidP="00684135">
      <w:pPr>
        <w:pStyle w:val="whitespace-normal"/>
      </w:pPr>
      <w:r>
        <w:t xml:space="preserve">Die Formulierung </w:t>
      </w:r>
      <w:r>
        <w:rPr>
          <w:rStyle w:val="Fett"/>
          <w:rFonts w:eastAsiaTheme="majorEastAsia"/>
          <w:rtl/>
        </w:rPr>
        <w:t>הַטָּמֵא וְהַטָּהוֹר יַחְדָּו</w:t>
      </w:r>
      <w:r>
        <w:rPr>
          <w:rtl/>
        </w:rPr>
        <w:t xml:space="preserve"> </w:t>
      </w:r>
      <w:r>
        <w:t>(„der Unreine und der Reine zusammen") zeigt: Bei profanem Verzehr gilt die kultische Reinheitsvorschrift nicht. Sowohl kultisch Reine als auch kultisch Unreine dürfen davon essen – weil es kein Opfer ist.</w:t>
      </w:r>
    </w:p>
    <w:p w14:paraId="06115DCC" w14:textId="6DC69154" w:rsidR="00684135" w:rsidRDefault="00684135" w:rsidP="00684135">
      <w:pPr>
        <w:pStyle w:val="whitespace-normal"/>
      </w:pPr>
      <w:r>
        <w:t xml:space="preserve">Der Vergleich </w:t>
      </w:r>
      <w:r>
        <w:rPr>
          <w:rStyle w:val="Fett"/>
          <w:rFonts w:eastAsiaTheme="majorEastAsia"/>
          <w:rtl/>
        </w:rPr>
        <w:t>כַּצְּבִי וְכָאַיָּל</w:t>
      </w:r>
      <w:r>
        <w:rPr>
          <w:rtl/>
        </w:rPr>
        <w:t xml:space="preserve"> </w:t>
      </w:r>
      <w:r>
        <w:t>(„wie die Gazelle und wie den Hirsch") verweist auf Wildtiere, die profan gegessen werden dürfen (vgl. 12,15.22; 14,5). Die Gazelle und der Hirsch sind reine Tiere (14,5), die nie geopfert werden, sondern nur profan verzehrt werden. Das erstgeborene Tier mit Makel wird also wie Wild behandelt.</w:t>
      </w:r>
    </w:p>
    <w:p w14:paraId="75C237BA" w14:textId="237472DE" w:rsidR="00A93C3C" w:rsidRDefault="00A93C3C" w:rsidP="00684135">
      <w:pPr>
        <w:pStyle w:val="whitespace-normal"/>
      </w:pPr>
      <w:r>
        <w:rPr>
          <w:rStyle w:val="Fett"/>
        </w:rPr>
        <w:t>Die LXX</w:t>
      </w:r>
      <w:r>
        <w:t xml:space="preserve"> übersetzt </w:t>
      </w:r>
      <w:r>
        <w:rPr>
          <w:rtl/>
        </w:rPr>
        <w:t>בִּשְׁעָרֶיךָ</w:t>
      </w:r>
      <w:r>
        <w:t xml:space="preserve"> (in deinen Toren) mit </w:t>
      </w:r>
      <w:proofErr w:type="spellStart"/>
      <w:r>
        <w:t>ἐν</w:t>
      </w:r>
      <w:proofErr w:type="spellEnd"/>
      <w:r>
        <w:t xml:space="preserve"> τα</w:t>
      </w:r>
      <w:proofErr w:type="spellStart"/>
      <w:r>
        <w:t>ῖς</w:t>
      </w:r>
      <w:proofErr w:type="spellEnd"/>
      <w:r>
        <w:t xml:space="preserve"> π</w:t>
      </w:r>
      <w:proofErr w:type="spellStart"/>
      <w:r>
        <w:t>όλεσίν</w:t>
      </w:r>
      <w:proofErr w:type="spellEnd"/>
      <w:r>
        <w:t xml:space="preserve"> </w:t>
      </w:r>
      <w:proofErr w:type="spellStart"/>
      <w:r>
        <w:t>σου</w:t>
      </w:r>
      <w:proofErr w:type="spellEnd"/>
      <w:r>
        <w:t xml:space="preserve"> (in deinen Städten) – eine interpretierende Lokalisierung, die "Tore" als pars pro toto für die gesamte Stadt versteht.</w:t>
      </w:r>
    </w:p>
    <w:p w14:paraId="6347FD20" w14:textId="77777777" w:rsidR="00684135" w:rsidRDefault="00684135" w:rsidP="00684135">
      <w:pPr>
        <w:pStyle w:val="whitespace-normal"/>
      </w:pPr>
      <w:r>
        <w:rPr>
          <w:rStyle w:val="Fett"/>
          <w:rFonts w:eastAsiaTheme="majorEastAsia"/>
        </w:rPr>
        <w:t>Die Satzstruktur:</w:t>
      </w:r>
      <w:r>
        <w:t xml:space="preserve"> Imperativsatz mit mehrfachen Bestimmungen (in deinen Toren sollst du es essen, der Unreine und der Reine zusammen, wie die Gazelle und wie den Hirsch).</w:t>
      </w:r>
    </w:p>
    <w:p w14:paraId="5BC6A04C" w14:textId="77777777" w:rsidR="00684135" w:rsidRDefault="00684135" w:rsidP="00684135">
      <w:pPr>
        <w:pStyle w:val="whitespace-normal"/>
      </w:pPr>
      <w:r>
        <w:t>Der Vers erlaubt: Das fehlerhafte Erstgeborene darfst du zu Hause essen – kultisch Unreine wie Reine dürfen davon essen, wie man Gazelle oder Hirsch isst.</w:t>
      </w:r>
    </w:p>
    <w:p w14:paraId="6E005E1F" w14:textId="77777777" w:rsidR="00684135" w:rsidRPr="00684135" w:rsidRDefault="00684135" w:rsidP="00684135">
      <w:pPr>
        <w:pStyle w:val="berschrift1"/>
        <w:rPr>
          <w:rFonts w:ascii="Times New Roman" w:hAnsi="Times New Roman"/>
          <w:color w:val="auto"/>
          <w:sz w:val="36"/>
          <w:szCs w:val="36"/>
        </w:rPr>
      </w:pPr>
      <w:r w:rsidRPr="00684135">
        <w:rPr>
          <w:rStyle w:val="Fett"/>
          <w:rFonts w:ascii="Times New Roman" w:hAnsi="Times New Roman"/>
          <w:color w:val="auto"/>
          <w:sz w:val="36"/>
          <w:szCs w:val="36"/>
        </w:rPr>
        <w:lastRenderedPageBreak/>
        <w:t>Deuteronomium 15,23</w:t>
      </w:r>
    </w:p>
    <w:p w14:paraId="1F27B54A" w14:textId="77777777" w:rsidR="00684135" w:rsidRDefault="00684135" w:rsidP="00684135">
      <w:pPr>
        <w:pStyle w:val="whitespace-normal"/>
      </w:pPr>
      <w:r>
        <w:rPr>
          <w:rStyle w:val="Fett"/>
          <w:rFonts w:eastAsiaTheme="majorEastAsia"/>
        </w:rPr>
        <w:t>Hebräisch:</w:t>
      </w:r>
      <w:r>
        <w:t xml:space="preserve"> </w:t>
      </w:r>
      <w:r>
        <w:rPr>
          <w:rtl/>
        </w:rPr>
        <w:t>רַ֥ק אֶת־דָּמֹ֖ו לֹ֣א תֹאכֵ֑ל עַל־הָאָ֥רֶץ תִּשְׁפְּכֶ֖נּוּ כַּמָּֽיִם׃</w:t>
      </w:r>
    </w:p>
    <w:p w14:paraId="51628C42" w14:textId="77777777" w:rsidR="00684135" w:rsidRDefault="00684135" w:rsidP="00684135">
      <w:pPr>
        <w:pStyle w:val="whitespace-normal"/>
      </w:pPr>
      <w:r>
        <w:rPr>
          <w:rStyle w:val="Fett"/>
          <w:rFonts w:eastAsiaTheme="majorEastAsia"/>
        </w:rPr>
        <w:t>Deutsch:</w:t>
      </w:r>
      <w:r>
        <w:t xml:space="preserve"> Nur sein Blut sollst du nicht essen; auf die Erde sollst du es ausgießen wie Wasser.</w:t>
      </w:r>
    </w:p>
    <w:p w14:paraId="4CAB988B" w14:textId="77777777" w:rsidR="00684135" w:rsidRDefault="004F5CEB" w:rsidP="00684135">
      <w:r>
        <w:rPr>
          <w:noProof/>
        </w:rPr>
        <w:pict w14:anchorId="26BB0990">
          <v:rect id="_x0000_i1467" style="width:0;height:1.5pt" o:hralign="center" o:hrstd="t" o:hr="t" fillcolor="#a0a0a0" stroked="f"/>
        </w:pict>
      </w:r>
    </w:p>
    <w:p w14:paraId="6E07DACB" w14:textId="77777777" w:rsidR="00684135" w:rsidRDefault="00684135" w:rsidP="00684135">
      <w:pPr>
        <w:pStyle w:val="whitespace-normal"/>
      </w:pPr>
      <w:r>
        <w:rPr>
          <w:rStyle w:val="Fett"/>
          <w:rFonts w:eastAsiaTheme="majorEastAsia"/>
        </w:rPr>
        <w:t>Kommentar:</w:t>
      </w:r>
      <w:r>
        <w:t xml:space="preserve"> </w:t>
      </w:r>
      <w:r>
        <w:rPr>
          <w:rStyle w:val="Fett"/>
          <w:rFonts w:eastAsiaTheme="majorEastAsia"/>
          <w:rtl/>
        </w:rPr>
        <w:t>רַק אֶת־דָּמוֹ לֹא תֹאכֵל עַל־הָאָרֶץ תִּשְׁפְּכֶנּוּ כַּמָּיִם</w:t>
      </w:r>
      <w:r>
        <w:rPr>
          <w:rtl/>
        </w:rPr>
        <w:t xml:space="preserve"> </w:t>
      </w:r>
      <w:r>
        <w:t xml:space="preserve">sind zwei koordinierte Imperative: </w:t>
      </w:r>
      <w:r>
        <w:rPr>
          <w:rStyle w:val="Fett"/>
          <w:rFonts w:eastAsiaTheme="majorEastAsia"/>
          <w:rtl/>
        </w:rPr>
        <w:t>רַק</w:t>
      </w:r>
      <w:r>
        <w:rPr>
          <w:rtl/>
        </w:rPr>
        <w:t xml:space="preserve"> </w:t>
      </w:r>
      <w:r>
        <w:t xml:space="preserve">(„nur, jedoch") als restriktive Partikel, </w:t>
      </w:r>
      <w:r>
        <w:rPr>
          <w:rStyle w:val="Fett"/>
          <w:rFonts w:eastAsiaTheme="majorEastAsia"/>
          <w:rtl/>
        </w:rPr>
        <w:t>אֶת־דָּמוֹ</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דָּם</w:t>
      </w:r>
      <w:r>
        <w:t xml:space="preserve">, „Blut", mit Suffix 3. Person Maskulinum Singular, „sein Blut") als vorangestelltes direktes Objekt, </w:t>
      </w:r>
      <w:r>
        <w:rPr>
          <w:rStyle w:val="Fett"/>
          <w:rFonts w:eastAsiaTheme="majorEastAsia"/>
          <w:rtl/>
        </w:rPr>
        <w:t>לֹא תֹאכֵל</w:t>
      </w:r>
      <w:r>
        <w:rPr>
          <w:rtl/>
        </w:rPr>
        <w:t xml:space="preserve"> </w:t>
      </w:r>
      <w:r>
        <w:t xml:space="preserve">(Negation </w:t>
      </w:r>
      <w:r>
        <w:rPr>
          <w:rStyle w:val="Fett"/>
          <w:rFonts w:eastAsiaTheme="majorEastAsia"/>
          <w:rtl/>
        </w:rPr>
        <w:t>לֹא</w:t>
      </w:r>
      <w:r>
        <w:rPr>
          <w:rtl/>
        </w:rPr>
        <w:t xml:space="preserve"> </w:t>
      </w:r>
      <w:r>
        <w:t xml:space="preserve">mit </w:t>
      </w:r>
      <w:r>
        <w:rPr>
          <w:rStyle w:val="Fett"/>
          <w:rFonts w:eastAsiaTheme="majorEastAsia"/>
          <w:rtl/>
        </w:rPr>
        <w:t>אכל</w:t>
      </w:r>
      <w:r>
        <w:t xml:space="preserve">, Qal Imperfekt, 2. Person Maskulinum Singular, „essen"), </w:t>
      </w:r>
      <w:r>
        <w:rPr>
          <w:rStyle w:val="Fett"/>
          <w:rFonts w:eastAsiaTheme="majorEastAsia"/>
          <w:rtl/>
        </w:rPr>
        <w:t>עַל־הָאָרֶץ</w:t>
      </w:r>
      <w:r>
        <w:rPr>
          <w:rtl/>
        </w:rPr>
        <w:t xml:space="preserve"> </w:t>
      </w:r>
      <w:r>
        <w:t xml:space="preserve">(Präposition </w:t>
      </w:r>
      <w:r>
        <w:rPr>
          <w:rStyle w:val="Fett"/>
          <w:rFonts w:eastAsiaTheme="majorEastAsia"/>
          <w:rtl/>
        </w:rPr>
        <w:t>עַל</w:t>
      </w:r>
      <w:r>
        <w:t xml:space="preserve">, „auf", mit </w:t>
      </w:r>
      <w:r>
        <w:rPr>
          <w:rStyle w:val="Fett"/>
          <w:rFonts w:eastAsiaTheme="majorEastAsia"/>
          <w:rtl/>
        </w:rPr>
        <w:t>אֶרֶץ</w:t>
      </w:r>
      <w:r>
        <w:t xml:space="preserve">, „Erde, Erdboden", mit Artikel), </w:t>
      </w:r>
      <w:r>
        <w:rPr>
          <w:rStyle w:val="Fett"/>
          <w:rFonts w:eastAsiaTheme="majorEastAsia"/>
          <w:rtl/>
        </w:rPr>
        <w:t>תִּשְׁפְּכֶנּוּ</w:t>
      </w:r>
      <w:r>
        <w:rPr>
          <w:rtl/>
        </w:rPr>
        <w:t xml:space="preserve"> </w:t>
      </w:r>
      <w:r>
        <w:t xml:space="preserve">(Qal Imperfekt, 2. Person Maskulinum Singular von </w:t>
      </w:r>
      <w:r>
        <w:rPr>
          <w:rStyle w:val="Fett"/>
          <w:rFonts w:eastAsiaTheme="majorEastAsia"/>
          <w:rtl/>
        </w:rPr>
        <w:t>שׁפך</w:t>
      </w:r>
      <w:r>
        <w:t xml:space="preserve">, „ausgießen, ausschütten", mit Suffix 3. Person Maskulinum Singular als direktes Objekt) und </w:t>
      </w:r>
      <w:r>
        <w:rPr>
          <w:rStyle w:val="Fett"/>
          <w:rFonts w:eastAsiaTheme="majorEastAsia"/>
          <w:rtl/>
        </w:rPr>
        <w:t>כַּמָּיִם</w:t>
      </w:r>
      <w:r>
        <w:rPr>
          <w:rtl/>
        </w:rPr>
        <w:t xml:space="preserve"> </w:t>
      </w:r>
      <w:r>
        <w:t xml:space="preserve">(Präposition </w:t>
      </w:r>
      <w:r>
        <w:rPr>
          <w:rStyle w:val="Fett"/>
          <w:rFonts w:eastAsiaTheme="majorEastAsia"/>
          <w:rtl/>
        </w:rPr>
        <w:t>כְּ</w:t>
      </w:r>
      <w:r>
        <w:t xml:space="preserve">, „wie", mit </w:t>
      </w:r>
      <w:r>
        <w:rPr>
          <w:rStyle w:val="Fett"/>
          <w:rFonts w:eastAsiaTheme="majorEastAsia"/>
          <w:rtl/>
        </w:rPr>
        <w:t>מַיִם</w:t>
      </w:r>
      <w:r>
        <w:t>, „Wasser", mit Artikel, „wie Wasser").</w:t>
      </w:r>
    </w:p>
    <w:p w14:paraId="3E6196D5" w14:textId="343AAAC5" w:rsidR="00684135" w:rsidRDefault="00684135" w:rsidP="00684135">
      <w:pPr>
        <w:pStyle w:val="whitespace-normal"/>
      </w:pPr>
      <w:r>
        <w:t xml:space="preserve">Der Vers fügt die entscheidende Einschränkung hinzu: Obwohl das fehlerhafte Erstgeborene profan verzehrt werden darf (V. 22), gilt das absolute Blutverbot. Das Blut ist heilig und darf nie gegessen werden (vgl. Gen 9,4; </w:t>
      </w:r>
      <w:r w:rsidR="00664EB6">
        <w:t>Lev</w:t>
      </w:r>
      <w:r>
        <w:t xml:space="preserve"> 3,17; 7,26-27; 17,10-14; Dtn 12,16.23-25; 15,23; </w:t>
      </w:r>
      <w:r w:rsidR="00664EB6">
        <w:t>1Sam</w:t>
      </w:r>
      <w:r>
        <w:t xml:space="preserve"> 14,32-34).</w:t>
      </w:r>
    </w:p>
    <w:p w14:paraId="40E4313C" w14:textId="77777777" w:rsidR="00684135" w:rsidRDefault="00684135" w:rsidP="00684135">
      <w:pPr>
        <w:pStyle w:val="whitespace-normal"/>
      </w:pPr>
      <w:r>
        <w:t xml:space="preserve">Die Anweisung </w:t>
      </w:r>
      <w:r>
        <w:rPr>
          <w:rStyle w:val="Fett"/>
          <w:rFonts w:eastAsiaTheme="majorEastAsia"/>
          <w:rtl/>
        </w:rPr>
        <w:t>עַל־הָאָרֶץ תִּשְׁפְּכֶנּוּ</w:t>
      </w:r>
      <w:r>
        <w:rPr>
          <w:rtl/>
        </w:rPr>
        <w:t xml:space="preserve"> </w:t>
      </w:r>
      <w:r>
        <w:t xml:space="preserve">(„auf die Erde sollst du es ausgießen") ist die vorgeschriebene Behandlung des Blutes bei profaner Schlachtung. Der Vergleich </w:t>
      </w:r>
      <w:r>
        <w:rPr>
          <w:rStyle w:val="Fett"/>
          <w:rFonts w:eastAsiaTheme="majorEastAsia"/>
          <w:rtl/>
        </w:rPr>
        <w:t>כַּמָּיִם</w:t>
      </w:r>
      <w:r>
        <w:rPr>
          <w:rtl/>
        </w:rPr>
        <w:t xml:space="preserve"> </w:t>
      </w:r>
      <w:r>
        <w:t>(„wie Wasser") betont: Das Blut soll einfach auf den Boden gegossen werden – keine rituellen Handlungen, keine besondere Behandlung (anders als bei Opfern, wo das Blut an den Altar gesprengt wird).</w:t>
      </w:r>
    </w:p>
    <w:p w14:paraId="0D41AC0F" w14:textId="6B1E0519" w:rsidR="00684135" w:rsidRDefault="00684135" w:rsidP="00684135">
      <w:pPr>
        <w:pStyle w:val="whitespace-normal"/>
      </w:pPr>
      <w:r>
        <w:t xml:space="preserve">Die theologische Begründung (ausführlich in </w:t>
      </w:r>
      <w:r w:rsidR="00664EB6">
        <w:t>Lev</w:t>
      </w:r>
      <w:r>
        <w:t xml:space="preserve"> 17,10-14): Das Blut ist der Sitz des Lebens (</w:t>
      </w:r>
      <w:r>
        <w:rPr>
          <w:rStyle w:val="Fett"/>
          <w:rFonts w:eastAsiaTheme="majorEastAsia"/>
          <w:rtl/>
        </w:rPr>
        <w:t>נֶפֶשׁ</w:t>
      </w:r>
      <w:r>
        <w:t xml:space="preserve">), und das Leben gehört Gott. Die restriktive Partikel </w:t>
      </w:r>
      <w:r>
        <w:rPr>
          <w:rStyle w:val="Fett"/>
          <w:rFonts w:eastAsiaTheme="majorEastAsia"/>
          <w:rtl/>
        </w:rPr>
        <w:t>רַק</w:t>
      </w:r>
      <w:r>
        <w:rPr>
          <w:rtl/>
        </w:rPr>
        <w:t xml:space="preserve"> </w:t>
      </w:r>
      <w:r>
        <w:t>(„nur") zeigt: Dies ist die einzige Einschränkung beim profanen Verzehr.</w:t>
      </w:r>
    </w:p>
    <w:p w14:paraId="08F4D500" w14:textId="77777777" w:rsidR="00EC21B0" w:rsidRPr="00EC21B0" w:rsidRDefault="00EC21B0" w:rsidP="00EC21B0">
      <w:pPr>
        <w:spacing w:before="100" w:beforeAutospacing="1" w:after="100" w:afterAutospacing="1" w:line="240" w:lineRule="auto"/>
        <w:rPr>
          <w:rFonts w:eastAsia="Times New Roman"/>
          <w:lang w:eastAsia="de-DE"/>
        </w:rPr>
      </w:pPr>
      <w:r w:rsidRPr="00EC21B0">
        <w:rPr>
          <w:rFonts w:eastAsia="Times New Roman"/>
          <w:b/>
          <w:bCs/>
          <w:lang w:eastAsia="de-DE"/>
        </w:rPr>
        <w:t>Die LXX</w:t>
      </w:r>
      <w:r w:rsidRPr="00EC21B0">
        <w:rPr>
          <w:rFonts w:eastAsia="Times New Roman"/>
          <w:lang w:eastAsia="de-DE"/>
        </w:rPr>
        <w:t xml:space="preserve"> hat </w:t>
      </w:r>
      <w:proofErr w:type="spellStart"/>
      <w:r w:rsidRPr="00EC21B0">
        <w:rPr>
          <w:rFonts w:eastAsia="Times New Roman"/>
          <w:lang w:eastAsia="de-DE"/>
        </w:rPr>
        <w:t>οὐ</w:t>
      </w:r>
      <w:proofErr w:type="spellEnd"/>
      <w:r w:rsidRPr="00EC21B0">
        <w:rPr>
          <w:rFonts w:eastAsia="Times New Roman"/>
          <w:lang w:eastAsia="de-DE"/>
        </w:rPr>
        <w:t xml:space="preserve"> </w:t>
      </w:r>
      <w:proofErr w:type="spellStart"/>
      <w:r w:rsidRPr="00EC21B0">
        <w:rPr>
          <w:rFonts w:eastAsia="Times New Roman"/>
          <w:lang w:eastAsia="de-DE"/>
        </w:rPr>
        <w:t>φἀγῃ</w:t>
      </w:r>
      <w:proofErr w:type="spellEnd"/>
      <w:r w:rsidRPr="00EC21B0">
        <w:rPr>
          <w:rFonts w:eastAsia="Times New Roman"/>
          <w:lang w:eastAsia="de-DE"/>
        </w:rPr>
        <w:t xml:space="preserve"> mit einer ungewöhnlichen Krasis-Form statt des normalen </w:t>
      </w:r>
      <w:proofErr w:type="spellStart"/>
      <w:r w:rsidRPr="00EC21B0">
        <w:rPr>
          <w:rFonts w:eastAsia="Times New Roman"/>
          <w:lang w:eastAsia="de-DE"/>
        </w:rPr>
        <w:t>οὐ</w:t>
      </w:r>
      <w:proofErr w:type="spellEnd"/>
      <w:r w:rsidRPr="00EC21B0">
        <w:rPr>
          <w:rFonts w:eastAsia="Times New Roman"/>
          <w:lang w:eastAsia="de-DE"/>
        </w:rPr>
        <w:t xml:space="preserve"> </w:t>
      </w:r>
      <w:proofErr w:type="spellStart"/>
      <w:r w:rsidRPr="00EC21B0">
        <w:rPr>
          <w:rFonts w:eastAsia="Times New Roman"/>
          <w:lang w:eastAsia="de-DE"/>
        </w:rPr>
        <w:t>φάγῃ</w:t>
      </w:r>
      <w:proofErr w:type="spellEnd"/>
      <w:r w:rsidRPr="00EC21B0">
        <w:rPr>
          <w:rFonts w:eastAsia="Times New Roman"/>
          <w:lang w:eastAsia="de-DE"/>
        </w:rPr>
        <w:t>.</w:t>
      </w:r>
    </w:p>
    <w:p w14:paraId="2B726616" w14:textId="77777777" w:rsidR="00684135" w:rsidRDefault="00684135" w:rsidP="00684135">
      <w:pPr>
        <w:pStyle w:val="whitespace-normal"/>
      </w:pPr>
      <w:r>
        <w:rPr>
          <w:rStyle w:val="Fett"/>
          <w:rFonts w:eastAsiaTheme="majorEastAsia"/>
        </w:rPr>
        <w:t>Die Satzstruktur:</w:t>
      </w:r>
      <w:r>
        <w:t xml:space="preserve"> Zwei koordinierte Imperative (nur sein Blut nicht sollst du essen; auf die Erde sollst du es ausgießen wie Wasser).</w:t>
      </w:r>
    </w:p>
    <w:p w14:paraId="5EC31B07" w14:textId="77777777" w:rsidR="00684135" w:rsidRDefault="00684135" w:rsidP="00684135">
      <w:pPr>
        <w:pStyle w:val="whitespace-normal"/>
      </w:pPr>
      <w:r>
        <w:t>Der Vers verbietet das Essen des Blutes – gieße es auf die Erde wie Wasser aus; dies ist die einzige Einschränkung beim profanen Verzehr des fehlerhaften Erstgeborenen.</w:t>
      </w:r>
    </w:p>
    <w:p w14:paraId="3B11C791"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16,1</w:t>
      </w:r>
    </w:p>
    <w:p w14:paraId="3421DDB8" w14:textId="77777777" w:rsidR="00C90AB0" w:rsidRDefault="00C90AB0" w:rsidP="00C90AB0">
      <w:pPr>
        <w:pStyle w:val="whitespace-normal"/>
      </w:pPr>
      <w:r>
        <w:rPr>
          <w:rStyle w:val="Fett"/>
          <w:rFonts w:eastAsiaTheme="majorEastAsia"/>
        </w:rPr>
        <w:t>Hebräisch:</w:t>
      </w:r>
      <w:r>
        <w:t xml:space="preserve"> </w:t>
      </w:r>
      <w:r>
        <w:rPr>
          <w:rtl/>
        </w:rPr>
        <w:t>שָׁמוֹר֙ אֶת־חֹ֣דֶשׁ הָאָבִ֔יב וְעָשִׂ֣יתָ פֶּ֔סַח לַיהוָ֖ה אֱלֹהֶ֑יךָ כִּ֞י בְּחֹ֣דֶשׁ הָֽאָבִ֗יב הוֹצִ֨יאֲךָ֜ יְהוָ֧ה אֱלֹהֶ֛יךָ מִמִּצְרַ֖יִם לָֽיְלָה׃</w:t>
      </w:r>
    </w:p>
    <w:p w14:paraId="12439FBB" w14:textId="77777777" w:rsidR="00C90AB0" w:rsidRDefault="00C90AB0" w:rsidP="00C90AB0">
      <w:pPr>
        <w:pStyle w:val="whitespace-normal"/>
      </w:pPr>
      <w:r>
        <w:rPr>
          <w:rStyle w:val="Fett"/>
          <w:rFonts w:eastAsiaTheme="majorEastAsia"/>
        </w:rPr>
        <w:t>Deutsch:</w:t>
      </w:r>
      <w:r>
        <w:t xml:space="preserve"> Beachte den Monat Aviv und halte Pesach dem Ewigen, deinem Gott, denn im Monat Aviv hat der Ewige, dein Gott, dich aus Mizrajim herausgeführt in der Nacht.</w:t>
      </w:r>
    </w:p>
    <w:p w14:paraId="47539223" w14:textId="77777777" w:rsidR="00C90AB0" w:rsidRDefault="004F5CEB" w:rsidP="00C90AB0">
      <w:r>
        <w:rPr>
          <w:noProof/>
        </w:rPr>
        <w:lastRenderedPageBreak/>
        <w:pict w14:anchorId="5C68266E">
          <v:rect id="_x0000_i1468" style="width:0;height:1.5pt" o:hralign="center" o:hrstd="t" o:hr="t" fillcolor="#a0a0a0" stroked="f"/>
        </w:pict>
      </w:r>
    </w:p>
    <w:p w14:paraId="6C1A344F" w14:textId="5335A96C" w:rsidR="00C90AB0" w:rsidRDefault="00C90AB0" w:rsidP="00C90AB0">
      <w:pPr>
        <w:pStyle w:val="whitespace-normal"/>
      </w:pPr>
      <w:r>
        <w:rPr>
          <w:rStyle w:val="Fett"/>
          <w:rFonts w:eastAsiaTheme="majorEastAsia"/>
        </w:rPr>
        <w:t>Kommentar:</w:t>
      </w:r>
      <w:r>
        <w:t xml:space="preserve"> </w:t>
      </w:r>
      <w:r>
        <w:rPr>
          <w:rStyle w:val="Fett"/>
          <w:rFonts w:eastAsiaTheme="majorEastAsia"/>
          <w:rtl/>
        </w:rPr>
        <w:t>שָׁמוֹר אֶת־חֹדֶשׁ הָאָבִיב וְעָשִׂיתָ פֶּסַח לַיהוָה אֱלֹהֶיךָ</w:t>
      </w:r>
      <w:r>
        <w:rPr>
          <w:rtl/>
        </w:rPr>
        <w:t xml:space="preserve"> </w:t>
      </w:r>
      <w:r>
        <w:t xml:space="preserve">sind zwei koordinierte Imperative: </w:t>
      </w:r>
      <w:r>
        <w:rPr>
          <w:rStyle w:val="Fett"/>
          <w:rFonts w:eastAsiaTheme="majorEastAsia"/>
          <w:rtl/>
        </w:rPr>
        <w:t>שָׁמוֹר</w:t>
      </w:r>
      <w:r>
        <w:rPr>
          <w:rtl/>
        </w:rPr>
        <w:t xml:space="preserve"> </w:t>
      </w:r>
      <w:r>
        <w:t xml:space="preserve">(Qal Imperativ Maskulinum Singular von </w:t>
      </w:r>
      <w:r>
        <w:rPr>
          <w:rStyle w:val="Fett"/>
          <w:rFonts w:eastAsiaTheme="majorEastAsia"/>
          <w:rtl/>
        </w:rPr>
        <w:t>שׁמר</w:t>
      </w:r>
      <w:r>
        <w:t xml:space="preserve">, „beachten, bewahren, halten"), </w:t>
      </w:r>
      <w:r>
        <w:rPr>
          <w:rStyle w:val="Fett"/>
          <w:rFonts w:eastAsiaTheme="majorEastAsia"/>
          <w:rtl/>
        </w:rPr>
        <w:t>אֶת־חֹדֶשׁ הָאָבִיב</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חֹדֶשׁ</w:t>
      </w:r>
      <w:r>
        <w:t xml:space="preserve">, „Monat", Construct mit </w:t>
      </w:r>
      <w:r>
        <w:rPr>
          <w:rStyle w:val="Fett"/>
          <w:rFonts w:eastAsiaTheme="majorEastAsia"/>
          <w:rtl/>
        </w:rPr>
        <w:t>אָבִיב</w:t>
      </w:r>
      <w:r>
        <w:t xml:space="preserve">, „Aviv, Ährenmonat", mit Artikel), </w:t>
      </w:r>
      <w:r>
        <w:rPr>
          <w:rStyle w:val="Fett"/>
          <w:rFonts w:eastAsiaTheme="majorEastAsia"/>
          <w:rtl/>
        </w:rPr>
        <w:t>וְעָשִׂיתָ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עשׂה</w:t>
      </w:r>
      <w:r>
        <w:t xml:space="preserve">, Qal Perfekt, 2. Person Maskulinum Singular, „machen, tun, feiern", imperativisch), </w:t>
      </w:r>
      <w:r>
        <w:rPr>
          <w:rStyle w:val="Fett"/>
          <w:rFonts w:eastAsiaTheme="majorEastAsia"/>
          <w:rtl/>
        </w:rPr>
        <w:t>פֶּסַח</w:t>
      </w:r>
      <w:r>
        <w:rPr>
          <w:rtl/>
        </w:rPr>
        <w:t xml:space="preserve"> </w:t>
      </w:r>
      <w:r>
        <w:t>(</w:t>
      </w:r>
      <w:r>
        <w:rPr>
          <w:rStyle w:val="Fett"/>
          <w:rFonts w:eastAsiaTheme="majorEastAsia"/>
          <w:rtl/>
        </w:rPr>
        <w:t>פֶּסַח</w:t>
      </w:r>
      <w:r>
        <w:t xml:space="preserve">, „Pesach, Passa"), </w:t>
      </w:r>
      <w:r>
        <w:rPr>
          <w:rStyle w:val="Fett"/>
          <w:rFonts w:eastAsiaTheme="majorEastAsia"/>
          <w:rtl/>
        </w:rPr>
        <w:t>לַיהוָה אֱלֹהֶיךָ</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יְהוָה אֱלֹהֶיךָ</w:t>
      </w:r>
      <w:r>
        <w:t>, „für/</w:t>
      </w:r>
      <w:r w:rsidR="00281FDB">
        <w:t>JHWH</w:t>
      </w:r>
      <w:r>
        <w:t>, deinem Gott").</w:t>
      </w:r>
    </w:p>
    <w:p w14:paraId="4455B49C" w14:textId="77777777" w:rsidR="00C90AB0" w:rsidRDefault="00C90AB0" w:rsidP="00C90AB0">
      <w:pPr>
        <w:pStyle w:val="whitespace-normal"/>
      </w:pPr>
      <w:r>
        <w:rPr>
          <w:rStyle w:val="Fett"/>
          <w:rFonts w:eastAsiaTheme="majorEastAsia"/>
          <w:rtl/>
        </w:rPr>
        <w:t>כִּי בְּחֹדֶשׁ הָאָבִיב הוֹצִיאֲךָ יְהוָה אֱלֹהֶיךָ מִמִּצְרַיִם לָיְלָה</w:t>
      </w:r>
      <w:r>
        <w:rPr>
          <w:rtl/>
        </w:rPr>
        <w:t xml:space="preserve"> </w:t>
      </w:r>
      <w:r>
        <w:t xml:space="preserve">ist die kausale Begründung: </w:t>
      </w:r>
      <w:r>
        <w:rPr>
          <w:rStyle w:val="Fett"/>
          <w:rFonts w:eastAsiaTheme="majorEastAsia"/>
          <w:rtl/>
        </w:rPr>
        <w:t>כִּי</w:t>
      </w:r>
      <w:r>
        <w:rPr>
          <w:rtl/>
        </w:rPr>
        <w:t xml:space="preserve"> </w:t>
      </w:r>
      <w:r>
        <w:t xml:space="preserve">(„denn, weil"), </w:t>
      </w:r>
      <w:r>
        <w:rPr>
          <w:rStyle w:val="Fett"/>
          <w:rFonts w:eastAsiaTheme="majorEastAsia"/>
          <w:rtl/>
        </w:rPr>
        <w:t>בְּחֹדֶשׁ הָאָבִיב</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חֹדֶשׁ הָאָבִיב</w:t>
      </w:r>
      <w:r>
        <w:t xml:space="preserve">, „im Monat Aviv"), </w:t>
      </w:r>
      <w:r>
        <w:rPr>
          <w:rStyle w:val="Fett"/>
          <w:rFonts w:eastAsiaTheme="majorEastAsia"/>
          <w:rtl/>
        </w:rPr>
        <w:t>הוֹצִיאֲךָ</w:t>
      </w:r>
      <w:r>
        <w:rPr>
          <w:rtl/>
        </w:rPr>
        <w:t xml:space="preserve"> </w:t>
      </w:r>
      <w:r>
        <w:t xml:space="preserve">(Hiphil Perfekt, 3. Person Maskulinum Singular von </w:t>
      </w:r>
      <w:r>
        <w:rPr>
          <w:rStyle w:val="Fett"/>
          <w:rFonts w:eastAsiaTheme="majorEastAsia"/>
          <w:rtl/>
        </w:rPr>
        <w:t>יצא</w:t>
      </w:r>
      <w:r>
        <w:t xml:space="preserve">, „hinausgehen", in der Hiphil-Form „herausführen", mit Suffix 2. Person Maskulinum Singular), </w:t>
      </w:r>
      <w:r>
        <w:rPr>
          <w:rStyle w:val="Fett"/>
          <w:rFonts w:eastAsiaTheme="majorEastAsia"/>
          <w:rtl/>
        </w:rPr>
        <w:t>יְהוָה אֱלֹהֶיךָ</w:t>
      </w:r>
      <w:r>
        <w:rPr>
          <w:rtl/>
        </w:rPr>
        <w:t xml:space="preserve"> </w:t>
      </w:r>
      <w:r>
        <w:t xml:space="preserve">als Subjekt, </w:t>
      </w:r>
      <w:r>
        <w:rPr>
          <w:rStyle w:val="Fett"/>
          <w:rFonts w:eastAsiaTheme="majorEastAsia"/>
          <w:rtl/>
        </w:rPr>
        <w:t>מִמִּצְרַיִם</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מִצְרַיִם</w:t>
      </w:r>
      <w:r>
        <w:t xml:space="preserve">, „Ägypten, Mizrajim"), </w:t>
      </w:r>
      <w:r>
        <w:rPr>
          <w:rStyle w:val="Fett"/>
          <w:rFonts w:eastAsiaTheme="majorEastAsia"/>
          <w:rtl/>
        </w:rPr>
        <w:t>לָיְלָה</w:t>
      </w:r>
      <w:r>
        <w:rPr>
          <w:rtl/>
        </w:rPr>
        <w:t xml:space="preserve"> </w:t>
      </w:r>
      <w:r>
        <w:t>(</w:t>
      </w:r>
      <w:r>
        <w:rPr>
          <w:rStyle w:val="Fett"/>
          <w:rFonts w:eastAsiaTheme="majorEastAsia"/>
          <w:rtl/>
        </w:rPr>
        <w:t>לַיְלָה</w:t>
      </w:r>
      <w:r>
        <w:t>, „Nacht", „in der Nacht, nachts").</w:t>
      </w:r>
    </w:p>
    <w:p w14:paraId="26FE8C88" w14:textId="46732AC5" w:rsidR="00C90AB0" w:rsidRDefault="00C90AB0" w:rsidP="00C90AB0">
      <w:pPr>
        <w:pStyle w:val="whitespace-normal"/>
      </w:pPr>
      <w:r>
        <w:t xml:space="preserve">Der Vers leitet das Kapitel über die drei Wallfahrtsfeste ein. Das Wort </w:t>
      </w:r>
      <w:r>
        <w:rPr>
          <w:rStyle w:val="Fett"/>
          <w:rFonts w:eastAsiaTheme="majorEastAsia"/>
          <w:rtl/>
        </w:rPr>
        <w:t>אָבִיב</w:t>
      </w:r>
      <w:r>
        <w:rPr>
          <w:rtl/>
        </w:rPr>
        <w:t xml:space="preserve"> </w:t>
      </w:r>
      <w:r>
        <w:t xml:space="preserve">bezeichnet den Monat der jungen Ähren (März/April), später </w:t>
      </w:r>
      <w:r>
        <w:rPr>
          <w:rStyle w:val="Fett"/>
          <w:rFonts w:eastAsiaTheme="majorEastAsia"/>
          <w:rtl/>
        </w:rPr>
        <w:t>נִיסָן</w:t>
      </w:r>
      <w:r>
        <w:rPr>
          <w:rtl/>
        </w:rPr>
        <w:t xml:space="preserve"> </w:t>
      </w:r>
      <w:r>
        <w:t xml:space="preserve">genannt (vgl. Ex 13,4; 23,15; 34,18). </w:t>
      </w:r>
      <w:r>
        <w:rPr>
          <w:rStyle w:val="Fett"/>
          <w:rFonts w:eastAsiaTheme="majorEastAsia"/>
          <w:rtl/>
        </w:rPr>
        <w:t>פֶּסַח</w:t>
      </w:r>
      <w:r>
        <w:rPr>
          <w:rtl/>
        </w:rPr>
        <w:t xml:space="preserve"> </w:t>
      </w:r>
      <w:r>
        <w:t xml:space="preserve">ist sowohl das </w:t>
      </w:r>
      <w:proofErr w:type="spellStart"/>
      <w:r>
        <w:t>Pesachfest</w:t>
      </w:r>
      <w:proofErr w:type="spellEnd"/>
      <w:r>
        <w:t xml:space="preserve"> als auch das Pesachopfer (das Lamm). Die Begründung verweist auf den Exodus: JHWH hat Israel </w:t>
      </w:r>
      <w:r>
        <w:rPr>
          <w:rStyle w:val="Fett"/>
          <w:rFonts w:eastAsiaTheme="majorEastAsia"/>
          <w:rtl/>
        </w:rPr>
        <w:t>בְּחֹדֶשׁ הָאָבִיב... לָיְלָה</w:t>
      </w:r>
      <w:r>
        <w:rPr>
          <w:rtl/>
        </w:rPr>
        <w:t xml:space="preserve"> </w:t>
      </w:r>
      <w:r>
        <w:t xml:space="preserve">(„im Monat Aviv... in der Nacht") aus Ägypten geführt (vgl. Ex 12,29-42). Die Betonung von </w:t>
      </w:r>
      <w:r>
        <w:rPr>
          <w:rStyle w:val="Fett"/>
          <w:rFonts w:eastAsiaTheme="majorEastAsia"/>
          <w:rtl/>
        </w:rPr>
        <w:t>לָיְלָה</w:t>
      </w:r>
      <w:r>
        <w:rPr>
          <w:rtl/>
        </w:rPr>
        <w:t xml:space="preserve"> </w:t>
      </w:r>
      <w:r>
        <w:t>erinnert an die dramatische Befreiungsnacht.</w:t>
      </w:r>
    </w:p>
    <w:p w14:paraId="4B3C9BB6" w14:textId="7C0E8FDD" w:rsidR="0082305E" w:rsidRDefault="0082305E" w:rsidP="00C90AB0">
      <w:pPr>
        <w:pStyle w:val="whitespace-normal"/>
      </w:pPr>
      <w:r>
        <w:rPr>
          <w:rStyle w:val="Fett"/>
        </w:rPr>
        <w:t>Die LXX</w:t>
      </w:r>
      <w:r>
        <w:t xml:space="preserve"> übersetzt </w:t>
      </w:r>
      <w:r w:rsidRPr="0082305E">
        <w:rPr>
          <w:b/>
          <w:bCs/>
          <w:rtl/>
        </w:rPr>
        <w:t>חֹדֶשׁ הָאָבִיב</w:t>
      </w:r>
      <w:r>
        <w:t xml:space="preserve"> mit </w:t>
      </w:r>
      <w:proofErr w:type="spellStart"/>
      <w:r>
        <w:t>τὸν</w:t>
      </w:r>
      <w:proofErr w:type="spellEnd"/>
      <w:r>
        <w:t xml:space="preserve"> </w:t>
      </w:r>
      <w:proofErr w:type="spellStart"/>
      <w:r>
        <w:t>μῆν</w:t>
      </w:r>
      <w:proofErr w:type="spellEnd"/>
      <w:r>
        <w:t xml:space="preserve">α </w:t>
      </w:r>
      <w:proofErr w:type="spellStart"/>
      <w:r>
        <w:t>τῶν</w:t>
      </w:r>
      <w:proofErr w:type="spellEnd"/>
      <w:r>
        <w:t xml:space="preserve"> </w:t>
      </w:r>
      <w:proofErr w:type="spellStart"/>
      <w:r>
        <w:t>νέων</w:t>
      </w:r>
      <w:proofErr w:type="spellEnd"/>
      <w:r>
        <w:t xml:space="preserve"> (den Monat der neuen [Früchte]) statt wörtlich "Monat der Ährenreife" – eine interpretierende Übersetzung, die den Frühling als Zeit des Neubeginns betont.</w:t>
      </w:r>
    </w:p>
    <w:p w14:paraId="0E61F84E" w14:textId="71664F18" w:rsidR="00C90AB0" w:rsidRDefault="00C90AB0" w:rsidP="00C90AB0">
      <w:pPr>
        <w:pStyle w:val="whitespace-normal"/>
      </w:pPr>
      <w:r>
        <w:rPr>
          <w:rStyle w:val="Fett"/>
          <w:rFonts w:eastAsiaTheme="majorEastAsia"/>
        </w:rPr>
        <w:t>Die Satzstruktur:</w:t>
      </w:r>
      <w:r>
        <w:t xml:space="preserve"> Zwei koordinierte Imperative mit kausaler Begründung (beachte den Monat Aviv und feiere Pesach </w:t>
      </w:r>
      <w:r w:rsidR="00281FDB">
        <w:t>JHWH</w:t>
      </w:r>
      <w:r>
        <w:t>, deinem Gott, denn im Monat Aviv hat herausgeführt dich JHWH, dein Gott, aus Ägypten in der Nacht).</w:t>
      </w:r>
    </w:p>
    <w:p w14:paraId="5F7F72F8" w14:textId="77777777" w:rsidR="00C90AB0" w:rsidRDefault="00C90AB0" w:rsidP="00C90AB0">
      <w:pPr>
        <w:pStyle w:val="whitespace-normal"/>
      </w:pPr>
      <w:r>
        <w:t>Der Vers fordert: Beachte den Monat Aviv und feiere Pesach für JHWH, denn in diesem Monat, in der Nacht, hat er Israel aus Ägypten befreit.</w:t>
      </w:r>
    </w:p>
    <w:p w14:paraId="376A7B7F"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16,2</w:t>
      </w:r>
    </w:p>
    <w:p w14:paraId="0B108417" w14:textId="77777777" w:rsidR="00C90AB0" w:rsidRDefault="00C90AB0" w:rsidP="00C90AB0">
      <w:pPr>
        <w:pStyle w:val="whitespace-normal"/>
      </w:pPr>
      <w:r>
        <w:rPr>
          <w:rStyle w:val="Fett"/>
          <w:rFonts w:eastAsiaTheme="majorEastAsia"/>
        </w:rPr>
        <w:t>Hebräisch:</w:t>
      </w:r>
      <w:r>
        <w:t xml:space="preserve"> </w:t>
      </w:r>
      <w:r>
        <w:rPr>
          <w:rtl/>
        </w:rPr>
        <w:t>וְזָבַ֥חְתָּ פֶּ֛סַח לַיהוָ֥ה אֱלֹהֶ֖יךָ צֹ֣אן וּבָקָ֑ר בַּמָּקוֹם֙ אֲשֶׁר־יִבְחַ֣ר יְהוָ֔ה לְשַׁכֵּ֥ן שְׁמֹ֖ו שָֽׁם׃</w:t>
      </w:r>
    </w:p>
    <w:p w14:paraId="13A82EBD" w14:textId="77777777" w:rsidR="00C90AB0" w:rsidRDefault="00C90AB0" w:rsidP="00C90AB0">
      <w:pPr>
        <w:pStyle w:val="whitespace-normal"/>
      </w:pPr>
      <w:r>
        <w:rPr>
          <w:rStyle w:val="Fett"/>
          <w:rFonts w:eastAsiaTheme="majorEastAsia"/>
        </w:rPr>
        <w:t>Deutsch:</w:t>
      </w:r>
      <w:r>
        <w:t xml:space="preserve"> Und du sollst dem Ewigen, deinem Gott, das Pesach-Opfer schlachten, Kleinvieh und Rinder, an dem Ort, den der Ewige erwählen wird, um seinen Namen dort wohnen zu lassen.</w:t>
      </w:r>
    </w:p>
    <w:p w14:paraId="3615CDF8" w14:textId="77777777" w:rsidR="00C90AB0" w:rsidRDefault="004F5CEB" w:rsidP="00C90AB0">
      <w:r>
        <w:rPr>
          <w:noProof/>
        </w:rPr>
        <w:pict w14:anchorId="229725FA">
          <v:rect id="_x0000_i1469" style="width:0;height:1.5pt" o:hralign="center" o:hrstd="t" o:hr="t" fillcolor="#a0a0a0" stroked="f"/>
        </w:pict>
      </w:r>
    </w:p>
    <w:p w14:paraId="7D8B7D9B"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וְזָבַחְתָּ פֶּסַח לַיהוָה אֱלֹהֶיךָ צֹאן וּבָקָר בַּמָּקוֹם אֲשֶׁר־יִבְחַר יְהוָה לְשַׁכֵּן שְׁמוֹ שָׁם</w:t>
      </w:r>
      <w:r>
        <w:rPr>
          <w:rtl/>
        </w:rPr>
        <w:t xml:space="preserve"> </w:t>
      </w:r>
      <w:r>
        <w:t xml:space="preserve">ist ein Imperativsatz: </w:t>
      </w:r>
      <w:r>
        <w:rPr>
          <w:rStyle w:val="Fett"/>
          <w:rFonts w:eastAsiaTheme="majorEastAsia"/>
          <w:rtl/>
        </w:rPr>
        <w:t>וְזָבַחְתָּ</w:t>
      </w:r>
      <w:r>
        <w:rPr>
          <w:rtl/>
        </w:rPr>
        <w:t xml:space="preserve"> </w:t>
      </w:r>
      <w:r>
        <w:t xml:space="preserve">(Qal Perfekt, 2. Person Maskulinum Singular von </w:t>
      </w:r>
      <w:r>
        <w:rPr>
          <w:rStyle w:val="Fett"/>
          <w:rFonts w:eastAsiaTheme="majorEastAsia"/>
          <w:rtl/>
        </w:rPr>
        <w:t>זבח</w:t>
      </w:r>
      <w:r>
        <w:t xml:space="preserve">, „schlachten, opfern", imperativisch), </w:t>
      </w:r>
      <w:r>
        <w:rPr>
          <w:rStyle w:val="Fett"/>
          <w:rFonts w:eastAsiaTheme="majorEastAsia"/>
          <w:rtl/>
        </w:rPr>
        <w:t>פֶּסַח</w:t>
      </w:r>
      <w:r>
        <w:rPr>
          <w:rtl/>
        </w:rPr>
        <w:t xml:space="preserve"> </w:t>
      </w:r>
      <w:r>
        <w:t>(</w:t>
      </w:r>
      <w:r>
        <w:rPr>
          <w:rStyle w:val="Fett"/>
          <w:rFonts w:eastAsiaTheme="majorEastAsia"/>
          <w:rtl/>
        </w:rPr>
        <w:t>פֶּסַח</w:t>
      </w:r>
      <w:r>
        <w:t xml:space="preserve">, „Pesach"), </w:t>
      </w:r>
      <w:r>
        <w:rPr>
          <w:rStyle w:val="Fett"/>
          <w:rFonts w:eastAsiaTheme="majorEastAsia"/>
          <w:rtl/>
        </w:rPr>
        <w:t>לַיהוָה אֱלֹהֶיךָ</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יְהוָה אֱלֹהֶיךָ</w:t>
      </w:r>
      <w:r>
        <w:t xml:space="preserve">), </w:t>
      </w:r>
      <w:r>
        <w:rPr>
          <w:rStyle w:val="Fett"/>
          <w:rFonts w:eastAsiaTheme="majorEastAsia"/>
          <w:rtl/>
        </w:rPr>
        <w:t>צֹאן וּבָקָר</w:t>
      </w:r>
      <w:r>
        <w:rPr>
          <w:rtl/>
        </w:rPr>
        <w:t xml:space="preserve"> </w:t>
      </w:r>
      <w:r>
        <w:t>(</w:t>
      </w:r>
      <w:r>
        <w:rPr>
          <w:rStyle w:val="Fett"/>
          <w:rFonts w:eastAsiaTheme="majorEastAsia"/>
          <w:rtl/>
        </w:rPr>
        <w:t>צֹאן</w:t>
      </w:r>
      <w:r>
        <w:t xml:space="preserve">, „Kleinvieh", koordiniert durch </w:t>
      </w:r>
      <w:r>
        <w:rPr>
          <w:rStyle w:val="Fett"/>
          <w:rFonts w:eastAsiaTheme="majorEastAsia"/>
          <w:rtl/>
        </w:rPr>
        <w:t>וּ</w:t>
      </w:r>
      <w:r>
        <w:rPr>
          <w:rtl/>
        </w:rPr>
        <w:t xml:space="preserve"> </w:t>
      </w:r>
      <w:r>
        <w:t xml:space="preserve">mit </w:t>
      </w:r>
      <w:r>
        <w:rPr>
          <w:rStyle w:val="Fett"/>
          <w:rFonts w:eastAsiaTheme="majorEastAsia"/>
          <w:rtl/>
        </w:rPr>
        <w:t>בָּקָר</w:t>
      </w:r>
      <w:r>
        <w:t xml:space="preserve">, „Rinder"), </w:t>
      </w:r>
      <w:r>
        <w:rPr>
          <w:rStyle w:val="Fett"/>
          <w:rFonts w:eastAsiaTheme="majorEastAsia"/>
          <w:rtl/>
        </w:rPr>
        <w:t>בַּמָּקוֹם אֲשֶׁר־יִבְחַר יְהוָה</w:t>
      </w:r>
      <w:r>
        <w:rPr>
          <w:rtl/>
        </w:rPr>
        <w:t xml:space="preserve"> </w:t>
      </w:r>
      <w:r>
        <w:lastRenderedPageBreak/>
        <w:t xml:space="preserve">(Präposition </w:t>
      </w:r>
      <w:r>
        <w:rPr>
          <w:rStyle w:val="Fett"/>
          <w:rFonts w:eastAsiaTheme="majorEastAsia"/>
          <w:rtl/>
        </w:rPr>
        <w:t>בְּ</w:t>
      </w:r>
      <w:r>
        <w:rPr>
          <w:rtl/>
        </w:rPr>
        <w:t xml:space="preserve"> </w:t>
      </w:r>
      <w:r>
        <w:t xml:space="preserve">mit </w:t>
      </w:r>
      <w:r>
        <w:rPr>
          <w:rStyle w:val="Fett"/>
          <w:rFonts w:eastAsiaTheme="majorEastAsia"/>
          <w:rtl/>
        </w:rPr>
        <w:t>מָקוֹם</w:t>
      </w:r>
      <w:r>
        <w:rPr>
          <w:rtl/>
        </w:rPr>
        <w:t xml:space="preserve"> </w:t>
      </w:r>
      <w:r>
        <w:t xml:space="preserve">mit Artikel, Relativsatz: </w:t>
      </w:r>
      <w:r>
        <w:rPr>
          <w:rStyle w:val="Fett"/>
          <w:rFonts w:eastAsiaTheme="majorEastAsia"/>
          <w:rtl/>
        </w:rPr>
        <w:t>אֲשֶׁר־יִבְחַר יְהוָה</w:t>
      </w:r>
      <w:r>
        <w:t xml:space="preserve">, </w:t>
      </w:r>
      <w:r>
        <w:rPr>
          <w:rStyle w:val="Fett"/>
          <w:rFonts w:eastAsiaTheme="majorEastAsia"/>
          <w:rtl/>
        </w:rPr>
        <w:t>בחר</w:t>
      </w:r>
      <w:r>
        <w:t xml:space="preserve">, Qal Imperfekt, 3. Person Maskulinum Singular, „erwählen"), </w:t>
      </w:r>
      <w:r>
        <w:rPr>
          <w:rStyle w:val="Fett"/>
          <w:rFonts w:eastAsiaTheme="majorEastAsia"/>
          <w:rtl/>
        </w:rPr>
        <w:t>לְשַׁכֵּן שְׁמוֹ שָׁם</w:t>
      </w:r>
      <w:r>
        <w:rPr>
          <w:rtl/>
        </w:rPr>
        <w:t xml:space="preserve"> </w:t>
      </w:r>
      <w:r>
        <w:t xml:space="preserve">(Präposition </w:t>
      </w:r>
      <w:r>
        <w:rPr>
          <w:rStyle w:val="Fett"/>
          <w:rFonts w:eastAsiaTheme="majorEastAsia"/>
          <w:rtl/>
        </w:rPr>
        <w:t>לְ</w:t>
      </w:r>
      <w:r>
        <w:rPr>
          <w:rtl/>
        </w:rPr>
        <w:t xml:space="preserve"> </w:t>
      </w:r>
      <w:r>
        <w:t xml:space="preserve">mit Piel Infinitiv Construct von </w:t>
      </w:r>
      <w:r>
        <w:rPr>
          <w:rStyle w:val="Fett"/>
          <w:rFonts w:eastAsiaTheme="majorEastAsia"/>
          <w:rtl/>
        </w:rPr>
        <w:t>שׁכן</w:t>
      </w:r>
      <w:r>
        <w:t xml:space="preserve">, „wohnen", </w:t>
      </w:r>
      <w:r>
        <w:rPr>
          <w:rStyle w:val="Fett"/>
          <w:rFonts w:eastAsiaTheme="majorEastAsia"/>
          <w:rtl/>
        </w:rPr>
        <w:t>שֵׁם</w:t>
      </w:r>
      <w:r>
        <w:t xml:space="preserve">, „Name", mit Suffix 3. Person Maskulinum Singular, </w:t>
      </w:r>
      <w:r>
        <w:rPr>
          <w:rStyle w:val="Fett"/>
          <w:rFonts w:eastAsiaTheme="majorEastAsia"/>
          <w:rtl/>
        </w:rPr>
        <w:t>שָׁם</w:t>
      </w:r>
      <w:r>
        <w:t>, „dort").</w:t>
      </w:r>
    </w:p>
    <w:p w14:paraId="6B5E8D54" w14:textId="65DDD059" w:rsidR="00C90AB0" w:rsidRDefault="00C90AB0" w:rsidP="00C90AB0">
      <w:pPr>
        <w:pStyle w:val="whitespace-normal"/>
      </w:pPr>
      <w:r>
        <w:t xml:space="preserve">Die Erwähnung von </w:t>
      </w:r>
      <w:r>
        <w:rPr>
          <w:rStyle w:val="Fett"/>
          <w:rFonts w:eastAsiaTheme="majorEastAsia"/>
          <w:rtl/>
        </w:rPr>
        <w:t>צֹאן וּבָקָר</w:t>
      </w:r>
      <w:r>
        <w:rPr>
          <w:rtl/>
        </w:rPr>
        <w:t xml:space="preserve"> </w:t>
      </w:r>
      <w:r>
        <w:t xml:space="preserve">(„Kleinvieh und Rinder") ist überraschend, da Ex 12 nur Lämmer/Ziegenlämmer vorschreibt. Dies könnte auf andere Festopfer während der </w:t>
      </w:r>
      <w:proofErr w:type="spellStart"/>
      <w:r>
        <w:t>Pesachwoche</w:t>
      </w:r>
      <w:proofErr w:type="spellEnd"/>
      <w:r>
        <w:t xml:space="preserve"> hinweisen (vgl. Num 28,19-24) oder eine deuteronomische Erweiterung sein. Die Formel </w:t>
      </w:r>
      <w:r>
        <w:rPr>
          <w:rStyle w:val="Fett"/>
          <w:rFonts w:eastAsiaTheme="majorEastAsia"/>
          <w:rtl/>
        </w:rPr>
        <w:t>לְשַׁכֵּן שְׁמוֹ שָׁם</w:t>
      </w:r>
      <w:r>
        <w:rPr>
          <w:rtl/>
        </w:rPr>
        <w:t xml:space="preserve"> </w:t>
      </w:r>
      <w:r>
        <w:t>(„um seinen Namen dort wohnen zu lassen") ist charakteristisch deuteronomisch für Kultzentralisation (vgl. 12,5.11; 14,23; 16,2.6.11; 26,2).</w:t>
      </w:r>
    </w:p>
    <w:p w14:paraId="098EE0D8" w14:textId="28A6077D" w:rsidR="0082305E" w:rsidRDefault="0082305E" w:rsidP="00C90AB0">
      <w:pPr>
        <w:pStyle w:val="whitespace-normal"/>
      </w:pPr>
      <w:r>
        <w:rPr>
          <w:rStyle w:val="Fett"/>
        </w:rPr>
        <w:t>Die LXX</w:t>
      </w:r>
      <w:r>
        <w:t xml:space="preserve"> verwendet ἐπ</w:t>
      </w:r>
      <w:proofErr w:type="spellStart"/>
      <w:r>
        <w:t>ικληθῆν</w:t>
      </w:r>
      <w:proofErr w:type="spellEnd"/>
      <w:r>
        <w:t xml:space="preserve">αι </w:t>
      </w:r>
      <w:proofErr w:type="spellStart"/>
      <w:r>
        <w:t>τὸ</w:t>
      </w:r>
      <w:proofErr w:type="spellEnd"/>
      <w:r>
        <w:t xml:space="preserve"> </w:t>
      </w:r>
      <w:proofErr w:type="spellStart"/>
      <w:r>
        <w:t>ὄνομ</w:t>
      </w:r>
      <w:proofErr w:type="spellEnd"/>
      <w:r>
        <w:t>α α</w:t>
      </w:r>
      <w:proofErr w:type="spellStart"/>
      <w:r>
        <w:t>ὐτοῦ</w:t>
      </w:r>
      <w:proofErr w:type="spellEnd"/>
      <w:r>
        <w:t xml:space="preserve"> </w:t>
      </w:r>
      <w:proofErr w:type="spellStart"/>
      <w:r>
        <w:t>ἐκεῖ</w:t>
      </w:r>
      <w:proofErr w:type="spellEnd"/>
      <w:r>
        <w:t xml:space="preserve"> (angerufen zu werden sein Name dort) für </w:t>
      </w:r>
      <w:r w:rsidRPr="0082305E">
        <w:rPr>
          <w:b/>
          <w:bCs/>
          <w:rtl/>
        </w:rPr>
        <w:t>לְשַׁכֵּן שְׁמוֹ שָׁם</w:t>
      </w:r>
      <w:r>
        <w:t xml:space="preserve"> (wohnen zu lassen seinen Namen dort) – eine theologisch signifikante Differenz wie bereits in Kapitel 14, die eine andere Konzeption der göttlichen Präsenz ausdrückt.</w:t>
      </w:r>
    </w:p>
    <w:p w14:paraId="2560D09E" w14:textId="67074A28" w:rsidR="00C90AB0" w:rsidRDefault="00C90AB0" w:rsidP="00C90AB0">
      <w:pPr>
        <w:pStyle w:val="whitespace-normal"/>
      </w:pPr>
      <w:r>
        <w:rPr>
          <w:rStyle w:val="Fett"/>
          <w:rFonts w:eastAsiaTheme="majorEastAsia"/>
        </w:rPr>
        <w:t>Die Satzstruktur:</w:t>
      </w:r>
      <w:r>
        <w:t xml:space="preserve"> Imperativsatz (schlachten sollst du Pesach </w:t>
      </w:r>
      <w:r w:rsidR="00281FDB">
        <w:t>JHWH</w:t>
      </w:r>
      <w:r>
        <w:t>, deinem Gott, Kleinvieh und Rinder, an dem Ort, den erwählen wird JHWH, um wohnen zu lassen seinen Namen dort).</w:t>
      </w:r>
    </w:p>
    <w:p w14:paraId="0E30160B" w14:textId="77777777" w:rsidR="00C90AB0" w:rsidRDefault="00C90AB0" w:rsidP="00C90AB0">
      <w:pPr>
        <w:pStyle w:val="whitespace-normal"/>
      </w:pPr>
      <w:r>
        <w:t>Der Vers konkretisiert: Schlachte das Pesachopfer (Kleinvieh und Rinder) für JHWH am zentralen Heiligtum, wo sein Name wohnt.</w:t>
      </w:r>
    </w:p>
    <w:p w14:paraId="65CA52E6"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16,3</w:t>
      </w:r>
    </w:p>
    <w:p w14:paraId="1DDB3685" w14:textId="77777777" w:rsidR="00C90AB0" w:rsidRDefault="00C90AB0" w:rsidP="00C90AB0">
      <w:pPr>
        <w:pStyle w:val="whitespace-normal"/>
      </w:pPr>
      <w:r>
        <w:rPr>
          <w:rStyle w:val="Fett"/>
          <w:rFonts w:eastAsiaTheme="majorEastAsia"/>
        </w:rPr>
        <w:t>Hebräisch:</w:t>
      </w:r>
      <w:r>
        <w:t xml:space="preserve"> </w:t>
      </w:r>
      <w:r>
        <w:rPr>
          <w:rtl/>
        </w:rPr>
        <w:t>לֹא־תֹאכַ֤ל עָלָיו֙ חָמֵ֔ץ שִׁבְעַ֥ת יָמִ֛ים תֹּֽאכַל־עָלָ֥יו מַצּ֖וֹת לֶ֣חֶם עֹ֑נִי כִּ֣י בְחִפָּז֗וֹן יָצָ֨אתָ֙ מֵאֶ֣רֶץ מִצְרַ֔יִם לְמַ֣עַן תִּזְכֹּ֗ר אֶת־י֤וֹם צֵֽאתְךָ֙ מֵאֶ֣רֶץ מִצְרַ֔יִם כֹּ֖ל יְמֵ֥י חַיֶּֽיךָ׃</w:t>
      </w:r>
    </w:p>
    <w:p w14:paraId="7DC7548B" w14:textId="77777777" w:rsidR="00C90AB0" w:rsidRDefault="00C90AB0" w:rsidP="00C90AB0">
      <w:pPr>
        <w:pStyle w:val="whitespace-normal"/>
      </w:pPr>
      <w:r>
        <w:rPr>
          <w:rStyle w:val="Fett"/>
          <w:rFonts w:eastAsiaTheme="majorEastAsia"/>
        </w:rPr>
        <w:t>Deutsch:</w:t>
      </w:r>
      <w:r>
        <w:t xml:space="preserve"> Du sollst nichts Gesäuertes dazu essen; sieben Tage sollst du Ungesäuertes dazu essen, Brot des Elends, denn in Eile bist du aus dem Land Mizrajim ausgezogen, damit du des Tages deines Auszugs aus dem Land Mizrajim gedenkst alle Tage deines Lebens.</w:t>
      </w:r>
    </w:p>
    <w:p w14:paraId="63035C98" w14:textId="77777777" w:rsidR="00C90AB0" w:rsidRDefault="004F5CEB" w:rsidP="00C90AB0">
      <w:r>
        <w:rPr>
          <w:noProof/>
        </w:rPr>
        <w:pict w14:anchorId="1B989D66">
          <v:rect id="_x0000_i1470" style="width:0;height:1.5pt" o:hralign="center" o:hrstd="t" o:hr="t" fillcolor="#a0a0a0" stroked="f"/>
        </w:pict>
      </w:r>
    </w:p>
    <w:p w14:paraId="1304160D"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לֹא־תֹאכַל עָלָיו חָמֵץ</w:t>
      </w:r>
      <w:r>
        <w:rPr>
          <w:rtl/>
        </w:rPr>
        <w:t xml:space="preserve"> </w:t>
      </w:r>
      <w:r>
        <w:t xml:space="preserve">ist ein negativer Imperativ: </w:t>
      </w:r>
      <w:r>
        <w:rPr>
          <w:rStyle w:val="Fett"/>
          <w:rFonts w:eastAsiaTheme="majorEastAsia"/>
          <w:rtl/>
        </w:rPr>
        <w:t>לֹא־תֹאכַל</w:t>
      </w:r>
      <w:r>
        <w:rPr>
          <w:rtl/>
        </w:rPr>
        <w:t xml:space="preserve"> </w:t>
      </w:r>
      <w:r>
        <w:t xml:space="preserve">(Negation mit </w:t>
      </w:r>
      <w:r>
        <w:rPr>
          <w:rStyle w:val="Fett"/>
          <w:rFonts w:eastAsiaTheme="majorEastAsia"/>
          <w:rtl/>
        </w:rPr>
        <w:t>אכל</w:t>
      </w:r>
      <w:r>
        <w:t xml:space="preserve">, Qal Imperfekt, 2. Person Maskulinum Singular, „essen"), </w:t>
      </w:r>
      <w:r>
        <w:rPr>
          <w:rStyle w:val="Fett"/>
          <w:rFonts w:eastAsiaTheme="majorEastAsia"/>
          <w:rtl/>
        </w:rPr>
        <w:t>עָלָיו</w:t>
      </w:r>
      <w:r>
        <w:rPr>
          <w:rtl/>
        </w:rPr>
        <w:t xml:space="preserve"> </w:t>
      </w:r>
      <w:r>
        <w:t xml:space="preserve">(Präposition </w:t>
      </w:r>
      <w:r>
        <w:rPr>
          <w:rStyle w:val="Fett"/>
          <w:rFonts w:eastAsiaTheme="majorEastAsia"/>
          <w:rtl/>
        </w:rPr>
        <w:t>עַל</w:t>
      </w:r>
      <w:r>
        <w:rPr>
          <w:rtl/>
        </w:rPr>
        <w:t xml:space="preserve"> </w:t>
      </w:r>
      <w:r>
        <w:t xml:space="preserve">mit Suffix 3. Person Maskulinum Singular, „darauf, dazu", rückverweisend auf das Pesachopfer), </w:t>
      </w:r>
      <w:r>
        <w:rPr>
          <w:rStyle w:val="Fett"/>
          <w:rFonts w:eastAsiaTheme="majorEastAsia"/>
          <w:rtl/>
        </w:rPr>
        <w:t>חָמֵץ</w:t>
      </w:r>
      <w:r>
        <w:rPr>
          <w:rtl/>
        </w:rPr>
        <w:t xml:space="preserve"> </w:t>
      </w:r>
      <w:r>
        <w:t>(</w:t>
      </w:r>
      <w:r>
        <w:rPr>
          <w:rStyle w:val="Fett"/>
          <w:rFonts w:eastAsiaTheme="majorEastAsia"/>
          <w:rtl/>
        </w:rPr>
        <w:t>חָמֵץ</w:t>
      </w:r>
      <w:r>
        <w:t>, „Gesäuertes").</w:t>
      </w:r>
    </w:p>
    <w:p w14:paraId="1ECEBA9B" w14:textId="77777777" w:rsidR="00C90AB0" w:rsidRDefault="00C90AB0" w:rsidP="00C90AB0">
      <w:pPr>
        <w:pStyle w:val="whitespace-normal"/>
      </w:pPr>
      <w:r>
        <w:rPr>
          <w:rStyle w:val="Fett"/>
          <w:rFonts w:eastAsiaTheme="majorEastAsia"/>
          <w:rtl/>
        </w:rPr>
        <w:t>שִׁבְעַת יָמִים תֹּאכַל־עָלָיו מַצּוֹת לֶחֶם עֹנִי</w:t>
      </w:r>
      <w:r>
        <w:rPr>
          <w:rtl/>
        </w:rPr>
        <w:t xml:space="preserve"> </w:t>
      </w:r>
      <w:r>
        <w:t xml:space="preserve">ist der positive Imperativ: </w:t>
      </w:r>
      <w:r>
        <w:rPr>
          <w:rStyle w:val="Fett"/>
          <w:rFonts w:eastAsiaTheme="majorEastAsia"/>
          <w:rtl/>
        </w:rPr>
        <w:t>שִׁבְעַת יָמִים</w:t>
      </w:r>
      <w:r>
        <w:rPr>
          <w:rtl/>
        </w:rPr>
        <w:t xml:space="preserve"> </w:t>
      </w:r>
      <w:r>
        <w:t>(</w:t>
      </w:r>
      <w:r>
        <w:rPr>
          <w:rStyle w:val="Fett"/>
          <w:rFonts w:eastAsiaTheme="majorEastAsia"/>
          <w:rtl/>
        </w:rPr>
        <w:t>שִׁבְעָה</w:t>
      </w:r>
      <w:r>
        <w:t xml:space="preserve">, „sieben", Construct mit </w:t>
      </w:r>
      <w:r>
        <w:rPr>
          <w:rStyle w:val="Fett"/>
          <w:rFonts w:eastAsiaTheme="majorEastAsia"/>
          <w:rtl/>
        </w:rPr>
        <w:t>יוֹם</w:t>
      </w:r>
      <w:r>
        <w:t xml:space="preserve">, Plural, „sieben Tage"), </w:t>
      </w:r>
      <w:r>
        <w:rPr>
          <w:rStyle w:val="Fett"/>
          <w:rFonts w:eastAsiaTheme="majorEastAsia"/>
          <w:rtl/>
        </w:rPr>
        <w:t>תֹּאכַל־עָלָיו</w:t>
      </w:r>
      <w:r>
        <w:rPr>
          <w:rtl/>
        </w:rPr>
        <w:t xml:space="preserve"> </w:t>
      </w:r>
      <w:r>
        <w:t>(</w:t>
      </w:r>
      <w:r>
        <w:rPr>
          <w:rStyle w:val="Fett"/>
          <w:rFonts w:eastAsiaTheme="majorEastAsia"/>
          <w:rtl/>
        </w:rPr>
        <w:t>אכל</w:t>
      </w:r>
      <w:r>
        <w:rPr>
          <w:rtl/>
        </w:rPr>
        <w:t xml:space="preserve"> </w:t>
      </w:r>
      <w:r>
        <w:t xml:space="preserve">mit </w:t>
      </w:r>
      <w:r>
        <w:rPr>
          <w:rStyle w:val="Fett"/>
          <w:rFonts w:eastAsiaTheme="majorEastAsia"/>
          <w:rtl/>
        </w:rPr>
        <w:t>עָלָיו</w:t>
      </w:r>
      <w:r>
        <w:t xml:space="preserve">), </w:t>
      </w:r>
      <w:r>
        <w:rPr>
          <w:rStyle w:val="Fett"/>
          <w:rFonts w:eastAsiaTheme="majorEastAsia"/>
          <w:rtl/>
        </w:rPr>
        <w:t>מַצּוֹת</w:t>
      </w:r>
      <w:r>
        <w:rPr>
          <w:rtl/>
        </w:rPr>
        <w:t xml:space="preserve"> </w:t>
      </w:r>
      <w:r>
        <w:t>(</w:t>
      </w:r>
      <w:r>
        <w:rPr>
          <w:rStyle w:val="Fett"/>
          <w:rFonts w:eastAsiaTheme="majorEastAsia"/>
          <w:rtl/>
        </w:rPr>
        <w:t>מַצָּה</w:t>
      </w:r>
      <w:r>
        <w:t xml:space="preserve">, „Ungesäuertes", Plural), </w:t>
      </w:r>
      <w:r>
        <w:rPr>
          <w:rStyle w:val="Fett"/>
          <w:rFonts w:eastAsiaTheme="majorEastAsia"/>
          <w:rtl/>
        </w:rPr>
        <w:t>לֶחֶם עֹנִי</w:t>
      </w:r>
      <w:r>
        <w:rPr>
          <w:rtl/>
        </w:rPr>
        <w:t xml:space="preserve"> </w:t>
      </w:r>
      <w:r>
        <w:t>(</w:t>
      </w:r>
      <w:r>
        <w:rPr>
          <w:rStyle w:val="Fett"/>
          <w:rFonts w:eastAsiaTheme="majorEastAsia"/>
          <w:rtl/>
        </w:rPr>
        <w:t>לֶחֶם</w:t>
      </w:r>
      <w:r>
        <w:t xml:space="preserve">, „Brot", Construct mit </w:t>
      </w:r>
      <w:r>
        <w:rPr>
          <w:rStyle w:val="Fett"/>
          <w:rFonts w:eastAsiaTheme="majorEastAsia"/>
          <w:rtl/>
        </w:rPr>
        <w:t>עֹנִי</w:t>
      </w:r>
      <w:r>
        <w:t>, „Elend, Bedrängnis", „Brot des Elends").</w:t>
      </w:r>
    </w:p>
    <w:p w14:paraId="7BD98387" w14:textId="77777777" w:rsidR="00C90AB0" w:rsidRDefault="00C90AB0" w:rsidP="00C90AB0">
      <w:pPr>
        <w:pStyle w:val="whitespace-normal"/>
      </w:pPr>
      <w:r>
        <w:rPr>
          <w:rStyle w:val="Fett"/>
          <w:rFonts w:eastAsiaTheme="majorEastAsia"/>
          <w:rtl/>
        </w:rPr>
        <w:t>כִּי בְחִפָּזוֹן יָצָאתָ מֵאֶרֶץ מִצְרַיִם לְמַעַן תִּזְכֹּר אֶת־יוֹם צֵאתְךָ מֵאֶרֶץ מִצְרַיִם כֹּל יְמֵי חַיֶּיךָ</w:t>
      </w:r>
      <w:r>
        <w:rPr>
          <w:rtl/>
        </w:rPr>
        <w:t xml:space="preserve"> </w:t>
      </w:r>
      <w:r>
        <w:t xml:space="preserve">ist die doppelte Begründung: </w:t>
      </w:r>
      <w:r>
        <w:rPr>
          <w:rStyle w:val="Fett"/>
          <w:rFonts w:eastAsiaTheme="majorEastAsia"/>
          <w:rtl/>
        </w:rPr>
        <w:t>כִּי</w:t>
      </w:r>
      <w:r>
        <w:rPr>
          <w:rtl/>
        </w:rPr>
        <w:t xml:space="preserve"> </w:t>
      </w:r>
      <w:r>
        <w:t xml:space="preserve">(„denn"), </w:t>
      </w:r>
      <w:r>
        <w:rPr>
          <w:rStyle w:val="Fett"/>
          <w:rFonts w:eastAsiaTheme="majorEastAsia"/>
          <w:rtl/>
        </w:rPr>
        <w:t>בְחִפָּזוֹן</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חִפָּזוֹן</w:t>
      </w:r>
      <w:r>
        <w:t xml:space="preserve">, „Eile, Hast"), </w:t>
      </w:r>
      <w:r>
        <w:rPr>
          <w:rStyle w:val="Fett"/>
          <w:rFonts w:eastAsiaTheme="majorEastAsia"/>
          <w:rtl/>
        </w:rPr>
        <w:t>יָצָאתָ</w:t>
      </w:r>
      <w:r>
        <w:rPr>
          <w:rtl/>
        </w:rPr>
        <w:t xml:space="preserve"> </w:t>
      </w:r>
      <w:r>
        <w:t xml:space="preserve">(Qal Perfekt, 2. Person Maskulinum Singular von </w:t>
      </w:r>
      <w:r>
        <w:rPr>
          <w:rStyle w:val="Fett"/>
          <w:rFonts w:eastAsiaTheme="majorEastAsia"/>
          <w:rtl/>
        </w:rPr>
        <w:t>יצא</w:t>
      </w:r>
      <w:r>
        <w:t xml:space="preserve">, „hinausgehen"), </w:t>
      </w:r>
      <w:r>
        <w:rPr>
          <w:rStyle w:val="Fett"/>
          <w:rFonts w:eastAsiaTheme="majorEastAsia"/>
          <w:rtl/>
        </w:rPr>
        <w:t>מֵאֶרֶץ מִצְרַיִם</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אֶרֶץ מִצְרַיִם</w:t>
      </w:r>
      <w:r>
        <w:t xml:space="preserve">, „aus dem Land Ägypten"), </w:t>
      </w:r>
      <w:r>
        <w:rPr>
          <w:rStyle w:val="Fett"/>
          <w:rFonts w:eastAsiaTheme="majorEastAsia"/>
          <w:rtl/>
        </w:rPr>
        <w:t>לְמַעַן תִּזְכֹּר</w:t>
      </w:r>
      <w:r>
        <w:rPr>
          <w:rtl/>
        </w:rPr>
        <w:t xml:space="preserve"> </w:t>
      </w:r>
      <w:r>
        <w:t xml:space="preserve">(Präposition </w:t>
      </w:r>
      <w:r>
        <w:rPr>
          <w:rStyle w:val="Fett"/>
          <w:rFonts w:eastAsiaTheme="majorEastAsia"/>
          <w:rtl/>
        </w:rPr>
        <w:t>לְמַעַן</w:t>
      </w:r>
      <w:r>
        <w:t xml:space="preserve">, „damit", mit </w:t>
      </w:r>
      <w:r>
        <w:rPr>
          <w:rStyle w:val="Fett"/>
          <w:rFonts w:eastAsiaTheme="majorEastAsia"/>
          <w:rtl/>
        </w:rPr>
        <w:t>זכר</w:t>
      </w:r>
      <w:r>
        <w:t xml:space="preserve">, Qal Imperfekt, 2. Person Maskulinum Singular, „gedenken"), </w:t>
      </w:r>
      <w:r>
        <w:rPr>
          <w:rStyle w:val="Fett"/>
          <w:rFonts w:eastAsiaTheme="majorEastAsia"/>
          <w:rtl/>
        </w:rPr>
        <w:t>אֶת־יוֹם צֵאתְךָ מֵאֶרֶץ מִצְרַיִם</w:t>
      </w:r>
      <w:r>
        <w:rPr>
          <w:rtl/>
        </w:rPr>
        <w:t xml:space="preserve"> </w:t>
      </w:r>
      <w:r>
        <w:lastRenderedPageBreak/>
        <w:t xml:space="preserve">(Objektpartikel </w:t>
      </w:r>
      <w:r>
        <w:rPr>
          <w:rStyle w:val="Fett"/>
          <w:rFonts w:eastAsiaTheme="majorEastAsia"/>
          <w:rtl/>
        </w:rPr>
        <w:t>אֵת</w:t>
      </w:r>
      <w:r>
        <w:rPr>
          <w:rtl/>
        </w:rPr>
        <w:t xml:space="preserve"> </w:t>
      </w:r>
      <w:r>
        <w:t xml:space="preserve">mit </w:t>
      </w:r>
      <w:r>
        <w:rPr>
          <w:rStyle w:val="Fett"/>
          <w:rFonts w:eastAsiaTheme="majorEastAsia"/>
          <w:rtl/>
        </w:rPr>
        <w:t>יוֹם</w:t>
      </w:r>
      <w:r>
        <w:t xml:space="preserve">, „Tag", Construct mit </w:t>
      </w:r>
      <w:r>
        <w:rPr>
          <w:rStyle w:val="Fett"/>
          <w:rFonts w:eastAsiaTheme="majorEastAsia"/>
          <w:rtl/>
        </w:rPr>
        <w:t>יְצִיאָה</w:t>
      </w:r>
      <w:r>
        <w:t xml:space="preserve">, „Auszug", mit Suffix 2. Person Maskulinum Singular, </w:t>
      </w:r>
      <w:r>
        <w:rPr>
          <w:rStyle w:val="Fett"/>
          <w:rFonts w:eastAsiaTheme="majorEastAsia"/>
          <w:rtl/>
        </w:rPr>
        <w:t>מֵאֶרֶץ מִצְרַיִם</w:t>
      </w:r>
      <w:r>
        <w:t xml:space="preserve">), </w:t>
      </w:r>
      <w:r>
        <w:rPr>
          <w:rStyle w:val="Fett"/>
          <w:rFonts w:eastAsiaTheme="majorEastAsia"/>
          <w:rtl/>
        </w:rPr>
        <w:t>כֹּל יְמֵי חַיֶּיךָ</w:t>
      </w:r>
      <w:r>
        <w:rPr>
          <w:rtl/>
        </w:rPr>
        <w:t xml:space="preserve"> </w:t>
      </w:r>
      <w:r>
        <w:t>(</w:t>
      </w:r>
      <w:r>
        <w:rPr>
          <w:rStyle w:val="Fett"/>
          <w:rFonts w:eastAsiaTheme="majorEastAsia"/>
          <w:rtl/>
        </w:rPr>
        <w:t>כֹּל</w:t>
      </w:r>
      <w:r>
        <w:t xml:space="preserve">, „all", Construct mit </w:t>
      </w:r>
      <w:r>
        <w:rPr>
          <w:rStyle w:val="Fett"/>
          <w:rFonts w:eastAsiaTheme="majorEastAsia"/>
          <w:rtl/>
        </w:rPr>
        <w:t>יוֹם</w:t>
      </w:r>
      <w:r>
        <w:t xml:space="preserve">, Plural, Construct mit </w:t>
      </w:r>
      <w:r>
        <w:rPr>
          <w:rStyle w:val="Fett"/>
          <w:rFonts w:eastAsiaTheme="majorEastAsia"/>
          <w:rtl/>
        </w:rPr>
        <w:t>חַי</w:t>
      </w:r>
      <w:r>
        <w:t>, „Leben", Plural mit Suffix 2. Person Maskulinum Singular, „alle Tage deines Lebens").</w:t>
      </w:r>
    </w:p>
    <w:p w14:paraId="6297CD39" w14:textId="1A2D7790" w:rsidR="00C90AB0" w:rsidRDefault="00C90AB0" w:rsidP="00C90AB0">
      <w:pPr>
        <w:pStyle w:val="whitespace-normal"/>
      </w:pPr>
      <w:r>
        <w:t xml:space="preserve">Die Wendung </w:t>
      </w:r>
      <w:r>
        <w:rPr>
          <w:rStyle w:val="Fett"/>
          <w:rFonts w:eastAsiaTheme="majorEastAsia"/>
          <w:rtl/>
        </w:rPr>
        <w:t>לֶחֶם עֹנִי</w:t>
      </w:r>
      <w:r>
        <w:rPr>
          <w:rtl/>
        </w:rPr>
        <w:t xml:space="preserve"> </w:t>
      </w:r>
      <w:r>
        <w:t xml:space="preserve">(„Brot des Elends") wird unterschiedlich gedeutet: (1) Brot der Bedrängnis (Erinnerung an die Sklaverei), (2) einfaches Brot (ohne Sauerteig), (3) Armenbrot. Die rabbinische Auslegung verbindet </w:t>
      </w:r>
      <w:r>
        <w:rPr>
          <w:rStyle w:val="Fett"/>
          <w:rFonts w:eastAsiaTheme="majorEastAsia"/>
          <w:rtl/>
        </w:rPr>
        <w:t>עֹנִי</w:t>
      </w:r>
      <w:r>
        <w:rPr>
          <w:rtl/>
        </w:rPr>
        <w:t xml:space="preserve"> </w:t>
      </w:r>
      <w:r>
        <w:t xml:space="preserve">mit </w:t>
      </w:r>
      <w:r>
        <w:rPr>
          <w:rStyle w:val="Fett"/>
          <w:rFonts w:eastAsiaTheme="majorEastAsia"/>
          <w:rtl/>
        </w:rPr>
        <w:t>עָנָה</w:t>
      </w:r>
      <w:r>
        <w:rPr>
          <w:rtl/>
        </w:rPr>
        <w:t xml:space="preserve"> </w:t>
      </w:r>
      <w:r>
        <w:t xml:space="preserve">(„antworten") – Brot, über dem man die Exodus-Geschichte erzählt (vgl. Mischna Pesachim 10,4). Der Ausdruck </w:t>
      </w:r>
      <w:r>
        <w:rPr>
          <w:rStyle w:val="Fett"/>
          <w:rFonts w:eastAsiaTheme="majorEastAsia"/>
          <w:rtl/>
        </w:rPr>
        <w:t>בְחִפָּזוֹן</w:t>
      </w:r>
      <w:r>
        <w:rPr>
          <w:rtl/>
        </w:rPr>
        <w:t xml:space="preserve"> </w:t>
      </w:r>
      <w:r>
        <w:t>(„in Eile") erinnert an die hastige Flucht aus Ägypten (vgl. Ex 12,11.39).</w:t>
      </w:r>
    </w:p>
    <w:p w14:paraId="5D509C0A" w14:textId="75CB8FCC" w:rsidR="0082305E" w:rsidRDefault="0082305E" w:rsidP="00C90AB0">
      <w:pPr>
        <w:pStyle w:val="whitespace-normal"/>
      </w:pPr>
      <w:r>
        <w:rPr>
          <w:rStyle w:val="Fett"/>
        </w:rPr>
        <w:t>Die LXX</w:t>
      </w:r>
      <w:r>
        <w:t xml:space="preserve"> übersetzt </w:t>
      </w:r>
      <w:r w:rsidRPr="0082305E">
        <w:rPr>
          <w:b/>
          <w:bCs/>
          <w:rtl/>
        </w:rPr>
        <w:t>לֶחֶם עֹנִי</w:t>
      </w:r>
      <w:r>
        <w:t xml:space="preserve"> (Brot des Elends/der Bedrängnis) mit </w:t>
      </w:r>
      <w:proofErr w:type="spellStart"/>
      <w:r>
        <w:t>ἄρτον</w:t>
      </w:r>
      <w:proofErr w:type="spellEnd"/>
      <w:r>
        <w:t xml:space="preserve"> κα</w:t>
      </w:r>
      <w:proofErr w:type="spellStart"/>
      <w:r>
        <w:t>κώσεως</w:t>
      </w:r>
      <w:proofErr w:type="spellEnd"/>
      <w:r>
        <w:t xml:space="preserve"> (Brot der Misshandlung/des Leidens) – eine Interpretation, die den Aspekt der Unterdrückung stärker betont.</w:t>
      </w:r>
    </w:p>
    <w:p w14:paraId="74A8F538" w14:textId="77777777" w:rsidR="00C90AB0" w:rsidRDefault="00C90AB0" w:rsidP="00C90AB0">
      <w:pPr>
        <w:pStyle w:val="whitespace-normal"/>
      </w:pPr>
      <w:r>
        <w:rPr>
          <w:rStyle w:val="Fett"/>
          <w:rFonts w:eastAsiaTheme="majorEastAsia"/>
        </w:rPr>
        <w:t>Die Satzstruktur:</w:t>
      </w:r>
      <w:r>
        <w:t xml:space="preserve"> Negativer Imperativ (nicht sollst du essen darauf Gesäuertes); positiver Imperativ (sieben Tage sollst du essen darauf Ungesäuertes, Brot des Elends); kausale und finale Begründung (denn in Eile bist du ausgezogen aus dem Land Ägypten, damit du gedenkst des Tages deines Auszugs aus dem Land Ägypten alle Tage deines Lebens).</w:t>
      </w:r>
    </w:p>
    <w:p w14:paraId="10D46CAB" w14:textId="77777777" w:rsidR="00C90AB0" w:rsidRDefault="00C90AB0" w:rsidP="00C90AB0">
      <w:pPr>
        <w:pStyle w:val="whitespace-normal"/>
      </w:pPr>
      <w:r>
        <w:t>Der Vers verbietet Gesäuertes und gebietet sieben Tage Ungesäuertes zu essen – das „Brot des Elends" erinnert an die hastige Flucht und soll lebenslange Erinnerung an den Exodus bewirken.</w:t>
      </w:r>
    </w:p>
    <w:p w14:paraId="40599165"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16,4</w:t>
      </w:r>
    </w:p>
    <w:p w14:paraId="472BAF26" w14:textId="77777777" w:rsidR="00C90AB0" w:rsidRDefault="00C90AB0" w:rsidP="00C90AB0">
      <w:pPr>
        <w:pStyle w:val="whitespace-normal"/>
      </w:pPr>
      <w:r>
        <w:rPr>
          <w:rStyle w:val="Fett"/>
          <w:rFonts w:eastAsiaTheme="majorEastAsia"/>
        </w:rPr>
        <w:t>Hebräisch:</w:t>
      </w:r>
      <w:r>
        <w:t xml:space="preserve"> </w:t>
      </w:r>
      <w:r>
        <w:rPr>
          <w:rtl/>
        </w:rPr>
        <w:t>וְלֹֽא־יֵרָאֶ֨ה לְךָ֥ שְׂאֹ֛ר בְּכָל־גְּבֻלְךָ֖ שִׁבְעַ֣ת יָמִ֑ים וְלֹא־יָלִ֣ין מִן־הַבָּשָׂ֗ר אֲשֶׁ֨ר תִּזְבַּ֥ח בָּעֶ֛רֶב בַּיּ֥וֹם הָרִאשׁ֖וֹן לַבֹּֽקֶר׃</w:t>
      </w:r>
    </w:p>
    <w:p w14:paraId="71EB2E60" w14:textId="77777777" w:rsidR="00C90AB0" w:rsidRDefault="00C90AB0" w:rsidP="00C90AB0">
      <w:pPr>
        <w:pStyle w:val="whitespace-normal"/>
      </w:pPr>
      <w:r>
        <w:rPr>
          <w:rStyle w:val="Fett"/>
          <w:rFonts w:eastAsiaTheme="majorEastAsia"/>
        </w:rPr>
        <w:t>Deutsch:</w:t>
      </w:r>
      <w:r>
        <w:t xml:space="preserve"> Und es soll bei dir kein Sauerteig gesehen werden in deinem ganzen Gebiet sieben Tage; und von dem Fleisch, das du am Abend am ersten Tag schlachtest, soll nichts über Nacht bleiben bis zum Morgen.</w:t>
      </w:r>
    </w:p>
    <w:p w14:paraId="665F1674" w14:textId="77777777" w:rsidR="00C90AB0" w:rsidRDefault="004F5CEB" w:rsidP="00C90AB0">
      <w:r>
        <w:rPr>
          <w:noProof/>
        </w:rPr>
        <w:pict w14:anchorId="48DB00A9">
          <v:rect id="_x0000_i1471" style="width:0;height:1.5pt" o:hralign="center" o:hrstd="t" o:hr="t" fillcolor="#a0a0a0" stroked="f"/>
        </w:pict>
      </w:r>
    </w:p>
    <w:p w14:paraId="68ED4A76"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וְלֹא־יֵרָאֶה לְךָ שְׂאֹר בְּכָל־גְּבֻלְךָ שִׁבְעַת יָמִים</w:t>
      </w:r>
      <w:r>
        <w:rPr>
          <w:rtl/>
        </w:rPr>
        <w:t xml:space="preserve"> </w:t>
      </w:r>
      <w:r>
        <w:t xml:space="preserve">ist ein passivischer Verbalsatz: </w:t>
      </w:r>
      <w:r>
        <w:rPr>
          <w:rStyle w:val="Fett"/>
          <w:rFonts w:eastAsiaTheme="majorEastAsia"/>
          <w:rtl/>
        </w:rPr>
        <w:t>וְלֹא־יֵרָאֶה</w:t>
      </w:r>
      <w:r>
        <w:rPr>
          <w:rtl/>
        </w:rPr>
        <w:t xml:space="preserve"> </w:t>
      </w:r>
      <w:r>
        <w:t xml:space="preserve">(Niphal Imperfekt, 3. Person Maskulinum Singular von </w:t>
      </w:r>
      <w:r>
        <w:rPr>
          <w:rStyle w:val="Fett"/>
          <w:rFonts w:eastAsiaTheme="majorEastAsia"/>
          <w:rtl/>
        </w:rPr>
        <w:t>ראה</w:t>
      </w:r>
      <w:r>
        <w:t xml:space="preserve">, „sehen", passivisch „gesehen werden"), </w:t>
      </w:r>
      <w:r>
        <w:rPr>
          <w:rStyle w:val="Fett"/>
          <w:rFonts w:eastAsiaTheme="majorEastAsia"/>
          <w:rtl/>
        </w:rPr>
        <w:t>לְךָ</w:t>
      </w:r>
      <w:r>
        <w:rPr>
          <w:rtl/>
        </w:rPr>
        <w:t xml:space="preserve"> </w:t>
      </w:r>
      <w:r>
        <w:t xml:space="preserve">(Präposition </w:t>
      </w:r>
      <w:r>
        <w:rPr>
          <w:rStyle w:val="Fett"/>
          <w:rFonts w:eastAsiaTheme="majorEastAsia"/>
          <w:rtl/>
        </w:rPr>
        <w:t>לְ</w:t>
      </w:r>
      <w:r>
        <w:rPr>
          <w:rtl/>
        </w:rPr>
        <w:t xml:space="preserve"> </w:t>
      </w:r>
      <w:r>
        <w:t xml:space="preserve">mit Suffix 2. Person Maskulinum Singular, „bei dir"), </w:t>
      </w:r>
      <w:r>
        <w:rPr>
          <w:rStyle w:val="Fett"/>
          <w:rFonts w:eastAsiaTheme="majorEastAsia"/>
          <w:rtl/>
        </w:rPr>
        <w:t>שְׂאֹר</w:t>
      </w:r>
      <w:r>
        <w:rPr>
          <w:rtl/>
        </w:rPr>
        <w:t xml:space="preserve"> </w:t>
      </w:r>
      <w:r>
        <w:t>(</w:t>
      </w:r>
      <w:r>
        <w:rPr>
          <w:rStyle w:val="Fett"/>
          <w:rFonts w:eastAsiaTheme="majorEastAsia"/>
          <w:rtl/>
        </w:rPr>
        <w:t>שְׂאֹר</w:t>
      </w:r>
      <w:r>
        <w:t xml:space="preserve">, „Sauerteig") als Subjekt, </w:t>
      </w:r>
      <w:r>
        <w:rPr>
          <w:rStyle w:val="Fett"/>
          <w:rFonts w:eastAsiaTheme="majorEastAsia"/>
          <w:rtl/>
        </w:rPr>
        <w:t>בְּכָל־גְּבֻלְךָ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כֹּל</w:t>
      </w:r>
      <w:r>
        <w:t xml:space="preserve">, Construct mit </w:t>
      </w:r>
      <w:r>
        <w:rPr>
          <w:rStyle w:val="Fett"/>
          <w:rFonts w:eastAsiaTheme="majorEastAsia"/>
          <w:rtl/>
        </w:rPr>
        <w:t>גְּבוּל</w:t>
      </w:r>
      <w:r>
        <w:t xml:space="preserve">, „Gebiet, Grenze", mit Suffix 2. Person Maskulinum Singular), </w:t>
      </w:r>
      <w:r>
        <w:rPr>
          <w:rStyle w:val="Fett"/>
          <w:rFonts w:eastAsiaTheme="majorEastAsia"/>
          <w:rtl/>
        </w:rPr>
        <w:t>שִׁבְעַת יָמִים</w:t>
      </w:r>
      <w:r>
        <w:rPr>
          <w:rtl/>
        </w:rPr>
        <w:t xml:space="preserve"> </w:t>
      </w:r>
      <w:r>
        <w:t>(„sieben Tage").</w:t>
      </w:r>
    </w:p>
    <w:p w14:paraId="724E8767" w14:textId="77777777" w:rsidR="00C90AB0" w:rsidRDefault="00C90AB0" w:rsidP="00C90AB0">
      <w:pPr>
        <w:pStyle w:val="whitespace-normal"/>
      </w:pPr>
      <w:r>
        <w:rPr>
          <w:rStyle w:val="Fett"/>
          <w:rFonts w:eastAsiaTheme="majorEastAsia"/>
          <w:rtl/>
        </w:rPr>
        <w:t>וְלֹא־יָלִין מִן־הַבָּשָׂר אֲשֶׁר תִּזְבַּח בָּעֶרֶב בַּיּוֹם הָרִאשׁוֹן לַבֹּקֶר</w:t>
      </w:r>
      <w:r>
        <w:rPr>
          <w:rtl/>
        </w:rPr>
        <w:t xml:space="preserve"> </w:t>
      </w:r>
      <w:r>
        <w:t xml:space="preserve">ist der zweite Verbalsatz: </w:t>
      </w:r>
      <w:r>
        <w:rPr>
          <w:rStyle w:val="Fett"/>
          <w:rFonts w:eastAsiaTheme="majorEastAsia"/>
          <w:rtl/>
        </w:rPr>
        <w:t>וְלֹא־יָלִין</w:t>
      </w:r>
      <w:r>
        <w:rPr>
          <w:rtl/>
        </w:rPr>
        <w:t xml:space="preserve"> </w:t>
      </w:r>
      <w:r>
        <w:t xml:space="preserve">(Qal Imperfekt, 3. Person Maskulinum Singular von </w:t>
      </w:r>
      <w:r>
        <w:rPr>
          <w:rStyle w:val="Fett"/>
          <w:rFonts w:eastAsiaTheme="majorEastAsia"/>
          <w:rtl/>
        </w:rPr>
        <w:t>לין</w:t>
      </w:r>
      <w:r>
        <w:t xml:space="preserve">, „übernachten, über Nacht bleiben"), </w:t>
      </w:r>
      <w:r>
        <w:rPr>
          <w:rStyle w:val="Fett"/>
          <w:rFonts w:eastAsiaTheme="majorEastAsia"/>
          <w:rtl/>
        </w:rPr>
        <w:t>מִן־הַבָּשָׂר</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בָּשָׂר</w:t>
      </w:r>
      <w:r>
        <w:t xml:space="preserve">, „Fleisch", mit Artikel, „von dem Fleisch"), </w:t>
      </w:r>
      <w:r>
        <w:rPr>
          <w:rStyle w:val="Fett"/>
          <w:rFonts w:eastAsiaTheme="majorEastAsia"/>
          <w:rtl/>
        </w:rPr>
        <w:t>אֲשֶׁר תִּזְבַּח בָּעֶרֶב בַּיּוֹם הָרִאשׁוֹן</w:t>
      </w:r>
      <w:r>
        <w:rPr>
          <w:rtl/>
        </w:rPr>
        <w:t xml:space="preserve"> </w:t>
      </w:r>
      <w:r>
        <w:t xml:space="preserve">(Relativsatz: </w:t>
      </w:r>
      <w:r>
        <w:rPr>
          <w:rStyle w:val="Fett"/>
          <w:rFonts w:eastAsiaTheme="majorEastAsia"/>
          <w:rtl/>
        </w:rPr>
        <w:t>אֲשֶׁר תִּזְבַּח</w:t>
      </w:r>
      <w:r>
        <w:t xml:space="preserve">, </w:t>
      </w:r>
      <w:r>
        <w:rPr>
          <w:rStyle w:val="Fett"/>
          <w:rFonts w:eastAsiaTheme="majorEastAsia"/>
          <w:rtl/>
        </w:rPr>
        <w:t>זבח</w:t>
      </w:r>
      <w:r>
        <w:rPr>
          <w:rtl/>
        </w:rPr>
        <w:t xml:space="preserve"> </w:t>
      </w:r>
      <w:r>
        <w:t xml:space="preserve">mit </w:t>
      </w:r>
      <w:r>
        <w:rPr>
          <w:rStyle w:val="Fett"/>
          <w:rFonts w:eastAsiaTheme="majorEastAsia"/>
          <w:rtl/>
        </w:rPr>
        <w:t>בָּעֶרֶב</w:t>
      </w:r>
      <w:r>
        <w:t xml:space="preserve">, „am Abend", </w:t>
      </w:r>
      <w:r>
        <w:rPr>
          <w:rStyle w:val="Fett"/>
          <w:rFonts w:eastAsiaTheme="majorEastAsia"/>
          <w:rtl/>
        </w:rPr>
        <w:t>בַּיּוֹם הָרִאשׁוֹן</w:t>
      </w:r>
      <w:r>
        <w:t xml:space="preserve">, „am ersten Tag"), </w:t>
      </w:r>
      <w:r>
        <w:rPr>
          <w:rStyle w:val="Fett"/>
          <w:rFonts w:eastAsiaTheme="majorEastAsia"/>
          <w:rtl/>
        </w:rPr>
        <w:t>לַבֹּקֶר</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בֹּקֶר</w:t>
      </w:r>
      <w:r>
        <w:t>, „Morgen", „bis zum Morgen").</w:t>
      </w:r>
    </w:p>
    <w:p w14:paraId="49AD61E5" w14:textId="4D7BF258" w:rsidR="00C90AB0" w:rsidRDefault="00C90AB0" w:rsidP="00C90AB0">
      <w:pPr>
        <w:pStyle w:val="whitespace-normal"/>
      </w:pPr>
      <w:r>
        <w:lastRenderedPageBreak/>
        <w:t xml:space="preserve">Der Unterschied zwischen </w:t>
      </w:r>
      <w:r>
        <w:rPr>
          <w:rStyle w:val="Fett"/>
          <w:rFonts w:eastAsiaTheme="majorEastAsia"/>
          <w:rtl/>
        </w:rPr>
        <w:t>שְׂאֹר</w:t>
      </w:r>
      <w:r>
        <w:rPr>
          <w:rtl/>
        </w:rPr>
        <w:t xml:space="preserve"> </w:t>
      </w:r>
      <w:r>
        <w:t xml:space="preserve">(„Sauerteig") und </w:t>
      </w:r>
      <w:r>
        <w:rPr>
          <w:rStyle w:val="Fett"/>
          <w:rFonts w:eastAsiaTheme="majorEastAsia"/>
          <w:rtl/>
        </w:rPr>
        <w:t>חָמֵץ</w:t>
      </w:r>
      <w:r>
        <w:rPr>
          <w:rtl/>
        </w:rPr>
        <w:t xml:space="preserve"> </w:t>
      </w:r>
      <w:r>
        <w:t xml:space="preserve">(„Gesäuertes"): </w:t>
      </w:r>
      <w:r>
        <w:rPr>
          <w:rStyle w:val="Fett"/>
          <w:rFonts w:eastAsiaTheme="majorEastAsia"/>
          <w:rtl/>
        </w:rPr>
        <w:t>שְׂאֹר</w:t>
      </w:r>
      <w:r>
        <w:rPr>
          <w:rtl/>
        </w:rPr>
        <w:t xml:space="preserve"> </w:t>
      </w:r>
      <w:r>
        <w:t xml:space="preserve">ist das Treibmittel selbst, </w:t>
      </w:r>
      <w:r>
        <w:rPr>
          <w:rStyle w:val="Fett"/>
          <w:rFonts w:eastAsiaTheme="majorEastAsia"/>
          <w:rtl/>
        </w:rPr>
        <w:t>חָמֵץ</w:t>
      </w:r>
      <w:r>
        <w:rPr>
          <w:rtl/>
        </w:rPr>
        <w:t xml:space="preserve"> </w:t>
      </w:r>
      <w:r>
        <w:t>ist das damit hergestellte gesäuerte Brot. Das Verbot erstreckt sich auf das ganze Gebiet (</w:t>
      </w:r>
      <w:r>
        <w:rPr>
          <w:rStyle w:val="Fett"/>
          <w:rFonts w:eastAsiaTheme="majorEastAsia"/>
          <w:rtl/>
        </w:rPr>
        <w:t>בְּכָל־גְּבֻלְךָ</w:t>
      </w:r>
      <w:r>
        <w:t>) – totale Elimination von Sauerteig (vgl. Ex 12,15.19; 13,7). Die zweite Bestimmung bezieht sich auf das Pesachopfer: Das Fleisch muss in derselben Nacht verzehrt werden, nichts darf bis zum Morgen übrig bleiben (vgl. Ex 12,10; 34,25).</w:t>
      </w:r>
    </w:p>
    <w:p w14:paraId="270D03D8" w14:textId="5AD79BEE" w:rsidR="0082305E" w:rsidRDefault="0082305E" w:rsidP="00C90AB0">
      <w:pPr>
        <w:pStyle w:val="whitespace-normal"/>
      </w:pPr>
      <w:r>
        <w:rPr>
          <w:rStyle w:val="Fett"/>
        </w:rPr>
        <w:t>Die LXX</w:t>
      </w:r>
      <w:r>
        <w:t xml:space="preserve"> verwendet </w:t>
      </w:r>
      <w:proofErr w:type="spellStart"/>
      <w:r>
        <w:t>οὐ</w:t>
      </w:r>
      <w:proofErr w:type="spellEnd"/>
      <w:r>
        <w:t xml:space="preserve"> </w:t>
      </w:r>
      <w:proofErr w:type="spellStart"/>
      <w:r>
        <w:t>κοιμηθήσετ</w:t>
      </w:r>
      <w:proofErr w:type="spellEnd"/>
      <w:r>
        <w:t xml:space="preserve">αι (es wird nicht übernachten) für </w:t>
      </w:r>
      <w:r w:rsidRPr="0082305E">
        <w:rPr>
          <w:b/>
          <w:bCs/>
          <w:rtl/>
        </w:rPr>
        <w:t>וְלֹא־יָלִין</w:t>
      </w:r>
      <w:r>
        <w:t xml:space="preserve"> – ein Verb, das eigentlich "schlafen" bedeutet, hier aber metaphorisch für "über Nacht bleiben" steht.</w:t>
      </w:r>
    </w:p>
    <w:p w14:paraId="1B916230" w14:textId="77777777" w:rsidR="00C90AB0" w:rsidRDefault="00C90AB0" w:rsidP="00C90AB0">
      <w:pPr>
        <w:pStyle w:val="whitespace-normal"/>
      </w:pPr>
      <w:r>
        <w:rPr>
          <w:rStyle w:val="Fett"/>
          <w:rFonts w:eastAsiaTheme="majorEastAsia"/>
        </w:rPr>
        <w:t>Die Satzstruktur:</w:t>
      </w:r>
      <w:r>
        <w:t xml:space="preserve"> Zwei passivische/intransitive Verbalsätze (und nicht soll gesehen werden bei dir Sauerteig in deinem ganzen Gebiet sieben Tage; und nicht soll über Nacht bleiben von dem Fleisch, das du schlachtest am Abend am ersten Tag, bis zum Morgen).</w:t>
      </w:r>
    </w:p>
    <w:p w14:paraId="337096AB" w14:textId="77777777" w:rsidR="00C90AB0" w:rsidRDefault="00C90AB0" w:rsidP="00C90AB0">
      <w:pPr>
        <w:pStyle w:val="whitespace-normal"/>
      </w:pPr>
      <w:r>
        <w:t xml:space="preserve">Der Vers verlangt: Kein Sauerteig soll im ganzen Gebiet sichtbar sein während sieben Tagen; das am ersten Abend geschlachtete </w:t>
      </w:r>
      <w:proofErr w:type="spellStart"/>
      <w:r>
        <w:t>Pesachfleisch</w:t>
      </w:r>
      <w:proofErr w:type="spellEnd"/>
      <w:r>
        <w:t xml:space="preserve"> darf nicht bis zum Morgen übrigbleiben.</w:t>
      </w:r>
    </w:p>
    <w:p w14:paraId="0150DFB0"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16,5</w:t>
      </w:r>
    </w:p>
    <w:p w14:paraId="16A213F2" w14:textId="77777777" w:rsidR="00C90AB0" w:rsidRDefault="00C90AB0" w:rsidP="00C90AB0">
      <w:pPr>
        <w:pStyle w:val="whitespace-normal"/>
      </w:pPr>
      <w:r>
        <w:rPr>
          <w:rStyle w:val="Fett"/>
          <w:rFonts w:eastAsiaTheme="majorEastAsia"/>
        </w:rPr>
        <w:t>Hebräisch:</w:t>
      </w:r>
      <w:r>
        <w:t xml:space="preserve"> </w:t>
      </w:r>
      <w:r>
        <w:rPr>
          <w:rtl/>
        </w:rPr>
        <w:t>לֹ֥א תוּכַ֖ל לִזְבֹּ֣חַ אֶת־הַפָּ֑סַח בְּאַחַ֣ד שְׁעָרֶ֔יךָ אֲשֶׁר־יְהוָ֥ה אֱלֹהֶ֖יךָ נֹתֵ֥ן לָֽךְ׃</w:t>
      </w:r>
    </w:p>
    <w:p w14:paraId="62E3D672" w14:textId="77777777" w:rsidR="00C90AB0" w:rsidRDefault="00C90AB0" w:rsidP="00C90AB0">
      <w:pPr>
        <w:pStyle w:val="whitespace-normal"/>
      </w:pPr>
      <w:r>
        <w:rPr>
          <w:rStyle w:val="Fett"/>
          <w:rFonts w:eastAsiaTheme="majorEastAsia"/>
        </w:rPr>
        <w:t>Deutsch:</w:t>
      </w:r>
      <w:r>
        <w:t xml:space="preserve"> Du kannst das Pesach nicht in einem deiner Tore schlachten, die der Ewige, dein Gott, dir gibt.</w:t>
      </w:r>
    </w:p>
    <w:p w14:paraId="59A6CD35" w14:textId="77777777" w:rsidR="00C90AB0" w:rsidRDefault="004F5CEB" w:rsidP="00C90AB0">
      <w:r>
        <w:rPr>
          <w:noProof/>
        </w:rPr>
        <w:pict w14:anchorId="14B52C7D">
          <v:rect id="_x0000_i1472" style="width:0;height:1.5pt" o:hralign="center" o:hrstd="t" o:hr="t" fillcolor="#a0a0a0" stroked="f"/>
        </w:pict>
      </w:r>
    </w:p>
    <w:p w14:paraId="6F1B6116"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לֹא תוּכַל לִזְבֹּחַ אֶת־הַפָּסַח בְּאַחַד שְׁעָרֶיךָ אֲשֶׁר־יְהוָה אֱלֹהֶיךָ נֹתֵן לָךְ</w:t>
      </w:r>
      <w:r>
        <w:rPr>
          <w:rtl/>
        </w:rPr>
        <w:t xml:space="preserve"> </w:t>
      </w:r>
      <w:r>
        <w:t xml:space="preserve">ist ein Verbalsatz: </w:t>
      </w:r>
      <w:r>
        <w:rPr>
          <w:rStyle w:val="Fett"/>
          <w:rFonts w:eastAsiaTheme="majorEastAsia"/>
          <w:rtl/>
        </w:rPr>
        <w:t>לֹא תוּכַל</w:t>
      </w:r>
      <w:r>
        <w:rPr>
          <w:rtl/>
        </w:rPr>
        <w:t xml:space="preserve"> </w:t>
      </w:r>
      <w:r>
        <w:t xml:space="preserve">(Negation </w:t>
      </w:r>
      <w:r>
        <w:rPr>
          <w:rStyle w:val="Fett"/>
          <w:rFonts w:eastAsiaTheme="majorEastAsia"/>
          <w:rtl/>
        </w:rPr>
        <w:t>לֹא</w:t>
      </w:r>
      <w:r>
        <w:rPr>
          <w:rtl/>
        </w:rPr>
        <w:t xml:space="preserve"> </w:t>
      </w:r>
      <w:r>
        <w:t xml:space="preserve">mit </w:t>
      </w:r>
      <w:r>
        <w:rPr>
          <w:rStyle w:val="Fett"/>
          <w:rFonts w:eastAsiaTheme="majorEastAsia"/>
          <w:rtl/>
        </w:rPr>
        <w:t>יכל</w:t>
      </w:r>
      <w:r>
        <w:t xml:space="preserve">, Qal Imperfekt, 2. Person Maskulinum Singular, „können, vermögen"), </w:t>
      </w:r>
      <w:r>
        <w:rPr>
          <w:rStyle w:val="Fett"/>
          <w:rFonts w:eastAsiaTheme="majorEastAsia"/>
          <w:rtl/>
        </w:rPr>
        <w:t>לִזְבֹּחַ</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זבח</w:t>
      </w:r>
      <w:r>
        <w:t xml:space="preserve">, „schlachten, opfern"), </w:t>
      </w:r>
      <w:r>
        <w:rPr>
          <w:rStyle w:val="Fett"/>
          <w:rFonts w:eastAsiaTheme="majorEastAsia"/>
          <w:rtl/>
        </w:rPr>
        <w:t>אֶת־הַפָּסַח</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פֶּסַח</w:t>
      </w:r>
      <w:r>
        <w:rPr>
          <w:rtl/>
        </w:rPr>
        <w:t xml:space="preserve"> </w:t>
      </w:r>
      <w:r>
        <w:t xml:space="preserve">mit Artikel, „das Pesach"), </w:t>
      </w:r>
      <w:r>
        <w:rPr>
          <w:rStyle w:val="Fett"/>
          <w:rFonts w:eastAsiaTheme="majorEastAsia"/>
          <w:rtl/>
        </w:rPr>
        <w:t>בְּאַחַד שְׁעָרֶיךָ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אֶחָד</w:t>
      </w:r>
      <w:r>
        <w:t xml:space="preserve">, „einer", Construct mit </w:t>
      </w:r>
      <w:r>
        <w:rPr>
          <w:rStyle w:val="Fett"/>
          <w:rFonts w:eastAsiaTheme="majorEastAsia"/>
          <w:rtl/>
        </w:rPr>
        <w:t>שַׁעַר</w:t>
      </w:r>
      <w:r>
        <w:t xml:space="preserve">, „Tor", Plural mit Suffix 2. Person Maskulinum Singular, „in einem deiner Tore"), </w:t>
      </w:r>
      <w:r>
        <w:rPr>
          <w:rStyle w:val="Fett"/>
          <w:rFonts w:eastAsiaTheme="majorEastAsia"/>
          <w:rtl/>
        </w:rPr>
        <w:t>אֲשֶׁר־יְהוָה אֱלֹהֶיךָ נֹתֵן לָךְ</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נֹתֵן</w:t>
      </w:r>
      <w:r>
        <w:t xml:space="preserve">, Qal Partizip von </w:t>
      </w:r>
      <w:r>
        <w:rPr>
          <w:rStyle w:val="Fett"/>
          <w:rFonts w:eastAsiaTheme="majorEastAsia"/>
          <w:rtl/>
        </w:rPr>
        <w:t>נתן</w:t>
      </w:r>
      <w:r>
        <w:t xml:space="preserve">, „geben", </w:t>
      </w:r>
      <w:r>
        <w:rPr>
          <w:rStyle w:val="Fett"/>
          <w:rFonts w:eastAsiaTheme="majorEastAsia"/>
          <w:rtl/>
        </w:rPr>
        <w:t>יְהוָה אֱלֹהֶיךָ</w:t>
      </w:r>
      <w:r>
        <w:rPr>
          <w:rtl/>
        </w:rPr>
        <w:t xml:space="preserve"> </w:t>
      </w:r>
      <w:r>
        <w:t xml:space="preserve">als Subjekt, </w:t>
      </w:r>
      <w:r>
        <w:rPr>
          <w:rStyle w:val="Fett"/>
          <w:rFonts w:eastAsiaTheme="majorEastAsia"/>
          <w:rtl/>
        </w:rPr>
        <w:t>לָךְ</w:t>
      </w:r>
      <w:r>
        <w:t>).</w:t>
      </w:r>
    </w:p>
    <w:p w14:paraId="08688C58" w14:textId="77777777" w:rsidR="00C90AB0" w:rsidRDefault="00C90AB0" w:rsidP="00C90AB0">
      <w:pPr>
        <w:pStyle w:val="whitespace-normal"/>
      </w:pPr>
      <w:r>
        <w:t>Der Vers betont Kultzentralisation: Das Pesach darf nicht an irgendeinem Ort (</w:t>
      </w:r>
      <w:r>
        <w:rPr>
          <w:rStyle w:val="Fett"/>
          <w:rFonts w:eastAsiaTheme="majorEastAsia"/>
          <w:rtl/>
        </w:rPr>
        <w:t>בְּאַחַד שְׁעָרֶיךָ</w:t>
      </w:r>
      <w:r>
        <w:t>, „in einem deiner Tore" = in irgendeiner Stadt) geschlachtet werden. Dies steht in Spannung zu Ex 12, wo das Pesach in jedem Haus geschlachtet wird. Das Deuteronomium zentralisiert auch das Pesachopfer am Heiligtum.</w:t>
      </w:r>
    </w:p>
    <w:p w14:paraId="6C5AF729" w14:textId="3B98E1CD" w:rsidR="0082305E" w:rsidRDefault="0082305E" w:rsidP="00C90AB0">
      <w:pPr>
        <w:pStyle w:val="whitespace-normal"/>
        <w:rPr>
          <w:rStyle w:val="Fett"/>
          <w:rFonts w:eastAsiaTheme="majorEastAsia"/>
        </w:rPr>
      </w:pPr>
      <w:r>
        <w:rPr>
          <w:rStyle w:val="Fett"/>
        </w:rPr>
        <w:t>Die LXX</w:t>
      </w:r>
      <w:r>
        <w:t xml:space="preserve"> übersetzt </w:t>
      </w:r>
      <w:r w:rsidRPr="0082305E">
        <w:rPr>
          <w:b/>
          <w:bCs/>
          <w:rtl/>
        </w:rPr>
        <w:t>בְּאַחַד שְׁעָרֶיךָ</w:t>
      </w:r>
      <w:r>
        <w:t xml:space="preserve"> (in einem deiner Tore) mit </w:t>
      </w:r>
      <w:proofErr w:type="spellStart"/>
      <w:r>
        <w:t>ἐν</w:t>
      </w:r>
      <w:proofErr w:type="spellEnd"/>
      <w:r>
        <w:t xml:space="preserve"> </w:t>
      </w:r>
      <w:proofErr w:type="spellStart"/>
      <w:r>
        <w:t>οὐδεμιᾷ</w:t>
      </w:r>
      <w:proofErr w:type="spellEnd"/>
      <w:r>
        <w:t xml:space="preserve"> </w:t>
      </w:r>
      <w:proofErr w:type="spellStart"/>
      <w:r>
        <w:t>τῶν</w:t>
      </w:r>
      <w:proofErr w:type="spellEnd"/>
      <w:r>
        <w:t xml:space="preserve"> π</w:t>
      </w:r>
      <w:proofErr w:type="spellStart"/>
      <w:r>
        <w:t>όλεών</w:t>
      </w:r>
      <w:proofErr w:type="spellEnd"/>
      <w:r>
        <w:t xml:space="preserve"> </w:t>
      </w:r>
      <w:proofErr w:type="spellStart"/>
      <w:r>
        <w:t>σου</w:t>
      </w:r>
      <w:proofErr w:type="spellEnd"/>
      <w:r>
        <w:t xml:space="preserve"> (in keiner deiner Städte) – wie bereits früher zeigt sich hier die LXX-Tendenz, "Tore" als "Städte" zu verstehen.</w:t>
      </w:r>
    </w:p>
    <w:p w14:paraId="2DDCCF7B" w14:textId="2D352F0E" w:rsidR="00C90AB0" w:rsidRDefault="00C90AB0" w:rsidP="00C90AB0">
      <w:pPr>
        <w:pStyle w:val="whitespace-normal"/>
      </w:pPr>
      <w:r>
        <w:rPr>
          <w:rStyle w:val="Fett"/>
          <w:rFonts w:eastAsiaTheme="majorEastAsia"/>
        </w:rPr>
        <w:t>Die Satzstruktur:</w:t>
      </w:r>
      <w:r>
        <w:t xml:space="preserve"> Negierter Modalsatz (nicht kannst du schlachten das Pesach in einem deiner Tore, die JHWH, dein Gott, gibt dir).</w:t>
      </w:r>
    </w:p>
    <w:p w14:paraId="0B106E6A" w14:textId="77777777" w:rsidR="00C90AB0" w:rsidRDefault="00C90AB0" w:rsidP="00C90AB0">
      <w:pPr>
        <w:pStyle w:val="whitespace-normal"/>
      </w:pPr>
      <w:r>
        <w:t>Der Vers verbietet: Du kannst das Pesach nicht in irgendeiner deiner Städte schlachten – V. 6 nennt dann den richtigen Ort.</w:t>
      </w:r>
    </w:p>
    <w:p w14:paraId="10688BFD"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lastRenderedPageBreak/>
        <w:t>Deuteronomium 16,6</w:t>
      </w:r>
    </w:p>
    <w:p w14:paraId="15CF1439" w14:textId="77777777" w:rsidR="00C90AB0" w:rsidRDefault="00C90AB0" w:rsidP="00C90AB0">
      <w:pPr>
        <w:pStyle w:val="whitespace-normal"/>
      </w:pPr>
      <w:r>
        <w:rPr>
          <w:rStyle w:val="Fett"/>
          <w:rFonts w:eastAsiaTheme="majorEastAsia"/>
        </w:rPr>
        <w:t>Hebräisch:</w:t>
      </w:r>
      <w:r>
        <w:t xml:space="preserve"> </w:t>
      </w:r>
      <w:r>
        <w:rPr>
          <w:rtl/>
        </w:rPr>
        <w:t>כִּ֠י אִֽם־אֶל־הַמָּק֞וֹם אֲשֶׁר־יִבְחַ֨ר יְהוָ֤ה אֱלֹהֶ֨יךָ֙ לְשַׁכֵּ֣ן שְׁמֹ֔ו שָׁ֛ם תִּזְבַּ֥ח אֶת־הַפֶּ֖סַח בָּעָ֑רֶב כְּב֣וֹא הַשֶּׁ֔מֶשׁ מוֹעֵ֖ד צֵֽאתְךָ֥ מִמִּצְרָֽיִם׃</w:t>
      </w:r>
    </w:p>
    <w:p w14:paraId="444781BC" w14:textId="77777777" w:rsidR="00C90AB0" w:rsidRDefault="00C90AB0" w:rsidP="00C90AB0">
      <w:pPr>
        <w:pStyle w:val="whitespace-normal"/>
      </w:pPr>
      <w:r>
        <w:rPr>
          <w:rStyle w:val="Fett"/>
          <w:rFonts w:eastAsiaTheme="majorEastAsia"/>
        </w:rPr>
        <w:t>Deutsch:</w:t>
      </w:r>
      <w:r>
        <w:t xml:space="preserve"> Sondern an dem Ort, den der Ewige, dein Gott, erwählen wird, um seinen Namen dort wohnen zu lassen, dort sollst du das Pesach schlachten am Abend, beim Untergang der Sonne, zur Zeit deines Auszugs aus Mizrajim.</w:t>
      </w:r>
    </w:p>
    <w:p w14:paraId="0648D787" w14:textId="77777777" w:rsidR="00C90AB0" w:rsidRDefault="004F5CEB" w:rsidP="00C90AB0">
      <w:r>
        <w:rPr>
          <w:noProof/>
        </w:rPr>
        <w:pict w14:anchorId="057869C4">
          <v:rect id="_x0000_i1473" style="width:0;height:1.5pt" o:hralign="center" o:hrstd="t" o:hr="t" fillcolor="#a0a0a0" stroked="f"/>
        </w:pict>
      </w:r>
    </w:p>
    <w:p w14:paraId="3380FB6F"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כִּי אִם־אֶל־הַמָּקוֹם אֲשֶׁר־יִבְחַר יְהוָה אֱלֹהֶיךָ לְשַׁכֵּן שְׁמוֹ שָׁם תִּזְבַּח אֶת־הַפֶּסַח בָּעָרֶב</w:t>
      </w:r>
      <w:r>
        <w:rPr>
          <w:rtl/>
        </w:rPr>
        <w:t xml:space="preserve"> </w:t>
      </w:r>
      <w:r>
        <w:t xml:space="preserve">ist ein adversativer Imperativsatz: </w:t>
      </w:r>
      <w:r>
        <w:rPr>
          <w:rStyle w:val="Fett"/>
          <w:rFonts w:eastAsiaTheme="majorEastAsia"/>
          <w:rtl/>
        </w:rPr>
        <w:t>כִּי אִם</w:t>
      </w:r>
      <w:r>
        <w:rPr>
          <w:rtl/>
        </w:rPr>
        <w:t xml:space="preserve"> </w:t>
      </w:r>
      <w:r>
        <w:t xml:space="preserve">(„sondern, vielmehr") als adversative Konstruktion, </w:t>
      </w:r>
      <w:r>
        <w:rPr>
          <w:rStyle w:val="Fett"/>
          <w:rFonts w:eastAsiaTheme="majorEastAsia"/>
          <w:rtl/>
        </w:rPr>
        <w:t>אֶל־הַמָּקוֹם</w:t>
      </w:r>
      <w:r>
        <w:rPr>
          <w:rtl/>
        </w:rPr>
        <w:t xml:space="preserve"> </w:t>
      </w:r>
      <w:r>
        <w:t xml:space="preserve">(Präposition </w:t>
      </w:r>
      <w:r>
        <w:rPr>
          <w:rStyle w:val="Fett"/>
          <w:rFonts w:eastAsiaTheme="majorEastAsia"/>
          <w:rtl/>
        </w:rPr>
        <w:t>אֶל</w:t>
      </w:r>
      <w:r>
        <w:rPr>
          <w:rtl/>
        </w:rPr>
        <w:t xml:space="preserve"> </w:t>
      </w:r>
      <w:r>
        <w:t xml:space="preserve">mit </w:t>
      </w:r>
      <w:r>
        <w:rPr>
          <w:rStyle w:val="Fett"/>
          <w:rFonts w:eastAsiaTheme="majorEastAsia"/>
          <w:rtl/>
        </w:rPr>
        <w:t>מָקוֹם</w:t>
      </w:r>
      <w:r>
        <w:rPr>
          <w:rtl/>
        </w:rPr>
        <w:t xml:space="preserve"> </w:t>
      </w:r>
      <w:r>
        <w:t xml:space="preserve">mit Artikel, „zu dem Ort"), </w:t>
      </w:r>
      <w:r>
        <w:rPr>
          <w:rStyle w:val="Fett"/>
          <w:rFonts w:eastAsiaTheme="majorEastAsia"/>
          <w:rtl/>
        </w:rPr>
        <w:t>אֲשֶׁר־יִבְחַר יְהוָה אֱלֹהֶיךָ לְשַׁכֵּן שְׁמוֹ</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בחר</w:t>
      </w:r>
      <w:r>
        <w:t xml:space="preserve">, Qal Imperfekt, 3. Person Maskulinum Singular, „erwählen", </w:t>
      </w:r>
      <w:r>
        <w:rPr>
          <w:rStyle w:val="Fett"/>
          <w:rFonts w:eastAsiaTheme="majorEastAsia"/>
          <w:rtl/>
        </w:rPr>
        <w:t>יְהוָה אֱלֹהֶיךָ</w:t>
      </w:r>
      <w:r>
        <w:rPr>
          <w:rtl/>
        </w:rPr>
        <w:t xml:space="preserve"> </w:t>
      </w:r>
      <w:r>
        <w:t xml:space="preserve">als Subjekt, </w:t>
      </w:r>
      <w:r>
        <w:rPr>
          <w:rStyle w:val="Fett"/>
          <w:rFonts w:eastAsiaTheme="majorEastAsia"/>
          <w:rtl/>
        </w:rPr>
        <w:t>לְשַׁכֵּן שְׁמוֹ</w:t>
      </w:r>
      <w:r>
        <w:t xml:space="preserve">, finale Bestimmung), </w:t>
      </w:r>
      <w:r>
        <w:rPr>
          <w:rStyle w:val="Fett"/>
          <w:rFonts w:eastAsiaTheme="majorEastAsia"/>
          <w:rtl/>
        </w:rPr>
        <w:t>שָׁם</w:t>
      </w:r>
      <w:r>
        <w:rPr>
          <w:rtl/>
        </w:rPr>
        <w:t xml:space="preserve"> </w:t>
      </w:r>
      <w:r>
        <w:t xml:space="preserve">(„dort"), </w:t>
      </w:r>
      <w:r>
        <w:rPr>
          <w:rStyle w:val="Fett"/>
          <w:rFonts w:eastAsiaTheme="majorEastAsia"/>
          <w:rtl/>
        </w:rPr>
        <w:t>תִּזְבַּח</w:t>
      </w:r>
      <w:r>
        <w:rPr>
          <w:rtl/>
        </w:rPr>
        <w:t xml:space="preserve"> </w:t>
      </w:r>
      <w:r>
        <w:t xml:space="preserve">(Qal Imperfekt, 2. Person Maskulinum Singular von </w:t>
      </w:r>
      <w:r>
        <w:rPr>
          <w:rStyle w:val="Fett"/>
          <w:rFonts w:eastAsiaTheme="majorEastAsia"/>
          <w:rtl/>
        </w:rPr>
        <w:t>זבח</w:t>
      </w:r>
      <w:r>
        <w:t xml:space="preserve">, „schlachten"), </w:t>
      </w:r>
      <w:r>
        <w:rPr>
          <w:rStyle w:val="Fett"/>
          <w:rFonts w:eastAsiaTheme="majorEastAsia"/>
          <w:rtl/>
        </w:rPr>
        <w:t>אֶת־הַפֶּסַח</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פֶּסַח</w:t>
      </w:r>
      <w:r>
        <w:rPr>
          <w:rtl/>
        </w:rPr>
        <w:t xml:space="preserve"> </w:t>
      </w:r>
      <w:r>
        <w:t xml:space="preserve">mit Artikel), </w:t>
      </w:r>
      <w:r>
        <w:rPr>
          <w:rStyle w:val="Fett"/>
          <w:rFonts w:eastAsiaTheme="majorEastAsia"/>
          <w:rtl/>
        </w:rPr>
        <w:t>בָּעָרֶב</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עֶרֶב</w:t>
      </w:r>
      <w:r>
        <w:t>, „Abend", mit Artikel, „am Abend").</w:t>
      </w:r>
    </w:p>
    <w:p w14:paraId="763A9D4C" w14:textId="77777777" w:rsidR="00C90AB0" w:rsidRDefault="00C90AB0" w:rsidP="00C90AB0">
      <w:pPr>
        <w:pStyle w:val="whitespace-normal"/>
      </w:pPr>
      <w:r>
        <w:rPr>
          <w:rStyle w:val="Fett"/>
          <w:rFonts w:eastAsiaTheme="majorEastAsia"/>
          <w:rtl/>
        </w:rPr>
        <w:t>כְּבוֹא הַשֶּׁמֶשׁ מוֹעֵד צֵאתְךָ מִמִּצְרָיִם</w:t>
      </w:r>
      <w:r>
        <w:rPr>
          <w:rtl/>
        </w:rPr>
        <w:t xml:space="preserve"> </w:t>
      </w:r>
      <w:r>
        <w:t xml:space="preserve">sind zwei temporale Bestimmungen: </w:t>
      </w:r>
      <w:r>
        <w:rPr>
          <w:rStyle w:val="Fett"/>
          <w:rFonts w:eastAsiaTheme="majorEastAsia"/>
          <w:rtl/>
        </w:rPr>
        <w:t>כְּבוֹא הַשֶּׁמֶשׁ</w:t>
      </w:r>
      <w:r>
        <w:rPr>
          <w:rtl/>
        </w:rPr>
        <w:t xml:space="preserve"> </w:t>
      </w:r>
      <w:r>
        <w:t xml:space="preserve">(Präposition </w:t>
      </w:r>
      <w:r>
        <w:rPr>
          <w:rStyle w:val="Fett"/>
          <w:rFonts w:eastAsiaTheme="majorEastAsia"/>
          <w:rtl/>
        </w:rPr>
        <w:t>כְּ</w:t>
      </w:r>
      <w:r>
        <w:rPr>
          <w:rtl/>
        </w:rPr>
        <w:t xml:space="preserve"> </w:t>
      </w:r>
      <w:r>
        <w:t xml:space="preserve">mit Qal Infinitiv Construct von </w:t>
      </w:r>
      <w:r>
        <w:rPr>
          <w:rStyle w:val="Fett"/>
          <w:rFonts w:eastAsiaTheme="majorEastAsia"/>
          <w:rtl/>
        </w:rPr>
        <w:t>בוא</w:t>
      </w:r>
      <w:r>
        <w:t xml:space="preserve">, „kommen, eintreten", </w:t>
      </w:r>
      <w:r>
        <w:rPr>
          <w:rStyle w:val="Fett"/>
          <w:rFonts w:eastAsiaTheme="majorEastAsia"/>
          <w:rtl/>
        </w:rPr>
        <w:t>שֶׁמֶשׁ</w:t>
      </w:r>
      <w:r>
        <w:t xml:space="preserve">, „Sonne", mit Artikel, „beim Untergang der Sonne"), </w:t>
      </w:r>
      <w:r>
        <w:rPr>
          <w:rStyle w:val="Fett"/>
          <w:rFonts w:eastAsiaTheme="majorEastAsia"/>
          <w:rtl/>
        </w:rPr>
        <w:t>מוֹעֵד צֵאתְךָ מִמִּצְרָיִם</w:t>
      </w:r>
      <w:r>
        <w:rPr>
          <w:rtl/>
        </w:rPr>
        <w:t xml:space="preserve"> </w:t>
      </w:r>
      <w:r>
        <w:t>(</w:t>
      </w:r>
      <w:r>
        <w:rPr>
          <w:rStyle w:val="Fett"/>
          <w:rFonts w:eastAsiaTheme="majorEastAsia"/>
          <w:rtl/>
        </w:rPr>
        <w:t>מוֹעֵד</w:t>
      </w:r>
      <w:r>
        <w:t xml:space="preserve">, „Zeit, festgesetzte Zeit", Construct mit </w:t>
      </w:r>
      <w:r>
        <w:rPr>
          <w:rStyle w:val="Fett"/>
          <w:rFonts w:eastAsiaTheme="majorEastAsia"/>
          <w:rtl/>
        </w:rPr>
        <w:t>יְצִיאָה</w:t>
      </w:r>
      <w:r>
        <w:t xml:space="preserve">, „Auszug", mit Suffix 2. Person Maskulinum Singular, </w:t>
      </w:r>
      <w:r>
        <w:rPr>
          <w:rStyle w:val="Fett"/>
          <w:rFonts w:eastAsiaTheme="majorEastAsia"/>
          <w:rtl/>
        </w:rPr>
        <w:t>מִמִּצְרַיִם</w:t>
      </w:r>
      <w:r>
        <w:t>, „zur Zeit deines Auszugs aus Ägypten").</w:t>
      </w:r>
    </w:p>
    <w:p w14:paraId="41B173DB" w14:textId="015FD6D6" w:rsidR="00C90AB0" w:rsidRDefault="00C90AB0" w:rsidP="00C90AB0">
      <w:pPr>
        <w:pStyle w:val="whitespace-normal"/>
      </w:pPr>
      <w:r>
        <w:t xml:space="preserve">Die Formulierung </w:t>
      </w:r>
      <w:r>
        <w:rPr>
          <w:rStyle w:val="Fett"/>
          <w:rFonts w:eastAsiaTheme="majorEastAsia"/>
          <w:rtl/>
        </w:rPr>
        <w:t>כְּבוֹא הַשֶּׁמֶשׁ</w:t>
      </w:r>
      <w:r>
        <w:rPr>
          <w:rtl/>
        </w:rPr>
        <w:t xml:space="preserve"> </w:t>
      </w:r>
      <w:r>
        <w:t xml:space="preserve">(„beim Untergang/Kommen der Sonne") bezeichnet Sonnenuntergang (vgl. Gen 15,12.17; Jos 10,27; </w:t>
      </w:r>
      <w:r w:rsidR="00664EB6">
        <w:t>2Sam</w:t>
      </w:r>
      <w:r>
        <w:t xml:space="preserve"> 2,24; 3,35). Die doppelte Zeitangabe </w:t>
      </w:r>
      <w:r>
        <w:rPr>
          <w:rStyle w:val="Fett"/>
          <w:rFonts w:eastAsiaTheme="majorEastAsia"/>
          <w:rtl/>
        </w:rPr>
        <w:t>בָּעָרֶב כְּבוֹא הַשֶּׁמֶשׁ</w:t>
      </w:r>
      <w:r>
        <w:rPr>
          <w:rtl/>
        </w:rPr>
        <w:t xml:space="preserve"> </w:t>
      </w:r>
      <w:r>
        <w:t xml:space="preserve">(„am Abend, beim Sonnenuntergang") präzisiert den Zeitpunkt. Die Verknüpfung </w:t>
      </w:r>
      <w:r>
        <w:rPr>
          <w:rStyle w:val="Fett"/>
          <w:rFonts w:eastAsiaTheme="majorEastAsia"/>
          <w:rtl/>
        </w:rPr>
        <w:t>מוֹעֵד צֵאתְךָ</w:t>
      </w:r>
      <w:r>
        <w:rPr>
          <w:rtl/>
        </w:rPr>
        <w:t xml:space="preserve"> </w:t>
      </w:r>
      <w:r>
        <w:t>(„zur Zeit deines Auszugs") schafft liturgische Parallelität: Wie damals, so jetzt zur gleichen Tageszeit.</w:t>
      </w:r>
    </w:p>
    <w:p w14:paraId="4FB66D27" w14:textId="77777777" w:rsidR="00C90AB0" w:rsidRDefault="00C90AB0" w:rsidP="00C90AB0">
      <w:pPr>
        <w:pStyle w:val="whitespace-normal"/>
      </w:pPr>
      <w:r>
        <w:rPr>
          <w:rStyle w:val="Fett"/>
          <w:rFonts w:eastAsiaTheme="majorEastAsia"/>
        </w:rPr>
        <w:t>Die Satzstruktur:</w:t>
      </w:r>
      <w:r>
        <w:t xml:space="preserve"> Adversativer Imperativsatz mit doppelter temporaler Bestimmung (sondern zu dem Ort, den erwählen wird JHWH, dein Gott, um wohnen zu lassen seinen Namen, dort sollst du schlachten das Pesach am Abend, beim Untergang der Sonne, zur Zeit deines Auszugs aus Ägypten).</w:t>
      </w:r>
    </w:p>
    <w:p w14:paraId="24864DC8" w14:textId="77777777" w:rsidR="00C90AB0" w:rsidRDefault="00C90AB0" w:rsidP="00C90AB0">
      <w:pPr>
        <w:pStyle w:val="whitespace-normal"/>
      </w:pPr>
      <w:r>
        <w:t>Der Vers korrigiert: Sondern am zentralen Heiligtum sollst du das Pesach schlachten – am Abend beim Sonnenuntergang, zur selben Zeit wie der ursprüngliche Auszug aus Ägypten.</w:t>
      </w:r>
    </w:p>
    <w:p w14:paraId="4F62B89D"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16,7</w:t>
      </w:r>
    </w:p>
    <w:p w14:paraId="19513967" w14:textId="77777777" w:rsidR="00C90AB0" w:rsidRDefault="00C90AB0" w:rsidP="00C90AB0">
      <w:pPr>
        <w:pStyle w:val="whitespace-normal"/>
      </w:pPr>
      <w:r>
        <w:rPr>
          <w:rStyle w:val="Fett"/>
          <w:rFonts w:eastAsiaTheme="majorEastAsia"/>
        </w:rPr>
        <w:t>Hebräisch:</w:t>
      </w:r>
      <w:r>
        <w:t xml:space="preserve"> </w:t>
      </w:r>
      <w:r>
        <w:rPr>
          <w:rtl/>
        </w:rPr>
        <w:t>וּבִשַּׁלְתָּ֙ וְאָ֣כַלְתָּ֔ בַּמָּק֕וֹם אֲשֶׁ֥ר יִבְחַ֛ר יְהוָ֥ה אֱלֹהֶ֖יךָ בּוֹ֑ וּפָנִ֣יתָ בַבֹּ֔קֶר וְהָלַכְתָּ֖ לְאֹהָלֶֽיךָ׃</w:t>
      </w:r>
    </w:p>
    <w:p w14:paraId="5C13DA24" w14:textId="77777777" w:rsidR="00C90AB0" w:rsidRDefault="00C90AB0" w:rsidP="00C90AB0">
      <w:pPr>
        <w:pStyle w:val="whitespace-normal"/>
      </w:pPr>
      <w:r>
        <w:rPr>
          <w:rStyle w:val="Fett"/>
          <w:rFonts w:eastAsiaTheme="majorEastAsia"/>
        </w:rPr>
        <w:t>Deutsch:</w:t>
      </w:r>
      <w:r>
        <w:t xml:space="preserve"> Und du sollst es kochen und essen an dem Ort, den der Ewige, dein Gott, erwählen wird; und am Morgen sollst du dich wenden und zu deinen Zelten gehen.</w:t>
      </w:r>
    </w:p>
    <w:p w14:paraId="00A479FD" w14:textId="77777777" w:rsidR="00C90AB0" w:rsidRDefault="004F5CEB" w:rsidP="00C90AB0">
      <w:r>
        <w:rPr>
          <w:noProof/>
        </w:rPr>
        <w:pict w14:anchorId="777E3A13">
          <v:rect id="_x0000_i1474" style="width:0;height:1.5pt" o:hralign="center" o:hrstd="t" o:hr="t" fillcolor="#a0a0a0" stroked="f"/>
        </w:pict>
      </w:r>
    </w:p>
    <w:p w14:paraId="40E88965" w14:textId="77777777" w:rsidR="00C90AB0" w:rsidRDefault="00C90AB0" w:rsidP="00C90AB0">
      <w:pPr>
        <w:pStyle w:val="whitespace-normal"/>
      </w:pPr>
      <w:r>
        <w:rPr>
          <w:rStyle w:val="Fett"/>
          <w:rFonts w:eastAsiaTheme="majorEastAsia"/>
        </w:rPr>
        <w:lastRenderedPageBreak/>
        <w:t>Kommentar:</w:t>
      </w:r>
      <w:r>
        <w:t xml:space="preserve"> </w:t>
      </w:r>
      <w:r>
        <w:rPr>
          <w:rStyle w:val="Fett"/>
          <w:rFonts w:eastAsiaTheme="majorEastAsia"/>
          <w:rtl/>
        </w:rPr>
        <w:t>וּבִשַּׁלְתָּ וְאָכַלְתָּ בַּמָּקוֹם אֲשֶׁר יִבְחַר יְהוָה אֱלֹהֶיךָ בּוֹ</w:t>
      </w:r>
      <w:r>
        <w:rPr>
          <w:rtl/>
        </w:rPr>
        <w:t xml:space="preserve"> </w:t>
      </w:r>
      <w:r>
        <w:t xml:space="preserve">sind zwei koordinierte Imperative: </w:t>
      </w:r>
      <w:r>
        <w:rPr>
          <w:rStyle w:val="Fett"/>
          <w:rFonts w:eastAsiaTheme="majorEastAsia"/>
          <w:rtl/>
        </w:rPr>
        <w:t>וּבִשַּׁלְתָּ</w:t>
      </w:r>
      <w:r>
        <w:rPr>
          <w:rtl/>
        </w:rPr>
        <w:t xml:space="preserve"> </w:t>
      </w:r>
      <w:r>
        <w:t xml:space="preserve">(Piel Perfekt, 2. Person Maskulinum Singular von </w:t>
      </w:r>
      <w:r>
        <w:rPr>
          <w:rStyle w:val="Fett"/>
          <w:rFonts w:eastAsiaTheme="majorEastAsia"/>
          <w:rtl/>
        </w:rPr>
        <w:t>בשׁל</w:t>
      </w:r>
      <w:r>
        <w:t xml:space="preserve">, „kochen", imperativisch), </w:t>
      </w:r>
      <w:r>
        <w:rPr>
          <w:rStyle w:val="Fett"/>
          <w:rFonts w:eastAsiaTheme="majorEastAsia"/>
          <w:rtl/>
        </w:rPr>
        <w:t>וְאָכַלְתָּ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אכל</w:t>
      </w:r>
      <w:r>
        <w:t xml:space="preserve">, Qal Perfekt, 2. Person Maskulinum Singular, „essen", imperativisch), </w:t>
      </w:r>
      <w:r>
        <w:rPr>
          <w:rStyle w:val="Fett"/>
          <w:rFonts w:eastAsiaTheme="majorEastAsia"/>
          <w:rtl/>
        </w:rPr>
        <w:t>בַּמָּקוֹם אֲשֶׁר יִבְחַר יְהוָה אֱלֹהֶיךָ בּוֹ</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מָקוֹם</w:t>
      </w:r>
      <w:r>
        <w:rPr>
          <w:rtl/>
        </w:rPr>
        <w:t xml:space="preserve"> </w:t>
      </w:r>
      <w:r>
        <w:t xml:space="preserve">mit Artikel, Relativsatz: </w:t>
      </w:r>
      <w:r>
        <w:rPr>
          <w:rStyle w:val="Fett"/>
          <w:rFonts w:eastAsiaTheme="majorEastAsia"/>
          <w:rtl/>
        </w:rPr>
        <w:t>אֲשֶׁר יִבְחַר יְהוָה אֱלֹהֶיךָ בּוֹ</w:t>
      </w:r>
      <w:r>
        <w:t xml:space="preserve">, </w:t>
      </w:r>
      <w:r>
        <w:rPr>
          <w:rStyle w:val="Fett"/>
          <w:rFonts w:eastAsiaTheme="majorEastAsia"/>
          <w:rtl/>
        </w:rPr>
        <w:t>בחר</w:t>
      </w:r>
      <w:r>
        <w:rPr>
          <w:rtl/>
        </w:rPr>
        <w:t xml:space="preserve"> </w:t>
      </w:r>
      <w:r>
        <w:t xml:space="preserve">mit </w:t>
      </w:r>
      <w:r>
        <w:rPr>
          <w:rStyle w:val="Fett"/>
          <w:rFonts w:eastAsiaTheme="majorEastAsia"/>
          <w:rtl/>
        </w:rPr>
        <w:t>בּוֹ</w:t>
      </w:r>
      <w:r>
        <w:t>, „in ihm").</w:t>
      </w:r>
    </w:p>
    <w:p w14:paraId="33EBC128" w14:textId="77777777" w:rsidR="00C90AB0" w:rsidRDefault="00C90AB0" w:rsidP="00C90AB0">
      <w:pPr>
        <w:pStyle w:val="whitespace-normal"/>
      </w:pPr>
      <w:r>
        <w:rPr>
          <w:rStyle w:val="Fett"/>
          <w:rFonts w:eastAsiaTheme="majorEastAsia"/>
          <w:rtl/>
        </w:rPr>
        <w:t>וּפָנִיתָ בַבֹּקֶר וְהָלַכְתָּ לְאֹהָלֶיךָ</w:t>
      </w:r>
      <w:r>
        <w:rPr>
          <w:rtl/>
        </w:rPr>
        <w:t xml:space="preserve"> </w:t>
      </w:r>
      <w:r>
        <w:t xml:space="preserve">sind zwei weitere koordinierte Imperative: </w:t>
      </w:r>
      <w:r>
        <w:rPr>
          <w:rStyle w:val="Fett"/>
          <w:rFonts w:eastAsiaTheme="majorEastAsia"/>
          <w:rtl/>
        </w:rPr>
        <w:t>וּפָנִיתָ</w:t>
      </w:r>
      <w:r>
        <w:rPr>
          <w:rtl/>
        </w:rPr>
        <w:t xml:space="preserve"> </w:t>
      </w:r>
      <w:r>
        <w:t xml:space="preserve">(Qal Perfekt, 2. Person Maskulinum Singular von </w:t>
      </w:r>
      <w:r>
        <w:rPr>
          <w:rStyle w:val="Fett"/>
          <w:rFonts w:eastAsiaTheme="majorEastAsia"/>
          <w:rtl/>
        </w:rPr>
        <w:t>פנה</w:t>
      </w:r>
      <w:r>
        <w:t xml:space="preserve">, „sich wenden, umkehren", imperativisch), </w:t>
      </w:r>
      <w:r>
        <w:rPr>
          <w:rStyle w:val="Fett"/>
          <w:rFonts w:eastAsiaTheme="majorEastAsia"/>
          <w:rtl/>
        </w:rPr>
        <w:t>בַבֹּקֶר</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בֹּקֶר</w:t>
      </w:r>
      <w:r>
        <w:t xml:space="preserve">, „Morgen", mit Artikel, „am Morgen"), </w:t>
      </w:r>
      <w:r>
        <w:rPr>
          <w:rStyle w:val="Fett"/>
          <w:rFonts w:eastAsiaTheme="majorEastAsia"/>
          <w:rtl/>
        </w:rPr>
        <w:t>וְהָלַכְתָּ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הלך</w:t>
      </w:r>
      <w:r>
        <w:t xml:space="preserve">, Qal Perfekt, 2. Person Maskulinum Singular, „gehen", imperativisch), </w:t>
      </w:r>
      <w:r>
        <w:rPr>
          <w:rStyle w:val="Fett"/>
          <w:rFonts w:eastAsiaTheme="majorEastAsia"/>
          <w:rtl/>
        </w:rPr>
        <w:t>לְאֹהָלֶיךָ</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אֹהֶל</w:t>
      </w:r>
      <w:r>
        <w:t>, „Zelt", Plural mit Suffix 2. Person Maskulinum Singular, „zu deinen Zelten").</w:t>
      </w:r>
    </w:p>
    <w:p w14:paraId="765DFC30" w14:textId="33124533" w:rsidR="00C90AB0" w:rsidRDefault="00C90AB0" w:rsidP="00C90AB0">
      <w:pPr>
        <w:pStyle w:val="whitespace-normal"/>
      </w:pPr>
      <w:r>
        <w:t xml:space="preserve">Das Verb </w:t>
      </w:r>
      <w:r>
        <w:rPr>
          <w:rStyle w:val="Fett"/>
          <w:rFonts w:eastAsiaTheme="majorEastAsia"/>
          <w:rtl/>
        </w:rPr>
        <w:t>בשׁל</w:t>
      </w:r>
      <w:r>
        <w:rPr>
          <w:rtl/>
        </w:rPr>
        <w:t xml:space="preserve"> </w:t>
      </w:r>
      <w:r>
        <w:t>(„kochen") steht in Spannung zu Ex 12,9, wo das Pesach gebraten (</w:t>
      </w:r>
      <w:r>
        <w:rPr>
          <w:rStyle w:val="Fett"/>
          <w:rFonts w:eastAsiaTheme="majorEastAsia"/>
          <w:rtl/>
        </w:rPr>
        <w:t>צלי</w:t>
      </w:r>
      <w:r>
        <w:t xml:space="preserve">), nicht gekocht werden soll. Möglicherweise ist hier „zubereiten" allgemein gemeint, oder </w:t>
      </w:r>
      <w:r>
        <w:rPr>
          <w:rStyle w:val="Fett"/>
          <w:rFonts w:eastAsiaTheme="majorEastAsia"/>
          <w:rtl/>
        </w:rPr>
        <w:t>בשׁל</w:t>
      </w:r>
      <w:r>
        <w:rPr>
          <w:rtl/>
        </w:rPr>
        <w:t xml:space="preserve"> </w:t>
      </w:r>
      <w:r>
        <w:t xml:space="preserve">kann auch „braten" bedeuten (vgl. </w:t>
      </w:r>
      <w:r w:rsidR="00664EB6">
        <w:t>2Chr</w:t>
      </w:r>
      <w:r>
        <w:t xml:space="preserve"> 35,13, wo beide Verben verwendet werden). Die Wendung </w:t>
      </w:r>
      <w:r>
        <w:rPr>
          <w:rStyle w:val="Fett"/>
          <w:rFonts w:eastAsiaTheme="majorEastAsia"/>
          <w:rtl/>
        </w:rPr>
        <w:t>לְאֹהָלֶיךָ</w:t>
      </w:r>
      <w:r>
        <w:rPr>
          <w:rtl/>
        </w:rPr>
        <w:t xml:space="preserve"> </w:t>
      </w:r>
      <w:r>
        <w:t xml:space="preserve">(„zu deinen Zelten") ist archaische Sprache für „nach Hause" (vgl. Jos 22,4.6.8; </w:t>
      </w:r>
      <w:r w:rsidR="00664EB6">
        <w:t>1Sam</w:t>
      </w:r>
      <w:r>
        <w:t xml:space="preserve"> 13,2; </w:t>
      </w:r>
      <w:r w:rsidR="00664EB6">
        <w:t>2Sam</w:t>
      </w:r>
      <w:r>
        <w:t xml:space="preserve"> 20,1.22; </w:t>
      </w:r>
      <w:r w:rsidR="00664EB6">
        <w:t>1Kön</w:t>
      </w:r>
      <w:r>
        <w:t xml:space="preserve"> 8,66; 12,16).</w:t>
      </w:r>
    </w:p>
    <w:p w14:paraId="66FACDA8" w14:textId="0C0CB716" w:rsidR="0082305E" w:rsidRDefault="0082305E" w:rsidP="00C90AB0">
      <w:pPr>
        <w:pStyle w:val="whitespace-normal"/>
      </w:pPr>
      <w:r>
        <w:rPr>
          <w:rStyle w:val="Fett"/>
        </w:rPr>
        <w:t>Die LXX</w:t>
      </w:r>
      <w:r>
        <w:t xml:space="preserve"> fügt καὶ ὀπ</w:t>
      </w:r>
      <w:proofErr w:type="spellStart"/>
      <w:r>
        <w:t>τήσεις</w:t>
      </w:r>
      <w:proofErr w:type="spellEnd"/>
      <w:r>
        <w:t xml:space="preserve"> (und du wirst braten) nach </w:t>
      </w:r>
      <w:proofErr w:type="spellStart"/>
      <w:r>
        <w:t>ἑψήσεις</w:t>
      </w:r>
      <w:proofErr w:type="spellEnd"/>
      <w:r>
        <w:t xml:space="preserve"> (du wirst kochen) hinzu – eine bedeutende textliche Expansion, die beide Zubereitungsarten explizit nennt, wo der MT nur </w:t>
      </w:r>
      <w:r w:rsidRPr="0082305E">
        <w:rPr>
          <w:b/>
          <w:bCs/>
          <w:rtl/>
        </w:rPr>
        <w:t>וּבִשַּׁלְתָּ</w:t>
      </w:r>
      <w:r>
        <w:t xml:space="preserve"> (und du sollst kochen) hat. Dies berührt die bekannte Spannung zwischen Dtn 16,7 (kochen) und Ex 12,9 (braten).</w:t>
      </w:r>
    </w:p>
    <w:p w14:paraId="0EA0A36B" w14:textId="77777777" w:rsidR="00C90AB0" w:rsidRDefault="00C90AB0" w:rsidP="00C90AB0">
      <w:pPr>
        <w:pStyle w:val="whitespace-normal"/>
      </w:pPr>
      <w:r>
        <w:rPr>
          <w:rStyle w:val="Fett"/>
          <w:rFonts w:eastAsiaTheme="majorEastAsia"/>
        </w:rPr>
        <w:t>Die Satzstruktur:</w:t>
      </w:r>
      <w:r>
        <w:t xml:space="preserve"> Vier koordinierte Imperative (kochen sollst du und essen an dem Ort, den erwählen wird JHWH, dein Gott; und wenden sollst du dich am Morgen und gehen zu deinen Zelten).</w:t>
      </w:r>
    </w:p>
    <w:p w14:paraId="43A9FB97" w14:textId="77777777" w:rsidR="00C90AB0" w:rsidRDefault="00C90AB0" w:rsidP="00C90AB0">
      <w:pPr>
        <w:pStyle w:val="whitespace-normal"/>
      </w:pPr>
      <w:r>
        <w:t>Der Vers regelt: Koche und iss das Pesach am Heiligtum; am Morgen kehrst du nach Hause zurück.</w:t>
      </w:r>
    </w:p>
    <w:p w14:paraId="6B25A0C7"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16,8</w:t>
      </w:r>
    </w:p>
    <w:p w14:paraId="1D95D2BA" w14:textId="77777777" w:rsidR="00C90AB0" w:rsidRDefault="00C90AB0" w:rsidP="00C90AB0">
      <w:pPr>
        <w:pStyle w:val="whitespace-normal"/>
      </w:pPr>
      <w:r>
        <w:rPr>
          <w:rStyle w:val="Fett"/>
          <w:rFonts w:eastAsiaTheme="majorEastAsia"/>
        </w:rPr>
        <w:t>Hebräisch:</w:t>
      </w:r>
      <w:r>
        <w:t xml:space="preserve"> </w:t>
      </w:r>
      <w:r>
        <w:rPr>
          <w:rtl/>
        </w:rPr>
        <w:t>שֵׁ֥שֶׁת יָמִ֖ים תֹּאכַ֣ל מַצּ֑וֹת וּבַיּ֣וֹם הַשְּׁבִיעִ֗י עֲצֶ֨רֶת֙ לַיהוָ֣ה אֱלֹהֶ֔יךָ לֹ֥א תַעֲשֶׂ֖ה מְלָאכָֽה׃</w:t>
      </w:r>
    </w:p>
    <w:p w14:paraId="17C1FAB8" w14:textId="77777777" w:rsidR="00C90AB0" w:rsidRDefault="00C90AB0" w:rsidP="00C90AB0">
      <w:pPr>
        <w:pStyle w:val="whitespace-normal"/>
      </w:pPr>
      <w:r>
        <w:rPr>
          <w:rStyle w:val="Fett"/>
          <w:rFonts w:eastAsiaTheme="majorEastAsia"/>
        </w:rPr>
        <w:t>Deutsch:</w:t>
      </w:r>
      <w:r>
        <w:t xml:space="preserve"> Sechs Tage sollst du Ungesäuertes essen, und am siebten Tag ist eine Festversammlung für den Ewigen, deinen Gott; du sollst keine Arbeit tun.</w:t>
      </w:r>
    </w:p>
    <w:p w14:paraId="07BC33D2" w14:textId="77777777" w:rsidR="00C90AB0" w:rsidRDefault="004F5CEB" w:rsidP="00C90AB0">
      <w:r>
        <w:rPr>
          <w:noProof/>
        </w:rPr>
        <w:pict w14:anchorId="4086DBBF">
          <v:rect id="_x0000_i1475" style="width:0;height:1.5pt" o:hralign="center" o:hrstd="t" o:hr="t" fillcolor="#a0a0a0" stroked="f"/>
        </w:pict>
      </w:r>
    </w:p>
    <w:p w14:paraId="5A1CC3FF"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שֵׁשֶׁת יָמִים תֹּאכַל מַצּוֹת</w:t>
      </w:r>
      <w:r>
        <w:rPr>
          <w:rtl/>
        </w:rPr>
        <w:t xml:space="preserve"> </w:t>
      </w:r>
      <w:r>
        <w:t xml:space="preserve">ist ein Imperativsatz: </w:t>
      </w:r>
      <w:r>
        <w:rPr>
          <w:rStyle w:val="Fett"/>
          <w:rFonts w:eastAsiaTheme="majorEastAsia"/>
          <w:rtl/>
        </w:rPr>
        <w:t>שֵׁשֶׁת יָמִים</w:t>
      </w:r>
      <w:r>
        <w:rPr>
          <w:rtl/>
        </w:rPr>
        <w:t xml:space="preserve"> </w:t>
      </w:r>
      <w:r>
        <w:t>(</w:t>
      </w:r>
      <w:r>
        <w:rPr>
          <w:rStyle w:val="Fett"/>
          <w:rFonts w:eastAsiaTheme="majorEastAsia"/>
          <w:rtl/>
        </w:rPr>
        <w:t>שֵׁשׁ</w:t>
      </w:r>
      <w:r>
        <w:t xml:space="preserve">, „sechs", Construct mit </w:t>
      </w:r>
      <w:r>
        <w:rPr>
          <w:rStyle w:val="Fett"/>
          <w:rFonts w:eastAsiaTheme="majorEastAsia"/>
          <w:rtl/>
        </w:rPr>
        <w:t>יוֹם</w:t>
      </w:r>
      <w:r>
        <w:t xml:space="preserve">, Plural, „sechs Tage"), </w:t>
      </w:r>
      <w:r>
        <w:rPr>
          <w:rStyle w:val="Fett"/>
          <w:rFonts w:eastAsiaTheme="majorEastAsia"/>
          <w:rtl/>
        </w:rPr>
        <w:t>תֹּאכַל</w:t>
      </w:r>
      <w:r>
        <w:rPr>
          <w:rtl/>
        </w:rPr>
        <w:t xml:space="preserve"> </w:t>
      </w:r>
      <w:r>
        <w:t xml:space="preserve">(Qal Imperfekt, 2. Person Maskulinum Singular von </w:t>
      </w:r>
      <w:r>
        <w:rPr>
          <w:rStyle w:val="Fett"/>
          <w:rFonts w:eastAsiaTheme="majorEastAsia"/>
          <w:rtl/>
        </w:rPr>
        <w:t>אכל</w:t>
      </w:r>
      <w:r>
        <w:t xml:space="preserve">, „essen"), </w:t>
      </w:r>
      <w:r>
        <w:rPr>
          <w:rStyle w:val="Fett"/>
          <w:rFonts w:eastAsiaTheme="majorEastAsia"/>
          <w:rtl/>
        </w:rPr>
        <w:t>מַצּוֹת</w:t>
      </w:r>
      <w:r>
        <w:rPr>
          <w:rtl/>
        </w:rPr>
        <w:t xml:space="preserve"> </w:t>
      </w:r>
      <w:r>
        <w:t>(</w:t>
      </w:r>
      <w:r>
        <w:rPr>
          <w:rStyle w:val="Fett"/>
          <w:rFonts w:eastAsiaTheme="majorEastAsia"/>
          <w:rtl/>
        </w:rPr>
        <w:t>מַצָּה</w:t>
      </w:r>
      <w:r>
        <w:t>, Plural, „Ungesäuertes").</w:t>
      </w:r>
    </w:p>
    <w:p w14:paraId="1C97FD22" w14:textId="731FAFA4" w:rsidR="00C90AB0" w:rsidRDefault="00C90AB0" w:rsidP="00C90AB0">
      <w:pPr>
        <w:pStyle w:val="whitespace-normal"/>
      </w:pPr>
      <w:r>
        <w:rPr>
          <w:rStyle w:val="Fett"/>
          <w:rFonts w:eastAsiaTheme="majorEastAsia"/>
          <w:rtl/>
        </w:rPr>
        <w:t>וּבַיּוֹם הַשְּׁבִיעִי עֲצֶרֶת לַיהוָה אֱלֹהֶיךָ לֹא תַעֲשֶׂה מְלָאכָה</w:t>
      </w:r>
      <w:r>
        <w:rPr>
          <w:rtl/>
        </w:rPr>
        <w:t xml:space="preserve"> </w:t>
      </w:r>
      <w:r>
        <w:t xml:space="preserve">ist ein Nominalsatz mit negativem Imperativ: </w:t>
      </w:r>
      <w:r>
        <w:rPr>
          <w:rStyle w:val="Fett"/>
          <w:rFonts w:eastAsiaTheme="majorEastAsia"/>
          <w:rtl/>
        </w:rPr>
        <w:t>וּבַיּוֹם הַשְּׁבִיעִי</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יוֹם</w:t>
      </w:r>
      <w:r>
        <w:t xml:space="preserve">, „Tag", mit Artikel, </w:t>
      </w:r>
      <w:r>
        <w:rPr>
          <w:rStyle w:val="Fett"/>
          <w:rFonts w:eastAsiaTheme="majorEastAsia"/>
          <w:rtl/>
        </w:rPr>
        <w:t>שְׁבִיעִי</w:t>
      </w:r>
      <w:r>
        <w:t xml:space="preserve">, „siebte", mit Artikel, „am siebten Tag"), </w:t>
      </w:r>
      <w:r>
        <w:rPr>
          <w:rStyle w:val="Fett"/>
          <w:rFonts w:eastAsiaTheme="majorEastAsia"/>
          <w:rtl/>
        </w:rPr>
        <w:t>עֲצֶרֶת</w:t>
      </w:r>
      <w:r>
        <w:rPr>
          <w:rtl/>
        </w:rPr>
        <w:t xml:space="preserve"> </w:t>
      </w:r>
      <w:r>
        <w:t>(</w:t>
      </w:r>
      <w:r>
        <w:rPr>
          <w:rStyle w:val="Fett"/>
          <w:rFonts w:eastAsiaTheme="majorEastAsia"/>
          <w:rtl/>
        </w:rPr>
        <w:t>עֲצֶרֶת</w:t>
      </w:r>
      <w:r>
        <w:t xml:space="preserve">, „Festversammlung, Versammlung") als Prädikatsnomen, </w:t>
      </w:r>
      <w:r>
        <w:rPr>
          <w:rStyle w:val="Fett"/>
          <w:rFonts w:eastAsiaTheme="majorEastAsia"/>
          <w:rtl/>
        </w:rPr>
        <w:t xml:space="preserve">לַיהוָה </w:t>
      </w:r>
      <w:r>
        <w:rPr>
          <w:rStyle w:val="Fett"/>
          <w:rFonts w:eastAsiaTheme="majorEastAsia"/>
          <w:rtl/>
        </w:rPr>
        <w:lastRenderedPageBreak/>
        <w:t>אֱלֹהֶיךָ</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יְהוָה אֱלֹהֶיךָ</w:t>
      </w:r>
      <w:r>
        <w:t xml:space="preserve">, „für </w:t>
      </w:r>
      <w:r w:rsidR="00281FDB">
        <w:t>JHWH</w:t>
      </w:r>
      <w:r>
        <w:t xml:space="preserve">, deinen Gott"), </w:t>
      </w:r>
      <w:r>
        <w:rPr>
          <w:rStyle w:val="Fett"/>
          <w:rFonts w:eastAsiaTheme="majorEastAsia"/>
          <w:rtl/>
        </w:rPr>
        <w:t>לֹא תַעֲשֶׂה</w:t>
      </w:r>
      <w:r>
        <w:rPr>
          <w:rtl/>
        </w:rPr>
        <w:t xml:space="preserve"> </w:t>
      </w:r>
      <w:r>
        <w:t xml:space="preserve">(Negation </w:t>
      </w:r>
      <w:r>
        <w:rPr>
          <w:rStyle w:val="Fett"/>
          <w:rFonts w:eastAsiaTheme="majorEastAsia"/>
          <w:rtl/>
        </w:rPr>
        <w:t>לֹא</w:t>
      </w:r>
      <w:r>
        <w:rPr>
          <w:rtl/>
        </w:rPr>
        <w:t xml:space="preserve"> </w:t>
      </w:r>
      <w:r>
        <w:t xml:space="preserve">mit </w:t>
      </w:r>
      <w:r>
        <w:rPr>
          <w:rStyle w:val="Fett"/>
          <w:rFonts w:eastAsiaTheme="majorEastAsia"/>
          <w:rtl/>
        </w:rPr>
        <w:t>עשׂה</w:t>
      </w:r>
      <w:r>
        <w:t xml:space="preserve">, Qal Imperfekt, 2. Person Maskulinum Singular, „tun, machen"), </w:t>
      </w:r>
      <w:r>
        <w:rPr>
          <w:rStyle w:val="Fett"/>
          <w:rFonts w:eastAsiaTheme="majorEastAsia"/>
          <w:rtl/>
        </w:rPr>
        <w:t>מְלָאכָה</w:t>
      </w:r>
      <w:r>
        <w:rPr>
          <w:rtl/>
        </w:rPr>
        <w:t xml:space="preserve"> </w:t>
      </w:r>
      <w:r>
        <w:t>(</w:t>
      </w:r>
      <w:r>
        <w:rPr>
          <w:rStyle w:val="Fett"/>
          <w:rFonts w:eastAsiaTheme="majorEastAsia"/>
          <w:rtl/>
        </w:rPr>
        <w:t>מְלָאכָה</w:t>
      </w:r>
      <w:r>
        <w:t>, „Arbeit, Werk").</w:t>
      </w:r>
    </w:p>
    <w:p w14:paraId="0DD6BF9F" w14:textId="690F919E" w:rsidR="00C90AB0" w:rsidRDefault="00C90AB0" w:rsidP="00C90AB0">
      <w:pPr>
        <w:pStyle w:val="whitespace-normal"/>
      </w:pPr>
      <w:r>
        <w:t xml:space="preserve">Die Zeitangabe „sechs Tage" scheint mit V. 3 (sieben Tage) zu widersprechen. Möglicherweise: sechs weitere Tage nach dem ersten Tag (Pesach), insgesamt sieben. Das Wort </w:t>
      </w:r>
      <w:r>
        <w:rPr>
          <w:rStyle w:val="Fett"/>
          <w:rFonts w:eastAsiaTheme="majorEastAsia"/>
          <w:rtl/>
        </w:rPr>
        <w:t>עֲצֶרֶת</w:t>
      </w:r>
      <w:r>
        <w:rPr>
          <w:rtl/>
        </w:rPr>
        <w:t xml:space="preserve"> </w:t>
      </w:r>
      <w:r>
        <w:t xml:space="preserve">(„Festversammlung") bezeichnet eine heilige Versammlung mit Arbeitsruhe (vgl. </w:t>
      </w:r>
      <w:r w:rsidR="00664EB6">
        <w:t>Lev</w:t>
      </w:r>
      <w:r>
        <w:t xml:space="preserve"> 23,36; Num 29,35; Neh 8,18; Joel 1,14; 2,15). Der siebte Tag schließt das Fest feierlich ab.</w:t>
      </w:r>
    </w:p>
    <w:p w14:paraId="4E9F2735" w14:textId="6D01D716" w:rsidR="0082305E" w:rsidRDefault="0082305E" w:rsidP="00C90AB0">
      <w:pPr>
        <w:pStyle w:val="whitespace-normal"/>
      </w:pPr>
      <w:r>
        <w:rPr>
          <w:rStyle w:val="Fett"/>
        </w:rPr>
        <w:t>Die LXX</w:t>
      </w:r>
      <w:r>
        <w:t xml:space="preserve"> fügt am Ende π</w:t>
      </w:r>
      <w:proofErr w:type="spellStart"/>
      <w:r>
        <w:t>λὴν</w:t>
      </w:r>
      <w:proofErr w:type="spellEnd"/>
      <w:r>
        <w:t xml:space="preserve"> </w:t>
      </w:r>
      <w:proofErr w:type="spellStart"/>
      <w:r>
        <w:t>ὅσ</w:t>
      </w:r>
      <w:proofErr w:type="spellEnd"/>
      <w:r>
        <w:t>α π</w:t>
      </w:r>
      <w:proofErr w:type="spellStart"/>
      <w:r>
        <w:t>οιηθήσετ</w:t>
      </w:r>
      <w:proofErr w:type="spellEnd"/>
      <w:r>
        <w:t xml:space="preserve">αι </w:t>
      </w:r>
      <w:proofErr w:type="spellStart"/>
      <w:r>
        <w:t>ψυχῇ</w:t>
      </w:r>
      <w:proofErr w:type="spellEnd"/>
      <w:r>
        <w:t xml:space="preserve"> (außer was für eine Person gemacht werden wird) hinzu – eine Ausnahmeklausel für notwendige Arbeiten, die im MT vollständig fehlt. Dies ist eine signifikante halachische Ergänzung.</w:t>
      </w:r>
    </w:p>
    <w:p w14:paraId="0281E812" w14:textId="77777777" w:rsidR="00C90AB0" w:rsidRDefault="00C90AB0" w:rsidP="00C90AB0">
      <w:pPr>
        <w:pStyle w:val="whitespace-normal"/>
      </w:pPr>
      <w:r>
        <w:rPr>
          <w:rStyle w:val="Fett"/>
          <w:rFonts w:eastAsiaTheme="majorEastAsia"/>
        </w:rPr>
        <w:t>Die Satzstruktur:</w:t>
      </w:r>
      <w:r>
        <w:t xml:space="preserve"> Imperativsatz und Nominalsatz mit negativem Imperativ (sechs Tage sollst du essen Ungesäuertes; und am siebten Tag ist eine Festversammlung für JHWH, deinen Gott, nicht sollst du tun Arbeit).</w:t>
      </w:r>
    </w:p>
    <w:p w14:paraId="4CB09B95" w14:textId="77777777" w:rsidR="00C90AB0" w:rsidRDefault="00C90AB0" w:rsidP="00C90AB0">
      <w:pPr>
        <w:pStyle w:val="whitespace-normal"/>
      </w:pPr>
      <w:r>
        <w:t>Der Vers schließt ab: Sechs Tage iss Ungesäuertes; der siebte Tag ist Festversammlung für JHWH mit Arbeitsruhe.</w:t>
      </w:r>
    </w:p>
    <w:p w14:paraId="2E4D80F1"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16,9</w:t>
      </w:r>
    </w:p>
    <w:p w14:paraId="6E5877E9" w14:textId="77777777" w:rsidR="00C90AB0" w:rsidRDefault="00C90AB0" w:rsidP="00C90AB0">
      <w:pPr>
        <w:pStyle w:val="whitespace-normal"/>
      </w:pPr>
      <w:r>
        <w:rPr>
          <w:rStyle w:val="Fett"/>
          <w:rFonts w:eastAsiaTheme="majorEastAsia"/>
        </w:rPr>
        <w:t>Hebräisch:</w:t>
      </w:r>
      <w:r>
        <w:t xml:space="preserve"> </w:t>
      </w:r>
      <w:r>
        <w:rPr>
          <w:rtl/>
        </w:rPr>
        <w:t>שִׁבְעָ֥ה שָׁבֻעֹ֖ת תִּסְפָּר־לָ֑ךְ מֵהָחֵ֤ל חֶרְמֵשׁ֙ בַּקָּמָ֔ה תָּחֵ֣ל לִסְפֹּ֔ר שִׁבְעָ֖ה שָׁבֻעֽוֹת׃</w:t>
      </w:r>
    </w:p>
    <w:p w14:paraId="52FD2818" w14:textId="77777777" w:rsidR="00C90AB0" w:rsidRDefault="00C90AB0" w:rsidP="00C90AB0">
      <w:pPr>
        <w:pStyle w:val="whitespace-normal"/>
      </w:pPr>
      <w:r>
        <w:rPr>
          <w:rStyle w:val="Fett"/>
          <w:rFonts w:eastAsiaTheme="majorEastAsia"/>
        </w:rPr>
        <w:t>Deutsch:</w:t>
      </w:r>
      <w:r>
        <w:t xml:space="preserve"> Sieben Wochen sollst du dir zählen; von dem Beginn der Sichel an der stehenden Saat sollst du beginnen, sieben Wochen zu zählen.</w:t>
      </w:r>
    </w:p>
    <w:p w14:paraId="54F803B3" w14:textId="77777777" w:rsidR="00C90AB0" w:rsidRDefault="004F5CEB" w:rsidP="00C90AB0">
      <w:r>
        <w:rPr>
          <w:noProof/>
        </w:rPr>
        <w:pict w14:anchorId="10A8F725">
          <v:rect id="_x0000_i1476" style="width:0;height:1.5pt" o:hralign="center" o:hrstd="t" o:hr="t" fillcolor="#a0a0a0" stroked="f"/>
        </w:pict>
      </w:r>
    </w:p>
    <w:p w14:paraId="49B2C1D8"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שִׁבְעָה שָׁבֻעֹת תִּסְפָּר־לָךְ</w:t>
      </w:r>
      <w:r>
        <w:rPr>
          <w:rtl/>
        </w:rPr>
        <w:t xml:space="preserve"> </w:t>
      </w:r>
      <w:r>
        <w:t xml:space="preserve">ist ein Imperativsatz: </w:t>
      </w:r>
      <w:r>
        <w:rPr>
          <w:rStyle w:val="Fett"/>
          <w:rFonts w:eastAsiaTheme="majorEastAsia"/>
          <w:rtl/>
        </w:rPr>
        <w:t>שִׁבְעָה שָׁבֻעֹת</w:t>
      </w:r>
      <w:r>
        <w:rPr>
          <w:rtl/>
        </w:rPr>
        <w:t xml:space="preserve"> </w:t>
      </w:r>
      <w:r>
        <w:t>(</w:t>
      </w:r>
      <w:r>
        <w:rPr>
          <w:rStyle w:val="Fett"/>
          <w:rFonts w:eastAsiaTheme="majorEastAsia"/>
          <w:rtl/>
        </w:rPr>
        <w:t>שֶׁבַע</w:t>
      </w:r>
      <w:r>
        <w:t xml:space="preserve">, „sieben", mit </w:t>
      </w:r>
      <w:r>
        <w:rPr>
          <w:rStyle w:val="Fett"/>
          <w:rFonts w:eastAsiaTheme="majorEastAsia"/>
          <w:rtl/>
        </w:rPr>
        <w:t>שָׁבוּעַ</w:t>
      </w:r>
      <w:r>
        <w:t xml:space="preserve">, „Woche", Plural, „sieben Wochen"), </w:t>
      </w:r>
      <w:r>
        <w:rPr>
          <w:rStyle w:val="Fett"/>
          <w:rFonts w:eastAsiaTheme="majorEastAsia"/>
          <w:rtl/>
        </w:rPr>
        <w:t>תִּסְפָּר־לָךְ</w:t>
      </w:r>
      <w:r>
        <w:rPr>
          <w:rtl/>
        </w:rPr>
        <w:t xml:space="preserve"> </w:t>
      </w:r>
      <w:r>
        <w:t xml:space="preserve">(Qal Imperfekt, 2. Person Maskulinum Singular von </w:t>
      </w:r>
      <w:r>
        <w:rPr>
          <w:rStyle w:val="Fett"/>
          <w:rFonts w:eastAsiaTheme="majorEastAsia"/>
          <w:rtl/>
        </w:rPr>
        <w:t>ספר</w:t>
      </w:r>
      <w:r>
        <w:t xml:space="preserve">, „zählen", mit </w:t>
      </w:r>
      <w:r>
        <w:rPr>
          <w:rStyle w:val="Fett"/>
          <w:rFonts w:eastAsiaTheme="majorEastAsia"/>
          <w:rtl/>
        </w:rPr>
        <w:t>לָךְ</w:t>
      </w:r>
      <w:r>
        <w:t>, ethischer Dativ, „dir").</w:t>
      </w:r>
    </w:p>
    <w:p w14:paraId="69C350CF" w14:textId="77777777" w:rsidR="00C90AB0" w:rsidRDefault="00C90AB0" w:rsidP="00C90AB0">
      <w:pPr>
        <w:pStyle w:val="whitespace-normal"/>
      </w:pPr>
      <w:r>
        <w:rPr>
          <w:rStyle w:val="Fett"/>
          <w:rFonts w:eastAsiaTheme="majorEastAsia"/>
          <w:rtl/>
        </w:rPr>
        <w:t>מֵהָחֵל חֶרְמֵשׁ בַּקָּמָה תָּחֵל לִסְפֹּר שִׁבְעָה שָׁבֻעוֹת</w:t>
      </w:r>
      <w:r>
        <w:rPr>
          <w:rtl/>
        </w:rPr>
        <w:t xml:space="preserve"> </w:t>
      </w:r>
      <w:r>
        <w:t xml:space="preserve">ist die temporale Bestimmung: </w:t>
      </w:r>
      <w:r>
        <w:rPr>
          <w:rStyle w:val="Fett"/>
          <w:rFonts w:eastAsiaTheme="majorEastAsia"/>
          <w:rtl/>
        </w:rPr>
        <w:t>מֵהָחֵל</w:t>
      </w:r>
      <w:r>
        <w:rPr>
          <w:rtl/>
        </w:rPr>
        <w:t xml:space="preserve"> </w:t>
      </w:r>
      <w:r>
        <w:t xml:space="preserve">(Präposition </w:t>
      </w:r>
      <w:r>
        <w:rPr>
          <w:rStyle w:val="Fett"/>
          <w:rFonts w:eastAsiaTheme="majorEastAsia"/>
          <w:rtl/>
        </w:rPr>
        <w:t>מִן</w:t>
      </w:r>
      <w:r>
        <w:rPr>
          <w:rtl/>
        </w:rPr>
        <w:t xml:space="preserve"> </w:t>
      </w:r>
      <w:r>
        <w:t xml:space="preserve">mit Hiphil Infinitiv Construct von </w:t>
      </w:r>
      <w:r>
        <w:rPr>
          <w:rStyle w:val="Fett"/>
          <w:rFonts w:eastAsiaTheme="majorEastAsia"/>
          <w:rtl/>
        </w:rPr>
        <w:t>חלל</w:t>
      </w:r>
      <w:r>
        <w:t xml:space="preserve">, „beginnen", mit Artikel, „vom Beginn"), </w:t>
      </w:r>
      <w:r>
        <w:rPr>
          <w:rStyle w:val="Fett"/>
          <w:rFonts w:eastAsiaTheme="majorEastAsia"/>
          <w:rtl/>
        </w:rPr>
        <w:t>חֶרְמֵשׁ</w:t>
      </w:r>
      <w:r>
        <w:rPr>
          <w:rtl/>
        </w:rPr>
        <w:t xml:space="preserve"> </w:t>
      </w:r>
      <w:r>
        <w:t>(</w:t>
      </w:r>
      <w:r>
        <w:rPr>
          <w:rStyle w:val="Fett"/>
          <w:rFonts w:eastAsiaTheme="majorEastAsia"/>
          <w:rtl/>
        </w:rPr>
        <w:t>חֶרְמֵשׁ</w:t>
      </w:r>
      <w:r>
        <w:t xml:space="preserve">, „Sichel"), </w:t>
      </w:r>
      <w:r>
        <w:rPr>
          <w:rStyle w:val="Fett"/>
          <w:rFonts w:eastAsiaTheme="majorEastAsia"/>
          <w:rtl/>
        </w:rPr>
        <w:t>בַּקָּמָה</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קָמָה</w:t>
      </w:r>
      <w:r>
        <w:t xml:space="preserve">, „stehendes Getreide, stehende Saat", mit Artikel), </w:t>
      </w:r>
      <w:r>
        <w:rPr>
          <w:rStyle w:val="Fett"/>
          <w:rFonts w:eastAsiaTheme="majorEastAsia"/>
          <w:rtl/>
        </w:rPr>
        <w:t>תָּחֵל</w:t>
      </w:r>
      <w:r>
        <w:rPr>
          <w:rtl/>
        </w:rPr>
        <w:t xml:space="preserve"> </w:t>
      </w:r>
      <w:r>
        <w:t xml:space="preserve">(Hiphil Imperfekt, 2. Person Maskulinum Singular von </w:t>
      </w:r>
      <w:r>
        <w:rPr>
          <w:rStyle w:val="Fett"/>
          <w:rFonts w:eastAsiaTheme="majorEastAsia"/>
          <w:rtl/>
        </w:rPr>
        <w:t>חלל</w:t>
      </w:r>
      <w:r>
        <w:t xml:space="preserve">, „beginnen"), </w:t>
      </w:r>
      <w:r>
        <w:rPr>
          <w:rStyle w:val="Fett"/>
          <w:rFonts w:eastAsiaTheme="majorEastAsia"/>
          <w:rtl/>
        </w:rPr>
        <w:t>לִסְפֹּר</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ספר</w:t>
      </w:r>
      <w:r>
        <w:t xml:space="preserve">, „zählen"), </w:t>
      </w:r>
      <w:r>
        <w:rPr>
          <w:rStyle w:val="Fett"/>
          <w:rFonts w:eastAsiaTheme="majorEastAsia"/>
          <w:rtl/>
        </w:rPr>
        <w:t>שִׁבְעָה שָׁבֻעוֹת</w:t>
      </w:r>
      <w:r>
        <w:rPr>
          <w:rtl/>
        </w:rPr>
        <w:t xml:space="preserve"> </w:t>
      </w:r>
      <w:r>
        <w:t>(„sieben Wochen").</w:t>
      </w:r>
    </w:p>
    <w:p w14:paraId="05001122" w14:textId="022DF287" w:rsidR="00C90AB0" w:rsidRDefault="00C90AB0" w:rsidP="00C90AB0">
      <w:pPr>
        <w:pStyle w:val="whitespace-normal"/>
      </w:pPr>
      <w:r>
        <w:t xml:space="preserve">Das Wochenfest (Schawuot) liegt sieben Wochen nach Pesach (vgl. </w:t>
      </w:r>
      <w:r w:rsidR="00664EB6">
        <w:t>Lev</w:t>
      </w:r>
      <w:r>
        <w:t xml:space="preserve"> 23,15-16). Die Formulierung </w:t>
      </w:r>
      <w:r>
        <w:rPr>
          <w:rStyle w:val="Fett"/>
          <w:rFonts w:eastAsiaTheme="majorEastAsia"/>
          <w:rtl/>
        </w:rPr>
        <w:t>מֵהָחֵל חֶרְמֵשׁ בַּקָּמָה</w:t>
      </w:r>
      <w:r>
        <w:rPr>
          <w:rtl/>
        </w:rPr>
        <w:t xml:space="preserve"> </w:t>
      </w:r>
      <w:r>
        <w:t xml:space="preserve">(„vom Beginn der Sichel an der stehenden Saat") bezeichnet den Beginn der Getreideernte – wenn die Sichel zum ersten Mal am stehenden Getreide angesetzt wird (vgl. </w:t>
      </w:r>
      <w:r w:rsidR="00664EB6">
        <w:t>Lev</w:t>
      </w:r>
      <w:r>
        <w:t xml:space="preserve"> 23,10-11: Darbringung der Erstlingsgarbe).</w:t>
      </w:r>
    </w:p>
    <w:p w14:paraId="16947C56" w14:textId="1817E51D" w:rsidR="0082305E" w:rsidRDefault="0082305E" w:rsidP="00C90AB0">
      <w:pPr>
        <w:pStyle w:val="whitespace-normal"/>
      </w:pPr>
      <w:r>
        <w:rPr>
          <w:rStyle w:val="Fett"/>
        </w:rPr>
        <w:t>Die LXX</w:t>
      </w:r>
      <w:r>
        <w:t xml:space="preserve"> verwendet ἑβ</w:t>
      </w:r>
      <w:proofErr w:type="spellStart"/>
      <w:r>
        <w:t>δομάδ</w:t>
      </w:r>
      <w:proofErr w:type="spellEnd"/>
      <w:r>
        <w:t xml:space="preserve">ας </w:t>
      </w:r>
      <w:proofErr w:type="spellStart"/>
      <w:r>
        <w:t>ὁλοκλήρους</w:t>
      </w:r>
      <w:proofErr w:type="spellEnd"/>
      <w:r>
        <w:t xml:space="preserve"> (vollständige Wochen) für </w:t>
      </w:r>
      <w:r w:rsidRPr="0082305E">
        <w:rPr>
          <w:b/>
          <w:bCs/>
          <w:rtl/>
        </w:rPr>
        <w:t>שִׁבְעָה שָׁבֻעֹת</w:t>
      </w:r>
      <w:r>
        <w:t xml:space="preserve"> – eine Betonung der Vollständigkeit, die im Hebräischen nicht explizit ist.</w:t>
      </w:r>
    </w:p>
    <w:p w14:paraId="6E9E0975" w14:textId="77777777" w:rsidR="00C90AB0" w:rsidRDefault="00C90AB0" w:rsidP="00C90AB0">
      <w:pPr>
        <w:pStyle w:val="whitespace-normal"/>
      </w:pPr>
      <w:r>
        <w:rPr>
          <w:rStyle w:val="Fett"/>
          <w:rFonts w:eastAsiaTheme="majorEastAsia"/>
        </w:rPr>
        <w:lastRenderedPageBreak/>
        <w:t>Die Satzstruktur:</w:t>
      </w:r>
      <w:r>
        <w:t xml:space="preserve"> Imperativsatz mit temporaler Bestimmung und wiederholtem Imperativ (sieben Wochen sollst du zählen dir; vom Beginn der Sichel an der stehenden Saat sollst du beginnen zu zählen sieben Wochen).</w:t>
      </w:r>
    </w:p>
    <w:p w14:paraId="3FDDD1FA" w14:textId="77777777" w:rsidR="00C90AB0" w:rsidRDefault="00C90AB0" w:rsidP="00C90AB0">
      <w:pPr>
        <w:pStyle w:val="whitespace-normal"/>
      </w:pPr>
      <w:r>
        <w:t>Der Vers leitet zum Wochenfest über: Zähle sieben Wochen ab dem Beginn der Ernte, wenn die Sichel erstmals am stehenden Getreide angesetzt wird.</w:t>
      </w:r>
    </w:p>
    <w:p w14:paraId="3BCD430E"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16,10</w:t>
      </w:r>
    </w:p>
    <w:p w14:paraId="4C9244C1" w14:textId="77777777" w:rsidR="00C90AB0" w:rsidRDefault="00C90AB0" w:rsidP="00C90AB0">
      <w:pPr>
        <w:pStyle w:val="whitespace-normal"/>
      </w:pPr>
      <w:r>
        <w:rPr>
          <w:rStyle w:val="Fett"/>
          <w:rFonts w:eastAsiaTheme="majorEastAsia"/>
        </w:rPr>
        <w:t>Hebräisch:</w:t>
      </w:r>
      <w:r>
        <w:t xml:space="preserve"> </w:t>
      </w:r>
      <w:r>
        <w:rPr>
          <w:rtl/>
        </w:rPr>
        <w:t>וְעָשִׂ֜יתָ חַ֤ג שָׁבֻעוֹת֙ לַיהוָ֣ה אֱלֹהֶ֔יךָ מִסַּ֛ת נִדְבַ֥ת יָדְךָ֖ אֲשֶׁ֣ר תִּתֵּ֑ן כַּאֲשֶׁ֥ר יְבָרֶכְךָ֖ יְהוָ֥ה אֱלֹהֶֽיךָ׃</w:t>
      </w:r>
    </w:p>
    <w:p w14:paraId="226483B2" w14:textId="77777777" w:rsidR="00C90AB0" w:rsidRDefault="00C90AB0" w:rsidP="00C90AB0">
      <w:pPr>
        <w:pStyle w:val="whitespace-normal"/>
      </w:pPr>
      <w:r>
        <w:rPr>
          <w:rStyle w:val="Fett"/>
          <w:rFonts w:eastAsiaTheme="majorEastAsia"/>
        </w:rPr>
        <w:t>Deutsch:</w:t>
      </w:r>
      <w:r>
        <w:t xml:space="preserve"> Und du sollst das Fest der Wochen für den Ewigen, deinen Gott, feiern, nach der freiwilligen Gabe deiner Hand, die du geben wirst, so wie der Ewige, dein Gott, dich segnen wird.</w:t>
      </w:r>
    </w:p>
    <w:p w14:paraId="051D0681" w14:textId="77777777" w:rsidR="00C90AB0" w:rsidRDefault="004F5CEB" w:rsidP="00C90AB0">
      <w:r>
        <w:rPr>
          <w:noProof/>
        </w:rPr>
        <w:pict w14:anchorId="3D1E083B">
          <v:rect id="_x0000_i1477" style="width:0;height:1.5pt" o:hralign="center" o:hrstd="t" o:hr="t" fillcolor="#a0a0a0" stroked="f"/>
        </w:pict>
      </w:r>
    </w:p>
    <w:p w14:paraId="458F373D" w14:textId="3740CEC6" w:rsidR="00C90AB0" w:rsidRDefault="00C90AB0" w:rsidP="00C90AB0">
      <w:pPr>
        <w:pStyle w:val="whitespace-normal"/>
      </w:pPr>
      <w:r>
        <w:rPr>
          <w:rStyle w:val="Fett"/>
          <w:rFonts w:eastAsiaTheme="majorEastAsia"/>
        </w:rPr>
        <w:t>Kommentar:</w:t>
      </w:r>
      <w:r>
        <w:t xml:space="preserve"> </w:t>
      </w:r>
      <w:r>
        <w:rPr>
          <w:rStyle w:val="Fett"/>
          <w:rFonts w:eastAsiaTheme="majorEastAsia"/>
          <w:rtl/>
        </w:rPr>
        <w:t>וְעָשִׂיתָ חַג שָׁבֻעוֹת לַיהוָה אֱלֹהֶיךָ מִסַּת נִדְבַת יָדְךָ אֲשֶׁר תִּתֵּן כַּאֲשֶׁר יְבָרֶכְךָ יְהוָה אֱלֹהֶיךָ</w:t>
      </w:r>
      <w:r>
        <w:rPr>
          <w:rtl/>
        </w:rPr>
        <w:t xml:space="preserve"> </w:t>
      </w:r>
      <w:r>
        <w:t xml:space="preserve">ist ein Imperativsatz: </w:t>
      </w:r>
      <w:r>
        <w:rPr>
          <w:rStyle w:val="Fett"/>
          <w:rFonts w:eastAsiaTheme="majorEastAsia"/>
          <w:rtl/>
        </w:rPr>
        <w:t>וְעָשִׂיתָ</w:t>
      </w:r>
      <w:r>
        <w:rPr>
          <w:rtl/>
        </w:rPr>
        <w:t xml:space="preserve"> </w:t>
      </w:r>
      <w:r>
        <w:t xml:space="preserve">(Qal Perfekt, 2. Person Maskulinum Singular von </w:t>
      </w:r>
      <w:r>
        <w:rPr>
          <w:rStyle w:val="Fett"/>
          <w:rFonts w:eastAsiaTheme="majorEastAsia"/>
          <w:rtl/>
        </w:rPr>
        <w:t>עשׂה</w:t>
      </w:r>
      <w:r>
        <w:t xml:space="preserve">, „machen, feiern", imperativisch), </w:t>
      </w:r>
      <w:r>
        <w:rPr>
          <w:rStyle w:val="Fett"/>
          <w:rFonts w:eastAsiaTheme="majorEastAsia"/>
          <w:rtl/>
        </w:rPr>
        <w:t>חַג שָׁבֻעוֹת</w:t>
      </w:r>
      <w:r>
        <w:rPr>
          <w:rtl/>
        </w:rPr>
        <w:t xml:space="preserve"> </w:t>
      </w:r>
      <w:r>
        <w:t>(</w:t>
      </w:r>
      <w:r>
        <w:rPr>
          <w:rStyle w:val="Fett"/>
          <w:rFonts w:eastAsiaTheme="majorEastAsia"/>
          <w:rtl/>
        </w:rPr>
        <w:t>חַג</w:t>
      </w:r>
      <w:r>
        <w:t xml:space="preserve">, „Fest", Construct mit </w:t>
      </w:r>
      <w:r>
        <w:rPr>
          <w:rStyle w:val="Fett"/>
          <w:rFonts w:eastAsiaTheme="majorEastAsia"/>
          <w:rtl/>
        </w:rPr>
        <w:t>שָׁבוּעַ</w:t>
      </w:r>
      <w:r>
        <w:t xml:space="preserve">, Plural, „Fest der Wochen"), </w:t>
      </w:r>
      <w:r>
        <w:rPr>
          <w:rStyle w:val="Fett"/>
          <w:rFonts w:eastAsiaTheme="majorEastAsia"/>
          <w:rtl/>
        </w:rPr>
        <w:t>לַיהוָה אֱלֹהֶיךָ</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יְהוָה אֱלֹהֶיךָ</w:t>
      </w:r>
      <w:r>
        <w:t xml:space="preserve">), </w:t>
      </w:r>
      <w:r>
        <w:rPr>
          <w:rStyle w:val="Fett"/>
          <w:rFonts w:eastAsiaTheme="majorEastAsia"/>
          <w:rtl/>
        </w:rPr>
        <w:t>מִסַּת נִדְבַת יָדְךָ</w:t>
      </w:r>
      <w:r>
        <w:rPr>
          <w:rtl/>
        </w:rPr>
        <w:t xml:space="preserve"> </w:t>
      </w:r>
      <w:r>
        <w:t>(</w:t>
      </w:r>
      <w:r>
        <w:rPr>
          <w:rStyle w:val="Fett"/>
          <w:rFonts w:eastAsiaTheme="majorEastAsia"/>
          <w:rtl/>
        </w:rPr>
        <w:t>מִסָּה</w:t>
      </w:r>
      <w:r>
        <w:t xml:space="preserve">, „Maß, Anteil", Construct mit </w:t>
      </w:r>
      <w:r>
        <w:rPr>
          <w:rStyle w:val="Fett"/>
          <w:rFonts w:eastAsiaTheme="majorEastAsia"/>
          <w:rtl/>
        </w:rPr>
        <w:t>נְדָבָה</w:t>
      </w:r>
      <w:r>
        <w:t xml:space="preserve">, „freiwillige Gabe", Construct mit </w:t>
      </w:r>
      <w:r>
        <w:rPr>
          <w:rStyle w:val="Fett"/>
          <w:rFonts w:eastAsiaTheme="majorEastAsia"/>
          <w:rtl/>
        </w:rPr>
        <w:t>יָד</w:t>
      </w:r>
      <w:r>
        <w:t xml:space="preserve">, mit Suffix 2. Person Maskulinum Singular, „nach dem Maß der freiwilligen Gabe deiner Hand"), </w:t>
      </w:r>
      <w:r>
        <w:rPr>
          <w:rStyle w:val="Fett"/>
          <w:rFonts w:eastAsiaTheme="majorEastAsia"/>
          <w:rtl/>
        </w:rPr>
        <w:t>אֲשֶׁר תִּתֵּן</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נתן</w:t>
      </w:r>
      <w:r>
        <w:t xml:space="preserve">, Qal Imperfekt, 2. Person Maskulinum Singular, „geben", „die du geben wirst"), </w:t>
      </w:r>
      <w:r>
        <w:rPr>
          <w:rStyle w:val="Fett"/>
          <w:rFonts w:eastAsiaTheme="majorEastAsia"/>
          <w:rtl/>
        </w:rPr>
        <w:t>כַּאֲשֶׁר יְבָרֶכְךָ יְהוָה אֱלֹהֶיךָ</w:t>
      </w:r>
      <w:r>
        <w:rPr>
          <w:rtl/>
        </w:rPr>
        <w:t xml:space="preserve"> </w:t>
      </w:r>
      <w:r>
        <w:t xml:space="preserve">(Vergleichssatz: </w:t>
      </w:r>
      <w:r>
        <w:rPr>
          <w:rStyle w:val="Fett"/>
          <w:rFonts w:eastAsiaTheme="majorEastAsia"/>
          <w:rtl/>
        </w:rPr>
        <w:t>כַּאֲשֶׁר</w:t>
      </w:r>
      <w:r>
        <w:rPr>
          <w:rtl/>
        </w:rPr>
        <w:t xml:space="preserve"> </w:t>
      </w:r>
      <w:r>
        <w:t xml:space="preserve">mit </w:t>
      </w:r>
      <w:r>
        <w:rPr>
          <w:rStyle w:val="Fett"/>
          <w:rFonts w:eastAsiaTheme="majorEastAsia"/>
          <w:rtl/>
        </w:rPr>
        <w:t>ברך</w:t>
      </w:r>
      <w:r>
        <w:t xml:space="preserve">, Piel Imperfekt, 3. Person Maskulinum Singular, mit Suffix 2. Person Maskulinum Singular, </w:t>
      </w:r>
      <w:r>
        <w:rPr>
          <w:rStyle w:val="Fett"/>
          <w:rFonts w:eastAsiaTheme="majorEastAsia"/>
          <w:rtl/>
        </w:rPr>
        <w:t>יְהוָה אֱלֹהֶיךָ</w:t>
      </w:r>
      <w:r>
        <w:rPr>
          <w:rtl/>
        </w:rPr>
        <w:t xml:space="preserve"> </w:t>
      </w:r>
      <w:r>
        <w:t>als Subjekt, „sowie JHWH, dein Gott, dich segnen wird").</w:t>
      </w:r>
    </w:p>
    <w:p w14:paraId="2246F7BA" w14:textId="39542B00" w:rsidR="00C90AB0" w:rsidRDefault="00C90AB0" w:rsidP="00C90AB0">
      <w:pPr>
        <w:pStyle w:val="whitespace-normal"/>
      </w:pPr>
      <w:r>
        <w:t xml:space="preserve">Der Begriff </w:t>
      </w:r>
      <w:r>
        <w:rPr>
          <w:rStyle w:val="Fett"/>
          <w:rFonts w:eastAsiaTheme="majorEastAsia"/>
          <w:rtl/>
        </w:rPr>
        <w:t>מִסַּת נִדְבַת יָדְךָ</w:t>
      </w:r>
      <w:r>
        <w:rPr>
          <w:rtl/>
        </w:rPr>
        <w:t xml:space="preserve"> </w:t>
      </w:r>
      <w:r>
        <w:t xml:space="preserve">(„nach dem Maß der freiwilligen Gabe deiner Hand") betont: keine festgelegte Menge, sondern großzügige Freiwilligkeit. Die Gabe richtet sich </w:t>
      </w:r>
      <w:r>
        <w:rPr>
          <w:rStyle w:val="Fett"/>
          <w:rFonts w:eastAsiaTheme="majorEastAsia"/>
          <w:rtl/>
        </w:rPr>
        <w:t>כַּאֲשֶׁר יְבָרֶכְךָ יְהוָה</w:t>
      </w:r>
      <w:r>
        <w:rPr>
          <w:rtl/>
        </w:rPr>
        <w:t xml:space="preserve"> </w:t>
      </w:r>
      <w:r>
        <w:t>(„</w:t>
      </w:r>
      <w:proofErr w:type="spellStart"/>
      <w:r w:rsidR="003D657E">
        <w:t>so wie</w:t>
      </w:r>
      <w:proofErr w:type="spellEnd"/>
      <w:r>
        <w:t xml:space="preserve"> JHWH dich segnen wird") nach dem empfangenen Segen – wer mehr gesegnet wurde, gibt mehr (vgl. V. 17).</w:t>
      </w:r>
    </w:p>
    <w:p w14:paraId="7722B205" w14:textId="356B4874" w:rsidR="0082305E" w:rsidRDefault="0082305E" w:rsidP="00C90AB0">
      <w:pPr>
        <w:pStyle w:val="whitespace-normal"/>
      </w:pPr>
      <w:r>
        <w:rPr>
          <w:rStyle w:val="Fett"/>
        </w:rPr>
        <w:t>Die LXX</w:t>
      </w:r>
      <w:r>
        <w:t xml:space="preserve"> übersetzt </w:t>
      </w:r>
      <w:r w:rsidRPr="0082305E">
        <w:rPr>
          <w:b/>
          <w:bCs/>
          <w:rtl/>
        </w:rPr>
        <w:t>מִסַּת נִדְבַת יָדְךָ</w:t>
      </w:r>
      <w:r>
        <w:t xml:space="preserve"> (nach dem Maß der freiwilligen Gabe deiner Hand) mit κα</w:t>
      </w:r>
      <w:proofErr w:type="spellStart"/>
      <w:r>
        <w:t>θότι</w:t>
      </w:r>
      <w:proofErr w:type="spellEnd"/>
      <w:r>
        <w:t xml:space="preserve"> </w:t>
      </w:r>
      <w:proofErr w:type="spellStart"/>
      <w:r>
        <w:t>ἰσχύει</w:t>
      </w:r>
      <w:proofErr w:type="spellEnd"/>
      <w:r>
        <w:t xml:space="preserve"> ἡ </w:t>
      </w:r>
      <w:proofErr w:type="spellStart"/>
      <w:r>
        <w:t>χείρ</w:t>
      </w:r>
      <w:proofErr w:type="spellEnd"/>
      <w:r>
        <w:t xml:space="preserve"> </w:t>
      </w:r>
      <w:proofErr w:type="spellStart"/>
      <w:r>
        <w:t>σου</w:t>
      </w:r>
      <w:proofErr w:type="spellEnd"/>
      <w:r>
        <w:t xml:space="preserve"> (gemäß dem, was deine Hand vermag) – eine Verschiebung von "freiwilliger Gabe" zu "Vermögen/Fähigkeit".</w:t>
      </w:r>
    </w:p>
    <w:p w14:paraId="179A68E0" w14:textId="77777777" w:rsidR="00C90AB0" w:rsidRDefault="00C90AB0" w:rsidP="00C90AB0">
      <w:pPr>
        <w:pStyle w:val="whitespace-normal"/>
      </w:pPr>
      <w:r>
        <w:rPr>
          <w:rStyle w:val="Fett"/>
          <w:rFonts w:eastAsiaTheme="majorEastAsia"/>
        </w:rPr>
        <w:t>Die Satzstruktur:</w:t>
      </w:r>
      <w:r>
        <w:t xml:space="preserve"> Imperativsatz mit Maßangabe und Vergleichssatz (feiern sollst du das Fest der Wochen für JHWH, deinen Gott, nach dem Maß der freiwilligen Gabe deiner Hand, die du geben wirst, so wie segnen wird dich JHWH, dein Gott).</w:t>
      </w:r>
    </w:p>
    <w:p w14:paraId="19B605BC" w14:textId="77777777" w:rsidR="00C90AB0" w:rsidRDefault="00C90AB0" w:rsidP="00C90AB0">
      <w:pPr>
        <w:pStyle w:val="whitespace-normal"/>
      </w:pPr>
      <w:r>
        <w:t>Der Vers fordert: Feiere das Wochenfest für JHWH mit freiwilliger Gabe, deren Maß sich nach JHWHs Segen an dir richtet.</w:t>
      </w:r>
    </w:p>
    <w:p w14:paraId="7706C526"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lastRenderedPageBreak/>
        <w:t>Deuteronomium 16,11</w:t>
      </w:r>
    </w:p>
    <w:p w14:paraId="59C64A6C" w14:textId="77777777" w:rsidR="00C90AB0" w:rsidRDefault="00C90AB0" w:rsidP="00C90AB0">
      <w:pPr>
        <w:pStyle w:val="whitespace-normal"/>
      </w:pPr>
      <w:r>
        <w:rPr>
          <w:rStyle w:val="Fett"/>
          <w:rFonts w:eastAsiaTheme="majorEastAsia"/>
        </w:rPr>
        <w:t>Hebräisch:</w:t>
      </w:r>
      <w:r>
        <w:t xml:space="preserve"> </w:t>
      </w:r>
      <w:r>
        <w:rPr>
          <w:rtl/>
        </w:rPr>
        <w:t>וְשָׂמַחְתָּ֞ לִפְנֵ֣י׀ יְהוָ֣ה אֱלֹהֶ֗יךָ אַתָּ֨ה וּבִנְךָ֣ וּבִתֶּךָ֮ וְעַבְדְּךָ֣ וַאֲמָתֶךָ֒ וְהַלֵּוִי֙ אֲשֶׁ֣ר בִּשְׁעָרֶ֔יךָ וְהַגֵּ֛ר וְהַיָּת֥וֹם וְהָאַלְמָנָ֖ה אֲשֶׁ֣ר בְּקִרְבֶּ֑ךָ בַּמָּק֗וֹם אֲשֶׁ֤ר יִבְחַר֙ יְהוָ֣ה אֱלֹהֶ֔יךָ לְשַׁכֵּ֥ן שְׁמֹ֖ו שָֽׁם׃</w:t>
      </w:r>
    </w:p>
    <w:p w14:paraId="272208BF" w14:textId="77777777" w:rsidR="00C90AB0" w:rsidRDefault="00C90AB0" w:rsidP="00C90AB0">
      <w:pPr>
        <w:pStyle w:val="whitespace-normal"/>
      </w:pPr>
      <w:r>
        <w:rPr>
          <w:rStyle w:val="Fett"/>
          <w:rFonts w:eastAsiaTheme="majorEastAsia"/>
        </w:rPr>
        <w:t>Deutsch:</w:t>
      </w:r>
      <w:r>
        <w:t xml:space="preserve"> Und du sollst dich freuen vor dem Ewigen, deinem Gott, du und dein Sohn und deine Tochter und dein Knecht und deine Magd und der Levi, der in deinen Toren ist, und der Fremde und die Waise und die Witwe, die in deiner Mitte sind, an dem Ort, den der Ewige, dein Gott, erwählen wird, um seinen Namen dort wohnen zu lassen.</w:t>
      </w:r>
    </w:p>
    <w:p w14:paraId="5FB6565C" w14:textId="77777777" w:rsidR="00C90AB0" w:rsidRDefault="004F5CEB" w:rsidP="00C90AB0">
      <w:r>
        <w:rPr>
          <w:noProof/>
        </w:rPr>
        <w:pict w14:anchorId="442E8557">
          <v:rect id="_x0000_i1478" style="width:0;height:1.5pt" o:hralign="center" o:hrstd="t" o:hr="t" fillcolor="#a0a0a0" stroked="f"/>
        </w:pict>
      </w:r>
    </w:p>
    <w:p w14:paraId="711BF27E"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וְשָׂמַחְתָּ לִפְנֵי יְהוָה אֱלֹהֶיךָ</w:t>
      </w:r>
      <w:r>
        <w:rPr>
          <w:rtl/>
        </w:rPr>
        <w:t xml:space="preserve"> </w:t>
      </w:r>
      <w:r>
        <w:t xml:space="preserve">ist der Hauptimperativ: </w:t>
      </w:r>
      <w:r>
        <w:rPr>
          <w:rStyle w:val="Fett"/>
          <w:rFonts w:eastAsiaTheme="majorEastAsia"/>
          <w:rtl/>
        </w:rPr>
        <w:t>וְשָׂמַחְתָּ</w:t>
      </w:r>
      <w:r>
        <w:rPr>
          <w:rtl/>
        </w:rPr>
        <w:t xml:space="preserve"> </w:t>
      </w:r>
      <w:r>
        <w:t xml:space="preserve">(Qal Perfekt, 2. Person Maskulinum Singular von </w:t>
      </w:r>
      <w:r>
        <w:rPr>
          <w:rStyle w:val="Fett"/>
          <w:rFonts w:eastAsiaTheme="majorEastAsia"/>
          <w:rtl/>
        </w:rPr>
        <w:t>שׂמח</w:t>
      </w:r>
      <w:r>
        <w:t xml:space="preserve">, „sich freuen", imperativisch), </w:t>
      </w:r>
      <w:r>
        <w:rPr>
          <w:rStyle w:val="Fett"/>
          <w:rFonts w:eastAsiaTheme="majorEastAsia"/>
          <w:rtl/>
        </w:rPr>
        <w:t>לִפְנֵי יְהוָה אֱלֹהֶיךָ</w:t>
      </w:r>
      <w:r>
        <w:rPr>
          <w:rtl/>
        </w:rPr>
        <w:t xml:space="preserve"> </w:t>
      </w:r>
      <w:r>
        <w:t xml:space="preserve">(Präposition </w:t>
      </w:r>
      <w:r>
        <w:rPr>
          <w:rStyle w:val="Fett"/>
          <w:rFonts w:eastAsiaTheme="majorEastAsia"/>
          <w:rtl/>
        </w:rPr>
        <w:t>לִפְנֵי</w:t>
      </w:r>
      <w:r>
        <w:t xml:space="preserve">, „vor", mit </w:t>
      </w:r>
      <w:r>
        <w:rPr>
          <w:rStyle w:val="Fett"/>
          <w:rFonts w:eastAsiaTheme="majorEastAsia"/>
          <w:rtl/>
        </w:rPr>
        <w:t>יְהוָה אֱלֹהֶיךָ</w:t>
      </w:r>
      <w:r>
        <w:t>).</w:t>
      </w:r>
    </w:p>
    <w:p w14:paraId="5832BB44" w14:textId="77777777" w:rsidR="00C90AB0" w:rsidRDefault="00C90AB0" w:rsidP="00C90AB0">
      <w:pPr>
        <w:pStyle w:val="whitespace-normal"/>
      </w:pPr>
      <w:r>
        <w:rPr>
          <w:rStyle w:val="Fett"/>
          <w:rFonts w:eastAsiaTheme="majorEastAsia"/>
          <w:rtl/>
        </w:rPr>
        <w:t>אַתָּה וּבִנְךָ וּבִתֶּךָ וְעַבְדְּךָ וַאֲמָתֶךָ וְהַלֵּוִי אֲשֶׁר בִּשְׁעָרֶיךָ וְהַגֵּר וְהַיָּתוֹם וְהָאַלְמָנָה אֲשֶׁר בְּקִרְבֶּךָ</w:t>
      </w:r>
      <w:r>
        <w:rPr>
          <w:rtl/>
        </w:rPr>
        <w:t xml:space="preserve"> </w:t>
      </w:r>
      <w:r>
        <w:t xml:space="preserve">ist die ausführliche Subjektsliste: </w:t>
      </w:r>
      <w:r>
        <w:rPr>
          <w:rStyle w:val="Fett"/>
          <w:rFonts w:eastAsiaTheme="majorEastAsia"/>
          <w:rtl/>
        </w:rPr>
        <w:t>אַתָּה</w:t>
      </w:r>
      <w:r>
        <w:rPr>
          <w:rtl/>
        </w:rPr>
        <w:t xml:space="preserve"> </w:t>
      </w:r>
      <w:r>
        <w:t xml:space="preserve">(Personalpronomen 2. Person Maskulinum Singular, betont, „du"), koordiniert durch </w:t>
      </w:r>
      <w:r>
        <w:rPr>
          <w:rStyle w:val="Fett"/>
          <w:rFonts w:eastAsiaTheme="majorEastAsia"/>
          <w:rtl/>
        </w:rPr>
        <w:t>וּ</w:t>
      </w:r>
      <w:r>
        <w:rPr>
          <w:rtl/>
        </w:rPr>
        <w:t xml:space="preserve"> </w:t>
      </w:r>
      <w:r>
        <w:t xml:space="preserve">mit </w:t>
      </w:r>
      <w:r>
        <w:rPr>
          <w:rStyle w:val="Fett"/>
          <w:rFonts w:eastAsiaTheme="majorEastAsia"/>
          <w:rtl/>
        </w:rPr>
        <w:t>בֵּן</w:t>
      </w:r>
      <w:r>
        <w:rPr>
          <w:rtl/>
        </w:rPr>
        <w:t xml:space="preserve"> </w:t>
      </w:r>
      <w:r>
        <w:t xml:space="preserve">(„Sohn"), </w:t>
      </w:r>
      <w:r>
        <w:rPr>
          <w:rStyle w:val="Fett"/>
          <w:rFonts w:eastAsiaTheme="majorEastAsia"/>
          <w:rtl/>
        </w:rPr>
        <w:t>בַּת</w:t>
      </w:r>
      <w:r>
        <w:rPr>
          <w:rtl/>
        </w:rPr>
        <w:t xml:space="preserve"> </w:t>
      </w:r>
      <w:r>
        <w:t xml:space="preserve">(„Tochter"), </w:t>
      </w:r>
      <w:r>
        <w:rPr>
          <w:rStyle w:val="Fett"/>
          <w:rFonts w:eastAsiaTheme="majorEastAsia"/>
          <w:rtl/>
        </w:rPr>
        <w:t>עֶבֶד</w:t>
      </w:r>
      <w:r>
        <w:rPr>
          <w:rtl/>
        </w:rPr>
        <w:t xml:space="preserve"> </w:t>
      </w:r>
      <w:r>
        <w:t xml:space="preserve">(„Knecht"), </w:t>
      </w:r>
      <w:r>
        <w:rPr>
          <w:rStyle w:val="Fett"/>
          <w:rFonts w:eastAsiaTheme="majorEastAsia"/>
          <w:rtl/>
        </w:rPr>
        <w:t>אָמָה</w:t>
      </w:r>
      <w:r>
        <w:rPr>
          <w:rtl/>
        </w:rPr>
        <w:t xml:space="preserve"> </w:t>
      </w:r>
      <w:r>
        <w:t xml:space="preserve">(„Magd"), alle mit Suffix 2. Person Maskulinum Singular; </w:t>
      </w:r>
      <w:r>
        <w:rPr>
          <w:rStyle w:val="Fett"/>
          <w:rFonts w:eastAsiaTheme="majorEastAsia"/>
          <w:rtl/>
        </w:rPr>
        <w:t>וְהַלֵּוִי אֲשֶׁר בִּשְׁעָרֶיךָ</w:t>
      </w:r>
      <w:r>
        <w:rPr>
          <w:rtl/>
        </w:rPr>
        <w:t xml:space="preserve"> </w:t>
      </w:r>
      <w:r>
        <w:t>(</w:t>
      </w:r>
      <w:r>
        <w:rPr>
          <w:rStyle w:val="Fett"/>
          <w:rFonts w:eastAsiaTheme="majorEastAsia"/>
          <w:rtl/>
        </w:rPr>
        <w:t>לֵוִי</w:t>
      </w:r>
      <w:r>
        <w:rPr>
          <w:rtl/>
        </w:rPr>
        <w:t xml:space="preserve"> </w:t>
      </w:r>
      <w:r>
        <w:t xml:space="preserve">mit Artikel, Relativsatz: </w:t>
      </w:r>
      <w:r>
        <w:rPr>
          <w:rStyle w:val="Fett"/>
          <w:rFonts w:eastAsiaTheme="majorEastAsia"/>
          <w:rtl/>
        </w:rPr>
        <w:t>אֲשֶׁר בִּשְׁעָרֶיךָ</w:t>
      </w:r>
      <w:r>
        <w:t xml:space="preserve">, „der in deinen Toren ist"); </w:t>
      </w:r>
      <w:r>
        <w:rPr>
          <w:rStyle w:val="Fett"/>
          <w:rFonts w:eastAsiaTheme="majorEastAsia"/>
          <w:rtl/>
        </w:rPr>
        <w:t>וְהַגֵּר וְהַיָּתוֹם וְהָאַלְמָנָה אֲשֶׁר בְּקִרְבֶּךָ</w:t>
      </w:r>
      <w:r>
        <w:rPr>
          <w:rtl/>
        </w:rPr>
        <w:t xml:space="preserve"> </w:t>
      </w:r>
      <w:r>
        <w:t>(</w:t>
      </w:r>
      <w:r>
        <w:rPr>
          <w:rStyle w:val="Fett"/>
          <w:rFonts w:eastAsiaTheme="majorEastAsia"/>
          <w:rtl/>
        </w:rPr>
        <w:t>גֵּר</w:t>
      </w:r>
      <w:r>
        <w:t xml:space="preserve">, „Fremder", </w:t>
      </w:r>
      <w:r>
        <w:rPr>
          <w:rStyle w:val="Fett"/>
          <w:rFonts w:eastAsiaTheme="majorEastAsia"/>
          <w:rtl/>
        </w:rPr>
        <w:t>יָתוֹם</w:t>
      </w:r>
      <w:r>
        <w:t xml:space="preserve">, „Waise", </w:t>
      </w:r>
      <w:r>
        <w:rPr>
          <w:rStyle w:val="Fett"/>
          <w:rFonts w:eastAsiaTheme="majorEastAsia"/>
          <w:rtl/>
        </w:rPr>
        <w:t>אַלְמָנָה</w:t>
      </w:r>
      <w:r>
        <w:t xml:space="preserve">, „Witwe", alle mit Artikel, Relativsatz: </w:t>
      </w:r>
      <w:r>
        <w:rPr>
          <w:rStyle w:val="Fett"/>
          <w:rFonts w:eastAsiaTheme="majorEastAsia"/>
          <w:rtl/>
        </w:rPr>
        <w:t>אֲשֶׁר בְּקִרְבֶּךָ</w:t>
      </w:r>
      <w:r>
        <w:t>, „die in deiner Mitte sind").</w:t>
      </w:r>
    </w:p>
    <w:p w14:paraId="2D470455" w14:textId="77777777" w:rsidR="00C90AB0" w:rsidRDefault="00C90AB0" w:rsidP="00C90AB0">
      <w:pPr>
        <w:pStyle w:val="whitespace-normal"/>
      </w:pPr>
      <w:r>
        <w:rPr>
          <w:rStyle w:val="Fett"/>
          <w:rFonts w:eastAsiaTheme="majorEastAsia"/>
          <w:rtl/>
        </w:rPr>
        <w:t>בַּמָּקוֹם אֲשֶׁר יִבְחַר יְהוָה אֱלֹהֶיךָ לְשַׁכֵּן שְׁמוֹ שָׁם</w:t>
      </w:r>
      <w:r>
        <w:rPr>
          <w:rtl/>
        </w:rPr>
        <w:t xml:space="preserve"> </w:t>
      </w:r>
      <w:r>
        <w:t xml:space="preserve">ist die lokale Bestimmung: </w:t>
      </w:r>
      <w:r>
        <w:rPr>
          <w:rStyle w:val="Fett"/>
          <w:rFonts w:eastAsiaTheme="majorEastAsia"/>
          <w:rtl/>
        </w:rPr>
        <w:t>בַּמָּקוֹם אֲשֶׁר יִבְחַר יְהוָה אֱלֹהֶיךָ לְשַׁכֵּן שְׁמוֹ שָׁם</w:t>
      </w:r>
      <w:r>
        <w:rPr>
          <w:rtl/>
        </w:rPr>
        <w:t xml:space="preserve"> </w:t>
      </w:r>
      <w:r>
        <w:t>(die charakteristische deuteronomische Formel für Kultzentralisation).</w:t>
      </w:r>
    </w:p>
    <w:p w14:paraId="187E088C" w14:textId="25F82D8A" w:rsidR="00C90AB0" w:rsidRDefault="00C90AB0" w:rsidP="00C90AB0">
      <w:pPr>
        <w:pStyle w:val="whitespace-normal"/>
      </w:pPr>
      <w:r>
        <w:t>Die neungliedrige Liste betont Inklusion: Familie (Sohn, Tochter), Hausgemeinschaft (Knecht, Magd), Leviten und sozial Schwache (Fremder, Waise, Witwe). Freude (</w:t>
      </w:r>
      <w:r>
        <w:rPr>
          <w:rStyle w:val="Fett"/>
          <w:rFonts w:eastAsiaTheme="majorEastAsia"/>
          <w:rtl/>
        </w:rPr>
        <w:t>שׂמח</w:t>
      </w:r>
      <w:r>
        <w:t>) ist zentrales Motiv des deuteronomischen Gottesdienstes (vgl. 12,7.12.18; 14,26; 16,11.14.15; 26,11; 27,7).</w:t>
      </w:r>
    </w:p>
    <w:p w14:paraId="3CF7D369" w14:textId="15AFEFD9" w:rsidR="0082305E" w:rsidRDefault="0082305E" w:rsidP="00C90AB0">
      <w:pPr>
        <w:pStyle w:val="whitespace-normal"/>
      </w:pPr>
      <w:r>
        <w:rPr>
          <w:rStyle w:val="Fett"/>
        </w:rPr>
        <w:t>Die LXX</w:t>
      </w:r>
      <w:r>
        <w:t xml:space="preserve"> übersetzt </w:t>
      </w:r>
      <w:r w:rsidRPr="0082305E">
        <w:rPr>
          <w:b/>
          <w:bCs/>
          <w:rtl/>
        </w:rPr>
        <w:t>בִּשְׁעָרֶיךָ</w:t>
      </w:r>
      <w:r>
        <w:t xml:space="preserve"> (in deinen Toren) mit </w:t>
      </w:r>
      <w:proofErr w:type="spellStart"/>
      <w:r>
        <w:t>ἐν</w:t>
      </w:r>
      <w:proofErr w:type="spellEnd"/>
      <w:r>
        <w:t xml:space="preserve"> τα</w:t>
      </w:r>
      <w:proofErr w:type="spellStart"/>
      <w:r>
        <w:t>ῖς</w:t>
      </w:r>
      <w:proofErr w:type="spellEnd"/>
      <w:r>
        <w:t xml:space="preserve"> π</w:t>
      </w:r>
      <w:proofErr w:type="spellStart"/>
      <w:r>
        <w:t>όλεσίν</w:t>
      </w:r>
      <w:proofErr w:type="spellEnd"/>
      <w:r>
        <w:t xml:space="preserve"> </w:t>
      </w:r>
      <w:proofErr w:type="spellStart"/>
      <w:r>
        <w:t>σου</w:t>
      </w:r>
      <w:proofErr w:type="spellEnd"/>
      <w:r>
        <w:t xml:space="preserve"> (in deinen Städten) und </w:t>
      </w:r>
      <w:r w:rsidRPr="0082305E">
        <w:rPr>
          <w:b/>
          <w:bCs/>
          <w:rtl/>
        </w:rPr>
        <w:t>בְּקִרְבֶּךָ</w:t>
      </w:r>
      <w:r>
        <w:t xml:space="preserve"> (in deiner Mitte) mit </w:t>
      </w:r>
      <w:proofErr w:type="spellStart"/>
      <w:r>
        <w:t>ἐν</w:t>
      </w:r>
      <w:proofErr w:type="spellEnd"/>
      <w:r>
        <w:t xml:space="preserve"> </w:t>
      </w:r>
      <w:proofErr w:type="spellStart"/>
      <w:r>
        <w:t>ὑμῖν</w:t>
      </w:r>
      <w:proofErr w:type="spellEnd"/>
      <w:r>
        <w:t xml:space="preserve"> (unter euch, Plural) – kleine Abweichungen in der Lokalisierung.</w:t>
      </w:r>
    </w:p>
    <w:p w14:paraId="361AAA44" w14:textId="77777777" w:rsidR="00C90AB0" w:rsidRDefault="00C90AB0" w:rsidP="00C90AB0">
      <w:pPr>
        <w:pStyle w:val="whitespace-normal"/>
      </w:pPr>
      <w:r>
        <w:rPr>
          <w:rStyle w:val="Fett"/>
          <w:rFonts w:eastAsiaTheme="majorEastAsia"/>
        </w:rPr>
        <w:t>Die Satzstruktur:</w:t>
      </w:r>
      <w:r>
        <w:t xml:space="preserve"> Imperativsatz mit neungliedriger Subjektsliste und lokaler Bestimmung (freuen sollst du dich vor JHWH, deinem Gott, du und dein Sohn und deine Tochter und dein Knecht und deine Magd und der Levi, der in deinen Toren ist, und der Fremde und die Waise und die Witwe, die in deiner Mitte sind, an dem Ort, den erwählen wird JHWH, dein Gott, um wohnen zu lassen seinen Namen dort).</w:t>
      </w:r>
    </w:p>
    <w:p w14:paraId="3802D084" w14:textId="77777777" w:rsidR="00C90AB0" w:rsidRDefault="00C90AB0" w:rsidP="00C90AB0">
      <w:pPr>
        <w:pStyle w:val="whitespace-normal"/>
      </w:pPr>
      <w:r>
        <w:t>Der Vers betont: Die ganze Gemeinschaft – Familie, Hausstand, Leviten und sozial Schwache – soll gemeinsam vor JHWH am Heiligtum feiern.</w:t>
      </w:r>
    </w:p>
    <w:p w14:paraId="5F061B50"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16,12</w:t>
      </w:r>
    </w:p>
    <w:p w14:paraId="0852B138" w14:textId="77777777" w:rsidR="00C90AB0" w:rsidRDefault="00C90AB0" w:rsidP="00C90AB0">
      <w:pPr>
        <w:pStyle w:val="whitespace-normal"/>
      </w:pPr>
      <w:r>
        <w:rPr>
          <w:rStyle w:val="Fett"/>
          <w:rFonts w:eastAsiaTheme="majorEastAsia"/>
        </w:rPr>
        <w:t>Hebräisch:</w:t>
      </w:r>
      <w:r>
        <w:t xml:space="preserve"> </w:t>
      </w:r>
      <w:r>
        <w:rPr>
          <w:rtl/>
        </w:rPr>
        <w:t>וְזָ֣כַרְתָּ֔ כִּי־עֶ֥בֶד הָיִ֖יתָ בְּמִצְרָ֑יִם וְשָׁמַרְתָּ֣ וְעָשִׂ֔יתָ אֶת־הַֽחֻקִּ֖ים הָאֵֽלֶּה׃</w:t>
      </w:r>
    </w:p>
    <w:p w14:paraId="67656D0F" w14:textId="77777777" w:rsidR="00C90AB0" w:rsidRDefault="00C90AB0" w:rsidP="00C90AB0">
      <w:pPr>
        <w:pStyle w:val="whitespace-normal"/>
      </w:pPr>
      <w:r>
        <w:rPr>
          <w:rStyle w:val="Fett"/>
          <w:rFonts w:eastAsiaTheme="majorEastAsia"/>
        </w:rPr>
        <w:lastRenderedPageBreak/>
        <w:t>Deutsch:</w:t>
      </w:r>
      <w:r>
        <w:t xml:space="preserve"> Und du sollst daran denken, dass du ein Sklave in Mizrajim warst, und sollst diese Satzungen beachten und tun.</w:t>
      </w:r>
    </w:p>
    <w:p w14:paraId="3915CFBC" w14:textId="77777777" w:rsidR="00C90AB0" w:rsidRDefault="004F5CEB" w:rsidP="00C90AB0">
      <w:r>
        <w:rPr>
          <w:noProof/>
        </w:rPr>
        <w:pict w14:anchorId="47BE4681">
          <v:rect id="_x0000_i1479" style="width:0;height:1.5pt" o:hralign="center" o:hrstd="t" o:hr="t" fillcolor="#a0a0a0" stroked="f"/>
        </w:pict>
      </w:r>
    </w:p>
    <w:p w14:paraId="14CF3FBC"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וְזָכַרְתָּ כִּי־עֶבֶד הָיִיתָ בְּמִצְרָיִם וְשָׁמַרְתָּ וְעָשִׂיתָ אֶת־הַחֻקִּים הָאֵלֶּה</w:t>
      </w:r>
      <w:r>
        <w:rPr>
          <w:rtl/>
        </w:rPr>
        <w:t xml:space="preserve"> </w:t>
      </w:r>
      <w:r>
        <w:t xml:space="preserve">sind drei koordinierte Imperative: </w:t>
      </w:r>
      <w:r>
        <w:rPr>
          <w:rStyle w:val="Fett"/>
          <w:rFonts w:eastAsiaTheme="majorEastAsia"/>
          <w:rtl/>
        </w:rPr>
        <w:t>וְזָכַרְתָּ</w:t>
      </w:r>
      <w:r>
        <w:rPr>
          <w:rtl/>
        </w:rPr>
        <w:t xml:space="preserve"> </w:t>
      </w:r>
      <w:r>
        <w:t xml:space="preserve">(Qal Perfekt, 2. Person Maskulinum Singular von </w:t>
      </w:r>
      <w:r>
        <w:rPr>
          <w:rStyle w:val="Fett"/>
          <w:rFonts w:eastAsiaTheme="majorEastAsia"/>
          <w:rtl/>
        </w:rPr>
        <w:t>זכר</w:t>
      </w:r>
      <w:r>
        <w:t xml:space="preserve">, „gedenken", imperativisch), </w:t>
      </w:r>
      <w:r>
        <w:rPr>
          <w:rStyle w:val="Fett"/>
          <w:rFonts w:eastAsiaTheme="majorEastAsia"/>
          <w:rtl/>
        </w:rPr>
        <w:t>כִּי־עֶבֶד הָיִיתָ בְּמִצְרָיִם</w:t>
      </w:r>
      <w:r>
        <w:rPr>
          <w:rtl/>
        </w:rPr>
        <w:t xml:space="preserve"> </w:t>
      </w:r>
      <w:r>
        <w:t xml:space="preserve">(Objektsatz: </w:t>
      </w:r>
      <w:r>
        <w:rPr>
          <w:rStyle w:val="Fett"/>
          <w:rFonts w:eastAsiaTheme="majorEastAsia"/>
          <w:rtl/>
        </w:rPr>
        <w:t>כִּי</w:t>
      </w:r>
      <w:r>
        <w:rPr>
          <w:rtl/>
        </w:rPr>
        <w:t xml:space="preserve"> </w:t>
      </w:r>
      <w:r>
        <w:t xml:space="preserve">mit </w:t>
      </w:r>
      <w:r>
        <w:rPr>
          <w:rStyle w:val="Fett"/>
          <w:rFonts w:eastAsiaTheme="majorEastAsia"/>
          <w:rtl/>
        </w:rPr>
        <w:t>עֶבֶד</w:t>
      </w:r>
      <w:r>
        <w:t xml:space="preserve">, „Sklave", </w:t>
      </w:r>
      <w:r>
        <w:rPr>
          <w:rStyle w:val="Fett"/>
          <w:rFonts w:eastAsiaTheme="majorEastAsia"/>
          <w:rtl/>
        </w:rPr>
        <w:t>היה</w:t>
      </w:r>
      <w:r>
        <w:t xml:space="preserve">, Qal Perfekt, 2. Person Maskulinum Singular, </w:t>
      </w:r>
      <w:r>
        <w:rPr>
          <w:rStyle w:val="Fett"/>
          <w:rFonts w:eastAsiaTheme="majorEastAsia"/>
          <w:rtl/>
        </w:rPr>
        <w:t>בְּמִצְרָיִם</w:t>
      </w:r>
      <w:r>
        <w:t xml:space="preserve">, „in Ägypten"), </w:t>
      </w:r>
      <w:r>
        <w:rPr>
          <w:rStyle w:val="Fett"/>
          <w:rFonts w:eastAsiaTheme="majorEastAsia"/>
          <w:rtl/>
        </w:rPr>
        <w:t>וְשָׁמַרְתָּ וְעָשִׂיתָ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שׁמר</w:t>
      </w:r>
      <w:r>
        <w:t xml:space="preserve">, Qal Perfekt, 2. Person Maskulinum Singular, „beachten", und </w:t>
      </w:r>
      <w:r>
        <w:rPr>
          <w:rStyle w:val="Fett"/>
          <w:rFonts w:eastAsiaTheme="majorEastAsia"/>
          <w:rtl/>
        </w:rPr>
        <w:t>עשׂה</w:t>
      </w:r>
      <w:r>
        <w:t xml:space="preserve">, „tun", beide imperativisch), </w:t>
      </w:r>
      <w:r>
        <w:rPr>
          <w:rStyle w:val="Fett"/>
          <w:rFonts w:eastAsiaTheme="majorEastAsia"/>
          <w:rtl/>
        </w:rPr>
        <w:t>אֶת־הַחֻקִּים הָאֵלֶּה</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חֹק</w:t>
      </w:r>
      <w:r>
        <w:t xml:space="preserve">, „Satzung, Ordnung", Plural mit Artikel, mit Demonstrativpronomen </w:t>
      </w:r>
      <w:r>
        <w:rPr>
          <w:rStyle w:val="Fett"/>
          <w:rFonts w:eastAsiaTheme="majorEastAsia"/>
          <w:rtl/>
        </w:rPr>
        <w:t>אֵלֶּה</w:t>
      </w:r>
      <w:r>
        <w:t>, „diese").</w:t>
      </w:r>
    </w:p>
    <w:p w14:paraId="6DCCBA01" w14:textId="47E000EA" w:rsidR="00C90AB0" w:rsidRDefault="00C90AB0" w:rsidP="00C90AB0">
      <w:pPr>
        <w:pStyle w:val="whitespace-normal"/>
      </w:pPr>
      <w:r>
        <w:t xml:space="preserve">Die Exodus-Erinnerung begründet die soziale Inklusion: Weil Israel selbst in Sklaverei war, soll es nun Sklaven, Fremde und Arme einbeziehen (vgl. 5,15; 15,15; 16,12; 24,18.22). Die doppelte Formulierung </w:t>
      </w:r>
      <w:r>
        <w:rPr>
          <w:rStyle w:val="Fett"/>
          <w:rFonts w:eastAsiaTheme="majorEastAsia"/>
          <w:rtl/>
        </w:rPr>
        <w:t>וְשָׁמַרְתָּ וְעָשִׂיתָ</w:t>
      </w:r>
      <w:r>
        <w:rPr>
          <w:rtl/>
        </w:rPr>
        <w:t xml:space="preserve"> </w:t>
      </w:r>
      <w:r>
        <w:t>(„beachten und tun") ist charakteristisch deuteronomisch (vgl. 5,1.32; 6,3.25; 7,11.12; 8,1; 11,22.32; 12,1; 15,5; 16,12; 17,19; 26,16; 28,1.13.15; 31,12).</w:t>
      </w:r>
    </w:p>
    <w:p w14:paraId="778FF123" w14:textId="5FEF1573" w:rsidR="0082305E" w:rsidRDefault="0082305E" w:rsidP="00C90AB0">
      <w:pPr>
        <w:pStyle w:val="whitespace-normal"/>
      </w:pPr>
      <w:r>
        <w:rPr>
          <w:rStyle w:val="Fett"/>
        </w:rPr>
        <w:t>Die LXX</w:t>
      </w:r>
      <w:r>
        <w:t xml:space="preserve"> übersetzt </w:t>
      </w:r>
      <w:r w:rsidRPr="0082305E">
        <w:rPr>
          <w:b/>
          <w:bCs/>
          <w:rtl/>
        </w:rPr>
        <w:t>חֻקִּים</w:t>
      </w:r>
      <w:r>
        <w:t xml:space="preserve"> (Satzungen) mit </w:t>
      </w:r>
      <w:proofErr w:type="spellStart"/>
      <w:r>
        <w:t>ἐντολάς</w:t>
      </w:r>
      <w:proofErr w:type="spellEnd"/>
      <w:r>
        <w:t xml:space="preserve"> (Gebote) – ein allgemeinerer Begriff.</w:t>
      </w:r>
    </w:p>
    <w:p w14:paraId="6208A6BB" w14:textId="77777777" w:rsidR="00C90AB0" w:rsidRDefault="00C90AB0" w:rsidP="00C90AB0">
      <w:pPr>
        <w:pStyle w:val="whitespace-normal"/>
      </w:pPr>
      <w:r>
        <w:rPr>
          <w:rStyle w:val="Fett"/>
          <w:rFonts w:eastAsiaTheme="majorEastAsia"/>
        </w:rPr>
        <w:t>Die Satzstruktur:</w:t>
      </w:r>
      <w:r>
        <w:t xml:space="preserve"> Drei koordinierte Imperative (denken sollst du dass Sklave warst du in Ägypten; und beachten und tun sollst du diese Satzungen).</w:t>
      </w:r>
    </w:p>
    <w:p w14:paraId="00F14335" w14:textId="77777777" w:rsidR="00C90AB0" w:rsidRDefault="00C90AB0" w:rsidP="00C90AB0">
      <w:pPr>
        <w:pStyle w:val="whitespace-normal"/>
      </w:pPr>
      <w:r>
        <w:t>Der Vers begründet: Denke daran, dass du Sklave in Ägypten warst – darum beachte und tue diese Gebote der Inklusion und Freude.</w:t>
      </w:r>
    </w:p>
    <w:p w14:paraId="42ABF19D"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16,13</w:t>
      </w:r>
    </w:p>
    <w:p w14:paraId="5960F810" w14:textId="77777777" w:rsidR="00C90AB0" w:rsidRDefault="00C90AB0" w:rsidP="00C90AB0">
      <w:pPr>
        <w:pStyle w:val="whitespace-normal"/>
      </w:pPr>
      <w:r>
        <w:rPr>
          <w:rStyle w:val="Fett"/>
          <w:rFonts w:eastAsiaTheme="majorEastAsia"/>
        </w:rPr>
        <w:t>Hebräisch:</w:t>
      </w:r>
      <w:r>
        <w:t xml:space="preserve"> </w:t>
      </w:r>
      <w:r>
        <w:rPr>
          <w:rtl/>
        </w:rPr>
        <w:t>חַ֧ג הַסֻּכֹּ֛ת תַּעֲשֶׂ֥ה לְךָ֖ שִׁבְעַ֣ת יָמִ֑ים בְּאָ֨סְפְּךָ֔ מִֽגָּרְנְךָ֖ וּמִיִּקְבֶֽךָ׃</w:t>
      </w:r>
    </w:p>
    <w:p w14:paraId="781975EB" w14:textId="77777777" w:rsidR="00C90AB0" w:rsidRDefault="00C90AB0" w:rsidP="00C90AB0">
      <w:pPr>
        <w:pStyle w:val="whitespace-normal"/>
      </w:pPr>
      <w:r>
        <w:rPr>
          <w:rStyle w:val="Fett"/>
          <w:rFonts w:eastAsiaTheme="majorEastAsia"/>
        </w:rPr>
        <w:t>Deutsch:</w:t>
      </w:r>
      <w:r>
        <w:t xml:space="preserve"> Das Laubhüttenfest sollst du sieben Tage feiern, wenn du von deiner Tenne und von deiner Kelter einsammelst.</w:t>
      </w:r>
    </w:p>
    <w:p w14:paraId="03CDBF19" w14:textId="77777777" w:rsidR="00C90AB0" w:rsidRDefault="004F5CEB" w:rsidP="00C90AB0">
      <w:r>
        <w:rPr>
          <w:noProof/>
        </w:rPr>
        <w:pict w14:anchorId="69A38BEB">
          <v:rect id="_x0000_i1480" style="width:0;height:1.5pt" o:hralign="center" o:hrstd="t" o:hr="t" fillcolor="#a0a0a0" stroked="f"/>
        </w:pict>
      </w:r>
    </w:p>
    <w:p w14:paraId="0728C5FA"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חַג הַסֻּכֹּת תַּעֲשֶׂה לְךָ שִׁבְעַת יָמִים בְּאָסְפְּךָ מִגָּרְנְךָ וּמִיִּקְבֶךָ</w:t>
      </w:r>
      <w:r>
        <w:rPr>
          <w:rtl/>
        </w:rPr>
        <w:t xml:space="preserve"> </w:t>
      </w:r>
      <w:r>
        <w:t xml:space="preserve">ist ein Imperativsatz: </w:t>
      </w:r>
      <w:r>
        <w:rPr>
          <w:rStyle w:val="Fett"/>
          <w:rFonts w:eastAsiaTheme="majorEastAsia"/>
          <w:rtl/>
        </w:rPr>
        <w:t>חַג הַסֻּכֹּת</w:t>
      </w:r>
      <w:r>
        <w:rPr>
          <w:rtl/>
        </w:rPr>
        <w:t xml:space="preserve"> </w:t>
      </w:r>
      <w:r>
        <w:t>(</w:t>
      </w:r>
      <w:r>
        <w:rPr>
          <w:rStyle w:val="Fett"/>
          <w:rFonts w:eastAsiaTheme="majorEastAsia"/>
          <w:rtl/>
        </w:rPr>
        <w:t>חַג</w:t>
      </w:r>
      <w:r>
        <w:t xml:space="preserve">, „Fest", Construct mit </w:t>
      </w:r>
      <w:r>
        <w:rPr>
          <w:rStyle w:val="Fett"/>
          <w:rFonts w:eastAsiaTheme="majorEastAsia"/>
          <w:rtl/>
        </w:rPr>
        <w:t>סֻכָּה</w:t>
      </w:r>
      <w:r>
        <w:t xml:space="preserve">, „Laubhütte, Hütte", Plural mit Artikel, „Laubhüttenfest"), </w:t>
      </w:r>
      <w:r>
        <w:rPr>
          <w:rStyle w:val="Fett"/>
          <w:rFonts w:eastAsiaTheme="majorEastAsia"/>
          <w:rtl/>
        </w:rPr>
        <w:t>תַּעֲשֶׂה</w:t>
      </w:r>
      <w:r>
        <w:rPr>
          <w:rtl/>
        </w:rPr>
        <w:t xml:space="preserve"> </w:t>
      </w:r>
      <w:r>
        <w:t xml:space="preserve">(Qal Imperfekt, 2. Person Maskulinum Singular von </w:t>
      </w:r>
      <w:r>
        <w:rPr>
          <w:rStyle w:val="Fett"/>
          <w:rFonts w:eastAsiaTheme="majorEastAsia"/>
          <w:rtl/>
        </w:rPr>
        <w:t>עשׂה</w:t>
      </w:r>
      <w:r>
        <w:t xml:space="preserve">, „machen, feiern"), </w:t>
      </w:r>
      <w:r>
        <w:rPr>
          <w:rStyle w:val="Fett"/>
          <w:rFonts w:eastAsiaTheme="majorEastAsia"/>
          <w:rtl/>
        </w:rPr>
        <w:t>לְךָ</w:t>
      </w:r>
      <w:r>
        <w:rPr>
          <w:rtl/>
        </w:rPr>
        <w:t xml:space="preserve"> </w:t>
      </w:r>
      <w:r>
        <w:t xml:space="preserve">(Präposition </w:t>
      </w:r>
      <w:r>
        <w:rPr>
          <w:rStyle w:val="Fett"/>
          <w:rFonts w:eastAsiaTheme="majorEastAsia"/>
          <w:rtl/>
        </w:rPr>
        <w:t>לְ</w:t>
      </w:r>
      <w:r>
        <w:rPr>
          <w:rtl/>
        </w:rPr>
        <w:t xml:space="preserve"> </w:t>
      </w:r>
      <w:r>
        <w:t xml:space="preserve">mit Suffix 2. Person Maskulinum Singular, ethischer Dativ), </w:t>
      </w:r>
      <w:r>
        <w:rPr>
          <w:rStyle w:val="Fett"/>
          <w:rFonts w:eastAsiaTheme="majorEastAsia"/>
          <w:rtl/>
        </w:rPr>
        <w:t>שִׁבְעַת יָמִים</w:t>
      </w:r>
      <w:r>
        <w:rPr>
          <w:rtl/>
        </w:rPr>
        <w:t xml:space="preserve"> </w:t>
      </w:r>
      <w:r>
        <w:t xml:space="preserve">(„sieben Tage"), </w:t>
      </w:r>
      <w:r>
        <w:rPr>
          <w:rStyle w:val="Fett"/>
          <w:rFonts w:eastAsiaTheme="majorEastAsia"/>
          <w:rtl/>
        </w:rPr>
        <w:t>בְּאָסְפְּךָ</w:t>
      </w:r>
      <w:r>
        <w:rPr>
          <w:rtl/>
        </w:rPr>
        <w:t xml:space="preserve"> </w:t>
      </w:r>
      <w:r>
        <w:t xml:space="preserve">(Präposition </w:t>
      </w:r>
      <w:r>
        <w:rPr>
          <w:rStyle w:val="Fett"/>
          <w:rFonts w:eastAsiaTheme="majorEastAsia"/>
          <w:rtl/>
        </w:rPr>
        <w:t>בְּ</w:t>
      </w:r>
      <w:r>
        <w:rPr>
          <w:rtl/>
        </w:rPr>
        <w:t xml:space="preserve"> </w:t>
      </w:r>
      <w:r>
        <w:t xml:space="preserve">mit Qal Infinitiv Construct von </w:t>
      </w:r>
      <w:r>
        <w:rPr>
          <w:rStyle w:val="Fett"/>
          <w:rFonts w:eastAsiaTheme="majorEastAsia"/>
          <w:rtl/>
        </w:rPr>
        <w:t>אסף</w:t>
      </w:r>
      <w:r>
        <w:t xml:space="preserve">, „einsammeln, ernten", mit Suffix 2. Person Maskulinum Singular, „wenn du einsammelst"), </w:t>
      </w:r>
      <w:r>
        <w:rPr>
          <w:rStyle w:val="Fett"/>
          <w:rFonts w:eastAsiaTheme="majorEastAsia"/>
          <w:rtl/>
        </w:rPr>
        <w:t>מִגָּרְנְךָ וּמִיִּקְבֶךָ</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גֹּרֶן</w:t>
      </w:r>
      <w:r>
        <w:t xml:space="preserve">, „Tenne", mit Suffix 2. Person Maskulinum Singular, koordiniert durch </w:t>
      </w:r>
      <w:r>
        <w:rPr>
          <w:rStyle w:val="Fett"/>
          <w:rFonts w:eastAsiaTheme="majorEastAsia"/>
          <w:rtl/>
        </w:rPr>
        <w:t>וּמִן</w:t>
      </w:r>
      <w:r>
        <w:rPr>
          <w:rtl/>
        </w:rPr>
        <w:t xml:space="preserve"> </w:t>
      </w:r>
      <w:r>
        <w:t xml:space="preserve">mit </w:t>
      </w:r>
      <w:r>
        <w:rPr>
          <w:rStyle w:val="Fett"/>
          <w:rFonts w:eastAsiaTheme="majorEastAsia"/>
          <w:rtl/>
        </w:rPr>
        <w:t>יֶקֶב</w:t>
      </w:r>
      <w:r>
        <w:t>, „Kelter", mit Suffix 2. Person Maskulinum Singular).</w:t>
      </w:r>
    </w:p>
    <w:p w14:paraId="423FBB85" w14:textId="77777777" w:rsidR="00C90AB0" w:rsidRDefault="00C90AB0" w:rsidP="00C90AB0">
      <w:pPr>
        <w:pStyle w:val="whitespace-normal"/>
      </w:pPr>
      <w:r>
        <w:lastRenderedPageBreak/>
        <w:t>Das Laubhüttenfest (</w:t>
      </w:r>
      <w:r>
        <w:rPr>
          <w:rStyle w:val="Fett"/>
          <w:rFonts w:eastAsiaTheme="majorEastAsia"/>
          <w:rtl/>
        </w:rPr>
        <w:t>חַג הַסֻּכֹּת</w:t>
      </w:r>
      <w:r>
        <w:t xml:space="preserve">, Sukkot) ist das dritte Wallfahrtsfest, im Herbst zur Zeit der Ernte von Getreide (Tenne) und Wein/Öl (Kelter). Die Wendung </w:t>
      </w:r>
      <w:r>
        <w:rPr>
          <w:rStyle w:val="Fett"/>
          <w:rFonts w:eastAsiaTheme="majorEastAsia"/>
          <w:rtl/>
        </w:rPr>
        <w:t>מִגָּרְנְךָ וּמִיִּקְבֶךָ</w:t>
      </w:r>
      <w:r>
        <w:rPr>
          <w:rtl/>
        </w:rPr>
        <w:t xml:space="preserve"> </w:t>
      </w:r>
      <w:r>
        <w:t>bezeichnet die Haupterträge am Ende des Erntejahres (vgl. Ex 23,16: „Fest der Einsammlung"; 34,22).</w:t>
      </w:r>
    </w:p>
    <w:p w14:paraId="2209C3E5" w14:textId="77777777" w:rsidR="00C90AB0" w:rsidRDefault="00C90AB0" w:rsidP="00C90AB0">
      <w:pPr>
        <w:pStyle w:val="whitespace-normal"/>
      </w:pPr>
      <w:r>
        <w:rPr>
          <w:rStyle w:val="Fett"/>
          <w:rFonts w:eastAsiaTheme="majorEastAsia"/>
        </w:rPr>
        <w:t>Die Satzstruktur:</w:t>
      </w:r>
      <w:r>
        <w:t xml:space="preserve"> Imperativsatz mit temporaler Bestimmung (das Laubhüttenfest feiern sollst du sieben Tage, wenn du einsammelst von deiner Tenne und von deiner Kelter).</w:t>
      </w:r>
    </w:p>
    <w:p w14:paraId="6BACF537" w14:textId="77777777" w:rsidR="00C90AB0" w:rsidRDefault="00C90AB0" w:rsidP="00C90AB0">
      <w:pPr>
        <w:pStyle w:val="whitespace-normal"/>
      </w:pPr>
      <w:r>
        <w:t>Der Vers leitet zum dritten Fest über: Feiere das Laubhüttenfest sieben Tage lang zur Zeit der Herbsternte.</w:t>
      </w:r>
    </w:p>
    <w:p w14:paraId="654834B1"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16,14</w:t>
      </w:r>
    </w:p>
    <w:p w14:paraId="1E1A51EE" w14:textId="77777777" w:rsidR="00C90AB0" w:rsidRDefault="00C90AB0" w:rsidP="00C90AB0">
      <w:pPr>
        <w:pStyle w:val="whitespace-normal"/>
      </w:pPr>
      <w:r>
        <w:rPr>
          <w:rStyle w:val="Fett"/>
          <w:rFonts w:eastAsiaTheme="majorEastAsia"/>
        </w:rPr>
        <w:t>Hebräisch:</w:t>
      </w:r>
      <w:r>
        <w:t xml:space="preserve"> </w:t>
      </w:r>
      <w:r>
        <w:rPr>
          <w:rtl/>
        </w:rPr>
        <w:t>וְשָׂמַחְתָּ֖ בְּחַגֶּ֑ךָ אַתָּ֨ה וּבִנְךָ֤ וּבִתֶּ֨ךָ֙ וְעַבְדְּךָ֣ וַאֲמָתֶ֔ךָ וְהַלֵּוִ֗י וְהַגֵּ֛ר וְהַיָּת֥וֹם וְהָאַלְמָנָ֖ה אֲשֶׁ֥ר בִּשְׁעָרֶֽיךָ׃</w:t>
      </w:r>
    </w:p>
    <w:p w14:paraId="72C5D2F4" w14:textId="77777777" w:rsidR="00C90AB0" w:rsidRDefault="00C90AB0" w:rsidP="00C90AB0">
      <w:pPr>
        <w:pStyle w:val="whitespace-normal"/>
      </w:pPr>
      <w:r>
        <w:rPr>
          <w:rStyle w:val="Fett"/>
          <w:rFonts w:eastAsiaTheme="majorEastAsia"/>
        </w:rPr>
        <w:t>Deutsch:</w:t>
      </w:r>
      <w:r>
        <w:t xml:space="preserve"> Und du sollst dich an deinem Fest freuen, du und dein Sohn und deine Tochter und dein Knecht und deine Magd und der Levi und der Fremde und die Waise und die Witwe, die in deinen Toren sind.</w:t>
      </w:r>
    </w:p>
    <w:p w14:paraId="2A3ABD06" w14:textId="77777777" w:rsidR="00C90AB0" w:rsidRDefault="004F5CEB" w:rsidP="00C90AB0">
      <w:r>
        <w:rPr>
          <w:noProof/>
        </w:rPr>
        <w:pict w14:anchorId="423B9408">
          <v:rect id="_x0000_i1481" style="width:0;height:1.5pt" o:hralign="center" o:hrstd="t" o:hr="t" fillcolor="#a0a0a0" stroked="f"/>
        </w:pict>
      </w:r>
    </w:p>
    <w:p w14:paraId="2A7255B0"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וְשָׂמַחְתָּ בְּחַגֶּךָ</w:t>
      </w:r>
      <w:r>
        <w:rPr>
          <w:rtl/>
        </w:rPr>
        <w:t xml:space="preserve"> </w:t>
      </w:r>
      <w:r>
        <w:t xml:space="preserve">ist der Hauptimperativ: </w:t>
      </w:r>
      <w:r>
        <w:rPr>
          <w:rStyle w:val="Fett"/>
          <w:rFonts w:eastAsiaTheme="majorEastAsia"/>
          <w:rtl/>
        </w:rPr>
        <w:t>וְשָׂמַחְתָּ</w:t>
      </w:r>
      <w:r>
        <w:rPr>
          <w:rtl/>
        </w:rPr>
        <w:t xml:space="preserve"> </w:t>
      </w:r>
      <w:r>
        <w:t xml:space="preserve">(Qal Perfekt, 2. Person Maskulinum Singular von </w:t>
      </w:r>
      <w:r>
        <w:rPr>
          <w:rStyle w:val="Fett"/>
          <w:rFonts w:eastAsiaTheme="majorEastAsia"/>
          <w:rtl/>
        </w:rPr>
        <w:t>שׂמח</w:t>
      </w:r>
      <w:r>
        <w:t xml:space="preserve">, „sich freuen", imperativisch), </w:t>
      </w:r>
      <w:r>
        <w:rPr>
          <w:rStyle w:val="Fett"/>
          <w:rFonts w:eastAsiaTheme="majorEastAsia"/>
          <w:rtl/>
        </w:rPr>
        <w:t>בְּחַגֶּךָ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חַג</w:t>
      </w:r>
      <w:r>
        <w:t>, „Fest", mit Suffix 2. Person Maskulinum Singular, „an deinem Fest").</w:t>
      </w:r>
    </w:p>
    <w:p w14:paraId="7F4E17DA" w14:textId="77777777" w:rsidR="00C90AB0" w:rsidRDefault="00C90AB0" w:rsidP="00C90AB0">
      <w:pPr>
        <w:pStyle w:val="whitespace-normal"/>
      </w:pPr>
      <w:r>
        <w:rPr>
          <w:rStyle w:val="Fett"/>
          <w:rFonts w:eastAsiaTheme="majorEastAsia"/>
          <w:rtl/>
        </w:rPr>
        <w:t>אַתָּה וּבִנְךָ וּבִתֶּךָ וְעַבְדְּךָ וַאֲמָתֶךָ וְהַלֵּוִי וְהַגֵּר וְהַיָּתוֹם וְהָאַלְמָנָה אֲשֶׁר בִּשְׁעָרֶיךָ</w:t>
      </w:r>
      <w:r>
        <w:rPr>
          <w:rtl/>
        </w:rPr>
        <w:t xml:space="preserve"> </w:t>
      </w:r>
      <w:r>
        <w:t xml:space="preserve">ist die achtgliedrige Subjektsliste (wie V. 11, aber ohne getrennte Relativsätze): </w:t>
      </w:r>
      <w:r>
        <w:rPr>
          <w:rStyle w:val="Fett"/>
          <w:rFonts w:eastAsiaTheme="majorEastAsia"/>
          <w:rtl/>
        </w:rPr>
        <w:t>אַתָּה</w:t>
      </w:r>
      <w:r>
        <w:rPr>
          <w:rtl/>
        </w:rPr>
        <w:t xml:space="preserve"> </w:t>
      </w:r>
      <w:r>
        <w:t xml:space="preserve">(betont), </w:t>
      </w:r>
      <w:r>
        <w:rPr>
          <w:rStyle w:val="Fett"/>
          <w:rFonts w:eastAsiaTheme="majorEastAsia"/>
          <w:rtl/>
        </w:rPr>
        <w:t>בֵּן</w:t>
      </w:r>
      <w:r>
        <w:t xml:space="preserve">, </w:t>
      </w:r>
      <w:r>
        <w:rPr>
          <w:rStyle w:val="Fett"/>
          <w:rFonts w:eastAsiaTheme="majorEastAsia"/>
          <w:rtl/>
        </w:rPr>
        <w:t>בַּת</w:t>
      </w:r>
      <w:r>
        <w:t xml:space="preserve">, </w:t>
      </w:r>
      <w:r>
        <w:rPr>
          <w:rStyle w:val="Fett"/>
          <w:rFonts w:eastAsiaTheme="majorEastAsia"/>
          <w:rtl/>
        </w:rPr>
        <w:t>עֶבֶד</w:t>
      </w:r>
      <w:r>
        <w:t xml:space="preserve">, </w:t>
      </w:r>
      <w:r>
        <w:rPr>
          <w:rStyle w:val="Fett"/>
          <w:rFonts w:eastAsiaTheme="majorEastAsia"/>
          <w:rtl/>
        </w:rPr>
        <w:t>אָמָה</w:t>
      </w:r>
      <w:r>
        <w:rPr>
          <w:rtl/>
        </w:rPr>
        <w:t xml:space="preserve"> </w:t>
      </w:r>
      <w:r>
        <w:t xml:space="preserve">(alle mit Suffix 2. Person Maskulinum Singular), </w:t>
      </w:r>
      <w:r>
        <w:rPr>
          <w:rStyle w:val="Fett"/>
          <w:rFonts w:eastAsiaTheme="majorEastAsia"/>
          <w:rtl/>
        </w:rPr>
        <w:t>לֵוִי</w:t>
      </w:r>
      <w:r>
        <w:t xml:space="preserve">, </w:t>
      </w:r>
      <w:r>
        <w:rPr>
          <w:rStyle w:val="Fett"/>
          <w:rFonts w:eastAsiaTheme="majorEastAsia"/>
          <w:rtl/>
        </w:rPr>
        <w:t>גֵּר</w:t>
      </w:r>
      <w:r>
        <w:t xml:space="preserve">, </w:t>
      </w:r>
      <w:r>
        <w:rPr>
          <w:rStyle w:val="Fett"/>
          <w:rFonts w:eastAsiaTheme="majorEastAsia"/>
          <w:rtl/>
        </w:rPr>
        <w:t>יָתוֹם</w:t>
      </w:r>
      <w:r>
        <w:t xml:space="preserve">, </w:t>
      </w:r>
      <w:r>
        <w:rPr>
          <w:rStyle w:val="Fett"/>
          <w:rFonts w:eastAsiaTheme="majorEastAsia"/>
          <w:rtl/>
        </w:rPr>
        <w:t>אַלְמָנָה</w:t>
      </w:r>
      <w:r>
        <w:rPr>
          <w:rtl/>
        </w:rPr>
        <w:t xml:space="preserve"> </w:t>
      </w:r>
      <w:r>
        <w:t xml:space="preserve">(alle mit Artikel), </w:t>
      </w:r>
      <w:r>
        <w:rPr>
          <w:rStyle w:val="Fett"/>
          <w:rFonts w:eastAsiaTheme="majorEastAsia"/>
          <w:rtl/>
        </w:rPr>
        <w:t>אֲשֶׁר בִּשְׁעָרֶיךָ</w:t>
      </w:r>
      <w:r>
        <w:rPr>
          <w:rtl/>
        </w:rPr>
        <w:t xml:space="preserve"> </w:t>
      </w:r>
      <w:r>
        <w:t>(gemeinsamer Relativsatz für alle).</w:t>
      </w:r>
    </w:p>
    <w:p w14:paraId="71F5FB01" w14:textId="0A75A8FE" w:rsidR="00C90AB0" w:rsidRDefault="00C90AB0" w:rsidP="00C90AB0">
      <w:pPr>
        <w:pStyle w:val="whitespace-normal"/>
      </w:pPr>
      <w:r>
        <w:t xml:space="preserve">Die Liste ist fast identisch mit V. 11, betont erneut die umfassende Inklusion beim Festmahl. Das Laubhüttenfest als Erntefest ist besonders fröhlich (vgl. </w:t>
      </w:r>
      <w:r w:rsidR="00664EB6">
        <w:t>Lev</w:t>
      </w:r>
      <w:r>
        <w:t xml:space="preserve"> 23,40; Neh 8,17).</w:t>
      </w:r>
    </w:p>
    <w:p w14:paraId="04AB5C77" w14:textId="77777777" w:rsidR="00C90AB0" w:rsidRDefault="00C90AB0" w:rsidP="00C90AB0">
      <w:pPr>
        <w:pStyle w:val="whitespace-normal"/>
      </w:pPr>
      <w:r>
        <w:rPr>
          <w:rStyle w:val="Fett"/>
          <w:rFonts w:eastAsiaTheme="majorEastAsia"/>
        </w:rPr>
        <w:t>Die Satzstruktur:</w:t>
      </w:r>
      <w:r>
        <w:t xml:space="preserve"> Imperativsatz mit achtgliedriger Subjektsliste (freuen sollst du dich an deinem Fest, du und dein Sohn und deine Tochter und dein Knecht und deine Magd und der Levi und der Fremde und die Waise und die Witwe, die in deinen Toren sind).</w:t>
      </w:r>
    </w:p>
    <w:p w14:paraId="3D06E186" w14:textId="77777777" w:rsidR="00C90AB0" w:rsidRDefault="00C90AB0" w:rsidP="00C90AB0">
      <w:pPr>
        <w:pStyle w:val="whitespace-normal"/>
      </w:pPr>
      <w:r>
        <w:t>Der Vers wiederholt: Die ganze Gemeinschaft soll beim Laubhüttenfest fröhlich feiern.</w:t>
      </w:r>
    </w:p>
    <w:p w14:paraId="4C06B688"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16,15</w:t>
      </w:r>
    </w:p>
    <w:p w14:paraId="38956BFA" w14:textId="77777777" w:rsidR="00C90AB0" w:rsidRDefault="00C90AB0" w:rsidP="00C90AB0">
      <w:pPr>
        <w:pStyle w:val="whitespace-normal"/>
      </w:pPr>
      <w:r>
        <w:rPr>
          <w:rStyle w:val="Fett"/>
          <w:rFonts w:eastAsiaTheme="majorEastAsia"/>
        </w:rPr>
        <w:t>Hebräisch:</w:t>
      </w:r>
      <w:r>
        <w:t xml:space="preserve"> </w:t>
      </w:r>
      <w:r>
        <w:rPr>
          <w:rtl/>
        </w:rPr>
        <w:t>שִׁבְעַ֣ת יָמִ֗ים תָּחֹג֙ לַיהוָ֣ה אֱלֹהֶ֔יךָ בַּמָּק֖וֹם אֲשֶׁר־יִבְחַ֣ר יְהוָ֑ה כִּ֣י יְבָרֶכְךָ֞ יְהוָ֣ה אֱלֹהֶ֗יךָ בְּכֹ֤ל תְּבוּאָֽתְךָ֙ וּבְכֹל֙ מַעֲשֵׂ֣ה יָדֶ֔יךָ וְהָיִ֖יתָ אַ֥ךְ שָׂמֵֽחַ׃</w:t>
      </w:r>
    </w:p>
    <w:p w14:paraId="575C373A" w14:textId="77777777" w:rsidR="00C90AB0" w:rsidRDefault="00C90AB0" w:rsidP="00C90AB0">
      <w:pPr>
        <w:pStyle w:val="whitespace-normal"/>
      </w:pPr>
      <w:r>
        <w:rPr>
          <w:rStyle w:val="Fett"/>
          <w:rFonts w:eastAsiaTheme="majorEastAsia"/>
        </w:rPr>
        <w:t>Deutsch:</w:t>
      </w:r>
      <w:r>
        <w:t xml:space="preserve"> Sieben Tage sollst du dem Ewigen, deinem Gott, das Fest feiern an dem Ort, den der Ewige erwählen wird; denn der Ewige, dein Gott, wird dich segnen in all deinem Ertrag und in allem Werk deiner Hände, und du sollst nur fröhlich sein.</w:t>
      </w:r>
    </w:p>
    <w:p w14:paraId="07BF8B02" w14:textId="77777777" w:rsidR="00C90AB0" w:rsidRDefault="004F5CEB" w:rsidP="00C90AB0">
      <w:r>
        <w:rPr>
          <w:noProof/>
        </w:rPr>
        <w:lastRenderedPageBreak/>
        <w:pict w14:anchorId="02AAD2B3">
          <v:rect id="_x0000_i1482" style="width:0;height:1.5pt" o:hralign="center" o:hrstd="t" o:hr="t" fillcolor="#a0a0a0" stroked="f"/>
        </w:pict>
      </w:r>
    </w:p>
    <w:p w14:paraId="5A448485"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שִׁבְעַת יָמִים תָּחֹג לַיהוָה אֱלֹהֶיךָ בַּמָּקוֹם אֲשֶׁר־יִבְחַר יְהוָה</w:t>
      </w:r>
      <w:r>
        <w:rPr>
          <w:rtl/>
        </w:rPr>
        <w:t xml:space="preserve"> </w:t>
      </w:r>
      <w:r>
        <w:t xml:space="preserve">ist der Hauptimperativ: </w:t>
      </w:r>
      <w:r>
        <w:rPr>
          <w:rStyle w:val="Fett"/>
          <w:rFonts w:eastAsiaTheme="majorEastAsia"/>
          <w:rtl/>
        </w:rPr>
        <w:t>שִׁבְעַת יָמִים</w:t>
      </w:r>
      <w:r>
        <w:rPr>
          <w:rtl/>
        </w:rPr>
        <w:t xml:space="preserve"> </w:t>
      </w:r>
      <w:r>
        <w:t xml:space="preserve">(„sieben Tage"), </w:t>
      </w:r>
      <w:r>
        <w:rPr>
          <w:rStyle w:val="Fett"/>
          <w:rFonts w:eastAsiaTheme="majorEastAsia"/>
          <w:rtl/>
        </w:rPr>
        <w:t>תָּחֹג</w:t>
      </w:r>
      <w:r>
        <w:rPr>
          <w:rtl/>
        </w:rPr>
        <w:t xml:space="preserve"> </w:t>
      </w:r>
      <w:r>
        <w:t xml:space="preserve">(Qal Imperfekt, 2. Person Maskulinum Singular von </w:t>
      </w:r>
      <w:r>
        <w:rPr>
          <w:rStyle w:val="Fett"/>
          <w:rFonts w:eastAsiaTheme="majorEastAsia"/>
          <w:rtl/>
        </w:rPr>
        <w:t>חגג</w:t>
      </w:r>
      <w:r>
        <w:t xml:space="preserve">, „feiern, ein Fest feiern"), </w:t>
      </w:r>
      <w:r>
        <w:rPr>
          <w:rStyle w:val="Fett"/>
          <w:rFonts w:eastAsiaTheme="majorEastAsia"/>
          <w:rtl/>
        </w:rPr>
        <w:t>לַיהוָה אֱלֹהֶיךָ</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יְהוָה אֱלֹהֶיךָ</w:t>
      </w:r>
      <w:r>
        <w:t xml:space="preserve">), </w:t>
      </w:r>
      <w:r>
        <w:rPr>
          <w:rStyle w:val="Fett"/>
          <w:rFonts w:eastAsiaTheme="majorEastAsia"/>
          <w:rtl/>
        </w:rPr>
        <w:t>בַּמָּקוֹם אֲשֶׁר־יִבְחַר יְהוָה</w:t>
      </w:r>
      <w:r>
        <w:rPr>
          <w:rtl/>
        </w:rPr>
        <w:t xml:space="preserve"> </w:t>
      </w:r>
      <w:r>
        <w:t>(lokale Bestimmung mit charakteristischer Formel).</w:t>
      </w:r>
    </w:p>
    <w:p w14:paraId="119CD662" w14:textId="77777777" w:rsidR="00C90AB0" w:rsidRDefault="00C90AB0" w:rsidP="00C90AB0">
      <w:pPr>
        <w:pStyle w:val="whitespace-normal"/>
      </w:pPr>
      <w:r>
        <w:rPr>
          <w:rStyle w:val="Fett"/>
          <w:rFonts w:eastAsiaTheme="majorEastAsia"/>
          <w:rtl/>
        </w:rPr>
        <w:t>כִּי יְבָרֶכְךָ יְהוָה אֱלֹהֶיךָ בְּכֹל תְּבוּאָתְךָ וּבְכֹל מַעֲשֵׂה יָדֶיךָ</w:t>
      </w:r>
      <w:r>
        <w:rPr>
          <w:rtl/>
        </w:rPr>
        <w:t xml:space="preserve"> </w:t>
      </w:r>
      <w:r>
        <w:t xml:space="preserve">ist die kausale Begründung: </w:t>
      </w:r>
      <w:r>
        <w:rPr>
          <w:rStyle w:val="Fett"/>
          <w:rFonts w:eastAsiaTheme="majorEastAsia"/>
          <w:rtl/>
        </w:rPr>
        <w:t>כִּי</w:t>
      </w:r>
      <w:r>
        <w:rPr>
          <w:rtl/>
        </w:rPr>
        <w:t xml:space="preserve"> </w:t>
      </w:r>
      <w:r>
        <w:t xml:space="preserve">(„denn"), </w:t>
      </w:r>
      <w:r>
        <w:rPr>
          <w:rStyle w:val="Fett"/>
          <w:rFonts w:eastAsiaTheme="majorEastAsia"/>
          <w:rtl/>
        </w:rPr>
        <w:t>יְבָרֶכְךָ</w:t>
      </w:r>
      <w:r>
        <w:rPr>
          <w:rtl/>
        </w:rPr>
        <w:t xml:space="preserve"> </w:t>
      </w:r>
      <w:r>
        <w:t xml:space="preserve">(Piel Imperfekt, 3. Person Maskulinum Singular von </w:t>
      </w:r>
      <w:r>
        <w:rPr>
          <w:rStyle w:val="Fett"/>
          <w:rFonts w:eastAsiaTheme="majorEastAsia"/>
          <w:rtl/>
        </w:rPr>
        <w:t>ברך</w:t>
      </w:r>
      <w:r>
        <w:t xml:space="preserve">, „segnen", mit Suffix 2. Person Maskulinum Singular), </w:t>
      </w:r>
      <w:r>
        <w:rPr>
          <w:rStyle w:val="Fett"/>
          <w:rFonts w:eastAsiaTheme="majorEastAsia"/>
          <w:rtl/>
        </w:rPr>
        <w:t>יְהוָה אֱלֹהֶיךָ</w:t>
      </w:r>
      <w:r>
        <w:rPr>
          <w:rtl/>
        </w:rPr>
        <w:t xml:space="preserve"> </w:t>
      </w:r>
      <w:r>
        <w:t xml:space="preserve">als Subjekt, </w:t>
      </w:r>
      <w:r>
        <w:rPr>
          <w:rStyle w:val="Fett"/>
          <w:rFonts w:eastAsiaTheme="majorEastAsia"/>
          <w:rtl/>
        </w:rPr>
        <w:t>בְּכֹל תְּבוּאָתְךָ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כֹּל</w:t>
      </w:r>
      <w:r>
        <w:t xml:space="preserve">, Construct mit </w:t>
      </w:r>
      <w:r>
        <w:rPr>
          <w:rStyle w:val="Fett"/>
          <w:rFonts w:eastAsiaTheme="majorEastAsia"/>
          <w:rtl/>
        </w:rPr>
        <w:t>תְּבוּאָה</w:t>
      </w:r>
      <w:r>
        <w:t xml:space="preserve">, „Ertrag, Ernte", mit Suffix 2. Person Maskulinum Singular), </w:t>
      </w:r>
      <w:r>
        <w:rPr>
          <w:rStyle w:val="Fett"/>
          <w:rFonts w:eastAsiaTheme="majorEastAsia"/>
          <w:rtl/>
        </w:rPr>
        <w:t>וּבְכֹל מַעֲשֵׂה יָדֶיךָ</w:t>
      </w:r>
      <w:r>
        <w:rPr>
          <w:rtl/>
        </w:rPr>
        <w:t xml:space="preserve"> </w:t>
      </w:r>
      <w:r>
        <w:t xml:space="preserve">(koordiniert durch </w:t>
      </w:r>
      <w:r>
        <w:rPr>
          <w:rStyle w:val="Fett"/>
          <w:rFonts w:eastAsiaTheme="majorEastAsia"/>
          <w:rtl/>
        </w:rPr>
        <w:t>וּבְ</w:t>
      </w:r>
      <w:r>
        <w:rPr>
          <w:rtl/>
        </w:rPr>
        <w:t xml:space="preserve"> </w:t>
      </w:r>
      <w:r>
        <w:t xml:space="preserve">mit </w:t>
      </w:r>
      <w:r>
        <w:rPr>
          <w:rStyle w:val="Fett"/>
          <w:rFonts w:eastAsiaTheme="majorEastAsia"/>
          <w:rtl/>
        </w:rPr>
        <w:t>כֹּל</w:t>
      </w:r>
      <w:r>
        <w:t xml:space="preserve">, Construct mit </w:t>
      </w:r>
      <w:r>
        <w:rPr>
          <w:rStyle w:val="Fett"/>
          <w:rFonts w:eastAsiaTheme="majorEastAsia"/>
          <w:rtl/>
        </w:rPr>
        <w:t>מַעֲשֶׂה</w:t>
      </w:r>
      <w:r>
        <w:t xml:space="preserve">, „Werk, Tat", Construct mit </w:t>
      </w:r>
      <w:r>
        <w:rPr>
          <w:rStyle w:val="Fett"/>
          <w:rFonts w:eastAsiaTheme="majorEastAsia"/>
          <w:rtl/>
        </w:rPr>
        <w:t>יָד</w:t>
      </w:r>
      <w:r>
        <w:t>, Plural mit Suffix 2. Person Maskulinum Singular).</w:t>
      </w:r>
    </w:p>
    <w:p w14:paraId="48D92EF0" w14:textId="77777777" w:rsidR="00C90AB0" w:rsidRDefault="00C90AB0" w:rsidP="00C90AB0">
      <w:pPr>
        <w:pStyle w:val="whitespace-normal"/>
      </w:pPr>
      <w:r>
        <w:rPr>
          <w:rStyle w:val="Fett"/>
          <w:rFonts w:eastAsiaTheme="majorEastAsia"/>
          <w:rtl/>
        </w:rPr>
        <w:t>וְהָיִיתָ אַךְ שָׂמֵחַ</w:t>
      </w:r>
      <w:r>
        <w:rPr>
          <w:rtl/>
        </w:rPr>
        <w:t xml:space="preserve"> </w:t>
      </w:r>
      <w:r>
        <w:t xml:space="preserve">ist der Folgesatz: </w:t>
      </w:r>
      <w:r>
        <w:rPr>
          <w:rStyle w:val="Fett"/>
          <w:rFonts w:eastAsiaTheme="majorEastAsia"/>
          <w:rtl/>
        </w:rPr>
        <w:t>וְהָיִיתָ</w:t>
      </w:r>
      <w:r>
        <w:rPr>
          <w:rtl/>
        </w:rPr>
        <w:t xml:space="preserve"> </w:t>
      </w:r>
      <w:r>
        <w:t xml:space="preserve">(Qal Perfekt, 2. Person Maskulinum Singular von </w:t>
      </w:r>
      <w:r>
        <w:rPr>
          <w:rStyle w:val="Fett"/>
          <w:rFonts w:eastAsiaTheme="majorEastAsia"/>
          <w:rtl/>
        </w:rPr>
        <w:t>היה</w:t>
      </w:r>
      <w:r>
        <w:t xml:space="preserve">, „sein", mit </w:t>
      </w:r>
      <w:r>
        <w:rPr>
          <w:rStyle w:val="Fett"/>
          <w:rFonts w:eastAsiaTheme="majorEastAsia"/>
        </w:rPr>
        <w:t>Waw</w:t>
      </w:r>
      <w:r>
        <w:t xml:space="preserve"> consecutives Perfekt, imperativisch), </w:t>
      </w:r>
      <w:r>
        <w:rPr>
          <w:rStyle w:val="Fett"/>
          <w:rFonts w:eastAsiaTheme="majorEastAsia"/>
          <w:rtl/>
        </w:rPr>
        <w:t>אַךְ</w:t>
      </w:r>
      <w:r>
        <w:rPr>
          <w:rtl/>
        </w:rPr>
        <w:t xml:space="preserve"> </w:t>
      </w:r>
      <w:r>
        <w:t xml:space="preserve">(Partikel, „nur, ganz, völlig"), </w:t>
      </w:r>
      <w:r>
        <w:rPr>
          <w:rStyle w:val="Fett"/>
          <w:rFonts w:eastAsiaTheme="majorEastAsia"/>
          <w:rtl/>
        </w:rPr>
        <w:t>שָׂמֵחַ</w:t>
      </w:r>
      <w:r>
        <w:rPr>
          <w:rtl/>
        </w:rPr>
        <w:t xml:space="preserve"> </w:t>
      </w:r>
      <w:r>
        <w:t xml:space="preserve">(Qal Partizip Maskulinum Singular von </w:t>
      </w:r>
      <w:r>
        <w:rPr>
          <w:rStyle w:val="Fett"/>
          <w:rFonts w:eastAsiaTheme="majorEastAsia"/>
          <w:rtl/>
        </w:rPr>
        <w:t>שׂמח</w:t>
      </w:r>
      <w:r>
        <w:t>, „sich freuen, fröhlich", als Prädikatsnomen).</w:t>
      </w:r>
    </w:p>
    <w:p w14:paraId="4EEA9603" w14:textId="71B02E03" w:rsidR="00C90AB0" w:rsidRDefault="00C90AB0" w:rsidP="00C90AB0">
      <w:pPr>
        <w:pStyle w:val="whitespace-normal"/>
      </w:pPr>
      <w:r>
        <w:t xml:space="preserve">Die Wendung </w:t>
      </w:r>
      <w:r>
        <w:rPr>
          <w:rStyle w:val="Fett"/>
          <w:rFonts w:eastAsiaTheme="majorEastAsia"/>
          <w:rtl/>
        </w:rPr>
        <w:t>אַךְ שָׂמֵחַ</w:t>
      </w:r>
      <w:r>
        <w:rPr>
          <w:rtl/>
        </w:rPr>
        <w:t xml:space="preserve"> </w:t>
      </w:r>
      <w:r>
        <w:t xml:space="preserve">(„nur fröhlich, ganz fröhlich") ist emphatisch – das Laubhüttenfest soll von purer Freude geprägt sein (vgl. </w:t>
      </w:r>
      <w:r w:rsidR="00664EB6">
        <w:t>Lev</w:t>
      </w:r>
      <w:r>
        <w:t xml:space="preserve"> 23,40: „ihr sollt euch freuen vor JHWH, eurem Gott, sieben Tage"). Die doppelte Segensverheißung </w:t>
      </w:r>
      <w:r>
        <w:rPr>
          <w:rStyle w:val="Fett"/>
          <w:rFonts w:eastAsiaTheme="majorEastAsia"/>
          <w:rtl/>
        </w:rPr>
        <w:t>בְּכֹל תְּבוּאָתְךָ וּבְכֹל מַעֲשֵׂה יָדֶיךָ</w:t>
      </w:r>
      <w:r>
        <w:rPr>
          <w:rtl/>
        </w:rPr>
        <w:t xml:space="preserve"> </w:t>
      </w:r>
      <w:r>
        <w:t>umfasst Erntesegen und Arbeitssegen.</w:t>
      </w:r>
    </w:p>
    <w:p w14:paraId="736D376A" w14:textId="49DB31A9" w:rsidR="0082305E" w:rsidRDefault="0082305E" w:rsidP="00C90AB0">
      <w:pPr>
        <w:pStyle w:val="whitespace-normal"/>
      </w:pPr>
      <w:r>
        <w:rPr>
          <w:rStyle w:val="Fett"/>
        </w:rPr>
        <w:t>Die LXX</w:t>
      </w:r>
      <w:r>
        <w:t xml:space="preserve"> ändert die Satzstruktur signifikant: Sie macht aus der kausalen Aussage </w:t>
      </w:r>
      <w:r>
        <w:rPr>
          <w:rtl/>
        </w:rPr>
        <w:t>כ</w:t>
      </w:r>
      <w:r w:rsidRPr="0082305E">
        <w:rPr>
          <w:b/>
          <w:bCs/>
          <w:rtl/>
        </w:rPr>
        <w:t>ִּי יְבָרֶכְךָ יְהוָה</w:t>
      </w:r>
      <w:r w:rsidRPr="0082305E">
        <w:rPr>
          <w:b/>
          <w:bCs/>
        </w:rPr>
        <w:t xml:space="preserve"> </w:t>
      </w:r>
      <w:r>
        <w:t xml:space="preserve">(denn segnen wird dich der HERR) eine konditionale: </w:t>
      </w:r>
      <w:proofErr w:type="spellStart"/>
      <w:r>
        <w:t>ἐὰν</w:t>
      </w:r>
      <w:proofErr w:type="spellEnd"/>
      <w:r>
        <w:t xml:space="preserve"> </w:t>
      </w:r>
      <w:proofErr w:type="spellStart"/>
      <w:r>
        <w:t>δὲ</w:t>
      </w:r>
      <w:proofErr w:type="spellEnd"/>
      <w:r>
        <w:t xml:space="preserve"> </w:t>
      </w:r>
      <w:proofErr w:type="spellStart"/>
      <w:r>
        <w:t>εὐλογήσῃ</w:t>
      </w:r>
      <w:proofErr w:type="spellEnd"/>
      <w:r>
        <w:t xml:space="preserve"> </w:t>
      </w:r>
      <w:proofErr w:type="spellStart"/>
      <w:r>
        <w:t>σε</w:t>
      </w:r>
      <w:proofErr w:type="spellEnd"/>
      <w:r>
        <w:t xml:space="preserve"> (wenn aber segnen wird dich) – eine theologische Nuancierung, die den Segen weniger gewiss erscheinen lässt. Zudem endet der Vers mit καὶ </w:t>
      </w:r>
      <w:proofErr w:type="spellStart"/>
      <w:r>
        <w:t>ἔσῃ</w:t>
      </w:r>
      <w:proofErr w:type="spellEnd"/>
      <w:r>
        <w:t xml:space="preserve"> </w:t>
      </w:r>
      <w:proofErr w:type="spellStart"/>
      <w:r>
        <w:t>εὐφρ</w:t>
      </w:r>
      <w:proofErr w:type="spellEnd"/>
      <w:r>
        <w:t xml:space="preserve">αινόμενος (und du wirst fröhlich sein), was </w:t>
      </w:r>
      <w:r w:rsidRPr="0082305E">
        <w:rPr>
          <w:b/>
          <w:bCs/>
          <w:rtl/>
        </w:rPr>
        <w:t>וְהָיִיתָ אַךְ שָׂמֵחַ</w:t>
      </w:r>
      <w:r>
        <w:t xml:space="preserve"> interpretiert, aber das emphatische </w:t>
      </w:r>
      <w:r w:rsidRPr="0082305E">
        <w:rPr>
          <w:b/>
          <w:bCs/>
          <w:rtl/>
        </w:rPr>
        <w:t>אַךְ</w:t>
      </w:r>
      <w:r>
        <w:t xml:space="preserve"> (nur, gewiss) nicht wiedergibt.</w:t>
      </w:r>
    </w:p>
    <w:p w14:paraId="1889CF5A" w14:textId="77777777" w:rsidR="00C90AB0" w:rsidRDefault="00C90AB0" w:rsidP="00C90AB0">
      <w:pPr>
        <w:pStyle w:val="whitespace-normal"/>
      </w:pPr>
      <w:r>
        <w:rPr>
          <w:rStyle w:val="Fett"/>
          <w:rFonts w:eastAsiaTheme="majorEastAsia"/>
        </w:rPr>
        <w:t>Die Satzstruktur:</w:t>
      </w:r>
      <w:r>
        <w:t xml:space="preserve"> Imperativsatz mit kausaler Begründung und Folgesatz (sieben Tage feiern sollst du für JHWH, deinen Gott, an dem Ort, den erwählen wird JHWH; denn segnen wird dich JHWH, dein Gott, in all deinem Ertrag und in allem Werk deiner Hände; und sein sollst du nur fröhlich).</w:t>
      </w:r>
    </w:p>
    <w:p w14:paraId="79E47680" w14:textId="77777777" w:rsidR="00C90AB0" w:rsidRDefault="00C90AB0" w:rsidP="00C90AB0">
      <w:pPr>
        <w:pStyle w:val="whitespace-normal"/>
      </w:pPr>
      <w:r>
        <w:t>Der Vers betont: Feiere sieben Tage für JHWH am Heiligtum, denn er segnet deine Ernte und Arbeit – sei darum völlig fröhlich.</w:t>
      </w:r>
    </w:p>
    <w:p w14:paraId="4CA2FF4A"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16,16</w:t>
      </w:r>
    </w:p>
    <w:p w14:paraId="24289E37" w14:textId="77777777" w:rsidR="00C90AB0" w:rsidRDefault="00C90AB0" w:rsidP="00C90AB0">
      <w:pPr>
        <w:pStyle w:val="whitespace-normal"/>
      </w:pPr>
      <w:r>
        <w:rPr>
          <w:rStyle w:val="Fett"/>
          <w:rFonts w:eastAsiaTheme="majorEastAsia"/>
        </w:rPr>
        <w:t>Hebräisch:</w:t>
      </w:r>
      <w:r>
        <w:t xml:space="preserve"> </w:t>
      </w:r>
      <w:r>
        <w:rPr>
          <w:rtl/>
        </w:rPr>
        <w:t>שָׁל֣וֹשׁ פְּעָמִ֣ים׀ בַּשָּׁנָ֡ה יֵרָאֶ֨ה כָל־זְכוּרְךָ֜ אֶת־פְּנֵ֣י׀ יְהוָ֣ה אֱלֹהֶ֗יךָ בַּמָּקוֹם֙ אֲשֶׁ֣ר יִבְחָ֔ר בְּחַ֧ג הַמַּצּ֛וֹת וּבְחַ֥ג הַשָּׁבֻע֖וֹת וּבְחַ֣ג הַסֻּכּ֑וֹת וְלֹ֧א יֵרָאֶ֛ה אֶת־פְּנֵ֥י יְהוָ֖ה רֵיקָֽם׃</w:t>
      </w:r>
    </w:p>
    <w:p w14:paraId="454A5FC6" w14:textId="77777777" w:rsidR="00C90AB0" w:rsidRDefault="00C90AB0" w:rsidP="00C90AB0">
      <w:pPr>
        <w:pStyle w:val="whitespace-normal"/>
      </w:pPr>
      <w:r>
        <w:rPr>
          <w:rStyle w:val="Fett"/>
          <w:rFonts w:eastAsiaTheme="majorEastAsia"/>
        </w:rPr>
        <w:t>Deutsch:</w:t>
      </w:r>
      <w:r>
        <w:t xml:space="preserve"> Dreimal im Jahr soll alles Männliche bei dir erscheinen vor dem Angesicht des Ewigen, deines Gottes, an dem Ort, den er erwählen wird: am Fest der ungesäuerten Brote und am Fest der Wochen und am Laubhüttenfest; und man soll nicht leer vor dem Angesicht des Ewigen erscheinen.</w:t>
      </w:r>
    </w:p>
    <w:p w14:paraId="514906D2" w14:textId="77777777" w:rsidR="00C90AB0" w:rsidRDefault="004F5CEB" w:rsidP="00C90AB0">
      <w:r>
        <w:rPr>
          <w:noProof/>
        </w:rPr>
        <w:lastRenderedPageBreak/>
        <w:pict w14:anchorId="6E61BDB2">
          <v:rect id="_x0000_i1483" style="width:0;height:1.5pt" o:hralign="center" o:hrstd="t" o:hr="t" fillcolor="#a0a0a0" stroked="f"/>
        </w:pict>
      </w:r>
    </w:p>
    <w:p w14:paraId="79978299"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שָׁלוֹשׁ פְּעָמִים בַּשָּׁנָה יֵרָאֶה כָל־זְכוּרְךָ אֶת־פְּנֵי יְהוָה אֱלֹהֶיךָ בַּמָּקוֹם אֲשֶׁר יִבְחָר</w:t>
      </w:r>
      <w:r>
        <w:rPr>
          <w:rtl/>
        </w:rPr>
        <w:t xml:space="preserve"> </w:t>
      </w:r>
      <w:r>
        <w:t xml:space="preserve">ist der Hauptsatz: </w:t>
      </w:r>
      <w:r>
        <w:rPr>
          <w:rStyle w:val="Fett"/>
          <w:rFonts w:eastAsiaTheme="majorEastAsia"/>
          <w:rtl/>
        </w:rPr>
        <w:t>שָׁלוֹשׁ פְּעָמִים בַּשָּׁנָה</w:t>
      </w:r>
      <w:r>
        <w:rPr>
          <w:rtl/>
        </w:rPr>
        <w:t xml:space="preserve"> </w:t>
      </w:r>
      <w:r>
        <w:t>(</w:t>
      </w:r>
      <w:r>
        <w:rPr>
          <w:rStyle w:val="Fett"/>
          <w:rFonts w:eastAsiaTheme="majorEastAsia"/>
          <w:rtl/>
        </w:rPr>
        <w:t>שָׁלוֹשׁ</w:t>
      </w:r>
      <w:r>
        <w:t xml:space="preserve">, „drei", </w:t>
      </w:r>
      <w:r>
        <w:rPr>
          <w:rStyle w:val="Fett"/>
          <w:rFonts w:eastAsiaTheme="majorEastAsia"/>
          <w:rtl/>
        </w:rPr>
        <w:t>פַּעַם</w:t>
      </w:r>
      <w:r>
        <w:t xml:space="preserve">, „Mal", Plural, </w:t>
      </w:r>
      <w:r>
        <w:rPr>
          <w:rStyle w:val="Fett"/>
          <w:rFonts w:eastAsiaTheme="majorEastAsia"/>
          <w:rtl/>
        </w:rPr>
        <w:t>בַּשָּׁנָה</w:t>
      </w:r>
      <w:r>
        <w:t xml:space="preserve">, „im Jahr", „dreimal im Jahr"), </w:t>
      </w:r>
      <w:r>
        <w:rPr>
          <w:rStyle w:val="Fett"/>
          <w:rFonts w:eastAsiaTheme="majorEastAsia"/>
          <w:rtl/>
        </w:rPr>
        <w:t>יֵרָאֶה</w:t>
      </w:r>
      <w:r>
        <w:rPr>
          <w:rtl/>
        </w:rPr>
        <w:t xml:space="preserve"> </w:t>
      </w:r>
      <w:r>
        <w:t xml:space="preserve">(Niphal Imperfekt, 3. Person Maskulinum Singular von </w:t>
      </w:r>
      <w:r>
        <w:rPr>
          <w:rStyle w:val="Fett"/>
          <w:rFonts w:eastAsiaTheme="majorEastAsia"/>
          <w:rtl/>
        </w:rPr>
        <w:t>ראה</w:t>
      </w:r>
      <w:r>
        <w:t xml:space="preserve">, „sehen", reflexiv „erscheinen, sich sehen lassen"), </w:t>
      </w:r>
      <w:r>
        <w:rPr>
          <w:rStyle w:val="Fett"/>
          <w:rFonts w:eastAsiaTheme="majorEastAsia"/>
          <w:rtl/>
        </w:rPr>
        <w:t>כָל־זְכוּרְךָ</w:t>
      </w:r>
      <w:r>
        <w:rPr>
          <w:rtl/>
        </w:rPr>
        <w:t xml:space="preserve"> </w:t>
      </w:r>
      <w:r>
        <w:t>(</w:t>
      </w:r>
      <w:r>
        <w:rPr>
          <w:rStyle w:val="Fett"/>
          <w:rFonts w:eastAsiaTheme="majorEastAsia"/>
          <w:rtl/>
        </w:rPr>
        <w:t>כֹּל</w:t>
      </w:r>
      <w:r>
        <w:t xml:space="preserve">, „all", im Construct mit </w:t>
      </w:r>
      <w:r>
        <w:rPr>
          <w:rStyle w:val="Fett"/>
          <w:rFonts w:eastAsiaTheme="majorEastAsia"/>
          <w:rtl/>
        </w:rPr>
        <w:t>זָכוּר</w:t>
      </w:r>
      <w:r>
        <w:t xml:space="preserve">, „Männliches, männliche Person", mit Suffix 2. Person Maskulinum Singular, „alles Männliche bei dir"), </w:t>
      </w:r>
      <w:r>
        <w:rPr>
          <w:rStyle w:val="Fett"/>
          <w:rFonts w:eastAsiaTheme="majorEastAsia"/>
          <w:rtl/>
        </w:rPr>
        <w:t>אֶת־פְּנֵי יְהוָה אֱלֹהֶיךָ</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פָּנֶה</w:t>
      </w:r>
      <w:r>
        <w:t xml:space="preserve">, „Angesicht", Plural Construct, mit </w:t>
      </w:r>
      <w:r>
        <w:rPr>
          <w:rStyle w:val="Fett"/>
          <w:rFonts w:eastAsiaTheme="majorEastAsia"/>
          <w:rtl/>
        </w:rPr>
        <w:t>יְהוָה אֱלֹהֶיךָ</w:t>
      </w:r>
      <w:r>
        <w:t xml:space="preserve">, „vor dem Angesicht JHWHs, deines Gottes"), </w:t>
      </w:r>
      <w:r>
        <w:rPr>
          <w:rStyle w:val="Fett"/>
          <w:rFonts w:eastAsiaTheme="majorEastAsia"/>
          <w:rtl/>
        </w:rPr>
        <w:t>בַּמָּקוֹם אֲשֶׁר יִבְחָר</w:t>
      </w:r>
      <w:r>
        <w:rPr>
          <w:rtl/>
        </w:rPr>
        <w:t xml:space="preserve"> </w:t>
      </w:r>
      <w:r>
        <w:t>(lokale Bestimmung).</w:t>
      </w:r>
    </w:p>
    <w:p w14:paraId="447A1F64" w14:textId="77777777" w:rsidR="00C90AB0" w:rsidRDefault="00C90AB0" w:rsidP="00C90AB0">
      <w:pPr>
        <w:pStyle w:val="whitespace-normal"/>
      </w:pPr>
      <w:r>
        <w:rPr>
          <w:rStyle w:val="Fett"/>
          <w:rFonts w:eastAsiaTheme="majorEastAsia"/>
          <w:rtl/>
        </w:rPr>
        <w:t>בְּחַג הַמַּצּוֹת וּבְחַג הַשָּׁבֻעוֹת וּבְחַג הַסֻּכֹּת</w:t>
      </w:r>
      <w:r>
        <w:rPr>
          <w:rtl/>
        </w:rPr>
        <w:t xml:space="preserve"> </w:t>
      </w:r>
      <w:r>
        <w:t xml:space="preserve">ist die zeitliche Spezifikation: </w:t>
      </w:r>
      <w:r>
        <w:rPr>
          <w:rStyle w:val="Fett"/>
          <w:rFonts w:eastAsiaTheme="majorEastAsia"/>
          <w:rtl/>
        </w:rPr>
        <w:t>בְּחַג הַמַּצּוֹת</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חַג</w:t>
      </w:r>
      <w:r>
        <w:t xml:space="preserve">, Construct mit </w:t>
      </w:r>
      <w:r>
        <w:rPr>
          <w:rStyle w:val="Fett"/>
          <w:rFonts w:eastAsiaTheme="majorEastAsia"/>
          <w:rtl/>
        </w:rPr>
        <w:t>מַצָּה</w:t>
      </w:r>
      <w:r>
        <w:t xml:space="preserve">, Plural mit Artikel, „am Fest der Ungesäuerten Brote"), koordiniert durch </w:t>
      </w:r>
      <w:r>
        <w:rPr>
          <w:rStyle w:val="Fett"/>
          <w:rFonts w:eastAsiaTheme="majorEastAsia"/>
          <w:rtl/>
        </w:rPr>
        <w:t>וּבְ</w:t>
      </w:r>
      <w:r>
        <w:rPr>
          <w:rtl/>
        </w:rPr>
        <w:t xml:space="preserve"> </w:t>
      </w:r>
      <w:r>
        <w:t xml:space="preserve">mit </w:t>
      </w:r>
      <w:r>
        <w:rPr>
          <w:rStyle w:val="Fett"/>
          <w:rFonts w:eastAsiaTheme="majorEastAsia"/>
          <w:rtl/>
        </w:rPr>
        <w:t>חַג הַשָּׁבֻעוֹת</w:t>
      </w:r>
      <w:r>
        <w:rPr>
          <w:rtl/>
        </w:rPr>
        <w:t xml:space="preserve"> </w:t>
      </w:r>
      <w:r>
        <w:t xml:space="preserve">(„Fest der Wochen") und </w:t>
      </w:r>
      <w:r>
        <w:rPr>
          <w:rStyle w:val="Fett"/>
          <w:rFonts w:eastAsiaTheme="majorEastAsia"/>
          <w:rtl/>
        </w:rPr>
        <w:t>חַג הַסֻּכֹּת</w:t>
      </w:r>
      <w:r>
        <w:rPr>
          <w:rtl/>
        </w:rPr>
        <w:t xml:space="preserve"> </w:t>
      </w:r>
      <w:r>
        <w:t>(„Laubhüttenfest").</w:t>
      </w:r>
    </w:p>
    <w:p w14:paraId="1C132A41" w14:textId="77777777" w:rsidR="00C90AB0" w:rsidRDefault="00C90AB0" w:rsidP="00C90AB0">
      <w:pPr>
        <w:pStyle w:val="whitespace-normal"/>
      </w:pPr>
      <w:r>
        <w:rPr>
          <w:rStyle w:val="Fett"/>
          <w:rFonts w:eastAsiaTheme="majorEastAsia"/>
          <w:rtl/>
        </w:rPr>
        <w:t>וְלֹא יֵרָאֶה אֶת־פְּנֵי יְהוָה רֵיקָם</w:t>
      </w:r>
      <w:r>
        <w:rPr>
          <w:rtl/>
        </w:rPr>
        <w:t xml:space="preserve"> </w:t>
      </w:r>
      <w:r>
        <w:t xml:space="preserve">ist der zweite Imperativsatz: </w:t>
      </w:r>
      <w:r>
        <w:rPr>
          <w:rStyle w:val="Fett"/>
          <w:rFonts w:eastAsiaTheme="majorEastAsia"/>
          <w:rtl/>
        </w:rPr>
        <w:t>וְלֹא יֵרָאֶה</w:t>
      </w:r>
      <w:r>
        <w:rPr>
          <w:rtl/>
        </w:rPr>
        <w:t xml:space="preserve"> </w:t>
      </w:r>
      <w:r>
        <w:t xml:space="preserve">(Niphal Imperfekt von </w:t>
      </w:r>
      <w:r>
        <w:rPr>
          <w:rStyle w:val="Fett"/>
          <w:rFonts w:eastAsiaTheme="majorEastAsia"/>
          <w:rtl/>
        </w:rPr>
        <w:t>ראה</w:t>
      </w:r>
      <w:r>
        <w:t xml:space="preserve">, mit Negation), </w:t>
      </w:r>
      <w:r>
        <w:rPr>
          <w:rStyle w:val="Fett"/>
          <w:rFonts w:eastAsiaTheme="majorEastAsia"/>
          <w:rtl/>
        </w:rPr>
        <w:t>אֶת־פְּנֵי יְהוָה</w:t>
      </w:r>
      <w:r>
        <w:t xml:space="preserve">, </w:t>
      </w:r>
      <w:r>
        <w:rPr>
          <w:rStyle w:val="Fett"/>
          <w:rFonts w:eastAsiaTheme="majorEastAsia"/>
          <w:rtl/>
        </w:rPr>
        <w:t>רֵיקָם</w:t>
      </w:r>
      <w:r>
        <w:rPr>
          <w:rtl/>
        </w:rPr>
        <w:t xml:space="preserve"> </w:t>
      </w:r>
      <w:r>
        <w:t>(Adverb, „leer, mit leeren Händen").</w:t>
      </w:r>
    </w:p>
    <w:p w14:paraId="2648BACF" w14:textId="019C0FB5" w:rsidR="00C90AB0" w:rsidRDefault="00C90AB0" w:rsidP="00C90AB0">
      <w:pPr>
        <w:pStyle w:val="whitespace-normal"/>
      </w:pPr>
      <w:r>
        <w:t xml:space="preserve">Der Vers fasst die drei Wallfahrtsfeste zusammen (vgl. Ex 23,14-17; 34,23). Die Formulierung </w:t>
      </w:r>
      <w:r>
        <w:rPr>
          <w:rStyle w:val="Fett"/>
          <w:rFonts w:eastAsiaTheme="majorEastAsia"/>
          <w:rtl/>
        </w:rPr>
        <w:t>כָל־זְכוּרְךָ</w:t>
      </w:r>
      <w:r>
        <w:rPr>
          <w:rtl/>
        </w:rPr>
        <w:t xml:space="preserve"> </w:t>
      </w:r>
      <w:r>
        <w:t xml:space="preserve">(„alles Männliche bei dir") bezeichnet alle männlichen Israeliten – die Wallfahrtspflicht gilt primär für Männer (vgl. jedoch V. 11.14: Frauen nehmen teil). Die Wendung </w:t>
      </w:r>
      <w:r>
        <w:rPr>
          <w:rStyle w:val="Fett"/>
          <w:rFonts w:eastAsiaTheme="majorEastAsia"/>
          <w:rtl/>
        </w:rPr>
        <w:t>רֵיקָם</w:t>
      </w:r>
      <w:r>
        <w:rPr>
          <w:rtl/>
        </w:rPr>
        <w:t xml:space="preserve"> </w:t>
      </w:r>
      <w:r>
        <w:t>(„leer, mit leeren Händen") wird in V. 17 konkretisiert.</w:t>
      </w:r>
    </w:p>
    <w:p w14:paraId="5B13458E" w14:textId="3E33BEC5" w:rsidR="0082305E" w:rsidRDefault="0082305E" w:rsidP="00C90AB0">
      <w:pPr>
        <w:pStyle w:val="whitespace-normal"/>
      </w:pPr>
      <w:r>
        <w:rPr>
          <w:rStyle w:val="Fett"/>
        </w:rPr>
        <w:t>Die LXX</w:t>
      </w:r>
      <w:r>
        <w:t xml:space="preserve"> übersetzt </w:t>
      </w:r>
      <w:r w:rsidRPr="0082305E">
        <w:rPr>
          <w:b/>
          <w:bCs/>
          <w:rtl/>
        </w:rPr>
        <w:t>חַג הַשָּׁבֻעוֹת</w:t>
      </w:r>
      <w:r>
        <w:t xml:space="preserve"> (Fest der Wochen) mit </w:t>
      </w:r>
      <w:proofErr w:type="spellStart"/>
      <w:r>
        <w:t>ἑορτὴ</w:t>
      </w:r>
      <w:proofErr w:type="spellEnd"/>
      <w:r>
        <w:t xml:space="preserve"> </w:t>
      </w:r>
      <w:proofErr w:type="spellStart"/>
      <w:r>
        <w:t>τῶν</w:t>
      </w:r>
      <w:proofErr w:type="spellEnd"/>
      <w:r>
        <w:t xml:space="preserve"> ἑβ</w:t>
      </w:r>
      <w:proofErr w:type="spellStart"/>
      <w:r>
        <w:t>δομάδων</w:t>
      </w:r>
      <w:proofErr w:type="spellEnd"/>
      <w:r>
        <w:t xml:space="preserve">, aber </w:t>
      </w:r>
      <w:r w:rsidRPr="0082305E">
        <w:rPr>
          <w:b/>
          <w:bCs/>
          <w:rtl/>
        </w:rPr>
        <w:t>חַג הַסֻּכּוֹת</w:t>
      </w:r>
      <w:r>
        <w:t xml:space="preserve"> (Fest der Hütten) mit </w:t>
      </w:r>
      <w:proofErr w:type="spellStart"/>
      <w:r>
        <w:t>ἑορτὴ</w:t>
      </w:r>
      <w:proofErr w:type="spellEnd"/>
      <w:r>
        <w:t xml:space="preserve"> </w:t>
      </w:r>
      <w:proofErr w:type="spellStart"/>
      <w:r>
        <w:t>τῆς</w:t>
      </w:r>
      <w:proofErr w:type="spellEnd"/>
      <w:r>
        <w:t xml:space="preserve"> </w:t>
      </w:r>
      <w:proofErr w:type="spellStart"/>
      <w:r>
        <w:t>σκηνο</w:t>
      </w:r>
      <w:proofErr w:type="spellEnd"/>
      <w:r>
        <w:t>πηγίας (Fest der Hüttenerrichtung) – ein zusammengesetzter Begriff, der die Aktivität des Hüttenbauens betont.</w:t>
      </w:r>
    </w:p>
    <w:p w14:paraId="4F335DB5" w14:textId="77777777" w:rsidR="00C90AB0" w:rsidRDefault="00C90AB0" w:rsidP="00C90AB0">
      <w:pPr>
        <w:pStyle w:val="whitespace-normal"/>
      </w:pPr>
      <w:r>
        <w:rPr>
          <w:rStyle w:val="Fett"/>
          <w:rFonts w:eastAsiaTheme="majorEastAsia"/>
        </w:rPr>
        <w:t>Die Satzstruktur:</w:t>
      </w:r>
      <w:r>
        <w:t xml:space="preserve"> Hauptsatz mit dreifacher temporaler Spezifikation und negativer Imperativsatz (dreimal im Jahr erscheinen soll alles Männliche bei dir vor dem Angesicht JHWHs, deines Gottes, an dem Ort, den erwählen wird er, am Fest der Ungesäuerten Brote und am Fest der Wochen und am Laubhüttenfest; und nicht soll man erscheinen vor dem Angesicht JHWHs leer).</w:t>
      </w:r>
    </w:p>
    <w:p w14:paraId="009EBFAD" w14:textId="77777777" w:rsidR="00C90AB0" w:rsidRDefault="00C90AB0" w:rsidP="00C90AB0">
      <w:pPr>
        <w:pStyle w:val="whitespace-normal"/>
      </w:pPr>
      <w:r>
        <w:t>Der Vers fasst zusammen: Dreimal jährlich sollen alle Männer am Heiligtum bei den drei Festen erscheinen – nicht mit leeren Händen.</w:t>
      </w:r>
    </w:p>
    <w:p w14:paraId="652BF7EF"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16,17</w:t>
      </w:r>
    </w:p>
    <w:p w14:paraId="62D36C7B" w14:textId="77777777" w:rsidR="00C90AB0" w:rsidRDefault="00C90AB0" w:rsidP="00C90AB0">
      <w:pPr>
        <w:pStyle w:val="whitespace-normal"/>
      </w:pPr>
      <w:r>
        <w:rPr>
          <w:rStyle w:val="Fett"/>
          <w:rFonts w:eastAsiaTheme="majorEastAsia"/>
        </w:rPr>
        <w:t>Hebräisch:</w:t>
      </w:r>
      <w:r>
        <w:t xml:space="preserve"> </w:t>
      </w:r>
      <w:r>
        <w:rPr>
          <w:rtl/>
        </w:rPr>
        <w:t>אִ֖ישׁ כְּמַתְּנַ֣ת יָדֹ֑ו כְּבִרְכַּ֛ת יְהוָ֥ה אֱלֹהֶ֖יךָ אֲשֶׁ֥ר נָֽתַן־לָֽךְ׃</w:t>
      </w:r>
    </w:p>
    <w:p w14:paraId="63F59C20" w14:textId="77777777" w:rsidR="00C90AB0" w:rsidRDefault="00C90AB0" w:rsidP="00C90AB0">
      <w:pPr>
        <w:pStyle w:val="whitespace-normal"/>
      </w:pPr>
      <w:r>
        <w:rPr>
          <w:rStyle w:val="Fett"/>
          <w:rFonts w:eastAsiaTheme="majorEastAsia"/>
        </w:rPr>
        <w:t>Deutsch:</w:t>
      </w:r>
      <w:r>
        <w:t xml:space="preserve"> Jeder nach der Gabe seiner Hand, nach dem Segen des Ewigen, deines Gottes, den er dir gegeben hat.</w:t>
      </w:r>
    </w:p>
    <w:p w14:paraId="6073519D" w14:textId="77777777" w:rsidR="00C90AB0" w:rsidRDefault="004F5CEB" w:rsidP="00C90AB0">
      <w:r>
        <w:rPr>
          <w:noProof/>
        </w:rPr>
        <w:pict w14:anchorId="36B73700">
          <v:rect id="_x0000_i1484" style="width:0;height:1.5pt" o:hralign="center" o:hrstd="t" o:hr="t" fillcolor="#a0a0a0" stroked="f"/>
        </w:pict>
      </w:r>
    </w:p>
    <w:p w14:paraId="430ED3A5"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אִישׁ כְּמַתְּנַת יָדוֹ כְּבִרְכַּת יְהוָה אֱלֹהֶיךָ אֲשֶׁר נָתַן־לָךְ</w:t>
      </w:r>
      <w:r>
        <w:rPr>
          <w:rtl/>
        </w:rPr>
        <w:t xml:space="preserve"> </w:t>
      </w:r>
      <w:r>
        <w:t xml:space="preserve">ist ein elliptischer Nominalsatz: </w:t>
      </w:r>
      <w:r>
        <w:rPr>
          <w:rStyle w:val="Fett"/>
          <w:rFonts w:eastAsiaTheme="majorEastAsia"/>
          <w:rtl/>
        </w:rPr>
        <w:t>אִישׁ</w:t>
      </w:r>
      <w:r>
        <w:rPr>
          <w:rtl/>
        </w:rPr>
        <w:t xml:space="preserve"> </w:t>
      </w:r>
      <w:r>
        <w:t>(</w:t>
      </w:r>
      <w:r>
        <w:rPr>
          <w:rStyle w:val="Fett"/>
          <w:rFonts w:eastAsiaTheme="majorEastAsia"/>
          <w:rtl/>
        </w:rPr>
        <w:t>אִישׁ</w:t>
      </w:r>
      <w:r>
        <w:t xml:space="preserve">, „Mann, jeder"), </w:t>
      </w:r>
      <w:r>
        <w:rPr>
          <w:rStyle w:val="Fett"/>
          <w:rFonts w:eastAsiaTheme="majorEastAsia"/>
          <w:rtl/>
        </w:rPr>
        <w:t>כְּמַתְּנַת יָדוֹ</w:t>
      </w:r>
      <w:r>
        <w:rPr>
          <w:rtl/>
        </w:rPr>
        <w:t xml:space="preserve"> </w:t>
      </w:r>
      <w:r>
        <w:t xml:space="preserve">(Präposition </w:t>
      </w:r>
      <w:r>
        <w:rPr>
          <w:rStyle w:val="Fett"/>
          <w:rFonts w:eastAsiaTheme="majorEastAsia"/>
          <w:rtl/>
        </w:rPr>
        <w:t>כְּ</w:t>
      </w:r>
      <w:r>
        <w:t xml:space="preserve">, „nach, gemäß", mit </w:t>
      </w:r>
      <w:r>
        <w:rPr>
          <w:rStyle w:val="Fett"/>
          <w:rFonts w:eastAsiaTheme="majorEastAsia"/>
          <w:rtl/>
        </w:rPr>
        <w:t>מַתָּת</w:t>
      </w:r>
      <w:r>
        <w:t xml:space="preserve">, „Gabe", Construct mit </w:t>
      </w:r>
      <w:r>
        <w:rPr>
          <w:rStyle w:val="Fett"/>
          <w:rFonts w:eastAsiaTheme="majorEastAsia"/>
          <w:rtl/>
        </w:rPr>
        <w:t>יָד</w:t>
      </w:r>
      <w:r>
        <w:t xml:space="preserve">, „Hand", mit Suffix 3. Person Maskulinum Singular, „nach der Gabe seiner Hand"), </w:t>
      </w:r>
      <w:r>
        <w:rPr>
          <w:rStyle w:val="Fett"/>
          <w:rFonts w:eastAsiaTheme="majorEastAsia"/>
          <w:rtl/>
        </w:rPr>
        <w:lastRenderedPageBreak/>
        <w:t>כְּבִרְכַּת יְהוָה אֱלֹהֶיךָ</w:t>
      </w:r>
      <w:r>
        <w:rPr>
          <w:rtl/>
        </w:rPr>
        <w:t xml:space="preserve"> </w:t>
      </w:r>
      <w:r>
        <w:t xml:space="preserve">(Präposition </w:t>
      </w:r>
      <w:r>
        <w:rPr>
          <w:rStyle w:val="Fett"/>
          <w:rFonts w:eastAsiaTheme="majorEastAsia"/>
          <w:rtl/>
        </w:rPr>
        <w:t>כְּ</w:t>
      </w:r>
      <w:r>
        <w:rPr>
          <w:rtl/>
        </w:rPr>
        <w:t xml:space="preserve"> </w:t>
      </w:r>
      <w:r>
        <w:t xml:space="preserve">mit </w:t>
      </w:r>
      <w:r>
        <w:rPr>
          <w:rStyle w:val="Fett"/>
          <w:rFonts w:eastAsiaTheme="majorEastAsia"/>
          <w:rtl/>
        </w:rPr>
        <w:t>בְּרָכָה</w:t>
      </w:r>
      <w:r>
        <w:t xml:space="preserve">, „Segen", Construct mit </w:t>
      </w:r>
      <w:r>
        <w:rPr>
          <w:rStyle w:val="Fett"/>
          <w:rFonts w:eastAsiaTheme="majorEastAsia"/>
          <w:rtl/>
        </w:rPr>
        <w:t>יְהוָה אֱלֹהֶיךָ</w:t>
      </w:r>
      <w:r>
        <w:t xml:space="preserve">, „nach dem Segen JHWHs, deines Gottes"), </w:t>
      </w:r>
      <w:r>
        <w:rPr>
          <w:rStyle w:val="Fett"/>
          <w:rFonts w:eastAsiaTheme="majorEastAsia"/>
          <w:rtl/>
        </w:rPr>
        <w:t>אֲשֶׁר נָתַן־לָךְ</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נתן</w:t>
      </w:r>
      <w:r>
        <w:t xml:space="preserve">, Qal Perfekt, 3. Person Maskulinum Singular, „geben", mit </w:t>
      </w:r>
      <w:r>
        <w:rPr>
          <w:rStyle w:val="Fett"/>
          <w:rFonts w:eastAsiaTheme="majorEastAsia"/>
          <w:rtl/>
        </w:rPr>
        <w:t>לָךְ</w:t>
      </w:r>
      <w:r>
        <w:t>, „den er dir gegeben hat").</w:t>
      </w:r>
    </w:p>
    <w:p w14:paraId="2ADA3217" w14:textId="1C1E0D2E" w:rsidR="00C90AB0" w:rsidRDefault="00C90AB0" w:rsidP="00C90AB0">
      <w:pPr>
        <w:pStyle w:val="whitespace-normal"/>
      </w:pPr>
      <w:r>
        <w:t>Der Vers konkretisiert V. 16b (</w:t>
      </w:r>
      <w:r>
        <w:rPr>
          <w:rStyle w:val="Fett"/>
          <w:rFonts w:eastAsiaTheme="majorEastAsia"/>
          <w:rtl/>
        </w:rPr>
        <w:t>רֵיקָם</w:t>
      </w:r>
      <w:r>
        <w:t xml:space="preserve">, „leer"): Jeder soll entsprechend seiner Möglichkeiten geben. Die Wendung </w:t>
      </w:r>
      <w:r>
        <w:rPr>
          <w:rStyle w:val="Fett"/>
          <w:rFonts w:eastAsiaTheme="majorEastAsia"/>
          <w:rtl/>
        </w:rPr>
        <w:t>מַתְּנַת יָדוֹ</w:t>
      </w:r>
      <w:r>
        <w:rPr>
          <w:rtl/>
        </w:rPr>
        <w:t xml:space="preserve"> </w:t>
      </w:r>
      <w:r>
        <w:t xml:space="preserve">(„Gabe seiner Hand") bezeichnet, was jemand geben kann (vgl. V. 10). Die Gabe richtet sich </w:t>
      </w:r>
      <w:r>
        <w:rPr>
          <w:rStyle w:val="Fett"/>
          <w:rFonts w:eastAsiaTheme="majorEastAsia"/>
          <w:rtl/>
        </w:rPr>
        <w:t>כְּבִרְכַּת יְהוָה</w:t>
      </w:r>
      <w:r>
        <w:rPr>
          <w:rtl/>
        </w:rPr>
        <w:t xml:space="preserve"> </w:t>
      </w:r>
      <w:r>
        <w:t>(„nach dem Segen JHWHs") – wer mehr empfangen hat, gibt mehr (vgl. V. 10; 15,14).</w:t>
      </w:r>
    </w:p>
    <w:p w14:paraId="47EC6E7C" w14:textId="1A51C348" w:rsidR="0082305E" w:rsidRDefault="0082305E" w:rsidP="00C90AB0">
      <w:pPr>
        <w:pStyle w:val="whitespace-normal"/>
      </w:pPr>
      <w:r>
        <w:rPr>
          <w:rStyle w:val="Fett"/>
        </w:rPr>
        <w:t>Die LXX</w:t>
      </w:r>
      <w:r>
        <w:t xml:space="preserve"> übersetzt </w:t>
      </w:r>
      <w:r w:rsidRPr="0082305E">
        <w:rPr>
          <w:b/>
          <w:bCs/>
          <w:rtl/>
        </w:rPr>
        <w:t>אִישׁ כְּמַתְּנַת יָדוֹ</w:t>
      </w:r>
      <w:r>
        <w:t xml:space="preserve"> (jeder gemäß der Gabe seiner Hand) mit </w:t>
      </w:r>
      <w:proofErr w:type="spellStart"/>
      <w:r>
        <w:t>ἕκ</w:t>
      </w:r>
      <w:proofErr w:type="spellEnd"/>
      <w:r>
        <w:t>αστος κα</w:t>
      </w:r>
      <w:proofErr w:type="spellStart"/>
      <w:r>
        <w:t>τὰ</w:t>
      </w:r>
      <w:proofErr w:type="spellEnd"/>
      <w:r>
        <w:t xml:space="preserve"> </w:t>
      </w:r>
      <w:proofErr w:type="spellStart"/>
      <w:r>
        <w:t>δύν</w:t>
      </w:r>
      <w:proofErr w:type="spellEnd"/>
      <w:r>
        <w:t xml:space="preserve">αμιν </w:t>
      </w:r>
      <w:proofErr w:type="spellStart"/>
      <w:r>
        <w:t>τῶν</w:t>
      </w:r>
      <w:proofErr w:type="spellEnd"/>
      <w:r>
        <w:t xml:space="preserve"> </w:t>
      </w:r>
      <w:proofErr w:type="spellStart"/>
      <w:r>
        <w:t>χειρῶν</w:t>
      </w:r>
      <w:proofErr w:type="spellEnd"/>
      <w:r>
        <w:t xml:space="preserve"> </w:t>
      </w:r>
      <w:proofErr w:type="spellStart"/>
      <w:r>
        <w:t>ὑμῶν</w:t>
      </w:r>
      <w:proofErr w:type="spellEnd"/>
      <w:r>
        <w:t xml:space="preserve"> (jeder gemäß dem Vermögen eurer Hände) – eine Verschiebung zum Plural und von "Gabe" zu "Vermögen".</w:t>
      </w:r>
    </w:p>
    <w:p w14:paraId="0FC06B55" w14:textId="77777777" w:rsidR="00C90AB0" w:rsidRDefault="00C90AB0" w:rsidP="00C90AB0">
      <w:pPr>
        <w:pStyle w:val="whitespace-normal"/>
      </w:pPr>
      <w:r>
        <w:rPr>
          <w:rStyle w:val="Fett"/>
          <w:rFonts w:eastAsiaTheme="majorEastAsia"/>
        </w:rPr>
        <w:t>Die Satzstruktur:</w:t>
      </w:r>
      <w:r>
        <w:t xml:space="preserve"> Elliptischer Nominalsatz (jeder nach der Gabe seiner Hand, nach dem Segen JHWHs, deines Gottes, den er gegeben hat dir).</w:t>
      </w:r>
    </w:p>
    <w:p w14:paraId="63E26096" w14:textId="77777777" w:rsidR="00C90AB0" w:rsidRDefault="00C90AB0" w:rsidP="00C90AB0">
      <w:pPr>
        <w:pStyle w:val="whitespace-normal"/>
      </w:pPr>
      <w:r>
        <w:t>Der Vers konkretisiert: Jeder soll entsprechend dem geben, was er von JHWH als Segen empfangen hat.</w:t>
      </w:r>
    </w:p>
    <w:p w14:paraId="7EA049FB"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16,18</w:t>
      </w:r>
    </w:p>
    <w:p w14:paraId="66432D2C" w14:textId="77777777" w:rsidR="00C90AB0" w:rsidRDefault="00C90AB0" w:rsidP="00C90AB0">
      <w:pPr>
        <w:pStyle w:val="whitespace-normal"/>
      </w:pPr>
      <w:r>
        <w:rPr>
          <w:rStyle w:val="Fett"/>
          <w:rFonts w:eastAsiaTheme="majorEastAsia"/>
        </w:rPr>
        <w:t>Hebräisch:</w:t>
      </w:r>
      <w:r>
        <w:t xml:space="preserve"> </w:t>
      </w:r>
      <w:r>
        <w:rPr>
          <w:rtl/>
        </w:rPr>
        <w:t>שֹׁפְטִ֣ים וְשֹֽׁטְרִ֗ים תִּֽתֶּן־לְךָ֙ בְּכָל־שְׁעָרֶ֔יךָ אֲשֶׁ֨ר יְהוָ֧ה אֱלֹהֶ֛יךָ נֹתֵ֥ן לְךָ֖ לִשְׁבָטֶ֑יךָ וְשָׁפְט֥וּ אֶת־הָעָ֖ם מִשְׁפַּט־צֶֽדֶק׃</w:t>
      </w:r>
    </w:p>
    <w:p w14:paraId="3A28EF17" w14:textId="77777777" w:rsidR="00C90AB0" w:rsidRDefault="00C90AB0" w:rsidP="00C90AB0">
      <w:pPr>
        <w:pStyle w:val="whitespace-normal"/>
      </w:pPr>
      <w:r>
        <w:rPr>
          <w:rStyle w:val="Fett"/>
          <w:rFonts w:eastAsiaTheme="majorEastAsia"/>
        </w:rPr>
        <w:t>Deutsch:</w:t>
      </w:r>
      <w:r>
        <w:t xml:space="preserve"> Richter und Beamte sollst du dir einsetzen in allen deinen Toren, die der Ewige, dein Gott, dir gibt, für deine Stämme; und sie sollen das Volk richten mit gerechtem Gericht.</w:t>
      </w:r>
    </w:p>
    <w:p w14:paraId="4F6913BB" w14:textId="77777777" w:rsidR="00C90AB0" w:rsidRDefault="004F5CEB" w:rsidP="00C90AB0">
      <w:r>
        <w:rPr>
          <w:noProof/>
        </w:rPr>
        <w:pict w14:anchorId="2DC5C39B">
          <v:rect id="_x0000_i1485" style="width:0;height:1.5pt" o:hralign="center" o:hrstd="t" o:hr="t" fillcolor="#a0a0a0" stroked="f"/>
        </w:pict>
      </w:r>
    </w:p>
    <w:p w14:paraId="0D26C6A0"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שֹׁפְטִים וְשֹׁטְרִים תִּתֶּן־לְךָ בְּכָל־שְׁעָרֶיךָ אֲשֶׁר יְהוָה אֱלֹהֶיךָ נֹתֵן לְךָ לִשְׁבָטֶיךָ</w:t>
      </w:r>
      <w:r>
        <w:rPr>
          <w:rtl/>
        </w:rPr>
        <w:t xml:space="preserve"> </w:t>
      </w:r>
      <w:r>
        <w:t xml:space="preserve">ist ein Imperativsatz: </w:t>
      </w:r>
      <w:r>
        <w:rPr>
          <w:rStyle w:val="Fett"/>
          <w:rFonts w:eastAsiaTheme="majorEastAsia"/>
          <w:rtl/>
        </w:rPr>
        <w:t>שֹׁפְטִים וְשֹׁטְרִים</w:t>
      </w:r>
      <w:r>
        <w:rPr>
          <w:rtl/>
        </w:rPr>
        <w:t xml:space="preserve"> </w:t>
      </w:r>
      <w:r>
        <w:t>(</w:t>
      </w:r>
      <w:r>
        <w:rPr>
          <w:rStyle w:val="Fett"/>
          <w:rFonts w:eastAsiaTheme="majorEastAsia"/>
          <w:rtl/>
        </w:rPr>
        <w:t>שֹׁפֵט</w:t>
      </w:r>
      <w:r>
        <w:t xml:space="preserve">, „Richter", Plural, koordiniert durch </w:t>
      </w:r>
      <w:r>
        <w:rPr>
          <w:rStyle w:val="Fett"/>
          <w:rFonts w:eastAsiaTheme="majorEastAsia"/>
          <w:rtl/>
        </w:rPr>
        <w:t>וְ</w:t>
      </w:r>
      <w:r>
        <w:rPr>
          <w:rtl/>
        </w:rPr>
        <w:t xml:space="preserve"> </w:t>
      </w:r>
      <w:r>
        <w:t xml:space="preserve">mit </w:t>
      </w:r>
      <w:r>
        <w:rPr>
          <w:rStyle w:val="Fett"/>
          <w:rFonts w:eastAsiaTheme="majorEastAsia"/>
          <w:rtl/>
        </w:rPr>
        <w:t>שֹׁטֵר</w:t>
      </w:r>
      <w:r>
        <w:t xml:space="preserve">, „Beamter, Aufseher", Plural), </w:t>
      </w:r>
      <w:r>
        <w:rPr>
          <w:rStyle w:val="Fett"/>
          <w:rFonts w:eastAsiaTheme="majorEastAsia"/>
          <w:rtl/>
        </w:rPr>
        <w:t>תִּתֶּן־לְךָ</w:t>
      </w:r>
      <w:r>
        <w:rPr>
          <w:rtl/>
        </w:rPr>
        <w:t xml:space="preserve"> </w:t>
      </w:r>
      <w:r>
        <w:t xml:space="preserve">(Qal Imperfekt, 2. Person Maskulinum Singular von </w:t>
      </w:r>
      <w:r>
        <w:rPr>
          <w:rStyle w:val="Fett"/>
          <w:rFonts w:eastAsiaTheme="majorEastAsia"/>
          <w:rtl/>
        </w:rPr>
        <w:t>נתן</w:t>
      </w:r>
      <w:r>
        <w:t xml:space="preserve">, „geben, einsetzen", mit </w:t>
      </w:r>
      <w:r>
        <w:rPr>
          <w:rStyle w:val="Fett"/>
          <w:rFonts w:eastAsiaTheme="majorEastAsia"/>
          <w:rtl/>
        </w:rPr>
        <w:t>לְךָ</w:t>
      </w:r>
      <w:r>
        <w:t xml:space="preserve">, ethischer Dativ), </w:t>
      </w:r>
      <w:r>
        <w:rPr>
          <w:rStyle w:val="Fett"/>
          <w:rFonts w:eastAsiaTheme="majorEastAsia"/>
          <w:rtl/>
        </w:rPr>
        <w:t>בְּכָל־שְׁעָרֶיךָ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כֹּל</w:t>
      </w:r>
      <w:r>
        <w:t xml:space="preserve">, Construct mit </w:t>
      </w:r>
      <w:r>
        <w:rPr>
          <w:rStyle w:val="Fett"/>
          <w:rFonts w:eastAsiaTheme="majorEastAsia"/>
          <w:rtl/>
        </w:rPr>
        <w:t>שַׁעַר</w:t>
      </w:r>
      <w:r>
        <w:t xml:space="preserve">, Plural mit Suffix 2. Person Maskulinum Singular, „in allen deinen Toren"), </w:t>
      </w:r>
      <w:r>
        <w:rPr>
          <w:rStyle w:val="Fett"/>
          <w:rFonts w:eastAsiaTheme="majorEastAsia"/>
          <w:rtl/>
        </w:rPr>
        <w:t>אֲשֶׁר יְהוָה אֱלֹהֶיךָ נֹתֵן לְךָ</w:t>
      </w:r>
      <w:r>
        <w:rPr>
          <w:rtl/>
        </w:rPr>
        <w:t xml:space="preserve"> </w:t>
      </w:r>
      <w:r>
        <w:t xml:space="preserve">(Relativsatz), </w:t>
      </w:r>
      <w:r>
        <w:rPr>
          <w:rStyle w:val="Fett"/>
          <w:rFonts w:eastAsiaTheme="majorEastAsia"/>
          <w:rtl/>
        </w:rPr>
        <w:t>לִשְׁבָטֶיךָ</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שֵׁבֶט</w:t>
      </w:r>
      <w:r>
        <w:t>, „Stamm", Plural mit Suffix 2. Person Maskulinum Singular, „für deine Stämme").</w:t>
      </w:r>
    </w:p>
    <w:p w14:paraId="239EABDD" w14:textId="77777777" w:rsidR="00C90AB0" w:rsidRDefault="00C90AB0" w:rsidP="00C90AB0">
      <w:pPr>
        <w:pStyle w:val="whitespace-normal"/>
      </w:pPr>
      <w:r>
        <w:rPr>
          <w:rStyle w:val="Fett"/>
          <w:rFonts w:eastAsiaTheme="majorEastAsia"/>
          <w:rtl/>
        </w:rPr>
        <w:t>וְשָׁפְטוּ אֶת־הָעָם מִשְׁפַּט־צֶדֶק</w:t>
      </w:r>
      <w:r>
        <w:rPr>
          <w:rtl/>
        </w:rPr>
        <w:t xml:space="preserve"> </w:t>
      </w:r>
      <w:r>
        <w:t xml:space="preserve">ist der Folgesatz: </w:t>
      </w:r>
      <w:r>
        <w:rPr>
          <w:rStyle w:val="Fett"/>
          <w:rFonts w:eastAsiaTheme="majorEastAsia"/>
          <w:rtl/>
        </w:rPr>
        <w:t>וְשָׁפְטוּ</w:t>
      </w:r>
      <w:r>
        <w:rPr>
          <w:rtl/>
        </w:rPr>
        <w:t xml:space="preserve"> </w:t>
      </w:r>
      <w:r>
        <w:t xml:space="preserve">(Qal Perfekt, 3. Person Plural von </w:t>
      </w:r>
      <w:r>
        <w:rPr>
          <w:rStyle w:val="Fett"/>
          <w:rFonts w:eastAsiaTheme="majorEastAsia"/>
          <w:rtl/>
        </w:rPr>
        <w:t>שׁפט</w:t>
      </w:r>
      <w:r>
        <w:t xml:space="preserve">, „richten", mit </w:t>
      </w:r>
      <w:r>
        <w:rPr>
          <w:rStyle w:val="Fett"/>
          <w:rFonts w:eastAsiaTheme="majorEastAsia"/>
        </w:rPr>
        <w:t>Waw</w:t>
      </w:r>
      <w:r>
        <w:t xml:space="preserve"> consecutives Perfekt), </w:t>
      </w:r>
      <w:r>
        <w:rPr>
          <w:rStyle w:val="Fett"/>
          <w:rFonts w:eastAsiaTheme="majorEastAsia"/>
          <w:rtl/>
        </w:rPr>
        <w:t>אֶת־הָעָם</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עַם</w:t>
      </w:r>
      <w:r>
        <w:t xml:space="preserve">, „Volk", mit Artikel, „das Volk"), </w:t>
      </w:r>
      <w:r>
        <w:rPr>
          <w:rStyle w:val="Fett"/>
          <w:rFonts w:eastAsiaTheme="majorEastAsia"/>
          <w:rtl/>
        </w:rPr>
        <w:t>מִשְׁפַּט־צֶדֶק</w:t>
      </w:r>
      <w:r>
        <w:rPr>
          <w:rtl/>
        </w:rPr>
        <w:t xml:space="preserve"> </w:t>
      </w:r>
      <w:r>
        <w:t>(</w:t>
      </w:r>
      <w:r>
        <w:rPr>
          <w:rStyle w:val="Fett"/>
          <w:rFonts w:eastAsiaTheme="majorEastAsia"/>
          <w:rtl/>
        </w:rPr>
        <w:t>מִשְׁפָּט</w:t>
      </w:r>
      <w:r>
        <w:t xml:space="preserve">, „Gericht, Recht", Construct mit </w:t>
      </w:r>
      <w:r>
        <w:rPr>
          <w:rStyle w:val="Fett"/>
          <w:rFonts w:eastAsiaTheme="majorEastAsia"/>
          <w:rtl/>
        </w:rPr>
        <w:t>צֶדֶק</w:t>
      </w:r>
      <w:r>
        <w:t>, „Gerechtigkeit", „gerechtes Gericht").</w:t>
      </w:r>
    </w:p>
    <w:p w14:paraId="1933F88E" w14:textId="118E18EE" w:rsidR="00C90AB0" w:rsidRDefault="00C90AB0" w:rsidP="00C90AB0">
      <w:pPr>
        <w:pStyle w:val="whitespace-normal"/>
      </w:pPr>
      <w:r>
        <w:t xml:space="preserve">Der Vers leitet einen neuen Abschnitt ein (16,18–18,22): Führung und Ordnung in Israel. Die Unterscheidung </w:t>
      </w:r>
      <w:r>
        <w:rPr>
          <w:rStyle w:val="Fett"/>
          <w:rFonts w:eastAsiaTheme="majorEastAsia"/>
          <w:rtl/>
        </w:rPr>
        <w:t>שֹׁפְטִים וְשֹׁטְרִים</w:t>
      </w:r>
      <w:r>
        <w:rPr>
          <w:rtl/>
        </w:rPr>
        <w:t xml:space="preserve"> </w:t>
      </w:r>
      <w:r>
        <w:t xml:space="preserve">(„Richter und Beamte"): </w:t>
      </w:r>
      <w:r>
        <w:rPr>
          <w:rStyle w:val="Fett"/>
          <w:rFonts w:eastAsiaTheme="majorEastAsia"/>
          <w:rtl/>
        </w:rPr>
        <w:t>שֹׁפְטִים</w:t>
      </w:r>
      <w:r>
        <w:rPr>
          <w:rtl/>
        </w:rPr>
        <w:t xml:space="preserve"> </w:t>
      </w:r>
      <w:r>
        <w:t xml:space="preserve">sind die eigentlichen Richter, </w:t>
      </w:r>
      <w:r>
        <w:rPr>
          <w:rStyle w:val="Fett"/>
          <w:rFonts w:eastAsiaTheme="majorEastAsia"/>
          <w:rtl/>
        </w:rPr>
        <w:t>שֹׁטְרִים</w:t>
      </w:r>
      <w:r>
        <w:rPr>
          <w:rtl/>
        </w:rPr>
        <w:t xml:space="preserve"> </w:t>
      </w:r>
      <w:r>
        <w:t xml:space="preserve">sind Verwaltungsbeamte oder Vollzugsbeamte (vgl. Ex 5,6.10.14.15.19; Num 11,16; Dtn 1,15; 20,5.8.9; 29,9; 31,28; Jos 1,10; 3,2; 8,33; 23,2; 24,1). Die Formulierung </w:t>
      </w:r>
      <w:r>
        <w:rPr>
          <w:rStyle w:val="Fett"/>
          <w:rFonts w:eastAsiaTheme="majorEastAsia"/>
          <w:rtl/>
        </w:rPr>
        <w:t>בְּכָל־שְׁעָרֶיךָ</w:t>
      </w:r>
      <w:r>
        <w:rPr>
          <w:rtl/>
        </w:rPr>
        <w:t xml:space="preserve"> </w:t>
      </w:r>
      <w:r>
        <w:lastRenderedPageBreak/>
        <w:t xml:space="preserve">(„in allen deinen Toren") bedeutet: in jeder Stadt. Die Wendung </w:t>
      </w:r>
      <w:r>
        <w:rPr>
          <w:rStyle w:val="Fett"/>
          <w:rFonts w:eastAsiaTheme="majorEastAsia"/>
          <w:rtl/>
        </w:rPr>
        <w:t>לִשְׁבָטֶיךָ</w:t>
      </w:r>
      <w:r>
        <w:rPr>
          <w:rtl/>
        </w:rPr>
        <w:t xml:space="preserve"> </w:t>
      </w:r>
      <w:r>
        <w:t>(„für deine Stämme") zeigt: stammesbezogene Organisation.</w:t>
      </w:r>
    </w:p>
    <w:p w14:paraId="135F1258" w14:textId="1D919DC9" w:rsidR="0082305E" w:rsidRDefault="0082305E" w:rsidP="00C90AB0">
      <w:pPr>
        <w:pStyle w:val="whitespace-normal"/>
      </w:pPr>
      <w:r>
        <w:rPr>
          <w:rStyle w:val="Fett"/>
        </w:rPr>
        <w:t>Die LXX</w:t>
      </w:r>
      <w:r>
        <w:t xml:space="preserve"> übersetzt </w:t>
      </w:r>
      <w:r w:rsidRPr="0082305E">
        <w:rPr>
          <w:b/>
          <w:bCs/>
          <w:rtl/>
        </w:rPr>
        <w:t>שֹׁטְרִים</w:t>
      </w:r>
      <w:r>
        <w:t xml:space="preserve"> (Aufseher/Beamte) mit </w:t>
      </w:r>
      <w:proofErr w:type="spellStart"/>
      <w:r>
        <w:t>γρ</w:t>
      </w:r>
      <w:proofErr w:type="spellEnd"/>
      <w:r>
        <w:t>αμματοεισαγωγεῖς (Schreiber-Einführer, eine Art Gerichtsschreiber) – ein sehr spezifischer griechischer Terminus, der eine bestimmte juristische Funktion bezeichnet. Zudem verwendet die LXX κατα</w:t>
      </w:r>
      <w:proofErr w:type="spellStart"/>
      <w:r>
        <w:t>στήσεις</w:t>
      </w:r>
      <w:proofErr w:type="spellEnd"/>
      <w:r>
        <w:t xml:space="preserve"> (du wirst einsetzen) für </w:t>
      </w:r>
      <w:r w:rsidRPr="0082305E">
        <w:rPr>
          <w:b/>
          <w:bCs/>
          <w:rtl/>
        </w:rPr>
        <w:t>תִּתֶּן־לְךָ</w:t>
      </w:r>
      <w:r>
        <w:t xml:space="preserve"> (du sollst dir geben/setzen).</w:t>
      </w:r>
    </w:p>
    <w:p w14:paraId="79D32D0F" w14:textId="77777777" w:rsidR="00C90AB0" w:rsidRDefault="00C90AB0" w:rsidP="00C90AB0">
      <w:pPr>
        <w:pStyle w:val="whitespace-normal"/>
      </w:pPr>
      <w:r>
        <w:rPr>
          <w:rStyle w:val="Fett"/>
          <w:rFonts w:eastAsiaTheme="majorEastAsia"/>
        </w:rPr>
        <w:t>Die Satzstruktur:</w:t>
      </w:r>
      <w:r>
        <w:t xml:space="preserve"> Imperativsatz mit Folgesatz (Richter und Beamte einsetzen sollst du dir in allen deinen Toren, die JHWH, dein Gott, gibt dir, für deine Stämme; und richten sollen sie das Volk mit gerechtem Gericht).</w:t>
      </w:r>
    </w:p>
    <w:p w14:paraId="3574919C" w14:textId="77777777" w:rsidR="00C90AB0" w:rsidRDefault="00C90AB0" w:rsidP="00C90AB0">
      <w:pPr>
        <w:pStyle w:val="whitespace-normal"/>
      </w:pPr>
      <w:r>
        <w:t>Der Vers fordert: Setze in jeder Stadt Richter und Beamte für jeden Stamm ein, damit sie das Volk gerecht richten.</w:t>
      </w:r>
    </w:p>
    <w:p w14:paraId="5402DC92"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16,19</w:t>
      </w:r>
    </w:p>
    <w:p w14:paraId="0CD4B126" w14:textId="77777777" w:rsidR="00C90AB0" w:rsidRDefault="00C90AB0" w:rsidP="00C90AB0">
      <w:pPr>
        <w:pStyle w:val="whitespace-normal"/>
      </w:pPr>
      <w:r>
        <w:rPr>
          <w:rStyle w:val="Fett"/>
          <w:rFonts w:eastAsiaTheme="majorEastAsia"/>
        </w:rPr>
        <w:t>Hebräisch:</w:t>
      </w:r>
      <w:r>
        <w:t xml:space="preserve"> </w:t>
      </w:r>
      <w:r>
        <w:rPr>
          <w:rtl/>
        </w:rPr>
        <w:t>לֹא־תַטֶּ֣ה מִשְׁפָּ֔ט לֹ֥א תַכִּ֖יר פָּנִ֑ים וְלֹא־תִקַּ֣ח שֹׁ֔חַד כִּ֣י הַשֹּׁ֗חַד יְעַוֵּר֙ עֵינֵ֣י חֲכָמִ֔ים וִֽיסַלֵּ֖ף דִּבְרֵ֥י צַדִּיקִֽם׃</w:t>
      </w:r>
    </w:p>
    <w:p w14:paraId="569CA5B1" w14:textId="77777777" w:rsidR="00C90AB0" w:rsidRDefault="00C90AB0" w:rsidP="00C90AB0">
      <w:pPr>
        <w:pStyle w:val="whitespace-normal"/>
      </w:pPr>
      <w:r>
        <w:rPr>
          <w:rStyle w:val="Fett"/>
          <w:rFonts w:eastAsiaTheme="majorEastAsia"/>
        </w:rPr>
        <w:t>Deutsch:</w:t>
      </w:r>
      <w:r>
        <w:t xml:space="preserve"> Du sollst das Recht nicht beugen; du sollst die Person nicht ansehen und kein Bestechungsgeschenk nehmen, denn das Bestechungsgeschenk blendet die Augen der Weisen und verdreht die Worte der Gerechten.</w:t>
      </w:r>
    </w:p>
    <w:p w14:paraId="528D5B8E" w14:textId="77777777" w:rsidR="00C90AB0" w:rsidRDefault="004F5CEB" w:rsidP="00C90AB0">
      <w:r>
        <w:rPr>
          <w:noProof/>
        </w:rPr>
        <w:pict w14:anchorId="16EDEB86">
          <v:rect id="_x0000_i1486" style="width:0;height:1.5pt" o:hralign="center" o:hrstd="t" o:hr="t" fillcolor="#a0a0a0" stroked="f"/>
        </w:pict>
      </w:r>
    </w:p>
    <w:p w14:paraId="13FE31C7"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לֹא־תַטֶּה מִשְׁפָּט לֹא תַכִּיר פָּנִים וְלֹא־תִקַּח שֹׁחַד</w:t>
      </w:r>
      <w:r>
        <w:rPr>
          <w:rtl/>
        </w:rPr>
        <w:t xml:space="preserve"> </w:t>
      </w:r>
      <w:r>
        <w:t xml:space="preserve">sind drei koordinierte negative Imperative: </w:t>
      </w:r>
      <w:r>
        <w:rPr>
          <w:rStyle w:val="Fett"/>
          <w:rFonts w:eastAsiaTheme="majorEastAsia"/>
          <w:rtl/>
        </w:rPr>
        <w:t>לֹא־תַטֶּה</w:t>
      </w:r>
      <w:r>
        <w:rPr>
          <w:rtl/>
        </w:rPr>
        <w:t xml:space="preserve"> </w:t>
      </w:r>
      <w:r>
        <w:t xml:space="preserve">(Negation mit </w:t>
      </w:r>
      <w:r>
        <w:rPr>
          <w:rStyle w:val="Fett"/>
          <w:rFonts w:eastAsiaTheme="majorEastAsia"/>
          <w:rtl/>
        </w:rPr>
        <w:t>נטה</w:t>
      </w:r>
      <w:r>
        <w:t xml:space="preserve">, Hiphil Imperfekt, 2. Person Maskulinum Singular, „neigen, beugen"), </w:t>
      </w:r>
      <w:r>
        <w:rPr>
          <w:rStyle w:val="Fett"/>
          <w:rFonts w:eastAsiaTheme="majorEastAsia"/>
          <w:rtl/>
        </w:rPr>
        <w:t>מִשְׁפָּט</w:t>
      </w:r>
      <w:r>
        <w:rPr>
          <w:rtl/>
        </w:rPr>
        <w:t xml:space="preserve"> </w:t>
      </w:r>
      <w:r>
        <w:t>(</w:t>
      </w:r>
      <w:r>
        <w:rPr>
          <w:rStyle w:val="Fett"/>
          <w:rFonts w:eastAsiaTheme="majorEastAsia"/>
          <w:rtl/>
        </w:rPr>
        <w:t>מִשְׁפָּט</w:t>
      </w:r>
      <w:r>
        <w:t xml:space="preserve">, „Recht, Gericht"), </w:t>
      </w:r>
      <w:r>
        <w:rPr>
          <w:rStyle w:val="Fett"/>
          <w:rFonts w:eastAsiaTheme="majorEastAsia"/>
          <w:rtl/>
        </w:rPr>
        <w:t>לֹא תַכִּיר</w:t>
      </w:r>
      <w:r>
        <w:rPr>
          <w:rtl/>
        </w:rPr>
        <w:t xml:space="preserve"> </w:t>
      </w:r>
      <w:r>
        <w:t xml:space="preserve">(Negation mit </w:t>
      </w:r>
      <w:r>
        <w:rPr>
          <w:rStyle w:val="Fett"/>
          <w:rFonts w:eastAsiaTheme="majorEastAsia"/>
          <w:rtl/>
        </w:rPr>
        <w:t>נכר</w:t>
      </w:r>
      <w:r>
        <w:t xml:space="preserve">, Hiphil Imperfekt, 2. Person Maskulinum Singular, „erkennen", in der Hiphil-Form „anerkennen, Ansehen der Person zeigen"), </w:t>
      </w:r>
      <w:r>
        <w:rPr>
          <w:rStyle w:val="Fett"/>
          <w:rFonts w:eastAsiaTheme="majorEastAsia"/>
          <w:rtl/>
        </w:rPr>
        <w:t>פָּנִים</w:t>
      </w:r>
      <w:r>
        <w:rPr>
          <w:rtl/>
        </w:rPr>
        <w:t xml:space="preserve"> </w:t>
      </w:r>
      <w:r>
        <w:t>(</w:t>
      </w:r>
      <w:r>
        <w:rPr>
          <w:rStyle w:val="Fett"/>
          <w:rFonts w:eastAsiaTheme="majorEastAsia"/>
          <w:rtl/>
        </w:rPr>
        <w:t>פָּנֶה</w:t>
      </w:r>
      <w:r>
        <w:t xml:space="preserve">, „Angesicht", Plural, „Person"), </w:t>
      </w:r>
      <w:r>
        <w:rPr>
          <w:rStyle w:val="Fett"/>
          <w:rFonts w:eastAsiaTheme="majorEastAsia"/>
          <w:rtl/>
        </w:rPr>
        <w:t>וְלֹא־תִקַּח</w:t>
      </w:r>
      <w:r>
        <w:rPr>
          <w:rtl/>
        </w:rPr>
        <w:t xml:space="preserve"> </w:t>
      </w:r>
      <w:r>
        <w:t xml:space="preserve">(koordiniert durch </w:t>
      </w:r>
      <w:r>
        <w:rPr>
          <w:rStyle w:val="Fett"/>
          <w:rFonts w:eastAsiaTheme="majorEastAsia"/>
          <w:rtl/>
        </w:rPr>
        <w:t>וְ</w:t>
      </w:r>
      <w:r>
        <w:rPr>
          <w:rtl/>
        </w:rPr>
        <w:t xml:space="preserve"> </w:t>
      </w:r>
      <w:r>
        <w:t xml:space="preserve">mit Negation und </w:t>
      </w:r>
      <w:r>
        <w:rPr>
          <w:rStyle w:val="Fett"/>
          <w:rFonts w:eastAsiaTheme="majorEastAsia"/>
          <w:rtl/>
        </w:rPr>
        <w:t>לקח</w:t>
      </w:r>
      <w:r>
        <w:t xml:space="preserve">, Qal Imperfekt, 2. Person Maskulinum Singular, „nehmen"), </w:t>
      </w:r>
      <w:r>
        <w:rPr>
          <w:rStyle w:val="Fett"/>
          <w:rFonts w:eastAsiaTheme="majorEastAsia"/>
          <w:rtl/>
        </w:rPr>
        <w:t>שֹׁחַד</w:t>
      </w:r>
      <w:r>
        <w:rPr>
          <w:rtl/>
        </w:rPr>
        <w:t xml:space="preserve"> </w:t>
      </w:r>
      <w:r>
        <w:t>(</w:t>
      </w:r>
      <w:r>
        <w:rPr>
          <w:rStyle w:val="Fett"/>
          <w:rFonts w:eastAsiaTheme="majorEastAsia"/>
          <w:rtl/>
        </w:rPr>
        <w:t>שֹׁחַד</w:t>
      </w:r>
      <w:r>
        <w:t>, „Bestechungsgeschenk, Bestechung").</w:t>
      </w:r>
    </w:p>
    <w:p w14:paraId="19C854F2" w14:textId="77777777" w:rsidR="00C90AB0" w:rsidRDefault="00C90AB0" w:rsidP="00C90AB0">
      <w:pPr>
        <w:pStyle w:val="whitespace-normal"/>
      </w:pPr>
      <w:r>
        <w:rPr>
          <w:rStyle w:val="Fett"/>
          <w:rFonts w:eastAsiaTheme="majorEastAsia"/>
          <w:rtl/>
        </w:rPr>
        <w:t>כִּי הַשֹּׁחַד יְעַוֵּר עֵינֵי חֲכָמִים וִיסַלֵּף דִּבְרֵי צַדִּיקִם</w:t>
      </w:r>
      <w:r>
        <w:rPr>
          <w:rtl/>
        </w:rPr>
        <w:t xml:space="preserve"> </w:t>
      </w:r>
      <w:r>
        <w:t xml:space="preserve">ist die kausale Begründung: </w:t>
      </w:r>
      <w:r>
        <w:rPr>
          <w:rStyle w:val="Fett"/>
          <w:rFonts w:eastAsiaTheme="majorEastAsia"/>
          <w:rtl/>
        </w:rPr>
        <w:t>כִּי</w:t>
      </w:r>
      <w:r>
        <w:rPr>
          <w:rtl/>
        </w:rPr>
        <w:t xml:space="preserve"> </w:t>
      </w:r>
      <w:r>
        <w:t xml:space="preserve">(„denn"), </w:t>
      </w:r>
      <w:r>
        <w:rPr>
          <w:rStyle w:val="Fett"/>
          <w:rFonts w:eastAsiaTheme="majorEastAsia"/>
          <w:rtl/>
        </w:rPr>
        <w:t>הַשֹּׁחַד</w:t>
      </w:r>
      <w:r>
        <w:rPr>
          <w:rtl/>
        </w:rPr>
        <w:t xml:space="preserve"> </w:t>
      </w:r>
      <w:r>
        <w:t>(</w:t>
      </w:r>
      <w:r>
        <w:rPr>
          <w:rStyle w:val="Fett"/>
          <w:rFonts w:eastAsiaTheme="majorEastAsia"/>
          <w:rtl/>
        </w:rPr>
        <w:t>שֹׁחַד</w:t>
      </w:r>
      <w:r>
        <w:rPr>
          <w:rtl/>
        </w:rPr>
        <w:t xml:space="preserve"> </w:t>
      </w:r>
      <w:r>
        <w:t xml:space="preserve">mit Artikel) als Subjekt, </w:t>
      </w:r>
      <w:r>
        <w:rPr>
          <w:rStyle w:val="Fett"/>
          <w:rFonts w:eastAsiaTheme="majorEastAsia"/>
          <w:rtl/>
        </w:rPr>
        <w:t>יְעַוֵּר</w:t>
      </w:r>
      <w:r>
        <w:rPr>
          <w:rtl/>
        </w:rPr>
        <w:t xml:space="preserve"> </w:t>
      </w:r>
      <w:r>
        <w:t xml:space="preserve">(Piel Imperfekt, 3. Person Maskulinum Singular von </w:t>
      </w:r>
      <w:r>
        <w:rPr>
          <w:rStyle w:val="Fett"/>
          <w:rFonts w:eastAsiaTheme="majorEastAsia"/>
          <w:rtl/>
        </w:rPr>
        <w:t>עור</w:t>
      </w:r>
      <w:r>
        <w:t xml:space="preserve">, „blind machen, blenden"), </w:t>
      </w:r>
      <w:r>
        <w:rPr>
          <w:rStyle w:val="Fett"/>
          <w:rFonts w:eastAsiaTheme="majorEastAsia"/>
          <w:rtl/>
        </w:rPr>
        <w:t>עֵינֵי חֲכָמִים</w:t>
      </w:r>
      <w:r>
        <w:rPr>
          <w:rtl/>
        </w:rPr>
        <w:t xml:space="preserve"> </w:t>
      </w:r>
      <w:r>
        <w:t>(</w:t>
      </w:r>
      <w:r>
        <w:rPr>
          <w:rStyle w:val="Fett"/>
          <w:rFonts w:eastAsiaTheme="majorEastAsia"/>
          <w:rtl/>
        </w:rPr>
        <w:t>עַיִן</w:t>
      </w:r>
      <w:r>
        <w:t xml:space="preserve">, „Auge", Dual Construct mit </w:t>
      </w:r>
      <w:r>
        <w:rPr>
          <w:rStyle w:val="Fett"/>
          <w:rFonts w:eastAsiaTheme="majorEastAsia"/>
          <w:rtl/>
        </w:rPr>
        <w:t>חָכָם</w:t>
      </w:r>
      <w:r>
        <w:t xml:space="preserve">, „Weiser", Plural, „die Augen der Weisen"), koordiniert durch </w:t>
      </w:r>
      <w:r>
        <w:rPr>
          <w:rStyle w:val="Fett"/>
          <w:rFonts w:eastAsiaTheme="majorEastAsia"/>
          <w:rtl/>
        </w:rPr>
        <w:t>וִ</w:t>
      </w:r>
      <w:r>
        <w:rPr>
          <w:rtl/>
        </w:rPr>
        <w:t xml:space="preserve"> </w:t>
      </w:r>
      <w:r>
        <w:t xml:space="preserve">mit </w:t>
      </w:r>
      <w:r>
        <w:rPr>
          <w:rStyle w:val="Fett"/>
          <w:rFonts w:eastAsiaTheme="majorEastAsia"/>
          <w:rtl/>
        </w:rPr>
        <w:t>יסַלֵּף</w:t>
      </w:r>
      <w:r>
        <w:rPr>
          <w:rtl/>
        </w:rPr>
        <w:t xml:space="preserve"> </w:t>
      </w:r>
      <w:r>
        <w:t xml:space="preserve">(Piel Imperfekt, 3. Person Maskulinum Singular von </w:t>
      </w:r>
      <w:r>
        <w:rPr>
          <w:rStyle w:val="Fett"/>
          <w:rFonts w:eastAsiaTheme="majorEastAsia"/>
          <w:rtl/>
        </w:rPr>
        <w:t>סלף</w:t>
      </w:r>
      <w:r>
        <w:t xml:space="preserve">, „verdrehen, verkehren"), </w:t>
      </w:r>
      <w:r>
        <w:rPr>
          <w:rStyle w:val="Fett"/>
          <w:rFonts w:eastAsiaTheme="majorEastAsia"/>
          <w:rtl/>
        </w:rPr>
        <w:t>דִּבְרֵי צַדִּיקִם</w:t>
      </w:r>
      <w:r>
        <w:rPr>
          <w:rtl/>
        </w:rPr>
        <w:t xml:space="preserve"> </w:t>
      </w:r>
      <w:r>
        <w:t>(</w:t>
      </w:r>
      <w:r>
        <w:rPr>
          <w:rStyle w:val="Fett"/>
          <w:rFonts w:eastAsiaTheme="majorEastAsia"/>
          <w:rtl/>
        </w:rPr>
        <w:t>דָּבָר</w:t>
      </w:r>
      <w:r>
        <w:t xml:space="preserve">, „Wort", Plural Construct mit </w:t>
      </w:r>
      <w:r>
        <w:rPr>
          <w:rStyle w:val="Fett"/>
          <w:rFonts w:eastAsiaTheme="majorEastAsia"/>
          <w:rtl/>
        </w:rPr>
        <w:t>צַדִּיק</w:t>
      </w:r>
      <w:r>
        <w:t>, „Gerechter", Plural, „die Worte der Gerechten").</w:t>
      </w:r>
    </w:p>
    <w:p w14:paraId="356F7D7D" w14:textId="155F93AF" w:rsidR="00C90AB0" w:rsidRDefault="00C90AB0" w:rsidP="00C90AB0">
      <w:pPr>
        <w:pStyle w:val="whitespace-normal"/>
      </w:pPr>
      <w:r>
        <w:t xml:space="preserve">Die drei Verbote sind klassische Rechtsforderungen (vgl. Ex 23,2-3.6-8; </w:t>
      </w:r>
      <w:r w:rsidR="00664EB6">
        <w:t>Lev</w:t>
      </w:r>
      <w:r>
        <w:t xml:space="preserve"> 19,15; Dtn 1,17; 10,17; 24,17; 27,19). Die Wendung </w:t>
      </w:r>
      <w:r>
        <w:rPr>
          <w:rStyle w:val="Fett"/>
          <w:rFonts w:eastAsiaTheme="majorEastAsia"/>
          <w:rtl/>
        </w:rPr>
        <w:t>הַכֵּר פָּנִים</w:t>
      </w:r>
      <w:r>
        <w:rPr>
          <w:rtl/>
        </w:rPr>
        <w:t xml:space="preserve"> </w:t>
      </w:r>
      <w:r>
        <w:t>(„Ansehen der Person") bezeichnet Parteilichkeit aufgrund von Status, Reichtum oder Verwandtschaft. Die Begründung zeigt: Selbst Weise und Gerechte können durch Bestechung verdorben werden.</w:t>
      </w:r>
    </w:p>
    <w:p w14:paraId="60D54F8D" w14:textId="3E28D53B" w:rsidR="0082305E" w:rsidRDefault="0082305E" w:rsidP="00C90AB0">
      <w:pPr>
        <w:pStyle w:val="whitespace-normal"/>
      </w:pPr>
      <w:r>
        <w:rPr>
          <w:rStyle w:val="Fett"/>
        </w:rPr>
        <w:t>Die LXX</w:t>
      </w:r>
      <w:r>
        <w:t xml:space="preserve"> verwendet das Futur </w:t>
      </w:r>
      <w:proofErr w:type="spellStart"/>
      <w:r>
        <w:t>οὐκ</w:t>
      </w:r>
      <w:proofErr w:type="spellEnd"/>
      <w:r>
        <w:t xml:space="preserve"> </w:t>
      </w:r>
      <w:proofErr w:type="spellStart"/>
      <w:r>
        <w:t>ἐκκλινοῦσιν</w:t>
      </w:r>
      <w:proofErr w:type="spellEnd"/>
      <w:r>
        <w:t xml:space="preserve">... </w:t>
      </w:r>
      <w:proofErr w:type="spellStart"/>
      <w:r>
        <w:t>οὐκ</w:t>
      </w:r>
      <w:proofErr w:type="spellEnd"/>
      <w:r>
        <w:t xml:space="preserve"> ἐπ</w:t>
      </w:r>
      <w:proofErr w:type="spellStart"/>
      <w:r>
        <w:t>ιγνώσοντ</w:t>
      </w:r>
      <w:proofErr w:type="spellEnd"/>
      <w:r>
        <w:t xml:space="preserve">αι... </w:t>
      </w:r>
      <w:proofErr w:type="spellStart"/>
      <w:r>
        <w:t>οὐδὲ</w:t>
      </w:r>
      <w:proofErr w:type="spellEnd"/>
      <w:r>
        <w:t xml:space="preserve"> </w:t>
      </w:r>
      <w:proofErr w:type="spellStart"/>
      <w:r>
        <w:t>λήμψοντ</w:t>
      </w:r>
      <w:proofErr w:type="spellEnd"/>
      <w:r>
        <w:t xml:space="preserve">αι (sie werden nicht abweichen... sie werden nicht anerkennen... noch werden sie nehmen) in der 3. </w:t>
      </w:r>
      <w:r>
        <w:lastRenderedPageBreak/>
        <w:t>Person Plural, wo der MT die 2. Person Singular hat – eine Verschiebung vom direkten Gebot an die Gemeinschaft zur Beschreibung des Richterverhaltens.</w:t>
      </w:r>
    </w:p>
    <w:p w14:paraId="112DF962" w14:textId="77777777" w:rsidR="00C90AB0" w:rsidRDefault="00C90AB0" w:rsidP="00C90AB0">
      <w:pPr>
        <w:pStyle w:val="whitespace-normal"/>
      </w:pPr>
      <w:r>
        <w:rPr>
          <w:rStyle w:val="Fett"/>
          <w:rFonts w:eastAsiaTheme="majorEastAsia"/>
        </w:rPr>
        <w:t>Die Satzstruktur:</w:t>
      </w:r>
      <w:r>
        <w:t xml:space="preserve"> Drei koordinierte negative Imperative mit kausaler Begründung (nicht sollst du beugen das Recht, nicht sollst du ansehen die Person, und nicht sollst du nehmen Bestechung; denn die Bestechung blendet die Augen der Weisen und verdreht die Worte der Gerechten).</w:t>
      </w:r>
    </w:p>
    <w:p w14:paraId="2BC4D754" w14:textId="77777777" w:rsidR="00C90AB0" w:rsidRDefault="00C90AB0" w:rsidP="00C90AB0">
      <w:pPr>
        <w:pStyle w:val="whitespace-normal"/>
      </w:pPr>
      <w:r>
        <w:t>Der Vers verbietet dreifach Rechtsbeugung: Beuge nicht das Recht, sei nicht parteiisch, nimm keine Bestechung – denn Bestechung verdirbt selbst Weise und Gerechte.</w:t>
      </w:r>
    </w:p>
    <w:p w14:paraId="39858A3B"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16,20</w:t>
      </w:r>
    </w:p>
    <w:p w14:paraId="5314D5AB" w14:textId="77777777" w:rsidR="00C90AB0" w:rsidRDefault="00C90AB0" w:rsidP="00C90AB0">
      <w:pPr>
        <w:pStyle w:val="whitespace-normal"/>
      </w:pPr>
      <w:r>
        <w:rPr>
          <w:rStyle w:val="Fett"/>
          <w:rFonts w:eastAsiaTheme="majorEastAsia"/>
        </w:rPr>
        <w:t>Hebräisch:</w:t>
      </w:r>
      <w:r>
        <w:t xml:space="preserve"> </w:t>
      </w:r>
      <w:r>
        <w:rPr>
          <w:rtl/>
        </w:rPr>
        <w:t>צֶ֥דֶק צֶ֖דֶק תִּרְדֹּ֑ף לְמַ֤עַן תִּֽחְיֶה֙ וְיָרַשְׁתָּ֣ אֶת־הָאָ֔רֶץ אֲשֶׁר־יְהוָ֥ה אֱלֹהֶ֖יךָ נֹתֵ֥ן לָֽךְ׃</w:t>
      </w:r>
    </w:p>
    <w:p w14:paraId="6155F1F6" w14:textId="77777777" w:rsidR="00C90AB0" w:rsidRDefault="00C90AB0" w:rsidP="00C90AB0">
      <w:pPr>
        <w:pStyle w:val="whitespace-normal"/>
      </w:pPr>
      <w:r>
        <w:rPr>
          <w:rStyle w:val="Fett"/>
          <w:rFonts w:eastAsiaTheme="majorEastAsia"/>
        </w:rPr>
        <w:t>Deutsch:</w:t>
      </w:r>
      <w:r>
        <w:t xml:space="preserve"> Der Gerechtigkeit, der Gerechtigkeit sollst du nachjagen, damit du lebst und das Land in Besitz nimmst, das der Ewige, dein Gott, dir gibt.</w:t>
      </w:r>
    </w:p>
    <w:p w14:paraId="39305956" w14:textId="77777777" w:rsidR="00C90AB0" w:rsidRDefault="004F5CEB" w:rsidP="00C90AB0">
      <w:r>
        <w:rPr>
          <w:noProof/>
        </w:rPr>
        <w:pict w14:anchorId="407141D5">
          <v:rect id="_x0000_i1487" style="width:0;height:1.5pt" o:hralign="center" o:hrstd="t" o:hr="t" fillcolor="#a0a0a0" stroked="f"/>
        </w:pict>
      </w:r>
    </w:p>
    <w:p w14:paraId="0EE01276"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צֶדֶק צֶדֶק תִּרְדֹּף לְמַעַן תִּחְיֶה וְיָרַשְׁתָּ אֶת־הָאָרֶץ אֲשֶׁר־יְהוָה אֱלֹהֶיךָ נֹתֵן לָךְ</w:t>
      </w:r>
      <w:r>
        <w:rPr>
          <w:rtl/>
        </w:rPr>
        <w:t xml:space="preserve"> </w:t>
      </w:r>
      <w:r>
        <w:t xml:space="preserve">ist ein Imperativsatz mit finaler Bestimmung: </w:t>
      </w:r>
      <w:r>
        <w:rPr>
          <w:rStyle w:val="Fett"/>
          <w:rFonts w:eastAsiaTheme="majorEastAsia"/>
          <w:rtl/>
        </w:rPr>
        <w:t>צֶדֶק צֶדֶק</w:t>
      </w:r>
      <w:r>
        <w:rPr>
          <w:rtl/>
        </w:rPr>
        <w:t xml:space="preserve"> </w:t>
      </w:r>
      <w:r>
        <w:t>(</w:t>
      </w:r>
      <w:r>
        <w:rPr>
          <w:rStyle w:val="Fett"/>
          <w:rFonts w:eastAsiaTheme="majorEastAsia"/>
          <w:rtl/>
        </w:rPr>
        <w:t>צֶדֶק</w:t>
      </w:r>
      <w:r>
        <w:t xml:space="preserve">, „Gerechtigkeit", wiederholt zur Betonung), </w:t>
      </w:r>
      <w:r>
        <w:rPr>
          <w:rStyle w:val="Fett"/>
          <w:rFonts w:eastAsiaTheme="majorEastAsia"/>
          <w:rtl/>
        </w:rPr>
        <w:t>תִּרְדֹּף</w:t>
      </w:r>
      <w:r>
        <w:rPr>
          <w:rtl/>
        </w:rPr>
        <w:t xml:space="preserve"> </w:t>
      </w:r>
      <w:r>
        <w:t xml:space="preserve">(Qal Imperfekt, 2. Person Maskulinum Singular von </w:t>
      </w:r>
      <w:r>
        <w:rPr>
          <w:rStyle w:val="Fett"/>
          <w:rFonts w:eastAsiaTheme="majorEastAsia"/>
          <w:rtl/>
        </w:rPr>
        <w:t>רדף</w:t>
      </w:r>
      <w:r>
        <w:t xml:space="preserve">, „jagen, verfolgen, nachjagen"), </w:t>
      </w:r>
      <w:r>
        <w:rPr>
          <w:rStyle w:val="Fett"/>
          <w:rFonts w:eastAsiaTheme="majorEastAsia"/>
          <w:rtl/>
        </w:rPr>
        <w:t>לְמַעַן תִּחְיֶה</w:t>
      </w:r>
      <w:r>
        <w:rPr>
          <w:rtl/>
        </w:rPr>
        <w:t xml:space="preserve"> </w:t>
      </w:r>
      <w:r>
        <w:t xml:space="preserve">(Präposition </w:t>
      </w:r>
      <w:r>
        <w:rPr>
          <w:rStyle w:val="Fett"/>
          <w:rFonts w:eastAsiaTheme="majorEastAsia"/>
          <w:rtl/>
        </w:rPr>
        <w:t>לְמַעַן</w:t>
      </w:r>
      <w:r>
        <w:t xml:space="preserve">, „damit", mit </w:t>
      </w:r>
      <w:r>
        <w:rPr>
          <w:rStyle w:val="Fett"/>
          <w:rFonts w:eastAsiaTheme="majorEastAsia"/>
          <w:rtl/>
        </w:rPr>
        <w:t>חיה</w:t>
      </w:r>
      <w:r>
        <w:t xml:space="preserve">, Qal Imperfekt, 2. Person Maskulinum Singular, „leben"), </w:t>
      </w:r>
      <w:r>
        <w:rPr>
          <w:rStyle w:val="Fett"/>
          <w:rFonts w:eastAsiaTheme="majorEastAsia"/>
          <w:rtl/>
        </w:rPr>
        <w:t>וְיָרַשְׁתָּ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ירשׁ</w:t>
      </w:r>
      <w:r>
        <w:t xml:space="preserve">, Qal Perfekt, 2. Person Maskulinum Singular, „in Besitz nehmen, erben", mit </w:t>
      </w:r>
      <w:r>
        <w:rPr>
          <w:rStyle w:val="Fett"/>
          <w:rFonts w:eastAsiaTheme="majorEastAsia"/>
        </w:rPr>
        <w:t>Waw</w:t>
      </w:r>
      <w:r>
        <w:t xml:space="preserve"> consecutives Perfekt), </w:t>
      </w:r>
      <w:r>
        <w:rPr>
          <w:rStyle w:val="Fett"/>
          <w:rFonts w:eastAsiaTheme="majorEastAsia"/>
          <w:rtl/>
        </w:rPr>
        <w:t>אֶת־הָאָרֶץ אֲשֶׁר־יְהוָה אֱלֹהֶיךָ נֹתֵן לָךְ</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אֶרֶץ</w:t>
      </w:r>
      <w:r>
        <w:t>, „Land", mit Artikel, Relativsatz).</w:t>
      </w:r>
    </w:p>
    <w:p w14:paraId="4530E0A7" w14:textId="441D6674" w:rsidR="00C90AB0" w:rsidRDefault="00C90AB0" w:rsidP="00C90AB0">
      <w:pPr>
        <w:pStyle w:val="whitespace-normal"/>
      </w:pPr>
      <w:r>
        <w:t xml:space="preserve">Die emphatische Wiederholung </w:t>
      </w:r>
      <w:r>
        <w:rPr>
          <w:rStyle w:val="Fett"/>
          <w:rFonts w:eastAsiaTheme="majorEastAsia"/>
          <w:rtl/>
        </w:rPr>
        <w:t>צֶדֶק צֶדֶק</w:t>
      </w:r>
      <w:r>
        <w:rPr>
          <w:rtl/>
        </w:rPr>
        <w:t xml:space="preserve"> </w:t>
      </w:r>
      <w:r>
        <w:t xml:space="preserve">(„Gerechtigkeit, Gerechtigkeit") ist rhetorisch stark und betont die absolute Wichtigkeit (vgl. ähnliche Wiederholungen in </w:t>
      </w:r>
      <w:r w:rsidR="00664EB6">
        <w:t>Lev</w:t>
      </w:r>
      <w:r>
        <w:t xml:space="preserve"> 19,36; Num 28,4; Jer 22,29; </w:t>
      </w:r>
      <w:r w:rsidR="00664EB6">
        <w:t>2Kön</w:t>
      </w:r>
      <w:r>
        <w:t xml:space="preserve"> 9,17). Das Verb </w:t>
      </w:r>
      <w:r>
        <w:rPr>
          <w:rStyle w:val="Fett"/>
          <w:rFonts w:eastAsiaTheme="majorEastAsia"/>
          <w:rtl/>
        </w:rPr>
        <w:t>רדף</w:t>
      </w:r>
      <w:r>
        <w:rPr>
          <w:rtl/>
        </w:rPr>
        <w:t xml:space="preserve"> </w:t>
      </w:r>
      <w:r>
        <w:t xml:space="preserve">(„jagen, verfolgen") ist intensiv – nicht nur anstreben, sondern aktiv, energisch verfolgen. Die doppelte finale Bestimmung </w:t>
      </w:r>
      <w:r>
        <w:rPr>
          <w:rStyle w:val="Fett"/>
          <w:rFonts w:eastAsiaTheme="majorEastAsia"/>
          <w:rtl/>
        </w:rPr>
        <w:t>לְמַעַן תִּחְיֶה וְיָרַשְׁתָּ</w:t>
      </w:r>
      <w:r>
        <w:rPr>
          <w:rtl/>
        </w:rPr>
        <w:t xml:space="preserve"> </w:t>
      </w:r>
      <w:r>
        <w:t>(„damit du lebst und in Besitz nimmst") zeigt: Gerechtigkeit ist Bedingung für Leben und Landbesitz (vgl. 4,1; 5,33; 8,1; 11,8-9; 16,20; 30,16.19-20).</w:t>
      </w:r>
    </w:p>
    <w:p w14:paraId="36984A36" w14:textId="5EF9CBA5" w:rsidR="0082305E" w:rsidRDefault="0082305E" w:rsidP="00C90AB0">
      <w:pPr>
        <w:pStyle w:val="whitespace-normal"/>
      </w:pPr>
      <w:r>
        <w:rPr>
          <w:rStyle w:val="Fett"/>
        </w:rPr>
        <w:t>Die LXX</w:t>
      </w:r>
      <w:r>
        <w:t xml:space="preserve"> übersetzt die figura etymologica </w:t>
      </w:r>
      <w:r w:rsidRPr="0082305E">
        <w:rPr>
          <w:b/>
          <w:bCs/>
          <w:rtl/>
        </w:rPr>
        <w:t>צֶדֶק צֶדֶק</w:t>
      </w:r>
      <w:r>
        <w:t xml:space="preserve"> mit </w:t>
      </w:r>
      <w:proofErr w:type="spellStart"/>
      <w:r>
        <w:t>δικ</w:t>
      </w:r>
      <w:proofErr w:type="spellEnd"/>
      <w:r>
        <w:t xml:space="preserve">αίως </w:t>
      </w:r>
      <w:proofErr w:type="spellStart"/>
      <w:r>
        <w:t>τὸ</w:t>
      </w:r>
      <w:proofErr w:type="spellEnd"/>
      <w:r>
        <w:t xml:space="preserve"> </w:t>
      </w:r>
      <w:proofErr w:type="spellStart"/>
      <w:r>
        <w:t>δίκ</w:t>
      </w:r>
      <w:proofErr w:type="spellEnd"/>
      <w:r>
        <w:t xml:space="preserve">αιον (gerecht das Gerechte) – Adverb plus Substantiv statt der hebräischen Verdopplung. Zudem fügt sie </w:t>
      </w:r>
      <w:proofErr w:type="spellStart"/>
      <w:r>
        <w:t>εἰσελθόντες</w:t>
      </w:r>
      <w:proofErr w:type="spellEnd"/>
      <w:r>
        <w:t xml:space="preserve"> (hineingehend) vor </w:t>
      </w:r>
      <w:proofErr w:type="spellStart"/>
      <w:r>
        <w:t>κληρονομήσητε</w:t>
      </w:r>
      <w:proofErr w:type="spellEnd"/>
      <w:r>
        <w:t xml:space="preserve"> (ihr werdet erben) hinzu.</w:t>
      </w:r>
    </w:p>
    <w:p w14:paraId="7F2751D0" w14:textId="77777777" w:rsidR="00C90AB0" w:rsidRDefault="00C90AB0" w:rsidP="00C90AB0">
      <w:pPr>
        <w:pStyle w:val="whitespace-normal"/>
      </w:pPr>
      <w:r>
        <w:rPr>
          <w:rStyle w:val="Fett"/>
          <w:rFonts w:eastAsiaTheme="majorEastAsia"/>
        </w:rPr>
        <w:t>Die Satzstruktur:</w:t>
      </w:r>
      <w:r>
        <w:t xml:space="preserve"> Imperativsatz mit doppelter finaler Bestimmung (der Gerechtigkeit, der Gerechtigkeit nachjagen sollst du, damit du lebst und in Besitz nimmst das Land, das JHWH, dein Gott, gibt dir).</w:t>
      </w:r>
    </w:p>
    <w:p w14:paraId="227A8F07" w14:textId="77777777" w:rsidR="00C90AB0" w:rsidRDefault="00C90AB0" w:rsidP="00C90AB0">
      <w:pPr>
        <w:pStyle w:val="whitespace-normal"/>
      </w:pPr>
      <w:r>
        <w:t>Der Vers fordert emphatisch: Jage der Gerechtigkeit nach – nur so wirst du leben und das verheißene Land besitzen.</w:t>
      </w:r>
    </w:p>
    <w:p w14:paraId="52CDB9C3"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lastRenderedPageBreak/>
        <w:t>Deuteronomium 16,21</w:t>
      </w:r>
    </w:p>
    <w:p w14:paraId="395C4CDA" w14:textId="77777777" w:rsidR="00C90AB0" w:rsidRDefault="00C90AB0" w:rsidP="00C90AB0">
      <w:pPr>
        <w:pStyle w:val="whitespace-normal"/>
      </w:pPr>
      <w:r>
        <w:rPr>
          <w:rStyle w:val="Fett"/>
          <w:rFonts w:eastAsiaTheme="majorEastAsia"/>
        </w:rPr>
        <w:t>Hebräisch:</w:t>
      </w:r>
      <w:r>
        <w:t xml:space="preserve"> </w:t>
      </w:r>
      <w:r>
        <w:rPr>
          <w:rtl/>
        </w:rPr>
        <w:t>לֹֽא־תִטַּ֥ע לְךָ֛ אֲשֵׁרָ֖ה כָּל־עֵ֑ץ אֵ֗צֶל מִזְבַּ֛ח יְהוָ֥ה אֱלֹהֶ֖יךָ אֲשֶׁ֥ר תַּעֲשֶׂה־לָּֽךְ׃</w:t>
      </w:r>
    </w:p>
    <w:p w14:paraId="24FD06F6" w14:textId="77777777" w:rsidR="00C90AB0" w:rsidRDefault="00C90AB0" w:rsidP="00C90AB0">
      <w:pPr>
        <w:pStyle w:val="whitespace-normal"/>
      </w:pPr>
      <w:r>
        <w:rPr>
          <w:rStyle w:val="Fett"/>
          <w:rFonts w:eastAsiaTheme="majorEastAsia"/>
        </w:rPr>
        <w:t>Deutsch:</w:t>
      </w:r>
      <w:r>
        <w:t xml:space="preserve"> Du sollst dir keine Aschera pflanzen, irgendein Holz, neben dem Altar des Ewigen, deines Gottes, den du dir machen wirst.</w:t>
      </w:r>
    </w:p>
    <w:p w14:paraId="1A00D4F3" w14:textId="77777777" w:rsidR="00C90AB0" w:rsidRDefault="004F5CEB" w:rsidP="00C90AB0">
      <w:r>
        <w:rPr>
          <w:noProof/>
        </w:rPr>
        <w:pict w14:anchorId="53F74D2A">
          <v:rect id="_x0000_i1488" style="width:0;height:1.5pt" o:hralign="center" o:hrstd="t" o:hr="t" fillcolor="#a0a0a0" stroked="f"/>
        </w:pict>
      </w:r>
    </w:p>
    <w:p w14:paraId="2CF62FFE"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לֹא־תִטַּע לְךָ אֲשֵׁרָה כָּל־עֵץ אֵצֶל מִזְבַּח יְהוָה אֱלֹהֶיךָ אֲשֶׁר תַּעֲשֶׂה־לָּךְ</w:t>
      </w:r>
      <w:r>
        <w:rPr>
          <w:rtl/>
        </w:rPr>
        <w:t xml:space="preserve"> </w:t>
      </w:r>
      <w:r>
        <w:t xml:space="preserve">ist ein negativer Imperativsatz: </w:t>
      </w:r>
      <w:r>
        <w:rPr>
          <w:rStyle w:val="Fett"/>
          <w:rFonts w:eastAsiaTheme="majorEastAsia"/>
          <w:rtl/>
        </w:rPr>
        <w:t>לֹא־תִטַּע</w:t>
      </w:r>
      <w:r>
        <w:rPr>
          <w:rtl/>
        </w:rPr>
        <w:t xml:space="preserve"> </w:t>
      </w:r>
      <w:r>
        <w:t xml:space="preserve">(Negation mit </w:t>
      </w:r>
      <w:r>
        <w:rPr>
          <w:rStyle w:val="Fett"/>
          <w:rFonts w:eastAsiaTheme="majorEastAsia"/>
          <w:rtl/>
        </w:rPr>
        <w:t>נטע</w:t>
      </w:r>
      <w:r>
        <w:t xml:space="preserve">, Qal Imperfekt, 2. Person Maskulinum Singular, „pflanzen"), </w:t>
      </w:r>
      <w:r>
        <w:rPr>
          <w:rStyle w:val="Fett"/>
          <w:rFonts w:eastAsiaTheme="majorEastAsia"/>
          <w:rtl/>
        </w:rPr>
        <w:t>לְךָ</w:t>
      </w:r>
      <w:r>
        <w:rPr>
          <w:rtl/>
        </w:rPr>
        <w:t xml:space="preserve"> </w:t>
      </w:r>
      <w:r>
        <w:t xml:space="preserve">(Präposition </w:t>
      </w:r>
      <w:r>
        <w:rPr>
          <w:rStyle w:val="Fett"/>
          <w:rFonts w:eastAsiaTheme="majorEastAsia"/>
          <w:rtl/>
        </w:rPr>
        <w:t>לְ</w:t>
      </w:r>
      <w:r>
        <w:rPr>
          <w:rtl/>
        </w:rPr>
        <w:t xml:space="preserve"> </w:t>
      </w:r>
      <w:r>
        <w:t xml:space="preserve">mit Suffix 2. Person Maskulinum Singular, ethischer Dativ), </w:t>
      </w:r>
      <w:r>
        <w:rPr>
          <w:rStyle w:val="Fett"/>
          <w:rFonts w:eastAsiaTheme="majorEastAsia"/>
          <w:rtl/>
        </w:rPr>
        <w:t>אֲשֵׁרָה</w:t>
      </w:r>
      <w:r>
        <w:rPr>
          <w:rtl/>
        </w:rPr>
        <w:t xml:space="preserve"> </w:t>
      </w:r>
      <w:r>
        <w:t>(</w:t>
      </w:r>
      <w:r>
        <w:rPr>
          <w:rStyle w:val="Fett"/>
          <w:rFonts w:eastAsiaTheme="majorEastAsia"/>
          <w:rtl/>
        </w:rPr>
        <w:t>אֲשֵׁרָה</w:t>
      </w:r>
      <w:r>
        <w:t xml:space="preserve">, „Aschera" – Kultpfahl oder heiliger Baum der kanaanäischen Göttin), </w:t>
      </w:r>
      <w:r>
        <w:rPr>
          <w:rStyle w:val="Fett"/>
          <w:rFonts w:eastAsiaTheme="majorEastAsia"/>
          <w:rtl/>
        </w:rPr>
        <w:t>כָּל־עֵץ</w:t>
      </w:r>
      <w:r>
        <w:rPr>
          <w:rtl/>
        </w:rPr>
        <w:t xml:space="preserve"> </w:t>
      </w:r>
      <w:r>
        <w:t>(</w:t>
      </w:r>
      <w:r>
        <w:rPr>
          <w:rStyle w:val="Fett"/>
          <w:rFonts w:eastAsiaTheme="majorEastAsia"/>
          <w:rtl/>
        </w:rPr>
        <w:t>כֹּל</w:t>
      </w:r>
      <w:r>
        <w:t xml:space="preserve">, „jeder, irgendein", mit </w:t>
      </w:r>
      <w:r>
        <w:rPr>
          <w:rStyle w:val="Fett"/>
          <w:rFonts w:eastAsiaTheme="majorEastAsia"/>
          <w:rtl/>
        </w:rPr>
        <w:t>עֵץ</w:t>
      </w:r>
      <w:r>
        <w:t xml:space="preserve">, „Holz, Baum", „irgendein Holz/Baum"), </w:t>
      </w:r>
      <w:r>
        <w:rPr>
          <w:rStyle w:val="Fett"/>
          <w:rFonts w:eastAsiaTheme="majorEastAsia"/>
          <w:rtl/>
        </w:rPr>
        <w:t>אֵצֶל מִזְבַּח יְהוָה אֱלֹהֶיךָ</w:t>
      </w:r>
      <w:r>
        <w:rPr>
          <w:rtl/>
        </w:rPr>
        <w:t xml:space="preserve"> </w:t>
      </w:r>
      <w:r>
        <w:t xml:space="preserve">(Präposition </w:t>
      </w:r>
      <w:r>
        <w:rPr>
          <w:rStyle w:val="Fett"/>
          <w:rFonts w:eastAsiaTheme="majorEastAsia"/>
          <w:rtl/>
        </w:rPr>
        <w:t>אֵצֶל</w:t>
      </w:r>
      <w:r>
        <w:t xml:space="preserve">, „neben, bei", mit </w:t>
      </w:r>
      <w:r>
        <w:rPr>
          <w:rStyle w:val="Fett"/>
          <w:rFonts w:eastAsiaTheme="majorEastAsia"/>
          <w:rtl/>
        </w:rPr>
        <w:t>מִזְבֵּחַ</w:t>
      </w:r>
      <w:r>
        <w:t xml:space="preserve">, „Altar", Construct mit </w:t>
      </w:r>
      <w:r>
        <w:rPr>
          <w:rStyle w:val="Fett"/>
          <w:rFonts w:eastAsiaTheme="majorEastAsia"/>
          <w:rtl/>
        </w:rPr>
        <w:t>יְהוָה אֱלֹהֶיךָ</w:t>
      </w:r>
      <w:r>
        <w:t xml:space="preserve">), </w:t>
      </w:r>
      <w:r>
        <w:rPr>
          <w:rStyle w:val="Fett"/>
          <w:rFonts w:eastAsiaTheme="majorEastAsia"/>
          <w:rtl/>
        </w:rPr>
        <w:t>אֲשֶׁר תַּעֲשֶׂה־לָּךְ</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עשׂה</w:t>
      </w:r>
      <w:r>
        <w:t xml:space="preserve">, Qal Imperfekt, 2. Person Maskulinum Singular, „machen", mit </w:t>
      </w:r>
      <w:r>
        <w:rPr>
          <w:rStyle w:val="Fett"/>
          <w:rFonts w:eastAsiaTheme="majorEastAsia"/>
          <w:rtl/>
        </w:rPr>
        <w:t>לָךְ</w:t>
      </w:r>
      <w:r>
        <w:t>, „den du dir machen wirst").</w:t>
      </w:r>
    </w:p>
    <w:p w14:paraId="7B9BE236" w14:textId="0D533D48" w:rsidR="00C90AB0" w:rsidRDefault="00C90AB0" w:rsidP="00C90AB0">
      <w:pPr>
        <w:pStyle w:val="whitespace-normal"/>
      </w:pPr>
      <w:r>
        <w:t xml:space="preserve">Das Wort </w:t>
      </w:r>
      <w:r>
        <w:rPr>
          <w:rStyle w:val="Fett"/>
          <w:rFonts w:eastAsiaTheme="majorEastAsia"/>
          <w:rtl/>
        </w:rPr>
        <w:t>אֲשֵׁרָה</w:t>
      </w:r>
      <w:r>
        <w:rPr>
          <w:rtl/>
        </w:rPr>
        <w:t xml:space="preserve"> </w:t>
      </w:r>
      <w:r>
        <w:t xml:space="preserve">bezeichnet entweder (1) einen Kultpfahl/heiligen Pfahl oder (2) einen heiligen Baum, beides der kanaanäischen Göttin Aschera geweiht (vgl. Ex 34,13; Dtn 7,5; 12,3; 16,21; Ri 6,25-30; </w:t>
      </w:r>
      <w:r w:rsidR="00664EB6">
        <w:t>1Kön</w:t>
      </w:r>
      <w:r>
        <w:t xml:space="preserve"> 14,15.23; 15,13; 16,33; </w:t>
      </w:r>
      <w:r w:rsidR="00664EB6">
        <w:t>2Kön</w:t>
      </w:r>
      <w:r>
        <w:t xml:space="preserve"> 13,6; 17,10.16; 18,4; 21,3.7; 23,4.6.7.14.15; </w:t>
      </w:r>
      <w:r w:rsidR="00664EB6">
        <w:t>2Chr</w:t>
      </w:r>
      <w:r>
        <w:t xml:space="preserve"> 14,2; 15,16; 17,6; 19,3; 24,18; 31,1; 33,3.19; 34,3.4.7; Jes 17,8; 27,9; Jer 17,2; Mi 5,13). Die Apposition </w:t>
      </w:r>
      <w:r>
        <w:rPr>
          <w:rStyle w:val="Fett"/>
          <w:rFonts w:eastAsiaTheme="majorEastAsia"/>
          <w:rtl/>
        </w:rPr>
        <w:t>כָּל־עֵץ</w:t>
      </w:r>
      <w:r>
        <w:rPr>
          <w:rtl/>
        </w:rPr>
        <w:t xml:space="preserve"> </w:t>
      </w:r>
      <w:r>
        <w:t xml:space="preserve">(„irgendein Holz/Baum") erklärt: jede Art von Baum oder Holzkonstruktion ist gemeint. Das Verbot gilt speziell </w:t>
      </w:r>
      <w:r>
        <w:rPr>
          <w:rStyle w:val="Fett"/>
          <w:rFonts w:eastAsiaTheme="majorEastAsia"/>
          <w:rtl/>
        </w:rPr>
        <w:t>אֵצֶל מִזְבַּח יְהוָה</w:t>
      </w:r>
      <w:r>
        <w:rPr>
          <w:rtl/>
        </w:rPr>
        <w:t xml:space="preserve"> </w:t>
      </w:r>
      <w:r>
        <w:t>(„neben dem Altar JHWHs") – keine Vermischung mit kanaanäischen Kulten.</w:t>
      </w:r>
    </w:p>
    <w:p w14:paraId="579E497D" w14:textId="21D122E7" w:rsidR="0082305E" w:rsidRDefault="0082305E" w:rsidP="00C90AB0">
      <w:pPr>
        <w:pStyle w:val="whitespace-normal"/>
      </w:pPr>
      <w:r>
        <w:rPr>
          <w:rStyle w:val="Fett"/>
        </w:rPr>
        <w:t>Die LXX</w:t>
      </w:r>
      <w:r>
        <w:t xml:space="preserve"> übersetzt </w:t>
      </w:r>
      <w:r>
        <w:rPr>
          <w:rtl/>
        </w:rPr>
        <w:t>אֲשֵׁרָה</w:t>
      </w:r>
      <w:r>
        <w:t xml:space="preserve"> (Aschera, Kultsymbol) mit </w:t>
      </w:r>
      <w:proofErr w:type="spellStart"/>
      <w:r>
        <w:t>ἄλσος</w:t>
      </w:r>
      <w:proofErr w:type="spellEnd"/>
      <w:r>
        <w:t xml:space="preserve"> (Hain, heiliger Baum) – eine interpretierende Übersetzung, die das kanaanäische Kultobjekt mit einem griechischen Äquivalent wiedergibt.</w:t>
      </w:r>
    </w:p>
    <w:p w14:paraId="264221A3" w14:textId="77777777" w:rsidR="00C90AB0" w:rsidRDefault="00C90AB0" w:rsidP="00C90AB0">
      <w:pPr>
        <w:pStyle w:val="whitespace-normal"/>
      </w:pPr>
      <w:r>
        <w:rPr>
          <w:rStyle w:val="Fett"/>
          <w:rFonts w:eastAsiaTheme="majorEastAsia"/>
        </w:rPr>
        <w:t>Die Satzstruktur:</w:t>
      </w:r>
      <w:r>
        <w:t xml:space="preserve"> Negativer Imperativsatz (nicht sollst du pflanzen dir eine Aschera, irgendein Holz, neben dem Altar JHWHs, deines Gottes, den du machen wirst dir).</w:t>
      </w:r>
    </w:p>
    <w:p w14:paraId="521132F8" w14:textId="77777777" w:rsidR="00C90AB0" w:rsidRDefault="00C90AB0" w:rsidP="00C90AB0">
      <w:pPr>
        <w:pStyle w:val="whitespace-normal"/>
      </w:pPr>
      <w:r>
        <w:t>Der Vers verbietet: Pflanze keine Aschera (Kultpfahl oder heiligen Baum) neben JHWHs Altar – keine Vermischung mit fremden Kulten.</w:t>
      </w:r>
    </w:p>
    <w:p w14:paraId="78DD3C3E"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16,22</w:t>
      </w:r>
    </w:p>
    <w:p w14:paraId="5A5D02CB" w14:textId="77777777" w:rsidR="00C90AB0" w:rsidRDefault="00C90AB0" w:rsidP="00C90AB0">
      <w:pPr>
        <w:pStyle w:val="whitespace-normal"/>
      </w:pPr>
      <w:r>
        <w:rPr>
          <w:rStyle w:val="Fett"/>
          <w:rFonts w:eastAsiaTheme="majorEastAsia"/>
        </w:rPr>
        <w:t>Hebräisch:</w:t>
      </w:r>
      <w:r>
        <w:t xml:space="preserve"> </w:t>
      </w:r>
      <w:r>
        <w:rPr>
          <w:rtl/>
        </w:rPr>
        <w:t>וְלֹֽא־תָקִ֥ים לְךָ֖ מַצֵּבָ֑ה אֲשֶׁ֥ר שָׂנֵ֖א יְהוָ֥ה אֱלֹהֶֽיךָ׃</w:t>
      </w:r>
    </w:p>
    <w:p w14:paraId="3D4111B8" w14:textId="77777777" w:rsidR="00C90AB0" w:rsidRDefault="00C90AB0" w:rsidP="00C90AB0">
      <w:pPr>
        <w:pStyle w:val="whitespace-normal"/>
      </w:pPr>
      <w:r>
        <w:rPr>
          <w:rStyle w:val="Fett"/>
          <w:rFonts w:eastAsiaTheme="majorEastAsia"/>
        </w:rPr>
        <w:t>Deutsch:</w:t>
      </w:r>
      <w:r>
        <w:t xml:space="preserve"> Und du sollst dir keine Bildsäule aufrichten, die der Ewige, dein Gott, hasst.</w:t>
      </w:r>
    </w:p>
    <w:p w14:paraId="04518FDF" w14:textId="77777777" w:rsidR="00C90AB0" w:rsidRDefault="004F5CEB" w:rsidP="00C90AB0">
      <w:r>
        <w:rPr>
          <w:noProof/>
        </w:rPr>
        <w:pict w14:anchorId="5158145B">
          <v:rect id="_x0000_i1489" style="width:0;height:1.5pt" o:hralign="center" o:hrstd="t" o:hr="t" fillcolor="#a0a0a0" stroked="f"/>
        </w:pict>
      </w:r>
    </w:p>
    <w:p w14:paraId="48091130"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וְלֹא־תָקִים לְךָ מַצֵּבָה אֲשֶׁר שָׂנֵא יְהוָה אֱלֹהֶיךָ</w:t>
      </w:r>
      <w:r>
        <w:rPr>
          <w:rtl/>
        </w:rPr>
        <w:t xml:space="preserve"> </w:t>
      </w:r>
      <w:r>
        <w:t xml:space="preserve">ist ein negativer Imperativsatz: </w:t>
      </w:r>
      <w:r>
        <w:rPr>
          <w:rStyle w:val="Fett"/>
          <w:rFonts w:eastAsiaTheme="majorEastAsia"/>
          <w:rtl/>
        </w:rPr>
        <w:t>וְלֹא־תָקִים</w:t>
      </w:r>
      <w:r>
        <w:rPr>
          <w:rtl/>
        </w:rPr>
        <w:t xml:space="preserve"> </w:t>
      </w:r>
      <w:r>
        <w:t xml:space="preserve">(koordiniert durch </w:t>
      </w:r>
      <w:r>
        <w:rPr>
          <w:rStyle w:val="Fett"/>
          <w:rFonts w:eastAsiaTheme="majorEastAsia"/>
          <w:rtl/>
        </w:rPr>
        <w:t>וְ</w:t>
      </w:r>
      <w:r>
        <w:rPr>
          <w:rtl/>
        </w:rPr>
        <w:t xml:space="preserve"> </w:t>
      </w:r>
      <w:r>
        <w:t xml:space="preserve">mit Negation und </w:t>
      </w:r>
      <w:r>
        <w:rPr>
          <w:rStyle w:val="Fett"/>
          <w:rFonts w:eastAsiaTheme="majorEastAsia"/>
          <w:rtl/>
        </w:rPr>
        <w:t>קום</w:t>
      </w:r>
      <w:r>
        <w:t xml:space="preserve">, Hiphil Imperfekt, 2. Person Maskulinum Singular, </w:t>
      </w:r>
      <w:r>
        <w:lastRenderedPageBreak/>
        <w:t xml:space="preserve">„aufrichten, aufstellen"), </w:t>
      </w:r>
      <w:r>
        <w:rPr>
          <w:rStyle w:val="Fett"/>
          <w:rFonts w:eastAsiaTheme="majorEastAsia"/>
          <w:rtl/>
        </w:rPr>
        <w:t>לְךָ</w:t>
      </w:r>
      <w:r>
        <w:rPr>
          <w:rtl/>
        </w:rPr>
        <w:t xml:space="preserve"> </w:t>
      </w:r>
      <w:r>
        <w:t xml:space="preserve">(Präposition </w:t>
      </w:r>
      <w:r>
        <w:rPr>
          <w:rStyle w:val="Fett"/>
          <w:rFonts w:eastAsiaTheme="majorEastAsia"/>
          <w:rtl/>
        </w:rPr>
        <w:t>לְ</w:t>
      </w:r>
      <w:r>
        <w:rPr>
          <w:rtl/>
        </w:rPr>
        <w:t xml:space="preserve"> </w:t>
      </w:r>
      <w:r>
        <w:t xml:space="preserve">mit Suffix 2. Person Maskulinum Singular, ethischer Dativ), </w:t>
      </w:r>
      <w:r>
        <w:rPr>
          <w:rStyle w:val="Fett"/>
          <w:rFonts w:eastAsiaTheme="majorEastAsia"/>
          <w:rtl/>
        </w:rPr>
        <w:t>מַצֵּבָה</w:t>
      </w:r>
      <w:r>
        <w:rPr>
          <w:rtl/>
        </w:rPr>
        <w:t xml:space="preserve"> </w:t>
      </w:r>
      <w:r>
        <w:t>(</w:t>
      </w:r>
      <w:r>
        <w:rPr>
          <w:rStyle w:val="Fett"/>
          <w:rFonts w:eastAsiaTheme="majorEastAsia"/>
          <w:rtl/>
        </w:rPr>
        <w:t>מַצֵּבָה</w:t>
      </w:r>
      <w:r>
        <w:t xml:space="preserve">, „Bildsäule, Steinsäule, Massebe"), </w:t>
      </w:r>
      <w:r>
        <w:rPr>
          <w:rStyle w:val="Fett"/>
          <w:rFonts w:eastAsiaTheme="majorEastAsia"/>
          <w:rtl/>
        </w:rPr>
        <w:t>אֲשֶׁר שָׂנֵא יְהוָה אֱלֹהֶיךָ</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שׂנא</w:t>
      </w:r>
      <w:r>
        <w:t xml:space="preserve">, Qal Perfekt, 3. Person Maskulinum Singular, „hassen", </w:t>
      </w:r>
      <w:r>
        <w:rPr>
          <w:rStyle w:val="Fett"/>
          <w:rFonts w:eastAsiaTheme="majorEastAsia"/>
          <w:rtl/>
        </w:rPr>
        <w:t>יְהוָה אֱלֹהֶיךָ</w:t>
      </w:r>
      <w:r>
        <w:rPr>
          <w:rtl/>
        </w:rPr>
        <w:t xml:space="preserve"> </w:t>
      </w:r>
      <w:r>
        <w:t>als Subjekt, „die JHWH, dein Gott, hasst").</w:t>
      </w:r>
    </w:p>
    <w:p w14:paraId="1EE53A9A" w14:textId="3D7DBAE5" w:rsidR="00C90AB0" w:rsidRDefault="00C90AB0" w:rsidP="00C90AB0">
      <w:pPr>
        <w:pStyle w:val="whitespace-normal"/>
      </w:pPr>
      <w:r>
        <w:t xml:space="preserve">Das Wort </w:t>
      </w:r>
      <w:r>
        <w:rPr>
          <w:rStyle w:val="Fett"/>
          <w:rFonts w:eastAsiaTheme="majorEastAsia"/>
          <w:rtl/>
        </w:rPr>
        <w:t>מַצֵּבָה</w:t>
      </w:r>
      <w:r>
        <w:rPr>
          <w:rtl/>
        </w:rPr>
        <w:t xml:space="preserve"> </w:t>
      </w:r>
      <w:r>
        <w:t xml:space="preserve">(„Bildsäule, Steinsäule") bezeichnet aufgerichtete Steine als Kultobjekte. Im kanaanäischen Kontext waren sie oft mit Götzendienst verbunden (vgl. Ex 23,24; 34,13; </w:t>
      </w:r>
      <w:r w:rsidR="00664EB6">
        <w:t>Lev</w:t>
      </w:r>
      <w:r>
        <w:t xml:space="preserve"> 26,1; Dtn 7,5; 12,3; 16,22; </w:t>
      </w:r>
      <w:r w:rsidR="00664EB6">
        <w:t>1Kön</w:t>
      </w:r>
      <w:r>
        <w:t xml:space="preserve"> 14,23; </w:t>
      </w:r>
      <w:r w:rsidR="00664EB6">
        <w:t>2Kön</w:t>
      </w:r>
      <w:r>
        <w:t xml:space="preserve"> 3,2; 10,26.27; 17,10; 18,4; 23,14; </w:t>
      </w:r>
      <w:r w:rsidR="00664EB6">
        <w:t>2Chr</w:t>
      </w:r>
      <w:r>
        <w:t xml:space="preserve"> 14,2; 31,1; Hos 3,4; 10,1.2; Mi 5,12). Die Begründung </w:t>
      </w:r>
      <w:r>
        <w:rPr>
          <w:rStyle w:val="Fett"/>
          <w:rFonts w:eastAsiaTheme="majorEastAsia"/>
          <w:rtl/>
        </w:rPr>
        <w:t>אֲשֶׁר שָׂנֵא יְהוָה אֱלֹהֶיךָ</w:t>
      </w:r>
      <w:r>
        <w:rPr>
          <w:rtl/>
        </w:rPr>
        <w:t xml:space="preserve"> </w:t>
      </w:r>
      <w:r>
        <w:t xml:space="preserve">(„die JHWH, dein Gott, hasst") ist stark – nicht nur Missfallen, sondern Hass (vgl. Dtn 12,31; 16,22). Interessanterweise waren </w:t>
      </w:r>
      <w:r>
        <w:rPr>
          <w:rStyle w:val="Fett"/>
          <w:rFonts w:eastAsiaTheme="majorEastAsia"/>
          <w:rtl/>
        </w:rPr>
        <w:t>מַצֵּבוֹת</w:t>
      </w:r>
      <w:r>
        <w:rPr>
          <w:rtl/>
        </w:rPr>
        <w:t xml:space="preserve"> </w:t>
      </w:r>
      <w:r>
        <w:t xml:space="preserve">in früher Zeit legitim (vgl. Gen 28,18.22; 31,13.45; 35,14.20; Ex 24,4; Jos 4,9; 24,26-27; </w:t>
      </w:r>
      <w:r w:rsidR="00664EB6">
        <w:t>1Sam</w:t>
      </w:r>
      <w:r>
        <w:t xml:space="preserve"> 7,12; </w:t>
      </w:r>
      <w:r w:rsidR="00664EB6">
        <w:t>2Sam</w:t>
      </w:r>
      <w:r>
        <w:t xml:space="preserve"> 18,18), wurden aber später wegen kanaanäischer Assoziation verboten.</w:t>
      </w:r>
    </w:p>
    <w:p w14:paraId="5B05E974" w14:textId="77777777" w:rsidR="00C90AB0" w:rsidRDefault="00C90AB0" w:rsidP="00C90AB0">
      <w:pPr>
        <w:pStyle w:val="whitespace-normal"/>
      </w:pPr>
      <w:r>
        <w:rPr>
          <w:rStyle w:val="Fett"/>
          <w:rFonts w:eastAsiaTheme="majorEastAsia"/>
        </w:rPr>
        <w:t>Die Satzstruktur:</w:t>
      </w:r>
      <w:r>
        <w:t xml:space="preserve"> Negativer Imperativsatz (und nicht sollst du aufrichten dir eine Bildsäule, die hasst JHWH, dein Gott).</w:t>
      </w:r>
    </w:p>
    <w:p w14:paraId="0CD9FA3C" w14:textId="77777777" w:rsidR="00C90AB0" w:rsidRDefault="00C90AB0" w:rsidP="00C90AB0">
      <w:pPr>
        <w:pStyle w:val="whitespace-normal"/>
      </w:pPr>
      <w:r>
        <w:t>Der Vers verbietet: Richte keine Steinsäule auf – JHWH hasst sie wegen ihrer heidnischen Assoziation.</w:t>
      </w:r>
    </w:p>
    <w:p w14:paraId="74B2FE9A"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17,1</w:t>
      </w:r>
    </w:p>
    <w:p w14:paraId="11DE4CD0" w14:textId="77777777" w:rsidR="00C90AB0" w:rsidRDefault="00C90AB0" w:rsidP="00C90AB0">
      <w:pPr>
        <w:pStyle w:val="whitespace-normal"/>
      </w:pPr>
      <w:r>
        <w:rPr>
          <w:rStyle w:val="Fett"/>
          <w:rFonts w:eastAsiaTheme="majorEastAsia"/>
        </w:rPr>
        <w:t>Hebräisch:</w:t>
      </w:r>
      <w:r>
        <w:t xml:space="preserve"> </w:t>
      </w:r>
      <w:r>
        <w:rPr>
          <w:rtl/>
        </w:rPr>
        <w:t>לֹא־תִזְבַּח֩ לַיהוָ֨ה אֱלֹהֶ֜יךָ שׁ֣וֹר וָשֶׂ֗ה אֲשֶׁ֨ר יִהְיֶ֥ה בוֹ֙ מ֔וּם כֹּ֖ל דָּבָ֣ר רָ֑ע כִּ֧י תוֹעֲבַ֛ת יְהוָ֥ה אֱלֹהֶ֖יךָ הֽוּא׃</w:t>
      </w:r>
    </w:p>
    <w:p w14:paraId="18358C93" w14:textId="77777777" w:rsidR="00C90AB0" w:rsidRDefault="00C90AB0" w:rsidP="00C90AB0">
      <w:pPr>
        <w:pStyle w:val="whitespace-normal"/>
      </w:pPr>
      <w:r>
        <w:rPr>
          <w:rStyle w:val="Fett"/>
          <w:rFonts w:eastAsiaTheme="majorEastAsia"/>
        </w:rPr>
        <w:t>Deutsch:</w:t>
      </w:r>
      <w:r>
        <w:t xml:space="preserve"> Du sollst dem Ewigen, deinem Gott, kein Rind oder Schaf opfern, an dem ein Makel ist, irgendeine schlimme Sache; denn es ist ein Gräuel für den Ewigen, deinen Gott.</w:t>
      </w:r>
    </w:p>
    <w:p w14:paraId="595EA20B" w14:textId="77777777" w:rsidR="00C90AB0" w:rsidRDefault="004F5CEB" w:rsidP="00C90AB0">
      <w:r>
        <w:rPr>
          <w:noProof/>
        </w:rPr>
        <w:pict w14:anchorId="4D528751">
          <v:rect id="_x0000_i1490" style="width:0;height:1.5pt" o:hralign="center" o:hrstd="t" o:hr="t" fillcolor="#a0a0a0" stroked="f"/>
        </w:pict>
      </w:r>
    </w:p>
    <w:p w14:paraId="1E7B5425"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לֹא־תִזְבַּח לַיהוָה אֱלֹהֶיךָ שׁוֹר וָשֶׂה אֲשֶׁר יִהְיֶה בוֹ מוּם כֹּל דָּבָר רָע</w:t>
      </w:r>
      <w:r>
        <w:rPr>
          <w:rtl/>
        </w:rPr>
        <w:t xml:space="preserve"> </w:t>
      </w:r>
      <w:r>
        <w:t xml:space="preserve">ist ein negativer Imperativsatz: </w:t>
      </w:r>
      <w:r>
        <w:rPr>
          <w:rStyle w:val="Fett"/>
          <w:rFonts w:eastAsiaTheme="majorEastAsia"/>
          <w:rtl/>
        </w:rPr>
        <w:t>לֹא־תִזְבַּח</w:t>
      </w:r>
      <w:r>
        <w:rPr>
          <w:rtl/>
        </w:rPr>
        <w:t xml:space="preserve"> </w:t>
      </w:r>
      <w:r>
        <w:t xml:space="preserve">(Negation mit </w:t>
      </w:r>
      <w:r>
        <w:rPr>
          <w:rStyle w:val="Fett"/>
          <w:rFonts w:eastAsiaTheme="majorEastAsia"/>
          <w:rtl/>
        </w:rPr>
        <w:t>זבח</w:t>
      </w:r>
      <w:r>
        <w:t xml:space="preserve">, Qal Imperfekt, 2. Person Maskulinum Singular, „schlachten, opfern"), </w:t>
      </w:r>
      <w:r>
        <w:rPr>
          <w:rStyle w:val="Fett"/>
          <w:rFonts w:eastAsiaTheme="majorEastAsia"/>
          <w:rtl/>
        </w:rPr>
        <w:t>לַיהוָה אֱלֹהֶיךָ</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יְהוָה אֱלֹהֶיךָ</w:t>
      </w:r>
      <w:r>
        <w:t xml:space="preserve">), </w:t>
      </w:r>
      <w:r>
        <w:rPr>
          <w:rStyle w:val="Fett"/>
          <w:rFonts w:eastAsiaTheme="majorEastAsia"/>
          <w:rtl/>
        </w:rPr>
        <w:t>שׁוֹר וָשֶׂה</w:t>
      </w:r>
      <w:r>
        <w:rPr>
          <w:rtl/>
        </w:rPr>
        <w:t xml:space="preserve"> </w:t>
      </w:r>
      <w:r>
        <w:t>(</w:t>
      </w:r>
      <w:r>
        <w:rPr>
          <w:rStyle w:val="Fett"/>
          <w:rFonts w:eastAsiaTheme="majorEastAsia"/>
          <w:rtl/>
        </w:rPr>
        <w:t>שׁוֹר</w:t>
      </w:r>
      <w:r>
        <w:t xml:space="preserve">, „Rind, Stier, Ochse", koordiniert durch </w:t>
      </w:r>
      <w:r>
        <w:rPr>
          <w:rStyle w:val="Fett"/>
          <w:rFonts w:eastAsiaTheme="majorEastAsia"/>
          <w:rtl/>
        </w:rPr>
        <w:t>וָ</w:t>
      </w:r>
      <w:r>
        <w:rPr>
          <w:rtl/>
        </w:rPr>
        <w:t xml:space="preserve"> </w:t>
      </w:r>
      <w:r>
        <w:t xml:space="preserve">mit </w:t>
      </w:r>
      <w:r>
        <w:rPr>
          <w:rStyle w:val="Fett"/>
          <w:rFonts w:eastAsiaTheme="majorEastAsia"/>
          <w:rtl/>
        </w:rPr>
        <w:t>שֶׂה</w:t>
      </w:r>
      <w:r>
        <w:t xml:space="preserve">, „Schaf oder Ziege, Kleinvieh"), </w:t>
      </w:r>
      <w:r>
        <w:rPr>
          <w:rStyle w:val="Fett"/>
          <w:rFonts w:eastAsiaTheme="majorEastAsia"/>
          <w:rtl/>
        </w:rPr>
        <w:t>אֲשֶׁר יִהְיֶה בוֹ מוּם</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היה</w:t>
      </w:r>
      <w:r>
        <w:t xml:space="preserve">, Qal Imperfekt, 3. Person Maskulinum Singular, „sein", </w:t>
      </w:r>
      <w:r>
        <w:rPr>
          <w:rStyle w:val="Fett"/>
          <w:rFonts w:eastAsiaTheme="majorEastAsia"/>
          <w:rtl/>
        </w:rPr>
        <w:t>בּוֹ</w:t>
      </w:r>
      <w:r>
        <w:t xml:space="preserve">, Präposition </w:t>
      </w:r>
      <w:r>
        <w:rPr>
          <w:rStyle w:val="Fett"/>
          <w:rFonts w:eastAsiaTheme="majorEastAsia"/>
          <w:rtl/>
        </w:rPr>
        <w:t>בְּ</w:t>
      </w:r>
      <w:r>
        <w:rPr>
          <w:rtl/>
        </w:rPr>
        <w:t xml:space="preserve"> </w:t>
      </w:r>
      <w:r>
        <w:t xml:space="preserve">mit Suffix 3. Person Maskulinum Singular, „an ihm", </w:t>
      </w:r>
      <w:r>
        <w:rPr>
          <w:rStyle w:val="Fett"/>
          <w:rFonts w:eastAsiaTheme="majorEastAsia"/>
          <w:rtl/>
        </w:rPr>
        <w:t>מוּם</w:t>
      </w:r>
      <w:r>
        <w:t xml:space="preserve">, „Makel, Fehler, Gebrechen"), </w:t>
      </w:r>
      <w:r>
        <w:rPr>
          <w:rStyle w:val="Fett"/>
          <w:rFonts w:eastAsiaTheme="majorEastAsia"/>
          <w:rtl/>
        </w:rPr>
        <w:t>כֹּל דָּבָר רָע</w:t>
      </w:r>
      <w:r>
        <w:rPr>
          <w:rtl/>
        </w:rPr>
        <w:t xml:space="preserve"> </w:t>
      </w:r>
      <w:r>
        <w:t>(</w:t>
      </w:r>
      <w:r>
        <w:rPr>
          <w:rStyle w:val="Fett"/>
          <w:rFonts w:eastAsiaTheme="majorEastAsia"/>
          <w:rtl/>
        </w:rPr>
        <w:t>כֹּל</w:t>
      </w:r>
      <w:r>
        <w:t xml:space="preserve">, „jeder, irgendein", </w:t>
      </w:r>
      <w:r>
        <w:rPr>
          <w:rStyle w:val="Fett"/>
          <w:rFonts w:eastAsiaTheme="majorEastAsia"/>
          <w:rtl/>
        </w:rPr>
        <w:t>דָּבָר</w:t>
      </w:r>
      <w:r>
        <w:t xml:space="preserve">, „Sache, Ding", </w:t>
      </w:r>
      <w:r>
        <w:rPr>
          <w:rStyle w:val="Fett"/>
          <w:rFonts w:eastAsiaTheme="majorEastAsia"/>
          <w:rtl/>
        </w:rPr>
        <w:t>רַע</w:t>
      </w:r>
      <w:r>
        <w:t>, „böse, schlimm", „irgendeine schlimme Sache").</w:t>
      </w:r>
    </w:p>
    <w:p w14:paraId="7C57C23D" w14:textId="77777777" w:rsidR="00C90AB0" w:rsidRDefault="00C90AB0" w:rsidP="00C90AB0">
      <w:pPr>
        <w:pStyle w:val="whitespace-normal"/>
      </w:pPr>
      <w:r>
        <w:rPr>
          <w:rStyle w:val="Fett"/>
          <w:rFonts w:eastAsiaTheme="majorEastAsia"/>
          <w:rtl/>
        </w:rPr>
        <w:t>כִּי תוֹעֲבַת יְהוָה אֱלֹהֶיךָ הוּא</w:t>
      </w:r>
      <w:r>
        <w:rPr>
          <w:rtl/>
        </w:rPr>
        <w:t xml:space="preserve"> </w:t>
      </w:r>
      <w:r>
        <w:t xml:space="preserve">ist die kausale Begründung: </w:t>
      </w:r>
      <w:r>
        <w:rPr>
          <w:rStyle w:val="Fett"/>
          <w:rFonts w:eastAsiaTheme="majorEastAsia"/>
          <w:rtl/>
        </w:rPr>
        <w:t>כִּי</w:t>
      </w:r>
      <w:r>
        <w:rPr>
          <w:rtl/>
        </w:rPr>
        <w:t xml:space="preserve"> </w:t>
      </w:r>
      <w:r>
        <w:t xml:space="preserve">(„denn"), </w:t>
      </w:r>
      <w:r>
        <w:rPr>
          <w:rStyle w:val="Fett"/>
          <w:rFonts w:eastAsiaTheme="majorEastAsia"/>
          <w:rtl/>
        </w:rPr>
        <w:t>תוֹעֲבַת יְהוָה אֱלֹהֶיךָ</w:t>
      </w:r>
      <w:r>
        <w:rPr>
          <w:rtl/>
        </w:rPr>
        <w:t xml:space="preserve"> </w:t>
      </w:r>
      <w:r>
        <w:t>(</w:t>
      </w:r>
      <w:r>
        <w:rPr>
          <w:rStyle w:val="Fett"/>
          <w:rFonts w:eastAsiaTheme="majorEastAsia"/>
          <w:rtl/>
        </w:rPr>
        <w:t>תּוֹעֵבָה</w:t>
      </w:r>
      <w:r>
        <w:t xml:space="preserve">, „Gräuel", Construct mit </w:t>
      </w:r>
      <w:r>
        <w:rPr>
          <w:rStyle w:val="Fett"/>
          <w:rFonts w:eastAsiaTheme="majorEastAsia"/>
          <w:rtl/>
        </w:rPr>
        <w:t>יְהוָה אֱלֹהֶיךָ</w:t>
      </w:r>
      <w:r>
        <w:t xml:space="preserve">, „Gräuel des Ewigen, deines Gottes"), </w:t>
      </w:r>
      <w:r>
        <w:rPr>
          <w:rStyle w:val="Fett"/>
          <w:rFonts w:eastAsiaTheme="majorEastAsia"/>
          <w:rtl/>
        </w:rPr>
        <w:t>הוּא</w:t>
      </w:r>
      <w:r>
        <w:rPr>
          <w:rtl/>
        </w:rPr>
        <w:t xml:space="preserve"> </w:t>
      </w:r>
      <w:r>
        <w:t>(Personalpronomen 3. Person Maskulinum Singular, „er/es [ist]").</w:t>
      </w:r>
    </w:p>
    <w:p w14:paraId="4DC3A435" w14:textId="5D143CA3" w:rsidR="00C90AB0" w:rsidRDefault="00C90AB0" w:rsidP="00C90AB0">
      <w:pPr>
        <w:pStyle w:val="whitespace-normal"/>
      </w:pPr>
      <w:r>
        <w:t xml:space="preserve">Der Vers knüpft an 15,21 an und verbietet, Tiere mit Mängeln zu opfern. Die Apposition </w:t>
      </w:r>
      <w:r>
        <w:rPr>
          <w:rStyle w:val="Fett"/>
          <w:rFonts w:eastAsiaTheme="majorEastAsia"/>
          <w:rtl/>
        </w:rPr>
        <w:t>כֹּל דָּבָר רָע</w:t>
      </w:r>
      <w:r>
        <w:rPr>
          <w:rtl/>
        </w:rPr>
        <w:t xml:space="preserve"> </w:t>
      </w:r>
      <w:r>
        <w:t xml:space="preserve">(„irgendeine schlimme Sache") erweitert </w:t>
      </w:r>
      <w:r>
        <w:rPr>
          <w:rStyle w:val="Fett"/>
          <w:rFonts w:eastAsiaTheme="majorEastAsia"/>
          <w:rtl/>
        </w:rPr>
        <w:t>מוּם</w:t>
      </w:r>
      <w:r>
        <w:rPr>
          <w:rtl/>
        </w:rPr>
        <w:t xml:space="preserve"> </w:t>
      </w:r>
      <w:r>
        <w:t xml:space="preserve">– jeder gravierende Fehler disqualifiziert. Das Wort </w:t>
      </w:r>
      <w:r>
        <w:rPr>
          <w:rStyle w:val="Fett"/>
          <w:rFonts w:eastAsiaTheme="majorEastAsia"/>
          <w:rtl/>
        </w:rPr>
        <w:t>תּוֹעֵבָה</w:t>
      </w:r>
      <w:r>
        <w:rPr>
          <w:rtl/>
        </w:rPr>
        <w:t xml:space="preserve"> </w:t>
      </w:r>
      <w:r>
        <w:t xml:space="preserve">(„Gräuel") ist ein starker Begriff für etwas, das JHWH verabscheut (vgl. 7,25.26; 12,31; 13,15; 14,3; 17,1.4; 18,9.12; 22,5; 23,19; 24,4; 25,16; 27,15; 32,16; </w:t>
      </w:r>
      <w:r w:rsidR="00664EB6">
        <w:t>Lev</w:t>
      </w:r>
      <w:r>
        <w:t xml:space="preserve"> 18,22.26.27.29.30; 20,13; Spr 6,16; 11,1.20; 12,22; 15,8.9.26; 16,5.12; 17,15; 20,10.23; 28,9).</w:t>
      </w:r>
    </w:p>
    <w:p w14:paraId="37E1645A" w14:textId="23E78A70" w:rsidR="0082305E" w:rsidRDefault="0082305E" w:rsidP="00C90AB0">
      <w:pPr>
        <w:pStyle w:val="whitespace-normal"/>
      </w:pPr>
      <w:r>
        <w:rPr>
          <w:rStyle w:val="Fett"/>
        </w:rPr>
        <w:lastRenderedPageBreak/>
        <w:t>Die LXX</w:t>
      </w:r>
      <w:r>
        <w:t xml:space="preserve"> übersetzt </w:t>
      </w:r>
      <w:r w:rsidRPr="0082305E">
        <w:rPr>
          <w:b/>
          <w:bCs/>
          <w:rtl/>
        </w:rPr>
        <w:t>שׁוֹר וָשֶׂה</w:t>
      </w:r>
      <w:r>
        <w:t xml:space="preserve"> (Rind und Schaf) mit </w:t>
      </w:r>
      <w:proofErr w:type="spellStart"/>
      <w:r>
        <w:t>μόσχον</w:t>
      </w:r>
      <w:proofErr w:type="spellEnd"/>
      <w:r>
        <w:t xml:space="preserve"> ἢ π</w:t>
      </w:r>
      <w:proofErr w:type="spellStart"/>
      <w:r>
        <w:t>ρό</w:t>
      </w:r>
      <w:proofErr w:type="spellEnd"/>
      <w:r>
        <w:t xml:space="preserve">βατον (Kalb oder Schaf) – eine Spezifizierung auf jüngere Tiere. Die Phrase </w:t>
      </w:r>
      <w:proofErr w:type="spellStart"/>
      <w:r>
        <w:t>ἐν</w:t>
      </w:r>
      <w:proofErr w:type="spellEnd"/>
      <w:r>
        <w:t xml:space="preserve"> ᾧ </w:t>
      </w:r>
      <w:proofErr w:type="spellStart"/>
      <w:r>
        <w:t>ἐστιν</w:t>
      </w:r>
      <w:proofErr w:type="spellEnd"/>
      <w:r>
        <w:t xml:space="preserve"> </w:t>
      </w:r>
      <w:proofErr w:type="spellStart"/>
      <w:r>
        <w:t>ἐν</w:t>
      </w:r>
      <w:proofErr w:type="spellEnd"/>
      <w:r>
        <w:t xml:space="preserve"> α</w:t>
      </w:r>
      <w:proofErr w:type="spellStart"/>
      <w:r>
        <w:t>ὐτῷ</w:t>
      </w:r>
      <w:proofErr w:type="spellEnd"/>
      <w:r>
        <w:t xml:space="preserve"> (in dem ist in ihm) ist eine pleonastische Konstruktion.</w:t>
      </w:r>
    </w:p>
    <w:p w14:paraId="657F5D71" w14:textId="3A4A5594" w:rsidR="00C90AB0" w:rsidRDefault="00C90AB0" w:rsidP="00C90AB0">
      <w:pPr>
        <w:pStyle w:val="whitespace-normal"/>
      </w:pPr>
      <w:r>
        <w:rPr>
          <w:rStyle w:val="Fett"/>
          <w:rFonts w:eastAsiaTheme="majorEastAsia"/>
        </w:rPr>
        <w:t>Die Satzstruktur:</w:t>
      </w:r>
      <w:r>
        <w:t xml:space="preserve"> Negativer Imperativsatz mit kausaler Begründung (nicht sollst du opfern </w:t>
      </w:r>
      <w:r w:rsidR="00281FDB">
        <w:t>JHWH</w:t>
      </w:r>
      <w:r>
        <w:t>, deinem Gott, Rind oder Schaf, an dem ist ein Makel, irgendeine schlimme Sache; denn ein Gräuel des Ewigen, deines Gottes, ist es).</w:t>
      </w:r>
    </w:p>
    <w:p w14:paraId="6230B03C" w14:textId="77777777" w:rsidR="00C90AB0" w:rsidRDefault="00C90AB0" w:rsidP="00C90AB0">
      <w:pPr>
        <w:pStyle w:val="whitespace-normal"/>
      </w:pPr>
      <w:r>
        <w:t>Der Vers verbietet: Opfere JHWH kein Rind oder Schaf mit irgendeinem schweren Makel – denn das ist ihm ein Gräuel.</w:t>
      </w:r>
    </w:p>
    <w:p w14:paraId="00E5D521"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17,2</w:t>
      </w:r>
    </w:p>
    <w:p w14:paraId="0C2DF29D" w14:textId="77777777" w:rsidR="00C90AB0" w:rsidRDefault="00C90AB0" w:rsidP="00C90AB0">
      <w:pPr>
        <w:pStyle w:val="whitespace-normal"/>
      </w:pPr>
      <w:r>
        <w:rPr>
          <w:rStyle w:val="Fett"/>
          <w:rFonts w:eastAsiaTheme="majorEastAsia"/>
        </w:rPr>
        <w:t>Hebräisch:</w:t>
      </w:r>
      <w:r>
        <w:t xml:space="preserve"> </w:t>
      </w:r>
      <w:r>
        <w:rPr>
          <w:rtl/>
        </w:rPr>
        <w:t>כִּֽי־יִמָּצֵ֤א בְקִרְבְּךָ֙ בְּאַחַ֣ד שְׁעָרֶ֔יךָ אֲשֶׁר־יְהוָ֥ה אֱלֹהֶ֖יךָ נֹתֵ֣ן לָ֑ךְ אִ֣ישׁ אוֹ־אִשָּׁ֗ה אֲשֶׁ֨ר יַעֲשֶׂ֧ה אֶת־הָרַ֛ע בְּעֵינֵ֥י יְהוָֽה־אֱלֹהֶ֖יךָ לַעֲבֹ֥ר בְּרִיתֹֽו׃</w:t>
      </w:r>
    </w:p>
    <w:p w14:paraId="59C1172C" w14:textId="77777777" w:rsidR="00C90AB0" w:rsidRDefault="00C90AB0" w:rsidP="00C90AB0">
      <w:pPr>
        <w:pStyle w:val="whitespace-normal"/>
      </w:pPr>
      <w:r>
        <w:rPr>
          <w:rStyle w:val="Fett"/>
          <w:rFonts w:eastAsiaTheme="majorEastAsia"/>
        </w:rPr>
        <w:t>Deutsch:</w:t>
      </w:r>
      <w:r>
        <w:t xml:space="preserve"> Wenn in deiner Mitte, in einem deiner Tore, die der Ewige, dein Gott, dir gibt, ein Mann oder eine Frau gefunden wird, der das tut, was böse ist in den Augen des Ewigen, deines Gottes, seinen Bund zu übertreten,</w:t>
      </w:r>
    </w:p>
    <w:p w14:paraId="5FA2E9C8" w14:textId="77777777" w:rsidR="00C90AB0" w:rsidRDefault="004F5CEB" w:rsidP="00C90AB0">
      <w:r>
        <w:rPr>
          <w:noProof/>
        </w:rPr>
        <w:pict w14:anchorId="721E16B0">
          <v:rect id="_x0000_i1491" style="width:0;height:1.5pt" o:hralign="center" o:hrstd="t" o:hr="t" fillcolor="#a0a0a0" stroked="f"/>
        </w:pict>
      </w:r>
    </w:p>
    <w:p w14:paraId="07EF8A4E"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כִּי־יִמָּצֵא בְקִרְבְּךָ בְּאַחַד שְׁעָרֶיךָ אֲשֶׁר־יְהוָה אֱלֹהֶיךָ נֹתֵן לָךְ אִישׁ אוֹ־אִשָּׁה</w:t>
      </w:r>
      <w:r>
        <w:rPr>
          <w:rtl/>
        </w:rPr>
        <w:t xml:space="preserve"> </w:t>
      </w:r>
      <w:r>
        <w:t xml:space="preserve">ist ein konditionaler Satz: </w:t>
      </w:r>
      <w:r>
        <w:rPr>
          <w:rStyle w:val="Fett"/>
          <w:rFonts w:eastAsiaTheme="majorEastAsia"/>
          <w:rtl/>
        </w:rPr>
        <w:t>כִּי־יִמָּצֵא</w:t>
      </w:r>
      <w:r>
        <w:rPr>
          <w:rtl/>
        </w:rPr>
        <w:t xml:space="preserve"> </w:t>
      </w:r>
      <w:r>
        <w:t>(</w:t>
      </w:r>
      <w:r>
        <w:rPr>
          <w:rStyle w:val="Fett"/>
          <w:rFonts w:eastAsiaTheme="majorEastAsia"/>
          <w:rtl/>
        </w:rPr>
        <w:t>כִּי</w:t>
      </w:r>
      <w:r>
        <w:t xml:space="preserve">, „wenn", mit </w:t>
      </w:r>
      <w:r>
        <w:rPr>
          <w:rStyle w:val="Fett"/>
          <w:rFonts w:eastAsiaTheme="majorEastAsia"/>
          <w:rtl/>
        </w:rPr>
        <w:t>מצא</w:t>
      </w:r>
      <w:r>
        <w:t xml:space="preserve">, Niphal Imperfekt, 3. Person Maskulinum Singular, „finden", passivisch „gefunden werden"), </w:t>
      </w:r>
      <w:r>
        <w:rPr>
          <w:rStyle w:val="Fett"/>
          <w:rFonts w:eastAsiaTheme="majorEastAsia"/>
          <w:rtl/>
        </w:rPr>
        <w:t>בְקִרְבְּךָ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קֶרֶב</w:t>
      </w:r>
      <w:r>
        <w:t xml:space="preserve">, „Inneres, Mitte", mit Suffix 2. Person Maskulinum Singular, „in deiner Mitte"), </w:t>
      </w:r>
      <w:r>
        <w:rPr>
          <w:rStyle w:val="Fett"/>
          <w:rFonts w:eastAsiaTheme="majorEastAsia"/>
          <w:rtl/>
        </w:rPr>
        <w:t>בְּאַחַד שְׁעָרֶיךָ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אֶחָד</w:t>
      </w:r>
      <w:r>
        <w:t xml:space="preserve">, „einer", Construct mit </w:t>
      </w:r>
      <w:r>
        <w:rPr>
          <w:rStyle w:val="Fett"/>
          <w:rFonts w:eastAsiaTheme="majorEastAsia"/>
          <w:rtl/>
        </w:rPr>
        <w:t>שַׁעַר</w:t>
      </w:r>
      <w:r>
        <w:t xml:space="preserve">, Plural mit Suffix 2. Person Maskulinum Singular, „in einem deiner Tore"), </w:t>
      </w:r>
      <w:r>
        <w:rPr>
          <w:rStyle w:val="Fett"/>
          <w:rFonts w:eastAsiaTheme="majorEastAsia"/>
          <w:rtl/>
        </w:rPr>
        <w:t>אֲשֶׁר־יְהוָה אֱלֹהֶיךָ נֹתֵן לָךְ</w:t>
      </w:r>
      <w:r>
        <w:rPr>
          <w:rtl/>
        </w:rPr>
        <w:t xml:space="preserve"> </w:t>
      </w:r>
      <w:r>
        <w:t xml:space="preserve">(Relativsatz), </w:t>
      </w:r>
      <w:r>
        <w:rPr>
          <w:rStyle w:val="Fett"/>
          <w:rFonts w:eastAsiaTheme="majorEastAsia"/>
          <w:rtl/>
        </w:rPr>
        <w:t>אִישׁ אוֹ־אִשָּׁה</w:t>
      </w:r>
      <w:r>
        <w:rPr>
          <w:rtl/>
        </w:rPr>
        <w:t xml:space="preserve"> </w:t>
      </w:r>
      <w:r>
        <w:t>(</w:t>
      </w:r>
      <w:r>
        <w:rPr>
          <w:rStyle w:val="Fett"/>
          <w:rFonts w:eastAsiaTheme="majorEastAsia"/>
          <w:rtl/>
        </w:rPr>
        <w:t>אִישׁ</w:t>
      </w:r>
      <w:r>
        <w:t xml:space="preserve">, „Mann", mit </w:t>
      </w:r>
      <w:r>
        <w:rPr>
          <w:rStyle w:val="Fett"/>
          <w:rFonts w:eastAsiaTheme="majorEastAsia"/>
          <w:rtl/>
        </w:rPr>
        <w:t>אוֹ</w:t>
      </w:r>
      <w:r>
        <w:t xml:space="preserve">, „oder", und </w:t>
      </w:r>
      <w:r>
        <w:rPr>
          <w:rStyle w:val="Fett"/>
          <w:rFonts w:eastAsiaTheme="majorEastAsia"/>
          <w:rtl/>
        </w:rPr>
        <w:t>אִשָּׁה</w:t>
      </w:r>
      <w:r>
        <w:t>, „Frau").</w:t>
      </w:r>
    </w:p>
    <w:p w14:paraId="0B99945A" w14:textId="2CD3E6D2" w:rsidR="00C90AB0" w:rsidRDefault="00C90AB0" w:rsidP="00C90AB0">
      <w:pPr>
        <w:pStyle w:val="whitespace-normal"/>
      </w:pPr>
      <w:r>
        <w:rPr>
          <w:rStyle w:val="Fett"/>
          <w:rFonts w:eastAsiaTheme="majorEastAsia"/>
          <w:rtl/>
        </w:rPr>
        <w:t>אֲשֶׁר יַעֲשֶׂה אֶת־הָרַע בְּעֵינֵי יְהוָה־אֱלֹהֶיךָ לַעֲבֹר בְּרִיתוֹ</w:t>
      </w:r>
      <w:r>
        <w:rPr>
          <w:rtl/>
        </w:rPr>
        <w:t xml:space="preserve"> </w:t>
      </w:r>
      <w:r>
        <w:t xml:space="preserve">ist ein Relativsatz: </w:t>
      </w:r>
      <w:r>
        <w:rPr>
          <w:rStyle w:val="Fett"/>
          <w:rFonts w:eastAsiaTheme="majorEastAsia"/>
          <w:rtl/>
        </w:rPr>
        <w:t>אֲשֶׁר יַעֲשֶׂה</w:t>
      </w:r>
      <w:r>
        <w:rPr>
          <w:rtl/>
        </w:rPr>
        <w:t xml:space="preserve"> </w:t>
      </w:r>
      <w:r>
        <w:t>(</w:t>
      </w:r>
      <w:r>
        <w:rPr>
          <w:rStyle w:val="Fett"/>
          <w:rFonts w:eastAsiaTheme="majorEastAsia"/>
          <w:rtl/>
        </w:rPr>
        <w:t>אֲשֶׁר</w:t>
      </w:r>
      <w:r>
        <w:rPr>
          <w:rtl/>
        </w:rPr>
        <w:t xml:space="preserve"> </w:t>
      </w:r>
      <w:r>
        <w:t xml:space="preserve">mit </w:t>
      </w:r>
      <w:r>
        <w:rPr>
          <w:rStyle w:val="Fett"/>
          <w:rFonts w:eastAsiaTheme="majorEastAsia"/>
          <w:rtl/>
        </w:rPr>
        <w:t>עשׂה</w:t>
      </w:r>
      <w:r>
        <w:t xml:space="preserve">, Qal Imperfekt, 3. Person Maskulinum Singular, „tun"), </w:t>
      </w:r>
      <w:r>
        <w:rPr>
          <w:rStyle w:val="Fett"/>
          <w:rFonts w:eastAsiaTheme="majorEastAsia"/>
          <w:rtl/>
        </w:rPr>
        <w:t>אֶת־הָרַע</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רַע</w:t>
      </w:r>
      <w:r>
        <w:t xml:space="preserve">, „Böses", mit Artikel), </w:t>
      </w:r>
      <w:r>
        <w:rPr>
          <w:rStyle w:val="Fett"/>
          <w:rFonts w:eastAsiaTheme="majorEastAsia"/>
          <w:rtl/>
        </w:rPr>
        <w:t>בְּעֵינֵי יְהוָה־אֱלֹהֶיךָ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עַיִן</w:t>
      </w:r>
      <w:r>
        <w:t xml:space="preserve">, Dual Construct, mit </w:t>
      </w:r>
      <w:r>
        <w:rPr>
          <w:rStyle w:val="Fett"/>
          <w:rFonts w:eastAsiaTheme="majorEastAsia"/>
          <w:rtl/>
        </w:rPr>
        <w:t>יְהוָה אֱלֹהֶיךָ</w:t>
      </w:r>
      <w:r>
        <w:t xml:space="preserve">, „in den Augen </w:t>
      </w:r>
      <w:bookmarkStart w:id="5" w:name="_Hlk214897902"/>
      <w:r w:rsidR="00DF3D1A">
        <w:t>JHWHs</w:t>
      </w:r>
      <w:bookmarkEnd w:id="5"/>
      <w:r>
        <w:t xml:space="preserve">, deines Gottes"), </w:t>
      </w:r>
      <w:r>
        <w:rPr>
          <w:rStyle w:val="Fett"/>
          <w:rFonts w:eastAsiaTheme="majorEastAsia"/>
          <w:rtl/>
        </w:rPr>
        <w:t>לַעֲבֹר בְּרִיתוֹ</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עבר</w:t>
      </w:r>
      <w:r>
        <w:t xml:space="preserve">, „hinübergehen, übertreten", </w:t>
      </w:r>
      <w:r>
        <w:rPr>
          <w:rStyle w:val="Fett"/>
          <w:rFonts w:eastAsiaTheme="majorEastAsia"/>
          <w:rtl/>
        </w:rPr>
        <w:t>בְּרִית</w:t>
      </w:r>
      <w:r>
        <w:t>, „Bund", mit Suffix 3. Person Maskulinum Singular, „um seinen Bund zu übertreten").</w:t>
      </w:r>
    </w:p>
    <w:p w14:paraId="1DDCF526" w14:textId="66832719" w:rsidR="00C90AB0" w:rsidRDefault="00C90AB0" w:rsidP="00C90AB0">
      <w:pPr>
        <w:pStyle w:val="whitespace-normal"/>
      </w:pPr>
      <w:r>
        <w:t xml:space="preserve">Der Vers leitet einen neuen Abschnitt ein: Götzendienst und seine Bestrafung. Die Formulierung </w:t>
      </w:r>
      <w:r>
        <w:rPr>
          <w:rStyle w:val="Fett"/>
          <w:rFonts w:eastAsiaTheme="majorEastAsia"/>
          <w:rtl/>
        </w:rPr>
        <w:t>אִישׁ אוֹ־אִשָּׁה</w:t>
      </w:r>
      <w:r>
        <w:rPr>
          <w:rtl/>
        </w:rPr>
        <w:t xml:space="preserve"> </w:t>
      </w:r>
      <w:r>
        <w:t xml:space="preserve">(„Mann oder Frau") zeigt: Das Gesetz gilt für beide Geschlechter gleichermaßen. Die Wendung </w:t>
      </w:r>
      <w:r>
        <w:rPr>
          <w:rStyle w:val="Fett"/>
          <w:rFonts w:eastAsiaTheme="majorEastAsia"/>
          <w:rtl/>
        </w:rPr>
        <w:t>הָרַע בְּעֵינֵי יְהוָה</w:t>
      </w:r>
      <w:r>
        <w:rPr>
          <w:rtl/>
        </w:rPr>
        <w:t xml:space="preserve"> </w:t>
      </w:r>
      <w:r>
        <w:t xml:space="preserve">(„das Böse in den Augen JHWHs") ist charakteristisch deuteronomisch (vgl. 4,25; 9,18; 17,2; 31,29; Ri 2,11; 3,7.12; 4,1; 6,1; 10,6; 13,1; </w:t>
      </w:r>
      <w:r w:rsidR="00664EB6">
        <w:t>1Sam</w:t>
      </w:r>
      <w:r>
        <w:t xml:space="preserve"> 15,19; </w:t>
      </w:r>
      <w:r w:rsidR="00664EB6">
        <w:t>2Sam</w:t>
      </w:r>
      <w:r>
        <w:t xml:space="preserve"> 12,9; </w:t>
      </w:r>
      <w:r w:rsidR="00664EB6">
        <w:t>1Kön</w:t>
      </w:r>
      <w:r>
        <w:t xml:space="preserve"> 11,6; 14,22; 15,26.34; 16,25.30; </w:t>
      </w:r>
      <w:r w:rsidR="00664EB6">
        <w:t>2Kön</w:t>
      </w:r>
      <w:r>
        <w:t xml:space="preserve"> 3,2; 8,18.27; 13,2.11; 14,24; 15,9.18.24.28; 17,2.17; 21,2.16.20; 23,32.37; 24,9.19). Die finale Bestimmung </w:t>
      </w:r>
      <w:r>
        <w:rPr>
          <w:rStyle w:val="Fett"/>
          <w:rFonts w:eastAsiaTheme="majorEastAsia"/>
          <w:rtl/>
        </w:rPr>
        <w:t>לַעֲבֹר בְּרִיתוֹ</w:t>
      </w:r>
      <w:r>
        <w:rPr>
          <w:rtl/>
        </w:rPr>
        <w:t xml:space="preserve"> </w:t>
      </w:r>
      <w:r>
        <w:t>(„um seinen Bund zu übertreten") spezifiziert: Das Böse besteht in Bundesbruch.</w:t>
      </w:r>
    </w:p>
    <w:p w14:paraId="5AB34AE2" w14:textId="3EC51889" w:rsidR="00E80EEB" w:rsidRDefault="00E80EEB" w:rsidP="00C90AB0">
      <w:pPr>
        <w:pStyle w:val="whitespace-normal"/>
      </w:pPr>
      <w:r>
        <w:rPr>
          <w:rStyle w:val="Fett"/>
        </w:rPr>
        <w:lastRenderedPageBreak/>
        <w:t>Die LXX</w:t>
      </w:r>
      <w:r>
        <w:t xml:space="preserve"> übersetzt </w:t>
      </w:r>
      <w:r w:rsidRPr="00E80EEB">
        <w:rPr>
          <w:b/>
          <w:bCs/>
          <w:rtl/>
        </w:rPr>
        <w:t>בְּאַחַד שְׁעָרֶיךָ</w:t>
      </w:r>
      <w:r>
        <w:t xml:space="preserve"> (in einem deiner Tore) mit </w:t>
      </w:r>
      <w:proofErr w:type="spellStart"/>
      <w:r>
        <w:t>ἐν</w:t>
      </w:r>
      <w:proofErr w:type="spellEnd"/>
      <w:r>
        <w:t xml:space="preserve"> </w:t>
      </w:r>
      <w:proofErr w:type="spellStart"/>
      <w:r>
        <w:t>μιᾷ</w:t>
      </w:r>
      <w:proofErr w:type="spellEnd"/>
      <w:r>
        <w:t xml:space="preserve"> </w:t>
      </w:r>
      <w:proofErr w:type="spellStart"/>
      <w:r>
        <w:t>τῶν</w:t>
      </w:r>
      <w:proofErr w:type="spellEnd"/>
      <w:r>
        <w:t xml:space="preserve"> π</w:t>
      </w:r>
      <w:proofErr w:type="spellStart"/>
      <w:r>
        <w:t>όλεών</w:t>
      </w:r>
      <w:proofErr w:type="spellEnd"/>
      <w:r>
        <w:t xml:space="preserve"> </w:t>
      </w:r>
      <w:proofErr w:type="spellStart"/>
      <w:r>
        <w:t>σου</w:t>
      </w:r>
      <w:proofErr w:type="spellEnd"/>
      <w:r>
        <w:t xml:space="preserve"> (in einer deiner Städte) – die bekannte LXX-Tendenz, "Tore" als "Städte" zu verstehen.</w:t>
      </w:r>
    </w:p>
    <w:p w14:paraId="40B56BFA" w14:textId="7741F799" w:rsidR="00C90AB0" w:rsidRDefault="00C90AB0" w:rsidP="00C90AB0">
      <w:pPr>
        <w:pStyle w:val="whitespace-normal"/>
      </w:pPr>
      <w:r>
        <w:rPr>
          <w:rStyle w:val="Fett"/>
          <w:rFonts w:eastAsiaTheme="majorEastAsia"/>
        </w:rPr>
        <w:t>Die Satzstruktur:</w:t>
      </w:r>
      <w:r>
        <w:t xml:space="preserve"> Konditionaler Satz mit Relativsatz (wenn gefunden wird in deiner Mitte, in einem deiner Tore, die JHWH, dein Gott, gibt dir, ein Mann oder eine Frau, der tut das Böse in den Augen </w:t>
      </w:r>
      <w:r w:rsidR="00DF3D1A">
        <w:t>JHWHs</w:t>
      </w:r>
      <w:r>
        <w:t>, deines Gottes, um zu übertreten seinen Bund).</w:t>
      </w:r>
    </w:p>
    <w:p w14:paraId="0AFC2001" w14:textId="77777777" w:rsidR="00C90AB0" w:rsidRDefault="00C90AB0" w:rsidP="00C90AB0">
      <w:pPr>
        <w:pStyle w:val="whitespace-normal"/>
      </w:pPr>
      <w:r>
        <w:t>Der Vers setzt die Bedingung: Wenn in deiner Stadt ein Mann oder eine Frau gefunden wird, der JHWHs Bund durch Böses bricht – V. 3 spezifiziert dann, was gemeint ist.</w:t>
      </w:r>
    </w:p>
    <w:p w14:paraId="05647319"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17,3</w:t>
      </w:r>
    </w:p>
    <w:p w14:paraId="79A04A6A" w14:textId="77777777" w:rsidR="00C90AB0" w:rsidRDefault="00C90AB0" w:rsidP="00C90AB0">
      <w:pPr>
        <w:pStyle w:val="whitespace-normal"/>
      </w:pPr>
      <w:r>
        <w:rPr>
          <w:rStyle w:val="Fett"/>
          <w:rFonts w:eastAsiaTheme="majorEastAsia"/>
        </w:rPr>
        <w:t>Hebräisch:</w:t>
      </w:r>
      <w:r>
        <w:t xml:space="preserve"> </w:t>
      </w:r>
      <w:r>
        <w:rPr>
          <w:rtl/>
        </w:rPr>
        <w:t>וַיֵּ֗לֶךְ וַֽיַּעֲבֹד֙ אֱלֹהִ֣ים אֲחֵרִ֔ים וַיִּשְׁתַּ֖חוּ לָהֶ֑ם וְלַשֶּׁ֣מֶשׁ׀ א֣וֹ לַיָּרֵ֗חַ א֛וֹ לְכָל־צְבָ֥א הַשָּׁמַ֖יִם אֲשֶׁ֥ר לֹא־צִוִּֽיתִי׃</w:t>
      </w:r>
    </w:p>
    <w:p w14:paraId="1553B787" w14:textId="77777777" w:rsidR="00C90AB0" w:rsidRDefault="00C90AB0" w:rsidP="00C90AB0">
      <w:pPr>
        <w:pStyle w:val="whitespace-normal"/>
      </w:pPr>
      <w:r>
        <w:rPr>
          <w:rStyle w:val="Fett"/>
          <w:rFonts w:eastAsiaTheme="majorEastAsia"/>
        </w:rPr>
        <w:t>Deutsch:</w:t>
      </w:r>
      <w:r>
        <w:t xml:space="preserve"> und hingeht und anderen Göttern dient und sich vor ihnen niederwirft, sei es vor der Sonne oder vor dem Mond oder vor dem ganzen Heer des Himmels, was ich nicht geboten habe,</w:t>
      </w:r>
    </w:p>
    <w:p w14:paraId="47B462A0" w14:textId="77777777" w:rsidR="00C90AB0" w:rsidRDefault="004F5CEB" w:rsidP="00C90AB0">
      <w:r>
        <w:rPr>
          <w:noProof/>
        </w:rPr>
        <w:pict w14:anchorId="07594172">
          <v:rect id="_x0000_i1492" style="width:0;height:1.5pt" o:hralign="center" o:hrstd="t" o:hr="t" fillcolor="#a0a0a0" stroked="f"/>
        </w:pict>
      </w:r>
    </w:p>
    <w:p w14:paraId="6E3870E2" w14:textId="5E76C742" w:rsidR="00C90AB0" w:rsidRDefault="00C90AB0" w:rsidP="00C90AB0">
      <w:pPr>
        <w:pStyle w:val="whitespace-normal"/>
      </w:pPr>
      <w:r>
        <w:rPr>
          <w:rStyle w:val="Fett"/>
          <w:rFonts w:eastAsiaTheme="majorEastAsia"/>
        </w:rPr>
        <w:t>Kommentar:</w:t>
      </w:r>
      <w:r>
        <w:t xml:space="preserve"> </w:t>
      </w:r>
      <w:r>
        <w:rPr>
          <w:rStyle w:val="Fett"/>
          <w:rFonts w:eastAsiaTheme="majorEastAsia"/>
          <w:rtl/>
        </w:rPr>
        <w:t>וַיֵּלֶךְ וַיַּעֲבֹד אֱלֹהִים אֲחֵרִים וַיִּשְׁתַּחוּ לָהֶם</w:t>
      </w:r>
      <w:r>
        <w:rPr>
          <w:rtl/>
        </w:rPr>
        <w:t xml:space="preserve"> </w:t>
      </w:r>
      <w:r>
        <w:t xml:space="preserve">sind drei koordinierte Verben: </w:t>
      </w:r>
      <w:r>
        <w:rPr>
          <w:rStyle w:val="Fett"/>
          <w:rFonts w:eastAsiaTheme="majorEastAsia"/>
          <w:rtl/>
        </w:rPr>
        <w:t>וַיֵּלֶךְ</w:t>
      </w:r>
      <w:r>
        <w:rPr>
          <w:rtl/>
        </w:rPr>
        <w:t xml:space="preserve"> </w:t>
      </w:r>
      <w:r>
        <w:t xml:space="preserve">(Qal Imperfekt, 3. Person Maskulinum Singular von </w:t>
      </w:r>
      <w:r>
        <w:rPr>
          <w:rStyle w:val="Fett"/>
          <w:rFonts w:eastAsiaTheme="majorEastAsia"/>
          <w:rtl/>
        </w:rPr>
        <w:t>הלך</w:t>
      </w:r>
      <w:r>
        <w:t xml:space="preserve">, „gehen", mit </w:t>
      </w:r>
      <w:r>
        <w:rPr>
          <w:rStyle w:val="Fett"/>
          <w:rFonts w:eastAsiaTheme="majorEastAsia"/>
        </w:rPr>
        <w:t>Waw</w:t>
      </w:r>
      <w:r>
        <w:t xml:space="preserve"> consecutives Imperfekt), </w:t>
      </w:r>
      <w:r>
        <w:rPr>
          <w:rStyle w:val="Fett"/>
          <w:rFonts w:eastAsiaTheme="majorEastAsia"/>
          <w:rtl/>
        </w:rPr>
        <w:t>וַיַּעֲבֹד</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עבד</w:t>
      </w:r>
      <w:r>
        <w:t xml:space="preserve">, Qal Imperfekt, 3. Person Maskulinum Singular, „dienen"), </w:t>
      </w:r>
      <w:r>
        <w:rPr>
          <w:rStyle w:val="Fett"/>
          <w:rFonts w:eastAsiaTheme="majorEastAsia"/>
          <w:rtl/>
        </w:rPr>
        <w:t>אֱלֹהִים אֲחֵרִים</w:t>
      </w:r>
      <w:r>
        <w:rPr>
          <w:rtl/>
        </w:rPr>
        <w:t xml:space="preserve"> </w:t>
      </w:r>
      <w:r>
        <w:t>(</w:t>
      </w:r>
      <w:r>
        <w:rPr>
          <w:rStyle w:val="Fett"/>
          <w:rFonts w:eastAsiaTheme="majorEastAsia"/>
          <w:rtl/>
        </w:rPr>
        <w:t>אֱלֹהִים</w:t>
      </w:r>
      <w:r>
        <w:t xml:space="preserve">, „Götter", mit </w:t>
      </w:r>
      <w:r>
        <w:rPr>
          <w:rStyle w:val="Fett"/>
          <w:rFonts w:eastAsiaTheme="majorEastAsia"/>
          <w:rtl/>
        </w:rPr>
        <w:t>אַחֵר</w:t>
      </w:r>
      <w:r>
        <w:t xml:space="preserve">, Plural, „andere"), </w:t>
      </w:r>
      <w:r>
        <w:rPr>
          <w:rStyle w:val="Fett"/>
          <w:rFonts w:eastAsiaTheme="majorEastAsia"/>
          <w:rtl/>
        </w:rPr>
        <w:t>וַיִּשְׁתַּחוּ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שׁחה</w:t>
      </w:r>
      <w:r>
        <w:t xml:space="preserve">, </w:t>
      </w:r>
      <w:r w:rsidR="007E2044">
        <w:t>Hitpael</w:t>
      </w:r>
      <w:r>
        <w:t xml:space="preserve"> Imperfekt, 3. Person Maskulinum Singular, „sich niederbeugen, sich niederwerfen"), </w:t>
      </w:r>
      <w:r>
        <w:rPr>
          <w:rStyle w:val="Fett"/>
          <w:rFonts w:eastAsiaTheme="majorEastAsia"/>
          <w:rtl/>
        </w:rPr>
        <w:t>לָהֶם</w:t>
      </w:r>
      <w:r>
        <w:rPr>
          <w:rtl/>
        </w:rPr>
        <w:t xml:space="preserve"> </w:t>
      </w:r>
      <w:r>
        <w:t xml:space="preserve">(Präposition </w:t>
      </w:r>
      <w:r>
        <w:rPr>
          <w:rStyle w:val="Fett"/>
          <w:rFonts w:eastAsiaTheme="majorEastAsia"/>
          <w:rtl/>
        </w:rPr>
        <w:t>לְ</w:t>
      </w:r>
      <w:r>
        <w:rPr>
          <w:rtl/>
        </w:rPr>
        <w:t xml:space="preserve"> </w:t>
      </w:r>
      <w:r>
        <w:t>mit Suffix 3. Person Plural, „ihnen, vor ihnen").</w:t>
      </w:r>
    </w:p>
    <w:p w14:paraId="064F895D" w14:textId="77777777" w:rsidR="00C90AB0" w:rsidRDefault="00C90AB0" w:rsidP="00C90AB0">
      <w:pPr>
        <w:pStyle w:val="whitespace-normal"/>
      </w:pPr>
      <w:r>
        <w:rPr>
          <w:rStyle w:val="Fett"/>
          <w:rFonts w:eastAsiaTheme="majorEastAsia"/>
          <w:rtl/>
        </w:rPr>
        <w:t>וְלַשֶּׁמֶשׁ אוֹ לַיָּרֵחַ אוֹ לְכָל־צְבָא הַשָּׁמַיִם אֲשֶׁר לֹא־צִוִּיתִי</w:t>
      </w:r>
      <w:r>
        <w:rPr>
          <w:rtl/>
        </w:rPr>
        <w:t xml:space="preserve"> </w:t>
      </w:r>
      <w:r>
        <w:t xml:space="preserve">ist die Spezifikation: </w:t>
      </w:r>
      <w:r>
        <w:rPr>
          <w:rStyle w:val="Fett"/>
          <w:rFonts w:eastAsiaTheme="majorEastAsia"/>
          <w:rtl/>
        </w:rPr>
        <w:t>וְלַשֶּׁמֶשׁ</w:t>
      </w:r>
      <w:r>
        <w:rPr>
          <w:rtl/>
        </w:rPr>
        <w:t xml:space="preserve"> </w:t>
      </w:r>
      <w:r>
        <w:t xml:space="preserve">(koordiniert durch </w:t>
      </w:r>
      <w:r>
        <w:rPr>
          <w:rStyle w:val="Fett"/>
          <w:rFonts w:eastAsiaTheme="majorEastAsia"/>
          <w:rtl/>
        </w:rPr>
        <w:t>וְ</w:t>
      </w:r>
      <w:r>
        <w:rPr>
          <w:rtl/>
        </w:rPr>
        <w:t xml:space="preserve"> </w:t>
      </w:r>
      <w:r>
        <w:t xml:space="preserve">mit Präposition </w:t>
      </w:r>
      <w:r>
        <w:rPr>
          <w:rStyle w:val="Fett"/>
          <w:rFonts w:eastAsiaTheme="majorEastAsia"/>
          <w:rtl/>
        </w:rPr>
        <w:t>לְ</w:t>
      </w:r>
      <w:r>
        <w:rPr>
          <w:rtl/>
        </w:rPr>
        <w:t xml:space="preserve"> </w:t>
      </w:r>
      <w:r>
        <w:t xml:space="preserve">und </w:t>
      </w:r>
      <w:r>
        <w:rPr>
          <w:rStyle w:val="Fett"/>
          <w:rFonts w:eastAsiaTheme="majorEastAsia"/>
          <w:rtl/>
        </w:rPr>
        <w:t>שֶׁמֶשׁ</w:t>
      </w:r>
      <w:r>
        <w:t xml:space="preserve">, „Sonne", mit Artikel), </w:t>
      </w:r>
      <w:r>
        <w:rPr>
          <w:rStyle w:val="Fett"/>
          <w:rFonts w:eastAsiaTheme="majorEastAsia"/>
          <w:rtl/>
        </w:rPr>
        <w:t>אוֹ לַיָּרֵחַ</w:t>
      </w:r>
      <w:r>
        <w:rPr>
          <w:rtl/>
        </w:rPr>
        <w:t xml:space="preserve"> </w:t>
      </w:r>
      <w:r>
        <w:t>(</w:t>
      </w:r>
      <w:r>
        <w:rPr>
          <w:rStyle w:val="Fett"/>
          <w:rFonts w:eastAsiaTheme="majorEastAsia"/>
          <w:rtl/>
        </w:rPr>
        <w:t>אוֹ</w:t>
      </w:r>
      <w:r>
        <w:t xml:space="preserve">, „oder", mit </w:t>
      </w:r>
      <w:r>
        <w:rPr>
          <w:rStyle w:val="Fett"/>
          <w:rFonts w:eastAsiaTheme="majorEastAsia"/>
          <w:rtl/>
        </w:rPr>
        <w:t>לְ</w:t>
      </w:r>
      <w:r>
        <w:rPr>
          <w:rtl/>
        </w:rPr>
        <w:t xml:space="preserve"> </w:t>
      </w:r>
      <w:r>
        <w:t xml:space="preserve">und </w:t>
      </w:r>
      <w:r>
        <w:rPr>
          <w:rStyle w:val="Fett"/>
          <w:rFonts w:eastAsiaTheme="majorEastAsia"/>
          <w:rtl/>
        </w:rPr>
        <w:t>יָרֵחַ</w:t>
      </w:r>
      <w:r>
        <w:t xml:space="preserve">, „Mond", mit Artikel), </w:t>
      </w:r>
      <w:r>
        <w:rPr>
          <w:rStyle w:val="Fett"/>
          <w:rFonts w:eastAsiaTheme="majorEastAsia"/>
          <w:rtl/>
        </w:rPr>
        <w:t>אוֹ לְכָל־צְבָא הַשָּׁמַיִם</w:t>
      </w:r>
      <w:r>
        <w:rPr>
          <w:rtl/>
        </w:rPr>
        <w:t xml:space="preserve"> </w:t>
      </w:r>
      <w:r>
        <w:t>(</w:t>
      </w:r>
      <w:r>
        <w:rPr>
          <w:rStyle w:val="Fett"/>
          <w:rFonts w:eastAsiaTheme="majorEastAsia"/>
          <w:rtl/>
        </w:rPr>
        <w:t>אוֹ</w:t>
      </w:r>
      <w:r>
        <w:rPr>
          <w:rtl/>
        </w:rPr>
        <w:t xml:space="preserve"> </w:t>
      </w:r>
      <w:r>
        <w:t xml:space="preserve">mit </w:t>
      </w:r>
      <w:r>
        <w:rPr>
          <w:rStyle w:val="Fett"/>
          <w:rFonts w:eastAsiaTheme="majorEastAsia"/>
          <w:rtl/>
        </w:rPr>
        <w:t>לְ</w:t>
      </w:r>
      <w:r>
        <w:rPr>
          <w:rtl/>
        </w:rPr>
        <w:t xml:space="preserve"> </w:t>
      </w:r>
      <w:r>
        <w:t xml:space="preserve">und </w:t>
      </w:r>
      <w:r>
        <w:rPr>
          <w:rStyle w:val="Fett"/>
          <w:rFonts w:eastAsiaTheme="majorEastAsia"/>
          <w:rtl/>
        </w:rPr>
        <w:t>כֹּל</w:t>
      </w:r>
      <w:r>
        <w:t xml:space="preserve">, Construct mit </w:t>
      </w:r>
      <w:r>
        <w:rPr>
          <w:rStyle w:val="Fett"/>
          <w:rFonts w:eastAsiaTheme="majorEastAsia"/>
          <w:rtl/>
        </w:rPr>
        <w:t>צָבָא</w:t>
      </w:r>
      <w:r>
        <w:t xml:space="preserve">, „Heer, Heerschar", Construct mit </w:t>
      </w:r>
      <w:r>
        <w:rPr>
          <w:rStyle w:val="Fett"/>
          <w:rFonts w:eastAsiaTheme="majorEastAsia"/>
          <w:rtl/>
        </w:rPr>
        <w:t>שָׁמַיִם</w:t>
      </w:r>
      <w:r>
        <w:t xml:space="preserve">, „Himmel", mit Artikel, „das ganze Heer des Himmels"), </w:t>
      </w:r>
      <w:r>
        <w:rPr>
          <w:rStyle w:val="Fett"/>
          <w:rFonts w:eastAsiaTheme="majorEastAsia"/>
          <w:rtl/>
        </w:rPr>
        <w:t>אֲשֶׁר לֹא־צִוִּיתִי</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צוה</w:t>
      </w:r>
      <w:r>
        <w:t xml:space="preserve">, Piel Perfekt, 1. Person Singular, „befehlen, gebieten", mit Negation </w:t>
      </w:r>
      <w:r>
        <w:rPr>
          <w:rStyle w:val="Fett"/>
          <w:rFonts w:eastAsiaTheme="majorEastAsia"/>
          <w:rtl/>
        </w:rPr>
        <w:t>לֹא</w:t>
      </w:r>
      <w:r>
        <w:t>, „was ich nicht geboten habe").</w:t>
      </w:r>
    </w:p>
    <w:p w14:paraId="3455609F" w14:textId="77777777" w:rsidR="00C90AB0" w:rsidRDefault="00C90AB0" w:rsidP="00C90AB0">
      <w:pPr>
        <w:pStyle w:val="whitespace-normal"/>
      </w:pPr>
      <w:r>
        <w:t xml:space="preserve">Der Vers konkretisiert den Bundesbruch aus V. 2: Götzendienst. Die drei Verben </w:t>
      </w:r>
      <w:r>
        <w:rPr>
          <w:rStyle w:val="Fett"/>
          <w:rFonts w:eastAsiaTheme="majorEastAsia"/>
          <w:rtl/>
        </w:rPr>
        <w:t>הלך</w:t>
      </w:r>
      <w:r>
        <w:t xml:space="preserve">, </w:t>
      </w:r>
      <w:r>
        <w:rPr>
          <w:rStyle w:val="Fett"/>
          <w:rFonts w:eastAsiaTheme="majorEastAsia"/>
          <w:rtl/>
        </w:rPr>
        <w:t>עבד</w:t>
      </w:r>
      <w:r>
        <w:t xml:space="preserve">, </w:t>
      </w:r>
      <w:r>
        <w:rPr>
          <w:rStyle w:val="Fett"/>
          <w:rFonts w:eastAsiaTheme="majorEastAsia"/>
          <w:rtl/>
        </w:rPr>
        <w:t>שׁחה</w:t>
      </w:r>
      <w:r>
        <w:rPr>
          <w:rtl/>
        </w:rPr>
        <w:t xml:space="preserve"> </w:t>
      </w:r>
      <w:r>
        <w:t xml:space="preserve">beschreiben die Abwendung von JHWH: (1) </w:t>
      </w:r>
      <w:r>
        <w:rPr>
          <w:rStyle w:val="Fett"/>
          <w:rFonts w:eastAsiaTheme="majorEastAsia"/>
          <w:rtl/>
        </w:rPr>
        <w:t>וַיֵּלֶךְ</w:t>
      </w:r>
      <w:r>
        <w:rPr>
          <w:rtl/>
        </w:rPr>
        <w:t xml:space="preserve"> </w:t>
      </w:r>
      <w:r>
        <w:t xml:space="preserve">(„und hingeht") – sich anderen Göttern zuwendet, (2) </w:t>
      </w:r>
      <w:r>
        <w:rPr>
          <w:rStyle w:val="Fett"/>
          <w:rFonts w:eastAsiaTheme="majorEastAsia"/>
          <w:rtl/>
        </w:rPr>
        <w:t>וַיַּעֲבֹד</w:t>
      </w:r>
      <w:r>
        <w:rPr>
          <w:rtl/>
        </w:rPr>
        <w:t xml:space="preserve"> </w:t>
      </w:r>
      <w:r>
        <w:t xml:space="preserve">(„und dient") – ihnen Verehrung erweist, (3) </w:t>
      </w:r>
      <w:r>
        <w:rPr>
          <w:rStyle w:val="Fett"/>
          <w:rFonts w:eastAsiaTheme="majorEastAsia"/>
          <w:rtl/>
        </w:rPr>
        <w:t>וַיִּשְׁתַּחוּ</w:t>
      </w:r>
      <w:r>
        <w:rPr>
          <w:rtl/>
        </w:rPr>
        <w:t xml:space="preserve"> </w:t>
      </w:r>
      <w:r>
        <w:t>(„und sich niederwirft") – Anbetung vollzieht (vgl. 4,19; 8,19; 11,16; 28,14.36.64; 29,25; 30,17; 31,20).</w:t>
      </w:r>
    </w:p>
    <w:p w14:paraId="4A687134" w14:textId="221B0B41" w:rsidR="00C90AB0" w:rsidRDefault="00C90AB0" w:rsidP="00C90AB0">
      <w:pPr>
        <w:pStyle w:val="whitespace-normal"/>
      </w:pPr>
      <w:r>
        <w:t xml:space="preserve">Die Spezifikation </w:t>
      </w:r>
      <w:r>
        <w:rPr>
          <w:rStyle w:val="Fett"/>
          <w:rFonts w:eastAsiaTheme="majorEastAsia"/>
          <w:rtl/>
        </w:rPr>
        <w:t>וְלַשֶּׁמֶשׁ אוֹ לַיָּרֵחַ אוֹ לְכָל־צְבָא הַשָּׁמַיִם</w:t>
      </w:r>
      <w:r>
        <w:rPr>
          <w:rtl/>
        </w:rPr>
        <w:t xml:space="preserve"> </w:t>
      </w:r>
      <w:r>
        <w:t xml:space="preserve">nennt konkret Gestirnsverehrung – Sonne, Mond, Sterne. Dies war in der altorientalischen Umwelt weit verbreitet (vgl. 4,19; </w:t>
      </w:r>
      <w:r w:rsidR="00664EB6">
        <w:t>2Kön</w:t>
      </w:r>
      <w:r>
        <w:t xml:space="preserve"> 17,16; 21,3.5; 23,4.5; Jer 8,2; 19,13; Zeph 1,5). Die Klausel </w:t>
      </w:r>
      <w:r>
        <w:rPr>
          <w:rStyle w:val="Fett"/>
          <w:rFonts w:eastAsiaTheme="majorEastAsia"/>
          <w:rtl/>
        </w:rPr>
        <w:t>אֲשֶׁר לֹא־צִוִּיתִי</w:t>
      </w:r>
      <w:r>
        <w:rPr>
          <w:rtl/>
        </w:rPr>
        <w:t xml:space="preserve"> </w:t>
      </w:r>
      <w:r>
        <w:t>(„was ich nicht geboten habe") betont: Diese Praktiken haben keine göttliche Autorisation (vgl. Jer 7,31; 19,5; 32,35).</w:t>
      </w:r>
    </w:p>
    <w:p w14:paraId="30BD0AA2" w14:textId="6E73E2F1" w:rsidR="00E80EEB" w:rsidRDefault="00E80EEB" w:rsidP="00C90AB0">
      <w:pPr>
        <w:pStyle w:val="whitespace-normal"/>
      </w:pPr>
      <w:r>
        <w:rPr>
          <w:rStyle w:val="Fett"/>
        </w:rPr>
        <w:t>Die LXX</w:t>
      </w:r>
      <w:r>
        <w:t xml:space="preserve"> übersetzt </w:t>
      </w:r>
      <w:r w:rsidRPr="00E80EEB">
        <w:rPr>
          <w:b/>
          <w:bCs/>
          <w:rtl/>
        </w:rPr>
        <w:t>צְבָא הַשָּׁמַיִם</w:t>
      </w:r>
      <w:r>
        <w:t xml:space="preserve"> (Heer des Himmels) mit </w:t>
      </w:r>
      <w:proofErr w:type="spellStart"/>
      <w:r>
        <w:t>τῶν</w:t>
      </w:r>
      <w:proofErr w:type="spellEnd"/>
      <w:r>
        <w:t xml:space="preserve"> </w:t>
      </w:r>
      <w:proofErr w:type="spellStart"/>
      <w:r>
        <w:t>ἐκ</w:t>
      </w:r>
      <w:proofErr w:type="spellEnd"/>
      <w:r>
        <w:t xml:space="preserve"> </w:t>
      </w:r>
      <w:proofErr w:type="spellStart"/>
      <w:r>
        <w:t>τοῦ</w:t>
      </w:r>
      <w:proofErr w:type="spellEnd"/>
      <w:r>
        <w:t xml:space="preserve"> </w:t>
      </w:r>
      <w:proofErr w:type="spellStart"/>
      <w:r>
        <w:t>κόσμου</w:t>
      </w:r>
      <w:proofErr w:type="spellEnd"/>
      <w:r>
        <w:t xml:space="preserve"> </w:t>
      </w:r>
      <w:proofErr w:type="spellStart"/>
      <w:r>
        <w:t>τοῦ</w:t>
      </w:r>
      <w:proofErr w:type="spellEnd"/>
      <w:r>
        <w:t xml:space="preserve"> </w:t>
      </w:r>
      <w:proofErr w:type="spellStart"/>
      <w:r>
        <w:t>οὐρ</w:t>
      </w:r>
      <w:proofErr w:type="spellEnd"/>
      <w:r>
        <w:t xml:space="preserve">ανοῦ (aus der Ordnung des Himmels) – wobei </w:t>
      </w:r>
      <w:proofErr w:type="spellStart"/>
      <w:r>
        <w:t>κόσμος</w:t>
      </w:r>
      <w:proofErr w:type="spellEnd"/>
      <w:r>
        <w:t xml:space="preserve"> hier "Ordnung, Schmuck" bedeutet und eine </w:t>
      </w:r>
      <w:r>
        <w:lastRenderedPageBreak/>
        <w:t xml:space="preserve">interpretierende Wiedergabe darstellt. Am Ende steht ἃ </w:t>
      </w:r>
      <w:proofErr w:type="spellStart"/>
      <w:r>
        <w:t>οὐ</w:t>
      </w:r>
      <w:proofErr w:type="spellEnd"/>
      <w:r>
        <w:t xml:space="preserve"> π</w:t>
      </w:r>
      <w:proofErr w:type="spellStart"/>
      <w:r>
        <w:t>ροσέτ</w:t>
      </w:r>
      <w:proofErr w:type="spellEnd"/>
      <w:r>
        <w:t>αξεα (was ich nicht befohlen habe) mit einer ungewöhnlichen Form π</w:t>
      </w:r>
      <w:proofErr w:type="spellStart"/>
      <w:r>
        <w:t>ροσέτ</w:t>
      </w:r>
      <w:proofErr w:type="spellEnd"/>
      <w:r>
        <w:t>αξεα statt des erwarteten π</w:t>
      </w:r>
      <w:proofErr w:type="spellStart"/>
      <w:r>
        <w:t>ροσέτ</w:t>
      </w:r>
      <w:proofErr w:type="spellEnd"/>
      <w:r>
        <w:t>αξα.</w:t>
      </w:r>
    </w:p>
    <w:p w14:paraId="23CBAFA2" w14:textId="77777777" w:rsidR="00C90AB0" w:rsidRDefault="00C90AB0" w:rsidP="00C90AB0">
      <w:pPr>
        <w:pStyle w:val="whitespace-normal"/>
      </w:pPr>
      <w:r>
        <w:rPr>
          <w:rStyle w:val="Fett"/>
          <w:rFonts w:eastAsiaTheme="majorEastAsia"/>
        </w:rPr>
        <w:t>Die Satzstruktur:</w:t>
      </w:r>
      <w:r>
        <w:t xml:space="preserve"> Drei koordinierte Verben mit Spezifikation (und hingeht und dient anderen Göttern und niederwirft sich ihnen, sei es der Sonne oder dem Mond oder dem ganzen Heer des Himmels, was nicht geboten habe ich).</w:t>
      </w:r>
    </w:p>
    <w:p w14:paraId="581DA83A" w14:textId="77777777" w:rsidR="00C90AB0" w:rsidRDefault="00C90AB0" w:rsidP="00C90AB0">
      <w:pPr>
        <w:pStyle w:val="whitespace-normal"/>
      </w:pPr>
      <w:r>
        <w:t>Der Vers spezifiziert das Vergehen: Abfall zu anderen Göttern, insbesondere Gestirnsverehrung – was JHWH nie geboten hat.</w:t>
      </w:r>
    </w:p>
    <w:p w14:paraId="04CB92C3"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17,4</w:t>
      </w:r>
    </w:p>
    <w:p w14:paraId="10CA0694" w14:textId="77777777" w:rsidR="00C90AB0" w:rsidRDefault="00C90AB0" w:rsidP="00C90AB0">
      <w:pPr>
        <w:pStyle w:val="whitespace-normal"/>
      </w:pPr>
      <w:r>
        <w:rPr>
          <w:rStyle w:val="Fett"/>
          <w:rFonts w:eastAsiaTheme="majorEastAsia"/>
        </w:rPr>
        <w:t>Hebräisch:</w:t>
      </w:r>
      <w:r>
        <w:t xml:space="preserve"> </w:t>
      </w:r>
      <w:r>
        <w:rPr>
          <w:rtl/>
        </w:rPr>
        <w:t>וְהֻֽגַּד־לְךָ֖ וְשָׁמָ֑עְתָּ וְדָרַשְׁתָּ֣ הֵיטֵ֔ב וְהִנֵּ֤ה אֱמֶת֙ נָכ֣וֹן הַדָּבָ֔ר נֶעֶשְׂתָ֛ה הַתּוֹעֵבָ֥ה הַזֹּ֖את בְּיִשְׂרָאֵֽל׃</w:t>
      </w:r>
    </w:p>
    <w:p w14:paraId="316B1709" w14:textId="77777777" w:rsidR="00C90AB0" w:rsidRDefault="00C90AB0" w:rsidP="00C90AB0">
      <w:pPr>
        <w:pStyle w:val="whitespace-normal"/>
      </w:pPr>
      <w:r>
        <w:rPr>
          <w:rStyle w:val="Fett"/>
          <w:rFonts w:eastAsiaTheme="majorEastAsia"/>
        </w:rPr>
        <w:t>Deutsch:</w:t>
      </w:r>
      <w:r>
        <w:t xml:space="preserve"> und es wird dir berichtet und du hörst es, so sollst du gut nachforschen; und siehe, ist es wahr, steht die Sache fest, ist dieser Gräuel in Jisra'el verübt worden,</w:t>
      </w:r>
    </w:p>
    <w:p w14:paraId="745F81BE" w14:textId="77777777" w:rsidR="00C90AB0" w:rsidRDefault="004F5CEB" w:rsidP="00C90AB0">
      <w:r>
        <w:rPr>
          <w:noProof/>
        </w:rPr>
        <w:pict w14:anchorId="06306E49">
          <v:rect id="_x0000_i1493" style="width:0;height:1.5pt" o:hralign="center" o:hrstd="t" o:hr="t" fillcolor="#a0a0a0" stroked="f"/>
        </w:pict>
      </w:r>
    </w:p>
    <w:p w14:paraId="0F014F30"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וְהֻגַּד־לְךָ וְשָׁמָעְתָּ וְדָרַשְׁתָּ הֵיטֵב</w:t>
      </w:r>
      <w:r>
        <w:rPr>
          <w:rtl/>
        </w:rPr>
        <w:t xml:space="preserve"> </w:t>
      </w:r>
      <w:r>
        <w:t xml:space="preserve">sind drei koordinierte Verben: </w:t>
      </w:r>
      <w:r>
        <w:rPr>
          <w:rStyle w:val="Fett"/>
          <w:rFonts w:eastAsiaTheme="majorEastAsia"/>
          <w:rtl/>
        </w:rPr>
        <w:t>וְהֻגַּד־לְךָ</w:t>
      </w:r>
      <w:r>
        <w:rPr>
          <w:rtl/>
        </w:rPr>
        <w:t xml:space="preserve"> </w:t>
      </w:r>
      <w:r>
        <w:t xml:space="preserve">(Hophal Perfekt, 3. Person Maskulinum Singular von </w:t>
      </w:r>
      <w:r>
        <w:rPr>
          <w:rStyle w:val="Fett"/>
          <w:rFonts w:eastAsiaTheme="majorEastAsia"/>
          <w:rtl/>
        </w:rPr>
        <w:t>נגד</w:t>
      </w:r>
      <w:r>
        <w:t xml:space="preserve">, „berichten, mitteilen", passivisch „berichtet werden", mit </w:t>
      </w:r>
      <w:r>
        <w:rPr>
          <w:rStyle w:val="Fett"/>
          <w:rFonts w:eastAsiaTheme="majorEastAsia"/>
          <w:rtl/>
        </w:rPr>
        <w:t>לְךָ</w:t>
      </w:r>
      <w:r>
        <w:t xml:space="preserve">, „dir"), </w:t>
      </w:r>
      <w:r>
        <w:rPr>
          <w:rStyle w:val="Fett"/>
          <w:rFonts w:eastAsiaTheme="majorEastAsia"/>
          <w:rtl/>
        </w:rPr>
        <w:t>וְשָׁמָעְתָּ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שׁמע</w:t>
      </w:r>
      <w:r>
        <w:t xml:space="preserve">, Qal Perfekt, 2. Person Maskulinum Singular, „hören"), </w:t>
      </w:r>
      <w:r>
        <w:rPr>
          <w:rStyle w:val="Fett"/>
          <w:rFonts w:eastAsiaTheme="majorEastAsia"/>
          <w:rtl/>
        </w:rPr>
        <w:t>וְדָרַשְׁתָּ הֵיטֵב</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דרשׁ</w:t>
      </w:r>
      <w:r>
        <w:t xml:space="preserve">, Qal Perfekt, 2. Person Maskulinum Singular, „suchen, nachforschen, untersuchen", mit </w:t>
      </w:r>
      <w:r>
        <w:rPr>
          <w:rStyle w:val="Fett"/>
          <w:rFonts w:eastAsiaTheme="majorEastAsia"/>
          <w:rtl/>
        </w:rPr>
        <w:t>הֵיטֵב</w:t>
      </w:r>
      <w:r>
        <w:t xml:space="preserve">, Hiphil Infinitiv Absolutus von </w:t>
      </w:r>
      <w:r>
        <w:rPr>
          <w:rStyle w:val="Fett"/>
          <w:rFonts w:eastAsiaTheme="majorEastAsia"/>
          <w:rtl/>
        </w:rPr>
        <w:t>יטב</w:t>
      </w:r>
      <w:r>
        <w:t>, „gut machen", als Adverb „gut, gründlich").</w:t>
      </w:r>
    </w:p>
    <w:p w14:paraId="40478CF9" w14:textId="77777777" w:rsidR="00C90AB0" w:rsidRDefault="00C90AB0" w:rsidP="00C90AB0">
      <w:pPr>
        <w:pStyle w:val="whitespace-normal"/>
      </w:pPr>
      <w:r>
        <w:rPr>
          <w:rStyle w:val="Fett"/>
          <w:rFonts w:eastAsiaTheme="majorEastAsia"/>
          <w:rtl/>
        </w:rPr>
        <w:t>וְהִנֵּה אֱמֶת נָכוֹן הַדָּבָר נֶעֶשְׂתָה הַתּוֹעֵבָה הַזֹּאת בְּיִשְׂרָאֵל</w:t>
      </w:r>
      <w:r>
        <w:rPr>
          <w:rtl/>
        </w:rPr>
        <w:t xml:space="preserve"> </w:t>
      </w:r>
      <w:r>
        <w:t xml:space="preserve">ist der Bedingungssatz: </w:t>
      </w:r>
      <w:r>
        <w:rPr>
          <w:rStyle w:val="Fett"/>
          <w:rFonts w:eastAsiaTheme="majorEastAsia"/>
          <w:rtl/>
        </w:rPr>
        <w:t>וְהִנֵּה</w:t>
      </w:r>
      <w:r>
        <w:rPr>
          <w:rtl/>
        </w:rPr>
        <w:t xml:space="preserve"> </w:t>
      </w:r>
      <w:r>
        <w:t xml:space="preserve">(Interjektion, „siehe"), </w:t>
      </w:r>
      <w:r>
        <w:rPr>
          <w:rStyle w:val="Fett"/>
          <w:rFonts w:eastAsiaTheme="majorEastAsia"/>
          <w:rtl/>
        </w:rPr>
        <w:t>אֱמֶת</w:t>
      </w:r>
      <w:r>
        <w:rPr>
          <w:rtl/>
        </w:rPr>
        <w:t xml:space="preserve"> </w:t>
      </w:r>
      <w:r>
        <w:t>(</w:t>
      </w:r>
      <w:r>
        <w:rPr>
          <w:rStyle w:val="Fett"/>
          <w:rFonts w:eastAsiaTheme="majorEastAsia"/>
          <w:rtl/>
        </w:rPr>
        <w:t>אֱמֶת</w:t>
      </w:r>
      <w:r>
        <w:t xml:space="preserve">, „Wahrheit, wahr"), </w:t>
      </w:r>
      <w:r>
        <w:rPr>
          <w:rStyle w:val="Fett"/>
          <w:rFonts w:eastAsiaTheme="majorEastAsia"/>
          <w:rtl/>
        </w:rPr>
        <w:t>נָכוֹן</w:t>
      </w:r>
      <w:r>
        <w:rPr>
          <w:rtl/>
        </w:rPr>
        <w:t xml:space="preserve"> </w:t>
      </w:r>
      <w:r>
        <w:t xml:space="preserve">(Niphal Partizip von </w:t>
      </w:r>
      <w:r>
        <w:rPr>
          <w:rStyle w:val="Fett"/>
          <w:rFonts w:eastAsiaTheme="majorEastAsia"/>
          <w:rtl/>
        </w:rPr>
        <w:t>כון</w:t>
      </w:r>
      <w:r>
        <w:t xml:space="preserve">, „feststehen, sicher sein"), </w:t>
      </w:r>
      <w:r>
        <w:rPr>
          <w:rStyle w:val="Fett"/>
          <w:rFonts w:eastAsiaTheme="majorEastAsia"/>
          <w:rtl/>
        </w:rPr>
        <w:t>הַדָּבָר</w:t>
      </w:r>
      <w:r>
        <w:rPr>
          <w:rtl/>
        </w:rPr>
        <w:t xml:space="preserve"> </w:t>
      </w:r>
      <w:r>
        <w:t>(</w:t>
      </w:r>
      <w:r>
        <w:rPr>
          <w:rStyle w:val="Fett"/>
          <w:rFonts w:eastAsiaTheme="majorEastAsia"/>
          <w:rtl/>
        </w:rPr>
        <w:t>דָּבָר</w:t>
      </w:r>
      <w:r>
        <w:t xml:space="preserve">, „Sache, Wort", mit Artikel), </w:t>
      </w:r>
      <w:r>
        <w:rPr>
          <w:rStyle w:val="Fett"/>
          <w:rFonts w:eastAsiaTheme="majorEastAsia"/>
          <w:rtl/>
        </w:rPr>
        <w:t>נֶעֶשְׂתָה</w:t>
      </w:r>
      <w:r>
        <w:rPr>
          <w:rtl/>
        </w:rPr>
        <w:t xml:space="preserve"> </w:t>
      </w:r>
      <w:r>
        <w:t xml:space="preserve">(Niphal Perfekt, 3. Person Femininum Singular von </w:t>
      </w:r>
      <w:r>
        <w:rPr>
          <w:rStyle w:val="Fett"/>
          <w:rFonts w:eastAsiaTheme="majorEastAsia"/>
          <w:rtl/>
        </w:rPr>
        <w:t>עשׂה</w:t>
      </w:r>
      <w:r>
        <w:t xml:space="preserve">, „tun, machen", passivisch „getan werden, verübt werden"), </w:t>
      </w:r>
      <w:r>
        <w:rPr>
          <w:rStyle w:val="Fett"/>
          <w:rFonts w:eastAsiaTheme="majorEastAsia"/>
          <w:rtl/>
        </w:rPr>
        <w:t>הַתּוֹעֵבָה הַזֹּאת</w:t>
      </w:r>
      <w:r>
        <w:rPr>
          <w:rtl/>
        </w:rPr>
        <w:t xml:space="preserve"> </w:t>
      </w:r>
      <w:r>
        <w:t>(</w:t>
      </w:r>
      <w:r>
        <w:rPr>
          <w:rStyle w:val="Fett"/>
          <w:rFonts w:eastAsiaTheme="majorEastAsia"/>
          <w:rtl/>
        </w:rPr>
        <w:t>תּוֹעֵבָה</w:t>
      </w:r>
      <w:r>
        <w:rPr>
          <w:rtl/>
        </w:rPr>
        <w:t xml:space="preserve"> </w:t>
      </w:r>
      <w:r>
        <w:t xml:space="preserve">mit Artikel und Demonstrativpronomen </w:t>
      </w:r>
      <w:r>
        <w:rPr>
          <w:rStyle w:val="Fett"/>
          <w:rFonts w:eastAsiaTheme="majorEastAsia"/>
          <w:rtl/>
        </w:rPr>
        <w:t>זֹאת</w:t>
      </w:r>
      <w:r>
        <w:t xml:space="preserve">, „dieser Gräuel"), </w:t>
      </w:r>
      <w:r>
        <w:rPr>
          <w:rStyle w:val="Fett"/>
          <w:rFonts w:eastAsiaTheme="majorEastAsia"/>
          <w:rtl/>
        </w:rPr>
        <w:t>בְּיִשְׂרָאֵל</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יִשְׂרָאֵל</w:t>
      </w:r>
      <w:r>
        <w:t>, „in Israel").</w:t>
      </w:r>
    </w:p>
    <w:p w14:paraId="13F81090" w14:textId="6740D3FF" w:rsidR="00C90AB0" w:rsidRDefault="00C90AB0" w:rsidP="00C90AB0">
      <w:pPr>
        <w:pStyle w:val="whitespace-normal"/>
      </w:pPr>
      <w:r>
        <w:t xml:space="preserve">Der Vers fordert sorgfältige Untersuchung vor Verurteilung. Die Formulierung </w:t>
      </w:r>
      <w:r>
        <w:rPr>
          <w:rStyle w:val="Fett"/>
          <w:rFonts w:eastAsiaTheme="majorEastAsia"/>
          <w:rtl/>
        </w:rPr>
        <w:t>וְדָרַשְׁתָּ הֵיטֵב</w:t>
      </w:r>
      <w:r>
        <w:rPr>
          <w:rtl/>
        </w:rPr>
        <w:t xml:space="preserve"> </w:t>
      </w:r>
      <w:r>
        <w:t xml:space="preserve">(„gut nachforschen") betont gründliche Ermittlung (vgl. 13,15; 17,4; 19,18). Die dreifache Bestätigung </w:t>
      </w:r>
      <w:r>
        <w:rPr>
          <w:rStyle w:val="Fett"/>
          <w:rFonts w:eastAsiaTheme="majorEastAsia"/>
          <w:rtl/>
        </w:rPr>
        <w:t>אֱמֶת נָכוֹן הַדָּבָר</w:t>
      </w:r>
      <w:r>
        <w:rPr>
          <w:rtl/>
        </w:rPr>
        <w:t xml:space="preserve"> </w:t>
      </w:r>
      <w:r>
        <w:t xml:space="preserve">(„wahr, feststehend ist die Sache") zeigt: absolute Gewissheit ist erforderlich (vgl. 13,15). Das Wort </w:t>
      </w:r>
      <w:r>
        <w:rPr>
          <w:rStyle w:val="Fett"/>
          <w:rFonts w:eastAsiaTheme="majorEastAsia"/>
          <w:rtl/>
        </w:rPr>
        <w:t>תּוֹעֵבָה</w:t>
      </w:r>
      <w:r>
        <w:rPr>
          <w:rtl/>
        </w:rPr>
        <w:t xml:space="preserve"> </w:t>
      </w:r>
      <w:r>
        <w:t>(„Gräuel") verknüpft mit V. 1 – Götzendienst ist wie ein fehlerhaftes Opfer ein Gräuel für JHWH.</w:t>
      </w:r>
    </w:p>
    <w:p w14:paraId="3D11B89A" w14:textId="04607A90" w:rsidR="00E80EEB" w:rsidRDefault="00E80EEB" w:rsidP="00C90AB0">
      <w:pPr>
        <w:pStyle w:val="whitespace-normal"/>
      </w:pPr>
      <w:r>
        <w:rPr>
          <w:rStyle w:val="Fett"/>
        </w:rPr>
        <w:t>Die LXX</w:t>
      </w:r>
      <w:r>
        <w:t xml:space="preserve"> verwendet </w:t>
      </w:r>
      <w:proofErr w:type="spellStart"/>
      <w:r>
        <w:t>ἀληθῶς</w:t>
      </w:r>
      <w:proofErr w:type="spellEnd"/>
      <w:r>
        <w:t xml:space="preserve"> </w:t>
      </w:r>
      <w:proofErr w:type="spellStart"/>
      <w:r>
        <w:t>γέγονεν</w:t>
      </w:r>
      <w:proofErr w:type="spellEnd"/>
      <w:r>
        <w:t xml:space="preserve"> (wahrhaftig ist geschehen) für </w:t>
      </w:r>
      <w:r w:rsidRPr="00E80EEB">
        <w:rPr>
          <w:b/>
          <w:bCs/>
          <w:rtl/>
        </w:rPr>
        <w:t>אֱמֶת נָכוֹן הַדָּבָר</w:t>
      </w:r>
      <w:r>
        <w:t xml:space="preserve"> (wahr und fest ist die Sache) – eine adverbiale statt nominaler Konstruktion.</w:t>
      </w:r>
    </w:p>
    <w:p w14:paraId="2EA03191" w14:textId="77777777" w:rsidR="00C90AB0" w:rsidRDefault="00C90AB0" w:rsidP="00C90AB0">
      <w:pPr>
        <w:pStyle w:val="whitespace-normal"/>
      </w:pPr>
      <w:r>
        <w:rPr>
          <w:rStyle w:val="Fett"/>
          <w:rFonts w:eastAsiaTheme="majorEastAsia"/>
        </w:rPr>
        <w:t>Die Satzstruktur:</w:t>
      </w:r>
      <w:r>
        <w:t xml:space="preserve"> Drei koordinierte Verben und Bedingungssatz (und berichtet wird dir und hörst du, und nachforschen sollst du gut; und siehe, wahr, feststehend ist die Sache, verübt worden ist dieser Gräuel in Israel).</w:t>
      </w:r>
    </w:p>
    <w:p w14:paraId="529A4591" w14:textId="77777777" w:rsidR="00C90AB0" w:rsidRDefault="00C90AB0" w:rsidP="00C90AB0">
      <w:pPr>
        <w:pStyle w:val="whitespace-normal"/>
      </w:pPr>
      <w:r>
        <w:lastRenderedPageBreak/>
        <w:t>Der Vers fordert: Wenn dir Götzendienst berichtet wird, untersuche gründlich; erst wenn die Sache zweifelsfrei feststeht – dann folgt V. 5 mit der Strafe.</w:t>
      </w:r>
    </w:p>
    <w:p w14:paraId="036BA6DE"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17,5</w:t>
      </w:r>
    </w:p>
    <w:p w14:paraId="53ED484C" w14:textId="77777777" w:rsidR="00C90AB0" w:rsidRDefault="00C90AB0" w:rsidP="00C90AB0">
      <w:pPr>
        <w:pStyle w:val="whitespace-normal"/>
      </w:pPr>
      <w:r>
        <w:rPr>
          <w:rStyle w:val="Fett"/>
          <w:rFonts w:eastAsiaTheme="majorEastAsia"/>
        </w:rPr>
        <w:t>Hebräisch:</w:t>
      </w:r>
      <w:r>
        <w:t xml:space="preserve"> </w:t>
      </w:r>
      <w:r>
        <w:rPr>
          <w:rtl/>
        </w:rPr>
        <w:t>וְהֽוֹצֵאתָ֣ אֶת־הָאִ֣ישׁ הַה֡וּא אוֹ֩ אֶת־הָאִשָּׁ֨ה הַהִ֜וא אֲשֶׁ֣ר עָ֠שׂוּ אֶת־הַדָּבָ֨ר הָרָ֤ע הַזֶּה֙ אֶל־שְׁעָרֶ֔יךָ אֶת־הָאִ֕ישׁ א֖וֹ אֶת־הָאִשָּׁ֑ה וּסְקַלְתָּ֥ם בָּאֲבָנִ֖ים וָמֵֽתוּ׃</w:t>
      </w:r>
    </w:p>
    <w:p w14:paraId="50FB678C" w14:textId="77777777" w:rsidR="00C90AB0" w:rsidRDefault="00C90AB0" w:rsidP="00C90AB0">
      <w:pPr>
        <w:pStyle w:val="whitespace-normal"/>
      </w:pPr>
      <w:r>
        <w:rPr>
          <w:rStyle w:val="Fett"/>
          <w:rFonts w:eastAsiaTheme="majorEastAsia"/>
        </w:rPr>
        <w:t>Deutsch:</w:t>
      </w:r>
      <w:r>
        <w:t xml:space="preserve"> so sollst du jenen Mann oder jene Frau, die diese böse Sache getan haben, zu deinen Toren hinausführen, den Mann oder die Frau, und sollst sie steinigen, dass sie sterben.</w:t>
      </w:r>
    </w:p>
    <w:p w14:paraId="57C03AD4" w14:textId="77777777" w:rsidR="00C90AB0" w:rsidRDefault="004F5CEB" w:rsidP="00C90AB0">
      <w:r>
        <w:rPr>
          <w:noProof/>
        </w:rPr>
        <w:pict w14:anchorId="0B039F05">
          <v:rect id="_x0000_i1494" style="width:0;height:1.5pt" o:hralign="center" o:hrstd="t" o:hr="t" fillcolor="#a0a0a0" stroked="f"/>
        </w:pict>
      </w:r>
    </w:p>
    <w:p w14:paraId="049DB01C"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וְהוֹצֵאתָ אֶת־הָאִישׁ הַהוּא אוֹ אֶת־הָאִשָּׁה הַהִוא אֲשֶׁר עָשׂוּ אֶת־הַדָּבָר הָרָע הַזֶּה אֶל־שְׁעָרֶיךָ אֶת־הָאִישׁ אוֹ אֶת־הָאִשָּׁה</w:t>
      </w:r>
      <w:r>
        <w:rPr>
          <w:rtl/>
        </w:rPr>
        <w:t xml:space="preserve"> </w:t>
      </w:r>
      <w:r>
        <w:t xml:space="preserve">ist ein Imperativsatz: </w:t>
      </w:r>
      <w:r>
        <w:rPr>
          <w:rStyle w:val="Fett"/>
          <w:rFonts w:eastAsiaTheme="majorEastAsia"/>
          <w:rtl/>
        </w:rPr>
        <w:t>וְהוֹצֵאתָ</w:t>
      </w:r>
      <w:r>
        <w:rPr>
          <w:rtl/>
        </w:rPr>
        <w:t xml:space="preserve"> </w:t>
      </w:r>
      <w:r>
        <w:t xml:space="preserve">(Hiphil Perfekt, 2. Person Maskulinum Singular von </w:t>
      </w:r>
      <w:r>
        <w:rPr>
          <w:rStyle w:val="Fett"/>
          <w:rFonts w:eastAsiaTheme="majorEastAsia"/>
          <w:rtl/>
        </w:rPr>
        <w:t>יצא</w:t>
      </w:r>
      <w:r>
        <w:t xml:space="preserve">, „hinausgehen", in der Hiphil-Form „hinausführen", imperativisch), </w:t>
      </w:r>
      <w:r>
        <w:rPr>
          <w:rStyle w:val="Fett"/>
          <w:rFonts w:eastAsiaTheme="majorEastAsia"/>
          <w:rtl/>
        </w:rPr>
        <w:t>אֶת־הָאִישׁ הַהוּא</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אִישׁ</w:t>
      </w:r>
      <w:r>
        <w:t xml:space="preserve">, mit Artikel und Demonstrativpronomen </w:t>
      </w:r>
      <w:r>
        <w:rPr>
          <w:rStyle w:val="Fett"/>
          <w:rFonts w:eastAsiaTheme="majorEastAsia"/>
          <w:rtl/>
        </w:rPr>
        <w:t>הוּא</w:t>
      </w:r>
      <w:r>
        <w:t xml:space="preserve">, „jenen Mann"), </w:t>
      </w:r>
      <w:r>
        <w:rPr>
          <w:rStyle w:val="Fett"/>
          <w:rFonts w:eastAsiaTheme="majorEastAsia"/>
          <w:rtl/>
        </w:rPr>
        <w:t>אוֹ אֶת־הָאִשָּׁה הַהִוא</w:t>
      </w:r>
      <w:r>
        <w:rPr>
          <w:rtl/>
        </w:rPr>
        <w:t xml:space="preserve"> </w:t>
      </w:r>
      <w:r>
        <w:t>(</w:t>
      </w:r>
      <w:r>
        <w:rPr>
          <w:rStyle w:val="Fett"/>
          <w:rFonts w:eastAsiaTheme="majorEastAsia"/>
          <w:rtl/>
        </w:rPr>
        <w:t>אוֹ</w:t>
      </w:r>
      <w:r>
        <w:rPr>
          <w:rtl/>
        </w:rPr>
        <w:t xml:space="preserve"> </w:t>
      </w:r>
      <w:r>
        <w:t xml:space="preserve">mit </w:t>
      </w:r>
      <w:r>
        <w:rPr>
          <w:rStyle w:val="Fett"/>
          <w:rFonts w:eastAsiaTheme="majorEastAsia"/>
          <w:rtl/>
        </w:rPr>
        <w:t>אֵת</w:t>
      </w:r>
      <w:r>
        <w:rPr>
          <w:rtl/>
        </w:rPr>
        <w:t xml:space="preserve"> </w:t>
      </w:r>
      <w:r>
        <w:t xml:space="preserve">und </w:t>
      </w:r>
      <w:r>
        <w:rPr>
          <w:rStyle w:val="Fett"/>
          <w:rFonts w:eastAsiaTheme="majorEastAsia"/>
          <w:rtl/>
        </w:rPr>
        <w:t>אִשָּׁה</w:t>
      </w:r>
      <w:r>
        <w:rPr>
          <w:rtl/>
        </w:rPr>
        <w:t xml:space="preserve"> </w:t>
      </w:r>
      <w:r>
        <w:t xml:space="preserve">mit Artikel und </w:t>
      </w:r>
      <w:r>
        <w:rPr>
          <w:rStyle w:val="Fett"/>
          <w:rFonts w:eastAsiaTheme="majorEastAsia"/>
          <w:rtl/>
        </w:rPr>
        <w:t>הִיא</w:t>
      </w:r>
      <w:r>
        <w:t xml:space="preserve">, „jene Frau"), </w:t>
      </w:r>
      <w:r>
        <w:rPr>
          <w:rStyle w:val="Fett"/>
          <w:rFonts w:eastAsiaTheme="majorEastAsia"/>
          <w:rtl/>
        </w:rPr>
        <w:t>אֲשֶׁר עָשׂוּ אֶת־הַדָּבָר הָרָע הַזֶּה</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עשׂה</w:t>
      </w:r>
      <w:r>
        <w:t xml:space="preserve">, Qal Perfekt, 3. Person Plural, „tun", </w:t>
      </w:r>
      <w:r>
        <w:rPr>
          <w:rStyle w:val="Fett"/>
          <w:rFonts w:eastAsiaTheme="majorEastAsia"/>
          <w:rtl/>
        </w:rPr>
        <w:t>אֵת</w:t>
      </w:r>
      <w:r>
        <w:rPr>
          <w:rtl/>
        </w:rPr>
        <w:t xml:space="preserve"> </w:t>
      </w:r>
      <w:r>
        <w:t xml:space="preserve">mit </w:t>
      </w:r>
      <w:r>
        <w:rPr>
          <w:rStyle w:val="Fett"/>
          <w:rFonts w:eastAsiaTheme="majorEastAsia"/>
          <w:rtl/>
        </w:rPr>
        <w:t>דָּבָר הָרָע הַזֶּה</w:t>
      </w:r>
      <w:r>
        <w:t xml:space="preserve">, „diese böse Sache"), </w:t>
      </w:r>
      <w:r>
        <w:rPr>
          <w:rStyle w:val="Fett"/>
          <w:rFonts w:eastAsiaTheme="majorEastAsia"/>
          <w:rtl/>
        </w:rPr>
        <w:t>אֶל־שְׁעָרֶיךָ</w:t>
      </w:r>
      <w:r>
        <w:rPr>
          <w:rtl/>
        </w:rPr>
        <w:t xml:space="preserve"> </w:t>
      </w:r>
      <w:r>
        <w:t xml:space="preserve">(Präposition </w:t>
      </w:r>
      <w:r>
        <w:rPr>
          <w:rStyle w:val="Fett"/>
          <w:rFonts w:eastAsiaTheme="majorEastAsia"/>
          <w:rtl/>
        </w:rPr>
        <w:t>אֶל</w:t>
      </w:r>
      <w:r>
        <w:rPr>
          <w:rtl/>
        </w:rPr>
        <w:t xml:space="preserve"> </w:t>
      </w:r>
      <w:r>
        <w:t xml:space="preserve">mit </w:t>
      </w:r>
      <w:r>
        <w:rPr>
          <w:rStyle w:val="Fett"/>
          <w:rFonts w:eastAsiaTheme="majorEastAsia"/>
          <w:rtl/>
        </w:rPr>
        <w:t>שַׁעַר</w:t>
      </w:r>
      <w:r>
        <w:t xml:space="preserve">, Plural mit Suffix 2. Person Maskulinum Singular, „zu deinen Toren"), </w:t>
      </w:r>
      <w:r>
        <w:rPr>
          <w:rStyle w:val="Fett"/>
          <w:rFonts w:eastAsiaTheme="majorEastAsia"/>
          <w:rtl/>
        </w:rPr>
        <w:t>אֶת־הָאִישׁ אוֹ אֶת־הָאִשָּׁה</w:t>
      </w:r>
      <w:r>
        <w:rPr>
          <w:rtl/>
        </w:rPr>
        <w:t xml:space="preserve"> </w:t>
      </w:r>
      <w:r>
        <w:t>(Wiederholung zur Betonung).</w:t>
      </w:r>
    </w:p>
    <w:p w14:paraId="3079D486" w14:textId="77777777" w:rsidR="00C90AB0" w:rsidRDefault="00C90AB0" w:rsidP="00C90AB0">
      <w:pPr>
        <w:pStyle w:val="whitespace-normal"/>
      </w:pPr>
      <w:r>
        <w:rPr>
          <w:rStyle w:val="Fett"/>
          <w:rFonts w:eastAsiaTheme="majorEastAsia"/>
          <w:rtl/>
        </w:rPr>
        <w:t>וּסְקַלְתָּם בָּאֲבָנִים וָמֵתוּ</w:t>
      </w:r>
      <w:r>
        <w:rPr>
          <w:rtl/>
        </w:rPr>
        <w:t xml:space="preserve"> </w:t>
      </w:r>
      <w:r>
        <w:t xml:space="preserve">ist der zweite Imperativ mit Folge: </w:t>
      </w:r>
      <w:r>
        <w:rPr>
          <w:rStyle w:val="Fett"/>
          <w:rFonts w:eastAsiaTheme="majorEastAsia"/>
          <w:rtl/>
        </w:rPr>
        <w:t>וּסְקַלְתָּם</w:t>
      </w:r>
      <w:r>
        <w:rPr>
          <w:rtl/>
        </w:rPr>
        <w:t xml:space="preserve"> </w:t>
      </w:r>
      <w:r>
        <w:t xml:space="preserve">(Qal Perfekt, 2. Person Maskulinum Singular von </w:t>
      </w:r>
      <w:r>
        <w:rPr>
          <w:rStyle w:val="Fett"/>
          <w:rFonts w:eastAsiaTheme="majorEastAsia"/>
          <w:rtl/>
        </w:rPr>
        <w:t>סקל</w:t>
      </w:r>
      <w:r>
        <w:t xml:space="preserve">, „steinigen", mit Suffix 3. Person Plural als direktes Objekt), </w:t>
      </w:r>
      <w:r>
        <w:rPr>
          <w:rStyle w:val="Fett"/>
          <w:rFonts w:eastAsiaTheme="majorEastAsia"/>
          <w:rtl/>
        </w:rPr>
        <w:t>בָּאֲבָנִים</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אֶבֶן</w:t>
      </w:r>
      <w:r>
        <w:t xml:space="preserve">, „Stein", Plural mit Artikel, „mit Steinen"), </w:t>
      </w:r>
      <w:r>
        <w:rPr>
          <w:rStyle w:val="Fett"/>
          <w:rFonts w:eastAsiaTheme="majorEastAsia"/>
          <w:rtl/>
        </w:rPr>
        <w:t>וָמֵתוּ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מות</w:t>
      </w:r>
      <w:r>
        <w:t xml:space="preserve">, Qal Perfekt, 3. Person Plural, „sterben", mit </w:t>
      </w:r>
      <w:r>
        <w:rPr>
          <w:rStyle w:val="Fett"/>
          <w:rFonts w:eastAsiaTheme="majorEastAsia"/>
        </w:rPr>
        <w:t>Waw</w:t>
      </w:r>
      <w:r>
        <w:t xml:space="preserve"> consecutives Perfekt).</w:t>
      </w:r>
    </w:p>
    <w:p w14:paraId="4CDAF4EA" w14:textId="49CEF206" w:rsidR="00C90AB0" w:rsidRDefault="00C90AB0" w:rsidP="00C90AB0">
      <w:pPr>
        <w:pStyle w:val="whitespace-normal"/>
      </w:pPr>
      <w:r>
        <w:t xml:space="preserve">Die Hinausführung </w:t>
      </w:r>
      <w:r>
        <w:rPr>
          <w:rStyle w:val="Fett"/>
          <w:rFonts w:eastAsiaTheme="majorEastAsia"/>
          <w:rtl/>
        </w:rPr>
        <w:t>אֶל־שְׁעָרֶיךָ</w:t>
      </w:r>
      <w:r>
        <w:rPr>
          <w:rtl/>
        </w:rPr>
        <w:t xml:space="preserve"> </w:t>
      </w:r>
      <w:r>
        <w:t xml:space="preserve">(„zu deinen Toren") bedeutet: vor die Stadt hinaus (vgl. </w:t>
      </w:r>
      <w:r w:rsidR="00664EB6">
        <w:t>Lev</w:t>
      </w:r>
      <w:r>
        <w:t xml:space="preserve"> 24,14.23; Num 15,35.36; </w:t>
      </w:r>
      <w:r w:rsidR="00664EB6">
        <w:t>1Kön</w:t>
      </w:r>
      <w:r>
        <w:t xml:space="preserve"> 21,13; Apg 7,58; Hebr 13,12). Steinigung ist die Strafe für schwere Vergehen, insbesondere Götzendienst (vgl. 13,11; 17,5; 21,21; 22,21.24; </w:t>
      </w:r>
      <w:r w:rsidR="00664EB6">
        <w:t>Lev</w:t>
      </w:r>
      <w:r>
        <w:t xml:space="preserve"> 20,2.27; 24,14.16.23; Num 14,10; 15,35.36; Jos 7,25; </w:t>
      </w:r>
      <w:r w:rsidR="00664EB6">
        <w:t>1Kön</w:t>
      </w:r>
      <w:r>
        <w:t xml:space="preserve"> 12,18; 21,10.13.14.15; </w:t>
      </w:r>
      <w:r w:rsidR="00664EB6">
        <w:t>2Chr</w:t>
      </w:r>
      <w:r>
        <w:t xml:space="preserve"> 10,18; 24,21). Die Wiederholung </w:t>
      </w:r>
      <w:r>
        <w:rPr>
          <w:rStyle w:val="Fett"/>
          <w:rFonts w:eastAsiaTheme="majorEastAsia"/>
          <w:rtl/>
        </w:rPr>
        <w:t>אֶת־הָאִישׁ אוֹ אֶת־הָאִשָּׁה</w:t>
      </w:r>
      <w:r>
        <w:rPr>
          <w:rtl/>
        </w:rPr>
        <w:t xml:space="preserve"> </w:t>
      </w:r>
      <w:r>
        <w:t>betont: beide Geschlechter unterliegen derselben Strafe.</w:t>
      </w:r>
    </w:p>
    <w:p w14:paraId="389E6F7F" w14:textId="475AA1D9" w:rsidR="00E80EEB" w:rsidRDefault="00E80EEB" w:rsidP="00C90AB0">
      <w:pPr>
        <w:pStyle w:val="whitespace-normal"/>
      </w:pPr>
      <w:r>
        <w:rPr>
          <w:rStyle w:val="Fett"/>
        </w:rPr>
        <w:t>Die LXX</w:t>
      </w:r>
      <w:r>
        <w:t xml:space="preserve"> fügt explizit </w:t>
      </w:r>
      <w:r>
        <w:rPr>
          <w:rtl/>
        </w:rPr>
        <w:t>אֶל־שְׁעָרֶיךָ</w:t>
      </w:r>
      <w:r>
        <w:t xml:space="preserve"> (zu deinen Toren) nicht hinzu und geht direkt zur Steinigung über.</w:t>
      </w:r>
    </w:p>
    <w:p w14:paraId="7AA28604" w14:textId="47FC4A81" w:rsidR="00E80EEB" w:rsidRDefault="00C90AB0" w:rsidP="00E80EEB">
      <w:pPr>
        <w:pStyle w:val="whitespace-normal"/>
      </w:pPr>
      <w:r>
        <w:rPr>
          <w:rStyle w:val="Fett"/>
          <w:rFonts w:eastAsiaTheme="majorEastAsia"/>
        </w:rPr>
        <w:t>Die Satzstruktur:</w:t>
      </w:r>
      <w:r>
        <w:t xml:space="preserve"> Zwei koordinierte Imperative mit Folge (hinausführen sollst du jenen Mann oder jene Frau, die getan haben diese böse Sache, zu deinen Toren, den Mann oder die Frau; und steinigen sollst du sie mit Steinen, und sie sterben).</w:t>
      </w:r>
    </w:p>
    <w:p w14:paraId="25D164CE" w14:textId="77777777" w:rsidR="00C90AB0" w:rsidRDefault="00C90AB0" w:rsidP="00C90AB0">
      <w:pPr>
        <w:pStyle w:val="whitespace-normal"/>
      </w:pPr>
      <w:r>
        <w:t>Der Vers bestimmt die Strafe: Führe den überführten Götzendiener – Mann oder Frau – vor die Stadt und steinige ihn zu Tode.</w:t>
      </w:r>
    </w:p>
    <w:p w14:paraId="6D14E6AF"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lastRenderedPageBreak/>
        <w:t>Deuteronomium 17,6</w:t>
      </w:r>
    </w:p>
    <w:p w14:paraId="55E2BC16" w14:textId="77777777" w:rsidR="00C90AB0" w:rsidRDefault="00C90AB0" w:rsidP="00C90AB0">
      <w:pPr>
        <w:pStyle w:val="whitespace-normal"/>
      </w:pPr>
      <w:r>
        <w:rPr>
          <w:rStyle w:val="Fett"/>
          <w:rFonts w:eastAsiaTheme="majorEastAsia"/>
        </w:rPr>
        <w:t>Hebräisch:</w:t>
      </w:r>
      <w:r>
        <w:t xml:space="preserve"> </w:t>
      </w:r>
      <w:r>
        <w:rPr>
          <w:rtl/>
        </w:rPr>
        <w:t>עַל־פִּ֣י׀ שְׁנַ֣יִם עֵדִ֗ים א֛וֹ שְׁלֹשָׁ֥ה עֵדִ֖ים יוּמַ֣ת הַמֵּ֑ת לֹ֣א יוּמַ֔ת עַל־פִּ֖י עֵ֥ד אֶחָֽד׃</w:t>
      </w:r>
    </w:p>
    <w:p w14:paraId="76568336" w14:textId="77777777" w:rsidR="00C90AB0" w:rsidRDefault="00C90AB0" w:rsidP="00C90AB0">
      <w:pPr>
        <w:pStyle w:val="whitespace-normal"/>
      </w:pPr>
      <w:r>
        <w:rPr>
          <w:rStyle w:val="Fett"/>
          <w:rFonts w:eastAsiaTheme="majorEastAsia"/>
        </w:rPr>
        <w:t>Deutsch:</w:t>
      </w:r>
      <w:r>
        <w:t xml:space="preserve"> Auf die Aussage zweier Zeugen oder dreier Zeugen soll getötet werden, wer sterben soll; er soll nicht auf die Aussage eines einzelnen Zeugen hin getötet werden.</w:t>
      </w:r>
    </w:p>
    <w:p w14:paraId="6FF4AC0B" w14:textId="77777777" w:rsidR="00C90AB0" w:rsidRDefault="004F5CEB" w:rsidP="00C90AB0">
      <w:r>
        <w:rPr>
          <w:noProof/>
        </w:rPr>
        <w:pict w14:anchorId="24F834A5">
          <v:rect id="_x0000_i1495" style="width:0;height:1.5pt" o:hralign="center" o:hrstd="t" o:hr="t" fillcolor="#a0a0a0" stroked="f"/>
        </w:pict>
      </w:r>
    </w:p>
    <w:p w14:paraId="187924E6"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עַל־פִּי שְׁנַיִם עֵדִים אוֹ שְׁלֹשָׁה עֵדִים יוּמַת הַמֵּת</w:t>
      </w:r>
      <w:r>
        <w:rPr>
          <w:rtl/>
        </w:rPr>
        <w:t xml:space="preserve"> </w:t>
      </w:r>
      <w:r>
        <w:t xml:space="preserve">ist ein passivischer Verbalsatz: </w:t>
      </w:r>
      <w:r>
        <w:rPr>
          <w:rStyle w:val="Fett"/>
          <w:rFonts w:eastAsiaTheme="majorEastAsia"/>
          <w:rtl/>
        </w:rPr>
        <w:t>עַל־פִּי</w:t>
      </w:r>
      <w:r>
        <w:rPr>
          <w:rtl/>
        </w:rPr>
        <w:t xml:space="preserve"> </w:t>
      </w:r>
      <w:r>
        <w:t xml:space="preserve">(Präposition </w:t>
      </w:r>
      <w:r>
        <w:rPr>
          <w:rStyle w:val="Fett"/>
          <w:rFonts w:eastAsiaTheme="majorEastAsia"/>
          <w:rtl/>
        </w:rPr>
        <w:t>עַל</w:t>
      </w:r>
      <w:r>
        <w:t xml:space="preserve">, „auf, nach", mit </w:t>
      </w:r>
      <w:r>
        <w:rPr>
          <w:rStyle w:val="Fett"/>
          <w:rFonts w:eastAsiaTheme="majorEastAsia"/>
          <w:rtl/>
        </w:rPr>
        <w:t>פֶּה</w:t>
      </w:r>
      <w:r>
        <w:t xml:space="preserve">, „Mund", Construct, „auf Aussage, nach dem Wort"), </w:t>
      </w:r>
      <w:r>
        <w:rPr>
          <w:rStyle w:val="Fett"/>
          <w:rFonts w:eastAsiaTheme="majorEastAsia"/>
          <w:rtl/>
        </w:rPr>
        <w:t>שְׁנַיִם עֵדִים</w:t>
      </w:r>
      <w:r>
        <w:rPr>
          <w:rtl/>
        </w:rPr>
        <w:t xml:space="preserve"> </w:t>
      </w:r>
      <w:r>
        <w:t>(</w:t>
      </w:r>
      <w:r>
        <w:rPr>
          <w:rStyle w:val="Fett"/>
          <w:rFonts w:eastAsiaTheme="majorEastAsia"/>
          <w:rtl/>
        </w:rPr>
        <w:t>שְׁנַיִם</w:t>
      </w:r>
      <w:r>
        <w:t xml:space="preserve">, Dual, „zwei", </w:t>
      </w:r>
      <w:r>
        <w:rPr>
          <w:rStyle w:val="Fett"/>
          <w:rFonts w:eastAsiaTheme="majorEastAsia"/>
          <w:rtl/>
        </w:rPr>
        <w:t>עֵד</w:t>
      </w:r>
      <w:r>
        <w:t xml:space="preserve">, „Zeuge", Plural), </w:t>
      </w:r>
      <w:r>
        <w:rPr>
          <w:rStyle w:val="Fett"/>
          <w:rFonts w:eastAsiaTheme="majorEastAsia"/>
          <w:rtl/>
        </w:rPr>
        <w:t>אוֹ שְׁלֹשָׁה עֵדִים</w:t>
      </w:r>
      <w:r>
        <w:rPr>
          <w:rtl/>
        </w:rPr>
        <w:t xml:space="preserve"> </w:t>
      </w:r>
      <w:r>
        <w:t>(</w:t>
      </w:r>
      <w:r>
        <w:rPr>
          <w:rStyle w:val="Fett"/>
          <w:rFonts w:eastAsiaTheme="majorEastAsia"/>
          <w:rtl/>
        </w:rPr>
        <w:t>אוֹ</w:t>
      </w:r>
      <w:r>
        <w:t xml:space="preserve">, „oder", </w:t>
      </w:r>
      <w:r>
        <w:rPr>
          <w:rStyle w:val="Fett"/>
          <w:rFonts w:eastAsiaTheme="majorEastAsia"/>
          <w:rtl/>
        </w:rPr>
        <w:t>שְׁלֹשָׁה</w:t>
      </w:r>
      <w:r>
        <w:t xml:space="preserve">, „drei", </w:t>
      </w:r>
      <w:r>
        <w:rPr>
          <w:rStyle w:val="Fett"/>
          <w:rFonts w:eastAsiaTheme="majorEastAsia"/>
          <w:rtl/>
        </w:rPr>
        <w:t>עֵדִים</w:t>
      </w:r>
      <w:r>
        <w:t xml:space="preserve">), </w:t>
      </w:r>
      <w:r>
        <w:rPr>
          <w:rStyle w:val="Fett"/>
          <w:rFonts w:eastAsiaTheme="majorEastAsia"/>
          <w:rtl/>
        </w:rPr>
        <w:t>יוּמַת</w:t>
      </w:r>
      <w:r>
        <w:rPr>
          <w:rtl/>
        </w:rPr>
        <w:t xml:space="preserve"> </w:t>
      </w:r>
      <w:r>
        <w:t xml:space="preserve">(Hophal Imperfekt, 3. Person Maskulinum Singular von </w:t>
      </w:r>
      <w:r>
        <w:rPr>
          <w:rStyle w:val="Fett"/>
          <w:rFonts w:eastAsiaTheme="majorEastAsia"/>
          <w:rtl/>
        </w:rPr>
        <w:t>מות</w:t>
      </w:r>
      <w:r>
        <w:t xml:space="preserve">, „sterben", passivisch „getötet werden"), </w:t>
      </w:r>
      <w:r>
        <w:rPr>
          <w:rStyle w:val="Fett"/>
          <w:rFonts w:eastAsiaTheme="majorEastAsia"/>
          <w:rtl/>
        </w:rPr>
        <w:t>הַמֵּת</w:t>
      </w:r>
      <w:r>
        <w:rPr>
          <w:rtl/>
        </w:rPr>
        <w:t xml:space="preserve"> </w:t>
      </w:r>
      <w:r>
        <w:t xml:space="preserve">(Qal Partizip von </w:t>
      </w:r>
      <w:r>
        <w:rPr>
          <w:rStyle w:val="Fett"/>
          <w:rFonts w:eastAsiaTheme="majorEastAsia"/>
          <w:rtl/>
        </w:rPr>
        <w:t>מות</w:t>
      </w:r>
      <w:r>
        <w:rPr>
          <w:rtl/>
        </w:rPr>
        <w:t xml:space="preserve"> </w:t>
      </w:r>
      <w:r>
        <w:t>mit Artikel, „der Sterbende" = der zum Tode Verurteilte).</w:t>
      </w:r>
    </w:p>
    <w:p w14:paraId="7A894B9D" w14:textId="77777777" w:rsidR="00C90AB0" w:rsidRDefault="00C90AB0" w:rsidP="00C90AB0">
      <w:pPr>
        <w:pStyle w:val="whitespace-normal"/>
      </w:pPr>
      <w:r>
        <w:rPr>
          <w:rStyle w:val="Fett"/>
          <w:rFonts w:eastAsiaTheme="majorEastAsia"/>
          <w:rtl/>
        </w:rPr>
        <w:t>לֹא יוּמַת עַל־פִּי עֵד אֶחָד</w:t>
      </w:r>
      <w:r>
        <w:rPr>
          <w:rtl/>
        </w:rPr>
        <w:t xml:space="preserve"> </w:t>
      </w:r>
      <w:r>
        <w:t xml:space="preserve">ist der negative Parallelsatz: </w:t>
      </w:r>
      <w:r>
        <w:rPr>
          <w:rStyle w:val="Fett"/>
          <w:rFonts w:eastAsiaTheme="majorEastAsia"/>
          <w:rtl/>
        </w:rPr>
        <w:t>לֹא יוּמַת</w:t>
      </w:r>
      <w:r>
        <w:rPr>
          <w:rtl/>
        </w:rPr>
        <w:t xml:space="preserve"> </w:t>
      </w:r>
      <w:r>
        <w:t xml:space="preserve">(Negation mit </w:t>
      </w:r>
      <w:r>
        <w:rPr>
          <w:rStyle w:val="Fett"/>
          <w:rFonts w:eastAsiaTheme="majorEastAsia"/>
          <w:rtl/>
        </w:rPr>
        <w:t>מות</w:t>
      </w:r>
      <w:r>
        <w:rPr>
          <w:rtl/>
        </w:rPr>
        <w:t xml:space="preserve"> </w:t>
      </w:r>
      <w:r>
        <w:t xml:space="preserve">im Hophal), </w:t>
      </w:r>
      <w:r>
        <w:rPr>
          <w:rStyle w:val="Fett"/>
          <w:rFonts w:eastAsiaTheme="majorEastAsia"/>
          <w:rtl/>
        </w:rPr>
        <w:t>עַל־פִּי עֵד אֶחָד</w:t>
      </w:r>
      <w:r>
        <w:rPr>
          <w:rtl/>
        </w:rPr>
        <w:t xml:space="preserve"> </w:t>
      </w:r>
      <w:r>
        <w:t>(</w:t>
      </w:r>
      <w:r>
        <w:rPr>
          <w:rStyle w:val="Fett"/>
          <w:rFonts w:eastAsiaTheme="majorEastAsia"/>
          <w:rtl/>
        </w:rPr>
        <w:t>עֵד</w:t>
      </w:r>
      <w:r>
        <w:t xml:space="preserve">, „Zeuge", </w:t>
      </w:r>
      <w:r>
        <w:rPr>
          <w:rStyle w:val="Fett"/>
          <w:rFonts w:eastAsiaTheme="majorEastAsia"/>
          <w:rtl/>
        </w:rPr>
        <w:t>אֶחָד</w:t>
      </w:r>
      <w:r>
        <w:t>, „einer, einzelner").</w:t>
      </w:r>
    </w:p>
    <w:p w14:paraId="0026D1DB" w14:textId="77777777" w:rsidR="00C90AB0" w:rsidRDefault="00C90AB0" w:rsidP="00C90AB0">
      <w:pPr>
        <w:pStyle w:val="whitespace-normal"/>
      </w:pPr>
      <w:r>
        <w:t xml:space="preserve">Der Vers schützt vor falscher Verurteilung: Mindestens zwei Zeugen sind für die Todesstrafe erforderlich (vgl. 19,15; Num 35,30; Mt 18,16; Joh 8,17; 2 Kor 13,1; 1 Tim 5,19; Hebr 10,28). Die Formulierung </w:t>
      </w:r>
      <w:r>
        <w:rPr>
          <w:rStyle w:val="Fett"/>
          <w:rFonts w:eastAsiaTheme="majorEastAsia"/>
          <w:rtl/>
        </w:rPr>
        <w:t>עַל־פִּי... עֵדִים</w:t>
      </w:r>
      <w:r>
        <w:rPr>
          <w:rtl/>
        </w:rPr>
        <w:t xml:space="preserve"> </w:t>
      </w:r>
      <w:r>
        <w:t>(„auf die Aussage... der Zeugen") betont: Die Zeugenaussage ist die Grundlage des Urteils. Die Mindestanzahl von zwei schützt vor Verleumdung und Irrtum.</w:t>
      </w:r>
    </w:p>
    <w:p w14:paraId="6C4D6FEF" w14:textId="77777777" w:rsidR="00C90AB0" w:rsidRDefault="00C90AB0" w:rsidP="00C90AB0">
      <w:pPr>
        <w:pStyle w:val="whitespace-normal"/>
      </w:pPr>
      <w:r>
        <w:rPr>
          <w:rStyle w:val="Fett"/>
          <w:rFonts w:eastAsiaTheme="majorEastAsia"/>
        </w:rPr>
        <w:t>Die Satzstruktur:</w:t>
      </w:r>
      <w:r>
        <w:t xml:space="preserve"> Passivischer Verbalsatz mit negativem Parallelsatz (auf die Aussage zweier Zeugen oder dreier Zeugen getötet werden soll der zum Tode Verurteilte; nicht soll er getötet werden auf die Aussage eines einzelnen Zeugen).</w:t>
      </w:r>
    </w:p>
    <w:p w14:paraId="71CC1890" w14:textId="77777777" w:rsidR="00C90AB0" w:rsidRDefault="00C90AB0" w:rsidP="00C90AB0">
      <w:pPr>
        <w:pStyle w:val="whitespace-normal"/>
      </w:pPr>
      <w:r>
        <w:t>Der Vers schützt: Nur auf Aussage von mindestens zwei Zeugen darf die Todesstrafe vollstreckt werden – ein einzelner Zeuge genügt nicht.</w:t>
      </w:r>
    </w:p>
    <w:p w14:paraId="3DD73463"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17,7</w:t>
      </w:r>
    </w:p>
    <w:p w14:paraId="04019F59" w14:textId="77777777" w:rsidR="00C90AB0" w:rsidRDefault="00C90AB0" w:rsidP="00C90AB0">
      <w:pPr>
        <w:pStyle w:val="whitespace-normal"/>
      </w:pPr>
      <w:r>
        <w:rPr>
          <w:rStyle w:val="Fett"/>
          <w:rFonts w:eastAsiaTheme="majorEastAsia"/>
        </w:rPr>
        <w:t>Hebräisch:</w:t>
      </w:r>
      <w:r>
        <w:t xml:space="preserve"> </w:t>
      </w:r>
      <w:r>
        <w:rPr>
          <w:rtl/>
        </w:rPr>
        <w:t>יַ֣ד הָעֵדִ֞ים תִּֽהְיֶה־בּוֹ֤ בָרִאשֹׁנָה֙ לַהֲמִיתֹ֔ו וְיַ֥ד כָּל־הָעָ֖ם בָּאַחֲרֹנָ֑ה וּבִֽעַרְתָּ֥ הָרָ֖ע מִקִּרְבֶּֽךָ׃</w:t>
      </w:r>
    </w:p>
    <w:p w14:paraId="4D4AC397" w14:textId="77777777" w:rsidR="00C90AB0" w:rsidRDefault="00C90AB0" w:rsidP="00C90AB0">
      <w:pPr>
        <w:pStyle w:val="whitespace-normal"/>
      </w:pPr>
      <w:r>
        <w:rPr>
          <w:rStyle w:val="Fett"/>
          <w:rFonts w:eastAsiaTheme="majorEastAsia"/>
        </w:rPr>
        <w:t>Deutsch:</w:t>
      </w:r>
      <w:r>
        <w:t xml:space="preserve"> Die Hand der Zeugen soll zuerst gegen ihn sein, ihn zu töten, und danach die Hand des ganzen Volkes. Und du sollst das Böse aus deiner Mitte wegschaffen.</w:t>
      </w:r>
    </w:p>
    <w:p w14:paraId="483E62C7" w14:textId="77777777" w:rsidR="00C90AB0" w:rsidRDefault="004F5CEB" w:rsidP="00C90AB0">
      <w:r>
        <w:rPr>
          <w:noProof/>
        </w:rPr>
        <w:pict w14:anchorId="61086FC3">
          <v:rect id="_x0000_i1496" style="width:0;height:1.5pt" o:hralign="center" o:hrstd="t" o:hr="t" fillcolor="#a0a0a0" stroked="f"/>
        </w:pict>
      </w:r>
    </w:p>
    <w:p w14:paraId="1C604DDA"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יַד הָעֵדִים תִּהְיֶה־בּוֹ בָרִאשֹׁנָה לַהֲמִיתוֹ וְיַד כָּל־הָעָם בָּאַחֲרֹנָה</w:t>
      </w:r>
      <w:r>
        <w:rPr>
          <w:rtl/>
        </w:rPr>
        <w:t xml:space="preserve"> </w:t>
      </w:r>
      <w:r>
        <w:t xml:space="preserve">ist ein Nominalsatz mit temporalen Bestimmungen: </w:t>
      </w:r>
      <w:r>
        <w:rPr>
          <w:rStyle w:val="Fett"/>
          <w:rFonts w:eastAsiaTheme="majorEastAsia"/>
          <w:rtl/>
        </w:rPr>
        <w:t>יַד הָעֵדִים</w:t>
      </w:r>
      <w:r>
        <w:rPr>
          <w:rtl/>
        </w:rPr>
        <w:t xml:space="preserve"> </w:t>
      </w:r>
      <w:r>
        <w:t>(</w:t>
      </w:r>
      <w:r>
        <w:rPr>
          <w:rStyle w:val="Fett"/>
          <w:rFonts w:eastAsiaTheme="majorEastAsia"/>
          <w:rtl/>
        </w:rPr>
        <w:t>יָד</w:t>
      </w:r>
      <w:r>
        <w:t xml:space="preserve">, „Hand", Construct mit </w:t>
      </w:r>
      <w:r>
        <w:rPr>
          <w:rStyle w:val="Fett"/>
          <w:rFonts w:eastAsiaTheme="majorEastAsia"/>
          <w:rtl/>
        </w:rPr>
        <w:t>עֵד</w:t>
      </w:r>
      <w:r>
        <w:t xml:space="preserve">, Plural mit Artikel, „die Hand der Zeugen"), </w:t>
      </w:r>
      <w:r>
        <w:rPr>
          <w:rStyle w:val="Fett"/>
          <w:rFonts w:eastAsiaTheme="majorEastAsia"/>
          <w:rtl/>
        </w:rPr>
        <w:t>תִּהְיֶה־בּוֹ</w:t>
      </w:r>
      <w:r>
        <w:rPr>
          <w:rtl/>
        </w:rPr>
        <w:t xml:space="preserve"> </w:t>
      </w:r>
      <w:r>
        <w:t>(</w:t>
      </w:r>
      <w:r>
        <w:rPr>
          <w:rStyle w:val="Fett"/>
          <w:rFonts w:eastAsiaTheme="majorEastAsia"/>
          <w:rtl/>
        </w:rPr>
        <w:t>היה</w:t>
      </w:r>
      <w:r>
        <w:t xml:space="preserve">, Qal Imperfekt, 3. Person Femininum Singular, „sein", mit </w:t>
      </w:r>
      <w:r>
        <w:rPr>
          <w:rStyle w:val="Fett"/>
          <w:rFonts w:eastAsiaTheme="majorEastAsia"/>
          <w:rtl/>
        </w:rPr>
        <w:t>בּוֹ</w:t>
      </w:r>
      <w:r>
        <w:t xml:space="preserve">, „gegen ihn"), </w:t>
      </w:r>
      <w:r>
        <w:rPr>
          <w:rStyle w:val="Fett"/>
          <w:rFonts w:eastAsiaTheme="majorEastAsia"/>
          <w:rtl/>
        </w:rPr>
        <w:t>בָרִאשֹׁנָה</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רִאשׁוֹן</w:t>
      </w:r>
      <w:r>
        <w:t xml:space="preserve">, Femininum, „erste", mit Artikel, als Adverb „zuerst"), </w:t>
      </w:r>
      <w:r>
        <w:rPr>
          <w:rStyle w:val="Fett"/>
          <w:rFonts w:eastAsiaTheme="majorEastAsia"/>
          <w:rtl/>
        </w:rPr>
        <w:t>לַהֲמִיתוֹ</w:t>
      </w:r>
      <w:r>
        <w:rPr>
          <w:rtl/>
        </w:rPr>
        <w:t xml:space="preserve"> </w:t>
      </w:r>
      <w:r>
        <w:t xml:space="preserve">(Präposition </w:t>
      </w:r>
      <w:r>
        <w:rPr>
          <w:rStyle w:val="Fett"/>
          <w:rFonts w:eastAsiaTheme="majorEastAsia"/>
          <w:rtl/>
        </w:rPr>
        <w:t>לְ</w:t>
      </w:r>
      <w:r>
        <w:rPr>
          <w:rtl/>
        </w:rPr>
        <w:t xml:space="preserve"> </w:t>
      </w:r>
      <w:r>
        <w:t xml:space="preserve">mit Hiphil Infinitiv Construct von </w:t>
      </w:r>
      <w:r>
        <w:rPr>
          <w:rStyle w:val="Fett"/>
          <w:rFonts w:eastAsiaTheme="majorEastAsia"/>
          <w:rtl/>
        </w:rPr>
        <w:t>מות</w:t>
      </w:r>
      <w:r>
        <w:t xml:space="preserve">, „sterben", in </w:t>
      </w:r>
      <w:r>
        <w:lastRenderedPageBreak/>
        <w:t xml:space="preserve">der Hiphil-Form „töten", mit Suffix 3. Person Maskulinum Singular, „um ihn zu töten"), </w:t>
      </w:r>
      <w:r>
        <w:rPr>
          <w:rStyle w:val="Fett"/>
          <w:rFonts w:eastAsiaTheme="majorEastAsia"/>
          <w:rtl/>
        </w:rPr>
        <w:t>וְיַד כָּל־הָעָם בָּאַחֲרֹנָה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יַד כָּל־הָעָם</w:t>
      </w:r>
      <w:r>
        <w:t xml:space="preserve">, „die Hand des ganzen Volkes", </w:t>
      </w:r>
      <w:r>
        <w:rPr>
          <w:rStyle w:val="Fett"/>
          <w:rFonts w:eastAsiaTheme="majorEastAsia"/>
          <w:rtl/>
        </w:rPr>
        <w:t>בָּאַחֲרֹנָה</w:t>
      </w:r>
      <w:r>
        <w:t xml:space="preserve">, Präposition </w:t>
      </w:r>
      <w:r>
        <w:rPr>
          <w:rStyle w:val="Fett"/>
          <w:rFonts w:eastAsiaTheme="majorEastAsia"/>
          <w:rtl/>
        </w:rPr>
        <w:t>בְּ</w:t>
      </w:r>
      <w:r>
        <w:rPr>
          <w:rtl/>
        </w:rPr>
        <w:t xml:space="preserve"> </w:t>
      </w:r>
      <w:r>
        <w:t xml:space="preserve">mit </w:t>
      </w:r>
      <w:r>
        <w:rPr>
          <w:rStyle w:val="Fett"/>
          <w:rFonts w:eastAsiaTheme="majorEastAsia"/>
          <w:rtl/>
        </w:rPr>
        <w:t>אַחֲרוֹן</w:t>
      </w:r>
      <w:r>
        <w:t>, Femininum, „letzte", mit Artikel, als Adverb „danach, zuletzt").</w:t>
      </w:r>
    </w:p>
    <w:p w14:paraId="35976AB4" w14:textId="77777777" w:rsidR="00C90AB0" w:rsidRDefault="00C90AB0" w:rsidP="00C90AB0">
      <w:pPr>
        <w:pStyle w:val="whitespace-normal"/>
      </w:pPr>
      <w:r>
        <w:rPr>
          <w:rStyle w:val="Fett"/>
          <w:rFonts w:eastAsiaTheme="majorEastAsia"/>
          <w:rtl/>
        </w:rPr>
        <w:t>וּבִעַרְתָּ הָרָע מִקִּרְבֶּךָ</w:t>
      </w:r>
      <w:r>
        <w:rPr>
          <w:rtl/>
        </w:rPr>
        <w:t xml:space="preserve"> </w:t>
      </w:r>
      <w:r>
        <w:t xml:space="preserve">ist die Schlussformel: </w:t>
      </w:r>
      <w:r>
        <w:rPr>
          <w:rStyle w:val="Fett"/>
          <w:rFonts w:eastAsiaTheme="majorEastAsia"/>
          <w:rtl/>
        </w:rPr>
        <w:t>וּבִעַרְתָּ</w:t>
      </w:r>
      <w:r>
        <w:rPr>
          <w:rtl/>
        </w:rPr>
        <w:t xml:space="preserve"> </w:t>
      </w:r>
      <w:r>
        <w:t xml:space="preserve">(Piel Perfekt, 2. Person Maskulinum Singular von </w:t>
      </w:r>
      <w:r>
        <w:rPr>
          <w:rStyle w:val="Fett"/>
          <w:rFonts w:eastAsiaTheme="majorEastAsia"/>
          <w:rtl/>
        </w:rPr>
        <w:t>בער</w:t>
      </w:r>
      <w:r>
        <w:t xml:space="preserve">, „verbrennen, wegschaffen", imperativisch), </w:t>
      </w:r>
      <w:r>
        <w:rPr>
          <w:rStyle w:val="Fett"/>
          <w:rFonts w:eastAsiaTheme="majorEastAsia"/>
          <w:rtl/>
        </w:rPr>
        <w:t>הָרָע</w:t>
      </w:r>
      <w:r>
        <w:rPr>
          <w:rtl/>
        </w:rPr>
        <w:t xml:space="preserve"> </w:t>
      </w:r>
      <w:r>
        <w:t>(</w:t>
      </w:r>
      <w:r>
        <w:rPr>
          <w:rStyle w:val="Fett"/>
          <w:rFonts w:eastAsiaTheme="majorEastAsia"/>
          <w:rtl/>
        </w:rPr>
        <w:t>רַע</w:t>
      </w:r>
      <w:r>
        <w:t xml:space="preserve">, „Böses", mit Artikel), </w:t>
      </w:r>
      <w:r>
        <w:rPr>
          <w:rStyle w:val="Fett"/>
          <w:rFonts w:eastAsiaTheme="majorEastAsia"/>
          <w:rtl/>
        </w:rPr>
        <w:t>מִקִּרְבֶּךָ</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קֶרֶב</w:t>
      </w:r>
      <w:r>
        <w:t>, „Mitte", mit Suffix 2. Person Maskulinum Singular, „aus deiner Mitte").</w:t>
      </w:r>
    </w:p>
    <w:p w14:paraId="0CE55250" w14:textId="77777777" w:rsidR="00C90AB0" w:rsidRDefault="00C90AB0" w:rsidP="00C90AB0">
      <w:pPr>
        <w:pStyle w:val="whitespace-normal"/>
      </w:pPr>
      <w:r>
        <w:t xml:space="preserve">Die Regelung macht die Zeugen für die Hinrichtung mitverantwortlich: Sie müssen als Erste die Steine werfen (vgl. Joh 8,7). Dies soll falsche Anschuldigungen verhindern – wer falsch Zeugnis gibt, muss selbst Hand anlegen. Die Formulierung </w:t>
      </w:r>
      <w:r>
        <w:rPr>
          <w:rStyle w:val="Fett"/>
          <w:rFonts w:eastAsiaTheme="majorEastAsia"/>
          <w:rtl/>
        </w:rPr>
        <w:t>וּבִעַרְתָּ הָרָע מִקִּרְבֶּךָ</w:t>
      </w:r>
      <w:r>
        <w:rPr>
          <w:rtl/>
        </w:rPr>
        <w:t xml:space="preserve"> </w:t>
      </w:r>
      <w:r>
        <w:t>(„das Böse wegschaffen aus deiner Mitte") ist eine charakteristische deuteronomische Formel (vgl. 13,6; 17,7.12; 19,19; 21,21; 22,21.22.24; 24,7).</w:t>
      </w:r>
    </w:p>
    <w:p w14:paraId="54936F26" w14:textId="77777777" w:rsidR="00C90AB0" w:rsidRDefault="00C90AB0" w:rsidP="00C90AB0">
      <w:pPr>
        <w:pStyle w:val="whitespace-normal"/>
      </w:pPr>
      <w:r>
        <w:rPr>
          <w:rStyle w:val="Fett"/>
          <w:rFonts w:eastAsiaTheme="majorEastAsia"/>
        </w:rPr>
        <w:t>Die Satzstruktur:</w:t>
      </w:r>
      <w:r>
        <w:t xml:space="preserve"> Nominalsatz mit doppelter temporaler Bestimmung und Imperativ (die Hand der Zeugen soll sein gegen ihn zuerst, um ihn zu töten, und die Hand des ganzen Volkes danach; und wegschaffen sollst du das Böse aus deiner Mitte).</w:t>
      </w:r>
    </w:p>
    <w:p w14:paraId="371BE577" w14:textId="77777777" w:rsidR="00C90AB0" w:rsidRDefault="00C90AB0" w:rsidP="00C90AB0">
      <w:pPr>
        <w:pStyle w:val="whitespace-normal"/>
      </w:pPr>
      <w:r>
        <w:t>Der Vers regelt: Die Zeugen werfen die ersten Steine, dann das ganze Volk – so wird das Böse aus der Gemeinschaft entfernt.</w:t>
      </w:r>
    </w:p>
    <w:p w14:paraId="443EC5D8"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17,8</w:t>
      </w:r>
    </w:p>
    <w:p w14:paraId="3738D17A" w14:textId="77777777" w:rsidR="00C90AB0" w:rsidRDefault="00C90AB0" w:rsidP="00C90AB0">
      <w:pPr>
        <w:pStyle w:val="whitespace-normal"/>
      </w:pPr>
      <w:r>
        <w:rPr>
          <w:rStyle w:val="Fett"/>
          <w:rFonts w:eastAsiaTheme="majorEastAsia"/>
        </w:rPr>
        <w:t>Hebräisch:</w:t>
      </w:r>
      <w:r>
        <w:t xml:space="preserve"> </w:t>
      </w:r>
      <w:r>
        <w:rPr>
          <w:rtl/>
        </w:rPr>
        <w:t>כִּ֣י יִפָּלֵא֩ מִמְּךָ֙ דָבָ֜ר לַמִּשְׁפָּ֗ט בֵּֽין־דָּ֨ם׀ לְדָ֜ם בֵּֽין־דִּ֣ין לְדִ֗ין וּבֵ֥ין נֶ֨גַע֙ לָנֶ֔גַע דִּבְרֵ֥י רִיבֹ֖ת בִּשְׁעָרֶ֑יךָ וְקַמְתָּ֣ וְעָלִ֔יתָ אֶל־הַמָּק֔וֹם אֲשֶׁ֥ר יִבְחַ֛ר יְהוָ֥ה אֱלֹהֶ֖יךָ בּוֹֽ׃</w:t>
      </w:r>
    </w:p>
    <w:p w14:paraId="19C8FF47" w14:textId="77777777" w:rsidR="00C90AB0" w:rsidRDefault="00C90AB0" w:rsidP="00C90AB0">
      <w:pPr>
        <w:pStyle w:val="whitespace-normal"/>
      </w:pPr>
      <w:r>
        <w:rPr>
          <w:rStyle w:val="Fett"/>
          <w:rFonts w:eastAsiaTheme="majorEastAsia"/>
        </w:rPr>
        <w:t>Deutsch:</w:t>
      </w:r>
      <w:r>
        <w:t xml:space="preserve"> Wenn dir eine Sache zu schwierig ist zum Urteil, zwischen Blut und Blut, zwischen Rechtssache und Rechtssache und zwischen Körperverletzung und Körperverletzung, Streitsachen in deinen Toren, so sollst du dich aufmachen und hinaufgehen an den Ort, den der Ewige, dein Gott, erwählen wird.</w:t>
      </w:r>
    </w:p>
    <w:p w14:paraId="4EF604FC" w14:textId="77777777" w:rsidR="00C90AB0" w:rsidRDefault="004F5CEB" w:rsidP="00C90AB0">
      <w:r>
        <w:rPr>
          <w:noProof/>
        </w:rPr>
        <w:pict w14:anchorId="1BB4732B">
          <v:rect id="_x0000_i1497" style="width:0;height:1.5pt" o:hralign="center" o:hrstd="t" o:hr="t" fillcolor="#a0a0a0" stroked="f"/>
        </w:pict>
      </w:r>
    </w:p>
    <w:p w14:paraId="4F2A083E"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כִּי יִפָּלֵא מִמְּךָ דָבָר לַמִּשְׁפָּט</w:t>
      </w:r>
      <w:r>
        <w:rPr>
          <w:rtl/>
        </w:rPr>
        <w:t xml:space="preserve"> </w:t>
      </w:r>
      <w:r>
        <w:t xml:space="preserve">ist der konditionale Hauptsatz: </w:t>
      </w:r>
      <w:r>
        <w:rPr>
          <w:rStyle w:val="Fett"/>
          <w:rFonts w:eastAsiaTheme="majorEastAsia"/>
          <w:rtl/>
        </w:rPr>
        <w:t>כִּי יִפָּלֵא</w:t>
      </w:r>
      <w:r>
        <w:rPr>
          <w:rtl/>
        </w:rPr>
        <w:t xml:space="preserve"> </w:t>
      </w:r>
      <w:r>
        <w:t>(</w:t>
      </w:r>
      <w:r>
        <w:rPr>
          <w:rStyle w:val="Fett"/>
          <w:rFonts w:eastAsiaTheme="majorEastAsia"/>
          <w:rtl/>
        </w:rPr>
        <w:t>כִּי</w:t>
      </w:r>
      <w:r>
        <w:t xml:space="preserve">, „wenn", mit </w:t>
      </w:r>
      <w:r>
        <w:rPr>
          <w:rStyle w:val="Fett"/>
          <w:rFonts w:eastAsiaTheme="majorEastAsia"/>
          <w:rtl/>
        </w:rPr>
        <w:t>פלא</w:t>
      </w:r>
      <w:r>
        <w:t xml:space="preserve">, Niphal Imperfekt, 3. Person Maskulinum Singular, „wunderbar sein, zu schwierig sein"), </w:t>
      </w:r>
      <w:r>
        <w:rPr>
          <w:rStyle w:val="Fett"/>
          <w:rFonts w:eastAsiaTheme="majorEastAsia"/>
          <w:rtl/>
        </w:rPr>
        <w:t>מִמְּךָ</w:t>
      </w:r>
      <w:r>
        <w:rPr>
          <w:rtl/>
        </w:rPr>
        <w:t xml:space="preserve"> </w:t>
      </w:r>
      <w:r>
        <w:t xml:space="preserve">(Präposition </w:t>
      </w:r>
      <w:r>
        <w:rPr>
          <w:rStyle w:val="Fett"/>
          <w:rFonts w:eastAsiaTheme="majorEastAsia"/>
          <w:rtl/>
        </w:rPr>
        <w:t>מִן</w:t>
      </w:r>
      <w:r>
        <w:rPr>
          <w:rtl/>
        </w:rPr>
        <w:t xml:space="preserve"> </w:t>
      </w:r>
      <w:r>
        <w:t xml:space="preserve">mit Suffix 2. Person Maskulinum Singular, „von dir" = für dich), </w:t>
      </w:r>
      <w:r>
        <w:rPr>
          <w:rStyle w:val="Fett"/>
          <w:rFonts w:eastAsiaTheme="majorEastAsia"/>
          <w:rtl/>
        </w:rPr>
        <w:t>דָבָר</w:t>
      </w:r>
      <w:r>
        <w:rPr>
          <w:rtl/>
        </w:rPr>
        <w:t xml:space="preserve"> </w:t>
      </w:r>
      <w:r>
        <w:t>(</w:t>
      </w:r>
      <w:r>
        <w:rPr>
          <w:rStyle w:val="Fett"/>
          <w:rFonts w:eastAsiaTheme="majorEastAsia"/>
          <w:rtl/>
        </w:rPr>
        <w:t>דָּבָר</w:t>
      </w:r>
      <w:r>
        <w:t xml:space="preserve">, „Sache, Fall"), </w:t>
      </w:r>
      <w:r>
        <w:rPr>
          <w:rStyle w:val="Fett"/>
          <w:rFonts w:eastAsiaTheme="majorEastAsia"/>
          <w:rtl/>
        </w:rPr>
        <w:t>לַמִּשְׁפָּט</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מִשְׁפָּט</w:t>
      </w:r>
      <w:r>
        <w:t>, „Gericht, Urteil", mit Artikel, „für das Gericht").</w:t>
      </w:r>
    </w:p>
    <w:p w14:paraId="1A8B246B" w14:textId="77777777" w:rsidR="00C90AB0" w:rsidRDefault="00C90AB0" w:rsidP="00C90AB0">
      <w:pPr>
        <w:pStyle w:val="whitespace-normal"/>
      </w:pPr>
      <w:r>
        <w:rPr>
          <w:rStyle w:val="Fett"/>
          <w:rFonts w:eastAsiaTheme="majorEastAsia"/>
          <w:rtl/>
        </w:rPr>
        <w:t>בֵּין־דָּם לְדָם בֵּין־דִּין לְדִין וּבֵין נֶגַע לָנֶגַע דִּבְרֵי רִיבֹת בִּשְׁעָרֶיךָ</w:t>
      </w:r>
      <w:r>
        <w:rPr>
          <w:rtl/>
        </w:rPr>
        <w:t xml:space="preserve"> </w:t>
      </w:r>
      <w:r>
        <w:t xml:space="preserve">ist die Spezifikation: </w:t>
      </w:r>
      <w:r>
        <w:rPr>
          <w:rStyle w:val="Fett"/>
          <w:rFonts w:eastAsiaTheme="majorEastAsia"/>
          <w:rtl/>
        </w:rPr>
        <w:t>בֵּין־דָּם לְדָם</w:t>
      </w:r>
      <w:r>
        <w:rPr>
          <w:rtl/>
        </w:rPr>
        <w:t xml:space="preserve"> </w:t>
      </w:r>
      <w:r>
        <w:t xml:space="preserve">(Präposition </w:t>
      </w:r>
      <w:r>
        <w:rPr>
          <w:rStyle w:val="Fett"/>
          <w:rFonts w:eastAsiaTheme="majorEastAsia"/>
          <w:rtl/>
        </w:rPr>
        <w:t>בֵּין</w:t>
      </w:r>
      <w:r>
        <w:t xml:space="preserve">, „zwischen", </w:t>
      </w:r>
      <w:r>
        <w:rPr>
          <w:rStyle w:val="Fett"/>
          <w:rFonts w:eastAsiaTheme="majorEastAsia"/>
          <w:rtl/>
        </w:rPr>
        <w:t>דָּם</w:t>
      </w:r>
      <w:r>
        <w:t xml:space="preserve">, „Blut", </w:t>
      </w:r>
      <w:r>
        <w:rPr>
          <w:rStyle w:val="Fett"/>
          <w:rFonts w:eastAsiaTheme="majorEastAsia"/>
          <w:rtl/>
        </w:rPr>
        <w:t>לְ</w:t>
      </w:r>
      <w:r>
        <w:t xml:space="preserve">, „und", </w:t>
      </w:r>
      <w:r>
        <w:rPr>
          <w:rStyle w:val="Fett"/>
          <w:rFonts w:eastAsiaTheme="majorEastAsia"/>
          <w:rtl/>
        </w:rPr>
        <w:t>דָם</w:t>
      </w:r>
      <w:r>
        <w:t xml:space="preserve">, „zwischen Blut und Blut" = zwischen verschiedenen Blutfällen), </w:t>
      </w:r>
      <w:r>
        <w:rPr>
          <w:rStyle w:val="Fett"/>
          <w:rFonts w:eastAsiaTheme="majorEastAsia"/>
          <w:rtl/>
        </w:rPr>
        <w:t>בֵּין־דִּין לְדִין</w:t>
      </w:r>
      <w:r>
        <w:rPr>
          <w:rtl/>
        </w:rPr>
        <w:t xml:space="preserve"> </w:t>
      </w:r>
      <w:r>
        <w:t>(</w:t>
      </w:r>
      <w:r>
        <w:rPr>
          <w:rStyle w:val="Fett"/>
          <w:rFonts w:eastAsiaTheme="majorEastAsia"/>
          <w:rtl/>
        </w:rPr>
        <w:t>דִּין</w:t>
      </w:r>
      <w:r>
        <w:t xml:space="preserve">, „Rechtssache, Rechtsstreit"), </w:t>
      </w:r>
      <w:r>
        <w:rPr>
          <w:rStyle w:val="Fett"/>
          <w:rFonts w:eastAsiaTheme="majorEastAsia"/>
          <w:rtl/>
        </w:rPr>
        <w:t>וּבֵין נֶגַע לָנֶגַע</w:t>
      </w:r>
      <w:r>
        <w:rPr>
          <w:rtl/>
        </w:rPr>
        <w:t xml:space="preserve"> </w:t>
      </w:r>
      <w:r>
        <w:t>(</w:t>
      </w:r>
      <w:r>
        <w:rPr>
          <w:rStyle w:val="Fett"/>
          <w:rFonts w:eastAsiaTheme="majorEastAsia"/>
          <w:rtl/>
        </w:rPr>
        <w:t>נֶגַע</w:t>
      </w:r>
      <w:r>
        <w:t xml:space="preserve">, „Schlag, Körperverletzung, Plage"), </w:t>
      </w:r>
      <w:r>
        <w:rPr>
          <w:rStyle w:val="Fett"/>
          <w:rFonts w:eastAsiaTheme="majorEastAsia"/>
          <w:rtl/>
        </w:rPr>
        <w:t>דִּבְרֵי רִיבֹת</w:t>
      </w:r>
      <w:r>
        <w:rPr>
          <w:rtl/>
        </w:rPr>
        <w:t xml:space="preserve"> </w:t>
      </w:r>
      <w:r>
        <w:t>(</w:t>
      </w:r>
      <w:r>
        <w:rPr>
          <w:rStyle w:val="Fett"/>
          <w:rFonts w:eastAsiaTheme="majorEastAsia"/>
          <w:rtl/>
        </w:rPr>
        <w:t>דָּבָר</w:t>
      </w:r>
      <w:r>
        <w:t xml:space="preserve">, Plural Construct mit </w:t>
      </w:r>
      <w:r>
        <w:rPr>
          <w:rStyle w:val="Fett"/>
          <w:rFonts w:eastAsiaTheme="majorEastAsia"/>
          <w:rtl/>
        </w:rPr>
        <w:t>רִיב</w:t>
      </w:r>
      <w:r>
        <w:t xml:space="preserve">, „Streit, Rechtsstreit", Plural, „Streitsachen"), </w:t>
      </w:r>
      <w:r>
        <w:rPr>
          <w:rStyle w:val="Fett"/>
          <w:rFonts w:eastAsiaTheme="majorEastAsia"/>
          <w:rtl/>
        </w:rPr>
        <w:t>בִּשְׁעָרֶיךָ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שַׁעַר</w:t>
      </w:r>
      <w:r>
        <w:t>, Plural mit Suffix 2. Person Maskulinum Singular, „in deinen Toren").</w:t>
      </w:r>
    </w:p>
    <w:p w14:paraId="6700D3F1" w14:textId="77777777" w:rsidR="00C90AB0" w:rsidRDefault="00C90AB0" w:rsidP="00C90AB0">
      <w:pPr>
        <w:pStyle w:val="whitespace-normal"/>
      </w:pPr>
      <w:r>
        <w:rPr>
          <w:rStyle w:val="Fett"/>
          <w:rFonts w:eastAsiaTheme="majorEastAsia"/>
          <w:rtl/>
        </w:rPr>
        <w:lastRenderedPageBreak/>
        <w:t>וְקַמְתָּ וְעָלִיתָ אֶל־הַמָּקוֹם אֲשֶׁר יִבְחַר יְהוָה אֱלֹהֶיךָ בּוֹ</w:t>
      </w:r>
      <w:r>
        <w:rPr>
          <w:rtl/>
        </w:rPr>
        <w:t xml:space="preserve"> </w:t>
      </w:r>
      <w:r>
        <w:t xml:space="preserve">sind zwei koordinierte Imperative: </w:t>
      </w:r>
      <w:r>
        <w:rPr>
          <w:rStyle w:val="Fett"/>
          <w:rFonts w:eastAsiaTheme="majorEastAsia"/>
          <w:rtl/>
        </w:rPr>
        <w:t>וְקַמְתָּ</w:t>
      </w:r>
      <w:r>
        <w:rPr>
          <w:rtl/>
        </w:rPr>
        <w:t xml:space="preserve"> </w:t>
      </w:r>
      <w:r>
        <w:t xml:space="preserve">(Qal Perfekt, 2. Person Maskulinum Singular von </w:t>
      </w:r>
      <w:r>
        <w:rPr>
          <w:rStyle w:val="Fett"/>
          <w:rFonts w:eastAsiaTheme="majorEastAsia"/>
          <w:rtl/>
        </w:rPr>
        <w:t>קום</w:t>
      </w:r>
      <w:r>
        <w:t xml:space="preserve">, „aufstehen, sich aufmachen", imperativisch), </w:t>
      </w:r>
      <w:r>
        <w:rPr>
          <w:rStyle w:val="Fett"/>
          <w:rFonts w:eastAsiaTheme="majorEastAsia"/>
          <w:rtl/>
        </w:rPr>
        <w:t>וְעָלִיתָ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עלה</w:t>
      </w:r>
      <w:r>
        <w:t xml:space="preserve">, Qal Perfekt, 2. Person Maskulinum Singular, „hinaufsteigen, hinaufgehen", imperativisch), </w:t>
      </w:r>
      <w:r>
        <w:rPr>
          <w:rStyle w:val="Fett"/>
          <w:rFonts w:eastAsiaTheme="majorEastAsia"/>
          <w:rtl/>
        </w:rPr>
        <w:t>אֶל־הַמָּקוֹם אֲשֶׁר יִבְחַר יְהוָה אֱלֹהֶיךָ בּוֹ</w:t>
      </w:r>
      <w:r>
        <w:rPr>
          <w:rtl/>
        </w:rPr>
        <w:t xml:space="preserve"> </w:t>
      </w:r>
      <w:r>
        <w:t>(lokale Bestimmung mit charakteristischer Formel).</w:t>
      </w:r>
    </w:p>
    <w:p w14:paraId="25CFB1CC" w14:textId="4669F431" w:rsidR="00C90AB0" w:rsidRDefault="00C90AB0" w:rsidP="00C90AB0">
      <w:pPr>
        <w:pStyle w:val="whitespace-normal"/>
      </w:pPr>
      <w:r>
        <w:t xml:space="preserve">Die drei Fallkategorien: (1) </w:t>
      </w:r>
      <w:r>
        <w:rPr>
          <w:rStyle w:val="Fett"/>
          <w:rFonts w:eastAsiaTheme="majorEastAsia"/>
          <w:rtl/>
        </w:rPr>
        <w:t>בֵּין־דָּם לְדָם</w:t>
      </w:r>
      <w:r>
        <w:rPr>
          <w:rtl/>
        </w:rPr>
        <w:t xml:space="preserve"> </w:t>
      </w:r>
      <w:r>
        <w:t xml:space="preserve">– Mordfälle oder Tötungsdelikte (vorsätzlich vs. fahrlässig), (2) </w:t>
      </w:r>
      <w:r>
        <w:rPr>
          <w:rStyle w:val="Fett"/>
          <w:rFonts w:eastAsiaTheme="majorEastAsia"/>
          <w:rtl/>
        </w:rPr>
        <w:t>בֵּין־דִּין לְדִין</w:t>
      </w:r>
      <w:r>
        <w:rPr>
          <w:rtl/>
        </w:rPr>
        <w:t xml:space="preserve"> </w:t>
      </w:r>
      <w:r>
        <w:t xml:space="preserve">– verschiedene zivilrechtliche Streitigkeiten, (3) </w:t>
      </w:r>
      <w:r>
        <w:rPr>
          <w:rStyle w:val="Fett"/>
          <w:rFonts w:eastAsiaTheme="majorEastAsia"/>
          <w:rtl/>
        </w:rPr>
        <w:t>וּבֵין נֶגַע לָנֶגַע</w:t>
      </w:r>
      <w:r>
        <w:rPr>
          <w:rtl/>
        </w:rPr>
        <w:t xml:space="preserve"> </w:t>
      </w:r>
      <w:r>
        <w:t xml:space="preserve">– Körperverletzungen oder rituell unreine Hautkrankheiten (vgl. </w:t>
      </w:r>
      <w:r w:rsidR="00664EB6">
        <w:t>Lev</w:t>
      </w:r>
      <w:r>
        <w:t xml:space="preserve"> 13-14). Das Verb </w:t>
      </w:r>
      <w:r>
        <w:rPr>
          <w:rStyle w:val="Fett"/>
          <w:rFonts w:eastAsiaTheme="majorEastAsia"/>
          <w:rtl/>
        </w:rPr>
        <w:t>פלא</w:t>
      </w:r>
      <w:r>
        <w:rPr>
          <w:rtl/>
        </w:rPr>
        <w:t xml:space="preserve"> </w:t>
      </w:r>
      <w:r>
        <w:t>im Niphal („zu schwierig, zu wunderbar sein") bezeichnet etwas, das die Kompetenz der lokalen Richter übersteigt (vgl. 30,11).</w:t>
      </w:r>
    </w:p>
    <w:p w14:paraId="1C8AC36B" w14:textId="6A05D997" w:rsidR="00E80EEB" w:rsidRDefault="00E80EEB" w:rsidP="00C90AB0">
      <w:pPr>
        <w:pStyle w:val="whitespace-normal"/>
      </w:pPr>
      <w:r>
        <w:rPr>
          <w:rStyle w:val="Fett"/>
        </w:rPr>
        <w:t>Die LXX</w:t>
      </w:r>
      <w:r>
        <w:t xml:space="preserve"> übersetzt </w:t>
      </w:r>
      <w:r w:rsidRPr="00E80EEB">
        <w:rPr>
          <w:b/>
          <w:bCs/>
          <w:rtl/>
        </w:rPr>
        <w:t>כִּי יִפָּלֵא מִמְּךָ דָבָר</w:t>
      </w:r>
      <w:r>
        <w:t xml:space="preserve"> (wenn dir eine Sache zu schwierig ist) mit </w:t>
      </w:r>
      <w:proofErr w:type="spellStart"/>
      <w:r>
        <w:t>Ἐὰν</w:t>
      </w:r>
      <w:proofErr w:type="spellEnd"/>
      <w:r>
        <w:t xml:space="preserve"> </w:t>
      </w:r>
      <w:proofErr w:type="spellStart"/>
      <w:r>
        <w:t>δὲ</w:t>
      </w:r>
      <w:proofErr w:type="spellEnd"/>
      <w:r>
        <w:t xml:space="preserve"> </w:t>
      </w:r>
      <w:proofErr w:type="spellStart"/>
      <w:r>
        <w:t>ἀδυν</w:t>
      </w:r>
      <w:proofErr w:type="spellEnd"/>
      <w:r>
        <w:t xml:space="preserve">ατήσῃ ἀπὸ </w:t>
      </w:r>
      <w:proofErr w:type="spellStart"/>
      <w:r>
        <w:t>σοῦ</w:t>
      </w:r>
      <w:proofErr w:type="spellEnd"/>
      <w:r>
        <w:t xml:space="preserve"> </w:t>
      </w:r>
      <w:proofErr w:type="spellStart"/>
      <w:r>
        <w:t>ῥῆμ</w:t>
      </w:r>
      <w:proofErr w:type="spellEnd"/>
      <w:r>
        <w:t xml:space="preserve">α (wenn aber unmöglich wird von dir eine Sache) – eine semantische Verschiebung von "zu schwierig/wunderbar" zu "unmöglich". Die dreifache Formel </w:t>
      </w:r>
      <w:r w:rsidRPr="00E80EEB">
        <w:rPr>
          <w:b/>
          <w:bCs/>
          <w:rtl/>
        </w:rPr>
        <w:t>בֵּין־דָּם לְדָם... בֵּין־דִּין לְדִין... וּבֵין נֶגַע לָנֶגַע</w:t>
      </w:r>
      <w:r>
        <w:t xml:space="preserve"> wird mit </w:t>
      </w:r>
      <w:proofErr w:type="spellStart"/>
      <w:r>
        <w:t>ἀνὰ</w:t>
      </w:r>
      <w:proofErr w:type="spellEnd"/>
      <w:r>
        <w:t xml:space="preserve"> </w:t>
      </w:r>
      <w:proofErr w:type="spellStart"/>
      <w:r>
        <w:t>μέσον</w:t>
      </w:r>
      <w:proofErr w:type="spellEnd"/>
      <w:r>
        <w:t xml:space="preserve"> (zwischen, mitten in) konstruiert und verwendet doppelte Substantive: α</w:t>
      </w:r>
      <w:proofErr w:type="spellStart"/>
      <w:r>
        <w:t>ἷμ</w:t>
      </w:r>
      <w:proofErr w:type="spellEnd"/>
      <w:r>
        <w:t>α α</w:t>
      </w:r>
      <w:proofErr w:type="spellStart"/>
      <w:r>
        <w:t>ἵμ</w:t>
      </w:r>
      <w:proofErr w:type="spellEnd"/>
      <w:r>
        <w:t xml:space="preserve">ατος, </w:t>
      </w:r>
      <w:proofErr w:type="spellStart"/>
      <w:r>
        <w:t>κρίσις</w:t>
      </w:r>
      <w:proofErr w:type="spellEnd"/>
      <w:r>
        <w:t xml:space="preserve"> </w:t>
      </w:r>
      <w:proofErr w:type="spellStart"/>
      <w:r>
        <w:t>κρίσεως</w:t>
      </w:r>
      <w:proofErr w:type="spellEnd"/>
      <w:r>
        <w:t xml:space="preserve">, </w:t>
      </w:r>
      <w:proofErr w:type="spellStart"/>
      <w:r>
        <w:t>ἁφὴ</w:t>
      </w:r>
      <w:proofErr w:type="spellEnd"/>
      <w:r>
        <w:t xml:space="preserve"> </w:t>
      </w:r>
      <w:proofErr w:type="spellStart"/>
      <w:r>
        <w:t>ἁφῆς</w:t>
      </w:r>
      <w:proofErr w:type="spellEnd"/>
      <w:r>
        <w:t xml:space="preserve"> (Blut von Blut, Gericht von Gericht, Berührung von Berührung).</w:t>
      </w:r>
    </w:p>
    <w:p w14:paraId="2BE4B282" w14:textId="77777777" w:rsidR="00C90AB0" w:rsidRDefault="00C90AB0" w:rsidP="00C90AB0">
      <w:pPr>
        <w:pStyle w:val="whitespace-normal"/>
      </w:pPr>
      <w:r>
        <w:rPr>
          <w:rStyle w:val="Fett"/>
          <w:rFonts w:eastAsiaTheme="majorEastAsia"/>
        </w:rPr>
        <w:t>Die Satzstruktur:</w:t>
      </w:r>
      <w:r>
        <w:t xml:space="preserve"> Konditionaler Satz mit dreifacher Spezifikation und zwei Imperativen (wenn zu schwierig ist für dich eine Sache für das Gericht, zwischen Blut und Blut, zwischen Rechtssache und Rechtssache, und zwischen Körperverletzung und Körperverletzung, Streitsachen in deinen Toren, so aufmachen sollst du dich und hinaufgehen zu dem Ort, den erwählen wird JHWH, dein Gott).</w:t>
      </w:r>
    </w:p>
    <w:p w14:paraId="7FA0DF11" w14:textId="77777777" w:rsidR="00C90AB0" w:rsidRDefault="00C90AB0" w:rsidP="00C90AB0">
      <w:pPr>
        <w:pStyle w:val="whitespace-normal"/>
      </w:pPr>
      <w:r>
        <w:t>Der Vers regelt die Berufungsinstanz: Bei zu schwierigen Fällen in lokalen Gerichten – ob Tötungsdelikte, Zivilrecht oder Körperverletzung – gehe zum zentralen Heiligtum.</w:t>
      </w:r>
    </w:p>
    <w:p w14:paraId="5A0287AF"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17,9</w:t>
      </w:r>
    </w:p>
    <w:p w14:paraId="2E1C32A5" w14:textId="77777777" w:rsidR="00C90AB0" w:rsidRDefault="00C90AB0" w:rsidP="00C90AB0">
      <w:pPr>
        <w:pStyle w:val="whitespace-normal"/>
      </w:pPr>
      <w:r>
        <w:rPr>
          <w:rStyle w:val="Fett"/>
          <w:rFonts w:eastAsiaTheme="majorEastAsia"/>
        </w:rPr>
        <w:t>Hebräisch:</w:t>
      </w:r>
      <w:r>
        <w:t xml:space="preserve"> </w:t>
      </w:r>
      <w:r>
        <w:rPr>
          <w:rtl/>
        </w:rPr>
        <w:t>וּבָאתָ֗ אֶל־הַכֹּהֲנִים֙ הַלְוִיִּ֔ם וְאֶל־הַשֹּׁפֵ֔ט אֲשֶׁ֥ר יִהְיֶ֖ה בַּיָּמִ֣ים הָהֵ֑ם וְדָרַשְׁתָּ֙ וְהִגִּ֣ידוּ לְךָ֔ אֵ֖ת דְּבַ֥ר הַמִּשְׁפָּֽט׃</w:t>
      </w:r>
    </w:p>
    <w:p w14:paraId="0ACFB744" w14:textId="77777777" w:rsidR="00C90AB0" w:rsidRDefault="00C90AB0" w:rsidP="00C90AB0">
      <w:pPr>
        <w:pStyle w:val="whitespace-normal"/>
      </w:pPr>
      <w:r>
        <w:rPr>
          <w:rStyle w:val="Fett"/>
          <w:rFonts w:eastAsiaTheme="majorEastAsia"/>
        </w:rPr>
        <w:t>Deutsch:</w:t>
      </w:r>
      <w:r>
        <w:t xml:space="preserve"> Und du sollst zu den Priestern, den Levijim, kommen und zu dem Richter, der in jenen Tagen sein wird, und sollst </w:t>
      </w:r>
      <w:proofErr w:type="spellStart"/>
      <w:r>
        <w:t>fragen</w:t>
      </w:r>
      <w:proofErr w:type="spellEnd"/>
      <w:r>
        <w:t>; und sie werden dir den Urteilsspruch verkünden.</w:t>
      </w:r>
    </w:p>
    <w:p w14:paraId="5DB65E94" w14:textId="77777777" w:rsidR="00C90AB0" w:rsidRDefault="004F5CEB" w:rsidP="00C90AB0">
      <w:r>
        <w:rPr>
          <w:noProof/>
        </w:rPr>
        <w:pict w14:anchorId="2E4B28E7">
          <v:rect id="_x0000_i1498" style="width:0;height:1.5pt" o:hralign="center" o:hrstd="t" o:hr="t" fillcolor="#a0a0a0" stroked="f"/>
        </w:pict>
      </w:r>
    </w:p>
    <w:p w14:paraId="38573A6B"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וּבָאתָ אֶל־הַכֹּהֲנִים הַלְוִיִּם וְאֶל־הַשֹּׁפֵט אֲשֶׁר יִהְיֶה בַּיָּמִים הָהֵם</w:t>
      </w:r>
      <w:r>
        <w:rPr>
          <w:rtl/>
        </w:rPr>
        <w:t xml:space="preserve"> </w:t>
      </w:r>
      <w:r>
        <w:t xml:space="preserve">ist ein Imperativsatz: </w:t>
      </w:r>
      <w:r>
        <w:rPr>
          <w:rStyle w:val="Fett"/>
          <w:rFonts w:eastAsiaTheme="majorEastAsia"/>
          <w:rtl/>
        </w:rPr>
        <w:t>וּבָאתָ</w:t>
      </w:r>
      <w:r>
        <w:rPr>
          <w:rtl/>
        </w:rPr>
        <w:t xml:space="preserve"> </w:t>
      </w:r>
      <w:r>
        <w:t xml:space="preserve">(Qal Perfekt, 2. Person Maskulinum Singular von </w:t>
      </w:r>
      <w:r>
        <w:rPr>
          <w:rStyle w:val="Fett"/>
          <w:rFonts w:eastAsiaTheme="majorEastAsia"/>
          <w:rtl/>
        </w:rPr>
        <w:t>בוא</w:t>
      </w:r>
      <w:r>
        <w:t xml:space="preserve">, „kommen", imperativisch), </w:t>
      </w:r>
      <w:r>
        <w:rPr>
          <w:rStyle w:val="Fett"/>
          <w:rFonts w:eastAsiaTheme="majorEastAsia"/>
          <w:rtl/>
        </w:rPr>
        <w:t>אֶל־הַכֹּהֲנִים הַלְוִיִּם</w:t>
      </w:r>
      <w:r>
        <w:rPr>
          <w:rtl/>
        </w:rPr>
        <w:t xml:space="preserve"> </w:t>
      </w:r>
      <w:r>
        <w:t xml:space="preserve">(Präposition </w:t>
      </w:r>
      <w:r>
        <w:rPr>
          <w:rStyle w:val="Fett"/>
          <w:rFonts w:eastAsiaTheme="majorEastAsia"/>
          <w:rtl/>
        </w:rPr>
        <w:t>אֶל</w:t>
      </w:r>
      <w:r>
        <w:rPr>
          <w:rtl/>
        </w:rPr>
        <w:t xml:space="preserve"> </w:t>
      </w:r>
      <w:r>
        <w:t xml:space="preserve">mit </w:t>
      </w:r>
      <w:r>
        <w:rPr>
          <w:rStyle w:val="Fett"/>
          <w:rFonts w:eastAsiaTheme="majorEastAsia"/>
          <w:rtl/>
        </w:rPr>
        <w:t>כֹּהֵן</w:t>
      </w:r>
      <w:r>
        <w:t xml:space="preserve">, „Priester", Plural mit Artikel, mit </w:t>
      </w:r>
      <w:r>
        <w:rPr>
          <w:rStyle w:val="Fett"/>
          <w:rFonts w:eastAsiaTheme="majorEastAsia"/>
          <w:rtl/>
        </w:rPr>
        <w:t>לֵוִי</w:t>
      </w:r>
      <w:r>
        <w:t xml:space="preserve">, Plural mit Artikel, „zu den Priestern, den Leviten"), </w:t>
      </w:r>
      <w:r>
        <w:rPr>
          <w:rStyle w:val="Fett"/>
          <w:rFonts w:eastAsiaTheme="majorEastAsia"/>
          <w:rtl/>
        </w:rPr>
        <w:t>וְאֶל־הַשֹּׁפֵט</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אֶל</w:t>
      </w:r>
      <w:r>
        <w:rPr>
          <w:rtl/>
        </w:rPr>
        <w:t xml:space="preserve"> </w:t>
      </w:r>
      <w:r>
        <w:t xml:space="preserve">und </w:t>
      </w:r>
      <w:r>
        <w:rPr>
          <w:rStyle w:val="Fett"/>
          <w:rFonts w:eastAsiaTheme="majorEastAsia"/>
          <w:rtl/>
        </w:rPr>
        <w:t>שֹׁפֵט</w:t>
      </w:r>
      <w:r>
        <w:t xml:space="preserve">, „Richter", mit Artikel), </w:t>
      </w:r>
      <w:r>
        <w:rPr>
          <w:rStyle w:val="Fett"/>
          <w:rFonts w:eastAsiaTheme="majorEastAsia"/>
          <w:rtl/>
        </w:rPr>
        <w:t>אֲשֶׁר יִהְיֶה בַּיָּמִים הָהֵם</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היה</w:t>
      </w:r>
      <w:r>
        <w:t xml:space="preserve">, Qal Imperfekt, 3. Person Maskulinum Singular, „sein", </w:t>
      </w:r>
      <w:r>
        <w:rPr>
          <w:rStyle w:val="Fett"/>
          <w:rFonts w:eastAsiaTheme="majorEastAsia"/>
          <w:rtl/>
        </w:rPr>
        <w:t>בַּיָּמִים הָהֵם</w:t>
      </w:r>
      <w:r>
        <w:t xml:space="preserve">, Präposition </w:t>
      </w:r>
      <w:r>
        <w:rPr>
          <w:rStyle w:val="Fett"/>
          <w:rFonts w:eastAsiaTheme="majorEastAsia"/>
          <w:rtl/>
        </w:rPr>
        <w:t>בְּ</w:t>
      </w:r>
      <w:r>
        <w:rPr>
          <w:rtl/>
        </w:rPr>
        <w:t xml:space="preserve"> </w:t>
      </w:r>
      <w:r>
        <w:t xml:space="preserve">mit </w:t>
      </w:r>
      <w:r>
        <w:rPr>
          <w:rStyle w:val="Fett"/>
          <w:rFonts w:eastAsiaTheme="majorEastAsia"/>
          <w:rtl/>
        </w:rPr>
        <w:t>יוֹם</w:t>
      </w:r>
      <w:r>
        <w:t xml:space="preserve">, Plural mit Artikel und Demonstrativpronomen </w:t>
      </w:r>
      <w:r>
        <w:rPr>
          <w:rStyle w:val="Fett"/>
          <w:rFonts w:eastAsiaTheme="majorEastAsia"/>
          <w:rtl/>
        </w:rPr>
        <w:t>הֵם</w:t>
      </w:r>
      <w:r>
        <w:t>, „in jenen Tagen").</w:t>
      </w:r>
    </w:p>
    <w:p w14:paraId="0568EEDF" w14:textId="77777777" w:rsidR="00C90AB0" w:rsidRDefault="00C90AB0" w:rsidP="00C90AB0">
      <w:pPr>
        <w:pStyle w:val="whitespace-normal"/>
      </w:pPr>
      <w:r>
        <w:rPr>
          <w:rStyle w:val="Fett"/>
          <w:rFonts w:eastAsiaTheme="majorEastAsia"/>
          <w:rtl/>
        </w:rPr>
        <w:t>וְדָרַשְׁתָּ וְהִגִּידוּ לְךָ אֵת דְּבַר הַמִּשְׁפָּט</w:t>
      </w:r>
      <w:r>
        <w:rPr>
          <w:rtl/>
        </w:rPr>
        <w:t xml:space="preserve"> </w:t>
      </w:r>
      <w:r>
        <w:t xml:space="preserve">sind zwei koordinierte Verben: </w:t>
      </w:r>
      <w:r>
        <w:rPr>
          <w:rStyle w:val="Fett"/>
          <w:rFonts w:eastAsiaTheme="majorEastAsia"/>
          <w:rtl/>
        </w:rPr>
        <w:t>וְדָרַשְׁתָּ</w:t>
      </w:r>
      <w:r>
        <w:rPr>
          <w:rtl/>
        </w:rPr>
        <w:t xml:space="preserve"> </w:t>
      </w:r>
      <w:r>
        <w:t xml:space="preserve">(Qal Perfekt, 2. Person Maskulinum Singular von </w:t>
      </w:r>
      <w:r>
        <w:rPr>
          <w:rStyle w:val="Fett"/>
          <w:rFonts w:eastAsiaTheme="majorEastAsia"/>
          <w:rtl/>
        </w:rPr>
        <w:t>דרשׁ</w:t>
      </w:r>
      <w:r>
        <w:t xml:space="preserve">, „suchen, fragen, nachforschen", imperativisch), </w:t>
      </w:r>
      <w:r>
        <w:rPr>
          <w:rStyle w:val="Fett"/>
          <w:rFonts w:eastAsiaTheme="majorEastAsia"/>
          <w:rtl/>
        </w:rPr>
        <w:t>וְהִגִּידוּ</w:t>
      </w:r>
      <w:r>
        <w:rPr>
          <w:rtl/>
        </w:rPr>
        <w:t xml:space="preserve"> </w:t>
      </w:r>
      <w:r>
        <w:lastRenderedPageBreak/>
        <w:t xml:space="preserve">(koordiniert durch </w:t>
      </w:r>
      <w:r>
        <w:rPr>
          <w:rStyle w:val="Fett"/>
          <w:rFonts w:eastAsiaTheme="majorEastAsia"/>
          <w:rtl/>
        </w:rPr>
        <w:t>וְ</w:t>
      </w:r>
      <w:r>
        <w:rPr>
          <w:rtl/>
        </w:rPr>
        <w:t xml:space="preserve"> </w:t>
      </w:r>
      <w:r>
        <w:t xml:space="preserve">mit </w:t>
      </w:r>
      <w:r>
        <w:rPr>
          <w:rStyle w:val="Fett"/>
          <w:rFonts w:eastAsiaTheme="majorEastAsia"/>
          <w:rtl/>
        </w:rPr>
        <w:t>נגד</w:t>
      </w:r>
      <w:r>
        <w:t xml:space="preserve">, Hiphil Perfekt, 3. Person Plural, „mitteilen, verkünden", mit </w:t>
      </w:r>
      <w:r>
        <w:rPr>
          <w:rStyle w:val="Fett"/>
          <w:rFonts w:eastAsiaTheme="majorEastAsia"/>
        </w:rPr>
        <w:t>Waw</w:t>
      </w:r>
      <w:r>
        <w:t xml:space="preserve"> consecutives Perfekt), </w:t>
      </w:r>
      <w:r>
        <w:rPr>
          <w:rStyle w:val="Fett"/>
          <w:rFonts w:eastAsiaTheme="majorEastAsia"/>
          <w:rtl/>
        </w:rPr>
        <w:t>לְךָ</w:t>
      </w:r>
      <w:r>
        <w:rPr>
          <w:rtl/>
        </w:rPr>
        <w:t xml:space="preserve"> </w:t>
      </w:r>
      <w:r>
        <w:t xml:space="preserve">(Präposition </w:t>
      </w:r>
      <w:r>
        <w:rPr>
          <w:rStyle w:val="Fett"/>
          <w:rFonts w:eastAsiaTheme="majorEastAsia"/>
          <w:rtl/>
        </w:rPr>
        <w:t>לְ</w:t>
      </w:r>
      <w:r>
        <w:rPr>
          <w:rtl/>
        </w:rPr>
        <w:t xml:space="preserve"> </w:t>
      </w:r>
      <w:r>
        <w:t xml:space="preserve">mit Suffix 2. Person Maskulinum Singular, „dir"), </w:t>
      </w:r>
      <w:r>
        <w:rPr>
          <w:rStyle w:val="Fett"/>
          <w:rFonts w:eastAsiaTheme="majorEastAsia"/>
          <w:rtl/>
        </w:rPr>
        <w:t>אֵת דְּבַר הַמִּשְׁפָּט</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דָּבָר</w:t>
      </w:r>
      <w:r>
        <w:t xml:space="preserve">, „Wort, Sache", Construct mit </w:t>
      </w:r>
      <w:r>
        <w:rPr>
          <w:rStyle w:val="Fett"/>
          <w:rFonts w:eastAsiaTheme="majorEastAsia"/>
          <w:rtl/>
        </w:rPr>
        <w:t>מִשְׁפָּט</w:t>
      </w:r>
      <w:r>
        <w:t>, „Gericht, Urteil", mit Artikel, „den Urteilsspruch").</w:t>
      </w:r>
    </w:p>
    <w:p w14:paraId="25A085E1" w14:textId="6C159C06" w:rsidR="00C90AB0" w:rsidRDefault="00C90AB0" w:rsidP="00C90AB0">
      <w:pPr>
        <w:pStyle w:val="whitespace-normal"/>
      </w:pPr>
      <w:r>
        <w:t xml:space="preserve">Die Wendung </w:t>
      </w:r>
      <w:r>
        <w:rPr>
          <w:rStyle w:val="Fett"/>
          <w:rFonts w:eastAsiaTheme="majorEastAsia"/>
          <w:rtl/>
        </w:rPr>
        <w:t>הַכֹּהֲנִים הַלְוִיִּם</w:t>
      </w:r>
      <w:r>
        <w:rPr>
          <w:rtl/>
        </w:rPr>
        <w:t xml:space="preserve"> </w:t>
      </w:r>
      <w:r>
        <w:t xml:space="preserve">(„die Priester, die Leviten") ist charakteristisch deuteronomisch und bezeichnet die levitische Priesterschaft (vgl. 17,9.18; 18,1; 24,8; 27,9; Jos 3,3; 8,33; Jer 33,18.21; </w:t>
      </w:r>
      <w:r w:rsidR="00BF3748">
        <w:t>Hes</w:t>
      </w:r>
      <w:r>
        <w:t xml:space="preserve"> 44,15). Die Formulierung </w:t>
      </w:r>
      <w:r>
        <w:rPr>
          <w:rStyle w:val="Fett"/>
          <w:rFonts w:eastAsiaTheme="majorEastAsia"/>
          <w:rtl/>
        </w:rPr>
        <w:t>אֲשֶׁר יִהְיֶה בַּיָּמִים הָהֵם</w:t>
      </w:r>
      <w:r>
        <w:rPr>
          <w:rtl/>
        </w:rPr>
        <w:t xml:space="preserve"> </w:t>
      </w:r>
      <w:r>
        <w:t>(„der in jenen Tagen sein wird") zeigt: nicht eine bestimmte historische Person, sondern der jeweils amtierende Richter. Die Instanz besteht aus Priestern (für religiöse Fragen) und weltlichem Richter (für zivilrechtliche Fragen).</w:t>
      </w:r>
    </w:p>
    <w:p w14:paraId="72E9D663" w14:textId="251C2CDE" w:rsidR="00E80EEB" w:rsidRDefault="00E80EEB" w:rsidP="00C90AB0">
      <w:pPr>
        <w:pStyle w:val="whitespace-normal"/>
      </w:pPr>
      <w:r>
        <w:rPr>
          <w:rStyle w:val="Fett"/>
        </w:rPr>
        <w:t>Die LXX</w:t>
      </w:r>
      <w:r>
        <w:t xml:space="preserve"> verwendet </w:t>
      </w:r>
      <w:proofErr w:type="spellStart"/>
      <w:r>
        <w:t>ἐλεύσῃ</w:t>
      </w:r>
      <w:proofErr w:type="spellEnd"/>
      <w:r>
        <w:t xml:space="preserve"> (du wirst kommen) für </w:t>
      </w:r>
      <w:r>
        <w:rPr>
          <w:rtl/>
        </w:rPr>
        <w:t>וּבָאתָ</w:t>
      </w:r>
      <w:r>
        <w:t xml:space="preserve"> – eine ungewöhnliche Form, möglicherweise ein Textfehler für </w:t>
      </w:r>
      <w:proofErr w:type="spellStart"/>
      <w:r>
        <w:t>ἐλεύσῃ</w:t>
      </w:r>
      <w:proofErr w:type="spellEnd"/>
      <w:r>
        <w:t>.</w:t>
      </w:r>
    </w:p>
    <w:p w14:paraId="1A3CCA4E" w14:textId="77777777" w:rsidR="00C90AB0" w:rsidRDefault="00C90AB0" w:rsidP="00C90AB0">
      <w:pPr>
        <w:pStyle w:val="whitespace-normal"/>
      </w:pPr>
      <w:r>
        <w:rPr>
          <w:rStyle w:val="Fett"/>
          <w:rFonts w:eastAsiaTheme="majorEastAsia"/>
        </w:rPr>
        <w:t>Die Satzstruktur:</w:t>
      </w:r>
      <w:r>
        <w:t xml:space="preserve"> Imperativsatz mit zwei koordinierten Verben (kommen sollst du zu den Priestern, den Leviten, und zu dem Richter, der sein wird in jenen Tagen; und fragen sollst du, und verkünden werden sie dir den Urteilsspruch).</w:t>
      </w:r>
    </w:p>
    <w:p w14:paraId="2929C357" w14:textId="77777777" w:rsidR="00C90AB0" w:rsidRDefault="00C90AB0" w:rsidP="00C90AB0">
      <w:pPr>
        <w:pStyle w:val="whitespace-normal"/>
      </w:pPr>
      <w:r>
        <w:t>Der Vers bestimmt: Gehe zum zentralen Heiligtum zu den levitischen Priestern und dem amtierenden Richter – frage sie, und sie werden dir das Urteil mitteilen.</w:t>
      </w:r>
    </w:p>
    <w:p w14:paraId="4237B281"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17,10</w:t>
      </w:r>
    </w:p>
    <w:p w14:paraId="6DC7C6CB" w14:textId="77777777" w:rsidR="00C90AB0" w:rsidRDefault="00C90AB0" w:rsidP="00C90AB0">
      <w:pPr>
        <w:pStyle w:val="whitespace-normal"/>
      </w:pPr>
      <w:r>
        <w:rPr>
          <w:rStyle w:val="Fett"/>
          <w:rFonts w:eastAsiaTheme="majorEastAsia"/>
        </w:rPr>
        <w:t>Hebräisch:</w:t>
      </w:r>
      <w:r>
        <w:t xml:space="preserve"> </w:t>
      </w:r>
      <w:r>
        <w:rPr>
          <w:rtl/>
        </w:rPr>
        <w:t>וְעָשִׂ֗יתָ עַל־פִּ֤י הַדָּבָר֙ אֲשֶׁ֣ר יַגִּ֣ידֽוּ לְךָ֔ מִן־הַמָּק֣וֹם הַה֔וּא אֲשֶׁ֖ר יִבְחַ֣ר יְהוָ֑ה וְשָׁמַרְתָּ֣ לַעֲשׂ֔וֹת כְּכֹ֖ל אֲשֶׁ֥ר יוֹרֽוּךָ׃</w:t>
      </w:r>
    </w:p>
    <w:p w14:paraId="242241F9" w14:textId="77777777" w:rsidR="00C90AB0" w:rsidRDefault="00C90AB0" w:rsidP="00C90AB0">
      <w:pPr>
        <w:pStyle w:val="whitespace-normal"/>
      </w:pPr>
      <w:r>
        <w:rPr>
          <w:rStyle w:val="Fett"/>
          <w:rFonts w:eastAsiaTheme="majorEastAsia"/>
        </w:rPr>
        <w:t>Deutsch:</w:t>
      </w:r>
      <w:r>
        <w:t xml:space="preserve"> Und du sollst tun nach dem Ausspruch, den sie dir verkünden werden von jenem Ort aus, den der Ewige erwählen wird, und sollst darauf achten, zu tun nach allem, was sie dich lehren werden.</w:t>
      </w:r>
    </w:p>
    <w:p w14:paraId="5149BA68" w14:textId="77777777" w:rsidR="00C90AB0" w:rsidRDefault="004F5CEB" w:rsidP="00C90AB0">
      <w:r>
        <w:rPr>
          <w:noProof/>
        </w:rPr>
        <w:pict w14:anchorId="146CE682">
          <v:rect id="_x0000_i1499" style="width:0;height:1.5pt" o:hralign="center" o:hrstd="t" o:hr="t" fillcolor="#a0a0a0" stroked="f"/>
        </w:pict>
      </w:r>
    </w:p>
    <w:p w14:paraId="14811687"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וְעָשִׂיתָ עַל־פִּי הַדָּבָר אֲשֶׁר יַגִּידוּ לְךָ מִן־הַמָּקוֹם הַהוּא אֲשֶׁר יִבְחַר יְהוָה</w:t>
      </w:r>
      <w:r>
        <w:rPr>
          <w:rtl/>
        </w:rPr>
        <w:t xml:space="preserve"> </w:t>
      </w:r>
      <w:r>
        <w:t xml:space="preserve">ist ein Imperativsatz: </w:t>
      </w:r>
      <w:r>
        <w:rPr>
          <w:rStyle w:val="Fett"/>
          <w:rFonts w:eastAsiaTheme="majorEastAsia"/>
          <w:rtl/>
        </w:rPr>
        <w:t>וְעָשִׂיתָ</w:t>
      </w:r>
      <w:r>
        <w:rPr>
          <w:rtl/>
        </w:rPr>
        <w:t xml:space="preserve"> </w:t>
      </w:r>
      <w:r>
        <w:t xml:space="preserve">(Qal Perfekt, 2. Person Maskulinum Singular von </w:t>
      </w:r>
      <w:r>
        <w:rPr>
          <w:rStyle w:val="Fett"/>
          <w:rFonts w:eastAsiaTheme="majorEastAsia"/>
          <w:rtl/>
        </w:rPr>
        <w:t>עשׂה</w:t>
      </w:r>
      <w:r>
        <w:t xml:space="preserve">, „tun, machen", imperativisch), </w:t>
      </w:r>
      <w:r>
        <w:rPr>
          <w:rStyle w:val="Fett"/>
          <w:rFonts w:eastAsiaTheme="majorEastAsia"/>
          <w:rtl/>
        </w:rPr>
        <w:t>עַל־פִּי הַדָּבָר</w:t>
      </w:r>
      <w:r>
        <w:rPr>
          <w:rtl/>
        </w:rPr>
        <w:t xml:space="preserve"> </w:t>
      </w:r>
      <w:r>
        <w:t xml:space="preserve">(Präposition </w:t>
      </w:r>
      <w:r>
        <w:rPr>
          <w:rStyle w:val="Fett"/>
          <w:rFonts w:eastAsiaTheme="majorEastAsia"/>
          <w:rtl/>
        </w:rPr>
        <w:t>עַל</w:t>
      </w:r>
      <w:r>
        <w:rPr>
          <w:rtl/>
        </w:rPr>
        <w:t xml:space="preserve"> </w:t>
      </w:r>
      <w:r>
        <w:t xml:space="preserve">mit </w:t>
      </w:r>
      <w:r>
        <w:rPr>
          <w:rStyle w:val="Fett"/>
          <w:rFonts w:eastAsiaTheme="majorEastAsia"/>
          <w:rtl/>
        </w:rPr>
        <w:t>פֶּה</w:t>
      </w:r>
      <w:r>
        <w:t xml:space="preserve">, Construct, „auf, nach", mit </w:t>
      </w:r>
      <w:r>
        <w:rPr>
          <w:rStyle w:val="Fett"/>
          <w:rFonts w:eastAsiaTheme="majorEastAsia"/>
          <w:rtl/>
        </w:rPr>
        <w:t>דָּבָר</w:t>
      </w:r>
      <w:r>
        <w:t xml:space="preserve">, „Wort, Ausspruch", mit Artikel, „nach dem Ausspruch"), </w:t>
      </w:r>
      <w:r>
        <w:rPr>
          <w:rStyle w:val="Fett"/>
          <w:rFonts w:eastAsiaTheme="majorEastAsia"/>
          <w:rtl/>
        </w:rPr>
        <w:t>אֲשֶׁר יַגִּידוּ לְךָ</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נגד</w:t>
      </w:r>
      <w:r>
        <w:t xml:space="preserve">, Hiphil Imperfekt, 3. Person Plural, „verkünden", mit </w:t>
      </w:r>
      <w:r>
        <w:rPr>
          <w:rStyle w:val="Fett"/>
          <w:rFonts w:eastAsiaTheme="majorEastAsia"/>
          <w:rtl/>
        </w:rPr>
        <w:t>לְךָ</w:t>
      </w:r>
      <w:r>
        <w:t xml:space="preserve">, „den sie dir verkünden werden"), </w:t>
      </w:r>
      <w:r>
        <w:rPr>
          <w:rStyle w:val="Fett"/>
          <w:rFonts w:eastAsiaTheme="majorEastAsia"/>
          <w:rtl/>
        </w:rPr>
        <w:t>מִן־הַמָּקוֹם הַהוּא אֲשֶׁר יִבְחַר יְהוָה</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מָקוֹם</w:t>
      </w:r>
      <w:r>
        <w:rPr>
          <w:rtl/>
        </w:rPr>
        <w:t xml:space="preserve"> </w:t>
      </w:r>
      <w:r>
        <w:t xml:space="preserve">mit Artikel und Demonstrativpronomen </w:t>
      </w:r>
      <w:r>
        <w:rPr>
          <w:rStyle w:val="Fett"/>
          <w:rFonts w:eastAsiaTheme="majorEastAsia"/>
          <w:rtl/>
        </w:rPr>
        <w:t>הוּא</w:t>
      </w:r>
      <w:r>
        <w:t xml:space="preserve">, Relativsatz: </w:t>
      </w:r>
      <w:r>
        <w:rPr>
          <w:rStyle w:val="Fett"/>
          <w:rFonts w:eastAsiaTheme="majorEastAsia"/>
          <w:rtl/>
        </w:rPr>
        <w:t>אֲשֶׁר יִבְחַר יְהוָה</w:t>
      </w:r>
      <w:r>
        <w:t>, „von jenem Ort aus, den JHWH erwählen wird").</w:t>
      </w:r>
    </w:p>
    <w:p w14:paraId="3749FE5A" w14:textId="77777777" w:rsidR="00C90AB0" w:rsidRDefault="00C90AB0" w:rsidP="00C90AB0">
      <w:pPr>
        <w:pStyle w:val="whitespace-normal"/>
      </w:pPr>
      <w:r>
        <w:rPr>
          <w:rStyle w:val="Fett"/>
          <w:rFonts w:eastAsiaTheme="majorEastAsia"/>
          <w:rtl/>
        </w:rPr>
        <w:t>וְשָׁמַרְתָּ לַעֲשׂוֹת כְּכֹל אֲשֶׁר יוֹרוּךָ</w:t>
      </w:r>
      <w:r>
        <w:rPr>
          <w:rtl/>
        </w:rPr>
        <w:t xml:space="preserve"> </w:t>
      </w:r>
      <w:r>
        <w:t xml:space="preserve">ist ein zweiter koordinierter Imperativ: </w:t>
      </w:r>
      <w:r>
        <w:rPr>
          <w:rStyle w:val="Fett"/>
          <w:rFonts w:eastAsiaTheme="majorEastAsia"/>
          <w:rtl/>
        </w:rPr>
        <w:t>וְשָׁמַרְתָּ</w:t>
      </w:r>
      <w:r>
        <w:rPr>
          <w:rtl/>
        </w:rPr>
        <w:t xml:space="preserve"> </w:t>
      </w:r>
      <w:r>
        <w:t xml:space="preserve">(Qal Perfekt, 2. Person Maskulinum Singular von </w:t>
      </w:r>
      <w:r>
        <w:rPr>
          <w:rStyle w:val="Fett"/>
          <w:rFonts w:eastAsiaTheme="majorEastAsia"/>
          <w:rtl/>
        </w:rPr>
        <w:t>שׁמר</w:t>
      </w:r>
      <w:r>
        <w:t xml:space="preserve">, „bewahren, beachten, achten", imperativisch), </w:t>
      </w:r>
      <w:r>
        <w:rPr>
          <w:rStyle w:val="Fett"/>
          <w:rFonts w:eastAsiaTheme="majorEastAsia"/>
          <w:rtl/>
        </w:rPr>
        <w:t>לַעֲשׂוֹת</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עשׂה</w:t>
      </w:r>
      <w:r>
        <w:t xml:space="preserve">, „tun"), </w:t>
      </w:r>
      <w:r>
        <w:rPr>
          <w:rStyle w:val="Fett"/>
          <w:rFonts w:eastAsiaTheme="majorEastAsia"/>
          <w:rtl/>
        </w:rPr>
        <w:t>כְּכֹל אֲשֶׁר יוֹרוּךָ</w:t>
      </w:r>
      <w:r>
        <w:rPr>
          <w:rtl/>
        </w:rPr>
        <w:t xml:space="preserve"> </w:t>
      </w:r>
      <w:r>
        <w:t xml:space="preserve">(Präposition </w:t>
      </w:r>
      <w:r>
        <w:rPr>
          <w:rStyle w:val="Fett"/>
          <w:rFonts w:eastAsiaTheme="majorEastAsia"/>
          <w:rtl/>
        </w:rPr>
        <w:t>כְּ</w:t>
      </w:r>
      <w:r>
        <w:t xml:space="preserve">, „wie, gemäß", mit </w:t>
      </w:r>
      <w:r>
        <w:rPr>
          <w:rStyle w:val="Fett"/>
          <w:rFonts w:eastAsiaTheme="majorEastAsia"/>
          <w:rtl/>
        </w:rPr>
        <w:t>כֹּל</w:t>
      </w:r>
      <w:r>
        <w:t xml:space="preserve">, „alles", Relativsatz: </w:t>
      </w:r>
      <w:r>
        <w:rPr>
          <w:rStyle w:val="Fett"/>
          <w:rFonts w:eastAsiaTheme="majorEastAsia"/>
          <w:rtl/>
        </w:rPr>
        <w:t>אֲשֶׁר</w:t>
      </w:r>
      <w:r>
        <w:rPr>
          <w:rtl/>
        </w:rPr>
        <w:t xml:space="preserve"> </w:t>
      </w:r>
      <w:r>
        <w:t xml:space="preserve">mit </w:t>
      </w:r>
      <w:r>
        <w:rPr>
          <w:rStyle w:val="Fett"/>
          <w:rFonts w:eastAsiaTheme="majorEastAsia"/>
          <w:rtl/>
        </w:rPr>
        <w:t>ירה</w:t>
      </w:r>
      <w:r>
        <w:t>, Hiphil Imperfekt, 3. Person Plural, „unterweisen, lehren", mit Suffix 2. Person Maskulinum Singular, „was sie dich lehren werden").</w:t>
      </w:r>
    </w:p>
    <w:p w14:paraId="2CAF9D36" w14:textId="5355863A" w:rsidR="00C90AB0" w:rsidRDefault="00C90AB0" w:rsidP="00C90AB0">
      <w:pPr>
        <w:pStyle w:val="whitespace-normal"/>
      </w:pPr>
      <w:r>
        <w:lastRenderedPageBreak/>
        <w:t xml:space="preserve">Die doppelte Formulierung </w:t>
      </w:r>
      <w:r>
        <w:rPr>
          <w:rStyle w:val="Fett"/>
          <w:rFonts w:eastAsiaTheme="majorEastAsia"/>
          <w:rtl/>
        </w:rPr>
        <w:t>וְעָשִׂיתָ... וְשָׁמַרְתָּ לַעֲשׂוֹת</w:t>
      </w:r>
      <w:r>
        <w:rPr>
          <w:rtl/>
        </w:rPr>
        <w:t xml:space="preserve"> </w:t>
      </w:r>
      <w:r>
        <w:t xml:space="preserve">(„du sollst tun... du sollst achten zu tun") betont die Verpflichtung zur Befolgung. Das Verb </w:t>
      </w:r>
      <w:r>
        <w:rPr>
          <w:rStyle w:val="Fett"/>
          <w:rFonts w:eastAsiaTheme="majorEastAsia"/>
          <w:rtl/>
        </w:rPr>
        <w:t>ירה</w:t>
      </w:r>
      <w:r>
        <w:rPr>
          <w:rtl/>
        </w:rPr>
        <w:t xml:space="preserve"> </w:t>
      </w:r>
      <w:r>
        <w:t xml:space="preserve">im Hiphil („unterweisen, lehren") ist die Wurzel von </w:t>
      </w:r>
      <w:r>
        <w:rPr>
          <w:rStyle w:val="Fett"/>
          <w:rFonts w:eastAsiaTheme="majorEastAsia"/>
          <w:rtl/>
        </w:rPr>
        <w:t>תּוֹרָה</w:t>
      </w:r>
      <w:r>
        <w:rPr>
          <w:rtl/>
        </w:rPr>
        <w:t xml:space="preserve"> </w:t>
      </w:r>
      <w:r>
        <w:t>(</w:t>
      </w:r>
      <w:r w:rsidR="006D3FED">
        <w:t>Torah</w:t>
      </w:r>
      <w:r>
        <w:t xml:space="preserve">) – das Gericht am Heiligtum hat lehramtliche Autorität (vgl. 24,8; 33,10; </w:t>
      </w:r>
      <w:r w:rsidR="00664EB6">
        <w:t>Lev</w:t>
      </w:r>
      <w:r>
        <w:t xml:space="preserve"> 10,11; 14,57; Hos 4,6; Mi 3,11; Hab 2,19; Zeph 3,4; Hag 2,11; Mal 2,7).</w:t>
      </w:r>
    </w:p>
    <w:p w14:paraId="289E13B1" w14:textId="54DC438E" w:rsidR="00E80EEB" w:rsidRDefault="00E80EEB" w:rsidP="00C90AB0">
      <w:pPr>
        <w:pStyle w:val="whitespace-normal"/>
      </w:pPr>
      <w:r>
        <w:rPr>
          <w:rStyle w:val="Fett"/>
        </w:rPr>
        <w:t>Die LXX</w:t>
      </w:r>
      <w:r>
        <w:t xml:space="preserve"> übersetzt </w:t>
      </w:r>
      <w:r w:rsidRPr="00E80EEB">
        <w:rPr>
          <w:b/>
          <w:bCs/>
          <w:rtl/>
        </w:rPr>
        <w:t>יוֹרוּךָ</w:t>
      </w:r>
      <w:r>
        <w:t xml:space="preserve"> (sie werden dich unterweisen) mit </w:t>
      </w:r>
      <w:proofErr w:type="spellStart"/>
      <w:r>
        <w:t>νομοθετηθῇ</w:t>
      </w:r>
      <w:proofErr w:type="spellEnd"/>
      <w:r>
        <w:t xml:space="preserve"> </w:t>
      </w:r>
      <w:proofErr w:type="spellStart"/>
      <w:r>
        <w:t>σοι</w:t>
      </w:r>
      <w:proofErr w:type="spellEnd"/>
      <w:r>
        <w:t xml:space="preserve"> (dir gesetzlich verordnet wird) – eine stärkere rechtliche Terminologie, die das Element der Gesetzgebung betont.</w:t>
      </w:r>
    </w:p>
    <w:p w14:paraId="682EE446" w14:textId="77777777" w:rsidR="00C90AB0" w:rsidRDefault="00C90AB0" w:rsidP="00C90AB0">
      <w:pPr>
        <w:pStyle w:val="whitespace-normal"/>
      </w:pPr>
      <w:r>
        <w:rPr>
          <w:rStyle w:val="Fett"/>
          <w:rFonts w:eastAsiaTheme="majorEastAsia"/>
        </w:rPr>
        <w:t>Die Satzstruktur:</w:t>
      </w:r>
      <w:r>
        <w:t xml:space="preserve"> Zwei koordinierte Imperative (tun sollst du nach dem Ausspruch, den verkünden werden sie dir von jenem Ort aus, den erwählen wird JHWH; und achten sollst du zu tun gemäß allem, was lehren werden sie dich).</w:t>
      </w:r>
    </w:p>
    <w:p w14:paraId="69F85274" w14:textId="77777777" w:rsidR="00C90AB0" w:rsidRDefault="00C90AB0" w:rsidP="00C90AB0">
      <w:pPr>
        <w:pStyle w:val="whitespace-normal"/>
      </w:pPr>
      <w:r>
        <w:t>Der Vers verpflichtet: Handle genau nach dem Urteil vom zentralen Heiligtum und achte darauf, alles zu befolgen, was sie dich lehren.</w:t>
      </w:r>
    </w:p>
    <w:p w14:paraId="76802419"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17,11</w:t>
      </w:r>
    </w:p>
    <w:p w14:paraId="2CF5CBDE" w14:textId="77777777" w:rsidR="00C90AB0" w:rsidRDefault="00C90AB0" w:rsidP="00C90AB0">
      <w:pPr>
        <w:pStyle w:val="whitespace-normal"/>
      </w:pPr>
      <w:r>
        <w:rPr>
          <w:rStyle w:val="Fett"/>
          <w:rFonts w:eastAsiaTheme="majorEastAsia"/>
        </w:rPr>
        <w:t>Hebräisch:</w:t>
      </w:r>
      <w:r>
        <w:t xml:space="preserve"> </w:t>
      </w:r>
      <w:r>
        <w:rPr>
          <w:rtl/>
        </w:rPr>
        <w:t>עַל־פִּ֨י הַתּוֹרָ֜ה אֲשֶׁ֣ר יוֹר֗וּךָ וְעַל־הַמִּשְׁפָּ֛ט אֲשֶׁר־יֹאמְר֥וּ לְךָ֖ תַּעֲשֶׂ֑ה לֹ֣א תָס֗וּר מִן־הַדָּבָ֛ר אֲשֶׁר־יַגִּ֥ידֽוּ לְךָ֖ יָמִ֥ין וּשְׂמֹֽאל׃</w:t>
      </w:r>
    </w:p>
    <w:p w14:paraId="6C9AD5FE" w14:textId="746364C4" w:rsidR="00C90AB0" w:rsidRDefault="00C90AB0" w:rsidP="00C90AB0">
      <w:pPr>
        <w:pStyle w:val="whitespace-normal"/>
      </w:pPr>
      <w:r>
        <w:rPr>
          <w:rStyle w:val="Fett"/>
          <w:rFonts w:eastAsiaTheme="majorEastAsia"/>
        </w:rPr>
        <w:t>Deutsch:</w:t>
      </w:r>
      <w:r>
        <w:t xml:space="preserve"> Nach dem Wort der </w:t>
      </w:r>
      <w:r w:rsidR="001E0205">
        <w:t>Torah</w:t>
      </w:r>
      <w:r>
        <w:t>, das sie dich lehren werden, und nach dem Recht, das sie dir sagen werden, sollst du tun; du sollst nicht abweichen von dem Wort, das sie dir mitteilen werden, weder zur Rechten noch zur Linken.</w:t>
      </w:r>
    </w:p>
    <w:p w14:paraId="0B106305" w14:textId="77777777" w:rsidR="00C90AB0" w:rsidRDefault="004F5CEB" w:rsidP="00C90AB0">
      <w:r>
        <w:rPr>
          <w:noProof/>
        </w:rPr>
        <w:pict w14:anchorId="30D3D2BC">
          <v:rect id="_x0000_i1500" style="width:0;height:1.5pt" o:hralign="center" o:hrstd="t" o:hr="t" fillcolor="#a0a0a0" stroked="f"/>
        </w:pict>
      </w:r>
    </w:p>
    <w:p w14:paraId="0EB3601B" w14:textId="4DB212C0" w:rsidR="00C90AB0" w:rsidRDefault="00C90AB0" w:rsidP="00C90AB0">
      <w:pPr>
        <w:pStyle w:val="whitespace-normal"/>
      </w:pPr>
      <w:r>
        <w:rPr>
          <w:rStyle w:val="Fett"/>
          <w:rFonts w:eastAsiaTheme="majorEastAsia"/>
        </w:rPr>
        <w:t>Kommentar:</w:t>
      </w:r>
      <w:r>
        <w:t xml:space="preserve"> </w:t>
      </w:r>
      <w:r>
        <w:rPr>
          <w:rStyle w:val="Fett"/>
          <w:rFonts w:eastAsiaTheme="majorEastAsia"/>
          <w:rtl/>
        </w:rPr>
        <w:t>עַל־פִּי הַתּוֹרָה אֲשֶׁר יוֹרוּךָ וְעַל־הַמִּשְׁפָּט אֲשֶׁר־יֹאמְרוּ לְךָ תַּעֲשֶׂה</w:t>
      </w:r>
      <w:r>
        <w:rPr>
          <w:rtl/>
        </w:rPr>
        <w:t xml:space="preserve"> </w:t>
      </w:r>
      <w:r>
        <w:t xml:space="preserve">ist ein Imperativsatz mit doppelter Bestimmung: </w:t>
      </w:r>
      <w:r>
        <w:rPr>
          <w:rStyle w:val="Fett"/>
          <w:rFonts w:eastAsiaTheme="majorEastAsia"/>
          <w:rtl/>
        </w:rPr>
        <w:t>עַל־פִּי הַתּוֹרָה</w:t>
      </w:r>
      <w:r>
        <w:rPr>
          <w:rtl/>
        </w:rPr>
        <w:t xml:space="preserve"> </w:t>
      </w:r>
      <w:r>
        <w:t xml:space="preserve">(Präposition </w:t>
      </w:r>
      <w:r>
        <w:rPr>
          <w:rStyle w:val="Fett"/>
          <w:rFonts w:eastAsiaTheme="majorEastAsia"/>
          <w:rtl/>
        </w:rPr>
        <w:t>עַל</w:t>
      </w:r>
      <w:r>
        <w:rPr>
          <w:rtl/>
        </w:rPr>
        <w:t xml:space="preserve"> </w:t>
      </w:r>
      <w:r>
        <w:t xml:space="preserve">mit </w:t>
      </w:r>
      <w:r>
        <w:rPr>
          <w:rStyle w:val="Fett"/>
          <w:rFonts w:eastAsiaTheme="majorEastAsia"/>
          <w:rtl/>
        </w:rPr>
        <w:t>פֶּה</w:t>
      </w:r>
      <w:r>
        <w:t xml:space="preserve">, Construct, „nach", mit </w:t>
      </w:r>
      <w:r>
        <w:rPr>
          <w:rStyle w:val="Fett"/>
          <w:rFonts w:eastAsiaTheme="majorEastAsia"/>
          <w:rtl/>
        </w:rPr>
        <w:t>תּוֹרָה</w:t>
      </w:r>
      <w:r>
        <w:t>, „</w:t>
      </w:r>
      <w:r w:rsidR="006D3FED">
        <w:t>Torah</w:t>
      </w:r>
      <w:r>
        <w:t xml:space="preserve">, Weisung, Lehre", mit Artikel), </w:t>
      </w:r>
      <w:r>
        <w:rPr>
          <w:rStyle w:val="Fett"/>
          <w:rFonts w:eastAsiaTheme="majorEastAsia"/>
          <w:rtl/>
        </w:rPr>
        <w:t>אֲשֶׁר יוֹרוּךָ</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ירה</w:t>
      </w:r>
      <w:r>
        <w:t xml:space="preserve">, Hiphil Imperfekt, 3. Person Plural, „lehren", mit Suffix 2. Person Maskulinum Singular), </w:t>
      </w:r>
      <w:r>
        <w:rPr>
          <w:rStyle w:val="Fett"/>
          <w:rFonts w:eastAsiaTheme="majorEastAsia"/>
          <w:rtl/>
        </w:rPr>
        <w:t>וְעַל־הַמִּשְׁפָּט אֲשֶׁר־יֹאמְרוּ לְךָ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עַל־פִּי</w:t>
      </w:r>
      <w:r>
        <w:rPr>
          <w:rtl/>
        </w:rPr>
        <w:t xml:space="preserve"> </w:t>
      </w:r>
      <w:r>
        <w:t xml:space="preserve">mit </w:t>
      </w:r>
      <w:r>
        <w:rPr>
          <w:rStyle w:val="Fett"/>
          <w:rFonts w:eastAsiaTheme="majorEastAsia"/>
          <w:rtl/>
        </w:rPr>
        <w:t>מִשְׁפָּט</w:t>
      </w:r>
      <w:r>
        <w:t xml:space="preserve">, „Recht, Urteil", mit Artikel, Relativsatz: </w:t>
      </w:r>
      <w:r>
        <w:rPr>
          <w:rStyle w:val="Fett"/>
          <w:rFonts w:eastAsiaTheme="majorEastAsia"/>
          <w:rtl/>
        </w:rPr>
        <w:t>אֲשֶׁר־יֹאמְרוּ לְךָ</w:t>
      </w:r>
      <w:r>
        <w:t xml:space="preserve">, </w:t>
      </w:r>
      <w:r>
        <w:rPr>
          <w:rStyle w:val="Fett"/>
          <w:rFonts w:eastAsiaTheme="majorEastAsia"/>
          <w:rtl/>
        </w:rPr>
        <w:t>אמר</w:t>
      </w:r>
      <w:r>
        <w:t xml:space="preserve">, Qal Imperfekt, 3. Person Plural, „sagen"), </w:t>
      </w:r>
      <w:r>
        <w:rPr>
          <w:rStyle w:val="Fett"/>
          <w:rFonts w:eastAsiaTheme="majorEastAsia"/>
          <w:rtl/>
        </w:rPr>
        <w:t>תַּעֲשֶׂה</w:t>
      </w:r>
      <w:r>
        <w:rPr>
          <w:rtl/>
        </w:rPr>
        <w:t xml:space="preserve"> </w:t>
      </w:r>
      <w:r>
        <w:t xml:space="preserve">(Qal Imperfekt, 2. Person Maskulinum Singular von </w:t>
      </w:r>
      <w:r>
        <w:rPr>
          <w:rStyle w:val="Fett"/>
          <w:rFonts w:eastAsiaTheme="majorEastAsia"/>
          <w:rtl/>
        </w:rPr>
        <w:t>עשׂה</w:t>
      </w:r>
      <w:r>
        <w:t>, „tun").</w:t>
      </w:r>
    </w:p>
    <w:p w14:paraId="127AA282" w14:textId="77777777" w:rsidR="00C90AB0" w:rsidRDefault="00C90AB0" w:rsidP="00C90AB0">
      <w:pPr>
        <w:pStyle w:val="whitespace-normal"/>
      </w:pPr>
      <w:r>
        <w:rPr>
          <w:rStyle w:val="Fett"/>
          <w:rFonts w:eastAsiaTheme="majorEastAsia"/>
          <w:rtl/>
        </w:rPr>
        <w:t>לֹא תָסוּר מִן־הַדָּבָר אֲשֶׁר־יַגִּידוּ לְךָ יָמִין וּשְׂמֹאל</w:t>
      </w:r>
      <w:r>
        <w:rPr>
          <w:rtl/>
        </w:rPr>
        <w:t xml:space="preserve"> </w:t>
      </w:r>
      <w:r>
        <w:t xml:space="preserve">ist der negative Imperativ: </w:t>
      </w:r>
      <w:r>
        <w:rPr>
          <w:rStyle w:val="Fett"/>
          <w:rFonts w:eastAsiaTheme="majorEastAsia"/>
          <w:rtl/>
        </w:rPr>
        <w:t>לֹא תָסוּר</w:t>
      </w:r>
      <w:r>
        <w:rPr>
          <w:rtl/>
        </w:rPr>
        <w:t xml:space="preserve"> </w:t>
      </w:r>
      <w:r>
        <w:t xml:space="preserve">(Negation mit </w:t>
      </w:r>
      <w:r>
        <w:rPr>
          <w:rStyle w:val="Fett"/>
          <w:rFonts w:eastAsiaTheme="majorEastAsia"/>
          <w:rtl/>
        </w:rPr>
        <w:t>סור</w:t>
      </w:r>
      <w:r>
        <w:t xml:space="preserve">, Qal Imperfekt, 2. Person Maskulinum Singular, „abweichen, sich abwenden"), </w:t>
      </w:r>
      <w:r>
        <w:rPr>
          <w:rStyle w:val="Fett"/>
          <w:rFonts w:eastAsiaTheme="majorEastAsia"/>
          <w:rtl/>
        </w:rPr>
        <w:t>מִן־הַדָּבָר</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דָּבָר</w:t>
      </w:r>
      <w:r>
        <w:t xml:space="preserve">, „Wort, Sache", mit Artikel, „von dem Wort"), </w:t>
      </w:r>
      <w:r>
        <w:rPr>
          <w:rStyle w:val="Fett"/>
          <w:rFonts w:eastAsiaTheme="majorEastAsia"/>
          <w:rtl/>
        </w:rPr>
        <w:t>אֲשֶׁר־יַגִּידוּ לְךָ</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נגד</w:t>
      </w:r>
      <w:r>
        <w:t xml:space="preserve">, Hiphil Imperfekt, 3. Person Plural, „mitteilen", mit </w:t>
      </w:r>
      <w:r>
        <w:rPr>
          <w:rStyle w:val="Fett"/>
          <w:rFonts w:eastAsiaTheme="majorEastAsia"/>
          <w:rtl/>
        </w:rPr>
        <w:t>לְךָ</w:t>
      </w:r>
      <w:r>
        <w:t xml:space="preserve">), </w:t>
      </w:r>
      <w:r>
        <w:rPr>
          <w:rStyle w:val="Fett"/>
          <w:rFonts w:eastAsiaTheme="majorEastAsia"/>
          <w:rtl/>
        </w:rPr>
        <w:t>יָמִין וּשְׂמֹאל</w:t>
      </w:r>
      <w:r>
        <w:rPr>
          <w:rtl/>
        </w:rPr>
        <w:t xml:space="preserve"> </w:t>
      </w:r>
      <w:r>
        <w:t>(</w:t>
      </w:r>
      <w:r>
        <w:rPr>
          <w:rStyle w:val="Fett"/>
          <w:rFonts w:eastAsiaTheme="majorEastAsia"/>
          <w:rtl/>
        </w:rPr>
        <w:t>יָמִין</w:t>
      </w:r>
      <w:r>
        <w:t xml:space="preserve">, „rechts, Rechte", koordiniert durch </w:t>
      </w:r>
      <w:r>
        <w:rPr>
          <w:rStyle w:val="Fett"/>
          <w:rFonts w:eastAsiaTheme="majorEastAsia"/>
          <w:rtl/>
        </w:rPr>
        <w:t>וּ</w:t>
      </w:r>
      <w:r>
        <w:rPr>
          <w:rtl/>
        </w:rPr>
        <w:t xml:space="preserve"> </w:t>
      </w:r>
      <w:r>
        <w:t xml:space="preserve">mit </w:t>
      </w:r>
      <w:r>
        <w:rPr>
          <w:rStyle w:val="Fett"/>
          <w:rFonts w:eastAsiaTheme="majorEastAsia"/>
          <w:rtl/>
        </w:rPr>
        <w:t>שְׂמֹאל</w:t>
      </w:r>
      <w:r>
        <w:t>, „links, Linke").</w:t>
      </w:r>
    </w:p>
    <w:p w14:paraId="05B91FA2" w14:textId="0C697DDE" w:rsidR="00C90AB0" w:rsidRDefault="00C90AB0" w:rsidP="00C90AB0">
      <w:pPr>
        <w:pStyle w:val="whitespace-normal"/>
      </w:pPr>
      <w:r>
        <w:t xml:space="preserve">Die Unterscheidung zwischen </w:t>
      </w:r>
      <w:r>
        <w:rPr>
          <w:rStyle w:val="Fett"/>
          <w:rFonts w:eastAsiaTheme="majorEastAsia"/>
          <w:rtl/>
        </w:rPr>
        <w:t>תּוֹרָה</w:t>
      </w:r>
      <w:r>
        <w:rPr>
          <w:rtl/>
        </w:rPr>
        <w:t xml:space="preserve"> </w:t>
      </w:r>
      <w:r>
        <w:t>(„</w:t>
      </w:r>
      <w:r w:rsidR="006D3FED">
        <w:t>Torah</w:t>
      </w:r>
      <w:r>
        <w:t xml:space="preserve">, Lehre") und </w:t>
      </w:r>
      <w:r>
        <w:rPr>
          <w:rStyle w:val="Fett"/>
          <w:rFonts w:eastAsiaTheme="majorEastAsia"/>
          <w:rtl/>
        </w:rPr>
        <w:t>מִשְׁפָּט</w:t>
      </w:r>
      <w:r>
        <w:rPr>
          <w:rtl/>
        </w:rPr>
        <w:t xml:space="preserve"> </w:t>
      </w:r>
      <w:r>
        <w:t xml:space="preserve">(„Recht, Urteil") könnte bedeuten: (1) </w:t>
      </w:r>
      <w:r>
        <w:rPr>
          <w:rStyle w:val="Fett"/>
          <w:rFonts w:eastAsiaTheme="majorEastAsia"/>
          <w:rtl/>
        </w:rPr>
        <w:t>תּוֹרָה</w:t>
      </w:r>
      <w:r>
        <w:rPr>
          <w:rtl/>
        </w:rPr>
        <w:t xml:space="preserve"> </w:t>
      </w:r>
      <w:r>
        <w:t xml:space="preserve">= grundsätzliche religiöse Weisung, </w:t>
      </w:r>
      <w:r>
        <w:rPr>
          <w:rStyle w:val="Fett"/>
          <w:rFonts w:eastAsiaTheme="majorEastAsia"/>
          <w:rtl/>
        </w:rPr>
        <w:t>מִשְׁפָּט</w:t>
      </w:r>
      <w:r>
        <w:rPr>
          <w:rtl/>
        </w:rPr>
        <w:t xml:space="preserve"> </w:t>
      </w:r>
      <w:r>
        <w:t xml:space="preserve">= konkretes Urteil im Einzelfall; oder (2) </w:t>
      </w:r>
      <w:r>
        <w:rPr>
          <w:rStyle w:val="Fett"/>
          <w:rFonts w:eastAsiaTheme="majorEastAsia"/>
          <w:rtl/>
        </w:rPr>
        <w:t>תּוֹרָה</w:t>
      </w:r>
      <w:r>
        <w:rPr>
          <w:rtl/>
        </w:rPr>
        <w:t xml:space="preserve"> </w:t>
      </w:r>
      <w:r>
        <w:t xml:space="preserve">= Kompetenz der Priester, </w:t>
      </w:r>
      <w:r>
        <w:rPr>
          <w:rStyle w:val="Fett"/>
          <w:rFonts w:eastAsiaTheme="majorEastAsia"/>
          <w:rtl/>
        </w:rPr>
        <w:t>מִשְׁפָּט</w:t>
      </w:r>
      <w:r>
        <w:rPr>
          <w:rtl/>
        </w:rPr>
        <w:t xml:space="preserve"> </w:t>
      </w:r>
      <w:r>
        <w:t xml:space="preserve">= Kompetenz des Richters. Die Wendung </w:t>
      </w:r>
      <w:r>
        <w:rPr>
          <w:rStyle w:val="Fett"/>
          <w:rFonts w:eastAsiaTheme="majorEastAsia"/>
          <w:rtl/>
        </w:rPr>
        <w:t>לֹא תָסוּר... יָמִין וּשְׂמֹאל</w:t>
      </w:r>
      <w:r>
        <w:rPr>
          <w:rtl/>
        </w:rPr>
        <w:t xml:space="preserve"> </w:t>
      </w:r>
      <w:r>
        <w:t xml:space="preserve">(„nicht abweichen... weder rechts noch links") ist eine charakteristische Formulierung für unbedingten Gehorsam (vgl. 5,32; 17,11.20; 28,14; Jos 1,7; 23,6; </w:t>
      </w:r>
      <w:r w:rsidR="00664EB6">
        <w:t>2Sam</w:t>
      </w:r>
      <w:r>
        <w:t xml:space="preserve"> 14,19; </w:t>
      </w:r>
      <w:r w:rsidR="00664EB6">
        <w:t>2Kön</w:t>
      </w:r>
      <w:r>
        <w:t xml:space="preserve"> 22,2; Spr 4,27).</w:t>
      </w:r>
    </w:p>
    <w:p w14:paraId="29FF4B7E" w14:textId="3223A99D" w:rsidR="00C90AB0" w:rsidRDefault="00C90AB0" w:rsidP="00C90AB0">
      <w:pPr>
        <w:pStyle w:val="whitespace-normal"/>
      </w:pPr>
      <w:r>
        <w:rPr>
          <w:rStyle w:val="Fett"/>
          <w:rFonts w:eastAsiaTheme="majorEastAsia"/>
        </w:rPr>
        <w:lastRenderedPageBreak/>
        <w:t>Die Satzstruktur:</w:t>
      </w:r>
      <w:r>
        <w:t xml:space="preserve"> Imperativsatz mit doppelter Bestimmung und negativer Imperativ (nach der </w:t>
      </w:r>
      <w:r w:rsidR="006D3FED">
        <w:t>Torah</w:t>
      </w:r>
      <w:r>
        <w:t>, die lehren werden sie dich, und nach dem Recht, das sagen werden sie dir, sollst du tun; nicht sollst du abweichen von dem Wort, das mitteilen werden sie dir, weder rechts noch links).</w:t>
      </w:r>
    </w:p>
    <w:p w14:paraId="41FFD8BF" w14:textId="272A8B62" w:rsidR="00C90AB0" w:rsidRDefault="00C90AB0" w:rsidP="00C90AB0">
      <w:pPr>
        <w:pStyle w:val="whitespace-normal"/>
      </w:pPr>
      <w:r>
        <w:t xml:space="preserve">Der Vers betont absolute Bindung: Handle nach der </w:t>
      </w:r>
      <w:r w:rsidR="006D3FED">
        <w:t>Torah</w:t>
      </w:r>
      <w:r>
        <w:t>-Weisung und dem Urteil, das sie dir geben – weiche kein bisschen davon ab.</w:t>
      </w:r>
    </w:p>
    <w:p w14:paraId="0F2AE52A"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17,12</w:t>
      </w:r>
    </w:p>
    <w:p w14:paraId="7BA6448F" w14:textId="77777777" w:rsidR="00C90AB0" w:rsidRDefault="00C90AB0" w:rsidP="00C90AB0">
      <w:pPr>
        <w:pStyle w:val="whitespace-normal"/>
      </w:pPr>
      <w:r>
        <w:rPr>
          <w:rStyle w:val="Fett"/>
          <w:rFonts w:eastAsiaTheme="majorEastAsia"/>
        </w:rPr>
        <w:t>Hebräisch:</w:t>
      </w:r>
      <w:r>
        <w:t xml:space="preserve"> </w:t>
      </w:r>
      <w:r>
        <w:rPr>
          <w:rtl/>
        </w:rPr>
        <w:t>וְהָאִ֞ישׁ אֲשֶׁר־יַעֲשֶׂ֣ה בְזָד֗וֹן לְבִלְתִּ֨י שְׁמֹ֤עַ אֶל־הַכֹּהֵן֙ הָעֹמֵ֞ד לְשָׁ֤רֶת שָׁם֙ אֶת־יְהוָ֣ה אֱלֹהֶ֔יךָ א֖וֹ אֶל־הַשֹּׁפֵ֑ט וּמֵת֙ הָאִ֣ישׁ הַה֔וּא וּבִֽעַרְתָּ֥ הָרָ֖ע מִיִּשְׂרָאֵֽל׃</w:t>
      </w:r>
    </w:p>
    <w:p w14:paraId="34A12D04" w14:textId="77777777" w:rsidR="00C90AB0" w:rsidRDefault="00C90AB0" w:rsidP="00C90AB0">
      <w:pPr>
        <w:pStyle w:val="whitespace-normal"/>
      </w:pPr>
      <w:r>
        <w:rPr>
          <w:rStyle w:val="Fett"/>
          <w:rFonts w:eastAsiaTheme="majorEastAsia"/>
        </w:rPr>
        <w:t>Deutsch:</w:t>
      </w:r>
      <w:r>
        <w:t xml:space="preserve"> Und der Mann, der in Vermessenheit handelt, indem er nicht auf den Priester hört, der dabei ist, dort dem Ewigen, deinem Gott, zu dienen, oder auf den Richter, dieser Mann soll sterben. Und du sollst das Böse aus Jisra'el beseitigen.</w:t>
      </w:r>
    </w:p>
    <w:p w14:paraId="2648D117" w14:textId="77777777" w:rsidR="00C90AB0" w:rsidRDefault="004F5CEB" w:rsidP="00C90AB0">
      <w:r>
        <w:rPr>
          <w:noProof/>
        </w:rPr>
        <w:pict w14:anchorId="4948310A">
          <v:rect id="_x0000_i1501" style="width:0;height:1.5pt" o:hralign="center" o:hrstd="t" o:hr="t" fillcolor="#a0a0a0" stroked="f"/>
        </w:pict>
      </w:r>
    </w:p>
    <w:p w14:paraId="528A22A4"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וְהָאִישׁ אֲשֶׁר־יַעֲשֶׂה בְזָדוֹן לְבִלְתִּי שְׁמֹעַ אֶל־הַכֹּהֵן הָעֹמֵד לְשָׁרֶת שָׁם אֶת־יְהוָה אֱלֹהֶיךָ אוֹ אֶל־הַשֹּׁפֵט</w:t>
      </w:r>
      <w:r>
        <w:rPr>
          <w:rtl/>
        </w:rPr>
        <w:t xml:space="preserve"> </w:t>
      </w:r>
      <w:r>
        <w:t xml:space="preserve">ist ein nominaler Satz: </w:t>
      </w:r>
      <w:r>
        <w:rPr>
          <w:rStyle w:val="Fett"/>
          <w:rFonts w:eastAsiaTheme="majorEastAsia"/>
          <w:rtl/>
        </w:rPr>
        <w:t>וְהָאִישׁ</w:t>
      </w:r>
      <w:r>
        <w:rPr>
          <w:rtl/>
        </w:rPr>
        <w:t xml:space="preserve"> </w:t>
      </w:r>
      <w:r>
        <w:t>(</w:t>
      </w:r>
      <w:r>
        <w:rPr>
          <w:rStyle w:val="Fett"/>
          <w:rFonts w:eastAsiaTheme="majorEastAsia"/>
          <w:rtl/>
        </w:rPr>
        <w:t>אִישׁ</w:t>
      </w:r>
      <w:r>
        <w:t xml:space="preserve">, „Mann", mit Artikel), </w:t>
      </w:r>
      <w:r>
        <w:rPr>
          <w:rStyle w:val="Fett"/>
          <w:rFonts w:eastAsiaTheme="majorEastAsia"/>
          <w:rtl/>
        </w:rPr>
        <w:t>אֲשֶׁר־יַעֲשֶׂה בְזָדוֹן</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עשׂה</w:t>
      </w:r>
      <w:r>
        <w:t xml:space="preserve">, Qal Imperfekt, 3. Person Maskulinum Singular, „tun, handeln", </w:t>
      </w:r>
      <w:r>
        <w:rPr>
          <w:rStyle w:val="Fett"/>
          <w:rFonts w:eastAsiaTheme="majorEastAsia"/>
          <w:rtl/>
        </w:rPr>
        <w:t>בְזָדוֹן</w:t>
      </w:r>
      <w:r>
        <w:t xml:space="preserve">, Präposition </w:t>
      </w:r>
      <w:r>
        <w:rPr>
          <w:rStyle w:val="Fett"/>
          <w:rFonts w:eastAsiaTheme="majorEastAsia"/>
          <w:rtl/>
        </w:rPr>
        <w:t>בְּ</w:t>
      </w:r>
      <w:r>
        <w:rPr>
          <w:rtl/>
        </w:rPr>
        <w:t xml:space="preserve"> </w:t>
      </w:r>
      <w:r>
        <w:t xml:space="preserve">mit </w:t>
      </w:r>
      <w:r>
        <w:rPr>
          <w:rStyle w:val="Fett"/>
          <w:rFonts w:eastAsiaTheme="majorEastAsia"/>
          <w:rtl/>
        </w:rPr>
        <w:t>זָדוֹן</w:t>
      </w:r>
      <w:r>
        <w:t xml:space="preserve">, „Vermessenheit, Überheblichkeit, absichtliche Auflehnung"), </w:t>
      </w:r>
      <w:r>
        <w:rPr>
          <w:rStyle w:val="Fett"/>
          <w:rFonts w:eastAsiaTheme="majorEastAsia"/>
          <w:rtl/>
        </w:rPr>
        <w:t>לְבִלְתִּי שְׁמֹעַ</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בִּלְתִּי</w:t>
      </w:r>
      <w:r>
        <w:t xml:space="preserve">, „nicht", und Qal Infinitiv Construct von </w:t>
      </w:r>
      <w:r>
        <w:rPr>
          <w:rStyle w:val="Fett"/>
          <w:rFonts w:eastAsiaTheme="majorEastAsia"/>
          <w:rtl/>
        </w:rPr>
        <w:t>שׁמע</w:t>
      </w:r>
      <w:r>
        <w:t xml:space="preserve">, „hören", „indem er nicht hört"), </w:t>
      </w:r>
      <w:r>
        <w:rPr>
          <w:rStyle w:val="Fett"/>
          <w:rFonts w:eastAsiaTheme="majorEastAsia"/>
          <w:rtl/>
        </w:rPr>
        <w:t>אֶל־הַכֹּהֵן הָעֹמֵד לְשָׁרֶת שָׁם אֶת־יְהוָה אֱלֹהֶיךָ</w:t>
      </w:r>
      <w:r>
        <w:rPr>
          <w:rtl/>
        </w:rPr>
        <w:t xml:space="preserve"> </w:t>
      </w:r>
      <w:r>
        <w:t xml:space="preserve">(Präposition </w:t>
      </w:r>
      <w:r>
        <w:rPr>
          <w:rStyle w:val="Fett"/>
          <w:rFonts w:eastAsiaTheme="majorEastAsia"/>
          <w:rtl/>
        </w:rPr>
        <w:t>אֶל</w:t>
      </w:r>
      <w:r>
        <w:rPr>
          <w:rtl/>
        </w:rPr>
        <w:t xml:space="preserve"> </w:t>
      </w:r>
      <w:r>
        <w:t xml:space="preserve">mit </w:t>
      </w:r>
      <w:r>
        <w:rPr>
          <w:rStyle w:val="Fett"/>
          <w:rFonts w:eastAsiaTheme="majorEastAsia"/>
          <w:rtl/>
        </w:rPr>
        <w:t>כֹּהֵן</w:t>
      </w:r>
      <w:r>
        <w:t xml:space="preserve">, „Priester", mit Artikel, Partizip: </w:t>
      </w:r>
      <w:r>
        <w:rPr>
          <w:rStyle w:val="Fett"/>
          <w:rFonts w:eastAsiaTheme="majorEastAsia"/>
          <w:rtl/>
        </w:rPr>
        <w:t>עמד</w:t>
      </w:r>
      <w:r>
        <w:t xml:space="preserve">, Qal Partizip, „stehen", </w:t>
      </w:r>
      <w:r>
        <w:rPr>
          <w:rStyle w:val="Fett"/>
          <w:rFonts w:eastAsiaTheme="majorEastAsia"/>
          <w:rtl/>
        </w:rPr>
        <w:t>לְשָׁרֶת שָׁם</w:t>
      </w:r>
      <w:r>
        <w:t xml:space="preserve">, Piel Infinitiv Construct von </w:t>
      </w:r>
      <w:r>
        <w:rPr>
          <w:rStyle w:val="Fett"/>
          <w:rFonts w:eastAsiaTheme="majorEastAsia"/>
          <w:rtl/>
        </w:rPr>
        <w:t>שׁרת</w:t>
      </w:r>
      <w:r>
        <w:t xml:space="preserve">, „dienen", </w:t>
      </w:r>
      <w:r>
        <w:rPr>
          <w:rStyle w:val="Fett"/>
          <w:rFonts w:eastAsiaTheme="majorEastAsia"/>
          <w:rtl/>
        </w:rPr>
        <w:t>שָׁם</w:t>
      </w:r>
      <w:r>
        <w:t xml:space="preserve">, „dort", </w:t>
      </w:r>
      <w:r>
        <w:rPr>
          <w:rStyle w:val="Fett"/>
          <w:rFonts w:eastAsiaTheme="majorEastAsia"/>
          <w:rtl/>
        </w:rPr>
        <w:t>אֶת־יְהוָה אֱלֹהֶיךָ</w:t>
      </w:r>
      <w:r>
        <w:t xml:space="preserve">, „um dort zu dienen JHWH, deinem Gott"), </w:t>
      </w:r>
      <w:r>
        <w:rPr>
          <w:rStyle w:val="Fett"/>
          <w:rFonts w:eastAsiaTheme="majorEastAsia"/>
          <w:rtl/>
        </w:rPr>
        <w:t>אוֹ אֶל־הַשֹּׁפֵט</w:t>
      </w:r>
      <w:r>
        <w:rPr>
          <w:rtl/>
        </w:rPr>
        <w:t xml:space="preserve"> </w:t>
      </w:r>
      <w:r>
        <w:t>(</w:t>
      </w:r>
      <w:r>
        <w:rPr>
          <w:rStyle w:val="Fett"/>
          <w:rFonts w:eastAsiaTheme="majorEastAsia"/>
          <w:rtl/>
        </w:rPr>
        <w:t>אוֹ</w:t>
      </w:r>
      <w:r>
        <w:t xml:space="preserve">, „oder", </w:t>
      </w:r>
      <w:r>
        <w:rPr>
          <w:rStyle w:val="Fett"/>
          <w:rFonts w:eastAsiaTheme="majorEastAsia"/>
          <w:rtl/>
        </w:rPr>
        <w:t>אֶל</w:t>
      </w:r>
      <w:r>
        <w:rPr>
          <w:rtl/>
        </w:rPr>
        <w:t xml:space="preserve"> </w:t>
      </w:r>
      <w:r>
        <w:t xml:space="preserve">mit </w:t>
      </w:r>
      <w:r>
        <w:rPr>
          <w:rStyle w:val="Fett"/>
          <w:rFonts w:eastAsiaTheme="majorEastAsia"/>
          <w:rtl/>
        </w:rPr>
        <w:t>שֹׁפֵט</w:t>
      </w:r>
      <w:r>
        <w:t>, „Richter", mit Artikel).</w:t>
      </w:r>
    </w:p>
    <w:p w14:paraId="185FCBC4" w14:textId="77777777" w:rsidR="00C90AB0" w:rsidRDefault="00C90AB0" w:rsidP="00C90AB0">
      <w:pPr>
        <w:pStyle w:val="whitespace-normal"/>
      </w:pPr>
      <w:r>
        <w:rPr>
          <w:rStyle w:val="Fett"/>
          <w:rFonts w:eastAsiaTheme="majorEastAsia"/>
          <w:rtl/>
        </w:rPr>
        <w:t>וּמֵת הָאִישׁ הַהוּא וּבִעַרְתָּ הָרָע מִיִּשְׂרָאֵל</w:t>
      </w:r>
      <w:r>
        <w:rPr>
          <w:rtl/>
        </w:rPr>
        <w:t xml:space="preserve"> </w:t>
      </w:r>
      <w:r>
        <w:t xml:space="preserve">sind zwei koordinierte Sätze: </w:t>
      </w:r>
      <w:r>
        <w:rPr>
          <w:rStyle w:val="Fett"/>
          <w:rFonts w:eastAsiaTheme="majorEastAsia"/>
          <w:rtl/>
        </w:rPr>
        <w:t>וּמֵת</w:t>
      </w:r>
      <w:r>
        <w:rPr>
          <w:rtl/>
        </w:rPr>
        <w:t xml:space="preserve"> </w:t>
      </w:r>
      <w:r>
        <w:t xml:space="preserve">(Qal Perfekt, 3. Person Maskulinum Singular von </w:t>
      </w:r>
      <w:r>
        <w:rPr>
          <w:rStyle w:val="Fett"/>
          <w:rFonts w:eastAsiaTheme="majorEastAsia"/>
          <w:rtl/>
        </w:rPr>
        <w:t>מות</w:t>
      </w:r>
      <w:r>
        <w:t xml:space="preserve">, „sterben", mit </w:t>
      </w:r>
      <w:r>
        <w:rPr>
          <w:rStyle w:val="Fett"/>
          <w:rFonts w:eastAsiaTheme="majorEastAsia"/>
        </w:rPr>
        <w:t>Waw</w:t>
      </w:r>
      <w:r>
        <w:t xml:space="preserve"> consecutives Perfekt), </w:t>
      </w:r>
      <w:r>
        <w:rPr>
          <w:rStyle w:val="Fett"/>
          <w:rFonts w:eastAsiaTheme="majorEastAsia"/>
          <w:rtl/>
        </w:rPr>
        <w:t>הָאִישׁ הַהוּא</w:t>
      </w:r>
      <w:r>
        <w:rPr>
          <w:rtl/>
        </w:rPr>
        <w:t xml:space="preserve"> </w:t>
      </w:r>
      <w:r>
        <w:t>(</w:t>
      </w:r>
      <w:r>
        <w:rPr>
          <w:rStyle w:val="Fett"/>
          <w:rFonts w:eastAsiaTheme="majorEastAsia"/>
          <w:rtl/>
        </w:rPr>
        <w:t>אִישׁ</w:t>
      </w:r>
      <w:r>
        <w:t xml:space="preserve">, „Mann", mit Artikel und Demonstrativpronomen </w:t>
      </w:r>
      <w:r>
        <w:rPr>
          <w:rStyle w:val="Fett"/>
          <w:rFonts w:eastAsiaTheme="majorEastAsia"/>
          <w:rtl/>
        </w:rPr>
        <w:t>הוּא</w:t>
      </w:r>
      <w:r>
        <w:t xml:space="preserve">, „jener Mann"), </w:t>
      </w:r>
      <w:r>
        <w:rPr>
          <w:rStyle w:val="Fett"/>
          <w:rFonts w:eastAsiaTheme="majorEastAsia"/>
          <w:rtl/>
        </w:rPr>
        <w:t>וּבִעַרְתָּ הָרָע מִיִּשְׂרָאֵל</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בער</w:t>
      </w:r>
      <w:r>
        <w:t xml:space="preserve">, Piel Perfekt, 2. Person Maskulinum Singular, „wegschaffen", imperativisch, </w:t>
      </w:r>
      <w:r>
        <w:rPr>
          <w:rStyle w:val="Fett"/>
          <w:rFonts w:eastAsiaTheme="majorEastAsia"/>
          <w:rtl/>
        </w:rPr>
        <w:t>רַע</w:t>
      </w:r>
      <w:r>
        <w:t xml:space="preserve">, „Böses", mit Artikel, </w:t>
      </w:r>
      <w:r>
        <w:rPr>
          <w:rStyle w:val="Fett"/>
          <w:rFonts w:eastAsiaTheme="majorEastAsia"/>
          <w:rtl/>
        </w:rPr>
        <w:t>מִיִּשְׂרָאֵל</w:t>
      </w:r>
      <w:r>
        <w:t xml:space="preserve">, Präposition </w:t>
      </w:r>
      <w:r>
        <w:rPr>
          <w:rStyle w:val="Fett"/>
          <w:rFonts w:eastAsiaTheme="majorEastAsia"/>
          <w:rtl/>
        </w:rPr>
        <w:t>מִן</w:t>
      </w:r>
      <w:r>
        <w:rPr>
          <w:rtl/>
        </w:rPr>
        <w:t xml:space="preserve"> </w:t>
      </w:r>
      <w:r>
        <w:t xml:space="preserve">mit </w:t>
      </w:r>
      <w:r>
        <w:rPr>
          <w:rStyle w:val="Fett"/>
          <w:rFonts w:eastAsiaTheme="majorEastAsia"/>
          <w:rtl/>
        </w:rPr>
        <w:t>יִשְׂרָאֵל</w:t>
      </w:r>
      <w:r>
        <w:t>, „aus Israel").</w:t>
      </w:r>
    </w:p>
    <w:p w14:paraId="2E18DE0B" w14:textId="205F23C5" w:rsidR="00C90AB0" w:rsidRDefault="00C90AB0" w:rsidP="00C90AB0">
      <w:pPr>
        <w:pStyle w:val="whitespace-normal"/>
      </w:pPr>
      <w:r>
        <w:t xml:space="preserve">Das Wort </w:t>
      </w:r>
      <w:r>
        <w:rPr>
          <w:rStyle w:val="Fett"/>
          <w:rFonts w:eastAsiaTheme="majorEastAsia"/>
          <w:rtl/>
        </w:rPr>
        <w:t>זָדוֹן</w:t>
      </w:r>
      <w:r>
        <w:rPr>
          <w:rtl/>
        </w:rPr>
        <w:t xml:space="preserve"> </w:t>
      </w:r>
      <w:r>
        <w:t xml:space="preserve">(„Vermessenheit, Überheblichkeit") bezeichnet vorsätzliche, absichtliche Auflehnung (vgl. Ex 21,14; Num 15,30; Dtn 17,12.13; 18,20.22; Neh 9,10.16.29; Jer 50,29; Ps 19,14; Spr 11,2; 13,10; 21,24). Die Todesstrafe gilt nicht für versehentliche Irrtümer, sondern für bewusste Missachtung der höchsten richterlichen Autorität. Die Formulierung </w:t>
      </w:r>
      <w:r>
        <w:rPr>
          <w:rStyle w:val="Fett"/>
          <w:rFonts w:eastAsiaTheme="majorEastAsia"/>
          <w:rtl/>
        </w:rPr>
        <w:t>וּבִעַרְתָּ הָרָע מִיִּשְׂרָאֵל</w:t>
      </w:r>
      <w:r>
        <w:rPr>
          <w:rtl/>
        </w:rPr>
        <w:t xml:space="preserve"> </w:t>
      </w:r>
      <w:r>
        <w:t>(„das Böse wegschaffen aus Israel") ist die deuteronomische Standardformel (vgl. V. 7).</w:t>
      </w:r>
    </w:p>
    <w:p w14:paraId="7CEBEE51" w14:textId="3281123D" w:rsidR="00E80EEB" w:rsidRDefault="00E80EEB" w:rsidP="00C90AB0">
      <w:pPr>
        <w:pStyle w:val="whitespace-normal"/>
      </w:pPr>
      <w:r>
        <w:rPr>
          <w:rStyle w:val="Fett"/>
        </w:rPr>
        <w:t>Die LXX</w:t>
      </w:r>
      <w:r>
        <w:t xml:space="preserve"> übersetzt </w:t>
      </w:r>
      <w:r w:rsidRPr="00E80EEB">
        <w:rPr>
          <w:b/>
          <w:bCs/>
          <w:rtl/>
        </w:rPr>
        <w:t>בְזָדוֹן</w:t>
      </w:r>
      <w:r>
        <w:t xml:space="preserve"> (in Vermessenheit/Übermut) mit </w:t>
      </w:r>
      <w:proofErr w:type="spellStart"/>
      <w:r>
        <w:t>ἐν</w:t>
      </w:r>
      <w:proofErr w:type="spellEnd"/>
      <w:r>
        <w:t xml:space="preserve"> ὑπ</w:t>
      </w:r>
      <w:proofErr w:type="spellStart"/>
      <w:r>
        <w:t>ερηφ</w:t>
      </w:r>
      <w:proofErr w:type="spellEnd"/>
      <w:r>
        <w:t xml:space="preserve">ανίι (in Hochmut/Arroganz) – beide Begriffe drücken Anmaßung aus, aber mit leicht unterschiedlicher Nuance. Die Formulierung </w:t>
      </w:r>
      <w:proofErr w:type="spellStart"/>
      <w:r>
        <w:t>λειτουργεῖν</w:t>
      </w:r>
      <w:proofErr w:type="spellEnd"/>
      <w:r>
        <w:t xml:space="preserve"> ἐπὶ </w:t>
      </w:r>
      <w:proofErr w:type="spellStart"/>
      <w:r>
        <w:t>τῷ</w:t>
      </w:r>
      <w:proofErr w:type="spellEnd"/>
      <w:r>
        <w:t xml:space="preserve"> </w:t>
      </w:r>
      <w:proofErr w:type="spellStart"/>
      <w:r>
        <w:t>ὀνόμ</w:t>
      </w:r>
      <w:proofErr w:type="spellEnd"/>
      <w:r>
        <w:t xml:space="preserve">ατι </w:t>
      </w:r>
      <w:proofErr w:type="spellStart"/>
      <w:r>
        <w:t>κυρίου</w:t>
      </w:r>
      <w:proofErr w:type="spellEnd"/>
      <w:r>
        <w:t xml:space="preserve"> (zu dienen auf/bei dem Namen des Herrn) für </w:t>
      </w:r>
      <w:r w:rsidRPr="00E80EEB">
        <w:rPr>
          <w:b/>
          <w:bCs/>
          <w:rtl/>
        </w:rPr>
        <w:t>לְשָׁרֶת שָׁם אֶת־יְהוָה</w:t>
      </w:r>
      <w:r>
        <w:t xml:space="preserve"> (dort zu dienen den HERRN) ist eine theologisch signifikante Umformulierung.</w:t>
      </w:r>
    </w:p>
    <w:p w14:paraId="0B0B1C8C" w14:textId="77777777" w:rsidR="00C90AB0" w:rsidRDefault="00C90AB0" w:rsidP="00C90AB0">
      <w:pPr>
        <w:pStyle w:val="whitespace-normal"/>
      </w:pPr>
      <w:r>
        <w:rPr>
          <w:rStyle w:val="Fett"/>
          <w:rFonts w:eastAsiaTheme="majorEastAsia"/>
        </w:rPr>
        <w:lastRenderedPageBreak/>
        <w:t>Die Satzstruktur:</w:t>
      </w:r>
      <w:r>
        <w:t xml:space="preserve"> Nominalsatz mit Relativsätzen und zwei koordinierte Folgesätze (und der Mann, der handelt in Vermessenheit, indem er nicht hört auf den Priester, der steht, um zu dienen dort JHWH, deinem Gott, oder auf den Richter, und sterben soll jener Mann; und wegschaffen sollst du das Böse aus Israel).</w:t>
      </w:r>
    </w:p>
    <w:p w14:paraId="4452E473" w14:textId="77777777" w:rsidR="00C90AB0" w:rsidRDefault="00C90AB0" w:rsidP="00C90AB0">
      <w:pPr>
        <w:pStyle w:val="whitespace-normal"/>
      </w:pPr>
      <w:r>
        <w:t>Der Vers bestimmt: Wer vermessen das Urteil der höchsten richterlichen Instanz missachtet, soll hingerichtet werden – so wird das Böse aus Israel entfernt.</w:t>
      </w:r>
    </w:p>
    <w:p w14:paraId="3B12F575"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17,13</w:t>
      </w:r>
    </w:p>
    <w:p w14:paraId="615F4FA3" w14:textId="77777777" w:rsidR="00C90AB0" w:rsidRDefault="00C90AB0" w:rsidP="00C90AB0">
      <w:pPr>
        <w:pStyle w:val="whitespace-normal"/>
      </w:pPr>
      <w:r>
        <w:rPr>
          <w:rStyle w:val="Fett"/>
          <w:rFonts w:eastAsiaTheme="majorEastAsia"/>
        </w:rPr>
        <w:t>Hebräisch:</w:t>
      </w:r>
      <w:r>
        <w:t xml:space="preserve"> </w:t>
      </w:r>
      <w:r>
        <w:rPr>
          <w:rtl/>
        </w:rPr>
        <w:t>וְכָל־הָעָ֖ם יִשְׁמְע֣וּ וְיִרָ֑אוּ וְלֹ֥א יְזִיד֖וּן עֽוֹד׃</w:t>
      </w:r>
    </w:p>
    <w:p w14:paraId="207EFAA8" w14:textId="77777777" w:rsidR="00C90AB0" w:rsidRDefault="00C90AB0" w:rsidP="00C90AB0">
      <w:pPr>
        <w:pStyle w:val="whitespace-normal"/>
      </w:pPr>
      <w:r>
        <w:rPr>
          <w:rStyle w:val="Fett"/>
          <w:rFonts w:eastAsiaTheme="majorEastAsia"/>
        </w:rPr>
        <w:t>Deutsch:</w:t>
      </w:r>
      <w:r>
        <w:t xml:space="preserve"> Und das ganze Volk soll es hören und sich fürchten und nicht mehr vermessen sein.</w:t>
      </w:r>
    </w:p>
    <w:p w14:paraId="4262BBB9" w14:textId="77777777" w:rsidR="00C90AB0" w:rsidRDefault="004F5CEB" w:rsidP="00C90AB0">
      <w:r>
        <w:rPr>
          <w:noProof/>
        </w:rPr>
        <w:pict w14:anchorId="718E360E">
          <v:rect id="_x0000_i1502" style="width:0;height:1.5pt" o:hralign="center" o:hrstd="t" o:hr="t" fillcolor="#a0a0a0" stroked="f"/>
        </w:pict>
      </w:r>
    </w:p>
    <w:p w14:paraId="60C886FD"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וְכָל־הָעָם יִשְׁמְעוּ וְיִרָאוּ וְלֹא יְזִידוּן עוֹד</w:t>
      </w:r>
      <w:r>
        <w:rPr>
          <w:rtl/>
        </w:rPr>
        <w:t xml:space="preserve"> </w:t>
      </w:r>
      <w:r>
        <w:t xml:space="preserve">sind drei koordinierte Verben: </w:t>
      </w:r>
      <w:r>
        <w:rPr>
          <w:rStyle w:val="Fett"/>
          <w:rFonts w:eastAsiaTheme="majorEastAsia"/>
          <w:rtl/>
        </w:rPr>
        <w:t>וְכָל־הָעָם יִשְׁמְעוּ</w:t>
      </w:r>
      <w:r>
        <w:rPr>
          <w:rtl/>
        </w:rPr>
        <w:t xml:space="preserve"> </w:t>
      </w:r>
      <w:r>
        <w:t>(</w:t>
      </w:r>
      <w:r>
        <w:rPr>
          <w:rStyle w:val="Fett"/>
          <w:rFonts w:eastAsiaTheme="majorEastAsia"/>
          <w:rtl/>
        </w:rPr>
        <w:t>כֹּל</w:t>
      </w:r>
      <w:r>
        <w:t xml:space="preserve">, „ganz", mit </w:t>
      </w:r>
      <w:r>
        <w:rPr>
          <w:rStyle w:val="Fett"/>
          <w:rFonts w:eastAsiaTheme="majorEastAsia"/>
          <w:rtl/>
        </w:rPr>
        <w:t>עַם</w:t>
      </w:r>
      <w:r>
        <w:t xml:space="preserve">, „Volk", mit Artikel, „das ganze Volk", </w:t>
      </w:r>
      <w:r>
        <w:rPr>
          <w:rStyle w:val="Fett"/>
          <w:rFonts w:eastAsiaTheme="majorEastAsia"/>
          <w:rtl/>
        </w:rPr>
        <w:t>שׁמע</w:t>
      </w:r>
      <w:r>
        <w:t xml:space="preserve">, Qal Imperfekt, 3. Person Plural, „hören"), </w:t>
      </w:r>
      <w:r>
        <w:rPr>
          <w:rStyle w:val="Fett"/>
          <w:rFonts w:eastAsiaTheme="majorEastAsia"/>
          <w:rtl/>
        </w:rPr>
        <w:t>וְיִרָאוּ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ירא</w:t>
      </w:r>
      <w:r>
        <w:t xml:space="preserve">, Qal Imperfekt, 3. Person Plural, „sich fürchten"), </w:t>
      </w:r>
      <w:r>
        <w:rPr>
          <w:rStyle w:val="Fett"/>
          <w:rFonts w:eastAsiaTheme="majorEastAsia"/>
          <w:rtl/>
        </w:rPr>
        <w:t>וְלֹא יְזִידוּן עוֹד</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לֹא</w:t>
      </w:r>
      <w:r>
        <w:rPr>
          <w:rtl/>
        </w:rPr>
        <w:t xml:space="preserve"> </w:t>
      </w:r>
      <w:r>
        <w:t xml:space="preserve">und </w:t>
      </w:r>
      <w:r>
        <w:rPr>
          <w:rStyle w:val="Fett"/>
          <w:rFonts w:eastAsiaTheme="majorEastAsia"/>
          <w:rtl/>
        </w:rPr>
        <w:t>זיד</w:t>
      </w:r>
      <w:r>
        <w:t xml:space="preserve">, Hiphil Imperfekt, 3. Person Plural, „vermessen handeln", mit </w:t>
      </w:r>
      <w:r>
        <w:rPr>
          <w:rStyle w:val="Fett"/>
          <w:rFonts w:eastAsiaTheme="majorEastAsia"/>
          <w:rtl/>
        </w:rPr>
        <w:t>עוֹד</w:t>
      </w:r>
      <w:r>
        <w:t>, „mehr, noch").</w:t>
      </w:r>
    </w:p>
    <w:p w14:paraId="07EF8F80" w14:textId="7FC9E53C" w:rsidR="00C90AB0" w:rsidRDefault="00C90AB0" w:rsidP="00C90AB0">
      <w:pPr>
        <w:pStyle w:val="whitespace-normal"/>
      </w:pPr>
      <w:r>
        <w:t xml:space="preserve">Der Vers beschreibt den abschreckenden Zweck der Todesstrafe: (1) </w:t>
      </w:r>
      <w:r>
        <w:rPr>
          <w:rStyle w:val="Fett"/>
          <w:rFonts w:eastAsiaTheme="majorEastAsia"/>
          <w:rtl/>
        </w:rPr>
        <w:t>יִשְׁמְעוּ</w:t>
      </w:r>
      <w:r>
        <w:rPr>
          <w:rtl/>
        </w:rPr>
        <w:t xml:space="preserve"> </w:t>
      </w:r>
      <w:r>
        <w:t xml:space="preserve">(„hören") – öffentliche Bekanntmachung, (2) </w:t>
      </w:r>
      <w:r>
        <w:rPr>
          <w:rStyle w:val="Fett"/>
          <w:rFonts w:eastAsiaTheme="majorEastAsia"/>
          <w:rtl/>
        </w:rPr>
        <w:t>וְיִרָאוּ</w:t>
      </w:r>
      <w:r>
        <w:rPr>
          <w:rtl/>
        </w:rPr>
        <w:t xml:space="preserve"> </w:t>
      </w:r>
      <w:r>
        <w:t xml:space="preserve">(„sich fürchten") – Furcht vor Strafe, (3) </w:t>
      </w:r>
      <w:r>
        <w:rPr>
          <w:rStyle w:val="Fett"/>
          <w:rFonts w:eastAsiaTheme="majorEastAsia"/>
          <w:rtl/>
        </w:rPr>
        <w:t>וְלֹא יְזִידוּן עוֹד</w:t>
      </w:r>
      <w:r>
        <w:rPr>
          <w:rtl/>
        </w:rPr>
        <w:t xml:space="preserve"> </w:t>
      </w:r>
      <w:r>
        <w:t xml:space="preserve">(„nicht mehr vermessen sein") – Prävention durch Abschreckung. Das Verb </w:t>
      </w:r>
      <w:r>
        <w:rPr>
          <w:rStyle w:val="Fett"/>
          <w:rFonts w:eastAsiaTheme="majorEastAsia"/>
          <w:rtl/>
        </w:rPr>
        <w:t>זיד</w:t>
      </w:r>
      <w:r>
        <w:rPr>
          <w:rtl/>
        </w:rPr>
        <w:t xml:space="preserve"> </w:t>
      </w:r>
      <w:r>
        <w:t xml:space="preserve">im Hiphil („vermessen handeln, überheblich sein") ist von derselben Wurzel wie </w:t>
      </w:r>
      <w:r>
        <w:rPr>
          <w:rStyle w:val="Fett"/>
          <w:rFonts w:eastAsiaTheme="majorEastAsia"/>
          <w:rtl/>
        </w:rPr>
        <w:t>זָדוֹן</w:t>
      </w:r>
      <w:r>
        <w:rPr>
          <w:rtl/>
        </w:rPr>
        <w:t xml:space="preserve"> </w:t>
      </w:r>
      <w:r>
        <w:t>in V. 12 (vgl. Ex 18,11; 21,14; Dtn 1,43; 17,12.13; 18,20; Neh 9,10.16.29; Ps 119,21.51.69.78.85.122; Jer 50,29; Mal 3,15.19).</w:t>
      </w:r>
    </w:p>
    <w:p w14:paraId="7F6C2794" w14:textId="784B2329" w:rsidR="00E80EEB" w:rsidRDefault="00E80EEB" w:rsidP="00C90AB0">
      <w:pPr>
        <w:pStyle w:val="whitespace-normal"/>
      </w:pPr>
      <w:r>
        <w:rPr>
          <w:rStyle w:val="Fett"/>
        </w:rPr>
        <w:t>Die LXX</w:t>
      </w:r>
      <w:r>
        <w:t xml:space="preserve"> übersetzt </w:t>
      </w:r>
      <w:r w:rsidRPr="00E80EEB">
        <w:rPr>
          <w:b/>
          <w:bCs/>
          <w:rtl/>
        </w:rPr>
        <w:t>וְלֹא יְזִידוּן עוֹד</w:t>
      </w:r>
      <w:r>
        <w:t xml:space="preserve"> (und sie werden nicht mehr vermessen handeln) mit καὶ </w:t>
      </w:r>
      <w:proofErr w:type="spellStart"/>
      <w:r>
        <w:t>οὐκ</w:t>
      </w:r>
      <w:proofErr w:type="spellEnd"/>
      <w:r>
        <w:t xml:space="preserve"> </w:t>
      </w:r>
      <w:proofErr w:type="spellStart"/>
      <w:r>
        <w:t>ἀσε</w:t>
      </w:r>
      <w:proofErr w:type="spellEnd"/>
      <w:r>
        <w:t xml:space="preserve">βήσει </w:t>
      </w:r>
      <w:proofErr w:type="spellStart"/>
      <w:r>
        <w:t>ἔτι</w:t>
      </w:r>
      <w:proofErr w:type="spellEnd"/>
      <w:r>
        <w:t xml:space="preserve"> (und er/es wird nicht mehr gottlos handeln) – eine Verschiebung von "Vermessenheit" zu "Gottlosigkeit" und vom Plural zum Singular.</w:t>
      </w:r>
    </w:p>
    <w:p w14:paraId="0C60D115" w14:textId="77777777" w:rsidR="00C90AB0" w:rsidRDefault="00C90AB0" w:rsidP="00C90AB0">
      <w:pPr>
        <w:pStyle w:val="whitespace-normal"/>
      </w:pPr>
      <w:r>
        <w:rPr>
          <w:rStyle w:val="Fett"/>
          <w:rFonts w:eastAsiaTheme="majorEastAsia"/>
        </w:rPr>
        <w:t>Die Satzstruktur:</w:t>
      </w:r>
      <w:r>
        <w:t xml:space="preserve"> Drei koordinierte Verben (und das ganze Volk hören soll und fürchten soll und nicht soll vermessen sein mehr).</w:t>
      </w:r>
    </w:p>
    <w:p w14:paraId="7941D337" w14:textId="77777777" w:rsidR="00C90AB0" w:rsidRDefault="00C90AB0" w:rsidP="00C90AB0">
      <w:pPr>
        <w:pStyle w:val="whitespace-normal"/>
      </w:pPr>
      <w:r>
        <w:t>Der Vers beschreibt die Wirkung: Das ganze Volk soll von der Hinrichtung hören, sich fürchten und künftig nicht mehr vermessen gegen die höchste Autorität handeln.</w:t>
      </w:r>
    </w:p>
    <w:p w14:paraId="6D50D4D9"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17,14</w:t>
      </w:r>
    </w:p>
    <w:p w14:paraId="51026A03" w14:textId="77777777" w:rsidR="00C90AB0" w:rsidRDefault="00C90AB0" w:rsidP="00C90AB0">
      <w:pPr>
        <w:pStyle w:val="whitespace-normal"/>
      </w:pPr>
      <w:r>
        <w:rPr>
          <w:rStyle w:val="Fett"/>
          <w:rFonts w:eastAsiaTheme="majorEastAsia"/>
        </w:rPr>
        <w:t>Hebräisch:</w:t>
      </w:r>
      <w:r>
        <w:t xml:space="preserve"> </w:t>
      </w:r>
      <w:r>
        <w:rPr>
          <w:rtl/>
        </w:rPr>
        <w:t>כִּֽי־תָבֹ֣א אֶל־הָאָ֗רֶץ אֲשֶׁ֨ר יְהוָ֤ה אֱלֹהֶ֨יךָ֙ נֹתֵ֣ן לָ֔ךְ וִֽירִשְׁתָּ֖הּ וְיָשַׁ֣בְתָּה בָּ֑הּ וְאָמַרְתָּ֗ אָשִׂ֤ימָה עָלַי֙ מֶ֔לֶךְ כְּכָל־הַגּוֹיִ֖ם אֲשֶׁ֥ר סְבִיבֹתָֽי׃</w:t>
      </w:r>
    </w:p>
    <w:p w14:paraId="64A9E58E" w14:textId="77777777" w:rsidR="00C90AB0" w:rsidRDefault="00C90AB0" w:rsidP="00C90AB0">
      <w:pPr>
        <w:pStyle w:val="whitespace-normal"/>
      </w:pPr>
      <w:r>
        <w:rPr>
          <w:rStyle w:val="Fett"/>
          <w:rFonts w:eastAsiaTheme="majorEastAsia"/>
        </w:rPr>
        <w:t>Deutsch:</w:t>
      </w:r>
      <w:r>
        <w:t xml:space="preserve"> Wenn du in das Land kommst, das der Ewige, dein Gott, dir gibt, und du es in Besitz nimmst und darin wohnst und sagst: „Ich will einen König über mich setzen wie alle Nationen, die um mich herum sind",</w:t>
      </w:r>
    </w:p>
    <w:p w14:paraId="64D86B13" w14:textId="77777777" w:rsidR="00C90AB0" w:rsidRDefault="004F5CEB" w:rsidP="00C90AB0">
      <w:r>
        <w:rPr>
          <w:noProof/>
        </w:rPr>
        <w:lastRenderedPageBreak/>
        <w:pict w14:anchorId="77BCA6BA">
          <v:rect id="_x0000_i1503" style="width:0;height:1.5pt" o:hralign="center" o:hrstd="t" o:hr="t" fillcolor="#a0a0a0" stroked="f"/>
        </w:pict>
      </w:r>
    </w:p>
    <w:p w14:paraId="5D90A6B8"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כִּי־תָבֹא אֶל־הָאָרֶץ אֲשֶׁר יְהוָה אֱלֹהֶיךָ נֹתֵן לָךְ וִירִשְׁתָּהּ וְיָשַׁבְתָּה בָּהּ</w:t>
      </w:r>
      <w:r>
        <w:rPr>
          <w:rtl/>
        </w:rPr>
        <w:t xml:space="preserve"> </w:t>
      </w:r>
      <w:r>
        <w:t xml:space="preserve">ist ein konditionaler Satz mit drei Verben: </w:t>
      </w:r>
      <w:r>
        <w:rPr>
          <w:rStyle w:val="Fett"/>
          <w:rFonts w:eastAsiaTheme="majorEastAsia"/>
          <w:rtl/>
        </w:rPr>
        <w:t>כִּי־תָבֹא</w:t>
      </w:r>
      <w:r>
        <w:rPr>
          <w:rtl/>
        </w:rPr>
        <w:t xml:space="preserve"> </w:t>
      </w:r>
      <w:r>
        <w:t>(</w:t>
      </w:r>
      <w:r>
        <w:rPr>
          <w:rStyle w:val="Fett"/>
          <w:rFonts w:eastAsiaTheme="majorEastAsia"/>
          <w:rtl/>
        </w:rPr>
        <w:t>כִּי</w:t>
      </w:r>
      <w:r>
        <w:t xml:space="preserve">, „wenn", mit </w:t>
      </w:r>
      <w:r>
        <w:rPr>
          <w:rStyle w:val="Fett"/>
          <w:rFonts w:eastAsiaTheme="majorEastAsia"/>
          <w:rtl/>
        </w:rPr>
        <w:t>בוא</w:t>
      </w:r>
      <w:r>
        <w:t xml:space="preserve">, Qal Imperfekt, 2. Person Maskulinum Singular, „kommen"), </w:t>
      </w:r>
      <w:r>
        <w:rPr>
          <w:rStyle w:val="Fett"/>
          <w:rFonts w:eastAsiaTheme="majorEastAsia"/>
          <w:rtl/>
        </w:rPr>
        <w:t>אֶל־הָאָרֶץ אֲשֶׁר יְהוָה אֱלֹהֶיךָ נֹתֵן לָךְ</w:t>
      </w:r>
      <w:r>
        <w:rPr>
          <w:rtl/>
        </w:rPr>
        <w:t xml:space="preserve"> </w:t>
      </w:r>
      <w:r>
        <w:t xml:space="preserve">(Präposition </w:t>
      </w:r>
      <w:r>
        <w:rPr>
          <w:rStyle w:val="Fett"/>
          <w:rFonts w:eastAsiaTheme="majorEastAsia"/>
          <w:rtl/>
        </w:rPr>
        <w:t>אֶל</w:t>
      </w:r>
      <w:r>
        <w:rPr>
          <w:rtl/>
        </w:rPr>
        <w:t xml:space="preserve"> </w:t>
      </w:r>
      <w:r>
        <w:t xml:space="preserve">mit </w:t>
      </w:r>
      <w:r>
        <w:rPr>
          <w:rStyle w:val="Fett"/>
          <w:rFonts w:eastAsiaTheme="majorEastAsia"/>
          <w:rtl/>
        </w:rPr>
        <w:t>אֶרֶץ</w:t>
      </w:r>
      <w:r>
        <w:t xml:space="preserve">, „Land", mit Artikel, Relativsatz), </w:t>
      </w:r>
      <w:r>
        <w:rPr>
          <w:rStyle w:val="Fett"/>
          <w:rFonts w:eastAsiaTheme="majorEastAsia"/>
          <w:rtl/>
        </w:rPr>
        <w:t>וִירִשְׁתָּהּ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ירשׁ</w:t>
      </w:r>
      <w:r>
        <w:t xml:space="preserve">, Qal Perfekt, 2. Person Maskulinum Singular, „in Besitz nehmen, erben", mit Suffix 3. Person Femininum Singular, mit </w:t>
      </w:r>
      <w:r>
        <w:rPr>
          <w:rStyle w:val="Fett"/>
          <w:rFonts w:eastAsiaTheme="majorEastAsia"/>
        </w:rPr>
        <w:t>Waw</w:t>
      </w:r>
      <w:r>
        <w:t xml:space="preserve"> consecutives Perfekt), </w:t>
      </w:r>
      <w:r>
        <w:rPr>
          <w:rStyle w:val="Fett"/>
          <w:rFonts w:eastAsiaTheme="majorEastAsia"/>
          <w:rtl/>
        </w:rPr>
        <w:t>וְיָשַׁבְתָּה בָּהּ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ישׁב</w:t>
      </w:r>
      <w:r>
        <w:t xml:space="preserve">, Qal Perfekt, 2. Person Maskulinum Singular, „wohnen, sitzen", mit </w:t>
      </w:r>
      <w:r>
        <w:rPr>
          <w:rStyle w:val="Fett"/>
          <w:rFonts w:eastAsiaTheme="majorEastAsia"/>
          <w:rtl/>
        </w:rPr>
        <w:t>בָּהּ</w:t>
      </w:r>
      <w:r>
        <w:t xml:space="preserve">, Präposition </w:t>
      </w:r>
      <w:r>
        <w:rPr>
          <w:rStyle w:val="Fett"/>
          <w:rFonts w:eastAsiaTheme="majorEastAsia"/>
          <w:rtl/>
        </w:rPr>
        <w:t>בְּ</w:t>
      </w:r>
      <w:r>
        <w:rPr>
          <w:rtl/>
        </w:rPr>
        <w:t xml:space="preserve"> </w:t>
      </w:r>
      <w:r>
        <w:t xml:space="preserve">mit Suffix 3. Person Femininum Singular, mit </w:t>
      </w:r>
      <w:r>
        <w:rPr>
          <w:rStyle w:val="Fett"/>
          <w:rFonts w:eastAsiaTheme="majorEastAsia"/>
        </w:rPr>
        <w:t>Waw</w:t>
      </w:r>
      <w:r>
        <w:t xml:space="preserve"> consecutives Perfekt).</w:t>
      </w:r>
    </w:p>
    <w:p w14:paraId="1158D37D" w14:textId="77777777" w:rsidR="00C90AB0" w:rsidRDefault="00C90AB0" w:rsidP="00C90AB0">
      <w:pPr>
        <w:pStyle w:val="whitespace-normal"/>
      </w:pPr>
      <w:r>
        <w:rPr>
          <w:rStyle w:val="Fett"/>
          <w:rFonts w:eastAsiaTheme="majorEastAsia"/>
          <w:rtl/>
        </w:rPr>
        <w:t>וְאָמַרְתָּ אָשִׂימָה עָלַי מֶלֶךְ כְּכָל־הַגּוֹיִם אֲשֶׁר סְבִיבֹתָי</w:t>
      </w:r>
      <w:r>
        <w:rPr>
          <w:rtl/>
        </w:rPr>
        <w:t xml:space="preserve"> </w:t>
      </w:r>
      <w:r>
        <w:t xml:space="preserve">ist die weitere Bedingung mit direkter Rede: </w:t>
      </w:r>
      <w:r>
        <w:rPr>
          <w:rStyle w:val="Fett"/>
          <w:rFonts w:eastAsiaTheme="majorEastAsia"/>
          <w:rtl/>
        </w:rPr>
        <w:t>וְאָמַרְתָּ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אמר</w:t>
      </w:r>
      <w:r>
        <w:t xml:space="preserve">, Qal Perfekt, 2. Person Maskulinum Singular, „sagen", mit </w:t>
      </w:r>
      <w:r>
        <w:rPr>
          <w:rStyle w:val="Fett"/>
          <w:rFonts w:eastAsiaTheme="majorEastAsia"/>
        </w:rPr>
        <w:t>Waw</w:t>
      </w:r>
      <w:r>
        <w:t xml:space="preserve"> consecutives Perfekt), </w:t>
      </w:r>
      <w:r>
        <w:rPr>
          <w:rStyle w:val="Fett"/>
          <w:rFonts w:eastAsiaTheme="majorEastAsia"/>
          <w:rtl/>
        </w:rPr>
        <w:t>אָשִׂימָה עָלַי מֶלֶךְ</w:t>
      </w:r>
      <w:r>
        <w:rPr>
          <w:rtl/>
        </w:rPr>
        <w:t xml:space="preserve"> </w:t>
      </w:r>
      <w:r>
        <w:t xml:space="preserve">(direkte Rede: </w:t>
      </w:r>
      <w:r>
        <w:rPr>
          <w:rStyle w:val="Fett"/>
          <w:rFonts w:eastAsiaTheme="majorEastAsia"/>
          <w:rtl/>
        </w:rPr>
        <w:t>שׂים</w:t>
      </w:r>
      <w:r>
        <w:t xml:space="preserve">, Qal Kohortativ, 1. Person Singular, „setzen", </w:t>
      </w:r>
      <w:r>
        <w:rPr>
          <w:rStyle w:val="Fett"/>
          <w:rFonts w:eastAsiaTheme="majorEastAsia"/>
          <w:rtl/>
        </w:rPr>
        <w:t>עָלַי</w:t>
      </w:r>
      <w:r>
        <w:t xml:space="preserve">, Präposition </w:t>
      </w:r>
      <w:r>
        <w:rPr>
          <w:rStyle w:val="Fett"/>
          <w:rFonts w:eastAsiaTheme="majorEastAsia"/>
          <w:rtl/>
        </w:rPr>
        <w:t>עַל</w:t>
      </w:r>
      <w:r>
        <w:rPr>
          <w:rtl/>
        </w:rPr>
        <w:t xml:space="preserve"> </w:t>
      </w:r>
      <w:r>
        <w:t xml:space="preserve">mit Suffix 1. Person Singular, „über mich", </w:t>
      </w:r>
      <w:r>
        <w:rPr>
          <w:rStyle w:val="Fett"/>
          <w:rFonts w:eastAsiaTheme="majorEastAsia"/>
          <w:rtl/>
        </w:rPr>
        <w:t>מֶלֶךְ</w:t>
      </w:r>
      <w:r>
        <w:t xml:space="preserve">, „König"), </w:t>
      </w:r>
      <w:r>
        <w:rPr>
          <w:rStyle w:val="Fett"/>
          <w:rFonts w:eastAsiaTheme="majorEastAsia"/>
          <w:rtl/>
        </w:rPr>
        <w:t>כְּכָל־הַגּוֹיִם אֲשֶׁר סְבִיבֹתָי</w:t>
      </w:r>
      <w:r>
        <w:rPr>
          <w:rtl/>
        </w:rPr>
        <w:t xml:space="preserve"> </w:t>
      </w:r>
      <w:r>
        <w:t xml:space="preserve">(Präposition </w:t>
      </w:r>
      <w:r>
        <w:rPr>
          <w:rStyle w:val="Fett"/>
          <w:rFonts w:eastAsiaTheme="majorEastAsia"/>
          <w:rtl/>
        </w:rPr>
        <w:t>כְּ</w:t>
      </w:r>
      <w:r>
        <w:t xml:space="preserve">, „wie", mit </w:t>
      </w:r>
      <w:r>
        <w:rPr>
          <w:rStyle w:val="Fett"/>
          <w:rFonts w:eastAsiaTheme="majorEastAsia"/>
          <w:rtl/>
        </w:rPr>
        <w:t>כֹּל</w:t>
      </w:r>
      <w:r>
        <w:t xml:space="preserve">, Construct mit </w:t>
      </w:r>
      <w:r>
        <w:rPr>
          <w:rStyle w:val="Fett"/>
          <w:rFonts w:eastAsiaTheme="majorEastAsia"/>
          <w:rtl/>
        </w:rPr>
        <w:t>גּוֹי</w:t>
      </w:r>
      <w:r>
        <w:t xml:space="preserve">, „Nation, Volk", Plural mit Artikel, Relativsatz: </w:t>
      </w:r>
      <w:r>
        <w:rPr>
          <w:rStyle w:val="Fett"/>
          <w:rFonts w:eastAsiaTheme="majorEastAsia"/>
          <w:rtl/>
        </w:rPr>
        <w:t>אֲשֶׁר סְבִיבֹתָי</w:t>
      </w:r>
      <w:r>
        <w:t xml:space="preserve">, </w:t>
      </w:r>
      <w:r>
        <w:rPr>
          <w:rStyle w:val="Fett"/>
          <w:rFonts w:eastAsiaTheme="majorEastAsia"/>
          <w:rtl/>
        </w:rPr>
        <w:t>סָבִיב</w:t>
      </w:r>
      <w:r>
        <w:t>, „ringsum", mit Suffix 1. Person Singular, „die um mich herum sind").</w:t>
      </w:r>
    </w:p>
    <w:p w14:paraId="17B61271" w14:textId="32323607" w:rsidR="00C90AB0" w:rsidRDefault="00C90AB0" w:rsidP="00C90AB0">
      <w:pPr>
        <w:pStyle w:val="whitespace-normal"/>
      </w:pPr>
      <w:r>
        <w:t xml:space="preserve">Der Vers leitet das sogenannte „Königsgesetz" ein – eine der bemerkenswertesten Passagen des Deuteronomiums. Der konditionale Ton </w:t>
      </w:r>
      <w:r>
        <w:rPr>
          <w:rStyle w:val="Fett"/>
          <w:rFonts w:eastAsiaTheme="majorEastAsia"/>
          <w:rtl/>
        </w:rPr>
        <w:t>כִּי־תָבֹא... וְאָמַרְתָּ</w:t>
      </w:r>
      <w:r>
        <w:rPr>
          <w:rtl/>
        </w:rPr>
        <w:t xml:space="preserve"> </w:t>
      </w:r>
      <w:r>
        <w:t xml:space="preserve">(„wenn du kommst... und sagst") zeigt: Das Königtum ist nicht geboten, sondern wird als mögliche Entwicklung antizipiert. Die Formulierung </w:t>
      </w:r>
      <w:r>
        <w:rPr>
          <w:rStyle w:val="Fett"/>
          <w:rFonts w:eastAsiaTheme="majorEastAsia"/>
          <w:rtl/>
        </w:rPr>
        <w:t>כְּכָל־הַגּוֹיִם</w:t>
      </w:r>
      <w:r>
        <w:rPr>
          <w:rtl/>
        </w:rPr>
        <w:t xml:space="preserve"> </w:t>
      </w:r>
      <w:r>
        <w:t xml:space="preserve">(„wie alle Nationen") spiegelt die Spannung zwischen Assimilation und Besonderheit Israels (vgl. </w:t>
      </w:r>
      <w:r w:rsidR="00664EB6">
        <w:t>1Sam</w:t>
      </w:r>
      <w:r>
        <w:t xml:space="preserve"> 8,5.20 – das Volk fordert einen König „wie alle Nationen").</w:t>
      </w:r>
    </w:p>
    <w:p w14:paraId="65E3AAE1" w14:textId="330CB357" w:rsidR="00E80EEB" w:rsidRDefault="00E80EEB" w:rsidP="00C90AB0">
      <w:pPr>
        <w:pStyle w:val="whitespace-normal"/>
      </w:pPr>
      <w:r>
        <w:rPr>
          <w:rStyle w:val="Fett"/>
        </w:rPr>
        <w:t>Die LXX</w:t>
      </w:r>
      <w:r>
        <w:t xml:space="preserve"> übersetzt </w:t>
      </w:r>
      <w:r w:rsidRPr="00C320AC">
        <w:rPr>
          <w:b/>
          <w:bCs/>
          <w:rtl/>
        </w:rPr>
        <w:t>מֶלֶךְ</w:t>
      </w:r>
      <w:r>
        <w:t xml:space="preserve"> (König) durchgängig mit </w:t>
      </w:r>
      <w:proofErr w:type="spellStart"/>
      <w:r>
        <w:t>ἄρχοντ</w:t>
      </w:r>
      <w:proofErr w:type="spellEnd"/>
      <w:r>
        <w:t>α (Herrscher, Fürst) – ein signifikanter terminologischer Unterschied, der die politische Konnotation abschwächt. Die Formulierung κα</w:t>
      </w:r>
      <w:proofErr w:type="spellStart"/>
      <w:r>
        <w:t>θὰ</w:t>
      </w:r>
      <w:proofErr w:type="spellEnd"/>
      <w:r>
        <w:t xml:space="preserve"> καὶ </w:t>
      </w:r>
      <w:proofErr w:type="spellStart"/>
      <w:r>
        <w:t>τὰ</w:t>
      </w:r>
      <w:proofErr w:type="spellEnd"/>
      <w:r>
        <w:t xml:space="preserve"> </w:t>
      </w:r>
      <w:proofErr w:type="spellStart"/>
      <w:r>
        <w:t>λοι</w:t>
      </w:r>
      <w:proofErr w:type="spellEnd"/>
      <w:r>
        <w:t xml:space="preserve">πὰ </w:t>
      </w:r>
      <w:proofErr w:type="spellStart"/>
      <w:r>
        <w:t>ἔθνη</w:t>
      </w:r>
      <w:proofErr w:type="spellEnd"/>
      <w:r>
        <w:t xml:space="preserve"> (wie auch die übrigen Völker) für </w:t>
      </w:r>
      <w:r>
        <w:rPr>
          <w:rtl/>
        </w:rPr>
        <w:t>כ</w:t>
      </w:r>
      <w:r w:rsidRPr="00C320AC">
        <w:rPr>
          <w:b/>
          <w:bCs/>
          <w:rtl/>
        </w:rPr>
        <w:t>ְּכָל־הַגּוֹיִם</w:t>
      </w:r>
      <w:r>
        <w:t xml:space="preserve"> fügt "übrigen" hinzu.</w:t>
      </w:r>
    </w:p>
    <w:p w14:paraId="3EEE3D16" w14:textId="77777777" w:rsidR="00C90AB0" w:rsidRDefault="00C90AB0" w:rsidP="00C90AB0">
      <w:pPr>
        <w:pStyle w:val="whitespace-normal"/>
      </w:pPr>
      <w:r>
        <w:rPr>
          <w:rStyle w:val="Fett"/>
          <w:rFonts w:eastAsiaTheme="majorEastAsia"/>
        </w:rPr>
        <w:t>Die Satzstruktur:</w:t>
      </w:r>
      <w:r>
        <w:t xml:space="preserve"> Konditionaler Satz mit drei koordinierten Verben und weiterer Bedingung mit direkter Rede (wenn kommen wirst du zu dem Land, das JHWH, dein Gott, gibt dir, und in Besitz nehmen wirst du es und wohnen wirst du in ihm, und sagen wirst du: Setzen will ich über mich einen König wie alle Nationen, die um mich herum sind).</w:t>
      </w:r>
    </w:p>
    <w:p w14:paraId="54AA4C22" w14:textId="77777777" w:rsidR="00C90AB0" w:rsidRDefault="00C90AB0" w:rsidP="00C90AB0">
      <w:pPr>
        <w:pStyle w:val="whitespace-normal"/>
      </w:pPr>
      <w:r>
        <w:t>Der Vers antizipiert: Wenn Israel im Land wohnt und sagt: „Ich will einen König wie alle anderen Völker" – dann folgen in V. 15ff. die Bedingungen.</w:t>
      </w:r>
    </w:p>
    <w:p w14:paraId="243797B5"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17,15</w:t>
      </w:r>
    </w:p>
    <w:p w14:paraId="03C3CF0D" w14:textId="77777777" w:rsidR="00C90AB0" w:rsidRDefault="00C90AB0" w:rsidP="00C90AB0">
      <w:pPr>
        <w:pStyle w:val="whitespace-normal"/>
      </w:pPr>
      <w:r>
        <w:rPr>
          <w:rStyle w:val="Fett"/>
          <w:rFonts w:eastAsiaTheme="majorEastAsia"/>
        </w:rPr>
        <w:t>Hebräisch:</w:t>
      </w:r>
      <w:r>
        <w:t xml:space="preserve"> </w:t>
      </w:r>
      <w:r>
        <w:rPr>
          <w:rtl/>
        </w:rPr>
        <w:t>שׂ֣וֹם תָּשִׂ֤ים עָלֶ֨יךָ֙ מֶ֔לֶךְ אֲשֶׁ֥ר יִבְחַ֛ר יְהוָ֥ה אֱלֹהֶ֖יךָ בּוֹ֑ מִקֶּ֣רֶב אַחֶ֗יךָ תָּשִׂ֤ים עָלֶ֨יךָ֙ מֶ֔לֶךְ לֹ֣א תוּכַ֗ל לָתֵ֤ת עָלֶ֨יךָ֙ אִ֣ישׁ נָכְרִ֔י אֲשֶׁ֥ר לֹֽא־אָחִ֖יךָ הֽוּא׃</w:t>
      </w:r>
    </w:p>
    <w:p w14:paraId="09EAE677" w14:textId="77777777" w:rsidR="00C90AB0" w:rsidRDefault="00C90AB0" w:rsidP="00C90AB0">
      <w:pPr>
        <w:pStyle w:val="whitespace-normal"/>
      </w:pPr>
      <w:r>
        <w:rPr>
          <w:rStyle w:val="Fett"/>
          <w:rFonts w:eastAsiaTheme="majorEastAsia"/>
        </w:rPr>
        <w:t>Deutsch:</w:t>
      </w:r>
      <w:r>
        <w:t xml:space="preserve"> so sollst du einen König über dich setzen, den der Ewige, dein Gott, erwählen wird. Aus der Mitte deiner Brüder sollst du einen König über dich setzen. Du kannst nicht einen fremden Mann über dich setzen, der nicht dein Bruder ist.</w:t>
      </w:r>
    </w:p>
    <w:p w14:paraId="13981450" w14:textId="77777777" w:rsidR="00C90AB0" w:rsidRDefault="004F5CEB" w:rsidP="00C90AB0">
      <w:r>
        <w:rPr>
          <w:noProof/>
        </w:rPr>
        <w:lastRenderedPageBreak/>
        <w:pict w14:anchorId="1B55204A">
          <v:rect id="_x0000_i1504" style="width:0;height:1.5pt" o:hralign="center" o:hrstd="t" o:hr="t" fillcolor="#a0a0a0" stroked="f"/>
        </w:pict>
      </w:r>
    </w:p>
    <w:p w14:paraId="4C4FF390"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שׂוֹם תָּשִׂים עָלֶיךָ מֶלֶךְ אֲשֶׁר יִבְחַר יְהוָה אֱלֹהֶיךָ בּוֹ</w:t>
      </w:r>
      <w:r>
        <w:rPr>
          <w:rtl/>
        </w:rPr>
        <w:t xml:space="preserve"> </w:t>
      </w:r>
      <w:r>
        <w:t xml:space="preserve">ist ein emphatischer Imperativsatz: </w:t>
      </w:r>
      <w:r>
        <w:rPr>
          <w:rStyle w:val="Fett"/>
          <w:rFonts w:eastAsiaTheme="majorEastAsia"/>
          <w:rtl/>
        </w:rPr>
        <w:t>שׂוֹם תָּשִׂים</w:t>
      </w:r>
      <w:r>
        <w:rPr>
          <w:rtl/>
        </w:rPr>
        <w:t xml:space="preserve"> </w:t>
      </w:r>
      <w:r>
        <w:t xml:space="preserve">(Qal Infinitiv Absolutus mit Qal Imperfekt, 2. Person Maskulinum Singular von </w:t>
      </w:r>
      <w:r>
        <w:rPr>
          <w:rStyle w:val="Fett"/>
          <w:rFonts w:eastAsiaTheme="majorEastAsia"/>
          <w:rtl/>
        </w:rPr>
        <w:t>שׂים</w:t>
      </w:r>
      <w:r>
        <w:t xml:space="preserve">, „setzen", zur Betonung), </w:t>
      </w:r>
      <w:r>
        <w:rPr>
          <w:rStyle w:val="Fett"/>
          <w:rFonts w:eastAsiaTheme="majorEastAsia"/>
          <w:rtl/>
        </w:rPr>
        <w:t>עָלֶיךָ</w:t>
      </w:r>
      <w:r>
        <w:rPr>
          <w:rtl/>
        </w:rPr>
        <w:t xml:space="preserve"> </w:t>
      </w:r>
      <w:r>
        <w:t xml:space="preserve">(Präposition </w:t>
      </w:r>
      <w:r>
        <w:rPr>
          <w:rStyle w:val="Fett"/>
          <w:rFonts w:eastAsiaTheme="majorEastAsia"/>
          <w:rtl/>
        </w:rPr>
        <w:t>עַל</w:t>
      </w:r>
      <w:r>
        <w:rPr>
          <w:rtl/>
        </w:rPr>
        <w:t xml:space="preserve"> </w:t>
      </w:r>
      <w:r>
        <w:t xml:space="preserve">mit Suffix 2. Person Maskulinum Singular, „über dich"), </w:t>
      </w:r>
      <w:r>
        <w:rPr>
          <w:rStyle w:val="Fett"/>
          <w:rFonts w:eastAsiaTheme="majorEastAsia"/>
          <w:rtl/>
        </w:rPr>
        <w:t>מֶלֶךְ</w:t>
      </w:r>
      <w:r>
        <w:rPr>
          <w:rtl/>
        </w:rPr>
        <w:t xml:space="preserve"> </w:t>
      </w:r>
      <w:r>
        <w:t>(</w:t>
      </w:r>
      <w:r>
        <w:rPr>
          <w:rStyle w:val="Fett"/>
          <w:rFonts w:eastAsiaTheme="majorEastAsia"/>
          <w:rtl/>
        </w:rPr>
        <w:t>מֶלֶךְ</w:t>
      </w:r>
      <w:r>
        <w:t xml:space="preserve">, „König"), </w:t>
      </w:r>
      <w:r>
        <w:rPr>
          <w:rStyle w:val="Fett"/>
          <w:rFonts w:eastAsiaTheme="majorEastAsia"/>
          <w:rtl/>
        </w:rPr>
        <w:t>אֲשֶׁר יִבְחַר יְהוָה אֱלֹהֶיךָ בּוֹ</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בחר</w:t>
      </w:r>
      <w:r>
        <w:t xml:space="preserve">, Qal Imperfekt, 3. Person Maskulinum Singular, „erwählen", </w:t>
      </w:r>
      <w:r>
        <w:rPr>
          <w:rStyle w:val="Fett"/>
          <w:rFonts w:eastAsiaTheme="majorEastAsia"/>
          <w:rtl/>
        </w:rPr>
        <w:t>יְהוָה אֱלֹהֶיךָ</w:t>
      </w:r>
      <w:r>
        <w:rPr>
          <w:rtl/>
        </w:rPr>
        <w:t xml:space="preserve"> </w:t>
      </w:r>
      <w:r>
        <w:t xml:space="preserve">als Subjekt, </w:t>
      </w:r>
      <w:r>
        <w:rPr>
          <w:rStyle w:val="Fett"/>
          <w:rFonts w:eastAsiaTheme="majorEastAsia"/>
          <w:rtl/>
        </w:rPr>
        <w:t>בּוֹ</w:t>
      </w:r>
      <w:r>
        <w:t xml:space="preserve">, Präposition </w:t>
      </w:r>
      <w:r>
        <w:rPr>
          <w:rStyle w:val="Fett"/>
          <w:rFonts w:eastAsiaTheme="majorEastAsia"/>
          <w:rtl/>
        </w:rPr>
        <w:t>בְּ</w:t>
      </w:r>
      <w:r>
        <w:rPr>
          <w:rtl/>
        </w:rPr>
        <w:t xml:space="preserve"> </w:t>
      </w:r>
      <w:r>
        <w:t>mit Suffix 3. Person Maskulinum Singular, „den erwählen wird JHWH, dein Gott").</w:t>
      </w:r>
    </w:p>
    <w:p w14:paraId="323FC57D" w14:textId="77777777" w:rsidR="00C90AB0" w:rsidRDefault="00C90AB0" w:rsidP="00C90AB0">
      <w:pPr>
        <w:pStyle w:val="whitespace-normal"/>
      </w:pPr>
      <w:r>
        <w:rPr>
          <w:rStyle w:val="Fett"/>
          <w:rFonts w:eastAsiaTheme="majorEastAsia"/>
          <w:rtl/>
        </w:rPr>
        <w:t>מִקֶּרֶב אַחֶיךָ תָּשִׂים עָלֶיךָ מֶלֶךְ</w:t>
      </w:r>
      <w:r>
        <w:rPr>
          <w:rtl/>
        </w:rPr>
        <w:t xml:space="preserve"> </w:t>
      </w:r>
      <w:r>
        <w:t xml:space="preserve">ist die erste Spezifikation: </w:t>
      </w:r>
      <w:r>
        <w:rPr>
          <w:rStyle w:val="Fett"/>
          <w:rFonts w:eastAsiaTheme="majorEastAsia"/>
          <w:rtl/>
        </w:rPr>
        <w:t>מִקֶּרֶב אַחֶיךָ</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קֶרֶב</w:t>
      </w:r>
      <w:r>
        <w:t xml:space="preserve">, „Mitte", Construct mit </w:t>
      </w:r>
      <w:r>
        <w:rPr>
          <w:rStyle w:val="Fett"/>
          <w:rFonts w:eastAsiaTheme="majorEastAsia"/>
          <w:rtl/>
        </w:rPr>
        <w:t>אָח</w:t>
      </w:r>
      <w:r>
        <w:t xml:space="preserve">, „Bruder", Plural mit Suffix 2. Person Maskulinum Singular, „aus der Mitte deiner Brüder"), </w:t>
      </w:r>
      <w:r>
        <w:rPr>
          <w:rStyle w:val="Fett"/>
          <w:rFonts w:eastAsiaTheme="majorEastAsia"/>
          <w:rtl/>
        </w:rPr>
        <w:t>תָּשִׂים עָלֶיךָ מֶלֶךְ</w:t>
      </w:r>
      <w:r>
        <w:rPr>
          <w:rtl/>
        </w:rPr>
        <w:t xml:space="preserve"> </w:t>
      </w:r>
      <w:r>
        <w:t>(wiederholter Imperativ).</w:t>
      </w:r>
    </w:p>
    <w:p w14:paraId="53880EA5" w14:textId="77777777" w:rsidR="00C90AB0" w:rsidRDefault="00C90AB0" w:rsidP="00C90AB0">
      <w:pPr>
        <w:pStyle w:val="whitespace-normal"/>
      </w:pPr>
      <w:r>
        <w:rPr>
          <w:rStyle w:val="Fett"/>
          <w:rFonts w:eastAsiaTheme="majorEastAsia"/>
          <w:rtl/>
        </w:rPr>
        <w:t>לֹא תוּכַל לָתֵת עָלֶיךָ אִישׁ נָכְרִי אֲשֶׁר לֹא־אָחִיךָ הוּא</w:t>
      </w:r>
      <w:r>
        <w:rPr>
          <w:rtl/>
        </w:rPr>
        <w:t xml:space="preserve"> </w:t>
      </w:r>
      <w:r>
        <w:t xml:space="preserve">ist die negative Spezifikation: </w:t>
      </w:r>
      <w:r>
        <w:rPr>
          <w:rStyle w:val="Fett"/>
          <w:rFonts w:eastAsiaTheme="majorEastAsia"/>
          <w:rtl/>
        </w:rPr>
        <w:t>לֹא תוּכַל</w:t>
      </w:r>
      <w:r>
        <w:rPr>
          <w:rtl/>
        </w:rPr>
        <w:t xml:space="preserve"> </w:t>
      </w:r>
      <w:r>
        <w:t xml:space="preserve">(Negation mit </w:t>
      </w:r>
      <w:r>
        <w:rPr>
          <w:rStyle w:val="Fett"/>
          <w:rFonts w:eastAsiaTheme="majorEastAsia"/>
          <w:rtl/>
        </w:rPr>
        <w:t>יכל</w:t>
      </w:r>
      <w:r>
        <w:t xml:space="preserve">, Qal Imperfekt, 2. Person Maskulinum Singular, „können"), </w:t>
      </w:r>
      <w:r>
        <w:rPr>
          <w:rStyle w:val="Fett"/>
          <w:rFonts w:eastAsiaTheme="majorEastAsia"/>
          <w:rtl/>
        </w:rPr>
        <w:t>לָתֵת עָלֶיךָ</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נתן</w:t>
      </w:r>
      <w:r>
        <w:t xml:space="preserve">, „geben, setzen", mit </w:t>
      </w:r>
      <w:r>
        <w:rPr>
          <w:rStyle w:val="Fett"/>
          <w:rFonts w:eastAsiaTheme="majorEastAsia"/>
          <w:rtl/>
        </w:rPr>
        <w:t>עָלֶיךָ</w:t>
      </w:r>
      <w:r>
        <w:t xml:space="preserve">), </w:t>
      </w:r>
      <w:r>
        <w:rPr>
          <w:rStyle w:val="Fett"/>
          <w:rFonts w:eastAsiaTheme="majorEastAsia"/>
          <w:rtl/>
        </w:rPr>
        <w:t>אִישׁ נָכְרִי</w:t>
      </w:r>
      <w:r>
        <w:rPr>
          <w:rtl/>
        </w:rPr>
        <w:t xml:space="preserve"> </w:t>
      </w:r>
      <w:r>
        <w:t>(</w:t>
      </w:r>
      <w:r>
        <w:rPr>
          <w:rStyle w:val="Fett"/>
          <w:rFonts w:eastAsiaTheme="majorEastAsia"/>
          <w:rtl/>
        </w:rPr>
        <w:t>אִישׁ</w:t>
      </w:r>
      <w:r>
        <w:t xml:space="preserve">, „Mann", </w:t>
      </w:r>
      <w:r>
        <w:rPr>
          <w:rStyle w:val="Fett"/>
          <w:rFonts w:eastAsiaTheme="majorEastAsia"/>
          <w:rtl/>
        </w:rPr>
        <w:t>נָכְרִי</w:t>
      </w:r>
      <w:r>
        <w:t xml:space="preserve">, „fremd, ausländisch"), </w:t>
      </w:r>
      <w:r>
        <w:rPr>
          <w:rStyle w:val="Fett"/>
          <w:rFonts w:eastAsiaTheme="majorEastAsia"/>
          <w:rtl/>
        </w:rPr>
        <w:t>אֲשֶׁר לֹא־אָחִיךָ הוּא</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לֹא</w:t>
      </w:r>
      <w:r>
        <w:t xml:space="preserve">, Negation, </w:t>
      </w:r>
      <w:r>
        <w:rPr>
          <w:rStyle w:val="Fett"/>
          <w:rFonts w:eastAsiaTheme="majorEastAsia"/>
          <w:rtl/>
        </w:rPr>
        <w:t>אָח</w:t>
      </w:r>
      <w:r>
        <w:t xml:space="preserve">, „Bruder", mit Suffix 2. Person Maskulinum Singular, </w:t>
      </w:r>
      <w:r>
        <w:rPr>
          <w:rStyle w:val="Fett"/>
          <w:rFonts w:eastAsiaTheme="majorEastAsia"/>
          <w:rtl/>
        </w:rPr>
        <w:t>הוּא</w:t>
      </w:r>
      <w:r>
        <w:t>, „der nicht dein Bruder ist").</w:t>
      </w:r>
    </w:p>
    <w:p w14:paraId="25A6BFA9" w14:textId="77A320BD" w:rsidR="00C90AB0" w:rsidRDefault="00C90AB0" w:rsidP="00C90AB0">
      <w:pPr>
        <w:pStyle w:val="whitespace-normal"/>
      </w:pPr>
      <w:r>
        <w:t xml:space="preserve">Der Vers nennt zwei Bedingungen für das Königtum: (1) </w:t>
      </w:r>
      <w:r>
        <w:rPr>
          <w:rStyle w:val="Fett"/>
          <w:rFonts w:eastAsiaTheme="majorEastAsia"/>
          <w:rtl/>
        </w:rPr>
        <w:t>אֲשֶׁר יִבְחַר יְהוָה</w:t>
      </w:r>
      <w:r>
        <w:rPr>
          <w:rtl/>
        </w:rPr>
        <w:t xml:space="preserve"> </w:t>
      </w:r>
      <w:r>
        <w:t xml:space="preserve">(„den JHWH erwählen wird") – göttliche Wahl (vgl. Saul: </w:t>
      </w:r>
      <w:r w:rsidR="00664EB6">
        <w:t>1Sam</w:t>
      </w:r>
      <w:r>
        <w:t xml:space="preserve"> 9,15-17; 10,24; David: </w:t>
      </w:r>
      <w:r w:rsidR="00664EB6">
        <w:t>1Sam</w:t>
      </w:r>
      <w:r>
        <w:t xml:space="preserve"> 16,12; </w:t>
      </w:r>
      <w:r w:rsidR="00664EB6">
        <w:t>2Sam</w:t>
      </w:r>
      <w:r>
        <w:t xml:space="preserve"> 6,21), (2) </w:t>
      </w:r>
      <w:r>
        <w:rPr>
          <w:rStyle w:val="Fett"/>
          <w:rFonts w:eastAsiaTheme="majorEastAsia"/>
          <w:rtl/>
        </w:rPr>
        <w:t>מִקֶּרֶב אַחֶיךָ</w:t>
      </w:r>
      <w:r>
        <w:rPr>
          <w:rtl/>
        </w:rPr>
        <w:t xml:space="preserve"> </w:t>
      </w:r>
      <w:r>
        <w:t xml:space="preserve">(„aus der Mitte deiner Brüder") – israelitische Herkunft. Das Verbot eines </w:t>
      </w:r>
      <w:r>
        <w:rPr>
          <w:rStyle w:val="Fett"/>
          <w:rFonts w:eastAsiaTheme="majorEastAsia"/>
          <w:rtl/>
        </w:rPr>
        <w:t>אִישׁ נָכְרִי</w:t>
      </w:r>
      <w:r>
        <w:rPr>
          <w:rtl/>
        </w:rPr>
        <w:t xml:space="preserve"> </w:t>
      </w:r>
      <w:r>
        <w:t>(„fremden Mannes") schließt ausländische Könige aus – Schutz vor dynastischen Fremdherrschaften.</w:t>
      </w:r>
    </w:p>
    <w:p w14:paraId="06FC9161" w14:textId="36DF67E7" w:rsidR="00C320AC" w:rsidRDefault="00C320AC" w:rsidP="00C90AB0">
      <w:pPr>
        <w:pStyle w:val="whitespace-normal"/>
      </w:pPr>
      <w:r>
        <w:rPr>
          <w:rStyle w:val="Fett"/>
        </w:rPr>
        <w:t>Die LXX</w:t>
      </w:r>
      <w:r>
        <w:t xml:space="preserve"> setzt die Übersetzung mit </w:t>
      </w:r>
      <w:proofErr w:type="spellStart"/>
      <w:r>
        <w:t>ἄρχοντ</w:t>
      </w:r>
      <w:proofErr w:type="spellEnd"/>
      <w:r>
        <w:t xml:space="preserve">α statt </w:t>
      </w:r>
      <w:r w:rsidRPr="00C320AC">
        <w:rPr>
          <w:b/>
          <w:bCs/>
          <w:rtl/>
        </w:rPr>
        <w:t>מֶלֶךְ</w:t>
      </w:r>
      <w:r>
        <w:t xml:space="preserve"> konsequent fort. Am Ende formuliert sie </w:t>
      </w:r>
      <w:proofErr w:type="spellStart"/>
      <w:r>
        <w:t>ὅτι</w:t>
      </w:r>
      <w:proofErr w:type="spellEnd"/>
      <w:r>
        <w:t xml:space="preserve"> </w:t>
      </w:r>
      <w:proofErr w:type="spellStart"/>
      <w:r>
        <w:t>οὐκ</w:t>
      </w:r>
      <w:proofErr w:type="spellEnd"/>
      <w:r>
        <w:t xml:space="preserve"> </w:t>
      </w:r>
      <w:proofErr w:type="spellStart"/>
      <w:r>
        <w:t>ἀδελφός</w:t>
      </w:r>
      <w:proofErr w:type="spellEnd"/>
      <w:r>
        <w:t xml:space="preserve"> </w:t>
      </w:r>
      <w:proofErr w:type="spellStart"/>
      <w:r>
        <w:t>σού</w:t>
      </w:r>
      <w:proofErr w:type="spellEnd"/>
      <w:r>
        <w:t xml:space="preserve"> </w:t>
      </w:r>
      <w:proofErr w:type="spellStart"/>
      <w:r>
        <w:t>ἐστιν</w:t>
      </w:r>
      <w:proofErr w:type="spellEnd"/>
      <w:r>
        <w:t xml:space="preserve"> (weil er nicht dein Bruder ist) für </w:t>
      </w:r>
      <w:r w:rsidRPr="00C320AC">
        <w:rPr>
          <w:b/>
          <w:bCs/>
          <w:rtl/>
        </w:rPr>
        <w:t>אֲשֶׁר לֹא־אָחִיךָ הוּא</w:t>
      </w:r>
      <w:r>
        <w:t xml:space="preserve"> – eine kausale statt relativische Konstruktion.</w:t>
      </w:r>
    </w:p>
    <w:p w14:paraId="09138992" w14:textId="77777777" w:rsidR="00C90AB0" w:rsidRDefault="00C90AB0" w:rsidP="00C90AB0">
      <w:pPr>
        <w:pStyle w:val="whitespace-normal"/>
      </w:pPr>
      <w:r>
        <w:rPr>
          <w:rStyle w:val="Fett"/>
          <w:rFonts w:eastAsiaTheme="majorEastAsia"/>
        </w:rPr>
        <w:t>Die Satzstruktur:</w:t>
      </w:r>
      <w:r>
        <w:t xml:space="preserve"> Emphatischer Imperativ mit Relativsatz, wiederholter Imperativ mit Herkunftsbestimmung und negierter Modalsatz (setzen sollst du setzen über dich einen König, den erwählen wird JHWH, dein Gott; aus der Mitte deiner Brüder sollst du setzen über dich einen König; nicht kannst du setzen über dich einen fremden Mann, der nicht dein Bruder ist).</w:t>
      </w:r>
    </w:p>
    <w:p w14:paraId="4D914AFA" w14:textId="77777777" w:rsidR="00C90AB0" w:rsidRDefault="00C90AB0" w:rsidP="00C90AB0">
      <w:pPr>
        <w:pStyle w:val="whitespace-normal"/>
      </w:pPr>
      <w:r>
        <w:t>Der Vers legt fest: Setze einen König über dich – aber nur denjenigen, den JHWH erwählt, und nur einen aus dem Volk Israel, keinen Ausländer.</w:t>
      </w:r>
    </w:p>
    <w:p w14:paraId="59F647B7"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17,16</w:t>
      </w:r>
    </w:p>
    <w:p w14:paraId="582A0ABA" w14:textId="77777777" w:rsidR="00C90AB0" w:rsidRDefault="00C90AB0" w:rsidP="00C90AB0">
      <w:pPr>
        <w:pStyle w:val="whitespace-normal"/>
      </w:pPr>
      <w:r>
        <w:rPr>
          <w:rStyle w:val="Fett"/>
          <w:rFonts w:eastAsiaTheme="majorEastAsia"/>
        </w:rPr>
        <w:t>Hebräisch:</w:t>
      </w:r>
      <w:r>
        <w:t xml:space="preserve"> </w:t>
      </w:r>
      <w:r>
        <w:rPr>
          <w:rtl/>
        </w:rPr>
        <w:t>רַק֮ לֹא־יַרְבֶּה־לּוֹ֣ סוּסִים֒ וְלֹֽא־יָשִׁ֤יב אֶת־הָעָם֙ מִצְרַ֔יְמָה לְמַ֖עַן הַרְבּ֣וֹת ס֑וּס וַֽיהוָה֙ אָמַ֣ר לָכֶ֔ם לֹ֣א תֹסִפ֗וּן לָשׁ֛וּב בַּדֶּ֥רֶךְ הַזֶּ֖ה עֽוֹד׃</w:t>
      </w:r>
    </w:p>
    <w:p w14:paraId="5FEA53D7" w14:textId="77777777" w:rsidR="00C90AB0" w:rsidRDefault="00C90AB0" w:rsidP="00C90AB0">
      <w:pPr>
        <w:pStyle w:val="whitespace-normal"/>
      </w:pPr>
      <w:r>
        <w:rPr>
          <w:rStyle w:val="Fett"/>
          <w:rFonts w:eastAsiaTheme="majorEastAsia"/>
        </w:rPr>
        <w:t>Deutsch:</w:t>
      </w:r>
      <w:r>
        <w:t xml:space="preserve"> Nur soll er sich nicht viele Pferde anschaffen und das Volk nicht nach Mizrajim zurückführen, um sich viele Pferde zu verschaffen, denn der Ewige hat euch gesagt: Ihr sollt nie wieder auf diesen Weg zurückkehren.</w:t>
      </w:r>
    </w:p>
    <w:p w14:paraId="3B9F49E1" w14:textId="77777777" w:rsidR="00C90AB0" w:rsidRDefault="004F5CEB" w:rsidP="00C90AB0">
      <w:r>
        <w:rPr>
          <w:noProof/>
        </w:rPr>
        <w:pict w14:anchorId="2BC46DF5">
          <v:rect id="_x0000_i1505" style="width:0;height:1.5pt" o:hralign="center" o:hrstd="t" o:hr="t" fillcolor="#a0a0a0" stroked="f"/>
        </w:pict>
      </w:r>
    </w:p>
    <w:p w14:paraId="68E2105B" w14:textId="77777777" w:rsidR="00C90AB0" w:rsidRDefault="00C90AB0" w:rsidP="00C90AB0">
      <w:pPr>
        <w:pStyle w:val="whitespace-normal"/>
      </w:pPr>
      <w:r>
        <w:rPr>
          <w:rStyle w:val="Fett"/>
          <w:rFonts w:eastAsiaTheme="majorEastAsia"/>
        </w:rPr>
        <w:lastRenderedPageBreak/>
        <w:t>Kommentar:</w:t>
      </w:r>
      <w:r>
        <w:t xml:space="preserve"> </w:t>
      </w:r>
      <w:r>
        <w:rPr>
          <w:rStyle w:val="Fett"/>
          <w:rFonts w:eastAsiaTheme="majorEastAsia"/>
          <w:rtl/>
        </w:rPr>
        <w:t>רַק לֹא־יַרְבֶּה־לּוֹ סוּסִים וְלֹא־יָשִׁיב אֶת־הָעָם מִצְרַיְמָה לְמַעַן הַרְבּוֹת סוּס</w:t>
      </w:r>
      <w:r>
        <w:rPr>
          <w:rtl/>
        </w:rPr>
        <w:t xml:space="preserve"> </w:t>
      </w:r>
      <w:r>
        <w:t xml:space="preserve">sind zwei koordinierte Verbote: </w:t>
      </w:r>
      <w:r>
        <w:rPr>
          <w:rStyle w:val="Fett"/>
          <w:rFonts w:eastAsiaTheme="majorEastAsia"/>
          <w:rtl/>
        </w:rPr>
        <w:t>רַק</w:t>
      </w:r>
      <w:r>
        <w:rPr>
          <w:rtl/>
        </w:rPr>
        <w:t xml:space="preserve"> </w:t>
      </w:r>
      <w:r>
        <w:t xml:space="preserve">(„nur, jedoch") als restriktive Partikel, </w:t>
      </w:r>
      <w:r>
        <w:rPr>
          <w:rStyle w:val="Fett"/>
          <w:rFonts w:eastAsiaTheme="majorEastAsia"/>
          <w:rtl/>
        </w:rPr>
        <w:t>לֹא־יַרְבֶּה־לּוֹ סוּסִים</w:t>
      </w:r>
      <w:r>
        <w:rPr>
          <w:rtl/>
        </w:rPr>
        <w:t xml:space="preserve"> </w:t>
      </w:r>
      <w:r>
        <w:t xml:space="preserve">(Negation mit </w:t>
      </w:r>
      <w:r>
        <w:rPr>
          <w:rStyle w:val="Fett"/>
          <w:rFonts w:eastAsiaTheme="majorEastAsia"/>
          <w:rtl/>
        </w:rPr>
        <w:t>רבה</w:t>
      </w:r>
      <w:r>
        <w:t xml:space="preserve">, Hiphil Imperfekt, 3. Person Maskulinum Singular, „viel machen, vermehren", mit </w:t>
      </w:r>
      <w:r>
        <w:rPr>
          <w:rStyle w:val="Fett"/>
          <w:rFonts w:eastAsiaTheme="majorEastAsia"/>
          <w:rtl/>
        </w:rPr>
        <w:t>לּוֹ</w:t>
      </w:r>
      <w:r>
        <w:t xml:space="preserve">, ethischer Dativ, </w:t>
      </w:r>
      <w:r>
        <w:rPr>
          <w:rStyle w:val="Fett"/>
          <w:rFonts w:eastAsiaTheme="majorEastAsia"/>
          <w:rtl/>
        </w:rPr>
        <w:t>סוּס</w:t>
      </w:r>
      <w:r>
        <w:t xml:space="preserve">, „Pferd", Plural), </w:t>
      </w:r>
      <w:r>
        <w:rPr>
          <w:rStyle w:val="Fett"/>
          <w:rFonts w:eastAsiaTheme="majorEastAsia"/>
          <w:rtl/>
        </w:rPr>
        <w:t>וְלֹא־יָשִׁיב אֶת־הָעָם מִצְרַיְמָה</w:t>
      </w:r>
      <w:r>
        <w:rPr>
          <w:rtl/>
        </w:rPr>
        <w:t xml:space="preserve"> </w:t>
      </w:r>
      <w:r>
        <w:t xml:space="preserve">(koordiniert durch </w:t>
      </w:r>
      <w:r>
        <w:rPr>
          <w:rStyle w:val="Fett"/>
          <w:rFonts w:eastAsiaTheme="majorEastAsia"/>
          <w:rtl/>
        </w:rPr>
        <w:t>וְ</w:t>
      </w:r>
      <w:r>
        <w:rPr>
          <w:rtl/>
        </w:rPr>
        <w:t xml:space="preserve"> </w:t>
      </w:r>
      <w:r>
        <w:t xml:space="preserve">mit Negation und </w:t>
      </w:r>
      <w:r>
        <w:rPr>
          <w:rStyle w:val="Fett"/>
          <w:rFonts w:eastAsiaTheme="majorEastAsia"/>
          <w:rtl/>
        </w:rPr>
        <w:t>שׁוב</w:t>
      </w:r>
      <w:r>
        <w:t xml:space="preserve">, Hiphil Imperfekt, 3. Person Maskulinum Singular, „zurückkehren", Hiphil „zurückführen", </w:t>
      </w:r>
      <w:r>
        <w:rPr>
          <w:rStyle w:val="Fett"/>
          <w:rFonts w:eastAsiaTheme="majorEastAsia"/>
          <w:rtl/>
        </w:rPr>
        <w:t>אֶת־הָעָם</w:t>
      </w:r>
      <w:r>
        <w:t xml:space="preserve">, Objektpartikel </w:t>
      </w:r>
      <w:r>
        <w:rPr>
          <w:rStyle w:val="Fett"/>
          <w:rFonts w:eastAsiaTheme="majorEastAsia"/>
          <w:rtl/>
        </w:rPr>
        <w:t>אֵת</w:t>
      </w:r>
      <w:r>
        <w:rPr>
          <w:rtl/>
        </w:rPr>
        <w:t xml:space="preserve"> </w:t>
      </w:r>
      <w:r>
        <w:t xml:space="preserve">mit </w:t>
      </w:r>
      <w:r>
        <w:rPr>
          <w:rStyle w:val="Fett"/>
          <w:rFonts w:eastAsiaTheme="majorEastAsia"/>
          <w:rtl/>
        </w:rPr>
        <w:t>עַם</w:t>
      </w:r>
      <w:r>
        <w:t xml:space="preserve">, „Volk", mit Artikel, </w:t>
      </w:r>
      <w:r>
        <w:rPr>
          <w:rStyle w:val="Fett"/>
          <w:rFonts w:eastAsiaTheme="majorEastAsia"/>
          <w:rtl/>
        </w:rPr>
        <w:t>מִצְרַיְמָה</w:t>
      </w:r>
      <w:r>
        <w:t xml:space="preserve">, „nach Ägypten", Richtungsendung </w:t>
      </w:r>
      <w:r>
        <w:rPr>
          <w:rStyle w:val="Fett"/>
          <w:rFonts w:eastAsiaTheme="majorEastAsia"/>
          <w:rtl/>
        </w:rPr>
        <w:t>ה</w:t>
      </w:r>
      <w:r>
        <w:rPr>
          <w:rStyle w:val="Fett"/>
          <w:rFonts w:eastAsiaTheme="majorEastAsia"/>
        </w:rPr>
        <w:t>-</w:t>
      </w:r>
      <w:r>
        <w:t xml:space="preserve">), </w:t>
      </w:r>
      <w:r>
        <w:rPr>
          <w:rStyle w:val="Fett"/>
          <w:rFonts w:eastAsiaTheme="majorEastAsia"/>
          <w:rtl/>
        </w:rPr>
        <w:t>לְמַעַן הַרְבּוֹת סוּס</w:t>
      </w:r>
      <w:r>
        <w:rPr>
          <w:rtl/>
        </w:rPr>
        <w:t xml:space="preserve"> </w:t>
      </w:r>
      <w:r>
        <w:t xml:space="preserve">(Präposition </w:t>
      </w:r>
      <w:r>
        <w:rPr>
          <w:rStyle w:val="Fett"/>
          <w:rFonts w:eastAsiaTheme="majorEastAsia"/>
          <w:rtl/>
        </w:rPr>
        <w:t>לְמַעַן</w:t>
      </w:r>
      <w:r>
        <w:t xml:space="preserve">, „um zu", mit Hiphil Infinitiv Construct von </w:t>
      </w:r>
      <w:r>
        <w:rPr>
          <w:rStyle w:val="Fett"/>
          <w:rFonts w:eastAsiaTheme="majorEastAsia"/>
          <w:rtl/>
        </w:rPr>
        <w:t>רבה</w:t>
      </w:r>
      <w:r>
        <w:t xml:space="preserve">, „vermehren", </w:t>
      </w:r>
      <w:r>
        <w:rPr>
          <w:rStyle w:val="Fett"/>
          <w:rFonts w:eastAsiaTheme="majorEastAsia"/>
          <w:rtl/>
        </w:rPr>
        <w:t>סוּס</w:t>
      </w:r>
      <w:r>
        <w:t>, „Pferd").</w:t>
      </w:r>
    </w:p>
    <w:p w14:paraId="439A682C" w14:textId="77777777" w:rsidR="00C90AB0" w:rsidRDefault="00C90AB0" w:rsidP="00C90AB0">
      <w:pPr>
        <w:pStyle w:val="whitespace-normal"/>
      </w:pPr>
      <w:r>
        <w:rPr>
          <w:rStyle w:val="Fett"/>
          <w:rFonts w:eastAsiaTheme="majorEastAsia"/>
          <w:rtl/>
        </w:rPr>
        <w:t>וַיהוָה אָמַר לָכֶם לֹא תֹסִפוּן לָשׁוּב בַּדֶּרֶךְ הַזֶּה עוֹד</w:t>
      </w:r>
      <w:r>
        <w:rPr>
          <w:rtl/>
        </w:rPr>
        <w:t xml:space="preserve"> </w:t>
      </w:r>
      <w:r>
        <w:t xml:space="preserve">ist die Begründung: </w:t>
      </w:r>
      <w:r>
        <w:rPr>
          <w:rStyle w:val="Fett"/>
          <w:rFonts w:eastAsiaTheme="majorEastAsia"/>
          <w:rtl/>
        </w:rPr>
        <w:t>וַיהוָה אָמַר לָכֶם</w:t>
      </w:r>
      <w:r>
        <w:rPr>
          <w:rtl/>
        </w:rPr>
        <w:t xml:space="preserve"> </w:t>
      </w:r>
      <w:r>
        <w:t>(</w:t>
      </w:r>
      <w:r>
        <w:rPr>
          <w:rStyle w:val="Fett"/>
          <w:rFonts w:eastAsiaTheme="majorEastAsia"/>
          <w:rtl/>
        </w:rPr>
        <w:t>יְהוָה</w:t>
      </w:r>
      <w:r>
        <w:rPr>
          <w:rtl/>
        </w:rPr>
        <w:t xml:space="preserve"> </w:t>
      </w:r>
      <w:r>
        <w:t xml:space="preserve">als Subjekt, </w:t>
      </w:r>
      <w:r>
        <w:rPr>
          <w:rStyle w:val="Fett"/>
          <w:rFonts w:eastAsiaTheme="majorEastAsia"/>
          <w:rtl/>
        </w:rPr>
        <w:t>אמר</w:t>
      </w:r>
      <w:r>
        <w:t xml:space="preserve">, Qal Perfekt, 3. Person Maskulinum Singular, „sagen", </w:t>
      </w:r>
      <w:r>
        <w:rPr>
          <w:rStyle w:val="Fett"/>
          <w:rFonts w:eastAsiaTheme="majorEastAsia"/>
          <w:rtl/>
        </w:rPr>
        <w:t>לָכֶם</w:t>
      </w:r>
      <w:r>
        <w:t xml:space="preserve">, Präposition </w:t>
      </w:r>
      <w:r>
        <w:rPr>
          <w:rStyle w:val="Fett"/>
          <w:rFonts w:eastAsiaTheme="majorEastAsia"/>
          <w:rtl/>
        </w:rPr>
        <w:t>לְ</w:t>
      </w:r>
      <w:r>
        <w:rPr>
          <w:rtl/>
        </w:rPr>
        <w:t xml:space="preserve"> </w:t>
      </w:r>
      <w:r>
        <w:t xml:space="preserve">mit Suffix 2. Person Plural, „euch"), </w:t>
      </w:r>
      <w:r>
        <w:rPr>
          <w:rStyle w:val="Fett"/>
          <w:rFonts w:eastAsiaTheme="majorEastAsia"/>
          <w:rtl/>
        </w:rPr>
        <w:t>לֹא תֹסִפוּן לָשׁוּב</w:t>
      </w:r>
      <w:r>
        <w:rPr>
          <w:rtl/>
        </w:rPr>
        <w:t xml:space="preserve"> </w:t>
      </w:r>
      <w:r>
        <w:t xml:space="preserve">(Negation </w:t>
      </w:r>
      <w:r>
        <w:rPr>
          <w:rStyle w:val="Fett"/>
          <w:rFonts w:eastAsiaTheme="majorEastAsia"/>
          <w:rtl/>
        </w:rPr>
        <w:t>לֹא</w:t>
      </w:r>
      <w:r>
        <w:rPr>
          <w:rtl/>
        </w:rPr>
        <w:t xml:space="preserve"> </w:t>
      </w:r>
      <w:r>
        <w:t xml:space="preserve">mit </w:t>
      </w:r>
      <w:r>
        <w:rPr>
          <w:rStyle w:val="Fett"/>
          <w:rFonts w:eastAsiaTheme="majorEastAsia"/>
          <w:rtl/>
        </w:rPr>
        <w:t>יסף</w:t>
      </w:r>
      <w:r>
        <w:t xml:space="preserve">, Hiphil Imperfekt, 2. Person Plural, „hinzufügen, fortfahren", mit Qal Infinitiv Construct von </w:t>
      </w:r>
      <w:r>
        <w:rPr>
          <w:rStyle w:val="Fett"/>
          <w:rFonts w:eastAsiaTheme="majorEastAsia"/>
          <w:rtl/>
        </w:rPr>
        <w:t>שׁוב</w:t>
      </w:r>
      <w:r>
        <w:t xml:space="preserve">, „zurückkehren"), </w:t>
      </w:r>
      <w:r>
        <w:rPr>
          <w:rStyle w:val="Fett"/>
          <w:rFonts w:eastAsiaTheme="majorEastAsia"/>
          <w:rtl/>
        </w:rPr>
        <w:t>בַּדֶּרֶךְ הַזֶּה עוֹד</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דֶּרֶךְ</w:t>
      </w:r>
      <w:r>
        <w:t xml:space="preserve">, „Weg", mit Artikel und Demonstrativpronomen </w:t>
      </w:r>
      <w:r>
        <w:rPr>
          <w:rStyle w:val="Fett"/>
          <w:rFonts w:eastAsiaTheme="majorEastAsia"/>
          <w:rtl/>
        </w:rPr>
        <w:t>זֶה</w:t>
      </w:r>
      <w:r>
        <w:t xml:space="preserve">, </w:t>
      </w:r>
      <w:r>
        <w:rPr>
          <w:rStyle w:val="Fett"/>
          <w:rFonts w:eastAsiaTheme="majorEastAsia"/>
          <w:rtl/>
        </w:rPr>
        <w:t>עוֹד</w:t>
      </w:r>
      <w:r>
        <w:t>, „mehr, noch").</w:t>
      </w:r>
    </w:p>
    <w:p w14:paraId="159B3628" w14:textId="366C2BBB" w:rsidR="00C90AB0" w:rsidRDefault="00C90AB0" w:rsidP="00C90AB0">
      <w:pPr>
        <w:pStyle w:val="whitespace-normal"/>
      </w:pPr>
      <w:r>
        <w:t xml:space="preserve">Die Verse 16-17 nennen drei Verbote für den König: (1) Keine vielen Pferde (V. 16a), (2) Keine Rückkehr nach Ägypten (V. 16b), (3) Keine vielen Frauen (V. 17a), (4) Nicht übermäßig Silber und Gold (V. 17b). Pferde symbolisieren militärische Macht und Vertrauen auf eigene Stärke statt auf JHWH (vgl. Ps 20,8; 33,17; Jes 31,1.3; Hos 14,4). Ägypten war berühmt für Pferdezucht (vgl. </w:t>
      </w:r>
      <w:r w:rsidR="00664EB6">
        <w:t>1Kön</w:t>
      </w:r>
      <w:r>
        <w:t xml:space="preserve"> 10,28-29). Das Verbot der Rückkehr nach Ägypten ist fundamental (vgl. Ex 13,17; 14,13; Num 14,3-4; Dtn 17,16; 28,68; Jer 42,15-19; 43,2-7; 44,12-14).</w:t>
      </w:r>
    </w:p>
    <w:p w14:paraId="16DDE6B3" w14:textId="19DF5AA8" w:rsidR="00C320AC" w:rsidRDefault="00C320AC" w:rsidP="00C90AB0">
      <w:pPr>
        <w:pStyle w:val="whitespace-normal"/>
      </w:pPr>
      <w:r>
        <w:rPr>
          <w:rStyle w:val="Fett"/>
        </w:rPr>
        <w:t>Die LXX</w:t>
      </w:r>
      <w:r>
        <w:t xml:space="preserve"> verwendet </w:t>
      </w:r>
      <w:proofErr w:type="spellStart"/>
      <w:r>
        <w:t>οὐδὲ</w:t>
      </w:r>
      <w:proofErr w:type="spellEnd"/>
      <w:r>
        <w:t xml:space="preserve"> </w:t>
      </w:r>
      <w:proofErr w:type="spellStart"/>
      <w:r>
        <w:t>μή</w:t>
      </w:r>
      <w:proofErr w:type="spellEnd"/>
      <w:r>
        <w:t xml:space="preserve"> (keinesfalls) – die stärkste griechische Verneinung – für das einfache </w:t>
      </w:r>
      <w:r>
        <w:rPr>
          <w:rtl/>
        </w:rPr>
        <w:t>וְלֹא</w:t>
      </w:r>
      <w:r>
        <w:t xml:space="preserve"> im MT.</w:t>
      </w:r>
    </w:p>
    <w:p w14:paraId="7E794BA8" w14:textId="77777777" w:rsidR="00C90AB0" w:rsidRDefault="00C90AB0" w:rsidP="00C90AB0">
      <w:pPr>
        <w:pStyle w:val="whitespace-normal"/>
      </w:pPr>
      <w:r>
        <w:rPr>
          <w:rStyle w:val="Fett"/>
          <w:rFonts w:eastAsiaTheme="majorEastAsia"/>
        </w:rPr>
        <w:t>Die Satzstruktur:</w:t>
      </w:r>
      <w:r>
        <w:t xml:space="preserve"> Zwei koordinierte negative Verben mit finaler Bestimmung und Begründung (nur nicht soll vermehren er sich Pferde, und nicht soll zurückführen er das Volk nach Ägypten, um zu vermehren Pferde; denn JHWH hat gesagt euch: Nicht sollt ihr fortfahren zurückzukehren auf diesem Weg mehr).</w:t>
      </w:r>
    </w:p>
    <w:p w14:paraId="0E5875E7" w14:textId="77777777" w:rsidR="00C90AB0" w:rsidRDefault="00C90AB0" w:rsidP="00C90AB0">
      <w:pPr>
        <w:pStyle w:val="whitespace-normal"/>
      </w:pPr>
      <w:r>
        <w:t>Der Vers verbietet dem König: Keine großen Pferdemengen anschaffen und das Volk nicht nach Ägypten schicken, um Pferde zu holen – denn JHWH hat verboten, nach Ägypten zurückzukehren.</w:t>
      </w:r>
    </w:p>
    <w:p w14:paraId="72AFDAC8"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17,17</w:t>
      </w:r>
    </w:p>
    <w:p w14:paraId="5F692FE1" w14:textId="77777777" w:rsidR="00C90AB0" w:rsidRDefault="00C90AB0" w:rsidP="00C90AB0">
      <w:pPr>
        <w:pStyle w:val="whitespace-normal"/>
      </w:pPr>
      <w:r>
        <w:rPr>
          <w:rStyle w:val="Fett"/>
          <w:rFonts w:eastAsiaTheme="majorEastAsia"/>
        </w:rPr>
        <w:t>Hebräisch:</w:t>
      </w:r>
      <w:r>
        <w:t xml:space="preserve"> </w:t>
      </w:r>
      <w:r>
        <w:rPr>
          <w:rtl/>
        </w:rPr>
        <w:t>וְלֹ֤א יַרְבֶּה־לּוֹ֙ נָשִׁ֔ים וְלֹ֥א יָס֖וּר לְבָבֹ֑ו וְכֶ֣סֶף וְזָהָ֔ב לֹ֥א יַרְבֶּה־לּוֹ֖ מְאֹֽד׃</w:t>
      </w:r>
    </w:p>
    <w:p w14:paraId="615EA314" w14:textId="77777777" w:rsidR="00C90AB0" w:rsidRDefault="00C90AB0" w:rsidP="00C90AB0">
      <w:pPr>
        <w:pStyle w:val="whitespace-normal"/>
      </w:pPr>
      <w:r>
        <w:rPr>
          <w:rStyle w:val="Fett"/>
          <w:rFonts w:eastAsiaTheme="majorEastAsia"/>
        </w:rPr>
        <w:t>Deutsch:</w:t>
      </w:r>
      <w:r>
        <w:t xml:space="preserve"> Und er soll sich nicht viele Frauen nehmen, damit sein Herz sich nicht abwendet; und Silber und Gold soll er sich nicht übermäßig anhäufen.</w:t>
      </w:r>
    </w:p>
    <w:p w14:paraId="06A31607" w14:textId="77777777" w:rsidR="00C90AB0" w:rsidRDefault="004F5CEB" w:rsidP="00C90AB0">
      <w:r>
        <w:rPr>
          <w:noProof/>
        </w:rPr>
        <w:pict w14:anchorId="29BB16E3">
          <v:rect id="_x0000_i1506" style="width:0;height:1.5pt" o:hralign="center" o:hrstd="t" o:hr="t" fillcolor="#a0a0a0" stroked="f"/>
        </w:pict>
      </w:r>
    </w:p>
    <w:p w14:paraId="3990C344"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וְלֹא יַרְבֶּה־לּוֹ נָשִׁים וְלֹא יָסוּר לְבָבוֹ</w:t>
      </w:r>
      <w:r>
        <w:rPr>
          <w:rtl/>
        </w:rPr>
        <w:t xml:space="preserve"> </w:t>
      </w:r>
      <w:r>
        <w:t xml:space="preserve">sind zwei koordinierte Sätze: </w:t>
      </w:r>
      <w:r>
        <w:rPr>
          <w:rStyle w:val="Fett"/>
          <w:rFonts w:eastAsiaTheme="majorEastAsia"/>
          <w:rtl/>
        </w:rPr>
        <w:t>וְלֹא יַרְבֶּה־לּוֹ נָשִׁים</w:t>
      </w:r>
      <w:r>
        <w:rPr>
          <w:rtl/>
        </w:rPr>
        <w:t xml:space="preserve"> </w:t>
      </w:r>
      <w:r>
        <w:t xml:space="preserve">(koordiniert durch </w:t>
      </w:r>
      <w:r>
        <w:rPr>
          <w:rStyle w:val="Fett"/>
          <w:rFonts w:eastAsiaTheme="majorEastAsia"/>
          <w:rtl/>
        </w:rPr>
        <w:t>וְ</w:t>
      </w:r>
      <w:r>
        <w:rPr>
          <w:rtl/>
        </w:rPr>
        <w:t xml:space="preserve"> </w:t>
      </w:r>
      <w:r>
        <w:t xml:space="preserve">mit Negation und </w:t>
      </w:r>
      <w:r>
        <w:rPr>
          <w:rStyle w:val="Fett"/>
          <w:rFonts w:eastAsiaTheme="majorEastAsia"/>
          <w:rtl/>
        </w:rPr>
        <w:t>רבה</w:t>
      </w:r>
      <w:r>
        <w:t xml:space="preserve">, Hiphil Imperfekt, 3. Person Maskulinum Singular, „vermehren", mit </w:t>
      </w:r>
      <w:r>
        <w:rPr>
          <w:rStyle w:val="Fett"/>
          <w:rFonts w:eastAsiaTheme="majorEastAsia"/>
          <w:rtl/>
        </w:rPr>
        <w:t>לּוֹ</w:t>
      </w:r>
      <w:r>
        <w:rPr>
          <w:rtl/>
        </w:rPr>
        <w:t xml:space="preserve"> </w:t>
      </w:r>
      <w:r>
        <w:t xml:space="preserve">und </w:t>
      </w:r>
      <w:r>
        <w:rPr>
          <w:rStyle w:val="Fett"/>
          <w:rFonts w:eastAsiaTheme="majorEastAsia"/>
          <w:rtl/>
        </w:rPr>
        <w:t>אִשָּׁה</w:t>
      </w:r>
      <w:r>
        <w:t xml:space="preserve">, „Frau", Plural), </w:t>
      </w:r>
      <w:r>
        <w:rPr>
          <w:rStyle w:val="Fett"/>
          <w:rFonts w:eastAsiaTheme="majorEastAsia"/>
          <w:rtl/>
        </w:rPr>
        <w:t>וְלֹא יָסוּר לְבָבוֹ</w:t>
      </w:r>
      <w:r>
        <w:rPr>
          <w:rtl/>
        </w:rPr>
        <w:t xml:space="preserve"> </w:t>
      </w:r>
      <w:r>
        <w:t xml:space="preserve">(koordiniert durch </w:t>
      </w:r>
      <w:r>
        <w:rPr>
          <w:rStyle w:val="Fett"/>
          <w:rFonts w:eastAsiaTheme="majorEastAsia"/>
          <w:rtl/>
        </w:rPr>
        <w:t>וְ</w:t>
      </w:r>
      <w:r>
        <w:rPr>
          <w:rtl/>
        </w:rPr>
        <w:t xml:space="preserve"> </w:t>
      </w:r>
      <w:r>
        <w:t xml:space="preserve">mit Negation </w:t>
      </w:r>
      <w:r>
        <w:lastRenderedPageBreak/>
        <w:t xml:space="preserve">und </w:t>
      </w:r>
      <w:r>
        <w:rPr>
          <w:rStyle w:val="Fett"/>
          <w:rFonts w:eastAsiaTheme="majorEastAsia"/>
          <w:rtl/>
        </w:rPr>
        <w:t>סור</w:t>
      </w:r>
      <w:r>
        <w:t xml:space="preserve">, Qal Imperfekt, 3. Person Maskulinum Singular, „abweichen, sich abwenden", </w:t>
      </w:r>
      <w:r>
        <w:rPr>
          <w:rStyle w:val="Fett"/>
          <w:rFonts w:eastAsiaTheme="majorEastAsia"/>
          <w:rtl/>
        </w:rPr>
        <w:t>לֵבָב</w:t>
      </w:r>
      <w:r>
        <w:t>, „Herz", mit Suffix 3. Person Maskulinum Singular).</w:t>
      </w:r>
    </w:p>
    <w:p w14:paraId="019FCE71" w14:textId="77777777" w:rsidR="00C90AB0" w:rsidRDefault="00C90AB0" w:rsidP="00C90AB0">
      <w:pPr>
        <w:pStyle w:val="whitespace-normal"/>
      </w:pPr>
      <w:r>
        <w:rPr>
          <w:rStyle w:val="Fett"/>
          <w:rFonts w:eastAsiaTheme="majorEastAsia"/>
          <w:rtl/>
        </w:rPr>
        <w:t>וְכֶסֶף וְזָהָב לֹא יַרְבֶּה־לּוֹ מְאֹד</w:t>
      </w:r>
      <w:r>
        <w:rPr>
          <w:rtl/>
        </w:rPr>
        <w:t xml:space="preserve"> </w:t>
      </w:r>
      <w:r>
        <w:t xml:space="preserve">ist das dritte Verbot: </w:t>
      </w:r>
      <w:r>
        <w:rPr>
          <w:rStyle w:val="Fett"/>
          <w:rFonts w:eastAsiaTheme="majorEastAsia"/>
          <w:rtl/>
        </w:rPr>
        <w:t>וְכֶסֶף וְזָהָב</w:t>
      </w:r>
      <w:r>
        <w:rPr>
          <w:rtl/>
        </w:rPr>
        <w:t xml:space="preserve"> </w:t>
      </w:r>
      <w:r>
        <w:t>(</w:t>
      </w:r>
      <w:r>
        <w:rPr>
          <w:rStyle w:val="Fett"/>
          <w:rFonts w:eastAsiaTheme="majorEastAsia"/>
          <w:rtl/>
        </w:rPr>
        <w:t>כֶּסֶף</w:t>
      </w:r>
      <w:r>
        <w:t xml:space="preserve">, „Silber", koordiniert durch </w:t>
      </w:r>
      <w:r>
        <w:rPr>
          <w:rStyle w:val="Fett"/>
          <w:rFonts w:eastAsiaTheme="majorEastAsia"/>
          <w:rtl/>
        </w:rPr>
        <w:t>וְ</w:t>
      </w:r>
      <w:r>
        <w:rPr>
          <w:rtl/>
        </w:rPr>
        <w:t xml:space="preserve"> </w:t>
      </w:r>
      <w:r>
        <w:t xml:space="preserve">mit </w:t>
      </w:r>
      <w:r>
        <w:rPr>
          <w:rStyle w:val="Fett"/>
          <w:rFonts w:eastAsiaTheme="majorEastAsia"/>
          <w:rtl/>
        </w:rPr>
        <w:t>זָהָב</w:t>
      </w:r>
      <w:r>
        <w:t xml:space="preserve">, „Gold"), </w:t>
      </w:r>
      <w:r>
        <w:rPr>
          <w:rStyle w:val="Fett"/>
          <w:rFonts w:eastAsiaTheme="majorEastAsia"/>
          <w:rtl/>
        </w:rPr>
        <w:t>לֹא יַרְבֶּה־לּוֹ מְאֹד</w:t>
      </w:r>
      <w:r>
        <w:rPr>
          <w:rtl/>
        </w:rPr>
        <w:t xml:space="preserve"> </w:t>
      </w:r>
      <w:r>
        <w:t xml:space="preserve">(Negation mit </w:t>
      </w:r>
      <w:r>
        <w:rPr>
          <w:rStyle w:val="Fett"/>
          <w:rFonts w:eastAsiaTheme="majorEastAsia"/>
          <w:rtl/>
        </w:rPr>
        <w:t>רבה</w:t>
      </w:r>
      <w:r>
        <w:t xml:space="preserve">, Hiphil Imperfekt, 3. Person Maskulinum Singular, mit </w:t>
      </w:r>
      <w:r>
        <w:rPr>
          <w:rStyle w:val="Fett"/>
          <w:rFonts w:eastAsiaTheme="majorEastAsia"/>
          <w:rtl/>
        </w:rPr>
        <w:t>לּוֹ</w:t>
      </w:r>
      <w:r>
        <w:rPr>
          <w:rtl/>
        </w:rPr>
        <w:t xml:space="preserve"> </w:t>
      </w:r>
      <w:r>
        <w:t xml:space="preserve">und </w:t>
      </w:r>
      <w:r>
        <w:rPr>
          <w:rStyle w:val="Fett"/>
          <w:rFonts w:eastAsiaTheme="majorEastAsia"/>
          <w:rtl/>
        </w:rPr>
        <w:t>מְאֹד</w:t>
      </w:r>
      <w:r>
        <w:t>, „sehr, übermäßig").</w:t>
      </w:r>
    </w:p>
    <w:p w14:paraId="6ABF6425" w14:textId="31ED7017" w:rsidR="00C90AB0" w:rsidRDefault="00C90AB0" w:rsidP="00C90AB0">
      <w:pPr>
        <w:pStyle w:val="whitespace-normal"/>
      </w:pPr>
      <w:r>
        <w:t xml:space="preserve">Die vielen Frauen führen zur religiösen Abtrünnigkeit – das klassische Beispiel ist Salomo, dessen ausländische Frauen sein Herz zu anderen Göttern wandten (vgl. </w:t>
      </w:r>
      <w:r w:rsidR="00664EB6">
        <w:t>1Kön</w:t>
      </w:r>
      <w:r>
        <w:t xml:space="preserve"> 11,1-8). Die Wendung </w:t>
      </w:r>
      <w:r>
        <w:rPr>
          <w:rStyle w:val="Fett"/>
          <w:rFonts w:eastAsiaTheme="majorEastAsia"/>
          <w:rtl/>
        </w:rPr>
        <w:t>וְלֹא יָסוּר לְבָבוֹ</w:t>
      </w:r>
      <w:r>
        <w:rPr>
          <w:rtl/>
        </w:rPr>
        <w:t xml:space="preserve"> </w:t>
      </w:r>
      <w:r>
        <w:t>(„damit sein Herz sich nicht abwendet") ist final – das Verbot dient dem Schutz vor Götzendienst. Das Verbot übermäßigen Reichtums (</w:t>
      </w:r>
      <w:r>
        <w:rPr>
          <w:rStyle w:val="Fett"/>
          <w:rFonts w:eastAsiaTheme="majorEastAsia"/>
          <w:rtl/>
        </w:rPr>
        <w:t>כֶסֶף וְזָהָב... מְאֹד</w:t>
      </w:r>
      <w:r>
        <w:t>) warnt vor Selbstüberhebung und Vertrauen auf Reichtum statt auf JHWH (vgl. 8,13-14; Spr 30,8-9).</w:t>
      </w:r>
    </w:p>
    <w:p w14:paraId="7D9093D2" w14:textId="14BC1C65" w:rsidR="00C320AC" w:rsidRDefault="00C320AC" w:rsidP="00C90AB0">
      <w:pPr>
        <w:pStyle w:val="whitespace-normal"/>
      </w:pPr>
      <w:r>
        <w:rPr>
          <w:rStyle w:val="Fett"/>
        </w:rPr>
        <w:t>Die LXX</w:t>
      </w:r>
      <w:r>
        <w:t xml:space="preserve"> übersetzt </w:t>
      </w:r>
      <w:r w:rsidRPr="00C320AC">
        <w:rPr>
          <w:b/>
          <w:bCs/>
          <w:rtl/>
        </w:rPr>
        <w:t>וְלֹא יָסוּר לְבָבוֹ</w:t>
      </w:r>
      <w:r w:rsidRPr="00C320AC">
        <w:rPr>
          <w:b/>
          <w:bCs/>
        </w:rPr>
        <w:t xml:space="preserve"> </w:t>
      </w:r>
      <w:r>
        <w:t xml:space="preserve">(und sein Herz soll nicht abweichen) mit </w:t>
      </w:r>
      <w:proofErr w:type="spellStart"/>
      <w:r>
        <w:t>οὐδὲ</w:t>
      </w:r>
      <w:proofErr w:type="spellEnd"/>
      <w:r>
        <w:t xml:space="preserve"> </w:t>
      </w:r>
      <w:proofErr w:type="spellStart"/>
      <w:r>
        <w:t>μετ</w:t>
      </w:r>
      <w:proofErr w:type="spellEnd"/>
      <w:r>
        <w:t>αστήσεται α</w:t>
      </w:r>
      <w:proofErr w:type="spellStart"/>
      <w:r>
        <w:t>ὐτοῦ</w:t>
      </w:r>
      <w:proofErr w:type="spellEnd"/>
      <w:r>
        <w:t xml:space="preserve"> ἡ κα</w:t>
      </w:r>
      <w:proofErr w:type="spellStart"/>
      <w:r>
        <w:t>ρδί</w:t>
      </w:r>
      <w:proofErr w:type="spellEnd"/>
      <w:r>
        <w:t xml:space="preserve">α (und sein Herz soll nicht abfallen/sich abwenden) – wobei </w:t>
      </w:r>
      <w:proofErr w:type="spellStart"/>
      <w:r>
        <w:t>μεθίστημι</w:t>
      </w:r>
      <w:proofErr w:type="spellEnd"/>
      <w:r>
        <w:t xml:space="preserve"> einen stärkeren Sinn des Abfalls oder der Rebellion haben kann.</w:t>
      </w:r>
    </w:p>
    <w:p w14:paraId="4B71C7E4" w14:textId="77777777" w:rsidR="00C90AB0" w:rsidRDefault="00C90AB0" w:rsidP="00C90AB0">
      <w:pPr>
        <w:pStyle w:val="whitespace-normal"/>
      </w:pPr>
      <w:r>
        <w:rPr>
          <w:rStyle w:val="Fett"/>
          <w:rFonts w:eastAsiaTheme="majorEastAsia"/>
        </w:rPr>
        <w:t>Die Satzstruktur:</w:t>
      </w:r>
      <w:r>
        <w:t xml:space="preserve"> Zwei koordinierte Verbote und drittes Verbot (und nicht soll vermehren er sich Frauen, und nicht soll sich abwenden sein Herz; und Silber und Gold nicht soll vermehren er sich übermäßig).</w:t>
      </w:r>
    </w:p>
    <w:p w14:paraId="670E6312" w14:textId="77777777" w:rsidR="00C90AB0" w:rsidRDefault="00C90AB0" w:rsidP="00C90AB0">
      <w:pPr>
        <w:pStyle w:val="whitespace-normal"/>
      </w:pPr>
      <w:r>
        <w:t>Der Vers verbietet dem König: Nicht viele Frauen nehmen (damit sein Herz nicht von JHWH abweicht) und nicht übermäßig Reichtum anhäufen.</w:t>
      </w:r>
    </w:p>
    <w:p w14:paraId="2DFBA34D"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17,18</w:t>
      </w:r>
    </w:p>
    <w:p w14:paraId="29B47AD2" w14:textId="77777777" w:rsidR="00C90AB0" w:rsidRDefault="00C90AB0" w:rsidP="00C90AB0">
      <w:pPr>
        <w:pStyle w:val="whitespace-normal"/>
      </w:pPr>
      <w:r>
        <w:rPr>
          <w:rStyle w:val="Fett"/>
          <w:rFonts w:eastAsiaTheme="majorEastAsia"/>
        </w:rPr>
        <w:t>Hebräisch:</w:t>
      </w:r>
      <w:r>
        <w:t xml:space="preserve"> </w:t>
      </w:r>
      <w:r>
        <w:rPr>
          <w:rtl/>
        </w:rPr>
        <w:t>וְהָיָ֣ה כְשִׁבְתּוֹ֔ עַ֖ל כִּסֵּ֣א מַמְלַכְתּוֹ֑ וְכָ֨תַב לוֹ֜ אֶת־מִשְׁנֵ֨ה הַתּוֹרָ֤ה הַזֹּאת֙ עַל־סֵ֔פֶר מִלִּפְנֵ֥י הַכֹּהֲנִ֖ים הַלְוִיִּֽם׃</w:t>
      </w:r>
    </w:p>
    <w:p w14:paraId="0BD88676" w14:textId="236143FB" w:rsidR="00C90AB0" w:rsidRDefault="00C90AB0" w:rsidP="00C90AB0">
      <w:pPr>
        <w:pStyle w:val="whitespace-normal"/>
      </w:pPr>
      <w:r>
        <w:rPr>
          <w:rStyle w:val="Fett"/>
          <w:rFonts w:eastAsiaTheme="majorEastAsia"/>
        </w:rPr>
        <w:t>Deutsch:</w:t>
      </w:r>
      <w:r>
        <w:t xml:space="preserve"> Und es soll geschehen, wenn er auf dem Thron seines Königreichs sitzt, soll er sich eine Abschrift dieser </w:t>
      </w:r>
      <w:r w:rsidR="001E0205">
        <w:t>Torah</w:t>
      </w:r>
      <w:r>
        <w:t xml:space="preserve"> in ein Buch schreiben, aus dem, was vor den Priestern, den Levijim, liegt.</w:t>
      </w:r>
    </w:p>
    <w:p w14:paraId="0CAB0AE0" w14:textId="77777777" w:rsidR="00C90AB0" w:rsidRDefault="004F5CEB" w:rsidP="00C90AB0">
      <w:r>
        <w:rPr>
          <w:noProof/>
        </w:rPr>
        <w:pict w14:anchorId="0969D5DD">
          <v:rect id="_x0000_i1507" style="width:0;height:1.5pt" o:hralign="center" o:hrstd="t" o:hr="t" fillcolor="#a0a0a0" stroked="f"/>
        </w:pict>
      </w:r>
    </w:p>
    <w:p w14:paraId="18CCFB16"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וְהָיָה כְשִׁבְתּוֹ עַל כִּסֵּא מַמְלַכְתּוֹ</w:t>
      </w:r>
      <w:r>
        <w:rPr>
          <w:rtl/>
        </w:rPr>
        <w:t xml:space="preserve"> </w:t>
      </w:r>
      <w:r>
        <w:t xml:space="preserve">ist ein temporaler Satz: </w:t>
      </w:r>
      <w:r>
        <w:rPr>
          <w:rStyle w:val="Fett"/>
          <w:rFonts w:eastAsiaTheme="majorEastAsia"/>
          <w:rtl/>
        </w:rPr>
        <w:t>וְהָיָה</w:t>
      </w:r>
      <w:r>
        <w:rPr>
          <w:rtl/>
        </w:rPr>
        <w:t xml:space="preserve"> </w:t>
      </w:r>
      <w:r>
        <w:t xml:space="preserve">(Qal Perfekt, 3. Person Maskulinum Singular von </w:t>
      </w:r>
      <w:r>
        <w:rPr>
          <w:rStyle w:val="Fett"/>
          <w:rFonts w:eastAsiaTheme="majorEastAsia"/>
          <w:rtl/>
        </w:rPr>
        <w:t>היה</w:t>
      </w:r>
      <w:r>
        <w:t xml:space="preserve">, „sein", mit </w:t>
      </w:r>
      <w:r>
        <w:rPr>
          <w:rStyle w:val="Fett"/>
          <w:rFonts w:eastAsiaTheme="majorEastAsia"/>
        </w:rPr>
        <w:t>Waw</w:t>
      </w:r>
      <w:r>
        <w:t xml:space="preserve">, „und es wird sein, es soll geschehen"), </w:t>
      </w:r>
      <w:r>
        <w:rPr>
          <w:rStyle w:val="Fett"/>
          <w:rFonts w:eastAsiaTheme="majorEastAsia"/>
          <w:rtl/>
        </w:rPr>
        <w:t>כְשִׁבְתּוֹ</w:t>
      </w:r>
      <w:r>
        <w:rPr>
          <w:rtl/>
        </w:rPr>
        <w:t xml:space="preserve"> </w:t>
      </w:r>
      <w:r>
        <w:t xml:space="preserve">(Präposition </w:t>
      </w:r>
      <w:r>
        <w:rPr>
          <w:rStyle w:val="Fett"/>
          <w:rFonts w:eastAsiaTheme="majorEastAsia"/>
          <w:rtl/>
        </w:rPr>
        <w:t>כְּ</w:t>
      </w:r>
      <w:r>
        <w:t xml:space="preserve">, „wenn", mit Qal Infinitiv Construct von </w:t>
      </w:r>
      <w:r>
        <w:rPr>
          <w:rStyle w:val="Fett"/>
          <w:rFonts w:eastAsiaTheme="majorEastAsia"/>
          <w:rtl/>
        </w:rPr>
        <w:t>ישׁב</w:t>
      </w:r>
      <w:r>
        <w:t xml:space="preserve">, „sitzen", mit Suffix 3. Person Maskulinum Singular), </w:t>
      </w:r>
      <w:r>
        <w:rPr>
          <w:rStyle w:val="Fett"/>
          <w:rFonts w:eastAsiaTheme="majorEastAsia"/>
          <w:rtl/>
        </w:rPr>
        <w:t>עַל כִּסֵּא מַמְלַכְתּוֹ</w:t>
      </w:r>
      <w:r>
        <w:rPr>
          <w:rtl/>
        </w:rPr>
        <w:t xml:space="preserve"> </w:t>
      </w:r>
      <w:r>
        <w:t xml:space="preserve">(Präposition </w:t>
      </w:r>
      <w:r>
        <w:rPr>
          <w:rStyle w:val="Fett"/>
          <w:rFonts w:eastAsiaTheme="majorEastAsia"/>
          <w:rtl/>
        </w:rPr>
        <w:t>עַל</w:t>
      </w:r>
      <w:r>
        <w:t xml:space="preserve">, „auf", </w:t>
      </w:r>
      <w:r>
        <w:rPr>
          <w:rStyle w:val="Fett"/>
          <w:rFonts w:eastAsiaTheme="majorEastAsia"/>
          <w:rtl/>
        </w:rPr>
        <w:t>כִּסֵּא</w:t>
      </w:r>
      <w:r>
        <w:t xml:space="preserve">, „Thron", Construct mit </w:t>
      </w:r>
      <w:r>
        <w:rPr>
          <w:rStyle w:val="Fett"/>
          <w:rFonts w:eastAsiaTheme="majorEastAsia"/>
          <w:rtl/>
        </w:rPr>
        <w:t>מַמְלָכָה</w:t>
      </w:r>
      <w:r>
        <w:t>, „Königreich, Königtum", mit Suffix 3. Person Maskulinum Singular).</w:t>
      </w:r>
    </w:p>
    <w:p w14:paraId="0AC927F4" w14:textId="0BFD281D" w:rsidR="00C90AB0" w:rsidRDefault="00C90AB0" w:rsidP="00C90AB0">
      <w:pPr>
        <w:pStyle w:val="whitespace-normal"/>
      </w:pPr>
      <w:r>
        <w:rPr>
          <w:rStyle w:val="Fett"/>
          <w:rFonts w:eastAsiaTheme="majorEastAsia"/>
          <w:rtl/>
        </w:rPr>
        <w:t>וְכָתַב לוֹ אֶת־מִשְׁנֵה הַתּוֹרָה הַזֹּאת עַל־סֵפֶר מִלִּפְנֵי הַכֹּהֲנִים הַלְוִיִּם</w:t>
      </w:r>
      <w:r>
        <w:rPr>
          <w:rtl/>
        </w:rPr>
        <w:t xml:space="preserve"> </w:t>
      </w:r>
      <w:r>
        <w:t xml:space="preserve">ist der Hauptsatz: </w:t>
      </w:r>
      <w:r>
        <w:rPr>
          <w:rStyle w:val="Fett"/>
          <w:rFonts w:eastAsiaTheme="majorEastAsia"/>
          <w:rtl/>
        </w:rPr>
        <w:t>וְכָתַב לוֹ</w:t>
      </w:r>
      <w:r>
        <w:rPr>
          <w:rtl/>
        </w:rPr>
        <w:t xml:space="preserve"> </w:t>
      </w:r>
      <w:r>
        <w:t xml:space="preserve">(Qal Perfekt, 3. Person Maskulinum Singular von </w:t>
      </w:r>
      <w:r>
        <w:rPr>
          <w:rStyle w:val="Fett"/>
          <w:rFonts w:eastAsiaTheme="majorEastAsia"/>
          <w:rtl/>
        </w:rPr>
        <w:t>כתב</w:t>
      </w:r>
      <w:r>
        <w:t xml:space="preserve">, „schreiben", mit </w:t>
      </w:r>
      <w:r>
        <w:rPr>
          <w:rStyle w:val="Fett"/>
          <w:rFonts w:eastAsiaTheme="majorEastAsia"/>
          <w:rtl/>
        </w:rPr>
        <w:t>לוֹ</w:t>
      </w:r>
      <w:r>
        <w:t xml:space="preserve">, ethischer Dativ, mit </w:t>
      </w:r>
      <w:r>
        <w:rPr>
          <w:rStyle w:val="Fett"/>
          <w:rFonts w:eastAsiaTheme="majorEastAsia"/>
        </w:rPr>
        <w:t>Waw</w:t>
      </w:r>
      <w:r>
        <w:t xml:space="preserve"> consecutives Perfekt), </w:t>
      </w:r>
      <w:r>
        <w:rPr>
          <w:rStyle w:val="Fett"/>
          <w:rFonts w:eastAsiaTheme="majorEastAsia"/>
          <w:rtl/>
        </w:rPr>
        <w:t>אֶת־מִשְׁנֵה הַתּוֹרָה הַזֹּאת</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מִשְׁנֶה</w:t>
      </w:r>
      <w:r>
        <w:t xml:space="preserve">, „Wiederholung, Abschrift, Kopie", Construct mit </w:t>
      </w:r>
      <w:r>
        <w:rPr>
          <w:rStyle w:val="Fett"/>
          <w:rFonts w:eastAsiaTheme="majorEastAsia"/>
          <w:rtl/>
        </w:rPr>
        <w:t>תּוֹרָה</w:t>
      </w:r>
      <w:r>
        <w:t>, „</w:t>
      </w:r>
      <w:r w:rsidR="006D3FED">
        <w:t>Torah</w:t>
      </w:r>
      <w:r>
        <w:t xml:space="preserve">", mit Artikel und Demonstrativpronomen </w:t>
      </w:r>
      <w:r>
        <w:rPr>
          <w:rStyle w:val="Fett"/>
          <w:rFonts w:eastAsiaTheme="majorEastAsia"/>
          <w:rtl/>
        </w:rPr>
        <w:t>זֹאת</w:t>
      </w:r>
      <w:r>
        <w:t xml:space="preserve">, „diese"), </w:t>
      </w:r>
      <w:r>
        <w:rPr>
          <w:rStyle w:val="Fett"/>
          <w:rFonts w:eastAsiaTheme="majorEastAsia"/>
          <w:rtl/>
        </w:rPr>
        <w:t>עַל־סֵפֶר</w:t>
      </w:r>
      <w:r>
        <w:rPr>
          <w:rtl/>
        </w:rPr>
        <w:t xml:space="preserve"> </w:t>
      </w:r>
      <w:r>
        <w:t xml:space="preserve">(Präposition </w:t>
      </w:r>
      <w:r>
        <w:rPr>
          <w:rStyle w:val="Fett"/>
          <w:rFonts w:eastAsiaTheme="majorEastAsia"/>
          <w:rtl/>
        </w:rPr>
        <w:t>עַל</w:t>
      </w:r>
      <w:r>
        <w:t xml:space="preserve">, „auf", </w:t>
      </w:r>
      <w:r>
        <w:rPr>
          <w:rStyle w:val="Fett"/>
          <w:rFonts w:eastAsiaTheme="majorEastAsia"/>
          <w:rtl/>
        </w:rPr>
        <w:t>סֵפֶר</w:t>
      </w:r>
      <w:r>
        <w:t xml:space="preserve">, „Buch, Schriftrolle"), </w:t>
      </w:r>
      <w:r>
        <w:rPr>
          <w:rStyle w:val="Fett"/>
          <w:rFonts w:eastAsiaTheme="majorEastAsia"/>
          <w:rtl/>
        </w:rPr>
        <w:t>מִלִּפְנֵי הַכֹּהֲנִים הַלְוִיִּם</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לִפְנֵי</w:t>
      </w:r>
      <w:r>
        <w:t xml:space="preserve">, „vor, von vor", </w:t>
      </w:r>
      <w:r>
        <w:rPr>
          <w:rStyle w:val="Fett"/>
          <w:rFonts w:eastAsiaTheme="majorEastAsia"/>
          <w:rtl/>
        </w:rPr>
        <w:t>כֹּהֵן</w:t>
      </w:r>
      <w:r>
        <w:t xml:space="preserve">, Plural mit Artikel, </w:t>
      </w:r>
      <w:r>
        <w:rPr>
          <w:rStyle w:val="Fett"/>
          <w:rFonts w:eastAsiaTheme="majorEastAsia"/>
          <w:rtl/>
        </w:rPr>
        <w:t>לֵוִי</w:t>
      </w:r>
      <w:r>
        <w:t>, Plural mit Artikel, „von vor den Priestern, den Leviten" = nach dem Vorbild/der Vorlage, die vor den Priestern liegt).</w:t>
      </w:r>
    </w:p>
    <w:p w14:paraId="620E6E84" w14:textId="674C14FB" w:rsidR="00C90AB0" w:rsidRDefault="00C90AB0" w:rsidP="00C90AB0">
      <w:pPr>
        <w:pStyle w:val="whitespace-normal"/>
      </w:pPr>
      <w:r>
        <w:lastRenderedPageBreak/>
        <w:t xml:space="preserve">Der Ausdruck </w:t>
      </w:r>
      <w:r>
        <w:rPr>
          <w:rStyle w:val="Fett"/>
          <w:rFonts w:eastAsiaTheme="majorEastAsia"/>
          <w:rtl/>
        </w:rPr>
        <w:t>מִשְׁנֵה הַתּוֹרָה</w:t>
      </w:r>
      <w:r>
        <w:rPr>
          <w:rtl/>
        </w:rPr>
        <w:t xml:space="preserve"> </w:t>
      </w:r>
      <w:r>
        <w:t xml:space="preserve">(„Wiederholung/Abschrift der </w:t>
      </w:r>
      <w:r w:rsidR="006D3FED">
        <w:t>Torah</w:t>
      </w:r>
      <w:r>
        <w:t>") ist die Grundlage für den griechischen Namen „Deuteronomium" (</w:t>
      </w:r>
      <w:proofErr w:type="spellStart"/>
      <w:r>
        <w:t>δευτερονόμιον</w:t>
      </w:r>
      <w:proofErr w:type="spellEnd"/>
      <w:r>
        <w:t xml:space="preserve"> = „zweites Gesetz"). Die Anweisung verlangt vom König, eine persönliche </w:t>
      </w:r>
      <w:r w:rsidR="006D3FED">
        <w:t>Torah</w:t>
      </w:r>
      <w:r>
        <w:t xml:space="preserve">-Abschrift anzufertigen – Symbol seiner Unterwerfung unter das göttliche Gesetz. Die Formulierung </w:t>
      </w:r>
      <w:r>
        <w:rPr>
          <w:rStyle w:val="Fett"/>
          <w:rFonts w:eastAsiaTheme="majorEastAsia"/>
          <w:rtl/>
        </w:rPr>
        <w:t>מִלִּפְנֵי הַכֹּהֲנִים הַלְוִיִּם</w:t>
      </w:r>
      <w:r>
        <w:rPr>
          <w:rtl/>
        </w:rPr>
        <w:t xml:space="preserve"> </w:t>
      </w:r>
      <w:r>
        <w:t xml:space="preserve">(„von vor den Priestern, den Leviten") zeigt: Die levitischen Priester bewahren die maßgebliche </w:t>
      </w:r>
      <w:r w:rsidR="006D3FED">
        <w:t>Torah</w:t>
      </w:r>
      <w:r>
        <w:t>-Vorlage (vgl. 31,9.25-26).</w:t>
      </w:r>
    </w:p>
    <w:p w14:paraId="7680008A" w14:textId="2EC5A1BD" w:rsidR="00C320AC" w:rsidRDefault="00C320AC" w:rsidP="00C90AB0">
      <w:pPr>
        <w:pStyle w:val="whitespace-normal"/>
      </w:pPr>
      <w:r>
        <w:rPr>
          <w:rStyle w:val="Fett"/>
        </w:rPr>
        <w:t>Die LXX</w:t>
      </w:r>
      <w:r>
        <w:t xml:space="preserve"> übersetzt </w:t>
      </w:r>
      <w:r w:rsidRPr="00C320AC">
        <w:rPr>
          <w:b/>
          <w:bCs/>
          <w:rtl/>
        </w:rPr>
        <w:t>מִשְׁנֵה הַתּוֹרָה</w:t>
      </w:r>
      <w:r>
        <w:t xml:space="preserve"> (eine Abschrift/das Doppel der </w:t>
      </w:r>
      <w:r w:rsidR="006D3FED">
        <w:t>Torah</w:t>
      </w:r>
      <w:r>
        <w:t xml:space="preserve">) mit </w:t>
      </w:r>
      <w:proofErr w:type="spellStart"/>
      <w:r>
        <w:t>τὸ</w:t>
      </w:r>
      <w:proofErr w:type="spellEnd"/>
      <w:r>
        <w:t xml:space="preserve"> </w:t>
      </w:r>
      <w:proofErr w:type="spellStart"/>
      <w:r>
        <w:t>δευτερονόμιον</w:t>
      </w:r>
      <w:proofErr w:type="spellEnd"/>
      <w:r>
        <w:t xml:space="preserve"> (das Deuteronomium, die zweite Gesetzgebung) – dies ist die berühmte Stelle, die dem Buch seinen griechischen Namen gab. Die LXX versteht dies nicht als "Abschrift", sondern als "zweites Gesetz". Zudem übersetzt sie </w:t>
      </w:r>
      <w:r w:rsidRPr="00C320AC">
        <w:rPr>
          <w:b/>
          <w:bCs/>
          <w:rtl/>
        </w:rPr>
        <w:t>כִּסֵּא מַמְלַכְתּוֹ</w:t>
      </w:r>
      <w:r>
        <w:t xml:space="preserve"> (Thron seines Königtums) mit </w:t>
      </w:r>
      <w:proofErr w:type="spellStart"/>
      <w:r>
        <w:t>τοῦ</w:t>
      </w:r>
      <w:proofErr w:type="spellEnd"/>
      <w:r>
        <w:t xml:space="preserve"> </w:t>
      </w:r>
      <w:proofErr w:type="spellStart"/>
      <w:r>
        <w:t>δίφρου</w:t>
      </w:r>
      <w:proofErr w:type="spellEnd"/>
      <w:r>
        <w:t xml:space="preserve"> </w:t>
      </w:r>
      <w:proofErr w:type="spellStart"/>
      <w:r>
        <w:t>τῆς</w:t>
      </w:r>
      <w:proofErr w:type="spellEnd"/>
      <w:r>
        <w:t xml:space="preserve"> </w:t>
      </w:r>
      <w:proofErr w:type="spellStart"/>
      <w:r>
        <w:t>ἀρχῆς</w:t>
      </w:r>
      <w:proofErr w:type="spellEnd"/>
      <w:r>
        <w:t xml:space="preserve"> α</w:t>
      </w:r>
      <w:proofErr w:type="spellStart"/>
      <w:r>
        <w:t>ὐτοῦ</w:t>
      </w:r>
      <w:proofErr w:type="spellEnd"/>
      <w:r>
        <w:t xml:space="preserve"> (des Sitzes seiner Herrschaft) – wieder die Vermeidung von "Königtum". Die Präposition πα</w:t>
      </w:r>
      <w:proofErr w:type="spellStart"/>
      <w:r>
        <w:t>ρά</w:t>
      </w:r>
      <w:proofErr w:type="spellEnd"/>
      <w:r>
        <w:t xml:space="preserve"> (von, bei) für </w:t>
      </w:r>
      <w:r w:rsidRPr="00C320AC">
        <w:rPr>
          <w:b/>
          <w:bCs/>
          <w:rtl/>
        </w:rPr>
        <w:t>מִלִּפְנֵי</w:t>
      </w:r>
      <w:r>
        <w:t xml:space="preserve"> (von vor) ändert die räumliche Beziehung leicht.</w:t>
      </w:r>
    </w:p>
    <w:p w14:paraId="5EB2A49A" w14:textId="50D15CC8" w:rsidR="00C90AB0" w:rsidRDefault="00C90AB0" w:rsidP="00C90AB0">
      <w:pPr>
        <w:pStyle w:val="whitespace-normal"/>
      </w:pPr>
      <w:r>
        <w:rPr>
          <w:rStyle w:val="Fett"/>
          <w:rFonts w:eastAsiaTheme="majorEastAsia"/>
        </w:rPr>
        <w:t>Die Satzstruktur:</w:t>
      </w:r>
      <w:r>
        <w:t xml:space="preserve"> Temporaler Satz mit Hauptsatz (und es wird sein, wenn er sitzt auf dem Thron seines Königreichs, und schreiben soll er sich eine Abschrift dieser </w:t>
      </w:r>
      <w:r w:rsidR="006D3FED">
        <w:t>Torah</w:t>
      </w:r>
      <w:r>
        <w:t xml:space="preserve"> auf eine Schriftrolle, von vor den Priestern, den Leviten).</w:t>
      </w:r>
    </w:p>
    <w:p w14:paraId="0661A24F" w14:textId="7F2FD3E8" w:rsidR="00C90AB0" w:rsidRDefault="00C90AB0" w:rsidP="00C90AB0">
      <w:pPr>
        <w:pStyle w:val="whitespace-normal"/>
      </w:pPr>
      <w:r>
        <w:t xml:space="preserve">Der Vers verpflichtet: Wenn der König den Thron besteigt, soll er sich eine Abschrift der </w:t>
      </w:r>
      <w:r w:rsidR="006D3FED">
        <w:t>Torah</w:t>
      </w:r>
      <w:r>
        <w:t xml:space="preserve"> anfertigen – nach der Vorlage, die die levitischen Priester bewahren.</w:t>
      </w:r>
    </w:p>
    <w:p w14:paraId="6A9C5590"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17,19</w:t>
      </w:r>
    </w:p>
    <w:p w14:paraId="0A8B5D3E" w14:textId="77777777" w:rsidR="00C90AB0" w:rsidRDefault="00C90AB0" w:rsidP="00C90AB0">
      <w:pPr>
        <w:pStyle w:val="whitespace-normal"/>
      </w:pPr>
      <w:r>
        <w:rPr>
          <w:rStyle w:val="Fett"/>
          <w:rFonts w:eastAsiaTheme="majorEastAsia"/>
        </w:rPr>
        <w:t>Hebräisch:</w:t>
      </w:r>
      <w:r>
        <w:t xml:space="preserve"> </w:t>
      </w:r>
      <w:r>
        <w:rPr>
          <w:rtl/>
        </w:rPr>
        <w:t>וְהָיְתָ֣ה עִמּוֹ֔ וְקָ֥רָא בוֹ֖ כָּל־יְמֵ֣י חַיָּ֑יו לְמַ֣עַן יִלְמַ֗ד לְיִרְאָה֙ אֶת־יְהוָ֣ה אֱלֹהָ֔יו לִ֠שְׁמֹר אֶֽת־כָּל־דִּבְרֵ֞י הַתּוֹרָ֥ה הַזֹּ֛את וְאֶת־הַחֻקִּ֥ים הָאֵ֖לֶּה לַעֲשֹׂתָֽם׃</w:t>
      </w:r>
    </w:p>
    <w:p w14:paraId="1F84C487" w14:textId="08C85D0F" w:rsidR="00C90AB0" w:rsidRDefault="00C90AB0" w:rsidP="00C90AB0">
      <w:pPr>
        <w:pStyle w:val="whitespace-normal"/>
      </w:pPr>
      <w:r>
        <w:rPr>
          <w:rStyle w:val="Fett"/>
          <w:rFonts w:eastAsiaTheme="majorEastAsia"/>
        </w:rPr>
        <w:t>Deutsch:</w:t>
      </w:r>
      <w:r>
        <w:t xml:space="preserve"> Und sie soll bei ihm sein, und er soll darin alle Tage seines Lebens lesen, damit er lerne, den Ewigen, seinen Gott, zu fürchten, um alle Worte dieser </w:t>
      </w:r>
      <w:r w:rsidR="001E0205">
        <w:t>Torah</w:t>
      </w:r>
      <w:r>
        <w:t xml:space="preserve"> und diese Gesetze zu bewahren, sie zu tun.</w:t>
      </w:r>
    </w:p>
    <w:p w14:paraId="437440F1" w14:textId="77777777" w:rsidR="00C90AB0" w:rsidRDefault="004F5CEB" w:rsidP="00C90AB0">
      <w:r>
        <w:rPr>
          <w:noProof/>
        </w:rPr>
        <w:pict w14:anchorId="3C3E3921">
          <v:rect id="_x0000_i1508" style="width:0;height:1.5pt" o:hralign="center" o:hrstd="t" o:hr="t" fillcolor="#a0a0a0" stroked="f"/>
        </w:pict>
      </w:r>
    </w:p>
    <w:p w14:paraId="5DEC257B"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וְהָיְתָה עִמּוֹ וְקָרָא בוֹ כָּל־יְמֵי חַיָּיו</w:t>
      </w:r>
      <w:r>
        <w:rPr>
          <w:rtl/>
        </w:rPr>
        <w:t xml:space="preserve"> </w:t>
      </w:r>
      <w:r>
        <w:t xml:space="preserve">sind zwei koordinierte Sätze: </w:t>
      </w:r>
      <w:r>
        <w:rPr>
          <w:rStyle w:val="Fett"/>
          <w:rFonts w:eastAsiaTheme="majorEastAsia"/>
          <w:rtl/>
        </w:rPr>
        <w:t>וְהָיְתָה עִמּוֹ</w:t>
      </w:r>
      <w:r>
        <w:rPr>
          <w:rtl/>
        </w:rPr>
        <w:t xml:space="preserve"> </w:t>
      </w:r>
      <w:r>
        <w:t xml:space="preserve">(Qal Perfekt, 3. Person Femininum Singular von </w:t>
      </w:r>
      <w:r>
        <w:rPr>
          <w:rStyle w:val="Fett"/>
          <w:rFonts w:eastAsiaTheme="majorEastAsia"/>
          <w:rtl/>
        </w:rPr>
        <w:t>היה</w:t>
      </w:r>
      <w:r>
        <w:t xml:space="preserve">, „sein", mit </w:t>
      </w:r>
      <w:r>
        <w:rPr>
          <w:rStyle w:val="Fett"/>
          <w:rFonts w:eastAsiaTheme="majorEastAsia"/>
          <w:rtl/>
        </w:rPr>
        <w:t>עִמּוֹ</w:t>
      </w:r>
      <w:r>
        <w:t xml:space="preserve">, Präposition </w:t>
      </w:r>
      <w:r>
        <w:rPr>
          <w:rStyle w:val="Fett"/>
          <w:rFonts w:eastAsiaTheme="majorEastAsia"/>
          <w:rtl/>
        </w:rPr>
        <w:t>עִם</w:t>
      </w:r>
      <w:r>
        <w:rPr>
          <w:rtl/>
        </w:rPr>
        <w:t xml:space="preserve"> </w:t>
      </w:r>
      <w:r>
        <w:t xml:space="preserve">mit Suffix 3. Person Maskulinum Singular, „bei ihm"), </w:t>
      </w:r>
      <w:r>
        <w:rPr>
          <w:rStyle w:val="Fett"/>
          <w:rFonts w:eastAsiaTheme="majorEastAsia"/>
          <w:rtl/>
        </w:rPr>
        <w:t>וְקָרָא בוֹ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קרא</w:t>
      </w:r>
      <w:r>
        <w:t xml:space="preserve">, Qal Perfekt, 3. Person Maskulinum Singular, „lesen", mit </w:t>
      </w:r>
      <w:r>
        <w:rPr>
          <w:rStyle w:val="Fett"/>
          <w:rFonts w:eastAsiaTheme="majorEastAsia"/>
          <w:rtl/>
        </w:rPr>
        <w:t>בוֹ</w:t>
      </w:r>
      <w:r>
        <w:t xml:space="preserve">, Präposition </w:t>
      </w:r>
      <w:r>
        <w:rPr>
          <w:rStyle w:val="Fett"/>
          <w:rFonts w:eastAsiaTheme="majorEastAsia"/>
          <w:rtl/>
        </w:rPr>
        <w:t>בְּ</w:t>
      </w:r>
      <w:r>
        <w:rPr>
          <w:rtl/>
        </w:rPr>
        <w:t xml:space="preserve"> </w:t>
      </w:r>
      <w:r>
        <w:t xml:space="preserve">mit Suffix 3. Person Maskulinum Singular, „darin"), </w:t>
      </w:r>
      <w:r>
        <w:rPr>
          <w:rStyle w:val="Fett"/>
          <w:rFonts w:eastAsiaTheme="majorEastAsia"/>
          <w:rtl/>
        </w:rPr>
        <w:t>כָּל־יְמֵי חַיָּיו</w:t>
      </w:r>
      <w:r>
        <w:rPr>
          <w:rtl/>
        </w:rPr>
        <w:t xml:space="preserve"> </w:t>
      </w:r>
      <w:r>
        <w:t>(</w:t>
      </w:r>
      <w:r>
        <w:rPr>
          <w:rStyle w:val="Fett"/>
          <w:rFonts w:eastAsiaTheme="majorEastAsia"/>
          <w:rtl/>
        </w:rPr>
        <w:t>כֹּל</w:t>
      </w:r>
      <w:r>
        <w:t xml:space="preserve">, „all", Construct mit </w:t>
      </w:r>
      <w:r>
        <w:rPr>
          <w:rStyle w:val="Fett"/>
          <w:rFonts w:eastAsiaTheme="majorEastAsia"/>
          <w:rtl/>
        </w:rPr>
        <w:t>יוֹם</w:t>
      </w:r>
      <w:r>
        <w:t xml:space="preserve">, Plural, Construct mit </w:t>
      </w:r>
      <w:r>
        <w:rPr>
          <w:rStyle w:val="Fett"/>
          <w:rFonts w:eastAsiaTheme="majorEastAsia"/>
          <w:rtl/>
        </w:rPr>
        <w:t>חַי</w:t>
      </w:r>
      <w:r>
        <w:t>, „Leben", Plural mit Suffix 3. Person Maskulinum Singular, „alle Tage seines Lebens").</w:t>
      </w:r>
    </w:p>
    <w:p w14:paraId="4766C7E9" w14:textId="61E7F8BC" w:rsidR="00C90AB0" w:rsidRDefault="00C90AB0" w:rsidP="00C90AB0">
      <w:pPr>
        <w:pStyle w:val="whitespace-normal"/>
      </w:pPr>
      <w:r>
        <w:rPr>
          <w:rStyle w:val="Fett"/>
          <w:rFonts w:eastAsiaTheme="majorEastAsia"/>
          <w:rtl/>
        </w:rPr>
        <w:t>לְמַעַן יִלְמַד לְיִרְאָה אֶת־יְהוָה אֱלֹהָיו לִשְׁמֹר אֶת־כָּל־דִּבְרֵי הַתּוֹרָה הַזֹּאת וְאֶת־הַחֻקִּים הָאֵלֶּה לַעֲשֹׂתָם</w:t>
      </w:r>
      <w:r>
        <w:rPr>
          <w:rtl/>
        </w:rPr>
        <w:t xml:space="preserve"> </w:t>
      </w:r>
      <w:r>
        <w:t xml:space="preserve">ist die dreifache finale Bestimmung: </w:t>
      </w:r>
      <w:r>
        <w:rPr>
          <w:rStyle w:val="Fett"/>
          <w:rFonts w:eastAsiaTheme="majorEastAsia"/>
          <w:rtl/>
        </w:rPr>
        <w:t>לְמַעַן יִלְמַד</w:t>
      </w:r>
      <w:r>
        <w:rPr>
          <w:rtl/>
        </w:rPr>
        <w:t xml:space="preserve"> </w:t>
      </w:r>
      <w:r>
        <w:t xml:space="preserve">(Präposition </w:t>
      </w:r>
      <w:r>
        <w:rPr>
          <w:rStyle w:val="Fett"/>
          <w:rFonts w:eastAsiaTheme="majorEastAsia"/>
          <w:rtl/>
        </w:rPr>
        <w:t>לְמַעַן</w:t>
      </w:r>
      <w:r>
        <w:t xml:space="preserve">, „damit", mit </w:t>
      </w:r>
      <w:r>
        <w:rPr>
          <w:rStyle w:val="Fett"/>
          <w:rFonts w:eastAsiaTheme="majorEastAsia"/>
          <w:rtl/>
        </w:rPr>
        <w:t>למד</w:t>
      </w:r>
      <w:r>
        <w:t xml:space="preserve">, Qal Imperfekt, 3. Person Maskulinum Singular, „lernen"), </w:t>
      </w:r>
      <w:r>
        <w:rPr>
          <w:rStyle w:val="Fett"/>
          <w:rFonts w:eastAsiaTheme="majorEastAsia"/>
          <w:rtl/>
        </w:rPr>
        <w:t>לְיִרְאָה אֶת־יְהוָה אֱלֹהָיו</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ירא</w:t>
      </w:r>
      <w:r>
        <w:t xml:space="preserve">, „fürchten", </w:t>
      </w:r>
      <w:r>
        <w:rPr>
          <w:rStyle w:val="Fett"/>
          <w:rFonts w:eastAsiaTheme="majorEastAsia"/>
          <w:rtl/>
        </w:rPr>
        <w:t>אֵת</w:t>
      </w:r>
      <w:r>
        <w:rPr>
          <w:rtl/>
        </w:rPr>
        <w:t xml:space="preserve"> </w:t>
      </w:r>
      <w:r>
        <w:t xml:space="preserve">mit </w:t>
      </w:r>
      <w:r>
        <w:rPr>
          <w:rStyle w:val="Fett"/>
          <w:rFonts w:eastAsiaTheme="majorEastAsia"/>
          <w:rtl/>
        </w:rPr>
        <w:t>יְהוָה אֱלֹהָיו</w:t>
      </w:r>
      <w:r>
        <w:t>, „</w:t>
      </w:r>
      <w:r w:rsidR="00281FDB">
        <w:t>JHWH</w:t>
      </w:r>
      <w:r>
        <w:t xml:space="preserve">, seinen Gott, zu fürchten"), </w:t>
      </w:r>
      <w:r>
        <w:rPr>
          <w:rStyle w:val="Fett"/>
          <w:rFonts w:eastAsiaTheme="majorEastAsia"/>
          <w:rtl/>
        </w:rPr>
        <w:t>לִשְׁמֹר אֶת־כָּל־דִּבְרֵי הַתּוֹרָה הַזֹּאת וְאֶת־הַחֻקִּים הָאֵלֶּה</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שׁמר</w:t>
      </w:r>
      <w:r>
        <w:t xml:space="preserve">, „bewahren", </w:t>
      </w:r>
      <w:r>
        <w:rPr>
          <w:rStyle w:val="Fett"/>
          <w:rFonts w:eastAsiaTheme="majorEastAsia"/>
          <w:rtl/>
        </w:rPr>
        <w:t>אֵת</w:t>
      </w:r>
      <w:r>
        <w:rPr>
          <w:rtl/>
        </w:rPr>
        <w:t xml:space="preserve"> </w:t>
      </w:r>
      <w:r>
        <w:t xml:space="preserve">mit </w:t>
      </w:r>
      <w:r>
        <w:rPr>
          <w:rStyle w:val="Fett"/>
          <w:rFonts w:eastAsiaTheme="majorEastAsia"/>
          <w:rtl/>
        </w:rPr>
        <w:t>כֹּל</w:t>
      </w:r>
      <w:r>
        <w:t xml:space="preserve">, Construct mit </w:t>
      </w:r>
      <w:r>
        <w:rPr>
          <w:rStyle w:val="Fett"/>
          <w:rFonts w:eastAsiaTheme="majorEastAsia"/>
          <w:rtl/>
        </w:rPr>
        <w:t>דָּבָר</w:t>
      </w:r>
      <w:r>
        <w:t xml:space="preserve">, Plural, Construct mit </w:t>
      </w:r>
      <w:r>
        <w:rPr>
          <w:rStyle w:val="Fett"/>
          <w:rFonts w:eastAsiaTheme="majorEastAsia"/>
          <w:rtl/>
        </w:rPr>
        <w:t>תּוֹרָה הַזֹּאת</w:t>
      </w:r>
      <w:r>
        <w:t xml:space="preserve">, koordiniert durch </w:t>
      </w:r>
      <w:r>
        <w:rPr>
          <w:rStyle w:val="Fett"/>
          <w:rFonts w:eastAsiaTheme="majorEastAsia"/>
          <w:rtl/>
        </w:rPr>
        <w:t>וְאֵת</w:t>
      </w:r>
      <w:r>
        <w:rPr>
          <w:rtl/>
        </w:rPr>
        <w:t xml:space="preserve"> </w:t>
      </w:r>
      <w:r>
        <w:t xml:space="preserve">mit </w:t>
      </w:r>
      <w:r>
        <w:rPr>
          <w:rStyle w:val="Fett"/>
          <w:rFonts w:eastAsiaTheme="majorEastAsia"/>
          <w:rtl/>
        </w:rPr>
        <w:t>חֹק</w:t>
      </w:r>
      <w:r>
        <w:t xml:space="preserve">, „Gesetz, Satzung", Plural mit Artikel und Demonstrativpronomen </w:t>
      </w:r>
      <w:r>
        <w:rPr>
          <w:rStyle w:val="Fett"/>
          <w:rFonts w:eastAsiaTheme="majorEastAsia"/>
          <w:rtl/>
        </w:rPr>
        <w:t>אֵלֶּה</w:t>
      </w:r>
      <w:r>
        <w:t xml:space="preserve">), </w:t>
      </w:r>
      <w:r>
        <w:rPr>
          <w:rStyle w:val="Fett"/>
          <w:rFonts w:eastAsiaTheme="majorEastAsia"/>
          <w:rtl/>
        </w:rPr>
        <w:t>לַעֲשֹׂתָם</w:t>
      </w:r>
      <w:r>
        <w:rPr>
          <w:rtl/>
        </w:rPr>
        <w:t xml:space="preserve"> </w:t>
      </w:r>
      <w:r>
        <w:lastRenderedPageBreak/>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עשׂה</w:t>
      </w:r>
      <w:r>
        <w:t>, „tun", mit Suffix 3. Person Plural, „um sie zu tun").</w:t>
      </w:r>
    </w:p>
    <w:p w14:paraId="4D100285" w14:textId="57795AFD" w:rsidR="00C90AB0" w:rsidRDefault="00C90AB0" w:rsidP="00C90AB0">
      <w:pPr>
        <w:pStyle w:val="whitespace-normal"/>
      </w:pPr>
      <w:r>
        <w:t xml:space="preserve">Der Vers betont tägliches </w:t>
      </w:r>
      <w:r w:rsidR="006D3FED">
        <w:t>Torah</w:t>
      </w:r>
      <w:r>
        <w:t xml:space="preserve">-Studium. Die Formulierung </w:t>
      </w:r>
      <w:r>
        <w:rPr>
          <w:rStyle w:val="Fett"/>
          <w:rFonts w:eastAsiaTheme="majorEastAsia"/>
          <w:rtl/>
        </w:rPr>
        <w:t>כָּל־יְמֵי חַיָּיו</w:t>
      </w:r>
      <w:r>
        <w:rPr>
          <w:rtl/>
        </w:rPr>
        <w:t xml:space="preserve"> </w:t>
      </w:r>
      <w:r>
        <w:t xml:space="preserve">(„alle Tage seines Lebens") ist emphatisch – lebenslange Pflicht. Die dreifache Zielsetzung: (1) </w:t>
      </w:r>
      <w:r>
        <w:rPr>
          <w:rStyle w:val="Fett"/>
          <w:rFonts w:eastAsiaTheme="majorEastAsia"/>
          <w:rtl/>
        </w:rPr>
        <w:t>לְמַעַן יִלְמַד לְיִרְאָה אֶת־יְהוָה</w:t>
      </w:r>
      <w:r>
        <w:rPr>
          <w:rtl/>
        </w:rPr>
        <w:t xml:space="preserve"> </w:t>
      </w:r>
      <w:r>
        <w:t xml:space="preserve">(„damit er lerne, JHWH zu fürchten") – Gottesfurcht als Ziel, (2) </w:t>
      </w:r>
      <w:r>
        <w:rPr>
          <w:rStyle w:val="Fett"/>
          <w:rFonts w:eastAsiaTheme="majorEastAsia"/>
          <w:rtl/>
        </w:rPr>
        <w:t>לִשְׁמֹר אֶת־כָּל־דִּבְרֵי הַתּוֹרָה</w:t>
      </w:r>
      <w:r>
        <w:rPr>
          <w:rtl/>
        </w:rPr>
        <w:t xml:space="preserve"> </w:t>
      </w:r>
      <w:r>
        <w:t xml:space="preserve">(„um alle Worte der </w:t>
      </w:r>
      <w:r w:rsidR="006D3FED">
        <w:t>Torah</w:t>
      </w:r>
      <w:r>
        <w:t xml:space="preserve"> zu bewahren"), (3) </w:t>
      </w:r>
      <w:r>
        <w:rPr>
          <w:rStyle w:val="Fett"/>
          <w:rFonts w:eastAsiaTheme="majorEastAsia"/>
          <w:rtl/>
        </w:rPr>
        <w:t>לַעֲשֹׂתָם</w:t>
      </w:r>
      <w:r>
        <w:rPr>
          <w:rtl/>
        </w:rPr>
        <w:t xml:space="preserve"> </w:t>
      </w:r>
      <w:r>
        <w:t>(„sie zu tun") – vom Lernen über Bewahren zum Tun.</w:t>
      </w:r>
    </w:p>
    <w:p w14:paraId="3A5CB3B1" w14:textId="4378AF34" w:rsidR="00C320AC" w:rsidRDefault="00C320AC" w:rsidP="00C90AB0">
      <w:pPr>
        <w:pStyle w:val="whitespace-normal"/>
      </w:pPr>
      <w:r>
        <w:rPr>
          <w:rStyle w:val="Fett"/>
        </w:rPr>
        <w:t>Die LXX</w:t>
      </w:r>
      <w:r>
        <w:t xml:space="preserve"> übersetzt </w:t>
      </w:r>
      <w:r>
        <w:rPr>
          <w:rtl/>
        </w:rPr>
        <w:t>וְקָרָא בוֹ</w:t>
      </w:r>
      <w:r>
        <w:t xml:space="preserve"> (und er soll darin lesen) mit καὶ </w:t>
      </w:r>
      <w:proofErr w:type="spellStart"/>
      <w:r>
        <w:t>ἀν</w:t>
      </w:r>
      <w:proofErr w:type="spellEnd"/>
      <w:r>
        <w:t xml:space="preserve">αγνώσεται </w:t>
      </w:r>
      <w:proofErr w:type="spellStart"/>
      <w:r>
        <w:t>ἐν</w:t>
      </w:r>
      <w:proofErr w:type="spellEnd"/>
      <w:r>
        <w:t xml:space="preserve"> α</w:t>
      </w:r>
      <w:proofErr w:type="spellStart"/>
      <w:r>
        <w:t>ὐτῷ</w:t>
      </w:r>
      <w:proofErr w:type="spellEnd"/>
      <w:r>
        <w:t xml:space="preserve"> (und er wird darin vorlesen) – </w:t>
      </w:r>
      <w:proofErr w:type="spellStart"/>
      <w:r>
        <w:t>ἀν</w:t>
      </w:r>
      <w:proofErr w:type="spellEnd"/>
      <w:r>
        <w:t xml:space="preserve">αγιγνώσκω betont stärker das laute Vorlesen. Das Verb </w:t>
      </w:r>
      <w:proofErr w:type="spellStart"/>
      <w:r>
        <w:t>φυλάσσεσθ</w:t>
      </w:r>
      <w:proofErr w:type="spellEnd"/>
      <w:r>
        <w:t xml:space="preserve">αι (sich bewahren) für </w:t>
      </w:r>
      <w:r>
        <w:rPr>
          <w:rtl/>
        </w:rPr>
        <w:t>לִשְׁמֹר</w:t>
      </w:r>
      <w:r>
        <w:t xml:space="preserve"> ist reflexiv konstruiert.</w:t>
      </w:r>
    </w:p>
    <w:p w14:paraId="7A3D9017" w14:textId="7248CCC8" w:rsidR="00C90AB0" w:rsidRDefault="00C90AB0" w:rsidP="00C90AB0">
      <w:pPr>
        <w:pStyle w:val="whitespace-normal"/>
      </w:pPr>
      <w:r>
        <w:rPr>
          <w:rStyle w:val="Fett"/>
          <w:rFonts w:eastAsiaTheme="majorEastAsia"/>
        </w:rPr>
        <w:t>Die Satzstruktur:</w:t>
      </w:r>
      <w:r>
        <w:t xml:space="preserve"> Zwei koordinierte Sätze mit dreifacher finaler Bestimmung (und sein soll sie bei ihm, und lesen soll er darin alle Tage seines Lebens, damit er lerne zu fürchten JHWH, seinen Gott, um zu bewahren alle Worte dieser </w:t>
      </w:r>
      <w:r w:rsidR="006D3FED">
        <w:t>Torah</w:t>
      </w:r>
      <w:r>
        <w:t xml:space="preserve"> und diese Gesetze, um sie zu tun).</w:t>
      </w:r>
    </w:p>
    <w:p w14:paraId="26CDB226" w14:textId="67D2C718" w:rsidR="00C90AB0" w:rsidRDefault="00C90AB0" w:rsidP="00C90AB0">
      <w:pPr>
        <w:pStyle w:val="whitespace-normal"/>
      </w:pPr>
      <w:r>
        <w:t xml:space="preserve">Der Vers verpflichtet: Die </w:t>
      </w:r>
      <w:r w:rsidR="006D3FED">
        <w:t>Torah</w:t>
      </w:r>
      <w:r>
        <w:t xml:space="preserve"> soll beim König bleiben, und er soll lebenslang darin lesen – damit er lernt, JHWH zu fürchten und die </w:t>
      </w:r>
      <w:r w:rsidR="006D3FED">
        <w:t>Torah</w:t>
      </w:r>
      <w:r>
        <w:t xml:space="preserve"> zu befolgen.</w:t>
      </w:r>
    </w:p>
    <w:p w14:paraId="3C3835F2"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17,20</w:t>
      </w:r>
    </w:p>
    <w:p w14:paraId="537A4C18" w14:textId="77777777" w:rsidR="00C90AB0" w:rsidRDefault="00C90AB0" w:rsidP="00C90AB0">
      <w:pPr>
        <w:pStyle w:val="whitespace-normal"/>
      </w:pPr>
      <w:r>
        <w:rPr>
          <w:rStyle w:val="Fett"/>
          <w:rFonts w:eastAsiaTheme="majorEastAsia"/>
        </w:rPr>
        <w:t>Hebräisch:</w:t>
      </w:r>
      <w:r>
        <w:t xml:space="preserve"> </w:t>
      </w:r>
      <w:r>
        <w:rPr>
          <w:rtl/>
        </w:rPr>
        <w:t>לְבִלְתִּ֤י רוּם־לְבָבוֹ֙ מֵֽאֶחָ֔יו וּלְבִלְתִּ֛י ס֥וּר מִן־הַמִּצְוָ֖ה יָמִ֣ין וּשְׂמֹ֑אול לְמַעַן֩ יַאֲרִ֨יךְ יָמִ֧ים עַל־מַמְלַכְתּוֹ֛ ה֥וּא וּבָנָ֖יו בְּקֶ֥רֶב יִשְׂרָאֵֽל׃</w:t>
      </w:r>
    </w:p>
    <w:p w14:paraId="15C623FD" w14:textId="77777777" w:rsidR="00C90AB0" w:rsidRDefault="00C90AB0" w:rsidP="00C90AB0">
      <w:pPr>
        <w:pStyle w:val="whitespace-normal"/>
      </w:pPr>
      <w:r>
        <w:rPr>
          <w:rStyle w:val="Fett"/>
          <w:rFonts w:eastAsiaTheme="majorEastAsia"/>
        </w:rPr>
        <w:t>Deutsch:</w:t>
      </w:r>
      <w:r>
        <w:t xml:space="preserve"> Damit sein Herz sich nicht über seine Brüder erhebt und damit er nicht von dem Gebot abweicht, weder nach rechts noch nach links, damit er lange Tage in seinem Königreich habe, er und seine Söhne, in der Mitte Jisra'els.</w:t>
      </w:r>
    </w:p>
    <w:p w14:paraId="6D5F70A2" w14:textId="77777777" w:rsidR="00C90AB0" w:rsidRDefault="004F5CEB" w:rsidP="00C90AB0">
      <w:r>
        <w:rPr>
          <w:noProof/>
        </w:rPr>
        <w:pict w14:anchorId="3A228985">
          <v:rect id="_x0000_i1509" style="width:0;height:1.5pt" o:hralign="center" o:hrstd="t" o:hr="t" fillcolor="#a0a0a0" stroked="f"/>
        </w:pict>
      </w:r>
    </w:p>
    <w:p w14:paraId="0170DAE3"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לְבִלְתִּי רוּם־לְבָבוֹ מֵאֶחָיו וּלְבִלְתִּי סוּר מִן־הַמִּצְוָה יָמִין וּשְׂמֹאול</w:t>
      </w:r>
      <w:r>
        <w:rPr>
          <w:rtl/>
        </w:rPr>
        <w:t xml:space="preserve"> </w:t>
      </w:r>
      <w:r>
        <w:t xml:space="preserve">sind zwei negative finale Bestimmungen: </w:t>
      </w:r>
      <w:r>
        <w:rPr>
          <w:rStyle w:val="Fett"/>
          <w:rFonts w:eastAsiaTheme="majorEastAsia"/>
          <w:rtl/>
        </w:rPr>
        <w:t>לְבִלְתִּי רוּם־לְבָבוֹ מֵאֶחָיו</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בִּלְתִּי</w:t>
      </w:r>
      <w:r>
        <w:t xml:space="preserve">, „nicht", Qal Infinitiv Construct von </w:t>
      </w:r>
      <w:r>
        <w:rPr>
          <w:rStyle w:val="Fett"/>
          <w:rFonts w:eastAsiaTheme="majorEastAsia"/>
          <w:rtl/>
        </w:rPr>
        <w:t>רום</w:t>
      </w:r>
      <w:r>
        <w:t xml:space="preserve">, „hoch sein, sich erheben", </w:t>
      </w:r>
      <w:r>
        <w:rPr>
          <w:rStyle w:val="Fett"/>
          <w:rFonts w:eastAsiaTheme="majorEastAsia"/>
          <w:rtl/>
        </w:rPr>
        <w:t>לֵבָב</w:t>
      </w:r>
      <w:r>
        <w:t xml:space="preserve">, „Herz", mit Suffix 3. Person Maskulinum Singular, </w:t>
      </w:r>
      <w:r>
        <w:rPr>
          <w:rStyle w:val="Fett"/>
          <w:rFonts w:eastAsiaTheme="majorEastAsia"/>
          <w:rtl/>
        </w:rPr>
        <w:t>מֵאֶחָיו</w:t>
      </w:r>
      <w:r>
        <w:t xml:space="preserve">, Präposition </w:t>
      </w:r>
      <w:r>
        <w:rPr>
          <w:rStyle w:val="Fett"/>
          <w:rFonts w:eastAsiaTheme="majorEastAsia"/>
          <w:rtl/>
        </w:rPr>
        <w:t>מִן</w:t>
      </w:r>
      <w:r>
        <w:rPr>
          <w:rtl/>
        </w:rPr>
        <w:t xml:space="preserve"> </w:t>
      </w:r>
      <w:r>
        <w:t xml:space="preserve">mit </w:t>
      </w:r>
      <w:r>
        <w:rPr>
          <w:rStyle w:val="Fett"/>
          <w:rFonts w:eastAsiaTheme="majorEastAsia"/>
          <w:rtl/>
        </w:rPr>
        <w:t>אָח</w:t>
      </w:r>
      <w:r>
        <w:t xml:space="preserve">, „Bruder", Plural mit Suffix 3. Person Maskulinum Singular, „damit sich nicht erhebt sein Herz über seine Brüder"), </w:t>
      </w:r>
      <w:r>
        <w:rPr>
          <w:rStyle w:val="Fett"/>
          <w:rFonts w:eastAsiaTheme="majorEastAsia"/>
          <w:rtl/>
        </w:rPr>
        <w:t>וּלְבִלְתִּי סוּר מִן־הַמִּצְוָה יָמִין וּשְׂמֹאול</w:t>
      </w:r>
      <w:r>
        <w:rPr>
          <w:rtl/>
        </w:rPr>
        <w:t xml:space="preserve"> </w:t>
      </w:r>
      <w:r>
        <w:t xml:space="preserve">(koordiniert durch </w:t>
      </w:r>
      <w:r>
        <w:rPr>
          <w:rStyle w:val="Fett"/>
          <w:rFonts w:eastAsiaTheme="majorEastAsia"/>
          <w:rtl/>
        </w:rPr>
        <w:t>וּלְ</w:t>
      </w:r>
      <w:r>
        <w:rPr>
          <w:rtl/>
        </w:rPr>
        <w:t xml:space="preserve"> </w:t>
      </w:r>
      <w:r>
        <w:t xml:space="preserve">mit </w:t>
      </w:r>
      <w:r>
        <w:rPr>
          <w:rStyle w:val="Fett"/>
          <w:rFonts w:eastAsiaTheme="majorEastAsia"/>
          <w:rtl/>
        </w:rPr>
        <w:t>בִּלְתִּי</w:t>
      </w:r>
      <w:r>
        <w:rPr>
          <w:rtl/>
        </w:rPr>
        <w:t xml:space="preserve"> </w:t>
      </w:r>
      <w:r>
        <w:t xml:space="preserve">und Qal Infinitiv Construct von </w:t>
      </w:r>
      <w:r>
        <w:rPr>
          <w:rStyle w:val="Fett"/>
          <w:rFonts w:eastAsiaTheme="majorEastAsia"/>
          <w:rtl/>
        </w:rPr>
        <w:t>סור</w:t>
      </w:r>
      <w:r>
        <w:t xml:space="preserve">, „abweichen", </w:t>
      </w:r>
      <w:r>
        <w:rPr>
          <w:rStyle w:val="Fett"/>
          <w:rFonts w:eastAsiaTheme="majorEastAsia"/>
          <w:rtl/>
        </w:rPr>
        <w:t>מִן־הַמִּצְוָה</w:t>
      </w:r>
      <w:r>
        <w:t xml:space="preserve">, Präposition </w:t>
      </w:r>
      <w:r>
        <w:rPr>
          <w:rStyle w:val="Fett"/>
          <w:rFonts w:eastAsiaTheme="majorEastAsia"/>
          <w:rtl/>
        </w:rPr>
        <w:t>מִן</w:t>
      </w:r>
      <w:r>
        <w:rPr>
          <w:rtl/>
        </w:rPr>
        <w:t xml:space="preserve"> </w:t>
      </w:r>
      <w:r>
        <w:t xml:space="preserve">mit </w:t>
      </w:r>
      <w:r>
        <w:rPr>
          <w:rStyle w:val="Fett"/>
          <w:rFonts w:eastAsiaTheme="majorEastAsia"/>
          <w:rtl/>
        </w:rPr>
        <w:t>מִצְוָה</w:t>
      </w:r>
      <w:r>
        <w:t xml:space="preserve">, „Gebot", mit Artikel, </w:t>
      </w:r>
      <w:r>
        <w:rPr>
          <w:rStyle w:val="Fett"/>
          <w:rFonts w:eastAsiaTheme="majorEastAsia"/>
          <w:rtl/>
        </w:rPr>
        <w:t>יָמִין וּשְׂמֹאול</w:t>
      </w:r>
      <w:r>
        <w:t>).</w:t>
      </w:r>
    </w:p>
    <w:p w14:paraId="6189D675" w14:textId="77777777" w:rsidR="00C90AB0" w:rsidRDefault="00C90AB0" w:rsidP="00C90AB0">
      <w:pPr>
        <w:pStyle w:val="whitespace-normal"/>
      </w:pPr>
      <w:r>
        <w:rPr>
          <w:rStyle w:val="Fett"/>
          <w:rFonts w:eastAsiaTheme="majorEastAsia"/>
          <w:rtl/>
        </w:rPr>
        <w:t>לְמַעַן יַאֲרִיךְ יָמִים עַל־מַמְלַכְתּוֹ הוּא וּבָנָיו בְּקֶרֶב יִשְׂרָאֵל</w:t>
      </w:r>
      <w:r>
        <w:rPr>
          <w:rtl/>
        </w:rPr>
        <w:t xml:space="preserve"> </w:t>
      </w:r>
      <w:r>
        <w:t xml:space="preserve">ist die positive finale Bestimmung: </w:t>
      </w:r>
      <w:r>
        <w:rPr>
          <w:rStyle w:val="Fett"/>
          <w:rFonts w:eastAsiaTheme="majorEastAsia"/>
          <w:rtl/>
        </w:rPr>
        <w:t>לְמַעַן יַאֲרִיךְ יָמִים</w:t>
      </w:r>
      <w:r>
        <w:rPr>
          <w:rtl/>
        </w:rPr>
        <w:t xml:space="preserve"> </w:t>
      </w:r>
      <w:r>
        <w:t xml:space="preserve">(Präposition </w:t>
      </w:r>
      <w:r>
        <w:rPr>
          <w:rStyle w:val="Fett"/>
          <w:rFonts w:eastAsiaTheme="majorEastAsia"/>
          <w:rtl/>
        </w:rPr>
        <w:t>לְמַעַן</w:t>
      </w:r>
      <w:r>
        <w:t xml:space="preserve">, „damit", mit </w:t>
      </w:r>
      <w:r>
        <w:rPr>
          <w:rStyle w:val="Fett"/>
          <w:rFonts w:eastAsiaTheme="majorEastAsia"/>
          <w:rtl/>
        </w:rPr>
        <w:t>ארך</w:t>
      </w:r>
      <w:r>
        <w:t xml:space="preserve">, Hiphil Imperfekt, 3. Person Maskulinum Singular, „lang machen, verlängern", </w:t>
      </w:r>
      <w:r>
        <w:rPr>
          <w:rStyle w:val="Fett"/>
          <w:rFonts w:eastAsiaTheme="majorEastAsia"/>
          <w:rtl/>
        </w:rPr>
        <w:t>יוֹם</w:t>
      </w:r>
      <w:r>
        <w:t xml:space="preserve">, Plural, „Tage"), </w:t>
      </w:r>
      <w:r>
        <w:rPr>
          <w:rStyle w:val="Fett"/>
          <w:rFonts w:eastAsiaTheme="majorEastAsia"/>
          <w:rtl/>
        </w:rPr>
        <w:t>עַל־מַמְלַכְתּוֹ</w:t>
      </w:r>
      <w:r>
        <w:rPr>
          <w:rtl/>
        </w:rPr>
        <w:t xml:space="preserve"> </w:t>
      </w:r>
      <w:r>
        <w:t xml:space="preserve">(Präposition </w:t>
      </w:r>
      <w:r>
        <w:rPr>
          <w:rStyle w:val="Fett"/>
          <w:rFonts w:eastAsiaTheme="majorEastAsia"/>
          <w:rtl/>
        </w:rPr>
        <w:t>עַל</w:t>
      </w:r>
      <w:r>
        <w:t xml:space="preserve">, „auf, in", </w:t>
      </w:r>
      <w:r>
        <w:rPr>
          <w:rStyle w:val="Fett"/>
          <w:rFonts w:eastAsiaTheme="majorEastAsia"/>
          <w:rtl/>
        </w:rPr>
        <w:t>מַמְלָכָה</w:t>
      </w:r>
      <w:r>
        <w:t xml:space="preserve">, „Königreich", mit Suffix 3. Person Maskulinum Singular), </w:t>
      </w:r>
      <w:r>
        <w:rPr>
          <w:rStyle w:val="Fett"/>
          <w:rFonts w:eastAsiaTheme="majorEastAsia"/>
          <w:rtl/>
        </w:rPr>
        <w:t>הוּא וּבָנָיו</w:t>
      </w:r>
      <w:r>
        <w:rPr>
          <w:rtl/>
        </w:rPr>
        <w:t xml:space="preserve"> </w:t>
      </w:r>
      <w:r>
        <w:t xml:space="preserve">(Personalpronomen 3. Person Maskulinum Singular, betont, koordiniert durch </w:t>
      </w:r>
      <w:r>
        <w:rPr>
          <w:rStyle w:val="Fett"/>
          <w:rFonts w:eastAsiaTheme="majorEastAsia"/>
          <w:rtl/>
        </w:rPr>
        <w:t>וּ</w:t>
      </w:r>
      <w:r>
        <w:rPr>
          <w:rtl/>
        </w:rPr>
        <w:t xml:space="preserve"> </w:t>
      </w:r>
      <w:r>
        <w:t xml:space="preserve">mit </w:t>
      </w:r>
      <w:r>
        <w:rPr>
          <w:rStyle w:val="Fett"/>
          <w:rFonts w:eastAsiaTheme="majorEastAsia"/>
          <w:rtl/>
        </w:rPr>
        <w:t>בֵּן</w:t>
      </w:r>
      <w:r>
        <w:t xml:space="preserve">, Plural mit Suffix 3. Person Maskulinum Singular, „er und seine Söhne"), </w:t>
      </w:r>
      <w:r>
        <w:rPr>
          <w:rStyle w:val="Fett"/>
          <w:rFonts w:eastAsiaTheme="majorEastAsia"/>
          <w:rtl/>
        </w:rPr>
        <w:t>בְּקֶרֶב יִשְׂרָאֵל</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קֶרֶב</w:t>
      </w:r>
      <w:r>
        <w:t xml:space="preserve">, „Mitte", Construct mit </w:t>
      </w:r>
      <w:r>
        <w:rPr>
          <w:rStyle w:val="Fett"/>
          <w:rFonts w:eastAsiaTheme="majorEastAsia"/>
          <w:rtl/>
        </w:rPr>
        <w:t>יִשְׂרָאֵל</w:t>
      </w:r>
      <w:r>
        <w:t>, „in der Mitte Israels").</w:t>
      </w:r>
    </w:p>
    <w:p w14:paraId="7FF535D8" w14:textId="7E3408CE" w:rsidR="00C90AB0" w:rsidRDefault="00C90AB0" w:rsidP="00C90AB0">
      <w:pPr>
        <w:pStyle w:val="whitespace-normal"/>
      </w:pPr>
      <w:r>
        <w:lastRenderedPageBreak/>
        <w:t xml:space="preserve">Der Vers schließt das Königsgesetz ab mit zwei negativen und einer positiven Zielsetzung: (1) </w:t>
      </w:r>
      <w:r>
        <w:rPr>
          <w:rStyle w:val="Fett"/>
          <w:rFonts w:eastAsiaTheme="majorEastAsia"/>
          <w:rtl/>
        </w:rPr>
        <w:t>לְבִלְתִּי רוּם־לְבָבוֹ מֵאֶחָיו</w:t>
      </w:r>
      <w:r>
        <w:rPr>
          <w:rtl/>
        </w:rPr>
        <w:t xml:space="preserve"> </w:t>
      </w:r>
      <w:r>
        <w:t xml:space="preserve">(„damit sein Herz sich nicht über seine Brüder erhebt") – Demut, keine Selbstüberhebung über das Volk, (2) </w:t>
      </w:r>
      <w:r>
        <w:rPr>
          <w:rStyle w:val="Fett"/>
          <w:rFonts w:eastAsiaTheme="majorEastAsia"/>
          <w:rtl/>
        </w:rPr>
        <w:t>וּלְבִלְתִּי סוּר מִן־הַמִּצְוָה יָמִין וּשְׂמֹאול</w:t>
      </w:r>
      <w:r>
        <w:rPr>
          <w:rtl/>
        </w:rPr>
        <w:t xml:space="preserve"> </w:t>
      </w:r>
      <w:r>
        <w:t xml:space="preserve">(„damit er nicht vom Gebot abweicht, weder rechts noch links") – strikte </w:t>
      </w:r>
      <w:r w:rsidR="006D3FED">
        <w:t>Torah</w:t>
      </w:r>
      <w:r>
        <w:t xml:space="preserve">-Treue (vgl. V. 11), (3) </w:t>
      </w:r>
      <w:r>
        <w:rPr>
          <w:rStyle w:val="Fett"/>
          <w:rFonts w:eastAsiaTheme="majorEastAsia"/>
          <w:rtl/>
        </w:rPr>
        <w:t>לְמַעַן יַאֲרִיךְ יָמִים עַל־מַמְלַכְתּוֹ</w:t>
      </w:r>
      <w:r>
        <w:rPr>
          <w:rtl/>
        </w:rPr>
        <w:t xml:space="preserve"> </w:t>
      </w:r>
      <w:r>
        <w:t>(„damit er lange Tage in seinem Königreich habe") – dynastische Stabilität durch Gehorsam (vgl. 4,40; 5,16.33; 6,2; 11,9; 22,7; 25,15; 30,18; 32,47).</w:t>
      </w:r>
    </w:p>
    <w:p w14:paraId="7E5AB8DE" w14:textId="1BB86498" w:rsidR="00C320AC" w:rsidRDefault="00C320AC" w:rsidP="00C90AB0">
      <w:pPr>
        <w:pStyle w:val="whitespace-normal"/>
      </w:pPr>
      <w:r>
        <w:rPr>
          <w:rStyle w:val="Fett"/>
        </w:rPr>
        <w:t>Die LXX</w:t>
      </w:r>
      <w:r>
        <w:t xml:space="preserve"> übersetzt </w:t>
      </w:r>
      <w:r w:rsidRPr="00C320AC">
        <w:rPr>
          <w:b/>
          <w:bCs/>
          <w:rtl/>
        </w:rPr>
        <w:t>עַל־מַמְלַכְתּוֹ</w:t>
      </w:r>
      <w:r>
        <w:t xml:space="preserve"> (über sein Königtum) mit ἐπὶ </w:t>
      </w:r>
      <w:proofErr w:type="spellStart"/>
      <w:r>
        <w:t>τῆς</w:t>
      </w:r>
      <w:proofErr w:type="spellEnd"/>
      <w:r>
        <w:t xml:space="preserve"> </w:t>
      </w:r>
      <w:proofErr w:type="spellStart"/>
      <w:r>
        <w:t>ἀρχῆς</w:t>
      </w:r>
      <w:proofErr w:type="spellEnd"/>
      <w:r>
        <w:t xml:space="preserve"> α</w:t>
      </w:r>
      <w:proofErr w:type="spellStart"/>
      <w:r>
        <w:t>ὐτοῦ</w:t>
      </w:r>
      <w:proofErr w:type="spellEnd"/>
      <w:r>
        <w:t xml:space="preserve"> (über seiner Herrschaft) und </w:t>
      </w:r>
      <w:r w:rsidRPr="00C320AC">
        <w:rPr>
          <w:b/>
          <w:bCs/>
          <w:rtl/>
        </w:rPr>
        <w:t>בְּקֶרֶב יִשְׂרָאֵל</w:t>
      </w:r>
      <w:r>
        <w:t xml:space="preserve"> (inmitten Israels) mit </w:t>
      </w:r>
      <w:proofErr w:type="spellStart"/>
      <w:r>
        <w:t>ἐν</w:t>
      </w:r>
      <w:proofErr w:type="spellEnd"/>
      <w:r>
        <w:t xml:space="preserve"> </w:t>
      </w:r>
      <w:proofErr w:type="spellStart"/>
      <w:r>
        <w:t>τοῖς</w:t>
      </w:r>
      <w:proofErr w:type="spellEnd"/>
      <w:r>
        <w:t xml:space="preserve"> </w:t>
      </w:r>
      <w:proofErr w:type="spellStart"/>
      <w:r>
        <w:t>υἱοῖς</w:t>
      </w:r>
      <w:proofErr w:type="spellEnd"/>
      <w:r>
        <w:t xml:space="preserve"> </w:t>
      </w:r>
      <w:proofErr w:type="spellStart"/>
      <w:r>
        <w:t>Ἰσρ</w:t>
      </w:r>
      <w:proofErr w:type="spellEnd"/>
      <w:r>
        <w:t>αήλ (unter den Söhnen Israels) – eine präzisere Spezifizierung der Gemeinschaft.</w:t>
      </w:r>
    </w:p>
    <w:p w14:paraId="7D1FA7FC" w14:textId="77777777" w:rsidR="00C90AB0" w:rsidRDefault="00C90AB0" w:rsidP="00C90AB0">
      <w:pPr>
        <w:pStyle w:val="whitespace-normal"/>
      </w:pPr>
      <w:r>
        <w:rPr>
          <w:rStyle w:val="Fett"/>
          <w:rFonts w:eastAsiaTheme="majorEastAsia"/>
        </w:rPr>
        <w:t>Die Satzstruktur:</w:t>
      </w:r>
      <w:r>
        <w:t xml:space="preserve"> Zwei negative finale Bestimmungen und positive finale Bestimmung (damit nicht sich erhebt sein Herz über seine Brüder, und damit nicht abweicht er vom Gebot, weder rechts noch links; damit er verlängert Tage in seinem Königreich, er und seine Söhne, in der Mitte Israels).</w:t>
      </w:r>
    </w:p>
    <w:p w14:paraId="427C6CF3" w14:textId="7356B959" w:rsidR="00C90AB0" w:rsidRDefault="00C90AB0" w:rsidP="00C90AB0">
      <w:pPr>
        <w:pStyle w:val="whitespace-normal"/>
      </w:pPr>
      <w:r>
        <w:t xml:space="preserve">Der Vers schließt: Damit der König sich nicht über das Volk erhebt und nicht von der </w:t>
      </w:r>
      <w:r w:rsidR="006D3FED">
        <w:t>Torah</w:t>
      </w:r>
      <w:r>
        <w:t xml:space="preserve"> abweicht – so wird er und seine Dynastie lange in Israel regieren.</w:t>
      </w:r>
    </w:p>
    <w:p w14:paraId="18F22D9C"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18,1</w:t>
      </w:r>
    </w:p>
    <w:p w14:paraId="1DCC6D60" w14:textId="77777777" w:rsidR="00C90AB0" w:rsidRDefault="00C90AB0" w:rsidP="00C90AB0">
      <w:pPr>
        <w:pStyle w:val="whitespace-normal"/>
      </w:pPr>
      <w:r>
        <w:rPr>
          <w:rStyle w:val="Fett"/>
          <w:rFonts w:eastAsiaTheme="majorEastAsia"/>
        </w:rPr>
        <w:t>Hebräisch:</w:t>
      </w:r>
      <w:r>
        <w:t xml:space="preserve"> </w:t>
      </w:r>
      <w:r>
        <w:rPr>
          <w:rtl/>
        </w:rPr>
        <w:t>לֹֽא־יִ֠הְיֶה לַכֹּהֲנִ֨ים הַלְוִיִּ֜ם כָּל־שֵׁ֧בֶט לֵוִ֛י חֵ֥לֶק וְנַחֲלָ֖ה עִם־יִשְׂרָאֵ֑ל אִשֵּׁ֧י יְהוָ֛ה וְנַחֲלָתוֹ֖ יֹאכֵלֽוּן׃</w:t>
      </w:r>
    </w:p>
    <w:p w14:paraId="468CBC17" w14:textId="77777777" w:rsidR="00C90AB0" w:rsidRDefault="00C90AB0" w:rsidP="00C90AB0">
      <w:pPr>
        <w:pStyle w:val="whitespace-normal"/>
      </w:pPr>
      <w:r>
        <w:rPr>
          <w:rStyle w:val="Fett"/>
          <w:rFonts w:eastAsiaTheme="majorEastAsia"/>
        </w:rPr>
        <w:t>Deutsch:</w:t>
      </w:r>
      <w:r>
        <w:t xml:space="preserve"> Die Priester, die Levijim, der ganze Stamm Levi, soll keinen Anteil und kein Erbe mit Jisra'el haben; die Feueropfer des Ewigen und sein Erbteil sollen sie essen.</w:t>
      </w:r>
    </w:p>
    <w:p w14:paraId="20188B62" w14:textId="77777777" w:rsidR="00C90AB0" w:rsidRDefault="004F5CEB" w:rsidP="00C90AB0">
      <w:r>
        <w:rPr>
          <w:noProof/>
        </w:rPr>
        <w:pict w14:anchorId="6DA4D3FD">
          <v:rect id="_x0000_i1510" style="width:0;height:1.5pt" o:hralign="center" o:hrstd="t" o:hr="t" fillcolor="#a0a0a0" stroked="f"/>
        </w:pict>
      </w:r>
    </w:p>
    <w:p w14:paraId="68A7FDF3"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לֹא־יִהְיֶה לַכֹּהֲנִים הַלְוִיִּם כָּל־שֵׁבֶט לֵוִי חֵלֶק וְנַחֲלָה עִם־יִשְׂרָאֵל</w:t>
      </w:r>
      <w:r>
        <w:rPr>
          <w:rtl/>
        </w:rPr>
        <w:t xml:space="preserve"> </w:t>
      </w:r>
      <w:r>
        <w:t xml:space="preserve">ist ein negativer Verbalsatz: </w:t>
      </w:r>
      <w:r>
        <w:rPr>
          <w:rStyle w:val="Fett"/>
          <w:rFonts w:eastAsiaTheme="majorEastAsia"/>
          <w:rtl/>
        </w:rPr>
        <w:t>לֹא־יִהְיֶה</w:t>
      </w:r>
      <w:r>
        <w:rPr>
          <w:rtl/>
        </w:rPr>
        <w:t xml:space="preserve"> </w:t>
      </w:r>
      <w:r>
        <w:t xml:space="preserve">(Negation mit </w:t>
      </w:r>
      <w:r>
        <w:rPr>
          <w:rStyle w:val="Fett"/>
          <w:rFonts w:eastAsiaTheme="majorEastAsia"/>
          <w:rtl/>
        </w:rPr>
        <w:t>היה</w:t>
      </w:r>
      <w:r>
        <w:t xml:space="preserve">, Qal Imperfekt, 3. Person Maskulinum Singular, „sein"), </w:t>
      </w:r>
      <w:r>
        <w:rPr>
          <w:rStyle w:val="Fett"/>
          <w:rFonts w:eastAsiaTheme="majorEastAsia"/>
          <w:rtl/>
        </w:rPr>
        <w:t>לַכֹּהֲנִים הַלְוִיִּם</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כֹּהֵן</w:t>
      </w:r>
      <w:r>
        <w:t xml:space="preserve">, „Priester", Plural mit Artikel, mit </w:t>
      </w:r>
      <w:r>
        <w:rPr>
          <w:rStyle w:val="Fett"/>
          <w:rFonts w:eastAsiaTheme="majorEastAsia"/>
          <w:rtl/>
        </w:rPr>
        <w:t>לֵוִי</w:t>
      </w:r>
      <w:r>
        <w:t xml:space="preserve">, Plural mit Artikel, „für die Priester, die Leviten"), </w:t>
      </w:r>
      <w:r>
        <w:rPr>
          <w:rStyle w:val="Fett"/>
          <w:rFonts w:eastAsiaTheme="majorEastAsia"/>
          <w:rtl/>
        </w:rPr>
        <w:t>כָּל־שֵׁבֶט לֵוִי</w:t>
      </w:r>
      <w:r>
        <w:rPr>
          <w:rtl/>
        </w:rPr>
        <w:t xml:space="preserve"> </w:t>
      </w:r>
      <w:r>
        <w:t>(</w:t>
      </w:r>
      <w:r>
        <w:rPr>
          <w:rStyle w:val="Fett"/>
          <w:rFonts w:eastAsiaTheme="majorEastAsia"/>
          <w:rtl/>
        </w:rPr>
        <w:t>כֹּל</w:t>
      </w:r>
      <w:r>
        <w:t xml:space="preserve">, „ganz", mit </w:t>
      </w:r>
      <w:r>
        <w:rPr>
          <w:rStyle w:val="Fett"/>
          <w:rFonts w:eastAsiaTheme="majorEastAsia"/>
          <w:rtl/>
        </w:rPr>
        <w:t>שֵׁבֶט</w:t>
      </w:r>
      <w:r>
        <w:t xml:space="preserve">, „Stamm", Construct mit </w:t>
      </w:r>
      <w:r>
        <w:rPr>
          <w:rStyle w:val="Fett"/>
          <w:rFonts w:eastAsiaTheme="majorEastAsia"/>
          <w:rtl/>
        </w:rPr>
        <w:t>לֵוִי</w:t>
      </w:r>
      <w:r>
        <w:t xml:space="preserve">, „Levi", „der ganze Stamm Levi"), </w:t>
      </w:r>
      <w:r>
        <w:rPr>
          <w:rStyle w:val="Fett"/>
          <w:rFonts w:eastAsiaTheme="majorEastAsia"/>
          <w:rtl/>
        </w:rPr>
        <w:t>חֵלֶק וְנַחֲלָה</w:t>
      </w:r>
      <w:r>
        <w:rPr>
          <w:rtl/>
        </w:rPr>
        <w:t xml:space="preserve"> </w:t>
      </w:r>
      <w:r>
        <w:t>(</w:t>
      </w:r>
      <w:r>
        <w:rPr>
          <w:rStyle w:val="Fett"/>
          <w:rFonts w:eastAsiaTheme="majorEastAsia"/>
          <w:rtl/>
        </w:rPr>
        <w:t>חֵלֶק</w:t>
      </w:r>
      <w:r>
        <w:t xml:space="preserve">, „Anteil, Teil", koordiniert durch </w:t>
      </w:r>
      <w:r>
        <w:rPr>
          <w:rStyle w:val="Fett"/>
          <w:rFonts w:eastAsiaTheme="majorEastAsia"/>
          <w:rtl/>
        </w:rPr>
        <w:t>וְ</w:t>
      </w:r>
      <w:r>
        <w:rPr>
          <w:rtl/>
        </w:rPr>
        <w:t xml:space="preserve"> </w:t>
      </w:r>
      <w:r>
        <w:t xml:space="preserve">mit </w:t>
      </w:r>
      <w:r>
        <w:rPr>
          <w:rStyle w:val="Fett"/>
          <w:rFonts w:eastAsiaTheme="majorEastAsia"/>
          <w:rtl/>
        </w:rPr>
        <w:t>נַחֲלָה</w:t>
      </w:r>
      <w:r>
        <w:t xml:space="preserve">, „Erbe, Erbbesitz"), </w:t>
      </w:r>
      <w:r>
        <w:rPr>
          <w:rStyle w:val="Fett"/>
          <w:rFonts w:eastAsiaTheme="majorEastAsia"/>
          <w:rtl/>
        </w:rPr>
        <w:t>עִם־יִשְׂרָאֵל</w:t>
      </w:r>
      <w:r>
        <w:rPr>
          <w:rtl/>
        </w:rPr>
        <w:t xml:space="preserve"> </w:t>
      </w:r>
      <w:r>
        <w:t xml:space="preserve">(Präposition </w:t>
      </w:r>
      <w:r>
        <w:rPr>
          <w:rStyle w:val="Fett"/>
          <w:rFonts w:eastAsiaTheme="majorEastAsia"/>
          <w:rtl/>
        </w:rPr>
        <w:t>עִם</w:t>
      </w:r>
      <w:r>
        <w:t xml:space="preserve">, „mit", mit </w:t>
      </w:r>
      <w:r>
        <w:rPr>
          <w:rStyle w:val="Fett"/>
          <w:rFonts w:eastAsiaTheme="majorEastAsia"/>
          <w:rtl/>
        </w:rPr>
        <w:t>יִשְׂרָאֵל</w:t>
      </w:r>
      <w:r>
        <w:t>).</w:t>
      </w:r>
    </w:p>
    <w:p w14:paraId="0FC63AD5" w14:textId="77777777" w:rsidR="00C90AB0" w:rsidRDefault="00C90AB0" w:rsidP="00C90AB0">
      <w:pPr>
        <w:pStyle w:val="whitespace-normal"/>
      </w:pPr>
      <w:r>
        <w:rPr>
          <w:rStyle w:val="Fett"/>
          <w:rFonts w:eastAsiaTheme="majorEastAsia"/>
          <w:rtl/>
        </w:rPr>
        <w:t>אִשֵּׁי יְהוָה וְנַחֲלָתוֹ יֹאכֵלוּן</w:t>
      </w:r>
      <w:r>
        <w:rPr>
          <w:rtl/>
        </w:rPr>
        <w:t xml:space="preserve"> </w:t>
      </w:r>
      <w:r>
        <w:t xml:space="preserve">ist der positive Satz: </w:t>
      </w:r>
      <w:r>
        <w:rPr>
          <w:rStyle w:val="Fett"/>
          <w:rFonts w:eastAsiaTheme="majorEastAsia"/>
          <w:rtl/>
        </w:rPr>
        <w:t>אִשֵּׁי יְהוָה</w:t>
      </w:r>
      <w:r>
        <w:rPr>
          <w:rtl/>
        </w:rPr>
        <w:t xml:space="preserve"> </w:t>
      </w:r>
      <w:r>
        <w:t>(</w:t>
      </w:r>
      <w:r>
        <w:rPr>
          <w:rStyle w:val="Fett"/>
          <w:rFonts w:eastAsiaTheme="majorEastAsia"/>
          <w:rtl/>
        </w:rPr>
        <w:t>אִשֶּׁה</w:t>
      </w:r>
      <w:r>
        <w:t xml:space="preserve">, „Feueropfer", Plural Construct mit </w:t>
      </w:r>
      <w:r>
        <w:rPr>
          <w:rStyle w:val="Fett"/>
          <w:rFonts w:eastAsiaTheme="majorEastAsia"/>
          <w:rtl/>
        </w:rPr>
        <w:t>יְהוָה</w:t>
      </w:r>
      <w:r>
        <w:t xml:space="preserve">, „die Feueropfer JHWHs"), </w:t>
      </w:r>
      <w:r>
        <w:rPr>
          <w:rStyle w:val="Fett"/>
          <w:rFonts w:eastAsiaTheme="majorEastAsia"/>
          <w:rtl/>
        </w:rPr>
        <w:t>וְנַחֲלָתוֹ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נַחֲלָה</w:t>
      </w:r>
      <w:r>
        <w:t xml:space="preserve">, „Erbe", mit Suffix 3. Person Maskulinum Singular, „und sein Erbe"), </w:t>
      </w:r>
      <w:r>
        <w:rPr>
          <w:rStyle w:val="Fett"/>
          <w:rFonts w:eastAsiaTheme="majorEastAsia"/>
          <w:rtl/>
        </w:rPr>
        <w:t>יֹאכֵלוּן</w:t>
      </w:r>
      <w:r>
        <w:rPr>
          <w:rtl/>
        </w:rPr>
        <w:t xml:space="preserve"> </w:t>
      </w:r>
      <w:r>
        <w:t xml:space="preserve">(Qal Imperfekt, 3. Person Plural von </w:t>
      </w:r>
      <w:r>
        <w:rPr>
          <w:rStyle w:val="Fett"/>
          <w:rFonts w:eastAsiaTheme="majorEastAsia"/>
          <w:rtl/>
        </w:rPr>
        <w:t>אכל</w:t>
      </w:r>
      <w:r>
        <w:t>, „essen", mit Paragogischem Nun).</w:t>
      </w:r>
    </w:p>
    <w:p w14:paraId="42CBB1E7" w14:textId="77777777" w:rsidR="00C90AB0" w:rsidRDefault="00C90AB0" w:rsidP="00C90AB0">
      <w:pPr>
        <w:pStyle w:val="whitespace-normal"/>
      </w:pPr>
      <w:r>
        <w:t xml:space="preserve">Der Vers leitet das neue Kapitel über Priester und Propheten ein. Die Formulierung </w:t>
      </w:r>
      <w:r>
        <w:rPr>
          <w:rStyle w:val="Fett"/>
          <w:rFonts w:eastAsiaTheme="majorEastAsia"/>
          <w:rtl/>
        </w:rPr>
        <w:t>לַכֹּהֲנִים הַלְוִיִּם</w:t>
      </w:r>
      <w:r>
        <w:rPr>
          <w:rtl/>
        </w:rPr>
        <w:t xml:space="preserve"> </w:t>
      </w:r>
      <w:r>
        <w:t xml:space="preserve">(„die Priester, die Leviten") ist charakteristisch deuteronomisch – alle Leviten sind potentielle Priester (vgl. 17,9.18; 18,1; 21,5; 24,8; 27,9). Die Wendung </w:t>
      </w:r>
      <w:r>
        <w:rPr>
          <w:rStyle w:val="Fett"/>
          <w:rFonts w:eastAsiaTheme="majorEastAsia"/>
          <w:rtl/>
        </w:rPr>
        <w:t>חֵלֶק וְנַחֲלָה</w:t>
      </w:r>
      <w:r>
        <w:rPr>
          <w:rtl/>
        </w:rPr>
        <w:t xml:space="preserve"> </w:t>
      </w:r>
      <w:r>
        <w:t>(„Anteil und Erbe") bezieht sich auf Landbesitz – die Leviten bekommen kein Stammesgebiet (vgl. Num 18,20.23.24; 26,62; Dtn 10,9; 12,12; 14,27.29; Jos 13,14.33; 14,3.4; 18,7).</w:t>
      </w:r>
    </w:p>
    <w:p w14:paraId="1B74D16C" w14:textId="61950796" w:rsidR="00C90AB0" w:rsidRDefault="00C90AB0" w:rsidP="00C90AB0">
      <w:pPr>
        <w:pStyle w:val="whitespace-normal"/>
      </w:pPr>
      <w:r>
        <w:lastRenderedPageBreak/>
        <w:t xml:space="preserve">Das Wort </w:t>
      </w:r>
      <w:r>
        <w:rPr>
          <w:rStyle w:val="Fett"/>
          <w:rFonts w:eastAsiaTheme="majorEastAsia"/>
          <w:rtl/>
        </w:rPr>
        <w:t>אִשֵּׁה</w:t>
      </w:r>
      <w:r>
        <w:rPr>
          <w:rtl/>
        </w:rPr>
        <w:t xml:space="preserve"> </w:t>
      </w:r>
      <w:r>
        <w:t xml:space="preserve">(„Feueropfer") bezeichnet Opfer, die auf dem Altar dargebracht werden (von </w:t>
      </w:r>
      <w:r>
        <w:rPr>
          <w:rStyle w:val="Fett"/>
          <w:rFonts w:eastAsiaTheme="majorEastAsia"/>
          <w:rtl/>
        </w:rPr>
        <w:t>אֵשׁ</w:t>
      </w:r>
      <w:r>
        <w:t xml:space="preserve">, „Feuer"). Die Formulierung </w:t>
      </w:r>
      <w:r>
        <w:rPr>
          <w:rStyle w:val="Fett"/>
          <w:rFonts w:eastAsiaTheme="majorEastAsia"/>
          <w:rtl/>
        </w:rPr>
        <w:t>וְנַחֲלָתוֹ</w:t>
      </w:r>
      <w:r>
        <w:rPr>
          <w:rtl/>
        </w:rPr>
        <w:t xml:space="preserve"> </w:t>
      </w:r>
      <w:r>
        <w:t>(„sein Erbe") verweist auf JHWHs Anteil an den Opfern, der den Priestern zusteht.</w:t>
      </w:r>
    </w:p>
    <w:p w14:paraId="2D50F98F" w14:textId="33FF2327" w:rsidR="00C320AC" w:rsidRDefault="00C320AC" w:rsidP="00C90AB0">
      <w:pPr>
        <w:pStyle w:val="whitespace-normal"/>
      </w:pPr>
      <w:r>
        <w:rPr>
          <w:rStyle w:val="Fett"/>
        </w:rPr>
        <w:t>Die LXX</w:t>
      </w:r>
      <w:r>
        <w:t xml:space="preserve"> übersetzt </w:t>
      </w:r>
      <w:r w:rsidRPr="00C320AC">
        <w:rPr>
          <w:b/>
          <w:bCs/>
          <w:rtl/>
        </w:rPr>
        <w:t>אִשֵּׁי יְהוָה</w:t>
      </w:r>
      <w:r>
        <w:t xml:space="preserve"> (Feueropfer des HERRN) mit καρπ</w:t>
      </w:r>
      <w:proofErr w:type="spellStart"/>
      <w:r>
        <w:t>ώμ</w:t>
      </w:r>
      <w:proofErr w:type="spellEnd"/>
      <w:r>
        <w:t xml:space="preserve">ατα </w:t>
      </w:r>
      <w:proofErr w:type="spellStart"/>
      <w:r>
        <w:t>κυρίου</w:t>
      </w:r>
      <w:proofErr w:type="spellEnd"/>
      <w:r>
        <w:t xml:space="preserve"> (Früchte/Opfergaben des Herrn) – eine interpretierende Übersetzung, die den technischen Begriff für </w:t>
      </w:r>
      <w:r w:rsidR="00A705B7">
        <w:t>Aufsteigeopfer</w:t>
      </w:r>
      <w:r>
        <w:t xml:space="preserve"> mit einem allgemeineren Begriff für Opfergaben wiedergibt. Am Ende fügt die LXX </w:t>
      </w:r>
      <w:proofErr w:type="spellStart"/>
      <w:r>
        <w:t>φάγοντ</w:t>
      </w:r>
      <w:proofErr w:type="spellEnd"/>
      <w:r>
        <w:t>αι α</w:t>
      </w:r>
      <w:proofErr w:type="spellStart"/>
      <w:r>
        <w:t>ὐτά</w:t>
      </w:r>
      <w:proofErr w:type="spellEnd"/>
      <w:r>
        <w:t xml:space="preserve"> (sie werden sie essen) hinzu, was das Objekt explizit macht.</w:t>
      </w:r>
    </w:p>
    <w:p w14:paraId="6B92E24A" w14:textId="77777777" w:rsidR="00C90AB0" w:rsidRDefault="00C90AB0" w:rsidP="00C90AB0">
      <w:pPr>
        <w:pStyle w:val="whitespace-normal"/>
      </w:pPr>
      <w:r>
        <w:rPr>
          <w:rStyle w:val="Fett"/>
          <w:rFonts w:eastAsiaTheme="majorEastAsia"/>
        </w:rPr>
        <w:t>Die Satzstruktur:</w:t>
      </w:r>
      <w:r>
        <w:t xml:space="preserve"> Negativer Verbalsatz mit positivem Satz (nicht sein soll für die Priester, die Leviten, der ganze Stamm Levi, Anteil und Erbe mit Israel; die Feueropfer JHWHs und sein Erbe essen sollen sie).</w:t>
      </w:r>
    </w:p>
    <w:p w14:paraId="7D002AB6" w14:textId="77777777" w:rsidR="00C90AB0" w:rsidRDefault="00C90AB0" w:rsidP="00C90AB0">
      <w:pPr>
        <w:pStyle w:val="whitespace-normal"/>
      </w:pPr>
      <w:r>
        <w:t>Der Vers bestimmt: Die Leviten erhalten kein Land wie die anderen Stämme – sie leben von den Opfern JHWHs.</w:t>
      </w:r>
    </w:p>
    <w:p w14:paraId="0A7395CF"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18,2</w:t>
      </w:r>
    </w:p>
    <w:p w14:paraId="0F46EC43" w14:textId="77777777" w:rsidR="00C90AB0" w:rsidRDefault="00C90AB0" w:rsidP="00C90AB0">
      <w:pPr>
        <w:pStyle w:val="whitespace-normal"/>
      </w:pPr>
      <w:r>
        <w:rPr>
          <w:rStyle w:val="Fett"/>
          <w:rFonts w:eastAsiaTheme="majorEastAsia"/>
        </w:rPr>
        <w:t>Hebräisch:</w:t>
      </w:r>
      <w:r>
        <w:t xml:space="preserve"> </w:t>
      </w:r>
      <w:r>
        <w:rPr>
          <w:rtl/>
        </w:rPr>
        <w:t>וְנַחֲלָ֥ה לֹא־יִֽהְיֶה־לּוֹ֖ בְּקֶ֣רֶב אֶחָ֑יו יְהוָה֙ ה֣וּא נַחֲלָתוֹ֔ כַּאֲשֶׁ֖ר דִּבֶּר־לוֹֽ׃</w:t>
      </w:r>
    </w:p>
    <w:p w14:paraId="2EE27373" w14:textId="77777777" w:rsidR="00C90AB0" w:rsidRDefault="00C90AB0" w:rsidP="00C90AB0">
      <w:pPr>
        <w:pStyle w:val="whitespace-normal"/>
      </w:pPr>
      <w:r>
        <w:rPr>
          <w:rStyle w:val="Fett"/>
          <w:rFonts w:eastAsiaTheme="majorEastAsia"/>
        </w:rPr>
        <w:t>Deutsch:</w:t>
      </w:r>
      <w:r>
        <w:t xml:space="preserve"> Aber ein Erbteil soll er nicht haben inmitten seiner Brüder; der Ewige ist sein Erbteil, wie er zu ihm geredet hat.</w:t>
      </w:r>
    </w:p>
    <w:p w14:paraId="4073C397" w14:textId="77777777" w:rsidR="00C90AB0" w:rsidRDefault="004F5CEB" w:rsidP="00C90AB0">
      <w:r>
        <w:rPr>
          <w:noProof/>
        </w:rPr>
        <w:pict w14:anchorId="67658619">
          <v:rect id="_x0000_i1511" style="width:0;height:1.5pt" o:hralign="center" o:hrstd="t" o:hr="t" fillcolor="#a0a0a0" stroked="f"/>
        </w:pict>
      </w:r>
    </w:p>
    <w:p w14:paraId="34235644"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וְנַחֲלָה לֹא־יִהְיֶה־לּוֹ בְּקֶרֶב אֶחָיו</w:t>
      </w:r>
      <w:r>
        <w:rPr>
          <w:rtl/>
        </w:rPr>
        <w:t xml:space="preserve"> </w:t>
      </w:r>
      <w:r>
        <w:t xml:space="preserve">ist ein negativer Verbalsatz: </w:t>
      </w:r>
      <w:r>
        <w:rPr>
          <w:rStyle w:val="Fett"/>
          <w:rFonts w:eastAsiaTheme="majorEastAsia"/>
          <w:rtl/>
        </w:rPr>
        <w:t>וְנַחֲלָה</w:t>
      </w:r>
      <w:r>
        <w:rPr>
          <w:rtl/>
        </w:rPr>
        <w:t xml:space="preserve"> </w:t>
      </w:r>
      <w:r>
        <w:t>(</w:t>
      </w:r>
      <w:r>
        <w:rPr>
          <w:rStyle w:val="Fett"/>
          <w:rFonts w:eastAsiaTheme="majorEastAsia"/>
          <w:rtl/>
        </w:rPr>
        <w:t>נַחֲלָה</w:t>
      </w:r>
      <w:r>
        <w:t xml:space="preserve">, „Erbe", mit </w:t>
      </w:r>
      <w:r>
        <w:rPr>
          <w:rStyle w:val="Fett"/>
          <w:rFonts w:eastAsiaTheme="majorEastAsia"/>
        </w:rPr>
        <w:t>Waw</w:t>
      </w:r>
      <w:r>
        <w:t xml:space="preserve">), </w:t>
      </w:r>
      <w:r>
        <w:rPr>
          <w:rStyle w:val="Fett"/>
          <w:rFonts w:eastAsiaTheme="majorEastAsia"/>
          <w:rtl/>
        </w:rPr>
        <w:t>לֹא־יִהְיֶה־לּוֹ</w:t>
      </w:r>
      <w:r>
        <w:rPr>
          <w:rtl/>
        </w:rPr>
        <w:t xml:space="preserve"> </w:t>
      </w:r>
      <w:r>
        <w:t xml:space="preserve">(Negation mit </w:t>
      </w:r>
      <w:r>
        <w:rPr>
          <w:rStyle w:val="Fett"/>
          <w:rFonts w:eastAsiaTheme="majorEastAsia"/>
          <w:rtl/>
        </w:rPr>
        <w:t>היה</w:t>
      </w:r>
      <w:r>
        <w:t xml:space="preserve">, Qal Imperfekt, 3. Person Maskulinum Singular, mit </w:t>
      </w:r>
      <w:r>
        <w:rPr>
          <w:rStyle w:val="Fett"/>
          <w:rFonts w:eastAsiaTheme="majorEastAsia"/>
          <w:rtl/>
        </w:rPr>
        <w:t>לּוֹ</w:t>
      </w:r>
      <w:r>
        <w:t xml:space="preserve">, Präposition </w:t>
      </w:r>
      <w:r>
        <w:rPr>
          <w:rStyle w:val="Fett"/>
          <w:rFonts w:eastAsiaTheme="majorEastAsia"/>
          <w:rtl/>
        </w:rPr>
        <w:t>לְ</w:t>
      </w:r>
      <w:r>
        <w:rPr>
          <w:rtl/>
        </w:rPr>
        <w:t xml:space="preserve"> </w:t>
      </w:r>
      <w:r>
        <w:t xml:space="preserve">mit Suffix 3. Person Maskulinum Singular, „nicht sein soll ihm"), </w:t>
      </w:r>
      <w:r>
        <w:rPr>
          <w:rStyle w:val="Fett"/>
          <w:rFonts w:eastAsiaTheme="majorEastAsia"/>
          <w:rtl/>
        </w:rPr>
        <w:t>בְּקֶרֶב אֶחָיו</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קֶרֶב</w:t>
      </w:r>
      <w:r>
        <w:t xml:space="preserve">, „Mitte", Construct mit </w:t>
      </w:r>
      <w:r>
        <w:rPr>
          <w:rStyle w:val="Fett"/>
          <w:rFonts w:eastAsiaTheme="majorEastAsia"/>
          <w:rtl/>
        </w:rPr>
        <w:t>אָח</w:t>
      </w:r>
      <w:r>
        <w:t>, „Bruder", Plural mit Suffix 3. Person Maskulinum Singular, „inmitten seiner Brüder").</w:t>
      </w:r>
    </w:p>
    <w:p w14:paraId="4AB14372" w14:textId="77777777" w:rsidR="00C90AB0" w:rsidRDefault="00C90AB0" w:rsidP="00C90AB0">
      <w:pPr>
        <w:pStyle w:val="whitespace-normal"/>
      </w:pPr>
      <w:r>
        <w:rPr>
          <w:rStyle w:val="Fett"/>
          <w:rFonts w:eastAsiaTheme="majorEastAsia"/>
          <w:rtl/>
        </w:rPr>
        <w:t>יְהוָה הוּא נַחֲלָתוֹ כַּאֲשֶׁר דִּבֶּר־לוֹ</w:t>
      </w:r>
      <w:r>
        <w:rPr>
          <w:rtl/>
        </w:rPr>
        <w:t xml:space="preserve"> </w:t>
      </w:r>
      <w:r>
        <w:t xml:space="preserve">ist der positive Nominalsatz: </w:t>
      </w:r>
      <w:r>
        <w:rPr>
          <w:rStyle w:val="Fett"/>
          <w:rFonts w:eastAsiaTheme="majorEastAsia"/>
          <w:rtl/>
        </w:rPr>
        <w:t>יְהוָה</w:t>
      </w:r>
      <w:r>
        <w:rPr>
          <w:rtl/>
        </w:rPr>
        <w:t xml:space="preserve"> </w:t>
      </w:r>
      <w:r>
        <w:t>(</w:t>
      </w:r>
      <w:r>
        <w:rPr>
          <w:rStyle w:val="Fett"/>
          <w:rFonts w:eastAsiaTheme="majorEastAsia"/>
          <w:rtl/>
        </w:rPr>
        <w:t>יְהוָה</w:t>
      </w:r>
      <w:r>
        <w:rPr>
          <w:rtl/>
        </w:rPr>
        <w:t xml:space="preserve"> </w:t>
      </w:r>
      <w:r>
        <w:t xml:space="preserve">als Subjekt), </w:t>
      </w:r>
      <w:r>
        <w:rPr>
          <w:rStyle w:val="Fett"/>
          <w:rFonts w:eastAsiaTheme="majorEastAsia"/>
          <w:rtl/>
        </w:rPr>
        <w:t>הוּא</w:t>
      </w:r>
      <w:r>
        <w:rPr>
          <w:rtl/>
        </w:rPr>
        <w:t xml:space="preserve"> </w:t>
      </w:r>
      <w:r>
        <w:t xml:space="preserve">(Personalpronomen 3. Person Maskulinum Singular, betont), </w:t>
      </w:r>
      <w:r>
        <w:rPr>
          <w:rStyle w:val="Fett"/>
          <w:rFonts w:eastAsiaTheme="majorEastAsia"/>
          <w:rtl/>
        </w:rPr>
        <w:t>נַחֲלָתוֹ</w:t>
      </w:r>
      <w:r>
        <w:rPr>
          <w:rtl/>
        </w:rPr>
        <w:t xml:space="preserve"> </w:t>
      </w:r>
      <w:r>
        <w:t>(</w:t>
      </w:r>
      <w:r>
        <w:rPr>
          <w:rStyle w:val="Fett"/>
          <w:rFonts w:eastAsiaTheme="majorEastAsia"/>
          <w:rtl/>
        </w:rPr>
        <w:t>נַחֲלָה</w:t>
      </w:r>
      <w:r>
        <w:t xml:space="preserve">, „Erbe", mit Suffix 3. Person Maskulinum Singular, als Prädikatsnomen), </w:t>
      </w:r>
      <w:r>
        <w:rPr>
          <w:rStyle w:val="Fett"/>
          <w:rFonts w:eastAsiaTheme="majorEastAsia"/>
          <w:rtl/>
        </w:rPr>
        <w:t>כַּאֲשֶׁר דִּבֶּר־לוֹ</w:t>
      </w:r>
      <w:r>
        <w:rPr>
          <w:rtl/>
        </w:rPr>
        <w:t xml:space="preserve"> </w:t>
      </w:r>
      <w:r>
        <w:t xml:space="preserve">(Vergleichssatz: </w:t>
      </w:r>
      <w:r>
        <w:rPr>
          <w:rStyle w:val="Fett"/>
          <w:rFonts w:eastAsiaTheme="majorEastAsia"/>
          <w:rtl/>
        </w:rPr>
        <w:t>כַּאֲשֶׁר</w:t>
      </w:r>
      <w:r>
        <w:rPr>
          <w:rtl/>
        </w:rPr>
        <w:t xml:space="preserve"> </w:t>
      </w:r>
      <w:r>
        <w:t xml:space="preserve">mit </w:t>
      </w:r>
      <w:r>
        <w:rPr>
          <w:rStyle w:val="Fett"/>
          <w:rFonts w:eastAsiaTheme="majorEastAsia"/>
          <w:rtl/>
        </w:rPr>
        <w:t>דבר</w:t>
      </w:r>
      <w:r>
        <w:t xml:space="preserve">, Piel Perfekt, 3. Person Maskulinum Singular, „reden", mit </w:t>
      </w:r>
      <w:r>
        <w:rPr>
          <w:rStyle w:val="Fett"/>
          <w:rFonts w:eastAsiaTheme="majorEastAsia"/>
          <w:rtl/>
        </w:rPr>
        <w:t>לוֹ</w:t>
      </w:r>
      <w:r>
        <w:t>, „wie er zu ihm geredet hat").</w:t>
      </w:r>
    </w:p>
    <w:p w14:paraId="0D7556F7" w14:textId="77777777" w:rsidR="00C90AB0" w:rsidRDefault="00C90AB0" w:rsidP="00C90AB0">
      <w:pPr>
        <w:pStyle w:val="whitespace-normal"/>
      </w:pPr>
      <w:r>
        <w:t xml:space="preserve">Der Vers wiederholt und vertieft V. 1. Der Singular </w:t>
      </w:r>
      <w:r>
        <w:rPr>
          <w:rStyle w:val="Fett"/>
          <w:rFonts w:eastAsiaTheme="majorEastAsia"/>
          <w:rtl/>
        </w:rPr>
        <w:t>לּוֹ</w:t>
      </w:r>
      <w:r>
        <w:rPr>
          <w:rtl/>
        </w:rPr>
        <w:t xml:space="preserve"> </w:t>
      </w:r>
      <w:r>
        <w:t xml:space="preserve">(„ihm") kann sich auf den einzelnen Leviten oder kollektiv auf den Stamm Levi beziehen. Die theologisch tiefe Aussage </w:t>
      </w:r>
      <w:r>
        <w:rPr>
          <w:rStyle w:val="Fett"/>
          <w:rFonts w:eastAsiaTheme="majorEastAsia"/>
          <w:rtl/>
        </w:rPr>
        <w:t>יְהוָה הוּא נַחֲלָתוֹ</w:t>
      </w:r>
      <w:r>
        <w:rPr>
          <w:rtl/>
        </w:rPr>
        <w:t xml:space="preserve"> </w:t>
      </w:r>
      <w:r>
        <w:t xml:space="preserve">(„JHWH ist sein Erbe") bedeutet: JHWH selbst ist der Besitz der Leviten (vgl. Num 18,20; Dtn 10,9; Jos 13,33; Ps 16,5; 73,26; 142,6; Klgl 3,24). Die Formulierung </w:t>
      </w:r>
      <w:r>
        <w:rPr>
          <w:rStyle w:val="Fett"/>
          <w:rFonts w:eastAsiaTheme="majorEastAsia"/>
          <w:rtl/>
        </w:rPr>
        <w:t>כַּאֲשֶׁר דִּבֶּר־לוֹ</w:t>
      </w:r>
      <w:r>
        <w:rPr>
          <w:rtl/>
        </w:rPr>
        <w:t xml:space="preserve"> </w:t>
      </w:r>
      <w:r>
        <w:t>(„wie er zu ihm geredet hat") verweist auf frühere Verheißungen (vgl. Num 18,20).</w:t>
      </w:r>
    </w:p>
    <w:p w14:paraId="69960071" w14:textId="77777777" w:rsidR="00C90AB0" w:rsidRDefault="00C90AB0" w:rsidP="00C90AB0">
      <w:pPr>
        <w:pStyle w:val="whitespace-normal"/>
      </w:pPr>
      <w:r>
        <w:rPr>
          <w:rStyle w:val="Fett"/>
          <w:rFonts w:eastAsiaTheme="majorEastAsia"/>
        </w:rPr>
        <w:t>Die Satzstruktur:</w:t>
      </w:r>
      <w:r>
        <w:t xml:space="preserve"> Negativer Verbalsatz mit positivem Nominalsatz (und ein Erbe nicht sein soll ihm inmitten seiner Brüder; JHWH, er ist sein Erbe, wie geredet hat er zu ihm).</w:t>
      </w:r>
    </w:p>
    <w:p w14:paraId="3A9BF087" w14:textId="77777777" w:rsidR="00C90AB0" w:rsidRDefault="00C90AB0" w:rsidP="00C90AB0">
      <w:pPr>
        <w:pStyle w:val="whitespace-normal"/>
      </w:pPr>
      <w:r>
        <w:lastRenderedPageBreak/>
        <w:t>Der Vers betont: Die Leviten haben keinen Landanteil unter den Stämmen – JHWH selbst ist ihr Erbe, wie er verheißen hat.</w:t>
      </w:r>
    </w:p>
    <w:p w14:paraId="0B674017"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18,3</w:t>
      </w:r>
    </w:p>
    <w:p w14:paraId="13126C0E" w14:textId="77777777" w:rsidR="00C90AB0" w:rsidRDefault="00C90AB0" w:rsidP="00C90AB0">
      <w:pPr>
        <w:pStyle w:val="whitespace-normal"/>
      </w:pPr>
      <w:r>
        <w:rPr>
          <w:rStyle w:val="Fett"/>
          <w:rFonts w:eastAsiaTheme="majorEastAsia"/>
        </w:rPr>
        <w:t>Hebräisch:</w:t>
      </w:r>
      <w:r>
        <w:t xml:space="preserve"> </w:t>
      </w:r>
      <w:r>
        <w:rPr>
          <w:rtl/>
        </w:rPr>
        <w:t>וְזֶ֡ה יִהְיֶה֩ מִשְׁפַּ֨ט הַכֹּהֲנִ֜ים מֵאֵ֣ת הָעָ֗ם מֵאֵ֛ת זֹבְחֵ֥י הַזֶּ֖בַח אִם־שׁ֣וֹר אִם־שֶׂ֑ה וְנָתַן֙ לַכֹּהֵ֔ן הַזְּרֹ֥עַ וְהַלְּחָיַ֖יִם וְהַקֵּבָֽה׃</w:t>
      </w:r>
    </w:p>
    <w:p w14:paraId="44C80351" w14:textId="77777777" w:rsidR="00C90AB0" w:rsidRDefault="00C90AB0" w:rsidP="00C90AB0">
      <w:pPr>
        <w:pStyle w:val="whitespace-normal"/>
      </w:pPr>
      <w:r>
        <w:rPr>
          <w:rStyle w:val="Fett"/>
          <w:rFonts w:eastAsiaTheme="majorEastAsia"/>
        </w:rPr>
        <w:t>Deutsch:</w:t>
      </w:r>
      <w:r>
        <w:t xml:space="preserve"> Und dies soll das Recht der Priester sein von dem Volk, von denen, die ein Schlachtopfer schlachten, sei es Rind oder Kleinvieh: Man soll geben dem Priester die Schulter und die beiden Kinnbacken und den Magen.</w:t>
      </w:r>
    </w:p>
    <w:p w14:paraId="48341709" w14:textId="77777777" w:rsidR="00C90AB0" w:rsidRDefault="004F5CEB" w:rsidP="00C90AB0">
      <w:r>
        <w:rPr>
          <w:noProof/>
        </w:rPr>
        <w:pict w14:anchorId="3CD64A38">
          <v:rect id="_x0000_i1512" style="width:0;height:1.5pt" o:hralign="center" o:hrstd="t" o:hr="t" fillcolor="#a0a0a0" stroked="f"/>
        </w:pict>
      </w:r>
    </w:p>
    <w:p w14:paraId="1164A198"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וְזֶה יִהְיֶה מִשְׁפַּט הַכֹּהֲנִים מֵאֵת הָעָם מֵאֵת זֹבְחֵי הַזֶּבַח אִם־שׁוֹר אִם־שֶׂה</w:t>
      </w:r>
      <w:r>
        <w:rPr>
          <w:rtl/>
        </w:rPr>
        <w:t xml:space="preserve"> </w:t>
      </w:r>
      <w:r>
        <w:t xml:space="preserve">ist ein Nominalsatz mit doppelter Bestimmung: </w:t>
      </w:r>
      <w:r>
        <w:rPr>
          <w:rStyle w:val="Fett"/>
          <w:rFonts w:eastAsiaTheme="majorEastAsia"/>
          <w:rtl/>
        </w:rPr>
        <w:t>וְזֶה</w:t>
      </w:r>
      <w:r>
        <w:rPr>
          <w:rtl/>
        </w:rPr>
        <w:t xml:space="preserve"> </w:t>
      </w:r>
      <w:r>
        <w:t xml:space="preserve">(Demonstrativpronomen </w:t>
      </w:r>
      <w:r>
        <w:rPr>
          <w:rStyle w:val="Fett"/>
          <w:rFonts w:eastAsiaTheme="majorEastAsia"/>
          <w:rtl/>
        </w:rPr>
        <w:t>זֶה</w:t>
      </w:r>
      <w:r>
        <w:t xml:space="preserve">, „dies", mit </w:t>
      </w:r>
      <w:r>
        <w:rPr>
          <w:rStyle w:val="Fett"/>
          <w:rFonts w:eastAsiaTheme="majorEastAsia"/>
        </w:rPr>
        <w:t>Waw</w:t>
      </w:r>
      <w:r>
        <w:t xml:space="preserve">), </w:t>
      </w:r>
      <w:r>
        <w:rPr>
          <w:rStyle w:val="Fett"/>
          <w:rFonts w:eastAsiaTheme="majorEastAsia"/>
          <w:rtl/>
        </w:rPr>
        <w:t>יִהְיֶה</w:t>
      </w:r>
      <w:r>
        <w:rPr>
          <w:rtl/>
        </w:rPr>
        <w:t xml:space="preserve"> </w:t>
      </w:r>
      <w:r>
        <w:t>(</w:t>
      </w:r>
      <w:r>
        <w:rPr>
          <w:rStyle w:val="Fett"/>
          <w:rFonts w:eastAsiaTheme="majorEastAsia"/>
          <w:rtl/>
        </w:rPr>
        <w:t>היה</w:t>
      </w:r>
      <w:r>
        <w:t xml:space="preserve">, Qal Imperfekt, 3. Person Maskulinum Singular, „sein"), </w:t>
      </w:r>
      <w:r>
        <w:rPr>
          <w:rStyle w:val="Fett"/>
          <w:rFonts w:eastAsiaTheme="majorEastAsia"/>
          <w:rtl/>
        </w:rPr>
        <w:t>מִשְׁפַּט הַכֹּהֲנִים</w:t>
      </w:r>
      <w:r>
        <w:rPr>
          <w:rtl/>
        </w:rPr>
        <w:t xml:space="preserve"> </w:t>
      </w:r>
      <w:r>
        <w:t>(</w:t>
      </w:r>
      <w:r>
        <w:rPr>
          <w:rStyle w:val="Fett"/>
          <w:rFonts w:eastAsiaTheme="majorEastAsia"/>
          <w:rtl/>
        </w:rPr>
        <w:t>מִשְׁפָּט</w:t>
      </w:r>
      <w:r>
        <w:t xml:space="preserve">, „Recht, Anrecht", Construct mit </w:t>
      </w:r>
      <w:r>
        <w:rPr>
          <w:rStyle w:val="Fett"/>
          <w:rFonts w:eastAsiaTheme="majorEastAsia"/>
          <w:rtl/>
        </w:rPr>
        <w:t>כֹּהֵן</w:t>
      </w:r>
      <w:r>
        <w:t xml:space="preserve">, Plural mit Artikel, „das Recht der Priester"), </w:t>
      </w:r>
      <w:r>
        <w:rPr>
          <w:rStyle w:val="Fett"/>
          <w:rFonts w:eastAsiaTheme="majorEastAsia"/>
          <w:rtl/>
        </w:rPr>
        <w:t>מֵאֵת הָעָם</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אֵת</w:t>
      </w:r>
      <w:r>
        <w:t xml:space="preserve">, „von", mit </w:t>
      </w:r>
      <w:r>
        <w:rPr>
          <w:rStyle w:val="Fett"/>
          <w:rFonts w:eastAsiaTheme="majorEastAsia"/>
          <w:rtl/>
        </w:rPr>
        <w:t>עַם</w:t>
      </w:r>
      <w:r>
        <w:t xml:space="preserve">, „Volk", mit Artikel), </w:t>
      </w:r>
      <w:r>
        <w:rPr>
          <w:rStyle w:val="Fett"/>
          <w:rFonts w:eastAsiaTheme="majorEastAsia"/>
          <w:rtl/>
        </w:rPr>
        <w:t>מֵאֵת זֹבְחֵי הַזֶּבַח</w:t>
      </w:r>
      <w:r>
        <w:rPr>
          <w:rtl/>
        </w:rPr>
        <w:t xml:space="preserve"> </w:t>
      </w:r>
      <w:r>
        <w:t xml:space="preserve">(wiederholt </w:t>
      </w:r>
      <w:r>
        <w:rPr>
          <w:rStyle w:val="Fett"/>
          <w:rFonts w:eastAsiaTheme="majorEastAsia"/>
          <w:rtl/>
        </w:rPr>
        <w:t>מֵאֵת</w:t>
      </w:r>
      <w:r>
        <w:rPr>
          <w:rtl/>
        </w:rPr>
        <w:t xml:space="preserve"> </w:t>
      </w:r>
      <w:r>
        <w:t xml:space="preserve">mit </w:t>
      </w:r>
      <w:r>
        <w:rPr>
          <w:rStyle w:val="Fett"/>
          <w:rFonts w:eastAsiaTheme="majorEastAsia"/>
          <w:rtl/>
        </w:rPr>
        <w:t>זבח</w:t>
      </w:r>
      <w:r>
        <w:t xml:space="preserve">, Qal Partizip Plural Construct, „schlachten, opfern", mit </w:t>
      </w:r>
      <w:r>
        <w:rPr>
          <w:rStyle w:val="Fett"/>
          <w:rFonts w:eastAsiaTheme="majorEastAsia"/>
          <w:rtl/>
        </w:rPr>
        <w:t>זֶבַח</w:t>
      </w:r>
      <w:r>
        <w:t xml:space="preserve">, „Schlachtopfer", mit Artikel, „von denen, die das Schlachtopfer schlachten"), </w:t>
      </w:r>
      <w:r>
        <w:rPr>
          <w:rStyle w:val="Fett"/>
          <w:rFonts w:eastAsiaTheme="majorEastAsia"/>
          <w:rtl/>
        </w:rPr>
        <w:t>אִם־שׁוֹר אִם־שֶׂה</w:t>
      </w:r>
      <w:r>
        <w:rPr>
          <w:rtl/>
        </w:rPr>
        <w:t xml:space="preserve"> </w:t>
      </w:r>
      <w:r>
        <w:t>(</w:t>
      </w:r>
      <w:r>
        <w:rPr>
          <w:rStyle w:val="Fett"/>
          <w:rFonts w:eastAsiaTheme="majorEastAsia"/>
          <w:rtl/>
        </w:rPr>
        <w:t>אִם</w:t>
      </w:r>
      <w:r>
        <w:t xml:space="preserve">, „wenn, sei es", </w:t>
      </w:r>
      <w:r>
        <w:rPr>
          <w:rStyle w:val="Fett"/>
          <w:rFonts w:eastAsiaTheme="majorEastAsia"/>
          <w:rtl/>
        </w:rPr>
        <w:t>שׁוֹר</w:t>
      </w:r>
      <w:r>
        <w:t xml:space="preserve">, „Rind", </w:t>
      </w:r>
      <w:r>
        <w:rPr>
          <w:rStyle w:val="Fett"/>
          <w:rFonts w:eastAsiaTheme="majorEastAsia"/>
          <w:rtl/>
        </w:rPr>
        <w:t>אִם</w:t>
      </w:r>
      <w:r>
        <w:t xml:space="preserve">, wiederholt, </w:t>
      </w:r>
      <w:r>
        <w:rPr>
          <w:rStyle w:val="Fett"/>
          <w:rFonts w:eastAsiaTheme="majorEastAsia"/>
          <w:rtl/>
        </w:rPr>
        <w:t>שֶׂה</w:t>
      </w:r>
      <w:r>
        <w:t>, „Schaf oder Ziege, Kleinvieh").</w:t>
      </w:r>
    </w:p>
    <w:p w14:paraId="5C97F838" w14:textId="77777777" w:rsidR="00C90AB0" w:rsidRDefault="00C90AB0" w:rsidP="00C90AB0">
      <w:pPr>
        <w:pStyle w:val="whitespace-normal"/>
      </w:pPr>
      <w:r>
        <w:rPr>
          <w:rStyle w:val="Fett"/>
          <w:rFonts w:eastAsiaTheme="majorEastAsia"/>
          <w:rtl/>
        </w:rPr>
        <w:t>וְנָתַן לַכֹּהֵן הַזְּרֹעַ וְהַלְּחָיַיִם וְהַקֵּבָה</w:t>
      </w:r>
      <w:r>
        <w:rPr>
          <w:rtl/>
        </w:rPr>
        <w:t xml:space="preserve"> </w:t>
      </w:r>
      <w:r>
        <w:t xml:space="preserve">ist der Imperativsatz: </w:t>
      </w:r>
      <w:r>
        <w:rPr>
          <w:rStyle w:val="Fett"/>
          <w:rFonts w:eastAsiaTheme="majorEastAsia"/>
          <w:rtl/>
        </w:rPr>
        <w:t>וְנָתַן</w:t>
      </w:r>
      <w:r>
        <w:rPr>
          <w:rtl/>
        </w:rPr>
        <w:t xml:space="preserve"> </w:t>
      </w:r>
      <w:r>
        <w:t xml:space="preserve">(Qal Perfekt, 3. Person Maskulinum Singular von </w:t>
      </w:r>
      <w:r>
        <w:rPr>
          <w:rStyle w:val="Fett"/>
          <w:rFonts w:eastAsiaTheme="majorEastAsia"/>
          <w:rtl/>
        </w:rPr>
        <w:t>נתן</w:t>
      </w:r>
      <w:r>
        <w:t xml:space="preserve">, „geben", imperativisch), </w:t>
      </w:r>
      <w:r>
        <w:rPr>
          <w:rStyle w:val="Fett"/>
          <w:rFonts w:eastAsiaTheme="majorEastAsia"/>
          <w:rtl/>
        </w:rPr>
        <w:t>לַכֹּהֵן</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כֹּהֵן</w:t>
      </w:r>
      <w:r>
        <w:t xml:space="preserve">, „Priester", mit Artikel), </w:t>
      </w:r>
      <w:r>
        <w:rPr>
          <w:rStyle w:val="Fett"/>
          <w:rFonts w:eastAsiaTheme="majorEastAsia"/>
          <w:rtl/>
        </w:rPr>
        <w:t>הַזְּרֹעַ</w:t>
      </w:r>
      <w:r>
        <w:rPr>
          <w:rtl/>
        </w:rPr>
        <w:t xml:space="preserve"> </w:t>
      </w:r>
      <w:r>
        <w:t>(</w:t>
      </w:r>
      <w:r>
        <w:rPr>
          <w:rStyle w:val="Fett"/>
          <w:rFonts w:eastAsiaTheme="majorEastAsia"/>
          <w:rtl/>
        </w:rPr>
        <w:t>זְרוֹעַ</w:t>
      </w:r>
      <w:r>
        <w:t xml:space="preserve">, „Arm, Schulter, Vorderbein", mit Artikel), </w:t>
      </w:r>
      <w:r>
        <w:rPr>
          <w:rStyle w:val="Fett"/>
          <w:rFonts w:eastAsiaTheme="majorEastAsia"/>
          <w:rtl/>
        </w:rPr>
        <w:t>וְהַלְּחָיַיִם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לְחִי</w:t>
      </w:r>
      <w:r>
        <w:t xml:space="preserve">, „Kinnbacke, Backe", Dual mit Artikel, „die beiden Kinnbacken"), </w:t>
      </w:r>
      <w:r>
        <w:rPr>
          <w:rStyle w:val="Fett"/>
          <w:rFonts w:eastAsiaTheme="majorEastAsia"/>
          <w:rtl/>
        </w:rPr>
        <w:t>וְהַקֵּבָה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קֵבָה</w:t>
      </w:r>
      <w:r>
        <w:t>, „Magen, Labmagen", mit Artikel).</w:t>
      </w:r>
    </w:p>
    <w:p w14:paraId="4D1A586E" w14:textId="4F014711" w:rsidR="00C90AB0" w:rsidRDefault="00C90AB0" w:rsidP="00C90AB0">
      <w:pPr>
        <w:pStyle w:val="whitespace-normal"/>
      </w:pPr>
      <w:r>
        <w:t xml:space="preserve">Der Vers spezifiziert die priesterlichen Anteile bei privaten Schlachtopfern. Die drei Teile </w:t>
      </w:r>
      <w:r>
        <w:rPr>
          <w:rStyle w:val="Fett"/>
          <w:rFonts w:eastAsiaTheme="majorEastAsia"/>
          <w:rtl/>
        </w:rPr>
        <w:t>הַזְּרֹעַ וְהַלְּחָיַיִם וְהַקֵּבָה</w:t>
      </w:r>
      <w:r>
        <w:rPr>
          <w:rtl/>
        </w:rPr>
        <w:t xml:space="preserve"> </w:t>
      </w:r>
      <w:r>
        <w:t xml:space="preserve">(„die Schulter und die beiden Kinnbacken und den Magen") sind nicht in anderen biblischen Opfergesetzen genannt (vgl. </w:t>
      </w:r>
      <w:r w:rsidR="00664EB6">
        <w:t>Lev</w:t>
      </w:r>
      <w:r>
        <w:t xml:space="preserve"> 7,28-34, wo Brust und Schenkel genannt werden). Die </w:t>
      </w:r>
      <w:r>
        <w:rPr>
          <w:rStyle w:val="Fett"/>
          <w:rFonts w:eastAsiaTheme="majorEastAsia"/>
          <w:rtl/>
        </w:rPr>
        <w:t>זְרוֹעַ</w:t>
      </w:r>
      <w:r>
        <w:rPr>
          <w:rtl/>
        </w:rPr>
        <w:t xml:space="preserve"> </w:t>
      </w:r>
      <w:r>
        <w:t xml:space="preserve">ist das Vorderbein/Schulter, </w:t>
      </w:r>
      <w:r>
        <w:rPr>
          <w:rStyle w:val="Fett"/>
          <w:rFonts w:eastAsiaTheme="majorEastAsia"/>
          <w:rtl/>
        </w:rPr>
        <w:t>לְחָיַיִם</w:t>
      </w:r>
      <w:r>
        <w:rPr>
          <w:rtl/>
        </w:rPr>
        <w:t xml:space="preserve"> </w:t>
      </w:r>
      <w:r>
        <w:t xml:space="preserve">sind die Kinnbacken (möglicherweise mit Zunge), </w:t>
      </w:r>
      <w:r>
        <w:rPr>
          <w:rStyle w:val="Fett"/>
          <w:rFonts w:eastAsiaTheme="majorEastAsia"/>
          <w:rtl/>
        </w:rPr>
        <w:t>קֵבָה</w:t>
      </w:r>
      <w:r>
        <w:rPr>
          <w:rtl/>
        </w:rPr>
        <w:t xml:space="preserve"> </w:t>
      </w:r>
      <w:r>
        <w:t xml:space="preserve">ist der Labmagen (vgl. rabbinische Auslegung in Mischna </w:t>
      </w:r>
      <w:proofErr w:type="spellStart"/>
      <w:r>
        <w:t>Chullin</w:t>
      </w:r>
      <w:proofErr w:type="spellEnd"/>
      <w:r>
        <w:t xml:space="preserve"> 10,1).</w:t>
      </w:r>
    </w:p>
    <w:p w14:paraId="17E766B5" w14:textId="59411AD7" w:rsidR="00C320AC" w:rsidRDefault="00C320AC" w:rsidP="00C90AB0">
      <w:pPr>
        <w:pStyle w:val="whitespace-normal"/>
      </w:pPr>
      <w:r>
        <w:rPr>
          <w:rStyle w:val="Fett"/>
        </w:rPr>
        <w:t>Die LXX</w:t>
      </w:r>
      <w:r>
        <w:t xml:space="preserve"> übersetzt </w:t>
      </w:r>
      <w:r w:rsidRPr="00C320AC">
        <w:rPr>
          <w:b/>
          <w:bCs/>
          <w:rtl/>
        </w:rPr>
        <w:t>הַקֵּבָה</w:t>
      </w:r>
      <w:r>
        <w:t xml:space="preserve"> (der Magen) mit </w:t>
      </w:r>
      <w:proofErr w:type="spellStart"/>
      <w:r>
        <w:t>τὸ</w:t>
      </w:r>
      <w:proofErr w:type="spellEnd"/>
      <w:r>
        <w:t xml:space="preserve"> </w:t>
      </w:r>
      <w:proofErr w:type="spellStart"/>
      <w:r>
        <w:t>ἔνυστρον</w:t>
      </w:r>
      <w:proofErr w:type="spellEnd"/>
      <w:r>
        <w:t xml:space="preserve"> (der Labmagen, vierter Magen der Wiederkäuer) – ein präziser zoologischer Terminus.</w:t>
      </w:r>
    </w:p>
    <w:p w14:paraId="06BF56DF" w14:textId="77777777" w:rsidR="00C90AB0" w:rsidRDefault="00C90AB0" w:rsidP="00C90AB0">
      <w:pPr>
        <w:pStyle w:val="whitespace-normal"/>
      </w:pPr>
      <w:r>
        <w:rPr>
          <w:rStyle w:val="Fett"/>
          <w:rFonts w:eastAsiaTheme="majorEastAsia"/>
        </w:rPr>
        <w:t>Die Satzstruktur:</w:t>
      </w:r>
      <w:r>
        <w:t xml:space="preserve"> Nominalsatz mit doppelter Bestimmung und Imperativsatz (und dies sein soll das Recht der Priester von dem Volk, von denen, die schlachten das Schlachtopfer, sei es Rind, sei es Kleinvieh; und geben soll man dem Priester die Schulter und die beiden Kinnbacken und den Magen).</w:t>
      </w:r>
    </w:p>
    <w:p w14:paraId="7574537E" w14:textId="77777777" w:rsidR="00C90AB0" w:rsidRDefault="00C90AB0" w:rsidP="00C90AB0">
      <w:pPr>
        <w:pStyle w:val="whitespace-normal"/>
      </w:pPr>
      <w:r>
        <w:t>Der Vers bestimmt: Bei jedem Schlachtopfer – Rind oder Kleinvieh – sollen dem Priester Schulter, Kinnbacken und Magen gegeben werden.</w:t>
      </w:r>
    </w:p>
    <w:p w14:paraId="0AB4089B"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lastRenderedPageBreak/>
        <w:t>Deuteronomium 18,4</w:t>
      </w:r>
    </w:p>
    <w:p w14:paraId="37BAD14A" w14:textId="77777777" w:rsidR="00C90AB0" w:rsidRDefault="00C90AB0" w:rsidP="00C90AB0">
      <w:pPr>
        <w:pStyle w:val="whitespace-normal"/>
      </w:pPr>
      <w:r>
        <w:rPr>
          <w:rStyle w:val="Fett"/>
          <w:rFonts w:eastAsiaTheme="majorEastAsia"/>
        </w:rPr>
        <w:t>Hebräisch:</w:t>
      </w:r>
      <w:r>
        <w:t xml:space="preserve"> </w:t>
      </w:r>
      <w:r>
        <w:rPr>
          <w:rtl/>
        </w:rPr>
        <w:t>רֵאשִׁ֨ית דְּגָֽנְךָ֜ תִּֽירֹשְׁךָ֣ וְיִצְהָרֶ֗ךָ וְרֵאשִׁ֛ית גֵּ֥ז צֹאנְךָ֖ תִּתֶּן־לּוֹֽ׃</w:t>
      </w:r>
    </w:p>
    <w:p w14:paraId="14FBD974" w14:textId="77777777" w:rsidR="00C90AB0" w:rsidRDefault="00C90AB0" w:rsidP="00C90AB0">
      <w:pPr>
        <w:pStyle w:val="whitespace-normal"/>
      </w:pPr>
      <w:r>
        <w:rPr>
          <w:rStyle w:val="Fett"/>
          <w:rFonts w:eastAsiaTheme="majorEastAsia"/>
        </w:rPr>
        <w:t>Deutsch:</w:t>
      </w:r>
      <w:r>
        <w:t xml:space="preserve"> Die Erstlinge deines Getreides, deines Mostes und deines Öls, und die Erstlinge von der Schur deines Kleinviehs sollst du ihm geben.</w:t>
      </w:r>
    </w:p>
    <w:p w14:paraId="1CD1FB41" w14:textId="77777777" w:rsidR="00C90AB0" w:rsidRDefault="004F5CEB" w:rsidP="00C90AB0">
      <w:r>
        <w:rPr>
          <w:noProof/>
        </w:rPr>
        <w:pict w14:anchorId="03EA17B8">
          <v:rect id="_x0000_i1513" style="width:0;height:1.5pt" o:hralign="center" o:hrstd="t" o:hr="t" fillcolor="#a0a0a0" stroked="f"/>
        </w:pict>
      </w:r>
    </w:p>
    <w:p w14:paraId="3EA0A45C"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רֵאשִׁית דְּגָנְךָ תִּירֹשְׁךָ וְיִצְהָרֶךָ וְרֵאשִׁית גֵּז צֹאנְךָ תִּתֶּן־לּוֹ</w:t>
      </w:r>
      <w:r>
        <w:rPr>
          <w:rtl/>
        </w:rPr>
        <w:t xml:space="preserve"> </w:t>
      </w:r>
      <w:r>
        <w:t xml:space="preserve">ist ein Imperativsatz: </w:t>
      </w:r>
      <w:r>
        <w:rPr>
          <w:rStyle w:val="Fett"/>
          <w:rFonts w:eastAsiaTheme="majorEastAsia"/>
          <w:rtl/>
        </w:rPr>
        <w:t>רֵאשִׁית דְּגָנְךָ תִּירֹשְׁךָ וְיִצְהָרֶךָ</w:t>
      </w:r>
      <w:r>
        <w:rPr>
          <w:rtl/>
        </w:rPr>
        <w:t xml:space="preserve"> </w:t>
      </w:r>
      <w:r>
        <w:t>(</w:t>
      </w:r>
      <w:r>
        <w:rPr>
          <w:rStyle w:val="Fett"/>
          <w:rFonts w:eastAsiaTheme="majorEastAsia"/>
          <w:rtl/>
        </w:rPr>
        <w:t>רֵאשִׁית</w:t>
      </w:r>
      <w:r>
        <w:t xml:space="preserve">, „Erstling, Erstlingsgabe", Construct mit </w:t>
      </w:r>
      <w:r>
        <w:rPr>
          <w:rStyle w:val="Fett"/>
          <w:rFonts w:eastAsiaTheme="majorEastAsia"/>
          <w:rtl/>
        </w:rPr>
        <w:t>דָּגָן</w:t>
      </w:r>
      <w:r>
        <w:t xml:space="preserve">, „Getreide, Korn", mit Suffix 2. Person Maskulinum Singular, koordiniert mit </w:t>
      </w:r>
      <w:r>
        <w:rPr>
          <w:rStyle w:val="Fett"/>
          <w:rFonts w:eastAsiaTheme="majorEastAsia"/>
          <w:rtl/>
        </w:rPr>
        <w:t>תִּירוֹשׁ</w:t>
      </w:r>
      <w:r>
        <w:t xml:space="preserve">, „Most, neuer Wein", und </w:t>
      </w:r>
      <w:r>
        <w:rPr>
          <w:rStyle w:val="Fett"/>
          <w:rFonts w:eastAsiaTheme="majorEastAsia"/>
          <w:rtl/>
        </w:rPr>
        <w:t>יִצְהָר</w:t>
      </w:r>
      <w:r>
        <w:t xml:space="preserve">, „Öl", beide mit Suffix 2. Person Maskulinum Singular), </w:t>
      </w:r>
      <w:r>
        <w:rPr>
          <w:rStyle w:val="Fett"/>
          <w:rFonts w:eastAsiaTheme="majorEastAsia"/>
          <w:rtl/>
        </w:rPr>
        <w:t>וְרֵאשִׁית גֵּז צֹאנְךָ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רֵאשִׁית</w:t>
      </w:r>
      <w:r>
        <w:t xml:space="preserve">, „Erstlinge", Construct mit </w:t>
      </w:r>
      <w:r>
        <w:rPr>
          <w:rStyle w:val="Fett"/>
          <w:rFonts w:eastAsiaTheme="majorEastAsia"/>
          <w:rtl/>
        </w:rPr>
        <w:t>גֵּז</w:t>
      </w:r>
      <w:r>
        <w:t xml:space="preserve">, „Schur, Wolle", Construct mit </w:t>
      </w:r>
      <w:r>
        <w:rPr>
          <w:rStyle w:val="Fett"/>
          <w:rFonts w:eastAsiaTheme="majorEastAsia"/>
          <w:rtl/>
        </w:rPr>
        <w:t>צֹאן</w:t>
      </w:r>
      <w:r>
        <w:t xml:space="preserve">, „Kleinvieh", mit Suffix 2. Person Maskulinum Singular), </w:t>
      </w:r>
      <w:r>
        <w:rPr>
          <w:rStyle w:val="Fett"/>
          <w:rFonts w:eastAsiaTheme="majorEastAsia"/>
          <w:rtl/>
        </w:rPr>
        <w:t>תִּתֶּן־לּוֹ</w:t>
      </w:r>
      <w:r>
        <w:rPr>
          <w:rtl/>
        </w:rPr>
        <w:t xml:space="preserve"> </w:t>
      </w:r>
      <w:r>
        <w:t xml:space="preserve">(Qal Imperfekt, 2. Person Maskulinum Singular von </w:t>
      </w:r>
      <w:r>
        <w:rPr>
          <w:rStyle w:val="Fett"/>
          <w:rFonts w:eastAsiaTheme="majorEastAsia"/>
          <w:rtl/>
        </w:rPr>
        <w:t>נתן</w:t>
      </w:r>
      <w:r>
        <w:t xml:space="preserve">, „geben", mit </w:t>
      </w:r>
      <w:r>
        <w:rPr>
          <w:rStyle w:val="Fett"/>
          <w:rFonts w:eastAsiaTheme="majorEastAsia"/>
          <w:rtl/>
        </w:rPr>
        <w:t>לּוֹ</w:t>
      </w:r>
      <w:r>
        <w:t>).</w:t>
      </w:r>
    </w:p>
    <w:p w14:paraId="33CE3CA8" w14:textId="16291C95" w:rsidR="00C90AB0" w:rsidRDefault="00C90AB0" w:rsidP="00C90AB0">
      <w:pPr>
        <w:pStyle w:val="whitespace-normal"/>
      </w:pPr>
      <w:r>
        <w:t xml:space="preserve">Der Vers erweitert die priesterlichen Einkünfte: Neben Opferanteilen (V. 3) auch landwirtschaftliche Erstlinge. Die Trias </w:t>
      </w:r>
      <w:r>
        <w:rPr>
          <w:rStyle w:val="Fett"/>
          <w:rFonts w:eastAsiaTheme="majorEastAsia"/>
          <w:rtl/>
        </w:rPr>
        <w:t>דָּגָן, תִּירוֹשׁ, יִצְהָר</w:t>
      </w:r>
      <w:r>
        <w:rPr>
          <w:rtl/>
        </w:rPr>
        <w:t xml:space="preserve"> </w:t>
      </w:r>
      <w:r>
        <w:t xml:space="preserve">(„Getreide, Most, Öl") ist charakteristisch für die Haupterzeugnisse des Landes (vgl. 7,13; 11,14; 12,17; 14,23; 18,4; 28,51; Hos 2,10.24; Joel 2,19; Hag 1,11; Neh 5,11; 10,40; 13,5.12; </w:t>
      </w:r>
      <w:r w:rsidR="00664EB6">
        <w:t>2Chr</w:t>
      </w:r>
      <w:r>
        <w:t xml:space="preserve"> 31,5; 32,28). Die </w:t>
      </w:r>
      <w:r>
        <w:rPr>
          <w:rStyle w:val="Fett"/>
          <w:rFonts w:eastAsiaTheme="majorEastAsia"/>
          <w:rtl/>
        </w:rPr>
        <w:t>רֵאשִׁית גֵּז צֹאנְךָ</w:t>
      </w:r>
      <w:r>
        <w:rPr>
          <w:rtl/>
        </w:rPr>
        <w:t xml:space="preserve"> </w:t>
      </w:r>
      <w:r>
        <w:t>(„Erstlinge von der Schur") sind die erste Wollschur – sonst nicht biblisch belegt als priesterliche Abgabe.</w:t>
      </w:r>
    </w:p>
    <w:p w14:paraId="02AE5677" w14:textId="3173CFC4" w:rsidR="00C320AC" w:rsidRDefault="00C320AC" w:rsidP="00C90AB0">
      <w:pPr>
        <w:pStyle w:val="whitespace-normal"/>
      </w:pPr>
      <w:r>
        <w:rPr>
          <w:rStyle w:val="Fett"/>
        </w:rPr>
        <w:t>Die LXX</w:t>
      </w:r>
      <w:r>
        <w:t xml:space="preserve"> verwendet </w:t>
      </w:r>
      <w:proofErr w:type="spellStart"/>
      <w:r>
        <w:t>τὰς</w:t>
      </w:r>
      <w:proofErr w:type="spellEnd"/>
      <w:r>
        <w:t xml:space="preserve"> ἀπα</w:t>
      </w:r>
      <w:proofErr w:type="spellStart"/>
      <w:r>
        <w:t>ρχάς</w:t>
      </w:r>
      <w:proofErr w:type="spellEnd"/>
      <w:r>
        <w:t xml:space="preserve"> (die Erstlinge, Plural) für </w:t>
      </w:r>
      <w:r w:rsidRPr="00C320AC">
        <w:rPr>
          <w:b/>
          <w:bCs/>
          <w:rtl/>
        </w:rPr>
        <w:t>רֵאשִׁית</w:t>
      </w:r>
      <w:r>
        <w:t xml:space="preserve"> (Erstling, Singular) und τὴν ἀπα</w:t>
      </w:r>
      <w:proofErr w:type="spellStart"/>
      <w:r>
        <w:t>ρχήν</w:t>
      </w:r>
      <w:proofErr w:type="spellEnd"/>
      <w:r>
        <w:t xml:space="preserve"> (den Erstling, Singular) für das zweite </w:t>
      </w:r>
      <w:r w:rsidRPr="00C320AC">
        <w:rPr>
          <w:b/>
          <w:bCs/>
          <w:rtl/>
        </w:rPr>
        <w:t>רֵאשִׁית</w:t>
      </w:r>
      <w:r>
        <w:t xml:space="preserve"> – eine inkonsequente Nummerusbehandlung. Die Wendung </w:t>
      </w:r>
      <w:proofErr w:type="spellStart"/>
      <w:r>
        <w:t>τῶν</w:t>
      </w:r>
      <w:proofErr w:type="spellEnd"/>
      <w:r>
        <w:t xml:space="preserve"> </w:t>
      </w:r>
      <w:proofErr w:type="spellStart"/>
      <w:r>
        <w:t>κουρῶν</w:t>
      </w:r>
      <w:proofErr w:type="spellEnd"/>
      <w:r>
        <w:t xml:space="preserve"> </w:t>
      </w:r>
      <w:proofErr w:type="spellStart"/>
      <w:r>
        <w:t>τῶν</w:t>
      </w:r>
      <w:proofErr w:type="spellEnd"/>
      <w:r>
        <w:t xml:space="preserve"> π</w:t>
      </w:r>
      <w:proofErr w:type="spellStart"/>
      <w:r>
        <w:t>ρο</w:t>
      </w:r>
      <w:proofErr w:type="spellEnd"/>
      <w:r>
        <w:t xml:space="preserve">βάτων (der Schur der Schafe) für </w:t>
      </w:r>
      <w:r w:rsidRPr="00C320AC">
        <w:rPr>
          <w:b/>
          <w:bCs/>
          <w:rtl/>
        </w:rPr>
        <w:t>גֵּז</w:t>
      </w:r>
      <w:r>
        <w:rPr>
          <w:rtl/>
        </w:rPr>
        <w:t xml:space="preserve"> </w:t>
      </w:r>
      <w:r w:rsidRPr="00C320AC">
        <w:rPr>
          <w:b/>
          <w:bCs/>
          <w:rtl/>
        </w:rPr>
        <w:t>צֹאנְךָ</w:t>
      </w:r>
      <w:r>
        <w:t xml:space="preserve"> verwendet </w:t>
      </w:r>
      <w:proofErr w:type="spellStart"/>
      <w:r>
        <w:t>κουρά</w:t>
      </w:r>
      <w:proofErr w:type="spellEnd"/>
      <w:r>
        <w:t xml:space="preserve"> (Schur) statt des üblicheren π</w:t>
      </w:r>
      <w:proofErr w:type="spellStart"/>
      <w:r>
        <w:t>όκος</w:t>
      </w:r>
      <w:proofErr w:type="spellEnd"/>
      <w:r>
        <w:t>.</w:t>
      </w:r>
    </w:p>
    <w:p w14:paraId="09F9CDB4" w14:textId="77777777" w:rsidR="00C90AB0" w:rsidRDefault="00C90AB0" w:rsidP="00C90AB0">
      <w:pPr>
        <w:pStyle w:val="whitespace-normal"/>
      </w:pPr>
      <w:r>
        <w:rPr>
          <w:rStyle w:val="Fett"/>
          <w:rFonts w:eastAsiaTheme="majorEastAsia"/>
        </w:rPr>
        <w:t>Die Satzstruktur:</w:t>
      </w:r>
      <w:r>
        <w:t xml:space="preserve"> Imperativsatz (die Erstlinge deines Getreides, deines Mostes und deines Öls, und die Erstlinge von der Schur deines Kleinviehs geben sollst du ihm).</w:t>
      </w:r>
    </w:p>
    <w:p w14:paraId="4F552F9B" w14:textId="77777777" w:rsidR="00C90AB0" w:rsidRDefault="00C90AB0" w:rsidP="00C90AB0">
      <w:pPr>
        <w:pStyle w:val="whitespace-normal"/>
      </w:pPr>
      <w:r>
        <w:t>Der Vers verpflichtet: Gib dem Priester die Erstlinge von Getreide, Wein, Öl und Wolle.</w:t>
      </w:r>
    </w:p>
    <w:p w14:paraId="12103683"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18,5</w:t>
      </w:r>
    </w:p>
    <w:p w14:paraId="1307F3F8" w14:textId="77777777" w:rsidR="00C90AB0" w:rsidRDefault="00C90AB0" w:rsidP="00C90AB0">
      <w:pPr>
        <w:pStyle w:val="whitespace-normal"/>
      </w:pPr>
      <w:r>
        <w:rPr>
          <w:rStyle w:val="Fett"/>
          <w:rFonts w:eastAsiaTheme="majorEastAsia"/>
        </w:rPr>
        <w:t>Hebräisch:</w:t>
      </w:r>
      <w:r>
        <w:t xml:space="preserve"> </w:t>
      </w:r>
      <w:r>
        <w:rPr>
          <w:rtl/>
        </w:rPr>
        <w:t>כִּ֣י בוֹ֗ בָּחַ֛ר יְהוָ֥ה אֱלֹהֶ֖יךָ מִכָּל־שְׁבָטֶ֑יךָ לַעֲמֹ֨ד לְשָׁרֵ֧ת בְּשֵׁם־יְהוָ֛ה ה֥וּא וּבָנָ֖יו כָּל־הַיָּמִֽים׃</w:t>
      </w:r>
    </w:p>
    <w:p w14:paraId="3327234C" w14:textId="77777777" w:rsidR="00C90AB0" w:rsidRDefault="00C90AB0" w:rsidP="00C90AB0">
      <w:pPr>
        <w:pStyle w:val="whitespace-normal"/>
      </w:pPr>
      <w:r>
        <w:rPr>
          <w:rStyle w:val="Fett"/>
          <w:rFonts w:eastAsiaTheme="majorEastAsia"/>
        </w:rPr>
        <w:t>Deutsch:</w:t>
      </w:r>
      <w:r>
        <w:t xml:space="preserve"> Denn ihn hat der Ewige, dein Gott, erwählt aus allen deinen Stämmen, damit er stehe, um zu dienen im Namen des Ewigen, er und seine Söhne, alle Tage.</w:t>
      </w:r>
    </w:p>
    <w:p w14:paraId="7F81E8E8" w14:textId="77777777" w:rsidR="00C90AB0" w:rsidRDefault="004F5CEB" w:rsidP="00C90AB0">
      <w:r>
        <w:rPr>
          <w:noProof/>
        </w:rPr>
        <w:pict w14:anchorId="469CAB5C">
          <v:rect id="_x0000_i1514" style="width:0;height:1.5pt" o:hralign="center" o:hrstd="t" o:hr="t" fillcolor="#a0a0a0" stroked="f"/>
        </w:pict>
      </w:r>
    </w:p>
    <w:p w14:paraId="35D1055E"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כִּי בוֹ בָּחַר יְהוָה אֱלֹהֶיךָ מִכָּל־שְׁבָטֶיךָ</w:t>
      </w:r>
      <w:r>
        <w:rPr>
          <w:rtl/>
        </w:rPr>
        <w:t xml:space="preserve"> </w:t>
      </w:r>
      <w:r>
        <w:t xml:space="preserve">ist die kausale Begründung: </w:t>
      </w:r>
      <w:r>
        <w:rPr>
          <w:rStyle w:val="Fett"/>
          <w:rFonts w:eastAsiaTheme="majorEastAsia"/>
          <w:rtl/>
        </w:rPr>
        <w:t>כִּי</w:t>
      </w:r>
      <w:r>
        <w:rPr>
          <w:rtl/>
        </w:rPr>
        <w:t xml:space="preserve"> </w:t>
      </w:r>
      <w:r>
        <w:t xml:space="preserve">(„denn"), </w:t>
      </w:r>
      <w:r>
        <w:rPr>
          <w:rStyle w:val="Fett"/>
          <w:rFonts w:eastAsiaTheme="majorEastAsia"/>
          <w:rtl/>
        </w:rPr>
        <w:t>בוֹ בָּחַר</w:t>
      </w:r>
      <w:r>
        <w:rPr>
          <w:rtl/>
        </w:rPr>
        <w:t xml:space="preserve"> </w:t>
      </w:r>
      <w:r>
        <w:t>(</w:t>
      </w:r>
      <w:r>
        <w:rPr>
          <w:rStyle w:val="Fett"/>
          <w:rFonts w:eastAsiaTheme="majorEastAsia"/>
          <w:rtl/>
        </w:rPr>
        <w:t>בּוֹ</w:t>
      </w:r>
      <w:r>
        <w:t xml:space="preserve">, Präposition </w:t>
      </w:r>
      <w:r>
        <w:rPr>
          <w:rStyle w:val="Fett"/>
          <w:rFonts w:eastAsiaTheme="majorEastAsia"/>
          <w:rtl/>
        </w:rPr>
        <w:t>בְּ</w:t>
      </w:r>
      <w:r>
        <w:rPr>
          <w:rtl/>
        </w:rPr>
        <w:t xml:space="preserve"> </w:t>
      </w:r>
      <w:r>
        <w:t xml:space="preserve">mit Suffix 3. Person Maskulinum Singular, vorangestellt, </w:t>
      </w:r>
      <w:r>
        <w:rPr>
          <w:rStyle w:val="Fett"/>
          <w:rFonts w:eastAsiaTheme="majorEastAsia"/>
          <w:rtl/>
        </w:rPr>
        <w:t>בחר</w:t>
      </w:r>
      <w:r>
        <w:t xml:space="preserve">, Qal Perfekt, 3. Person Maskulinum Singular, „erwählen"), </w:t>
      </w:r>
      <w:r>
        <w:rPr>
          <w:rStyle w:val="Fett"/>
          <w:rFonts w:eastAsiaTheme="majorEastAsia"/>
          <w:rtl/>
        </w:rPr>
        <w:t>יְהוָה אֱלֹהֶיךָ</w:t>
      </w:r>
      <w:r>
        <w:rPr>
          <w:rtl/>
        </w:rPr>
        <w:t xml:space="preserve"> </w:t>
      </w:r>
      <w:r>
        <w:t xml:space="preserve">als Subjekt, </w:t>
      </w:r>
      <w:r>
        <w:rPr>
          <w:rStyle w:val="Fett"/>
          <w:rFonts w:eastAsiaTheme="majorEastAsia"/>
          <w:rtl/>
        </w:rPr>
        <w:t>מִכָּל־שְׁבָטֶיךָ</w:t>
      </w:r>
      <w:r>
        <w:rPr>
          <w:rtl/>
        </w:rPr>
        <w:t xml:space="preserve"> </w:t>
      </w:r>
      <w:r>
        <w:t xml:space="preserve">(Präposition </w:t>
      </w:r>
      <w:r>
        <w:rPr>
          <w:rStyle w:val="Fett"/>
          <w:rFonts w:eastAsiaTheme="majorEastAsia"/>
          <w:rtl/>
        </w:rPr>
        <w:lastRenderedPageBreak/>
        <w:t>מִן</w:t>
      </w:r>
      <w:r>
        <w:rPr>
          <w:rtl/>
        </w:rPr>
        <w:t xml:space="preserve"> </w:t>
      </w:r>
      <w:r>
        <w:t xml:space="preserve">mit </w:t>
      </w:r>
      <w:r>
        <w:rPr>
          <w:rStyle w:val="Fett"/>
          <w:rFonts w:eastAsiaTheme="majorEastAsia"/>
          <w:rtl/>
        </w:rPr>
        <w:t>כֹּל</w:t>
      </w:r>
      <w:r>
        <w:t xml:space="preserve">, Construct mit </w:t>
      </w:r>
      <w:r>
        <w:rPr>
          <w:rStyle w:val="Fett"/>
          <w:rFonts w:eastAsiaTheme="majorEastAsia"/>
          <w:rtl/>
        </w:rPr>
        <w:t>שֵׁבֶט</w:t>
      </w:r>
      <w:r>
        <w:t>, „Stamm", Plural mit Suffix 2. Person Maskulinum Singular, „aus allen deinen Stämmen").</w:t>
      </w:r>
    </w:p>
    <w:p w14:paraId="2EC7AF02" w14:textId="77777777" w:rsidR="00C90AB0" w:rsidRDefault="00C90AB0" w:rsidP="00C90AB0">
      <w:pPr>
        <w:pStyle w:val="whitespace-normal"/>
      </w:pPr>
      <w:r>
        <w:rPr>
          <w:rStyle w:val="Fett"/>
          <w:rFonts w:eastAsiaTheme="majorEastAsia"/>
          <w:rtl/>
        </w:rPr>
        <w:t>לַעֲמֹד לְשָׁרֵת בְּשֵׁם־יְהוָה הוּא וּבָנָיו כָּל־הַיָּמִים</w:t>
      </w:r>
      <w:r>
        <w:rPr>
          <w:rtl/>
        </w:rPr>
        <w:t xml:space="preserve"> </w:t>
      </w:r>
      <w:r>
        <w:t xml:space="preserve">ist die finale Bestimmung: </w:t>
      </w:r>
      <w:r>
        <w:rPr>
          <w:rStyle w:val="Fett"/>
          <w:rFonts w:eastAsiaTheme="majorEastAsia"/>
          <w:rtl/>
        </w:rPr>
        <w:t>לַעֲמֹד</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עמד</w:t>
      </w:r>
      <w:r>
        <w:t xml:space="preserve">, „stehen"), </w:t>
      </w:r>
      <w:r>
        <w:rPr>
          <w:rStyle w:val="Fett"/>
          <w:rFonts w:eastAsiaTheme="majorEastAsia"/>
          <w:rtl/>
        </w:rPr>
        <w:t>לְשָׁרֵת</w:t>
      </w:r>
      <w:r>
        <w:rPr>
          <w:rtl/>
        </w:rPr>
        <w:t xml:space="preserve"> </w:t>
      </w:r>
      <w:r>
        <w:t xml:space="preserve">(Präposition </w:t>
      </w:r>
      <w:r>
        <w:rPr>
          <w:rStyle w:val="Fett"/>
          <w:rFonts w:eastAsiaTheme="majorEastAsia"/>
          <w:rtl/>
        </w:rPr>
        <w:t>לְ</w:t>
      </w:r>
      <w:r>
        <w:rPr>
          <w:rtl/>
        </w:rPr>
        <w:t xml:space="preserve"> </w:t>
      </w:r>
      <w:r>
        <w:t xml:space="preserve">mit Piel Infinitiv Construct von </w:t>
      </w:r>
      <w:r>
        <w:rPr>
          <w:rStyle w:val="Fett"/>
          <w:rFonts w:eastAsiaTheme="majorEastAsia"/>
          <w:rtl/>
        </w:rPr>
        <w:t>שׁרת</w:t>
      </w:r>
      <w:r>
        <w:t xml:space="preserve">, „dienen"), </w:t>
      </w:r>
      <w:r>
        <w:rPr>
          <w:rStyle w:val="Fett"/>
          <w:rFonts w:eastAsiaTheme="majorEastAsia"/>
          <w:rtl/>
        </w:rPr>
        <w:t>בְּשֵׁם־יְהוָה</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שֵׁם</w:t>
      </w:r>
      <w:r>
        <w:t xml:space="preserve">, „Name", Construct mit </w:t>
      </w:r>
      <w:r>
        <w:rPr>
          <w:rStyle w:val="Fett"/>
          <w:rFonts w:eastAsiaTheme="majorEastAsia"/>
          <w:rtl/>
        </w:rPr>
        <w:t>יְהוָה</w:t>
      </w:r>
      <w:r>
        <w:t xml:space="preserve">, „im Namen JHWHs"), </w:t>
      </w:r>
      <w:r>
        <w:rPr>
          <w:rStyle w:val="Fett"/>
          <w:rFonts w:eastAsiaTheme="majorEastAsia"/>
          <w:rtl/>
        </w:rPr>
        <w:t>הוּא וּבָנָיו</w:t>
      </w:r>
      <w:r>
        <w:rPr>
          <w:rtl/>
        </w:rPr>
        <w:t xml:space="preserve"> </w:t>
      </w:r>
      <w:r>
        <w:t xml:space="preserve">(Personalpronomen 3. Person Maskulinum Singular, betont, koordiniert durch </w:t>
      </w:r>
      <w:r>
        <w:rPr>
          <w:rStyle w:val="Fett"/>
          <w:rFonts w:eastAsiaTheme="majorEastAsia"/>
          <w:rtl/>
        </w:rPr>
        <w:t>וּ</w:t>
      </w:r>
      <w:r>
        <w:rPr>
          <w:rtl/>
        </w:rPr>
        <w:t xml:space="preserve"> </w:t>
      </w:r>
      <w:r>
        <w:t xml:space="preserve">mit </w:t>
      </w:r>
      <w:r>
        <w:rPr>
          <w:rStyle w:val="Fett"/>
          <w:rFonts w:eastAsiaTheme="majorEastAsia"/>
          <w:rtl/>
        </w:rPr>
        <w:t>בֵּן</w:t>
      </w:r>
      <w:r>
        <w:t xml:space="preserve">, Plural mit Suffix 3. Person Maskulinum Singular), </w:t>
      </w:r>
      <w:r>
        <w:rPr>
          <w:rStyle w:val="Fett"/>
          <w:rFonts w:eastAsiaTheme="majorEastAsia"/>
          <w:rtl/>
        </w:rPr>
        <w:t>כָּל־הַיָּמִים</w:t>
      </w:r>
      <w:r>
        <w:rPr>
          <w:rtl/>
        </w:rPr>
        <w:t xml:space="preserve"> </w:t>
      </w:r>
      <w:r>
        <w:t>(</w:t>
      </w:r>
      <w:r>
        <w:rPr>
          <w:rStyle w:val="Fett"/>
          <w:rFonts w:eastAsiaTheme="majorEastAsia"/>
          <w:rtl/>
        </w:rPr>
        <w:t>כֹּל</w:t>
      </w:r>
      <w:r>
        <w:t xml:space="preserve">, Construct mit </w:t>
      </w:r>
      <w:r>
        <w:rPr>
          <w:rStyle w:val="Fett"/>
          <w:rFonts w:eastAsiaTheme="majorEastAsia"/>
          <w:rtl/>
        </w:rPr>
        <w:t>יוֹם</w:t>
      </w:r>
      <w:r>
        <w:t>, Plural mit Artikel, „alle Tage").</w:t>
      </w:r>
    </w:p>
    <w:p w14:paraId="3D919A9F" w14:textId="4D5EF88A" w:rsidR="00C90AB0" w:rsidRDefault="00C90AB0" w:rsidP="00C90AB0">
      <w:pPr>
        <w:pStyle w:val="whitespace-normal"/>
      </w:pPr>
      <w:r>
        <w:t>Der Vers begründet die priesterlichen Anrechte: göttliche Erwählung (</w:t>
      </w:r>
      <w:r>
        <w:rPr>
          <w:rStyle w:val="Fett"/>
          <w:rFonts w:eastAsiaTheme="majorEastAsia"/>
          <w:rtl/>
        </w:rPr>
        <w:t>בָּחַר</w:t>
      </w:r>
      <w:r>
        <w:t xml:space="preserve">) zum liturgischen Dienst. Die Formulierung </w:t>
      </w:r>
      <w:r>
        <w:rPr>
          <w:rStyle w:val="Fett"/>
          <w:rFonts w:eastAsiaTheme="majorEastAsia"/>
          <w:rtl/>
        </w:rPr>
        <w:t>לַעֲמֹד לְשָׁרֵת</w:t>
      </w:r>
      <w:r>
        <w:rPr>
          <w:rtl/>
        </w:rPr>
        <w:t xml:space="preserve"> </w:t>
      </w:r>
      <w:r>
        <w:t xml:space="preserve">(„stehen, um zu dienen") ist charakteristisch für priesterlichen Dienst (vgl. 10,8; 17,12; 18,5.7; 21,5; Num 16,9; </w:t>
      </w:r>
      <w:r w:rsidR="00664EB6">
        <w:t>1Chr</w:t>
      </w:r>
      <w:r>
        <w:t xml:space="preserve"> 23,13; </w:t>
      </w:r>
      <w:r w:rsidR="00664EB6">
        <w:t>2Chr</w:t>
      </w:r>
      <w:r>
        <w:t xml:space="preserve"> 29,11). Die Wendung </w:t>
      </w:r>
      <w:r>
        <w:rPr>
          <w:rStyle w:val="Fett"/>
          <w:rFonts w:eastAsiaTheme="majorEastAsia"/>
          <w:rtl/>
        </w:rPr>
        <w:t>בְּשֵׁם־יְהוָה</w:t>
      </w:r>
      <w:r>
        <w:rPr>
          <w:rtl/>
        </w:rPr>
        <w:t xml:space="preserve"> </w:t>
      </w:r>
      <w:r>
        <w:t xml:space="preserve">(„im Namen JHWHs") bedeutet: als JHWHs Repräsentant, in seiner Autorität. Die Formulierung </w:t>
      </w:r>
      <w:r>
        <w:rPr>
          <w:rStyle w:val="Fett"/>
          <w:rFonts w:eastAsiaTheme="majorEastAsia"/>
          <w:rtl/>
        </w:rPr>
        <w:t>הוּא וּבָנָיו כָּל־הַיָּמִים</w:t>
      </w:r>
      <w:r>
        <w:rPr>
          <w:rtl/>
        </w:rPr>
        <w:t xml:space="preserve"> </w:t>
      </w:r>
      <w:r>
        <w:t>zeigt: erblicher, permanenter Dienst.</w:t>
      </w:r>
    </w:p>
    <w:p w14:paraId="171AD778" w14:textId="3020E451" w:rsidR="00731060" w:rsidRDefault="00731060" w:rsidP="00C90AB0">
      <w:pPr>
        <w:pStyle w:val="whitespace-normal"/>
      </w:pPr>
      <w:r>
        <w:rPr>
          <w:rStyle w:val="Fett"/>
        </w:rPr>
        <w:t>Die LXX</w:t>
      </w:r>
      <w:r>
        <w:t xml:space="preserve"> fügt </w:t>
      </w:r>
      <w:proofErr w:type="spellStart"/>
      <w:r>
        <w:t>λειτουργεῖν</w:t>
      </w:r>
      <w:proofErr w:type="spellEnd"/>
      <w:r>
        <w:t xml:space="preserve"> καὶ </w:t>
      </w:r>
      <w:proofErr w:type="spellStart"/>
      <w:r>
        <w:t>εὐλογεῖν</w:t>
      </w:r>
      <w:proofErr w:type="spellEnd"/>
      <w:r>
        <w:t xml:space="preserve"> (zu dienen und zu segnen) hinzu, wo der MT nur </w:t>
      </w:r>
      <w:r w:rsidRPr="00731060">
        <w:rPr>
          <w:b/>
          <w:bCs/>
          <w:rtl/>
        </w:rPr>
        <w:t>לְשָׁרֵת</w:t>
      </w:r>
      <w:r>
        <w:t xml:space="preserve"> (zu dienen) hat – eine Erweiterung der priesterlichen Funktionen. Die Formulierung ἐπὶ </w:t>
      </w:r>
      <w:proofErr w:type="spellStart"/>
      <w:r>
        <w:t>τῷ</w:t>
      </w:r>
      <w:proofErr w:type="spellEnd"/>
      <w:r>
        <w:t xml:space="preserve"> </w:t>
      </w:r>
      <w:proofErr w:type="spellStart"/>
      <w:r>
        <w:t>ὀνόμ</w:t>
      </w:r>
      <w:proofErr w:type="spellEnd"/>
      <w:r>
        <w:t>ατι α</w:t>
      </w:r>
      <w:proofErr w:type="spellStart"/>
      <w:r>
        <w:t>ὐτοῦ</w:t>
      </w:r>
      <w:proofErr w:type="spellEnd"/>
      <w:r>
        <w:t xml:space="preserve"> (auf/bei seinem Namen) für </w:t>
      </w:r>
      <w:r w:rsidRPr="00731060">
        <w:rPr>
          <w:b/>
          <w:bCs/>
          <w:rtl/>
        </w:rPr>
        <w:t>בְּשֵׁם־יְהוָה</w:t>
      </w:r>
      <w:r>
        <w:t xml:space="preserve"> ist eine theologisch signifikante Konstruktion.</w:t>
      </w:r>
    </w:p>
    <w:p w14:paraId="15E596C3" w14:textId="77777777" w:rsidR="00C90AB0" w:rsidRDefault="00C90AB0" w:rsidP="00C90AB0">
      <w:pPr>
        <w:pStyle w:val="whitespace-normal"/>
      </w:pPr>
      <w:r>
        <w:rPr>
          <w:rStyle w:val="Fett"/>
          <w:rFonts w:eastAsiaTheme="majorEastAsia"/>
        </w:rPr>
        <w:t>Die Satzstruktur:</w:t>
      </w:r>
      <w:r>
        <w:t xml:space="preserve"> Kausale Begründung mit finaler Bestimmung (denn ihn hat erwählt JHWH, dein Gott, aus allen deinen Stämmen, um zu stehen, um zu dienen im Namen JHWHs, er und seine Söhne, alle Tage).</w:t>
      </w:r>
    </w:p>
    <w:p w14:paraId="23D577E1" w14:textId="77777777" w:rsidR="00C90AB0" w:rsidRDefault="00C90AB0" w:rsidP="00C90AB0">
      <w:pPr>
        <w:pStyle w:val="whitespace-normal"/>
      </w:pPr>
      <w:r>
        <w:t>Der Vers begründet: JHWH hat den Stamm Levi aus allen Stämmen erwählt für permanenten liturgischen Dienst – er und seine Nachkommen für immer.</w:t>
      </w:r>
    </w:p>
    <w:p w14:paraId="4F64BFB0" w14:textId="77777777" w:rsidR="00C90AB0" w:rsidRPr="00C90AB0" w:rsidRDefault="00C90AB0" w:rsidP="00C90AB0">
      <w:pPr>
        <w:pStyle w:val="berschrift1"/>
        <w:rPr>
          <w:rFonts w:ascii="Times New Roman" w:hAnsi="Times New Roman"/>
          <w:color w:val="auto"/>
          <w:sz w:val="36"/>
          <w:szCs w:val="36"/>
        </w:rPr>
      </w:pPr>
      <w:r w:rsidRPr="00C90AB0">
        <w:rPr>
          <w:rStyle w:val="Fett"/>
          <w:rFonts w:ascii="Times New Roman" w:hAnsi="Times New Roman"/>
          <w:color w:val="auto"/>
          <w:sz w:val="36"/>
          <w:szCs w:val="36"/>
        </w:rPr>
        <w:t>Deuteronomium 18,6</w:t>
      </w:r>
    </w:p>
    <w:p w14:paraId="671AB1AE" w14:textId="77777777" w:rsidR="00C90AB0" w:rsidRDefault="00C90AB0" w:rsidP="00C90AB0">
      <w:pPr>
        <w:pStyle w:val="whitespace-normal"/>
      </w:pPr>
      <w:r>
        <w:rPr>
          <w:rStyle w:val="Fett"/>
          <w:rFonts w:eastAsiaTheme="majorEastAsia"/>
        </w:rPr>
        <w:t>Hebräisch:</w:t>
      </w:r>
      <w:r>
        <w:t xml:space="preserve"> </w:t>
      </w:r>
      <w:r>
        <w:rPr>
          <w:rtl/>
        </w:rPr>
        <w:t>וְכִֽי־יָבֹ֨א הַלֵּוִ֜י מֵאַחַ֤ד שְׁעָרֶ֨יךָ֙ מִכָּל־יִשְׂרָאֵ֔ל אֲשֶׁר־ה֖וּא גָּ֣ר שָׁ֑ם וּבָא֙ בְּכָל־אַוַּ֣ת נַפְשֹׁ֔ו אֶל־הַמָּק֖וֹם אֲשֶׁר־יִבְחַ֥ר יְהוָֽה׃</w:t>
      </w:r>
    </w:p>
    <w:p w14:paraId="061F4BE3" w14:textId="77777777" w:rsidR="00C90AB0" w:rsidRDefault="00C90AB0" w:rsidP="00C90AB0">
      <w:pPr>
        <w:pStyle w:val="whitespace-normal"/>
      </w:pPr>
      <w:r>
        <w:rPr>
          <w:rStyle w:val="Fett"/>
          <w:rFonts w:eastAsiaTheme="majorEastAsia"/>
        </w:rPr>
        <w:t>Deutsch:</w:t>
      </w:r>
      <w:r>
        <w:t xml:space="preserve"> Und wenn der Levi kommt aus einem deiner Tore, aus ganz Jisra'el, wo er sich als Fremder aufhält, und er kommt mit allem Verlangen seiner Seele an den Ort, den der Ewige erwählen wird,</w:t>
      </w:r>
    </w:p>
    <w:p w14:paraId="79AEF79D" w14:textId="77777777" w:rsidR="00C90AB0" w:rsidRDefault="004F5CEB" w:rsidP="00C90AB0">
      <w:r>
        <w:rPr>
          <w:noProof/>
        </w:rPr>
        <w:pict w14:anchorId="0366C723">
          <v:rect id="_x0000_i1515" style="width:0;height:1.5pt" o:hralign="center" o:hrstd="t" o:hr="t" fillcolor="#a0a0a0" stroked="f"/>
        </w:pict>
      </w:r>
    </w:p>
    <w:p w14:paraId="485E2C0F" w14:textId="77777777" w:rsidR="00C90AB0" w:rsidRDefault="00C90AB0" w:rsidP="00C90AB0">
      <w:pPr>
        <w:pStyle w:val="whitespace-normal"/>
      </w:pPr>
      <w:r>
        <w:rPr>
          <w:rStyle w:val="Fett"/>
          <w:rFonts w:eastAsiaTheme="majorEastAsia"/>
        </w:rPr>
        <w:t>Kommentar:</w:t>
      </w:r>
      <w:r>
        <w:t xml:space="preserve"> </w:t>
      </w:r>
      <w:r>
        <w:rPr>
          <w:rStyle w:val="Fett"/>
          <w:rFonts w:eastAsiaTheme="majorEastAsia"/>
          <w:rtl/>
        </w:rPr>
        <w:t>וְכִי־יָבֹא הַלֵּוִי מֵאַחַד שְׁעָרֶיךָ מִכָּל־יִשְׂרָאֵל אֲשֶׁר־הוּא גָּר שָׁם</w:t>
      </w:r>
      <w:r>
        <w:rPr>
          <w:rtl/>
        </w:rPr>
        <w:t xml:space="preserve"> </w:t>
      </w:r>
      <w:r>
        <w:t xml:space="preserve">ist ein konditionaler Satz: </w:t>
      </w:r>
      <w:r>
        <w:rPr>
          <w:rStyle w:val="Fett"/>
          <w:rFonts w:eastAsiaTheme="majorEastAsia"/>
          <w:rtl/>
        </w:rPr>
        <w:t>וְכִי־יָבֹא</w:t>
      </w:r>
      <w:r>
        <w:rPr>
          <w:rtl/>
        </w:rPr>
        <w:t xml:space="preserve"> </w:t>
      </w:r>
      <w:r>
        <w:t>(</w:t>
      </w:r>
      <w:r>
        <w:rPr>
          <w:rStyle w:val="Fett"/>
          <w:rFonts w:eastAsiaTheme="majorEastAsia"/>
          <w:rtl/>
        </w:rPr>
        <w:t>וְכִי</w:t>
      </w:r>
      <w:r>
        <w:t xml:space="preserve">, „und wenn", mit </w:t>
      </w:r>
      <w:r>
        <w:rPr>
          <w:rStyle w:val="Fett"/>
          <w:rFonts w:eastAsiaTheme="majorEastAsia"/>
          <w:rtl/>
        </w:rPr>
        <w:t>בוא</w:t>
      </w:r>
      <w:r>
        <w:t xml:space="preserve">, Qal Imperfekt, 3. Person Maskulinum Singular, „kommen"), </w:t>
      </w:r>
      <w:r>
        <w:rPr>
          <w:rStyle w:val="Fett"/>
          <w:rFonts w:eastAsiaTheme="majorEastAsia"/>
          <w:rtl/>
        </w:rPr>
        <w:t>הַלֵּוִי</w:t>
      </w:r>
      <w:r>
        <w:rPr>
          <w:rtl/>
        </w:rPr>
        <w:t xml:space="preserve"> </w:t>
      </w:r>
      <w:r>
        <w:t>(</w:t>
      </w:r>
      <w:r>
        <w:rPr>
          <w:rStyle w:val="Fett"/>
          <w:rFonts w:eastAsiaTheme="majorEastAsia"/>
          <w:rtl/>
        </w:rPr>
        <w:t>לֵוִי</w:t>
      </w:r>
      <w:r>
        <w:t xml:space="preserve">, „Levit", mit Artikel) als Subjekt, </w:t>
      </w:r>
      <w:r>
        <w:rPr>
          <w:rStyle w:val="Fett"/>
          <w:rFonts w:eastAsiaTheme="majorEastAsia"/>
          <w:rtl/>
        </w:rPr>
        <w:t>מֵאַחַד שְׁעָרֶיךָ</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אֶחָד</w:t>
      </w:r>
      <w:r>
        <w:t xml:space="preserve">, „einer", Construct mit </w:t>
      </w:r>
      <w:r>
        <w:rPr>
          <w:rStyle w:val="Fett"/>
          <w:rFonts w:eastAsiaTheme="majorEastAsia"/>
          <w:rtl/>
        </w:rPr>
        <w:t>שַׁעַר</w:t>
      </w:r>
      <w:r>
        <w:t xml:space="preserve">, „Tor", Plural mit Suffix 2. Person Maskulinum Singular, „aus einem deiner Tore"), </w:t>
      </w:r>
      <w:r>
        <w:rPr>
          <w:rStyle w:val="Fett"/>
          <w:rFonts w:eastAsiaTheme="majorEastAsia"/>
          <w:rtl/>
        </w:rPr>
        <w:t>מִכָּל־יִשְׂרָאֵל</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כֹּל</w:t>
      </w:r>
      <w:r>
        <w:t xml:space="preserve">, Construct mit </w:t>
      </w:r>
      <w:r>
        <w:rPr>
          <w:rStyle w:val="Fett"/>
          <w:rFonts w:eastAsiaTheme="majorEastAsia"/>
          <w:rtl/>
        </w:rPr>
        <w:t>יִשְׂרָאֵל</w:t>
      </w:r>
      <w:r>
        <w:t xml:space="preserve">, „aus ganz Israel"), </w:t>
      </w:r>
      <w:r>
        <w:rPr>
          <w:rStyle w:val="Fett"/>
          <w:rFonts w:eastAsiaTheme="majorEastAsia"/>
          <w:rtl/>
        </w:rPr>
        <w:t>אֲשֶׁר־הוּא גָּר שָׁם</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הוּא</w:t>
      </w:r>
      <w:r>
        <w:rPr>
          <w:rtl/>
        </w:rPr>
        <w:t xml:space="preserve"> </w:t>
      </w:r>
      <w:r>
        <w:t xml:space="preserve">(betont), </w:t>
      </w:r>
      <w:r>
        <w:rPr>
          <w:rStyle w:val="Fett"/>
          <w:rFonts w:eastAsiaTheme="majorEastAsia"/>
          <w:rtl/>
        </w:rPr>
        <w:t>גור</w:t>
      </w:r>
      <w:r>
        <w:t xml:space="preserve">, Qal Partizip, „sich als Fremder aufhalten, weilen", </w:t>
      </w:r>
      <w:r>
        <w:rPr>
          <w:rStyle w:val="Fett"/>
          <w:rFonts w:eastAsiaTheme="majorEastAsia"/>
          <w:rtl/>
        </w:rPr>
        <w:t>שָׁם</w:t>
      </w:r>
      <w:r>
        <w:t>, „dort").</w:t>
      </w:r>
    </w:p>
    <w:p w14:paraId="5FCD1630" w14:textId="77777777" w:rsidR="00C90AB0" w:rsidRDefault="00C90AB0" w:rsidP="00C90AB0">
      <w:pPr>
        <w:pStyle w:val="whitespace-normal"/>
      </w:pPr>
      <w:r>
        <w:rPr>
          <w:rStyle w:val="Fett"/>
          <w:rFonts w:eastAsiaTheme="majorEastAsia"/>
          <w:rtl/>
        </w:rPr>
        <w:lastRenderedPageBreak/>
        <w:t>וּבָא בְּכָל־אַוַּת נַפְשׁוֹ אֶל־הַמָּקוֹם אֲשֶׁר־יִבְחַר יְהוָה</w:t>
      </w:r>
      <w:r>
        <w:rPr>
          <w:rtl/>
        </w:rPr>
        <w:t xml:space="preserve"> </w:t>
      </w:r>
      <w:r>
        <w:t xml:space="preserve">ist die Fortsetzung: </w:t>
      </w:r>
      <w:r>
        <w:rPr>
          <w:rStyle w:val="Fett"/>
          <w:rFonts w:eastAsiaTheme="majorEastAsia"/>
          <w:rtl/>
        </w:rPr>
        <w:t>וּבָא</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בוא</w:t>
      </w:r>
      <w:r>
        <w:t xml:space="preserve">, Qal Perfekt, 3. Person Maskulinum Singular, mit </w:t>
      </w:r>
      <w:r>
        <w:rPr>
          <w:rStyle w:val="Fett"/>
          <w:rFonts w:eastAsiaTheme="majorEastAsia"/>
        </w:rPr>
        <w:t>Waw</w:t>
      </w:r>
      <w:r>
        <w:t xml:space="preserve"> consecutives Perfekt), </w:t>
      </w:r>
      <w:r>
        <w:rPr>
          <w:rStyle w:val="Fett"/>
          <w:rFonts w:eastAsiaTheme="majorEastAsia"/>
          <w:rtl/>
        </w:rPr>
        <w:t>בְּכָל־אַוַּת נַפְשׁוֹ</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כֹּל</w:t>
      </w:r>
      <w:r>
        <w:t xml:space="preserve">, Construct mit </w:t>
      </w:r>
      <w:r>
        <w:rPr>
          <w:rStyle w:val="Fett"/>
          <w:rFonts w:eastAsiaTheme="majorEastAsia"/>
          <w:rtl/>
        </w:rPr>
        <w:t>אַוָּה</w:t>
      </w:r>
      <w:r>
        <w:t xml:space="preserve">, „Verlangen, Begierde", Construct mit </w:t>
      </w:r>
      <w:r>
        <w:rPr>
          <w:rStyle w:val="Fett"/>
          <w:rFonts w:eastAsiaTheme="majorEastAsia"/>
          <w:rtl/>
        </w:rPr>
        <w:t>נֶפֶשׁ</w:t>
      </w:r>
      <w:r>
        <w:t xml:space="preserve">, „Seele", mit Suffix 3. Person Maskulinum Singular, „mit allem Verlangen seiner Seele"), </w:t>
      </w:r>
      <w:r>
        <w:rPr>
          <w:rStyle w:val="Fett"/>
          <w:rFonts w:eastAsiaTheme="majorEastAsia"/>
          <w:rtl/>
        </w:rPr>
        <w:t>אֶל־הַמָּקוֹם אֲשֶׁר־יִבְחַר יְהוָה</w:t>
      </w:r>
      <w:r>
        <w:rPr>
          <w:rtl/>
        </w:rPr>
        <w:t xml:space="preserve"> </w:t>
      </w:r>
      <w:r>
        <w:t xml:space="preserve">(Präposition </w:t>
      </w:r>
      <w:r>
        <w:rPr>
          <w:rStyle w:val="Fett"/>
          <w:rFonts w:eastAsiaTheme="majorEastAsia"/>
          <w:rtl/>
        </w:rPr>
        <w:t>אֶל</w:t>
      </w:r>
      <w:r>
        <w:rPr>
          <w:rtl/>
        </w:rPr>
        <w:t xml:space="preserve"> </w:t>
      </w:r>
      <w:r>
        <w:t xml:space="preserve">mit </w:t>
      </w:r>
      <w:r>
        <w:rPr>
          <w:rStyle w:val="Fett"/>
          <w:rFonts w:eastAsiaTheme="majorEastAsia"/>
          <w:rtl/>
        </w:rPr>
        <w:t>מָקוֹם</w:t>
      </w:r>
      <w:r>
        <w:rPr>
          <w:rtl/>
        </w:rPr>
        <w:t xml:space="preserve"> </w:t>
      </w:r>
      <w:r>
        <w:t>mit Artikel, Relativsatz mit charakteristischer Formel).</w:t>
      </w:r>
    </w:p>
    <w:p w14:paraId="59D90800" w14:textId="453691D6" w:rsidR="00C90AB0" w:rsidRDefault="00C90AB0" w:rsidP="00C90AB0">
      <w:pPr>
        <w:pStyle w:val="whitespace-normal"/>
      </w:pPr>
      <w:r>
        <w:t xml:space="preserve">Der Vers regelt den Fall eines Leviten, der von irgendwo in Israel zum zentralen Heiligtum kommt. Die Formulierung </w:t>
      </w:r>
      <w:r>
        <w:rPr>
          <w:rStyle w:val="Fett"/>
          <w:rFonts w:eastAsiaTheme="majorEastAsia"/>
          <w:rtl/>
        </w:rPr>
        <w:t>אֲשֶׁר־הוּא גָּר שָׁם</w:t>
      </w:r>
      <w:r>
        <w:rPr>
          <w:rtl/>
        </w:rPr>
        <w:t xml:space="preserve"> </w:t>
      </w:r>
      <w:r>
        <w:t xml:space="preserve">(„wo er sich als Fremder aufhält") zeigt: Leviten lebten verstreut in israelitischen Städten (vgl. 12,12.18.19; 14,27.29; 16,11.14; 26,12.13; Num 35,1-8; Jos 21). Die Wendung </w:t>
      </w:r>
      <w:r>
        <w:rPr>
          <w:rStyle w:val="Fett"/>
          <w:rFonts w:eastAsiaTheme="majorEastAsia"/>
          <w:rtl/>
        </w:rPr>
        <w:t>בְּכָל־אַוַּת נַפְשׁוֹ</w:t>
      </w:r>
      <w:r>
        <w:rPr>
          <w:rtl/>
        </w:rPr>
        <w:t xml:space="preserve"> </w:t>
      </w:r>
      <w:r>
        <w:t>(„mit allem Verlangen seiner Seele") betont freiwilliges, inniges Verlangen (vgl. 12,15.20.21; 14,26).</w:t>
      </w:r>
    </w:p>
    <w:p w14:paraId="5985A2FF" w14:textId="318B64B9" w:rsidR="00731060" w:rsidRDefault="00731060" w:rsidP="00C90AB0">
      <w:pPr>
        <w:pStyle w:val="whitespace-normal"/>
      </w:pPr>
      <w:r>
        <w:rPr>
          <w:rStyle w:val="Fett"/>
        </w:rPr>
        <w:t>Die LXX</w:t>
      </w:r>
      <w:r>
        <w:t xml:space="preserve"> übersetzt </w:t>
      </w:r>
      <w:r w:rsidRPr="00731060">
        <w:rPr>
          <w:b/>
          <w:bCs/>
          <w:rtl/>
        </w:rPr>
        <w:t>מֵאַחַד שְׁעָרֶיךָ</w:t>
      </w:r>
      <w:r>
        <w:t xml:space="preserve"> (von einem deiner Tore) mit </w:t>
      </w:r>
      <w:proofErr w:type="spellStart"/>
      <w:r>
        <w:t>ἐκ</w:t>
      </w:r>
      <w:proofErr w:type="spellEnd"/>
      <w:r>
        <w:t xml:space="preserve"> </w:t>
      </w:r>
      <w:proofErr w:type="spellStart"/>
      <w:r>
        <w:t>μιᾶς</w:t>
      </w:r>
      <w:proofErr w:type="spellEnd"/>
      <w:r>
        <w:t xml:space="preserve"> </w:t>
      </w:r>
      <w:proofErr w:type="spellStart"/>
      <w:r>
        <w:t>τῶν</w:t>
      </w:r>
      <w:proofErr w:type="spellEnd"/>
      <w:r>
        <w:t xml:space="preserve"> π</w:t>
      </w:r>
      <w:proofErr w:type="spellStart"/>
      <w:r>
        <w:t>όλεων</w:t>
      </w:r>
      <w:proofErr w:type="spellEnd"/>
      <w:r>
        <w:t xml:space="preserve"> </w:t>
      </w:r>
      <w:proofErr w:type="spellStart"/>
      <w:r>
        <w:t>ὑμῶν</w:t>
      </w:r>
      <w:proofErr w:type="spellEnd"/>
      <w:r>
        <w:t xml:space="preserve"> (aus einer eurer Städte) – wieder die bekannte Tendenz. Die Wendung κα</w:t>
      </w:r>
      <w:proofErr w:type="spellStart"/>
      <w:r>
        <w:t>θότι</w:t>
      </w:r>
      <w:proofErr w:type="spellEnd"/>
      <w:r>
        <w:t xml:space="preserve"> ἐπ</w:t>
      </w:r>
      <w:proofErr w:type="spellStart"/>
      <w:r>
        <w:t>ιθυμεῖ</w:t>
      </w:r>
      <w:proofErr w:type="spellEnd"/>
      <w:r>
        <w:t xml:space="preserve"> ἡ </w:t>
      </w:r>
      <w:proofErr w:type="spellStart"/>
      <w:r>
        <w:t>ψυχὴ</w:t>
      </w:r>
      <w:proofErr w:type="spellEnd"/>
      <w:r>
        <w:t xml:space="preserve"> α</w:t>
      </w:r>
      <w:proofErr w:type="spellStart"/>
      <w:r>
        <w:t>ὐτοῦ</w:t>
      </w:r>
      <w:proofErr w:type="spellEnd"/>
      <w:r>
        <w:t xml:space="preserve"> (wie es seine Seele begehrt) für </w:t>
      </w:r>
      <w:r w:rsidRPr="00731060">
        <w:rPr>
          <w:b/>
          <w:bCs/>
          <w:rtl/>
        </w:rPr>
        <w:t>בְּכָל־אַוַּת נַפְשׁוֹ</w:t>
      </w:r>
      <w:r>
        <w:t xml:space="preserve"> ist eine interpretierende Wiedergabe.</w:t>
      </w:r>
    </w:p>
    <w:p w14:paraId="7614DCA9" w14:textId="77777777" w:rsidR="00C90AB0" w:rsidRDefault="00C90AB0" w:rsidP="00C90AB0">
      <w:pPr>
        <w:pStyle w:val="whitespace-normal"/>
      </w:pPr>
      <w:r>
        <w:rPr>
          <w:rStyle w:val="Fett"/>
          <w:rFonts w:eastAsiaTheme="majorEastAsia"/>
        </w:rPr>
        <w:t>Die Satzstruktur:</w:t>
      </w:r>
      <w:r>
        <w:t xml:space="preserve"> Konditionaler Satz mit Fortsetzung (und wenn kommt der Levit aus einem deiner Tore, aus ganz Israel, wo er sich als Fremder aufhält dort, und kommt mit allem Verlangen seiner Seele zu dem Ort, den erwählen wird JHWH).</w:t>
      </w:r>
    </w:p>
    <w:p w14:paraId="1962387B" w14:textId="77777777" w:rsidR="00C90AB0" w:rsidRDefault="00C90AB0" w:rsidP="00C90AB0">
      <w:pPr>
        <w:pStyle w:val="whitespace-normal"/>
      </w:pPr>
      <w:r>
        <w:t>Der Vers setzt den Fall: Wenn ein Levit von seinem Wohnort zum zentralen Heiligtum kommt – voller Verlangen, dort zu dienen – dann folgt V. 7-8 mit der Regelung.</w:t>
      </w:r>
    </w:p>
    <w:p w14:paraId="75EC5339"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18,7</w:t>
      </w:r>
    </w:p>
    <w:p w14:paraId="06419E22" w14:textId="77777777" w:rsidR="00DD2E9B" w:rsidRDefault="00DD2E9B" w:rsidP="00DD2E9B">
      <w:pPr>
        <w:pStyle w:val="whitespace-normal"/>
      </w:pPr>
      <w:r>
        <w:rPr>
          <w:rStyle w:val="Fett"/>
          <w:rFonts w:eastAsiaTheme="majorEastAsia"/>
        </w:rPr>
        <w:t>Hebräisch:</w:t>
      </w:r>
      <w:r>
        <w:t xml:space="preserve"> </w:t>
      </w:r>
      <w:r>
        <w:rPr>
          <w:rtl/>
        </w:rPr>
        <w:t>וְשֵׁרֵ֕ת בְּשֵׁ֖ם יְהוָ֣ה אֱלֹהָ֑יו כְּכָל־אֶחָיו֙ הַלְוִיִּ֔ם הָעֹמְדִ֥ים שָׁ֖ם לִפְנֵ֥י יְהוָֽה׃</w:t>
      </w:r>
    </w:p>
    <w:p w14:paraId="1E5C2B89" w14:textId="77777777" w:rsidR="00DD2E9B" w:rsidRDefault="00DD2E9B" w:rsidP="00DD2E9B">
      <w:pPr>
        <w:pStyle w:val="whitespace-normal"/>
      </w:pPr>
      <w:r>
        <w:rPr>
          <w:rStyle w:val="Fett"/>
          <w:rFonts w:eastAsiaTheme="majorEastAsia"/>
        </w:rPr>
        <w:t>Deutsch:</w:t>
      </w:r>
      <w:r>
        <w:t xml:space="preserve"> und dient im Namen des Ewigen, seines Gottes, wie alle seine Brüder, die Levijim, die dort vor dem Ewigen stehen,</w:t>
      </w:r>
    </w:p>
    <w:p w14:paraId="50FEEE8D" w14:textId="77777777" w:rsidR="00DD2E9B" w:rsidRDefault="004F5CEB" w:rsidP="00DD2E9B">
      <w:r>
        <w:rPr>
          <w:noProof/>
        </w:rPr>
        <w:pict w14:anchorId="36BFB9DF">
          <v:rect id="_x0000_i1516" style="width:0;height:1.5pt" o:hralign="center" o:hrstd="t" o:hr="t" fillcolor="#a0a0a0" stroked="f"/>
        </w:pict>
      </w:r>
    </w:p>
    <w:p w14:paraId="5F127182" w14:textId="77777777" w:rsidR="00DD2E9B" w:rsidRDefault="00DD2E9B" w:rsidP="00DD2E9B">
      <w:pPr>
        <w:pStyle w:val="whitespace-normal"/>
      </w:pPr>
      <w:r>
        <w:rPr>
          <w:rStyle w:val="Fett"/>
          <w:rFonts w:eastAsiaTheme="majorEastAsia"/>
        </w:rPr>
        <w:t>Kommentar:</w:t>
      </w:r>
      <w:r>
        <w:t xml:space="preserve"> </w:t>
      </w:r>
      <w:r>
        <w:rPr>
          <w:rStyle w:val="Fett"/>
          <w:rFonts w:eastAsiaTheme="majorEastAsia"/>
          <w:rtl/>
        </w:rPr>
        <w:t>וְשֵׁרֵת בְּשֵׁם יְהוָה אֱלֹהָיו</w:t>
      </w:r>
      <w:r>
        <w:rPr>
          <w:rtl/>
        </w:rPr>
        <w:t xml:space="preserve"> </w:t>
      </w:r>
      <w:r>
        <w:t xml:space="preserve">ist ein Imperativsatz: </w:t>
      </w:r>
      <w:r>
        <w:rPr>
          <w:rStyle w:val="Fett"/>
          <w:rFonts w:eastAsiaTheme="majorEastAsia"/>
          <w:rtl/>
        </w:rPr>
        <w:t>וְשֵׁרֵת</w:t>
      </w:r>
      <w:r>
        <w:rPr>
          <w:rtl/>
        </w:rPr>
        <w:t xml:space="preserve"> </w:t>
      </w:r>
      <w:r>
        <w:t xml:space="preserve">(Piel Perfekt, 3. Person Maskulinum Singular von </w:t>
      </w:r>
      <w:r>
        <w:rPr>
          <w:rStyle w:val="Fett"/>
          <w:rFonts w:eastAsiaTheme="majorEastAsia"/>
          <w:rtl/>
        </w:rPr>
        <w:t>שׁרת</w:t>
      </w:r>
      <w:r>
        <w:t xml:space="preserve">, „dienen", mit </w:t>
      </w:r>
      <w:r>
        <w:rPr>
          <w:rStyle w:val="Fett"/>
          <w:rFonts w:eastAsiaTheme="majorEastAsia"/>
        </w:rPr>
        <w:t>Waw</w:t>
      </w:r>
      <w:r>
        <w:t xml:space="preserve"> consecutives Perfekt), </w:t>
      </w:r>
      <w:r>
        <w:rPr>
          <w:rStyle w:val="Fett"/>
          <w:rFonts w:eastAsiaTheme="majorEastAsia"/>
          <w:rtl/>
        </w:rPr>
        <w:t>בְּשֵׁם יְהוָה אֱלֹהָיו</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שֵׁם</w:t>
      </w:r>
      <w:r>
        <w:t xml:space="preserve">, „Name", Construct mit </w:t>
      </w:r>
      <w:r>
        <w:rPr>
          <w:rStyle w:val="Fett"/>
          <w:rFonts w:eastAsiaTheme="majorEastAsia"/>
          <w:rtl/>
        </w:rPr>
        <w:t>יְהוָה אֱלֹהָיו</w:t>
      </w:r>
      <w:r>
        <w:t>, „im Namen JHWHs, seines Gottes").</w:t>
      </w:r>
    </w:p>
    <w:p w14:paraId="619983B5" w14:textId="77777777" w:rsidR="00DD2E9B" w:rsidRDefault="00DD2E9B" w:rsidP="00DD2E9B">
      <w:pPr>
        <w:pStyle w:val="whitespace-normal"/>
      </w:pPr>
      <w:r>
        <w:rPr>
          <w:rStyle w:val="Fett"/>
          <w:rFonts w:eastAsiaTheme="majorEastAsia"/>
          <w:rtl/>
        </w:rPr>
        <w:t>כְּכָל־אֶחָיו הַלְוִיִּם הָעֹמְדִים שָׁם לִפְנֵי יְהוָה</w:t>
      </w:r>
      <w:r>
        <w:rPr>
          <w:rtl/>
        </w:rPr>
        <w:t xml:space="preserve"> </w:t>
      </w:r>
      <w:r>
        <w:t xml:space="preserve">ist die Vergleichsbestimmung: </w:t>
      </w:r>
      <w:r>
        <w:rPr>
          <w:rStyle w:val="Fett"/>
          <w:rFonts w:eastAsiaTheme="majorEastAsia"/>
          <w:rtl/>
        </w:rPr>
        <w:t>כְּכָל־אֶחָיו הַלְוִיִּם</w:t>
      </w:r>
      <w:r>
        <w:rPr>
          <w:rtl/>
        </w:rPr>
        <w:t xml:space="preserve"> </w:t>
      </w:r>
      <w:r>
        <w:t xml:space="preserve">(Präposition </w:t>
      </w:r>
      <w:r>
        <w:rPr>
          <w:rStyle w:val="Fett"/>
          <w:rFonts w:eastAsiaTheme="majorEastAsia"/>
          <w:rtl/>
        </w:rPr>
        <w:t>כְּ</w:t>
      </w:r>
      <w:r>
        <w:t xml:space="preserve">, „wie", mit </w:t>
      </w:r>
      <w:r>
        <w:rPr>
          <w:rStyle w:val="Fett"/>
          <w:rFonts w:eastAsiaTheme="majorEastAsia"/>
          <w:rtl/>
        </w:rPr>
        <w:t>כֹּל</w:t>
      </w:r>
      <w:r>
        <w:t xml:space="preserve">, Construct mit </w:t>
      </w:r>
      <w:r>
        <w:rPr>
          <w:rStyle w:val="Fett"/>
          <w:rFonts w:eastAsiaTheme="majorEastAsia"/>
          <w:rtl/>
        </w:rPr>
        <w:t>אָח</w:t>
      </w:r>
      <w:r>
        <w:t xml:space="preserve">, „Bruder", Plural mit Suffix 3. Person Maskulinum Singular, mit </w:t>
      </w:r>
      <w:r>
        <w:rPr>
          <w:rStyle w:val="Fett"/>
          <w:rFonts w:eastAsiaTheme="majorEastAsia"/>
          <w:rtl/>
        </w:rPr>
        <w:t>לֵוִי</w:t>
      </w:r>
      <w:r>
        <w:t xml:space="preserve">, Plural mit Artikel, „wie alle seine Brüder, die Leviten"), </w:t>
      </w:r>
      <w:r>
        <w:rPr>
          <w:rStyle w:val="Fett"/>
          <w:rFonts w:eastAsiaTheme="majorEastAsia"/>
          <w:rtl/>
        </w:rPr>
        <w:t>הָעֹמְדִים שָׁם לִפְנֵי יְהוָה</w:t>
      </w:r>
      <w:r>
        <w:rPr>
          <w:rtl/>
        </w:rPr>
        <w:t xml:space="preserve"> </w:t>
      </w:r>
      <w:r>
        <w:t xml:space="preserve">(Qal Partizip Plural von </w:t>
      </w:r>
      <w:r>
        <w:rPr>
          <w:rStyle w:val="Fett"/>
          <w:rFonts w:eastAsiaTheme="majorEastAsia"/>
          <w:rtl/>
        </w:rPr>
        <w:t>עמד</w:t>
      </w:r>
      <w:r>
        <w:t xml:space="preserve">, „stehen", mit Artikel, </w:t>
      </w:r>
      <w:r>
        <w:rPr>
          <w:rStyle w:val="Fett"/>
          <w:rFonts w:eastAsiaTheme="majorEastAsia"/>
          <w:rtl/>
        </w:rPr>
        <w:t>שָׁם</w:t>
      </w:r>
      <w:r>
        <w:t xml:space="preserve">, „dort", </w:t>
      </w:r>
      <w:r>
        <w:rPr>
          <w:rStyle w:val="Fett"/>
          <w:rFonts w:eastAsiaTheme="majorEastAsia"/>
          <w:rtl/>
        </w:rPr>
        <w:t>לִפְנֵי יְהוָה</w:t>
      </w:r>
      <w:r>
        <w:t xml:space="preserve">, Präposition </w:t>
      </w:r>
      <w:r>
        <w:rPr>
          <w:rStyle w:val="Fett"/>
          <w:rFonts w:eastAsiaTheme="majorEastAsia"/>
          <w:rtl/>
        </w:rPr>
        <w:t>לִפְנֵי</w:t>
      </w:r>
      <w:r>
        <w:rPr>
          <w:rtl/>
        </w:rPr>
        <w:t xml:space="preserve"> </w:t>
      </w:r>
      <w:r>
        <w:t xml:space="preserve">mit </w:t>
      </w:r>
      <w:r>
        <w:rPr>
          <w:rStyle w:val="Fett"/>
          <w:rFonts w:eastAsiaTheme="majorEastAsia"/>
          <w:rtl/>
        </w:rPr>
        <w:t>יְהוָה</w:t>
      </w:r>
      <w:r>
        <w:t>, „vor JHWH", „die dort vor JHWH stehen").</w:t>
      </w:r>
    </w:p>
    <w:p w14:paraId="595E9DC7" w14:textId="6A145F74" w:rsidR="00DD2E9B" w:rsidRDefault="00DD2E9B" w:rsidP="00DD2E9B">
      <w:pPr>
        <w:pStyle w:val="whitespace-normal"/>
      </w:pPr>
      <w:r>
        <w:t xml:space="preserve">Der Vers setzt V. 6 fort: Der Levit aus der Provinz darf am Heiligtum dienen. Die Formulierung </w:t>
      </w:r>
      <w:r>
        <w:rPr>
          <w:rStyle w:val="Fett"/>
          <w:rFonts w:eastAsiaTheme="majorEastAsia"/>
          <w:rtl/>
        </w:rPr>
        <w:t>בְּשֵׁם יְהוָה</w:t>
      </w:r>
      <w:r>
        <w:rPr>
          <w:rtl/>
        </w:rPr>
        <w:t xml:space="preserve"> </w:t>
      </w:r>
      <w:r>
        <w:t xml:space="preserve">(„im Namen JHWHs") bezeichnet liturgischen Dienst in göttlicher Autorität (vgl. V. 5). Die Wendung </w:t>
      </w:r>
      <w:r>
        <w:rPr>
          <w:rStyle w:val="Fett"/>
          <w:rFonts w:eastAsiaTheme="majorEastAsia"/>
          <w:rtl/>
        </w:rPr>
        <w:t>כְּכָל־אֶחָיו הַלְוִיִּם</w:t>
      </w:r>
      <w:r>
        <w:rPr>
          <w:rtl/>
        </w:rPr>
        <w:t xml:space="preserve"> </w:t>
      </w:r>
      <w:r>
        <w:t xml:space="preserve">(„wie alle seine Brüder, die Leviten") zeigt: </w:t>
      </w:r>
      <w:r>
        <w:lastRenderedPageBreak/>
        <w:t xml:space="preserve">Gleichberechtigung – auch der zugereiste Levit hat volle Dienstrechte. Die Formulierung </w:t>
      </w:r>
      <w:r>
        <w:rPr>
          <w:rStyle w:val="Fett"/>
          <w:rFonts w:eastAsiaTheme="majorEastAsia"/>
          <w:rtl/>
        </w:rPr>
        <w:t>הָעֹמְדִים שָׁם לִפְנֵי יְהוָה</w:t>
      </w:r>
      <w:r>
        <w:rPr>
          <w:rtl/>
        </w:rPr>
        <w:t xml:space="preserve"> </w:t>
      </w:r>
      <w:r>
        <w:t xml:space="preserve">(„die dort vor JHWH stehen") ist charakteristisch für priesterlichen Dienst (vgl. V. 5; 10,8; 17,12; 21,5; </w:t>
      </w:r>
      <w:r w:rsidR="00664EB6">
        <w:t>1Kön</w:t>
      </w:r>
      <w:r>
        <w:t xml:space="preserve"> 17,1; 18,15; </w:t>
      </w:r>
      <w:r w:rsidR="00664EB6">
        <w:t>2Kön</w:t>
      </w:r>
      <w:r>
        <w:t xml:space="preserve"> 3,14; 5,16; Jer 15,19; 35,19).</w:t>
      </w:r>
    </w:p>
    <w:p w14:paraId="1DD7D222" w14:textId="77777777" w:rsidR="00DD2E9B" w:rsidRDefault="00DD2E9B" w:rsidP="00DD2E9B">
      <w:pPr>
        <w:pStyle w:val="whitespace-normal"/>
      </w:pPr>
      <w:r>
        <w:rPr>
          <w:rStyle w:val="Fett"/>
          <w:rFonts w:eastAsiaTheme="majorEastAsia"/>
        </w:rPr>
        <w:t>Die Satzstruktur:</w:t>
      </w:r>
      <w:r>
        <w:t xml:space="preserve"> Imperativsatz mit Vergleichsbestimmung (und dienen soll er im Namen JHWHs, seines Gottes, wie alle seine Brüder, die Leviten, die dort stehen vor JHWH).</w:t>
      </w:r>
    </w:p>
    <w:p w14:paraId="7BA518F9" w14:textId="77777777" w:rsidR="00DD2E9B" w:rsidRDefault="00DD2E9B" w:rsidP="00DD2E9B">
      <w:pPr>
        <w:pStyle w:val="whitespace-normal"/>
      </w:pPr>
      <w:r>
        <w:t>Der Vers gewährt: Der zugereiste Levit soll am Heiligtum dienen wie alle anderen levitischen Brüder, die dort vor JHWH stehen.</w:t>
      </w:r>
    </w:p>
    <w:p w14:paraId="07BBF242"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18,8</w:t>
      </w:r>
    </w:p>
    <w:p w14:paraId="504993BC" w14:textId="77777777" w:rsidR="00DD2E9B" w:rsidRDefault="00DD2E9B" w:rsidP="00DD2E9B">
      <w:pPr>
        <w:pStyle w:val="whitespace-normal"/>
      </w:pPr>
      <w:r>
        <w:rPr>
          <w:rStyle w:val="Fett"/>
          <w:rFonts w:eastAsiaTheme="majorEastAsia"/>
        </w:rPr>
        <w:t>Hebräisch:</w:t>
      </w:r>
      <w:r>
        <w:t xml:space="preserve"> </w:t>
      </w:r>
      <w:r>
        <w:rPr>
          <w:rtl/>
        </w:rPr>
        <w:t>חֵ֥לֶק כְּחֵ֖לֶק יֹאכֵ֑לוּ לְבַ֥ד מִמְכָּרָ֖יו עַל־הָאָבֽוֹת׃</w:t>
      </w:r>
    </w:p>
    <w:p w14:paraId="31B57142" w14:textId="77777777" w:rsidR="00DD2E9B" w:rsidRDefault="00DD2E9B" w:rsidP="00DD2E9B">
      <w:pPr>
        <w:pStyle w:val="whitespace-normal"/>
      </w:pPr>
      <w:r>
        <w:rPr>
          <w:rStyle w:val="Fett"/>
          <w:rFonts w:eastAsiaTheme="majorEastAsia"/>
        </w:rPr>
        <w:t>Deutsch:</w:t>
      </w:r>
      <w:r>
        <w:t xml:space="preserve"> zu gleichen Teilen sollen sie essen, außer dem, was er verkauft hat von den Vätern.</w:t>
      </w:r>
    </w:p>
    <w:p w14:paraId="18C6C247" w14:textId="77777777" w:rsidR="00DD2E9B" w:rsidRDefault="004F5CEB" w:rsidP="00DD2E9B">
      <w:r>
        <w:rPr>
          <w:noProof/>
        </w:rPr>
        <w:pict w14:anchorId="744A7AD2">
          <v:rect id="_x0000_i1517" style="width:0;height:1.5pt" o:hralign="center" o:hrstd="t" o:hr="t" fillcolor="#a0a0a0" stroked="f"/>
        </w:pict>
      </w:r>
    </w:p>
    <w:p w14:paraId="1C17D458" w14:textId="77777777" w:rsidR="00DD2E9B" w:rsidRDefault="00DD2E9B" w:rsidP="00DD2E9B">
      <w:pPr>
        <w:pStyle w:val="whitespace-normal"/>
      </w:pPr>
      <w:r>
        <w:rPr>
          <w:rStyle w:val="Fett"/>
          <w:rFonts w:eastAsiaTheme="majorEastAsia"/>
        </w:rPr>
        <w:t>Kommentar:</w:t>
      </w:r>
      <w:r>
        <w:t xml:space="preserve"> </w:t>
      </w:r>
      <w:r>
        <w:rPr>
          <w:rStyle w:val="Fett"/>
          <w:rFonts w:eastAsiaTheme="majorEastAsia"/>
          <w:rtl/>
        </w:rPr>
        <w:t>חֵלֶק כְּחֵלֶק יֹאכֵלוּ</w:t>
      </w:r>
      <w:r>
        <w:rPr>
          <w:rtl/>
        </w:rPr>
        <w:t xml:space="preserve"> </w:t>
      </w:r>
      <w:r>
        <w:t xml:space="preserve">ist ein Verbalsatz mit Wiederholung: </w:t>
      </w:r>
      <w:r>
        <w:rPr>
          <w:rStyle w:val="Fett"/>
          <w:rFonts w:eastAsiaTheme="majorEastAsia"/>
          <w:rtl/>
        </w:rPr>
        <w:t>חֵלֶק כְּחֵלֶק</w:t>
      </w:r>
      <w:r>
        <w:rPr>
          <w:rtl/>
        </w:rPr>
        <w:t xml:space="preserve"> </w:t>
      </w:r>
      <w:r>
        <w:t>(</w:t>
      </w:r>
      <w:r>
        <w:rPr>
          <w:rStyle w:val="Fett"/>
          <w:rFonts w:eastAsiaTheme="majorEastAsia"/>
          <w:rtl/>
        </w:rPr>
        <w:t>חֵלֶק</w:t>
      </w:r>
      <w:r>
        <w:t xml:space="preserve">, „Teil, Anteil", mit Präposition </w:t>
      </w:r>
      <w:r>
        <w:rPr>
          <w:rStyle w:val="Fett"/>
          <w:rFonts w:eastAsiaTheme="majorEastAsia"/>
          <w:rtl/>
        </w:rPr>
        <w:t>כְּ</w:t>
      </w:r>
      <w:r>
        <w:rPr>
          <w:rtl/>
        </w:rPr>
        <w:t xml:space="preserve"> </w:t>
      </w:r>
      <w:r>
        <w:t xml:space="preserve">vor dem wiederholten </w:t>
      </w:r>
      <w:r>
        <w:rPr>
          <w:rStyle w:val="Fett"/>
          <w:rFonts w:eastAsiaTheme="majorEastAsia"/>
          <w:rtl/>
        </w:rPr>
        <w:t>חֵלֶק</w:t>
      </w:r>
      <w:r>
        <w:t xml:space="preserve">, „Teil wie Teil" = zu gleichen Teilen, gleichermaßen), </w:t>
      </w:r>
      <w:r>
        <w:rPr>
          <w:rStyle w:val="Fett"/>
          <w:rFonts w:eastAsiaTheme="majorEastAsia"/>
          <w:rtl/>
        </w:rPr>
        <w:t>יֹאכֵלוּ</w:t>
      </w:r>
      <w:r>
        <w:rPr>
          <w:rtl/>
        </w:rPr>
        <w:t xml:space="preserve"> </w:t>
      </w:r>
      <w:r>
        <w:t xml:space="preserve">(Qal Imperfekt, 3. Person Plural von </w:t>
      </w:r>
      <w:r>
        <w:rPr>
          <w:rStyle w:val="Fett"/>
          <w:rFonts w:eastAsiaTheme="majorEastAsia"/>
          <w:rtl/>
        </w:rPr>
        <w:t>אכל</w:t>
      </w:r>
      <w:r>
        <w:t>, „essen").</w:t>
      </w:r>
    </w:p>
    <w:p w14:paraId="5939F06F" w14:textId="77777777" w:rsidR="00DD2E9B" w:rsidRDefault="00DD2E9B" w:rsidP="00DD2E9B">
      <w:pPr>
        <w:pStyle w:val="whitespace-normal"/>
      </w:pPr>
      <w:r>
        <w:rPr>
          <w:rStyle w:val="Fett"/>
          <w:rFonts w:eastAsiaTheme="majorEastAsia"/>
          <w:rtl/>
        </w:rPr>
        <w:t>לְבַד מִמְכָּרָיו עַל־הָאָבוֹת</w:t>
      </w:r>
      <w:r>
        <w:rPr>
          <w:rtl/>
        </w:rPr>
        <w:t xml:space="preserve"> </w:t>
      </w:r>
      <w:r>
        <w:t xml:space="preserve">ist die Ausnahmeklausel: </w:t>
      </w:r>
      <w:r>
        <w:rPr>
          <w:rStyle w:val="Fett"/>
          <w:rFonts w:eastAsiaTheme="majorEastAsia"/>
          <w:rtl/>
        </w:rPr>
        <w:t>לְבַד</w:t>
      </w:r>
      <w:r>
        <w:rPr>
          <w:rtl/>
        </w:rPr>
        <w:t xml:space="preserve"> </w:t>
      </w:r>
      <w:r>
        <w:t xml:space="preserve">(Präposition, „außer, ausgenommen"), </w:t>
      </w:r>
      <w:r>
        <w:rPr>
          <w:rStyle w:val="Fett"/>
          <w:rFonts w:eastAsiaTheme="majorEastAsia"/>
          <w:rtl/>
        </w:rPr>
        <w:t>מִמְכָּרָיו</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מֶכֶר</w:t>
      </w:r>
      <w:r>
        <w:t xml:space="preserve">, „Verkauf", Plural mit Suffix 3. Person Maskulinum Singular, „von seinen Verkäufen"), </w:t>
      </w:r>
      <w:r>
        <w:rPr>
          <w:rStyle w:val="Fett"/>
          <w:rFonts w:eastAsiaTheme="majorEastAsia"/>
          <w:rtl/>
        </w:rPr>
        <w:t>עַל־הָאָבוֹת</w:t>
      </w:r>
      <w:r>
        <w:rPr>
          <w:rtl/>
        </w:rPr>
        <w:t xml:space="preserve"> </w:t>
      </w:r>
      <w:r>
        <w:t xml:space="preserve">(Präposition </w:t>
      </w:r>
      <w:r>
        <w:rPr>
          <w:rStyle w:val="Fett"/>
          <w:rFonts w:eastAsiaTheme="majorEastAsia"/>
          <w:rtl/>
        </w:rPr>
        <w:t>עַל</w:t>
      </w:r>
      <w:r>
        <w:t xml:space="preserve">, „auf, bei, von", mit </w:t>
      </w:r>
      <w:r>
        <w:rPr>
          <w:rStyle w:val="Fett"/>
          <w:rFonts w:eastAsiaTheme="majorEastAsia"/>
          <w:rtl/>
        </w:rPr>
        <w:t>אָב</w:t>
      </w:r>
      <w:r>
        <w:t>, „Vater", Plural mit Artikel, „von den Vätern").</w:t>
      </w:r>
    </w:p>
    <w:p w14:paraId="1EC9C292" w14:textId="77777777" w:rsidR="00DD2E9B" w:rsidRDefault="00DD2E9B" w:rsidP="00DD2E9B">
      <w:pPr>
        <w:pStyle w:val="whitespace-normal"/>
      </w:pPr>
      <w:r>
        <w:t xml:space="preserve">Der Vers garantiert wirtschaftliche Gleichstellung: Der zugereiste Levit erhält denselben Anteil an den priesterlichen Einkünften wie die ansässigen Leviten. Die schwierige Ausnahmeklausel </w:t>
      </w:r>
      <w:r>
        <w:rPr>
          <w:rStyle w:val="Fett"/>
          <w:rFonts w:eastAsiaTheme="majorEastAsia"/>
          <w:rtl/>
        </w:rPr>
        <w:t>לְבַד מִמְכָּרָיו עַל־הָאָבוֹת</w:t>
      </w:r>
      <w:r>
        <w:rPr>
          <w:rtl/>
        </w:rPr>
        <w:t xml:space="preserve"> </w:t>
      </w:r>
      <w:r>
        <w:t>(„außer seinen Verkäufen bei/von den Vätern") wird unterschiedlich interpretiert: (1) Privateinkommen aus Familienbesitz wird nicht geteilt, (2) Einkünfte aus verkauftem väterlichem Erbe bleiben privat, (3) traditionelle familiäre Anteile bleiben unberührt. Die genaue Bedeutung ist unklar, aber der Grundsatz ist: Gleichanteil beim liturgischen Dienst, Privatbesitz bleibt privat.</w:t>
      </w:r>
    </w:p>
    <w:p w14:paraId="58A5074B" w14:textId="5E30A68F" w:rsidR="00731060" w:rsidRDefault="00731060" w:rsidP="00DD2E9B">
      <w:pPr>
        <w:pStyle w:val="whitespace-normal"/>
        <w:rPr>
          <w:rStyle w:val="Fett"/>
          <w:rFonts w:eastAsiaTheme="majorEastAsia"/>
        </w:rPr>
      </w:pPr>
      <w:r>
        <w:rPr>
          <w:rStyle w:val="Fett"/>
        </w:rPr>
        <w:t>Die LXX</w:t>
      </w:r>
      <w:r>
        <w:t xml:space="preserve"> übersetzt </w:t>
      </w:r>
      <w:r w:rsidRPr="00731060">
        <w:rPr>
          <w:b/>
          <w:bCs/>
          <w:rtl/>
        </w:rPr>
        <w:t>חֵלֶק כְּחֵלֶק</w:t>
      </w:r>
      <w:r>
        <w:t xml:space="preserve"> (Teil wie Teil) mit </w:t>
      </w:r>
      <w:proofErr w:type="spellStart"/>
      <w:r>
        <w:t>μερίδ</w:t>
      </w:r>
      <w:proofErr w:type="spellEnd"/>
      <w:r>
        <w:t xml:space="preserve">α </w:t>
      </w:r>
      <w:proofErr w:type="spellStart"/>
      <w:r>
        <w:t>μεμερισμένην</w:t>
      </w:r>
      <w:proofErr w:type="spellEnd"/>
      <w:r>
        <w:t xml:space="preserve"> (einen zugeteilten Anteil) – ein Partizip Perfekt Passiv statt der hebräischen Wiederholung. Die Formulierung π</w:t>
      </w:r>
      <w:proofErr w:type="spellStart"/>
      <w:r>
        <w:t>λὴν</w:t>
      </w:r>
      <w:proofErr w:type="spellEnd"/>
      <w:r>
        <w:t xml:space="preserve"> </w:t>
      </w:r>
      <w:proofErr w:type="spellStart"/>
      <w:r>
        <w:t>τῆς</w:t>
      </w:r>
      <w:proofErr w:type="spellEnd"/>
      <w:r>
        <w:t xml:space="preserve"> π</w:t>
      </w:r>
      <w:proofErr w:type="spellStart"/>
      <w:r>
        <w:t>ράσεως</w:t>
      </w:r>
      <w:proofErr w:type="spellEnd"/>
      <w:r>
        <w:t xml:space="preserve"> </w:t>
      </w:r>
      <w:proofErr w:type="spellStart"/>
      <w:r>
        <w:t>τῆς</w:t>
      </w:r>
      <w:proofErr w:type="spellEnd"/>
      <w:r>
        <w:t xml:space="preserve"> κα</w:t>
      </w:r>
      <w:proofErr w:type="spellStart"/>
      <w:r>
        <w:t>τὰ</w:t>
      </w:r>
      <w:proofErr w:type="spellEnd"/>
      <w:r>
        <w:t xml:space="preserve"> πα</w:t>
      </w:r>
      <w:proofErr w:type="spellStart"/>
      <w:r>
        <w:t>τριάν</w:t>
      </w:r>
      <w:proofErr w:type="spellEnd"/>
      <w:r>
        <w:t xml:space="preserve"> (außer dem Verkauf gemäß der Sippe) für </w:t>
      </w:r>
      <w:r w:rsidRPr="00731060">
        <w:rPr>
          <w:b/>
          <w:bCs/>
          <w:rtl/>
        </w:rPr>
        <w:t>לְבַד מִמְכָּרָיו עַל־הָאָבוֹת</w:t>
      </w:r>
      <w:r>
        <w:t xml:space="preserve"> ist eine schwierige Phrase, deren genaue Bedeutung umstritten ist.</w:t>
      </w:r>
    </w:p>
    <w:p w14:paraId="3D3A1243" w14:textId="596A289D" w:rsidR="00DD2E9B" w:rsidRDefault="00DD2E9B" w:rsidP="00DD2E9B">
      <w:pPr>
        <w:pStyle w:val="whitespace-normal"/>
      </w:pPr>
      <w:r>
        <w:rPr>
          <w:rStyle w:val="Fett"/>
          <w:rFonts w:eastAsiaTheme="majorEastAsia"/>
        </w:rPr>
        <w:t>Die Satzstruktur:</w:t>
      </w:r>
      <w:r>
        <w:t xml:space="preserve"> Verbalsatz mit Wiederholung und Ausnahmeklausel (Teil wie Teil essen sollen sie, außer von seinen Verkäufen bei den Vätern).</w:t>
      </w:r>
    </w:p>
    <w:p w14:paraId="77DB6928" w14:textId="77777777" w:rsidR="00DD2E9B" w:rsidRDefault="00DD2E9B" w:rsidP="00DD2E9B">
      <w:pPr>
        <w:pStyle w:val="whitespace-normal"/>
      </w:pPr>
      <w:r>
        <w:t>Der Vers regelt: Die Leviten am Heiligtum sollen alle gleiche Anteile erhalten – außer privatem Einkommen aus Familienbesitz.</w:t>
      </w:r>
    </w:p>
    <w:p w14:paraId="375E150C"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lastRenderedPageBreak/>
        <w:t>Deuteronomium 18,9</w:t>
      </w:r>
    </w:p>
    <w:p w14:paraId="2F5A4E65" w14:textId="77777777" w:rsidR="00DD2E9B" w:rsidRDefault="00DD2E9B" w:rsidP="00DD2E9B">
      <w:pPr>
        <w:pStyle w:val="whitespace-normal"/>
      </w:pPr>
      <w:r>
        <w:rPr>
          <w:rStyle w:val="Fett"/>
          <w:rFonts w:eastAsiaTheme="majorEastAsia"/>
        </w:rPr>
        <w:t>Hebräisch:</w:t>
      </w:r>
      <w:r>
        <w:t xml:space="preserve"> </w:t>
      </w:r>
      <w:r>
        <w:rPr>
          <w:rtl/>
        </w:rPr>
        <w:t>כִּ֤י אַתָּה֙ בָּ֣א אֶל־הָאָ֔רֶץ אֲשֶׁר־יְהוָ֥ה אֱלֹהֶ֖יךָ נֹתֵ֣ן לָ֑ךְ לֹֽא־תִלְמַ֣ד לַעֲשׂ֔וֹת כְּתוֹעֲבֹ֖ת הַגּוֹיִ֥ם הָהֵֽם׃</w:t>
      </w:r>
    </w:p>
    <w:p w14:paraId="367E34C9" w14:textId="77777777" w:rsidR="00DD2E9B" w:rsidRDefault="00DD2E9B" w:rsidP="00DD2E9B">
      <w:pPr>
        <w:pStyle w:val="whitespace-normal"/>
      </w:pPr>
      <w:r>
        <w:rPr>
          <w:rStyle w:val="Fett"/>
          <w:rFonts w:eastAsiaTheme="majorEastAsia"/>
        </w:rPr>
        <w:t>Deutsch:</w:t>
      </w:r>
      <w:r>
        <w:t xml:space="preserve"> Wenn du kommst in das Land, das der Ewige, dein Gott, dir gibt, sollst du nicht lernen zu tun nach den Gräueln jener Nationen.</w:t>
      </w:r>
    </w:p>
    <w:p w14:paraId="22BBD06C" w14:textId="77777777" w:rsidR="00DD2E9B" w:rsidRDefault="004F5CEB" w:rsidP="00DD2E9B">
      <w:r>
        <w:rPr>
          <w:noProof/>
        </w:rPr>
        <w:pict w14:anchorId="6856D02F">
          <v:rect id="_x0000_i1518" style="width:0;height:1.5pt" o:hralign="center" o:hrstd="t" o:hr="t" fillcolor="#a0a0a0" stroked="f"/>
        </w:pict>
      </w:r>
    </w:p>
    <w:p w14:paraId="1A378B10" w14:textId="77777777" w:rsidR="00DD2E9B" w:rsidRDefault="00DD2E9B" w:rsidP="00DD2E9B">
      <w:pPr>
        <w:pStyle w:val="whitespace-normal"/>
      </w:pPr>
      <w:r>
        <w:rPr>
          <w:rStyle w:val="Fett"/>
          <w:rFonts w:eastAsiaTheme="majorEastAsia"/>
        </w:rPr>
        <w:t>Kommentar:</w:t>
      </w:r>
      <w:r>
        <w:t xml:space="preserve"> </w:t>
      </w:r>
      <w:r>
        <w:rPr>
          <w:rStyle w:val="Fett"/>
          <w:rFonts w:eastAsiaTheme="majorEastAsia"/>
          <w:rtl/>
        </w:rPr>
        <w:t>כִּי אַתָּה בָּא אֶל־הָאָרֶץ אֲשֶׁר־יְהוָה אֱלֹהֶיךָ נֹתֵן לָךְ</w:t>
      </w:r>
      <w:r>
        <w:rPr>
          <w:rtl/>
        </w:rPr>
        <w:t xml:space="preserve"> </w:t>
      </w:r>
      <w:r>
        <w:t xml:space="preserve">ist ein konditionaler temporaler Satz: </w:t>
      </w:r>
      <w:r>
        <w:rPr>
          <w:rStyle w:val="Fett"/>
          <w:rFonts w:eastAsiaTheme="majorEastAsia"/>
          <w:rtl/>
        </w:rPr>
        <w:t>כִּי</w:t>
      </w:r>
      <w:r>
        <w:rPr>
          <w:rtl/>
        </w:rPr>
        <w:t xml:space="preserve"> </w:t>
      </w:r>
      <w:r>
        <w:t xml:space="preserve">(„wenn"), </w:t>
      </w:r>
      <w:r>
        <w:rPr>
          <w:rStyle w:val="Fett"/>
          <w:rFonts w:eastAsiaTheme="majorEastAsia"/>
          <w:rtl/>
        </w:rPr>
        <w:t>אַתָּה</w:t>
      </w:r>
      <w:r>
        <w:rPr>
          <w:rtl/>
        </w:rPr>
        <w:t xml:space="preserve"> </w:t>
      </w:r>
      <w:r>
        <w:t xml:space="preserve">(Personalpronomen 2. Person Maskulinum Singular, betont, „du"), </w:t>
      </w:r>
      <w:r>
        <w:rPr>
          <w:rStyle w:val="Fett"/>
          <w:rFonts w:eastAsiaTheme="majorEastAsia"/>
          <w:rtl/>
        </w:rPr>
        <w:t>בָּא</w:t>
      </w:r>
      <w:r>
        <w:rPr>
          <w:rtl/>
        </w:rPr>
        <w:t xml:space="preserve"> </w:t>
      </w:r>
      <w:r>
        <w:t xml:space="preserve">(Qal Partizip von </w:t>
      </w:r>
      <w:r>
        <w:rPr>
          <w:rStyle w:val="Fett"/>
          <w:rFonts w:eastAsiaTheme="majorEastAsia"/>
          <w:rtl/>
        </w:rPr>
        <w:t>בוא</w:t>
      </w:r>
      <w:r>
        <w:t xml:space="preserve">, „kommen"), </w:t>
      </w:r>
      <w:r>
        <w:rPr>
          <w:rStyle w:val="Fett"/>
          <w:rFonts w:eastAsiaTheme="majorEastAsia"/>
          <w:rtl/>
        </w:rPr>
        <w:t>אֶל־הָאָרֶץ</w:t>
      </w:r>
      <w:r>
        <w:rPr>
          <w:rtl/>
        </w:rPr>
        <w:t xml:space="preserve"> </w:t>
      </w:r>
      <w:r>
        <w:t xml:space="preserve">(Präposition </w:t>
      </w:r>
      <w:r>
        <w:rPr>
          <w:rStyle w:val="Fett"/>
          <w:rFonts w:eastAsiaTheme="majorEastAsia"/>
          <w:rtl/>
        </w:rPr>
        <w:t>אֶל</w:t>
      </w:r>
      <w:r>
        <w:rPr>
          <w:rtl/>
        </w:rPr>
        <w:t xml:space="preserve"> </w:t>
      </w:r>
      <w:r>
        <w:t xml:space="preserve">mit </w:t>
      </w:r>
      <w:r>
        <w:rPr>
          <w:rStyle w:val="Fett"/>
          <w:rFonts w:eastAsiaTheme="majorEastAsia"/>
          <w:rtl/>
        </w:rPr>
        <w:t>אֶרֶץ</w:t>
      </w:r>
      <w:r>
        <w:t xml:space="preserve">, „Land", mit Artikel, „zu dem Land"), </w:t>
      </w:r>
      <w:r>
        <w:rPr>
          <w:rStyle w:val="Fett"/>
          <w:rFonts w:eastAsiaTheme="majorEastAsia"/>
          <w:rtl/>
        </w:rPr>
        <w:t>אֲשֶׁר־יְהוָה אֱלֹהֶיךָ נֹתֵן לָךְ</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נתן</w:t>
      </w:r>
      <w:r>
        <w:t xml:space="preserve">, Qal Partizip, „geben", </w:t>
      </w:r>
      <w:r>
        <w:rPr>
          <w:rStyle w:val="Fett"/>
          <w:rFonts w:eastAsiaTheme="majorEastAsia"/>
          <w:rtl/>
        </w:rPr>
        <w:t>יְהוָה אֱלֹהֶיךָ</w:t>
      </w:r>
      <w:r>
        <w:rPr>
          <w:rtl/>
        </w:rPr>
        <w:t xml:space="preserve"> </w:t>
      </w:r>
      <w:r>
        <w:t xml:space="preserve">als Subjekt, </w:t>
      </w:r>
      <w:r>
        <w:rPr>
          <w:rStyle w:val="Fett"/>
          <w:rFonts w:eastAsiaTheme="majorEastAsia"/>
          <w:rtl/>
        </w:rPr>
        <w:t>לָךְ</w:t>
      </w:r>
      <w:r>
        <w:t>, „das JHWH, dein Gott, dir gibt").</w:t>
      </w:r>
    </w:p>
    <w:p w14:paraId="5FDEB7C2" w14:textId="77777777" w:rsidR="00DD2E9B" w:rsidRDefault="00DD2E9B" w:rsidP="00DD2E9B">
      <w:pPr>
        <w:pStyle w:val="whitespace-normal"/>
      </w:pPr>
      <w:r>
        <w:rPr>
          <w:rStyle w:val="Fett"/>
          <w:rFonts w:eastAsiaTheme="majorEastAsia"/>
          <w:rtl/>
        </w:rPr>
        <w:t>לֹא־תִלְמַד לַעֲשׂוֹת כְּתוֹעֲבֹת הַגּוֹיִם הָהֵם</w:t>
      </w:r>
      <w:r>
        <w:rPr>
          <w:rtl/>
        </w:rPr>
        <w:t xml:space="preserve"> </w:t>
      </w:r>
      <w:r>
        <w:t xml:space="preserve">ist der negative Imperativ: </w:t>
      </w:r>
      <w:r>
        <w:rPr>
          <w:rStyle w:val="Fett"/>
          <w:rFonts w:eastAsiaTheme="majorEastAsia"/>
          <w:rtl/>
        </w:rPr>
        <w:t>לֹא־תִלְמַד</w:t>
      </w:r>
      <w:r>
        <w:rPr>
          <w:rtl/>
        </w:rPr>
        <w:t xml:space="preserve"> </w:t>
      </w:r>
      <w:r>
        <w:t xml:space="preserve">(Negation mit </w:t>
      </w:r>
      <w:r>
        <w:rPr>
          <w:rStyle w:val="Fett"/>
          <w:rFonts w:eastAsiaTheme="majorEastAsia"/>
          <w:rtl/>
        </w:rPr>
        <w:t>למד</w:t>
      </w:r>
      <w:r>
        <w:t xml:space="preserve">, Qal Imperfekt, 2. Person Maskulinum Singular, „lernen"), </w:t>
      </w:r>
      <w:r>
        <w:rPr>
          <w:rStyle w:val="Fett"/>
          <w:rFonts w:eastAsiaTheme="majorEastAsia"/>
          <w:rtl/>
        </w:rPr>
        <w:t>לַעֲשׂוֹת</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עשׂה</w:t>
      </w:r>
      <w:r>
        <w:t xml:space="preserve">, „tun, machen", „zu tun"), </w:t>
      </w:r>
      <w:r>
        <w:rPr>
          <w:rStyle w:val="Fett"/>
          <w:rFonts w:eastAsiaTheme="majorEastAsia"/>
          <w:rtl/>
        </w:rPr>
        <w:t>כְּתוֹעֲבֹת הַגּוֹיִם הָהֵם</w:t>
      </w:r>
      <w:r>
        <w:rPr>
          <w:rtl/>
        </w:rPr>
        <w:t xml:space="preserve"> </w:t>
      </w:r>
      <w:r>
        <w:t xml:space="preserve">(Präposition </w:t>
      </w:r>
      <w:r>
        <w:rPr>
          <w:rStyle w:val="Fett"/>
          <w:rFonts w:eastAsiaTheme="majorEastAsia"/>
          <w:rtl/>
        </w:rPr>
        <w:t>כְּ</w:t>
      </w:r>
      <w:r>
        <w:t xml:space="preserve">, „wie, nach, gemäß", </w:t>
      </w:r>
      <w:r>
        <w:rPr>
          <w:rStyle w:val="Fett"/>
          <w:rFonts w:eastAsiaTheme="majorEastAsia"/>
          <w:rtl/>
        </w:rPr>
        <w:t>תּוֹעֵבָה</w:t>
      </w:r>
      <w:r>
        <w:t xml:space="preserve">, „Gräuel, Abscheulichkeit", Plural Construct mit </w:t>
      </w:r>
      <w:r>
        <w:rPr>
          <w:rStyle w:val="Fett"/>
          <w:rFonts w:eastAsiaTheme="majorEastAsia"/>
          <w:rtl/>
        </w:rPr>
        <w:t>גּוֹי</w:t>
      </w:r>
      <w:r>
        <w:t xml:space="preserve">, „Nation, Volk", Plural mit Artikel und Demonstrativpronomen </w:t>
      </w:r>
      <w:r>
        <w:rPr>
          <w:rStyle w:val="Fett"/>
          <w:rFonts w:eastAsiaTheme="majorEastAsia"/>
          <w:rtl/>
        </w:rPr>
        <w:t>הֵם</w:t>
      </w:r>
      <w:r>
        <w:t>, „jene", „nach den Gräueln jener Nationen").</w:t>
      </w:r>
    </w:p>
    <w:p w14:paraId="7E3C6A3C" w14:textId="77777777" w:rsidR="00DD2E9B" w:rsidRDefault="00DD2E9B" w:rsidP="00DD2E9B">
      <w:pPr>
        <w:pStyle w:val="whitespace-normal"/>
      </w:pPr>
      <w:r>
        <w:t xml:space="preserve">Der Vers leitet einen neuen Abschnitt ein (V. 9-22): Verbot okkulter Praktiken und Verheißung wahrer Prophetie. Die Formulierung </w:t>
      </w:r>
      <w:r>
        <w:rPr>
          <w:rStyle w:val="Fett"/>
          <w:rFonts w:eastAsiaTheme="majorEastAsia"/>
          <w:rtl/>
        </w:rPr>
        <w:t>כִּי אַתָּה בָּא אֶל־הָאָרֶץ</w:t>
      </w:r>
      <w:r>
        <w:rPr>
          <w:rtl/>
        </w:rPr>
        <w:t xml:space="preserve"> </w:t>
      </w:r>
      <w:r>
        <w:t xml:space="preserve">(„wenn du kommst in das Land") ist eine charakteristische deuteronomische Einleitungsformel (vgl. 6,10; 7,1; 8,7; 11,29; 17,14; 18,9; 26,1). Das Verb </w:t>
      </w:r>
      <w:r>
        <w:rPr>
          <w:rStyle w:val="Fett"/>
          <w:rFonts w:eastAsiaTheme="majorEastAsia"/>
          <w:rtl/>
        </w:rPr>
        <w:t>למד</w:t>
      </w:r>
      <w:r>
        <w:rPr>
          <w:rtl/>
        </w:rPr>
        <w:t xml:space="preserve"> </w:t>
      </w:r>
      <w:r>
        <w:t xml:space="preserve">(„lernen") ist signifikant – nicht nur die Praktiken ausüben ist verboten, sondern schon das Erlernen. Das Wort </w:t>
      </w:r>
      <w:r>
        <w:rPr>
          <w:rStyle w:val="Fett"/>
          <w:rFonts w:eastAsiaTheme="majorEastAsia"/>
          <w:rtl/>
        </w:rPr>
        <w:t>תּוֹעֵבָה</w:t>
      </w:r>
      <w:r>
        <w:rPr>
          <w:rtl/>
        </w:rPr>
        <w:t xml:space="preserve"> </w:t>
      </w:r>
      <w:r>
        <w:t>(„Gräuel") ist ein starker Begriff für religiöse Abscheulichkeiten (vgl. 7,25.26; 12,31; 13,15; 14,3; 17,1.4; 18,9.12; 22,5; 23,19; 24,4; 25,16; 27,15; 32,16).</w:t>
      </w:r>
    </w:p>
    <w:p w14:paraId="6EC47B0D" w14:textId="77777777" w:rsidR="00DD2E9B" w:rsidRDefault="00DD2E9B" w:rsidP="00DD2E9B">
      <w:pPr>
        <w:pStyle w:val="whitespace-normal"/>
      </w:pPr>
      <w:r>
        <w:rPr>
          <w:rStyle w:val="Fett"/>
          <w:rFonts w:eastAsiaTheme="majorEastAsia"/>
        </w:rPr>
        <w:t>Die Satzstruktur:</w:t>
      </w:r>
      <w:r>
        <w:t xml:space="preserve"> Konditionaler temporaler Satz mit negativem Imperativ (wenn du kommst zu dem Land, das JHWH, dein Gott, gibt dir, nicht sollst du lernen zu tun nach den Gräueln jener Nationen).</w:t>
      </w:r>
    </w:p>
    <w:p w14:paraId="02B19A49" w14:textId="77777777" w:rsidR="00DD2E9B" w:rsidRDefault="00DD2E9B" w:rsidP="00DD2E9B">
      <w:pPr>
        <w:pStyle w:val="whitespace-normal"/>
      </w:pPr>
      <w:r>
        <w:t>Der Vers verbietet: Wenn du ins verheißene Land kommst, lerne nicht die abscheulichen Praktiken der dortigen Völker – V. 10-11 werden diese dann auflisten.</w:t>
      </w:r>
    </w:p>
    <w:p w14:paraId="7278A008"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18,10</w:t>
      </w:r>
    </w:p>
    <w:p w14:paraId="18A057FC" w14:textId="77777777" w:rsidR="00DD2E9B" w:rsidRDefault="00DD2E9B" w:rsidP="00DD2E9B">
      <w:pPr>
        <w:pStyle w:val="whitespace-normal"/>
      </w:pPr>
      <w:r>
        <w:rPr>
          <w:rStyle w:val="Fett"/>
          <w:rFonts w:eastAsiaTheme="majorEastAsia"/>
        </w:rPr>
        <w:t>Hebräisch:</w:t>
      </w:r>
      <w:r>
        <w:t xml:space="preserve"> </w:t>
      </w:r>
      <w:r>
        <w:rPr>
          <w:rtl/>
        </w:rPr>
        <w:t>לֹֽא־יִמָּצֵ֣א בְךָ֔ מַעֲבִ֥יר בְּנֹֽו־וּבִתּוֹ֖ בָּאֵ֑שׁ קֹסֵ֣ם קְסָמִ֔ים מְעוֹנֵ֥ן וּמְנַחֵ֖שׁ וּמְכַשֵּֽׁף׃</w:t>
      </w:r>
    </w:p>
    <w:p w14:paraId="5A5C1984" w14:textId="77777777" w:rsidR="00DD2E9B" w:rsidRDefault="00DD2E9B" w:rsidP="00DD2E9B">
      <w:pPr>
        <w:pStyle w:val="whitespace-normal"/>
      </w:pPr>
      <w:r>
        <w:rPr>
          <w:rStyle w:val="Fett"/>
          <w:rFonts w:eastAsiaTheme="majorEastAsia"/>
        </w:rPr>
        <w:t>Deutsch:</w:t>
      </w:r>
      <w:r>
        <w:t xml:space="preserve"> Es soll nicht gefunden werden in dir, der seinen Sohn oder seine Tochter durchs Feuer gehen lässt, Wahrsagerei treibend, Zauberei, Beschwörung und Magie ausübend,</w:t>
      </w:r>
    </w:p>
    <w:p w14:paraId="1A4BB4EC" w14:textId="77777777" w:rsidR="00DD2E9B" w:rsidRDefault="004F5CEB" w:rsidP="00DD2E9B">
      <w:r>
        <w:rPr>
          <w:noProof/>
        </w:rPr>
        <w:pict w14:anchorId="657D8BB1">
          <v:rect id="_x0000_i1519" style="width:0;height:1.5pt" o:hralign="center" o:hrstd="t" o:hr="t" fillcolor="#a0a0a0" stroked="f"/>
        </w:pict>
      </w:r>
    </w:p>
    <w:p w14:paraId="65687EA6" w14:textId="77777777" w:rsidR="00DD2E9B" w:rsidRDefault="00DD2E9B" w:rsidP="00DD2E9B">
      <w:pPr>
        <w:pStyle w:val="whitespace-normal"/>
      </w:pPr>
      <w:r>
        <w:rPr>
          <w:rStyle w:val="Fett"/>
          <w:rFonts w:eastAsiaTheme="majorEastAsia"/>
        </w:rPr>
        <w:lastRenderedPageBreak/>
        <w:t>Kommentar:</w:t>
      </w:r>
      <w:r>
        <w:t xml:space="preserve"> </w:t>
      </w:r>
      <w:r>
        <w:rPr>
          <w:rStyle w:val="Fett"/>
          <w:rFonts w:eastAsiaTheme="majorEastAsia"/>
          <w:rtl/>
        </w:rPr>
        <w:t>לֹא־יִמָּצֵא בְךָ מַעֲבִיר בְּנוֹ־וּבִתּוֹ בָּאֵשׁ</w:t>
      </w:r>
      <w:r>
        <w:rPr>
          <w:rtl/>
        </w:rPr>
        <w:t xml:space="preserve"> </w:t>
      </w:r>
      <w:r>
        <w:t xml:space="preserve">ist ein negativer Verbalsatz: </w:t>
      </w:r>
      <w:r>
        <w:rPr>
          <w:rStyle w:val="Fett"/>
          <w:rFonts w:eastAsiaTheme="majorEastAsia"/>
          <w:rtl/>
        </w:rPr>
        <w:t>לֹא־יִמָּצֵא</w:t>
      </w:r>
      <w:r>
        <w:rPr>
          <w:rtl/>
        </w:rPr>
        <w:t xml:space="preserve"> </w:t>
      </w:r>
      <w:r>
        <w:t xml:space="preserve">(Negation mit </w:t>
      </w:r>
      <w:r>
        <w:rPr>
          <w:rStyle w:val="Fett"/>
          <w:rFonts w:eastAsiaTheme="majorEastAsia"/>
          <w:rtl/>
        </w:rPr>
        <w:t>מצא</w:t>
      </w:r>
      <w:r>
        <w:t xml:space="preserve">, Niphal Imperfekt, 3. Person Maskulinum Singular, „finden", passivisch „gefunden werden"), </w:t>
      </w:r>
      <w:r>
        <w:rPr>
          <w:rStyle w:val="Fett"/>
          <w:rFonts w:eastAsiaTheme="majorEastAsia"/>
          <w:rtl/>
        </w:rPr>
        <w:t>בְךָ</w:t>
      </w:r>
      <w:r>
        <w:rPr>
          <w:rtl/>
        </w:rPr>
        <w:t xml:space="preserve"> </w:t>
      </w:r>
      <w:r>
        <w:t xml:space="preserve">(Präposition </w:t>
      </w:r>
      <w:r>
        <w:rPr>
          <w:rStyle w:val="Fett"/>
          <w:rFonts w:eastAsiaTheme="majorEastAsia"/>
          <w:rtl/>
        </w:rPr>
        <w:t>בְּ</w:t>
      </w:r>
      <w:r>
        <w:rPr>
          <w:rtl/>
        </w:rPr>
        <w:t xml:space="preserve"> </w:t>
      </w:r>
      <w:r>
        <w:t xml:space="preserve">mit Suffix 2. Person Maskulinum Singular, „in dir, bei dir"), </w:t>
      </w:r>
      <w:r>
        <w:rPr>
          <w:rStyle w:val="Fett"/>
          <w:rFonts w:eastAsiaTheme="majorEastAsia"/>
          <w:rtl/>
        </w:rPr>
        <w:t>מַעֲבִיר בְּנוֹ־וּבִתּוֹ בָּאֵשׁ</w:t>
      </w:r>
      <w:r>
        <w:rPr>
          <w:rtl/>
        </w:rPr>
        <w:t xml:space="preserve"> </w:t>
      </w:r>
      <w:r>
        <w:t xml:space="preserve">(Hiphil Partizip von </w:t>
      </w:r>
      <w:r>
        <w:rPr>
          <w:rStyle w:val="Fett"/>
          <w:rFonts w:eastAsiaTheme="majorEastAsia"/>
          <w:rtl/>
        </w:rPr>
        <w:t>עבר</w:t>
      </w:r>
      <w:r>
        <w:t xml:space="preserve">, „hinübergehen", in der Hiphil-Form „hinüberführen, durchgehen lassen", </w:t>
      </w:r>
      <w:r>
        <w:rPr>
          <w:rStyle w:val="Fett"/>
          <w:rFonts w:eastAsiaTheme="majorEastAsia"/>
          <w:rtl/>
        </w:rPr>
        <w:t>בֵּן</w:t>
      </w:r>
      <w:r>
        <w:t xml:space="preserve">, „Sohn", mit Suffix 3. Person Maskulinum Singular, koordiniert durch </w:t>
      </w:r>
      <w:r>
        <w:rPr>
          <w:rStyle w:val="Fett"/>
          <w:rFonts w:eastAsiaTheme="majorEastAsia"/>
          <w:rtl/>
        </w:rPr>
        <w:t>וּ</w:t>
      </w:r>
      <w:r>
        <w:rPr>
          <w:rtl/>
        </w:rPr>
        <w:t xml:space="preserve"> </w:t>
      </w:r>
      <w:r>
        <w:t xml:space="preserve">mit </w:t>
      </w:r>
      <w:r>
        <w:rPr>
          <w:rStyle w:val="Fett"/>
          <w:rFonts w:eastAsiaTheme="majorEastAsia"/>
          <w:rtl/>
        </w:rPr>
        <w:t>בַּת</w:t>
      </w:r>
      <w:r>
        <w:t xml:space="preserve">, „Tochter", mit Suffix 3. Person Maskulinum Singular, </w:t>
      </w:r>
      <w:r>
        <w:rPr>
          <w:rStyle w:val="Fett"/>
          <w:rFonts w:eastAsiaTheme="majorEastAsia"/>
          <w:rtl/>
        </w:rPr>
        <w:t>בָּאֵשׁ</w:t>
      </w:r>
      <w:r>
        <w:t xml:space="preserve">, Präposition </w:t>
      </w:r>
      <w:r>
        <w:rPr>
          <w:rStyle w:val="Fett"/>
          <w:rFonts w:eastAsiaTheme="majorEastAsia"/>
          <w:rtl/>
        </w:rPr>
        <w:t>בְּ</w:t>
      </w:r>
      <w:r>
        <w:rPr>
          <w:rtl/>
        </w:rPr>
        <w:t xml:space="preserve"> </w:t>
      </w:r>
      <w:r>
        <w:t xml:space="preserve">mit </w:t>
      </w:r>
      <w:r>
        <w:rPr>
          <w:rStyle w:val="Fett"/>
          <w:rFonts w:eastAsiaTheme="majorEastAsia"/>
          <w:rtl/>
        </w:rPr>
        <w:t>אֵשׁ</w:t>
      </w:r>
      <w:r>
        <w:t>, „Feuer", mit Artikel, „der seinen Sohn oder seine Tochter durchs Feuer gehen lässt").</w:t>
      </w:r>
    </w:p>
    <w:p w14:paraId="74CF99FE" w14:textId="77777777" w:rsidR="00DD2E9B" w:rsidRDefault="00DD2E9B" w:rsidP="00DD2E9B">
      <w:pPr>
        <w:pStyle w:val="whitespace-normal"/>
      </w:pPr>
      <w:r>
        <w:rPr>
          <w:rStyle w:val="Fett"/>
          <w:rFonts w:eastAsiaTheme="majorEastAsia"/>
          <w:rtl/>
        </w:rPr>
        <w:t>קֹסֵם קְסָמִים מְעוֹנֵן וּמְנַחֵשׁ וּמְכַשֵּׁף</w:t>
      </w:r>
      <w:r>
        <w:rPr>
          <w:rtl/>
        </w:rPr>
        <w:t xml:space="preserve"> </w:t>
      </w:r>
      <w:r>
        <w:t xml:space="preserve">sind fünf koordinierte Partizipien: </w:t>
      </w:r>
      <w:r>
        <w:rPr>
          <w:rStyle w:val="Fett"/>
          <w:rFonts w:eastAsiaTheme="majorEastAsia"/>
          <w:rtl/>
        </w:rPr>
        <w:t>קֹסֵם קְסָמִים</w:t>
      </w:r>
      <w:r>
        <w:rPr>
          <w:rtl/>
        </w:rPr>
        <w:t xml:space="preserve"> </w:t>
      </w:r>
      <w:r>
        <w:t xml:space="preserve">(Qal Partizip von </w:t>
      </w:r>
      <w:r>
        <w:rPr>
          <w:rStyle w:val="Fett"/>
          <w:rFonts w:eastAsiaTheme="majorEastAsia"/>
          <w:rtl/>
        </w:rPr>
        <w:t>קסם</w:t>
      </w:r>
      <w:r>
        <w:t xml:space="preserve">, „wahrsagen", mit Plural als Cognate Accusative, „Wahrsagerei treibend"), </w:t>
      </w:r>
      <w:r>
        <w:rPr>
          <w:rStyle w:val="Fett"/>
          <w:rFonts w:eastAsiaTheme="majorEastAsia"/>
          <w:rtl/>
        </w:rPr>
        <w:t>מְעוֹנֵן</w:t>
      </w:r>
      <w:r>
        <w:rPr>
          <w:rtl/>
        </w:rPr>
        <w:t xml:space="preserve"> </w:t>
      </w:r>
      <w:r>
        <w:t xml:space="preserve">(Poel Partizip von </w:t>
      </w:r>
      <w:r>
        <w:rPr>
          <w:rStyle w:val="Fett"/>
          <w:rFonts w:eastAsiaTheme="majorEastAsia"/>
          <w:rtl/>
        </w:rPr>
        <w:t>ענן</w:t>
      </w:r>
      <w:r>
        <w:t xml:space="preserve">, „Zauberei treiben, Wolkendeuter sein"), </w:t>
      </w:r>
      <w:r>
        <w:rPr>
          <w:rStyle w:val="Fett"/>
          <w:rFonts w:eastAsiaTheme="majorEastAsia"/>
          <w:rtl/>
        </w:rPr>
        <w:t>וּמְנַחֵשׁ</w:t>
      </w:r>
      <w:r>
        <w:rPr>
          <w:rtl/>
        </w:rPr>
        <w:t xml:space="preserve"> </w:t>
      </w:r>
      <w:r>
        <w:t xml:space="preserve">(koordiniert durch </w:t>
      </w:r>
      <w:r>
        <w:rPr>
          <w:rStyle w:val="Fett"/>
          <w:rFonts w:eastAsiaTheme="majorEastAsia"/>
          <w:rtl/>
        </w:rPr>
        <w:t>וּ</w:t>
      </w:r>
      <w:r>
        <w:rPr>
          <w:rtl/>
        </w:rPr>
        <w:t xml:space="preserve"> </w:t>
      </w:r>
      <w:r>
        <w:t xml:space="preserve">mit Piel Partizip von </w:t>
      </w:r>
      <w:r>
        <w:rPr>
          <w:rStyle w:val="Fett"/>
          <w:rFonts w:eastAsiaTheme="majorEastAsia"/>
          <w:rtl/>
        </w:rPr>
        <w:t>נחשׁ</w:t>
      </w:r>
      <w:r>
        <w:t xml:space="preserve">, „Beschwörung ausüben, Wahrsagen treiben"), </w:t>
      </w:r>
      <w:r>
        <w:rPr>
          <w:rStyle w:val="Fett"/>
          <w:rFonts w:eastAsiaTheme="majorEastAsia"/>
          <w:rtl/>
        </w:rPr>
        <w:t>וּמְכַשֵּׁף</w:t>
      </w:r>
      <w:r>
        <w:rPr>
          <w:rtl/>
        </w:rPr>
        <w:t xml:space="preserve"> </w:t>
      </w:r>
      <w:r>
        <w:t xml:space="preserve">(koordiniert durch </w:t>
      </w:r>
      <w:r>
        <w:rPr>
          <w:rStyle w:val="Fett"/>
          <w:rFonts w:eastAsiaTheme="majorEastAsia"/>
          <w:rtl/>
        </w:rPr>
        <w:t>וּ</w:t>
      </w:r>
      <w:r>
        <w:rPr>
          <w:rtl/>
        </w:rPr>
        <w:t xml:space="preserve"> </w:t>
      </w:r>
      <w:r>
        <w:t xml:space="preserve">mit Piel Partizip von </w:t>
      </w:r>
      <w:r>
        <w:rPr>
          <w:rStyle w:val="Fett"/>
          <w:rFonts w:eastAsiaTheme="majorEastAsia"/>
          <w:rtl/>
        </w:rPr>
        <w:t>כשׁף</w:t>
      </w:r>
      <w:r>
        <w:t>, „Magie ausüben, zaubern").</w:t>
      </w:r>
    </w:p>
    <w:p w14:paraId="5B53907F" w14:textId="2C408C19" w:rsidR="00DD2E9B" w:rsidRDefault="00DD2E9B" w:rsidP="00DD2E9B">
      <w:pPr>
        <w:pStyle w:val="whitespace-normal"/>
      </w:pPr>
      <w:r>
        <w:t xml:space="preserve">Der Vers beginnt die Liste verbotener okkulter Praktiken. Die erste, </w:t>
      </w:r>
      <w:r>
        <w:rPr>
          <w:rStyle w:val="Fett"/>
          <w:rFonts w:eastAsiaTheme="majorEastAsia"/>
          <w:rtl/>
        </w:rPr>
        <w:t>מַעֲבִיר בְּנוֹ־וּבִתּוֹ בָּאֵשׁ</w:t>
      </w:r>
      <w:r>
        <w:rPr>
          <w:rtl/>
        </w:rPr>
        <w:t xml:space="preserve"> </w:t>
      </w:r>
      <w:r>
        <w:t xml:space="preserve">(„seinen Sohn oder seine Tochter durchs Feuer gehen lassen"), bezieht sich auf Kinderopfer, besonders für den Gott Molech (vgl. </w:t>
      </w:r>
      <w:r w:rsidR="00664EB6">
        <w:t>Lev</w:t>
      </w:r>
      <w:r>
        <w:t xml:space="preserve"> 18,21; 20,2-5; </w:t>
      </w:r>
      <w:r w:rsidR="00664EB6">
        <w:t>2Kön</w:t>
      </w:r>
      <w:r>
        <w:t xml:space="preserve"> 16,3; 17,17.31; 21,6; 23,10; Jer 7,31; 19,5; 32,35; </w:t>
      </w:r>
      <w:r w:rsidR="00BF3748">
        <w:t>Hes</w:t>
      </w:r>
      <w:r>
        <w:t xml:space="preserve"> 16,21; 20,26.31; 23,37.39).</w:t>
      </w:r>
    </w:p>
    <w:p w14:paraId="2FDB2F48" w14:textId="0882E437" w:rsidR="00DD2E9B" w:rsidRDefault="00DD2E9B" w:rsidP="00DD2E9B">
      <w:pPr>
        <w:pStyle w:val="whitespace-normal"/>
      </w:pPr>
      <w:r>
        <w:t xml:space="preserve">Die vier folgenden Begriffe bezeichnen verschiedene mantische Praktiken: (1) </w:t>
      </w:r>
      <w:r>
        <w:rPr>
          <w:rStyle w:val="Fett"/>
          <w:rFonts w:eastAsiaTheme="majorEastAsia"/>
          <w:rtl/>
        </w:rPr>
        <w:t>קֹסֵם קְסָמִים</w:t>
      </w:r>
      <w:r>
        <w:rPr>
          <w:rtl/>
        </w:rPr>
        <w:t xml:space="preserve"> </w:t>
      </w:r>
      <w:r>
        <w:t xml:space="preserve">(„Wahrsagerei") – allgemeiner Begriff für Divination (vgl. Num 22,7; 23,23; Jos 13,22; </w:t>
      </w:r>
      <w:r w:rsidR="00664EB6">
        <w:t>1Sam</w:t>
      </w:r>
      <w:r>
        <w:t xml:space="preserve"> 6,2; </w:t>
      </w:r>
      <w:r w:rsidR="00664EB6">
        <w:t>2Kön</w:t>
      </w:r>
      <w:r>
        <w:t xml:space="preserve"> 17,17; </w:t>
      </w:r>
      <w:r w:rsidR="00BF3748">
        <w:t>Hes</w:t>
      </w:r>
      <w:r>
        <w:t xml:space="preserve"> 13,6.9.23; 21,26.27.28.29; 22,28; Mi 3,6.7.11), (2) </w:t>
      </w:r>
      <w:r>
        <w:rPr>
          <w:rStyle w:val="Fett"/>
          <w:rFonts w:eastAsiaTheme="majorEastAsia"/>
          <w:rtl/>
        </w:rPr>
        <w:t>מְעוֹנֵן</w:t>
      </w:r>
      <w:r>
        <w:rPr>
          <w:rtl/>
        </w:rPr>
        <w:t xml:space="preserve"> </w:t>
      </w:r>
      <w:r>
        <w:t xml:space="preserve">(„Zauberei, Wolkendeutung") – möglicherweise Wetterbeobachtung zur Zukunftsdeutung (vgl. </w:t>
      </w:r>
      <w:r w:rsidR="00664EB6">
        <w:t>Lev</w:t>
      </w:r>
      <w:r>
        <w:t xml:space="preserve"> 19,26; </w:t>
      </w:r>
      <w:r w:rsidR="00664EB6">
        <w:t>2Kön</w:t>
      </w:r>
      <w:r>
        <w:t xml:space="preserve"> 21,6; </w:t>
      </w:r>
      <w:r w:rsidR="00664EB6">
        <w:t>2Chr</w:t>
      </w:r>
      <w:r>
        <w:t xml:space="preserve"> 33,6), (3) </w:t>
      </w:r>
      <w:r>
        <w:rPr>
          <w:rStyle w:val="Fett"/>
          <w:rFonts w:eastAsiaTheme="majorEastAsia"/>
          <w:rtl/>
        </w:rPr>
        <w:t>מְנַחֵשׁ</w:t>
      </w:r>
      <w:r>
        <w:rPr>
          <w:rtl/>
        </w:rPr>
        <w:t xml:space="preserve"> </w:t>
      </w:r>
      <w:r>
        <w:t xml:space="preserve">(„Beschwörung, Wahrsagen") – möglicherweise Schlangenbeschwörung oder Omendeuten (vgl. Gen 30,27; 44,5.15; </w:t>
      </w:r>
      <w:r w:rsidR="00664EB6">
        <w:t>Lev</w:t>
      </w:r>
      <w:r>
        <w:t xml:space="preserve"> 19,26; </w:t>
      </w:r>
      <w:r w:rsidR="00664EB6">
        <w:t>2Kön</w:t>
      </w:r>
      <w:r>
        <w:t xml:space="preserve"> 17,17; 21,6; </w:t>
      </w:r>
      <w:r w:rsidR="00664EB6">
        <w:t>2Chr</w:t>
      </w:r>
      <w:r>
        <w:t xml:space="preserve"> 33,6), (4) </w:t>
      </w:r>
      <w:r>
        <w:rPr>
          <w:rStyle w:val="Fett"/>
          <w:rFonts w:eastAsiaTheme="majorEastAsia"/>
          <w:rtl/>
        </w:rPr>
        <w:t>מְכַשֵּׁף</w:t>
      </w:r>
      <w:r>
        <w:rPr>
          <w:rtl/>
        </w:rPr>
        <w:t xml:space="preserve"> </w:t>
      </w:r>
      <w:r>
        <w:t xml:space="preserve">(„Magie, Zauberei") – allgemeiner Begriff für Hexerei (vgl. Ex 7,11; 22,17; </w:t>
      </w:r>
      <w:r w:rsidR="00664EB6">
        <w:t>2Chr</w:t>
      </w:r>
      <w:r>
        <w:t xml:space="preserve"> 33,6; Mal 3,5).</w:t>
      </w:r>
    </w:p>
    <w:p w14:paraId="1944DBD0" w14:textId="338D1F5D" w:rsidR="00731060" w:rsidRDefault="00731060" w:rsidP="00DD2E9B">
      <w:pPr>
        <w:pStyle w:val="whitespace-normal"/>
      </w:pPr>
      <w:r>
        <w:rPr>
          <w:rStyle w:val="Fett"/>
        </w:rPr>
        <w:t>Die LXX</w:t>
      </w:r>
      <w:r>
        <w:t xml:space="preserve"> übersetzt </w:t>
      </w:r>
      <w:r w:rsidRPr="00731060">
        <w:rPr>
          <w:b/>
          <w:bCs/>
          <w:rtl/>
        </w:rPr>
        <w:t>מַעֲבִיר בְּנוֹ־וּבִתּוֹ בָּאֵשׁ</w:t>
      </w:r>
      <w:r>
        <w:t xml:space="preserve"> (einer, der seinen Sohn oder seine Tochter durch Feuer gehen lässt) mit π</w:t>
      </w:r>
      <w:proofErr w:type="spellStart"/>
      <w:r>
        <w:t>ερικ</w:t>
      </w:r>
      <w:proofErr w:type="spellEnd"/>
      <w:r>
        <w:t xml:space="preserve">αθαίρων </w:t>
      </w:r>
      <w:proofErr w:type="spellStart"/>
      <w:r>
        <w:t>τὸν</w:t>
      </w:r>
      <w:proofErr w:type="spellEnd"/>
      <w:r>
        <w:t xml:space="preserve"> </w:t>
      </w:r>
      <w:proofErr w:type="spellStart"/>
      <w:r>
        <w:t>υἱὸν</w:t>
      </w:r>
      <w:proofErr w:type="spellEnd"/>
      <w:r>
        <w:t xml:space="preserve"> α</w:t>
      </w:r>
      <w:proofErr w:type="spellStart"/>
      <w:r>
        <w:t>ὐτοῦ</w:t>
      </w:r>
      <w:proofErr w:type="spellEnd"/>
      <w:r>
        <w:t xml:space="preserve"> ἢ τὴν </w:t>
      </w:r>
      <w:proofErr w:type="spellStart"/>
      <w:r>
        <w:t>θυγ</w:t>
      </w:r>
      <w:proofErr w:type="spellEnd"/>
      <w:r>
        <w:t>ατέρα α</w:t>
      </w:r>
      <w:proofErr w:type="spellStart"/>
      <w:r>
        <w:t>ὐτοῦ</w:t>
      </w:r>
      <w:proofErr w:type="spellEnd"/>
      <w:r>
        <w:t xml:space="preserve"> </w:t>
      </w:r>
      <w:proofErr w:type="spellStart"/>
      <w:r>
        <w:t>ἐν</w:t>
      </w:r>
      <w:proofErr w:type="spellEnd"/>
      <w:r>
        <w:t xml:space="preserve"> π</w:t>
      </w:r>
      <w:proofErr w:type="spellStart"/>
      <w:r>
        <w:t>υρί</w:t>
      </w:r>
      <w:proofErr w:type="spellEnd"/>
      <w:r>
        <w:t xml:space="preserve"> (einer, der seinen Sohn oder seine Tochter durch Feuer reinigt) – eine interpretierende Übersetzung, die das rituelle Element betont. Die magischen Praktiken werden mit spezifischen griechischen Begriffen wiedergegeben: </w:t>
      </w:r>
      <w:r w:rsidRPr="00731060">
        <w:rPr>
          <w:b/>
          <w:bCs/>
          <w:rtl/>
        </w:rPr>
        <w:t>קֹסֵם קְסָמִים</w:t>
      </w:r>
      <w:r>
        <w:t xml:space="preserve"> mit μα</w:t>
      </w:r>
      <w:proofErr w:type="spellStart"/>
      <w:r>
        <w:t>ντευόμενος</w:t>
      </w:r>
      <w:proofErr w:type="spellEnd"/>
      <w:r>
        <w:t xml:space="preserve"> μα</w:t>
      </w:r>
      <w:proofErr w:type="spellStart"/>
      <w:r>
        <w:t>ντεί</w:t>
      </w:r>
      <w:proofErr w:type="spellEnd"/>
      <w:r>
        <w:t xml:space="preserve">αν (einer, der Wahrsagung wahrsagt), </w:t>
      </w:r>
      <w:r>
        <w:rPr>
          <w:rtl/>
        </w:rPr>
        <w:t>מְעוֹנֵן</w:t>
      </w:r>
      <w:r>
        <w:t xml:space="preserve"> mit </w:t>
      </w:r>
      <w:proofErr w:type="spellStart"/>
      <w:r>
        <w:t>κληδονιζόμενος</w:t>
      </w:r>
      <w:proofErr w:type="spellEnd"/>
      <w:r>
        <w:t xml:space="preserve"> (einer, der Omen deutet), </w:t>
      </w:r>
      <w:r>
        <w:rPr>
          <w:rtl/>
        </w:rPr>
        <w:t>מְנַחֵשׁ</w:t>
      </w:r>
      <w:r>
        <w:t xml:space="preserve"> mit </w:t>
      </w:r>
      <w:proofErr w:type="spellStart"/>
      <w:r>
        <w:t>οἰωνιζόμενος</w:t>
      </w:r>
      <w:proofErr w:type="spellEnd"/>
      <w:r>
        <w:t xml:space="preserve"> (einer, der Vogelzeichen deutet), </w:t>
      </w:r>
      <w:r>
        <w:rPr>
          <w:rtl/>
        </w:rPr>
        <w:t>וּמְכַשֵּׁף</w:t>
      </w:r>
      <w:r>
        <w:t xml:space="preserve"> mit </w:t>
      </w:r>
      <w:proofErr w:type="spellStart"/>
      <w:r>
        <w:t>φάρμ</w:t>
      </w:r>
      <w:proofErr w:type="spellEnd"/>
      <w:r>
        <w:t>ακος (Giftmischer, Zauberer).</w:t>
      </w:r>
    </w:p>
    <w:p w14:paraId="06B19A27" w14:textId="77777777" w:rsidR="00DD2E9B" w:rsidRDefault="00DD2E9B" w:rsidP="00DD2E9B">
      <w:pPr>
        <w:pStyle w:val="whitespace-normal"/>
      </w:pPr>
      <w:r>
        <w:rPr>
          <w:rStyle w:val="Fett"/>
          <w:rFonts w:eastAsiaTheme="majorEastAsia"/>
        </w:rPr>
        <w:t>Die Satzstruktur:</w:t>
      </w:r>
      <w:r>
        <w:t xml:space="preserve"> Negativer Verbalsatz mit fünf koordinierten Partizipien (nicht soll gefunden werden in dir, der hinübergehen lässt seinen Sohn oder seine Tochter durchs Feuer, Wahrsagerei treibend, Zauberei, und Beschwörung ausübend, und Magie ausübend).</w:t>
      </w:r>
    </w:p>
    <w:p w14:paraId="66737819" w14:textId="77777777" w:rsidR="00DD2E9B" w:rsidRDefault="00DD2E9B" w:rsidP="00DD2E9B">
      <w:pPr>
        <w:pStyle w:val="whitespace-normal"/>
      </w:pPr>
      <w:r>
        <w:t>Der Vers verbietet: Bei dir soll niemand gefunden werden, der Kinderopfer bringt oder irgendwelche Wahrsagerei, Zauberei, Beschwörung oder Magie betreibt.</w:t>
      </w:r>
    </w:p>
    <w:p w14:paraId="76D33E2E"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18,11</w:t>
      </w:r>
    </w:p>
    <w:p w14:paraId="21056885" w14:textId="77777777" w:rsidR="00DD2E9B" w:rsidRDefault="00DD2E9B" w:rsidP="00DD2E9B">
      <w:pPr>
        <w:pStyle w:val="whitespace-normal"/>
      </w:pPr>
      <w:r>
        <w:rPr>
          <w:rStyle w:val="Fett"/>
          <w:rFonts w:eastAsiaTheme="majorEastAsia"/>
        </w:rPr>
        <w:t>Hebräisch:</w:t>
      </w:r>
      <w:r>
        <w:t xml:space="preserve"> </w:t>
      </w:r>
      <w:r>
        <w:rPr>
          <w:rtl/>
        </w:rPr>
        <w:t>וְחֹבֵ֖ר חָ֑בֶר וְשֹׁאֵ֥ל אוֹב֙ וְיִדְּעֹנִ֔י וְדֹרֵ֖שׁ אֶל־הַמֵּתִֽים׃</w:t>
      </w:r>
    </w:p>
    <w:p w14:paraId="678768E4" w14:textId="77777777" w:rsidR="00DD2E9B" w:rsidRDefault="00DD2E9B" w:rsidP="00DD2E9B">
      <w:pPr>
        <w:pStyle w:val="whitespace-normal"/>
      </w:pPr>
      <w:r>
        <w:rPr>
          <w:rStyle w:val="Fett"/>
          <w:rFonts w:eastAsiaTheme="majorEastAsia"/>
        </w:rPr>
        <w:lastRenderedPageBreak/>
        <w:t>Deutsch:</w:t>
      </w:r>
      <w:r>
        <w:t xml:space="preserve"> und Bann aussprechend und Totengeister und Wahrsagegeist befragend und die Toten aufsuchend.</w:t>
      </w:r>
    </w:p>
    <w:p w14:paraId="50CFE3F8" w14:textId="77777777" w:rsidR="00DD2E9B" w:rsidRDefault="004F5CEB" w:rsidP="00DD2E9B">
      <w:r>
        <w:rPr>
          <w:noProof/>
        </w:rPr>
        <w:pict w14:anchorId="1C64DF5E">
          <v:rect id="_x0000_i1520" style="width:0;height:1.5pt" o:hralign="center" o:hrstd="t" o:hr="t" fillcolor="#a0a0a0" stroked="f"/>
        </w:pict>
      </w:r>
    </w:p>
    <w:p w14:paraId="52698592" w14:textId="77777777" w:rsidR="00DD2E9B" w:rsidRDefault="00DD2E9B" w:rsidP="00DD2E9B">
      <w:pPr>
        <w:pStyle w:val="whitespace-normal"/>
      </w:pPr>
      <w:r>
        <w:rPr>
          <w:rStyle w:val="Fett"/>
          <w:rFonts w:eastAsiaTheme="majorEastAsia"/>
        </w:rPr>
        <w:t>Kommentar:</w:t>
      </w:r>
      <w:r>
        <w:t xml:space="preserve"> </w:t>
      </w:r>
      <w:r>
        <w:rPr>
          <w:rStyle w:val="Fett"/>
          <w:rFonts w:eastAsiaTheme="majorEastAsia"/>
          <w:rtl/>
        </w:rPr>
        <w:t>וְחֹבֵר חָבֶר</w:t>
      </w:r>
      <w:r>
        <w:rPr>
          <w:rtl/>
        </w:rPr>
        <w:t xml:space="preserve"> </w:t>
      </w:r>
      <w:r>
        <w:t xml:space="preserve">ist ein weiteres Partizip: </w:t>
      </w:r>
      <w:r>
        <w:rPr>
          <w:rStyle w:val="Fett"/>
          <w:rFonts w:eastAsiaTheme="majorEastAsia"/>
          <w:rtl/>
        </w:rPr>
        <w:t>וְחֹבֵר חָבֶר</w:t>
      </w:r>
      <w:r>
        <w:rPr>
          <w:rtl/>
        </w:rPr>
        <w:t xml:space="preserve"> </w:t>
      </w:r>
      <w:r>
        <w:t xml:space="preserve">(koordiniert durch </w:t>
      </w:r>
      <w:r>
        <w:rPr>
          <w:rStyle w:val="Fett"/>
          <w:rFonts w:eastAsiaTheme="majorEastAsia"/>
          <w:rtl/>
        </w:rPr>
        <w:t>וְ</w:t>
      </w:r>
      <w:r>
        <w:rPr>
          <w:rtl/>
        </w:rPr>
        <w:t xml:space="preserve"> </w:t>
      </w:r>
      <w:r>
        <w:t xml:space="preserve">mit Qal Partizip von </w:t>
      </w:r>
      <w:r>
        <w:rPr>
          <w:rStyle w:val="Fett"/>
          <w:rFonts w:eastAsiaTheme="majorEastAsia"/>
          <w:rtl/>
        </w:rPr>
        <w:t>חבר</w:t>
      </w:r>
      <w:r>
        <w:t xml:space="preserve">, „verbinden, zusammenfügen", mit Nomen </w:t>
      </w:r>
      <w:r>
        <w:rPr>
          <w:rStyle w:val="Fett"/>
          <w:rFonts w:eastAsiaTheme="majorEastAsia"/>
          <w:rtl/>
        </w:rPr>
        <w:t>חֶבֶר</w:t>
      </w:r>
      <w:r>
        <w:t>, „Bann, Zauberspruch", als Cognate Accusative, „Bann aussprechend, Zauber bindend").</w:t>
      </w:r>
    </w:p>
    <w:p w14:paraId="35362222" w14:textId="77777777" w:rsidR="00DD2E9B" w:rsidRDefault="00DD2E9B" w:rsidP="00DD2E9B">
      <w:pPr>
        <w:pStyle w:val="whitespace-normal"/>
      </w:pPr>
      <w:r>
        <w:rPr>
          <w:rStyle w:val="Fett"/>
          <w:rFonts w:eastAsiaTheme="majorEastAsia"/>
          <w:rtl/>
        </w:rPr>
        <w:t>וְשֹׁאֵל אוֹב וְיִדְּעֹנִי</w:t>
      </w:r>
      <w:r>
        <w:rPr>
          <w:rtl/>
        </w:rPr>
        <w:t xml:space="preserve"> </w:t>
      </w:r>
      <w:r>
        <w:t xml:space="preserve">sind zwei weitere koordinierte Partizipien: </w:t>
      </w:r>
      <w:r>
        <w:rPr>
          <w:rStyle w:val="Fett"/>
          <w:rFonts w:eastAsiaTheme="majorEastAsia"/>
          <w:rtl/>
        </w:rPr>
        <w:t>וְשֹׁאֵל אוֹב</w:t>
      </w:r>
      <w:r>
        <w:rPr>
          <w:rtl/>
        </w:rPr>
        <w:t xml:space="preserve"> </w:t>
      </w:r>
      <w:r>
        <w:t xml:space="preserve">(koordiniert durch </w:t>
      </w:r>
      <w:r>
        <w:rPr>
          <w:rStyle w:val="Fett"/>
          <w:rFonts w:eastAsiaTheme="majorEastAsia"/>
          <w:rtl/>
        </w:rPr>
        <w:t>וְ</w:t>
      </w:r>
      <w:r>
        <w:rPr>
          <w:rtl/>
        </w:rPr>
        <w:t xml:space="preserve"> </w:t>
      </w:r>
      <w:r>
        <w:t xml:space="preserve">mit Qal Partizip von </w:t>
      </w:r>
      <w:r>
        <w:rPr>
          <w:rStyle w:val="Fett"/>
          <w:rFonts w:eastAsiaTheme="majorEastAsia"/>
          <w:rtl/>
        </w:rPr>
        <w:t>שׁאל</w:t>
      </w:r>
      <w:r>
        <w:t xml:space="preserve">, „fragen, befragen", </w:t>
      </w:r>
      <w:r>
        <w:rPr>
          <w:rStyle w:val="Fett"/>
          <w:rFonts w:eastAsiaTheme="majorEastAsia"/>
          <w:rtl/>
        </w:rPr>
        <w:t>אוֹב</w:t>
      </w:r>
      <w:r>
        <w:t xml:space="preserve">, „Totengeist, Geisterbeschwörer", „Totengeist befragend"), </w:t>
      </w:r>
      <w:r>
        <w:rPr>
          <w:rStyle w:val="Fett"/>
          <w:rFonts w:eastAsiaTheme="majorEastAsia"/>
          <w:rtl/>
        </w:rPr>
        <w:t>וְיִדְּעֹנִי</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יִדְּעֹנִי</w:t>
      </w:r>
      <w:r>
        <w:t>, „Wahrsagegeist, Totenbefragungsgeist").</w:t>
      </w:r>
    </w:p>
    <w:p w14:paraId="78C841FF" w14:textId="77777777" w:rsidR="00DD2E9B" w:rsidRDefault="00DD2E9B" w:rsidP="00DD2E9B">
      <w:pPr>
        <w:pStyle w:val="whitespace-normal"/>
      </w:pPr>
      <w:r>
        <w:rPr>
          <w:rStyle w:val="Fett"/>
          <w:rFonts w:eastAsiaTheme="majorEastAsia"/>
          <w:rtl/>
        </w:rPr>
        <w:t>וְדֹרֵשׁ אֶל־הַמֵּתִים</w:t>
      </w:r>
      <w:r>
        <w:rPr>
          <w:rtl/>
        </w:rPr>
        <w:t xml:space="preserve"> </w:t>
      </w:r>
      <w:r>
        <w:t xml:space="preserve">ist das letzte Partizip: </w:t>
      </w:r>
      <w:r>
        <w:rPr>
          <w:rStyle w:val="Fett"/>
          <w:rFonts w:eastAsiaTheme="majorEastAsia"/>
          <w:rtl/>
        </w:rPr>
        <w:t>וְדֹרֵשׁ</w:t>
      </w:r>
      <w:r>
        <w:rPr>
          <w:rtl/>
        </w:rPr>
        <w:t xml:space="preserve"> </w:t>
      </w:r>
      <w:r>
        <w:t xml:space="preserve">(koordiniert durch </w:t>
      </w:r>
      <w:r>
        <w:rPr>
          <w:rStyle w:val="Fett"/>
          <w:rFonts w:eastAsiaTheme="majorEastAsia"/>
          <w:rtl/>
        </w:rPr>
        <w:t>וְ</w:t>
      </w:r>
      <w:r>
        <w:rPr>
          <w:rtl/>
        </w:rPr>
        <w:t xml:space="preserve"> </w:t>
      </w:r>
      <w:r>
        <w:t xml:space="preserve">mit Qal Partizip von </w:t>
      </w:r>
      <w:r>
        <w:rPr>
          <w:rStyle w:val="Fett"/>
          <w:rFonts w:eastAsiaTheme="majorEastAsia"/>
          <w:rtl/>
        </w:rPr>
        <w:t>דרשׁ</w:t>
      </w:r>
      <w:r>
        <w:t xml:space="preserve">, „suchen, erforschen, befragen"), </w:t>
      </w:r>
      <w:r>
        <w:rPr>
          <w:rStyle w:val="Fett"/>
          <w:rFonts w:eastAsiaTheme="majorEastAsia"/>
          <w:rtl/>
        </w:rPr>
        <w:t>אֶל־הַמֵּתִים</w:t>
      </w:r>
      <w:r>
        <w:rPr>
          <w:rtl/>
        </w:rPr>
        <w:t xml:space="preserve"> </w:t>
      </w:r>
      <w:r>
        <w:t xml:space="preserve">(Präposition </w:t>
      </w:r>
      <w:r>
        <w:rPr>
          <w:rStyle w:val="Fett"/>
          <w:rFonts w:eastAsiaTheme="majorEastAsia"/>
          <w:rtl/>
        </w:rPr>
        <w:t>אֶל</w:t>
      </w:r>
      <w:r>
        <w:rPr>
          <w:rtl/>
        </w:rPr>
        <w:t xml:space="preserve"> </w:t>
      </w:r>
      <w:r>
        <w:t xml:space="preserve">mit </w:t>
      </w:r>
      <w:r>
        <w:rPr>
          <w:rStyle w:val="Fett"/>
          <w:rFonts w:eastAsiaTheme="majorEastAsia"/>
          <w:rtl/>
        </w:rPr>
        <w:t>מות</w:t>
      </w:r>
      <w:r>
        <w:t>, Qal Partizip Plural, „Tote", mit Artikel, „die Toten aufsuchend, befragend").</w:t>
      </w:r>
    </w:p>
    <w:p w14:paraId="3598D710" w14:textId="6A3598D6" w:rsidR="00DD2E9B" w:rsidRDefault="00DD2E9B" w:rsidP="00DD2E9B">
      <w:pPr>
        <w:pStyle w:val="whitespace-normal"/>
      </w:pPr>
      <w:r>
        <w:t xml:space="preserve">Der Vers setzt die Liste okkulter Praktiken fort mit vier weiteren Begriffen: (1) </w:t>
      </w:r>
      <w:r>
        <w:rPr>
          <w:rStyle w:val="Fett"/>
          <w:rFonts w:eastAsiaTheme="majorEastAsia"/>
          <w:rtl/>
        </w:rPr>
        <w:t>חֹבֵר חָבֶר</w:t>
      </w:r>
      <w:r>
        <w:rPr>
          <w:rtl/>
        </w:rPr>
        <w:t xml:space="preserve"> </w:t>
      </w:r>
      <w:r>
        <w:t xml:space="preserve">(„Bann aussprechend") – möglicherweise Zaubersprüche binden (vgl. Ps 58,6), (2) </w:t>
      </w:r>
      <w:r>
        <w:rPr>
          <w:rStyle w:val="Fett"/>
          <w:rFonts w:eastAsiaTheme="majorEastAsia"/>
          <w:rtl/>
        </w:rPr>
        <w:t>שֹׁאֵל אוֹב</w:t>
      </w:r>
      <w:r>
        <w:rPr>
          <w:rtl/>
        </w:rPr>
        <w:t xml:space="preserve"> </w:t>
      </w:r>
      <w:r>
        <w:t xml:space="preserve">(„Totengeist befragend") – Beschwörung von Totengeistern; </w:t>
      </w:r>
      <w:r>
        <w:rPr>
          <w:rStyle w:val="Fett"/>
          <w:rFonts w:eastAsiaTheme="majorEastAsia"/>
          <w:rtl/>
        </w:rPr>
        <w:t>אוֹב</w:t>
      </w:r>
      <w:r>
        <w:rPr>
          <w:rtl/>
        </w:rPr>
        <w:t xml:space="preserve"> </w:t>
      </w:r>
      <w:r>
        <w:t xml:space="preserve">kann sowohl den Geist selbst als auch den Medium bezeichnen (vgl. </w:t>
      </w:r>
      <w:r w:rsidR="00664EB6">
        <w:t>Lev</w:t>
      </w:r>
      <w:r>
        <w:t xml:space="preserve"> 19,31; 20,6.27; </w:t>
      </w:r>
      <w:r w:rsidR="00664EB6">
        <w:t>1Sam</w:t>
      </w:r>
      <w:r>
        <w:t xml:space="preserve"> 28,3.7.8.9; </w:t>
      </w:r>
      <w:r w:rsidR="00664EB6">
        <w:t>2Kön</w:t>
      </w:r>
      <w:r>
        <w:t xml:space="preserve"> 21,6; 23,24; Jes 8,19; 19,3; 29,4; </w:t>
      </w:r>
      <w:r w:rsidR="00664EB6">
        <w:t>1Chr</w:t>
      </w:r>
      <w:r>
        <w:t xml:space="preserve"> 10,13; </w:t>
      </w:r>
      <w:r w:rsidR="00664EB6">
        <w:t>2Chr</w:t>
      </w:r>
      <w:r>
        <w:t xml:space="preserve"> 33,6), (3) </w:t>
      </w:r>
      <w:r>
        <w:rPr>
          <w:rStyle w:val="Fett"/>
          <w:rFonts w:eastAsiaTheme="majorEastAsia"/>
          <w:rtl/>
        </w:rPr>
        <w:t>יִדְּעֹנִי</w:t>
      </w:r>
      <w:r>
        <w:rPr>
          <w:rtl/>
        </w:rPr>
        <w:t xml:space="preserve"> </w:t>
      </w:r>
      <w:r>
        <w:t xml:space="preserve">(„Wahrsagegeist") – ein anderer Begriff für Wahrsagegeister, oft parallel zu </w:t>
      </w:r>
      <w:r>
        <w:rPr>
          <w:rStyle w:val="Fett"/>
          <w:rFonts w:eastAsiaTheme="majorEastAsia"/>
          <w:rtl/>
        </w:rPr>
        <w:t>אוֹב</w:t>
      </w:r>
      <w:r>
        <w:rPr>
          <w:rtl/>
        </w:rPr>
        <w:t xml:space="preserve"> </w:t>
      </w:r>
      <w:r>
        <w:t xml:space="preserve">(vgl. </w:t>
      </w:r>
      <w:r w:rsidR="00664EB6">
        <w:t>Lev</w:t>
      </w:r>
      <w:r>
        <w:t xml:space="preserve"> 19,31; 20,6.27; </w:t>
      </w:r>
      <w:r w:rsidR="00664EB6">
        <w:t>1Sam</w:t>
      </w:r>
      <w:r>
        <w:t xml:space="preserve"> 28,3.9; </w:t>
      </w:r>
      <w:r w:rsidR="00664EB6">
        <w:t>2Kön</w:t>
      </w:r>
      <w:r>
        <w:t xml:space="preserve"> 21,6; 23,24; Jes 8,19; 19,3; </w:t>
      </w:r>
      <w:r w:rsidR="00664EB6">
        <w:t>2Chr</w:t>
      </w:r>
      <w:r>
        <w:t xml:space="preserve"> 33,6), (4) </w:t>
      </w:r>
      <w:r>
        <w:rPr>
          <w:rStyle w:val="Fett"/>
          <w:rFonts w:eastAsiaTheme="majorEastAsia"/>
          <w:rtl/>
        </w:rPr>
        <w:t>דֹרֵשׁ אֶל־הַמֵּתִים</w:t>
      </w:r>
      <w:r>
        <w:rPr>
          <w:rtl/>
        </w:rPr>
        <w:t xml:space="preserve"> </w:t>
      </w:r>
      <w:r>
        <w:t xml:space="preserve">(„die Toten befragend") – Nekromantie, Totenbefragung (vgl. </w:t>
      </w:r>
      <w:r w:rsidR="00664EB6">
        <w:t>1Sam</w:t>
      </w:r>
      <w:r>
        <w:t xml:space="preserve"> 28,8-19; Jes 8,19).</w:t>
      </w:r>
    </w:p>
    <w:p w14:paraId="437F4B5E" w14:textId="08CCF5CE" w:rsidR="00DD2E9B" w:rsidRDefault="00DD2E9B" w:rsidP="00DD2E9B">
      <w:pPr>
        <w:pStyle w:val="whitespace-normal"/>
      </w:pPr>
      <w:r>
        <w:t xml:space="preserve">Die Kombination </w:t>
      </w:r>
      <w:r>
        <w:rPr>
          <w:rStyle w:val="Fett"/>
          <w:rFonts w:eastAsiaTheme="majorEastAsia"/>
          <w:rtl/>
        </w:rPr>
        <w:t>אוֹב וְיִדְּעֹנִי</w:t>
      </w:r>
      <w:r>
        <w:rPr>
          <w:rtl/>
        </w:rPr>
        <w:t xml:space="preserve"> </w:t>
      </w:r>
      <w:r>
        <w:t xml:space="preserve">(„Totengeist und Wahrsagegeist") ist eine feste Formel (vgl. </w:t>
      </w:r>
      <w:r w:rsidR="00664EB6">
        <w:t>Lev</w:t>
      </w:r>
      <w:r>
        <w:t xml:space="preserve"> 19,31; 20,6.27; Jes 8,19; 19,3). Die Praxis der Totenbefragung wird in der berühmten Erzählung von Saul und der Totenbeschwörerin von En-Dor illustriert (</w:t>
      </w:r>
      <w:r w:rsidR="00664EB6">
        <w:t>1Sam</w:t>
      </w:r>
      <w:r>
        <w:t xml:space="preserve"> 28).</w:t>
      </w:r>
    </w:p>
    <w:p w14:paraId="0C47302F" w14:textId="31574425" w:rsidR="00731060" w:rsidRDefault="00731060" w:rsidP="00DD2E9B">
      <w:pPr>
        <w:pStyle w:val="whitespace-normal"/>
      </w:pPr>
      <w:r>
        <w:rPr>
          <w:rStyle w:val="Fett"/>
        </w:rPr>
        <w:t>Die LXX</w:t>
      </w:r>
      <w:r>
        <w:t xml:space="preserve"> übersetzt </w:t>
      </w:r>
      <w:r>
        <w:rPr>
          <w:rtl/>
        </w:rPr>
        <w:t>ו</w:t>
      </w:r>
      <w:r w:rsidRPr="00731060">
        <w:rPr>
          <w:b/>
          <w:bCs/>
          <w:rtl/>
        </w:rPr>
        <w:t>ְחֹבֵר חָבֶר</w:t>
      </w:r>
      <w:r>
        <w:t xml:space="preserve"> (einer, der Bann bindet) mit ἐπ</w:t>
      </w:r>
      <w:proofErr w:type="spellStart"/>
      <w:r>
        <w:t>ᾴδων</w:t>
      </w:r>
      <w:proofErr w:type="spellEnd"/>
      <w:r>
        <w:t xml:space="preserve"> ἐπα</w:t>
      </w:r>
      <w:proofErr w:type="spellStart"/>
      <w:r>
        <w:t>οιδήν</w:t>
      </w:r>
      <w:proofErr w:type="spellEnd"/>
      <w:r>
        <w:t xml:space="preserve"> (einer, der Beschwörung besingt), </w:t>
      </w:r>
      <w:r w:rsidRPr="00731060">
        <w:rPr>
          <w:b/>
          <w:bCs/>
          <w:rtl/>
        </w:rPr>
        <w:t>אוֹב</w:t>
      </w:r>
      <w:r>
        <w:t xml:space="preserve"> mit </w:t>
      </w:r>
      <w:proofErr w:type="spellStart"/>
      <w:r>
        <w:t>ἐγγ</w:t>
      </w:r>
      <w:proofErr w:type="spellEnd"/>
      <w:r>
        <w:t xml:space="preserve">αστρίμυθος (Bauchredner, Totenbeschwörer), </w:t>
      </w:r>
      <w:r w:rsidRPr="00731060">
        <w:rPr>
          <w:b/>
          <w:bCs/>
          <w:rtl/>
        </w:rPr>
        <w:t>יִדְּעֹנִי</w:t>
      </w:r>
      <w:r>
        <w:t xml:space="preserve"> mit </w:t>
      </w:r>
      <w:proofErr w:type="spellStart"/>
      <w:r>
        <w:t>τερ</w:t>
      </w:r>
      <w:proofErr w:type="spellEnd"/>
      <w:r>
        <w:t xml:space="preserve">ατοσκόπος (Zeichendeuter), </w:t>
      </w:r>
      <w:r>
        <w:rPr>
          <w:rtl/>
        </w:rPr>
        <w:t>וְדֹרֵשׁ אֶל־הַמֵּתִים</w:t>
      </w:r>
      <w:r>
        <w:t xml:space="preserve"> mit ἐπ</w:t>
      </w:r>
      <w:proofErr w:type="spellStart"/>
      <w:r>
        <w:t>ερωτῶν</w:t>
      </w:r>
      <w:proofErr w:type="spellEnd"/>
      <w:r>
        <w:t xml:space="preserve"> </w:t>
      </w:r>
      <w:proofErr w:type="spellStart"/>
      <w:r>
        <w:t>τοὺς</w:t>
      </w:r>
      <w:proofErr w:type="spellEnd"/>
      <w:r>
        <w:t xml:space="preserve"> </w:t>
      </w:r>
      <w:proofErr w:type="spellStart"/>
      <w:r>
        <w:t>νεκρούς</w:t>
      </w:r>
      <w:proofErr w:type="spellEnd"/>
      <w:r>
        <w:t xml:space="preserve"> (einer, der die Toten befragt) – eine Reihe von spezifischen griechischen Begriffen für okkulte Praktiken.</w:t>
      </w:r>
    </w:p>
    <w:p w14:paraId="057B24BA" w14:textId="77777777" w:rsidR="00DD2E9B" w:rsidRDefault="00DD2E9B" w:rsidP="00DD2E9B">
      <w:pPr>
        <w:pStyle w:val="whitespace-normal"/>
      </w:pPr>
      <w:r>
        <w:rPr>
          <w:rStyle w:val="Fett"/>
          <w:rFonts w:eastAsiaTheme="majorEastAsia"/>
        </w:rPr>
        <w:t>Die Satzstruktur:</w:t>
      </w:r>
      <w:r>
        <w:t xml:space="preserve"> Vier koordinierte Partizipien (und Bann aussprechend, und Totengeist befragend und Wahrsagegeist, und die Toten aufsuchend).</w:t>
      </w:r>
    </w:p>
    <w:p w14:paraId="603CA34C" w14:textId="77777777" w:rsidR="00DD2E9B" w:rsidRDefault="00DD2E9B" w:rsidP="00DD2E9B">
      <w:pPr>
        <w:pStyle w:val="whitespace-normal"/>
      </w:pPr>
      <w:r>
        <w:t>Der Vers setzt die Verbotsliste fort: Zaubersprüche binden, Totengeister und Wahrsagegeister befragen, die Toten aufsuchen.</w:t>
      </w:r>
    </w:p>
    <w:p w14:paraId="11518F80"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18,12</w:t>
      </w:r>
    </w:p>
    <w:p w14:paraId="00FAE2C4" w14:textId="77777777" w:rsidR="00DD2E9B" w:rsidRDefault="00DD2E9B" w:rsidP="00DD2E9B">
      <w:pPr>
        <w:pStyle w:val="whitespace-normal"/>
      </w:pPr>
      <w:r>
        <w:rPr>
          <w:rStyle w:val="Fett"/>
          <w:rFonts w:eastAsiaTheme="majorEastAsia"/>
        </w:rPr>
        <w:t>Hebräisch:</w:t>
      </w:r>
      <w:r>
        <w:t xml:space="preserve"> </w:t>
      </w:r>
      <w:r>
        <w:rPr>
          <w:rtl/>
        </w:rPr>
        <w:t>כִּֽי־תוֹעֲבַ֥ת יְהוָ֖ה כָּל־עֹ֣שֵׂה אֵ֑לֶּה וּבִגְלַל֙ הַתּוֹעֵבֹ֣ת הָאֵ֔לֶּה יְהוָ֣ה אֱלֹהֶ֔יךָ מוֹרִ֥ישׁ אוֹתָ֖ם מִפָּנֶֽיךָ׃</w:t>
      </w:r>
    </w:p>
    <w:p w14:paraId="33DA34B2" w14:textId="77777777" w:rsidR="00DD2E9B" w:rsidRDefault="00DD2E9B" w:rsidP="00DD2E9B">
      <w:pPr>
        <w:pStyle w:val="whitespace-normal"/>
      </w:pPr>
      <w:r>
        <w:rPr>
          <w:rStyle w:val="Fett"/>
          <w:rFonts w:eastAsiaTheme="majorEastAsia"/>
        </w:rPr>
        <w:t>Deutsch:</w:t>
      </w:r>
      <w:r>
        <w:t xml:space="preserve"> Denn ein Gräuel für den Ewigen ist jeder, der diese Dinge tut; und wegen dieser Gräuel vertreibt der Ewige, dein Gott, sie vor dir.</w:t>
      </w:r>
    </w:p>
    <w:p w14:paraId="5524730C" w14:textId="77777777" w:rsidR="00DD2E9B" w:rsidRDefault="004F5CEB" w:rsidP="00DD2E9B">
      <w:r>
        <w:rPr>
          <w:noProof/>
        </w:rPr>
        <w:lastRenderedPageBreak/>
        <w:pict w14:anchorId="64D9D95C">
          <v:rect id="_x0000_i1521" style="width:0;height:1.5pt" o:hralign="center" o:hrstd="t" o:hr="t" fillcolor="#a0a0a0" stroked="f"/>
        </w:pict>
      </w:r>
    </w:p>
    <w:p w14:paraId="725E654A" w14:textId="2419409E" w:rsidR="00DD2E9B" w:rsidRDefault="00DD2E9B" w:rsidP="00DD2E9B">
      <w:pPr>
        <w:pStyle w:val="whitespace-normal"/>
      </w:pPr>
      <w:r>
        <w:rPr>
          <w:rStyle w:val="Fett"/>
          <w:rFonts w:eastAsiaTheme="majorEastAsia"/>
        </w:rPr>
        <w:t>Kommentar:</w:t>
      </w:r>
      <w:r>
        <w:t xml:space="preserve"> </w:t>
      </w:r>
      <w:r>
        <w:rPr>
          <w:rStyle w:val="Fett"/>
          <w:rFonts w:eastAsiaTheme="majorEastAsia"/>
          <w:rtl/>
        </w:rPr>
        <w:t>כִּי־תוֹעֲבַת יְהוָה כָּל־עֹשֵׂה אֵלֶּה</w:t>
      </w:r>
      <w:r>
        <w:rPr>
          <w:rtl/>
        </w:rPr>
        <w:t xml:space="preserve"> </w:t>
      </w:r>
      <w:r>
        <w:t xml:space="preserve">ist ein Nominalsatz: </w:t>
      </w:r>
      <w:r>
        <w:rPr>
          <w:rStyle w:val="Fett"/>
          <w:rFonts w:eastAsiaTheme="majorEastAsia"/>
          <w:rtl/>
        </w:rPr>
        <w:t>כִּי</w:t>
      </w:r>
      <w:r>
        <w:rPr>
          <w:rtl/>
        </w:rPr>
        <w:t xml:space="preserve"> </w:t>
      </w:r>
      <w:r>
        <w:t xml:space="preserve">(„denn"), </w:t>
      </w:r>
      <w:r>
        <w:rPr>
          <w:rStyle w:val="Fett"/>
          <w:rFonts w:eastAsiaTheme="majorEastAsia"/>
          <w:rtl/>
        </w:rPr>
        <w:t>תוֹעֲבַת יְהוָה</w:t>
      </w:r>
      <w:r>
        <w:rPr>
          <w:rtl/>
        </w:rPr>
        <w:t xml:space="preserve"> </w:t>
      </w:r>
      <w:r>
        <w:t>(</w:t>
      </w:r>
      <w:r>
        <w:rPr>
          <w:rStyle w:val="Fett"/>
          <w:rFonts w:eastAsiaTheme="majorEastAsia"/>
          <w:rtl/>
        </w:rPr>
        <w:t>תּוֹעֵבָה</w:t>
      </w:r>
      <w:r>
        <w:t xml:space="preserve">, „Gräuel", Construct mit </w:t>
      </w:r>
      <w:r>
        <w:rPr>
          <w:rStyle w:val="Fett"/>
          <w:rFonts w:eastAsiaTheme="majorEastAsia"/>
          <w:rtl/>
        </w:rPr>
        <w:t>יְהוָה</w:t>
      </w:r>
      <w:r>
        <w:t xml:space="preserve">, „Gräuel </w:t>
      </w:r>
      <w:r w:rsidR="00DF3D1A">
        <w:t xml:space="preserve">JHWHs </w:t>
      </w:r>
      <w:r>
        <w:t xml:space="preserve">" = ein Gräuel für JHWH), </w:t>
      </w:r>
      <w:r>
        <w:rPr>
          <w:rStyle w:val="Fett"/>
          <w:rFonts w:eastAsiaTheme="majorEastAsia"/>
          <w:rtl/>
        </w:rPr>
        <w:t>כָּל־עֹשֵׂה אֵלֶּה</w:t>
      </w:r>
      <w:r>
        <w:rPr>
          <w:rtl/>
        </w:rPr>
        <w:t xml:space="preserve"> </w:t>
      </w:r>
      <w:r>
        <w:t>(</w:t>
      </w:r>
      <w:r>
        <w:rPr>
          <w:rStyle w:val="Fett"/>
          <w:rFonts w:eastAsiaTheme="majorEastAsia"/>
          <w:rtl/>
        </w:rPr>
        <w:t>כֹּל</w:t>
      </w:r>
      <w:r>
        <w:t xml:space="preserve">, Construct mit Qal Partizip von </w:t>
      </w:r>
      <w:r>
        <w:rPr>
          <w:rStyle w:val="Fett"/>
          <w:rFonts w:eastAsiaTheme="majorEastAsia"/>
          <w:rtl/>
        </w:rPr>
        <w:t>עשׂה</w:t>
      </w:r>
      <w:r>
        <w:t xml:space="preserve">, „tun", mit Demonstrativpronomen </w:t>
      </w:r>
      <w:r>
        <w:rPr>
          <w:rStyle w:val="Fett"/>
          <w:rFonts w:eastAsiaTheme="majorEastAsia"/>
          <w:rtl/>
        </w:rPr>
        <w:t>אֵלֶּה</w:t>
      </w:r>
      <w:r>
        <w:t>, Plural, „diese", „jeder, der diese [Dinge] tut").</w:t>
      </w:r>
    </w:p>
    <w:p w14:paraId="2A60CCCF" w14:textId="77777777" w:rsidR="00DD2E9B" w:rsidRDefault="00DD2E9B" w:rsidP="00DD2E9B">
      <w:pPr>
        <w:pStyle w:val="whitespace-normal"/>
      </w:pPr>
      <w:r>
        <w:rPr>
          <w:rStyle w:val="Fett"/>
          <w:rFonts w:eastAsiaTheme="majorEastAsia"/>
          <w:rtl/>
        </w:rPr>
        <w:t>וּבִגְלַל הַתּוֹעֵבֹת הָאֵלֶּה יְהוָה אֱלֹהֶיךָ מוֹרִישׁ אוֹתָם מִפָּנֶיךָ</w:t>
      </w:r>
      <w:r>
        <w:rPr>
          <w:rtl/>
        </w:rPr>
        <w:t xml:space="preserve"> </w:t>
      </w:r>
      <w:r>
        <w:t xml:space="preserve">ist der zweite Satz: </w:t>
      </w:r>
      <w:r>
        <w:rPr>
          <w:rStyle w:val="Fett"/>
          <w:rFonts w:eastAsiaTheme="majorEastAsia"/>
          <w:rtl/>
        </w:rPr>
        <w:t>וּבִגְלַל הַתּוֹעֵבֹת הָאֵלֶּה</w:t>
      </w:r>
      <w:r>
        <w:rPr>
          <w:rtl/>
        </w:rPr>
        <w:t xml:space="preserve"> </w:t>
      </w:r>
      <w:r>
        <w:t xml:space="preserve">(koordiniert durch </w:t>
      </w:r>
      <w:r>
        <w:rPr>
          <w:rStyle w:val="Fett"/>
          <w:rFonts w:eastAsiaTheme="majorEastAsia"/>
          <w:rtl/>
        </w:rPr>
        <w:t>וּ</w:t>
      </w:r>
      <w:r>
        <w:rPr>
          <w:rtl/>
        </w:rPr>
        <w:t xml:space="preserve"> </w:t>
      </w:r>
      <w:r>
        <w:t xml:space="preserve">mit Präposition </w:t>
      </w:r>
      <w:r>
        <w:rPr>
          <w:rStyle w:val="Fett"/>
          <w:rFonts w:eastAsiaTheme="majorEastAsia"/>
          <w:rtl/>
        </w:rPr>
        <w:t>בִּגְלַל</w:t>
      </w:r>
      <w:r>
        <w:t xml:space="preserve">, „wegen, aufgrund", </w:t>
      </w:r>
      <w:r>
        <w:rPr>
          <w:rStyle w:val="Fett"/>
          <w:rFonts w:eastAsiaTheme="majorEastAsia"/>
          <w:rtl/>
        </w:rPr>
        <w:t>תּוֹעֵבָה</w:t>
      </w:r>
      <w:r>
        <w:t xml:space="preserve">, Plural mit Artikel und Demonstrativpronomen </w:t>
      </w:r>
      <w:r>
        <w:rPr>
          <w:rStyle w:val="Fett"/>
          <w:rFonts w:eastAsiaTheme="majorEastAsia"/>
          <w:rtl/>
        </w:rPr>
        <w:t>אֵלֶּה</w:t>
      </w:r>
      <w:r>
        <w:t xml:space="preserve">, „wegen dieser Gräuel"), </w:t>
      </w:r>
      <w:r>
        <w:rPr>
          <w:rStyle w:val="Fett"/>
          <w:rFonts w:eastAsiaTheme="majorEastAsia"/>
          <w:rtl/>
        </w:rPr>
        <w:t>יְהוָה אֱלֹהֶיךָ</w:t>
      </w:r>
      <w:r>
        <w:rPr>
          <w:rtl/>
        </w:rPr>
        <w:t xml:space="preserve"> </w:t>
      </w:r>
      <w:r>
        <w:t xml:space="preserve">als Subjekt, </w:t>
      </w:r>
      <w:r>
        <w:rPr>
          <w:rStyle w:val="Fett"/>
          <w:rFonts w:eastAsiaTheme="majorEastAsia"/>
          <w:rtl/>
        </w:rPr>
        <w:t>מוֹרִישׁ</w:t>
      </w:r>
      <w:r>
        <w:rPr>
          <w:rtl/>
        </w:rPr>
        <w:t xml:space="preserve"> </w:t>
      </w:r>
      <w:r>
        <w:t xml:space="preserve">(Hiphil Partizip von </w:t>
      </w:r>
      <w:r>
        <w:rPr>
          <w:rStyle w:val="Fett"/>
          <w:rFonts w:eastAsiaTheme="majorEastAsia"/>
          <w:rtl/>
        </w:rPr>
        <w:t>ירשׁ</w:t>
      </w:r>
      <w:r>
        <w:t xml:space="preserve">, „in Besitz nehmen", in der Hiphil-Form „enteignen, vertreiben"), </w:t>
      </w:r>
      <w:r>
        <w:rPr>
          <w:rStyle w:val="Fett"/>
          <w:rFonts w:eastAsiaTheme="majorEastAsia"/>
          <w:rtl/>
        </w:rPr>
        <w:t>אוֹתָם</w:t>
      </w:r>
      <w:r>
        <w:rPr>
          <w:rtl/>
        </w:rPr>
        <w:t xml:space="preserve"> </w:t>
      </w:r>
      <w:r>
        <w:t xml:space="preserve">(Objektpartikel </w:t>
      </w:r>
      <w:r>
        <w:rPr>
          <w:rStyle w:val="Fett"/>
          <w:rFonts w:eastAsiaTheme="majorEastAsia"/>
          <w:rtl/>
        </w:rPr>
        <w:t>אֵת</w:t>
      </w:r>
      <w:r>
        <w:rPr>
          <w:rtl/>
        </w:rPr>
        <w:t xml:space="preserve"> </w:t>
      </w:r>
      <w:r>
        <w:t xml:space="preserve">mit Suffix 3. Person Plural, „sie"), </w:t>
      </w:r>
      <w:r>
        <w:rPr>
          <w:rStyle w:val="Fett"/>
          <w:rFonts w:eastAsiaTheme="majorEastAsia"/>
          <w:rtl/>
        </w:rPr>
        <w:t>מִפָּנֶיךָ</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פָּנֶה</w:t>
      </w:r>
      <w:r>
        <w:t>, Plural Construct, „Angesicht", mit Suffix 2. Person Maskulinum Singular, „vor dir").</w:t>
      </w:r>
    </w:p>
    <w:p w14:paraId="5E9DDDAA" w14:textId="767A54D3" w:rsidR="00DD2E9B" w:rsidRDefault="00DD2E9B" w:rsidP="00DD2E9B">
      <w:pPr>
        <w:pStyle w:val="whitespace-normal"/>
      </w:pPr>
      <w:r>
        <w:t xml:space="preserve">Der Vers begründet das Verbot doppelt: (1) Diese Praktiken sind JHWH ein Gräuel (vgl. 7,25.26; 12,31; 17,1; 18,12), (2) Diese Praktiken sind der Grund für die Vertreibung der Kanaaniter – eine Warnung an Israel (vgl. 9,4-5; 12,29-31; 20,18; </w:t>
      </w:r>
      <w:r w:rsidR="00664EB6">
        <w:t>Lev</w:t>
      </w:r>
      <w:r>
        <w:t xml:space="preserve"> 18,24-30). Die Logik: Die Kanaaniter werden wegen dieser Praktiken vertrieben; wenn Israel dasselbe tut, erleidet es dasselbe Schicksal.</w:t>
      </w:r>
    </w:p>
    <w:p w14:paraId="79E96AD0" w14:textId="38DD092A" w:rsidR="00731060" w:rsidRDefault="00731060" w:rsidP="00DD2E9B">
      <w:pPr>
        <w:pStyle w:val="whitespace-normal"/>
      </w:pPr>
      <w:r>
        <w:rPr>
          <w:rStyle w:val="Fett"/>
        </w:rPr>
        <w:t>Die LXX</w:t>
      </w:r>
      <w:r>
        <w:t xml:space="preserve"> übersetzt </w:t>
      </w:r>
      <w:r w:rsidRPr="00731060">
        <w:rPr>
          <w:b/>
          <w:bCs/>
          <w:rtl/>
        </w:rPr>
        <w:t>מוֹרִישׁ</w:t>
      </w:r>
      <w:r>
        <w:t xml:space="preserve"> (vertreiben) mit </w:t>
      </w:r>
      <w:proofErr w:type="spellStart"/>
      <w:r>
        <w:t>ἐξολεθρεύσει</w:t>
      </w:r>
      <w:proofErr w:type="spellEnd"/>
      <w:r>
        <w:t xml:space="preserve"> (völlig vernichten/ausrotten) – eine Intensivierung der Handlung.</w:t>
      </w:r>
    </w:p>
    <w:p w14:paraId="694DB300" w14:textId="0B55B3BD" w:rsidR="00DD2E9B" w:rsidRDefault="00DD2E9B" w:rsidP="00DD2E9B">
      <w:pPr>
        <w:pStyle w:val="whitespace-normal"/>
      </w:pPr>
      <w:r>
        <w:rPr>
          <w:rStyle w:val="Fett"/>
          <w:rFonts w:eastAsiaTheme="majorEastAsia"/>
        </w:rPr>
        <w:t>Die Satzstruktur:</w:t>
      </w:r>
      <w:r>
        <w:t xml:space="preserve"> Nominalsatz und Verbalsatz (denn ein Gräuel </w:t>
      </w:r>
      <w:r w:rsidR="00DF3D1A">
        <w:t>JHWHs</w:t>
      </w:r>
      <w:r>
        <w:t xml:space="preserve"> ist jeder, der tut diese [Dinge]; und wegen dieser Gräuel vertreibt JHWH, dein Gott, sie vor dir).</w:t>
      </w:r>
    </w:p>
    <w:p w14:paraId="64D8E495" w14:textId="77777777" w:rsidR="00DD2E9B" w:rsidRDefault="00DD2E9B" w:rsidP="00DD2E9B">
      <w:pPr>
        <w:pStyle w:val="whitespace-normal"/>
      </w:pPr>
      <w:r>
        <w:t>Der Vers begründet: Alle diese okkulten Praktiken sind JHWH ein Gräuel – und genau wegen dieser Gräuel vertreibt JHWH die Völker vor dir.</w:t>
      </w:r>
    </w:p>
    <w:p w14:paraId="6FC6234F"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18,13</w:t>
      </w:r>
    </w:p>
    <w:p w14:paraId="1F457F38" w14:textId="77777777" w:rsidR="00DD2E9B" w:rsidRDefault="00DD2E9B" w:rsidP="00DD2E9B">
      <w:pPr>
        <w:pStyle w:val="whitespace-normal"/>
      </w:pPr>
      <w:r>
        <w:rPr>
          <w:rStyle w:val="Fett"/>
          <w:rFonts w:eastAsiaTheme="majorEastAsia"/>
        </w:rPr>
        <w:t>Hebräisch:</w:t>
      </w:r>
      <w:r>
        <w:t xml:space="preserve"> </w:t>
      </w:r>
      <w:r>
        <w:rPr>
          <w:rtl/>
        </w:rPr>
        <w:t>תָּמִ֣ים תִּֽהְיֶ֔ה עִ֖ם יְהוָ֥ה אֱלֹהֶֽיךָ׃</w:t>
      </w:r>
    </w:p>
    <w:p w14:paraId="482E4203" w14:textId="77777777" w:rsidR="00DD2E9B" w:rsidRDefault="00DD2E9B" w:rsidP="00DD2E9B">
      <w:pPr>
        <w:pStyle w:val="whitespace-normal"/>
      </w:pPr>
      <w:r>
        <w:rPr>
          <w:rStyle w:val="Fett"/>
          <w:rFonts w:eastAsiaTheme="majorEastAsia"/>
        </w:rPr>
        <w:t>Deutsch:</w:t>
      </w:r>
      <w:r>
        <w:t xml:space="preserve"> Vollkommen sollst du sein mit dem Ewigen, deinem Gott.</w:t>
      </w:r>
    </w:p>
    <w:p w14:paraId="31A74F8C" w14:textId="77777777" w:rsidR="00DD2E9B" w:rsidRDefault="004F5CEB" w:rsidP="00DD2E9B">
      <w:r>
        <w:rPr>
          <w:noProof/>
        </w:rPr>
        <w:pict w14:anchorId="147491D0">
          <v:rect id="_x0000_i1522" style="width:0;height:1.5pt" o:hralign="center" o:hrstd="t" o:hr="t" fillcolor="#a0a0a0" stroked="f"/>
        </w:pict>
      </w:r>
    </w:p>
    <w:p w14:paraId="7AA37B42" w14:textId="77777777" w:rsidR="00DD2E9B" w:rsidRDefault="00DD2E9B" w:rsidP="00DD2E9B">
      <w:pPr>
        <w:pStyle w:val="whitespace-normal"/>
      </w:pPr>
      <w:r>
        <w:rPr>
          <w:rStyle w:val="Fett"/>
          <w:rFonts w:eastAsiaTheme="majorEastAsia"/>
        </w:rPr>
        <w:t>Kommentar:</w:t>
      </w:r>
      <w:r>
        <w:t xml:space="preserve"> </w:t>
      </w:r>
      <w:r>
        <w:rPr>
          <w:rStyle w:val="Fett"/>
          <w:rFonts w:eastAsiaTheme="majorEastAsia"/>
          <w:rtl/>
        </w:rPr>
        <w:t>תָּמִים תִּהְיֶה עִם יְהוָה אֱלֹהֶיךָ</w:t>
      </w:r>
      <w:r>
        <w:rPr>
          <w:rtl/>
        </w:rPr>
        <w:t xml:space="preserve"> </w:t>
      </w:r>
      <w:r>
        <w:t xml:space="preserve">ist ein Imperativsatz: </w:t>
      </w:r>
      <w:r>
        <w:rPr>
          <w:rStyle w:val="Fett"/>
          <w:rFonts w:eastAsiaTheme="majorEastAsia"/>
          <w:rtl/>
        </w:rPr>
        <w:t>תָּמִים</w:t>
      </w:r>
      <w:r>
        <w:rPr>
          <w:rtl/>
        </w:rPr>
        <w:t xml:space="preserve"> </w:t>
      </w:r>
      <w:r>
        <w:t>(</w:t>
      </w:r>
      <w:r>
        <w:rPr>
          <w:rStyle w:val="Fett"/>
          <w:rFonts w:eastAsiaTheme="majorEastAsia"/>
          <w:rtl/>
        </w:rPr>
        <w:t>תָּמִים</w:t>
      </w:r>
      <w:r>
        <w:t xml:space="preserve">, „vollkommen, untadelig, ganz", als Prädikatsnomen), </w:t>
      </w:r>
      <w:r>
        <w:rPr>
          <w:rStyle w:val="Fett"/>
          <w:rFonts w:eastAsiaTheme="majorEastAsia"/>
          <w:rtl/>
        </w:rPr>
        <w:t>תִּהְיֶה</w:t>
      </w:r>
      <w:r>
        <w:rPr>
          <w:rtl/>
        </w:rPr>
        <w:t xml:space="preserve"> </w:t>
      </w:r>
      <w:r>
        <w:t xml:space="preserve">(Qal Imperfekt, 2. Person Maskulinum Singular von </w:t>
      </w:r>
      <w:r>
        <w:rPr>
          <w:rStyle w:val="Fett"/>
          <w:rFonts w:eastAsiaTheme="majorEastAsia"/>
          <w:rtl/>
        </w:rPr>
        <w:t>היה</w:t>
      </w:r>
      <w:r>
        <w:t xml:space="preserve">, „sein"), </w:t>
      </w:r>
      <w:r>
        <w:rPr>
          <w:rStyle w:val="Fett"/>
          <w:rFonts w:eastAsiaTheme="majorEastAsia"/>
          <w:rtl/>
        </w:rPr>
        <w:t>עִם יְהוָה אֱלֹהֶיךָ</w:t>
      </w:r>
      <w:r>
        <w:rPr>
          <w:rtl/>
        </w:rPr>
        <w:t xml:space="preserve"> </w:t>
      </w:r>
      <w:r>
        <w:t xml:space="preserve">(Präposition </w:t>
      </w:r>
      <w:r>
        <w:rPr>
          <w:rStyle w:val="Fett"/>
          <w:rFonts w:eastAsiaTheme="majorEastAsia"/>
          <w:rtl/>
        </w:rPr>
        <w:t>עִם</w:t>
      </w:r>
      <w:r>
        <w:t xml:space="preserve">, „mit", mit </w:t>
      </w:r>
      <w:r>
        <w:rPr>
          <w:rStyle w:val="Fett"/>
          <w:rFonts w:eastAsiaTheme="majorEastAsia"/>
          <w:rtl/>
        </w:rPr>
        <w:t>יְהוָה אֱלֹהֶיךָ</w:t>
      </w:r>
      <w:r>
        <w:t>, „mit JHWH, deinem Gott").</w:t>
      </w:r>
    </w:p>
    <w:p w14:paraId="6CBC852A" w14:textId="56115C7C" w:rsidR="00DD2E9B" w:rsidRDefault="00DD2E9B" w:rsidP="00DD2E9B">
      <w:pPr>
        <w:pStyle w:val="whitespace-normal"/>
      </w:pPr>
      <w:r>
        <w:t xml:space="preserve">Der kurze, aber gewichtige Vers ist der positive Kontrapunkt zu den Verboten in V. 9-12. Das Wort </w:t>
      </w:r>
      <w:r>
        <w:rPr>
          <w:rStyle w:val="Fett"/>
          <w:rFonts w:eastAsiaTheme="majorEastAsia"/>
          <w:rtl/>
        </w:rPr>
        <w:t>תָּמִים</w:t>
      </w:r>
      <w:r>
        <w:rPr>
          <w:rtl/>
        </w:rPr>
        <w:t xml:space="preserve"> </w:t>
      </w:r>
      <w:r>
        <w:t xml:space="preserve">(„vollkommen, untadelig") bedeutet Ganzheit, Integrität, völlige Hingabe (vgl. Gen 6,9; 17,1; Dtn 18,13; </w:t>
      </w:r>
      <w:r w:rsidR="00664EB6">
        <w:t>2Sam</w:t>
      </w:r>
      <w:r>
        <w:t xml:space="preserve"> 22,24.26.31.33; Ps 15,2; 18,24.26.31.33; 37,18; 101,2.6; 119,1; Spr 2,21; 11,5.20; 28,10; Hiob 1,1.8; 2,3). Die Konstruktion </w:t>
      </w:r>
      <w:r>
        <w:rPr>
          <w:rStyle w:val="Fett"/>
          <w:rFonts w:eastAsiaTheme="majorEastAsia"/>
          <w:rtl/>
        </w:rPr>
        <w:t>תָּמִים... עִם יְהוָה</w:t>
      </w:r>
      <w:r>
        <w:rPr>
          <w:rtl/>
        </w:rPr>
        <w:t xml:space="preserve"> </w:t>
      </w:r>
      <w:r>
        <w:lastRenderedPageBreak/>
        <w:t>(„vollkommen mit JHWH") bedeutet: ungeteilte, ausschließliche Treue zu JHWH ohne Hinwendung zu okkulten Praktiken.</w:t>
      </w:r>
    </w:p>
    <w:p w14:paraId="174D9592" w14:textId="706FCD3D" w:rsidR="00DD2E9B" w:rsidRDefault="00DD2E9B" w:rsidP="00DD2E9B">
      <w:pPr>
        <w:pStyle w:val="whitespace-normal"/>
      </w:pPr>
      <w:r>
        <w:t>Der Vers bildet den theologischen Kern des Abschnitts: Statt okkulter Praktiken – völlige Hingabe an JHWH. Die folgende Verheißung des Propheten (V. 15ff.) zeigt dann den positiven Weg: JHWH gibt Israel Propheten statt okkulter Praktiken.</w:t>
      </w:r>
    </w:p>
    <w:p w14:paraId="0C219EF0" w14:textId="733F87D9" w:rsidR="00731060" w:rsidRDefault="00731060" w:rsidP="00DD2E9B">
      <w:pPr>
        <w:pStyle w:val="whitespace-normal"/>
      </w:pPr>
      <w:r>
        <w:rPr>
          <w:rStyle w:val="Fett"/>
        </w:rPr>
        <w:t>Die LXX</w:t>
      </w:r>
      <w:r>
        <w:t xml:space="preserve"> übersetzt </w:t>
      </w:r>
      <w:r w:rsidRPr="00731060">
        <w:rPr>
          <w:b/>
          <w:bCs/>
          <w:rtl/>
        </w:rPr>
        <w:t>תָּמִים</w:t>
      </w:r>
      <w:r>
        <w:t xml:space="preserve"> (vollkommen, untadelig) mit </w:t>
      </w:r>
      <w:proofErr w:type="spellStart"/>
      <w:r>
        <w:t>τέλειος</w:t>
      </w:r>
      <w:proofErr w:type="spellEnd"/>
      <w:r>
        <w:t xml:space="preserve"> (vollkommen, vollendet) – eine präzise ethisch-religiöse Entsprechung. Die Formulierung </w:t>
      </w:r>
      <w:proofErr w:type="spellStart"/>
      <w:r>
        <w:t>ἔν</w:t>
      </w:r>
      <w:proofErr w:type="spellEnd"/>
      <w:r>
        <w:t xml:space="preserve">αντι (vor) für </w:t>
      </w:r>
      <w:r w:rsidRPr="00731060">
        <w:rPr>
          <w:b/>
          <w:bCs/>
          <w:rtl/>
        </w:rPr>
        <w:t>עִם</w:t>
      </w:r>
      <w:r>
        <w:t xml:space="preserve"> (mit) ändert die räumliche Beziehung.</w:t>
      </w:r>
    </w:p>
    <w:p w14:paraId="166FB884" w14:textId="77777777" w:rsidR="00DD2E9B" w:rsidRDefault="00DD2E9B" w:rsidP="00DD2E9B">
      <w:pPr>
        <w:pStyle w:val="whitespace-normal"/>
      </w:pPr>
      <w:r>
        <w:rPr>
          <w:rStyle w:val="Fett"/>
          <w:rFonts w:eastAsiaTheme="majorEastAsia"/>
        </w:rPr>
        <w:t>Die Satzstruktur:</w:t>
      </w:r>
      <w:r>
        <w:t xml:space="preserve"> Imperativsatz (vollkommen sollst du sein mit JHWH, deinem Gott).</w:t>
      </w:r>
    </w:p>
    <w:p w14:paraId="57065573" w14:textId="77777777" w:rsidR="00DD2E9B" w:rsidRDefault="00DD2E9B" w:rsidP="00DD2E9B">
      <w:pPr>
        <w:pStyle w:val="whitespace-normal"/>
      </w:pPr>
      <w:r>
        <w:t>Der Vers fordert: Sei völlig, ungeteilt JHWH hingegeben – das ist die Alternative zu okkulten Praktiken.</w:t>
      </w:r>
    </w:p>
    <w:p w14:paraId="29091125"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18,14</w:t>
      </w:r>
    </w:p>
    <w:p w14:paraId="5BE36F4A" w14:textId="77777777" w:rsidR="00DD2E9B" w:rsidRDefault="00DD2E9B" w:rsidP="00DD2E9B">
      <w:pPr>
        <w:pStyle w:val="whitespace-normal"/>
      </w:pPr>
      <w:r>
        <w:rPr>
          <w:rStyle w:val="Fett"/>
          <w:rFonts w:eastAsiaTheme="majorEastAsia"/>
        </w:rPr>
        <w:t>Hebräisch:</w:t>
      </w:r>
      <w:r>
        <w:t xml:space="preserve"> </w:t>
      </w:r>
      <w:r>
        <w:rPr>
          <w:rtl/>
        </w:rPr>
        <w:t>כִּ֣י׀ הַגּוֹיִ֣ם הָאֵ֗לֶּה אֲשֶׁ֤ר אַתָּה֙ יוֹרֵ֣שׁ אוֹתָ֔ם אֶל־מְעֹנְנִ֥ים וְאֶל־קֹסְמִ֖ים יִשְׁמָ֑עוּ וְאַתָּ֕ה לֹ֣א כֵ֔ן נָ֥תַן לְךָ֖ יְהוָ֥ה אֱלֹהֶֽיךָ׃</w:t>
      </w:r>
    </w:p>
    <w:p w14:paraId="3F314239" w14:textId="77777777" w:rsidR="00DD2E9B" w:rsidRDefault="00DD2E9B" w:rsidP="00DD2E9B">
      <w:pPr>
        <w:pStyle w:val="whitespace-normal"/>
      </w:pPr>
      <w:r>
        <w:rPr>
          <w:rStyle w:val="Fett"/>
          <w:rFonts w:eastAsiaTheme="majorEastAsia"/>
        </w:rPr>
        <w:t>Deutsch:</w:t>
      </w:r>
      <w:r>
        <w:t xml:space="preserve"> Denn diese Nationen, die du vertreiben wirst, hören auf Zauberer und auf Wahrsager; du aber – nicht so hat dir gestattet der Ewige, dein Gott.</w:t>
      </w:r>
    </w:p>
    <w:p w14:paraId="5FC66477" w14:textId="77777777" w:rsidR="00DD2E9B" w:rsidRDefault="004F5CEB" w:rsidP="00DD2E9B">
      <w:r>
        <w:rPr>
          <w:noProof/>
        </w:rPr>
        <w:pict w14:anchorId="570AA7E9">
          <v:rect id="_x0000_i1523" style="width:0;height:1.5pt" o:hralign="center" o:hrstd="t" o:hr="t" fillcolor="#a0a0a0" stroked="f"/>
        </w:pict>
      </w:r>
    </w:p>
    <w:p w14:paraId="59090850" w14:textId="77777777" w:rsidR="00DD2E9B" w:rsidRDefault="00DD2E9B" w:rsidP="00DD2E9B">
      <w:pPr>
        <w:pStyle w:val="whitespace-normal"/>
      </w:pPr>
      <w:r>
        <w:rPr>
          <w:rStyle w:val="Fett"/>
          <w:rFonts w:eastAsiaTheme="majorEastAsia"/>
        </w:rPr>
        <w:t>Kommentar:</w:t>
      </w:r>
      <w:r>
        <w:t xml:space="preserve"> </w:t>
      </w:r>
      <w:r>
        <w:rPr>
          <w:rStyle w:val="Fett"/>
          <w:rFonts w:eastAsiaTheme="majorEastAsia"/>
          <w:rtl/>
        </w:rPr>
        <w:t>כִּי הַגּוֹיִם הָאֵלֶּה אֲשֶׁר אַתָּה יוֹרֵשׁ אוֹתָם אֶל־מְעֹנְנִים וְאֶל־קֹסְמִים יִשְׁמָעוּ</w:t>
      </w:r>
      <w:r>
        <w:rPr>
          <w:rtl/>
        </w:rPr>
        <w:t xml:space="preserve"> </w:t>
      </w:r>
      <w:r>
        <w:t xml:space="preserve">ist ein kausaler Satz: </w:t>
      </w:r>
      <w:r>
        <w:rPr>
          <w:rStyle w:val="Fett"/>
          <w:rFonts w:eastAsiaTheme="majorEastAsia"/>
          <w:rtl/>
        </w:rPr>
        <w:t>כִּי</w:t>
      </w:r>
      <w:r>
        <w:rPr>
          <w:rtl/>
        </w:rPr>
        <w:t xml:space="preserve"> </w:t>
      </w:r>
      <w:r>
        <w:t xml:space="preserve">(„denn"), </w:t>
      </w:r>
      <w:r>
        <w:rPr>
          <w:rStyle w:val="Fett"/>
          <w:rFonts w:eastAsiaTheme="majorEastAsia"/>
          <w:rtl/>
        </w:rPr>
        <w:t>הַגּוֹיִם הָאֵלֶּה</w:t>
      </w:r>
      <w:r>
        <w:rPr>
          <w:rtl/>
        </w:rPr>
        <w:t xml:space="preserve"> </w:t>
      </w:r>
      <w:r>
        <w:t>(</w:t>
      </w:r>
      <w:r>
        <w:rPr>
          <w:rStyle w:val="Fett"/>
          <w:rFonts w:eastAsiaTheme="majorEastAsia"/>
          <w:rtl/>
        </w:rPr>
        <w:t>גּוֹי</w:t>
      </w:r>
      <w:r>
        <w:t xml:space="preserve">, „Nation", Plural mit Artikel und Demonstrativpronomen </w:t>
      </w:r>
      <w:r>
        <w:rPr>
          <w:rStyle w:val="Fett"/>
          <w:rFonts w:eastAsiaTheme="majorEastAsia"/>
          <w:rtl/>
        </w:rPr>
        <w:t>אֵלֶּה</w:t>
      </w:r>
      <w:r>
        <w:t xml:space="preserve">, „diese Nationen"), </w:t>
      </w:r>
      <w:r>
        <w:rPr>
          <w:rStyle w:val="Fett"/>
          <w:rFonts w:eastAsiaTheme="majorEastAsia"/>
          <w:rtl/>
        </w:rPr>
        <w:t>אֲשֶׁר אַתָּה יוֹרֵשׁ אוֹתָם</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אַתָּה</w:t>
      </w:r>
      <w:r>
        <w:t xml:space="preserve">, betont, </w:t>
      </w:r>
      <w:r>
        <w:rPr>
          <w:rStyle w:val="Fett"/>
          <w:rFonts w:eastAsiaTheme="majorEastAsia"/>
          <w:rtl/>
        </w:rPr>
        <w:t>ירשׁ</w:t>
      </w:r>
      <w:r>
        <w:t xml:space="preserve">, Qal Partizip, „in Besitz nehmen, vertreiben", </w:t>
      </w:r>
      <w:r>
        <w:rPr>
          <w:rStyle w:val="Fett"/>
          <w:rFonts w:eastAsiaTheme="majorEastAsia"/>
          <w:rtl/>
        </w:rPr>
        <w:t>אוֹתָם</w:t>
      </w:r>
      <w:r>
        <w:t xml:space="preserve">, „die du vertreiben wirst sie"), </w:t>
      </w:r>
      <w:r>
        <w:rPr>
          <w:rStyle w:val="Fett"/>
          <w:rFonts w:eastAsiaTheme="majorEastAsia"/>
          <w:rtl/>
        </w:rPr>
        <w:t>אֶל־מְעֹנְנִים וְאֶל־קֹסְמִים יִשְׁמָעוּ</w:t>
      </w:r>
      <w:r>
        <w:rPr>
          <w:rtl/>
        </w:rPr>
        <w:t xml:space="preserve"> </w:t>
      </w:r>
      <w:r>
        <w:t xml:space="preserve">(Präposition </w:t>
      </w:r>
      <w:r>
        <w:rPr>
          <w:rStyle w:val="Fett"/>
          <w:rFonts w:eastAsiaTheme="majorEastAsia"/>
          <w:rtl/>
        </w:rPr>
        <w:t>אֶל</w:t>
      </w:r>
      <w:r>
        <w:t xml:space="preserve">, „zu, auf", </w:t>
      </w:r>
      <w:r>
        <w:rPr>
          <w:rStyle w:val="Fett"/>
          <w:rFonts w:eastAsiaTheme="majorEastAsia"/>
          <w:rtl/>
        </w:rPr>
        <w:t>מְעוֹנֵן</w:t>
      </w:r>
      <w:r>
        <w:t xml:space="preserve">, Poel Partizip Plural von </w:t>
      </w:r>
      <w:r>
        <w:rPr>
          <w:rStyle w:val="Fett"/>
          <w:rFonts w:eastAsiaTheme="majorEastAsia"/>
          <w:rtl/>
        </w:rPr>
        <w:t>ענן</w:t>
      </w:r>
      <w:r>
        <w:t xml:space="preserve">, „Zauberer", koordiniert durch </w:t>
      </w:r>
      <w:r>
        <w:rPr>
          <w:rStyle w:val="Fett"/>
          <w:rFonts w:eastAsiaTheme="majorEastAsia"/>
          <w:rtl/>
        </w:rPr>
        <w:t>וְאֶל</w:t>
      </w:r>
      <w:r>
        <w:rPr>
          <w:rtl/>
        </w:rPr>
        <w:t xml:space="preserve"> </w:t>
      </w:r>
      <w:r>
        <w:t xml:space="preserve">mit </w:t>
      </w:r>
      <w:r>
        <w:rPr>
          <w:rStyle w:val="Fett"/>
          <w:rFonts w:eastAsiaTheme="majorEastAsia"/>
          <w:rtl/>
        </w:rPr>
        <w:t>קֹסֵם</w:t>
      </w:r>
      <w:r>
        <w:t xml:space="preserve">, Qal Partizip Plural, „Wahrsager", </w:t>
      </w:r>
      <w:r>
        <w:rPr>
          <w:rStyle w:val="Fett"/>
          <w:rFonts w:eastAsiaTheme="majorEastAsia"/>
          <w:rtl/>
        </w:rPr>
        <w:t>שׁמע</w:t>
      </w:r>
      <w:r>
        <w:t>, Qal Imperfekt, 3. Person Plural, „hören", „auf Zauberer und auf Wahrsager hören sie").</w:t>
      </w:r>
    </w:p>
    <w:p w14:paraId="4A90D228" w14:textId="77777777" w:rsidR="00DD2E9B" w:rsidRDefault="00DD2E9B" w:rsidP="00DD2E9B">
      <w:pPr>
        <w:pStyle w:val="whitespace-normal"/>
      </w:pPr>
      <w:r>
        <w:rPr>
          <w:rStyle w:val="Fett"/>
          <w:rFonts w:eastAsiaTheme="majorEastAsia"/>
          <w:rtl/>
        </w:rPr>
        <w:t>וְאַתָּה לֹא כֵן נָתַן לְךָ יְהוָה אֱלֹהֶיךָ</w:t>
      </w:r>
      <w:r>
        <w:rPr>
          <w:rtl/>
        </w:rPr>
        <w:t xml:space="preserve"> </w:t>
      </w:r>
      <w:r>
        <w:t xml:space="preserve">ist der Kontrastsatz: </w:t>
      </w:r>
      <w:r>
        <w:rPr>
          <w:rStyle w:val="Fett"/>
          <w:rFonts w:eastAsiaTheme="majorEastAsia"/>
          <w:rtl/>
        </w:rPr>
        <w:t>וְאַתָּה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אַתָּה</w:t>
      </w:r>
      <w:r>
        <w:t xml:space="preserve">, betont, „du aber"), </w:t>
      </w:r>
      <w:r>
        <w:rPr>
          <w:rStyle w:val="Fett"/>
          <w:rFonts w:eastAsiaTheme="majorEastAsia"/>
          <w:rtl/>
        </w:rPr>
        <w:t>לֹא כֵן</w:t>
      </w:r>
      <w:r>
        <w:rPr>
          <w:rtl/>
        </w:rPr>
        <w:t xml:space="preserve"> </w:t>
      </w:r>
      <w:r>
        <w:t xml:space="preserve">(Negation mit </w:t>
      </w:r>
      <w:r>
        <w:rPr>
          <w:rStyle w:val="Fett"/>
          <w:rFonts w:eastAsiaTheme="majorEastAsia"/>
          <w:rtl/>
        </w:rPr>
        <w:t>כֵּן</w:t>
      </w:r>
      <w:r>
        <w:t xml:space="preserve">, „so", „nicht so"), </w:t>
      </w:r>
      <w:r>
        <w:rPr>
          <w:rStyle w:val="Fett"/>
          <w:rFonts w:eastAsiaTheme="majorEastAsia"/>
          <w:rtl/>
        </w:rPr>
        <w:t>נָתַן לְךָ</w:t>
      </w:r>
      <w:r>
        <w:rPr>
          <w:rtl/>
        </w:rPr>
        <w:t xml:space="preserve"> </w:t>
      </w:r>
      <w:r>
        <w:t xml:space="preserve">(Qal Perfekt, 3. Person Maskulinum Singular von </w:t>
      </w:r>
      <w:r>
        <w:rPr>
          <w:rStyle w:val="Fett"/>
          <w:rFonts w:eastAsiaTheme="majorEastAsia"/>
          <w:rtl/>
        </w:rPr>
        <w:t>נתן</w:t>
      </w:r>
      <w:r>
        <w:t xml:space="preserve">, „geben", mit </w:t>
      </w:r>
      <w:r>
        <w:rPr>
          <w:rStyle w:val="Fett"/>
          <w:rFonts w:eastAsiaTheme="majorEastAsia"/>
          <w:rtl/>
        </w:rPr>
        <w:t>לְךָ</w:t>
      </w:r>
      <w:r>
        <w:t xml:space="preserve">, „hat gegeben dir" = hat dir gestattet), </w:t>
      </w:r>
      <w:r>
        <w:rPr>
          <w:rStyle w:val="Fett"/>
          <w:rFonts w:eastAsiaTheme="majorEastAsia"/>
          <w:rtl/>
        </w:rPr>
        <w:t>יְהוָה אֱלֹהֶיךָ</w:t>
      </w:r>
      <w:r>
        <w:rPr>
          <w:rtl/>
        </w:rPr>
        <w:t xml:space="preserve"> </w:t>
      </w:r>
      <w:r>
        <w:t>als Subjekt.</w:t>
      </w:r>
    </w:p>
    <w:p w14:paraId="30DB345B" w14:textId="77777777" w:rsidR="00DD2E9B" w:rsidRDefault="00DD2E9B" w:rsidP="00DD2E9B">
      <w:pPr>
        <w:pStyle w:val="whitespace-normal"/>
      </w:pPr>
      <w:r>
        <w:t xml:space="preserve">Der Vers kontrastiert Israel mit den Kanaanäern: Die Völker </w:t>
      </w:r>
      <w:r>
        <w:rPr>
          <w:rStyle w:val="Fett"/>
          <w:rFonts w:eastAsiaTheme="majorEastAsia"/>
          <w:rtl/>
        </w:rPr>
        <w:t>אֶל־מְעֹנְנִים וְאֶל־קֹסְמִים יִשְׁמָעוּ</w:t>
      </w:r>
      <w:r>
        <w:rPr>
          <w:rtl/>
        </w:rPr>
        <w:t xml:space="preserve"> </w:t>
      </w:r>
      <w:r>
        <w:t xml:space="preserve">(„hören auf Zauberer und Wahrsager"), aber Israel hat von JHWH einen anderen Weg erhalten. Die Formulierung </w:t>
      </w:r>
      <w:r>
        <w:rPr>
          <w:rStyle w:val="Fett"/>
          <w:rFonts w:eastAsiaTheme="majorEastAsia"/>
          <w:rtl/>
        </w:rPr>
        <w:t>לֹא כֵן נָתַן לְךָ יְהוָה</w:t>
      </w:r>
      <w:r>
        <w:rPr>
          <w:rtl/>
        </w:rPr>
        <w:t xml:space="preserve"> </w:t>
      </w:r>
      <w:r>
        <w:t>(„nicht so hat JHWH dir gegeben/gestattet") leitet zu V. 15 über: JHWH gibt Israel statt okkulter Praktiken den Propheten.</w:t>
      </w:r>
    </w:p>
    <w:p w14:paraId="64744925" w14:textId="77777777" w:rsidR="00DD2E9B" w:rsidRDefault="00DD2E9B" w:rsidP="00DD2E9B">
      <w:pPr>
        <w:pStyle w:val="whitespace-normal"/>
      </w:pPr>
      <w:r>
        <w:rPr>
          <w:rStyle w:val="Fett"/>
          <w:rFonts w:eastAsiaTheme="majorEastAsia"/>
        </w:rPr>
        <w:t>Die Satzstruktur:</w:t>
      </w:r>
      <w:r>
        <w:t xml:space="preserve"> Kausaler Satz mit Kontrastsatz (denn diese Nationen, die du vertreiben wirst sie, auf Zauberer und auf Wahrsager hören sie; du aber, nicht so hat gegeben dir JHWH, dein Gott).</w:t>
      </w:r>
    </w:p>
    <w:p w14:paraId="5C26F239" w14:textId="77777777" w:rsidR="00DD2E9B" w:rsidRDefault="00DD2E9B" w:rsidP="00DD2E9B">
      <w:pPr>
        <w:pStyle w:val="whitespace-normal"/>
      </w:pPr>
      <w:r>
        <w:lastRenderedPageBreak/>
        <w:t>Der Vers kontrastiert: Die heidnischen Völker verlassen sich auf Zauberer und Wahrsager – aber JHWH hat Israel einen anderen Weg gegeben (V. 15 folgt).</w:t>
      </w:r>
    </w:p>
    <w:p w14:paraId="5D27501E"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18,15</w:t>
      </w:r>
    </w:p>
    <w:p w14:paraId="48397FD1" w14:textId="77777777" w:rsidR="00DD2E9B" w:rsidRDefault="00DD2E9B" w:rsidP="00DD2E9B">
      <w:pPr>
        <w:pStyle w:val="whitespace-normal"/>
      </w:pPr>
      <w:r>
        <w:rPr>
          <w:rStyle w:val="Fett"/>
          <w:rFonts w:eastAsiaTheme="majorEastAsia"/>
        </w:rPr>
        <w:t>Hebräisch:</w:t>
      </w:r>
      <w:r>
        <w:t xml:space="preserve"> </w:t>
      </w:r>
      <w:r>
        <w:rPr>
          <w:rtl/>
        </w:rPr>
        <w:t>נָבִ֨יא מִקִּרְבְּךָ֤ מֵאַחֶ֨יךָ֙ כָּמֹ֔נִי יָקִ֥ים לְךָ֖ יְהוָ֣ה אֱלֹהֶ֑יךָ אֵלָ֖יו תִּשְׁמָעֽוּן׃</w:t>
      </w:r>
    </w:p>
    <w:p w14:paraId="60E9447F" w14:textId="77777777" w:rsidR="00DD2E9B" w:rsidRDefault="00DD2E9B" w:rsidP="00DD2E9B">
      <w:pPr>
        <w:pStyle w:val="whitespace-normal"/>
      </w:pPr>
      <w:r>
        <w:rPr>
          <w:rStyle w:val="Fett"/>
          <w:rFonts w:eastAsiaTheme="majorEastAsia"/>
        </w:rPr>
        <w:t>Deutsch:</w:t>
      </w:r>
      <w:r>
        <w:t xml:space="preserve"> Einen Propheten aus deiner Mitte, aus deinen Brüdern, wie mich, wird erstehen lassen der Ewige, dein Gott, für dich; auf ihn sollt ihr hören.</w:t>
      </w:r>
    </w:p>
    <w:p w14:paraId="6FF5B897" w14:textId="77777777" w:rsidR="00DD2E9B" w:rsidRDefault="004F5CEB" w:rsidP="00DD2E9B">
      <w:r>
        <w:rPr>
          <w:noProof/>
        </w:rPr>
        <w:pict w14:anchorId="4ED87D32">
          <v:rect id="_x0000_i1524" style="width:0;height:1.5pt" o:hralign="center" o:hrstd="t" o:hr="t" fillcolor="#a0a0a0" stroked="f"/>
        </w:pict>
      </w:r>
    </w:p>
    <w:p w14:paraId="40B76DBE" w14:textId="77777777" w:rsidR="00DD2E9B" w:rsidRDefault="00DD2E9B" w:rsidP="00DD2E9B">
      <w:pPr>
        <w:pStyle w:val="whitespace-normal"/>
      </w:pPr>
      <w:r>
        <w:rPr>
          <w:rStyle w:val="Fett"/>
          <w:rFonts w:eastAsiaTheme="majorEastAsia"/>
        </w:rPr>
        <w:t>Kommentar:</w:t>
      </w:r>
      <w:r>
        <w:t xml:space="preserve"> </w:t>
      </w:r>
      <w:r>
        <w:rPr>
          <w:rStyle w:val="Fett"/>
          <w:rFonts w:eastAsiaTheme="majorEastAsia"/>
          <w:rtl/>
        </w:rPr>
        <w:t>נָבִיא מִקִּרְבְּךָ מֵאַחֶיךָ כָּמֹנִי יָקִים לְךָ יְהוָה אֱלֹהֶיךָ</w:t>
      </w:r>
      <w:r>
        <w:rPr>
          <w:rtl/>
        </w:rPr>
        <w:t xml:space="preserve"> </w:t>
      </w:r>
      <w:r>
        <w:t xml:space="preserve">ist ein Verbalsatz: </w:t>
      </w:r>
      <w:r>
        <w:rPr>
          <w:rStyle w:val="Fett"/>
          <w:rFonts w:eastAsiaTheme="majorEastAsia"/>
          <w:rtl/>
        </w:rPr>
        <w:t>נָבִיא</w:t>
      </w:r>
      <w:r>
        <w:rPr>
          <w:rtl/>
        </w:rPr>
        <w:t xml:space="preserve"> </w:t>
      </w:r>
      <w:r>
        <w:t>(</w:t>
      </w:r>
      <w:r>
        <w:rPr>
          <w:rStyle w:val="Fett"/>
          <w:rFonts w:eastAsiaTheme="majorEastAsia"/>
          <w:rtl/>
        </w:rPr>
        <w:t>נָבִיא</w:t>
      </w:r>
      <w:r>
        <w:t xml:space="preserve">, „Prophet"), </w:t>
      </w:r>
      <w:r>
        <w:rPr>
          <w:rStyle w:val="Fett"/>
          <w:rFonts w:eastAsiaTheme="majorEastAsia"/>
          <w:rtl/>
        </w:rPr>
        <w:t>מִקִּרְבְּךָ</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קֶרֶב</w:t>
      </w:r>
      <w:r>
        <w:t xml:space="preserve">, „Mitte", mit Suffix 2. Person Maskulinum Singular, „aus deiner Mitte"), </w:t>
      </w:r>
      <w:r>
        <w:rPr>
          <w:rStyle w:val="Fett"/>
          <w:rFonts w:eastAsiaTheme="majorEastAsia"/>
          <w:rtl/>
        </w:rPr>
        <w:t>מֵאַחֶיךָ</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אָח</w:t>
      </w:r>
      <w:r>
        <w:t xml:space="preserve">, „Bruder", Plural mit Suffix 2. Person Maskulinum Singular, „aus deinen Brüdern"), </w:t>
      </w:r>
      <w:r>
        <w:rPr>
          <w:rStyle w:val="Fett"/>
          <w:rFonts w:eastAsiaTheme="majorEastAsia"/>
          <w:rtl/>
        </w:rPr>
        <w:t>כָּמֹנִי</w:t>
      </w:r>
      <w:r>
        <w:rPr>
          <w:rtl/>
        </w:rPr>
        <w:t xml:space="preserve"> </w:t>
      </w:r>
      <w:r>
        <w:t xml:space="preserve">(Präposition </w:t>
      </w:r>
      <w:r>
        <w:rPr>
          <w:rStyle w:val="Fett"/>
          <w:rFonts w:eastAsiaTheme="majorEastAsia"/>
          <w:rtl/>
        </w:rPr>
        <w:t>כְּ</w:t>
      </w:r>
      <w:r>
        <w:t xml:space="preserve">, „wie", mit Suffix 1. Person Singular, „wie mich"), </w:t>
      </w:r>
      <w:r>
        <w:rPr>
          <w:rStyle w:val="Fett"/>
          <w:rFonts w:eastAsiaTheme="majorEastAsia"/>
          <w:rtl/>
        </w:rPr>
        <w:t>יָקִים</w:t>
      </w:r>
      <w:r>
        <w:rPr>
          <w:rtl/>
        </w:rPr>
        <w:t xml:space="preserve"> </w:t>
      </w:r>
      <w:r>
        <w:t xml:space="preserve">(Hiphil Imperfekt, 3. Person Maskulinum Singular von </w:t>
      </w:r>
      <w:r>
        <w:rPr>
          <w:rStyle w:val="Fett"/>
          <w:rFonts w:eastAsiaTheme="majorEastAsia"/>
          <w:rtl/>
        </w:rPr>
        <w:t>קום</w:t>
      </w:r>
      <w:r>
        <w:t xml:space="preserve">, „aufstehen", in der Hiphil-Form „erstehen lassen, aufstellen"), </w:t>
      </w:r>
      <w:r>
        <w:rPr>
          <w:rStyle w:val="Fett"/>
          <w:rFonts w:eastAsiaTheme="majorEastAsia"/>
          <w:rtl/>
        </w:rPr>
        <w:t>לְךָ</w:t>
      </w:r>
      <w:r>
        <w:rPr>
          <w:rtl/>
        </w:rPr>
        <w:t xml:space="preserve"> </w:t>
      </w:r>
      <w:r>
        <w:t xml:space="preserve">(Präposition </w:t>
      </w:r>
      <w:r>
        <w:rPr>
          <w:rStyle w:val="Fett"/>
          <w:rFonts w:eastAsiaTheme="majorEastAsia"/>
          <w:rtl/>
        </w:rPr>
        <w:t>לְ</w:t>
      </w:r>
      <w:r>
        <w:rPr>
          <w:rtl/>
        </w:rPr>
        <w:t xml:space="preserve"> </w:t>
      </w:r>
      <w:r>
        <w:t xml:space="preserve">mit Suffix 2. Person Maskulinum Singular, „für dich"), </w:t>
      </w:r>
      <w:r>
        <w:rPr>
          <w:rStyle w:val="Fett"/>
          <w:rFonts w:eastAsiaTheme="majorEastAsia"/>
          <w:rtl/>
        </w:rPr>
        <w:t>יְהוָה אֱלֹהֶיךָ</w:t>
      </w:r>
      <w:r>
        <w:rPr>
          <w:rtl/>
        </w:rPr>
        <w:t xml:space="preserve"> </w:t>
      </w:r>
      <w:r>
        <w:t>als Subjekt.</w:t>
      </w:r>
    </w:p>
    <w:p w14:paraId="57F9F9A6" w14:textId="77777777" w:rsidR="00DD2E9B" w:rsidRDefault="00DD2E9B" w:rsidP="00DD2E9B">
      <w:pPr>
        <w:pStyle w:val="whitespace-normal"/>
      </w:pPr>
      <w:r>
        <w:rPr>
          <w:rStyle w:val="Fett"/>
          <w:rFonts w:eastAsiaTheme="majorEastAsia"/>
          <w:rtl/>
        </w:rPr>
        <w:t>אֵלָיו תִּשְׁמָעוּן</w:t>
      </w:r>
      <w:r>
        <w:rPr>
          <w:rtl/>
        </w:rPr>
        <w:t xml:space="preserve"> </w:t>
      </w:r>
      <w:r>
        <w:t xml:space="preserve">ist der Imperativsatz: </w:t>
      </w:r>
      <w:r>
        <w:rPr>
          <w:rStyle w:val="Fett"/>
          <w:rFonts w:eastAsiaTheme="majorEastAsia"/>
          <w:rtl/>
        </w:rPr>
        <w:t>אֵלָיו</w:t>
      </w:r>
      <w:r>
        <w:rPr>
          <w:rtl/>
        </w:rPr>
        <w:t xml:space="preserve"> </w:t>
      </w:r>
      <w:r>
        <w:t xml:space="preserve">(Präposition </w:t>
      </w:r>
      <w:r>
        <w:rPr>
          <w:rStyle w:val="Fett"/>
          <w:rFonts w:eastAsiaTheme="majorEastAsia"/>
          <w:rtl/>
        </w:rPr>
        <w:t>אֶל</w:t>
      </w:r>
      <w:r>
        <w:rPr>
          <w:rtl/>
        </w:rPr>
        <w:t xml:space="preserve"> </w:t>
      </w:r>
      <w:r>
        <w:t xml:space="preserve">mit Suffix 3. Person Maskulinum Singular, „zu ihm, auf ihn"), </w:t>
      </w:r>
      <w:r>
        <w:rPr>
          <w:rStyle w:val="Fett"/>
          <w:rFonts w:eastAsiaTheme="majorEastAsia"/>
          <w:rtl/>
        </w:rPr>
        <w:t>תִּשְׁמָעוּן</w:t>
      </w:r>
      <w:r>
        <w:rPr>
          <w:rtl/>
        </w:rPr>
        <w:t xml:space="preserve"> </w:t>
      </w:r>
      <w:r>
        <w:t xml:space="preserve">(Qal Imperfekt, 2. Person Plural von </w:t>
      </w:r>
      <w:r>
        <w:rPr>
          <w:rStyle w:val="Fett"/>
          <w:rFonts w:eastAsiaTheme="majorEastAsia"/>
          <w:rtl/>
        </w:rPr>
        <w:t>שׁמע</w:t>
      </w:r>
      <w:r>
        <w:t>, „hören", mit Paragogischem Nun).</w:t>
      </w:r>
    </w:p>
    <w:p w14:paraId="2BEB372A" w14:textId="77777777" w:rsidR="00DD2E9B" w:rsidRDefault="00DD2E9B" w:rsidP="00DD2E9B">
      <w:pPr>
        <w:pStyle w:val="whitespace-normal"/>
      </w:pPr>
      <w:r>
        <w:t xml:space="preserve">Der Vers ist einer der bedeutendsten messianischen Texte des AT. Die Formulierung </w:t>
      </w:r>
      <w:r>
        <w:rPr>
          <w:rStyle w:val="Fett"/>
          <w:rFonts w:eastAsiaTheme="majorEastAsia"/>
          <w:rtl/>
        </w:rPr>
        <w:t>נָבִיא... כָּמֹנִי</w:t>
      </w:r>
      <w:r>
        <w:rPr>
          <w:rtl/>
        </w:rPr>
        <w:t xml:space="preserve"> </w:t>
      </w:r>
      <w:r>
        <w:t xml:space="preserve">(„ein Prophet... wie mich") verheißt einen Propheten wie Mose. Die doppelte Herkunftsangabe </w:t>
      </w:r>
      <w:r>
        <w:rPr>
          <w:rStyle w:val="Fett"/>
          <w:rFonts w:eastAsiaTheme="majorEastAsia"/>
          <w:rtl/>
        </w:rPr>
        <w:t>מִקִּרְבְּךָ מֵאַחֶיךָ</w:t>
      </w:r>
      <w:r>
        <w:rPr>
          <w:rtl/>
        </w:rPr>
        <w:t xml:space="preserve"> </w:t>
      </w:r>
      <w:r>
        <w:t>(„aus deiner Mitte, aus deinen Brüdern") betont: ein Israelit, kein Fremder (vgl. 17,15).</w:t>
      </w:r>
    </w:p>
    <w:p w14:paraId="79B00246" w14:textId="65CDA1EB" w:rsidR="00DD2E9B" w:rsidRDefault="00DD2E9B" w:rsidP="00DD2E9B">
      <w:pPr>
        <w:pStyle w:val="whitespace-normal"/>
      </w:pPr>
      <w:r>
        <w:t xml:space="preserve">Die Frage: Bezieht sich </w:t>
      </w:r>
      <w:r>
        <w:rPr>
          <w:rStyle w:val="Fett"/>
          <w:rFonts w:eastAsiaTheme="majorEastAsia"/>
          <w:rtl/>
        </w:rPr>
        <w:t>נָבִיא</w:t>
      </w:r>
      <w:r>
        <w:rPr>
          <w:rtl/>
        </w:rPr>
        <w:t xml:space="preserve"> </w:t>
      </w:r>
      <w:r>
        <w:t>auf (1) die prophetische Institution allgemein (jeder Prophet ist wie Mose), (2) eine Reihe von Propheten, oder (3) einen spezifischen endzeitlichen Propheten wie Mose? Die jüdische Tradition versteht es meist als (1) oder (2), die frühe christliche Auslegung als (3), auf Christus bezogen (vgl. Joh 1,21.45; 5,46; 6,14; 7,40; Apg 3,22-23; 7,37).</w:t>
      </w:r>
    </w:p>
    <w:p w14:paraId="1CC9B16E" w14:textId="71BEEAB7" w:rsidR="00731060" w:rsidRDefault="00731060" w:rsidP="00DD2E9B">
      <w:pPr>
        <w:pStyle w:val="whitespace-normal"/>
      </w:pPr>
      <w:r>
        <w:rPr>
          <w:rStyle w:val="Fett"/>
        </w:rPr>
        <w:t>Die LXX</w:t>
      </w:r>
      <w:r>
        <w:t xml:space="preserve"> übersetzt </w:t>
      </w:r>
      <w:r w:rsidRPr="00731060">
        <w:rPr>
          <w:b/>
          <w:bCs/>
          <w:rtl/>
        </w:rPr>
        <w:t>כָּמֹנִי</w:t>
      </w:r>
      <w:r>
        <w:t xml:space="preserve"> (wie ich) mit </w:t>
      </w:r>
      <w:proofErr w:type="spellStart"/>
      <w:r>
        <w:t>ὡς</w:t>
      </w:r>
      <w:proofErr w:type="spellEnd"/>
      <w:r>
        <w:t xml:space="preserve"> </w:t>
      </w:r>
      <w:proofErr w:type="spellStart"/>
      <w:r>
        <w:t>ἐμέ</w:t>
      </w:r>
      <w:proofErr w:type="spellEnd"/>
      <w:r>
        <w:t xml:space="preserve"> (wie mich) – eine objektive statt subjektive Konstruktion, die messianisch verstanden werden konnte.</w:t>
      </w:r>
    </w:p>
    <w:p w14:paraId="70542439" w14:textId="77777777" w:rsidR="00DD2E9B" w:rsidRDefault="00DD2E9B" w:rsidP="00DD2E9B">
      <w:pPr>
        <w:pStyle w:val="whitespace-normal"/>
      </w:pPr>
      <w:r>
        <w:rPr>
          <w:rStyle w:val="Fett"/>
          <w:rFonts w:eastAsiaTheme="majorEastAsia"/>
        </w:rPr>
        <w:t>Die Satzstruktur:</w:t>
      </w:r>
      <w:r>
        <w:t xml:space="preserve"> Verbalsatz mit Imperativsatz (einen Propheten aus deiner Mitte, aus deinen Brüdern, wie mich, erstehen lassen wird für dich JHWH, dein Gott; auf ihn hören sollt ihr).</w:t>
      </w:r>
    </w:p>
    <w:p w14:paraId="66FE9504" w14:textId="77777777" w:rsidR="00DD2E9B" w:rsidRDefault="00DD2E9B" w:rsidP="00DD2E9B">
      <w:pPr>
        <w:pStyle w:val="whitespace-normal"/>
      </w:pPr>
      <w:r>
        <w:t>Der Vers verheißt: JHWH wird für Israel einen Propheten wie Mose erstehen lassen – aus dem Volk – auf ihn sollt ihr hören.</w:t>
      </w:r>
    </w:p>
    <w:p w14:paraId="4FA7B376"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lastRenderedPageBreak/>
        <w:t>Deuteronomium 18,16</w:t>
      </w:r>
    </w:p>
    <w:p w14:paraId="6F9C9D1E" w14:textId="77777777" w:rsidR="00DD2E9B" w:rsidRDefault="00DD2E9B" w:rsidP="00DD2E9B">
      <w:pPr>
        <w:pStyle w:val="whitespace-normal"/>
      </w:pPr>
      <w:r>
        <w:rPr>
          <w:rStyle w:val="Fett"/>
          <w:rFonts w:eastAsiaTheme="majorEastAsia"/>
        </w:rPr>
        <w:t>Hebräisch:</w:t>
      </w:r>
      <w:r>
        <w:t xml:space="preserve"> </w:t>
      </w:r>
      <w:r>
        <w:rPr>
          <w:rtl/>
        </w:rPr>
        <w:t>כְּכֹ֨ל אֲשֶׁר־שָׁאַ֜לְתָּ מֵעִ֨ם יְהוָ֤ה אֱלֹהֶ֨יךָ֙ בְּחֹרֵ֔ב בְּי֥וֹם הַקָּהָ֖ל לֵאמֹ֑ר לֹ֣א אֹסֵ֗ף לִשְׁמֹ֨עַ֙ אֶת־קוֹל֙ יְהוָ֣ה אֱלֹהָ֔י וְאֶת־הָאֵ֨שׁ הַגְּדֹלָ֥ה הַזֹּ֛את לֹֽא־אֶרְאֶ֥ה ע֖וֹד וְלֹ֥א אָמֽוּת׃</w:t>
      </w:r>
    </w:p>
    <w:p w14:paraId="66446D46" w14:textId="77777777" w:rsidR="00DD2E9B" w:rsidRDefault="00DD2E9B" w:rsidP="00DD2E9B">
      <w:pPr>
        <w:pStyle w:val="whitespace-normal"/>
      </w:pPr>
      <w:r>
        <w:rPr>
          <w:rStyle w:val="Fett"/>
          <w:rFonts w:eastAsiaTheme="majorEastAsia"/>
        </w:rPr>
        <w:t>Deutsch:</w:t>
      </w:r>
      <w:r>
        <w:t xml:space="preserve"> Nach allem, was du erbeten hast von dem Ewigen, deinem Gott, am Chorev am Tag der Versammlung, sagend: Ich möchte nicht fortfahren zu hören die Stimme des Ewigen, meines Gottes, und dieses große Feuer möchte ich nicht mehr sehen, damit ich nicht sterbe.</w:t>
      </w:r>
    </w:p>
    <w:p w14:paraId="6A210D7D" w14:textId="77777777" w:rsidR="00DD2E9B" w:rsidRDefault="004F5CEB" w:rsidP="00DD2E9B">
      <w:r>
        <w:rPr>
          <w:noProof/>
        </w:rPr>
        <w:pict w14:anchorId="6247C20D">
          <v:rect id="_x0000_i1525" style="width:0;height:1.5pt" o:hralign="center" o:hrstd="t" o:hr="t" fillcolor="#a0a0a0" stroked="f"/>
        </w:pict>
      </w:r>
    </w:p>
    <w:p w14:paraId="110F664E" w14:textId="77777777" w:rsidR="00DD2E9B" w:rsidRDefault="00DD2E9B" w:rsidP="00DD2E9B">
      <w:pPr>
        <w:pStyle w:val="whitespace-normal"/>
      </w:pPr>
      <w:r>
        <w:rPr>
          <w:rStyle w:val="Fett"/>
          <w:rFonts w:eastAsiaTheme="majorEastAsia"/>
        </w:rPr>
        <w:t>Kommentar:</w:t>
      </w:r>
      <w:r>
        <w:t xml:space="preserve"> </w:t>
      </w:r>
      <w:r>
        <w:rPr>
          <w:rStyle w:val="Fett"/>
          <w:rFonts w:eastAsiaTheme="majorEastAsia"/>
          <w:rtl/>
        </w:rPr>
        <w:t>כְּכֹל אֲשֶׁר־שָׁאַלְתָּ מֵעִם יְהוָה אֱלֹהֶיךָ בְּחֹרֵב בְּיוֹם הַקָּהָל לֵאמֹר</w:t>
      </w:r>
      <w:r>
        <w:rPr>
          <w:rtl/>
        </w:rPr>
        <w:t xml:space="preserve"> </w:t>
      </w:r>
      <w:r>
        <w:t xml:space="preserve">ist die einleitende Bestimmung: </w:t>
      </w:r>
      <w:r>
        <w:rPr>
          <w:rStyle w:val="Fett"/>
          <w:rFonts w:eastAsiaTheme="majorEastAsia"/>
          <w:rtl/>
        </w:rPr>
        <w:t>כְּכֹל אֲשֶׁר־שָׁאַלְתָּ</w:t>
      </w:r>
      <w:r>
        <w:rPr>
          <w:rtl/>
        </w:rPr>
        <w:t xml:space="preserve"> </w:t>
      </w:r>
      <w:r>
        <w:t xml:space="preserve">(Präposition </w:t>
      </w:r>
      <w:r>
        <w:rPr>
          <w:rStyle w:val="Fett"/>
          <w:rFonts w:eastAsiaTheme="majorEastAsia"/>
          <w:rtl/>
        </w:rPr>
        <w:t>כְּ</w:t>
      </w:r>
      <w:r>
        <w:t xml:space="preserve">, „nach, gemäß", mit </w:t>
      </w:r>
      <w:r>
        <w:rPr>
          <w:rStyle w:val="Fett"/>
          <w:rFonts w:eastAsiaTheme="majorEastAsia"/>
          <w:rtl/>
        </w:rPr>
        <w:t>כֹּל</w:t>
      </w:r>
      <w:r>
        <w:t xml:space="preserve">, Relativsatz: </w:t>
      </w:r>
      <w:r>
        <w:rPr>
          <w:rStyle w:val="Fett"/>
          <w:rFonts w:eastAsiaTheme="majorEastAsia"/>
          <w:rtl/>
        </w:rPr>
        <w:t>אֲשֶׁר</w:t>
      </w:r>
      <w:r>
        <w:rPr>
          <w:rtl/>
        </w:rPr>
        <w:t xml:space="preserve"> </w:t>
      </w:r>
      <w:r>
        <w:t xml:space="preserve">mit </w:t>
      </w:r>
      <w:r>
        <w:rPr>
          <w:rStyle w:val="Fett"/>
          <w:rFonts w:eastAsiaTheme="majorEastAsia"/>
          <w:rtl/>
        </w:rPr>
        <w:t>שׁאל</w:t>
      </w:r>
      <w:r>
        <w:t xml:space="preserve">, Qal Perfekt, 2. Person Maskulinum Singular, „bitten, erbitten", „nach allem, was du erbeten hast"), </w:t>
      </w:r>
      <w:r>
        <w:rPr>
          <w:rStyle w:val="Fett"/>
          <w:rFonts w:eastAsiaTheme="majorEastAsia"/>
          <w:rtl/>
        </w:rPr>
        <w:t>מֵעִם יְהוָה אֱלֹהֶיךָ</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עִם</w:t>
      </w:r>
      <w:r>
        <w:t xml:space="preserve">, „von", mit </w:t>
      </w:r>
      <w:r>
        <w:rPr>
          <w:rStyle w:val="Fett"/>
          <w:rFonts w:eastAsiaTheme="majorEastAsia"/>
          <w:rtl/>
        </w:rPr>
        <w:t>יְהוָה אֱלֹהֶיךָ</w:t>
      </w:r>
      <w:r>
        <w:t xml:space="preserve">), </w:t>
      </w:r>
      <w:r>
        <w:rPr>
          <w:rStyle w:val="Fett"/>
          <w:rFonts w:eastAsiaTheme="majorEastAsia"/>
          <w:rtl/>
        </w:rPr>
        <w:t>בְּחֹרֵב</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חֹרֵב</w:t>
      </w:r>
      <w:r>
        <w:t xml:space="preserve">, „Horeb"), </w:t>
      </w:r>
      <w:r>
        <w:rPr>
          <w:rStyle w:val="Fett"/>
          <w:rFonts w:eastAsiaTheme="majorEastAsia"/>
          <w:rtl/>
        </w:rPr>
        <w:t>בְּיוֹם הַקָּהָל</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יוֹם</w:t>
      </w:r>
      <w:r>
        <w:t xml:space="preserve">, „Tag", Construct mit </w:t>
      </w:r>
      <w:r>
        <w:rPr>
          <w:rStyle w:val="Fett"/>
          <w:rFonts w:eastAsiaTheme="majorEastAsia"/>
          <w:rtl/>
        </w:rPr>
        <w:t>קָהָל</w:t>
      </w:r>
      <w:r>
        <w:t xml:space="preserve">, „Versammlung", mit Artikel, „am Tag der Versammlung"), </w:t>
      </w:r>
      <w:r>
        <w:rPr>
          <w:rStyle w:val="Fett"/>
          <w:rFonts w:eastAsiaTheme="majorEastAsia"/>
          <w:rtl/>
        </w:rPr>
        <w:t>לֵאמֹר</w:t>
      </w:r>
      <w:r>
        <w:rPr>
          <w:rtl/>
        </w:rPr>
        <w:t xml:space="preserve"> </w:t>
      </w:r>
      <w:r>
        <w:t xml:space="preserve">(Qal Infinitiv Construct von </w:t>
      </w:r>
      <w:r>
        <w:rPr>
          <w:rStyle w:val="Fett"/>
          <w:rFonts w:eastAsiaTheme="majorEastAsia"/>
          <w:rtl/>
        </w:rPr>
        <w:t>אמר</w:t>
      </w:r>
      <w:r>
        <w:t>, „sagen", „sagend").</w:t>
      </w:r>
    </w:p>
    <w:p w14:paraId="16D47569" w14:textId="77777777" w:rsidR="00DD2E9B" w:rsidRDefault="00DD2E9B" w:rsidP="00DD2E9B">
      <w:pPr>
        <w:pStyle w:val="whitespace-normal"/>
      </w:pPr>
      <w:r>
        <w:rPr>
          <w:rStyle w:val="Fett"/>
          <w:rFonts w:eastAsiaTheme="majorEastAsia"/>
          <w:rtl/>
        </w:rPr>
        <w:t>לֹא אֹסֵף לִשְׁמֹעַ אֶת־קוֹל יְהוָה אֱלֹהָי וְאֶת־הָאֵשׁ הַגְּדֹלָה הַזֹּאת לֹא־אֶרְאֶה עוֹד וְלֹא אָמוּת</w:t>
      </w:r>
      <w:r>
        <w:rPr>
          <w:rtl/>
        </w:rPr>
        <w:t xml:space="preserve"> </w:t>
      </w:r>
      <w:r>
        <w:t xml:space="preserve">ist die direkte Rede: </w:t>
      </w:r>
      <w:r>
        <w:rPr>
          <w:rStyle w:val="Fett"/>
          <w:rFonts w:eastAsiaTheme="majorEastAsia"/>
          <w:rtl/>
        </w:rPr>
        <w:t>לֹא אֹסֵף לִשְׁמֹעַ</w:t>
      </w:r>
      <w:r>
        <w:rPr>
          <w:rtl/>
        </w:rPr>
        <w:t xml:space="preserve"> </w:t>
      </w:r>
      <w:r>
        <w:t xml:space="preserve">(Negation mit </w:t>
      </w:r>
      <w:r>
        <w:rPr>
          <w:rStyle w:val="Fett"/>
          <w:rFonts w:eastAsiaTheme="majorEastAsia"/>
          <w:rtl/>
        </w:rPr>
        <w:t>יסף</w:t>
      </w:r>
      <w:r>
        <w:t xml:space="preserve">, Hiphil Imperfekt, 1. Person Singular, „hinzufügen, fortfahren", mit Qal Infinitiv Construct von </w:t>
      </w:r>
      <w:r>
        <w:rPr>
          <w:rStyle w:val="Fett"/>
          <w:rFonts w:eastAsiaTheme="majorEastAsia"/>
          <w:rtl/>
        </w:rPr>
        <w:t>שׁמע</w:t>
      </w:r>
      <w:r>
        <w:t xml:space="preserve">, „hören", „nicht möchte ich fortfahren zu hören"), </w:t>
      </w:r>
      <w:r>
        <w:rPr>
          <w:rStyle w:val="Fett"/>
          <w:rFonts w:eastAsiaTheme="majorEastAsia"/>
          <w:rtl/>
        </w:rPr>
        <w:t>אֶת־קוֹל יְהוָה אֱלֹהָי</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קוֹל</w:t>
      </w:r>
      <w:r>
        <w:t xml:space="preserve">, „Stimme", Construct mit </w:t>
      </w:r>
      <w:r>
        <w:rPr>
          <w:rStyle w:val="Fett"/>
          <w:rFonts w:eastAsiaTheme="majorEastAsia"/>
          <w:rtl/>
        </w:rPr>
        <w:t>יְהוָה אֱלֹהָי</w:t>
      </w:r>
      <w:r>
        <w:t xml:space="preserve">, „die Stimme JHWHs, meines Gottes"), </w:t>
      </w:r>
      <w:r>
        <w:rPr>
          <w:rStyle w:val="Fett"/>
          <w:rFonts w:eastAsiaTheme="majorEastAsia"/>
          <w:rtl/>
        </w:rPr>
        <w:t>וְאֶת־הָאֵשׁ הַגְּדֹלָה הַזֹּאת לֹא־אֶרְאֶה עוֹד</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אֵת</w:t>
      </w:r>
      <w:r>
        <w:rPr>
          <w:rtl/>
        </w:rPr>
        <w:t xml:space="preserve"> </w:t>
      </w:r>
      <w:r>
        <w:t xml:space="preserve">und </w:t>
      </w:r>
      <w:r>
        <w:rPr>
          <w:rStyle w:val="Fett"/>
          <w:rFonts w:eastAsiaTheme="majorEastAsia"/>
          <w:rtl/>
        </w:rPr>
        <w:t>אֵשׁ</w:t>
      </w:r>
      <w:r>
        <w:t xml:space="preserve">, „Feuer", mit Artikel, </w:t>
      </w:r>
      <w:r>
        <w:rPr>
          <w:rStyle w:val="Fett"/>
          <w:rFonts w:eastAsiaTheme="majorEastAsia"/>
          <w:rtl/>
        </w:rPr>
        <w:t>גָּדוֹל</w:t>
      </w:r>
      <w:r>
        <w:t xml:space="preserve">, „groß", mit Artikel, Femininum, und Demonstrativpronomen </w:t>
      </w:r>
      <w:r>
        <w:rPr>
          <w:rStyle w:val="Fett"/>
          <w:rFonts w:eastAsiaTheme="majorEastAsia"/>
          <w:rtl/>
        </w:rPr>
        <w:t>זֹאת</w:t>
      </w:r>
      <w:r>
        <w:t xml:space="preserve">, </w:t>
      </w:r>
      <w:r>
        <w:rPr>
          <w:rStyle w:val="Fett"/>
          <w:rFonts w:eastAsiaTheme="majorEastAsia"/>
          <w:rtl/>
        </w:rPr>
        <w:t>לֹא־אֶרְאֶה</w:t>
      </w:r>
      <w:r>
        <w:t xml:space="preserve">, Negation mit </w:t>
      </w:r>
      <w:r>
        <w:rPr>
          <w:rStyle w:val="Fett"/>
          <w:rFonts w:eastAsiaTheme="majorEastAsia"/>
          <w:rtl/>
        </w:rPr>
        <w:t>ראה</w:t>
      </w:r>
      <w:r>
        <w:t xml:space="preserve">, Qal Imperfekt, 1. Person Singular, „sehen", </w:t>
      </w:r>
      <w:r>
        <w:rPr>
          <w:rStyle w:val="Fett"/>
          <w:rFonts w:eastAsiaTheme="majorEastAsia"/>
          <w:rtl/>
        </w:rPr>
        <w:t>עוֹד</w:t>
      </w:r>
      <w:r>
        <w:t xml:space="preserve">, „mehr, noch"), </w:t>
      </w:r>
      <w:r>
        <w:rPr>
          <w:rStyle w:val="Fett"/>
          <w:rFonts w:eastAsiaTheme="majorEastAsia"/>
          <w:rtl/>
        </w:rPr>
        <w:t>וְלֹא אָמוּת</w:t>
      </w:r>
      <w:r>
        <w:rPr>
          <w:rtl/>
        </w:rPr>
        <w:t xml:space="preserve"> </w:t>
      </w:r>
      <w:r>
        <w:t xml:space="preserve">(koordiniert durch </w:t>
      </w:r>
      <w:r>
        <w:rPr>
          <w:rStyle w:val="Fett"/>
          <w:rFonts w:eastAsiaTheme="majorEastAsia"/>
          <w:rtl/>
        </w:rPr>
        <w:t>וְ</w:t>
      </w:r>
      <w:r>
        <w:rPr>
          <w:rtl/>
        </w:rPr>
        <w:t xml:space="preserve"> </w:t>
      </w:r>
      <w:r>
        <w:t xml:space="preserve">mit Negation und </w:t>
      </w:r>
      <w:r>
        <w:rPr>
          <w:rStyle w:val="Fett"/>
          <w:rFonts w:eastAsiaTheme="majorEastAsia"/>
          <w:rtl/>
        </w:rPr>
        <w:t>מות</w:t>
      </w:r>
      <w:r>
        <w:t>, Qal Imperfekt, 1. Person Singular, „sterben", „damit ich nicht sterbe").</w:t>
      </w:r>
    </w:p>
    <w:p w14:paraId="6FA90406" w14:textId="0F0DE140" w:rsidR="00DD2E9B" w:rsidRDefault="00DD2E9B" w:rsidP="00DD2E9B">
      <w:pPr>
        <w:pStyle w:val="whitespace-normal"/>
      </w:pPr>
      <w:r>
        <w:t xml:space="preserve">Der Vers verweist auf die Theophanie am Sinai/Horeb, wo das Volk erschreckt bat, nicht direkt von JHWH angesprochen zu werden (vgl. Ex 20,18-21; Dtn 5,23-27). Die Formulierung </w:t>
      </w:r>
      <w:r>
        <w:rPr>
          <w:rStyle w:val="Fett"/>
          <w:rFonts w:eastAsiaTheme="majorEastAsia"/>
          <w:rtl/>
        </w:rPr>
        <w:t>בְּיוֹם הַקָּהָל</w:t>
      </w:r>
      <w:r>
        <w:rPr>
          <w:rtl/>
        </w:rPr>
        <w:t xml:space="preserve"> </w:t>
      </w:r>
      <w:r>
        <w:t xml:space="preserve">(„am Tag der Versammlung") bezeichnet den Tag der Bundesschliessung. Die Bitte des Volkes: </w:t>
      </w:r>
      <w:r>
        <w:rPr>
          <w:rStyle w:val="Fett"/>
          <w:rFonts w:eastAsiaTheme="majorEastAsia"/>
          <w:rtl/>
        </w:rPr>
        <w:t>לֹא אֹסֵף לִשְׁמֹעַ אֶת־קוֹל יְהוָה</w:t>
      </w:r>
      <w:r>
        <w:rPr>
          <w:rtl/>
        </w:rPr>
        <w:t xml:space="preserve"> </w:t>
      </w:r>
      <w:r>
        <w:t xml:space="preserve">(„ich möchte nicht fortfahren, die Stimme JHWHs zu hören") und </w:t>
      </w:r>
      <w:r>
        <w:rPr>
          <w:rStyle w:val="Fett"/>
          <w:rFonts w:eastAsiaTheme="majorEastAsia"/>
          <w:rtl/>
        </w:rPr>
        <w:t>וְאֶת־הָאֵשׁ הַגְּדֹלָה הַזֹּאת לֹא־אֶרְאֶה עוֹד</w:t>
      </w:r>
      <w:r>
        <w:rPr>
          <w:rtl/>
        </w:rPr>
        <w:t xml:space="preserve"> </w:t>
      </w:r>
      <w:r>
        <w:t>(„dieses große Feuer möchte ich nicht mehr sehen") drückt die Furcht vor direkter göttlicher Begegnung aus.</w:t>
      </w:r>
    </w:p>
    <w:p w14:paraId="2286FB4A" w14:textId="43827E52" w:rsidR="00731060" w:rsidRDefault="00731060" w:rsidP="00DD2E9B">
      <w:pPr>
        <w:pStyle w:val="whitespace-normal"/>
      </w:pPr>
      <w:r>
        <w:rPr>
          <w:rStyle w:val="Fett"/>
        </w:rPr>
        <w:t>Die LXX</w:t>
      </w:r>
      <w:r>
        <w:t xml:space="preserve"> verwendet </w:t>
      </w:r>
      <w:proofErr w:type="spellStart"/>
      <w:r>
        <w:t>οὐδὲ</w:t>
      </w:r>
      <w:proofErr w:type="spellEnd"/>
      <w:r>
        <w:t xml:space="preserve"> </w:t>
      </w:r>
      <w:proofErr w:type="spellStart"/>
      <w:r>
        <w:t>μή</w:t>
      </w:r>
      <w:proofErr w:type="spellEnd"/>
      <w:r>
        <w:t xml:space="preserve"> (keinesfalls) – die stärkste griechische Verneinung – für das einfache </w:t>
      </w:r>
      <w:r w:rsidRPr="00731060">
        <w:rPr>
          <w:b/>
          <w:bCs/>
          <w:rtl/>
        </w:rPr>
        <w:t>וְלֹא</w:t>
      </w:r>
      <w:r>
        <w:t xml:space="preserve"> am Ende des Verses.</w:t>
      </w:r>
    </w:p>
    <w:p w14:paraId="420C53F0" w14:textId="77777777" w:rsidR="00DD2E9B" w:rsidRDefault="00DD2E9B" w:rsidP="00DD2E9B">
      <w:pPr>
        <w:pStyle w:val="whitespace-normal"/>
      </w:pPr>
      <w:r>
        <w:rPr>
          <w:rStyle w:val="Fett"/>
          <w:rFonts w:eastAsiaTheme="majorEastAsia"/>
        </w:rPr>
        <w:t>Die Satzstruktur:</w:t>
      </w:r>
      <w:r>
        <w:t xml:space="preserve"> Einleitende Bestimmung mit direkter Rede (nach allem, was du erbeten hast von JHWH, deinem Gott, am Horeb, am Tag der Versammlung, sagend: Nicht möchte ich fortfahren zu hören die Stimme JHWHs, meines Gottes, und dieses große Feuer nicht möchte ich sehen mehr, damit nicht ich sterbe).</w:t>
      </w:r>
    </w:p>
    <w:p w14:paraId="6DFCFE78" w14:textId="77777777" w:rsidR="00DD2E9B" w:rsidRDefault="00DD2E9B" w:rsidP="00DD2E9B">
      <w:pPr>
        <w:pStyle w:val="whitespace-normal"/>
      </w:pPr>
      <w:r>
        <w:t>Der Vers verweist zurück: Wie das Volk am Sinai bat, nicht mehr direkt JHWHs Stimme und Feuer zu erleben – darum gibt JHWH den Propheten als Mittler.</w:t>
      </w:r>
    </w:p>
    <w:p w14:paraId="3512A8D5"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lastRenderedPageBreak/>
        <w:t>Deuteronomium 18,17</w:t>
      </w:r>
    </w:p>
    <w:p w14:paraId="27E3D0D1" w14:textId="77777777" w:rsidR="00DD2E9B" w:rsidRDefault="00DD2E9B" w:rsidP="00DD2E9B">
      <w:pPr>
        <w:pStyle w:val="whitespace-normal"/>
      </w:pPr>
      <w:r>
        <w:rPr>
          <w:rStyle w:val="Fett"/>
          <w:rFonts w:eastAsiaTheme="majorEastAsia"/>
        </w:rPr>
        <w:t>Hebräisch:</w:t>
      </w:r>
      <w:r>
        <w:t xml:space="preserve"> </w:t>
      </w:r>
      <w:r>
        <w:rPr>
          <w:rtl/>
        </w:rPr>
        <w:t>וַיֹּ֥אמֶר יְהוָ֖ה אֵלָ֑י הֵיטִ֖יבוּ אֲשֶׁ֥ר דִּבֵּֽרוּ׃</w:t>
      </w:r>
    </w:p>
    <w:p w14:paraId="69CEA8CE" w14:textId="77777777" w:rsidR="00DD2E9B" w:rsidRDefault="00DD2E9B" w:rsidP="00DD2E9B">
      <w:pPr>
        <w:pStyle w:val="whitespace-normal"/>
      </w:pPr>
      <w:r>
        <w:rPr>
          <w:rStyle w:val="Fett"/>
          <w:rFonts w:eastAsiaTheme="majorEastAsia"/>
        </w:rPr>
        <w:t>Deutsch:</w:t>
      </w:r>
      <w:r>
        <w:t xml:space="preserve"> Da sprach der Ewige zu mir: Sie haben gut geredet, was sie geredet haben.</w:t>
      </w:r>
    </w:p>
    <w:p w14:paraId="382EE098" w14:textId="77777777" w:rsidR="00DD2E9B" w:rsidRDefault="004F5CEB" w:rsidP="00DD2E9B">
      <w:r>
        <w:rPr>
          <w:noProof/>
        </w:rPr>
        <w:pict w14:anchorId="5E273A0D">
          <v:rect id="_x0000_i1526" style="width:0;height:1.5pt" o:hralign="center" o:hrstd="t" o:hr="t" fillcolor="#a0a0a0" stroked="f"/>
        </w:pict>
      </w:r>
    </w:p>
    <w:p w14:paraId="796B076C" w14:textId="77777777" w:rsidR="00DD2E9B" w:rsidRDefault="00DD2E9B" w:rsidP="00DD2E9B">
      <w:pPr>
        <w:pStyle w:val="whitespace-normal"/>
      </w:pPr>
      <w:r>
        <w:rPr>
          <w:rStyle w:val="Fett"/>
          <w:rFonts w:eastAsiaTheme="majorEastAsia"/>
        </w:rPr>
        <w:t>Kommentar:</w:t>
      </w:r>
      <w:r>
        <w:t xml:space="preserve"> </w:t>
      </w:r>
      <w:r>
        <w:rPr>
          <w:rStyle w:val="Fett"/>
          <w:rFonts w:eastAsiaTheme="majorEastAsia"/>
          <w:rtl/>
        </w:rPr>
        <w:t>וַיֹּאמֶר יְהוָה אֵלָי</w:t>
      </w:r>
      <w:r>
        <w:rPr>
          <w:rtl/>
        </w:rPr>
        <w:t xml:space="preserve"> </w:t>
      </w:r>
      <w:r>
        <w:t xml:space="preserve">ist ein Verbalsatz: </w:t>
      </w:r>
      <w:r>
        <w:rPr>
          <w:rStyle w:val="Fett"/>
          <w:rFonts w:eastAsiaTheme="majorEastAsia"/>
          <w:rtl/>
        </w:rPr>
        <w:t>וַיֹּאמֶר</w:t>
      </w:r>
      <w:r>
        <w:rPr>
          <w:rtl/>
        </w:rPr>
        <w:t xml:space="preserve"> </w:t>
      </w:r>
      <w:r>
        <w:t xml:space="preserve">(Qal Imperfekt, 3. Person Maskulinum Singular von </w:t>
      </w:r>
      <w:r>
        <w:rPr>
          <w:rStyle w:val="Fett"/>
          <w:rFonts w:eastAsiaTheme="majorEastAsia"/>
          <w:rtl/>
        </w:rPr>
        <w:t>אמר</w:t>
      </w:r>
      <w:r>
        <w:t xml:space="preserve">, „sagen", mit </w:t>
      </w:r>
      <w:r>
        <w:rPr>
          <w:rStyle w:val="Fett"/>
          <w:rFonts w:eastAsiaTheme="majorEastAsia"/>
        </w:rPr>
        <w:t>Waw</w:t>
      </w:r>
      <w:r>
        <w:t xml:space="preserve"> consecutives Imperfekt, „und er sprach"), </w:t>
      </w:r>
      <w:r>
        <w:rPr>
          <w:rStyle w:val="Fett"/>
          <w:rFonts w:eastAsiaTheme="majorEastAsia"/>
          <w:rtl/>
        </w:rPr>
        <w:t>יְהוָה</w:t>
      </w:r>
      <w:r>
        <w:rPr>
          <w:rtl/>
        </w:rPr>
        <w:t xml:space="preserve"> </w:t>
      </w:r>
      <w:r>
        <w:t>(</w:t>
      </w:r>
      <w:r>
        <w:rPr>
          <w:rStyle w:val="Fett"/>
          <w:rFonts w:eastAsiaTheme="majorEastAsia"/>
          <w:rtl/>
        </w:rPr>
        <w:t>יְהוָה</w:t>
      </w:r>
      <w:r>
        <w:rPr>
          <w:rtl/>
        </w:rPr>
        <w:t xml:space="preserve"> </w:t>
      </w:r>
      <w:r>
        <w:t xml:space="preserve">als Subjekt), </w:t>
      </w:r>
      <w:r>
        <w:rPr>
          <w:rStyle w:val="Fett"/>
          <w:rFonts w:eastAsiaTheme="majorEastAsia"/>
          <w:rtl/>
        </w:rPr>
        <w:t>אֵלָי</w:t>
      </w:r>
      <w:r>
        <w:rPr>
          <w:rtl/>
        </w:rPr>
        <w:t xml:space="preserve"> </w:t>
      </w:r>
      <w:r>
        <w:t xml:space="preserve">(Präposition </w:t>
      </w:r>
      <w:r>
        <w:rPr>
          <w:rStyle w:val="Fett"/>
          <w:rFonts w:eastAsiaTheme="majorEastAsia"/>
          <w:rtl/>
        </w:rPr>
        <w:t>אֶל</w:t>
      </w:r>
      <w:r>
        <w:rPr>
          <w:rtl/>
        </w:rPr>
        <w:t xml:space="preserve"> </w:t>
      </w:r>
      <w:r>
        <w:t>mit Suffix 1. Person Singular, „zu mir").</w:t>
      </w:r>
    </w:p>
    <w:p w14:paraId="1A08C322" w14:textId="77777777" w:rsidR="00DD2E9B" w:rsidRDefault="00DD2E9B" w:rsidP="00DD2E9B">
      <w:pPr>
        <w:pStyle w:val="whitespace-normal"/>
      </w:pPr>
      <w:r>
        <w:rPr>
          <w:rStyle w:val="Fett"/>
          <w:rFonts w:eastAsiaTheme="majorEastAsia"/>
          <w:rtl/>
        </w:rPr>
        <w:t>הֵיטִיבוּ אֲשֶׁר דִּבֵּרוּ</w:t>
      </w:r>
      <w:r>
        <w:rPr>
          <w:rtl/>
        </w:rPr>
        <w:t xml:space="preserve"> </w:t>
      </w:r>
      <w:r>
        <w:t xml:space="preserve">ist die direkte Rede: </w:t>
      </w:r>
      <w:r>
        <w:rPr>
          <w:rStyle w:val="Fett"/>
          <w:rFonts w:eastAsiaTheme="majorEastAsia"/>
          <w:rtl/>
        </w:rPr>
        <w:t>הֵיטִיבוּ</w:t>
      </w:r>
      <w:r>
        <w:rPr>
          <w:rtl/>
        </w:rPr>
        <w:t xml:space="preserve"> </w:t>
      </w:r>
      <w:r>
        <w:t xml:space="preserve">(Hiphil Perfekt, 3. Person Plural von </w:t>
      </w:r>
      <w:r>
        <w:rPr>
          <w:rStyle w:val="Fett"/>
          <w:rFonts w:eastAsiaTheme="majorEastAsia"/>
          <w:rtl/>
        </w:rPr>
        <w:t>יטב</w:t>
      </w:r>
      <w:r>
        <w:t xml:space="preserve">, „gut sein", in der Hiphil-Form „gut machen, gut tun, recht handeln", „sie haben gut getan/geredet"), </w:t>
      </w:r>
      <w:r>
        <w:rPr>
          <w:rStyle w:val="Fett"/>
          <w:rFonts w:eastAsiaTheme="majorEastAsia"/>
          <w:rtl/>
        </w:rPr>
        <w:t>אֲשֶׁר דִּבֵּרוּ</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דבר</w:t>
      </w:r>
      <w:r>
        <w:t>, Piel Perfekt, 3. Person Plural, „reden", „was sie geredet haben").</w:t>
      </w:r>
    </w:p>
    <w:p w14:paraId="5D329D6E" w14:textId="6EA13ACA" w:rsidR="00DD2E9B" w:rsidRDefault="00DD2E9B" w:rsidP="00DD2E9B">
      <w:pPr>
        <w:pStyle w:val="whitespace-normal"/>
      </w:pPr>
      <w:r>
        <w:t xml:space="preserve">Der Vers ist die göttliche Antwort auf die Bitte des Volkes in V. 16. JHWH billigt die Bitte des Volkes – sie haben recht, dass sie nicht ständig direkt von JHWH angesprochen werden wollen/sollen. Das Verb </w:t>
      </w:r>
      <w:r>
        <w:rPr>
          <w:rStyle w:val="Fett"/>
          <w:rFonts w:eastAsiaTheme="majorEastAsia"/>
          <w:rtl/>
        </w:rPr>
        <w:t>יטב</w:t>
      </w:r>
      <w:r>
        <w:rPr>
          <w:rtl/>
        </w:rPr>
        <w:t xml:space="preserve"> </w:t>
      </w:r>
      <w:r>
        <w:t xml:space="preserve">im Hiphil („gut machen, recht handeln") drückt göttliche Zustimmung aus (vgl. Gen 4,7; Dtn 5,28; 9,21; 13,15; 17,4; 18,17; 19,18; </w:t>
      </w:r>
      <w:r w:rsidR="00664EB6">
        <w:t>1Sam</w:t>
      </w:r>
      <w:r>
        <w:t xml:space="preserve"> 20,12; </w:t>
      </w:r>
      <w:r w:rsidR="00664EB6">
        <w:t>2Sam</w:t>
      </w:r>
      <w:r>
        <w:t xml:space="preserve"> 17,4; </w:t>
      </w:r>
      <w:r w:rsidR="00664EB6">
        <w:t>1Kön</w:t>
      </w:r>
      <w:r>
        <w:t xml:space="preserve"> 8,18; </w:t>
      </w:r>
      <w:r w:rsidR="00664EB6">
        <w:t>2Chr</w:t>
      </w:r>
      <w:r>
        <w:t xml:space="preserve"> 6,8; Jer 7,5; 18,10; 26,13; Mi 3,2).</w:t>
      </w:r>
    </w:p>
    <w:p w14:paraId="79CE79FF" w14:textId="1BE59004" w:rsidR="00DD2E9B" w:rsidRDefault="00DD2E9B" w:rsidP="00DD2E9B">
      <w:pPr>
        <w:pStyle w:val="whitespace-normal"/>
      </w:pPr>
      <w:r>
        <w:t>Die göttliche Billigung bereitet die Lösung vor: JHWH wird Propheten als Mittler einsetzen (V. 18). Dies ist die theologische Grundlage für die prophetische Institution – das Volk kann und soll nicht direkt von JHWH angesprochen werden, sondern durch Propheten.</w:t>
      </w:r>
    </w:p>
    <w:p w14:paraId="50D2B319" w14:textId="59B6FC86" w:rsidR="00731060" w:rsidRDefault="00731060" w:rsidP="00DD2E9B">
      <w:pPr>
        <w:pStyle w:val="whitespace-normal"/>
      </w:pPr>
      <w:r>
        <w:rPr>
          <w:rStyle w:val="Fett"/>
        </w:rPr>
        <w:t>Die LXX</w:t>
      </w:r>
      <w:r>
        <w:t xml:space="preserve"> übersetzt </w:t>
      </w:r>
      <w:r w:rsidRPr="00731060">
        <w:rPr>
          <w:b/>
          <w:bCs/>
          <w:rtl/>
        </w:rPr>
        <w:t>הֵיטִיבוּ אֲשֶׁר דִּבֵּרו</w:t>
      </w:r>
      <w:r>
        <w:rPr>
          <w:rtl/>
        </w:rPr>
        <w:t>ּ</w:t>
      </w:r>
      <w:r>
        <w:t xml:space="preserve"> (sie haben gut gesprochen, was sie gesprochen haben) mit </w:t>
      </w:r>
      <w:proofErr w:type="spellStart"/>
      <w:r>
        <w:t>Ὀρθῶς</w:t>
      </w:r>
      <w:proofErr w:type="spellEnd"/>
      <w:r>
        <w:t xml:space="preserve"> π</w:t>
      </w:r>
      <w:proofErr w:type="spellStart"/>
      <w:r>
        <w:t>άντ</w:t>
      </w:r>
      <w:proofErr w:type="spellEnd"/>
      <w:r>
        <w:t xml:space="preserve">α, </w:t>
      </w:r>
      <w:proofErr w:type="spellStart"/>
      <w:r>
        <w:t>ὅσ</w:t>
      </w:r>
      <w:proofErr w:type="spellEnd"/>
      <w:r>
        <w:t xml:space="preserve">α </w:t>
      </w:r>
      <w:proofErr w:type="spellStart"/>
      <w:r>
        <w:t>ἐλάλησ</w:t>
      </w:r>
      <w:proofErr w:type="spellEnd"/>
      <w:r>
        <w:t>αν (Richtig alles, was sie gesprochen haben) – eine direktere, affirmative Formulierung.</w:t>
      </w:r>
    </w:p>
    <w:p w14:paraId="012B2134" w14:textId="77777777" w:rsidR="00DD2E9B" w:rsidRDefault="00DD2E9B" w:rsidP="00DD2E9B">
      <w:pPr>
        <w:pStyle w:val="whitespace-normal"/>
      </w:pPr>
      <w:r>
        <w:rPr>
          <w:rStyle w:val="Fett"/>
          <w:rFonts w:eastAsiaTheme="majorEastAsia"/>
        </w:rPr>
        <w:t>Die Satzstruktur:</w:t>
      </w:r>
      <w:r>
        <w:t xml:space="preserve"> Verbalsatz mit direkter Rede (und sprach JHWH zu mir: Gut getan haben sie, was sie geredet haben).</w:t>
      </w:r>
    </w:p>
    <w:p w14:paraId="6EA57B37" w14:textId="77777777" w:rsidR="00DD2E9B" w:rsidRDefault="00DD2E9B" w:rsidP="00DD2E9B">
      <w:pPr>
        <w:pStyle w:val="whitespace-normal"/>
      </w:pPr>
      <w:r>
        <w:t>Der Vers bringt JHWHs Zustimmung: Die Bitte des Volkes war berechtigt – sie haben recht geredet.</w:t>
      </w:r>
    </w:p>
    <w:p w14:paraId="5D74D714"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18,18</w:t>
      </w:r>
    </w:p>
    <w:p w14:paraId="666C076F" w14:textId="77777777" w:rsidR="00DD2E9B" w:rsidRDefault="00DD2E9B" w:rsidP="00DD2E9B">
      <w:pPr>
        <w:pStyle w:val="whitespace-normal"/>
      </w:pPr>
      <w:r>
        <w:rPr>
          <w:rStyle w:val="Fett"/>
          <w:rFonts w:eastAsiaTheme="majorEastAsia"/>
        </w:rPr>
        <w:t>Hebräisch:</w:t>
      </w:r>
      <w:r>
        <w:t xml:space="preserve"> </w:t>
      </w:r>
      <w:r>
        <w:rPr>
          <w:rtl/>
        </w:rPr>
        <w:t>נָבִ֨יא אָקִ֥ים לָהֶ֛ם מִקֶּ֥רֶב אֲחֵיהֶ֖ם כָּמ֑וֹךָ וְנָתַתִּ֤י דְבָרַי֙ בְּפִ֔יו וְדִבֶּ֣ר אֲלֵיהֶ֔ם אֵ֖ת כָּל־אֲשֶׁ֥ר אֲצַוֶּֽנּוּ׃</w:t>
      </w:r>
    </w:p>
    <w:p w14:paraId="5966201D" w14:textId="77777777" w:rsidR="00DD2E9B" w:rsidRDefault="00DD2E9B" w:rsidP="00DD2E9B">
      <w:pPr>
        <w:pStyle w:val="whitespace-normal"/>
      </w:pPr>
      <w:r>
        <w:rPr>
          <w:rStyle w:val="Fett"/>
          <w:rFonts w:eastAsiaTheme="majorEastAsia"/>
        </w:rPr>
        <w:t>Deutsch:</w:t>
      </w:r>
      <w:r>
        <w:t xml:space="preserve"> Einen Propheten werde ich erstehen lassen für sie aus der Mitte ihrer Brüder, wie dich; und ich werde geben meine Worte in seinen Mund, und er wird zu ihnen reden alles, was ich ihm gebieten werde.</w:t>
      </w:r>
    </w:p>
    <w:p w14:paraId="3DEADCDD" w14:textId="77777777" w:rsidR="00DD2E9B" w:rsidRDefault="004F5CEB" w:rsidP="00DD2E9B">
      <w:r>
        <w:rPr>
          <w:noProof/>
        </w:rPr>
        <w:pict w14:anchorId="21EAE48F">
          <v:rect id="_x0000_i1527" style="width:0;height:1.5pt" o:hralign="center" o:hrstd="t" o:hr="t" fillcolor="#a0a0a0" stroked="f"/>
        </w:pict>
      </w:r>
    </w:p>
    <w:p w14:paraId="7627EC70" w14:textId="77777777" w:rsidR="00DD2E9B" w:rsidRDefault="00DD2E9B" w:rsidP="00DD2E9B">
      <w:pPr>
        <w:pStyle w:val="whitespace-normal"/>
      </w:pPr>
      <w:r>
        <w:rPr>
          <w:rStyle w:val="Fett"/>
          <w:rFonts w:eastAsiaTheme="majorEastAsia"/>
        </w:rPr>
        <w:lastRenderedPageBreak/>
        <w:t>Kommentar:</w:t>
      </w:r>
      <w:r>
        <w:t xml:space="preserve"> </w:t>
      </w:r>
      <w:r>
        <w:rPr>
          <w:rStyle w:val="Fett"/>
          <w:rFonts w:eastAsiaTheme="majorEastAsia"/>
          <w:rtl/>
        </w:rPr>
        <w:t>נָבִיא אָקִים לָהֶם מִקֶּרֶב אֲחֵיהֶם כָּמוֹךָ</w:t>
      </w:r>
      <w:r>
        <w:rPr>
          <w:rtl/>
        </w:rPr>
        <w:t xml:space="preserve"> </w:t>
      </w:r>
      <w:r>
        <w:t xml:space="preserve">ist die göttliche Verheißung: </w:t>
      </w:r>
      <w:r>
        <w:rPr>
          <w:rStyle w:val="Fett"/>
          <w:rFonts w:eastAsiaTheme="majorEastAsia"/>
          <w:rtl/>
        </w:rPr>
        <w:t>נָבִיא</w:t>
      </w:r>
      <w:r>
        <w:rPr>
          <w:rtl/>
        </w:rPr>
        <w:t xml:space="preserve"> </w:t>
      </w:r>
      <w:r>
        <w:t>(</w:t>
      </w:r>
      <w:r>
        <w:rPr>
          <w:rStyle w:val="Fett"/>
          <w:rFonts w:eastAsiaTheme="majorEastAsia"/>
          <w:rtl/>
        </w:rPr>
        <w:t>נָבִיא</w:t>
      </w:r>
      <w:r>
        <w:t xml:space="preserve">, „Prophet"), </w:t>
      </w:r>
      <w:r>
        <w:rPr>
          <w:rStyle w:val="Fett"/>
          <w:rFonts w:eastAsiaTheme="majorEastAsia"/>
          <w:rtl/>
        </w:rPr>
        <w:t>אָקִים</w:t>
      </w:r>
      <w:r>
        <w:rPr>
          <w:rtl/>
        </w:rPr>
        <w:t xml:space="preserve"> </w:t>
      </w:r>
      <w:r>
        <w:t xml:space="preserve">(Hiphil Imperfekt, 1. Person Singular von </w:t>
      </w:r>
      <w:r>
        <w:rPr>
          <w:rStyle w:val="Fett"/>
          <w:rFonts w:eastAsiaTheme="majorEastAsia"/>
          <w:rtl/>
        </w:rPr>
        <w:t>קום</w:t>
      </w:r>
      <w:r>
        <w:t xml:space="preserve">, „aufstehen", in der Hiphil-Form „erstehen lassen, aufstellen"), </w:t>
      </w:r>
      <w:r>
        <w:rPr>
          <w:rStyle w:val="Fett"/>
          <w:rFonts w:eastAsiaTheme="majorEastAsia"/>
          <w:rtl/>
        </w:rPr>
        <w:t>לָהֶם</w:t>
      </w:r>
      <w:r>
        <w:rPr>
          <w:rtl/>
        </w:rPr>
        <w:t xml:space="preserve"> </w:t>
      </w:r>
      <w:r>
        <w:t xml:space="preserve">(Präposition </w:t>
      </w:r>
      <w:r>
        <w:rPr>
          <w:rStyle w:val="Fett"/>
          <w:rFonts w:eastAsiaTheme="majorEastAsia"/>
          <w:rtl/>
        </w:rPr>
        <w:t>לְ</w:t>
      </w:r>
      <w:r>
        <w:rPr>
          <w:rtl/>
        </w:rPr>
        <w:t xml:space="preserve"> </w:t>
      </w:r>
      <w:r>
        <w:t xml:space="preserve">mit Suffix 3. Person Plural, „für sie"), </w:t>
      </w:r>
      <w:r>
        <w:rPr>
          <w:rStyle w:val="Fett"/>
          <w:rFonts w:eastAsiaTheme="majorEastAsia"/>
          <w:rtl/>
        </w:rPr>
        <w:t>מִקֶּרֶב אֲחֵיהֶם</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קֶרֶב</w:t>
      </w:r>
      <w:r>
        <w:t xml:space="preserve">, „Mitte", Construct mit </w:t>
      </w:r>
      <w:r>
        <w:rPr>
          <w:rStyle w:val="Fett"/>
          <w:rFonts w:eastAsiaTheme="majorEastAsia"/>
          <w:rtl/>
        </w:rPr>
        <w:t>אָח</w:t>
      </w:r>
      <w:r>
        <w:t xml:space="preserve">, „Bruder", Plural mit Suffix 3. Person Plural, „aus der Mitte ihrer Brüder"), </w:t>
      </w:r>
      <w:r>
        <w:rPr>
          <w:rStyle w:val="Fett"/>
          <w:rFonts w:eastAsiaTheme="majorEastAsia"/>
          <w:rtl/>
        </w:rPr>
        <w:t>כָּמוֹךָ</w:t>
      </w:r>
      <w:r>
        <w:rPr>
          <w:rtl/>
        </w:rPr>
        <w:t xml:space="preserve"> </w:t>
      </w:r>
      <w:r>
        <w:t xml:space="preserve">(Präposition </w:t>
      </w:r>
      <w:r>
        <w:rPr>
          <w:rStyle w:val="Fett"/>
          <w:rFonts w:eastAsiaTheme="majorEastAsia"/>
          <w:rtl/>
        </w:rPr>
        <w:t>כְּ</w:t>
      </w:r>
      <w:r>
        <w:t>, „wie", mit Suffix 2. Person Maskulinum Singular, „wie dich").</w:t>
      </w:r>
    </w:p>
    <w:p w14:paraId="74A682F0" w14:textId="77777777" w:rsidR="00DD2E9B" w:rsidRDefault="00DD2E9B" w:rsidP="00DD2E9B">
      <w:pPr>
        <w:pStyle w:val="whitespace-normal"/>
      </w:pPr>
      <w:r>
        <w:rPr>
          <w:rStyle w:val="Fett"/>
          <w:rFonts w:eastAsiaTheme="majorEastAsia"/>
          <w:rtl/>
        </w:rPr>
        <w:t>וְנָתַתִּי דְבָרַי בְּפִיו</w:t>
      </w:r>
      <w:r>
        <w:rPr>
          <w:rtl/>
        </w:rPr>
        <w:t xml:space="preserve"> </w:t>
      </w:r>
      <w:r>
        <w:t xml:space="preserve">ist die zweite Verheißung: </w:t>
      </w:r>
      <w:r>
        <w:rPr>
          <w:rStyle w:val="Fett"/>
          <w:rFonts w:eastAsiaTheme="majorEastAsia"/>
          <w:rtl/>
        </w:rPr>
        <w:t>וְנָתַתִּי</w:t>
      </w:r>
      <w:r>
        <w:rPr>
          <w:rtl/>
        </w:rPr>
        <w:t xml:space="preserve"> </w:t>
      </w:r>
      <w:r>
        <w:t xml:space="preserve">(koordiniert durch </w:t>
      </w:r>
      <w:r>
        <w:rPr>
          <w:rStyle w:val="Fett"/>
          <w:rFonts w:eastAsiaTheme="majorEastAsia"/>
          <w:rtl/>
        </w:rPr>
        <w:t>וְ</w:t>
      </w:r>
      <w:r>
        <w:rPr>
          <w:rtl/>
        </w:rPr>
        <w:t xml:space="preserve"> </w:t>
      </w:r>
      <w:r>
        <w:t xml:space="preserve">mit Qal Perfekt, 1. Person Singular von </w:t>
      </w:r>
      <w:r>
        <w:rPr>
          <w:rStyle w:val="Fett"/>
          <w:rFonts w:eastAsiaTheme="majorEastAsia"/>
          <w:rtl/>
        </w:rPr>
        <w:t>נתן</w:t>
      </w:r>
      <w:r>
        <w:t xml:space="preserve">, „geben", mit </w:t>
      </w:r>
      <w:r>
        <w:rPr>
          <w:rStyle w:val="Fett"/>
          <w:rFonts w:eastAsiaTheme="majorEastAsia"/>
        </w:rPr>
        <w:t>Waw</w:t>
      </w:r>
      <w:r>
        <w:t xml:space="preserve"> consecutives Perfekt), </w:t>
      </w:r>
      <w:r>
        <w:rPr>
          <w:rStyle w:val="Fett"/>
          <w:rFonts w:eastAsiaTheme="majorEastAsia"/>
          <w:rtl/>
        </w:rPr>
        <w:t>דְבָרַי</w:t>
      </w:r>
      <w:r>
        <w:rPr>
          <w:rtl/>
        </w:rPr>
        <w:t xml:space="preserve"> </w:t>
      </w:r>
      <w:r>
        <w:t>(</w:t>
      </w:r>
      <w:r>
        <w:rPr>
          <w:rStyle w:val="Fett"/>
          <w:rFonts w:eastAsiaTheme="majorEastAsia"/>
          <w:rtl/>
        </w:rPr>
        <w:t>דָּבָר</w:t>
      </w:r>
      <w:r>
        <w:t xml:space="preserve">, „Wort", Plural mit Suffix 1. Person Singular, „meine Worte"), </w:t>
      </w:r>
      <w:r>
        <w:rPr>
          <w:rStyle w:val="Fett"/>
          <w:rFonts w:eastAsiaTheme="majorEastAsia"/>
          <w:rtl/>
        </w:rPr>
        <w:t>בְּפִיו</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פֶּה</w:t>
      </w:r>
      <w:r>
        <w:t>, „Mund", mit Suffix 3. Person Maskulinum Singular, „in seinen Mund").</w:t>
      </w:r>
    </w:p>
    <w:p w14:paraId="32FA33F0" w14:textId="77777777" w:rsidR="00DD2E9B" w:rsidRDefault="00DD2E9B" w:rsidP="00DD2E9B">
      <w:pPr>
        <w:pStyle w:val="whitespace-normal"/>
      </w:pPr>
      <w:r>
        <w:rPr>
          <w:rStyle w:val="Fett"/>
          <w:rFonts w:eastAsiaTheme="majorEastAsia"/>
          <w:rtl/>
        </w:rPr>
        <w:t>וְדִבֶּר אֲלֵיהֶם אֵת כָּל־אֲשֶׁר אֲצַוֶּנּוּ</w:t>
      </w:r>
      <w:r>
        <w:rPr>
          <w:rtl/>
        </w:rPr>
        <w:t xml:space="preserve"> </w:t>
      </w:r>
      <w:r>
        <w:t xml:space="preserve">ist die dritte Verheißung: </w:t>
      </w:r>
      <w:r>
        <w:rPr>
          <w:rStyle w:val="Fett"/>
          <w:rFonts w:eastAsiaTheme="majorEastAsia"/>
          <w:rtl/>
        </w:rPr>
        <w:t>וְדִבֶּר</w:t>
      </w:r>
      <w:r>
        <w:rPr>
          <w:rtl/>
        </w:rPr>
        <w:t xml:space="preserve"> </w:t>
      </w:r>
      <w:r>
        <w:t xml:space="preserve">(koordiniert durch </w:t>
      </w:r>
      <w:r>
        <w:rPr>
          <w:rStyle w:val="Fett"/>
          <w:rFonts w:eastAsiaTheme="majorEastAsia"/>
          <w:rtl/>
        </w:rPr>
        <w:t>וְ</w:t>
      </w:r>
      <w:r>
        <w:rPr>
          <w:rtl/>
        </w:rPr>
        <w:t xml:space="preserve"> </w:t>
      </w:r>
      <w:r>
        <w:t xml:space="preserve">mit Piel Perfekt, 3. Person Maskulinum Singular von </w:t>
      </w:r>
      <w:r>
        <w:rPr>
          <w:rStyle w:val="Fett"/>
          <w:rFonts w:eastAsiaTheme="majorEastAsia"/>
          <w:rtl/>
        </w:rPr>
        <w:t>דבר</w:t>
      </w:r>
      <w:r>
        <w:t xml:space="preserve">, „reden", mit </w:t>
      </w:r>
      <w:r>
        <w:rPr>
          <w:rStyle w:val="Fett"/>
          <w:rFonts w:eastAsiaTheme="majorEastAsia"/>
        </w:rPr>
        <w:t>Waw</w:t>
      </w:r>
      <w:r>
        <w:t xml:space="preserve"> consecutives Perfekt), </w:t>
      </w:r>
      <w:r>
        <w:rPr>
          <w:rStyle w:val="Fett"/>
          <w:rFonts w:eastAsiaTheme="majorEastAsia"/>
          <w:rtl/>
        </w:rPr>
        <w:t>אֲלֵיהֶם</w:t>
      </w:r>
      <w:r>
        <w:rPr>
          <w:rtl/>
        </w:rPr>
        <w:t xml:space="preserve"> </w:t>
      </w:r>
      <w:r>
        <w:t xml:space="preserve">(Präposition </w:t>
      </w:r>
      <w:r>
        <w:rPr>
          <w:rStyle w:val="Fett"/>
          <w:rFonts w:eastAsiaTheme="majorEastAsia"/>
          <w:rtl/>
        </w:rPr>
        <w:t>אֶל</w:t>
      </w:r>
      <w:r>
        <w:rPr>
          <w:rtl/>
        </w:rPr>
        <w:t xml:space="preserve"> </w:t>
      </w:r>
      <w:r>
        <w:t xml:space="preserve">mit Suffix 3. Person Plural, „zu ihnen"), </w:t>
      </w:r>
      <w:r>
        <w:rPr>
          <w:rStyle w:val="Fett"/>
          <w:rFonts w:eastAsiaTheme="majorEastAsia"/>
          <w:rtl/>
        </w:rPr>
        <w:t>אֵת כָּל־אֲשֶׁר אֲצַוֶּנּוּ</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כֹּל</w:t>
      </w:r>
      <w:r>
        <w:t xml:space="preserve">, Relativsatz: </w:t>
      </w:r>
      <w:r>
        <w:rPr>
          <w:rStyle w:val="Fett"/>
          <w:rFonts w:eastAsiaTheme="majorEastAsia"/>
          <w:rtl/>
        </w:rPr>
        <w:t>אֲשֶׁר</w:t>
      </w:r>
      <w:r>
        <w:rPr>
          <w:rtl/>
        </w:rPr>
        <w:t xml:space="preserve"> </w:t>
      </w:r>
      <w:r>
        <w:t xml:space="preserve">mit </w:t>
      </w:r>
      <w:r>
        <w:rPr>
          <w:rStyle w:val="Fett"/>
          <w:rFonts w:eastAsiaTheme="majorEastAsia"/>
          <w:rtl/>
        </w:rPr>
        <w:t>צוה</w:t>
      </w:r>
      <w:r>
        <w:t>, Piel Imperfekt, 1. Person Singular, „befehlen, gebieten", mit Suffix 3. Person Maskulinum Singular, „alles, was ich ihm gebieten werde").</w:t>
      </w:r>
    </w:p>
    <w:p w14:paraId="43A756AE" w14:textId="666D1828" w:rsidR="00DD2E9B" w:rsidRDefault="00DD2E9B" w:rsidP="00DD2E9B">
      <w:pPr>
        <w:pStyle w:val="whitespace-normal"/>
      </w:pPr>
      <w:r>
        <w:t xml:space="preserve">Der Vers ist die zentrale messianische Verheißung. Die Formulierung </w:t>
      </w:r>
      <w:r>
        <w:rPr>
          <w:rStyle w:val="Fett"/>
          <w:rFonts w:eastAsiaTheme="majorEastAsia"/>
          <w:rtl/>
        </w:rPr>
        <w:t>נָבִיא... כָּמוֹךָ</w:t>
      </w:r>
      <w:r>
        <w:rPr>
          <w:rtl/>
        </w:rPr>
        <w:t xml:space="preserve"> </w:t>
      </w:r>
      <w:r>
        <w:t xml:space="preserve">(„ein Prophet... wie dich") wiederholt V. 15, aber jetzt in direkter göttlicher Rede an Mose. Die Wendung </w:t>
      </w:r>
      <w:r>
        <w:rPr>
          <w:rStyle w:val="Fett"/>
          <w:rFonts w:eastAsiaTheme="majorEastAsia"/>
          <w:rtl/>
        </w:rPr>
        <w:t>וְנָתַתִּי דְבָרַי בְּפִיו</w:t>
      </w:r>
      <w:r>
        <w:rPr>
          <w:rtl/>
        </w:rPr>
        <w:t xml:space="preserve"> </w:t>
      </w:r>
      <w:r>
        <w:t xml:space="preserve">(„ich werde meine Worte in seinen Mund geben") definiert prophetische Inspiration – der Prophet spricht nicht eigene Gedanken, sondern göttliche Worte (vgl. Jer 1,9; 5,14; </w:t>
      </w:r>
      <w:r w:rsidR="00BF3748">
        <w:t>Hes</w:t>
      </w:r>
      <w:r>
        <w:t xml:space="preserve"> 2,8-3,3; Jes 51,16; 59,21; Num 22,38; 23,5.12.16).</w:t>
      </w:r>
    </w:p>
    <w:p w14:paraId="05B5188C" w14:textId="77777777" w:rsidR="00DD2E9B" w:rsidRDefault="00DD2E9B" w:rsidP="00DD2E9B">
      <w:pPr>
        <w:pStyle w:val="whitespace-normal"/>
      </w:pPr>
      <w:r>
        <w:t>Die dreifache Struktur zeigt: (1) JHWH erweckt den Propheten, (2) JHWH gibt ihm seine Worte, (3) der Prophet redet, was JHWH befiehlt. Der Prophet ist völlig von JHWH abhängig – sowohl in Berufung als auch in Botschaft.</w:t>
      </w:r>
    </w:p>
    <w:p w14:paraId="0F7B6357" w14:textId="77777777" w:rsidR="00DD2E9B" w:rsidRDefault="00DD2E9B" w:rsidP="00DD2E9B">
      <w:pPr>
        <w:pStyle w:val="whitespace-normal"/>
      </w:pPr>
      <w:r>
        <w:rPr>
          <w:rStyle w:val="Fett"/>
          <w:rFonts w:eastAsiaTheme="majorEastAsia"/>
        </w:rPr>
        <w:t>Die Satzstruktur:</w:t>
      </w:r>
      <w:r>
        <w:t xml:space="preserve"> Drei koordinierte Verheißungen (einen Propheten erstehen lassen werde ich für sie aus der Mitte ihrer Brüder, wie dich; und geben werde ich meine Worte in seinen Mund; und reden wird er zu ihnen alles, was gebieten werde ich ihm).</w:t>
      </w:r>
    </w:p>
    <w:p w14:paraId="0B9EC817" w14:textId="77777777" w:rsidR="00DD2E9B" w:rsidRDefault="00DD2E9B" w:rsidP="00DD2E9B">
      <w:pPr>
        <w:pStyle w:val="whitespace-normal"/>
      </w:pPr>
      <w:r>
        <w:t>Der Vers verheißt: JHWH wird einen Propheten wie Mose erwecken, ihm JHWHs Worte in den Mund legen, und er wird JHWHs Befehle weitergeben.</w:t>
      </w:r>
    </w:p>
    <w:p w14:paraId="656ED8C5"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18,19</w:t>
      </w:r>
    </w:p>
    <w:p w14:paraId="687EE32B" w14:textId="77777777" w:rsidR="00DD2E9B" w:rsidRDefault="00DD2E9B" w:rsidP="00DD2E9B">
      <w:pPr>
        <w:pStyle w:val="whitespace-normal"/>
      </w:pPr>
      <w:r>
        <w:rPr>
          <w:rStyle w:val="Fett"/>
          <w:rFonts w:eastAsiaTheme="majorEastAsia"/>
        </w:rPr>
        <w:t>Hebräisch:</w:t>
      </w:r>
      <w:r>
        <w:t xml:space="preserve"> </w:t>
      </w:r>
      <w:r>
        <w:rPr>
          <w:rtl/>
        </w:rPr>
        <w:t>וְהָיָ֗ה הָאִישׁ֙ אֲשֶׁ֤ר לֹֽא־יִשְׁמַע֙ אֶל־דְּבָרַ֔י אֲשֶׁ֥ר יְדַבֵּ֖ר בִּשְׁמִ֑י אָנֹכִ֖י אֶדְרֹ֥שׁ מֵעִמּוֹֽ׃</w:t>
      </w:r>
    </w:p>
    <w:p w14:paraId="66DDCE26" w14:textId="77777777" w:rsidR="00DD2E9B" w:rsidRDefault="00DD2E9B" w:rsidP="00DD2E9B">
      <w:pPr>
        <w:pStyle w:val="whitespace-normal"/>
      </w:pPr>
      <w:r>
        <w:rPr>
          <w:rStyle w:val="Fett"/>
          <w:rFonts w:eastAsiaTheme="majorEastAsia"/>
        </w:rPr>
        <w:t>Deutsch:</w:t>
      </w:r>
      <w:r>
        <w:t xml:space="preserve"> Und es wird geschehen: Der Mann, der nicht hört auf meine Worte, die er in meinem Namen reden wird, ich werde es fordern von ihm.</w:t>
      </w:r>
    </w:p>
    <w:p w14:paraId="663A665D" w14:textId="77777777" w:rsidR="00DD2E9B" w:rsidRDefault="004F5CEB" w:rsidP="00DD2E9B">
      <w:r>
        <w:rPr>
          <w:noProof/>
        </w:rPr>
        <w:pict w14:anchorId="4B4F01A3">
          <v:rect id="_x0000_i1528" style="width:0;height:1.5pt" o:hralign="center" o:hrstd="t" o:hr="t" fillcolor="#a0a0a0" stroked="f"/>
        </w:pict>
      </w:r>
    </w:p>
    <w:p w14:paraId="6975E077" w14:textId="77777777" w:rsidR="00DD2E9B" w:rsidRDefault="00DD2E9B" w:rsidP="00DD2E9B">
      <w:pPr>
        <w:pStyle w:val="whitespace-normal"/>
      </w:pPr>
      <w:r>
        <w:rPr>
          <w:rStyle w:val="Fett"/>
          <w:rFonts w:eastAsiaTheme="majorEastAsia"/>
        </w:rPr>
        <w:t>Kommentar:</w:t>
      </w:r>
      <w:r>
        <w:t xml:space="preserve"> </w:t>
      </w:r>
      <w:r>
        <w:rPr>
          <w:rStyle w:val="Fett"/>
          <w:rFonts w:eastAsiaTheme="majorEastAsia"/>
          <w:rtl/>
        </w:rPr>
        <w:t>וְהָיָה הָאִישׁ אֲשֶׁר לֹא־יִשְׁמַע אֶל־דְּבָרַי אֲשֶׁר יְדַבֵּר בִּשְׁמִי</w:t>
      </w:r>
      <w:r>
        <w:rPr>
          <w:rtl/>
        </w:rPr>
        <w:t xml:space="preserve"> </w:t>
      </w:r>
      <w:r>
        <w:t xml:space="preserve">ist ein Bedingungssatz: </w:t>
      </w:r>
      <w:r>
        <w:rPr>
          <w:rStyle w:val="Fett"/>
          <w:rFonts w:eastAsiaTheme="majorEastAsia"/>
          <w:rtl/>
        </w:rPr>
        <w:t>וְהָיָה</w:t>
      </w:r>
      <w:r>
        <w:rPr>
          <w:rtl/>
        </w:rPr>
        <w:t xml:space="preserve"> </w:t>
      </w:r>
      <w:r>
        <w:t xml:space="preserve">(Qal Perfekt, 3. Person Maskulinum Singular von </w:t>
      </w:r>
      <w:r>
        <w:rPr>
          <w:rStyle w:val="Fett"/>
          <w:rFonts w:eastAsiaTheme="majorEastAsia"/>
          <w:rtl/>
        </w:rPr>
        <w:t>היה</w:t>
      </w:r>
      <w:r>
        <w:t xml:space="preserve">, „sein", mit </w:t>
      </w:r>
      <w:r>
        <w:rPr>
          <w:rStyle w:val="Fett"/>
          <w:rFonts w:eastAsiaTheme="majorEastAsia"/>
        </w:rPr>
        <w:t>Waw</w:t>
      </w:r>
      <w:r>
        <w:t xml:space="preserve">, „und es wird sein, es </w:t>
      </w:r>
      <w:r>
        <w:lastRenderedPageBreak/>
        <w:t xml:space="preserve">wird geschehen"), </w:t>
      </w:r>
      <w:r>
        <w:rPr>
          <w:rStyle w:val="Fett"/>
          <w:rFonts w:eastAsiaTheme="majorEastAsia"/>
          <w:rtl/>
        </w:rPr>
        <w:t>הָאִישׁ</w:t>
      </w:r>
      <w:r>
        <w:rPr>
          <w:rtl/>
        </w:rPr>
        <w:t xml:space="preserve"> </w:t>
      </w:r>
      <w:r>
        <w:t>(</w:t>
      </w:r>
      <w:r>
        <w:rPr>
          <w:rStyle w:val="Fett"/>
          <w:rFonts w:eastAsiaTheme="majorEastAsia"/>
          <w:rtl/>
        </w:rPr>
        <w:t>אִישׁ</w:t>
      </w:r>
      <w:r>
        <w:t xml:space="preserve">, „Mann", mit Artikel, „der Mann"), </w:t>
      </w:r>
      <w:r>
        <w:rPr>
          <w:rStyle w:val="Fett"/>
          <w:rFonts w:eastAsiaTheme="majorEastAsia"/>
          <w:rtl/>
        </w:rPr>
        <w:t>אֲשֶׁר לֹא־יִשְׁמַע אֶל־דְּבָרַי</w:t>
      </w:r>
      <w:r>
        <w:rPr>
          <w:rtl/>
        </w:rPr>
        <w:t xml:space="preserve"> </w:t>
      </w:r>
      <w:r>
        <w:t xml:space="preserve">(Relativsatz: </w:t>
      </w:r>
      <w:r>
        <w:rPr>
          <w:rStyle w:val="Fett"/>
          <w:rFonts w:eastAsiaTheme="majorEastAsia"/>
          <w:rtl/>
        </w:rPr>
        <w:t>אֲשֶׁר</w:t>
      </w:r>
      <w:r>
        <w:rPr>
          <w:rtl/>
        </w:rPr>
        <w:t xml:space="preserve"> </w:t>
      </w:r>
      <w:r>
        <w:t xml:space="preserve">mit Negation </w:t>
      </w:r>
      <w:r>
        <w:rPr>
          <w:rStyle w:val="Fett"/>
          <w:rFonts w:eastAsiaTheme="majorEastAsia"/>
          <w:rtl/>
        </w:rPr>
        <w:t>לֹא</w:t>
      </w:r>
      <w:r>
        <w:rPr>
          <w:rtl/>
        </w:rPr>
        <w:t xml:space="preserve"> </w:t>
      </w:r>
      <w:r>
        <w:t xml:space="preserve">und </w:t>
      </w:r>
      <w:r>
        <w:rPr>
          <w:rStyle w:val="Fett"/>
          <w:rFonts w:eastAsiaTheme="majorEastAsia"/>
          <w:rtl/>
        </w:rPr>
        <w:t>שׁמע</w:t>
      </w:r>
      <w:r>
        <w:t xml:space="preserve">, Qal Imperfekt, 3. Person Maskulinum Singular, „hören", </w:t>
      </w:r>
      <w:r>
        <w:rPr>
          <w:rStyle w:val="Fett"/>
          <w:rFonts w:eastAsiaTheme="majorEastAsia"/>
          <w:rtl/>
        </w:rPr>
        <w:t>אֶל־דְּבָרַי</w:t>
      </w:r>
      <w:r>
        <w:t xml:space="preserve">, Präposition </w:t>
      </w:r>
      <w:r>
        <w:rPr>
          <w:rStyle w:val="Fett"/>
          <w:rFonts w:eastAsiaTheme="majorEastAsia"/>
          <w:rtl/>
        </w:rPr>
        <w:t>אֶל</w:t>
      </w:r>
      <w:r>
        <w:rPr>
          <w:rtl/>
        </w:rPr>
        <w:t xml:space="preserve"> </w:t>
      </w:r>
      <w:r>
        <w:t xml:space="preserve">mit </w:t>
      </w:r>
      <w:r>
        <w:rPr>
          <w:rStyle w:val="Fett"/>
          <w:rFonts w:eastAsiaTheme="majorEastAsia"/>
          <w:rtl/>
        </w:rPr>
        <w:t>דָּבָר</w:t>
      </w:r>
      <w:r>
        <w:t xml:space="preserve">, Plural mit Suffix 1. Person Singular, „auf meine Worte", „der nicht hört auf meine Worte"), </w:t>
      </w:r>
      <w:r>
        <w:rPr>
          <w:rStyle w:val="Fett"/>
          <w:rFonts w:eastAsiaTheme="majorEastAsia"/>
          <w:rtl/>
        </w:rPr>
        <w:t>אֲשֶׁר יְדַבֵּר בִּשְׁמִי</w:t>
      </w:r>
      <w:r>
        <w:rPr>
          <w:rtl/>
        </w:rPr>
        <w:t xml:space="preserve"> </w:t>
      </w:r>
      <w:r>
        <w:t xml:space="preserve">(zweiter Relativsatz: </w:t>
      </w:r>
      <w:r>
        <w:rPr>
          <w:rStyle w:val="Fett"/>
          <w:rFonts w:eastAsiaTheme="majorEastAsia"/>
          <w:rtl/>
        </w:rPr>
        <w:t>אֲשֶׁר</w:t>
      </w:r>
      <w:r>
        <w:rPr>
          <w:rtl/>
        </w:rPr>
        <w:t xml:space="preserve"> </w:t>
      </w:r>
      <w:r>
        <w:t xml:space="preserve">mit </w:t>
      </w:r>
      <w:r>
        <w:rPr>
          <w:rStyle w:val="Fett"/>
          <w:rFonts w:eastAsiaTheme="majorEastAsia"/>
          <w:rtl/>
        </w:rPr>
        <w:t>דבר</w:t>
      </w:r>
      <w:r>
        <w:t xml:space="preserve">, Piel Imperfekt, 3. Person Maskulinum Singular, „reden", </w:t>
      </w:r>
      <w:r>
        <w:rPr>
          <w:rStyle w:val="Fett"/>
          <w:rFonts w:eastAsiaTheme="majorEastAsia"/>
          <w:rtl/>
        </w:rPr>
        <w:t>בִּשְׁמִי</w:t>
      </w:r>
      <w:r>
        <w:t xml:space="preserve">, Präposition </w:t>
      </w:r>
      <w:r>
        <w:rPr>
          <w:rStyle w:val="Fett"/>
          <w:rFonts w:eastAsiaTheme="majorEastAsia"/>
          <w:rtl/>
        </w:rPr>
        <w:t>בְּ</w:t>
      </w:r>
      <w:r>
        <w:rPr>
          <w:rtl/>
        </w:rPr>
        <w:t xml:space="preserve"> </w:t>
      </w:r>
      <w:r>
        <w:t xml:space="preserve">mit </w:t>
      </w:r>
      <w:r>
        <w:rPr>
          <w:rStyle w:val="Fett"/>
          <w:rFonts w:eastAsiaTheme="majorEastAsia"/>
          <w:rtl/>
        </w:rPr>
        <w:t>שֵׁם</w:t>
      </w:r>
      <w:r>
        <w:t>, „Name", mit Suffix 1. Person Singular, „in meinem Namen", „die er reden wird in meinem Namen").</w:t>
      </w:r>
    </w:p>
    <w:p w14:paraId="6A311789" w14:textId="77777777" w:rsidR="00DD2E9B" w:rsidRDefault="00DD2E9B" w:rsidP="00DD2E9B">
      <w:pPr>
        <w:pStyle w:val="whitespace-normal"/>
      </w:pPr>
      <w:r>
        <w:rPr>
          <w:rStyle w:val="Fett"/>
          <w:rFonts w:eastAsiaTheme="majorEastAsia"/>
          <w:rtl/>
        </w:rPr>
        <w:t>אָנֹכִי אֶדְרֹשׁ מֵעִמּוֹ</w:t>
      </w:r>
      <w:r>
        <w:rPr>
          <w:rtl/>
        </w:rPr>
        <w:t xml:space="preserve"> </w:t>
      </w:r>
      <w:r>
        <w:t xml:space="preserve">ist die Folge: </w:t>
      </w:r>
      <w:r>
        <w:rPr>
          <w:rStyle w:val="Fett"/>
          <w:rFonts w:eastAsiaTheme="majorEastAsia"/>
          <w:rtl/>
        </w:rPr>
        <w:t>אָנֹכִי</w:t>
      </w:r>
      <w:r>
        <w:rPr>
          <w:rtl/>
        </w:rPr>
        <w:t xml:space="preserve"> </w:t>
      </w:r>
      <w:r>
        <w:t xml:space="preserve">(Personalpronomen 1. Person Singular, betont, „ich"), </w:t>
      </w:r>
      <w:r>
        <w:rPr>
          <w:rStyle w:val="Fett"/>
          <w:rFonts w:eastAsiaTheme="majorEastAsia"/>
          <w:rtl/>
        </w:rPr>
        <w:t>אֶדְרֹשׁ</w:t>
      </w:r>
      <w:r>
        <w:rPr>
          <w:rtl/>
        </w:rPr>
        <w:t xml:space="preserve"> </w:t>
      </w:r>
      <w:r>
        <w:t xml:space="preserve">(Qal Imperfekt, 1. Person Singular von </w:t>
      </w:r>
      <w:r>
        <w:rPr>
          <w:rStyle w:val="Fett"/>
          <w:rFonts w:eastAsiaTheme="majorEastAsia"/>
          <w:rtl/>
        </w:rPr>
        <w:t>דרשׁ</w:t>
      </w:r>
      <w:r>
        <w:t xml:space="preserve">, „suchen, fordern, zur Rechenschaft ziehen"), </w:t>
      </w:r>
      <w:r>
        <w:rPr>
          <w:rStyle w:val="Fett"/>
          <w:rFonts w:eastAsiaTheme="majorEastAsia"/>
          <w:rtl/>
        </w:rPr>
        <w:t>מֵעִמּוֹ</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עִם</w:t>
      </w:r>
      <w:r>
        <w:t>, „von", mit Suffix 3. Person Maskulinum Singular, „von ihm").</w:t>
      </w:r>
    </w:p>
    <w:p w14:paraId="7860C898" w14:textId="20F72F75" w:rsidR="00DD2E9B" w:rsidRDefault="00DD2E9B" w:rsidP="00DD2E9B">
      <w:pPr>
        <w:pStyle w:val="whitespace-normal"/>
      </w:pPr>
      <w:r>
        <w:t xml:space="preserve">Der Vers warnt vor Missachtung prophetischer Botschaft. Die Formulierung ist komplex: </w:t>
      </w:r>
      <w:r>
        <w:rPr>
          <w:rStyle w:val="Fett"/>
          <w:rFonts w:eastAsiaTheme="majorEastAsia"/>
          <w:rtl/>
        </w:rPr>
        <w:t>דְּבָרַי אֲשֶׁר יְדַבֵּר בִּשְׁמִי</w:t>
      </w:r>
      <w:r>
        <w:rPr>
          <w:rtl/>
        </w:rPr>
        <w:t xml:space="preserve"> </w:t>
      </w:r>
      <w:r>
        <w:t xml:space="preserve">(„meine Worte, die er in meinem Namen reden wird") – die Worte des Propheten sind JHWHs Worte, weil der Prophet in JHWHs Namen redet. Die Wendung </w:t>
      </w:r>
      <w:r>
        <w:rPr>
          <w:rStyle w:val="Fett"/>
          <w:rFonts w:eastAsiaTheme="majorEastAsia"/>
          <w:rtl/>
        </w:rPr>
        <w:t>אָנֹכִי אֶדְרֹשׁ מֵעִמּוֹ</w:t>
      </w:r>
      <w:r>
        <w:rPr>
          <w:rtl/>
        </w:rPr>
        <w:t xml:space="preserve"> </w:t>
      </w:r>
      <w:r>
        <w:t xml:space="preserve">(„ich werde es von ihm fordern") ist eine ernste Drohung – JHWH selbst wird den zur Rechenschaft ziehen, der den Propheten nicht hört (vgl. Gen 9,5; 42,22; Ex 32,34; Dtn 18,19; </w:t>
      </w:r>
      <w:r w:rsidR="00664EB6">
        <w:t>2Sam</w:t>
      </w:r>
      <w:r>
        <w:t xml:space="preserve"> 4,11; </w:t>
      </w:r>
      <w:r w:rsidR="00BF3748">
        <w:t>Hes</w:t>
      </w:r>
      <w:r>
        <w:t xml:space="preserve"> 3,18.20; 33,6.8; 34,10; Ps 10,4.13; Spr 23,11).</w:t>
      </w:r>
    </w:p>
    <w:p w14:paraId="33FC69A7" w14:textId="48AB6DEE" w:rsidR="00DD2E9B" w:rsidRDefault="00DD2E9B" w:rsidP="00DD2E9B">
      <w:pPr>
        <w:pStyle w:val="whitespace-normal"/>
      </w:pPr>
      <w:r>
        <w:t>Die Logik: Da der Prophet JHWHs Worte spricht, ist Missachtung des Propheten Missachtung JHWHs. Dies unterstreicht die hohe Autorität des wahren Propheten.</w:t>
      </w:r>
    </w:p>
    <w:p w14:paraId="73A52A42" w14:textId="686ACA79" w:rsidR="00731060" w:rsidRDefault="00731060" w:rsidP="00DD2E9B">
      <w:pPr>
        <w:pStyle w:val="whitespace-normal"/>
      </w:pPr>
      <w:r>
        <w:rPr>
          <w:rStyle w:val="Fett"/>
        </w:rPr>
        <w:t>Die LXX</w:t>
      </w:r>
      <w:r>
        <w:t xml:space="preserve"> übersetzt </w:t>
      </w:r>
      <w:r w:rsidRPr="00731060">
        <w:rPr>
          <w:b/>
          <w:bCs/>
          <w:rtl/>
        </w:rPr>
        <w:t>אָנֹכִי אֶדְרֹשׁ מֵעִמּוֹ</w:t>
      </w:r>
      <w:r>
        <w:t xml:space="preserve"> (ich werde es von ihm fordern/</w:t>
      </w:r>
      <w:r w:rsidR="006D3FED">
        <w:t>R</w:t>
      </w:r>
      <w:r>
        <w:t xml:space="preserve">echenschaft fordern) mit </w:t>
      </w:r>
      <w:proofErr w:type="spellStart"/>
      <w:r>
        <w:t>ἐγὼ</w:t>
      </w:r>
      <w:proofErr w:type="spellEnd"/>
      <w:r>
        <w:t xml:space="preserve"> </w:t>
      </w:r>
      <w:proofErr w:type="spellStart"/>
      <w:r>
        <w:t>ἐκδικήσω</w:t>
      </w:r>
      <w:proofErr w:type="spellEnd"/>
      <w:r>
        <w:t xml:space="preserve"> </w:t>
      </w:r>
      <w:proofErr w:type="spellStart"/>
      <w:r>
        <w:t>ἐξ</w:t>
      </w:r>
      <w:proofErr w:type="spellEnd"/>
      <w:r>
        <w:t xml:space="preserve"> α</w:t>
      </w:r>
      <w:proofErr w:type="spellStart"/>
      <w:r>
        <w:t>ὐτοῦ</w:t>
      </w:r>
      <w:proofErr w:type="spellEnd"/>
      <w:r>
        <w:t xml:space="preserve"> (ich werde an ihm Vergeltung üben) – ein stärkerer Begriff der Bestrafung statt bloßer Rechenschaftsforderung.</w:t>
      </w:r>
    </w:p>
    <w:p w14:paraId="756DFE03" w14:textId="77777777" w:rsidR="00DD2E9B" w:rsidRDefault="00DD2E9B" w:rsidP="00DD2E9B">
      <w:pPr>
        <w:pStyle w:val="whitespace-normal"/>
      </w:pPr>
      <w:r>
        <w:rPr>
          <w:rStyle w:val="Fett"/>
          <w:rFonts w:eastAsiaTheme="majorEastAsia"/>
        </w:rPr>
        <w:t>Die Satzstruktur:</w:t>
      </w:r>
      <w:r>
        <w:t xml:space="preserve"> Bedingungssatz mit Folge (und es wird sein: der Mann, der nicht hört auf meine Worte, die reden wird er in meinem Namen, ich, ich werde fordern von ihm).</w:t>
      </w:r>
    </w:p>
    <w:p w14:paraId="17B6AAD5" w14:textId="77777777" w:rsidR="00DD2E9B" w:rsidRDefault="00DD2E9B" w:rsidP="00DD2E9B">
      <w:pPr>
        <w:pStyle w:val="whitespace-normal"/>
      </w:pPr>
      <w:r>
        <w:t>Der Vers droht: Wer nicht auf die Worte des Propheten hört – die ja JHWHs Worte sind – von dem wird JHWH selbst Rechenschaft fordern.</w:t>
      </w:r>
    </w:p>
    <w:p w14:paraId="55C47D07"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18,20</w:t>
      </w:r>
    </w:p>
    <w:p w14:paraId="6DFD529A" w14:textId="77777777" w:rsidR="00DD2E9B" w:rsidRDefault="00DD2E9B" w:rsidP="00DD2E9B">
      <w:pPr>
        <w:pStyle w:val="whitespace-normal"/>
      </w:pPr>
      <w:r>
        <w:rPr>
          <w:rStyle w:val="Fett"/>
          <w:rFonts w:eastAsiaTheme="majorEastAsia"/>
        </w:rPr>
        <w:t>Hebräisch:</w:t>
      </w:r>
      <w:r>
        <w:t xml:space="preserve"> </w:t>
      </w:r>
      <w:r>
        <w:rPr>
          <w:rtl/>
        </w:rPr>
        <w:t>אַ֣ךְ הַנָּבִ֡יא אֲשֶׁ֣ר יָזִיד֩ לְדַבֵּ֨ר דָּבָ֜ר בִּשְׁמִ֗י אֵ֣ת אֲשֶׁ֤ר לֹֽא־צִוִּיתִיו֙ לְדַבֵּ֔ר וַאֲשֶׁ֣ר יְדַבֵּ֔ר בְּשֵׁ֖ם אֱלֹהִ֣ים אֲחֵרִ֑ים וּמֵ֖ת הַנָּבִ֥יא הַהֽוּא׃</w:t>
      </w:r>
    </w:p>
    <w:p w14:paraId="2A56CEB7" w14:textId="77777777" w:rsidR="00DD2E9B" w:rsidRDefault="00DD2E9B" w:rsidP="00DD2E9B">
      <w:pPr>
        <w:pStyle w:val="whitespace-normal"/>
      </w:pPr>
      <w:r>
        <w:rPr>
          <w:rStyle w:val="Fett"/>
          <w:rFonts w:eastAsiaTheme="majorEastAsia"/>
        </w:rPr>
        <w:t>Deutsch:</w:t>
      </w:r>
      <w:r>
        <w:t xml:space="preserve"> Doch der Prophet, der sich vermessen wird zu reden ein Wort in meinem Namen, das ich ihm nicht geboten habe zu reden, oder der reden wird im Namen anderer Götter: sterben soll dieser Prophet.</w:t>
      </w:r>
    </w:p>
    <w:p w14:paraId="5F450431" w14:textId="77777777" w:rsidR="00DD2E9B" w:rsidRDefault="004F5CEB" w:rsidP="00DD2E9B">
      <w:r>
        <w:rPr>
          <w:noProof/>
        </w:rPr>
        <w:pict w14:anchorId="30FEB331">
          <v:rect id="_x0000_i1529" style="width:0;height:1.5pt" o:hralign="center" o:hrstd="t" o:hr="t" fillcolor="#a0a0a0" stroked="f"/>
        </w:pict>
      </w:r>
    </w:p>
    <w:p w14:paraId="75BEB11A" w14:textId="77777777" w:rsidR="00DD2E9B" w:rsidRDefault="00DD2E9B" w:rsidP="00DD2E9B">
      <w:pPr>
        <w:pStyle w:val="whitespace-normal"/>
      </w:pPr>
      <w:r>
        <w:rPr>
          <w:rStyle w:val="Fett"/>
          <w:rFonts w:eastAsiaTheme="majorEastAsia"/>
        </w:rPr>
        <w:t>Kommentar:</w:t>
      </w:r>
      <w:r>
        <w:t xml:space="preserve"> </w:t>
      </w:r>
      <w:r>
        <w:rPr>
          <w:rStyle w:val="Fett"/>
          <w:rFonts w:eastAsiaTheme="majorEastAsia"/>
          <w:rtl/>
        </w:rPr>
        <w:t>אַךְ הַנָּבִיא אֲשֶׁר יָזִיד לְדַבֵּר דָּבָר בִּשְׁמִי אֵת אֲשֶׁר לֹא־צִוִּיתִיו לְדַבֵּר</w:t>
      </w:r>
      <w:r>
        <w:rPr>
          <w:rtl/>
        </w:rPr>
        <w:t xml:space="preserve"> </w:t>
      </w:r>
      <w:r>
        <w:t xml:space="preserve">ist der erste Fall: </w:t>
      </w:r>
      <w:r>
        <w:rPr>
          <w:rStyle w:val="Fett"/>
          <w:rFonts w:eastAsiaTheme="majorEastAsia"/>
          <w:rtl/>
        </w:rPr>
        <w:t>אַךְ</w:t>
      </w:r>
      <w:r>
        <w:rPr>
          <w:rtl/>
        </w:rPr>
        <w:t xml:space="preserve"> </w:t>
      </w:r>
      <w:r>
        <w:t xml:space="preserve">(Partikel, „jedoch, doch"), </w:t>
      </w:r>
      <w:r>
        <w:rPr>
          <w:rStyle w:val="Fett"/>
          <w:rFonts w:eastAsiaTheme="majorEastAsia"/>
          <w:rtl/>
        </w:rPr>
        <w:t>הַנָּבִיא</w:t>
      </w:r>
      <w:r>
        <w:rPr>
          <w:rtl/>
        </w:rPr>
        <w:t xml:space="preserve"> </w:t>
      </w:r>
      <w:r>
        <w:t>(</w:t>
      </w:r>
      <w:r>
        <w:rPr>
          <w:rStyle w:val="Fett"/>
          <w:rFonts w:eastAsiaTheme="majorEastAsia"/>
          <w:rtl/>
        </w:rPr>
        <w:t>נָבִיא</w:t>
      </w:r>
      <w:r>
        <w:t xml:space="preserve">, „Prophet", mit Artikel), </w:t>
      </w:r>
      <w:r>
        <w:rPr>
          <w:rStyle w:val="Fett"/>
          <w:rFonts w:eastAsiaTheme="majorEastAsia"/>
          <w:rtl/>
        </w:rPr>
        <w:t>אֲשֶׁר יָזִיד</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זיד</w:t>
      </w:r>
      <w:r>
        <w:t xml:space="preserve">, Hiphil Imperfekt, 3. Person Maskulinum Singular, „vermessen handeln, überheblich sein", „der sich vermessen wird"), </w:t>
      </w:r>
      <w:r>
        <w:rPr>
          <w:rStyle w:val="Fett"/>
          <w:rFonts w:eastAsiaTheme="majorEastAsia"/>
          <w:rtl/>
        </w:rPr>
        <w:t>לְדַבֵּר דָּבָר בִּשְׁמִי</w:t>
      </w:r>
      <w:r>
        <w:rPr>
          <w:rtl/>
        </w:rPr>
        <w:t xml:space="preserve"> </w:t>
      </w:r>
      <w:r>
        <w:t xml:space="preserve">(Präposition </w:t>
      </w:r>
      <w:r>
        <w:rPr>
          <w:rStyle w:val="Fett"/>
          <w:rFonts w:eastAsiaTheme="majorEastAsia"/>
          <w:rtl/>
        </w:rPr>
        <w:t>לְ</w:t>
      </w:r>
      <w:r>
        <w:rPr>
          <w:rtl/>
        </w:rPr>
        <w:t xml:space="preserve"> </w:t>
      </w:r>
      <w:r>
        <w:t xml:space="preserve">mit Piel Infinitiv Construct </w:t>
      </w:r>
      <w:r>
        <w:lastRenderedPageBreak/>
        <w:t xml:space="preserve">von </w:t>
      </w:r>
      <w:r>
        <w:rPr>
          <w:rStyle w:val="Fett"/>
          <w:rFonts w:eastAsiaTheme="majorEastAsia"/>
          <w:rtl/>
        </w:rPr>
        <w:t>דבר</w:t>
      </w:r>
      <w:r>
        <w:t xml:space="preserve">, „reden", </w:t>
      </w:r>
      <w:r>
        <w:rPr>
          <w:rStyle w:val="Fett"/>
          <w:rFonts w:eastAsiaTheme="majorEastAsia"/>
          <w:rtl/>
        </w:rPr>
        <w:t>דָּבָר</w:t>
      </w:r>
      <w:r>
        <w:t xml:space="preserve">, „Wort", </w:t>
      </w:r>
      <w:r>
        <w:rPr>
          <w:rStyle w:val="Fett"/>
          <w:rFonts w:eastAsiaTheme="majorEastAsia"/>
          <w:rtl/>
        </w:rPr>
        <w:t>בִּשְׁמִי</w:t>
      </w:r>
      <w:r>
        <w:t xml:space="preserve">, Präposition </w:t>
      </w:r>
      <w:r>
        <w:rPr>
          <w:rStyle w:val="Fett"/>
          <w:rFonts w:eastAsiaTheme="majorEastAsia"/>
          <w:rtl/>
        </w:rPr>
        <w:t>בְּ</w:t>
      </w:r>
      <w:r>
        <w:rPr>
          <w:rtl/>
        </w:rPr>
        <w:t xml:space="preserve"> </w:t>
      </w:r>
      <w:r>
        <w:t xml:space="preserve">mit </w:t>
      </w:r>
      <w:r>
        <w:rPr>
          <w:rStyle w:val="Fett"/>
          <w:rFonts w:eastAsiaTheme="majorEastAsia"/>
          <w:rtl/>
        </w:rPr>
        <w:t>שֵׁם</w:t>
      </w:r>
      <w:r>
        <w:rPr>
          <w:rtl/>
        </w:rPr>
        <w:t xml:space="preserve"> </w:t>
      </w:r>
      <w:r>
        <w:t xml:space="preserve">mit Suffix 1. Person Singular, „zu reden ein Wort in meinem Namen"), </w:t>
      </w:r>
      <w:r>
        <w:rPr>
          <w:rStyle w:val="Fett"/>
          <w:rFonts w:eastAsiaTheme="majorEastAsia"/>
          <w:rtl/>
        </w:rPr>
        <w:t>אֵת אֲשֶׁר לֹא־צִוִּיתִיו לְדַבֵּר</w:t>
      </w:r>
      <w:r>
        <w:rPr>
          <w:rtl/>
        </w:rPr>
        <w:t xml:space="preserve"> </w:t>
      </w:r>
      <w:r>
        <w:t xml:space="preserve">(Objektpartikel </w:t>
      </w:r>
      <w:r>
        <w:rPr>
          <w:rStyle w:val="Fett"/>
          <w:rFonts w:eastAsiaTheme="majorEastAsia"/>
          <w:rtl/>
        </w:rPr>
        <w:t>אֵת</w:t>
      </w:r>
      <w:r>
        <w:t xml:space="preserve">, Relativsatz: </w:t>
      </w:r>
      <w:r>
        <w:rPr>
          <w:rStyle w:val="Fett"/>
          <w:rFonts w:eastAsiaTheme="majorEastAsia"/>
          <w:rtl/>
        </w:rPr>
        <w:t>אֲשֶׁר</w:t>
      </w:r>
      <w:r>
        <w:rPr>
          <w:rtl/>
        </w:rPr>
        <w:t xml:space="preserve"> </w:t>
      </w:r>
      <w:r>
        <w:t xml:space="preserve">mit Negation </w:t>
      </w:r>
      <w:r>
        <w:rPr>
          <w:rStyle w:val="Fett"/>
          <w:rFonts w:eastAsiaTheme="majorEastAsia"/>
          <w:rtl/>
        </w:rPr>
        <w:t>לֹא</w:t>
      </w:r>
      <w:r>
        <w:rPr>
          <w:rtl/>
        </w:rPr>
        <w:t xml:space="preserve"> </w:t>
      </w:r>
      <w:r>
        <w:t xml:space="preserve">und </w:t>
      </w:r>
      <w:r>
        <w:rPr>
          <w:rStyle w:val="Fett"/>
          <w:rFonts w:eastAsiaTheme="majorEastAsia"/>
          <w:rtl/>
        </w:rPr>
        <w:t>צוה</w:t>
      </w:r>
      <w:r>
        <w:t xml:space="preserve">, Piel Perfekt, 1. Person Singular, „befehlen, gebieten", mit Suffix 3. Person Maskulinum Singular, </w:t>
      </w:r>
      <w:r>
        <w:rPr>
          <w:rStyle w:val="Fett"/>
          <w:rFonts w:eastAsiaTheme="majorEastAsia"/>
          <w:rtl/>
        </w:rPr>
        <w:t>לְדַבֵּר</w:t>
      </w:r>
      <w:r>
        <w:t>, „das ich ihm nicht geboten habe zu reden").</w:t>
      </w:r>
    </w:p>
    <w:p w14:paraId="2F9D2277" w14:textId="77777777" w:rsidR="00DD2E9B" w:rsidRDefault="00DD2E9B" w:rsidP="00DD2E9B">
      <w:pPr>
        <w:pStyle w:val="whitespace-normal"/>
      </w:pPr>
      <w:r>
        <w:rPr>
          <w:rStyle w:val="Fett"/>
          <w:rFonts w:eastAsiaTheme="majorEastAsia"/>
          <w:rtl/>
        </w:rPr>
        <w:t>וַאֲשֶׁר יְדַבֵּר בְּשֵׁם אֱלֹהִים אֲחֵרִים</w:t>
      </w:r>
      <w:r>
        <w:rPr>
          <w:rtl/>
        </w:rPr>
        <w:t xml:space="preserve"> </w:t>
      </w:r>
      <w:r>
        <w:t xml:space="preserve">ist der zweite Fall: </w:t>
      </w:r>
      <w:r>
        <w:rPr>
          <w:rStyle w:val="Fett"/>
          <w:rFonts w:eastAsiaTheme="majorEastAsia"/>
          <w:rtl/>
        </w:rPr>
        <w:t>וַאֲשֶׁר יְדַבֵּר</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אֲשֶׁר</w:t>
      </w:r>
      <w:r>
        <w:rPr>
          <w:rtl/>
        </w:rPr>
        <w:t xml:space="preserve"> </w:t>
      </w:r>
      <w:r>
        <w:t xml:space="preserve">und </w:t>
      </w:r>
      <w:r>
        <w:rPr>
          <w:rStyle w:val="Fett"/>
          <w:rFonts w:eastAsiaTheme="majorEastAsia"/>
          <w:rtl/>
        </w:rPr>
        <w:t>דבר</w:t>
      </w:r>
      <w:r>
        <w:t xml:space="preserve">, Piel Imperfekt, 3. Person Maskulinum Singular, „oder der reden wird"), </w:t>
      </w:r>
      <w:r>
        <w:rPr>
          <w:rStyle w:val="Fett"/>
          <w:rFonts w:eastAsiaTheme="majorEastAsia"/>
          <w:rtl/>
        </w:rPr>
        <w:t>בְּשֵׁם אֱלֹהִים אֲחֵרִים</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שֵׁם</w:t>
      </w:r>
      <w:r>
        <w:t xml:space="preserve">, Construct mit </w:t>
      </w:r>
      <w:r>
        <w:rPr>
          <w:rStyle w:val="Fett"/>
          <w:rFonts w:eastAsiaTheme="majorEastAsia"/>
          <w:rtl/>
        </w:rPr>
        <w:t>אֱלֹהִים</w:t>
      </w:r>
      <w:r>
        <w:t xml:space="preserve">, „Götter", mit </w:t>
      </w:r>
      <w:r>
        <w:rPr>
          <w:rStyle w:val="Fett"/>
          <w:rFonts w:eastAsiaTheme="majorEastAsia"/>
          <w:rtl/>
        </w:rPr>
        <w:t>אַחֵר</w:t>
      </w:r>
      <w:r>
        <w:t>, Plural, „andere", „im Namen anderer Götter").</w:t>
      </w:r>
    </w:p>
    <w:p w14:paraId="3A3FF7FD" w14:textId="77777777" w:rsidR="00DD2E9B" w:rsidRDefault="00DD2E9B" w:rsidP="00DD2E9B">
      <w:pPr>
        <w:pStyle w:val="whitespace-normal"/>
      </w:pPr>
      <w:r>
        <w:rPr>
          <w:rStyle w:val="Fett"/>
          <w:rFonts w:eastAsiaTheme="majorEastAsia"/>
          <w:rtl/>
        </w:rPr>
        <w:t>וּמֵת הַנָּבִיא הַהוּא</w:t>
      </w:r>
      <w:r>
        <w:rPr>
          <w:rtl/>
        </w:rPr>
        <w:t xml:space="preserve"> </w:t>
      </w:r>
      <w:r>
        <w:t xml:space="preserve">ist das Urteil: </w:t>
      </w:r>
      <w:r>
        <w:rPr>
          <w:rStyle w:val="Fett"/>
          <w:rFonts w:eastAsiaTheme="majorEastAsia"/>
          <w:rtl/>
        </w:rPr>
        <w:t>וּמֵת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מות</w:t>
      </w:r>
      <w:r>
        <w:t xml:space="preserve">, Qal Perfekt, 3. Person Maskulinum Singular, „sterben", mit </w:t>
      </w:r>
      <w:r>
        <w:rPr>
          <w:rStyle w:val="Fett"/>
          <w:rFonts w:eastAsiaTheme="majorEastAsia"/>
        </w:rPr>
        <w:t>Waw</w:t>
      </w:r>
      <w:r>
        <w:t xml:space="preserve"> consecutives Perfekt), </w:t>
      </w:r>
      <w:r>
        <w:rPr>
          <w:rStyle w:val="Fett"/>
          <w:rFonts w:eastAsiaTheme="majorEastAsia"/>
          <w:rtl/>
        </w:rPr>
        <w:t>הַנָּבִיא הַהוּא</w:t>
      </w:r>
      <w:r>
        <w:rPr>
          <w:rtl/>
        </w:rPr>
        <w:t xml:space="preserve"> </w:t>
      </w:r>
      <w:r>
        <w:t>(</w:t>
      </w:r>
      <w:r>
        <w:rPr>
          <w:rStyle w:val="Fett"/>
          <w:rFonts w:eastAsiaTheme="majorEastAsia"/>
          <w:rtl/>
        </w:rPr>
        <w:t>נָבִיא</w:t>
      </w:r>
      <w:r>
        <w:rPr>
          <w:rtl/>
        </w:rPr>
        <w:t xml:space="preserve"> </w:t>
      </w:r>
      <w:r>
        <w:t xml:space="preserve">mit Artikel und Demonstrativpronomen </w:t>
      </w:r>
      <w:r>
        <w:rPr>
          <w:rStyle w:val="Fett"/>
          <w:rFonts w:eastAsiaTheme="majorEastAsia"/>
          <w:rtl/>
        </w:rPr>
        <w:t>הוּא</w:t>
      </w:r>
      <w:r>
        <w:t>, „jener Prophet").</w:t>
      </w:r>
    </w:p>
    <w:p w14:paraId="431966B3" w14:textId="77777777" w:rsidR="00DD2E9B" w:rsidRDefault="00DD2E9B" w:rsidP="00DD2E9B">
      <w:pPr>
        <w:pStyle w:val="whitespace-normal"/>
      </w:pPr>
      <w:r>
        <w:t xml:space="preserve">Der Vers definiert zwei Arten falscher Prophetie: (1) </w:t>
      </w:r>
      <w:r>
        <w:rPr>
          <w:rStyle w:val="Fett"/>
          <w:rFonts w:eastAsiaTheme="majorEastAsia"/>
          <w:rtl/>
        </w:rPr>
        <w:t>יָזִיד לְדַבֵּר דָּבָר בִּשְׁמִי אֵת אֲשֶׁר לֹא־צִוִּיתִיו</w:t>
      </w:r>
      <w:r>
        <w:rPr>
          <w:rtl/>
        </w:rPr>
        <w:t xml:space="preserve"> </w:t>
      </w:r>
      <w:r>
        <w:t xml:space="preserve">(„vermessen ein Wort in meinem Namen reden, das ich ihm nicht geboten habe") – falsche Berufung auf JHWH, (2) </w:t>
      </w:r>
      <w:r>
        <w:rPr>
          <w:rStyle w:val="Fett"/>
          <w:rFonts w:eastAsiaTheme="majorEastAsia"/>
          <w:rtl/>
        </w:rPr>
        <w:t>יְדַבֵּר בְּשֵׁם אֱלֹהִים אֲחֵרִים</w:t>
      </w:r>
      <w:r>
        <w:rPr>
          <w:rtl/>
        </w:rPr>
        <w:t xml:space="preserve"> </w:t>
      </w:r>
      <w:r>
        <w:t>(„im Namen anderer Götter reden") – Prophetie für andere Götter. Beide verdienen die Todesstrafe.</w:t>
      </w:r>
    </w:p>
    <w:p w14:paraId="4085A6F0" w14:textId="2FD704BE" w:rsidR="00DD2E9B" w:rsidRDefault="00DD2E9B" w:rsidP="00DD2E9B">
      <w:pPr>
        <w:pStyle w:val="whitespace-normal"/>
      </w:pPr>
      <w:r>
        <w:t xml:space="preserve">Das Verb </w:t>
      </w:r>
      <w:r>
        <w:rPr>
          <w:rStyle w:val="Fett"/>
          <w:rFonts w:eastAsiaTheme="majorEastAsia"/>
          <w:rtl/>
        </w:rPr>
        <w:t>זיד</w:t>
      </w:r>
      <w:r>
        <w:rPr>
          <w:rtl/>
        </w:rPr>
        <w:t xml:space="preserve"> </w:t>
      </w:r>
      <w:r>
        <w:t>im Hiphil („vermessen handeln") wurde bereits in 17,12.13 verwendet für Missachtung richterlicher Autorität. Hier bezeichnet es unbefugte Inanspruchnahme göttlicher Autorität (vgl. Ex 18,11; 21,14; Dtn 1,43; 17,12.13; 18,20; Neh 9,10.16.29; Ps 119,21.51.69.78.85.122; Jer 50,29).</w:t>
      </w:r>
    </w:p>
    <w:p w14:paraId="66DDCC55" w14:textId="78C4501F" w:rsidR="00731060" w:rsidRDefault="00731060" w:rsidP="00DD2E9B">
      <w:pPr>
        <w:pStyle w:val="whitespace-normal"/>
      </w:pPr>
      <w:r>
        <w:rPr>
          <w:rStyle w:val="Fett"/>
        </w:rPr>
        <w:t>Die LXX</w:t>
      </w:r>
      <w:r>
        <w:t xml:space="preserve"> übersetzt </w:t>
      </w:r>
      <w:r>
        <w:rPr>
          <w:rtl/>
        </w:rPr>
        <w:t>יָזִיד</w:t>
      </w:r>
      <w:r>
        <w:t xml:space="preserve"> (vermessen handelt) mit </w:t>
      </w:r>
      <w:proofErr w:type="spellStart"/>
      <w:r>
        <w:t>ἀσε</w:t>
      </w:r>
      <w:proofErr w:type="spellEnd"/>
      <w:r>
        <w:t xml:space="preserve">βήσῃ (gottlos handelt) – wie bereits in 17,13 eine Verschiebung von "Vermessenheit" zu "Gottlosigkeit". Die Formulierung </w:t>
      </w:r>
      <w:r>
        <w:rPr>
          <w:rtl/>
        </w:rPr>
        <w:t>וּמֵת הַנָּבִיא הַהוּא</w:t>
      </w:r>
      <w:r>
        <w:t xml:space="preserve"> (und sterben wird jener Prophet) wird mit ἀπ</w:t>
      </w:r>
      <w:proofErr w:type="spellStart"/>
      <w:r>
        <w:t>οθ</w:t>
      </w:r>
      <w:proofErr w:type="spellEnd"/>
      <w:r>
        <w:t>ανεῖται ὁ π</w:t>
      </w:r>
      <w:proofErr w:type="spellStart"/>
      <w:r>
        <w:t>ροφήτης</w:t>
      </w:r>
      <w:proofErr w:type="spellEnd"/>
      <w:r>
        <w:t xml:space="preserve"> </w:t>
      </w:r>
      <w:proofErr w:type="spellStart"/>
      <w:r>
        <w:t>ἐκεῖνος</w:t>
      </w:r>
      <w:proofErr w:type="spellEnd"/>
      <w:r>
        <w:t xml:space="preserve"> präzise wiedergegeben.</w:t>
      </w:r>
    </w:p>
    <w:p w14:paraId="62620AB8" w14:textId="77777777" w:rsidR="00DD2E9B" w:rsidRDefault="00DD2E9B" w:rsidP="00DD2E9B">
      <w:pPr>
        <w:pStyle w:val="whitespace-normal"/>
      </w:pPr>
      <w:r>
        <w:rPr>
          <w:rStyle w:val="Fett"/>
          <w:rFonts w:eastAsiaTheme="majorEastAsia"/>
        </w:rPr>
        <w:t>Die Satzstruktur:</w:t>
      </w:r>
      <w:r>
        <w:t xml:space="preserve"> Zwei Relativsätze mit Urteil (doch der Prophet, der sich vermessen wird zu reden ein Wort in meinem Namen, das nicht geboten habe ich ihm zu reden, oder der reden wird im Namen anderer Götter, und sterben soll jener Prophet).</w:t>
      </w:r>
    </w:p>
    <w:p w14:paraId="66422443" w14:textId="77777777" w:rsidR="00DD2E9B" w:rsidRDefault="00DD2E9B" w:rsidP="00DD2E9B">
      <w:pPr>
        <w:pStyle w:val="whitespace-normal"/>
      </w:pPr>
      <w:r>
        <w:t>Der Vers droht: Der Prophet, der unbefugt in JHWHs Namen redet oder im Namen anderer Götter – soll hingerichtet werden.</w:t>
      </w:r>
    </w:p>
    <w:p w14:paraId="1275FC01"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18,21</w:t>
      </w:r>
    </w:p>
    <w:p w14:paraId="535167C9" w14:textId="77777777" w:rsidR="00DD2E9B" w:rsidRDefault="00DD2E9B" w:rsidP="00DD2E9B">
      <w:pPr>
        <w:pStyle w:val="whitespace-normal"/>
      </w:pPr>
      <w:r>
        <w:rPr>
          <w:rStyle w:val="Fett"/>
          <w:rFonts w:eastAsiaTheme="majorEastAsia"/>
        </w:rPr>
        <w:t>Hebräisch:</w:t>
      </w:r>
      <w:r>
        <w:t xml:space="preserve"> </w:t>
      </w:r>
      <w:r>
        <w:rPr>
          <w:rtl/>
        </w:rPr>
        <w:t>וְכִ֥י תֹאמַ֖ר בִּלְבָבֶ֑ךָ אֵיכָה֙ נֵדַ֣ע אֶת־הַדָּבָ֔ר אֲשֶׁ֥ר לֹא־דִבְּרֹ֖ו יְהוָֽה׃</w:t>
      </w:r>
    </w:p>
    <w:p w14:paraId="75077769" w14:textId="77777777" w:rsidR="00DD2E9B" w:rsidRDefault="00DD2E9B" w:rsidP="00DD2E9B">
      <w:pPr>
        <w:pStyle w:val="whitespace-normal"/>
      </w:pPr>
      <w:r>
        <w:rPr>
          <w:rStyle w:val="Fett"/>
          <w:rFonts w:eastAsiaTheme="majorEastAsia"/>
        </w:rPr>
        <w:t>Deutsch:</w:t>
      </w:r>
      <w:r>
        <w:t xml:space="preserve"> Und wenn du sprichst in deinem Herzen: Wie sollen wir erkennen das Wort, das nicht geredet hat der Ewige?</w:t>
      </w:r>
    </w:p>
    <w:p w14:paraId="3A7CFED7" w14:textId="77777777" w:rsidR="00DD2E9B" w:rsidRDefault="004F5CEB" w:rsidP="00DD2E9B">
      <w:r>
        <w:rPr>
          <w:noProof/>
        </w:rPr>
        <w:pict w14:anchorId="362D24A3">
          <v:rect id="_x0000_i1530" style="width:0;height:1.5pt" o:hralign="center" o:hrstd="t" o:hr="t" fillcolor="#a0a0a0" stroked="f"/>
        </w:pict>
      </w:r>
    </w:p>
    <w:p w14:paraId="68495625" w14:textId="77777777" w:rsidR="00DD2E9B" w:rsidRDefault="00DD2E9B" w:rsidP="00DD2E9B">
      <w:pPr>
        <w:pStyle w:val="whitespace-normal"/>
      </w:pPr>
      <w:r>
        <w:rPr>
          <w:rStyle w:val="Fett"/>
          <w:rFonts w:eastAsiaTheme="majorEastAsia"/>
        </w:rPr>
        <w:lastRenderedPageBreak/>
        <w:t>Kommentar:</w:t>
      </w:r>
      <w:r>
        <w:t xml:space="preserve"> </w:t>
      </w:r>
      <w:r>
        <w:rPr>
          <w:rStyle w:val="Fett"/>
          <w:rFonts w:eastAsiaTheme="majorEastAsia"/>
          <w:rtl/>
        </w:rPr>
        <w:t>וְכִי תֹאמַר בִּלְבָבֶךָ</w:t>
      </w:r>
      <w:r>
        <w:rPr>
          <w:rtl/>
        </w:rPr>
        <w:t xml:space="preserve"> </w:t>
      </w:r>
      <w:r>
        <w:t xml:space="preserve">ist ein konditionaler Satz: </w:t>
      </w:r>
      <w:r>
        <w:rPr>
          <w:rStyle w:val="Fett"/>
          <w:rFonts w:eastAsiaTheme="majorEastAsia"/>
          <w:rtl/>
        </w:rPr>
        <w:t>וְכִי</w:t>
      </w:r>
      <w:r>
        <w:rPr>
          <w:rtl/>
        </w:rPr>
        <w:t xml:space="preserve"> </w:t>
      </w:r>
      <w:r>
        <w:t xml:space="preserve">(„und wenn"), </w:t>
      </w:r>
      <w:r>
        <w:rPr>
          <w:rStyle w:val="Fett"/>
          <w:rFonts w:eastAsiaTheme="majorEastAsia"/>
          <w:rtl/>
        </w:rPr>
        <w:t>תֹאמַר</w:t>
      </w:r>
      <w:r>
        <w:rPr>
          <w:rtl/>
        </w:rPr>
        <w:t xml:space="preserve"> </w:t>
      </w:r>
      <w:r>
        <w:t xml:space="preserve">(Qal Imperfekt, 2. Person Maskulinum Singular von </w:t>
      </w:r>
      <w:r>
        <w:rPr>
          <w:rStyle w:val="Fett"/>
          <w:rFonts w:eastAsiaTheme="majorEastAsia"/>
          <w:rtl/>
        </w:rPr>
        <w:t>אמר</w:t>
      </w:r>
      <w:r>
        <w:t xml:space="preserve">, „sagen"), </w:t>
      </w:r>
      <w:r>
        <w:rPr>
          <w:rStyle w:val="Fett"/>
          <w:rFonts w:eastAsiaTheme="majorEastAsia"/>
          <w:rtl/>
        </w:rPr>
        <w:t>בִּלְבָבֶךָ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לֵבָב</w:t>
      </w:r>
      <w:r>
        <w:t>, „Herz", mit Suffix 2. Person Maskulinum Singular, „in deinem Herzen").</w:t>
      </w:r>
    </w:p>
    <w:p w14:paraId="607AB3B0" w14:textId="77777777" w:rsidR="00DD2E9B" w:rsidRDefault="00DD2E9B" w:rsidP="00DD2E9B">
      <w:pPr>
        <w:pStyle w:val="whitespace-normal"/>
      </w:pPr>
      <w:r>
        <w:rPr>
          <w:rStyle w:val="Fett"/>
          <w:rFonts w:eastAsiaTheme="majorEastAsia"/>
          <w:rtl/>
        </w:rPr>
        <w:t>אֵיכָה נֵדַע אֶת־הַדָּבָר אֲשֶׁר לֹא־דִבְּרוֹ יְהוָה</w:t>
      </w:r>
      <w:r>
        <w:rPr>
          <w:rtl/>
        </w:rPr>
        <w:t xml:space="preserve"> </w:t>
      </w:r>
      <w:r>
        <w:t xml:space="preserve">ist die direkte Rede: </w:t>
      </w:r>
      <w:r>
        <w:rPr>
          <w:rStyle w:val="Fett"/>
          <w:rFonts w:eastAsiaTheme="majorEastAsia"/>
          <w:rtl/>
        </w:rPr>
        <w:t>אֵיכָה</w:t>
      </w:r>
      <w:r>
        <w:rPr>
          <w:rtl/>
        </w:rPr>
        <w:t xml:space="preserve"> </w:t>
      </w:r>
      <w:r>
        <w:t xml:space="preserve">(Interrogativpartikel, „wie"), </w:t>
      </w:r>
      <w:r>
        <w:rPr>
          <w:rStyle w:val="Fett"/>
          <w:rFonts w:eastAsiaTheme="majorEastAsia"/>
          <w:rtl/>
        </w:rPr>
        <w:t>נֵדַע</w:t>
      </w:r>
      <w:r>
        <w:rPr>
          <w:rtl/>
        </w:rPr>
        <w:t xml:space="preserve"> </w:t>
      </w:r>
      <w:r>
        <w:t xml:space="preserve">(Qal Imperfekt, 1. Person Plural von </w:t>
      </w:r>
      <w:r>
        <w:rPr>
          <w:rStyle w:val="Fett"/>
          <w:rFonts w:eastAsiaTheme="majorEastAsia"/>
          <w:rtl/>
        </w:rPr>
        <w:t>ידע</w:t>
      </w:r>
      <w:r>
        <w:t xml:space="preserve">, „erkennen, wissen"), </w:t>
      </w:r>
      <w:r>
        <w:rPr>
          <w:rStyle w:val="Fett"/>
          <w:rFonts w:eastAsiaTheme="majorEastAsia"/>
          <w:rtl/>
        </w:rPr>
        <w:t>אֶת־הַדָּבָר</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דָּבָר</w:t>
      </w:r>
      <w:r>
        <w:t xml:space="preserve">, „Wort", mit Artikel, „das Wort"), </w:t>
      </w:r>
      <w:r>
        <w:rPr>
          <w:rStyle w:val="Fett"/>
          <w:rFonts w:eastAsiaTheme="majorEastAsia"/>
          <w:rtl/>
        </w:rPr>
        <w:t>אֲשֶׁר לֹא־דִבְּרוֹ יְהוָה</w:t>
      </w:r>
      <w:r>
        <w:rPr>
          <w:rtl/>
        </w:rPr>
        <w:t xml:space="preserve"> </w:t>
      </w:r>
      <w:r>
        <w:t xml:space="preserve">(Relativsatz: </w:t>
      </w:r>
      <w:r>
        <w:rPr>
          <w:rStyle w:val="Fett"/>
          <w:rFonts w:eastAsiaTheme="majorEastAsia"/>
          <w:rtl/>
        </w:rPr>
        <w:t>אֲשֶׁר</w:t>
      </w:r>
      <w:r>
        <w:rPr>
          <w:rtl/>
        </w:rPr>
        <w:t xml:space="preserve"> </w:t>
      </w:r>
      <w:r>
        <w:t xml:space="preserve">mit Negation </w:t>
      </w:r>
      <w:r>
        <w:rPr>
          <w:rStyle w:val="Fett"/>
          <w:rFonts w:eastAsiaTheme="majorEastAsia"/>
          <w:rtl/>
        </w:rPr>
        <w:t>לֹא</w:t>
      </w:r>
      <w:r>
        <w:rPr>
          <w:rtl/>
        </w:rPr>
        <w:t xml:space="preserve"> </w:t>
      </w:r>
      <w:r>
        <w:t xml:space="preserve">und </w:t>
      </w:r>
      <w:r>
        <w:rPr>
          <w:rStyle w:val="Fett"/>
          <w:rFonts w:eastAsiaTheme="majorEastAsia"/>
          <w:rtl/>
        </w:rPr>
        <w:t>דבר</w:t>
      </w:r>
      <w:r>
        <w:t xml:space="preserve">, Piel Perfekt, 3. Person Maskulinum Singular, „reden", mit Suffix 3. Person Maskulinum Singular, </w:t>
      </w:r>
      <w:r>
        <w:rPr>
          <w:rStyle w:val="Fett"/>
          <w:rFonts w:eastAsiaTheme="majorEastAsia"/>
          <w:rtl/>
        </w:rPr>
        <w:t>יְהוָה</w:t>
      </w:r>
      <w:r>
        <w:rPr>
          <w:rtl/>
        </w:rPr>
        <w:t xml:space="preserve"> </w:t>
      </w:r>
      <w:r>
        <w:t>als Subjekt, „das nicht geredet hat JHWH").</w:t>
      </w:r>
    </w:p>
    <w:p w14:paraId="5E4C5681" w14:textId="77777777" w:rsidR="00DD2E9B" w:rsidRDefault="00DD2E9B" w:rsidP="00DD2E9B">
      <w:pPr>
        <w:pStyle w:val="whitespace-normal"/>
      </w:pPr>
      <w:r>
        <w:t xml:space="preserve">Der Vers antizipiert die naheliegende Frage: Wie kann man wahre von falscher Prophetie unterscheiden? Die Formulierung </w:t>
      </w:r>
      <w:r>
        <w:rPr>
          <w:rStyle w:val="Fett"/>
          <w:rFonts w:eastAsiaTheme="majorEastAsia"/>
          <w:rtl/>
        </w:rPr>
        <w:t>תֹאמַר בִּלְבָבֶךָ</w:t>
      </w:r>
      <w:r>
        <w:rPr>
          <w:rtl/>
        </w:rPr>
        <w:t xml:space="preserve"> </w:t>
      </w:r>
      <w:r>
        <w:t xml:space="preserve">(„du sprichst in deinem Herzen") bezeichnet inneres Nachdenken (vgl. 7,17; 8,17; 9,4; 18,21; Jes 47,8; 49,21; Ob 3; Zeph 1,12; Ps 10,6.11.13; 14,1; 35,25; 53,2). Die Frage </w:t>
      </w:r>
      <w:r>
        <w:rPr>
          <w:rStyle w:val="Fett"/>
          <w:rFonts w:eastAsiaTheme="majorEastAsia"/>
          <w:rtl/>
        </w:rPr>
        <w:t>אֵיכָה נֵדַע אֶת־הַדָּבָר אֲשֶׁר לֹא־דִבְּרוֹ יְהוָה</w:t>
      </w:r>
      <w:r>
        <w:rPr>
          <w:rtl/>
        </w:rPr>
        <w:t xml:space="preserve"> </w:t>
      </w:r>
      <w:r>
        <w:t>(„Wie sollen wir erkennen das Wort, das JHWH nicht geredet hat?") ist zentral für die Unterscheidung der Geister.</w:t>
      </w:r>
    </w:p>
    <w:p w14:paraId="319F7E76" w14:textId="4851A3F4" w:rsidR="00DD2E9B" w:rsidRDefault="00DD2E9B" w:rsidP="00DD2E9B">
      <w:pPr>
        <w:pStyle w:val="whitespace-normal"/>
      </w:pPr>
      <w:r>
        <w:t>V. 22 gibt dann die Antwort: das Kriterium der Erfüllung.</w:t>
      </w:r>
    </w:p>
    <w:p w14:paraId="7F0BAF43" w14:textId="57EB0887" w:rsidR="00731060" w:rsidRDefault="00731060" w:rsidP="00DD2E9B">
      <w:pPr>
        <w:pStyle w:val="whitespace-normal"/>
      </w:pPr>
      <w:r>
        <w:rPr>
          <w:rStyle w:val="Fett"/>
        </w:rPr>
        <w:t>Die LXX</w:t>
      </w:r>
      <w:r>
        <w:t xml:space="preserve"> verwendet den Plural </w:t>
      </w:r>
      <w:proofErr w:type="spellStart"/>
      <w:r>
        <w:t>γνωσόμεθ</w:t>
      </w:r>
      <w:proofErr w:type="spellEnd"/>
      <w:r>
        <w:t xml:space="preserve">α (wir werden erkennen) für das </w:t>
      </w:r>
      <w:proofErr w:type="spellStart"/>
      <w:r>
        <w:t>singulare</w:t>
      </w:r>
      <w:proofErr w:type="spellEnd"/>
      <w:r>
        <w:t xml:space="preserve"> </w:t>
      </w:r>
      <w:r w:rsidRPr="00731060">
        <w:rPr>
          <w:b/>
          <w:bCs/>
          <w:rtl/>
        </w:rPr>
        <w:t>נֵדַע</w:t>
      </w:r>
      <w:r>
        <w:t xml:space="preserve"> (wir werden erkennen) – wobei beide Formen kollektiv zu verstehen sind.</w:t>
      </w:r>
    </w:p>
    <w:p w14:paraId="4EC34869" w14:textId="77777777" w:rsidR="00DD2E9B" w:rsidRDefault="00DD2E9B" w:rsidP="00DD2E9B">
      <w:pPr>
        <w:pStyle w:val="whitespace-normal"/>
      </w:pPr>
      <w:r>
        <w:rPr>
          <w:rStyle w:val="Fett"/>
          <w:rFonts w:eastAsiaTheme="majorEastAsia"/>
        </w:rPr>
        <w:t>Die Satzstruktur:</w:t>
      </w:r>
      <w:r>
        <w:t xml:space="preserve"> Konditionaler Satz mit direkter Rede (und wenn sagen wirst du in deinem Herzen: Wie sollen wir erkennen das Wort, das nicht geredet hat JHWH?).</w:t>
      </w:r>
    </w:p>
    <w:p w14:paraId="34BDD24A" w14:textId="77777777" w:rsidR="00DD2E9B" w:rsidRDefault="00DD2E9B" w:rsidP="00DD2E9B">
      <w:pPr>
        <w:pStyle w:val="whitespace-normal"/>
      </w:pPr>
      <w:r>
        <w:t>Der Vers stellt die Frage: Wenn du dich fragst: Wie können wir erkennen, welches Wort nicht von JHWH stammt? – V. 22 gibt die Antwort.</w:t>
      </w:r>
    </w:p>
    <w:p w14:paraId="71393B2B"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18,22</w:t>
      </w:r>
    </w:p>
    <w:p w14:paraId="3B9FDC1A" w14:textId="77777777" w:rsidR="00DD2E9B" w:rsidRDefault="00DD2E9B" w:rsidP="00DD2E9B">
      <w:pPr>
        <w:pStyle w:val="whitespace-normal"/>
      </w:pPr>
      <w:r>
        <w:rPr>
          <w:rStyle w:val="Fett"/>
          <w:rFonts w:eastAsiaTheme="majorEastAsia"/>
        </w:rPr>
        <w:t>Hebräisch:</w:t>
      </w:r>
      <w:r>
        <w:t xml:space="preserve"> </w:t>
      </w:r>
      <w:r>
        <w:rPr>
          <w:rtl/>
        </w:rPr>
        <w:t>אֲשֶׁר֩ יְדַבֵּ֨ר הַנָּבִ֜יא בְּשֵׁ֣ם יְהוָ֗ה וְלֹֽא־יִהְיֶ֤ה הַדָּבָר֙ וְלֹ֣א יָב֔וֹא ה֣וּא הַדָּבָ֔ר אֲשֶׁ֥ר לֹא־דִבְּרֹ֖ו יְהוָ֑ה בְּזָדוֹן֙ דִּבְּרֹ֣ו הַנָּבִ֔יא לֹ֥א תָג֖וּר מִמֶּֽנּוּ׃</w:t>
      </w:r>
    </w:p>
    <w:p w14:paraId="7ECBB878" w14:textId="77777777" w:rsidR="00DD2E9B" w:rsidRDefault="00DD2E9B" w:rsidP="00DD2E9B">
      <w:pPr>
        <w:pStyle w:val="whitespace-normal"/>
      </w:pPr>
      <w:r>
        <w:rPr>
          <w:rStyle w:val="Fett"/>
          <w:rFonts w:eastAsiaTheme="majorEastAsia"/>
        </w:rPr>
        <w:t>Deutsch:</w:t>
      </w:r>
      <w:r>
        <w:t xml:space="preserve"> Was der Prophet redet im Namen des Ewigen, und nicht geschieht das Wort und nicht eintrifft, das ist das Wort, das nicht geredet hat der Ewige; in Vermessenheit hat es geredet der Prophet; du sollst dich nicht fürchten vor ihm.</w:t>
      </w:r>
    </w:p>
    <w:p w14:paraId="6870CA6E" w14:textId="77777777" w:rsidR="00DD2E9B" w:rsidRDefault="004F5CEB" w:rsidP="00DD2E9B">
      <w:r>
        <w:rPr>
          <w:noProof/>
        </w:rPr>
        <w:pict w14:anchorId="7CE33FC7">
          <v:rect id="_x0000_i1531" style="width:0;height:1.5pt" o:hralign="center" o:hrstd="t" o:hr="t" fillcolor="#a0a0a0" stroked="f"/>
        </w:pict>
      </w:r>
    </w:p>
    <w:p w14:paraId="4A12BB19" w14:textId="77777777" w:rsidR="00DD2E9B" w:rsidRDefault="00DD2E9B" w:rsidP="00DD2E9B">
      <w:pPr>
        <w:pStyle w:val="whitespace-normal"/>
      </w:pPr>
      <w:r>
        <w:rPr>
          <w:rStyle w:val="Fett"/>
          <w:rFonts w:eastAsiaTheme="majorEastAsia"/>
        </w:rPr>
        <w:t>Kommentar:</w:t>
      </w:r>
      <w:r>
        <w:t xml:space="preserve"> </w:t>
      </w:r>
      <w:r>
        <w:rPr>
          <w:rStyle w:val="Fett"/>
          <w:rFonts w:eastAsiaTheme="majorEastAsia"/>
          <w:rtl/>
        </w:rPr>
        <w:t>אֲשֶׁר יְדַבֵּר הַנָּבִיא בְּשֵׁם יְהוָה וְלֹא־יִהְיֶה הַדָּבָר וְלֹא יָבוֹא</w:t>
      </w:r>
      <w:r>
        <w:rPr>
          <w:rtl/>
        </w:rPr>
        <w:t xml:space="preserve"> </w:t>
      </w:r>
      <w:r>
        <w:t xml:space="preserve">ist der Bedingungssatz: </w:t>
      </w:r>
      <w:r>
        <w:rPr>
          <w:rStyle w:val="Fett"/>
          <w:rFonts w:eastAsiaTheme="majorEastAsia"/>
          <w:rtl/>
        </w:rPr>
        <w:t>אֲשֶׁר יְדַבֵּר הַנָּבִיא בְּשֵׁם יְהוָה</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דבר</w:t>
      </w:r>
      <w:r>
        <w:t xml:space="preserve">, Piel Imperfekt, 3. Person Maskulinum Singular, „reden", </w:t>
      </w:r>
      <w:r>
        <w:rPr>
          <w:rStyle w:val="Fett"/>
          <w:rFonts w:eastAsiaTheme="majorEastAsia"/>
          <w:rtl/>
        </w:rPr>
        <w:t>הַנָּבִיא</w:t>
      </w:r>
      <w:r>
        <w:rPr>
          <w:rtl/>
        </w:rPr>
        <w:t xml:space="preserve"> </w:t>
      </w:r>
      <w:r>
        <w:t xml:space="preserve">als Subjekt, </w:t>
      </w:r>
      <w:r>
        <w:rPr>
          <w:rStyle w:val="Fett"/>
          <w:rFonts w:eastAsiaTheme="majorEastAsia"/>
          <w:rtl/>
        </w:rPr>
        <w:t>בְּשֵׁם יְהוָה</w:t>
      </w:r>
      <w:r>
        <w:t xml:space="preserve">, „was redet der Prophet im Namen JHWHs"), </w:t>
      </w:r>
      <w:r>
        <w:rPr>
          <w:rStyle w:val="Fett"/>
          <w:rFonts w:eastAsiaTheme="majorEastAsia"/>
          <w:rtl/>
        </w:rPr>
        <w:t>וְלֹא־יִהְיֶה הַדָּבָר</w:t>
      </w:r>
      <w:r>
        <w:rPr>
          <w:rtl/>
        </w:rPr>
        <w:t xml:space="preserve"> </w:t>
      </w:r>
      <w:r>
        <w:t xml:space="preserve">(koordiniert durch </w:t>
      </w:r>
      <w:r>
        <w:rPr>
          <w:rStyle w:val="Fett"/>
          <w:rFonts w:eastAsiaTheme="majorEastAsia"/>
          <w:rtl/>
        </w:rPr>
        <w:t>וְ</w:t>
      </w:r>
      <w:r>
        <w:rPr>
          <w:rtl/>
        </w:rPr>
        <w:t xml:space="preserve"> </w:t>
      </w:r>
      <w:r>
        <w:t xml:space="preserve">mit Negation und </w:t>
      </w:r>
      <w:r>
        <w:rPr>
          <w:rStyle w:val="Fett"/>
          <w:rFonts w:eastAsiaTheme="majorEastAsia"/>
          <w:rtl/>
        </w:rPr>
        <w:t>היה</w:t>
      </w:r>
      <w:r>
        <w:t xml:space="preserve">, Qal Imperfekt, 3. Person Maskulinum Singular, „sein, geschehen", </w:t>
      </w:r>
      <w:r>
        <w:rPr>
          <w:rStyle w:val="Fett"/>
          <w:rFonts w:eastAsiaTheme="majorEastAsia"/>
          <w:rtl/>
        </w:rPr>
        <w:t>הַדָּבָר</w:t>
      </w:r>
      <w:r>
        <w:t xml:space="preserve">, „und nicht geschieht das Wort"), </w:t>
      </w:r>
      <w:r>
        <w:rPr>
          <w:rStyle w:val="Fett"/>
          <w:rFonts w:eastAsiaTheme="majorEastAsia"/>
          <w:rtl/>
        </w:rPr>
        <w:t>וְלֹא יָבוֹא</w:t>
      </w:r>
      <w:r>
        <w:rPr>
          <w:rtl/>
        </w:rPr>
        <w:t xml:space="preserve"> </w:t>
      </w:r>
      <w:r>
        <w:t xml:space="preserve">(koordiniert durch </w:t>
      </w:r>
      <w:r>
        <w:rPr>
          <w:rStyle w:val="Fett"/>
          <w:rFonts w:eastAsiaTheme="majorEastAsia"/>
          <w:rtl/>
        </w:rPr>
        <w:t>וְ</w:t>
      </w:r>
      <w:r>
        <w:rPr>
          <w:rtl/>
        </w:rPr>
        <w:t xml:space="preserve"> </w:t>
      </w:r>
      <w:r>
        <w:t xml:space="preserve">mit Negation und </w:t>
      </w:r>
      <w:r>
        <w:rPr>
          <w:rStyle w:val="Fett"/>
          <w:rFonts w:eastAsiaTheme="majorEastAsia"/>
          <w:rtl/>
        </w:rPr>
        <w:t>בוא</w:t>
      </w:r>
      <w:r>
        <w:t>, Qal Imperfekt, 3. Person Maskulinum Singular, „kommen, eintreffen", „und nicht eintrifft").</w:t>
      </w:r>
    </w:p>
    <w:p w14:paraId="4BA07F74" w14:textId="77777777" w:rsidR="00DD2E9B" w:rsidRDefault="00DD2E9B" w:rsidP="00DD2E9B">
      <w:pPr>
        <w:pStyle w:val="whitespace-normal"/>
      </w:pPr>
      <w:r>
        <w:rPr>
          <w:rStyle w:val="Fett"/>
          <w:rFonts w:eastAsiaTheme="majorEastAsia"/>
          <w:rtl/>
        </w:rPr>
        <w:lastRenderedPageBreak/>
        <w:t>הוּא הַדָּבָר אֲשֶׁר לֹא־דִבְּרוֹ יְהוָה</w:t>
      </w:r>
      <w:r>
        <w:rPr>
          <w:rtl/>
        </w:rPr>
        <w:t xml:space="preserve"> </w:t>
      </w:r>
      <w:r>
        <w:t xml:space="preserve">ist die Folgerung: </w:t>
      </w:r>
      <w:r>
        <w:rPr>
          <w:rStyle w:val="Fett"/>
          <w:rFonts w:eastAsiaTheme="majorEastAsia"/>
          <w:rtl/>
        </w:rPr>
        <w:t>הוּא</w:t>
      </w:r>
      <w:r>
        <w:rPr>
          <w:rtl/>
        </w:rPr>
        <w:t xml:space="preserve"> </w:t>
      </w:r>
      <w:r>
        <w:t xml:space="preserve">(Personalpronomen 3. Person Maskulinum Singular, betont, „das"), </w:t>
      </w:r>
      <w:r>
        <w:rPr>
          <w:rStyle w:val="Fett"/>
          <w:rFonts w:eastAsiaTheme="majorEastAsia"/>
          <w:rtl/>
        </w:rPr>
        <w:t>הַדָּבָר</w:t>
      </w:r>
      <w:r>
        <w:rPr>
          <w:rtl/>
        </w:rPr>
        <w:t xml:space="preserve"> </w:t>
      </w:r>
      <w:r>
        <w:t>(</w:t>
      </w:r>
      <w:r>
        <w:rPr>
          <w:rStyle w:val="Fett"/>
          <w:rFonts w:eastAsiaTheme="majorEastAsia"/>
          <w:rtl/>
        </w:rPr>
        <w:t>דָּבָר</w:t>
      </w:r>
      <w:r>
        <w:rPr>
          <w:rtl/>
        </w:rPr>
        <w:t xml:space="preserve"> </w:t>
      </w:r>
      <w:r>
        <w:t xml:space="preserve">mit Artikel, „das Wort"), </w:t>
      </w:r>
      <w:r>
        <w:rPr>
          <w:rStyle w:val="Fett"/>
          <w:rFonts w:eastAsiaTheme="majorEastAsia"/>
          <w:rtl/>
        </w:rPr>
        <w:t>אֲשֶׁר לֹא־דִבְּרוֹ יְהוָה</w:t>
      </w:r>
      <w:r>
        <w:rPr>
          <w:rtl/>
        </w:rPr>
        <w:t xml:space="preserve"> </w:t>
      </w:r>
      <w:r>
        <w:t xml:space="preserve">(Relativsatz: </w:t>
      </w:r>
      <w:r>
        <w:rPr>
          <w:rStyle w:val="Fett"/>
          <w:rFonts w:eastAsiaTheme="majorEastAsia"/>
          <w:rtl/>
        </w:rPr>
        <w:t>אֲשֶׁר</w:t>
      </w:r>
      <w:r>
        <w:rPr>
          <w:rtl/>
        </w:rPr>
        <w:t xml:space="preserve"> </w:t>
      </w:r>
      <w:r>
        <w:t xml:space="preserve">mit Negation und </w:t>
      </w:r>
      <w:r>
        <w:rPr>
          <w:rStyle w:val="Fett"/>
          <w:rFonts w:eastAsiaTheme="majorEastAsia"/>
          <w:rtl/>
        </w:rPr>
        <w:t>דבר</w:t>
      </w:r>
      <w:r>
        <w:t xml:space="preserve">, Piel Perfekt, 3. Person Maskulinum Singular, mit Suffix 3. Person Maskulinum Singular, </w:t>
      </w:r>
      <w:r>
        <w:rPr>
          <w:rStyle w:val="Fett"/>
          <w:rFonts w:eastAsiaTheme="majorEastAsia"/>
          <w:rtl/>
        </w:rPr>
        <w:t>יְהוָה</w:t>
      </w:r>
      <w:r>
        <w:rPr>
          <w:rtl/>
        </w:rPr>
        <w:t xml:space="preserve"> </w:t>
      </w:r>
      <w:r>
        <w:t>als Subjekt, „das nicht geredet hat JHWH").</w:t>
      </w:r>
    </w:p>
    <w:p w14:paraId="67466905" w14:textId="77777777" w:rsidR="00DD2E9B" w:rsidRDefault="00DD2E9B" w:rsidP="00DD2E9B">
      <w:pPr>
        <w:pStyle w:val="whitespace-normal"/>
      </w:pPr>
      <w:r>
        <w:rPr>
          <w:rStyle w:val="Fett"/>
          <w:rFonts w:eastAsiaTheme="majorEastAsia"/>
          <w:rtl/>
        </w:rPr>
        <w:t>בְּזָדוֹן דִּבְּרוֹ הַנָּבִיא</w:t>
      </w:r>
      <w:r>
        <w:rPr>
          <w:rtl/>
        </w:rPr>
        <w:t xml:space="preserve"> </w:t>
      </w:r>
      <w:r>
        <w:t xml:space="preserve">ist die Erklärung: </w:t>
      </w:r>
      <w:r>
        <w:rPr>
          <w:rStyle w:val="Fett"/>
          <w:rFonts w:eastAsiaTheme="majorEastAsia"/>
          <w:rtl/>
        </w:rPr>
        <w:t>בְּזָדוֹן</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זָדוֹן</w:t>
      </w:r>
      <w:r>
        <w:t xml:space="preserve">, „Vermessenheit, Überheblichkeit", „in Vermessenheit"), </w:t>
      </w:r>
      <w:r>
        <w:rPr>
          <w:rStyle w:val="Fett"/>
          <w:rFonts w:eastAsiaTheme="majorEastAsia"/>
          <w:rtl/>
        </w:rPr>
        <w:t>דִּבְּרוֹ</w:t>
      </w:r>
      <w:r>
        <w:rPr>
          <w:rtl/>
        </w:rPr>
        <w:t xml:space="preserve"> </w:t>
      </w:r>
      <w:r>
        <w:t xml:space="preserve">(Piel Perfekt, 3. Person Maskulinum Singular von </w:t>
      </w:r>
      <w:r>
        <w:rPr>
          <w:rStyle w:val="Fett"/>
          <w:rFonts w:eastAsiaTheme="majorEastAsia"/>
          <w:rtl/>
        </w:rPr>
        <w:t>דבר</w:t>
      </w:r>
      <w:r>
        <w:t xml:space="preserve">, „reden", mit Suffix 3. Person Maskulinum Singular, „hat es geredet"), </w:t>
      </w:r>
      <w:r>
        <w:rPr>
          <w:rStyle w:val="Fett"/>
          <w:rFonts w:eastAsiaTheme="majorEastAsia"/>
          <w:rtl/>
        </w:rPr>
        <w:t>הַנָּבִיא</w:t>
      </w:r>
      <w:r>
        <w:rPr>
          <w:rtl/>
        </w:rPr>
        <w:t xml:space="preserve"> </w:t>
      </w:r>
      <w:r>
        <w:t>als Subjekt.</w:t>
      </w:r>
    </w:p>
    <w:p w14:paraId="1337C387" w14:textId="77777777" w:rsidR="00DD2E9B" w:rsidRDefault="00DD2E9B" w:rsidP="00DD2E9B">
      <w:pPr>
        <w:pStyle w:val="whitespace-normal"/>
      </w:pPr>
      <w:r>
        <w:rPr>
          <w:rStyle w:val="Fett"/>
          <w:rFonts w:eastAsiaTheme="majorEastAsia"/>
          <w:rtl/>
        </w:rPr>
        <w:t>לֹא תָגוּר מִמֶּנּוּ</w:t>
      </w:r>
      <w:r>
        <w:rPr>
          <w:rtl/>
        </w:rPr>
        <w:t xml:space="preserve"> </w:t>
      </w:r>
      <w:r>
        <w:t xml:space="preserve">ist die Schlussfolgerung: </w:t>
      </w:r>
      <w:r>
        <w:rPr>
          <w:rStyle w:val="Fett"/>
          <w:rFonts w:eastAsiaTheme="majorEastAsia"/>
          <w:rtl/>
        </w:rPr>
        <w:t>לֹא תָגוּר</w:t>
      </w:r>
      <w:r>
        <w:rPr>
          <w:rtl/>
        </w:rPr>
        <w:t xml:space="preserve"> </w:t>
      </w:r>
      <w:r>
        <w:t xml:space="preserve">(Negation mit </w:t>
      </w:r>
      <w:r>
        <w:rPr>
          <w:rStyle w:val="Fett"/>
          <w:rFonts w:eastAsiaTheme="majorEastAsia"/>
          <w:rtl/>
        </w:rPr>
        <w:t>גור</w:t>
      </w:r>
      <w:r>
        <w:t xml:space="preserve">, Qal Imperfekt, 2. Person Maskulinum Singular, „fürchten, sich fürchten"), </w:t>
      </w:r>
      <w:r>
        <w:rPr>
          <w:rStyle w:val="Fett"/>
          <w:rFonts w:eastAsiaTheme="majorEastAsia"/>
          <w:rtl/>
        </w:rPr>
        <w:t>מִמֶּנּוּ</w:t>
      </w:r>
      <w:r>
        <w:rPr>
          <w:rtl/>
        </w:rPr>
        <w:t xml:space="preserve"> </w:t>
      </w:r>
      <w:r>
        <w:t xml:space="preserve">(Präposition </w:t>
      </w:r>
      <w:r>
        <w:rPr>
          <w:rStyle w:val="Fett"/>
          <w:rFonts w:eastAsiaTheme="majorEastAsia"/>
          <w:rtl/>
        </w:rPr>
        <w:t>מִן</w:t>
      </w:r>
      <w:r>
        <w:rPr>
          <w:rtl/>
        </w:rPr>
        <w:t xml:space="preserve"> </w:t>
      </w:r>
      <w:r>
        <w:t>mit Suffix 3. Person Maskulinum Singular, „vor ihm").</w:t>
      </w:r>
    </w:p>
    <w:p w14:paraId="5D54DC4C" w14:textId="77777777" w:rsidR="00DD2E9B" w:rsidRDefault="00DD2E9B" w:rsidP="00DD2E9B">
      <w:pPr>
        <w:pStyle w:val="whitespace-normal"/>
      </w:pPr>
      <w:r>
        <w:t>Der Vers gibt das Kriterium zur Unterscheidung wahrer und falscher Prophetie: Erfüllung bzw. Nicht-Erfüllung. Wenn ein Prophet im Namen JHWHs redet und das Wort nicht eintrifft (</w:t>
      </w:r>
      <w:r>
        <w:rPr>
          <w:rStyle w:val="Fett"/>
          <w:rFonts w:eastAsiaTheme="majorEastAsia"/>
          <w:rtl/>
        </w:rPr>
        <w:t>וְלֹא־יִהְיֶה הַדָּבָר וְלֹא יָבוֹא</w:t>
      </w:r>
      <w:r>
        <w:t xml:space="preserve">, „und nicht geschieht das Wort und nicht trifft ein"), dann ist es kein Wort von JHWH, sondern der Prophet hat </w:t>
      </w:r>
      <w:r>
        <w:rPr>
          <w:rStyle w:val="Fett"/>
          <w:rFonts w:eastAsiaTheme="majorEastAsia"/>
          <w:rtl/>
        </w:rPr>
        <w:t>בְּזָדוֹן</w:t>
      </w:r>
      <w:r>
        <w:rPr>
          <w:rtl/>
        </w:rPr>
        <w:t xml:space="preserve"> </w:t>
      </w:r>
      <w:r>
        <w:t>(„in Vermessenheit") geredet.</w:t>
      </w:r>
    </w:p>
    <w:p w14:paraId="1B9429AD" w14:textId="77777777" w:rsidR="00DD2E9B" w:rsidRDefault="00DD2E9B" w:rsidP="00DD2E9B">
      <w:pPr>
        <w:pStyle w:val="whitespace-normal"/>
      </w:pPr>
      <w:r>
        <w:t xml:space="preserve">Die Schlussfolgerung </w:t>
      </w:r>
      <w:r>
        <w:rPr>
          <w:rStyle w:val="Fett"/>
          <w:rFonts w:eastAsiaTheme="majorEastAsia"/>
          <w:rtl/>
        </w:rPr>
        <w:t>לֹא תָגוּר מִמֶּנּוּ</w:t>
      </w:r>
      <w:r>
        <w:rPr>
          <w:rtl/>
        </w:rPr>
        <w:t xml:space="preserve"> </w:t>
      </w:r>
      <w:r>
        <w:t>(„du sollst dich nicht fürchten vor ihm") bedeutet: Der falsche Prophet hat keine Autorität; man muss ihn nicht respektieren oder fürchten (vgl. Jer 28, wo Jeremia gegen den falschen Propheten Hananja auftritt).</w:t>
      </w:r>
    </w:p>
    <w:p w14:paraId="1E0F9210" w14:textId="74B92B6A" w:rsidR="00DD2E9B" w:rsidRDefault="00DD2E9B" w:rsidP="00DD2E9B">
      <w:pPr>
        <w:pStyle w:val="whitespace-normal"/>
      </w:pPr>
      <w:r>
        <w:rPr>
          <w:rStyle w:val="Fett"/>
          <w:rFonts w:eastAsiaTheme="majorEastAsia"/>
        </w:rPr>
        <w:t>Problem:</w:t>
      </w:r>
      <w:r>
        <w:t xml:space="preserve"> Das Kriterium der Erfüllung funktioniert nur retrospektiv – erst nach der (Nicht-)Erfüllung weiß man, ob der Prophet wahr oder falsch war. Für die unmittelbare Gegenwart ist es wenig hilfreich. Andere Kriterien: Übereinstimmung mit der </w:t>
      </w:r>
      <w:r w:rsidR="006D3FED">
        <w:t>Torah</w:t>
      </w:r>
      <w:r>
        <w:t xml:space="preserve"> (13,2-6), moralischer Charakter (Jer 23,9-40; 28-29), innere Glaubwürdigkeit.</w:t>
      </w:r>
    </w:p>
    <w:p w14:paraId="671D1BAE" w14:textId="7342B575" w:rsidR="00731060" w:rsidRDefault="00731060" w:rsidP="00DD2E9B">
      <w:pPr>
        <w:pStyle w:val="whitespace-normal"/>
      </w:pPr>
      <w:r>
        <w:rPr>
          <w:rStyle w:val="Fett"/>
        </w:rPr>
        <w:t>Die LXX</w:t>
      </w:r>
      <w:r>
        <w:t xml:space="preserve"> übersetzt </w:t>
      </w:r>
      <w:r w:rsidRPr="00731060">
        <w:rPr>
          <w:b/>
          <w:bCs/>
          <w:rtl/>
        </w:rPr>
        <w:t>בְּזָדוֹן</w:t>
      </w:r>
      <w:r>
        <w:t xml:space="preserve"> (in Vermessenheit) mit </w:t>
      </w:r>
      <w:proofErr w:type="spellStart"/>
      <w:r>
        <w:t>ἐν</w:t>
      </w:r>
      <w:proofErr w:type="spellEnd"/>
      <w:r>
        <w:t xml:space="preserve"> </w:t>
      </w:r>
      <w:proofErr w:type="spellStart"/>
      <w:r>
        <w:t>ἀσε</w:t>
      </w:r>
      <w:proofErr w:type="spellEnd"/>
      <w:r>
        <w:t xml:space="preserve">βείᾳ (in Gottlosigkeit) – wieder die charakteristische Verschiebung. Die Wendung </w:t>
      </w:r>
      <w:r w:rsidRPr="00731060">
        <w:rPr>
          <w:b/>
          <w:bCs/>
          <w:rtl/>
        </w:rPr>
        <w:t>לֹא</w:t>
      </w:r>
      <w:r>
        <w:rPr>
          <w:rtl/>
        </w:rPr>
        <w:t xml:space="preserve"> </w:t>
      </w:r>
      <w:r w:rsidRPr="00731060">
        <w:rPr>
          <w:b/>
          <w:bCs/>
          <w:rtl/>
        </w:rPr>
        <w:t>תָגוּר</w:t>
      </w:r>
      <w:r>
        <w:rPr>
          <w:rtl/>
        </w:rPr>
        <w:t xml:space="preserve"> </w:t>
      </w:r>
      <w:r w:rsidRPr="00731060">
        <w:rPr>
          <w:b/>
          <w:bCs/>
          <w:rtl/>
        </w:rPr>
        <w:t>מִמֶּנּוּ</w:t>
      </w:r>
      <w:r>
        <w:t xml:space="preserve"> (du sollst dich nicht vor ihm fürchten) wird mit </w:t>
      </w:r>
      <w:proofErr w:type="spellStart"/>
      <w:r>
        <w:t>οὐκ</w:t>
      </w:r>
      <w:proofErr w:type="spellEnd"/>
      <w:r>
        <w:t xml:space="preserve"> </w:t>
      </w:r>
      <w:proofErr w:type="spellStart"/>
      <w:r>
        <w:t>ἀφέξεσθε</w:t>
      </w:r>
      <w:proofErr w:type="spellEnd"/>
      <w:r>
        <w:t xml:space="preserve"> ἀπʼ α</w:t>
      </w:r>
      <w:proofErr w:type="spellStart"/>
      <w:r>
        <w:t>ὐτοῦ</w:t>
      </w:r>
      <w:proofErr w:type="spellEnd"/>
      <w:r>
        <w:t xml:space="preserve"> (ihr werdet euch nicht von ihm fernhalten) übersetzt – eine Bedeutungsverschiebung von "Furcht" zu "sich distanzieren".</w:t>
      </w:r>
    </w:p>
    <w:p w14:paraId="56633CD6" w14:textId="77777777" w:rsidR="00DD2E9B" w:rsidRDefault="00DD2E9B" w:rsidP="00DD2E9B">
      <w:pPr>
        <w:pStyle w:val="whitespace-normal"/>
      </w:pPr>
      <w:r>
        <w:rPr>
          <w:rStyle w:val="Fett"/>
          <w:rFonts w:eastAsiaTheme="majorEastAsia"/>
        </w:rPr>
        <w:t>Die Satzstruktur:</w:t>
      </w:r>
      <w:r>
        <w:t xml:space="preserve"> Bedingungssatz mit Folgerung, Erklärung und Schlussfolgerung (was redet der Prophet im Namen JHWHs, und nicht geschieht das Wort und nicht trifft ein, das ist das Wort, das nicht geredet hat JHWH; in Vermessenheit hat es geredet der Prophet; nicht sollst du fürchten vor ihm).</w:t>
      </w:r>
    </w:p>
    <w:p w14:paraId="3821D375" w14:textId="77777777" w:rsidR="00DD2E9B" w:rsidRDefault="00DD2E9B" w:rsidP="00DD2E9B">
      <w:pPr>
        <w:pStyle w:val="whitespace-normal"/>
      </w:pPr>
      <w:r>
        <w:t>Der Vers antwortet: Wenn ein Prophet im Namen JHWHs redet und es trifft nicht ein – dann hat JHWH nicht geredet, der Prophet war vermessen, und du brauchst ihn nicht zu fürchten.</w:t>
      </w:r>
    </w:p>
    <w:p w14:paraId="6CF05B9E"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19,1</w:t>
      </w:r>
    </w:p>
    <w:p w14:paraId="5BF7AC91" w14:textId="77777777" w:rsidR="00DD2E9B" w:rsidRDefault="00DD2E9B" w:rsidP="00DD2E9B">
      <w:pPr>
        <w:pStyle w:val="whitespace-normal"/>
      </w:pPr>
      <w:r>
        <w:rPr>
          <w:rStyle w:val="Fett"/>
          <w:rFonts w:eastAsiaTheme="majorEastAsia"/>
        </w:rPr>
        <w:t>Hebräisch:</w:t>
      </w:r>
      <w:r>
        <w:t xml:space="preserve"> </w:t>
      </w:r>
      <w:r>
        <w:rPr>
          <w:rtl/>
        </w:rPr>
        <w:t>כִּֽי־יַכְרִ֞ית יְהוָ֤ה אֱלֹהֶ֨יךָ֙ אֶת־הַגּוֹיִ֔ם אֲשֶׁר֙ יְהוָ֣ה אֱלֹהֶ֔יךָ נֹתֵ֥ן לְךָ֖ אֶת־אַרְצָ֑ם וִֽירִשְׁתָּ֕ם וְיָשַׁבְתָּ֥ בְעָרֵיהֶ֖ם וּבְבָתֵּיהֶֽם׃</w:t>
      </w:r>
    </w:p>
    <w:p w14:paraId="47A40D5E" w14:textId="77777777" w:rsidR="00DD2E9B" w:rsidRDefault="00DD2E9B" w:rsidP="00DD2E9B">
      <w:pPr>
        <w:pStyle w:val="whitespace-normal"/>
      </w:pPr>
      <w:r>
        <w:rPr>
          <w:rStyle w:val="Fett"/>
          <w:rFonts w:eastAsiaTheme="majorEastAsia"/>
        </w:rPr>
        <w:lastRenderedPageBreak/>
        <w:t>Deutsch:</w:t>
      </w:r>
      <w:r>
        <w:t xml:space="preserve"> Wenn der Ewige, dein Gott, die Nationen ausrotten wird, deren Land der Ewige, dein Gott, dir gibt, und du sie vertreibst und in ihren Städten und in ihren Häusern wohnst,</w:t>
      </w:r>
    </w:p>
    <w:p w14:paraId="7BA1AF0E" w14:textId="77777777" w:rsidR="00DD2E9B" w:rsidRDefault="004F5CEB" w:rsidP="00DD2E9B">
      <w:r>
        <w:rPr>
          <w:noProof/>
        </w:rPr>
        <w:pict w14:anchorId="0A9ACE1A">
          <v:rect id="_x0000_i1532" style="width:0;height:1.5pt" o:hralign="center" o:hrstd="t" o:hr="t" fillcolor="#a0a0a0" stroked="f"/>
        </w:pict>
      </w:r>
    </w:p>
    <w:p w14:paraId="04C5991C" w14:textId="77777777" w:rsidR="00DD2E9B" w:rsidRDefault="00DD2E9B" w:rsidP="00DD2E9B">
      <w:pPr>
        <w:pStyle w:val="whitespace-normal"/>
      </w:pPr>
      <w:r>
        <w:rPr>
          <w:rStyle w:val="Fett"/>
          <w:rFonts w:eastAsiaTheme="majorEastAsia"/>
        </w:rPr>
        <w:t>Kommentar:</w:t>
      </w:r>
      <w:r>
        <w:t xml:space="preserve"> </w:t>
      </w:r>
      <w:r>
        <w:rPr>
          <w:rStyle w:val="Fett"/>
          <w:rFonts w:eastAsiaTheme="majorEastAsia"/>
          <w:rtl/>
        </w:rPr>
        <w:t>כִּי־יַכְרִית יְהוָה אֱלֹהֶיךָ אֶת־הַגּוֹיִם אֲשֶׁר יְהוָה אֱלֹהֶיךָ נֹתֵן לְךָ אֶת־אַרְצָם</w:t>
      </w:r>
      <w:r>
        <w:rPr>
          <w:rtl/>
        </w:rPr>
        <w:t xml:space="preserve"> </w:t>
      </w:r>
      <w:r>
        <w:t xml:space="preserve">ist ein konditionaler temporaler Satz: </w:t>
      </w:r>
      <w:r>
        <w:rPr>
          <w:rStyle w:val="Fett"/>
          <w:rFonts w:eastAsiaTheme="majorEastAsia"/>
          <w:rtl/>
        </w:rPr>
        <w:t>כִּי־יַכְרִית</w:t>
      </w:r>
      <w:r>
        <w:rPr>
          <w:rtl/>
        </w:rPr>
        <w:t xml:space="preserve"> </w:t>
      </w:r>
      <w:r>
        <w:t>(</w:t>
      </w:r>
      <w:r>
        <w:rPr>
          <w:rStyle w:val="Fett"/>
          <w:rFonts w:eastAsiaTheme="majorEastAsia"/>
          <w:rtl/>
        </w:rPr>
        <w:t>כִּי</w:t>
      </w:r>
      <w:r>
        <w:t xml:space="preserve">, „wenn", mit </w:t>
      </w:r>
      <w:r>
        <w:rPr>
          <w:rStyle w:val="Fett"/>
          <w:rFonts w:eastAsiaTheme="majorEastAsia"/>
          <w:rtl/>
        </w:rPr>
        <w:t>כרת</w:t>
      </w:r>
      <w:r>
        <w:t xml:space="preserve">, Hiphil Imperfekt, 3. Person Maskulinum Singular, „ausrotten, vernichten"), </w:t>
      </w:r>
      <w:r>
        <w:rPr>
          <w:rStyle w:val="Fett"/>
          <w:rFonts w:eastAsiaTheme="majorEastAsia"/>
          <w:rtl/>
        </w:rPr>
        <w:t>יְהוָה אֱלֹהֶיךָ</w:t>
      </w:r>
      <w:r>
        <w:rPr>
          <w:rtl/>
        </w:rPr>
        <w:t xml:space="preserve"> </w:t>
      </w:r>
      <w:r>
        <w:t xml:space="preserve">als Subjekt, </w:t>
      </w:r>
      <w:r>
        <w:rPr>
          <w:rStyle w:val="Fett"/>
          <w:rFonts w:eastAsiaTheme="majorEastAsia"/>
          <w:rtl/>
        </w:rPr>
        <w:t>אֶת־הַגּוֹיִם</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גּוֹי</w:t>
      </w:r>
      <w:r>
        <w:t xml:space="preserve">, „Nation, Volk", Plural mit Artikel), </w:t>
      </w:r>
      <w:r>
        <w:rPr>
          <w:rStyle w:val="Fett"/>
          <w:rFonts w:eastAsiaTheme="majorEastAsia"/>
          <w:rtl/>
        </w:rPr>
        <w:t>אֲשֶׁר יְהוָה אֱלֹהֶיךָ נֹתֵן לְךָ אֶת־אַרְצָם</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נתן</w:t>
      </w:r>
      <w:r>
        <w:t xml:space="preserve">, Qal Partizip, „geben", </w:t>
      </w:r>
      <w:r>
        <w:rPr>
          <w:rStyle w:val="Fett"/>
          <w:rFonts w:eastAsiaTheme="majorEastAsia"/>
          <w:rtl/>
        </w:rPr>
        <w:t>יְהוָה אֱלֹהֶיךָ</w:t>
      </w:r>
      <w:r>
        <w:rPr>
          <w:rtl/>
        </w:rPr>
        <w:t xml:space="preserve"> </w:t>
      </w:r>
      <w:r>
        <w:t xml:space="preserve">als Subjekt, </w:t>
      </w:r>
      <w:r>
        <w:rPr>
          <w:rStyle w:val="Fett"/>
          <w:rFonts w:eastAsiaTheme="majorEastAsia"/>
          <w:rtl/>
        </w:rPr>
        <w:t>לְךָ</w:t>
      </w:r>
      <w:r>
        <w:t xml:space="preserve">, </w:t>
      </w:r>
      <w:r>
        <w:rPr>
          <w:rStyle w:val="Fett"/>
          <w:rFonts w:eastAsiaTheme="majorEastAsia"/>
          <w:rtl/>
        </w:rPr>
        <w:t>אֶת־אַרְצָם</w:t>
      </w:r>
      <w:r>
        <w:t xml:space="preserve">, Objektpartikel </w:t>
      </w:r>
      <w:r>
        <w:rPr>
          <w:rStyle w:val="Fett"/>
          <w:rFonts w:eastAsiaTheme="majorEastAsia"/>
          <w:rtl/>
        </w:rPr>
        <w:t>אֵת</w:t>
      </w:r>
      <w:r>
        <w:rPr>
          <w:rtl/>
        </w:rPr>
        <w:t xml:space="preserve"> </w:t>
      </w:r>
      <w:r>
        <w:t xml:space="preserve">mit </w:t>
      </w:r>
      <w:r>
        <w:rPr>
          <w:rStyle w:val="Fett"/>
          <w:rFonts w:eastAsiaTheme="majorEastAsia"/>
          <w:rtl/>
        </w:rPr>
        <w:t>אֶרֶץ</w:t>
      </w:r>
      <w:r>
        <w:t>, „Land", mit Suffix 3. Person Plural, „deren Land JHWH, dein Gott, dir gibt").</w:t>
      </w:r>
    </w:p>
    <w:p w14:paraId="2B8F85BD" w14:textId="77777777" w:rsidR="00DD2E9B" w:rsidRDefault="00DD2E9B" w:rsidP="00DD2E9B">
      <w:pPr>
        <w:pStyle w:val="whitespace-normal"/>
      </w:pPr>
      <w:r>
        <w:rPr>
          <w:rStyle w:val="Fett"/>
          <w:rFonts w:eastAsiaTheme="majorEastAsia"/>
          <w:rtl/>
        </w:rPr>
        <w:t>וִירִשְׁתָּם וְיָשַׁבְתָּ בְעָרֵיהֶם וּבְבָתֵּיהֶם</w:t>
      </w:r>
      <w:r>
        <w:rPr>
          <w:rtl/>
        </w:rPr>
        <w:t xml:space="preserve"> </w:t>
      </w:r>
      <w:r>
        <w:t xml:space="preserve">sind drei koordinierte Verben: </w:t>
      </w:r>
      <w:r>
        <w:rPr>
          <w:rStyle w:val="Fett"/>
          <w:rFonts w:eastAsiaTheme="majorEastAsia"/>
          <w:rtl/>
        </w:rPr>
        <w:t>וִירִשְׁתָּם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ירשׁ</w:t>
      </w:r>
      <w:r>
        <w:t xml:space="preserve">, Qal Perfekt, 2. Person Maskulinum Singular, „in Besitz nehmen, vertreiben", mit Suffix 3. Person Plural, mit </w:t>
      </w:r>
      <w:r>
        <w:rPr>
          <w:rStyle w:val="Fett"/>
          <w:rFonts w:eastAsiaTheme="majorEastAsia"/>
        </w:rPr>
        <w:t>Waw</w:t>
      </w:r>
      <w:r>
        <w:t xml:space="preserve"> consecutives Perfekt), </w:t>
      </w:r>
      <w:r>
        <w:rPr>
          <w:rStyle w:val="Fett"/>
          <w:rFonts w:eastAsiaTheme="majorEastAsia"/>
          <w:rtl/>
        </w:rPr>
        <w:t>וְיָשַׁבְתָּ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ישׁב</w:t>
      </w:r>
      <w:r>
        <w:t xml:space="preserve">, Qal Perfekt, 2. Person Maskulinum Singular, „wohnen, sitzen", mit </w:t>
      </w:r>
      <w:r>
        <w:rPr>
          <w:rStyle w:val="Fett"/>
          <w:rFonts w:eastAsiaTheme="majorEastAsia"/>
        </w:rPr>
        <w:t>Waw</w:t>
      </w:r>
      <w:r>
        <w:t xml:space="preserve"> consecutives Perfekt), </w:t>
      </w:r>
      <w:r>
        <w:rPr>
          <w:rStyle w:val="Fett"/>
          <w:rFonts w:eastAsiaTheme="majorEastAsia"/>
          <w:rtl/>
        </w:rPr>
        <w:t>בְעָרֵיהֶם וּבְבָתֵּיהֶם</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עִיר</w:t>
      </w:r>
      <w:r>
        <w:t xml:space="preserve">, „Stadt", Plural mit Suffix 3. Person Plural, koordiniert durch </w:t>
      </w:r>
      <w:r>
        <w:rPr>
          <w:rStyle w:val="Fett"/>
          <w:rFonts w:eastAsiaTheme="majorEastAsia"/>
          <w:rtl/>
        </w:rPr>
        <w:t>וּבְ</w:t>
      </w:r>
      <w:r>
        <w:rPr>
          <w:rtl/>
        </w:rPr>
        <w:t xml:space="preserve"> </w:t>
      </w:r>
      <w:r>
        <w:t xml:space="preserve">mit </w:t>
      </w:r>
      <w:r>
        <w:rPr>
          <w:rStyle w:val="Fett"/>
          <w:rFonts w:eastAsiaTheme="majorEastAsia"/>
          <w:rtl/>
        </w:rPr>
        <w:t>בַּיִת</w:t>
      </w:r>
      <w:r>
        <w:t>, „Haus", Plural mit Suffix 3. Person Plural).</w:t>
      </w:r>
    </w:p>
    <w:p w14:paraId="3C0A70D6" w14:textId="1D42CD96" w:rsidR="00DD2E9B" w:rsidRDefault="00DD2E9B" w:rsidP="00DD2E9B">
      <w:pPr>
        <w:pStyle w:val="whitespace-normal"/>
      </w:pPr>
      <w:r>
        <w:t xml:space="preserve">Der Vers leitet ein neues Kapitel ein: Asylstädte und Rechtsordnung (Kap. 19). Die Formulierung </w:t>
      </w:r>
      <w:r>
        <w:rPr>
          <w:rStyle w:val="Fett"/>
          <w:rFonts w:eastAsiaTheme="majorEastAsia"/>
          <w:rtl/>
        </w:rPr>
        <w:t>כִּי־יַכְרִית יְהוָה... אֶת־הַגּוֹיִם</w:t>
      </w:r>
      <w:r>
        <w:rPr>
          <w:rtl/>
        </w:rPr>
        <w:t xml:space="preserve"> </w:t>
      </w:r>
      <w:r>
        <w:t xml:space="preserve">(„wenn JHWH ausrotten wird die Nationen") ist charakteristisch deuteronomisch (vgl. 12,29; 19,1). Das Verb </w:t>
      </w:r>
      <w:r>
        <w:rPr>
          <w:rStyle w:val="Fett"/>
          <w:rFonts w:eastAsiaTheme="majorEastAsia"/>
          <w:rtl/>
        </w:rPr>
        <w:t>כרת</w:t>
      </w:r>
      <w:r>
        <w:rPr>
          <w:rtl/>
        </w:rPr>
        <w:t xml:space="preserve"> </w:t>
      </w:r>
      <w:r>
        <w:t xml:space="preserve">im Hiphil („ausrotten") ist ein starker Begriff für völlige Vernichtung (vgl. Gen 9,11; Ex 12,15.19; 31,14; </w:t>
      </w:r>
      <w:r w:rsidR="00664EB6">
        <w:t>Lev</w:t>
      </w:r>
      <w:r>
        <w:t xml:space="preserve"> 17,4.9.10.14; 19,8; 20,3.5.6.17.18; 23,29; Num 15,30.31; Dtn 12,29; 19,1; 20,20; Jos 3,13.16; 7,9; 9,23; 11,21; 23,4; Ri 4,24; </w:t>
      </w:r>
      <w:r w:rsidR="00664EB6">
        <w:t>1Sam</w:t>
      </w:r>
      <w:r>
        <w:t xml:space="preserve"> 2,33; 20,15; 24,22; 28,9; </w:t>
      </w:r>
      <w:r w:rsidR="00664EB6">
        <w:t>2Sam</w:t>
      </w:r>
      <w:r>
        <w:t xml:space="preserve"> 3,29; </w:t>
      </w:r>
      <w:r w:rsidR="00664EB6">
        <w:t>1Kön</w:t>
      </w:r>
      <w:r>
        <w:t xml:space="preserve"> 2,4; 9,7; 14,10.14; </w:t>
      </w:r>
      <w:r w:rsidR="00664EB6">
        <w:t>2Kön</w:t>
      </w:r>
      <w:r>
        <w:t xml:space="preserve"> 9,8; 18,4).</w:t>
      </w:r>
    </w:p>
    <w:p w14:paraId="77979F06" w14:textId="53C1358C" w:rsidR="00DD2E9B" w:rsidRDefault="00DD2E9B" w:rsidP="00DD2E9B">
      <w:pPr>
        <w:pStyle w:val="whitespace-normal"/>
      </w:pPr>
      <w:r>
        <w:t xml:space="preserve">Die dreifache Progression </w:t>
      </w:r>
      <w:r>
        <w:rPr>
          <w:rStyle w:val="Fett"/>
          <w:rFonts w:eastAsiaTheme="majorEastAsia"/>
          <w:rtl/>
        </w:rPr>
        <w:t>וִירִשְׁתָּם וְיָשַׁבְתָּ בְעָרֵיהֶם וּבְבָתֵּיהֶם</w:t>
      </w:r>
      <w:r>
        <w:rPr>
          <w:rtl/>
        </w:rPr>
        <w:t xml:space="preserve"> </w:t>
      </w:r>
      <w:r>
        <w:t>(„vertreiben... wohnen in ihren Städten und in ihren Häusern") zeigt die vollständige Landnahme: Vertreibung, Besiedlung der Städte, Bewohnen der Häuser.</w:t>
      </w:r>
    </w:p>
    <w:p w14:paraId="3630194C" w14:textId="40A575C5" w:rsidR="00C25194" w:rsidRDefault="00C25194" w:rsidP="00DD2E9B">
      <w:pPr>
        <w:pStyle w:val="whitespace-normal"/>
      </w:pPr>
      <w:r>
        <w:rPr>
          <w:rStyle w:val="Fett"/>
        </w:rPr>
        <w:t>Die LXX</w:t>
      </w:r>
      <w:r>
        <w:t xml:space="preserve"> übersetzt </w:t>
      </w:r>
      <w:r w:rsidRPr="00C25194">
        <w:rPr>
          <w:b/>
          <w:bCs/>
          <w:rtl/>
        </w:rPr>
        <w:t>יַכְרִית</w:t>
      </w:r>
      <w:r>
        <w:t xml:space="preserve"> (ausrotten wird) mit </w:t>
      </w:r>
      <w:proofErr w:type="spellStart"/>
      <w:r>
        <w:t>ἀφ</w:t>
      </w:r>
      <w:proofErr w:type="spellEnd"/>
      <w:r>
        <w:t>ανίσῃ (verschwinden lassen wird, vernichten wird) – ein Begriff, der vollständige Beseitigung betont.</w:t>
      </w:r>
    </w:p>
    <w:p w14:paraId="0EBCAEDB" w14:textId="77777777" w:rsidR="00DD2E9B" w:rsidRDefault="00DD2E9B" w:rsidP="00DD2E9B">
      <w:pPr>
        <w:pStyle w:val="whitespace-normal"/>
      </w:pPr>
      <w:r>
        <w:rPr>
          <w:rStyle w:val="Fett"/>
          <w:rFonts w:eastAsiaTheme="majorEastAsia"/>
        </w:rPr>
        <w:t>Die Satzstruktur:</w:t>
      </w:r>
      <w:r>
        <w:t xml:space="preserve"> Konditionaler temporaler Satz mit drei koordinierten Verben (wenn ausrotten wird JHWH, dein Gott, die Nationen, deren Land JHWH, dein Gott, gibt dir, und vertreiben wirst du sie und wohnen wirst du in ihren Städten und in ihren Häusern).</w:t>
      </w:r>
    </w:p>
    <w:p w14:paraId="778CBCD4" w14:textId="77777777" w:rsidR="00DD2E9B" w:rsidRDefault="00DD2E9B" w:rsidP="00DD2E9B">
      <w:pPr>
        <w:pStyle w:val="whitespace-normal"/>
      </w:pPr>
      <w:r>
        <w:t>Der Vers setzt den Kontext: Wenn JHWH die Kanaaniter ausrottet und Israel im Land wohnt – dann folgen V. 2ff. die Asylstadt-Regelungen.</w:t>
      </w:r>
    </w:p>
    <w:p w14:paraId="6D3516D6"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19,2</w:t>
      </w:r>
    </w:p>
    <w:p w14:paraId="28B9F978" w14:textId="77777777" w:rsidR="00DD2E9B" w:rsidRDefault="00DD2E9B" w:rsidP="00DD2E9B">
      <w:pPr>
        <w:pStyle w:val="whitespace-normal"/>
      </w:pPr>
      <w:r>
        <w:rPr>
          <w:rStyle w:val="Fett"/>
          <w:rFonts w:eastAsiaTheme="majorEastAsia"/>
        </w:rPr>
        <w:t>Hebräisch:</w:t>
      </w:r>
      <w:r>
        <w:t xml:space="preserve"> </w:t>
      </w:r>
      <w:r>
        <w:rPr>
          <w:rtl/>
        </w:rPr>
        <w:t>שָׁל֥וֹשׁ עָרִ֖ים תַּבְדִּ֣יל לָ֑ךְ בְּת֣וֹךְ אַרְצְךָ֔ אֲשֶׁר֙ יְהוָ֣ה אֱלֹהֶ֔יךָ נֹתֵ֥ן לְךָ֖ לְרִשְׁתָּֽהּ׃</w:t>
      </w:r>
    </w:p>
    <w:p w14:paraId="01A42F76" w14:textId="77777777" w:rsidR="00DD2E9B" w:rsidRDefault="00DD2E9B" w:rsidP="00DD2E9B">
      <w:pPr>
        <w:pStyle w:val="whitespace-normal"/>
      </w:pPr>
      <w:r>
        <w:rPr>
          <w:rStyle w:val="Fett"/>
          <w:rFonts w:eastAsiaTheme="majorEastAsia"/>
        </w:rPr>
        <w:t>Deutsch:</w:t>
      </w:r>
      <w:r>
        <w:t xml:space="preserve"> sollst du dir aussondern drei Städte inmitten deines Landes, das der Ewige, dein Gott, dir gibt, es in Besitz zu nehmen.</w:t>
      </w:r>
    </w:p>
    <w:p w14:paraId="12BD848E" w14:textId="77777777" w:rsidR="00DD2E9B" w:rsidRDefault="004F5CEB" w:rsidP="00DD2E9B">
      <w:r>
        <w:rPr>
          <w:noProof/>
        </w:rPr>
        <w:lastRenderedPageBreak/>
        <w:pict w14:anchorId="6FE16B52">
          <v:rect id="_x0000_i1533" style="width:0;height:1.5pt" o:hralign="center" o:hrstd="t" o:hr="t" fillcolor="#a0a0a0" stroked="f"/>
        </w:pict>
      </w:r>
    </w:p>
    <w:p w14:paraId="0B930864" w14:textId="77777777" w:rsidR="00DD2E9B" w:rsidRDefault="00DD2E9B" w:rsidP="00DD2E9B">
      <w:pPr>
        <w:pStyle w:val="whitespace-normal"/>
      </w:pPr>
      <w:r>
        <w:rPr>
          <w:rStyle w:val="Fett"/>
          <w:rFonts w:eastAsiaTheme="majorEastAsia"/>
        </w:rPr>
        <w:t>Kommentar:</w:t>
      </w:r>
      <w:r>
        <w:t xml:space="preserve"> </w:t>
      </w:r>
      <w:r>
        <w:rPr>
          <w:rStyle w:val="Fett"/>
          <w:rFonts w:eastAsiaTheme="majorEastAsia"/>
          <w:rtl/>
        </w:rPr>
        <w:t>שָׁלוֹשׁ עָרִים תַּבְדִּיל לָךְ</w:t>
      </w:r>
      <w:r>
        <w:rPr>
          <w:rtl/>
        </w:rPr>
        <w:t xml:space="preserve"> </w:t>
      </w:r>
      <w:r>
        <w:t xml:space="preserve">ist ein Imperativsatz: </w:t>
      </w:r>
      <w:r>
        <w:rPr>
          <w:rStyle w:val="Fett"/>
          <w:rFonts w:eastAsiaTheme="majorEastAsia"/>
          <w:rtl/>
        </w:rPr>
        <w:t>שָׁלוֹשׁ עָרִים</w:t>
      </w:r>
      <w:r>
        <w:rPr>
          <w:rtl/>
        </w:rPr>
        <w:t xml:space="preserve"> </w:t>
      </w:r>
      <w:r>
        <w:t>(</w:t>
      </w:r>
      <w:r>
        <w:rPr>
          <w:rStyle w:val="Fett"/>
          <w:rFonts w:eastAsiaTheme="majorEastAsia"/>
          <w:rtl/>
        </w:rPr>
        <w:t>שָׁלוֹשׁ</w:t>
      </w:r>
      <w:r>
        <w:t xml:space="preserve">, „drei", </w:t>
      </w:r>
      <w:r>
        <w:rPr>
          <w:rStyle w:val="Fett"/>
          <w:rFonts w:eastAsiaTheme="majorEastAsia"/>
          <w:rtl/>
        </w:rPr>
        <w:t>עִיר</w:t>
      </w:r>
      <w:r>
        <w:t xml:space="preserve">, „Stadt", Plural, „drei Städte"), </w:t>
      </w:r>
      <w:r>
        <w:rPr>
          <w:rStyle w:val="Fett"/>
          <w:rFonts w:eastAsiaTheme="majorEastAsia"/>
          <w:rtl/>
        </w:rPr>
        <w:t>תַּבְדִּיל</w:t>
      </w:r>
      <w:r>
        <w:rPr>
          <w:rtl/>
        </w:rPr>
        <w:t xml:space="preserve"> </w:t>
      </w:r>
      <w:r>
        <w:t xml:space="preserve">(Hiphil Imperfekt, 2. Person Maskulinum Singular von </w:t>
      </w:r>
      <w:r>
        <w:rPr>
          <w:rStyle w:val="Fett"/>
          <w:rFonts w:eastAsiaTheme="majorEastAsia"/>
          <w:rtl/>
        </w:rPr>
        <w:t>בדל</w:t>
      </w:r>
      <w:r>
        <w:t xml:space="preserve">, „trennen, absondern", in der Hiphil-Form „aussondern, abteilen"), </w:t>
      </w:r>
      <w:r>
        <w:rPr>
          <w:rStyle w:val="Fett"/>
          <w:rFonts w:eastAsiaTheme="majorEastAsia"/>
          <w:rtl/>
        </w:rPr>
        <w:t>לָךְ</w:t>
      </w:r>
      <w:r>
        <w:rPr>
          <w:rtl/>
        </w:rPr>
        <w:t xml:space="preserve"> </w:t>
      </w:r>
      <w:r>
        <w:t xml:space="preserve">(Präposition </w:t>
      </w:r>
      <w:r>
        <w:rPr>
          <w:rStyle w:val="Fett"/>
          <w:rFonts w:eastAsiaTheme="majorEastAsia"/>
          <w:rtl/>
        </w:rPr>
        <w:t>לְ</w:t>
      </w:r>
      <w:r>
        <w:rPr>
          <w:rtl/>
        </w:rPr>
        <w:t xml:space="preserve"> </w:t>
      </w:r>
      <w:r>
        <w:t>mit Suffix 2. Person Maskulinum Singular, „für dich").</w:t>
      </w:r>
    </w:p>
    <w:p w14:paraId="22B5AA47" w14:textId="77777777" w:rsidR="00DD2E9B" w:rsidRDefault="00DD2E9B" w:rsidP="00DD2E9B">
      <w:pPr>
        <w:pStyle w:val="whitespace-normal"/>
      </w:pPr>
      <w:r>
        <w:rPr>
          <w:rStyle w:val="Fett"/>
          <w:rFonts w:eastAsiaTheme="majorEastAsia"/>
          <w:rtl/>
        </w:rPr>
        <w:t>בְּתוֹךְ אַרְצְךָ אֲשֶׁר יְהוָה אֱלֹהֶיךָ נֹתֵן לְךָ לְרִשְׁתָּהּ</w:t>
      </w:r>
      <w:r>
        <w:rPr>
          <w:rtl/>
        </w:rPr>
        <w:t xml:space="preserve"> </w:t>
      </w:r>
      <w:r>
        <w:t xml:space="preserve">ist die lokale und finale Bestimmung: </w:t>
      </w:r>
      <w:r>
        <w:rPr>
          <w:rStyle w:val="Fett"/>
          <w:rFonts w:eastAsiaTheme="majorEastAsia"/>
          <w:rtl/>
        </w:rPr>
        <w:t>בְּתוֹךְ אַרְצְךָ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תָּוֶךְ</w:t>
      </w:r>
      <w:r>
        <w:t xml:space="preserve">, „Mitte, Inneres", Construct mit </w:t>
      </w:r>
      <w:r>
        <w:rPr>
          <w:rStyle w:val="Fett"/>
          <w:rFonts w:eastAsiaTheme="majorEastAsia"/>
          <w:rtl/>
        </w:rPr>
        <w:t>אֶרֶץ</w:t>
      </w:r>
      <w:r>
        <w:t xml:space="preserve">, „Land", mit Suffix 2. Person Maskulinum Singular, „inmitten deines Landes"), </w:t>
      </w:r>
      <w:r>
        <w:rPr>
          <w:rStyle w:val="Fett"/>
          <w:rFonts w:eastAsiaTheme="majorEastAsia"/>
          <w:rtl/>
        </w:rPr>
        <w:t>אֲשֶׁר יְהוָה אֱלֹהֶיךָ נֹתֵן לְךָ</w:t>
      </w:r>
      <w:r>
        <w:rPr>
          <w:rtl/>
        </w:rPr>
        <w:t xml:space="preserve"> </w:t>
      </w:r>
      <w:r>
        <w:t xml:space="preserve">(charakteristische Relativsatzformel), </w:t>
      </w:r>
      <w:r>
        <w:rPr>
          <w:rStyle w:val="Fett"/>
          <w:rFonts w:eastAsiaTheme="majorEastAsia"/>
          <w:rtl/>
        </w:rPr>
        <w:t>לְרִשְׁתָּהּ</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ירשׁ</w:t>
      </w:r>
      <w:r>
        <w:t>, „in Besitz nehmen", mit Suffix 3. Person Femininum Singular, „um es in Besitz zu nehmen").</w:t>
      </w:r>
    </w:p>
    <w:p w14:paraId="2E521BA1" w14:textId="6D64EA69" w:rsidR="00DD2E9B" w:rsidRDefault="00DD2E9B" w:rsidP="00DD2E9B">
      <w:pPr>
        <w:pStyle w:val="whitespace-normal"/>
      </w:pPr>
      <w:r>
        <w:t xml:space="preserve">Der Vers ist die Apodosis zu V. 1 – nach der Landnahme sollen drei Asylstädte eingerichtet werden. Das Verb </w:t>
      </w:r>
      <w:r>
        <w:rPr>
          <w:rStyle w:val="Fett"/>
          <w:rFonts w:eastAsiaTheme="majorEastAsia"/>
          <w:rtl/>
        </w:rPr>
        <w:t>בדל</w:t>
      </w:r>
      <w:r>
        <w:rPr>
          <w:rtl/>
        </w:rPr>
        <w:t xml:space="preserve"> </w:t>
      </w:r>
      <w:r>
        <w:t xml:space="preserve">im Hiphil („aussondern") bezeichnet kultische oder rechtliche Absonderung zu besonderem Zweck (vgl. Ex 26,33; </w:t>
      </w:r>
      <w:r w:rsidR="00664EB6">
        <w:t>Lev</w:t>
      </w:r>
      <w:r>
        <w:t xml:space="preserve"> 10,10; 11,47; 20,25; Num 8,14; 16,9; Dtn 4,41; 10,8; 19,2.7; 29,20; </w:t>
      </w:r>
      <w:r w:rsidR="00664EB6">
        <w:t>1Chr</w:t>
      </w:r>
      <w:r>
        <w:t xml:space="preserve"> 23,13; 25,1; Esra 6,21; 9,1; 10,8.11.16; Neh 9,2; 10,29; 13,3).</w:t>
      </w:r>
    </w:p>
    <w:p w14:paraId="1EFAC9AB" w14:textId="77777777" w:rsidR="00DD2E9B" w:rsidRDefault="00DD2E9B" w:rsidP="00DD2E9B">
      <w:pPr>
        <w:pStyle w:val="whitespace-normal"/>
      </w:pPr>
      <w:r>
        <w:t>Die Institution der Asylstädte wird bereits in Num 35,9-34 und Dtn 4,41-43 behandelt. Hier in Kap. 19 wird sie ausführlicher dargestellt. Die drei Städte im Westjordanland ergänzen die drei bereits in 4,41-43 erwähnten ostjordanischen Städte (Bezer, Ramot, Golan).</w:t>
      </w:r>
    </w:p>
    <w:p w14:paraId="16175C9C" w14:textId="77777777" w:rsidR="00DD2E9B" w:rsidRDefault="00DD2E9B" w:rsidP="00DD2E9B">
      <w:pPr>
        <w:pStyle w:val="whitespace-normal"/>
      </w:pPr>
      <w:r>
        <w:rPr>
          <w:rStyle w:val="Fett"/>
          <w:rFonts w:eastAsiaTheme="majorEastAsia"/>
        </w:rPr>
        <w:t>Die Satzstruktur:</w:t>
      </w:r>
      <w:r>
        <w:t xml:space="preserve"> Imperativsatz mit lokaler und finaler Bestimmung (drei Städte aussondern sollst du dir inmitten deines Landes, das JHWH, dein Gott, gibt dir, um es in Besitz zu nehmen).</w:t>
      </w:r>
    </w:p>
    <w:p w14:paraId="19488056" w14:textId="77777777" w:rsidR="00DD2E9B" w:rsidRDefault="00DD2E9B" w:rsidP="00DD2E9B">
      <w:pPr>
        <w:pStyle w:val="whitespace-normal"/>
      </w:pPr>
      <w:r>
        <w:t>Der Vers befiehlt: Sondere drei Städte im Land aus – als Asylstädte (V. 3ff. erklären den Zweck).</w:t>
      </w:r>
    </w:p>
    <w:p w14:paraId="0D703328"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19,3</w:t>
      </w:r>
    </w:p>
    <w:p w14:paraId="24674170" w14:textId="77777777" w:rsidR="00DD2E9B" w:rsidRDefault="00DD2E9B" w:rsidP="00DD2E9B">
      <w:pPr>
        <w:pStyle w:val="whitespace-normal"/>
      </w:pPr>
      <w:r>
        <w:rPr>
          <w:rStyle w:val="Fett"/>
          <w:rFonts w:eastAsiaTheme="majorEastAsia"/>
        </w:rPr>
        <w:t>Hebräisch:</w:t>
      </w:r>
      <w:r>
        <w:t xml:space="preserve"> </w:t>
      </w:r>
      <w:r>
        <w:rPr>
          <w:rtl/>
        </w:rPr>
        <w:t>תָּכִ֣ין לְךָ֮ הַדֶּרֶךְ֒ וְשִׁלַּשְׁתָּ֙ אֶת־גְּב֣וּל אַרְצְךָ֔ אֲשֶׁ֥ר יַנְחִֽילְךָ֖ יְהוָ֣ה אֱלֹהֶ֑יךָ וְהָיָ֕ה לָנ֥וּס שָׁ֖מָּה כָּל־רֹצֵֽחַ׃</w:t>
      </w:r>
    </w:p>
    <w:p w14:paraId="284634DA" w14:textId="77777777" w:rsidR="00DD2E9B" w:rsidRDefault="00DD2E9B" w:rsidP="00DD2E9B">
      <w:pPr>
        <w:pStyle w:val="whitespace-normal"/>
      </w:pPr>
      <w:r>
        <w:rPr>
          <w:rStyle w:val="Fett"/>
          <w:rFonts w:eastAsiaTheme="majorEastAsia"/>
        </w:rPr>
        <w:t>Deutsch:</w:t>
      </w:r>
      <w:r>
        <w:t xml:space="preserve"> Du sollst dir den Weg bereiten und das Gebiet deines Landes, das der Ewige, dein Gott, dir als Erbe geben wird, in drei Teile teilen; und das soll geschehen, damit jeder Totschläger dahin fliehen kann.</w:t>
      </w:r>
    </w:p>
    <w:p w14:paraId="28665225" w14:textId="77777777" w:rsidR="00DD2E9B" w:rsidRDefault="004F5CEB" w:rsidP="00DD2E9B">
      <w:r>
        <w:rPr>
          <w:noProof/>
        </w:rPr>
        <w:pict w14:anchorId="35DF2B9D">
          <v:rect id="_x0000_i1534" style="width:0;height:1.5pt" o:hralign="center" o:hrstd="t" o:hr="t" fillcolor="#a0a0a0" stroked="f"/>
        </w:pict>
      </w:r>
    </w:p>
    <w:p w14:paraId="786A2773" w14:textId="77777777" w:rsidR="00DD2E9B" w:rsidRDefault="00DD2E9B" w:rsidP="00DD2E9B">
      <w:pPr>
        <w:pStyle w:val="whitespace-normal"/>
      </w:pPr>
      <w:r>
        <w:rPr>
          <w:rStyle w:val="Fett"/>
          <w:rFonts w:eastAsiaTheme="majorEastAsia"/>
        </w:rPr>
        <w:t>Kommentar:</w:t>
      </w:r>
      <w:r>
        <w:t xml:space="preserve"> </w:t>
      </w:r>
      <w:r>
        <w:rPr>
          <w:rStyle w:val="Fett"/>
          <w:rFonts w:eastAsiaTheme="majorEastAsia"/>
          <w:rtl/>
        </w:rPr>
        <w:t>תָּכִין לְךָ הַדֶּרֶךְ וְשִׁלַּשְׁתָּ אֶת־גְּבוּל אַרְצְךָ אֲשֶׁר יַנְחִילְךָ יְהוָה אֱלֹהֶיךָ</w:t>
      </w:r>
      <w:r>
        <w:rPr>
          <w:rtl/>
        </w:rPr>
        <w:t xml:space="preserve"> </w:t>
      </w:r>
      <w:r>
        <w:t xml:space="preserve">sind zwei koordinierte Imperative: </w:t>
      </w:r>
      <w:r>
        <w:rPr>
          <w:rStyle w:val="Fett"/>
          <w:rFonts w:eastAsiaTheme="majorEastAsia"/>
          <w:rtl/>
        </w:rPr>
        <w:t>תָּכִין לְךָ הַדֶּרֶךְ</w:t>
      </w:r>
      <w:r>
        <w:rPr>
          <w:rtl/>
        </w:rPr>
        <w:t xml:space="preserve"> </w:t>
      </w:r>
      <w:r>
        <w:t xml:space="preserve">(Hiphil Imperfekt, 2. Person Maskulinum Singular von </w:t>
      </w:r>
      <w:r>
        <w:rPr>
          <w:rStyle w:val="Fett"/>
          <w:rFonts w:eastAsiaTheme="majorEastAsia"/>
          <w:rtl/>
        </w:rPr>
        <w:t>כון</w:t>
      </w:r>
      <w:r>
        <w:t xml:space="preserve">, „feststehen, sicher sein", in der Hiphil-Form „bereiten, vorbereiten, festsetzen", </w:t>
      </w:r>
      <w:r>
        <w:rPr>
          <w:rStyle w:val="Fett"/>
          <w:rFonts w:eastAsiaTheme="majorEastAsia"/>
          <w:rtl/>
        </w:rPr>
        <w:t>לְךָ</w:t>
      </w:r>
      <w:r>
        <w:t xml:space="preserve">, </w:t>
      </w:r>
      <w:r>
        <w:rPr>
          <w:rStyle w:val="Fett"/>
          <w:rFonts w:eastAsiaTheme="majorEastAsia"/>
          <w:rtl/>
        </w:rPr>
        <w:t>הַדֶּרֶךְ</w:t>
      </w:r>
      <w:r>
        <w:t xml:space="preserve">, „der Weg", mit Artikel, „bereiten sollst du dir den Weg"), </w:t>
      </w:r>
      <w:r>
        <w:rPr>
          <w:rStyle w:val="Fett"/>
          <w:rFonts w:eastAsiaTheme="majorEastAsia"/>
          <w:rtl/>
        </w:rPr>
        <w:t>וְשִׁלַּשְׁתָּ אֶת־גְּבוּל אַרְצְךָ</w:t>
      </w:r>
      <w:r>
        <w:rPr>
          <w:rtl/>
        </w:rPr>
        <w:t xml:space="preserve"> </w:t>
      </w:r>
      <w:r>
        <w:t xml:space="preserve">(koordiniert durch </w:t>
      </w:r>
      <w:r>
        <w:rPr>
          <w:rStyle w:val="Fett"/>
          <w:rFonts w:eastAsiaTheme="majorEastAsia"/>
          <w:rtl/>
        </w:rPr>
        <w:t>וְ</w:t>
      </w:r>
      <w:r>
        <w:rPr>
          <w:rtl/>
        </w:rPr>
        <w:t xml:space="preserve"> </w:t>
      </w:r>
      <w:r>
        <w:t xml:space="preserve">mit Piel Perfekt, 2. Person Maskulinum Singular von </w:t>
      </w:r>
      <w:r>
        <w:rPr>
          <w:rStyle w:val="Fett"/>
          <w:rFonts w:eastAsiaTheme="majorEastAsia"/>
          <w:rtl/>
        </w:rPr>
        <w:t>שׁלשׁ</w:t>
      </w:r>
      <w:r>
        <w:t xml:space="preserve">, „dreiteilen", denominativ von </w:t>
      </w:r>
      <w:r>
        <w:rPr>
          <w:rStyle w:val="Fett"/>
          <w:rFonts w:eastAsiaTheme="majorEastAsia"/>
          <w:rtl/>
        </w:rPr>
        <w:t>שָׁלוֹשׁ</w:t>
      </w:r>
      <w:r>
        <w:t xml:space="preserve">, „drei", </w:t>
      </w:r>
      <w:r>
        <w:rPr>
          <w:rStyle w:val="Fett"/>
          <w:rFonts w:eastAsiaTheme="majorEastAsia"/>
          <w:rtl/>
        </w:rPr>
        <w:t>אֶת־גְּבוּל אַרְצְךָ</w:t>
      </w:r>
      <w:r>
        <w:t xml:space="preserve">, Objektpartikel </w:t>
      </w:r>
      <w:r>
        <w:rPr>
          <w:rStyle w:val="Fett"/>
          <w:rFonts w:eastAsiaTheme="majorEastAsia"/>
          <w:rtl/>
        </w:rPr>
        <w:t>אֵת</w:t>
      </w:r>
      <w:r>
        <w:rPr>
          <w:rtl/>
        </w:rPr>
        <w:t xml:space="preserve"> </w:t>
      </w:r>
      <w:r>
        <w:t xml:space="preserve">mit </w:t>
      </w:r>
      <w:r>
        <w:rPr>
          <w:rStyle w:val="Fett"/>
          <w:rFonts w:eastAsiaTheme="majorEastAsia"/>
          <w:rtl/>
        </w:rPr>
        <w:t>גְּבוּל</w:t>
      </w:r>
      <w:r>
        <w:t xml:space="preserve">, „Gebiet, Grenze", Construct mit </w:t>
      </w:r>
      <w:r>
        <w:rPr>
          <w:rStyle w:val="Fett"/>
          <w:rFonts w:eastAsiaTheme="majorEastAsia"/>
          <w:rtl/>
        </w:rPr>
        <w:t>אֶרֶץ</w:t>
      </w:r>
      <w:r>
        <w:rPr>
          <w:rtl/>
        </w:rPr>
        <w:t xml:space="preserve"> </w:t>
      </w:r>
      <w:r>
        <w:t xml:space="preserve">mit Suffix 2. Person Maskulinum Singular, „und dreiteilen sollst du das Gebiet deines </w:t>
      </w:r>
      <w:r>
        <w:lastRenderedPageBreak/>
        <w:t xml:space="preserve">Landes"), </w:t>
      </w:r>
      <w:r>
        <w:rPr>
          <w:rStyle w:val="Fett"/>
          <w:rFonts w:eastAsiaTheme="majorEastAsia"/>
          <w:rtl/>
        </w:rPr>
        <w:t>אֲשֶׁר יַנְחִילְךָ יְהוָה אֱלֹהֶיךָ</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נחל</w:t>
      </w:r>
      <w:r>
        <w:t xml:space="preserve">, Hiphil Imperfekt, 3. Person Maskulinum Singular, „erben", in der Hiphil-Form „als Erbe geben", mit Suffix 2. Person Maskulinum Singular, </w:t>
      </w:r>
      <w:r>
        <w:rPr>
          <w:rStyle w:val="Fett"/>
          <w:rFonts w:eastAsiaTheme="majorEastAsia"/>
          <w:rtl/>
        </w:rPr>
        <w:t>יְהוָה אֱלֹהֶיךָ</w:t>
      </w:r>
      <w:r>
        <w:rPr>
          <w:rtl/>
        </w:rPr>
        <w:t xml:space="preserve"> </w:t>
      </w:r>
      <w:r>
        <w:t>als Subjekt).</w:t>
      </w:r>
    </w:p>
    <w:p w14:paraId="1B784C58" w14:textId="77777777" w:rsidR="00DD2E9B" w:rsidRDefault="00DD2E9B" w:rsidP="00DD2E9B">
      <w:pPr>
        <w:pStyle w:val="whitespace-normal"/>
      </w:pPr>
      <w:r>
        <w:rPr>
          <w:rStyle w:val="Fett"/>
          <w:rFonts w:eastAsiaTheme="majorEastAsia"/>
          <w:rtl/>
        </w:rPr>
        <w:t>וְהָיָה לָנוּס שָׁמָּה כָּל־רֹצֵחַ</w:t>
      </w:r>
      <w:r>
        <w:rPr>
          <w:rtl/>
        </w:rPr>
        <w:t xml:space="preserve"> </w:t>
      </w:r>
      <w:r>
        <w:t xml:space="preserve">ist die finale Bestimmung: </w:t>
      </w:r>
      <w:r>
        <w:rPr>
          <w:rStyle w:val="Fett"/>
          <w:rFonts w:eastAsiaTheme="majorEastAsia"/>
          <w:rtl/>
        </w:rPr>
        <w:t>וְהָיָה</w:t>
      </w:r>
      <w:r>
        <w:rPr>
          <w:rtl/>
        </w:rPr>
        <w:t xml:space="preserve"> </w:t>
      </w:r>
      <w:r>
        <w:t xml:space="preserve">(Qal Perfekt, 3. Person Maskulinum Singular von </w:t>
      </w:r>
      <w:r>
        <w:rPr>
          <w:rStyle w:val="Fett"/>
          <w:rFonts w:eastAsiaTheme="majorEastAsia"/>
          <w:rtl/>
        </w:rPr>
        <w:t>היה</w:t>
      </w:r>
      <w:r>
        <w:t xml:space="preserve">, „sein", mit </w:t>
      </w:r>
      <w:r>
        <w:rPr>
          <w:rStyle w:val="Fett"/>
          <w:rFonts w:eastAsiaTheme="majorEastAsia"/>
        </w:rPr>
        <w:t>Waw</w:t>
      </w:r>
      <w:r>
        <w:t xml:space="preserve"> consecutives Perfekt, „und es soll sein/geschehen"), </w:t>
      </w:r>
      <w:r>
        <w:rPr>
          <w:rStyle w:val="Fett"/>
          <w:rFonts w:eastAsiaTheme="majorEastAsia"/>
          <w:rtl/>
        </w:rPr>
        <w:t>לָנוּס</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נוס</w:t>
      </w:r>
      <w:r>
        <w:t xml:space="preserve">, „fliehen"), </w:t>
      </w:r>
      <w:r>
        <w:rPr>
          <w:rStyle w:val="Fett"/>
          <w:rFonts w:eastAsiaTheme="majorEastAsia"/>
          <w:rtl/>
        </w:rPr>
        <w:t>שָׁמָּה</w:t>
      </w:r>
      <w:r>
        <w:rPr>
          <w:rtl/>
        </w:rPr>
        <w:t xml:space="preserve"> </w:t>
      </w:r>
      <w:r>
        <w:t xml:space="preserve">(Adverb, „dorthin"), </w:t>
      </w:r>
      <w:r>
        <w:rPr>
          <w:rStyle w:val="Fett"/>
          <w:rFonts w:eastAsiaTheme="majorEastAsia"/>
          <w:rtl/>
        </w:rPr>
        <w:t>כָּל־רֹצֵחַ</w:t>
      </w:r>
      <w:r>
        <w:rPr>
          <w:rtl/>
        </w:rPr>
        <w:t xml:space="preserve"> </w:t>
      </w:r>
      <w:r>
        <w:t>(</w:t>
      </w:r>
      <w:r>
        <w:rPr>
          <w:rStyle w:val="Fett"/>
          <w:rFonts w:eastAsiaTheme="majorEastAsia"/>
          <w:rtl/>
        </w:rPr>
        <w:t>כֹּל</w:t>
      </w:r>
      <w:r>
        <w:t xml:space="preserve">, Construct mit </w:t>
      </w:r>
      <w:r>
        <w:rPr>
          <w:rStyle w:val="Fett"/>
          <w:rFonts w:eastAsiaTheme="majorEastAsia"/>
          <w:rtl/>
        </w:rPr>
        <w:t>רצח</w:t>
      </w:r>
      <w:r>
        <w:t>, Qal Partizip, „totschlagen, morden", „jeder Totschläger").</w:t>
      </w:r>
    </w:p>
    <w:p w14:paraId="71159ADE" w14:textId="77777777" w:rsidR="00DD2E9B" w:rsidRDefault="00DD2E9B" w:rsidP="00DD2E9B">
      <w:pPr>
        <w:pStyle w:val="whitespace-normal"/>
      </w:pPr>
      <w:r>
        <w:t xml:space="preserve">Der Vers gibt praktische Anweisungen: (1) </w:t>
      </w:r>
      <w:r>
        <w:rPr>
          <w:rStyle w:val="Fett"/>
          <w:rFonts w:eastAsiaTheme="majorEastAsia"/>
          <w:rtl/>
        </w:rPr>
        <w:t>תָּכִין לְךָ הַדֶּרֶךְ</w:t>
      </w:r>
      <w:r>
        <w:rPr>
          <w:rtl/>
        </w:rPr>
        <w:t xml:space="preserve"> </w:t>
      </w:r>
      <w:r>
        <w:t xml:space="preserve">(„bereite dir den Weg") – Straßen zu den Asylstädten müssen gut ausgebaut sein, damit der Flüchtling schnell Zuflucht erreichen kann (vgl. rabbinische Tradition: Wegweiser mit </w:t>
      </w:r>
      <w:r>
        <w:rPr>
          <w:rStyle w:val="Fett"/>
          <w:rFonts w:eastAsiaTheme="majorEastAsia"/>
          <w:rtl/>
        </w:rPr>
        <w:t>מִקְלָט</w:t>
      </w:r>
      <w:r>
        <w:rPr>
          <w:rtl/>
        </w:rPr>
        <w:t xml:space="preserve"> </w:t>
      </w:r>
      <w:r>
        <w:t xml:space="preserve">„Zuflucht" an Kreuzungen, Mischna Makkot 2,4-5), (2) </w:t>
      </w:r>
      <w:r>
        <w:rPr>
          <w:rStyle w:val="Fett"/>
          <w:rFonts w:eastAsiaTheme="majorEastAsia"/>
          <w:rtl/>
        </w:rPr>
        <w:t>וְשִׁלַּשְׁתָּ אֶת־גְּבוּל אַרְצְךָ</w:t>
      </w:r>
      <w:r>
        <w:rPr>
          <w:rtl/>
        </w:rPr>
        <w:t xml:space="preserve"> </w:t>
      </w:r>
      <w:r>
        <w:t>(„dreiteile das Gebiet deines Landes") – das Land in drei Regionen einteilen, jede mit einer Asylstadt, für optimale Erreichbarkeit.</w:t>
      </w:r>
    </w:p>
    <w:p w14:paraId="64E31AC0" w14:textId="36ED7779" w:rsidR="00DD2E9B" w:rsidRDefault="00DD2E9B" w:rsidP="00DD2E9B">
      <w:pPr>
        <w:pStyle w:val="whitespace-normal"/>
      </w:pPr>
      <w:r>
        <w:t xml:space="preserve">Das Wort </w:t>
      </w:r>
      <w:r>
        <w:rPr>
          <w:rStyle w:val="Fett"/>
          <w:rFonts w:eastAsiaTheme="majorEastAsia"/>
          <w:rtl/>
        </w:rPr>
        <w:t>רֹצֵחַ</w:t>
      </w:r>
      <w:r>
        <w:rPr>
          <w:rtl/>
        </w:rPr>
        <w:t xml:space="preserve"> </w:t>
      </w:r>
      <w:r>
        <w:t xml:space="preserve">(Qal Partizip von </w:t>
      </w:r>
      <w:r>
        <w:rPr>
          <w:rStyle w:val="Fett"/>
          <w:rFonts w:eastAsiaTheme="majorEastAsia"/>
          <w:rtl/>
        </w:rPr>
        <w:t>רצח</w:t>
      </w:r>
      <w:r>
        <w:t>) bezeichnet hier den unvorsätzlichen Totschläger (wie V. 4-6 zeigen), nicht den vorsätzlichen Mörder (für den es keine Zuflucht gibt, V. 11-13).</w:t>
      </w:r>
    </w:p>
    <w:p w14:paraId="4F0D3466" w14:textId="19F9029B" w:rsidR="00C25194" w:rsidRDefault="00C25194" w:rsidP="00DD2E9B">
      <w:pPr>
        <w:pStyle w:val="whitespace-normal"/>
      </w:pPr>
      <w:r>
        <w:rPr>
          <w:rStyle w:val="Fett"/>
        </w:rPr>
        <w:t>Die LXX</w:t>
      </w:r>
      <w:r>
        <w:t xml:space="preserve"> übersetzt </w:t>
      </w:r>
      <w:r w:rsidRPr="00C25194">
        <w:rPr>
          <w:b/>
          <w:bCs/>
          <w:rtl/>
        </w:rPr>
        <w:t>תָּכִין לְךָ הַדֶּרֶךְ</w:t>
      </w:r>
      <w:r>
        <w:t xml:space="preserve"> (du sollst dir den Weg bereiten) mit </w:t>
      </w:r>
      <w:proofErr w:type="spellStart"/>
      <w:r>
        <w:t>στόχ</w:t>
      </w:r>
      <w:proofErr w:type="spellEnd"/>
      <w:r>
        <w:t xml:space="preserve">ασαί </w:t>
      </w:r>
      <w:proofErr w:type="spellStart"/>
      <w:r>
        <w:t>σοι</w:t>
      </w:r>
      <w:proofErr w:type="spellEnd"/>
      <w:r>
        <w:t xml:space="preserve"> τὴν </w:t>
      </w:r>
      <w:proofErr w:type="spellStart"/>
      <w:r>
        <w:t>ὁδόν</w:t>
      </w:r>
      <w:proofErr w:type="spellEnd"/>
      <w:r>
        <w:t xml:space="preserve"> (messe/berechne dir den Weg ab) – ein Verb, das sorgfältige Planung und Vermessung betont. Die Wendung κατα</w:t>
      </w:r>
      <w:proofErr w:type="spellStart"/>
      <w:r>
        <w:t>φυγή</w:t>
      </w:r>
      <w:proofErr w:type="spellEnd"/>
      <w:r>
        <w:t xml:space="preserve"> (Zuflucht) für </w:t>
      </w:r>
      <w:r w:rsidRPr="00C25194">
        <w:rPr>
          <w:b/>
          <w:bCs/>
          <w:rtl/>
        </w:rPr>
        <w:t>לָנוּס</w:t>
      </w:r>
      <w:r>
        <w:t xml:space="preserve"> (zum Fliehen) ist eine Substantivierung statt des hebräischen Infinitivs.</w:t>
      </w:r>
    </w:p>
    <w:p w14:paraId="77862B5C" w14:textId="77777777" w:rsidR="00DD2E9B" w:rsidRDefault="00DD2E9B" w:rsidP="00DD2E9B">
      <w:pPr>
        <w:pStyle w:val="whitespace-normal"/>
      </w:pPr>
      <w:r>
        <w:rPr>
          <w:rStyle w:val="Fett"/>
          <w:rFonts w:eastAsiaTheme="majorEastAsia"/>
        </w:rPr>
        <w:t>Die Satzstruktur:</w:t>
      </w:r>
      <w:r>
        <w:t xml:space="preserve"> Zwei koordinierte Imperative mit finaler Bestimmung (bereiten sollst du dir den Weg, und dreiteilen sollst du das Gebiet deines Landes, das als Erbe geben wird dir JHWH, dein Gott; und es soll sein, um zu fliehen dorthin jeder Totschläger).</w:t>
      </w:r>
    </w:p>
    <w:p w14:paraId="713A7309" w14:textId="77777777" w:rsidR="00DD2E9B" w:rsidRDefault="00DD2E9B" w:rsidP="00DD2E9B">
      <w:pPr>
        <w:pStyle w:val="whitespace-normal"/>
      </w:pPr>
      <w:r>
        <w:t xml:space="preserve">Der Vers befiehlt: Bereite die Wege vor und </w:t>
      </w:r>
      <w:proofErr w:type="spellStart"/>
      <w:r>
        <w:t>teile</w:t>
      </w:r>
      <w:proofErr w:type="spellEnd"/>
      <w:r>
        <w:t xml:space="preserve"> das Land in drei Regionen – damit jeder unvorsätzliche Totschläger schnell zu einer Asylstadt fliehen kann.</w:t>
      </w:r>
    </w:p>
    <w:p w14:paraId="6A5C21F8"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19,4</w:t>
      </w:r>
    </w:p>
    <w:p w14:paraId="6B90111D" w14:textId="77777777" w:rsidR="00DD2E9B" w:rsidRDefault="00DD2E9B" w:rsidP="00DD2E9B">
      <w:pPr>
        <w:pStyle w:val="whitespace-normal"/>
      </w:pPr>
      <w:r>
        <w:rPr>
          <w:rStyle w:val="Fett"/>
          <w:rFonts w:eastAsiaTheme="majorEastAsia"/>
        </w:rPr>
        <w:t>Hebräisch:</w:t>
      </w:r>
      <w:r>
        <w:t xml:space="preserve"> </w:t>
      </w:r>
      <w:r>
        <w:rPr>
          <w:rtl/>
        </w:rPr>
        <w:t>וְזֶה֙ דְּבַ֣ר הָרֹצֵ֔חַ אֲשֶׁר־יָנ֥וּס שָׁ֖מָּה וָחָ֑י אֲשֶׁ֨ר יַכֶּ֤ה אֶת־רֵעֵ֨הוּ֙ בִּבְלִי־דַ֔עַת וְה֛וּא לֹא־שֹׂנֵ֥א לוֹ֖ מִתְּמֹ֥ל שִׁלְשֹֽׁם׃</w:t>
      </w:r>
    </w:p>
    <w:p w14:paraId="10ED8691" w14:textId="77777777" w:rsidR="00DD2E9B" w:rsidRDefault="00DD2E9B" w:rsidP="00DD2E9B">
      <w:pPr>
        <w:pStyle w:val="whitespace-normal"/>
      </w:pPr>
      <w:r>
        <w:rPr>
          <w:rStyle w:val="Fett"/>
          <w:rFonts w:eastAsiaTheme="majorEastAsia"/>
        </w:rPr>
        <w:t>Deutsch:</w:t>
      </w:r>
      <w:r>
        <w:t xml:space="preserve"> Und dies ist die Sache mit dem Totschläger, der dorthin fliehen soll und leben bleiben: Wer schlägt seinen Nächsten ohne Wissen, und er hat ihn nicht gehasst von gestern und vorgestern –</w:t>
      </w:r>
    </w:p>
    <w:p w14:paraId="03501410" w14:textId="77777777" w:rsidR="00DD2E9B" w:rsidRDefault="004F5CEB" w:rsidP="00DD2E9B">
      <w:r>
        <w:rPr>
          <w:noProof/>
        </w:rPr>
        <w:pict w14:anchorId="4D990591">
          <v:rect id="_x0000_i1535" style="width:0;height:1.5pt" o:hralign="center" o:hrstd="t" o:hr="t" fillcolor="#a0a0a0" stroked="f"/>
        </w:pict>
      </w:r>
    </w:p>
    <w:p w14:paraId="321E63CF" w14:textId="77777777" w:rsidR="00DD2E9B" w:rsidRDefault="00DD2E9B" w:rsidP="00DD2E9B">
      <w:pPr>
        <w:pStyle w:val="whitespace-normal"/>
      </w:pPr>
      <w:r>
        <w:rPr>
          <w:rStyle w:val="Fett"/>
          <w:rFonts w:eastAsiaTheme="majorEastAsia"/>
        </w:rPr>
        <w:t>Kommentar:</w:t>
      </w:r>
      <w:r>
        <w:t xml:space="preserve"> </w:t>
      </w:r>
      <w:r>
        <w:rPr>
          <w:rStyle w:val="Fett"/>
          <w:rFonts w:eastAsiaTheme="majorEastAsia"/>
          <w:rtl/>
        </w:rPr>
        <w:t>וְזֶה דְּבַר הָרֹצֵחַ אֲשֶׁר־יָנוּס שָׁמָּה וָחָי</w:t>
      </w:r>
      <w:r>
        <w:rPr>
          <w:rtl/>
        </w:rPr>
        <w:t xml:space="preserve"> </w:t>
      </w:r>
      <w:r>
        <w:t xml:space="preserve">ist ein Nominalsatz: </w:t>
      </w:r>
      <w:r>
        <w:rPr>
          <w:rStyle w:val="Fett"/>
          <w:rFonts w:eastAsiaTheme="majorEastAsia"/>
          <w:rtl/>
        </w:rPr>
        <w:t>וְזֶה</w:t>
      </w:r>
      <w:r>
        <w:rPr>
          <w:rtl/>
        </w:rPr>
        <w:t xml:space="preserve"> </w:t>
      </w:r>
      <w:r>
        <w:t xml:space="preserve">(Demonstrativpronomen </w:t>
      </w:r>
      <w:r>
        <w:rPr>
          <w:rStyle w:val="Fett"/>
          <w:rFonts w:eastAsiaTheme="majorEastAsia"/>
          <w:rtl/>
        </w:rPr>
        <w:t>זֶה</w:t>
      </w:r>
      <w:r>
        <w:t xml:space="preserve">, „dies", mit </w:t>
      </w:r>
      <w:r>
        <w:rPr>
          <w:rStyle w:val="Fett"/>
          <w:rFonts w:eastAsiaTheme="majorEastAsia"/>
        </w:rPr>
        <w:t>Waw</w:t>
      </w:r>
      <w:r>
        <w:t xml:space="preserve">), </w:t>
      </w:r>
      <w:r>
        <w:rPr>
          <w:rStyle w:val="Fett"/>
          <w:rFonts w:eastAsiaTheme="majorEastAsia"/>
          <w:rtl/>
        </w:rPr>
        <w:t>דְּבַר הָרֹצֵחַ</w:t>
      </w:r>
      <w:r>
        <w:rPr>
          <w:rtl/>
        </w:rPr>
        <w:t xml:space="preserve"> </w:t>
      </w:r>
      <w:r>
        <w:t>(</w:t>
      </w:r>
      <w:r>
        <w:rPr>
          <w:rStyle w:val="Fett"/>
          <w:rFonts w:eastAsiaTheme="majorEastAsia"/>
          <w:rtl/>
        </w:rPr>
        <w:t>דָּבָר</w:t>
      </w:r>
      <w:r>
        <w:t xml:space="preserve">, „Wort, Sache, Fall", Construct mit </w:t>
      </w:r>
      <w:r>
        <w:rPr>
          <w:rStyle w:val="Fett"/>
          <w:rFonts w:eastAsiaTheme="majorEastAsia"/>
          <w:rtl/>
        </w:rPr>
        <w:t>רצח</w:t>
      </w:r>
      <w:r>
        <w:t xml:space="preserve">, Qal Partizip, „Totschläger", mit Artikel, „die Sache/der Fall des Totschlägers"), </w:t>
      </w:r>
      <w:r>
        <w:rPr>
          <w:rStyle w:val="Fett"/>
          <w:rFonts w:eastAsiaTheme="majorEastAsia"/>
          <w:rtl/>
        </w:rPr>
        <w:t>אֲשֶׁר־יָנוּס שָׁמָּה וָחָי</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נוס</w:t>
      </w:r>
      <w:r>
        <w:t xml:space="preserve">, Qal Imperfekt, 3. Person Maskulinum Singular, „fliehen", </w:t>
      </w:r>
      <w:r>
        <w:rPr>
          <w:rStyle w:val="Fett"/>
          <w:rFonts w:eastAsiaTheme="majorEastAsia"/>
          <w:rtl/>
        </w:rPr>
        <w:t>שָׁמָּה</w:t>
      </w:r>
      <w:r>
        <w:t xml:space="preserve">, „dorthin", koordiniert durch </w:t>
      </w:r>
      <w:r>
        <w:rPr>
          <w:rStyle w:val="Fett"/>
          <w:rFonts w:eastAsiaTheme="majorEastAsia"/>
          <w:rtl/>
        </w:rPr>
        <w:t>וָ</w:t>
      </w:r>
      <w:r>
        <w:rPr>
          <w:rtl/>
        </w:rPr>
        <w:t xml:space="preserve"> </w:t>
      </w:r>
      <w:r>
        <w:t xml:space="preserve">mit </w:t>
      </w:r>
      <w:r>
        <w:rPr>
          <w:rStyle w:val="Fett"/>
          <w:rFonts w:eastAsiaTheme="majorEastAsia"/>
          <w:rtl/>
        </w:rPr>
        <w:t>חיה</w:t>
      </w:r>
      <w:r>
        <w:t xml:space="preserve">, Qal Perfekt, 3. Person Maskulinum Singular, „leben", mit </w:t>
      </w:r>
      <w:r>
        <w:rPr>
          <w:rStyle w:val="Fett"/>
          <w:rFonts w:eastAsiaTheme="majorEastAsia"/>
        </w:rPr>
        <w:t>Waw</w:t>
      </w:r>
      <w:r>
        <w:t xml:space="preserve"> consecutives Perfekt, „der dorthin fliehen soll und leben bleiben").</w:t>
      </w:r>
    </w:p>
    <w:p w14:paraId="52E7C64E" w14:textId="77777777" w:rsidR="00DD2E9B" w:rsidRDefault="00DD2E9B" w:rsidP="00DD2E9B">
      <w:pPr>
        <w:pStyle w:val="whitespace-normal"/>
      </w:pPr>
      <w:r>
        <w:rPr>
          <w:rStyle w:val="Fett"/>
          <w:rFonts w:eastAsiaTheme="majorEastAsia"/>
          <w:rtl/>
        </w:rPr>
        <w:lastRenderedPageBreak/>
        <w:t>אֲשֶׁר יַכֶּה אֶת־רֵעֵהוּ בִּבְלִי־דַעַת וְהוּא לֹא־שֹׂנֵא לוֹ מִתְּמֹל שִׁלְשֹׁם</w:t>
      </w:r>
      <w:r>
        <w:rPr>
          <w:rtl/>
        </w:rPr>
        <w:t xml:space="preserve"> </w:t>
      </w:r>
      <w:r>
        <w:t xml:space="preserve">ist die Definition: </w:t>
      </w:r>
      <w:r>
        <w:rPr>
          <w:rStyle w:val="Fett"/>
          <w:rFonts w:eastAsiaTheme="majorEastAsia"/>
          <w:rtl/>
        </w:rPr>
        <w:t>אֲשֶׁר יַכֶּה אֶת־רֵעֵהוּ</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נכה</w:t>
      </w:r>
      <w:r>
        <w:t xml:space="preserve">, Hiphil Imperfekt, 3. Person Maskulinum Singular, „schlagen", </w:t>
      </w:r>
      <w:r>
        <w:rPr>
          <w:rStyle w:val="Fett"/>
          <w:rFonts w:eastAsiaTheme="majorEastAsia"/>
          <w:rtl/>
        </w:rPr>
        <w:t>אֶת־רֵעֵהוּ</w:t>
      </w:r>
      <w:r>
        <w:t xml:space="preserve">, Objektpartikel </w:t>
      </w:r>
      <w:r>
        <w:rPr>
          <w:rStyle w:val="Fett"/>
          <w:rFonts w:eastAsiaTheme="majorEastAsia"/>
          <w:rtl/>
        </w:rPr>
        <w:t>אֵת</w:t>
      </w:r>
      <w:r>
        <w:rPr>
          <w:rtl/>
        </w:rPr>
        <w:t xml:space="preserve"> </w:t>
      </w:r>
      <w:r>
        <w:t xml:space="preserve">mit </w:t>
      </w:r>
      <w:r>
        <w:rPr>
          <w:rStyle w:val="Fett"/>
          <w:rFonts w:eastAsiaTheme="majorEastAsia"/>
          <w:rtl/>
        </w:rPr>
        <w:t>רֵעַ</w:t>
      </w:r>
      <w:r>
        <w:t xml:space="preserve">, „Nächster, Gefährte", mit Suffix 3. Person Maskulinum Singular), </w:t>
      </w:r>
      <w:r>
        <w:rPr>
          <w:rStyle w:val="Fett"/>
          <w:rFonts w:eastAsiaTheme="majorEastAsia"/>
          <w:rtl/>
        </w:rPr>
        <w:t>בִּבְלִי־דַעַת</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בְּלִי</w:t>
      </w:r>
      <w:r>
        <w:t xml:space="preserve">, „ohne", mit </w:t>
      </w:r>
      <w:r>
        <w:rPr>
          <w:rStyle w:val="Fett"/>
          <w:rFonts w:eastAsiaTheme="majorEastAsia"/>
          <w:rtl/>
        </w:rPr>
        <w:t>דַּעַת</w:t>
      </w:r>
      <w:r>
        <w:t xml:space="preserve">, „Wissen, Erkenntnis", „ohne Wissen" = unvorsätzlich), </w:t>
      </w:r>
      <w:r>
        <w:rPr>
          <w:rStyle w:val="Fett"/>
          <w:rFonts w:eastAsiaTheme="majorEastAsia"/>
          <w:rtl/>
        </w:rPr>
        <w:t>וְהוּא לֹא־שֹׂנֵא לוֹ מִתְּמֹל שִׁלְשֹׁם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הוּא</w:t>
      </w:r>
      <w:r>
        <w:t xml:space="preserve">, betont, Negation </w:t>
      </w:r>
      <w:r>
        <w:rPr>
          <w:rStyle w:val="Fett"/>
          <w:rFonts w:eastAsiaTheme="majorEastAsia"/>
          <w:rtl/>
        </w:rPr>
        <w:t>לֹא</w:t>
      </w:r>
      <w:r>
        <w:rPr>
          <w:rtl/>
        </w:rPr>
        <w:t xml:space="preserve"> </w:t>
      </w:r>
      <w:r>
        <w:t xml:space="preserve">und </w:t>
      </w:r>
      <w:r>
        <w:rPr>
          <w:rStyle w:val="Fett"/>
          <w:rFonts w:eastAsiaTheme="majorEastAsia"/>
          <w:rtl/>
        </w:rPr>
        <w:t>שׂנא</w:t>
      </w:r>
      <w:r>
        <w:t xml:space="preserve">, Qal Partizip, „hassen", </w:t>
      </w:r>
      <w:r>
        <w:rPr>
          <w:rStyle w:val="Fett"/>
          <w:rFonts w:eastAsiaTheme="majorEastAsia"/>
          <w:rtl/>
        </w:rPr>
        <w:t>לוֹ</w:t>
      </w:r>
      <w:r>
        <w:t xml:space="preserve">, </w:t>
      </w:r>
      <w:r>
        <w:rPr>
          <w:rStyle w:val="Fett"/>
          <w:rFonts w:eastAsiaTheme="majorEastAsia"/>
          <w:rtl/>
        </w:rPr>
        <w:t>מִתְּמֹל שִׁלְשֹׁם</w:t>
      </w:r>
      <w:r>
        <w:t xml:space="preserve">, idiomatische Wendung: </w:t>
      </w:r>
      <w:r>
        <w:rPr>
          <w:rStyle w:val="Fett"/>
          <w:rFonts w:eastAsiaTheme="majorEastAsia"/>
          <w:rtl/>
        </w:rPr>
        <w:t>מִן</w:t>
      </w:r>
      <w:r>
        <w:t xml:space="preserve">, „von", </w:t>
      </w:r>
      <w:r>
        <w:rPr>
          <w:rStyle w:val="Fett"/>
          <w:rFonts w:eastAsiaTheme="majorEastAsia"/>
          <w:rtl/>
        </w:rPr>
        <w:t>תְּמוֹל</w:t>
      </w:r>
      <w:r>
        <w:t xml:space="preserve">, „gestern", </w:t>
      </w:r>
      <w:r>
        <w:rPr>
          <w:rStyle w:val="Fett"/>
          <w:rFonts w:eastAsiaTheme="majorEastAsia"/>
          <w:rtl/>
        </w:rPr>
        <w:t>שִׁלְשֹׁם</w:t>
      </w:r>
      <w:r>
        <w:t>, „vorgestern", „von gestern [und] vorgestern" = früher, vorher).</w:t>
      </w:r>
    </w:p>
    <w:p w14:paraId="20AF8178" w14:textId="7D6EFC4C" w:rsidR="00DD2E9B" w:rsidRDefault="00DD2E9B" w:rsidP="00DD2E9B">
      <w:pPr>
        <w:pStyle w:val="whitespace-normal"/>
      </w:pPr>
      <w:r>
        <w:t xml:space="preserve">Der Vers definiert den asylberechtigten Totschläger durch zwei Kriterien: (1) </w:t>
      </w:r>
      <w:r>
        <w:rPr>
          <w:rStyle w:val="Fett"/>
          <w:rFonts w:eastAsiaTheme="majorEastAsia"/>
          <w:rtl/>
        </w:rPr>
        <w:t>בִּבְלִי־דַעַת</w:t>
      </w:r>
      <w:r>
        <w:rPr>
          <w:rtl/>
        </w:rPr>
        <w:t xml:space="preserve"> </w:t>
      </w:r>
      <w:r>
        <w:t xml:space="preserve">(„ohne Wissen") – unvorsätzlich, ohne Absicht (vgl. Num 35,11.15.22-23), (2) </w:t>
      </w:r>
      <w:r>
        <w:rPr>
          <w:rStyle w:val="Fett"/>
          <w:rFonts w:eastAsiaTheme="majorEastAsia"/>
          <w:rtl/>
        </w:rPr>
        <w:t>לֹא־שֹׂנֵא לוֹ מִתְּמֹל שִׁלְשֹׁם</w:t>
      </w:r>
      <w:r>
        <w:rPr>
          <w:rtl/>
        </w:rPr>
        <w:t xml:space="preserve"> </w:t>
      </w:r>
      <w:r>
        <w:t xml:space="preserve">(„hat ihn nicht gehasst von gestern und vorgestern") – keine vorherige Feindschaft. Die idiomatische Wendung </w:t>
      </w:r>
      <w:r>
        <w:rPr>
          <w:rStyle w:val="Fett"/>
          <w:rFonts w:eastAsiaTheme="majorEastAsia"/>
          <w:rtl/>
        </w:rPr>
        <w:t>מִתְּמֹל שִׁלְשֹׁם</w:t>
      </w:r>
      <w:r>
        <w:rPr>
          <w:rtl/>
        </w:rPr>
        <w:t xml:space="preserve"> </w:t>
      </w:r>
      <w:r>
        <w:t xml:space="preserve">(„von gestern [und] vorgestern") bedeutet „früher, vorher, in der Vergangenheit" (vgl. Ex 4,10; 5,7.8.14; Jos 3,4; 4,18; </w:t>
      </w:r>
      <w:r w:rsidR="00664EB6">
        <w:t>1Sam</w:t>
      </w:r>
      <w:r>
        <w:t xml:space="preserve"> 4,7; 10,11; 14,21; 19,7; 21,6; </w:t>
      </w:r>
      <w:r w:rsidR="00664EB6">
        <w:t>2Sam</w:t>
      </w:r>
      <w:r>
        <w:t xml:space="preserve"> 3,17; 5,2; 15,20; Ruth 2,11; </w:t>
      </w:r>
      <w:r w:rsidR="00664EB6">
        <w:t>1Chr</w:t>
      </w:r>
      <w:r>
        <w:t xml:space="preserve"> 11,2; Neh 5,15).</w:t>
      </w:r>
    </w:p>
    <w:p w14:paraId="080697FD" w14:textId="4AC74850" w:rsidR="00DD2E9B" w:rsidRDefault="00DD2E9B" w:rsidP="00DD2E9B">
      <w:pPr>
        <w:pStyle w:val="whitespace-normal"/>
      </w:pPr>
      <w:r>
        <w:t>V. 5 wird dann ein konkretes Beispiel geben.</w:t>
      </w:r>
    </w:p>
    <w:p w14:paraId="5A2E042E" w14:textId="5975FFAC" w:rsidR="00C25194" w:rsidRDefault="00C25194" w:rsidP="00DD2E9B">
      <w:pPr>
        <w:pStyle w:val="whitespace-normal"/>
      </w:pPr>
      <w:r>
        <w:rPr>
          <w:rStyle w:val="Fett"/>
        </w:rPr>
        <w:t>Die LXX</w:t>
      </w:r>
      <w:r>
        <w:t xml:space="preserve"> übersetzt </w:t>
      </w:r>
      <w:r w:rsidRPr="00C25194">
        <w:rPr>
          <w:b/>
          <w:bCs/>
          <w:rtl/>
        </w:rPr>
        <w:t>דְּבַר</w:t>
      </w:r>
      <w:r>
        <w:rPr>
          <w:rtl/>
        </w:rPr>
        <w:t xml:space="preserve"> </w:t>
      </w:r>
      <w:r w:rsidRPr="00C25194">
        <w:rPr>
          <w:b/>
          <w:bCs/>
          <w:rtl/>
        </w:rPr>
        <w:t>הָרֹצֵחַ</w:t>
      </w:r>
      <w:r>
        <w:t xml:space="preserve"> (die Sache/der Fall des Totschlägers) mit </w:t>
      </w:r>
      <w:proofErr w:type="spellStart"/>
      <w:r>
        <w:t>τὸ</w:t>
      </w:r>
      <w:proofErr w:type="spellEnd"/>
      <w:r>
        <w:t xml:space="preserve"> π</w:t>
      </w:r>
      <w:proofErr w:type="spellStart"/>
      <w:r>
        <w:t>ρόστ</w:t>
      </w:r>
      <w:proofErr w:type="spellEnd"/>
      <w:r>
        <w:t xml:space="preserve">αγμα </w:t>
      </w:r>
      <w:proofErr w:type="spellStart"/>
      <w:r>
        <w:t>τοῦ</w:t>
      </w:r>
      <w:proofErr w:type="spellEnd"/>
      <w:r>
        <w:t xml:space="preserve"> </w:t>
      </w:r>
      <w:proofErr w:type="spellStart"/>
      <w:r>
        <w:t>φονευτοῦ</w:t>
      </w:r>
      <w:proofErr w:type="spellEnd"/>
      <w:r>
        <w:t xml:space="preserve"> (die Verordnung des Totschlägers) – eine rechtliche Terminologie. Die Formulierung </w:t>
      </w:r>
      <w:proofErr w:type="spellStart"/>
      <w:r>
        <w:t>ἀκουσίως</w:t>
      </w:r>
      <w:proofErr w:type="spellEnd"/>
      <w:r>
        <w:t xml:space="preserve"> (unabsichtlich) für </w:t>
      </w:r>
      <w:r w:rsidRPr="00C25194">
        <w:rPr>
          <w:b/>
          <w:bCs/>
          <w:rtl/>
        </w:rPr>
        <w:t>בִּבְלִי־דַעַת</w:t>
      </w:r>
      <w:r>
        <w:t xml:space="preserve"> (ohne Wissen) ist eine prägnante griechische Entsprechung. Die zeitliche Angabe π</w:t>
      </w:r>
      <w:proofErr w:type="spellStart"/>
      <w:r>
        <w:t>ρὸ</w:t>
      </w:r>
      <w:proofErr w:type="spellEnd"/>
      <w:r>
        <w:t xml:space="preserve"> </w:t>
      </w:r>
      <w:proofErr w:type="spellStart"/>
      <w:r>
        <w:t>τῆς</w:t>
      </w:r>
      <w:proofErr w:type="spellEnd"/>
      <w:r>
        <w:t xml:space="preserve"> </w:t>
      </w:r>
      <w:proofErr w:type="spellStart"/>
      <w:r>
        <w:t>ἐχθὲς</w:t>
      </w:r>
      <w:proofErr w:type="spellEnd"/>
      <w:r>
        <w:t xml:space="preserve"> καὶ π</w:t>
      </w:r>
      <w:proofErr w:type="spellStart"/>
      <w:r>
        <w:t>ρὸ</w:t>
      </w:r>
      <w:proofErr w:type="spellEnd"/>
      <w:r>
        <w:t xml:space="preserve"> </w:t>
      </w:r>
      <w:proofErr w:type="spellStart"/>
      <w:r>
        <w:t>τῆς</w:t>
      </w:r>
      <w:proofErr w:type="spellEnd"/>
      <w:r>
        <w:t xml:space="preserve"> </w:t>
      </w:r>
      <w:proofErr w:type="spellStart"/>
      <w:r>
        <w:t>τρίτης</w:t>
      </w:r>
      <w:proofErr w:type="spellEnd"/>
      <w:r>
        <w:t xml:space="preserve"> (vor gestern und vor dem dritten [Tag]) für </w:t>
      </w:r>
      <w:r w:rsidRPr="00C25194">
        <w:rPr>
          <w:b/>
          <w:bCs/>
          <w:rtl/>
        </w:rPr>
        <w:t>מִתְּמֹל</w:t>
      </w:r>
      <w:r>
        <w:rPr>
          <w:rtl/>
        </w:rPr>
        <w:t xml:space="preserve"> </w:t>
      </w:r>
      <w:r w:rsidRPr="00C25194">
        <w:rPr>
          <w:b/>
          <w:bCs/>
          <w:rtl/>
        </w:rPr>
        <w:t>שִׁלְשֹׁם</w:t>
      </w:r>
      <w:r>
        <w:t xml:space="preserve"> ist wörtlicher als die idiomatische hebräische Wendung.</w:t>
      </w:r>
    </w:p>
    <w:p w14:paraId="00016BA7" w14:textId="77777777" w:rsidR="00DD2E9B" w:rsidRDefault="00DD2E9B" w:rsidP="00DD2E9B">
      <w:pPr>
        <w:pStyle w:val="whitespace-normal"/>
      </w:pPr>
      <w:r>
        <w:rPr>
          <w:rStyle w:val="Fett"/>
          <w:rFonts w:eastAsiaTheme="majorEastAsia"/>
        </w:rPr>
        <w:t>Die Satzstruktur:</w:t>
      </w:r>
      <w:r>
        <w:t xml:space="preserve"> Nominalsatz mit Relativsätzen (und dies ist die Sache des Totschlägers, der fliehen soll dorthin und leben bleiben: der schlägt seinen Nächsten ohne Wissen, und er nicht hasst ihn von gestern und vorgestern).</w:t>
      </w:r>
    </w:p>
    <w:p w14:paraId="518B959F" w14:textId="77777777" w:rsidR="00DD2E9B" w:rsidRDefault="00DD2E9B" w:rsidP="00DD2E9B">
      <w:pPr>
        <w:pStyle w:val="whitespace-normal"/>
      </w:pPr>
      <w:r>
        <w:t>Der Vers definiert: Dies ist der Fall des asylberechtigten Totschlägers – er tötet seinen Nächsten unvorsätzlich und ohne vorherige Feindschaft.</w:t>
      </w:r>
    </w:p>
    <w:p w14:paraId="72F7D831"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19,5</w:t>
      </w:r>
    </w:p>
    <w:p w14:paraId="292DB8ED" w14:textId="77777777" w:rsidR="00DD2E9B" w:rsidRDefault="00DD2E9B" w:rsidP="00DD2E9B">
      <w:pPr>
        <w:pStyle w:val="whitespace-normal"/>
      </w:pPr>
      <w:r>
        <w:rPr>
          <w:rStyle w:val="Fett"/>
          <w:rFonts w:eastAsiaTheme="majorEastAsia"/>
        </w:rPr>
        <w:t>Hebräisch:</w:t>
      </w:r>
      <w:r>
        <w:t xml:space="preserve"> </w:t>
      </w:r>
      <w:r>
        <w:rPr>
          <w:rtl/>
        </w:rPr>
        <w:t>וַאֲשֶׁר֩ יָבֹ֨א אֶת־רֵעֵ֥הוּ בַיַּעַר֮ לַחְטֹ֣ב עֵצִים֒ וְנִדְּחָ֨ה יָדֹ֤ו בַגַּרְזֶן֙ לִכְרֹ֣ת הָעֵ֔ץ וְנָשַׁ֤ל הַבַּרְזֶל֙ מִן־הָעֵ֔ץ וּמָצָ֥א אֶת־רֵעֵ֖הוּ וָמֵ֑ת ה֗וּא יָנ֛וּס אֶל־אַחַ֥ת הֶעָרִים־הָאֵ֖לֶּה וָחָֽי׃</w:t>
      </w:r>
    </w:p>
    <w:p w14:paraId="5A1C2FF1" w14:textId="77777777" w:rsidR="00DD2E9B" w:rsidRDefault="00DD2E9B" w:rsidP="00DD2E9B">
      <w:pPr>
        <w:pStyle w:val="whitespace-normal"/>
      </w:pPr>
      <w:r>
        <w:rPr>
          <w:rStyle w:val="Fett"/>
          <w:rFonts w:eastAsiaTheme="majorEastAsia"/>
        </w:rPr>
        <w:t>Deutsch:</w:t>
      </w:r>
      <w:r>
        <w:t xml:space="preserve"> etwa wie wenn jemand kommt mit seinem Nächsten in den Wald, um Holz zu fällen, und seine Hand holt aus mit der Axt, um den Baum zu fällen, und das Eisen gleitet ab vom Holz und trifft seinen Nächsten, und er stirbt: der soll fliehen in eine dieser Städte und leben bleiben;</w:t>
      </w:r>
    </w:p>
    <w:p w14:paraId="06681436" w14:textId="77777777" w:rsidR="00DD2E9B" w:rsidRDefault="004F5CEB" w:rsidP="00DD2E9B">
      <w:r>
        <w:rPr>
          <w:noProof/>
        </w:rPr>
        <w:pict w14:anchorId="02777C39">
          <v:rect id="_x0000_i1536" style="width:0;height:1.5pt" o:hralign="center" o:hrstd="t" o:hr="t" fillcolor="#a0a0a0" stroked="f"/>
        </w:pict>
      </w:r>
    </w:p>
    <w:p w14:paraId="61DBFF0E" w14:textId="77777777" w:rsidR="00DD2E9B" w:rsidRDefault="00DD2E9B" w:rsidP="00DD2E9B">
      <w:pPr>
        <w:pStyle w:val="whitespace-normal"/>
      </w:pPr>
      <w:r>
        <w:rPr>
          <w:rStyle w:val="Fett"/>
          <w:rFonts w:eastAsiaTheme="majorEastAsia"/>
        </w:rPr>
        <w:t>Kommentar:</w:t>
      </w:r>
      <w:r>
        <w:t xml:space="preserve"> </w:t>
      </w:r>
      <w:r>
        <w:rPr>
          <w:rStyle w:val="Fett"/>
          <w:rFonts w:eastAsiaTheme="majorEastAsia"/>
          <w:rtl/>
        </w:rPr>
        <w:t>וַאֲשֶׁר יָבֹא אֶת־רֵעֵהוּ בַיַּעַר לַחְטֹב עֵצִים</w:t>
      </w:r>
      <w:r>
        <w:rPr>
          <w:rtl/>
        </w:rPr>
        <w:t xml:space="preserve"> </w:t>
      </w:r>
      <w:r>
        <w:t xml:space="preserve">ist die Situationsbeschreibung: </w:t>
      </w:r>
      <w:r>
        <w:rPr>
          <w:rStyle w:val="Fett"/>
          <w:rFonts w:eastAsiaTheme="majorEastAsia"/>
          <w:rtl/>
        </w:rPr>
        <w:t>וַאֲשֶׁר יָבֹא</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אֲשֶׁר</w:t>
      </w:r>
      <w:r>
        <w:rPr>
          <w:rtl/>
        </w:rPr>
        <w:t xml:space="preserve"> </w:t>
      </w:r>
      <w:r>
        <w:t xml:space="preserve">und </w:t>
      </w:r>
      <w:r>
        <w:rPr>
          <w:rStyle w:val="Fett"/>
          <w:rFonts w:eastAsiaTheme="majorEastAsia"/>
          <w:rtl/>
        </w:rPr>
        <w:t>בוא</w:t>
      </w:r>
      <w:r>
        <w:t xml:space="preserve">, Qal Imperfekt, 3. Person Maskulinum Singular, „kommen"), </w:t>
      </w:r>
      <w:r>
        <w:rPr>
          <w:rStyle w:val="Fett"/>
          <w:rFonts w:eastAsiaTheme="majorEastAsia"/>
          <w:rtl/>
        </w:rPr>
        <w:t>אֶת־רֵעֵהוּ</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רֵעַ</w:t>
      </w:r>
      <w:r>
        <w:rPr>
          <w:rtl/>
        </w:rPr>
        <w:t xml:space="preserve"> </w:t>
      </w:r>
      <w:r>
        <w:t xml:space="preserve">mit Suffix 3. Person Maskulinum Singular, „mit seinem Nächsten"), </w:t>
      </w:r>
      <w:r>
        <w:rPr>
          <w:rStyle w:val="Fett"/>
          <w:rFonts w:eastAsiaTheme="majorEastAsia"/>
          <w:rtl/>
        </w:rPr>
        <w:t>בַיַּעַר</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יַעַר</w:t>
      </w:r>
      <w:r>
        <w:t xml:space="preserve">, „Wald", mit Artikel, „in den Wald"), </w:t>
      </w:r>
      <w:r>
        <w:rPr>
          <w:rStyle w:val="Fett"/>
          <w:rFonts w:eastAsiaTheme="majorEastAsia"/>
          <w:rtl/>
        </w:rPr>
        <w:lastRenderedPageBreak/>
        <w:t>לַחְטֹב עֵצִים</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חטב</w:t>
      </w:r>
      <w:r>
        <w:t xml:space="preserve">, „Holz hauen, fällen", </w:t>
      </w:r>
      <w:r>
        <w:rPr>
          <w:rStyle w:val="Fett"/>
          <w:rFonts w:eastAsiaTheme="majorEastAsia"/>
          <w:rtl/>
        </w:rPr>
        <w:t>עֵץ</w:t>
      </w:r>
      <w:r>
        <w:t>, „Baum, Holz", Plural, „um Holz zu fällen").</w:t>
      </w:r>
    </w:p>
    <w:p w14:paraId="4FD4B911" w14:textId="77777777" w:rsidR="00DD2E9B" w:rsidRDefault="00DD2E9B" w:rsidP="00DD2E9B">
      <w:pPr>
        <w:pStyle w:val="whitespace-normal"/>
      </w:pPr>
      <w:r>
        <w:rPr>
          <w:rStyle w:val="Fett"/>
          <w:rFonts w:eastAsiaTheme="majorEastAsia"/>
          <w:rtl/>
        </w:rPr>
        <w:t>וְנִדְּחָה יָדוֹ בַגַּרְזֶן לִכְרֹת הָעֵץ</w:t>
      </w:r>
      <w:r>
        <w:rPr>
          <w:rtl/>
        </w:rPr>
        <w:t xml:space="preserve"> </w:t>
      </w:r>
      <w:r>
        <w:t xml:space="preserve">ist die Handlung: </w:t>
      </w:r>
      <w:r>
        <w:rPr>
          <w:rStyle w:val="Fett"/>
          <w:rFonts w:eastAsiaTheme="majorEastAsia"/>
          <w:rtl/>
        </w:rPr>
        <w:t>וְנִדְּחָה יָדוֹ בַגַּרְזֶן</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נדח</w:t>
      </w:r>
      <w:r>
        <w:t xml:space="preserve">, Niphal Perfekt, 3. Person Femininum Singular, „gestoßen werden, ausschlagen", </w:t>
      </w:r>
      <w:r>
        <w:rPr>
          <w:rStyle w:val="Fett"/>
          <w:rFonts w:eastAsiaTheme="majorEastAsia"/>
          <w:rtl/>
        </w:rPr>
        <w:t>יָד</w:t>
      </w:r>
      <w:r>
        <w:t xml:space="preserve">, „Hand", mit Suffix 3. Person Maskulinum Singular, </w:t>
      </w:r>
      <w:r>
        <w:rPr>
          <w:rStyle w:val="Fett"/>
          <w:rFonts w:eastAsiaTheme="majorEastAsia"/>
          <w:rtl/>
        </w:rPr>
        <w:t>בַגַּרְזֶן</w:t>
      </w:r>
      <w:r>
        <w:t xml:space="preserve">, Präposition </w:t>
      </w:r>
      <w:r>
        <w:rPr>
          <w:rStyle w:val="Fett"/>
          <w:rFonts w:eastAsiaTheme="majorEastAsia"/>
          <w:rtl/>
        </w:rPr>
        <w:t>בְּ</w:t>
      </w:r>
      <w:r>
        <w:rPr>
          <w:rtl/>
        </w:rPr>
        <w:t xml:space="preserve"> </w:t>
      </w:r>
      <w:r>
        <w:t xml:space="preserve">mit </w:t>
      </w:r>
      <w:r>
        <w:rPr>
          <w:rStyle w:val="Fett"/>
          <w:rFonts w:eastAsiaTheme="majorEastAsia"/>
          <w:rtl/>
        </w:rPr>
        <w:t>גַּרְזֶן</w:t>
      </w:r>
      <w:r>
        <w:t xml:space="preserve">, „Axt", mit Artikel, „und ausholt seine Hand mit der Axt"), </w:t>
      </w:r>
      <w:r>
        <w:rPr>
          <w:rStyle w:val="Fett"/>
          <w:rFonts w:eastAsiaTheme="majorEastAsia"/>
          <w:rtl/>
        </w:rPr>
        <w:t>לִכְרֹת הָעֵץ</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כרת</w:t>
      </w:r>
      <w:r>
        <w:t xml:space="preserve">, „abschneiden, fällen", </w:t>
      </w:r>
      <w:r>
        <w:rPr>
          <w:rStyle w:val="Fett"/>
          <w:rFonts w:eastAsiaTheme="majorEastAsia"/>
          <w:rtl/>
        </w:rPr>
        <w:t>הָעֵץ</w:t>
      </w:r>
      <w:r>
        <w:t>, „der Baum", mit Artikel).</w:t>
      </w:r>
    </w:p>
    <w:p w14:paraId="2ECC9A1E" w14:textId="77777777" w:rsidR="00DD2E9B" w:rsidRDefault="00DD2E9B" w:rsidP="00DD2E9B">
      <w:pPr>
        <w:pStyle w:val="whitespace-normal"/>
      </w:pPr>
      <w:r>
        <w:rPr>
          <w:rStyle w:val="Fett"/>
          <w:rFonts w:eastAsiaTheme="majorEastAsia"/>
          <w:rtl/>
        </w:rPr>
        <w:t>וְנָשַׁל הַבַּרְזֶל מִן־הָעֵץ וּמָצָא אֶת־רֵעֵהוּ וָמֵת</w:t>
      </w:r>
      <w:r>
        <w:rPr>
          <w:rtl/>
        </w:rPr>
        <w:t xml:space="preserve"> </w:t>
      </w:r>
      <w:r>
        <w:t xml:space="preserve">sind drei koordinierte Verben: </w:t>
      </w:r>
      <w:r>
        <w:rPr>
          <w:rStyle w:val="Fett"/>
          <w:rFonts w:eastAsiaTheme="majorEastAsia"/>
          <w:rtl/>
        </w:rPr>
        <w:t>וְנָשַׁל הַבַּרְזֶל מִן־הָעֵץ</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נשׁל</w:t>
      </w:r>
      <w:r>
        <w:t xml:space="preserve">, Qal Perfekt, 3. Person Maskulinum Singular, „abgleiten, abrutschen", </w:t>
      </w:r>
      <w:r>
        <w:rPr>
          <w:rStyle w:val="Fett"/>
          <w:rFonts w:eastAsiaTheme="majorEastAsia"/>
          <w:rtl/>
        </w:rPr>
        <w:t>בַּרְזֶל</w:t>
      </w:r>
      <w:r>
        <w:t xml:space="preserve">, „Eisen", mit Artikel (= Axtblatt), </w:t>
      </w:r>
      <w:r>
        <w:rPr>
          <w:rStyle w:val="Fett"/>
          <w:rFonts w:eastAsiaTheme="majorEastAsia"/>
          <w:rtl/>
        </w:rPr>
        <w:t>מִן־הָעֵץ</w:t>
      </w:r>
      <w:r>
        <w:t xml:space="preserve">, Präposition </w:t>
      </w:r>
      <w:r>
        <w:rPr>
          <w:rStyle w:val="Fett"/>
          <w:rFonts w:eastAsiaTheme="majorEastAsia"/>
          <w:rtl/>
        </w:rPr>
        <w:t>מִן</w:t>
      </w:r>
      <w:r>
        <w:rPr>
          <w:rtl/>
        </w:rPr>
        <w:t xml:space="preserve"> </w:t>
      </w:r>
      <w:r>
        <w:t xml:space="preserve">mit </w:t>
      </w:r>
      <w:r>
        <w:rPr>
          <w:rStyle w:val="Fett"/>
          <w:rFonts w:eastAsiaTheme="majorEastAsia"/>
          <w:rtl/>
        </w:rPr>
        <w:t>עֵץ</w:t>
      </w:r>
      <w:r>
        <w:rPr>
          <w:rtl/>
        </w:rPr>
        <w:t xml:space="preserve"> </w:t>
      </w:r>
      <w:r>
        <w:t xml:space="preserve">mit Artikel (= Holzstiel), „und abgleitet das Eisen vom Holz"), </w:t>
      </w:r>
      <w:r>
        <w:rPr>
          <w:rStyle w:val="Fett"/>
          <w:rFonts w:eastAsiaTheme="majorEastAsia"/>
          <w:rtl/>
        </w:rPr>
        <w:t>וּמָצָא אֶת־רֵעֵהוּ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מצא</w:t>
      </w:r>
      <w:r>
        <w:t xml:space="preserve">, Qal Perfekt, 3. Person Maskulinum Singular, „finden, treffen", </w:t>
      </w:r>
      <w:r>
        <w:rPr>
          <w:rStyle w:val="Fett"/>
          <w:rFonts w:eastAsiaTheme="majorEastAsia"/>
          <w:rtl/>
        </w:rPr>
        <w:t>אֶת־רֵעֵהוּ</w:t>
      </w:r>
      <w:r>
        <w:t xml:space="preserve">), </w:t>
      </w:r>
      <w:r>
        <w:rPr>
          <w:rStyle w:val="Fett"/>
          <w:rFonts w:eastAsiaTheme="majorEastAsia"/>
          <w:rtl/>
        </w:rPr>
        <w:t>וָמֵת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מות</w:t>
      </w:r>
      <w:r>
        <w:t>, Qal Perfekt, 3. Person Maskulinum Singular, „sterben").</w:t>
      </w:r>
    </w:p>
    <w:p w14:paraId="7A413BAC" w14:textId="77777777" w:rsidR="00DD2E9B" w:rsidRDefault="00DD2E9B" w:rsidP="00DD2E9B">
      <w:pPr>
        <w:pStyle w:val="whitespace-normal"/>
      </w:pPr>
      <w:r>
        <w:rPr>
          <w:rStyle w:val="Fett"/>
          <w:rFonts w:eastAsiaTheme="majorEastAsia"/>
          <w:rtl/>
        </w:rPr>
        <w:t>הוּא יָנוּס אֶל־אַחַת הֶעָרִים־הָאֵלֶּה וָחָי</w:t>
      </w:r>
      <w:r>
        <w:rPr>
          <w:rtl/>
        </w:rPr>
        <w:t xml:space="preserve"> </w:t>
      </w:r>
      <w:r>
        <w:t xml:space="preserve">ist die Konsequenz: </w:t>
      </w:r>
      <w:r>
        <w:rPr>
          <w:rStyle w:val="Fett"/>
          <w:rFonts w:eastAsiaTheme="majorEastAsia"/>
          <w:rtl/>
        </w:rPr>
        <w:t>הוּא</w:t>
      </w:r>
      <w:r>
        <w:rPr>
          <w:rtl/>
        </w:rPr>
        <w:t xml:space="preserve"> </w:t>
      </w:r>
      <w:r>
        <w:t xml:space="preserve">(Personalpronomen 3. Person Maskulinum Singular, betont, „der"), </w:t>
      </w:r>
      <w:r>
        <w:rPr>
          <w:rStyle w:val="Fett"/>
          <w:rFonts w:eastAsiaTheme="majorEastAsia"/>
          <w:rtl/>
        </w:rPr>
        <w:t>יָנוּס</w:t>
      </w:r>
      <w:r>
        <w:rPr>
          <w:rtl/>
        </w:rPr>
        <w:t xml:space="preserve"> </w:t>
      </w:r>
      <w:r>
        <w:t xml:space="preserve">(Qal Imperfekt, 3. Person Maskulinum Singular von </w:t>
      </w:r>
      <w:r>
        <w:rPr>
          <w:rStyle w:val="Fett"/>
          <w:rFonts w:eastAsiaTheme="majorEastAsia"/>
          <w:rtl/>
        </w:rPr>
        <w:t>נוס</w:t>
      </w:r>
      <w:r>
        <w:t xml:space="preserve">, „fliehen"), </w:t>
      </w:r>
      <w:r>
        <w:rPr>
          <w:rStyle w:val="Fett"/>
          <w:rFonts w:eastAsiaTheme="majorEastAsia"/>
          <w:rtl/>
        </w:rPr>
        <w:t>אֶל־אַחַת הֶעָרִים־הָאֵלֶּה</w:t>
      </w:r>
      <w:r>
        <w:rPr>
          <w:rtl/>
        </w:rPr>
        <w:t xml:space="preserve"> </w:t>
      </w:r>
      <w:r>
        <w:t xml:space="preserve">(Präposition </w:t>
      </w:r>
      <w:r>
        <w:rPr>
          <w:rStyle w:val="Fett"/>
          <w:rFonts w:eastAsiaTheme="majorEastAsia"/>
          <w:rtl/>
        </w:rPr>
        <w:t>אֶל</w:t>
      </w:r>
      <w:r>
        <w:rPr>
          <w:rtl/>
        </w:rPr>
        <w:t xml:space="preserve"> </w:t>
      </w:r>
      <w:r>
        <w:t xml:space="preserve">mit </w:t>
      </w:r>
      <w:r>
        <w:rPr>
          <w:rStyle w:val="Fett"/>
          <w:rFonts w:eastAsiaTheme="majorEastAsia"/>
          <w:rtl/>
        </w:rPr>
        <w:t>אֶחָד</w:t>
      </w:r>
      <w:r>
        <w:t xml:space="preserve">, „einer", Femininum Singular, Construct mit </w:t>
      </w:r>
      <w:r>
        <w:rPr>
          <w:rStyle w:val="Fett"/>
          <w:rFonts w:eastAsiaTheme="majorEastAsia"/>
          <w:rtl/>
        </w:rPr>
        <w:t>עִיר</w:t>
      </w:r>
      <w:r>
        <w:t xml:space="preserve">, Plural mit Artikel und Demonstrativpronomen </w:t>
      </w:r>
      <w:r>
        <w:rPr>
          <w:rStyle w:val="Fett"/>
          <w:rFonts w:eastAsiaTheme="majorEastAsia"/>
          <w:rtl/>
        </w:rPr>
        <w:t>אֵלֶּה</w:t>
      </w:r>
      <w:r>
        <w:t xml:space="preserve">, „zu einer dieser Städte"), </w:t>
      </w:r>
      <w:r>
        <w:rPr>
          <w:rStyle w:val="Fett"/>
          <w:rFonts w:eastAsiaTheme="majorEastAsia"/>
          <w:rtl/>
        </w:rPr>
        <w:t>וָחָי</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חיה</w:t>
      </w:r>
      <w:r>
        <w:t xml:space="preserve">, Qal Perfekt, 3. Person Maskulinum Singular, „leben", mit </w:t>
      </w:r>
      <w:r>
        <w:rPr>
          <w:rStyle w:val="Fett"/>
          <w:rFonts w:eastAsiaTheme="majorEastAsia"/>
        </w:rPr>
        <w:t>Waw</w:t>
      </w:r>
      <w:r>
        <w:t xml:space="preserve"> consecutives Perfekt).</w:t>
      </w:r>
    </w:p>
    <w:p w14:paraId="339B4054" w14:textId="190399DB" w:rsidR="00DD2E9B" w:rsidRDefault="00DD2E9B" w:rsidP="00DD2E9B">
      <w:pPr>
        <w:pStyle w:val="whitespace-normal"/>
      </w:pPr>
      <w:r>
        <w:t>Der Vers gibt ein klassisches Beispiel unvorsätzlicher Tötung: beim Holzfällen löst sich das Axtblatt (</w:t>
      </w:r>
      <w:r>
        <w:rPr>
          <w:rStyle w:val="Fett"/>
          <w:rFonts w:eastAsiaTheme="majorEastAsia"/>
          <w:rtl/>
        </w:rPr>
        <w:t>הַבַּרְזֶל</w:t>
      </w:r>
      <w:r>
        <w:t>, „das Eisen") vom Stiel (</w:t>
      </w:r>
      <w:r>
        <w:rPr>
          <w:rStyle w:val="Fett"/>
          <w:rFonts w:eastAsiaTheme="majorEastAsia"/>
          <w:rtl/>
        </w:rPr>
        <w:t>הָעֵץ</w:t>
      </w:r>
      <w:r>
        <w:t>, „das Holz"), fliegt weg und trifft einen Mitarbeiter tödlich. Die detaillierte Beschreibung zeigt: völlig unbeabsichtigt, reiner Unfall. Dies ist der paradigmatische Fall für Asylrecht.</w:t>
      </w:r>
    </w:p>
    <w:p w14:paraId="3A321756" w14:textId="7D6685A6" w:rsidR="00C25194" w:rsidRDefault="00C25194" w:rsidP="00DD2E9B">
      <w:pPr>
        <w:pStyle w:val="whitespace-normal"/>
      </w:pPr>
      <w:r>
        <w:rPr>
          <w:rStyle w:val="Fett"/>
        </w:rPr>
        <w:t>Die LXX</w:t>
      </w:r>
      <w:r>
        <w:t xml:space="preserve"> übersetzt </w:t>
      </w:r>
      <w:r w:rsidRPr="00C25194">
        <w:rPr>
          <w:b/>
          <w:bCs/>
          <w:rtl/>
        </w:rPr>
        <w:t>וְנִדְּחָה</w:t>
      </w:r>
      <w:r>
        <w:rPr>
          <w:rtl/>
        </w:rPr>
        <w:t xml:space="preserve"> </w:t>
      </w:r>
      <w:r w:rsidRPr="00C25194">
        <w:rPr>
          <w:b/>
          <w:bCs/>
          <w:rtl/>
        </w:rPr>
        <w:t>יָדוֹ</w:t>
      </w:r>
      <w:r>
        <w:t xml:space="preserve"> (und seine Hand wird abgleiten) mit </w:t>
      </w:r>
      <w:proofErr w:type="spellStart"/>
      <w:r>
        <w:t>ἐκκρουσθῇ</w:t>
      </w:r>
      <w:proofErr w:type="spellEnd"/>
      <w:r>
        <w:t xml:space="preserve"> ἡ </w:t>
      </w:r>
      <w:proofErr w:type="spellStart"/>
      <w:r>
        <w:t>χεὶρ</w:t>
      </w:r>
      <w:proofErr w:type="spellEnd"/>
      <w:r>
        <w:t xml:space="preserve"> α</w:t>
      </w:r>
      <w:proofErr w:type="spellStart"/>
      <w:r>
        <w:t>ὐτοῦ</w:t>
      </w:r>
      <w:proofErr w:type="spellEnd"/>
      <w:r>
        <w:t xml:space="preserve"> (seine Hand wird weggeschlagen/weggestoßen) – ein stärkerer, gewaltsamer Ausdruck. Die Formulierung </w:t>
      </w:r>
      <w:proofErr w:type="spellStart"/>
      <w:r>
        <w:t>τύχῃ</w:t>
      </w:r>
      <w:proofErr w:type="spellEnd"/>
      <w:r>
        <w:t xml:space="preserve"> </w:t>
      </w:r>
      <w:proofErr w:type="spellStart"/>
      <w:r>
        <w:t>τοῦ</w:t>
      </w:r>
      <w:proofErr w:type="spellEnd"/>
      <w:r>
        <w:t xml:space="preserve"> π</w:t>
      </w:r>
      <w:proofErr w:type="spellStart"/>
      <w:r>
        <w:t>λησίον</w:t>
      </w:r>
      <w:proofErr w:type="spellEnd"/>
      <w:r>
        <w:t xml:space="preserve"> (den Nächsten trifft) für </w:t>
      </w:r>
      <w:r w:rsidRPr="00C25194">
        <w:rPr>
          <w:b/>
          <w:bCs/>
          <w:rtl/>
        </w:rPr>
        <w:t>וּמָצָא</w:t>
      </w:r>
      <w:r>
        <w:rPr>
          <w:rtl/>
        </w:rPr>
        <w:t xml:space="preserve"> </w:t>
      </w:r>
      <w:r w:rsidRPr="00C25194">
        <w:rPr>
          <w:b/>
          <w:bCs/>
          <w:rtl/>
        </w:rPr>
        <w:t>אֶת־רֵעֵהוּ</w:t>
      </w:r>
      <w:r>
        <w:t xml:space="preserve"> verwendet das Verb </w:t>
      </w:r>
      <w:proofErr w:type="spellStart"/>
      <w:r>
        <w:t>τυγχάνω</w:t>
      </w:r>
      <w:proofErr w:type="spellEnd"/>
      <w:r>
        <w:t xml:space="preserve"> (treffen, begegnen) in prägnanter Weise.</w:t>
      </w:r>
    </w:p>
    <w:p w14:paraId="65FFA051" w14:textId="77777777" w:rsidR="00DD2E9B" w:rsidRDefault="00DD2E9B" w:rsidP="00DD2E9B">
      <w:pPr>
        <w:pStyle w:val="whitespace-normal"/>
      </w:pPr>
      <w:r>
        <w:rPr>
          <w:rStyle w:val="Fett"/>
          <w:rFonts w:eastAsiaTheme="majorEastAsia"/>
        </w:rPr>
        <w:t>Die Satzstruktur:</w:t>
      </w:r>
      <w:r>
        <w:t xml:space="preserve"> Situationsbeschreibung, Handlung, drei koordinierte Verben und Konsequenz (etwa wie wenn kommt jemand mit seinem Nächsten in den Wald, um zu fällen Holz, und ausholt seine Hand mit der Axt, um zu fällen den Baum, und abgleitet das Eisen vom Holz und trifft seinen Nächsten, und er stirbt, der fliehen soll zu einer dieser Städte und leben bleiben).</w:t>
      </w:r>
    </w:p>
    <w:p w14:paraId="1AB64069" w14:textId="77777777" w:rsidR="00DD2E9B" w:rsidRDefault="00DD2E9B" w:rsidP="00DD2E9B">
      <w:pPr>
        <w:pStyle w:val="whitespace-normal"/>
      </w:pPr>
      <w:r>
        <w:t>Der Vers gibt ein Beispiel: Wenn beim Holzfällen das Axtblatt abgleitet und jemanden tötet – das ist unvorsätzliche Tötung, der Täter darf zur Asylstadt fliehen und am Leben bleiben.</w:t>
      </w:r>
    </w:p>
    <w:p w14:paraId="5CD1AEB8"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19,6</w:t>
      </w:r>
    </w:p>
    <w:p w14:paraId="7328B9FC" w14:textId="77777777" w:rsidR="00DD2E9B" w:rsidRDefault="00DD2E9B" w:rsidP="00DD2E9B">
      <w:pPr>
        <w:pStyle w:val="whitespace-normal"/>
      </w:pPr>
      <w:r>
        <w:rPr>
          <w:rStyle w:val="Fett"/>
          <w:rFonts w:eastAsiaTheme="majorEastAsia"/>
        </w:rPr>
        <w:t>Hebräisch:</w:t>
      </w:r>
      <w:r>
        <w:t xml:space="preserve"> </w:t>
      </w:r>
      <w:r>
        <w:rPr>
          <w:rtl/>
        </w:rPr>
        <w:t>פֶּן־יִרְדֹּף֩ גֹּאֵ֨ל הַדָּ֜ם אַחֲרֵ֣י הָרֹצֵ֗חַ כִּי־יֵחַם֮ לְבָבוֹ֒ וְהִשִּׂיגֹ֛ו כִּֽי־יִרְבֶּ֥ה הַדֶּ֖רֶךְ וְהִכָּ֣הוּ נָ֑פֶשׁ וְלוֹ֙ אֵ֣ין מִשְׁפַּט־מָ֔וֶת כִּ֠י לֹ֣א שֹׂנֵ֥א ה֛וּא לוֹ֖ מִתְּמ֥וֹל שִׁלְשֽׁוֹם׃</w:t>
      </w:r>
    </w:p>
    <w:p w14:paraId="7C73DD06" w14:textId="77777777" w:rsidR="00DD2E9B" w:rsidRDefault="00DD2E9B" w:rsidP="00DD2E9B">
      <w:pPr>
        <w:pStyle w:val="whitespace-normal"/>
      </w:pPr>
      <w:r>
        <w:rPr>
          <w:rStyle w:val="Fett"/>
          <w:rFonts w:eastAsiaTheme="majorEastAsia"/>
        </w:rPr>
        <w:lastRenderedPageBreak/>
        <w:t>Deutsch:</w:t>
      </w:r>
      <w:r>
        <w:t xml:space="preserve"> damit nicht nachjagt der Bluträcher dem Totschläger, weil heiß ist sein Herz, und ihn erreicht, weil der Weg viel ist, und ihn schlägt auf die Seele, obwohl ihm kein Todesurteil zukommt, da er ihn nicht gehasst hat von gestern und vorgestern.</w:t>
      </w:r>
    </w:p>
    <w:p w14:paraId="03F31F5A" w14:textId="77777777" w:rsidR="00DD2E9B" w:rsidRDefault="004F5CEB" w:rsidP="00DD2E9B">
      <w:r>
        <w:rPr>
          <w:noProof/>
        </w:rPr>
        <w:pict w14:anchorId="3CE54371">
          <v:rect id="_x0000_i1537" style="width:0;height:1.5pt" o:hralign="center" o:hrstd="t" o:hr="t" fillcolor="#a0a0a0" stroked="f"/>
        </w:pict>
      </w:r>
    </w:p>
    <w:p w14:paraId="21067007" w14:textId="77777777" w:rsidR="00DD2E9B" w:rsidRDefault="00DD2E9B" w:rsidP="00DD2E9B">
      <w:pPr>
        <w:pStyle w:val="whitespace-normal"/>
      </w:pPr>
      <w:r>
        <w:rPr>
          <w:rStyle w:val="Fett"/>
          <w:rFonts w:eastAsiaTheme="majorEastAsia"/>
        </w:rPr>
        <w:t>Kommentar:</w:t>
      </w:r>
      <w:r>
        <w:t xml:space="preserve"> </w:t>
      </w:r>
      <w:r>
        <w:rPr>
          <w:rStyle w:val="Fett"/>
          <w:rFonts w:eastAsiaTheme="majorEastAsia"/>
          <w:rtl/>
        </w:rPr>
        <w:t>פֶּן־יִרְדֹּף גֹּאֵל הַדָּם אַחֲרֵי הָרֹצֵחַ כִּי־יֵחַם לְבָבוֹ</w:t>
      </w:r>
      <w:r>
        <w:rPr>
          <w:rtl/>
        </w:rPr>
        <w:t xml:space="preserve"> </w:t>
      </w:r>
      <w:r>
        <w:t xml:space="preserve">ist ein Finalsatz mit Kausalsatz: </w:t>
      </w:r>
      <w:r>
        <w:rPr>
          <w:rStyle w:val="Fett"/>
          <w:rFonts w:eastAsiaTheme="majorEastAsia"/>
          <w:rtl/>
        </w:rPr>
        <w:t>פֶּן־יִרְדֹּף</w:t>
      </w:r>
      <w:r>
        <w:rPr>
          <w:rtl/>
        </w:rPr>
        <w:t xml:space="preserve"> </w:t>
      </w:r>
      <w:r>
        <w:t xml:space="preserve">(Partikel </w:t>
      </w:r>
      <w:r>
        <w:rPr>
          <w:rStyle w:val="Fett"/>
          <w:rFonts w:eastAsiaTheme="majorEastAsia"/>
          <w:rtl/>
        </w:rPr>
        <w:t>פֶּן</w:t>
      </w:r>
      <w:r>
        <w:t xml:space="preserve">, „damit nicht", mit </w:t>
      </w:r>
      <w:r>
        <w:rPr>
          <w:rStyle w:val="Fett"/>
          <w:rFonts w:eastAsiaTheme="majorEastAsia"/>
          <w:rtl/>
        </w:rPr>
        <w:t>רדף</w:t>
      </w:r>
      <w:r>
        <w:t xml:space="preserve">, Qal Imperfekt, 3. Person Maskulinum Singular, „verfolgen, nachjagen"), </w:t>
      </w:r>
      <w:r>
        <w:rPr>
          <w:rStyle w:val="Fett"/>
          <w:rFonts w:eastAsiaTheme="majorEastAsia"/>
          <w:rtl/>
        </w:rPr>
        <w:t>גֹּאֵל הַדָּם</w:t>
      </w:r>
      <w:r>
        <w:rPr>
          <w:rtl/>
        </w:rPr>
        <w:t xml:space="preserve"> </w:t>
      </w:r>
      <w:r>
        <w:t>(</w:t>
      </w:r>
      <w:r>
        <w:rPr>
          <w:rStyle w:val="Fett"/>
          <w:rFonts w:eastAsiaTheme="majorEastAsia"/>
          <w:rtl/>
        </w:rPr>
        <w:t>גאל</w:t>
      </w:r>
      <w:r>
        <w:t xml:space="preserve">, Qal Partizip, „erlösen, loskaufen, Blutrache üben", Construct mit </w:t>
      </w:r>
      <w:r>
        <w:rPr>
          <w:rStyle w:val="Fett"/>
          <w:rFonts w:eastAsiaTheme="majorEastAsia"/>
          <w:rtl/>
        </w:rPr>
        <w:t>דָּם</w:t>
      </w:r>
      <w:r>
        <w:t xml:space="preserve">, „Blut", mit Artikel, „der Bluträcher", „der Blutlöser"), </w:t>
      </w:r>
      <w:r>
        <w:rPr>
          <w:rStyle w:val="Fett"/>
          <w:rFonts w:eastAsiaTheme="majorEastAsia"/>
          <w:rtl/>
        </w:rPr>
        <w:t>אַחֲרֵי הָרֹצֵחַ</w:t>
      </w:r>
      <w:r>
        <w:rPr>
          <w:rtl/>
        </w:rPr>
        <w:t xml:space="preserve"> </w:t>
      </w:r>
      <w:r>
        <w:t xml:space="preserve">(Präposition </w:t>
      </w:r>
      <w:r>
        <w:rPr>
          <w:rStyle w:val="Fett"/>
          <w:rFonts w:eastAsiaTheme="majorEastAsia"/>
          <w:rtl/>
        </w:rPr>
        <w:t>אַחֲרֵי</w:t>
      </w:r>
      <w:r>
        <w:t xml:space="preserve">, „hinter, nach", mit </w:t>
      </w:r>
      <w:r>
        <w:rPr>
          <w:rStyle w:val="Fett"/>
          <w:rFonts w:eastAsiaTheme="majorEastAsia"/>
          <w:rtl/>
        </w:rPr>
        <w:t>רצח</w:t>
      </w:r>
      <w:r>
        <w:t xml:space="preserve">, Qal Partizip mit Artikel, „dem Totschläger"), </w:t>
      </w:r>
      <w:r>
        <w:rPr>
          <w:rStyle w:val="Fett"/>
          <w:rFonts w:eastAsiaTheme="majorEastAsia"/>
          <w:rtl/>
        </w:rPr>
        <w:t>כִּי־יֵחַם לְבָבוֹ</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יחם</w:t>
      </w:r>
      <w:r>
        <w:t xml:space="preserve">, Qal Imperfekt, 3. Person Maskulinum Singular, „heiß sein, entbrennen", </w:t>
      </w:r>
      <w:r>
        <w:rPr>
          <w:rStyle w:val="Fett"/>
          <w:rFonts w:eastAsiaTheme="majorEastAsia"/>
          <w:rtl/>
        </w:rPr>
        <w:t>לֵבָב</w:t>
      </w:r>
      <w:r>
        <w:t>, „Herz", mit Suffix 3. Person Maskulinum Singular, „weil heiß ist sein Herz").</w:t>
      </w:r>
    </w:p>
    <w:p w14:paraId="0F047617" w14:textId="77777777" w:rsidR="00DD2E9B" w:rsidRDefault="00DD2E9B" w:rsidP="00DD2E9B">
      <w:pPr>
        <w:pStyle w:val="whitespace-normal"/>
      </w:pPr>
      <w:r>
        <w:rPr>
          <w:rStyle w:val="Fett"/>
          <w:rFonts w:eastAsiaTheme="majorEastAsia"/>
          <w:rtl/>
        </w:rPr>
        <w:t>וְהִשִּׂיגוֹ כִּי־יִרְבֶּה הַדֶּרֶךְ וְהִכָּהוּ נָפֶשׁ</w:t>
      </w:r>
      <w:r>
        <w:rPr>
          <w:rtl/>
        </w:rPr>
        <w:t xml:space="preserve"> </w:t>
      </w:r>
      <w:r>
        <w:t xml:space="preserve">sind zwei koordinierte Verben: </w:t>
      </w:r>
      <w:r>
        <w:rPr>
          <w:rStyle w:val="Fett"/>
          <w:rFonts w:eastAsiaTheme="majorEastAsia"/>
          <w:rtl/>
        </w:rPr>
        <w:t>וְהִשִּׂיגוֹ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נשׂג</w:t>
      </w:r>
      <w:r>
        <w:t xml:space="preserve">, Hiphil Perfekt, 3. Person Maskulinum Singular, „erreichen, einholen", mit Suffix 3. Person Maskulinum Singular, mit </w:t>
      </w:r>
      <w:r>
        <w:rPr>
          <w:rStyle w:val="Fett"/>
          <w:rFonts w:eastAsiaTheme="majorEastAsia"/>
        </w:rPr>
        <w:t>Waw</w:t>
      </w:r>
      <w:r>
        <w:t xml:space="preserve"> consecutives Perfekt), </w:t>
      </w:r>
      <w:r>
        <w:rPr>
          <w:rStyle w:val="Fett"/>
          <w:rFonts w:eastAsiaTheme="majorEastAsia"/>
          <w:rtl/>
        </w:rPr>
        <w:t>כִּי־יִרְבֶּה הַדֶּרֶךְ</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רבה</w:t>
      </w:r>
      <w:r>
        <w:t xml:space="preserve">, Qal Imperfekt, 3. Person Maskulinum Singular, „viel sein, groß sein", </w:t>
      </w:r>
      <w:r>
        <w:rPr>
          <w:rStyle w:val="Fett"/>
          <w:rFonts w:eastAsiaTheme="majorEastAsia"/>
          <w:rtl/>
        </w:rPr>
        <w:t>הַדֶּרֶךְ</w:t>
      </w:r>
      <w:r>
        <w:t xml:space="preserve">, „der Weg", mit Artikel, „weil groß/lang ist der Weg"), </w:t>
      </w:r>
      <w:r>
        <w:rPr>
          <w:rStyle w:val="Fett"/>
          <w:rFonts w:eastAsiaTheme="majorEastAsia"/>
          <w:rtl/>
        </w:rPr>
        <w:t>וְהִכָּהוּ נָפֶשׁ</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נכה</w:t>
      </w:r>
      <w:r>
        <w:t xml:space="preserve">, Hiphil Perfekt, 3. Person Maskulinum Singular, „schlagen", mit Suffix 3. Person Maskulinum Singular, </w:t>
      </w:r>
      <w:r>
        <w:rPr>
          <w:rStyle w:val="Fett"/>
          <w:rFonts w:eastAsiaTheme="majorEastAsia"/>
          <w:rtl/>
        </w:rPr>
        <w:t>נֶפֶשׁ</w:t>
      </w:r>
      <w:r>
        <w:t xml:space="preserve">, „Seele, Leben", Akkusativ der Richtung, „und schlägt ihn auf/an die Seele" = tötet ihn, mit </w:t>
      </w:r>
      <w:r>
        <w:rPr>
          <w:rStyle w:val="Fett"/>
          <w:rFonts w:eastAsiaTheme="majorEastAsia"/>
        </w:rPr>
        <w:t>Waw</w:t>
      </w:r>
      <w:r>
        <w:t xml:space="preserve"> consecutives Perfekt).</w:t>
      </w:r>
    </w:p>
    <w:p w14:paraId="39331703" w14:textId="77777777" w:rsidR="00DD2E9B" w:rsidRDefault="00DD2E9B" w:rsidP="00DD2E9B">
      <w:pPr>
        <w:pStyle w:val="whitespace-normal"/>
      </w:pPr>
      <w:r>
        <w:rPr>
          <w:rStyle w:val="Fett"/>
          <w:rFonts w:eastAsiaTheme="majorEastAsia"/>
          <w:rtl/>
        </w:rPr>
        <w:t>וְלוֹ אֵין מִשְׁפַּט־מָוֶת כִּי לֹא שֹׂנֵא הוּא לוֹ מִתְּמוֹל שִׁלְשׁוֹם</w:t>
      </w:r>
      <w:r>
        <w:rPr>
          <w:rtl/>
        </w:rPr>
        <w:t xml:space="preserve"> </w:t>
      </w:r>
      <w:r>
        <w:t xml:space="preserve">ist der Begründungssatz: </w:t>
      </w:r>
      <w:r>
        <w:rPr>
          <w:rStyle w:val="Fett"/>
          <w:rFonts w:eastAsiaTheme="majorEastAsia"/>
          <w:rtl/>
        </w:rPr>
        <w:t>וְלוֹ אֵין מִשְׁפַּט־מָוֶת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לוֹ</w:t>
      </w:r>
      <w:r>
        <w:t xml:space="preserve">, Präposition </w:t>
      </w:r>
      <w:r>
        <w:rPr>
          <w:rStyle w:val="Fett"/>
          <w:rFonts w:eastAsiaTheme="majorEastAsia"/>
          <w:rtl/>
        </w:rPr>
        <w:t>לְ</w:t>
      </w:r>
      <w:r>
        <w:rPr>
          <w:rtl/>
        </w:rPr>
        <w:t xml:space="preserve"> </w:t>
      </w:r>
      <w:r>
        <w:t xml:space="preserve">mit Suffix 3. Person Maskulinum Singular, Negationspartikel </w:t>
      </w:r>
      <w:r>
        <w:rPr>
          <w:rStyle w:val="Fett"/>
          <w:rFonts w:eastAsiaTheme="majorEastAsia"/>
          <w:rtl/>
        </w:rPr>
        <w:t>אֵין</w:t>
      </w:r>
      <w:r>
        <w:t xml:space="preserve">, „nicht sein, nicht haben", </w:t>
      </w:r>
      <w:r>
        <w:rPr>
          <w:rStyle w:val="Fett"/>
          <w:rFonts w:eastAsiaTheme="majorEastAsia"/>
          <w:rtl/>
        </w:rPr>
        <w:t>מִשְׁפַּט</w:t>
      </w:r>
      <w:r>
        <w:t xml:space="preserve">, „Recht, Urteil", Construct mit </w:t>
      </w:r>
      <w:r>
        <w:rPr>
          <w:rStyle w:val="Fett"/>
          <w:rFonts w:eastAsiaTheme="majorEastAsia"/>
          <w:rtl/>
        </w:rPr>
        <w:t>מָוֶת</w:t>
      </w:r>
      <w:r>
        <w:t xml:space="preserve">, „Tod", „und ihm [ist] kein Todesurteil"), </w:t>
      </w:r>
      <w:r>
        <w:rPr>
          <w:rStyle w:val="Fett"/>
          <w:rFonts w:eastAsiaTheme="majorEastAsia"/>
          <w:rtl/>
        </w:rPr>
        <w:t>כִּי לֹא שֹׂנֵא הוּא לוֹ מִתְּמוֹל שִׁלְשׁוֹם</w:t>
      </w:r>
      <w:r>
        <w:rPr>
          <w:rtl/>
        </w:rPr>
        <w:t xml:space="preserve"> </w:t>
      </w:r>
      <w:r>
        <w:t>(Kausalsatz wie V. 4).</w:t>
      </w:r>
    </w:p>
    <w:p w14:paraId="7806B2F1" w14:textId="4D50A181" w:rsidR="00DD2E9B" w:rsidRDefault="00DD2E9B" w:rsidP="00DD2E9B">
      <w:pPr>
        <w:pStyle w:val="whitespace-normal"/>
      </w:pPr>
      <w:r>
        <w:t xml:space="preserve">Der Vers erklärt die Notwendigkeit der Asylstädte: Der </w:t>
      </w:r>
      <w:r>
        <w:rPr>
          <w:rStyle w:val="Fett"/>
          <w:rFonts w:eastAsiaTheme="majorEastAsia"/>
          <w:rtl/>
        </w:rPr>
        <w:t>גֹּאֵל הַדָּם</w:t>
      </w:r>
      <w:r>
        <w:rPr>
          <w:rtl/>
        </w:rPr>
        <w:t xml:space="preserve"> </w:t>
      </w:r>
      <w:r>
        <w:t xml:space="preserve">(„Bluträcher") ist nach altorientalischem Recht verpflichtet, den Tod seines Verwandten zu rächen (vgl. Num 35,19.21.24.25.27; Jos 20,3.5.9; </w:t>
      </w:r>
      <w:r w:rsidR="00664EB6">
        <w:t>2Sam</w:t>
      </w:r>
      <w:r>
        <w:t xml:space="preserve"> 14,11). In der Hitze des Zorns (</w:t>
      </w:r>
      <w:r>
        <w:rPr>
          <w:rStyle w:val="Fett"/>
          <w:rFonts w:eastAsiaTheme="majorEastAsia"/>
          <w:rtl/>
        </w:rPr>
        <w:t>כִּי־יֵחַם לְבָבוֹ</w:t>
      </w:r>
      <w:r>
        <w:t xml:space="preserve">, „weil sein Herz heiß ist") könnte er den unvorsätzlichen Totschläger einholen und töten, obwohl dieser </w:t>
      </w:r>
      <w:r>
        <w:rPr>
          <w:rStyle w:val="Fett"/>
          <w:rFonts w:eastAsiaTheme="majorEastAsia"/>
          <w:rtl/>
        </w:rPr>
        <w:t>אֵין מִשְׁפַּט־מָוֶת</w:t>
      </w:r>
      <w:r>
        <w:rPr>
          <w:rtl/>
        </w:rPr>
        <w:t xml:space="preserve"> </w:t>
      </w:r>
      <w:r>
        <w:t>(„kein Todesurteil [verdient]"). Die Asylstädte schützen vor dieser emotionsgetriebenen Rache.</w:t>
      </w:r>
    </w:p>
    <w:p w14:paraId="340BB41F" w14:textId="14D761B3" w:rsidR="00DD2E9B" w:rsidRDefault="00DD2E9B" w:rsidP="00DD2E9B">
      <w:pPr>
        <w:pStyle w:val="whitespace-normal"/>
      </w:pPr>
      <w:r>
        <w:t xml:space="preserve">Die Formulierung </w:t>
      </w:r>
      <w:r>
        <w:rPr>
          <w:rStyle w:val="Fett"/>
          <w:rFonts w:eastAsiaTheme="majorEastAsia"/>
          <w:rtl/>
        </w:rPr>
        <w:t>כִּי־יִרְבֶּה הַדֶּרֶךְ</w:t>
      </w:r>
      <w:r>
        <w:rPr>
          <w:rtl/>
        </w:rPr>
        <w:t xml:space="preserve"> </w:t>
      </w:r>
      <w:r>
        <w:t>(„weil der Weg groß/lang ist") erklärt V. 3: Darum müssen die Asylstädte gut verteilt sein, damit der Weg nicht zu lang ist.</w:t>
      </w:r>
    </w:p>
    <w:p w14:paraId="25CBD27E" w14:textId="62C0DE59" w:rsidR="00C25194" w:rsidRDefault="00C25194" w:rsidP="00DD2E9B">
      <w:pPr>
        <w:pStyle w:val="whitespace-normal"/>
      </w:pPr>
      <w:r>
        <w:rPr>
          <w:rStyle w:val="Fett"/>
        </w:rPr>
        <w:t>Die LXX</w:t>
      </w:r>
      <w:r>
        <w:t xml:space="preserve"> übersetzt </w:t>
      </w:r>
      <w:r w:rsidRPr="00C25194">
        <w:rPr>
          <w:b/>
          <w:bCs/>
          <w:rtl/>
        </w:rPr>
        <w:t>כִּי־יֵחַם</w:t>
      </w:r>
      <w:r>
        <w:rPr>
          <w:rtl/>
        </w:rPr>
        <w:t xml:space="preserve"> </w:t>
      </w:r>
      <w:r w:rsidRPr="00C25194">
        <w:rPr>
          <w:b/>
          <w:bCs/>
          <w:rtl/>
        </w:rPr>
        <w:t>לְבָבוֹ</w:t>
      </w:r>
      <w:r>
        <w:t xml:space="preserve"> (denn sein Herz wird erhitzt sein) mit </w:t>
      </w:r>
      <w:proofErr w:type="spellStart"/>
      <w:r>
        <w:t>ὅτι</w:t>
      </w:r>
      <w:proofErr w:type="spellEnd"/>
      <w:r>
        <w:t xml:space="preserve"> παρα</w:t>
      </w:r>
      <w:proofErr w:type="spellStart"/>
      <w:r>
        <w:t>τεθέρμ</w:t>
      </w:r>
      <w:proofErr w:type="spellEnd"/>
      <w:r>
        <w:t xml:space="preserve">ανται </w:t>
      </w:r>
      <w:proofErr w:type="spellStart"/>
      <w:r>
        <w:t>τῇ</w:t>
      </w:r>
      <w:proofErr w:type="spellEnd"/>
      <w:r>
        <w:t xml:space="preserve"> κα</w:t>
      </w:r>
      <w:proofErr w:type="spellStart"/>
      <w:r>
        <w:t>ρδίᾳ</w:t>
      </w:r>
      <w:proofErr w:type="spellEnd"/>
      <w:r>
        <w:t xml:space="preserve"> (denn sie sind erhitzt worden im Herzen) – ein Perfekt Passiv, das den Zustand der Erhitzung betont. Die Wendung α</w:t>
      </w:r>
      <w:proofErr w:type="spellStart"/>
      <w:r>
        <w:t>ἵμ</w:t>
      </w:r>
      <w:proofErr w:type="spellEnd"/>
      <w:r>
        <w:t xml:space="preserve">ατι </w:t>
      </w:r>
      <w:proofErr w:type="spellStart"/>
      <w:r>
        <w:t>ἔνοχος</w:t>
      </w:r>
      <w:proofErr w:type="spellEnd"/>
      <w:r>
        <w:t xml:space="preserve"> (schuldig des Blutes) am Ende von Vers 10 für </w:t>
      </w:r>
      <w:r w:rsidRPr="00C25194">
        <w:rPr>
          <w:b/>
          <w:bCs/>
          <w:rtl/>
        </w:rPr>
        <w:t>וְהָיָה</w:t>
      </w:r>
      <w:r>
        <w:rPr>
          <w:rtl/>
        </w:rPr>
        <w:t xml:space="preserve"> </w:t>
      </w:r>
      <w:r w:rsidRPr="00C25194">
        <w:rPr>
          <w:b/>
          <w:bCs/>
          <w:rtl/>
        </w:rPr>
        <w:t>עָלֶיךָ</w:t>
      </w:r>
      <w:r>
        <w:rPr>
          <w:rtl/>
        </w:rPr>
        <w:t xml:space="preserve"> </w:t>
      </w:r>
      <w:r w:rsidRPr="00C25194">
        <w:rPr>
          <w:b/>
          <w:bCs/>
          <w:rtl/>
        </w:rPr>
        <w:t>דָּמִים</w:t>
      </w:r>
      <w:r>
        <w:t xml:space="preserve"> ist eine präzise rechtliche Formulierung.</w:t>
      </w:r>
    </w:p>
    <w:p w14:paraId="4009EABE" w14:textId="77777777" w:rsidR="00DD2E9B" w:rsidRDefault="00DD2E9B" w:rsidP="00DD2E9B">
      <w:pPr>
        <w:pStyle w:val="whitespace-normal"/>
      </w:pPr>
      <w:r>
        <w:rPr>
          <w:rStyle w:val="Fett"/>
          <w:rFonts w:eastAsiaTheme="majorEastAsia"/>
        </w:rPr>
        <w:t>Die Satzstruktur:</w:t>
      </w:r>
      <w:r>
        <w:t xml:space="preserve"> Finalsatz mit zwei kausalen Nebensätzen, zwei koordinierte Verben und Begründungssatz (damit nicht verfolgt der Bluträcher den Totschläger, weil heiß ist sein Herz, und erreicht ihn, weil lang ist der Weg, und schlägt ihn auf die Seele, obwohl ihm [ist] kein Todesurteil, weil nicht hasst er ihn von gestern und vorgestern).</w:t>
      </w:r>
    </w:p>
    <w:p w14:paraId="577F60ED" w14:textId="77777777" w:rsidR="00DD2E9B" w:rsidRDefault="00DD2E9B" w:rsidP="00DD2E9B">
      <w:pPr>
        <w:pStyle w:val="whitespace-normal"/>
      </w:pPr>
      <w:r>
        <w:lastRenderedPageBreak/>
        <w:t>Der Vers begründet: Die Asylstädte verhindern, dass der Bluträcher in seinem Zorn den unvorsätzlichen Totschläger einholt und tötet – denn er verdient kein Todesurteil.</w:t>
      </w:r>
    </w:p>
    <w:p w14:paraId="4CB63F23"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19,7</w:t>
      </w:r>
    </w:p>
    <w:p w14:paraId="06A0EFCB" w14:textId="77777777" w:rsidR="00DD2E9B" w:rsidRDefault="00DD2E9B" w:rsidP="00DD2E9B">
      <w:pPr>
        <w:pStyle w:val="whitespace-normal"/>
      </w:pPr>
      <w:r>
        <w:rPr>
          <w:rStyle w:val="Fett"/>
          <w:rFonts w:eastAsiaTheme="majorEastAsia"/>
        </w:rPr>
        <w:t>Hebräisch:</w:t>
      </w:r>
      <w:r>
        <w:t xml:space="preserve"> </w:t>
      </w:r>
      <w:r>
        <w:rPr>
          <w:rtl/>
        </w:rPr>
        <w:t>עַל־כֵּ֛ן אָנֹכִ֥י מְצַוְּךָ֖ לֵאמֹ֑ר שָׁלֹ֥שׁ עָרִ֖ים תַּבְדִּ֥יל לָֽךְ׃</w:t>
      </w:r>
    </w:p>
    <w:p w14:paraId="671BFC8F" w14:textId="77777777" w:rsidR="00DD2E9B" w:rsidRDefault="00DD2E9B" w:rsidP="00DD2E9B">
      <w:pPr>
        <w:pStyle w:val="whitespace-normal"/>
      </w:pPr>
      <w:r>
        <w:rPr>
          <w:rStyle w:val="Fett"/>
          <w:rFonts w:eastAsiaTheme="majorEastAsia"/>
        </w:rPr>
        <w:t>Deutsch:</w:t>
      </w:r>
      <w:r>
        <w:t xml:space="preserve"> Darum gebiete ich dir, sagend: Drei Städte sollst du dir aussondern.</w:t>
      </w:r>
    </w:p>
    <w:p w14:paraId="37B4F488" w14:textId="77777777" w:rsidR="00DD2E9B" w:rsidRDefault="004F5CEB" w:rsidP="00DD2E9B">
      <w:r>
        <w:rPr>
          <w:noProof/>
        </w:rPr>
        <w:pict w14:anchorId="42590A63">
          <v:rect id="_x0000_i1538" style="width:0;height:1.5pt" o:hralign="center" o:hrstd="t" o:hr="t" fillcolor="#a0a0a0" stroked="f"/>
        </w:pict>
      </w:r>
    </w:p>
    <w:p w14:paraId="3415E58A" w14:textId="77777777" w:rsidR="00DD2E9B" w:rsidRDefault="00DD2E9B" w:rsidP="00DD2E9B">
      <w:pPr>
        <w:pStyle w:val="whitespace-normal"/>
      </w:pPr>
      <w:r>
        <w:rPr>
          <w:rStyle w:val="Fett"/>
          <w:rFonts w:eastAsiaTheme="majorEastAsia"/>
        </w:rPr>
        <w:t>Kommentar:</w:t>
      </w:r>
      <w:r>
        <w:t xml:space="preserve"> </w:t>
      </w:r>
      <w:r>
        <w:rPr>
          <w:rStyle w:val="Fett"/>
          <w:rFonts w:eastAsiaTheme="majorEastAsia"/>
          <w:rtl/>
        </w:rPr>
        <w:t>עַל־כֵּן אָנֹכִי מְצַוְּךָ לֵאמֹר שָׁלֹשׁ עָרִים תַּבְדִּיל לָךְ</w:t>
      </w:r>
      <w:r>
        <w:rPr>
          <w:rtl/>
        </w:rPr>
        <w:t xml:space="preserve"> </w:t>
      </w:r>
      <w:r>
        <w:t xml:space="preserve">ist eine Schlussfolgerung: </w:t>
      </w:r>
      <w:r>
        <w:rPr>
          <w:rStyle w:val="Fett"/>
          <w:rFonts w:eastAsiaTheme="majorEastAsia"/>
          <w:rtl/>
        </w:rPr>
        <w:t>עַל־כֵּן</w:t>
      </w:r>
      <w:r>
        <w:rPr>
          <w:rtl/>
        </w:rPr>
        <w:t xml:space="preserve"> </w:t>
      </w:r>
      <w:r>
        <w:t xml:space="preserve">(Präposition </w:t>
      </w:r>
      <w:r>
        <w:rPr>
          <w:rStyle w:val="Fett"/>
          <w:rFonts w:eastAsiaTheme="majorEastAsia"/>
          <w:rtl/>
        </w:rPr>
        <w:t>עַל</w:t>
      </w:r>
      <w:r>
        <w:rPr>
          <w:rtl/>
        </w:rPr>
        <w:t xml:space="preserve"> </w:t>
      </w:r>
      <w:r>
        <w:t xml:space="preserve">mit </w:t>
      </w:r>
      <w:r>
        <w:rPr>
          <w:rStyle w:val="Fett"/>
          <w:rFonts w:eastAsiaTheme="majorEastAsia"/>
          <w:rtl/>
        </w:rPr>
        <w:t>כֵּן</w:t>
      </w:r>
      <w:r>
        <w:t xml:space="preserve">, „darum, deshalb"), </w:t>
      </w:r>
      <w:r>
        <w:rPr>
          <w:rStyle w:val="Fett"/>
          <w:rFonts w:eastAsiaTheme="majorEastAsia"/>
          <w:rtl/>
        </w:rPr>
        <w:t>אָנֹכִי</w:t>
      </w:r>
      <w:r>
        <w:rPr>
          <w:rtl/>
        </w:rPr>
        <w:t xml:space="preserve"> </w:t>
      </w:r>
      <w:r>
        <w:t xml:space="preserve">(Personalpronomen 1. Person Singular, betont, „ich"), </w:t>
      </w:r>
      <w:r>
        <w:rPr>
          <w:rStyle w:val="Fett"/>
          <w:rFonts w:eastAsiaTheme="majorEastAsia"/>
          <w:rtl/>
        </w:rPr>
        <w:t>מְצַוְּךָ</w:t>
      </w:r>
      <w:r>
        <w:rPr>
          <w:rtl/>
        </w:rPr>
        <w:t xml:space="preserve"> </w:t>
      </w:r>
      <w:r>
        <w:t xml:space="preserve">(Piel Partizip von </w:t>
      </w:r>
      <w:r>
        <w:rPr>
          <w:rStyle w:val="Fett"/>
          <w:rFonts w:eastAsiaTheme="majorEastAsia"/>
          <w:rtl/>
        </w:rPr>
        <w:t>צוה</w:t>
      </w:r>
      <w:r>
        <w:t xml:space="preserve">, „befehlen, gebieten", mit Suffix 2. Person Maskulinum Singular, „gebiete ich dir"), </w:t>
      </w:r>
      <w:r>
        <w:rPr>
          <w:rStyle w:val="Fett"/>
          <w:rFonts w:eastAsiaTheme="majorEastAsia"/>
          <w:rtl/>
        </w:rPr>
        <w:t>לֵאמֹר</w:t>
      </w:r>
      <w:r>
        <w:rPr>
          <w:rtl/>
        </w:rPr>
        <w:t xml:space="preserve"> </w:t>
      </w:r>
      <w:r>
        <w:t xml:space="preserve">(Qal Infinitiv Construct von </w:t>
      </w:r>
      <w:r>
        <w:rPr>
          <w:rStyle w:val="Fett"/>
          <w:rFonts w:eastAsiaTheme="majorEastAsia"/>
          <w:rtl/>
        </w:rPr>
        <w:t>אמר</w:t>
      </w:r>
      <w:r>
        <w:t xml:space="preserve">, „sagen", „sagend"), </w:t>
      </w:r>
      <w:r>
        <w:rPr>
          <w:rStyle w:val="Fett"/>
          <w:rFonts w:eastAsiaTheme="majorEastAsia"/>
          <w:rtl/>
        </w:rPr>
        <w:t>שָׁלֹשׁ עָרִים תַּבְדִּיל לָךְ</w:t>
      </w:r>
      <w:r>
        <w:rPr>
          <w:rtl/>
        </w:rPr>
        <w:t xml:space="preserve"> </w:t>
      </w:r>
      <w:r>
        <w:t>(wiederholt V. 2).</w:t>
      </w:r>
    </w:p>
    <w:p w14:paraId="4713BAB2" w14:textId="17C95F34" w:rsidR="00DD2E9B" w:rsidRDefault="00DD2E9B" w:rsidP="00DD2E9B">
      <w:pPr>
        <w:pStyle w:val="whitespace-normal"/>
      </w:pPr>
      <w:r>
        <w:t xml:space="preserve">Der Vers ist die Zusammenfassung von V. 1-6: Aufgrund der geschilderten Notwendigkeit – Schutz vor unberechtiger Blutrache – befiehlt JHWH durch Mose die Einrichtung von drei Asylstädten. Die Formel </w:t>
      </w:r>
      <w:r>
        <w:rPr>
          <w:rStyle w:val="Fett"/>
          <w:rFonts w:eastAsiaTheme="majorEastAsia"/>
          <w:rtl/>
        </w:rPr>
        <w:t>עַל־כֵּן</w:t>
      </w:r>
      <w:r>
        <w:rPr>
          <w:rtl/>
        </w:rPr>
        <w:t xml:space="preserve"> </w:t>
      </w:r>
      <w:r>
        <w:t xml:space="preserve">(„darum") zieht die Konsequenz aus dem Vorhergehenden (vgl. Gen 2,24; 4,15; 10,9; 11,9; 16,14; 19,22; 21,31; 22,14; 25,30; 26,33; 29,34.35; 30,6.8.11.13.18.20.24; 31,48.49; 32,33; 33,17; 38,29.30; Ex 15,23; Num 11,3.34; 13,24; 20,13; 21,14.27; 27,14; Dtn 10,9; 15,15; 19,7; 24,18.22; Jos 5,9; 7,26; 14,14; 22,34; Ri 1,26; 10,4; 15,19; 18,12; </w:t>
      </w:r>
      <w:r w:rsidR="00664EB6">
        <w:t>1Sam</w:t>
      </w:r>
      <w:r>
        <w:t xml:space="preserve"> 23,28; 29,4; </w:t>
      </w:r>
      <w:r w:rsidR="00664EB6">
        <w:t>2Sam</w:t>
      </w:r>
      <w:r>
        <w:t xml:space="preserve"> 2,16; 5,8.20; 18,18; </w:t>
      </w:r>
      <w:r w:rsidR="00664EB6">
        <w:t>1Kön</w:t>
      </w:r>
      <w:r>
        <w:t xml:space="preserve"> 9,13; </w:t>
      </w:r>
      <w:r w:rsidR="00664EB6">
        <w:t>2Kön</w:t>
      </w:r>
      <w:r>
        <w:t xml:space="preserve"> 14,7; Jes 7,14; 30,7; Jer 23,6; 33,16; Hos 2,16; Joel 4,17; Mi 1,13).</w:t>
      </w:r>
    </w:p>
    <w:p w14:paraId="5AEE1727" w14:textId="77777777" w:rsidR="00DD2E9B" w:rsidRDefault="00DD2E9B" w:rsidP="00DD2E9B">
      <w:pPr>
        <w:pStyle w:val="whitespace-normal"/>
      </w:pPr>
      <w:r>
        <w:t>Die Wiederholung des Befehls aus V. 2 nach der Begründung in V. 3-6 ist rhetorisch wirksam – jetzt versteht man die Notwendigkeit.</w:t>
      </w:r>
    </w:p>
    <w:p w14:paraId="7AFB20DC" w14:textId="77777777" w:rsidR="00DD2E9B" w:rsidRDefault="00DD2E9B" w:rsidP="00DD2E9B">
      <w:pPr>
        <w:pStyle w:val="whitespace-normal"/>
      </w:pPr>
      <w:r>
        <w:rPr>
          <w:rStyle w:val="Fett"/>
          <w:rFonts w:eastAsiaTheme="majorEastAsia"/>
        </w:rPr>
        <w:t>Die Satzstruktur:</w:t>
      </w:r>
      <w:r>
        <w:t xml:space="preserve"> Schlussfolgerung mit direkter Rede (darum ich gebiete dir, sagend: Drei Städte aussondern sollst du dir).</w:t>
      </w:r>
    </w:p>
    <w:p w14:paraId="0F289521" w14:textId="77777777" w:rsidR="00DD2E9B" w:rsidRDefault="00DD2E9B" w:rsidP="00DD2E9B">
      <w:pPr>
        <w:pStyle w:val="whitespace-normal"/>
      </w:pPr>
      <w:r>
        <w:t>Der Vers schließt: Deshalb befehle ich dir: Sondere drei Asylstädte aus!</w:t>
      </w:r>
    </w:p>
    <w:p w14:paraId="7DC8F131"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19,8</w:t>
      </w:r>
    </w:p>
    <w:p w14:paraId="20D9DD5D" w14:textId="77777777" w:rsidR="00DD2E9B" w:rsidRDefault="00DD2E9B" w:rsidP="00DD2E9B">
      <w:pPr>
        <w:pStyle w:val="whitespace-normal"/>
      </w:pPr>
      <w:r>
        <w:rPr>
          <w:rStyle w:val="Fett"/>
          <w:rFonts w:eastAsiaTheme="majorEastAsia"/>
        </w:rPr>
        <w:t>Hebräisch:</w:t>
      </w:r>
      <w:r>
        <w:t xml:space="preserve"> </w:t>
      </w:r>
      <w:r>
        <w:rPr>
          <w:rtl/>
        </w:rPr>
        <w:t>וְאִם־יַרְחִ֞יב יְהוָ֤ה אֱלֹהֶ֨יךָ֙ אֶת־גְּבֻ֣לְךָ֔ כַּאֲשֶׁ֥ר נִשְׁבַּ֖ע לַאֲבֹתֶ֑יךָ וְנָ֤תַן לְךָ֙ אֶת־כָּל־הָאָ֔רֶץ אֲשֶׁ֥ר דִּבֶּ֖ר לָתֵ֥ת לַאֲבֹתֶֽיךָ׃</w:t>
      </w:r>
    </w:p>
    <w:p w14:paraId="610DF64D" w14:textId="77777777" w:rsidR="00DD2E9B" w:rsidRDefault="00DD2E9B" w:rsidP="00DD2E9B">
      <w:pPr>
        <w:pStyle w:val="whitespace-normal"/>
      </w:pPr>
      <w:r>
        <w:rPr>
          <w:rStyle w:val="Fett"/>
          <w:rFonts w:eastAsiaTheme="majorEastAsia"/>
        </w:rPr>
        <w:t>Deutsch:</w:t>
      </w:r>
      <w:r>
        <w:t xml:space="preserve"> Und wenn der Ewige, dein Gott, deine Grenzen erweitern wird, wie er deinen Vätern geschworen hat, und dir das ganze Land gibt, das er deinen Vätern zu geben versprochen hat –</w:t>
      </w:r>
    </w:p>
    <w:p w14:paraId="6FAEC6AE" w14:textId="77777777" w:rsidR="00DD2E9B" w:rsidRDefault="004F5CEB" w:rsidP="00DD2E9B">
      <w:r>
        <w:rPr>
          <w:noProof/>
        </w:rPr>
        <w:pict w14:anchorId="6602FCE4">
          <v:rect id="_x0000_i1539" style="width:0;height:1.5pt" o:hralign="center" o:hrstd="t" o:hr="t" fillcolor="#a0a0a0" stroked="f"/>
        </w:pict>
      </w:r>
    </w:p>
    <w:p w14:paraId="1F08F1D5" w14:textId="77777777" w:rsidR="00DD2E9B" w:rsidRDefault="00DD2E9B" w:rsidP="00DD2E9B">
      <w:pPr>
        <w:pStyle w:val="whitespace-normal"/>
      </w:pPr>
      <w:r>
        <w:rPr>
          <w:rStyle w:val="Fett"/>
          <w:rFonts w:eastAsiaTheme="majorEastAsia"/>
        </w:rPr>
        <w:lastRenderedPageBreak/>
        <w:t>Kommentar:</w:t>
      </w:r>
      <w:r>
        <w:t xml:space="preserve"> </w:t>
      </w:r>
      <w:r>
        <w:rPr>
          <w:rStyle w:val="Fett"/>
          <w:rFonts w:eastAsiaTheme="majorEastAsia"/>
          <w:rtl/>
        </w:rPr>
        <w:t>וְאִם־יַרְחִיב יְהוָה אֱלֹהֶיךָ אֶת־גְּבֻלְךָ כַּאֲשֶׁר נִשְׁבַּע לַאֲבֹתֶיךָ</w:t>
      </w:r>
      <w:r>
        <w:rPr>
          <w:rtl/>
        </w:rPr>
        <w:t xml:space="preserve"> </w:t>
      </w:r>
      <w:r>
        <w:t xml:space="preserve">ist ein konditionaler Satz: </w:t>
      </w:r>
      <w:r>
        <w:rPr>
          <w:rStyle w:val="Fett"/>
          <w:rFonts w:eastAsiaTheme="majorEastAsia"/>
          <w:rtl/>
        </w:rPr>
        <w:t>וְאִם־יַרְחִיב</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אִם</w:t>
      </w:r>
      <w:r>
        <w:t xml:space="preserve">, „wenn", </w:t>
      </w:r>
      <w:r>
        <w:rPr>
          <w:rStyle w:val="Fett"/>
          <w:rFonts w:eastAsiaTheme="majorEastAsia"/>
          <w:rtl/>
        </w:rPr>
        <w:t>רחב</w:t>
      </w:r>
      <w:r>
        <w:t xml:space="preserve">, Hiphil Imperfekt, 3. Person Maskulinum Singular, „weit machen, erweitern"), </w:t>
      </w:r>
      <w:r>
        <w:rPr>
          <w:rStyle w:val="Fett"/>
          <w:rFonts w:eastAsiaTheme="majorEastAsia"/>
          <w:rtl/>
        </w:rPr>
        <w:t>יְהוָה אֱלֹהֶיךָ</w:t>
      </w:r>
      <w:r>
        <w:rPr>
          <w:rtl/>
        </w:rPr>
        <w:t xml:space="preserve"> </w:t>
      </w:r>
      <w:r>
        <w:t xml:space="preserve">als Subjekt, </w:t>
      </w:r>
      <w:r>
        <w:rPr>
          <w:rStyle w:val="Fett"/>
          <w:rFonts w:eastAsiaTheme="majorEastAsia"/>
          <w:rtl/>
        </w:rPr>
        <w:t>אֶת־גְּבֻלְךָ</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גְּבוּל</w:t>
      </w:r>
      <w:r>
        <w:t xml:space="preserve">, „Grenze, Gebiet", mit Suffix 2. Person Maskulinum Singular, „deine Grenze"), </w:t>
      </w:r>
      <w:r>
        <w:rPr>
          <w:rStyle w:val="Fett"/>
          <w:rFonts w:eastAsiaTheme="majorEastAsia"/>
          <w:rtl/>
        </w:rPr>
        <w:t>כַּאֲשֶׁר נִשְׁבַּע לַאֲבֹתֶיךָ</w:t>
      </w:r>
      <w:r>
        <w:rPr>
          <w:rtl/>
        </w:rPr>
        <w:t xml:space="preserve"> </w:t>
      </w:r>
      <w:r>
        <w:t xml:space="preserve">(Vergleichssatz: </w:t>
      </w:r>
      <w:r>
        <w:rPr>
          <w:rStyle w:val="Fett"/>
          <w:rFonts w:eastAsiaTheme="majorEastAsia"/>
          <w:rtl/>
        </w:rPr>
        <w:t>כַּאֲשֶׁר</w:t>
      </w:r>
      <w:r>
        <w:rPr>
          <w:rtl/>
        </w:rPr>
        <w:t xml:space="preserve"> </w:t>
      </w:r>
      <w:r>
        <w:t xml:space="preserve">mit </w:t>
      </w:r>
      <w:r>
        <w:rPr>
          <w:rStyle w:val="Fett"/>
          <w:rFonts w:eastAsiaTheme="majorEastAsia"/>
          <w:rtl/>
        </w:rPr>
        <w:t>שׁבע</w:t>
      </w:r>
      <w:r>
        <w:t xml:space="preserve">, Niphal Perfekt, 3. Person Maskulinum Singular, „schwören", </w:t>
      </w:r>
      <w:r>
        <w:rPr>
          <w:rStyle w:val="Fett"/>
          <w:rFonts w:eastAsiaTheme="majorEastAsia"/>
          <w:rtl/>
        </w:rPr>
        <w:t>לַאֲבֹתֶיךָ</w:t>
      </w:r>
      <w:r>
        <w:t xml:space="preserve">, Präposition </w:t>
      </w:r>
      <w:r>
        <w:rPr>
          <w:rStyle w:val="Fett"/>
          <w:rFonts w:eastAsiaTheme="majorEastAsia"/>
          <w:rtl/>
        </w:rPr>
        <w:t>לְ</w:t>
      </w:r>
      <w:r>
        <w:rPr>
          <w:rtl/>
        </w:rPr>
        <w:t xml:space="preserve"> </w:t>
      </w:r>
      <w:r>
        <w:t xml:space="preserve">mit </w:t>
      </w:r>
      <w:r>
        <w:rPr>
          <w:rStyle w:val="Fett"/>
          <w:rFonts w:eastAsiaTheme="majorEastAsia"/>
          <w:rtl/>
        </w:rPr>
        <w:t>אָב</w:t>
      </w:r>
      <w:r>
        <w:t>, „Vater", Plural mit Suffix 2. Person Maskulinum Singular, „wie er geschworen hat deinen Vätern").</w:t>
      </w:r>
    </w:p>
    <w:p w14:paraId="35322C28" w14:textId="77777777" w:rsidR="00DD2E9B" w:rsidRDefault="00DD2E9B" w:rsidP="00DD2E9B">
      <w:pPr>
        <w:pStyle w:val="whitespace-normal"/>
      </w:pPr>
      <w:r>
        <w:rPr>
          <w:rStyle w:val="Fett"/>
          <w:rFonts w:eastAsiaTheme="majorEastAsia"/>
          <w:rtl/>
        </w:rPr>
        <w:t>וְנָתַן לְךָ אֶת־כָּל־הָאָרֶץ אֲשֶׁר דִּבֶּר לָתֵת לַאֲבֹתֶיךָ</w:t>
      </w:r>
      <w:r>
        <w:rPr>
          <w:rtl/>
        </w:rPr>
        <w:t xml:space="preserve"> </w:t>
      </w:r>
      <w:r>
        <w:t xml:space="preserve">ist die zweite Bedingung: </w:t>
      </w:r>
      <w:r>
        <w:rPr>
          <w:rStyle w:val="Fett"/>
          <w:rFonts w:eastAsiaTheme="majorEastAsia"/>
          <w:rtl/>
        </w:rPr>
        <w:t>וְנָתַן לְךָ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נתן</w:t>
      </w:r>
      <w:r>
        <w:t xml:space="preserve">, Qal Perfekt, 3. Person Maskulinum Singular, „geben", mit </w:t>
      </w:r>
      <w:r>
        <w:rPr>
          <w:rStyle w:val="Fett"/>
          <w:rFonts w:eastAsiaTheme="majorEastAsia"/>
          <w:rtl/>
        </w:rPr>
        <w:t>לְךָ</w:t>
      </w:r>
      <w:r>
        <w:t xml:space="preserve">, mit </w:t>
      </w:r>
      <w:r>
        <w:rPr>
          <w:rStyle w:val="Fett"/>
          <w:rFonts w:eastAsiaTheme="majorEastAsia"/>
        </w:rPr>
        <w:t>Waw</w:t>
      </w:r>
      <w:r>
        <w:t xml:space="preserve"> consecutives Perfekt), </w:t>
      </w:r>
      <w:r>
        <w:rPr>
          <w:rStyle w:val="Fett"/>
          <w:rFonts w:eastAsiaTheme="majorEastAsia"/>
          <w:rtl/>
        </w:rPr>
        <w:t>אֶת־כָּל־הָאָרֶץ</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כֹּל</w:t>
      </w:r>
      <w:r>
        <w:t xml:space="preserve">, Construct mit </w:t>
      </w:r>
      <w:r>
        <w:rPr>
          <w:rStyle w:val="Fett"/>
          <w:rFonts w:eastAsiaTheme="majorEastAsia"/>
          <w:rtl/>
        </w:rPr>
        <w:t>אֶרֶץ</w:t>
      </w:r>
      <w:r>
        <w:t xml:space="preserve">, „Land", mit Artikel, „das ganze Land"), </w:t>
      </w:r>
      <w:r>
        <w:rPr>
          <w:rStyle w:val="Fett"/>
          <w:rFonts w:eastAsiaTheme="majorEastAsia"/>
          <w:rtl/>
        </w:rPr>
        <w:t>אֲשֶׁר דִּבֶּר לָתֵת לַאֲבֹתֶיךָ</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דבר</w:t>
      </w:r>
      <w:r>
        <w:t xml:space="preserve">, Piel Perfekt, 3. Person Maskulinum Singular, „reden, versprechen", </w:t>
      </w:r>
      <w:r>
        <w:rPr>
          <w:rStyle w:val="Fett"/>
          <w:rFonts w:eastAsiaTheme="majorEastAsia"/>
          <w:rtl/>
        </w:rPr>
        <w:t>לָתֵת</w:t>
      </w:r>
      <w:r>
        <w:t xml:space="preserve">, Präposition </w:t>
      </w:r>
      <w:r>
        <w:rPr>
          <w:rStyle w:val="Fett"/>
          <w:rFonts w:eastAsiaTheme="majorEastAsia"/>
          <w:rtl/>
        </w:rPr>
        <w:t>לְ</w:t>
      </w:r>
      <w:r>
        <w:rPr>
          <w:rtl/>
        </w:rPr>
        <w:t xml:space="preserve"> </w:t>
      </w:r>
      <w:r>
        <w:t xml:space="preserve">mit Qal Infinitiv Construct von </w:t>
      </w:r>
      <w:r>
        <w:rPr>
          <w:rStyle w:val="Fett"/>
          <w:rFonts w:eastAsiaTheme="majorEastAsia"/>
          <w:rtl/>
        </w:rPr>
        <w:t>נתן</w:t>
      </w:r>
      <w:r>
        <w:t xml:space="preserve">, „geben", </w:t>
      </w:r>
      <w:r>
        <w:rPr>
          <w:rStyle w:val="Fett"/>
          <w:rFonts w:eastAsiaTheme="majorEastAsia"/>
          <w:rtl/>
        </w:rPr>
        <w:t>לַאֲבֹתֶיךָ</w:t>
      </w:r>
      <w:r>
        <w:t>, „das er versprochen hat zu geben deinen Vätern").</w:t>
      </w:r>
    </w:p>
    <w:p w14:paraId="60D4C1B6" w14:textId="77777777" w:rsidR="00DD2E9B" w:rsidRDefault="00DD2E9B" w:rsidP="00DD2E9B">
      <w:pPr>
        <w:pStyle w:val="whitespace-normal"/>
      </w:pPr>
      <w:r>
        <w:t xml:space="preserve">Der Vers leitet eine bedingte Erweiterung der Asylstadtregelung ein: Falls JHWH das Gebiet Israels über die ursprünglichen Grenzen hinaus erweitert. Die Formulierung </w:t>
      </w:r>
      <w:r>
        <w:rPr>
          <w:rStyle w:val="Fett"/>
          <w:rFonts w:eastAsiaTheme="majorEastAsia"/>
          <w:rtl/>
        </w:rPr>
        <w:t>יַרְחִיב... אֶת־גְּבֻלְךָ</w:t>
      </w:r>
      <w:r>
        <w:rPr>
          <w:rtl/>
        </w:rPr>
        <w:t xml:space="preserve"> </w:t>
      </w:r>
      <w:r>
        <w:t xml:space="preserve">(„erweitern wird deine Grenze") bezieht sich auf die vollständige Verwirklichung der Landverheißung (vgl. Gen 15,18-21; Ex 23,31; Dtn 1,7; 11,24; 12,20). Die doppelte Begründung </w:t>
      </w:r>
      <w:r>
        <w:rPr>
          <w:rStyle w:val="Fett"/>
          <w:rFonts w:eastAsiaTheme="majorEastAsia"/>
          <w:rtl/>
        </w:rPr>
        <w:t>כַּאֲשֶׁר נִשְׁבַּע לַאֲבֹתֶיךָ</w:t>
      </w:r>
      <w:r>
        <w:rPr>
          <w:rtl/>
        </w:rPr>
        <w:t xml:space="preserve"> </w:t>
      </w:r>
      <w:r>
        <w:t xml:space="preserve">(„wie er geschworen hat deinen Vätern") und </w:t>
      </w:r>
      <w:r>
        <w:rPr>
          <w:rStyle w:val="Fett"/>
          <w:rFonts w:eastAsiaTheme="majorEastAsia"/>
          <w:rtl/>
        </w:rPr>
        <w:t>אֲשֶׁר דִּבֶּר לָתֵת לַאֲבֹתֶיךָ</w:t>
      </w:r>
      <w:r>
        <w:rPr>
          <w:rtl/>
        </w:rPr>
        <w:t xml:space="preserve"> </w:t>
      </w:r>
      <w:r>
        <w:t>(„das er versprochen hat zu geben deinen Vätern") betont die göttliche Treue zu den Patriarchenverheißungen.</w:t>
      </w:r>
    </w:p>
    <w:p w14:paraId="5D185262" w14:textId="354B8726" w:rsidR="00DD2E9B" w:rsidRDefault="00DD2E9B" w:rsidP="00DD2E9B">
      <w:pPr>
        <w:pStyle w:val="whitespace-normal"/>
      </w:pPr>
      <w:r>
        <w:t>Das „ganze Land" (</w:t>
      </w:r>
      <w:r>
        <w:rPr>
          <w:rStyle w:val="Fett"/>
          <w:rFonts w:eastAsiaTheme="majorEastAsia"/>
          <w:rtl/>
        </w:rPr>
        <w:t>כָּל־הָאָרֶץ</w:t>
      </w:r>
      <w:r>
        <w:t>) bezieht sich auf die idealen Grenzen „vom Strom Ägyptens bis zum großen Strom, dem Euphrat" (Gen 15,18; vgl. Dtn 1,7; 11,24; Jos 1,4). Diese vollständige Ausdehnung wurde historisch nie erreicht – am nächsten kam David (</w:t>
      </w:r>
      <w:r w:rsidR="00664EB6">
        <w:t>2Sam</w:t>
      </w:r>
      <w:r>
        <w:t xml:space="preserve"> 8,3-14; </w:t>
      </w:r>
      <w:r w:rsidR="00664EB6">
        <w:t>1Kön</w:t>
      </w:r>
      <w:r>
        <w:t xml:space="preserve"> 5,1.4).</w:t>
      </w:r>
    </w:p>
    <w:p w14:paraId="091D6FB1" w14:textId="77777777" w:rsidR="00DD2E9B" w:rsidRDefault="00DD2E9B" w:rsidP="00DD2E9B">
      <w:pPr>
        <w:pStyle w:val="whitespace-normal"/>
      </w:pPr>
      <w:r>
        <w:rPr>
          <w:rStyle w:val="Fett"/>
          <w:rFonts w:eastAsiaTheme="majorEastAsia"/>
        </w:rPr>
        <w:t>Die Satzstruktur:</w:t>
      </w:r>
      <w:r>
        <w:t xml:space="preserve"> Konditionaler Satz mit zweiter Bedingung (und wenn erweitern wird JHWH, dein Gott, deine Grenze, wie geschworen hat er deinen Vätern, und geben wird er dir das ganze Land, das versprochen hat er zu geben deinen Vätern).</w:t>
      </w:r>
    </w:p>
    <w:p w14:paraId="495296F7" w14:textId="77777777" w:rsidR="00DD2E9B" w:rsidRDefault="00DD2E9B" w:rsidP="00DD2E9B">
      <w:pPr>
        <w:pStyle w:val="whitespace-normal"/>
      </w:pPr>
      <w:r>
        <w:t>Der Vers setzt eine Bedingung: Wenn JHWH das Gebiet Israels erweitert, wie er den Vätern verheißen hat – dann folgt V. 9 mit der Konsequenz.</w:t>
      </w:r>
    </w:p>
    <w:p w14:paraId="00766E61"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19,9</w:t>
      </w:r>
    </w:p>
    <w:p w14:paraId="5A754140" w14:textId="77777777" w:rsidR="00DD2E9B" w:rsidRDefault="00DD2E9B" w:rsidP="00DD2E9B">
      <w:pPr>
        <w:pStyle w:val="whitespace-normal"/>
      </w:pPr>
      <w:r>
        <w:rPr>
          <w:rStyle w:val="Fett"/>
          <w:rFonts w:eastAsiaTheme="majorEastAsia"/>
        </w:rPr>
        <w:t>Hebräisch:</w:t>
      </w:r>
      <w:r>
        <w:t xml:space="preserve"> </w:t>
      </w:r>
      <w:r>
        <w:rPr>
          <w:rtl/>
        </w:rPr>
        <w:t>כִּֽי־תִשְׁמֹר֩ אֶת־כָּל־הַמִּצְוָ֨ה הַזֹּ֜את לַעֲשֹׂתָ֗הּ אֲשֶׁ֨ר אָנֹכִ֣י מְצַוְּךָ֮ הַיּוֹם֒ לְאַהֲבָ֞ה אֶת־יְהוָ֧ה אֱלֹהֶ֛יךָ וְלָלֶ֥כֶת בִּדְרָכָ֖יו כָּל־הַיָּמִ֑ים וְיָסַפְתָּ֙ לְךָ֥ עוֹד֙ שָׁלֹ֣שׁ עָרִ֔ים עַ֖ל הַשָּׁלֹ֥שׁ הָאֵֽלֶּה׃</w:t>
      </w:r>
    </w:p>
    <w:p w14:paraId="5F550F10" w14:textId="77777777" w:rsidR="00DD2E9B" w:rsidRDefault="00DD2E9B" w:rsidP="00DD2E9B">
      <w:pPr>
        <w:pStyle w:val="whitespace-normal"/>
      </w:pPr>
      <w:r>
        <w:rPr>
          <w:rStyle w:val="Fett"/>
          <w:rFonts w:eastAsiaTheme="majorEastAsia"/>
        </w:rPr>
        <w:t>Deutsch:</w:t>
      </w:r>
      <w:r>
        <w:t xml:space="preserve"> wenn du darauf achtest, dieses ganze Gebot zu tun, das ich dir heute gebiete, indem du den Ewigen, deinen Gott, liebst und auf seinen Wegen gehst alle Tage –, so sollst du dir noch drei Städte zu diesen dreien hinzufügen;</w:t>
      </w:r>
    </w:p>
    <w:p w14:paraId="5D2FC3CF" w14:textId="77777777" w:rsidR="00DD2E9B" w:rsidRDefault="004F5CEB" w:rsidP="00DD2E9B">
      <w:r>
        <w:rPr>
          <w:noProof/>
        </w:rPr>
        <w:pict w14:anchorId="1BAC9C6F">
          <v:rect id="_x0000_i1540" style="width:0;height:1.5pt" o:hralign="center" o:hrstd="t" o:hr="t" fillcolor="#a0a0a0" stroked="f"/>
        </w:pict>
      </w:r>
    </w:p>
    <w:p w14:paraId="0C77C4BA" w14:textId="77777777" w:rsidR="00DD2E9B" w:rsidRDefault="00DD2E9B" w:rsidP="00DD2E9B">
      <w:pPr>
        <w:pStyle w:val="whitespace-normal"/>
      </w:pPr>
      <w:r>
        <w:rPr>
          <w:rStyle w:val="Fett"/>
          <w:rFonts w:eastAsiaTheme="majorEastAsia"/>
        </w:rPr>
        <w:lastRenderedPageBreak/>
        <w:t>Kommentar:</w:t>
      </w:r>
      <w:r>
        <w:t xml:space="preserve"> </w:t>
      </w:r>
      <w:r>
        <w:rPr>
          <w:rStyle w:val="Fett"/>
          <w:rFonts w:eastAsiaTheme="majorEastAsia"/>
          <w:rtl/>
        </w:rPr>
        <w:t>כִּי־תִשְׁמֹר אֶת־כָּל־הַמִּצְוָה הַזֹּאת לַעֲשֹׂתָהּ אֲשֶׁר אָנֹכִי מְצַוְּךָ הַיּוֹם</w:t>
      </w:r>
      <w:r>
        <w:rPr>
          <w:rtl/>
        </w:rPr>
        <w:t xml:space="preserve"> </w:t>
      </w:r>
      <w:r>
        <w:t xml:space="preserve">ist eine weitere Bedingung: </w:t>
      </w:r>
      <w:r>
        <w:rPr>
          <w:rStyle w:val="Fett"/>
          <w:rFonts w:eastAsiaTheme="majorEastAsia"/>
          <w:rtl/>
        </w:rPr>
        <w:t>כִּי־תִשְׁמֹר</w:t>
      </w:r>
      <w:r>
        <w:rPr>
          <w:rtl/>
        </w:rPr>
        <w:t xml:space="preserve"> </w:t>
      </w:r>
      <w:r>
        <w:t>(</w:t>
      </w:r>
      <w:r>
        <w:rPr>
          <w:rStyle w:val="Fett"/>
          <w:rFonts w:eastAsiaTheme="majorEastAsia"/>
          <w:rtl/>
        </w:rPr>
        <w:t>כִּי</w:t>
      </w:r>
      <w:r>
        <w:t xml:space="preserve">, „wenn", mit </w:t>
      </w:r>
      <w:r>
        <w:rPr>
          <w:rStyle w:val="Fett"/>
          <w:rFonts w:eastAsiaTheme="majorEastAsia"/>
          <w:rtl/>
        </w:rPr>
        <w:t>שׁמר</w:t>
      </w:r>
      <w:r>
        <w:t xml:space="preserve">, Qal Imperfekt, 2. Person Maskulinum Singular, „bewahren, beachten"), </w:t>
      </w:r>
      <w:r>
        <w:rPr>
          <w:rStyle w:val="Fett"/>
          <w:rFonts w:eastAsiaTheme="majorEastAsia"/>
          <w:rtl/>
        </w:rPr>
        <w:t>אֶת־כָּל־הַמִּצְוָה הַזֹּאת</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כֹּל</w:t>
      </w:r>
      <w:r>
        <w:t xml:space="preserve">, Construct mit </w:t>
      </w:r>
      <w:r>
        <w:rPr>
          <w:rStyle w:val="Fett"/>
          <w:rFonts w:eastAsiaTheme="majorEastAsia"/>
          <w:rtl/>
        </w:rPr>
        <w:t>מִצְוָה</w:t>
      </w:r>
      <w:r>
        <w:t xml:space="preserve">, „Gebot", mit Artikel und Demonstrativpronomen </w:t>
      </w:r>
      <w:r>
        <w:rPr>
          <w:rStyle w:val="Fett"/>
          <w:rFonts w:eastAsiaTheme="majorEastAsia"/>
          <w:rtl/>
        </w:rPr>
        <w:t>זֹאת</w:t>
      </w:r>
      <w:r>
        <w:t xml:space="preserve">, „dieses ganze Gebot"), </w:t>
      </w:r>
      <w:r>
        <w:rPr>
          <w:rStyle w:val="Fett"/>
          <w:rFonts w:eastAsiaTheme="majorEastAsia"/>
          <w:rtl/>
        </w:rPr>
        <w:t>לַעֲשֹׂתָהּ</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עשׂה</w:t>
      </w:r>
      <w:r>
        <w:t xml:space="preserve">, „tun", mit Suffix 3. Person Femininum Singular, „um es zu tun"), </w:t>
      </w:r>
      <w:r>
        <w:rPr>
          <w:rStyle w:val="Fett"/>
          <w:rFonts w:eastAsiaTheme="majorEastAsia"/>
          <w:rtl/>
        </w:rPr>
        <w:t>אֲשֶׁר אָנֹכִי מְצַוְּךָ הַיּוֹם</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אָנֹכִי</w:t>
      </w:r>
      <w:r>
        <w:t xml:space="preserve">, betont, </w:t>
      </w:r>
      <w:r>
        <w:rPr>
          <w:rStyle w:val="Fett"/>
          <w:rFonts w:eastAsiaTheme="majorEastAsia"/>
          <w:rtl/>
        </w:rPr>
        <w:t>צוה</w:t>
      </w:r>
      <w:r>
        <w:t xml:space="preserve">, Piel Partizip mit Suffix 2. Person Maskulinum Singular, </w:t>
      </w:r>
      <w:r>
        <w:rPr>
          <w:rStyle w:val="Fett"/>
          <w:rFonts w:eastAsiaTheme="majorEastAsia"/>
          <w:rtl/>
        </w:rPr>
        <w:t>הַיּוֹם</w:t>
      </w:r>
      <w:r>
        <w:t>, „der Tag", mit Artikel, als Adverb „heute").</w:t>
      </w:r>
    </w:p>
    <w:p w14:paraId="69C2D5F4" w14:textId="77777777" w:rsidR="00DD2E9B" w:rsidRDefault="00DD2E9B" w:rsidP="00DD2E9B">
      <w:pPr>
        <w:pStyle w:val="whitespace-normal"/>
      </w:pPr>
      <w:r>
        <w:rPr>
          <w:rStyle w:val="Fett"/>
          <w:rFonts w:eastAsiaTheme="majorEastAsia"/>
          <w:rtl/>
        </w:rPr>
        <w:t>לְאַהֲבָה אֶת־יְהוָה אֱלֹהֶיךָ וְלָלֶכֶת בִּדְרָכָיו כָּל־הַיָּמִים</w:t>
      </w:r>
      <w:r>
        <w:rPr>
          <w:rtl/>
        </w:rPr>
        <w:t xml:space="preserve"> </w:t>
      </w:r>
      <w:r>
        <w:t xml:space="preserve">ist die Spezifikation: </w:t>
      </w:r>
      <w:r>
        <w:rPr>
          <w:rStyle w:val="Fett"/>
          <w:rFonts w:eastAsiaTheme="majorEastAsia"/>
          <w:rtl/>
        </w:rPr>
        <w:t>לְאַהֲבָה אֶת־יְהוָה אֱלֹהֶיךָ</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אהב</w:t>
      </w:r>
      <w:r>
        <w:t xml:space="preserve">, „lieben", Objektpartikel </w:t>
      </w:r>
      <w:r>
        <w:rPr>
          <w:rStyle w:val="Fett"/>
          <w:rFonts w:eastAsiaTheme="majorEastAsia"/>
          <w:rtl/>
        </w:rPr>
        <w:t>אֵת</w:t>
      </w:r>
      <w:r>
        <w:rPr>
          <w:rtl/>
        </w:rPr>
        <w:t xml:space="preserve"> </w:t>
      </w:r>
      <w:r>
        <w:t xml:space="preserve">mit </w:t>
      </w:r>
      <w:r>
        <w:rPr>
          <w:rStyle w:val="Fett"/>
          <w:rFonts w:eastAsiaTheme="majorEastAsia"/>
          <w:rtl/>
        </w:rPr>
        <w:t>יְהוָה אֱלֹהֶיךָ</w:t>
      </w:r>
      <w:r>
        <w:t xml:space="preserve">, „um zu lieben JHWH, deinen Gott"), </w:t>
      </w:r>
      <w:r>
        <w:rPr>
          <w:rStyle w:val="Fett"/>
          <w:rFonts w:eastAsiaTheme="majorEastAsia"/>
          <w:rtl/>
        </w:rPr>
        <w:t>וְלָלֶכֶת בִּדְרָכָיו</w:t>
      </w:r>
      <w:r>
        <w:rPr>
          <w:rtl/>
        </w:rPr>
        <w:t xml:space="preserve"> </w:t>
      </w:r>
      <w:r>
        <w:t xml:space="preserve">(koordiniert durch </w:t>
      </w:r>
      <w:r>
        <w:rPr>
          <w:rStyle w:val="Fett"/>
          <w:rFonts w:eastAsiaTheme="majorEastAsia"/>
          <w:rtl/>
        </w:rPr>
        <w:t>וְ</w:t>
      </w:r>
      <w:r>
        <w:rPr>
          <w:rtl/>
        </w:rPr>
        <w:t xml:space="preserve"> </w:t>
      </w:r>
      <w:r>
        <w:t xml:space="preserve">mit Präposition </w:t>
      </w:r>
      <w:r>
        <w:rPr>
          <w:rStyle w:val="Fett"/>
          <w:rFonts w:eastAsiaTheme="majorEastAsia"/>
          <w:rtl/>
        </w:rPr>
        <w:t>לְ</w:t>
      </w:r>
      <w:r>
        <w:rPr>
          <w:rtl/>
        </w:rPr>
        <w:t xml:space="preserve"> </w:t>
      </w:r>
      <w:r>
        <w:t xml:space="preserve">und Qal Infinitiv Construct von </w:t>
      </w:r>
      <w:r>
        <w:rPr>
          <w:rStyle w:val="Fett"/>
          <w:rFonts w:eastAsiaTheme="majorEastAsia"/>
          <w:rtl/>
        </w:rPr>
        <w:t>הלך</w:t>
      </w:r>
      <w:r>
        <w:t xml:space="preserve">, „gehen", </w:t>
      </w:r>
      <w:r>
        <w:rPr>
          <w:rStyle w:val="Fett"/>
          <w:rFonts w:eastAsiaTheme="majorEastAsia"/>
          <w:rtl/>
        </w:rPr>
        <w:t>בִּדְרָכָיו</w:t>
      </w:r>
      <w:r>
        <w:t xml:space="preserve">, Präposition </w:t>
      </w:r>
      <w:r>
        <w:rPr>
          <w:rStyle w:val="Fett"/>
          <w:rFonts w:eastAsiaTheme="majorEastAsia"/>
          <w:rtl/>
        </w:rPr>
        <w:t>בְּ</w:t>
      </w:r>
      <w:r>
        <w:rPr>
          <w:rtl/>
        </w:rPr>
        <w:t xml:space="preserve"> </w:t>
      </w:r>
      <w:r>
        <w:t xml:space="preserve">mit </w:t>
      </w:r>
      <w:r>
        <w:rPr>
          <w:rStyle w:val="Fett"/>
          <w:rFonts w:eastAsiaTheme="majorEastAsia"/>
          <w:rtl/>
        </w:rPr>
        <w:t>דֶּרֶךְ</w:t>
      </w:r>
      <w:r>
        <w:t xml:space="preserve">, „Weg", Plural mit Suffix 3. Person Maskulinum Singular, „und um zu gehen auf seinen Wegen"), </w:t>
      </w:r>
      <w:r>
        <w:rPr>
          <w:rStyle w:val="Fett"/>
          <w:rFonts w:eastAsiaTheme="majorEastAsia"/>
          <w:rtl/>
        </w:rPr>
        <w:t>כָּל־הַיָּמִים</w:t>
      </w:r>
      <w:r>
        <w:rPr>
          <w:rtl/>
        </w:rPr>
        <w:t xml:space="preserve"> </w:t>
      </w:r>
      <w:r>
        <w:t>(</w:t>
      </w:r>
      <w:r>
        <w:rPr>
          <w:rStyle w:val="Fett"/>
          <w:rFonts w:eastAsiaTheme="majorEastAsia"/>
          <w:rtl/>
        </w:rPr>
        <w:t>כֹּל</w:t>
      </w:r>
      <w:r>
        <w:t xml:space="preserve">, Construct mit </w:t>
      </w:r>
      <w:r>
        <w:rPr>
          <w:rStyle w:val="Fett"/>
          <w:rFonts w:eastAsiaTheme="majorEastAsia"/>
          <w:rtl/>
        </w:rPr>
        <w:t>יוֹם</w:t>
      </w:r>
      <w:r>
        <w:t>, Plural mit Artikel, „alle Tage").</w:t>
      </w:r>
    </w:p>
    <w:p w14:paraId="7296EF4B" w14:textId="77777777" w:rsidR="00DD2E9B" w:rsidRDefault="00DD2E9B" w:rsidP="00DD2E9B">
      <w:pPr>
        <w:pStyle w:val="whitespace-normal"/>
      </w:pPr>
      <w:r>
        <w:rPr>
          <w:rStyle w:val="Fett"/>
          <w:rFonts w:eastAsiaTheme="majorEastAsia"/>
          <w:rtl/>
        </w:rPr>
        <w:t>וְיָסַפְתָּ לְךָ עוֹד שָׁלֹשׁ עָרִים עַל הַשָּׁלֹשׁ הָאֵלֶּה</w:t>
      </w:r>
      <w:r>
        <w:rPr>
          <w:rtl/>
        </w:rPr>
        <w:t xml:space="preserve"> </w:t>
      </w:r>
      <w:r>
        <w:t xml:space="preserve">ist die Apodosis: </w:t>
      </w:r>
      <w:r>
        <w:rPr>
          <w:rStyle w:val="Fett"/>
          <w:rFonts w:eastAsiaTheme="majorEastAsia"/>
          <w:rtl/>
        </w:rPr>
        <w:t>וְיָסַפְתָּ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יסף</w:t>
      </w:r>
      <w:r>
        <w:t xml:space="preserve">, Qal Perfekt, 2. Person Maskulinum Singular, „hinzufügen", mit </w:t>
      </w:r>
      <w:r>
        <w:rPr>
          <w:rStyle w:val="Fett"/>
          <w:rFonts w:eastAsiaTheme="majorEastAsia"/>
        </w:rPr>
        <w:t>Waw</w:t>
      </w:r>
      <w:r>
        <w:t xml:space="preserve"> consecutives Perfekt), </w:t>
      </w:r>
      <w:r>
        <w:rPr>
          <w:rStyle w:val="Fett"/>
          <w:rFonts w:eastAsiaTheme="majorEastAsia"/>
          <w:rtl/>
        </w:rPr>
        <w:t>לְךָ</w:t>
      </w:r>
      <w:r>
        <w:rPr>
          <w:rtl/>
        </w:rPr>
        <w:t xml:space="preserve"> </w:t>
      </w:r>
      <w:r>
        <w:t xml:space="preserve">(Präposition </w:t>
      </w:r>
      <w:r>
        <w:rPr>
          <w:rStyle w:val="Fett"/>
          <w:rFonts w:eastAsiaTheme="majorEastAsia"/>
          <w:rtl/>
        </w:rPr>
        <w:t>לְ</w:t>
      </w:r>
      <w:r>
        <w:rPr>
          <w:rtl/>
        </w:rPr>
        <w:t xml:space="preserve"> </w:t>
      </w:r>
      <w:r>
        <w:t xml:space="preserve">mit Suffix 2. Person Maskulinum Singular, „für dich"), </w:t>
      </w:r>
      <w:r>
        <w:rPr>
          <w:rStyle w:val="Fett"/>
          <w:rFonts w:eastAsiaTheme="majorEastAsia"/>
          <w:rtl/>
        </w:rPr>
        <w:t>עוֹד</w:t>
      </w:r>
      <w:r>
        <w:rPr>
          <w:rtl/>
        </w:rPr>
        <w:t xml:space="preserve"> </w:t>
      </w:r>
      <w:r>
        <w:t xml:space="preserve">(Adverb, „noch, mehr"), </w:t>
      </w:r>
      <w:r>
        <w:rPr>
          <w:rStyle w:val="Fett"/>
          <w:rFonts w:eastAsiaTheme="majorEastAsia"/>
          <w:rtl/>
        </w:rPr>
        <w:t>שָׁלֹשׁ עָרִים</w:t>
      </w:r>
      <w:r>
        <w:rPr>
          <w:rtl/>
        </w:rPr>
        <w:t xml:space="preserve"> </w:t>
      </w:r>
      <w:r>
        <w:t xml:space="preserve">(„drei Städte"), </w:t>
      </w:r>
      <w:r>
        <w:rPr>
          <w:rStyle w:val="Fett"/>
          <w:rFonts w:eastAsiaTheme="majorEastAsia"/>
          <w:rtl/>
        </w:rPr>
        <w:t>עַל הַשָּׁלֹשׁ הָאֵלֶּה</w:t>
      </w:r>
      <w:r>
        <w:rPr>
          <w:rtl/>
        </w:rPr>
        <w:t xml:space="preserve"> </w:t>
      </w:r>
      <w:r>
        <w:t xml:space="preserve">(Präposition </w:t>
      </w:r>
      <w:r>
        <w:rPr>
          <w:rStyle w:val="Fett"/>
          <w:rFonts w:eastAsiaTheme="majorEastAsia"/>
          <w:rtl/>
        </w:rPr>
        <w:t>עַל</w:t>
      </w:r>
      <w:r>
        <w:t xml:space="preserve">, „auf, zu", </w:t>
      </w:r>
      <w:r>
        <w:rPr>
          <w:rStyle w:val="Fett"/>
          <w:rFonts w:eastAsiaTheme="majorEastAsia"/>
          <w:rtl/>
        </w:rPr>
        <w:t>שָׁלֹשׁ</w:t>
      </w:r>
      <w:r>
        <w:rPr>
          <w:rtl/>
        </w:rPr>
        <w:t xml:space="preserve"> </w:t>
      </w:r>
      <w:r>
        <w:t xml:space="preserve">mit Artikel und Demonstrativpronomen </w:t>
      </w:r>
      <w:r>
        <w:rPr>
          <w:rStyle w:val="Fett"/>
          <w:rFonts w:eastAsiaTheme="majorEastAsia"/>
          <w:rtl/>
        </w:rPr>
        <w:t>אֵלֶּה</w:t>
      </w:r>
      <w:r>
        <w:t>, „zu diesen dreien").</w:t>
      </w:r>
    </w:p>
    <w:p w14:paraId="2367018A" w14:textId="77777777" w:rsidR="00DD2E9B" w:rsidRDefault="00DD2E9B" w:rsidP="00DD2E9B">
      <w:pPr>
        <w:pStyle w:val="whitespace-normal"/>
      </w:pPr>
      <w:r>
        <w:t xml:space="preserve">Der Vers fügt eine wichtige theologische Bedingung hinzu: Die territoriale Erweiterung (V. 8) hängt vom Gehorsam Israels ab. Die Formulierung </w:t>
      </w:r>
      <w:r>
        <w:rPr>
          <w:rStyle w:val="Fett"/>
          <w:rFonts w:eastAsiaTheme="majorEastAsia"/>
          <w:rtl/>
        </w:rPr>
        <w:t>כִּי־תִשְׁמֹר אֶת־כָּל־הַמִּצְוָה הַזֹּאת לַעֲשֹׂתָהּ</w:t>
      </w:r>
      <w:r>
        <w:rPr>
          <w:rtl/>
        </w:rPr>
        <w:t xml:space="preserve"> </w:t>
      </w:r>
      <w:r>
        <w:t xml:space="preserve">(„wenn du beachtest dieses ganze Gebot, um es zu tun") ist charakteristisch deuteronomisch (vgl. 6,25; 8,1; 11,22; 15,5; 19,9; 27,1; 28,1.13.15; 30,8.10). Die doppelte Spezifikation </w:t>
      </w:r>
      <w:r>
        <w:rPr>
          <w:rStyle w:val="Fett"/>
          <w:rFonts w:eastAsiaTheme="majorEastAsia"/>
          <w:rtl/>
        </w:rPr>
        <w:t>לְאַהֲבָה אֶת־יְהוָה אֱלֹהֶיךָ וְלָלֶכֶת בִּדְרָכָיו כָּל־הַיָּמִים</w:t>
      </w:r>
      <w:r>
        <w:rPr>
          <w:rtl/>
        </w:rPr>
        <w:t xml:space="preserve"> </w:t>
      </w:r>
      <w:r>
        <w:t>(„JHWH lieben und auf seinen Wegen gehen alle Tage") definiert den Kern des Gehorsams (vgl. 6,5; 10,12; 11,1.13.22; 13,4; 19,9; 30,6.16.20).</w:t>
      </w:r>
    </w:p>
    <w:p w14:paraId="41B2D72F" w14:textId="77777777" w:rsidR="00DD2E9B" w:rsidRDefault="00DD2E9B" w:rsidP="00DD2E9B">
      <w:pPr>
        <w:pStyle w:val="whitespace-normal"/>
      </w:pPr>
      <w:r>
        <w:t xml:space="preserve">Die Konsequenz: </w:t>
      </w:r>
      <w:r>
        <w:rPr>
          <w:rStyle w:val="Fett"/>
          <w:rFonts w:eastAsiaTheme="majorEastAsia"/>
          <w:rtl/>
        </w:rPr>
        <w:t>וְיָסַפְתָּ לְךָ עוֹד שָׁלֹשׁ עָרִים עַל הַשָּׁלֹשׁ הָאֵלֶּה</w:t>
      </w:r>
      <w:r>
        <w:rPr>
          <w:rtl/>
        </w:rPr>
        <w:t xml:space="preserve"> </w:t>
      </w:r>
      <w:r>
        <w:t>(„füge noch drei Städte zu diesen dreien hinzu") – also insgesamt sechs Asylstädte im erweiterten Gebiet (drei westjordanische + drei ostjordanische + drei weitere = neun? Oder drei ursprüngliche + drei weitere = sechs?). Die Formulierung ist nicht völlig klar, aber wahrscheinlich: sechs insgesamt (drei + drei).</w:t>
      </w:r>
    </w:p>
    <w:p w14:paraId="04F60DEE" w14:textId="77777777" w:rsidR="00DD2E9B" w:rsidRDefault="00DD2E9B" w:rsidP="00DD2E9B">
      <w:pPr>
        <w:pStyle w:val="whitespace-normal"/>
      </w:pPr>
      <w:r>
        <w:rPr>
          <w:rStyle w:val="Fett"/>
          <w:rFonts w:eastAsiaTheme="majorEastAsia"/>
        </w:rPr>
        <w:t>Die Satzstruktur:</w:t>
      </w:r>
      <w:r>
        <w:t xml:space="preserve"> Bedingte Konstruktion mit Spezifikation und Apodosis (wenn beachten wirst du dieses ganze Gebot, um es zu tun, das ich gebiete dir heute, um zu lieben JHWH, deinen Gott, und um zu gehen auf seinen Wegen alle Tage, so hinzufügen sollst du dir noch drei Städte zu diesen dreien).</w:t>
      </w:r>
    </w:p>
    <w:p w14:paraId="6E810D7E" w14:textId="77777777" w:rsidR="00DD2E9B" w:rsidRDefault="00DD2E9B" w:rsidP="00DD2E9B">
      <w:pPr>
        <w:pStyle w:val="whitespace-normal"/>
      </w:pPr>
      <w:r>
        <w:t>Der Vers knüpft die Landverheißung an Gehorsam: Wenn Israel JHWH liebt und seine Gebote hält, wird JHWH das Land erweitern – dann sollen drei weitere Asylstädte eingerichtet werden.</w:t>
      </w:r>
    </w:p>
    <w:p w14:paraId="67EF9727"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19,10</w:t>
      </w:r>
    </w:p>
    <w:p w14:paraId="6D86A116" w14:textId="77777777" w:rsidR="00DD2E9B" w:rsidRDefault="00DD2E9B" w:rsidP="00DD2E9B">
      <w:pPr>
        <w:pStyle w:val="whitespace-normal"/>
      </w:pPr>
      <w:r>
        <w:rPr>
          <w:rStyle w:val="Fett"/>
          <w:rFonts w:eastAsiaTheme="majorEastAsia"/>
        </w:rPr>
        <w:t>Hebräisch:</w:t>
      </w:r>
      <w:r>
        <w:t xml:space="preserve"> </w:t>
      </w:r>
      <w:r>
        <w:rPr>
          <w:rtl/>
        </w:rPr>
        <w:t>וְלֹ֤א יִשָּׁפֵךְ֙ דָּ֣ם נָקִ֔י בְּקֶ֣רֶב אַרְצְךָ֔ אֲשֶׁר֙ יְהוָ֣ה אֱלֹהֶ֔יךָ נֹתֵ֥ן לְךָ֖ נַחֲלָ֑ה וְהָיָ֥ה עָלֶ֖יךָ דָּמִֽים׃</w:t>
      </w:r>
    </w:p>
    <w:p w14:paraId="60DEB4BD" w14:textId="77777777" w:rsidR="00DD2E9B" w:rsidRDefault="00DD2E9B" w:rsidP="00DD2E9B">
      <w:pPr>
        <w:pStyle w:val="whitespace-normal"/>
      </w:pPr>
      <w:r>
        <w:rPr>
          <w:rStyle w:val="Fett"/>
          <w:rFonts w:eastAsiaTheme="majorEastAsia"/>
        </w:rPr>
        <w:lastRenderedPageBreak/>
        <w:t>Deutsch:</w:t>
      </w:r>
      <w:r>
        <w:t xml:space="preserve"> damit nicht vergossen wird unschuldiges Blut inmitten deines Landes, das der Ewige, dein Gott, dir als Erbe gibt, und so wäre auf dir Blut.</w:t>
      </w:r>
    </w:p>
    <w:p w14:paraId="5AC8984A" w14:textId="77777777" w:rsidR="00DD2E9B" w:rsidRDefault="004F5CEB" w:rsidP="00DD2E9B">
      <w:r>
        <w:rPr>
          <w:noProof/>
        </w:rPr>
        <w:pict w14:anchorId="47FA0D7D">
          <v:rect id="_x0000_i1541" style="width:0;height:1.5pt" o:hralign="center" o:hrstd="t" o:hr="t" fillcolor="#a0a0a0" stroked="f"/>
        </w:pict>
      </w:r>
    </w:p>
    <w:p w14:paraId="5C8742B8" w14:textId="77777777" w:rsidR="00DD2E9B" w:rsidRDefault="00DD2E9B" w:rsidP="00DD2E9B">
      <w:pPr>
        <w:pStyle w:val="whitespace-normal"/>
      </w:pPr>
      <w:r>
        <w:rPr>
          <w:rStyle w:val="Fett"/>
          <w:rFonts w:eastAsiaTheme="majorEastAsia"/>
        </w:rPr>
        <w:t>Kommentar:</w:t>
      </w:r>
      <w:r>
        <w:t xml:space="preserve"> </w:t>
      </w:r>
      <w:r>
        <w:rPr>
          <w:rStyle w:val="Fett"/>
          <w:rFonts w:eastAsiaTheme="majorEastAsia"/>
          <w:rtl/>
        </w:rPr>
        <w:t>וְלֹא יִשָּׁפֵךְ דָּם נָקִי בְּקֶרֶב אַרְצְךָ אֲשֶׁר יְהוָה אֱלֹהֶיךָ נֹתֵן לְךָ נַחֲלָה</w:t>
      </w:r>
      <w:r>
        <w:rPr>
          <w:rtl/>
        </w:rPr>
        <w:t xml:space="preserve"> </w:t>
      </w:r>
      <w:r>
        <w:t xml:space="preserve">ist ein Finalsatz: </w:t>
      </w:r>
      <w:r>
        <w:rPr>
          <w:rStyle w:val="Fett"/>
          <w:rFonts w:eastAsiaTheme="majorEastAsia"/>
          <w:rtl/>
        </w:rPr>
        <w:t>וְלֹא יִשָּׁפֵךְ</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לֹא</w:t>
      </w:r>
      <w:r>
        <w:rPr>
          <w:rtl/>
        </w:rPr>
        <w:t xml:space="preserve"> </w:t>
      </w:r>
      <w:r>
        <w:t xml:space="preserve">und </w:t>
      </w:r>
      <w:r>
        <w:rPr>
          <w:rStyle w:val="Fett"/>
          <w:rFonts w:eastAsiaTheme="majorEastAsia"/>
          <w:rtl/>
        </w:rPr>
        <w:t>שׁפך</w:t>
      </w:r>
      <w:r>
        <w:t xml:space="preserve">, Niphal Imperfekt, 3. Person Maskulinum Singular, „ausgießen, vergießen", passivisch „vergossen werden"), </w:t>
      </w:r>
      <w:r>
        <w:rPr>
          <w:rStyle w:val="Fett"/>
          <w:rFonts w:eastAsiaTheme="majorEastAsia"/>
          <w:rtl/>
        </w:rPr>
        <w:t>דָּם נָקִי</w:t>
      </w:r>
      <w:r>
        <w:rPr>
          <w:rtl/>
        </w:rPr>
        <w:t xml:space="preserve"> </w:t>
      </w:r>
      <w:r>
        <w:t>(</w:t>
      </w:r>
      <w:r>
        <w:rPr>
          <w:rStyle w:val="Fett"/>
          <w:rFonts w:eastAsiaTheme="majorEastAsia"/>
          <w:rtl/>
        </w:rPr>
        <w:t>דָּם</w:t>
      </w:r>
      <w:r>
        <w:t xml:space="preserve">, „Blut", </w:t>
      </w:r>
      <w:r>
        <w:rPr>
          <w:rStyle w:val="Fett"/>
          <w:rFonts w:eastAsiaTheme="majorEastAsia"/>
          <w:rtl/>
        </w:rPr>
        <w:t>נָקִי</w:t>
      </w:r>
      <w:r>
        <w:t xml:space="preserve">, „unschuldig, rein"), </w:t>
      </w:r>
      <w:r>
        <w:rPr>
          <w:rStyle w:val="Fett"/>
          <w:rFonts w:eastAsiaTheme="majorEastAsia"/>
          <w:rtl/>
        </w:rPr>
        <w:t>בְּקֶרֶב אַרְצְךָ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קֶרֶב</w:t>
      </w:r>
      <w:r>
        <w:t xml:space="preserve">, „Mitte", Construct mit </w:t>
      </w:r>
      <w:r>
        <w:rPr>
          <w:rStyle w:val="Fett"/>
          <w:rFonts w:eastAsiaTheme="majorEastAsia"/>
          <w:rtl/>
        </w:rPr>
        <w:t>אֶרֶץ</w:t>
      </w:r>
      <w:r>
        <w:rPr>
          <w:rtl/>
        </w:rPr>
        <w:t xml:space="preserve"> </w:t>
      </w:r>
      <w:r>
        <w:t xml:space="preserve">mit Suffix 2. Person Maskulinum Singular, „inmitten deines Landes"), </w:t>
      </w:r>
      <w:r>
        <w:rPr>
          <w:rStyle w:val="Fett"/>
          <w:rFonts w:eastAsiaTheme="majorEastAsia"/>
          <w:rtl/>
        </w:rPr>
        <w:t>אֲשֶׁר יְהוָה אֱלֹהֶיךָ נֹתֵן לְךָ נַחֲלָה</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נתן</w:t>
      </w:r>
      <w:r>
        <w:t xml:space="preserve">, Qal Partizip, „geben", </w:t>
      </w:r>
      <w:r>
        <w:rPr>
          <w:rStyle w:val="Fett"/>
          <w:rFonts w:eastAsiaTheme="majorEastAsia"/>
          <w:rtl/>
        </w:rPr>
        <w:t>יְהוָה אֱלֹהֶיךָ</w:t>
      </w:r>
      <w:r>
        <w:rPr>
          <w:rtl/>
        </w:rPr>
        <w:t xml:space="preserve"> </w:t>
      </w:r>
      <w:r>
        <w:t xml:space="preserve">als Subjekt, </w:t>
      </w:r>
      <w:r>
        <w:rPr>
          <w:rStyle w:val="Fett"/>
          <w:rFonts w:eastAsiaTheme="majorEastAsia"/>
          <w:rtl/>
        </w:rPr>
        <w:t>לְךָ</w:t>
      </w:r>
      <w:r>
        <w:t xml:space="preserve">, </w:t>
      </w:r>
      <w:r>
        <w:rPr>
          <w:rStyle w:val="Fett"/>
          <w:rFonts w:eastAsiaTheme="majorEastAsia"/>
          <w:rtl/>
        </w:rPr>
        <w:t>נַחֲלָה</w:t>
      </w:r>
      <w:r>
        <w:t>, „Erbe, Erbbesitz", als Akkusativ der Art, „das JHWH, dein Gott, dir als Erbe gibt").</w:t>
      </w:r>
    </w:p>
    <w:p w14:paraId="4C178601" w14:textId="77777777" w:rsidR="00DD2E9B" w:rsidRDefault="00DD2E9B" w:rsidP="00DD2E9B">
      <w:pPr>
        <w:pStyle w:val="whitespace-normal"/>
      </w:pPr>
      <w:r>
        <w:rPr>
          <w:rStyle w:val="Fett"/>
          <w:rFonts w:eastAsiaTheme="majorEastAsia"/>
          <w:rtl/>
        </w:rPr>
        <w:t>וְהָיָה עָלֶיךָ דָּמִים</w:t>
      </w:r>
      <w:r>
        <w:rPr>
          <w:rtl/>
        </w:rPr>
        <w:t xml:space="preserve"> </w:t>
      </w:r>
      <w:r>
        <w:t xml:space="preserve">ist die negative Folge: </w:t>
      </w:r>
      <w:r>
        <w:rPr>
          <w:rStyle w:val="Fett"/>
          <w:rFonts w:eastAsiaTheme="majorEastAsia"/>
          <w:rtl/>
        </w:rPr>
        <w:t>וְהָיָה</w:t>
      </w:r>
      <w:r>
        <w:rPr>
          <w:rtl/>
        </w:rPr>
        <w:t xml:space="preserve"> </w:t>
      </w:r>
      <w:r>
        <w:t xml:space="preserve">(Qal Perfekt, 3. Person Maskulinum Singular von </w:t>
      </w:r>
      <w:r>
        <w:rPr>
          <w:rStyle w:val="Fett"/>
          <w:rFonts w:eastAsiaTheme="majorEastAsia"/>
          <w:rtl/>
        </w:rPr>
        <w:t>היה</w:t>
      </w:r>
      <w:r>
        <w:t xml:space="preserve">, „sein", mit </w:t>
      </w:r>
      <w:r>
        <w:rPr>
          <w:rStyle w:val="Fett"/>
          <w:rFonts w:eastAsiaTheme="majorEastAsia"/>
        </w:rPr>
        <w:t>Waw</w:t>
      </w:r>
      <w:r>
        <w:t xml:space="preserve"> consecutives Perfekt), </w:t>
      </w:r>
      <w:r>
        <w:rPr>
          <w:rStyle w:val="Fett"/>
          <w:rFonts w:eastAsiaTheme="majorEastAsia"/>
          <w:rtl/>
        </w:rPr>
        <w:t>עָלֶיךָ</w:t>
      </w:r>
      <w:r>
        <w:rPr>
          <w:rtl/>
        </w:rPr>
        <w:t xml:space="preserve"> </w:t>
      </w:r>
      <w:r>
        <w:t xml:space="preserve">(Präposition </w:t>
      </w:r>
      <w:r>
        <w:rPr>
          <w:rStyle w:val="Fett"/>
          <w:rFonts w:eastAsiaTheme="majorEastAsia"/>
          <w:rtl/>
        </w:rPr>
        <w:t>עַל</w:t>
      </w:r>
      <w:r>
        <w:rPr>
          <w:rtl/>
        </w:rPr>
        <w:t xml:space="preserve"> </w:t>
      </w:r>
      <w:r>
        <w:t xml:space="preserve">mit Suffix 2. Person Maskulinum Singular, „auf dir"), </w:t>
      </w:r>
      <w:r>
        <w:rPr>
          <w:rStyle w:val="Fett"/>
          <w:rFonts w:eastAsiaTheme="majorEastAsia"/>
          <w:rtl/>
        </w:rPr>
        <w:t>דָּמִים</w:t>
      </w:r>
      <w:r>
        <w:rPr>
          <w:rtl/>
        </w:rPr>
        <w:t xml:space="preserve"> </w:t>
      </w:r>
      <w:r>
        <w:t>(</w:t>
      </w:r>
      <w:r>
        <w:rPr>
          <w:rStyle w:val="Fett"/>
          <w:rFonts w:eastAsiaTheme="majorEastAsia"/>
          <w:rtl/>
        </w:rPr>
        <w:t>דָּם</w:t>
      </w:r>
      <w:r>
        <w:t>, „Blut", Plural, „Blutschuld").</w:t>
      </w:r>
    </w:p>
    <w:p w14:paraId="3D7CA330" w14:textId="05090ECA" w:rsidR="00DD2E9B" w:rsidRDefault="00DD2E9B" w:rsidP="00DD2E9B">
      <w:pPr>
        <w:pStyle w:val="whitespace-normal"/>
      </w:pPr>
      <w:r>
        <w:t>Der Vers erklärt den tieferen Zweck der Asylstädte: Schutz vor Vergießung unschuldigen Blutes (</w:t>
      </w:r>
      <w:r>
        <w:rPr>
          <w:rStyle w:val="Fett"/>
          <w:rFonts w:eastAsiaTheme="majorEastAsia"/>
          <w:rtl/>
        </w:rPr>
        <w:t>דָּם נָקִי</w:t>
      </w:r>
      <w:r>
        <w:t xml:space="preserve">). Der unvorsätzliche Totschläger ist „unschuldig" im Sinne, dass er keine vorsätzliche Blutschuld trägt (V. 4.6). Würde der Bluträcher ihn töten, wäre das Vergießung unschuldigen Blutes. Die Formulierung </w:t>
      </w:r>
      <w:r>
        <w:rPr>
          <w:rStyle w:val="Fett"/>
          <w:rFonts w:eastAsiaTheme="majorEastAsia"/>
          <w:rtl/>
        </w:rPr>
        <w:t>וְהָיָה עָלֶיךָ דָּמִים</w:t>
      </w:r>
      <w:r>
        <w:rPr>
          <w:rtl/>
        </w:rPr>
        <w:t xml:space="preserve"> </w:t>
      </w:r>
      <w:r>
        <w:t xml:space="preserve">(„und es wäre auf dir Blutschuld") bedeutet: kollektive Verantwortung – das Volk als Ganzes trägt Schuld für ungerechtes Blutvergießen in seiner Mitte (vgl. 21,8; </w:t>
      </w:r>
      <w:r w:rsidR="00664EB6">
        <w:t>2Sam</w:t>
      </w:r>
      <w:r>
        <w:t xml:space="preserve"> 21,1; Jer 26,15; Joel 4,19; Jona 1,14).</w:t>
      </w:r>
    </w:p>
    <w:p w14:paraId="718D4592" w14:textId="5488ADB7" w:rsidR="00DD2E9B" w:rsidRDefault="00DD2E9B" w:rsidP="00DD2E9B">
      <w:pPr>
        <w:pStyle w:val="whitespace-normal"/>
      </w:pPr>
      <w:r>
        <w:t xml:space="preserve">Die Wendung </w:t>
      </w:r>
      <w:r>
        <w:rPr>
          <w:rStyle w:val="Fett"/>
          <w:rFonts w:eastAsiaTheme="majorEastAsia"/>
          <w:rtl/>
        </w:rPr>
        <w:t>דָּם נָקִי</w:t>
      </w:r>
      <w:r>
        <w:rPr>
          <w:rtl/>
        </w:rPr>
        <w:t xml:space="preserve"> </w:t>
      </w:r>
      <w:r>
        <w:t xml:space="preserve">(„unschuldiges Blut") ist ein wichtiger Begriff für unrechtmäßiges Töten (vgl. Dtn 19,10.13; 21,8.9; 27,25; </w:t>
      </w:r>
      <w:r w:rsidR="00664EB6">
        <w:t>1Sam</w:t>
      </w:r>
      <w:r>
        <w:t xml:space="preserve"> 19,5; 25,31; </w:t>
      </w:r>
      <w:r w:rsidR="00664EB6">
        <w:t>1Kön</w:t>
      </w:r>
      <w:r>
        <w:t xml:space="preserve"> 2,31; </w:t>
      </w:r>
      <w:r w:rsidR="00664EB6">
        <w:t>2Kön</w:t>
      </w:r>
      <w:r>
        <w:t xml:space="preserve"> 21,16; 24,4; Ps 94,21; 106,38; Spr 6,17; Jes 59,7; Jer 7,6; 19,4; 22,3.17; 26,15; Joel 4,19; Jona 1,14).</w:t>
      </w:r>
    </w:p>
    <w:p w14:paraId="536945AB" w14:textId="7F494C8B" w:rsidR="00C25194" w:rsidRDefault="00C25194" w:rsidP="00DD2E9B">
      <w:pPr>
        <w:pStyle w:val="whitespace-normal"/>
      </w:pPr>
      <w:r>
        <w:rPr>
          <w:rStyle w:val="Fett"/>
        </w:rPr>
        <w:t>Die LXX</w:t>
      </w:r>
      <w:r>
        <w:t xml:space="preserve"> übersetzt </w:t>
      </w:r>
      <w:r>
        <w:rPr>
          <w:rtl/>
        </w:rPr>
        <w:t>דָּם נָקִי</w:t>
      </w:r>
      <w:r>
        <w:t xml:space="preserve"> (unschuldiges Blut) mit α</w:t>
      </w:r>
      <w:proofErr w:type="spellStart"/>
      <w:r>
        <w:t>ἷμ</w:t>
      </w:r>
      <w:proofErr w:type="spellEnd"/>
      <w:r>
        <w:t xml:space="preserve">α </w:t>
      </w:r>
      <w:proofErr w:type="spellStart"/>
      <w:r>
        <w:t>ἀν</w:t>
      </w:r>
      <w:proofErr w:type="spellEnd"/>
      <w:r>
        <w:t>αίτιον (schuldloses Blut) – eine genaue ethische Entsprechung.</w:t>
      </w:r>
    </w:p>
    <w:p w14:paraId="53B2E9C6" w14:textId="77777777" w:rsidR="00DD2E9B" w:rsidRDefault="00DD2E9B" w:rsidP="00DD2E9B">
      <w:pPr>
        <w:pStyle w:val="whitespace-normal"/>
      </w:pPr>
      <w:r>
        <w:rPr>
          <w:rStyle w:val="Fett"/>
          <w:rFonts w:eastAsiaTheme="majorEastAsia"/>
        </w:rPr>
        <w:t>Die Satzstruktur:</w:t>
      </w:r>
      <w:r>
        <w:t xml:space="preserve"> Finalsatz mit negativer Folge (damit nicht vergossen wird unschuldiges Blut inmitten deines Landes, das JHWH, dein Gott, gibt dir als Erbe, und wäre auf dir Blutschuld).</w:t>
      </w:r>
    </w:p>
    <w:p w14:paraId="11BF34F6" w14:textId="77777777" w:rsidR="00DD2E9B" w:rsidRDefault="00DD2E9B" w:rsidP="00DD2E9B">
      <w:pPr>
        <w:pStyle w:val="whitespace-normal"/>
      </w:pPr>
      <w:r>
        <w:t>Der Vers begründet: Die Asylstädte verhindern Vergießung unschuldigen Blutes – sonst würde Blutschuld auf dem ganzen Volk liegen.</w:t>
      </w:r>
    </w:p>
    <w:p w14:paraId="6F5F87A6"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19,11</w:t>
      </w:r>
    </w:p>
    <w:p w14:paraId="3EE3D3AE" w14:textId="77777777" w:rsidR="00DD2E9B" w:rsidRDefault="00DD2E9B" w:rsidP="00DD2E9B">
      <w:pPr>
        <w:pStyle w:val="whitespace-normal"/>
      </w:pPr>
      <w:r>
        <w:rPr>
          <w:rStyle w:val="Fett"/>
          <w:rFonts w:eastAsiaTheme="majorEastAsia"/>
        </w:rPr>
        <w:t>Hebräisch:</w:t>
      </w:r>
      <w:r>
        <w:t xml:space="preserve"> </w:t>
      </w:r>
      <w:r>
        <w:rPr>
          <w:rtl/>
        </w:rPr>
        <w:t>וְכִֽי־יִהְיֶ֥ה אִישׁ֙ שֹׂנֵ֣א לְרֵעֵ֔הוּ וְאָ֤רַב לוֹ֙ וְקָ֣ם עָלָ֔יו וְהִכָּ֥הוּ נֶ֖פֶשׁ וָמֵ֑ת וְנָ֕ס אֶל־אַחַ֖ת הֶעָרִ֥ים הָאֵֽל׃</w:t>
      </w:r>
    </w:p>
    <w:p w14:paraId="453C9519" w14:textId="77777777" w:rsidR="00DD2E9B" w:rsidRDefault="00DD2E9B" w:rsidP="00DD2E9B">
      <w:pPr>
        <w:pStyle w:val="whitespace-normal"/>
      </w:pPr>
      <w:r>
        <w:rPr>
          <w:rStyle w:val="Fett"/>
          <w:rFonts w:eastAsiaTheme="majorEastAsia"/>
        </w:rPr>
        <w:t>Deutsch:</w:t>
      </w:r>
      <w:r>
        <w:t xml:space="preserve"> Und wenn ein Mann ist, der seinen Nächsten hasst und ihm auflauert und sich gegen ihn erhebt und ihn schlägt auf die Seele, und er stirbt, und er flieht in eine dieser Städte,</w:t>
      </w:r>
    </w:p>
    <w:p w14:paraId="4030C696" w14:textId="77777777" w:rsidR="00DD2E9B" w:rsidRDefault="004F5CEB" w:rsidP="00DD2E9B">
      <w:r>
        <w:rPr>
          <w:noProof/>
        </w:rPr>
        <w:pict w14:anchorId="5EE452F8">
          <v:rect id="_x0000_i1542" style="width:0;height:1.5pt" o:hralign="center" o:hrstd="t" o:hr="t" fillcolor="#a0a0a0" stroked="f"/>
        </w:pict>
      </w:r>
    </w:p>
    <w:p w14:paraId="2A3F2E8D" w14:textId="77777777" w:rsidR="00DD2E9B" w:rsidRDefault="00DD2E9B" w:rsidP="00DD2E9B">
      <w:pPr>
        <w:pStyle w:val="whitespace-normal"/>
      </w:pPr>
      <w:r>
        <w:rPr>
          <w:rStyle w:val="Fett"/>
          <w:rFonts w:eastAsiaTheme="majorEastAsia"/>
        </w:rPr>
        <w:lastRenderedPageBreak/>
        <w:t>Kommentar:</w:t>
      </w:r>
      <w:r>
        <w:t xml:space="preserve"> </w:t>
      </w:r>
      <w:r>
        <w:rPr>
          <w:rStyle w:val="Fett"/>
          <w:rFonts w:eastAsiaTheme="majorEastAsia"/>
          <w:rtl/>
        </w:rPr>
        <w:t>וְכִי־יִהְיֶה אִישׁ שֹׂנֵא לְרֵעֵהוּ</w:t>
      </w:r>
      <w:r>
        <w:rPr>
          <w:rtl/>
        </w:rPr>
        <w:t xml:space="preserve"> </w:t>
      </w:r>
      <w:r>
        <w:t xml:space="preserve">ist ein konditionaler Satz: </w:t>
      </w:r>
      <w:r>
        <w:rPr>
          <w:rStyle w:val="Fett"/>
          <w:rFonts w:eastAsiaTheme="majorEastAsia"/>
          <w:rtl/>
        </w:rPr>
        <w:t>וְכִי־יִהְיֶה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כִּי</w:t>
      </w:r>
      <w:r>
        <w:t xml:space="preserve">, „wenn", und </w:t>
      </w:r>
      <w:r>
        <w:rPr>
          <w:rStyle w:val="Fett"/>
          <w:rFonts w:eastAsiaTheme="majorEastAsia"/>
          <w:rtl/>
        </w:rPr>
        <w:t>היה</w:t>
      </w:r>
      <w:r>
        <w:t xml:space="preserve">, Qal Imperfekt, 3. Person Maskulinum Singular, „sein"), </w:t>
      </w:r>
      <w:r>
        <w:rPr>
          <w:rStyle w:val="Fett"/>
          <w:rFonts w:eastAsiaTheme="majorEastAsia"/>
          <w:rtl/>
        </w:rPr>
        <w:t>אִישׁ שֹׂנֵא לְרֵעֵהוּ</w:t>
      </w:r>
      <w:r>
        <w:rPr>
          <w:rtl/>
        </w:rPr>
        <w:t xml:space="preserve"> </w:t>
      </w:r>
      <w:r>
        <w:t>(</w:t>
      </w:r>
      <w:r>
        <w:rPr>
          <w:rStyle w:val="Fett"/>
          <w:rFonts w:eastAsiaTheme="majorEastAsia"/>
          <w:rtl/>
        </w:rPr>
        <w:t>אִישׁ</w:t>
      </w:r>
      <w:r>
        <w:t xml:space="preserve">, „Mann", </w:t>
      </w:r>
      <w:r>
        <w:rPr>
          <w:rStyle w:val="Fett"/>
          <w:rFonts w:eastAsiaTheme="majorEastAsia"/>
          <w:rtl/>
        </w:rPr>
        <w:t>שׂנא</w:t>
      </w:r>
      <w:r>
        <w:t xml:space="preserve">, Qal Partizip, „hassen", </w:t>
      </w:r>
      <w:r>
        <w:rPr>
          <w:rStyle w:val="Fett"/>
          <w:rFonts w:eastAsiaTheme="majorEastAsia"/>
          <w:rtl/>
        </w:rPr>
        <w:t>לְרֵעֵהוּ</w:t>
      </w:r>
      <w:r>
        <w:t xml:space="preserve">, Präposition </w:t>
      </w:r>
      <w:r>
        <w:rPr>
          <w:rStyle w:val="Fett"/>
          <w:rFonts w:eastAsiaTheme="majorEastAsia"/>
          <w:rtl/>
        </w:rPr>
        <w:t>לְ</w:t>
      </w:r>
      <w:r>
        <w:rPr>
          <w:rtl/>
        </w:rPr>
        <w:t xml:space="preserve"> </w:t>
      </w:r>
      <w:r>
        <w:t xml:space="preserve">mit </w:t>
      </w:r>
      <w:r>
        <w:rPr>
          <w:rStyle w:val="Fett"/>
          <w:rFonts w:eastAsiaTheme="majorEastAsia"/>
          <w:rtl/>
        </w:rPr>
        <w:t>רֵעַ</w:t>
      </w:r>
      <w:r>
        <w:rPr>
          <w:rtl/>
        </w:rPr>
        <w:t xml:space="preserve"> </w:t>
      </w:r>
      <w:r>
        <w:t>mit Suffix 3. Person Maskulinum Singular, „seinen Nächsten", „ein Mann, der hasst seinen Nächsten").</w:t>
      </w:r>
    </w:p>
    <w:p w14:paraId="54E9AAB1" w14:textId="77777777" w:rsidR="00DD2E9B" w:rsidRDefault="00DD2E9B" w:rsidP="00DD2E9B">
      <w:pPr>
        <w:pStyle w:val="whitespace-normal"/>
      </w:pPr>
      <w:r>
        <w:rPr>
          <w:rStyle w:val="Fett"/>
          <w:rFonts w:eastAsiaTheme="majorEastAsia"/>
          <w:rtl/>
        </w:rPr>
        <w:t>וְאָרַב לוֹ וְקָם עָלָיו וְהִכָּהוּ נֶפֶשׁ וָמֵת</w:t>
      </w:r>
      <w:r>
        <w:rPr>
          <w:rtl/>
        </w:rPr>
        <w:t xml:space="preserve"> </w:t>
      </w:r>
      <w:r>
        <w:t xml:space="preserve">sind vier koordinierte Verben: </w:t>
      </w:r>
      <w:r>
        <w:rPr>
          <w:rStyle w:val="Fett"/>
          <w:rFonts w:eastAsiaTheme="majorEastAsia"/>
          <w:rtl/>
        </w:rPr>
        <w:t>וְאָרַב לוֹ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ארב</w:t>
      </w:r>
      <w:r>
        <w:t xml:space="preserve">, Qal Perfekt, 3. Person Maskulinum Singular, „auflauern", </w:t>
      </w:r>
      <w:r>
        <w:rPr>
          <w:rStyle w:val="Fett"/>
          <w:rFonts w:eastAsiaTheme="majorEastAsia"/>
          <w:rtl/>
        </w:rPr>
        <w:t>לוֹ</w:t>
      </w:r>
      <w:r>
        <w:t xml:space="preserve">, „ihm", mit </w:t>
      </w:r>
      <w:r>
        <w:rPr>
          <w:rStyle w:val="Fett"/>
          <w:rFonts w:eastAsiaTheme="majorEastAsia"/>
        </w:rPr>
        <w:t>Waw</w:t>
      </w:r>
      <w:r>
        <w:t xml:space="preserve"> consecutives Perfekt), </w:t>
      </w:r>
      <w:r>
        <w:rPr>
          <w:rStyle w:val="Fett"/>
          <w:rFonts w:eastAsiaTheme="majorEastAsia"/>
          <w:rtl/>
        </w:rPr>
        <w:t>וְקָם עָלָיו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קום</w:t>
      </w:r>
      <w:r>
        <w:t xml:space="preserve">, Qal Perfekt, 3. Person Maskulinum Singular, „aufstehen, sich erheben", </w:t>
      </w:r>
      <w:r>
        <w:rPr>
          <w:rStyle w:val="Fett"/>
          <w:rFonts w:eastAsiaTheme="majorEastAsia"/>
          <w:rtl/>
        </w:rPr>
        <w:t>עָלָיו</w:t>
      </w:r>
      <w:r>
        <w:t xml:space="preserve">, Präposition </w:t>
      </w:r>
      <w:r>
        <w:rPr>
          <w:rStyle w:val="Fett"/>
          <w:rFonts w:eastAsiaTheme="majorEastAsia"/>
          <w:rtl/>
        </w:rPr>
        <w:t>עַל</w:t>
      </w:r>
      <w:r>
        <w:rPr>
          <w:rtl/>
        </w:rPr>
        <w:t xml:space="preserve"> </w:t>
      </w:r>
      <w:r>
        <w:t xml:space="preserve">mit Suffix 3. Person Maskulinum Singular, „gegen ihn", mit </w:t>
      </w:r>
      <w:r>
        <w:rPr>
          <w:rStyle w:val="Fett"/>
          <w:rFonts w:eastAsiaTheme="majorEastAsia"/>
        </w:rPr>
        <w:t>Waw</w:t>
      </w:r>
      <w:r>
        <w:t xml:space="preserve"> consecutives Perfekt), </w:t>
      </w:r>
      <w:r>
        <w:rPr>
          <w:rStyle w:val="Fett"/>
          <w:rFonts w:eastAsiaTheme="majorEastAsia"/>
          <w:rtl/>
        </w:rPr>
        <w:t>וְהִכָּהוּ נֶפֶשׁ</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נכה</w:t>
      </w:r>
      <w:r>
        <w:t xml:space="preserve">, Hiphil Perfekt, 3. Person Maskulinum Singular, „schlagen", mit Suffix 3. Person Maskulinum Singular, </w:t>
      </w:r>
      <w:r>
        <w:rPr>
          <w:rStyle w:val="Fett"/>
          <w:rFonts w:eastAsiaTheme="majorEastAsia"/>
          <w:rtl/>
        </w:rPr>
        <w:t>נֶפֶשׁ</w:t>
      </w:r>
      <w:r>
        <w:t xml:space="preserve">, „Seele, Leben", Akkusativ der Richtung, „und schlägt ihn auf die Seele" = tötet ihn, mit </w:t>
      </w:r>
      <w:r>
        <w:rPr>
          <w:rStyle w:val="Fett"/>
          <w:rFonts w:eastAsiaTheme="majorEastAsia"/>
        </w:rPr>
        <w:t>Waw</w:t>
      </w:r>
      <w:r>
        <w:t xml:space="preserve"> consecutives Perfekt), </w:t>
      </w:r>
      <w:r>
        <w:rPr>
          <w:rStyle w:val="Fett"/>
          <w:rFonts w:eastAsiaTheme="majorEastAsia"/>
          <w:rtl/>
        </w:rPr>
        <w:t>וָמֵת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מות</w:t>
      </w:r>
      <w:r>
        <w:t xml:space="preserve">, Qal Perfekt, 3. Person Maskulinum Singular, „sterben", mit </w:t>
      </w:r>
      <w:r>
        <w:rPr>
          <w:rStyle w:val="Fett"/>
          <w:rFonts w:eastAsiaTheme="majorEastAsia"/>
        </w:rPr>
        <w:t>Waw</w:t>
      </w:r>
      <w:r>
        <w:t xml:space="preserve"> consecutives Perfekt).</w:t>
      </w:r>
    </w:p>
    <w:p w14:paraId="23462F7B" w14:textId="77777777" w:rsidR="00DD2E9B" w:rsidRDefault="00DD2E9B" w:rsidP="00DD2E9B">
      <w:pPr>
        <w:pStyle w:val="whitespace-normal"/>
      </w:pPr>
      <w:r>
        <w:rPr>
          <w:rStyle w:val="Fett"/>
          <w:rFonts w:eastAsiaTheme="majorEastAsia"/>
          <w:rtl/>
        </w:rPr>
        <w:t>וְנָס אֶל־אַחַת הֶעָרִים הָאֵל</w:t>
      </w:r>
      <w:r>
        <w:rPr>
          <w:rtl/>
        </w:rPr>
        <w:t xml:space="preserve"> </w:t>
      </w:r>
      <w:r>
        <w:t xml:space="preserve">ist die weitere Handlung: </w:t>
      </w:r>
      <w:r>
        <w:rPr>
          <w:rStyle w:val="Fett"/>
          <w:rFonts w:eastAsiaTheme="majorEastAsia"/>
          <w:rtl/>
        </w:rPr>
        <w:t>וְנָס</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נוס</w:t>
      </w:r>
      <w:r>
        <w:t xml:space="preserve">, Qal Perfekt, 3. Person Maskulinum Singular, „fliehen", mit </w:t>
      </w:r>
      <w:r>
        <w:rPr>
          <w:rStyle w:val="Fett"/>
          <w:rFonts w:eastAsiaTheme="majorEastAsia"/>
        </w:rPr>
        <w:t>Waw</w:t>
      </w:r>
      <w:r>
        <w:t xml:space="preserve"> consecutives Perfekt), </w:t>
      </w:r>
      <w:r>
        <w:rPr>
          <w:rStyle w:val="Fett"/>
          <w:rFonts w:eastAsiaTheme="majorEastAsia"/>
          <w:rtl/>
        </w:rPr>
        <w:t>אֶל־אַחַת הֶעָרִים הָאֵל</w:t>
      </w:r>
      <w:r>
        <w:rPr>
          <w:rtl/>
        </w:rPr>
        <w:t xml:space="preserve"> </w:t>
      </w:r>
      <w:r>
        <w:t xml:space="preserve">(Präposition </w:t>
      </w:r>
      <w:r>
        <w:rPr>
          <w:rStyle w:val="Fett"/>
          <w:rFonts w:eastAsiaTheme="majorEastAsia"/>
          <w:rtl/>
        </w:rPr>
        <w:t>אֶל</w:t>
      </w:r>
      <w:r>
        <w:rPr>
          <w:rtl/>
        </w:rPr>
        <w:t xml:space="preserve"> </w:t>
      </w:r>
      <w:r>
        <w:t xml:space="preserve">mit </w:t>
      </w:r>
      <w:r>
        <w:rPr>
          <w:rStyle w:val="Fett"/>
          <w:rFonts w:eastAsiaTheme="majorEastAsia"/>
          <w:rtl/>
        </w:rPr>
        <w:t>אֶחָד</w:t>
      </w:r>
      <w:r>
        <w:t xml:space="preserve">, Femininum, Construct mit </w:t>
      </w:r>
      <w:r>
        <w:rPr>
          <w:rStyle w:val="Fett"/>
          <w:rFonts w:eastAsiaTheme="majorEastAsia"/>
          <w:rtl/>
        </w:rPr>
        <w:t>עִיר</w:t>
      </w:r>
      <w:r>
        <w:t xml:space="preserve">, Plural mit Artikel und verkürztem Demonstrativpronomen </w:t>
      </w:r>
      <w:r>
        <w:rPr>
          <w:rStyle w:val="Fett"/>
          <w:rFonts w:eastAsiaTheme="majorEastAsia"/>
          <w:rtl/>
        </w:rPr>
        <w:t>אֵל</w:t>
      </w:r>
      <w:r>
        <w:rPr>
          <w:rtl/>
        </w:rPr>
        <w:t xml:space="preserve"> </w:t>
      </w:r>
      <w:r>
        <w:t xml:space="preserve">= </w:t>
      </w:r>
      <w:r>
        <w:rPr>
          <w:rStyle w:val="Fett"/>
          <w:rFonts w:eastAsiaTheme="majorEastAsia"/>
          <w:rtl/>
        </w:rPr>
        <w:t>אֵלֶּה</w:t>
      </w:r>
      <w:r>
        <w:t>, „zu einer dieser Städte").</w:t>
      </w:r>
    </w:p>
    <w:p w14:paraId="569839BB" w14:textId="4CDCA1D3" w:rsidR="00DD2E9B" w:rsidRDefault="00DD2E9B" w:rsidP="00DD2E9B">
      <w:pPr>
        <w:pStyle w:val="whitespace-normal"/>
      </w:pPr>
      <w:r>
        <w:t xml:space="preserve">Der Vers kontrastiert mit V. 4-5: Dies ist der Fall des vorsätzlichen Mörders. Die vier Merkmale: (1) </w:t>
      </w:r>
      <w:r>
        <w:rPr>
          <w:rStyle w:val="Fett"/>
          <w:rFonts w:eastAsiaTheme="majorEastAsia"/>
          <w:rtl/>
        </w:rPr>
        <w:t>שֹׂנֵא לְרֵעֵהוּ</w:t>
      </w:r>
      <w:r>
        <w:rPr>
          <w:rtl/>
        </w:rPr>
        <w:t xml:space="preserve"> </w:t>
      </w:r>
      <w:r>
        <w:t xml:space="preserve">(„hasst seinen Nächsten") – vorherige Feindschaft, Gegensatz zu V. 4.6 </w:t>
      </w:r>
      <w:r>
        <w:rPr>
          <w:rStyle w:val="Fett"/>
          <w:rFonts w:eastAsiaTheme="majorEastAsia"/>
          <w:rtl/>
        </w:rPr>
        <w:t>לֹא־שֹׂנֵא לוֹ מִתְּמֹל שִׁלְשֹׁם</w:t>
      </w:r>
      <w:r>
        <w:t xml:space="preserve">, (2) </w:t>
      </w:r>
      <w:r>
        <w:rPr>
          <w:rStyle w:val="Fett"/>
          <w:rFonts w:eastAsiaTheme="majorEastAsia"/>
          <w:rtl/>
        </w:rPr>
        <w:t>וְאָרַב לוֹ</w:t>
      </w:r>
      <w:r>
        <w:rPr>
          <w:rtl/>
        </w:rPr>
        <w:t xml:space="preserve"> </w:t>
      </w:r>
      <w:r>
        <w:t xml:space="preserve">(„lauert ihm auf") – Vorsatz, Planung (vgl. Ex 21,13; Ri 9,25.32.34.43; 20,29.33.36.37.38; 21,20; </w:t>
      </w:r>
      <w:r w:rsidR="00664EB6">
        <w:t>1Sam</w:t>
      </w:r>
      <w:r>
        <w:t xml:space="preserve"> 15,5; 22,8.13; Ps 10,8; 59,4; Spr 1,11.18; 7,12; 12,6; 23,28; 24,15; Jer 9,7; Klgl 3,10; 4,19), (3) </w:t>
      </w:r>
      <w:r>
        <w:rPr>
          <w:rStyle w:val="Fett"/>
          <w:rFonts w:eastAsiaTheme="majorEastAsia"/>
          <w:rtl/>
        </w:rPr>
        <w:t>וְקָם עָלָיו</w:t>
      </w:r>
      <w:r>
        <w:rPr>
          <w:rtl/>
        </w:rPr>
        <w:t xml:space="preserve"> </w:t>
      </w:r>
      <w:r>
        <w:t xml:space="preserve">(„erhebt sich gegen ihn") – aktiver Angriff, (4) </w:t>
      </w:r>
      <w:r>
        <w:rPr>
          <w:rStyle w:val="Fett"/>
          <w:rFonts w:eastAsiaTheme="majorEastAsia"/>
          <w:rtl/>
        </w:rPr>
        <w:t>וְהִכָּהוּ נֶפֶשׁ וָמֵת</w:t>
      </w:r>
      <w:r>
        <w:rPr>
          <w:rtl/>
        </w:rPr>
        <w:t xml:space="preserve"> </w:t>
      </w:r>
      <w:r>
        <w:t>(„schlägt ihn auf die Seele und er stirbt") – vorsätzliche Tötung.</w:t>
      </w:r>
    </w:p>
    <w:p w14:paraId="28EB8FAE" w14:textId="77777777" w:rsidR="00DD2E9B" w:rsidRDefault="00DD2E9B" w:rsidP="00DD2E9B">
      <w:pPr>
        <w:pStyle w:val="whitespace-normal"/>
      </w:pPr>
      <w:r>
        <w:t>Das Problem: Auch der vorsätzliche Mörder könnte zur Asylstadt fliehen. V. 12-13 regeln, was dann zu tun ist.</w:t>
      </w:r>
    </w:p>
    <w:p w14:paraId="6FF3CA65" w14:textId="77777777" w:rsidR="00DD2E9B" w:rsidRDefault="00DD2E9B" w:rsidP="00DD2E9B">
      <w:pPr>
        <w:pStyle w:val="whitespace-normal"/>
      </w:pPr>
      <w:r>
        <w:rPr>
          <w:rStyle w:val="Fett"/>
          <w:rFonts w:eastAsiaTheme="majorEastAsia"/>
        </w:rPr>
        <w:t>Die Satzstruktur:</w:t>
      </w:r>
      <w:r>
        <w:t xml:space="preserve"> Konditionaler Satz mit vier koordinierten Verben und weiterer Handlung (und wenn ist ein Mann, der hasst seinen Nächsten, und auflauert ihm und erhebt sich gegen ihn und schlägt ihn auf die Seele, und er stirbt, und flieht er zu einer dieser Städte).</w:t>
      </w:r>
    </w:p>
    <w:p w14:paraId="76A869C4" w14:textId="77777777" w:rsidR="00DD2E9B" w:rsidRDefault="00DD2E9B" w:rsidP="00DD2E9B">
      <w:pPr>
        <w:pStyle w:val="whitespace-normal"/>
      </w:pPr>
      <w:r>
        <w:t>Der Vers setzt den Fall: Wenn jemand aus Hass seinen Nächsten auflauert, angreift und tötet – und dann zur Asylstadt flieht – dann folgt V. 12 mit der Regelung.</w:t>
      </w:r>
    </w:p>
    <w:p w14:paraId="35EE85C1"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19,12</w:t>
      </w:r>
    </w:p>
    <w:p w14:paraId="1A8E1934" w14:textId="77777777" w:rsidR="00DD2E9B" w:rsidRDefault="00DD2E9B" w:rsidP="00DD2E9B">
      <w:pPr>
        <w:pStyle w:val="whitespace-normal"/>
      </w:pPr>
      <w:r>
        <w:rPr>
          <w:rStyle w:val="Fett"/>
          <w:rFonts w:eastAsiaTheme="majorEastAsia"/>
        </w:rPr>
        <w:t>Hebräisch:</w:t>
      </w:r>
      <w:r>
        <w:t xml:space="preserve"> </w:t>
      </w:r>
      <w:r>
        <w:rPr>
          <w:rtl/>
        </w:rPr>
        <w:t>וְשָֽׁלְחוּ֙ זִקְנֵ֣י עִירֹ֔ו וְלָקְח֥וּ אֹתוֹ֖ מִשָּׁ֑ם וְנָתְנ֣וּ אֹתוֹ֗ בְּיַ֛ד גֹּאֵ֥ל הַדָּ֖ם וָמֵֽת׃</w:t>
      </w:r>
    </w:p>
    <w:p w14:paraId="58699C6E" w14:textId="77777777" w:rsidR="00DD2E9B" w:rsidRDefault="00DD2E9B" w:rsidP="00DD2E9B">
      <w:pPr>
        <w:pStyle w:val="whitespace-normal"/>
      </w:pPr>
      <w:r>
        <w:rPr>
          <w:rStyle w:val="Fett"/>
          <w:rFonts w:eastAsiaTheme="majorEastAsia"/>
        </w:rPr>
        <w:t>Deutsch:</w:t>
      </w:r>
      <w:r>
        <w:t xml:space="preserve"> so sollen senden die Ältesten seiner Stadt und ihn von dort holen und ihn geben in die Hand des Bluträchers, dass er sterbe.</w:t>
      </w:r>
    </w:p>
    <w:p w14:paraId="66A31F2B" w14:textId="77777777" w:rsidR="00DD2E9B" w:rsidRDefault="004F5CEB" w:rsidP="00DD2E9B">
      <w:r>
        <w:rPr>
          <w:noProof/>
        </w:rPr>
        <w:pict w14:anchorId="784FD6C5">
          <v:rect id="_x0000_i1543" style="width:0;height:1.5pt" o:hralign="center" o:hrstd="t" o:hr="t" fillcolor="#a0a0a0" stroked="f"/>
        </w:pict>
      </w:r>
    </w:p>
    <w:p w14:paraId="1AEFB474" w14:textId="77777777" w:rsidR="00DD2E9B" w:rsidRDefault="00DD2E9B" w:rsidP="00DD2E9B">
      <w:pPr>
        <w:pStyle w:val="whitespace-normal"/>
      </w:pPr>
      <w:r>
        <w:rPr>
          <w:rStyle w:val="Fett"/>
          <w:rFonts w:eastAsiaTheme="majorEastAsia"/>
        </w:rPr>
        <w:lastRenderedPageBreak/>
        <w:t>Kommentar:</w:t>
      </w:r>
      <w:r>
        <w:t xml:space="preserve"> </w:t>
      </w:r>
      <w:r>
        <w:rPr>
          <w:rStyle w:val="Fett"/>
          <w:rFonts w:eastAsiaTheme="majorEastAsia"/>
          <w:rtl/>
        </w:rPr>
        <w:t>וְשָׁלְחוּ זִקְנֵי עִירוֹ וְלָקְחוּ אֹתוֹ מִשָּׁם</w:t>
      </w:r>
      <w:r>
        <w:rPr>
          <w:rtl/>
        </w:rPr>
        <w:t xml:space="preserve"> </w:t>
      </w:r>
      <w:r>
        <w:t xml:space="preserve">sind zwei koordinierte Verben: </w:t>
      </w:r>
      <w:r>
        <w:rPr>
          <w:rStyle w:val="Fett"/>
          <w:rFonts w:eastAsiaTheme="majorEastAsia"/>
          <w:rtl/>
        </w:rPr>
        <w:t>וְשָׁלְחוּ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שׁלח</w:t>
      </w:r>
      <w:r>
        <w:t xml:space="preserve">, Qal Perfekt, 3. Person Plural, „senden", mit </w:t>
      </w:r>
      <w:r>
        <w:rPr>
          <w:rStyle w:val="Fett"/>
          <w:rFonts w:eastAsiaTheme="majorEastAsia"/>
        </w:rPr>
        <w:t>Waw</w:t>
      </w:r>
      <w:r>
        <w:t xml:space="preserve"> consecutives Perfekt), </w:t>
      </w:r>
      <w:r>
        <w:rPr>
          <w:rStyle w:val="Fett"/>
          <w:rFonts w:eastAsiaTheme="majorEastAsia"/>
          <w:rtl/>
        </w:rPr>
        <w:t>זִקְנֵי עִירוֹ</w:t>
      </w:r>
      <w:r>
        <w:rPr>
          <w:rtl/>
        </w:rPr>
        <w:t xml:space="preserve"> </w:t>
      </w:r>
      <w:r>
        <w:t>(</w:t>
      </w:r>
      <w:r>
        <w:rPr>
          <w:rStyle w:val="Fett"/>
          <w:rFonts w:eastAsiaTheme="majorEastAsia"/>
          <w:rtl/>
        </w:rPr>
        <w:t>זָקֵן</w:t>
      </w:r>
      <w:r>
        <w:t xml:space="preserve">, „Ältester", Plural Construct mit </w:t>
      </w:r>
      <w:r>
        <w:rPr>
          <w:rStyle w:val="Fett"/>
          <w:rFonts w:eastAsiaTheme="majorEastAsia"/>
          <w:rtl/>
        </w:rPr>
        <w:t>עִיר</w:t>
      </w:r>
      <w:r>
        <w:t xml:space="preserve">, „Stadt", mit Suffix 3. Person Maskulinum Singular, „die Ältesten seiner Stadt" = seiner Heimatstadt), </w:t>
      </w:r>
      <w:r>
        <w:rPr>
          <w:rStyle w:val="Fett"/>
          <w:rFonts w:eastAsiaTheme="majorEastAsia"/>
          <w:rtl/>
        </w:rPr>
        <w:t>וְלָקְחוּ אֹתוֹ מִשָּׁם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לקח</w:t>
      </w:r>
      <w:r>
        <w:t xml:space="preserve">, Qal Perfekt, 3. Person Plural, „nehmen, holen", </w:t>
      </w:r>
      <w:r>
        <w:rPr>
          <w:rStyle w:val="Fett"/>
          <w:rFonts w:eastAsiaTheme="majorEastAsia"/>
          <w:rtl/>
        </w:rPr>
        <w:t>אֹתוֹ</w:t>
      </w:r>
      <w:r>
        <w:t xml:space="preserve">, Objektpartikel </w:t>
      </w:r>
      <w:r>
        <w:rPr>
          <w:rStyle w:val="Fett"/>
          <w:rFonts w:eastAsiaTheme="majorEastAsia"/>
          <w:rtl/>
        </w:rPr>
        <w:t>אֵת</w:t>
      </w:r>
      <w:r>
        <w:rPr>
          <w:rtl/>
        </w:rPr>
        <w:t xml:space="preserve"> </w:t>
      </w:r>
      <w:r>
        <w:t xml:space="preserve">mit Suffix 3. Person Maskulinum Singular, </w:t>
      </w:r>
      <w:r>
        <w:rPr>
          <w:rStyle w:val="Fett"/>
          <w:rFonts w:eastAsiaTheme="majorEastAsia"/>
          <w:rtl/>
        </w:rPr>
        <w:t>מִשָּׁם</w:t>
      </w:r>
      <w:r>
        <w:t xml:space="preserve">, Präposition </w:t>
      </w:r>
      <w:r>
        <w:rPr>
          <w:rStyle w:val="Fett"/>
          <w:rFonts w:eastAsiaTheme="majorEastAsia"/>
          <w:rtl/>
        </w:rPr>
        <w:t>מִן</w:t>
      </w:r>
      <w:r>
        <w:rPr>
          <w:rtl/>
        </w:rPr>
        <w:t xml:space="preserve"> </w:t>
      </w:r>
      <w:r>
        <w:t xml:space="preserve">mit </w:t>
      </w:r>
      <w:r>
        <w:rPr>
          <w:rStyle w:val="Fett"/>
          <w:rFonts w:eastAsiaTheme="majorEastAsia"/>
          <w:rtl/>
        </w:rPr>
        <w:t>שָׁם</w:t>
      </w:r>
      <w:r>
        <w:t xml:space="preserve">, „von dort", mit </w:t>
      </w:r>
      <w:r>
        <w:rPr>
          <w:rStyle w:val="Fett"/>
          <w:rFonts w:eastAsiaTheme="majorEastAsia"/>
        </w:rPr>
        <w:t>Waw</w:t>
      </w:r>
      <w:r>
        <w:t xml:space="preserve"> consecutives Perfekt).</w:t>
      </w:r>
    </w:p>
    <w:p w14:paraId="78EA74F8" w14:textId="77777777" w:rsidR="00DD2E9B" w:rsidRDefault="00DD2E9B" w:rsidP="00DD2E9B">
      <w:pPr>
        <w:pStyle w:val="whitespace-normal"/>
      </w:pPr>
      <w:r>
        <w:rPr>
          <w:rStyle w:val="Fett"/>
          <w:rFonts w:eastAsiaTheme="majorEastAsia"/>
          <w:rtl/>
        </w:rPr>
        <w:t>וְנָתְנוּ אֹתוֹ בְּיַד גֹּאֵל הַדָּם וָמֵת</w:t>
      </w:r>
      <w:r>
        <w:rPr>
          <w:rtl/>
        </w:rPr>
        <w:t xml:space="preserve"> </w:t>
      </w:r>
      <w:r>
        <w:t xml:space="preserve">sind zwei weitere koordinierte Verben: </w:t>
      </w:r>
      <w:r>
        <w:rPr>
          <w:rStyle w:val="Fett"/>
          <w:rFonts w:eastAsiaTheme="majorEastAsia"/>
          <w:rtl/>
        </w:rPr>
        <w:t>וְנָתְנוּ אֹתוֹ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נתן</w:t>
      </w:r>
      <w:r>
        <w:t xml:space="preserve">, Qal Perfekt, 3. Person Plural, „geben", </w:t>
      </w:r>
      <w:r>
        <w:rPr>
          <w:rStyle w:val="Fett"/>
          <w:rFonts w:eastAsiaTheme="majorEastAsia"/>
          <w:rtl/>
        </w:rPr>
        <w:t>אֹתוֹ</w:t>
      </w:r>
      <w:r>
        <w:t xml:space="preserve">, mit </w:t>
      </w:r>
      <w:r>
        <w:rPr>
          <w:rStyle w:val="Fett"/>
          <w:rFonts w:eastAsiaTheme="majorEastAsia"/>
        </w:rPr>
        <w:t>Waw</w:t>
      </w:r>
      <w:r>
        <w:t xml:space="preserve"> consecutives Perfekt), </w:t>
      </w:r>
      <w:r>
        <w:rPr>
          <w:rStyle w:val="Fett"/>
          <w:rFonts w:eastAsiaTheme="majorEastAsia"/>
          <w:rtl/>
        </w:rPr>
        <w:t>בְּיַד גֹּאֵל הַדָּם</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יָד</w:t>
      </w:r>
      <w:r>
        <w:t xml:space="preserve">, „Hand", Construct mit </w:t>
      </w:r>
      <w:r>
        <w:rPr>
          <w:rStyle w:val="Fett"/>
          <w:rFonts w:eastAsiaTheme="majorEastAsia"/>
          <w:rtl/>
        </w:rPr>
        <w:t>גאל הַדָּם</w:t>
      </w:r>
      <w:r>
        <w:t xml:space="preserve">, „in die Hand des Bluträchers"), </w:t>
      </w:r>
      <w:r>
        <w:rPr>
          <w:rStyle w:val="Fett"/>
          <w:rFonts w:eastAsiaTheme="majorEastAsia"/>
          <w:rtl/>
        </w:rPr>
        <w:t>וָמֵת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מות</w:t>
      </w:r>
      <w:r>
        <w:t xml:space="preserve">, Qal Perfekt, 3. Person Maskulinum Singular, „sterben", mit </w:t>
      </w:r>
      <w:r>
        <w:rPr>
          <w:rStyle w:val="Fett"/>
          <w:rFonts w:eastAsiaTheme="majorEastAsia"/>
        </w:rPr>
        <w:t>Waw</w:t>
      </w:r>
      <w:r>
        <w:t xml:space="preserve"> consecutives Perfekt).</w:t>
      </w:r>
    </w:p>
    <w:p w14:paraId="55963C16" w14:textId="77777777" w:rsidR="00DD2E9B" w:rsidRDefault="00DD2E9B" w:rsidP="00DD2E9B">
      <w:pPr>
        <w:pStyle w:val="whitespace-normal"/>
      </w:pPr>
      <w:r>
        <w:t xml:space="preserve">Der Vers regelt das Verfahren bei vorsätzlichem Mord: Die </w:t>
      </w:r>
      <w:r>
        <w:rPr>
          <w:rStyle w:val="Fett"/>
          <w:rFonts w:eastAsiaTheme="majorEastAsia"/>
          <w:rtl/>
        </w:rPr>
        <w:t>זִקְנֵי עִירוֹ</w:t>
      </w:r>
      <w:r>
        <w:rPr>
          <w:rtl/>
        </w:rPr>
        <w:t xml:space="preserve"> </w:t>
      </w:r>
      <w:r>
        <w:t xml:space="preserve">(„Ältesten seiner Stadt") – die lokale Autorität seiner Heimatstadt, nicht der Asylstadt – sind zuständig. Sie müssen: (1) </w:t>
      </w:r>
      <w:r>
        <w:rPr>
          <w:rStyle w:val="Fett"/>
          <w:rFonts w:eastAsiaTheme="majorEastAsia"/>
          <w:rtl/>
        </w:rPr>
        <w:t>וְשָׁלְחוּ</w:t>
      </w:r>
      <w:r>
        <w:rPr>
          <w:rtl/>
        </w:rPr>
        <w:t xml:space="preserve"> </w:t>
      </w:r>
      <w:r>
        <w:t xml:space="preserve">(„senden") – Boten zur Asylstadt schicken, (2) </w:t>
      </w:r>
      <w:r>
        <w:rPr>
          <w:rStyle w:val="Fett"/>
          <w:rFonts w:eastAsiaTheme="majorEastAsia"/>
          <w:rtl/>
        </w:rPr>
        <w:t>וְלָקְחוּ אֹתוֹ מִשָּׁם</w:t>
      </w:r>
      <w:r>
        <w:rPr>
          <w:rtl/>
        </w:rPr>
        <w:t xml:space="preserve"> </w:t>
      </w:r>
      <w:r>
        <w:t xml:space="preserve">(„ihn von dort holen") – der Mörder wird aus der Asylstadt ausgeliefert, (3) </w:t>
      </w:r>
      <w:r>
        <w:rPr>
          <w:rStyle w:val="Fett"/>
          <w:rFonts w:eastAsiaTheme="majorEastAsia"/>
          <w:rtl/>
        </w:rPr>
        <w:t>וְנָתְנוּ אֹתוֹ בְּיַד גֹּאֵל הַדָּם</w:t>
      </w:r>
      <w:r>
        <w:rPr>
          <w:rtl/>
        </w:rPr>
        <w:t xml:space="preserve"> </w:t>
      </w:r>
      <w:r>
        <w:t xml:space="preserve">(„ihn in die Hand des Bluträchers geben") – Übergabe an den </w:t>
      </w:r>
      <w:r>
        <w:rPr>
          <w:rStyle w:val="Fett"/>
          <w:rFonts w:eastAsiaTheme="majorEastAsia"/>
          <w:rtl/>
        </w:rPr>
        <w:t>גֹּאֵל הַדָּם</w:t>
      </w:r>
      <w:r>
        <w:t xml:space="preserve">, der dann die Blutrache vollstreckt, (4) </w:t>
      </w:r>
      <w:r>
        <w:rPr>
          <w:rStyle w:val="Fett"/>
          <w:rFonts w:eastAsiaTheme="majorEastAsia"/>
          <w:rtl/>
        </w:rPr>
        <w:t>וָמֵת</w:t>
      </w:r>
      <w:r>
        <w:rPr>
          <w:rtl/>
        </w:rPr>
        <w:t xml:space="preserve"> </w:t>
      </w:r>
      <w:r>
        <w:t>(„und er stirbt").</w:t>
      </w:r>
    </w:p>
    <w:p w14:paraId="7F8C0AB4" w14:textId="1225AC33" w:rsidR="00DD2E9B" w:rsidRDefault="00DD2E9B" w:rsidP="00DD2E9B">
      <w:pPr>
        <w:pStyle w:val="whitespace-normal"/>
      </w:pPr>
      <w:r>
        <w:t xml:space="preserve">Die Formulierung </w:t>
      </w:r>
      <w:r>
        <w:rPr>
          <w:rStyle w:val="Fett"/>
          <w:rFonts w:eastAsiaTheme="majorEastAsia"/>
          <w:rtl/>
        </w:rPr>
        <w:t>בְּיַד גֹּאֵל הַדָּם</w:t>
      </w:r>
      <w:r>
        <w:rPr>
          <w:rtl/>
        </w:rPr>
        <w:t xml:space="preserve"> </w:t>
      </w:r>
      <w:r>
        <w:t>(„in die Hand des Bluträchers") zeigt: Der Bluträcher vollstreckt die Strafe, nicht die Ältesten direkt. Dies wahrt das Recht auf Blutrache bei vorsätzlichem Mord (vgl. Num 35,19.21).</w:t>
      </w:r>
    </w:p>
    <w:p w14:paraId="4A4BDFFE" w14:textId="6BE0F442" w:rsidR="00C25194" w:rsidRDefault="00C25194" w:rsidP="00DD2E9B">
      <w:pPr>
        <w:pStyle w:val="whitespace-normal"/>
      </w:pPr>
      <w:r>
        <w:rPr>
          <w:rStyle w:val="Fett"/>
        </w:rPr>
        <w:t>Die LXX</w:t>
      </w:r>
      <w:r>
        <w:t xml:space="preserve"> verwendet ἡ </w:t>
      </w:r>
      <w:proofErr w:type="spellStart"/>
      <w:r>
        <w:t>γερουσί</w:t>
      </w:r>
      <w:proofErr w:type="spellEnd"/>
      <w:r>
        <w:t xml:space="preserve">α (der Ältestenrat) für </w:t>
      </w:r>
      <w:r w:rsidRPr="00C25194">
        <w:rPr>
          <w:b/>
          <w:bCs/>
          <w:rtl/>
        </w:rPr>
        <w:t>זִקְנֵי</w:t>
      </w:r>
      <w:r>
        <w:rPr>
          <w:rtl/>
        </w:rPr>
        <w:t xml:space="preserve"> </w:t>
      </w:r>
      <w:r w:rsidRPr="00C25194">
        <w:rPr>
          <w:b/>
          <w:bCs/>
          <w:rtl/>
        </w:rPr>
        <w:t>עִירוֹ</w:t>
      </w:r>
      <w:r>
        <w:t xml:space="preserve"> (die Ältesten seiner Stadt) – ein technischer griechischer Begriff für das Gremium der Ältesten.</w:t>
      </w:r>
    </w:p>
    <w:p w14:paraId="3A839F1D" w14:textId="77777777" w:rsidR="00DD2E9B" w:rsidRDefault="00DD2E9B" w:rsidP="00DD2E9B">
      <w:pPr>
        <w:pStyle w:val="whitespace-normal"/>
      </w:pPr>
      <w:r>
        <w:rPr>
          <w:rStyle w:val="Fett"/>
          <w:rFonts w:eastAsiaTheme="majorEastAsia"/>
        </w:rPr>
        <w:t>Die Satzstruktur:</w:t>
      </w:r>
      <w:r>
        <w:t xml:space="preserve"> Vier koordinierte Verben (senden sollen die Ältesten seiner Stadt und holen ihn von dort und geben ihn in die Hand des Bluträchers, und er stirbt).</w:t>
      </w:r>
    </w:p>
    <w:p w14:paraId="667C01F6" w14:textId="77777777" w:rsidR="00DD2E9B" w:rsidRDefault="00DD2E9B" w:rsidP="00DD2E9B">
      <w:pPr>
        <w:pStyle w:val="whitespace-normal"/>
      </w:pPr>
      <w:r>
        <w:t>Der Vers bestimmt: Die Ältesten der Heimatstadt des Mörders sollen ihn aus der Asylstadt holen und dem Bluträcher übergeben zur Hinrichtung.</w:t>
      </w:r>
    </w:p>
    <w:p w14:paraId="3E641FD2"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19,13</w:t>
      </w:r>
    </w:p>
    <w:p w14:paraId="222592E2" w14:textId="77777777" w:rsidR="00DD2E9B" w:rsidRDefault="00DD2E9B" w:rsidP="00DD2E9B">
      <w:pPr>
        <w:pStyle w:val="whitespace-normal"/>
      </w:pPr>
      <w:r>
        <w:rPr>
          <w:rStyle w:val="Fett"/>
          <w:rFonts w:eastAsiaTheme="majorEastAsia"/>
        </w:rPr>
        <w:t>Hebräisch:</w:t>
      </w:r>
      <w:r>
        <w:t xml:space="preserve"> </w:t>
      </w:r>
      <w:r>
        <w:rPr>
          <w:rtl/>
        </w:rPr>
        <w:t>לֹא־תָח֥וֹס עֵֽינְךָ֖ עָלָ֑יו וּבִֽעַרְתָּ֧ דַֽם־הַנָּקִ֛י מִיִּשְׂרָאֵ֖ל וְט֥וֹב לָֽךְ׃</w:t>
      </w:r>
    </w:p>
    <w:p w14:paraId="1680A88B" w14:textId="77777777" w:rsidR="00DD2E9B" w:rsidRDefault="00DD2E9B" w:rsidP="00DD2E9B">
      <w:pPr>
        <w:pStyle w:val="whitespace-normal"/>
      </w:pPr>
      <w:r>
        <w:rPr>
          <w:rStyle w:val="Fett"/>
          <w:rFonts w:eastAsiaTheme="majorEastAsia"/>
        </w:rPr>
        <w:t>Deutsch:</w:t>
      </w:r>
      <w:r>
        <w:t xml:space="preserve"> Nicht soll schonen dein Auge über ihm; und du sollst wegschaffen das unschuldige Blut aus Jisra'el, und es wird dir gut gehen.</w:t>
      </w:r>
    </w:p>
    <w:p w14:paraId="60CE9810" w14:textId="77777777" w:rsidR="00DD2E9B" w:rsidRDefault="004F5CEB" w:rsidP="00DD2E9B">
      <w:r>
        <w:rPr>
          <w:noProof/>
        </w:rPr>
        <w:pict w14:anchorId="29EF4C3D">
          <v:rect id="_x0000_i1544" style="width:0;height:1.5pt" o:hralign="center" o:hrstd="t" o:hr="t" fillcolor="#a0a0a0" stroked="f"/>
        </w:pict>
      </w:r>
    </w:p>
    <w:p w14:paraId="70AC8729" w14:textId="77777777" w:rsidR="00DD2E9B" w:rsidRDefault="00DD2E9B" w:rsidP="00DD2E9B">
      <w:pPr>
        <w:pStyle w:val="whitespace-normal"/>
      </w:pPr>
      <w:r>
        <w:rPr>
          <w:rStyle w:val="Fett"/>
          <w:rFonts w:eastAsiaTheme="majorEastAsia"/>
        </w:rPr>
        <w:t>Kommentar:</w:t>
      </w:r>
      <w:r>
        <w:t xml:space="preserve"> </w:t>
      </w:r>
      <w:r>
        <w:rPr>
          <w:rStyle w:val="Fett"/>
          <w:rFonts w:eastAsiaTheme="majorEastAsia"/>
          <w:rtl/>
        </w:rPr>
        <w:t>לֹא־תָחוֹס עֵינְךָ עָלָיו</w:t>
      </w:r>
      <w:r>
        <w:rPr>
          <w:rtl/>
        </w:rPr>
        <w:t xml:space="preserve"> </w:t>
      </w:r>
      <w:r>
        <w:t xml:space="preserve">ist ein negativer Imperativ: </w:t>
      </w:r>
      <w:r>
        <w:rPr>
          <w:rStyle w:val="Fett"/>
          <w:rFonts w:eastAsiaTheme="majorEastAsia"/>
          <w:rtl/>
        </w:rPr>
        <w:t>לֹא־תָחוֹס</w:t>
      </w:r>
      <w:r>
        <w:rPr>
          <w:rtl/>
        </w:rPr>
        <w:t xml:space="preserve"> </w:t>
      </w:r>
      <w:r>
        <w:t xml:space="preserve">(Negation mit </w:t>
      </w:r>
      <w:r>
        <w:rPr>
          <w:rStyle w:val="Fett"/>
          <w:rFonts w:eastAsiaTheme="majorEastAsia"/>
          <w:rtl/>
        </w:rPr>
        <w:t>חוס</w:t>
      </w:r>
      <w:r>
        <w:t xml:space="preserve">, Qal Imperfekt, 2. Person Maskulinum Singular, „Mitleid haben, schonen"), </w:t>
      </w:r>
      <w:r>
        <w:rPr>
          <w:rStyle w:val="Fett"/>
          <w:rFonts w:eastAsiaTheme="majorEastAsia"/>
          <w:rtl/>
        </w:rPr>
        <w:t>עֵינְךָ</w:t>
      </w:r>
      <w:r>
        <w:rPr>
          <w:rtl/>
        </w:rPr>
        <w:t xml:space="preserve"> </w:t>
      </w:r>
      <w:r>
        <w:t>(</w:t>
      </w:r>
      <w:r>
        <w:rPr>
          <w:rStyle w:val="Fett"/>
          <w:rFonts w:eastAsiaTheme="majorEastAsia"/>
          <w:rtl/>
        </w:rPr>
        <w:t>עַיִן</w:t>
      </w:r>
      <w:r>
        <w:t xml:space="preserve">, „Auge", mit Suffix 2. Person Maskulinum Singular, „dein Auge"), </w:t>
      </w:r>
      <w:r>
        <w:rPr>
          <w:rStyle w:val="Fett"/>
          <w:rFonts w:eastAsiaTheme="majorEastAsia"/>
          <w:rtl/>
        </w:rPr>
        <w:t>עָלָיו</w:t>
      </w:r>
      <w:r>
        <w:rPr>
          <w:rtl/>
        </w:rPr>
        <w:t xml:space="preserve"> </w:t>
      </w:r>
      <w:r>
        <w:t xml:space="preserve">(Präposition </w:t>
      </w:r>
      <w:r>
        <w:rPr>
          <w:rStyle w:val="Fett"/>
          <w:rFonts w:eastAsiaTheme="majorEastAsia"/>
          <w:rtl/>
        </w:rPr>
        <w:t>עַל</w:t>
      </w:r>
      <w:r>
        <w:rPr>
          <w:rtl/>
        </w:rPr>
        <w:t xml:space="preserve"> </w:t>
      </w:r>
      <w:r>
        <w:t>mit Suffix 3. Person Maskulinum Singular, „über ihm, für ihn").</w:t>
      </w:r>
    </w:p>
    <w:p w14:paraId="25CA1892" w14:textId="77777777" w:rsidR="00DD2E9B" w:rsidRDefault="00DD2E9B" w:rsidP="00DD2E9B">
      <w:pPr>
        <w:pStyle w:val="whitespace-normal"/>
      </w:pPr>
      <w:r>
        <w:rPr>
          <w:rStyle w:val="Fett"/>
          <w:rFonts w:eastAsiaTheme="majorEastAsia"/>
          <w:rtl/>
        </w:rPr>
        <w:lastRenderedPageBreak/>
        <w:t>וּבִעַרְתָּ דַם־הַנָּקִי מִיִּשְׂרָאֵל וְטוֹב לָךְ</w:t>
      </w:r>
      <w:r>
        <w:rPr>
          <w:rtl/>
        </w:rPr>
        <w:t xml:space="preserve"> </w:t>
      </w:r>
      <w:r>
        <w:t xml:space="preserve">sind zwei koordinierte Sätze: </w:t>
      </w:r>
      <w:r>
        <w:rPr>
          <w:rStyle w:val="Fett"/>
          <w:rFonts w:eastAsiaTheme="majorEastAsia"/>
          <w:rtl/>
        </w:rPr>
        <w:t>וּבִעַרְתָּ דַם־הַנָּקִי מִיִּשְׂרָאֵל</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בער</w:t>
      </w:r>
      <w:r>
        <w:t xml:space="preserve">, Piel Perfekt, 2. Person Maskulinum Singular, „wegschaffen, ausrotten", </w:t>
      </w:r>
      <w:r>
        <w:rPr>
          <w:rStyle w:val="Fett"/>
          <w:rFonts w:eastAsiaTheme="majorEastAsia"/>
          <w:rtl/>
        </w:rPr>
        <w:t>דָּם</w:t>
      </w:r>
      <w:r>
        <w:t xml:space="preserve">, „Blut", Construct mit </w:t>
      </w:r>
      <w:r>
        <w:rPr>
          <w:rStyle w:val="Fett"/>
          <w:rFonts w:eastAsiaTheme="majorEastAsia"/>
          <w:rtl/>
        </w:rPr>
        <w:t>נָקִי</w:t>
      </w:r>
      <w:r>
        <w:t xml:space="preserve">, „unschuldig, rein", mit Artikel, </w:t>
      </w:r>
      <w:r>
        <w:rPr>
          <w:rStyle w:val="Fett"/>
          <w:rFonts w:eastAsiaTheme="majorEastAsia"/>
          <w:rtl/>
        </w:rPr>
        <w:t>מִיִּשְׂרָאֵל</w:t>
      </w:r>
      <w:r>
        <w:t xml:space="preserve">, Präposition </w:t>
      </w:r>
      <w:r>
        <w:rPr>
          <w:rStyle w:val="Fett"/>
          <w:rFonts w:eastAsiaTheme="majorEastAsia"/>
          <w:rtl/>
        </w:rPr>
        <w:t>מִן</w:t>
      </w:r>
      <w:r>
        <w:rPr>
          <w:rtl/>
        </w:rPr>
        <w:t xml:space="preserve"> </w:t>
      </w:r>
      <w:r>
        <w:t xml:space="preserve">mit </w:t>
      </w:r>
      <w:r>
        <w:rPr>
          <w:rStyle w:val="Fett"/>
          <w:rFonts w:eastAsiaTheme="majorEastAsia"/>
          <w:rtl/>
        </w:rPr>
        <w:t>יִשְׂרָאֵל</w:t>
      </w:r>
      <w:r>
        <w:t xml:space="preserve">, „aus Israel", mit </w:t>
      </w:r>
      <w:r>
        <w:rPr>
          <w:rStyle w:val="Fett"/>
          <w:rFonts w:eastAsiaTheme="majorEastAsia"/>
        </w:rPr>
        <w:t>Waw</w:t>
      </w:r>
      <w:r>
        <w:t xml:space="preserve"> consecutives Perfekt), </w:t>
      </w:r>
      <w:r>
        <w:rPr>
          <w:rStyle w:val="Fett"/>
          <w:rFonts w:eastAsiaTheme="majorEastAsia"/>
          <w:rtl/>
        </w:rPr>
        <w:t>וְטוֹב לָךְ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טוֹב</w:t>
      </w:r>
      <w:r>
        <w:t xml:space="preserve">, Adjektiv, „gut", </w:t>
      </w:r>
      <w:r>
        <w:rPr>
          <w:rStyle w:val="Fett"/>
          <w:rFonts w:eastAsiaTheme="majorEastAsia"/>
          <w:rtl/>
        </w:rPr>
        <w:t>לָךְ</w:t>
      </w:r>
      <w:r>
        <w:t xml:space="preserve">, Präposition </w:t>
      </w:r>
      <w:r>
        <w:rPr>
          <w:rStyle w:val="Fett"/>
          <w:rFonts w:eastAsiaTheme="majorEastAsia"/>
          <w:rtl/>
        </w:rPr>
        <w:t>לְ</w:t>
      </w:r>
      <w:r>
        <w:rPr>
          <w:rtl/>
        </w:rPr>
        <w:t xml:space="preserve"> </w:t>
      </w:r>
      <w:r>
        <w:t>mit Suffix 2. Person Maskulinum Singular, „und gut [wird es sein] dir").</w:t>
      </w:r>
    </w:p>
    <w:p w14:paraId="551D6970" w14:textId="77777777" w:rsidR="00DD2E9B" w:rsidRDefault="00DD2E9B" w:rsidP="00DD2E9B">
      <w:pPr>
        <w:pStyle w:val="whitespace-normal"/>
      </w:pPr>
      <w:r>
        <w:t xml:space="preserve">Der Vers betont die Notwendigkeit konsequenter Rechtsdurchsetzung. Die Formulierung </w:t>
      </w:r>
      <w:r>
        <w:rPr>
          <w:rStyle w:val="Fett"/>
          <w:rFonts w:eastAsiaTheme="majorEastAsia"/>
          <w:rtl/>
        </w:rPr>
        <w:t>לֹא־תָחוֹס עֵינְךָ עָלָיו</w:t>
      </w:r>
      <w:r>
        <w:rPr>
          <w:rtl/>
        </w:rPr>
        <w:t xml:space="preserve"> </w:t>
      </w:r>
      <w:r>
        <w:t xml:space="preserve">(„nicht soll schonen dein Auge über ihm") ist eine charakteristische deuteronomische Formel gegen Milde bei schweren Verbrechen (vgl. 7,16; 13,9; 19,13.21; 25,12). Der Singular </w:t>
      </w:r>
      <w:r>
        <w:rPr>
          <w:rStyle w:val="Fett"/>
          <w:rFonts w:eastAsiaTheme="majorEastAsia"/>
          <w:rtl/>
        </w:rPr>
        <w:t>עֵינְךָ</w:t>
      </w:r>
      <w:r>
        <w:rPr>
          <w:rtl/>
        </w:rPr>
        <w:t xml:space="preserve"> </w:t>
      </w:r>
      <w:r>
        <w:t>(„dein Auge") richtet sich an das Kollektiv – jeder Einzelne soll hart bleiben.</w:t>
      </w:r>
    </w:p>
    <w:p w14:paraId="6462C3B4" w14:textId="77777777" w:rsidR="00DD2E9B" w:rsidRDefault="00DD2E9B" w:rsidP="00DD2E9B">
      <w:pPr>
        <w:pStyle w:val="whitespace-normal"/>
      </w:pPr>
      <w:r>
        <w:t xml:space="preserve">Die Begründung </w:t>
      </w:r>
      <w:r>
        <w:rPr>
          <w:rStyle w:val="Fett"/>
          <w:rFonts w:eastAsiaTheme="majorEastAsia"/>
          <w:rtl/>
        </w:rPr>
        <w:t>וּבִעַרְתָּ דַם־הַנָּקִי מִיִּשְׂרָאֵל</w:t>
      </w:r>
      <w:r>
        <w:rPr>
          <w:rtl/>
        </w:rPr>
        <w:t xml:space="preserve"> </w:t>
      </w:r>
      <w:r>
        <w:t xml:space="preserve">(„du sollst wegschaffen das unschuldige Blut aus Israel") ist paradox: Durch Hinrichtung des Mörders wird „unschuldiges Blut" weggeschafft. Gemeint ist: Die Schuld für vergossenes unschuldiges Blut (des Opfers) wird durch Bestrafung des Täters gesühnt. Die Formulierung </w:t>
      </w:r>
      <w:r>
        <w:rPr>
          <w:rStyle w:val="Fett"/>
          <w:rFonts w:eastAsiaTheme="majorEastAsia"/>
          <w:rtl/>
        </w:rPr>
        <w:t>וְטוֹב לָךְ</w:t>
      </w:r>
      <w:r>
        <w:rPr>
          <w:rtl/>
        </w:rPr>
        <w:t xml:space="preserve"> </w:t>
      </w:r>
      <w:r>
        <w:t>(„und gut wird es dir [gehen]") verspricht Segen bei konsequenter Rechtsdurchsetzung (vgl. 4,40; 5,16.29.33; 6,3.18.24; 12,25.28; 19,13; 22,7).</w:t>
      </w:r>
    </w:p>
    <w:p w14:paraId="3BFABE50" w14:textId="6AF6236E" w:rsidR="00DD2E9B" w:rsidRDefault="00DD2E9B" w:rsidP="00DD2E9B">
      <w:pPr>
        <w:pStyle w:val="whitespace-normal"/>
      </w:pPr>
      <w:r>
        <w:t xml:space="preserve">Die Wendung </w:t>
      </w:r>
      <w:r>
        <w:rPr>
          <w:rStyle w:val="Fett"/>
          <w:rFonts w:eastAsiaTheme="majorEastAsia"/>
          <w:rtl/>
        </w:rPr>
        <w:t>דַם־הַנָּקִי</w:t>
      </w:r>
      <w:r>
        <w:rPr>
          <w:rtl/>
        </w:rPr>
        <w:t xml:space="preserve"> </w:t>
      </w:r>
      <w:r>
        <w:t>(„das unschuldige Blut") bezieht sich hier auf das Blut des Mordopfers, das nach Rache/Sühne schreit (vgl. Gen 4,10; Num 35,33).</w:t>
      </w:r>
    </w:p>
    <w:p w14:paraId="7FBA24A0" w14:textId="7A9A4DE7" w:rsidR="00C25194" w:rsidRDefault="00C25194" w:rsidP="00DD2E9B">
      <w:pPr>
        <w:pStyle w:val="whitespace-normal"/>
      </w:pPr>
      <w:r>
        <w:rPr>
          <w:rStyle w:val="Fett"/>
        </w:rPr>
        <w:t>Die LXX</w:t>
      </w:r>
      <w:r>
        <w:t xml:space="preserve"> übersetzt </w:t>
      </w:r>
      <w:r>
        <w:rPr>
          <w:rtl/>
        </w:rPr>
        <w:t>וּבִעַרְתָּ דַם־הַנָּקִי</w:t>
      </w:r>
      <w:r>
        <w:t xml:space="preserve"> (und du sollst beseitigen das unschuldige Blut) mit καὶ καθα</w:t>
      </w:r>
      <w:proofErr w:type="spellStart"/>
      <w:r>
        <w:t>ριεῖς</w:t>
      </w:r>
      <w:proofErr w:type="spellEnd"/>
      <w:r>
        <w:t xml:space="preserve"> </w:t>
      </w:r>
      <w:proofErr w:type="spellStart"/>
      <w:r>
        <w:t>τὸ</w:t>
      </w:r>
      <w:proofErr w:type="spellEnd"/>
      <w:r>
        <w:t xml:space="preserve"> α</w:t>
      </w:r>
      <w:proofErr w:type="spellStart"/>
      <w:r>
        <w:t>ἷμ</w:t>
      </w:r>
      <w:proofErr w:type="spellEnd"/>
      <w:r>
        <w:t xml:space="preserve">α </w:t>
      </w:r>
      <w:proofErr w:type="spellStart"/>
      <w:r>
        <w:t>τὸ</w:t>
      </w:r>
      <w:proofErr w:type="spellEnd"/>
      <w:r>
        <w:t xml:space="preserve"> </w:t>
      </w:r>
      <w:proofErr w:type="spellStart"/>
      <w:r>
        <w:t>ἀν</w:t>
      </w:r>
      <w:proofErr w:type="spellEnd"/>
      <w:r>
        <w:t>αίτιον (und du wirst reinigen das schuldlose Blut) – eine Verschiebung von "Beseitigung" zu "Reinigung", die den kultischen Aspekt der Blutvergeltung betont.</w:t>
      </w:r>
    </w:p>
    <w:p w14:paraId="1D63C873" w14:textId="77777777" w:rsidR="00DD2E9B" w:rsidRDefault="00DD2E9B" w:rsidP="00DD2E9B">
      <w:pPr>
        <w:pStyle w:val="whitespace-normal"/>
      </w:pPr>
      <w:r>
        <w:rPr>
          <w:rStyle w:val="Fett"/>
          <w:rFonts w:eastAsiaTheme="majorEastAsia"/>
        </w:rPr>
        <w:t>Die Satzstruktur:</w:t>
      </w:r>
      <w:r>
        <w:t xml:space="preserve"> Negativer Imperativ mit zwei koordinierten Sätzen (nicht soll schonen dein Auge über ihm; und wegschaffen sollst du das unschuldige Blut aus Israel, und gut wird es dir [gehen]).</w:t>
      </w:r>
    </w:p>
    <w:p w14:paraId="180D9EE6" w14:textId="77777777" w:rsidR="00DD2E9B" w:rsidRDefault="00DD2E9B" w:rsidP="00DD2E9B">
      <w:pPr>
        <w:pStyle w:val="whitespace-normal"/>
      </w:pPr>
      <w:r>
        <w:t>Der Vers fordert: Zeige kein Mitleid mit dem Mörder – schaffe die Blutschuld durch seine Hinrichtung aus Israel weg, dann wird es dir gut gehen.</w:t>
      </w:r>
    </w:p>
    <w:p w14:paraId="5D959D18"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19,14</w:t>
      </w:r>
    </w:p>
    <w:p w14:paraId="4FB87CC2" w14:textId="77777777" w:rsidR="00DD2E9B" w:rsidRDefault="00DD2E9B" w:rsidP="00DD2E9B">
      <w:pPr>
        <w:pStyle w:val="whitespace-normal"/>
      </w:pPr>
      <w:r>
        <w:rPr>
          <w:rStyle w:val="Fett"/>
          <w:rFonts w:eastAsiaTheme="majorEastAsia"/>
        </w:rPr>
        <w:t>Hebräisch:</w:t>
      </w:r>
      <w:r>
        <w:t xml:space="preserve"> </w:t>
      </w:r>
      <w:r>
        <w:rPr>
          <w:rtl/>
        </w:rPr>
        <w:t>לֹ֤א תַסִּיג֙ גְּב֣וּל רֵֽעֲךָ֔ אֲשֶׁ֥ר גָּבְל֖וּ רִאשֹׁנִ֑ים בְּנַחֲלָֽתְךָ֙ אֲשֶׁ֣ר תִּנְחַ֔ל בָּאָ֕רֶץ אֲשֶׁר֙ יְהוָ֣ה אֱלֹהֶ֔יךָ נֹתֵ֥ן לְךָ֖ לְרִשְׁתָּֽהּ׃</w:t>
      </w:r>
    </w:p>
    <w:p w14:paraId="7396EC8D" w14:textId="77777777" w:rsidR="00DD2E9B" w:rsidRDefault="00DD2E9B" w:rsidP="00DD2E9B">
      <w:pPr>
        <w:pStyle w:val="whitespace-normal"/>
      </w:pPr>
      <w:r>
        <w:rPr>
          <w:rStyle w:val="Fett"/>
          <w:rFonts w:eastAsiaTheme="majorEastAsia"/>
        </w:rPr>
        <w:t>Deutsch:</w:t>
      </w:r>
      <w:r>
        <w:t xml:space="preserve"> Nicht sollst du zurücksetzen die Grenze deines Nächsten, die gesetzt haben die Vorfahren, in deinem Erbteil, das du erben wirst in dem Land, das der Ewige, dein Gott, dir gibt, es in Besitz zu nehmen.</w:t>
      </w:r>
    </w:p>
    <w:p w14:paraId="7FFDC166" w14:textId="77777777" w:rsidR="00DD2E9B" w:rsidRDefault="004F5CEB" w:rsidP="00DD2E9B">
      <w:r>
        <w:rPr>
          <w:noProof/>
        </w:rPr>
        <w:pict w14:anchorId="5C4C7F9F">
          <v:rect id="_x0000_i1545" style="width:0;height:1.5pt" o:hralign="center" o:hrstd="t" o:hr="t" fillcolor="#a0a0a0" stroked="f"/>
        </w:pict>
      </w:r>
    </w:p>
    <w:p w14:paraId="44F160B6" w14:textId="77777777" w:rsidR="00DD2E9B" w:rsidRDefault="00DD2E9B" w:rsidP="00DD2E9B">
      <w:pPr>
        <w:pStyle w:val="whitespace-normal"/>
      </w:pPr>
      <w:r>
        <w:rPr>
          <w:rStyle w:val="Fett"/>
          <w:rFonts w:eastAsiaTheme="majorEastAsia"/>
        </w:rPr>
        <w:t>Kommentar:</w:t>
      </w:r>
      <w:r>
        <w:t xml:space="preserve"> </w:t>
      </w:r>
      <w:r>
        <w:rPr>
          <w:rStyle w:val="Fett"/>
          <w:rFonts w:eastAsiaTheme="majorEastAsia"/>
          <w:rtl/>
        </w:rPr>
        <w:t>לֹא תַסִּיג גְּבוּל רֵעֲךָ אֲשֶׁר גָּבְלוּ רִאשֹׁנִים</w:t>
      </w:r>
      <w:r>
        <w:rPr>
          <w:rtl/>
        </w:rPr>
        <w:t xml:space="preserve"> </w:t>
      </w:r>
      <w:r>
        <w:t xml:space="preserve">ist ein negativer Imperativ: </w:t>
      </w:r>
      <w:r>
        <w:rPr>
          <w:rStyle w:val="Fett"/>
          <w:rFonts w:eastAsiaTheme="majorEastAsia"/>
          <w:rtl/>
        </w:rPr>
        <w:t>לֹא תַסִּיג</w:t>
      </w:r>
      <w:r>
        <w:rPr>
          <w:rtl/>
        </w:rPr>
        <w:t xml:space="preserve"> </w:t>
      </w:r>
      <w:r>
        <w:t xml:space="preserve">(Negation mit </w:t>
      </w:r>
      <w:r>
        <w:rPr>
          <w:rStyle w:val="Fett"/>
          <w:rFonts w:eastAsiaTheme="majorEastAsia"/>
          <w:rtl/>
        </w:rPr>
        <w:t>סוג</w:t>
      </w:r>
      <w:r>
        <w:t xml:space="preserve">, Hiphil Imperfekt, 2. Person Maskulinum Singular, „zurückweichen, zurücksetzen, </w:t>
      </w:r>
      <w:r>
        <w:lastRenderedPageBreak/>
        <w:t xml:space="preserve">verschieben"), </w:t>
      </w:r>
      <w:r>
        <w:rPr>
          <w:rStyle w:val="Fett"/>
          <w:rFonts w:eastAsiaTheme="majorEastAsia"/>
          <w:rtl/>
        </w:rPr>
        <w:t>גְּבוּל רֵעֲךָ</w:t>
      </w:r>
      <w:r>
        <w:rPr>
          <w:rtl/>
        </w:rPr>
        <w:t xml:space="preserve"> </w:t>
      </w:r>
      <w:r>
        <w:t>(</w:t>
      </w:r>
      <w:r>
        <w:rPr>
          <w:rStyle w:val="Fett"/>
          <w:rFonts w:eastAsiaTheme="majorEastAsia"/>
          <w:rtl/>
        </w:rPr>
        <w:t>גְּבוּל</w:t>
      </w:r>
      <w:r>
        <w:t xml:space="preserve">, „Grenze, Gebiet", Construct mit </w:t>
      </w:r>
      <w:r>
        <w:rPr>
          <w:rStyle w:val="Fett"/>
          <w:rFonts w:eastAsiaTheme="majorEastAsia"/>
          <w:rtl/>
        </w:rPr>
        <w:t>רֵעַ</w:t>
      </w:r>
      <w:r>
        <w:t xml:space="preserve">, „Nächster", mit Suffix 2. Person Maskulinum Singular, „die Grenze deines Nächsten"), </w:t>
      </w:r>
      <w:r>
        <w:rPr>
          <w:rStyle w:val="Fett"/>
          <w:rFonts w:eastAsiaTheme="majorEastAsia"/>
          <w:rtl/>
        </w:rPr>
        <w:t>אֲשֶׁר גָּבְלוּ רִאשֹׁנִים</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גבל</w:t>
      </w:r>
      <w:r>
        <w:t xml:space="preserve">, Qal Perfekt, 3. Person Plural, „Grenze setzen, abgrenzen", </w:t>
      </w:r>
      <w:r>
        <w:rPr>
          <w:rStyle w:val="Fett"/>
          <w:rFonts w:eastAsiaTheme="majorEastAsia"/>
          <w:rtl/>
        </w:rPr>
        <w:t>רִאשֹׁנִים</w:t>
      </w:r>
      <w:r>
        <w:t xml:space="preserve">, </w:t>
      </w:r>
      <w:r>
        <w:rPr>
          <w:rStyle w:val="Fett"/>
          <w:rFonts w:eastAsiaTheme="majorEastAsia"/>
          <w:rtl/>
        </w:rPr>
        <w:t>רִאשׁוֹן</w:t>
      </w:r>
      <w:r>
        <w:t>, „erster, früherer", Plural, „die Vorfahren, die Ersten", „die gesetzt haben die Vorfahren").</w:t>
      </w:r>
    </w:p>
    <w:p w14:paraId="7B180D4A" w14:textId="77777777" w:rsidR="00DD2E9B" w:rsidRDefault="00DD2E9B" w:rsidP="00DD2E9B">
      <w:pPr>
        <w:pStyle w:val="whitespace-normal"/>
      </w:pPr>
      <w:r>
        <w:rPr>
          <w:rStyle w:val="Fett"/>
          <w:rFonts w:eastAsiaTheme="majorEastAsia"/>
          <w:rtl/>
        </w:rPr>
        <w:t>בְּנַחֲלָתְךָ אֲשֶׁר תִּנְחַל בָּאָרֶץ אֲשֶׁר יְהוָה אֱלֹהֶיךָ נֹתֵן לְךָ לְרִשְׁתָּהּ</w:t>
      </w:r>
      <w:r>
        <w:rPr>
          <w:rtl/>
        </w:rPr>
        <w:t xml:space="preserve"> </w:t>
      </w:r>
      <w:r>
        <w:t xml:space="preserve">ist die lokale Bestimmung: </w:t>
      </w:r>
      <w:r>
        <w:rPr>
          <w:rStyle w:val="Fett"/>
          <w:rFonts w:eastAsiaTheme="majorEastAsia"/>
          <w:rtl/>
        </w:rPr>
        <w:t>בְּנַחֲלָתְךָ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נַחֲלָה</w:t>
      </w:r>
      <w:r>
        <w:t xml:space="preserve">, „Erbteil, Erbbesitz", mit Suffix 2. Person Maskulinum Singular, „in deinem Erbteil"), </w:t>
      </w:r>
      <w:r>
        <w:rPr>
          <w:rStyle w:val="Fett"/>
          <w:rFonts w:eastAsiaTheme="majorEastAsia"/>
          <w:rtl/>
        </w:rPr>
        <w:t>אֲשֶׁר תִּנְחַל</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נחל</w:t>
      </w:r>
      <w:r>
        <w:t xml:space="preserve">, Qal Imperfekt, 2. Person Maskulinum Singular, „erben"), </w:t>
      </w:r>
      <w:r>
        <w:rPr>
          <w:rStyle w:val="Fett"/>
          <w:rFonts w:eastAsiaTheme="majorEastAsia"/>
          <w:rtl/>
        </w:rPr>
        <w:t>בָּאָרֶץ אֲשֶׁר יְהוָה אֱלֹהֶיךָ נֹתֵן לְךָ לְרִשְׁתָּהּ</w:t>
      </w:r>
      <w:r>
        <w:rPr>
          <w:rtl/>
        </w:rPr>
        <w:t xml:space="preserve"> </w:t>
      </w:r>
      <w:r>
        <w:t>(weitere lokale Bestimmung mit charakteristischer deuteronomischer Formel).</w:t>
      </w:r>
    </w:p>
    <w:p w14:paraId="64C2D4A7" w14:textId="77777777" w:rsidR="00DD2E9B" w:rsidRDefault="00DD2E9B" w:rsidP="00DD2E9B">
      <w:pPr>
        <w:pStyle w:val="whitespace-normal"/>
      </w:pPr>
      <w:r>
        <w:t>Der Vers scheint thematisch unvermittelt nach den Asylstadt- und Mordregelungen (V. 1-13), leitet aber zum Thema Zeugen über (V. 15ff.) und behandelt generell Rechtsverletzungen. Das Verbot, Grenzsteine zu verschieben (</w:t>
      </w:r>
      <w:r>
        <w:rPr>
          <w:rStyle w:val="Fett"/>
          <w:rFonts w:eastAsiaTheme="majorEastAsia"/>
          <w:rtl/>
        </w:rPr>
        <w:t>לֹא תַסִּיג גְּבוּל</w:t>
      </w:r>
      <w:r>
        <w:t>), schützt Landbesitz. In der Antike markierten Grenzsteine die Grundstücksgrenzen (vgl. Hiob 24,2; Spr 22,28; 23,10; Hos 5,10). Sie zu verschieben bedeutet: Landraub.</w:t>
      </w:r>
    </w:p>
    <w:p w14:paraId="216505C7" w14:textId="77777777" w:rsidR="00DD2E9B" w:rsidRDefault="00DD2E9B" w:rsidP="00DD2E9B">
      <w:pPr>
        <w:pStyle w:val="whitespace-normal"/>
      </w:pPr>
      <w:r>
        <w:t xml:space="preserve">Die Formulierung </w:t>
      </w:r>
      <w:r>
        <w:rPr>
          <w:rStyle w:val="Fett"/>
          <w:rFonts w:eastAsiaTheme="majorEastAsia"/>
          <w:rtl/>
        </w:rPr>
        <w:t>אֲשֶׁר גָּבְלוּ רִאשֹׁנִים</w:t>
      </w:r>
      <w:r>
        <w:rPr>
          <w:rtl/>
        </w:rPr>
        <w:t xml:space="preserve"> </w:t>
      </w:r>
      <w:r>
        <w:t xml:space="preserve">(„die gesetzt haben die Vorfahren") verleiht den Grenzsteinen Autorität – sie wurden von den </w:t>
      </w:r>
      <w:r>
        <w:rPr>
          <w:rStyle w:val="Fett"/>
          <w:rFonts w:eastAsiaTheme="majorEastAsia"/>
          <w:rtl/>
        </w:rPr>
        <w:t>רִאשֹׁנִים</w:t>
      </w:r>
      <w:r>
        <w:rPr>
          <w:rtl/>
        </w:rPr>
        <w:t xml:space="preserve"> </w:t>
      </w:r>
      <w:r>
        <w:t>(„Vorfahren, Ersten") bei der ursprünglichen Landverteilung gesetzt (vgl. Jos 13-21). Sie zu verschieben ist nicht nur Betrug am Nachbarn, sondern Angriff auf die gottgegebene Ordnung.</w:t>
      </w:r>
    </w:p>
    <w:p w14:paraId="3B9B677A" w14:textId="701EB458" w:rsidR="00DD2E9B" w:rsidRDefault="00DD2E9B" w:rsidP="00DD2E9B">
      <w:pPr>
        <w:pStyle w:val="whitespace-normal"/>
      </w:pPr>
      <w:r>
        <w:t>Das Verbot erscheint auch in Spr 22,28; 23,10 und wird in Dtn 27,17 mit Fluch belegt. Ägyptische und mesopotamische Texte kennen ähnliche Verbote (z.B. ägyptische Grenzsteine mit Fluchformeln).</w:t>
      </w:r>
    </w:p>
    <w:p w14:paraId="64F993B8" w14:textId="01D99BA3" w:rsidR="00C25194" w:rsidRDefault="00C25194" w:rsidP="00DD2E9B">
      <w:pPr>
        <w:pStyle w:val="whitespace-normal"/>
      </w:pPr>
      <w:r>
        <w:rPr>
          <w:rStyle w:val="Fett"/>
        </w:rPr>
        <w:t>Die LXX</w:t>
      </w:r>
      <w:r>
        <w:t xml:space="preserve"> übersetzt </w:t>
      </w:r>
      <w:r w:rsidRPr="00C25194">
        <w:rPr>
          <w:b/>
          <w:bCs/>
          <w:rtl/>
        </w:rPr>
        <w:t>לֹא</w:t>
      </w:r>
      <w:r>
        <w:rPr>
          <w:rtl/>
        </w:rPr>
        <w:t xml:space="preserve"> </w:t>
      </w:r>
      <w:r w:rsidRPr="00C25194">
        <w:rPr>
          <w:b/>
          <w:bCs/>
          <w:rtl/>
        </w:rPr>
        <w:t>תַסִּיג</w:t>
      </w:r>
      <w:r>
        <w:rPr>
          <w:rtl/>
        </w:rPr>
        <w:t xml:space="preserve"> </w:t>
      </w:r>
      <w:r w:rsidRPr="00C25194">
        <w:rPr>
          <w:b/>
          <w:bCs/>
          <w:rtl/>
        </w:rPr>
        <w:t>גְּבוּל</w:t>
      </w:r>
      <w:r>
        <w:t xml:space="preserve"> (du sollst nicht verrücken die Grenze) mit </w:t>
      </w:r>
      <w:proofErr w:type="spellStart"/>
      <w:r>
        <w:t>Οὐ</w:t>
      </w:r>
      <w:proofErr w:type="spellEnd"/>
      <w:r>
        <w:t xml:space="preserve"> </w:t>
      </w:r>
      <w:proofErr w:type="spellStart"/>
      <w:r>
        <w:t>μετ</w:t>
      </w:r>
      <w:proofErr w:type="spellEnd"/>
      <w:r>
        <w:t xml:space="preserve">ακινήσεις </w:t>
      </w:r>
      <w:proofErr w:type="spellStart"/>
      <w:r>
        <w:t>ὅρι</w:t>
      </w:r>
      <w:proofErr w:type="spellEnd"/>
      <w:r>
        <w:t xml:space="preserve">α (Du wirst nicht versetzen die Grenzen) – wobei </w:t>
      </w:r>
      <w:proofErr w:type="spellStart"/>
      <w:r>
        <w:t>μετ</w:t>
      </w:r>
      <w:proofErr w:type="spellEnd"/>
      <w:r>
        <w:t>ακινέω das unrechtmäßige Verschieben von Grenzsteinen bezeichnet.</w:t>
      </w:r>
    </w:p>
    <w:p w14:paraId="53DD9866" w14:textId="77777777" w:rsidR="00DD2E9B" w:rsidRDefault="00DD2E9B" w:rsidP="00DD2E9B">
      <w:pPr>
        <w:pStyle w:val="whitespace-normal"/>
      </w:pPr>
      <w:r>
        <w:rPr>
          <w:rStyle w:val="Fett"/>
          <w:rFonts w:eastAsiaTheme="majorEastAsia"/>
        </w:rPr>
        <w:t>Die Satzstruktur:</w:t>
      </w:r>
      <w:r>
        <w:t xml:space="preserve"> Negativer Imperativ mit Relativsatz und lokalen Bestimmungen (nicht sollst du zurücksetzen die Grenze deines Nächsten, die gesetzt haben die Vorfahren, in deinem Erbteil, das erben wirst du in dem Land, das JHWH, dein Gott, gibt dir, um es in Besitz zu nehmen).</w:t>
      </w:r>
    </w:p>
    <w:p w14:paraId="772C5C2A" w14:textId="77777777" w:rsidR="00DD2E9B" w:rsidRDefault="00DD2E9B" w:rsidP="00DD2E9B">
      <w:pPr>
        <w:pStyle w:val="whitespace-normal"/>
      </w:pPr>
      <w:r>
        <w:t>Der Vers verbietet: Verschiebe nicht die Grenzsteine deines Nachbarn, die von den Vorfahren gesetzt wurden – respektiere die gottgegebene Landverteilung.</w:t>
      </w:r>
    </w:p>
    <w:p w14:paraId="63A57A8D"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19,15</w:t>
      </w:r>
    </w:p>
    <w:p w14:paraId="5E5B4CD6" w14:textId="77777777" w:rsidR="00DD2E9B" w:rsidRDefault="00DD2E9B" w:rsidP="00DD2E9B">
      <w:pPr>
        <w:pStyle w:val="whitespace-normal"/>
      </w:pPr>
      <w:r>
        <w:rPr>
          <w:rStyle w:val="Fett"/>
          <w:rFonts w:eastAsiaTheme="majorEastAsia"/>
        </w:rPr>
        <w:t>Hebräisch:</w:t>
      </w:r>
      <w:r>
        <w:t xml:space="preserve"> </w:t>
      </w:r>
      <w:r>
        <w:rPr>
          <w:rtl/>
        </w:rPr>
        <w:t>לֹֽא־יָקוּם֩ עֵ֨ד אֶחָ֜ד בְּאִ֗ישׁ לְכָל־עָוֹן֙ וּלְכָל־חַטָּ֔את בְּכָל־חֵ֖טְא אֲשֶׁ֣ר יֶֽחֱטָ֑א עַל־פִּ֣י׀ שְׁנֵ֣י עֵדִ֗ים א֛וֹ עַל־פִּ֥י שְׁלֹשָֽׁה־עֵדִ֖ים יָק֥וּם דָּבָֽר׃</w:t>
      </w:r>
    </w:p>
    <w:p w14:paraId="6F9F90DF" w14:textId="77777777" w:rsidR="00DD2E9B" w:rsidRDefault="00DD2E9B" w:rsidP="00DD2E9B">
      <w:pPr>
        <w:pStyle w:val="whitespace-normal"/>
      </w:pPr>
      <w:r>
        <w:rPr>
          <w:rStyle w:val="Fett"/>
          <w:rFonts w:eastAsiaTheme="majorEastAsia"/>
        </w:rPr>
        <w:t>Deutsch:</w:t>
      </w:r>
      <w:r>
        <w:t xml:space="preserve"> Nicht soll aufstehen ein einzelner Zeuge gegen einen Mann wegen irgendeiner Ungerechtigkeit oder wegen irgendeiner Sünde, bei irgendeiner Verfehlung, die er sündigt; auf dem Mund zweier Zeugen oder auf dem Mund dreier Zeugen soll eine Sache bestehen.</w:t>
      </w:r>
    </w:p>
    <w:p w14:paraId="5785A0C3" w14:textId="77777777" w:rsidR="00DD2E9B" w:rsidRDefault="004F5CEB" w:rsidP="00DD2E9B">
      <w:r>
        <w:rPr>
          <w:noProof/>
        </w:rPr>
        <w:lastRenderedPageBreak/>
        <w:pict w14:anchorId="02D4C822">
          <v:rect id="_x0000_i1546" style="width:0;height:1.5pt" o:hralign="center" o:hrstd="t" o:hr="t" fillcolor="#a0a0a0" stroked="f"/>
        </w:pict>
      </w:r>
    </w:p>
    <w:p w14:paraId="3C754C74" w14:textId="77777777" w:rsidR="00DD2E9B" w:rsidRDefault="00DD2E9B" w:rsidP="00DD2E9B">
      <w:pPr>
        <w:pStyle w:val="whitespace-normal"/>
      </w:pPr>
      <w:r>
        <w:rPr>
          <w:rStyle w:val="Fett"/>
          <w:rFonts w:eastAsiaTheme="majorEastAsia"/>
        </w:rPr>
        <w:t>Kommentar:</w:t>
      </w:r>
      <w:r>
        <w:t xml:space="preserve"> </w:t>
      </w:r>
      <w:r>
        <w:rPr>
          <w:rStyle w:val="Fett"/>
          <w:rFonts w:eastAsiaTheme="majorEastAsia"/>
          <w:rtl/>
        </w:rPr>
        <w:t>לֹא־יָקוּם עֵד אֶחָד בְּאִישׁ לְכָל־עָוֹן וּלְכָל־חַטָּאת בְּכָל־חֵטְא אֲשֶׁר יֶחֱטָא</w:t>
      </w:r>
      <w:r>
        <w:rPr>
          <w:rtl/>
        </w:rPr>
        <w:t xml:space="preserve"> </w:t>
      </w:r>
      <w:r>
        <w:t xml:space="preserve">ist ein negativer Verbalsatz: </w:t>
      </w:r>
      <w:r>
        <w:rPr>
          <w:rStyle w:val="Fett"/>
          <w:rFonts w:eastAsiaTheme="majorEastAsia"/>
          <w:rtl/>
        </w:rPr>
        <w:t>לֹא־יָקוּם</w:t>
      </w:r>
      <w:r>
        <w:rPr>
          <w:rtl/>
        </w:rPr>
        <w:t xml:space="preserve"> </w:t>
      </w:r>
      <w:r>
        <w:t xml:space="preserve">(Negation mit </w:t>
      </w:r>
      <w:r>
        <w:rPr>
          <w:rStyle w:val="Fett"/>
          <w:rFonts w:eastAsiaTheme="majorEastAsia"/>
          <w:rtl/>
        </w:rPr>
        <w:t>קום</w:t>
      </w:r>
      <w:r>
        <w:t xml:space="preserve">, Qal Imperfekt, 3. Person Maskulinum Singular, „aufstehen, bestehen, gültig sein"), </w:t>
      </w:r>
      <w:r>
        <w:rPr>
          <w:rStyle w:val="Fett"/>
          <w:rFonts w:eastAsiaTheme="majorEastAsia"/>
          <w:rtl/>
        </w:rPr>
        <w:t>עֵד אֶחָד</w:t>
      </w:r>
      <w:r>
        <w:rPr>
          <w:rtl/>
        </w:rPr>
        <w:t xml:space="preserve"> </w:t>
      </w:r>
      <w:r>
        <w:t>(</w:t>
      </w:r>
      <w:r>
        <w:rPr>
          <w:rStyle w:val="Fett"/>
          <w:rFonts w:eastAsiaTheme="majorEastAsia"/>
          <w:rtl/>
        </w:rPr>
        <w:t>עֵד</w:t>
      </w:r>
      <w:r>
        <w:t xml:space="preserve">, „Zeuge", </w:t>
      </w:r>
      <w:r>
        <w:rPr>
          <w:rStyle w:val="Fett"/>
          <w:rFonts w:eastAsiaTheme="majorEastAsia"/>
          <w:rtl/>
        </w:rPr>
        <w:t>אֶחָד</w:t>
      </w:r>
      <w:r>
        <w:t xml:space="preserve">, „einer, einzelner", „ein einzelner Zeuge"), </w:t>
      </w:r>
      <w:r>
        <w:rPr>
          <w:rStyle w:val="Fett"/>
          <w:rFonts w:eastAsiaTheme="majorEastAsia"/>
          <w:rtl/>
        </w:rPr>
        <w:t>בְּאִישׁ</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אִישׁ</w:t>
      </w:r>
      <w:r>
        <w:t xml:space="preserve">, „Mann", „gegen einen Mann"), </w:t>
      </w:r>
      <w:r>
        <w:rPr>
          <w:rStyle w:val="Fett"/>
          <w:rFonts w:eastAsiaTheme="majorEastAsia"/>
          <w:rtl/>
        </w:rPr>
        <w:t>לְכָל־עָוֹן וּלְכָל־חַטָּאת</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כֹּל</w:t>
      </w:r>
      <w:r>
        <w:t xml:space="preserve">, Construct mit </w:t>
      </w:r>
      <w:r>
        <w:rPr>
          <w:rStyle w:val="Fett"/>
          <w:rFonts w:eastAsiaTheme="majorEastAsia"/>
          <w:rtl/>
        </w:rPr>
        <w:t>עָוֹן</w:t>
      </w:r>
      <w:r>
        <w:t xml:space="preserve">, „Ungerechtigkeit, Schuld", koordiniert durch </w:t>
      </w:r>
      <w:r>
        <w:rPr>
          <w:rStyle w:val="Fett"/>
          <w:rFonts w:eastAsiaTheme="majorEastAsia"/>
          <w:rtl/>
        </w:rPr>
        <w:t>וּלְ</w:t>
      </w:r>
      <w:r>
        <w:rPr>
          <w:rtl/>
        </w:rPr>
        <w:t xml:space="preserve"> </w:t>
      </w:r>
      <w:r>
        <w:t xml:space="preserve">mit </w:t>
      </w:r>
      <w:r>
        <w:rPr>
          <w:rStyle w:val="Fett"/>
          <w:rFonts w:eastAsiaTheme="majorEastAsia"/>
          <w:rtl/>
        </w:rPr>
        <w:t>כֹּל</w:t>
      </w:r>
      <w:r>
        <w:t xml:space="preserve">, Construct mit </w:t>
      </w:r>
      <w:r>
        <w:rPr>
          <w:rStyle w:val="Fett"/>
          <w:rFonts w:eastAsiaTheme="majorEastAsia"/>
          <w:rtl/>
        </w:rPr>
        <w:t>חַטָּאת</w:t>
      </w:r>
      <w:r>
        <w:t xml:space="preserve">, „Sünde", „wegen jeder Ungerechtigkeit und wegen jeder Sünde"), </w:t>
      </w:r>
      <w:r>
        <w:rPr>
          <w:rStyle w:val="Fett"/>
          <w:rFonts w:eastAsiaTheme="majorEastAsia"/>
          <w:rtl/>
        </w:rPr>
        <w:t>בְּכָל־חֵטְא אֲשֶׁר יֶחֱטָא</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כֹּל</w:t>
      </w:r>
      <w:r>
        <w:t xml:space="preserve">, Construct mit </w:t>
      </w:r>
      <w:r>
        <w:rPr>
          <w:rStyle w:val="Fett"/>
          <w:rFonts w:eastAsiaTheme="majorEastAsia"/>
          <w:rtl/>
        </w:rPr>
        <w:t>חֵטְא</w:t>
      </w:r>
      <w:r>
        <w:t xml:space="preserve">, „Sünde, Verfehlung", Relativsatz: </w:t>
      </w:r>
      <w:r>
        <w:rPr>
          <w:rStyle w:val="Fett"/>
          <w:rFonts w:eastAsiaTheme="majorEastAsia"/>
          <w:rtl/>
        </w:rPr>
        <w:t>אֲשֶׁר</w:t>
      </w:r>
      <w:r>
        <w:rPr>
          <w:rtl/>
        </w:rPr>
        <w:t xml:space="preserve"> </w:t>
      </w:r>
      <w:r>
        <w:t xml:space="preserve">mit </w:t>
      </w:r>
      <w:r>
        <w:rPr>
          <w:rStyle w:val="Fett"/>
          <w:rFonts w:eastAsiaTheme="majorEastAsia"/>
          <w:rtl/>
        </w:rPr>
        <w:t>חטא</w:t>
      </w:r>
      <w:r>
        <w:t>, Qal Imperfekt, 3. Person Maskulinum Singular, „sündigen", „bei jeder Verfehlung, die er sündigt").</w:t>
      </w:r>
    </w:p>
    <w:p w14:paraId="7B02E264" w14:textId="77777777" w:rsidR="00DD2E9B" w:rsidRDefault="00DD2E9B" w:rsidP="00DD2E9B">
      <w:pPr>
        <w:pStyle w:val="whitespace-normal"/>
      </w:pPr>
      <w:r>
        <w:rPr>
          <w:rStyle w:val="Fett"/>
          <w:rFonts w:eastAsiaTheme="majorEastAsia"/>
          <w:rtl/>
        </w:rPr>
        <w:t>עַל־פִּי שְׁנֵי עֵדִים אוֹ עַל־פִּי שְׁלֹשָׁה־עֵדִים יָקוּם דָּבָר</w:t>
      </w:r>
      <w:r>
        <w:rPr>
          <w:rtl/>
        </w:rPr>
        <w:t xml:space="preserve"> </w:t>
      </w:r>
      <w:r>
        <w:t xml:space="preserve">ist der positive Satz: </w:t>
      </w:r>
      <w:r>
        <w:rPr>
          <w:rStyle w:val="Fett"/>
          <w:rFonts w:eastAsiaTheme="majorEastAsia"/>
          <w:rtl/>
        </w:rPr>
        <w:t>עַל־פִּי שְׁנֵי עֵדִים</w:t>
      </w:r>
      <w:r>
        <w:rPr>
          <w:rtl/>
        </w:rPr>
        <w:t xml:space="preserve"> </w:t>
      </w:r>
      <w:r>
        <w:t xml:space="preserve">(Präposition </w:t>
      </w:r>
      <w:r>
        <w:rPr>
          <w:rStyle w:val="Fett"/>
          <w:rFonts w:eastAsiaTheme="majorEastAsia"/>
          <w:rtl/>
        </w:rPr>
        <w:t>עַל</w:t>
      </w:r>
      <w:r>
        <w:t xml:space="preserve">, „auf", </w:t>
      </w:r>
      <w:r>
        <w:rPr>
          <w:rStyle w:val="Fett"/>
          <w:rFonts w:eastAsiaTheme="majorEastAsia"/>
          <w:rtl/>
        </w:rPr>
        <w:t>פֶּה</w:t>
      </w:r>
      <w:r>
        <w:t xml:space="preserve">, „Mund", Construct, „auf dem Mund", mit </w:t>
      </w:r>
      <w:r>
        <w:rPr>
          <w:rStyle w:val="Fett"/>
          <w:rFonts w:eastAsiaTheme="majorEastAsia"/>
          <w:rtl/>
        </w:rPr>
        <w:t>שְׁנַיִם</w:t>
      </w:r>
      <w:r>
        <w:t xml:space="preserve">, „zwei", Dual, </w:t>
      </w:r>
      <w:r>
        <w:rPr>
          <w:rStyle w:val="Fett"/>
          <w:rFonts w:eastAsiaTheme="majorEastAsia"/>
          <w:rtl/>
        </w:rPr>
        <w:t>עֵד</w:t>
      </w:r>
      <w:r>
        <w:t xml:space="preserve">, Plural, „auf die Aussage zweier Zeugen"), </w:t>
      </w:r>
      <w:r>
        <w:rPr>
          <w:rStyle w:val="Fett"/>
          <w:rFonts w:eastAsiaTheme="majorEastAsia"/>
          <w:rtl/>
        </w:rPr>
        <w:t>אוֹ עַל־פִּי שְׁלֹשָׁה־עֵדִים</w:t>
      </w:r>
      <w:r>
        <w:rPr>
          <w:rtl/>
        </w:rPr>
        <w:t xml:space="preserve"> </w:t>
      </w:r>
      <w:r>
        <w:t>(</w:t>
      </w:r>
      <w:r>
        <w:rPr>
          <w:rStyle w:val="Fett"/>
          <w:rFonts w:eastAsiaTheme="majorEastAsia"/>
          <w:rtl/>
        </w:rPr>
        <w:t>אוֹ</w:t>
      </w:r>
      <w:r>
        <w:t xml:space="preserve">, „oder", mit </w:t>
      </w:r>
      <w:r>
        <w:rPr>
          <w:rStyle w:val="Fett"/>
          <w:rFonts w:eastAsiaTheme="majorEastAsia"/>
          <w:rtl/>
        </w:rPr>
        <w:t>שְׁלֹשָׁה</w:t>
      </w:r>
      <w:r>
        <w:t xml:space="preserve">, „drei", </w:t>
      </w:r>
      <w:r>
        <w:rPr>
          <w:rStyle w:val="Fett"/>
          <w:rFonts w:eastAsiaTheme="majorEastAsia"/>
          <w:rtl/>
        </w:rPr>
        <w:t>עֵדִים</w:t>
      </w:r>
      <w:r>
        <w:t xml:space="preserve">), </w:t>
      </w:r>
      <w:r>
        <w:rPr>
          <w:rStyle w:val="Fett"/>
          <w:rFonts w:eastAsiaTheme="majorEastAsia"/>
          <w:rtl/>
        </w:rPr>
        <w:t>יָקוּם דָּבָר</w:t>
      </w:r>
      <w:r>
        <w:rPr>
          <w:rtl/>
        </w:rPr>
        <w:t xml:space="preserve"> </w:t>
      </w:r>
      <w:r>
        <w:t xml:space="preserve">(Qal Imperfekt, 3. Person Maskulinum Singular von </w:t>
      </w:r>
      <w:r>
        <w:rPr>
          <w:rStyle w:val="Fett"/>
          <w:rFonts w:eastAsiaTheme="majorEastAsia"/>
          <w:rtl/>
        </w:rPr>
        <w:t>קום</w:t>
      </w:r>
      <w:r>
        <w:t xml:space="preserve">, „aufstehen, bestehen", </w:t>
      </w:r>
      <w:r>
        <w:rPr>
          <w:rStyle w:val="Fett"/>
          <w:rFonts w:eastAsiaTheme="majorEastAsia"/>
          <w:rtl/>
        </w:rPr>
        <w:t>דָּבָר</w:t>
      </w:r>
      <w:r>
        <w:t>, „Wort, Sache, Fall", „soll bestehen eine Sache").</w:t>
      </w:r>
    </w:p>
    <w:p w14:paraId="38B417E1" w14:textId="77777777" w:rsidR="00DD2E9B" w:rsidRDefault="00DD2E9B" w:rsidP="00DD2E9B">
      <w:pPr>
        <w:pStyle w:val="whitespace-normal"/>
      </w:pPr>
      <w:r>
        <w:t xml:space="preserve">Der Vers formuliert ein fundamentales rechtsstaatliches Prinzip: das Zwei-Zeugen-Minimum. Die dreifache Formulierung </w:t>
      </w:r>
      <w:r>
        <w:rPr>
          <w:rStyle w:val="Fett"/>
          <w:rFonts w:eastAsiaTheme="majorEastAsia"/>
          <w:rtl/>
        </w:rPr>
        <w:t>לְכָל־עָוֹן וּלְכָל־חַטָּאת בְּכָל־חֵטְא</w:t>
      </w:r>
      <w:r>
        <w:rPr>
          <w:rtl/>
        </w:rPr>
        <w:t xml:space="preserve"> </w:t>
      </w:r>
      <w:r>
        <w:t xml:space="preserve">(„wegen jeder Ungerechtigkeit und wegen jeder Sünde, bei jeder Verfehlung") betont die universelle Gültigkeit – für alle Arten von Vergehen. Ein </w:t>
      </w:r>
      <w:r>
        <w:rPr>
          <w:rStyle w:val="Fett"/>
          <w:rFonts w:eastAsiaTheme="majorEastAsia"/>
          <w:rtl/>
        </w:rPr>
        <w:t>עֵד אֶחָד</w:t>
      </w:r>
      <w:r>
        <w:rPr>
          <w:rtl/>
        </w:rPr>
        <w:t xml:space="preserve"> </w:t>
      </w:r>
      <w:r>
        <w:t>(„einzelner Zeuge") genügt nicht – mindestens zwei sind erforderlich.</w:t>
      </w:r>
    </w:p>
    <w:p w14:paraId="7004EED3" w14:textId="77777777" w:rsidR="00DD2E9B" w:rsidRDefault="00DD2E9B" w:rsidP="00DD2E9B">
      <w:pPr>
        <w:pStyle w:val="whitespace-normal"/>
      </w:pPr>
      <w:r>
        <w:t xml:space="preserve">Diese Regel wurde bereits in 17,6 für Kapitalfälle genannt, hier wird sie verallgemeinert. Die Formulierung </w:t>
      </w:r>
      <w:r>
        <w:rPr>
          <w:rStyle w:val="Fett"/>
          <w:rFonts w:eastAsiaTheme="majorEastAsia"/>
          <w:rtl/>
        </w:rPr>
        <w:t>עַל־פִּי... עֵדִים</w:t>
      </w:r>
      <w:r>
        <w:rPr>
          <w:rtl/>
        </w:rPr>
        <w:t xml:space="preserve"> </w:t>
      </w:r>
      <w:r>
        <w:t>(„auf dem Mund... der Zeugen" = auf die Aussage) betont: Die Zeugenaussage ist die Grundlage des Urteils (vgl. Num 35,30; Dtn 17,6; 19,15; Mt 18,16; Joh 8,17; 2 Kor 13,1; 1 Tim 5,19; Hebr 10,28).</w:t>
      </w:r>
    </w:p>
    <w:p w14:paraId="084AF790" w14:textId="556EA253" w:rsidR="00DD2E9B" w:rsidRDefault="00DD2E9B" w:rsidP="00DD2E9B">
      <w:pPr>
        <w:pStyle w:val="whitespace-normal"/>
      </w:pPr>
      <w:r>
        <w:t xml:space="preserve">Das Prinzip schützt vor falscher Anschuldigung – ein einzelner böswilliger Zeuge kann niemanden verurteilen. Die Alternative </w:t>
      </w:r>
      <w:r>
        <w:rPr>
          <w:rStyle w:val="Fett"/>
          <w:rFonts w:eastAsiaTheme="majorEastAsia"/>
          <w:rtl/>
        </w:rPr>
        <w:t>שְׁנֵי עֵדִים אוֹ... שְׁלֹשָׁה־עֵדִים</w:t>
      </w:r>
      <w:r>
        <w:rPr>
          <w:rtl/>
        </w:rPr>
        <w:t xml:space="preserve"> </w:t>
      </w:r>
      <w:r>
        <w:t>(„zwei Zeugen oder... drei Zeugen") zeigt: zwei ist Minimum, mehr ist möglich und stärkt den Fall.</w:t>
      </w:r>
    </w:p>
    <w:p w14:paraId="10562B1D" w14:textId="5139FF23" w:rsidR="00C25194" w:rsidRDefault="00C25194" w:rsidP="00DD2E9B">
      <w:pPr>
        <w:pStyle w:val="whitespace-normal"/>
      </w:pPr>
      <w:r>
        <w:rPr>
          <w:rStyle w:val="Fett"/>
        </w:rPr>
        <w:t>Die LXX</w:t>
      </w:r>
      <w:r>
        <w:t xml:space="preserve"> übersetzt </w:t>
      </w:r>
      <w:r w:rsidRPr="00C25194">
        <w:rPr>
          <w:b/>
          <w:bCs/>
          <w:rtl/>
        </w:rPr>
        <w:t>לֹא־יָקוּם עֵד אֶחָד</w:t>
      </w:r>
      <w:r>
        <w:t xml:space="preserve"> (es soll nicht aufstehen ein einzelner Zeuge) mit </w:t>
      </w:r>
      <w:proofErr w:type="spellStart"/>
      <w:r>
        <w:t>Οὐκ</w:t>
      </w:r>
      <w:proofErr w:type="spellEnd"/>
      <w:r>
        <w:t xml:space="preserve"> </w:t>
      </w:r>
      <w:proofErr w:type="spellStart"/>
      <w:r>
        <w:t>ἐμμενεῖ</w:t>
      </w:r>
      <w:proofErr w:type="spellEnd"/>
      <w:r>
        <w:t xml:space="preserve"> </w:t>
      </w:r>
      <w:proofErr w:type="spellStart"/>
      <w:r>
        <w:t>μάρτυς</w:t>
      </w:r>
      <w:proofErr w:type="spellEnd"/>
      <w:r>
        <w:t xml:space="preserve"> </w:t>
      </w:r>
      <w:proofErr w:type="spellStart"/>
      <w:r>
        <w:t>εἷς</w:t>
      </w:r>
      <w:proofErr w:type="spellEnd"/>
      <w:r>
        <w:t xml:space="preserve"> (Nicht wird bestehen bleiben ein einzelner Zeuge) – </w:t>
      </w:r>
      <w:proofErr w:type="spellStart"/>
      <w:r>
        <w:t>ἐμμένω</w:t>
      </w:r>
      <w:proofErr w:type="spellEnd"/>
      <w:r>
        <w:t xml:space="preserve"> betont die rechtliche Gültigkeit. Die dreifache Formel </w:t>
      </w:r>
      <w:r w:rsidRPr="00C25194">
        <w:rPr>
          <w:b/>
          <w:bCs/>
          <w:rtl/>
        </w:rPr>
        <w:t>לְכָל־עָוֹן וּלְכָל־חַטָּאת בְּכָל־חֵטְא</w:t>
      </w:r>
      <w:r>
        <w:t xml:space="preserve"> wird mit κα</w:t>
      </w:r>
      <w:proofErr w:type="spellStart"/>
      <w:r>
        <w:t>τὰ</w:t>
      </w:r>
      <w:proofErr w:type="spellEnd"/>
      <w:r>
        <w:t xml:space="preserve"> π</w:t>
      </w:r>
      <w:proofErr w:type="spellStart"/>
      <w:r>
        <w:t>ᾶσ</w:t>
      </w:r>
      <w:proofErr w:type="spellEnd"/>
      <w:r>
        <w:t xml:space="preserve">αν </w:t>
      </w:r>
      <w:proofErr w:type="spellStart"/>
      <w:r>
        <w:t>ἀδικί</w:t>
      </w:r>
      <w:proofErr w:type="spellEnd"/>
      <w:r>
        <w:t>αν καὶ κα</w:t>
      </w:r>
      <w:proofErr w:type="spellStart"/>
      <w:r>
        <w:t>τὰ</w:t>
      </w:r>
      <w:proofErr w:type="spellEnd"/>
      <w:r>
        <w:t xml:space="preserve"> π</w:t>
      </w:r>
      <w:proofErr w:type="spellStart"/>
      <w:r>
        <w:t>ᾶν</w:t>
      </w:r>
      <w:proofErr w:type="spellEnd"/>
      <w:r>
        <w:t xml:space="preserve"> </w:t>
      </w:r>
      <w:proofErr w:type="spellStart"/>
      <w:r>
        <w:t>ἁμάρτημ</w:t>
      </w:r>
      <w:proofErr w:type="spellEnd"/>
      <w:r>
        <w:t>α καὶ κα</w:t>
      </w:r>
      <w:proofErr w:type="spellStart"/>
      <w:r>
        <w:t>τὰ</w:t>
      </w:r>
      <w:proofErr w:type="spellEnd"/>
      <w:r>
        <w:t xml:space="preserve"> π</w:t>
      </w:r>
      <w:proofErr w:type="spellStart"/>
      <w:r>
        <w:t>ᾶσ</w:t>
      </w:r>
      <w:proofErr w:type="spellEnd"/>
      <w:r>
        <w:t xml:space="preserve">αν </w:t>
      </w:r>
      <w:proofErr w:type="spellStart"/>
      <w:r>
        <w:t>ἁμ</w:t>
      </w:r>
      <w:proofErr w:type="spellEnd"/>
      <w:r>
        <w:t xml:space="preserve">αρτίαν wiedergegeben – eine Unterscheidung zwischen </w:t>
      </w:r>
      <w:proofErr w:type="spellStart"/>
      <w:r>
        <w:t>ἀδικί</w:t>
      </w:r>
      <w:proofErr w:type="spellEnd"/>
      <w:r>
        <w:t xml:space="preserve">α (Ungerechtigkeit) und </w:t>
      </w:r>
      <w:proofErr w:type="spellStart"/>
      <w:r>
        <w:t>ἁμάρτημ</w:t>
      </w:r>
      <w:proofErr w:type="spellEnd"/>
      <w:r>
        <w:t>α/ἁμαρτία (Sünde/Vergehen).</w:t>
      </w:r>
    </w:p>
    <w:p w14:paraId="3F07F9CC" w14:textId="77777777" w:rsidR="00DD2E9B" w:rsidRDefault="00DD2E9B" w:rsidP="00DD2E9B">
      <w:pPr>
        <w:pStyle w:val="whitespace-normal"/>
      </w:pPr>
      <w:r>
        <w:rPr>
          <w:rStyle w:val="Fett"/>
          <w:rFonts w:eastAsiaTheme="majorEastAsia"/>
        </w:rPr>
        <w:t>Die Satzstruktur:</w:t>
      </w:r>
      <w:r>
        <w:t xml:space="preserve"> Negativer Verbalsatz mit positivem Verbalsatz (nicht soll bestehen ein einzelner Zeuge gegen einen Mann wegen jeder Ungerechtigkeit und wegen jeder Sünde, bei jeder Verfehlung, die er sündigt; auf die Aussage zweier Zeugen oder auf die Aussage dreier Zeugen soll bestehen eine Sache).</w:t>
      </w:r>
    </w:p>
    <w:p w14:paraId="3006E093" w14:textId="77777777" w:rsidR="00DD2E9B" w:rsidRDefault="00DD2E9B" w:rsidP="00DD2E9B">
      <w:pPr>
        <w:pStyle w:val="whitespace-normal"/>
      </w:pPr>
      <w:r>
        <w:t>Der Vers etabliert: Ein einzelner Zeuge genügt nicht für eine Verurteilung – mindestens zwei Zeugen sind für jeden Fall erforderlich.</w:t>
      </w:r>
    </w:p>
    <w:p w14:paraId="12E23C99"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lastRenderedPageBreak/>
        <w:t>Deuteronomium 19,16</w:t>
      </w:r>
    </w:p>
    <w:p w14:paraId="0C3B8138" w14:textId="77777777" w:rsidR="00DD2E9B" w:rsidRDefault="00DD2E9B" w:rsidP="00DD2E9B">
      <w:pPr>
        <w:pStyle w:val="whitespace-normal"/>
      </w:pPr>
      <w:r>
        <w:rPr>
          <w:rStyle w:val="Fett"/>
          <w:rFonts w:eastAsiaTheme="majorEastAsia"/>
        </w:rPr>
        <w:t>Hebräisch:</w:t>
      </w:r>
      <w:r>
        <w:t xml:space="preserve"> </w:t>
      </w:r>
      <w:r>
        <w:rPr>
          <w:rtl/>
        </w:rPr>
        <w:t>כִּֽי־יָק֥וּם עֵד־חָמָ֖ס בְּאִ֑ישׁ לַעֲנ֥וֹת בּוֹ֖ סָרָֽה׃</w:t>
      </w:r>
    </w:p>
    <w:p w14:paraId="61D8E755" w14:textId="77777777" w:rsidR="00DD2E9B" w:rsidRDefault="00DD2E9B" w:rsidP="00DD2E9B">
      <w:pPr>
        <w:pStyle w:val="whitespace-normal"/>
      </w:pPr>
      <w:r>
        <w:rPr>
          <w:rStyle w:val="Fett"/>
          <w:rFonts w:eastAsiaTheme="majorEastAsia"/>
        </w:rPr>
        <w:t>Deutsch:</w:t>
      </w:r>
      <w:r>
        <w:t xml:space="preserve"> Wenn aufsteht ein Zeuge der Gewalttat gegen einen Mann, um gegen ihn auszusagen wegen eines Vergehens,</w:t>
      </w:r>
    </w:p>
    <w:p w14:paraId="592F853D" w14:textId="77777777" w:rsidR="00DD2E9B" w:rsidRDefault="004F5CEB" w:rsidP="00DD2E9B">
      <w:r>
        <w:rPr>
          <w:noProof/>
        </w:rPr>
        <w:pict w14:anchorId="380E6285">
          <v:rect id="_x0000_i1547" style="width:0;height:1.5pt" o:hralign="center" o:hrstd="t" o:hr="t" fillcolor="#a0a0a0" stroked="f"/>
        </w:pict>
      </w:r>
    </w:p>
    <w:p w14:paraId="0F175B71" w14:textId="77777777" w:rsidR="00DD2E9B" w:rsidRDefault="00DD2E9B" w:rsidP="00DD2E9B">
      <w:pPr>
        <w:pStyle w:val="whitespace-normal"/>
      </w:pPr>
      <w:r>
        <w:rPr>
          <w:rStyle w:val="Fett"/>
          <w:rFonts w:eastAsiaTheme="majorEastAsia"/>
        </w:rPr>
        <w:t>Kommentar:</w:t>
      </w:r>
      <w:r>
        <w:t xml:space="preserve"> </w:t>
      </w:r>
      <w:r>
        <w:rPr>
          <w:rStyle w:val="Fett"/>
          <w:rFonts w:eastAsiaTheme="majorEastAsia"/>
          <w:rtl/>
        </w:rPr>
        <w:t>כִּי־יָקוּם עֵד־חָמָס בְּאִישׁ לַעֲנוֹת בּוֹ סָרָה</w:t>
      </w:r>
      <w:r>
        <w:rPr>
          <w:rtl/>
        </w:rPr>
        <w:t xml:space="preserve"> </w:t>
      </w:r>
      <w:r>
        <w:t xml:space="preserve">ist ein konditionaler Satz: </w:t>
      </w:r>
      <w:r>
        <w:rPr>
          <w:rStyle w:val="Fett"/>
          <w:rFonts w:eastAsiaTheme="majorEastAsia"/>
          <w:rtl/>
        </w:rPr>
        <w:t>כִּי־יָקוּם</w:t>
      </w:r>
      <w:r>
        <w:rPr>
          <w:rtl/>
        </w:rPr>
        <w:t xml:space="preserve"> </w:t>
      </w:r>
      <w:r>
        <w:t>(</w:t>
      </w:r>
      <w:r>
        <w:rPr>
          <w:rStyle w:val="Fett"/>
          <w:rFonts w:eastAsiaTheme="majorEastAsia"/>
          <w:rtl/>
        </w:rPr>
        <w:t>כִּי</w:t>
      </w:r>
      <w:r>
        <w:t xml:space="preserve">, „wenn", mit </w:t>
      </w:r>
      <w:r>
        <w:rPr>
          <w:rStyle w:val="Fett"/>
          <w:rFonts w:eastAsiaTheme="majorEastAsia"/>
          <w:rtl/>
        </w:rPr>
        <w:t>קום</w:t>
      </w:r>
      <w:r>
        <w:t xml:space="preserve">, Qal Imperfekt, 3. Person Maskulinum Singular, „aufstehen, auftreten"), </w:t>
      </w:r>
      <w:r>
        <w:rPr>
          <w:rStyle w:val="Fett"/>
          <w:rFonts w:eastAsiaTheme="majorEastAsia"/>
          <w:rtl/>
        </w:rPr>
        <w:t>עֵד־חָמָס</w:t>
      </w:r>
      <w:r>
        <w:rPr>
          <w:rtl/>
        </w:rPr>
        <w:t xml:space="preserve"> </w:t>
      </w:r>
      <w:r>
        <w:t>(</w:t>
      </w:r>
      <w:r>
        <w:rPr>
          <w:rStyle w:val="Fett"/>
          <w:rFonts w:eastAsiaTheme="majorEastAsia"/>
          <w:rtl/>
        </w:rPr>
        <w:t>עֵד</w:t>
      </w:r>
      <w:r>
        <w:t xml:space="preserve">, „Zeuge", Construct mit </w:t>
      </w:r>
      <w:r>
        <w:rPr>
          <w:rStyle w:val="Fett"/>
          <w:rFonts w:eastAsiaTheme="majorEastAsia"/>
          <w:rtl/>
        </w:rPr>
        <w:t>חָמָס</w:t>
      </w:r>
      <w:r>
        <w:t xml:space="preserve">, „Gewalt, Unrecht, Gewalttat", „ein Zeuge der Gewalttat" = ein gewalttätiger/böswilliger Zeuge, falscher Zeuge), </w:t>
      </w:r>
      <w:r>
        <w:rPr>
          <w:rStyle w:val="Fett"/>
          <w:rFonts w:eastAsiaTheme="majorEastAsia"/>
          <w:rtl/>
        </w:rPr>
        <w:t>בְּאִישׁ</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אִישׁ</w:t>
      </w:r>
      <w:r>
        <w:t xml:space="preserve">, „gegen einen Mann"), </w:t>
      </w:r>
      <w:r>
        <w:rPr>
          <w:rStyle w:val="Fett"/>
          <w:rFonts w:eastAsiaTheme="majorEastAsia"/>
          <w:rtl/>
        </w:rPr>
        <w:t>לַעֲנוֹת בּוֹ סָרָה</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ענה</w:t>
      </w:r>
      <w:r>
        <w:t xml:space="preserve">, „antworten, bezeugen, aussagen", </w:t>
      </w:r>
      <w:r>
        <w:rPr>
          <w:rStyle w:val="Fett"/>
          <w:rFonts w:eastAsiaTheme="majorEastAsia"/>
          <w:rtl/>
        </w:rPr>
        <w:t>בּוֹ</w:t>
      </w:r>
      <w:r>
        <w:t xml:space="preserve">, Präposition </w:t>
      </w:r>
      <w:r>
        <w:rPr>
          <w:rStyle w:val="Fett"/>
          <w:rFonts w:eastAsiaTheme="majorEastAsia"/>
          <w:rtl/>
        </w:rPr>
        <w:t>בְּ</w:t>
      </w:r>
      <w:r>
        <w:rPr>
          <w:rtl/>
        </w:rPr>
        <w:t xml:space="preserve"> </w:t>
      </w:r>
      <w:r>
        <w:t xml:space="preserve">mit Suffix 3. Person Maskulinum Singular, „gegen ihn", </w:t>
      </w:r>
      <w:r>
        <w:rPr>
          <w:rStyle w:val="Fett"/>
          <w:rFonts w:eastAsiaTheme="majorEastAsia"/>
          <w:rtl/>
        </w:rPr>
        <w:t>סָרָה</w:t>
      </w:r>
      <w:r>
        <w:t>, „Abfall, Abweichung, Vergehen", „um gegen ihn auszusagen wegen eines Vergehens").</w:t>
      </w:r>
    </w:p>
    <w:p w14:paraId="0E1BAF35" w14:textId="71AF8CB6" w:rsidR="00DD2E9B" w:rsidRDefault="00DD2E9B" w:rsidP="00DD2E9B">
      <w:pPr>
        <w:pStyle w:val="whitespace-normal"/>
      </w:pPr>
      <w:r>
        <w:t xml:space="preserve">Der Vers leitet einen neuen Unterabschnitt ein: Umgang mit falschen Zeugen. Das Kompositum </w:t>
      </w:r>
      <w:r>
        <w:rPr>
          <w:rStyle w:val="Fett"/>
          <w:rFonts w:eastAsiaTheme="majorEastAsia"/>
          <w:rtl/>
        </w:rPr>
        <w:t>עֵד־חָמָס</w:t>
      </w:r>
      <w:r>
        <w:rPr>
          <w:rtl/>
        </w:rPr>
        <w:t xml:space="preserve"> </w:t>
      </w:r>
      <w:r>
        <w:t xml:space="preserve">(„Zeuge der Gewalttat") ist einzigartig und bezeichnet einen böswilligen, falschen Zeugen (vgl. Ps 35,11, wo </w:t>
      </w:r>
      <w:r>
        <w:rPr>
          <w:rStyle w:val="Fett"/>
          <w:rFonts w:eastAsiaTheme="majorEastAsia"/>
          <w:rtl/>
        </w:rPr>
        <w:t>עֵדֵי חָמָס</w:t>
      </w:r>
      <w:r>
        <w:rPr>
          <w:rtl/>
        </w:rPr>
        <w:t xml:space="preserve"> </w:t>
      </w:r>
      <w:r>
        <w:t xml:space="preserve">= „gewalttätige Zeugen"). Das Wort </w:t>
      </w:r>
      <w:r>
        <w:rPr>
          <w:rStyle w:val="Fett"/>
          <w:rFonts w:eastAsiaTheme="majorEastAsia"/>
          <w:rtl/>
        </w:rPr>
        <w:t>חָמָס</w:t>
      </w:r>
      <w:r>
        <w:rPr>
          <w:rtl/>
        </w:rPr>
        <w:t xml:space="preserve"> </w:t>
      </w:r>
      <w:r>
        <w:t xml:space="preserve">(„Gewalt, Unrecht") wird oft für schwere Rechtsverletzungen verwendet (vgl. Gen 6,11.13; 16,5; 49,5; Ex 23,1; Dtn 19,16; Ri 9,24; </w:t>
      </w:r>
      <w:r w:rsidR="00664EB6">
        <w:t>2Sam</w:t>
      </w:r>
      <w:r>
        <w:t xml:space="preserve"> 22,3.49; Ps 7,17; 11,5; 18,49; 25,19; 27,12; 35,11; 55,10; 58,3; 72,14; 73,6; 140,2.5.12; Spr 3,31; 4,17; 10,6.11; 13,2; 16,29; 26,6; 28,17; Jes 53,9; 59,6; 60,18; Jer 6,7; 13,22; 20,8; 22,3.17; 51,35.46; </w:t>
      </w:r>
      <w:r w:rsidR="00BF3748">
        <w:t>Hes</w:t>
      </w:r>
      <w:r>
        <w:t xml:space="preserve"> 7,11.23; 8,17; 12,19; 28,16; 45,9; Am 3,10; 6,3; Ob 10; Mi 6,12; Hab 1,2.3.9; 2,8.17; Zeph 1,9; 3,4; Mal 2,16).</w:t>
      </w:r>
    </w:p>
    <w:p w14:paraId="571D3DB9" w14:textId="77777777" w:rsidR="00DD2E9B" w:rsidRDefault="00DD2E9B" w:rsidP="00DD2E9B">
      <w:pPr>
        <w:pStyle w:val="whitespace-normal"/>
      </w:pPr>
      <w:r>
        <w:t xml:space="preserve">Das Wort </w:t>
      </w:r>
      <w:r>
        <w:rPr>
          <w:rStyle w:val="Fett"/>
          <w:rFonts w:eastAsiaTheme="majorEastAsia"/>
          <w:rtl/>
        </w:rPr>
        <w:t>סָרָה</w:t>
      </w:r>
      <w:r>
        <w:rPr>
          <w:rtl/>
        </w:rPr>
        <w:t xml:space="preserve"> </w:t>
      </w:r>
      <w:r>
        <w:t>(„Abfall, Abweichung, Vergehen") bezeichnet religiöses oder rechtliches Fehlverhalten (vgl. Dtn 13,6; 19,16; Jes 1,5; 14,6; 31,6; 59,13; Jer 28,16; 29,32).</w:t>
      </w:r>
    </w:p>
    <w:p w14:paraId="17D5C843" w14:textId="4C14EFC1" w:rsidR="00DD2E9B" w:rsidRDefault="00DD2E9B" w:rsidP="00DD2E9B">
      <w:pPr>
        <w:pStyle w:val="whitespace-normal"/>
      </w:pPr>
      <w:r>
        <w:t>V. 17-21 werden dann das Verfahren bei falschem Zeugnis beschreiben.</w:t>
      </w:r>
    </w:p>
    <w:p w14:paraId="5A3E9B33" w14:textId="6C1C491D" w:rsidR="00C25194" w:rsidRDefault="00C25194" w:rsidP="00DD2E9B">
      <w:pPr>
        <w:pStyle w:val="whitespace-normal"/>
      </w:pPr>
      <w:r>
        <w:rPr>
          <w:rStyle w:val="Fett"/>
        </w:rPr>
        <w:t>Die LXX</w:t>
      </w:r>
      <w:r>
        <w:t xml:space="preserve"> übersetzt </w:t>
      </w:r>
      <w:r w:rsidRPr="00C25194">
        <w:rPr>
          <w:b/>
          <w:bCs/>
          <w:rtl/>
        </w:rPr>
        <w:t>עֵד־חָמָס</w:t>
      </w:r>
      <w:r>
        <w:t xml:space="preserve"> (ein gewalttätiger/ungerechter Zeuge) mit </w:t>
      </w:r>
      <w:proofErr w:type="spellStart"/>
      <w:r>
        <w:t>μάρτυς</w:t>
      </w:r>
      <w:proofErr w:type="spellEnd"/>
      <w:r>
        <w:t xml:space="preserve"> </w:t>
      </w:r>
      <w:proofErr w:type="spellStart"/>
      <w:r>
        <w:t>ἄδικος</w:t>
      </w:r>
      <w:proofErr w:type="spellEnd"/>
      <w:r>
        <w:t xml:space="preserve"> (ein ungerechter Zeuge) – ein allgemeinerer moralischer Begriff. Die Wendung </w:t>
      </w:r>
      <w:r w:rsidRPr="00C25194">
        <w:rPr>
          <w:b/>
          <w:bCs/>
          <w:rtl/>
        </w:rPr>
        <w:t>לַעֲנוֹת בּוֹ סָרָה</w:t>
      </w:r>
      <w:r>
        <w:t xml:space="preserve"> (um gegen ihn Abfall auszusagen) wird mit κατα</w:t>
      </w:r>
      <w:proofErr w:type="spellStart"/>
      <w:r>
        <w:t>λέγων</w:t>
      </w:r>
      <w:proofErr w:type="spellEnd"/>
      <w:r>
        <w:t xml:space="preserve"> α</w:t>
      </w:r>
      <w:proofErr w:type="spellStart"/>
      <w:r>
        <w:t>ὐτοῦ</w:t>
      </w:r>
      <w:proofErr w:type="spellEnd"/>
      <w:r>
        <w:t xml:space="preserve"> </w:t>
      </w:r>
      <w:proofErr w:type="spellStart"/>
      <w:r>
        <w:t>ἀσέ</w:t>
      </w:r>
      <w:proofErr w:type="spellEnd"/>
      <w:r>
        <w:t xml:space="preserve">βειαν (ihm Gottlosigkeit vorwerfend) übersetzt – wieder die charakteristische LXX-Tendenz, </w:t>
      </w:r>
      <w:r w:rsidRPr="00C25194">
        <w:rPr>
          <w:b/>
          <w:bCs/>
          <w:rtl/>
        </w:rPr>
        <w:t>סָרָה</w:t>
      </w:r>
      <w:r>
        <w:t xml:space="preserve"> (Abfall) mit </w:t>
      </w:r>
      <w:proofErr w:type="spellStart"/>
      <w:r>
        <w:t>ἀσέ</w:t>
      </w:r>
      <w:proofErr w:type="spellEnd"/>
      <w:r>
        <w:t>βεια (Gottlosigkeit) wiederzugeben.</w:t>
      </w:r>
    </w:p>
    <w:p w14:paraId="7F7074F3" w14:textId="77777777" w:rsidR="00DD2E9B" w:rsidRDefault="00DD2E9B" w:rsidP="00DD2E9B">
      <w:pPr>
        <w:pStyle w:val="whitespace-normal"/>
      </w:pPr>
      <w:r>
        <w:rPr>
          <w:rStyle w:val="Fett"/>
          <w:rFonts w:eastAsiaTheme="majorEastAsia"/>
        </w:rPr>
        <w:t>Die Satzstruktur:</w:t>
      </w:r>
      <w:r>
        <w:t xml:space="preserve"> Konditionaler Satz (wenn auftritt ein Zeuge der Gewalttat gegen einen Mann, um gegen ihn auszusagen wegen eines Vergehens).</w:t>
      </w:r>
    </w:p>
    <w:p w14:paraId="18437A7A" w14:textId="77777777" w:rsidR="00DD2E9B" w:rsidRDefault="00DD2E9B" w:rsidP="00DD2E9B">
      <w:pPr>
        <w:pStyle w:val="whitespace-normal"/>
      </w:pPr>
      <w:r>
        <w:t>Der Vers setzt den Fall: Wenn ein falscher, böswilliger Zeuge gegen jemanden auftritt – dann folgt V. 17ff. mit dem Verfahren.</w:t>
      </w:r>
    </w:p>
    <w:p w14:paraId="6FBE58E2"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19,17</w:t>
      </w:r>
    </w:p>
    <w:p w14:paraId="7464C9A3" w14:textId="77777777" w:rsidR="00DD2E9B" w:rsidRDefault="00DD2E9B" w:rsidP="00DD2E9B">
      <w:pPr>
        <w:pStyle w:val="whitespace-normal"/>
      </w:pPr>
      <w:r>
        <w:rPr>
          <w:rStyle w:val="Fett"/>
          <w:rFonts w:eastAsiaTheme="majorEastAsia"/>
        </w:rPr>
        <w:t>Hebräisch:</w:t>
      </w:r>
      <w:r>
        <w:t xml:space="preserve"> </w:t>
      </w:r>
      <w:r>
        <w:rPr>
          <w:rtl/>
        </w:rPr>
        <w:t>וְעָמְד֧וּ שְׁנֵֽי־הָאֲנָשִׁ֛ים אֲשֶׁר־לָהֶ֥ם הָרִ֖יב לִפְנֵ֣י יְהוָ֑ה לִפְנֵ֤י הַכֹּֽהֲנִים֙ וְהַשֹּׁ֣פְטִ֔ים אֲשֶׁ֥ר יִהְי֖וּ בַּיָּמִ֥ים הָהֵֽם׃</w:t>
      </w:r>
    </w:p>
    <w:p w14:paraId="59987603" w14:textId="77777777" w:rsidR="00DD2E9B" w:rsidRDefault="00DD2E9B" w:rsidP="00DD2E9B">
      <w:pPr>
        <w:pStyle w:val="whitespace-normal"/>
      </w:pPr>
      <w:r>
        <w:rPr>
          <w:rStyle w:val="Fett"/>
          <w:rFonts w:eastAsiaTheme="majorEastAsia"/>
        </w:rPr>
        <w:lastRenderedPageBreak/>
        <w:t>Deutsch:</w:t>
      </w:r>
      <w:r>
        <w:t xml:space="preserve"> so sollen die beiden Männer, die den Streit haben, vor den Ewigen treten, vor die Priester und die Richter, die in jenen Tagen sein werden.</w:t>
      </w:r>
    </w:p>
    <w:p w14:paraId="48F43E69" w14:textId="77777777" w:rsidR="00DD2E9B" w:rsidRDefault="004F5CEB" w:rsidP="00DD2E9B">
      <w:r>
        <w:rPr>
          <w:noProof/>
        </w:rPr>
        <w:pict w14:anchorId="1AE65B91">
          <v:rect id="_x0000_i1548" style="width:0;height:1.5pt" o:hralign="center" o:hrstd="t" o:hr="t" fillcolor="#a0a0a0" stroked="f"/>
        </w:pict>
      </w:r>
    </w:p>
    <w:p w14:paraId="5D0B1C82" w14:textId="77777777" w:rsidR="00DD2E9B" w:rsidRDefault="00DD2E9B" w:rsidP="00DD2E9B">
      <w:pPr>
        <w:pStyle w:val="whitespace-normal"/>
      </w:pPr>
      <w:r>
        <w:rPr>
          <w:rStyle w:val="Fett"/>
          <w:rFonts w:eastAsiaTheme="majorEastAsia"/>
        </w:rPr>
        <w:t>Kommentar:</w:t>
      </w:r>
      <w:r>
        <w:t xml:space="preserve"> </w:t>
      </w:r>
      <w:r>
        <w:rPr>
          <w:rStyle w:val="Fett"/>
          <w:rFonts w:eastAsiaTheme="majorEastAsia"/>
          <w:rtl/>
        </w:rPr>
        <w:t>וְעָמְדוּ שְׁנֵי־הָאֲנָשִׁים אֲשֶׁר־לָהֶם הָרִיב לִפְנֵי יְהוָה</w:t>
      </w:r>
      <w:r>
        <w:rPr>
          <w:rtl/>
        </w:rPr>
        <w:t xml:space="preserve"> </w:t>
      </w:r>
      <w:r>
        <w:t xml:space="preserve">ist die Apodosis: </w:t>
      </w:r>
      <w:r>
        <w:rPr>
          <w:rStyle w:val="Fett"/>
          <w:rFonts w:eastAsiaTheme="majorEastAsia"/>
          <w:rtl/>
        </w:rPr>
        <w:t>וְעָמְדוּ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עמד</w:t>
      </w:r>
      <w:r>
        <w:t xml:space="preserve">, Qal Perfekt, 3. Person Plural, „stehen", mit </w:t>
      </w:r>
      <w:r>
        <w:rPr>
          <w:rStyle w:val="Fett"/>
          <w:rFonts w:eastAsiaTheme="majorEastAsia"/>
        </w:rPr>
        <w:t>Waw</w:t>
      </w:r>
      <w:r>
        <w:t xml:space="preserve"> consecutives Perfekt), </w:t>
      </w:r>
      <w:r>
        <w:rPr>
          <w:rStyle w:val="Fett"/>
          <w:rFonts w:eastAsiaTheme="majorEastAsia"/>
          <w:rtl/>
        </w:rPr>
        <w:t>שְׁנֵי־הָאֲנָשִׁים</w:t>
      </w:r>
      <w:r>
        <w:rPr>
          <w:rtl/>
        </w:rPr>
        <w:t xml:space="preserve"> </w:t>
      </w:r>
      <w:r>
        <w:t>(</w:t>
      </w:r>
      <w:r>
        <w:rPr>
          <w:rStyle w:val="Fett"/>
          <w:rFonts w:eastAsiaTheme="majorEastAsia"/>
          <w:rtl/>
        </w:rPr>
        <w:t>שְׁנַיִם</w:t>
      </w:r>
      <w:r>
        <w:t xml:space="preserve">, „zwei", Dual, Construct mit </w:t>
      </w:r>
      <w:r>
        <w:rPr>
          <w:rStyle w:val="Fett"/>
          <w:rFonts w:eastAsiaTheme="majorEastAsia"/>
          <w:rtl/>
        </w:rPr>
        <w:t>אִישׁ</w:t>
      </w:r>
      <w:r>
        <w:t xml:space="preserve">, „Mann", Plural mit Artikel, „die beiden Männer"), </w:t>
      </w:r>
      <w:r>
        <w:rPr>
          <w:rStyle w:val="Fett"/>
          <w:rFonts w:eastAsiaTheme="majorEastAsia"/>
          <w:rtl/>
        </w:rPr>
        <w:t>אֲשֶׁר־לָהֶם הָרִיב</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לָהֶם</w:t>
      </w:r>
      <w:r>
        <w:t xml:space="preserve">, Präposition </w:t>
      </w:r>
      <w:r>
        <w:rPr>
          <w:rStyle w:val="Fett"/>
          <w:rFonts w:eastAsiaTheme="majorEastAsia"/>
          <w:rtl/>
        </w:rPr>
        <w:t>לְ</w:t>
      </w:r>
      <w:r>
        <w:rPr>
          <w:rtl/>
        </w:rPr>
        <w:t xml:space="preserve"> </w:t>
      </w:r>
      <w:r>
        <w:t xml:space="preserve">mit Suffix 3. Person Plural, </w:t>
      </w:r>
      <w:r>
        <w:rPr>
          <w:rStyle w:val="Fett"/>
          <w:rFonts w:eastAsiaTheme="majorEastAsia"/>
          <w:rtl/>
        </w:rPr>
        <w:t>רִיב</w:t>
      </w:r>
      <w:r>
        <w:t xml:space="preserve">, „Streit, Rechtsstreit", mit Artikel, „die haben den Streit"), </w:t>
      </w:r>
      <w:r>
        <w:rPr>
          <w:rStyle w:val="Fett"/>
          <w:rFonts w:eastAsiaTheme="majorEastAsia"/>
          <w:rtl/>
        </w:rPr>
        <w:t>לִפְנֵי יְהוָה</w:t>
      </w:r>
      <w:r>
        <w:rPr>
          <w:rtl/>
        </w:rPr>
        <w:t xml:space="preserve"> </w:t>
      </w:r>
      <w:r>
        <w:t xml:space="preserve">(Präposition </w:t>
      </w:r>
      <w:r>
        <w:rPr>
          <w:rStyle w:val="Fett"/>
          <w:rFonts w:eastAsiaTheme="majorEastAsia"/>
          <w:rtl/>
        </w:rPr>
        <w:t>לִפְנֵי</w:t>
      </w:r>
      <w:r>
        <w:t xml:space="preserve">, „vor", mit </w:t>
      </w:r>
      <w:r>
        <w:rPr>
          <w:rStyle w:val="Fett"/>
          <w:rFonts w:eastAsiaTheme="majorEastAsia"/>
          <w:rtl/>
        </w:rPr>
        <w:t>יְהוָה</w:t>
      </w:r>
      <w:r>
        <w:t>, „vor JHWH").</w:t>
      </w:r>
    </w:p>
    <w:p w14:paraId="0E518351" w14:textId="77777777" w:rsidR="00DD2E9B" w:rsidRDefault="00DD2E9B" w:rsidP="00DD2E9B">
      <w:pPr>
        <w:pStyle w:val="whitespace-normal"/>
      </w:pPr>
      <w:r>
        <w:rPr>
          <w:rStyle w:val="Fett"/>
          <w:rFonts w:eastAsiaTheme="majorEastAsia"/>
          <w:rtl/>
        </w:rPr>
        <w:t>לִפְנֵי הַכֹּהֲנִים וְהַשֹּׁפְטִים אֲשֶׁר יִהְיוּ בַּיָּמִים הָהֵם</w:t>
      </w:r>
      <w:r>
        <w:rPr>
          <w:rtl/>
        </w:rPr>
        <w:t xml:space="preserve"> </w:t>
      </w:r>
      <w:r>
        <w:t xml:space="preserve">ist die Spezifikation: </w:t>
      </w:r>
      <w:r>
        <w:rPr>
          <w:rStyle w:val="Fett"/>
          <w:rFonts w:eastAsiaTheme="majorEastAsia"/>
          <w:rtl/>
        </w:rPr>
        <w:t>לִפְנֵי הַכֹּהֲנִים וְהַשֹּׁפְטִים</w:t>
      </w:r>
      <w:r>
        <w:rPr>
          <w:rtl/>
        </w:rPr>
        <w:t xml:space="preserve"> </w:t>
      </w:r>
      <w:r>
        <w:t xml:space="preserve">(Präposition </w:t>
      </w:r>
      <w:r>
        <w:rPr>
          <w:rStyle w:val="Fett"/>
          <w:rFonts w:eastAsiaTheme="majorEastAsia"/>
          <w:rtl/>
        </w:rPr>
        <w:t>לִפְנֵי</w:t>
      </w:r>
      <w:r>
        <w:rPr>
          <w:rtl/>
        </w:rPr>
        <w:t xml:space="preserve"> </w:t>
      </w:r>
      <w:r>
        <w:t xml:space="preserve">mit </w:t>
      </w:r>
      <w:r>
        <w:rPr>
          <w:rStyle w:val="Fett"/>
          <w:rFonts w:eastAsiaTheme="majorEastAsia"/>
          <w:rtl/>
        </w:rPr>
        <w:t>כֹּהֵן</w:t>
      </w:r>
      <w:r>
        <w:t xml:space="preserve">, „Priester", Plural mit Artikel, koordiniert durch </w:t>
      </w:r>
      <w:r>
        <w:rPr>
          <w:rStyle w:val="Fett"/>
          <w:rFonts w:eastAsiaTheme="majorEastAsia"/>
          <w:rtl/>
        </w:rPr>
        <w:t>וְ</w:t>
      </w:r>
      <w:r>
        <w:rPr>
          <w:rtl/>
        </w:rPr>
        <w:t xml:space="preserve"> </w:t>
      </w:r>
      <w:r>
        <w:t xml:space="preserve">mit </w:t>
      </w:r>
      <w:r>
        <w:rPr>
          <w:rStyle w:val="Fett"/>
          <w:rFonts w:eastAsiaTheme="majorEastAsia"/>
          <w:rtl/>
        </w:rPr>
        <w:t>שֹׁפֵט</w:t>
      </w:r>
      <w:r>
        <w:t xml:space="preserve">, „Richter", Plural mit Artikel, „vor die Priester und die Richter"), </w:t>
      </w:r>
      <w:r>
        <w:rPr>
          <w:rStyle w:val="Fett"/>
          <w:rFonts w:eastAsiaTheme="majorEastAsia"/>
          <w:rtl/>
        </w:rPr>
        <w:t>אֲשֶׁר יִהְיוּ בַּיָּמִים הָהֵם</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היה</w:t>
      </w:r>
      <w:r>
        <w:t xml:space="preserve">, Qal Imperfekt, 3. Person Plural, „sein", </w:t>
      </w:r>
      <w:r>
        <w:rPr>
          <w:rStyle w:val="Fett"/>
          <w:rFonts w:eastAsiaTheme="majorEastAsia"/>
          <w:rtl/>
        </w:rPr>
        <w:t>בַּיָּמִים הָהֵם</w:t>
      </w:r>
      <w:r>
        <w:t xml:space="preserve">, Präposition </w:t>
      </w:r>
      <w:r>
        <w:rPr>
          <w:rStyle w:val="Fett"/>
          <w:rFonts w:eastAsiaTheme="majorEastAsia"/>
          <w:rtl/>
        </w:rPr>
        <w:t>בְּ</w:t>
      </w:r>
      <w:r>
        <w:rPr>
          <w:rtl/>
        </w:rPr>
        <w:t xml:space="preserve"> </w:t>
      </w:r>
      <w:r>
        <w:t xml:space="preserve">mit </w:t>
      </w:r>
      <w:r>
        <w:rPr>
          <w:rStyle w:val="Fett"/>
          <w:rFonts w:eastAsiaTheme="majorEastAsia"/>
          <w:rtl/>
        </w:rPr>
        <w:t>יוֹם</w:t>
      </w:r>
      <w:r>
        <w:t xml:space="preserve">, Plural mit Artikel und Demonstrativpronomen </w:t>
      </w:r>
      <w:r>
        <w:rPr>
          <w:rStyle w:val="Fett"/>
          <w:rFonts w:eastAsiaTheme="majorEastAsia"/>
          <w:rtl/>
        </w:rPr>
        <w:t>הֵם</w:t>
      </w:r>
      <w:r>
        <w:t>, „die in jenen Tagen sein werden").</w:t>
      </w:r>
    </w:p>
    <w:p w14:paraId="682776F7" w14:textId="77777777" w:rsidR="00DD2E9B" w:rsidRDefault="00DD2E9B" w:rsidP="00DD2E9B">
      <w:pPr>
        <w:pStyle w:val="whitespace-normal"/>
      </w:pPr>
      <w:r>
        <w:t xml:space="preserve">Der Vers beschreibt das Verfahren: Die </w:t>
      </w:r>
      <w:r>
        <w:rPr>
          <w:rStyle w:val="Fett"/>
          <w:rFonts w:eastAsiaTheme="majorEastAsia"/>
          <w:rtl/>
        </w:rPr>
        <w:t>שְׁנֵי־הָאֲנָשִׁים</w:t>
      </w:r>
      <w:r>
        <w:rPr>
          <w:rtl/>
        </w:rPr>
        <w:t xml:space="preserve"> </w:t>
      </w:r>
      <w:r>
        <w:t xml:space="preserve">(„beiden Männer") – der Angeklagte und der falsche Zeuge – müssen </w:t>
      </w:r>
      <w:r>
        <w:rPr>
          <w:rStyle w:val="Fett"/>
          <w:rFonts w:eastAsiaTheme="majorEastAsia"/>
          <w:rtl/>
        </w:rPr>
        <w:t>לִפְנֵי יְהוָה</w:t>
      </w:r>
      <w:r>
        <w:rPr>
          <w:rtl/>
        </w:rPr>
        <w:t xml:space="preserve"> </w:t>
      </w:r>
      <w:r>
        <w:t xml:space="preserve">(„vor JHWH") treten. Die Formulierung </w:t>
      </w:r>
      <w:r>
        <w:rPr>
          <w:rStyle w:val="Fett"/>
          <w:rFonts w:eastAsiaTheme="majorEastAsia"/>
          <w:rtl/>
        </w:rPr>
        <w:t>לִפְנֵי יְהוָה</w:t>
      </w:r>
      <w:r>
        <w:rPr>
          <w:rtl/>
        </w:rPr>
        <w:t xml:space="preserve"> </w:t>
      </w:r>
      <w:r>
        <w:t xml:space="preserve">bedeutet: vor JHWH im Heiligtum (vgl. 17,8-9), was durch die Parallele </w:t>
      </w:r>
      <w:r>
        <w:rPr>
          <w:rStyle w:val="Fett"/>
          <w:rFonts w:eastAsiaTheme="majorEastAsia"/>
          <w:rtl/>
        </w:rPr>
        <w:t>לִפְנֵי הַכֹּהֲנִים וְהַשֹּׁפְטִים</w:t>
      </w:r>
      <w:r>
        <w:rPr>
          <w:rtl/>
        </w:rPr>
        <w:t xml:space="preserve"> </w:t>
      </w:r>
      <w:r>
        <w:t>(„vor die Priester und die Richter") konkretisiert wird. Dies ist das höchste Gericht am zentralen Heiligtum (vgl. 17,8-13).</w:t>
      </w:r>
    </w:p>
    <w:p w14:paraId="4D0BD8F1" w14:textId="77777777" w:rsidR="00DD2E9B" w:rsidRDefault="00DD2E9B" w:rsidP="00DD2E9B">
      <w:pPr>
        <w:pStyle w:val="whitespace-normal"/>
      </w:pPr>
      <w:r>
        <w:t xml:space="preserve">Die Formulierung </w:t>
      </w:r>
      <w:r>
        <w:rPr>
          <w:rStyle w:val="Fett"/>
          <w:rFonts w:eastAsiaTheme="majorEastAsia"/>
          <w:rtl/>
        </w:rPr>
        <w:t>אֲשֶׁר יִהְיוּ בַּיָּמִים הָהֵם</w:t>
      </w:r>
      <w:r>
        <w:rPr>
          <w:rtl/>
        </w:rPr>
        <w:t xml:space="preserve"> </w:t>
      </w:r>
      <w:r>
        <w:t xml:space="preserve">(„die in jenen Tagen sein werden") zeigt: nicht eine bestimmte historische Person, sondern die jeweils amtierenden Autoritäten (vgl. 17,9; 26,3). Die Kombination </w:t>
      </w:r>
      <w:r>
        <w:rPr>
          <w:rStyle w:val="Fett"/>
          <w:rFonts w:eastAsiaTheme="majorEastAsia"/>
          <w:rtl/>
        </w:rPr>
        <w:t>הַכֹּהֲנִים וְהַשֹּׁפְטִים</w:t>
      </w:r>
      <w:r>
        <w:rPr>
          <w:rtl/>
        </w:rPr>
        <w:t xml:space="preserve"> </w:t>
      </w:r>
      <w:r>
        <w:t>(„die Priester und die Richter") vereint religiöse und zivile Autorität (vgl. 17,9.12).</w:t>
      </w:r>
    </w:p>
    <w:p w14:paraId="5A8E6F04" w14:textId="77777777" w:rsidR="00DD2E9B" w:rsidRDefault="00DD2E9B" w:rsidP="00DD2E9B">
      <w:pPr>
        <w:pStyle w:val="whitespace-normal"/>
      </w:pPr>
      <w:r>
        <w:rPr>
          <w:rStyle w:val="Fett"/>
          <w:rFonts w:eastAsiaTheme="majorEastAsia"/>
        </w:rPr>
        <w:t>Die Satzstruktur:</w:t>
      </w:r>
      <w:r>
        <w:t xml:space="preserve"> Apodosis mit Spezifikation (stehen sollen die beiden Männer, die haben den Streit, vor JHWH, vor die Priester und die Richter, die sein werden in jenen Tagen).</w:t>
      </w:r>
    </w:p>
    <w:p w14:paraId="2545C1A6" w14:textId="77777777" w:rsidR="00DD2E9B" w:rsidRDefault="00DD2E9B" w:rsidP="00DD2E9B">
      <w:pPr>
        <w:pStyle w:val="whitespace-normal"/>
      </w:pPr>
      <w:r>
        <w:t>Der Vers bestimmt: Die beiden streitenden Parteien – Angeklagter und falscher Zeuge – sollen vor JHWH am Heiligtum vor den Priestern und Richtern erscheinen.</w:t>
      </w:r>
    </w:p>
    <w:p w14:paraId="0022C4F1"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19,18</w:t>
      </w:r>
    </w:p>
    <w:p w14:paraId="50E9F78A" w14:textId="77777777" w:rsidR="00DD2E9B" w:rsidRDefault="00DD2E9B" w:rsidP="00DD2E9B">
      <w:pPr>
        <w:pStyle w:val="whitespace-normal"/>
      </w:pPr>
      <w:r>
        <w:rPr>
          <w:rStyle w:val="Fett"/>
          <w:rFonts w:eastAsiaTheme="majorEastAsia"/>
        </w:rPr>
        <w:t>Hebräisch:</w:t>
      </w:r>
      <w:r>
        <w:t xml:space="preserve"> </w:t>
      </w:r>
      <w:r>
        <w:rPr>
          <w:rtl/>
        </w:rPr>
        <w:t>וְדָרְשׁ֥וּ הַשֹּׁפְטִ֖ים הֵיטֵ֑ב וְהִנֵּ֤ה עֵֽד־שֶׁ֨קֶר֙ הָעֵ֔ד שֶׁ֖קֶר עָנָ֥ה בְאָחִֽיו׃</w:t>
      </w:r>
    </w:p>
    <w:p w14:paraId="3ACA467F" w14:textId="77777777" w:rsidR="00DD2E9B" w:rsidRDefault="00DD2E9B" w:rsidP="00DD2E9B">
      <w:pPr>
        <w:pStyle w:val="whitespace-normal"/>
      </w:pPr>
      <w:r>
        <w:rPr>
          <w:rStyle w:val="Fett"/>
          <w:rFonts w:eastAsiaTheme="majorEastAsia"/>
        </w:rPr>
        <w:t>Deutsch:</w:t>
      </w:r>
      <w:r>
        <w:t xml:space="preserve"> Und forschen sollen die Richter gut; und siehe, ist der Zeuge ein lügender Zeuge, hat er Lüge ausgesagt gegen seinen Bruder,</w:t>
      </w:r>
    </w:p>
    <w:p w14:paraId="7CFF446F" w14:textId="77777777" w:rsidR="00DD2E9B" w:rsidRDefault="004F5CEB" w:rsidP="00DD2E9B">
      <w:r>
        <w:rPr>
          <w:noProof/>
        </w:rPr>
        <w:pict w14:anchorId="12538C97">
          <v:rect id="_x0000_i1549" style="width:0;height:1.5pt" o:hralign="center" o:hrstd="t" o:hr="t" fillcolor="#a0a0a0" stroked="f"/>
        </w:pict>
      </w:r>
    </w:p>
    <w:p w14:paraId="67F14F68" w14:textId="77777777" w:rsidR="00DD2E9B" w:rsidRDefault="00DD2E9B" w:rsidP="00DD2E9B">
      <w:pPr>
        <w:pStyle w:val="whitespace-normal"/>
      </w:pPr>
      <w:r>
        <w:rPr>
          <w:rStyle w:val="Fett"/>
          <w:rFonts w:eastAsiaTheme="majorEastAsia"/>
        </w:rPr>
        <w:t>Kommentar:</w:t>
      </w:r>
      <w:r>
        <w:t xml:space="preserve"> </w:t>
      </w:r>
      <w:r>
        <w:rPr>
          <w:rStyle w:val="Fett"/>
          <w:rFonts w:eastAsiaTheme="majorEastAsia"/>
          <w:rtl/>
        </w:rPr>
        <w:t>וְדָרְשׁוּ הַשֹּׁפְטִים הֵיטֵב</w:t>
      </w:r>
      <w:r>
        <w:rPr>
          <w:rtl/>
        </w:rPr>
        <w:t xml:space="preserve"> </w:t>
      </w:r>
      <w:r>
        <w:t xml:space="preserve">ist ein Imperativsatz: </w:t>
      </w:r>
      <w:r>
        <w:rPr>
          <w:rStyle w:val="Fett"/>
          <w:rFonts w:eastAsiaTheme="majorEastAsia"/>
          <w:rtl/>
        </w:rPr>
        <w:t>וְדָרְשׁוּ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דרשׁ</w:t>
      </w:r>
      <w:r>
        <w:t xml:space="preserve">, Qal Perfekt, 3. Person Plural, „suchen, erforschen, untersuchen", mit </w:t>
      </w:r>
      <w:r>
        <w:rPr>
          <w:rStyle w:val="Fett"/>
          <w:rFonts w:eastAsiaTheme="majorEastAsia"/>
        </w:rPr>
        <w:t>Waw</w:t>
      </w:r>
      <w:r>
        <w:t xml:space="preserve"> consecutives </w:t>
      </w:r>
      <w:r>
        <w:lastRenderedPageBreak/>
        <w:t xml:space="preserve">Perfekt), </w:t>
      </w:r>
      <w:r>
        <w:rPr>
          <w:rStyle w:val="Fett"/>
          <w:rFonts w:eastAsiaTheme="majorEastAsia"/>
          <w:rtl/>
        </w:rPr>
        <w:t>הַשֹּׁפְטִים</w:t>
      </w:r>
      <w:r>
        <w:rPr>
          <w:rtl/>
        </w:rPr>
        <w:t xml:space="preserve"> </w:t>
      </w:r>
      <w:r>
        <w:t>(</w:t>
      </w:r>
      <w:r>
        <w:rPr>
          <w:rStyle w:val="Fett"/>
          <w:rFonts w:eastAsiaTheme="majorEastAsia"/>
          <w:rtl/>
        </w:rPr>
        <w:t>שֹׁפֵט</w:t>
      </w:r>
      <w:r>
        <w:t xml:space="preserve">, „Richter", Plural mit Artikel), </w:t>
      </w:r>
      <w:r>
        <w:rPr>
          <w:rStyle w:val="Fett"/>
          <w:rFonts w:eastAsiaTheme="majorEastAsia"/>
          <w:rtl/>
        </w:rPr>
        <w:t>הֵיטֵב</w:t>
      </w:r>
      <w:r>
        <w:rPr>
          <w:rtl/>
        </w:rPr>
        <w:t xml:space="preserve"> </w:t>
      </w:r>
      <w:r>
        <w:t xml:space="preserve">(Hiphil Infinitiv Absolutus von </w:t>
      </w:r>
      <w:r>
        <w:rPr>
          <w:rStyle w:val="Fett"/>
          <w:rFonts w:eastAsiaTheme="majorEastAsia"/>
          <w:rtl/>
        </w:rPr>
        <w:t>יטב</w:t>
      </w:r>
      <w:r>
        <w:t>, „gut sein", in der Hiphil-Form „gut machen", als Adverb „gut, gründlich").</w:t>
      </w:r>
    </w:p>
    <w:p w14:paraId="2F803701" w14:textId="77777777" w:rsidR="00DD2E9B" w:rsidRDefault="00DD2E9B" w:rsidP="00DD2E9B">
      <w:pPr>
        <w:pStyle w:val="whitespace-normal"/>
      </w:pPr>
      <w:r>
        <w:rPr>
          <w:rStyle w:val="Fett"/>
          <w:rFonts w:eastAsiaTheme="majorEastAsia"/>
          <w:rtl/>
        </w:rPr>
        <w:t>וְהִנֵּה עֵד־שֶׁקֶר הָעֵד שֶׁקֶר עָנָה בְאָחִיו</w:t>
      </w:r>
      <w:r>
        <w:rPr>
          <w:rtl/>
        </w:rPr>
        <w:t xml:space="preserve"> </w:t>
      </w:r>
      <w:r>
        <w:t xml:space="preserve">ist der Bedingungssatz: </w:t>
      </w:r>
      <w:r>
        <w:rPr>
          <w:rStyle w:val="Fett"/>
          <w:rFonts w:eastAsiaTheme="majorEastAsia"/>
          <w:rtl/>
        </w:rPr>
        <w:t>וְהִנֵּה</w:t>
      </w:r>
      <w:r>
        <w:rPr>
          <w:rtl/>
        </w:rPr>
        <w:t xml:space="preserve"> </w:t>
      </w:r>
      <w:r>
        <w:t xml:space="preserve">(Interjektion, „siehe"), </w:t>
      </w:r>
      <w:r>
        <w:rPr>
          <w:rStyle w:val="Fett"/>
          <w:rFonts w:eastAsiaTheme="majorEastAsia"/>
          <w:rtl/>
        </w:rPr>
        <w:t>עֵד־שֶׁקֶר הָעֵד</w:t>
      </w:r>
      <w:r>
        <w:rPr>
          <w:rtl/>
        </w:rPr>
        <w:t xml:space="preserve"> </w:t>
      </w:r>
      <w:r>
        <w:t>(</w:t>
      </w:r>
      <w:r>
        <w:rPr>
          <w:rStyle w:val="Fett"/>
          <w:rFonts w:eastAsiaTheme="majorEastAsia"/>
          <w:rtl/>
        </w:rPr>
        <w:t>עֵד</w:t>
      </w:r>
      <w:r>
        <w:t xml:space="preserve">, „Zeuge", Construct mit </w:t>
      </w:r>
      <w:r>
        <w:rPr>
          <w:rStyle w:val="Fett"/>
          <w:rFonts w:eastAsiaTheme="majorEastAsia"/>
          <w:rtl/>
        </w:rPr>
        <w:t>שֶׁקֶר</w:t>
      </w:r>
      <w:r>
        <w:t xml:space="preserve">, „Lüge, Falschheit", </w:t>
      </w:r>
      <w:r>
        <w:rPr>
          <w:rStyle w:val="Fett"/>
          <w:rFonts w:eastAsiaTheme="majorEastAsia"/>
          <w:rtl/>
        </w:rPr>
        <w:t>הָעֵד</w:t>
      </w:r>
      <w:r>
        <w:t xml:space="preserve">, „der Zeuge", mit Artikel, „ein Zeuge der Lüge [ist] der Zeuge" = der Zeuge ist ein lügender Zeuge), </w:t>
      </w:r>
      <w:r>
        <w:rPr>
          <w:rStyle w:val="Fett"/>
          <w:rFonts w:eastAsiaTheme="majorEastAsia"/>
          <w:rtl/>
        </w:rPr>
        <w:t>שֶׁקֶר עָנָה בְאָחִיו</w:t>
      </w:r>
      <w:r>
        <w:rPr>
          <w:rtl/>
        </w:rPr>
        <w:t xml:space="preserve"> </w:t>
      </w:r>
      <w:r>
        <w:t>(</w:t>
      </w:r>
      <w:r>
        <w:rPr>
          <w:rStyle w:val="Fett"/>
          <w:rFonts w:eastAsiaTheme="majorEastAsia"/>
          <w:rtl/>
        </w:rPr>
        <w:t>שֶׁקֶר</w:t>
      </w:r>
      <w:r>
        <w:t xml:space="preserve">, „Lüge", </w:t>
      </w:r>
      <w:r>
        <w:rPr>
          <w:rStyle w:val="Fett"/>
          <w:rFonts w:eastAsiaTheme="majorEastAsia"/>
          <w:rtl/>
        </w:rPr>
        <w:t>ענה</w:t>
      </w:r>
      <w:r>
        <w:t xml:space="preserve">, Qal Perfekt, 3. Person Maskulinum Singular, „antworten, bezeugen, aussagen", </w:t>
      </w:r>
      <w:r>
        <w:rPr>
          <w:rStyle w:val="Fett"/>
          <w:rFonts w:eastAsiaTheme="majorEastAsia"/>
          <w:rtl/>
        </w:rPr>
        <w:t>בְאָחִיו</w:t>
      </w:r>
      <w:r>
        <w:t xml:space="preserve">, Präposition </w:t>
      </w:r>
      <w:r>
        <w:rPr>
          <w:rStyle w:val="Fett"/>
          <w:rFonts w:eastAsiaTheme="majorEastAsia"/>
          <w:rtl/>
        </w:rPr>
        <w:t>בְּ</w:t>
      </w:r>
      <w:r>
        <w:rPr>
          <w:rtl/>
        </w:rPr>
        <w:t xml:space="preserve"> </w:t>
      </w:r>
      <w:r>
        <w:t xml:space="preserve">mit </w:t>
      </w:r>
      <w:r>
        <w:rPr>
          <w:rStyle w:val="Fett"/>
          <w:rFonts w:eastAsiaTheme="majorEastAsia"/>
          <w:rtl/>
        </w:rPr>
        <w:t>אָח</w:t>
      </w:r>
      <w:r>
        <w:t>, „Bruder", mit Suffix 3. Person Maskulinum Singular, „gegen seinen Bruder", „Lüge hat er ausgesagt gegen seinen Bruder").</w:t>
      </w:r>
    </w:p>
    <w:p w14:paraId="64CADC41" w14:textId="77777777" w:rsidR="00DD2E9B" w:rsidRDefault="00DD2E9B" w:rsidP="00DD2E9B">
      <w:pPr>
        <w:pStyle w:val="whitespace-normal"/>
      </w:pPr>
      <w:r>
        <w:t xml:space="preserve">Der Vers fordert gründliche Untersuchung und stellt die Ergebnisse fest. Die Formulierung </w:t>
      </w:r>
      <w:r>
        <w:rPr>
          <w:rStyle w:val="Fett"/>
          <w:rFonts w:eastAsiaTheme="majorEastAsia"/>
          <w:rtl/>
        </w:rPr>
        <w:t>וְדָרְשׁוּ הַשֹּׁפְטִים הֵיטֵב</w:t>
      </w:r>
      <w:r>
        <w:rPr>
          <w:rtl/>
        </w:rPr>
        <w:t xml:space="preserve"> </w:t>
      </w:r>
      <w:r>
        <w:t xml:space="preserve">(„forschen sollen die Richter gut") wurde bereits in 13,15 und 17,4 verwendet für sorgfältige Ermittlungen. Das Verb </w:t>
      </w:r>
      <w:r>
        <w:rPr>
          <w:rStyle w:val="Fett"/>
          <w:rFonts w:eastAsiaTheme="majorEastAsia"/>
          <w:rtl/>
        </w:rPr>
        <w:t>דרשׁ</w:t>
      </w:r>
      <w:r>
        <w:rPr>
          <w:rtl/>
        </w:rPr>
        <w:t xml:space="preserve"> </w:t>
      </w:r>
      <w:r>
        <w:t>(„erforschen, untersuchen") impliziert intensive, gründliche Nachforschung (vgl. 13,15; 17,4.9; 19,18; 23,22).</w:t>
      </w:r>
    </w:p>
    <w:p w14:paraId="5570A0F9" w14:textId="77777777" w:rsidR="00DD2E9B" w:rsidRDefault="00DD2E9B" w:rsidP="00DD2E9B">
      <w:pPr>
        <w:pStyle w:val="whitespace-normal"/>
      </w:pPr>
      <w:r>
        <w:t xml:space="preserve">Die doppelte Verwendung von </w:t>
      </w:r>
      <w:r>
        <w:rPr>
          <w:rStyle w:val="Fett"/>
          <w:rFonts w:eastAsiaTheme="majorEastAsia"/>
          <w:rtl/>
        </w:rPr>
        <w:t>שֶׁקֶר</w:t>
      </w:r>
      <w:r>
        <w:rPr>
          <w:rtl/>
        </w:rPr>
        <w:t xml:space="preserve"> </w:t>
      </w:r>
      <w:r>
        <w:t xml:space="preserve">(„Lüge") – </w:t>
      </w:r>
      <w:r>
        <w:rPr>
          <w:rStyle w:val="Fett"/>
          <w:rFonts w:eastAsiaTheme="majorEastAsia"/>
          <w:rtl/>
        </w:rPr>
        <w:t>עֵד־שֶׁקֶר</w:t>
      </w:r>
      <w:r>
        <w:rPr>
          <w:rtl/>
        </w:rPr>
        <w:t xml:space="preserve"> </w:t>
      </w:r>
      <w:r>
        <w:t xml:space="preserve">und </w:t>
      </w:r>
      <w:r>
        <w:rPr>
          <w:rStyle w:val="Fett"/>
          <w:rFonts w:eastAsiaTheme="majorEastAsia"/>
          <w:rtl/>
        </w:rPr>
        <w:t>שֶׁקֶר עָנָה</w:t>
      </w:r>
      <w:r>
        <w:rPr>
          <w:rtl/>
        </w:rPr>
        <w:t xml:space="preserve"> </w:t>
      </w:r>
      <w:r>
        <w:t xml:space="preserve">– betont die Schwere: Der Zeuge ist ein Lügenzeuge und hat Lüge ausgesagt. Die Bezeichnung </w:t>
      </w:r>
      <w:r>
        <w:rPr>
          <w:rStyle w:val="Fett"/>
          <w:rFonts w:eastAsiaTheme="majorEastAsia"/>
          <w:rtl/>
        </w:rPr>
        <w:t>בְאָחִיו</w:t>
      </w:r>
      <w:r>
        <w:rPr>
          <w:rtl/>
        </w:rPr>
        <w:t xml:space="preserve"> </w:t>
      </w:r>
      <w:r>
        <w:t>(„gegen seinen Bruder") betont: Der Angeklagte ist sein Mitisraelit, sein Bruder – falsches Zeugnis gegen ihn ist Bruderverrat.</w:t>
      </w:r>
    </w:p>
    <w:p w14:paraId="5CDC57DB" w14:textId="2066F0F9" w:rsidR="00DD2E9B" w:rsidRDefault="00DD2E9B" w:rsidP="00DD2E9B">
      <w:pPr>
        <w:pStyle w:val="whitespace-normal"/>
      </w:pPr>
      <w:r>
        <w:t xml:space="preserve">Das Kompositum </w:t>
      </w:r>
      <w:r>
        <w:rPr>
          <w:rStyle w:val="Fett"/>
          <w:rFonts w:eastAsiaTheme="majorEastAsia"/>
          <w:rtl/>
        </w:rPr>
        <w:t>עֵד־שֶׁקֶר</w:t>
      </w:r>
      <w:r>
        <w:rPr>
          <w:rtl/>
        </w:rPr>
        <w:t xml:space="preserve"> </w:t>
      </w:r>
      <w:r>
        <w:t>(„Lügenzeuge") erscheint mehrfach in den Proverbien (vgl. Ex 20,16; 23,1; Dtn 5,20; 19,16.18; Ps 27,12; 35,11; Spr 6,19; 12,17; 14,5.25; 19,5.9; 21,28; 25,18).</w:t>
      </w:r>
    </w:p>
    <w:p w14:paraId="28373C07" w14:textId="189B24B6" w:rsidR="00C25194" w:rsidRDefault="00C25194" w:rsidP="00DD2E9B">
      <w:pPr>
        <w:pStyle w:val="whitespace-normal"/>
      </w:pPr>
      <w:r>
        <w:rPr>
          <w:rStyle w:val="Fett"/>
        </w:rPr>
        <w:t>Die LXX</w:t>
      </w:r>
      <w:r>
        <w:t xml:space="preserve"> übersetzt </w:t>
      </w:r>
      <w:r w:rsidRPr="00C25194">
        <w:rPr>
          <w:b/>
          <w:bCs/>
          <w:rtl/>
        </w:rPr>
        <w:t>וְדָרְשׁוּ הַשֹּׁפְטִים הֵיטֵב</w:t>
      </w:r>
      <w:r>
        <w:t xml:space="preserve"> (und die Richter sollen gründlich untersuchen) mit καὶ </w:t>
      </w:r>
      <w:proofErr w:type="spellStart"/>
      <w:r>
        <w:t>ἐξετάσωσιν</w:t>
      </w:r>
      <w:proofErr w:type="spellEnd"/>
      <w:r>
        <w:t xml:space="preserve"> </w:t>
      </w:r>
      <w:proofErr w:type="spellStart"/>
      <w:r>
        <w:t>οἱ</w:t>
      </w:r>
      <w:proofErr w:type="spellEnd"/>
      <w:r>
        <w:t xml:space="preserve"> </w:t>
      </w:r>
      <w:proofErr w:type="spellStart"/>
      <w:r>
        <w:t>κριτ</w:t>
      </w:r>
      <w:proofErr w:type="spellEnd"/>
      <w:r>
        <w:t xml:space="preserve">αὶ </w:t>
      </w:r>
      <w:proofErr w:type="spellStart"/>
      <w:r>
        <w:t>ἀκρι</w:t>
      </w:r>
      <w:proofErr w:type="spellEnd"/>
      <w:r>
        <w:t xml:space="preserve">βῶς (und die Richter sollen genau prüfen) – wobei </w:t>
      </w:r>
      <w:proofErr w:type="spellStart"/>
      <w:r>
        <w:t>ἐξετάζω</w:t>
      </w:r>
      <w:proofErr w:type="spellEnd"/>
      <w:r>
        <w:t xml:space="preserve"> eine forensische Untersuchung bezeichnet und </w:t>
      </w:r>
      <w:proofErr w:type="spellStart"/>
      <w:r>
        <w:t>ἀκρι</w:t>
      </w:r>
      <w:proofErr w:type="spellEnd"/>
      <w:r>
        <w:t xml:space="preserve">βῶς (genau, sorgfältig) </w:t>
      </w:r>
      <w:r w:rsidRPr="00C25194">
        <w:rPr>
          <w:b/>
          <w:bCs/>
          <w:rtl/>
        </w:rPr>
        <w:t>הֵיטֵב</w:t>
      </w:r>
      <w:r>
        <w:t xml:space="preserve"> wiedergibt.</w:t>
      </w:r>
    </w:p>
    <w:p w14:paraId="0C235FE0" w14:textId="77777777" w:rsidR="00DD2E9B" w:rsidRDefault="00DD2E9B" w:rsidP="00DD2E9B">
      <w:pPr>
        <w:pStyle w:val="whitespace-normal"/>
      </w:pPr>
      <w:r>
        <w:rPr>
          <w:rStyle w:val="Fett"/>
          <w:rFonts w:eastAsiaTheme="majorEastAsia"/>
        </w:rPr>
        <w:t>Die Satzstruktur:</w:t>
      </w:r>
      <w:r>
        <w:t xml:space="preserve"> Imperativsatz mit Bedingungssatz (forschen sollen die Richter gut; und siehe, ein Zeuge der Lüge [ist] der Zeuge, Lüge hat er ausgesagt gegen seinen Bruder).</w:t>
      </w:r>
    </w:p>
    <w:p w14:paraId="4421DCC1" w14:textId="77777777" w:rsidR="00DD2E9B" w:rsidRDefault="00DD2E9B" w:rsidP="00DD2E9B">
      <w:pPr>
        <w:pStyle w:val="whitespace-normal"/>
      </w:pPr>
      <w:r>
        <w:t>Der Vers fordert: Die Richter sollen gründlich untersuchen – und wenn sich herausstellt, dass der Zeuge gelogen hat gegen seinen Bruder, dann folgt V. 19 mit der Strafe.</w:t>
      </w:r>
    </w:p>
    <w:p w14:paraId="621EC3C9"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19,19</w:t>
      </w:r>
    </w:p>
    <w:p w14:paraId="5149D088" w14:textId="77777777" w:rsidR="00DD2E9B" w:rsidRDefault="00DD2E9B" w:rsidP="00DD2E9B">
      <w:pPr>
        <w:pStyle w:val="whitespace-normal"/>
      </w:pPr>
      <w:r>
        <w:rPr>
          <w:rStyle w:val="Fett"/>
          <w:rFonts w:eastAsiaTheme="majorEastAsia"/>
        </w:rPr>
        <w:t>Hebräisch:</w:t>
      </w:r>
      <w:r>
        <w:t xml:space="preserve"> </w:t>
      </w:r>
      <w:r>
        <w:rPr>
          <w:rtl/>
        </w:rPr>
        <w:t>וַעֲשִׂ֣יתֶם לוֹ֔ כַּאֲשֶׁ֥ר זָמַ֖ם לַעֲשׂ֣וֹת לְאָחִ֑יו וּבִֽעַרְתָּ֥ הָרָ֖ע מִקִּרְבֶּֽךָ׃</w:t>
      </w:r>
    </w:p>
    <w:p w14:paraId="17D1DB6F" w14:textId="77777777" w:rsidR="00DD2E9B" w:rsidRDefault="00DD2E9B" w:rsidP="00DD2E9B">
      <w:pPr>
        <w:pStyle w:val="whitespace-normal"/>
      </w:pPr>
      <w:r>
        <w:rPr>
          <w:rStyle w:val="Fett"/>
          <w:rFonts w:eastAsiaTheme="majorEastAsia"/>
        </w:rPr>
        <w:t>Deutsch:</w:t>
      </w:r>
      <w:r>
        <w:t xml:space="preserve"> so sollt ihr ihm tun, wie er gedachte zu tun seinem Bruder; und du sollst wegschaffen das Böse aus deiner Mitte.</w:t>
      </w:r>
    </w:p>
    <w:p w14:paraId="68DBE59F" w14:textId="77777777" w:rsidR="00DD2E9B" w:rsidRDefault="004F5CEB" w:rsidP="00DD2E9B">
      <w:r>
        <w:rPr>
          <w:noProof/>
        </w:rPr>
        <w:pict w14:anchorId="2A453833">
          <v:rect id="_x0000_i1550" style="width:0;height:1.5pt" o:hralign="center" o:hrstd="t" o:hr="t" fillcolor="#a0a0a0" stroked="f"/>
        </w:pict>
      </w:r>
    </w:p>
    <w:p w14:paraId="5704FCB9" w14:textId="77777777" w:rsidR="00DD2E9B" w:rsidRDefault="00DD2E9B" w:rsidP="00DD2E9B">
      <w:pPr>
        <w:pStyle w:val="whitespace-normal"/>
      </w:pPr>
      <w:r>
        <w:rPr>
          <w:rStyle w:val="Fett"/>
          <w:rFonts w:eastAsiaTheme="majorEastAsia"/>
        </w:rPr>
        <w:t>Kommentar:</w:t>
      </w:r>
      <w:r>
        <w:t xml:space="preserve"> </w:t>
      </w:r>
      <w:r>
        <w:rPr>
          <w:rStyle w:val="Fett"/>
          <w:rFonts w:eastAsiaTheme="majorEastAsia"/>
          <w:rtl/>
        </w:rPr>
        <w:t>וַעֲשִׂיתֶם לוֹ כַּאֲשֶׁר זָמַם לַעֲשׂוֹת לְאָחִיו</w:t>
      </w:r>
      <w:r>
        <w:rPr>
          <w:rtl/>
        </w:rPr>
        <w:t xml:space="preserve"> </w:t>
      </w:r>
      <w:r>
        <w:t xml:space="preserve">ist ein Imperativsatz: </w:t>
      </w:r>
      <w:r>
        <w:rPr>
          <w:rStyle w:val="Fett"/>
          <w:rFonts w:eastAsiaTheme="majorEastAsia"/>
          <w:rtl/>
        </w:rPr>
        <w:t>וַעֲשִׂיתֶם לוֹ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עשׂה</w:t>
      </w:r>
      <w:r>
        <w:t xml:space="preserve">, Qal Perfekt, 2. Person Plural, „tun, machen", </w:t>
      </w:r>
      <w:r>
        <w:rPr>
          <w:rStyle w:val="Fett"/>
          <w:rFonts w:eastAsiaTheme="majorEastAsia"/>
          <w:rtl/>
        </w:rPr>
        <w:t>לוֹ</w:t>
      </w:r>
      <w:r>
        <w:t xml:space="preserve">, Präposition </w:t>
      </w:r>
      <w:r>
        <w:rPr>
          <w:rStyle w:val="Fett"/>
          <w:rFonts w:eastAsiaTheme="majorEastAsia"/>
          <w:rtl/>
        </w:rPr>
        <w:t>לְ</w:t>
      </w:r>
      <w:r>
        <w:rPr>
          <w:rtl/>
        </w:rPr>
        <w:t xml:space="preserve"> </w:t>
      </w:r>
      <w:r>
        <w:t xml:space="preserve">mit Suffix 3. Person Maskulinum Singular, „ihm", mit </w:t>
      </w:r>
      <w:r>
        <w:rPr>
          <w:rStyle w:val="Fett"/>
          <w:rFonts w:eastAsiaTheme="majorEastAsia"/>
        </w:rPr>
        <w:t>Waw</w:t>
      </w:r>
      <w:r>
        <w:t xml:space="preserve"> consecutives Perfekt), </w:t>
      </w:r>
      <w:r>
        <w:rPr>
          <w:rStyle w:val="Fett"/>
          <w:rFonts w:eastAsiaTheme="majorEastAsia"/>
          <w:rtl/>
        </w:rPr>
        <w:t>כַּאֲשֶׁר זָמַם לַעֲשׂוֹת לְאָחִיו</w:t>
      </w:r>
      <w:r>
        <w:rPr>
          <w:rtl/>
        </w:rPr>
        <w:t xml:space="preserve"> </w:t>
      </w:r>
      <w:r>
        <w:t xml:space="preserve">(Vergleichssatz: </w:t>
      </w:r>
      <w:r>
        <w:rPr>
          <w:rStyle w:val="Fett"/>
          <w:rFonts w:eastAsiaTheme="majorEastAsia"/>
          <w:rtl/>
        </w:rPr>
        <w:t>כַּאֲשֶׁר</w:t>
      </w:r>
      <w:r>
        <w:rPr>
          <w:rtl/>
        </w:rPr>
        <w:t xml:space="preserve"> </w:t>
      </w:r>
      <w:r>
        <w:t xml:space="preserve">mit </w:t>
      </w:r>
      <w:r>
        <w:rPr>
          <w:rStyle w:val="Fett"/>
          <w:rFonts w:eastAsiaTheme="majorEastAsia"/>
          <w:rtl/>
        </w:rPr>
        <w:t>זמם</w:t>
      </w:r>
      <w:r>
        <w:t xml:space="preserve">, Qal Perfekt, 3. Person Maskulinum Singular, „planen, </w:t>
      </w:r>
      <w:r>
        <w:lastRenderedPageBreak/>
        <w:t xml:space="preserve">beabsichtigen, sinnen", </w:t>
      </w:r>
      <w:r>
        <w:rPr>
          <w:rStyle w:val="Fett"/>
          <w:rFonts w:eastAsiaTheme="majorEastAsia"/>
          <w:rtl/>
        </w:rPr>
        <w:t>לַעֲשׂוֹת</w:t>
      </w:r>
      <w:r>
        <w:t xml:space="preserve">, Präposition </w:t>
      </w:r>
      <w:r>
        <w:rPr>
          <w:rStyle w:val="Fett"/>
          <w:rFonts w:eastAsiaTheme="majorEastAsia"/>
          <w:rtl/>
        </w:rPr>
        <w:t>לְ</w:t>
      </w:r>
      <w:r>
        <w:rPr>
          <w:rtl/>
        </w:rPr>
        <w:t xml:space="preserve"> </w:t>
      </w:r>
      <w:r>
        <w:t xml:space="preserve">mit Qal Infinitiv Construct von </w:t>
      </w:r>
      <w:r>
        <w:rPr>
          <w:rStyle w:val="Fett"/>
          <w:rFonts w:eastAsiaTheme="majorEastAsia"/>
          <w:rtl/>
        </w:rPr>
        <w:t>עשׂה</w:t>
      </w:r>
      <w:r>
        <w:t xml:space="preserve">, „zu tun", </w:t>
      </w:r>
      <w:r>
        <w:rPr>
          <w:rStyle w:val="Fett"/>
          <w:rFonts w:eastAsiaTheme="majorEastAsia"/>
          <w:rtl/>
        </w:rPr>
        <w:t>לְאָחִיו</w:t>
      </w:r>
      <w:r>
        <w:t xml:space="preserve">, Präposition </w:t>
      </w:r>
      <w:r>
        <w:rPr>
          <w:rStyle w:val="Fett"/>
          <w:rFonts w:eastAsiaTheme="majorEastAsia"/>
          <w:rtl/>
        </w:rPr>
        <w:t>לְ</w:t>
      </w:r>
      <w:r>
        <w:rPr>
          <w:rtl/>
        </w:rPr>
        <w:t xml:space="preserve"> </w:t>
      </w:r>
      <w:r>
        <w:t xml:space="preserve">mit </w:t>
      </w:r>
      <w:r>
        <w:rPr>
          <w:rStyle w:val="Fett"/>
          <w:rFonts w:eastAsiaTheme="majorEastAsia"/>
          <w:rtl/>
        </w:rPr>
        <w:t>אָח</w:t>
      </w:r>
      <w:r>
        <w:rPr>
          <w:rtl/>
        </w:rPr>
        <w:t xml:space="preserve"> </w:t>
      </w:r>
      <w:r>
        <w:t>mit Suffix 3. Person Maskulinum Singular, „seinem Bruder", „wie er geplant hat zu tun seinem Bruder").</w:t>
      </w:r>
    </w:p>
    <w:p w14:paraId="756017A0" w14:textId="77777777" w:rsidR="00DD2E9B" w:rsidRDefault="00DD2E9B" w:rsidP="00DD2E9B">
      <w:pPr>
        <w:pStyle w:val="whitespace-normal"/>
      </w:pPr>
      <w:r>
        <w:rPr>
          <w:rStyle w:val="Fett"/>
          <w:rFonts w:eastAsiaTheme="majorEastAsia"/>
          <w:rtl/>
        </w:rPr>
        <w:t>וּבִעַרְתָּ הָרָע מִקִּרְבֶּךָ</w:t>
      </w:r>
      <w:r>
        <w:rPr>
          <w:rtl/>
        </w:rPr>
        <w:t xml:space="preserve"> </w:t>
      </w:r>
      <w:r>
        <w:t xml:space="preserve">ist die charakteristische deuteronomische Schlussformel: </w:t>
      </w:r>
      <w:r>
        <w:rPr>
          <w:rStyle w:val="Fett"/>
          <w:rFonts w:eastAsiaTheme="majorEastAsia"/>
          <w:rtl/>
        </w:rPr>
        <w:t>וּבִעַרְתָּ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בער</w:t>
      </w:r>
      <w:r>
        <w:t xml:space="preserve">, Piel Perfekt, 2. Person Maskulinum Singular, „wegschaffen, ausrotten", mit </w:t>
      </w:r>
      <w:r>
        <w:rPr>
          <w:rStyle w:val="Fett"/>
          <w:rFonts w:eastAsiaTheme="majorEastAsia"/>
        </w:rPr>
        <w:t>Waw</w:t>
      </w:r>
      <w:r>
        <w:t xml:space="preserve"> consecutives Perfekt), </w:t>
      </w:r>
      <w:r>
        <w:rPr>
          <w:rStyle w:val="Fett"/>
          <w:rFonts w:eastAsiaTheme="majorEastAsia"/>
          <w:rtl/>
        </w:rPr>
        <w:t>הָרָע</w:t>
      </w:r>
      <w:r>
        <w:rPr>
          <w:rtl/>
        </w:rPr>
        <w:t xml:space="preserve"> </w:t>
      </w:r>
      <w:r>
        <w:t>(</w:t>
      </w:r>
      <w:r>
        <w:rPr>
          <w:rStyle w:val="Fett"/>
          <w:rFonts w:eastAsiaTheme="majorEastAsia"/>
          <w:rtl/>
        </w:rPr>
        <w:t>רַע</w:t>
      </w:r>
      <w:r>
        <w:t xml:space="preserve">, „Böses", mit Artikel), </w:t>
      </w:r>
      <w:r>
        <w:rPr>
          <w:rStyle w:val="Fett"/>
          <w:rFonts w:eastAsiaTheme="majorEastAsia"/>
          <w:rtl/>
        </w:rPr>
        <w:t>מִקִּרְבֶּךָ</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קֶרֶב</w:t>
      </w:r>
      <w:r>
        <w:t>, „Mitte", mit Suffix 2. Person Maskulinum Singular, „aus deiner Mitte").</w:t>
      </w:r>
    </w:p>
    <w:p w14:paraId="02774DD7" w14:textId="30B5AD6E" w:rsidR="00DD2E9B" w:rsidRDefault="00DD2E9B" w:rsidP="00DD2E9B">
      <w:pPr>
        <w:pStyle w:val="whitespace-normal"/>
      </w:pPr>
      <w:r>
        <w:t xml:space="preserve">Der Vers formuliert das Prinzip der Talion für falsche Zeugen: </w:t>
      </w:r>
      <w:r>
        <w:rPr>
          <w:rStyle w:val="Fett"/>
          <w:rFonts w:eastAsiaTheme="majorEastAsia"/>
          <w:rtl/>
        </w:rPr>
        <w:t>כַּאֲשֶׁר זָמַם לַעֲשׂוֹת לְאָחִיו</w:t>
      </w:r>
      <w:r>
        <w:rPr>
          <w:rtl/>
        </w:rPr>
        <w:t xml:space="preserve"> </w:t>
      </w:r>
      <w:r>
        <w:t xml:space="preserve">(„wie er geplant hat zu tun seinem Bruder") – die Strafe entspricht dem beabsichtigten Schaden. Dies ist das </w:t>
      </w:r>
      <w:r>
        <w:rPr>
          <w:rStyle w:val="Fett"/>
          <w:rFonts w:eastAsiaTheme="majorEastAsia"/>
        </w:rPr>
        <w:t>Lex Talionis</w:t>
      </w:r>
      <w:r w:rsidRPr="00323822">
        <w:rPr>
          <w:b/>
          <w:bCs/>
        </w:rPr>
        <w:t>-Prinzip</w:t>
      </w:r>
      <w:r>
        <w:t xml:space="preserve"> (vgl. Ex 21,23-25; </w:t>
      </w:r>
      <w:r w:rsidR="00664EB6">
        <w:t>Lev</w:t>
      </w:r>
      <w:r>
        <w:t xml:space="preserve"> 24,17-21; Dtn 19,21). Das Verb </w:t>
      </w:r>
      <w:r>
        <w:rPr>
          <w:rStyle w:val="Fett"/>
          <w:rFonts w:eastAsiaTheme="majorEastAsia"/>
          <w:rtl/>
        </w:rPr>
        <w:t>זמם</w:t>
      </w:r>
      <w:r>
        <w:rPr>
          <w:rtl/>
        </w:rPr>
        <w:t xml:space="preserve"> </w:t>
      </w:r>
      <w:r>
        <w:t xml:space="preserve">(„planen, beabsichtigen") betont: Die Absicht zählt, nicht ob der Plan erfolgreich war (vgl. Ps 31,14; 37,12; Spr 30,32; 31,16; Jer 11,19; 48,2; 49,20.30; 50,45; 51,11; </w:t>
      </w:r>
      <w:r w:rsidR="00BF3748">
        <w:t>Hes</w:t>
      </w:r>
      <w:r>
        <w:t xml:space="preserve"> 38,10; Klgl 2,17; Sach 1,6; 8,14.15).</w:t>
      </w:r>
    </w:p>
    <w:p w14:paraId="35F1D632" w14:textId="77777777" w:rsidR="00DD2E9B" w:rsidRDefault="00DD2E9B" w:rsidP="00DD2E9B">
      <w:pPr>
        <w:pStyle w:val="whitespace-normal"/>
      </w:pPr>
      <w:r>
        <w:rPr>
          <w:rStyle w:val="Fett"/>
          <w:rFonts w:eastAsiaTheme="majorEastAsia"/>
        </w:rPr>
        <w:t>Wichtig:</w:t>
      </w:r>
      <w:r>
        <w:t xml:space="preserve"> Die rabbinische Tradition (Mischna Makkot 1,4-6) interpretiert: Der falsche Zeuge wird nur bestraft, wenn das Urteil noch nicht vollstreckt wurde. Wurde das Opfer bereits hingerichtet, wird der falsche Zeuge nicht getötet – denn er hat nur „geplant zu tun" (</w:t>
      </w:r>
      <w:r>
        <w:rPr>
          <w:rStyle w:val="Fett"/>
          <w:rFonts w:eastAsiaTheme="majorEastAsia"/>
          <w:rtl/>
        </w:rPr>
        <w:t>זָמַם לַעֲשׂוֹת</w:t>
      </w:r>
      <w:r>
        <w:t>), nicht „getan" (</w:t>
      </w:r>
      <w:r>
        <w:rPr>
          <w:rStyle w:val="Fett"/>
          <w:rFonts w:eastAsiaTheme="majorEastAsia"/>
          <w:rtl/>
        </w:rPr>
        <w:t>עָשָׂה</w:t>
      </w:r>
      <w:r>
        <w:t>). Dies ist jedoch umstritten.</w:t>
      </w:r>
    </w:p>
    <w:p w14:paraId="19B312A3" w14:textId="7A250186" w:rsidR="00DD2E9B" w:rsidRDefault="00DD2E9B" w:rsidP="00DD2E9B">
      <w:pPr>
        <w:pStyle w:val="whitespace-normal"/>
      </w:pPr>
      <w:r>
        <w:t xml:space="preserve">Die Formel </w:t>
      </w:r>
      <w:r>
        <w:rPr>
          <w:rStyle w:val="Fett"/>
          <w:rFonts w:eastAsiaTheme="majorEastAsia"/>
          <w:rtl/>
        </w:rPr>
        <w:t>וּבִעַרְתָּ הָרָע מִקִּרְבֶּךָ</w:t>
      </w:r>
      <w:r>
        <w:rPr>
          <w:rtl/>
        </w:rPr>
        <w:t xml:space="preserve"> </w:t>
      </w:r>
      <w:r>
        <w:t>(„wegschaffen das Böse aus deiner Mitte") erscheint in 13,6; 17,7.12; 19,19; 21,21; 22,21.22.24; 24,7 und betont die Notwendigkeit, das Böse aus der Gemeinschaft zu entfernen.</w:t>
      </w:r>
    </w:p>
    <w:p w14:paraId="78B87028" w14:textId="477A6683" w:rsidR="00C25194" w:rsidRDefault="00C25194" w:rsidP="00DD2E9B">
      <w:pPr>
        <w:pStyle w:val="whitespace-normal"/>
      </w:pPr>
      <w:r>
        <w:rPr>
          <w:rStyle w:val="Fett"/>
        </w:rPr>
        <w:t>Die LXX</w:t>
      </w:r>
      <w:r>
        <w:t xml:space="preserve"> übersetzt </w:t>
      </w:r>
      <w:r>
        <w:rPr>
          <w:rtl/>
        </w:rPr>
        <w:t>כַּאֲשֶׁר זָמַם</w:t>
      </w:r>
      <w:r>
        <w:t xml:space="preserve"> (wie er plante) mit </w:t>
      </w:r>
      <w:proofErr w:type="spellStart"/>
      <w:r>
        <w:t>ὃν</w:t>
      </w:r>
      <w:proofErr w:type="spellEnd"/>
      <w:r>
        <w:t xml:space="preserve"> </w:t>
      </w:r>
      <w:proofErr w:type="spellStart"/>
      <w:r>
        <w:t>τρό</w:t>
      </w:r>
      <w:proofErr w:type="spellEnd"/>
      <w:r>
        <w:t>πον ἐπ</w:t>
      </w:r>
      <w:proofErr w:type="spellStart"/>
      <w:r>
        <w:t>ονηρεύσ</w:t>
      </w:r>
      <w:proofErr w:type="spellEnd"/>
      <w:r>
        <w:t>ατο (auf welche Weise er Böses ersann) – ἐπ</w:t>
      </w:r>
      <w:proofErr w:type="spellStart"/>
      <w:r>
        <w:t>ονηρεύομ</w:t>
      </w:r>
      <w:proofErr w:type="spellEnd"/>
      <w:r>
        <w:t>αι betont den bösen Charakter der Absicht.</w:t>
      </w:r>
    </w:p>
    <w:p w14:paraId="05DEB2DD" w14:textId="77777777" w:rsidR="00DD2E9B" w:rsidRDefault="00DD2E9B" w:rsidP="00DD2E9B">
      <w:pPr>
        <w:pStyle w:val="whitespace-normal"/>
      </w:pPr>
      <w:r>
        <w:rPr>
          <w:rStyle w:val="Fett"/>
          <w:rFonts w:eastAsiaTheme="majorEastAsia"/>
        </w:rPr>
        <w:t>Die Satzstruktur:</w:t>
      </w:r>
      <w:r>
        <w:t xml:space="preserve"> Imperativsatz mit Vergleichssatz und Schlussformel (tun sollt ihr ihm, wie geplant hat er zu tun seinem Bruder; und wegschaffen sollst du das Böse aus deiner Mitte).</w:t>
      </w:r>
    </w:p>
    <w:p w14:paraId="4B806BE0" w14:textId="77777777" w:rsidR="00DD2E9B" w:rsidRDefault="00DD2E9B" w:rsidP="00DD2E9B">
      <w:pPr>
        <w:pStyle w:val="whitespace-normal"/>
      </w:pPr>
      <w:r>
        <w:t>Der Vers bestimmt die Talion-Strafe: Der falsche Zeuge soll das erleiden, was er seinem Bruder zufügen wollte – so wird das Böse aus der Gemeinschaft entfernt.</w:t>
      </w:r>
    </w:p>
    <w:p w14:paraId="18B754EE"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19,20</w:t>
      </w:r>
    </w:p>
    <w:p w14:paraId="4C41FF29" w14:textId="77777777" w:rsidR="00DD2E9B" w:rsidRDefault="00DD2E9B" w:rsidP="00DD2E9B">
      <w:pPr>
        <w:pStyle w:val="whitespace-normal"/>
      </w:pPr>
      <w:r>
        <w:rPr>
          <w:rStyle w:val="Fett"/>
          <w:rFonts w:eastAsiaTheme="majorEastAsia"/>
        </w:rPr>
        <w:t>Hebräisch:</w:t>
      </w:r>
      <w:r>
        <w:t xml:space="preserve"> </w:t>
      </w:r>
      <w:r>
        <w:rPr>
          <w:rtl/>
        </w:rPr>
        <w:t>וְהַנִּשְׁאָרִ֖ים יִשְׁמְע֣וּ וְיִרָ֑אוּ וְלֹֽא־יֹסִ֨פוּ לַעֲשׂ֜וֹת ע֗וֹד כַּדָּבָ֥ר הָרָ֛ע הַזֶּ֖ה בְּקִרְבֶּֽךָ׃</w:t>
      </w:r>
    </w:p>
    <w:p w14:paraId="1AE6936D" w14:textId="77777777" w:rsidR="00DD2E9B" w:rsidRDefault="00DD2E9B" w:rsidP="00DD2E9B">
      <w:pPr>
        <w:pStyle w:val="whitespace-normal"/>
      </w:pPr>
      <w:r>
        <w:rPr>
          <w:rStyle w:val="Fett"/>
          <w:rFonts w:eastAsiaTheme="majorEastAsia"/>
        </w:rPr>
        <w:t>Deutsch:</w:t>
      </w:r>
      <w:r>
        <w:t xml:space="preserve"> Und die Übrigen sollen hören und sich fürchten und nicht fortfahren zu tun wie diese böse Sache in deiner Mitte.</w:t>
      </w:r>
    </w:p>
    <w:p w14:paraId="1AB273AC" w14:textId="77777777" w:rsidR="00DD2E9B" w:rsidRDefault="004F5CEB" w:rsidP="00DD2E9B">
      <w:r>
        <w:rPr>
          <w:noProof/>
        </w:rPr>
        <w:pict w14:anchorId="3C89D0F9">
          <v:rect id="_x0000_i1551" style="width:0;height:1.5pt" o:hralign="center" o:hrstd="t" o:hr="t" fillcolor="#a0a0a0" stroked="f"/>
        </w:pict>
      </w:r>
    </w:p>
    <w:p w14:paraId="4B0C545E" w14:textId="77777777" w:rsidR="00DD2E9B" w:rsidRDefault="00DD2E9B" w:rsidP="00DD2E9B">
      <w:pPr>
        <w:pStyle w:val="whitespace-normal"/>
      </w:pPr>
      <w:r>
        <w:rPr>
          <w:rStyle w:val="Fett"/>
          <w:rFonts w:eastAsiaTheme="majorEastAsia"/>
        </w:rPr>
        <w:t>Kommentar:</w:t>
      </w:r>
      <w:r>
        <w:t xml:space="preserve"> </w:t>
      </w:r>
      <w:r>
        <w:rPr>
          <w:rStyle w:val="Fett"/>
          <w:rFonts w:eastAsiaTheme="majorEastAsia"/>
          <w:rtl/>
        </w:rPr>
        <w:t>וְהַנִּשְׁאָרִים יִשְׁמְעוּ וְיִרָאוּ</w:t>
      </w:r>
      <w:r>
        <w:rPr>
          <w:rtl/>
        </w:rPr>
        <w:t xml:space="preserve"> </w:t>
      </w:r>
      <w:r>
        <w:t xml:space="preserve">sind zwei koordinierte Verben: </w:t>
      </w:r>
      <w:r>
        <w:rPr>
          <w:rStyle w:val="Fett"/>
          <w:rFonts w:eastAsiaTheme="majorEastAsia"/>
          <w:rtl/>
        </w:rPr>
        <w:t>וְהַנִּשְׁאָרִים</w:t>
      </w:r>
      <w:r>
        <w:rPr>
          <w:rtl/>
        </w:rPr>
        <w:t xml:space="preserve"> </w:t>
      </w:r>
      <w:r>
        <w:t xml:space="preserve">(koordiniert durch </w:t>
      </w:r>
      <w:r>
        <w:rPr>
          <w:rStyle w:val="Fett"/>
          <w:rFonts w:eastAsiaTheme="majorEastAsia"/>
          <w:rtl/>
        </w:rPr>
        <w:t>וְ</w:t>
      </w:r>
      <w:r>
        <w:rPr>
          <w:rtl/>
        </w:rPr>
        <w:t xml:space="preserve"> </w:t>
      </w:r>
      <w:r>
        <w:t xml:space="preserve">mit Niphal Partizip Plural von </w:t>
      </w:r>
      <w:r>
        <w:rPr>
          <w:rStyle w:val="Fett"/>
          <w:rFonts w:eastAsiaTheme="majorEastAsia"/>
          <w:rtl/>
        </w:rPr>
        <w:t>שׁאר</w:t>
      </w:r>
      <w:r>
        <w:t xml:space="preserve">, „übrigbleiben", mit Artikel, „die Übriggebliebenen, die Übrigen"), </w:t>
      </w:r>
      <w:r>
        <w:rPr>
          <w:rStyle w:val="Fett"/>
          <w:rFonts w:eastAsiaTheme="majorEastAsia"/>
          <w:rtl/>
        </w:rPr>
        <w:t>יִשְׁמְעוּ</w:t>
      </w:r>
      <w:r>
        <w:rPr>
          <w:rtl/>
        </w:rPr>
        <w:t xml:space="preserve"> </w:t>
      </w:r>
      <w:r>
        <w:t xml:space="preserve">(Qal Imperfekt, 3. Person Plural von </w:t>
      </w:r>
      <w:r>
        <w:rPr>
          <w:rStyle w:val="Fett"/>
          <w:rFonts w:eastAsiaTheme="majorEastAsia"/>
          <w:rtl/>
        </w:rPr>
        <w:t>שׁמע</w:t>
      </w:r>
      <w:r>
        <w:t xml:space="preserve">, „hören"), </w:t>
      </w:r>
      <w:r>
        <w:rPr>
          <w:rStyle w:val="Fett"/>
          <w:rFonts w:eastAsiaTheme="majorEastAsia"/>
          <w:rtl/>
        </w:rPr>
        <w:t>וְיִרָאוּ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ירא</w:t>
      </w:r>
      <w:r>
        <w:t>, Qal Imperfekt, 3. Person Plural, „sich fürchten").</w:t>
      </w:r>
    </w:p>
    <w:p w14:paraId="330D6D8B" w14:textId="77777777" w:rsidR="00DD2E9B" w:rsidRDefault="00DD2E9B" w:rsidP="00DD2E9B">
      <w:pPr>
        <w:pStyle w:val="whitespace-normal"/>
      </w:pPr>
      <w:r>
        <w:rPr>
          <w:rStyle w:val="Fett"/>
          <w:rFonts w:eastAsiaTheme="majorEastAsia"/>
          <w:rtl/>
        </w:rPr>
        <w:lastRenderedPageBreak/>
        <w:t>וְלֹא־יֹסִפוּ לַעֲשׂוֹת עוֹד כַּדָּבָר הָרָע הַזֶּה בְּקִרְבֶּךָ</w:t>
      </w:r>
      <w:r>
        <w:rPr>
          <w:rtl/>
        </w:rPr>
        <w:t xml:space="preserve"> </w:t>
      </w:r>
      <w:r>
        <w:t xml:space="preserve">ist die Konsequenz: </w:t>
      </w:r>
      <w:r>
        <w:rPr>
          <w:rStyle w:val="Fett"/>
          <w:rFonts w:eastAsiaTheme="majorEastAsia"/>
          <w:rtl/>
        </w:rPr>
        <w:t>וְלֹא־יֹסִפוּ</w:t>
      </w:r>
      <w:r>
        <w:rPr>
          <w:rtl/>
        </w:rPr>
        <w:t xml:space="preserve"> </w:t>
      </w:r>
      <w:r>
        <w:t xml:space="preserve">(koordiniert durch </w:t>
      </w:r>
      <w:r>
        <w:rPr>
          <w:rStyle w:val="Fett"/>
          <w:rFonts w:eastAsiaTheme="majorEastAsia"/>
          <w:rtl/>
        </w:rPr>
        <w:t>וְ</w:t>
      </w:r>
      <w:r>
        <w:rPr>
          <w:rtl/>
        </w:rPr>
        <w:t xml:space="preserve"> </w:t>
      </w:r>
      <w:r>
        <w:t xml:space="preserve">mit Negation und </w:t>
      </w:r>
      <w:r>
        <w:rPr>
          <w:rStyle w:val="Fett"/>
          <w:rFonts w:eastAsiaTheme="majorEastAsia"/>
          <w:rtl/>
        </w:rPr>
        <w:t>יסף</w:t>
      </w:r>
      <w:r>
        <w:t xml:space="preserve">, Hiphil Imperfekt, 3. Person Plural, „hinzufügen, fortfahren"), </w:t>
      </w:r>
      <w:r>
        <w:rPr>
          <w:rStyle w:val="Fett"/>
          <w:rFonts w:eastAsiaTheme="majorEastAsia"/>
          <w:rtl/>
        </w:rPr>
        <w:t>לַעֲשׂוֹת עוֹד</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עשׂה</w:t>
      </w:r>
      <w:r>
        <w:t xml:space="preserve">, „tun", </w:t>
      </w:r>
      <w:r>
        <w:rPr>
          <w:rStyle w:val="Fett"/>
          <w:rFonts w:eastAsiaTheme="majorEastAsia"/>
          <w:rtl/>
        </w:rPr>
        <w:t>עוֹד</w:t>
      </w:r>
      <w:r>
        <w:t xml:space="preserve">, „noch, mehr", „zu tun mehr"), </w:t>
      </w:r>
      <w:r>
        <w:rPr>
          <w:rStyle w:val="Fett"/>
          <w:rFonts w:eastAsiaTheme="majorEastAsia"/>
          <w:rtl/>
        </w:rPr>
        <w:t>כַּדָּבָר הָרָע הַזֶּה</w:t>
      </w:r>
      <w:r>
        <w:rPr>
          <w:rtl/>
        </w:rPr>
        <w:t xml:space="preserve"> </w:t>
      </w:r>
      <w:r>
        <w:t xml:space="preserve">(Präposition </w:t>
      </w:r>
      <w:r>
        <w:rPr>
          <w:rStyle w:val="Fett"/>
          <w:rFonts w:eastAsiaTheme="majorEastAsia"/>
          <w:rtl/>
        </w:rPr>
        <w:t>כְּ</w:t>
      </w:r>
      <w:r>
        <w:t xml:space="preserve">, „wie", mit </w:t>
      </w:r>
      <w:r>
        <w:rPr>
          <w:rStyle w:val="Fett"/>
          <w:rFonts w:eastAsiaTheme="majorEastAsia"/>
          <w:rtl/>
        </w:rPr>
        <w:t>דָּבָר</w:t>
      </w:r>
      <w:r>
        <w:t xml:space="preserve">, „Sache, Wort", mit Artikel, </w:t>
      </w:r>
      <w:r>
        <w:rPr>
          <w:rStyle w:val="Fett"/>
          <w:rFonts w:eastAsiaTheme="majorEastAsia"/>
          <w:rtl/>
        </w:rPr>
        <w:t>רַע</w:t>
      </w:r>
      <w:r>
        <w:t xml:space="preserve">, „böse", mit Artikel, und Demonstrativpronomen </w:t>
      </w:r>
      <w:r>
        <w:rPr>
          <w:rStyle w:val="Fett"/>
          <w:rFonts w:eastAsiaTheme="majorEastAsia"/>
          <w:rtl/>
        </w:rPr>
        <w:t>זֶה</w:t>
      </w:r>
      <w:r>
        <w:t xml:space="preserve">, „wie diese böse Sache"), </w:t>
      </w:r>
      <w:r>
        <w:rPr>
          <w:rStyle w:val="Fett"/>
          <w:rFonts w:eastAsiaTheme="majorEastAsia"/>
          <w:rtl/>
        </w:rPr>
        <w:t>בְּקִרְבֶּךָ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קֶרֶב</w:t>
      </w:r>
      <w:r>
        <w:rPr>
          <w:rtl/>
        </w:rPr>
        <w:t xml:space="preserve"> </w:t>
      </w:r>
      <w:r>
        <w:t>mit Suffix 2. Person Maskulinum Singular, „in deiner Mitte").</w:t>
      </w:r>
    </w:p>
    <w:p w14:paraId="25304DB5" w14:textId="77777777" w:rsidR="00DD2E9B" w:rsidRDefault="00DD2E9B" w:rsidP="00DD2E9B">
      <w:pPr>
        <w:pStyle w:val="whitespace-normal"/>
      </w:pPr>
      <w:r>
        <w:t xml:space="preserve">Der Vers beschreibt den abschreckenden Zweck der Strafe – wie bereits in 13,12; 17,13; 21,21. Die dreifache Progression: (1) </w:t>
      </w:r>
      <w:r>
        <w:rPr>
          <w:rStyle w:val="Fett"/>
          <w:rFonts w:eastAsiaTheme="majorEastAsia"/>
          <w:rtl/>
        </w:rPr>
        <w:t>יִשְׁמְעוּ</w:t>
      </w:r>
      <w:r>
        <w:rPr>
          <w:rtl/>
        </w:rPr>
        <w:t xml:space="preserve"> </w:t>
      </w:r>
      <w:r>
        <w:t xml:space="preserve">(„hören") – öffentliche Bekanntmachung, (2) </w:t>
      </w:r>
      <w:r>
        <w:rPr>
          <w:rStyle w:val="Fett"/>
          <w:rFonts w:eastAsiaTheme="majorEastAsia"/>
          <w:rtl/>
        </w:rPr>
        <w:t>וְיִרָאוּ</w:t>
      </w:r>
      <w:r>
        <w:rPr>
          <w:rtl/>
        </w:rPr>
        <w:t xml:space="preserve"> </w:t>
      </w:r>
      <w:r>
        <w:t xml:space="preserve">(„sich fürchten") – Furcht vor Strafe, (3) </w:t>
      </w:r>
      <w:r>
        <w:rPr>
          <w:rStyle w:val="Fett"/>
          <w:rFonts w:eastAsiaTheme="majorEastAsia"/>
          <w:rtl/>
        </w:rPr>
        <w:t>וְלֹא־יֹסִפוּ לַעֲשׂוֹת עוֹד</w:t>
      </w:r>
      <w:r>
        <w:rPr>
          <w:rtl/>
        </w:rPr>
        <w:t xml:space="preserve"> </w:t>
      </w:r>
      <w:r>
        <w:t>(„nicht mehr fortfahren zu tun") – Abschreckung wirkt.</w:t>
      </w:r>
    </w:p>
    <w:p w14:paraId="4921D4EC" w14:textId="7BB9B017" w:rsidR="00DD2E9B" w:rsidRDefault="00DD2E9B" w:rsidP="00DD2E9B">
      <w:pPr>
        <w:pStyle w:val="whitespace-normal"/>
      </w:pPr>
      <w:r>
        <w:t xml:space="preserve">Die Formulierung </w:t>
      </w:r>
      <w:r>
        <w:rPr>
          <w:rStyle w:val="Fett"/>
          <w:rFonts w:eastAsiaTheme="majorEastAsia"/>
          <w:rtl/>
        </w:rPr>
        <w:t>הַנִּשְׁאָרִים</w:t>
      </w:r>
      <w:r>
        <w:rPr>
          <w:rtl/>
        </w:rPr>
        <w:t xml:space="preserve"> </w:t>
      </w:r>
      <w:r>
        <w:t xml:space="preserve">(„die Übrigen") bedeutet: alle anderen potentiellen Täter in der Gemeinschaft (vgl. 13,12; 17,13; 19,20; 21,21). Die Wendung </w:t>
      </w:r>
      <w:r>
        <w:rPr>
          <w:rStyle w:val="Fett"/>
          <w:rFonts w:eastAsiaTheme="majorEastAsia"/>
          <w:rtl/>
        </w:rPr>
        <w:t>כַּדָּבָר הָרָע הַזֶּה</w:t>
      </w:r>
      <w:r>
        <w:rPr>
          <w:rtl/>
        </w:rPr>
        <w:t xml:space="preserve"> </w:t>
      </w:r>
      <w:r>
        <w:t>(„wie diese böse Sache") bezieht sich auf falsches Zeugnis.</w:t>
      </w:r>
    </w:p>
    <w:p w14:paraId="1DA56D5A" w14:textId="419317F5" w:rsidR="00C25194" w:rsidRDefault="00C25194" w:rsidP="00DD2E9B">
      <w:pPr>
        <w:pStyle w:val="whitespace-normal"/>
      </w:pPr>
      <w:r>
        <w:rPr>
          <w:rStyle w:val="Fett"/>
        </w:rPr>
        <w:t>Die LXX</w:t>
      </w:r>
      <w:r>
        <w:t xml:space="preserve"> übersetzt </w:t>
      </w:r>
      <w:r w:rsidRPr="00C25194">
        <w:rPr>
          <w:b/>
          <w:bCs/>
          <w:rtl/>
        </w:rPr>
        <w:t>וְהַנִּשְׁאָרִים</w:t>
      </w:r>
      <w:r>
        <w:t xml:space="preserve"> (und die Übriggebliebenen) mit καὶ </w:t>
      </w:r>
      <w:proofErr w:type="spellStart"/>
      <w:r>
        <w:t>οἱ</w:t>
      </w:r>
      <w:proofErr w:type="spellEnd"/>
      <w:r>
        <w:t xml:space="preserve"> ἐπ</w:t>
      </w:r>
      <w:proofErr w:type="spellStart"/>
      <w:r>
        <w:t>ίλοι</w:t>
      </w:r>
      <w:proofErr w:type="spellEnd"/>
      <w:r>
        <w:t>ποι (und die Übrigen) – ein zusammengesetztes Adjektiv.</w:t>
      </w:r>
    </w:p>
    <w:p w14:paraId="31F2361B" w14:textId="77777777" w:rsidR="00DD2E9B" w:rsidRDefault="00DD2E9B" w:rsidP="00DD2E9B">
      <w:pPr>
        <w:pStyle w:val="whitespace-normal"/>
      </w:pPr>
      <w:r>
        <w:rPr>
          <w:rStyle w:val="Fett"/>
          <w:rFonts w:eastAsiaTheme="majorEastAsia"/>
        </w:rPr>
        <w:t>Die Satzstruktur:</w:t>
      </w:r>
      <w:r>
        <w:t xml:space="preserve"> Zwei koordinierte Verben mit Konsequenz (und die Übrigen hören sollen und fürchten sollen, und nicht sollen fortfahren zu tun mehr wie diese böse Sache in deiner Mitte).</w:t>
      </w:r>
    </w:p>
    <w:p w14:paraId="34127184" w14:textId="77777777" w:rsidR="00DD2E9B" w:rsidRDefault="00DD2E9B" w:rsidP="00DD2E9B">
      <w:pPr>
        <w:pStyle w:val="whitespace-normal"/>
      </w:pPr>
      <w:r>
        <w:t>Der Vers erklärt: Die anderen sollen von der Bestrafung hören, sich fürchten und künftig kein falsches Zeugnis mehr ablegen.</w:t>
      </w:r>
    </w:p>
    <w:p w14:paraId="4299A846"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19,21</w:t>
      </w:r>
    </w:p>
    <w:p w14:paraId="1BD95EAC" w14:textId="77777777" w:rsidR="00DD2E9B" w:rsidRDefault="00DD2E9B" w:rsidP="00DD2E9B">
      <w:pPr>
        <w:pStyle w:val="whitespace-normal"/>
      </w:pPr>
      <w:r>
        <w:rPr>
          <w:rStyle w:val="Fett"/>
          <w:rFonts w:eastAsiaTheme="majorEastAsia"/>
        </w:rPr>
        <w:t>Hebräisch:</w:t>
      </w:r>
      <w:r>
        <w:t xml:space="preserve"> </w:t>
      </w:r>
      <w:r>
        <w:rPr>
          <w:rtl/>
        </w:rPr>
        <w:t>וְלֹ֥א תָח֖וֹס עֵינֶ֑ךָ נֶ֣פֶשׁ בְּנֶ֗פֶשׁ עַ֤יִן בְּעַ֨יִן֙ שֵׁ֣ן בְּשֵׁ֔ן יָ֥ד בְּיָ֖ד רֶ֥גֶל בְּרָֽגֶל׃</w:t>
      </w:r>
    </w:p>
    <w:p w14:paraId="7D11ACC5" w14:textId="77777777" w:rsidR="00DD2E9B" w:rsidRDefault="00DD2E9B" w:rsidP="00DD2E9B">
      <w:pPr>
        <w:pStyle w:val="whitespace-normal"/>
      </w:pPr>
      <w:r>
        <w:rPr>
          <w:rStyle w:val="Fett"/>
          <w:rFonts w:eastAsiaTheme="majorEastAsia"/>
        </w:rPr>
        <w:t>Deutsch:</w:t>
      </w:r>
      <w:r>
        <w:t xml:space="preserve"> Und nicht soll schonen dein Auge: Seele um Seele, Auge um Auge, Zahn um Zahn, Hand um Hand, Fuß um Fuß!</w:t>
      </w:r>
    </w:p>
    <w:p w14:paraId="2A1DFBED" w14:textId="77777777" w:rsidR="00DD2E9B" w:rsidRDefault="004F5CEB" w:rsidP="00DD2E9B">
      <w:r>
        <w:rPr>
          <w:noProof/>
        </w:rPr>
        <w:pict w14:anchorId="0E22AF23">
          <v:rect id="_x0000_i1552" style="width:0;height:1.5pt" o:hralign="center" o:hrstd="t" o:hr="t" fillcolor="#a0a0a0" stroked="f"/>
        </w:pict>
      </w:r>
    </w:p>
    <w:p w14:paraId="5B567E66" w14:textId="77777777" w:rsidR="00DD2E9B" w:rsidRDefault="00DD2E9B" w:rsidP="00DD2E9B">
      <w:pPr>
        <w:pStyle w:val="whitespace-normal"/>
      </w:pPr>
      <w:r>
        <w:rPr>
          <w:rStyle w:val="Fett"/>
          <w:rFonts w:eastAsiaTheme="majorEastAsia"/>
        </w:rPr>
        <w:t>Kommentar:</w:t>
      </w:r>
      <w:r>
        <w:t xml:space="preserve"> </w:t>
      </w:r>
      <w:r>
        <w:rPr>
          <w:rStyle w:val="Fett"/>
          <w:rFonts w:eastAsiaTheme="majorEastAsia"/>
          <w:rtl/>
        </w:rPr>
        <w:t>וְלֹא תָחוֹס עֵינֶךָ</w:t>
      </w:r>
      <w:r>
        <w:rPr>
          <w:rtl/>
        </w:rPr>
        <w:t xml:space="preserve"> </w:t>
      </w:r>
      <w:r>
        <w:t xml:space="preserve">ist ein negativer Imperativ: </w:t>
      </w:r>
      <w:r>
        <w:rPr>
          <w:rStyle w:val="Fett"/>
          <w:rFonts w:eastAsiaTheme="majorEastAsia"/>
          <w:rtl/>
        </w:rPr>
        <w:t>וְלֹא תָחוֹס</w:t>
      </w:r>
      <w:r>
        <w:rPr>
          <w:rtl/>
        </w:rPr>
        <w:t xml:space="preserve"> </w:t>
      </w:r>
      <w:r>
        <w:t xml:space="preserve">(koordiniert durch </w:t>
      </w:r>
      <w:r>
        <w:rPr>
          <w:rStyle w:val="Fett"/>
          <w:rFonts w:eastAsiaTheme="majorEastAsia"/>
          <w:rtl/>
        </w:rPr>
        <w:t>וְ</w:t>
      </w:r>
      <w:r>
        <w:rPr>
          <w:rtl/>
        </w:rPr>
        <w:t xml:space="preserve"> </w:t>
      </w:r>
      <w:r>
        <w:t xml:space="preserve">mit Negation und </w:t>
      </w:r>
      <w:r>
        <w:rPr>
          <w:rStyle w:val="Fett"/>
          <w:rFonts w:eastAsiaTheme="majorEastAsia"/>
          <w:rtl/>
        </w:rPr>
        <w:t>חוס</w:t>
      </w:r>
      <w:r>
        <w:t xml:space="preserve">, Qal Imperfekt, 2. Person Maskulinum Singular, „Mitleid haben, schonen"), </w:t>
      </w:r>
      <w:r>
        <w:rPr>
          <w:rStyle w:val="Fett"/>
          <w:rFonts w:eastAsiaTheme="majorEastAsia"/>
          <w:rtl/>
        </w:rPr>
        <w:t>עֵינֶךָ</w:t>
      </w:r>
      <w:r>
        <w:rPr>
          <w:rtl/>
        </w:rPr>
        <w:t xml:space="preserve"> </w:t>
      </w:r>
      <w:r>
        <w:t>(</w:t>
      </w:r>
      <w:r>
        <w:rPr>
          <w:rStyle w:val="Fett"/>
          <w:rFonts w:eastAsiaTheme="majorEastAsia"/>
          <w:rtl/>
        </w:rPr>
        <w:t>עַיִן</w:t>
      </w:r>
      <w:r>
        <w:t>, „Auge", mit Suffix 2. Person Maskulinum Singular, „dein Auge").</w:t>
      </w:r>
    </w:p>
    <w:p w14:paraId="203BFDF3" w14:textId="77777777" w:rsidR="00DD2E9B" w:rsidRDefault="00DD2E9B" w:rsidP="00DD2E9B">
      <w:pPr>
        <w:pStyle w:val="whitespace-normal"/>
      </w:pPr>
      <w:r>
        <w:rPr>
          <w:rStyle w:val="Fett"/>
          <w:rFonts w:eastAsiaTheme="majorEastAsia"/>
          <w:rtl/>
        </w:rPr>
        <w:t>נֶפֶשׁ בְּנֶפֶשׁ עַיִן בְּעַיִן שֵׁן בְּשֵׁן יָד בְּיָד רֶגֶל בְּרָגֶל</w:t>
      </w:r>
      <w:r>
        <w:rPr>
          <w:rtl/>
        </w:rPr>
        <w:t xml:space="preserve"> </w:t>
      </w:r>
      <w:r>
        <w:t xml:space="preserve">ist die fünffache Talionsformel: </w:t>
      </w:r>
      <w:r>
        <w:rPr>
          <w:rStyle w:val="Fett"/>
          <w:rFonts w:eastAsiaTheme="majorEastAsia"/>
          <w:rtl/>
        </w:rPr>
        <w:t>נֶפֶשׁ בְּנֶפֶשׁ</w:t>
      </w:r>
      <w:r>
        <w:rPr>
          <w:rtl/>
        </w:rPr>
        <w:t xml:space="preserve"> </w:t>
      </w:r>
      <w:r>
        <w:t>(</w:t>
      </w:r>
      <w:r>
        <w:rPr>
          <w:rStyle w:val="Fett"/>
          <w:rFonts w:eastAsiaTheme="majorEastAsia"/>
          <w:rtl/>
        </w:rPr>
        <w:t>נֶפֶשׁ</w:t>
      </w:r>
      <w:r>
        <w:t xml:space="preserve">, „Seele, Leben", Präposition </w:t>
      </w:r>
      <w:r>
        <w:rPr>
          <w:rStyle w:val="Fett"/>
          <w:rFonts w:eastAsiaTheme="majorEastAsia"/>
          <w:rtl/>
        </w:rPr>
        <w:t>בְּ</w:t>
      </w:r>
      <w:r>
        <w:rPr>
          <w:rtl/>
        </w:rPr>
        <w:t xml:space="preserve"> </w:t>
      </w:r>
      <w:r>
        <w:t xml:space="preserve">mit </w:t>
      </w:r>
      <w:r>
        <w:rPr>
          <w:rStyle w:val="Fett"/>
          <w:rFonts w:eastAsiaTheme="majorEastAsia"/>
          <w:rtl/>
        </w:rPr>
        <w:t>נֶפֶשׁ</w:t>
      </w:r>
      <w:r>
        <w:t xml:space="preserve">, „Seele um Seele, Leben um Leben"), </w:t>
      </w:r>
      <w:r>
        <w:rPr>
          <w:rStyle w:val="Fett"/>
          <w:rFonts w:eastAsiaTheme="majorEastAsia"/>
          <w:rtl/>
        </w:rPr>
        <w:t>עַיִן בְּעַיִן</w:t>
      </w:r>
      <w:r>
        <w:rPr>
          <w:rtl/>
        </w:rPr>
        <w:t xml:space="preserve"> </w:t>
      </w:r>
      <w:r>
        <w:t>(</w:t>
      </w:r>
      <w:r>
        <w:rPr>
          <w:rStyle w:val="Fett"/>
          <w:rFonts w:eastAsiaTheme="majorEastAsia"/>
          <w:rtl/>
        </w:rPr>
        <w:t>עַיִן</w:t>
      </w:r>
      <w:r>
        <w:t xml:space="preserve">, „Auge", </w:t>
      </w:r>
      <w:r>
        <w:rPr>
          <w:rStyle w:val="Fett"/>
          <w:rFonts w:eastAsiaTheme="majorEastAsia"/>
          <w:rtl/>
        </w:rPr>
        <w:t>בְּעַיִן</w:t>
      </w:r>
      <w:r>
        <w:t xml:space="preserve">, „Auge um Auge"), </w:t>
      </w:r>
      <w:r>
        <w:rPr>
          <w:rStyle w:val="Fett"/>
          <w:rFonts w:eastAsiaTheme="majorEastAsia"/>
          <w:rtl/>
        </w:rPr>
        <w:t>שֵׁן בְּשֵׁן</w:t>
      </w:r>
      <w:r>
        <w:rPr>
          <w:rtl/>
        </w:rPr>
        <w:t xml:space="preserve"> </w:t>
      </w:r>
      <w:r>
        <w:t>(</w:t>
      </w:r>
      <w:r>
        <w:rPr>
          <w:rStyle w:val="Fett"/>
          <w:rFonts w:eastAsiaTheme="majorEastAsia"/>
          <w:rtl/>
        </w:rPr>
        <w:t>שֵׁן</w:t>
      </w:r>
      <w:r>
        <w:t xml:space="preserve">, „Zahn", </w:t>
      </w:r>
      <w:r>
        <w:rPr>
          <w:rStyle w:val="Fett"/>
          <w:rFonts w:eastAsiaTheme="majorEastAsia"/>
          <w:rtl/>
        </w:rPr>
        <w:t>בְּשֵׁן</w:t>
      </w:r>
      <w:r>
        <w:t xml:space="preserve">, „Zahn um Zahn"), </w:t>
      </w:r>
      <w:r>
        <w:rPr>
          <w:rStyle w:val="Fett"/>
          <w:rFonts w:eastAsiaTheme="majorEastAsia"/>
          <w:rtl/>
        </w:rPr>
        <w:t>יָד בְּיָד</w:t>
      </w:r>
      <w:r>
        <w:rPr>
          <w:rtl/>
        </w:rPr>
        <w:t xml:space="preserve"> </w:t>
      </w:r>
      <w:r>
        <w:t>(</w:t>
      </w:r>
      <w:r>
        <w:rPr>
          <w:rStyle w:val="Fett"/>
          <w:rFonts w:eastAsiaTheme="majorEastAsia"/>
          <w:rtl/>
        </w:rPr>
        <w:t>יָד</w:t>
      </w:r>
      <w:r>
        <w:t xml:space="preserve">, „Hand", </w:t>
      </w:r>
      <w:r>
        <w:rPr>
          <w:rStyle w:val="Fett"/>
          <w:rFonts w:eastAsiaTheme="majorEastAsia"/>
          <w:rtl/>
        </w:rPr>
        <w:t>בְּיָד</w:t>
      </w:r>
      <w:r>
        <w:t xml:space="preserve">, „Hand um Hand"), </w:t>
      </w:r>
      <w:r>
        <w:rPr>
          <w:rStyle w:val="Fett"/>
          <w:rFonts w:eastAsiaTheme="majorEastAsia"/>
          <w:rtl/>
        </w:rPr>
        <w:t>רֶגֶל בְּרָגֶל</w:t>
      </w:r>
      <w:r>
        <w:rPr>
          <w:rtl/>
        </w:rPr>
        <w:t xml:space="preserve"> </w:t>
      </w:r>
      <w:r>
        <w:t>(</w:t>
      </w:r>
      <w:r>
        <w:rPr>
          <w:rStyle w:val="Fett"/>
          <w:rFonts w:eastAsiaTheme="majorEastAsia"/>
          <w:rtl/>
        </w:rPr>
        <w:t>רֶגֶל</w:t>
      </w:r>
      <w:r>
        <w:t xml:space="preserve">, „Fuß", </w:t>
      </w:r>
      <w:r>
        <w:rPr>
          <w:rStyle w:val="Fett"/>
          <w:rFonts w:eastAsiaTheme="majorEastAsia"/>
          <w:rtl/>
        </w:rPr>
        <w:t>בְּרָגֶל</w:t>
      </w:r>
      <w:r>
        <w:t>, „Fuß um Fuß").</w:t>
      </w:r>
    </w:p>
    <w:p w14:paraId="388A2686" w14:textId="42565A11" w:rsidR="00DD2E9B" w:rsidRDefault="00DD2E9B" w:rsidP="00DD2E9B">
      <w:pPr>
        <w:pStyle w:val="whitespace-normal"/>
      </w:pPr>
      <w:r>
        <w:t xml:space="preserve">Der Vers formuliert die klassische </w:t>
      </w:r>
      <w:r>
        <w:rPr>
          <w:rStyle w:val="Fett"/>
          <w:rFonts w:eastAsiaTheme="majorEastAsia"/>
        </w:rPr>
        <w:t>Lex Talionis</w:t>
      </w:r>
      <w:r>
        <w:t xml:space="preserve"> („Vergeltungsgesetz") – das Prinzip proportionaler Bestrafung. Die Formulierung </w:t>
      </w:r>
      <w:r>
        <w:rPr>
          <w:rStyle w:val="Fett"/>
          <w:rFonts w:eastAsiaTheme="majorEastAsia"/>
          <w:rtl/>
        </w:rPr>
        <w:t>וְלֹא תָחוֹס עֵינֶךָ</w:t>
      </w:r>
      <w:r>
        <w:rPr>
          <w:rtl/>
        </w:rPr>
        <w:t xml:space="preserve"> </w:t>
      </w:r>
      <w:r>
        <w:t xml:space="preserve">(„nicht soll schonen dein Auge") ist die charakteristische deuteronomische Formel gegen Milde (vgl. 7,16; 13,9; 19,13.21; </w:t>
      </w:r>
      <w:r>
        <w:lastRenderedPageBreak/>
        <w:t xml:space="preserve">25,12). Die fünffache Aufzählung </w:t>
      </w:r>
      <w:r>
        <w:rPr>
          <w:rStyle w:val="Fett"/>
          <w:rFonts w:eastAsiaTheme="majorEastAsia"/>
          <w:rtl/>
        </w:rPr>
        <w:t>נֶפֶשׁ... עַיִן... שֵׁן... יָד... רֶגֶל</w:t>
      </w:r>
      <w:r>
        <w:rPr>
          <w:rtl/>
        </w:rPr>
        <w:t xml:space="preserve"> </w:t>
      </w:r>
      <w:r>
        <w:t xml:space="preserve">(„Leben... Auge... Zahn... Hand... Fuß") ist eine klassische Formulierung (vgl. Ex 21,23-25; </w:t>
      </w:r>
      <w:r w:rsidR="00664EB6">
        <w:t>Lev</w:t>
      </w:r>
      <w:r>
        <w:t xml:space="preserve"> 24,17-21; Dtn 19,21; Mt 5,38).</w:t>
      </w:r>
    </w:p>
    <w:p w14:paraId="759BE27C" w14:textId="77777777" w:rsidR="00DD2E9B" w:rsidRDefault="00DD2E9B" w:rsidP="00DD2E9B">
      <w:pPr>
        <w:pStyle w:val="KeinLeerraum"/>
      </w:pPr>
      <w:r>
        <w:rPr>
          <w:rStyle w:val="Fett"/>
        </w:rPr>
        <w:t>Interpretation der Lex Talionis:</w:t>
      </w:r>
      <w:r>
        <w:t xml:space="preserve"> </w:t>
      </w:r>
    </w:p>
    <w:p w14:paraId="30ACBED8" w14:textId="77777777" w:rsidR="00DD2E9B" w:rsidRDefault="00DD2E9B" w:rsidP="00DD2E9B">
      <w:pPr>
        <w:pStyle w:val="KeinLeerraum"/>
      </w:pPr>
      <w:r>
        <w:t xml:space="preserve">(1) </w:t>
      </w:r>
      <w:r>
        <w:rPr>
          <w:rStyle w:val="Fett"/>
        </w:rPr>
        <w:t>Buchstäblich:</w:t>
      </w:r>
      <w:r>
        <w:t xml:space="preserve"> Auge für Auge bedeutet physische Verstümmelung (so verstanden im antiken Mesopotamien, Kodex Hammurabi §196-201), </w:t>
      </w:r>
    </w:p>
    <w:p w14:paraId="26F4B4F4" w14:textId="784CAD99" w:rsidR="00DD2E9B" w:rsidRDefault="00DD2E9B" w:rsidP="00DD2E9B">
      <w:pPr>
        <w:pStyle w:val="KeinLeerraum"/>
      </w:pPr>
      <w:r>
        <w:t xml:space="preserve">(2) </w:t>
      </w:r>
      <w:r>
        <w:rPr>
          <w:rStyle w:val="Fett"/>
        </w:rPr>
        <w:t>Metaphorisch/Kompensatorisch:</w:t>
      </w:r>
      <w:r>
        <w:t xml:space="preserve"> Die rabbinische Tradition (Mischna Baba </w:t>
      </w:r>
      <w:proofErr w:type="spellStart"/>
      <w:r>
        <w:t>Kamma</w:t>
      </w:r>
      <w:proofErr w:type="spellEnd"/>
      <w:r>
        <w:t xml:space="preserve"> 8,1) interpretiert: monetäre Kompensation – „Auge um Auge" = Wert eines Auges als Schadensersatz. Die Begründung: Wörtliche Anwendung wäre unpraktikabel und ungerecht (was wenn der Täter nur ein Auge hat?).</w:t>
      </w:r>
    </w:p>
    <w:p w14:paraId="14CEB90E" w14:textId="77777777" w:rsidR="00DD2E9B" w:rsidRDefault="00DD2E9B" w:rsidP="00DD2E9B">
      <w:pPr>
        <w:pStyle w:val="whitespace-normal"/>
      </w:pPr>
      <w:r>
        <w:t xml:space="preserve">Im Kontext von V. 16-21 (falsches Zeugnis) bedeutet die Formel: Der falsche Zeuge erleidet die Strafe, die er dem Angeklagten zufügen wollte. Wenn er ihn durch falsches Zeugnis töten wollte: </w:t>
      </w:r>
      <w:r>
        <w:rPr>
          <w:rStyle w:val="Fett"/>
          <w:rFonts w:eastAsiaTheme="majorEastAsia"/>
          <w:rtl/>
        </w:rPr>
        <w:t>נֶפֶשׁ בְּנֶפֶשׁ</w:t>
      </w:r>
      <w:r>
        <w:rPr>
          <w:rtl/>
        </w:rPr>
        <w:t xml:space="preserve"> </w:t>
      </w:r>
      <w:r>
        <w:t xml:space="preserve">(„Leben um Leben"). Wenn er ihm ein Auge hätte ausstechen lassen wollen: </w:t>
      </w:r>
      <w:r>
        <w:rPr>
          <w:rStyle w:val="Fett"/>
          <w:rFonts w:eastAsiaTheme="majorEastAsia"/>
          <w:rtl/>
        </w:rPr>
        <w:t>עַיִן בְּעַיִן</w:t>
      </w:r>
      <w:r>
        <w:rPr>
          <w:rtl/>
        </w:rPr>
        <w:t xml:space="preserve"> </w:t>
      </w:r>
      <w:r>
        <w:t>(„Auge um Auge"), usw.</w:t>
      </w:r>
    </w:p>
    <w:p w14:paraId="599DFB57" w14:textId="06CBABB3" w:rsidR="00DD2E9B" w:rsidRDefault="00DD2E9B" w:rsidP="00DD2E9B">
      <w:pPr>
        <w:pStyle w:val="whitespace-normal"/>
      </w:pPr>
      <w:r>
        <w:t xml:space="preserve">Die Präposition </w:t>
      </w:r>
      <w:r>
        <w:rPr>
          <w:rStyle w:val="Fett"/>
          <w:rFonts w:eastAsiaTheme="majorEastAsia"/>
          <w:rtl/>
        </w:rPr>
        <w:t>בְּ</w:t>
      </w:r>
      <w:r>
        <w:rPr>
          <w:rtl/>
        </w:rPr>
        <w:t xml:space="preserve"> </w:t>
      </w:r>
      <w:r>
        <w:t>kann bedeuten: (1) „für, um" – Tausch, Ersatz, (2) „gemäß, entsprechend" – Proportionalität. Das Prinzip: Die Strafe soll dem Vergehen entsprechen – nicht mehr, nicht weniger.</w:t>
      </w:r>
    </w:p>
    <w:p w14:paraId="4E86A14E" w14:textId="56267C09" w:rsidR="00C25194" w:rsidRDefault="00C25194" w:rsidP="00DD2E9B">
      <w:pPr>
        <w:pStyle w:val="whitespace-normal"/>
      </w:pPr>
      <w:r>
        <w:rPr>
          <w:rStyle w:val="Fett"/>
        </w:rPr>
        <w:t>Die LXX</w:t>
      </w:r>
      <w:r>
        <w:t xml:space="preserve"> formuliert die lex talionis mit </w:t>
      </w:r>
      <w:proofErr w:type="spellStart"/>
      <w:r>
        <w:t>ἀντί</w:t>
      </w:r>
      <w:proofErr w:type="spellEnd"/>
      <w:r>
        <w:t xml:space="preserve"> (anstelle von, für): </w:t>
      </w:r>
      <w:proofErr w:type="spellStart"/>
      <w:r>
        <w:t>ψυχὴν</w:t>
      </w:r>
      <w:proofErr w:type="spellEnd"/>
      <w:r>
        <w:t xml:space="preserve"> </w:t>
      </w:r>
      <w:proofErr w:type="spellStart"/>
      <w:r>
        <w:t>ἀντὶ</w:t>
      </w:r>
      <w:proofErr w:type="spellEnd"/>
      <w:r>
        <w:t xml:space="preserve"> </w:t>
      </w:r>
      <w:proofErr w:type="spellStart"/>
      <w:r>
        <w:t>ψυχῆς</w:t>
      </w:r>
      <w:proofErr w:type="spellEnd"/>
      <w:r>
        <w:t xml:space="preserve">, </w:t>
      </w:r>
      <w:proofErr w:type="spellStart"/>
      <w:r>
        <w:t>ὀφθ</w:t>
      </w:r>
      <w:proofErr w:type="spellEnd"/>
      <w:r>
        <w:t xml:space="preserve">αλμὸν </w:t>
      </w:r>
      <w:proofErr w:type="spellStart"/>
      <w:r>
        <w:t>ἀντὶ</w:t>
      </w:r>
      <w:proofErr w:type="spellEnd"/>
      <w:r>
        <w:t xml:space="preserve"> </w:t>
      </w:r>
      <w:proofErr w:type="spellStart"/>
      <w:r>
        <w:t>ὀφθ</w:t>
      </w:r>
      <w:proofErr w:type="spellEnd"/>
      <w:r>
        <w:t xml:space="preserve">αλμοῦ (Leben für Leben, Auge für Auge) statt der hebräischen Konstruktion mit </w:t>
      </w:r>
      <w:r>
        <w:rPr>
          <w:rtl/>
        </w:rPr>
        <w:t>ב (נֶפֶשׁ בְּנֶפֶשׁ)</w:t>
      </w:r>
      <w:r>
        <w:t>. Diese Präposition betont stärker den Austausch oder die Entsprechung zwischen Vergehen und Strafe.</w:t>
      </w:r>
    </w:p>
    <w:p w14:paraId="1CC02DB9" w14:textId="77777777" w:rsidR="00DD2E9B" w:rsidRDefault="00DD2E9B" w:rsidP="00DD2E9B">
      <w:pPr>
        <w:pStyle w:val="whitespace-normal"/>
      </w:pPr>
      <w:r>
        <w:rPr>
          <w:rStyle w:val="Fett"/>
          <w:rFonts w:eastAsiaTheme="majorEastAsia"/>
        </w:rPr>
        <w:t>Die Satzstruktur:</w:t>
      </w:r>
      <w:r>
        <w:t xml:space="preserve"> Negativer Imperativ mit fünffacher Talionsformel (nicht soll schonen dein Auge: Leben um Leben, Auge um Auge, Zahn um Zahn, Hand um Hand, Fuß um Fuß).</w:t>
      </w:r>
    </w:p>
    <w:p w14:paraId="13A6C204" w14:textId="77777777" w:rsidR="00DD2E9B" w:rsidRDefault="00DD2E9B" w:rsidP="00DD2E9B">
      <w:pPr>
        <w:pStyle w:val="whitespace-normal"/>
      </w:pPr>
      <w:r>
        <w:t>Der Vers fordert: Zeige kein Mitleid – wende das Vergeltungsprinzip konsequent an: Leben um Leben, Auge um Auge, Zahn um Zahn, Hand um Hand, Fuß um Fuß.</w:t>
      </w:r>
    </w:p>
    <w:p w14:paraId="1CC2B549"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20,1</w:t>
      </w:r>
    </w:p>
    <w:p w14:paraId="74B17301" w14:textId="77777777" w:rsidR="00DD2E9B" w:rsidRDefault="00DD2E9B" w:rsidP="00DD2E9B">
      <w:pPr>
        <w:pStyle w:val="whitespace-normal"/>
      </w:pPr>
      <w:r>
        <w:rPr>
          <w:rStyle w:val="Fett"/>
          <w:rFonts w:eastAsiaTheme="majorEastAsia"/>
        </w:rPr>
        <w:t>Hebräisch:</w:t>
      </w:r>
      <w:r>
        <w:t xml:space="preserve"> </w:t>
      </w:r>
      <w:r>
        <w:rPr>
          <w:rtl/>
        </w:rPr>
        <w:t>כִּֽי־תֵצֵ֨א לַמִּלְחָמָ֜ה עַל־אֹיְבֶ֗יךָ וְֽרָאִ֜יתָ ס֤וּס וָרֶ֨כֶב֙ עַ֚ם רַ֣ב מִמְּךָ֔ לֹ֥א תִירָ֖א מֵהֶ֑ם כִּֽי־יְהוָ֤ה אֱלֹהֶ֨יךָ֙ עִמָּ֔ךְ הַמַּֽעַלְךָ֖ מֵאֶ֥רֶץ מִצְרָֽיִם׃</w:t>
      </w:r>
    </w:p>
    <w:p w14:paraId="5695E420" w14:textId="77777777" w:rsidR="00DD2E9B" w:rsidRDefault="00DD2E9B" w:rsidP="00DD2E9B">
      <w:pPr>
        <w:pStyle w:val="whitespace-normal"/>
      </w:pPr>
      <w:r>
        <w:rPr>
          <w:rStyle w:val="Fett"/>
          <w:rFonts w:eastAsiaTheme="majorEastAsia"/>
        </w:rPr>
        <w:t>Deutsch:</w:t>
      </w:r>
      <w:r>
        <w:t xml:space="preserve"> Wenn du gegen deine Feinde zum Krieg ausziehst und Pferd und Wagen siehst, ein Volk, zahlreicher als du, so sollst du dich nicht vor ihnen fürchten; denn der Ewige, dein Gott, ist mit dir, der dich aus dem Land Mizrajim heraufgeführt hat.</w:t>
      </w:r>
    </w:p>
    <w:p w14:paraId="4F5D75B8" w14:textId="77777777" w:rsidR="00DD2E9B" w:rsidRDefault="004F5CEB" w:rsidP="00DD2E9B">
      <w:r>
        <w:rPr>
          <w:noProof/>
        </w:rPr>
        <w:pict w14:anchorId="7927BBCF">
          <v:rect id="_x0000_i1553" style="width:0;height:1.5pt" o:hralign="center" o:hrstd="t" o:hr="t" fillcolor="#a0a0a0" stroked="f"/>
        </w:pict>
      </w:r>
    </w:p>
    <w:p w14:paraId="4F79E25E" w14:textId="77777777" w:rsidR="00DD2E9B" w:rsidRDefault="00DD2E9B" w:rsidP="00DD2E9B">
      <w:pPr>
        <w:pStyle w:val="whitespace-normal"/>
      </w:pPr>
      <w:r>
        <w:rPr>
          <w:rStyle w:val="Fett"/>
          <w:rFonts w:eastAsiaTheme="majorEastAsia"/>
        </w:rPr>
        <w:t>Kommentar:</w:t>
      </w:r>
      <w:r>
        <w:t xml:space="preserve"> </w:t>
      </w:r>
      <w:r>
        <w:rPr>
          <w:rStyle w:val="Fett"/>
          <w:rFonts w:eastAsiaTheme="majorEastAsia"/>
          <w:rtl/>
        </w:rPr>
        <w:t>כִּי־תֵצֵא לַמִּלְחָמָה עַל־אֹיְבֶיךָ וְרָאִיתָ סוּס וָרֶכֶב עַם רַב מִמְּךָ</w:t>
      </w:r>
      <w:r>
        <w:rPr>
          <w:rtl/>
        </w:rPr>
        <w:t xml:space="preserve"> </w:t>
      </w:r>
      <w:r>
        <w:t xml:space="preserve">ist ein konditionaler temporaler Satz: </w:t>
      </w:r>
      <w:r>
        <w:rPr>
          <w:rStyle w:val="Fett"/>
          <w:rFonts w:eastAsiaTheme="majorEastAsia"/>
          <w:rtl/>
        </w:rPr>
        <w:t>כִּי־תֵצֵא</w:t>
      </w:r>
      <w:r>
        <w:rPr>
          <w:rtl/>
        </w:rPr>
        <w:t xml:space="preserve"> </w:t>
      </w:r>
      <w:r>
        <w:t>(</w:t>
      </w:r>
      <w:r>
        <w:rPr>
          <w:rStyle w:val="Fett"/>
          <w:rFonts w:eastAsiaTheme="majorEastAsia"/>
          <w:rtl/>
        </w:rPr>
        <w:t>כִּי</w:t>
      </w:r>
      <w:r>
        <w:t xml:space="preserve">, „wenn", mit </w:t>
      </w:r>
      <w:r>
        <w:rPr>
          <w:rStyle w:val="Fett"/>
          <w:rFonts w:eastAsiaTheme="majorEastAsia"/>
          <w:rtl/>
        </w:rPr>
        <w:t>יצא</w:t>
      </w:r>
      <w:r>
        <w:t xml:space="preserve">, Qal Imperfekt, 2. Person Maskulinum Singular, „hinausgehen, ausziehen"), </w:t>
      </w:r>
      <w:r>
        <w:rPr>
          <w:rStyle w:val="Fett"/>
          <w:rFonts w:eastAsiaTheme="majorEastAsia"/>
          <w:rtl/>
        </w:rPr>
        <w:t>לַמִּלְחָמָה</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מִלְחָמָה</w:t>
      </w:r>
      <w:r>
        <w:t xml:space="preserve">, „Krieg, Kampf", mit Artikel, „zum Krieg"), </w:t>
      </w:r>
      <w:r>
        <w:rPr>
          <w:rStyle w:val="Fett"/>
          <w:rFonts w:eastAsiaTheme="majorEastAsia"/>
          <w:rtl/>
        </w:rPr>
        <w:t>עַל־אֹיְבֶיךָ</w:t>
      </w:r>
      <w:r>
        <w:rPr>
          <w:rtl/>
        </w:rPr>
        <w:t xml:space="preserve"> </w:t>
      </w:r>
      <w:r>
        <w:t xml:space="preserve">(Präposition </w:t>
      </w:r>
      <w:r>
        <w:rPr>
          <w:rStyle w:val="Fett"/>
          <w:rFonts w:eastAsiaTheme="majorEastAsia"/>
          <w:rtl/>
        </w:rPr>
        <w:t>עַל</w:t>
      </w:r>
      <w:r>
        <w:t xml:space="preserve">, „gegen", mit </w:t>
      </w:r>
      <w:r>
        <w:rPr>
          <w:rStyle w:val="Fett"/>
          <w:rFonts w:eastAsiaTheme="majorEastAsia"/>
          <w:rtl/>
        </w:rPr>
        <w:t>איב</w:t>
      </w:r>
      <w:r>
        <w:t xml:space="preserve">, Qal Partizip, „Feind", Plural mit Suffix 2. Person Maskulinum Singular, „gegen deine Feinde"), </w:t>
      </w:r>
      <w:r>
        <w:rPr>
          <w:rStyle w:val="Fett"/>
          <w:rFonts w:eastAsiaTheme="majorEastAsia"/>
          <w:rtl/>
        </w:rPr>
        <w:t>וְרָאִיתָ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lastRenderedPageBreak/>
        <w:t>ראה</w:t>
      </w:r>
      <w:r>
        <w:t xml:space="preserve">, Qal Perfekt, 2. Person Maskulinum Singular, „sehen", mit </w:t>
      </w:r>
      <w:r>
        <w:rPr>
          <w:rStyle w:val="Fett"/>
          <w:rFonts w:eastAsiaTheme="majorEastAsia"/>
        </w:rPr>
        <w:t>Waw</w:t>
      </w:r>
      <w:r>
        <w:t xml:space="preserve"> consecutives Perfekt), </w:t>
      </w:r>
      <w:r>
        <w:rPr>
          <w:rStyle w:val="Fett"/>
          <w:rFonts w:eastAsiaTheme="majorEastAsia"/>
          <w:rtl/>
        </w:rPr>
        <w:t>סוּס וָרֶכֶב</w:t>
      </w:r>
      <w:r>
        <w:rPr>
          <w:rtl/>
        </w:rPr>
        <w:t xml:space="preserve"> </w:t>
      </w:r>
      <w:r>
        <w:t>(</w:t>
      </w:r>
      <w:r>
        <w:rPr>
          <w:rStyle w:val="Fett"/>
          <w:rFonts w:eastAsiaTheme="majorEastAsia"/>
          <w:rtl/>
        </w:rPr>
        <w:t>סוּס</w:t>
      </w:r>
      <w:r>
        <w:t xml:space="preserve">, „Pferd", koordiniert durch </w:t>
      </w:r>
      <w:r>
        <w:rPr>
          <w:rStyle w:val="Fett"/>
          <w:rFonts w:eastAsiaTheme="majorEastAsia"/>
          <w:rtl/>
        </w:rPr>
        <w:t>וָ</w:t>
      </w:r>
      <w:r>
        <w:rPr>
          <w:rtl/>
        </w:rPr>
        <w:t xml:space="preserve"> </w:t>
      </w:r>
      <w:r>
        <w:t xml:space="preserve">mit </w:t>
      </w:r>
      <w:r>
        <w:rPr>
          <w:rStyle w:val="Fett"/>
          <w:rFonts w:eastAsiaTheme="majorEastAsia"/>
          <w:rtl/>
        </w:rPr>
        <w:t>רֶכֶב</w:t>
      </w:r>
      <w:r>
        <w:t xml:space="preserve">, „Wagen, Streitwagen", „Pferd und Wagen"), </w:t>
      </w:r>
      <w:r>
        <w:rPr>
          <w:rStyle w:val="Fett"/>
          <w:rFonts w:eastAsiaTheme="majorEastAsia"/>
          <w:rtl/>
        </w:rPr>
        <w:t>עַם רַב מִמְּךָ</w:t>
      </w:r>
      <w:r>
        <w:rPr>
          <w:rtl/>
        </w:rPr>
        <w:t xml:space="preserve"> </w:t>
      </w:r>
      <w:r>
        <w:t>(</w:t>
      </w:r>
      <w:r>
        <w:rPr>
          <w:rStyle w:val="Fett"/>
          <w:rFonts w:eastAsiaTheme="majorEastAsia"/>
          <w:rtl/>
        </w:rPr>
        <w:t>עַם</w:t>
      </w:r>
      <w:r>
        <w:t xml:space="preserve">, „Volk", </w:t>
      </w:r>
      <w:r>
        <w:rPr>
          <w:rStyle w:val="Fett"/>
          <w:rFonts w:eastAsiaTheme="majorEastAsia"/>
          <w:rtl/>
        </w:rPr>
        <w:t>רַב</w:t>
      </w:r>
      <w:r>
        <w:t xml:space="preserve">, „viel, zahlreich", </w:t>
      </w:r>
      <w:r>
        <w:rPr>
          <w:rStyle w:val="Fett"/>
          <w:rFonts w:eastAsiaTheme="majorEastAsia"/>
          <w:rtl/>
        </w:rPr>
        <w:t>מִמְּךָ</w:t>
      </w:r>
      <w:r>
        <w:t xml:space="preserve">, Präposition </w:t>
      </w:r>
      <w:r>
        <w:rPr>
          <w:rStyle w:val="Fett"/>
          <w:rFonts w:eastAsiaTheme="majorEastAsia"/>
          <w:rtl/>
        </w:rPr>
        <w:t>מִן</w:t>
      </w:r>
      <w:r>
        <w:rPr>
          <w:rtl/>
        </w:rPr>
        <w:t xml:space="preserve"> </w:t>
      </w:r>
      <w:r>
        <w:t>mit Suffix 2. Person Maskulinum Singular, „zahlreicher als du").</w:t>
      </w:r>
    </w:p>
    <w:p w14:paraId="11EE17C7" w14:textId="77777777" w:rsidR="00DD2E9B" w:rsidRDefault="00DD2E9B" w:rsidP="00DD2E9B">
      <w:pPr>
        <w:pStyle w:val="whitespace-normal"/>
      </w:pPr>
      <w:r>
        <w:rPr>
          <w:rStyle w:val="Fett"/>
          <w:rFonts w:eastAsiaTheme="majorEastAsia"/>
          <w:rtl/>
        </w:rPr>
        <w:t>לֹא תִירָא מֵהֶם כִּי־יְהוָה אֱלֹהֶיךָ עִמָּךְ הַמַּעַלְךָ מֵאֶרֶץ מִצְרָיִם</w:t>
      </w:r>
      <w:r>
        <w:rPr>
          <w:rtl/>
        </w:rPr>
        <w:t xml:space="preserve"> </w:t>
      </w:r>
      <w:r>
        <w:t xml:space="preserve">ist die Apodosis mit Begründung: </w:t>
      </w:r>
      <w:r>
        <w:rPr>
          <w:rStyle w:val="Fett"/>
          <w:rFonts w:eastAsiaTheme="majorEastAsia"/>
          <w:rtl/>
        </w:rPr>
        <w:t>לֹא תִירָא מֵהֶם</w:t>
      </w:r>
      <w:r>
        <w:rPr>
          <w:rtl/>
        </w:rPr>
        <w:t xml:space="preserve"> </w:t>
      </w:r>
      <w:r>
        <w:t xml:space="preserve">(Negation mit </w:t>
      </w:r>
      <w:r>
        <w:rPr>
          <w:rStyle w:val="Fett"/>
          <w:rFonts w:eastAsiaTheme="majorEastAsia"/>
          <w:rtl/>
        </w:rPr>
        <w:t>ירא</w:t>
      </w:r>
      <w:r>
        <w:t xml:space="preserve">, Qal Imperfekt, 2. Person Maskulinum Singular, „sich fürchten", </w:t>
      </w:r>
      <w:r>
        <w:rPr>
          <w:rStyle w:val="Fett"/>
          <w:rFonts w:eastAsiaTheme="majorEastAsia"/>
          <w:rtl/>
        </w:rPr>
        <w:t>מֵהֶם</w:t>
      </w:r>
      <w:r>
        <w:t xml:space="preserve">, Präposition </w:t>
      </w:r>
      <w:r>
        <w:rPr>
          <w:rStyle w:val="Fett"/>
          <w:rFonts w:eastAsiaTheme="majorEastAsia"/>
          <w:rtl/>
        </w:rPr>
        <w:t>מִן</w:t>
      </w:r>
      <w:r>
        <w:rPr>
          <w:rtl/>
        </w:rPr>
        <w:t xml:space="preserve"> </w:t>
      </w:r>
      <w:r>
        <w:t xml:space="preserve">mit Suffix 3. Person Plural, „vor ihnen"), </w:t>
      </w:r>
      <w:r>
        <w:rPr>
          <w:rStyle w:val="Fett"/>
          <w:rFonts w:eastAsiaTheme="majorEastAsia"/>
          <w:rtl/>
        </w:rPr>
        <w:t>כִּי־יְהוָה אֱלֹהֶיךָ עִמָּךְ</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יְהוָה אֱלֹהֶיךָ</w:t>
      </w:r>
      <w:r>
        <w:t xml:space="preserve">, </w:t>
      </w:r>
      <w:r>
        <w:rPr>
          <w:rStyle w:val="Fett"/>
          <w:rFonts w:eastAsiaTheme="majorEastAsia"/>
          <w:rtl/>
        </w:rPr>
        <w:t>עִמָּךְ</w:t>
      </w:r>
      <w:r>
        <w:t xml:space="preserve">, Präposition </w:t>
      </w:r>
      <w:r>
        <w:rPr>
          <w:rStyle w:val="Fett"/>
          <w:rFonts w:eastAsiaTheme="majorEastAsia"/>
          <w:rtl/>
        </w:rPr>
        <w:t>עִם</w:t>
      </w:r>
      <w:r>
        <w:rPr>
          <w:rtl/>
        </w:rPr>
        <w:t xml:space="preserve"> </w:t>
      </w:r>
      <w:r>
        <w:t xml:space="preserve">mit Suffix 2. Person Maskulinum Singular, „mit dir", „denn JHWH, dein Gott, ist mit dir"), </w:t>
      </w:r>
      <w:r>
        <w:rPr>
          <w:rStyle w:val="Fett"/>
          <w:rFonts w:eastAsiaTheme="majorEastAsia"/>
          <w:rtl/>
        </w:rPr>
        <w:t>הַמַּעַלְךָ מֵאֶרֶץ מִצְרָיִם</w:t>
      </w:r>
      <w:r>
        <w:rPr>
          <w:rtl/>
        </w:rPr>
        <w:t xml:space="preserve"> </w:t>
      </w:r>
      <w:r>
        <w:t xml:space="preserve">(Hiphil Partizip von </w:t>
      </w:r>
      <w:r>
        <w:rPr>
          <w:rStyle w:val="Fett"/>
          <w:rFonts w:eastAsiaTheme="majorEastAsia"/>
          <w:rtl/>
        </w:rPr>
        <w:t>עלה</w:t>
      </w:r>
      <w:r>
        <w:t xml:space="preserve">, „hinaufsteigen", in der Hiphil-Form „hinaufführen", mit Artikel und Suffix 2. Person Maskulinum Singular, </w:t>
      </w:r>
      <w:r>
        <w:rPr>
          <w:rStyle w:val="Fett"/>
          <w:rFonts w:eastAsiaTheme="majorEastAsia"/>
          <w:rtl/>
        </w:rPr>
        <w:t>מֵאֶרֶץ מִצְרָיִם</w:t>
      </w:r>
      <w:r>
        <w:t xml:space="preserve">, Präposition </w:t>
      </w:r>
      <w:r>
        <w:rPr>
          <w:rStyle w:val="Fett"/>
          <w:rFonts w:eastAsiaTheme="majorEastAsia"/>
          <w:rtl/>
        </w:rPr>
        <w:t>מִן</w:t>
      </w:r>
      <w:r>
        <w:rPr>
          <w:rtl/>
        </w:rPr>
        <w:t xml:space="preserve"> </w:t>
      </w:r>
      <w:r>
        <w:t xml:space="preserve">mit </w:t>
      </w:r>
      <w:r>
        <w:rPr>
          <w:rStyle w:val="Fett"/>
          <w:rFonts w:eastAsiaTheme="majorEastAsia"/>
          <w:rtl/>
        </w:rPr>
        <w:t>אֶרֶץ מִצְרָיִם</w:t>
      </w:r>
      <w:r>
        <w:t>, „aus dem Land Ägypten", „der dich hinaufgeführt hat aus dem Land Ägypten").</w:t>
      </w:r>
    </w:p>
    <w:p w14:paraId="7612E8C8" w14:textId="6DECC2ED" w:rsidR="00DD2E9B" w:rsidRDefault="00DD2E9B" w:rsidP="00DD2E9B">
      <w:pPr>
        <w:pStyle w:val="whitespace-normal"/>
      </w:pPr>
      <w:r>
        <w:t xml:space="preserve">Der Vers leitet ein neues Kapitel ein: Kriegsgesetze (Kap. 20-21,9). Die Formulierung </w:t>
      </w:r>
      <w:r>
        <w:rPr>
          <w:rStyle w:val="Fett"/>
          <w:rFonts w:eastAsiaTheme="majorEastAsia"/>
          <w:rtl/>
        </w:rPr>
        <w:t>כִּי־תֵצֵא לַמִּלְחָמָה עַל־אֹיְבֶיךָ</w:t>
      </w:r>
      <w:r>
        <w:rPr>
          <w:rtl/>
        </w:rPr>
        <w:t xml:space="preserve"> </w:t>
      </w:r>
      <w:r>
        <w:t xml:space="preserve">(„wenn du ausziehst zum Krieg gegen deine Feinde") ist charakteristisch deuteronomisch (vgl. 20,1; 21,10; 23,10; 24,5). Der Hinweis auf </w:t>
      </w:r>
      <w:r>
        <w:rPr>
          <w:rStyle w:val="Fett"/>
          <w:rFonts w:eastAsiaTheme="majorEastAsia"/>
          <w:rtl/>
        </w:rPr>
        <w:t>סוּס וָרֶכֶב</w:t>
      </w:r>
      <w:r>
        <w:rPr>
          <w:rtl/>
        </w:rPr>
        <w:t xml:space="preserve"> </w:t>
      </w:r>
      <w:r>
        <w:t xml:space="preserve">(„Pferd und Wagen") zeigt die militärische Überlegenheit der Kanaaniter – Israel hatte keine Streitwagen (vgl. Jos 11,4.6.9; 17,16.18; Ri 1,19; 4,3.13.15; 5,28; </w:t>
      </w:r>
      <w:r w:rsidR="00664EB6">
        <w:t>1Sam</w:t>
      </w:r>
      <w:r>
        <w:t xml:space="preserve"> 13,5).</w:t>
      </w:r>
    </w:p>
    <w:p w14:paraId="4E794966" w14:textId="37C016F4" w:rsidR="00DD2E9B" w:rsidRDefault="00DD2E9B" w:rsidP="00DD2E9B">
      <w:pPr>
        <w:pStyle w:val="whitespace-normal"/>
      </w:pPr>
      <w:r>
        <w:t xml:space="preserve">Die dreifache Begründung: (1) </w:t>
      </w:r>
      <w:r>
        <w:rPr>
          <w:rStyle w:val="Fett"/>
          <w:rFonts w:eastAsiaTheme="majorEastAsia"/>
          <w:rtl/>
        </w:rPr>
        <w:t>יְהוָה אֱלֹהֶיךָ עִמָּךְ</w:t>
      </w:r>
      <w:r>
        <w:rPr>
          <w:rtl/>
        </w:rPr>
        <w:t xml:space="preserve"> </w:t>
      </w:r>
      <w:r>
        <w:t xml:space="preserve">(„JHWH, dein Gott, ist mit dir") – göttliche Gegenwart (vgl. 31,6.8), (2) </w:t>
      </w:r>
      <w:r>
        <w:rPr>
          <w:rStyle w:val="Fett"/>
          <w:rFonts w:eastAsiaTheme="majorEastAsia"/>
          <w:rtl/>
        </w:rPr>
        <w:t>הַמַּעַלְךָ מֵאֶרֶץ מִצְרָיִם</w:t>
      </w:r>
      <w:r>
        <w:rPr>
          <w:rtl/>
        </w:rPr>
        <w:t xml:space="preserve"> </w:t>
      </w:r>
      <w:r>
        <w:t>(„der dich hinaufgeführt hat aus dem Land Ägypten") – Exodus-Erinnerung als Ermutigung (vgl. 7,18-19; 11,2-4). Wer die ägyptische Armee besiegte, kann auch die Kanaaniter besiegen.</w:t>
      </w:r>
    </w:p>
    <w:p w14:paraId="5F3D7045" w14:textId="72F7722D" w:rsidR="00734E2E" w:rsidRDefault="00734E2E" w:rsidP="00DD2E9B">
      <w:pPr>
        <w:pStyle w:val="whitespace-normal"/>
      </w:pPr>
      <w:r>
        <w:rPr>
          <w:rStyle w:val="Fett"/>
        </w:rPr>
        <w:t>Die LXX</w:t>
      </w:r>
      <w:r>
        <w:t xml:space="preserve"> übersetzt </w:t>
      </w:r>
      <w:r>
        <w:rPr>
          <w:rtl/>
        </w:rPr>
        <w:t>סוּס וָרֶכֶב</w:t>
      </w:r>
      <w:r>
        <w:t xml:space="preserve"> (Pferd und Streitwagen) mit ἵππ</w:t>
      </w:r>
      <w:proofErr w:type="spellStart"/>
      <w:r>
        <w:t>ον</w:t>
      </w:r>
      <w:proofErr w:type="spellEnd"/>
      <w:r>
        <w:t xml:space="preserve"> καὶ </w:t>
      </w:r>
      <w:proofErr w:type="spellStart"/>
      <w:r>
        <w:t>ἀν</w:t>
      </w:r>
      <w:proofErr w:type="spellEnd"/>
      <w:r>
        <w:t xml:space="preserve">αβάτην (Pferd und Reiter) – eine interpretierende Wiedergabe, die </w:t>
      </w:r>
      <w:r>
        <w:rPr>
          <w:rtl/>
        </w:rPr>
        <w:t>רֶכֶב</w:t>
      </w:r>
      <w:r>
        <w:t xml:space="preserve"> (Streitwagen) als </w:t>
      </w:r>
      <w:proofErr w:type="spellStart"/>
      <w:r>
        <w:t>ἀν</w:t>
      </w:r>
      <w:proofErr w:type="spellEnd"/>
      <w:r>
        <w:t>αβάτης (Reiter) versteht, was den Fokus vom Gefährt auf den Krieger verschiebt.</w:t>
      </w:r>
    </w:p>
    <w:p w14:paraId="1E01BAEE" w14:textId="77777777" w:rsidR="00DD2E9B" w:rsidRDefault="00DD2E9B" w:rsidP="00DD2E9B">
      <w:pPr>
        <w:pStyle w:val="whitespace-normal"/>
      </w:pPr>
      <w:r>
        <w:rPr>
          <w:rStyle w:val="Fett"/>
          <w:rFonts w:eastAsiaTheme="majorEastAsia"/>
        </w:rPr>
        <w:t>Die Satzstruktur:</w:t>
      </w:r>
      <w:r>
        <w:t xml:space="preserve"> Konditionaler temporaler Satz mit Apodosis und Begründung (wenn ausziehen wirst du zum Krieg gegen deine Feinde und sehen wirst du Pferd und Wagen, ein Volk, zahlreicher als du, nicht sollst du fürchten vor ihnen; denn JHWH, dein Gott, [ist] mit dir, der hinaufgeführt hat dich aus dem Land Ägypten).</w:t>
      </w:r>
    </w:p>
    <w:p w14:paraId="436CED04" w14:textId="77777777" w:rsidR="00DD2E9B" w:rsidRDefault="00DD2E9B" w:rsidP="00DD2E9B">
      <w:pPr>
        <w:pStyle w:val="whitespace-normal"/>
      </w:pPr>
      <w:r>
        <w:t>Der Vers ermutigt: Wenn du im Krieg militärisch unterlegen bist – fürchte dich nicht, denn JHWH, der dich aus Ägypten befreite, ist mit dir.</w:t>
      </w:r>
    </w:p>
    <w:p w14:paraId="44CD80E7"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20,2</w:t>
      </w:r>
    </w:p>
    <w:p w14:paraId="1AD6FE94" w14:textId="77777777" w:rsidR="00DD2E9B" w:rsidRDefault="00DD2E9B" w:rsidP="00DD2E9B">
      <w:pPr>
        <w:pStyle w:val="whitespace-normal"/>
      </w:pPr>
      <w:r>
        <w:rPr>
          <w:rStyle w:val="Fett"/>
          <w:rFonts w:eastAsiaTheme="majorEastAsia"/>
        </w:rPr>
        <w:t>Hebräisch:</w:t>
      </w:r>
      <w:r>
        <w:t xml:space="preserve"> </w:t>
      </w:r>
      <w:r>
        <w:rPr>
          <w:rtl/>
        </w:rPr>
        <w:t>וְהָיָ֕ה כְּקָֽרָבְכֶ֖ם אֶל־הַמִּלְחָמָ֑ה וְנִגַּ֥שׁ הַכֹּהֵ֖ן וְדִבֶּ֥ר אֶל־הָעָֽם׃</w:t>
      </w:r>
    </w:p>
    <w:p w14:paraId="44F13361" w14:textId="77777777" w:rsidR="00DD2E9B" w:rsidRDefault="00DD2E9B" w:rsidP="00DD2E9B">
      <w:pPr>
        <w:pStyle w:val="whitespace-normal"/>
      </w:pPr>
      <w:r>
        <w:rPr>
          <w:rStyle w:val="Fett"/>
          <w:rFonts w:eastAsiaTheme="majorEastAsia"/>
        </w:rPr>
        <w:t>Deutsch:</w:t>
      </w:r>
      <w:r>
        <w:t xml:space="preserve"> Und es soll geschehen, wenn ihr zum Kampf heranrückt, so soll der Priester hertreten und zum Volk reden</w:t>
      </w:r>
    </w:p>
    <w:p w14:paraId="744CF23E" w14:textId="77777777" w:rsidR="00DD2E9B" w:rsidRDefault="004F5CEB" w:rsidP="00DD2E9B">
      <w:r>
        <w:rPr>
          <w:noProof/>
        </w:rPr>
        <w:pict w14:anchorId="045CF4B5">
          <v:rect id="_x0000_i1554" style="width:0;height:1.5pt" o:hralign="center" o:hrstd="t" o:hr="t" fillcolor="#a0a0a0" stroked="f"/>
        </w:pict>
      </w:r>
    </w:p>
    <w:p w14:paraId="46F624D7" w14:textId="77777777" w:rsidR="00DD2E9B" w:rsidRDefault="00DD2E9B" w:rsidP="00DD2E9B">
      <w:pPr>
        <w:pStyle w:val="whitespace-normal"/>
      </w:pPr>
      <w:r>
        <w:rPr>
          <w:rStyle w:val="Fett"/>
          <w:rFonts w:eastAsiaTheme="majorEastAsia"/>
        </w:rPr>
        <w:lastRenderedPageBreak/>
        <w:t>Kommentar:</w:t>
      </w:r>
      <w:r>
        <w:t xml:space="preserve"> </w:t>
      </w:r>
      <w:r>
        <w:rPr>
          <w:rStyle w:val="Fett"/>
          <w:rFonts w:eastAsiaTheme="majorEastAsia"/>
          <w:rtl/>
        </w:rPr>
        <w:t>וְהָיָה כְּקָרָבְכֶם אֶל־הַמִּלְחָמָה</w:t>
      </w:r>
      <w:r>
        <w:rPr>
          <w:rtl/>
        </w:rPr>
        <w:t xml:space="preserve"> </w:t>
      </w:r>
      <w:r>
        <w:t xml:space="preserve">ist ein temporaler Satz: </w:t>
      </w:r>
      <w:r>
        <w:rPr>
          <w:rStyle w:val="Fett"/>
          <w:rFonts w:eastAsiaTheme="majorEastAsia"/>
          <w:rtl/>
        </w:rPr>
        <w:t>וְהָיָה</w:t>
      </w:r>
      <w:r>
        <w:rPr>
          <w:rtl/>
        </w:rPr>
        <w:t xml:space="preserve"> </w:t>
      </w:r>
      <w:r>
        <w:t xml:space="preserve">(Qal Perfekt, 3. Person Maskulinum Singular von </w:t>
      </w:r>
      <w:r>
        <w:rPr>
          <w:rStyle w:val="Fett"/>
          <w:rFonts w:eastAsiaTheme="majorEastAsia"/>
          <w:rtl/>
        </w:rPr>
        <w:t>היה</w:t>
      </w:r>
      <w:r>
        <w:t xml:space="preserve">, „sein", mit </w:t>
      </w:r>
      <w:r>
        <w:rPr>
          <w:rStyle w:val="Fett"/>
          <w:rFonts w:eastAsiaTheme="majorEastAsia"/>
        </w:rPr>
        <w:t>Waw</w:t>
      </w:r>
      <w:r>
        <w:t xml:space="preserve">, „und es wird sein/geschehen"), </w:t>
      </w:r>
      <w:r>
        <w:rPr>
          <w:rStyle w:val="Fett"/>
          <w:rFonts w:eastAsiaTheme="majorEastAsia"/>
          <w:rtl/>
        </w:rPr>
        <w:t>כְּקָרָבְכֶם</w:t>
      </w:r>
      <w:r>
        <w:rPr>
          <w:rtl/>
        </w:rPr>
        <w:t xml:space="preserve"> </w:t>
      </w:r>
      <w:r>
        <w:t xml:space="preserve">(Präposition </w:t>
      </w:r>
      <w:r>
        <w:rPr>
          <w:rStyle w:val="Fett"/>
          <w:rFonts w:eastAsiaTheme="majorEastAsia"/>
          <w:rtl/>
        </w:rPr>
        <w:t>כְּ</w:t>
      </w:r>
      <w:r>
        <w:t xml:space="preserve">, „wie, wenn", mit Qal Infinitiv Construct von </w:t>
      </w:r>
      <w:r>
        <w:rPr>
          <w:rStyle w:val="Fett"/>
          <w:rFonts w:eastAsiaTheme="majorEastAsia"/>
          <w:rtl/>
        </w:rPr>
        <w:t>קרב</w:t>
      </w:r>
      <w:r>
        <w:t xml:space="preserve">, „nahen, heranrücken", mit Suffix 2. Person Plural, „wenn ihr heranrückt"), </w:t>
      </w:r>
      <w:r>
        <w:rPr>
          <w:rStyle w:val="Fett"/>
          <w:rFonts w:eastAsiaTheme="majorEastAsia"/>
          <w:rtl/>
        </w:rPr>
        <w:t>אֶל־הַמִּלְחָמָה</w:t>
      </w:r>
      <w:r>
        <w:rPr>
          <w:rtl/>
        </w:rPr>
        <w:t xml:space="preserve"> </w:t>
      </w:r>
      <w:r>
        <w:t xml:space="preserve">(Präposition </w:t>
      </w:r>
      <w:r>
        <w:rPr>
          <w:rStyle w:val="Fett"/>
          <w:rFonts w:eastAsiaTheme="majorEastAsia"/>
          <w:rtl/>
        </w:rPr>
        <w:t>אֶל</w:t>
      </w:r>
      <w:r>
        <w:rPr>
          <w:rtl/>
        </w:rPr>
        <w:t xml:space="preserve"> </w:t>
      </w:r>
      <w:r>
        <w:t xml:space="preserve">mit </w:t>
      </w:r>
      <w:r>
        <w:rPr>
          <w:rStyle w:val="Fett"/>
          <w:rFonts w:eastAsiaTheme="majorEastAsia"/>
          <w:rtl/>
        </w:rPr>
        <w:t>מִלְחָמָה</w:t>
      </w:r>
      <w:r>
        <w:rPr>
          <w:rtl/>
        </w:rPr>
        <w:t xml:space="preserve"> </w:t>
      </w:r>
      <w:r>
        <w:t>mit Artikel, „zum Kampf").</w:t>
      </w:r>
    </w:p>
    <w:p w14:paraId="6BF030BB" w14:textId="77777777" w:rsidR="00DD2E9B" w:rsidRDefault="00DD2E9B" w:rsidP="00DD2E9B">
      <w:pPr>
        <w:pStyle w:val="whitespace-normal"/>
      </w:pPr>
      <w:r>
        <w:rPr>
          <w:rStyle w:val="Fett"/>
          <w:rFonts w:eastAsiaTheme="majorEastAsia"/>
          <w:rtl/>
        </w:rPr>
        <w:t>וְנִגַּשׁ הַכֹּהֵן וְדִבֶּר אֶל־הָעָם</w:t>
      </w:r>
      <w:r>
        <w:rPr>
          <w:rtl/>
        </w:rPr>
        <w:t xml:space="preserve"> </w:t>
      </w:r>
      <w:r>
        <w:t xml:space="preserve">sind zwei koordinierte Verben: </w:t>
      </w:r>
      <w:r>
        <w:rPr>
          <w:rStyle w:val="Fett"/>
          <w:rFonts w:eastAsiaTheme="majorEastAsia"/>
          <w:rtl/>
        </w:rPr>
        <w:t>וְנִגַּשׁ הַכֹּהֵן</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נגשׁ</w:t>
      </w:r>
      <w:r>
        <w:t xml:space="preserve">, Niphal Perfekt, 3. Person Maskulinum Singular, „herantreten, hinzutreten", </w:t>
      </w:r>
      <w:r>
        <w:rPr>
          <w:rStyle w:val="Fett"/>
          <w:rFonts w:eastAsiaTheme="majorEastAsia"/>
          <w:rtl/>
        </w:rPr>
        <w:t>כֹּהֵן</w:t>
      </w:r>
      <w:r>
        <w:rPr>
          <w:rtl/>
        </w:rPr>
        <w:t xml:space="preserve"> </w:t>
      </w:r>
      <w:r>
        <w:t xml:space="preserve">mit Artikel, mit </w:t>
      </w:r>
      <w:r>
        <w:rPr>
          <w:rStyle w:val="Fett"/>
          <w:rFonts w:eastAsiaTheme="majorEastAsia"/>
        </w:rPr>
        <w:t>Waw</w:t>
      </w:r>
      <w:r>
        <w:t xml:space="preserve"> consecutives Perfekt, „herantreten soll der Priester"), </w:t>
      </w:r>
      <w:r>
        <w:rPr>
          <w:rStyle w:val="Fett"/>
          <w:rFonts w:eastAsiaTheme="majorEastAsia"/>
          <w:rtl/>
        </w:rPr>
        <w:t>וְדִבֶּר אֶל־הָעָם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דבר</w:t>
      </w:r>
      <w:r>
        <w:t xml:space="preserve">, Piel Perfekt, 3. Person Maskulinum Singular, „reden", </w:t>
      </w:r>
      <w:r>
        <w:rPr>
          <w:rStyle w:val="Fett"/>
          <w:rFonts w:eastAsiaTheme="majorEastAsia"/>
          <w:rtl/>
        </w:rPr>
        <w:t>אֶל־הָעָם</w:t>
      </w:r>
      <w:r>
        <w:t xml:space="preserve">, „zum Volk", mit </w:t>
      </w:r>
      <w:r>
        <w:rPr>
          <w:rStyle w:val="Fett"/>
          <w:rFonts w:eastAsiaTheme="majorEastAsia"/>
        </w:rPr>
        <w:t>Waw</w:t>
      </w:r>
      <w:r>
        <w:t xml:space="preserve"> consecutives Perfekt).</w:t>
      </w:r>
    </w:p>
    <w:p w14:paraId="788A73F6" w14:textId="77777777" w:rsidR="00DD2E9B" w:rsidRDefault="00DD2E9B" w:rsidP="00DD2E9B">
      <w:pPr>
        <w:pStyle w:val="whitespace-normal"/>
      </w:pPr>
      <w:r>
        <w:t>Der Vers beschreibt die Rolle des Kriegspriesters (</w:t>
      </w:r>
      <w:r>
        <w:rPr>
          <w:rStyle w:val="Fett"/>
          <w:rFonts w:eastAsiaTheme="majorEastAsia"/>
          <w:rtl/>
        </w:rPr>
        <w:t>הַכֹּהֵן</w:t>
      </w:r>
      <w:r>
        <w:t xml:space="preserve">). Die Formulierung </w:t>
      </w:r>
      <w:r>
        <w:rPr>
          <w:rStyle w:val="Fett"/>
          <w:rFonts w:eastAsiaTheme="majorEastAsia"/>
          <w:rtl/>
        </w:rPr>
        <w:t>כְּקָרָבְכֶם אֶל־הַמִּלְחָמָה</w:t>
      </w:r>
      <w:r>
        <w:rPr>
          <w:rtl/>
        </w:rPr>
        <w:t xml:space="preserve"> </w:t>
      </w:r>
      <w:r>
        <w:t>(„wenn ihr heranrückt zum Kampf") bezeichnet den unmittelbaren Moment vor der Schlacht. Der Priester hat hier eine spezielle Funktion: Er tritt heran (</w:t>
      </w:r>
      <w:r>
        <w:rPr>
          <w:rStyle w:val="Fett"/>
          <w:rFonts w:eastAsiaTheme="majorEastAsia"/>
          <w:rtl/>
        </w:rPr>
        <w:t>וְנִגַּשׁ</w:t>
      </w:r>
      <w:r>
        <w:t>) und redet zum Volk (</w:t>
      </w:r>
      <w:r>
        <w:rPr>
          <w:rStyle w:val="Fett"/>
          <w:rFonts w:eastAsiaTheme="majorEastAsia"/>
          <w:rtl/>
        </w:rPr>
        <w:t>וְדִבֶּר אֶל־הָעָם</w:t>
      </w:r>
      <w:r>
        <w:t>).</w:t>
      </w:r>
    </w:p>
    <w:p w14:paraId="728F9249" w14:textId="77777777" w:rsidR="00DD2E9B" w:rsidRDefault="00DD2E9B" w:rsidP="00DD2E9B">
      <w:pPr>
        <w:pStyle w:val="whitespace-normal"/>
      </w:pPr>
      <w:r>
        <w:t xml:space="preserve">Die Tradition identifiziert diesen als den </w:t>
      </w:r>
      <w:r>
        <w:rPr>
          <w:rStyle w:val="Fett"/>
          <w:rFonts w:eastAsiaTheme="majorEastAsia"/>
          <w:rtl/>
        </w:rPr>
        <w:t>כֹּהֵן מָשׁוּחַ מִלְחָמָה</w:t>
      </w:r>
      <w:r>
        <w:rPr>
          <w:rtl/>
        </w:rPr>
        <w:t xml:space="preserve"> </w:t>
      </w:r>
      <w:r>
        <w:t>(„der zum Krieg gesalbte Priester", Mischna Sota 8,1), ein speziell für militärische Zwecke gesalbter Priester. V. 3-4 geben den Inhalt seiner Rede.</w:t>
      </w:r>
    </w:p>
    <w:p w14:paraId="08EBE658" w14:textId="77777777" w:rsidR="00DD2E9B" w:rsidRDefault="00DD2E9B" w:rsidP="00DD2E9B">
      <w:pPr>
        <w:pStyle w:val="whitespace-normal"/>
      </w:pPr>
      <w:r>
        <w:rPr>
          <w:rStyle w:val="Fett"/>
          <w:rFonts w:eastAsiaTheme="majorEastAsia"/>
        </w:rPr>
        <w:t>Die Satzstruktur:</w:t>
      </w:r>
      <w:r>
        <w:t xml:space="preserve"> Temporaler Satz mit zwei koordinierten Verben (und es wird sein, wenn heranrückt ihr zum Kampf, herantreten soll der Priester und reden zum Volk).</w:t>
      </w:r>
    </w:p>
    <w:p w14:paraId="5CF08021" w14:textId="77777777" w:rsidR="00DD2E9B" w:rsidRDefault="00DD2E9B" w:rsidP="00DD2E9B">
      <w:pPr>
        <w:pStyle w:val="whitespace-normal"/>
      </w:pPr>
      <w:r>
        <w:t>Der Vers bestimmt: Unmittelbar vor der Schlacht soll der Priester zum Volk treten und eine Rede halten.</w:t>
      </w:r>
    </w:p>
    <w:p w14:paraId="11705ABE"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20,3</w:t>
      </w:r>
    </w:p>
    <w:p w14:paraId="1E55DBF4" w14:textId="77777777" w:rsidR="00DD2E9B" w:rsidRDefault="00DD2E9B" w:rsidP="00DD2E9B">
      <w:pPr>
        <w:pStyle w:val="whitespace-normal"/>
      </w:pPr>
      <w:r>
        <w:rPr>
          <w:rStyle w:val="Fett"/>
          <w:rFonts w:eastAsiaTheme="majorEastAsia"/>
        </w:rPr>
        <w:t>Hebräisch:</w:t>
      </w:r>
      <w:r>
        <w:t xml:space="preserve"> </w:t>
      </w:r>
      <w:r>
        <w:rPr>
          <w:rtl/>
        </w:rPr>
        <w:t>וְאָמַ֤ר אֲלֵהֶם֙ שְׁמַ֣ע יִשְׂרָאֵ֔ל אַתֶּ֨ם קְרֵבִ֥ים הַיּ֛וֹם לַמִּלְחָמָ֖ה עַל־אֹיְבֵיכֶ֑ם אַל־יֵרַ֣ךְ לְבַבְכֶ֗ם אַל־תִּֽירְא֧וּ וְאַֽל־תַּחְפְּז֛וּ וְאַל־תַּֽעַרְצ֖וּ מִפְּנֵיהֶֽם׃</w:t>
      </w:r>
    </w:p>
    <w:p w14:paraId="5EE3EA91" w14:textId="77777777" w:rsidR="00DD2E9B" w:rsidRDefault="00DD2E9B" w:rsidP="00DD2E9B">
      <w:pPr>
        <w:pStyle w:val="whitespace-normal"/>
      </w:pPr>
      <w:r>
        <w:rPr>
          <w:rStyle w:val="Fett"/>
          <w:rFonts w:eastAsiaTheme="majorEastAsia"/>
        </w:rPr>
        <w:t>Deutsch:</w:t>
      </w:r>
      <w:r>
        <w:t xml:space="preserve"> und zu ihnen sagen: Höre, Jisra'el! Ihr rückt heute zum Kampf gegen eure Feinde heran; euer Herz verzage nicht, fürchtet euch nicht und ängstigt euch nicht und erschreckt nicht vor ihnen!</w:t>
      </w:r>
    </w:p>
    <w:p w14:paraId="68AAAF17" w14:textId="77777777" w:rsidR="00DD2E9B" w:rsidRDefault="004F5CEB" w:rsidP="00DD2E9B">
      <w:r>
        <w:rPr>
          <w:noProof/>
        </w:rPr>
        <w:pict w14:anchorId="7D2464A5">
          <v:rect id="_x0000_i1555" style="width:0;height:1.5pt" o:hralign="center" o:hrstd="t" o:hr="t" fillcolor="#a0a0a0" stroked="f"/>
        </w:pict>
      </w:r>
    </w:p>
    <w:p w14:paraId="770BED34" w14:textId="77777777" w:rsidR="00DD2E9B" w:rsidRDefault="00DD2E9B" w:rsidP="00DD2E9B">
      <w:pPr>
        <w:pStyle w:val="whitespace-normal"/>
      </w:pPr>
      <w:r>
        <w:rPr>
          <w:rStyle w:val="Fett"/>
          <w:rFonts w:eastAsiaTheme="majorEastAsia"/>
        </w:rPr>
        <w:t>Kommentar:</w:t>
      </w:r>
      <w:r>
        <w:t xml:space="preserve"> </w:t>
      </w:r>
      <w:r>
        <w:rPr>
          <w:rStyle w:val="Fett"/>
          <w:rFonts w:eastAsiaTheme="majorEastAsia"/>
          <w:rtl/>
        </w:rPr>
        <w:t>וְאָמַר אֲלֵהֶם שְׁמַע יִשְׂרָאֵל אַתֶּם קְרֵבִים הַיּוֹם לַמִּלְחָמָה עַל־אֹיְבֵיכֶם</w:t>
      </w:r>
      <w:r>
        <w:rPr>
          <w:rtl/>
        </w:rPr>
        <w:t xml:space="preserve"> </w:t>
      </w:r>
      <w:r>
        <w:t xml:space="preserve">ist die Anrede: </w:t>
      </w:r>
      <w:r>
        <w:rPr>
          <w:rStyle w:val="Fett"/>
          <w:rFonts w:eastAsiaTheme="majorEastAsia"/>
          <w:rtl/>
        </w:rPr>
        <w:t>וְאָמַר אֲלֵהֶם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אמר</w:t>
      </w:r>
      <w:r>
        <w:t xml:space="preserve">, Qal Perfekt, 3. Person Maskulinum Singular, „sagen", </w:t>
      </w:r>
      <w:r>
        <w:rPr>
          <w:rStyle w:val="Fett"/>
          <w:rFonts w:eastAsiaTheme="majorEastAsia"/>
          <w:rtl/>
        </w:rPr>
        <w:t>אֲלֵהֶם</w:t>
      </w:r>
      <w:r>
        <w:t xml:space="preserve">, „zu ihnen", mit </w:t>
      </w:r>
      <w:r>
        <w:rPr>
          <w:rStyle w:val="Fett"/>
          <w:rFonts w:eastAsiaTheme="majorEastAsia"/>
        </w:rPr>
        <w:t>Waw</w:t>
      </w:r>
      <w:r>
        <w:t xml:space="preserve"> consecutives Perfekt), </w:t>
      </w:r>
      <w:r>
        <w:rPr>
          <w:rStyle w:val="Fett"/>
          <w:rFonts w:eastAsiaTheme="majorEastAsia"/>
          <w:rtl/>
        </w:rPr>
        <w:t>שְׁמַע יִשְׂרָאֵל</w:t>
      </w:r>
      <w:r>
        <w:rPr>
          <w:rtl/>
        </w:rPr>
        <w:t xml:space="preserve"> </w:t>
      </w:r>
      <w:r>
        <w:t xml:space="preserve">(Qal Imperativ, 2. Person Maskulinum Singular von </w:t>
      </w:r>
      <w:r>
        <w:rPr>
          <w:rStyle w:val="Fett"/>
          <w:rFonts w:eastAsiaTheme="majorEastAsia"/>
          <w:rtl/>
        </w:rPr>
        <w:t>שׁמע</w:t>
      </w:r>
      <w:r>
        <w:t xml:space="preserve">, „hören", </w:t>
      </w:r>
      <w:r>
        <w:rPr>
          <w:rStyle w:val="Fett"/>
          <w:rFonts w:eastAsiaTheme="majorEastAsia"/>
          <w:rtl/>
        </w:rPr>
        <w:t>יִשְׂרָאֵל</w:t>
      </w:r>
      <w:r>
        <w:t xml:space="preserve">, „Höre, Israel!"), </w:t>
      </w:r>
      <w:r>
        <w:rPr>
          <w:rStyle w:val="Fett"/>
          <w:rFonts w:eastAsiaTheme="majorEastAsia"/>
          <w:rtl/>
        </w:rPr>
        <w:t>אַתֶּם קְרֵבִים הַיּוֹם לַמִּלְחָמָה עַל־אֹיְבֵיכֶם</w:t>
      </w:r>
      <w:r>
        <w:rPr>
          <w:rtl/>
        </w:rPr>
        <w:t xml:space="preserve"> </w:t>
      </w:r>
      <w:r>
        <w:t>(</w:t>
      </w:r>
      <w:r>
        <w:rPr>
          <w:rStyle w:val="Fett"/>
          <w:rFonts w:eastAsiaTheme="majorEastAsia"/>
          <w:rtl/>
        </w:rPr>
        <w:t>אַתֶּם</w:t>
      </w:r>
      <w:r>
        <w:t xml:space="preserve">, betont, </w:t>
      </w:r>
      <w:r>
        <w:rPr>
          <w:rStyle w:val="Fett"/>
          <w:rFonts w:eastAsiaTheme="majorEastAsia"/>
          <w:rtl/>
        </w:rPr>
        <w:t>קרב</w:t>
      </w:r>
      <w:r>
        <w:t xml:space="preserve">, Qal Partizip Plural, „heranrücken, nahen", </w:t>
      </w:r>
      <w:r>
        <w:rPr>
          <w:rStyle w:val="Fett"/>
          <w:rFonts w:eastAsiaTheme="majorEastAsia"/>
          <w:rtl/>
        </w:rPr>
        <w:t>הַיּוֹם</w:t>
      </w:r>
      <w:r>
        <w:t xml:space="preserve">, „heute", </w:t>
      </w:r>
      <w:r>
        <w:rPr>
          <w:rStyle w:val="Fett"/>
          <w:rFonts w:eastAsiaTheme="majorEastAsia"/>
          <w:rtl/>
        </w:rPr>
        <w:t>לַמִּלְחָמָה</w:t>
      </w:r>
      <w:r>
        <w:t xml:space="preserve">, </w:t>
      </w:r>
      <w:r>
        <w:rPr>
          <w:rStyle w:val="Fett"/>
          <w:rFonts w:eastAsiaTheme="majorEastAsia"/>
          <w:rtl/>
        </w:rPr>
        <w:t>עַל־אֹיְבֵיכֶם</w:t>
      </w:r>
      <w:r>
        <w:t>, „ihr rückt heute heran zum Kampf gegen eure Feinde").</w:t>
      </w:r>
    </w:p>
    <w:p w14:paraId="1F97DAA7" w14:textId="77777777" w:rsidR="00DD2E9B" w:rsidRDefault="00DD2E9B" w:rsidP="00DD2E9B">
      <w:pPr>
        <w:pStyle w:val="whitespace-normal"/>
      </w:pPr>
      <w:r>
        <w:rPr>
          <w:rStyle w:val="Fett"/>
          <w:rFonts w:eastAsiaTheme="majorEastAsia"/>
          <w:rtl/>
        </w:rPr>
        <w:t>אַל־יֵרַךְ לְבַבְכֶם אַל־תִּירְאוּ וְאַל־תַּחְפְּזוּ וְאַל־תַּעַרְצוּ מִפְּנֵיהֶם</w:t>
      </w:r>
      <w:r>
        <w:rPr>
          <w:rtl/>
        </w:rPr>
        <w:t xml:space="preserve"> </w:t>
      </w:r>
      <w:r>
        <w:t xml:space="preserve">sind vier negative Imperative: </w:t>
      </w:r>
      <w:r>
        <w:rPr>
          <w:rStyle w:val="Fett"/>
          <w:rFonts w:eastAsiaTheme="majorEastAsia"/>
          <w:rtl/>
        </w:rPr>
        <w:t>אַל־יֵרַךְ לְבַבְכֶם</w:t>
      </w:r>
      <w:r>
        <w:rPr>
          <w:rtl/>
        </w:rPr>
        <w:t xml:space="preserve"> </w:t>
      </w:r>
      <w:r>
        <w:t xml:space="preserve">(Negation </w:t>
      </w:r>
      <w:r>
        <w:rPr>
          <w:rStyle w:val="Fett"/>
          <w:rFonts w:eastAsiaTheme="majorEastAsia"/>
          <w:rtl/>
        </w:rPr>
        <w:t>אַל</w:t>
      </w:r>
      <w:r>
        <w:rPr>
          <w:rtl/>
        </w:rPr>
        <w:t xml:space="preserve"> </w:t>
      </w:r>
      <w:r>
        <w:t xml:space="preserve">mit </w:t>
      </w:r>
      <w:r>
        <w:rPr>
          <w:rStyle w:val="Fett"/>
          <w:rFonts w:eastAsiaTheme="majorEastAsia"/>
          <w:rtl/>
        </w:rPr>
        <w:t>רכך</w:t>
      </w:r>
      <w:r>
        <w:t xml:space="preserve">, Qal Jussiv, 3. Person Maskulinum Singular, „weich werden, verzagen", </w:t>
      </w:r>
      <w:r>
        <w:rPr>
          <w:rStyle w:val="Fett"/>
          <w:rFonts w:eastAsiaTheme="majorEastAsia"/>
          <w:rtl/>
        </w:rPr>
        <w:lastRenderedPageBreak/>
        <w:t>לֵבָב</w:t>
      </w:r>
      <w:r>
        <w:t xml:space="preserve">, „Herz", mit Suffix 2. Person Plural, „nicht verzage euer Herz"), </w:t>
      </w:r>
      <w:r>
        <w:rPr>
          <w:rStyle w:val="Fett"/>
          <w:rFonts w:eastAsiaTheme="majorEastAsia"/>
          <w:rtl/>
        </w:rPr>
        <w:t>אַל־תִּירְאוּ</w:t>
      </w:r>
      <w:r>
        <w:rPr>
          <w:rtl/>
        </w:rPr>
        <w:t xml:space="preserve"> </w:t>
      </w:r>
      <w:r>
        <w:t xml:space="preserve">(Negation mit </w:t>
      </w:r>
      <w:r>
        <w:rPr>
          <w:rStyle w:val="Fett"/>
          <w:rFonts w:eastAsiaTheme="majorEastAsia"/>
          <w:rtl/>
        </w:rPr>
        <w:t>ירא</w:t>
      </w:r>
      <w:r>
        <w:t xml:space="preserve">, Qal Imperfekt, 2. Person Plural, „sich fürchten", „nicht fürchtet euch"), </w:t>
      </w:r>
      <w:r>
        <w:rPr>
          <w:rStyle w:val="Fett"/>
          <w:rFonts w:eastAsiaTheme="majorEastAsia"/>
          <w:rtl/>
        </w:rPr>
        <w:t>וְאַל־תַּחְפְּזוּ</w:t>
      </w:r>
      <w:r>
        <w:rPr>
          <w:rtl/>
        </w:rPr>
        <w:t xml:space="preserve"> </w:t>
      </w:r>
      <w:r>
        <w:t xml:space="preserve">(koordiniert durch </w:t>
      </w:r>
      <w:r>
        <w:rPr>
          <w:rStyle w:val="Fett"/>
          <w:rFonts w:eastAsiaTheme="majorEastAsia"/>
          <w:rtl/>
        </w:rPr>
        <w:t>וְ</w:t>
      </w:r>
      <w:r>
        <w:rPr>
          <w:rtl/>
        </w:rPr>
        <w:t xml:space="preserve"> </w:t>
      </w:r>
      <w:r>
        <w:t xml:space="preserve">mit Negation und </w:t>
      </w:r>
      <w:r>
        <w:rPr>
          <w:rStyle w:val="Fett"/>
          <w:rFonts w:eastAsiaTheme="majorEastAsia"/>
          <w:rtl/>
        </w:rPr>
        <w:t>חפז</w:t>
      </w:r>
      <w:r>
        <w:t xml:space="preserve">, Qal Imperfekt, 2. Person Plural, „eilen, überstürzen, in Panik geraten", „und nicht geratet in Panik"), </w:t>
      </w:r>
      <w:r>
        <w:rPr>
          <w:rStyle w:val="Fett"/>
          <w:rFonts w:eastAsiaTheme="majorEastAsia"/>
          <w:rtl/>
        </w:rPr>
        <w:t>וְאַל־תַּעַרְצוּ מִפְּנֵיהֶם</w:t>
      </w:r>
      <w:r>
        <w:rPr>
          <w:rtl/>
        </w:rPr>
        <w:t xml:space="preserve"> </w:t>
      </w:r>
      <w:r>
        <w:t xml:space="preserve">(koordiniert durch </w:t>
      </w:r>
      <w:r>
        <w:rPr>
          <w:rStyle w:val="Fett"/>
          <w:rFonts w:eastAsiaTheme="majorEastAsia"/>
          <w:rtl/>
        </w:rPr>
        <w:t>וְ</w:t>
      </w:r>
      <w:r>
        <w:rPr>
          <w:rtl/>
        </w:rPr>
        <w:t xml:space="preserve"> </w:t>
      </w:r>
      <w:r>
        <w:t xml:space="preserve">mit Negation und </w:t>
      </w:r>
      <w:r>
        <w:rPr>
          <w:rStyle w:val="Fett"/>
          <w:rFonts w:eastAsiaTheme="majorEastAsia"/>
          <w:rtl/>
        </w:rPr>
        <w:t>ערץ</w:t>
      </w:r>
      <w:r>
        <w:t xml:space="preserve">, Qal Imperfekt, 2. Person Plural, „erschrecken, erzittern", </w:t>
      </w:r>
      <w:r>
        <w:rPr>
          <w:rStyle w:val="Fett"/>
          <w:rFonts w:eastAsiaTheme="majorEastAsia"/>
          <w:rtl/>
        </w:rPr>
        <w:t>מִפְּנֵיהֶם</w:t>
      </w:r>
      <w:r>
        <w:t>, „vor ihnen", „und nicht erschreckt vor ihnen").</w:t>
      </w:r>
    </w:p>
    <w:p w14:paraId="1FAC0EC3" w14:textId="77777777" w:rsidR="00DD2E9B" w:rsidRDefault="00DD2E9B" w:rsidP="00DD2E9B">
      <w:pPr>
        <w:pStyle w:val="whitespace-normal"/>
      </w:pPr>
      <w:r>
        <w:t xml:space="preserve">Der Vers ist die priesterliche Kriegsrede. Die Anrede </w:t>
      </w:r>
      <w:r>
        <w:rPr>
          <w:rStyle w:val="Fett"/>
          <w:rFonts w:eastAsiaTheme="majorEastAsia"/>
          <w:rtl/>
        </w:rPr>
        <w:t>שְׁמַע יִשְׂרָאֵל</w:t>
      </w:r>
      <w:r>
        <w:rPr>
          <w:rtl/>
        </w:rPr>
        <w:t xml:space="preserve"> </w:t>
      </w:r>
      <w:r>
        <w:t xml:space="preserve">(„Höre, Israel!") erinnert an das Schma (6,4) und signalisiert: Dies ist eine wichtige theologische Botschaft. Die Formulierung </w:t>
      </w:r>
      <w:r>
        <w:rPr>
          <w:rStyle w:val="Fett"/>
          <w:rFonts w:eastAsiaTheme="majorEastAsia"/>
          <w:rtl/>
        </w:rPr>
        <w:t>אַתֶּם קְרֵבִים הַיּוֹם לַמִּלְחָמָה</w:t>
      </w:r>
      <w:r>
        <w:rPr>
          <w:rtl/>
        </w:rPr>
        <w:t xml:space="preserve"> </w:t>
      </w:r>
      <w:r>
        <w:t>(„ihr rückt heute heran zum Kampf") betont die unmittelbare Gegenwart.</w:t>
      </w:r>
    </w:p>
    <w:p w14:paraId="26BF1D5E" w14:textId="0D3D6CCD" w:rsidR="00DD2E9B" w:rsidRDefault="00DD2E9B" w:rsidP="00DD2E9B">
      <w:pPr>
        <w:pStyle w:val="whitespace-normal"/>
      </w:pPr>
      <w:r>
        <w:t xml:space="preserve">Die vierfache Ermahnung gegen Furcht verwendet vier verschiedene Verben: (1) </w:t>
      </w:r>
      <w:r>
        <w:rPr>
          <w:rStyle w:val="Fett"/>
          <w:rFonts w:eastAsiaTheme="majorEastAsia"/>
          <w:rtl/>
        </w:rPr>
        <w:t>יֵרַךְ לְבַבְכֶם</w:t>
      </w:r>
      <w:r>
        <w:rPr>
          <w:rtl/>
        </w:rPr>
        <w:t xml:space="preserve"> </w:t>
      </w:r>
      <w:r>
        <w:t xml:space="preserve">(„verzage euer Herz") – innere Entmutigung, (2) </w:t>
      </w:r>
      <w:r>
        <w:rPr>
          <w:rStyle w:val="Fett"/>
          <w:rFonts w:eastAsiaTheme="majorEastAsia"/>
          <w:rtl/>
        </w:rPr>
        <w:t>תִּירְאוּ</w:t>
      </w:r>
      <w:r>
        <w:rPr>
          <w:rtl/>
        </w:rPr>
        <w:t xml:space="preserve"> </w:t>
      </w:r>
      <w:r>
        <w:t xml:space="preserve">(„fürchtet euch") – allgemeine Furcht, (3) </w:t>
      </w:r>
      <w:r>
        <w:rPr>
          <w:rStyle w:val="Fett"/>
          <w:rFonts w:eastAsiaTheme="majorEastAsia"/>
          <w:rtl/>
        </w:rPr>
        <w:t>תַּחְפְּזוּ</w:t>
      </w:r>
      <w:r>
        <w:rPr>
          <w:rtl/>
        </w:rPr>
        <w:t xml:space="preserve"> </w:t>
      </w:r>
      <w:r>
        <w:t xml:space="preserve">(„geratet in Panik") – überstürztes, irrationales Handeln (vgl. Ex 12,11; Dtn 20,3; </w:t>
      </w:r>
      <w:r w:rsidR="00664EB6">
        <w:t>1Sam</w:t>
      </w:r>
      <w:r>
        <w:t xml:space="preserve"> 23,26; </w:t>
      </w:r>
      <w:r w:rsidR="00664EB6">
        <w:t>2Kön</w:t>
      </w:r>
      <w:r>
        <w:t xml:space="preserve"> 7,15; Ps 31,23; 48,6; 116,11; </w:t>
      </w:r>
      <w:r w:rsidR="00664EB6">
        <w:t>2Chr</w:t>
      </w:r>
      <w:r>
        <w:t xml:space="preserve"> 26,20; 35,21), (4) </w:t>
      </w:r>
      <w:r>
        <w:rPr>
          <w:rStyle w:val="Fett"/>
          <w:rFonts w:eastAsiaTheme="majorEastAsia"/>
          <w:rtl/>
        </w:rPr>
        <w:t>תַּעַרְצוּ</w:t>
      </w:r>
      <w:r>
        <w:rPr>
          <w:rtl/>
        </w:rPr>
        <w:t xml:space="preserve"> </w:t>
      </w:r>
      <w:r>
        <w:t>(„erschreckt") – Schrecken, Zittern (vgl. Dtn 1,29; 7,21; 20,3; 31,6; Jos 1,9; 8,1; 10,25; Jes 8,12.13; 47,11).</w:t>
      </w:r>
    </w:p>
    <w:p w14:paraId="25DA72E7" w14:textId="31B667C9" w:rsidR="00734E2E" w:rsidRDefault="00734E2E" w:rsidP="00DD2E9B">
      <w:pPr>
        <w:pStyle w:val="whitespace-normal"/>
      </w:pPr>
      <w:r>
        <w:rPr>
          <w:rStyle w:val="Fett"/>
        </w:rPr>
        <w:t>Die LXX</w:t>
      </w:r>
      <w:r>
        <w:t xml:space="preserve"> übersetzt die vierfache Warnung </w:t>
      </w:r>
      <w:r>
        <w:rPr>
          <w:rtl/>
        </w:rPr>
        <w:t>אַל־יֵרַךְ לְבַבְכֶם אַל־תִּירְאוּ וְאַל־תַּחְפְּזוּ וְאַל־תַּעַרְצוּ</w:t>
      </w:r>
      <w:r>
        <w:t xml:space="preserve"> (lasst euer Herz nicht weich werden, fürchtet euch nicht, hastet nicht, zittert nicht) mit </w:t>
      </w:r>
      <w:proofErr w:type="spellStart"/>
      <w:r>
        <w:t>μὴ</w:t>
      </w:r>
      <w:proofErr w:type="spellEnd"/>
      <w:r>
        <w:t xml:space="preserve"> </w:t>
      </w:r>
      <w:proofErr w:type="spellStart"/>
      <w:r>
        <w:t>ἐκλυέσθω</w:t>
      </w:r>
      <w:proofErr w:type="spellEnd"/>
      <w:r>
        <w:t xml:space="preserve"> ἡ κα</w:t>
      </w:r>
      <w:proofErr w:type="spellStart"/>
      <w:r>
        <w:t>ρδί</w:t>
      </w:r>
      <w:proofErr w:type="spellEnd"/>
      <w:r>
        <w:t xml:space="preserve">α </w:t>
      </w:r>
      <w:proofErr w:type="spellStart"/>
      <w:r>
        <w:t>ὑμῶν</w:t>
      </w:r>
      <w:proofErr w:type="spellEnd"/>
      <w:r>
        <w:t xml:space="preserve">, </w:t>
      </w:r>
      <w:proofErr w:type="spellStart"/>
      <w:r>
        <w:t>μὴ</w:t>
      </w:r>
      <w:proofErr w:type="spellEnd"/>
      <w:r>
        <w:t xml:space="preserve"> </w:t>
      </w:r>
      <w:proofErr w:type="spellStart"/>
      <w:r>
        <w:t>φο</w:t>
      </w:r>
      <w:proofErr w:type="spellEnd"/>
      <w:r>
        <w:t xml:space="preserve">βεῖσθε </w:t>
      </w:r>
      <w:proofErr w:type="spellStart"/>
      <w:r>
        <w:t>μηδὲ</w:t>
      </w:r>
      <w:proofErr w:type="spellEnd"/>
      <w:r>
        <w:t xml:space="preserve"> </w:t>
      </w:r>
      <w:proofErr w:type="spellStart"/>
      <w:r>
        <w:t>θρ</w:t>
      </w:r>
      <w:proofErr w:type="spellEnd"/>
      <w:r>
        <w:t xml:space="preserve">αύεσθε </w:t>
      </w:r>
      <w:proofErr w:type="spellStart"/>
      <w:r>
        <w:t>μηδὲ</w:t>
      </w:r>
      <w:proofErr w:type="spellEnd"/>
      <w:r>
        <w:t xml:space="preserve"> </w:t>
      </w:r>
      <w:proofErr w:type="spellStart"/>
      <w:r>
        <w:t>ἐκκλίνητε</w:t>
      </w:r>
      <w:proofErr w:type="spellEnd"/>
      <w:r>
        <w:t xml:space="preserve"> (lasst euer Herz nicht erschlaffen, fürchtet euch nicht, noch werdet zerschmettert, noch weicht zurück). Die griechischen Begriffe sind interpretierend: </w:t>
      </w:r>
      <w:proofErr w:type="spellStart"/>
      <w:r>
        <w:t>θρ</w:t>
      </w:r>
      <w:proofErr w:type="spellEnd"/>
      <w:r>
        <w:t xml:space="preserve">αύω (zerbrechen, zerschmettern) für </w:t>
      </w:r>
      <w:r>
        <w:rPr>
          <w:rtl/>
        </w:rPr>
        <w:t>תַּחְפְּזוּ</w:t>
      </w:r>
      <w:r>
        <w:t xml:space="preserve"> (hastig sein) und </w:t>
      </w:r>
      <w:proofErr w:type="spellStart"/>
      <w:r>
        <w:t>ἐκκλίνω</w:t>
      </w:r>
      <w:proofErr w:type="spellEnd"/>
      <w:r>
        <w:t xml:space="preserve"> (zurückweichen) für </w:t>
      </w:r>
      <w:r>
        <w:rPr>
          <w:rtl/>
        </w:rPr>
        <w:t>תַּעַרְצוּ</w:t>
      </w:r>
      <w:r>
        <w:t xml:space="preserve"> (zittern, in Panik geraten).</w:t>
      </w:r>
    </w:p>
    <w:p w14:paraId="0CD6606A" w14:textId="77777777" w:rsidR="00DD2E9B" w:rsidRDefault="00DD2E9B" w:rsidP="00DD2E9B">
      <w:pPr>
        <w:pStyle w:val="whitespace-normal"/>
      </w:pPr>
      <w:r>
        <w:rPr>
          <w:rStyle w:val="Fett"/>
          <w:rFonts w:eastAsiaTheme="majorEastAsia"/>
        </w:rPr>
        <w:t>Die Satzstruktur:</w:t>
      </w:r>
      <w:r>
        <w:t xml:space="preserve"> Anrede mit vier negativen Imperativen (sagen soll er zu ihnen: Höre, Israel! Ihr rückt heran heute zum Kampf gegen eure Feinde; nicht verzage euer Herz, nicht fürchtet euch und nicht geratet in Panik und nicht erschreckt vor ihnen).</w:t>
      </w:r>
    </w:p>
    <w:p w14:paraId="173D7E01" w14:textId="77777777" w:rsidR="00DD2E9B" w:rsidRDefault="00DD2E9B" w:rsidP="00DD2E9B">
      <w:pPr>
        <w:pStyle w:val="whitespace-normal"/>
      </w:pPr>
      <w:r>
        <w:t>Der Vers gibt die Kriegsrede: Höre, Israel! Heute kämpft ihr – habt keine Angst in all ihren Formen!</w:t>
      </w:r>
    </w:p>
    <w:p w14:paraId="2D17A862"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20,4</w:t>
      </w:r>
    </w:p>
    <w:p w14:paraId="7FA37E08" w14:textId="77777777" w:rsidR="00DD2E9B" w:rsidRDefault="00DD2E9B" w:rsidP="00DD2E9B">
      <w:pPr>
        <w:pStyle w:val="whitespace-normal"/>
      </w:pPr>
      <w:r>
        <w:rPr>
          <w:rStyle w:val="Fett"/>
          <w:rFonts w:eastAsiaTheme="majorEastAsia"/>
        </w:rPr>
        <w:t>Hebräisch:</w:t>
      </w:r>
      <w:r>
        <w:t xml:space="preserve"> </w:t>
      </w:r>
      <w:r>
        <w:rPr>
          <w:rtl/>
        </w:rPr>
        <w:t>כִּ֚י יְהוָ֣ה אֱלֹֽהֵיכֶ֔ם הַהֹלֵ֖ךְ עִמָּכֶ֑ם לְהִלָּחֵ֥ם לָכֶ֛ם עִם־אֹיְבֵיכֶ֖ם לְהוֹשִׁ֥יעַ אֶתְכֶֽם׃</w:t>
      </w:r>
    </w:p>
    <w:p w14:paraId="3E26EF38" w14:textId="77777777" w:rsidR="00DD2E9B" w:rsidRDefault="00DD2E9B" w:rsidP="00DD2E9B">
      <w:pPr>
        <w:pStyle w:val="whitespace-normal"/>
      </w:pPr>
      <w:r>
        <w:rPr>
          <w:rStyle w:val="Fett"/>
          <w:rFonts w:eastAsiaTheme="majorEastAsia"/>
        </w:rPr>
        <w:t>Deutsch:</w:t>
      </w:r>
      <w:r>
        <w:t xml:space="preserve"> Denn der Ewige, euer Gott, ist es, der mit euch zieht, um für euch mit euren Feinden zu kämpfen, um euch zu retten.</w:t>
      </w:r>
    </w:p>
    <w:p w14:paraId="76B409FD" w14:textId="77777777" w:rsidR="00DD2E9B" w:rsidRDefault="004F5CEB" w:rsidP="00DD2E9B">
      <w:r>
        <w:rPr>
          <w:noProof/>
        </w:rPr>
        <w:pict w14:anchorId="7836042D">
          <v:rect id="_x0000_i1556" style="width:0;height:1.5pt" o:hralign="center" o:hrstd="t" o:hr="t" fillcolor="#a0a0a0" stroked="f"/>
        </w:pict>
      </w:r>
    </w:p>
    <w:p w14:paraId="73F01629" w14:textId="77777777" w:rsidR="00DD2E9B" w:rsidRDefault="00DD2E9B" w:rsidP="00DD2E9B">
      <w:pPr>
        <w:pStyle w:val="whitespace-normal"/>
      </w:pPr>
      <w:r>
        <w:rPr>
          <w:rStyle w:val="Fett"/>
          <w:rFonts w:eastAsiaTheme="majorEastAsia"/>
        </w:rPr>
        <w:t>Kommentar:</w:t>
      </w:r>
      <w:r>
        <w:t xml:space="preserve"> </w:t>
      </w:r>
      <w:r>
        <w:rPr>
          <w:rStyle w:val="Fett"/>
          <w:rFonts w:eastAsiaTheme="majorEastAsia"/>
          <w:rtl/>
        </w:rPr>
        <w:t>כִּי יְהוָה אֱלֹהֵיכֶם הַהֹלֵךְ עִמָּכֶם</w:t>
      </w:r>
      <w:r>
        <w:rPr>
          <w:rtl/>
        </w:rPr>
        <w:t xml:space="preserve"> </w:t>
      </w:r>
      <w:r>
        <w:t xml:space="preserve">ist die Begründung: </w:t>
      </w:r>
      <w:r>
        <w:rPr>
          <w:rStyle w:val="Fett"/>
          <w:rFonts w:eastAsiaTheme="majorEastAsia"/>
          <w:rtl/>
        </w:rPr>
        <w:t>כִּי</w:t>
      </w:r>
      <w:r>
        <w:rPr>
          <w:rtl/>
        </w:rPr>
        <w:t xml:space="preserve"> </w:t>
      </w:r>
      <w:r>
        <w:t xml:space="preserve">(„denn"), </w:t>
      </w:r>
      <w:r>
        <w:rPr>
          <w:rStyle w:val="Fett"/>
          <w:rFonts w:eastAsiaTheme="majorEastAsia"/>
          <w:rtl/>
        </w:rPr>
        <w:t>יְהוָה אֱלֹהֵיכֶם</w:t>
      </w:r>
      <w:r>
        <w:rPr>
          <w:rtl/>
        </w:rPr>
        <w:t xml:space="preserve"> </w:t>
      </w:r>
      <w:r>
        <w:t xml:space="preserve">(Subjekt), </w:t>
      </w:r>
      <w:r>
        <w:rPr>
          <w:rStyle w:val="Fett"/>
          <w:rFonts w:eastAsiaTheme="majorEastAsia"/>
          <w:rtl/>
        </w:rPr>
        <w:t>הַהֹלֵךְ עִמָּכֶם</w:t>
      </w:r>
      <w:r>
        <w:rPr>
          <w:rtl/>
        </w:rPr>
        <w:t xml:space="preserve"> </w:t>
      </w:r>
      <w:r>
        <w:t xml:space="preserve">(Qal Partizip von </w:t>
      </w:r>
      <w:r>
        <w:rPr>
          <w:rStyle w:val="Fett"/>
          <w:rFonts w:eastAsiaTheme="majorEastAsia"/>
          <w:rtl/>
        </w:rPr>
        <w:t>הלך</w:t>
      </w:r>
      <w:r>
        <w:t xml:space="preserve">, „gehen", mit Artikel und </w:t>
      </w:r>
      <w:r>
        <w:rPr>
          <w:rStyle w:val="Fett"/>
          <w:rFonts w:eastAsiaTheme="majorEastAsia"/>
          <w:rtl/>
        </w:rPr>
        <w:t>עִמָּכֶם</w:t>
      </w:r>
      <w:r>
        <w:t xml:space="preserve">, Präposition </w:t>
      </w:r>
      <w:r>
        <w:rPr>
          <w:rStyle w:val="Fett"/>
          <w:rFonts w:eastAsiaTheme="majorEastAsia"/>
          <w:rtl/>
        </w:rPr>
        <w:t>עִם</w:t>
      </w:r>
      <w:r>
        <w:rPr>
          <w:rtl/>
        </w:rPr>
        <w:t xml:space="preserve"> </w:t>
      </w:r>
      <w:r>
        <w:t>mit Suffix 2. Person Plural, „mit euch", „der mitgeht mit euch").</w:t>
      </w:r>
    </w:p>
    <w:p w14:paraId="5C8F086C" w14:textId="77777777" w:rsidR="00DD2E9B" w:rsidRDefault="00DD2E9B" w:rsidP="00DD2E9B">
      <w:pPr>
        <w:pStyle w:val="whitespace-normal"/>
      </w:pPr>
      <w:r>
        <w:rPr>
          <w:rStyle w:val="Fett"/>
          <w:rFonts w:eastAsiaTheme="majorEastAsia"/>
          <w:rtl/>
        </w:rPr>
        <w:t>לְהִלָּחֵם לָכֶם עִם־אֹיְבֵיכֶם לְהוֹשִׁיעַ אֶתְכֶם</w:t>
      </w:r>
      <w:r>
        <w:rPr>
          <w:rtl/>
        </w:rPr>
        <w:t xml:space="preserve"> </w:t>
      </w:r>
      <w:r>
        <w:t xml:space="preserve">sind zwei finale Infinitive: </w:t>
      </w:r>
      <w:r>
        <w:rPr>
          <w:rStyle w:val="Fett"/>
          <w:rFonts w:eastAsiaTheme="majorEastAsia"/>
          <w:rtl/>
        </w:rPr>
        <w:t>לְהִלָּחֵם לָכֶם עִם־אֹיְבֵיכֶם</w:t>
      </w:r>
      <w:r>
        <w:rPr>
          <w:rtl/>
        </w:rPr>
        <w:t xml:space="preserve"> </w:t>
      </w:r>
      <w:r>
        <w:t xml:space="preserve">(Präposition </w:t>
      </w:r>
      <w:r>
        <w:rPr>
          <w:rStyle w:val="Fett"/>
          <w:rFonts w:eastAsiaTheme="majorEastAsia"/>
          <w:rtl/>
        </w:rPr>
        <w:t>לְ</w:t>
      </w:r>
      <w:r>
        <w:rPr>
          <w:rtl/>
        </w:rPr>
        <w:t xml:space="preserve"> </w:t>
      </w:r>
      <w:r>
        <w:t xml:space="preserve">mit Niphal Infinitiv Construct von </w:t>
      </w:r>
      <w:r>
        <w:rPr>
          <w:rStyle w:val="Fett"/>
          <w:rFonts w:eastAsiaTheme="majorEastAsia"/>
          <w:rtl/>
        </w:rPr>
        <w:t>לחם</w:t>
      </w:r>
      <w:r>
        <w:t xml:space="preserve">, „kämpfen", </w:t>
      </w:r>
      <w:r>
        <w:rPr>
          <w:rStyle w:val="Fett"/>
          <w:rFonts w:eastAsiaTheme="majorEastAsia"/>
          <w:rtl/>
        </w:rPr>
        <w:t>לָכֶם</w:t>
      </w:r>
      <w:r>
        <w:t xml:space="preserve">, „für euch", </w:t>
      </w:r>
      <w:r>
        <w:rPr>
          <w:rStyle w:val="Fett"/>
          <w:rFonts w:eastAsiaTheme="majorEastAsia"/>
          <w:rtl/>
        </w:rPr>
        <w:t>עִם־אֹיְבֵיכֶם</w:t>
      </w:r>
      <w:r>
        <w:t xml:space="preserve">, </w:t>
      </w:r>
      <w:r>
        <w:lastRenderedPageBreak/>
        <w:t xml:space="preserve">„mit euren Feinden", „um zu kämpfen für euch mit euren Feinden"), </w:t>
      </w:r>
      <w:r>
        <w:rPr>
          <w:rStyle w:val="Fett"/>
          <w:rFonts w:eastAsiaTheme="majorEastAsia"/>
          <w:rtl/>
        </w:rPr>
        <w:t>לְהוֹשִׁיעַ אֶתְכֶם</w:t>
      </w:r>
      <w:r>
        <w:rPr>
          <w:rtl/>
        </w:rPr>
        <w:t xml:space="preserve"> </w:t>
      </w:r>
      <w:r>
        <w:t xml:space="preserve">(Präposition </w:t>
      </w:r>
      <w:r>
        <w:rPr>
          <w:rStyle w:val="Fett"/>
          <w:rFonts w:eastAsiaTheme="majorEastAsia"/>
          <w:rtl/>
        </w:rPr>
        <w:t>לְ</w:t>
      </w:r>
      <w:r>
        <w:rPr>
          <w:rtl/>
        </w:rPr>
        <w:t xml:space="preserve"> </w:t>
      </w:r>
      <w:r>
        <w:t xml:space="preserve">mit Hiphil Infinitiv Construct von </w:t>
      </w:r>
      <w:r>
        <w:rPr>
          <w:rStyle w:val="Fett"/>
          <w:rFonts w:eastAsiaTheme="majorEastAsia"/>
          <w:rtl/>
        </w:rPr>
        <w:t>ישׁע</w:t>
      </w:r>
      <w:r>
        <w:t xml:space="preserve">, „retten", in der Hiphil-Form „retten, befreien", </w:t>
      </w:r>
      <w:r>
        <w:rPr>
          <w:rStyle w:val="Fett"/>
          <w:rFonts w:eastAsiaTheme="majorEastAsia"/>
          <w:rtl/>
        </w:rPr>
        <w:t>אֶתְכֶם</w:t>
      </w:r>
      <w:r>
        <w:t>, „um zu retten euch").</w:t>
      </w:r>
    </w:p>
    <w:p w14:paraId="7642F5DE" w14:textId="3F3BF686" w:rsidR="00DD2E9B" w:rsidRDefault="00DD2E9B" w:rsidP="00DD2E9B">
      <w:pPr>
        <w:pStyle w:val="whitespace-normal"/>
      </w:pPr>
      <w:r>
        <w:t xml:space="preserve">Der Vers ist die theologische Begründung für die Furchtlosigkeit aus V. 3. Die Formulierung </w:t>
      </w:r>
      <w:r>
        <w:rPr>
          <w:rStyle w:val="Fett"/>
          <w:rFonts w:eastAsiaTheme="majorEastAsia"/>
          <w:rtl/>
        </w:rPr>
        <w:t>יְהוָה אֱלֹהֵיכֶם הַהֹלֵךְ עִמָּכֶם</w:t>
      </w:r>
      <w:r>
        <w:rPr>
          <w:rtl/>
        </w:rPr>
        <w:t xml:space="preserve"> </w:t>
      </w:r>
      <w:r>
        <w:t xml:space="preserve">(„JHWH, euer Gott, der mitgeht mit euch") betont die aktive göttliche Präsenz im Kampf (vgl. Ex 14,14.25; Jos 10,14.42; 23,3.10; Ri 4,14-15; </w:t>
      </w:r>
      <w:r w:rsidR="00664EB6">
        <w:t>1Sam</w:t>
      </w:r>
      <w:r>
        <w:t xml:space="preserve"> 17,47; </w:t>
      </w:r>
      <w:r w:rsidR="00664EB6">
        <w:t>2Chr</w:t>
      </w:r>
      <w:r>
        <w:t xml:space="preserve"> 20,15.17).</w:t>
      </w:r>
    </w:p>
    <w:p w14:paraId="01DF2F4D" w14:textId="77777777" w:rsidR="00DD2E9B" w:rsidRDefault="00DD2E9B" w:rsidP="00DD2E9B">
      <w:pPr>
        <w:pStyle w:val="whitespace-normal"/>
      </w:pPr>
      <w:r>
        <w:t xml:space="preserve">Die doppelte Finalität zeigt JHWHs Rolle: (1) </w:t>
      </w:r>
      <w:r>
        <w:rPr>
          <w:rStyle w:val="Fett"/>
          <w:rFonts w:eastAsiaTheme="majorEastAsia"/>
          <w:rtl/>
        </w:rPr>
        <w:t>לְהִלָּחֵם לָכֶם עִם־אֹיְבֵיכֶם</w:t>
      </w:r>
      <w:r>
        <w:rPr>
          <w:rtl/>
        </w:rPr>
        <w:t xml:space="preserve"> </w:t>
      </w:r>
      <w:r>
        <w:t xml:space="preserve">(„um zu kämpfen für euch mit euren Feinden") – JHWH kämpft aktiv für Israel (vgl. Ex 14,14: „JHWH wird für euch kämpfen"), (2) </w:t>
      </w:r>
      <w:r>
        <w:rPr>
          <w:rStyle w:val="Fett"/>
          <w:rFonts w:eastAsiaTheme="majorEastAsia"/>
          <w:rtl/>
        </w:rPr>
        <w:t>לְהוֹשִׁיעַ אֶתְכֶם</w:t>
      </w:r>
      <w:r>
        <w:rPr>
          <w:rtl/>
        </w:rPr>
        <w:t xml:space="preserve"> </w:t>
      </w:r>
      <w:r>
        <w:t>(„um euch zu retten") – das Ziel ist Rettung/Sieg.</w:t>
      </w:r>
    </w:p>
    <w:p w14:paraId="6A2654F1" w14:textId="5C04A8C3" w:rsidR="00DD2E9B" w:rsidRDefault="00DD2E9B" w:rsidP="00DD2E9B">
      <w:pPr>
        <w:pStyle w:val="whitespace-normal"/>
      </w:pPr>
      <w:r>
        <w:t xml:space="preserve">Das Verb </w:t>
      </w:r>
      <w:r>
        <w:rPr>
          <w:rStyle w:val="Fett"/>
          <w:rFonts w:eastAsiaTheme="majorEastAsia"/>
          <w:rtl/>
        </w:rPr>
        <w:t>הלך</w:t>
      </w:r>
      <w:r>
        <w:rPr>
          <w:rtl/>
        </w:rPr>
        <w:t xml:space="preserve"> </w:t>
      </w:r>
      <w:r>
        <w:t>(„gehen, mitgehen") im Partizip (</w:t>
      </w:r>
      <w:r>
        <w:rPr>
          <w:rStyle w:val="Fett"/>
          <w:rFonts w:eastAsiaTheme="majorEastAsia"/>
          <w:rtl/>
        </w:rPr>
        <w:t>הַהֹלֵךְ</w:t>
      </w:r>
      <w:r>
        <w:t>) drückt kontinuierliche Aktion aus – JHWH geht beständig mit (vgl. die Bundesformel: „Ich werde mit dir sein", Gen 26,3.24; 28,15; 31,3; Ex 3,12; Jos 1,5.9; Ri 6,16; Jer 1,8.19; 15,20; 42,11; 46,28).</w:t>
      </w:r>
    </w:p>
    <w:p w14:paraId="39CB2731" w14:textId="4D9BB19E" w:rsidR="00734E2E" w:rsidRDefault="00734E2E" w:rsidP="00DD2E9B">
      <w:pPr>
        <w:pStyle w:val="whitespace-normal"/>
      </w:pPr>
      <w:r>
        <w:rPr>
          <w:rStyle w:val="Fett"/>
        </w:rPr>
        <w:t>Die LXX</w:t>
      </w:r>
      <w:r>
        <w:t xml:space="preserve"> übersetzt </w:t>
      </w:r>
      <w:r>
        <w:rPr>
          <w:rtl/>
        </w:rPr>
        <w:t>הַהֹלֵךְ עִמָּכֶם</w:t>
      </w:r>
      <w:r>
        <w:t xml:space="preserve"> (der mit euch geht) mit ὁ π</w:t>
      </w:r>
      <w:proofErr w:type="spellStart"/>
      <w:r>
        <w:t>ρο</w:t>
      </w:r>
      <w:proofErr w:type="spellEnd"/>
      <w:r>
        <w:t xml:space="preserve">πορευόμενος </w:t>
      </w:r>
      <w:proofErr w:type="spellStart"/>
      <w:r>
        <w:t>μεθʼ</w:t>
      </w:r>
      <w:proofErr w:type="spellEnd"/>
      <w:r>
        <w:t xml:space="preserve"> </w:t>
      </w:r>
      <w:proofErr w:type="spellStart"/>
      <w:r>
        <w:t>ὑμῶν</w:t>
      </w:r>
      <w:proofErr w:type="spellEnd"/>
      <w:r>
        <w:t xml:space="preserve"> (der vor euch hergeht mit euch) – eine Intensivierung durch das Präfix π</w:t>
      </w:r>
      <w:proofErr w:type="spellStart"/>
      <w:r>
        <w:t>ρο</w:t>
      </w:r>
      <w:proofErr w:type="spellEnd"/>
      <w:r>
        <w:t xml:space="preserve">-, das die Führungsrolle Gottes betont. Das Verb </w:t>
      </w:r>
      <w:proofErr w:type="spellStart"/>
      <w:r>
        <w:t>συνεκ</w:t>
      </w:r>
      <w:proofErr w:type="spellEnd"/>
      <w:r>
        <w:t xml:space="preserve">πολεμῆσαι (mit[euch] hinauszukriegen) für </w:t>
      </w:r>
      <w:r>
        <w:rPr>
          <w:rtl/>
        </w:rPr>
        <w:t>לְהִלָּחֵם לָכֶם</w:t>
      </w:r>
      <w:r>
        <w:t xml:space="preserve"> (für euch zu kämpfen) ist ein zusammengesetztes Verb, das die Solidarität Gottes mit Israel betont.</w:t>
      </w:r>
    </w:p>
    <w:p w14:paraId="5B9595B1" w14:textId="77777777" w:rsidR="00DD2E9B" w:rsidRDefault="00DD2E9B" w:rsidP="00DD2E9B">
      <w:pPr>
        <w:pStyle w:val="whitespace-normal"/>
      </w:pPr>
      <w:r>
        <w:rPr>
          <w:rStyle w:val="Fett"/>
          <w:rFonts w:eastAsiaTheme="majorEastAsia"/>
        </w:rPr>
        <w:t>Die Satzstruktur:</w:t>
      </w:r>
      <w:r>
        <w:t xml:space="preserve"> Kausalsatz mit zwei finalen Infinitiven (denn JHWH, euer Gott, der mitgeht mit euch, um zu kämpfen für euch mit euren Feinden, um zu retten euch).</w:t>
      </w:r>
    </w:p>
    <w:p w14:paraId="149C869D" w14:textId="77777777" w:rsidR="00DD2E9B" w:rsidRDefault="00DD2E9B" w:rsidP="00DD2E9B">
      <w:pPr>
        <w:pStyle w:val="whitespace-normal"/>
      </w:pPr>
      <w:r>
        <w:t>Der Vers begründet: JHWH geht mit euch in die Schlacht, kämpft für euch und rettet euch – darum braucht ihr keine Angst zu haben.</w:t>
      </w:r>
    </w:p>
    <w:p w14:paraId="53E4EA4F" w14:textId="77777777" w:rsidR="00DD2E9B" w:rsidRPr="00DD2E9B" w:rsidRDefault="00DD2E9B" w:rsidP="00DD2E9B">
      <w:pPr>
        <w:pStyle w:val="berschrift1"/>
        <w:rPr>
          <w:rFonts w:ascii="Times New Roman" w:hAnsi="Times New Roman"/>
          <w:color w:val="auto"/>
          <w:sz w:val="36"/>
          <w:szCs w:val="36"/>
        </w:rPr>
      </w:pPr>
      <w:r w:rsidRPr="00DD2E9B">
        <w:rPr>
          <w:rStyle w:val="Fett"/>
          <w:rFonts w:ascii="Times New Roman" w:hAnsi="Times New Roman"/>
          <w:color w:val="auto"/>
          <w:sz w:val="36"/>
          <w:szCs w:val="36"/>
        </w:rPr>
        <w:t>Deuteronomium 20,5</w:t>
      </w:r>
    </w:p>
    <w:p w14:paraId="0FFDB829" w14:textId="77777777" w:rsidR="00DD2E9B" w:rsidRDefault="00DD2E9B" w:rsidP="00DD2E9B">
      <w:pPr>
        <w:pStyle w:val="whitespace-normal"/>
      </w:pPr>
      <w:r>
        <w:rPr>
          <w:rStyle w:val="Fett"/>
          <w:rFonts w:eastAsiaTheme="majorEastAsia"/>
        </w:rPr>
        <w:t>Hebräisch:</w:t>
      </w:r>
      <w:r>
        <w:t xml:space="preserve"> </w:t>
      </w:r>
      <w:r>
        <w:rPr>
          <w:rtl/>
        </w:rPr>
        <w:t>וְדִבְּר֣וּ הַשֹּֽׁטְרִים֮ אֶל־הָעָ֣ם לֵאמֹר֒ מִֽי־הָאִ֞ישׁ אֲשֶׁ֨ר בָּנָ֤ה בַֽיִת־חָדָשׁ֙ וְלֹ֣א חֲנָכֹ֔ו יֵלֵ֖ךְ וְיָשֹׁ֣ב לְבֵיתֹ֑ו פֶּן־יָמוּת֙ בַּמִּלְחָמָ֔ה וְאִ֥ישׁ אַחֵ֖ר יַחְנְכֶֽנּוּ׃</w:t>
      </w:r>
    </w:p>
    <w:p w14:paraId="138EC01C" w14:textId="77777777" w:rsidR="00DD2E9B" w:rsidRDefault="00DD2E9B" w:rsidP="00DD2E9B">
      <w:pPr>
        <w:pStyle w:val="whitespace-normal"/>
      </w:pPr>
      <w:r>
        <w:rPr>
          <w:rStyle w:val="Fett"/>
          <w:rFonts w:eastAsiaTheme="majorEastAsia"/>
        </w:rPr>
        <w:t>Deutsch:</w:t>
      </w:r>
      <w:r>
        <w:t xml:space="preserve"> Und die Vorsteher sollen zum Volk reden und sagen: Wer ist der Mann, der ein neues Haus gebaut und es noch nicht eingeweiht hat? Er gehe und kehre zu seinem Haus zurück, damit er nicht im Krieg sterbe und ein anderer Mann es einweihe.</w:t>
      </w:r>
    </w:p>
    <w:p w14:paraId="666CA306" w14:textId="77777777" w:rsidR="00DD2E9B" w:rsidRDefault="004F5CEB" w:rsidP="00DD2E9B">
      <w:r>
        <w:rPr>
          <w:noProof/>
        </w:rPr>
        <w:pict w14:anchorId="4B4B2477">
          <v:rect id="_x0000_i1557" style="width:0;height:1.5pt" o:hralign="center" o:hrstd="t" o:hr="t" fillcolor="#a0a0a0" stroked="f"/>
        </w:pict>
      </w:r>
    </w:p>
    <w:p w14:paraId="70B70780" w14:textId="77777777" w:rsidR="00DD2E9B" w:rsidRDefault="00DD2E9B" w:rsidP="00DD2E9B">
      <w:pPr>
        <w:pStyle w:val="whitespace-normal"/>
      </w:pPr>
      <w:r>
        <w:rPr>
          <w:rStyle w:val="Fett"/>
          <w:rFonts w:eastAsiaTheme="majorEastAsia"/>
        </w:rPr>
        <w:t>Kommentar:</w:t>
      </w:r>
      <w:r>
        <w:t xml:space="preserve"> </w:t>
      </w:r>
      <w:r>
        <w:rPr>
          <w:rStyle w:val="Fett"/>
          <w:rFonts w:eastAsiaTheme="majorEastAsia"/>
          <w:rtl/>
        </w:rPr>
        <w:t>וְדִבְּרוּ הַשֹּׁטְרִים אֶל־הָעָם לֵאמֹר</w:t>
      </w:r>
      <w:r>
        <w:rPr>
          <w:rtl/>
        </w:rPr>
        <w:t xml:space="preserve"> </w:t>
      </w:r>
      <w:r>
        <w:t xml:space="preserve">ist die Einleitung: </w:t>
      </w:r>
      <w:r>
        <w:rPr>
          <w:rStyle w:val="Fett"/>
          <w:rFonts w:eastAsiaTheme="majorEastAsia"/>
          <w:rtl/>
        </w:rPr>
        <w:t>וְדִבְּרוּ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דבר</w:t>
      </w:r>
      <w:r>
        <w:t xml:space="preserve">, Piel Perfekt, 3. Person Plural, „reden", mit </w:t>
      </w:r>
      <w:r>
        <w:rPr>
          <w:rStyle w:val="Fett"/>
          <w:rFonts w:eastAsiaTheme="majorEastAsia"/>
        </w:rPr>
        <w:t>Waw</w:t>
      </w:r>
      <w:r>
        <w:t xml:space="preserve"> consecutives Perfekt), </w:t>
      </w:r>
      <w:r>
        <w:rPr>
          <w:rStyle w:val="Fett"/>
          <w:rFonts w:eastAsiaTheme="majorEastAsia"/>
          <w:rtl/>
        </w:rPr>
        <w:t>הַשֹּׁטְרִים</w:t>
      </w:r>
      <w:r>
        <w:rPr>
          <w:rtl/>
        </w:rPr>
        <w:t xml:space="preserve"> </w:t>
      </w:r>
      <w:r>
        <w:t>(</w:t>
      </w:r>
      <w:r>
        <w:rPr>
          <w:rStyle w:val="Fett"/>
          <w:rFonts w:eastAsiaTheme="majorEastAsia"/>
          <w:rtl/>
        </w:rPr>
        <w:t>שֹׁטֵר</w:t>
      </w:r>
      <w:r>
        <w:t xml:space="preserve">, „Vorsteher, Aufseher, Beamter", Plural mit Artikel), </w:t>
      </w:r>
      <w:r>
        <w:rPr>
          <w:rStyle w:val="Fett"/>
          <w:rFonts w:eastAsiaTheme="majorEastAsia"/>
          <w:rtl/>
        </w:rPr>
        <w:t>אֶל־הָעָם לֵאמֹר</w:t>
      </w:r>
      <w:r>
        <w:rPr>
          <w:rtl/>
        </w:rPr>
        <w:t xml:space="preserve"> </w:t>
      </w:r>
      <w:r>
        <w:t>(„zum Volk, sagend").</w:t>
      </w:r>
    </w:p>
    <w:p w14:paraId="38A7B00A" w14:textId="77777777" w:rsidR="00DD2E9B" w:rsidRDefault="00DD2E9B" w:rsidP="00DD2E9B">
      <w:pPr>
        <w:pStyle w:val="whitespace-normal"/>
      </w:pPr>
      <w:r>
        <w:rPr>
          <w:rStyle w:val="Fett"/>
          <w:rFonts w:eastAsiaTheme="majorEastAsia"/>
          <w:rtl/>
        </w:rPr>
        <w:t>מִי־הָאִישׁ אֲשֶׁר בָּנָה בַיִת־חָדָשׁ וְלֹא חֲנָכוֹ</w:t>
      </w:r>
      <w:r>
        <w:rPr>
          <w:rtl/>
        </w:rPr>
        <w:t xml:space="preserve"> </w:t>
      </w:r>
      <w:r>
        <w:t xml:space="preserve">ist die rhetorische Frage: </w:t>
      </w:r>
      <w:r>
        <w:rPr>
          <w:rStyle w:val="Fett"/>
          <w:rFonts w:eastAsiaTheme="majorEastAsia"/>
          <w:rtl/>
        </w:rPr>
        <w:t>מִי־הָאִישׁ</w:t>
      </w:r>
      <w:r>
        <w:rPr>
          <w:rtl/>
        </w:rPr>
        <w:t xml:space="preserve"> </w:t>
      </w:r>
      <w:r>
        <w:t>(</w:t>
      </w:r>
      <w:r>
        <w:rPr>
          <w:rStyle w:val="Fett"/>
          <w:rFonts w:eastAsiaTheme="majorEastAsia"/>
          <w:rtl/>
        </w:rPr>
        <w:t>מִי</w:t>
      </w:r>
      <w:r>
        <w:t xml:space="preserve">, „wer", </w:t>
      </w:r>
      <w:r>
        <w:rPr>
          <w:rStyle w:val="Fett"/>
          <w:rFonts w:eastAsiaTheme="majorEastAsia"/>
          <w:rtl/>
        </w:rPr>
        <w:t>אִישׁ</w:t>
      </w:r>
      <w:r>
        <w:t xml:space="preserve">, „Mann", „wer ist der Mann"), </w:t>
      </w:r>
      <w:r>
        <w:rPr>
          <w:rStyle w:val="Fett"/>
          <w:rFonts w:eastAsiaTheme="majorEastAsia"/>
          <w:rtl/>
        </w:rPr>
        <w:t>אֲשֶׁר בָּנָה בַיִת־חָדָשׁ</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בנה</w:t>
      </w:r>
      <w:r>
        <w:t xml:space="preserve">, Qal Perfekt, 3. Person Maskulinum Singular, „bauen", </w:t>
      </w:r>
      <w:r>
        <w:rPr>
          <w:rStyle w:val="Fett"/>
          <w:rFonts w:eastAsiaTheme="majorEastAsia"/>
          <w:rtl/>
        </w:rPr>
        <w:t>בַּיִת</w:t>
      </w:r>
      <w:r>
        <w:t xml:space="preserve">, „Haus", </w:t>
      </w:r>
      <w:r>
        <w:rPr>
          <w:rStyle w:val="Fett"/>
          <w:rFonts w:eastAsiaTheme="majorEastAsia"/>
          <w:rtl/>
        </w:rPr>
        <w:t>חָדָשׁ</w:t>
      </w:r>
      <w:r>
        <w:t xml:space="preserve">, „neu"), </w:t>
      </w:r>
      <w:r>
        <w:rPr>
          <w:rStyle w:val="Fett"/>
          <w:rFonts w:eastAsiaTheme="majorEastAsia"/>
          <w:rtl/>
        </w:rPr>
        <w:t>וְלֹא חֲנָכוֹ</w:t>
      </w:r>
      <w:r>
        <w:rPr>
          <w:rtl/>
        </w:rPr>
        <w:t xml:space="preserve"> </w:t>
      </w:r>
      <w:r>
        <w:t xml:space="preserve">(koordiniert durch </w:t>
      </w:r>
      <w:r>
        <w:rPr>
          <w:rStyle w:val="Fett"/>
          <w:rFonts w:eastAsiaTheme="majorEastAsia"/>
          <w:rtl/>
        </w:rPr>
        <w:t>וְ</w:t>
      </w:r>
      <w:r>
        <w:rPr>
          <w:rtl/>
        </w:rPr>
        <w:t xml:space="preserve"> </w:t>
      </w:r>
      <w:r>
        <w:t xml:space="preserve">mit </w:t>
      </w:r>
      <w:r>
        <w:lastRenderedPageBreak/>
        <w:t xml:space="preserve">Negation und </w:t>
      </w:r>
      <w:r>
        <w:rPr>
          <w:rStyle w:val="Fett"/>
          <w:rFonts w:eastAsiaTheme="majorEastAsia"/>
          <w:rtl/>
        </w:rPr>
        <w:t>חנך</w:t>
      </w:r>
      <w:r>
        <w:t>, Qal Perfekt, 3. Person Maskulinum Singular, „einweihen, in Gebrauch nehmen", mit Suffix 3. Person Maskulinum Singular, „und nicht eingeweiht hat er es").</w:t>
      </w:r>
    </w:p>
    <w:p w14:paraId="141930E6" w14:textId="77777777" w:rsidR="00DD2E9B" w:rsidRDefault="00DD2E9B" w:rsidP="00DD2E9B">
      <w:pPr>
        <w:pStyle w:val="whitespace-normal"/>
      </w:pPr>
      <w:r>
        <w:rPr>
          <w:rStyle w:val="Fett"/>
          <w:rFonts w:eastAsiaTheme="majorEastAsia"/>
          <w:rtl/>
        </w:rPr>
        <w:t>יֵלֵךְ וְיָשֹׁב לְבֵיתוֹ פֶּן־יָמוּת בַּמִּלְחָמָה וְאִישׁ אַחֵר יַחְנְכֶנּוּ</w:t>
      </w:r>
      <w:r>
        <w:rPr>
          <w:rtl/>
        </w:rPr>
        <w:t xml:space="preserve"> </w:t>
      </w:r>
      <w:r>
        <w:t xml:space="preserve">ist die Anweisung mit Begründung: </w:t>
      </w:r>
      <w:r>
        <w:rPr>
          <w:rStyle w:val="Fett"/>
          <w:rFonts w:eastAsiaTheme="majorEastAsia"/>
          <w:rtl/>
        </w:rPr>
        <w:t>יֵלֵךְ וְיָשֹׁב לְבֵיתוֹ</w:t>
      </w:r>
      <w:r>
        <w:rPr>
          <w:rtl/>
        </w:rPr>
        <w:t xml:space="preserve"> </w:t>
      </w:r>
      <w:r>
        <w:t xml:space="preserve">(Qal Jussiv, 3. Person Maskulinum Singular von </w:t>
      </w:r>
      <w:r>
        <w:rPr>
          <w:rStyle w:val="Fett"/>
          <w:rFonts w:eastAsiaTheme="majorEastAsia"/>
          <w:rtl/>
        </w:rPr>
        <w:t>הלך</w:t>
      </w:r>
      <w:r>
        <w:t xml:space="preserve">, „gehen", koordiniert durch </w:t>
      </w:r>
      <w:r>
        <w:rPr>
          <w:rStyle w:val="Fett"/>
          <w:rFonts w:eastAsiaTheme="majorEastAsia"/>
          <w:rtl/>
        </w:rPr>
        <w:t>וְ</w:t>
      </w:r>
      <w:r>
        <w:rPr>
          <w:rtl/>
        </w:rPr>
        <w:t xml:space="preserve"> </w:t>
      </w:r>
      <w:r>
        <w:t xml:space="preserve">mit </w:t>
      </w:r>
      <w:r>
        <w:rPr>
          <w:rStyle w:val="Fett"/>
          <w:rFonts w:eastAsiaTheme="majorEastAsia"/>
          <w:rtl/>
        </w:rPr>
        <w:t>שׁוב</w:t>
      </w:r>
      <w:r>
        <w:t xml:space="preserve">, Qal Jussiv, 3. Person Maskulinum Singular, „zurückkehren", </w:t>
      </w:r>
      <w:r>
        <w:rPr>
          <w:rStyle w:val="Fett"/>
          <w:rFonts w:eastAsiaTheme="majorEastAsia"/>
          <w:rtl/>
        </w:rPr>
        <w:t>לְבֵיתוֹ</w:t>
      </w:r>
      <w:r>
        <w:t xml:space="preserve">, „er gehe und kehre zurück zu seinem Haus"), </w:t>
      </w:r>
      <w:r>
        <w:rPr>
          <w:rStyle w:val="Fett"/>
          <w:rFonts w:eastAsiaTheme="majorEastAsia"/>
          <w:rtl/>
        </w:rPr>
        <w:t>פֶּן־יָמוּת בַּמִּלְחָמָה</w:t>
      </w:r>
      <w:r>
        <w:rPr>
          <w:rtl/>
        </w:rPr>
        <w:t xml:space="preserve"> </w:t>
      </w:r>
      <w:r>
        <w:t xml:space="preserve">(Partikel </w:t>
      </w:r>
      <w:r>
        <w:rPr>
          <w:rStyle w:val="Fett"/>
          <w:rFonts w:eastAsiaTheme="majorEastAsia"/>
          <w:rtl/>
        </w:rPr>
        <w:t>פֶּן</w:t>
      </w:r>
      <w:r>
        <w:t xml:space="preserve">, „damit nicht", </w:t>
      </w:r>
      <w:r>
        <w:rPr>
          <w:rStyle w:val="Fett"/>
          <w:rFonts w:eastAsiaTheme="majorEastAsia"/>
          <w:rtl/>
        </w:rPr>
        <w:t>מות</w:t>
      </w:r>
      <w:r>
        <w:t xml:space="preserve">, Qal Imperfekt, 3. Person Maskulinum Singular, „sterben", </w:t>
      </w:r>
      <w:r>
        <w:rPr>
          <w:rStyle w:val="Fett"/>
          <w:rFonts w:eastAsiaTheme="majorEastAsia"/>
          <w:rtl/>
        </w:rPr>
        <w:t>בַּמִּלְחָמָה</w:t>
      </w:r>
      <w:r>
        <w:t xml:space="preserve">, „im Krieg"), </w:t>
      </w:r>
      <w:r>
        <w:rPr>
          <w:rStyle w:val="Fett"/>
          <w:rFonts w:eastAsiaTheme="majorEastAsia"/>
          <w:rtl/>
        </w:rPr>
        <w:t>וְאִישׁ אַחֵר יַחְנְכֶנּוּ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אִישׁ אַחֵר</w:t>
      </w:r>
      <w:r>
        <w:t xml:space="preserve">, „ein anderer Mann", </w:t>
      </w:r>
      <w:r>
        <w:rPr>
          <w:rStyle w:val="Fett"/>
          <w:rFonts w:eastAsiaTheme="majorEastAsia"/>
          <w:rtl/>
        </w:rPr>
        <w:t>חנך</w:t>
      </w:r>
      <w:r>
        <w:t>, Qal Imperfekt, 3. Person Maskulinum Singular, „einweihen", mit Suffix 3. Person Maskulinum Singular, „und ein anderer Mann weiht es ein").</w:t>
      </w:r>
    </w:p>
    <w:p w14:paraId="2575A30D" w14:textId="77777777" w:rsidR="00DD2E9B" w:rsidRDefault="00DD2E9B" w:rsidP="00DD2E9B">
      <w:pPr>
        <w:pStyle w:val="whitespace-normal"/>
      </w:pPr>
      <w:r>
        <w:t xml:space="preserve">Der Vers leitet einen neuen Abschnitt ein: Freistellung vom Kriegsdienst. Die </w:t>
      </w:r>
      <w:r>
        <w:rPr>
          <w:rStyle w:val="Fett"/>
          <w:rFonts w:eastAsiaTheme="majorEastAsia"/>
          <w:rtl/>
        </w:rPr>
        <w:t>שֹּׁטְרִים</w:t>
      </w:r>
      <w:r>
        <w:rPr>
          <w:rtl/>
        </w:rPr>
        <w:t xml:space="preserve"> </w:t>
      </w:r>
      <w:r>
        <w:t>(„Vorsteher, Beamte") sind zivile Beamte (vgl. 1,15; 16,18; 20,5.8.9; 29,9; 31,28; Jos 1,10; 3,2; 8,33; 23,2; 24,1), nicht der Priester (V. 2-4). Sie verkünden drei Kategorien von Freistellungen (V. 5-7).</w:t>
      </w:r>
    </w:p>
    <w:p w14:paraId="2CFCE5BE" w14:textId="501A2519" w:rsidR="00DD2E9B" w:rsidRDefault="00DD2E9B" w:rsidP="00DD2E9B">
      <w:pPr>
        <w:pStyle w:val="whitespace-normal"/>
      </w:pPr>
      <w:r>
        <w:t xml:space="preserve">Die erste Kategorie: </w:t>
      </w:r>
      <w:r>
        <w:rPr>
          <w:rStyle w:val="Fett"/>
          <w:rFonts w:eastAsiaTheme="majorEastAsia"/>
          <w:rtl/>
        </w:rPr>
        <w:t>בָּנָה בַיִת־חָדָשׁ וְלֹא חֲנָכוֹ</w:t>
      </w:r>
      <w:r>
        <w:rPr>
          <w:rtl/>
        </w:rPr>
        <w:t xml:space="preserve"> </w:t>
      </w:r>
      <w:r>
        <w:t xml:space="preserve">(„hat ein neues Haus gebaut und es nicht eingeweiht"). Das Verb </w:t>
      </w:r>
      <w:r>
        <w:rPr>
          <w:rStyle w:val="Fett"/>
          <w:rFonts w:eastAsiaTheme="majorEastAsia"/>
          <w:rtl/>
        </w:rPr>
        <w:t>חנך</w:t>
      </w:r>
      <w:r>
        <w:rPr>
          <w:rtl/>
        </w:rPr>
        <w:t xml:space="preserve"> </w:t>
      </w:r>
      <w:r>
        <w:t xml:space="preserve">(„einweihen") bedeutet Ingebrauchnahme eines neuen Gebäudes (vgl. </w:t>
      </w:r>
      <w:r w:rsidR="00664EB6">
        <w:t>1Kön</w:t>
      </w:r>
      <w:r>
        <w:t xml:space="preserve"> 8,63; </w:t>
      </w:r>
      <w:r w:rsidR="00664EB6">
        <w:t>2Chr</w:t>
      </w:r>
      <w:r>
        <w:t xml:space="preserve"> 7,5; Neh 12,27; Ps 30,1[Überschrift]). Die Begründung: </w:t>
      </w:r>
      <w:r>
        <w:rPr>
          <w:rStyle w:val="Fett"/>
          <w:rFonts w:eastAsiaTheme="majorEastAsia"/>
          <w:rtl/>
        </w:rPr>
        <w:t>פֶּן־יָמוּת בַּמִּלְחָמָה וְאִישׁ אַחֵר יַחְנְכֶנּוּ</w:t>
      </w:r>
      <w:r>
        <w:rPr>
          <w:rtl/>
        </w:rPr>
        <w:t xml:space="preserve"> </w:t>
      </w:r>
      <w:r>
        <w:t>(„damit er nicht im Krieg sterbe und ein anderer Mann es einweihe") – es wäre tragisch, wenn er stirbt, bevor er sein neues Haus genießen kann.</w:t>
      </w:r>
    </w:p>
    <w:p w14:paraId="26D504CB" w14:textId="694FB130" w:rsidR="00734E2E" w:rsidRDefault="00734E2E" w:rsidP="00DD2E9B">
      <w:pPr>
        <w:pStyle w:val="whitespace-normal"/>
      </w:pPr>
      <w:r>
        <w:rPr>
          <w:rStyle w:val="Fett"/>
        </w:rPr>
        <w:t>Die LXX</w:t>
      </w:r>
      <w:r>
        <w:t xml:space="preserve"> übersetzt </w:t>
      </w:r>
      <w:r>
        <w:rPr>
          <w:rtl/>
        </w:rPr>
        <w:t>הַשֹּׁטְרִים</w:t>
      </w:r>
      <w:r>
        <w:t xml:space="preserve"> (die Aufseher/Beamten) mit </w:t>
      </w:r>
      <w:proofErr w:type="spellStart"/>
      <w:r>
        <w:t>οἱ</w:t>
      </w:r>
      <w:proofErr w:type="spellEnd"/>
      <w:r>
        <w:t xml:space="preserve"> </w:t>
      </w:r>
      <w:proofErr w:type="spellStart"/>
      <w:r>
        <w:t>γρ</w:t>
      </w:r>
      <w:proofErr w:type="spellEnd"/>
      <w:r>
        <w:t xml:space="preserve">αμματεῖς (die Schreiber) – wie bereits in 16,18, eine charakteristische LXX-Wiedergabe dieses Amtstitels. Das Verb </w:t>
      </w:r>
      <w:proofErr w:type="spellStart"/>
      <w:r>
        <w:t>ἐνεκ</w:t>
      </w:r>
      <w:proofErr w:type="spellEnd"/>
      <w:r>
        <w:t xml:space="preserve">αίνισεν (einweihen) und </w:t>
      </w:r>
      <w:proofErr w:type="spellStart"/>
      <w:r>
        <w:t>ἐγκ</w:t>
      </w:r>
      <w:proofErr w:type="spellEnd"/>
      <w:r>
        <w:t xml:space="preserve">αινιεῖ (wird einweihen) für </w:t>
      </w:r>
      <w:r>
        <w:rPr>
          <w:rtl/>
        </w:rPr>
        <w:t>חֲנָכוֹ</w:t>
      </w:r>
      <w:r>
        <w:t xml:space="preserve"> und </w:t>
      </w:r>
      <w:r>
        <w:rPr>
          <w:rtl/>
        </w:rPr>
        <w:t>יַחְנְכֶנּוּ</w:t>
      </w:r>
      <w:r>
        <w:t xml:space="preserve"> sind präzise Entsprechungen für die Hauseinweihung.</w:t>
      </w:r>
    </w:p>
    <w:p w14:paraId="7D067074" w14:textId="77777777" w:rsidR="00DD2E9B" w:rsidRDefault="00DD2E9B" w:rsidP="00DD2E9B">
      <w:pPr>
        <w:pStyle w:val="whitespace-normal"/>
      </w:pPr>
      <w:r>
        <w:rPr>
          <w:rStyle w:val="Fett"/>
          <w:rFonts w:eastAsiaTheme="majorEastAsia"/>
        </w:rPr>
        <w:t>Die Satzstruktur:</w:t>
      </w:r>
      <w:r>
        <w:t xml:space="preserve"> Einleitung, rhetorische Frage, Anweisung mit Begründung (reden sollen die Vorsteher zum Volk, sagend: Wer ist der Mann, der gebaut hat ein neues Haus und nicht eingeweiht hat es? Gehen soll er und zurückkehren zu seinem Haus, damit nicht stirbt er im Krieg und ein anderer Mann weiht es ein).</w:t>
      </w:r>
    </w:p>
    <w:p w14:paraId="7B150873" w14:textId="77777777" w:rsidR="00DD2E9B" w:rsidRDefault="00DD2E9B" w:rsidP="00DD2E9B">
      <w:pPr>
        <w:pStyle w:val="whitespace-normal"/>
      </w:pPr>
      <w:r>
        <w:t>Der Vers befreit vom Kriegsdienst: Wer ein neues Haus gebaut, aber noch nicht eingeweiht hat, soll heimkehren – damit nicht ein anderer die Früchte seiner Arbeit genießt.</w:t>
      </w:r>
    </w:p>
    <w:p w14:paraId="01D964A2" w14:textId="77777777" w:rsidR="00C21CEF" w:rsidRPr="00C21CEF" w:rsidRDefault="00C21CEF" w:rsidP="00C21CEF">
      <w:pPr>
        <w:pStyle w:val="berschrift1"/>
        <w:rPr>
          <w:rFonts w:ascii="Times New Roman" w:hAnsi="Times New Roman"/>
          <w:color w:val="auto"/>
          <w:sz w:val="36"/>
          <w:szCs w:val="36"/>
        </w:rPr>
      </w:pPr>
      <w:r w:rsidRPr="00C21CEF">
        <w:rPr>
          <w:rStyle w:val="Fett"/>
          <w:rFonts w:ascii="Times New Roman" w:hAnsi="Times New Roman"/>
          <w:color w:val="auto"/>
          <w:sz w:val="36"/>
          <w:szCs w:val="36"/>
        </w:rPr>
        <w:t>Deuteronomium 20,6</w:t>
      </w:r>
    </w:p>
    <w:p w14:paraId="0BF63C59" w14:textId="77777777" w:rsidR="00C21CEF" w:rsidRDefault="00C21CEF" w:rsidP="00C21CEF">
      <w:pPr>
        <w:pStyle w:val="whitespace-normal"/>
      </w:pPr>
      <w:r>
        <w:rPr>
          <w:rStyle w:val="Fett"/>
          <w:rFonts w:eastAsiaTheme="majorEastAsia"/>
        </w:rPr>
        <w:t>Hebräisch:</w:t>
      </w:r>
      <w:r>
        <w:t xml:space="preserve"> </w:t>
      </w:r>
      <w:r>
        <w:rPr>
          <w:rtl/>
        </w:rPr>
        <w:t>וּמִֽי־הָאִ֞ישׁ אֲשֶׁר־נָטַ֥ע כֶּ֨רֶם֙ וְלֹ֣א חִלְּלֹ֔ו יֵלֵ֖ךְ וְיָשֹׁ֣ב לְבֵיתֹ֑ו פֶּן־יָמוּת֙ בַּמִּלְחָמָ֔ה וְאִ֥ישׁ אַחֵ֖ר יְחַלְּלֶֽנּוּ׃</w:t>
      </w:r>
    </w:p>
    <w:p w14:paraId="0075DD3B" w14:textId="77777777" w:rsidR="00C21CEF" w:rsidRDefault="00C21CEF" w:rsidP="00C21CEF">
      <w:pPr>
        <w:pStyle w:val="whitespace-normal"/>
      </w:pPr>
      <w:r>
        <w:rPr>
          <w:rStyle w:val="Fett"/>
          <w:rFonts w:eastAsiaTheme="majorEastAsia"/>
        </w:rPr>
        <w:t>Deutsch:</w:t>
      </w:r>
      <w:r>
        <w:t xml:space="preserve"> Und wer ist der Mann, der einen Weinberg gepflanzt und ihn noch nicht genutzt hat? Er gehe und kehre zu seinem Haus zurück, damit er nicht im Krieg sterbe und ein anderer Mann ihn nutze.</w:t>
      </w:r>
    </w:p>
    <w:p w14:paraId="44B4E210" w14:textId="77777777" w:rsidR="00C21CEF" w:rsidRDefault="004F5CEB" w:rsidP="00C21CEF">
      <w:r>
        <w:rPr>
          <w:noProof/>
        </w:rPr>
        <w:pict w14:anchorId="721531C5">
          <v:rect id="_x0000_i1558" style="width:0;height:1.5pt" o:hralign="center" o:hrstd="t" o:hr="t" fillcolor="#a0a0a0" stroked="f"/>
        </w:pict>
      </w:r>
    </w:p>
    <w:p w14:paraId="6A514EE4" w14:textId="77777777" w:rsidR="00C21CEF" w:rsidRDefault="00C21CEF" w:rsidP="00C21CEF">
      <w:pPr>
        <w:pStyle w:val="whitespace-normal"/>
      </w:pPr>
      <w:r>
        <w:rPr>
          <w:rStyle w:val="Fett"/>
          <w:rFonts w:eastAsiaTheme="majorEastAsia"/>
        </w:rPr>
        <w:lastRenderedPageBreak/>
        <w:t>Kommentar:</w:t>
      </w:r>
      <w:r>
        <w:t xml:space="preserve"> </w:t>
      </w:r>
      <w:r>
        <w:rPr>
          <w:rStyle w:val="Fett"/>
          <w:rFonts w:eastAsiaTheme="majorEastAsia"/>
          <w:rtl/>
        </w:rPr>
        <w:t>וּמִי־הָאִישׁ אֲשֶׁר־נָטַע כֶּרֶם וְלֹא חִלְּלוֹ</w:t>
      </w:r>
      <w:r>
        <w:rPr>
          <w:rtl/>
        </w:rPr>
        <w:t xml:space="preserve"> </w:t>
      </w:r>
      <w:r>
        <w:t xml:space="preserve">ist die zweite rhetorische Frage: </w:t>
      </w:r>
      <w:r>
        <w:rPr>
          <w:rStyle w:val="Fett"/>
          <w:rFonts w:eastAsiaTheme="majorEastAsia"/>
          <w:rtl/>
        </w:rPr>
        <w:t>וּמִי־הָאִישׁ</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מִי־הָאִישׁ</w:t>
      </w:r>
      <w:r>
        <w:t xml:space="preserve">, „und wer ist der Mann"), </w:t>
      </w:r>
      <w:r>
        <w:rPr>
          <w:rStyle w:val="Fett"/>
          <w:rFonts w:eastAsiaTheme="majorEastAsia"/>
          <w:rtl/>
        </w:rPr>
        <w:t>אֲשֶׁר־נָטַע כֶּרֶם</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נטע</w:t>
      </w:r>
      <w:r>
        <w:t xml:space="preserve">, Qal Perfekt, 3. Person Maskulinum Singular, „pflanzen", </w:t>
      </w:r>
      <w:r>
        <w:rPr>
          <w:rStyle w:val="Fett"/>
          <w:rFonts w:eastAsiaTheme="majorEastAsia"/>
          <w:rtl/>
        </w:rPr>
        <w:t>כֶּרֶם</w:t>
      </w:r>
      <w:r>
        <w:t xml:space="preserve">, „Weinberg"), </w:t>
      </w:r>
      <w:r>
        <w:rPr>
          <w:rStyle w:val="Fett"/>
          <w:rFonts w:eastAsiaTheme="majorEastAsia"/>
          <w:rtl/>
        </w:rPr>
        <w:t>וְלֹא חִלְּלוֹ</w:t>
      </w:r>
      <w:r>
        <w:rPr>
          <w:rtl/>
        </w:rPr>
        <w:t xml:space="preserve"> </w:t>
      </w:r>
      <w:r>
        <w:t xml:space="preserve">(koordiniert durch </w:t>
      </w:r>
      <w:r>
        <w:rPr>
          <w:rStyle w:val="Fett"/>
          <w:rFonts w:eastAsiaTheme="majorEastAsia"/>
          <w:rtl/>
        </w:rPr>
        <w:t>וְ</w:t>
      </w:r>
      <w:r>
        <w:rPr>
          <w:rtl/>
        </w:rPr>
        <w:t xml:space="preserve"> </w:t>
      </w:r>
      <w:r>
        <w:t xml:space="preserve">mit Negation und </w:t>
      </w:r>
      <w:r>
        <w:rPr>
          <w:rStyle w:val="Fett"/>
          <w:rFonts w:eastAsiaTheme="majorEastAsia"/>
          <w:rtl/>
        </w:rPr>
        <w:t>חלל</w:t>
      </w:r>
      <w:r>
        <w:t>, Piel Perfekt, 3. Person Maskulinum Singular, „entweihen, entheiligen", aber hier in spezieller Bedeutung: „in Gebrauch nehmen, profanen Gebrauch machen von", mit Suffix 3. Person Maskulinum Singular, „und nicht genutzt hat er ihn").</w:t>
      </w:r>
    </w:p>
    <w:p w14:paraId="4C4C5F63" w14:textId="77777777" w:rsidR="00C21CEF" w:rsidRDefault="00C21CEF" w:rsidP="00C21CEF">
      <w:pPr>
        <w:pStyle w:val="whitespace-normal"/>
      </w:pPr>
      <w:r>
        <w:rPr>
          <w:rStyle w:val="Fett"/>
          <w:rFonts w:eastAsiaTheme="majorEastAsia"/>
          <w:rtl/>
        </w:rPr>
        <w:t>יֵלֵךְ וְיָשֹׁב לְבֵיתוֹ פֶּן־יָמוּת בַּמִּלְחָמָה וְאִישׁ אַחֵר יְחַלְּלֶנּוּ</w:t>
      </w:r>
      <w:r>
        <w:rPr>
          <w:rtl/>
        </w:rPr>
        <w:t xml:space="preserve"> </w:t>
      </w:r>
      <w:r>
        <w:t xml:space="preserve">ist identisch strukturiert wie V. 5, nur mit </w:t>
      </w:r>
      <w:r>
        <w:rPr>
          <w:rStyle w:val="Fett"/>
          <w:rFonts w:eastAsiaTheme="majorEastAsia"/>
          <w:rtl/>
        </w:rPr>
        <w:t>יְחַלְּלֶנּוּ</w:t>
      </w:r>
      <w:r>
        <w:rPr>
          <w:rtl/>
        </w:rPr>
        <w:t xml:space="preserve"> </w:t>
      </w:r>
      <w:r>
        <w:t xml:space="preserve">(Piel Imperfekt, 3. Person Maskulinum Singular von </w:t>
      </w:r>
      <w:r>
        <w:rPr>
          <w:rStyle w:val="Fett"/>
          <w:rFonts w:eastAsiaTheme="majorEastAsia"/>
          <w:rtl/>
        </w:rPr>
        <w:t>חלל</w:t>
      </w:r>
      <w:r>
        <w:t>, „nutzen", mit Suffix 3. Person Maskulinum Singular) am Ende.</w:t>
      </w:r>
    </w:p>
    <w:p w14:paraId="28F43BA6" w14:textId="34AF0723" w:rsidR="00C21CEF" w:rsidRDefault="00C21CEF" w:rsidP="00C21CEF">
      <w:pPr>
        <w:pStyle w:val="whitespace-normal"/>
      </w:pPr>
      <w:r>
        <w:t xml:space="preserve">Der Vers gibt die zweite Freistellungskategorie: </w:t>
      </w:r>
      <w:r>
        <w:rPr>
          <w:rStyle w:val="Fett"/>
          <w:rFonts w:eastAsiaTheme="majorEastAsia"/>
          <w:rtl/>
        </w:rPr>
        <w:t>נָטַע כֶּרֶם וְלֹא חִלְּלוֹ</w:t>
      </w:r>
      <w:r>
        <w:rPr>
          <w:rtl/>
        </w:rPr>
        <w:t xml:space="preserve"> </w:t>
      </w:r>
      <w:r>
        <w:t xml:space="preserve">(„einen Weinberg gepflanzt und ihn nicht genutzt"). Das Verb </w:t>
      </w:r>
      <w:r>
        <w:rPr>
          <w:rStyle w:val="Fett"/>
          <w:rFonts w:eastAsiaTheme="majorEastAsia"/>
          <w:rtl/>
        </w:rPr>
        <w:t>חלל</w:t>
      </w:r>
      <w:r>
        <w:rPr>
          <w:rtl/>
        </w:rPr>
        <w:t xml:space="preserve"> </w:t>
      </w:r>
      <w:r>
        <w:t xml:space="preserve">im Piel hat hier eine spezielle Bedeutung: „in profanen/gewöhnlichen Gebrauch nehmen". Der Hintergrund: Gemäß </w:t>
      </w:r>
      <w:r w:rsidR="00664EB6">
        <w:t>Lev</w:t>
      </w:r>
      <w:r>
        <w:t xml:space="preserve"> 19,23-25 waren die Früchte eines neu gepflanzten Baumes/Weinbergs die ersten drei Jahre verboten (</w:t>
      </w:r>
      <w:r>
        <w:rPr>
          <w:rStyle w:val="Fett"/>
          <w:rFonts w:eastAsiaTheme="majorEastAsia"/>
          <w:rtl/>
        </w:rPr>
        <w:t>עֲרֵלִים</w:t>
      </w:r>
      <w:r>
        <w:t xml:space="preserve">, „unbeschnitten"), im vierten Jahr JHWH geweiht, erst ab dem fünften Jahr durfte der Besitzer sie essen. </w:t>
      </w:r>
      <w:r>
        <w:rPr>
          <w:rStyle w:val="Fett"/>
          <w:rFonts w:eastAsiaTheme="majorEastAsia"/>
          <w:rtl/>
        </w:rPr>
        <w:t>חִלְּלוֹ</w:t>
      </w:r>
      <w:r>
        <w:rPr>
          <w:rtl/>
        </w:rPr>
        <w:t xml:space="preserve"> </w:t>
      </w:r>
      <w:r>
        <w:t>bedeutet hier: „die erste erlaubte Ernte genommen" (vgl. Jer 31,5).</w:t>
      </w:r>
    </w:p>
    <w:p w14:paraId="3CA10B3F" w14:textId="20769909" w:rsidR="00C21CEF" w:rsidRDefault="00C21CEF" w:rsidP="00C21CEF">
      <w:pPr>
        <w:pStyle w:val="whitespace-normal"/>
      </w:pPr>
      <w:r>
        <w:t xml:space="preserve">Die Parallele zu V. 5: Auch hier wäre es tragisch, wenn der Mann stirbt, bevor er die Frucht seiner jahrelangen Arbeit (Weinberg braucht Jahre bis zur ersten Ernte) genießen kann. Die Begründung </w:t>
      </w:r>
      <w:r>
        <w:rPr>
          <w:rStyle w:val="Fett"/>
          <w:rFonts w:eastAsiaTheme="majorEastAsia"/>
          <w:rtl/>
        </w:rPr>
        <w:t>פֶּן־יָמוּת בַּמִּלְחָמָה וְאִישׁ אַחֵר יְחַלְּלֶנּוּ</w:t>
      </w:r>
      <w:r>
        <w:rPr>
          <w:rtl/>
        </w:rPr>
        <w:t xml:space="preserve"> </w:t>
      </w:r>
      <w:r>
        <w:t>(„damit nicht stirbt er im Krieg und ein anderer Mann nutzt ihn") zeigt die gleiche Logik.</w:t>
      </w:r>
    </w:p>
    <w:p w14:paraId="00D9AF76" w14:textId="0063FB43" w:rsidR="00734E2E" w:rsidRDefault="00734E2E" w:rsidP="00C21CEF">
      <w:pPr>
        <w:pStyle w:val="whitespace-normal"/>
      </w:pPr>
      <w:r>
        <w:rPr>
          <w:rStyle w:val="Fett"/>
        </w:rPr>
        <w:t>Die LXX</w:t>
      </w:r>
      <w:r>
        <w:t xml:space="preserve"> übersetzt </w:t>
      </w:r>
      <w:r>
        <w:rPr>
          <w:rtl/>
        </w:rPr>
        <w:t>וְלֹא חִלְּלוֹ</w:t>
      </w:r>
      <w:r>
        <w:t xml:space="preserve"> (und es nicht in Gebrauch genommen hat) mit καὶ </w:t>
      </w:r>
      <w:proofErr w:type="spellStart"/>
      <w:r>
        <w:t>οὐκ</w:t>
      </w:r>
      <w:proofErr w:type="spellEnd"/>
      <w:r>
        <w:t xml:space="preserve"> </w:t>
      </w:r>
      <w:proofErr w:type="spellStart"/>
      <w:r>
        <w:t>εὐφράνθη</w:t>
      </w:r>
      <w:proofErr w:type="spellEnd"/>
      <w:r>
        <w:t xml:space="preserve"> </w:t>
      </w:r>
      <w:proofErr w:type="spellStart"/>
      <w:r>
        <w:t>ἐξ</w:t>
      </w:r>
      <w:proofErr w:type="spellEnd"/>
      <w:r>
        <w:t xml:space="preserve"> α</w:t>
      </w:r>
      <w:proofErr w:type="spellStart"/>
      <w:r>
        <w:t>ὐτοῦ</w:t>
      </w:r>
      <w:proofErr w:type="spellEnd"/>
      <w:r>
        <w:t xml:space="preserve"> (und sich nicht daran erfreut hat) – eine interpretierende Übersetzung, die das technische </w:t>
      </w:r>
      <w:r>
        <w:rPr>
          <w:rtl/>
        </w:rPr>
        <w:t>חלל</w:t>
      </w:r>
      <w:r>
        <w:t xml:space="preserve"> (profanieren, in gewöhnlichen Gebrauch nehmen) mit dem emotionalen </w:t>
      </w:r>
      <w:proofErr w:type="spellStart"/>
      <w:r>
        <w:t>εὐφρ</w:t>
      </w:r>
      <w:proofErr w:type="spellEnd"/>
      <w:r>
        <w:t>αίνομαι (sich freuen) wiedergibt. Dies ist eine signifikante semantische Verschiebung.</w:t>
      </w:r>
    </w:p>
    <w:p w14:paraId="093955B8" w14:textId="77777777" w:rsidR="00C21CEF" w:rsidRDefault="00C21CEF" w:rsidP="00C21CEF">
      <w:pPr>
        <w:pStyle w:val="whitespace-normal"/>
      </w:pPr>
      <w:r>
        <w:rPr>
          <w:rStyle w:val="Fett"/>
          <w:rFonts w:eastAsiaTheme="majorEastAsia"/>
        </w:rPr>
        <w:t>Die Satzstruktur:</w:t>
      </w:r>
      <w:r>
        <w:t xml:space="preserve"> Rhetorische Frage mit Anweisung und Begründung (und wer ist der Mann, der gepflanzt hat einen Weinberg und nicht genutzt hat ihn? Gehen soll er und zurückkehren zu seinem Haus, damit nicht stirbt er im Krieg und ein anderer Mann nutzt ihn).</w:t>
      </w:r>
    </w:p>
    <w:p w14:paraId="779A218C" w14:textId="77777777" w:rsidR="00C21CEF" w:rsidRDefault="00C21CEF" w:rsidP="00C21CEF">
      <w:pPr>
        <w:pStyle w:val="whitespace-normal"/>
      </w:pPr>
      <w:r>
        <w:t>Der Vers befreit: Wer einen Weinberg gepflanzt, aber noch nicht die erste Ernte genossen hat, soll heimkehren – damit nicht ein anderer die Früchte erntet.</w:t>
      </w:r>
    </w:p>
    <w:p w14:paraId="6F05F06B" w14:textId="77777777" w:rsidR="00C21CEF" w:rsidRPr="00C21CEF" w:rsidRDefault="00C21CEF" w:rsidP="00C21CEF">
      <w:pPr>
        <w:pStyle w:val="berschrift1"/>
        <w:rPr>
          <w:rFonts w:ascii="Times New Roman" w:hAnsi="Times New Roman"/>
          <w:color w:val="auto"/>
          <w:sz w:val="36"/>
          <w:szCs w:val="36"/>
        </w:rPr>
      </w:pPr>
      <w:r w:rsidRPr="00C21CEF">
        <w:rPr>
          <w:rStyle w:val="Fett"/>
          <w:rFonts w:ascii="Times New Roman" w:hAnsi="Times New Roman"/>
          <w:color w:val="auto"/>
          <w:sz w:val="36"/>
          <w:szCs w:val="36"/>
        </w:rPr>
        <w:t>Deuteronomium 20,7</w:t>
      </w:r>
    </w:p>
    <w:p w14:paraId="51E51CC0" w14:textId="77777777" w:rsidR="00C21CEF" w:rsidRDefault="00C21CEF" w:rsidP="00C21CEF">
      <w:pPr>
        <w:pStyle w:val="whitespace-normal"/>
      </w:pPr>
      <w:r>
        <w:rPr>
          <w:rStyle w:val="Fett"/>
          <w:rFonts w:eastAsiaTheme="majorEastAsia"/>
        </w:rPr>
        <w:t>Hebräisch:</w:t>
      </w:r>
      <w:r>
        <w:t xml:space="preserve"> </w:t>
      </w:r>
      <w:r>
        <w:rPr>
          <w:rtl/>
        </w:rPr>
        <w:t>וּמִֽי־הָאִ֞ישׁ אֲשֶׁר־אֵרַ֤שׂ אִשָּׁה֙ וְלֹ֣א לְקָחָ֔הּ יֵלֵ֖ךְ וְיָשֹׁ֣ב לְבֵיתֹ֑ו פֶּן־יָמוּת֙ בַּמִּלְחָמָ֔ה וְאִ֥ישׁ אַחֵ֖ר יִקָּחֶֽנָּה׃</w:t>
      </w:r>
    </w:p>
    <w:p w14:paraId="5D8CD088" w14:textId="77777777" w:rsidR="00C21CEF" w:rsidRDefault="00C21CEF" w:rsidP="00C21CEF">
      <w:pPr>
        <w:pStyle w:val="whitespace-normal"/>
      </w:pPr>
      <w:r>
        <w:rPr>
          <w:rStyle w:val="Fett"/>
          <w:rFonts w:eastAsiaTheme="majorEastAsia"/>
        </w:rPr>
        <w:t>Deutsch:</w:t>
      </w:r>
      <w:r>
        <w:t xml:space="preserve"> Und wer ist der Mann, der sich mit einer Frau verlobt und sie noch nicht genommen hat? Er gehe und kehre zu seinem Haus zurück, damit er nicht im Krieg sterbe und ein anderer Mann sie nehme.</w:t>
      </w:r>
    </w:p>
    <w:p w14:paraId="7E28E8FD" w14:textId="77777777" w:rsidR="00C21CEF" w:rsidRDefault="004F5CEB" w:rsidP="00C21CEF">
      <w:r>
        <w:rPr>
          <w:noProof/>
        </w:rPr>
        <w:pict w14:anchorId="322345A8">
          <v:rect id="_x0000_i1559" style="width:0;height:1.5pt" o:hralign="center" o:hrstd="t" o:hr="t" fillcolor="#a0a0a0" stroked="f"/>
        </w:pict>
      </w:r>
    </w:p>
    <w:p w14:paraId="027F2E38" w14:textId="77777777" w:rsidR="00C21CEF" w:rsidRDefault="00C21CEF" w:rsidP="00C21CEF">
      <w:pPr>
        <w:pStyle w:val="whitespace-normal"/>
      </w:pPr>
      <w:r>
        <w:rPr>
          <w:rStyle w:val="Fett"/>
          <w:rFonts w:eastAsiaTheme="majorEastAsia"/>
        </w:rPr>
        <w:lastRenderedPageBreak/>
        <w:t>Kommentar:</w:t>
      </w:r>
      <w:r>
        <w:t xml:space="preserve"> </w:t>
      </w:r>
      <w:r>
        <w:rPr>
          <w:rStyle w:val="Fett"/>
          <w:rFonts w:eastAsiaTheme="majorEastAsia"/>
          <w:rtl/>
        </w:rPr>
        <w:t>וּמִי־הָאִישׁ אֲשֶׁר־אֵרַשׂ אִשָּׁה וְלֹא לְקָחָהּ</w:t>
      </w:r>
      <w:r>
        <w:rPr>
          <w:rtl/>
        </w:rPr>
        <w:t xml:space="preserve"> </w:t>
      </w:r>
      <w:r>
        <w:t xml:space="preserve">ist die dritte rhetorische Frage: </w:t>
      </w:r>
      <w:r>
        <w:rPr>
          <w:rStyle w:val="Fett"/>
          <w:rFonts w:eastAsiaTheme="majorEastAsia"/>
          <w:rtl/>
        </w:rPr>
        <w:t>וּמִי־הָאִישׁ</w:t>
      </w:r>
      <w:r>
        <w:rPr>
          <w:rtl/>
        </w:rPr>
        <w:t xml:space="preserve"> </w:t>
      </w:r>
      <w:r>
        <w:t xml:space="preserve">(koordiniert durch </w:t>
      </w:r>
      <w:r>
        <w:rPr>
          <w:rStyle w:val="Fett"/>
          <w:rFonts w:eastAsiaTheme="majorEastAsia"/>
          <w:rtl/>
        </w:rPr>
        <w:t>וּ</w:t>
      </w:r>
      <w:r>
        <w:t xml:space="preserve">, „und wer ist der Mann"), </w:t>
      </w:r>
      <w:r>
        <w:rPr>
          <w:rStyle w:val="Fett"/>
          <w:rFonts w:eastAsiaTheme="majorEastAsia"/>
          <w:rtl/>
        </w:rPr>
        <w:t>אֲשֶׁר־אֵרַשׂ אִשָּׁה</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ארשׂ</w:t>
      </w:r>
      <w:r>
        <w:t xml:space="preserve">, Piel Perfekt, 3. Person Maskulinum Singular, „verloben, sich verloben mit", </w:t>
      </w:r>
      <w:r>
        <w:rPr>
          <w:rStyle w:val="Fett"/>
          <w:rFonts w:eastAsiaTheme="majorEastAsia"/>
          <w:rtl/>
        </w:rPr>
        <w:t>אִשָּׁה</w:t>
      </w:r>
      <w:r>
        <w:t xml:space="preserve">, „Frau"), </w:t>
      </w:r>
      <w:r>
        <w:rPr>
          <w:rStyle w:val="Fett"/>
          <w:rFonts w:eastAsiaTheme="majorEastAsia"/>
          <w:rtl/>
        </w:rPr>
        <w:t>וְלֹא לְקָחָהּ</w:t>
      </w:r>
      <w:r>
        <w:rPr>
          <w:rtl/>
        </w:rPr>
        <w:t xml:space="preserve"> </w:t>
      </w:r>
      <w:r>
        <w:t xml:space="preserve">(koordiniert durch </w:t>
      </w:r>
      <w:r>
        <w:rPr>
          <w:rStyle w:val="Fett"/>
          <w:rFonts w:eastAsiaTheme="majorEastAsia"/>
          <w:rtl/>
        </w:rPr>
        <w:t>וְ</w:t>
      </w:r>
      <w:r>
        <w:rPr>
          <w:rtl/>
        </w:rPr>
        <w:t xml:space="preserve"> </w:t>
      </w:r>
      <w:r>
        <w:t xml:space="preserve">mit Negation und </w:t>
      </w:r>
      <w:r>
        <w:rPr>
          <w:rStyle w:val="Fett"/>
          <w:rFonts w:eastAsiaTheme="majorEastAsia"/>
          <w:rtl/>
        </w:rPr>
        <w:t>לקח</w:t>
      </w:r>
      <w:r>
        <w:t>, Qal Perfekt, 3. Person Maskulinum Singular, „nehmen", mit Suffix 3. Person Femininum Singular, „und nicht genommen hat er sie" = geheiratet).</w:t>
      </w:r>
    </w:p>
    <w:p w14:paraId="641CDB01" w14:textId="77777777" w:rsidR="00C21CEF" w:rsidRDefault="00C21CEF" w:rsidP="00C21CEF">
      <w:pPr>
        <w:pStyle w:val="whitespace-normal"/>
      </w:pPr>
      <w:r>
        <w:rPr>
          <w:rStyle w:val="Fett"/>
          <w:rFonts w:eastAsiaTheme="majorEastAsia"/>
          <w:rtl/>
        </w:rPr>
        <w:t>יֵלֵךְ וְיָשֹׁב לְבֵיתוֹ פֶּן־יָמוּת בַּמִּלְחָמָה וְאִישׁ אַחֵר יִקָּחֶנָּה</w:t>
      </w:r>
      <w:r>
        <w:rPr>
          <w:rtl/>
        </w:rPr>
        <w:t xml:space="preserve"> </w:t>
      </w:r>
      <w:r>
        <w:t xml:space="preserve">ist wieder parallel strukturiert, mit </w:t>
      </w:r>
      <w:r>
        <w:rPr>
          <w:rStyle w:val="Fett"/>
          <w:rFonts w:eastAsiaTheme="majorEastAsia"/>
          <w:rtl/>
        </w:rPr>
        <w:t>יִקָּחֶנָּה</w:t>
      </w:r>
      <w:r>
        <w:rPr>
          <w:rtl/>
        </w:rPr>
        <w:t xml:space="preserve"> </w:t>
      </w:r>
      <w:r>
        <w:t xml:space="preserve">(Qal Imperfekt, 3. Person Maskulinum Singular von </w:t>
      </w:r>
      <w:r>
        <w:rPr>
          <w:rStyle w:val="Fett"/>
          <w:rFonts w:eastAsiaTheme="majorEastAsia"/>
          <w:rtl/>
        </w:rPr>
        <w:t>לקח</w:t>
      </w:r>
      <w:r>
        <w:t>, „nehmen", mit Suffix 3. Person Femininum Singular und Paragogischem Heh) am Ende.</w:t>
      </w:r>
    </w:p>
    <w:p w14:paraId="420AAC34" w14:textId="77777777" w:rsidR="00C21CEF" w:rsidRDefault="00C21CEF" w:rsidP="00C21CEF">
      <w:pPr>
        <w:pStyle w:val="whitespace-normal"/>
      </w:pPr>
      <w:r>
        <w:t xml:space="preserve">Der Vers gibt die dritte Freistellungskategorie: </w:t>
      </w:r>
      <w:r>
        <w:rPr>
          <w:rStyle w:val="Fett"/>
          <w:rFonts w:eastAsiaTheme="majorEastAsia"/>
          <w:rtl/>
        </w:rPr>
        <w:t>אֵרַשׂ אִשָּׁה וְלֹא לְקָחָהּ</w:t>
      </w:r>
      <w:r>
        <w:rPr>
          <w:rtl/>
        </w:rPr>
        <w:t xml:space="preserve"> </w:t>
      </w:r>
      <w:r>
        <w:t xml:space="preserve">(„sich mit einer Frau verlobt und sie nicht genommen/geheiratet"). Die altisraelitische Ehe bestand aus zwei Stufen: (1) </w:t>
      </w:r>
      <w:r>
        <w:rPr>
          <w:rStyle w:val="Fett"/>
          <w:rFonts w:eastAsiaTheme="majorEastAsia"/>
          <w:rtl/>
        </w:rPr>
        <w:t>אֵרוּשִׂין</w:t>
      </w:r>
      <w:r>
        <w:rPr>
          <w:rtl/>
        </w:rPr>
        <w:t xml:space="preserve"> </w:t>
      </w:r>
      <w:r>
        <w:t xml:space="preserve">(„Verlobung") – rechtlich bindender Vertrag, aber das Paar lebt noch nicht zusammen, (2) </w:t>
      </w:r>
      <w:r>
        <w:rPr>
          <w:rStyle w:val="Fett"/>
          <w:rFonts w:eastAsiaTheme="majorEastAsia"/>
          <w:rtl/>
        </w:rPr>
        <w:t>נִשּׂוּאִין</w:t>
      </w:r>
      <w:r>
        <w:rPr>
          <w:rtl/>
        </w:rPr>
        <w:t xml:space="preserve"> </w:t>
      </w:r>
      <w:r>
        <w:t>(„Heirat") – die Braut wird ins Haus des Bräutigams geführt (</w:t>
      </w:r>
      <w:r>
        <w:rPr>
          <w:rStyle w:val="Fett"/>
          <w:rFonts w:eastAsiaTheme="majorEastAsia"/>
          <w:rtl/>
        </w:rPr>
        <w:t>לָקַח</w:t>
      </w:r>
      <w:r>
        <w:t>, „nehmen"), und die Ehe wird vollzogen (vgl. Gen 24,67; Dtn 22,13-29; Mt 1,18-25).</w:t>
      </w:r>
    </w:p>
    <w:p w14:paraId="2E7D1485" w14:textId="77777777" w:rsidR="00C21CEF" w:rsidRDefault="00C21CEF" w:rsidP="00C21CEF">
      <w:pPr>
        <w:pStyle w:val="whitespace-normal"/>
      </w:pPr>
      <w:r>
        <w:t xml:space="preserve">Die Verlobungszeit konnte ein Jahr dauern (vgl. Dtn 24,5). Der Verlobte war rechtlich wie ein Ehemann (Ehebruch mit einer Verlobten = Todesstrafe, 22,23-24), aber die Ehe war noch nicht vollzogen. Die Begründung </w:t>
      </w:r>
      <w:r>
        <w:rPr>
          <w:rStyle w:val="Fett"/>
          <w:rFonts w:eastAsiaTheme="majorEastAsia"/>
          <w:rtl/>
        </w:rPr>
        <w:t>פֶּן־יָמוּת בַּמִּלְחָמָה וְאִישׁ אַחֵר יִקָּחֶנָּה</w:t>
      </w:r>
      <w:r>
        <w:rPr>
          <w:rtl/>
        </w:rPr>
        <w:t xml:space="preserve"> </w:t>
      </w:r>
      <w:r>
        <w:t>(„damit nicht stirbt er im Krieg und ein anderer Mann nimmt/heiratet sie") zeigt die gleiche Logik: Es wäre tragisch, wenn er stirbt, bevor er seine Verlobte heimführen und die Ehe vollziehen kann.</w:t>
      </w:r>
    </w:p>
    <w:p w14:paraId="0F88ECB0" w14:textId="77777777" w:rsidR="00C21CEF" w:rsidRDefault="00C21CEF" w:rsidP="00C21CEF">
      <w:pPr>
        <w:pStyle w:val="whitespace-normal"/>
      </w:pPr>
      <w:r>
        <w:t>Diese Regelung wird in 24,5 erweitert: Der Neuvermählte ist das ganze erste Ehejahr vom Kriegsdienst befreit.</w:t>
      </w:r>
    </w:p>
    <w:p w14:paraId="12ECE286" w14:textId="77777777" w:rsidR="00C21CEF" w:rsidRDefault="00C21CEF" w:rsidP="00C21CEF">
      <w:pPr>
        <w:pStyle w:val="whitespace-normal"/>
      </w:pPr>
      <w:r>
        <w:rPr>
          <w:rStyle w:val="Fett"/>
          <w:rFonts w:eastAsiaTheme="majorEastAsia"/>
        </w:rPr>
        <w:t>Die Satzstruktur:</w:t>
      </w:r>
      <w:r>
        <w:t xml:space="preserve"> Rhetorische Frage mit Anweisung und Begründung (und wer ist der Mann, der verlobt hat eine Frau und nicht genommen hat sie? Gehen soll er und zurückkehren zu seinem Haus, damit nicht stirbt er im Krieg und ein anderer Mann nimmt sie).</w:t>
      </w:r>
    </w:p>
    <w:p w14:paraId="24BAE634" w14:textId="77777777" w:rsidR="00C21CEF" w:rsidRDefault="00C21CEF" w:rsidP="00C21CEF">
      <w:pPr>
        <w:pStyle w:val="whitespace-normal"/>
      </w:pPr>
      <w:r>
        <w:t>Der Vers befreit: Wer sich verlobt, aber noch nicht geheiratet hat, soll heimkehren – damit nicht ein anderer seine Verlobte heiratet.</w:t>
      </w:r>
    </w:p>
    <w:p w14:paraId="311E2339" w14:textId="77777777" w:rsidR="00C21CEF" w:rsidRPr="00C21CEF" w:rsidRDefault="00C21CEF" w:rsidP="00C21CEF">
      <w:pPr>
        <w:pStyle w:val="berschrift1"/>
        <w:rPr>
          <w:rFonts w:ascii="Times New Roman" w:hAnsi="Times New Roman"/>
          <w:color w:val="auto"/>
          <w:sz w:val="36"/>
          <w:szCs w:val="36"/>
        </w:rPr>
      </w:pPr>
      <w:r w:rsidRPr="00C21CEF">
        <w:rPr>
          <w:rStyle w:val="Fett"/>
          <w:rFonts w:ascii="Times New Roman" w:hAnsi="Times New Roman"/>
          <w:color w:val="auto"/>
          <w:sz w:val="36"/>
          <w:szCs w:val="36"/>
        </w:rPr>
        <w:t>Deuteronomium 20,8</w:t>
      </w:r>
    </w:p>
    <w:p w14:paraId="6C39FC60" w14:textId="77777777" w:rsidR="00C21CEF" w:rsidRDefault="00C21CEF" w:rsidP="00C21CEF">
      <w:pPr>
        <w:pStyle w:val="whitespace-normal"/>
      </w:pPr>
      <w:r>
        <w:rPr>
          <w:rStyle w:val="Fett"/>
          <w:rFonts w:eastAsiaTheme="majorEastAsia"/>
        </w:rPr>
        <w:t>Hebräisch:</w:t>
      </w:r>
      <w:r>
        <w:t xml:space="preserve"> </w:t>
      </w:r>
      <w:r>
        <w:rPr>
          <w:rtl/>
        </w:rPr>
        <w:t>וְיָסְפ֣וּ הַשֹּׁטְרִים֮ לְדַבֵּ֣ר אֶל־הָעָם֒ וְאָמְר֗וּ מִי־הָאִ֤ישׁ הַיָּרֵא֙ וְרַ֣ךְ הַלֵּבָ֔ב יֵלֵ֖ךְ וְיָשֹׁ֣ב לְבֵיתֹ֑ו וְלֹ֥א יִמַּ֛ס אֶת־לְבַ֥ב אֶחָ֖יו כִּלְבָבֹֽו׃</w:t>
      </w:r>
    </w:p>
    <w:p w14:paraId="0793D156" w14:textId="77777777" w:rsidR="00C21CEF" w:rsidRDefault="00C21CEF" w:rsidP="00C21CEF">
      <w:pPr>
        <w:pStyle w:val="whitespace-normal"/>
      </w:pPr>
      <w:r>
        <w:rPr>
          <w:rStyle w:val="Fett"/>
          <w:rFonts w:eastAsiaTheme="majorEastAsia"/>
        </w:rPr>
        <w:t>Deutsch:</w:t>
      </w:r>
      <w:r>
        <w:t xml:space="preserve"> Und die Vorsteher sollen weiter zum Volk reden und sagen: Wer ist der Mann, der sich fürchtet und verzagten Herzens ist? Er gehe und kehre zu seinem Haus zurück, damit nicht das Herz seiner Brüder verzagt werde wie sein Herz.</w:t>
      </w:r>
    </w:p>
    <w:p w14:paraId="4CD2776E" w14:textId="77777777" w:rsidR="00C21CEF" w:rsidRDefault="004F5CEB" w:rsidP="00C21CEF">
      <w:r>
        <w:rPr>
          <w:noProof/>
        </w:rPr>
        <w:pict w14:anchorId="0E3417E0">
          <v:rect id="_x0000_i1560" style="width:0;height:1.5pt" o:hralign="center" o:hrstd="t" o:hr="t" fillcolor="#a0a0a0" stroked="f"/>
        </w:pict>
      </w:r>
    </w:p>
    <w:p w14:paraId="413C90BA" w14:textId="77777777" w:rsidR="00C21CEF" w:rsidRDefault="00C21CEF" w:rsidP="00C21CEF">
      <w:pPr>
        <w:pStyle w:val="whitespace-normal"/>
      </w:pPr>
      <w:r>
        <w:rPr>
          <w:rStyle w:val="Fett"/>
          <w:rFonts w:eastAsiaTheme="majorEastAsia"/>
        </w:rPr>
        <w:t>Kommentar:</w:t>
      </w:r>
      <w:r>
        <w:t xml:space="preserve"> </w:t>
      </w:r>
      <w:r>
        <w:rPr>
          <w:rStyle w:val="Fett"/>
          <w:rFonts w:eastAsiaTheme="majorEastAsia"/>
          <w:rtl/>
        </w:rPr>
        <w:t>וְיָסְפוּ הַשֹּׁטְרִים לְדַבֵּר אֶל־הָעָם וְאָמְרוּ</w:t>
      </w:r>
      <w:r>
        <w:rPr>
          <w:rtl/>
        </w:rPr>
        <w:t xml:space="preserve"> </w:t>
      </w:r>
      <w:r>
        <w:t xml:space="preserve">ist die Einleitung: </w:t>
      </w:r>
      <w:r>
        <w:rPr>
          <w:rStyle w:val="Fett"/>
          <w:rFonts w:eastAsiaTheme="majorEastAsia"/>
          <w:rtl/>
        </w:rPr>
        <w:t>וְיָסְפוּ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יסף</w:t>
      </w:r>
      <w:r>
        <w:t xml:space="preserve">, Qal Perfekt, 3. Person Plural, „hinzufügen, fortfahren, weitermachen", mit </w:t>
      </w:r>
      <w:r>
        <w:rPr>
          <w:rStyle w:val="Fett"/>
          <w:rFonts w:eastAsiaTheme="majorEastAsia"/>
        </w:rPr>
        <w:t>Waw</w:t>
      </w:r>
      <w:r>
        <w:t xml:space="preserve"> consecutives Perfekt), </w:t>
      </w:r>
      <w:r>
        <w:rPr>
          <w:rStyle w:val="Fett"/>
          <w:rFonts w:eastAsiaTheme="majorEastAsia"/>
          <w:rtl/>
        </w:rPr>
        <w:t>הַשֹּׁטְרִים</w:t>
      </w:r>
      <w:r>
        <w:rPr>
          <w:rtl/>
        </w:rPr>
        <w:t xml:space="preserve"> </w:t>
      </w:r>
      <w:r>
        <w:t>(</w:t>
      </w:r>
      <w:r>
        <w:rPr>
          <w:rStyle w:val="Fett"/>
          <w:rFonts w:eastAsiaTheme="majorEastAsia"/>
          <w:rtl/>
        </w:rPr>
        <w:t>שֹׁטֵר</w:t>
      </w:r>
      <w:r>
        <w:t xml:space="preserve">, Plural mit Artikel), </w:t>
      </w:r>
      <w:r>
        <w:rPr>
          <w:rStyle w:val="Fett"/>
          <w:rFonts w:eastAsiaTheme="majorEastAsia"/>
          <w:rtl/>
        </w:rPr>
        <w:t>לְדַבֵּר אֶל־הָעָם</w:t>
      </w:r>
      <w:r>
        <w:rPr>
          <w:rtl/>
        </w:rPr>
        <w:t xml:space="preserve"> </w:t>
      </w:r>
      <w:r>
        <w:t xml:space="preserve">(Präposition </w:t>
      </w:r>
      <w:r>
        <w:rPr>
          <w:rStyle w:val="Fett"/>
          <w:rFonts w:eastAsiaTheme="majorEastAsia"/>
          <w:rtl/>
        </w:rPr>
        <w:t>לְ</w:t>
      </w:r>
      <w:r>
        <w:rPr>
          <w:rtl/>
        </w:rPr>
        <w:t xml:space="preserve"> </w:t>
      </w:r>
      <w:r>
        <w:t xml:space="preserve">mit Piel </w:t>
      </w:r>
      <w:r>
        <w:lastRenderedPageBreak/>
        <w:t xml:space="preserve">Infinitiv Construct von </w:t>
      </w:r>
      <w:r>
        <w:rPr>
          <w:rStyle w:val="Fett"/>
          <w:rFonts w:eastAsiaTheme="majorEastAsia"/>
          <w:rtl/>
        </w:rPr>
        <w:t>דבר</w:t>
      </w:r>
      <w:r>
        <w:t xml:space="preserve">, „reden", </w:t>
      </w:r>
      <w:r>
        <w:rPr>
          <w:rStyle w:val="Fett"/>
          <w:rFonts w:eastAsiaTheme="majorEastAsia"/>
          <w:rtl/>
        </w:rPr>
        <w:t>אֶל־הָעָם</w:t>
      </w:r>
      <w:r>
        <w:t xml:space="preserve">), </w:t>
      </w:r>
      <w:r>
        <w:rPr>
          <w:rStyle w:val="Fett"/>
          <w:rFonts w:eastAsiaTheme="majorEastAsia"/>
          <w:rtl/>
        </w:rPr>
        <w:t>וְאָמְרוּ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אמר</w:t>
      </w:r>
      <w:r>
        <w:t xml:space="preserve">, Qal Perfekt, 3. Person Plural, „sagen", mit </w:t>
      </w:r>
      <w:r>
        <w:rPr>
          <w:rStyle w:val="Fett"/>
          <w:rFonts w:eastAsiaTheme="majorEastAsia"/>
        </w:rPr>
        <w:t>Waw</w:t>
      </w:r>
      <w:r>
        <w:t xml:space="preserve"> consecutives Perfekt, „weiter reden sollen die Vorsteher zum Volk und sagen").</w:t>
      </w:r>
    </w:p>
    <w:p w14:paraId="4B88FA46" w14:textId="77777777" w:rsidR="00C21CEF" w:rsidRDefault="00C21CEF" w:rsidP="00C21CEF">
      <w:pPr>
        <w:pStyle w:val="whitespace-normal"/>
      </w:pPr>
      <w:r>
        <w:rPr>
          <w:rStyle w:val="Fett"/>
          <w:rFonts w:eastAsiaTheme="majorEastAsia"/>
          <w:rtl/>
        </w:rPr>
        <w:t>מִי־הָאִישׁ הַיָּרֵא וְרַךְ הַלֵּבָב יֵלֵךְ וְיָשֹׁב לְבֵיתוֹ</w:t>
      </w:r>
      <w:r>
        <w:rPr>
          <w:rtl/>
        </w:rPr>
        <w:t xml:space="preserve"> </w:t>
      </w:r>
      <w:r>
        <w:t xml:space="preserve">ist die vierte Freistellung: </w:t>
      </w:r>
      <w:r>
        <w:rPr>
          <w:rStyle w:val="Fett"/>
          <w:rFonts w:eastAsiaTheme="majorEastAsia"/>
          <w:rtl/>
        </w:rPr>
        <w:t>מִי־הָאִישׁ הַיָּרֵא וְרַךְ הַלֵּבָב</w:t>
      </w:r>
      <w:r>
        <w:rPr>
          <w:rtl/>
        </w:rPr>
        <w:t xml:space="preserve"> </w:t>
      </w:r>
      <w:r>
        <w:t>(</w:t>
      </w:r>
      <w:r>
        <w:rPr>
          <w:rStyle w:val="Fett"/>
          <w:rFonts w:eastAsiaTheme="majorEastAsia"/>
          <w:rtl/>
        </w:rPr>
        <w:t>מִי־הָאִישׁ</w:t>
      </w:r>
      <w:r>
        <w:t xml:space="preserve">, „wer ist der Mann", </w:t>
      </w:r>
      <w:r>
        <w:rPr>
          <w:rStyle w:val="Fett"/>
          <w:rFonts w:eastAsiaTheme="majorEastAsia"/>
          <w:rtl/>
        </w:rPr>
        <w:t>יָרֵא</w:t>
      </w:r>
      <w:r>
        <w:t xml:space="preserve">, Qal Partizip von </w:t>
      </w:r>
      <w:r>
        <w:rPr>
          <w:rStyle w:val="Fett"/>
          <w:rFonts w:eastAsiaTheme="majorEastAsia"/>
          <w:rtl/>
        </w:rPr>
        <w:t>ירא</w:t>
      </w:r>
      <w:r>
        <w:t xml:space="preserve">, „sich fürchten", mit Artikel, „der Furchtsame", koordiniert durch </w:t>
      </w:r>
      <w:r>
        <w:rPr>
          <w:rStyle w:val="Fett"/>
          <w:rFonts w:eastAsiaTheme="majorEastAsia"/>
          <w:rtl/>
        </w:rPr>
        <w:t>וְ</w:t>
      </w:r>
      <w:r>
        <w:rPr>
          <w:rtl/>
        </w:rPr>
        <w:t xml:space="preserve"> </w:t>
      </w:r>
      <w:r>
        <w:t xml:space="preserve">mit </w:t>
      </w:r>
      <w:r>
        <w:rPr>
          <w:rStyle w:val="Fett"/>
          <w:rFonts w:eastAsiaTheme="majorEastAsia"/>
          <w:rtl/>
        </w:rPr>
        <w:t>רַךְ</w:t>
      </w:r>
      <w:r>
        <w:t xml:space="preserve">, Adjektiv, „weich, zart, verzagt", </w:t>
      </w:r>
      <w:r>
        <w:rPr>
          <w:rStyle w:val="Fett"/>
          <w:rFonts w:eastAsiaTheme="majorEastAsia"/>
          <w:rtl/>
        </w:rPr>
        <w:t>לֵבָב</w:t>
      </w:r>
      <w:r>
        <w:t xml:space="preserve">, „Herz", mit Artikel, „und weichen/verzagten Herzens"), </w:t>
      </w:r>
      <w:r>
        <w:rPr>
          <w:rStyle w:val="Fett"/>
          <w:rFonts w:eastAsiaTheme="majorEastAsia"/>
          <w:rtl/>
        </w:rPr>
        <w:t>יֵלֵךְ וְיָשֹׁב לְבֵיתוֹ</w:t>
      </w:r>
      <w:r>
        <w:rPr>
          <w:rtl/>
        </w:rPr>
        <w:t xml:space="preserve"> </w:t>
      </w:r>
      <w:r>
        <w:t>(wie V. 5-7).</w:t>
      </w:r>
    </w:p>
    <w:p w14:paraId="60F62CF0" w14:textId="77777777" w:rsidR="00C21CEF" w:rsidRDefault="00C21CEF" w:rsidP="00C21CEF">
      <w:pPr>
        <w:pStyle w:val="whitespace-normal"/>
      </w:pPr>
      <w:r>
        <w:rPr>
          <w:rStyle w:val="Fett"/>
          <w:rFonts w:eastAsiaTheme="majorEastAsia"/>
          <w:rtl/>
        </w:rPr>
        <w:t>וְלֹא יִמַּס אֶת־לְבַב אֶחָיו כִּלְבָבוֹ</w:t>
      </w:r>
      <w:r>
        <w:rPr>
          <w:rtl/>
        </w:rPr>
        <w:t xml:space="preserve"> </w:t>
      </w:r>
      <w:r>
        <w:t xml:space="preserve">ist die Begründung: </w:t>
      </w:r>
      <w:r>
        <w:rPr>
          <w:rStyle w:val="Fett"/>
          <w:rFonts w:eastAsiaTheme="majorEastAsia"/>
          <w:rtl/>
        </w:rPr>
        <w:t>וְלֹא יִמַּס</w:t>
      </w:r>
      <w:r>
        <w:rPr>
          <w:rtl/>
        </w:rPr>
        <w:t xml:space="preserve"> </w:t>
      </w:r>
      <w:r>
        <w:t xml:space="preserve">(koordiniert durch </w:t>
      </w:r>
      <w:r>
        <w:rPr>
          <w:rStyle w:val="Fett"/>
          <w:rFonts w:eastAsiaTheme="majorEastAsia"/>
          <w:rtl/>
        </w:rPr>
        <w:t>וְ</w:t>
      </w:r>
      <w:r>
        <w:rPr>
          <w:rtl/>
        </w:rPr>
        <w:t xml:space="preserve"> </w:t>
      </w:r>
      <w:r>
        <w:t xml:space="preserve">mit Negation und </w:t>
      </w:r>
      <w:r>
        <w:rPr>
          <w:rStyle w:val="Fett"/>
          <w:rFonts w:eastAsiaTheme="majorEastAsia"/>
          <w:rtl/>
        </w:rPr>
        <w:t>מסס</w:t>
      </w:r>
      <w:r>
        <w:t xml:space="preserve">, Niphal Imperfekt, 3. Person Maskulinum Singular, „zergehen, schmelzen, verzagen", „damit nicht verzagt/schmilzt"), </w:t>
      </w:r>
      <w:r>
        <w:rPr>
          <w:rStyle w:val="Fett"/>
          <w:rFonts w:eastAsiaTheme="majorEastAsia"/>
          <w:rtl/>
        </w:rPr>
        <w:t>אֶת־לְבַב אֶחָיו</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לֵבָב</w:t>
      </w:r>
      <w:r>
        <w:t xml:space="preserve">, „Herz", Construct mit </w:t>
      </w:r>
      <w:r>
        <w:rPr>
          <w:rStyle w:val="Fett"/>
          <w:rFonts w:eastAsiaTheme="majorEastAsia"/>
          <w:rtl/>
        </w:rPr>
        <w:t>אָח</w:t>
      </w:r>
      <w:r>
        <w:t xml:space="preserve">, „Bruder", Plural mit Suffix 3. Person Maskulinum Singular, „das Herz seiner Brüder"), </w:t>
      </w:r>
      <w:r>
        <w:rPr>
          <w:rStyle w:val="Fett"/>
          <w:rFonts w:eastAsiaTheme="majorEastAsia"/>
          <w:rtl/>
        </w:rPr>
        <w:t>כִּלְבָבוֹ</w:t>
      </w:r>
      <w:r>
        <w:rPr>
          <w:rtl/>
        </w:rPr>
        <w:t xml:space="preserve"> </w:t>
      </w:r>
      <w:r>
        <w:t xml:space="preserve">(Präposition </w:t>
      </w:r>
      <w:r>
        <w:rPr>
          <w:rStyle w:val="Fett"/>
          <w:rFonts w:eastAsiaTheme="majorEastAsia"/>
          <w:rtl/>
        </w:rPr>
        <w:t>כְּ</w:t>
      </w:r>
      <w:r>
        <w:t xml:space="preserve">, „wie", mit </w:t>
      </w:r>
      <w:r>
        <w:rPr>
          <w:rStyle w:val="Fett"/>
          <w:rFonts w:eastAsiaTheme="majorEastAsia"/>
          <w:rtl/>
        </w:rPr>
        <w:t>לֵבָב</w:t>
      </w:r>
      <w:r>
        <w:rPr>
          <w:rtl/>
        </w:rPr>
        <w:t xml:space="preserve"> </w:t>
      </w:r>
      <w:r>
        <w:t>mit Suffix 3. Person Maskulinum Singular, „wie sein Herz").</w:t>
      </w:r>
    </w:p>
    <w:p w14:paraId="5F26E766" w14:textId="77777777" w:rsidR="00C21CEF" w:rsidRDefault="00C21CEF" w:rsidP="00C21CEF">
      <w:pPr>
        <w:pStyle w:val="whitespace-normal"/>
      </w:pPr>
      <w:r>
        <w:t xml:space="preserve">Der Vers gibt die vierte und letzte Freistellungskategorie: </w:t>
      </w:r>
      <w:r>
        <w:rPr>
          <w:rStyle w:val="Fett"/>
          <w:rFonts w:eastAsiaTheme="majorEastAsia"/>
          <w:rtl/>
        </w:rPr>
        <w:t>הַיָּרֵא וְרַךְ הַלֵּבָב</w:t>
      </w:r>
      <w:r>
        <w:rPr>
          <w:rtl/>
        </w:rPr>
        <w:t xml:space="preserve"> </w:t>
      </w:r>
      <w:r>
        <w:t xml:space="preserve">(„der Furchtsame und Verzagte"). Im Gegensatz zu V. 5-7 (äußere Umstände) ist dies eine innere, psychologische Disqualifikation. Die doppelte Beschreibung </w:t>
      </w:r>
      <w:r>
        <w:rPr>
          <w:rStyle w:val="Fett"/>
          <w:rFonts w:eastAsiaTheme="majorEastAsia"/>
          <w:rtl/>
        </w:rPr>
        <w:t>הַיָּרֵא</w:t>
      </w:r>
      <w:r>
        <w:rPr>
          <w:rtl/>
        </w:rPr>
        <w:t xml:space="preserve"> </w:t>
      </w:r>
      <w:r>
        <w:t xml:space="preserve">(„der Furchtsame") und </w:t>
      </w:r>
      <w:r>
        <w:rPr>
          <w:rStyle w:val="Fett"/>
          <w:rFonts w:eastAsiaTheme="majorEastAsia"/>
          <w:rtl/>
        </w:rPr>
        <w:t>רַךְ הַלֵּבָב</w:t>
      </w:r>
      <w:r>
        <w:rPr>
          <w:rtl/>
        </w:rPr>
        <w:t xml:space="preserve"> </w:t>
      </w:r>
      <w:r>
        <w:t>(„weichen Herzens") betont die Feigheit.</w:t>
      </w:r>
    </w:p>
    <w:p w14:paraId="728829B0" w14:textId="77777777" w:rsidR="00C21CEF" w:rsidRDefault="00C21CEF" w:rsidP="00C21CEF">
      <w:pPr>
        <w:pStyle w:val="whitespace-normal"/>
      </w:pPr>
      <w:r>
        <w:t xml:space="preserve">Die Begründung ist anders als V. 5-7: Nicht das persönliche Schicksal des Einzelnen, sondern die Auswirkung auf andere – </w:t>
      </w:r>
      <w:r>
        <w:rPr>
          <w:rStyle w:val="Fett"/>
          <w:rFonts w:eastAsiaTheme="majorEastAsia"/>
          <w:rtl/>
        </w:rPr>
        <w:t>וְלֹא יִמַּס אֶת־לְבַב אֶחָיו כִּלְבָבוֹ</w:t>
      </w:r>
      <w:r>
        <w:rPr>
          <w:rtl/>
        </w:rPr>
        <w:t xml:space="preserve"> </w:t>
      </w:r>
      <w:r>
        <w:t>(„damit nicht das Herz seiner Brüder verzagt wie sein Herz"). Furcht ist ansteckend (vgl. Num 13,31-33; 14,1-4; Jos 2,9-11; 7,5; Ri 7,3). Ein Feigling demoralisiert die anderen Soldaten.</w:t>
      </w:r>
    </w:p>
    <w:p w14:paraId="6CB44BE2" w14:textId="40502393" w:rsidR="00C21CEF" w:rsidRDefault="00C21CEF" w:rsidP="00C21CEF">
      <w:pPr>
        <w:pStyle w:val="whitespace-normal"/>
      </w:pPr>
      <w:r>
        <w:t xml:space="preserve">Die Formulierung </w:t>
      </w:r>
      <w:r>
        <w:rPr>
          <w:rStyle w:val="Fett"/>
          <w:rFonts w:eastAsiaTheme="majorEastAsia"/>
          <w:rtl/>
        </w:rPr>
        <w:t>יִמַּס אֶת־לְבַב</w:t>
      </w:r>
      <w:r>
        <w:rPr>
          <w:rtl/>
        </w:rPr>
        <w:t xml:space="preserve"> </w:t>
      </w:r>
      <w:r>
        <w:t xml:space="preserve">(„das Herz schmilzt/verzagt") ist idiomatisch für Mut verlieren (vgl. Ex 15,15; Dtn 1,28; 20,8; Jos 2,11.24; 5,1; 7,5; 14,8; </w:t>
      </w:r>
      <w:r w:rsidR="00664EB6">
        <w:t>2Sam</w:t>
      </w:r>
      <w:r>
        <w:t xml:space="preserve"> 17,10; Jes 13,7; 19,1; </w:t>
      </w:r>
      <w:r w:rsidR="00BF3748">
        <w:t>Hes</w:t>
      </w:r>
      <w:r>
        <w:t xml:space="preserve"> 21,12; Nah 2,11; Ps 22,15; 107,26).</w:t>
      </w:r>
    </w:p>
    <w:p w14:paraId="5449837E" w14:textId="39BB6E0F" w:rsidR="00734E2E" w:rsidRDefault="00734E2E" w:rsidP="00C21CEF">
      <w:pPr>
        <w:pStyle w:val="whitespace-normal"/>
      </w:pPr>
      <w:r>
        <w:rPr>
          <w:rStyle w:val="Fett"/>
        </w:rPr>
        <w:t>Die LXX</w:t>
      </w:r>
      <w:r>
        <w:t xml:space="preserve"> übersetzt </w:t>
      </w:r>
      <w:r>
        <w:rPr>
          <w:rtl/>
        </w:rPr>
        <w:t>הַיָּרֵא וְרַךְ הַלֵּבָב</w:t>
      </w:r>
      <w:r>
        <w:t xml:space="preserve"> (der Furchtsame und Weichherzige) mit ὁ </w:t>
      </w:r>
      <w:proofErr w:type="spellStart"/>
      <w:r>
        <w:t>φο</w:t>
      </w:r>
      <w:proofErr w:type="spellEnd"/>
      <w:r>
        <w:t xml:space="preserve">βούμενος καὶ </w:t>
      </w:r>
      <w:proofErr w:type="spellStart"/>
      <w:r>
        <w:t>δειλὸς</w:t>
      </w:r>
      <w:proofErr w:type="spellEnd"/>
      <w:r>
        <w:t xml:space="preserve"> </w:t>
      </w:r>
      <w:proofErr w:type="spellStart"/>
      <w:r>
        <w:t>τῇ</w:t>
      </w:r>
      <w:proofErr w:type="spellEnd"/>
      <w:r>
        <w:t xml:space="preserve"> κα</w:t>
      </w:r>
      <w:proofErr w:type="spellStart"/>
      <w:r>
        <w:t>ρδίᾳ</w:t>
      </w:r>
      <w:proofErr w:type="spellEnd"/>
      <w:r>
        <w:t xml:space="preserve"> (der sich Fürchtende und Feige im Herzen) – wobei </w:t>
      </w:r>
      <w:proofErr w:type="spellStart"/>
      <w:r>
        <w:t>δειλός</w:t>
      </w:r>
      <w:proofErr w:type="spellEnd"/>
      <w:r>
        <w:t xml:space="preserve"> einen stärkeren negativen Ton der Feigheit hat. Das Verb </w:t>
      </w:r>
      <w:proofErr w:type="spellStart"/>
      <w:r>
        <w:t>δειλιάνῃ</w:t>
      </w:r>
      <w:proofErr w:type="spellEnd"/>
      <w:r>
        <w:t xml:space="preserve"> (feige machen) für </w:t>
      </w:r>
      <w:r>
        <w:rPr>
          <w:rtl/>
        </w:rPr>
        <w:t>יִמַּס</w:t>
      </w:r>
      <w:r>
        <w:t xml:space="preserve"> (schmelzen lassen, entmutigen) ist eine interpretierende Wiedergabe.</w:t>
      </w:r>
    </w:p>
    <w:p w14:paraId="5BCFFC2F" w14:textId="77777777" w:rsidR="00C21CEF" w:rsidRDefault="00C21CEF" w:rsidP="00C21CEF">
      <w:pPr>
        <w:pStyle w:val="whitespace-normal"/>
      </w:pPr>
      <w:r>
        <w:rPr>
          <w:rStyle w:val="Fett"/>
          <w:rFonts w:eastAsiaTheme="majorEastAsia"/>
        </w:rPr>
        <w:t>Die Satzstruktur:</w:t>
      </w:r>
      <w:r>
        <w:t xml:space="preserve"> Einleitung, rhetorische Frage mit Anweisung und Begründung (weiter reden sollen die Vorsteher zum Volk und sagen: Wer ist der Mann, der furchtsam und weichen Herzens? Gehen soll er und zurückkehren zu seinem Haus, damit nicht verzagt das Herz seiner Brüder wie sein Herz).</w:t>
      </w:r>
    </w:p>
    <w:p w14:paraId="550A843E" w14:textId="77777777" w:rsidR="00C21CEF" w:rsidRDefault="00C21CEF" w:rsidP="00C21CEF">
      <w:pPr>
        <w:pStyle w:val="whitespace-normal"/>
      </w:pPr>
      <w:r>
        <w:t>Der Vers befreit: Wer ängstlich und verzagt ist, soll heimkehren – damit er nicht die anderen Soldaten demoralisiert.</w:t>
      </w:r>
    </w:p>
    <w:p w14:paraId="0F803151" w14:textId="77777777" w:rsidR="00C21CEF" w:rsidRPr="00C21CEF" w:rsidRDefault="00C21CEF" w:rsidP="00C21CEF">
      <w:pPr>
        <w:pStyle w:val="berschrift1"/>
        <w:rPr>
          <w:rFonts w:ascii="Times New Roman" w:hAnsi="Times New Roman"/>
          <w:color w:val="auto"/>
          <w:sz w:val="36"/>
          <w:szCs w:val="36"/>
        </w:rPr>
      </w:pPr>
      <w:r w:rsidRPr="00C21CEF">
        <w:rPr>
          <w:rStyle w:val="Fett"/>
          <w:rFonts w:ascii="Times New Roman" w:hAnsi="Times New Roman"/>
          <w:color w:val="auto"/>
          <w:sz w:val="36"/>
          <w:szCs w:val="36"/>
        </w:rPr>
        <w:t>Deuteronomium 20,9</w:t>
      </w:r>
    </w:p>
    <w:p w14:paraId="43F0AE64" w14:textId="77777777" w:rsidR="00C21CEF" w:rsidRDefault="00C21CEF" w:rsidP="00C21CEF">
      <w:pPr>
        <w:pStyle w:val="whitespace-normal"/>
      </w:pPr>
      <w:r>
        <w:rPr>
          <w:rStyle w:val="Fett"/>
          <w:rFonts w:eastAsiaTheme="majorEastAsia"/>
        </w:rPr>
        <w:t>Hebräisch:</w:t>
      </w:r>
      <w:r>
        <w:t xml:space="preserve"> </w:t>
      </w:r>
      <w:r>
        <w:rPr>
          <w:rtl/>
        </w:rPr>
        <w:t>וְהָיָ֛ה כְּכַלֹּ֥ת הַשֹּׁטְרִ֖ים לְדַבֵּ֣ר אֶל־הָעָ֑ם וּפָ֥קְדוּ שָׂרֵ֥י צְבָא֖וֹת בְּרֹ֥אשׁ הָעָֽם׃</w:t>
      </w:r>
    </w:p>
    <w:p w14:paraId="035F147D" w14:textId="77777777" w:rsidR="00C21CEF" w:rsidRDefault="00C21CEF" w:rsidP="00C21CEF">
      <w:pPr>
        <w:pStyle w:val="whitespace-normal"/>
      </w:pPr>
      <w:r>
        <w:rPr>
          <w:rStyle w:val="Fett"/>
          <w:rFonts w:eastAsiaTheme="majorEastAsia"/>
        </w:rPr>
        <w:lastRenderedPageBreak/>
        <w:t>Deutsch:</w:t>
      </w:r>
      <w:r>
        <w:t xml:space="preserve"> Und es soll geschehen, wenn die Vorsteher aufgehört haben, zum Volk zu reden, so sollen sie Heeroberste an die Spitze des Volkes stellen.</w:t>
      </w:r>
    </w:p>
    <w:p w14:paraId="71A1B0EF" w14:textId="77777777" w:rsidR="00C21CEF" w:rsidRDefault="004F5CEB" w:rsidP="00C21CEF">
      <w:r>
        <w:rPr>
          <w:noProof/>
        </w:rPr>
        <w:pict w14:anchorId="7F8497AE">
          <v:rect id="_x0000_i1561" style="width:0;height:1.5pt" o:hralign="center" o:hrstd="t" o:hr="t" fillcolor="#a0a0a0" stroked="f"/>
        </w:pict>
      </w:r>
    </w:p>
    <w:p w14:paraId="630DC37F" w14:textId="77777777" w:rsidR="00C21CEF" w:rsidRDefault="00C21CEF" w:rsidP="00C21CEF">
      <w:pPr>
        <w:pStyle w:val="whitespace-normal"/>
      </w:pPr>
      <w:r>
        <w:rPr>
          <w:rStyle w:val="Fett"/>
          <w:rFonts w:eastAsiaTheme="majorEastAsia"/>
        </w:rPr>
        <w:t>Kommentar:</w:t>
      </w:r>
      <w:r>
        <w:t xml:space="preserve"> </w:t>
      </w:r>
      <w:r>
        <w:rPr>
          <w:rStyle w:val="Fett"/>
          <w:rFonts w:eastAsiaTheme="majorEastAsia"/>
          <w:rtl/>
        </w:rPr>
        <w:t>וְהָיָה כְּכַלֹּת הַשֹּׁטְרִים לְדַבֵּר אֶל־הָעָם</w:t>
      </w:r>
      <w:r>
        <w:rPr>
          <w:rtl/>
        </w:rPr>
        <w:t xml:space="preserve"> </w:t>
      </w:r>
      <w:r>
        <w:t xml:space="preserve">ist ein temporaler Satz: </w:t>
      </w:r>
      <w:r>
        <w:rPr>
          <w:rStyle w:val="Fett"/>
          <w:rFonts w:eastAsiaTheme="majorEastAsia"/>
          <w:rtl/>
        </w:rPr>
        <w:t>וְהָיָה</w:t>
      </w:r>
      <w:r>
        <w:rPr>
          <w:rtl/>
        </w:rPr>
        <w:t xml:space="preserve"> </w:t>
      </w:r>
      <w:r>
        <w:t xml:space="preserve">(Qal Perfekt, 3. Person Maskulinum Singular von </w:t>
      </w:r>
      <w:r>
        <w:rPr>
          <w:rStyle w:val="Fett"/>
          <w:rFonts w:eastAsiaTheme="majorEastAsia"/>
          <w:rtl/>
        </w:rPr>
        <w:t>היה</w:t>
      </w:r>
      <w:r>
        <w:t xml:space="preserve">, „sein", mit </w:t>
      </w:r>
      <w:r>
        <w:rPr>
          <w:rStyle w:val="Fett"/>
          <w:rFonts w:eastAsiaTheme="majorEastAsia"/>
        </w:rPr>
        <w:t>Waw</w:t>
      </w:r>
      <w:r>
        <w:t xml:space="preserve">, „und es wird sein/geschehen"), </w:t>
      </w:r>
      <w:r>
        <w:rPr>
          <w:rStyle w:val="Fett"/>
          <w:rFonts w:eastAsiaTheme="majorEastAsia"/>
          <w:rtl/>
        </w:rPr>
        <w:t>כְּכַלֹּת הַשֹּׁטְרִים</w:t>
      </w:r>
      <w:r>
        <w:rPr>
          <w:rtl/>
        </w:rPr>
        <w:t xml:space="preserve"> </w:t>
      </w:r>
      <w:r>
        <w:t xml:space="preserve">(Präposition </w:t>
      </w:r>
      <w:r>
        <w:rPr>
          <w:rStyle w:val="Fett"/>
          <w:rFonts w:eastAsiaTheme="majorEastAsia"/>
          <w:rtl/>
        </w:rPr>
        <w:t>כְּ</w:t>
      </w:r>
      <w:r>
        <w:t xml:space="preserve">, „wenn, wie", mit Piel Infinitiv Construct von </w:t>
      </w:r>
      <w:r>
        <w:rPr>
          <w:rStyle w:val="Fett"/>
          <w:rFonts w:eastAsiaTheme="majorEastAsia"/>
          <w:rtl/>
        </w:rPr>
        <w:t>כלה</w:t>
      </w:r>
      <w:r>
        <w:t xml:space="preserve">, „vollenden, beenden, aufhören", </w:t>
      </w:r>
      <w:r>
        <w:rPr>
          <w:rStyle w:val="Fett"/>
          <w:rFonts w:eastAsiaTheme="majorEastAsia"/>
          <w:rtl/>
        </w:rPr>
        <w:t>הַשֹּׁטְרִים</w:t>
      </w:r>
      <w:r>
        <w:t xml:space="preserve">, „wenn die Vorsteher aufgehört haben"), </w:t>
      </w:r>
      <w:r>
        <w:rPr>
          <w:rStyle w:val="Fett"/>
          <w:rFonts w:eastAsiaTheme="majorEastAsia"/>
          <w:rtl/>
        </w:rPr>
        <w:t>לְדַבֵּר אֶל־הָעָם</w:t>
      </w:r>
      <w:r>
        <w:rPr>
          <w:rtl/>
        </w:rPr>
        <w:t xml:space="preserve"> </w:t>
      </w:r>
      <w:r>
        <w:t xml:space="preserve">(Präposition </w:t>
      </w:r>
      <w:r>
        <w:rPr>
          <w:rStyle w:val="Fett"/>
          <w:rFonts w:eastAsiaTheme="majorEastAsia"/>
          <w:rtl/>
        </w:rPr>
        <w:t>לְ</w:t>
      </w:r>
      <w:r>
        <w:rPr>
          <w:rtl/>
        </w:rPr>
        <w:t xml:space="preserve"> </w:t>
      </w:r>
      <w:r>
        <w:t xml:space="preserve">mit Piel Infinitiv Construct von </w:t>
      </w:r>
      <w:r>
        <w:rPr>
          <w:rStyle w:val="Fett"/>
          <w:rFonts w:eastAsiaTheme="majorEastAsia"/>
          <w:rtl/>
        </w:rPr>
        <w:t>דבר</w:t>
      </w:r>
      <w:r>
        <w:t xml:space="preserve">, „reden", </w:t>
      </w:r>
      <w:r>
        <w:rPr>
          <w:rStyle w:val="Fett"/>
          <w:rFonts w:eastAsiaTheme="majorEastAsia"/>
          <w:rtl/>
        </w:rPr>
        <w:t>אֶל־הָעָם</w:t>
      </w:r>
      <w:r>
        <w:t>, „zum Volk zu reden").</w:t>
      </w:r>
    </w:p>
    <w:p w14:paraId="2211D6F3" w14:textId="77777777" w:rsidR="00C21CEF" w:rsidRDefault="00C21CEF" w:rsidP="00C21CEF">
      <w:pPr>
        <w:pStyle w:val="whitespace-normal"/>
      </w:pPr>
      <w:r>
        <w:rPr>
          <w:rStyle w:val="Fett"/>
          <w:rFonts w:eastAsiaTheme="majorEastAsia"/>
          <w:rtl/>
        </w:rPr>
        <w:t>וּפָקְדוּ שָׂרֵי צְבָאוֹת בְּרֹאשׁ הָעָם</w:t>
      </w:r>
      <w:r>
        <w:rPr>
          <w:rtl/>
        </w:rPr>
        <w:t xml:space="preserve"> </w:t>
      </w:r>
      <w:r>
        <w:t xml:space="preserve">ist die Apodosis: </w:t>
      </w:r>
      <w:r>
        <w:rPr>
          <w:rStyle w:val="Fett"/>
          <w:rFonts w:eastAsiaTheme="majorEastAsia"/>
          <w:rtl/>
        </w:rPr>
        <w:t>וּפָקְדוּ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פקד</w:t>
      </w:r>
      <w:r>
        <w:t xml:space="preserve">, Qal Perfekt, 3. Person Plural, „mustern, einsetzen, bestellen", mit </w:t>
      </w:r>
      <w:r>
        <w:rPr>
          <w:rStyle w:val="Fett"/>
          <w:rFonts w:eastAsiaTheme="majorEastAsia"/>
        </w:rPr>
        <w:t>Waw</w:t>
      </w:r>
      <w:r>
        <w:t xml:space="preserve"> consecutives Perfekt), </w:t>
      </w:r>
      <w:r>
        <w:rPr>
          <w:rStyle w:val="Fett"/>
          <w:rFonts w:eastAsiaTheme="majorEastAsia"/>
          <w:rtl/>
        </w:rPr>
        <w:t>שָׂרֵי צְבָאוֹת</w:t>
      </w:r>
      <w:r>
        <w:rPr>
          <w:rtl/>
        </w:rPr>
        <w:t xml:space="preserve"> </w:t>
      </w:r>
      <w:r>
        <w:t>(</w:t>
      </w:r>
      <w:r>
        <w:rPr>
          <w:rStyle w:val="Fett"/>
          <w:rFonts w:eastAsiaTheme="majorEastAsia"/>
          <w:rtl/>
        </w:rPr>
        <w:t>שַׂר</w:t>
      </w:r>
      <w:r>
        <w:t xml:space="preserve">, „Fürst, Oberster, Anführer", Plural Construct mit </w:t>
      </w:r>
      <w:r>
        <w:rPr>
          <w:rStyle w:val="Fett"/>
          <w:rFonts w:eastAsiaTheme="majorEastAsia"/>
          <w:rtl/>
        </w:rPr>
        <w:t>צָבָא</w:t>
      </w:r>
      <w:r>
        <w:t xml:space="preserve">, „Heer, Heerschar", Plural, „Heeroberste, Heerführer"), </w:t>
      </w:r>
      <w:r>
        <w:rPr>
          <w:rStyle w:val="Fett"/>
          <w:rFonts w:eastAsiaTheme="majorEastAsia"/>
          <w:rtl/>
        </w:rPr>
        <w:t>בְּרֹאשׁ הָעָם</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רֹאשׁ</w:t>
      </w:r>
      <w:r>
        <w:t xml:space="preserve">, „Kopf, Spitze", Construct mit </w:t>
      </w:r>
      <w:r>
        <w:rPr>
          <w:rStyle w:val="Fett"/>
          <w:rFonts w:eastAsiaTheme="majorEastAsia"/>
          <w:rtl/>
        </w:rPr>
        <w:t>עָם</w:t>
      </w:r>
      <w:r>
        <w:t>, „Volk", mit Artikel, „an die Spitze des Volkes").</w:t>
      </w:r>
    </w:p>
    <w:p w14:paraId="216FECC4" w14:textId="6C4BB8C7" w:rsidR="00C21CEF" w:rsidRDefault="00C21CEF" w:rsidP="00C21CEF">
      <w:pPr>
        <w:pStyle w:val="whitespace-normal"/>
      </w:pPr>
      <w:r>
        <w:t xml:space="preserve">Der Vers schließt den Abschnitt über Freistellungen vom Kriegsdienst ab. Nach den Freistellungen (V. 5-8) – die vermutlich die Armee erheblich reduzierten – werden nun die </w:t>
      </w:r>
      <w:r>
        <w:rPr>
          <w:rStyle w:val="Fett"/>
          <w:rFonts w:eastAsiaTheme="majorEastAsia"/>
          <w:rtl/>
        </w:rPr>
        <w:t>שָׂרֵי צְבָאוֹת</w:t>
      </w:r>
      <w:r>
        <w:rPr>
          <w:rtl/>
        </w:rPr>
        <w:t xml:space="preserve"> </w:t>
      </w:r>
      <w:r>
        <w:t xml:space="preserve">(„Heeroberste") eingesetzt. Das Verb </w:t>
      </w:r>
      <w:r>
        <w:rPr>
          <w:rStyle w:val="Fett"/>
          <w:rFonts w:eastAsiaTheme="majorEastAsia"/>
          <w:rtl/>
        </w:rPr>
        <w:t>פקד</w:t>
      </w:r>
      <w:r>
        <w:rPr>
          <w:rtl/>
        </w:rPr>
        <w:t xml:space="preserve"> </w:t>
      </w:r>
      <w:r>
        <w:t xml:space="preserve">(„einsetzen, bestellen") kann bedeuten: (1) „mustern" – die verbliebenen Soldaten zählen, (2) „einsetzen, bestellen" – militärische Kommandeure ernennen (vgl. Num 31,14; Dtn 1,15; 20,9; Jos 10,18; Ri 11,6.11; </w:t>
      </w:r>
      <w:r w:rsidR="00664EB6">
        <w:t>1Sam</w:t>
      </w:r>
      <w:r>
        <w:t xml:space="preserve"> 8,12; 17,18; 18,13; 22,7; </w:t>
      </w:r>
      <w:r w:rsidR="00664EB6">
        <w:t>2Sam</w:t>
      </w:r>
      <w:r>
        <w:t xml:space="preserve"> 18,1; </w:t>
      </w:r>
      <w:r w:rsidR="00664EB6">
        <w:t>1Kön</w:t>
      </w:r>
      <w:r>
        <w:t xml:space="preserve"> 4,7; </w:t>
      </w:r>
      <w:r w:rsidR="00664EB6">
        <w:t>2Kön</w:t>
      </w:r>
      <w:r>
        <w:t xml:space="preserve"> 25,19; Jes 10,28; Jer 51,27).</w:t>
      </w:r>
    </w:p>
    <w:p w14:paraId="5DDACF6D" w14:textId="77777777" w:rsidR="00C21CEF" w:rsidRDefault="00C21CEF" w:rsidP="00C21CEF">
      <w:pPr>
        <w:pStyle w:val="whitespace-normal"/>
      </w:pPr>
      <w:r>
        <w:t xml:space="preserve">Die Formulierung </w:t>
      </w:r>
      <w:r>
        <w:rPr>
          <w:rStyle w:val="Fett"/>
          <w:rFonts w:eastAsiaTheme="majorEastAsia"/>
          <w:rtl/>
        </w:rPr>
        <w:t>בְּרֹאשׁ הָעָם</w:t>
      </w:r>
      <w:r>
        <w:rPr>
          <w:rtl/>
        </w:rPr>
        <w:t xml:space="preserve"> </w:t>
      </w:r>
      <w:r>
        <w:t xml:space="preserve">(„an die Spitze des Volkes") zeigt: Militärische Organisation – das </w:t>
      </w:r>
      <w:r>
        <w:rPr>
          <w:rStyle w:val="Fett"/>
          <w:rFonts w:eastAsiaTheme="majorEastAsia"/>
          <w:rtl/>
        </w:rPr>
        <w:t>עָם</w:t>
      </w:r>
      <w:r>
        <w:rPr>
          <w:rtl/>
        </w:rPr>
        <w:t xml:space="preserve"> </w:t>
      </w:r>
      <w:r>
        <w:t xml:space="preserve">(„Volk") wird zum </w:t>
      </w:r>
      <w:r>
        <w:rPr>
          <w:rStyle w:val="Fett"/>
          <w:rFonts w:eastAsiaTheme="majorEastAsia"/>
          <w:rtl/>
        </w:rPr>
        <w:t>צָבָא</w:t>
      </w:r>
      <w:r>
        <w:rPr>
          <w:rtl/>
        </w:rPr>
        <w:t xml:space="preserve"> </w:t>
      </w:r>
      <w:r>
        <w:t xml:space="preserve">(„Heer") unter Führung von </w:t>
      </w:r>
      <w:r>
        <w:rPr>
          <w:rStyle w:val="Fett"/>
          <w:rFonts w:eastAsiaTheme="majorEastAsia"/>
          <w:rtl/>
        </w:rPr>
        <w:t>שָׂרֵי צְבָאוֹת</w:t>
      </w:r>
      <w:r>
        <w:rPr>
          <w:rtl/>
        </w:rPr>
        <w:t xml:space="preserve"> </w:t>
      </w:r>
      <w:r>
        <w:t>(„Heerobersten").</w:t>
      </w:r>
    </w:p>
    <w:p w14:paraId="2E547997" w14:textId="2FE70D20" w:rsidR="00C21CEF" w:rsidRDefault="00C21CEF" w:rsidP="00C21CEF">
      <w:pPr>
        <w:pStyle w:val="whitespace-normal"/>
      </w:pPr>
      <w:r>
        <w:rPr>
          <w:rStyle w:val="Fett"/>
          <w:rFonts w:eastAsiaTheme="majorEastAsia"/>
        </w:rPr>
        <w:t>Beobachtung:</w:t>
      </w:r>
      <w:r>
        <w:t xml:space="preserve"> Die Reihenfolge ist bemerkenswert – erst Freistellungen, dann militärische Organisation. Dies zeigt: Israel vertraut nicht auf militärische Größe, sondern auf JHWH (V. 1.4). Eine kleine, motivierte Armee ist besser als eine große, demoralisierte Armee (vgl. Ri 7,2-7: Gideon reduziert seine Armee von 32.000 auf 300!).</w:t>
      </w:r>
    </w:p>
    <w:p w14:paraId="4DEF497C" w14:textId="5801C246" w:rsidR="00734E2E" w:rsidRDefault="00734E2E" w:rsidP="00C21CEF">
      <w:pPr>
        <w:pStyle w:val="whitespace-normal"/>
      </w:pPr>
      <w:r>
        <w:rPr>
          <w:rStyle w:val="Fett"/>
        </w:rPr>
        <w:t>Die LXX</w:t>
      </w:r>
      <w:r>
        <w:t xml:space="preserve"> übersetzt </w:t>
      </w:r>
      <w:r>
        <w:rPr>
          <w:rtl/>
        </w:rPr>
        <w:t>שָׂרֵי צְבָאוֹת</w:t>
      </w:r>
      <w:r>
        <w:t xml:space="preserve"> (Heerführer, Oberste der Heerscharen) mit </w:t>
      </w:r>
      <w:proofErr w:type="spellStart"/>
      <w:r>
        <w:t>ἄρχοντ</w:t>
      </w:r>
      <w:proofErr w:type="spellEnd"/>
      <w:r>
        <w:t xml:space="preserve">ας </w:t>
      </w:r>
      <w:proofErr w:type="spellStart"/>
      <w:r>
        <w:t>τῆς</w:t>
      </w:r>
      <w:proofErr w:type="spellEnd"/>
      <w:r>
        <w:t xml:space="preserve"> </w:t>
      </w:r>
      <w:proofErr w:type="spellStart"/>
      <w:r>
        <w:t>στρ</w:t>
      </w:r>
      <w:proofErr w:type="spellEnd"/>
      <w:r>
        <w:t>ατιᾶς (Anführer des Heeres) – ein allgemeinerer griechischer Militärtitel.</w:t>
      </w:r>
    </w:p>
    <w:p w14:paraId="79C96C65" w14:textId="77777777" w:rsidR="00C21CEF" w:rsidRDefault="00C21CEF" w:rsidP="00C21CEF">
      <w:pPr>
        <w:pStyle w:val="whitespace-normal"/>
      </w:pPr>
      <w:r>
        <w:rPr>
          <w:rStyle w:val="Fett"/>
          <w:rFonts w:eastAsiaTheme="majorEastAsia"/>
        </w:rPr>
        <w:t>Die Satzstruktur:</w:t>
      </w:r>
      <w:r>
        <w:t xml:space="preserve"> Temporaler Satz mit Apodosis (und es wird sein, wenn aufgehört haben die Vorsteher zu reden zum Volk, einsetzen sollen sie Heeroberste an die Spitze des Volkes).</w:t>
      </w:r>
    </w:p>
    <w:p w14:paraId="3F505707" w14:textId="77777777" w:rsidR="00C21CEF" w:rsidRDefault="00C21CEF" w:rsidP="00C21CEF">
      <w:pPr>
        <w:pStyle w:val="whitespace-normal"/>
      </w:pPr>
      <w:r>
        <w:t>Der Vers schließt: Nach den Freistellungsreden sollen Heerführer an die Spitze des verbleibenden Heeres gestellt werden.</w:t>
      </w:r>
    </w:p>
    <w:p w14:paraId="08277699" w14:textId="77777777" w:rsidR="00C21CEF" w:rsidRPr="00C21CEF" w:rsidRDefault="00C21CEF" w:rsidP="00C21CEF">
      <w:pPr>
        <w:pStyle w:val="berschrift1"/>
        <w:rPr>
          <w:rFonts w:ascii="Times New Roman" w:hAnsi="Times New Roman"/>
          <w:color w:val="auto"/>
          <w:sz w:val="36"/>
          <w:szCs w:val="36"/>
        </w:rPr>
      </w:pPr>
      <w:r w:rsidRPr="00C21CEF">
        <w:rPr>
          <w:rStyle w:val="Fett"/>
          <w:rFonts w:ascii="Times New Roman" w:hAnsi="Times New Roman"/>
          <w:color w:val="auto"/>
          <w:sz w:val="36"/>
          <w:szCs w:val="36"/>
        </w:rPr>
        <w:t>Deuteronomium 20,10</w:t>
      </w:r>
    </w:p>
    <w:p w14:paraId="6CFD70E5" w14:textId="77777777" w:rsidR="00C21CEF" w:rsidRDefault="00C21CEF" w:rsidP="00C21CEF">
      <w:pPr>
        <w:pStyle w:val="whitespace-normal"/>
      </w:pPr>
      <w:r>
        <w:rPr>
          <w:rStyle w:val="Fett"/>
          <w:rFonts w:eastAsiaTheme="majorEastAsia"/>
        </w:rPr>
        <w:t>Hebräisch:</w:t>
      </w:r>
      <w:r>
        <w:t xml:space="preserve"> </w:t>
      </w:r>
      <w:r>
        <w:rPr>
          <w:rtl/>
        </w:rPr>
        <w:t>כִּֽי־תִקְרַ֣ב אֶל־עִ֔יר לְהִלָּחֵ֖ם עָלֶ֑יהָ וְקָרָ֥אתָ אֵלֶ֖יהָ לְשָׁלֽוֹם׃</w:t>
      </w:r>
    </w:p>
    <w:p w14:paraId="51E0EC90" w14:textId="77777777" w:rsidR="00C21CEF" w:rsidRDefault="00C21CEF" w:rsidP="00C21CEF">
      <w:pPr>
        <w:pStyle w:val="whitespace-normal"/>
      </w:pPr>
      <w:r>
        <w:rPr>
          <w:rStyle w:val="Fett"/>
          <w:rFonts w:eastAsiaTheme="majorEastAsia"/>
        </w:rPr>
        <w:t>Deutsch:</w:t>
      </w:r>
      <w:r>
        <w:t xml:space="preserve"> Wenn du dich einer Stadt näherst, um gegen sie zu kämpfen, sollst du ihr Frieden anbieten.</w:t>
      </w:r>
    </w:p>
    <w:p w14:paraId="3CE03564" w14:textId="77777777" w:rsidR="00C21CEF" w:rsidRDefault="004F5CEB" w:rsidP="00C21CEF">
      <w:r>
        <w:rPr>
          <w:noProof/>
        </w:rPr>
        <w:lastRenderedPageBreak/>
        <w:pict w14:anchorId="1CBBEDF7">
          <v:rect id="_x0000_i1562" style="width:0;height:1.5pt" o:hralign="center" o:hrstd="t" o:hr="t" fillcolor="#a0a0a0" stroked="f"/>
        </w:pict>
      </w:r>
    </w:p>
    <w:p w14:paraId="006D1872" w14:textId="77777777" w:rsidR="00C21CEF" w:rsidRDefault="00C21CEF" w:rsidP="00C21CEF">
      <w:pPr>
        <w:pStyle w:val="whitespace-normal"/>
      </w:pPr>
      <w:r>
        <w:rPr>
          <w:rStyle w:val="Fett"/>
          <w:rFonts w:eastAsiaTheme="majorEastAsia"/>
        </w:rPr>
        <w:t>Kommentar:</w:t>
      </w:r>
      <w:r>
        <w:t xml:space="preserve"> </w:t>
      </w:r>
      <w:r>
        <w:rPr>
          <w:rStyle w:val="Fett"/>
          <w:rFonts w:eastAsiaTheme="majorEastAsia"/>
          <w:rtl/>
        </w:rPr>
        <w:t>כִּי־תִקְרַב אֶל־עִיר לְהִלָּחֵם עָלֶיהָ</w:t>
      </w:r>
      <w:r>
        <w:rPr>
          <w:rtl/>
        </w:rPr>
        <w:t xml:space="preserve"> </w:t>
      </w:r>
      <w:r>
        <w:t xml:space="preserve">ist ein konditionaler temporaler Satz: </w:t>
      </w:r>
      <w:r>
        <w:rPr>
          <w:rStyle w:val="Fett"/>
          <w:rFonts w:eastAsiaTheme="majorEastAsia"/>
          <w:rtl/>
        </w:rPr>
        <w:t>כִּי־תִקְרַב</w:t>
      </w:r>
      <w:r>
        <w:rPr>
          <w:rtl/>
        </w:rPr>
        <w:t xml:space="preserve"> </w:t>
      </w:r>
      <w:r>
        <w:t>(</w:t>
      </w:r>
      <w:r>
        <w:rPr>
          <w:rStyle w:val="Fett"/>
          <w:rFonts w:eastAsiaTheme="majorEastAsia"/>
          <w:rtl/>
        </w:rPr>
        <w:t>כִּי</w:t>
      </w:r>
      <w:r>
        <w:t xml:space="preserve">, „wenn", mit </w:t>
      </w:r>
      <w:r>
        <w:rPr>
          <w:rStyle w:val="Fett"/>
          <w:rFonts w:eastAsiaTheme="majorEastAsia"/>
          <w:rtl/>
        </w:rPr>
        <w:t>קרב</w:t>
      </w:r>
      <w:r>
        <w:t xml:space="preserve">, Qal Imperfekt, 2. Person Maskulinum Singular, „nahen, sich nähern"), </w:t>
      </w:r>
      <w:r>
        <w:rPr>
          <w:rStyle w:val="Fett"/>
          <w:rFonts w:eastAsiaTheme="majorEastAsia"/>
          <w:rtl/>
        </w:rPr>
        <w:t>אֶל־עִיר</w:t>
      </w:r>
      <w:r>
        <w:rPr>
          <w:rtl/>
        </w:rPr>
        <w:t xml:space="preserve"> </w:t>
      </w:r>
      <w:r>
        <w:t xml:space="preserve">(Präposition </w:t>
      </w:r>
      <w:r>
        <w:rPr>
          <w:rStyle w:val="Fett"/>
          <w:rFonts w:eastAsiaTheme="majorEastAsia"/>
          <w:rtl/>
        </w:rPr>
        <w:t>אֶל</w:t>
      </w:r>
      <w:r>
        <w:rPr>
          <w:rtl/>
        </w:rPr>
        <w:t xml:space="preserve"> </w:t>
      </w:r>
      <w:r>
        <w:t xml:space="preserve">mit </w:t>
      </w:r>
      <w:r>
        <w:rPr>
          <w:rStyle w:val="Fett"/>
          <w:rFonts w:eastAsiaTheme="majorEastAsia"/>
          <w:rtl/>
        </w:rPr>
        <w:t>עִיר</w:t>
      </w:r>
      <w:r>
        <w:t xml:space="preserve">, „Stadt"), </w:t>
      </w:r>
      <w:r>
        <w:rPr>
          <w:rStyle w:val="Fett"/>
          <w:rFonts w:eastAsiaTheme="majorEastAsia"/>
          <w:rtl/>
        </w:rPr>
        <w:t>לְהִלָּחֵם עָלֶיהָ</w:t>
      </w:r>
      <w:r>
        <w:rPr>
          <w:rtl/>
        </w:rPr>
        <w:t xml:space="preserve"> </w:t>
      </w:r>
      <w:r>
        <w:t xml:space="preserve">(Präposition </w:t>
      </w:r>
      <w:r>
        <w:rPr>
          <w:rStyle w:val="Fett"/>
          <w:rFonts w:eastAsiaTheme="majorEastAsia"/>
          <w:rtl/>
        </w:rPr>
        <w:t>לְ</w:t>
      </w:r>
      <w:r>
        <w:rPr>
          <w:rtl/>
        </w:rPr>
        <w:t xml:space="preserve"> </w:t>
      </w:r>
      <w:r>
        <w:t xml:space="preserve">mit Niphal Infinitiv Construct von </w:t>
      </w:r>
      <w:r>
        <w:rPr>
          <w:rStyle w:val="Fett"/>
          <w:rFonts w:eastAsiaTheme="majorEastAsia"/>
          <w:rtl/>
        </w:rPr>
        <w:t>לחם</w:t>
      </w:r>
      <w:r>
        <w:t xml:space="preserve">, „kämpfen", </w:t>
      </w:r>
      <w:r>
        <w:rPr>
          <w:rStyle w:val="Fett"/>
          <w:rFonts w:eastAsiaTheme="majorEastAsia"/>
          <w:rtl/>
        </w:rPr>
        <w:t>עָלֶיהָ</w:t>
      </w:r>
      <w:r>
        <w:t xml:space="preserve">, Präposition </w:t>
      </w:r>
      <w:r>
        <w:rPr>
          <w:rStyle w:val="Fett"/>
          <w:rFonts w:eastAsiaTheme="majorEastAsia"/>
          <w:rtl/>
        </w:rPr>
        <w:t>עַל</w:t>
      </w:r>
      <w:r>
        <w:rPr>
          <w:rtl/>
        </w:rPr>
        <w:t xml:space="preserve"> </w:t>
      </w:r>
      <w:r>
        <w:t>mit Suffix 3. Person Femininum Singular, „um gegen sie zu kämpfen").</w:t>
      </w:r>
    </w:p>
    <w:p w14:paraId="744F7C17" w14:textId="77777777" w:rsidR="00C21CEF" w:rsidRDefault="00C21CEF" w:rsidP="00C21CEF">
      <w:pPr>
        <w:pStyle w:val="whitespace-normal"/>
      </w:pPr>
      <w:r>
        <w:rPr>
          <w:rStyle w:val="Fett"/>
          <w:rFonts w:eastAsiaTheme="majorEastAsia"/>
          <w:rtl/>
        </w:rPr>
        <w:t>וְקָרָאתָ אֵלֶיהָ לְשָׁלוֹם</w:t>
      </w:r>
      <w:r>
        <w:rPr>
          <w:rtl/>
        </w:rPr>
        <w:t xml:space="preserve"> </w:t>
      </w:r>
      <w:r>
        <w:t xml:space="preserve">ist die Apodosis: </w:t>
      </w:r>
      <w:r>
        <w:rPr>
          <w:rStyle w:val="Fett"/>
          <w:rFonts w:eastAsiaTheme="majorEastAsia"/>
          <w:rtl/>
        </w:rPr>
        <w:t>וְקָרָאתָ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קרא</w:t>
      </w:r>
      <w:r>
        <w:t xml:space="preserve">, Qal Perfekt, 2. Person Maskulinum Singular, „rufen, ausrufen, proklamieren", mit </w:t>
      </w:r>
      <w:r>
        <w:rPr>
          <w:rStyle w:val="Fett"/>
          <w:rFonts w:eastAsiaTheme="majorEastAsia"/>
        </w:rPr>
        <w:t>Waw</w:t>
      </w:r>
      <w:r>
        <w:t xml:space="preserve"> consecutives Perfekt), </w:t>
      </w:r>
      <w:r>
        <w:rPr>
          <w:rStyle w:val="Fett"/>
          <w:rFonts w:eastAsiaTheme="majorEastAsia"/>
          <w:rtl/>
        </w:rPr>
        <w:t>אֵלֶיהָ</w:t>
      </w:r>
      <w:r>
        <w:rPr>
          <w:rtl/>
        </w:rPr>
        <w:t xml:space="preserve"> </w:t>
      </w:r>
      <w:r>
        <w:t xml:space="preserve">(Präposition </w:t>
      </w:r>
      <w:r>
        <w:rPr>
          <w:rStyle w:val="Fett"/>
          <w:rFonts w:eastAsiaTheme="majorEastAsia"/>
          <w:rtl/>
        </w:rPr>
        <w:t>אֶל</w:t>
      </w:r>
      <w:r>
        <w:rPr>
          <w:rtl/>
        </w:rPr>
        <w:t xml:space="preserve"> </w:t>
      </w:r>
      <w:r>
        <w:t xml:space="preserve">mit Suffix 3. Person Femininum Singular, „zu ihr"), </w:t>
      </w:r>
      <w:r>
        <w:rPr>
          <w:rStyle w:val="Fett"/>
          <w:rFonts w:eastAsiaTheme="majorEastAsia"/>
          <w:rtl/>
        </w:rPr>
        <w:t>לְשָׁלוֹם</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שָׁלוֹם</w:t>
      </w:r>
      <w:r>
        <w:t>, „Friede, Wohlergehen", „zum Frieden" = Frieden anbieten).</w:t>
      </w:r>
    </w:p>
    <w:p w14:paraId="285884C8" w14:textId="77777777" w:rsidR="00C21CEF" w:rsidRDefault="00C21CEF" w:rsidP="00C21CEF">
      <w:pPr>
        <w:pStyle w:val="whitespace-normal"/>
      </w:pPr>
      <w:r>
        <w:t xml:space="preserve">Der Vers leitet einen neuen Abschnitt ein: Regeln für die Kriegsführung (V. 10-20). Die Grundregel: </w:t>
      </w:r>
      <w:r>
        <w:rPr>
          <w:rStyle w:val="Fett"/>
          <w:rFonts w:eastAsiaTheme="majorEastAsia"/>
          <w:rtl/>
        </w:rPr>
        <w:t>וְקָרָאתָ אֵלֶיהָ לְשָׁלוֹם</w:t>
      </w:r>
      <w:r>
        <w:rPr>
          <w:rtl/>
        </w:rPr>
        <w:t xml:space="preserve"> </w:t>
      </w:r>
      <w:r>
        <w:t xml:space="preserve">(„rufe ihr Frieden zu" = biete Frieden an). Dies ist bemerkenswert human für die antike Welt – vor dem Angriff muss ein Friedensangebot gemacht werden. Die Formulierung </w:t>
      </w:r>
      <w:r>
        <w:rPr>
          <w:rStyle w:val="Fett"/>
          <w:rFonts w:eastAsiaTheme="majorEastAsia"/>
          <w:rtl/>
        </w:rPr>
        <w:t>קָרָא... לְשָׁלוֹם</w:t>
      </w:r>
      <w:r>
        <w:rPr>
          <w:rtl/>
        </w:rPr>
        <w:t xml:space="preserve"> </w:t>
      </w:r>
      <w:r>
        <w:t>(„rufen zum Frieden") bedeutet: friedliche Kapitulation anbieten (vgl. Ri 21,13; Jes 57,19; Esth 9,30; 10,3).</w:t>
      </w:r>
    </w:p>
    <w:p w14:paraId="66EAA66D" w14:textId="77777777" w:rsidR="00C21CEF" w:rsidRDefault="00C21CEF" w:rsidP="00C21CEF">
      <w:pPr>
        <w:pStyle w:val="whitespace-normal"/>
      </w:pPr>
      <w:r>
        <w:rPr>
          <w:rStyle w:val="Fett"/>
          <w:rFonts w:eastAsiaTheme="majorEastAsia"/>
        </w:rPr>
        <w:t>Wichtig:</w:t>
      </w:r>
      <w:r>
        <w:t xml:space="preserve"> V. 15 wird klären, dass diese Regel nur für </w:t>
      </w:r>
      <w:r>
        <w:rPr>
          <w:rStyle w:val="Fett"/>
          <w:rFonts w:eastAsiaTheme="majorEastAsia"/>
          <w:rtl/>
        </w:rPr>
        <w:t>הֶעָרִים הָרְחֹקֹת מִמְּךָ מְאֹד</w:t>
      </w:r>
      <w:r>
        <w:rPr>
          <w:rtl/>
        </w:rPr>
        <w:t xml:space="preserve"> </w:t>
      </w:r>
      <w:r>
        <w:t xml:space="preserve">(„die Städte, die sehr weit von dir entfernt sind") gilt, nicht für die kanaanäischen Städte im verheißenen Land (V. 16-18). Für die kanaanäischen Städte gilt </w:t>
      </w:r>
      <w:r>
        <w:rPr>
          <w:rStyle w:val="Fett"/>
          <w:rFonts w:eastAsiaTheme="majorEastAsia"/>
          <w:rtl/>
        </w:rPr>
        <w:t>חֵרֶם</w:t>
      </w:r>
      <w:r>
        <w:rPr>
          <w:rtl/>
        </w:rPr>
        <w:t xml:space="preserve"> </w:t>
      </w:r>
      <w:r>
        <w:t>(„Bann", V. 16-17).</w:t>
      </w:r>
    </w:p>
    <w:p w14:paraId="52FF7F29" w14:textId="77777777" w:rsidR="00C21CEF" w:rsidRDefault="00C21CEF" w:rsidP="00C21CEF">
      <w:pPr>
        <w:pStyle w:val="whitespace-normal"/>
      </w:pPr>
      <w:r>
        <w:t>V. 11-14 beschreiben dann die Konsequenzen bei Annahme bzw. Ablehnung des Friedensangebots.</w:t>
      </w:r>
    </w:p>
    <w:p w14:paraId="2EBE2063" w14:textId="77777777" w:rsidR="00C21CEF" w:rsidRDefault="00C21CEF" w:rsidP="00C21CEF">
      <w:pPr>
        <w:pStyle w:val="whitespace-normal"/>
      </w:pPr>
      <w:r>
        <w:rPr>
          <w:rStyle w:val="Fett"/>
          <w:rFonts w:eastAsiaTheme="majorEastAsia"/>
        </w:rPr>
        <w:t>Die Satzstruktur:</w:t>
      </w:r>
      <w:r>
        <w:t xml:space="preserve"> Konditionaler temporaler Satz mit Apodosis (wenn nähern wirst du dich zu einer Stadt, um zu kämpfen gegen sie, ausrufen sollst du zu ihr Frieden).</w:t>
      </w:r>
    </w:p>
    <w:p w14:paraId="4EED3D4C" w14:textId="77777777" w:rsidR="00C21CEF" w:rsidRDefault="00C21CEF" w:rsidP="00C21CEF">
      <w:pPr>
        <w:pStyle w:val="whitespace-normal"/>
      </w:pPr>
      <w:r>
        <w:t>Der Vers befiehlt: Bevor du eine Stadt angreifst, biete ihr Frieden an – V. 11-14 regeln die Folgen.</w:t>
      </w:r>
    </w:p>
    <w:p w14:paraId="7E556373" w14:textId="77777777" w:rsidR="00C21CEF" w:rsidRPr="00C21CEF" w:rsidRDefault="00C21CEF" w:rsidP="00C21CEF">
      <w:pPr>
        <w:pStyle w:val="berschrift1"/>
        <w:rPr>
          <w:rFonts w:ascii="Times New Roman" w:hAnsi="Times New Roman"/>
          <w:color w:val="auto"/>
          <w:sz w:val="36"/>
          <w:szCs w:val="36"/>
        </w:rPr>
      </w:pPr>
      <w:r w:rsidRPr="00C21CEF">
        <w:rPr>
          <w:rStyle w:val="Fett"/>
          <w:rFonts w:ascii="Times New Roman" w:hAnsi="Times New Roman"/>
          <w:color w:val="auto"/>
          <w:sz w:val="36"/>
          <w:szCs w:val="36"/>
        </w:rPr>
        <w:t>Deuteronomium 20,11</w:t>
      </w:r>
    </w:p>
    <w:p w14:paraId="2CD520A0" w14:textId="77777777" w:rsidR="00C21CEF" w:rsidRDefault="00C21CEF" w:rsidP="00C21CEF">
      <w:pPr>
        <w:pStyle w:val="whitespace-normal"/>
      </w:pPr>
      <w:r>
        <w:rPr>
          <w:rStyle w:val="Fett"/>
          <w:rFonts w:eastAsiaTheme="majorEastAsia"/>
        </w:rPr>
        <w:t>Hebräisch:</w:t>
      </w:r>
      <w:r>
        <w:t xml:space="preserve"> </w:t>
      </w:r>
      <w:r>
        <w:rPr>
          <w:rtl/>
        </w:rPr>
        <w:t>וְהָיָה֙ אִם־שָׁל֣וֹם תַּֽעַנְךָ֔ וּפָתְחָ֖ה לָ֑ךְ וְהָיָ֞ה כָּל־הָעָ֣ם הַנִּמְצָא־בָ֗הּ יִהְי֥וּ לְךָ֛ לָמַ֖ס וַעֲבָדֽוּךָ׃</w:t>
      </w:r>
    </w:p>
    <w:p w14:paraId="075158B2" w14:textId="77777777" w:rsidR="00C21CEF" w:rsidRDefault="00C21CEF" w:rsidP="00C21CEF">
      <w:pPr>
        <w:pStyle w:val="whitespace-normal"/>
      </w:pPr>
      <w:r>
        <w:rPr>
          <w:rStyle w:val="Fett"/>
          <w:rFonts w:eastAsiaTheme="majorEastAsia"/>
        </w:rPr>
        <w:t>Deutsch:</w:t>
      </w:r>
      <w:r>
        <w:t xml:space="preserve"> Und es wird geschehen, wenn sie dir mit Frieden antwortet und dir öffnet, so soll das ganze Volk, das sich darin befindet, dir fronpflichtig sein und dir dienen.</w:t>
      </w:r>
    </w:p>
    <w:p w14:paraId="56C44B7A" w14:textId="77777777" w:rsidR="00C21CEF" w:rsidRDefault="004F5CEB" w:rsidP="00C21CEF">
      <w:r>
        <w:rPr>
          <w:noProof/>
        </w:rPr>
        <w:pict w14:anchorId="70A4EB07">
          <v:rect id="_x0000_i1563" style="width:0;height:1.5pt" o:hralign="center" o:hrstd="t" o:hr="t" fillcolor="#a0a0a0" stroked="f"/>
        </w:pict>
      </w:r>
    </w:p>
    <w:p w14:paraId="4390649B" w14:textId="77777777" w:rsidR="00C21CEF" w:rsidRDefault="00C21CEF" w:rsidP="00C21CEF">
      <w:pPr>
        <w:pStyle w:val="whitespace-normal"/>
      </w:pPr>
      <w:r>
        <w:rPr>
          <w:rStyle w:val="Fett"/>
          <w:rFonts w:eastAsiaTheme="majorEastAsia"/>
        </w:rPr>
        <w:t>Kommentar:</w:t>
      </w:r>
      <w:r>
        <w:t xml:space="preserve"> </w:t>
      </w:r>
      <w:r>
        <w:rPr>
          <w:rStyle w:val="Fett"/>
          <w:rFonts w:eastAsiaTheme="majorEastAsia"/>
          <w:rtl/>
        </w:rPr>
        <w:t>וְהָיָה אִם־שָׁלוֹם תַּעַנְךָ וּפָתְחָה לָךְ</w:t>
      </w:r>
      <w:r>
        <w:rPr>
          <w:rtl/>
        </w:rPr>
        <w:t xml:space="preserve"> </w:t>
      </w:r>
      <w:r>
        <w:t xml:space="preserve">ist ein konditionaler Satz: </w:t>
      </w:r>
      <w:r>
        <w:rPr>
          <w:rStyle w:val="Fett"/>
          <w:rFonts w:eastAsiaTheme="majorEastAsia"/>
          <w:rtl/>
        </w:rPr>
        <w:t>וְהָיָה</w:t>
      </w:r>
      <w:r>
        <w:rPr>
          <w:rtl/>
        </w:rPr>
        <w:t xml:space="preserve"> </w:t>
      </w:r>
      <w:r>
        <w:t xml:space="preserve">(Qal Perfekt, 3. Person Maskulinum Singular von </w:t>
      </w:r>
      <w:r>
        <w:rPr>
          <w:rStyle w:val="Fett"/>
          <w:rFonts w:eastAsiaTheme="majorEastAsia"/>
          <w:rtl/>
        </w:rPr>
        <w:t>היה</w:t>
      </w:r>
      <w:r>
        <w:t xml:space="preserve">, „sein", mit </w:t>
      </w:r>
      <w:r>
        <w:rPr>
          <w:rStyle w:val="Fett"/>
          <w:rFonts w:eastAsiaTheme="majorEastAsia"/>
        </w:rPr>
        <w:t>Waw</w:t>
      </w:r>
      <w:r>
        <w:t xml:space="preserve">, „und es wird sein/geschehen"), </w:t>
      </w:r>
      <w:r>
        <w:rPr>
          <w:rStyle w:val="Fett"/>
          <w:rFonts w:eastAsiaTheme="majorEastAsia"/>
          <w:rtl/>
        </w:rPr>
        <w:t>אִם־שָׁלוֹם תַּעַנְךָ</w:t>
      </w:r>
      <w:r>
        <w:rPr>
          <w:rtl/>
        </w:rPr>
        <w:t xml:space="preserve"> </w:t>
      </w:r>
      <w:r>
        <w:t>(</w:t>
      </w:r>
      <w:r>
        <w:rPr>
          <w:rStyle w:val="Fett"/>
          <w:rFonts w:eastAsiaTheme="majorEastAsia"/>
          <w:rtl/>
        </w:rPr>
        <w:t>אִם</w:t>
      </w:r>
      <w:r>
        <w:t xml:space="preserve">, „wenn", </w:t>
      </w:r>
      <w:r>
        <w:rPr>
          <w:rStyle w:val="Fett"/>
          <w:rFonts w:eastAsiaTheme="majorEastAsia"/>
          <w:rtl/>
        </w:rPr>
        <w:t>שָׁלוֹם</w:t>
      </w:r>
      <w:r>
        <w:t xml:space="preserve">, „Friede", </w:t>
      </w:r>
      <w:r>
        <w:rPr>
          <w:rStyle w:val="Fett"/>
          <w:rFonts w:eastAsiaTheme="majorEastAsia"/>
          <w:rtl/>
        </w:rPr>
        <w:t>ענה</w:t>
      </w:r>
      <w:r>
        <w:t xml:space="preserve">, Qal Imperfekt, 3. Person Femininum Singular, „antworten", mit Suffix 2. Person Maskulinum Singular, „wenn Frieden antwortet sie dir" = wenn sie friedlich antwortet), </w:t>
      </w:r>
      <w:r>
        <w:rPr>
          <w:rStyle w:val="Fett"/>
          <w:rFonts w:eastAsiaTheme="majorEastAsia"/>
          <w:rtl/>
        </w:rPr>
        <w:t>וּפָתְחָה לָךְ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פתח</w:t>
      </w:r>
      <w:r>
        <w:t xml:space="preserve">, Qal Perfekt, 3. Person Femininum Singular, „öffnen", </w:t>
      </w:r>
      <w:r>
        <w:rPr>
          <w:rStyle w:val="Fett"/>
          <w:rFonts w:eastAsiaTheme="majorEastAsia"/>
          <w:rtl/>
        </w:rPr>
        <w:t>לָךְ</w:t>
      </w:r>
      <w:r>
        <w:t xml:space="preserve">, mit </w:t>
      </w:r>
      <w:r>
        <w:rPr>
          <w:rStyle w:val="Fett"/>
          <w:rFonts w:eastAsiaTheme="majorEastAsia"/>
        </w:rPr>
        <w:t>Waw</w:t>
      </w:r>
      <w:r>
        <w:t xml:space="preserve"> consecutives Perfekt, „und öffnet dir").</w:t>
      </w:r>
    </w:p>
    <w:p w14:paraId="15706D9F" w14:textId="77777777" w:rsidR="00C21CEF" w:rsidRDefault="00C21CEF" w:rsidP="00C21CEF">
      <w:pPr>
        <w:pStyle w:val="whitespace-normal"/>
      </w:pPr>
      <w:r>
        <w:rPr>
          <w:rStyle w:val="Fett"/>
          <w:rFonts w:eastAsiaTheme="majorEastAsia"/>
          <w:rtl/>
        </w:rPr>
        <w:lastRenderedPageBreak/>
        <w:t>וְהָיָה כָּל־הָעָם הַנִּמְצָא־בָהּ יִהְיוּ לְךָ לָמַס וַעֲבָדוּךָ</w:t>
      </w:r>
      <w:r>
        <w:rPr>
          <w:rtl/>
        </w:rPr>
        <w:t xml:space="preserve"> </w:t>
      </w:r>
      <w:r>
        <w:t xml:space="preserve">ist die Apodosis: </w:t>
      </w:r>
      <w:r>
        <w:rPr>
          <w:rStyle w:val="Fett"/>
          <w:rFonts w:eastAsiaTheme="majorEastAsia"/>
          <w:rtl/>
        </w:rPr>
        <w:t>וְהָיָה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3. Person Maskulinum Singular, mit </w:t>
      </w:r>
      <w:r>
        <w:rPr>
          <w:rStyle w:val="Fett"/>
          <w:rFonts w:eastAsiaTheme="majorEastAsia"/>
        </w:rPr>
        <w:t>Waw</w:t>
      </w:r>
      <w:r>
        <w:t xml:space="preserve"> consecutives Perfekt), </w:t>
      </w:r>
      <w:r>
        <w:rPr>
          <w:rStyle w:val="Fett"/>
          <w:rFonts w:eastAsiaTheme="majorEastAsia"/>
          <w:rtl/>
        </w:rPr>
        <w:t>כָּל־הָעָם הַנִּמְצָא־בָהּ</w:t>
      </w:r>
      <w:r>
        <w:rPr>
          <w:rtl/>
        </w:rPr>
        <w:t xml:space="preserve"> </w:t>
      </w:r>
      <w:r>
        <w:t>(</w:t>
      </w:r>
      <w:r>
        <w:rPr>
          <w:rStyle w:val="Fett"/>
          <w:rFonts w:eastAsiaTheme="majorEastAsia"/>
          <w:rtl/>
        </w:rPr>
        <w:t>כֹּל</w:t>
      </w:r>
      <w:r>
        <w:t xml:space="preserve">, Construct mit </w:t>
      </w:r>
      <w:r>
        <w:rPr>
          <w:rStyle w:val="Fett"/>
          <w:rFonts w:eastAsiaTheme="majorEastAsia"/>
          <w:rtl/>
        </w:rPr>
        <w:t>עָם</w:t>
      </w:r>
      <w:r>
        <w:rPr>
          <w:rtl/>
        </w:rPr>
        <w:t xml:space="preserve"> </w:t>
      </w:r>
      <w:r>
        <w:t xml:space="preserve">mit Artikel, </w:t>
      </w:r>
      <w:r>
        <w:rPr>
          <w:rStyle w:val="Fett"/>
          <w:rFonts w:eastAsiaTheme="majorEastAsia"/>
          <w:rtl/>
        </w:rPr>
        <w:t>מצא</w:t>
      </w:r>
      <w:r>
        <w:t xml:space="preserve">, Niphal Partizip, „gefunden werden, sich befinden", mit Artikel, </w:t>
      </w:r>
      <w:r>
        <w:rPr>
          <w:rStyle w:val="Fett"/>
          <w:rFonts w:eastAsiaTheme="majorEastAsia"/>
          <w:rtl/>
        </w:rPr>
        <w:t>בָּהּ</w:t>
      </w:r>
      <w:r>
        <w:t xml:space="preserve">, „das ganze Volk, das sich befindet in ihr"), </w:t>
      </w:r>
      <w:r>
        <w:rPr>
          <w:rStyle w:val="Fett"/>
          <w:rFonts w:eastAsiaTheme="majorEastAsia"/>
          <w:rtl/>
        </w:rPr>
        <w:t>יִהְיוּ לְךָ לָמַס</w:t>
      </w:r>
      <w:r>
        <w:rPr>
          <w:rtl/>
        </w:rPr>
        <w:t xml:space="preserve"> </w:t>
      </w:r>
      <w:r>
        <w:t xml:space="preserve">(Qal Imperfekt, 3. Person Plural von </w:t>
      </w:r>
      <w:r>
        <w:rPr>
          <w:rStyle w:val="Fett"/>
          <w:rFonts w:eastAsiaTheme="majorEastAsia"/>
          <w:rtl/>
        </w:rPr>
        <w:t>היה</w:t>
      </w:r>
      <w:r>
        <w:t xml:space="preserve">, „sein", </w:t>
      </w:r>
      <w:r>
        <w:rPr>
          <w:rStyle w:val="Fett"/>
          <w:rFonts w:eastAsiaTheme="majorEastAsia"/>
          <w:rtl/>
        </w:rPr>
        <w:t>לְךָ</w:t>
      </w:r>
      <w:r>
        <w:t xml:space="preserve">, </w:t>
      </w:r>
      <w:r>
        <w:rPr>
          <w:rStyle w:val="Fett"/>
          <w:rFonts w:eastAsiaTheme="majorEastAsia"/>
          <w:rtl/>
        </w:rPr>
        <w:t>לָמַס</w:t>
      </w:r>
      <w:r>
        <w:t xml:space="preserve">, Präposition </w:t>
      </w:r>
      <w:r>
        <w:rPr>
          <w:rStyle w:val="Fett"/>
          <w:rFonts w:eastAsiaTheme="majorEastAsia"/>
          <w:rtl/>
        </w:rPr>
        <w:t>לְ</w:t>
      </w:r>
      <w:r>
        <w:rPr>
          <w:rtl/>
        </w:rPr>
        <w:t xml:space="preserve"> </w:t>
      </w:r>
      <w:r>
        <w:t xml:space="preserve">mit </w:t>
      </w:r>
      <w:r>
        <w:rPr>
          <w:rStyle w:val="Fett"/>
          <w:rFonts w:eastAsiaTheme="majorEastAsia"/>
          <w:rtl/>
        </w:rPr>
        <w:t>מַס</w:t>
      </w:r>
      <w:r>
        <w:t xml:space="preserve">, „Fronarbeit, Zwangsarbeit", mit Artikel, „werden sollen dir zur Fronarbeit"), </w:t>
      </w:r>
      <w:r>
        <w:rPr>
          <w:rStyle w:val="Fett"/>
          <w:rFonts w:eastAsiaTheme="majorEastAsia"/>
          <w:rtl/>
        </w:rPr>
        <w:t>וַעֲבָדוּךָ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עבד</w:t>
      </w:r>
      <w:r>
        <w:t xml:space="preserve">, Qal Perfekt, 3. Person Plural, „dienen, arbeiten", mit Suffix 2. Person Maskulinum Singular, mit </w:t>
      </w:r>
      <w:r>
        <w:rPr>
          <w:rStyle w:val="Fett"/>
          <w:rFonts w:eastAsiaTheme="majorEastAsia"/>
        </w:rPr>
        <w:t>Waw</w:t>
      </w:r>
      <w:r>
        <w:t xml:space="preserve"> consecutives Perfekt, „und dienen sollen dir").</w:t>
      </w:r>
    </w:p>
    <w:p w14:paraId="152A220A" w14:textId="77777777" w:rsidR="00C21CEF" w:rsidRDefault="00C21CEF" w:rsidP="00C21CEF">
      <w:pPr>
        <w:pStyle w:val="whitespace-normal"/>
      </w:pPr>
      <w:r>
        <w:t xml:space="preserve">Der Vers beschreibt die Konsequenzen bei Annahme des Friedensangebots: (1) </w:t>
      </w:r>
      <w:r>
        <w:rPr>
          <w:rStyle w:val="Fett"/>
          <w:rFonts w:eastAsiaTheme="majorEastAsia"/>
          <w:rtl/>
        </w:rPr>
        <w:t>שָׁלוֹם תַּעַנְךָ</w:t>
      </w:r>
      <w:r>
        <w:rPr>
          <w:rtl/>
        </w:rPr>
        <w:t xml:space="preserve"> </w:t>
      </w:r>
      <w:r>
        <w:t xml:space="preserve">(„antwortet Frieden dir") – die Stadt kapituliert friedlich, (2) </w:t>
      </w:r>
      <w:r>
        <w:rPr>
          <w:rStyle w:val="Fett"/>
          <w:rFonts w:eastAsiaTheme="majorEastAsia"/>
          <w:rtl/>
        </w:rPr>
        <w:t>וּפָתְחָה לָךְ</w:t>
      </w:r>
      <w:r>
        <w:rPr>
          <w:rtl/>
        </w:rPr>
        <w:t xml:space="preserve"> </w:t>
      </w:r>
      <w:r>
        <w:t xml:space="preserve">(„öffnet dir") – die Tore werden geöffnet, keine Belagerung nötig, (3) </w:t>
      </w:r>
      <w:r>
        <w:rPr>
          <w:rStyle w:val="Fett"/>
          <w:rFonts w:eastAsiaTheme="majorEastAsia"/>
          <w:rtl/>
        </w:rPr>
        <w:t>יִהְיוּ לְךָ לָמַס</w:t>
      </w:r>
      <w:r>
        <w:rPr>
          <w:rtl/>
        </w:rPr>
        <w:t xml:space="preserve"> </w:t>
      </w:r>
      <w:r>
        <w:t xml:space="preserve">(„werden zur Fronarbeit für dich") – die Bevölkerung wird tributpflichtig, (4) </w:t>
      </w:r>
      <w:r>
        <w:rPr>
          <w:rStyle w:val="Fett"/>
          <w:rFonts w:eastAsiaTheme="majorEastAsia"/>
          <w:rtl/>
        </w:rPr>
        <w:t>וַעֲבָדוּךָ</w:t>
      </w:r>
      <w:r>
        <w:rPr>
          <w:rtl/>
        </w:rPr>
        <w:t xml:space="preserve"> </w:t>
      </w:r>
      <w:r>
        <w:t>(„dienen dir") – sie leisten Zwangsarbeit.</w:t>
      </w:r>
    </w:p>
    <w:p w14:paraId="0C6892BB" w14:textId="337CF5F6" w:rsidR="00C21CEF" w:rsidRDefault="00C21CEF" w:rsidP="00C21CEF">
      <w:pPr>
        <w:pStyle w:val="whitespace-normal"/>
      </w:pPr>
      <w:r>
        <w:t xml:space="preserve">Das Wort </w:t>
      </w:r>
      <w:r>
        <w:rPr>
          <w:rStyle w:val="Fett"/>
          <w:rFonts w:eastAsiaTheme="majorEastAsia"/>
          <w:rtl/>
        </w:rPr>
        <w:t>מַס</w:t>
      </w:r>
      <w:r>
        <w:rPr>
          <w:rtl/>
        </w:rPr>
        <w:t xml:space="preserve"> </w:t>
      </w:r>
      <w:r>
        <w:t xml:space="preserve">(„Fronarbeit, Zwangsarbeit") bezeichnet staatliche Zwangsarbeit (vgl. Gen 49,15; Ex 1,11; Dtn 20,11; Jos 16,10; 17,13; Ri 1,28.30.33.35; </w:t>
      </w:r>
      <w:r w:rsidR="00664EB6">
        <w:t>1Kön</w:t>
      </w:r>
      <w:r>
        <w:t xml:space="preserve"> 4,6; 5,27.28; 9,15.21; 12,18; </w:t>
      </w:r>
      <w:r w:rsidR="00664EB6">
        <w:t>2Chr</w:t>
      </w:r>
      <w:r>
        <w:t xml:space="preserve"> 10,18; Esth 10,1; Jes 31,8; Klgl 1,1). Die Bewohner bleiben am Leben, werden aber zu Zwangsarbeitern – ähnlich wie die Gibeoniten nach Jos 9,3-27.</w:t>
      </w:r>
    </w:p>
    <w:p w14:paraId="22D1D325" w14:textId="7AE9AA24" w:rsidR="00C21CEF" w:rsidRDefault="00C21CEF" w:rsidP="00C21CEF">
      <w:pPr>
        <w:pStyle w:val="whitespace-normal"/>
      </w:pPr>
      <w:r>
        <w:t xml:space="preserve">Diese Behandlung ist human im Vergleich zu V. 13 (Eroberung durch Gewalt) und besonders im Vergleich zu V. 16-17 (kanaanäische Städte). </w:t>
      </w:r>
      <w:r>
        <w:rPr>
          <w:rStyle w:val="Fett"/>
          <w:rFonts w:eastAsiaTheme="majorEastAsia"/>
        </w:rPr>
        <w:t>Wichtig:</w:t>
      </w:r>
      <w:r>
        <w:t xml:space="preserve"> Dies gilt nur für </w:t>
      </w:r>
      <w:r>
        <w:rPr>
          <w:rStyle w:val="Fett"/>
          <w:rFonts w:eastAsiaTheme="majorEastAsia"/>
          <w:rtl/>
        </w:rPr>
        <w:t>הֶעָרִים הָרְחֹקֹת</w:t>
      </w:r>
      <w:r>
        <w:rPr>
          <w:rtl/>
        </w:rPr>
        <w:t xml:space="preserve"> </w:t>
      </w:r>
      <w:r>
        <w:t>(„die fernen Städte", V. 15), nicht für kanaanäische Städte.</w:t>
      </w:r>
    </w:p>
    <w:p w14:paraId="713117EB" w14:textId="0B60522F" w:rsidR="00734E2E" w:rsidRDefault="00734E2E" w:rsidP="00C21CEF">
      <w:pPr>
        <w:pStyle w:val="whitespace-normal"/>
      </w:pPr>
      <w:r>
        <w:rPr>
          <w:rStyle w:val="Fett"/>
        </w:rPr>
        <w:t>Die LXX</w:t>
      </w:r>
      <w:r>
        <w:t xml:space="preserve"> übersetzt </w:t>
      </w:r>
      <w:r>
        <w:rPr>
          <w:rtl/>
        </w:rPr>
        <w:t>לָמַס</w:t>
      </w:r>
      <w:r>
        <w:t xml:space="preserve"> (zum Frondienst) mit </w:t>
      </w:r>
      <w:proofErr w:type="spellStart"/>
      <w:r>
        <w:t>φορολόγητοι</w:t>
      </w:r>
      <w:proofErr w:type="spellEnd"/>
      <w:r>
        <w:t xml:space="preserve"> (steuerpflichtig) – eine Verschiebung von Zwangsarbeit zu Tributpflicht, was unterschiedliche Formen der Unterwerfung darstellt.</w:t>
      </w:r>
    </w:p>
    <w:p w14:paraId="669E09A8" w14:textId="77777777" w:rsidR="00C21CEF" w:rsidRDefault="00C21CEF" w:rsidP="00C21CEF">
      <w:pPr>
        <w:pStyle w:val="whitespace-normal"/>
      </w:pPr>
      <w:r>
        <w:rPr>
          <w:rStyle w:val="Fett"/>
          <w:rFonts w:eastAsiaTheme="majorEastAsia"/>
        </w:rPr>
        <w:t>Die Satzstruktur:</w:t>
      </w:r>
      <w:r>
        <w:t xml:space="preserve"> Konditionaler Satz mit Apodosis (und es wird sein, wenn Frieden antwortet sie dir und öffnet dir, werden soll das ganze Volk, das sich befindet in ihr, dir zur Fronarbeit und dienen sollen dir).</w:t>
      </w:r>
    </w:p>
    <w:p w14:paraId="57E55C5A" w14:textId="77777777" w:rsidR="00C21CEF" w:rsidRDefault="00C21CEF" w:rsidP="00C21CEF">
      <w:pPr>
        <w:pStyle w:val="whitespace-normal"/>
      </w:pPr>
      <w:r>
        <w:t>Der Vers regelt: Wenn die Stadt friedlich kapituliert und die Tore öffnet, wird die Bevölkerung zur Fronarbeit verpflichtet.</w:t>
      </w:r>
    </w:p>
    <w:p w14:paraId="6C2695A5" w14:textId="77777777" w:rsidR="00C21CEF" w:rsidRPr="00C21CEF" w:rsidRDefault="00C21CEF" w:rsidP="00C21CEF">
      <w:pPr>
        <w:pStyle w:val="berschrift1"/>
        <w:rPr>
          <w:rFonts w:ascii="Times New Roman" w:hAnsi="Times New Roman"/>
          <w:color w:val="auto"/>
          <w:sz w:val="36"/>
          <w:szCs w:val="36"/>
        </w:rPr>
      </w:pPr>
      <w:r w:rsidRPr="00C21CEF">
        <w:rPr>
          <w:rStyle w:val="Fett"/>
          <w:rFonts w:ascii="Times New Roman" w:hAnsi="Times New Roman"/>
          <w:color w:val="auto"/>
          <w:sz w:val="36"/>
          <w:szCs w:val="36"/>
        </w:rPr>
        <w:t>Deuteronomium 20,12</w:t>
      </w:r>
    </w:p>
    <w:p w14:paraId="1F47D6F3" w14:textId="77777777" w:rsidR="00C21CEF" w:rsidRDefault="00C21CEF" w:rsidP="00C21CEF">
      <w:pPr>
        <w:pStyle w:val="whitespace-normal"/>
      </w:pPr>
      <w:r>
        <w:rPr>
          <w:rStyle w:val="Fett"/>
          <w:rFonts w:eastAsiaTheme="majorEastAsia"/>
        </w:rPr>
        <w:t>Hebräisch:</w:t>
      </w:r>
      <w:r>
        <w:t xml:space="preserve"> </w:t>
      </w:r>
      <w:r>
        <w:rPr>
          <w:rtl/>
        </w:rPr>
        <w:t>וְאִם־לֹ֤א תַשְׁלִים֙ עִמָּ֔ךְ וְעָשְׂתָ֥ה עִמְּךָ֖ מִלְחָמָ֑ה וְצַרְתָּ֖ עָלֶֽיהָ׃</w:t>
      </w:r>
    </w:p>
    <w:p w14:paraId="220DF36F" w14:textId="77777777" w:rsidR="00C21CEF" w:rsidRDefault="00C21CEF" w:rsidP="00C21CEF">
      <w:pPr>
        <w:pStyle w:val="whitespace-normal"/>
      </w:pPr>
      <w:r>
        <w:rPr>
          <w:rStyle w:val="Fett"/>
          <w:rFonts w:eastAsiaTheme="majorEastAsia"/>
        </w:rPr>
        <w:t>Deutsch:</w:t>
      </w:r>
      <w:r>
        <w:t xml:space="preserve"> Wenn sie aber nicht Frieden mit dir macht, sondern Krieg gegen dich führt, so sollst du sie belagern.</w:t>
      </w:r>
    </w:p>
    <w:p w14:paraId="0C40A3EC" w14:textId="77777777" w:rsidR="00C21CEF" w:rsidRDefault="004F5CEB" w:rsidP="00C21CEF">
      <w:r>
        <w:rPr>
          <w:noProof/>
        </w:rPr>
        <w:pict w14:anchorId="07660ED0">
          <v:rect id="_x0000_i1564" style="width:0;height:1.5pt" o:hralign="center" o:hrstd="t" o:hr="t" fillcolor="#a0a0a0" stroked="f"/>
        </w:pict>
      </w:r>
    </w:p>
    <w:p w14:paraId="26DD49DC" w14:textId="77777777" w:rsidR="00C21CEF" w:rsidRDefault="00C21CEF" w:rsidP="00C21CEF">
      <w:pPr>
        <w:pStyle w:val="whitespace-normal"/>
      </w:pPr>
      <w:r>
        <w:rPr>
          <w:rStyle w:val="Fett"/>
          <w:rFonts w:eastAsiaTheme="majorEastAsia"/>
        </w:rPr>
        <w:t>Kommentar:</w:t>
      </w:r>
      <w:r>
        <w:t xml:space="preserve"> </w:t>
      </w:r>
      <w:r>
        <w:rPr>
          <w:rStyle w:val="Fett"/>
          <w:rFonts w:eastAsiaTheme="majorEastAsia"/>
          <w:rtl/>
        </w:rPr>
        <w:t>וְאִם־לֹא תַשְׁלִים עִמָּךְ וְעָשְׂתָה עִמְּךָ מִלְחָמָה</w:t>
      </w:r>
      <w:r>
        <w:rPr>
          <w:rtl/>
        </w:rPr>
        <w:t xml:space="preserve"> </w:t>
      </w:r>
      <w:r>
        <w:t xml:space="preserve">ist ein konditionaler Satz: </w:t>
      </w:r>
      <w:r>
        <w:rPr>
          <w:rStyle w:val="Fett"/>
          <w:rFonts w:eastAsiaTheme="majorEastAsia"/>
          <w:rtl/>
        </w:rPr>
        <w:t>וְאִם־לֹא תַשְׁלִים עִמָּךְ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אִם</w:t>
      </w:r>
      <w:r>
        <w:t xml:space="preserve">, „wenn", Negation </w:t>
      </w:r>
      <w:r>
        <w:rPr>
          <w:rStyle w:val="Fett"/>
          <w:rFonts w:eastAsiaTheme="majorEastAsia"/>
          <w:rtl/>
        </w:rPr>
        <w:t>לֹא</w:t>
      </w:r>
      <w:r>
        <w:t xml:space="preserve">, </w:t>
      </w:r>
      <w:r>
        <w:rPr>
          <w:rStyle w:val="Fett"/>
          <w:rFonts w:eastAsiaTheme="majorEastAsia"/>
          <w:rtl/>
        </w:rPr>
        <w:t>שׁלם</w:t>
      </w:r>
      <w:r>
        <w:t xml:space="preserve">, Hiphil Imperfekt, 3. Person Femininum Singular, „Frieden machen, friedlich sein", </w:t>
      </w:r>
      <w:r>
        <w:rPr>
          <w:rStyle w:val="Fett"/>
          <w:rFonts w:eastAsiaTheme="majorEastAsia"/>
          <w:rtl/>
        </w:rPr>
        <w:t>עִמָּךְ</w:t>
      </w:r>
      <w:r>
        <w:t xml:space="preserve">, Präposition </w:t>
      </w:r>
      <w:r>
        <w:rPr>
          <w:rStyle w:val="Fett"/>
          <w:rFonts w:eastAsiaTheme="majorEastAsia"/>
          <w:rtl/>
        </w:rPr>
        <w:t>עִם</w:t>
      </w:r>
      <w:r>
        <w:rPr>
          <w:rtl/>
        </w:rPr>
        <w:t xml:space="preserve"> </w:t>
      </w:r>
      <w:r>
        <w:t xml:space="preserve">mit Suffix 2. Person Maskulinum Singular, „mit dir", „wenn nicht Frieden macht sie mit dir"), </w:t>
      </w:r>
      <w:r>
        <w:rPr>
          <w:rStyle w:val="Fett"/>
          <w:rFonts w:eastAsiaTheme="majorEastAsia"/>
          <w:rtl/>
        </w:rPr>
        <w:t xml:space="preserve">וְעָשְׂתָה עִמְּךָ </w:t>
      </w:r>
      <w:r>
        <w:rPr>
          <w:rStyle w:val="Fett"/>
          <w:rFonts w:eastAsiaTheme="majorEastAsia"/>
          <w:rtl/>
        </w:rPr>
        <w:lastRenderedPageBreak/>
        <w:t>מִלְחָמָה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עשׂה</w:t>
      </w:r>
      <w:r>
        <w:t xml:space="preserve">, Qal Perfekt, 3. Person Femininum Singular, „machen, tun", </w:t>
      </w:r>
      <w:r>
        <w:rPr>
          <w:rStyle w:val="Fett"/>
          <w:rFonts w:eastAsiaTheme="majorEastAsia"/>
          <w:rtl/>
        </w:rPr>
        <w:t>עִמְּךָ</w:t>
      </w:r>
      <w:r>
        <w:t xml:space="preserve">, </w:t>
      </w:r>
      <w:r>
        <w:rPr>
          <w:rStyle w:val="Fett"/>
          <w:rFonts w:eastAsiaTheme="majorEastAsia"/>
          <w:rtl/>
        </w:rPr>
        <w:t>מִלְחָמָה</w:t>
      </w:r>
      <w:r>
        <w:t xml:space="preserve">, „Krieg", mit </w:t>
      </w:r>
      <w:r>
        <w:rPr>
          <w:rStyle w:val="Fett"/>
          <w:rFonts w:eastAsiaTheme="majorEastAsia"/>
        </w:rPr>
        <w:t>Waw</w:t>
      </w:r>
      <w:r>
        <w:t xml:space="preserve"> consecutives Perfekt, „und macht mit dir Krieg").</w:t>
      </w:r>
    </w:p>
    <w:p w14:paraId="12674E72" w14:textId="77777777" w:rsidR="00C21CEF" w:rsidRDefault="00C21CEF" w:rsidP="00C21CEF">
      <w:pPr>
        <w:pStyle w:val="whitespace-normal"/>
      </w:pPr>
      <w:r>
        <w:rPr>
          <w:rStyle w:val="Fett"/>
          <w:rFonts w:eastAsiaTheme="majorEastAsia"/>
          <w:rtl/>
        </w:rPr>
        <w:t>וְצַרְתָּ עָלֶיהָ</w:t>
      </w:r>
      <w:r>
        <w:rPr>
          <w:rtl/>
        </w:rPr>
        <w:t xml:space="preserve"> </w:t>
      </w:r>
      <w:r>
        <w:t xml:space="preserve">ist die Apodosis: </w:t>
      </w:r>
      <w:r>
        <w:rPr>
          <w:rStyle w:val="Fett"/>
          <w:rFonts w:eastAsiaTheme="majorEastAsia"/>
          <w:rtl/>
        </w:rPr>
        <w:t>וְצַרְתָּ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צור</w:t>
      </w:r>
      <w:r>
        <w:t xml:space="preserve">, Qal Perfekt, 2. Person Maskulinum Singular, „belagern, einschließen", mit </w:t>
      </w:r>
      <w:r>
        <w:rPr>
          <w:rStyle w:val="Fett"/>
          <w:rFonts w:eastAsiaTheme="majorEastAsia"/>
        </w:rPr>
        <w:t>Waw</w:t>
      </w:r>
      <w:r>
        <w:t xml:space="preserve"> consecutives Perfekt), </w:t>
      </w:r>
      <w:r>
        <w:rPr>
          <w:rStyle w:val="Fett"/>
          <w:rFonts w:eastAsiaTheme="majorEastAsia"/>
          <w:rtl/>
        </w:rPr>
        <w:t>עָלֶיהָ</w:t>
      </w:r>
      <w:r>
        <w:rPr>
          <w:rtl/>
        </w:rPr>
        <w:t xml:space="preserve"> </w:t>
      </w:r>
      <w:r>
        <w:t xml:space="preserve">(Präposition </w:t>
      </w:r>
      <w:r>
        <w:rPr>
          <w:rStyle w:val="Fett"/>
          <w:rFonts w:eastAsiaTheme="majorEastAsia"/>
          <w:rtl/>
        </w:rPr>
        <w:t>עַל</w:t>
      </w:r>
      <w:r>
        <w:rPr>
          <w:rtl/>
        </w:rPr>
        <w:t xml:space="preserve"> </w:t>
      </w:r>
      <w:r>
        <w:t>mit Suffix 3. Person Femininum Singular, „über sie, gegen sie").</w:t>
      </w:r>
    </w:p>
    <w:p w14:paraId="203936DE" w14:textId="77777777" w:rsidR="00C21CEF" w:rsidRDefault="00C21CEF" w:rsidP="00C21CEF">
      <w:pPr>
        <w:pStyle w:val="whitespace-normal"/>
      </w:pPr>
      <w:r>
        <w:t xml:space="preserve">Der Vers beschreibt die Alternative zu V. 11: Wenn die Stadt das Friedensangebot ablehnt und kämpft. Die doppelte Formulierung </w:t>
      </w:r>
      <w:r>
        <w:rPr>
          <w:rStyle w:val="Fett"/>
          <w:rFonts w:eastAsiaTheme="majorEastAsia"/>
          <w:rtl/>
        </w:rPr>
        <w:t>לֹא תַשְׁלִים עִמָּךְ</w:t>
      </w:r>
      <w:r>
        <w:rPr>
          <w:rtl/>
        </w:rPr>
        <w:t xml:space="preserve"> </w:t>
      </w:r>
      <w:r>
        <w:t xml:space="preserve">(„macht nicht Frieden mit dir") und </w:t>
      </w:r>
      <w:r>
        <w:rPr>
          <w:rStyle w:val="Fett"/>
          <w:rFonts w:eastAsiaTheme="majorEastAsia"/>
          <w:rtl/>
        </w:rPr>
        <w:t>וְעָשְׂתָה עִמְּךָ מִלְחָמָה</w:t>
      </w:r>
      <w:r>
        <w:rPr>
          <w:rtl/>
        </w:rPr>
        <w:t xml:space="preserve"> </w:t>
      </w:r>
      <w:r>
        <w:t xml:space="preserve">(„macht mit dir Krieg") betont die Entscheidung der Stadt zum Widerstand. Das Verb </w:t>
      </w:r>
      <w:r>
        <w:rPr>
          <w:rStyle w:val="Fett"/>
          <w:rFonts w:eastAsiaTheme="majorEastAsia"/>
          <w:rtl/>
        </w:rPr>
        <w:t>שׁלם</w:t>
      </w:r>
      <w:r>
        <w:rPr>
          <w:rtl/>
        </w:rPr>
        <w:t xml:space="preserve"> </w:t>
      </w:r>
      <w:r>
        <w:t>im Hiphil („Frieden machen") wird nur hier verwendet (vgl. Jos 10,1.4; 11,19).</w:t>
      </w:r>
    </w:p>
    <w:p w14:paraId="4DFAB91D" w14:textId="06A20FE0" w:rsidR="00C21CEF" w:rsidRDefault="00C21CEF" w:rsidP="00C21CEF">
      <w:pPr>
        <w:pStyle w:val="whitespace-normal"/>
      </w:pPr>
      <w:r>
        <w:t xml:space="preserve">Die Konsequenz: </w:t>
      </w:r>
      <w:r>
        <w:rPr>
          <w:rStyle w:val="Fett"/>
          <w:rFonts w:eastAsiaTheme="majorEastAsia"/>
          <w:rtl/>
        </w:rPr>
        <w:t>וְצַרְתָּ עָלֶיהָ</w:t>
      </w:r>
      <w:r>
        <w:rPr>
          <w:rtl/>
        </w:rPr>
        <w:t xml:space="preserve"> </w:t>
      </w:r>
      <w:r>
        <w:t xml:space="preserve">(„belagere sie"). Das Verb </w:t>
      </w:r>
      <w:r>
        <w:rPr>
          <w:rStyle w:val="Fett"/>
          <w:rFonts w:eastAsiaTheme="majorEastAsia"/>
          <w:rtl/>
        </w:rPr>
        <w:t>צור</w:t>
      </w:r>
      <w:r>
        <w:rPr>
          <w:rtl/>
        </w:rPr>
        <w:t xml:space="preserve"> </w:t>
      </w:r>
      <w:r>
        <w:t xml:space="preserve">(„belagern") ist ein militärisch-technischer Begriff (vgl. Dtn 20,12.19; 28,52; </w:t>
      </w:r>
      <w:r w:rsidR="00664EB6">
        <w:t>2Sam</w:t>
      </w:r>
      <w:r>
        <w:t xml:space="preserve"> 11,1; 20,15; </w:t>
      </w:r>
      <w:r w:rsidR="00664EB6">
        <w:t>1Kön</w:t>
      </w:r>
      <w:r>
        <w:t xml:space="preserve"> 15,27; 16,17; 20,1; </w:t>
      </w:r>
      <w:r w:rsidR="00664EB6">
        <w:t>2Kön</w:t>
      </w:r>
      <w:r>
        <w:t xml:space="preserve"> 6,24.25; 16,5; 17,5; 18,9; 24,10.11; 25,1.2; Jes 21,2; 29,3; Jer 21,4.9; 32,2.24; 37,5; 39,1; 52,4.5; </w:t>
      </w:r>
      <w:r w:rsidR="00BF3748">
        <w:t>Hes</w:t>
      </w:r>
      <w:r>
        <w:t xml:space="preserve"> 4,3; 5,2; Dan 1,1).</w:t>
      </w:r>
    </w:p>
    <w:p w14:paraId="269C7EE7" w14:textId="77777777" w:rsidR="00C21CEF" w:rsidRDefault="00C21CEF" w:rsidP="00C21CEF">
      <w:pPr>
        <w:pStyle w:val="whitespace-normal"/>
      </w:pPr>
      <w:r>
        <w:t>V. 13-14 werden dann die Konsequenzen nach erfolgreicher Belagerung beschreiben.</w:t>
      </w:r>
    </w:p>
    <w:p w14:paraId="5CBD36F0" w14:textId="77777777" w:rsidR="00C21CEF" w:rsidRDefault="00C21CEF" w:rsidP="00C21CEF">
      <w:pPr>
        <w:pStyle w:val="whitespace-normal"/>
      </w:pPr>
      <w:r>
        <w:rPr>
          <w:rStyle w:val="Fett"/>
          <w:rFonts w:eastAsiaTheme="majorEastAsia"/>
        </w:rPr>
        <w:t>Die Satzstruktur:</w:t>
      </w:r>
      <w:r>
        <w:t xml:space="preserve"> Konditionaler Satz mit Apodosis (wenn nicht Frieden macht sie mit dir, und macht mit dir Krieg, belagern sollst du sie).</w:t>
      </w:r>
    </w:p>
    <w:p w14:paraId="61F178EA" w14:textId="77777777" w:rsidR="00C21CEF" w:rsidRDefault="00C21CEF" w:rsidP="00C21CEF">
      <w:pPr>
        <w:pStyle w:val="whitespace-normal"/>
      </w:pPr>
      <w:r>
        <w:t>Der Vers regelt: Wenn die Stadt Widerstand leistet und kämpft – belagere sie (V. 13-14 folgen mit den Konsequenzen).</w:t>
      </w:r>
    </w:p>
    <w:p w14:paraId="07B8A026" w14:textId="77777777" w:rsidR="00C21CEF" w:rsidRPr="00C21CEF" w:rsidRDefault="00C21CEF" w:rsidP="00C21CEF">
      <w:pPr>
        <w:pStyle w:val="berschrift1"/>
        <w:rPr>
          <w:rFonts w:ascii="Times New Roman" w:hAnsi="Times New Roman"/>
          <w:color w:val="auto"/>
          <w:sz w:val="36"/>
          <w:szCs w:val="36"/>
        </w:rPr>
      </w:pPr>
      <w:r w:rsidRPr="00C21CEF">
        <w:rPr>
          <w:rStyle w:val="Fett"/>
          <w:rFonts w:ascii="Times New Roman" w:hAnsi="Times New Roman"/>
          <w:color w:val="auto"/>
          <w:sz w:val="36"/>
          <w:szCs w:val="36"/>
        </w:rPr>
        <w:t>Deuteronomium 20,13</w:t>
      </w:r>
    </w:p>
    <w:p w14:paraId="50E47DF0" w14:textId="77777777" w:rsidR="00C21CEF" w:rsidRDefault="00C21CEF" w:rsidP="00C21CEF">
      <w:pPr>
        <w:pStyle w:val="whitespace-normal"/>
      </w:pPr>
      <w:r>
        <w:rPr>
          <w:rStyle w:val="Fett"/>
          <w:rFonts w:eastAsiaTheme="majorEastAsia"/>
        </w:rPr>
        <w:t>Hebräisch:</w:t>
      </w:r>
      <w:r>
        <w:t xml:space="preserve"> </w:t>
      </w:r>
      <w:r>
        <w:rPr>
          <w:rtl/>
        </w:rPr>
        <w:t>וּנְתָנָ֛הּ יְהוָ֥ה אֱלֹהֶ֖יךָ בְּיָדֶ֑ךָ וְהִכִּיתָ֥ אֶת־כָּל־זְכוּרָ֖הּ לְפִי־חָֽרֶב׃</w:t>
      </w:r>
    </w:p>
    <w:p w14:paraId="68C03980" w14:textId="77777777" w:rsidR="00C21CEF" w:rsidRDefault="00C21CEF" w:rsidP="00C21CEF">
      <w:pPr>
        <w:pStyle w:val="whitespace-normal"/>
      </w:pPr>
      <w:r>
        <w:rPr>
          <w:rStyle w:val="Fett"/>
          <w:rFonts w:eastAsiaTheme="majorEastAsia"/>
        </w:rPr>
        <w:t>Deutsch:</w:t>
      </w:r>
      <w:r>
        <w:t xml:space="preserve"> Und wenn der Ewige, dein Gott, sie in deine Hand gibt, so sollst du alle ihre männlichen Bewohner mit der Schärfe des Schwertes erschlagen.</w:t>
      </w:r>
    </w:p>
    <w:p w14:paraId="316AD11F" w14:textId="77777777" w:rsidR="00C21CEF" w:rsidRDefault="004F5CEB" w:rsidP="00C21CEF">
      <w:r>
        <w:rPr>
          <w:noProof/>
        </w:rPr>
        <w:pict w14:anchorId="7152F902">
          <v:rect id="_x0000_i1565" style="width:0;height:1.5pt" o:hralign="center" o:hrstd="t" o:hr="t" fillcolor="#a0a0a0" stroked="f"/>
        </w:pict>
      </w:r>
    </w:p>
    <w:p w14:paraId="69E56222" w14:textId="77777777" w:rsidR="00C21CEF" w:rsidRDefault="00C21CEF" w:rsidP="00C21CEF">
      <w:pPr>
        <w:pStyle w:val="whitespace-normal"/>
      </w:pPr>
      <w:r>
        <w:rPr>
          <w:rStyle w:val="Fett"/>
          <w:rFonts w:eastAsiaTheme="majorEastAsia"/>
        </w:rPr>
        <w:t>Kommentar:</w:t>
      </w:r>
      <w:r>
        <w:t xml:space="preserve"> </w:t>
      </w:r>
      <w:r>
        <w:rPr>
          <w:rStyle w:val="Fett"/>
          <w:rFonts w:eastAsiaTheme="majorEastAsia"/>
          <w:rtl/>
        </w:rPr>
        <w:t>וּנְתָנָהּ יְהוָה אֱלֹהֶיךָ בְּיָדֶךָ</w:t>
      </w:r>
      <w:r>
        <w:rPr>
          <w:rtl/>
        </w:rPr>
        <w:t xml:space="preserve"> </w:t>
      </w:r>
      <w:r>
        <w:t xml:space="preserve">ist ein temporaler Satz: </w:t>
      </w:r>
      <w:r>
        <w:rPr>
          <w:rStyle w:val="Fett"/>
          <w:rFonts w:eastAsiaTheme="majorEastAsia"/>
          <w:rtl/>
        </w:rPr>
        <w:t>וּנְתָנָהּ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נתן</w:t>
      </w:r>
      <w:r>
        <w:t xml:space="preserve">, Qal Perfekt, 3. Person Maskulinum Singular, „geben", mit Suffix 3. Person Femininum Singular, mit </w:t>
      </w:r>
      <w:r>
        <w:rPr>
          <w:rStyle w:val="Fett"/>
          <w:rFonts w:eastAsiaTheme="majorEastAsia"/>
        </w:rPr>
        <w:t>Waw</w:t>
      </w:r>
      <w:r>
        <w:t xml:space="preserve"> consecutives Perfekt), </w:t>
      </w:r>
      <w:r>
        <w:rPr>
          <w:rStyle w:val="Fett"/>
          <w:rFonts w:eastAsiaTheme="majorEastAsia"/>
          <w:rtl/>
        </w:rPr>
        <w:t>יְהוָה אֱלֹהֶיךָ</w:t>
      </w:r>
      <w:r>
        <w:rPr>
          <w:rtl/>
        </w:rPr>
        <w:t xml:space="preserve"> </w:t>
      </w:r>
      <w:r>
        <w:t xml:space="preserve">als Subjekt, </w:t>
      </w:r>
      <w:r>
        <w:rPr>
          <w:rStyle w:val="Fett"/>
          <w:rFonts w:eastAsiaTheme="majorEastAsia"/>
          <w:rtl/>
        </w:rPr>
        <w:t>בְּיָדֶךָ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יָד</w:t>
      </w:r>
      <w:r>
        <w:t>, „Hand", mit Suffix 2. Person Maskulinum Singular, „in deine Hand").</w:t>
      </w:r>
    </w:p>
    <w:p w14:paraId="1FF2A452" w14:textId="77777777" w:rsidR="00C21CEF" w:rsidRDefault="00C21CEF" w:rsidP="00C21CEF">
      <w:pPr>
        <w:pStyle w:val="whitespace-normal"/>
      </w:pPr>
      <w:r>
        <w:rPr>
          <w:rStyle w:val="Fett"/>
          <w:rFonts w:eastAsiaTheme="majorEastAsia"/>
          <w:rtl/>
        </w:rPr>
        <w:t>וְהִכִּיתָ אֶת־כָּל־זְכוּרָהּ לְפִי־חָרֶב</w:t>
      </w:r>
      <w:r>
        <w:rPr>
          <w:rtl/>
        </w:rPr>
        <w:t xml:space="preserve"> </w:t>
      </w:r>
      <w:r>
        <w:t xml:space="preserve">ist die Apodosis: </w:t>
      </w:r>
      <w:r>
        <w:rPr>
          <w:rStyle w:val="Fett"/>
          <w:rFonts w:eastAsiaTheme="majorEastAsia"/>
          <w:rtl/>
        </w:rPr>
        <w:t>וְהִכִּיתָ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נכה</w:t>
      </w:r>
      <w:r>
        <w:t xml:space="preserve">, Hiphil Perfekt, 2. Person Maskulinum Singular, „schlagen, erschlagen", mit </w:t>
      </w:r>
      <w:r>
        <w:rPr>
          <w:rStyle w:val="Fett"/>
          <w:rFonts w:eastAsiaTheme="majorEastAsia"/>
        </w:rPr>
        <w:t>Waw</w:t>
      </w:r>
      <w:r>
        <w:t xml:space="preserve"> consecutives Perfekt), </w:t>
      </w:r>
      <w:r>
        <w:rPr>
          <w:rStyle w:val="Fett"/>
          <w:rFonts w:eastAsiaTheme="majorEastAsia"/>
          <w:rtl/>
        </w:rPr>
        <w:t>אֶת־כָּל־זְכוּרָהּ</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כֹּל</w:t>
      </w:r>
      <w:r>
        <w:t xml:space="preserve">, Construct mit </w:t>
      </w:r>
      <w:r>
        <w:rPr>
          <w:rStyle w:val="Fett"/>
          <w:rFonts w:eastAsiaTheme="majorEastAsia"/>
          <w:rtl/>
        </w:rPr>
        <w:t>זָכוּר</w:t>
      </w:r>
      <w:r>
        <w:t xml:space="preserve">, „männlich, Männchen", mit Suffix 3. Person Femininum Singular, „alle ihre männlichen [Bewohner]"), </w:t>
      </w:r>
      <w:r>
        <w:rPr>
          <w:rStyle w:val="Fett"/>
          <w:rFonts w:eastAsiaTheme="majorEastAsia"/>
          <w:rtl/>
        </w:rPr>
        <w:t>לְפִי־חָרֶב</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פֶּה</w:t>
      </w:r>
      <w:r>
        <w:t xml:space="preserve">, „Mund", Construct mit </w:t>
      </w:r>
      <w:r>
        <w:rPr>
          <w:rStyle w:val="Fett"/>
          <w:rFonts w:eastAsiaTheme="majorEastAsia"/>
          <w:rtl/>
        </w:rPr>
        <w:t>חֶרֶב</w:t>
      </w:r>
      <w:r>
        <w:t>, „Schwert", „nach dem Mund des Schwertes" = mit der Schärfe des Schwertes).</w:t>
      </w:r>
    </w:p>
    <w:p w14:paraId="3A969BD5" w14:textId="77777777" w:rsidR="00C21CEF" w:rsidRDefault="00C21CEF" w:rsidP="00C21CEF">
      <w:pPr>
        <w:pStyle w:val="whitespace-normal"/>
      </w:pPr>
      <w:r>
        <w:lastRenderedPageBreak/>
        <w:t xml:space="preserve">Der Vers beschreibt die Konsequenzen bei gewaltsamer Eroberung: (1) </w:t>
      </w:r>
      <w:r>
        <w:rPr>
          <w:rStyle w:val="Fett"/>
          <w:rFonts w:eastAsiaTheme="majorEastAsia"/>
          <w:rtl/>
        </w:rPr>
        <w:t>וּנְתָנָהּ יְהוָה אֱלֹהֶיךָ בְּיָדֶךָ</w:t>
      </w:r>
      <w:r>
        <w:rPr>
          <w:rtl/>
        </w:rPr>
        <w:t xml:space="preserve"> </w:t>
      </w:r>
      <w:r>
        <w:t xml:space="preserve">(„gibt JHWH, dein Gott, sie in deine Hand") – die Eroberung wird JHWH zugeschrieben (vgl. Dtn 2,24.30.31.33.36; 3,2.3; 7,2.16.23.24; 20,13; 21,10; Jos 6,2; 8,1.7.18; 10,8.19.30.32; 11,6.8), (2) </w:t>
      </w:r>
      <w:r>
        <w:rPr>
          <w:rStyle w:val="Fett"/>
          <w:rFonts w:eastAsiaTheme="majorEastAsia"/>
          <w:rtl/>
        </w:rPr>
        <w:t>וְהִכִּיתָ אֶת־כָּל־זְכוּרָהּ לְפִי־חָרֶב</w:t>
      </w:r>
      <w:r>
        <w:rPr>
          <w:rtl/>
        </w:rPr>
        <w:t xml:space="preserve"> </w:t>
      </w:r>
      <w:r>
        <w:t>(„erschlage alle ihre männlichen Bewohner mit der Schärfe des Schwertes") – alle erwachsenen Männer werden getötet.</w:t>
      </w:r>
    </w:p>
    <w:p w14:paraId="3EE4FD24" w14:textId="6AF11D64" w:rsidR="00C21CEF" w:rsidRDefault="00C21CEF" w:rsidP="00C21CEF">
      <w:pPr>
        <w:pStyle w:val="whitespace-normal"/>
      </w:pPr>
      <w:r>
        <w:t xml:space="preserve">Das Wort </w:t>
      </w:r>
      <w:r>
        <w:rPr>
          <w:rStyle w:val="Fett"/>
          <w:rFonts w:eastAsiaTheme="majorEastAsia"/>
          <w:rtl/>
        </w:rPr>
        <w:t>זָכוּר</w:t>
      </w:r>
      <w:r>
        <w:rPr>
          <w:rtl/>
        </w:rPr>
        <w:t xml:space="preserve"> </w:t>
      </w:r>
      <w:r>
        <w:t xml:space="preserve">(„männlich, Männchen") bezeichnet die wehrfähigen Männer (vgl. Gen 1,27; 5,2; 6,19; 7,3.9.16; Ex 12,5.48; 13,12.15; 23,17; 34,19.23; </w:t>
      </w:r>
      <w:r w:rsidR="00664EB6">
        <w:t>Lev</w:t>
      </w:r>
      <w:r>
        <w:t xml:space="preserve"> 1,3.10; 3,1.6; 4,23; 6,11.22; 7,6; 12,7; 18,22; 20,13; 27,3.5.6.7; Num 1,2.20.22; 3,15.22.28.34.39.40.43; 5,3; 26,62; 31,7.17.18; Dtn 4,16; 15,19; 20,13; Jos 5,4; 17,2; Ri 21,11.12; Jer 20,15; 30,6; </w:t>
      </w:r>
      <w:r w:rsidR="00BF3748">
        <w:t>Hes</w:t>
      </w:r>
      <w:r>
        <w:t xml:space="preserve"> 16,17; Mal 1,14).</w:t>
      </w:r>
    </w:p>
    <w:p w14:paraId="71D021D8" w14:textId="00AABE98" w:rsidR="00C21CEF" w:rsidRDefault="00C21CEF" w:rsidP="00C21CEF">
      <w:pPr>
        <w:pStyle w:val="whitespace-normal"/>
      </w:pPr>
      <w:r>
        <w:t xml:space="preserve">Die Formulierung </w:t>
      </w:r>
      <w:r>
        <w:rPr>
          <w:rStyle w:val="Fett"/>
          <w:rFonts w:eastAsiaTheme="majorEastAsia"/>
          <w:rtl/>
        </w:rPr>
        <w:t>לְפִי־חָרֶב</w:t>
      </w:r>
      <w:r>
        <w:rPr>
          <w:rtl/>
        </w:rPr>
        <w:t xml:space="preserve"> </w:t>
      </w:r>
      <w:r>
        <w:t xml:space="preserve">(„nach dem Mund des Schwertes" = mit der Schärfe des Schwertes) ist eine idiomatische Wendung für totale Vernichtung mit dem Schwert (vgl. Gen 34,26; Ex 17,13; Num 21,24; Dtn 13,16; 20,13; Jos 6,21; 8,24; 10,28.30.32.35.37.39; 11,11.12.14; 19,47; Ri 1,8.25; 4,15.16; 18,27; 20,37.48; 21,10; </w:t>
      </w:r>
      <w:r w:rsidR="00664EB6">
        <w:t>1Sam</w:t>
      </w:r>
      <w:r>
        <w:t xml:space="preserve"> 15,8; 22,19; </w:t>
      </w:r>
      <w:r w:rsidR="00664EB6">
        <w:t>2Sam</w:t>
      </w:r>
      <w:r>
        <w:t xml:space="preserve"> 15,14; </w:t>
      </w:r>
      <w:r w:rsidR="00664EB6">
        <w:t>1Chr</w:t>
      </w:r>
      <w:r>
        <w:t xml:space="preserve"> 20,3; Hiob 1,15.17; Sir 28,18; Jer 21,7).</w:t>
      </w:r>
    </w:p>
    <w:p w14:paraId="58AF5E84" w14:textId="77777777" w:rsidR="00C21CEF" w:rsidRDefault="00C21CEF" w:rsidP="00C21CEF">
      <w:pPr>
        <w:pStyle w:val="whitespace-normal"/>
      </w:pPr>
      <w:r>
        <w:rPr>
          <w:rStyle w:val="Fett"/>
          <w:rFonts w:eastAsiaTheme="majorEastAsia"/>
        </w:rPr>
        <w:t>Wichtig:</w:t>
      </w:r>
      <w:r>
        <w:t xml:space="preserve"> Nur die </w:t>
      </w:r>
      <w:r>
        <w:rPr>
          <w:rStyle w:val="Fett"/>
          <w:rFonts w:eastAsiaTheme="majorEastAsia"/>
          <w:rtl/>
        </w:rPr>
        <w:t>זְכוּרָהּ</w:t>
      </w:r>
      <w:r>
        <w:rPr>
          <w:rtl/>
        </w:rPr>
        <w:t xml:space="preserve"> </w:t>
      </w:r>
      <w:r>
        <w:t xml:space="preserve">(„männlichen Bewohner") werden getötet – V. 14 wird zeigen, dass Frauen, Kinder und Vieh verschont werden. Dies steht im Gegensatz zu V. 16-17, wo bei kanaanäischen Städten </w:t>
      </w:r>
      <w:r>
        <w:rPr>
          <w:rStyle w:val="Fett"/>
          <w:rFonts w:eastAsiaTheme="majorEastAsia"/>
          <w:rtl/>
        </w:rPr>
        <w:t>כָּל־נְשָׁמָה</w:t>
      </w:r>
      <w:r>
        <w:rPr>
          <w:rtl/>
        </w:rPr>
        <w:t xml:space="preserve"> </w:t>
      </w:r>
      <w:r>
        <w:t>(„alles, was Atem hat") getötet werden muss.</w:t>
      </w:r>
    </w:p>
    <w:p w14:paraId="5AC9E251" w14:textId="77777777" w:rsidR="00C21CEF" w:rsidRDefault="00C21CEF" w:rsidP="00C21CEF">
      <w:pPr>
        <w:pStyle w:val="whitespace-normal"/>
      </w:pPr>
      <w:r>
        <w:rPr>
          <w:rStyle w:val="Fett"/>
          <w:rFonts w:eastAsiaTheme="majorEastAsia"/>
        </w:rPr>
        <w:t>Die Satzstruktur:</w:t>
      </w:r>
      <w:r>
        <w:t xml:space="preserve"> Temporaler Satz mit Apodosis (und gibt sie JHWH, dein Gott, in deine Hand, erschlagen sollst du alle ihre männlichen [Bewohner] nach dem Mund des Schwertes).</w:t>
      </w:r>
    </w:p>
    <w:p w14:paraId="0DFC1AA4" w14:textId="77777777" w:rsidR="00C21CEF" w:rsidRDefault="00C21CEF" w:rsidP="00C21CEF">
      <w:pPr>
        <w:pStyle w:val="whitespace-normal"/>
      </w:pPr>
      <w:r>
        <w:t>Der Vers bestimmt: Wenn JHWH die Stadt in deine Hand gibt – erschlage alle erwachsenen Männer mit dem Schwert.</w:t>
      </w:r>
    </w:p>
    <w:p w14:paraId="1B96B78F" w14:textId="77777777" w:rsidR="00C21CEF" w:rsidRPr="00C21CEF" w:rsidRDefault="00C21CEF" w:rsidP="00C21CEF">
      <w:pPr>
        <w:pStyle w:val="berschrift1"/>
        <w:rPr>
          <w:rFonts w:ascii="Times New Roman" w:hAnsi="Times New Roman"/>
          <w:color w:val="auto"/>
          <w:sz w:val="36"/>
          <w:szCs w:val="36"/>
        </w:rPr>
      </w:pPr>
      <w:r w:rsidRPr="00C21CEF">
        <w:rPr>
          <w:rStyle w:val="Fett"/>
          <w:rFonts w:ascii="Times New Roman" w:hAnsi="Times New Roman"/>
          <w:color w:val="auto"/>
          <w:sz w:val="36"/>
          <w:szCs w:val="36"/>
        </w:rPr>
        <w:t>Deuteronomium 20,14</w:t>
      </w:r>
    </w:p>
    <w:p w14:paraId="000CA259" w14:textId="77777777" w:rsidR="00C21CEF" w:rsidRDefault="00C21CEF" w:rsidP="00C21CEF">
      <w:pPr>
        <w:pStyle w:val="whitespace-normal"/>
      </w:pPr>
      <w:r>
        <w:rPr>
          <w:rStyle w:val="Fett"/>
          <w:rFonts w:eastAsiaTheme="majorEastAsia"/>
        </w:rPr>
        <w:t>Hebräisch:</w:t>
      </w:r>
      <w:r>
        <w:t xml:space="preserve"> </w:t>
      </w:r>
      <w:r>
        <w:rPr>
          <w:rtl/>
        </w:rPr>
        <w:t>רַ֣ק הַ֠נָּשִׁים וְהַטַּ֨ף וְהַבְּהֵמָ֜ה וְכֹל֩ אֲשֶׁ֨ר יִהְיֶ֥ה בָעִ֛יר כָּל־שְׁלָלָ֖הּ תָּבֹ֣ז לָ֑ךְ וְאָֽכַלְתָּ֙ אֶת־שְׁלַ֣ל אֹיְבֶ֔יךָ אֲשֶׁ֥ר נָתַ֛ן יְהוָ֥ה אֱלֹהֶ֖יךָ לָֽךְ׃</w:t>
      </w:r>
    </w:p>
    <w:p w14:paraId="7FBCE90D" w14:textId="77777777" w:rsidR="00C21CEF" w:rsidRDefault="00C21CEF" w:rsidP="00C21CEF">
      <w:pPr>
        <w:pStyle w:val="whitespace-normal"/>
      </w:pPr>
      <w:r>
        <w:rPr>
          <w:rStyle w:val="Fett"/>
          <w:rFonts w:eastAsiaTheme="majorEastAsia"/>
        </w:rPr>
        <w:t>Deutsch:</w:t>
      </w:r>
      <w:r>
        <w:t xml:space="preserve"> Nur die Frauen und die Kinder und das Vieh und alles, was in der Stadt ist, all ihre Beute, sollst du für dich plündern; und du sollst die Beute deiner Feinde essen, die der Ewige, dein Gott, dir gegeben hat.</w:t>
      </w:r>
    </w:p>
    <w:p w14:paraId="0D4584D3" w14:textId="77777777" w:rsidR="00C21CEF" w:rsidRDefault="004F5CEB" w:rsidP="00C21CEF">
      <w:r>
        <w:rPr>
          <w:noProof/>
        </w:rPr>
        <w:pict w14:anchorId="1727AB74">
          <v:rect id="_x0000_i1566" style="width:0;height:1.5pt" o:hralign="center" o:hrstd="t" o:hr="t" fillcolor="#a0a0a0" stroked="f"/>
        </w:pict>
      </w:r>
    </w:p>
    <w:p w14:paraId="3F053F89" w14:textId="77777777" w:rsidR="00C21CEF" w:rsidRDefault="00C21CEF" w:rsidP="00C21CEF">
      <w:pPr>
        <w:pStyle w:val="whitespace-normal"/>
      </w:pPr>
      <w:r>
        <w:rPr>
          <w:rStyle w:val="Fett"/>
          <w:rFonts w:eastAsiaTheme="majorEastAsia"/>
        </w:rPr>
        <w:t>Kommentar:</w:t>
      </w:r>
      <w:r>
        <w:t xml:space="preserve"> </w:t>
      </w:r>
      <w:r>
        <w:rPr>
          <w:rStyle w:val="Fett"/>
          <w:rFonts w:eastAsiaTheme="majorEastAsia"/>
          <w:rtl/>
        </w:rPr>
        <w:t>רַק הַנָּשִׁים וְהַטַּף וְהַבְּהֵמָה וְכֹל אֲשֶׁר יִהְיֶה בָעִיר כָּל־שְׁלָלָהּ תָּבֹז לָךְ</w:t>
      </w:r>
      <w:r>
        <w:rPr>
          <w:rtl/>
        </w:rPr>
        <w:t xml:space="preserve"> </w:t>
      </w:r>
      <w:r>
        <w:t xml:space="preserve">ist eine Ausnahmeklausel: </w:t>
      </w:r>
      <w:r>
        <w:rPr>
          <w:rStyle w:val="Fett"/>
          <w:rFonts w:eastAsiaTheme="majorEastAsia"/>
          <w:rtl/>
        </w:rPr>
        <w:t>רַק</w:t>
      </w:r>
      <w:r>
        <w:rPr>
          <w:rtl/>
        </w:rPr>
        <w:t xml:space="preserve"> </w:t>
      </w:r>
      <w:r>
        <w:t xml:space="preserve">(Partikel, „nur, jedoch"), </w:t>
      </w:r>
      <w:r>
        <w:rPr>
          <w:rStyle w:val="Fett"/>
          <w:rFonts w:eastAsiaTheme="majorEastAsia"/>
          <w:rtl/>
        </w:rPr>
        <w:t>הַנָּשִׁים</w:t>
      </w:r>
      <w:r>
        <w:rPr>
          <w:rtl/>
        </w:rPr>
        <w:t xml:space="preserve"> </w:t>
      </w:r>
      <w:r>
        <w:t>(</w:t>
      </w:r>
      <w:r>
        <w:rPr>
          <w:rStyle w:val="Fett"/>
          <w:rFonts w:eastAsiaTheme="majorEastAsia"/>
          <w:rtl/>
        </w:rPr>
        <w:t>אִשָּׁה</w:t>
      </w:r>
      <w:r>
        <w:t xml:space="preserve">, „Frau", Plural mit Artikel), </w:t>
      </w:r>
      <w:r>
        <w:rPr>
          <w:rStyle w:val="Fett"/>
          <w:rFonts w:eastAsiaTheme="majorEastAsia"/>
          <w:rtl/>
        </w:rPr>
        <w:t>וְהַטַּף</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טַף</w:t>
      </w:r>
      <w:r>
        <w:t xml:space="preserve">, „Kinder", mit Artikel, Kollektivum für kleine Kinder), </w:t>
      </w:r>
      <w:r>
        <w:rPr>
          <w:rStyle w:val="Fett"/>
          <w:rFonts w:eastAsiaTheme="majorEastAsia"/>
          <w:rtl/>
        </w:rPr>
        <w:t>וְהַבְּהֵמָה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בְּהֵמָה</w:t>
      </w:r>
      <w:r>
        <w:t xml:space="preserve">, „Vieh", mit Artikel), </w:t>
      </w:r>
      <w:r>
        <w:rPr>
          <w:rStyle w:val="Fett"/>
          <w:rFonts w:eastAsiaTheme="majorEastAsia"/>
          <w:rtl/>
        </w:rPr>
        <w:t>וְכֹל אֲשֶׁר יִהְיֶה בָעִיר</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כֹּל</w:t>
      </w:r>
      <w:r>
        <w:t xml:space="preserve">, Relativsatz: </w:t>
      </w:r>
      <w:r>
        <w:rPr>
          <w:rStyle w:val="Fett"/>
          <w:rFonts w:eastAsiaTheme="majorEastAsia"/>
          <w:rtl/>
        </w:rPr>
        <w:t>אֲשֶׁר</w:t>
      </w:r>
      <w:r>
        <w:rPr>
          <w:rtl/>
        </w:rPr>
        <w:t xml:space="preserve"> </w:t>
      </w:r>
      <w:r>
        <w:t xml:space="preserve">mit </w:t>
      </w:r>
      <w:r>
        <w:rPr>
          <w:rStyle w:val="Fett"/>
          <w:rFonts w:eastAsiaTheme="majorEastAsia"/>
          <w:rtl/>
        </w:rPr>
        <w:t>היה</w:t>
      </w:r>
      <w:r>
        <w:t xml:space="preserve">, Qal Imperfekt, 3. Person Maskulinum Singular, „sein", </w:t>
      </w:r>
      <w:r>
        <w:rPr>
          <w:rStyle w:val="Fett"/>
          <w:rFonts w:eastAsiaTheme="majorEastAsia"/>
          <w:rtl/>
        </w:rPr>
        <w:t>בָעִיר</w:t>
      </w:r>
      <w:r>
        <w:t xml:space="preserve">, Präposition </w:t>
      </w:r>
      <w:r>
        <w:rPr>
          <w:rStyle w:val="Fett"/>
          <w:rFonts w:eastAsiaTheme="majorEastAsia"/>
          <w:rtl/>
        </w:rPr>
        <w:t>בְּ</w:t>
      </w:r>
      <w:r>
        <w:rPr>
          <w:rtl/>
        </w:rPr>
        <w:t xml:space="preserve"> </w:t>
      </w:r>
      <w:r>
        <w:t xml:space="preserve">mit </w:t>
      </w:r>
      <w:r>
        <w:rPr>
          <w:rStyle w:val="Fett"/>
          <w:rFonts w:eastAsiaTheme="majorEastAsia"/>
          <w:rtl/>
        </w:rPr>
        <w:t>עִיר</w:t>
      </w:r>
      <w:r>
        <w:rPr>
          <w:rtl/>
        </w:rPr>
        <w:t xml:space="preserve"> </w:t>
      </w:r>
      <w:r>
        <w:t xml:space="preserve">mit Artikel, „und alles, was ist in der Stadt"), </w:t>
      </w:r>
      <w:r>
        <w:rPr>
          <w:rStyle w:val="Fett"/>
          <w:rFonts w:eastAsiaTheme="majorEastAsia"/>
          <w:rtl/>
        </w:rPr>
        <w:t>כָּל־שְׁלָלָהּ</w:t>
      </w:r>
      <w:r>
        <w:rPr>
          <w:rtl/>
        </w:rPr>
        <w:t xml:space="preserve"> </w:t>
      </w:r>
      <w:r>
        <w:t>(</w:t>
      </w:r>
      <w:r>
        <w:rPr>
          <w:rStyle w:val="Fett"/>
          <w:rFonts w:eastAsiaTheme="majorEastAsia"/>
          <w:rtl/>
        </w:rPr>
        <w:t>כֹּל</w:t>
      </w:r>
      <w:r>
        <w:t xml:space="preserve">, Construct mit </w:t>
      </w:r>
      <w:r>
        <w:rPr>
          <w:rStyle w:val="Fett"/>
          <w:rFonts w:eastAsiaTheme="majorEastAsia"/>
          <w:rtl/>
        </w:rPr>
        <w:t>שָׁלָל</w:t>
      </w:r>
      <w:r>
        <w:t xml:space="preserve">, „Beute, Kriegsbeute", mit Suffix 3. Person Femininum Singular, „all ihre Beute"), </w:t>
      </w:r>
      <w:r>
        <w:rPr>
          <w:rStyle w:val="Fett"/>
          <w:rFonts w:eastAsiaTheme="majorEastAsia"/>
          <w:rtl/>
        </w:rPr>
        <w:t xml:space="preserve">תָּבֹז </w:t>
      </w:r>
      <w:r>
        <w:rPr>
          <w:rStyle w:val="Fett"/>
          <w:rFonts w:eastAsiaTheme="majorEastAsia"/>
          <w:rtl/>
        </w:rPr>
        <w:lastRenderedPageBreak/>
        <w:t>לָךְ</w:t>
      </w:r>
      <w:r>
        <w:rPr>
          <w:rtl/>
        </w:rPr>
        <w:t xml:space="preserve"> </w:t>
      </w:r>
      <w:r>
        <w:t xml:space="preserve">(Qal Imperfekt, 2. Person Maskulinum Singular von </w:t>
      </w:r>
      <w:r>
        <w:rPr>
          <w:rStyle w:val="Fett"/>
          <w:rFonts w:eastAsiaTheme="majorEastAsia"/>
          <w:rtl/>
        </w:rPr>
        <w:t>בזז</w:t>
      </w:r>
      <w:r>
        <w:t xml:space="preserve">, „plündern, Beute machen", </w:t>
      </w:r>
      <w:r>
        <w:rPr>
          <w:rStyle w:val="Fett"/>
          <w:rFonts w:eastAsiaTheme="majorEastAsia"/>
          <w:rtl/>
        </w:rPr>
        <w:t>לָךְ</w:t>
      </w:r>
      <w:r>
        <w:t>, „plündern sollst du für dich").</w:t>
      </w:r>
    </w:p>
    <w:p w14:paraId="47633D0A" w14:textId="77777777" w:rsidR="00C21CEF" w:rsidRDefault="00C21CEF" w:rsidP="00C21CEF">
      <w:pPr>
        <w:pStyle w:val="whitespace-normal"/>
      </w:pPr>
      <w:r>
        <w:rPr>
          <w:rStyle w:val="Fett"/>
          <w:rFonts w:eastAsiaTheme="majorEastAsia"/>
          <w:rtl/>
        </w:rPr>
        <w:t>וְאָכַלְתָּ אֶת־שְׁלַל אֹיְבֶיךָ אֲשֶׁר נָתַן יְהוָה אֱלֹהֶיךָ לָךְ</w:t>
      </w:r>
      <w:r>
        <w:rPr>
          <w:rtl/>
        </w:rPr>
        <w:t xml:space="preserve"> </w:t>
      </w:r>
      <w:r>
        <w:t xml:space="preserve">ist die weitere Bestimmung: </w:t>
      </w:r>
      <w:r>
        <w:rPr>
          <w:rStyle w:val="Fett"/>
          <w:rFonts w:eastAsiaTheme="majorEastAsia"/>
          <w:rtl/>
        </w:rPr>
        <w:t>וְאָכַלְתָּ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אכל</w:t>
      </w:r>
      <w:r>
        <w:t xml:space="preserve">, Qal Perfekt, 2. Person Maskulinum Singular, „essen", mit </w:t>
      </w:r>
      <w:r>
        <w:rPr>
          <w:rStyle w:val="Fett"/>
          <w:rFonts w:eastAsiaTheme="majorEastAsia"/>
        </w:rPr>
        <w:t>Waw</w:t>
      </w:r>
      <w:r>
        <w:t xml:space="preserve"> consecutives Perfekt), </w:t>
      </w:r>
      <w:r>
        <w:rPr>
          <w:rStyle w:val="Fett"/>
          <w:rFonts w:eastAsiaTheme="majorEastAsia"/>
          <w:rtl/>
        </w:rPr>
        <w:t>אֶת־שְׁלַל אֹיְבֶיךָ</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שָׁלָל</w:t>
      </w:r>
      <w:r>
        <w:t xml:space="preserve">, „Beute", Construct mit </w:t>
      </w:r>
      <w:r>
        <w:rPr>
          <w:rStyle w:val="Fett"/>
          <w:rFonts w:eastAsiaTheme="majorEastAsia"/>
          <w:rtl/>
        </w:rPr>
        <w:t>איב</w:t>
      </w:r>
      <w:r>
        <w:t xml:space="preserve">, Qal Partizip, „Feind", Plural mit Suffix 2. Person Maskulinum Singular, „die Beute deiner Feinde"), </w:t>
      </w:r>
      <w:r>
        <w:rPr>
          <w:rStyle w:val="Fett"/>
          <w:rFonts w:eastAsiaTheme="majorEastAsia"/>
          <w:rtl/>
        </w:rPr>
        <w:t>אֲשֶׁר נָתַן יְהוָה אֱלֹהֶיךָ לָךְ</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נתן</w:t>
      </w:r>
      <w:r>
        <w:t xml:space="preserve">, Qal Perfekt, 3. Person Maskulinum Singular, „geben", </w:t>
      </w:r>
      <w:r>
        <w:rPr>
          <w:rStyle w:val="Fett"/>
          <w:rFonts w:eastAsiaTheme="majorEastAsia"/>
          <w:rtl/>
        </w:rPr>
        <w:t>יְהוָה אֱלֹהֶיךָ</w:t>
      </w:r>
      <w:r>
        <w:rPr>
          <w:rtl/>
        </w:rPr>
        <w:t xml:space="preserve"> </w:t>
      </w:r>
      <w:r>
        <w:t xml:space="preserve">als Subjekt, </w:t>
      </w:r>
      <w:r>
        <w:rPr>
          <w:rStyle w:val="Fett"/>
          <w:rFonts w:eastAsiaTheme="majorEastAsia"/>
          <w:rtl/>
        </w:rPr>
        <w:t>לָךְ</w:t>
      </w:r>
      <w:r>
        <w:t>, „die gegeben hat JHWH, dein Gott, dir").</w:t>
      </w:r>
    </w:p>
    <w:p w14:paraId="45299368" w14:textId="77777777" w:rsidR="00C21CEF" w:rsidRDefault="00C21CEF" w:rsidP="00C21CEF">
      <w:pPr>
        <w:pStyle w:val="whitespace-normal"/>
      </w:pPr>
      <w:r>
        <w:t xml:space="preserve">Der Vers spezifiziert die Ausnahmen von der Tötungsregel in V. 13: (1) </w:t>
      </w:r>
      <w:r>
        <w:rPr>
          <w:rStyle w:val="Fett"/>
          <w:rFonts w:eastAsiaTheme="majorEastAsia"/>
          <w:rtl/>
        </w:rPr>
        <w:t>הַנָּשִׁים</w:t>
      </w:r>
      <w:r>
        <w:rPr>
          <w:rtl/>
        </w:rPr>
        <w:t xml:space="preserve"> </w:t>
      </w:r>
      <w:r>
        <w:t xml:space="preserve">(„die Frauen") – werden verschont (vgl. Num 31,9.15.18.35; Dtn 21,10-14), (2) </w:t>
      </w:r>
      <w:r>
        <w:rPr>
          <w:rStyle w:val="Fett"/>
          <w:rFonts w:eastAsiaTheme="majorEastAsia"/>
          <w:rtl/>
        </w:rPr>
        <w:t>וְהַטַּף</w:t>
      </w:r>
      <w:r>
        <w:rPr>
          <w:rtl/>
        </w:rPr>
        <w:t xml:space="preserve"> </w:t>
      </w:r>
      <w:r>
        <w:t xml:space="preserve">(„die Kinder") – kleine Kinder werden verschont, (3) </w:t>
      </w:r>
      <w:r>
        <w:rPr>
          <w:rStyle w:val="Fett"/>
          <w:rFonts w:eastAsiaTheme="majorEastAsia"/>
          <w:rtl/>
        </w:rPr>
        <w:t>וְהַבְּהֵמָה</w:t>
      </w:r>
      <w:r>
        <w:rPr>
          <w:rtl/>
        </w:rPr>
        <w:t xml:space="preserve"> </w:t>
      </w:r>
      <w:r>
        <w:t xml:space="preserve">(„das Vieh") – Tiere werden Beute, (4) </w:t>
      </w:r>
      <w:r>
        <w:rPr>
          <w:rStyle w:val="Fett"/>
          <w:rFonts w:eastAsiaTheme="majorEastAsia"/>
          <w:rtl/>
        </w:rPr>
        <w:t>וְכֹל אֲשֶׁר יִהְיֶה בָעִיר</w:t>
      </w:r>
      <w:r>
        <w:rPr>
          <w:rtl/>
        </w:rPr>
        <w:t xml:space="preserve"> </w:t>
      </w:r>
      <w:r>
        <w:t>(„alles, was in der Stadt ist") – alle Besitztümer.</w:t>
      </w:r>
    </w:p>
    <w:p w14:paraId="6708D066" w14:textId="77777777" w:rsidR="00C21CEF" w:rsidRDefault="00C21CEF" w:rsidP="00C21CEF">
      <w:pPr>
        <w:pStyle w:val="whitespace-normal"/>
      </w:pPr>
      <w:r>
        <w:t xml:space="preserve">Die doppelte Formulierung </w:t>
      </w:r>
      <w:r>
        <w:rPr>
          <w:rStyle w:val="Fett"/>
          <w:rFonts w:eastAsiaTheme="majorEastAsia"/>
          <w:rtl/>
        </w:rPr>
        <w:t>כָּל־שְׁלָלָהּ תָּבֹז לָךְ</w:t>
      </w:r>
      <w:r>
        <w:rPr>
          <w:rtl/>
        </w:rPr>
        <w:t xml:space="preserve"> </w:t>
      </w:r>
      <w:r>
        <w:t xml:space="preserve">(„all ihre Beute plündern sollst du für dich") und </w:t>
      </w:r>
      <w:r>
        <w:rPr>
          <w:rStyle w:val="Fett"/>
          <w:rFonts w:eastAsiaTheme="majorEastAsia"/>
          <w:rtl/>
        </w:rPr>
        <w:t>וְאָכַלְתָּ אֶת־שְׁלַל אֹיְבֶיךָ</w:t>
      </w:r>
      <w:r>
        <w:rPr>
          <w:rtl/>
        </w:rPr>
        <w:t xml:space="preserve"> </w:t>
      </w:r>
      <w:r>
        <w:t xml:space="preserve">(„essen sollst du die Beute deiner Feinde") zeigt: Die Beute ist legitim – Israel darf sie nehmen und nutzen. Das Verb </w:t>
      </w:r>
      <w:r>
        <w:rPr>
          <w:rStyle w:val="Fett"/>
          <w:rFonts w:eastAsiaTheme="majorEastAsia"/>
          <w:rtl/>
        </w:rPr>
        <w:t>אכל</w:t>
      </w:r>
      <w:r>
        <w:rPr>
          <w:rtl/>
        </w:rPr>
        <w:t xml:space="preserve"> </w:t>
      </w:r>
      <w:r>
        <w:t>(„essen") ist hier metaphorisch für „genießen, nutzen" (nicht nur Nahrung, sondern alle Güter).</w:t>
      </w:r>
    </w:p>
    <w:p w14:paraId="582FCE2B" w14:textId="77777777" w:rsidR="00C21CEF" w:rsidRDefault="00C21CEF" w:rsidP="00C21CEF">
      <w:pPr>
        <w:pStyle w:val="whitespace-normal"/>
      </w:pPr>
      <w:r>
        <w:t xml:space="preserve">Die Schlussformel </w:t>
      </w:r>
      <w:r>
        <w:rPr>
          <w:rStyle w:val="Fett"/>
          <w:rFonts w:eastAsiaTheme="majorEastAsia"/>
          <w:rtl/>
        </w:rPr>
        <w:t>אֲשֶׁר נָתַן יְהוָה אֱלֹהֶיךָ לָךְ</w:t>
      </w:r>
      <w:r>
        <w:rPr>
          <w:rtl/>
        </w:rPr>
        <w:t xml:space="preserve"> </w:t>
      </w:r>
      <w:r>
        <w:t>(„die JHWH, dein Gott, dir gegeben hat") legitimiert die Beute theologisch – sie ist Geschenk JHWHs (vgl. Dtn 2,33.35.36; 3,7; 8,10; Jos 8,2.27; 11,14).</w:t>
      </w:r>
    </w:p>
    <w:p w14:paraId="3D051DCA" w14:textId="6F78A4A7" w:rsidR="00C21CEF" w:rsidRDefault="00C21CEF" w:rsidP="00C21CEF">
      <w:pPr>
        <w:pStyle w:val="whitespace-normal"/>
      </w:pPr>
      <w:r>
        <w:rPr>
          <w:rStyle w:val="Fett"/>
          <w:rFonts w:eastAsiaTheme="majorEastAsia"/>
        </w:rPr>
        <w:t>Wichtig:</w:t>
      </w:r>
      <w:r>
        <w:t xml:space="preserve"> Diese Regelung (V. 10-14) gilt nur für </w:t>
      </w:r>
      <w:r>
        <w:rPr>
          <w:rStyle w:val="Fett"/>
          <w:rFonts w:eastAsiaTheme="majorEastAsia"/>
          <w:rtl/>
        </w:rPr>
        <w:t>הֶעָרִים הָרְחֹקֹת</w:t>
      </w:r>
      <w:r>
        <w:rPr>
          <w:rtl/>
        </w:rPr>
        <w:t xml:space="preserve"> </w:t>
      </w:r>
      <w:r>
        <w:t>(„die fernen Städte", V. 15), nicht für kanaanäische Städte (V. 16-18).</w:t>
      </w:r>
    </w:p>
    <w:p w14:paraId="02518991" w14:textId="459936BF" w:rsidR="00734E2E" w:rsidRDefault="00734E2E" w:rsidP="00C21CEF">
      <w:pPr>
        <w:pStyle w:val="whitespace-normal"/>
      </w:pPr>
      <w:r>
        <w:rPr>
          <w:rStyle w:val="Fett"/>
        </w:rPr>
        <w:t>Die LXX</w:t>
      </w:r>
      <w:r>
        <w:t xml:space="preserve"> fügt </w:t>
      </w:r>
      <w:proofErr w:type="spellStart"/>
      <w:r>
        <w:t>τῆς</w:t>
      </w:r>
      <w:proofErr w:type="spellEnd"/>
      <w:r>
        <w:t xml:space="preserve"> ἀπ</w:t>
      </w:r>
      <w:proofErr w:type="spellStart"/>
      <w:r>
        <w:t>οσκευῆς</w:t>
      </w:r>
      <w:proofErr w:type="spellEnd"/>
      <w:r>
        <w:t xml:space="preserve"> (der Habe, des Gepäcks) hinzu nach "den Frauen", wo der MT direkt zu </w:t>
      </w:r>
      <w:r>
        <w:rPr>
          <w:rtl/>
        </w:rPr>
        <w:t>הַטַּף</w:t>
      </w:r>
      <w:r>
        <w:t xml:space="preserve"> (Kinder) übergeht – eine verdeutlichende Ergänzung. Der Begriff ἀπα</w:t>
      </w:r>
      <w:proofErr w:type="spellStart"/>
      <w:r>
        <w:t>ρτί</w:t>
      </w:r>
      <w:proofErr w:type="spellEnd"/>
      <w:r>
        <w:t xml:space="preserve">α (vollständige Ausrüstung) für </w:t>
      </w:r>
      <w:r>
        <w:rPr>
          <w:rtl/>
        </w:rPr>
        <w:t>שְׁלָל</w:t>
      </w:r>
      <w:r>
        <w:t xml:space="preserve"> ist ein spezifischerer militärischer Terminus.</w:t>
      </w:r>
    </w:p>
    <w:p w14:paraId="0854A3E1" w14:textId="77777777" w:rsidR="00C21CEF" w:rsidRDefault="00C21CEF" w:rsidP="00C21CEF">
      <w:pPr>
        <w:pStyle w:val="whitespace-normal"/>
      </w:pPr>
      <w:r>
        <w:rPr>
          <w:rStyle w:val="Fett"/>
          <w:rFonts w:eastAsiaTheme="majorEastAsia"/>
        </w:rPr>
        <w:t>Die Satzstruktur:</w:t>
      </w:r>
      <w:r>
        <w:t xml:space="preserve"> Ausnahmeklausel mit weiterer Bestimmung (nur die Frauen und die Kinder und das Vieh und alles, was ist in der Stadt, all ihre Beute, plündern sollst du für dich; und essen sollst du die Beute deiner Feinde, die gegeben hat JHWH, dein Gott, dir).</w:t>
      </w:r>
    </w:p>
    <w:p w14:paraId="321FABE2" w14:textId="77777777" w:rsidR="00C21CEF" w:rsidRDefault="00C21CEF" w:rsidP="00C21CEF">
      <w:pPr>
        <w:pStyle w:val="whitespace-normal"/>
      </w:pPr>
      <w:r>
        <w:t>Der Vers erlaubt: Frauen, Kinder, Vieh und alle Besitztümer dürfen als Beute genommen werden – sie sind JHWHs Geschenk an dich.</w:t>
      </w:r>
    </w:p>
    <w:p w14:paraId="0411B8F9" w14:textId="77777777" w:rsidR="00C21CEF" w:rsidRPr="00C21CEF" w:rsidRDefault="00C21CEF" w:rsidP="00C21CEF">
      <w:pPr>
        <w:pStyle w:val="berschrift1"/>
        <w:rPr>
          <w:rFonts w:ascii="Times New Roman" w:hAnsi="Times New Roman"/>
          <w:color w:val="auto"/>
          <w:sz w:val="36"/>
          <w:szCs w:val="36"/>
        </w:rPr>
      </w:pPr>
      <w:r w:rsidRPr="00C21CEF">
        <w:rPr>
          <w:rStyle w:val="Fett"/>
          <w:rFonts w:ascii="Times New Roman" w:hAnsi="Times New Roman"/>
          <w:color w:val="auto"/>
          <w:sz w:val="36"/>
          <w:szCs w:val="36"/>
        </w:rPr>
        <w:t>Deuteronomium 20,15</w:t>
      </w:r>
    </w:p>
    <w:p w14:paraId="36F1E0F4" w14:textId="77777777" w:rsidR="00C21CEF" w:rsidRDefault="00C21CEF" w:rsidP="00C21CEF">
      <w:pPr>
        <w:pStyle w:val="whitespace-normal"/>
      </w:pPr>
      <w:r>
        <w:rPr>
          <w:rStyle w:val="Fett"/>
          <w:rFonts w:eastAsiaTheme="majorEastAsia"/>
        </w:rPr>
        <w:t>Hebräisch:</w:t>
      </w:r>
      <w:r>
        <w:t xml:space="preserve"> </w:t>
      </w:r>
      <w:r>
        <w:rPr>
          <w:rtl/>
        </w:rPr>
        <w:t>כֵּ֤ן תַּעֲשֶׂה֙ לְכָל־הֶ֣עָרִ֔ים הָרְחֹקֹ֥ת מִמְּךָ֖ מְאֹ֑ד אֲשֶׁ֛ר לֹא־מֵעָרֵ֥י הַגּֽוֹיִם־הָאֵ֖לֶּה הֵֽנָּה׃</w:t>
      </w:r>
    </w:p>
    <w:p w14:paraId="784FC8D4" w14:textId="77777777" w:rsidR="00C21CEF" w:rsidRDefault="00C21CEF" w:rsidP="00C21CEF">
      <w:pPr>
        <w:pStyle w:val="whitespace-normal"/>
      </w:pPr>
      <w:r>
        <w:rPr>
          <w:rStyle w:val="Fett"/>
          <w:rFonts w:eastAsiaTheme="majorEastAsia"/>
        </w:rPr>
        <w:t>Deutsch:</w:t>
      </w:r>
      <w:r>
        <w:t xml:space="preserve"> So sollst du mit allen Städten tun, die sehr weit von dir entfernt sind, die nicht zu den Städten dieser Völker hier gehören.</w:t>
      </w:r>
    </w:p>
    <w:p w14:paraId="27D86534" w14:textId="77777777" w:rsidR="00C21CEF" w:rsidRDefault="004F5CEB" w:rsidP="00C21CEF">
      <w:r>
        <w:rPr>
          <w:noProof/>
        </w:rPr>
        <w:pict w14:anchorId="67E94001">
          <v:rect id="_x0000_i1567" style="width:0;height:1.5pt" o:hralign="center" o:hrstd="t" o:hr="t" fillcolor="#a0a0a0" stroked="f"/>
        </w:pict>
      </w:r>
    </w:p>
    <w:p w14:paraId="33AF3CDB" w14:textId="77777777" w:rsidR="00C21CEF" w:rsidRDefault="00C21CEF" w:rsidP="00C21CEF">
      <w:pPr>
        <w:pStyle w:val="whitespace-normal"/>
      </w:pPr>
      <w:r>
        <w:rPr>
          <w:rStyle w:val="Fett"/>
          <w:rFonts w:eastAsiaTheme="majorEastAsia"/>
        </w:rPr>
        <w:lastRenderedPageBreak/>
        <w:t>Kommentar:</w:t>
      </w:r>
      <w:r>
        <w:t xml:space="preserve"> </w:t>
      </w:r>
      <w:r>
        <w:rPr>
          <w:rStyle w:val="Fett"/>
          <w:rFonts w:eastAsiaTheme="majorEastAsia"/>
          <w:rtl/>
        </w:rPr>
        <w:t>כֵּן תַּעֲשֶׂה לְכָל־הֶעָרִים הָרְחֹקֹת מִמְּךָ מְאֹד</w:t>
      </w:r>
      <w:r>
        <w:rPr>
          <w:rtl/>
        </w:rPr>
        <w:t xml:space="preserve"> </w:t>
      </w:r>
      <w:r>
        <w:t xml:space="preserve">ist die Zusammenfassung: </w:t>
      </w:r>
      <w:r>
        <w:rPr>
          <w:rStyle w:val="Fett"/>
          <w:rFonts w:eastAsiaTheme="majorEastAsia"/>
          <w:rtl/>
        </w:rPr>
        <w:t>כֵּן</w:t>
      </w:r>
      <w:r>
        <w:rPr>
          <w:rtl/>
        </w:rPr>
        <w:t xml:space="preserve"> </w:t>
      </w:r>
      <w:r>
        <w:t xml:space="preserve">(Adverb, „so"), </w:t>
      </w:r>
      <w:r>
        <w:rPr>
          <w:rStyle w:val="Fett"/>
          <w:rFonts w:eastAsiaTheme="majorEastAsia"/>
          <w:rtl/>
        </w:rPr>
        <w:t>תַּעֲשֶׂה</w:t>
      </w:r>
      <w:r>
        <w:rPr>
          <w:rtl/>
        </w:rPr>
        <w:t xml:space="preserve"> </w:t>
      </w:r>
      <w:r>
        <w:t xml:space="preserve">(Qal Imperfekt, 2. Person Maskulinum Singular von </w:t>
      </w:r>
      <w:r>
        <w:rPr>
          <w:rStyle w:val="Fett"/>
          <w:rFonts w:eastAsiaTheme="majorEastAsia"/>
          <w:rtl/>
        </w:rPr>
        <w:t>עשׂה</w:t>
      </w:r>
      <w:r>
        <w:t xml:space="preserve">, „tun, machen"), </w:t>
      </w:r>
      <w:r>
        <w:rPr>
          <w:rStyle w:val="Fett"/>
          <w:rFonts w:eastAsiaTheme="majorEastAsia"/>
          <w:rtl/>
        </w:rPr>
        <w:t>לְכָל־הֶעָרִים</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כֹּל</w:t>
      </w:r>
      <w:r>
        <w:t xml:space="preserve">, Construct mit </w:t>
      </w:r>
      <w:r>
        <w:rPr>
          <w:rStyle w:val="Fett"/>
          <w:rFonts w:eastAsiaTheme="majorEastAsia"/>
          <w:rtl/>
        </w:rPr>
        <w:t>עִיר</w:t>
      </w:r>
      <w:r>
        <w:t xml:space="preserve">, Plural mit Artikel, „allen Städten"), </w:t>
      </w:r>
      <w:r>
        <w:rPr>
          <w:rStyle w:val="Fett"/>
          <w:rFonts w:eastAsiaTheme="majorEastAsia"/>
          <w:rtl/>
        </w:rPr>
        <w:t>הָרְחֹקֹת מִמְּךָ מְאֹד</w:t>
      </w:r>
      <w:r>
        <w:rPr>
          <w:rtl/>
        </w:rPr>
        <w:t xml:space="preserve"> </w:t>
      </w:r>
      <w:r>
        <w:t xml:space="preserve">(Qal Partizip Femininum Plural von </w:t>
      </w:r>
      <w:r>
        <w:rPr>
          <w:rStyle w:val="Fett"/>
          <w:rFonts w:eastAsiaTheme="majorEastAsia"/>
          <w:rtl/>
        </w:rPr>
        <w:t>רחק</w:t>
      </w:r>
      <w:r>
        <w:t xml:space="preserve">, „fern sein", mit Artikel, </w:t>
      </w:r>
      <w:r>
        <w:rPr>
          <w:rStyle w:val="Fett"/>
          <w:rFonts w:eastAsiaTheme="majorEastAsia"/>
          <w:rtl/>
        </w:rPr>
        <w:t>מִמְּךָ</w:t>
      </w:r>
      <w:r>
        <w:t xml:space="preserve">, Präposition </w:t>
      </w:r>
      <w:r>
        <w:rPr>
          <w:rStyle w:val="Fett"/>
          <w:rFonts w:eastAsiaTheme="majorEastAsia"/>
          <w:rtl/>
        </w:rPr>
        <w:t>מִן</w:t>
      </w:r>
      <w:r>
        <w:rPr>
          <w:rtl/>
        </w:rPr>
        <w:t xml:space="preserve"> </w:t>
      </w:r>
      <w:r>
        <w:t xml:space="preserve">mit Suffix 2. Person Maskulinum Singular, </w:t>
      </w:r>
      <w:r>
        <w:rPr>
          <w:rStyle w:val="Fett"/>
          <w:rFonts w:eastAsiaTheme="majorEastAsia"/>
          <w:rtl/>
        </w:rPr>
        <w:t>מְאֹד</w:t>
      </w:r>
      <w:r>
        <w:t>, „sehr", „die fernen von dir sehr").</w:t>
      </w:r>
    </w:p>
    <w:p w14:paraId="64BE638A" w14:textId="77777777" w:rsidR="00C21CEF" w:rsidRDefault="00C21CEF" w:rsidP="00C21CEF">
      <w:pPr>
        <w:pStyle w:val="whitespace-normal"/>
      </w:pPr>
      <w:r>
        <w:rPr>
          <w:rStyle w:val="Fett"/>
          <w:rFonts w:eastAsiaTheme="majorEastAsia"/>
          <w:rtl/>
        </w:rPr>
        <w:t>אֲשֶׁר לֹא־מֵעָרֵי הַגּוֹיִם־הָאֵלֶּה הֵנָּה</w:t>
      </w:r>
      <w:r>
        <w:rPr>
          <w:rtl/>
        </w:rPr>
        <w:t xml:space="preserve"> </w:t>
      </w:r>
      <w:r>
        <w:t xml:space="preserve">ist die entscheidende Einschränkung: </w:t>
      </w:r>
      <w:r>
        <w:rPr>
          <w:rStyle w:val="Fett"/>
          <w:rFonts w:eastAsiaTheme="majorEastAsia"/>
          <w:rtl/>
        </w:rPr>
        <w:t>אֲשֶׁר לֹא־מֵעָרֵי הַגּוֹיִם־הָאֵלֶּה הֵנָּה</w:t>
      </w:r>
      <w:r>
        <w:rPr>
          <w:rtl/>
        </w:rPr>
        <w:t xml:space="preserve"> </w:t>
      </w:r>
      <w:r>
        <w:t xml:space="preserve">(Relativsatz: </w:t>
      </w:r>
      <w:r>
        <w:rPr>
          <w:rStyle w:val="Fett"/>
          <w:rFonts w:eastAsiaTheme="majorEastAsia"/>
          <w:rtl/>
        </w:rPr>
        <w:t>אֲשֶׁר</w:t>
      </w:r>
      <w:r>
        <w:rPr>
          <w:rtl/>
        </w:rPr>
        <w:t xml:space="preserve"> </w:t>
      </w:r>
      <w:r>
        <w:t xml:space="preserve">mit Negation </w:t>
      </w:r>
      <w:r>
        <w:rPr>
          <w:rStyle w:val="Fett"/>
          <w:rFonts w:eastAsiaTheme="majorEastAsia"/>
          <w:rtl/>
        </w:rPr>
        <w:t>לֹא</w:t>
      </w:r>
      <w:r>
        <w:t xml:space="preserve">, Präposition </w:t>
      </w:r>
      <w:r>
        <w:rPr>
          <w:rStyle w:val="Fett"/>
          <w:rFonts w:eastAsiaTheme="majorEastAsia"/>
          <w:rtl/>
        </w:rPr>
        <w:t>מִן</w:t>
      </w:r>
      <w:r>
        <w:rPr>
          <w:rtl/>
        </w:rPr>
        <w:t xml:space="preserve"> </w:t>
      </w:r>
      <w:r>
        <w:t xml:space="preserve">mit </w:t>
      </w:r>
      <w:r>
        <w:rPr>
          <w:rStyle w:val="Fett"/>
          <w:rFonts w:eastAsiaTheme="majorEastAsia"/>
          <w:rtl/>
        </w:rPr>
        <w:t>עִיר</w:t>
      </w:r>
      <w:r>
        <w:t xml:space="preserve">, Plural Construct mit </w:t>
      </w:r>
      <w:r>
        <w:rPr>
          <w:rStyle w:val="Fett"/>
          <w:rFonts w:eastAsiaTheme="majorEastAsia"/>
          <w:rtl/>
        </w:rPr>
        <w:t>גּוֹי</w:t>
      </w:r>
      <w:r>
        <w:t xml:space="preserve">, Plural mit Artikel und Demonstrativpronomen </w:t>
      </w:r>
      <w:r>
        <w:rPr>
          <w:rStyle w:val="Fett"/>
          <w:rFonts w:eastAsiaTheme="majorEastAsia"/>
          <w:rtl/>
        </w:rPr>
        <w:t>אֵלֶּה</w:t>
      </w:r>
      <w:r>
        <w:t xml:space="preserve">, </w:t>
      </w:r>
      <w:r>
        <w:rPr>
          <w:rStyle w:val="Fett"/>
          <w:rFonts w:eastAsiaTheme="majorEastAsia"/>
          <w:rtl/>
        </w:rPr>
        <w:t>הֵנָּה</w:t>
      </w:r>
      <w:r>
        <w:t>, Adverb, „hier, hierher", „die nicht von den Städten dieser Völker hier [sind]").</w:t>
      </w:r>
    </w:p>
    <w:p w14:paraId="76FD97FF" w14:textId="77777777" w:rsidR="00C21CEF" w:rsidRDefault="00C21CEF" w:rsidP="00C21CEF">
      <w:pPr>
        <w:pStyle w:val="whitespace-normal"/>
      </w:pPr>
      <w:r>
        <w:t xml:space="preserve">Der Vers ist entscheidend: Er begrenzt die Anwendung von V. 10-14 auf </w:t>
      </w:r>
      <w:r>
        <w:rPr>
          <w:rStyle w:val="Fett"/>
          <w:rFonts w:eastAsiaTheme="majorEastAsia"/>
          <w:rtl/>
        </w:rPr>
        <w:t>הֶעָרִים הָרְחֹקֹת מִמְּךָ מְאֹד</w:t>
      </w:r>
      <w:r>
        <w:rPr>
          <w:rtl/>
        </w:rPr>
        <w:t xml:space="preserve"> </w:t>
      </w:r>
      <w:r>
        <w:t xml:space="preserve">(„die Städte, die sehr weit von dir entfernt sind"). Die doppelte Betonung </w:t>
      </w:r>
      <w:r>
        <w:rPr>
          <w:rStyle w:val="Fett"/>
          <w:rFonts w:eastAsiaTheme="majorEastAsia"/>
          <w:rtl/>
        </w:rPr>
        <w:t>הָרְחֹקֹת... מְאֹד</w:t>
      </w:r>
      <w:r>
        <w:rPr>
          <w:rtl/>
        </w:rPr>
        <w:t xml:space="preserve"> </w:t>
      </w:r>
      <w:r>
        <w:t xml:space="preserve">(„fern... sehr") unterstreicht: geografisch weit entfernt. Die negative Bestimmung </w:t>
      </w:r>
      <w:r>
        <w:rPr>
          <w:rStyle w:val="Fett"/>
          <w:rFonts w:eastAsiaTheme="majorEastAsia"/>
          <w:rtl/>
        </w:rPr>
        <w:t>אֲשֶׁר לֹא־מֵעָרֵי הַגּוֹיִם־הָאֵלֶּה הֵנָּה</w:t>
      </w:r>
      <w:r>
        <w:rPr>
          <w:rtl/>
        </w:rPr>
        <w:t xml:space="preserve"> </w:t>
      </w:r>
      <w:r>
        <w:t xml:space="preserve">(„die nicht von den Städten dieser Völker hier [sind]") grenzt ab: </w:t>
      </w:r>
      <w:r>
        <w:rPr>
          <w:rStyle w:val="Fett"/>
          <w:rFonts w:eastAsiaTheme="majorEastAsia"/>
          <w:rtl/>
        </w:rPr>
        <w:t>הַגּוֹיִם־הָאֵלֶּה הֵנָּה</w:t>
      </w:r>
      <w:r>
        <w:rPr>
          <w:rtl/>
        </w:rPr>
        <w:t xml:space="preserve"> </w:t>
      </w:r>
      <w:r>
        <w:t>(„diese Völker hier") sind die Kanaaniter im verheißenen Land (V. 17 wird sie namentlich auflisten).</w:t>
      </w:r>
    </w:p>
    <w:p w14:paraId="79BCFCEE" w14:textId="77777777" w:rsidR="00C21CEF" w:rsidRDefault="00C21CEF" w:rsidP="00C21CEF">
      <w:pPr>
        <w:pStyle w:val="whitespace-normal"/>
      </w:pPr>
      <w:r>
        <w:rPr>
          <w:rStyle w:val="Fett"/>
          <w:rFonts w:eastAsiaTheme="majorEastAsia"/>
        </w:rPr>
        <w:t>Implikation:</w:t>
      </w:r>
      <w:r>
        <w:t xml:space="preserve"> Die humanen Kriegsregeln (V. 10-14) – Friedensangebot, Verschonung von Frauen und Kindern – gelten NICHT für die kanaanäischen Städte. Für diese gilt eine völlig andere Regelung: </w:t>
      </w:r>
      <w:r>
        <w:rPr>
          <w:rStyle w:val="Fett"/>
          <w:rFonts w:eastAsiaTheme="majorEastAsia"/>
          <w:rtl/>
        </w:rPr>
        <w:t>חֵרֶם</w:t>
      </w:r>
      <w:r>
        <w:rPr>
          <w:rtl/>
        </w:rPr>
        <w:t xml:space="preserve"> </w:t>
      </w:r>
      <w:r>
        <w:t>(„Bann", V. 16-18). Dies schafft zwei Kategorien von Kriegsführung:</w:t>
      </w:r>
    </w:p>
    <w:p w14:paraId="62403ADC" w14:textId="77777777" w:rsidR="00C21CEF" w:rsidRDefault="00C21CEF" w:rsidP="00C21CEF">
      <w:pPr>
        <w:pStyle w:val="whitespace-normal"/>
        <w:numPr>
          <w:ilvl w:val="0"/>
          <w:numId w:val="17"/>
        </w:numPr>
      </w:pPr>
      <w:r>
        <w:rPr>
          <w:rStyle w:val="Fett"/>
          <w:rFonts w:eastAsiaTheme="majorEastAsia"/>
        </w:rPr>
        <w:t>Ferne Städte</w:t>
      </w:r>
      <w:r>
        <w:t xml:space="preserve"> (V. 10-15): Friedensangebot, selektive Tötung (nur Männer), Frauen/Kinder/Beute erlaubt</w:t>
      </w:r>
    </w:p>
    <w:p w14:paraId="551EE243" w14:textId="77777777" w:rsidR="00C21CEF" w:rsidRDefault="00C21CEF" w:rsidP="00C21CEF">
      <w:pPr>
        <w:pStyle w:val="whitespace-normal"/>
        <w:numPr>
          <w:ilvl w:val="0"/>
          <w:numId w:val="17"/>
        </w:numPr>
      </w:pPr>
      <w:r>
        <w:rPr>
          <w:rStyle w:val="Fett"/>
          <w:rFonts w:eastAsiaTheme="majorEastAsia"/>
        </w:rPr>
        <w:t>Kanaanäische Städte</w:t>
      </w:r>
      <w:r>
        <w:t xml:space="preserve"> (V. 16-18): Kein Friedensangebot, totale Vernichtung (</w:t>
      </w:r>
      <w:r>
        <w:rPr>
          <w:rStyle w:val="Fett"/>
          <w:rFonts w:eastAsiaTheme="majorEastAsia"/>
          <w:rtl/>
        </w:rPr>
        <w:t>חֵרֶם</w:t>
      </w:r>
      <w:r>
        <w:t>)</w:t>
      </w:r>
    </w:p>
    <w:p w14:paraId="1CDB041A" w14:textId="77777777" w:rsidR="00C21CEF" w:rsidRDefault="00C21CEF" w:rsidP="00C21CEF">
      <w:pPr>
        <w:pStyle w:val="whitespace-normal"/>
      </w:pPr>
      <w:r>
        <w:t>V. 16-18 werden dann die Regelung für die kanaanäischen Städte darstellen.</w:t>
      </w:r>
    </w:p>
    <w:p w14:paraId="1939122B" w14:textId="77777777" w:rsidR="00C21CEF" w:rsidRDefault="00C21CEF" w:rsidP="00C21CEF">
      <w:pPr>
        <w:pStyle w:val="whitespace-normal"/>
      </w:pPr>
      <w:r>
        <w:rPr>
          <w:rStyle w:val="Fett"/>
          <w:rFonts w:eastAsiaTheme="majorEastAsia"/>
        </w:rPr>
        <w:t>Die Satzstruktur:</w:t>
      </w:r>
      <w:r>
        <w:t xml:space="preserve"> Zusammenfassung mit Einschränkung (so tun sollst du allen Städten, den fernen von dir sehr, die nicht von den Städten dieser Völker hier [sind]).</w:t>
      </w:r>
    </w:p>
    <w:p w14:paraId="3D7AC25B" w14:textId="77777777" w:rsidR="00C21CEF" w:rsidRDefault="00C21CEF" w:rsidP="00C21CEF">
      <w:pPr>
        <w:pStyle w:val="whitespace-normal"/>
      </w:pPr>
      <w:r>
        <w:t>Der Vers grenzt ab: Die bisherigen Regeln (V. 10-14) gelten nur für ferne Städte – nicht für die Städte der Kanaaniter hier im Land.</w:t>
      </w:r>
    </w:p>
    <w:p w14:paraId="297EE285" w14:textId="77777777" w:rsidR="00C21CEF" w:rsidRPr="00C21CEF" w:rsidRDefault="00C21CEF" w:rsidP="00C21CEF">
      <w:pPr>
        <w:pStyle w:val="berschrift1"/>
        <w:rPr>
          <w:rFonts w:ascii="Times New Roman" w:hAnsi="Times New Roman"/>
          <w:color w:val="auto"/>
          <w:sz w:val="36"/>
          <w:szCs w:val="36"/>
        </w:rPr>
      </w:pPr>
      <w:r w:rsidRPr="00C21CEF">
        <w:rPr>
          <w:rStyle w:val="Fett"/>
          <w:rFonts w:ascii="Times New Roman" w:hAnsi="Times New Roman"/>
          <w:color w:val="auto"/>
          <w:sz w:val="36"/>
          <w:szCs w:val="36"/>
        </w:rPr>
        <w:t>Deuteronomium 20,16</w:t>
      </w:r>
    </w:p>
    <w:p w14:paraId="03C4CA68" w14:textId="77777777" w:rsidR="00C21CEF" w:rsidRDefault="00C21CEF" w:rsidP="00C21CEF">
      <w:pPr>
        <w:pStyle w:val="whitespace-normal"/>
      </w:pPr>
      <w:r>
        <w:rPr>
          <w:rStyle w:val="Fett"/>
          <w:rFonts w:eastAsiaTheme="majorEastAsia"/>
        </w:rPr>
        <w:t>Hebräisch:</w:t>
      </w:r>
      <w:r>
        <w:t xml:space="preserve"> </w:t>
      </w:r>
      <w:r>
        <w:rPr>
          <w:rtl/>
        </w:rPr>
        <w:t>רַ֗ק מֵעָרֵ֤י הָֽעַמִּים֙ הָאֵ֔לֶּה אֲשֶׁר֙ יְהוָ֣ה אֱלֹהֶ֔יךָ נֹתֵ֥ן לְךָ֖ נַחֲלָ֑ה לֹ֥א תְחַיֶּ֖ה כָּל־נְשָׁמָֽה׃</w:t>
      </w:r>
    </w:p>
    <w:p w14:paraId="2F95B333" w14:textId="77777777" w:rsidR="00C21CEF" w:rsidRDefault="00C21CEF" w:rsidP="00C21CEF">
      <w:pPr>
        <w:pStyle w:val="whitespace-normal"/>
      </w:pPr>
      <w:r>
        <w:rPr>
          <w:rStyle w:val="Fett"/>
          <w:rFonts w:eastAsiaTheme="majorEastAsia"/>
        </w:rPr>
        <w:t>Deutsch:</w:t>
      </w:r>
      <w:r>
        <w:t xml:space="preserve"> Jedoch von den Städten dieser Völker, die der Ewige, dein Gott, dir als Erbe gibt, sollst du nichts leben lassen, was Atem hat,</w:t>
      </w:r>
    </w:p>
    <w:p w14:paraId="1D0886F1" w14:textId="77777777" w:rsidR="00C21CEF" w:rsidRDefault="004F5CEB" w:rsidP="00C21CEF">
      <w:r>
        <w:rPr>
          <w:noProof/>
        </w:rPr>
        <w:pict w14:anchorId="7A494F69">
          <v:rect id="_x0000_i1568" style="width:0;height:1.5pt" o:hralign="center" o:hrstd="t" o:hr="t" fillcolor="#a0a0a0" stroked="f"/>
        </w:pict>
      </w:r>
    </w:p>
    <w:p w14:paraId="6B2D961A" w14:textId="77777777" w:rsidR="00C21CEF" w:rsidRDefault="00C21CEF" w:rsidP="00C21CEF">
      <w:pPr>
        <w:pStyle w:val="whitespace-normal"/>
      </w:pPr>
      <w:r>
        <w:rPr>
          <w:rStyle w:val="Fett"/>
          <w:rFonts w:eastAsiaTheme="majorEastAsia"/>
        </w:rPr>
        <w:t>Kommentar:</w:t>
      </w:r>
      <w:r>
        <w:t xml:space="preserve"> </w:t>
      </w:r>
      <w:r>
        <w:rPr>
          <w:rStyle w:val="Fett"/>
          <w:rFonts w:eastAsiaTheme="majorEastAsia"/>
          <w:rtl/>
        </w:rPr>
        <w:t>רַק מֵעָרֵי הָעַמִּים הָאֵלֶּה אֲשֶׁר יְהוָה אֱלֹהֶיךָ נֹתֵן לְךָ נַחֲלָה</w:t>
      </w:r>
      <w:r>
        <w:rPr>
          <w:rtl/>
        </w:rPr>
        <w:t xml:space="preserve"> </w:t>
      </w:r>
      <w:r>
        <w:t xml:space="preserve">ist die Ausnahme: </w:t>
      </w:r>
      <w:r>
        <w:rPr>
          <w:rStyle w:val="Fett"/>
          <w:rFonts w:eastAsiaTheme="majorEastAsia"/>
          <w:rtl/>
        </w:rPr>
        <w:t>רַק</w:t>
      </w:r>
      <w:r>
        <w:rPr>
          <w:rtl/>
        </w:rPr>
        <w:t xml:space="preserve"> </w:t>
      </w:r>
      <w:r>
        <w:t xml:space="preserve">(Partikel, „jedoch, nur"), </w:t>
      </w:r>
      <w:r>
        <w:rPr>
          <w:rStyle w:val="Fett"/>
          <w:rFonts w:eastAsiaTheme="majorEastAsia"/>
          <w:rtl/>
        </w:rPr>
        <w:t>מֵעָרֵי הָעַמִּים הָאֵלֶּה</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עִיר</w:t>
      </w:r>
      <w:r>
        <w:t xml:space="preserve">, Plural Construct mit </w:t>
      </w:r>
      <w:r>
        <w:rPr>
          <w:rStyle w:val="Fett"/>
          <w:rFonts w:eastAsiaTheme="majorEastAsia"/>
          <w:rtl/>
        </w:rPr>
        <w:t>עַם</w:t>
      </w:r>
      <w:r>
        <w:t xml:space="preserve">, „Volk", Plural mit Artikel und Demonstrativpronomen </w:t>
      </w:r>
      <w:r>
        <w:rPr>
          <w:rStyle w:val="Fett"/>
          <w:rFonts w:eastAsiaTheme="majorEastAsia"/>
          <w:rtl/>
        </w:rPr>
        <w:t>אֵלֶּה</w:t>
      </w:r>
      <w:r>
        <w:t xml:space="preserve">, „von den Städten dieser Völker"), </w:t>
      </w:r>
      <w:r>
        <w:rPr>
          <w:rStyle w:val="Fett"/>
          <w:rFonts w:eastAsiaTheme="majorEastAsia"/>
          <w:rtl/>
        </w:rPr>
        <w:t xml:space="preserve">אֲשֶׁר </w:t>
      </w:r>
      <w:r>
        <w:rPr>
          <w:rStyle w:val="Fett"/>
          <w:rFonts w:eastAsiaTheme="majorEastAsia"/>
          <w:rtl/>
        </w:rPr>
        <w:lastRenderedPageBreak/>
        <w:t>יְהוָה אֱלֹהֶיךָ נֹתֵן לְךָ נַחֲלָה</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נתן</w:t>
      </w:r>
      <w:r>
        <w:t xml:space="preserve">, Qal Partizip, „geben", </w:t>
      </w:r>
      <w:r>
        <w:rPr>
          <w:rStyle w:val="Fett"/>
          <w:rFonts w:eastAsiaTheme="majorEastAsia"/>
          <w:rtl/>
        </w:rPr>
        <w:t>יְהוָה אֱלֹהֶיךָ</w:t>
      </w:r>
      <w:r>
        <w:rPr>
          <w:rtl/>
        </w:rPr>
        <w:t xml:space="preserve"> </w:t>
      </w:r>
      <w:r>
        <w:t xml:space="preserve">als Subjekt, </w:t>
      </w:r>
      <w:r>
        <w:rPr>
          <w:rStyle w:val="Fett"/>
          <w:rFonts w:eastAsiaTheme="majorEastAsia"/>
          <w:rtl/>
        </w:rPr>
        <w:t>לְךָ</w:t>
      </w:r>
      <w:r>
        <w:t xml:space="preserve">, </w:t>
      </w:r>
      <w:r>
        <w:rPr>
          <w:rStyle w:val="Fett"/>
          <w:rFonts w:eastAsiaTheme="majorEastAsia"/>
          <w:rtl/>
        </w:rPr>
        <w:t>נַחֲלָה</w:t>
      </w:r>
      <w:r>
        <w:t>, „Erbe, Erbbesitz", als Akkusativ der Art, „die JHWH, dein Gott, gibt dir als Erbe").</w:t>
      </w:r>
    </w:p>
    <w:p w14:paraId="4EE45962" w14:textId="77777777" w:rsidR="00C21CEF" w:rsidRDefault="00C21CEF" w:rsidP="00C21CEF">
      <w:pPr>
        <w:pStyle w:val="whitespace-normal"/>
      </w:pPr>
      <w:r>
        <w:rPr>
          <w:rStyle w:val="Fett"/>
          <w:rFonts w:eastAsiaTheme="majorEastAsia"/>
          <w:rtl/>
        </w:rPr>
        <w:t>לֹא תְחַיֶּה כָּל־נְשָׁמָה</w:t>
      </w:r>
      <w:r>
        <w:rPr>
          <w:rtl/>
        </w:rPr>
        <w:t xml:space="preserve"> </w:t>
      </w:r>
      <w:r>
        <w:t xml:space="preserve">ist die radikale Anweisung: </w:t>
      </w:r>
      <w:r>
        <w:rPr>
          <w:rStyle w:val="Fett"/>
          <w:rFonts w:eastAsiaTheme="majorEastAsia"/>
          <w:rtl/>
        </w:rPr>
        <w:t>לֹא תְחַיֶּה</w:t>
      </w:r>
      <w:r>
        <w:rPr>
          <w:rtl/>
        </w:rPr>
        <w:t xml:space="preserve"> </w:t>
      </w:r>
      <w:r>
        <w:t xml:space="preserve">(Negation mit </w:t>
      </w:r>
      <w:r>
        <w:rPr>
          <w:rStyle w:val="Fett"/>
          <w:rFonts w:eastAsiaTheme="majorEastAsia"/>
          <w:rtl/>
        </w:rPr>
        <w:t>חיה</w:t>
      </w:r>
      <w:r>
        <w:t xml:space="preserve">, Piel Imperfekt, 2. Person Maskulinum Singular, „leben lassen, am Leben lassen"), </w:t>
      </w:r>
      <w:r>
        <w:rPr>
          <w:rStyle w:val="Fett"/>
          <w:rFonts w:eastAsiaTheme="majorEastAsia"/>
          <w:rtl/>
        </w:rPr>
        <w:t>כָּל־נְשָׁמָה</w:t>
      </w:r>
      <w:r>
        <w:rPr>
          <w:rtl/>
        </w:rPr>
        <w:t xml:space="preserve"> </w:t>
      </w:r>
      <w:r>
        <w:t>(</w:t>
      </w:r>
      <w:r>
        <w:rPr>
          <w:rStyle w:val="Fett"/>
          <w:rFonts w:eastAsiaTheme="majorEastAsia"/>
          <w:rtl/>
        </w:rPr>
        <w:t>כֹּל</w:t>
      </w:r>
      <w:r>
        <w:t xml:space="preserve">, Construct mit </w:t>
      </w:r>
      <w:r>
        <w:rPr>
          <w:rStyle w:val="Fett"/>
          <w:rFonts w:eastAsiaTheme="majorEastAsia"/>
          <w:rtl/>
        </w:rPr>
        <w:t>נְשָׁמָה</w:t>
      </w:r>
      <w:r>
        <w:t>, „Atem, Lebenshauch", „alles, was Atem [hat]" = jedes Lebewesen).</w:t>
      </w:r>
    </w:p>
    <w:p w14:paraId="2945DAD9" w14:textId="52A031D4" w:rsidR="00C21CEF" w:rsidRDefault="00C21CEF" w:rsidP="00C21CEF">
      <w:pPr>
        <w:pStyle w:val="whitespace-normal"/>
      </w:pPr>
      <w:r>
        <w:t xml:space="preserve">Der Vers formuliert den radikalen Gegensatz zu V. 14: Bei kanaanäischen Städten gibt es KEINE Ausnahmen. Die Formulierung </w:t>
      </w:r>
      <w:r>
        <w:rPr>
          <w:rStyle w:val="Fett"/>
          <w:rFonts w:eastAsiaTheme="majorEastAsia"/>
          <w:rtl/>
        </w:rPr>
        <w:t>לֹא תְחַיֶּה כָּל־נְשָׁמָה</w:t>
      </w:r>
      <w:r>
        <w:rPr>
          <w:rtl/>
        </w:rPr>
        <w:t xml:space="preserve"> </w:t>
      </w:r>
      <w:r>
        <w:t xml:space="preserve">(„nicht leben lassen sollst du alles, was Atem hat") ist die stärkste Form totaler Vernichtung (vgl. Dtn 20,16; Jos 10,40; 11,11.14; </w:t>
      </w:r>
      <w:r w:rsidR="00664EB6">
        <w:t>1Kön</w:t>
      </w:r>
      <w:r>
        <w:t xml:space="preserve"> 15,29). Das Wort </w:t>
      </w:r>
      <w:r>
        <w:rPr>
          <w:rStyle w:val="Fett"/>
          <w:rFonts w:eastAsiaTheme="majorEastAsia"/>
          <w:rtl/>
        </w:rPr>
        <w:t>נְשָׁמָה</w:t>
      </w:r>
      <w:r>
        <w:rPr>
          <w:rtl/>
        </w:rPr>
        <w:t xml:space="preserve"> </w:t>
      </w:r>
      <w:r>
        <w:t xml:space="preserve">(„Atem, Lebenshauch") bezeichnet jedes atmende Lebewesen – Menschen und Tiere (vgl. Gen 2,7; 7,22; Dtn 20,16; Jos 10,40; 11,11.14; </w:t>
      </w:r>
      <w:r w:rsidR="00664EB6">
        <w:t>1Sam</w:t>
      </w:r>
      <w:r>
        <w:t xml:space="preserve"> 17,7; </w:t>
      </w:r>
      <w:r w:rsidR="00664EB6">
        <w:t>1Kön</w:t>
      </w:r>
      <w:r>
        <w:t xml:space="preserve"> 15,29; 17,17; Jes 2,22; 30,33; 42,5; 57,16; Dan 10,17).</w:t>
      </w:r>
    </w:p>
    <w:p w14:paraId="77E96CED" w14:textId="77777777" w:rsidR="00C21CEF" w:rsidRDefault="00C21CEF" w:rsidP="00C21CEF">
      <w:pPr>
        <w:pStyle w:val="whitespace-normal"/>
      </w:pPr>
      <w:r>
        <w:rPr>
          <w:rStyle w:val="Fett"/>
          <w:rFonts w:eastAsiaTheme="majorEastAsia"/>
        </w:rPr>
        <w:t>Im Kontrast zu V. 14:</w:t>
      </w:r>
    </w:p>
    <w:p w14:paraId="5104C5D8" w14:textId="77777777" w:rsidR="00C21CEF" w:rsidRDefault="00C21CEF" w:rsidP="00C21CEF">
      <w:pPr>
        <w:pStyle w:val="whitespace-normal"/>
        <w:numPr>
          <w:ilvl w:val="0"/>
          <w:numId w:val="18"/>
        </w:numPr>
      </w:pPr>
      <w:r>
        <w:t xml:space="preserve">V. 14 (ferne Städte): </w:t>
      </w:r>
      <w:r>
        <w:rPr>
          <w:rStyle w:val="Fett"/>
          <w:rFonts w:eastAsiaTheme="majorEastAsia"/>
          <w:rtl/>
        </w:rPr>
        <w:t>רַק הַנָּשִׁים וְהַטַּף וְהַבְּהֵמָה... תָּבֹז לָךְ</w:t>
      </w:r>
      <w:r>
        <w:rPr>
          <w:rtl/>
        </w:rPr>
        <w:t xml:space="preserve"> </w:t>
      </w:r>
      <w:r>
        <w:t>(„nur Frauen und Kinder und Vieh... plündern sollst du")</w:t>
      </w:r>
    </w:p>
    <w:p w14:paraId="3F26D226" w14:textId="77777777" w:rsidR="00C21CEF" w:rsidRDefault="00C21CEF" w:rsidP="00C21CEF">
      <w:pPr>
        <w:pStyle w:val="whitespace-normal"/>
        <w:numPr>
          <w:ilvl w:val="0"/>
          <w:numId w:val="18"/>
        </w:numPr>
      </w:pPr>
      <w:r>
        <w:t xml:space="preserve">V. 16 (kanaanäische Städte): </w:t>
      </w:r>
      <w:r>
        <w:rPr>
          <w:rStyle w:val="Fett"/>
          <w:rFonts w:eastAsiaTheme="majorEastAsia"/>
          <w:rtl/>
        </w:rPr>
        <w:t>לֹא תְחַיֶּה כָּל־נְשָׁמָה</w:t>
      </w:r>
      <w:r>
        <w:rPr>
          <w:rtl/>
        </w:rPr>
        <w:t xml:space="preserve"> </w:t>
      </w:r>
      <w:r>
        <w:t>(„nicht leben lassen sollst du alles, was Atem hat")</w:t>
      </w:r>
    </w:p>
    <w:p w14:paraId="4F58DE1C" w14:textId="77777777" w:rsidR="00C21CEF" w:rsidRDefault="00C21CEF" w:rsidP="00C21CEF">
      <w:pPr>
        <w:pStyle w:val="whitespace-normal"/>
      </w:pPr>
      <w:r>
        <w:t xml:space="preserve">Dies ist die Anweisung zum </w:t>
      </w:r>
      <w:r>
        <w:rPr>
          <w:rStyle w:val="Fett"/>
          <w:rFonts w:eastAsiaTheme="majorEastAsia"/>
          <w:rtl/>
        </w:rPr>
        <w:t>חֵרֶם</w:t>
      </w:r>
      <w:r>
        <w:rPr>
          <w:rtl/>
        </w:rPr>
        <w:t xml:space="preserve"> </w:t>
      </w:r>
      <w:r>
        <w:t xml:space="preserve">(„Bann") – V. 17 wird das Verb </w:t>
      </w:r>
      <w:r>
        <w:rPr>
          <w:rStyle w:val="Fett"/>
          <w:rFonts w:eastAsiaTheme="majorEastAsia"/>
          <w:rtl/>
        </w:rPr>
        <w:t>חרם</w:t>
      </w:r>
      <w:r>
        <w:rPr>
          <w:rtl/>
        </w:rPr>
        <w:t xml:space="preserve"> </w:t>
      </w:r>
      <w:r>
        <w:t>im Hiphil verwenden.</w:t>
      </w:r>
    </w:p>
    <w:p w14:paraId="1F4DBE00" w14:textId="6072CE9A" w:rsidR="00C21CEF" w:rsidRDefault="00C21CEF" w:rsidP="00C21CEF">
      <w:pPr>
        <w:pStyle w:val="whitespace-normal"/>
      </w:pPr>
      <w:r>
        <w:t xml:space="preserve">Die Begründung </w:t>
      </w:r>
      <w:r>
        <w:rPr>
          <w:rStyle w:val="Fett"/>
          <w:rFonts w:eastAsiaTheme="majorEastAsia"/>
          <w:rtl/>
        </w:rPr>
        <w:t>אֲשֶׁר יְהוָה אֱלֹהֶיךָ נֹתֵן לְךָ נַחֲלָה</w:t>
      </w:r>
      <w:r>
        <w:rPr>
          <w:rtl/>
        </w:rPr>
        <w:t xml:space="preserve"> </w:t>
      </w:r>
      <w:r>
        <w:t>(„die JHWH, dein Gott, dir als Erbe gibt") zeigt: Weil dies das verheißene Land ist, gelten besondere Regeln – vollständige Vernichtung der vormaligen Bewohner.</w:t>
      </w:r>
    </w:p>
    <w:p w14:paraId="2F6CC8A8" w14:textId="0006BA95" w:rsidR="00734E2E" w:rsidRDefault="00734E2E" w:rsidP="00C21CEF">
      <w:pPr>
        <w:pStyle w:val="whitespace-normal"/>
      </w:pPr>
      <w:r>
        <w:rPr>
          <w:rStyle w:val="Fett"/>
        </w:rPr>
        <w:t>Die LXX</w:t>
      </w:r>
      <w:r>
        <w:t xml:space="preserve"> übersetzt </w:t>
      </w:r>
      <w:r>
        <w:rPr>
          <w:rtl/>
        </w:rPr>
        <w:t>לֹא תְחַיֶּה כָּל־נְשָׁמָה</w:t>
      </w:r>
      <w:r>
        <w:t xml:space="preserve"> (du sollst nichts Atmendes am Leben lassen) mit </w:t>
      </w:r>
      <w:proofErr w:type="spellStart"/>
      <w:r>
        <w:t>οὐ</w:t>
      </w:r>
      <w:proofErr w:type="spellEnd"/>
      <w:r>
        <w:t xml:space="preserve"> </w:t>
      </w:r>
      <w:proofErr w:type="spellStart"/>
      <w:r>
        <w:t>ζωγρήσετε</w:t>
      </w:r>
      <w:proofErr w:type="spellEnd"/>
      <w:r>
        <w:t xml:space="preserve"> ἀπʼ α</w:t>
      </w:r>
      <w:proofErr w:type="spellStart"/>
      <w:r>
        <w:t>ὐτῶν</w:t>
      </w:r>
      <w:proofErr w:type="spellEnd"/>
      <w:r>
        <w:t xml:space="preserve"> π</w:t>
      </w:r>
      <w:proofErr w:type="spellStart"/>
      <w:r>
        <w:t>ᾶν</w:t>
      </w:r>
      <w:proofErr w:type="spellEnd"/>
      <w:r>
        <w:t xml:space="preserve"> </w:t>
      </w:r>
      <w:proofErr w:type="spellStart"/>
      <w:r>
        <w:t>ἐμ</w:t>
      </w:r>
      <w:proofErr w:type="spellEnd"/>
      <w:r>
        <w:t xml:space="preserve">πνέον (ihr werdet nicht lebend fangen von ihnen alles Atmende) – wobei </w:t>
      </w:r>
      <w:proofErr w:type="spellStart"/>
      <w:r>
        <w:t>ζωγρέω</w:t>
      </w:r>
      <w:proofErr w:type="spellEnd"/>
      <w:r>
        <w:t xml:space="preserve"> ursprünglich "lebendig fangen" bedeutet, hier aber im Sinne von "am Leben lassen" verwendet wird.</w:t>
      </w:r>
    </w:p>
    <w:p w14:paraId="047EDA13" w14:textId="77777777" w:rsidR="00C21CEF" w:rsidRDefault="00C21CEF" w:rsidP="00C21CEF">
      <w:pPr>
        <w:pStyle w:val="whitespace-normal"/>
      </w:pPr>
      <w:r>
        <w:rPr>
          <w:rStyle w:val="Fett"/>
          <w:rFonts w:eastAsiaTheme="majorEastAsia"/>
        </w:rPr>
        <w:t>Die Satzstruktur:</w:t>
      </w:r>
      <w:r>
        <w:t xml:space="preserve"> Ausnahme mit radikaler Anweisung (jedoch von den Städten dieser Völker, die JHWH, dein Gott, gibt dir als Erbe, nicht leben lassen sollst du alles, was Atem hat).</w:t>
      </w:r>
    </w:p>
    <w:p w14:paraId="1180B6BD" w14:textId="77777777" w:rsidR="00C21CEF" w:rsidRDefault="00C21CEF" w:rsidP="00C21CEF">
      <w:pPr>
        <w:pStyle w:val="whitespace-normal"/>
      </w:pPr>
      <w:r>
        <w:t>Der Vers befiehlt: Bei den kanaanäischen Städten im verheißenen Land – keine Überlebenden, alles was atmet muss sterben.</w:t>
      </w:r>
    </w:p>
    <w:p w14:paraId="11EF2E1B" w14:textId="77777777" w:rsidR="00C21CEF" w:rsidRPr="00C21CEF" w:rsidRDefault="00C21CEF" w:rsidP="00C21CEF">
      <w:pPr>
        <w:pStyle w:val="berschrift1"/>
        <w:rPr>
          <w:rFonts w:ascii="Times New Roman" w:hAnsi="Times New Roman"/>
          <w:color w:val="auto"/>
          <w:sz w:val="36"/>
          <w:szCs w:val="36"/>
        </w:rPr>
      </w:pPr>
      <w:r w:rsidRPr="00C21CEF">
        <w:rPr>
          <w:rStyle w:val="Fett"/>
          <w:rFonts w:ascii="Times New Roman" w:hAnsi="Times New Roman"/>
          <w:color w:val="auto"/>
          <w:sz w:val="36"/>
          <w:szCs w:val="36"/>
        </w:rPr>
        <w:t>Deuteronomium 20,17</w:t>
      </w:r>
    </w:p>
    <w:p w14:paraId="1FC87330" w14:textId="77777777" w:rsidR="00C21CEF" w:rsidRDefault="00C21CEF" w:rsidP="00C21CEF">
      <w:pPr>
        <w:pStyle w:val="whitespace-normal"/>
      </w:pPr>
      <w:r>
        <w:rPr>
          <w:rStyle w:val="Fett"/>
          <w:rFonts w:eastAsiaTheme="majorEastAsia"/>
        </w:rPr>
        <w:t>Hebräisch:</w:t>
      </w:r>
      <w:r>
        <w:t xml:space="preserve"> </w:t>
      </w:r>
      <w:r>
        <w:rPr>
          <w:rtl/>
        </w:rPr>
        <w:t>כִּֽי־הַחֲרֵ֣ם תַּחֲרִימֵ֗ם הַחִתִּ֤י וְהָאֱמֹרִי֙ הַכְּנַעֲנִ֣י וְהַפְּרִזִּ֔י הַחִוִּ֖י וְהַיְבוּסִ֑י כַּאֲשֶׁ֥ר צִוְּךָ֖ יְהוָ֥ה אֱלֹהֶֽיךָ׃</w:t>
      </w:r>
    </w:p>
    <w:p w14:paraId="67F7C6CF" w14:textId="77777777" w:rsidR="00C21CEF" w:rsidRDefault="00C21CEF" w:rsidP="00C21CEF">
      <w:pPr>
        <w:pStyle w:val="whitespace-normal"/>
      </w:pPr>
      <w:r>
        <w:rPr>
          <w:rStyle w:val="Fett"/>
          <w:rFonts w:eastAsiaTheme="majorEastAsia"/>
        </w:rPr>
        <w:t>Deutsch:</w:t>
      </w:r>
      <w:r>
        <w:t xml:space="preserve"> sondern du sollst an ihnen den Bann vollstrecken: an dem Chitti und dem Emori, dem Kena'ani und dem Perisi, dem Chivi und dem Jevusi, wie der Ewige, dein Gott, dir geboten hat,</w:t>
      </w:r>
    </w:p>
    <w:p w14:paraId="2792F341" w14:textId="77777777" w:rsidR="00C21CEF" w:rsidRDefault="004F5CEB" w:rsidP="00C21CEF">
      <w:r>
        <w:rPr>
          <w:noProof/>
        </w:rPr>
        <w:lastRenderedPageBreak/>
        <w:pict w14:anchorId="6978624F">
          <v:rect id="_x0000_i1569" style="width:0;height:1.5pt" o:hralign="center" o:hrstd="t" o:hr="t" fillcolor="#a0a0a0" stroked="f"/>
        </w:pict>
      </w:r>
    </w:p>
    <w:p w14:paraId="4B8AC859" w14:textId="77777777" w:rsidR="00C21CEF" w:rsidRDefault="00C21CEF" w:rsidP="00C21CEF">
      <w:pPr>
        <w:pStyle w:val="whitespace-normal"/>
      </w:pPr>
      <w:r>
        <w:rPr>
          <w:rStyle w:val="Fett"/>
          <w:rFonts w:eastAsiaTheme="majorEastAsia"/>
        </w:rPr>
        <w:t>Kommentar:</w:t>
      </w:r>
      <w:r>
        <w:t xml:space="preserve"> </w:t>
      </w:r>
      <w:r>
        <w:rPr>
          <w:rStyle w:val="Fett"/>
          <w:rFonts w:eastAsiaTheme="majorEastAsia"/>
          <w:rtl/>
        </w:rPr>
        <w:t>כִּי־הַחֲרֵם תַּחֲרִימֵם</w:t>
      </w:r>
      <w:r>
        <w:rPr>
          <w:rtl/>
        </w:rPr>
        <w:t xml:space="preserve"> </w:t>
      </w:r>
      <w:r>
        <w:t xml:space="preserve">ist die Anweisung: </w:t>
      </w:r>
      <w:r>
        <w:rPr>
          <w:rStyle w:val="Fett"/>
          <w:rFonts w:eastAsiaTheme="majorEastAsia"/>
          <w:rtl/>
        </w:rPr>
        <w:t>כִּי</w:t>
      </w:r>
      <w:r>
        <w:rPr>
          <w:rtl/>
        </w:rPr>
        <w:t xml:space="preserve"> </w:t>
      </w:r>
      <w:r>
        <w:t xml:space="preserve">(„denn, sondern"), </w:t>
      </w:r>
      <w:r>
        <w:rPr>
          <w:rStyle w:val="Fett"/>
          <w:rFonts w:eastAsiaTheme="majorEastAsia"/>
          <w:rtl/>
        </w:rPr>
        <w:t>הַחֲרֵם תַּחֲרִימֵם</w:t>
      </w:r>
      <w:r>
        <w:rPr>
          <w:rtl/>
        </w:rPr>
        <w:t xml:space="preserve"> </w:t>
      </w:r>
      <w:r>
        <w:t xml:space="preserve">(Hiphil Infinitiv Absolutus von </w:t>
      </w:r>
      <w:r>
        <w:rPr>
          <w:rStyle w:val="Fett"/>
          <w:rFonts w:eastAsiaTheme="majorEastAsia"/>
          <w:rtl/>
        </w:rPr>
        <w:t>חרם</w:t>
      </w:r>
      <w:r>
        <w:t>, „bannen, dem Bann weihen", mit Hiphil Imperfekt, 2. Person Maskulinum Singular, mit Suffix 3. Person Plural, „bannen sollst du, den Bann vollstrecken sollst du an ihnen" – die Wiederholung durch Infinitiv Absolutus + finites Verb verstärkt den Befehl).</w:t>
      </w:r>
    </w:p>
    <w:p w14:paraId="2634DFF7" w14:textId="77777777" w:rsidR="00C21CEF" w:rsidRDefault="00C21CEF" w:rsidP="00C21CEF">
      <w:pPr>
        <w:pStyle w:val="whitespace-normal"/>
      </w:pPr>
      <w:r>
        <w:rPr>
          <w:rStyle w:val="Fett"/>
          <w:rFonts w:eastAsiaTheme="majorEastAsia"/>
          <w:rtl/>
        </w:rPr>
        <w:t>הַחִתִּי וְהָאֱמֹרִי הַכְּנַעֲנִי וְהַפְּרִזִּי הַחִוִּי וְהַיְבוּסִי</w:t>
      </w:r>
      <w:r>
        <w:rPr>
          <w:rtl/>
        </w:rPr>
        <w:t xml:space="preserve"> </w:t>
      </w:r>
      <w:r>
        <w:t xml:space="preserve">ist die Auflistung: </w:t>
      </w:r>
      <w:r>
        <w:rPr>
          <w:rStyle w:val="Fett"/>
          <w:rFonts w:eastAsiaTheme="majorEastAsia"/>
          <w:rtl/>
        </w:rPr>
        <w:t>הַחִתִּי</w:t>
      </w:r>
      <w:r>
        <w:rPr>
          <w:rtl/>
        </w:rPr>
        <w:t xml:space="preserve"> </w:t>
      </w:r>
      <w:r>
        <w:t>(</w:t>
      </w:r>
      <w:r>
        <w:rPr>
          <w:rStyle w:val="Fett"/>
          <w:rFonts w:eastAsiaTheme="majorEastAsia"/>
          <w:rtl/>
        </w:rPr>
        <w:t>חִתִּי</w:t>
      </w:r>
      <w:r>
        <w:t xml:space="preserve">, „Hethiter", mit Artikel), koordiniert durch </w:t>
      </w:r>
      <w:r>
        <w:rPr>
          <w:rStyle w:val="Fett"/>
          <w:rFonts w:eastAsiaTheme="majorEastAsia"/>
          <w:rtl/>
        </w:rPr>
        <w:t>וְ</w:t>
      </w:r>
      <w:r>
        <w:rPr>
          <w:rtl/>
        </w:rPr>
        <w:t xml:space="preserve"> </w:t>
      </w:r>
      <w:r>
        <w:t xml:space="preserve">mit </w:t>
      </w:r>
      <w:r>
        <w:rPr>
          <w:rStyle w:val="Fett"/>
          <w:rFonts w:eastAsiaTheme="majorEastAsia"/>
          <w:rtl/>
        </w:rPr>
        <w:t>הָאֱמֹרִי</w:t>
      </w:r>
      <w:r>
        <w:rPr>
          <w:rtl/>
        </w:rPr>
        <w:t xml:space="preserve"> </w:t>
      </w:r>
      <w:r>
        <w:t>(</w:t>
      </w:r>
      <w:r>
        <w:rPr>
          <w:rStyle w:val="Fett"/>
          <w:rFonts w:eastAsiaTheme="majorEastAsia"/>
          <w:rtl/>
        </w:rPr>
        <w:t>אֱמֹרִי</w:t>
      </w:r>
      <w:r>
        <w:t xml:space="preserve">, „Amoriter"), </w:t>
      </w:r>
      <w:r>
        <w:rPr>
          <w:rStyle w:val="Fett"/>
          <w:rFonts w:eastAsiaTheme="majorEastAsia"/>
          <w:rtl/>
        </w:rPr>
        <w:t>הַכְּנַעֲנִי</w:t>
      </w:r>
      <w:r>
        <w:rPr>
          <w:rtl/>
        </w:rPr>
        <w:t xml:space="preserve"> </w:t>
      </w:r>
      <w:r>
        <w:t>(</w:t>
      </w:r>
      <w:r>
        <w:rPr>
          <w:rStyle w:val="Fett"/>
          <w:rFonts w:eastAsiaTheme="majorEastAsia"/>
          <w:rtl/>
        </w:rPr>
        <w:t>כְּנַעֲנִי</w:t>
      </w:r>
      <w:r>
        <w:t xml:space="preserve">, „Kanaaniter"), </w:t>
      </w:r>
      <w:r>
        <w:rPr>
          <w:rStyle w:val="Fett"/>
          <w:rFonts w:eastAsiaTheme="majorEastAsia"/>
          <w:rtl/>
        </w:rPr>
        <w:t>וְהַפְּרִזִּי</w:t>
      </w:r>
      <w:r>
        <w:rPr>
          <w:rtl/>
        </w:rPr>
        <w:t xml:space="preserve"> </w:t>
      </w:r>
      <w:r>
        <w:t>(</w:t>
      </w:r>
      <w:r>
        <w:rPr>
          <w:rStyle w:val="Fett"/>
          <w:rFonts w:eastAsiaTheme="majorEastAsia"/>
          <w:rtl/>
        </w:rPr>
        <w:t>פְּרִזִּי</w:t>
      </w:r>
      <w:r>
        <w:t xml:space="preserve">, „Perisiter"), </w:t>
      </w:r>
      <w:r>
        <w:rPr>
          <w:rStyle w:val="Fett"/>
          <w:rFonts w:eastAsiaTheme="majorEastAsia"/>
          <w:rtl/>
        </w:rPr>
        <w:t>הַחִוִּי</w:t>
      </w:r>
      <w:r>
        <w:rPr>
          <w:rtl/>
        </w:rPr>
        <w:t xml:space="preserve"> </w:t>
      </w:r>
      <w:r>
        <w:t>(</w:t>
      </w:r>
      <w:r>
        <w:rPr>
          <w:rStyle w:val="Fett"/>
          <w:rFonts w:eastAsiaTheme="majorEastAsia"/>
          <w:rtl/>
        </w:rPr>
        <w:t>חִוִּי</w:t>
      </w:r>
      <w:r>
        <w:t xml:space="preserve">, „Hiwiter"), </w:t>
      </w:r>
      <w:r>
        <w:rPr>
          <w:rStyle w:val="Fett"/>
          <w:rFonts w:eastAsiaTheme="majorEastAsia"/>
          <w:rtl/>
        </w:rPr>
        <w:t>וְהַיְבוּסִי</w:t>
      </w:r>
      <w:r>
        <w:rPr>
          <w:rtl/>
        </w:rPr>
        <w:t xml:space="preserve"> </w:t>
      </w:r>
      <w:r>
        <w:t>(</w:t>
      </w:r>
      <w:r>
        <w:rPr>
          <w:rStyle w:val="Fett"/>
          <w:rFonts w:eastAsiaTheme="majorEastAsia"/>
          <w:rtl/>
        </w:rPr>
        <w:t>יְבוּסִי</w:t>
      </w:r>
      <w:r>
        <w:t>, „Jebusiter").</w:t>
      </w:r>
    </w:p>
    <w:p w14:paraId="5580D435" w14:textId="77777777" w:rsidR="00C21CEF" w:rsidRDefault="00C21CEF" w:rsidP="00C21CEF">
      <w:pPr>
        <w:pStyle w:val="whitespace-normal"/>
      </w:pPr>
      <w:r>
        <w:rPr>
          <w:rStyle w:val="Fett"/>
          <w:rFonts w:eastAsiaTheme="majorEastAsia"/>
          <w:rtl/>
        </w:rPr>
        <w:t>כַּאֲשֶׁר צִוְּךָ יְהוָה אֱלֹהֶיךָ</w:t>
      </w:r>
      <w:r>
        <w:rPr>
          <w:rtl/>
        </w:rPr>
        <w:t xml:space="preserve"> </w:t>
      </w:r>
      <w:r>
        <w:t xml:space="preserve">ist die Legitimationsformel: </w:t>
      </w:r>
      <w:r>
        <w:rPr>
          <w:rStyle w:val="Fett"/>
          <w:rFonts w:eastAsiaTheme="majorEastAsia"/>
          <w:rtl/>
        </w:rPr>
        <w:t>כַּאֲשֶׁר</w:t>
      </w:r>
      <w:r>
        <w:rPr>
          <w:rtl/>
        </w:rPr>
        <w:t xml:space="preserve"> </w:t>
      </w:r>
      <w:r>
        <w:t xml:space="preserve">(„wie"), </w:t>
      </w:r>
      <w:r>
        <w:rPr>
          <w:rStyle w:val="Fett"/>
          <w:rFonts w:eastAsiaTheme="majorEastAsia"/>
          <w:rtl/>
        </w:rPr>
        <w:t>צִוְּךָ</w:t>
      </w:r>
      <w:r>
        <w:rPr>
          <w:rtl/>
        </w:rPr>
        <w:t xml:space="preserve"> </w:t>
      </w:r>
      <w:r>
        <w:t xml:space="preserve">(Piel Perfekt, 3. Person Maskulinum Singular von </w:t>
      </w:r>
      <w:r>
        <w:rPr>
          <w:rStyle w:val="Fett"/>
          <w:rFonts w:eastAsiaTheme="majorEastAsia"/>
          <w:rtl/>
        </w:rPr>
        <w:t>צוה</w:t>
      </w:r>
      <w:r>
        <w:t xml:space="preserve">, „befehlen, gebieten", mit Suffix 2. Person Maskulinum Singular), </w:t>
      </w:r>
      <w:r>
        <w:rPr>
          <w:rStyle w:val="Fett"/>
          <w:rFonts w:eastAsiaTheme="majorEastAsia"/>
          <w:rtl/>
        </w:rPr>
        <w:t>יְהוָה אֱלֹהֶיךָ</w:t>
      </w:r>
      <w:r>
        <w:t>, „wie geboten hat dir JHWH, dein Gott".</w:t>
      </w:r>
    </w:p>
    <w:p w14:paraId="4A59C80D" w14:textId="52240AC7" w:rsidR="00C21CEF" w:rsidRDefault="00C21CEF" w:rsidP="00C21CEF">
      <w:pPr>
        <w:pStyle w:val="whitespace-normal"/>
      </w:pPr>
      <w:r>
        <w:t xml:space="preserve">Der Vers spezifiziert V. 16 durch: (1) Das Verb </w:t>
      </w:r>
      <w:r>
        <w:rPr>
          <w:rStyle w:val="Fett"/>
          <w:rFonts w:eastAsiaTheme="majorEastAsia"/>
          <w:rtl/>
        </w:rPr>
        <w:t>חרם</w:t>
      </w:r>
      <w:r>
        <w:rPr>
          <w:rtl/>
        </w:rPr>
        <w:t xml:space="preserve"> </w:t>
      </w:r>
      <w:r>
        <w:t xml:space="preserve">im Hiphil („bannen, dem Bann weihen") – dies ist der technische Begriff für totale Vernichtung als religiöser Akt. Die Wiederholung </w:t>
      </w:r>
      <w:r>
        <w:rPr>
          <w:rStyle w:val="Fett"/>
          <w:rFonts w:eastAsiaTheme="majorEastAsia"/>
          <w:rtl/>
        </w:rPr>
        <w:t>הַחֲרֵם תַּחֲרִימֵם</w:t>
      </w:r>
      <w:r>
        <w:rPr>
          <w:rtl/>
        </w:rPr>
        <w:t xml:space="preserve"> </w:t>
      </w:r>
      <w:r>
        <w:t xml:space="preserve">(Infinitiv Absolutus + finites Verb) betont die absolute Notwendigkeit. (2) Die sechs Völker werden namentlich genannt: </w:t>
      </w:r>
      <w:r>
        <w:rPr>
          <w:rStyle w:val="Fett"/>
          <w:rFonts w:eastAsiaTheme="majorEastAsia"/>
          <w:rtl/>
        </w:rPr>
        <w:t>חִתִּי, אֱמֹרִי, כְּנַעֲנִי, פְּרִזִּי, חִוִּי, יְבוּסִי</w:t>
      </w:r>
      <w:r>
        <w:rPr>
          <w:rtl/>
        </w:rPr>
        <w:t xml:space="preserve"> </w:t>
      </w:r>
      <w:r>
        <w:t xml:space="preserve">– dies ist eine Standardliste (vgl. Ex 3,8.17; 13,5; 23,23; 33,2; 34,11; Num 13,29; Dtn 7,1; 20,17; Jos 3,10; 9,1; 11,3; 12,8; 24,11; Ri 3,5; </w:t>
      </w:r>
      <w:r w:rsidR="00664EB6">
        <w:t>1Kön</w:t>
      </w:r>
      <w:r>
        <w:t xml:space="preserve"> 9,20; Esra 9,1; Neh 9,8; </w:t>
      </w:r>
      <w:r w:rsidR="00664EB6">
        <w:t>2Chr</w:t>
      </w:r>
      <w:r>
        <w:t xml:space="preserve"> 8,7). Manchmal werden sieben Völker genannt (+ Girgasiter, vgl. Dtn 7,1).</w:t>
      </w:r>
    </w:p>
    <w:p w14:paraId="715C698B" w14:textId="356D069C" w:rsidR="00C21CEF" w:rsidRDefault="00C21CEF" w:rsidP="00C21CEF">
      <w:pPr>
        <w:pStyle w:val="whitespace-normal"/>
      </w:pPr>
      <w:r>
        <w:t xml:space="preserve">Das Wort </w:t>
      </w:r>
      <w:r>
        <w:rPr>
          <w:rStyle w:val="Fett"/>
          <w:rFonts w:eastAsiaTheme="majorEastAsia"/>
          <w:rtl/>
        </w:rPr>
        <w:t>חֵרֶם</w:t>
      </w:r>
      <w:r>
        <w:rPr>
          <w:rtl/>
        </w:rPr>
        <w:t xml:space="preserve"> </w:t>
      </w:r>
      <w:r>
        <w:t xml:space="preserve">(Nomen) / </w:t>
      </w:r>
      <w:r>
        <w:rPr>
          <w:rStyle w:val="Fett"/>
          <w:rFonts w:eastAsiaTheme="majorEastAsia"/>
          <w:rtl/>
        </w:rPr>
        <w:t>חרם</w:t>
      </w:r>
      <w:r>
        <w:rPr>
          <w:rtl/>
        </w:rPr>
        <w:t xml:space="preserve"> </w:t>
      </w:r>
      <w:r>
        <w:t xml:space="preserve">(Verb im Hiphil) bezeichnet „Bann" – die Weihung von etwas (Person, Tier, Stadt) an JHWH durch totale Vernichtung. Was unter </w:t>
      </w:r>
      <w:r>
        <w:rPr>
          <w:rStyle w:val="Fett"/>
          <w:rFonts w:eastAsiaTheme="majorEastAsia"/>
          <w:rtl/>
        </w:rPr>
        <w:t>חֵרֶם</w:t>
      </w:r>
      <w:r>
        <w:rPr>
          <w:rtl/>
        </w:rPr>
        <w:t xml:space="preserve"> </w:t>
      </w:r>
      <w:r>
        <w:t xml:space="preserve">steht, darf nicht für profanen Gebrauch genommen werden, sondern muss völlig zerstört werden (vgl. Ex 22,19; </w:t>
      </w:r>
      <w:r w:rsidR="00664EB6">
        <w:t>Lev</w:t>
      </w:r>
      <w:r>
        <w:t xml:space="preserve"> 27,28.29; Num 18,14; 21,2.3; Dtn 2,34; 3,6; 7,2.26; 13,16.18; 20,17; Jos 6,17.18.21; 7,1.11.12.13.15; 8,26; 10,1.28.35.37.39.40; 11,11.12.20.21; 22,20; Ri 1,17; 21,11; </w:t>
      </w:r>
      <w:r w:rsidR="00664EB6">
        <w:t>1Sam</w:t>
      </w:r>
      <w:r>
        <w:t xml:space="preserve"> 15,3.8.9.15.18.20.21; </w:t>
      </w:r>
      <w:r w:rsidR="00664EB6">
        <w:t>1Kön</w:t>
      </w:r>
      <w:r>
        <w:t xml:space="preserve"> 9,21; 20,42; Jes 34,2.5; 43,28; Jer 25,9; 50,21.26; 51,3; </w:t>
      </w:r>
      <w:r w:rsidR="00BF3748">
        <w:t>Hes</w:t>
      </w:r>
      <w:r>
        <w:t xml:space="preserve"> 44,29; Dan 11,44; Mi 4,13; Mal 3,24; </w:t>
      </w:r>
      <w:r w:rsidR="00664EB6">
        <w:t>1Chr</w:t>
      </w:r>
      <w:r>
        <w:t xml:space="preserve"> 2,7; 4,41; </w:t>
      </w:r>
      <w:r w:rsidR="00664EB6">
        <w:t>2Chr</w:t>
      </w:r>
      <w:r>
        <w:t xml:space="preserve"> 20,23; 32,14).</w:t>
      </w:r>
    </w:p>
    <w:p w14:paraId="0149FD00" w14:textId="10858BBC" w:rsidR="00C21CEF" w:rsidRDefault="00C21CEF" w:rsidP="00C21CEF">
      <w:pPr>
        <w:pStyle w:val="whitespace-normal"/>
      </w:pPr>
      <w:r>
        <w:t xml:space="preserve">Die Schlussformel </w:t>
      </w:r>
      <w:r>
        <w:rPr>
          <w:rStyle w:val="Fett"/>
          <w:rFonts w:eastAsiaTheme="majorEastAsia"/>
          <w:rtl/>
        </w:rPr>
        <w:t>כַּאֲשֶׁר צִוְּךָ יְהוָה אֱלֹהֶיךָ</w:t>
      </w:r>
      <w:r>
        <w:rPr>
          <w:rtl/>
        </w:rPr>
        <w:t xml:space="preserve"> </w:t>
      </w:r>
      <w:r>
        <w:t xml:space="preserve">(„wie JHWH, dein Gott, dir geboten hat") legitimiert den </w:t>
      </w:r>
      <w:r>
        <w:rPr>
          <w:rStyle w:val="Fett"/>
          <w:rFonts w:eastAsiaTheme="majorEastAsia"/>
          <w:rtl/>
        </w:rPr>
        <w:t>חֵרֶם</w:t>
      </w:r>
      <w:r>
        <w:rPr>
          <w:rtl/>
        </w:rPr>
        <w:t xml:space="preserve"> </w:t>
      </w:r>
      <w:r>
        <w:t>durch göttliches Gebot (vgl. 7,1-2; Ex 23,23-24.31-33; 34,11-13; Num 33,51-56).</w:t>
      </w:r>
    </w:p>
    <w:p w14:paraId="6E4E6E5B" w14:textId="42BEB3DF" w:rsidR="00734E2E" w:rsidRDefault="00734E2E" w:rsidP="00C21CEF">
      <w:pPr>
        <w:pStyle w:val="whitespace-normal"/>
      </w:pPr>
      <w:r>
        <w:rPr>
          <w:rStyle w:val="Fett"/>
        </w:rPr>
        <w:t>Die LXX</w:t>
      </w:r>
      <w:r>
        <w:t xml:space="preserve"> listet sieben kanaanäische Völker auf (</w:t>
      </w:r>
      <w:proofErr w:type="spellStart"/>
      <w:r>
        <w:t>τὸν</w:t>
      </w:r>
      <w:proofErr w:type="spellEnd"/>
      <w:r>
        <w:t xml:space="preserve"> </w:t>
      </w:r>
      <w:proofErr w:type="spellStart"/>
      <w:r>
        <w:t>Χεττ</w:t>
      </w:r>
      <w:proofErr w:type="spellEnd"/>
      <w:r>
        <w:t xml:space="preserve">αῖον... καὶ </w:t>
      </w:r>
      <w:proofErr w:type="spellStart"/>
      <w:r>
        <w:t>τὸν</w:t>
      </w:r>
      <w:proofErr w:type="spellEnd"/>
      <w:r>
        <w:t xml:space="preserve"> </w:t>
      </w:r>
      <w:proofErr w:type="spellStart"/>
      <w:r>
        <w:t>Γεργεσ</w:t>
      </w:r>
      <w:proofErr w:type="spellEnd"/>
      <w:r>
        <w:t>αῖον), während typische Listen nur sechs haben. Die Hinzufügung der Girgasiter (</w:t>
      </w:r>
      <w:proofErr w:type="spellStart"/>
      <w:r>
        <w:t>Γεργεσ</w:t>
      </w:r>
      <w:proofErr w:type="spellEnd"/>
      <w:r>
        <w:t>αῖον) ist bemerkenswert.</w:t>
      </w:r>
    </w:p>
    <w:p w14:paraId="0E7B9416" w14:textId="77777777" w:rsidR="00C21CEF" w:rsidRDefault="00C21CEF" w:rsidP="00C21CEF">
      <w:pPr>
        <w:pStyle w:val="whitespace-normal"/>
      </w:pPr>
      <w:r>
        <w:rPr>
          <w:rStyle w:val="Fett"/>
          <w:rFonts w:eastAsiaTheme="majorEastAsia"/>
        </w:rPr>
        <w:t>Die Satzstruktur:</w:t>
      </w:r>
      <w:r>
        <w:t xml:space="preserve"> Anweisung mit Auflistung und Legitimationsformel (denn bannen sollst du, den Bann vollstrecken sollst du an ihnen: dem Hethiter und dem Amoriter, dem Kanaaniter und dem Perisiter, dem Hiwiter und dem Jebusiter, wie geboten hat dir JHWH, dein Gott).</w:t>
      </w:r>
    </w:p>
    <w:p w14:paraId="35ECD47B" w14:textId="77777777" w:rsidR="00C21CEF" w:rsidRDefault="00C21CEF" w:rsidP="00C21CEF">
      <w:pPr>
        <w:pStyle w:val="whitespace-normal"/>
      </w:pPr>
      <w:r>
        <w:t>Der Vers konkretisiert: Vollstrecke den Bann an den sechs kanaanäischen Völkern – wie JHWH es befohlen hat (V. 18 begründet).</w:t>
      </w:r>
    </w:p>
    <w:p w14:paraId="59A03269" w14:textId="77777777" w:rsidR="00C21CEF" w:rsidRPr="00C21CEF" w:rsidRDefault="00C21CEF" w:rsidP="00C21CEF">
      <w:pPr>
        <w:pStyle w:val="berschrift1"/>
        <w:rPr>
          <w:rFonts w:ascii="Times New Roman" w:hAnsi="Times New Roman"/>
          <w:color w:val="auto"/>
          <w:sz w:val="36"/>
          <w:szCs w:val="36"/>
        </w:rPr>
      </w:pPr>
      <w:r w:rsidRPr="00C21CEF">
        <w:rPr>
          <w:rStyle w:val="Fett"/>
          <w:rFonts w:ascii="Times New Roman" w:hAnsi="Times New Roman"/>
          <w:color w:val="auto"/>
          <w:sz w:val="36"/>
          <w:szCs w:val="36"/>
        </w:rPr>
        <w:lastRenderedPageBreak/>
        <w:t>Deuteronomium 20,18</w:t>
      </w:r>
    </w:p>
    <w:p w14:paraId="71BABF75" w14:textId="77777777" w:rsidR="00C21CEF" w:rsidRDefault="00C21CEF" w:rsidP="00C21CEF">
      <w:pPr>
        <w:pStyle w:val="whitespace-normal"/>
      </w:pPr>
      <w:r>
        <w:rPr>
          <w:rStyle w:val="Fett"/>
          <w:rFonts w:eastAsiaTheme="majorEastAsia"/>
        </w:rPr>
        <w:t>Hebräisch:</w:t>
      </w:r>
      <w:r>
        <w:t xml:space="preserve"> </w:t>
      </w:r>
      <w:r>
        <w:rPr>
          <w:rtl/>
        </w:rPr>
        <w:t>לְמַ֗עַן אֲשֶׁ֨ר לֹֽא־יְלַמְּד֤וּ אֶתְכֶם֙ לַעֲשׂ֔וֹת כְּכֹל֙ תּֽוֹעֲבֹתָ֔ם אֲשֶׁ֥ר עָשׂ֖וּ לֵֽאלֹהֵיהֶ֑ם וַחֲטָאתֶ֖ם לַיהוָ֥ה אֱלֹהֵיכֶֽם׃</w:t>
      </w:r>
    </w:p>
    <w:p w14:paraId="244FD920" w14:textId="77777777" w:rsidR="00C21CEF" w:rsidRDefault="00C21CEF" w:rsidP="00C21CEF">
      <w:pPr>
        <w:pStyle w:val="whitespace-normal"/>
      </w:pPr>
      <w:r>
        <w:rPr>
          <w:rStyle w:val="Fett"/>
          <w:rFonts w:eastAsiaTheme="majorEastAsia"/>
        </w:rPr>
        <w:t>Deutsch:</w:t>
      </w:r>
      <w:r>
        <w:t xml:space="preserve"> damit sie euch nicht lehren, nach all ihren Gräueln zu tun, die sie für ihre Götter getan haben, und ihr nicht gegen den Ewigen, euren Gott, sündigt.</w:t>
      </w:r>
    </w:p>
    <w:p w14:paraId="26497093" w14:textId="77777777" w:rsidR="00C21CEF" w:rsidRDefault="004F5CEB" w:rsidP="00C21CEF">
      <w:r>
        <w:rPr>
          <w:noProof/>
        </w:rPr>
        <w:pict w14:anchorId="4A605195">
          <v:rect id="_x0000_i1570" style="width:0;height:1.5pt" o:hralign="center" o:hrstd="t" o:hr="t" fillcolor="#a0a0a0" stroked="f"/>
        </w:pict>
      </w:r>
    </w:p>
    <w:p w14:paraId="6A7089F9" w14:textId="77777777" w:rsidR="00C21CEF" w:rsidRDefault="00C21CEF" w:rsidP="00C21CEF">
      <w:pPr>
        <w:pStyle w:val="whitespace-normal"/>
      </w:pPr>
      <w:r>
        <w:rPr>
          <w:rStyle w:val="Fett"/>
          <w:rFonts w:eastAsiaTheme="majorEastAsia"/>
        </w:rPr>
        <w:t>Kommentar:</w:t>
      </w:r>
      <w:r>
        <w:t xml:space="preserve"> </w:t>
      </w:r>
      <w:r>
        <w:rPr>
          <w:rStyle w:val="Fett"/>
          <w:rFonts w:eastAsiaTheme="majorEastAsia"/>
          <w:rtl/>
        </w:rPr>
        <w:t>לְמַעַן אֲשֶׁר לֹא־יְלַמְּדוּ אֶתְכֶם לַעֲשׂוֹת כְּכֹל תּוֹעֲבֹתָם אֲשֶׁר עָשׂוּ לֵאלֹהֵיהֶם</w:t>
      </w:r>
      <w:r>
        <w:rPr>
          <w:rtl/>
        </w:rPr>
        <w:t xml:space="preserve"> </w:t>
      </w:r>
      <w:r>
        <w:t xml:space="preserve">ist der Finalsatz: </w:t>
      </w:r>
      <w:r>
        <w:rPr>
          <w:rStyle w:val="Fett"/>
          <w:rFonts w:eastAsiaTheme="majorEastAsia"/>
          <w:rtl/>
        </w:rPr>
        <w:t>לְמַעַן אֲשֶׁר</w:t>
      </w:r>
      <w:r>
        <w:rPr>
          <w:rtl/>
        </w:rPr>
        <w:t xml:space="preserve"> </w:t>
      </w:r>
      <w:r>
        <w:t xml:space="preserve">(Präposition </w:t>
      </w:r>
      <w:r>
        <w:rPr>
          <w:rStyle w:val="Fett"/>
          <w:rFonts w:eastAsiaTheme="majorEastAsia"/>
          <w:rtl/>
        </w:rPr>
        <w:t>לְמַעַן</w:t>
      </w:r>
      <w:r>
        <w:t xml:space="preserve">, „damit", mit </w:t>
      </w:r>
      <w:r>
        <w:rPr>
          <w:rStyle w:val="Fett"/>
          <w:rFonts w:eastAsiaTheme="majorEastAsia"/>
          <w:rtl/>
        </w:rPr>
        <w:t>אֲשֶׁר</w:t>
      </w:r>
      <w:r>
        <w:t xml:space="preserve">), </w:t>
      </w:r>
      <w:r>
        <w:rPr>
          <w:rStyle w:val="Fett"/>
          <w:rFonts w:eastAsiaTheme="majorEastAsia"/>
          <w:rtl/>
        </w:rPr>
        <w:t>לֹא־יְלַמְּדוּ אֶתְכֶם</w:t>
      </w:r>
      <w:r>
        <w:rPr>
          <w:rtl/>
        </w:rPr>
        <w:t xml:space="preserve"> </w:t>
      </w:r>
      <w:r>
        <w:t xml:space="preserve">(Negation mit </w:t>
      </w:r>
      <w:r>
        <w:rPr>
          <w:rStyle w:val="Fett"/>
          <w:rFonts w:eastAsiaTheme="majorEastAsia"/>
          <w:rtl/>
        </w:rPr>
        <w:t>למד</w:t>
      </w:r>
      <w:r>
        <w:t xml:space="preserve">, Piel Imperfekt, 3. Person Plural, „lehren, unterweisen", </w:t>
      </w:r>
      <w:r>
        <w:rPr>
          <w:rStyle w:val="Fett"/>
          <w:rFonts w:eastAsiaTheme="majorEastAsia"/>
          <w:rtl/>
        </w:rPr>
        <w:t>אֶתְכֶם</w:t>
      </w:r>
      <w:r>
        <w:t xml:space="preserve">, Objektpartikel </w:t>
      </w:r>
      <w:r>
        <w:rPr>
          <w:rStyle w:val="Fett"/>
          <w:rFonts w:eastAsiaTheme="majorEastAsia"/>
          <w:rtl/>
        </w:rPr>
        <w:t>אֵת</w:t>
      </w:r>
      <w:r>
        <w:rPr>
          <w:rtl/>
        </w:rPr>
        <w:t xml:space="preserve"> </w:t>
      </w:r>
      <w:r>
        <w:t xml:space="preserve">mit Suffix 2. Person Plural, „damit nicht lehren sie euch"), </w:t>
      </w:r>
      <w:r>
        <w:rPr>
          <w:rStyle w:val="Fett"/>
          <w:rFonts w:eastAsiaTheme="majorEastAsia"/>
          <w:rtl/>
        </w:rPr>
        <w:t>לַעֲשׂוֹת כְּכֹל תּוֹעֲבֹתָם</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עשׂה</w:t>
      </w:r>
      <w:r>
        <w:t xml:space="preserve">, „tun", Präposition </w:t>
      </w:r>
      <w:r>
        <w:rPr>
          <w:rStyle w:val="Fett"/>
          <w:rFonts w:eastAsiaTheme="majorEastAsia"/>
          <w:rtl/>
        </w:rPr>
        <w:t>כְּ</w:t>
      </w:r>
      <w:r>
        <w:t xml:space="preserve">, „wie, nach", mit </w:t>
      </w:r>
      <w:r>
        <w:rPr>
          <w:rStyle w:val="Fett"/>
          <w:rFonts w:eastAsiaTheme="majorEastAsia"/>
          <w:rtl/>
        </w:rPr>
        <w:t>כֹּל</w:t>
      </w:r>
      <w:r>
        <w:t xml:space="preserve">, Construct mit </w:t>
      </w:r>
      <w:r>
        <w:rPr>
          <w:rStyle w:val="Fett"/>
          <w:rFonts w:eastAsiaTheme="majorEastAsia"/>
          <w:rtl/>
        </w:rPr>
        <w:t>תּוֹעֵבָה</w:t>
      </w:r>
      <w:r>
        <w:t xml:space="preserve">, „Gräuel", Plural mit Suffix 3. Person Plural, „zu tun nach allen ihren Gräueln"), </w:t>
      </w:r>
      <w:r>
        <w:rPr>
          <w:rStyle w:val="Fett"/>
          <w:rFonts w:eastAsiaTheme="majorEastAsia"/>
          <w:rtl/>
        </w:rPr>
        <w:t>אֲשֶׁר עָשׂוּ לֵאלֹהֵיהֶם</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עשׂה</w:t>
      </w:r>
      <w:r>
        <w:t xml:space="preserve">, Qal Perfekt, 3. Person Plural, „tun", </w:t>
      </w:r>
      <w:r>
        <w:rPr>
          <w:rStyle w:val="Fett"/>
          <w:rFonts w:eastAsiaTheme="majorEastAsia"/>
          <w:rtl/>
        </w:rPr>
        <w:t>לֵאלֹהֵיהֶם</w:t>
      </w:r>
      <w:r>
        <w:t xml:space="preserve">, Präposition </w:t>
      </w:r>
      <w:r>
        <w:rPr>
          <w:rStyle w:val="Fett"/>
          <w:rFonts w:eastAsiaTheme="majorEastAsia"/>
          <w:rtl/>
        </w:rPr>
        <w:t>לְ</w:t>
      </w:r>
      <w:r>
        <w:rPr>
          <w:rtl/>
        </w:rPr>
        <w:t xml:space="preserve"> </w:t>
      </w:r>
      <w:r>
        <w:t xml:space="preserve">mit </w:t>
      </w:r>
      <w:r>
        <w:rPr>
          <w:rStyle w:val="Fett"/>
          <w:rFonts w:eastAsiaTheme="majorEastAsia"/>
          <w:rtl/>
        </w:rPr>
        <w:t>אֱלֹהִים</w:t>
      </w:r>
      <w:r>
        <w:t>, „Götter", mit Suffix 3. Person Plural, „die sie getan haben für ihre Götter").</w:t>
      </w:r>
    </w:p>
    <w:p w14:paraId="7A69F5BD" w14:textId="77777777" w:rsidR="00C21CEF" w:rsidRDefault="00C21CEF" w:rsidP="00C21CEF">
      <w:pPr>
        <w:pStyle w:val="whitespace-normal"/>
      </w:pPr>
      <w:r>
        <w:rPr>
          <w:rStyle w:val="Fett"/>
          <w:rFonts w:eastAsiaTheme="majorEastAsia"/>
          <w:rtl/>
        </w:rPr>
        <w:t>וַחֲטָאתֶם לַיהוָה אֱלֹהֵיכֶם</w:t>
      </w:r>
      <w:r>
        <w:rPr>
          <w:rtl/>
        </w:rPr>
        <w:t xml:space="preserve"> </w:t>
      </w:r>
      <w:r>
        <w:t xml:space="preserve">ist die negative Konsequenz: </w:t>
      </w:r>
      <w:r>
        <w:rPr>
          <w:rStyle w:val="Fett"/>
          <w:rFonts w:eastAsiaTheme="majorEastAsia"/>
          <w:rtl/>
        </w:rPr>
        <w:t>וַחֲטָאתֶם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חטא</w:t>
      </w:r>
      <w:r>
        <w:t xml:space="preserve">, Qal Perfekt, 2. Person Plural, „sündigen", mit </w:t>
      </w:r>
      <w:r>
        <w:rPr>
          <w:rStyle w:val="Fett"/>
          <w:rFonts w:eastAsiaTheme="majorEastAsia"/>
        </w:rPr>
        <w:t>Waw</w:t>
      </w:r>
      <w:r>
        <w:t xml:space="preserve"> consecutives Perfekt), </w:t>
      </w:r>
      <w:r>
        <w:rPr>
          <w:rStyle w:val="Fett"/>
          <w:rFonts w:eastAsiaTheme="majorEastAsia"/>
          <w:rtl/>
        </w:rPr>
        <w:t>לַיהוָה אֱלֹהֵיכֶם</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יְהוָה אֱלֹהֵיכֶם</w:t>
      </w:r>
      <w:r>
        <w:t>, „gegen JHWH, euren Gott").</w:t>
      </w:r>
    </w:p>
    <w:p w14:paraId="4E053D29" w14:textId="77777777" w:rsidR="00C21CEF" w:rsidRDefault="00C21CEF" w:rsidP="00C21CEF">
      <w:pPr>
        <w:pStyle w:val="whitespace-normal"/>
      </w:pPr>
      <w:r>
        <w:t xml:space="preserve">Der Vers gibt die theologische Begründung für den </w:t>
      </w:r>
      <w:r>
        <w:rPr>
          <w:rStyle w:val="Fett"/>
          <w:rFonts w:eastAsiaTheme="majorEastAsia"/>
          <w:rtl/>
        </w:rPr>
        <w:t>חֵרֶם</w:t>
      </w:r>
      <w:r>
        <w:t xml:space="preserve">: Nicht Landgier oder Völkermord, sondern Schutz vor religiöser Verführung. Die doppelte Formulierung: (1) </w:t>
      </w:r>
      <w:r>
        <w:rPr>
          <w:rStyle w:val="Fett"/>
          <w:rFonts w:eastAsiaTheme="majorEastAsia"/>
          <w:rtl/>
        </w:rPr>
        <w:t>לֹא־יְלַמְּדוּ אֶתְכֶם לַעֲשׂוֹת כְּכֹל תּוֹעֲבֹתָם</w:t>
      </w:r>
      <w:r>
        <w:rPr>
          <w:rtl/>
        </w:rPr>
        <w:t xml:space="preserve"> </w:t>
      </w:r>
      <w:r>
        <w:t xml:space="preserve">(„damit sie euch nicht lehren zu tun nach allen ihren Gräueln") – die Kanaaniter würden Israel ihre </w:t>
      </w:r>
      <w:r>
        <w:rPr>
          <w:rStyle w:val="Fett"/>
          <w:rFonts w:eastAsiaTheme="majorEastAsia"/>
          <w:rtl/>
        </w:rPr>
        <w:t>תּוֹעֵבֹת</w:t>
      </w:r>
      <w:r>
        <w:rPr>
          <w:rtl/>
        </w:rPr>
        <w:t xml:space="preserve"> </w:t>
      </w:r>
      <w:r>
        <w:t xml:space="preserve">(„Gräuel") beibringen, (2) </w:t>
      </w:r>
      <w:r>
        <w:rPr>
          <w:rStyle w:val="Fett"/>
          <w:rFonts w:eastAsiaTheme="majorEastAsia"/>
          <w:rtl/>
        </w:rPr>
        <w:t>וַחֲטָאתֶם לַיהוָה אֱלֹהֵיכֶם</w:t>
      </w:r>
      <w:r>
        <w:rPr>
          <w:rtl/>
        </w:rPr>
        <w:t xml:space="preserve"> </w:t>
      </w:r>
      <w:r>
        <w:t>(„und ihr würdet sündigen gegen JHWH, euren Gott") – das Resultat wäre Apostasie.</w:t>
      </w:r>
    </w:p>
    <w:p w14:paraId="3A081E25" w14:textId="77777777" w:rsidR="00C21CEF" w:rsidRDefault="00C21CEF" w:rsidP="00C21CEF">
      <w:pPr>
        <w:pStyle w:val="whitespace-normal"/>
      </w:pPr>
      <w:r>
        <w:t xml:space="preserve">Das Wort </w:t>
      </w:r>
      <w:r>
        <w:rPr>
          <w:rStyle w:val="Fett"/>
          <w:rFonts w:eastAsiaTheme="majorEastAsia"/>
          <w:rtl/>
        </w:rPr>
        <w:t>תּוֹעֵבָה</w:t>
      </w:r>
      <w:r>
        <w:rPr>
          <w:rtl/>
        </w:rPr>
        <w:t xml:space="preserve"> </w:t>
      </w:r>
      <w:r>
        <w:t xml:space="preserve">(„Gräuel") bezeichnet religiöse Abscheulichkeiten (vgl. 7,25.26; 12,31; 13,15; 14,3; 17,1.4; 18,9.12; 20,18; 22,5; 23,19; 24,4; 25,16; 27,15; 32,16). Die Formulierung </w:t>
      </w:r>
      <w:r>
        <w:rPr>
          <w:rStyle w:val="Fett"/>
          <w:rFonts w:eastAsiaTheme="majorEastAsia"/>
          <w:rtl/>
        </w:rPr>
        <w:t>אֲשֶׁר עָשׂוּ לֵאלֹהֵיהֶם</w:t>
      </w:r>
      <w:r>
        <w:rPr>
          <w:rtl/>
        </w:rPr>
        <w:t xml:space="preserve"> </w:t>
      </w:r>
      <w:r>
        <w:t>(„die sie getan haben für ihre Götter") zeigt: kultische Praktiken (vgl. 12,31: Kinderopfer, etc.).</w:t>
      </w:r>
    </w:p>
    <w:p w14:paraId="64793985" w14:textId="01E83A24" w:rsidR="00C21CEF" w:rsidRDefault="00C21CEF" w:rsidP="00C21CEF">
      <w:pPr>
        <w:pStyle w:val="whitespace-normal"/>
      </w:pPr>
      <w:r>
        <w:t xml:space="preserve">Diese Begründung erscheint auch in 7,4.16.25-26: Die Kanaaniter sind eine geistliche </w:t>
      </w:r>
      <w:r w:rsidR="00D84597">
        <w:t>Gefahr</w:t>
      </w:r>
      <w:r>
        <w:t xml:space="preserve"> – Koexistenz würde zur Apostasie führen. Die Geschichte Israels (Ri – </w:t>
      </w:r>
      <w:r w:rsidR="00664EB6">
        <w:t>2Kön</w:t>
      </w:r>
      <w:r>
        <w:t>) zeigt: Diese Furcht war berechtigt – die Vermischung mit den Kanaanitern führte zu Baalsverehrung und Abfall von JHWH.</w:t>
      </w:r>
    </w:p>
    <w:p w14:paraId="19A0997B" w14:textId="77777777" w:rsidR="00C21CEF" w:rsidRDefault="00C21CEF" w:rsidP="00C21CEF">
      <w:pPr>
        <w:pStyle w:val="whitespace-normal"/>
      </w:pPr>
      <w:r>
        <w:rPr>
          <w:rStyle w:val="Fett"/>
          <w:rFonts w:eastAsiaTheme="majorEastAsia"/>
        </w:rPr>
        <w:t>Kritische Beobachtung:</w:t>
      </w:r>
      <w:r>
        <w:t xml:space="preserve"> Diese Begründung macht den </w:t>
      </w:r>
      <w:r>
        <w:rPr>
          <w:rStyle w:val="Fett"/>
          <w:rFonts w:eastAsiaTheme="majorEastAsia"/>
          <w:rtl/>
        </w:rPr>
        <w:t>חֵרֶם</w:t>
      </w:r>
      <w:r>
        <w:rPr>
          <w:rtl/>
        </w:rPr>
        <w:t xml:space="preserve"> </w:t>
      </w:r>
      <w:r>
        <w:t xml:space="preserve">zu einer präventiven Maßnahme gegen religiöse Verführung, nicht zu ethnischer Säuberung. Dennoch bleibt der </w:t>
      </w:r>
      <w:r>
        <w:rPr>
          <w:rStyle w:val="Fett"/>
          <w:rFonts w:eastAsiaTheme="majorEastAsia"/>
          <w:rtl/>
        </w:rPr>
        <w:t>חֵרֶם</w:t>
      </w:r>
      <w:r>
        <w:rPr>
          <w:rtl/>
        </w:rPr>
        <w:t xml:space="preserve"> </w:t>
      </w:r>
      <w:r>
        <w:t>ethisch problematisch – totale Vernichtung einschließlich Kinder und Tiere.</w:t>
      </w:r>
    </w:p>
    <w:p w14:paraId="412CC851" w14:textId="77777777" w:rsidR="00C21CEF" w:rsidRDefault="00C21CEF" w:rsidP="00C21CEF">
      <w:pPr>
        <w:pStyle w:val="whitespace-normal"/>
      </w:pPr>
      <w:r>
        <w:rPr>
          <w:rStyle w:val="Fett"/>
          <w:rFonts w:eastAsiaTheme="majorEastAsia"/>
        </w:rPr>
        <w:t>Die Satzstruktur:</w:t>
      </w:r>
      <w:r>
        <w:t xml:space="preserve"> Finalsatz mit negativer Konsequenz (damit nicht lehren sie euch zu tun nach allen ihren Gräueln, die getan haben sie für ihre Götter, und sündigen würdet ihr gegen JHWH, euren Gott).</w:t>
      </w:r>
    </w:p>
    <w:p w14:paraId="6E0DB3F3" w14:textId="77777777" w:rsidR="00C21CEF" w:rsidRDefault="00C21CEF" w:rsidP="00C21CEF">
      <w:pPr>
        <w:pStyle w:val="whitespace-normal"/>
      </w:pPr>
      <w:r>
        <w:lastRenderedPageBreak/>
        <w:t>Der Vers begründet den Bann: Damit die Kanaaniter euch nicht ihre Gräuel lehren und ihr gegen JHWH sündigt – deshalb müssen sie völlig vernichtet werden.</w:t>
      </w:r>
    </w:p>
    <w:p w14:paraId="6E3DA239" w14:textId="77777777" w:rsidR="00C21CEF" w:rsidRPr="00C21CEF" w:rsidRDefault="00C21CEF" w:rsidP="00C21CEF">
      <w:pPr>
        <w:pStyle w:val="berschrift1"/>
        <w:rPr>
          <w:rFonts w:ascii="Times New Roman" w:hAnsi="Times New Roman"/>
          <w:color w:val="auto"/>
          <w:sz w:val="36"/>
          <w:szCs w:val="36"/>
        </w:rPr>
      </w:pPr>
      <w:r w:rsidRPr="00C21CEF">
        <w:rPr>
          <w:rStyle w:val="Fett"/>
          <w:rFonts w:ascii="Times New Roman" w:hAnsi="Times New Roman"/>
          <w:color w:val="auto"/>
          <w:sz w:val="36"/>
          <w:szCs w:val="36"/>
        </w:rPr>
        <w:t>Deuteronomium 20,19</w:t>
      </w:r>
    </w:p>
    <w:p w14:paraId="4D855BEB" w14:textId="77777777" w:rsidR="00C21CEF" w:rsidRDefault="00C21CEF" w:rsidP="00C21CEF">
      <w:pPr>
        <w:pStyle w:val="whitespace-normal"/>
      </w:pPr>
      <w:r>
        <w:rPr>
          <w:rStyle w:val="Fett"/>
          <w:rFonts w:eastAsiaTheme="majorEastAsia"/>
        </w:rPr>
        <w:t>Hebräisch:</w:t>
      </w:r>
      <w:r>
        <w:t xml:space="preserve"> </w:t>
      </w:r>
      <w:r>
        <w:rPr>
          <w:rtl/>
        </w:rPr>
        <w:t>כִּֽי־תָצ֣וּר אֶל־עִיר֩ יָמִ֨ים רַבִּ֜ים לְֽהִלָּחֵ֧ם עָלֶ֣יהָ לְתָפְשָׂ֗הּ לֹֽא־תַשְׁחִ֤ית אֶת־עֵצָהּ֙ לִנְדֹּ֤חַ עָלָיו֙ גַּרְזֶ֔ן כִּ֚י מִמֶּ֣נּוּ תֹאכֵ֔ל וְאֹתוֹ֖ לֹ֣א תִכְרֹ֑ת כִּ֤י הָֽאָדָם֙ עֵ֣ץ הַשָּׂדֶ֔ה לָבֹ֥א מִפָּנֶ֖יךָ בַּמָּצֽוֹר׃</w:t>
      </w:r>
    </w:p>
    <w:p w14:paraId="10241FEA" w14:textId="77777777" w:rsidR="00C21CEF" w:rsidRDefault="00C21CEF" w:rsidP="00C21CEF">
      <w:pPr>
        <w:pStyle w:val="whitespace-normal"/>
      </w:pPr>
      <w:r>
        <w:rPr>
          <w:rStyle w:val="Fett"/>
          <w:rFonts w:eastAsiaTheme="majorEastAsia"/>
        </w:rPr>
        <w:t>Deutsch:</w:t>
      </w:r>
      <w:r>
        <w:t xml:space="preserve"> Wenn du eine Stadt viele Tage belagerst, um gegen sie zu kämpfen und sie einzunehmen, so sollst du ihre Bäume nicht verderben, indem du die Axt gegen sie schwingst, denn du kannst davon essen, und du sollst sie nicht fällen. Denn ist der Baum des Feldes ein Mensch, dass er vor dir in Belagerung kommen sollte?</w:t>
      </w:r>
    </w:p>
    <w:p w14:paraId="54E909CE" w14:textId="77777777" w:rsidR="00C21CEF" w:rsidRDefault="004F5CEB" w:rsidP="00C21CEF">
      <w:r>
        <w:rPr>
          <w:noProof/>
        </w:rPr>
        <w:pict w14:anchorId="601A66B4">
          <v:rect id="_x0000_i1571" style="width:0;height:1.5pt" o:hralign="center" o:hrstd="t" o:hr="t" fillcolor="#a0a0a0" stroked="f"/>
        </w:pict>
      </w:r>
    </w:p>
    <w:p w14:paraId="0B2A0DB7" w14:textId="77777777" w:rsidR="00C21CEF" w:rsidRDefault="00C21CEF" w:rsidP="00C21CEF">
      <w:pPr>
        <w:pStyle w:val="whitespace-normal"/>
      </w:pPr>
      <w:r>
        <w:rPr>
          <w:rStyle w:val="Fett"/>
          <w:rFonts w:eastAsiaTheme="majorEastAsia"/>
        </w:rPr>
        <w:t>Kommentar:</w:t>
      </w:r>
      <w:r>
        <w:t xml:space="preserve"> </w:t>
      </w:r>
      <w:r>
        <w:rPr>
          <w:rStyle w:val="Fett"/>
          <w:rFonts w:eastAsiaTheme="majorEastAsia"/>
          <w:rtl/>
        </w:rPr>
        <w:t>כִּי־תָצוּר אֶל־עִיר יָמִים רַבִּים לְהִלָּחֵם עָלֶיהָ לְתָפְשָׂהּ</w:t>
      </w:r>
      <w:r>
        <w:rPr>
          <w:rtl/>
        </w:rPr>
        <w:t xml:space="preserve"> </w:t>
      </w:r>
      <w:r>
        <w:t xml:space="preserve">ist ein konditionaler temporaler Satz: </w:t>
      </w:r>
      <w:r>
        <w:rPr>
          <w:rStyle w:val="Fett"/>
          <w:rFonts w:eastAsiaTheme="majorEastAsia"/>
          <w:rtl/>
        </w:rPr>
        <w:t>כִּי־תָצוּר</w:t>
      </w:r>
      <w:r>
        <w:rPr>
          <w:rtl/>
        </w:rPr>
        <w:t xml:space="preserve"> </w:t>
      </w:r>
      <w:r>
        <w:t>(</w:t>
      </w:r>
      <w:r>
        <w:rPr>
          <w:rStyle w:val="Fett"/>
          <w:rFonts w:eastAsiaTheme="majorEastAsia"/>
          <w:rtl/>
        </w:rPr>
        <w:t>כִּי</w:t>
      </w:r>
      <w:r>
        <w:t xml:space="preserve">, „wenn", mit </w:t>
      </w:r>
      <w:r>
        <w:rPr>
          <w:rStyle w:val="Fett"/>
          <w:rFonts w:eastAsiaTheme="majorEastAsia"/>
          <w:rtl/>
        </w:rPr>
        <w:t>צור</w:t>
      </w:r>
      <w:r>
        <w:t xml:space="preserve">, Qal Imperfekt, 2. Person Maskulinum Singular, „belagern"), </w:t>
      </w:r>
      <w:r>
        <w:rPr>
          <w:rStyle w:val="Fett"/>
          <w:rFonts w:eastAsiaTheme="majorEastAsia"/>
          <w:rtl/>
        </w:rPr>
        <w:t>אֶל־עִיר</w:t>
      </w:r>
      <w:r>
        <w:rPr>
          <w:rtl/>
        </w:rPr>
        <w:t xml:space="preserve"> </w:t>
      </w:r>
      <w:r>
        <w:t xml:space="preserve">(Präposition </w:t>
      </w:r>
      <w:r>
        <w:rPr>
          <w:rStyle w:val="Fett"/>
          <w:rFonts w:eastAsiaTheme="majorEastAsia"/>
          <w:rtl/>
        </w:rPr>
        <w:t>אֶל</w:t>
      </w:r>
      <w:r>
        <w:rPr>
          <w:rtl/>
        </w:rPr>
        <w:t xml:space="preserve"> </w:t>
      </w:r>
      <w:r>
        <w:t xml:space="preserve">mit </w:t>
      </w:r>
      <w:r>
        <w:rPr>
          <w:rStyle w:val="Fett"/>
          <w:rFonts w:eastAsiaTheme="majorEastAsia"/>
          <w:rtl/>
        </w:rPr>
        <w:t>עִיר</w:t>
      </w:r>
      <w:r>
        <w:t xml:space="preserve">, „Stadt"), </w:t>
      </w:r>
      <w:r>
        <w:rPr>
          <w:rStyle w:val="Fett"/>
          <w:rFonts w:eastAsiaTheme="majorEastAsia"/>
          <w:rtl/>
        </w:rPr>
        <w:t>יָמִים רַבִּים</w:t>
      </w:r>
      <w:r>
        <w:rPr>
          <w:rtl/>
        </w:rPr>
        <w:t xml:space="preserve"> </w:t>
      </w:r>
      <w:r>
        <w:t>(</w:t>
      </w:r>
      <w:r>
        <w:rPr>
          <w:rStyle w:val="Fett"/>
          <w:rFonts w:eastAsiaTheme="majorEastAsia"/>
          <w:rtl/>
        </w:rPr>
        <w:t>יוֹם</w:t>
      </w:r>
      <w:r>
        <w:t xml:space="preserve">, „Tag", Plural, </w:t>
      </w:r>
      <w:r>
        <w:rPr>
          <w:rStyle w:val="Fett"/>
          <w:rFonts w:eastAsiaTheme="majorEastAsia"/>
          <w:rtl/>
        </w:rPr>
        <w:t>רַב</w:t>
      </w:r>
      <w:r>
        <w:t xml:space="preserve">, Plural, „viele Tage" = lange Zeit), </w:t>
      </w:r>
      <w:r>
        <w:rPr>
          <w:rStyle w:val="Fett"/>
          <w:rFonts w:eastAsiaTheme="majorEastAsia"/>
          <w:rtl/>
        </w:rPr>
        <w:t>לְהִלָּחֵם עָלֶיהָ לְתָפְשָׂהּ</w:t>
      </w:r>
      <w:r>
        <w:rPr>
          <w:rtl/>
        </w:rPr>
        <w:t xml:space="preserve"> </w:t>
      </w:r>
      <w:r>
        <w:t xml:space="preserve">(Präposition </w:t>
      </w:r>
      <w:r>
        <w:rPr>
          <w:rStyle w:val="Fett"/>
          <w:rFonts w:eastAsiaTheme="majorEastAsia"/>
          <w:rtl/>
        </w:rPr>
        <w:t>לְ</w:t>
      </w:r>
      <w:r>
        <w:rPr>
          <w:rtl/>
        </w:rPr>
        <w:t xml:space="preserve"> </w:t>
      </w:r>
      <w:r>
        <w:t xml:space="preserve">mit Niphal Infinitiv Construct von </w:t>
      </w:r>
      <w:r>
        <w:rPr>
          <w:rStyle w:val="Fett"/>
          <w:rFonts w:eastAsiaTheme="majorEastAsia"/>
          <w:rtl/>
        </w:rPr>
        <w:t>לחם</w:t>
      </w:r>
      <w:r>
        <w:t xml:space="preserve">, „kämpfen", </w:t>
      </w:r>
      <w:r>
        <w:rPr>
          <w:rStyle w:val="Fett"/>
          <w:rFonts w:eastAsiaTheme="majorEastAsia"/>
          <w:rtl/>
        </w:rPr>
        <w:t>עָלֶיהָ</w:t>
      </w:r>
      <w:r>
        <w:t xml:space="preserve">, koordiniert durch </w:t>
      </w:r>
      <w:r>
        <w:rPr>
          <w:rStyle w:val="Fett"/>
          <w:rFonts w:eastAsiaTheme="majorEastAsia"/>
          <w:rtl/>
        </w:rPr>
        <w:t>לְ</w:t>
      </w:r>
      <w:r>
        <w:rPr>
          <w:rtl/>
        </w:rPr>
        <w:t xml:space="preserve"> </w:t>
      </w:r>
      <w:r>
        <w:t xml:space="preserve">mit Qal Infinitiv Construct von </w:t>
      </w:r>
      <w:r>
        <w:rPr>
          <w:rStyle w:val="Fett"/>
          <w:rFonts w:eastAsiaTheme="majorEastAsia"/>
          <w:rtl/>
        </w:rPr>
        <w:t>תפשׂ</w:t>
      </w:r>
      <w:r>
        <w:t>, „ergreifen, einnehmen", mit Suffix 3. Person Femininum Singular, „um gegen sie zu kämpfen, um sie einzunehmen").</w:t>
      </w:r>
    </w:p>
    <w:p w14:paraId="675CCBD7" w14:textId="77777777" w:rsidR="00C21CEF" w:rsidRDefault="00C21CEF" w:rsidP="00C21CEF">
      <w:pPr>
        <w:pStyle w:val="whitespace-normal"/>
      </w:pPr>
      <w:r>
        <w:rPr>
          <w:rStyle w:val="Fett"/>
          <w:rFonts w:eastAsiaTheme="majorEastAsia"/>
          <w:rtl/>
        </w:rPr>
        <w:t>לֹא־תַשְׁחִית אֶת־עֵצָהּ לִנְדֹּחַ עָלָיו גַּרְזֶן כִּי מִמֶּנּוּ תֹאכֵל וְאֹתוֹ לֹא תִכְרֹת</w:t>
      </w:r>
      <w:r>
        <w:rPr>
          <w:rtl/>
        </w:rPr>
        <w:t xml:space="preserve"> </w:t>
      </w:r>
      <w:r>
        <w:t xml:space="preserve">ist die Hauptanweisung: </w:t>
      </w:r>
      <w:r>
        <w:rPr>
          <w:rStyle w:val="Fett"/>
          <w:rFonts w:eastAsiaTheme="majorEastAsia"/>
          <w:rtl/>
        </w:rPr>
        <w:t>לֹא־תַשְׁחִית אֶת־עֵצָהּ</w:t>
      </w:r>
      <w:r>
        <w:rPr>
          <w:rtl/>
        </w:rPr>
        <w:t xml:space="preserve"> </w:t>
      </w:r>
      <w:r>
        <w:t xml:space="preserve">(Negation mit </w:t>
      </w:r>
      <w:r>
        <w:rPr>
          <w:rStyle w:val="Fett"/>
          <w:rFonts w:eastAsiaTheme="majorEastAsia"/>
          <w:rtl/>
        </w:rPr>
        <w:t>שׁחת</w:t>
      </w:r>
      <w:r>
        <w:t xml:space="preserve">, Hiphil Imperfekt, 2. Person Maskulinum Singular, „verderben, zerstören, vernichten", </w:t>
      </w:r>
      <w:r>
        <w:rPr>
          <w:rStyle w:val="Fett"/>
          <w:rFonts w:eastAsiaTheme="majorEastAsia"/>
          <w:rtl/>
        </w:rPr>
        <w:t>אֶת־עֵצָהּ</w:t>
      </w:r>
      <w:r>
        <w:t xml:space="preserve">, Objektpartikel </w:t>
      </w:r>
      <w:r>
        <w:rPr>
          <w:rStyle w:val="Fett"/>
          <w:rFonts w:eastAsiaTheme="majorEastAsia"/>
          <w:rtl/>
        </w:rPr>
        <w:t>אֵת</w:t>
      </w:r>
      <w:r>
        <w:rPr>
          <w:rtl/>
        </w:rPr>
        <w:t xml:space="preserve"> </w:t>
      </w:r>
      <w:r>
        <w:t xml:space="preserve">mit </w:t>
      </w:r>
      <w:r>
        <w:rPr>
          <w:rStyle w:val="Fett"/>
          <w:rFonts w:eastAsiaTheme="majorEastAsia"/>
          <w:rtl/>
        </w:rPr>
        <w:t>עֵץ</w:t>
      </w:r>
      <w:r>
        <w:t xml:space="preserve">, „Baum, Holz", mit Suffix 3. Person Femininum Singular, „nicht sollst du verderben ihre Bäume"), </w:t>
      </w:r>
      <w:r>
        <w:rPr>
          <w:rStyle w:val="Fett"/>
          <w:rFonts w:eastAsiaTheme="majorEastAsia"/>
          <w:rtl/>
        </w:rPr>
        <w:t>לִנְדֹּחַ עָלָיו גַּרְזֶן</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נדח</w:t>
      </w:r>
      <w:r>
        <w:t xml:space="preserve">, „treiben, schwingen, schlagen", </w:t>
      </w:r>
      <w:r>
        <w:rPr>
          <w:rStyle w:val="Fett"/>
          <w:rFonts w:eastAsiaTheme="majorEastAsia"/>
          <w:rtl/>
        </w:rPr>
        <w:t>עָלָיו</w:t>
      </w:r>
      <w:r>
        <w:t xml:space="preserve">, Präposition </w:t>
      </w:r>
      <w:r>
        <w:rPr>
          <w:rStyle w:val="Fett"/>
          <w:rFonts w:eastAsiaTheme="majorEastAsia"/>
          <w:rtl/>
        </w:rPr>
        <w:t>עַל</w:t>
      </w:r>
      <w:r>
        <w:rPr>
          <w:rtl/>
        </w:rPr>
        <w:t xml:space="preserve"> </w:t>
      </w:r>
      <w:r>
        <w:t xml:space="preserve">mit Suffix 3. Person Maskulinum Singular, </w:t>
      </w:r>
      <w:r>
        <w:rPr>
          <w:rStyle w:val="Fett"/>
          <w:rFonts w:eastAsiaTheme="majorEastAsia"/>
          <w:rtl/>
        </w:rPr>
        <w:t>גַּרְזֶן</w:t>
      </w:r>
      <w:r>
        <w:t xml:space="preserve">, „Axt", „indem du schwingst gegen ihn die Axt"), </w:t>
      </w:r>
      <w:r>
        <w:rPr>
          <w:rStyle w:val="Fett"/>
          <w:rFonts w:eastAsiaTheme="majorEastAsia"/>
          <w:rtl/>
        </w:rPr>
        <w:t>כִּי מִמֶּנּוּ תֹאכֵל</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אכל</w:t>
      </w:r>
      <w:r>
        <w:t xml:space="preserve">, Qal Imperfekt, 2. Person Maskulinum Singular, „essen", </w:t>
      </w:r>
      <w:r>
        <w:rPr>
          <w:rStyle w:val="Fett"/>
          <w:rFonts w:eastAsiaTheme="majorEastAsia"/>
          <w:rtl/>
        </w:rPr>
        <w:t>מִמֶּנּוּ</w:t>
      </w:r>
      <w:r>
        <w:t xml:space="preserve">, Präposition </w:t>
      </w:r>
      <w:r>
        <w:rPr>
          <w:rStyle w:val="Fett"/>
          <w:rFonts w:eastAsiaTheme="majorEastAsia"/>
          <w:rtl/>
        </w:rPr>
        <w:t>מִן</w:t>
      </w:r>
      <w:r>
        <w:rPr>
          <w:rtl/>
        </w:rPr>
        <w:t xml:space="preserve"> </w:t>
      </w:r>
      <w:r>
        <w:t xml:space="preserve">mit Suffix 3. Person Maskulinum Singular, „denn von ihm isst du"), </w:t>
      </w:r>
      <w:r>
        <w:rPr>
          <w:rStyle w:val="Fett"/>
          <w:rFonts w:eastAsiaTheme="majorEastAsia"/>
          <w:rtl/>
        </w:rPr>
        <w:t>וְאֹתוֹ לֹא תִכְרֹת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אֹתוֹ</w:t>
      </w:r>
      <w:r>
        <w:t xml:space="preserve">, Objektpartikel </w:t>
      </w:r>
      <w:r>
        <w:rPr>
          <w:rStyle w:val="Fett"/>
          <w:rFonts w:eastAsiaTheme="majorEastAsia"/>
          <w:rtl/>
        </w:rPr>
        <w:t>אֵת</w:t>
      </w:r>
      <w:r>
        <w:rPr>
          <w:rtl/>
        </w:rPr>
        <w:t xml:space="preserve"> </w:t>
      </w:r>
      <w:r>
        <w:t xml:space="preserve">mit Suffix 3. Person Maskulinum Singular, Negation </w:t>
      </w:r>
      <w:r>
        <w:rPr>
          <w:rStyle w:val="Fett"/>
          <w:rFonts w:eastAsiaTheme="majorEastAsia"/>
          <w:rtl/>
        </w:rPr>
        <w:t>לֹא</w:t>
      </w:r>
      <w:r>
        <w:t xml:space="preserve">, </w:t>
      </w:r>
      <w:r>
        <w:rPr>
          <w:rStyle w:val="Fett"/>
          <w:rFonts w:eastAsiaTheme="majorEastAsia"/>
          <w:rtl/>
        </w:rPr>
        <w:t>כרת</w:t>
      </w:r>
      <w:r>
        <w:t>, Qal Imperfekt, 2. Person Maskulinum Singular, „abschneiden, fällen", „und ihn nicht sollst du fällen").</w:t>
      </w:r>
    </w:p>
    <w:p w14:paraId="6E04F74E" w14:textId="77777777" w:rsidR="00C21CEF" w:rsidRDefault="00C21CEF" w:rsidP="00C21CEF">
      <w:pPr>
        <w:pStyle w:val="whitespace-normal"/>
      </w:pPr>
      <w:r>
        <w:rPr>
          <w:rStyle w:val="Fett"/>
          <w:rFonts w:eastAsiaTheme="majorEastAsia"/>
          <w:rtl/>
        </w:rPr>
        <w:t>כִּי הָאָדָם עֵץ הַשָּׂדֶה לָבֹא מִפָּנֶיךָ בַּמָּצוֹר</w:t>
      </w:r>
      <w:r>
        <w:rPr>
          <w:rtl/>
        </w:rPr>
        <w:t xml:space="preserve"> </w:t>
      </w:r>
      <w:r>
        <w:t xml:space="preserve">ist ein rhetorischer/begründender Satz: </w:t>
      </w:r>
      <w:r>
        <w:rPr>
          <w:rStyle w:val="Fett"/>
          <w:rFonts w:eastAsiaTheme="majorEastAsia"/>
          <w:rtl/>
        </w:rPr>
        <w:t>כִּי</w:t>
      </w:r>
      <w:r>
        <w:rPr>
          <w:rtl/>
        </w:rPr>
        <w:t xml:space="preserve"> </w:t>
      </w:r>
      <w:r>
        <w:t xml:space="preserve">(„denn"), </w:t>
      </w:r>
      <w:r>
        <w:rPr>
          <w:rStyle w:val="Fett"/>
          <w:rFonts w:eastAsiaTheme="majorEastAsia"/>
          <w:rtl/>
        </w:rPr>
        <w:t>הָאָדָם עֵץ הַשָּׂדֶה</w:t>
      </w:r>
      <w:r>
        <w:rPr>
          <w:rtl/>
        </w:rPr>
        <w:t xml:space="preserve"> </w:t>
      </w:r>
      <w:r>
        <w:t>(</w:t>
      </w:r>
      <w:r>
        <w:rPr>
          <w:rStyle w:val="Fett"/>
          <w:rFonts w:eastAsiaTheme="majorEastAsia"/>
          <w:rtl/>
        </w:rPr>
        <w:t>אָדָם</w:t>
      </w:r>
      <w:r>
        <w:t xml:space="preserve">, „Mensch", mit Artikel, </w:t>
      </w:r>
      <w:r>
        <w:rPr>
          <w:rStyle w:val="Fett"/>
          <w:rFonts w:eastAsiaTheme="majorEastAsia"/>
          <w:rtl/>
        </w:rPr>
        <w:t>עֵץ</w:t>
      </w:r>
      <w:r>
        <w:t xml:space="preserve">, „Baum", Construct mit </w:t>
      </w:r>
      <w:r>
        <w:rPr>
          <w:rStyle w:val="Fett"/>
          <w:rFonts w:eastAsiaTheme="majorEastAsia"/>
          <w:rtl/>
        </w:rPr>
        <w:t>שָׂדֶה</w:t>
      </w:r>
      <w:r>
        <w:t xml:space="preserve">, „Feld", mit Artikel, „ist der Mensch Baum des Feldes?"), </w:t>
      </w:r>
      <w:r>
        <w:rPr>
          <w:rStyle w:val="Fett"/>
          <w:rFonts w:eastAsiaTheme="majorEastAsia"/>
          <w:rtl/>
        </w:rPr>
        <w:t>לָבֹא מִפָּנֶיךָ בַּמָּצוֹר</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בוא</w:t>
      </w:r>
      <w:r>
        <w:t xml:space="preserve">, „kommen, hineinkommen", </w:t>
      </w:r>
      <w:r>
        <w:rPr>
          <w:rStyle w:val="Fett"/>
          <w:rFonts w:eastAsiaTheme="majorEastAsia"/>
          <w:rtl/>
        </w:rPr>
        <w:t>מִפָּנֶיךָ</w:t>
      </w:r>
      <w:r>
        <w:t xml:space="preserve">, Präposition </w:t>
      </w:r>
      <w:r>
        <w:rPr>
          <w:rStyle w:val="Fett"/>
          <w:rFonts w:eastAsiaTheme="majorEastAsia"/>
          <w:rtl/>
        </w:rPr>
        <w:t>מִן</w:t>
      </w:r>
      <w:r>
        <w:rPr>
          <w:rtl/>
        </w:rPr>
        <w:t xml:space="preserve"> </w:t>
      </w:r>
      <w:r>
        <w:t xml:space="preserve">mit </w:t>
      </w:r>
      <w:r>
        <w:rPr>
          <w:rStyle w:val="Fett"/>
          <w:rFonts w:eastAsiaTheme="majorEastAsia"/>
          <w:rtl/>
        </w:rPr>
        <w:t>פָּנֶה</w:t>
      </w:r>
      <w:r>
        <w:t xml:space="preserve">, Plural Construct, „Angesicht", mit Suffix 2. Person Maskulinum Singular, „vor dir", </w:t>
      </w:r>
      <w:r>
        <w:rPr>
          <w:rStyle w:val="Fett"/>
          <w:rFonts w:eastAsiaTheme="majorEastAsia"/>
          <w:rtl/>
        </w:rPr>
        <w:t>בַּמָּצוֹר</w:t>
      </w:r>
      <w:r>
        <w:t xml:space="preserve">, Präposition </w:t>
      </w:r>
      <w:r>
        <w:rPr>
          <w:rStyle w:val="Fett"/>
          <w:rFonts w:eastAsiaTheme="majorEastAsia"/>
          <w:rtl/>
        </w:rPr>
        <w:t>בְּ</w:t>
      </w:r>
      <w:r>
        <w:rPr>
          <w:rtl/>
        </w:rPr>
        <w:t xml:space="preserve"> </w:t>
      </w:r>
      <w:r>
        <w:t xml:space="preserve">mit </w:t>
      </w:r>
      <w:r>
        <w:rPr>
          <w:rStyle w:val="Fett"/>
          <w:rFonts w:eastAsiaTheme="majorEastAsia"/>
          <w:rtl/>
        </w:rPr>
        <w:t>מָצוֹר</w:t>
      </w:r>
      <w:r>
        <w:t>, „Belagerung", mit Artikel, „um zu kommen vor dir in die Belagerung" = dass er in Belagerung kommen sollte).</w:t>
      </w:r>
    </w:p>
    <w:p w14:paraId="4F90635F" w14:textId="77777777" w:rsidR="00C21CEF" w:rsidRDefault="00C21CEF" w:rsidP="00C21CEF">
      <w:pPr>
        <w:pStyle w:val="whitespace-normal"/>
      </w:pPr>
      <w:r>
        <w:t xml:space="preserve">Der Vers führt ein bemerkenswertes humanitäres/ökologisches Gesetz ein: Schonung der Fruchtbäume bei Belagerungen. Die Formulierung </w:t>
      </w:r>
      <w:r>
        <w:rPr>
          <w:rStyle w:val="Fett"/>
          <w:rFonts w:eastAsiaTheme="majorEastAsia"/>
          <w:rtl/>
        </w:rPr>
        <w:t>כִּי־תָצוּר אֶל־עִיר יָמִים רַבִּים</w:t>
      </w:r>
      <w:r>
        <w:rPr>
          <w:rtl/>
        </w:rPr>
        <w:t xml:space="preserve"> </w:t>
      </w:r>
      <w:r>
        <w:t>(„wenn du belagerst eine Stadt viele Tage") zeigt: Bei langen Belagerungen besteht die Versuchung, alle Bäume für Belagerungswerke zu fällen.</w:t>
      </w:r>
    </w:p>
    <w:p w14:paraId="71410D0C" w14:textId="77777777" w:rsidR="00C21CEF" w:rsidRDefault="00C21CEF" w:rsidP="00C21CEF">
      <w:pPr>
        <w:pStyle w:val="whitespace-normal"/>
      </w:pPr>
      <w:r>
        <w:lastRenderedPageBreak/>
        <w:t xml:space="preserve">Die dreifache Begründung gegen das Fällen von Fruchtbäumen: (1) </w:t>
      </w:r>
      <w:r>
        <w:rPr>
          <w:rStyle w:val="Fett"/>
          <w:rFonts w:eastAsiaTheme="majorEastAsia"/>
          <w:rtl/>
        </w:rPr>
        <w:t>כִּי מִמֶּנּוּ תֹאכֵל</w:t>
      </w:r>
      <w:r>
        <w:rPr>
          <w:rtl/>
        </w:rPr>
        <w:t xml:space="preserve"> </w:t>
      </w:r>
      <w:r>
        <w:t xml:space="preserve">(„denn von ihm isst du") – die Früchte sind Nahrungsquelle während und nach der Belagerung, (2) </w:t>
      </w:r>
      <w:r>
        <w:rPr>
          <w:rStyle w:val="Fett"/>
          <w:rFonts w:eastAsiaTheme="majorEastAsia"/>
          <w:rtl/>
        </w:rPr>
        <w:t>וְאֹתוֹ לֹא תִכְרֹת</w:t>
      </w:r>
      <w:r>
        <w:rPr>
          <w:rtl/>
        </w:rPr>
        <w:t xml:space="preserve"> </w:t>
      </w:r>
      <w:r>
        <w:t xml:space="preserve">(„und ihn sollst du nicht fällen") – direkte Anweisung, (3) </w:t>
      </w:r>
      <w:r>
        <w:rPr>
          <w:rStyle w:val="Fett"/>
          <w:rFonts w:eastAsiaTheme="majorEastAsia"/>
          <w:rtl/>
        </w:rPr>
        <w:t>כִּי הָאָדָם עֵץ הַשָּׂדֶה לָבֹא מִפָּנֶיךָ בַּמָּצוֹר</w:t>
      </w:r>
      <w:r>
        <w:rPr>
          <w:rtl/>
        </w:rPr>
        <w:t xml:space="preserve"> </w:t>
      </w:r>
      <w:r>
        <w:t>– dies ist der schwierigste Teil des Verses.</w:t>
      </w:r>
    </w:p>
    <w:p w14:paraId="679E87E2" w14:textId="77777777" w:rsidR="00C21CEF" w:rsidRDefault="00C21CEF" w:rsidP="00C21CEF">
      <w:pPr>
        <w:pStyle w:val="whitespace-normal"/>
      </w:pPr>
      <w:r>
        <w:rPr>
          <w:rStyle w:val="Fett"/>
          <w:rFonts w:eastAsiaTheme="majorEastAsia"/>
        </w:rPr>
        <w:t xml:space="preserve">Die rhetorische Frage </w:t>
      </w:r>
      <w:r>
        <w:rPr>
          <w:rStyle w:val="Fett"/>
          <w:rFonts w:eastAsiaTheme="majorEastAsia"/>
          <w:rtl/>
        </w:rPr>
        <w:t>כִּי הָאָדָם עֵץ הַשָּׂדֶה</w:t>
      </w:r>
      <w:r>
        <w:rPr>
          <w:rStyle w:val="Fett"/>
          <w:rFonts w:eastAsiaTheme="majorEastAsia"/>
        </w:rPr>
        <w:t>:</w:t>
      </w:r>
      <w:r>
        <w:t xml:space="preserve"> Diese Phrase kann verschieden verstanden werden:</w:t>
      </w:r>
    </w:p>
    <w:p w14:paraId="47CFD320" w14:textId="77777777" w:rsidR="00C21CEF" w:rsidRDefault="00C21CEF" w:rsidP="00C21CEF">
      <w:pPr>
        <w:pStyle w:val="whitespace-normal"/>
        <w:numPr>
          <w:ilvl w:val="0"/>
          <w:numId w:val="19"/>
        </w:numPr>
      </w:pPr>
      <w:r>
        <w:rPr>
          <w:rStyle w:val="Fett"/>
          <w:rFonts w:eastAsiaTheme="majorEastAsia"/>
        </w:rPr>
        <w:t>Rhetorische Frage (negativ):</w:t>
      </w:r>
      <w:r>
        <w:t xml:space="preserve"> „Ist denn der Baum des Feldes ein Mensch, dass er vor dir in Belagerung kommen sollte?" – Der Baum ist unschuldig, kein Feind, warum sollte er leiden?</w:t>
      </w:r>
    </w:p>
    <w:p w14:paraId="0AE34D4B" w14:textId="77777777" w:rsidR="00C21CEF" w:rsidRDefault="00C21CEF" w:rsidP="00C21CEF">
      <w:pPr>
        <w:pStyle w:val="whitespace-normal"/>
        <w:numPr>
          <w:ilvl w:val="0"/>
          <w:numId w:val="19"/>
        </w:numPr>
      </w:pPr>
      <w:r>
        <w:rPr>
          <w:rStyle w:val="Fett"/>
          <w:rFonts w:eastAsiaTheme="majorEastAsia"/>
        </w:rPr>
        <w:t>Positive Aussage:</w:t>
      </w:r>
      <w:r>
        <w:t xml:space="preserve"> „Denn das Leben des Menschen [hängt vom] Baum des Feldes [ab], um vor dir in Belagerung zu bestehen" – Menschen brauchen Bäume zum Überleben</w:t>
      </w:r>
    </w:p>
    <w:p w14:paraId="4D18E17B" w14:textId="77777777" w:rsidR="00C21CEF" w:rsidRDefault="00C21CEF" w:rsidP="00C21CEF">
      <w:pPr>
        <w:pStyle w:val="whitespace-normal"/>
        <w:numPr>
          <w:ilvl w:val="0"/>
          <w:numId w:val="19"/>
        </w:numPr>
      </w:pPr>
      <w:r>
        <w:rPr>
          <w:rStyle w:val="Fett"/>
          <w:rFonts w:eastAsiaTheme="majorEastAsia"/>
        </w:rPr>
        <w:t>Masoretische Lesart mit Fragezeichen:</w:t>
      </w:r>
      <w:r>
        <w:t xml:space="preserve"> „Ist der Baum des Feldes etwa ein Mensch...?" – betont die Unschuld der Bäume</w:t>
      </w:r>
    </w:p>
    <w:p w14:paraId="4E8EFE1B" w14:textId="77777777" w:rsidR="00C21CEF" w:rsidRDefault="00C21CEF" w:rsidP="00C21CEF">
      <w:pPr>
        <w:pStyle w:val="whitespace-normal"/>
      </w:pPr>
      <w:r>
        <w:t xml:space="preserve">Die rabbinische Tradition (Sifre Deut 203; </w:t>
      </w:r>
      <w:proofErr w:type="spellStart"/>
      <w:r>
        <w:t>bShabbat</w:t>
      </w:r>
      <w:proofErr w:type="spellEnd"/>
      <w:r>
        <w:t xml:space="preserve"> 67b) versteht es als </w:t>
      </w:r>
      <w:proofErr w:type="spellStart"/>
      <w:r>
        <w:t>rhetorical</w:t>
      </w:r>
      <w:proofErr w:type="spellEnd"/>
      <w:r>
        <w:t xml:space="preserve"> </w:t>
      </w:r>
      <w:proofErr w:type="spellStart"/>
      <w:r>
        <w:t>question</w:t>
      </w:r>
      <w:proofErr w:type="spellEnd"/>
      <w:r>
        <w:t>: Der Baum ist kein Mensch, kein Feind – warum sollte er zerstört werden?</w:t>
      </w:r>
    </w:p>
    <w:p w14:paraId="5EB72427" w14:textId="77777777" w:rsidR="00C21CEF" w:rsidRDefault="00C21CEF" w:rsidP="00C21CEF">
      <w:pPr>
        <w:pStyle w:val="whitespace-normal"/>
      </w:pPr>
      <w:r>
        <w:t xml:space="preserve">Das Verb </w:t>
      </w:r>
      <w:r>
        <w:rPr>
          <w:rStyle w:val="Fett"/>
          <w:rFonts w:eastAsiaTheme="majorEastAsia"/>
          <w:rtl/>
        </w:rPr>
        <w:t>נדח</w:t>
      </w:r>
      <w:r>
        <w:rPr>
          <w:rtl/>
        </w:rPr>
        <w:t xml:space="preserve"> </w:t>
      </w:r>
      <w:r>
        <w:t xml:space="preserve">im Hiphil („schwingen, treiben") bezieht sich auf das Schwingen der Axt (vgl. 19,5). Die Formulierung </w:t>
      </w:r>
      <w:r>
        <w:rPr>
          <w:rStyle w:val="Fett"/>
          <w:rFonts w:eastAsiaTheme="majorEastAsia"/>
          <w:rtl/>
        </w:rPr>
        <w:t>לִנְדֹּחַ עָלָיו גַּרְזֶן</w:t>
      </w:r>
      <w:r>
        <w:rPr>
          <w:rtl/>
        </w:rPr>
        <w:t xml:space="preserve"> </w:t>
      </w:r>
      <w:r>
        <w:t xml:space="preserve">(„die Axt gegen ihn schwingen") ist poetisch (vgl. 19,5: </w:t>
      </w:r>
      <w:r>
        <w:rPr>
          <w:rStyle w:val="Fett"/>
          <w:rFonts w:eastAsiaTheme="majorEastAsia"/>
          <w:rtl/>
        </w:rPr>
        <w:t>וְנִדְּחָה יָדוֹ בַגַּרְזֶן</w:t>
      </w:r>
      <w:r>
        <w:t>).</w:t>
      </w:r>
    </w:p>
    <w:p w14:paraId="32F2DDE9" w14:textId="57B183AA" w:rsidR="00C21CEF" w:rsidRDefault="00C21CEF" w:rsidP="00C21CEF">
      <w:pPr>
        <w:pStyle w:val="whitespace-normal"/>
      </w:pPr>
      <w:r>
        <w:rPr>
          <w:rStyle w:val="Fett"/>
          <w:rFonts w:eastAsiaTheme="majorEastAsia"/>
        </w:rPr>
        <w:t>Historisch:</w:t>
      </w:r>
      <w:r>
        <w:t xml:space="preserve"> Diese Regelung ist bemerkenswert fortschrittlich – antike Kriegsführung zerstörte systematisch Bäume und Ernten als Kriegstaktik (vgl. </w:t>
      </w:r>
      <w:r w:rsidR="00664EB6">
        <w:t>2Kön</w:t>
      </w:r>
      <w:r>
        <w:t xml:space="preserve"> 3,19.25; Ri 9,45). Das jüdische Gesetz entwickelte daraus das Prinzip </w:t>
      </w:r>
      <w:r>
        <w:rPr>
          <w:rStyle w:val="Fett"/>
          <w:rFonts w:eastAsiaTheme="majorEastAsia"/>
          <w:rtl/>
        </w:rPr>
        <w:t>בַּל תַּשְׁחִית</w:t>
      </w:r>
      <w:r>
        <w:rPr>
          <w:rtl/>
        </w:rPr>
        <w:t xml:space="preserve"> </w:t>
      </w:r>
      <w:r>
        <w:t>(„verschwende nicht, zerstöre nicht"), ein allgemeines Verbot sinnloser Zerstörung (</w:t>
      </w:r>
      <w:proofErr w:type="spellStart"/>
      <w:r>
        <w:t>bShabbat</w:t>
      </w:r>
      <w:proofErr w:type="spellEnd"/>
      <w:r>
        <w:t xml:space="preserve"> 67b; </w:t>
      </w:r>
      <w:proofErr w:type="spellStart"/>
      <w:r>
        <w:t>bBaba</w:t>
      </w:r>
      <w:proofErr w:type="spellEnd"/>
      <w:r>
        <w:t xml:space="preserve"> </w:t>
      </w:r>
      <w:proofErr w:type="spellStart"/>
      <w:r>
        <w:t>Kamma</w:t>
      </w:r>
      <w:proofErr w:type="spellEnd"/>
      <w:r>
        <w:t xml:space="preserve"> 91b).</w:t>
      </w:r>
    </w:p>
    <w:p w14:paraId="7773DCC1" w14:textId="4F2124E5" w:rsidR="00734E2E" w:rsidRDefault="00734E2E" w:rsidP="00C21CEF">
      <w:pPr>
        <w:pStyle w:val="whitespace-normal"/>
      </w:pPr>
      <w:r>
        <w:rPr>
          <w:rStyle w:val="Fett"/>
        </w:rPr>
        <w:t>Die LXX</w:t>
      </w:r>
      <w:r>
        <w:t xml:space="preserve"> übersetzt die schwierige Frage </w:t>
      </w:r>
      <w:r>
        <w:rPr>
          <w:rtl/>
        </w:rPr>
        <w:t>כִּי הָאָדָם עֵץ הַשָּׂדֶה לָבֹא מִפָּנֶיךָ בַּמָּצוֹר</w:t>
      </w:r>
      <w:r>
        <w:t xml:space="preserve"> (Denn ist der Baum des Feldes ein Mensch, um vor dir in die Belagerung zu kommen?) mit </w:t>
      </w:r>
      <w:proofErr w:type="spellStart"/>
      <w:r>
        <w:t>μὴ</w:t>
      </w:r>
      <w:proofErr w:type="spellEnd"/>
      <w:r>
        <w:t xml:space="preserve"> </w:t>
      </w:r>
      <w:proofErr w:type="spellStart"/>
      <w:r>
        <w:t>ἄνθρω</w:t>
      </w:r>
      <w:proofErr w:type="spellEnd"/>
      <w:r>
        <w:t xml:space="preserve">πος </w:t>
      </w:r>
      <w:proofErr w:type="spellStart"/>
      <w:r>
        <w:t>τὸ</w:t>
      </w:r>
      <w:proofErr w:type="spellEnd"/>
      <w:r>
        <w:t xml:space="preserve"> </w:t>
      </w:r>
      <w:proofErr w:type="spellStart"/>
      <w:r>
        <w:t>ξύλον</w:t>
      </w:r>
      <w:proofErr w:type="spellEnd"/>
      <w:r>
        <w:t xml:space="preserve"> </w:t>
      </w:r>
      <w:proofErr w:type="spellStart"/>
      <w:r>
        <w:t>τὸ</w:t>
      </w:r>
      <w:proofErr w:type="spellEnd"/>
      <w:r>
        <w:t xml:space="preserve"> </w:t>
      </w:r>
      <w:proofErr w:type="spellStart"/>
      <w:r>
        <w:t>ἐν</w:t>
      </w:r>
      <w:proofErr w:type="spellEnd"/>
      <w:r>
        <w:t xml:space="preserve"> </w:t>
      </w:r>
      <w:proofErr w:type="spellStart"/>
      <w:r>
        <w:t>τῷ</w:t>
      </w:r>
      <w:proofErr w:type="spellEnd"/>
      <w:r>
        <w:t xml:space="preserve"> </w:t>
      </w:r>
      <w:proofErr w:type="spellStart"/>
      <w:r>
        <w:t>ἀγρῷ</w:t>
      </w:r>
      <w:proofErr w:type="spellEnd"/>
      <w:r>
        <w:t xml:space="preserve"> </w:t>
      </w:r>
      <w:proofErr w:type="spellStart"/>
      <w:r>
        <w:t>εἰσελθεῖν</w:t>
      </w:r>
      <w:proofErr w:type="spellEnd"/>
      <w:r>
        <w:t xml:space="preserve"> ἀπὸ π</w:t>
      </w:r>
      <w:proofErr w:type="spellStart"/>
      <w:r>
        <w:t>ροσώ</w:t>
      </w:r>
      <w:proofErr w:type="spellEnd"/>
      <w:r>
        <w:t xml:space="preserve">που </w:t>
      </w:r>
      <w:proofErr w:type="spellStart"/>
      <w:r>
        <w:t>σου</w:t>
      </w:r>
      <w:proofErr w:type="spellEnd"/>
      <w:r>
        <w:t xml:space="preserve"> </w:t>
      </w:r>
      <w:proofErr w:type="spellStart"/>
      <w:r>
        <w:t>εἰς</w:t>
      </w:r>
      <w:proofErr w:type="spellEnd"/>
      <w:r>
        <w:t xml:space="preserve"> </w:t>
      </w:r>
      <w:proofErr w:type="spellStart"/>
      <w:r>
        <w:t>τὸν</w:t>
      </w:r>
      <w:proofErr w:type="spellEnd"/>
      <w:r>
        <w:t xml:space="preserve"> </w:t>
      </w:r>
      <w:proofErr w:type="spellStart"/>
      <w:r>
        <w:t>χάρ</w:t>
      </w:r>
      <w:proofErr w:type="spellEnd"/>
      <w:r>
        <w:t xml:space="preserve">ακα; (Ist etwa der Baum auf dem Feld ein Mensch, um vor dir in die Belagerung einzutreten?) – eine rhetorische Frage, die die gleiche Interpretation wie der MT verfolgt. Der Begriff </w:t>
      </w:r>
      <w:proofErr w:type="spellStart"/>
      <w:r>
        <w:t>χάρ</w:t>
      </w:r>
      <w:proofErr w:type="spellEnd"/>
      <w:r>
        <w:t xml:space="preserve">αξ (Palisade, Belagerungswall) wird für </w:t>
      </w:r>
      <w:r>
        <w:rPr>
          <w:rtl/>
        </w:rPr>
        <w:t>מָצוֹר</w:t>
      </w:r>
      <w:r>
        <w:t xml:space="preserve"> (Belagerung) verwendet.</w:t>
      </w:r>
    </w:p>
    <w:p w14:paraId="2A380325" w14:textId="77777777" w:rsidR="00C21CEF" w:rsidRDefault="00C21CEF" w:rsidP="00C21CEF">
      <w:pPr>
        <w:pStyle w:val="whitespace-normal"/>
      </w:pPr>
      <w:r>
        <w:rPr>
          <w:rStyle w:val="Fett"/>
          <w:rFonts w:eastAsiaTheme="majorEastAsia"/>
        </w:rPr>
        <w:t>Die Satzstruktur:</w:t>
      </w:r>
      <w:r>
        <w:t xml:space="preserve"> Konditionaler temporaler Satz mit Hauptanweisung und rhetorischer Begründung (wenn belagern wirst du eine Stadt viele Tage, um zu kämpfen gegen sie, um sie einzunehmen, nicht sollst du verderben ihre Bäume, indem du schwingst gegen ihn die Axt, denn von ihm isst du, und ihn nicht sollst du fällen; denn ist der Mensch Baum des Feldes, um zu kommen vor dir in Belagerung?).</w:t>
      </w:r>
    </w:p>
    <w:p w14:paraId="41DD7191" w14:textId="77777777" w:rsidR="00C21CEF" w:rsidRDefault="00C21CEF" w:rsidP="00C21CEF">
      <w:pPr>
        <w:pStyle w:val="whitespace-normal"/>
      </w:pPr>
      <w:r>
        <w:t>Der Vers verbietet: Bei Belagerungen darfst du keine Fruchtbäume fällen – denn du isst von ihnen, und der Baum ist kein Feind.</w:t>
      </w:r>
    </w:p>
    <w:p w14:paraId="675A9A52" w14:textId="77777777" w:rsidR="00C21CEF" w:rsidRPr="00C21CEF" w:rsidRDefault="00C21CEF" w:rsidP="00C21CEF">
      <w:pPr>
        <w:pStyle w:val="berschrift1"/>
        <w:rPr>
          <w:rFonts w:ascii="Times New Roman" w:hAnsi="Times New Roman"/>
          <w:color w:val="auto"/>
          <w:sz w:val="36"/>
          <w:szCs w:val="36"/>
        </w:rPr>
      </w:pPr>
      <w:r w:rsidRPr="00C21CEF">
        <w:rPr>
          <w:rStyle w:val="Fett"/>
          <w:rFonts w:ascii="Times New Roman" w:hAnsi="Times New Roman"/>
          <w:color w:val="auto"/>
          <w:sz w:val="36"/>
          <w:szCs w:val="36"/>
        </w:rPr>
        <w:lastRenderedPageBreak/>
        <w:t>Deuteronomium 20,20</w:t>
      </w:r>
    </w:p>
    <w:p w14:paraId="19DF230B" w14:textId="77777777" w:rsidR="00C21CEF" w:rsidRDefault="00C21CEF" w:rsidP="00C21CEF">
      <w:pPr>
        <w:pStyle w:val="whitespace-normal"/>
      </w:pPr>
      <w:r>
        <w:rPr>
          <w:rStyle w:val="Fett"/>
          <w:rFonts w:eastAsiaTheme="majorEastAsia"/>
        </w:rPr>
        <w:t>Hebräisch:</w:t>
      </w:r>
      <w:r>
        <w:t xml:space="preserve"> </w:t>
      </w:r>
      <w:r>
        <w:rPr>
          <w:rtl/>
        </w:rPr>
        <w:t>רַ֞ק עֵ֣ץ אֲשֶׁר־תֵּדַ֗ע כִּֽי־לֹא־עֵ֤ץ מַאֲכָל֙ ה֔וּא אֹתוֹ֥ תַשְׁחִ֖ית וְכָרָ֑תָּ וּבָנִ֣יתָ מָצ֗וֹר עַל־הָעִיר֙ אֲשֶׁר־הִ֨וא עֹשָׂ֧ה עִמְּךָ֛ מִלְחָמָ֖ה עַ֥ד רִדְתָּֽהּ׃</w:t>
      </w:r>
    </w:p>
    <w:p w14:paraId="20501C03" w14:textId="77777777" w:rsidR="00C21CEF" w:rsidRDefault="00C21CEF" w:rsidP="00C21CEF">
      <w:pPr>
        <w:pStyle w:val="whitespace-normal"/>
      </w:pPr>
      <w:r>
        <w:rPr>
          <w:rStyle w:val="Fett"/>
          <w:rFonts w:eastAsiaTheme="majorEastAsia"/>
        </w:rPr>
        <w:t>Deutsch:</w:t>
      </w:r>
      <w:r>
        <w:t xml:space="preserve"> Nur die Bäume, von denen du weißt, dass sie keine Bäume sind, von denen man isst, die darfst du verderben und fällen; und du sollst Belagerungswerke gegen die Stadt bauen, die Krieg gegen dich führt, bis sie fällt.</w:t>
      </w:r>
    </w:p>
    <w:p w14:paraId="3C4F6FB7" w14:textId="77777777" w:rsidR="00C21CEF" w:rsidRDefault="004F5CEB" w:rsidP="00C21CEF">
      <w:r>
        <w:rPr>
          <w:noProof/>
        </w:rPr>
        <w:pict w14:anchorId="6FE2E37A">
          <v:rect id="_x0000_i1572" style="width:0;height:1.5pt" o:hralign="center" o:hrstd="t" o:hr="t" fillcolor="#a0a0a0" stroked="f"/>
        </w:pict>
      </w:r>
    </w:p>
    <w:p w14:paraId="4E7D840A" w14:textId="77777777" w:rsidR="00C21CEF" w:rsidRDefault="00C21CEF" w:rsidP="00C21CEF">
      <w:pPr>
        <w:pStyle w:val="whitespace-normal"/>
      </w:pPr>
      <w:r>
        <w:rPr>
          <w:rStyle w:val="Fett"/>
          <w:rFonts w:eastAsiaTheme="majorEastAsia"/>
        </w:rPr>
        <w:t>Kommentar:</w:t>
      </w:r>
      <w:r>
        <w:t xml:space="preserve"> </w:t>
      </w:r>
      <w:r>
        <w:rPr>
          <w:rStyle w:val="Fett"/>
          <w:rFonts w:eastAsiaTheme="majorEastAsia"/>
          <w:rtl/>
        </w:rPr>
        <w:t>רַק עֵץ אֲשֶׁר־תֵּדַע כִּי־לֹא־עֵץ מַאֲכָל הוּא אֹתוֹ תַשְׁחִית וְכָרָתָּ</w:t>
      </w:r>
      <w:r>
        <w:rPr>
          <w:rtl/>
        </w:rPr>
        <w:t xml:space="preserve"> </w:t>
      </w:r>
      <w:r>
        <w:t xml:space="preserve">ist die Ausnahme: </w:t>
      </w:r>
      <w:r>
        <w:rPr>
          <w:rStyle w:val="Fett"/>
          <w:rFonts w:eastAsiaTheme="majorEastAsia"/>
          <w:rtl/>
        </w:rPr>
        <w:t>רַק</w:t>
      </w:r>
      <w:r>
        <w:rPr>
          <w:rtl/>
        </w:rPr>
        <w:t xml:space="preserve"> </w:t>
      </w:r>
      <w:r>
        <w:t xml:space="preserve">(Partikel, „nur, jedoch"), </w:t>
      </w:r>
      <w:r>
        <w:rPr>
          <w:rStyle w:val="Fett"/>
          <w:rFonts w:eastAsiaTheme="majorEastAsia"/>
          <w:rtl/>
        </w:rPr>
        <w:t>עֵץ אֲשֶׁר־תֵּדַע</w:t>
      </w:r>
      <w:r>
        <w:rPr>
          <w:rtl/>
        </w:rPr>
        <w:t xml:space="preserve"> </w:t>
      </w:r>
      <w:r>
        <w:t>(</w:t>
      </w:r>
      <w:r>
        <w:rPr>
          <w:rStyle w:val="Fett"/>
          <w:rFonts w:eastAsiaTheme="majorEastAsia"/>
          <w:rtl/>
        </w:rPr>
        <w:t>עֵץ</w:t>
      </w:r>
      <w:r>
        <w:t xml:space="preserve">, „Baum", Relativsatz: </w:t>
      </w:r>
      <w:r>
        <w:rPr>
          <w:rStyle w:val="Fett"/>
          <w:rFonts w:eastAsiaTheme="majorEastAsia"/>
          <w:rtl/>
        </w:rPr>
        <w:t>אֲשֶׁר</w:t>
      </w:r>
      <w:r>
        <w:rPr>
          <w:rtl/>
        </w:rPr>
        <w:t xml:space="preserve"> </w:t>
      </w:r>
      <w:r>
        <w:t xml:space="preserve">mit </w:t>
      </w:r>
      <w:r>
        <w:rPr>
          <w:rStyle w:val="Fett"/>
          <w:rFonts w:eastAsiaTheme="majorEastAsia"/>
          <w:rtl/>
        </w:rPr>
        <w:t>ידע</w:t>
      </w:r>
      <w:r>
        <w:t xml:space="preserve">, Qal Imperfekt, 2. Person Maskulinum Singular, „wissen, kennen", „der Baum, von dem du weißt"), </w:t>
      </w:r>
      <w:r>
        <w:rPr>
          <w:rStyle w:val="Fett"/>
          <w:rFonts w:eastAsiaTheme="majorEastAsia"/>
          <w:rtl/>
        </w:rPr>
        <w:t>כִּי־לֹא־עֵץ מַאֲכָל הוּא</w:t>
      </w:r>
      <w:r>
        <w:rPr>
          <w:rtl/>
        </w:rPr>
        <w:t xml:space="preserve"> </w:t>
      </w:r>
      <w:r>
        <w:t xml:space="preserve">(Objektsatz: </w:t>
      </w:r>
      <w:r>
        <w:rPr>
          <w:rStyle w:val="Fett"/>
          <w:rFonts w:eastAsiaTheme="majorEastAsia"/>
          <w:rtl/>
        </w:rPr>
        <w:t>כִּי</w:t>
      </w:r>
      <w:r>
        <w:rPr>
          <w:rtl/>
        </w:rPr>
        <w:t xml:space="preserve"> </w:t>
      </w:r>
      <w:r>
        <w:t xml:space="preserve">mit Negation </w:t>
      </w:r>
      <w:r>
        <w:rPr>
          <w:rStyle w:val="Fett"/>
          <w:rFonts w:eastAsiaTheme="majorEastAsia"/>
          <w:rtl/>
        </w:rPr>
        <w:t>לֹא</w:t>
      </w:r>
      <w:r>
        <w:t xml:space="preserve">, </w:t>
      </w:r>
      <w:r>
        <w:rPr>
          <w:rStyle w:val="Fett"/>
          <w:rFonts w:eastAsiaTheme="majorEastAsia"/>
          <w:rtl/>
        </w:rPr>
        <w:t>עֵץ</w:t>
      </w:r>
      <w:r>
        <w:t xml:space="preserve">, </w:t>
      </w:r>
      <w:r>
        <w:rPr>
          <w:rStyle w:val="Fett"/>
          <w:rFonts w:eastAsiaTheme="majorEastAsia"/>
          <w:rtl/>
        </w:rPr>
        <w:t>מַאֲכָל</w:t>
      </w:r>
      <w:r>
        <w:t xml:space="preserve">, „Nahrung, Speise", </w:t>
      </w:r>
      <w:r>
        <w:rPr>
          <w:rStyle w:val="Fett"/>
          <w:rFonts w:eastAsiaTheme="majorEastAsia"/>
          <w:rtl/>
        </w:rPr>
        <w:t>הוּא</w:t>
      </w:r>
      <w:r>
        <w:t xml:space="preserve">, betont, „dass nicht ein Baum der Speise er [ist]" = dass er kein Fruchtbaum ist), </w:t>
      </w:r>
      <w:r>
        <w:rPr>
          <w:rStyle w:val="Fett"/>
          <w:rFonts w:eastAsiaTheme="majorEastAsia"/>
          <w:rtl/>
        </w:rPr>
        <w:t>אֹתוֹ תַשְׁחִית וְכָרָתָּ</w:t>
      </w:r>
      <w:r>
        <w:rPr>
          <w:rtl/>
        </w:rPr>
        <w:t xml:space="preserve"> </w:t>
      </w:r>
      <w:r>
        <w:t>(</w:t>
      </w:r>
      <w:r>
        <w:rPr>
          <w:rStyle w:val="Fett"/>
          <w:rFonts w:eastAsiaTheme="majorEastAsia"/>
          <w:rtl/>
        </w:rPr>
        <w:t>אֹתוֹ</w:t>
      </w:r>
      <w:r>
        <w:t xml:space="preserve">, Objektpartikel </w:t>
      </w:r>
      <w:r>
        <w:rPr>
          <w:rStyle w:val="Fett"/>
          <w:rFonts w:eastAsiaTheme="majorEastAsia"/>
          <w:rtl/>
        </w:rPr>
        <w:t>אֵת</w:t>
      </w:r>
      <w:r>
        <w:rPr>
          <w:rtl/>
        </w:rPr>
        <w:t xml:space="preserve"> </w:t>
      </w:r>
      <w:r>
        <w:t xml:space="preserve">mit Suffix 3. Person Maskulinum Singular, </w:t>
      </w:r>
      <w:r>
        <w:rPr>
          <w:rStyle w:val="Fett"/>
          <w:rFonts w:eastAsiaTheme="majorEastAsia"/>
          <w:rtl/>
        </w:rPr>
        <w:t>שׁחת</w:t>
      </w:r>
      <w:r>
        <w:t xml:space="preserve">, Hiphil Imperfekt, 2. Person Maskulinum Singular, „verderben, zerstören", koordiniert durch </w:t>
      </w:r>
      <w:r>
        <w:rPr>
          <w:rStyle w:val="Fett"/>
          <w:rFonts w:eastAsiaTheme="majorEastAsia"/>
          <w:rtl/>
        </w:rPr>
        <w:t>וְ</w:t>
      </w:r>
      <w:r>
        <w:rPr>
          <w:rtl/>
        </w:rPr>
        <w:t xml:space="preserve"> </w:t>
      </w:r>
      <w:r>
        <w:t xml:space="preserve">mit </w:t>
      </w:r>
      <w:r>
        <w:rPr>
          <w:rStyle w:val="Fett"/>
          <w:rFonts w:eastAsiaTheme="majorEastAsia"/>
          <w:rtl/>
        </w:rPr>
        <w:t>כרת</w:t>
      </w:r>
      <w:r>
        <w:t xml:space="preserve">, Qal Perfekt, 2. Person Maskulinum Singular, „abschneiden, fällen", mit </w:t>
      </w:r>
      <w:r>
        <w:rPr>
          <w:rStyle w:val="Fett"/>
          <w:rFonts w:eastAsiaTheme="majorEastAsia"/>
        </w:rPr>
        <w:t>Waw</w:t>
      </w:r>
      <w:r>
        <w:t xml:space="preserve"> consecutives Perfekt, „den darfst du verderben und fällen").</w:t>
      </w:r>
    </w:p>
    <w:p w14:paraId="403F5531" w14:textId="77777777" w:rsidR="00C21CEF" w:rsidRDefault="00C21CEF" w:rsidP="00C21CEF">
      <w:pPr>
        <w:pStyle w:val="whitespace-normal"/>
      </w:pPr>
      <w:r>
        <w:rPr>
          <w:rStyle w:val="Fett"/>
          <w:rFonts w:eastAsiaTheme="majorEastAsia"/>
          <w:rtl/>
        </w:rPr>
        <w:t>וּבָנִיתָ מָצוֹר עַל־הָעִיר אֲשֶׁר־הִוא עֹשָׂה עִמְּךָ מִלְחָמָה עַד רִדְתָּהּ</w:t>
      </w:r>
      <w:r>
        <w:rPr>
          <w:rtl/>
        </w:rPr>
        <w:t xml:space="preserve"> </w:t>
      </w:r>
      <w:r>
        <w:t xml:space="preserve">ist der Zweck: </w:t>
      </w:r>
      <w:r>
        <w:rPr>
          <w:rStyle w:val="Fett"/>
          <w:rFonts w:eastAsiaTheme="majorEastAsia"/>
          <w:rtl/>
        </w:rPr>
        <w:t>וּבָנִיתָ מָצוֹר</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בנה</w:t>
      </w:r>
      <w:r>
        <w:t xml:space="preserve">, Qal Perfekt, 2. Person Maskulinum Singular, „bauen", </w:t>
      </w:r>
      <w:r>
        <w:rPr>
          <w:rStyle w:val="Fett"/>
          <w:rFonts w:eastAsiaTheme="majorEastAsia"/>
          <w:rtl/>
        </w:rPr>
        <w:t>מָצוֹר</w:t>
      </w:r>
      <w:r>
        <w:t xml:space="preserve">, „Belagerung, Belagerungswerk", mit </w:t>
      </w:r>
      <w:r>
        <w:rPr>
          <w:rStyle w:val="Fett"/>
          <w:rFonts w:eastAsiaTheme="majorEastAsia"/>
        </w:rPr>
        <w:t>Waw</w:t>
      </w:r>
      <w:r>
        <w:t xml:space="preserve"> consecutives Perfekt), </w:t>
      </w:r>
      <w:r>
        <w:rPr>
          <w:rStyle w:val="Fett"/>
          <w:rFonts w:eastAsiaTheme="majorEastAsia"/>
          <w:rtl/>
        </w:rPr>
        <w:t>עַל־הָעִיר</w:t>
      </w:r>
      <w:r>
        <w:rPr>
          <w:rtl/>
        </w:rPr>
        <w:t xml:space="preserve"> </w:t>
      </w:r>
      <w:r>
        <w:t xml:space="preserve">(Präposition </w:t>
      </w:r>
      <w:r>
        <w:rPr>
          <w:rStyle w:val="Fett"/>
          <w:rFonts w:eastAsiaTheme="majorEastAsia"/>
          <w:rtl/>
        </w:rPr>
        <w:t>עַל</w:t>
      </w:r>
      <w:r>
        <w:rPr>
          <w:rtl/>
        </w:rPr>
        <w:t xml:space="preserve"> </w:t>
      </w:r>
      <w:r>
        <w:t xml:space="preserve">mit </w:t>
      </w:r>
      <w:r>
        <w:rPr>
          <w:rStyle w:val="Fett"/>
          <w:rFonts w:eastAsiaTheme="majorEastAsia"/>
          <w:rtl/>
        </w:rPr>
        <w:t>עִיר</w:t>
      </w:r>
      <w:r>
        <w:rPr>
          <w:rtl/>
        </w:rPr>
        <w:t xml:space="preserve"> </w:t>
      </w:r>
      <w:r>
        <w:t xml:space="preserve">mit Artikel, „gegen die Stadt"), </w:t>
      </w:r>
      <w:r>
        <w:rPr>
          <w:rStyle w:val="Fett"/>
          <w:rFonts w:eastAsiaTheme="majorEastAsia"/>
          <w:rtl/>
        </w:rPr>
        <w:t>אֲשֶׁר־הִוא עֹשָׂה עִמְּךָ מִלְחָמָה</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הוּא</w:t>
      </w:r>
      <w:r>
        <w:t xml:space="preserve">, betont, </w:t>
      </w:r>
      <w:r>
        <w:rPr>
          <w:rStyle w:val="Fett"/>
          <w:rFonts w:eastAsiaTheme="majorEastAsia"/>
          <w:rtl/>
        </w:rPr>
        <w:t>עשׂה</w:t>
      </w:r>
      <w:r>
        <w:t xml:space="preserve">, Qal Partizip, „machen, tun", </w:t>
      </w:r>
      <w:r>
        <w:rPr>
          <w:rStyle w:val="Fett"/>
          <w:rFonts w:eastAsiaTheme="majorEastAsia"/>
          <w:rtl/>
        </w:rPr>
        <w:t>עִמְּךָ</w:t>
      </w:r>
      <w:r>
        <w:t xml:space="preserve">, </w:t>
      </w:r>
      <w:r>
        <w:rPr>
          <w:rStyle w:val="Fett"/>
          <w:rFonts w:eastAsiaTheme="majorEastAsia"/>
          <w:rtl/>
        </w:rPr>
        <w:t>מִלְחָמָה</w:t>
      </w:r>
      <w:r>
        <w:t xml:space="preserve">, „die macht mit dir Krieg"), </w:t>
      </w:r>
      <w:r>
        <w:rPr>
          <w:rStyle w:val="Fett"/>
          <w:rFonts w:eastAsiaTheme="majorEastAsia"/>
          <w:rtl/>
        </w:rPr>
        <w:t>עַד רִדְתָּהּ</w:t>
      </w:r>
      <w:r>
        <w:rPr>
          <w:rtl/>
        </w:rPr>
        <w:t xml:space="preserve"> </w:t>
      </w:r>
      <w:r>
        <w:t xml:space="preserve">(Präposition </w:t>
      </w:r>
      <w:r>
        <w:rPr>
          <w:rStyle w:val="Fett"/>
          <w:rFonts w:eastAsiaTheme="majorEastAsia"/>
          <w:rtl/>
        </w:rPr>
        <w:t>עַד</w:t>
      </w:r>
      <w:r>
        <w:t xml:space="preserve">, „bis", mit Qal Infinitiv Construct von </w:t>
      </w:r>
      <w:r>
        <w:rPr>
          <w:rStyle w:val="Fett"/>
          <w:rFonts w:eastAsiaTheme="majorEastAsia"/>
          <w:rtl/>
        </w:rPr>
        <w:t>ירד</w:t>
      </w:r>
      <w:r>
        <w:t>, „hinuntergehen, fallen", mit Suffix 3. Person Femininum Singular, „bis sie fällt" = bis sie erobert ist).</w:t>
      </w:r>
    </w:p>
    <w:p w14:paraId="58B3FF4F" w14:textId="77777777" w:rsidR="00C21CEF" w:rsidRDefault="00C21CEF" w:rsidP="00C21CEF">
      <w:pPr>
        <w:pStyle w:val="whitespace-normal"/>
      </w:pPr>
      <w:r>
        <w:t xml:space="preserve">Der Vers erlaubt die Ausnahme zu V. 19: </w:t>
      </w:r>
      <w:r>
        <w:rPr>
          <w:rStyle w:val="Fett"/>
          <w:rFonts w:eastAsiaTheme="majorEastAsia"/>
          <w:rtl/>
        </w:rPr>
        <w:t>עֵץ אֲשֶׁר־תֵּדַע כִּי־לֹא־עֵץ מַאֲכָל הוּא</w:t>
      </w:r>
      <w:r>
        <w:rPr>
          <w:rtl/>
        </w:rPr>
        <w:t xml:space="preserve"> </w:t>
      </w:r>
      <w:r>
        <w:t xml:space="preserve">(„Bäume, von denen du weißt, dass sie keine Fruchtbäume sind") – nicht-fruchttragende Bäume dürfen gefällt werden. Die Formulierung </w:t>
      </w:r>
      <w:r>
        <w:rPr>
          <w:rStyle w:val="Fett"/>
          <w:rFonts w:eastAsiaTheme="majorEastAsia"/>
          <w:rtl/>
        </w:rPr>
        <w:t>תֵּדַע כִּי־לֹא־עֵץ מַאֲכָל הוּא</w:t>
      </w:r>
      <w:r>
        <w:rPr>
          <w:rtl/>
        </w:rPr>
        <w:t xml:space="preserve"> </w:t>
      </w:r>
      <w:r>
        <w:t>(„weißt, dass nicht ein Baum der Speise er ist") zeigt: Nur wenn klar ist, dass der Baum keine essbaren Früchte trägt, darf er gefällt werden. Im Zweifelsfall: schonen.</w:t>
      </w:r>
    </w:p>
    <w:p w14:paraId="0C56509F" w14:textId="4ED8D78F" w:rsidR="00C21CEF" w:rsidRDefault="00C21CEF" w:rsidP="00C21CEF">
      <w:pPr>
        <w:pStyle w:val="whitespace-normal"/>
      </w:pPr>
      <w:r>
        <w:t xml:space="preserve">Der Zweck: </w:t>
      </w:r>
      <w:r>
        <w:rPr>
          <w:rStyle w:val="Fett"/>
          <w:rFonts w:eastAsiaTheme="majorEastAsia"/>
          <w:rtl/>
        </w:rPr>
        <w:t>וּבָנִיתָ מָצוֹר עַל־הָעִיר</w:t>
      </w:r>
      <w:r>
        <w:rPr>
          <w:rtl/>
        </w:rPr>
        <w:t xml:space="preserve"> </w:t>
      </w:r>
      <w:r>
        <w:t xml:space="preserve">(„baue Belagerungswerk gegen die Stadt"). Das Wort </w:t>
      </w:r>
      <w:r>
        <w:rPr>
          <w:rStyle w:val="Fett"/>
          <w:rFonts w:eastAsiaTheme="majorEastAsia"/>
          <w:rtl/>
        </w:rPr>
        <w:t>מָצוֹר</w:t>
      </w:r>
      <w:r>
        <w:rPr>
          <w:rtl/>
        </w:rPr>
        <w:t xml:space="preserve"> </w:t>
      </w:r>
      <w:r>
        <w:t xml:space="preserve">(„Belagerung, Belagerungswerk") bezeichnet hier die Belagerungsrampen, Türme und Palisaden, die aus Holz gebaut wurden (vgl. </w:t>
      </w:r>
      <w:r w:rsidR="00664EB6">
        <w:t>2Sam</w:t>
      </w:r>
      <w:r>
        <w:t xml:space="preserve"> 20,15; </w:t>
      </w:r>
      <w:r w:rsidR="00664EB6">
        <w:t>2Kön</w:t>
      </w:r>
      <w:r>
        <w:t xml:space="preserve"> 19,32; 25,1; Jes 29,3; 37,33; Jer 6,6; 32,24; 33,4; 52,4; </w:t>
      </w:r>
      <w:r w:rsidR="00BF3748">
        <w:t>Hes</w:t>
      </w:r>
      <w:r>
        <w:t xml:space="preserve"> 4,2; 17,17; 21,27; 26,8; Eccl 9,14).</w:t>
      </w:r>
    </w:p>
    <w:p w14:paraId="665F8BD9" w14:textId="53E3A4B0" w:rsidR="00C21CEF" w:rsidRDefault="00C21CEF" w:rsidP="00C21CEF">
      <w:pPr>
        <w:pStyle w:val="whitespace-normal"/>
      </w:pPr>
      <w:r>
        <w:t xml:space="preserve">Die Formulierung </w:t>
      </w:r>
      <w:r>
        <w:rPr>
          <w:rStyle w:val="Fett"/>
          <w:rFonts w:eastAsiaTheme="majorEastAsia"/>
          <w:rtl/>
        </w:rPr>
        <w:t>אֲשֶׁר־הִוא עֹשָׂה עִמְּךָ מִלְחָמָה</w:t>
      </w:r>
      <w:r>
        <w:rPr>
          <w:rtl/>
        </w:rPr>
        <w:t xml:space="preserve"> </w:t>
      </w:r>
      <w:r>
        <w:t xml:space="preserve">(„die macht mit dir Krieg") erinnert an V. 12 und betont: Die Stadt ist der Aggressor, nicht die Bäume. Die Schlussformel </w:t>
      </w:r>
      <w:r>
        <w:rPr>
          <w:rStyle w:val="Fett"/>
          <w:rFonts w:eastAsiaTheme="majorEastAsia"/>
          <w:rtl/>
        </w:rPr>
        <w:t>עַד רִדְתָּהּ</w:t>
      </w:r>
      <w:r>
        <w:rPr>
          <w:rtl/>
        </w:rPr>
        <w:t xml:space="preserve"> </w:t>
      </w:r>
      <w:r>
        <w:t xml:space="preserve">(„bis sie fällt") bezeichnet die Eroberung – das Verb </w:t>
      </w:r>
      <w:r>
        <w:rPr>
          <w:rStyle w:val="Fett"/>
          <w:rFonts w:eastAsiaTheme="majorEastAsia"/>
          <w:rtl/>
        </w:rPr>
        <w:t>ירד</w:t>
      </w:r>
      <w:r>
        <w:rPr>
          <w:rtl/>
        </w:rPr>
        <w:t xml:space="preserve"> </w:t>
      </w:r>
      <w:r>
        <w:t xml:space="preserve">(„hinuntergehen, fallen") wird für fallende Städte verwendet (vgl. Jes 14,12; Jer 50,15; 51,8; Klgl 1,9; </w:t>
      </w:r>
      <w:r w:rsidR="00BF3748">
        <w:t>Hes</w:t>
      </w:r>
      <w:r>
        <w:t xml:space="preserve"> 26,16; 27,27; 28,8; 31,12.16; 32,18.24; Am 3,6; Jona 2,7).</w:t>
      </w:r>
    </w:p>
    <w:p w14:paraId="7A84E47C" w14:textId="77777777" w:rsidR="00C21CEF" w:rsidRDefault="00C21CEF" w:rsidP="00C21CEF">
      <w:pPr>
        <w:pStyle w:val="whitespace-normal"/>
      </w:pPr>
      <w:r>
        <w:rPr>
          <w:rStyle w:val="Fett"/>
          <w:rFonts w:eastAsiaTheme="majorEastAsia"/>
        </w:rPr>
        <w:t>Zusammenfassung:</w:t>
      </w:r>
      <w:r>
        <w:t xml:space="preserve"> V. 19-20 etablieren ein ökologisches Kriegsgesetz:</w:t>
      </w:r>
    </w:p>
    <w:p w14:paraId="573E7563" w14:textId="77777777" w:rsidR="00C21CEF" w:rsidRDefault="00C21CEF" w:rsidP="00C21CEF">
      <w:pPr>
        <w:pStyle w:val="whitespace-normal"/>
        <w:numPr>
          <w:ilvl w:val="0"/>
          <w:numId w:val="20"/>
        </w:numPr>
      </w:pPr>
      <w:r>
        <w:lastRenderedPageBreak/>
        <w:t xml:space="preserve">V. 19: </w:t>
      </w:r>
      <w:r>
        <w:rPr>
          <w:rStyle w:val="Fett"/>
          <w:rFonts w:eastAsiaTheme="majorEastAsia"/>
        </w:rPr>
        <w:t>Verbot</w:t>
      </w:r>
      <w:r>
        <w:t xml:space="preserve"> – Fruchtbäume dürfen nicht gefällt werden (Begründung: Nahrungsquelle, Unschuld)</w:t>
      </w:r>
    </w:p>
    <w:p w14:paraId="122A390D" w14:textId="77777777" w:rsidR="00C21CEF" w:rsidRDefault="00C21CEF" w:rsidP="00C21CEF">
      <w:pPr>
        <w:pStyle w:val="whitespace-normal"/>
        <w:numPr>
          <w:ilvl w:val="0"/>
          <w:numId w:val="20"/>
        </w:numPr>
      </w:pPr>
      <w:r>
        <w:t xml:space="preserve">V. 20: </w:t>
      </w:r>
      <w:r>
        <w:rPr>
          <w:rStyle w:val="Fett"/>
          <w:rFonts w:eastAsiaTheme="majorEastAsia"/>
        </w:rPr>
        <w:t>Erlaubnis</w:t>
      </w:r>
      <w:r>
        <w:t xml:space="preserve"> – Nicht-Fruchtbäume dürfen für Belagerungswerke gefällt werden</w:t>
      </w:r>
    </w:p>
    <w:p w14:paraId="78DB5247" w14:textId="76F4E848" w:rsidR="00C21CEF" w:rsidRDefault="00C21CEF" w:rsidP="00C21CEF">
      <w:pPr>
        <w:pStyle w:val="whitespace-normal"/>
      </w:pPr>
      <w:r>
        <w:t xml:space="preserve">Dies ist die Grundlage für das jüdische Prinzip </w:t>
      </w:r>
      <w:r>
        <w:rPr>
          <w:rStyle w:val="Fett"/>
          <w:rFonts w:eastAsiaTheme="majorEastAsia"/>
          <w:rtl/>
        </w:rPr>
        <w:t>בַּל תַּשְׁחִית</w:t>
      </w:r>
      <w:r>
        <w:rPr>
          <w:rtl/>
        </w:rPr>
        <w:t xml:space="preserve"> </w:t>
      </w:r>
      <w:r>
        <w:t>(„verschwende nicht") – unnötige Zerstörung ist verboten, auch im Krieg.</w:t>
      </w:r>
    </w:p>
    <w:p w14:paraId="2C800386" w14:textId="036537A2" w:rsidR="00734E2E" w:rsidRDefault="00734E2E" w:rsidP="00C21CEF">
      <w:pPr>
        <w:pStyle w:val="whitespace-normal"/>
      </w:pPr>
      <w:r>
        <w:rPr>
          <w:rStyle w:val="Fett"/>
        </w:rPr>
        <w:t>Die LXX</w:t>
      </w:r>
      <w:r>
        <w:t xml:space="preserve"> übersetzt </w:t>
      </w:r>
      <w:r>
        <w:rPr>
          <w:rtl/>
        </w:rPr>
        <w:t>עַד רִדְתָּהּ</w:t>
      </w:r>
      <w:r>
        <w:t xml:space="preserve"> (bis sie fällt/untergeht) mit </w:t>
      </w:r>
      <w:proofErr w:type="spellStart"/>
      <w:r>
        <w:t>ἕως</w:t>
      </w:r>
      <w:proofErr w:type="spellEnd"/>
      <w:r>
        <w:t xml:space="preserve"> </w:t>
      </w:r>
      <w:proofErr w:type="spellStart"/>
      <w:r>
        <w:t>ἂν</w:t>
      </w:r>
      <w:proofErr w:type="spellEnd"/>
      <w:r>
        <w:t xml:space="preserve"> παρα</w:t>
      </w:r>
      <w:proofErr w:type="spellStart"/>
      <w:r>
        <w:t>δοθῇ</w:t>
      </w:r>
      <w:proofErr w:type="spellEnd"/>
      <w:r>
        <w:t xml:space="preserve"> (bis sie übergeben wird) – ein passivisches Verständnis der Eroberung als "Übergabe" statt als aktives "Fallen". Das Verb χα</w:t>
      </w:r>
      <w:proofErr w:type="spellStart"/>
      <w:r>
        <w:t>ράκωσις</w:t>
      </w:r>
      <w:proofErr w:type="spellEnd"/>
      <w:r>
        <w:t xml:space="preserve"> (Palisadenwerk, Belagerungswerk) für </w:t>
      </w:r>
      <w:r>
        <w:rPr>
          <w:rtl/>
        </w:rPr>
        <w:t>מָצוֹר</w:t>
      </w:r>
      <w:r>
        <w:t xml:space="preserve"> zeigt die konkrete militärische Terminologie der LXX.</w:t>
      </w:r>
    </w:p>
    <w:p w14:paraId="10F07498" w14:textId="77777777" w:rsidR="00C21CEF" w:rsidRDefault="00C21CEF" w:rsidP="00C21CEF">
      <w:pPr>
        <w:pStyle w:val="whitespace-normal"/>
      </w:pPr>
      <w:r>
        <w:rPr>
          <w:rStyle w:val="Fett"/>
          <w:rFonts w:eastAsiaTheme="majorEastAsia"/>
        </w:rPr>
        <w:t>Die Satzstruktur:</w:t>
      </w:r>
      <w:r>
        <w:t xml:space="preserve"> Ausnahme mit Zweck (nur Baum, von dem weißt du, dass nicht ein Baum der Speise er [ist], den verderben darfst du und fällen; und bauen sollst du Belagerungswerk gegen die Stadt, die macht mit dir Krieg, bis fällt sie).</w:t>
      </w:r>
    </w:p>
    <w:p w14:paraId="73B59600" w14:textId="77777777" w:rsidR="00C21CEF" w:rsidRDefault="00C21CEF" w:rsidP="00C21CEF">
      <w:pPr>
        <w:pStyle w:val="whitespace-normal"/>
      </w:pPr>
      <w:r>
        <w:t>Der Vers erlaubt: Nicht-Fruchtbäume darfst du fällen, um Belagerungswerke zu bauen – bis die Stadt fällt.</w:t>
      </w:r>
    </w:p>
    <w:p w14:paraId="3B1C8AF8" w14:textId="77777777" w:rsidR="00D0044F" w:rsidRPr="00734E2E" w:rsidRDefault="00D0044F" w:rsidP="00D0044F">
      <w:pPr>
        <w:pStyle w:val="berschrift1"/>
        <w:rPr>
          <w:rFonts w:ascii="Times New Roman" w:hAnsi="Times New Roman"/>
          <w:color w:val="auto"/>
          <w:sz w:val="36"/>
          <w:szCs w:val="36"/>
        </w:rPr>
      </w:pPr>
      <w:r w:rsidRPr="00734E2E">
        <w:rPr>
          <w:rStyle w:val="Fett"/>
          <w:rFonts w:ascii="Times New Roman" w:hAnsi="Times New Roman"/>
          <w:color w:val="auto"/>
          <w:sz w:val="36"/>
          <w:szCs w:val="36"/>
        </w:rPr>
        <w:t>Deuteronomium 21,1</w:t>
      </w:r>
    </w:p>
    <w:p w14:paraId="510C2602" w14:textId="77777777" w:rsidR="00D0044F" w:rsidRDefault="00D0044F" w:rsidP="00D0044F">
      <w:pPr>
        <w:pStyle w:val="whitespace-normal"/>
      </w:pPr>
      <w:r>
        <w:rPr>
          <w:rStyle w:val="Fett"/>
          <w:rFonts w:eastAsiaTheme="majorEastAsia"/>
        </w:rPr>
        <w:t>Hebräisch:</w:t>
      </w:r>
      <w:r>
        <w:t xml:space="preserve"> </w:t>
      </w:r>
      <w:r>
        <w:rPr>
          <w:rtl/>
        </w:rPr>
        <w:t>כִּי־יִמָּצֵ֣א חָלָ֗ל בָּאֲדָמָה֙ אֲשֶׁר֩ יְהוָ֨ה אֱלֹהֶ֜יךָ נֹתֵ֤ן לְךָ֙ לְרִשְׁתָּ֔הּ נֹפֵ֖ל בַּשָּׂדֶ֑ה לֹ֥א נוֹדַ֖ע מִ֥י הִכָּֽהוּ׃</w:t>
      </w:r>
    </w:p>
    <w:p w14:paraId="5A1AF35E" w14:textId="77777777" w:rsidR="00D0044F" w:rsidRDefault="00D0044F" w:rsidP="00D0044F">
      <w:pPr>
        <w:pStyle w:val="whitespace-normal"/>
      </w:pPr>
      <w:r>
        <w:rPr>
          <w:rStyle w:val="Fett"/>
          <w:rFonts w:eastAsiaTheme="majorEastAsia"/>
        </w:rPr>
        <w:t>Deutsch:</w:t>
      </w:r>
      <w:r>
        <w:t xml:space="preserve"> Wenn ein Erschlagener gefunden wird in dem Land, das der Ewige, dein Gott, dir gibt, es in Besitz zu nehmen, auf dem Feld liegend, und es nicht bekannt ist, wer ihn erschlagen hat,</w:t>
      </w:r>
    </w:p>
    <w:p w14:paraId="56F7326A" w14:textId="77777777" w:rsidR="00D0044F" w:rsidRDefault="004F5CEB" w:rsidP="00D0044F">
      <w:r>
        <w:rPr>
          <w:noProof/>
        </w:rPr>
        <w:pict w14:anchorId="7A6D42B1">
          <v:rect id="_x0000_i1573" style="width:0;height:1.5pt" o:hralign="center" o:hrstd="t" o:hr="t" fillcolor="#a0a0a0" stroked="f"/>
        </w:pict>
      </w:r>
    </w:p>
    <w:p w14:paraId="64560178" w14:textId="77777777" w:rsidR="00D0044F" w:rsidRDefault="00D0044F" w:rsidP="00D0044F">
      <w:pPr>
        <w:pStyle w:val="whitespace-normal"/>
      </w:pPr>
      <w:r>
        <w:rPr>
          <w:rStyle w:val="Fett"/>
          <w:rFonts w:eastAsiaTheme="majorEastAsia"/>
        </w:rPr>
        <w:t>Kommentar:</w:t>
      </w:r>
      <w:r>
        <w:t xml:space="preserve"> </w:t>
      </w:r>
      <w:r>
        <w:rPr>
          <w:rStyle w:val="Fett"/>
          <w:rFonts w:eastAsiaTheme="majorEastAsia"/>
          <w:rtl/>
        </w:rPr>
        <w:t>כִּי־יִמָּצֵא חָלָל בָּאֲדָמָה אֲשֶׁר יְהוָה אֱלֹהֶיךָ נֹתֵן לְךָ לְרִשְׁתָּהּ נֹפֵל בַּשָּׂדֶה</w:t>
      </w:r>
      <w:r>
        <w:rPr>
          <w:rtl/>
        </w:rPr>
        <w:t xml:space="preserve"> </w:t>
      </w:r>
      <w:r>
        <w:t xml:space="preserve">ist ein konditionaler Satz: </w:t>
      </w:r>
      <w:r>
        <w:rPr>
          <w:rStyle w:val="Fett"/>
          <w:rFonts w:eastAsiaTheme="majorEastAsia"/>
          <w:rtl/>
        </w:rPr>
        <w:t>כִּי־יִמָּצֵא חָלָל</w:t>
      </w:r>
      <w:r>
        <w:rPr>
          <w:rtl/>
        </w:rPr>
        <w:t xml:space="preserve"> </w:t>
      </w:r>
      <w:r>
        <w:t>(</w:t>
      </w:r>
      <w:r>
        <w:rPr>
          <w:rStyle w:val="Fett"/>
          <w:rFonts w:eastAsiaTheme="majorEastAsia"/>
          <w:rtl/>
        </w:rPr>
        <w:t>כִּי</w:t>
      </w:r>
      <w:r>
        <w:t xml:space="preserve">, „wenn", mit </w:t>
      </w:r>
      <w:r>
        <w:rPr>
          <w:rStyle w:val="Fett"/>
          <w:rFonts w:eastAsiaTheme="majorEastAsia"/>
          <w:rtl/>
        </w:rPr>
        <w:t>מצא</w:t>
      </w:r>
      <w:r>
        <w:t xml:space="preserve">, Niphal Imperfekt, 3. Person Maskulinum Singular, „gefunden werden", </w:t>
      </w:r>
      <w:r>
        <w:rPr>
          <w:rStyle w:val="Fett"/>
          <w:rFonts w:eastAsiaTheme="majorEastAsia"/>
          <w:rtl/>
        </w:rPr>
        <w:t>חָלָל</w:t>
      </w:r>
      <w:r>
        <w:t xml:space="preserve">, „Erschlagener, Durchbohrter" von </w:t>
      </w:r>
      <w:r>
        <w:rPr>
          <w:rStyle w:val="Fett"/>
          <w:rFonts w:eastAsiaTheme="majorEastAsia"/>
          <w:rtl/>
        </w:rPr>
        <w:t>חלל</w:t>
      </w:r>
      <w:r>
        <w:t xml:space="preserve">, „durchbohren" – bezeichnet gewaltsam Getötete), </w:t>
      </w:r>
      <w:r>
        <w:rPr>
          <w:rStyle w:val="Fett"/>
          <w:rFonts w:eastAsiaTheme="majorEastAsia"/>
          <w:rtl/>
        </w:rPr>
        <w:t>בָּאֲדָמָה אֲשֶׁר יְהוָה אֱלֹהֶיךָ נֹתֵן לְךָ לְרִשְׁתָּהּ</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אֲדָמָה</w:t>
      </w:r>
      <w:r>
        <w:t xml:space="preserve">, „Land, Erdboden", Relativsatz: </w:t>
      </w:r>
      <w:r>
        <w:rPr>
          <w:rStyle w:val="Fett"/>
          <w:rFonts w:eastAsiaTheme="majorEastAsia"/>
          <w:rtl/>
        </w:rPr>
        <w:t>אֲשֶׁר</w:t>
      </w:r>
      <w:r>
        <w:rPr>
          <w:rtl/>
        </w:rPr>
        <w:t xml:space="preserve"> </w:t>
      </w:r>
      <w:r>
        <w:t xml:space="preserve">mit </w:t>
      </w:r>
      <w:r>
        <w:rPr>
          <w:rStyle w:val="Fett"/>
          <w:rFonts w:eastAsiaTheme="majorEastAsia"/>
          <w:rtl/>
        </w:rPr>
        <w:t>נתן</w:t>
      </w:r>
      <w:r>
        <w:t xml:space="preserve">, Qal Partizip, „geben", </w:t>
      </w:r>
      <w:r>
        <w:rPr>
          <w:rStyle w:val="Fett"/>
          <w:rFonts w:eastAsiaTheme="majorEastAsia"/>
          <w:rtl/>
        </w:rPr>
        <w:t>יְהוָה אֱלֹהֶיךָ</w:t>
      </w:r>
      <w:r>
        <w:t xml:space="preserve">, </w:t>
      </w:r>
      <w:r>
        <w:rPr>
          <w:rStyle w:val="Fett"/>
          <w:rFonts w:eastAsiaTheme="majorEastAsia"/>
          <w:rtl/>
        </w:rPr>
        <w:t>לְךָ</w:t>
      </w:r>
      <w:r>
        <w:t xml:space="preserve">, Präposition </w:t>
      </w:r>
      <w:r>
        <w:rPr>
          <w:rStyle w:val="Fett"/>
          <w:rFonts w:eastAsiaTheme="majorEastAsia"/>
          <w:rtl/>
        </w:rPr>
        <w:t>לְ</w:t>
      </w:r>
      <w:r>
        <w:rPr>
          <w:rtl/>
        </w:rPr>
        <w:t xml:space="preserve"> </w:t>
      </w:r>
      <w:r>
        <w:t xml:space="preserve">mit Qal Infinitiv Construct von </w:t>
      </w:r>
      <w:r>
        <w:rPr>
          <w:rStyle w:val="Fett"/>
          <w:rFonts w:eastAsiaTheme="majorEastAsia"/>
          <w:rtl/>
        </w:rPr>
        <w:t>ירשׁ</w:t>
      </w:r>
      <w:r>
        <w:t xml:space="preserve">, „in Besitz nehmen", mit Suffix 3. Person Femininum Singular – deuteronomische Standardformel für das verheißene Land), </w:t>
      </w:r>
      <w:r>
        <w:rPr>
          <w:rStyle w:val="Fett"/>
          <w:rFonts w:eastAsiaTheme="majorEastAsia"/>
          <w:rtl/>
        </w:rPr>
        <w:t>נֹפֵל בַּשָּׂדֶה</w:t>
      </w:r>
      <w:r>
        <w:rPr>
          <w:rtl/>
        </w:rPr>
        <w:t xml:space="preserve"> </w:t>
      </w:r>
      <w:r>
        <w:t xml:space="preserve">(Qal Partizip von </w:t>
      </w:r>
      <w:r>
        <w:rPr>
          <w:rStyle w:val="Fett"/>
          <w:rFonts w:eastAsiaTheme="majorEastAsia"/>
          <w:rtl/>
        </w:rPr>
        <w:t>נפל</w:t>
      </w:r>
      <w:r>
        <w:t xml:space="preserve">, „fallen, liegen", </w:t>
      </w:r>
      <w:r>
        <w:rPr>
          <w:rStyle w:val="Fett"/>
          <w:rFonts w:eastAsiaTheme="majorEastAsia"/>
          <w:rtl/>
        </w:rPr>
        <w:t>בַּשָּׂדֶה</w:t>
      </w:r>
      <w:r>
        <w:t xml:space="preserve">, Präposition </w:t>
      </w:r>
      <w:r>
        <w:rPr>
          <w:rStyle w:val="Fett"/>
          <w:rFonts w:eastAsiaTheme="majorEastAsia"/>
          <w:rtl/>
        </w:rPr>
        <w:t>בְּ</w:t>
      </w:r>
      <w:r>
        <w:rPr>
          <w:rtl/>
        </w:rPr>
        <w:t xml:space="preserve"> </w:t>
      </w:r>
      <w:r>
        <w:t xml:space="preserve">mit </w:t>
      </w:r>
      <w:r>
        <w:rPr>
          <w:rStyle w:val="Fett"/>
          <w:rFonts w:eastAsiaTheme="majorEastAsia"/>
          <w:rtl/>
        </w:rPr>
        <w:t>שָׂדֶה</w:t>
      </w:r>
      <w:r>
        <w:t>, „Feld", mit Artikel – offenes Gelände außerhalb der Stadt).</w:t>
      </w:r>
    </w:p>
    <w:p w14:paraId="52834730" w14:textId="77777777" w:rsidR="00D0044F" w:rsidRDefault="00D0044F" w:rsidP="00D0044F">
      <w:pPr>
        <w:pStyle w:val="whitespace-normal"/>
      </w:pPr>
      <w:r>
        <w:rPr>
          <w:rStyle w:val="Fett"/>
          <w:rFonts w:eastAsiaTheme="majorEastAsia"/>
          <w:rtl/>
        </w:rPr>
        <w:t>לֹא נוֹדַע מִי הִכָּהוּ</w:t>
      </w:r>
      <w:r>
        <w:rPr>
          <w:rtl/>
        </w:rPr>
        <w:t xml:space="preserve"> </w:t>
      </w:r>
      <w:r>
        <w:t xml:space="preserve">ist die entscheidende Bedingung: </w:t>
      </w:r>
      <w:r>
        <w:rPr>
          <w:rStyle w:val="Fett"/>
          <w:rFonts w:eastAsiaTheme="majorEastAsia"/>
          <w:rtl/>
        </w:rPr>
        <w:t>לֹא נוֹדַע</w:t>
      </w:r>
      <w:r>
        <w:rPr>
          <w:rtl/>
        </w:rPr>
        <w:t xml:space="preserve"> </w:t>
      </w:r>
      <w:r>
        <w:t xml:space="preserve">(Negation mit </w:t>
      </w:r>
      <w:r>
        <w:rPr>
          <w:rStyle w:val="Fett"/>
          <w:rFonts w:eastAsiaTheme="majorEastAsia"/>
          <w:rtl/>
        </w:rPr>
        <w:t>ידע</w:t>
      </w:r>
      <w:r>
        <w:t xml:space="preserve">, Niphal Perfekt, 3. Person Maskulinum Singular, „bekannt sein"), </w:t>
      </w:r>
      <w:r>
        <w:rPr>
          <w:rStyle w:val="Fett"/>
          <w:rFonts w:eastAsiaTheme="majorEastAsia"/>
          <w:rtl/>
        </w:rPr>
        <w:t>מִי הִכָּהוּ</w:t>
      </w:r>
      <w:r>
        <w:rPr>
          <w:rtl/>
        </w:rPr>
        <w:t xml:space="preserve"> </w:t>
      </w:r>
      <w:r>
        <w:t xml:space="preserve">(indirekter Fragesatz: </w:t>
      </w:r>
      <w:r>
        <w:rPr>
          <w:rStyle w:val="Fett"/>
          <w:rFonts w:eastAsiaTheme="majorEastAsia"/>
          <w:rtl/>
        </w:rPr>
        <w:t>מִי</w:t>
      </w:r>
      <w:r>
        <w:t xml:space="preserve">, „wer", </w:t>
      </w:r>
      <w:r>
        <w:rPr>
          <w:rStyle w:val="Fett"/>
          <w:rFonts w:eastAsiaTheme="majorEastAsia"/>
          <w:rtl/>
        </w:rPr>
        <w:t>נכה</w:t>
      </w:r>
      <w:r>
        <w:t>, Hiphil Perfekt, 3. Person Maskulinum Singular, „erschlagen", mit Suffix 3. Person Maskulinum Singular).</w:t>
      </w:r>
    </w:p>
    <w:p w14:paraId="114EDA2D" w14:textId="5EB1755D" w:rsidR="00D0044F" w:rsidRDefault="00D0044F" w:rsidP="00D0044F">
      <w:pPr>
        <w:pStyle w:val="whitespace-normal"/>
      </w:pPr>
      <w:r>
        <w:t xml:space="preserve">Der Vers leitet das Gesetz der </w:t>
      </w:r>
      <w:r>
        <w:rPr>
          <w:rStyle w:val="Fett"/>
          <w:rFonts w:eastAsiaTheme="majorEastAsia"/>
          <w:rtl/>
        </w:rPr>
        <w:t>עֶגְלָה עֲרוּפָה</w:t>
      </w:r>
      <w:r>
        <w:rPr>
          <w:rtl/>
        </w:rPr>
        <w:t xml:space="preserve"> </w:t>
      </w:r>
      <w:r>
        <w:t xml:space="preserve">(„gebrochennackige Färse") ein – ein Ritual für unaufgeklärte Mordfälle. Das Wort </w:t>
      </w:r>
      <w:r>
        <w:rPr>
          <w:rStyle w:val="Fett"/>
          <w:rFonts w:eastAsiaTheme="majorEastAsia"/>
          <w:rtl/>
        </w:rPr>
        <w:t>חָלָל</w:t>
      </w:r>
      <w:r>
        <w:rPr>
          <w:rtl/>
        </w:rPr>
        <w:t xml:space="preserve"> </w:t>
      </w:r>
      <w:r>
        <w:t xml:space="preserve">betont gewaltsamen Tod (vgl. Num 19,16; Jos 11,6; </w:t>
      </w:r>
      <w:r w:rsidR="00664EB6">
        <w:t>1Sam</w:t>
      </w:r>
      <w:r>
        <w:t xml:space="preserve"> 31,1). Die Formulierung </w:t>
      </w:r>
      <w:r>
        <w:rPr>
          <w:rStyle w:val="Fett"/>
          <w:rFonts w:eastAsiaTheme="majorEastAsia"/>
          <w:rtl/>
        </w:rPr>
        <w:t>בָּאֲדָמָה אֲשֶׁר יְהוָה אֱלֹהֶיךָ נֹתֵן לְךָ לְרִשְׁתָּהּ</w:t>
      </w:r>
      <w:r>
        <w:rPr>
          <w:rtl/>
        </w:rPr>
        <w:t xml:space="preserve"> </w:t>
      </w:r>
      <w:r>
        <w:t xml:space="preserve">ist deuteronomisch (vgl. </w:t>
      </w:r>
      <w:r>
        <w:lastRenderedPageBreak/>
        <w:t xml:space="preserve">15,4; 19,2.10; 21,23; 25,19) und betont: Das Land ist JHWHs Gabe und heilig – ungesühntes Blut verunreinigt es (vgl. Num 35,33). Die Angabe </w:t>
      </w:r>
      <w:r>
        <w:rPr>
          <w:rStyle w:val="Fett"/>
          <w:rFonts w:eastAsiaTheme="majorEastAsia"/>
          <w:rtl/>
        </w:rPr>
        <w:t>נֹפֵל בַּשָּׂדֶה</w:t>
      </w:r>
      <w:r>
        <w:rPr>
          <w:rtl/>
        </w:rPr>
        <w:t xml:space="preserve"> </w:t>
      </w:r>
      <w:r>
        <w:t xml:space="preserve">(„liegend auf dem Feld") zeigt: außerhalb der Stadt, wo die Zuständigkeit unklar ist. Die Bedingung </w:t>
      </w:r>
      <w:r>
        <w:rPr>
          <w:rStyle w:val="Fett"/>
          <w:rFonts w:eastAsiaTheme="majorEastAsia"/>
          <w:rtl/>
        </w:rPr>
        <w:t>לֹא נוֹדַע מִי הִכָּהוּ</w:t>
      </w:r>
      <w:r>
        <w:rPr>
          <w:rtl/>
        </w:rPr>
        <w:t xml:space="preserve"> </w:t>
      </w:r>
      <w:r>
        <w:t>schafft das rechtliche Problem: Mord liegt vor, aber der Täter ist unbekannt – wie soll die Blutschuld gesühnt werden?</w:t>
      </w:r>
    </w:p>
    <w:p w14:paraId="3EC238EF" w14:textId="3DFF69AF" w:rsidR="00734E2E" w:rsidRDefault="00734E2E" w:rsidP="00D0044F">
      <w:pPr>
        <w:pStyle w:val="whitespace-normal"/>
      </w:pPr>
      <w:r>
        <w:rPr>
          <w:rStyle w:val="Fett"/>
        </w:rPr>
        <w:t>Die LXX</w:t>
      </w:r>
      <w:r>
        <w:t xml:space="preserve"> übersetzt </w:t>
      </w:r>
      <w:r>
        <w:rPr>
          <w:rtl/>
        </w:rPr>
        <w:t>חָלָל</w:t>
      </w:r>
      <w:r>
        <w:t xml:space="preserve"> (Erschlagener, Getöteter) mit </w:t>
      </w:r>
      <w:proofErr w:type="spellStart"/>
      <w:r>
        <w:t>τρ</w:t>
      </w:r>
      <w:proofErr w:type="spellEnd"/>
      <w:r>
        <w:t xml:space="preserve">αυματίας (Verwundeter) – ein Begriff, der eher "Verletzter" bedeutet, was weniger eindeutig tödlich ist als das hebräische </w:t>
      </w:r>
      <w:r>
        <w:rPr>
          <w:rtl/>
        </w:rPr>
        <w:t>חָלָל</w:t>
      </w:r>
      <w:r>
        <w:t>.</w:t>
      </w:r>
    </w:p>
    <w:p w14:paraId="1914ACBE" w14:textId="77777777" w:rsidR="00D0044F" w:rsidRDefault="00D0044F" w:rsidP="00D0044F">
      <w:pPr>
        <w:pStyle w:val="whitespace-normal"/>
      </w:pPr>
      <w:r>
        <w:rPr>
          <w:rStyle w:val="Fett"/>
          <w:rFonts w:eastAsiaTheme="majorEastAsia"/>
        </w:rPr>
        <w:t>Die Satzstruktur:</w:t>
      </w:r>
      <w:r>
        <w:t xml:space="preserve"> Konditionaler Satz mit entscheidender Bedingung (wenn gefunden wird ein Erschlagener in dem Land, das JHWH, dein Gott, gibt dir, es in Besitz zu nehmen, liegend auf dem Feld, nicht bekannt ist, wer erschlagen hat ihn).</w:t>
      </w:r>
    </w:p>
    <w:p w14:paraId="4933B7EF" w14:textId="77777777" w:rsidR="00D0044F" w:rsidRDefault="00D0044F" w:rsidP="00D0044F">
      <w:pPr>
        <w:pStyle w:val="whitespace-normal"/>
      </w:pPr>
      <w:r>
        <w:t>Der Vers setzt den Fall: Wenn ein Ermordeter gefunden wird und der Täter unbekannt ist – dann folgt V. 2ff. mit dem Ritual.</w:t>
      </w:r>
    </w:p>
    <w:p w14:paraId="60242D87" w14:textId="77777777" w:rsidR="00D0044F" w:rsidRPr="00734E2E" w:rsidRDefault="00D0044F" w:rsidP="00D0044F">
      <w:pPr>
        <w:pStyle w:val="berschrift1"/>
        <w:rPr>
          <w:rFonts w:ascii="Times New Roman" w:hAnsi="Times New Roman"/>
          <w:color w:val="auto"/>
          <w:sz w:val="36"/>
          <w:szCs w:val="36"/>
        </w:rPr>
      </w:pPr>
      <w:r w:rsidRPr="00734E2E">
        <w:rPr>
          <w:rStyle w:val="Fett"/>
          <w:rFonts w:ascii="Times New Roman" w:hAnsi="Times New Roman"/>
          <w:color w:val="auto"/>
          <w:sz w:val="36"/>
          <w:szCs w:val="36"/>
        </w:rPr>
        <w:t>Deuteronomium 21,2</w:t>
      </w:r>
    </w:p>
    <w:p w14:paraId="66F38ED9" w14:textId="77777777" w:rsidR="00D0044F" w:rsidRDefault="00D0044F" w:rsidP="00D0044F">
      <w:pPr>
        <w:pStyle w:val="whitespace-normal"/>
      </w:pPr>
      <w:r>
        <w:rPr>
          <w:rStyle w:val="Fett"/>
          <w:rFonts w:eastAsiaTheme="majorEastAsia"/>
        </w:rPr>
        <w:t>Hebräisch:</w:t>
      </w:r>
      <w:r>
        <w:t xml:space="preserve"> </w:t>
      </w:r>
      <w:r>
        <w:rPr>
          <w:rtl/>
        </w:rPr>
        <w:t>וְיָצְא֥וּ זְקֵנֶ֖יךָ וְשֹׁפְטֶ֑יךָ וּמָדְדוּ֙ אֶל־הֶ֣עָרִ֔ים אֲשֶׁ֖ר סְבִיבֹ֥ת הֶחָלָֽל׃</w:t>
      </w:r>
    </w:p>
    <w:p w14:paraId="28BC0FDF" w14:textId="77777777" w:rsidR="00D0044F" w:rsidRDefault="00D0044F" w:rsidP="00D0044F">
      <w:pPr>
        <w:pStyle w:val="whitespace-normal"/>
      </w:pPr>
      <w:r>
        <w:rPr>
          <w:rStyle w:val="Fett"/>
          <w:rFonts w:eastAsiaTheme="majorEastAsia"/>
        </w:rPr>
        <w:t>Deutsch:</w:t>
      </w:r>
      <w:r>
        <w:t xml:space="preserve"> so sollen deine Ältesten und deine Richter hinausgehen und die Entfernungen zu den Städten messen, die ringsum den Erschlagenen sind.</w:t>
      </w:r>
    </w:p>
    <w:p w14:paraId="51B9AD36" w14:textId="77777777" w:rsidR="00D0044F" w:rsidRDefault="004F5CEB" w:rsidP="00D0044F">
      <w:r>
        <w:rPr>
          <w:noProof/>
        </w:rPr>
        <w:pict w14:anchorId="4CA471D1">
          <v:rect id="_x0000_i1574" style="width:0;height:1.5pt" o:hralign="center" o:hrstd="t" o:hr="t" fillcolor="#a0a0a0" stroked="f"/>
        </w:pict>
      </w:r>
    </w:p>
    <w:p w14:paraId="5B36CA3B" w14:textId="77777777" w:rsidR="00D0044F" w:rsidRDefault="00D0044F" w:rsidP="00D0044F">
      <w:pPr>
        <w:pStyle w:val="whitespace-normal"/>
      </w:pPr>
      <w:r>
        <w:rPr>
          <w:rStyle w:val="Fett"/>
          <w:rFonts w:eastAsiaTheme="majorEastAsia"/>
        </w:rPr>
        <w:t>Kommentar:</w:t>
      </w:r>
      <w:r>
        <w:t xml:space="preserve"> </w:t>
      </w:r>
      <w:r>
        <w:rPr>
          <w:rStyle w:val="Fett"/>
          <w:rFonts w:eastAsiaTheme="majorEastAsia"/>
          <w:rtl/>
        </w:rPr>
        <w:t>וְיָצְאוּ זְקֵנֶיךָ וְשֹׁפְטֶיךָ</w:t>
      </w:r>
      <w:r>
        <w:rPr>
          <w:rtl/>
        </w:rPr>
        <w:t xml:space="preserve"> </w:t>
      </w:r>
      <w:r>
        <w:t xml:space="preserve">ist die Apodosis: </w:t>
      </w:r>
      <w:r>
        <w:rPr>
          <w:rStyle w:val="Fett"/>
          <w:rFonts w:eastAsiaTheme="majorEastAsia"/>
          <w:rtl/>
        </w:rPr>
        <w:t>וְיָצְאוּ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יצא</w:t>
      </w:r>
      <w:r>
        <w:t xml:space="preserve">, Qal Perfekt, 3. Person Plural, „hinausgehen", mit </w:t>
      </w:r>
      <w:r>
        <w:rPr>
          <w:rStyle w:val="Fett"/>
          <w:rFonts w:eastAsiaTheme="majorEastAsia"/>
        </w:rPr>
        <w:t>Waw</w:t>
      </w:r>
      <w:r>
        <w:t xml:space="preserve"> consecutives Perfekt), </w:t>
      </w:r>
      <w:r>
        <w:rPr>
          <w:rStyle w:val="Fett"/>
          <w:rFonts w:eastAsiaTheme="majorEastAsia"/>
          <w:rtl/>
        </w:rPr>
        <w:t>זְקֵנֶיךָ</w:t>
      </w:r>
      <w:r>
        <w:rPr>
          <w:rtl/>
        </w:rPr>
        <w:t xml:space="preserve"> </w:t>
      </w:r>
      <w:r>
        <w:t>(</w:t>
      </w:r>
      <w:r>
        <w:rPr>
          <w:rStyle w:val="Fett"/>
          <w:rFonts w:eastAsiaTheme="majorEastAsia"/>
          <w:rtl/>
        </w:rPr>
        <w:t>זָקֵן</w:t>
      </w:r>
      <w:r>
        <w:t xml:space="preserve">, „Ältester", Plural mit Suffix 2. Person Maskulinum Singular – die lokalen Autoritäten), </w:t>
      </w:r>
      <w:r>
        <w:rPr>
          <w:rStyle w:val="Fett"/>
          <w:rFonts w:eastAsiaTheme="majorEastAsia"/>
          <w:rtl/>
        </w:rPr>
        <w:t>וְשֹׁפְטֶיךָ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שֹׁפֵט</w:t>
      </w:r>
      <w:r>
        <w:t>, „Richter", Plural mit Suffix 2. Person Maskulinum Singular – die juridischen Autoritäten, vgl. 16,18; 19,17.18).</w:t>
      </w:r>
    </w:p>
    <w:p w14:paraId="5FF91C90" w14:textId="753E8FE3" w:rsidR="00D0044F" w:rsidRDefault="00D0044F" w:rsidP="00D0044F">
      <w:pPr>
        <w:pStyle w:val="whitespace-normal"/>
      </w:pPr>
      <w:r>
        <w:rPr>
          <w:rStyle w:val="Fett"/>
          <w:rFonts w:eastAsiaTheme="majorEastAsia"/>
          <w:rtl/>
        </w:rPr>
        <w:t>וּמָדְדוּ אֶל־הֶעָרִים אֲשֶׁר סְבִיבֹת הֶחָלָל</w:t>
      </w:r>
      <w:r>
        <w:rPr>
          <w:rtl/>
        </w:rPr>
        <w:t xml:space="preserve"> </w:t>
      </w:r>
      <w:r>
        <w:t xml:space="preserve">ist die Handlung: </w:t>
      </w:r>
      <w:r>
        <w:rPr>
          <w:rStyle w:val="Fett"/>
          <w:rFonts w:eastAsiaTheme="majorEastAsia"/>
          <w:rtl/>
        </w:rPr>
        <w:t>וּמָדְדוּ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מדד</w:t>
      </w:r>
      <w:r>
        <w:t xml:space="preserve">, Qal Perfekt, 3. Person Plural, „messen", mit </w:t>
      </w:r>
      <w:r>
        <w:rPr>
          <w:rStyle w:val="Fett"/>
          <w:rFonts w:eastAsiaTheme="majorEastAsia"/>
        </w:rPr>
        <w:t>Waw</w:t>
      </w:r>
      <w:r>
        <w:t xml:space="preserve"> consecutives Perfekt – präzise Vermessung, vgl. Ex 16,18; Num 35,5; </w:t>
      </w:r>
      <w:r w:rsidR="00664EB6">
        <w:t>2Sam</w:t>
      </w:r>
      <w:r>
        <w:t xml:space="preserve"> 8,2), </w:t>
      </w:r>
      <w:r>
        <w:rPr>
          <w:rStyle w:val="Fett"/>
          <w:rFonts w:eastAsiaTheme="majorEastAsia"/>
          <w:rtl/>
        </w:rPr>
        <w:t>אֶל־הֶעָרִים</w:t>
      </w:r>
      <w:r>
        <w:rPr>
          <w:rtl/>
        </w:rPr>
        <w:t xml:space="preserve"> </w:t>
      </w:r>
      <w:r>
        <w:t xml:space="preserve">(Präposition </w:t>
      </w:r>
      <w:r>
        <w:rPr>
          <w:rStyle w:val="Fett"/>
          <w:rFonts w:eastAsiaTheme="majorEastAsia"/>
          <w:rtl/>
        </w:rPr>
        <w:t>אֶל</w:t>
      </w:r>
      <w:r>
        <w:rPr>
          <w:rtl/>
        </w:rPr>
        <w:t xml:space="preserve"> </w:t>
      </w:r>
      <w:r>
        <w:t xml:space="preserve">mit </w:t>
      </w:r>
      <w:r>
        <w:rPr>
          <w:rStyle w:val="Fett"/>
          <w:rFonts w:eastAsiaTheme="majorEastAsia"/>
          <w:rtl/>
        </w:rPr>
        <w:t>עִיר</w:t>
      </w:r>
      <w:r>
        <w:t xml:space="preserve">, Plural mit Artikel), </w:t>
      </w:r>
      <w:r>
        <w:rPr>
          <w:rStyle w:val="Fett"/>
          <w:rFonts w:eastAsiaTheme="majorEastAsia"/>
          <w:rtl/>
        </w:rPr>
        <w:t>אֲשֶׁר סְבִיבֹת הֶחָלָל</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סָבִיב</w:t>
      </w:r>
      <w:r>
        <w:t xml:space="preserve">, „rings herum", femininer Plural-Construct (auch </w:t>
      </w:r>
      <w:r>
        <w:rPr>
          <w:rStyle w:val="Fett"/>
          <w:rFonts w:eastAsiaTheme="majorEastAsia"/>
          <w:rtl/>
        </w:rPr>
        <w:t>סְבִיבֹת</w:t>
      </w:r>
      <w:r>
        <w:t xml:space="preserve">), </w:t>
      </w:r>
      <w:r>
        <w:rPr>
          <w:rStyle w:val="Fett"/>
          <w:rFonts w:eastAsiaTheme="majorEastAsia"/>
          <w:rtl/>
        </w:rPr>
        <w:t>הֶחָלָל</w:t>
      </w:r>
      <w:r>
        <w:rPr>
          <w:rtl/>
        </w:rPr>
        <w:t xml:space="preserve"> </w:t>
      </w:r>
      <w:r>
        <w:t>mit Artikel).</w:t>
      </w:r>
    </w:p>
    <w:p w14:paraId="72C9A610" w14:textId="2365CAB2" w:rsidR="00D0044F" w:rsidRDefault="00D0044F" w:rsidP="00D0044F">
      <w:pPr>
        <w:pStyle w:val="whitespace-normal"/>
      </w:pPr>
      <w:r>
        <w:t xml:space="preserve">Der Vers beschreibt das erste Verfahren: Die </w:t>
      </w:r>
      <w:r>
        <w:rPr>
          <w:rStyle w:val="Fett"/>
          <w:rFonts w:eastAsiaTheme="majorEastAsia"/>
          <w:rtl/>
        </w:rPr>
        <w:t>זְקֵנִים וְשֹׁפְטִים</w:t>
      </w:r>
      <w:r>
        <w:rPr>
          <w:rtl/>
        </w:rPr>
        <w:t xml:space="preserve"> </w:t>
      </w:r>
      <w:r>
        <w:t>(„Ältesten und Richter") – zusammen die höchste lokale Autorität (vgl. 16,18; 19,12; 21,2.3.4.6.19.20) – gehen hinaus (</w:t>
      </w:r>
      <w:r>
        <w:rPr>
          <w:rStyle w:val="Fett"/>
          <w:rFonts w:eastAsiaTheme="majorEastAsia"/>
          <w:rtl/>
        </w:rPr>
        <w:t>יָצְאוּ</w:t>
      </w:r>
      <w:r>
        <w:t xml:space="preserve">) zum Fundort. Das Verb </w:t>
      </w:r>
      <w:r>
        <w:rPr>
          <w:rStyle w:val="Fett"/>
          <w:rFonts w:eastAsiaTheme="majorEastAsia"/>
          <w:rtl/>
        </w:rPr>
        <w:t>מדד</w:t>
      </w:r>
      <w:r>
        <w:rPr>
          <w:rtl/>
        </w:rPr>
        <w:t xml:space="preserve"> </w:t>
      </w:r>
      <w:r>
        <w:t xml:space="preserve">(„messen") impliziert genaue, offizielle Vermessung der Entfernungen zu allen umliegenden Städten. Die Formulierung </w:t>
      </w:r>
      <w:r>
        <w:rPr>
          <w:rStyle w:val="Fett"/>
          <w:rFonts w:eastAsiaTheme="majorEastAsia"/>
          <w:rtl/>
        </w:rPr>
        <w:t>אֲשֶׁר סְבִיבֹת הֶחָלָל</w:t>
      </w:r>
      <w:r>
        <w:rPr>
          <w:rtl/>
        </w:rPr>
        <w:t xml:space="preserve"> </w:t>
      </w:r>
      <w:r>
        <w:t xml:space="preserve">(„die rings herum sind des Erschlagenen") zeigt: alle Städte in der Umgebung kommen in Betracht. Der Zweck: Die nächstgelegene Stadt trägt die Verantwortung für das Ritual (V. 3). Die Logik: Die nächste Stadt hat entweder auf ihrem Territorium versagt (Mörder nicht </w:t>
      </w:r>
      <w:r w:rsidR="00323822">
        <w:t>gefasst</w:t>
      </w:r>
      <w:r>
        <w:t>) oder ihrer Schutzpflicht für Reisende nicht genügt (antike Gastfreundschaftspflicht).</w:t>
      </w:r>
    </w:p>
    <w:p w14:paraId="35037493" w14:textId="5E503469" w:rsidR="00734E2E" w:rsidRDefault="00734E2E" w:rsidP="00D0044F">
      <w:pPr>
        <w:pStyle w:val="whitespace-normal"/>
      </w:pPr>
      <w:r>
        <w:rPr>
          <w:rStyle w:val="Fett"/>
        </w:rPr>
        <w:lastRenderedPageBreak/>
        <w:t>Die LXX</w:t>
      </w:r>
      <w:r>
        <w:t xml:space="preserve"> verwendet ἡ </w:t>
      </w:r>
      <w:proofErr w:type="spellStart"/>
      <w:r>
        <w:t>γερουσί</w:t>
      </w:r>
      <w:proofErr w:type="spellEnd"/>
      <w:r>
        <w:t xml:space="preserve">α (der Ältestenrat) für </w:t>
      </w:r>
      <w:r>
        <w:rPr>
          <w:rtl/>
        </w:rPr>
        <w:t>זְקֵנֶיךָ</w:t>
      </w:r>
      <w:r>
        <w:t xml:space="preserve"> (deine Ältesten) – wie bereits zuvor eine institutionelle Bezeichnung statt einer einfachen Personengruppe.</w:t>
      </w:r>
    </w:p>
    <w:p w14:paraId="3CF4A747" w14:textId="77777777" w:rsidR="00D0044F" w:rsidRDefault="00D0044F" w:rsidP="00D0044F">
      <w:pPr>
        <w:pStyle w:val="whitespace-normal"/>
      </w:pPr>
      <w:r>
        <w:rPr>
          <w:rStyle w:val="Fett"/>
          <w:rFonts w:eastAsiaTheme="majorEastAsia"/>
        </w:rPr>
        <w:t>Die Satzstruktur:</w:t>
      </w:r>
      <w:r>
        <w:t xml:space="preserve"> Apodosis mit Handlung (hinausgehen sollen deine Ältesten und deine Richter, und messen sollen zu den Städten, die rings herum sind des Erschlagenen).</w:t>
      </w:r>
    </w:p>
    <w:p w14:paraId="10C22530" w14:textId="77777777" w:rsidR="00D0044F" w:rsidRDefault="00D0044F" w:rsidP="00D0044F">
      <w:pPr>
        <w:pStyle w:val="whitespace-normal"/>
      </w:pPr>
      <w:r>
        <w:t>Der Vers befiehlt: Die Ältesten und Richter sollen hinausgehen und die Entfernungen zu den umliegenden Städten messen.</w:t>
      </w:r>
    </w:p>
    <w:p w14:paraId="0319667A" w14:textId="77777777" w:rsidR="00D0044F" w:rsidRPr="00B27A64" w:rsidRDefault="00D0044F" w:rsidP="00D0044F">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21,3</w:t>
      </w:r>
    </w:p>
    <w:p w14:paraId="007D071A" w14:textId="77777777" w:rsidR="00D0044F" w:rsidRDefault="00D0044F" w:rsidP="00D0044F">
      <w:pPr>
        <w:pStyle w:val="whitespace-normal"/>
      </w:pPr>
      <w:r>
        <w:rPr>
          <w:rStyle w:val="Fett"/>
          <w:rFonts w:eastAsiaTheme="majorEastAsia"/>
        </w:rPr>
        <w:t>Hebräisch:</w:t>
      </w:r>
      <w:r>
        <w:t xml:space="preserve"> </w:t>
      </w:r>
      <w:r>
        <w:rPr>
          <w:rtl/>
        </w:rPr>
        <w:t>וְהָיָ֣ה הָעִ֔יר הַקְּרֹבָ֖ה אֶל־הֶחָלָ֑ל וְלָֽקְח֡וּ זִקְנֵי֩ הָעִ֨יר הַהִ֜וא עֶגְלַ֣ת בָּקָ֗ר אֲשֶׁ֤ר לֹֽא־עֻבַּד֙ בָּ֔הּ אֲשֶׁ֥ר לֹא־מָשְׁכָ֖ה בְּעֹֽל׃</w:t>
      </w:r>
    </w:p>
    <w:p w14:paraId="57862D70" w14:textId="77777777" w:rsidR="00D0044F" w:rsidRDefault="00D0044F" w:rsidP="00D0044F">
      <w:pPr>
        <w:pStyle w:val="whitespace-normal"/>
      </w:pPr>
      <w:r>
        <w:rPr>
          <w:rStyle w:val="Fett"/>
          <w:rFonts w:eastAsiaTheme="majorEastAsia"/>
        </w:rPr>
        <w:t>Deutsch:</w:t>
      </w:r>
      <w:r>
        <w:t xml:space="preserve"> Und es soll geschehen: Die Stadt, die dem Erschlagenen am nächsten ist – die Ältesten dieser Stadt sollen eine junge Kuh nehmen, mit der noch nicht gearbeitet worden ist, die noch nicht am Joch gezogen hat.</w:t>
      </w:r>
    </w:p>
    <w:p w14:paraId="518A0CFA" w14:textId="77777777" w:rsidR="00D0044F" w:rsidRDefault="004F5CEB" w:rsidP="00D0044F">
      <w:r>
        <w:rPr>
          <w:noProof/>
        </w:rPr>
        <w:pict w14:anchorId="5BAF3FF5">
          <v:rect id="_x0000_i1575" style="width:0;height:1.5pt" o:hralign="center" o:hrstd="t" o:hr="t" fillcolor="#a0a0a0" stroked="f"/>
        </w:pict>
      </w:r>
    </w:p>
    <w:p w14:paraId="3820C41D" w14:textId="77777777" w:rsidR="00D0044F" w:rsidRDefault="00D0044F" w:rsidP="00D0044F">
      <w:pPr>
        <w:pStyle w:val="whitespace-normal"/>
      </w:pPr>
      <w:r>
        <w:rPr>
          <w:rStyle w:val="Fett"/>
          <w:rFonts w:eastAsiaTheme="majorEastAsia"/>
        </w:rPr>
        <w:t>Kommentar:</w:t>
      </w:r>
      <w:r>
        <w:t xml:space="preserve"> </w:t>
      </w:r>
      <w:r>
        <w:rPr>
          <w:rStyle w:val="Fett"/>
          <w:rFonts w:eastAsiaTheme="majorEastAsia"/>
          <w:rtl/>
        </w:rPr>
        <w:t>וְהָיָה הָעִיר הַקְּרֹבָה אֶל־הֶחָלָל</w:t>
      </w:r>
      <w:r>
        <w:rPr>
          <w:rtl/>
        </w:rPr>
        <w:t xml:space="preserve"> </w:t>
      </w:r>
      <w:r>
        <w:t xml:space="preserve">ist die Bestimmung: </w:t>
      </w:r>
      <w:r>
        <w:rPr>
          <w:rStyle w:val="Fett"/>
          <w:rFonts w:eastAsiaTheme="majorEastAsia"/>
          <w:rtl/>
        </w:rPr>
        <w:t>וְהָיָה</w:t>
      </w:r>
      <w:r>
        <w:rPr>
          <w:rtl/>
        </w:rPr>
        <w:t xml:space="preserve"> </w:t>
      </w:r>
      <w:r>
        <w:t xml:space="preserve">(Qal Perfekt, 3. Person Maskulinum Singular von </w:t>
      </w:r>
      <w:r>
        <w:rPr>
          <w:rStyle w:val="Fett"/>
          <w:rFonts w:eastAsiaTheme="majorEastAsia"/>
          <w:rtl/>
        </w:rPr>
        <w:t>היה</w:t>
      </w:r>
      <w:r>
        <w:t xml:space="preserve">, „sein", mit </w:t>
      </w:r>
      <w:r>
        <w:rPr>
          <w:rStyle w:val="Fett"/>
          <w:rFonts w:eastAsiaTheme="majorEastAsia"/>
        </w:rPr>
        <w:t>Waw</w:t>
      </w:r>
      <w:r>
        <w:t xml:space="preserve"> – Einleitungsformel „und es wird sein/geschehen"), </w:t>
      </w:r>
      <w:r>
        <w:rPr>
          <w:rStyle w:val="Fett"/>
          <w:rFonts w:eastAsiaTheme="majorEastAsia"/>
          <w:rtl/>
        </w:rPr>
        <w:t>הָעִיר הַקְּרֹבָה אֶל־הֶחָלָל</w:t>
      </w:r>
      <w:r>
        <w:rPr>
          <w:rtl/>
        </w:rPr>
        <w:t xml:space="preserve"> </w:t>
      </w:r>
      <w:r>
        <w:t>(</w:t>
      </w:r>
      <w:r>
        <w:rPr>
          <w:rStyle w:val="Fett"/>
          <w:rFonts w:eastAsiaTheme="majorEastAsia"/>
          <w:rtl/>
        </w:rPr>
        <w:t>עִיר</w:t>
      </w:r>
      <w:r>
        <w:rPr>
          <w:rtl/>
        </w:rPr>
        <w:t xml:space="preserve"> </w:t>
      </w:r>
      <w:r>
        <w:t xml:space="preserve">mit Artikel, Qal Partizip Femininum Singular von </w:t>
      </w:r>
      <w:r>
        <w:rPr>
          <w:rStyle w:val="Fett"/>
          <w:rFonts w:eastAsiaTheme="majorEastAsia"/>
          <w:rtl/>
        </w:rPr>
        <w:t>קרב</w:t>
      </w:r>
      <w:r>
        <w:t xml:space="preserve">, „nahe sein", mit Artikel, Präposition </w:t>
      </w:r>
      <w:r>
        <w:rPr>
          <w:rStyle w:val="Fett"/>
          <w:rFonts w:eastAsiaTheme="majorEastAsia"/>
          <w:rtl/>
        </w:rPr>
        <w:t>אֶל</w:t>
      </w:r>
      <w:r>
        <w:rPr>
          <w:rtl/>
        </w:rPr>
        <w:t xml:space="preserve"> </w:t>
      </w:r>
      <w:r>
        <w:t xml:space="preserve">mit </w:t>
      </w:r>
      <w:r>
        <w:rPr>
          <w:rStyle w:val="Fett"/>
          <w:rFonts w:eastAsiaTheme="majorEastAsia"/>
          <w:rtl/>
        </w:rPr>
        <w:t>חָלָל</w:t>
      </w:r>
      <w:r>
        <w:rPr>
          <w:rtl/>
        </w:rPr>
        <w:t xml:space="preserve"> </w:t>
      </w:r>
      <w:r>
        <w:t>mit Artikel).</w:t>
      </w:r>
    </w:p>
    <w:p w14:paraId="5C105896" w14:textId="77777777" w:rsidR="00D0044F" w:rsidRDefault="00D0044F" w:rsidP="00D0044F">
      <w:pPr>
        <w:pStyle w:val="whitespace-normal"/>
      </w:pPr>
      <w:r>
        <w:rPr>
          <w:rStyle w:val="Fett"/>
          <w:rFonts w:eastAsiaTheme="majorEastAsia"/>
          <w:rtl/>
        </w:rPr>
        <w:t>וְלָקְחוּ זִקְנֵי הָעִיר הַהִוא עֶגְלַת בָּקָר אֲשֶׁר לֹא־עֻבַּד בָּהּ אֲשֶׁר לֹא־מָשְׁכָה בְעֹל</w:t>
      </w:r>
      <w:r>
        <w:rPr>
          <w:rtl/>
        </w:rPr>
        <w:t xml:space="preserve"> </w:t>
      </w:r>
      <w:r>
        <w:t xml:space="preserve">ist die Anweisung: </w:t>
      </w:r>
      <w:r>
        <w:rPr>
          <w:rStyle w:val="Fett"/>
          <w:rFonts w:eastAsiaTheme="majorEastAsia"/>
          <w:rtl/>
        </w:rPr>
        <w:t>וְלָקְחוּ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לקח</w:t>
      </w:r>
      <w:r>
        <w:t xml:space="preserve">, Qal Perfekt, 3. Person Plural, „nehmen", mit </w:t>
      </w:r>
      <w:r>
        <w:rPr>
          <w:rStyle w:val="Fett"/>
          <w:rFonts w:eastAsiaTheme="majorEastAsia"/>
        </w:rPr>
        <w:t>Waw</w:t>
      </w:r>
      <w:r>
        <w:t xml:space="preserve"> consecutives Perfekt), </w:t>
      </w:r>
      <w:r>
        <w:rPr>
          <w:rStyle w:val="Fett"/>
          <w:rFonts w:eastAsiaTheme="majorEastAsia"/>
          <w:rtl/>
        </w:rPr>
        <w:t>זִקְנֵי הָעִיר הַהִוא</w:t>
      </w:r>
      <w:r>
        <w:rPr>
          <w:rtl/>
        </w:rPr>
        <w:t xml:space="preserve"> </w:t>
      </w:r>
      <w:r>
        <w:t>(</w:t>
      </w:r>
      <w:r>
        <w:rPr>
          <w:rStyle w:val="Fett"/>
          <w:rFonts w:eastAsiaTheme="majorEastAsia"/>
          <w:rtl/>
        </w:rPr>
        <w:t>זָקֵן</w:t>
      </w:r>
      <w:r>
        <w:t xml:space="preserve">, Plural Construct mit </w:t>
      </w:r>
      <w:r>
        <w:rPr>
          <w:rStyle w:val="Fett"/>
          <w:rFonts w:eastAsiaTheme="majorEastAsia"/>
          <w:rtl/>
        </w:rPr>
        <w:t>עִיר</w:t>
      </w:r>
      <w:r>
        <w:rPr>
          <w:rtl/>
        </w:rPr>
        <w:t xml:space="preserve"> </w:t>
      </w:r>
      <w:r>
        <w:t xml:space="preserve">mit Artikel und Demonstrativpronomen </w:t>
      </w:r>
      <w:r>
        <w:rPr>
          <w:rStyle w:val="Fett"/>
          <w:rFonts w:eastAsiaTheme="majorEastAsia"/>
          <w:rtl/>
        </w:rPr>
        <w:t>הִוא</w:t>
      </w:r>
      <w:r>
        <w:t xml:space="preserve">), </w:t>
      </w:r>
      <w:r>
        <w:rPr>
          <w:rStyle w:val="Fett"/>
          <w:rFonts w:eastAsiaTheme="majorEastAsia"/>
          <w:rtl/>
        </w:rPr>
        <w:t>עֶגְלַת בָּקָר</w:t>
      </w:r>
      <w:r>
        <w:rPr>
          <w:rtl/>
        </w:rPr>
        <w:t xml:space="preserve"> </w:t>
      </w:r>
      <w:r>
        <w:t>(</w:t>
      </w:r>
      <w:r>
        <w:rPr>
          <w:rStyle w:val="Fett"/>
          <w:rFonts w:eastAsiaTheme="majorEastAsia"/>
          <w:rtl/>
        </w:rPr>
        <w:t>עֶגְלָה</w:t>
      </w:r>
      <w:r>
        <w:t xml:space="preserve">, „junge Kuh, Färse" – ein weibliches Rind von 1-3 Jahren, Construct mit </w:t>
      </w:r>
      <w:r>
        <w:rPr>
          <w:rStyle w:val="Fett"/>
          <w:rFonts w:eastAsiaTheme="majorEastAsia"/>
          <w:rtl/>
        </w:rPr>
        <w:t>בָּקָר</w:t>
      </w:r>
      <w:r>
        <w:t xml:space="preserve">, „Rind, Rindvieh"), </w:t>
      </w:r>
      <w:r>
        <w:rPr>
          <w:rStyle w:val="Fett"/>
          <w:rFonts w:eastAsiaTheme="majorEastAsia"/>
          <w:rtl/>
        </w:rPr>
        <w:t>אֲשֶׁר לֹא־עֻבַּד בָּהּ</w:t>
      </w:r>
      <w:r>
        <w:rPr>
          <w:rtl/>
        </w:rPr>
        <w:t xml:space="preserve"> </w:t>
      </w:r>
      <w:r>
        <w:t xml:space="preserve">(Relativsatz: </w:t>
      </w:r>
      <w:r>
        <w:rPr>
          <w:rStyle w:val="Fett"/>
          <w:rFonts w:eastAsiaTheme="majorEastAsia"/>
          <w:rtl/>
        </w:rPr>
        <w:t>אֲשֶׁר</w:t>
      </w:r>
      <w:r>
        <w:rPr>
          <w:rtl/>
        </w:rPr>
        <w:t xml:space="preserve"> </w:t>
      </w:r>
      <w:r>
        <w:t xml:space="preserve">mit Negation, </w:t>
      </w:r>
      <w:r>
        <w:rPr>
          <w:rStyle w:val="Fett"/>
          <w:rFonts w:eastAsiaTheme="majorEastAsia"/>
          <w:rtl/>
        </w:rPr>
        <w:t>עבד</w:t>
      </w:r>
      <w:r>
        <w:t xml:space="preserve">, Pual Perfekt, 3. Person Maskulinum Singular, „gearbeitet werden, dienen", </w:t>
      </w:r>
      <w:r>
        <w:rPr>
          <w:rStyle w:val="Fett"/>
          <w:rFonts w:eastAsiaTheme="majorEastAsia"/>
          <w:rtl/>
        </w:rPr>
        <w:t>בָּהּ</w:t>
      </w:r>
      <w:r>
        <w:t xml:space="preserve">, Präposition </w:t>
      </w:r>
      <w:r>
        <w:rPr>
          <w:rStyle w:val="Fett"/>
          <w:rFonts w:eastAsiaTheme="majorEastAsia"/>
          <w:rtl/>
        </w:rPr>
        <w:t>בְּ</w:t>
      </w:r>
      <w:r>
        <w:rPr>
          <w:rtl/>
        </w:rPr>
        <w:t xml:space="preserve"> </w:t>
      </w:r>
      <w:r>
        <w:t xml:space="preserve">mit Suffix 3. Person Femininum Singular), </w:t>
      </w:r>
      <w:r>
        <w:rPr>
          <w:rStyle w:val="Fett"/>
          <w:rFonts w:eastAsiaTheme="majorEastAsia"/>
          <w:rtl/>
        </w:rPr>
        <w:t>אֲשֶׁר לֹא־מָשְׁכָה בְעֹל</w:t>
      </w:r>
      <w:r>
        <w:rPr>
          <w:rtl/>
        </w:rPr>
        <w:t xml:space="preserve"> </w:t>
      </w:r>
      <w:r>
        <w:t xml:space="preserve">(zweiter Relativsatz: </w:t>
      </w:r>
      <w:r>
        <w:rPr>
          <w:rStyle w:val="Fett"/>
          <w:rFonts w:eastAsiaTheme="majorEastAsia"/>
          <w:rtl/>
        </w:rPr>
        <w:t>אֲשֶׁר</w:t>
      </w:r>
      <w:r>
        <w:rPr>
          <w:rtl/>
        </w:rPr>
        <w:t xml:space="preserve"> </w:t>
      </w:r>
      <w:r>
        <w:t xml:space="preserve">mit Negation, </w:t>
      </w:r>
      <w:r>
        <w:rPr>
          <w:rStyle w:val="Fett"/>
          <w:rFonts w:eastAsiaTheme="majorEastAsia"/>
          <w:rtl/>
        </w:rPr>
        <w:t>משׁך</w:t>
      </w:r>
      <w:r>
        <w:t xml:space="preserve">, Qal Perfekt, 3. Person Femininum Singular, „ziehen", </w:t>
      </w:r>
      <w:r>
        <w:rPr>
          <w:rStyle w:val="Fett"/>
          <w:rFonts w:eastAsiaTheme="majorEastAsia"/>
          <w:rtl/>
        </w:rPr>
        <w:t>בְעֹל</w:t>
      </w:r>
      <w:r>
        <w:t xml:space="preserve">, Präposition </w:t>
      </w:r>
      <w:r>
        <w:rPr>
          <w:rStyle w:val="Fett"/>
          <w:rFonts w:eastAsiaTheme="majorEastAsia"/>
          <w:rtl/>
        </w:rPr>
        <w:t>בְּ</w:t>
      </w:r>
      <w:r>
        <w:rPr>
          <w:rtl/>
        </w:rPr>
        <w:t xml:space="preserve"> </w:t>
      </w:r>
      <w:r>
        <w:t xml:space="preserve">mit </w:t>
      </w:r>
      <w:r>
        <w:rPr>
          <w:rStyle w:val="Fett"/>
          <w:rFonts w:eastAsiaTheme="majorEastAsia"/>
          <w:rtl/>
        </w:rPr>
        <w:t>עֹל</w:t>
      </w:r>
      <w:r>
        <w:t xml:space="preserve">, „Joch" – das </w:t>
      </w:r>
      <w:proofErr w:type="spellStart"/>
      <w:r>
        <w:t>Zugjoch</w:t>
      </w:r>
      <w:proofErr w:type="spellEnd"/>
      <w:r>
        <w:t xml:space="preserve"> für Arbeitsochsen).</w:t>
      </w:r>
    </w:p>
    <w:p w14:paraId="7A235A57" w14:textId="652B38E8" w:rsidR="00D0044F" w:rsidRDefault="00D0044F" w:rsidP="00D0044F">
      <w:pPr>
        <w:pStyle w:val="whitespace-normal"/>
      </w:pPr>
      <w:r>
        <w:t xml:space="preserve">Der Vers bestimmt die nächstgelegene Stadt als verantwortlich. Ihre Ältesten müssen eine spezielle </w:t>
      </w:r>
      <w:r>
        <w:rPr>
          <w:rStyle w:val="Fett"/>
          <w:rFonts w:eastAsiaTheme="majorEastAsia"/>
          <w:rtl/>
        </w:rPr>
        <w:t>עֶגְלַת בָּקָר</w:t>
      </w:r>
      <w:r>
        <w:rPr>
          <w:rtl/>
        </w:rPr>
        <w:t xml:space="preserve"> </w:t>
      </w:r>
      <w:r>
        <w:t xml:space="preserve">(„junge Kuh") nehmen. Das Wort </w:t>
      </w:r>
      <w:r>
        <w:rPr>
          <w:rStyle w:val="Fett"/>
          <w:rFonts w:eastAsiaTheme="majorEastAsia"/>
          <w:rtl/>
        </w:rPr>
        <w:t>עֶגְלָה</w:t>
      </w:r>
      <w:r>
        <w:rPr>
          <w:rtl/>
        </w:rPr>
        <w:t xml:space="preserve"> </w:t>
      </w:r>
      <w:r>
        <w:t xml:space="preserve">bezeichnet eine junge Kuh (vgl. Gen 15,9; </w:t>
      </w:r>
      <w:r w:rsidR="00664EB6">
        <w:t>1Sam</w:t>
      </w:r>
      <w:r>
        <w:t xml:space="preserve"> 6,7; Jes 7,21; Jer 46,20; Hos 10,11). Die doppelte Qualifikation: (1) </w:t>
      </w:r>
      <w:r>
        <w:rPr>
          <w:rStyle w:val="Fett"/>
          <w:rFonts w:eastAsiaTheme="majorEastAsia"/>
          <w:rtl/>
        </w:rPr>
        <w:t>אֲשֶׁר לֹא־עֻבַּד בָּהּ</w:t>
      </w:r>
      <w:r>
        <w:rPr>
          <w:rtl/>
        </w:rPr>
        <w:t xml:space="preserve"> </w:t>
      </w:r>
      <w:r>
        <w:t xml:space="preserve">(„mit der nicht gearbeitet worden ist") – das Pual drückt Passiv aus: sie wurde nie zu Arbeitszwecken verwendet, (2) </w:t>
      </w:r>
      <w:r>
        <w:rPr>
          <w:rStyle w:val="Fett"/>
          <w:rFonts w:eastAsiaTheme="majorEastAsia"/>
          <w:rtl/>
        </w:rPr>
        <w:t>אֲשֶׁר לֹא־מָשְׁכָה בְעֹל</w:t>
      </w:r>
      <w:r>
        <w:rPr>
          <w:rtl/>
        </w:rPr>
        <w:t xml:space="preserve"> </w:t>
      </w:r>
      <w:r>
        <w:t>(„die nicht gezogen hat im Joch") – sie war nie als Zugtier eingespannt. Diese Anforderungen erinnern an die rote Kuh in Num 19,2 (</w:t>
      </w:r>
      <w:r>
        <w:rPr>
          <w:rStyle w:val="Fett"/>
          <w:rFonts w:eastAsiaTheme="majorEastAsia"/>
          <w:rtl/>
        </w:rPr>
        <w:t>פָּרָה אֲדֻמָּה... אֲשֶׁר לֹא־עָלָה עָלֶיהָ עֹל</w:t>
      </w:r>
      <w:r>
        <w:t xml:space="preserve">, „rote Kuh... auf die kein Joch gekommen ist") und die Kühe in </w:t>
      </w:r>
      <w:r w:rsidR="00664EB6">
        <w:t>1Sam</w:t>
      </w:r>
      <w:r>
        <w:t xml:space="preserve"> 6,7 (</w:t>
      </w:r>
      <w:r>
        <w:rPr>
          <w:rStyle w:val="Fett"/>
          <w:rFonts w:eastAsiaTheme="majorEastAsia"/>
          <w:rtl/>
        </w:rPr>
        <w:t>פָּרוֹת עָלוֹת אֲשֶׁר לֹא־עָלָה עֲלֵיהֶם עֹל</w:t>
      </w:r>
      <w:r>
        <w:t>, „säugende Kühe, auf die kein Joch gekommen ist"). Ein noch nie benutztes, „jungfräuliches" Tier – geeignet für ein Sühnritual.</w:t>
      </w:r>
    </w:p>
    <w:p w14:paraId="544868DB" w14:textId="0948529B" w:rsidR="00D00836" w:rsidRDefault="00D00836" w:rsidP="00D0044F">
      <w:pPr>
        <w:pStyle w:val="whitespace-normal"/>
      </w:pPr>
      <w:r>
        <w:rPr>
          <w:rStyle w:val="Fett"/>
        </w:rPr>
        <w:t>Die LXX</w:t>
      </w:r>
      <w:r>
        <w:t xml:space="preserve"> übersetzt </w:t>
      </w:r>
      <w:r>
        <w:rPr>
          <w:rtl/>
        </w:rPr>
        <w:t>הַקְּרֹבָה</w:t>
      </w:r>
      <w:r>
        <w:t xml:space="preserve"> (die nahe ist) mit ἡ </w:t>
      </w:r>
      <w:proofErr w:type="spellStart"/>
      <w:r>
        <w:t>ἐλλίζουσ</w:t>
      </w:r>
      <w:proofErr w:type="spellEnd"/>
      <w:r>
        <w:t>α (die sich nähert) – ein Partizip Präsens, das eine aktivere Beziehung zur Leiche ausdrückt.</w:t>
      </w:r>
    </w:p>
    <w:p w14:paraId="394DB25E" w14:textId="77777777" w:rsidR="00D0044F" w:rsidRDefault="00D0044F" w:rsidP="00D0044F">
      <w:pPr>
        <w:pStyle w:val="whitespace-normal"/>
      </w:pPr>
      <w:r>
        <w:rPr>
          <w:rStyle w:val="Fett"/>
          <w:rFonts w:eastAsiaTheme="majorEastAsia"/>
        </w:rPr>
        <w:lastRenderedPageBreak/>
        <w:t>Die Satzstruktur:</w:t>
      </w:r>
      <w:r>
        <w:t xml:space="preserve"> Bestimmung mit Anweisung (und es wird sein: die Stadt, die nahe ist zum Erschlagenen, nehmen sollen die Ältesten jener Stadt eine junge Kuh, mit der nicht gearbeitet worden ist, die nicht gezogen hat im Joch).</w:t>
      </w:r>
    </w:p>
    <w:p w14:paraId="74C0963D" w14:textId="77777777" w:rsidR="00D0044F" w:rsidRDefault="00D0044F" w:rsidP="00D0044F">
      <w:pPr>
        <w:pStyle w:val="whitespace-normal"/>
      </w:pPr>
      <w:r>
        <w:t>Der Vers bestimmt: Die nächstgelegene Stadt – ihre Ältesten nehmen eine junge, noch nie benutzte Kuh.</w:t>
      </w:r>
    </w:p>
    <w:p w14:paraId="1B50970D" w14:textId="77777777" w:rsidR="00D0044F" w:rsidRPr="00B27A64" w:rsidRDefault="00D0044F" w:rsidP="00B27A64">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21,4</w:t>
      </w:r>
    </w:p>
    <w:p w14:paraId="7DBF8EFB" w14:textId="77777777" w:rsidR="00D0044F" w:rsidRDefault="00D0044F" w:rsidP="00D0044F">
      <w:pPr>
        <w:pStyle w:val="whitespace-normal"/>
      </w:pPr>
      <w:r>
        <w:rPr>
          <w:rStyle w:val="Fett"/>
          <w:rFonts w:eastAsiaTheme="majorEastAsia"/>
        </w:rPr>
        <w:t>Hebräisch:</w:t>
      </w:r>
      <w:r>
        <w:t xml:space="preserve"> </w:t>
      </w:r>
      <w:r>
        <w:rPr>
          <w:rtl/>
        </w:rPr>
        <w:t>וְהוֹרִ֡דוּ זִקְנֵי֩ הָעִ֨יר הַהִ֤וא אֶת־הָֽעֶגְלָה֙ אֶל־נַ֣חַל אֵיתָ֔ן אֲשֶׁ֛ר לֹא־יֵעָבֵ֥ד בּוֹ֖ וְלֹ֣א יִזָּרֵ֑עַ וְעָֽרְפוּ־שָׁ֥ם אֶת־הָעֶגְלָ֖ה בַּנָּֽחַל׃</w:t>
      </w:r>
    </w:p>
    <w:p w14:paraId="38DD3B67" w14:textId="77777777" w:rsidR="00D0044F" w:rsidRDefault="00D0044F" w:rsidP="00D0044F">
      <w:pPr>
        <w:pStyle w:val="whitespace-normal"/>
      </w:pPr>
      <w:r>
        <w:rPr>
          <w:rStyle w:val="Fett"/>
          <w:rFonts w:eastAsiaTheme="majorEastAsia"/>
        </w:rPr>
        <w:t>Deutsch:</w:t>
      </w:r>
      <w:r>
        <w:t xml:space="preserve"> Und die Ältesten jener Stadt sollen die junge Kuh zu einem immer fließenden Bach hinabführen, wo nicht gearbeitet und nicht gesät wird, und sollen der jungen Kuh dort im Bach das Genick brechen.</w:t>
      </w:r>
    </w:p>
    <w:p w14:paraId="1A3CC0F4" w14:textId="77777777" w:rsidR="00D0044F" w:rsidRDefault="004F5CEB" w:rsidP="00D0044F">
      <w:r>
        <w:rPr>
          <w:noProof/>
        </w:rPr>
        <w:pict w14:anchorId="6D357C75">
          <v:rect id="_x0000_i1576" style="width:0;height:1.5pt" o:hralign="center" o:hrstd="t" o:hr="t" fillcolor="#a0a0a0" stroked="f"/>
        </w:pict>
      </w:r>
    </w:p>
    <w:p w14:paraId="27C2FEA6" w14:textId="77777777" w:rsidR="00D0044F" w:rsidRDefault="00D0044F" w:rsidP="00D0044F">
      <w:pPr>
        <w:pStyle w:val="whitespace-normal"/>
      </w:pPr>
      <w:r>
        <w:rPr>
          <w:rStyle w:val="Fett"/>
          <w:rFonts w:eastAsiaTheme="majorEastAsia"/>
        </w:rPr>
        <w:t>Kommentar:</w:t>
      </w:r>
      <w:r>
        <w:t xml:space="preserve"> </w:t>
      </w:r>
      <w:r>
        <w:rPr>
          <w:rStyle w:val="Fett"/>
          <w:rFonts w:eastAsiaTheme="majorEastAsia"/>
          <w:rtl/>
        </w:rPr>
        <w:t>וְהוֹרִדוּ זִקְנֵי הָעִיר הַהִוא אֶת־הָעֶגְלָה אֶל־נַחַל אֵיתָן אֲשֶׁר לֹא־יֵעָבֵד בּוֹ וְלֹא יִזָּרֵעַ</w:t>
      </w:r>
      <w:r>
        <w:rPr>
          <w:rtl/>
        </w:rPr>
        <w:t xml:space="preserve"> </w:t>
      </w:r>
      <w:r>
        <w:t xml:space="preserve">ist die Handlung: </w:t>
      </w:r>
      <w:r>
        <w:rPr>
          <w:rStyle w:val="Fett"/>
          <w:rFonts w:eastAsiaTheme="majorEastAsia"/>
          <w:rtl/>
        </w:rPr>
        <w:t>וְהוֹרִדוּ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ירד</w:t>
      </w:r>
      <w:r>
        <w:t xml:space="preserve">, Hiphil Perfekt, 3. Person Plural, „hinabführen, hinabbringen" – das Hiphil ist kausativ: „veranlassen hinabzugehen", mit </w:t>
      </w:r>
      <w:r>
        <w:rPr>
          <w:rStyle w:val="Fett"/>
          <w:rFonts w:eastAsiaTheme="majorEastAsia"/>
        </w:rPr>
        <w:t>Waw</w:t>
      </w:r>
      <w:r>
        <w:t xml:space="preserve"> consecutives Perfekt), </w:t>
      </w:r>
      <w:r>
        <w:rPr>
          <w:rStyle w:val="Fett"/>
          <w:rFonts w:eastAsiaTheme="majorEastAsia"/>
          <w:rtl/>
        </w:rPr>
        <w:t>זִקְנֵי הָעִיר הַהִוא</w:t>
      </w:r>
      <w:r>
        <w:t xml:space="preserve">, </w:t>
      </w:r>
      <w:r>
        <w:rPr>
          <w:rStyle w:val="Fett"/>
          <w:rFonts w:eastAsiaTheme="majorEastAsia"/>
          <w:rtl/>
        </w:rPr>
        <w:t>אֶת־הָעֶגְלָה</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עֶגְלָה</w:t>
      </w:r>
      <w:r>
        <w:rPr>
          <w:rtl/>
        </w:rPr>
        <w:t xml:space="preserve"> </w:t>
      </w:r>
      <w:r>
        <w:t xml:space="preserve">mit Artikel), </w:t>
      </w:r>
      <w:r>
        <w:rPr>
          <w:rStyle w:val="Fett"/>
          <w:rFonts w:eastAsiaTheme="majorEastAsia"/>
          <w:rtl/>
        </w:rPr>
        <w:t>אֶל־נַחַל אֵיתָן</w:t>
      </w:r>
      <w:r>
        <w:rPr>
          <w:rtl/>
        </w:rPr>
        <w:t xml:space="preserve"> </w:t>
      </w:r>
      <w:r>
        <w:t xml:space="preserve">(Präposition </w:t>
      </w:r>
      <w:r>
        <w:rPr>
          <w:rStyle w:val="Fett"/>
          <w:rFonts w:eastAsiaTheme="majorEastAsia"/>
          <w:rtl/>
        </w:rPr>
        <w:t>אֶל</w:t>
      </w:r>
      <w:r>
        <w:rPr>
          <w:rtl/>
        </w:rPr>
        <w:t xml:space="preserve"> </w:t>
      </w:r>
      <w:r>
        <w:t xml:space="preserve">mit </w:t>
      </w:r>
      <w:r>
        <w:rPr>
          <w:rStyle w:val="Fett"/>
          <w:rFonts w:eastAsiaTheme="majorEastAsia"/>
          <w:rtl/>
        </w:rPr>
        <w:t>נַחַל</w:t>
      </w:r>
      <w:r>
        <w:t xml:space="preserve">, „Bach, Wadi, Flusstal", </w:t>
      </w:r>
      <w:r>
        <w:rPr>
          <w:rStyle w:val="Fett"/>
          <w:rFonts w:eastAsiaTheme="majorEastAsia"/>
          <w:rtl/>
        </w:rPr>
        <w:t>אֵיתָן</w:t>
      </w:r>
      <w:r>
        <w:t xml:space="preserve">, „beständig, ausdauernd, immer fließend" – Adjektiv von </w:t>
      </w:r>
      <w:r>
        <w:rPr>
          <w:rStyle w:val="Fett"/>
          <w:rFonts w:eastAsiaTheme="majorEastAsia"/>
          <w:rtl/>
        </w:rPr>
        <w:t>איתן</w:t>
      </w:r>
      <w:r>
        <w:t xml:space="preserve">, bezeichnet permanente Wasserquellen im Gegensatz zu saisonalen Wadis, vgl. Num 24,21; Am 5,24; Mi 6,2), </w:t>
      </w:r>
      <w:r>
        <w:rPr>
          <w:rStyle w:val="Fett"/>
          <w:rFonts w:eastAsiaTheme="majorEastAsia"/>
          <w:rtl/>
        </w:rPr>
        <w:t>אֲשֶׁר לֹא־יֵעָבֵד בּוֹ וְלֹא יִזָּרֵעַ</w:t>
      </w:r>
      <w:r>
        <w:rPr>
          <w:rtl/>
        </w:rPr>
        <w:t xml:space="preserve"> </w:t>
      </w:r>
      <w:r>
        <w:t xml:space="preserve">(Relativsatz: </w:t>
      </w:r>
      <w:r>
        <w:rPr>
          <w:rStyle w:val="Fett"/>
          <w:rFonts w:eastAsiaTheme="majorEastAsia"/>
          <w:rtl/>
        </w:rPr>
        <w:t>אֲשֶׁר</w:t>
      </w:r>
      <w:r>
        <w:rPr>
          <w:rtl/>
        </w:rPr>
        <w:t xml:space="preserve"> </w:t>
      </w:r>
      <w:r>
        <w:t xml:space="preserve">mit Negation, </w:t>
      </w:r>
      <w:r>
        <w:rPr>
          <w:rStyle w:val="Fett"/>
          <w:rFonts w:eastAsiaTheme="majorEastAsia"/>
          <w:rtl/>
        </w:rPr>
        <w:t>עבד</w:t>
      </w:r>
      <w:r>
        <w:t xml:space="preserve">, Niphal Imperfekt, 3. Person Maskulinum Singular, „gearbeitet werden" – das Niphal drückt hier Passiv aus, </w:t>
      </w:r>
      <w:r>
        <w:rPr>
          <w:rStyle w:val="Fett"/>
          <w:rFonts w:eastAsiaTheme="majorEastAsia"/>
          <w:rtl/>
        </w:rPr>
        <w:t>בּוֹ</w:t>
      </w:r>
      <w:r>
        <w:t xml:space="preserve">, Präposition </w:t>
      </w:r>
      <w:r>
        <w:rPr>
          <w:rStyle w:val="Fett"/>
          <w:rFonts w:eastAsiaTheme="majorEastAsia"/>
          <w:rtl/>
        </w:rPr>
        <w:t>בְּ</w:t>
      </w:r>
      <w:r>
        <w:rPr>
          <w:rtl/>
        </w:rPr>
        <w:t xml:space="preserve"> </w:t>
      </w:r>
      <w:r>
        <w:t xml:space="preserve">mit Suffix 3. Person Maskulinum Singular bezogen auf </w:t>
      </w:r>
      <w:r>
        <w:rPr>
          <w:rStyle w:val="Fett"/>
          <w:rFonts w:eastAsiaTheme="majorEastAsia"/>
          <w:rtl/>
        </w:rPr>
        <w:t>נַחַל</w:t>
      </w:r>
      <w:r>
        <w:t xml:space="preserve">, koordiniert durch </w:t>
      </w:r>
      <w:r>
        <w:rPr>
          <w:rStyle w:val="Fett"/>
          <w:rFonts w:eastAsiaTheme="majorEastAsia"/>
          <w:rtl/>
        </w:rPr>
        <w:t>וְ</w:t>
      </w:r>
      <w:r>
        <w:rPr>
          <w:rtl/>
        </w:rPr>
        <w:t xml:space="preserve"> </w:t>
      </w:r>
      <w:r>
        <w:t xml:space="preserve">mit Negation, </w:t>
      </w:r>
      <w:r>
        <w:rPr>
          <w:rStyle w:val="Fett"/>
          <w:rFonts w:eastAsiaTheme="majorEastAsia"/>
          <w:rtl/>
        </w:rPr>
        <w:t>זרע</w:t>
      </w:r>
      <w:r>
        <w:t>, Niphal Imperfekt, 3. Person Maskulinum Singular, „gesät werden").</w:t>
      </w:r>
    </w:p>
    <w:p w14:paraId="7EAFEE02" w14:textId="77777777" w:rsidR="00D0044F" w:rsidRDefault="00D0044F" w:rsidP="00D0044F">
      <w:pPr>
        <w:pStyle w:val="whitespace-normal"/>
      </w:pPr>
      <w:r>
        <w:rPr>
          <w:rStyle w:val="Fett"/>
          <w:rFonts w:eastAsiaTheme="majorEastAsia"/>
          <w:rtl/>
        </w:rPr>
        <w:t>וְעָרְפוּ־שָׁם אֶת־הָעֶגְלָה בַּנָּחַל</w:t>
      </w:r>
      <w:r>
        <w:rPr>
          <w:rtl/>
        </w:rPr>
        <w:t xml:space="preserve"> </w:t>
      </w:r>
      <w:r>
        <w:t xml:space="preserve">ist die rituelle Handlung: </w:t>
      </w:r>
      <w:r>
        <w:rPr>
          <w:rStyle w:val="Fett"/>
          <w:rFonts w:eastAsiaTheme="majorEastAsia"/>
          <w:rtl/>
        </w:rPr>
        <w:t>וְעָרְפוּ־שָׁם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ערף</w:t>
      </w:r>
      <w:r>
        <w:t xml:space="preserve">, Qal Perfekt, 3. Person Plural, „das Genick brechen" – technischer Terminus für diese Tötungsart, nicht Schlachten, </w:t>
      </w:r>
      <w:r>
        <w:rPr>
          <w:rStyle w:val="Fett"/>
          <w:rFonts w:eastAsiaTheme="majorEastAsia"/>
          <w:rtl/>
        </w:rPr>
        <w:t>שָׁם</w:t>
      </w:r>
      <w:r>
        <w:t xml:space="preserve">, „dort", mit </w:t>
      </w:r>
      <w:r>
        <w:rPr>
          <w:rStyle w:val="Fett"/>
          <w:rFonts w:eastAsiaTheme="majorEastAsia"/>
        </w:rPr>
        <w:t>Waw</w:t>
      </w:r>
      <w:r>
        <w:t xml:space="preserve"> consecutives Perfekt), </w:t>
      </w:r>
      <w:r>
        <w:rPr>
          <w:rStyle w:val="Fett"/>
          <w:rFonts w:eastAsiaTheme="majorEastAsia"/>
          <w:rtl/>
        </w:rPr>
        <w:t>אֶת־הָעֶגְלָה</w:t>
      </w:r>
      <w:r>
        <w:rPr>
          <w:rtl/>
        </w:rPr>
        <w:t xml:space="preserve"> </w:t>
      </w:r>
      <w:r>
        <w:t xml:space="preserve">(Objektpartikel mit </w:t>
      </w:r>
      <w:r>
        <w:rPr>
          <w:rStyle w:val="Fett"/>
          <w:rFonts w:eastAsiaTheme="majorEastAsia"/>
          <w:rtl/>
        </w:rPr>
        <w:t>עֶגְלָה</w:t>
      </w:r>
      <w:r>
        <w:rPr>
          <w:rtl/>
        </w:rPr>
        <w:t xml:space="preserve"> </w:t>
      </w:r>
      <w:r>
        <w:t xml:space="preserve">mit Artikel), </w:t>
      </w:r>
      <w:r>
        <w:rPr>
          <w:rStyle w:val="Fett"/>
          <w:rFonts w:eastAsiaTheme="majorEastAsia"/>
          <w:rtl/>
        </w:rPr>
        <w:t>בַּנָּחַל</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נַחַל</w:t>
      </w:r>
      <w:r>
        <w:rPr>
          <w:rtl/>
        </w:rPr>
        <w:t xml:space="preserve"> </w:t>
      </w:r>
      <w:r>
        <w:t>mit Artikel, „im Bach").</w:t>
      </w:r>
    </w:p>
    <w:p w14:paraId="3E4ABC69" w14:textId="3BEA38D6" w:rsidR="00D0044F" w:rsidRDefault="00D0044F" w:rsidP="00D0044F">
      <w:pPr>
        <w:pStyle w:val="whitespace-normal"/>
      </w:pPr>
      <w:r>
        <w:t xml:space="preserve">Der Vers beschreibt das Ritual: (1) Die Ältesten führen die Kuh </w:t>
      </w:r>
      <w:r>
        <w:rPr>
          <w:rStyle w:val="Fett"/>
          <w:rFonts w:eastAsiaTheme="majorEastAsia"/>
        </w:rPr>
        <w:t>hinab</w:t>
      </w:r>
      <w:r>
        <w:t xml:space="preserve"> (</w:t>
      </w:r>
      <w:r>
        <w:rPr>
          <w:rStyle w:val="Fett"/>
          <w:rFonts w:eastAsiaTheme="majorEastAsia"/>
          <w:rtl/>
        </w:rPr>
        <w:t>הוֹרִדוּ</w:t>
      </w:r>
      <w:r>
        <w:t xml:space="preserve">) zu einem </w:t>
      </w:r>
      <w:r>
        <w:rPr>
          <w:rStyle w:val="Fett"/>
          <w:rFonts w:eastAsiaTheme="majorEastAsia"/>
          <w:rtl/>
        </w:rPr>
        <w:t>נַחַל אֵיתָן</w:t>
      </w:r>
      <w:r>
        <w:rPr>
          <w:rtl/>
        </w:rPr>
        <w:t xml:space="preserve"> </w:t>
      </w:r>
      <w:r>
        <w:t xml:space="preserve">(„immer fließender Bach"). Das Adjektiv </w:t>
      </w:r>
      <w:r>
        <w:rPr>
          <w:rStyle w:val="Fett"/>
          <w:rFonts w:eastAsiaTheme="majorEastAsia"/>
          <w:rtl/>
        </w:rPr>
        <w:t>אֵיתָן</w:t>
      </w:r>
      <w:r>
        <w:rPr>
          <w:rtl/>
        </w:rPr>
        <w:t xml:space="preserve"> </w:t>
      </w:r>
      <w:r>
        <w:t xml:space="preserve">bezeichnet Wasserquellen, die nie versiegen (vgl. Jer 5,15; 49,19; 50,44 für die Bedeutung „stark, dauerhaft"). (2) Der Ort muss </w:t>
      </w:r>
      <w:r>
        <w:rPr>
          <w:rStyle w:val="Fett"/>
          <w:rFonts w:eastAsiaTheme="majorEastAsia"/>
          <w:rtl/>
        </w:rPr>
        <w:t>אֲשֶׁר לֹא־יֵעָבֵד בּוֹ וְלֹא יִזָּרֵעַ</w:t>
      </w:r>
      <w:r>
        <w:rPr>
          <w:rtl/>
        </w:rPr>
        <w:t xml:space="preserve"> </w:t>
      </w:r>
      <w:r>
        <w:t xml:space="preserve">(„wo nicht gearbeitet und nicht gesät wird") sein – unbenutztes, unkultiviertes Land, kein Ackerland. Die beiden Niphal-Formen drücken generelle Praxis aus: „wo üblicherweise nicht gearbeitet/gesät wird". (3) Dort wird der Kuh </w:t>
      </w:r>
      <w:r>
        <w:rPr>
          <w:rStyle w:val="Fett"/>
          <w:rFonts w:eastAsiaTheme="majorEastAsia"/>
        </w:rPr>
        <w:t>das Genick gebrochen</w:t>
      </w:r>
      <w:r>
        <w:t xml:space="preserve"> (</w:t>
      </w:r>
      <w:r>
        <w:rPr>
          <w:rStyle w:val="Fett"/>
          <w:rFonts w:eastAsiaTheme="majorEastAsia"/>
          <w:rtl/>
        </w:rPr>
        <w:t>עָרְפוּ</w:t>
      </w:r>
      <w:r>
        <w:t xml:space="preserve">). Das Verb </w:t>
      </w:r>
      <w:r>
        <w:rPr>
          <w:rStyle w:val="Fett"/>
          <w:rFonts w:eastAsiaTheme="majorEastAsia"/>
          <w:rtl/>
        </w:rPr>
        <w:t>ערף</w:t>
      </w:r>
      <w:r>
        <w:rPr>
          <w:rtl/>
        </w:rPr>
        <w:t xml:space="preserve"> </w:t>
      </w:r>
      <w:r>
        <w:t>(„das Genick brechen") ist technisch (vgl. Ex 13,13; 34,20; Jes 66,3; Hos 10,2). Die Mischna (Sota 9,5) beschreibt: Mit einem Beil auf den Nacken schlagen, um das Genick zu brechen. Dies ist KEIN Opfer – kein Altar, kein Blutsprengung, keine Verbrennung – sondern ein Sühnritual. Die Kombination: unbenutzte Kuh + unbearbeiteter Ort + fließendes Wasser schafft einen Raum der Reinheit für die Sühne.</w:t>
      </w:r>
    </w:p>
    <w:p w14:paraId="239347EE" w14:textId="5FECE12B" w:rsidR="00D00836" w:rsidRDefault="00D00836" w:rsidP="00D0044F">
      <w:pPr>
        <w:pStyle w:val="whitespace-normal"/>
      </w:pPr>
      <w:r>
        <w:rPr>
          <w:rStyle w:val="Fett"/>
        </w:rPr>
        <w:lastRenderedPageBreak/>
        <w:t>Die LXX</w:t>
      </w:r>
      <w:r>
        <w:t xml:space="preserve"> übersetzt </w:t>
      </w:r>
      <w:r>
        <w:rPr>
          <w:rtl/>
        </w:rPr>
        <w:t>נַחַל אֵיתָן</w:t>
      </w:r>
      <w:r>
        <w:t xml:space="preserve"> (ein beständiger/immer fließender Bach) mit </w:t>
      </w:r>
      <w:proofErr w:type="spellStart"/>
      <w:r>
        <w:t>φάρ</w:t>
      </w:r>
      <w:proofErr w:type="spellEnd"/>
      <w:r>
        <w:t xml:space="preserve">αγγα </w:t>
      </w:r>
      <w:proofErr w:type="spellStart"/>
      <w:r>
        <w:t>τρ</w:t>
      </w:r>
      <w:proofErr w:type="spellEnd"/>
      <w:r>
        <w:t xml:space="preserve">αχεῖαν (eine raue/unwegsame Schlucht) – eine Verschiebung von der Wasserqualität zur Geländebeschaffenheit. Das Verb </w:t>
      </w:r>
      <w:proofErr w:type="spellStart"/>
      <w:r>
        <w:t>νευροκο</w:t>
      </w:r>
      <w:proofErr w:type="spellEnd"/>
      <w:r>
        <w:t xml:space="preserve">πήσουσιν (das Genick durchschlagen) für </w:t>
      </w:r>
      <w:r>
        <w:rPr>
          <w:rtl/>
        </w:rPr>
        <w:t>וְעָרְפוּ</w:t>
      </w:r>
      <w:r>
        <w:t xml:space="preserve"> ist ein präziser technischer Terminus.</w:t>
      </w:r>
    </w:p>
    <w:p w14:paraId="542AE162" w14:textId="77777777" w:rsidR="00D0044F" w:rsidRDefault="00D0044F" w:rsidP="00D0044F">
      <w:pPr>
        <w:pStyle w:val="whitespace-normal"/>
      </w:pPr>
      <w:r>
        <w:rPr>
          <w:rStyle w:val="Fett"/>
          <w:rFonts w:eastAsiaTheme="majorEastAsia"/>
        </w:rPr>
        <w:t>Die Satzstruktur:</w:t>
      </w:r>
      <w:r>
        <w:t xml:space="preserve"> Handlung mit ritueller Handlung (hinabführen sollen die Ältesten jener Stadt die junge Kuh zu einem Bach, einem immerfließenden, wo nicht gearbeitet wird in ihm und nicht gesät wird; und das Genick brechen sollen dort der jungen Kuh im Bach).</w:t>
      </w:r>
    </w:p>
    <w:p w14:paraId="0C155342" w14:textId="77777777" w:rsidR="00D0044F" w:rsidRDefault="00D0044F" w:rsidP="00D0044F">
      <w:pPr>
        <w:pStyle w:val="whitespace-normal"/>
      </w:pPr>
      <w:r>
        <w:t>Der Vers beschreibt: Die Ältesten führen die Kuh zu einem immerfließenden, unbenutzten Bach und brechen ihr dort das Genick.</w:t>
      </w:r>
    </w:p>
    <w:p w14:paraId="2927B89C" w14:textId="77777777" w:rsidR="00D0044F" w:rsidRPr="00B27A64" w:rsidRDefault="00D0044F" w:rsidP="00D0044F">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21,5</w:t>
      </w:r>
    </w:p>
    <w:p w14:paraId="73E203E6" w14:textId="77777777" w:rsidR="00D0044F" w:rsidRDefault="00D0044F" w:rsidP="00D0044F">
      <w:pPr>
        <w:pStyle w:val="whitespace-normal"/>
      </w:pPr>
      <w:r>
        <w:rPr>
          <w:rStyle w:val="Fett"/>
          <w:rFonts w:eastAsiaTheme="majorEastAsia"/>
        </w:rPr>
        <w:t>Hebräisch:</w:t>
      </w:r>
      <w:r>
        <w:t xml:space="preserve"> </w:t>
      </w:r>
      <w:r>
        <w:rPr>
          <w:rtl/>
        </w:rPr>
        <w:t>וְנִגְּשׁ֣וּ הַכֹּהֲנִים֮ בְּנֵ֣י לֵוִי֒ כִּ֣י בָ֗ם בָּחַ֞ר יְהוָ֤ה אֱלֹהֶ֨יךָ֙ לְשָׁ֣רְתֹ֔ו וּלְבָרֵ֖ךְ בְּשֵׁ֣ם יְהוָ֑ה וְעַל־פִּיהֶ֥ם יִהְיֶ֖ה כָּל־רִ֥יב וְכָל־נָֽגַע׃</w:t>
      </w:r>
    </w:p>
    <w:p w14:paraId="40BC767B" w14:textId="77777777" w:rsidR="00D0044F" w:rsidRDefault="00D0044F" w:rsidP="00D0044F">
      <w:pPr>
        <w:pStyle w:val="whitespace-normal"/>
      </w:pPr>
      <w:r>
        <w:rPr>
          <w:rStyle w:val="Fett"/>
          <w:rFonts w:eastAsiaTheme="majorEastAsia"/>
        </w:rPr>
        <w:t>Deutsch:</w:t>
      </w:r>
      <w:r>
        <w:t xml:space="preserve"> Und die Priester, die Söhne Levis, sollen hertreten; denn sie hat der Ewige, dein Gott, erwählt, ihm zu dienen und im Namen des Ewigen zu segnen, und nach ihrem Ausspruch soll bei jedem Rechtsstreit und bei jedem Verletzungsverfahren gehandelt werden.</w:t>
      </w:r>
    </w:p>
    <w:p w14:paraId="191A2421" w14:textId="77777777" w:rsidR="00D0044F" w:rsidRDefault="004F5CEB" w:rsidP="00D0044F">
      <w:r>
        <w:rPr>
          <w:noProof/>
        </w:rPr>
        <w:pict w14:anchorId="37F48845">
          <v:rect id="_x0000_i1577" style="width:0;height:1.5pt" o:hralign="center" o:hrstd="t" o:hr="t" fillcolor="#a0a0a0" stroked="f"/>
        </w:pict>
      </w:r>
    </w:p>
    <w:p w14:paraId="1AE8B87E" w14:textId="77777777" w:rsidR="00D0044F" w:rsidRDefault="00D0044F" w:rsidP="00D0044F">
      <w:pPr>
        <w:pStyle w:val="whitespace-normal"/>
      </w:pPr>
      <w:r>
        <w:rPr>
          <w:rStyle w:val="Fett"/>
          <w:rFonts w:eastAsiaTheme="majorEastAsia"/>
        </w:rPr>
        <w:t>Kommentar:</w:t>
      </w:r>
      <w:r>
        <w:t xml:space="preserve"> </w:t>
      </w:r>
      <w:r>
        <w:rPr>
          <w:rStyle w:val="Fett"/>
          <w:rFonts w:eastAsiaTheme="majorEastAsia"/>
          <w:rtl/>
        </w:rPr>
        <w:t>וְנִגְּשׁוּ הַכֹּהֲנִים בְּנֵי לֵוִי</w:t>
      </w:r>
      <w:r>
        <w:rPr>
          <w:rtl/>
        </w:rPr>
        <w:t xml:space="preserve"> </w:t>
      </w:r>
      <w:r>
        <w:t xml:space="preserve">ist die Handlung: </w:t>
      </w:r>
      <w:r>
        <w:rPr>
          <w:rStyle w:val="Fett"/>
          <w:rFonts w:eastAsiaTheme="majorEastAsia"/>
          <w:rtl/>
        </w:rPr>
        <w:t>וְנִגְּשׁוּ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נגשׁ</w:t>
      </w:r>
      <w:r>
        <w:t xml:space="preserve">, Niphal Perfekt, 3. Person Plural, „herantreten, hinzutreten" – das Niphal hier reflexiv: „sich nähern", mit </w:t>
      </w:r>
      <w:r>
        <w:rPr>
          <w:rStyle w:val="Fett"/>
          <w:rFonts w:eastAsiaTheme="majorEastAsia"/>
        </w:rPr>
        <w:t>Waw</w:t>
      </w:r>
      <w:r>
        <w:t xml:space="preserve"> consecutives Perfekt), </w:t>
      </w:r>
      <w:r>
        <w:rPr>
          <w:rStyle w:val="Fett"/>
          <w:rFonts w:eastAsiaTheme="majorEastAsia"/>
          <w:rtl/>
        </w:rPr>
        <w:t>הַכֹּהֲנִים בְּנֵי לֵוִי</w:t>
      </w:r>
      <w:r>
        <w:rPr>
          <w:rtl/>
        </w:rPr>
        <w:t xml:space="preserve"> </w:t>
      </w:r>
      <w:r>
        <w:t>(</w:t>
      </w:r>
      <w:r>
        <w:rPr>
          <w:rStyle w:val="Fett"/>
          <w:rFonts w:eastAsiaTheme="majorEastAsia"/>
          <w:rtl/>
        </w:rPr>
        <w:t>כֹּהֵן</w:t>
      </w:r>
      <w:r>
        <w:t xml:space="preserve">, Plural mit Artikel, </w:t>
      </w:r>
      <w:r>
        <w:rPr>
          <w:rStyle w:val="Fett"/>
          <w:rFonts w:eastAsiaTheme="majorEastAsia"/>
          <w:rtl/>
        </w:rPr>
        <w:t>בֵּן</w:t>
      </w:r>
      <w:r>
        <w:t xml:space="preserve">, Plural Construct mit </w:t>
      </w:r>
      <w:r>
        <w:rPr>
          <w:rStyle w:val="Fett"/>
          <w:rFonts w:eastAsiaTheme="majorEastAsia"/>
          <w:rtl/>
        </w:rPr>
        <w:t>לֵוִי</w:t>
      </w:r>
      <w:r>
        <w:rPr>
          <w:rtl/>
        </w:rPr>
        <w:t xml:space="preserve"> </w:t>
      </w:r>
      <w:r>
        <w:t>– „die Priester, die Söhne Levis" ist deuteronomische Standardbezeichnung für levitische Priester, vgl. 17,9.18; 18,1; 24,8; 27,9; 31,9; Jos 3,3; 8,33).</w:t>
      </w:r>
    </w:p>
    <w:p w14:paraId="6CFA7D95" w14:textId="77777777" w:rsidR="00D0044F" w:rsidRDefault="00D0044F" w:rsidP="00D0044F">
      <w:pPr>
        <w:pStyle w:val="whitespace-normal"/>
      </w:pPr>
      <w:r>
        <w:rPr>
          <w:rStyle w:val="Fett"/>
          <w:rFonts w:eastAsiaTheme="majorEastAsia"/>
          <w:rtl/>
        </w:rPr>
        <w:t>כִּי בָם בָּחַר יְהוָה אֱלֹהֶיךָ לְשָׁרְתוֹ וּלְבָרֵךְ בְּשֵׁם יְהוָה</w:t>
      </w:r>
      <w:r>
        <w:rPr>
          <w:rtl/>
        </w:rPr>
        <w:t xml:space="preserve"> </w:t>
      </w:r>
      <w:r>
        <w:t xml:space="preserve">ist die erste Begründung: </w:t>
      </w:r>
      <w:r>
        <w:rPr>
          <w:rStyle w:val="Fett"/>
          <w:rFonts w:eastAsiaTheme="majorEastAsia"/>
          <w:rtl/>
        </w:rPr>
        <w:t>כִּי בָם בָּחַר יְהוָה אֱלֹהֶיךָ</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בָּם</w:t>
      </w:r>
      <w:r>
        <w:t xml:space="preserve">, Präposition </w:t>
      </w:r>
      <w:r>
        <w:rPr>
          <w:rStyle w:val="Fett"/>
          <w:rFonts w:eastAsiaTheme="majorEastAsia"/>
          <w:rtl/>
        </w:rPr>
        <w:t>בְּ</w:t>
      </w:r>
      <w:r>
        <w:rPr>
          <w:rtl/>
        </w:rPr>
        <w:t xml:space="preserve"> </w:t>
      </w:r>
      <w:r>
        <w:t xml:space="preserve">mit Suffix 3. Person Plural, </w:t>
      </w:r>
      <w:r>
        <w:rPr>
          <w:rStyle w:val="Fett"/>
          <w:rFonts w:eastAsiaTheme="majorEastAsia"/>
          <w:rtl/>
        </w:rPr>
        <w:t>בחר</w:t>
      </w:r>
      <w:r>
        <w:t xml:space="preserve">, Qal Perfekt, 3. Person Maskulinum Singular, „wählen, erwählen" – technischer Terminus für göttliche Erwählung, </w:t>
      </w:r>
      <w:r>
        <w:rPr>
          <w:rStyle w:val="Fett"/>
          <w:rFonts w:eastAsiaTheme="majorEastAsia"/>
          <w:rtl/>
        </w:rPr>
        <w:t>יְהוָה אֱלֹהֶיךָ</w:t>
      </w:r>
      <w:r>
        <w:rPr>
          <w:rtl/>
        </w:rPr>
        <w:t xml:space="preserve"> </w:t>
      </w:r>
      <w:r>
        <w:t xml:space="preserve">als Subjekt), </w:t>
      </w:r>
      <w:r>
        <w:rPr>
          <w:rStyle w:val="Fett"/>
          <w:rFonts w:eastAsiaTheme="majorEastAsia"/>
          <w:rtl/>
        </w:rPr>
        <w:t>לְשָׁרְתוֹ</w:t>
      </w:r>
      <w:r>
        <w:rPr>
          <w:rtl/>
        </w:rPr>
        <w:t xml:space="preserve"> </w:t>
      </w:r>
      <w:r>
        <w:t xml:space="preserve">(Präposition </w:t>
      </w:r>
      <w:r>
        <w:rPr>
          <w:rStyle w:val="Fett"/>
          <w:rFonts w:eastAsiaTheme="majorEastAsia"/>
          <w:rtl/>
        </w:rPr>
        <w:t>לְ</w:t>
      </w:r>
      <w:r>
        <w:rPr>
          <w:rtl/>
        </w:rPr>
        <w:t xml:space="preserve"> </w:t>
      </w:r>
      <w:r>
        <w:t xml:space="preserve">mit Piel Infinitiv Construct von </w:t>
      </w:r>
      <w:r>
        <w:rPr>
          <w:rStyle w:val="Fett"/>
          <w:rFonts w:eastAsiaTheme="majorEastAsia"/>
          <w:rtl/>
        </w:rPr>
        <w:t>שׁרת</w:t>
      </w:r>
      <w:r>
        <w:t xml:space="preserve">, „dienen, Dienst tun" – speziell kultischer Dienst, mit Suffix 3. Person Maskulinum Singular), </w:t>
      </w:r>
      <w:r>
        <w:rPr>
          <w:rStyle w:val="Fett"/>
          <w:rFonts w:eastAsiaTheme="majorEastAsia"/>
          <w:rtl/>
        </w:rPr>
        <w:t>וּלְבָרֵךְ בְּשֵׁם יְהוָה</w:t>
      </w:r>
      <w:r>
        <w:rPr>
          <w:rtl/>
        </w:rPr>
        <w:t xml:space="preserve"> </w:t>
      </w:r>
      <w:r>
        <w:t xml:space="preserve">(koordiniert durch </w:t>
      </w:r>
      <w:r>
        <w:rPr>
          <w:rStyle w:val="Fett"/>
          <w:rFonts w:eastAsiaTheme="majorEastAsia"/>
          <w:rtl/>
        </w:rPr>
        <w:t>וּ</w:t>
      </w:r>
      <w:r>
        <w:rPr>
          <w:rtl/>
        </w:rPr>
        <w:t xml:space="preserve"> </w:t>
      </w:r>
      <w:r>
        <w:t xml:space="preserve">mit Präposition </w:t>
      </w:r>
      <w:r>
        <w:rPr>
          <w:rStyle w:val="Fett"/>
          <w:rFonts w:eastAsiaTheme="majorEastAsia"/>
          <w:rtl/>
        </w:rPr>
        <w:t>לְ</w:t>
      </w:r>
      <w:r>
        <w:rPr>
          <w:rtl/>
        </w:rPr>
        <w:t xml:space="preserve"> </w:t>
      </w:r>
      <w:r>
        <w:t xml:space="preserve">und Piel Infinitiv Construct von </w:t>
      </w:r>
      <w:r>
        <w:rPr>
          <w:rStyle w:val="Fett"/>
          <w:rFonts w:eastAsiaTheme="majorEastAsia"/>
          <w:rtl/>
        </w:rPr>
        <w:t>ברך</w:t>
      </w:r>
      <w:r>
        <w:t xml:space="preserve">, „segnen", </w:t>
      </w:r>
      <w:r>
        <w:rPr>
          <w:rStyle w:val="Fett"/>
          <w:rFonts w:eastAsiaTheme="majorEastAsia"/>
          <w:rtl/>
        </w:rPr>
        <w:t>בְּשֵׁם יְהוָה</w:t>
      </w:r>
      <w:r>
        <w:t xml:space="preserve">, Präposition </w:t>
      </w:r>
      <w:r>
        <w:rPr>
          <w:rStyle w:val="Fett"/>
          <w:rFonts w:eastAsiaTheme="majorEastAsia"/>
          <w:rtl/>
        </w:rPr>
        <w:t>בְּ</w:t>
      </w:r>
      <w:r>
        <w:rPr>
          <w:rtl/>
        </w:rPr>
        <w:t xml:space="preserve"> </w:t>
      </w:r>
      <w:r>
        <w:t xml:space="preserve">mit </w:t>
      </w:r>
      <w:r>
        <w:rPr>
          <w:rStyle w:val="Fett"/>
          <w:rFonts w:eastAsiaTheme="majorEastAsia"/>
          <w:rtl/>
        </w:rPr>
        <w:t>שֵׁם</w:t>
      </w:r>
      <w:r>
        <w:t xml:space="preserve">, Construct mit </w:t>
      </w:r>
      <w:r>
        <w:rPr>
          <w:rStyle w:val="Fett"/>
          <w:rFonts w:eastAsiaTheme="majorEastAsia"/>
          <w:rtl/>
        </w:rPr>
        <w:t>יְהוָה</w:t>
      </w:r>
      <w:r>
        <w:rPr>
          <w:rtl/>
        </w:rPr>
        <w:t xml:space="preserve"> </w:t>
      </w:r>
      <w:r>
        <w:t>– „im Namen JHWHs" bedeutet als JHWHs Repräsentanten, mit JHWHs Autorität, vgl. Num 6,22-27; Dtn 10,8).</w:t>
      </w:r>
    </w:p>
    <w:p w14:paraId="60B0A5BA" w14:textId="77777777" w:rsidR="00D0044F" w:rsidRDefault="00D0044F" w:rsidP="00D0044F">
      <w:pPr>
        <w:pStyle w:val="whitespace-normal"/>
      </w:pPr>
      <w:r>
        <w:rPr>
          <w:rStyle w:val="Fett"/>
          <w:rFonts w:eastAsiaTheme="majorEastAsia"/>
          <w:rtl/>
        </w:rPr>
        <w:t>וְעַל־פִּיהֶם יִהְיֶה כָּל־רִיב וְכָל־נָגַע</w:t>
      </w:r>
      <w:r>
        <w:rPr>
          <w:rtl/>
        </w:rPr>
        <w:t xml:space="preserve"> </w:t>
      </w:r>
      <w:r>
        <w:t xml:space="preserve">ist die zweite Begründung: </w:t>
      </w:r>
      <w:r>
        <w:rPr>
          <w:rStyle w:val="Fett"/>
          <w:rFonts w:eastAsiaTheme="majorEastAsia"/>
          <w:rtl/>
        </w:rPr>
        <w:t>וְעַל־פִּיהֶם</w:t>
      </w:r>
      <w:r>
        <w:rPr>
          <w:rtl/>
        </w:rPr>
        <w:t xml:space="preserve"> </w:t>
      </w:r>
      <w:r>
        <w:t xml:space="preserve">(koordiniert durch </w:t>
      </w:r>
      <w:r>
        <w:rPr>
          <w:rStyle w:val="Fett"/>
          <w:rFonts w:eastAsiaTheme="majorEastAsia"/>
          <w:rtl/>
        </w:rPr>
        <w:t>וְ</w:t>
      </w:r>
      <w:r>
        <w:rPr>
          <w:rtl/>
        </w:rPr>
        <w:t xml:space="preserve"> </w:t>
      </w:r>
      <w:r>
        <w:t xml:space="preserve">mit Präposition </w:t>
      </w:r>
      <w:r>
        <w:rPr>
          <w:rStyle w:val="Fett"/>
          <w:rFonts w:eastAsiaTheme="majorEastAsia"/>
          <w:rtl/>
        </w:rPr>
        <w:t>עַל</w:t>
      </w:r>
      <w:r>
        <w:t xml:space="preserve">, „auf, nach", </w:t>
      </w:r>
      <w:r>
        <w:rPr>
          <w:rStyle w:val="Fett"/>
          <w:rFonts w:eastAsiaTheme="majorEastAsia"/>
          <w:rtl/>
        </w:rPr>
        <w:t>פֶּה</w:t>
      </w:r>
      <w:r>
        <w:t xml:space="preserve">, „Mund", mit Suffix 3. Person Plural – idiomatisch: „nach ihrem Mund" = „nach ihrem Ausspruch/Urteil"), </w:t>
      </w:r>
      <w:r>
        <w:rPr>
          <w:rStyle w:val="Fett"/>
          <w:rFonts w:eastAsiaTheme="majorEastAsia"/>
          <w:rtl/>
        </w:rPr>
        <w:t>יִהְיֶה</w:t>
      </w:r>
      <w:r>
        <w:rPr>
          <w:rtl/>
        </w:rPr>
        <w:t xml:space="preserve"> </w:t>
      </w:r>
      <w:r>
        <w:t xml:space="preserve">(Qal Imperfekt, 3. Person Maskulinum Singular von </w:t>
      </w:r>
      <w:r>
        <w:rPr>
          <w:rStyle w:val="Fett"/>
          <w:rFonts w:eastAsiaTheme="majorEastAsia"/>
          <w:rtl/>
        </w:rPr>
        <w:t>היה</w:t>
      </w:r>
      <w:r>
        <w:t xml:space="preserve">, „sein" – hier: „entschieden werden"), </w:t>
      </w:r>
      <w:r>
        <w:rPr>
          <w:rStyle w:val="Fett"/>
          <w:rFonts w:eastAsiaTheme="majorEastAsia"/>
          <w:rtl/>
        </w:rPr>
        <w:t>כָּל־רִיב וְכָל־נָגַע</w:t>
      </w:r>
      <w:r>
        <w:rPr>
          <w:rtl/>
        </w:rPr>
        <w:t xml:space="preserve"> </w:t>
      </w:r>
      <w:r>
        <w:t>(</w:t>
      </w:r>
      <w:r>
        <w:rPr>
          <w:rStyle w:val="Fett"/>
          <w:rFonts w:eastAsiaTheme="majorEastAsia"/>
          <w:rtl/>
        </w:rPr>
        <w:t>כֹּל</w:t>
      </w:r>
      <w:r>
        <w:t xml:space="preserve">, Construct mit </w:t>
      </w:r>
      <w:r>
        <w:rPr>
          <w:rStyle w:val="Fett"/>
          <w:rFonts w:eastAsiaTheme="majorEastAsia"/>
          <w:rtl/>
        </w:rPr>
        <w:t>רִיב</w:t>
      </w:r>
      <w:r>
        <w:t xml:space="preserve">, „Rechtsstreit, Streitfall", koordiniert durch </w:t>
      </w:r>
      <w:r>
        <w:rPr>
          <w:rStyle w:val="Fett"/>
          <w:rFonts w:eastAsiaTheme="majorEastAsia"/>
          <w:rtl/>
        </w:rPr>
        <w:t>וְ</w:t>
      </w:r>
      <w:r>
        <w:rPr>
          <w:rtl/>
        </w:rPr>
        <w:t xml:space="preserve"> </w:t>
      </w:r>
      <w:r>
        <w:t xml:space="preserve">mit </w:t>
      </w:r>
      <w:r>
        <w:rPr>
          <w:rStyle w:val="Fett"/>
          <w:rFonts w:eastAsiaTheme="majorEastAsia"/>
          <w:rtl/>
        </w:rPr>
        <w:t>כֹּל</w:t>
      </w:r>
      <w:r>
        <w:t xml:space="preserve">, Construct mit </w:t>
      </w:r>
      <w:r>
        <w:rPr>
          <w:rStyle w:val="Fett"/>
          <w:rFonts w:eastAsiaTheme="majorEastAsia"/>
          <w:rtl/>
        </w:rPr>
        <w:t>נֶגַע</w:t>
      </w:r>
      <w:r>
        <w:t>, „Schlag, Plage, Verletzung" – hier wahrscheinlich: Körperverletzungsfälle oder rituelle Unreinheitsfälle, vgl. 17,8).</w:t>
      </w:r>
    </w:p>
    <w:p w14:paraId="73D2C049" w14:textId="424A9C4E" w:rsidR="00D0044F" w:rsidRDefault="00D0044F" w:rsidP="00D0044F">
      <w:pPr>
        <w:pStyle w:val="whitespace-normal"/>
      </w:pPr>
      <w:r>
        <w:lastRenderedPageBreak/>
        <w:t xml:space="preserve">Der Vers fügt die priesterliche Autorität hinzu: Die </w:t>
      </w:r>
      <w:r>
        <w:rPr>
          <w:rStyle w:val="Fett"/>
          <w:rFonts w:eastAsiaTheme="majorEastAsia"/>
          <w:rtl/>
        </w:rPr>
        <w:t>כֹּהֲנִים בְּנֵי לֵוִי</w:t>
      </w:r>
      <w:r>
        <w:rPr>
          <w:rtl/>
        </w:rPr>
        <w:t xml:space="preserve"> </w:t>
      </w:r>
      <w:r>
        <w:t>treten hinzu (</w:t>
      </w:r>
      <w:r>
        <w:rPr>
          <w:rStyle w:val="Fett"/>
          <w:rFonts w:eastAsiaTheme="majorEastAsia"/>
          <w:rtl/>
        </w:rPr>
        <w:t>נִגְּשׁוּ</w:t>
      </w:r>
      <w:r>
        <w:t xml:space="preserve">). Ihre Anwesenheit legitimiert das Ritual. Die dreifache Begründung ihrer Autorität: (1) </w:t>
      </w:r>
      <w:r>
        <w:rPr>
          <w:rStyle w:val="Fett"/>
          <w:rFonts w:eastAsiaTheme="majorEastAsia"/>
          <w:rtl/>
        </w:rPr>
        <w:t>כִּי בָם בָּחַר יְהוָה</w:t>
      </w:r>
      <w:r>
        <w:rPr>
          <w:rtl/>
        </w:rPr>
        <w:t xml:space="preserve"> </w:t>
      </w:r>
      <w:r>
        <w:t xml:space="preserve">(„denn sie hat JHWH erwählt") – göttliche Erwählung (vgl. 18,5; Num 16,5.7; 17,20), (2) </w:t>
      </w:r>
      <w:r>
        <w:rPr>
          <w:rStyle w:val="Fett"/>
          <w:rFonts w:eastAsiaTheme="majorEastAsia"/>
          <w:rtl/>
        </w:rPr>
        <w:t>לְשָׁרְתוֹ</w:t>
      </w:r>
      <w:r>
        <w:rPr>
          <w:rtl/>
        </w:rPr>
        <w:t xml:space="preserve"> </w:t>
      </w:r>
      <w:r>
        <w:t xml:space="preserve">(„ihm zu dienen") – kultischer Dienst, (3) </w:t>
      </w:r>
      <w:r>
        <w:rPr>
          <w:rStyle w:val="Fett"/>
          <w:rFonts w:eastAsiaTheme="majorEastAsia"/>
          <w:rtl/>
        </w:rPr>
        <w:t>וּלְבָרֵךְ בְּשֵׁם יְהוָה</w:t>
      </w:r>
      <w:r>
        <w:rPr>
          <w:rtl/>
        </w:rPr>
        <w:t xml:space="preserve"> </w:t>
      </w:r>
      <w:r>
        <w:t xml:space="preserve">(„im Namen JHWHs zu segnen") – Segnungsautorität. Die Formel </w:t>
      </w:r>
      <w:r>
        <w:rPr>
          <w:rStyle w:val="Fett"/>
          <w:rFonts w:eastAsiaTheme="majorEastAsia"/>
          <w:rtl/>
        </w:rPr>
        <w:t>וְעַל־פִּיהֶם יִהְיֶה כָּל־רִיב וְכָל־נָגַע</w:t>
      </w:r>
      <w:r>
        <w:rPr>
          <w:rtl/>
        </w:rPr>
        <w:t xml:space="preserve"> </w:t>
      </w:r>
      <w:r>
        <w:t>betont ihre juridische Autorität in schwierigen Fällen (vgl. 17,8-9; 19,17). Die Priester sind hier Zeugen und Garanten der rituellen Korrektheit, nicht die Ausführenden (die Ältesten brechen das Genick, V. 4.6).</w:t>
      </w:r>
    </w:p>
    <w:p w14:paraId="435B434A" w14:textId="7DEA6B5D" w:rsidR="00D00836" w:rsidRDefault="00D00836" w:rsidP="00D0044F">
      <w:pPr>
        <w:pStyle w:val="whitespace-normal"/>
      </w:pPr>
      <w:r>
        <w:rPr>
          <w:rStyle w:val="Fett"/>
        </w:rPr>
        <w:t>Die LXX</w:t>
      </w:r>
      <w:r>
        <w:t xml:space="preserve"> fügt πα</w:t>
      </w:r>
      <w:proofErr w:type="spellStart"/>
      <w:r>
        <w:t>ρεστηκέν</w:t>
      </w:r>
      <w:proofErr w:type="spellEnd"/>
      <w:r>
        <w:t xml:space="preserve">αι (dazustehen, zu dienen) für </w:t>
      </w:r>
      <w:r>
        <w:rPr>
          <w:rtl/>
        </w:rPr>
        <w:t>לְשָׁרְתוֹ</w:t>
      </w:r>
      <w:r>
        <w:t xml:space="preserve"> hinzu, wobei πα</w:t>
      </w:r>
      <w:proofErr w:type="spellStart"/>
      <w:r>
        <w:t>ρίστημι</w:t>
      </w:r>
      <w:proofErr w:type="spellEnd"/>
      <w:r>
        <w:t xml:space="preserve"> den liturgischen Dienst betont.</w:t>
      </w:r>
    </w:p>
    <w:p w14:paraId="7727AA0D" w14:textId="77777777" w:rsidR="00D0044F" w:rsidRDefault="00D0044F" w:rsidP="00D0044F">
      <w:pPr>
        <w:pStyle w:val="whitespace-normal"/>
      </w:pPr>
      <w:r>
        <w:rPr>
          <w:rStyle w:val="Fett"/>
          <w:rFonts w:eastAsiaTheme="majorEastAsia"/>
        </w:rPr>
        <w:t>Die Satzstruktur:</w:t>
      </w:r>
      <w:r>
        <w:t xml:space="preserve"> Handlung mit doppelter Begründung (herantreten sollen die Priester, die Söhne Levis; denn sie hat erwählt JHWH, dein Gott, um zu dienen ihm und zu segnen im Namen JHWHs; und nach ihrem Ausspruch sein soll jeder Rechtsstreit und jede Verletzung).</w:t>
      </w:r>
    </w:p>
    <w:p w14:paraId="47B3A68A" w14:textId="77777777" w:rsidR="00D0044F" w:rsidRDefault="00D0044F" w:rsidP="00D0044F">
      <w:pPr>
        <w:pStyle w:val="whitespace-normal"/>
      </w:pPr>
      <w:r>
        <w:t>Der Vers fügt hinzu: Die levitischen Priester treten hinzu – denn JHWH hat sie erwählt, und nach ihrem Ausspruch werden alle Rechtsstreitigkeiten entschieden.</w:t>
      </w:r>
    </w:p>
    <w:p w14:paraId="143001E8" w14:textId="77777777" w:rsidR="00D0044F" w:rsidRPr="00B27A64" w:rsidRDefault="00D0044F" w:rsidP="00D0044F">
      <w:pPr>
        <w:spacing w:before="100" w:beforeAutospacing="1" w:after="100" w:afterAutospacing="1" w:line="240" w:lineRule="auto"/>
        <w:outlineLvl w:val="0"/>
        <w:rPr>
          <w:rFonts w:eastAsia="Times New Roman"/>
          <w:b/>
          <w:bCs/>
          <w:kern w:val="36"/>
          <w:sz w:val="36"/>
          <w:szCs w:val="36"/>
          <w:lang w:eastAsia="de-DE"/>
        </w:rPr>
      </w:pPr>
      <w:r w:rsidRPr="00B27A64">
        <w:rPr>
          <w:rFonts w:eastAsia="Times New Roman"/>
          <w:b/>
          <w:bCs/>
          <w:kern w:val="36"/>
          <w:sz w:val="36"/>
          <w:szCs w:val="36"/>
          <w:lang w:eastAsia="de-DE"/>
        </w:rPr>
        <w:t>Deuteronomium 21,6</w:t>
      </w:r>
    </w:p>
    <w:p w14:paraId="10C5D50F" w14:textId="77777777"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b/>
          <w:bCs/>
          <w:lang w:eastAsia="de-DE"/>
        </w:rPr>
        <w:t>Hebräisch:</w:t>
      </w:r>
      <w:r w:rsidRPr="00D0044F">
        <w:rPr>
          <w:rFonts w:eastAsia="Times New Roman"/>
          <w:lang w:eastAsia="de-DE"/>
        </w:rPr>
        <w:t xml:space="preserve"> </w:t>
      </w:r>
      <w:r w:rsidRPr="00D0044F">
        <w:rPr>
          <w:rFonts w:eastAsia="Times New Roman"/>
          <w:rtl/>
          <w:lang w:eastAsia="de-DE"/>
        </w:rPr>
        <w:t>וְכֹ֗ל זִקְנֵי֙ הָעִ֣יר הַהִ֔וא הַקְּרֹבִ֖ים אֶל־הֶחָלָ֑ל יִרְחֲצוּ֙ אֶת־יְדֵיהֶ֔ם עַל־הָעֶגְלָ֖ה הָעֲרוּפָ֥ה בַנָּֽחַל׃</w:t>
      </w:r>
    </w:p>
    <w:p w14:paraId="108B67A2" w14:textId="77777777"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b/>
          <w:bCs/>
          <w:lang w:eastAsia="de-DE"/>
        </w:rPr>
        <w:t>Deutsch:</w:t>
      </w:r>
      <w:r w:rsidRPr="00D0044F">
        <w:rPr>
          <w:rFonts w:eastAsia="Times New Roman"/>
          <w:lang w:eastAsia="de-DE"/>
        </w:rPr>
        <w:t xml:space="preserve"> Und alle Ältesten jener Stadt, die dem Erschlagenen am nächsten sind, sollen ihre Hände über der jungen Kuh waschen, der im Bach das Genick gebrochen wurde.</w:t>
      </w:r>
    </w:p>
    <w:p w14:paraId="4F137AC2" w14:textId="77777777" w:rsidR="00D0044F" w:rsidRPr="00D0044F" w:rsidRDefault="004F5CEB" w:rsidP="00D0044F">
      <w:pPr>
        <w:spacing w:after="0" w:line="240" w:lineRule="auto"/>
        <w:rPr>
          <w:rFonts w:eastAsia="Times New Roman"/>
          <w:lang w:eastAsia="de-DE"/>
        </w:rPr>
      </w:pPr>
      <w:r>
        <w:rPr>
          <w:rFonts w:eastAsia="Times New Roman"/>
          <w:noProof/>
          <w:lang w:eastAsia="de-DE"/>
        </w:rPr>
        <w:pict w14:anchorId="7E8A01CF">
          <v:rect id="_x0000_i1578" style="width:0;height:1.5pt" o:hralign="center" o:hrstd="t" o:hr="t" fillcolor="#a0a0a0" stroked="f"/>
        </w:pict>
      </w:r>
    </w:p>
    <w:p w14:paraId="39593433" w14:textId="77777777"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b/>
          <w:bCs/>
          <w:lang w:eastAsia="de-DE"/>
        </w:rPr>
        <w:t>Kommentar:</w:t>
      </w:r>
      <w:r w:rsidRPr="00D0044F">
        <w:rPr>
          <w:rFonts w:eastAsia="Times New Roman"/>
          <w:lang w:eastAsia="de-DE"/>
        </w:rPr>
        <w:t xml:space="preserve"> </w:t>
      </w:r>
      <w:r w:rsidRPr="00D0044F">
        <w:rPr>
          <w:rFonts w:eastAsia="Times New Roman"/>
          <w:b/>
          <w:bCs/>
          <w:rtl/>
          <w:lang w:eastAsia="de-DE"/>
        </w:rPr>
        <w:t>וְכֹל זִקְנֵי הָעִיר הַהִוא הַקְּרֹבִים אֶל־הֶחָלָל</w:t>
      </w:r>
      <w:r w:rsidRPr="00D0044F">
        <w:rPr>
          <w:rFonts w:eastAsia="Times New Roman"/>
          <w:rtl/>
          <w:lang w:eastAsia="de-DE"/>
        </w:rPr>
        <w:t xml:space="preserve"> </w:t>
      </w:r>
      <w:r w:rsidRPr="00D0044F">
        <w:rPr>
          <w:rFonts w:eastAsia="Times New Roman"/>
          <w:lang w:eastAsia="de-DE"/>
        </w:rPr>
        <w:t xml:space="preserve">ist das Subjekt: </w:t>
      </w:r>
      <w:r w:rsidRPr="00D0044F">
        <w:rPr>
          <w:rFonts w:eastAsia="Times New Roman"/>
          <w:b/>
          <w:bCs/>
          <w:rtl/>
          <w:lang w:eastAsia="de-DE"/>
        </w:rPr>
        <w:t>וְכֹל</w:t>
      </w:r>
      <w:r w:rsidRPr="00D0044F">
        <w:rPr>
          <w:rFonts w:eastAsia="Times New Roman"/>
          <w:rtl/>
          <w:lang w:eastAsia="de-DE"/>
        </w:rPr>
        <w:t xml:space="preserve"> </w:t>
      </w:r>
      <w:r w:rsidRPr="00D0044F">
        <w:rPr>
          <w:rFonts w:eastAsia="Times New Roman"/>
          <w:lang w:eastAsia="de-DE"/>
        </w:rPr>
        <w:t xml:space="preserve">(koordiniert durch </w:t>
      </w:r>
      <w:r w:rsidRPr="00D0044F">
        <w:rPr>
          <w:rFonts w:eastAsia="Times New Roman"/>
          <w:b/>
          <w:bCs/>
          <w:rtl/>
          <w:lang w:eastAsia="de-DE"/>
        </w:rPr>
        <w:t>וְ</w:t>
      </w:r>
      <w:r w:rsidRPr="00D0044F">
        <w:rPr>
          <w:rFonts w:eastAsia="Times New Roman"/>
          <w:rtl/>
          <w:lang w:eastAsia="de-DE"/>
        </w:rPr>
        <w:t xml:space="preserve"> </w:t>
      </w:r>
      <w:r w:rsidRPr="00D0044F">
        <w:rPr>
          <w:rFonts w:eastAsia="Times New Roman"/>
          <w:lang w:eastAsia="de-DE"/>
        </w:rPr>
        <w:t xml:space="preserve">mit </w:t>
      </w:r>
      <w:r w:rsidRPr="00D0044F">
        <w:rPr>
          <w:rFonts w:eastAsia="Times New Roman"/>
          <w:b/>
          <w:bCs/>
          <w:rtl/>
          <w:lang w:eastAsia="de-DE"/>
        </w:rPr>
        <w:t>כֹּל</w:t>
      </w:r>
      <w:r w:rsidRPr="00D0044F">
        <w:rPr>
          <w:rFonts w:eastAsia="Times New Roman"/>
          <w:lang w:eastAsia="de-DE"/>
        </w:rPr>
        <w:t xml:space="preserve">, „alle"), </w:t>
      </w:r>
      <w:r w:rsidRPr="00D0044F">
        <w:rPr>
          <w:rFonts w:eastAsia="Times New Roman"/>
          <w:b/>
          <w:bCs/>
          <w:rtl/>
          <w:lang w:eastAsia="de-DE"/>
        </w:rPr>
        <w:t>זִקְנֵי הָעִיר הַהִוא</w:t>
      </w:r>
      <w:r w:rsidRPr="00D0044F">
        <w:rPr>
          <w:rFonts w:eastAsia="Times New Roman"/>
          <w:rtl/>
          <w:lang w:eastAsia="de-DE"/>
        </w:rPr>
        <w:t xml:space="preserve"> </w:t>
      </w:r>
      <w:r w:rsidRPr="00D0044F">
        <w:rPr>
          <w:rFonts w:eastAsia="Times New Roman"/>
          <w:lang w:eastAsia="de-DE"/>
        </w:rPr>
        <w:t>(</w:t>
      </w:r>
      <w:r w:rsidRPr="00D0044F">
        <w:rPr>
          <w:rFonts w:eastAsia="Times New Roman"/>
          <w:b/>
          <w:bCs/>
          <w:rtl/>
          <w:lang w:eastAsia="de-DE"/>
        </w:rPr>
        <w:t>זָקֵן</w:t>
      </w:r>
      <w:r w:rsidRPr="00D0044F">
        <w:rPr>
          <w:rFonts w:eastAsia="Times New Roman"/>
          <w:lang w:eastAsia="de-DE"/>
        </w:rPr>
        <w:t xml:space="preserve">, Plural Construct mit </w:t>
      </w:r>
      <w:r w:rsidRPr="00D0044F">
        <w:rPr>
          <w:rFonts w:eastAsia="Times New Roman"/>
          <w:b/>
          <w:bCs/>
          <w:rtl/>
          <w:lang w:eastAsia="de-DE"/>
        </w:rPr>
        <w:t>עִיר</w:t>
      </w:r>
      <w:r w:rsidRPr="00D0044F">
        <w:rPr>
          <w:rFonts w:eastAsia="Times New Roman"/>
          <w:rtl/>
          <w:lang w:eastAsia="de-DE"/>
        </w:rPr>
        <w:t xml:space="preserve"> </w:t>
      </w:r>
      <w:r w:rsidRPr="00D0044F">
        <w:rPr>
          <w:rFonts w:eastAsia="Times New Roman"/>
          <w:lang w:eastAsia="de-DE"/>
        </w:rPr>
        <w:t xml:space="preserve">mit Artikel und Demonstrativpronomen </w:t>
      </w:r>
      <w:r w:rsidRPr="00D0044F">
        <w:rPr>
          <w:rFonts w:eastAsia="Times New Roman"/>
          <w:b/>
          <w:bCs/>
          <w:rtl/>
          <w:lang w:eastAsia="de-DE"/>
        </w:rPr>
        <w:t>הִוא</w:t>
      </w:r>
      <w:r w:rsidRPr="00D0044F">
        <w:rPr>
          <w:rFonts w:eastAsia="Times New Roman"/>
          <w:lang w:eastAsia="de-DE"/>
        </w:rPr>
        <w:t xml:space="preserve">), </w:t>
      </w:r>
      <w:r w:rsidRPr="00D0044F">
        <w:rPr>
          <w:rFonts w:eastAsia="Times New Roman"/>
          <w:b/>
          <w:bCs/>
          <w:rtl/>
          <w:lang w:eastAsia="de-DE"/>
        </w:rPr>
        <w:t>הַקְּרֹבִים אֶל־הֶחָלָל</w:t>
      </w:r>
      <w:r w:rsidRPr="00D0044F">
        <w:rPr>
          <w:rFonts w:eastAsia="Times New Roman"/>
          <w:rtl/>
          <w:lang w:eastAsia="de-DE"/>
        </w:rPr>
        <w:t xml:space="preserve"> </w:t>
      </w:r>
      <w:r w:rsidRPr="00D0044F">
        <w:rPr>
          <w:rFonts w:eastAsia="Times New Roman"/>
          <w:lang w:eastAsia="de-DE"/>
        </w:rPr>
        <w:t xml:space="preserve">(Qal Partizip Plural von </w:t>
      </w:r>
      <w:r w:rsidRPr="00D0044F">
        <w:rPr>
          <w:rFonts w:eastAsia="Times New Roman"/>
          <w:b/>
          <w:bCs/>
          <w:rtl/>
          <w:lang w:eastAsia="de-DE"/>
        </w:rPr>
        <w:t>קרב</w:t>
      </w:r>
      <w:r w:rsidRPr="00D0044F">
        <w:rPr>
          <w:rFonts w:eastAsia="Times New Roman"/>
          <w:lang w:eastAsia="de-DE"/>
        </w:rPr>
        <w:t xml:space="preserve">, „nahe sein", mit Artikel, als attributives Adjektiv, Präposition </w:t>
      </w:r>
      <w:r w:rsidRPr="00D0044F">
        <w:rPr>
          <w:rFonts w:eastAsia="Times New Roman"/>
          <w:b/>
          <w:bCs/>
          <w:rtl/>
          <w:lang w:eastAsia="de-DE"/>
        </w:rPr>
        <w:t>אֶל</w:t>
      </w:r>
      <w:r w:rsidRPr="00D0044F">
        <w:rPr>
          <w:rFonts w:eastAsia="Times New Roman"/>
          <w:rtl/>
          <w:lang w:eastAsia="de-DE"/>
        </w:rPr>
        <w:t xml:space="preserve"> </w:t>
      </w:r>
      <w:r w:rsidRPr="00D0044F">
        <w:rPr>
          <w:rFonts w:eastAsia="Times New Roman"/>
          <w:lang w:eastAsia="de-DE"/>
        </w:rPr>
        <w:t xml:space="preserve">mit </w:t>
      </w:r>
      <w:r w:rsidRPr="00D0044F">
        <w:rPr>
          <w:rFonts w:eastAsia="Times New Roman"/>
          <w:b/>
          <w:bCs/>
          <w:rtl/>
          <w:lang w:eastAsia="de-DE"/>
        </w:rPr>
        <w:t>חָלָל</w:t>
      </w:r>
      <w:r w:rsidRPr="00D0044F">
        <w:rPr>
          <w:rFonts w:eastAsia="Times New Roman"/>
          <w:rtl/>
          <w:lang w:eastAsia="de-DE"/>
        </w:rPr>
        <w:t xml:space="preserve"> </w:t>
      </w:r>
      <w:r w:rsidRPr="00D0044F">
        <w:rPr>
          <w:rFonts w:eastAsia="Times New Roman"/>
          <w:lang w:eastAsia="de-DE"/>
        </w:rPr>
        <w:t>mit Artikel).</w:t>
      </w:r>
    </w:p>
    <w:p w14:paraId="2E346C8F" w14:textId="77777777"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b/>
          <w:bCs/>
          <w:rtl/>
          <w:lang w:eastAsia="de-DE"/>
        </w:rPr>
        <w:t>יִרְחֲצוּ אֶת־יְדֵיהֶם עַל־הָעֶגְלָה הָעֲרוּפָה בַנָּחַל</w:t>
      </w:r>
      <w:r w:rsidRPr="00D0044F">
        <w:rPr>
          <w:rFonts w:eastAsia="Times New Roman"/>
          <w:rtl/>
          <w:lang w:eastAsia="de-DE"/>
        </w:rPr>
        <w:t xml:space="preserve"> </w:t>
      </w:r>
      <w:r w:rsidRPr="00D0044F">
        <w:rPr>
          <w:rFonts w:eastAsia="Times New Roman"/>
          <w:lang w:eastAsia="de-DE"/>
        </w:rPr>
        <w:t xml:space="preserve">ist die Handlung: </w:t>
      </w:r>
      <w:r w:rsidRPr="00D0044F">
        <w:rPr>
          <w:rFonts w:eastAsia="Times New Roman"/>
          <w:b/>
          <w:bCs/>
          <w:rtl/>
          <w:lang w:eastAsia="de-DE"/>
        </w:rPr>
        <w:t>יִרְחֲצוּ</w:t>
      </w:r>
      <w:r w:rsidRPr="00D0044F">
        <w:rPr>
          <w:rFonts w:eastAsia="Times New Roman"/>
          <w:rtl/>
          <w:lang w:eastAsia="de-DE"/>
        </w:rPr>
        <w:t xml:space="preserve"> </w:t>
      </w:r>
      <w:r w:rsidRPr="00D0044F">
        <w:rPr>
          <w:rFonts w:eastAsia="Times New Roman"/>
          <w:lang w:eastAsia="de-DE"/>
        </w:rPr>
        <w:t xml:space="preserve">(Qal Imperfekt, 3. Person Plural von </w:t>
      </w:r>
      <w:r w:rsidRPr="00D0044F">
        <w:rPr>
          <w:rFonts w:eastAsia="Times New Roman"/>
          <w:b/>
          <w:bCs/>
          <w:rtl/>
          <w:lang w:eastAsia="de-DE"/>
        </w:rPr>
        <w:t>רחץ</w:t>
      </w:r>
      <w:r w:rsidRPr="00D0044F">
        <w:rPr>
          <w:rFonts w:eastAsia="Times New Roman"/>
          <w:lang w:eastAsia="de-DE"/>
        </w:rPr>
        <w:t xml:space="preserve">, „waschen, sich waschen" – rituelles Waschen), </w:t>
      </w:r>
      <w:r w:rsidRPr="00D0044F">
        <w:rPr>
          <w:rFonts w:eastAsia="Times New Roman"/>
          <w:b/>
          <w:bCs/>
          <w:rtl/>
          <w:lang w:eastAsia="de-DE"/>
        </w:rPr>
        <w:t>אֶת־יְדֵיהֶם</w:t>
      </w:r>
      <w:r w:rsidRPr="00D0044F">
        <w:rPr>
          <w:rFonts w:eastAsia="Times New Roman"/>
          <w:rtl/>
          <w:lang w:eastAsia="de-DE"/>
        </w:rPr>
        <w:t xml:space="preserve"> </w:t>
      </w:r>
      <w:r w:rsidRPr="00D0044F">
        <w:rPr>
          <w:rFonts w:eastAsia="Times New Roman"/>
          <w:lang w:eastAsia="de-DE"/>
        </w:rPr>
        <w:t xml:space="preserve">(Objektpartikel </w:t>
      </w:r>
      <w:r w:rsidRPr="00D0044F">
        <w:rPr>
          <w:rFonts w:eastAsia="Times New Roman"/>
          <w:b/>
          <w:bCs/>
          <w:rtl/>
          <w:lang w:eastAsia="de-DE"/>
        </w:rPr>
        <w:t>אֵת</w:t>
      </w:r>
      <w:r w:rsidRPr="00D0044F">
        <w:rPr>
          <w:rFonts w:eastAsia="Times New Roman"/>
          <w:rtl/>
          <w:lang w:eastAsia="de-DE"/>
        </w:rPr>
        <w:t xml:space="preserve"> </w:t>
      </w:r>
      <w:r w:rsidRPr="00D0044F">
        <w:rPr>
          <w:rFonts w:eastAsia="Times New Roman"/>
          <w:lang w:eastAsia="de-DE"/>
        </w:rPr>
        <w:t xml:space="preserve">mit </w:t>
      </w:r>
      <w:r w:rsidRPr="00D0044F">
        <w:rPr>
          <w:rFonts w:eastAsia="Times New Roman"/>
          <w:b/>
          <w:bCs/>
          <w:rtl/>
          <w:lang w:eastAsia="de-DE"/>
        </w:rPr>
        <w:t>יָד</w:t>
      </w:r>
      <w:r w:rsidRPr="00D0044F">
        <w:rPr>
          <w:rFonts w:eastAsia="Times New Roman"/>
          <w:lang w:eastAsia="de-DE"/>
        </w:rPr>
        <w:t xml:space="preserve">, „Hand", Dual mit Suffix 3. Person Plural – der Dual betont beide Hände), </w:t>
      </w:r>
      <w:r w:rsidRPr="00D0044F">
        <w:rPr>
          <w:rFonts w:eastAsia="Times New Roman"/>
          <w:b/>
          <w:bCs/>
          <w:rtl/>
          <w:lang w:eastAsia="de-DE"/>
        </w:rPr>
        <w:t>עַל־הָעֶגְלָה הָעֲרוּפָה בַנָּחַל</w:t>
      </w:r>
      <w:r w:rsidRPr="00D0044F">
        <w:rPr>
          <w:rFonts w:eastAsia="Times New Roman"/>
          <w:rtl/>
          <w:lang w:eastAsia="de-DE"/>
        </w:rPr>
        <w:t xml:space="preserve"> </w:t>
      </w:r>
      <w:r w:rsidRPr="00D0044F">
        <w:rPr>
          <w:rFonts w:eastAsia="Times New Roman"/>
          <w:lang w:eastAsia="de-DE"/>
        </w:rPr>
        <w:t xml:space="preserve">(Präposition </w:t>
      </w:r>
      <w:r w:rsidRPr="00D0044F">
        <w:rPr>
          <w:rFonts w:eastAsia="Times New Roman"/>
          <w:b/>
          <w:bCs/>
          <w:rtl/>
          <w:lang w:eastAsia="de-DE"/>
        </w:rPr>
        <w:t>עַל</w:t>
      </w:r>
      <w:r w:rsidRPr="00D0044F">
        <w:rPr>
          <w:rFonts w:eastAsia="Times New Roman"/>
          <w:lang w:eastAsia="de-DE"/>
        </w:rPr>
        <w:t xml:space="preserve">, „über", mit </w:t>
      </w:r>
      <w:r w:rsidRPr="00D0044F">
        <w:rPr>
          <w:rFonts w:eastAsia="Times New Roman"/>
          <w:b/>
          <w:bCs/>
          <w:rtl/>
          <w:lang w:eastAsia="de-DE"/>
        </w:rPr>
        <w:t>עֶגְלָה</w:t>
      </w:r>
      <w:r w:rsidRPr="00D0044F">
        <w:rPr>
          <w:rFonts w:eastAsia="Times New Roman"/>
          <w:rtl/>
          <w:lang w:eastAsia="de-DE"/>
        </w:rPr>
        <w:t xml:space="preserve"> </w:t>
      </w:r>
      <w:r w:rsidRPr="00D0044F">
        <w:rPr>
          <w:rFonts w:eastAsia="Times New Roman"/>
          <w:lang w:eastAsia="de-DE"/>
        </w:rPr>
        <w:t xml:space="preserve">mit Artikel, Qal Partizip Passiv Femininum Singular von </w:t>
      </w:r>
      <w:r w:rsidRPr="00D0044F">
        <w:rPr>
          <w:rFonts w:eastAsia="Times New Roman"/>
          <w:b/>
          <w:bCs/>
          <w:rtl/>
          <w:lang w:eastAsia="de-DE"/>
        </w:rPr>
        <w:t>ערף</w:t>
      </w:r>
      <w:r w:rsidRPr="00D0044F">
        <w:rPr>
          <w:rFonts w:eastAsia="Times New Roman"/>
          <w:lang w:eastAsia="de-DE"/>
        </w:rPr>
        <w:t xml:space="preserve">, „das Genick gebrochen", mit Artikel, als attributives Adjektiv, </w:t>
      </w:r>
      <w:r w:rsidRPr="00D0044F">
        <w:rPr>
          <w:rFonts w:eastAsia="Times New Roman"/>
          <w:b/>
          <w:bCs/>
          <w:rtl/>
          <w:lang w:eastAsia="de-DE"/>
        </w:rPr>
        <w:t>בַנָּחַל</w:t>
      </w:r>
      <w:r w:rsidRPr="00D0044F">
        <w:rPr>
          <w:rFonts w:eastAsia="Times New Roman"/>
          <w:lang w:eastAsia="de-DE"/>
        </w:rPr>
        <w:t xml:space="preserve">, Präposition </w:t>
      </w:r>
      <w:r w:rsidRPr="00D0044F">
        <w:rPr>
          <w:rFonts w:eastAsia="Times New Roman"/>
          <w:b/>
          <w:bCs/>
          <w:rtl/>
          <w:lang w:eastAsia="de-DE"/>
        </w:rPr>
        <w:t>בְּ</w:t>
      </w:r>
      <w:r w:rsidRPr="00D0044F">
        <w:rPr>
          <w:rFonts w:eastAsia="Times New Roman"/>
          <w:rtl/>
          <w:lang w:eastAsia="de-DE"/>
        </w:rPr>
        <w:t xml:space="preserve"> </w:t>
      </w:r>
      <w:r w:rsidRPr="00D0044F">
        <w:rPr>
          <w:rFonts w:eastAsia="Times New Roman"/>
          <w:lang w:eastAsia="de-DE"/>
        </w:rPr>
        <w:t xml:space="preserve">mit </w:t>
      </w:r>
      <w:r w:rsidRPr="00D0044F">
        <w:rPr>
          <w:rFonts w:eastAsia="Times New Roman"/>
          <w:b/>
          <w:bCs/>
          <w:rtl/>
          <w:lang w:eastAsia="de-DE"/>
        </w:rPr>
        <w:t>נַחַל</w:t>
      </w:r>
      <w:r w:rsidRPr="00D0044F">
        <w:rPr>
          <w:rFonts w:eastAsia="Times New Roman"/>
          <w:rtl/>
          <w:lang w:eastAsia="de-DE"/>
        </w:rPr>
        <w:t xml:space="preserve"> </w:t>
      </w:r>
      <w:r w:rsidRPr="00D0044F">
        <w:rPr>
          <w:rFonts w:eastAsia="Times New Roman"/>
          <w:lang w:eastAsia="de-DE"/>
        </w:rPr>
        <w:t>mit Artikel).</w:t>
      </w:r>
    </w:p>
    <w:p w14:paraId="2C35703C" w14:textId="4701970D"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lang w:eastAsia="de-DE"/>
        </w:rPr>
        <w:t xml:space="preserve">Der Vers beschreibt die symbolische Handlung der Ältesten: Sie waschen ihre Hände </w:t>
      </w:r>
      <w:r w:rsidRPr="00D0044F">
        <w:rPr>
          <w:rFonts w:eastAsia="Times New Roman"/>
          <w:b/>
          <w:bCs/>
          <w:lang w:eastAsia="de-DE"/>
        </w:rPr>
        <w:t>über</w:t>
      </w:r>
      <w:r w:rsidRPr="00D0044F">
        <w:rPr>
          <w:rFonts w:eastAsia="Times New Roman"/>
          <w:lang w:eastAsia="de-DE"/>
        </w:rPr>
        <w:t xml:space="preserve"> (</w:t>
      </w:r>
      <w:r w:rsidRPr="00D0044F">
        <w:rPr>
          <w:rFonts w:eastAsia="Times New Roman"/>
          <w:b/>
          <w:bCs/>
          <w:rtl/>
          <w:lang w:eastAsia="de-DE"/>
        </w:rPr>
        <w:t>עַל</w:t>
      </w:r>
      <w:r w:rsidRPr="00D0044F">
        <w:rPr>
          <w:rFonts w:eastAsia="Times New Roman"/>
          <w:lang w:eastAsia="de-DE"/>
        </w:rPr>
        <w:t xml:space="preserve">) der toten Kuh. Das Verb </w:t>
      </w:r>
      <w:r w:rsidRPr="00D0044F">
        <w:rPr>
          <w:rFonts w:eastAsia="Times New Roman"/>
          <w:b/>
          <w:bCs/>
          <w:rtl/>
          <w:lang w:eastAsia="de-DE"/>
        </w:rPr>
        <w:t>רחץ</w:t>
      </w:r>
      <w:r w:rsidRPr="00D0044F">
        <w:rPr>
          <w:rFonts w:eastAsia="Times New Roman"/>
          <w:rtl/>
          <w:lang w:eastAsia="de-DE"/>
        </w:rPr>
        <w:t xml:space="preserve"> </w:t>
      </w:r>
      <w:r w:rsidRPr="00D0044F">
        <w:rPr>
          <w:rFonts w:eastAsia="Times New Roman"/>
          <w:lang w:eastAsia="de-DE"/>
        </w:rPr>
        <w:t xml:space="preserve">(„waschen") wird für rituelles Waschen verwendet (vgl. Gen 18,4; 19,2; 24,32; 43,24; Ex 2,5; 29,4.17; 30,19.21; 40,12.31.32; </w:t>
      </w:r>
      <w:r w:rsidR="00AA14B9">
        <w:rPr>
          <w:rFonts w:eastAsia="Times New Roman"/>
          <w:lang w:eastAsia="de-DE"/>
        </w:rPr>
        <w:t>Lev</w:t>
      </w:r>
      <w:r w:rsidRPr="00D0044F">
        <w:rPr>
          <w:rFonts w:eastAsia="Times New Roman"/>
          <w:lang w:eastAsia="de-DE"/>
        </w:rPr>
        <w:t xml:space="preserve"> 1,9.13; 6,20; 8,6.21; 9,14; 11,25.28.40; 13,6.34.54.56.58; 14,8.9.47; 15,5-27; 16,4.24.26.28; 17,15.16; 22,6; Num 8,7.21; 19,7.8.19.21; 31,24; Dtn 21,6; 23,12). Die Präposition </w:t>
      </w:r>
      <w:r w:rsidRPr="00D0044F">
        <w:rPr>
          <w:rFonts w:eastAsia="Times New Roman"/>
          <w:b/>
          <w:bCs/>
          <w:rtl/>
          <w:lang w:eastAsia="de-DE"/>
        </w:rPr>
        <w:t>עַל</w:t>
      </w:r>
      <w:r w:rsidRPr="00D0044F">
        <w:rPr>
          <w:rFonts w:eastAsia="Times New Roman"/>
          <w:rtl/>
          <w:lang w:eastAsia="de-DE"/>
        </w:rPr>
        <w:t xml:space="preserve"> </w:t>
      </w:r>
      <w:r w:rsidRPr="00D0044F">
        <w:rPr>
          <w:rFonts w:eastAsia="Times New Roman"/>
          <w:lang w:eastAsia="de-DE"/>
        </w:rPr>
        <w:t xml:space="preserve">(„über") zeigt: Sie waschen nicht die Kuh, sondern ihre Hände über der Kuh – das Wasser fließt auf die tote </w:t>
      </w:r>
      <w:r w:rsidRPr="00D0044F">
        <w:rPr>
          <w:rFonts w:eastAsia="Times New Roman"/>
          <w:lang w:eastAsia="de-DE"/>
        </w:rPr>
        <w:lastRenderedPageBreak/>
        <w:t xml:space="preserve">Kuh hinab. Die Formulierung </w:t>
      </w:r>
      <w:r w:rsidRPr="00D0044F">
        <w:rPr>
          <w:rFonts w:eastAsia="Times New Roman"/>
          <w:b/>
          <w:bCs/>
          <w:rtl/>
          <w:lang w:eastAsia="de-DE"/>
        </w:rPr>
        <w:t>הָעֶגְלָה הָעֲרוּפָה</w:t>
      </w:r>
      <w:r w:rsidRPr="00D0044F">
        <w:rPr>
          <w:rFonts w:eastAsia="Times New Roman"/>
          <w:rtl/>
          <w:lang w:eastAsia="de-DE"/>
        </w:rPr>
        <w:t xml:space="preserve"> </w:t>
      </w:r>
      <w:r w:rsidRPr="00D0044F">
        <w:rPr>
          <w:rFonts w:eastAsia="Times New Roman"/>
          <w:lang w:eastAsia="de-DE"/>
        </w:rPr>
        <w:t>(„die gebrochennackige Kuh") – das Partizip Passiv betont: der das Genick bereits gebrochen wurde.</w:t>
      </w:r>
    </w:p>
    <w:p w14:paraId="191F6FD0" w14:textId="502CA6EC" w:rsidR="00D0044F" w:rsidRDefault="00D0044F" w:rsidP="00D0044F">
      <w:pPr>
        <w:spacing w:before="100" w:beforeAutospacing="1" w:after="100" w:afterAutospacing="1" w:line="240" w:lineRule="auto"/>
        <w:rPr>
          <w:rFonts w:eastAsia="Times New Roman"/>
          <w:lang w:eastAsia="de-DE"/>
        </w:rPr>
      </w:pPr>
      <w:r w:rsidRPr="00D0044F">
        <w:rPr>
          <w:rFonts w:eastAsia="Times New Roman"/>
          <w:lang w:eastAsia="de-DE"/>
        </w:rPr>
        <w:t xml:space="preserve">Das Händewaschen ist eine symbolische Geste der Unschuld (vgl. Ps 26,6: </w:t>
      </w:r>
      <w:r w:rsidRPr="00D0044F">
        <w:rPr>
          <w:rFonts w:eastAsia="Times New Roman"/>
          <w:b/>
          <w:bCs/>
          <w:rtl/>
          <w:lang w:eastAsia="de-DE"/>
        </w:rPr>
        <w:t>אֶרְחַץ בְּנִקָּיוֹן כַּפָּי</w:t>
      </w:r>
      <w:r w:rsidRPr="00D0044F">
        <w:rPr>
          <w:rFonts w:eastAsia="Times New Roman"/>
          <w:lang w:eastAsia="de-DE"/>
        </w:rPr>
        <w:t xml:space="preserve">, „Ich wasche in Unschuld meine Hände"; Ps 73,13: </w:t>
      </w:r>
      <w:r w:rsidRPr="00D0044F">
        <w:rPr>
          <w:rFonts w:eastAsia="Times New Roman"/>
          <w:b/>
          <w:bCs/>
          <w:rtl/>
          <w:lang w:eastAsia="de-DE"/>
        </w:rPr>
        <w:t>וָאֶרְחַץ בְּנִקָּיוֹן כַּפָּי</w:t>
      </w:r>
      <w:r w:rsidRPr="00D0044F">
        <w:rPr>
          <w:rFonts w:eastAsia="Times New Roman"/>
          <w:lang w:eastAsia="de-DE"/>
        </w:rPr>
        <w:t>, „und ich wusch in Unschuld meine Hände"; Mt 27,24: Pilatus wäscht seine Hände). Das Wasser symbolisiert Reinigung von Blutschuld. V. 7 wird die verbale Unschuldserklärung geben.</w:t>
      </w:r>
    </w:p>
    <w:p w14:paraId="5C0C8AF8" w14:textId="351DE1AC" w:rsidR="00D00836" w:rsidRPr="00D0044F" w:rsidRDefault="00D00836" w:rsidP="00D0044F">
      <w:pPr>
        <w:spacing w:before="100" w:beforeAutospacing="1" w:after="100" w:afterAutospacing="1" w:line="240" w:lineRule="auto"/>
        <w:rPr>
          <w:rFonts w:eastAsia="Times New Roman"/>
          <w:lang w:eastAsia="de-DE"/>
        </w:rPr>
      </w:pPr>
      <w:r>
        <w:rPr>
          <w:rStyle w:val="Fett"/>
        </w:rPr>
        <w:t>Die LXX</w:t>
      </w:r>
      <w:r>
        <w:t xml:space="preserve"> übersetzt </w:t>
      </w:r>
      <w:r>
        <w:rPr>
          <w:rtl/>
        </w:rPr>
        <w:t>עַל־הָעֶגְלָה</w:t>
      </w:r>
      <w:r>
        <w:t xml:space="preserve"> (über der Kalb) mit ἐπὶ τὴν </w:t>
      </w:r>
      <w:proofErr w:type="spellStart"/>
      <w:r>
        <w:t>κεφ</w:t>
      </w:r>
      <w:proofErr w:type="spellEnd"/>
      <w:r>
        <w:t xml:space="preserve">αλὴν </w:t>
      </w:r>
      <w:proofErr w:type="spellStart"/>
      <w:r>
        <w:t>τῆς</w:t>
      </w:r>
      <w:proofErr w:type="spellEnd"/>
      <w:r>
        <w:t xml:space="preserve"> δα</w:t>
      </w:r>
      <w:proofErr w:type="spellStart"/>
      <w:r>
        <w:t>μάλεως</w:t>
      </w:r>
      <w:proofErr w:type="spellEnd"/>
      <w:r>
        <w:t xml:space="preserve"> (über dem Kopf der Kalb) – eine Präzisierung der Stelle der Handwaschung.</w:t>
      </w:r>
    </w:p>
    <w:p w14:paraId="66113303" w14:textId="77777777"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b/>
          <w:bCs/>
          <w:lang w:eastAsia="de-DE"/>
        </w:rPr>
        <w:t>Die Satzstruktur:</w:t>
      </w:r>
      <w:r w:rsidRPr="00D0044F">
        <w:rPr>
          <w:rFonts w:eastAsia="Times New Roman"/>
          <w:lang w:eastAsia="de-DE"/>
        </w:rPr>
        <w:t xml:space="preserve"> Subjekt mit Handlung (und alle Ältesten jener Stadt, die nahen zum Erschlagenen, waschen sollen ihre Hände über der jungen Kuh, der gebrochennackigen im Bach).</w:t>
      </w:r>
    </w:p>
    <w:p w14:paraId="3CDED9A0" w14:textId="77777777"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lang w:eastAsia="de-DE"/>
        </w:rPr>
        <w:t>Der Vers beschreibt: Alle Ältesten der nächstgelegenen Stadt waschen ihre Hände über der Kuh, der das Genick gebrochen wurde.</w:t>
      </w:r>
    </w:p>
    <w:p w14:paraId="4C4F994E" w14:textId="77777777" w:rsidR="00D0044F" w:rsidRPr="00B27A64" w:rsidRDefault="00D0044F" w:rsidP="00D0044F">
      <w:pPr>
        <w:spacing w:before="100" w:beforeAutospacing="1" w:after="100" w:afterAutospacing="1" w:line="240" w:lineRule="auto"/>
        <w:outlineLvl w:val="0"/>
        <w:rPr>
          <w:rFonts w:eastAsia="Times New Roman"/>
          <w:b/>
          <w:bCs/>
          <w:kern w:val="36"/>
          <w:sz w:val="36"/>
          <w:szCs w:val="36"/>
          <w:lang w:eastAsia="de-DE"/>
        </w:rPr>
      </w:pPr>
      <w:r w:rsidRPr="00B27A64">
        <w:rPr>
          <w:rFonts w:eastAsia="Times New Roman"/>
          <w:b/>
          <w:bCs/>
          <w:kern w:val="36"/>
          <w:sz w:val="36"/>
          <w:szCs w:val="36"/>
          <w:lang w:eastAsia="de-DE"/>
        </w:rPr>
        <w:t>Deuteronomium 21,7</w:t>
      </w:r>
    </w:p>
    <w:p w14:paraId="24B9186F" w14:textId="77777777"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b/>
          <w:bCs/>
          <w:lang w:eastAsia="de-DE"/>
        </w:rPr>
        <w:t>Hebräisch:</w:t>
      </w:r>
      <w:r w:rsidRPr="00D0044F">
        <w:rPr>
          <w:rFonts w:eastAsia="Times New Roman"/>
          <w:lang w:eastAsia="de-DE"/>
        </w:rPr>
        <w:t xml:space="preserve"> </w:t>
      </w:r>
      <w:r w:rsidRPr="00D0044F">
        <w:rPr>
          <w:rFonts w:eastAsia="Times New Roman"/>
          <w:rtl/>
          <w:lang w:eastAsia="de-DE"/>
        </w:rPr>
        <w:t>וְעָנ֖וּ וְאָמְר֑וּ יָדֵ֗ינוּ לֹ֤א שָׁפְכָה אֶת־הַדָּ֣ם הַזֶּ֔ה וְעֵינֵ֖ינוּ לֹ֥א רָאֽוּ׃</w:t>
      </w:r>
    </w:p>
    <w:p w14:paraId="6BEB1EA8" w14:textId="77777777"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b/>
          <w:bCs/>
          <w:lang w:eastAsia="de-DE"/>
        </w:rPr>
        <w:t>Deutsch:</w:t>
      </w:r>
      <w:r w:rsidRPr="00D0044F">
        <w:rPr>
          <w:rFonts w:eastAsia="Times New Roman"/>
          <w:lang w:eastAsia="de-DE"/>
        </w:rPr>
        <w:t xml:space="preserve"> Und sie sollen anheben und sagen: Unsere Hände haben dieses Blut nicht vergossen, und unsere Augen haben es nicht gesehen.</w:t>
      </w:r>
    </w:p>
    <w:p w14:paraId="3604060C" w14:textId="77777777" w:rsidR="00D0044F" w:rsidRPr="00D0044F" w:rsidRDefault="004F5CEB" w:rsidP="00D0044F">
      <w:pPr>
        <w:spacing w:after="0" w:line="240" w:lineRule="auto"/>
        <w:rPr>
          <w:rFonts w:eastAsia="Times New Roman"/>
          <w:lang w:eastAsia="de-DE"/>
        </w:rPr>
      </w:pPr>
      <w:r>
        <w:rPr>
          <w:rFonts w:eastAsia="Times New Roman"/>
          <w:noProof/>
          <w:lang w:eastAsia="de-DE"/>
        </w:rPr>
        <w:pict w14:anchorId="0F745C30">
          <v:rect id="_x0000_i1579" style="width:0;height:1.5pt" o:hralign="center" o:hrstd="t" o:hr="t" fillcolor="#a0a0a0" stroked="f"/>
        </w:pict>
      </w:r>
    </w:p>
    <w:p w14:paraId="5368CD4E" w14:textId="77777777"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b/>
          <w:bCs/>
          <w:lang w:eastAsia="de-DE"/>
        </w:rPr>
        <w:t>Kommentar:</w:t>
      </w:r>
      <w:r w:rsidRPr="00D0044F">
        <w:rPr>
          <w:rFonts w:eastAsia="Times New Roman"/>
          <w:lang w:eastAsia="de-DE"/>
        </w:rPr>
        <w:t xml:space="preserve"> </w:t>
      </w:r>
      <w:r w:rsidRPr="00D0044F">
        <w:rPr>
          <w:rFonts w:eastAsia="Times New Roman"/>
          <w:b/>
          <w:bCs/>
          <w:rtl/>
          <w:lang w:eastAsia="de-DE"/>
        </w:rPr>
        <w:t>וְעָנוּ וְאָמְרוּ</w:t>
      </w:r>
      <w:r w:rsidRPr="00D0044F">
        <w:rPr>
          <w:rFonts w:eastAsia="Times New Roman"/>
          <w:rtl/>
          <w:lang w:eastAsia="de-DE"/>
        </w:rPr>
        <w:t xml:space="preserve"> </w:t>
      </w:r>
      <w:r w:rsidRPr="00D0044F">
        <w:rPr>
          <w:rFonts w:eastAsia="Times New Roman"/>
          <w:lang w:eastAsia="de-DE"/>
        </w:rPr>
        <w:t xml:space="preserve">sind zwei koordinierte Verben: </w:t>
      </w:r>
      <w:r w:rsidRPr="00D0044F">
        <w:rPr>
          <w:rFonts w:eastAsia="Times New Roman"/>
          <w:b/>
          <w:bCs/>
          <w:rtl/>
          <w:lang w:eastAsia="de-DE"/>
        </w:rPr>
        <w:t>וְעָנוּ</w:t>
      </w:r>
      <w:r w:rsidRPr="00D0044F">
        <w:rPr>
          <w:rFonts w:eastAsia="Times New Roman"/>
          <w:rtl/>
          <w:lang w:eastAsia="de-DE"/>
        </w:rPr>
        <w:t xml:space="preserve"> </w:t>
      </w:r>
      <w:r w:rsidRPr="00D0044F">
        <w:rPr>
          <w:rFonts w:eastAsia="Times New Roman"/>
          <w:lang w:eastAsia="de-DE"/>
        </w:rPr>
        <w:t xml:space="preserve">(koordiniert durch </w:t>
      </w:r>
      <w:r w:rsidRPr="00D0044F">
        <w:rPr>
          <w:rFonts w:eastAsia="Times New Roman"/>
          <w:b/>
          <w:bCs/>
          <w:rtl/>
          <w:lang w:eastAsia="de-DE"/>
        </w:rPr>
        <w:t>וְ</w:t>
      </w:r>
      <w:r w:rsidRPr="00D0044F">
        <w:rPr>
          <w:rFonts w:eastAsia="Times New Roman"/>
          <w:rtl/>
          <w:lang w:eastAsia="de-DE"/>
        </w:rPr>
        <w:t xml:space="preserve"> </w:t>
      </w:r>
      <w:r w:rsidRPr="00D0044F">
        <w:rPr>
          <w:rFonts w:eastAsia="Times New Roman"/>
          <w:lang w:eastAsia="de-DE"/>
        </w:rPr>
        <w:t xml:space="preserve">mit </w:t>
      </w:r>
      <w:r w:rsidRPr="00D0044F">
        <w:rPr>
          <w:rFonts w:eastAsia="Times New Roman"/>
          <w:b/>
          <w:bCs/>
          <w:rtl/>
          <w:lang w:eastAsia="de-DE"/>
        </w:rPr>
        <w:t>ענה</w:t>
      </w:r>
      <w:r w:rsidRPr="00D0044F">
        <w:rPr>
          <w:rFonts w:eastAsia="Times New Roman"/>
          <w:lang w:eastAsia="de-DE"/>
        </w:rPr>
        <w:t xml:space="preserve">, Qal Perfekt, 3. Person Plural, „antworten, anheben [zu sprechen]" – hier in der idiomatischen Bedeutung „anheben [die Stimme], beginnen zu sprechen", mit </w:t>
      </w:r>
      <w:r w:rsidRPr="00D0044F">
        <w:rPr>
          <w:rFonts w:eastAsia="Times New Roman"/>
          <w:b/>
          <w:bCs/>
          <w:lang w:eastAsia="de-DE"/>
        </w:rPr>
        <w:t>Waw</w:t>
      </w:r>
      <w:r w:rsidRPr="00D0044F">
        <w:rPr>
          <w:rFonts w:eastAsia="Times New Roman"/>
          <w:lang w:eastAsia="de-DE"/>
        </w:rPr>
        <w:t xml:space="preserve"> consecutives Perfekt), </w:t>
      </w:r>
      <w:r w:rsidRPr="00D0044F">
        <w:rPr>
          <w:rFonts w:eastAsia="Times New Roman"/>
          <w:b/>
          <w:bCs/>
          <w:rtl/>
          <w:lang w:eastAsia="de-DE"/>
        </w:rPr>
        <w:t>וְאָמְרוּ</w:t>
      </w:r>
      <w:r w:rsidRPr="00D0044F">
        <w:rPr>
          <w:rFonts w:eastAsia="Times New Roman"/>
          <w:rtl/>
          <w:lang w:eastAsia="de-DE"/>
        </w:rPr>
        <w:t xml:space="preserve"> </w:t>
      </w:r>
      <w:r w:rsidRPr="00D0044F">
        <w:rPr>
          <w:rFonts w:eastAsia="Times New Roman"/>
          <w:lang w:eastAsia="de-DE"/>
        </w:rPr>
        <w:t xml:space="preserve">(koordiniert durch </w:t>
      </w:r>
      <w:r w:rsidRPr="00D0044F">
        <w:rPr>
          <w:rFonts w:eastAsia="Times New Roman"/>
          <w:b/>
          <w:bCs/>
          <w:rtl/>
          <w:lang w:eastAsia="de-DE"/>
        </w:rPr>
        <w:t>וְ</w:t>
      </w:r>
      <w:r w:rsidRPr="00D0044F">
        <w:rPr>
          <w:rFonts w:eastAsia="Times New Roman"/>
          <w:rtl/>
          <w:lang w:eastAsia="de-DE"/>
        </w:rPr>
        <w:t xml:space="preserve"> </w:t>
      </w:r>
      <w:r w:rsidRPr="00D0044F">
        <w:rPr>
          <w:rFonts w:eastAsia="Times New Roman"/>
          <w:lang w:eastAsia="de-DE"/>
        </w:rPr>
        <w:t xml:space="preserve">mit </w:t>
      </w:r>
      <w:r w:rsidRPr="00D0044F">
        <w:rPr>
          <w:rFonts w:eastAsia="Times New Roman"/>
          <w:b/>
          <w:bCs/>
          <w:rtl/>
          <w:lang w:eastAsia="de-DE"/>
        </w:rPr>
        <w:t>אמר</w:t>
      </w:r>
      <w:r w:rsidRPr="00D0044F">
        <w:rPr>
          <w:rFonts w:eastAsia="Times New Roman"/>
          <w:lang w:eastAsia="de-DE"/>
        </w:rPr>
        <w:t xml:space="preserve">, Qal Perfekt, 3. Person Plural, „sagen", mit </w:t>
      </w:r>
      <w:r w:rsidRPr="00D0044F">
        <w:rPr>
          <w:rFonts w:eastAsia="Times New Roman"/>
          <w:b/>
          <w:bCs/>
          <w:lang w:eastAsia="de-DE"/>
        </w:rPr>
        <w:t>Waw</w:t>
      </w:r>
      <w:r w:rsidRPr="00D0044F">
        <w:rPr>
          <w:rFonts w:eastAsia="Times New Roman"/>
          <w:lang w:eastAsia="de-DE"/>
        </w:rPr>
        <w:t xml:space="preserve"> consecutives Perfekt).</w:t>
      </w:r>
    </w:p>
    <w:p w14:paraId="76990618" w14:textId="77777777"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b/>
          <w:bCs/>
          <w:rtl/>
          <w:lang w:eastAsia="de-DE"/>
        </w:rPr>
        <w:t>יָדֵינוּ לֹא שָׁפְכָה אֶת־הַדָּם הַזֶּה וְעֵינֵינוּ לֹא רָאוּ</w:t>
      </w:r>
      <w:r w:rsidRPr="00D0044F">
        <w:rPr>
          <w:rFonts w:eastAsia="Times New Roman"/>
          <w:rtl/>
          <w:lang w:eastAsia="de-DE"/>
        </w:rPr>
        <w:t xml:space="preserve"> </w:t>
      </w:r>
      <w:r w:rsidRPr="00D0044F">
        <w:rPr>
          <w:rFonts w:eastAsia="Times New Roman"/>
          <w:lang w:eastAsia="de-DE"/>
        </w:rPr>
        <w:t xml:space="preserve">ist die Erklärung: </w:t>
      </w:r>
      <w:r w:rsidRPr="00D0044F">
        <w:rPr>
          <w:rFonts w:eastAsia="Times New Roman"/>
          <w:b/>
          <w:bCs/>
          <w:rtl/>
          <w:lang w:eastAsia="de-DE"/>
        </w:rPr>
        <w:t>יָדֵינוּ לֹא שָׁפְכָה אֶת־הַדָּם הַזֶּה</w:t>
      </w:r>
      <w:r w:rsidRPr="00D0044F">
        <w:rPr>
          <w:rFonts w:eastAsia="Times New Roman"/>
          <w:rtl/>
          <w:lang w:eastAsia="de-DE"/>
        </w:rPr>
        <w:t xml:space="preserve"> </w:t>
      </w:r>
      <w:r w:rsidRPr="00D0044F">
        <w:rPr>
          <w:rFonts w:eastAsia="Times New Roman"/>
          <w:lang w:eastAsia="de-DE"/>
        </w:rPr>
        <w:t>(</w:t>
      </w:r>
      <w:r w:rsidRPr="00D0044F">
        <w:rPr>
          <w:rFonts w:eastAsia="Times New Roman"/>
          <w:b/>
          <w:bCs/>
          <w:rtl/>
          <w:lang w:eastAsia="de-DE"/>
        </w:rPr>
        <w:t>יָד</w:t>
      </w:r>
      <w:r w:rsidRPr="00D0044F">
        <w:rPr>
          <w:rFonts w:eastAsia="Times New Roman"/>
          <w:lang w:eastAsia="de-DE"/>
        </w:rPr>
        <w:t xml:space="preserve">, „Hand", Dual mit Suffix 1. Person Plural als Subjekt, Negation </w:t>
      </w:r>
      <w:r w:rsidRPr="00D0044F">
        <w:rPr>
          <w:rFonts w:eastAsia="Times New Roman"/>
          <w:b/>
          <w:bCs/>
          <w:rtl/>
          <w:lang w:eastAsia="de-DE"/>
        </w:rPr>
        <w:t>לֹא</w:t>
      </w:r>
      <w:r w:rsidRPr="00D0044F">
        <w:rPr>
          <w:rFonts w:eastAsia="Times New Roman"/>
          <w:lang w:eastAsia="de-DE"/>
        </w:rPr>
        <w:t xml:space="preserve">, </w:t>
      </w:r>
      <w:r w:rsidRPr="00D0044F">
        <w:rPr>
          <w:rFonts w:eastAsia="Times New Roman"/>
          <w:b/>
          <w:bCs/>
          <w:rtl/>
          <w:lang w:eastAsia="de-DE"/>
        </w:rPr>
        <w:t>שׁפך</w:t>
      </w:r>
      <w:r w:rsidRPr="00D0044F">
        <w:rPr>
          <w:rFonts w:eastAsia="Times New Roman"/>
          <w:lang w:eastAsia="de-DE"/>
        </w:rPr>
        <w:t xml:space="preserve">, Qal Perfekt, 3. Person Femininum Singular, „vergießen, ausschütten" – der Singular stimmt mit dem grammatischen Geschlecht von </w:t>
      </w:r>
      <w:r w:rsidRPr="00D0044F">
        <w:rPr>
          <w:rFonts w:eastAsia="Times New Roman"/>
          <w:b/>
          <w:bCs/>
          <w:rtl/>
          <w:lang w:eastAsia="de-DE"/>
        </w:rPr>
        <w:t>יָדַיִם</w:t>
      </w:r>
      <w:r w:rsidRPr="00D0044F">
        <w:rPr>
          <w:rFonts w:eastAsia="Times New Roman"/>
          <w:rtl/>
          <w:lang w:eastAsia="de-DE"/>
        </w:rPr>
        <w:t xml:space="preserve"> </w:t>
      </w:r>
      <w:r w:rsidRPr="00D0044F">
        <w:rPr>
          <w:rFonts w:eastAsia="Times New Roman"/>
          <w:lang w:eastAsia="de-DE"/>
        </w:rPr>
        <w:t xml:space="preserve">überein, obwohl Dual, Objektpartikel </w:t>
      </w:r>
      <w:r w:rsidRPr="00D0044F">
        <w:rPr>
          <w:rFonts w:eastAsia="Times New Roman"/>
          <w:b/>
          <w:bCs/>
          <w:rtl/>
          <w:lang w:eastAsia="de-DE"/>
        </w:rPr>
        <w:t>אֵת</w:t>
      </w:r>
      <w:r w:rsidRPr="00D0044F">
        <w:rPr>
          <w:rFonts w:eastAsia="Times New Roman"/>
          <w:rtl/>
          <w:lang w:eastAsia="de-DE"/>
        </w:rPr>
        <w:t xml:space="preserve"> </w:t>
      </w:r>
      <w:r w:rsidRPr="00D0044F">
        <w:rPr>
          <w:rFonts w:eastAsia="Times New Roman"/>
          <w:lang w:eastAsia="de-DE"/>
        </w:rPr>
        <w:t xml:space="preserve">mit </w:t>
      </w:r>
      <w:r w:rsidRPr="00D0044F">
        <w:rPr>
          <w:rFonts w:eastAsia="Times New Roman"/>
          <w:b/>
          <w:bCs/>
          <w:rtl/>
          <w:lang w:eastAsia="de-DE"/>
        </w:rPr>
        <w:t>דָּם</w:t>
      </w:r>
      <w:r w:rsidRPr="00D0044F">
        <w:rPr>
          <w:rFonts w:eastAsia="Times New Roman"/>
          <w:lang w:eastAsia="de-DE"/>
        </w:rPr>
        <w:t xml:space="preserve">, „Blut", mit Artikel und Demonstrativpronomen </w:t>
      </w:r>
      <w:r w:rsidRPr="00D0044F">
        <w:rPr>
          <w:rFonts w:eastAsia="Times New Roman"/>
          <w:b/>
          <w:bCs/>
          <w:rtl/>
          <w:lang w:eastAsia="de-DE"/>
        </w:rPr>
        <w:t>זֶה</w:t>
      </w:r>
      <w:r w:rsidRPr="00D0044F">
        <w:rPr>
          <w:rFonts w:eastAsia="Times New Roman"/>
          <w:lang w:eastAsia="de-DE"/>
        </w:rPr>
        <w:t xml:space="preserve">, „dieses"), </w:t>
      </w:r>
      <w:r w:rsidRPr="00D0044F">
        <w:rPr>
          <w:rFonts w:eastAsia="Times New Roman"/>
          <w:b/>
          <w:bCs/>
          <w:rtl/>
          <w:lang w:eastAsia="de-DE"/>
        </w:rPr>
        <w:t>וְעֵינֵינוּ לֹא רָאוּ</w:t>
      </w:r>
      <w:r w:rsidRPr="00D0044F">
        <w:rPr>
          <w:rFonts w:eastAsia="Times New Roman"/>
          <w:rtl/>
          <w:lang w:eastAsia="de-DE"/>
        </w:rPr>
        <w:t xml:space="preserve"> </w:t>
      </w:r>
      <w:r w:rsidRPr="00D0044F">
        <w:rPr>
          <w:rFonts w:eastAsia="Times New Roman"/>
          <w:lang w:eastAsia="de-DE"/>
        </w:rPr>
        <w:t xml:space="preserve">(koordiniert durch </w:t>
      </w:r>
      <w:r w:rsidRPr="00D0044F">
        <w:rPr>
          <w:rFonts w:eastAsia="Times New Roman"/>
          <w:b/>
          <w:bCs/>
          <w:rtl/>
          <w:lang w:eastAsia="de-DE"/>
        </w:rPr>
        <w:t>וְ</w:t>
      </w:r>
      <w:r w:rsidRPr="00D0044F">
        <w:rPr>
          <w:rFonts w:eastAsia="Times New Roman"/>
          <w:rtl/>
          <w:lang w:eastAsia="de-DE"/>
        </w:rPr>
        <w:t xml:space="preserve"> </w:t>
      </w:r>
      <w:r w:rsidRPr="00D0044F">
        <w:rPr>
          <w:rFonts w:eastAsia="Times New Roman"/>
          <w:lang w:eastAsia="de-DE"/>
        </w:rPr>
        <w:t xml:space="preserve">mit </w:t>
      </w:r>
      <w:r w:rsidRPr="00D0044F">
        <w:rPr>
          <w:rFonts w:eastAsia="Times New Roman"/>
          <w:b/>
          <w:bCs/>
          <w:rtl/>
          <w:lang w:eastAsia="de-DE"/>
        </w:rPr>
        <w:t>עַיִן</w:t>
      </w:r>
      <w:r w:rsidRPr="00D0044F">
        <w:rPr>
          <w:rFonts w:eastAsia="Times New Roman"/>
          <w:lang w:eastAsia="de-DE"/>
        </w:rPr>
        <w:t xml:space="preserve">, „Auge", Dual mit Suffix 1. Person Plural, Negation, </w:t>
      </w:r>
      <w:r w:rsidRPr="00D0044F">
        <w:rPr>
          <w:rFonts w:eastAsia="Times New Roman"/>
          <w:b/>
          <w:bCs/>
          <w:rtl/>
          <w:lang w:eastAsia="de-DE"/>
        </w:rPr>
        <w:t>ראה</w:t>
      </w:r>
      <w:r w:rsidRPr="00D0044F">
        <w:rPr>
          <w:rFonts w:eastAsia="Times New Roman"/>
          <w:lang w:eastAsia="de-DE"/>
        </w:rPr>
        <w:t>, Qal Perfekt, 3. Person Plural, „sehen" – hier Plural, weil zwei Augen).</w:t>
      </w:r>
    </w:p>
    <w:p w14:paraId="678BC1F9" w14:textId="77777777"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lang w:eastAsia="de-DE"/>
        </w:rPr>
        <w:t xml:space="preserve">Der Vers gibt die verbale Unschuldserklärung nach der symbolischen Handwaschung. Die doppelte Formel </w:t>
      </w:r>
      <w:r w:rsidRPr="00D0044F">
        <w:rPr>
          <w:rFonts w:eastAsia="Times New Roman"/>
          <w:b/>
          <w:bCs/>
          <w:rtl/>
          <w:lang w:eastAsia="de-DE"/>
        </w:rPr>
        <w:t>יָדֵינוּ לֹא שָׁפְכָה... וְעֵינֵינוּ לֹא רָאוּ</w:t>
      </w:r>
      <w:r w:rsidRPr="00D0044F">
        <w:rPr>
          <w:rFonts w:eastAsia="Times New Roman"/>
          <w:rtl/>
          <w:lang w:eastAsia="de-DE"/>
        </w:rPr>
        <w:t xml:space="preserve"> </w:t>
      </w:r>
      <w:r w:rsidRPr="00D0044F">
        <w:rPr>
          <w:rFonts w:eastAsia="Times New Roman"/>
          <w:lang w:eastAsia="de-DE"/>
        </w:rPr>
        <w:t xml:space="preserve">betont zwei Aspekte der Unschuld: (1) </w:t>
      </w:r>
      <w:r w:rsidRPr="00D0044F">
        <w:rPr>
          <w:rFonts w:eastAsia="Times New Roman"/>
          <w:b/>
          <w:bCs/>
          <w:rtl/>
          <w:lang w:eastAsia="de-DE"/>
        </w:rPr>
        <w:t>יָדֵינוּ לֹא שָׁפְכָה אֶת־הַדָּם הַזֶּה</w:t>
      </w:r>
      <w:r w:rsidRPr="00D0044F">
        <w:rPr>
          <w:rFonts w:eastAsia="Times New Roman"/>
          <w:rtl/>
          <w:lang w:eastAsia="de-DE"/>
        </w:rPr>
        <w:t xml:space="preserve"> </w:t>
      </w:r>
      <w:r w:rsidRPr="00D0044F">
        <w:rPr>
          <w:rFonts w:eastAsia="Times New Roman"/>
          <w:lang w:eastAsia="de-DE"/>
        </w:rPr>
        <w:t xml:space="preserve">(„Unsere Hände haben dieses Blut nicht vergossen") – direkte Unschuld: wir haben nicht getötet, (2) </w:t>
      </w:r>
      <w:r w:rsidRPr="00D0044F">
        <w:rPr>
          <w:rFonts w:eastAsia="Times New Roman"/>
          <w:b/>
          <w:bCs/>
          <w:rtl/>
          <w:lang w:eastAsia="de-DE"/>
        </w:rPr>
        <w:t>וְעֵינֵינוּ לֹא רָאוּ</w:t>
      </w:r>
      <w:r w:rsidRPr="00D0044F">
        <w:rPr>
          <w:rFonts w:eastAsia="Times New Roman"/>
          <w:rtl/>
          <w:lang w:eastAsia="de-DE"/>
        </w:rPr>
        <w:t xml:space="preserve"> </w:t>
      </w:r>
      <w:r w:rsidRPr="00D0044F">
        <w:rPr>
          <w:rFonts w:eastAsia="Times New Roman"/>
          <w:lang w:eastAsia="de-DE"/>
        </w:rPr>
        <w:t>(„unsere Augen haben es nicht gesehen") – indirekte Unschuld: wir haben es nicht gesehen (und daher auch nichts dagegen unternommen oder davon gewusst).</w:t>
      </w:r>
    </w:p>
    <w:p w14:paraId="779D6603" w14:textId="4007711E"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lang w:eastAsia="de-DE"/>
        </w:rPr>
        <w:lastRenderedPageBreak/>
        <w:t xml:space="preserve">Das Verb </w:t>
      </w:r>
      <w:r w:rsidRPr="00D0044F">
        <w:rPr>
          <w:rFonts w:eastAsia="Times New Roman"/>
          <w:b/>
          <w:bCs/>
          <w:rtl/>
          <w:lang w:eastAsia="de-DE"/>
        </w:rPr>
        <w:t>שׁפך</w:t>
      </w:r>
      <w:r w:rsidRPr="00D0044F">
        <w:rPr>
          <w:rFonts w:eastAsia="Times New Roman"/>
          <w:rtl/>
          <w:lang w:eastAsia="de-DE"/>
        </w:rPr>
        <w:t xml:space="preserve"> </w:t>
      </w:r>
      <w:r w:rsidRPr="00D0044F">
        <w:rPr>
          <w:rFonts w:eastAsia="Times New Roman"/>
          <w:lang w:eastAsia="de-DE"/>
        </w:rPr>
        <w:t xml:space="preserve">(„vergießen, ausschütten") wird typisch für Blutvergießen verwendet (vgl. Gen 9,6; 37,22; Ex 4,9; </w:t>
      </w:r>
      <w:r w:rsidR="00664EB6">
        <w:rPr>
          <w:rFonts w:eastAsia="Times New Roman"/>
          <w:lang w:eastAsia="de-DE"/>
        </w:rPr>
        <w:t>Lev</w:t>
      </w:r>
      <w:r w:rsidRPr="00D0044F">
        <w:rPr>
          <w:rFonts w:eastAsia="Times New Roman"/>
          <w:lang w:eastAsia="de-DE"/>
        </w:rPr>
        <w:t xml:space="preserve"> 4,7.12.18.25.30.34; 8,15; 9,9; 14,41; 17,4.13; Num 23,24; 35,33; Dtn 12,16.24.27; 15,23; 19,10; 21,7). Der Demonstrativpronomen </w:t>
      </w:r>
      <w:r w:rsidRPr="00D0044F">
        <w:rPr>
          <w:rFonts w:eastAsia="Times New Roman"/>
          <w:b/>
          <w:bCs/>
          <w:rtl/>
          <w:lang w:eastAsia="de-DE"/>
        </w:rPr>
        <w:t>הַזֶּה</w:t>
      </w:r>
      <w:r w:rsidRPr="00D0044F">
        <w:rPr>
          <w:rFonts w:eastAsia="Times New Roman"/>
          <w:rtl/>
          <w:lang w:eastAsia="de-DE"/>
        </w:rPr>
        <w:t xml:space="preserve"> </w:t>
      </w:r>
      <w:r w:rsidRPr="00D0044F">
        <w:rPr>
          <w:rFonts w:eastAsia="Times New Roman"/>
          <w:lang w:eastAsia="de-DE"/>
        </w:rPr>
        <w:t>(„dieses") betont: dieses spezifische Blut, dieser spezifische Mord.</w:t>
      </w:r>
    </w:p>
    <w:p w14:paraId="6C5F8B41" w14:textId="77777777"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lang w:eastAsia="de-DE"/>
        </w:rPr>
        <w:t xml:space="preserve">Die zweite Aussage </w:t>
      </w:r>
      <w:r w:rsidRPr="00D0044F">
        <w:rPr>
          <w:rFonts w:eastAsia="Times New Roman"/>
          <w:b/>
          <w:bCs/>
          <w:rtl/>
          <w:lang w:eastAsia="de-DE"/>
        </w:rPr>
        <w:t>וְעֵינֵינוּ לֹא רָאוּ</w:t>
      </w:r>
      <w:r w:rsidRPr="00D0044F">
        <w:rPr>
          <w:rFonts w:eastAsia="Times New Roman"/>
          <w:rtl/>
          <w:lang w:eastAsia="de-DE"/>
        </w:rPr>
        <w:t xml:space="preserve"> </w:t>
      </w:r>
      <w:r w:rsidRPr="00D0044F">
        <w:rPr>
          <w:rFonts w:eastAsia="Times New Roman"/>
          <w:lang w:eastAsia="de-DE"/>
        </w:rPr>
        <w:t>(„unsere Augen haben nicht gesehen") ist mehrdeutig interpretierbar: (1) Wir haben den Mord nicht gesehen (waren nicht Zeugen), (2) Wir haben den Mörder nicht gesehen (können ihn nicht identifizieren), (3) Wir haben den Reisenden nicht gesehen (haben ihn nicht weggeschickt ohne Schutz). Die rabbinische Tradition (Mischna Sota 9,6) interpretiert: „Wir haben ihn nicht gesehen und haben ihn weggeschickt ohne Nahrung, und wir haben ihn nicht gesehen und haben ihn verlassen ohne Begleitung" – also: Wir haben unsere Schutzpflicht nicht verletzt.</w:t>
      </w:r>
    </w:p>
    <w:p w14:paraId="286E3AB8" w14:textId="77777777"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b/>
          <w:bCs/>
          <w:lang w:eastAsia="de-DE"/>
        </w:rPr>
        <w:t>Die Satzstruktur:</w:t>
      </w:r>
      <w:r w:rsidRPr="00D0044F">
        <w:rPr>
          <w:rFonts w:eastAsia="Times New Roman"/>
          <w:lang w:eastAsia="de-DE"/>
        </w:rPr>
        <w:t xml:space="preserve"> Zwei koordinierte Verben mit Erklärung (anheben sollen und sagen: Unsere Hände nicht vergossen haben dieses Blut, und unsere Augen nicht gesehen haben).</w:t>
      </w:r>
    </w:p>
    <w:p w14:paraId="27CF734C" w14:textId="77777777"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lang w:eastAsia="de-DE"/>
        </w:rPr>
        <w:t>Der Vers gibt die Unschuldserklärung: Unsere Hände haben dieses Blut nicht vergossen, und unsere Augen haben es nicht gesehen.</w:t>
      </w:r>
    </w:p>
    <w:p w14:paraId="5C86E4E7" w14:textId="77777777" w:rsidR="00D0044F" w:rsidRPr="00B27A64" w:rsidRDefault="00D0044F" w:rsidP="00D0044F">
      <w:pPr>
        <w:spacing w:before="100" w:beforeAutospacing="1" w:after="100" w:afterAutospacing="1" w:line="240" w:lineRule="auto"/>
        <w:outlineLvl w:val="0"/>
        <w:rPr>
          <w:rFonts w:eastAsia="Times New Roman"/>
          <w:b/>
          <w:bCs/>
          <w:kern w:val="36"/>
          <w:sz w:val="36"/>
          <w:szCs w:val="36"/>
          <w:lang w:eastAsia="de-DE"/>
        </w:rPr>
      </w:pPr>
      <w:r w:rsidRPr="00B27A64">
        <w:rPr>
          <w:rFonts w:eastAsia="Times New Roman"/>
          <w:b/>
          <w:bCs/>
          <w:kern w:val="36"/>
          <w:sz w:val="36"/>
          <w:szCs w:val="36"/>
          <w:lang w:eastAsia="de-DE"/>
        </w:rPr>
        <w:t>Deuteronomium 21,8</w:t>
      </w:r>
    </w:p>
    <w:p w14:paraId="3E0857E5" w14:textId="77777777"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b/>
          <w:bCs/>
          <w:lang w:eastAsia="de-DE"/>
        </w:rPr>
        <w:t>Hebräisch:</w:t>
      </w:r>
      <w:r w:rsidRPr="00D0044F">
        <w:rPr>
          <w:rFonts w:eastAsia="Times New Roman"/>
          <w:lang w:eastAsia="de-DE"/>
        </w:rPr>
        <w:t xml:space="preserve"> </w:t>
      </w:r>
      <w:r w:rsidRPr="00D0044F">
        <w:rPr>
          <w:rFonts w:eastAsia="Times New Roman"/>
          <w:rtl/>
          <w:lang w:eastAsia="de-DE"/>
        </w:rPr>
        <w:t>כַּפֵּר֩ לְעַמְּךָ֙ יִשְׂרָאֵ֤ל אֲשֶׁר־פָּדִ֨יתָ֙ יְהוָ֔ה וְאַל־תִּתֵּן֙ דָּ֣ם נָקִ֔י בְּקֶ֖רֶב עַמְּךָ֣ יִשְׂרָאֵ֑ל וְנִכַּפֵּ֥ר לָהֶ֖ם הַדָּֽם׃</w:t>
      </w:r>
    </w:p>
    <w:p w14:paraId="6120CE32" w14:textId="77777777"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b/>
          <w:bCs/>
          <w:lang w:eastAsia="de-DE"/>
        </w:rPr>
        <w:t>Deutsch:</w:t>
      </w:r>
      <w:r w:rsidRPr="00D0044F">
        <w:rPr>
          <w:rFonts w:eastAsia="Times New Roman"/>
          <w:lang w:eastAsia="de-DE"/>
        </w:rPr>
        <w:t xml:space="preserve"> Vergib, Ewiger, deinem Volk Jisra'el, das du erlöst hast, und lege kein unschuldiges Blut in die Mitte deines Volkes Jisra'el. Und die Blutschuld wird ihnen vergeben werden.</w:t>
      </w:r>
    </w:p>
    <w:p w14:paraId="4293447B" w14:textId="77777777" w:rsidR="00D0044F" w:rsidRPr="00D0044F" w:rsidRDefault="004F5CEB" w:rsidP="00D0044F">
      <w:pPr>
        <w:spacing w:after="0" w:line="240" w:lineRule="auto"/>
        <w:rPr>
          <w:rFonts w:eastAsia="Times New Roman"/>
          <w:lang w:eastAsia="de-DE"/>
        </w:rPr>
      </w:pPr>
      <w:r>
        <w:rPr>
          <w:rFonts w:eastAsia="Times New Roman"/>
          <w:noProof/>
          <w:lang w:eastAsia="de-DE"/>
        </w:rPr>
        <w:pict w14:anchorId="7E0145D2">
          <v:rect id="_x0000_i1580" style="width:0;height:1.5pt" o:hralign="center" o:hrstd="t" o:hr="t" fillcolor="#a0a0a0" stroked="f"/>
        </w:pict>
      </w:r>
    </w:p>
    <w:p w14:paraId="26B7073D" w14:textId="64A6AB50"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b/>
          <w:bCs/>
          <w:lang w:eastAsia="de-DE"/>
        </w:rPr>
        <w:t>Kommentar:</w:t>
      </w:r>
      <w:r w:rsidRPr="00D0044F">
        <w:rPr>
          <w:rFonts w:eastAsia="Times New Roman"/>
          <w:lang w:eastAsia="de-DE"/>
        </w:rPr>
        <w:t xml:space="preserve"> </w:t>
      </w:r>
      <w:r w:rsidRPr="00D0044F">
        <w:rPr>
          <w:rFonts w:eastAsia="Times New Roman"/>
          <w:b/>
          <w:bCs/>
          <w:rtl/>
          <w:lang w:eastAsia="de-DE"/>
        </w:rPr>
        <w:t>כַּפֵּר לְעַמְּךָ יִשְׂרָאֵל אֲשֶׁר־פָּדִיתָ יְהוָה וְאַל־תִּתֵּן דָּם נָקִי בְּקֶרֶב עַמְּךָ יִשְׂרָאֵל</w:t>
      </w:r>
      <w:r w:rsidRPr="00D0044F">
        <w:rPr>
          <w:rFonts w:eastAsia="Times New Roman"/>
          <w:rtl/>
          <w:lang w:eastAsia="de-DE"/>
        </w:rPr>
        <w:t xml:space="preserve"> </w:t>
      </w:r>
      <w:r w:rsidRPr="00D0044F">
        <w:rPr>
          <w:rFonts w:eastAsia="Times New Roman"/>
          <w:lang w:eastAsia="de-DE"/>
        </w:rPr>
        <w:t xml:space="preserve">ist das Gebet: </w:t>
      </w:r>
      <w:r w:rsidRPr="00D0044F">
        <w:rPr>
          <w:rFonts w:eastAsia="Times New Roman"/>
          <w:b/>
          <w:bCs/>
          <w:rtl/>
          <w:lang w:eastAsia="de-DE"/>
        </w:rPr>
        <w:t>כַּפֵּר</w:t>
      </w:r>
      <w:r w:rsidRPr="00D0044F">
        <w:rPr>
          <w:rFonts w:eastAsia="Times New Roman"/>
          <w:rtl/>
          <w:lang w:eastAsia="de-DE"/>
        </w:rPr>
        <w:t xml:space="preserve"> </w:t>
      </w:r>
      <w:r w:rsidRPr="00D0044F">
        <w:rPr>
          <w:rFonts w:eastAsia="Times New Roman"/>
          <w:lang w:eastAsia="de-DE"/>
        </w:rPr>
        <w:t xml:space="preserve">(Piel Imperativ, 2. Person Maskulinum Singular von </w:t>
      </w:r>
      <w:r w:rsidRPr="00D0044F">
        <w:rPr>
          <w:rFonts w:eastAsia="Times New Roman"/>
          <w:b/>
          <w:bCs/>
          <w:rtl/>
          <w:lang w:eastAsia="de-DE"/>
        </w:rPr>
        <w:t>כפר</w:t>
      </w:r>
      <w:r w:rsidRPr="00D0044F">
        <w:rPr>
          <w:rFonts w:eastAsia="Times New Roman"/>
          <w:lang w:eastAsia="de-DE"/>
        </w:rPr>
        <w:t xml:space="preserve">, „sühnen, vergeben, Sühne schaffen" – im Piel: „Sühne wirken für"), </w:t>
      </w:r>
      <w:r w:rsidRPr="00D0044F">
        <w:rPr>
          <w:rFonts w:eastAsia="Times New Roman"/>
          <w:b/>
          <w:bCs/>
          <w:rtl/>
          <w:lang w:eastAsia="de-DE"/>
        </w:rPr>
        <w:t>לְעַמְּךָ יִשְׂרָאֵל</w:t>
      </w:r>
      <w:r w:rsidRPr="00D0044F">
        <w:rPr>
          <w:rFonts w:eastAsia="Times New Roman"/>
          <w:rtl/>
          <w:lang w:eastAsia="de-DE"/>
        </w:rPr>
        <w:t xml:space="preserve"> </w:t>
      </w:r>
      <w:r w:rsidRPr="00D0044F">
        <w:rPr>
          <w:rFonts w:eastAsia="Times New Roman"/>
          <w:lang w:eastAsia="de-DE"/>
        </w:rPr>
        <w:t xml:space="preserve">(Präposition </w:t>
      </w:r>
      <w:r w:rsidRPr="00D0044F">
        <w:rPr>
          <w:rFonts w:eastAsia="Times New Roman"/>
          <w:b/>
          <w:bCs/>
          <w:rtl/>
          <w:lang w:eastAsia="de-DE"/>
        </w:rPr>
        <w:t>לְ</w:t>
      </w:r>
      <w:r w:rsidRPr="00D0044F">
        <w:rPr>
          <w:rFonts w:eastAsia="Times New Roman"/>
          <w:rtl/>
          <w:lang w:eastAsia="de-DE"/>
        </w:rPr>
        <w:t xml:space="preserve"> </w:t>
      </w:r>
      <w:r w:rsidRPr="00D0044F">
        <w:rPr>
          <w:rFonts w:eastAsia="Times New Roman"/>
          <w:lang w:eastAsia="de-DE"/>
        </w:rPr>
        <w:t xml:space="preserve">mit </w:t>
      </w:r>
      <w:r w:rsidRPr="00D0044F">
        <w:rPr>
          <w:rFonts w:eastAsia="Times New Roman"/>
          <w:b/>
          <w:bCs/>
          <w:rtl/>
          <w:lang w:eastAsia="de-DE"/>
        </w:rPr>
        <w:t>עַם</w:t>
      </w:r>
      <w:r w:rsidRPr="00D0044F">
        <w:rPr>
          <w:rFonts w:eastAsia="Times New Roman"/>
          <w:lang w:eastAsia="de-DE"/>
        </w:rPr>
        <w:t xml:space="preserve">, „Volk", mit Suffix 2. Person Maskulinum Singular, </w:t>
      </w:r>
      <w:r w:rsidRPr="00D0044F">
        <w:rPr>
          <w:rFonts w:eastAsia="Times New Roman"/>
          <w:b/>
          <w:bCs/>
          <w:rtl/>
          <w:lang w:eastAsia="de-DE"/>
        </w:rPr>
        <w:t>יִשְׂרָאֵל</w:t>
      </w:r>
      <w:r w:rsidRPr="00D0044F">
        <w:rPr>
          <w:rFonts w:eastAsia="Times New Roman"/>
          <w:lang w:eastAsia="de-DE"/>
        </w:rPr>
        <w:t xml:space="preserve">), </w:t>
      </w:r>
      <w:r w:rsidRPr="00D0044F">
        <w:rPr>
          <w:rFonts w:eastAsia="Times New Roman"/>
          <w:b/>
          <w:bCs/>
          <w:rtl/>
          <w:lang w:eastAsia="de-DE"/>
        </w:rPr>
        <w:t>אֲשֶׁר־פָּדִיתָ</w:t>
      </w:r>
      <w:r w:rsidRPr="00D0044F">
        <w:rPr>
          <w:rFonts w:eastAsia="Times New Roman"/>
          <w:rtl/>
          <w:lang w:eastAsia="de-DE"/>
        </w:rPr>
        <w:t xml:space="preserve"> </w:t>
      </w:r>
      <w:r w:rsidRPr="00D0044F">
        <w:rPr>
          <w:rFonts w:eastAsia="Times New Roman"/>
          <w:lang w:eastAsia="de-DE"/>
        </w:rPr>
        <w:t xml:space="preserve">(Relativsatz: </w:t>
      </w:r>
      <w:r w:rsidRPr="00D0044F">
        <w:rPr>
          <w:rFonts w:eastAsia="Times New Roman"/>
          <w:b/>
          <w:bCs/>
          <w:rtl/>
          <w:lang w:eastAsia="de-DE"/>
        </w:rPr>
        <w:t>אֲשֶׁר</w:t>
      </w:r>
      <w:r w:rsidRPr="00D0044F">
        <w:rPr>
          <w:rFonts w:eastAsia="Times New Roman"/>
          <w:rtl/>
          <w:lang w:eastAsia="de-DE"/>
        </w:rPr>
        <w:t xml:space="preserve"> </w:t>
      </w:r>
      <w:r w:rsidRPr="00D0044F">
        <w:rPr>
          <w:rFonts w:eastAsia="Times New Roman"/>
          <w:lang w:eastAsia="de-DE"/>
        </w:rPr>
        <w:t xml:space="preserve">mit </w:t>
      </w:r>
      <w:r w:rsidRPr="00D0044F">
        <w:rPr>
          <w:rFonts w:eastAsia="Times New Roman"/>
          <w:b/>
          <w:bCs/>
          <w:rtl/>
          <w:lang w:eastAsia="de-DE"/>
        </w:rPr>
        <w:t>פדה</w:t>
      </w:r>
      <w:r w:rsidRPr="00D0044F">
        <w:rPr>
          <w:rFonts w:eastAsia="Times New Roman"/>
          <w:lang w:eastAsia="de-DE"/>
        </w:rPr>
        <w:t xml:space="preserve">, Qal Perfekt, 2. Person Maskulinum Singular, „erlösen, loskaufen" – technischer Terminus für die Erlösung aus Ägypten, vgl. Ex 6,6; 13,13-15; 15,13; Dtn 7,8; 9,26; 13,6; 15,15; 21,8; 24,18; </w:t>
      </w:r>
      <w:r w:rsidR="00664EB6">
        <w:rPr>
          <w:rFonts w:eastAsia="Times New Roman"/>
          <w:lang w:eastAsia="de-DE"/>
        </w:rPr>
        <w:t>2Sam</w:t>
      </w:r>
      <w:r w:rsidRPr="00D0044F">
        <w:rPr>
          <w:rFonts w:eastAsia="Times New Roman"/>
          <w:lang w:eastAsia="de-DE"/>
        </w:rPr>
        <w:t xml:space="preserve"> 7,23; Mi 6,4; Ps 78,42), </w:t>
      </w:r>
      <w:r w:rsidRPr="00D0044F">
        <w:rPr>
          <w:rFonts w:eastAsia="Times New Roman"/>
          <w:b/>
          <w:bCs/>
          <w:rtl/>
          <w:lang w:eastAsia="de-DE"/>
        </w:rPr>
        <w:t>יְהוָה</w:t>
      </w:r>
      <w:r w:rsidRPr="00D0044F">
        <w:rPr>
          <w:rFonts w:eastAsia="Times New Roman"/>
          <w:rtl/>
          <w:lang w:eastAsia="de-DE"/>
        </w:rPr>
        <w:t xml:space="preserve"> </w:t>
      </w:r>
      <w:r w:rsidRPr="00D0044F">
        <w:rPr>
          <w:rFonts w:eastAsia="Times New Roman"/>
          <w:lang w:eastAsia="de-DE"/>
        </w:rPr>
        <w:t xml:space="preserve">(Vokativ – direkte Anrede an JHWH), </w:t>
      </w:r>
      <w:r w:rsidRPr="00D0044F">
        <w:rPr>
          <w:rFonts w:eastAsia="Times New Roman"/>
          <w:b/>
          <w:bCs/>
          <w:rtl/>
          <w:lang w:eastAsia="de-DE"/>
        </w:rPr>
        <w:t>וְאַל־תִּתֵּן דָּם נָקִי בְּקֶרֶב עַמְּךָ יִשְׂרָאֵל</w:t>
      </w:r>
      <w:r w:rsidRPr="00D0044F">
        <w:rPr>
          <w:rFonts w:eastAsia="Times New Roman"/>
          <w:rtl/>
          <w:lang w:eastAsia="de-DE"/>
        </w:rPr>
        <w:t xml:space="preserve"> </w:t>
      </w:r>
      <w:r w:rsidRPr="00D0044F">
        <w:rPr>
          <w:rFonts w:eastAsia="Times New Roman"/>
          <w:lang w:eastAsia="de-DE"/>
        </w:rPr>
        <w:t xml:space="preserve">(koordiniert durch </w:t>
      </w:r>
      <w:r w:rsidRPr="00D0044F">
        <w:rPr>
          <w:rFonts w:eastAsia="Times New Roman"/>
          <w:b/>
          <w:bCs/>
          <w:rtl/>
          <w:lang w:eastAsia="de-DE"/>
        </w:rPr>
        <w:t>וְ</w:t>
      </w:r>
      <w:r w:rsidRPr="00D0044F">
        <w:rPr>
          <w:rFonts w:eastAsia="Times New Roman"/>
          <w:rtl/>
          <w:lang w:eastAsia="de-DE"/>
        </w:rPr>
        <w:t xml:space="preserve"> </w:t>
      </w:r>
      <w:r w:rsidRPr="00D0044F">
        <w:rPr>
          <w:rFonts w:eastAsia="Times New Roman"/>
          <w:lang w:eastAsia="de-DE"/>
        </w:rPr>
        <w:t xml:space="preserve">mit negativem Jussiv: </w:t>
      </w:r>
      <w:r w:rsidRPr="00D0044F">
        <w:rPr>
          <w:rFonts w:eastAsia="Times New Roman"/>
          <w:b/>
          <w:bCs/>
          <w:rtl/>
          <w:lang w:eastAsia="de-DE"/>
        </w:rPr>
        <w:t>אַל</w:t>
      </w:r>
      <w:r w:rsidRPr="00D0044F">
        <w:rPr>
          <w:rFonts w:eastAsia="Times New Roman"/>
          <w:lang w:eastAsia="de-DE"/>
        </w:rPr>
        <w:t xml:space="preserve">, </w:t>
      </w:r>
      <w:r w:rsidRPr="00D0044F">
        <w:rPr>
          <w:rFonts w:eastAsia="Times New Roman"/>
          <w:b/>
          <w:bCs/>
          <w:rtl/>
          <w:lang w:eastAsia="de-DE"/>
        </w:rPr>
        <w:t>נתן</w:t>
      </w:r>
      <w:r w:rsidRPr="00D0044F">
        <w:rPr>
          <w:rFonts w:eastAsia="Times New Roman"/>
          <w:lang w:eastAsia="de-DE"/>
        </w:rPr>
        <w:t xml:space="preserve">, Qal Jussiv, 2. Person Maskulinum Singular, „geben, legen, rechnen", </w:t>
      </w:r>
      <w:r w:rsidRPr="00D0044F">
        <w:rPr>
          <w:rFonts w:eastAsia="Times New Roman"/>
          <w:b/>
          <w:bCs/>
          <w:rtl/>
          <w:lang w:eastAsia="de-DE"/>
        </w:rPr>
        <w:t>דָּם נָקִי</w:t>
      </w:r>
      <w:r w:rsidRPr="00D0044F">
        <w:rPr>
          <w:rFonts w:eastAsia="Times New Roman"/>
          <w:lang w:eastAsia="de-DE"/>
        </w:rPr>
        <w:t xml:space="preserve">, „unschuldiges Blut" – </w:t>
      </w:r>
      <w:r w:rsidRPr="00D0044F">
        <w:rPr>
          <w:rFonts w:eastAsia="Times New Roman"/>
          <w:b/>
          <w:bCs/>
          <w:rtl/>
          <w:lang w:eastAsia="de-DE"/>
        </w:rPr>
        <w:t>נָקִי</w:t>
      </w:r>
      <w:r w:rsidRPr="00D0044F">
        <w:rPr>
          <w:rFonts w:eastAsia="Times New Roman"/>
          <w:rtl/>
          <w:lang w:eastAsia="de-DE"/>
        </w:rPr>
        <w:t xml:space="preserve"> </w:t>
      </w:r>
      <w:r w:rsidRPr="00D0044F">
        <w:rPr>
          <w:rFonts w:eastAsia="Times New Roman"/>
          <w:lang w:eastAsia="de-DE"/>
        </w:rPr>
        <w:t xml:space="preserve">= „unschuldig, rein, frei von Schuld", </w:t>
      </w:r>
      <w:r w:rsidRPr="00D0044F">
        <w:rPr>
          <w:rFonts w:eastAsia="Times New Roman"/>
          <w:b/>
          <w:bCs/>
          <w:rtl/>
          <w:lang w:eastAsia="de-DE"/>
        </w:rPr>
        <w:t>בְּקֶרֶב עַמְּךָ יִשְׂרָאֵל</w:t>
      </w:r>
      <w:r w:rsidRPr="00D0044F">
        <w:rPr>
          <w:rFonts w:eastAsia="Times New Roman"/>
          <w:lang w:eastAsia="de-DE"/>
        </w:rPr>
        <w:t xml:space="preserve">, Präposition </w:t>
      </w:r>
      <w:r w:rsidRPr="00D0044F">
        <w:rPr>
          <w:rFonts w:eastAsia="Times New Roman"/>
          <w:b/>
          <w:bCs/>
          <w:rtl/>
          <w:lang w:eastAsia="de-DE"/>
        </w:rPr>
        <w:t>בְּ</w:t>
      </w:r>
      <w:r w:rsidRPr="00D0044F">
        <w:rPr>
          <w:rFonts w:eastAsia="Times New Roman"/>
          <w:rtl/>
          <w:lang w:eastAsia="de-DE"/>
        </w:rPr>
        <w:t xml:space="preserve"> </w:t>
      </w:r>
      <w:r w:rsidRPr="00D0044F">
        <w:rPr>
          <w:rFonts w:eastAsia="Times New Roman"/>
          <w:lang w:eastAsia="de-DE"/>
        </w:rPr>
        <w:t xml:space="preserve">mit </w:t>
      </w:r>
      <w:r w:rsidRPr="00D0044F">
        <w:rPr>
          <w:rFonts w:eastAsia="Times New Roman"/>
          <w:b/>
          <w:bCs/>
          <w:rtl/>
          <w:lang w:eastAsia="de-DE"/>
        </w:rPr>
        <w:t>קֶרֶב</w:t>
      </w:r>
      <w:r w:rsidRPr="00D0044F">
        <w:rPr>
          <w:rFonts w:eastAsia="Times New Roman"/>
          <w:lang w:eastAsia="de-DE"/>
        </w:rPr>
        <w:t xml:space="preserve">, „Mitte, Inneres", Construct mit </w:t>
      </w:r>
      <w:r w:rsidRPr="00D0044F">
        <w:rPr>
          <w:rFonts w:eastAsia="Times New Roman"/>
          <w:b/>
          <w:bCs/>
          <w:rtl/>
          <w:lang w:eastAsia="de-DE"/>
        </w:rPr>
        <w:t>עַם</w:t>
      </w:r>
      <w:r w:rsidRPr="00D0044F">
        <w:rPr>
          <w:rFonts w:eastAsia="Times New Roman"/>
          <w:rtl/>
          <w:lang w:eastAsia="de-DE"/>
        </w:rPr>
        <w:t xml:space="preserve"> </w:t>
      </w:r>
      <w:r w:rsidRPr="00D0044F">
        <w:rPr>
          <w:rFonts w:eastAsia="Times New Roman"/>
          <w:lang w:eastAsia="de-DE"/>
        </w:rPr>
        <w:t xml:space="preserve">mit Suffix 2. Person Maskulinum Singular, </w:t>
      </w:r>
      <w:r w:rsidRPr="00D0044F">
        <w:rPr>
          <w:rFonts w:eastAsia="Times New Roman"/>
          <w:b/>
          <w:bCs/>
          <w:rtl/>
          <w:lang w:eastAsia="de-DE"/>
        </w:rPr>
        <w:t>יִשְׂרָאֵל</w:t>
      </w:r>
      <w:r w:rsidRPr="00D0044F">
        <w:rPr>
          <w:rFonts w:eastAsia="Times New Roman"/>
          <w:lang w:eastAsia="de-DE"/>
        </w:rPr>
        <w:t>).</w:t>
      </w:r>
    </w:p>
    <w:p w14:paraId="569D7FDB" w14:textId="77777777"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b/>
          <w:bCs/>
          <w:rtl/>
          <w:lang w:eastAsia="de-DE"/>
        </w:rPr>
        <w:t>וְנִכַּפֵּר לָהֶם הַדָּם</w:t>
      </w:r>
      <w:r w:rsidRPr="00D0044F">
        <w:rPr>
          <w:rFonts w:eastAsia="Times New Roman"/>
          <w:rtl/>
          <w:lang w:eastAsia="de-DE"/>
        </w:rPr>
        <w:t xml:space="preserve"> </w:t>
      </w:r>
      <w:r w:rsidRPr="00D0044F">
        <w:rPr>
          <w:rFonts w:eastAsia="Times New Roman"/>
          <w:lang w:eastAsia="de-DE"/>
        </w:rPr>
        <w:t xml:space="preserve">ist die Zusage: </w:t>
      </w:r>
      <w:r w:rsidRPr="00D0044F">
        <w:rPr>
          <w:rFonts w:eastAsia="Times New Roman"/>
          <w:b/>
          <w:bCs/>
          <w:rtl/>
          <w:lang w:eastAsia="de-DE"/>
        </w:rPr>
        <w:t>וְנִכַּפֵּר</w:t>
      </w:r>
      <w:r w:rsidRPr="00D0044F">
        <w:rPr>
          <w:rFonts w:eastAsia="Times New Roman"/>
          <w:rtl/>
          <w:lang w:eastAsia="de-DE"/>
        </w:rPr>
        <w:t xml:space="preserve"> </w:t>
      </w:r>
      <w:r w:rsidRPr="00D0044F">
        <w:rPr>
          <w:rFonts w:eastAsia="Times New Roman"/>
          <w:lang w:eastAsia="de-DE"/>
        </w:rPr>
        <w:t xml:space="preserve">(koordiniert durch </w:t>
      </w:r>
      <w:r w:rsidRPr="00D0044F">
        <w:rPr>
          <w:rFonts w:eastAsia="Times New Roman"/>
          <w:b/>
          <w:bCs/>
          <w:rtl/>
          <w:lang w:eastAsia="de-DE"/>
        </w:rPr>
        <w:t>וְ</w:t>
      </w:r>
      <w:r w:rsidRPr="00D0044F">
        <w:rPr>
          <w:rFonts w:eastAsia="Times New Roman"/>
          <w:rtl/>
          <w:lang w:eastAsia="de-DE"/>
        </w:rPr>
        <w:t xml:space="preserve"> </w:t>
      </w:r>
      <w:r w:rsidRPr="00D0044F">
        <w:rPr>
          <w:rFonts w:eastAsia="Times New Roman"/>
          <w:lang w:eastAsia="de-DE"/>
        </w:rPr>
        <w:t xml:space="preserve">mit </w:t>
      </w:r>
      <w:r w:rsidRPr="00D0044F">
        <w:rPr>
          <w:rFonts w:eastAsia="Times New Roman"/>
          <w:b/>
          <w:bCs/>
          <w:rtl/>
          <w:lang w:eastAsia="de-DE"/>
        </w:rPr>
        <w:t>כפר</w:t>
      </w:r>
      <w:r w:rsidRPr="00D0044F">
        <w:rPr>
          <w:rFonts w:eastAsia="Times New Roman"/>
          <w:lang w:eastAsia="de-DE"/>
        </w:rPr>
        <w:t xml:space="preserve">, Pual Perfekt, 3. Person Maskulinum Singular, „gesühnt werden, Sühne erfahren" – das Pual ist Passiv des Piel, mit </w:t>
      </w:r>
      <w:r w:rsidRPr="00D0044F">
        <w:rPr>
          <w:rFonts w:eastAsia="Times New Roman"/>
          <w:b/>
          <w:bCs/>
          <w:lang w:eastAsia="de-DE"/>
        </w:rPr>
        <w:t>Waw</w:t>
      </w:r>
      <w:r w:rsidRPr="00D0044F">
        <w:rPr>
          <w:rFonts w:eastAsia="Times New Roman"/>
          <w:lang w:eastAsia="de-DE"/>
        </w:rPr>
        <w:t xml:space="preserve"> consecutives Perfekt), </w:t>
      </w:r>
      <w:r w:rsidRPr="00D0044F">
        <w:rPr>
          <w:rFonts w:eastAsia="Times New Roman"/>
          <w:b/>
          <w:bCs/>
          <w:rtl/>
          <w:lang w:eastAsia="de-DE"/>
        </w:rPr>
        <w:t>לָהֶם</w:t>
      </w:r>
      <w:r w:rsidRPr="00D0044F">
        <w:rPr>
          <w:rFonts w:eastAsia="Times New Roman"/>
          <w:rtl/>
          <w:lang w:eastAsia="de-DE"/>
        </w:rPr>
        <w:t xml:space="preserve"> </w:t>
      </w:r>
      <w:r w:rsidRPr="00D0044F">
        <w:rPr>
          <w:rFonts w:eastAsia="Times New Roman"/>
          <w:lang w:eastAsia="de-DE"/>
        </w:rPr>
        <w:t xml:space="preserve">(Präposition </w:t>
      </w:r>
      <w:r w:rsidRPr="00D0044F">
        <w:rPr>
          <w:rFonts w:eastAsia="Times New Roman"/>
          <w:b/>
          <w:bCs/>
          <w:rtl/>
          <w:lang w:eastAsia="de-DE"/>
        </w:rPr>
        <w:t>לְ</w:t>
      </w:r>
      <w:r w:rsidRPr="00D0044F">
        <w:rPr>
          <w:rFonts w:eastAsia="Times New Roman"/>
          <w:rtl/>
          <w:lang w:eastAsia="de-DE"/>
        </w:rPr>
        <w:t xml:space="preserve"> </w:t>
      </w:r>
      <w:r w:rsidRPr="00D0044F">
        <w:rPr>
          <w:rFonts w:eastAsia="Times New Roman"/>
          <w:lang w:eastAsia="de-DE"/>
        </w:rPr>
        <w:t xml:space="preserve">mit Suffix 3. Person Plural als Dativ), </w:t>
      </w:r>
      <w:r w:rsidRPr="00D0044F">
        <w:rPr>
          <w:rFonts w:eastAsia="Times New Roman"/>
          <w:b/>
          <w:bCs/>
          <w:rtl/>
          <w:lang w:eastAsia="de-DE"/>
        </w:rPr>
        <w:t>הַדָּם</w:t>
      </w:r>
      <w:r w:rsidRPr="00D0044F">
        <w:rPr>
          <w:rFonts w:eastAsia="Times New Roman"/>
          <w:rtl/>
          <w:lang w:eastAsia="de-DE"/>
        </w:rPr>
        <w:t xml:space="preserve"> </w:t>
      </w:r>
      <w:r w:rsidRPr="00D0044F">
        <w:rPr>
          <w:rFonts w:eastAsia="Times New Roman"/>
          <w:lang w:eastAsia="de-DE"/>
        </w:rPr>
        <w:t>(</w:t>
      </w:r>
      <w:r w:rsidRPr="00D0044F">
        <w:rPr>
          <w:rFonts w:eastAsia="Times New Roman"/>
          <w:b/>
          <w:bCs/>
          <w:rtl/>
          <w:lang w:eastAsia="de-DE"/>
        </w:rPr>
        <w:t>דָּם</w:t>
      </w:r>
      <w:r w:rsidRPr="00D0044F">
        <w:rPr>
          <w:rFonts w:eastAsia="Times New Roman"/>
          <w:lang w:eastAsia="de-DE"/>
        </w:rPr>
        <w:t>, „Blut, Blutschuld", mit Artikel als Subjekt).</w:t>
      </w:r>
    </w:p>
    <w:p w14:paraId="733EE672" w14:textId="77777777"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lang w:eastAsia="de-DE"/>
        </w:rPr>
        <w:t xml:space="preserve">Der Vers ist das zentrale Gebet des Rituals. Die Struktur ist zweifach: (1) Imperativ an JHWH: </w:t>
      </w:r>
      <w:r w:rsidRPr="00D0044F">
        <w:rPr>
          <w:rFonts w:eastAsia="Times New Roman"/>
          <w:b/>
          <w:bCs/>
          <w:rtl/>
          <w:lang w:eastAsia="de-DE"/>
        </w:rPr>
        <w:t>כַּפֵּר</w:t>
      </w:r>
      <w:r w:rsidRPr="00D0044F">
        <w:rPr>
          <w:rFonts w:eastAsia="Times New Roman"/>
          <w:rtl/>
          <w:lang w:eastAsia="de-DE"/>
        </w:rPr>
        <w:t xml:space="preserve"> </w:t>
      </w:r>
      <w:r w:rsidRPr="00D0044F">
        <w:rPr>
          <w:rFonts w:eastAsia="Times New Roman"/>
          <w:lang w:eastAsia="de-DE"/>
        </w:rPr>
        <w:t xml:space="preserve">(„vergib, schaffe Sühne"), (2) Negativer Jussiv: </w:t>
      </w:r>
      <w:r w:rsidRPr="00D0044F">
        <w:rPr>
          <w:rFonts w:eastAsia="Times New Roman"/>
          <w:b/>
          <w:bCs/>
          <w:rtl/>
          <w:lang w:eastAsia="de-DE"/>
        </w:rPr>
        <w:t>אַל־תִּתֵּן דָּם נָקִי</w:t>
      </w:r>
      <w:r w:rsidRPr="00D0044F">
        <w:rPr>
          <w:rFonts w:eastAsia="Times New Roman"/>
          <w:rtl/>
          <w:lang w:eastAsia="de-DE"/>
        </w:rPr>
        <w:t xml:space="preserve"> </w:t>
      </w:r>
      <w:r w:rsidRPr="00D0044F">
        <w:rPr>
          <w:rFonts w:eastAsia="Times New Roman"/>
          <w:lang w:eastAsia="de-DE"/>
        </w:rPr>
        <w:t xml:space="preserve">(„lege nicht... </w:t>
      </w:r>
      <w:r w:rsidRPr="00D0044F">
        <w:rPr>
          <w:rFonts w:eastAsia="Times New Roman"/>
          <w:lang w:eastAsia="de-DE"/>
        </w:rPr>
        <w:lastRenderedPageBreak/>
        <w:t xml:space="preserve">Blut"). Der Ausdruck </w:t>
      </w:r>
      <w:r w:rsidRPr="00D0044F">
        <w:rPr>
          <w:rFonts w:eastAsia="Times New Roman"/>
          <w:b/>
          <w:bCs/>
          <w:rtl/>
          <w:lang w:eastAsia="de-DE"/>
        </w:rPr>
        <w:t>כַּפֵּר לְעַמְּךָ יִשְׂרָאֵל</w:t>
      </w:r>
      <w:r w:rsidRPr="00D0044F">
        <w:rPr>
          <w:rFonts w:eastAsia="Times New Roman"/>
          <w:rtl/>
          <w:lang w:eastAsia="de-DE"/>
        </w:rPr>
        <w:t xml:space="preserve"> </w:t>
      </w:r>
      <w:r w:rsidRPr="00D0044F">
        <w:rPr>
          <w:rFonts w:eastAsia="Times New Roman"/>
          <w:lang w:eastAsia="de-DE"/>
        </w:rPr>
        <w:t xml:space="preserve">(„vergib/schaffe Sühne für dein Volk Israel") ist eine Bitte um Sühne, nicht durch Opfer, sondern durch göttliche Gnade. Die Begründung </w:t>
      </w:r>
      <w:r w:rsidRPr="00D0044F">
        <w:rPr>
          <w:rFonts w:eastAsia="Times New Roman"/>
          <w:b/>
          <w:bCs/>
          <w:rtl/>
          <w:lang w:eastAsia="de-DE"/>
        </w:rPr>
        <w:t>אֲשֶׁר־פָּדִיתָ</w:t>
      </w:r>
      <w:r w:rsidRPr="00D0044F">
        <w:rPr>
          <w:rFonts w:eastAsia="Times New Roman"/>
          <w:rtl/>
          <w:lang w:eastAsia="de-DE"/>
        </w:rPr>
        <w:t xml:space="preserve"> </w:t>
      </w:r>
      <w:r w:rsidRPr="00D0044F">
        <w:rPr>
          <w:rFonts w:eastAsia="Times New Roman"/>
          <w:lang w:eastAsia="de-DE"/>
        </w:rPr>
        <w:t>(„das du erlöst hast") erinnert JHWH an die Exodus-Erlösung – das Volk ist JHWHs Eigentum durch Erlösung (vgl. Ex 15,13.16; Dtn 7,8; 9,26; 13,6; 15,15; 24,18; Neh 1,10; Ps 74,2; 77,16; 106,10).</w:t>
      </w:r>
    </w:p>
    <w:p w14:paraId="4F1BA736" w14:textId="0903D3CD"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lang w:eastAsia="de-DE"/>
        </w:rPr>
        <w:t xml:space="preserve">Die Formulierung </w:t>
      </w:r>
      <w:r w:rsidRPr="00D0044F">
        <w:rPr>
          <w:rFonts w:eastAsia="Times New Roman"/>
          <w:b/>
          <w:bCs/>
          <w:rtl/>
          <w:lang w:eastAsia="de-DE"/>
        </w:rPr>
        <w:t>וְאַל־תִּתֵּן דָּם נָקִי בְּקֶרֶב עַמְּךָ יִשְׂרָאֵל</w:t>
      </w:r>
      <w:r w:rsidRPr="00D0044F">
        <w:rPr>
          <w:rFonts w:eastAsia="Times New Roman"/>
          <w:rtl/>
          <w:lang w:eastAsia="de-DE"/>
        </w:rPr>
        <w:t xml:space="preserve"> </w:t>
      </w:r>
      <w:r w:rsidRPr="00D0044F">
        <w:rPr>
          <w:rFonts w:eastAsia="Times New Roman"/>
          <w:lang w:eastAsia="de-DE"/>
        </w:rPr>
        <w:t xml:space="preserve">(„lege nicht unschuldiges Blut in die Mitte deines Volkes Israel") bedeutet: Rechne uns diese Blutschuld nicht an, lass sie nicht auf uns lasten. Der Ausdruck </w:t>
      </w:r>
      <w:r w:rsidRPr="00D0044F">
        <w:rPr>
          <w:rFonts w:eastAsia="Times New Roman"/>
          <w:b/>
          <w:bCs/>
          <w:rtl/>
          <w:lang w:eastAsia="de-DE"/>
        </w:rPr>
        <w:t>דָּם נָקִי</w:t>
      </w:r>
      <w:r w:rsidRPr="00D0044F">
        <w:rPr>
          <w:rFonts w:eastAsia="Times New Roman"/>
          <w:rtl/>
          <w:lang w:eastAsia="de-DE"/>
        </w:rPr>
        <w:t xml:space="preserve"> </w:t>
      </w:r>
      <w:r w:rsidRPr="00D0044F">
        <w:rPr>
          <w:rFonts w:eastAsia="Times New Roman"/>
          <w:lang w:eastAsia="de-DE"/>
        </w:rPr>
        <w:t xml:space="preserve">(„unschuldiges Blut") betont: Der Ermordete war unschuldig, sein Blut schreit nach Sühne (vgl. Gen 4,10; </w:t>
      </w:r>
      <w:r w:rsidR="00664EB6">
        <w:rPr>
          <w:rFonts w:eastAsia="Times New Roman"/>
          <w:lang w:eastAsia="de-DE"/>
        </w:rPr>
        <w:t>2Kön</w:t>
      </w:r>
      <w:r w:rsidRPr="00D0044F">
        <w:rPr>
          <w:rFonts w:eastAsia="Times New Roman"/>
          <w:lang w:eastAsia="de-DE"/>
        </w:rPr>
        <w:t xml:space="preserve"> 21,16; 24,4; Ps 106,38; Spr 6,17; Jes 59,7; Jer 7,6; 19,4; 22,3.17; 26,15; Joel 4,19; Jona 1,14).</w:t>
      </w:r>
    </w:p>
    <w:p w14:paraId="72EAAFEF" w14:textId="55182817" w:rsidR="00D0044F" w:rsidRDefault="00D0044F" w:rsidP="00D0044F">
      <w:pPr>
        <w:spacing w:before="100" w:beforeAutospacing="1" w:after="100" w:afterAutospacing="1" w:line="240" w:lineRule="auto"/>
        <w:rPr>
          <w:rFonts w:eastAsia="Times New Roman"/>
          <w:lang w:eastAsia="de-DE"/>
        </w:rPr>
      </w:pPr>
      <w:r w:rsidRPr="00D0044F">
        <w:rPr>
          <w:rFonts w:eastAsia="Times New Roman"/>
          <w:lang w:eastAsia="de-DE"/>
        </w:rPr>
        <w:t xml:space="preserve">Die Schlussformel </w:t>
      </w:r>
      <w:r w:rsidRPr="00D0044F">
        <w:rPr>
          <w:rFonts w:eastAsia="Times New Roman"/>
          <w:b/>
          <w:bCs/>
          <w:rtl/>
          <w:lang w:eastAsia="de-DE"/>
        </w:rPr>
        <w:t>וְנִכַּפֵּר לָהֶם הַדָּם</w:t>
      </w:r>
      <w:r w:rsidRPr="00D0044F">
        <w:rPr>
          <w:rFonts w:eastAsia="Times New Roman"/>
          <w:rtl/>
          <w:lang w:eastAsia="de-DE"/>
        </w:rPr>
        <w:t xml:space="preserve"> </w:t>
      </w:r>
      <w:r w:rsidRPr="00D0044F">
        <w:rPr>
          <w:rFonts w:eastAsia="Times New Roman"/>
          <w:lang w:eastAsia="de-DE"/>
        </w:rPr>
        <w:t xml:space="preserve">(„und gesühnt wird ihnen das Blut") ist eine prophetische Zusage im </w:t>
      </w:r>
      <w:r w:rsidRPr="00D0044F">
        <w:rPr>
          <w:rFonts w:eastAsia="Times New Roman"/>
          <w:b/>
          <w:bCs/>
          <w:lang w:eastAsia="de-DE"/>
        </w:rPr>
        <w:t>Waw</w:t>
      </w:r>
      <w:r w:rsidRPr="00D0044F">
        <w:rPr>
          <w:rFonts w:eastAsia="Times New Roman"/>
          <w:lang w:eastAsia="de-DE"/>
        </w:rPr>
        <w:t xml:space="preserve"> consecutives Perfekt – als Folge des Rituals und Gebets wird die Blutschuld gesühnt. Das Pual </w:t>
      </w:r>
      <w:r w:rsidRPr="00D0044F">
        <w:rPr>
          <w:rFonts w:eastAsia="Times New Roman"/>
          <w:b/>
          <w:bCs/>
          <w:rtl/>
          <w:lang w:eastAsia="de-DE"/>
        </w:rPr>
        <w:t>נִכַּפֵּר</w:t>
      </w:r>
      <w:r w:rsidRPr="00D0044F">
        <w:rPr>
          <w:rFonts w:eastAsia="Times New Roman"/>
          <w:rtl/>
          <w:lang w:eastAsia="de-DE"/>
        </w:rPr>
        <w:t xml:space="preserve"> </w:t>
      </w:r>
      <w:r w:rsidRPr="00D0044F">
        <w:rPr>
          <w:rFonts w:eastAsia="Times New Roman"/>
          <w:lang w:eastAsia="de-DE"/>
        </w:rPr>
        <w:t>betont: JHWH wirkt die Sühne, nicht das Ritual selbst. Das Ritual ist der äußere Rahmen, JHWH gewährt die eigentliche Sühne.</w:t>
      </w:r>
    </w:p>
    <w:p w14:paraId="1AC6DFA9" w14:textId="5F195CBE" w:rsidR="00D00836" w:rsidRPr="00D0044F" w:rsidRDefault="00D00836" w:rsidP="00D0044F">
      <w:pPr>
        <w:spacing w:before="100" w:beforeAutospacing="1" w:after="100" w:afterAutospacing="1" w:line="240" w:lineRule="auto"/>
        <w:rPr>
          <w:rFonts w:eastAsia="Times New Roman"/>
          <w:lang w:eastAsia="de-DE"/>
        </w:rPr>
      </w:pPr>
      <w:r>
        <w:rPr>
          <w:rStyle w:val="Fett"/>
        </w:rPr>
        <w:t>Die LXX</w:t>
      </w:r>
      <w:r>
        <w:t xml:space="preserve"> übersetzt </w:t>
      </w:r>
      <w:r>
        <w:rPr>
          <w:rtl/>
        </w:rPr>
        <w:t>כַּפֵּר לְעַמְּךָ יִשְׂרָאֵל</w:t>
      </w:r>
      <w:r>
        <w:t xml:space="preserve"> (sühne für dein Volk Israel) mit </w:t>
      </w:r>
      <w:proofErr w:type="spellStart"/>
      <w:r>
        <w:t>ἵλεως</w:t>
      </w:r>
      <w:proofErr w:type="spellEnd"/>
      <w:r>
        <w:t xml:space="preserve"> </w:t>
      </w:r>
      <w:proofErr w:type="spellStart"/>
      <w:r>
        <w:t>γενοῦ</w:t>
      </w:r>
      <w:proofErr w:type="spellEnd"/>
      <w:r>
        <w:t xml:space="preserve"> </w:t>
      </w:r>
      <w:proofErr w:type="spellStart"/>
      <w:r>
        <w:t>τῷ</w:t>
      </w:r>
      <w:proofErr w:type="spellEnd"/>
      <w:r>
        <w:t xml:space="preserve"> λαῷ </w:t>
      </w:r>
      <w:proofErr w:type="spellStart"/>
      <w:r>
        <w:t>σου</w:t>
      </w:r>
      <w:proofErr w:type="spellEnd"/>
      <w:r>
        <w:t xml:space="preserve"> </w:t>
      </w:r>
      <w:proofErr w:type="spellStart"/>
      <w:r>
        <w:t>Ἰσρ</w:t>
      </w:r>
      <w:proofErr w:type="spellEnd"/>
      <w:r>
        <w:t xml:space="preserve">αήλ (sei gnädig deinem Volk Israel) – eine direkte Bitte an Gott statt eines Imperativs der Sühnung. Das Verb </w:t>
      </w:r>
      <w:proofErr w:type="spellStart"/>
      <w:r>
        <w:t>ἐξιλ</w:t>
      </w:r>
      <w:proofErr w:type="spellEnd"/>
      <w:r>
        <w:t>ασθήσεται (gesühnt werden wird) ist passivisch konstruiert.</w:t>
      </w:r>
    </w:p>
    <w:p w14:paraId="306C648D" w14:textId="77777777"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b/>
          <w:bCs/>
          <w:lang w:eastAsia="de-DE"/>
        </w:rPr>
        <w:t>Die Satzstruktur:</w:t>
      </w:r>
      <w:r w:rsidRPr="00D0044F">
        <w:rPr>
          <w:rFonts w:eastAsia="Times New Roman"/>
          <w:lang w:eastAsia="de-DE"/>
        </w:rPr>
        <w:t xml:space="preserve"> Gebet mit Zusage (vergib deinem Volk Israel, das du erlöst hast, JHWH, und nicht lege unschuldiges Blut in die Mitte deines Volkes Israel; und gesühnt wird ihnen das Blut).</w:t>
      </w:r>
    </w:p>
    <w:p w14:paraId="495A5176" w14:textId="77777777"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lang w:eastAsia="de-DE"/>
        </w:rPr>
        <w:t>Der Vers gibt das Gebet: Vergib deinem Volk Israel und lege keine Blutschuld auf es – und die Blutschuld wird gesühnt.</w:t>
      </w:r>
    </w:p>
    <w:p w14:paraId="28F3E659" w14:textId="77777777" w:rsidR="00D0044F" w:rsidRPr="00B27A64" w:rsidRDefault="00D0044F" w:rsidP="00D0044F">
      <w:pPr>
        <w:spacing w:before="100" w:beforeAutospacing="1" w:after="100" w:afterAutospacing="1" w:line="240" w:lineRule="auto"/>
        <w:outlineLvl w:val="0"/>
        <w:rPr>
          <w:rFonts w:eastAsia="Times New Roman"/>
          <w:b/>
          <w:bCs/>
          <w:kern w:val="36"/>
          <w:sz w:val="36"/>
          <w:szCs w:val="36"/>
          <w:lang w:eastAsia="de-DE"/>
        </w:rPr>
      </w:pPr>
      <w:r w:rsidRPr="00B27A64">
        <w:rPr>
          <w:rFonts w:eastAsia="Times New Roman"/>
          <w:b/>
          <w:bCs/>
          <w:kern w:val="36"/>
          <w:sz w:val="36"/>
          <w:szCs w:val="36"/>
          <w:lang w:eastAsia="de-DE"/>
        </w:rPr>
        <w:t>Deuteronomium 21,9</w:t>
      </w:r>
    </w:p>
    <w:p w14:paraId="2FD8ACF0" w14:textId="77777777"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b/>
          <w:bCs/>
          <w:lang w:eastAsia="de-DE"/>
        </w:rPr>
        <w:t>Hebräisch:</w:t>
      </w:r>
      <w:r w:rsidRPr="00D0044F">
        <w:rPr>
          <w:rFonts w:eastAsia="Times New Roman"/>
          <w:lang w:eastAsia="de-DE"/>
        </w:rPr>
        <w:t xml:space="preserve"> </w:t>
      </w:r>
      <w:r w:rsidRPr="00D0044F">
        <w:rPr>
          <w:rFonts w:eastAsia="Times New Roman"/>
          <w:rtl/>
          <w:lang w:eastAsia="de-DE"/>
        </w:rPr>
        <w:t>וְאַתָּ֗ה תְּבַעֵ֛ר הַדָּ֥ם הַנָּקִ֖י מִקִּרְבֶּ֑ךָ כִּֽי־תַעֲשֶׂ֥ה הַיָּשָׁ֖ר בְּעֵינֵ֥י יְהוָֽה׃</w:t>
      </w:r>
    </w:p>
    <w:p w14:paraId="266F4D67" w14:textId="77777777"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b/>
          <w:bCs/>
          <w:lang w:eastAsia="de-DE"/>
        </w:rPr>
        <w:t>Deutsch:</w:t>
      </w:r>
      <w:r w:rsidRPr="00D0044F">
        <w:rPr>
          <w:rFonts w:eastAsia="Times New Roman"/>
          <w:lang w:eastAsia="de-DE"/>
        </w:rPr>
        <w:t xml:space="preserve"> Und du sollst das unschuldige Blut aus deiner Mitte wegschaffen; denn du sollst tun, was recht ist in den Augen des Ewigen.</w:t>
      </w:r>
    </w:p>
    <w:p w14:paraId="16F93692" w14:textId="77777777" w:rsidR="00D0044F" w:rsidRPr="00D0044F" w:rsidRDefault="004F5CEB" w:rsidP="00D0044F">
      <w:pPr>
        <w:spacing w:after="0" w:line="240" w:lineRule="auto"/>
        <w:rPr>
          <w:rFonts w:eastAsia="Times New Roman"/>
          <w:lang w:eastAsia="de-DE"/>
        </w:rPr>
      </w:pPr>
      <w:r>
        <w:rPr>
          <w:rFonts w:eastAsia="Times New Roman"/>
          <w:noProof/>
          <w:lang w:eastAsia="de-DE"/>
        </w:rPr>
        <w:pict w14:anchorId="11E085D3">
          <v:rect id="_x0000_i1581" style="width:0;height:1.5pt" o:hralign="center" o:hrstd="t" o:hr="t" fillcolor="#a0a0a0" stroked="f"/>
        </w:pict>
      </w:r>
    </w:p>
    <w:p w14:paraId="71AF43D2" w14:textId="77777777"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b/>
          <w:bCs/>
          <w:lang w:eastAsia="de-DE"/>
        </w:rPr>
        <w:t>Kommentar:</w:t>
      </w:r>
      <w:r w:rsidRPr="00D0044F">
        <w:rPr>
          <w:rFonts w:eastAsia="Times New Roman"/>
          <w:lang w:eastAsia="de-DE"/>
        </w:rPr>
        <w:t xml:space="preserve"> </w:t>
      </w:r>
      <w:r w:rsidRPr="00D0044F">
        <w:rPr>
          <w:rFonts w:eastAsia="Times New Roman"/>
          <w:b/>
          <w:bCs/>
          <w:rtl/>
          <w:lang w:eastAsia="de-DE"/>
        </w:rPr>
        <w:t>וְאַתָּה תְּבַעֵר הַדָּם הַנָּקִי מִקִּרְבֶּךָ</w:t>
      </w:r>
      <w:r w:rsidRPr="00D0044F">
        <w:rPr>
          <w:rFonts w:eastAsia="Times New Roman"/>
          <w:rtl/>
          <w:lang w:eastAsia="de-DE"/>
        </w:rPr>
        <w:t xml:space="preserve"> </w:t>
      </w:r>
      <w:r w:rsidRPr="00D0044F">
        <w:rPr>
          <w:rFonts w:eastAsia="Times New Roman"/>
          <w:lang w:eastAsia="de-DE"/>
        </w:rPr>
        <w:t xml:space="preserve">ist die Anweisung: </w:t>
      </w:r>
      <w:r w:rsidRPr="00D0044F">
        <w:rPr>
          <w:rFonts w:eastAsia="Times New Roman"/>
          <w:b/>
          <w:bCs/>
          <w:rtl/>
          <w:lang w:eastAsia="de-DE"/>
        </w:rPr>
        <w:t>וְאַתָּה</w:t>
      </w:r>
      <w:r w:rsidRPr="00D0044F">
        <w:rPr>
          <w:rFonts w:eastAsia="Times New Roman"/>
          <w:rtl/>
          <w:lang w:eastAsia="de-DE"/>
        </w:rPr>
        <w:t xml:space="preserve"> </w:t>
      </w:r>
      <w:r w:rsidRPr="00D0044F">
        <w:rPr>
          <w:rFonts w:eastAsia="Times New Roman"/>
          <w:lang w:eastAsia="de-DE"/>
        </w:rPr>
        <w:t xml:space="preserve">(koordiniert durch </w:t>
      </w:r>
      <w:r w:rsidRPr="00D0044F">
        <w:rPr>
          <w:rFonts w:eastAsia="Times New Roman"/>
          <w:b/>
          <w:bCs/>
          <w:rtl/>
          <w:lang w:eastAsia="de-DE"/>
        </w:rPr>
        <w:t>וְ</w:t>
      </w:r>
      <w:r w:rsidRPr="00D0044F">
        <w:rPr>
          <w:rFonts w:eastAsia="Times New Roman"/>
          <w:rtl/>
          <w:lang w:eastAsia="de-DE"/>
        </w:rPr>
        <w:t xml:space="preserve"> </w:t>
      </w:r>
      <w:r w:rsidRPr="00D0044F">
        <w:rPr>
          <w:rFonts w:eastAsia="Times New Roman"/>
          <w:lang w:eastAsia="de-DE"/>
        </w:rPr>
        <w:t xml:space="preserve">mit </w:t>
      </w:r>
      <w:r w:rsidRPr="00D0044F">
        <w:rPr>
          <w:rFonts w:eastAsia="Times New Roman"/>
          <w:b/>
          <w:bCs/>
          <w:rtl/>
          <w:lang w:eastAsia="de-DE"/>
        </w:rPr>
        <w:t>אַתָּה</w:t>
      </w:r>
      <w:r w:rsidRPr="00D0044F">
        <w:rPr>
          <w:rFonts w:eastAsia="Times New Roman"/>
          <w:lang w:eastAsia="de-DE"/>
        </w:rPr>
        <w:t xml:space="preserve">, Personalpronomen 2. Person Maskulinum Singular, betont – „und du" wendet sich an das Volk/jeden Israeliten), </w:t>
      </w:r>
      <w:r w:rsidRPr="00D0044F">
        <w:rPr>
          <w:rFonts w:eastAsia="Times New Roman"/>
          <w:b/>
          <w:bCs/>
          <w:rtl/>
          <w:lang w:eastAsia="de-DE"/>
        </w:rPr>
        <w:t>תְּבַעֵר</w:t>
      </w:r>
      <w:r w:rsidRPr="00D0044F">
        <w:rPr>
          <w:rFonts w:eastAsia="Times New Roman"/>
          <w:rtl/>
          <w:lang w:eastAsia="de-DE"/>
        </w:rPr>
        <w:t xml:space="preserve"> </w:t>
      </w:r>
      <w:r w:rsidRPr="00D0044F">
        <w:rPr>
          <w:rFonts w:eastAsia="Times New Roman"/>
          <w:lang w:eastAsia="de-DE"/>
        </w:rPr>
        <w:t xml:space="preserve">(Piel Imperfekt, 2. Person Maskulinum Singular von </w:t>
      </w:r>
      <w:r w:rsidRPr="00D0044F">
        <w:rPr>
          <w:rFonts w:eastAsia="Times New Roman"/>
          <w:b/>
          <w:bCs/>
          <w:rtl/>
          <w:lang w:eastAsia="de-DE"/>
        </w:rPr>
        <w:t>בער</w:t>
      </w:r>
      <w:r w:rsidRPr="00D0044F">
        <w:rPr>
          <w:rFonts w:eastAsia="Times New Roman"/>
          <w:lang w:eastAsia="de-DE"/>
        </w:rPr>
        <w:t xml:space="preserve">, „wegschaffen, ausrotten, verbrennen, entfernen" – im Piel intensiv/faktitiv), </w:t>
      </w:r>
      <w:r w:rsidRPr="00D0044F">
        <w:rPr>
          <w:rFonts w:eastAsia="Times New Roman"/>
          <w:b/>
          <w:bCs/>
          <w:rtl/>
          <w:lang w:eastAsia="de-DE"/>
        </w:rPr>
        <w:t>הַדָּם הַנָּקִי</w:t>
      </w:r>
      <w:r w:rsidRPr="00D0044F">
        <w:rPr>
          <w:rFonts w:eastAsia="Times New Roman"/>
          <w:rtl/>
          <w:lang w:eastAsia="de-DE"/>
        </w:rPr>
        <w:t xml:space="preserve"> </w:t>
      </w:r>
      <w:r w:rsidRPr="00D0044F">
        <w:rPr>
          <w:rFonts w:eastAsia="Times New Roman"/>
          <w:lang w:eastAsia="de-DE"/>
        </w:rPr>
        <w:t>(</w:t>
      </w:r>
      <w:r w:rsidRPr="00D0044F">
        <w:rPr>
          <w:rFonts w:eastAsia="Times New Roman"/>
          <w:b/>
          <w:bCs/>
          <w:rtl/>
          <w:lang w:eastAsia="de-DE"/>
        </w:rPr>
        <w:t>דָּם</w:t>
      </w:r>
      <w:r w:rsidRPr="00D0044F">
        <w:rPr>
          <w:rFonts w:eastAsia="Times New Roman"/>
          <w:rtl/>
          <w:lang w:eastAsia="de-DE"/>
        </w:rPr>
        <w:t xml:space="preserve"> </w:t>
      </w:r>
      <w:r w:rsidRPr="00D0044F">
        <w:rPr>
          <w:rFonts w:eastAsia="Times New Roman"/>
          <w:lang w:eastAsia="de-DE"/>
        </w:rPr>
        <w:t xml:space="preserve">mit Artikel, </w:t>
      </w:r>
      <w:r w:rsidRPr="00D0044F">
        <w:rPr>
          <w:rFonts w:eastAsia="Times New Roman"/>
          <w:b/>
          <w:bCs/>
          <w:rtl/>
          <w:lang w:eastAsia="de-DE"/>
        </w:rPr>
        <w:t>נָקִי</w:t>
      </w:r>
      <w:r w:rsidRPr="00D0044F">
        <w:rPr>
          <w:rFonts w:eastAsia="Times New Roman"/>
          <w:lang w:eastAsia="de-DE"/>
        </w:rPr>
        <w:t xml:space="preserve">, „unschuldig, rein", mit Artikel, als Attribut), </w:t>
      </w:r>
      <w:r w:rsidRPr="00D0044F">
        <w:rPr>
          <w:rFonts w:eastAsia="Times New Roman"/>
          <w:b/>
          <w:bCs/>
          <w:rtl/>
          <w:lang w:eastAsia="de-DE"/>
        </w:rPr>
        <w:t>מִקִּרְבֶּךָ</w:t>
      </w:r>
      <w:r w:rsidRPr="00D0044F">
        <w:rPr>
          <w:rFonts w:eastAsia="Times New Roman"/>
          <w:rtl/>
          <w:lang w:eastAsia="de-DE"/>
        </w:rPr>
        <w:t xml:space="preserve"> </w:t>
      </w:r>
      <w:r w:rsidRPr="00D0044F">
        <w:rPr>
          <w:rFonts w:eastAsia="Times New Roman"/>
          <w:lang w:eastAsia="de-DE"/>
        </w:rPr>
        <w:t xml:space="preserve">(Präposition </w:t>
      </w:r>
      <w:r w:rsidRPr="00D0044F">
        <w:rPr>
          <w:rFonts w:eastAsia="Times New Roman"/>
          <w:b/>
          <w:bCs/>
          <w:rtl/>
          <w:lang w:eastAsia="de-DE"/>
        </w:rPr>
        <w:t>מִן</w:t>
      </w:r>
      <w:r w:rsidRPr="00D0044F">
        <w:rPr>
          <w:rFonts w:eastAsia="Times New Roman"/>
          <w:rtl/>
          <w:lang w:eastAsia="de-DE"/>
        </w:rPr>
        <w:t xml:space="preserve"> </w:t>
      </w:r>
      <w:r w:rsidRPr="00D0044F">
        <w:rPr>
          <w:rFonts w:eastAsia="Times New Roman"/>
          <w:lang w:eastAsia="de-DE"/>
        </w:rPr>
        <w:t xml:space="preserve">mit </w:t>
      </w:r>
      <w:r w:rsidRPr="00D0044F">
        <w:rPr>
          <w:rFonts w:eastAsia="Times New Roman"/>
          <w:b/>
          <w:bCs/>
          <w:rtl/>
          <w:lang w:eastAsia="de-DE"/>
        </w:rPr>
        <w:t>קֶרֶב</w:t>
      </w:r>
      <w:r w:rsidRPr="00D0044F">
        <w:rPr>
          <w:rFonts w:eastAsia="Times New Roman"/>
          <w:lang w:eastAsia="de-DE"/>
        </w:rPr>
        <w:t>, „Mitte, Inneres", mit Suffix 2. Person Maskulinum Singular).</w:t>
      </w:r>
    </w:p>
    <w:p w14:paraId="6BC9C5C0" w14:textId="77777777"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b/>
          <w:bCs/>
          <w:rtl/>
          <w:lang w:eastAsia="de-DE"/>
        </w:rPr>
        <w:t>כִּי־תַעֲשֶׂה הַיָּשָׁר בְּעֵינֵ֥י יְהוָה</w:t>
      </w:r>
      <w:r w:rsidRPr="00D0044F">
        <w:rPr>
          <w:rFonts w:eastAsia="Times New Roman"/>
          <w:rtl/>
          <w:lang w:eastAsia="de-DE"/>
        </w:rPr>
        <w:t xml:space="preserve"> </w:t>
      </w:r>
      <w:r w:rsidRPr="00D0044F">
        <w:rPr>
          <w:rFonts w:eastAsia="Times New Roman"/>
          <w:lang w:eastAsia="de-DE"/>
        </w:rPr>
        <w:t xml:space="preserve">ist die Begründung: </w:t>
      </w:r>
      <w:r w:rsidRPr="00D0044F">
        <w:rPr>
          <w:rFonts w:eastAsia="Times New Roman"/>
          <w:b/>
          <w:bCs/>
          <w:rtl/>
          <w:lang w:eastAsia="de-DE"/>
        </w:rPr>
        <w:t>כִּי־תַעֲשֶׂה</w:t>
      </w:r>
      <w:r w:rsidRPr="00D0044F">
        <w:rPr>
          <w:rFonts w:eastAsia="Times New Roman"/>
          <w:rtl/>
          <w:lang w:eastAsia="de-DE"/>
        </w:rPr>
        <w:t xml:space="preserve"> </w:t>
      </w:r>
      <w:r w:rsidRPr="00D0044F">
        <w:rPr>
          <w:rFonts w:eastAsia="Times New Roman"/>
          <w:lang w:eastAsia="de-DE"/>
        </w:rPr>
        <w:t xml:space="preserve">(Kausalsatz: </w:t>
      </w:r>
      <w:r w:rsidRPr="00D0044F">
        <w:rPr>
          <w:rFonts w:eastAsia="Times New Roman"/>
          <w:b/>
          <w:bCs/>
          <w:rtl/>
          <w:lang w:eastAsia="de-DE"/>
        </w:rPr>
        <w:t>כִּי</w:t>
      </w:r>
      <w:r w:rsidRPr="00D0044F">
        <w:rPr>
          <w:rFonts w:eastAsia="Times New Roman"/>
          <w:rtl/>
          <w:lang w:eastAsia="de-DE"/>
        </w:rPr>
        <w:t xml:space="preserve"> </w:t>
      </w:r>
      <w:r w:rsidRPr="00D0044F">
        <w:rPr>
          <w:rFonts w:eastAsia="Times New Roman"/>
          <w:lang w:eastAsia="de-DE"/>
        </w:rPr>
        <w:t xml:space="preserve">mit </w:t>
      </w:r>
      <w:r w:rsidRPr="00D0044F">
        <w:rPr>
          <w:rFonts w:eastAsia="Times New Roman"/>
          <w:b/>
          <w:bCs/>
          <w:rtl/>
          <w:lang w:eastAsia="de-DE"/>
        </w:rPr>
        <w:t>עשׂה</w:t>
      </w:r>
      <w:r w:rsidRPr="00D0044F">
        <w:rPr>
          <w:rFonts w:eastAsia="Times New Roman"/>
          <w:lang w:eastAsia="de-DE"/>
        </w:rPr>
        <w:t xml:space="preserve">, Qal Imperfekt, 2. Person Maskulinum Singular, „tun, machen"), </w:t>
      </w:r>
      <w:r w:rsidRPr="00D0044F">
        <w:rPr>
          <w:rFonts w:eastAsia="Times New Roman"/>
          <w:b/>
          <w:bCs/>
          <w:rtl/>
          <w:lang w:eastAsia="de-DE"/>
        </w:rPr>
        <w:t>הַיָּשָׁר</w:t>
      </w:r>
      <w:r w:rsidRPr="00D0044F">
        <w:rPr>
          <w:rFonts w:eastAsia="Times New Roman"/>
          <w:rtl/>
          <w:lang w:eastAsia="de-DE"/>
        </w:rPr>
        <w:t xml:space="preserve"> </w:t>
      </w:r>
      <w:r w:rsidRPr="00D0044F">
        <w:rPr>
          <w:rFonts w:eastAsia="Times New Roman"/>
          <w:lang w:eastAsia="de-DE"/>
        </w:rPr>
        <w:t xml:space="preserve">(Qal Partizip von </w:t>
      </w:r>
      <w:r w:rsidRPr="00D0044F">
        <w:rPr>
          <w:rFonts w:eastAsia="Times New Roman"/>
          <w:b/>
          <w:bCs/>
          <w:rtl/>
          <w:lang w:eastAsia="de-DE"/>
        </w:rPr>
        <w:t>ישׁר</w:t>
      </w:r>
      <w:r w:rsidRPr="00D0044F">
        <w:rPr>
          <w:rFonts w:eastAsia="Times New Roman"/>
          <w:lang w:eastAsia="de-DE"/>
        </w:rPr>
        <w:t xml:space="preserve">, „gerade sein, recht sein", mit Artikel, substantiviert – „das Rechte, das Richtige"), </w:t>
      </w:r>
      <w:r w:rsidRPr="00D0044F">
        <w:rPr>
          <w:rFonts w:eastAsia="Times New Roman"/>
          <w:b/>
          <w:bCs/>
          <w:rtl/>
          <w:lang w:eastAsia="de-DE"/>
        </w:rPr>
        <w:t>בְּעֵינֵי יְהוָה</w:t>
      </w:r>
      <w:r w:rsidRPr="00D0044F">
        <w:rPr>
          <w:rFonts w:eastAsia="Times New Roman"/>
          <w:rtl/>
          <w:lang w:eastAsia="de-DE"/>
        </w:rPr>
        <w:t xml:space="preserve"> </w:t>
      </w:r>
      <w:r w:rsidRPr="00D0044F">
        <w:rPr>
          <w:rFonts w:eastAsia="Times New Roman"/>
          <w:lang w:eastAsia="de-DE"/>
        </w:rPr>
        <w:t xml:space="preserve">(Präposition </w:t>
      </w:r>
      <w:r w:rsidRPr="00D0044F">
        <w:rPr>
          <w:rFonts w:eastAsia="Times New Roman"/>
          <w:b/>
          <w:bCs/>
          <w:rtl/>
          <w:lang w:eastAsia="de-DE"/>
        </w:rPr>
        <w:t>בְּ</w:t>
      </w:r>
      <w:r w:rsidRPr="00D0044F">
        <w:rPr>
          <w:rFonts w:eastAsia="Times New Roman"/>
          <w:rtl/>
          <w:lang w:eastAsia="de-DE"/>
        </w:rPr>
        <w:t xml:space="preserve"> </w:t>
      </w:r>
      <w:r w:rsidRPr="00D0044F">
        <w:rPr>
          <w:rFonts w:eastAsia="Times New Roman"/>
          <w:lang w:eastAsia="de-DE"/>
        </w:rPr>
        <w:lastRenderedPageBreak/>
        <w:t xml:space="preserve">mit </w:t>
      </w:r>
      <w:r w:rsidRPr="00D0044F">
        <w:rPr>
          <w:rFonts w:eastAsia="Times New Roman"/>
          <w:b/>
          <w:bCs/>
          <w:rtl/>
          <w:lang w:eastAsia="de-DE"/>
        </w:rPr>
        <w:t>עַיִן</w:t>
      </w:r>
      <w:r w:rsidRPr="00D0044F">
        <w:rPr>
          <w:rFonts w:eastAsia="Times New Roman"/>
          <w:lang w:eastAsia="de-DE"/>
        </w:rPr>
        <w:t xml:space="preserve">, Dual Construct, „Augen", mit </w:t>
      </w:r>
      <w:r w:rsidRPr="00D0044F">
        <w:rPr>
          <w:rFonts w:eastAsia="Times New Roman"/>
          <w:b/>
          <w:bCs/>
          <w:rtl/>
          <w:lang w:eastAsia="de-DE"/>
        </w:rPr>
        <w:t>יְהוָה</w:t>
      </w:r>
      <w:r w:rsidRPr="00D0044F">
        <w:rPr>
          <w:rFonts w:eastAsia="Times New Roman"/>
          <w:rtl/>
          <w:lang w:eastAsia="de-DE"/>
        </w:rPr>
        <w:t xml:space="preserve"> </w:t>
      </w:r>
      <w:r w:rsidRPr="00D0044F">
        <w:rPr>
          <w:rFonts w:eastAsia="Times New Roman"/>
          <w:lang w:eastAsia="de-DE"/>
        </w:rPr>
        <w:t>– idiomatisch: „in den Augen JHWHs" = „nach JHWHs Urteil, vor JHWH").</w:t>
      </w:r>
    </w:p>
    <w:p w14:paraId="36B43755" w14:textId="77777777"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lang w:eastAsia="de-DE"/>
        </w:rPr>
        <w:t xml:space="preserve">Der Vers schließt das Ritual ab und wendet sich direkt an das Volk (Singular </w:t>
      </w:r>
      <w:r w:rsidRPr="00D0044F">
        <w:rPr>
          <w:rFonts w:eastAsia="Times New Roman"/>
          <w:b/>
          <w:bCs/>
          <w:rtl/>
          <w:lang w:eastAsia="de-DE"/>
        </w:rPr>
        <w:t>אַתָּה</w:t>
      </w:r>
      <w:r w:rsidRPr="00D0044F">
        <w:rPr>
          <w:rFonts w:eastAsia="Times New Roman"/>
          <w:lang w:eastAsia="de-DE"/>
        </w:rPr>
        <w:t xml:space="preserve">). Das betonte </w:t>
      </w:r>
      <w:r w:rsidRPr="00D0044F">
        <w:rPr>
          <w:rFonts w:eastAsia="Times New Roman"/>
          <w:b/>
          <w:bCs/>
          <w:rtl/>
          <w:lang w:eastAsia="de-DE"/>
        </w:rPr>
        <w:t>וְאַתָּה</w:t>
      </w:r>
      <w:r w:rsidRPr="00D0044F">
        <w:rPr>
          <w:rFonts w:eastAsia="Times New Roman"/>
          <w:rtl/>
          <w:lang w:eastAsia="de-DE"/>
        </w:rPr>
        <w:t xml:space="preserve"> </w:t>
      </w:r>
      <w:r w:rsidRPr="00D0044F">
        <w:rPr>
          <w:rFonts w:eastAsia="Times New Roman"/>
          <w:lang w:eastAsia="de-DE"/>
        </w:rPr>
        <w:t xml:space="preserve">(„und du") zeigt: Nach dem Ritual der Ältesten und Priester hat jeder Israelit die Verpflichtung. Das Verb </w:t>
      </w:r>
      <w:r w:rsidRPr="00D0044F">
        <w:rPr>
          <w:rFonts w:eastAsia="Times New Roman"/>
          <w:b/>
          <w:bCs/>
          <w:rtl/>
          <w:lang w:eastAsia="de-DE"/>
        </w:rPr>
        <w:t>בער</w:t>
      </w:r>
      <w:r w:rsidRPr="00D0044F">
        <w:rPr>
          <w:rFonts w:eastAsia="Times New Roman"/>
          <w:rtl/>
          <w:lang w:eastAsia="de-DE"/>
        </w:rPr>
        <w:t xml:space="preserve"> </w:t>
      </w:r>
      <w:r w:rsidRPr="00D0044F">
        <w:rPr>
          <w:rFonts w:eastAsia="Times New Roman"/>
          <w:lang w:eastAsia="de-DE"/>
        </w:rPr>
        <w:t xml:space="preserve">im Piel („wegschaffen, entfernen") ist die charakteristische deuteronomische Formel für das Entfernen des Bösen (vgl. 13,6; 17,7.12; 19,13.19; 21,9.21; 22,21.22.24; 24,7) – hier auf </w:t>
      </w:r>
      <w:r w:rsidRPr="00D0044F">
        <w:rPr>
          <w:rFonts w:eastAsia="Times New Roman"/>
          <w:b/>
          <w:bCs/>
          <w:rtl/>
          <w:lang w:eastAsia="de-DE"/>
        </w:rPr>
        <w:t>הַדָּם הַנָּקִי</w:t>
      </w:r>
      <w:r w:rsidRPr="00D0044F">
        <w:rPr>
          <w:rFonts w:eastAsia="Times New Roman"/>
          <w:rtl/>
          <w:lang w:eastAsia="de-DE"/>
        </w:rPr>
        <w:t xml:space="preserve"> </w:t>
      </w:r>
      <w:r w:rsidRPr="00D0044F">
        <w:rPr>
          <w:rFonts w:eastAsia="Times New Roman"/>
          <w:lang w:eastAsia="de-DE"/>
        </w:rPr>
        <w:t xml:space="preserve">(„das unschuldige Blut", d.h. die Blutschuld) angewendet. Die Formulierung </w:t>
      </w:r>
      <w:r w:rsidRPr="00D0044F">
        <w:rPr>
          <w:rFonts w:eastAsia="Times New Roman"/>
          <w:b/>
          <w:bCs/>
          <w:rtl/>
          <w:lang w:eastAsia="de-DE"/>
        </w:rPr>
        <w:t>מִקִּרְבֶּךָ</w:t>
      </w:r>
      <w:r w:rsidRPr="00D0044F">
        <w:rPr>
          <w:rFonts w:eastAsia="Times New Roman"/>
          <w:rtl/>
          <w:lang w:eastAsia="de-DE"/>
        </w:rPr>
        <w:t xml:space="preserve"> </w:t>
      </w:r>
      <w:r w:rsidRPr="00D0044F">
        <w:rPr>
          <w:rFonts w:eastAsia="Times New Roman"/>
          <w:lang w:eastAsia="de-DE"/>
        </w:rPr>
        <w:t>(„aus deiner Mitte") betont: aus der Gemeinschaft, aus dem Volk.</w:t>
      </w:r>
    </w:p>
    <w:p w14:paraId="3ABB96F7" w14:textId="2B42652D" w:rsidR="00D0044F" w:rsidRDefault="00D0044F" w:rsidP="00D0044F">
      <w:pPr>
        <w:spacing w:before="100" w:beforeAutospacing="1" w:after="100" w:afterAutospacing="1" w:line="240" w:lineRule="auto"/>
        <w:rPr>
          <w:rFonts w:eastAsia="Times New Roman"/>
          <w:lang w:eastAsia="de-DE"/>
        </w:rPr>
      </w:pPr>
      <w:r w:rsidRPr="00D0044F">
        <w:rPr>
          <w:rFonts w:eastAsia="Times New Roman"/>
          <w:lang w:eastAsia="de-DE"/>
        </w:rPr>
        <w:t xml:space="preserve">Die Formel </w:t>
      </w:r>
      <w:r w:rsidRPr="00D0044F">
        <w:rPr>
          <w:rFonts w:eastAsia="Times New Roman"/>
          <w:b/>
          <w:bCs/>
          <w:rtl/>
          <w:lang w:eastAsia="de-DE"/>
        </w:rPr>
        <w:t>כִּי־תַעֲשֶׂה הַיָּשָׁר בְּעֵינֵי יְהוָה</w:t>
      </w:r>
      <w:r w:rsidRPr="00D0044F">
        <w:rPr>
          <w:rFonts w:eastAsia="Times New Roman"/>
          <w:rtl/>
          <w:lang w:eastAsia="de-DE"/>
        </w:rPr>
        <w:t xml:space="preserve"> </w:t>
      </w:r>
      <w:r w:rsidRPr="00D0044F">
        <w:rPr>
          <w:rFonts w:eastAsia="Times New Roman"/>
          <w:lang w:eastAsia="de-DE"/>
        </w:rPr>
        <w:t xml:space="preserve">(„denn du sollst tun das Rechte in den Augen JHWHs") ist deuteronomisch (vgl. 6,18; 12,25.28; 13,19; 21,9) und betont: Das Ritual ist nicht magisch, sondern ethisch – es dient dazu, </w:t>
      </w:r>
      <w:r w:rsidRPr="00D0044F">
        <w:rPr>
          <w:rFonts w:eastAsia="Times New Roman"/>
          <w:b/>
          <w:bCs/>
          <w:rtl/>
          <w:lang w:eastAsia="de-DE"/>
        </w:rPr>
        <w:t>הַיָּשָׁר</w:t>
      </w:r>
      <w:r w:rsidRPr="00D0044F">
        <w:rPr>
          <w:rFonts w:eastAsia="Times New Roman"/>
          <w:rtl/>
          <w:lang w:eastAsia="de-DE"/>
        </w:rPr>
        <w:t xml:space="preserve"> </w:t>
      </w:r>
      <w:r w:rsidRPr="00D0044F">
        <w:rPr>
          <w:rFonts w:eastAsia="Times New Roman"/>
          <w:lang w:eastAsia="de-DE"/>
        </w:rPr>
        <w:t xml:space="preserve">(„das Rechte") zu tun. Die Phrase </w:t>
      </w:r>
      <w:r w:rsidRPr="00D0044F">
        <w:rPr>
          <w:rFonts w:eastAsia="Times New Roman"/>
          <w:b/>
          <w:bCs/>
          <w:rtl/>
          <w:lang w:eastAsia="de-DE"/>
        </w:rPr>
        <w:t>בְּעֵינֵי יְהוָה</w:t>
      </w:r>
      <w:r w:rsidRPr="00D0044F">
        <w:rPr>
          <w:rFonts w:eastAsia="Times New Roman"/>
          <w:rtl/>
          <w:lang w:eastAsia="de-DE"/>
        </w:rPr>
        <w:t xml:space="preserve"> </w:t>
      </w:r>
      <w:r w:rsidRPr="00D0044F">
        <w:rPr>
          <w:rFonts w:eastAsia="Times New Roman"/>
          <w:lang w:eastAsia="de-DE"/>
        </w:rPr>
        <w:t>(„in den Augen JHWHs") bedeutet: nach JHWHs Maßstab, vor JHWH als Richter (vgl. Gen 6,8; Ex 15,26; Num 32,13; Dtn 4,25; 6,18; 9,18; 12,25.28; 13,19; 17,2; 21,9; 31,29).</w:t>
      </w:r>
    </w:p>
    <w:p w14:paraId="2D303E53" w14:textId="399DEC5D" w:rsidR="00D00836" w:rsidRPr="00D0044F" w:rsidRDefault="00D00836" w:rsidP="00D0044F">
      <w:pPr>
        <w:spacing w:before="100" w:beforeAutospacing="1" w:after="100" w:afterAutospacing="1" w:line="240" w:lineRule="auto"/>
        <w:rPr>
          <w:rFonts w:eastAsia="Times New Roman"/>
          <w:lang w:eastAsia="de-DE"/>
        </w:rPr>
      </w:pPr>
      <w:r>
        <w:rPr>
          <w:rStyle w:val="Fett"/>
        </w:rPr>
        <w:t>Die LXX</w:t>
      </w:r>
      <w:r>
        <w:t xml:space="preserve"> übersetzt </w:t>
      </w:r>
      <w:r>
        <w:rPr>
          <w:rtl/>
        </w:rPr>
        <w:t>הַיָּשָׁר</w:t>
      </w:r>
      <w:r>
        <w:t xml:space="preserve"> (das Rechte) mit </w:t>
      </w:r>
      <w:proofErr w:type="spellStart"/>
      <w:r>
        <w:t>τὸ</w:t>
      </w:r>
      <w:proofErr w:type="spellEnd"/>
      <w:r>
        <w:t xml:space="preserve"> </w:t>
      </w:r>
      <w:proofErr w:type="spellStart"/>
      <w:r>
        <w:t>ἀρεστὸν</w:t>
      </w:r>
      <w:proofErr w:type="spellEnd"/>
      <w:r>
        <w:t xml:space="preserve"> καὶ </w:t>
      </w:r>
      <w:proofErr w:type="spellStart"/>
      <w:r>
        <w:t>τὸ</w:t>
      </w:r>
      <w:proofErr w:type="spellEnd"/>
      <w:r>
        <w:t xml:space="preserve"> κα</w:t>
      </w:r>
      <w:proofErr w:type="spellStart"/>
      <w:r>
        <w:t>λόν</w:t>
      </w:r>
      <w:proofErr w:type="spellEnd"/>
      <w:r>
        <w:t xml:space="preserve"> (das Wohlgefällige und das Gute) – eine doppelte Formulierung, die das einzelne hebräische Wort erweitert.</w:t>
      </w:r>
    </w:p>
    <w:p w14:paraId="499B4876" w14:textId="77777777"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b/>
          <w:bCs/>
          <w:lang w:eastAsia="de-DE"/>
        </w:rPr>
        <w:t>Die Satzstruktur:</w:t>
      </w:r>
      <w:r w:rsidRPr="00D0044F">
        <w:rPr>
          <w:rFonts w:eastAsia="Times New Roman"/>
          <w:lang w:eastAsia="de-DE"/>
        </w:rPr>
        <w:t xml:space="preserve"> Anweisung mit Begründung (und du wegschaffen sollst das Blut, das unschuldige, aus deiner Mitte; denn tun sollst du das Rechte in den Augen JHWHs).</w:t>
      </w:r>
    </w:p>
    <w:p w14:paraId="6537C2B0" w14:textId="77777777"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lang w:eastAsia="de-DE"/>
        </w:rPr>
        <w:t>Der Vers schließt: Du sollst das unschuldige Blut aus deiner Mitte wegschaffen – denn du sollst tun, was recht ist vor JHWH.</w:t>
      </w:r>
    </w:p>
    <w:p w14:paraId="2734C264" w14:textId="77777777" w:rsidR="00D0044F" w:rsidRPr="00B27A64" w:rsidRDefault="00D0044F" w:rsidP="00D0044F">
      <w:pPr>
        <w:spacing w:before="100" w:beforeAutospacing="1" w:after="100" w:afterAutospacing="1" w:line="240" w:lineRule="auto"/>
        <w:outlineLvl w:val="0"/>
        <w:rPr>
          <w:rFonts w:eastAsia="Times New Roman"/>
          <w:b/>
          <w:bCs/>
          <w:kern w:val="36"/>
          <w:sz w:val="36"/>
          <w:szCs w:val="36"/>
          <w:lang w:eastAsia="de-DE"/>
        </w:rPr>
      </w:pPr>
      <w:r w:rsidRPr="00B27A64">
        <w:rPr>
          <w:rFonts w:eastAsia="Times New Roman"/>
          <w:b/>
          <w:bCs/>
          <w:kern w:val="36"/>
          <w:sz w:val="36"/>
          <w:szCs w:val="36"/>
          <w:lang w:eastAsia="de-DE"/>
        </w:rPr>
        <w:t>Deuteronomium 21,10</w:t>
      </w:r>
    </w:p>
    <w:p w14:paraId="2E1231BF" w14:textId="77777777"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b/>
          <w:bCs/>
          <w:lang w:eastAsia="de-DE"/>
        </w:rPr>
        <w:t>Hebräisch:</w:t>
      </w:r>
      <w:r w:rsidRPr="00D0044F">
        <w:rPr>
          <w:rFonts w:eastAsia="Times New Roman"/>
          <w:lang w:eastAsia="de-DE"/>
        </w:rPr>
        <w:t xml:space="preserve"> </w:t>
      </w:r>
      <w:r w:rsidRPr="00D0044F">
        <w:rPr>
          <w:rFonts w:eastAsia="Times New Roman"/>
          <w:rtl/>
          <w:lang w:eastAsia="de-DE"/>
        </w:rPr>
        <w:t>כִּֽי־תֵצֵ֥א לַמִּלְחָמָ֖ה עַל־אֹיְבֶ֑יךָ וּנְתָנֹ֞ו יְהוָ֧ה אֱלֹהֶ֛יךָ בְּיָדֶ֖ךָ וְשָׁבִ֥יתָ שִׁבְיֹֽו׃</w:t>
      </w:r>
    </w:p>
    <w:p w14:paraId="0B0B47CE" w14:textId="61BD80F1"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b/>
          <w:bCs/>
          <w:lang w:eastAsia="de-DE"/>
        </w:rPr>
        <w:t>Deutsch:</w:t>
      </w:r>
      <w:r w:rsidRPr="00D0044F">
        <w:rPr>
          <w:rFonts w:eastAsia="Times New Roman"/>
          <w:lang w:eastAsia="de-DE"/>
        </w:rPr>
        <w:t xml:space="preserve"> Wenn du zum Krieg gegen deine Feinde ausziehst, und der Ewige, dein Gott, sie in deine Hand gibt, und du ihre </w:t>
      </w:r>
      <w:r w:rsidR="00BF3748">
        <w:rPr>
          <w:rFonts w:eastAsia="Times New Roman"/>
          <w:lang w:eastAsia="de-DE"/>
        </w:rPr>
        <w:t>Gefangenen</w:t>
      </w:r>
      <w:r w:rsidRPr="00D0044F">
        <w:rPr>
          <w:rFonts w:eastAsia="Times New Roman"/>
          <w:lang w:eastAsia="de-DE"/>
        </w:rPr>
        <w:t xml:space="preserve"> wegführst,</w:t>
      </w:r>
    </w:p>
    <w:p w14:paraId="4ACE4E07" w14:textId="77777777" w:rsidR="00D0044F" w:rsidRPr="00D0044F" w:rsidRDefault="004F5CEB" w:rsidP="00D0044F">
      <w:pPr>
        <w:spacing w:after="0" w:line="240" w:lineRule="auto"/>
        <w:rPr>
          <w:rFonts w:eastAsia="Times New Roman"/>
          <w:lang w:eastAsia="de-DE"/>
        </w:rPr>
      </w:pPr>
      <w:r>
        <w:rPr>
          <w:rFonts w:eastAsia="Times New Roman"/>
          <w:noProof/>
          <w:lang w:eastAsia="de-DE"/>
        </w:rPr>
        <w:pict w14:anchorId="6D7A9EEE">
          <v:rect id="_x0000_i1582" style="width:0;height:1.5pt" o:hralign="center" o:hrstd="t" o:hr="t" fillcolor="#a0a0a0" stroked="f"/>
        </w:pict>
      </w:r>
    </w:p>
    <w:p w14:paraId="6794321D" w14:textId="67409489"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b/>
          <w:bCs/>
          <w:lang w:eastAsia="de-DE"/>
        </w:rPr>
        <w:t>Kommentar:</w:t>
      </w:r>
      <w:r w:rsidRPr="00D0044F">
        <w:rPr>
          <w:rFonts w:eastAsia="Times New Roman"/>
          <w:lang w:eastAsia="de-DE"/>
        </w:rPr>
        <w:t xml:space="preserve"> </w:t>
      </w:r>
      <w:r w:rsidRPr="00D0044F">
        <w:rPr>
          <w:rFonts w:eastAsia="Times New Roman"/>
          <w:b/>
          <w:bCs/>
          <w:rtl/>
          <w:lang w:eastAsia="de-DE"/>
        </w:rPr>
        <w:t>כִּי־תֵצֵא לַמִּלְחָמָה עַל־אֹיְבֶיךָ וּנְתָנוֹ יְהוָה אֱלֹהֶיךָ בְּיָדֶךָ וְשָׁבִיתָ שִׁבְיוֹ</w:t>
      </w:r>
      <w:r w:rsidRPr="00D0044F">
        <w:rPr>
          <w:rFonts w:eastAsia="Times New Roman"/>
          <w:rtl/>
          <w:lang w:eastAsia="de-DE"/>
        </w:rPr>
        <w:t xml:space="preserve"> </w:t>
      </w:r>
      <w:r w:rsidRPr="00D0044F">
        <w:rPr>
          <w:rFonts w:eastAsia="Times New Roman"/>
          <w:lang w:eastAsia="de-DE"/>
        </w:rPr>
        <w:t xml:space="preserve">ist ein konditionaler Satz mit drei Verben: </w:t>
      </w:r>
      <w:r w:rsidRPr="00D0044F">
        <w:rPr>
          <w:rFonts w:eastAsia="Times New Roman"/>
          <w:b/>
          <w:bCs/>
          <w:rtl/>
          <w:lang w:eastAsia="de-DE"/>
        </w:rPr>
        <w:t>כִּי־תֵצֵא לַמִּלְחָמָה עַל־אֹיְבֶיךָ</w:t>
      </w:r>
      <w:r w:rsidRPr="00D0044F">
        <w:rPr>
          <w:rFonts w:eastAsia="Times New Roman"/>
          <w:rtl/>
          <w:lang w:eastAsia="de-DE"/>
        </w:rPr>
        <w:t xml:space="preserve"> </w:t>
      </w:r>
      <w:r w:rsidRPr="00D0044F">
        <w:rPr>
          <w:rFonts w:eastAsia="Times New Roman"/>
          <w:lang w:eastAsia="de-DE"/>
        </w:rPr>
        <w:t>(</w:t>
      </w:r>
      <w:r w:rsidRPr="00D0044F">
        <w:rPr>
          <w:rFonts w:eastAsia="Times New Roman"/>
          <w:b/>
          <w:bCs/>
          <w:rtl/>
          <w:lang w:eastAsia="de-DE"/>
        </w:rPr>
        <w:t>כִּי</w:t>
      </w:r>
      <w:r w:rsidRPr="00D0044F">
        <w:rPr>
          <w:rFonts w:eastAsia="Times New Roman"/>
          <w:lang w:eastAsia="de-DE"/>
        </w:rPr>
        <w:t xml:space="preserve">, „wenn", mit </w:t>
      </w:r>
      <w:r w:rsidRPr="00D0044F">
        <w:rPr>
          <w:rFonts w:eastAsia="Times New Roman"/>
          <w:b/>
          <w:bCs/>
          <w:rtl/>
          <w:lang w:eastAsia="de-DE"/>
        </w:rPr>
        <w:t>יצא</w:t>
      </w:r>
      <w:r w:rsidRPr="00D0044F">
        <w:rPr>
          <w:rFonts w:eastAsia="Times New Roman"/>
          <w:lang w:eastAsia="de-DE"/>
        </w:rPr>
        <w:t xml:space="preserve">, Qal Imperfekt, 2. Person Maskulinum Singular, „hinausgehen, ausziehen", </w:t>
      </w:r>
      <w:r w:rsidRPr="00D0044F">
        <w:rPr>
          <w:rFonts w:eastAsia="Times New Roman"/>
          <w:b/>
          <w:bCs/>
          <w:rtl/>
          <w:lang w:eastAsia="de-DE"/>
        </w:rPr>
        <w:t>לַמִּלְחָמָה</w:t>
      </w:r>
      <w:r w:rsidRPr="00D0044F">
        <w:rPr>
          <w:rFonts w:eastAsia="Times New Roman"/>
          <w:lang w:eastAsia="de-DE"/>
        </w:rPr>
        <w:t xml:space="preserve">, Präposition </w:t>
      </w:r>
      <w:r w:rsidRPr="00D0044F">
        <w:rPr>
          <w:rFonts w:eastAsia="Times New Roman"/>
          <w:b/>
          <w:bCs/>
          <w:rtl/>
          <w:lang w:eastAsia="de-DE"/>
        </w:rPr>
        <w:t>לְ</w:t>
      </w:r>
      <w:r w:rsidRPr="00D0044F">
        <w:rPr>
          <w:rFonts w:eastAsia="Times New Roman"/>
          <w:rtl/>
          <w:lang w:eastAsia="de-DE"/>
        </w:rPr>
        <w:t xml:space="preserve"> </w:t>
      </w:r>
      <w:r w:rsidRPr="00D0044F">
        <w:rPr>
          <w:rFonts w:eastAsia="Times New Roman"/>
          <w:lang w:eastAsia="de-DE"/>
        </w:rPr>
        <w:t xml:space="preserve">mit </w:t>
      </w:r>
      <w:r w:rsidRPr="00D0044F">
        <w:rPr>
          <w:rFonts w:eastAsia="Times New Roman"/>
          <w:b/>
          <w:bCs/>
          <w:rtl/>
          <w:lang w:eastAsia="de-DE"/>
        </w:rPr>
        <w:t>מִלְחָמָה</w:t>
      </w:r>
      <w:r w:rsidRPr="00D0044F">
        <w:rPr>
          <w:rFonts w:eastAsia="Times New Roman"/>
          <w:lang w:eastAsia="de-DE"/>
        </w:rPr>
        <w:t xml:space="preserve">, „Krieg", mit Artikel, </w:t>
      </w:r>
      <w:r w:rsidRPr="00D0044F">
        <w:rPr>
          <w:rFonts w:eastAsia="Times New Roman"/>
          <w:b/>
          <w:bCs/>
          <w:rtl/>
          <w:lang w:eastAsia="de-DE"/>
        </w:rPr>
        <w:t>עַל־אֹיְבֶיךָ</w:t>
      </w:r>
      <w:r w:rsidRPr="00D0044F">
        <w:rPr>
          <w:rFonts w:eastAsia="Times New Roman"/>
          <w:lang w:eastAsia="de-DE"/>
        </w:rPr>
        <w:t xml:space="preserve">, Präposition </w:t>
      </w:r>
      <w:r w:rsidRPr="00D0044F">
        <w:rPr>
          <w:rFonts w:eastAsia="Times New Roman"/>
          <w:b/>
          <w:bCs/>
          <w:rtl/>
          <w:lang w:eastAsia="de-DE"/>
        </w:rPr>
        <w:t>עַל</w:t>
      </w:r>
      <w:r w:rsidRPr="00D0044F">
        <w:rPr>
          <w:rFonts w:eastAsia="Times New Roman"/>
          <w:lang w:eastAsia="de-DE"/>
        </w:rPr>
        <w:t xml:space="preserve">, „gegen", mit </w:t>
      </w:r>
      <w:r w:rsidRPr="00D0044F">
        <w:rPr>
          <w:rFonts w:eastAsia="Times New Roman"/>
          <w:b/>
          <w:bCs/>
          <w:rtl/>
          <w:lang w:eastAsia="de-DE"/>
        </w:rPr>
        <w:t>איב</w:t>
      </w:r>
      <w:r w:rsidRPr="00D0044F">
        <w:rPr>
          <w:rFonts w:eastAsia="Times New Roman"/>
          <w:lang w:eastAsia="de-DE"/>
        </w:rPr>
        <w:t xml:space="preserve">, Qal Partizip, „Feind", Plural mit Suffix 2. Person Maskulinum Singular – identisch mit 20,1), </w:t>
      </w:r>
      <w:r w:rsidRPr="00D0044F">
        <w:rPr>
          <w:rFonts w:eastAsia="Times New Roman"/>
          <w:b/>
          <w:bCs/>
          <w:rtl/>
          <w:lang w:eastAsia="de-DE"/>
        </w:rPr>
        <w:t>וּנְתָנוֹ יְהוָה אֱלֹהֶיךָ בְּיָדֶךָ</w:t>
      </w:r>
      <w:r w:rsidRPr="00D0044F">
        <w:rPr>
          <w:rFonts w:eastAsia="Times New Roman"/>
          <w:rtl/>
          <w:lang w:eastAsia="de-DE"/>
        </w:rPr>
        <w:t xml:space="preserve"> </w:t>
      </w:r>
      <w:r w:rsidRPr="00D0044F">
        <w:rPr>
          <w:rFonts w:eastAsia="Times New Roman"/>
          <w:lang w:eastAsia="de-DE"/>
        </w:rPr>
        <w:t xml:space="preserve">(koordiniert durch </w:t>
      </w:r>
      <w:r w:rsidRPr="00D0044F">
        <w:rPr>
          <w:rFonts w:eastAsia="Times New Roman"/>
          <w:b/>
          <w:bCs/>
          <w:rtl/>
          <w:lang w:eastAsia="de-DE"/>
        </w:rPr>
        <w:t>וּ</w:t>
      </w:r>
      <w:r w:rsidRPr="00D0044F">
        <w:rPr>
          <w:rFonts w:eastAsia="Times New Roman"/>
          <w:rtl/>
          <w:lang w:eastAsia="de-DE"/>
        </w:rPr>
        <w:t xml:space="preserve"> </w:t>
      </w:r>
      <w:r w:rsidRPr="00D0044F">
        <w:rPr>
          <w:rFonts w:eastAsia="Times New Roman"/>
          <w:lang w:eastAsia="de-DE"/>
        </w:rPr>
        <w:t xml:space="preserve">mit </w:t>
      </w:r>
      <w:r w:rsidRPr="00D0044F">
        <w:rPr>
          <w:rFonts w:eastAsia="Times New Roman"/>
          <w:b/>
          <w:bCs/>
          <w:rtl/>
          <w:lang w:eastAsia="de-DE"/>
        </w:rPr>
        <w:t>נתן</w:t>
      </w:r>
      <w:r w:rsidRPr="00D0044F">
        <w:rPr>
          <w:rFonts w:eastAsia="Times New Roman"/>
          <w:lang w:eastAsia="de-DE"/>
        </w:rPr>
        <w:t xml:space="preserve">, Qal Perfekt, 3. Person Maskulinum Singular, „geben", mit Suffix 3. Person Maskulinum Singular (bezogen auf </w:t>
      </w:r>
      <w:r w:rsidRPr="00D0044F">
        <w:rPr>
          <w:rFonts w:eastAsia="Times New Roman"/>
          <w:b/>
          <w:bCs/>
          <w:rtl/>
          <w:lang w:eastAsia="de-DE"/>
        </w:rPr>
        <w:t>אֹיְבֶיךָ</w:t>
      </w:r>
      <w:r w:rsidRPr="00D0044F">
        <w:rPr>
          <w:rFonts w:eastAsia="Times New Roman"/>
          <w:rtl/>
          <w:lang w:eastAsia="de-DE"/>
        </w:rPr>
        <w:t xml:space="preserve"> </w:t>
      </w:r>
      <w:r w:rsidRPr="00D0044F">
        <w:rPr>
          <w:rFonts w:eastAsia="Times New Roman"/>
          <w:lang w:eastAsia="de-DE"/>
        </w:rPr>
        <w:t xml:space="preserve">kollektiv), </w:t>
      </w:r>
      <w:r w:rsidRPr="00D0044F">
        <w:rPr>
          <w:rFonts w:eastAsia="Times New Roman"/>
          <w:b/>
          <w:bCs/>
          <w:rtl/>
          <w:lang w:eastAsia="de-DE"/>
        </w:rPr>
        <w:t>יְהוָה אֱלֹהֶיךָ</w:t>
      </w:r>
      <w:r w:rsidRPr="00D0044F">
        <w:rPr>
          <w:rFonts w:eastAsia="Times New Roman"/>
          <w:rtl/>
          <w:lang w:eastAsia="de-DE"/>
        </w:rPr>
        <w:t xml:space="preserve"> </w:t>
      </w:r>
      <w:r w:rsidRPr="00D0044F">
        <w:rPr>
          <w:rFonts w:eastAsia="Times New Roman"/>
          <w:lang w:eastAsia="de-DE"/>
        </w:rPr>
        <w:t xml:space="preserve">als Subjekt, </w:t>
      </w:r>
      <w:r w:rsidRPr="00D0044F">
        <w:rPr>
          <w:rFonts w:eastAsia="Times New Roman"/>
          <w:b/>
          <w:bCs/>
          <w:rtl/>
          <w:lang w:eastAsia="de-DE"/>
        </w:rPr>
        <w:t>בְּיָדֶךָ</w:t>
      </w:r>
      <w:r w:rsidRPr="00D0044F">
        <w:rPr>
          <w:rFonts w:eastAsia="Times New Roman"/>
          <w:lang w:eastAsia="de-DE"/>
        </w:rPr>
        <w:t xml:space="preserve">, Präposition </w:t>
      </w:r>
      <w:r w:rsidRPr="00D0044F">
        <w:rPr>
          <w:rFonts w:eastAsia="Times New Roman"/>
          <w:b/>
          <w:bCs/>
          <w:rtl/>
          <w:lang w:eastAsia="de-DE"/>
        </w:rPr>
        <w:t>בְּ</w:t>
      </w:r>
      <w:r w:rsidRPr="00D0044F">
        <w:rPr>
          <w:rFonts w:eastAsia="Times New Roman"/>
          <w:rtl/>
          <w:lang w:eastAsia="de-DE"/>
        </w:rPr>
        <w:t xml:space="preserve"> </w:t>
      </w:r>
      <w:r w:rsidRPr="00D0044F">
        <w:rPr>
          <w:rFonts w:eastAsia="Times New Roman"/>
          <w:lang w:eastAsia="de-DE"/>
        </w:rPr>
        <w:t xml:space="preserve">mit </w:t>
      </w:r>
      <w:r w:rsidRPr="00D0044F">
        <w:rPr>
          <w:rFonts w:eastAsia="Times New Roman"/>
          <w:b/>
          <w:bCs/>
          <w:rtl/>
          <w:lang w:eastAsia="de-DE"/>
        </w:rPr>
        <w:t>יָד</w:t>
      </w:r>
      <w:r w:rsidRPr="00D0044F">
        <w:rPr>
          <w:rFonts w:eastAsia="Times New Roman"/>
          <w:lang w:eastAsia="de-DE"/>
        </w:rPr>
        <w:t xml:space="preserve">, „Hand", mit Suffix 2. Person Maskulinum Singular – „in deine Hand" = in deine Gewalt, mit </w:t>
      </w:r>
      <w:r w:rsidRPr="00D0044F">
        <w:rPr>
          <w:rFonts w:eastAsia="Times New Roman"/>
          <w:b/>
          <w:bCs/>
          <w:lang w:eastAsia="de-DE"/>
        </w:rPr>
        <w:t>Waw</w:t>
      </w:r>
      <w:r w:rsidRPr="00D0044F">
        <w:rPr>
          <w:rFonts w:eastAsia="Times New Roman"/>
          <w:lang w:eastAsia="de-DE"/>
        </w:rPr>
        <w:t xml:space="preserve"> consecutives Perfekt), </w:t>
      </w:r>
      <w:r w:rsidRPr="00D0044F">
        <w:rPr>
          <w:rFonts w:eastAsia="Times New Roman"/>
          <w:b/>
          <w:bCs/>
          <w:rtl/>
          <w:lang w:eastAsia="de-DE"/>
        </w:rPr>
        <w:t>וְשָׁבִיתָ שִׁבְיוֹ</w:t>
      </w:r>
      <w:r w:rsidRPr="00D0044F">
        <w:rPr>
          <w:rFonts w:eastAsia="Times New Roman"/>
          <w:rtl/>
          <w:lang w:eastAsia="de-DE"/>
        </w:rPr>
        <w:t xml:space="preserve"> </w:t>
      </w:r>
      <w:r w:rsidRPr="00D0044F">
        <w:rPr>
          <w:rFonts w:eastAsia="Times New Roman"/>
          <w:lang w:eastAsia="de-DE"/>
        </w:rPr>
        <w:t xml:space="preserve">(koordiniert durch </w:t>
      </w:r>
      <w:r w:rsidRPr="00D0044F">
        <w:rPr>
          <w:rFonts w:eastAsia="Times New Roman"/>
          <w:b/>
          <w:bCs/>
          <w:rtl/>
          <w:lang w:eastAsia="de-DE"/>
        </w:rPr>
        <w:t>וְ</w:t>
      </w:r>
      <w:r w:rsidRPr="00D0044F">
        <w:rPr>
          <w:rFonts w:eastAsia="Times New Roman"/>
          <w:rtl/>
          <w:lang w:eastAsia="de-DE"/>
        </w:rPr>
        <w:t xml:space="preserve"> </w:t>
      </w:r>
      <w:r w:rsidRPr="00D0044F">
        <w:rPr>
          <w:rFonts w:eastAsia="Times New Roman"/>
          <w:lang w:eastAsia="de-DE"/>
        </w:rPr>
        <w:t xml:space="preserve">mit </w:t>
      </w:r>
      <w:r w:rsidRPr="00D0044F">
        <w:rPr>
          <w:rFonts w:eastAsia="Times New Roman"/>
          <w:b/>
          <w:bCs/>
          <w:rtl/>
          <w:lang w:eastAsia="de-DE"/>
        </w:rPr>
        <w:t>שׁבה</w:t>
      </w:r>
      <w:r w:rsidRPr="00D0044F">
        <w:rPr>
          <w:rFonts w:eastAsia="Times New Roman"/>
          <w:lang w:eastAsia="de-DE"/>
        </w:rPr>
        <w:t>, Qal Perfekt, 2. Person Maskulinum Singular, „</w:t>
      </w:r>
      <w:r w:rsidR="00BF3748">
        <w:rPr>
          <w:rFonts w:eastAsia="Times New Roman"/>
          <w:lang w:eastAsia="de-DE"/>
        </w:rPr>
        <w:t>gefangen</w:t>
      </w:r>
      <w:r w:rsidRPr="00D0044F">
        <w:rPr>
          <w:rFonts w:eastAsia="Times New Roman"/>
          <w:lang w:eastAsia="de-DE"/>
        </w:rPr>
        <w:t xml:space="preserve"> nehmen, </w:t>
      </w:r>
      <w:r w:rsidR="00BF3748">
        <w:rPr>
          <w:rFonts w:eastAsia="Times New Roman"/>
          <w:lang w:eastAsia="de-DE"/>
        </w:rPr>
        <w:t>gefangen</w:t>
      </w:r>
      <w:r w:rsidRPr="00D0044F">
        <w:rPr>
          <w:rFonts w:eastAsia="Times New Roman"/>
          <w:lang w:eastAsia="de-DE"/>
        </w:rPr>
        <w:t xml:space="preserve"> wegführen", </w:t>
      </w:r>
      <w:r w:rsidRPr="00D0044F">
        <w:rPr>
          <w:rFonts w:eastAsia="Times New Roman"/>
          <w:b/>
          <w:bCs/>
          <w:rtl/>
          <w:lang w:eastAsia="de-DE"/>
        </w:rPr>
        <w:t>שְׁבִי</w:t>
      </w:r>
      <w:r w:rsidRPr="00D0044F">
        <w:rPr>
          <w:rFonts w:eastAsia="Times New Roman"/>
          <w:lang w:eastAsia="de-DE"/>
        </w:rPr>
        <w:t>, „</w:t>
      </w:r>
      <w:r w:rsidR="00D47758">
        <w:rPr>
          <w:rFonts w:eastAsia="Times New Roman"/>
          <w:lang w:eastAsia="de-DE"/>
        </w:rPr>
        <w:t>Gefangenschaft</w:t>
      </w:r>
      <w:r w:rsidRPr="00D0044F">
        <w:rPr>
          <w:rFonts w:eastAsia="Times New Roman"/>
          <w:lang w:eastAsia="de-DE"/>
        </w:rPr>
        <w:t>, G</w:t>
      </w:r>
      <w:r w:rsidR="00BF3748">
        <w:rPr>
          <w:rFonts w:eastAsia="Times New Roman"/>
          <w:lang w:eastAsia="de-DE"/>
        </w:rPr>
        <w:t>ef</w:t>
      </w:r>
      <w:r w:rsidR="00743283">
        <w:rPr>
          <w:rFonts w:eastAsia="Times New Roman"/>
          <w:lang w:eastAsia="de-DE"/>
        </w:rPr>
        <w:t>a</w:t>
      </w:r>
      <w:r w:rsidRPr="00D0044F">
        <w:rPr>
          <w:rFonts w:eastAsia="Times New Roman"/>
          <w:lang w:eastAsia="de-DE"/>
        </w:rPr>
        <w:t xml:space="preserve">ngene", mit Suffix 3. Person Maskulinum Singular – „seine </w:t>
      </w:r>
      <w:r w:rsidR="00BF3748">
        <w:rPr>
          <w:rFonts w:eastAsia="Times New Roman"/>
          <w:lang w:eastAsia="de-DE"/>
        </w:rPr>
        <w:t>Gefangenen</w:t>
      </w:r>
      <w:r w:rsidRPr="00D0044F">
        <w:rPr>
          <w:rFonts w:eastAsia="Times New Roman"/>
          <w:lang w:eastAsia="de-DE"/>
        </w:rPr>
        <w:t xml:space="preserve">", mit </w:t>
      </w:r>
      <w:r w:rsidRPr="00D0044F">
        <w:rPr>
          <w:rFonts w:eastAsia="Times New Roman"/>
          <w:b/>
          <w:bCs/>
          <w:lang w:eastAsia="de-DE"/>
        </w:rPr>
        <w:t>Waw</w:t>
      </w:r>
      <w:r w:rsidRPr="00D0044F">
        <w:rPr>
          <w:rFonts w:eastAsia="Times New Roman"/>
          <w:lang w:eastAsia="de-DE"/>
        </w:rPr>
        <w:t xml:space="preserve"> consecutives Perfekt).</w:t>
      </w:r>
    </w:p>
    <w:p w14:paraId="3B537EFE" w14:textId="319395D3"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lang w:eastAsia="de-DE"/>
        </w:rPr>
        <w:lastRenderedPageBreak/>
        <w:t xml:space="preserve">Der Vers leitet einen neuen Abschnitt ein: Gesetze über </w:t>
      </w:r>
      <w:r w:rsidR="00BF3748">
        <w:rPr>
          <w:rFonts w:eastAsia="Times New Roman"/>
          <w:lang w:eastAsia="de-DE"/>
        </w:rPr>
        <w:t>Kriegsgefangene</w:t>
      </w:r>
      <w:r w:rsidRPr="00D0044F">
        <w:rPr>
          <w:rFonts w:eastAsia="Times New Roman"/>
          <w:lang w:eastAsia="de-DE"/>
        </w:rPr>
        <w:t xml:space="preserve">, speziell über schöne </w:t>
      </w:r>
      <w:r w:rsidR="00BF3748">
        <w:rPr>
          <w:rFonts w:eastAsia="Times New Roman"/>
          <w:lang w:eastAsia="de-DE"/>
        </w:rPr>
        <w:t>Kriegsgefangene</w:t>
      </w:r>
      <w:r w:rsidRPr="00D0044F">
        <w:rPr>
          <w:rFonts w:eastAsia="Times New Roman"/>
          <w:lang w:eastAsia="de-DE"/>
        </w:rPr>
        <w:t xml:space="preserve"> als potentielle Ehefrauen (V. 10-14). Die Einleitungsformel </w:t>
      </w:r>
      <w:r w:rsidRPr="00D0044F">
        <w:rPr>
          <w:rFonts w:eastAsia="Times New Roman"/>
          <w:b/>
          <w:bCs/>
          <w:rtl/>
          <w:lang w:eastAsia="de-DE"/>
        </w:rPr>
        <w:t>כִּי־תֵצֵא לַמִּלְחָמָה עַל־אֹיְבֶיךָ</w:t>
      </w:r>
      <w:r w:rsidRPr="00D0044F">
        <w:rPr>
          <w:rFonts w:eastAsia="Times New Roman"/>
          <w:rtl/>
          <w:lang w:eastAsia="de-DE"/>
        </w:rPr>
        <w:t xml:space="preserve"> </w:t>
      </w:r>
      <w:r w:rsidRPr="00D0044F">
        <w:rPr>
          <w:rFonts w:eastAsia="Times New Roman"/>
          <w:lang w:eastAsia="de-DE"/>
        </w:rPr>
        <w:t xml:space="preserve">(„wenn du ausziehst zum Krieg gegen deine Feinde") ist identisch mit 20,1 und verknüpft diesen Abschnitt mit Kap. 20. Die Formulierung </w:t>
      </w:r>
      <w:r w:rsidRPr="00D0044F">
        <w:rPr>
          <w:rFonts w:eastAsia="Times New Roman"/>
          <w:b/>
          <w:bCs/>
          <w:rtl/>
          <w:lang w:eastAsia="de-DE"/>
        </w:rPr>
        <w:t>וּנְתָנוֹ יְהוָה אֱלֹהֶיךָ בְּיָדֶךָ</w:t>
      </w:r>
      <w:r w:rsidRPr="00D0044F">
        <w:rPr>
          <w:rFonts w:eastAsia="Times New Roman"/>
          <w:rtl/>
          <w:lang w:eastAsia="de-DE"/>
        </w:rPr>
        <w:t xml:space="preserve"> </w:t>
      </w:r>
      <w:r w:rsidRPr="00D0044F">
        <w:rPr>
          <w:rFonts w:eastAsia="Times New Roman"/>
          <w:lang w:eastAsia="de-DE"/>
        </w:rPr>
        <w:t xml:space="preserve">(„und JHWH, dein Gott, gibt sie in deine Hand") ist deuteronomisch (vgl. 2,24.30.31.33.36; 3,2.3; 7,2.16.23.24; 20,13; 21,10) und betont: Der Sieg ist JHWHs Werk, nicht eigene militärische Stärke. Das Verb </w:t>
      </w:r>
      <w:r w:rsidRPr="00D0044F">
        <w:rPr>
          <w:rFonts w:eastAsia="Times New Roman"/>
          <w:b/>
          <w:bCs/>
          <w:rtl/>
          <w:lang w:eastAsia="de-DE"/>
        </w:rPr>
        <w:t>שׁבה</w:t>
      </w:r>
      <w:r w:rsidRPr="00D0044F">
        <w:rPr>
          <w:rFonts w:eastAsia="Times New Roman"/>
          <w:rtl/>
          <w:lang w:eastAsia="de-DE"/>
        </w:rPr>
        <w:t xml:space="preserve"> </w:t>
      </w:r>
      <w:r w:rsidRPr="00D0044F">
        <w:rPr>
          <w:rFonts w:eastAsia="Times New Roman"/>
          <w:lang w:eastAsia="de-DE"/>
        </w:rPr>
        <w:t>(„</w:t>
      </w:r>
      <w:r w:rsidR="00BF3748">
        <w:rPr>
          <w:rFonts w:eastAsia="Times New Roman"/>
          <w:lang w:eastAsia="de-DE"/>
        </w:rPr>
        <w:t>gefangen</w:t>
      </w:r>
      <w:r w:rsidRPr="00D0044F">
        <w:rPr>
          <w:rFonts w:eastAsia="Times New Roman"/>
          <w:lang w:eastAsia="de-DE"/>
        </w:rPr>
        <w:t xml:space="preserve"> nehmen, </w:t>
      </w:r>
      <w:r w:rsidR="00BF3748">
        <w:rPr>
          <w:rFonts w:eastAsia="Times New Roman"/>
          <w:lang w:eastAsia="de-DE"/>
        </w:rPr>
        <w:t>gefangen</w:t>
      </w:r>
      <w:r w:rsidRPr="00D0044F">
        <w:rPr>
          <w:rFonts w:eastAsia="Times New Roman"/>
          <w:lang w:eastAsia="de-DE"/>
        </w:rPr>
        <w:t xml:space="preserve"> wegführen") bezeichnet die Verschleppung von </w:t>
      </w:r>
      <w:r w:rsidR="00BF3748">
        <w:rPr>
          <w:rFonts w:eastAsia="Times New Roman"/>
          <w:lang w:eastAsia="de-DE"/>
        </w:rPr>
        <w:t>Kriegsgefangene</w:t>
      </w:r>
      <w:r w:rsidRPr="00D0044F">
        <w:rPr>
          <w:rFonts w:eastAsia="Times New Roman"/>
          <w:lang w:eastAsia="de-DE"/>
        </w:rPr>
        <w:t xml:space="preserve">n (vgl. Gen 14,14; Num 21,1; 31,9.12.26; Dtn 21,10; </w:t>
      </w:r>
      <w:r w:rsidR="00664EB6">
        <w:rPr>
          <w:rFonts w:eastAsia="Times New Roman"/>
          <w:lang w:eastAsia="de-DE"/>
        </w:rPr>
        <w:t>1Sam</w:t>
      </w:r>
      <w:r w:rsidRPr="00D0044F">
        <w:rPr>
          <w:rFonts w:eastAsia="Times New Roman"/>
          <w:lang w:eastAsia="de-DE"/>
        </w:rPr>
        <w:t xml:space="preserve"> 30,2.3.5</w:t>
      </w:r>
      <w:r>
        <w:rPr>
          <w:rFonts w:eastAsia="Times New Roman"/>
          <w:lang w:eastAsia="de-DE"/>
        </w:rPr>
        <w:t>)</w:t>
      </w:r>
      <w:r w:rsidRPr="00D0044F">
        <w:rPr>
          <w:rFonts w:eastAsia="Times New Roman"/>
          <w:lang w:eastAsia="de-DE"/>
        </w:rPr>
        <w:t xml:space="preserve">. Das Nomen </w:t>
      </w:r>
      <w:r w:rsidRPr="00D0044F">
        <w:rPr>
          <w:rFonts w:eastAsia="Times New Roman"/>
          <w:b/>
          <w:bCs/>
          <w:rtl/>
          <w:lang w:eastAsia="de-DE"/>
        </w:rPr>
        <w:t>שְׁבִי</w:t>
      </w:r>
      <w:r w:rsidRPr="00D0044F">
        <w:rPr>
          <w:rFonts w:eastAsia="Times New Roman"/>
          <w:rtl/>
          <w:lang w:eastAsia="de-DE"/>
        </w:rPr>
        <w:t xml:space="preserve"> </w:t>
      </w:r>
      <w:r w:rsidRPr="00D0044F">
        <w:rPr>
          <w:rFonts w:eastAsia="Times New Roman"/>
          <w:lang w:eastAsia="de-DE"/>
        </w:rPr>
        <w:t xml:space="preserve">mit Suffix („seine </w:t>
      </w:r>
      <w:r w:rsidR="00BF3748">
        <w:rPr>
          <w:rFonts w:eastAsia="Times New Roman"/>
          <w:lang w:eastAsia="de-DE"/>
        </w:rPr>
        <w:t>Gefangenen</w:t>
      </w:r>
      <w:r w:rsidRPr="00D0044F">
        <w:rPr>
          <w:rFonts w:eastAsia="Times New Roman"/>
          <w:lang w:eastAsia="de-DE"/>
        </w:rPr>
        <w:t>") ist kollektiv. V. 11-14 werden dann die Regelung für eine spezielle Situation innerhalb der Kriegs</w:t>
      </w:r>
      <w:r w:rsidR="00BF3748">
        <w:rPr>
          <w:rFonts w:eastAsia="Times New Roman"/>
          <w:lang w:eastAsia="de-DE"/>
        </w:rPr>
        <w:t>g</w:t>
      </w:r>
      <w:r w:rsidR="00D47758">
        <w:rPr>
          <w:rFonts w:eastAsia="Times New Roman"/>
          <w:lang w:eastAsia="de-DE"/>
        </w:rPr>
        <w:t>efangenschaft</w:t>
      </w:r>
      <w:r w:rsidRPr="00D0044F">
        <w:rPr>
          <w:rFonts w:eastAsia="Times New Roman"/>
          <w:lang w:eastAsia="de-DE"/>
        </w:rPr>
        <w:t xml:space="preserve"> geben.</w:t>
      </w:r>
    </w:p>
    <w:p w14:paraId="0D3BA4CD" w14:textId="01B2F90F"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b/>
          <w:bCs/>
          <w:lang w:eastAsia="de-DE"/>
        </w:rPr>
        <w:t>Die Satzstruktur:</w:t>
      </w:r>
      <w:r w:rsidRPr="00D0044F">
        <w:rPr>
          <w:rFonts w:eastAsia="Times New Roman"/>
          <w:lang w:eastAsia="de-DE"/>
        </w:rPr>
        <w:t xml:space="preserve"> Konditionaler Satz mit drei Verben (wenn ausziehen wirst du zum Krieg gegen deine Feinde, und gibt JHWH, dein Gott, sie in deine Hand, und </w:t>
      </w:r>
      <w:r w:rsidR="00BF3748">
        <w:rPr>
          <w:rFonts w:eastAsia="Times New Roman"/>
          <w:lang w:eastAsia="de-DE"/>
        </w:rPr>
        <w:t>gefangen</w:t>
      </w:r>
      <w:r w:rsidRPr="00D0044F">
        <w:rPr>
          <w:rFonts w:eastAsia="Times New Roman"/>
          <w:lang w:eastAsia="de-DE"/>
        </w:rPr>
        <w:t xml:space="preserve"> wegführst du seine </w:t>
      </w:r>
      <w:r w:rsidR="00BF3748">
        <w:rPr>
          <w:rFonts w:eastAsia="Times New Roman"/>
          <w:lang w:eastAsia="de-DE"/>
        </w:rPr>
        <w:t>Gefangenen</w:t>
      </w:r>
      <w:r w:rsidRPr="00D0044F">
        <w:rPr>
          <w:rFonts w:eastAsia="Times New Roman"/>
          <w:lang w:eastAsia="de-DE"/>
        </w:rPr>
        <w:t>).</w:t>
      </w:r>
    </w:p>
    <w:p w14:paraId="442E0DBC" w14:textId="7F6D377C" w:rsidR="00D0044F" w:rsidRPr="00D0044F" w:rsidRDefault="00D0044F" w:rsidP="00D0044F">
      <w:pPr>
        <w:spacing w:before="100" w:beforeAutospacing="1" w:after="100" w:afterAutospacing="1" w:line="240" w:lineRule="auto"/>
        <w:rPr>
          <w:rFonts w:eastAsia="Times New Roman"/>
          <w:lang w:eastAsia="de-DE"/>
        </w:rPr>
      </w:pPr>
      <w:r w:rsidRPr="00D0044F">
        <w:rPr>
          <w:rFonts w:eastAsia="Times New Roman"/>
          <w:lang w:eastAsia="de-DE"/>
        </w:rPr>
        <w:t xml:space="preserve">Der Vers setzt den Fall: Wenn du im Krieg siegst und </w:t>
      </w:r>
      <w:r w:rsidR="00BF3748">
        <w:rPr>
          <w:rFonts w:eastAsia="Times New Roman"/>
          <w:lang w:eastAsia="de-DE"/>
        </w:rPr>
        <w:t>Gef</w:t>
      </w:r>
      <w:r w:rsidR="00743283">
        <w:rPr>
          <w:rFonts w:eastAsia="Times New Roman"/>
          <w:lang w:eastAsia="de-DE"/>
        </w:rPr>
        <w:t>a</w:t>
      </w:r>
      <w:r w:rsidRPr="00D0044F">
        <w:rPr>
          <w:rFonts w:eastAsia="Times New Roman"/>
          <w:lang w:eastAsia="de-DE"/>
        </w:rPr>
        <w:t>ngene machst – dann folgt V. 11ff. mit einer speziellen Regelung.</w:t>
      </w:r>
    </w:p>
    <w:p w14:paraId="79FB7834" w14:textId="77777777" w:rsidR="00D0044F" w:rsidRPr="00B27A64" w:rsidRDefault="00D0044F" w:rsidP="00D0044F">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21,11</w:t>
      </w:r>
    </w:p>
    <w:p w14:paraId="3F3F4BCA" w14:textId="77777777" w:rsidR="00D0044F" w:rsidRDefault="00D0044F" w:rsidP="00D0044F">
      <w:pPr>
        <w:pStyle w:val="whitespace-normal"/>
      </w:pPr>
      <w:r>
        <w:rPr>
          <w:rStyle w:val="Fett"/>
          <w:rFonts w:eastAsiaTheme="majorEastAsia"/>
        </w:rPr>
        <w:t>Hebräisch:</w:t>
      </w:r>
      <w:r>
        <w:t xml:space="preserve"> </w:t>
      </w:r>
      <w:r>
        <w:rPr>
          <w:rtl/>
        </w:rPr>
        <w:t>וְרָאִיתָ֙ בַּשִּׁבְיָ֔ה אֵ֖שֶׁת יְפַת־תֹּ֑אַר וְחָשַׁקְתָּ֣ בָ֔הּ וְלָקַחְתָּ֥ לְךָ֖ לְאִשָּֽׁה׃</w:t>
      </w:r>
    </w:p>
    <w:p w14:paraId="7A4B699C" w14:textId="66FE7419" w:rsidR="00D0044F" w:rsidRDefault="00D0044F" w:rsidP="00D0044F">
      <w:pPr>
        <w:pStyle w:val="whitespace-normal"/>
      </w:pPr>
      <w:r>
        <w:rPr>
          <w:rStyle w:val="Fett"/>
          <w:rFonts w:eastAsiaTheme="majorEastAsia"/>
        </w:rPr>
        <w:t>Deutsch:</w:t>
      </w:r>
      <w:r>
        <w:t xml:space="preserve"> und du siehst unter den </w:t>
      </w:r>
      <w:r w:rsidR="00BF3748">
        <w:t>Gefangenen</w:t>
      </w:r>
      <w:r>
        <w:t xml:space="preserve"> eine Frau von schöner Gestalt, und du hast </w:t>
      </w:r>
      <w:r w:rsidR="00D47758">
        <w:t>Gefallen</w:t>
      </w:r>
      <w:r>
        <w:t xml:space="preserve"> an ihr und nimmst sie dir zur Frau,</w:t>
      </w:r>
    </w:p>
    <w:p w14:paraId="3A1F6EB9" w14:textId="77777777" w:rsidR="00D0044F" w:rsidRDefault="004F5CEB" w:rsidP="00D0044F">
      <w:r>
        <w:rPr>
          <w:noProof/>
        </w:rPr>
        <w:pict w14:anchorId="4B99C523">
          <v:rect id="_x0000_i1583" style="width:0;height:1.5pt" o:hralign="center" o:hrstd="t" o:hr="t" fillcolor="#a0a0a0" stroked="f"/>
        </w:pict>
      </w:r>
    </w:p>
    <w:p w14:paraId="62E77C28" w14:textId="5A093B73" w:rsidR="00D0044F" w:rsidRDefault="00D0044F" w:rsidP="00D0044F">
      <w:pPr>
        <w:pStyle w:val="whitespace-normal"/>
      </w:pPr>
      <w:r>
        <w:rPr>
          <w:rStyle w:val="Fett"/>
          <w:rFonts w:eastAsiaTheme="majorEastAsia"/>
        </w:rPr>
        <w:t>Kommentar:</w:t>
      </w:r>
      <w:r>
        <w:t xml:space="preserve"> </w:t>
      </w:r>
      <w:r>
        <w:rPr>
          <w:rStyle w:val="Fett"/>
          <w:rFonts w:eastAsiaTheme="majorEastAsia"/>
          <w:rtl/>
        </w:rPr>
        <w:t>וְרָאִיתָ בַּשִּׁבְיָה אֵשֶׁת יְפַת־תֹּאַר וְחָשַׁקְתָּ בָהּ וְלָקַחְתָּ לְךָ לְאִשָּׁה</w:t>
      </w:r>
      <w:r>
        <w:rPr>
          <w:rtl/>
        </w:rPr>
        <w:t xml:space="preserve"> </w:t>
      </w:r>
      <w:r>
        <w:t xml:space="preserve">sind drei koordinierte Verben: </w:t>
      </w:r>
      <w:r>
        <w:rPr>
          <w:rStyle w:val="Fett"/>
          <w:rFonts w:eastAsiaTheme="majorEastAsia"/>
          <w:rtl/>
        </w:rPr>
        <w:t>וְרָאִיתָ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ראה</w:t>
      </w:r>
      <w:r>
        <w:t xml:space="preserve">, Qal Perfekt, 2. Person Maskulinum Singular, „sehen", mit </w:t>
      </w:r>
      <w:r>
        <w:rPr>
          <w:rStyle w:val="Fett"/>
          <w:rFonts w:eastAsiaTheme="majorEastAsia"/>
        </w:rPr>
        <w:t>Waw</w:t>
      </w:r>
      <w:r>
        <w:t xml:space="preserve"> consecutives Perfekt), </w:t>
      </w:r>
      <w:r>
        <w:rPr>
          <w:rStyle w:val="Fett"/>
          <w:rFonts w:eastAsiaTheme="majorEastAsia"/>
          <w:rtl/>
        </w:rPr>
        <w:t>בַּשִּׁבְיָה</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שְׁבִי</w:t>
      </w:r>
      <w:r>
        <w:t>, „</w:t>
      </w:r>
      <w:r w:rsidR="00D47758">
        <w:t>Gefangenschaft</w:t>
      </w:r>
      <w:r>
        <w:t xml:space="preserve">, </w:t>
      </w:r>
      <w:r w:rsidR="00BF3748">
        <w:t>Gefangene</w:t>
      </w:r>
      <w:r>
        <w:t xml:space="preserve">", mit Artikel und femininer Endung </w:t>
      </w:r>
      <w:r>
        <w:rPr>
          <w:rStyle w:val="Fett"/>
          <w:rFonts w:eastAsiaTheme="majorEastAsia"/>
          <w:rtl/>
        </w:rPr>
        <w:t>ה</w:t>
      </w:r>
      <w:r>
        <w:rPr>
          <w:rStyle w:val="Fett"/>
          <w:rFonts w:eastAsiaTheme="majorEastAsia"/>
        </w:rPr>
        <w:t>-</w:t>
      </w:r>
      <w:r>
        <w:t xml:space="preserve"> – „unter den </w:t>
      </w:r>
      <w:r w:rsidR="00BF3748">
        <w:t>Gefangenen</w:t>
      </w:r>
      <w:r>
        <w:t xml:space="preserve">"), </w:t>
      </w:r>
      <w:r>
        <w:rPr>
          <w:rStyle w:val="Fett"/>
          <w:rFonts w:eastAsiaTheme="majorEastAsia"/>
          <w:rtl/>
        </w:rPr>
        <w:t>אֵשֶׁת יְפַת־תֹּאַר</w:t>
      </w:r>
      <w:r>
        <w:rPr>
          <w:rtl/>
        </w:rPr>
        <w:t xml:space="preserve"> </w:t>
      </w:r>
      <w:r>
        <w:t>(</w:t>
      </w:r>
      <w:r>
        <w:rPr>
          <w:rStyle w:val="Fett"/>
          <w:rFonts w:eastAsiaTheme="majorEastAsia"/>
          <w:rtl/>
        </w:rPr>
        <w:t>אִשָּׁה</w:t>
      </w:r>
      <w:r>
        <w:t xml:space="preserve">, „Frau", Construct mit </w:t>
      </w:r>
      <w:r>
        <w:rPr>
          <w:rStyle w:val="Fett"/>
          <w:rFonts w:eastAsiaTheme="majorEastAsia"/>
          <w:rtl/>
        </w:rPr>
        <w:t>יְפַת</w:t>
      </w:r>
      <w:r>
        <w:t xml:space="preserve">, Femininum Construct von </w:t>
      </w:r>
      <w:r>
        <w:rPr>
          <w:rStyle w:val="Fett"/>
          <w:rFonts w:eastAsiaTheme="majorEastAsia"/>
          <w:rtl/>
        </w:rPr>
        <w:t>יָפֶה</w:t>
      </w:r>
      <w:r>
        <w:t xml:space="preserve">, „schön", </w:t>
      </w:r>
      <w:r>
        <w:rPr>
          <w:rStyle w:val="Fett"/>
          <w:rFonts w:eastAsiaTheme="majorEastAsia"/>
          <w:rtl/>
        </w:rPr>
        <w:t>תֹּאַר</w:t>
      </w:r>
      <w:r>
        <w:t xml:space="preserve">, „Gestalt, Form, Aussehen" – zusammen: „eine Frau schöner Gestalt"), </w:t>
      </w:r>
      <w:r>
        <w:rPr>
          <w:rStyle w:val="Fett"/>
          <w:rFonts w:eastAsiaTheme="majorEastAsia"/>
          <w:rtl/>
        </w:rPr>
        <w:t>וְחָשַׁקְתָּ בָהּ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חשׁק</w:t>
      </w:r>
      <w:r>
        <w:t>, Qal Perfekt, 2. Person Maskulinum Singular, „</w:t>
      </w:r>
      <w:r w:rsidR="00D47758">
        <w:t>Gefallen</w:t>
      </w:r>
      <w:r>
        <w:t xml:space="preserve"> haben an, begehren, anhängen an", </w:t>
      </w:r>
      <w:r>
        <w:rPr>
          <w:rStyle w:val="Fett"/>
          <w:rFonts w:eastAsiaTheme="majorEastAsia"/>
          <w:rtl/>
        </w:rPr>
        <w:t>בָּהּ</w:t>
      </w:r>
      <w:r>
        <w:t xml:space="preserve">, Präposition </w:t>
      </w:r>
      <w:r>
        <w:rPr>
          <w:rStyle w:val="Fett"/>
          <w:rFonts w:eastAsiaTheme="majorEastAsia"/>
          <w:rtl/>
        </w:rPr>
        <w:t>בְּ</w:t>
      </w:r>
      <w:r>
        <w:rPr>
          <w:rtl/>
        </w:rPr>
        <w:t xml:space="preserve"> </w:t>
      </w:r>
      <w:r>
        <w:t xml:space="preserve">mit Suffix 3. Person Femininum Singular, mit </w:t>
      </w:r>
      <w:r>
        <w:rPr>
          <w:rStyle w:val="Fett"/>
          <w:rFonts w:eastAsiaTheme="majorEastAsia"/>
        </w:rPr>
        <w:t>Waw</w:t>
      </w:r>
      <w:r>
        <w:t xml:space="preserve"> consecutives Perfekt), </w:t>
      </w:r>
      <w:r>
        <w:rPr>
          <w:rStyle w:val="Fett"/>
          <w:rFonts w:eastAsiaTheme="majorEastAsia"/>
          <w:rtl/>
        </w:rPr>
        <w:t>וְלָקַחְתָּ לְךָ לְאִשָּׁה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לקח</w:t>
      </w:r>
      <w:r>
        <w:t xml:space="preserve">, Qal Perfekt, 2. Person Maskulinum Singular, „nehmen", </w:t>
      </w:r>
      <w:r>
        <w:rPr>
          <w:rStyle w:val="Fett"/>
          <w:rFonts w:eastAsiaTheme="majorEastAsia"/>
          <w:rtl/>
        </w:rPr>
        <w:t>לְךָ</w:t>
      </w:r>
      <w:r>
        <w:t xml:space="preserve">, Dativ, </w:t>
      </w:r>
      <w:r>
        <w:rPr>
          <w:rStyle w:val="Fett"/>
          <w:rFonts w:eastAsiaTheme="majorEastAsia"/>
          <w:rtl/>
        </w:rPr>
        <w:t>לְאִשָּׁה</w:t>
      </w:r>
      <w:r>
        <w:t xml:space="preserve">, Präposition </w:t>
      </w:r>
      <w:r>
        <w:rPr>
          <w:rStyle w:val="Fett"/>
          <w:rFonts w:eastAsiaTheme="majorEastAsia"/>
          <w:rtl/>
        </w:rPr>
        <w:t>לְ</w:t>
      </w:r>
      <w:r>
        <w:rPr>
          <w:rtl/>
        </w:rPr>
        <w:t xml:space="preserve"> </w:t>
      </w:r>
      <w:r>
        <w:t xml:space="preserve">mit </w:t>
      </w:r>
      <w:r>
        <w:rPr>
          <w:rStyle w:val="Fett"/>
          <w:rFonts w:eastAsiaTheme="majorEastAsia"/>
          <w:rtl/>
        </w:rPr>
        <w:t>אִשָּׁה</w:t>
      </w:r>
      <w:r>
        <w:rPr>
          <w:rtl/>
        </w:rPr>
        <w:t xml:space="preserve"> </w:t>
      </w:r>
      <w:r>
        <w:t xml:space="preserve">– „zur Frau", mit </w:t>
      </w:r>
      <w:r>
        <w:rPr>
          <w:rStyle w:val="Fett"/>
          <w:rFonts w:eastAsiaTheme="majorEastAsia"/>
        </w:rPr>
        <w:t>Waw</w:t>
      </w:r>
      <w:r>
        <w:t xml:space="preserve"> consecutives Perfekt).</w:t>
      </w:r>
    </w:p>
    <w:p w14:paraId="6592F946" w14:textId="1E7A2528" w:rsidR="00D0044F" w:rsidRDefault="00D0044F" w:rsidP="00D0044F">
      <w:pPr>
        <w:pStyle w:val="whitespace-normal"/>
      </w:pPr>
      <w:r>
        <w:t xml:space="preserve">Der Vers spezifiziert die Situation: Unter den </w:t>
      </w:r>
      <w:r w:rsidR="00BF3748">
        <w:t>Kriegsgefangene</w:t>
      </w:r>
      <w:r>
        <w:t xml:space="preserve">n ist eine </w:t>
      </w:r>
      <w:r>
        <w:rPr>
          <w:rStyle w:val="Fett"/>
          <w:rFonts w:eastAsiaTheme="majorEastAsia"/>
          <w:rtl/>
        </w:rPr>
        <w:t>אֵשֶׁת יְפַת־תֹּאַר</w:t>
      </w:r>
      <w:r>
        <w:rPr>
          <w:rtl/>
        </w:rPr>
        <w:t xml:space="preserve"> </w:t>
      </w:r>
      <w:r>
        <w:t xml:space="preserve">(„Frau schöner Gestalt"). Die Formulierung </w:t>
      </w:r>
      <w:r>
        <w:rPr>
          <w:rStyle w:val="Fett"/>
          <w:rFonts w:eastAsiaTheme="majorEastAsia"/>
          <w:rtl/>
        </w:rPr>
        <w:t>יְפַת־תֹּאַר</w:t>
      </w:r>
      <w:r>
        <w:rPr>
          <w:rtl/>
        </w:rPr>
        <w:t xml:space="preserve"> </w:t>
      </w:r>
      <w:r>
        <w:t xml:space="preserve">(Construct-Verbindung: „schön an Gestalt") wird auch für Josef verwendet (Gen 39,6: </w:t>
      </w:r>
      <w:r>
        <w:rPr>
          <w:rStyle w:val="Fett"/>
          <w:rFonts w:eastAsiaTheme="majorEastAsia"/>
          <w:rtl/>
        </w:rPr>
        <w:t>יוֹסֵף יְפֵה־תֹאַר וִיפֵה מַרְאֶה</w:t>
      </w:r>
      <w:r>
        <w:t xml:space="preserve">, „Josef war schön an Gestalt und schön an Aussehen") und für Rahel (Gen 29,17: </w:t>
      </w:r>
      <w:r>
        <w:rPr>
          <w:rStyle w:val="Fett"/>
          <w:rFonts w:eastAsiaTheme="majorEastAsia"/>
          <w:rtl/>
        </w:rPr>
        <w:t>רָחֵל הָיְתָה יְפַת־תֹּאַר וִיפַת מַרְאֶה</w:t>
      </w:r>
      <w:r>
        <w:t xml:space="preserve">, „Rahel war schön an Gestalt und schön an Aussehen"). Das Wort </w:t>
      </w:r>
      <w:r>
        <w:rPr>
          <w:rStyle w:val="Fett"/>
          <w:rFonts w:eastAsiaTheme="majorEastAsia"/>
          <w:rtl/>
        </w:rPr>
        <w:t>תֹּאַר</w:t>
      </w:r>
      <w:r>
        <w:rPr>
          <w:rtl/>
        </w:rPr>
        <w:t xml:space="preserve"> </w:t>
      </w:r>
      <w:r>
        <w:t xml:space="preserve">bezeichnet äußere Form, Gestalt, Erscheinung (vgl. Gen 29,17; 39,6; 41,18.19; Dtn 21,11; </w:t>
      </w:r>
      <w:r w:rsidR="00664EB6">
        <w:t>1Sam</w:t>
      </w:r>
      <w:r>
        <w:t xml:space="preserve"> 25,3; 28,14; Esth 2,7; Jes 52,14; 53,2; Jer 11,16; Dan 1,4.13.15).</w:t>
      </w:r>
    </w:p>
    <w:p w14:paraId="5271DE1A" w14:textId="3B6AB6B0" w:rsidR="00D0044F" w:rsidRDefault="00D0044F" w:rsidP="00D0044F">
      <w:pPr>
        <w:pStyle w:val="whitespace-normal"/>
      </w:pPr>
      <w:r>
        <w:lastRenderedPageBreak/>
        <w:t xml:space="preserve">Das Verb </w:t>
      </w:r>
      <w:r>
        <w:rPr>
          <w:rStyle w:val="Fett"/>
          <w:rFonts w:eastAsiaTheme="majorEastAsia"/>
          <w:rtl/>
        </w:rPr>
        <w:t>חשׁק</w:t>
      </w:r>
      <w:r>
        <w:rPr>
          <w:rtl/>
        </w:rPr>
        <w:t xml:space="preserve"> </w:t>
      </w:r>
      <w:r>
        <w:t>(„</w:t>
      </w:r>
      <w:r w:rsidR="00D47758">
        <w:t>Gefallen</w:t>
      </w:r>
      <w:r>
        <w:t xml:space="preserve"> haben an, begehren, anhängen an") drückt starke emotionale und/oder sexuelle Zuneigung aus (vgl. Gen 34,8; Dtn 7,7; 10,15; 21,11; </w:t>
      </w:r>
      <w:r w:rsidR="00664EB6">
        <w:t>1Kön</w:t>
      </w:r>
      <w:r>
        <w:t xml:space="preserve"> 9,19; </w:t>
      </w:r>
      <w:r w:rsidR="00664EB6">
        <w:t>2Chr</w:t>
      </w:r>
      <w:r>
        <w:t xml:space="preserve"> 8,6; Ps 91,14). In Gen 34,8 wird es für Sichems Begehren nach Dina verwendet (</w:t>
      </w:r>
      <w:r>
        <w:rPr>
          <w:rStyle w:val="Fett"/>
          <w:rFonts w:eastAsiaTheme="majorEastAsia"/>
          <w:rtl/>
        </w:rPr>
        <w:t>וְנֶפֶשׁ בְּנִי שְׁכֶם חָשְׁקָה בְּבִתְּכֶם</w:t>
      </w:r>
      <w:r>
        <w:t xml:space="preserve">, „die Seele meines Sohnes Sichem hat </w:t>
      </w:r>
      <w:r w:rsidR="00D47758">
        <w:t>Gefallen</w:t>
      </w:r>
      <w:r>
        <w:t xml:space="preserve"> gefunden an eurer Tochter"). Die Formulierung </w:t>
      </w:r>
      <w:r>
        <w:rPr>
          <w:rStyle w:val="Fett"/>
          <w:rFonts w:eastAsiaTheme="majorEastAsia"/>
          <w:rtl/>
        </w:rPr>
        <w:t>וְלָקַחְתָּ לְךָ לְאִשָּׁה</w:t>
      </w:r>
      <w:r>
        <w:rPr>
          <w:rtl/>
        </w:rPr>
        <w:t xml:space="preserve"> </w:t>
      </w:r>
      <w:r>
        <w:t xml:space="preserve">(„und du nimmst sie dir zur Frau") ist die technische Formel für Eheschließung (vgl. Gen 4,19; 6,2; 11,29; 12,19; 20,2.3; 24,3.4.7.37.38.40.48.51; 25,1.20; 26,34; 27,46; 28,1.2.6.9; 34,4.9.16.21; 38,2.6; Ex 6,20.23.25; 21,10; 34,16; </w:t>
      </w:r>
      <w:r w:rsidR="00AA14B9">
        <w:t>Lev</w:t>
      </w:r>
      <w:r>
        <w:t xml:space="preserve"> 18,17.18; 20,14.17.21; 21,7.13.14; Num 12,1; Dtn 7,3; 20,7; 21,11; 22,13.14; 24,1.3.4.5; 25,5).</w:t>
      </w:r>
    </w:p>
    <w:p w14:paraId="756265F5" w14:textId="51F54D27" w:rsidR="00D0044F" w:rsidRDefault="00D0044F" w:rsidP="00D0044F">
      <w:pPr>
        <w:pStyle w:val="whitespace-normal"/>
      </w:pPr>
      <w:r>
        <w:t>V. 12-13 werden dann die Bedingungen für diese Eheschließung regeln – dies ist keine Vergewaltigung oder unmittelbare Inbesitznahme, sondern eine geregelte Prozedur.</w:t>
      </w:r>
    </w:p>
    <w:p w14:paraId="4A9DAAEF" w14:textId="2ABC82D6" w:rsidR="00D00836" w:rsidRDefault="00D00836" w:rsidP="00D0044F">
      <w:pPr>
        <w:pStyle w:val="whitespace-normal"/>
      </w:pPr>
      <w:r>
        <w:rPr>
          <w:rStyle w:val="Fett"/>
        </w:rPr>
        <w:t>Die LXX</w:t>
      </w:r>
      <w:r>
        <w:t xml:space="preserve"> übersetzt </w:t>
      </w:r>
      <w:r>
        <w:rPr>
          <w:rtl/>
        </w:rPr>
        <w:t>יְפַת־תֹּאַר</w:t>
      </w:r>
      <w:r>
        <w:t xml:space="preserve"> (schön von Gestalt) mit κα</w:t>
      </w:r>
      <w:proofErr w:type="spellStart"/>
      <w:r>
        <w:t>λὴν</w:t>
      </w:r>
      <w:proofErr w:type="spellEnd"/>
      <w:r>
        <w:t xml:space="preserve"> </w:t>
      </w:r>
      <w:proofErr w:type="spellStart"/>
      <w:r>
        <w:t>τῷ</w:t>
      </w:r>
      <w:proofErr w:type="spellEnd"/>
      <w:r>
        <w:t xml:space="preserve"> </w:t>
      </w:r>
      <w:proofErr w:type="spellStart"/>
      <w:r>
        <w:t>εἴδει</w:t>
      </w:r>
      <w:proofErr w:type="spellEnd"/>
      <w:r>
        <w:t xml:space="preserve"> (schön dem Aussehen nach) – eine präzise griechische Entsprechung. Das Verb </w:t>
      </w:r>
      <w:proofErr w:type="spellStart"/>
      <w:r>
        <w:t>ἐνθυμηθῇς</w:t>
      </w:r>
      <w:proofErr w:type="spellEnd"/>
      <w:r>
        <w:t xml:space="preserve"> (du begehrst) für </w:t>
      </w:r>
      <w:r>
        <w:rPr>
          <w:rtl/>
        </w:rPr>
        <w:t>וְחָשַׁקְתָּ</w:t>
      </w:r>
      <w:r>
        <w:t xml:space="preserve"> ist ein stärkeres emotionales Verb.</w:t>
      </w:r>
    </w:p>
    <w:p w14:paraId="5AEE5207" w14:textId="4C23027F" w:rsidR="00D0044F" w:rsidRDefault="00D0044F" w:rsidP="00D0044F">
      <w:pPr>
        <w:pStyle w:val="whitespace-normal"/>
      </w:pPr>
      <w:r>
        <w:rPr>
          <w:rStyle w:val="Fett"/>
          <w:rFonts w:eastAsiaTheme="majorEastAsia"/>
        </w:rPr>
        <w:t>Die Satzstruktur:</w:t>
      </w:r>
      <w:r>
        <w:t xml:space="preserve"> Drei koordinierte Verben (und sehen wirst du unter den </w:t>
      </w:r>
      <w:r w:rsidR="00BF3748">
        <w:t>Gefangenen</w:t>
      </w:r>
      <w:r>
        <w:t xml:space="preserve"> eine Frau schöner Gestalt, und </w:t>
      </w:r>
      <w:r w:rsidR="00D47758">
        <w:t>Gefallen</w:t>
      </w:r>
      <w:r>
        <w:t xml:space="preserve"> finden wirst du an ihr, und nehmen wirst du sie dir zur Frau).</w:t>
      </w:r>
    </w:p>
    <w:p w14:paraId="03CDB149" w14:textId="4DEA4597" w:rsidR="00D0044F" w:rsidRDefault="00D0044F" w:rsidP="00D0044F">
      <w:pPr>
        <w:pStyle w:val="whitespace-normal"/>
      </w:pPr>
      <w:r>
        <w:t xml:space="preserve">Der Vers setzt die Situation: Du siehst unter den </w:t>
      </w:r>
      <w:r w:rsidR="00BF3748">
        <w:t>Gefangenen</w:t>
      </w:r>
      <w:r>
        <w:t xml:space="preserve"> eine schöne Frau, begehrst sie und willst sie heiraten.</w:t>
      </w:r>
    </w:p>
    <w:p w14:paraId="0516EFBA" w14:textId="77777777" w:rsidR="00D0044F" w:rsidRPr="00B27A64" w:rsidRDefault="00D0044F" w:rsidP="00D0044F">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21,12</w:t>
      </w:r>
    </w:p>
    <w:p w14:paraId="5BF75A81" w14:textId="77777777" w:rsidR="00D0044F" w:rsidRDefault="00D0044F" w:rsidP="00D0044F">
      <w:pPr>
        <w:pStyle w:val="whitespace-normal"/>
      </w:pPr>
      <w:r>
        <w:rPr>
          <w:rStyle w:val="Fett"/>
          <w:rFonts w:eastAsiaTheme="majorEastAsia"/>
        </w:rPr>
        <w:t>Hebräisch:</w:t>
      </w:r>
      <w:r>
        <w:t xml:space="preserve"> </w:t>
      </w:r>
      <w:r>
        <w:rPr>
          <w:rtl/>
        </w:rPr>
        <w:t>וַהֲבֵאתָ֖הּ אֶל־תּ֣וֹךְ בֵּיתֶ֑ךָ וְגִלְּחָה֙ אֶת־רֹאשָׁ֔הּ וְעָשְׂתָ֖ה אֶת־צִפָּרְנֶֽיהָ׃</w:t>
      </w:r>
    </w:p>
    <w:p w14:paraId="3B57FFF3" w14:textId="77777777" w:rsidR="00D0044F" w:rsidRDefault="00D0044F" w:rsidP="00D0044F">
      <w:pPr>
        <w:pStyle w:val="whitespace-normal"/>
      </w:pPr>
      <w:r>
        <w:rPr>
          <w:rStyle w:val="Fett"/>
          <w:rFonts w:eastAsiaTheme="majorEastAsia"/>
        </w:rPr>
        <w:t>Deutsch:</w:t>
      </w:r>
      <w:r>
        <w:t xml:space="preserve"> so sollst du sie in das Innere deines Hauses bringen; und sie soll ihr Haupt scheren und ihre Nägel beschneiden</w:t>
      </w:r>
    </w:p>
    <w:p w14:paraId="3A02D522" w14:textId="77777777" w:rsidR="00D0044F" w:rsidRDefault="004F5CEB" w:rsidP="00D0044F">
      <w:r>
        <w:rPr>
          <w:noProof/>
        </w:rPr>
        <w:pict w14:anchorId="652CC008">
          <v:rect id="_x0000_i1584" style="width:0;height:1.5pt" o:hralign="center" o:hrstd="t" o:hr="t" fillcolor="#a0a0a0" stroked="f"/>
        </w:pict>
      </w:r>
    </w:p>
    <w:p w14:paraId="19B75A9C" w14:textId="77777777" w:rsidR="00D0044F" w:rsidRDefault="00D0044F" w:rsidP="00D0044F">
      <w:pPr>
        <w:pStyle w:val="whitespace-normal"/>
      </w:pPr>
      <w:r>
        <w:rPr>
          <w:rStyle w:val="Fett"/>
          <w:rFonts w:eastAsiaTheme="majorEastAsia"/>
        </w:rPr>
        <w:t>Kommentar:</w:t>
      </w:r>
      <w:r>
        <w:t xml:space="preserve"> </w:t>
      </w:r>
      <w:r>
        <w:rPr>
          <w:rStyle w:val="Fett"/>
          <w:rFonts w:eastAsiaTheme="majorEastAsia"/>
          <w:rtl/>
        </w:rPr>
        <w:t>וַהֲבֵאתָהּ אֶל־תּוֹךְ בֵּיתֶךָ וְגִלְּחָה אֶת־רֹאשָׁהּ וְעָשְׂתָה אֶת־צִפָּרְנֶיהָ</w:t>
      </w:r>
      <w:r>
        <w:rPr>
          <w:rtl/>
        </w:rPr>
        <w:t xml:space="preserve"> </w:t>
      </w:r>
      <w:r>
        <w:t xml:space="preserve">sind drei Anweisungen: </w:t>
      </w:r>
      <w:r>
        <w:rPr>
          <w:rStyle w:val="Fett"/>
          <w:rFonts w:eastAsiaTheme="majorEastAsia"/>
          <w:rtl/>
        </w:rPr>
        <w:t>וַהֲבֵאתָהּ אֶל־תּוֹךְ בֵּיתֶךָ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בוא</w:t>
      </w:r>
      <w:r>
        <w:t xml:space="preserve">, Hiphil Perfekt, 2. Person Maskulinum Singular, „bringen, hineinbringen" – das Hiphil ist kausativ, mit Suffix 3. Person Femininum Singular als Objekt, Präposition </w:t>
      </w:r>
      <w:r>
        <w:rPr>
          <w:rStyle w:val="Fett"/>
          <w:rFonts w:eastAsiaTheme="majorEastAsia"/>
          <w:rtl/>
        </w:rPr>
        <w:t>אֶל</w:t>
      </w:r>
      <w:r>
        <w:rPr>
          <w:rtl/>
        </w:rPr>
        <w:t xml:space="preserve"> </w:t>
      </w:r>
      <w:r>
        <w:t xml:space="preserve">mit </w:t>
      </w:r>
      <w:r>
        <w:rPr>
          <w:rStyle w:val="Fett"/>
          <w:rFonts w:eastAsiaTheme="majorEastAsia"/>
          <w:rtl/>
        </w:rPr>
        <w:t>תָּוֶךְ</w:t>
      </w:r>
      <w:r>
        <w:t xml:space="preserve">, „Mitte, Inneres", Construct mit </w:t>
      </w:r>
      <w:r>
        <w:rPr>
          <w:rStyle w:val="Fett"/>
          <w:rFonts w:eastAsiaTheme="majorEastAsia"/>
          <w:rtl/>
        </w:rPr>
        <w:t>בַּיִת</w:t>
      </w:r>
      <w:r>
        <w:t xml:space="preserve">, „Haus", mit Suffix 2. Person Maskulinum Singular, mit </w:t>
      </w:r>
      <w:r>
        <w:rPr>
          <w:rStyle w:val="Fett"/>
          <w:rFonts w:eastAsiaTheme="majorEastAsia"/>
        </w:rPr>
        <w:t>Waw</w:t>
      </w:r>
      <w:r>
        <w:t xml:space="preserve"> consecutives Perfekt), </w:t>
      </w:r>
      <w:r>
        <w:rPr>
          <w:rStyle w:val="Fett"/>
          <w:rFonts w:eastAsiaTheme="majorEastAsia"/>
          <w:rtl/>
        </w:rPr>
        <w:t>וְגִלְּחָה אֶת־רֹאשָׁהּ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גלח</w:t>
      </w:r>
      <w:r>
        <w:t xml:space="preserve">, Piel Perfekt, 3. Person Femininum Singular, „scheren, rasieren" – im Piel intensiv, Objektpartikel </w:t>
      </w:r>
      <w:r>
        <w:rPr>
          <w:rStyle w:val="Fett"/>
          <w:rFonts w:eastAsiaTheme="majorEastAsia"/>
          <w:rtl/>
        </w:rPr>
        <w:t>אֵת</w:t>
      </w:r>
      <w:r>
        <w:rPr>
          <w:rtl/>
        </w:rPr>
        <w:t xml:space="preserve"> </w:t>
      </w:r>
      <w:r>
        <w:t xml:space="preserve">mit </w:t>
      </w:r>
      <w:r>
        <w:rPr>
          <w:rStyle w:val="Fett"/>
          <w:rFonts w:eastAsiaTheme="majorEastAsia"/>
          <w:rtl/>
        </w:rPr>
        <w:t>רֹאשׁ</w:t>
      </w:r>
      <w:r>
        <w:t xml:space="preserve">, „Haupt, Kopf", mit Suffix 3. Person Femininum Singular, mit </w:t>
      </w:r>
      <w:r>
        <w:rPr>
          <w:rStyle w:val="Fett"/>
          <w:rFonts w:eastAsiaTheme="majorEastAsia"/>
        </w:rPr>
        <w:t>Waw</w:t>
      </w:r>
      <w:r>
        <w:t xml:space="preserve"> consecutives Perfekt), </w:t>
      </w:r>
      <w:r>
        <w:rPr>
          <w:rStyle w:val="Fett"/>
          <w:rFonts w:eastAsiaTheme="majorEastAsia"/>
          <w:rtl/>
        </w:rPr>
        <w:t>וְעָשְׂתָה אֶת־צִפָּרְנֶיהָ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עשׂה</w:t>
      </w:r>
      <w:r>
        <w:t xml:space="preserve">, Qal Perfekt, 3. Person Femininum Singular, „tun, machen", Objektpartikel </w:t>
      </w:r>
      <w:r>
        <w:rPr>
          <w:rStyle w:val="Fett"/>
          <w:rFonts w:eastAsiaTheme="majorEastAsia"/>
          <w:rtl/>
        </w:rPr>
        <w:t>אֵת</w:t>
      </w:r>
      <w:r>
        <w:rPr>
          <w:rtl/>
        </w:rPr>
        <w:t xml:space="preserve"> </w:t>
      </w:r>
      <w:r>
        <w:t xml:space="preserve">mit </w:t>
      </w:r>
      <w:r>
        <w:rPr>
          <w:rStyle w:val="Fett"/>
          <w:rFonts w:eastAsiaTheme="majorEastAsia"/>
          <w:rtl/>
        </w:rPr>
        <w:t>צִפֹּרֶן</w:t>
      </w:r>
      <w:r>
        <w:t xml:space="preserve">, „Nagel, Fingernagel", Plural mit Suffix 3. Person Femininum Singular, mit </w:t>
      </w:r>
      <w:r>
        <w:rPr>
          <w:rStyle w:val="Fett"/>
          <w:rFonts w:eastAsiaTheme="majorEastAsia"/>
        </w:rPr>
        <w:t>Waw</w:t>
      </w:r>
      <w:r>
        <w:t xml:space="preserve"> consecutives Perfekt).</w:t>
      </w:r>
    </w:p>
    <w:p w14:paraId="2B004746" w14:textId="77777777" w:rsidR="00AA14B9" w:rsidRDefault="00D0044F" w:rsidP="00D0044F">
      <w:pPr>
        <w:pStyle w:val="whitespace-normal"/>
      </w:pPr>
      <w:r>
        <w:t xml:space="preserve">Der Vers beschreibt die erste Phase: </w:t>
      </w:r>
    </w:p>
    <w:p w14:paraId="2A1BE3AC" w14:textId="2D0B7124" w:rsidR="00D0044F" w:rsidRDefault="00D0044F" w:rsidP="00D0044F">
      <w:pPr>
        <w:pStyle w:val="whitespace-normal"/>
      </w:pPr>
      <w:r>
        <w:lastRenderedPageBreak/>
        <w:t xml:space="preserve">(1) </w:t>
      </w:r>
      <w:r>
        <w:rPr>
          <w:rStyle w:val="Fett"/>
          <w:rFonts w:eastAsiaTheme="majorEastAsia"/>
          <w:rtl/>
        </w:rPr>
        <w:t>וַהֲבֵאתָהּ אֶל־תּוֹךְ בֵּיתֶךָ</w:t>
      </w:r>
      <w:r>
        <w:rPr>
          <w:rtl/>
        </w:rPr>
        <w:t xml:space="preserve"> </w:t>
      </w:r>
      <w:r>
        <w:t xml:space="preserve">(„du sollst sie bringen in das Innere deines Hauses") – die Frau wird ins Haus gebracht, aber die Ehe wird noch nicht vollzogen (V. 13 wird zeigen: erst nach einem Monat). Die Formulierung </w:t>
      </w:r>
      <w:r>
        <w:rPr>
          <w:rStyle w:val="Fett"/>
          <w:rFonts w:eastAsiaTheme="majorEastAsia"/>
          <w:rtl/>
        </w:rPr>
        <w:t>אֶל־תּוֹךְ בֵּיתֶךָ</w:t>
      </w:r>
      <w:r>
        <w:rPr>
          <w:rtl/>
        </w:rPr>
        <w:t xml:space="preserve"> </w:t>
      </w:r>
      <w:r>
        <w:t>(„in das Innere deines Hauses") betont: ins Hausinnere, nicht in einen Nebenraum – sie wird Teil des Haushalts.</w:t>
      </w:r>
    </w:p>
    <w:p w14:paraId="0969E658" w14:textId="179CABE5" w:rsidR="00D0044F" w:rsidRDefault="00D0044F" w:rsidP="00AA14B9">
      <w:pPr>
        <w:pStyle w:val="KeinLeerraum"/>
      </w:pPr>
      <w:r>
        <w:t xml:space="preserve">(2) </w:t>
      </w:r>
      <w:r>
        <w:rPr>
          <w:rStyle w:val="Fett"/>
          <w:rtl/>
        </w:rPr>
        <w:t>וְגִלְּחָה אֶת־רֹאשָׁהּ</w:t>
      </w:r>
      <w:r>
        <w:rPr>
          <w:rtl/>
        </w:rPr>
        <w:t xml:space="preserve"> </w:t>
      </w:r>
      <w:r>
        <w:t xml:space="preserve">(„sie soll ihr Haupt scheren") – das Verb </w:t>
      </w:r>
      <w:r>
        <w:rPr>
          <w:rStyle w:val="Fett"/>
          <w:rtl/>
        </w:rPr>
        <w:t>גלח</w:t>
      </w:r>
      <w:r>
        <w:rPr>
          <w:rtl/>
        </w:rPr>
        <w:t xml:space="preserve"> </w:t>
      </w:r>
      <w:r>
        <w:t xml:space="preserve">im Piel bedeutet „scheren, rasieren" (vgl. Gen 41,14; </w:t>
      </w:r>
      <w:r w:rsidR="00664EB6">
        <w:t>Lev</w:t>
      </w:r>
      <w:r>
        <w:t xml:space="preserve"> 13,33; 14,8.9; 21,5; Num 6,9.18.19; 8,7; Dtn 21,12). </w:t>
      </w:r>
    </w:p>
    <w:p w14:paraId="768D06B5" w14:textId="77777777" w:rsidR="00D0044F" w:rsidRDefault="00D0044F" w:rsidP="00AA14B9">
      <w:pPr>
        <w:pStyle w:val="KeinLeerraum"/>
      </w:pPr>
      <w:r>
        <w:t xml:space="preserve">Das Scheren des Hauptes hat verschiedene Bedeutungen: </w:t>
      </w:r>
    </w:p>
    <w:p w14:paraId="166765B5" w14:textId="18D7AD1E" w:rsidR="00D0044F" w:rsidRDefault="00D0044F" w:rsidP="00AA14B9">
      <w:pPr>
        <w:pStyle w:val="KeinLeerraum"/>
      </w:pPr>
      <w:r>
        <w:t xml:space="preserve">(a) Trauer (vgl. Hiob 1,20; Jes 15,2; 22,12; Jer 16,6; 41,5; 47,5; 48,37; </w:t>
      </w:r>
      <w:r w:rsidR="00BF3748">
        <w:t>Hes</w:t>
      </w:r>
      <w:r>
        <w:t xml:space="preserve"> 7,18; 27,31; 29,18; Am 8,10; Mi 1,16), </w:t>
      </w:r>
    </w:p>
    <w:p w14:paraId="47672509" w14:textId="3FEE9EF7" w:rsidR="00AA14B9" w:rsidRDefault="00D0044F" w:rsidP="00AA14B9">
      <w:pPr>
        <w:pStyle w:val="KeinLeerraum"/>
      </w:pPr>
      <w:r>
        <w:t xml:space="preserve">(b) Reinigung/Übergang (vgl. Num 6,9.18 – Nasiräat; 8,7 – Leviten; </w:t>
      </w:r>
      <w:r w:rsidR="00664EB6">
        <w:t>Lev</w:t>
      </w:r>
      <w:r>
        <w:t xml:space="preserve"> 14,8.9 – Aussatz), </w:t>
      </w:r>
    </w:p>
    <w:p w14:paraId="77E092ED" w14:textId="5027B622" w:rsidR="00D0044F" w:rsidRDefault="00D0044F" w:rsidP="00AA14B9">
      <w:pPr>
        <w:pStyle w:val="KeinLeerraum"/>
      </w:pPr>
      <w:r>
        <w:t xml:space="preserve">(c) Scham/Erniedrigung (vgl. </w:t>
      </w:r>
      <w:r w:rsidR="00664EB6">
        <w:t>2Sam</w:t>
      </w:r>
      <w:r>
        <w:t xml:space="preserve"> 10,4; Jes 7,20). </w:t>
      </w:r>
    </w:p>
    <w:p w14:paraId="544985A4" w14:textId="77777777" w:rsidR="00AA14B9" w:rsidRDefault="00AA14B9" w:rsidP="00AA14B9">
      <w:pPr>
        <w:pStyle w:val="KeinLeerraum"/>
      </w:pPr>
    </w:p>
    <w:p w14:paraId="5C2CB6F0" w14:textId="55987190" w:rsidR="00AA14B9" w:rsidRDefault="00D0044F" w:rsidP="00AA14B9">
      <w:pPr>
        <w:pStyle w:val="KeinLeerraum"/>
      </w:pPr>
      <w:r>
        <w:t xml:space="preserve">Hier wahrscheinlich: </w:t>
      </w:r>
    </w:p>
    <w:p w14:paraId="67A48190" w14:textId="77777777" w:rsidR="00AA14B9" w:rsidRDefault="00D0044F" w:rsidP="00AA14B9">
      <w:pPr>
        <w:pStyle w:val="KeinLeerraum"/>
      </w:pPr>
      <w:r>
        <w:t xml:space="preserve">(a) Trauer über den Verlust ihrer Familie/Heimat, und </w:t>
      </w:r>
    </w:p>
    <w:p w14:paraId="0AF9FE87" w14:textId="67DF572C" w:rsidR="00D0044F" w:rsidRDefault="00D0044F" w:rsidP="00AA14B9">
      <w:pPr>
        <w:pStyle w:val="KeinLeerraum"/>
      </w:pPr>
      <w:r>
        <w:t xml:space="preserve">(b) ritueller Übergang vom Status als </w:t>
      </w:r>
      <w:r w:rsidR="00BF3748">
        <w:t>Kriegsgefangene</w:t>
      </w:r>
      <w:r>
        <w:t xml:space="preserve"> zum Status als potentielle Ehefrau.</w:t>
      </w:r>
    </w:p>
    <w:p w14:paraId="4C86CBA6" w14:textId="77777777" w:rsidR="00AA14B9" w:rsidRDefault="00AA14B9" w:rsidP="00AA14B9">
      <w:pPr>
        <w:pStyle w:val="KeinLeerraum"/>
      </w:pPr>
    </w:p>
    <w:p w14:paraId="370CF230" w14:textId="77777777" w:rsidR="00AA14B9" w:rsidRDefault="00D0044F" w:rsidP="00AA14B9">
      <w:pPr>
        <w:pStyle w:val="KeinLeerraum"/>
      </w:pPr>
      <w:r>
        <w:t xml:space="preserve">(3) </w:t>
      </w:r>
      <w:r>
        <w:rPr>
          <w:rStyle w:val="Fett"/>
          <w:rtl/>
        </w:rPr>
        <w:t>וְעָשְׂתָה אֶת־צִפָּרְנֶיהָ</w:t>
      </w:r>
      <w:r>
        <w:rPr>
          <w:rtl/>
        </w:rPr>
        <w:t xml:space="preserve"> </w:t>
      </w:r>
      <w:r>
        <w:t xml:space="preserve">(„sie soll ihre Nägel machen/tun") – das Verb </w:t>
      </w:r>
      <w:r>
        <w:rPr>
          <w:rStyle w:val="Fett"/>
          <w:rtl/>
        </w:rPr>
        <w:t>עשׂה</w:t>
      </w:r>
      <w:r>
        <w:rPr>
          <w:rtl/>
        </w:rPr>
        <w:t xml:space="preserve"> </w:t>
      </w:r>
      <w:r>
        <w:t xml:space="preserve">mit </w:t>
      </w:r>
      <w:r>
        <w:rPr>
          <w:rStyle w:val="Fett"/>
          <w:rtl/>
        </w:rPr>
        <w:t>צִפָּרְנַיִם</w:t>
      </w:r>
      <w:r>
        <w:rPr>
          <w:rtl/>
        </w:rPr>
        <w:t xml:space="preserve"> </w:t>
      </w:r>
      <w:r>
        <w:t xml:space="preserve">ist mehrdeutig: </w:t>
      </w:r>
    </w:p>
    <w:p w14:paraId="41345233" w14:textId="77777777" w:rsidR="00AA14B9" w:rsidRDefault="00D0044F" w:rsidP="00AA14B9">
      <w:pPr>
        <w:pStyle w:val="KeinLeerraum"/>
      </w:pPr>
      <w:r>
        <w:t xml:space="preserve">(a) „beschneiden, kürzen" – so die meisten Übersetzungen (LXX, Vulgata, Raschi), </w:t>
      </w:r>
    </w:p>
    <w:p w14:paraId="33A627A2" w14:textId="06B3F7C1" w:rsidR="00D0044F" w:rsidRDefault="00D0044F" w:rsidP="00AA14B9">
      <w:pPr>
        <w:pStyle w:val="KeinLeerraum"/>
      </w:pPr>
      <w:r>
        <w:t xml:space="preserve">(b) „wachsen lassen" – so Targum Onkelos und einige Rabbinen (Mischna Jebamot 6,6 diskutiert beide Optionen). Die Parallelität zu </w:t>
      </w:r>
      <w:r>
        <w:rPr>
          <w:rStyle w:val="Fett"/>
          <w:rtl/>
        </w:rPr>
        <w:t>גִלְּחָה אֶת־רֹאשָׁהּ</w:t>
      </w:r>
      <w:r>
        <w:rPr>
          <w:rtl/>
        </w:rPr>
        <w:t xml:space="preserve"> </w:t>
      </w:r>
      <w:r>
        <w:t xml:space="preserve">(„scheren ihr Haupt") legt nahe: auch die Nägel werden gekürzt/beschnitten als Teil der Trauerriten oder des rituellen Übergangs. Das Wort </w:t>
      </w:r>
      <w:r>
        <w:rPr>
          <w:rStyle w:val="Fett"/>
          <w:rtl/>
        </w:rPr>
        <w:t>צִפֹּרֶן</w:t>
      </w:r>
      <w:r>
        <w:rPr>
          <w:rtl/>
        </w:rPr>
        <w:t xml:space="preserve"> </w:t>
      </w:r>
      <w:r>
        <w:t>(„Nagel") erscheint nur hier und in Jer 17,1; Dan 4,30; 7,19.</w:t>
      </w:r>
    </w:p>
    <w:p w14:paraId="084B3A3C" w14:textId="2902AC5E" w:rsidR="00D0044F" w:rsidRDefault="00D0044F" w:rsidP="00D0044F">
      <w:pPr>
        <w:pStyle w:val="whitespace-normal"/>
      </w:pPr>
      <w:r>
        <w:t>Die Kombination – Scheren des Hauptes + Beschneiden der Nägel – ist Teil eines Trauer- und Übergangsrituals. Die Frau durchläuft einen Status-Übergang: von Feindin/</w:t>
      </w:r>
      <w:r w:rsidR="00BF3748">
        <w:t>Kriegsgefangene</w:t>
      </w:r>
      <w:r>
        <w:t>r zu potentieller Israelitin/Ehefrau.</w:t>
      </w:r>
    </w:p>
    <w:p w14:paraId="1680F365" w14:textId="15419739" w:rsidR="00D00836" w:rsidRDefault="00D00836" w:rsidP="00D0044F">
      <w:pPr>
        <w:pStyle w:val="whitespace-normal"/>
      </w:pPr>
      <w:r>
        <w:rPr>
          <w:rStyle w:val="Fett"/>
        </w:rPr>
        <w:t>Die LXX</w:t>
      </w:r>
      <w:r>
        <w:t xml:space="preserve"> übersetzt </w:t>
      </w:r>
      <w:r>
        <w:rPr>
          <w:rtl/>
        </w:rPr>
        <w:t>וְעָשְׂתָה אֶת־צִפָּרְנֶיהָ</w:t>
      </w:r>
      <w:r>
        <w:t xml:space="preserve"> (und sie soll ihre Nägel machen/schneiden) mit καὶ π</w:t>
      </w:r>
      <w:proofErr w:type="spellStart"/>
      <w:r>
        <w:t>εριονυχιεῖς</w:t>
      </w:r>
      <w:proofErr w:type="spellEnd"/>
      <w:r>
        <w:t xml:space="preserve"> α</w:t>
      </w:r>
      <w:proofErr w:type="spellStart"/>
      <w:r>
        <w:t>ὐτήν</w:t>
      </w:r>
      <w:proofErr w:type="spellEnd"/>
      <w:r>
        <w:t xml:space="preserve"> (und du wirst ihre Nägel ringsum schneiden) – wobei das Griechische den Mann als Subjekt hat, während das Hebräische die Frau als Subjekt zu haben scheint.</w:t>
      </w:r>
    </w:p>
    <w:p w14:paraId="4905D51B" w14:textId="77777777" w:rsidR="00D0044F" w:rsidRDefault="00D0044F" w:rsidP="00D0044F">
      <w:pPr>
        <w:pStyle w:val="whitespace-normal"/>
      </w:pPr>
      <w:r>
        <w:rPr>
          <w:rStyle w:val="Fett"/>
          <w:rFonts w:eastAsiaTheme="majorEastAsia"/>
        </w:rPr>
        <w:t>Die Satzstruktur:</w:t>
      </w:r>
      <w:r>
        <w:t xml:space="preserve"> Drei Anweisungen (bringen sollst du sie in das Innere deines Hauses; und scheren soll sie ihr Haupt, und machen/beschneiden soll sie ihre Nägel).</w:t>
      </w:r>
    </w:p>
    <w:p w14:paraId="7FCD4752" w14:textId="77777777" w:rsidR="00D0044F" w:rsidRDefault="00D0044F" w:rsidP="00D0044F">
      <w:pPr>
        <w:pStyle w:val="whitespace-normal"/>
      </w:pPr>
      <w:r>
        <w:t>Der Vers beschreibt: Du bringst sie ins Haus, und sie soll ihr Haupt scheren und ihre Nägel beschneiden.</w:t>
      </w:r>
    </w:p>
    <w:p w14:paraId="0135FED1" w14:textId="77777777" w:rsidR="00D0044F" w:rsidRPr="00B27A64" w:rsidRDefault="00D0044F" w:rsidP="00D0044F">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21,13</w:t>
      </w:r>
    </w:p>
    <w:p w14:paraId="0F7D4C4E" w14:textId="77777777" w:rsidR="00D0044F" w:rsidRDefault="00D0044F" w:rsidP="00D0044F">
      <w:pPr>
        <w:pStyle w:val="whitespace-normal"/>
      </w:pPr>
      <w:r>
        <w:rPr>
          <w:rStyle w:val="Fett"/>
          <w:rFonts w:eastAsiaTheme="majorEastAsia"/>
        </w:rPr>
        <w:t>Hebräisch:</w:t>
      </w:r>
      <w:r>
        <w:t xml:space="preserve"> </w:t>
      </w:r>
      <w:r>
        <w:rPr>
          <w:rtl/>
        </w:rPr>
        <w:t>וְהֵסִ֩ירָה֩ אֶת־שִׂמְלַ֨ת שִׁבְיָ֜הּ מֵעָלֶ֗יהָ וְיָֽשְׁבָה֙ בְּבֵיתֶ֔ךָ וּבָֽכְתָ֛ה אֶת־אָבִ֥יהָ וְאֶת־אִמָּ֖הּ יֶ֣רַח יָמִ֑ים וְאַ֨חַר כֵּ֜ן תָּב֤וֹא אֵלֶ֨יהָ֙ וּבְעַלְתָּ֔הּ וְהָיְתָ֥ה לְךָ֖ לְאִשָּֽׁה׃</w:t>
      </w:r>
    </w:p>
    <w:p w14:paraId="54E4FE8A" w14:textId="0CF5FC84" w:rsidR="00D0044F" w:rsidRDefault="00D0044F" w:rsidP="00D0044F">
      <w:pPr>
        <w:pStyle w:val="whitespace-normal"/>
      </w:pPr>
      <w:r>
        <w:rPr>
          <w:rStyle w:val="Fett"/>
          <w:rFonts w:eastAsiaTheme="majorEastAsia"/>
        </w:rPr>
        <w:t>Deutsch:</w:t>
      </w:r>
      <w:r>
        <w:t xml:space="preserve"> und die Kleider ihrer </w:t>
      </w:r>
      <w:r w:rsidR="00D47758">
        <w:t>Gefangenschaft</w:t>
      </w:r>
      <w:r>
        <w:t xml:space="preserve"> von sich ablegen und in deinem Haus bleiben und ihren Vater und ihre Mutter einen Monat lang beweinen; und danach darfst du zu ihr eingehen und sie heiraten, und sie soll deine Frau sein.</w:t>
      </w:r>
    </w:p>
    <w:p w14:paraId="7005CDEF" w14:textId="77777777" w:rsidR="00D0044F" w:rsidRDefault="004F5CEB" w:rsidP="00D0044F">
      <w:r>
        <w:rPr>
          <w:noProof/>
        </w:rPr>
        <w:lastRenderedPageBreak/>
        <w:pict w14:anchorId="00CFD777">
          <v:rect id="_x0000_i1585" style="width:0;height:1.5pt" o:hralign="center" o:hrstd="t" o:hr="t" fillcolor="#a0a0a0" stroked="f"/>
        </w:pict>
      </w:r>
    </w:p>
    <w:p w14:paraId="29BA2B3C" w14:textId="0BEC15AD" w:rsidR="00D0044F" w:rsidRDefault="00D0044F" w:rsidP="00D0044F">
      <w:pPr>
        <w:pStyle w:val="whitespace-normal"/>
      </w:pPr>
      <w:r>
        <w:rPr>
          <w:rStyle w:val="Fett"/>
          <w:rFonts w:eastAsiaTheme="majorEastAsia"/>
        </w:rPr>
        <w:t>Kommentar:</w:t>
      </w:r>
      <w:r>
        <w:t xml:space="preserve"> </w:t>
      </w:r>
      <w:r>
        <w:rPr>
          <w:rStyle w:val="Fett"/>
          <w:rFonts w:eastAsiaTheme="majorEastAsia"/>
          <w:rtl/>
        </w:rPr>
        <w:t>וְהֵסִירָה אֶת־שִׂמְלַת שִׁבְיָהּ מֵעָלֶיהָ וְיָשְׁבָה בְּבֵיתֶךָ וּבָכְתָה אֶת־אָבִיהָ וְאֶת־אִמָּהּ יֶרַח יָמִים</w:t>
      </w:r>
      <w:r>
        <w:rPr>
          <w:rtl/>
        </w:rPr>
        <w:t xml:space="preserve"> </w:t>
      </w:r>
      <w:r>
        <w:t xml:space="preserve">sind vier weitere Anweisungen: </w:t>
      </w:r>
      <w:r>
        <w:rPr>
          <w:rStyle w:val="Fett"/>
          <w:rFonts w:eastAsiaTheme="majorEastAsia"/>
          <w:rtl/>
        </w:rPr>
        <w:t>וְהֵסִירָה אֶת־שִׂמְלַת שִׁבְיָהּ מֵעָלֶיהָ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סור</w:t>
      </w:r>
      <w:r>
        <w:t xml:space="preserve">, Hiphil Perfekt, 3. Person Femininum Singular, „entfernen, wegtun" – das Hiphil ist kausativ, Objektpartikel </w:t>
      </w:r>
      <w:r>
        <w:rPr>
          <w:rStyle w:val="Fett"/>
          <w:rFonts w:eastAsiaTheme="majorEastAsia"/>
          <w:rtl/>
        </w:rPr>
        <w:t>אֵת</w:t>
      </w:r>
      <w:r>
        <w:rPr>
          <w:rtl/>
        </w:rPr>
        <w:t xml:space="preserve"> </w:t>
      </w:r>
      <w:r>
        <w:t xml:space="preserve">mit </w:t>
      </w:r>
      <w:r>
        <w:rPr>
          <w:rStyle w:val="Fett"/>
          <w:rFonts w:eastAsiaTheme="majorEastAsia"/>
          <w:rtl/>
        </w:rPr>
        <w:t>שִׂמְלָה</w:t>
      </w:r>
      <w:r>
        <w:t xml:space="preserve">, „Kleid, Gewand", Construct mit </w:t>
      </w:r>
      <w:r>
        <w:rPr>
          <w:rStyle w:val="Fett"/>
          <w:rFonts w:eastAsiaTheme="majorEastAsia"/>
          <w:rtl/>
        </w:rPr>
        <w:t>שְׁבִי</w:t>
      </w:r>
      <w:r>
        <w:t>, „</w:t>
      </w:r>
      <w:r w:rsidR="00D47758">
        <w:t>Gefangenschaft</w:t>
      </w:r>
      <w:r>
        <w:t xml:space="preserve">", mit Suffix 3. Person Femininum Singular – „das Kleid ihrer </w:t>
      </w:r>
      <w:r w:rsidR="00D47758">
        <w:t>Gefangenschaft</w:t>
      </w:r>
      <w:r>
        <w:t xml:space="preserve">", </w:t>
      </w:r>
      <w:r>
        <w:rPr>
          <w:rStyle w:val="Fett"/>
          <w:rFonts w:eastAsiaTheme="majorEastAsia"/>
          <w:rtl/>
        </w:rPr>
        <w:t>מֵעָלֶיהָ</w:t>
      </w:r>
      <w:r>
        <w:t xml:space="preserve">, Präposition </w:t>
      </w:r>
      <w:r>
        <w:rPr>
          <w:rStyle w:val="Fett"/>
          <w:rFonts w:eastAsiaTheme="majorEastAsia"/>
          <w:rtl/>
        </w:rPr>
        <w:t>מִן</w:t>
      </w:r>
      <w:r>
        <w:rPr>
          <w:rtl/>
        </w:rPr>
        <w:t xml:space="preserve"> </w:t>
      </w:r>
      <w:r>
        <w:t xml:space="preserve">mit </w:t>
      </w:r>
      <w:r>
        <w:rPr>
          <w:rStyle w:val="Fett"/>
          <w:rFonts w:eastAsiaTheme="majorEastAsia"/>
          <w:rtl/>
        </w:rPr>
        <w:t>עַל</w:t>
      </w:r>
      <w:r>
        <w:t xml:space="preserve">, Präposition, mit Suffix 3. Person Femininum Singular – „von sich, von auf ihr", mit </w:t>
      </w:r>
      <w:r>
        <w:rPr>
          <w:rStyle w:val="Fett"/>
          <w:rFonts w:eastAsiaTheme="majorEastAsia"/>
        </w:rPr>
        <w:t>Waw</w:t>
      </w:r>
      <w:r>
        <w:t xml:space="preserve"> consecutives Perfekt), </w:t>
      </w:r>
      <w:r>
        <w:rPr>
          <w:rStyle w:val="Fett"/>
          <w:rFonts w:eastAsiaTheme="majorEastAsia"/>
          <w:rtl/>
        </w:rPr>
        <w:t>וְיָשְׁבָה בְּבֵיתֶךָ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ישׁב</w:t>
      </w:r>
      <w:r>
        <w:t xml:space="preserve">, Qal Perfekt, 3. Person Femininum Singular, „sitzen, wohnen, bleiben", </w:t>
      </w:r>
      <w:r>
        <w:rPr>
          <w:rStyle w:val="Fett"/>
          <w:rFonts w:eastAsiaTheme="majorEastAsia"/>
          <w:rtl/>
        </w:rPr>
        <w:t>בְּבֵיתֶךָ</w:t>
      </w:r>
      <w:r>
        <w:t xml:space="preserve">, Präposition </w:t>
      </w:r>
      <w:r>
        <w:rPr>
          <w:rStyle w:val="Fett"/>
          <w:rFonts w:eastAsiaTheme="majorEastAsia"/>
          <w:rtl/>
        </w:rPr>
        <w:t>בְּ</w:t>
      </w:r>
      <w:r>
        <w:rPr>
          <w:rtl/>
        </w:rPr>
        <w:t xml:space="preserve"> </w:t>
      </w:r>
      <w:r>
        <w:t xml:space="preserve">mit </w:t>
      </w:r>
      <w:r>
        <w:rPr>
          <w:rStyle w:val="Fett"/>
          <w:rFonts w:eastAsiaTheme="majorEastAsia"/>
          <w:rtl/>
        </w:rPr>
        <w:t>בַּיִת</w:t>
      </w:r>
      <w:r>
        <w:rPr>
          <w:rtl/>
        </w:rPr>
        <w:t xml:space="preserve"> </w:t>
      </w:r>
      <w:r>
        <w:t xml:space="preserve">mit Suffix 2. Person Maskulinum Singular, mit </w:t>
      </w:r>
      <w:r>
        <w:rPr>
          <w:rStyle w:val="Fett"/>
          <w:rFonts w:eastAsiaTheme="majorEastAsia"/>
        </w:rPr>
        <w:t>Waw</w:t>
      </w:r>
      <w:r>
        <w:t xml:space="preserve"> consecutives Perfekt), </w:t>
      </w:r>
      <w:r>
        <w:rPr>
          <w:rStyle w:val="Fett"/>
          <w:rFonts w:eastAsiaTheme="majorEastAsia"/>
          <w:rtl/>
        </w:rPr>
        <w:t>וּבָכְתָה אֶת־אָבִיהָ וְאֶת־אִמָּהּ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בכה</w:t>
      </w:r>
      <w:r>
        <w:t xml:space="preserve">, Qal Perfekt, 3. Person Femininum Singular, „weinen, beweinen", Objektpartikel </w:t>
      </w:r>
      <w:r>
        <w:rPr>
          <w:rStyle w:val="Fett"/>
          <w:rFonts w:eastAsiaTheme="majorEastAsia"/>
          <w:rtl/>
        </w:rPr>
        <w:t>אֵת</w:t>
      </w:r>
      <w:r>
        <w:rPr>
          <w:rtl/>
        </w:rPr>
        <w:t xml:space="preserve"> </w:t>
      </w:r>
      <w:r>
        <w:t xml:space="preserve">mit </w:t>
      </w:r>
      <w:r>
        <w:rPr>
          <w:rStyle w:val="Fett"/>
          <w:rFonts w:eastAsiaTheme="majorEastAsia"/>
          <w:rtl/>
        </w:rPr>
        <w:t>אָב</w:t>
      </w:r>
      <w:r>
        <w:t xml:space="preserve">, „Vater", mit Suffix 3. Person Femininum Singular, koordiniert durch </w:t>
      </w:r>
      <w:r>
        <w:rPr>
          <w:rStyle w:val="Fett"/>
          <w:rFonts w:eastAsiaTheme="majorEastAsia"/>
          <w:rtl/>
        </w:rPr>
        <w:t>וְ</w:t>
      </w:r>
      <w:r>
        <w:rPr>
          <w:rtl/>
        </w:rPr>
        <w:t xml:space="preserve"> </w:t>
      </w:r>
      <w:r>
        <w:t xml:space="preserve">mit Objektpartikel und </w:t>
      </w:r>
      <w:r>
        <w:rPr>
          <w:rStyle w:val="Fett"/>
          <w:rFonts w:eastAsiaTheme="majorEastAsia"/>
          <w:rtl/>
        </w:rPr>
        <w:t>אֵם</w:t>
      </w:r>
      <w:r>
        <w:t xml:space="preserve">, „Mutter", mit Suffix 3. Person Femininum Singular, mit </w:t>
      </w:r>
      <w:r>
        <w:rPr>
          <w:rStyle w:val="Fett"/>
          <w:rFonts w:eastAsiaTheme="majorEastAsia"/>
        </w:rPr>
        <w:t>Waw</w:t>
      </w:r>
      <w:r>
        <w:t xml:space="preserve"> consecutives Perfekt), </w:t>
      </w:r>
      <w:r>
        <w:rPr>
          <w:rStyle w:val="Fett"/>
          <w:rFonts w:eastAsiaTheme="majorEastAsia"/>
          <w:rtl/>
        </w:rPr>
        <w:t>יֶרַח יָמִים</w:t>
      </w:r>
      <w:r>
        <w:rPr>
          <w:rtl/>
        </w:rPr>
        <w:t xml:space="preserve"> </w:t>
      </w:r>
      <w:r>
        <w:t>(</w:t>
      </w:r>
      <w:r>
        <w:rPr>
          <w:rStyle w:val="Fett"/>
          <w:rFonts w:eastAsiaTheme="majorEastAsia"/>
          <w:rtl/>
        </w:rPr>
        <w:t>יֶרַח</w:t>
      </w:r>
      <w:r>
        <w:t xml:space="preserve">, „Mond, Monat" – Zeitangabe, </w:t>
      </w:r>
      <w:r>
        <w:rPr>
          <w:rStyle w:val="Fett"/>
          <w:rFonts w:eastAsiaTheme="majorEastAsia"/>
          <w:rtl/>
        </w:rPr>
        <w:t>יוֹם</w:t>
      </w:r>
      <w:r>
        <w:t xml:space="preserve">, Plural – </w:t>
      </w:r>
      <w:r>
        <w:rPr>
          <w:rStyle w:val="Fett"/>
          <w:rFonts w:eastAsiaTheme="majorEastAsia"/>
          <w:rtl/>
        </w:rPr>
        <w:t>יֶרַח יָמִים</w:t>
      </w:r>
      <w:r>
        <w:rPr>
          <w:rtl/>
        </w:rPr>
        <w:t xml:space="preserve"> </w:t>
      </w:r>
      <w:r>
        <w:t>= „einen Monat Tage" = „einen vollen Monat", vgl. Num 11,20.21; Dtn 21,13).</w:t>
      </w:r>
    </w:p>
    <w:p w14:paraId="6619555E" w14:textId="278F1CC4" w:rsidR="00D0044F" w:rsidRDefault="00D0044F" w:rsidP="00D0044F">
      <w:pPr>
        <w:pStyle w:val="whitespace-normal"/>
      </w:pPr>
      <w:r>
        <w:rPr>
          <w:rStyle w:val="Fett"/>
          <w:rFonts w:eastAsiaTheme="majorEastAsia"/>
          <w:rtl/>
        </w:rPr>
        <w:t>וְאַחַר כֵּן תָּבוֹא אֵלֶיהָ וּבְעַלְתָּהּ וְהָיְתָה לְךָ לְאִשָּׁה</w:t>
      </w:r>
      <w:r>
        <w:rPr>
          <w:rtl/>
        </w:rPr>
        <w:t xml:space="preserve"> </w:t>
      </w:r>
      <w:r>
        <w:t xml:space="preserve">ist die abschließende Anweisung: </w:t>
      </w:r>
      <w:r>
        <w:rPr>
          <w:rStyle w:val="Fett"/>
          <w:rFonts w:eastAsiaTheme="majorEastAsia"/>
          <w:rtl/>
        </w:rPr>
        <w:t>וְאַחַר כֵּן</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אַחַר</w:t>
      </w:r>
      <w:r>
        <w:t xml:space="preserve">, „nach", </w:t>
      </w:r>
      <w:r>
        <w:rPr>
          <w:rStyle w:val="Fett"/>
          <w:rFonts w:eastAsiaTheme="majorEastAsia"/>
          <w:rtl/>
        </w:rPr>
        <w:t>כֵּן</w:t>
      </w:r>
      <w:r>
        <w:t xml:space="preserve">, „so" – temporal: „danach, nach dem"), </w:t>
      </w:r>
      <w:r>
        <w:rPr>
          <w:rStyle w:val="Fett"/>
          <w:rFonts w:eastAsiaTheme="majorEastAsia"/>
          <w:rtl/>
        </w:rPr>
        <w:t>תָּבוֹא אֵלֶיהָ</w:t>
      </w:r>
      <w:r>
        <w:rPr>
          <w:rtl/>
        </w:rPr>
        <w:t xml:space="preserve"> </w:t>
      </w:r>
      <w:r>
        <w:t xml:space="preserve">(Qal Imperfekt, 2. Person Maskulinum Singular von </w:t>
      </w:r>
      <w:r>
        <w:rPr>
          <w:rStyle w:val="Fett"/>
          <w:rFonts w:eastAsiaTheme="majorEastAsia"/>
          <w:rtl/>
        </w:rPr>
        <w:t>בוא</w:t>
      </w:r>
      <w:r>
        <w:t xml:space="preserve">, „kommen, eingehen", Präposition </w:t>
      </w:r>
      <w:r>
        <w:rPr>
          <w:rStyle w:val="Fett"/>
          <w:rFonts w:eastAsiaTheme="majorEastAsia"/>
          <w:rtl/>
        </w:rPr>
        <w:t>אֶל</w:t>
      </w:r>
      <w:r>
        <w:rPr>
          <w:rtl/>
        </w:rPr>
        <w:t xml:space="preserve"> </w:t>
      </w:r>
      <w:r>
        <w:t xml:space="preserve">mit Suffix 3. Person Femininum Singular – </w:t>
      </w:r>
      <w:r>
        <w:rPr>
          <w:rStyle w:val="Fett"/>
          <w:rFonts w:eastAsiaTheme="majorEastAsia"/>
          <w:rtl/>
        </w:rPr>
        <w:t>בּוֹא אֶל</w:t>
      </w:r>
      <w:r>
        <w:rPr>
          <w:rtl/>
        </w:rPr>
        <w:t xml:space="preserve"> </w:t>
      </w:r>
      <w:r>
        <w:t xml:space="preserve">ist euphemistisch für sexuellen Verkehr, vgl. Gen 6,4; 16,2.4; 19,31; 29,21.23.30; 30,3.4; 38,2.8.9.16.18; Dtn 21,13; 22,13; 25,5; </w:t>
      </w:r>
      <w:r w:rsidR="00664EB6">
        <w:t>2Sam</w:t>
      </w:r>
      <w:r>
        <w:t xml:space="preserve"> 11,4; 12,24; 16,21.22; 20,3; </w:t>
      </w:r>
      <w:r w:rsidR="00BF3748">
        <w:t>Hes</w:t>
      </w:r>
      <w:r>
        <w:t xml:space="preserve"> 23,44), </w:t>
      </w:r>
      <w:r>
        <w:rPr>
          <w:rStyle w:val="Fett"/>
          <w:rFonts w:eastAsiaTheme="majorEastAsia"/>
          <w:rtl/>
        </w:rPr>
        <w:t>וּבְעַלְתָּהּ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בעל</w:t>
      </w:r>
      <w:r>
        <w:t xml:space="preserve">, Qal Perfekt, 2. Person Maskulinum Singular, „Herr sein über, heiraten" – euphemistisch für eheliche Beziehung, mit Suffix 3. Person Femininum Singular, mit </w:t>
      </w:r>
      <w:r>
        <w:rPr>
          <w:rStyle w:val="Fett"/>
          <w:rFonts w:eastAsiaTheme="majorEastAsia"/>
        </w:rPr>
        <w:t>Waw</w:t>
      </w:r>
      <w:r>
        <w:t xml:space="preserve"> consecutives Perfekt, vgl. Gen 20,3; Dtn 21,13; 22,22; 24,1; Jes 26,13; 54,1.5; 62,4.5; Jer 3,14; 31,32; Mal 2,11), </w:t>
      </w:r>
      <w:r>
        <w:rPr>
          <w:rStyle w:val="Fett"/>
          <w:rFonts w:eastAsiaTheme="majorEastAsia"/>
          <w:rtl/>
        </w:rPr>
        <w:t>וְהָיְתָה לְךָ לְאִשָּׁה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3. Person Femininum Singular, „sein, werden", </w:t>
      </w:r>
      <w:r>
        <w:rPr>
          <w:rStyle w:val="Fett"/>
          <w:rFonts w:eastAsiaTheme="majorEastAsia"/>
          <w:rtl/>
        </w:rPr>
        <w:t>לְךָ</w:t>
      </w:r>
      <w:r>
        <w:t xml:space="preserve">, </w:t>
      </w:r>
      <w:r>
        <w:rPr>
          <w:rStyle w:val="Fett"/>
          <w:rFonts w:eastAsiaTheme="majorEastAsia"/>
          <w:rtl/>
        </w:rPr>
        <w:t>לְאִשָּׁה</w:t>
      </w:r>
      <w:r>
        <w:t xml:space="preserve">, Präposition </w:t>
      </w:r>
      <w:r>
        <w:rPr>
          <w:rStyle w:val="Fett"/>
          <w:rFonts w:eastAsiaTheme="majorEastAsia"/>
          <w:rtl/>
        </w:rPr>
        <w:t>לְ</w:t>
      </w:r>
      <w:r>
        <w:rPr>
          <w:rtl/>
        </w:rPr>
        <w:t xml:space="preserve"> </w:t>
      </w:r>
      <w:r>
        <w:t xml:space="preserve">mit </w:t>
      </w:r>
      <w:r>
        <w:rPr>
          <w:rStyle w:val="Fett"/>
          <w:rFonts w:eastAsiaTheme="majorEastAsia"/>
          <w:rtl/>
        </w:rPr>
        <w:t>אִשָּׁה</w:t>
      </w:r>
      <w:r>
        <w:rPr>
          <w:rtl/>
        </w:rPr>
        <w:t xml:space="preserve"> </w:t>
      </w:r>
      <w:r>
        <w:t xml:space="preserve">– „zur Frau", mit </w:t>
      </w:r>
      <w:r>
        <w:rPr>
          <w:rStyle w:val="Fett"/>
          <w:rFonts w:eastAsiaTheme="majorEastAsia"/>
        </w:rPr>
        <w:t>Waw</w:t>
      </w:r>
      <w:r>
        <w:t xml:space="preserve"> consecutives Perfekt).</w:t>
      </w:r>
    </w:p>
    <w:p w14:paraId="74ECD64E" w14:textId="564D5140" w:rsidR="00D0044F" w:rsidRDefault="00D0044F" w:rsidP="00D0044F">
      <w:pPr>
        <w:pStyle w:val="whitespace-normal"/>
      </w:pPr>
      <w:r>
        <w:t xml:space="preserve">Der Vers beschreibt die Trauerzeit und die Eheschließung: (1) </w:t>
      </w:r>
      <w:r>
        <w:rPr>
          <w:rStyle w:val="Fett"/>
          <w:rFonts w:eastAsiaTheme="majorEastAsia"/>
          <w:rtl/>
        </w:rPr>
        <w:t>וְהֵסִירָה אֶת־שִׂמְלַת שִׁבְיָהּ מֵעָלֶיהָ</w:t>
      </w:r>
      <w:r>
        <w:rPr>
          <w:rtl/>
        </w:rPr>
        <w:t xml:space="preserve"> </w:t>
      </w:r>
      <w:r>
        <w:t xml:space="preserve">(„sie soll ablegen das Kleid ihrer </w:t>
      </w:r>
      <w:r w:rsidR="00D47758">
        <w:t>Gefangenschaft</w:t>
      </w:r>
      <w:r>
        <w:t xml:space="preserve"> von sich") – das Ausziehen der </w:t>
      </w:r>
      <w:r w:rsidR="00BF3748">
        <w:t>Gefangenen</w:t>
      </w:r>
      <w:r>
        <w:t xml:space="preserve">kleidung symbolisiert den Status-Wechsel: Sie ist nicht mehr </w:t>
      </w:r>
      <w:r w:rsidR="00BF3748">
        <w:t>Kriegsgefangene</w:t>
      </w:r>
      <w:r>
        <w:t xml:space="preserve">. (2) </w:t>
      </w:r>
      <w:r>
        <w:rPr>
          <w:rStyle w:val="Fett"/>
          <w:rFonts w:eastAsiaTheme="majorEastAsia"/>
          <w:rtl/>
        </w:rPr>
        <w:t>וְיָשְׁבָה בְּבֵיתֶךָ</w:t>
      </w:r>
      <w:r>
        <w:rPr>
          <w:rtl/>
        </w:rPr>
        <w:t xml:space="preserve"> </w:t>
      </w:r>
      <w:r>
        <w:t xml:space="preserve">(„sie soll wohnen/bleiben in deinem Haus") – sie lebt im Haus, aber noch nicht als Ehefrau. (3) </w:t>
      </w:r>
      <w:r>
        <w:rPr>
          <w:rStyle w:val="Fett"/>
          <w:rFonts w:eastAsiaTheme="majorEastAsia"/>
          <w:rtl/>
        </w:rPr>
        <w:t>וּבָכְתָה אֶת־אָבִיהָ וְאֶת־אִמָּהּ יֶרַח יָמִים</w:t>
      </w:r>
      <w:r>
        <w:rPr>
          <w:rtl/>
        </w:rPr>
        <w:t xml:space="preserve"> </w:t>
      </w:r>
      <w:r>
        <w:t xml:space="preserve">(„sie soll beweinen ihren Vater und ihre Mutter einen Monat Tage") – eine formelle Trauerzeit von einem vollen Monat (30 Tage). Die Formulierung </w:t>
      </w:r>
      <w:r>
        <w:rPr>
          <w:rStyle w:val="Fett"/>
          <w:rFonts w:eastAsiaTheme="majorEastAsia"/>
          <w:rtl/>
        </w:rPr>
        <w:t>אֶת־אָבִיהָ וְאֶת־אִמָּהּ</w:t>
      </w:r>
      <w:r>
        <w:rPr>
          <w:rtl/>
        </w:rPr>
        <w:t xml:space="preserve"> </w:t>
      </w:r>
      <w:r>
        <w:t>(„ihren Vater und ihre Mutter") ist stellvertretend für ihre ganze Familie und Heimat, die sie verloren hat. Diese Trauerzeit ist human – sie gibt der Frau Zeit, ihren Verlust zu verarbeiten.</w:t>
      </w:r>
    </w:p>
    <w:p w14:paraId="3CE66266" w14:textId="77777777" w:rsidR="00D0044F" w:rsidRDefault="00D0044F" w:rsidP="00D0044F">
      <w:pPr>
        <w:pStyle w:val="whitespace-normal"/>
      </w:pPr>
      <w:r>
        <w:t xml:space="preserve">(4) </w:t>
      </w:r>
      <w:r>
        <w:rPr>
          <w:rStyle w:val="Fett"/>
          <w:rFonts w:eastAsiaTheme="majorEastAsia"/>
          <w:rtl/>
        </w:rPr>
        <w:t>וְאַחַר כֵּן תָּבוֹא אֵלֶיהָ וּבְעַלְתָּהּ וְהָיְתָה לְךָ לְאִשָּׁה</w:t>
      </w:r>
      <w:r>
        <w:rPr>
          <w:rtl/>
        </w:rPr>
        <w:t xml:space="preserve"> </w:t>
      </w:r>
      <w:r>
        <w:t xml:space="preserve">(„und danach darfst du eingehen zu ihr und heiraten sie, und sie wird dir zur Frau") – erst nach dem vollen Monat darf die Ehe vollzogen werden. Die doppelte Formulierung </w:t>
      </w:r>
      <w:r>
        <w:rPr>
          <w:rStyle w:val="Fett"/>
          <w:rFonts w:eastAsiaTheme="majorEastAsia"/>
          <w:rtl/>
        </w:rPr>
        <w:t>תָּבוֹא אֵלֶיהָ וּבְעַלְתָּהּ</w:t>
      </w:r>
      <w:r>
        <w:rPr>
          <w:rtl/>
        </w:rPr>
        <w:t xml:space="preserve"> </w:t>
      </w:r>
      <w:r>
        <w:t xml:space="preserve">(„eingehen zu ihr und heiraten sie") betont: sexuelle Vereinigung und rechtliche Eheschließung. Die Schlussformel </w:t>
      </w:r>
      <w:r>
        <w:rPr>
          <w:rStyle w:val="Fett"/>
          <w:rFonts w:eastAsiaTheme="majorEastAsia"/>
          <w:rtl/>
        </w:rPr>
        <w:t>וְהָיְתָה לְךָ לְאִשָּׁה</w:t>
      </w:r>
      <w:r>
        <w:rPr>
          <w:rtl/>
        </w:rPr>
        <w:t xml:space="preserve"> </w:t>
      </w:r>
      <w:r>
        <w:t>(„sie wird dir zur Frau") bestätigt: Sie ist nun vollwertige Ehefrau mit allen Rechten.</w:t>
      </w:r>
    </w:p>
    <w:p w14:paraId="6D59CAD4" w14:textId="183BBFF7" w:rsidR="00D0044F" w:rsidRDefault="00D0044F" w:rsidP="00D0044F">
      <w:pPr>
        <w:pStyle w:val="whitespace-normal"/>
      </w:pPr>
      <w:r>
        <w:rPr>
          <w:rStyle w:val="Fett"/>
          <w:rFonts w:eastAsiaTheme="majorEastAsia"/>
        </w:rPr>
        <w:t>Beobachtung:</w:t>
      </w:r>
      <w:r>
        <w:t xml:space="preserve"> Dieses Gesetz ist bemerkenswert human für die antike Welt – es verhindert sofortige Vergewaltigung und gibt der Frau Zeit, Würde und einen geregelten Status-Übergang. V. 14 wird ihre Rechte weiter schützen.</w:t>
      </w:r>
    </w:p>
    <w:p w14:paraId="47402D76" w14:textId="15FFCD6A" w:rsidR="00D00836" w:rsidRDefault="00D00836" w:rsidP="00D0044F">
      <w:pPr>
        <w:pStyle w:val="whitespace-normal"/>
      </w:pPr>
      <w:r>
        <w:rPr>
          <w:rStyle w:val="Fett"/>
        </w:rPr>
        <w:lastRenderedPageBreak/>
        <w:t>Die LXX</w:t>
      </w:r>
      <w:r>
        <w:t xml:space="preserve"> übersetzt </w:t>
      </w:r>
      <w:r>
        <w:rPr>
          <w:rtl/>
        </w:rPr>
        <w:t>שִׂמְלַת שִׁבְיָהּ</w:t>
      </w:r>
      <w:r>
        <w:t xml:space="preserve"> (das Gewand ihrer </w:t>
      </w:r>
      <w:r w:rsidR="00D47758">
        <w:t>Gefangenschaft</w:t>
      </w:r>
      <w:r>
        <w:t xml:space="preserve">) mit </w:t>
      </w:r>
      <w:proofErr w:type="spellStart"/>
      <w:r>
        <w:t>τὰ</w:t>
      </w:r>
      <w:proofErr w:type="spellEnd"/>
      <w:r>
        <w:t xml:space="preserve"> </w:t>
      </w:r>
      <w:proofErr w:type="spellStart"/>
      <w:r>
        <w:t>ἱμάτι</w:t>
      </w:r>
      <w:proofErr w:type="spellEnd"/>
      <w:r>
        <w:t xml:space="preserve">α </w:t>
      </w:r>
      <w:proofErr w:type="spellStart"/>
      <w:r>
        <w:t>τῆς</w:t>
      </w:r>
      <w:proofErr w:type="spellEnd"/>
      <w:r>
        <w:t xml:space="preserve"> α</w:t>
      </w:r>
      <w:proofErr w:type="spellStart"/>
      <w:r>
        <w:t>ἰχμ</w:t>
      </w:r>
      <w:proofErr w:type="spellEnd"/>
      <w:r>
        <w:t xml:space="preserve">αλωσίας (die Kleider der </w:t>
      </w:r>
      <w:r w:rsidR="00D47758">
        <w:t>Gefangenschaft</w:t>
      </w:r>
      <w:r>
        <w:t>) – Plural statt Singular.</w:t>
      </w:r>
    </w:p>
    <w:p w14:paraId="28C716CF" w14:textId="4A0B3B5E" w:rsidR="00D0044F" w:rsidRDefault="00D0044F" w:rsidP="00D0044F">
      <w:pPr>
        <w:pStyle w:val="whitespace-normal"/>
      </w:pPr>
      <w:r>
        <w:rPr>
          <w:rStyle w:val="Fett"/>
          <w:rFonts w:eastAsiaTheme="majorEastAsia"/>
        </w:rPr>
        <w:t>Die Satzstruktur:</w:t>
      </w:r>
      <w:r>
        <w:t xml:space="preserve"> Vier weitere Anweisungen mit abschließender Anweisung (ablegen soll sie das Kleid ihrer </w:t>
      </w:r>
      <w:r w:rsidR="00D47758">
        <w:t>Gefangenschaft</w:t>
      </w:r>
      <w:r>
        <w:t xml:space="preserve"> von sich, und wohnen soll sie in deinem Haus, und beweinen soll sie ihren Vater und ihre Mutter einen Monat Tage; und danach eingehen darfst du zu ihr und heiraten sie, und sein wird sie dir zur Frau).</w:t>
      </w:r>
    </w:p>
    <w:p w14:paraId="78C2DD56" w14:textId="108CC6DB" w:rsidR="00D0044F" w:rsidRDefault="00D0044F" w:rsidP="00D0044F">
      <w:pPr>
        <w:pStyle w:val="whitespace-normal"/>
      </w:pPr>
      <w:r>
        <w:t xml:space="preserve">Der Vers regelt: Sie legt ihre </w:t>
      </w:r>
      <w:r w:rsidR="00BF3748">
        <w:t>Gefangenen</w:t>
      </w:r>
      <w:r>
        <w:t>kleidung ab, bleibt im Haus, beweint ihre Familie einen Monat lang – erst danach darfst du die Ehe vollziehen.</w:t>
      </w:r>
    </w:p>
    <w:p w14:paraId="66B219C9" w14:textId="77777777" w:rsidR="00D0044F" w:rsidRPr="00B27A64" w:rsidRDefault="00D0044F" w:rsidP="00D0044F">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21,14</w:t>
      </w:r>
    </w:p>
    <w:p w14:paraId="59942370" w14:textId="77777777" w:rsidR="00D0044F" w:rsidRDefault="00D0044F" w:rsidP="00D0044F">
      <w:pPr>
        <w:pStyle w:val="whitespace-normal"/>
      </w:pPr>
      <w:r>
        <w:rPr>
          <w:rStyle w:val="Fett"/>
          <w:rFonts w:eastAsiaTheme="majorEastAsia"/>
        </w:rPr>
        <w:t>Hebräisch:</w:t>
      </w:r>
      <w:r>
        <w:t xml:space="preserve"> </w:t>
      </w:r>
      <w:r>
        <w:rPr>
          <w:rtl/>
        </w:rPr>
        <w:t>וְהָיָ֞ה אִם־לֹ֧א חָפַ֣צְתָּ בָּ֗הּ וְשִׁלַּחְתָּהּ֙ לְנַפְשָׁ֔הּ וּמָכֹ֥ר לֹא־תִמְכְּרֶ֖נָּה בַּכָּ֑סֶף לֹא־תִתְעַמֵּ֣ר בָּ֔הּ תַּ֖חַת אֲשֶׁ֥ר עִנִּיתָֽהּ׃</w:t>
      </w:r>
    </w:p>
    <w:p w14:paraId="23205D5A" w14:textId="5787A222" w:rsidR="00D0044F" w:rsidRDefault="00D0044F" w:rsidP="00D0044F">
      <w:pPr>
        <w:pStyle w:val="whitespace-normal"/>
      </w:pPr>
      <w:r>
        <w:rPr>
          <w:rStyle w:val="Fett"/>
          <w:rFonts w:eastAsiaTheme="majorEastAsia"/>
        </w:rPr>
        <w:t>Deutsch:</w:t>
      </w:r>
      <w:r>
        <w:t xml:space="preserve"> Und es soll geschehen, wenn du kein </w:t>
      </w:r>
      <w:r w:rsidR="00D47758">
        <w:t>Gefallen</w:t>
      </w:r>
      <w:r>
        <w:t xml:space="preserve"> mehr an ihr hast, so sollst du sie nach ihrem Wunsch entlassen; aber du darfst sie keinesfalls für Geld verkaufen; du sollst sie nicht als Sklavin behandeln, weil du sie geschwächt hast.</w:t>
      </w:r>
    </w:p>
    <w:p w14:paraId="2BA9FB1F" w14:textId="77777777" w:rsidR="00D0044F" w:rsidRDefault="004F5CEB" w:rsidP="00D0044F">
      <w:r>
        <w:rPr>
          <w:noProof/>
        </w:rPr>
        <w:pict w14:anchorId="40899A91">
          <v:rect id="_x0000_i1586" style="width:0;height:1.5pt" o:hralign="center" o:hrstd="t" o:hr="t" fillcolor="#a0a0a0" stroked="f"/>
        </w:pict>
      </w:r>
    </w:p>
    <w:p w14:paraId="33139B4B" w14:textId="54D9A2C1" w:rsidR="00D0044F" w:rsidRDefault="00D0044F" w:rsidP="00D0044F">
      <w:pPr>
        <w:pStyle w:val="whitespace-normal"/>
      </w:pPr>
      <w:r>
        <w:rPr>
          <w:rStyle w:val="Fett"/>
          <w:rFonts w:eastAsiaTheme="majorEastAsia"/>
        </w:rPr>
        <w:t>Kommentar:</w:t>
      </w:r>
      <w:r>
        <w:t xml:space="preserve"> </w:t>
      </w:r>
      <w:r>
        <w:rPr>
          <w:rStyle w:val="Fett"/>
          <w:rFonts w:eastAsiaTheme="majorEastAsia"/>
          <w:rtl/>
        </w:rPr>
        <w:t>וְהָיָה אִם־לֹא חָפַצְתָּ בָּהּ וְשִׁלַּחְתָּהּ לְנַפְשָׁהּ</w:t>
      </w:r>
      <w:r>
        <w:rPr>
          <w:rtl/>
        </w:rPr>
        <w:t xml:space="preserve"> </w:t>
      </w:r>
      <w:r>
        <w:t xml:space="preserve">ist ein konditionaler Satz: </w:t>
      </w:r>
      <w:r>
        <w:rPr>
          <w:rStyle w:val="Fett"/>
          <w:rFonts w:eastAsiaTheme="majorEastAsia"/>
          <w:rtl/>
        </w:rPr>
        <w:t>וְהָיָה</w:t>
      </w:r>
      <w:r>
        <w:rPr>
          <w:rtl/>
        </w:rPr>
        <w:t xml:space="preserve"> </w:t>
      </w:r>
      <w:r>
        <w:t xml:space="preserve">(Qal Perfekt, 3. Person Maskulinum Singular von </w:t>
      </w:r>
      <w:r>
        <w:rPr>
          <w:rStyle w:val="Fett"/>
          <w:rFonts w:eastAsiaTheme="majorEastAsia"/>
          <w:rtl/>
        </w:rPr>
        <w:t>היה</w:t>
      </w:r>
      <w:r>
        <w:t xml:space="preserve">, „sein", mit </w:t>
      </w:r>
      <w:r>
        <w:rPr>
          <w:rStyle w:val="Fett"/>
          <w:rFonts w:eastAsiaTheme="majorEastAsia"/>
        </w:rPr>
        <w:t>Waw</w:t>
      </w:r>
      <w:r>
        <w:t xml:space="preserve"> – Einleitungsformel), </w:t>
      </w:r>
      <w:r>
        <w:rPr>
          <w:rStyle w:val="Fett"/>
          <w:rFonts w:eastAsiaTheme="majorEastAsia"/>
          <w:rtl/>
        </w:rPr>
        <w:t>אִם־לֹא חָפַצְתָּ בָּהּ</w:t>
      </w:r>
      <w:r>
        <w:rPr>
          <w:rtl/>
        </w:rPr>
        <w:t xml:space="preserve"> </w:t>
      </w:r>
      <w:r>
        <w:t>(</w:t>
      </w:r>
      <w:r>
        <w:rPr>
          <w:rStyle w:val="Fett"/>
          <w:rFonts w:eastAsiaTheme="majorEastAsia"/>
          <w:rtl/>
        </w:rPr>
        <w:t>אִם</w:t>
      </w:r>
      <w:r>
        <w:t xml:space="preserve">, „wenn", Negation </w:t>
      </w:r>
      <w:r>
        <w:rPr>
          <w:rStyle w:val="Fett"/>
          <w:rFonts w:eastAsiaTheme="majorEastAsia"/>
          <w:rtl/>
        </w:rPr>
        <w:t>לֹא</w:t>
      </w:r>
      <w:r>
        <w:t xml:space="preserve">, </w:t>
      </w:r>
      <w:r>
        <w:rPr>
          <w:rStyle w:val="Fett"/>
          <w:rFonts w:eastAsiaTheme="majorEastAsia"/>
          <w:rtl/>
        </w:rPr>
        <w:t>חפץ</w:t>
      </w:r>
      <w:r>
        <w:t>, Qal Perfekt, 2. Person Maskulinum Singular, „</w:t>
      </w:r>
      <w:r w:rsidR="00D47758">
        <w:t>Gefallen</w:t>
      </w:r>
      <w:r>
        <w:t xml:space="preserve"> haben an, Lust haben an, begehren", </w:t>
      </w:r>
      <w:r>
        <w:rPr>
          <w:rStyle w:val="Fett"/>
          <w:rFonts w:eastAsiaTheme="majorEastAsia"/>
          <w:rtl/>
        </w:rPr>
        <w:t>בָּהּ</w:t>
      </w:r>
      <w:r>
        <w:t xml:space="preserve">, Präposition </w:t>
      </w:r>
      <w:r>
        <w:rPr>
          <w:rStyle w:val="Fett"/>
          <w:rFonts w:eastAsiaTheme="majorEastAsia"/>
          <w:rtl/>
        </w:rPr>
        <w:t>בְּ</w:t>
      </w:r>
      <w:r>
        <w:rPr>
          <w:rtl/>
        </w:rPr>
        <w:t xml:space="preserve"> </w:t>
      </w:r>
      <w:r>
        <w:t xml:space="preserve">mit Suffix 3. Person Femininum Singular), </w:t>
      </w:r>
      <w:r>
        <w:rPr>
          <w:rStyle w:val="Fett"/>
          <w:rFonts w:eastAsiaTheme="majorEastAsia"/>
          <w:rtl/>
        </w:rPr>
        <w:t>וְשִׁלַּחְתָּהּ לְנַפְשָׁהּ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שׁלח</w:t>
      </w:r>
      <w:r>
        <w:t xml:space="preserve">, Piel Perfekt, 2. Person Maskulinum Singular, „schicken, entlassen, fortschicken", mit Suffix 3. Person Femininum Singular, </w:t>
      </w:r>
      <w:r>
        <w:rPr>
          <w:rStyle w:val="Fett"/>
          <w:rFonts w:eastAsiaTheme="majorEastAsia"/>
          <w:rtl/>
        </w:rPr>
        <w:t>לְנַפְשָׁהּ</w:t>
      </w:r>
      <w:r>
        <w:t xml:space="preserve">, Präposition </w:t>
      </w:r>
      <w:r>
        <w:rPr>
          <w:rStyle w:val="Fett"/>
          <w:rFonts w:eastAsiaTheme="majorEastAsia"/>
          <w:rtl/>
        </w:rPr>
        <w:t>לְ</w:t>
      </w:r>
      <w:r>
        <w:rPr>
          <w:rtl/>
        </w:rPr>
        <w:t xml:space="preserve"> </w:t>
      </w:r>
      <w:r>
        <w:t xml:space="preserve">mit </w:t>
      </w:r>
      <w:r>
        <w:rPr>
          <w:rStyle w:val="Fett"/>
          <w:rFonts w:eastAsiaTheme="majorEastAsia"/>
          <w:rtl/>
        </w:rPr>
        <w:t>נֶפֶשׁ</w:t>
      </w:r>
      <w:r>
        <w:t xml:space="preserve">, „Seele, Selbst, Person", mit Suffix 3. Person Femininum Singular – idiomatisch: „für sich selbst" = „frei, nach ihrem Willen", mit </w:t>
      </w:r>
      <w:r>
        <w:rPr>
          <w:rStyle w:val="Fett"/>
          <w:rFonts w:eastAsiaTheme="majorEastAsia"/>
        </w:rPr>
        <w:t>Waw</w:t>
      </w:r>
      <w:r>
        <w:t xml:space="preserve"> consecutives Perfekt).</w:t>
      </w:r>
    </w:p>
    <w:p w14:paraId="12396D95" w14:textId="77777777" w:rsidR="00D0044F" w:rsidRDefault="00D0044F" w:rsidP="00D0044F">
      <w:pPr>
        <w:pStyle w:val="whitespace-normal"/>
      </w:pPr>
      <w:r>
        <w:rPr>
          <w:rStyle w:val="Fett"/>
          <w:rFonts w:eastAsiaTheme="majorEastAsia"/>
          <w:rtl/>
        </w:rPr>
        <w:t>וּמָכֹר לֹא־תִמְכְּרֶנָּה בַּכָּסֶף לֹא־תִתְעַמֵּר בָּהּ תַּחַת אֲשֶׁר עִנִּיתָהּ</w:t>
      </w:r>
      <w:r>
        <w:rPr>
          <w:rtl/>
        </w:rPr>
        <w:t xml:space="preserve"> </w:t>
      </w:r>
      <w:r>
        <w:t xml:space="preserve">sind drei Verbote mit Begründung: </w:t>
      </w:r>
      <w:r>
        <w:rPr>
          <w:rStyle w:val="Fett"/>
          <w:rFonts w:eastAsiaTheme="majorEastAsia"/>
          <w:rtl/>
        </w:rPr>
        <w:t>וּמָכֹר לֹא־תִמְכְּרֶנָּה בַּכָּסֶף</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מכר</w:t>
      </w:r>
      <w:r>
        <w:t xml:space="preserve">, Qal Infinitiv Absolutus, „verkaufen" – die Wiederholung Infinitiv Absolutus + finites Verb verstärkt, Negation, </w:t>
      </w:r>
      <w:r>
        <w:rPr>
          <w:rStyle w:val="Fett"/>
          <w:rFonts w:eastAsiaTheme="majorEastAsia"/>
          <w:rtl/>
        </w:rPr>
        <w:t>מכר</w:t>
      </w:r>
      <w:r>
        <w:t xml:space="preserve">, Qal Imperfekt, 2. Person Maskulinum Singular, mit Energisches Nun und Suffix 3. Person Femininum Singular, </w:t>
      </w:r>
      <w:r>
        <w:rPr>
          <w:rStyle w:val="Fett"/>
          <w:rFonts w:eastAsiaTheme="majorEastAsia"/>
          <w:rtl/>
        </w:rPr>
        <w:t>בַּכָּסֶף</w:t>
      </w:r>
      <w:r>
        <w:t xml:space="preserve">, Präposition </w:t>
      </w:r>
      <w:r>
        <w:rPr>
          <w:rStyle w:val="Fett"/>
          <w:rFonts w:eastAsiaTheme="majorEastAsia"/>
          <w:rtl/>
        </w:rPr>
        <w:t>בְּ</w:t>
      </w:r>
      <w:r>
        <w:rPr>
          <w:rtl/>
        </w:rPr>
        <w:t xml:space="preserve"> </w:t>
      </w:r>
      <w:r>
        <w:t xml:space="preserve">mit </w:t>
      </w:r>
      <w:r>
        <w:rPr>
          <w:rStyle w:val="Fett"/>
          <w:rFonts w:eastAsiaTheme="majorEastAsia"/>
          <w:rtl/>
        </w:rPr>
        <w:t>כֶּסֶף</w:t>
      </w:r>
      <w:r>
        <w:t xml:space="preserve">, „Silber, Geld", mit Artikel – „keinesfalls verkaufen für Geld"), </w:t>
      </w:r>
      <w:r>
        <w:rPr>
          <w:rStyle w:val="Fett"/>
          <w:rFonts w:eastAsiaTheme="majorEastAsia"/>
          <w:rtl/>
        </w:rPr>
        <w:t>לֹא־תִתְעַמֵּר בָּהּ</w:t>
      </w:r>
      <w:r>
        <w:rPr>
          <w:rtl/>
        </w:rPr>
        <w:t xml:space="preserve"> </w:t>
      </w:r>
      <w:r>
        <w:t xml:space="preserve">(Negation mit </w:t>
      </w:r>
      <w:r>
        <w:rPr>
          <w:rStyle w:val="Fett"/>
          <w:rFonts w:eastAsiaTheme="majorEastAsia"/>
          <w:rtl/>
        </w:rPr>
        <w:t>עמר</w:t>
      </w:r>
      <w:r>
        <w:t xml:space="preserve">, Hithpael Imperfekt, 2. Person Maskulinum Singular, „handeln mit, als Ware behandeln" – nur hier im AT, wahrscheinlich denominativ von </w:t>
      </w:r>
      <w:r>
        <w:rPr>
          <w:rStyle w:val="Fett"/>
          <w:rFonts w:eastAsiaTheme="majorEastAsia"/>
          <w:rtl/>
        </w:rPr>
        <w:t>עֹמֶר</w:t>
      </w:r>
      <w:r>
        <w:t xml:space="preserve">, „Garbe, Handelsgut", im Hithpael: „sich als Händler verhalten gegenüber, als Sklave behandeln", </w:t>
      </w:r>
      <w:r>
        <w:rPr>
          <w:rStyle w:val="Fett"/>
          <w:rFonts w:eastAsiaTheme="majorEastAsia"/>
          <w:rtl/>
        </w:rPr>
        <w:t>בָּהּ</w:t>
      </w:r>
      <w:r>
        <w:t xml:space="preserve">, Präposition </w:t>
      </w:r>
      <w:r>
        <w:rPr>
          <w:rStyle w:val="Fett"/>
          <w:rFonts w:eastAsiaTheme="majorEastAsia"/>
          <w:rtl/>
        </w:rPr>
        <w:t>בְּ</w:t>
      </w:r>
      <w:r>
        <w:rPr>
          <w:rtl/>
        </w:rPr>
        <w:t xml:space="preserve"> </w:t>
      </w:r>
      <w:r>
        <w:t xml:space="preserve">mit Suffix 3. Person Femininum Singular), </w:t>
      </w:r>
      <w:r>
        <w:rPr>
          <w:rStyle w:val="Fett"/>
          <w:rFonts w:eastAsiaTheme="majorEastAsia"/>
          <w:rtl/>
        </w:rPr>
        <w:t>תַּחַת אֲשֶׁר עִנִּיתָהּ</w:t>
      </w:r>
      <w:r>
        <w:rPr>
          <w:rtl/>
        </w:rPr>
        <w:t xml:space="preserve"> </w:t>
      </w:r>
      <w:r>
        <w:t xml:space="preserve">(Präposition </w:t>
      </w:r>
      <w:r>
        <w:rPr>
          <w:rStyle w:val="Fett"/>
          <w:rFonts w:eastAsiaTheme="majorEastAsia"/>
          <w:rtl/>
        </w:rPr>
        <w:t>תַּחַת</w:t>
      </w:r>
      <w:r>
        <w:t xml:space="preserve">, „unter, wegen, anstelle" – hier kausal: „weil, dafür dass", </w:t>
      </w:r>
      <w:r>
        <w:rPr>
          <w:rStyle w:val="Fett"/>
          <w:rFonts w:eastAsiaTheme="majorEastAsia"/>
          <w:rtl/>
        </w:rPr>
        <w:t>אֲשֶׁר</w:t>
      </w:r>
      <w:r>
        <w:rPr>
          <w:rtl/>
        </w:rPr>
        <w:t xml:space="preserve"> </w:t>
      </w:r>
      <w:r>
        <w:t xml:space="preserve">mit </w:t>
      </w:r>
      <w:r>
        <w:rPr>
          <w:rStyle w:val="Fett"/>
          <w:rFonts w:eastAsiaTheme="majorEastAsia"/>
          <w:rtl/>
        </w:rPr>
        <w:t>ענה</w:t>
      </w:r>
      <w:r>
        <w:t>, Piel Perfekt, 2. Person Maskulinum Singular, „demütigen, schwächen, erniedrigen" – das Piel oft euphemistisch für sexuellen Missbrauch oder Vergewaltigung, aber hier wahrscheinlich allgemeiner: „schwächen, ihre Position schwächen", mit Suffix 3. Person Femininum Singular).</w:t>
      </w:r>
    </w:p>
    <w:p w14:paraId="402D9EBB" w14:textId="03657768" w:rsidR="00D0044F" w:rsidRDefault="00D0044F" w:rsidP="00D0044F">
      <w:pPr>
        <w:pStyle w:val="whitespace-normal"/>
      </w:pPr>
      <w:r>
        <w:lastRenderedPageBreak/>
        <w:t xml:space="preserve">Der Vers schützt die Rechte der Frau, falls der Mann sie später nicht mehr will: (1) </w:t>
      </w:r>
      <w:r>
        <w:rPr>
          <w:rStyle w:val="Fett"/>
          <w:rFonts w:eastAsiaTheme="majorEastAsia"/>
          <w:rtl/>
        </w:rPr>
        <w:t>אִם־לֹא חָפַצְתָּ בָּהּ</w:t>
      </w:r>
      <w:r>
        <w:rPr>
          <w:rtl/>
        </w:rPr>
        <w:t xml:space="preserve"> </w:t>
      </w:r>
      <w:r>
        <w:t xml:space="preserve">(„wenn du kein </w:t>
      </w:r>
      <w:r w:rsidR="00D47758">
        <w:t>Gefallen</w:t>
      </w:r>
      <w:r>
        <w:t xml:space="preserve"> mehr hast an ihr") – das Verb </w:t>
      </w:r>
      <w:r>
        <w:rPr>
          <w:rStyle w:val="Fett"/>
          <w:rFonts w:eastAsiaTheme="majorEastAsia"/>
          <w:rtl/>
        </w:rPr>
        <w:t>חפץ</w:t>
      </w:r>
      <w:r>
        <w:rPr>
          <w:rtl/>
        </w:rPr>
        <w:t xml:space="preserve"> </w:t>
      </w:r>
      <w:r>
        <w:t>ist dasselbe wie in V. 11 (</w:t>
      </w:r>
      <w:r>
        <w:rPr>
          <w:rStyle w:val="Fett"/>
          <w:rFonts w:eastAsiaTheme="majorEastAsia"/>
          <w:rtl/>
        </w:rPr>
        <w:t>וְחָשַׁקְתָּ בָהּ</w:t>
      </w:r>
      <w:r>
        <w:t xml:space="preserve">, „du hast </w:t>
      </w:r>
      <w:r w:rsidR="00D47758">
        <w:t>Gefallen</w:t>
      </w:r>
      <w:r>
        <w:t xml:space="preserve"> an ihr") – wenn das Begehren vergeht. (2) </w:t>
      </w:r>
      <w:r>
        <w:rPr>
          <w:rStyle w:val="Fett"/>
          <w:rFonts w:eastAsiaTheme="majorEastAsia"/>
          <w:rtl/>
        </w:rPr>
        <w:t>וְשִׁלַּחְתָּהּ לְנַפְשָׁהּ</w:t>
      </w:r>
      <w:r>
        <w:rPr>
          <w:rtl/>
        </w:rPr>
        <w:t xml:space="preserve"> </w:t>
      </w:r>
      <w:r>
        <w:t xml:space="preserve">(„so sollst du sie entlassen für sich selbst") – das Verb </w:t>
      </w:r>
      <w:r>
        <w:rPr>
          <w:rStyle w:val="Fett"/>
          <w:rFonts w:eastAsiaTheme="majorEastAsia"/>
          <w:rtl/>
        </w:rPr>
        <w:t>שׁלח</w:t>
      </w:r>
      <w:r>
        <w:rPr>
          <w:rtl/>
        </w:rPr>
        <w:t xml:space="preserve"> </w:t>
      </w:r>
      <w:r>
        <w:t xml:space="preserve">im Piel wird für Ehescheidung verwendet (vgl. Dtn 22,19.29; 24,1.3.4; Jes 50,1; Jer 3,1.8; Mal 2,16). Die Formulierung </w:t>
      </w:r>
      <w:r>
        <w:rPr>
          <w:rStyle w:val="Fett"/>
          <w:rFonts w:eastAsiaTheme="majorEastAsia"/>
          <w:rtl/>
        </w:rPr>
        <w:t>לְנַפְשָׁהּ</w:t>
      </w:r>
      <w:r>
        <w:rPr>
          <w:rtl/>
        </w:rPr>
        <w:t xml:space="preserve"> </w:t>
      </w:r>
      <w:r>
        <w:t>(„für sich selbst, nach ihrem Willen") bedeutet: Sie geht frei, wohin sie will, nicht in Sklaverei oder zu einem anderen Herrn.</w:t>
      </w:r>
    </w:p>
    <w:p w14:paraId="312F4F37" w14:textId="21111518" w:rsidR="00D0044F" w:rsidRDefault="00D0044F" w:rsidP="00D0044F">
      <w:pPr>
        <w:pStyle w:val="whitespace-normal"/>
      </w:pPr>
      <w:r>
        <w:t xml:space="preserve">Die drei Verbote: (1) </w:t>
      </w:r>
      <w:r>
        <w:rPr>
          <w:rStyle w:val="Fett"/>
          <w:rFonts w:eastAsiaTheme="majorEastAsia"/>
          <w:rtl/>
        </w:rPr>
        <w:t>וּמָכֹר לֹא־תִמְכְּרֶנָּה בַּכָּסֶף</w:t>
      </w:r>
      <w:r>
        <w:rPr>
          <w:rtl/>
        </w:rPr>
        <w:t xml:space="preserve"> </w:t>
      </w:r>
      <w:r>
        <w:t xml:space="preserve">(„keinesfalls verkaufen sollst du sie für Geld") – die Wiederholung </w:t>
      </w:r>
      <w:r>
        <w:rPr>
          <w:rStyle w:val="Fett"/>
          <w:rFonts w:eastAsiaTheme="majorEastAsia"/>
          <w:rtl/>
        </w:rPr>
        <w:t>מָכֹר... תִמְכְּרֶנָּה</w:t>
      </w:r>
      <w:r>
        <w:rPr>
          <w:rtl/>
        </w:rPr>
        <w:t xml:space="preserve"> </w:t>
      </w:r>
      <w:r>
        <w:t xml:space="preserve">(Infinitiv Absolutus + finites Verb) verstärkt: absolutes Verbot. Sie darf nicht als Sklavin verkauft werden. (2) </w:t>
      </w:r>
      <w:r>
        <w:rPr>
          <w:rStyle w:val="Fett"/>
          <w:rFonts w:eastAsiaTheme="majorEastAsia"/>
          <w:rtl/>
        </w:rPr>
        <w:t>לֹא־תִתְעַמֵּר בָּהּ</w:t>
      </w:r>
      <w:r>
        <w:rPr>
          <w:rtl/>
        </w:rPr>
        <w:t xml:space="preserve"> </w:t>
      </w:r>
      <w:r>
        <w:t xml:space="preserve">(„nicht sollst du sie als Ware behandeln") – das Verb </w:t>
      </w:r>
      <w:r>
        <w:rPr>
          <w:rStyle w:val="Fett"/>
          <w:rFonts w:eastAsiaTheme="majorEastAsia"/>
          <w:rtl/>
        </w:rPr>
        <w:t>עמר</w:t>
      </w:r>
      <w:r>
        <w:rPr>
          <w:rtl/>
        </w:rPr>
        <w:t xml:space="preserve"> </w:t>
      </w:r>
      <w:r>
        <w:t xml:space="preserve">im Hithpael (nur hier) bedeutet wahrscheinlich: „handeln mit ihr, sie kommerziell ausbeuten, sie als Sklavin behandeln". (3) Die Begründung: </w:t>
      </w:r>
      <w:r>
        <w:rPr>
          <w:rStyle w:val="Fett"/>
          <w:rFonts w:eastAsiaTheme="majorEastAsia"/>
          <w:rtl/>
        </w:rPr>
        <w:t>תַּחַת אֲשֶׁר עִנִּיתָהּ</w:t>
      </w:r>
      <w:r>
        <w:rPr>
          <w:rtl/>
        </w:rPr>
        <w:t xml:space="preserve"> </w:t>
      </w:r>
      <w:r>
        <w:t xml:space="preserve">(„weil/dafür dass du sie geschwächt/gedemütigt hast"). Das Verb </w:t>
      </w:r>
      <w:r>
        <w:rPr>
          <w:rStyle w:val="Fett"/>
          <w:rFonts w:eastAsiaTheme="majorEastAsia"/>
          <w:rtl/>
        </w:rPr>
        <w:t>ענה</w:t>
      </w:r>
      <w:r>
        <w:rPr>
          <w:rtl/>
        </w:rPr>
        <w:t xml:space="preserve"> </w:t>
      </w:r>
      <w:r>
        <w:t xml:space="preserve">im Piel kann bedeuten: (a) sexuell missbrauchen/vergewaltigen (vgl. Gen 34,2; Dtn 22,24.29; Ri 19,24; 20,5; </w:t>
      </w:r>
      <w:r w:rsidR="00664EB6">
        <w:t>2Sam</w:t>
      </w:r>
      <w:r>
        <w:t xml:space="preserve"> 13,12.14.22.32; Klgl 5,11), (b) allgemein demütigen/schwächen (vgl. Gen 15,13; 16,6; 31,50; Ex 1,11.12; 22,21.22; </w:t>
      </w:r>
      <w:r w:rsidR="00664EB6">
        <w:t>Lev</w:t>
      </w:r>
      <w:r>
        <w:t xml:space="preserve"> 16,29.31; 23,27.29.32; Num 24,24; 29,7; 30,14; Dtn 8,2.3.16; 21,14; 22,24.29; 26,6). Hier wahrscheinlich: „weil du sie geschwächt hast" durch die Heirat – sie hat ihre Familie, Heimat und Status verloren. Daher hat er eine besondere Verantwortung für sie.</w:t>
      </w:r>
    </w:p>
    <w:p w14:paraId="7EFEBE4E" w14:textId="3BD2B427" w:rsidR="00D0044F" w:rsidRDefault="00D0044F" w:rsidP="00D0044F">
      <w:pPr>
        <w:pStyle w:val="whitespace-normal"/>
      </w:pPr>
      <w:r>
        <w:t>Der Vers schützt die Frau: Wenn er sie verstößt, muss er sie freilassen – nicht verkaufen oder als Sklavin behalten. Sie geht frei, weil er durch die Heirat ihre Position geschwächt hat.</w:t>
      </w:r>
    </w:p>
    <w:p w14:paraId="1D561E8D" w14:textId="195E3B49" w:rsidR="00D00836" w:rsidRDefault="00D00836" w:rsidP="00D0044F">
      <w:pPr>
        <w:pStyle w:val="whitespace-normal"/>
      </w:pPr>
      <w:r>
        <w:rPr>
          <w:rStyle w:val="Fett"/>
        </w:rPr>
        <w:t>Die LXX</w:t>
      </w:r>
      <w:r>
        <w:t xml:space="preserve"> übersetzt </w:t>
      </w:r>
      <w:r>
        <w:rPr>
          <w:rtl/>
        </w:rPr>
        <w:t>לֹא־תִתְעַמֵּר בָּהּ</w:t>
      </w:r>
      <w:r>
        <w:t xml:space="preserve"> (du sollst sie nicht als Sklavin behandeln) mit </w:t>
      </w:r>
      <w:proofErr w:type="spellStart"/>
      <w:r>
        <w:t>οὐκ</w:t>
      </w:r>
      <w:proofErr w:type="spellEnd"/>
      <w:r>
        <w:t xml:space="preserve"> </w:t>
      </w:r>
      <w:proofErr w:type="spellStart"/>
      <w:r>
        <w:t>ἀθετήσεις</w:t>
      </w:r>
      <w:proofErr w:type="spellEnd"/>
      <w:r>
        <w:t xml:space="preserve"> α</w:t>
      </w:r>
      <w:proofErr w:type="spellStart"/>
      <w:r>
        <w:t>ὐτήν</w:t>
      </w:r>
      <w:proofErr w:type="spellEnd"/>
      <w:r>
        <w:t xml:space="preserve"> (du wirst sie nicht verwerfen/entehren) – eine allgemeinere Formulierung des Schutzes. Die Wendung π</w:t>
      </w:r>
      <w:proofErr w:type="spellStart"/>
      <w:r>
        <w:t>ράσει</w:t>
      </w:r>
      <w:proofErr w:type="spellEnd"/>
      <w:r>
        <w:t xml:space="preserve"> </w:t>
      </w:r>
      <w:proofErr w:type="spellStart"/>
      <w:r>
        <w:t>οὐ</w:t>
      </w:r>
      <w:proofErr w:type="spellEnd"/>
      <w:r>
        <w:t xml:space="preserve"> πρα</w:t>
      </w:r>
      <w:proofErr w:type="spellStart"/>
      <w:r>
        <w:t>θήσετ</w:t>
      </w:r>
      <w:proofErr w:type="spellEnd"/>
      <w:r>
        <w:t xml:space="preserve">αι (mit Verkauf wird sie nicht verkauft werden) ist eine figura etymologica, die das hebräische </w:t>
      </w:r>
      <w:r>
        <w:rPr>
          <w:rtl/>
        </w:rPr>
        <w:t>מָכֹר לֹא־תִמְכְּרֶנָּה</w:t>
      </w:r>
      <w:r>
        <w:t xml:space="preserve"> wiedergibt.</w:t>
      </w:r>
    </w:p>
    <w:p w14:paraId="0DD7A190" w14:textId="04EC3BD1" w:rsidR="00D0044F" w:rsidRDefault="00D0044F" w:rsidP="00D0044F">
      <w:pPr>
        <w:pStyle w:val="whitespace-normal"/>
      </w:pPr>
      <w:r>
        <w:rPr>
          <w:rStyle w:val="Fett"/>
          <w:rFonts w:eastAsiaTheme="majorEastAsia"/>
        </w:rPr>
        <w:t>Die Satzstruktur:</w:t>
      </w:r>
      <w:r>
        <w:t xml:space="preserve"> Konditionaler Satz mit drei Verboten und Begründung (und es wird sein, wenn nicht </w:t>
      </w:r>
      <w:r w:rsidR="00D47758">
        <w:t>Gefallen</w:t>
      </w:r>
      <w:r>
        <w:t xml:space="preserve"> hast du an ihr, entlassen sollst du sie für sich selbst; und keinesfalls verkaufen sollst du sie für Geld, nicht sollst du handeln mit ihr, dafür dass geschwächt hast du sie).</w:t>
      </w:r>
    </w:p>
    <w:p w14:paraId="245DC218" w14:textId="77777777" w:rsidR="00D0044F" w:rsidRDefault="00D0044F" w:rsidP="00D0044F">
      <w:pPr>
        <w:pStyle w:val="whitespace-normal"/>
      </w:pPr>
      <w:r>
        <w:t>Der Vers schützt: Wenn du sie verstößt – entlasse sie frei, verkaufe sie nicht, behandle sie nicht als Sklavin, denn du hast sie geschwächt.</w:t>
      </w:r>
    </w:p>
    <w:p w14:paraId="36DAF2F4" w14:textId="77777777" w:rsidR="00AA14B9" w:rsidRPr="00B27A64" w:rsidRDefault="00AA14B9" w:rsidP="00AA14B9">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21,15</w:t>
      </w:r>
    </w:p>
    <w:p w14:paraId="08A73DC8" w14:textId="77777777" w:rsidR="00AA14B9" w:rsidRDefault="00AA14B9" w:rsidP="00AA14B9">
      <w:pPr>
        <w:pStyle w:val="whitespace-normal"/>
      </w:pPr>
      <w:r>
        <w:rPr>
          <w:rStyle w:val="Fett"/>
          <w:rFonts w:eastAsiaTheme="majorEastAsia"/>
        </w:rPr>
        <w:t>Hebräisch:</w:t>
      </w:r>
      <w:r>
        <w:t xml:space="preserve"> </w:t>
      </w:r>
      <w:r>
        <w:rPr>
          <w:rtl/>
        </w:rPr>
        <w:t>כִּֽי־תִהְיֶ֨יןָ לְאִ֜ישׁ שְׁתֵּ֣י נָשִׁ֗ים הָאַחַ֤ת אֲהוּבָה֙ וְהָאַחַ֣ת שְׂנוּאָ֔ה וְיָֽלְדוּ־לוֹ֣ בָנִ֔ים הָאֲהוּבָ֖ה וְהַשְּׂנוּאָ֑ה וְהָיָ֛ה הַבֵּ֥ן הַבְּכ֖וֹר לַשְּׂנִיאָֽה׃</w:t>
      </w:r>
    </w:p>
    <w:p w14:paraId="12F9CB8B" w14:textId="77777777" w:rsidR="00AA14B9" w:rsidRDefault="00AA14B9" w:rsidP="00AA14B9">
      <w:pPr>
        <w:pStyle w:val="whitespace-normal"/>
      </w:pPr>
      <w:r>
        <w:rPr>
          <w:rStyle w:val="Fett"/>
          <w:rFonts w:eastAsiaTheme="majorEastAsia"/>
        </w:rPr>
        <w:t>Deutsch:</w:t>
      </w:r>
      <w:r>
        <w:t xml:space="preserve"> Wenn ein Mann zwei Frauen hat, eine geliebte und eine gehasste, und sie gebären ihm Söhne, die geliebte und die gehasste, und der erstgeborene Sohn ist von der gehassten,</w:t>
      </w:r>
    </w:p>
    <w:p w14:paraId="14025B95" w14:textId="77777777" w:rsidR="00AA14B9" w:rsidRDefault="004F5CEB" w:rsidP="00AA14B9">
      <w:r>
        <w:rPr>
          <w:noProof/>
        </w:rPr>
        <w:pict w14:anchorId="63FBC0FD">
          <v:rect id="_x0000_i1587" style="width:0;height:1.5pt" o:hralign="center" o:hrstd="t" o:hr="t" fillcolor="#a0a0a0" stroked="f"/>
        </w:pict>
      </w:r>
    </w:p>
    <w:p w14:paraId="39800C91" w14:textId="77777777" w:rsidR="00AA14B9" w:rsidRDefault="00AA14B9" w:rsidP="00AA14B9">
      <w:pPr>
        <w:pStyle w:val="whitespace-normal"/>
      </w:pPr>
      <w:r>
        <w:rPr>
          <w:rStyle w:val="Fett"/>
          <w:rFonts w:eastAsiaTheme="majorEastAsia"/>
        </w:rPr>
        <w:lastRenderedPageBreak/>
        <w:t>Kommentar:</w:t>
      </w:r>
      <w:r>
        <w:t xml:space="preserve"> </w:t>
      </w:r>
      <w:r>
        <w:rPr>
          <w:rStyle w:val="Fett"/>
          <w:rFonts w:eastAsiaTheme="majorEastAsia"/>
          <w:rtl/>
        </w:rPr>
        <w:t>כִּי־תִהְיֶיןָ לְאִישׁ שְׁתֵּי נָשִׁים הָאַחַת אֲהוּבָה וְהָאַחַת שְׂנוּאָה</w:t>
      </w:r>
      <w:r>
        <w:rPr>
          <w:rtl/>
        </w:rPr>
        <w:t xml:space="preserve"> </w:t>
      </w:r>
      <w:r>
        <w:t xml:space="preserve">ist ein konditionaler Satz: </w:t>
      </w:r>
      <w:r>
        <w:rPr>
          <w:rStyle w:val="Fett"/>
          <w:rFonts w:eastAsiaTheme="majorEastAsia"/>
          <w:rtl/>
        </w:rPr>
        <w:t>כִּי־תִהְיֶיןָ</w:t>
      </w:r>
      <w:r>
        <w:rPr>
          <w:rtl/>
        </w:rPr>
        <w:t xml:space="preserve"> </w:t>
      </w:r>
      <w:r>
        <w:t>(</w:t>
      </w:r>
      <w:r>
        <w:rPr>
          <w:rStyle w:val="Fett"/>
          <w:rFonts w:eastAsiaTheme="majorEastAsia"/>
          <w:rtl/>
        </w:rPr>
        <w:t>כִּי</w:t>
      </w:r>
      <w:r>
        <w:t xml:space="preserve">, „wenn", mit </w:t>
      </w:r>
      <w:r>
        <w:rPr>
          <w:rStyle w:val="Fett"/>
          <w:rFonts w:eastAsiaTheme="majorEastAsia"/>
          <w:rtl/>
        </w:rPr>
        <w:t>היה</w:t>
      </w:r>
      <w:r>
        <w:t xml:space="preserve">, Qal Imperfekt, 3. Person Femininum Plural, „sein" – mit femininer Pluralendung </w:t>
      </w:r>
      <w:r>
        <w:rPr>
          <w:rStyle w:val="Fett"/>
          <w:rFonts w:eastAsiaTheme="majorEastAsia"/>
          <w:rtl/>
        </w:rPr>
        <w:t>ןָ</w:t>
      </w:r>
      <w:r>
        <w:rPr>
          <w:rStyle w:val="Fett"/>
          <w:rFonts w:eastAsiaTheme="majorEastAsia"/>
        </w:rPr>
        <w:t>-</w:t>
      </w:r>
      <w:r>
        <w:t xml:space="preserve">, die auf das folgende feminine Subjekt </w:t>
      </w:r>
      <w:r>
        <w:rPr>
          <w:rStyle w:val="Fett"/>
          <w:rFonts w:eastAsiaTheme="majorEastAsia"/>
          <w:rtl/>
        </w:rPr>
        <w:t>שְׁתֵּי נָשִׁים</w:t>
      </w:r>
      <w:r>
        <w:rPr>
          <w:rtl/>
        </w:rPr>
        <w:t xml:space="preserve"> </w:t>
      </w:r>
      <w:r>
        <w:t xml:space="preserve">hinweist), </w:t>
      </w:r>
      <w:r>
        <w:rPr>
          <w:rStyle w:val="Fett"/>
          <w:rFonts w:eastAsiaTheme="majorEastAsia"/>
          <w:rtl/>
        </w:rPr>
        <w:t>לְאִישׁ</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אִישׁ</w:t>
      </w:r>
      <w:r>
        <w:t xml:space="preserve">, „Mann"), </w:t>
      </w:r>
      <w:r>
        <w:rPr>
          <w:rStyle w:val="Fett"/>
          <w:rFonts w:eastAsiaTheme="majorEastAsia"/>
          <w:rtl/>
        </w:rPr>
        <w:t>שְׁתֵּי נָשִׁים</w:t>
      </w:r>
      <w:r>
        <w:rPr>
          <w:rtl/>
        </w:rPr>
        <w:t xml:space="preserve"> </w:t>
      </w:r>
      <w:r>
        <w:t>(</w:t>
      </w:r>
      <w:r>
        <w:rPr>
          <w:rStyle w:val="Fett"/>
          <w:rFonts w:eastAsiaTheme="majorEastAsia"/>
          <w:rtl/>
        </w:rPr>
        <w:t>שְׁתַּיִם</w:t>
      </w:r>
      <w:r>
        <w:t xml:space="preserve">, „zwei", Femininum Construct, mit </w:t>
      </w:r>
      <w:r>
        <w:rPr>
          <w:rStyle w:val="Fett"/>
          <w:rFonts w:eastAsiaTheme="majorEastAsia"/>
          <w:rtl/>
        </w:rPr>
        <w:t>אִשָּׁה</w:t>
      </w:r>
      <w:r>
        <w:t xml:space="preserve">, „Frau", Plural), </w:t>
      </w:r>
      <w:r>
        <w:rPr>
          <w:rStyle w:val="Fett"/>
          <w:rFonts w:eastAsiaTheme="majorEastAsia"/>
          <w:rtl/>
        </w:rPr>
        <w:t>הָאַחַת אֲהוּבָה וְהָאַחַת שְׂנוּאָה</w:t>
      </w:r>
      <w:r>
        <w:rPr>
          <w:rtl/>
        </w:rPr>
        <w:t xml:space="preserve"> </w:t>
      </w:r>
      <w:r>
        <w:t>(</w:t>
      </w:r>
      <w:r>
        <w:rPr>
          <w:rStyle w:val="Fett"/>
          <w:rFonts w:eastAsiaTheme="majorEastAsia"/>
          <w:rtl/>
        </w:rPr>
        <w:t>אֶחָד</w:t>
      </w:r>
      <w:r>
        <w:t xml:space="preserve">, „einer", Femininum mit Artikel – „die eine", Qal Partizip Passiv Femininum Singular von </w:t>
      </w:r>
      <w:r>
        <w:rPr>
          <w:rStyle w:val="Fett"/>
          <w:rFonts w:eastAsiaTheme="majorEastAsia"/>
          <w:rtl/>
        </w:rPr>
        <w:t>אהב</w:t>
      </w:r>
      <w:r>
        <w:t xml:space="preserve">, „lieben", koordiniert durch </w:t>
      </w:r>
      <w:r>
        <w:rPr>
          <w:rStyle w:val="Fett"/>
          <w:rFonts w:eastAsiaTheme="majorEastAsia"/>
          <w:rtl/>
        </w:rPr>
        <w:t>וְ</w:t>
      </w:r>
      <w:r>
        <w:rPr>
          <w:rtl/>
        </w:rPr>
        <w:t xml:space="preserve"> </w:t>
      </w:r>
      <w:r>
        <w:t xml:space="preserve">mit </w:t>
      </w:r>
      <w:r>
        <w:rPr>
          <w:rStyle w:val="Fett"/>
          <w:rFonts w:eastAsiaTheme="majorEastAsia"/>
          <w:rtl/>
        </w:rPr>
        <w:t>אֶחָד</w:t>
      </w:r>
      <w:r>
        <w:rPr>
          <w:rtl/>
        </w:rPr>
        <w:t xml:space="preserve"> </w:t>
      </w:r>
      <w:r>
        <w:t xml:space="preserve">Femininum mit Artikel, Qal Partizip Passiv Femininum Singular von </w:t>
      </w:r>
      <w:r>
        <w:rPr>
          <w:rStyle w:val="Fett"/>
          <w:rFonts w:eastAsiaTheme="majorEastAsia"/>
          <w:rtl/>
        </w:rPr>
        <w:t>שׂנא</w:t>
      </w:r>
      <w:r>
        <w:t>, „hassen" – „die eine geliebt und die eine gehasst").</w:t>
      </w:r>
    </w:p>
    <w:p w14:paraId="006EDB50" w14:textId="77777777" w:rsidR="00AA14B9" w:rsidRDefault="00AA14B9" w:rsidP="00AA14B9">
      <w:pPr>
        <w:pStyle w:val="whitespace-normal"/>
      </w:pPr>
      <w:r>
        <w:rPr>
          <w:rStyle w:val="Fett"/>
          <w:rFonts w:eastAsiaTheme="majorEastAsia"/>
          <w:rtl/>
        </w:rPr>
        <w:t>וְיָלְדוּ־לוֹ בָנִים הָאֲהוּבָה וְהַשְּׂנוּאָה וְהָיָה הַבֵּן הַבְּכוֹר לַשְּׂנִיאָה</w:t>
      </w:r>
      <w:r>
        <w:rPr>
          <w:rtl/>
        </w:rPr>
        <w:t xml:space="preserve"> </w:t>
      </w:r>
      <w:r>
        <w:t xml:space="preserve">ist die Fortsetzung: </w:t>
      </w:r>
      <w:r>
        <w:rPr>
          <w:rStyle w:val="Fett"/>
          <w:rFonts w:eastAsiaTheme="majorEastAsia"/>
          <w:rtl/>
        </w:rPr>
        <w:t>וְיָלְדוּ־לוֹ בָנִים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ילד</w:t>
      </w:r>
      <w:r>
        <w:t xml:space="preserve">, Qal Perfekt, 3. Person Plural, „gebären", </w:t>
      </w:r>
      <w:r>
        <w:rPr>
          <w:rStyle w:val="Fett"/>
          <w:rFonts w:eastAsiaTheme="majorEastAsia"/>
          <w:rtl/>
        </w:rPr>
        <w:t>לוֹ</w:t>
      </w:r>
      <w:r>
        <w:t xml:space="preserve">, Dativ, </w:t>
      </w:r>
      <w:r>
        <w:rPr>
          <w:rStyle w:val="Fett"/>
          <w:rFonts w:eastAsiaTheme="majorEastAsia"/>
          <w:rtl/>
        </w:rPr>
        <w:t>בֵּן</w:t>
      </w:r>
      <w:r>
        <w:t xml:space="preserve">, Plural, mit </w:t>
      </w:r>
      <w:r>
        <w:rPr>
          <w:rStyle w:val="Fett"/>
          <w:rFonts w:eastAsiaTheme="majorEastAsia"/>
        </w:rPr>
        <w:t>Waw</w:t>
      </w:r>
      <w:r>
        <w:t xml:space="preserve"> consecutives Perfekt), </w:t>
      </w:r>
      <w:r>
        <w:rPr>
          <w:rStyle w:val="Fett"/>
          <w:rFonts w:eastAsiaTheme="majorEastAsia"/>
          <w:rtl/>
        </w:rPr>
        <w:t>הָאֲהוּבָה וְהַשְּׂנוּאָה</w:t>
      </w:r>
      <w:r>
        <w:rPr>
          <w:rtl/>
        </w:rPr>
        <w:t xml:space="preserve"> </w:t>
      </w:r>
      <w:r>
        <w:t xml:space="preserve">(die beiden Partizipien mit Artikel als Subjekt – „die Geliebte und die Gehasste"), </w:t>
      </w:r>
      <w:r>
        <w:rPr>
          <w:rStyle w:val="Fett"/>
          <w:rFonts w:eastAsiaTheme="majorEastAsia"/>
          <w:rtl/>
        </w:rPr>
        <w:t>וְהָיָה הַבֵּן הַבְּכוֹר לַשְּׂנִיאָה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3. Person Maskulinum Singular, „sein", </w:t>
      </w:r>
      <w:r>
        <w:rPr>
          <w:rStyle w:val="Fett"/>
          <w:rFonts w:eastAsiaTheme="majorEastAsia"/>
          <w:rtl/>
        </w:rPr>
        <w:t>הַבֵּן הַבְּכוֹר</w:t>
      </w:r>
      <w:r>
        <w:rPr>
          <w:rtl/>
        </w:rPr>
        <w:t xml:space="preserve"> </w:t>
      </w:r>
      <w:r>
        <w:t>(</w:t>
      </w:r>
      <w:r>
        <w:rPr>
          <w:rStyle w:val="Fett"/>
          <w:rFonts w:eastAsiaTheme="majorEastAsia"/>
          <w:rtl/>
        </w:rPr>
        <w:t>בֵּן</w:t>
      </w:r>
      <w:r>
        <w:rPr>
          <w:rtl/>
        </w:rPr>
        <w:t xml:space="preserve"> </w:t>
      </w:r>
      <w:r>
        <w:t xml:space="preserve">mit Artikel, </w:t>
      </w:r>
      <w:r>
        <w:rPr>
          <w:rStyle w:val="Fett"/>
          <w:rFonts w:eastAsiaTheme="majorEastAsia"/>
          <w:rtl/>
        </w:rPr>
        <w:t>בְּכוֹר</w:t>
      </w:r>
      <w:r>
        <w:t xml:space="preserve">, „Erstgeborener", mit Artikel), </w:t>
      </w:r>
      <w:r>
        <w:rPr>
          <w:rStyle w:val="Fett"/>
          <w:rFonts w:eastAsiaTheme="majorEastAsia"/>
          <w:rtl/>
        </w:rPr>
        <w:t>לַשְּׂנִיאָה</w:t>
      </w:r>
      <w:r>
        <w:t xml:space="preserve">, Präposition </w:t>
      </w:r>
      <w:r>
        <w:rPr>
          <w:rStyle w:val="Fett"/>
          <w:rFonts w:eastAsiaTheme="majorEastAsia"/>
          <w:rtl/>
        </w:rPr>
        <w:t>לְ</w:t>
      </w:r>
      <w:r>
        <w:rPr>
          <w:rtl/>
        </w:rPr>
        <w:t xml:space="preserve"> </w:t>
      </w:r>
      <w:r>
        <w:t xml:space="preserve">mit </w:t>
      </w:r>
      <w:r>
        <w:rPr>
          <w:rStyle w:val="Fett"/>
          <w:rFonts w:eastAsiaTheme="majorEastAsia"/>
          <w:rtl/>
        </w:rPr>
        <w:t>שְׂנוּאָה</w:t>
      </w:r>
      <w:r>
        <w:rPr>
          <w:rtl/>
        </w:rPr>
        <w:t xml:space="preserve"> </w:t>
      </w:r>
      <w:r>
        <w:t xml:space="preserve">mit Artikel – „zur/von der Gehassten", mit </w:t>
      </w:r>
      <w:r>
        <w:rPr>
          <w:rStyle w:val="Fett"/>
          <w:rFonts w:eastAsiaTheme="majorEastAsia"/>
        </w:rPr>
        <w:t>Waw</w:t>
      </w:r>
      <w:r>
        <w:t xml:space="preserve"> consecutives Perfekt).</w:t>
      </w:r>
    </w:p>
    <w:p w14:paraId="37E04E3A" w14:textId="77777777" w:rsidR="00AA14B9" w:rsidRDefault="00AA14B9" w:rsidP="00AA14B9">
      <w:pPr>
        <w:pStyle w:val="whitespace-normal"/>
      </w:pPr>
      <w:r>
        <w:t xml:space="preserve">Der Vers leitet einen neuen Abschnitt ein: das Recht des Erstgeborenen (V. 15-17). Die Situation: Ein Mann hat zwei Frauen in einer polygamen Ehe – </w:t>
      </w:r>
      <w:r>
        <w:rPr>
          <w:rStyle w:val="Fett"/>
          <w:rFonts w:eastAsiaTheme="majorEastAsia"/>
          <w:rtl/>
        </w:rPr>
        <w:t>אֲהוּבָה</w:t>
      </w:r>
      <w:r>
        <w:rPr>
          <w:rtl/>
        </w:rPr>
        <w:t xml:space="preserve"> </w:t>
      </w:r>
      <w:r>
        <w:t xml:space="preserve">(„geliebte") und </w:t>
      </w:r>
      <w:r>
        <w:rPr>
          <w:rStyle w:val="Fett"/>
          <w:rFonts w:eastAsiaTheme="majorEastAsia"/>
          <w:rtl/>
        </w:rPr>
        <w:t>שְׂנוּאָה</w:t>
      </w:r>
      <w:r>
        <w:rPr>
          <w:rtl/>
        </w:rPr>
        <w:t xml:space="preserve"> </w:t>
      </w:r>
      <w:r>
        <w:t xml:space="preserve">(„gehasste"). Diese Terminologie erinnert an die Geschichte von Jakob, Lea und Rahel (Gen 29,30-31: </w:t>
      </w:r>
      <w:r>
        <w:rPr>
          <w:rStyle w:val="Fett"/>
          <w:rFonts w:eastAsiaTheme="majorEastAsia"/>
          <w:rtl/>
        </w:rPr>
        <w:t>וַיֶּאֱהַב גַּם־אֶת־רָחֵל מִלֵּאָה... וַיַּרְא יְהוָה כִּי־שְׂנוּאָה לֵאָה</w:t>
      </w:r>
      <w:r>
        <w:t xml:space="preserve">, „Und er liebte auch Rahel mehr als Lea... Und JHWH sah, dass Lea gehasst war"). Das Wort </w:t>
      </w:r>
      <w:r>
        <w:rPr>
          <w:rStyle w:val="Fett"/>
          <w:rFonts w:eastAsiaTheme="majorEastAsia"/>
          <w:rtl/>
        </w:rPr>
        <w:t>שְׂנוּאָה</w:t>
      </w:r>
      <w:r>
        <w:rPr>
          <w:rtl/>
        </w:rPr>
        <w:t xml:space="preserve"> </w:t>
      </w:r>
      <w:r>
        <w:t xml:space="preserve">(„gehasste") bedeutet nicht unbedingt aktiven Hass, sondern „weniger geliebt, zurückgesetzt" (vgl. Gen 29,31.33; Dtn 21,15.16.17; 22,13.16; Spr 30,23; Jes 60,15). Die Partizipien </w:t>
      </w:r>
      <w:r>
        <w:rPr>
          <w:rStyle w:val="Fett"/>
          <w:rFonts w:eastAsiaTheme="majorEastAsia"/>
          <w:rtl/>
        </w:rPr>
        <w:t>אֲהוּבָה</w:t>
      </w:r>
      <w:r>
        <w:rPr>
          <w:rtl/>
        </w:rPr>
        <w:t xml:space="preserve"> </w:t>
      </w:r>
      <w:r>
        <w:t xml:space="preserve">(Qal Passiv von </w:t>
      </w:r>
      <w:r>
        <w:rPr>
          <w:rStyle w:val="Fett"/>
          <w:rFonts w:eastAsiaTheme="majorEastAsia"/>
          <w:rtl/>
        </w:rPr>
        <w:t>אהב</w:t>
      </w:r>
      <w:r>
        <w:t xml:space="preserve">, „lieben") und </w:t>
      </w:r>
      <w:r>
        <w:rPr>
          <w:rStyle w:val="Fett"/>
          <w:rFonts w:eastAsiaTheme="majorEastAsia"/>
          <w:rtl/>
        </w:rPr>
        <w:t>שְׂנוּאָה</w:t>
      </w:r>
      <w:r>
        <w:rPr>
          <w:rtl/>
        </w:rPr>
        <w:t xml:space="preserve"> </w:t>
      </w:r>
      <w:r>
        <w:t xml:space="preserve">(Qal Passiv von </w:t>
      </w:r>
      <w:r>
        <w:rPr>
          <w:rStyle w:val="Fett"/>
          <w:rFonts w:eastAsiaTheme="majorEastAsia"/>
          <w:rtl/>
        </w:rPr>
        <w:t>שׂנא</w:t>
      </w:r>
      <w:r>
        <w:t>, „hassen") bezeichnen den Status: „die Geliebte" und „die Ungeliebte".</w:t>
      </w:r>
    </w:p>
    <w:p w14:paraId="3325C976" w14:textId="77777777" w:rsidR="00AA14B9" w:rsidRDefault="00AA14B9" w:rsidP="00AA14B9">
      <w:pPr>
        <w:pStyle w:val="whitespace-normal"/>
      </w:pPr>
      <w:r>
        <w:t>Die Situation wird kompliziert: Beide Frauen gebären Söhne (</w:t>
      </w:r>
      <w:r>
        <w:rPr>
          <w:rStyle w:val="Fett"/>
          <w:rFonts w:eastAsiaTheme="majorEastAsia"/>
          <w:rtl/>
        </w:rPr>
        <w:t>וְיָלְדוּ־לוֹ בָנִים</w:t>
      </w:r>
      <w:r>
        <w:t xml:space="preserve">), und der </w:t>
      </w:r>
      <w:r>
        <w:rPr>
          <w:rStyle w:val="Fett"/>
          <w:rFonts w:eastAsiaTheme="majorEastAsia"/>
          <w:rtl/>
        </w:rPr>
        <w:t>בְּכוֹר</w:t>
      </w:r>
      <w:r>
        <w:rPr>
          <w:rtl/>
        </w:rPr>
        <w:t xml:space="preserve"> </w:t>
      </w:r>
      <w:r>
        <w:t xml:space="preserve">(„Erstgeborene") ist von der </w:t>
      </w:r>
      <w:r>
        <w:rPr>
          <w:rStyle w:val="Fett"/>
          <w:rFonts w:eastAsiaTheme="majorEastAsia"/>
          <w:rtl/>
        </w:rPr>
        <w:t>שְׂנוּאָה</w:t>
      </w:r>
      <w:r>
        <w:rPr>
          <w:rtl/>
        </w:rPr>
        <w:t xml:space="preserve"> </w:t>
      </w:r>
      <w:r>
        <w:t>(„Ungeliebten"). Dies schafft einen Interessenkonflikt: Der Vater könnte versucht sein, den Sohn der Geliebten zu bevorzugen. V. 16-17 werden dieses Verhalten verbieten.</w:t>
      </w:r>
    </w:p>
    <w:p w14:paraId="4BAE7042" w14:textId="77777777" w:rsidR="00AA14B9" w:rsidRDefault="00AA14B9" w:rsidP="00AA14B9">
      <w:pPr>
        <w:pStyle w:val="whitespace-normal"/>
      </w:pPr>
      <w:r>
        <w:rPr>
          <w:rStyle w:val="Fett"/>
          <w:rFonts w:eastAsiaTheme="majorEastAsia"/>
        </w:rPr>
        <w:t>Die Satzstruktur:</w:t>
      </w:r>
      <w:r>
        <w:t xml:space="preserve"> Konditionaler Satz mit Fortsetzung (wenn sein werden einem Mann zwei Frauen, die eine geliebt und die eine gehasst, und gebären werden ihm Söhne die Geliebte und die Gehasste, und sein wird der Sohn, der Erstgeborene, zur Gehassten).</w:t>
      </w:r>
    </w:p>
    <w:p w14:paraId="7E157D3F" w14:textId="77777777" w:rsidR="00AA14B9" w:rsidRDefault="00AA14B9" w:rsidP="00AA14B9">
      <w:pPr>
        <w:pStyle w:val="whitespace-normal"/>
      </w:pPr>
      <w:r>
        <w:t>Der Vers setzt die Situation: Ein Mann hat zwei Frauen – eine geliebt, eine gehasst – beide gebären Söhne, und der Erstgeborene ist von der Ungeliebten.</w:t>
      </w:r>
    </w:p>
    <w:p w14:paraId="1972E1F6" w14:textId="77777777" w:rsidR="00AA14B9" w:rsidRPr="00C178BF" w:rsidRDefault="00AA14B9" w:rsidP="00AA14B9">
      <w:pPr>
        <w:pStyle w:val="berschrift1"/>
        <w:rPr>
          <w:rFonts w:ascii="Times New Roman" w:hAnsi="Times New Roman"/>
          <w:color w:val="auto"/>
          <w:sz w:val="36"/>
          <w:szCs w:val="36"/>
        </w:rPr>
      </w:pPr>
      <w:r w:rsidRPr="00C178BF">
        <w:rPr>
          <w:rStyle w:val="Fett"/>
          <w:rFonts w:ascii="Times New Roman" w:hAnsi="Times New Roman"/>
          <w:color w:val="auto"/>
          <w:sz w:val="36"/>
          <w:szCs w:val="36"/>
        </w:rPr>
        <w:t>Deuteronomium 21,16</w:t>
      </w:r>
    </w:p>
    <w:p w14:paraId="67534872" w14:textId="77777777" w:rsidR="00AA14B9" w:rsidRDefault="00AA14B9" w:rsidP="00AA14B9">
      <w:pPr>
        <w:pStyle w:val="whitespace-normal"/>
      </w:pPr>
      <w:r>
        <w:rPr>
          <w:rStyle w:val="Fett"/>
          <w:rFonts w:eastAsiaTheme="majorEastAsia"/>
        </w:rPr>
        <w:t>Hebräisch:</w:t>
      </w:r>
      <w:r>
        <w:t xml:space="preserve"> </w:t>
      </w:r>
      <w:r>
        <w:rPr>
          <w:rtl/>
        </w:rPr>
        <w:t>וְהָיָ֗ה בְּיוֹם֙ הַנְחִילֹ֣ו אֶת־בָּנָ֔יו אֵ֥ת אֲשֶׁר־יִהְיֶ֖ה לוֹ֑ לֹ֣א יוּכַ֗ל לְבַכֵּר֙ אֶת־בֶּן־הָ֣אֲהוּבָ֔ה עַל־פְּנֵ֥י בֶן־הַשְּׂנוּאָ֖ה הַבְּכֹֽר׃</w:t>
      </w:r>
    </w:p>
    <w:p w14:paraId="010F3275" w14:textId="77777777" w:rsidR="00AA14B9" w:rsidRDefault="00AA14B9" w:rsidP="00AA14B9">
      <w:pPr>
        <w:pStyle w:val="whitespace-normal"/>
      </w:pPr>
      <w:r>
        <w:rPr>
          <w:rStyle w:val="Fett"/>
          <w:rFonts w:eastAsiaTheme="majorEastAsia"/>
        </w:rPr>
        <w:t>Deutsch:</w:t>
      </w:r>
      <w:r>
        <w:t xml:space="preserve"> so soll es geschehen an dem Tag, an dem er seine Söhne erben lässt, was er hat: Er kann den Sohn der geliebten nicht zum Erstgeborenen machen vor dem Sohn der gehassten, dem Erstgeborenen;</w:t>
      </w:r>
    </w:p>
    <w:p w14:paraId="3F0F5B57" w14:textId="77777777" w:rsidR="00AA14B9" w:rsidRDefault="004F5CEB" w:rsidP="00AA14B9">
      <w:r>
        <w:rPr>
          <w:noProof/>
        </w:rPr>
        <w:lastRenderedPageBreak/>
        <w:pict w14:anchorId="4C27A34B">
          <v:rect id="_x0000_i1588" style="width:0;height:1.5pt" o:hralign="center" o:hrstd="t" o:hr="t" fillcolor="#a0a0a0" stroked="f"/>
        </w:pict>
      </w:r>
    </w:p>
    <w:p w14:paraId="4B2FF238" w14:textId="77777777" w:rsidR="00AA14B9" w:rsidRDefault="00AA14B9" w:rsidP="00AA14B9">
      <w:pPr>
        <w:pStyle w:val="whitespace-normal"/>
      </w:pPr>
      <w:r>
        <w:rPr>
          <w:rStyle w:val="Fett"/>
          <w:rFonts w:eastAsiaTheme="majorEastAsia"/>
        </w:rPr>
        <w:t>Kommentar:</w:t>
      </w:r>
      <w:r>
        <w:t xml:space="preserve"> </w:t>
      </w:r>
      <w:r>
        <w:rPr>
          <w:rStyle w:val="Fett"/>
          <w:rFonts w:eastAsiaTheme="majorEastAsia"/>
          <w:rtl/>
        </w:rPr>
        <w:t>וְהָיָה בְּיוֹם הַנְחִילוֹ אֶת־בָּנָיו אֵת אֲשֶׁר־יִהְיֶה לוֹ</w:t>
      </w:r>
      <w:r>
        <w:rPr>
          <w:rtl/>
        </w:rPr>
        <w:t xml:space="preserve"> </w:t>
      </w:r>
      <w:r>
        <w:t xml:space="preserve">ist die temporale Einleitung: </w:t>
      </w:r>
      <w:r>
        <w:rPr>
          <w:rStyle w:val="Fett"/>
          <w:rFonts w:eastAsiaTheme="majorEastAsia"/>
          <w:rtl/>
        </w:rPr>
        <w:t>וְהָיָה</w:t>
      </w:r>
      <w:r>
        <w:rPr>
          <w:rtl/>
        </w:rPr>
        <w:t xml:space="preserve"> </w:t>
      </w:r>
      <w:r>
        <w:t xml:space="preserve">(Qal Perfekt, 3. Person Maskulinum Singular von </w:t>
      </w:r>
      <w:r>
        <w:rPr>
          <w:rStyle w:val="Fett"/>
          <w:rFonts w:eastAsiaTheme="majorEastAsia"/>
          <w:rtl/>
        </w:rPr>
        <w:t>היה</w:t>
      </w:r>
      <w:r>
        <w:t xml:space="preserve">, „sein", mit </w:t>
      </w:r>
      <w:r>
        <w:rPr>
          <w:rStyle w:val="Fett"/>
          <w:rFonts w:eastAsiaTheme="majorEastAsia"/>
        </w:rPr>
        <w:t>Waw</w:t>
      </w:r>
      <w:r>
        <w:t xml:space="preserve">), </w:t>
      </w:r>
      <w:r>
        <w:rPr>
          <w:rStyle w:val="Fett"/>
          <w:rFonts w:eastAsiaTheme="majorEastAsia"/>
          <w:rtl/>
        </w:rPr>
        <w:t>בְּיוֹם</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יוֹם</w:t>
      </w:r>
      <w:r>
        <w:t xml:space="preserve">, „Tag", mit Artikel – temporal: „an dem Tag, wenn"), </w:t>
      </w:r>
      <w:r>
        <w:rPr>
          <w:rStyle w:val="Fett"/>
          <w:rFonts w:eastAsiaTheme="majorEastAsia"/>
          <w:rtl/>
        </w:rPr>
        <w:t>הַנְחִילוֹ</w:t>
      </w:r>
      <w:r>
        <w:rPr>
          <w:rtl/>
        </w:rPr>
        <w:t xml:space="preserve"> </w:t>
      </w:r>
      <w:r>
        <w:t xml:space="preserve">(Hiphil Infinitiv Construct von </w:t>
      </w:r>
      <w:r>
        <w:rPr>
          <w:rStyle w:val="Fett"/>
          <w:rFonts w:eastAsiaTheme="majorEastAsia"/>
          <w:rtl/>
        </w:rPr>
        <w:t>נחל</w:t>
      </w:r>
      <w:r>
        <w:t xml:space="preserve">, „erben lassen, zum Erbe geben" – das Hiphil ist kausativ, mit Suffix 3. Person Maskulinum Singular, mit Artikel), </w:t>
      </w:r>
      <w:r>
        <w:rPr>
          <w:rStyle w:val="Fett"/>
          <w:rFonts w:eastAsiaTheme="majorEastAsia"/>
          <w:rtl/>
        </w:rPr>
        <w:t>אֶת־בָּנָיו</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בֵּן</w:t>
      </w:r>
      <w:r>
        <w:t xml:space="preserve">, Plural mit Suffix 3. Person Maskulinum Singular), </w:t>
      </w:r>
      <w:r>
        <w:rPr>
          <w:rStyle w:val="Fett"/>
          <w:rFonts w:eastAsiaTheme="majorEastAsia"/>
          <w:rtl/>
        </w:rPr>
        <w:t>אֵת אֲשֶׁר־יִהְיֶה לוֹ</w:t>
      </w:r>
      <w:r>
        <w:rPr>
          <w:rtl/>
        </w:rPr>
        <w:t xml:space="preserve"> </w:t>
      </w:r>
      <w:r>
        <w:t xml:space="preserve">(Objektpartikel </w:t>
      </w:r>
      <w:r>
        <w:rPr>
          <w:rStyle w:val="Fett"/>
          <w:rFonts w:eastAsiaTheme="majorEastAsia"/>
          <w:rtl/>
        </w:rPr>
        <w:t>אֵת</w:t>
      </w:r>
      <w:r>
        <w:rPr>
          <w:rtl/>
        </w:rPr>
        <w:t xml:space="preserve"> </w:t>
      </w:r>
      <w:r>
        <w:t xml:space="preserve">mit Relativsatz: </w:t>
      </w:r>
      <w:r>
        <w:rPr>
          <w:rStyle w:val="Fett"/>
          <w:rFonts w:eastAsiaTheme="majorEastAsia"/>
          <w:rtl/>
        </w:rPr>
        <w:t>אֲשֶׁר</w:t>
      </w:r>
      <w:r>
        <w:rPr>
          <w:rtl/>
        </w:rPr>
        <w:t xml:space="preserve"> </w:t>
      </w:r>
      <w:r>
        <w:t xml:space="preserve">mit </w:t>
      </w:r>
      <w:r>
        <w:rPr>
          <w:rStyle w:val="Fett"/>
          <w:rFonts w:eastAsiaTheme="majorEastAsia"/>
          <w:rtl/>
        </w:rPr>
        <w:t>היה</w:t>
      </w:r>
      <w:r>
        <w:t xml:space="preserve">, Qal Imperfekt, 3. Person Maskulinum Singular, </w:t>
      </w:r>
      <w:r>
        <w:rPr>
          <w:rStyle w:val="Fett"/>
          <w:rFonts w:eastAsiaTheme="majorEastAsia"/>
          <w:rtl/>
        </w:rPr>
        <w:t>לוֹ</w:t>
      </w:r>
      <w:r>
        <w:rPr>
          <w:rtl/>
        </w:rPr>
        <w:t xml:space="preserve"> </w:t>
      </w:r>
      <w:r>
        <w:t>– „was sein wird ihm" = „was er hat").</w:t>
      </w:r>
    </w:p>
    <w:p w14:paraId="096C3CF1" w14:textId="77777777" w:rsidR="00AA14B9" w:rsidRDefault="00AA14B9" w:rsidP="00AA14B9">
      <w:pPr>
        <w:pStyle w:val="whitespace-normal"/>
      </w:pPr>
      <w:r>
        <w:rPr>
          <w:rStyle w:val="Fett"/>
          <w:rFonts w:eastAsiaTheme="majorEastAsia"/>
          <w:rtl/>
        </w:rPr>
        <w:t>לֹא יוּכַל לְבַכֵּר אֶת־בֶּן־הָאֲהוּבָה עַל־פְּנֵי בֶן־הַשְּׂנוּאָה הַבְּכֹר</w:t>
      </w:r>
      <w:r>
        <w:rPr>
          <w:rtl/>
        </w:rPr>
        <w:t xml:space="preserve"> </w:t>
      </w:r>
      <w:r>
        <w:t xml:space="preserve">ist das Verbot: </w:t>
      </w:r>
      <w:r>
        <w:rPr>
          <w:rStyle w:val="Fett"/>
          <w:rFonts w:eastAsiaTheme="majorEastAsia"/>
          <w:rtl/>
        </w:rPr>
        <w:t>לֹא יוּכַל</w:t>
      </w:r>
      <w:r>
        <w:rPr>
          <w:rtl/>
        </w:rPr>
        <w:t xml:space="preserve"> </w:t>
      </w:r>
      <w:r>
        <w:t xml:space="preserve">(Negation mit </w:t>
      </w:r>
      <w:r>
        <w:rPr>
          <w:rStyle w:val="Fett"/>
          <w:rFonts w:eastAsiaTheme="majorEastAsia"/>
          <w:rtl/>
        </w:rPr>
        <w:t>יכל</w:t>
      </w:r>
      <w:r>
        <w:t xml:space="preserve">, Qal Imperfekt, 3. Person Maskulinum Singular, „können, vermögen, dürfen"), </w:t>
      </w:r>
      <w:r>
        <w:rPr>
          <w:rStyle w:val="Fett"/>
          <w:rFonts w:eastAsiaTheme="majorEastAsia"/>
          <w:rtl/>
        </w:rPr>
        <w:t>לְבַכֵּר</w:t>
      </w:r>
      <w:r>
        <w:rPr>
          <w:rtl/>
        </w:rPr>
        <w:t xml:space="preserve"> </w:t>
      </w:r>
      <w:r>
        <w:t xml:space="preserve">(Präposition </w:t>
      </w:r>
      <w:r>
        <w:rPr>
          <w:rStyle w:val="Fett"/>
          <w:rFonts w:eastAsiaTheme="majorEastAsia"/>
          <w:rtl/>
        </w:rPr>
        <w:t>לְ</w:t>
      </w:r>
      <w:r>
        <w:rPr>
          <w:rtl/>
        </w:rPr>
        <w:t xml:space="preserve"> </w:t>
      </w:r>
      <w:r>
        <w:t xml:space="preserve">mit Piel Infinitiv Construct von </w:t>
      </w:r>
      <w:r>
        <w:rPr>
          <w:rStyle w:val="Fett"/>
          <w:rFonts w:eastAsiaTheme="majorEastAsia"/>
          <w:rtl/>
        </w:rPr>
        <w:t>בכר</w:t>
      </w:r>
      <w:r>
        <w:t xml:space="preserve">, „zum Erstgeborenen machen, als Erstgeborenen behandeln" – denominativ von </w:t>
      </w:r>
      <w:r>
        <w:rPr>
          <w:rStyle w:val="Fett"/>
          <w:rFonts w:eastAsiaTheme="majorEastAsia"/>
          <w:rtl/>
        </w:rPr>
        <w:t>בְּכוֹר</w:t>
      </w:r>
      <w:r>
        <w:t xml:space="preserve">, im Piel: „jemanden in die Position des Erstgeborenen setzen"), </w:t>
      </w:r>
      <w:r>
        <w:rPr>
          <w:rStyle w:val="Fett"/>
          <w:rFonts w:eastAsiaTheme="majorEastAsia"/>
          <w:rtl/>
        </w:rPr>
        <w:t>אֶת־בֶּן־הָאֲהוּבָה</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בֵּן</w:t>
      </w:r>
      <w:r>
        <w:t xml:space="preserve">, Construct mit </w:t>
      </w:r>
      <w:r>
        <w:rPr>
          <w:rStyle w:val="Fett"/>
          <w:rFonts w:eastAsiaTheme="majorEastAsia"/>
          <w:rtl/>
        </w:rPr>
        <w:t>אֲהוּבָה</w:t>
      </w:r>
      <w:r>
        <w:rPr>
          <w:rtl/>
        </w:rPr>
        <w:t xml:space="preserve"> </w:t>
      </w:r>
      <w:r>
        <w:t xml:space="preserve">mit Artikel), </w:t>
      </w:r>
      <w:r>
        <w:rPr>
          <w:rStyle w:val="Fett"/>
          <w:rFonts w:eastAsiaTheme="majorEastAsia"/>
          <w:rtl/>
        </w:rPr>
        <w:t>עַל־פְּנֵי בֶן־הַשְּׂנוּאָה הַבְּכֹר</w:t>
      </w:r>
      <w:r>
        <w:rPr>
          <w:rtl/>
        </w:rPr>
        <w:t xml:space="preserve"> </w:t>
      </w:r>
      <w:r>
        <w:t xml:space="preserve">(Präposition </w:t>
      </w:r>
      <w:r>
        <w:rPr>
          <w:rStyle w:val="Fett"/>
          <w:rFonts w:eastAsiaTheme="majorEastAsia"/>
          <w:rtl/>
        </w:rPr>
        <w:t>עַל</w:t>
      </w:r>
      <w:r>
        <w:t xml:space="preserve">, „auf, über", </w:t>
      </w:r>
      <w:r>
        <w:rPr>
          <w:rStyle w:val="Fett"/>
          <w:rFonts w:eastAsiaTheme="majorEastAsia"/>
          <w:rtl/>
        </w:rPr>
        <w:t>פָּנִים</w:t>
      </w:r>
      <w:r>
        <w:t xml:space="preserve">, Plural Construct, „Gesicht" – idiomatisch </w:t>
      </w:r>
      <w:r>
        <w:rPr>
          <w:rStyle w:val="Fett"/>
          <w:rFonts w:eastAsiaTheme="majorEastAsia"/>
          <w:rtl/>
        </w:rPr>
        <w:t>עַל־פְּנֵי</w:t>
      </w:r>
      <w:r>
        <w:rPr>
          <w:rtl/>
        </w:rPr>
        <w:t xml:space="preserve"> </w:t>
      </w:r>
      <w:r>
        <w:t xml:space="preserve">= „vor, anstelle von, zum Nachteil von", </w:t>
      </w:r>
      <w:r>
        <w:rPr>
          <w:rStyle w:val="Fett"/>
          <w:rFonts w:eastAsiaTheme="majorEastAsia"/>
          <w:rtl/>
        </w:rPr>
        <w:t>בֶּן־הַשְּׂנוּאָה הַבְּכֹר</w:t>
      </w:r>
      <w:r>
        <w:t xml:space="preserve">, </w:t>
      </w:r>
      <w:r>
        <w:rPr>
          <w:rStyle w:val="Fett"/>
          <w:rFonts w:eastAsiaTheme="majorEastAsia"/>
          <w:rtl/>
        </w:rPr>
        <w:t>בֵּן</w:t>
      </w:r>
      <w:r>
        <w:t xml:space="preserve">, Construct mit </w:t>
      </w:r>
      <w:r>
        <w:rPr>
          <w:rStyle w:val="Fett"/>
          <w:rFonts w:eastAsiaTheme="majorEastAsia"/>
          <w:rtl/>
        </w:rPr>
        <w:t>שְׂנוּאָה</w:t>
      </w:r>
      <w:r>
        <w:rPr>
          <w:rtl/>
        </w:rPr>
        <w:t xml:space="preserve"> </w:t>
      </w:r>
      <w:r>
        <w:t xml:space="preserve">mit Artikel, </w:t>
      </w:r>
      <w:r>
        <w:rPr>
          <w:rStyle w:val="Fett"/>
          <w:rFonts w:eastAsiaTheme="majorEastAsia"/>
          <w:rtl/>
        </w:rPr>
        <w:t>בְּכוֹר</w:t>
      </w:r>
      <w:r>
        <w:rPr>
          <w:rtl/>
        </w:rPr>
        <w:t xml:space="preserve"> </w:t>
      </w:r>
      <w:r>
        <w:t>mit Artikel als Apposition).</w:t>
      </w:r>
    </w:p>
    <w:p w14:paraId="186AA0ED" w14:textId="19A44D9F" w:rsidR="00AA14B9" w:rsidRDefault="00AA14B9" w:rsidP="00AA14B9">
      <w:pPr>
        <w:pStyle w:val="whitespace-normal"/>
      </w:pPr>
      <w:r>
        <w:t xml:space="preserve">Der Vers verbietet die Manipulation des Erstgeburtsrechts. Die temporale Einleitung </w:t>
      </w:r>
      <w:r>
        <w:rPr>
          <w:rStyle w:val="Fett"/>
          <w:rFonts w:eastAsiaTheme="majorEastAsia"/>
          <w:rtl/>
        </w:rPr>
        <w:t>בְּיוֹם הַנְחִילוֹ אֶת־בָּנָיו</w:t>
      </w:r>
      <w:r>
        <w:rPr>
          <w:rtl/>
        </w:rPr>
        <w:t xml:space="preserve"> </w:t>
      </w:r>
      <w:r>
        <w:t xml:space="preserve">(„an dem Tag, wenn er erben lässt seine Söhne") bezieht sich auf die Verteilung des Erbes, typischerweise kurz vor dem Tod des Vaters oder als testamentarische Verfügung. Das Verb </w:t>
      </w:r>
      <w:r>
        <w:rPr>
          <w:rStyle w:val="Fett"/>
          <w:rFonts w:eastAsiaTheme="majorEastAsia"/>
          <w:rtl/>
        </w:rPr>
        <w:t>נחל</w:t>
      </w:r>
      <w:r>
        <w:rPr>
          <w:rtl/>
        </w:rPr>
        <w:t xml:space="preserve"> </w:t>
      </w:r>
      <w:r>
        <w:t xml:space="preserve">im Hiphil („erben lassen, zum Erbe geben") ist das kausative Gegenstück zu </w:t>
      </w:r>
      <w:r>
        <w:rPr>
          <w:rStyle w:val="Fett"/>
          <w:rFonts w:eastAsiaTheme="majorEastAsia"/>
          <w:rtl/>
        </w:rPr>
        <w:t>ירשׁ</w:t>
      </w:r>
      <w:r>
        <w:rPr>
          <w:rtl/>
        </w:rPr>
        <w:t xml:space="preserve"> </w:t>
      </w:r>
      <w:r>
        <w:t xml:space="preserve">(„erben, in Besitz nehmen") und bezeichnet die Handlung des Erbgebers (vgl. Num 32,18; 34,17.18.29; Jos 13,32; 19,49.51; </w:t>
      </w:r>
      <w:r w:rsidR="00BF3748">
        <w:t>Hes</w:t>
      </w:r>
      <w:r>
        <w:t xml:space="preserve"> 46,18; 47,13.14.22; Ps 111,6; 135,12; Spr 8,21; 13,22).</w:t>
      </w:r>
    </w:p>
    <w:p w14:paraId="4DAC607D" w14:textId="77777777" w:rsidR="00AA14B9" w:rsidRDefault="00AA14B9" w:rsidP="00AA14B9">
      <w:pPr>
        <w:pStyle w:val="whitespace-normal"/>
      </w:pPr>
      <w:r>
        <w:t xml:space="preserve">Das Verbot: </w:t>
      </w:r>
      <w:r>
        <w:rPr>
          <w:rStyle w:val="Fett"/>
          <w:rFonts w:eastAsiaTheme="majorEastAsia"/>
          <w:rtl/>
        </w:rPr>
        <w:t>לֹא יוּכַל לְבַכֵּר אֶת־בֶּן־הָאֲהוּבָה עַל־פְּנֵי בֶן־הַשְּׂנוּאָה הַבְּכֹר</w:t>
      </w:r>
      <w:r>
        <w:rPr>
          <w:rtl/>
        </w:rPr>
        <w:t xml:space="preserve"> </w:t>
      </w:r>
      <w:r>
        <w:t xml:space="preserve">(„nicht darf er zum Erstgeborenen machen den Sohn der Geliebten anstelle des Sohnes der Gehassten, des Erstgeborenen"). Das Verb </w:t>
      </w:r>
      <w:r>
        <w:rPr>
          <w:rStyle w:val="Fett"/>
          <w:rFonts w:eastAsiaTheme="majorEastAsia"/>
          <w:rtl/>
        </w:rPr>
        <w:t>בכר</w:t>
      </w:r>
      <w:r>
        <w:rPr>
          <w:rtl/>
        </w:rPr>
        <w:t xml:space="preserve"> </w:t>
      </w:r>
      <w:r>
        <w:t xml:space="preserve">im Piel („zum Erstgeborenen machen") erscheint nur hier im AT. Die Formulierung </w:t>
      </w:r>
      <w:r>
        <w:rPr>
          <w:rStyle w:val="Fett"/>
          <w:rFonts w:eastAsiaTheme="majorEastAsia"/>
          <w:rtl/>
        </w:rPr>
        <w:t>עַל־פְּנֵי</w:t>
      </w:r>
      <w:r>
        <w:rPr>
          <w:rtl/>
        </w:rPr>
        <w:t xml:space="preserve"> </w:t>
      </w:r>
      <w:r>
        <w:t xml:space="preserve">(„vor, anstelle von") bedeutet: „zum Nachteil von, an die Stelle von". Die Apposition </w:t>
      </w:r>
      <w:r>
        <w:rPr>
          <w:rStyle w:val="Fett"/>
          <w:rFonts w:eastAsiaTheme="majorEastAsia"/>
          <w:rtl/>
        </w:rPr>
        <w:t>הַבְּכֹר</w:t>
      </w:r>
      <w:r>
        <w:rPr>
          <w:rtl/>
        </w:rPr>
        <w:t xml:space="preserve"> </w:t>
      </w:r>
      <w:r>
        <w:t>(„der Erstgeborene") betont: Der Sohn der Ungeliebten IST der Erstgeborene – biologisch, rechtlich.</w:t>
      </w:r>
    </w:p>
    <w:p w14:paraId="68FE84AF" w14:textId="0959AADF" w:rsidR="00AA14B9" w:rsidRDefault="00AA14B9" w:rsidP="00AA14B9">
      <w:pPr>
        <w:pStyle w:val="whitespace-normal"/>
      </w:pPr>
      <w:r>
        <w:t>Das Gesetz schützt das objektive Erbrecht gegen subjektive Vorlieben. Der Vater darf seine emotionale Präferenz für die Geliebte nicht auf die nächste Generation übertragen. V. 17 wird das Recht des Erstgeborenen positiv definieren.</w:t>
      </w:r>
    </w:p>
    <w:p w14:paraId="4FFCEF2C" w14:textId="2E758F97" w:rsidR="00D00836" w:rsidRDefault="00D00836" w:rsidP="00AA14B9">
      <w:pPr>
        <w:pStyle w:val="whitespace-normal"/>
      </w:pPr>
      <w:r>
        <w:rPr>
          <w:rStyle w:val="Fett"/>
        </w:rPr>
        <w:t>Die LXX</w:t>
      </w:r>
      <w:r>
        <w:t xml:space="preserve"> übersetzt </w:t>
      </w:r>
      <w:r>
        <w:rPr>
          <w:rtl/>
        </w:rPr>
        <w:t>לְבַכֵּר</w:t>
      </w:r>
      <w:r>
        <w:t xml:space="preserve"> (zum Erstgeborenen machen) mit π</w:t>
      </w:r>
      <w:proofErr w:type="spellStart"/>
      <w:r>
        <w:t>ρωτοτοκεῦσ</w:t>
      </w:r>
      <w:proofErr w:type="spellEnd"/>
      <w:r>
        <w:t>αι (als Erstgeborenen behandeln) – ein griechisches Denominativverb. Die Wendung ὑπ</w:t>
      </w:r>
      <w:proofErr w:type="spellStart"/>
      <w:r>
        <w:t>εριδών</w:t>
      </w:r>
      <w:proofErr w:type="spellEnd"/>
      <w:r>
        <w:t xml:space="preserve"> (übersehend, ignorierend) für </w:t>
      </w:r>
      <w:r>
        <w:rPr>
          <w:rtl/>
        </w:rPr>
        <w:t>עַל־פְּנֵי</w:t>
      </w:r>
      <w:r>
        <w:t xml:space="preserve"> (vor dem Angesicht von) ist eine interpretierende Übersetzung.</w:t>
      </w:r>
    </w:p>
    <w:p w14:paraId="07350F49" w14:textId="77777777" w:rsidR="00AA14B9" w:rsidRDefault="00AA14B9" w:rsidP="00AA14B9">
      <w:pPr>
        <w:pStyle w:val="whitespace-normal"/>
      </w:pPr>
      <w:r>
        <w:rPr>
          <w:rStyle w:val="Fett"/>
          <w:rFonts w:eastAsiaTheme="majorEastAsia"/>
        </w:rPr>
        <w:t>Die Satzstruktur:</w:t>
      </w:r>
      <w:r>
        <w:t xml:space="preserve"> Temporale Einleitung mit Verbot (und es wird sein an dem Tag, wenn erben lässt er seine Söhne, was sein wird ihm: nicht darf er zum Erstgeborenen machen den Sohn der Geliebten anstelle des Sohnes der Gehassten, des Erstgeborenen).</w:t>
      </w:r>
    </w:p>
    <w:p w14:paraId="1998119A" w14:textId="77777777" w:rsidR="00AA14B9" w:rsidRDefault="00AA14B9" w:rsidP="00AA14B9">
      <w:pPr>
        <w:pStyle w:val="whitespace-normal"/>
      </w:pPr>
      <w:r>
        <w:t>Der Vers verbietet: An dem Tag, wenn er das Erbe verteilt – er darf den Sohn der Geliebten nicht zum Erstgeborenen machen anstelle des tatsächlichen Erstgeborenen.</w:t>
      </w:r>
    </w:p>
    <w:p w14:paraId="79E80F9E" w14:textId="77777777" w:rsidR="00AA14B9" w:rsidRPr="00B27A64" w:rsidRDefault="00AA14B9" w:rsidP="00AA14B9">
      <w:pPr>
        <w:pStyle w:val="berschrift1"/>
        <w:rPr>
          <w:rFonts w:ascii="Times New Roman" w:hAnsi="Times New Roman"/>
          <w:color w:val="auto"/>
          <w:sz w:val="36"/>
          <w:szCs w:val="36"/>
        </w:rPr>
      </w:pPr>
      <w:r w:rsidRPr="00B27A64">
        <w:rPr>
          <w:rStyle w:val="Fett"/>
          <w:rFonts w:ascii="Times New Roman" w:hAnsi="Times New Roman"/>
          <w:color w:val="auto"/>
          <w:sz w:val="36"/>
          <w:szCs w:val="36"/>
        </w:rPr>
        <w:lastRenderedPageBreak/>
        <w:t>Deuteronomium 21,17</w:t>
      </w:r>
    </w:p>
    <w:p w14:paraId="56AC15F6" w14:textId="77777777" w:rsidR="00AA14B9" w:rsidRDefault="00AA14B9" w:rsidP="00AA14B9">
      <w:pPr>
        <w:pStyle w:val="whitespace-normal"/>
      </w:pPr>
      <w:r>
        <w:rPr>
          <w:rStyle w:val="Fett"/>
          <w:rFonts w:eastAsiaTheme="majorEastAsia"/>
        </w:rPr>
        <w:t>Hebräisch:</w:t>
      </w:r>
      <w:r>
        <w:t xml:space="preserve"> </w:t>
      </w:r>
      <w:r>
        <w:rPr>
          <w:rtl/>
        </w:rPr>
        <w:t>כִּי֩ אֶת־הַבְּכֹ֨ר בֶּן־הַשְּׂנוּאָ֜ה יַכִּ֗יר לָ֤תֶת לוֹ֙ פִּ֣י שְׁנַ֔יִם בְּכֹ֥ל אֲשֶׁר־יִמָּצֵ֖א לוֹ֑ כִּי־הוּא֙ רֵאשִׁ֣ית אֹנֹ֔ו לוֹ֖ מִשְׁפַּ֥ט הַבְּכֹרָֽה׃</w:t>
      </w:r>
    </w:p>
    <w:p w14:paraId="22D3580F" w14:textId="77777777" w:rsidR="00AA14B9" w:rsidRDefault="00AA14B9" w:rsidP="00AA14B9">
      <w:pPr>
        <w:pStyle w:val="whitespace-normal"/>
      </w:pPr>
      <w:r>
        <w:rPr>
          <w:rStyle w:val="Fett"/>
          <w:rFonts w:eastAsiaTheme="majorEastAsia"/>
        </w:rPr>
        <w:t>Deutsch:</w:t>
      </w:r>
      <w:r>
        <w:t xml:space="preserve"> sondern den Erstgeborenen, den Sohn der gehassten, soll er anerkennen, dass er ihm zwei Teile von allem gibt, was bei ihm gefunden wird; denn er ist der Erstling seiner Kraft, ihm gehört das Recht der Erstgeburt.</w:t>
      </w:r>
    </w:p>
    <w:p w14:paraId="20E5FB30" w14:textId="77777777" w:rsidR="00AA14B9" w:rsidRDefault="004F5CEB" w:rsidP="00AA14B9">
      <w:r>
        <w:rPr>
          <w:noProof/>
        </w:rPr>
        <w:pict w14:anchorId="27B057FA">
          <v:rect id="_x0000_i1589" style="width:0;height:1.5pt" o:hralign="center" o:hrstd="t" o:hr="t" fillcolor="#a0a0a0" stroked="f"/>
        </w:pict>
      </w:r>
    </w:p>
    <w:p w14:paraId="31E21BB5" w14:textId="77777777" w:rsidR="00AA14B9" w:rsidRDefault="00AA14B9" w:rsidP="00AA14B9">
      <w:pPr>
        <w:pStyle w:val="whitespace-normal"/>
      </w:pPr>
      <w:r>
        <w:rPr>
          <w:rStyle w:val="Fett"/>
          <w:rFonts w:eastAsiaTheme="majorEastAsia"/>
        </w:rPr>
        <w:t>Kommentar:</w:t>
      </w:r>
      <w:r>
        <w:t xml:space="preserve"> </w:t>
      </w:r>
      <w:r>
        <w:rPr>
          <w:rStyle w:val="Fett"/>
          <w:rFonts w:eastAsiaTheme="majorEastAsia"/>
          <w:rtl/>
        </w:rPr>
        <w:t>כִּי אֶת־הַבְּכֹר בֶּן־הַשְּׂנוּאָה יַכִּיר לָתֶת לוֹ פִּי שְׁנַיִם בְּכֹל אֲשֶׁר־יִמָּצֵא לוֹ</w:t>
      </w:r>
      <w:r>
        <w:rPr>
          <w:rtl/>
        </w:rPr>
        <w:t xml:space="preserve"> </w:t>
      </w:r>
      <w:r>
        <w:t xml:space="preserve">ist die positive Anweisung: </w:t>
      </w:r>
      <w:r>
        <w:rPr>
          <w:rStyle w:val="Fett"/>
          <w:rFonts w:eastAsiaTheme="majorEastAsia"/>
          <w:rtl/>
        </w:rPr>
        <w:t>כִּי</w:t>
      </w:r>
      <w:r>
        <w:rPr>
          <w:rtl/>
        </w:rPr>
        <w:t xml:space="preserve"> </w:t>
      </w:r>
      <w:r>
        <w:t xml:space="preserve">(„sondern, vielmehr" – adversativ nach Negation), </w:t>
      </w:r>
      <w:r>
        <w:rPr>
          <w:rStyle w:val="Fett"/>
          <w:rFonts w:eastAsiaTheme="majorEastAsia"/>
          <w:rtl/>
        </w:rPr>
        <w:t>אֶת־הַבְּכֹר בֶּן־הַשְּׂנוּאָה יַכִּיר</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בְּכוֹר</w:t>
      </w:r>
      <w:r>
        <w:rPr>
          <w:rtl/>
        </w:rPr>
        <w:t xml:space="preserve"> </w:t>
      </w:r>
      <w:r>
        <w:t xml:space="preserve">mit Artikel, </w:t>
      </w:r>
      <w:r>
        <w:rPr>
          <w:rStyle w:val="Fett"/>
          <w:rFonts w:eastAsiaTheme="majorEastAsia"/>
          <w:rtl/>
        </w:rPr>
        <w:t>בֶּן־הַשְּׂנוּאָה</w:t>
      </w:r>
      <w:r>
        <w:rPr>
          <w:rtl/>
        </w:rPr>
        <w:t xml:space="preserve"> </w:t>
      </w:r>
      <w:r>
        <w:t xml:space="preserve">als Apposition, </w:t>
      </w:r>
      <w:r>
        <w:rPr>
          <w:rStyle w:val="Fett"/>
          <w:rFonts w:eastAsiaTheme="majorEastAsia"/>
          <w:rtl/>
        </w:rPr>
        <w:t>נכר</w:t>
      </w:r>
      <w:r>
        <w:t xml:space="preserve">, Hiphil Imperfekt, 3. Person Maskulinum Singular, „anerkennen, als solchen behandeln" – das Hiphil von </w:t>
      </w:r>
      <w:r>
        <w:rPr>
          <w:rStyle w:val="Fett"/>
          <w:rFonts w:eastAsiaTheme="majorEastAsia"/>
          <w:rtl/>
        </w:rPr>
        <w:t>נכר</w:t>
      </w:r>
      <w:r>
        <w:rPr>
          <w:rtl/>
        </w:rPr>
        <w:t xml:space="preserve"> </w:t>
      </w:r>
      <w:r>
        <w:t xml:space="preserve">bedeutet „als solchen kenntlich machen, anerkennen, rechtlich anerkennen"), </w:t>
      </w:r>
      <w:r>
        <w:rPr>
          <w:rStyle w:val="Fett"/>
          <w:rFonts w:eastAsiaTheme="majorEastAsia"/>
          <w:rtl/>
        </w:rPr>
        <w:t>לָתֶת לוֹ פִּי שְׁנַיִם</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נתן</w:t>
      </w:r>
      <w:r>
        <w:t xml:space="preserve">, „geben", </w:t>
      </w:r>
      <w:r>
        <w:rPr>
          <w:rStyle w:val="Fett"/>
          <w:rFonts w:eastAsiaTheme="majorEastAsia"/>
          <w:rtl/>
        </w:rPr>
        <w:t>לוֹ</w:t>
      </w:r>
      <w:r>
        <w:t xml:space="preserve">, </w:t>
      </w:r>
      <w:r>
        <w:rPr>
          <w:rStyle w:val="Fett"/>
          <w:rFonts w:eastAsiaTheme="majorEastAsia"/>
          <w:rtl/>
        </w:rPr>
        <w:t>פֶּה</w:t>
      </w:r>
      <w:r>
        <w:t xml:space="preserve">, „Mund" – hier: „Teil, Portion", Construct mit </w:t>
      </w:r>
      <w:r>
        <w:rPr>
          <w:rStyle w:val="Fett"/>
          <w:rFonts w:eastAsiaTheme="majorEastAsia"/>
          <w:rtl/>
        </w:rPr>
        <w:t>שְׁנַיִם</w:t>
      </w:r>
      <w:r>
        <w:t xml:space="preserve">, „zwei" – </w:t>
      </w:r>
      <w:r>
        <w:rPr>
          <w:rStyle w:val="Fett"/>
          <w:rFonts w:eastAsiaTheme="majorEastAsia"/>
          <w:rtl/>
        </w:rPr>
        <w:t>פִּי שְׁנַיִם</w:t>
      </w:r>
      <w:r>
        <w:rPr>
          <w:rtl/>
        </w:rPr>
        <w:t xml:space="preserve"> </w:t>
      </w:r>
      <w:r>
        <w:t xml:space="preserve">= „zwei Teile, doppelter Anteil"), </w:t>
      </w:r>
      <w:r>
        <w:rPr>
          <w:rStyle w:val="Fett"/>
          <w:rFonts w:eastAsiaTheme="majorEastAsia"/>
          <w:rtl/>
        </w:rPr>
        <w:t>בְּכֹל אֲשֶׁר־יִמָּצֵא לוֹ</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כֹּל</w:t>
      </w:r>
      <w:r>
        <w:t xml:space="preserve">, Construct mit Relativsatz: </w:t>
      </w:r>
      <w:r>
        <w:rPr>
          <w:rStyle w:val="Fett"/>
          <w:rFonts w:eastAsiaTheme="majorEastAsia"/>
          <w:rtl/>
        </w:rPr>
        <w:t>אֲשֶׁר</w:t>
      </w:r>
      <w:r>
        <w:rPr>
          <w:rtl/>
        </w:rPr>
        <w:t xml:space="preserve"> </w:t>
      </w:r>
      <w:r>
        <w:t xml:space="preserve">mit </w:t>
      </w:r>
      <w:r>
        <w:rPr>
          <w:rStyle w:val="Fett"/>
          <w:rFonts w:eastAsiaTheme="majorEastAsia"/>
          <w:rtl/>
        </w:rPr>
        <w:t>מצא</w:t>
      </w:r>
      <w:r>
        <w:t xml:space="preserve">, Niphal Imperfekt, 3. Person Maskulinum Singular, „gefunden werden" – hier: „vorhanden sein", </w:t>
      </w:r>
      <w:r>
        <w:rPr>
          <w:rStyle w:val="Fett"/>
          <w:rFonts w:eastAsiaTheme="majorEastAsia"/>
          <w:rtl/>
        </w:rPr>
        <w:t>לוֹ</w:t>
      </w:r>
      <w:r>
        <w:t>).</w:t>
      </w:r>
    </w:p>
    <w:p w14:paraId="4A4DBC3B" w14:textId="7995F219" w:rsidR="00AA14B9" w:rsidRDefault="00AA14B9" w:rsidP="00AA14B9">
      <w:pPr>
        <w:pStyle w:val="whitespace-normal"/>
      </w:pPr>
      <w:r>
        <w:rPr>
          <w:rStyle w:val="Fett"/>
          <w:rFonts w:eastAsiaTheme="majorEastAsia"/>
          <w:rtl/>
        </w:rPr>
        <w:t>כִּי־הוּא רֵאשִׁית אֹנוֹ לוֹ מִשְׁפַּט הַבְּכֹרָה</w:t>
      </w:r>
      <w:r>
        <w:rPr>
          <w:rtl/>
        </w:rPr>
        <w:t xml:space="preserve"> </w:t>
      </w:r>
      <w:r>
        <w:t xml:space="preserve">ist die Begründung: </w:t>
      </w:r>
      <w:r>
        <w:rPr>
          <w:rStyle w:val="Fett"/>
          <w:rFonts w:eastAsiaTheme="majorEastAsia"/>
          <w:rtl/>
        </w:rPr>
        <w:t>כִּי־הוּא</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הוּא</w:t>
      </w:r>
      <w:r>
        <w:t xml:space="preserve">), </w:t>
      </w:r>
      <w:r>
        <w:rPr>
          <w:rStyle w:val="Fett"/>
          <w:rFonts w:eastAsiaTheme="majorEastAsia"/>
          <w:rtl/>
        </w:rPr>
        <w:t>רֵאשִׁית אֹנוֹ</w:t>
      </w:r>
      <w:r>
        <w:rPr>
          <w:rtl/>
        </w:rPr>
        <w:t xml:space="preserve"> </w:t>
      </w:r>
      <w:r>
        <w:t>(</w:t>
      </w:r>
      <w:r>
        <w:rPr>
          <w:rStyle w:val="Fett"/>
          <w:rFonts w:eastAsiaTheme="majorEastAsia"/>
          <w:rtl/>
        </w:rPr>
        <w:t>רֵאשִׁית</w:t>
      </w:r>
      <w:r>
        <w:t xml:space="preserve">, „Anfang, Erstling, Erste", Construct mit </w:t>
      </w:r>
      <w:r>
        <w:rPr>
          <w:rStyle w:val="Fett"/>
          <w:rFonts w:eastAsiaTheme="majorEastAsia"/>
          <w:rtl/>
        </w:rPr>
        <w:t>אוֹן</w:t>
      </w:r>
      <w:r>
        <w:t xml:space="preserve">, „Kraft, Stärke, Zeugungskraft" – biblischer Euphemismus für männliche Potenz, mit Suffix 3. Person Maskulinum Singular), </w:t>
      </w:r>
      <w:r>
        <w:rPr>
          <w:rStyle w:val="Fett"/>
          <w:rFonts w:eastAsiaTheme="majorEastAsia"/>
          <w:rtl/>
        </w:rPr>
        <w:t>לוֹ מִשְׁפַּט הַבְּכֹרָה</w:t>
      </w:r>
      <w:r>
        <w:rPr>
          <w:rtl/>
        </w:rPr>
        <w:t xml:space="preserve"> </w:t>
      </w:r>
      <w:r>
        <w:t>(</w:t>
      </w:r>
      <w:r>
        <w:rPr>
          <w:rStyle w:val="Fett"/>
          <w:rFonts w:eastAsiaTheme="majorEastAsia"/>
          <w:rtl/>
        </w:rPr>
        <w:t>לוֹ</w:t>
      </w:r>
      <w:r>
        <w:t xml:space="preserve">, Dativ, </w:t>
      </w:r>
      <w:r>
        <w:rPr>
          <w:rStyle w:val="Fett"/>
          <w:rFonts w:eastAsiaTheme="majorEastAsia"/>
          <w:rtl/>
        </w:rPr>
        <w:t>מִשְׁפָּט</w:t>
      </w:r>
      <w:r>
        <w:t xml:space="preserve">, „Recht, Rechtsanspruch", Construct mit </w:t>
      </w:r>
      <w:r>
        <w:rPr>
          <w:rStyle w:val="Fett"/>
          <w:rFonts w:eastAsiaTheme="majorEastAsia"/>
          <w:rtl/>
        </w:rPr>
        <w:t>בְּכֹרָה</w:t>
      </w:r>
      <w:r>
        <w:t xml:space="preserve">, „Erstgeburt, Erstgeburtsrecht" – nur hier und Gen 25,31.32.33.34; 27,36; 43,33; </w:t>
      </w:r>
      <w:r w:rsidR="00664EB6">
        <w:t>1Chr</w:t>
      </w:r>
      <w:r>
        <w:t xml:space="preserve"> 5,1.2).</w:t>
      </w:r>
    </w:p>
    <w:p w14:paraId="233AF63B" w14:textId="61B5BD90" w:rsidR="00AA14B9" w:rsidRDefault="00AA14B9" w:rsidP="00AA14B9">
      <w:pPr>
        <w:pStyle w:val="whitespace-normal"/>
      </w:pPr>
      <w:r>
        <w:t xml:space="preserve">Der Vers definiert positiv das Recht des Erstgeborenen: (1) </w:t>
      </w:r>
      <w:r>
        <w:rPr>
          <w:rStyle w:val="Fett"/>
          <w:rFonts w:eastAsiaTheme="majorEastAsia"/>
          <w:rtl/>
        </w:rPr>
        <w:t>יַכִּיר</w:t>
      </w:r>
      <w:r>
        <w:rPr>
          <w:rtl/>
        </w:rPr>
        <w:t xml:space="preserve"> </w:t>
      </w:r>
      <w:r>
        <w:t xml:space="preserve">(„er soll anerkennen") – das Verb </w:t>
      </w:r>
      <w:r>
        <w:rPr>
          <w:rStyle w:val="Fett"/>
          <w:rFonts w:eastAsiaTheme="majorEastAsia"/>
          <w:rtl/>
        </w:rPr>
        <w:t>נכר</w:t>
      </w:r>
      <w:r>
        <w:rPr>
          <w:rtl/>
        </w:rPr>
        <w:t xml:space="preserve"> </w:t>
      </w:r>
      <w:r>
        <w:t xml:space="preserve">im Hiphil bedeutet „rechtlich/öffentlich anerkennen" (vgl. Gen 37,33; 38,25.26; 42,7.8; Dtn 21,17; 32,27; 33,9; Ruth 2,10.19; 3,14; </w:t>
      </w:r>
      <w:r w:rsidR="00664EB6">
        <w:t>1Kön</w:t>
      </w:r>
      <w:r>
        <w:t xml:space="preserve"> 18,7; 20,41; Hiob 4,16; 7,10; 21,29; 24,13.17; Spr 26,24; Ps 142,5). Er muss den Erstgeborenen der Ungeliebten öffentlich/rechtlich als Erstgeborenen anerkennen.</w:t>
      </w:r>
    </w:p>
    <w:p w14:paraId="28050443" w14:textId="77777777" w:rsidR="00AA14B9" w:rsidRDefault="00AA14B9" w:rsidP="00AA14B9">
      <w:pPr>
        <w:pStyle w:val="whitespace-normal"/>
      </w:pPr>
      <w:r>
        <w:t xml:space="preserve">(2) </w:t>
      </w:r>
      <w:r>
        <w:rPr>
          <w:rStyle w:val="Fett"/>
          <w:rFonts w:eastAsiaTheme="majorEastAsia"/>
          <w:rtl/>
        </w:rPr>
        <w:t>לָתֶת לוֹ פִּי שְׁנַיִם בְּכֹל אֲשֶׁר־יִמָּצֵא לוֹ</w:t>
      </w:r>
      <w:r>
        <w:rPr>
          <w:rtl/>
        </w:rPr>
        <w:t xml:space="preserve"> </w:t>
      </w:r>
      <w:r>
        <w:t xml:space="preserve">(„ihm zu geben zwei Teile von allem, was vorhanden ist bei ihm") – der Erstgeborene erhält </w:t>
      </w:r>
      <w:r>
        <w:rPr>
          <w:rStyle w:val="Fett"/>
          <w:rFonts w:eastAsiaTheme="majorEastAsia"/>
          <w:rtl/>
        </w:rPr>
        <w:t>פִּי שְׁנַיִם</w:t>
      </w:r>
      <w:r>
        <w:rPr>
          <w:rtl/>
        </w:rPr>
        <w:t xml:space="preserve"> </w:t>
      </w:r>
      <w:r>
        <w:t xml:space="preserve">(„zwei Teile", wörtlich: „Mund von zwei" = doppelter Anteil). Dies bedeutet nicht „zwei Drittel", sondern: Wenn es z.B. drei Söhne gibt, wird das Erbe in vier Teile geteilt – der Erstgeborene erhält zwei Teile, die anderen je einen. Wenn es zwei Söhne gibt, wird in drei Teile geteilt – der Erstgeborene erhält zwei, der andere einen. Die Formulierung </w:t>
      </w:r>
      <w:r>
        <w:rPr>
          <w:rStyle w:val="Fett"/>
          <w:rFonts w:eastAsiaTheme="majorEastAsia"/>
          <w:rtl/>
        </w:rPr>
        <w:t>בְּכֹל אֲשֶׁר־יִמָּצֵא לוֹ</w:t>
      </w:r>
      <w:r>
        <w:rPr>
          <w:rtl/>
        </w:rPr>
        <w:t xml:space="preserve"> </w:t>
      </w:r>
      <w:r>
        <w:t>(„von allem, was vorhanden ist bei ihm") bezeichnet den gesamten Nachlass.</w:t>
      </w:r>
    </w:p>
    <w:p w14:paraId="6381351C" w14:textId="77777777" w:rsidR="00AA14B9" w:rsidRDefault="00AA14B9" w:rsidP="00AA14B9">
      <w:pPr>
        <w:pStyle w:val="whitespace-normal"/>
      </w:pPr>
      <w:r>
        <w:t xml:space="preserve">(3) Die Begründung: </w:t>
      </w:r>
      <w:r>
        <w:rPr>
          <w:rStyle w:val="Fett"/>
          <w:rFonts w:eastAsiaTheme="majorEastAsia"/>
          <w:rtl/>
        </w:rPr>
        <w:t>כִּי־הוּא רֵאשִׁית אֹנוֹ</w:t>
      </w:r>
      <w:r>
        <w:rPr>
          <w:rtl/>
        </w:rPr>
        <w:t xml:space="preserve"> </w:t>
      </w:r>
      <w:r>
        <w:t xml:space="preserve">(„denn er ist der Erstling seiner Kraft"). Das Wort </w:t>
      </w:r>
      <w:r>
        <w:rPr>
          <w:rStyle w:val="Fett"/>
          <w:rFonts w:eastAsiaTheme="majorEastAsia"/>
          <w:rtl/>
        </w:rPr>
        <w:t>אוֹן</w:t>
      </w:r>
      <w:r>
        <w:rPr>
          <w:rtl/>
        </w:rPr>
        <w:t xml:space="preserve"> </w:t>
      </w:r>
      <w:r>
        <w:t xml:space="preserve">(„Kraft, Stärke") bezeichnet hier speziell männliche Zeugungskraft (vgl. Gen 49,3: </w:t>
      </w:r>
      <w:r>
        <w:rPr>
          <w:rStyle w:val="Fett"/>
          <w:rFonts w:eastAsiaTheme="majorEastAsia"/>
          <w:rtl/>
        </w:rPr>
        <w:t>רְאוּבֵן בְּכֹרִי אַתָּה כֹּחִי וְרֵאשִׁית אוֹנִי</w:t>
      </w:r>
      <w:r>
        <w:t xml:space="preserve">, „Ruben, mein Erstgeborener bist du, meine Kraft und der Erstling meiner Stärke"; Ps 78,51; 105,36; Hos 9,4). Der Erstgeborene ist der Beweis der Zeugungskraft des Vaters – daher hat er einen besonderen Status. (4) </w:t>
      </w:r>
      <w:r>
        <w:rPr>
          <w:rStyle w:val="Fett"/>
          <w:rFonts w:eastAsiaTheme="majorEastAsia"/>
          <w:rtl/>
        </w:rPr>
        <w:t>לוֹ מִשְׁפַּט הַבְּכֹרָה</w:t>
      </w:r>
      <w:r>
        <w:rPr>
          <w:rtl/>
        </w:rPr>
        <w:t xml:space="preserve"> </w:t>
      </w:r>
      <w:r>
        <w:t xml:space="preserve">(„ihm gehört das Recht der Erstgeburt") – </w:t>
      </w:r>
      <w:r>
        <w:rPr>
          <w:rStyle w:val="Fett"/>
          <w:rFonts w:eastAsiaTheme="majorEastAsia"/>
          <w:rtl/>
        </w:rPr>
        <w:t>מִשְׁפַּט</w:t>
      </w:r>
      <w:r>
        <w:rPr>
          <w:rtl/>
        </w:rPr>
        <w:t xml:space="preserve"> </w:t>
      </w:r>
      <w:r>
        <w:t xml:space="preserve">bezeichnet hier nicht allgemeines Recht, sondern einen spezifischen </w:t>
      </w:r>
      <w:r>
        <w:lastRenderedPageBreak/>
        <w:t xml:space="preserve">Rechtsanspruch. </w:t>
      </w:r>
      <w:r>
        <w:rPr>
          <w:rStyle w:val="Fett"/>
          <w:rFonts w:eastAsiaTheme="majorEastAsia"/>
          <w:rtl/>
        </w:rPr>
        <w:t>בְּכֹרָה</w:t>
      </w:r>
      <w:r>
        <w:rPr>
          <w:rtl/>
        </w:rPr>
        <w:t xml:space="preserve"> </w:t>
      </w:r>
      <w:r>
        <w:t>(„Erstgeburt, Erstgeburtsrecht") erscheint nur in Genesis (Esau verkauft es, Gen 25,31-34) und hier.</w:t>
      </w:r>
    </w:p>
    <w:p w14:paraId="6EDF6AE8" w14:textId="5CFA2A75" w:rsidR="00AA14B9" w:rsidRDefault="00AA14B9" w:rsidP="00AA14B9">
      <w:pPr>
        <w:pStyle w:val="whitespace-normal"/>
      </w:pPr>
      <w:r>
        <w:t>Das Gesetz schützt das Erstgeburtsrecht unabhängig von den Gefühlen des Vaters gegenüber den Müttern. Es verhindert Ungerechtigkeit und Familienkonflikte (vgl. die Geschichte von Ruben und Josef in Gen 37-50).</w:t>
      </w:r>
    </w:p>
    <w:p w14:paraId="043BBE59" w14:textId="732EEAF8" w:rsidR="00D00836" w:rsidRDefault="00D00836" w:rsidP="00AA14B9">
      <w:pPr>
        <w:pStyle w:val="whitespace-normal"/>
      </w:pPr>
      <w:r>
        <w:rPr>
          <w:rStyle w:val="Fett"/>
        </w:rPr>
        <w:t>Die LXX</w:t>
      </w:r>
      <w:r>
        <w:t xml:space="preserve"> übersetzt </w:t>
      </w:r>
      <w:r>
        <w:rPr>
          <w:rtl/>
        </w:rPr>
        <w:t>פִּי שְׁנַיִם</w:t>
      </w:r>
      <w:r>
        <w:t xml:space="preserve"> (einen doppelten Anteil, wörtlich: Mund von zwei) mit </w:t>
      </w:r>
      <w:proofErr w:type="spellStart"/>
      <w:r>
        <w:t>δι</w:t>
      </w:r>
      <w:proofErr w:type="spellEnd"/>
      <w:r>
        <w:t>πλᾶ (das Doppelte) – eine direkte griechische Entsprechung ohne die hebräische Metapher.</w:t>
      </w:r>
    </w:p>
    <w:p w14:paraId="0C152A2A" w14:textId="77777777" w:rsidR="00AA14B9" w:rsidRDefault="00AA14B9" w:rsidP="00AA14B9">
      <w:pPr>
        <w:pStyle w:val="whitespace-normal"/>
      </w:pPr>
      <w:r>
        <w:rPr>
          <w:rStyle w:val="Fett"/>
          <w:rFonts w:eastAsiaTheme="majorEastAsia"/>
        </w:rPr>
        <w:t>Die Satzstruktur:</w:t>
      </w:r>
      <w:r>
        <w:t xml:space="preserve"> Positive Anweisung mit Begründung (sondern den Erstgeborenen, den Sohn der Gehassten, anerkennen soll er, um zu geben ihm zwei Teile von allem, was vorhanden ist bei ihm; denn er ist der Erstling seiner Kraft, ihm gehört das Recht der Erstgeburt).</w:t>
      </w:r>
    </w:p>
    <w:p w14:paraId="22FF45AE" w14:textId="77777777" w:rsidR="00AA14B9" w:rsidRDefault="00AA14B9" w:rsidP="00AA14B9">
      <w:pPr>
        <w:pStyle w:val="whitespace-normal"/>
      </w:pPr>
      <w:r>
        <w:t>Der Vers gebietet: Er muss den Erstgeborenen der Ungeliebten anerkennen und ihm den doppelten Anteil geben – denn er ist der Erstling seiner Kraft und hat das Erstgeburtsrecht.</w:t>
      </w:r>
    </w:p>
    <w:p w14:paraId="3620F56F" w14:textId="77777777" w:rsidR="00AA14B9" w:rsidRPr="00B27A64" w:rsidRDefault="00AA14B9" w:rsidP="00AA14B9">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21,18</w:t>
      </w:r>
    </w:p>
    <w:p w14:paraId="29747945" w14:textId="77777777" w:rsidR="00AA14B9" w:rsidRDefault="00AA14B9" w:rsidP="00AA14B9">
      <w:pPr>
        <w:pStyle w:val="whitespace-normal"/>
      </w:pPr>
      <w:r>
        <w:rPr>
          <w:rStyle w:val="Fett"/>
          <w:rFonts w:eastAsiaTheme="majorEastAsia"/>
        </w:rPr>
        <w:t>Hebräisch:</w:t>
      </w:r>
      <w:r>
        <w:t xml:space="preserve"> </w:t>
      </w:r>
      <w:r>
        <w:rPr>
          <w:rtl/>
        </w:rPr>
        <w:t>כִּֽי־יִהְיֶ֣ה לְאִ֗ישׁ בֵּ֚ן סוֹרֵ֣ר וּמוֹרֶ֔ה אֵינֶ֣נּוּ שֹׁמֵ֔עַ בְּק֥וֹל אָבִ֖יו וּבְק֣וֹל אִמֹּ֑ו וְיִסְּר֣וּ אֹתוֹ֔ וְלֹ֥א יִשְׁמַ֖ע אֲלֵיהֶֽם׃</w:t>
      </w:r>
    </w:p>
    <w:p w14:paraId="745D0CA7" w14:textId="77777777" w:rsidR="00AA14B9" w:rsidRDefault="00AA14B9" w:rsidP="00AA14B9">
      <w:pPr>
        <w:pStyle w:val="whitespace-normal"/>
      </w:pPr>
      <w:r>
        <w:rPr>
          <w:rStyle w:val="Fett"/>
          <w:rFonts w:eastAsiaTheme="majorEastAsia"/>
        </w:rPr>
        <w:t>Deutsch:</w:t>
      </w:r>
      <w:r>
        <w:t xml:space="preserve"> Wenn ein Mann einen störrischen und widerspenstigen Sohn hat, der nicht auf die Stimme seines Vaters und auf die Stimme seiner Mutter hört, und sie züchtigen ihn, aber er hört nicht auf sie,</w:t>
      </w:r>
    </w:p>
    <w:p w14:paraId="30BB528A" w14:textId="77777777" w:rsidR="00AA14B9" w:rsidRDefault="004F5CEB" w:rsidP="00AA14B9">
      <w:r>
        <w:rPr>
          <w:noProof/>
        </w:rPr>
        <w:pict w14:anchorId="332BE298">
          <v:rect id="_x0000_i1590" style="width:0;height:1.5pt" o:hralign="center" o:hrstd="t" o:hr="t" fillcolor="#a0a0a0" stroked="f"/>
        </w:pict>
      </w:r>
    </w:p>
    <w:p w14:paraId="1D5A32F4" w14:textId="77777777" w:rsidR="00AA14B9" w:rsidRDefault="00AA14B9" w:rsidP="00AA14B9">
      <w:pPr>
        <w:pStyle w:val="whitespace-normal"/>
      </w:pPr>
      <w:r>
        <w:rPr>
          <w:rStyle w:val="Fett"/>
          <w:rFonts w:eastAsiaTheme="majorEastAsia"/>
        </w:rPr>
        <w:t>Kommentar:</w:t>
      </w:r>
      <w:r>
        <w:t xml:space="preserve"> </w:t>
      </w:r>
      <w:r>
        <w:rPr>
          <w:rStyle w:val="Fett"/>
          <w:rFonts w:eastAsiaTheme="majorEastAsia"/>
          <w:rtl/>
        </w:rPr>
        <w:t>כִּי־יִהְיֶה לְאִישׁ בֵּן סוֹרֵר וּמוֹרֶה אֵינֶנּוּ שֹׁמֵעַ בְּקוֹל אָבִיו וּבְקוֹל אִמּוֹ</w:t>
      </w:r>
      <w:r>
        <w:rPr>
          <w:rtl/>
        </w:rPr>
        <w:t xml:space="preserve"> </w:t>
      </w:r>
      <w:r>
        <w:t xml:space="preserve">ist ein konditionaler Satz: </w:t>
      </w:r>
      <w:r>
        <w:rPr>
          <w:rStyle w:val="Fett"/>
          <w:rFonts w:eastAsiaTheme="majorEastAsia"/>
          <w:rtl/>
        </w:rPr>
        <w:t>כִּי־יִהְיֶה</w:t>
      </w:r>
      <w:r>
        <w:rPr>
          <w:rtl/>
        </w:rPr>
        <w:t xml:space="preserve"> </w:t>
      </w:r>
      <w:r>
        <w:t>(</w:t>
      </w:r>
      <w:r>
        <w:rPr>
          <w:rStyle w:val="Fett"/>
          <w:rFonts w:eastAsiaTheme="majorEastAsia"/>
          <w:rtl/>
        </w:rPr>
        <w:t>כִּי</w:t>
      </w:r>
      <w:r>
        <w:t xml:space="preserve">, „wenn", mit </w:t>
      </w:r>
      <w:r>
        <w:rPr>
          <w:rStyle w:val="Fett"/>
          <w:rFonts w:eastAsiaTheme="majorEastAsia"/>
          <w:rtl/>
        </w:rPr>
        <w:t>היה</w:t>
      </w:r>
      <w:r>
        <w:t xml:space="preserve">, Qal Imperfekt, 3. Person Maskulinum Singular, „sein"), </w:t>
      </w:r>
      <w:r>
        <w:rPr>
          <w:rStyle w:val="Fett"/>
          <w:rFonts w:eastAsiaTheme="majorEastAsia"/>
          <w:rtl/>
        </w:rPr>
        <w:t>לְאִישׁ</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אִישׁ</w:t>
      </w:r>
      <w:r>
        <w:rPr>
          <w:rtl/>
        </w:rPr>
        <w:t xml:space="preserve"> </w:t>
      </w:r>
      <w:r>
        <w:t xml:space="preserve">– „einem Mann" als Dativ des Besitzes), </w:t>
      </w:r>
      <w:r>
        <w:rPr>
          <w:rStyle w:val="Fett"/>
          <w:rFonts w:eastAsiaTheme="majorEastAsia"/>
          <w:rtl/>
        </w:rPr>
        <w:t>בֵּן סוֹרֵר וּמוֹרֶה</w:t>
      </w:r>
      <w:r>
        <w:rPr>
          <w:rtl/>
        </w:rPr>
        <w:t xml:space="preserve"> </w:t>
      </w:r>
      <w:r>
        <w:t>(</w:t>
      </w:r>
      <w:r>
        <w:rPr>
          <w:rStyle w:val="Fett"/>
          <w:rFonts w:eastAsiaTheme="majorEastAsia"/>
          <w:rtl/>
        </w:rPr>
        <w:t>בֵּן</w:t>
      </w:r>
      <w:r>
        <w:t xml:space="preserve">, Qal Partizip von </w:t>
      </w:r>
      <w:r>
        <w:rPr>
          <w:rStyle w:val="Fett"/>
          <w:rFonts w:eastAsiaTheme="majorEastAsia"/>
          <w:rtl/>
        </w:rPr>
        <w:t>סרר</w:t>
      </w:r>
      <w:r>
        <w:t xml:space="preserve">, „widerspenstig/störrisch sein", koordiniert durch </w:t>
      </w:r>
      <w:r>
        <w:rPr>
          <w:rStyle w:val="Fett"/>
          <w:rFonts w:eastAsiaTheme="majorEastAsia"/>
          <w:rtl/>
        </w:rPr>
        <w:t>וּ</w:t>
      </w:r>
      <w:r>
        <w:rPr>
          <w:rtl/>
        </w:rPr>
        <w:t xml:space="preserve"> </w:t>
      </w:r>
      <w:r>
        <w:t xml:space="preserve">mit Qal Partizip von </w:t>
      </w:r>
      <w:r>
        <w:rPr>
          <w:rStyle w:val="Fett"/>
          <w:rFonts w:eastAsiaTheme="majorEastAsia"/>
          <w:rtl/>
        </w:rPr>
        <w:t>מרה</w:t>
      </w:r>
      <w:r>
        <w:t xml:space="preserve">, „sich widersetzen, rebellieren" – beide Partizipien als Attribute zu </w:t>
      </w:r>
      <w:r>
        <w:rPr>
          <w:rStyle w:val="Fett"/>
          <w:rFonts w:eastAsiaTheme="majorEastAsia"/>
          <w:rtl/>
        </w:rPr>
        <w:t>בֵּן</w:t>
      </w:r>
      <w:r>
        <w:t xml:space="preserve">), </w:t>
      </w:r>
      <w:r>
        <w:rPr>
          <w:rStyle w:val="Fett"/>
          <w:rFonts w:eastAsiaTheme="majorEastAsia"/>
          <w:rtl/>
        </w:rPr>
        <w:t>אֵינֶנּוּ שֹׁמֵעַ בְּקוֹל אָבִיו וּבְקוֹל אִמּוֹ</w:t>
      </w:r>
      <w:r>
        <w:rPr>
          <w:rtl/>
        </w:rPr>
        <w:t xml:space="preserve"> </w:t>
      </w:r>
      <w:r>
        <w:t>(</w:t>
      </w:r>
      <w:r>
        <w:rPr>
          <w:rStyle w:val="Fett"/>
          <w:rFonts w:eastAsiaTheme="majorEastAsia"/>
          <w:rtl/>
        </w:rPr>
        <w:t>אֵין</w:t>
      </w:r>
      <w:r>
        <w:t xml:space="preserve">, „nicht sein", mit Suffix 3. Person Maskulinum Singular – „er ist nicht", Qal Partizip von </w:t>
      </w:r>
      <w:r>
        <w:rPr>
          <w:rStyle w:val="Fett"/>
          <w:rFonts w:eastAsiaTheme="majorEastAsia"/>
          <w:rtl/>
        </w:rPr>
        <w:t>שׁמע</w:t>
      </w:r>
      <w:r>
        <w:t xml:space="preserve">, „hören, gehorchen", </w:t>
      </w:r>
      <w:r>
        <w:rPr>
          <w:rStyle w:val="Fett"/>
          <w:rFonts w:eastAsiaTheme="majorEastAsia"/>
          <w:rtl/>
        </w:rPr>
        <w:t>בְּקוֹל</w:t>
      </w:r>
      <w:r>
        <w:t xml:space="preserve">, Präposition </w:t>
      </w:r>
      <w:r>
        <w:rPr>
          <w:rStyle w:val="Fett"/>
          <w:rFonts w:eastAsiaTheme="majorEastAsia"/>
          <w:rtl/>
        </w:rPr>
        <w:t>בְּ</w:t>
      </w:r>
      <w:r>
        <w:rPr>
          <w:rtl/>
        </w:rPr>
        <w:t xml:space="preserve"> </w:t>
      </w:r>
      <w:r>
        <w:t xml:space="preserve">mit </w:t>
      </w:r>
      <w:r>
        <w:rPr>
          <w:rStyle w:val="Fett"/>
          <w:rFonts w:eastAsiaTheme="majorEastAsia"/>
          <w:rtl/>
        </w:rPr>
        <w:t>קוֹל</w:t>
      </w:r>
      <w:r>
        <w:t xml:space="preserve">, „Stimme", Construct mit </w:t>
      </w:r>
      <w:r>
        <w:rPr>
          <w:rStyle w:val="Fett"/>
          <w:rFonts w:eastAsiaTheme="majorEastAsia"/>
          <w:rtl/>
        </w:rPr>
        <w:t>אָב</w:t>
      </w:r>
      <w:r>
        <w:rPr>
          <w:rtl/>
        </w:rPr>
        <w:t xml:space="preserve"> </w:t>
      </w:r>
      <w:r>
        <w:t xml:space="preserve">mit Suffix 3. Person Maskulinum Singular, koordiniert durch </w:t>
      </w:r>
      <w:r>
        <w:rPr>
          <w:rStyle w:val="Fett"/>
          <w:rFonts w:eastAsiaTheme="majorEastAsia"/>
          <w:rtl/>
        </w:rPr>
        <w:t>וּ</w:t>
      </w:r>
      <w:r>
        <w:rPr>
          <w:rtl/>
        </w:rPr>
        <w:t xml:space="preserve"> </w:t>
      </w:r>
      <w:r>
        <w:t xml:space="preserve">mit </w:t>
      </w:r>
      <w:r>
        <w:rPr>
          <w:rStyle w:val="Fett"/>
          <w:rFonts w:eastAsiaTheme="majorEastAsia"/>
          <w:rtl/>
        </w:rPr>
        <w:t>בְּקוֹל אִמּוֹ</w:t>
      </w:r>
      <w:r>
        <w:t>).</w:t>
      </w:r>
    </w:p>
    <w:p w14:paraId="286184AC" w14:textId="77777777" w:rsidR="00AA14B9" w:rsidRDefault="00AA14B9" w:rsidP="00AA14B9">
      <w:pPr>
        <w:pStyle w:val="whitespace-normal"/>
      </w:pPr>
      <w:r>
        <w:rPr>
          <w:rStyle w:val="Fett"/>
          <w:rFonts w:eastAsiaTheme="majorEastAsia"/>
          <w:rtl/>
        </w:rPr>
        <w:t>וְיִסְּרוּ אֹתוֹ וְלֹא יִשְׁמַע אֲלֵיהֶם</w:t>
      </w:r>
      <w:r>
        <w:rPr>
          <w:rtl/>
        </w:rPr>
        <w:t xml:space="preserve"> </w:t>
      </w:r>
      <w:r>
        <w:t xml:space="preserve">ist die Fortsetzung: </w:t>
      </w:r>
      <w:r>
        <w:rPr>
          <w:rStyle w:val="Fett"/>
          <w:rFonts w:eastAsiaTheme="majorEastAsia"/>
          <w:rtl/>
        </w:rPr>
        <w:t>וְיִסְּרוּ אֹתוֹ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יסר</w:t>
      </w:r>
      <w:r>
        <w:t xml:space="preserve">, Piel Perfekt, 3. Person Plural, „züchtigen, erziehen, zurechtweisen" – im Piel intensiv, Objektpartikel </w:t>
      </w:r>
      <w:r>
        <w:rPr>
          <w:rStyle w:val="Fett"/>
          <w:rFonts w:eastAsiaTheme="majorEastAsia"/>
          <w:rtl/>
        </w:rPr>
        <w:t>אֵת</w:t>
      </w:r>
      <w:r>
        <w:rPr>
          <w:rtl/>
        </w:rPr>
        <w:t xml:space="preserve"> </w:t>
      </w:r>
      <w:r>
        <w:t xml:space="preserve">mit Suffix 3. Person Maskulinum Singular, mit </w:t>
      </w:r>
      <w:r>
        <w:rPr>
          <w:rStyle w:val="Fett"/>
          <w:rFonts w:eastAsiaTheme="majorEastAsia"/>
        </w:rPr>
        <w:t>Waw</w:t>
      </w:r>
      <w:r>
        <w:t xml:space="preserve"> consecutives Perfekt), </w:t>
      </w:r>
      <w:r>
        <w:rPr>
          <w:rStyle w:val="Fett"/>
          <w:rFonts w:eastAsiaTheme="majorEastAsia"/>
          <w:rtl/>
        </w:rPr>
        <w:t>וְלֹא יִשְׁמַע אֲלֵיהֶם</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שׁמע</w:t>
      </w:r>
      <w:r>
        <w:t xml:space="preserve">, Qal Imperfekt, 3. Person Maskulinum Singular, „hören, gehorchen", Präposition </w:t>
      </w:r>
      <w:r>
        <w:rPr>
          <w:rStyle w:val="Fett"/>
          <w:rFonts w:eastAsiaTheme="majorEastAsia"/>
          <w:rtl/>
        </w:rPr>
        <w:t>אֶל</w:t>
      </w:r>
      <w:r>
        <w:rPr>
          <w:rtl/>
        </w:rPr>
        <w:t xml:space="preserve"> </w:t>
      </w:r>
      <w:r>
        <w:t>mit Suffix 3. Person Plural).</w:t>
      </w:r>
    </w:p>
    <w:p w14:paraId="402B7FA5" w14:textId="08A238A8" w:rsidR="00AA14B9" w:rsidRDefault="00AA14B9" w:rsidP="00AA14B9">
      <w:pPr>
        <w:pStyle w:val="whitespace-normal"/>
      </w:pPr>
      <w:r>
        <w:t xml:space="preserve">Der Vers leitet einen neuen Abschnitt ein: das Gesetz über den </w:t>
      </w:r>
      <w:r>
        <w:rPr>
          <w:rStyle w:val="Fett"/>
          <w:rFonts w:eastAsiaTheme="majorEastAsia"/>
          <w:rtl/>
        </w:rPr>
        <w:t>בֵּן סוֹרֵר וּמוֹרֶה</w:t>
      </w:r>
      <w:r>
        <w:rPr>
          <w:rtl/>
        </w:rPr>
        <w:t xml:space="preserve"> </w:t>
      </w:r>
      <w:r>
        <w:t xml:space="preserve">(„störrischen und widerspenstigen Sohn", V. 18-21). Die doppelte Charakterisierung </w:t>
      </w:r>
      <w:r>
        <w:rPr>
          <w:rStyle w:val="Fett"/>
          <w:rFonts w:eastAsiaTheme="majorEastAsia"/>
          <w:rtl/>
        </w:rPr>
        <w:t>סוֹרֵר וּמוֹרֶה</w:t>
      </w:r>
      <w:r>
        <w:rPr>
          <w:rtl/>
        </w:rPr>
        <w:t xml:space="preserve"> </w:t>
      </w:r>
      <w:r>
        <w:t xml:space="preserve">ist stark: </w:t>
      </w:r>
      <w:r>
        <w:rPr>
          <w:rStyle w:val="Fett"/>
          <w:rFonts w:eastAsiaTheme="majorEastAsia"/>
          <w:rtl/>
        </w:rPr>
        <w:t>סוֹרֵר</w:t>
      </w:r>
      <w:r>
        <w:rPr>
          <w:rtl/>
        </w:rPr>
        <w:t xml:space="preserve"> </w:t>
      </w:r>
      <w:r>
        <w:t xml:space="preserve">(von </w:t>
      </w:r>
      <w:r>
        <w:rPr>
          <w:rStyle w:val="Fett"/>
          <w:rFonts w:eastAsiaTheme="majorEastAsia"/>
          <w:rtl/>
        </w:rPr>
        <w:t>סרר</w:t>
      </w:r>
      <w:r>
        <w:t xml:space="preserve">, „widerspenstig/störrisch sein") bezeichnet aktiven Widerstand und Rebellion (vgl. Ps 66,7; 68,7.19; 78,8; Spr 7,11; Jes 30,1; 65,2; Jer 5,23; 6,28; Hos 4,16; 9,15), </w:t>
      </w:r>
      <w:r>
        <w:rPr>
          <w:rStyle w:val="Fett"/>
          <w:rFonts w:eastAsiaTheme="majorEastAsia"/>
          <w:rtl/>
        </w:rPr>
        <w:t>מוֹרֶה</w:t>
      </w:r>
      <w:r>
        <w:rPr>
          <w:rtl/>
        </w:rPr>
        <w:t xml:space="preserve"> </w:t>
      </w:r>
      <w:r>
        <w:t xml:space="preserve">(von </w:t>
      </w:r>
      <w:r>
        <w:rPr>
          <w:rStyle w:val="Fett"/>
          <w:rFonts w:eastAsiaTheme="majorEastAsia"/>
          <w:rtl/>
        </w:rPr>
        <w:lastRenderedPageBreak/>
        <w:t>מרה</w:t>
      </w:r>
      <w:r>
        <w:t>, „sich widersetzen, rebellieren") bezeichnet Rebellion gegen Autorität (vgl. Num 20,10.24; 27,14; Dtn 1,26.43; 9,7.23.24; 21,18.20; 31,27). Die Kombination betont: hartnäckige, systematische Rebellion.</w:t>
      </w:r>
    </w:p>
    <w:p w14:paraId="5FCCA984" w14:textId="52643BCE" w:rsidR="00AA14B9" w:rsidRDefault="00AA14B9" w:rsidP="00AA14B9">
      <w:pPr>
        <w:pStyle w:val="whitespace-normal"/>
      </w:pPr>
      <w:r>
        <w:t xml:space="preserve">Die Formulierung </w:t>
      </w:r>
      <w:r>
        <w:rPr>
          <w:rStyle w:val="Fett"/>
          <w:rFonts w:eastAsiaTheme="majorEastAsia"/>
          <w:rtl/>
        </w:rPr>
        <w:t>אֵינֶנּוּ שֹׁמֵעַ בְּקוֹל אָבִיו וּבְקוֹל אִמּוֹ</w:t>
      </w:r>
      <w:r>
        <w:rPr>
          <w:rtl/>
        </w:rPr>
        <w:t xml:space="preserve"> </w:t>
      </w:r>
      <w:r>
        <w:t xml:space="preserve">(„er hört nicht auf die Stimme seines Vaters und die Stimme seiner Mutter") betont: beide Elternteile – nicht nur der Vater, sondern auch die Mutter wird genannt (ungewöhnlich in patriarchalen Gesetzen). Das Verb </w:t>
      </w:r>
      <w:r>
        <w:rPr>
          <w:rStyle w:val="Fett"/>
          <w:rFonts w:eastAsiaTheme="majorEastAsia"/>
          <w:rtl/>
        </w:rPr>
        <w:t>שׁמע בְּקוֹל</w:t>
      </w:r>
      <w:r>
        <w:rPr>
          <w:rtl/>
        </w:rPr>
        <w:t xml:space="preserve"> </w:t>
      </w:r>
      <w:r>
        <w:t>(„hören auf die Stimme") ist idiomatisch für „gehorchen" (vgl. Gen 3,17; 16,2; 21,12; 22,18; 26,5; Ex 3,18; 4,1.8.9; 5,2; 15,26; 18,19.24; 19,5; 23,21.22; Dtn 4,30; 8,20; 9,23; 13,5.9.19; 15,5; 18,15; 21,18.20; 26,14.17; 27,10; 28,1.2.15.45.62; 30,2.8.10.20).</w:t>
      </w:r>
    </w:p>
    <w:p w14:paraId="49901F38" w14:textId="1791F39A" w:rsidR="00AA14B9" w:rsidRDefault="00AA14B9" w:rsidP="00AA14B9">
      <w:pPr>
        <w:pStyle w:val="whitespace-normal"/>
      </w:pPr>
      <w:r>
        <w:t xml:space="preserve">Die Fortsetzung </w:t>
      </w:r>
      <w:r>
        <w:rPr>
          <w:rStyle w:val="Fett"/>
          <w:rFonts w:eastAsiaTheme="majorEastAsia"/>
          <w:rtl/>
        </w:rPr>
        <w:t>וְיִסְּרוּ אֹתוֹ וְלֹא יִשְׁמַע אֲלֵיהֶם</w:t>
      </w:r>
      <w:r>
        <w:rPr>
          <w:rtl/>
        </w:rPr>
        <w:t xml:space="preserve"> </w:t>
      </w:r>
      <w:r>
        <w:t>(„und sie züchtigen ihn, aber er hört nicht auf sie") zeigt: Die Eltern haben versucht, ihn zu erziehen (</w:t>
      </w:r>
      <w:r>
        <w:rPr>
          <w:rStyle w:val="Fett"/>
          <w:rFonts w:eastAsiaTheme="majorEastAsia"/>
          <w:rtl/>
        </w:rPr>
        <w:t>יִסְּרוּ</w:t>
      </w:r>
      <w:r>
        <w:rPr>
          <w:rtl/>
        </w:rPr>
        <w:t xml:space="preserve"> </w:t>
      </w:r>
      <w:r>
        <w:t xml:space="preserve">von </w:t>
      </w:r>
      <w:r>
        <w:rPr>
          <w:rStyle w:val="Fett"/>
          <w:rFonts w:eastAsiaTheme="majorEastAsia"/>
          <w:rtl/>
        </w:rPr>
        <w:t>יסר</w:t>
      </w:r>
      <w:r>
        <w:t xml:space="preserve">, „züchtigen, erziehen"), aber erfolglos. Das Verb </w:t>
      </w:r>
      <w:r>
        <w:rPr>
          <w:rStyle w:val="Fett"/>
          <w:rFonts w:eastAsiaTheme="majorEastAsia"/>
          <w:rtl/>
        </w:rPr>
        <w:t>יסר</w:t>
      </w:r>
      <w:r>
        <w:rPr>
          <w:rtl/>
        </w:rPr>
        <w:t xml:space="preserve"> </w:t>
      </w:r>
      <w:r>
        <w:t xml:space="preserve">im Piel bezeichnet erzieherische Zucht, kann körperliche Züchtigung einschließen (vgl. Dtn 4,36; 8,5; 21,18; 22,18; </w:t>
      </w:r>
      <w:r w:rsidR="00664EB6">
        <w:t>2Sam</w:t>
      </w:r>
      <w:r>
        <w:t xml:space="preserve"> 7,14; </w:t>
      </w:r>
      <w:r w:rsidR="00664EB6">
        <w:t>1Kön</w:t>
      </w:r>
      <w:r>
        <w:t xml:space="preserve"> 12,11.14; Spr 9,7; 19,18; 29,17.19; Jer 2,19.30; 6,8; 10,24; 17,23; 30,11.14; 31,18; 46,28; Hos 5,2; 7,12.15; 10,10; Ps 6,2; 16,7; 38,2; 39,12; 94,10.12; 118,18; Hiob 4,3; 5,17; 20,3; 33,19; Spr 3,12; 9,7.8; 10,17; 13,24; 15,5.10.32; 19,18.25.27; 23,13; 29,17.19; Klgl 3,16). V. 19-21 werden die Konsequenzen beschreiben – extrem hart.</w:t>
      </w:r>
    </w:p>
    <w:p w14:paraId="6A917810" w14:textId="0ABA8F20" w:rsidR="00D00836" w:rsidRDefault="00D00836" w:rsidP="00AA14B9">
      <w:pPr>
        <w:pStyle w:val="whitespace-normal"/>
      </w:pPr>
      <w:r>
        <w:rPr>
          <w:rStyle w:val="Fett"/>
        </w:rPr>
        <w:t>Die LXX</w:t>
      </w:r>
      <w:r>
        <w:t xml:space="preserve"> übersetzt </w:t>
      </w:r>
      <w:r>
        <w:rPr>
          <w:rtl/>
        </w:rPr>
        <w:t>סוֹרֵר וּמוֹרֶה</w:t>
      </w:r>
      <w:r>
        <w:t xml:space="preserve"> (widerspenstig und rebellisch) mit ἀπ</w:t>
      </w:r>
      <w:proofErr w:type="spellStart"/>
      <w:r>
        <w:t>ειθὴς</w:t>
      </w:r>
      <w:proofErr w:type="spellEnd"/>
      <w:r>
        <w:t xml:space="preserve"> καὶ </w:t>
      </w:r>
      <w:proofErr w:type="spellStart"/>
      <w:r>
        <w:t>ἐρεθιστής</w:t>
      </w:r>
      <w:proofErr w:type="spellEnd"/>
      <w:r>
        <w:t xml:space="preserve"> (ungehorsam und aufreizend/provozierend) – wobei </w:t>
      </w:r>
      <w:proofErr w:type="spellStart"/>
      <w:r>
        <w:t>ἐρεθιστής</w:t>
      </w:r>
      <w:proofErr w:type="spellEnd"/>
      <w:r>
        <w:t xml:space="preserve"> einen aktiv provozierenden Charakter betont.</w:t>
      </w:r>
    </w:p>
    <w:p w14:paraId="390A8142" w14:textId="77777777" w:rsidR="00AA14B9" w:rsidRDefault="00AA14B9" w:rsidP="00AA14B9">
      <w:pPr>
        <w:pStyle w:val="whitespace-normal"/>
      </w:pPr>
      <w:r>
        <w:rPr>
          <w:rStyle w:val="Fett"/>
          <w:rFonts w:eastAsiaTheme="majorEastAsia"/>
        </w:rPr>
        <w:t>Die Satzstruktur:</w:t>
      </w:r>
      <w:r>
        <w:t xml:space="preserve"> Konditionaler Satz mit Fortsetzung (wenn sein wird einem Mann ein Sohn, störrisch und widerspenstig, er ist nicht gehorsam auf die Stimme seines Vaters und auf die Stimme seiner Mutter, und züchtigen werden sie ihn, aber nicht hört er auf sie).</w:t>
      </w:r>
    </w:p>
    <w:p w14:paraId="630D999D" w14:textId="77777777" w:rsidR="00AA14B9" w:rsidRDefault="00AA14B9" w:rsidP="00AA14B9">
      <w:pPr>
        <w:pStyle w:val="whitespace-normal"/>
      </w:pPr>
      <w:r>
        <w:t>Der Vers setzt den Fall: Wenn ein Mann einen störrischen und widerspenstigen Sohn hat, der seinen Eltern nicht gehorcht – selbst nachdem sie ihn gezüchtigt haben.</w:t>
      </w:r>
    </w:p>
    <w:p w14:paraId="1BCB17AB" w14:textId="77777777" w:rsidR="00AA14B9" w:rsidRPr="00B27A64" w:rsidRDefault="00AA14B9" w:rsidP="00AA14B9">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21,19</w:t>
      </w:r>
    </w:p>
    <w:p w14:paraId="5957C9B8" w14:textId="77777777" w:rsidR="00AA14B9" w:rsidRDefault="00AA14B9" w:rsidP="00AA14B9">
      <w:pPr>
        <w:pStyle w:val="whitespace-normal"/>
      </w:pPr>
      <w:r>
        <w:rPr>
          <w:rStyle w:val="Fett"/>
          <w:rFonts w:eastAsiaTheme="majorEastAsia"/>
        </w:rPr>
        <w:t>Hebräisch:</w:t>
      </w:r>
      <w:r>
        <w:t xml:space="preserve"> </w:t>
      </w:r>
      <w:r>
        <w:rPr>
          <w:rtl/>
        </w:rPr>
        <w:t>וְתָ֥פְשׂוּ בוֹ֖ אָבִ֣יו וְאִמֹּ֑ו וְהוֹצִ֧יאוּ אֹתוֹ֛ אֶל־זִקְנֵ֥י עִירֹ֖ו וְאֶל־שַׁ֥עַר מְקֹמֹֽו׃</w:t>
      </w:r>
    </w:p>
    <w:p w14:paraId="17E28671" w14:textId="77777777" w:rsidR="00AA14B9" w:rsidRDefault="00AA14B9" w:rsidP="00AA14B9">
      <w:pPr>
        <w:pStyle w:val="whitespace-normal"/>
      </w:pPr>
      <w:r>
        <w:rPr>
          <w:rStyle w:val="Fett"/>
          <w:rFonts w:eastAsiaTheme="majorEastAsia"/>
        </w:rPr>
        <w:t>Deutsch:</w:t>
      </w:r>
      <w:r>
        <w:t xml:space="preserve"> so sollen ihn sein Vater und seine Mutter ergreifen und ihn zu den Ältesten seiner Stadt und zum Tor seines Ortes hinausführen,</w:t>
      </w:r>
    </w:p>
    <w:p w14:paraId="684C546C" w14:textId="77777777" w:rsidR="00AA14B9" w:rsidRDefault="004F5CEB" w:rsidP="00AA14B9">
      <w:r>
        <w:rPr>
          <w:noProof/>
        </w:rPr>
        <w:pict w14:anchorId="35A0B3B7">
          <v:rect id="_x0000_i1591" style="width:0;height:1.5pt" o:hralign="center" o:hrstd="t" o:hr="t" fillcolor="#a0a0a0" stroked="f"/>
        </w:pict>
      </w:r>
    </w:p>
    <w:p w14:paraId="534F95FD" w14:textId="77777777" w:rsidR="00AA14B9" w:rsidRDefault="00AA14B9" w:rsidP="00AA14B9">
      <w:pPr>
        <w:pStyle w:val="whitespace-normal"/>
      </w:pPr>
      <w:r>
        <w:rPr>
          <w:rStyle w:val="Fett"/>
          <w:rFonts w:eastAsiaTheme="majorEastAsia"/>
        </w:rPr>
        <w:t>Kommentar:</w:t>
      </w:r>
      <w:r>
        <w:t xml:space="preserve"> </w:t>
      </w:r>
      <w:r>
        <w:rPr>
          <w:rStyle w:val="Fett"/>
          <w:rFonts w:eastAsiaTheme="majorEastAsia"/>
          <w:rtl/>
        </w:rPr>
        <w:t>וְתָפְשׂוּ בוֹ אָבִיו וְאִמּוֹ וְהוֹצִיאוּ אֹתוֹ אֶל־זִקְנֵי עִירוֹ וְאֶל־שַׁעַר מְקֹמוֹ</w:t>
      </w:r>
      <w:r>
        <w:rPr>
          <w:rtl/>
        </w:rPr>
        <w:t xml:space="preserve"> </w:t>
      </w:r>
      <w:r>
        <w:t xml:space="preserve">sind zwei Anweisungen: </w:t>
      </w:r>
      <w:r>
        <w:rPr>
          <w:rStyle w:val="Fett"/>
          <w:rFonts w:eastAsiaTheme="majorEastAsia"/>
          <w:rtl/>
        </w:rPr>
        <w:t>וְתָפְשׂוּ בוֹ אָבִיו וְאִמּוֹ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תפשׂ</w:t>
      </w:r>
      <w:r>
        <w:t xml:space="preserve">, Qal Perfekt, 3. Person Plural, „ergreifen, festhalten, fassen", </w:t>
      </w:r>
      <w:r>
        <w:rPr>
          <w:rStyle w:val="Fett"/>
          <w:rFonts w:eastAsiaTheme="majorEastAsia"/>
          <w:rtl/>
        </w:rPr>
        <w:t>בוֹ</w:t>
      </w:r>
      <w:r>
        <w:t xml:space="preserve">, Präposition </w:t>
      </w:r>
      <w:r>
        <w:rPr>
          <w:rStyle w:val="Fett"/>
          <w:rFonts w:eastAsiaTheme="majorEastAsia"/>
          <w:rtl/>
        </w:rPr>
        <w:t>בְּ</w:t>
      </w:r>
      <w:r>
        <w:rPr>
          <w:rtl/>
        </w:rPr>
        <w:t xml:space="preserve"> </w:t>
      </w:r>
      <w:r>
        <w:t xml:space="preserve">mit Suffix 3. Person Maskulinum Singular, </w:t>
      </w:r>
      <w:r>
        <w:rPr>
          <w:rStyle w:val="Fett"/>
          <w:rFonts w:eastAsiaTheme="majorEastAsia"/>
          <w:rtl/>
        </w:rPr>
        <w:t>אָבִיו וְאִמּוֹ</w:t>
      </w:r>
      <w:r>
        <w:rPr>
          <w:rtl/>
        </w:rPr>
        <w:t xml:space="preserve"> </w:t>
      </w:r>
      <w:r>
        <w:t xml:space="preserve">als Subjekt, mit </w:t>
      </w:r>
      <w:r>
        <w:rPr>
          <w:rStyle w:val="Fett"/>
          <w:rFonts w:eastAsiaTheme="majorEastAsia"/>
        </w:rPr>
        <w:t>Waw</w:t>
      </w:r>
      <w:r>
        <w:t xml:space="preserve"> consecutives Perfekt), </w:t>
      </w:r>
      <w:r>
        <w:rPr>
          <w:rStyle w:val="Fett"/>
          <w:rFonts w:eastAsiaTheme="majorEastAsia"/>
          <w:rtl/>
        </w:rPr>
        <w:t>וְהוֹצִיאוּ אֹתוֹ אֶל־זִקְנֵי עִירוֹ וְאֶל־שַׁעַר מְקֹמוֹ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יצא</w:t>
      </w:r>
      <w:r>
        <w:t xml:space="preserve">, Hiphil Perfekt, 3. Person Plural, „hinausführen, herausführen" – das Hiphil ist kausativ, Objektpartikel </w:t>
      </w:r>
      <w:r>
        <w:rPr>
          <w:rStyle w:val="Fett"/>
          <w:rFonts w:eastAsiaTheme="majorEastAsia"/>
          <w:rtl/>
        </w:rPr>
        <w:t>אֵת</w:t>
      </w:r>
      <w:r>
        <w:rPr>
          <w:rtl/>
        </w:rPr>
        <w:t xml:space="preserve"> </w:t>
      </w:r>
      <w:r>
        <w:t xml:space="preserve">mit Suffix 3. Person Maskulinum Singular, Präposition </w:t>
      </w:r>
      <w:r>
        <w:rPr>
          <w:rStyle w:val="Fett"/>
          <w:rFonts w:eastAsiaTheme="majorEastAsia"/>
          <w:rtl/>
        </w:rPr>
        <w:t>אֶל</w:t>
      </w:r>
      <w:r>
        <w:rPr>
          <w:rtl/>
        </w:rPr>
        <w:t xml:space="preserve"> </w:t>
      </w:r>
      <w:r>
        <w:t xml:space="preserve">mit </w:t>
      </w:r>
      <w:r>
        <w:rPr>
          <w:rStyle w:val="Fett"/>
          <w:rFonts w:eastAsiaTheme="majorEastAsia"/>
          <w:rtl/>
        </w:rPr>
        <w:t>זָקֵן</w:t>
      </w:r>
      <w:r>
        <w:t xml:space="preserve">, Plural Construct mit </w:t>
      </w:r>
      <w:r>
        <w:rPr>
          <w:rStyle w:val="Fett"/>
          <w:rFonts w:eastAsiaTheme="majorEastAsia"/>
          <w:rtl/>
        </w:rPr>
        <w:t>עִיר</w:t>
      </w:r>
      <w:r>
        <w:t xml:space="preserve">, „Stadt", mit Suffix 3. Person Maskulinum </w:t>
      </w:r>
      <w:r>
        <w:lastRenderedPageBreak/>
        <w:t xml:space="preserve">Singular, koordiniert durch </w:t>
      </w:r>
      <w:r>
        <w:rPr>
          <w:rStyle w:val="Fett"/>
          <w:rFonts w:eastAsiaTheme="majorEastAsia"/>
          <w:rtl/>
        </w:rPr>
        <w:t>וְ</w:t>
      </w:r>
      <w:r>
        <w:rPr>
          <w:rtl/>
        </w:rPr>
        <w:t xml:space="preserve"> </w:t>
      </w:r>
      <w:r>
        <w:t xml:space="preserve">mit </w:t>
      </w:r>
      <w:r>
        <w:rPr>
          <w:rStyle w:val="Fett"/>
          <w:rFonts w:eastAsiaTheme="majorEastAsia"/>
          <w:rtl/>
        </w:rPr>
        <w:t>אֶל־שַׁעַר מְקֹמוֹ</w:t>
      </w:r>
      <w:r>
        <w:rPr>
          <w:rtl/>
        </w:rPr>
        <w:t xml:space="preserve"> </w:t>
      </w:r>
      <w:r>
        <w:t>(</w:t>
      </w:r>
      <w:r>
        <w:rPr>
          <w:rStyle w:val="Fett"/>
          <w:rFonts w:eastAsiaTheme="majorEastAsia"/>
          <w:rtl/>
        </w:rPr>
        <w:t>שַׁעַר</w:t>
      </w:r>
      <w:r>
        <w:t xml:space="preserve">, „Tor", Construct mit </w:t>
      </w:r>
      <w:r>
        <w:rPr>
          <w:rStyle w:val="Fett"/>
          <w:rFonts w:eastAsiaTheme="majorEastAsia"/>
          <w:rtl/>
        </w:rPr>
        <w:t>מָקוֹם</w:t>
      </w:r>
      <w:r>
        <w:t xml:space="preserve">, „Ort", mit Suffix 3. Person Maskulinum Singular), mit </w:t>
      </w:r>
      <w:r>
        <w:rPr>
          <w:rStyle w:val="Fett"/>
          <w:rFonts w:eastAsiaTheme="majorEastAsia"/>
        </w:rPr>
        <w:t>Waw</w:t>
      </w:r>
      <w:r>
        <w:t xml:space="preserve"> consecutives Perfekt).</w:t>
      </w:r>
    </w:p>
    <w:p w14:paraId="2F39F430" w14:textId="6A571F35" w:rsidR="00AA14B9" w:rsidRDefault="00AA14B9" w:rsidP="00AA14B9">
      <w:pPr>
        <w:pStyle w:val="whitespace-normal"/>
      </w:pPr>
      <w:r>
        <w:t xml:space="preserve">Der Vers beschreibt die juristische Prozedur: (1) </w:t>
      </w:r>
      <w:r>
        <w:rPr>
          <w:rStyle w:val="Fett"/>
          <w:rFonts w:eastAsiaTheme="majorEastAsia"/>
          <w:rtl/>
        </w:rPr>
        <w:t>וְתָפְשׂוּ בוֹ אָבִיו וְאִמּוֹ</w:t>
      </w:r>
      <w:r>
        <w:rPr>
          <w:rtl/>
        </w:rPr>
        <w:t xml:space="preserve"> </w:t>
      </w:r>
      <w:r>
        <w:t xml:space="preserve">(„sie sollen ihn ergreifen, sein Vater und seine Mutter") – beide Elternteile müssen handeln. Das Verb </w:t>
      </w:r>
      <w:r>
        <w:rPr>
          <w:rStyle w:val="Fett"/>
          <w:rFonts w:eastAsiaTheme="majorEastAsia"/>
          <w:rtl/>
        </w:rPr>
        <w:t>תפשׂ</w:t>
      </w:r>
      <w:r>
        <w:rPr>
          <w:rtl/>
        </w:rPr>
        <w:t xml:space="preserve"> </w:t>
      </w:r>
      <w:r>
        <w:t>(„ergreifen, festhalten") impliziert: Sie nehmen ihn physisch in Gewahrsam (vgl. Gen 39,12; Ex 4,4; Num 5,13; Dtn 9,17; 21,19; 22,28; 25,11).</w:t>
      </w:r>
    </w:p>
    <w:p w14:paraId="5D5990C7" w14:textId="40A4139C" w:rsidR="00AA14B9" w:rsidRDefault="00AA14B9" w:rsidP="00AA14B9">
      <w:pPr>
        <w:pStyle w:val="whitespace-normal"/>
      </w:pPr>
      <w:r>
        <w:t xml:space="preserve">(2) </w:t>
      </w:r>
      <w:r>
        <w:rPr>
          <w:rStyle w:val="Fett"/>
          <w:rFonts w:eastAsiaTheme="majorEastAsia"/>
          <w:rtl/>
        </w:rPr>
        <w:t>וְהוֹצִיאוּ אֹתוֹ אֶל־זִקְנֵי עִירוֹ וְאֶל־שַׁעַר מְקֹמוֹ</w:t>
      </w:r>
      <w:r>
        <w:rPr>
          <w:rtl/>
        </w:rPr>
        <w:t xml:space="preserve"> </w:t>
      </w:r>
      <w:r>
        <w:t xml:space="preserve">(„sie sollen ihn hinausführen zu den Ältesten seiner Stadt und zum Tor seines Ortes"). Das Verb </w:t>
      </w:r>
      <w:r>
        <w:rPr>
          <w:rStyle w:val="Fett"/>
          <w:rFonts w:eastAsiaTheme="majorEastAsia"/>
          <w:rtl/>
        </w:rPr>
        <w:t>יצא</w:t>
      </w:r>
      <w:r>
        <w:rPr>
          <w:rtl/>
        </w:rPr>
        <w:t xml:space="preserve"> </w:t>
      </w:r>
      <w:r>
        <w:t xml:space="preserve">im Hiphil („hinausführen") bedeutet: aus dem Haus zur öffentlichen Gerichtsstätte bringen. Die </w:t>
      </w:r>
      <w:r>
        <w:rPr>
          <w:rStyle w:val="Fett"/>
          <w:rFonts w:eastAsiaTheme="majorEastAsia"/>
          <w:rtl/>
        </w:rPr>
        <w:t>זְקֵנִים</w:t>
      </w:r>
      <w:r>
        <w:rPr>
          <w:rtl/>
        </w:rPr>
        <w:t xml:space="preserve"> </w:t>
      </w:r>
      <w:r>
        <w:t xml:space="preserve">(„Ältesten") sind die lokalen Richter (vgl. Dtn 19,12; 21,2.3.4.6.19.20; 22,15.16.17.18; 25,7.8.9). Das </w:t>
      </w:r>
      <w:r>
        <w:rPr>
          <w:rStyle w:val="Fett"/>
          <w:rFonts w:eastAsiaTheme="majorEastAsia"/>
          <w:rtl/>
        </w:rPr>
        <w:t>שַׁעַר</w:t>
      </w:r>
      <w:r>
        <w:rPr>
          <w:rtl/>
        </w:rPr>
        <w:t xml:space="preserve"> </w:t>
      </w:r>
      <w:r>
        <w:t xml:space="preserve">(„Tor") ist der traditionelle Ort für Gerichtsverhandlungen (vgl. Gen 19,1; 23,10.18; 34,20.24; Dtn 16,18; 17,2.5.8; 21,19; 22,15.24; 25,7). Die Formulierung </w:t>
      </w:r>
      <w:r>
        <w:rPr>
          <w:rStyle w:val="Fett"/>
          <w:rFonts w:eastAsiaTheme="majorEastAsia"/>
          <w:rtl/>
        </w:rPr>
        <w:t>אֶל־זִקְנֵי עִירוֹ וְאֶל־שַׁעַר מְקֹמוֹ</w:t>
      </w:r>
      <w:r>
        <w:rPr>
          <w:rtl/>
        </w:rPr>
        <w:t xml:space="preserve"> </w:t>
      </w:r>
      <w:r>
        <w:t>ist hendiadyisch: „zu den Ältesten am Stadttor".</w:t>
      </w:r>
    </w:p>
    <w:p w14:paraId="50141D1A" w14:textId="77777777" w:rsidR="00AA14B9" w:rsidRDefault="00AA14B9" w:rsidP="00AA14B9">
      <w:pPr>
        <w:pStyle w:val="whitespace-normal"/>
      </w:pPr>
      <w:r>
        <w:t>Beide Elternteile müssen gemeinsam handeln – dies verhindert willkürliche Anklage durch nur einen Elternteil. V. 20 wird die formelle Anklage geben.</w:t>
      </w:r>
    </w:p>
    <w:p w14:paraId="2EAD3D1F" w14:textId="77777777" w:rsidR="00AA14B9" w:rsidRDefault="00AA14B9" w:rsidP="00AA14B9">
      <w:pPr>
        <w:pStyle w:val="whitespace-normal"/>
      </w:pPr>
      <w:r>
        <w:rPr>
          <w:rStyle w:val="Fett"/>
          <w:rFonts w:eastAsiaTheme="majorEastAsia"/>
        </w:rPr>
        <w:t>Die Satzstruktur:</w:t>
      </w:r>
      <w:r>
        <w:t xml:space="preserve"> Zwei Anweisungen (ergreifen sollen ihn sein Vater und seine Mutter, und hinausführen sollen sie ihn zu den Ältesten seiner Stadt und zum Tor seines Ortes).</w:t>
      </w:r>
    </w:p>
    <w:p w14:paraId="470E9D76" w14:textId="77777777" w:rsidR="00AA14B9" w:rsidRDefault="00AA14B9" w:rsidP="00AA14B9">
      <w:pPr>
        <w:pStyle w:val="whitespace-normal"/>
      </w:pPr>
      <w:r>
        <w:t>Der Vers beschreibt: Sein Vater und seine Mutter sollen ihn ergreifen und zu den Ältesten am Stadttor bringen.</w:t>
      </w:r>
    </w:p>
    <w:p w14:paraId="16BB917C" w14:textId="77777777" w:rsidR="00AA14B9" w:rsidRPr="00B27A64" w:rsidRDefault="00AA14B9" w:rsidP="00AA14B9">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21,20</w:t>
      </w:r>
    </w:p>
    <w:p w14:paraId="34C8FED1" w14:textId="77777777" w:rsidR="00AA14B9" w:rsidRDefault="00AA14B9" w:rsidP="00AA14B9">
      <w:pPr>
        <w:pStyle w:val="whitespace-normal"/>
      </w:pPr>
      <w:r>
        <w:rPr>
          <w:rStyle w:val="Fett"/>
          <w:rFonts w:eastAsiaTheme="majorEastAsia"/>
        </w:rPr>
        <w:t>Hebräisch:</w:t>
      </w:r>
      <w:r>
        <w:t xml:space="preserve"> </w:t>
      </w:r>
      <w:r>
        <w:rPr>
          <w:rtl/>
        </w:rPr>
        <w:t>וְאָמְר֞וּ אֶל־זִקְנֵ֣י עִירֹ֗ו בְּנֵ֤נוּ זֶה֙ סוֹרֵ֣ר וּמֹרֶ֔ה אֵינֶ֥נּוּ שֹׁמֵ֖עַ בְּקֹלֵ֑נוּ זוֹלֵ֖ל וְסֹבֵֽא׃</w:t>
      </w:r>
    </w:p>
    <w:p w14:paraId="1DE45751" w14:textId="77777777" w:rsidR="00AA14B9" w:rsidRDefault="00AA14B9" w:rsidP="00AA14B9">
      <w:pPr>
        <w:pStyle w:val="whitespace-normal"/>
      </w:pPr>
      <w:r>
        <w:rPr>
          <w:rStyle w:val="Fett"/>
          <w:rFonts w:eastAsiaTheme="majorEastAsia"/>
        </w:rPr>
        <w:t>Deutsch:</w:t>
      </w:r>
      <w:r>
        <w:t xml:space="preserve"> und sie sollen zu den Ältesten seiner Stadt sagen: Dieser unser Sohn ist störrisch und widerspenstig, er hört nicht auf unsere Stimme, ein Schlemmender und Saufender ist er.</w:t>
      </w:r>
    </w:p>
    <w:p w14:paraId="5BF68B87" w14:textId="77777777" w:rsidR="00AA14B9" w:rsidRDefault="004F5CEB" w:rsidP="00AA14B9">
      <w:r>
        <w:rPr>
          <w:noProof/>
        </w:rPr>
        <w:pict w14:anchorId="711B4CCB">
          <v:rect id="_x0000_i1592" style="width:0;height:1.5pt" o:hralign="center" o:hrstd="t" o:hr="t" fillcolor="#a0a0a0" stroked="f"/>
        </w:pict>
      </w:r>
    </w:p>
    <w:p w14:paraId="1C53905D" w14:textId="77777777" w:rsidR="00AA14B9" w:rsidRDefault="00AA14B9" w:rsidP="00AA14B9">
      <w:pPr>
        <w:pStyle w:val="whitespace-normal"/>
      </w:pPr>
      <w:r>
        <w:rPr>
          <w:rStyle w:val="Fett"/>
          <w:rFonts w:eastAsiaTheme="majorEastAsia"/>
        </w:rPr>
        <w:t>Kommentar:</w:t>
      </w:r>
      <w:r>
        <w:t xml:space="preserve"> </w:t>
      </w:r>
      <w:r>
        <w:rPr>
          <w:rStyle w:val="Fett"/>
          <w:rFonts w:eastAsiaTheme="majorEastAsia"/>
          <w:rtl/>
        </w:rPr>
        <w:t>וְאָמְרוּ אֶל־זִקְנֵי עִירוֹ בְּנֵנוּ זֶה סוֹרֵר וּמֹרֶה אֵינֶנּוּ שֹׁמֵעַ בְּקֹלֵנוּ זוֹלֵל וְסֹבֵא</w:t>
      </w:r>
      <w:r>
        <w:rPr>
          <w:rtl/>
        </w:rPr>
        <w:t xml:space="preserve"> </w:t>
      </w:r>
      <w:r>
        <w:t xml:space="preserve">ist die formelle Anklage: </w:t>
      </w:r>
      <w:r>
        <w:rPr>
          <w:rStyle w:val="Fett"/>
          <w:rFonts w:eastAsiaTheme="majorEastAsia"/>
          <w:rtl/>
        </w:rPr>
        <w:t>וְאָמְרוּ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אמר</w:t>
      </w:r>
      <w:r>
        <w:t xml:space="preserve">, Qal Perfekt, 3. Person Plural, „sagen", mit </w:t>
      </w:r>
      <w:r>
        <w:rPr>
          <w:rStyle w:val="Fett"/>
          <w:rFonts w:eastAsiaTheme="majorEastAsia"/>
        </w:rPr>
        <w:t>Waw</w:t>
      </w:r>
      <w:r>
        <w:t xml:space="preserve"> consecutives Perfekt), </w:t>
      </w:r>
      <w:r>
        <w:rPr>
          <w:rStyle w:val="Fett"/>
          <w:rFonts w:eastAsiaTheme="majorEastAsia"/>
          <w:rtl/>
        </w:rPr>
        <w:t>אֶל־זִקְנֵי עִירוֹ</w:t>
      </w:r>
      <w:r>
        <w:rPr>
          <w:rtl/>
        </w:rPr>
        <w:t xml:space="preserve"> </w:t>
      </w:r>
      <w:r>
        <w:t xml:space="preserve">(Präposition </w:t>
      </w:r>
      <w:r>
        <w:rPr>
          <w:rStyle w:val="Fett"/>
          <w:rFonts w:eastAsiaTheme="majorEastAsia"/>
          <w:rtl/>
        </w:rPr>
        <w:t>אֶל</w:t>
      </w:r>
      <w:r>
        <w:rPr>
          <w:rtl/>
        </w:rPr>
        <w:t xml:space="preserve"> </w:t>
      </w:r>
      <w:r>
        <w:t xml:space="preserve">mit </w:t>
      </w:r>
      <w:r>
        <w:rPr>
          <w:rStyle w:val="Fett"/>
          <w:rFonts w:eastAsiaTheme="majorEastAsia"/>
          <w:rtl/>
        </w:rPr>
        <w:t>זָקֵן</w:t>
      </w:r>
      <w:r>
        <w:t xml:space="preserve">, Plural Construct mit </w:t>
      </w:r>
      <w:r>
        <w:rPr>
          <w:rStyle w:val="Fett"/>
          <w:rFonts w:eastAsiaTheme="majorEastAsia"/>
          <w:rtl/>
        </w:rPr>
        <w:t>עִיר</w:t>
      </w:r>
      <w:r>
        <w:rPr>
          <w:rtl/>
        </w:rPr>
        <w:t xml:space="preserve"> </w:t>
      </w:r>
      <w:r>
        <w:t xml:space="preserve">mit Suffix 3. Person Maskulinum Singular), </w:t>
      </w:r>
      <w:r>
        <w:rPr>
          <w:rStyle w:val="Fett"/>
          <w:rFonts w:eastAsiaTheme="majorEastAsia"/>
          <w:rtl/>
        </w:rPr>
        <w:t>בְּנֵנוּ זֶה סוֹרֵר וּמֹרֶה</w:t>
      </w:r>
      <w:r>
        <w:rPr>
          <w:rtl/>
        </w:rPr>
        <w:t xml:space="preserve"> </w:t>
      </w:r>
      <w:r>
        <w:t>(</w:t>
      </w:r>
      <w:r>
        <w:rPr>
          <w:rStyle w:val="Fett"/>
          <w:rFonts w:eastAsiaTheme="majorEastAsia"/>
          <w:rtl/>
        </w:rPr>
        <w:t>בֵּן</w:t>
      </w:r>
      <w:r>
        <w:t xml:space="preserve">, „Sohn", mit Suffix 1. Person Plural, Demonstrativpronomen </w:t>
      </w:r>
      <w:r>
        <w:rPr>
          <w:rStyle w:val="Fett"/>
          <w:rFonts w:eastAsiaTheme="majorEastAsia"/>
          <w:rtl/>
        </w:rPr>
        <w:t>זֶה</w:t>
      </w:r>
      <w:r>
        <w:t xml:space="preserve">, „dieser", Qal Partizip von </w:t>
      </w:r>
      <w:r>
        <w:rPr>
          <w:rStyle w:val="Fett"/>
          <w:rFonts w:eastAsiaTheme="majorEastAsia"/>
          <w:rtl/>
        </w:rPr>
        <w:t>סרר</w:t>
      </w:r>
      <w:r>
        <w:t xml:space="preserve">, koordiniert durch </w:t>
      </w:r>
      <w:r>
        <w:rPr>
          <w:rStyle w:val="Fett"/>
          <w:rFonts w:eastAsiaTheme="majorEastAsia"/>
          <w:rtl/>
        </w:rPr>
        <w:t>וּ</w:t>
      </w:r>
      <w:r>
        <w:rPr>
          <w:rtl/>
        </w:rPr>
        <w:t xml:space="preserve"> </w:t>
      </w:r>
      <w:r>
        <w:t xml:space="preserve">mit Qal Partizip von </w:t>
      </w:r>
      <w:r>
        <w:rPr>
          <w:rStyle w:val="Fett"/>
          <w:rFonts w:eastAsiaTheme="majorEastAsia"/>
          <w:rtl/>
        </w:rPr>
        <w:t>מרה</w:t>
      </w:r>
      <w:r>
        <w:rPr>
          <w:rtl/>
        </w:rPr>
        <w:t xml:space="preserve"> </w:t>
      </w:r>
      <w:r>
        <w:t xml:space="preserve">– identisch mit V. 18), </w:t>
      </w:r>
      <w:r>
        <w:rPr>
          <w:rStyle w:val="Fett"/>
          <w:rFonts w:eastAsiaTheme="majorEastAsia"/>
          <w:rtl/>
        </w:rPr>
        <w:t>אֵינֶנּוּ שֹׁמֵעַ בְּקֹלֵנוּ</w:t>
      </w:r>
      <w:r>
        <w:rPr>
          <w:rtl/>
        </w:rPr>
        <w:t xml:space="preserve"> </w:t>
      </w:r>
      <w:r>
        <w:t>(</w:t>
      </w:r>
      <w:r>
        <w:rPr>
          <w:rStyle w:val="Fett"/>
          <w:rFonts w:eastAsiaTheme="majorEastAsia"/>
          <w:rtl/>
        </w:rPr>
        <w:t>אֵין</w:t>
      </w:r>
      <w:r>
        <w:rPr>
          <w:rtl/>
        </w:rPr>
        <w:t xml:space="preserve"> </w:t>
      </w:r>
      <w:r>
        <w:t xml:space="preserve">mit Suffix 3. Person Maskulinum Singular, Qal Partizip von </w:t>
      </w:r>
      <w:r>
        <w:rPr>
          <w:rStyle w:val="Fett"/>
          <w:rFonts w:eastAsiaTheme="majorEastAsia"/>
          <w:rtl/>
        </w:rPr>
        <w:t>שׁמע</w:t>
      </w:r>
      <w:r>
        <w:t xml:space="preserve">, </w:t>
      </w:r>
      <w:r>
        <w:rPr>
          <w:rStyle w:val="Fett"/>
          <w:rFonts w:eastAsiaTheme="majorEastAsia"/>
          <w:rtl/>
        </w:rPr>
        <w:t>בְּקוֹל</w:t>
      </w:r>
      <w:r>
        <w:rPr>
          <w:rtl/>
        </w:rPr>
        <w:t xml:space="preserve"> </w:t>
      </w:r>
      <w:r>
        <w:t xml:space="preserve">mit Suffix 1. Person Plural – „er hört nicht auf unsere Stimme"), </w:t>
      </w:r>
      <w:r>
        <w:rPr>
          <w:rStyle w:val="Fett"/>
          <w:rFonts w:eastAsiaTheme="majorEastAsia"/>
          <w:rtl/>
        </w:rPr>
        <w:t>זוֹלֵל וְסֹבֵא</w:t>
      </w:r>
      <w:r>
        <w:rPr>
          <w:rtl/>
        </w:rPr>
        <w:t xml:space="preserve"> </w:t>
      </w:r>
      <w:r>
        <w:t xml:space="preserve">(Qal Partizip von </w:t>
      </w:r>
      <w:r>
        <w:rPr>
          <w:rStyle w:val="Fett"/>
          <w:rFonts w:eastAsiaTheme="majorEastAsia"/>
          <w:rtl/>
        </w:rPr>
        <w:t>זלל</w:t>
      </w:r>
      <w:r>
        <w:t xml:space="preserve">, „schlemmen, prassen, verschwenden", koordiniert durch </w:t>
      </w:r>
      <w:r>
        <w:rPr>
          <w:rStyle w:val="Fett"/>
          <w:rFonts w:eastAsiaTheme="majorEastAsia"/>
          <w:rtl/>
        </w:rPr>
        <w:t>וְ</w:t>
      </w:r>
      <w:r>
        <w:rPr>
          <w:rtl/>
        </w:rPr>
        <w:t xml:space="preserve"> </w:t>
      </w:r>
      <w:r>
        <w:t xml:space="preserve">mit Qal Partizip von </w:t>
      </w:r>
      <w:r>
        <w:rPr>
          <w:rStyle w:val="Fett"/>
          <w:rFonts w:eastAsiaTheme="majorEastAsia"/>
          <w:rtl/>
        </w:rPr>
        <w:t>סבא</w:t>
      </w:r>
      <w:r>
        <w:t>, „zechen, saufen, sich betrinken").</w:t>
      </w:r>
    </w:p>
    <w:p w14:paraId="4CD5FCDA" w14:textId="77777777" w:rsidR="00AA14B9" w:rsidRDefault="00AA14B9" w:rsidP="00AA14B9">
      <w:pPr>
        <w:pStyle w:val="whitespace-normal"/>
      </w:pPr>
      <w:r>
        <w:t xml:space="preserve">Der Vers gibt die formelle Anklage der Eltern vor den Ältesten. Die Anklage hat drei Teile: (1) </w:t>
      </w:r>
      <w:r>
        <w:rPr>
          <w:rStyle w:val="Fett"/>
          <w:rFonts w:eastAsiaTheme="majorEastAsia"/>
          <w:rtl/>
        </w:rPr>
        <w:t>בְּנֵנוּ זֶה סוֹרֵר וּמֹרֶה אֵינֶנּוּ שֹׁמֵעַ בְּקֹלֵנוּ</w:t>
      </w:r>
      <w:r>
        <w:rPr>
          <w:rtl/>
        </w:rPr>
        <w:t xml:space="preserve"> </w:t>
      </w:r>
      <w:r>
        <w:t xml:space="preserve">– wiederholt die Charakterisierung aus V. 18: „Dieser unser Sohn ist störrisch und widerspenstig, er hört nicht auf unsere Stimme". Das </w:t>
      </w:r>
      <w:r>
        <w:lastRenderedPageBreak/>
        <w:t xml:space="preserve">Possessivpronomen </w:t>
      </w:r>
      <w:r>
        <w:rPr>
          <w:rStyle w:val="Fett"/>
          <w:rFonts w:eastAsiaTheme="majorEastAsia"/>
          <w:rtl/>
        </w:rPr>
        <w:t>בְּנֵנוּ</w:t>
      </w:r>
      <w:r>
        <w:rPr>
          <w:rtl/>
        </w:rPr>
        <w:t xml:space="preserve"> </w:t>
      </w:r>
      <w:r>
        <w:t xml:space="preserve">(„unser Sohn") und das Demonstrativpronomen </w:t>
      </w:r>
      <w:r>
        <w:rPr>
          <w:rStyle w:val="Fett"/>
          <w:rFonts w:eastAsiaTheme="majorEastAsia"/>
          <w:rtl/>
        </w:rPr>
        <w:t>זֶה</w:t>
      </w:r>
      <w:r>
        <w:rPr>
          <w:rtl/>
        </w:rPr>
        <w:t xml:space="preserve"> </w:t>
      </w:r>
      <w:r>
        <w:t>(„dieser") machen es persönlich und konkret.</w:t>
      </w:r>
    </w:p>
    <w:p w14:paraId="48521275" w14:textId="77777777" w:rsidR="00AA14B9" w:rsidRDefault="00AA14B9" w:rsidP="00AA14B9">
      <w:pPr>
        <w:pStyle w:val="whitespace-normal"/>
      </w:pPr>
      <w:r>
        <w:t xml:space="preserve">(2) </w:t>
      </w:r>
      <w:r>
        <w:rPr>
          <w:rStyle w:val="Fett"/>
          <w:rFonts w:eastAsiaTheme="majorEastAsia"/>
          <w:rtl/>
        </w:rPr>
        <w:t>זוֹלֵל וְסֹבֵא</w:t>
      </w:r>
      <w:r>
        <w:rPr>
          <w:rtl/>
        </w:rPr>
        <w:t xml:space="preserve"> </w:t>
      </w:r>
      <w:r>
        <w:t xml:space="preserve">(„ein Schlemmender und Saufender") fügt eine neue, spezifische Anklage hinzu. Das Partizip </w:t>
      </w:r>
      <w:r>
        <w:rPr>
          <w:rStyle w:val="Fett"/>
          <w:rFonts w:eastAsiaTheme="majorEastAsia"/>
          <w:rtl/>
        </w:rPr>
        <w:t>זוֹלֵל</w:t>
      </w:r>
      <w:r>
        <w:rPr>
          <w:rtl/>
        </w:rPr>
        <w:t xml:space="preserve"> </w:t>
      </w:r>
      <w:r>
        <w:t xml:space="preserve">(von </w:t>
      </w:r>
      <w:r>
        <w:rPr>
          <w:rStyle w:val="Fett"/>
          <w:rFonts w:eastAsiaTheme="majorEastAsia"/>
          <w:rtl/>
        </w:rPr>
        <w:t>זלל</w:t>
      </w:r>
      <w:r>
        <w:t xml:space="preserve">, „schlemmen, prassen, verschwenden") bezeichnet maßloses Essen und verschwenderischen Lebensstil (vgl. Dtn 21,20; Spr 23,20.21; 28,7). Das Partizip </w:t>
      </w:r>
      <w:r>
        <w:rPr>
          <w:rStyle w:val="Fett"/>
          <w:rFonts w:eastAsiaTheme="majorEastAsia"/>
          <w:rtl/>
        </w:rPr>
        <w:t>סֹבֵא</w:t>
      </w:r>
      <w:r>
        <w:rPr>
          <w:rtl/>
        </w:rPr>
        <w:t xml:space="preserve"> </w:t>
      </w:r>
      <w:r>
        <w:t xml:space="preserve">(von </w:t>
      </w:r>
      <w:r>
        <w:rPr>
          <w:rStyle w:val="Fett"/>
          <w:rFonts w:eastAsiaTheme="majorEastAsia"/>
          <w:rtl/>
        </w:rPr>
        <w:t>סבא</w:t>
      </w:r>
      <w:r>
        <w:t xml:space="preserve">, „zechen, saufen") bezeichnet exzessives Trinken, Trunkenheit (nur hier und Spr 23,21: </w:t>
      </w:r>
      <w:r>
        <w:rPr>
          <w:rStyle w:val="Fett"/>
          <w:rFonts w:eastAsiaTheme="majorEastAsia"/>
          <w:rtl/>
        </w:rPr>
        <w:t>כִּי־סֹבֵא וְזוֹלֵל יִוָּרֵשׁ</w:t>
      </w:r>
      <w:r>
        <w:t xml:space="preserve">, „denn Säufer und Schlemmer verarmen"). Die Kombination </w:t>
      </w:r>
      <w:r>
        <w:rPr>
          <w:rStyle w:val="Fett"/>
          <w:rFonts w:eastAsiaTheme="majorEastAsia"/>
          <w:rtl/>
        </w:rPr>
        <w:t>זוֹלֵל וְסֹבֵא</w:t>
      </w:r>
      <w:r>
        <w:rPr>
          <w:rtl/>
        </w:rPr>
        <w:t xml:space="preserve"> </w:t>
      </w:r>
      <w:r>
        <w:t>beschreibt einen dekadenten, zügellosen Lebensstil – nicht nur Ungehorsam, sondern moralischer Verfall.</w:t>
      </w:r>
    </w:p>
    <w:p w14:paraId="0F9AF57D" w14:textId="77777777" w:rsidR="00AA14B9" w:rsidRDefault="00AA14B9" w:rsidP="00AA14B9">
      <w:pPr>
        <w:pStyle w:val="whitespace-normal"/>
      </w:pPr>
      <w:r>
        <w:t xml:space="preserve">In Spr 23,19-21 wird vor genau diesem Verhalten gewarnt: </w:t>
      </w:r>
      <w:r>
        <w:rPr>
          <w:rStyle w:val="Fett"/>
          <w:rFonts w:eastAsiaTheme="majorEastAsia"/>
          <w:rtl/>
        </w:rPr>
        <w:t>שְׁמַע־אַתָּה בְנִי וַחֲכָם וְאַשֵּׁר בַּדֶּרֶךְ לִבֶּךָ. אַל־תְּהִי בְסֹבְאֵי־יָיִן בְּזֹלְלֵי בָשָׂר לָמוֹ. כִּי־סֹבֵא וְזוֹלֵל יִוָּרֵשׁ וּקְרָעִים תַּלְבִּישׁ נוּמָה</w:t>
      </w:r>
      <w:r>
        <w:t>, „Höre, mein Sohn, und sei weise, und leite dein Herz auf den Weg. Sei nicht unter Weinsäufern, unter denen, die Fleisch verprassen. Denn Säufer und Schlemmer verarmen, und Schläfrigkeit kleidet in Lumpen."</w:t>
      </w:r>
    </w:p>
    <w:p w14:paraId="46C86DDD" w14:textId="026CEC85" w:rsidR="00AA14B9" w:rsidRDefault="00AA14B9" w:rsidP="00AA14B9">
      <w:pPr>
        <w:pStyle w:val="whitespace-normal"/>
      </w:pPr>
      <w:r>
        <w:t>Die rabbinische Tradition (Mischna Sanhedrin 8,1-5) interpretiert sehr restriktiv: Das Gesetz gilt nur für eine sehr spezifische Situation (Sohn zwischen 13 und 13 Jahren + 3 Monate, stiehlt Fleisch und Wein, isst mit schlechter Gesellschaft, etc.) – praktisch unanwendbar. Dies deutet darauf hin, dass selbst die Rabbinen das Gesetz als extrem hart empfanden und seine Anwendung minimieren wollten.</w:t>
      </w:r>
    </w:p>
    <w:p w14:paraId="27BA4CA3" w14:textId="3BE0C85B" w:rsidR="00D00836" w:rsidRDefault="00D00836" w:rsidP="00AA14B9">
      <w:pPr>
        <w:pStyle w:val="whitespace-normal"/>
      </w:pPr>
      <w:r>
        <w:rPr>
          <w:rStyle w:val="Fett"/>
        </w:rPr>
        <w:t>Die LXX</w:t>
      </w:r>
      <w:r>
        <w:t xml:space="preserve"> übersetzt </w:t>
      </w:r>
      <w:r>
        <w:rPr>
          <w:rtl/>
        </w:rPr>
        <w:t>זוֹלֵל וְסֹבֵא</w:t>
      </w:r>
      <w:r>
        <w:t xml:space="preserve"> (ein Schlemmer und Säufer) mit </w:t>
      </w:r>
      <w:proofErr w:type="spellStart"/>
      <w:r>
        <w:t>συμ</w:t>
      </w:r>
      <w:proofErr w:type="spellEnd"/>
      <w:r>
        <w:t xml:space="preserve">βολοκοπῶν </w:t>
      </w:r>
      <w:proofErr w:type="spellStart"/>
      <w:r>
        <w:t>οἰνοφλυγεῖ</w:t>
      </w:r>
      <w:proofErr w:type="spellEnd"/>
      <w:r>
        <w:t xml:space="preserve"> (Gelage haltend treibt er Weinschwelgerei) – </w:t>
      </w:r>
      <w:proofErr w:type="spellStart"/>
      <w:r>
        <w:t>συμ</w:t>
      </w:r>
      <w:proofErr w:type="spellEnd"/>
      <w:r>
        <w:t>βολοκοπέω ist ein seltenes zusammengesetztes Verb, das ausschweifende Festmähler bezeichnet.</w:t>
      </w:r>
    </w:p>
    <w:p w14:paraId="122B8CA2" w14:textId="77777777" w:rsidR="00AA14B9" w:rsidRDefault="00AA14B9" w:rsidP="00AA14B9">
      <w:pPr>
        <w:pStyle w:val="whitespace-normal"/>
      </w:pPr>
      <w:r>
        <w:rPr>
          <w:rStyle w:val="Fett"/>
          <w:rFonts w:eastAsiaTheme="majorEastAsia"/>
        </w:rPr>
        <w:t>Die Satzstruktur:</w:t>
      </w:r>
      <w:r>
        <w:t xml:space="preserve"> Formelle Anklage (und sagen sollen sie zu den Ältesten seiner Stadt: Dieser unser Sohn ist störrisch und widerspenstig, er ist nicht gehorsam auf unsere Stimme, ein Schlemmer und Säufer ist er).</w:t>
      </w:r>
    </w:p>
    <w:p w14:paraId="2BBED20F" w14:textId="77777777" w:rsidR="00AA14B9" w:rsidRDefault="00AA14B9" w:rsidP="00AA14B9">
      <w:pPr>
        <w:pStyle w:val="whitespace-normal"/>
      </w:pPr>
      <w:r>
        <w:t>Der Vers gibt die Anklage: Unser Sohn ist störrisch und widerspenstig, gehorcht uns nicht, ist ein Schlemmer und Säufer.</w:t>
      </w:r>
    </w:p>
    <w:p w14:paraId="528D4D8F" w14:textId="77777777" w:rsidR="00AA14B9" w:rsidRPr="00B27A64" w:rsidRDefault="00AA14B9" w:rsidP="00AA14B9">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21,21</w:t>
      </w:r>
    </w:p>
    <w:p w14:paraId="11E54510" w14:textId="77777777" w:rsidR="00AA14B9" w:rsidRDefault="00AA14B9" w:rsidP="00AA14B9">
      <w:pPr>
        <w:pStyle w:val="whitespace-normal"/>
      </w:pPr>
      <w:r>
        <w:rPr>
          <w:rStyle w:val="Fett"/>
          <w:rFonts w:eastAsiaTheme="majorEastAsia"/>
        </w:rPr>
        <w:t>Hebräisch:</w:t>
      </w:r>
      <w:r>
        <w:t xml:space="preserve"> </w:t>
      </w:r>
      <w:r>
        <w:rPr>
          <w:rtl/>
        </w:rPr>
        <w:t>וּ֠רְגָמֻהוּ כָּל־אַנְשֵׁ֨י עִירֹ֤ו בָֽאֲבָנִים֙ וָמֵ֔ת וּבִֽעַרְתָּ֥ הָרָ֖ע מִקִּרְבֶּ֑ךָ וְכָל־יִשְׂרָאֵ֖ל יִשְׁמְע֥וּ וְיִרָֽאוּ׃</w:t>
      </w:r>
    </w:p>
    <w:p w14:paraId="23972FAF" w14:textId="77777777" w:rsidR="00AA14B9" w:rsidRDefault="00AA14B9" w:rsidP="00AA14B9">
      <w:pPr>
        <w:pStyle w:val="whitespace-normal"/>
      </w:pPr>
      <w:r>
        <w:rPr>
          <w:rStyle w:val="Fett"/>
          <w:rFonts w:eastAsiaTheme="majorEastAsia"/>
        </w:rPr>
        <w:t>Deutsch:</w:t>
      </w:r>
      <w:r>
        <w:t xml:space="preserve"> Und alle Leute seiner Stadt sollen ihn steinigen, dass er sterbe; und du sollst das Böse aus deiner Mitte wegschaffen. Und ganz Jisra'el soll es hören und sich fürchten.</w:t>
      </w:r>
    </w:p>
    <w:p w14:paraId="7A0D213D" w14:textId="77777777" w:rsidR="00AA14B9" w:rsidRDefault="004F5CEB" w:rsidP="00AA14B9">
      <w:r>
        <w:rPr>
          <w:noProof/>
        </w:rPr>
        <w:pict w14:anchorId="3F5DF55E">
          <v:rect id="_x0000_i1593" style="width:0;height:1.5pt" o:hralign="center" o:hrstd="t" o:hr="t" fillcolor="#a0a0a0" stroked="f"/>
        </w:pict>
      </w:r>
    </w:p>
    <w:p w14:paraId="64C12B1A" w14:textId="77777777" w:rsidR="00AA14B9" w:rsidRDefault="00AA14B9" w:rsidP="00AA14B9">
      <w:pPr>
        <w:pStyle w:val="whitespace-normal"/>
      </w:pPr>
      <w:r>
        <w:rPr>
          <w:rStyle w:val="Fett"/>
          <w:rFonts w:eastAsiaTheme="majorEastAsia"/>
        </w:rPr>
        <w:t>Kommentar:</w:t>
      </w:r>
      <w:r>
        <w:t xml:space="preserve"> </w:t>
      </w:r>
      <w:r>
        <w:rPr>
          <w:rStyle w:val="Fett"/>
          <w:rFonts w:eastAsiaTheme="majorEastAsia"/>
          <w:rtl/>
        </w:rPr>
        <w:t>וּרְגָמֻהוּ כָּל־אַנְשֵׁי עִירוֹ בָאֲבָנִים וָמֵת וּבִעַרְתָּ הָרָע מִקִּרְבֶּךָ וְכָל־יִשְׂרָאֵל יִשְׁמְעוּ וְיִרָאוּ</w:t>
      </w:r>
      <w:r>
        <w:rPr>
          <w:rtl/>
        </w:rPr>
        <w:t xml:space="preserve"> </w:t>
      </w:r>
      <w:r>
        <w:t xml:space="preserve">sind fünf Anweisungen: </w:t>
      </w:r>
      <w:r>
        <w:rPr>
          <w:rStyle w:val="Fett"/>
          <w:rFonts w:eastAsiaTheme="majorEastAsia"/>
          <w:rtl/>
        </w:rPr>
        <w:t>וּרְגָמֻהוּ כָּל־אַנְשֵׁי עִירוֹ בָאֲבָנִים וָמֵת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רגם</w:t>
      </w:r>
      <w:r>
        <w:t xml:space="preserve">, Qal Perfekt, 3. Person Plural, „steinigen", mit Suffix 3. Person Maskulinum Singular, </w:t>
      </w:r>
      <w:r>
        <w:rPr>
          <w:rStyle w:val="Fett"/>
          <w:rFonts w:eastAsiaTheme="majorEastAsia"/>
          <w:rtl/>
        </w:rPr>
        <w:t>כָּל־אַנְשֵׁי עִירוֹ</w:t>
      </w:r>
      <w:r>
        <w:rPr>
          <w:rtl/>
        </w:rPr>
        <w:t xml:space="preserve"> </w:t>
      </w:r>
      <w:r>
        <w:t>als Subjekt (</w:t>
      </w:r>
      <w:r>
        <w:rPr>
          <w:rStyle w:val="Fett"/>
          <w:rFonts w:eastAsiaTheme="majorEastAsia"/>
          <w:rtl/>
        </w:rPr>
        <w:t>כֹּל</w:t>
      </w:r>
      <w:r>
        <w:t xml:space="preserve">, Construct mit </w:t>
      </w:r>
      <w:r>
        <w:rPr>
          <w:rStyle w:val="Fett"/>
          <w:rFonts w:eastAsiaTheme="majorEastAsia"/>
          <w:rtl/>
        </w:rPr>
        <w:t>אִישׁ</w:t>
      </w:r>
      <w:r>
        <w:t xml:space="preserve">, „Mann, Person", Plural Construct mit </w:t>
      </w:r>
      <w:r>
        <w:rPr>
          <w:rStyle w:val="Fett"/>
          <w:rFonts w:eastAsiaTheme="majorEastAsia"/>
          <w:rtl/>
        </w:rPr>
        <w:t>עִיר</w:t>
      </w:r>
      <w:r>
        <w:rPr>
          <w:rtl/>
        </w:rPr>
        <w:t xml:space="preserve"> </w:t>
      </w:r>
      <w:r>
        <w:t xml:space="preserve">mit Suffix 3. Person Maskulinum Singular), </w:t>
      </w:r>
      <w:r>
        <w:rPr>
          <w:rStyle w:val="Fett"/>
          <w:rFonts w:eastAsiaTheme="majorEastAsia"/>
          <w:rtl/>
        </w:rPr>
        <w:t>בָאֲבָנִים</w:t>
      </w:r>
      <w:r>
        <w:t xml:space="preserve">, Präposition </w:t>
      </w:r>
      <w:r>
        <w:rPr>
          <w:rStyle w:val="Fett"/>
          <w:rFonts w:eastAsiaTheme="majorEastAsia"/>
          <w:rtl/>
        </w:rPr>
        <w:t>בְּ</w:t>
      </w:r>
      <w:r>
        <w:rPr>
          <w:rtl/>
        </w:rPr>
        <w:t xml:space="preserve"> </w:t>
      </w:r>
      <w:r>
        <w:t xml:space="preserve">mit </w:t>
      </w:r>
      <w:r>
        <w:rPr>
          <w:rStyle w:val="Fett"/>
          <w:rFonts w:eastAsiaTheme="majorEastAsia"/>
          <w:rtl/>
        </w:rPr>
        <w:t>אֶבֶן</w:t>
      </w:r>
      <w:r>
        <w:t xml:space="preserve">, „Stein", Plural mit Artikel, </w:t>
      </w:r>
      <w:r>
        <w:rPr>
          <w:rStyle w:val="Fett"/>
          <w:rFonts w:eastAsiaTheme="majorEastAsia"/>
          <w:rtl/>
        </w:rPr>
        <w:t>וָמֵת</w:t>
      </w:r>
      <w:r>
        <w:t xml:space="preserve">, </w:t>
      </w:r>
      <w:r>
        <w:lastRenderedPageBreak/>
        <w:t xml:space="preserve">koordiniert durch </w:t>
      </w:r>
      <w:r>
        <w:rPr>
          <w:rStyle w:val="Fett"/>
          <w:rFonts w:eastAsiaTheme="majorEastAsia"/>
          <w:rtl/>
        </w:rPr>
        <w:t>וְ</w:t>
      </w:r>
      <w:r>
        <w:rPr>
          <w:rtl/>
        </w:rPr>
        <w:t xml:space="preserve"> </w:t>
      </w:r>
      <w:r>
        <w:t xml:space="preserve">mit </w:t>
      </w:r>
      <w:r>
        <w:rPr>
          <w:rStyle w:val="Fett"/>
          <w:rFonts w:eastAsiaTheme="majorEastAsia"/>
          <w:rtl/>
        </w:rPr>
        <w:t>מות</w:t>
      </w:r>
      <w:r>
        <w:t xml:space="preserve">, Qal Perfekt, 3. Person Maskulinum Singular, „sterben", mit </w:t>
      </w:r>
      <w:r>
        <w:rPr>
          <w:rStyle w:val="Fett"/>
          <w:rFonts w:eastAsiaTheme="majorEastAsia"/>
        </w:rPr>
        <w:t>Waw</w:t>
      </w:r>
      <w:r>
        <w:t xml:space="preserve"> consecutives Perfekt), </w:t>
      </w:r>
      <w:r>
        <w:rPr>
          <w:rStyle w:val="Fett"/>
          <w:rFonts w:eastAsiaTheme="majorEastAsia"/>
          <w:rtl/>
        </w:rPr>
        <w:t>וּבִעַרְתָּ הָרָע מִקִּרְבֶּךָ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בער</w:t>
      </w:r>
      <w:r>
        <w:t xml:space="preserve">, Piel Perfekt, 2. Person Maskulinum Singular, „wegschaffen, ausrotten", </w:t>
      </w:r>
      <w:r>
        <w:rPr>
          <w:rStyle w:val="Fett"/>
          <w:rFonts w:eastAsiaTheme="majorEastAsia"/>
          <w:rtl/>
        </w:rPr>
        <w:t>הָרָע</w:t>
      </w:r>
      <w:r>
        <w:t xml:space="preserve">, „das Böse", mit Artikel, </w:t>
      </w:r>
      <w:r>
        <w:rPr>
          <w:rStyle w:val="Fett"/>
          <w:rFonts w:eastAsiaTheme="majorEastAsia"/>
          <w:rtl/>
        </w:rPr>
        <w:t>מִקִּרְבֶּךָ</w:t>
      </w:r>
      <w:r>
        <w:t xml:space="preserve">, Präposition </w:t>
      </w:r>
      <w:r>
        <w:rPr>
          <w:rStyle w:val="Fett"/>
          <w:rFonts w:eastAsiaTheme="majorEastAsia"/>
          <w:rtl/>
        </w:rPr>
        <w:t>מִן</w:t>
      </w:r>
      <w:r>
        <w:rPr>
          <w:rtl/>
        </w:rPr>
        <w:t xml:space="preserve"> </w:t>
      </w:r>
      <w:r>
        <w:t xml:space="preserve">mit </w:t>
      </w:r>
      <w:r>
        <w:rPr>
          <w:rStyle w:val="Fett"/>
          <w:rFonts w:eastAsiaTheme="majorEastAsia"/>
          <w:rtl/>
        </w:rPr>
        <w:t>קֶרֶב</w:t>
      </w:r>
      <w:r>
        <w:rPr>
          <w:rtl/>
        </w:rPr>
        <w:t xml:space="preserve"> </w:t>
      </w:r>
      <w:r>
        <w:t xml:space="preserve">mit Suffix 2. Person Maskulinum Singular – deuteronomische Standardformel, vgl. V. 9), </w:t>
      </w:r>
      <w:r>
        <w:rPr>
          <w:rStyle w:val="Fett"/>
          <w:rFonts w:eastAsiaTheme="majorEastAsia"/>
          <w:rtl/>
        </w:rPr>
        <w:t>וְכָל־יִשְׂרָאֵל יִשְׁמְעוּ וְיִרָאוּ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כָּל־יִשְׂרָאֵל</w:t>
      </w:r>
      <w:r>
        <w:rPr>
          <w:rtl/>
        </w:rPr>
        <w:t xml:space="preserve"> </w:t>
      </w:r>
      <w:r>
        <w:t xml:space="preserve">als Subjekt, </w:t>
      </w:r>
      <w:r>
        <w:rPr>
          <w:rStyle w:val="Fett"/>
          <w:rFonts w:eastAsiaTheme="majorEastAsia"/>
          <w:rtl/>
        </w:rPr>
        <w:t>שׁמע</w:t>
      </w:r>
      <w:r>
        <w:t xml:space="preserve">, Qal Imperfekt, 3. Person Plural, „hören", koordiniert durch </w:t>
      </w:r>
      <w:r>
        <w:rPr>
          <w:rStyle w:val="Fett"/>
          <w:rFonts w:eastAsiaTheme="majorEastAsia"/>
          <w:rtl/>
        </w:rPr>
        <w:t>וְ</w:t>
      </w:r>
      <w:r>
        <w:rPr>
          <w:rtl/>
        </w:rPr>
        <w:t xml:space="preserve"> </w:t>
      </w:r>
      <w:r>
        <w:t xml:space="preserve">mit </w:t>
      </w:r>
      <w:r>
        <w:rPr>
          <w:rStyle w:val="Fett"/>
          <w:rFonts w:eastAsiaTheme="majorEastAsia"/>
          <w:rtl/>
        </w:rPr>
        <w:t>ירא</w:t>
      </w:r>
      <w:r>
        <w:t>, Qal Imperfekt, 3. Person Plural, „sich fürchten, Ehrfurcht haben").</w:t>
      </w:r>
    </w:p>
    <w:p w14:paraId="619F6DB8" w14:textId="1BBC0B9C" w:rsidR="00AA14B9" w:rsidRDefault="00AA14B9" w:rsidP="00AA14B9">
      <w:pPr>
        <w:pStyle w:val="whitespace-normal"/>
      </w:pPr>
      <w:r>
        <w:t xml:space="preserve">Der Vers beschreibt die Strafe und ihren Zweck: (1) </w:t>
      </w:r>
      <w:r>
        <w:rPr>
          <w:rStyle w:val="Fett"/>
          <w:rFonts w:eastAsiaTheme="majorEastAsia"/>
          <w:rtl/>
        </w:rPr>
        <w:t>וּרְגָמֻהוּ כָּל־אַנְשֵׁי עִירוֹ בָאֲבָנִים וָמֵת</w:t>
      </w:r>
      <w:r>
        <w:rPr>
          <w:rtl/>
        </w:rPr>
        <w:t xml:space="preserve"> </w:t>
      </w:r>
      <w:r>
        <w:t xml:space="preserve">(„alle Männer seiner Stadt sollen ihn steinigen mit Steinen, dass er stirbt"). Das Verb </w:t>
      </w:r>
      <w:r>
        <w:rPr>
          <w:rStyle w:val="Fett"/>
          <w:rFonts w:eastAsiaTheme="majorEastAsia"/>
          <w:rtl/>
        </w:rPr>
        <w:t>רגם</w:t>
      </w:r>
      <w:r>
        <w:rPr>
          <w:rtl/>
        </w:rPr>
        <w:t xml:space="preserve"> </w:t>
      </w:r>
      <w:r>
        <w:t xml:space="preserve">(„steinigen") ist die übliche Exekutionsmethode für bestimmte Vergehen im israelitischen Recht (vgl. Ex 8,22; 17,4; 19,13; 21,28.29.32; </w:t>
      </w:r>
      <w:r w:rsidR="00664EB6">
        <w:t>Lev</w:t>
      </w:r>
      <w:r>
        <w:t xml:space="preserve"> 20,2.27; 24,14.16.23; Num 14,10; 15,35.36; Dtn 13,11; 17,5; 21,21; 22,21.24). </w:t>
      </w:r>
      <w:r>
        <w:rPr>
          <w:rStyle w:val="Fett"/>
          <w:rFonts w:eastAsiaTheme="majorEastAsia"/>
          <w:rtl/>
        </w:rPr>
        <w:t>כָּל־אַנְשֵׁי עִירוֹ</w:t>
      </w:r>
      <w:r>
        <w:rPr>
          <w:rtl/>
        </w:rPr>
        <w:t xml:space="preserve"> </w:t>
      </w:r>
      <w:r>
        <w:t xml:space="preserve">(„alle Männer seiner Stadt") betont: Die ganze Gemeinschaft ist beteiligt – öffentliche Exekution, kollektive Verantwortung. Die Formulierung </w:t>
      </w:r>
      <w:r>
        <w:rPr>
          <w:rStyle w:val="Fett"/>
          <w:rFonts w:eastAsiaTheme="majorEastAsia"/>
          <w:rtl/>
        </w:rPr>
        <w:t>בָאֲבָנִים וָמֵת</w:t>
      </w:r>
      <w:r>
        <w:rPr>
          <w:rtl/>
        </w:rPr>
        <w:t xml:space="preserve"> </w:t>
      </w:r>
      <w:r>
        <w:t>(„mit Steinen, dass er stirbt") ist formelhaft (vgl. Deu 13,11; 17,5; 22,21.24).</w:t>
      </w:r>
    </w:p>
    <w:p w14:paraId="3C410D8D" w14:textId="77777777" w:rsidR="00AA14B9" w:rsidRDefault="00AA14B9" w:rsidP="00AA14B9">
      <w:pPr>
        <w:pStyle w:val="whitespace-normal"/>
      </w:pPr>
      <w:r>
        <w:t xml:space="preserve">(2) </w:t>
      </w:r>
      <w:r>
        <w:rPr>
          <w:rStyle w:val="Fett"/>
          <w:rFonts w:eastAsiaTheme="majorEastAsia"/>
          <w:rtl/>
        </w:rPr>
        <w:t>וּבִעַרְתָּ הָרָע מִקִּרְבֶּךָ</w:t>
      </w:r>
      <w:r>
        <w:rPr>
          <w:rtl/>
        </w:rPr>
        <w:t xml:space="preserve"> </w:t>
      </w:r>
      <w:r>
        <w:t xml:space="preserve">(„und du sollst wegschaffen das Böse aus deiner Mitte") – die deuteronomische Standardformel (vgl. 13,6; 17,7.12; 19,13.19; 21,9.21; 22,21.22.24; 24,7). Das Verb </w:t>
      </w:r>
      <w:r>
        <w:rPr>
          <w:rStyle w:val="Fett"/>
          <w:rFonts w:eastAsiaTheme="majorEastAsia"/>
          <w:rtl/>
        </w:rPr>
        <w:t>בער</w:t>
      </w:r>
      <w:r>
        <w:rPr>
          <w:rtl/>
        </w:rPr>
        <w:t xml:space="preserve"> </w:t>
      </w:r>
      <w:r>
        <w:t xml:space="preserve">im Piel („wegschaffen, ausrotten, entfernen") bezeichnet die Reinigung der Gemeinschaft vom Bösen. </w:t>
      </w:r>
      <w:r>
        <w:rPr>
          <w:rStyle w:val="Fett"/>
          <w:rFonts w:eastAsiaTheme="majorEastAsia"/>
          <w:rtl/>
        </w:rPr>
        <w:t>הָרָע</w:t>
      </w:r>
      <w:r>
        <w:rPr>
          <w:rtl/>
        </w:rPr>
        <w:t xml:space="preserve"> </w:t>
      </w:r>
      <w:r>
        <w:t>(„das Böse") bezeichnet hier sowohl die böse Person als auch das böse Verhalten.</w:t>
      </w:r>
    </w:p>
    <w:p w14:paraId="26B1AEAB" w14:textId="77777777" w:rsidR="00AA14B9" w:rsidRDefault="00AA14B9" w:rsidP="00AA14B9">
      <w:pPr>
        <w:pStyle w:val="whitespace-normal"/>
      </w:pPr>
      <w:r>
        <w:t xml:space="preserve">(3) </w:t>
      </w:r>
      <w:r>
        <w:rPr>
          <w:rStyle w:val="Fett"/>
          <w:rFonts w:eastAsiaTheme="majorEastAsia"/>
          <w:rtl/>
        </w:rPr>
        <w:t>וְכָל־יִשְׂרָאֵל יִשְׁמְעוּ וְיִרָאוּ</w:t>
      </w:r>
      <w:r>
        <w:rPr>
          <w:rtl/>
        </w:rPr>
        <w:t xml:space="preserve"> </w:t>
      </w:r>
      <w:r>
        <w:t xml:space="preserve">(„und ganz Israel soll hören und sich fürchten") – die Exekution hat abschreckende Wirkung. Die Formel </w:t>
      </w:r>
      <w:r>
        <w:rPr>
          <w:rStyle w:val="Fett"/>
          <w:rFonts w:eastAsiaTheme="majorEastAsia"/>
          <w:rtl/>
        </w:rPr>
        <w:t>יִשְׁמְעוּ וְיִרָאוּ</w:t>
      </w:r>
      <w:r>
        <w:rPr>
          <w:rtl/>
        </w:rPr>
        <w:t xml:space="preserve"> </w:t>
      </w:r>
      <w:r>
        <w:t xml:space="preserve">(„sie sollen hören und sich fürchten") erscheint mehrfach im Deuteronomium als Zweck öffentlicher Strafen (vgl. 13,12; 17,13; 19,20; 21,21). Das Verb </w:t>
      </w:r>
      <w:r>
        <w:rPr>
          <w:rStyle w:val="Fett"/>
          <w:rFonts w:eastAsiaTheme="majorEastAsia"/>
          <w:rtl/>
        </w:rPr>
        <w:t>ירא</w:t>
      </w:r>
      <w:r>
        <w:rPr>
          <w:rtl/>
        </w:rPr>
        <w:t xml:space="preserve"> </w:t>
      </w:r>
      <w:r>
        <w:t>(„sich fürchten") bezeichnet hier heilsame Furcht vor den Konsequenzen, nicht nur Terror, sondern auch Respekt vor dem Gesetz.</w:t>
      </w:r>
    </w:p>
    <w:p w14:paraId="0986A4CD" w14:textId="77777777" w:rsidR="00AA14B9" w:rsidRDefault="00AA14B9" w:rsidP="00AA14B9">
      <w:pPr>
        <w:pStyle w:val="whitespace-normal"/>
      </w:pPr>
      <w:r>
        <w:rPr>
          <w:rStyle w:val="Fett"/>
          <w:rFonts w:eastAsiaTheme="majorEastAsia"/>
        </w:rPr>
        <w:t>Beobachtung:</w:t>
      </w:r>
      <w:r>
        <w:t xml:space="preserve"> Dies ist eines der härtesten Gesetze im AT – Todesstrafe für einen rebellischen Sohn. Die rabbinische Tradition (Mischna Sanhedrin 8,1-5; 71a) interpretiert so restriktiv, dass das Gesetz praktisch nie angewendet wurde. Rabbi Jonatan (2. Jh. n. Chr.) sagt: </w:t>
      </w:r>
      <w:r>
        <w:rPr>
          <w:rStyle w:val="Fett"/>
          <w:rFonts w:eastAsiaTheme="majorEastAsia"/>
          <w:rtl/>
        </w:rPr>
        <w:t>לא היה ולא עתיד להיות</w:t>
      </w:r>
      <w:r>
        <w:t xml:space="preserve">, „Es war nie und wird nie sein" – d.h. dieses Gesetz wurde nie vollstreckt. Die Rabbinen verstanden es eher als theoretisches/pädagogisches Gesetz: </w:t>
      </w:r>
      <w:r>
        <w:rPr>
          <w:rStyle w:val="Fett"/>
          <w:rFonts w:eastAsiaTheme="majorEastAsia"/>
          <w:rtl/>
        </w:rPr>
        <w:t>דרוש וקבל שכר</w:t>
      </w:r>
      <w:r>
        <w:t>, „Studiere es und erhalte Lohn" (d.h. durch Studium lernen, nicht durch Anwendung).</w:t>
      </w:r>
    </w:p>
    <w:p w14:paraId="0D6CF550" w14:textId="77777777" w:rsidR="00AA14B9" w:rsidRDefault="00AA14B9" w:rsidP="00AA14B9">
      <w:pPr>
        <w:pStyle w:val="whitespace-normal"/>
      </w:pPr>
      <w:r>
        <w:rPr>
          <w:rStyle w:val="Fett"/>
          <w:rFonts w:eastAsiaTheme="majorEastAsia"/>
        </w:rPr>
        <w:t>Die Satzstruktur:</w:t>
      </w:r>
      <w:r>
        <w:t xml:space="preserve"> Fünf Anweisungen (steinigen sollen ihn alle Männer seiner Stadt mit Steinen, und sterben wird er; und wegschaffen sollst du das Böse aus deiner Mitte; und ganz Israel hören sollen und sich fürchten).</w:t>
      </w:r>
    </w:p>
    <w:p w14:paraId="280BB151" w14:textId="77777777" w:rsidR="00AA14B9" w:rsidRDefault="00AA14B9" w:rsidP="00AA14B9">
      <w:pPr>
        <w:pStyle w:val="whitespace-normal"/>
      </w:pPr>
      <w:r>
        <w:t>Der Vers befiehlt: Alle Männer der Stadt sollen ihn steinigen – so schaffst du das Böse weg, und ganz Israel wird es hören und sich fürchten.</w:t>
      </w:r>
    </w:p>
    <w:p w14:paraId="639E2D31" w14:textId="77777777" w:rsidR="00AA14B9" w:rsidRPr="00B27A64" w:rsidRDefault="00AA14B9" w:rsidP="00AA14B9">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21,22</w:t>
      </w:r>
    </w:p>
    <w:p w14:paraId="4638968E" w14:textId="77777777" w:rsidR="00AA14B9" w:rsidRDefault="00AA14B9" w:rsidP="00AA14B9">
      <w:pPr>
        <w:pStyle w:val="whitespace-normal"/>
      </w:pPr>
      <w:r>
        <w:rPr>
          <w:rStyle w:val="Fett"/>
          <w:rFonts w:eastAsiaTheme="majorEastAsia"/>
        </w:rPr>
        <w:t>Hebräisch:</w:t>
      </w:r>
      <w:r>
        <w:t xml:space="preserve"> </w:t>
      </w:r>
      <w:r>
        <w:rPr>
          <w:rtl/>
        </w:rPr>
        <w:t>וְכִֽי־יִהְיֶ֣ה בְאִ֗ישׁ חֵ֛טְא מִשְׁפַּט־מָ֖וֶת וְהוּמָ֑ת וְתָלִ֥יתָ אֹתוֹ֖ עַל־עֵֽץ׃</w:t>
      </w:r>
    </w:p>
    <w:p w14:paraId="03F492B1" w14:textId="77777777" w:rsidR="00AA14B9" w:rsidRDefault="00AA14B9" w:rsidP="00AA14B9">
      <w:pPr>
        <w:pStyle w:val="whitespace-normal"/>
      </w:pPr>
      <w:r>
        <w:rPr>
          <w:rStyle w:val="Fett"/>
          <w:rFonts w:eastAsiaTheme="majorEastAsia"/>
        </w:rPr>
        <w:lastRenderedPageBreak/>
        <w:t>Deutsch:</w:t>
      </w:r>
      <w:r>
        <w:t xml:space="preserve"> Und wenn an einem Mann eine Sünde ist, die ein Todesurteil nach sich zieht, und er getötet wird, und du ihn an ein Holz hängst,</w:t>
      </w:r>
    </w:p>
    <w:p w14:paraId="58AC4041" w14:textId="77777777" w:rsidR="00AA14B9" w:rsidRDefault="004F5CEB" w:rsidP="00AA14B9">
      <w:r>
        <w:rPr>
          <w:noProof/>
        </w:rPr>
        <w:pict w14:anchorId="129AE71A">
          <v:rect id="_x0000_i1594" style="width:0;height:1.5pt" o:hralign="center" o:hrstd="t" o:hr="t" fillcolor="#a0a0a0" stroked="f"/>
        </w:pict>
      </w:r>
    </w:p>
    <w:p w14:paraId="6329E10B" w14:textId="77777777" w:rsidR="00AA14B9" w:rsidRDefault="00AA14B9" w:rsidP="00AA14B9">
      <w:pPr>
        <w:pStyle w:val="whitespace-normal"/>
      </w:pPr>
      <w:r>
        <w:rPr>
          <w:rStyle w:val="Fett"/>
          <w:rFonts w:eastAsiaTheme="majorEastAsia"/>
        </w:rPr>
        <w:t>Kommentar:</w:t>
      </w:r>
      <w:r>
        <w:t xml:space="preserve"> </w:t>
      </w:r>
      <w:r>
        <w:rPr>
          <w:rStyle w:val="Fett"/>
          <w:rFonts w:eastAsiaTheme="majorEastAsia"/>
          <w:rtl/>
        </w:rPr>
        <w:t>וְכִי־יִהְיֶה בְאִישׁ חֵטְא מִשְׁפַּט־מָוֶת וְהוּמָת וְתָלִיתָ אֹתוֹ עַל־עֵץ</w:t>
      </w:r>
      <w:r>
        <w:rPr>
          <w:rtl/>
        </w:rPr>
        <w:t xml:space="preserve"> </w:t>
      </w:r>
      <w:r>
        <w:t xml:space="preserve">ist ein konditionaler Satz mit drei Verben: </w:t>
      </w:r>
      <w:r>
        <w:rPr>
          <w:rStyle w:val="Fett"/>
          <w:rFonts w:eastAsiaTheme="majorEastAsia"/>
          <w:rtl/>
        </w:rPr>
        <w:t>וְכִי־יִהְיֶה בְאִישׁ חֵטְא מִשְׁפַּט־מָוֶת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כִּי</w:t>
      </w:r>
      <w:r>
        <w:t xml:space="preserve">, „wenn", </w:t>
      </w:r>
      <w:r>
        <w:rPr>
          <w:rStyle w:val="Fett"/>
          <w:rFonts w:eastAsiaTheme="majorEastAsia"/>
          <w:rtl/>
        </w:rPr>
        <w:t>היה</w:t>
      </w:r>
      <w:r>
        <w:t xml:space="preserve">, Qal Imperfekt, 3. Person Maskulinum Singular, „sein", </w:t>
      </w:r>
      <w:r>
        <w:rPr>
          <w:rStyle w:val="Fett"/>
          <w:rFonts w:eastAsiaTheme="majorEastAsia"/>
          <w:rtl/>
        </w:rPr>
        <w:t>בְאִישׁ</w:t>
      </w:r>
      <w:r>
        <w:t xml:space="preserve">, Präposition </w:t>
      </w:r>
      <w:r>
        <w:rPr>
          <w:rStyle w:val="Fett"/>
          <w:rFonts w:eastAsiaTheme="majorEastAsia"/>
          <w:rtl/>
        </w:rPr>
        <w:t>בְּ</w:t>
      </w:r>
      <w:r>
        <w:rPr>
          <w:rtl/>
        </w:rPr>
        <w:t xml:space="preserve"> </w:t>
      </w:r>
      <w:r>
        <w:t xml:space="preserve">mit </w:t>
      </w:r>
      <w:r>
        <w:rPr>
          <w:rStyle w:val="Fett"/>
          <w:rFonts w:eastAsiaTheme="majorEastAsia"/>
          <w:rtl/>
        </w:rPr>
        <w:t>אִישׁ</w:t>
      </w:r>
      <w:r>
        <w:rPr>
          <w:rtl/>
        </w:rPr>
        <w:t xml:space="preserve"> </w:t>
      </w:r>
      <w:r>
        <w:t xml:space="preserve">– „an einem Mann, bei einem Mann", </w:t>
      </w:r>
      <w:r>
        <w:rPr>
          <w:rStyle w:val="Fett"/>
          <w:rFonts w:eastAsiaTheme="majorEastAsia"/>
          <w:rtl/>
        </w:rPr>
        <w:t>חֵטְא</w:t>
      </w:r>
      <w:r>
        <w:t xml:space="preserve">, „Sünde, Vergehen", </w:t>
      </w:r>
      <w:r>
        <w:rPr>
          <w:rStyle w:val="Fett"/>
          <w:rFonts w:eastAsiaTheme="majorEastAsia"/>
          <w:rtl/>
        </w:rPr>
        <w:t>מִשְׁפַּט־מָוֶת</w:t>
      </w:r>
      <w:r>
        <w:t xml:space="preserve">, Construct-Verbindung: </w:t>
      </w:r>
      <w:r>
        <w:rPr>
          <w:rStyle w:val="Fett"/>
          <w:rFonts w:eastAsiaTheme="majorEastAsia"/>
          <w:rtl/>
        </w:rPr>
        <w:t>מִשְׁפָּט</w:t>
      </w:r>
      <w:r>
        <w:t xml:space="preserve">, „Urteil, Rechtsspruch", Construct mit </w:t>
      </w:r>
      <w:r>
        <w:rPr>
          <w:rStyle w:val="Fett"/>
          <w:rFonts w:eastAsiaTheme="majorEastAsia"/>
          <w:rtl/>
        </w:rPr>
        <w:t>מָוֶת</w:t>
      </w:r>
      <w:r>
        <w:t xml:space="preserve">, „Tod" – „Todesurteil, todeswürdiges Vergehen"), </w:t>
      </w:r>
      <w:r>
        <w:rPr>
          <w:rStyle w:val="Fett"/>
          <w:rFonts w:eastAsiaTheme="majorEastAsia"/>
          <w:rtl/>
        </w:rPr>
        <w:t>וְהוּמָת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מות</w:t>
      </w:r>
      <w:r>
        <w:t xml:space="preserve">, Hophal Perfekt, 3. Person Maskulinum Singular, „getötet werden" – das Hophal ist Passiv des Hiphil, mit </w:t>
      </w:r>
      <w:r>
        <w:rPr>
          <w:rStyle w:val="Fett"/>
          <w:rFonts w:eastAsiaTheme="majorEastAsia"/>
        </w:rPr>
        <w:t>Waw</w:t>
      </w:r>
      <w:r>
        <w:t xml:space="preserve"> consecutives Perfekt), </w:t>
      </w:r>
      <w:r>
        <w:rPr>
          <w:rStyle w:val="Fett"/>
          <w:rFonts w:eastAsiaTheme="majorEastAsia"/>
          <w:rtl/>
        </w:rPr>
        <w:t>וְתָלִיתָ אֹתוֹ עַל־עֵץ</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תלה</w:t>
      </w:r>
      <w:r>
        <w:t xml:space="preserve">, Qal Perfekt, 2. Person Maskulinum Singular, „hängen, aufhängen", Objektpartikel </w:t>
      </w:r>
      <w:r>
        <w:rPr>
          <w:rStyle w:val="Fett"/>
          <w:rFonts w:eastAsiaTheme="majorEastAsia"/>
          <w:rtl/>
        </w:rPr>
        <w:t>אֵת</w:t>
      </w:r>
      <w:r>
        <w:rPr>
          <w:rtl/>
        </w:rPr>
        <w:t xml:space="preserve"> </w:t>
      </w:r>
      <w:r>
        <w:t xml:space="preserve">mit Suffix 3. Person Maskulinum Singular, Präposition </w:t>
      </w:r>
      <w:r>
        <w:rPr>
          <w:rStyle w:val="Fett"/>
          <w:rFonts w:eastAsiaTheme="majorEastAsia"/>
          <w:rtl/>
        </w:rPr>
        <w:t>עַל</w:t>
      </w:r>
      <w:r>
        <w:rPr>
          <w:rtl/>
        </w:rPr>
        <w:t xml:space="preserve"> </w:t>
      </w:r>
      <w:r>
        <w:t xml:space="preserve">mit </w:t>
      </w:r>
      <w:r>
        <w:rPr>
          <w:rStyle w:val="Fett"/>
          <w:rFonts w:eastAsiaTheme="majorEastAsia"/>
          <w:rtl/>
        </w:rPr>
        <w:t>עֵץ</w:t>
      </w:r>
      <w:r>
        <w:t xml:space="preserve">, „Holz, Baum", mit </w:t>
      </w:r>
      <w:r>
        <w:rPr>
          <w:rStyle w:val="Fett"/>
          <w:rFonts w:eastAsiaTheme="majorEastAsia"/>
        </w:rPr>
        <w:t>Waw</w:t>
      </w:r>
      <w:r>
        <w:t xml:space="preserve"> consecutives Perfekt).</w:t>
      </w:r>
    </w:p>
    <w:p w14:paraId="58AB3E42" w14:textId="25FFBB67" w:rsidR="00AA14B9" w:rsidRDefault="00AA14B9" w:rsidP="00AA14B9">
      <w:pPr>
        <w:pStyle w:val="whitespace-normal"/>
      </w:pPr>
      <w:r>
        <w:t xml:space="preserve">Der Vers leitet einen neuen Abschnitt ein: das Verbot, einen hingerichteten Verbrecher über Nacht hängen zu lassen (V. 22-23). Die Einleitung </w:t>
      </w:r>
      <w:r>
        <w:rPr>
          <w:rStyle w:val="Fett"/>
          <w:rFonts w:eastAsiaTheme="majorEastAsia"/>
          <w:rtl/>
        </w:rPr>
        <w:t>וְכִי־יִהְיֶה בְאִישׁ חֵטְא מִשְׁפַּט־מָוֶת</w:t>
      </w:r>
      <w:r>
        <w:rPr>
          <w:rtl/>
        </w:rPr>
        <w:t xml:space="preserve"> </w:t>
      </w:r>
      <w:r>
        <w:t xml:space="preserve">(„wenn an einem Mann ist ein Vergehen, ein Todesurteil") beschreibt ein Kapitalverbrechen. Die Formulierung </w:t>
      </w:r>
      <w:r>
        <w:rPr>
          <w:rStyle w:val="Fett"/>
          <w:rFonts w:eastAsiaTheme="majorEastAsia"/>
          <w:rtl/>
        </w:rPr>
        <w:t>חֵטְא מִשְׁפַּט־מָוֶת</w:t>
      </w:r>
      <w:r>
        <w:rPr>
          <w:rtl/>
        </w:rPr>
        <w:t xml:space="preserve"> </w:t>
      </w:r>
      <w:r>
        <w:t xml:space="preserve">ist eine Construct-Verbindung: „ein Vergehen, das Todesurteil [nach sich zieht]". Das Wort </w:t>
      </w:r>
      <w:r>
        <w:rPr>
          <w:rStyle w:val="Fett"/>
          <w:rFonts w:eastAsiaTheme="majorEastAsia"/>
          <w:rtl/>
        </w:rPr>
        <w:t>חֵטְא</w:t>
      </w:r>
      <w:r>
        <w:rPr>
          <w:rtl/>
        </w:rPr>
        <w:t xml:space="preserve"> </w:t>
      </w:r>
      <w:r>
        <w:t xml:space="preserve">(„Sünde, Vergehen") bezeichnet hier rechtliches Vergehen (vgl. Gen 20,9; 31,36; Ex 32,21.30.31; </w:t>
      </w:r>
      <w:r w:rsidR="00664EB6">
        <w:t>Lev</w:t>
      </w:r>
      <w:r>
        <w:t xml:space="preserve"> 4,3.14.23.28; 5,1.6.7.10.13; 19,17; 22,9; 24,15; Num 5,6.7; 12,11; 15,25.27.28; 18,32; 27,3; 32,23; Dtn 15,9; 19,15; 21,22; 22,26; 23,22.23; 24,4.15.16).</w:t>
      </w:r>
    </w:p>
    <w:p w14:paraId="2B385810" w14:textId="77777777" w:rsidR="00C178BF" w:rsidRDefault="00AA14B9" w:rsidP="00AA14B9">
      <w:pPr>
        <w:pStyle w:val="whitespace-normal"/>
      </w:pPr>
      <w:r>
        <w:t xml:space="preserve">Die zweite Klausel </w:t>
      </w:r>
      <w:r>
        <w:rPr>
          <w:rStyle w:val="Fett"/>
          <w:rFonts w:eastAsiaTheme="majorEastAsia"/>
          <w:rtl/>
        </w:rPr>
        <w:t>וְהוּמָת</w:t>
      </w:r>
      <w:r>
        <w:rPr>
          <w:rtl/>
        </w:rPr>
        <w:t xml:space="preserve"> </w:t>
      </w:r>
      <w:r>
        <w:t xml:space="preserve">(„und er wird getötet") – das Hophal von </w:t>
      </w:r>
      <w:r>
        <w:rPr>
          <w:rStyle w:val="Fett"/>
          <w:rFonts w:eastAsiaTheme="majorEastAsia"/>
          <w:rtl/>
        </w:rPr>
        <w:t>מות</w:t>
      </w:r>
      <w:r>
        <w:rPr>
          <w:rtl/>
        </w:rPr>
        <w:t xml:space="preserve"> </w:t>
      </w:r>
      <w:r>
        <w:t xml:space="preserve">ist Passiv: „er wird hingerichtet" (durch die zuständigen Behörden, nicht Selbstjustiz). </w:t>
      </w:r>
    </w:p>
    <w:p w14:paraId="3C804CF5" w14:textId="55C7955A" w:rsidR="00AA14B9" w:rsidRDefault="00AA14B9" w:rsidP="00AA14B9">
      <w:pPr>
        <w:pStyle w:val="whitespace-normal"/>
      </w:pPr>
      <w:r>
        <w:t xml:space="preserve">Die dritte Klausel </w:t>
      </w:r>
      <w:r>
        <w:rPr>
          <w:rStyle w:val="Fett"/>
          <w:rFonts w:eastAsiaTheme="majorEastAsia"/>
          <w:rtl/>
        </w:rPr>
        <w:t>וְתָלִיתָ אֹתוֹ עַל־עֵץ</w:t>
      </w:r>
      <w:r>
        <w:rPr>
          <w:rtl/>
        </w:rPr>
        <w:t xml:space="preserve"> </w:t>
      </w:r>
      <w:r>
        <w:t xml:space="preserve">(„und du hängst ihn an ein Holz") beschreibt eine zusätzliche Maßnahme </w:t>
      </w:r>
      <w:r>
        <w:rPr>
          <w:rStyle w:val="Fett"/>
          <w:rFonts w:eastAsiaTheme="majorEastAsia"/>
        </w:rPr>
        <w:t>nach</w:t>
      </w:r>
      <w:r>
        <w:t xml:space="preserve"> der Hinrichtung. Das Verb </w:t>
      </w:r>
      <w:r>
        <w:rPr>
          <w:rStyle w:val="Fett"/>
          <w:rFonts w:eastAsiaTheme="majorEastAsia"/>
          <w:rtl/>
        </w:rPr>
        <w:t>תלה</w:t>
      </w:r>
      <w:r>
        <w:rPr>
          <w:rtl/>
        </w:rPr>
        <w:t xml:space="preserve"> </w:t>
      </w:r>
      <w:r>
        <w:t xml:space="preserve">(„hängen, aufhängen") bezeichnet hier nicht die Todesstrafe durch Erhängen (wie im Mittelalter), sondern das Aufhängen des bereits toten Körpers zur öffentlichen Zurschaustellung (vgl. Gen 40,19.22; 41,13; Num 25,4; Dtn 21,22.23; Jos 8,29; 10,26; </w:t>
      </w:r>
      <w:r w:rsidR="00664EB6">
        <w:t>2Sam</w:t>
      </w:r>
      <w:r>
        <w:t xml:space="preserve"> 4,12; 21,6.9.12.13; Esth 2,23; 5,14; 6,4; 7,9.10; 8,7; 9,13.14.25; Ps 137,2). Die Präposition </w:t>
      </w:r>
      <w:r>
        <w:rPr>
          <w:rStyle w:val="Fett"/>
          <w:rFonts w:eastAsiaTheme="majorEastAsia"/>
          <w:rtl/>
        </w:rPr>
        <w:t>עַל־עֵץ</w:t>
      </w:r>
      <w:r>
        <w:rPr>
          <w:rtl/>
        </w:rPr>
        <w:t xml:space="preserve"> </w:t>
      </w:r>
      <w:r>
        <w:t xml:space="preserve">(„an ein Holz/Baum") – </w:t>
      </w:r>
      <w:r>
        <w:rPr>
          <w:rStyle w:val="Fett"/>
          <w:rFonts w:eastAsiaTheme="majorEastAsia"/>
          <w:rtl/>
        </w:rPr>
        <w:t>עֵץ</w:t>
      </w:r>
      <w:r>
        <w:rPr>
          <w:rtl/>
        </w:rPr>
        <w:t xml:space="preserve"> </w:t>
      </w:r>
      <w:r>
        <w:t>kann bedeuten: (1) lebender Baum, (2) Holzpfahl, Galgen (vgl. Jos 8,29; 10,26; Esth 5,14; 6,4; 7,9.10; 8,7; 9,13.25). V. 23 wird zeigen: Dies ist eine Schändung, die zeitlich begrenzt werden muss.</w:t>
      </w:r>
    </w:p>
    <w:p w14:paraId="21152AD2" w14:textId="6DCA182E" w:rsidR="00AA14B9" w:rsidRDefault="00AA14B9" w:rsidP="00AA14B9">
      <w:pPr>
        <w:pStyle w:val="whitespace-normal"/>
      </w:pPr>
      <w:r>
        <w:rPr>
          <w:rStyle w:val="Fett"/>
          <w:rFonts w:eastAsiaTheme="majorEastAsia"/>
        </w:rPr>
        <w:t>Die Satzstruktur:</w:t>
      </w:r>
      <w:r>
        <w:t xml:space="preserve"> Konditionaler Satz mit drei Verben (und wenn sein wird an einem Mann ein Vergehen, ein Todesurteil, und getötet wird er, und hängst du ihn an ein Holz).</w:t>
      </w:r>
    </w:p>
    <w:p w14:paraId="7D0E9B1D" w14:textId="47920F82" w:rsidR="00D00836" w:rsidRDefault="00D00836" w:rsidP="00AA14B9">
      <w:pPr>
        <w:pStyle w:val="whitespace-normal"/>
      </w:pPr>
      <w:r>
        <w:rPr>
          <w:rStyle w:val="Fett"/>
        </w:rPr>
        <w:t>Die LXX</w:t>
      </w:r>
      <w:r>
        <w:t xml:space="preserve"> übersetzt </w:t>
      </w:r>
      <w:r>
        <w:rPr>
          <w:rtl/>
        </w:rPr>
        <w:t>חֵטְא מִשְׁפַּט־מָוֶת</w:t>
      </w:r>
      <w:r>
        <w:t xml:space="preserve"> (eine Sünde, [die] ein Todesurteil [verdient]) mit </w:t>
      </w:r>
      <w:proofErr w:type="spellStart"/>
      <w:r>
        <w:t>ἁμ</w:t>
      </w:r>
      <w:proofErr w:type="spellEnd"/>
      <w:r>
        <w:t xml:space="preserve">αρτία </w:t>
      </w:r>
      <w:proofErr w:type="spellStart"/>
      <w:r>
        <w:t>κρίμ</w:t>
      </w:r>
      <w:proofErr w:type="spellEnd"/>
      <w:r>
        <w:t>α θα</w:t>
      </w:r>
      <w:proofErr w:type="spellStart"/>
      <w:r>
        <w:t>νάτου</w:t>
      </w:r>
      <w:proofErr w:type="spellEnd"/>
      <w:r>
        <w:t xml:space="preserve"> (eine Sünde, ein Todesurteil) – eine engere syntaktische Verbindung.</w:t>
      </w:r>
    </w:p>
    <w:p w14:paraId="44188FA2" w14:textId="77777777" w:rsidR="00AA14B9" w:rsidRDefault="00AA14B9" w:rsidP="00AA14B9">
      <w:pPr>
        <w:pStyle w:val="whitespace-normal"/>
      </w:pPr>
      <w:r>
        <w:t>Der Vers setzt den Fall: Wenn jemand wegen eines Kapitalverbrechens hingerichtet wird und du seinen Leichnam an einen Pfahl hängst.</w:t>
      </w:r>
    </w:p>
    <w:p w14:paraId="7D4B0F6B" w14:textId="77777777" w:rsidR="00AA14B9" w:rsidRPr="00B27A64" w:rsidRDefault="00AA14B9" w:rsidP="00AA14B9">
      <w:pPr>
        <w:pStyle w:val="berschrift1"/>
        <w:rPr>
          <w:rFonts w:ascii="Times New Roman" w:hAnsi="Times New Roman"/>
          <w:color w:val="auto"/>
          <w:sz w:val="36"/>
          <w:szCs w:val="36"/>
        </w:rPr>
      </w:pPr>
      <w:r w:rsidRPr="00B27A64">
        <w:rPr>
          <w:rStyle w:val="Fett"/>
          <w:rFonts w:ascii="Times New Roman" w:hAnsi="Times New Roman"/>
          <w:color w:val="auto"/>
          <w:sz w:val="36"/>
          <w:szCs w:val="36"/>
        </w:rPr>
        <w:lastRenderedPageBreak/>
        <w:t>Deuteronomium 21,23</w:t>
      </w:r>
    </w:p>
    <w:p w14:paraId="439B6658" w14:textId="77777777" w:rsidR="00AA14B9" w:rsidRDefault="00AA14B9" w:rsidP="00AA14B9">
      <w:pPr>
        <w:pStyle w:val="whitespace-normal"/>
      </w:pPr>
      <w:r>
        <w:rPr>
          <w:rStyle w:val="Fett"/>
          <w:rFonts w:eastAsiaTheme="majorEastAsia"/>
        </w:rPr>
        <w:t>Hebräisch:</w:t>
      </w:r>
      <w:r>
        <w:t xml:space="preserve"> </w:t>
      </w:r>
      <w:r>
        <w:rPr>
          <w:rtl/>
        </w:rPr>
        <w:t>לֹא־תָלִ֨ין נִבְלָתוֹ֜ עַל־הָעֵ֗ץ כִּֽי־קָב֤וֹר תִּקְבְּרֶ֨נּוּ֙ בַּיּ֣וֹם הַה֔וּא כִּֽי־קִלְלַ֥ת אֱלֹהִ֖ים תָּל֑וּי וְלֹ֤א תְטַמֵּא֙ אֶת־אַדְמָ֣תְךָ֔ אֲשֶׁר֙ יְהוָ֣ה אֱלֹהֶ֔יךָ נֹתֵ֥ן לְךָ֖ נַחֲלָֽה׃</w:t>
      </w:r>
    </w:p>
    <w:p w14:paraId="3BB21C27" w14:textId="77777777" w:rsidR="00AA14B9" w:rsidRDefault="00AA14B9" w:rsidP="00AA14B9">
      <w:pPr>
        <w:pStyle w:val="whitespace-normal"/>
      </w:pPr>
      <w:r>
        <w:rPr>
          <w:rStyle w:val="Fett"/>
          <w:rFonts w:eastAsiaTheme="majorEastAsia"/>
        </w:rPr>
        <w:t>Deutsch:</w:t>
      </w:r>
      <w:r>
        <w:t xml:space="preserve"> so soll sein Leichnam nicht über Nacht an dem Holz bleiben, sondern du sollst ihn gewiss an demselben Tag begraben; denn ein Gehängter ist ein Fluch Gottes; und du sollst dein Land nicht verunreinigen, das der Ewige, dein Gott, dir als Erbe gibt.</w:t>
      </w:r>
    </w:p>
    <w:p w14:paraId="3AEEEA5F" w14:textId="77777777" w:rsidR="00AA14B9" w:rsidRDefault="004F5CEB" w:rsidP="00AA14B9">
      <w:r>
        <w:rPr>
          <w:noProof/>
        </w:rPr>
        <w:pict w14:anchorId="5BA07CA7">
          <v:rect id="_x0000_i1595" style="width:0;height:1.5pt" o:hralign="center" o:hrstd="t" o:hr="t" fillcolor="#a0a0a0" stroked="f"/>
        </w:pict>
      </w:r>
    </w:p>
    <w:p w14:paraId="7AA20F0E" w14:textId="77777777" w:rsidR="00AA14B9" w:rsidRDefault="00AA14B9" w:rsidP="00AA14B9">
      <w:pPr>
        <w:pStyle w:val="whitespace-normal"/>
      </w:pPr>
      <w:r>
        <w:rPr>
          <w:rStyle w:val="Fett"/>
          <w:rFonts w:eastAsiaTheme="majorEastAsia"/>
        </w:rPr>
        <w:t>Kommentar:</w:t>
      </w:r>
      <w:r>
        <w:t xml:space="preserve"> </w:t>
      </w:r>
      <w:r>
        <w:rPr>
          <w:rStyle w:val="Fett"/>
          <w:rFonts w:eastAsiaTheme="majorEastAsia"/>
          <w:rtl/>
        </w:rPr>
        <w:t>לֹא־תָלִין נִבְלָתוֹ עַל־הָעֵץ כִּי־קָבוֹר תִּקְבְּרֶנּוּ בַּיּוֹם הַהוּא</w:t>
      </w:r>
      <w:r>
        <w:rPr>
          <w:rtl/>
        </w:rPr>
        <w:t xml:space="preserve"> </w:t>
      </w:r>
      <w:r>
        <w:t xml:space="preserve">ist das Verbot mit Gebot: </w:t>
      </w:r>
      <w:r>
        <w:rPr>
          <w:rStyle w:val="Fett"/>
          <w:rFonts w:eastAsiaTheme="majorEastAsia"/>
          <w:rtl/>
        </w:rPr>
        <w:t>לֹא־תָלִין נִבְלָתוֹ עַל־הָעֵץ</w:t>
      </w:r>
      <w:r>
        <w:rPr>
          <w:rtl/>
        </w:rPr>
        <w:t xml:space="preserve"> </w:t>
      </w:r>
      <w:r>
        <w:t xml:space="preserve">(Negation mit </w:t>
      </w:r>
      <w:r>
        <w:rPr>
          <w:rStyle w:val="Fett"/>
          <w:rFonts w:eastAsiaTheme="majorEastAsia"/>
          <w:rtl/>
        </w:rPr>
        <w:t>לין</w:t>
      </w:r>
      <w:r>
        <w:t xml:space="preserve">, Qal Imperfekt, 3. Person Femininum Singular, „übernachten, über Nacht bleiben", </w:t>
      </w:r>
      <w:r>
        <w:rPr>
          <w:rStyle w:val="Fett"/>
          <w:rFonts w:eastAsiaTheme="majorEastAsia"/>
          <w:rtl/>
        </w:rPr>
        <w:t>נִבְלָה</w:t>
      </w:r>
      <w:r>
        <w:t xml:space="preserve">, „Leichnam, Aas" – von Menschen oder Tieren, mit Suffix 3. Person Maskulinum Singular, </w:t>
      </w:r>
      <w:r>
        <w:rPr>
          <w:rStyle w:val="Fett"/>
          <w:rFonts w:eastAsiaTheme="majorEastAsia"/>
          <w:rtl/>
        </w:rPr>
        <w:t>עַל־הָעֵץ</w:t>
      </w:r>
      <w:r>
        <w:t xml:space="preserve">, Präposition </w:t>
      </w:r>
      <w:r>
        <w:rPr>
          <w:rStyle w:val="Fett"/>
          <w:rFonts w:eastAsiaTheme="majorEastAsia"/>
          <w:rtl/>
        </w:rPr>
        <w:t>עַל</w:t>
      </w:r>
      <w:r>
        <w:rPr>
          <w:rtl/>
        </w:rPr>
        <w:t xml:space="preserve"> </w:t>
      </w:r>
      <w:r>
        <w:t xml:space="preserve">mit </w:t>
      </w:r>
      <w:r>
        <w:rPr>
          <w:rStyle w:val="Fett"/>
          <w:rFonts w:eastAsiaTheme="majorEastAsia"/>
          <w:rtl/>
        </w:rPr>
        <w:t>עֵץ</w:t>
      </w:r>
      <w:r>
        <w:rPr>
          <w:rtl/>
        </w:rPr>
        <w:t xml:space="preserve"> </w:t>
      </w:r>
      <w:r>
        <w:t xml:space="preserve">mit Artikel), </w:t>
      </w:r>
      <w:r>
        <w:rPr>
          <w:rStyle w:val="Fett"/>
          <w:rFonts w:eastAsiaTheme="majorEastAsia"/>
          <w:rtl/>
        </w:rPr>
        <w:t>כִּי־קָבוֹר תִּקְבְּרֶנּוּ בַּיּוֹם הַהוּא</w:t>
      </w:r>
      <w:r>
        <w:rPr>
          <w:rtl/>
        </w:rPr>
        <w:t xml:space="preserve"> </w:t>
      </w:r>
      <w:r>
        <w:t>(</w:t>
      </w:r>
      <w:r>
        <w:rPr>
          <w:rStyle w:val="Fett"/>
          <w:rFonts w:eastAsiaTheme="majorEastAsia"/>
          <w:rtl/>
        </w:rPr>
        <w:t>כִּי</w:t>
      </w:r>
      <w:r>
        <w:t xml:space="preserve">, „sondern, vielmehr" – adversativ, </w:t>
      </w:r>
      <w:r>
        <w:rPr>
          <w:rStyle w:val="Fett"/>
          <w:rFonts w:eastAsiaTheme="majorEastAsia"/>
          <w:rtl/>
        </w:rPr>
        <w:t>קבר</w:t>
      </w:r>
      <w:r>
        <w:t xml:space="preserve">, Qal Infinitiv Absolutus, „begraben" – die Wiederholung Infinitiv Absolutus + finites Verb verstärkt: „gewiss begraben", </w:t>
      </w:r>
      <w:r>
        <w:rPr>
          <w:rStyle w:val="Fett"/>
          <w:rFonts w:eastAsiaTheme="majorEastAsia"/>
          <w:rtl/>
        </w:rPr>
        <w:t>קבר</w:t>
      </w:r>
      <w:r>
        <w:t xml:space="preserve">, Qal Imperfekt, 2. Person Maskulinum Singular, mit Energisches Nun und Suffix 3. Person Maskulinum Singular, </w:t>
      </w:r>
      <w:r>
        <w:rPr>
          <w:rStyle w:val="Fett"/>
          <w:rFonts w:eastAsiaTheme="majorEastAsia"/>
          <w:rtl/>
        </w:rPr>
        <w:t>בַּיּוֹם הַהוּא</w:t>
      </w:r>
      <w:r>
        <w:t xml:space="preserve">, Präposition </w:t>
      </w:r>
      <w:r>
        <w:rPr>
          <w:rStyle w:val="Fett"/>
          <w:rFonts w:eastAsiaTheme="majorEastAsia"/>
          <w:rtl/>
        </w:rPr>
        <w:t>בְּ</w:t>
      </w:r>
      <w:r>
        <w:rPr>
          <w:rtl/>
        </w:rPr>
        <w:t xml:space="preserve"> </w:t>
      </w:r>
      <w:r>
        <w:t xml:space="preserve">mit </w:t>
      </w:r>
      <w:r>
        <w:rPr>
          <w:rStyle w:val="Fett"/>
          <w:rFonts w:eastAsiaTheme="majorEastAsia"/>
          <w:rtl/>
        </w:rPr>
        <w:t>יוֹם</w:t>
      </w:r>
      <w:r>
        <w:rPr>
          <w:rtl/>
        </w:rPr>
        <w:t xml:space="preserve"> </w:t>
      </w:r>
      <w:r>
        <w:t xml:space="preserve">mit Artikel und Demonstrativpronomen </w:t>
      </w:r>
      <w:r>
        <w:rPr>
          <w:rStyle w:val="Fett"/>
          <w:rFonts w:eastAsiaTheme="majorEastAsia"/>
          <w:rtl/>
        </w:rPr>
        <w:t>הוּא</w:t>
      </w:r>
      <w:r>
        <w:rPr>
          <w:rtl/>
        </w:rPr>
        <w:t xml:space="preserve"> </w:t>
      </w:r>
      <w:r>
        <w:t>– „an jenem Tag" = „am selben Tag").</w:t>
      </w:r>
    </w:p>
    <w:p w14:paraId="36289668" w14:textId="77777777" w:rsidR="00AA14B9" w:rsidRDefault="00AA14B9" w:rsidP="00AA14B9">
      <w:pPr>
        <w:pStyle w:val="whitespace-normal"/>
      </w:pPr>
      <w:r>
        <w:rPr>
          <w:rStyle w:val="Fett"/>
          <w:rFonts w:eastAsiaTheme="majorEastAsia"/>
          <w:rtl/>
        </w:rPr>
        <w:t>כִּי־קִלְלַת אֱלֹהִים תָּלוּי וְלֹא תְטַמֵּא אֶת־אַדְמָתְךָ אֲשֶׁר יְהוָה אֱלֹהֶיךָ נֹתֵן לְךָ נַחֲלָה</w:t>
      </w:r>
      <w:r>
        <w:rPr>
          <w:rtl/>
        </w:rPr>
        <w:t xml:space="preserve"> </w:t>
      </w:r>
      <w:r>
        <w:t xml:space="preserve">ist die doppelte Begründung: </w:t>
      </w:r>
      <w:r>
        <w:rPr>
          <w:rStyle w:val="Fett"/>
          <w:rFonts w:eastAsiaTheme="majorEastAsia"/>
          <w:rtl/>
        </w:rPr>
        <w:t>כִּי־קִלְלַת אֱלֹהִים תָּלוּי</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קְלָלָה</w:t>
      </w:r>
      <w:r>
        <w:t xml:space="preserve">, „Fluch", Construct mit </w:t>
      </w:r>
      <w:r>
        <w:rPr>
          <w:rStyle w:val="Fett"/>
          <w:rFonts w:eastAsiaTheme="majorEastAsia"/>
          <w:rtl/>
        </w:rPr>
        <w:t>אֱלֹהִים</w:t>
      </w:r>
      <w:r>
        <w:t xml:space="preserve">, </w:t>
      </w:r>
      <w:r>
        <w:rPr>
          <w:rStyle w:val="Fett"/>
          <w:rFonts w:eastAsiaTheme="majorEastAsia"/>
          <w:rtl/>
        </w:rPr>
        <w:t>תָּלוּי</w:t>
      </w:r>
      <w:r>
        <w:t xml:space="preserve">, Qal Partizip Passiv von </w:t>
      </w:r>
      <w:r>
        <w:rPr>
          <w:rStyle w:val="Fett"/>
          <w:rFonts w:eastAsiaTheme="majorEastAsia"/>
          <w:rtl/>
        </w:rPr>
        <w:t>תלה</w:t>
      </w:r>
      <w:r>
        <w:t xml:space="preserve">, „gehängt" – die Konstruktion ist mehrdeutig: (1) „ein Gehängter ist ein Fluch Gottes" (d.h. der Gehängte ist von Gott verflucht), (2) „ein Gehängter ist eine Schmach/Lästerung Gottes" (d.h. der gehängte Leichnam schändet Gottes Namen)), </w:t>
      </w:r>
      <w:r>
        <w:rPr>
          <w:rStyle w:val="Fett"/>
          <w:rFonts w:eastAsiaTheme="majorEastAsia"/>
          <w:rtl/>
        </w:rPr>
        <w:t>וְלֹא תְטַמֵּא אֶת־אַדְמָתְךָ אֲשֶׁר יְהוָה אֱלֹהֶיךָ נֹתֵן לְךָ נַחֲלָה</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טמא</w:t>
      </w:r>
      <w:r>
        <w:t xml:space="preserve">, Piel Imperfekt, 2. Person Maskulinum Singular, „verunreinigen, entweihen" – das Piel ist kausativ/faktitiv, Objektpartikel </w:t>
      </w:r>
      <w:r>
        <w:rPr>
          <w:rStyle w:val="Fett"/>
          <w:rFonts w:eastAsiaTheme="majorEastAsia"/>
          <w:rtl/>
        </w:rPr>
        <w:t>אֵת</w:t>
      </w:r>
      <w:r>
        <w:rPr>
          <w:rtl/>
        </w:rPr>
        <w:t xml:space="preserve"> </w:t>
      </w:r>
      <w:r>
        <w:t xml:space="preserve">mit </w:t>
      </w:r>
      <w:r>
        <w:rPr>
          <w:rStyle w:val="Fett"/>
          <w:rFonts w:eastAsiaTheme="majorEastAsia"/>
          <w:rtl/>
        </w:rPr>
        <w:t>אֲדָמָה</w:t>
      </w:r>
      <w:r>
        <w:t xml:space="preserve">, „Land", mit Suffix 2. Person Maskulinum Singular, Relativsatz: </w:t>
      </w:r>
      <w:r>
        <w:rPr>
          <w:rStyle w:val="Fett"/>
          <w:rFonts w:eastAsiaTheme="majorEastAsia"/>
          <w:rtl/>
        </w:rPr>
        <w:t>אֲשֶׁר יְהוָה אֱלֹהֶיךָ נֹתֵן לְךָ נַחֲלָה</w:t>
      </w:r>
      <w:r>
        <w:rPr>
          <w:rtl/>
        </w:rPr>
        <w:t xml:space="preserve"> </w:t>
      </w:r>
      <w:r>
        <w:t xml:space="preserve">– </w:t>
      </w:r>
      <w:r>
        <w:rPr>
          <w:rStyle w:val="Fett"/>
          <w:rFonts w:eastAsiaTheme="majorEastAsia"/>
          <w:rtl/>
        </w:rPr>
        <w:t>נתן</w:t>
      </w:r>
      <w:r>
        <w:t xml:space="preserve">, Qal Partizip, </w:t>
      </w:r>
      <w:r>
        <w:rPr>
          <w:rStyle w:val="Fett"/>
          <w:rFonts w:eastAsiaTheme="majorEastAsia"/>
          <w:rtl/>
        </w:rPr>
        <w:t>נַחֲלָה</w:t>
      </w:r>
      <w:r>
        <w:t>, „Erbe, Erbbesitz" – deuteronomische Formel, vgl. V. 1).</w:t>
      </w:r>
    </w:p>
    <w:p w14:paraId="4E1ED33F" w14:textId="4E655526" w:rsidR="00AA14B9" w:rsidRDefault="00AA14B9" w:rsidP="00AA14B9">
      <w:pPr>
        <w:pStyle w:val="whitespace-normal"/>
      </w:pPr>
      <w:r>
        <w:t xml:space="preserve">Der Vers verbietet, den Leichnam über Nacht hängen zu lassen: (1) </w:t>
      </w:r>
      <w:r>
        <w:rPr>
          <w:rStyle w:val="Fett"/>
          <w:rFonts w:eastAsiaTheme="majorEastAsia"/>
          <w:rtl/>
        </w:rPr>
        <w:t>לֹא־תָלִין נִבְלָתוֹ עַל־הָעֵץ</w:t>
      </w:r>
      <w:r>
        <w:rPr>
          <w:rtl/>
        </w:rPr>
        <w:t xml:space="preserve"> </w:t>
      </w:r>
      <w:r>
        <w:t xml:space="preserve">(„nicht soll über Nacht bleiben sein Leichnam an dem Holz"). Das Verb </w:t>
      </w:r>
      <w:r>
        <w:rPr>
          <w:rStyle w:val="Fett"/>
          <w:rFonts w:eastAsiaTheme="majorEastAsia"/>
          <w:rtl/>
        </w:rPr>
        <w:t>לין</w:t>
      </w:r>
      <w:r>
        <w:rPr>
          <w:rtl/>
        </w:rPr>
        <w:t xml:space="preserve"> </w:t>
      </w:r>
      <w:r>
        <w:t xml:space="preserve">(„übernachten") bedeutet: von Sonnenuntergang bis Sonnenaufgang (vgl. Gen 19,2; 24,23.25.54; 28,11; 31,54; 32,14.22; Ex 23,18; 34,25; </w:t>
      </w:r>
      <w:r w:rsidR="00664EB6">
        <w:t>Lev</w:t>
      </w:r>
      <w:r>
        <w:t xml:space="preserve"> 19,13; Num 22,8.19; Dtn 16,4; 21,23).</w:t>
      </w:r>
    </w:p>
    <w:p w14:paraId="0F9AEBF6" w14:textId="77777777" w:rsidR="00AA14B9" w:rsidRDefault="00AA14B9" w:rsidP="00AA14B9">
      <w:pPr>
        <w:pStyle w:val="whitespace-normal"/>
      </w:pPr>
      <w:r>
        <w:t xml:space="preserve">(2) </w:t>
      </w:r>
      <w:r>
        <w:rPr>
          <w:rStyle w:val="Fett"/>
          <w:rFonts w:eastAsiaTheme="majorEastAsia"/>
          <w:rtl/>
        </w:rPr>
        <w:t>כִּי־קָבוֹר תִּקְבְּרֶנּוּ בַּיּוֹם הַהוּא</w:t>
      </w:r>
      <w:r>
        <w:rPr>
          <w:rtl/>
        </w:rPr>
        <w:t xml:space="preserve"> </w:t>
      </w:r>
      <w:r>
        <w:t xml:space="preserve">(„sondern gewiss begraben sollst du ihn an jenem Tag"). Die Wiederholung </w:t>
      </w:r>
      <w:r>
        <w:rPr>
          <w:rStyle w:val="Fett"/>
          <w:rFonts w:eastAsiaTheme="majorEastAsia"/>
          <w:rtl/>
        </w:rPr>
        <w:t>קָבוֹר תִּקְבְּרֶנּוּ</w:t>
      </w:r>
      <w:r>
        <w:rPr>
          <w:rtl/>
        </w:rPr>
        <w:t xml:space="preserve"> </w:t>
      </w:r>
      <w:r>
        <w:t xml:space="preserve">(Infinitiv Absolutus + finites Verb) verstärkt: „unbedingt, mit Sicherheit begraben". Die Zeitangabe </w:t>
      </w:r>
      <w:r>
        <w:rPr>
          <w:rStyle w:val="Fett"/>
          <w:rFonts w:eastAsiaTheme="majorEastAsia"/>
          <w:rtl/>
        </w:rPr>
        <w:t>בַּיּוֹם הַהוּא</w:t>
      </w:r>
      <w:r>
        <w:rPr>
          <w:rtl/>
        </w:rPr>
        <w:t xml:space="preserve"> </w:t>
      </w:r>
      <w:r>
        <w:t>(„an jenem Tag") bedeutet: am selben Tag der Hinrichtung, noch vor Sonnenuntergang.</w:t>
      </w:r>
    </w:p>
    <w:p w14:paraId="455AE833" w14:textId="77777777" w:rsidR="00AA14B9" w:rsidRDefault="00AA14B9" w:rsidP="00AA14B9">
      <w:pPr>
        <w:pStyle w:val="whitespace-normal"/>
      </w:pPr>
      <w:r>
        <w:t xml:space="preserve">Die erste Begründung: </w:t>
      </w:r>
      <w:r>
        <w:rPr>
          <w:rStyle w:val="Fett"/>
          <w:rFonts w:eastAsiaTheme="majorEastAsia"/>
          <w:rtl/>
        </w:rPr>
        <w:t>כִּי־קִלְלַת אֱלֹהִים תָּלוּי</w:t>
      </w:r>
      <w:r>
        <w:rPr>
          <w:rtl/>
        </w:rPr>
        <w:t xml:space="preserve"> </w:t>
      </w:r>
      <w:r>
        <w:t xml:space="preserve">– diese Konstruktion ist grammatisch und semantisch schwierig und wurde kontrovers interpretiert: (a) </w:t>
      </w:r>
      <w:r>
        <w:rPr>
          <w:rStyle w:val="Fett"/>
          <w:rFonts w:eastAsiaTheme="majorEastAsia"/>
        </w:rPr>
        <w:t>Traditionelle jüdische Interpretation</w:t>
      </w:r>
      <w:r>
        <w:t xml:space="preserve"> (LXX, Targume, Raschi): „ein Gehängter ist ein Fluch Gottes" = der Gehängte ist von Gott verflucht/verworfen. (b) </w:t>
      </w:r>
      <w:r>
        <w:rPr>
          <w:rStyle w:val="Fett"/>
          <w:rFonts w:eastAsiaTheme="majorEastAsia"/>
        </w:rPr>
        <w:t>Alternative Interpretation</w:t>
      </w:r>
      <w:r>
        <w:t xml:space="preserve">: „ein Gehängter ist eine Schmach/Lästerung Gottes" = der hängende Leichnam schändet Gottes </w:t>
      </w:r>
      <w:r>
        <w:lastRenderedPageBreak/>
        <w:t xml:space="preserve">Namen/Ebenbild (da der Mensch nach Gen 1,27 im Bild Gottes geschaffen ist). (c) </w:t>
      </w:r>
      <w:r>
        <w:rPr>
          <w:rStyle w:val="Fett"/>
          <w:rFonts w:eastAsiaTheme="majorEastAsia"/>
        </w:rPr>
        <w:t>Paulus' Interpretation</w:t>
      </w:r>
      <w:r>
        <w:t xml:space="preserve"> (Gal 3,13): </w:t>
      </w:r>
      <w:proofErr w:type="spellStart"/>
      <w:r>
        <w:rPr>
          <w:rStyle w:val="Fett"/>
          <w:rFonts w:eastAsiaTheme="majorEastAsia"/>
        </w:rPr>
        <w:t>Χριστὸς</w:t>
      </w:r>
      <w:proofErr w:type="spellEnd"/>
      <w:r>
        <w:rPr>
          <w:rStyle w:val="Fett"/>
          <w:rFonts w:eastAsiaTheme="majorEastAsia"/>
        </w:rPr>
        <w:t xml:space="preserve"> </w:t>
      </w:r>
      <w:proofErr w:type="spellStart"/>
      <w:r>
        <w:rPr>
          <w:rStyle w:val="Fett"/>
          <w:rFonts w:eastAsiaTheme="majorEastAsia"/>
        </w:rPr>
        <w:t>ἡμᾶς</w:t>
      </w:r>
      <w:proofErr w:type="spellEnd"/>
      <w:r>
        <w:rPr>
          <w:rStyle w:val="Fett"/>
          <w:rFonts w:eastAsiaTheme="majorEastAsia"/>
        </w:rPr>
        <w:t xml:space="preserve"> </w:t>
      </w:r>
      <w:proofErr w:type="spellStart"/>
      <w:r>
        <w:rPr>
          <w:rStyle w:val="Fett"/>
          <w:rFonts w:eastAsiaTheme="majorEastAsia"/>
        </w:rPr>
        <w:t>ἐξηγόρ</w:t>
      </w:r>
      <w:proofErr w:type="spellEnd"/>
      <w:r>
        <w:rPr>
          <w:rStyle w:val="Fett"/>
          <w:rFonts w:eastAsiaTheme="majorEastAsia"/>
        </w:rPr>
        <w:t xml:space="preserve">ασεν </w:t>
      </w:r>
      <w:proofErr w:type="spellStart"/>
      <w:r>
        <w:rPr>
          <w:rStyle w:val="Fett"/>
          <w:rFonts w:eastAsiaTheme="majorEastAsia"/>
        </w:rPr>
        <w:t>ἐκ</w:t>
      </w:r>
      <w:proofErr w:type="spellEnd"/>
      <w:r>
        <w:rPr>
          <w:rStyle w:val="Fett"/>
          <w:rFonts w:eastAsiaTheme="majorEastAsia"/>
        </w:rPr>
        <w:t xml:space="preserve"> </w:t>
      </w:r>
      <w:proofErr w:type="spellStart"/>
      <w:r>
        <w:rPr>
          <w:rStyle w:val="Fett"/>
          <w:rFonts w:eastAsiaTheme="majorEastAsia"/>
        </w:rPr>
        <w:t>τῆς</w:t>
      </w:r>
      <w:proofErr w:type="spellEnd"/>
      <w:r>
        <w:rPr>
          <w:rStyle w:val="Fett"/>
          <w:rFonts w:eastAsiaTheme="majorEastAsia"/>
        </w:rPr>
        <w:t xml:space="preserve"> κα</w:t>
      </w:r>
      <w:proofErr w:type="spellStart"/>
      <w:r>
        <w:rPr>
          <w:rStyle w:val="Fett"/>
          <w:rFonts w:eastAsiaTheme="majorEastAsia"/>
        </w:rPr>
        <w:t>τάρ</w:t>
      </w:r>
      <w:proofErr w:type="spellEnd"/>
      <w:r>
        <w:rPr>
          <w:rStyle w:val="Fett"/>
          <w:rFonts w:eastAsiaTheme="majorEastAsia"/>
        </w:rPr>
        <w:t xml:space="preserve">ας </w:t>
      </w:r>
      <w:proofErr w:type="spellStart"/>
      <w:r>
        <w:rPr>
          <w:rStyle w:val="Fett"/>
          <w:rFonts w:eastAsiaTheme="majorEastAsia"/>
        </w:rPr>
        <w:t>τοῦ</w:t>
      </w:r>
      <w:proofErr w:type="spellEnd"/>
      <w:r>
        <w:rPr>
          <w:rStyle w:val="Fett"/>
          <w:rFonts w:eastAsiaTheme="majorEastAsia"/>
        </w:rPr>
        <w:t xml:space="preserve"> </w:t>
      </w:r>
      <w:proofErr w:type="spellStart"/>
      <w:r>
        <w:rPr>
          <w:rStyle w:val="Fett"/>
          <w:rFonts w:eastAsiaTheme="majorEastAsia"/>
        </w:rPr>
        <w:t>νόμου</w:t>
      </w:r>
      <w:proofErr w:type="spellEnd"/>
      <w:r>
        <w:rPr>
          <w:rStyle w:val="Fett"/>
          <w:rFonts w:eastAsiaTheme="majorEastAsia"/>
        </w:rPr>
        <w:t xml:space="preserve"> </w:t>
      </w:r>
      <w:proofErr w:type="spellStart"/>
      <w:r>
        <w:rPr>
          <w:rStyle w:val="Fett"/>
          <w:rFonts w:eastAsiaTheme="majorEastAsia"/>
        </w:rPr>
        <w:t>γενόμενος</w:t>
      </w:r>
      <w:proofErr w:type="spellEnd"/>
      <w:r>
        <w:rPr>
          <w:rStyle w:val="Fett"/>
          <w:rFonts w:eastAsiaTheme="majorEastAsia"/>
        </w:rPr>
        <w:t xml:space="preserve"> ὑπ</w:t>
      </w:r>
      <w:proofErr w:type="spellStart"/>
      <w:r>
        <w:rPr>
          <w:rStyle w:val="Fett"/>
          <w:rFonts w:eastAsiaTheme="majorEastAsia"/>
        </w:rPr>
        <w:t>ὲρ</w:t>
      </w:r>
      <w:proofErr w:type="spellEnd"/>
      <w:r>
        <w:rPr>
          <w:rStyle w:val="Fett"/>
          <w:rFonts w:eastAsiaTheme="majorEastAsia"/>
        </w:rPr>
        <w:t xml:space="preserve"> </w:t>
      </w:r>
      <w:proofErr w:type="spellStart"/>
      <w:r>
        <w:rPr>
          <w:rStyle w:val="Fett"/>
          <w:rFonts w:eastAsiaTheme="majorEastAsia"/>
        </w:rPr>
        <w:t>ἡμῶν</w:t>
      </w:r>
      <w:proofErr w:type="spellEnd"/>
      <w:r>
        <w:rPr>
          <w:rStyle w:val="Fett"/>
          <w:rFonts w:eastAsiaTheme="majorEastAsia"/>
        </w:rPr>
        <w:t xml:space="preserve"> κα</w:t>
      </w:r>
      <w:proofErr w:type="spellStart"/>
      <w:r>
        <w:rPr>
          <w:rStyle w:val="Fett"/>
          <w:rFonts w:eastAsiaTheme="majorEastAsia"/>
        </w:rPr>
        <w:t>τάρ</w:t>
      </w:r>
      <w:proofErr w:type="spellEnd"/>
      <w:r>
        <w:rPr>
          <w:rStyle w:val="Fett"/>
          <w:rFonts w:eastAsiaTheme="majorEastAsia"/>
        </w:rPr>
        <w:t xml:space="preserve">α, </w:t>
      </w:r>
      <w:proofErr w:type="spellStart"/>
      <w:r>
        <w:rPr>
          <w:rStyle w:val="Fett"/>
          <w:rFonts w:eastAsiaTheme="majorEastAsia"/>
        </w:rPr>
        <w:t>ὅτι</w:t>
      </w:r>
      <w:proofErr w:type="spellEnd"/>
      <w:r>
        <w:rPr>
          <w:rStyle w:val="Fett"/>
          <w:rFonts w:eastAsiaTheme="majorEastAsia"/>
        </w:rPr>
        <w:t xml:space="preserve"> </w:t>
      </w:r>
      <w:proofErr w:type="spellStart"/>
      <w:r>
        <w:rPr>
          <w:rStyle w:val="Fett"/>
          <w:rFonts w:eastAsiaTheme="majorEastAsia"/>
        </w:rPr>
        <w:t>γέγρ</w:t>
      </w:r>
      <w:proofErr w:type="spellEnd"/>
      <w:r>
        <w:rPr>
          <w:rStyle w:val="Fett"/>
          <w:rFonts w:eastAsiaTheme="majorEastAsia"/>
        </w:rPr>
        <w:t>απται· ἐπ</w:t>
      </w:r>
      <w:proofErr w:type="spellStart"/>
      <w:r>
        <w:rPr>
          <w:rStyle w:val="Fett"/>
          <w:rFonts w:eastAsiaTheme="majorEastAsia"/>
        </w:rPr>
        <w:t>ικ</w:t>
      </w:r>
      <w:proofErr w:type="spellEnd"/>
      <w:r>
        <w:rPr>
          <w:rStyle w:val="Fett"/>
          <w:rFonts w:eastAsiaTheme="majorEastAsia"/>
        </w:rPr>
        <w:t>ατάρατος π</w:t>
      </w:r>
      <w:proofErr w:type="spellStart"/>
      <w:r>
        <w:rPr>
          <w:rStyle w:val="Fett"/>
          <w:rFonts w:eastAsiaTheme="majorEastAsia"/>
        </w:rPr>
        <w:t>ᾶς</w:t>
      </w:r>
      <w:proofErr w:type="spellEnd"/>
      <w:r>
        <w:rPr>
          <w:rStyle w:val="Fett"/>
          <w:rFonts w:eastAsiaTheme="majorEastAsia"/>
        </w:rPr>
        <w:t xml:space="preserve"> ὁ </w:t>
      </w:r>
      <w:proofErr w:type="spellStart"/>
      <w:r>
        <w:rPr>
          <w:rStyle w:val="Fett"/>
          <w:rFonts w:eastAsiaTheme="majorEastAsia"/>
        </w:rPr>
        <w:t>κρεμάμενος</w:t>
      </w:r>
      <w:proofErr w:type="spellEnd"/>
      <w:r>
        <w:rPr>
          <w:rStyle w:val="Fett"/>
          <w:rFonts w:eastAsiaTheme="majorEastAsia"/>
        </w:rPr>
        <w:t xml:space="preserve"> ἐπὶ </w:t>
      </w:r>
      <w:proofErr w:type="spellStart"/>
      <w:r>
        <w:rPr>
          <w:rStyle w:val="Fett"/>
          <w:rFonts w:eastAsiaTheme="majorEastAsia"/>
        </w:rPr>
        <w:t>ξύλου</w:t>
      </w:r>
      <w:proofErr w:type="spellEnd"/>
      <w:r>
        <w:t xml:space="preserve">, „Christus hat uns losgekauft vom Fluch des Gesetzes, indem er für uns zum Fluch wurde; denn es steht geschrieben: Verflucht ist jeder, der am Holz hängt" – Paulus zitiert frei und interpretiert </w:t>
      </w:r>
      <w:r>
        <w:rPr>
          <w:rStyle w:val="Fett"/>
          <w:rFonts w:eastAsiaTheme="majorEastAsia"/>
          <w:rtl/>
        </w:rPr>
        <w:t>קִלְלַת אֱלֹהִים</w:t>
      </w:r>
      <w:r>
        <w:rPr>
          <w:rtl/>
        </w:rPr>
        <w:t xml:space="preserve"> </w:t>
      </w:r>
      <w:r>
        <w:t>als Fluch, den Christus auf sich genommen hat.</w:t>
      </w:r>
    </w:p>
    <w:p w14:paraId="4B8AD055" w14:textId="7B16B920" w:rsidR="00AA14B9" w:rsidRDefault="00AA14B9" w:rsidP="00AA14B9">
      <w:pPr>
        <w:pStyle w:val="whitespace-normal"/>
      </w:pPr>
      <w:r>
        <w:t xml:space="preserve">Die zweite Begründung: </w:t>
      </w:r>
      <w:r>
        <w:rPr>
          <w:rStyle w:val="Fett"/>
          <w:rFonts w:eastAsiaTheme="majorEastAsia"/>
          <w:rtl/>
        </w:rPr>
        <w:t>וְלֹא תְטַמֵּא אֶת־אַדְמָתְךָ אֲשֶׁר יְהוָה אֱלֹהֶיךָ נֹתֵן לְךָ נַחֲלָה</w:t>
      </w:r>
      <w:r>
        <w:rPr>
          <w:rtl/>
        </w:rPr>
        <w:t xml:space="preserve"> </w:t>
      </w:r>
      <w:r>
        <w:t xml:space="preserve">(„und du sollst nicht verunreinigen dein Land, das JHWH, dein Gott, dir gibt als Erbe"). Das Verb </w:t>
      </w:r>
      <w:r>
        <w:rPr>
          <w:rStyle w:val="Fett"/>
          <w:rFonts w:eastAsiaTheme="majorEastAsia"/>
          <w:rtl/>
        </w:rPr>
        <w:t>טמא</w:t>
      </w:r>
      <w:r>
        <w:rPr>
          <w:rtl/>
        </w:rPr>
        <w:t xml:space="preserve"> </w:t>
      </w:r>
      <w:r>
        <w:t xml:space="preserve">im Piel („verunreinigen, entweihen") bezeichnet rituelle und moralische Verunreinigung (vgl. </w:t>
      </w:r>
      <w:r w:rsidR="00664EB6">
        <w:t>Lev</w:t>
      </w:r>
      <w:r>
        <w:t xml:space="preserve"> 11,24-47; 15,31; 18,24-30; 19,31; 20,3.25; 21,1.4.11; 22,5.8; Num 5,3; 6,7.9; 19,13.20; 35,33-34; Dtn 21,23; 24,4). Ein über Nacht hängender Leichnam verunreinigt das </w:t>
      </w:r>
      <w:proofErr w:type="spellStart"/>
      <w:r>
        <w:t>heilige</w:t>
      </w:r>
      <w:proofErr w:type="spellEnd"/>
      <w:r>
        <w:t xml:space="preserve"> Land. Die Formulierung </w:t>
      </w:r>
      <w:r>
        <w:rPr>
          <w:rStyle w:val="Fett"/>
          <w:rFonts w:eastAsiaTheme="majorEastAsia"/>
          <w:rtl/>
        </w:rPr>
        <w:t>אֲשֶׁר יְהוָה אֱלֹהֶיךָ נֹתֵן לְךָ נַחֲלָה</w:t>
      </w:r>
      <w:r>
        <w:rPr>
          <w:rtl/>
        </w:rPr>
        <w:t xml:space="preserve"> </w:t>
      </w:r>
      <w:r>
        <w:t>erinnert an V. 1 – das Land ist heilig, weil es JHWHs Gabe ist.</w:t>
      </w:r>
    </w:p>
    <w:p w14:paraId="2767249F" w14:textId="06EC1EF1" w:rsidR="00AA14B9" w:rsidRDefault="00AA14B9" w:rsidP="00AA14B9">
      <w:pPr>
        <w:pStyle w:val="whitespace-normal"/>
      </w:pPr>
      <w:r>
        <w:rPr>
          <w:rStyle w:val="Fett"/>
          <w:rFonts w:eastAsiaTheme="majorEastAsia"/>
        </w:rPr>
        <w:t>Anwendungen:</w:t>
      </w:r>
      <w:r>
        <w:t xml:space="preserve"> (1) Jos 8,29; 10,26-27: Josua lässt die gehängten Leichname von besiegten Königen noch vor Sonnenuntergang abnehmen und begraben – explizit nach Dtn 21,23. (2) Joh 19,31: Die Juden bitten Pilatus, die Gekreuzigten (Jesus und die beiden Verbrecher) vor dem Sabbat abzunehmen – </w:t>
      </w:r>
      <w:proofErr w:type="spellStart"/>
      <w:r>
        <w:rPr>
          <w:rStyle w:val="Fett"/>
          <w:rFonts w:eastAsiaTheme="majorEastAsia"/>
        </w:rPr>
        <w:t>οἱ</w:t>
      </w:r>
      <w:proofErr w:type="spellEnd"/>
      <w:r>
        <w:rPr>
          <w:rStyle w:val="Fett"/>
          <w:rFonts w:eastAsiaTheme="majorEastAsia"/>
        </w:rPr>
        <w:t xml:space="preserve"> </w:t>
      </w:r>
      <w:proofErr w:type="spellStart"/>
      <w:r>
        <w:rPr>
          <w:rStyle w:val="Fett"/>
          <w:rFonts w:eastAsiaTheme="majorEastAsia"/>
        </w:rPr>
        <w:t>οὖν</w:t>
      </w:r>
      <w:proofErr w:type="spellEnd"/>
      <w:r>
        <w:rPr>
          <w:rStyle w:val="Fett"/>
          <w:rFonts w:eastAsiaTheme="majorEastAsia"/>
        </w:rPr>
        <w:t xml:space="preserve"> </w:t>
      </w:r>
      <w:proofErr w:type="spellStart"/>
      <w:r>
        <w:rPr>
          <w:rStyle w:val="Fett"/>
          <w:rFonts w:eastAsiaTheme="majorEastAsia"/>
        </w:rPr>
        <w:t>Ἰουδ</w:t>
      </w:r>
      <w:proofErr w:type="spellEnd"/>
      <w:r>
        <w:rPr>
          <w:rStyle w:val="Fett"/>
          <w:rFonts w:eastAsiaTheme="majorEastAsia"/>
        </w:rPr>
        <w:t>αῖοι, ἐπ</w:t>
      </w:r>
      <w:proofErr w:type="spellStart"/>
      <w:r>
        <w:rPr>
          <w:rStyle w:val="Fett"/>
          <w:rFonts w:eastAsiaTheme="majorEastAsia"/>
        </w:rPr>
        <w:t>εὶ</w:t>
      </w:r>
      <w:proofErr w:type="spellEnd"/>
      <w:r>
        <w:rPr>
          <w:rStyle w:val="Fett"/>
          <w:rFonts w:eastAsiaTheme="majorEastAsia"/>
        </w:rPr>
        <w:t xml:space="preserve"> παρα</w:t>
      </w:r>
      <w:proofErr w:type="spellStart"/>
      <w:r>
        <w:rPr>
          <w:rStyle w:val="Fett"/>
          <w:rFonts w:eastAsiaTheme="majorEastAsia"/>
        </w:rPr>
        <w:t>σκευὴ</w:t>
      </w:r>
      <w:proofErr w:type="spellEnd"/>
      <w:r>
        <w:rPr>
          <w:rStyle w:val="Fett"/>
          <w:rFonts w:eastAsiaTheme="majorEastAsia"/>
        </w:rPr>
        <w:t xml:space="preserve"> </w:t>
      </w:r>
      <w:proofErr w:type="spellStart"/>
      <w:r>
        <w:rPr>
          <w:rStyle w:val="Fett"/>
          <w:rFonts w:eastAsiaTheme="majorEastAsia"/>
        </w:rPr>
        <w:t>ἦν</w:t>
      </w:r>
      <w:proofErr w:type="spellEnd"/>
      <w:r>
        <w:rPr>
          <w:rStyle w:val="Fett"/>
          <w:rFonts w:eastAsiaTheme="majorEastAsia"/>
        </w:rPr>
        <w:t xml:space="preserve">, </w:t>
      </w:r>
      <w:proofErr w:type="spellStart"/>
      <w:r>
        <w:rPr>
          <w:rStyle w:val="Fett"/>
          <w:rFonts w:eastAsiaTheme="majorEastAsia"/>
        </w:rPr>
        <w:t>ἵν</w:t>
      </w:r>
      <w:proofErr w:type="spellEnd"/>
      <w:r>
        <w:rPr>
          <w:rStyle w:val="Fett"/>
          <w:rFonts w:eastAsiaTheme="majorEastAsia"/>
        </w:rPr>
        <w:t xml:space="preserve">α </w:t>
      </w:r>
      <w:proofErr w:type="spellStart"/>
      <w:r>
        <w:rPr>
          <w:rStyle w:val="Fett"/>
          <w:rFonts w:eastAsiaTheme="majorEastAsia"/>
        </w:rPr>
        <w:t>μὴ</w:t>
      </w:r>
      <w:proofErr w:type="spellEnd"/>
      <w:r>
        <w:rPr>
          <w:rStyle w:val="Fett"/>
          <w:rFonts w:eastAsiaTheme="majorEastAsia"/>
        </w:rPr>
        <w:t xml:space="preserve"> </w:t>
      </w:r>
      <w:proofErr w:type="spellStart"/>
      <w:r>
        <w:rPr>
          <w:rStyle w:val="Fett"/>
          <w:rFonts w:eastAsiaTheme="majorEastAsia"/>
        </w:rPr>
        <w:t>μείνῃ</w:t>
      </w:r>
      <w:proofErr w:type="spellEnd"/>
      <w:r>
        <w:rPr>
          <w:rStyle w:val="Fett"/>
          <w:rFonts w:eastAsiaTheme="majorEastAsia"/>
        </w:rPr>
        <w:t xml:space="preserve"> ἐπὶ </w:t>
      </w:r>
      <w:proofErr w:type="spellStart"/>
      <w:r>
        <w:rPr>
          <w:rStyle w:val="Fett"/>
          <w:rFonts w:eastAsiaTheme="majorEastAsia"/>
        </w:rPr>
        <w:t>τοῦ</w:t>
      </w:r>
      <w:proofErr w:type="spellEnd"/>
      <w:r>
        <w:rPr>
          <w:rStyle w:val="Fett"/>
          <w:rFonts w:eastAsiaTheme="majorEastAsia"/>
        </w:rPr>
        <w:t xml:space="preserve"> </w:t>
      </w:r>
      <w:proofErr w:type="spellStart"/>
      <w:r>
        <w:rPr>
          <w:rStyle w:val="Fett"/>
          <w:rFonts w:eastAsiaTheme="majorEastAsia"/>
        </w:rPr>
        <w:t>στ</w:t>
      </w:r>
      <w:proofErr w:type="spellEnd"/>
      <w:r>
        <w:rPr>
          <w:rStyle w:val="Fett"/>
          <w:rFonts w:eastAsiaTheme="majorEastAsia"/>
        </w:rPr>
        <w:t xml:space="preserve">αυροῦ </w:t>
      </w:r>
      <w:proofErr w:type="spellStart"/>
      <w:r>
        <w:rPr>
          <w:rStyle w:val="Fett"/>
          <w:rFonts w:eastAsiaTheme="majorEastAsia"/>
        </w:rPr>
        <w:t>τὰ</w:t>
      </w:r>
      <w:proofErr w:type="spellEnd"/>
      <w:r>
        <w:rPr>
          <w:rStyle w:val="Fett"/>
          <w:rFonts w:eastAsiaTheme="majorEastAsia"/>
        </w:rPr>
        <w:t xml:space="preserve"> </w:t>
      </w:r>
      <w:proofErr w:type="spellStart"/>
      <w:r>
        <w:rPr>
          <w:rStyle w:val="Fett"/>
          <w:rFonts w:eastAsiaTheme="majorEastAsia"/>
        </w:rPr>
        <w:t>σώμ</w:t>
      </w:r>
      <w:proofErr w:type="spellEnd"/>
      <w:r>
        <w:rPr>
          <w:rStyle w:val="Fett"/>
          <w:rFonts w:eastAsiaTheme="majorEastAsia"/>
        </w:rPr>
        <w:t xml:space="preserve">ατα </w:t>
      </w:r>
      <w:proofErr w:type="spellStart"/>
      <w:r>
        <w:rPr>
          <w:rStyle w:val="Fett"/>
          <w:rFonts w:eastAsiaTheme="majorEastAsia"/>
        </w:rPr>
        <w:t>ἐν</w:t>
      </w:r>
      <w:proofErr w:type="spellEnd"/>
      <w:r>
        <w:rPr>
          <w:rStyle w:val="Fett"/>
          <w:rFonts w:eastAsiaTheme="majorEastAsia"/>
        </w:rPr>
        <w:t xml:space="preserve"> </w:t>
      </w:r>
      <w:proofErr w:type="spellStart"/>
      <w:r>
        <w:rPr>
          <w:rStyle w:val="Fett"/>
          <w:rFonts w:eastAsiaTheme="majorEastAsia"/>
        </w:rPr>
        <w:t>τῷ</w:t>
      </w:r>
      <w:proofErr w:type="spellEnd"/>
      <w:r>
        <w:rPr>
          <w:rStyle w:val="Fett"/>
          <w:rFonts w:eastAsiaTheme="majorEastAsia"/>
        </w:rPr>
        <w:t xml:space="preserve"> σαββ</w:t>
      </w:r>
      <w:proofErr w:type="spellStart"/>
      <w:r>
        <w:rPr>
          <w:rStyle w:val="Fett"/>
          <w:rFonts w:eastAsiaTheme="majorEastAsia"/>
        </w:rPr>
        <w:t>άτῳ</w:t>
      </w:r>
      <w:proofErr w:type="spellEnd"/>
      <w:r>
        <w:t>, „Die Juden nun, weil es Rüsttag war, [baten Pilatus], damit die Leiber nicht am Kreuz blieben während des Sabbats" – wahrscheinlich mit Bezug auf Dtn 21,23.</w:t>
      </w:r>
    </w:p>
    <w:p w14:paraId="2B6BC51D" w14:textId="578AC16A" w:rsidR="00D00836" w:rsidRDefault="00D00836" w:rsidP="00AA14B9">
      <w:pPr>
        <w:pStyle w:val="whitespace-normal"/>
      </w:pPr>
      <w:r>
        <w:rPr>
          <w:rStyle w:val="Fett"/>
        </w:rPr>
        <w:t>Die LXX</w:t>
      </w:r>
      <w:r>
        <w:t xml:space="preserve"> übersetzt </w:t>
      </w:r>
      <w:r>
        <w:rPr>
          <w:rtl/>
        </w:rPr>
        <w:t>קִלְלַת אֱלֹהִים תָּלוּי</w:t>
      </w:r>
      <w:r>
        <w:t xml:space="preserve"> (ein Fluch Gottes ist ein Gehängter) mit </w:t>
      </w:r>
      <w:proofErr w:type="spellStart"/>
      <w:r>
        <w:t>κεκ</w:t>
      </w:r>
      <w:proofErr w:type="spellEnd"/>
      <w:r>
        <w:t xml:space="preserve">ατηραμένος ὑπὸ </w:t>
      </w:r>
      <w:proofErr w:type="spellStart"/>
      <w:r>
        <w:t>θεοῦ</w:t>
      </w:r>
      <w:proofErr w:type="spellEnd"/>
      <w:r>
        <w:t xml:space="preserve"> π</w:t>
      </w:r>
      <w:proofErr w:type="spellStart"/>
      <w:r>
        <w:t>ᾶς</w:t>
      </w:r>
      <w:proofErr w:type="spellEnd"/>
      <w:r>
        <w:t xml:space="preserve"> </w:t>
      </w:r>
      <w:proofErr w:type="spellStart"/>
      <w:r>
        <w:t>κρεμάμενος</w:t>
      </w:r>
      <w:proofErr w:type="spellEnd"/>
      <w:r>
        <w:t xml:space="preserve"> (verflucht von Gott ist jeder Gehängte) – ein Partizip Perfekt Passiv, das den Zustand des </w:t>
      </w:r>
      <w:proofErr w:type="spellStart"/>
      <w:r>
        <w:t>Verfluchtsein</w:t>
      </w:r>
      <w:proofErr w:type="spellEnd"/>
      <w:r>
        <w:t xml:space="preserve"> betont. Diese Formulierung ist theologisch bedeutsam, besonders im neutestamentlichen Kontext (Gal 3,13). Das Verb ἐπ</w:t>
      </w:r>
      <w:proofErr w:type="spellStart"/>
      <w:r>
        <w:t>ικοιμηθήσετ</w:t>
      </w:r>
      <w:proofErr w:type="spellEnd"/>
      <w:r>
        <w:t xml:space="preserve">αι (übernachten wird) für </w:t>
      </w:r>
      <w:r>
        <w:rPr>
          <w:rtl/>
        </w:rPr>
        <w:t>לֹא־תָלִין</w:t>
      </w:r>
      <w:r>
        <w:t xml:space="preserve"> ist eine euphemistische Ausdrucksweise.</w:t>
      </w:r>
    </w:p>
    <w:p w14:paraId="3AF4B623" w14:textId="77777777" w:rsidR="00AA14B9" w:rsidRDefault="00AA14B9" w:rsidP="00AA14B9">
      <w:pPr>
        <w:pStyle w:val="whitespace-normal"/>
      </w:pPr>
      <w:r>
        <w:rPr>
          <w:rStyle w:val="Fett"/>
          <w:rFonts w:eastAsiaTheme="majorEastAsia"/>
        </w:rPr>
        <w:t>Die Satzstruktur:</w:t>
      </w:r>
      <w:r>
        <w:t xml:space="preserve"> Verbot mit Gebot und doppelter Begründung (nicht über Nacht bleiben soll sein Leichnam an dem Holz, sondern gewiss begraben sollst du ihn an jenem Tag; denn ein Fluch Gottes ist ein Gehängter; und nicht verunreinigen sollst du dein Land, das JHWH, dein Gott, gibt dir als Erbe).</w:t>
      </w:r>
    </w:p>
    <w:p w14:paraId="58FC3667" w14:textId="28BDF69C" w:rsidR="00AA14B9" w:rsidRDefault="00AA14B9" w:rsidP="00AA14B9">
      <w:pPr>
        <w:pStyle w:val="whitespace-normal"/>
      </w:pPr>
      <w:r>
        <w:t>Der Vers verbietet: Sein Leichnam darf nicht über Nacht hängen bleiben – begrabe ihn noch am selben Tag; denn ein Gehängter ist ein Fluch Gottes, und du sollst das Land nicht verunreinigen.</w:t>
      </w:r>
    </w:p>
    <w:p w14:paraId="2FEE93D6" w14:textId="77777777" w:rsidR="00C178BF" w:rsidRPr="00B27A64" w:rsidRDefault="00C178BF" w:rsidP="00C178BF">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22,1</w:t>
      </w:r>
    </w:p>
    <w:p w14:paraId="6EAA4A56" w14:textId="77777777" w:rsidR="00C178BF" w:rsidRDefault="00C178BF" w:rsidP="00C178BF">
      <w:pPr>
        <w:pStyle w:val="whitespace-normal"/>
      </w:pPr>
      <w:r>
        <w:rPr>
          <w:rStyle w:val="Fett"/>
          <w:rFonts w:eastAsiaTheme="majorEastAsia"/>
        </w:rPr>
        <w:t>Hebräisch:</w:t>
      </w:r>
      <w:r>
        <w:t xml:space="preserve"> </w:t>
      </w:r>
      <w:r>
        <w:rPr>
          <w:rtl/>
        </w:rPr>
        <w:t>לֹֽא־תִרְאֶה֩ אֶת־שׁ֨וֹר אָחִ֜יךָ א֤וֹ אֶת־שֵׂיוֹ֙ נִדָּחִ֔ים וְהִתְעַלַּמְתָּ֖ מֵהֶ֑ם הָשֵׁ֥ב תְּשִׁיבֵ֖ם לְאָחִֽיךָ׃</w:t>
      </w:r>
    </w:p>
    <w:p w14:paraId="15F2BE08" w14:textId="77777777" w:rsidR="00C178BF" w:rsidRDefault="00C178BF" w:rsidP="00C178BF">
      <w:pPr>
        <w:pStyle w:val="whitespace-normal"/>
      </w:pPr>
      <w:r>
        <w:rPr>
          <w:rStyle w:val="Fett"/>
          <w:rFonts w:eastAsiaTheme="majorEastAsia"/>
        </w:rPr>
        <w:t>Deutsch:</w:t>
      </w:r>
      <w:r>
        <w:t xml:space="preserve"> Du sollst nicht zusehen, wie das Rind deines Bruders oder sein Schaf umherirrt, und dich ihnen entziehen; du sollst sie deinem Bruder gewiss zurückbringen.</w:t>
      </w:r>
    </w:p>
    <w:p w14:paraId="1C70E4E4" w14:textId="77777777" w:rsidR="00C178BF" w:rsidRDefault="004F5CEB" w:rsidP="00C178BF">
      <w:r>
        <w:rPr>
          <w:noProof/>
        </w:rPr>
        <w:pict w14:anchorId="5C8D331C">
          <v:rect id="_x0000_i1596" style="width:0;height:1.5pt" o:hralign="center" o:hrstd="t" o:hr="t" fillcolor="#a0a0a0" stroked="f"/>
        </w:pict>
      </w:r>
    </w:p>
    <w:p w14:paraId="3209CA35" w14:textId="77777777" w:rsidR="00C178BF" w:rsidRDefault="00C178BF" w:rsidP="00C178BF">
      <w:pPr>
        <w:pStyle w:val="whitespace-normal"/>
      </w:pPr>
      <w:r>
        <w:rPr>
          <w:rStyle w:val="Fett"/>
          <w:rFonts w:eastAsiaTheme="majorEastAsia"/>
        </w:rPr>
        <w:lastRenderedPageBreak/>
        <w:t>Kommentar:</w:t>
      </w:r>
      <w:r>
        <w:t xml:space="preserve"> </w:t>
      </w:r>
      <w:r>
        <w:rPr>
          <w:rStyle w:val="Fett"/>
          <w:rFonts w:eastAsiaTheme="majorEastAsia"/>
          <w:rtl/>
        </w:rPr>
        <w:t>לֹא־תִרְאֶה אֶת־שׁוֹר אָחִיךָ אוֹ אֶת־שֵׂיוֹ נִדָּחִים וְהִתְעַלַּמְתָּ מֵהֶם</w:t>
      </w:r>
      <w:r>
        <w:rPr>
          <w:rtl/>
        </w:rPr>
        <w:t xml:space="preserve"> </w:t>
      </w:r>
      <w:r>
        <w:t xml:space="preserve">ist das Verbot: </w:t>
      </w:r>
      <w:r>
        <w:rPr>
          <w:rStyle w:val="Fett"/>
          <w:rFonts w:eastAsiaTheme="majorEastAsia"/>
          <w:rtl/>
        </w:rPr>
        <w:t>לֹא־תִרְאֶה</w:t>
      </w:r>
      <w:r>
        <w:rPr>
          <w:rtl/>
        </w:rPr>
        <w:t xml:space="preserve"> </w:t>
      </w:r>
      <w:r>
        <w:t xml:space="preserve">(Negation mit </w:t>
      </w:r>
      <w:r>
        <w:rPr>
          <w:rStyle w:val="Fett"/>
          <w:rFonts w:eastAsiaTheme="majorEastAsia"/>
          <w:rtl/>
        </w:rPr>
        <w:t>ראה</w:t>
      </w:r>
      <w:r>
        <w:t xml:space="preserve">, Qal Imperfekt, 2. Person Maskulinum Singular, „sehen"), </w:t>
      </w:r>
      <w:r>
        <w:rPr>
          <w:rStyle w:val="Fett"/>
          <w:rFonts w:eastAsiaTheme="majorEastAsia"/>
          <w:rtl/>
        </w:rPr>
        <w:t>אֶת־שׁוֹר אָחִיךָ</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שׁוֹר</w:t>
      </w:r>
      <w:r>
        <w:t xml:space="preserve">, „Rind, Ochse, Stier", Construct mit </w:t>
      </w:r>
      <w:r>
        <w:rPr>
          <w:rStyle w:val="Fett"/>
          <w:rFonts w:eastAsiaTheme="majorEastAsia"/>
          <w:rtl/>
        </w:rPr>
        <w:t>אָח</w:t>
      </w:r>
      <w:r>
        <w:t xml:space="preserve">, „Bruder", mit Suffix 2. Person Maskulinum Singular), </w:t>
      </w:r>
      <w:r>
        <w:rPr>
          <w:rStyle w:val="Fett"/>
          <w:rFonts w:eastAsiaTheme="majorEastAsia"/>
          <w:rtl/>
        </w:rPr>
        <w:t>אוֹ אֶת־שֵׂיוֹ</w:t>
      </w:r>
      <w:r>
        <w:rPr>
          <w:rtl/>
        </w:rPr>
        <w:t xml:space="preserve"> </w:t>
      </w:r>
      <w:r>
        <w:t xml:space="preserve">(koordiniert durch </w:t>
      </w:r>
      <w:r>
        <w:rPr>
          <w:rStyle w:val="Fett"/>
          <w:rFonts w:eastAsiaTheme="majorEastAsia"/>
          <w:rtl/>
        </w:rPr>
        <w:t>אוֹ</w:t>
      </w:r>
      <w:r>
        <w:t xml:space="preserve">, „oder", mit Objektpartikel und </w:t>
      </w:r>
      <w:r>
        <w:rPr>
          <w:rStyle w:val="Fett"/>
          <w:rFonts w:eastAsiaTheme="majorEastAsia"/>
          <w:rtl/>
        </w:rPr>
        <w:t>שֶׂה</w:t>
      </w:r>
      <w:r>
        <w:t xml:space="preserve">, „Schaf, Kleinvieh" – Kollektiv für Schafe und Ziegen, mit Suffix 3. Person Maskulinum Singular), </w:t>
      </w:r>
      <w:r>
        <w:rPr>
          <w:rStyle w:val="Fett"/>
          <w:rFonts w:eastAsiaTheme="majorEastAsia"/>
          <w:rtl/>
        </w:rPr>
        <w:t>נִדָּחִים</w:t>
      </w:r>
      <w:r>
        <w:rPr>
          <w:rtl/>
        </w:rPr>
        <w:t xml:space="preserve"> </w:t>
      </w:r>
      <w:r>
        <w:t xml:space="preserve">(Niphal Partizip Plural von </w:t>
      </w:r>
      <w:r>
        <w:rPr>
          <w:rStyle w:val="Fett"/>
          <w:rFonts w:eastAsiaTheme="majorEastAsia"/>
          <w:rtl/>
        </w:rPr>
        <w:t>נדח</w:t>
      </w:r>
      <w:r>
        <w:t xml:space="preserve">, „verstoßen, versprengt werden, umherirren"), </w:t>
      </w:r>
      <w:r>
        <w:rPr>
          <w:rStyle w:val="Fett"/>
          <w:rFonts w:eastAsiaTheme="majorEastAsia"/>
          <w:rtl/>
        </w:rPr>
        <w:t>וְהִתְעַלַּמְתָּ מֵהֶם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עלם</w:t>
      </w:r>
      <w:r>
        <w:t xml:space="preserve">, Hithpael Perfekt, 2. Person Maskulinum Singular, „sich verbergen, sich entziehen, ignorieren" – das Hithpael ist reflexiv, </w:t>
      </w:r>
      <w:r>
        <w:rPr>
          <w:rStyle w:val="Fett"/>
          <w:rFonts w:eastAsiaTheme="majorEastAsia"/>
          <w:rtl/>
        </w:rPr>
        <w:t>מֵהֶם</w:t>
      </w:r>
      <w:r>
        <w:t xml:space="preserve">, Präposition </w:t>
      </w:r>
      <w:r>
        <w:rPr>
          <w:rStyle w:val="Fett"/>
          <w:rFonts w:eastAsiaTheme="majorEastAsia"/>
          <w:rtl/>
        </w:rPr>
        <w:t>מִן</w:t>
      </w:r>
      <w:r>
        <w:rPr>
          <w:rtl/>
        </w:rPr>
        <w:t xml:space="preserve"> </w:t>
      </w:r>
      <w:r>
        <w:t xml:space="preserve">mit Suffix 3. Person Plural, mit </w:t>
      </w:r>
      <w:r>
        <w:rPr>
          <w:rStyle w:val="Fett"/>
          <w:rFonts w:eastAsiaTheme="majorEastAsia"/>
        </w:rPr>
        <w:t>Waw</w:t>
      </w:r>
      <w:r>
        <w:t xml:space="preserve"> consecutives Perfekt).</w:t>
      </w:r>
    </w:p>
    <w:p w14:paraId="3C9F22C1" w14:textId="77777777" w:rsidR="00C178BF" w:rsidRDefault="00C178BF" w:rsidP="00C178BF">
      <w:pPr>
        <w:pStyle w:val="whitespace-normal"/>
      </w:pPr>
      <w:r>
        <w:rPr>
          <w:rStyle w:val="Fett"/>
          <w:rFonts w:eastAsiaTheme="majorEastAsia"/>
          <w:rtl/>
        </w:rPr>
        <w:t>הָשֵׁב תְּשִׁיבֵם לְאָחִיךָ</w:t>
      </w:r>
      <w:r>
        <w:rPr>
          <w:rtl/>
        </w:rPr>
        <w:t xml:space="preserve"> </w:t>
      </w:r>
      <w:r>
        <w:t xml:space="preserve">ist das Gebot: </w:t>
      </w:r>
      <w:r>
        <w:rPr>
          <w:rStyle w:val="Fett"/>
          <w:rFonts w:eastAsiaTheme="majorEastAsia"/>
          <w:rtl/>
        </w:rPr>
        <w:t>הָשֵׁב תְּשִׁיבֵם</w:t>
      </w:r>
      <w:r>
        <w:rPr>
          <w:rtl/>
        </w:rPr>
        <w:t xml:space="preserve"> </w:t>
      </w:r>
      <w:r>
        <w:t xml:space="preserve">(Hiphil Infinitiv Absolutus von </w:t>
      </w:r>
      <w:r>
        <w:rPr>
          <w:rStyle w:val="Fett"/>
          <w:rFonts w:eastAsiaTheme="majorEastAsia"/>
          <w:rtl/>
        </w:rPr>
        <w:t>שׁוב</w:t>
      </w:r>
      <w:r>
        <w:t xml:space="preserve">, „zurückbringen, zurückkehren lassen" – die Wiederholung Infinitiv Absolutus + finites Verb verstärkt: „gewiss zurückbringen", Hiphil Imperfekt, 2. Person Maskulinum Singular, mit Suffix 3. Person Plural), </w:t>
      </w:r>
      <w:r>
        <w:rPr>
          <w:rStyle w:val="Fett"/>
          <w:rFonts w:eastAsiaTheme="majorEastAsia"/>
          <w:rtl/>
        </w:rPr>
        <w:t>לְאָחִיךָ</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אָח</w:t>
      </w:r>
      <w:r>
        <w:rPr>
          <w:rtl/>
        </w:rPr>
        <w:t xml:space="preserve"> </w:t>
      </w:r>
      <w:r>
        <w:t>mit Suffix 2. Person Maskulinum Singular).</w:t>
      </w:r>
    </w:p>
    <w:p w14:paraId="4005153D" w14:textId="18170BAA" w:rsidR="00C178BF" w:rsidRDefault="00C178BF" w:rsidP="00C178BF">
      <w:pPr>
        <w:pStyle w:val="whitespace-normal"/>
      </w:pPr>
      <w:r>
        <w:t xml:space="preserve">Der Vers leitet Kapitel 22 ein mit Gesetzen über soziale Verantwortung. Das Verbot </w:t>
      </w:r>
      <w:r>
        <w:rPr>
          <w:rStyle w:val="Fett"/>
          <w:rFonts w:eastAsiaTheme="majorEastAsia"/>
          <w:rtl/>
        </w:rPr>
        <w:t>לֹא־תִרְאֶה... וְהִתְעַלַּמְתָּ</w:t>
      </w:r>
      <w:r>
        <w:rPr>
          <w:rtl/>
        </w:rPr>
        <w:t xml:space="preserve"> </w:t>
      </w:r>
      <w:r>
        <w:t xml:space="preserve">(„du sollst nicht sehen... und dich entziehen") ist eine doppelte Negation: Du sollst nicht wegsehen und so tun, als ob du nichts gesehen hättest. Das Verb </w:t>
      </w:r>
      <w:r>
        <w:rPr>
          <w:rStyle w:val="Fett"/>
          <w:rFonts w:eastAsiaTheme="majorEastAsia"/>
          <w:rtl/>
        </w:rPr>
        <w:t>עלם</w:t>
      </w:r>
      <w:r>
        <w:rPr>
          <w:rtl/>
        </w:rPr>
        <w:t xml:space="preserve"> </w:t>
      </w:r>
      <w:r>
        <w:t xml:space="preserve">im Hithpael („sich verbergen, sich entziehen, ignorieren") bezeichnet absichtliches Ignorieren. Das Partizip </w:t>
      </w:r>
      <w:r>
        <w:rPr>
          <w:rStyle w:val="Fett"/>
          <w:rFonts w:eastAsiaTheme="majorEastAsia"/>
          <w:rtl/>
        </w:rPr>
        <w:t>נִדָּחִים</w:t>
      </w:r>
      <w:r>
        <w:rPr>
          <w:rtl/>
        </w:rPr>
        <w:t xml:space="preserve"> </w:t>
      </w:r>
      <w:r>
        <w:t xml:space="preserve">(„umherirrend, versprengt") beschreibt verirrte Tiere. Das Gebot </w:t>
      </w:r>
      <w:r>
        <w:rPr>
          <w:rStyle w:val="Fett"/>
          <w:rFonts w:eastAsiaTheme="majorEastAsia"/>
          <w:rtl/>
        </w:rPr>
        <w:t>הָשֵׁב תְּשִׁיבֵם לְאָחִיךָ</w:t>
      </w:r>
      <w:r>
        <w:rPr>
          <w:rtl/>
        </w:rPr>
        <w:t xml:space="preserve"> </w:t>
      </w:r>
      <w:r>
        <w:t xml:space="preserve">(„gewiss zurückbringen sollst du sie deinem Bruder") – die Wiederholung verstärkt die Verpflichtung. Dieses Gesetz erweitert Ex 23,4-5, das von Feinden spricht; hier geht es um den </w:t>
      </w:r>
      <w:r>
        <w:rPr>
          <w:rStyle w:val="Fett"/>
          <w:rFonts w:eastAsiaTheme="majorEastAsia"/>
          <w:rtl/>
        </w:rPr>
        <w:t>אָח</w:t>
      </w:r>
      <w:r>
        <w:rPr>
          <w:rtl/>
        </w:rPr>
        <w:t xml:space="preserve"> </w:t>
      </w:r>
      <w:r>
        <w:t>(„Bruder") – Mitisraelit.</w:t>
      </w:r>
    </w:p>
    <w:p w14:paraId="47272FD4" w14:textId="13C37E62" w:rsidR="00D00836" w:rsidRDefault="00D00836" w:rsidP="00C178BF">
      <w:pPr>
        <w:pStyle w:val="whitespace-normal"/>
      </w:pPr>
      <w:r>
        <w:rPr>
          <w:rStyle w:val="Fett"/>
        </w:rPr>
        <w:t>Die LXX</w:t>
      </w:r>
      <w:r>
        <w:t xml:space="preserve"> übersetzt </w:t>
      </w:r>
      <w:r>
        <w:rPr>
          <w:rtl/>
        </w:rPr>
        <w:t>נִדָּחִים</w:t>
      </w:r>
      <w:r>
        <w:t xml:space="preserve"> (verirrte, umherirrende) mit πλα</w:t>
      </w:r>
      <w:proofErr w:type="spellStart"/>
      <w:r>
        <w:t>νώμεν</w:t>
      </w:r>
      <w:proofErr w:type="spellEnd"/>
      <w:r>
        <w:t>α (herumirrende) – ein Partizip Präsens Medium/Passiv, das den Zustand des Verirrtseins betont.</w:t>
      </w:r>
    </w:p>
    <w:p w14:paraId="1E0C97CF" w14:textId="77777777" w:rsidR="00C178BF" w:rsidRDefault="00C178BF" w:rsidP="00C178BF">
      <w:pPr>
        <w:pStyle w:val="whitespace-normal"/>
      </w:pPr>
      <w:r>
        <w:rPr>
          <w:rStyle w:val="Fett"/>
          <w:rFonts w:eastAsiaTheme="majorEastAsia"/>
        </w:rPr>
        <w:t>Die Satzstruktur:</w:t>
      </w:r>
      <w:r>
        <w:t xml:space="preserve"> Verbot mit Gebot (nicht sehen sollst du das Rind deines Bruders oder sein Schaf umherirrend, und entziehen dich von ihnen; gewiss zurückbringen sollst du sie deinem Bruder).</w:t>
      </w:r>
    </w:p>
    <w:p w14:paraId="1AAA95E4" w14:textId="4F76806B" w:rsidR="00C178BF" w:rsidRDefault="00C178BF" w:rsidP="00C178BF">
      <w:pPr>
        <w:pStyle w:val="whitespace-normal"/>
      </w:pPr>
      <w:r>
        <w:t>Der Vers verbietet: Du darfst nicht wegsehen, wenn das Vieh deines Bruders umherirrt – du musst es ihm zurückbringen.</w:t>
      </w:r>
    </w:p>
    <w:p w14:paraId="3694EEEA" w14:textId="77777777" w:rsidR="00C178BF" w:rsidRPr="00B27A64" w:rsidRDefault="00C178BF" w:rsidP="00C178BF">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22,2</w:t>
      </w:r>
    </w:p>
    <w:p w14:paraId="0A9E546A" w14:textId="77777777" w:rsidR="00C178BF" w:rsidRDefault="00C178BF" w:rsidP="00C178BF">
      <w:pPr>
        <w:pStyle w:val="whitespace-normal"/>
      </w:pPr>
      <w:r>
        <w:rPr>
          <w:rStyle w:val="Fett"/>
          <w:rFonts w:eastAsiaTheme="majorEastAsia"/>
        </w:rPr>
        <w:t>Hebräisch:</w:t>
      </w:r>
      <w:r>
        <w:t xml:space="preserve"> </w:t>
      </w:r>
      <w:r>
        <w:rPr>
          <w:rtl/>
        </w:rPr>
        <w:t>וְאִם־לֹ֨א קָר֥וֹב אָחִ֛יךָ אֵלֶ֖יךָ וְלֹ֣א יְדַעְתּוֹ֑ וַאֲסַפְתּוֹ֙ אֶל־תּ֣וֹךְ בֵּיתֶ֔ךָ וְהָיָ֣ה עִמְּךָ֗ עַ֣ד דְּרֹ֤שׁ אָחִ֨יךָ֙ אֹתוֹ֔ וַהֲשֵׁבֹתוֹ֖ לוֹֽ׃</w:t>
      </w:r>
    </w:p>
    <w:p w14:paraId="77190BF8" w14:textId="77777777" w:rsidR="00C178BF" w:rsidRDefault="00C178BF" w:rsidP="00C178BF">
      <w:pPr>
        <w:pStyle w:val="whitespace-normal"/>
      </w:pPr>
      <w:r>
        <w:rPr>
          <w:rStyle w:val="Fett"/>
          <w:rFonts w:eastAsiaTheme="majorEastAsia"/>
        </w:rPr>
        <w:t>Deutsch:</w:t>
      </w:r>
      <w:r>
        <w:t xml:space="preserve"> Wenn aber dein Bruder nicht nahe bei dir wohnt oder wenn du ihn nicht kennst, so sollst du es in dein Haus aufnehmen, und es soll bei dir sein, bis dein Bruder es sucht, und du sollst es ihm zurückgeben.</w:t>
      </w:r>
    </w:p>
    <w:p w14:paraId="16ED2268" w14:textId="77777777" w:rsidR="00C178BF" w:rsidRDefault="004F5CEB" w:rsidP="00C178BF">
      <w:r>
        <w:rPr>
          <w:noProof/>
        </w:rPr>
        <w:pict w14:anchorId="0B5B8BB5">
          <v:rect id="_x0000_i1597" style="width:0;height:1.5pt" o:hralign="center" o:hrstd="t" o:hr="t" fillcolor="#a0a0a0" stroked="f"/>
        </w:pict>
      </w:r>
    </w:p>
    <w:p w14:paraId="224DA642" w14:textId="77777777" w:rsidR="00C178BF" w:rsidRDefault="00C178BF" w:rsidP="00C178BF">
      <w:pPr>
        <w:pStyle w:val="whitespace-normal"/>
      </w:pPr>
      <w:r>
        <w:rPr>
          <w:rStyle w:val="Fett"/>
          <w:rFonts w:eastAsiaTheme="majorEastAsia"/>
        </w:rPr>
        <w:lastRenderedPageBreak/>
        <w:t>Kommentar:</w:t>
      </w:r>
      <w:r>
        <w:t xml:space="preserve"> </w:t>
      </w:r>
      <w:r>
        <w:rPr>
          <w:rStyle w:val="Fett"/>
          <w:rFonts w:eastAsiaTheme="majorEastAsia"/>
          <w:rtl/>
        </w:rPr>
        <w:t>וְאִם־לֹא קָרוֹב אָחִיךָ אֵלֶיךָ וְלֹא יְדַעְתּוֹ</w:t>
      </w:r>
      <w:r>
        <w:rPr>
          <w:rtl/>
        </w:rPr>
        <w:t xml:space="preserve"> </w:t>
      </w:r>
      <w:r>
        <w:t xml:space="preserve">ist die Bedingung: </w:t>
      </w:r>
      <w:r>
        <w:rPr>
          <w:rStyle w:val="Fett"/>
          <w:rFonts w:eastAsiaTheme="majorEastAsia"/>
          <w:rtl/>
        </w:rPr>
        <w:t>וְאִם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אִם</w:t>
      </w:r>
      <w:r>
        <w:t xml:space="preserve">, „wenn"), </w:t>
      </w:r>
      <w:r>
        <w:rPr>
          <w:rStyle w:val="Fett"/>
          <w:rFonts w:eastAsiaTheme="majorEastAsia"/>
          <w:rtl/>
        </w:rPr>
        <w:t>לֹא קָרוֹב אָחִיךָ אֵלֶיךָ</w:t>
      </w:r>
      <w:r>
        <w:rPr>
          <w:rtl/>
        </w:rPr>
        <w:t xml:space="preserve"> </w:t>
      </w:r>
      <w:r>
        <w:t xml:space="preserve">(Negation mit </w:t>
      </w:r>
      <w:r>
        <w:rPr>
          <w:rStyle w:val="Fett"/>
          <w:rFonts w:eastAsiaTheme="majorEastAsia"/>
          <w:rtl/>
        </w:rPr>
        <w:t>קָרוֹב</w:t>
      </w:r>
      <w:r>
        <w:t xml:space="preserve">, „nahe" – Adjektiv, </w:t>
      </w:r>
      <w:r>
        <w:rPr>
          <w:rStyle w:val="Fett"/>
          <w:rFonts w:eastAsiaTheme="majorEastAsia"/>
          <w:rtl/>
        </w:rPr>
        <w:t>אָחִיךָ</w:t>
      </w:r>
      <w:r>
        <w:rPr>
          <w:rtl/>
        </w:rPr>
        <w:t xml:space="preserve"> </w:t>
      </w:r>
      <w:r>
        <w:t xml:space="preserve">als Subjekt, </w:t>
      </w:r>
      <w:r>
        <w:rPr>
          <w:rStyle w:val="Fett"/>
          <w:rFonts w:eastAsiaTheme="majorEastAsia"/>
          <w:rtl/>
        </w:rPr>
        <w:t>אֵלֶיךָ</w:t>
      </w:r>
      <w:r>
        <w:t xml:space="preserve">, Präposition </w:t>
      </w:r>
      <w:r>
        <w:rPr>
          <w:rStyle w:val="Fett"/>
          <w:rFonts w:eastAsiaTheme="majorEastAsia"/>
          <w:rtl/>
        </w:rPr>
        <w:t>אֶל</w:t>
      </w:r>
      <w:r>
        <w:rPr>
          <w:rtl/>
        </w:rPr>
        <w:t xml:space="preserve"> </w:t>
      </w:r>
      <w:r>
        <w:t xml:space="preserve">mit Suffix 2. Person Maskulinum Singular), </w:t>
      </w:r>
      <w:r>
        <w:rPr>
          <w:rStyle w:val="Fett"/>
          <w:rFonts w:eastAsiaTheme="majorEastAsia"/>
          <w:rtl/>
        </w:rPr>
        <w:t>וְלֹא יְדַעְתּוֹ</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ידע</w:t>
      </w:r>
      <w:r>
        <w:t>, Qal Perfekt, 2. Person Maskulinum Singular, „kennen", mit Suffix 3. Person Maskulinum Singular).</w:t>
      </w:r>
    </w:p>
    <w:p w14:paraId="17EFE77A" w14:textId="77777777" w:rsidR="00C178BF" w:rsidRDefault="00C178BF" w:rsidP="00C178BF">
      <w:pPr>
        <w:pStyle w:val="whitespace-normal"/>
      </w:pPr>
      <w:r>
        <w:rPr>
          <w:rStyle w:val="Fett"/>
          <w:rFonts w:eastAsiaTheme="majorEastAsia"/>
          <w:rtl/>
        </w:rPr>
        <w:t>וַאֲסַפְתּוֹ אֶל־תּוֹךְ בֵּיתֶךָ וְהָיָה עִמְּךָ עַד דְּרֹשׁ אָחִיךָ אֹתוֹ וַהֲשֵׁבֹתוֹ לוֹ</w:t>
      </w:r>
      <w:r>
        <w:rPr>
          <w:rtl/>
        </w:rPr>
        <w:t xml:space="preserve"> </w:t>
      </w:r>
      <w:r>
        <w:t xml:space="preserve">sind vier Anweisungen: </w:t>
      </w:r>
      <w:r>
        <w:rPr>
          <w:rStyle w:val="Fett"/>
          <w:rFonts w:eastAsiaTheme="majorEastAsia"/>
          <w:rtl/>
        </w:rPr>
        <w:t>וַאֲסַפְתּוֹ אֶל־תּוֹךְ בֵּיתֶךָ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אסף</w:t>
      </w:r>
      <w:r>
        <w:t xml:space="preserve">, Qal Perfekt, 2. Person Maskulinum Singular, „sammeln, aufnehmen, hereinholen", mit Suffix 3. Person Maskulinum Singular, Präposition </w:t>
      </w:r>
      <w:r>
        <w:rPr>
          <w:rStyle w:val="Fett"/>
          <w:rFonts w:eastAsiaTheme="majorEastAsia"/>
          <w:rtl/>
        </w:rPr>
        <w:t>אֶל</w:t>
      </w:r>
      <w:r>
        <w:rPr>
          <w:rtl/>
        </w:rPr>
        <w:t xml:space="preserve"> </w:t>
      </w:r>
      <w:r>
        <w:t xml:space="preserve">mit </w:t>
      </w:r>
      <w:r>
        <w:rPr>
          <w:rStyle w:val="Fett"/>
          <w:rFonts w:eastAsiaTheme="majorEastAsia"/>
          <w:rtl/>
        </w:rPr>
        <w:t>תָּוֶךְ</w:t>
      </w:r>
      <w:r>
        <w:t xml:space="preserve">, „Mitte, Inneres", Construct mit </w:t>
      </w:r>
      <w:r>
        <w:rPr>
          <w:rStyle w:val="Fett"/>
          <w:rFonts w:eastAsiaTheme="majorEastAsia"/>
          <w:rtl/>
        </w:rPr>
        <w:t>בַּיִת</w:t>
      </w:r>
      <w:r>
        <w:rPr>
          <w:rtl/>
        </w:rPr>
        <w:t xml:space="preserve"> </w:t>
      </w:r>
      <w:r>
        <w:t xml:space="preserve">mit Suffix 2. Person Maskulinum Singular, mit </w:t>
      </w:r>
      <w:r>
        <w:rPr>
          <w:rStyle w:val="Fett"/>
          <w:rFonts w:eastAsiaTheme="majorEastAsia"/>
        </w:rPr>
        <w:t>Waw</w:t>
      </w:r>
      <w:r>
        <w:t xml:space="preserve"> consecutives Perfekt), </w:t>
      </w:r>
      <w:r>
        <w:rPr>
          <w:rStyle w:val="Fett"/>
          <w:rFonts w:eastAsiaTheme="majorEastAsia"/>
          <w:rtl/>
        </w:rPr>
        <w:t>וְהָיָה עִמְּךָ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3. Person Maskulinum Singular, </w:t>
      </w:r>
      <w:r>
        <w:rPr>
          <w:rStyle w:val="Fett"/>
          <w:rFonts w:eastAsiaTheme="majorEastAsia"/>
          <w:rtl/>
        </w:rPr>
        <w:t>עִמְּךָ</w:t>
      </w:r>
      <w:r>
        <w:t xml:space="preserve">, Präposition </w:t>
      </w:r>
      <w:r>
        <w:rPr>
          <w:rStyle w:val="Fett"/>
          <w:rFonts w:eastAsiaTheme="majorEastAsia"/>
          <w:rtl/>
        </w:rPr>
        <w:t>עִם</w:t>
      </w:r>
      <w:r>
        <w:t xml:space="preserve">, „mit", mit Suffix 2. Person Maskulinum Singular, mit </w:t>
      </w:r>
      <w:r>
        <w:rPr>
          <w:rStyle w:val="Fett"/>
          <w:rFonts w:eastAsiaTheme="majorEastAsia"/>
        </w:rPr>
        <w:t>Waw</w:t>
      </w:r>
      <w:r>
        <w:t xml:space="preserve"> consecutives Perfekt), </w:t>
      </w:r>
      <w:r>
        <w:rPr>
          <w:rStyle w:val="Fett"/>
          <w:rFonts w:eastAsiaTheme="majorEastAsia"/>
          <w:rtl/>
        </w:rPr>
        <w:t>עַד דְּרֹשׁ אָחִיךָ אֹתוֹ</w:t>
      </w:r>
      <w:r>
        <w:rPr>
          <w:rtl/>
        </w:rPr>
        <w:t xml:space="preserve"> </w:t>
      </w:r>
      <w:r>
        <w:t xml:space="preserve">(Präposition </w:t>
      </w:r>
      <w:r>
        <w:rPr>
          <w:rStyle w:val="Fett"/>
          <w:rFonts w:eastAsiaTheme="majorEastAsia"/>
          <w:rtl/>
        </w:rPr>
        <w:t>עַד</w:t>
      </w:r>
      <w:r>
        <w:t xml:space="preserve">, „bis", mit </w:t>
      </w:r>
      <w:r>
        <w:rPr>
          <w:rStyle w:val="Fett"/>
          <w:rFonts w:eastAsiaTheme="majorEastAsia"/>
          <w:rtl/>
        </w:rPr>
        <w:t>דרשׁ</w:t>
      </w:r>
      <w:r>
        <w:t xml:space="preserve">, Qal Infinitiv Construct, „suchen, nachforschen", </w:t>
      </w:r>
      <w:r>
        <w:rPr>
          <w:rStyle w:val="Fett"/>
          <w:rFonts w:eastAsiaTheme="majorEastAsia"/>
          <w:rtl/>
        </w:rPr>
        <w:t>אָחִיךָ</w:t>
      </w:r>
      <w:r>
        <w:rPr>
          <w:rtl/>
        </w:rPr>
        <w:t xml:space="preserve"> </w:t>
      </w:r>
      <w:r>
        <w:t xml:space="preserve">als Subjekt, Objektpartikel </w:t>
      </w:r>
      <w:r>
        <w:rPr>
          <w:rStyle w:val="Fett"/>
          <w:rFonts w:eastAsiaTheme="majorEastAsia"/>
          <w:rtl/>
        </w:rPr>
        <w:t>אֵת</w:t>
      </w:r>
      <w:r>
        <w:rPr>
          <w:rtl/>
        </w:rPr>
        <w:t xml:space="preserve"> </w:t>
      </w:r>
      <w:r>
        <w:t xml:space="preserve">mit Suffix 3. Person Maskulinum Singular), </w:t>
      </w:r>
      <w:r>
        <w:rPr>
          <w:rStyle w:val="Fett"/>
          <w:rFonts w:eastAsiaTheme="majorEastAsia"/>
          <w:rtl/>
        </w:rPr>
        <w:t>וַהֲשֵׁבֹתוֹ לוֹ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שׁוב</w:t>
      </w:r>
      <w:r>
        <w:t xml:space="preserve">, Hiphil Perfekt, 2. Person Maskulinum Singular, „zurückbringen", mit Suffix 3. Person Maskulinum Singular, </w:t>
      </w:r>
      <w:r>
        <w:rPr>
          <w:rStyle w:val="Fett"/>
          <w:rFonts w:eastAsiaTheme="majorEastAsia"/>
          <w:rtl/>
        </w:rPr>
        <w:t>לוֹ</w:t>
      </w:r>
      <w:r>
        <w:t xml:space="preserve">, mit </w:t>
      </w:r>
      <w:r>
        <w:rPr>
          <w:rStyle w:val="Fett"/>
          <w:rFonts w:eastAsiaTheme="majorEastAsia"/>
        </w:rPr>
        <w:t>Waw</w:t>
      </w:r>
      <w:r>
        <w:t xml:space="preserve"> consecutives Perfekt).</w:t>
      </w:r>
    </w:p>
    <w:p w14:paraId="69900152" w14:textId="4933C27A" w:rsidR="00C178BF" w:rsidRDefault="00C178BF" w:rsidP="00C178BF">
      <w:pPr>
        <w:pStyle w:val="whitespace-normal"/>
      </w:pPr>
      <w:r>
        <w:t xml:space="preserve">Der Vers regelt die Situation, wenn der Eigentümer nicht bekannt oder nicht in der Nähe ist. Die doppelte Bedingung: (1) </w:t>
      </w:r>
      <w:r>
        <w:rPr>
          <w:rStyle w:val="Fett"/>
          <w:rFonts w:eastAsiaTheme="majorEastAsia"/>
          <w:rtl/>
        </w:rPr>
        <w:t>לֹא קָרוֹב אָחִיךָ אֵלֶיךָ</w:t>
      </w:r>
      <w:r>
        <w:rPr>
          <w:rtl/>
        </w:rPr>
        <w:t xml:space="preserve"> </w:t>
      </w:r>
      <w:r>
        <w:t xml:space="preserve">(„dein Bruder ist nicht nahe bei dir") – geografisch entfernt, (2) </w:t>
      </w:r>
      <w:r>
        <w:rPr>
          <w:rStyle w:val="Fett"/>
          <w:rFonts w:eastAsiaTheme="majorEastAsia"/>
          <w:rtl/>
        </w:rPr>
        <w:t>וְלֹא יְדַעְתּוֹ</w:t>
      </w:r>
      <w:r>
        <w:rPr>
          <w:rtl/>
        </w:rPr>
        <w:t xml:space="preserve"> </w:t>
      </w:r>
      <w:r>
        <w:t xml:space="preserve">(„und du kennst ihn nicht") – der Eigentümer ist unbekannt. In beiden Fällen: </w:t>
      </w:r>
      <w:r>
        <w:rPr>
          <w:rStyle w:val="Fett"/>
          <w:rFonts w:eastAsiaTheme="majorEastAsia"/>
          <w:rtl/>
        </w:rPr>
        <w:t>וַאֲסַפְתּוֹ אֶל־תּוֹךְ בֵּיתֶךָ</w:t>
      </w:r>
      <w:r>
        <w:rPr>
          <w:rtl/>
        </w:rPr>
        <w:t xml:space="preserve"> </w:t>
      </w:r>
      <w:r>
        <w:t xml:space="preserve">(„nimm es auf in das Innere deines Hauses") – bewahre es sicher auf. </w:t>
      </w:r>
      <w:r>
        <w:rPr>
          <w:rStyle w:val="Fett"/>
          <w:rFonts w:eastAsiaTheme="majorEastAsia"/>
          <w:rtl/>
        </w:rPr>
        <w:t>וְהָיָה עִמְּךָ</w:t>
      </w:r>
      <w:r>
        <w:rPr>
          <w:rtl/>
        </w:rPr>
        <w:t xml:space="preserve"> </w:t>
      </w:r>
      <w:r>
        <w:t xml:space="preserve">(„es soll bei dir sein") – in deiner Obhut. </w:t>
      </w:r>
      <w:r>
        <w:rPr>
          <w:rStyle w:val="Fett"/>
          <w:rFonts w:eastAsiaTheme="majorEastAsia"/>
          <w:rtl/>
        </w:rPr>
        <w:t>עַד דְּרֹשׁ אָחִיךָ אֹתוֹ</w:t>
      </w:r>
      <w:r>
        <w:rPr>
          <w:rtl/>
        </w:rPr>
        <w:t xml:space="preserve"> </w:t>
      </w:r>
      <w:r>
        <w:t xml:space="preserve">(„bis dein Bruder es sucht") – das Verb </w:t>
      </w:r>
      <w:r>
        <w:rPr>
          <w:rStyle w:val="Fett"/>
          <w:rFonts w:eastAsiaTheme="majorEastAsia"/>
          <w:rtl/>
        </w:rPr>
        <w:t>דרשׁ</w:t>
      </w:r>
      <w:r>
        <w:rPr>
          <w:rtl/>
        </w:rPr>
        <w:t xml:space="preserve"> </w:t>
      </w:r>
      <w:r>
        <w:t xml:space="preserve">(„suchen, nachforschen") impliziert aktives Suchen. </w:t>
      </w:r>
      <w:r>
        <w:rPr>
          <w:rStyle w:val="Fett"/>
          <w:rFonts w:eastAsiaTheme="majorEastAsia"/>
          <w:rtl/>
        </w:rPr>
        <w:t>וַהֲשֵׁבֹתוֹ לוֹ</w:t>
      </w:r>
      <w:r>
        <w:rPr>
          <w:rtl/>
        </w:rPr>
        <w:t xml:space="preserve"> </w:t>
      </w:r>
      <w:r>
        <w:t>(„und du sollst es ihm zurückgeben") – dann erst Rückgabe.</w:t>
      </w:r>
    </w:p>
    <w:p w14:paraId="61B8B110" w14:textId="49DB1951" w:rsidR="00D00836" w:rsidRDefault="00D00836" w:rsidP="00C178BF">
      <w:pPr>
        <w:pStyle w:val="whitespace-normal"/>
      </w:pPr>
      <w:r>
        <w:rPr>
          <w:rStyle w:val="Fett"/>
        </w:rPr>
        <w:t>Die LXX</w:t>
      </w:r>
      <w:r>
        <w:t xml:space="preserve"> übersetzt </w:t>
      </w:r>
      <w:r>
        <w:rPr>
          <w:rtl/>
        </w:rPr>
        <w:t>לְהִתְעַלֵּם</w:t>
      </w:r>
      <w:r>
        <w:t xml:space="preserve"> (dich zu verbergen/wegzusehen) mit ὑπ</w:t>
      </w:r>
      <w:proofErr w:type="spellStart"/>
      <w:r>
        <w:t>εριδεῖν</w:t>
      </w:r>
      <w:proofErr w:type="spellEnd"/>
      <w:r>
        <w:t xml:space="preserve"> (übersehen, ignorieren) – ein zusammengesetztes Verb, das die absichtliche Nichtbeachtung bezeichnet.</w:t>
      </w:r>
    </w:p>
    <w:p w14:paraId="548F8400" w14:textId="77777777" w:rsidR="00C178BF" w:rsidRDefault="00C178BF" w:rsidP="00C178BF">
      <w:pPr>
        <w:pStyle w:val="whitespace-normal"/>
      </w:pPr>
      <w:r>
        <w:rPr>
          <w:rStyle w:val="Fett"/>
          <w:rFonts w:eastAsiaTheme="majorEastAsia"/>
        </w:rPr>
        <w:t>Die Satzstruktur:</w:t>
      </w:r>
      <w:r>
        <w:t xml:space="preserve"> Bedingung mit vier Anweisungen (und wenn nicht nahe ist dein Bruder bei dir, und nicht kennst du ihn, aufnehmen sollst du es in das Innere deines Hauses, und sein soll es bei dir, bis sucht dein Bruder es, und zurückgeben sollst du es ihm).</w:t>
      </w:r>
    </w:p>
    <w:p w14:paraId="20C7CC58" w14:textId="77777777" w:rsidR="00C178BF" w:rsidRDefault="00C178BF" w:rsidP="00C178BF">
      <w:pPr>
        <w:pStyle w:val="whitespace-normal"/>
      </w:pPr>
      <w:r>
        <w:t>Der Vers regelt: Wenn der Eigentümer nicht bekannt oder fern ist – nimm das Tier bei dir auf, bis er danach sucht, dann gib es zurück.</w:t>
      </w:r>
    </w:p>
    <w:p w14:paraId="2BF7055E" w14:textId="77777777" w:rsidR="00C178BF" w:rsidRPr="00B27A64" w:rsidRDefault="00C178BF" w:rsidP="00C178BF">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22,3</w:t>
      </w:r>
    </w:p>
    <w:p w14:paraId="3E959FDF" w14:textId="77777777" w:rsidR="00C178BF" w:rsidRDefault="00C178BF" w:rsidP="00C178BF">
      <w:pPr>
        <w:pStyle w:val="whitespace-normal"/>
      </w:pPr>
      <w:r>
        <w:rPr>
          <w:rStyle w:val="Fett"/>
          <w:rFonts w:eastAsiaTheme="majorEastAsia"/>
        </w:rPr>
        <w:t>Hebräisch:</w:t>
      </w:r>
      <w:r>
        <w:t xml:space="preserve"> </w:t>
      </w:r>
      <w:r>
        <w:rPr>
          <w:rtl/>
        </w:rPr>
        <w:t>וְכֵ֧ן תַּעֲשֶׂ֣ה לַחֲמֹרֹ֗ו וְכֵ֣ן תַּעֲשֶׂה֮ לְשִׂמְלָתוֹ֒ וְכֵ֣ן תַּעֲשֶׂ֜ה לְכָל־אֲבֵדַ֥ת אָחִ֛יךָ אֲשֶׁר־תֹּאבַ֥ד מִמֶּ֖נּוּ וּמְצָאתָ֑הּ לֹ֥א תוּכַ֖ל לְהִתְעַלֵּֽם׃</w:t>
      </w:r>
    </w:p>
    <w:p w14:paraId="0D22F4BF" w14:textId="77777777" w:rsidR="00C178BF" w:rsidRDefault="00C178BF" w:rsidP="00C178BF">
      <w:pPr>
        <w:pStyle w:val="whitespace-normal"/>
      </w:pPr>
      <w:r>
        <w:rPr>
          <w:rStyle w:val="Fett"/>
          <w:rFonts w:eastAsiaTheme="majorEastAsia"/>
        </w:rPr>
        <w:t>Deutsch:</w:t>
      </w:r>
      <w:r>
        <w:t xml:space="preserve"> Und ebenso sollst du es mit seinem Esel machen, und ebenso sollst du es mit seinem Gewand machen, und ebenso sollst du es mit allem Verlorenen deines Bruders machen, das ihm verloren ist und das du findest; du kannst dich nicht entziehen.</w:t>
      </w:r>
    </w:p>
    <w:p w14:paraId="111408D9" w14:textId="77777777" w:rsidR="00C178BF" w:rsidRDefault="004F5CEB" w:rsidP="00C178BF">
      <w:r>
        <w:rPr>
          <w:noProof/>
        </w:rPr>
        <w:pict w14:anchorId="520B4A10">
          <v:rect id="_x0000_i1598" style="width:0;height:1.5pt" o:hralign="center" o:hrstd="t" o:hr="t" fillcolor="#a0a0a0" stroked="f"/>
        </w:pict>
      </w:r>
    </w:p>
    <w:p w14:paraId="48A42EEB" w14:textId="77777777" w:rsidR="00C178BF" w:rsidRDefault="00C178BF" w:rsidP="00C178BF">
      <w:pPr>
        <w:pStyle w:val="whitespace-normal"/>
      </w:pPr>
      <w:r>
        <w:rPr>
          <w:rStyle w:val="Fett"/>
          <w:rFonts w:eastAsiaTheme="majorEastAsia"/>
        </w:rPr>
        <w:lastRenderedPageBreak/>
        <w:t>Kommentar:</w:t>
      </w:r>
      <w:r>
        <w:t xml:space="preserve"> </w:t>
      </w:r>
      <w:r>
        <w:rPr>
          <w:rStyle w:val="Fett"/>
          <w:rFonts w:eastAsiaTheme="majorEastAsia"/>
          <w:rtl/>
        </w:rPr>
        <w:t>וְכֵן תַּעֲשֶׂה לַחֲמֹרוֹ וְכֵן תַּעֲשֶׂה לְשִׂמְלָתוֹ וְכֵן תַּעֲשֶׂה לְכָל־אֲבֵדַת אָחִיךָ אֲשֶׁר־תֹּאבַד מִמֶּנּוּ וּמְצָאתָהּ</w:t>
      </w:r>
      <w:r>
        <w:rPr>
          <w:rtl/>
        </w:rPr>
        <w:t xml:space="preserve"> </w:t>
      </w:r>
      <w:r>
        <w:t xml:space="preserve">ist die dreifache Erweiterung: </w:t>
      </w:r>
      <w:r>
        <w:rPr>
          <w:rStyle w:val="Fett"/>
          <w:rFonts w:eastAsiaTheme="majorEastAsia"/>
          <w:rtl/>
        </w:rPr>
        <w:t>וְכֵן תַּעֲשֶׂה לַחֲמֹרוֹ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כֵּן</w:t>
      </w:r>
      <w:r>
        <w:t xml:space="preserve">, „so, ebenso", </w:t>
      </w:r>
      <w:r>
        <w:rPr>
          <w:rStyle w:val="Fett"/>
          <w:rFonts w:eastAsiaTheme="majorEastAsia"/>
          <w:rtl/>
        </w:rPr>
        <w:t>עשׂה</w:t>
      </w:r>
      <w:r>
        <w:t xml:space="preserve">, Qal Imperfekt, 2. Person Maskulinum Singular, „tun, machen", </w:t>
      </w:r>
      <w:r>
        <w:rPr>
          <w:rStyle w:val="Fett"/>
          <w:rFonts w:eastAsiaTheme="majorEastAsia"/>
          <w:rtl/>
        </w:rPr>
        <w:t>לַחֲמֹרוֹ</w:t>
      </w:r>
      <w:r>
        <w:t xml:space="preserve">, Präposition </w:t>
      </w:r>
      <w:r>
        <w:rPr>
          <w:rStyle w:val="Fett"/>
          <w:rFonts w:eastAsiaTheme="majorEastAsia"/>
          <w:rtl/>
        </w:rPr>
        <w:t>לְ</w:t>
      </w:r>
      <w:r>
        <w:rPr>
          <w:rtl/>
        </w:rPr>
        <w:t xml:space="preserve"> </w:t>
      </w:r>
      <w:r>
        <w:t xml:space="preserve">mit </w:t>
      </w:r>
      <w:r>
        <w:rPr>
          <w:rStyle w:val="Fett"/>
          <w:rFonts w:eastAsiaTheme="majorEastAsia"/>
          <w:rtl/>
        </w:rPr>
        <w:t>חֲמוֹר</w:t>
      </w:r>
      <w:r>
        <w:t xml:space="preserve">, „Esel", mit Suffix 3. Person Maskulinum Singular), </w:t>
      </w:r>
      <w:r>
        <w:rPr>
          <w:rStyle w:val="Fett"/>
          <w:rFonts w:eastAsiaTheme="majorEastAsia"/>
          <w:rtl/>
        </w:rPr>
        <w:t>וְכֵן תַּעֲשֶׂה לְשִׂמְלָתוֹ</w:t>
      </w:r>
      <w:r>
        <w:rPr>
          <w:rtl/>
        </w:rPr>
        <w:t xml:space="preserve"> </w:t>
      </w:r>
      <w:r>
        <w:t xml:space="preserve">(koordiniert durch </w:t>
      </w:r>
      <w:r>
        <w:rPr>
          <w:rStyle w:val="Fett"/>
          <w:rFonts w:eastAsiaTheme="majorEastAsia"/>
          <w:rtl/>
        </w:rPr>
        <w:t>וְ</w:t>
      </w:r>
      <w:r>
        <w:rPr>
          <w:rtl/>
        </w:rPr>
        <w:t xml:space="preserve"> </w:t>
      </w:r>
      <w:r>
        <w:t xml:space="preserve">mit derselben Formel, </w:t>
      </w:r>
      <w:r>
        <w:rPr>
          <w:rStyle w:val="Fett"/>
          <w:rFonts w:eastAsiaTheme="majorEastAsia"/>
          <w:rtl/>
        </w:rPr>
        <w:t>לְשִׂמְלָתוֹ</w:t>
      </w:r>
      <w:r>
        <w:t xml:space="preserve">, Präposition </w:t>
      </w:r>
      <w:r>
        <w:rPr>
          <w:rStyle w:val="Fett"/>
          <w:rFonts w:eastAsiaTheme="majorEastAsia"/>
          <w:rtl/>
        </w:rPr>
        <w:t>לְ</w:t>
      </w:r>
      <w:r>
        <w:rPr>
          <w:rtl/>
        </w:rPr>
        <w:t xml:space="preserve"> </w:t>
      </w:r>
      <w:r>
        <w:t xml:space="preserve">mit </w:t>
      </w:r>
      <w:r>
        <w:rPr>
          <w:rStyle w:val="Fett"/>
          <w:rFonts w:eastAsiaTheme="majorEastAsia"/>
          <w:rtl/>
        </w:rPr>
        <w:t>שִׂמְלָה</w:t>
      </w:r>
      <w:r>
        <w:t xml:space="preserve">, „Gewand, Mantel", mit Suffix 3. Person Maskulinum Singular), </w:t>
      </w:r>
      <w:r>
        <w:rPr>
          <w:rStyle w:val="Fett"/>
          <w:rFonts w:eastAsiaTheme="majorEastAsia"/>
          <w:rtl/>
        </w:rPr>
        <w:t>וְכֵן תַּעֲשֶׂה לְכָל־אֲבֵדַת אָחִיךָ אֲשֶׁר־תֹּאבַד מִמֶּנּוּ וּמְצָאתָהּ</w:t>
      </w:r>
      <w:r>
        <w:rPr>
          <w:rtl/>
        </w:rPr>
        <w:t xml:space="preserve"> </w:t>
      </w:r>
      <w:r>
        <w:t xml:space="preserve">(koordiniert durch </w:t>
      </w:r>
      <w:r>
        <w:rPr>
          <w:rStyle w:val="Fett"/>
          <w:rFonts w:eastAsiaTheme="majorEastAsia"/>
          <w:rtl/>
        </w:rPr>
        <w:t>וְ</w:t>
      </w:r>
      <w:r>
        <w:rPr>
          <w:rtl/>
        </w:rPr>
        <w:t xml:space="preserve"> </w:t>
      </w:r>
      <w:r>
        <w:t xml:space="preserve">mit derselben Formel, </w:t>
      </w:r>
      <w:r>
        <w:rPr>
          <w:rStyle w:val="Fett"/>
          <w:rFonts w:eastAsiaTheme="majorEastAsia"/>
          <w:rtl/>
        </w:rPr>
        <w:t>לְכָל־אֲבֵדַת אָחִיךָ</w:t>
      </w:r>
      <w:r>
        <w:t xml:space="preserve">, Präposition </w:t>
      </w:r>
      <w:r>
        <w:rPr>
          <w:rStyle w:val="Fett"/>
          <w:rFonts w:eastAsiaTheme="majorEastAsia"/>
          <w:rtl/>
        </w:rPr>
        <w:t>לְ</w:t>
      </w:r>
      <w:r>
        <w:rPr>
          <w:rtl/>
        </w:rPr>
        <w:t xml:space="preserve"> </w:t>
      </w:r>
      <w:r>
        <w:t xml:space="preserve">mit </w:t>
      </w:r>
      <w:r>
        <w:rPr>
          <w:rStyle w:val="Fett"/>
          <w:rFonts w:eastAsiaTheme="majorEastAsia"/>
          <w:rtl/>
        </w:rPr>
        <w:t>כֹּל</w:t>
      </w:r>
      <w:r>
        <w:t xml:space="preserve">, Construct mit </w:t>
      </w:r>
      <w:r>
        <w:rPr>
          <w:rStyle w:val="Fett"/>
          <w:rFonts w:eastAsiaTheme="majorEastAsia"/>
          <w:rtl/>
        </w:rPr>
        <w:t>אֲבֵדָה</w:t>
      </w:r>
      <w:r>
        <w:t xml:space="preserve">, „Verlorenes, verlorener Gegenstand", Construct mit </w:t>
      </w:r>
      <w:r>
        <w:rPr>
          <w:rStyle w:val="Fett"/>
          <w:rFonts w:eastAsiaTheme="majorEastAsia"/>
          <w:rtl/>
        </w:rPr>
        <w:t>אָח</w:t>
      </w:r>
      <w:r>
        <w:rPr>
          <w:rtl/>
        </w:rPr>
        <w:t xml:space="preserve"> </w:t>
      </w:r>
      <w:r>
        <w:t xml:space="preserve">mit Suffix 2. Person Maskulinum Singular, Relativsatz: </w:t>
      </w:r>
      <w:r>
        <w:rPr>
          <w:rStyle w:val="Fett"/>
          <w:rFonts w:eastAsiaTheme="majorEastAsia"/>
          <w:rtl/>
        </w:rPr>
        <w:t>אֲשֶׁר־תֹּאבַד מִמֶּנּוּ</w:t>
      </w:r>
      <w:r>
        <w:t xml:space="preserve">, </w:t>
      </w:r>
      <w:r>
        <w:rPr>
          <w:rStyle w:val="Fett"/>
          <w:rFonts w:eastAsiaTheme="majorEastAsia"/>
          <w:rtl/>
        </w:rPr>
        <w:t>אבד</w:t>
      </w:r>
      <w:r>
        <w:t xml:space="preserve">, Qal Imperfekt, 3. Person Femininum Singular, „verloren gehen, verlorengehen", </w:t>
      </w:r>
      <w:r>
        <w:rPr>
          <w:rStyle w:val="Fett"/>
          <w:rFonts w:eastAsiaTheme="majorEastAsia"/>
          <w:rtl/>
        </w:rPr>
        <w:t>מִמֶּנּוּ</w:t>
      </w:r>
      <w:r>
        <w:t xml:space="preserve">, Präposition </w:t>
      </w:r>
      <w:r>
        <w:rPr>
          <w:rStyle w:val="Fett"/>
          <w:rFonts w:eastAsiaTheme="majorEastAsia"/>
          <w:rtl/>
        </w:rPr>
        <w:t>מִן</w:t>
      </w:r>
      <w:r>
        <w:rPr>
          <w:rtl/>
        </w:rPr>
        <w:t xml:space="preserve"> </w:t>
      </w:r>
      <w:r>
        <w:t xml:space="preserve">mit Suffix 3. Person Maskulinum Singular, </w:t>
      </w:r>
      <w:r>
        <w:rPr>
          <w:rStyle w:val="Fett"/>
          <w:rFonts w:eastAsiaTheme="majorEastAsia"/>
          <w:rtl/>
        </w:rPr>
        <w:t>וּמְצָאתָהּ</w:t>
      </w:r>
      <w:r>
        <w:t xml:space="preserve">, koordiniert durch </w:t>
      </w:r>
      <w:r>
        <w:rPr>
          <w:rStyle w:val="Fett"/>
          <w:rFonts w:eastAsiaTheme="majorEastAsia"/>
          <w:rtl/>
        </w:rPr>
        <w:t>וּ</w:t>
      </w:r>
      <w:r>
        <w:rPr>
          <w:rtl/>
        </w:rPr>
        <w:t xml:space="preserve"> </w:t>
      </w:r>
      <w:r>
        <w:t xml:space="preserve">mit </w:t>
      </w:r>
      <w:r>
        <w:rPr>
          <w:rStyle w:val="Fett"/>
          <w:rFonts w:eastAsiaTheme="majorEastAsia"/>
          <w:rtl/>
        </w:rPr>
        <w:t>מצא</w:t>
      </w:r>
      <w:r>
        <w:t xml:space="preserve">, Qal Perfekt, 2. Person Maskulinum Singular, „finden", mit Suffix 3. Person Femininum Singular, mit </w:t>
      </w:r>
      <w:r>
        <w:rPr>
          <w:rStyle w:val="Fett"/>
          <w:rFonts w:eastAsiaTheme="majorEastAsia"/>
        </w:rPr>
        <w:t>Waw</w:t>
      </w:r>
      <w:r>
        <w:t xml:space="preserve"> consecutives Perfekt).</w:t>
      </w:r>
    </w:p>
    <w:p w14:paraId="5DA8CF27" w14:textId="77777777" w:rsidR="00C178BF" w:rsidRDefault="00C178BF" w:rsidP="00C178BF">
      <w:pPr>
        <w:pStyle w:val="whitespace-normal"/>
      </w:pPr>
      <w:r>
        <w:rPr>
          <w:rStyle w:val="Fett"/>
          <w:rFonts w:eastAsiaTheme="majorEastAsia"/>
          <w:rtl/>
        </w:rPr>
        <w:t>לֹא תוּכַל לְהִתְעַלֵּם</w:t>
      </w:r>
      <w:r>
        <w:rPr>
          <w:rtl/>
        </w:rPr>
        <w:t xml:space="preserve"> </w:t>
      </w:r>
      <w:r>
        <w:t xml:space="preserve">ist die abschließende Negation: </w:t>
      </w:r>
      <w:r>
        <w:rPr>
          <w:rStyle w:val="Fett"/>
          <w:rFonts w:eastAsiaTheme="majorEastAsia"/>
          <w:rtl/>
        </w:rPr>
        <w:t>לֹא תוּכַל</w:t>
      </w:r>
      <w:r>
        <w:rPr>
          <w:rtl/>
        </w:rPr>
        <w:t xml:space="preserve"> </w:t>
      </w:r>
      <w:r>
        <w:t xml:space="preserve">(Negation mit </w:t>
      </w:r>
      <w:r>
        <w:rPr>
          <w:rStyle w:val="Fett"/>
          <w:rFonts w:eastAsiaTheme="majorEastAsia"/>
          <w:rtl/>
        </w:rPr>
        <w:t>יכל</w:t>
      </w:r>
      <w:r>
        <w:t xml:space="preserve">, Qal Imperfekt, 2. Person Maskulinum Singular, „können, dürfen"), </w:t>
      </w:r>
      <w:r>
        <w:rPr>
          <w:rStyle w:val="Fett"/>
          <w:rFonts w:eastAsiaTheme="majorEastAsia"/>
          <w:rtl/>
        </w:rPr>
        <w:t>לְהִתְעַלֵּם</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עלם</w:t>
      </w:r>
      <w:r>
        <w:t>, Hithpael Infinitiv Construct, „sich entziehen, ignorieren" – derselbe Stamm wie V. 1).</w:t>
      </w:r>
    </w:p>
    <w:p w14:paraId="301FE695" w14:textId="77777777" w:rsidR="00C178BF" w:rsidRDefault="00C178BF" w:rsidP="00C178BF">
      <w:pPr>
        <w:pStyle w:val="whitespace-normal"/>
      </w:pPr>
      <w:r>
        <w:t xml:space="preserve">Der Vers erweitert das Prinzip von V. 1-2 auf alle verlorenen Gegenstände. Die dreifache Wiederholung </w:t>
      </w:r>
      <w:r>
        <w:rPr>
          <w:rStyle w:val="Fett"/>
          <w:rFonts w:eastAsiaTheme="majorEastAsia"/>
          <w:rtl/>
        </w:rPr>
        <w:t>וְכֵן תַּעֲשֶׂה</w:t>
      </w:r>
      <w:r>
        <w:rPr>
          <w:rtl/>
        </w:rPr>
        <w:t xml:space="preserve"> </w:t>
      </w:r>
      <w:r>
        <w:t xml:space="preserve">(„und ebenso sollst du tun") betont die universelle Anwendung. Drei Beispiele: (1) </w:t>
      </w:r>
      <w:r>
        <w:rPr>
          <w:rStyle w:val="Fett"/>
          <w:rFonts w:eastAsiaTheme="majorEastAsia"/>
          <w:rtl/>
        </w:rPr>
        <w:t>לַחֲמֹרוֹ</w:t>
      </w:r>
      <w:r>
        <w:rPr>
          <w:rtl/>
        </w:rPr>
        <w:t xml:space="preserve"> </w:t>
      </w:r>
      <w:r>
        <w:t xml:space="preserve">(„sein Esel") – ein weiteres Arbeitstier nach </w:t>
      </w:r>
      <w:r>
        <w:rPr>
          <w:rStyle w:val="Fett"/>
          <w:rFonts w:eastAsiaTheme="majorEastAsia"/>
          <w:rtl/>
        </w:rPr>
        <w:t>שׁוֹר</w:t>
      </w:r>
      <w:r>
        <w:rPr>
          <w:rtl/>
        </w:rPr>
        <w:t xml:space="preserve"> </w:t>
      </w:r>
      <w:r>
        <w:t xml:space="preserve">und </w:t>
      </w:r>
      <w:r>
        <w:rPr>
          <w:rStyle w:val="Fett"/>
          <w:rFonts w:eastAsiaTheme="majorEastAsia"/>
          <w:rtl/>
        </w:rPr>
        <w:t>שֶׂה</w:t>
      </w:r>
      <w:r>
        <w:rPr>
          <w:rtl/>
        </w:rPr>
        <w:t xml:space="preserve"> </w:t>
      </w:r>
      <w:r>
        <w:t xml:space="preserve">in V. 1, (2) </w:t>
      </w:r>
      <w:r>
        <w:rPr>
          <w:rStyle w:val="Fett"/>
          <w:rFonts w:eastAsiaTheme="majorEastAsia"/>
          <w:rtl/>
        </w:rPr>
        <w:t>לְשִׂמְלָתוֹ</w:t>
      </w:r>
      <w:r>
        <w:rPr>
          <w:rtl/>
        </w:rPr>
        <w:t xml:space="preserve"> </w:t>
      </w:r>
      <w:r>
        <w:t xml:space="preserve">(„sein Gewand") – persönlicher Besitz, wichtig in der antiken Welt (vgl. Ex 22,25-26; Dtn 24,12-13), (3) </w:t>
      </w:r>
      <w:r>
        <w:rPr>
          <w:rStyle w:val="Fett"/>
          <w:rFonts w:eastAsiaTheme="majorEastAsia"/>
          <w:rtl/>
        </w:rPr>
        <w:t>לְכָל־אֲבֵדַת אָחִיךָ</w:t>
      </w:r>
      <w:r>
        <w:rPr>
          <w:rtl/>
        </w:rPr>
        <w:t xml:space="preserve"> </w:t>
      </w:r>
      <w:r>
        <w:t xml:space="preserve">(„für alles Verlorene deines Bruders") – universelle Kategorie. Die Formulierung </w:t>
      </w:r>
      <w:r>
        <w:rPr>
          <w:rStyle w:val="Fett"/>
          <w:rFonts w:eastAsiaTheme="majorEastAsia"/>
          <w:rtl/>
        </w:rPr>
        <w:t>אֲשֶׁר־תֹּאבַד מִמֶּנּוּ וּמְצָאתָהּ</w:t>
      </w:r>
      <w:r>
        <w:rPr>
          <w:rtl/>
        </w:rPr>
        <w:t xml:space="preserve"> </w:t>
      </w:r>
      <w:r>
        <w:t xml:space="preserve">(„das verloren geht von ihm und das du findest") definiert: (a) Es ist ihm verloren gegangen (unabsichtlich), (b) Du findest es (Gelegenheit zur Rückgabe). Die abschließende Negation </w:t>
      </w:r>
      <w:r>
        <w:rPr>
          <w:rStyle w:val="Fett"/>
          <w:rFonts w:eastAsiaTheme="majorEastAsia"/>
          <w:rtl/>
        </w:rPr>
        <w:t>לֹא תוּכַל לְהִתְעַלֵּם</w:t>
      </w:r>
      <w:r>
        <w:rPr>
          <w:rtl/>
        </w:rPr>
        <w:t xml:space="preserve"> </w:t>
      </w:r>
      <w:r>
        <w:t>(„du kannst/darfst dich nicht entziehen") fasst zusammen: keine Ausreden, keine Ignoranz – Pflicht zur Rückgabe.</w:t>
      </w:r>
    </w:p>
    <w:p w14:paraId="52DDACAF" w14:textId="77777777" w:rsidR="00C178BF" w:rsidRDefault="00C178BF" w:rsidP="00C178BF">
      <w:pPr>
        <w:pStyle w:val="whitespace-normal"/>
      </w:pPr>
      <w:r>
        <w:rPr>
          <w:rStyle w:val="Fett"/>
          <w:rFonts w:eastAsiaTheme="majorEastAsia"/>
        </w:rPr>
        <w:t>Die Satzstruktur:</w:t>
      </w:r>
      <w:r>
        <w:t xml:space="preserve"> Dreifache Erweiterung mit abschließender Negation (und ebenso tun sollst du für seinen Esel, und ebenso tun sollst du für sein Gewand, und ebenso tun sollst du für alles Verlorene deines Bruders, das verloren geht von ihm und das du findest; nicht darfst du dich entziehen).</w:t>
      </w:r>
    </w:p>
    <w:p w14:paraId="1D368527" w14:textId="77777777" w:rsidR="00C178BF" w:rsidRDefault="00C178BF" w:rsidP="00C178BF">
      <w:pPr>
        <w:pStyle w:val="whitespace-normal"/>
      </w:pPr>
      <w:r>
        <w:t>Der Vers erweitert: Dasselbe gilt für Esel, Kleidung und alle verlorenen Gegenstände deines Bruders – du darfst dich nicht entziehen.</w:t>
      </w:r>
    </w:p>
    <w:p w14:paraId="4F9ED8E6" w14:textId="77777777" w:rsidR="00C178BF" w:rsidRPr="00B27A64" w:rsidRDefault="00C178BF" w:rsidP="00C178BF">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22,4</w:t>
      </w:r>
    </w:p>
    <w:p w14:paraId="1BF3BE15" w14:textId="77777777" w:rsidR="00C178BF" w:rsidRDefault="00C178BF" w:rsidP="00C178BF">
      <w:pPr>
        <w:pStyle w:val="whitespace-normal"/>
      </w:pPr>
      <w:r>
        <w:rPr>
          <w:rStyle w:val="Fett"/>
          <w:rFonts w:eastAsiaTheme="majorEastAsia"/>
        </w:rPr>
        <w:t>Hebräisch:</w:t>
      </w:r>
      <w:r>
        <w:t xml:space="preserve"> </w:t>
      </w:r>
      <w:r>
        <w:rPr>
          <w:rtl/>
        </w:rPr>
        <w:t>לֹא־תִרְאֶה֩ אֶת־חֲמ֨וֹר אָחִ֜יךָ א֤וֹ שׁוֹרוֹ֙ נֹפְלִ֣ים בַּדֶּ֔רֶךְ וְהִתְעַלַּמְתָּ֖ מֵהֶ֑ם הָקֵ֥ם תָּקִ֖ים עִמּוֹֽ׃</w:t>
      </w:r>
    </w:p>
    <w:p w14:paraId="70CFECE4" w14:textId="3EA606A4" w:rsidR="00C178BF" w:rsidRDefault="00C178BF" w:rsidP="00C178BF">
      <w:pPr>
        <w:pStyle w:val="whitespace-normal"/>
      </w:pPr>
      <w:r>
        <w:rPr>
          <w:rStyle w:val="Fett"/>
          <w:rFonts w:eastAsiaTheme="majorEastAsia"/>
        </w:rPr>
        <w:t>Deutsch:</w:t>
      </w:r>
      <w:r>
        <w:t xml:space="preserve"> Du sollst nicht zusehen, wie der Esel deines Bruders oder sein Rind auf dem Weg g</w:t>
      </w:r>
      <w:r w:rsidR="00A8036F">
        <w:t>ef</w:t>
      </w:r>
      <w:r w:rsidR="00743283">
        <w:t>a</w:t>
      </w:r>
      <w:r>
        <w:t>llen ist, und dich ihnen entziehen; du sollst sie mit ihm aufrichten.</w:t>
      </w:r>
    </w:p>
    <w:p w14:paraId="73BFC8AF" w14:textId="77777777" w:rsidR="00C178BF" w:rsidRDefault="004F5CEB" w:rsidP="00C178BF">
      <w:r>
        <w:rPr>
          <w:noProof/>
        </w:rPr>
        <w:pict w14:anchorId="16252134">
          <v:rect id="_x0000_i1599" style="width:0;height:1.5pt" o:hralign="center" o:hrstd="t" o:hr="t" fillcolor="#a0a0a0" stroked="f"/>
        </w:pict>
      </w:r>
    </w:p>
    <w:p w14:paraId="1F82C41B" w14:textId="77777777" w:rsidR="00C178BF" w:rsidRDefault="00C178BF" w:rsidP="00C178BF">
      <w:pPr>
        <w:pStyle w:val="whitespace-normal"/>
      </w:pPr>
      <w:r>
        <w:rPr>
          <w:rStyle w:val="Fett"/>
          <w:rFonts w:eastAsiaTheme="majorEastAsia"/>
        </w:rPr>
        <w:t>Kommentar:</w:t>
      </w:r>
      <w:r>
        <w:t xml:space="preserve"> </w:t>
      </w:r>
      <w:r>
        <w:rPr>
          <w:rStyle w:val="Fett"/>
          <w:rFonts w:eastAsiaTheme="majorEastAsia"/>
          <w:rtl/>
        </w:rPr>
        <w:t>לֹא־תִרְאֶה אֶת־חֲמוֹר אָחִיךָ אוֹ שׁוֹרוֹ נֹפְלִים בַּדֶּרֶךְ וְהִתְעַלַּמְתָּ מֵהֶם</w:t>
      </w:r>
      <w:r>
        <w:rPr>
          <w:rtl/>
        </w:rPr>
        <w:t xml:space="preserve"> </w:t>
      </w:r>
      <w:r>
        <w:t xml:space="preserve">ist das Verbot: </w:t>
      </w:r>
      <w:r>
        <w:rPr>
          <w:rStyle w:val="Fett"/>
          <w:rFonts w:eastAsiaTheme="majorEastAsia"/>
          <w:rtl/>
        </w:rPr>
        <w:t>לֹא־תִרְאֶה</w:t>
      </w:r>
      <w:r>
        <w:rPr>
          <w:rtl/>
        </w:rPr>
        <w:t xml:space="preserve"> </w:t>
      </w:r>
      <w:r>
        <w:t xml:space="preserve">(Negation mit </w:t>
      </w:r>
      <w:r>
        <w:rPr>
          <w:rStyle w:val="Fett"/>
          <w:rFonts w:eastAsiaTheme="majorEastAsia"/>
          <w:rtl/>
        </w:rPr>
        <w:t>ראה</w:t>
      </w:r>
      <w:r>
        <w:t xml:space="preserve">, Qal Imperfekt, 2. Person Maskulinum Singular – identisch mit V. 1), </w:t>
      </w:r>
      <w:r>
        <w:rPr>
          <w:rStyle w:val="Fett"/>
          <w:rFonts w:eastAsiaTheme="majorEastAsia"/>
          <w:rtl/>
        </w:rPr>
        <w:t>אֶת־</w:t>
      </w:r>
      <w:r>
        <w:rPr>
          <w:rStyle w:val="Fett"/>
          <w:rFonts w:eastAsiaTheme="majorEastAsia"/>
          <w:rtl/>
        </w:rPr>
        <w:lastRenderedPageBreak/>
        <w:t>חֲמוֹר אָחִיךָ אוֹ שׁוֹרוֹ</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חֲמוֹר</w:t>
      </w:r>
      <w:r>
        <w:t xml:space="preserve">, „Esel", Construct mit </w:t>
      </w:r>
      <w:r>
        <w:rPr>
          <w:rStyle w:val="Fett"/>
          <w:rFonts w:eastAsiaTheme="majorEastAsia"/>
          <w:rtl/>
        </w:rPr>
        <w:t>אָח</w:t>
      </w:r>
      <w:r>
        <w:rPr>
          <w:rtl/>
        </w:rPr>
        <w:t xml:space="preserve"> </w:t>
      </w:r>
      <w:r>
        <w:t xml:space="preserve">mit Suffix 2. Person Maskulinum Singular, koordiniert durch </w:t>
      </w:r>
      <w:r>
        <w:rPr>
          <w:rStyle w:val="Fett"/>
          <w:rFonts w:eastAsiaTheme="majorEastAsia"/>
          <w:rtl/>
        </w:rPr>
        <w:t>אוֹ</w:t>
      </w:r>
      <w:r>
        <w:t xml:space="preserve">, „oder", mit </w:t>
      </w:r>
      <w:r>
        <w:rPr>
          <w:rStyle w:val="Fett"/>
          <w:rFonts w:eastAsiaTheme="majorEastAsia"/>
          <w:rtl/>
        </w:rPr>
        <w:t>שׁוֹר</w:t>
      </w:r>
      <w:r>
        <w:t xml:space="preserve">, „Rind", mit Suffix 3. Person Maskulinum Singular), </w:t>
      </w:r>
      <w:r>
        <w:rPr>
          <w:rStyle w:val="Fett"/>
          <w:rFonts w:eastAsiaTheme="majorEastAsia"/>
          <w:rtl/>
        </w:rPr>
        <w:t>נֹפְלִים בַּדֶּרֶךְ</w:t>
      </w:r>
      <w:r>
        <w:rPr>
          <w:rtl/>
        </w:rPr>
        <w:t xml:space="preserve"> </w:t>
      </w:r>
      <w:r>
        <w:t xml:space="preserve">(Qal Partizip Plural von </w:t>
      </w:r>
      <w:r>
        <w:rPr>
          <w:rStyle w:val="Fett"/>
          <w:rFonts w:eastAsiaTheme="majorEastAsia"/>
          <w:rtl/>
        </w:rPr>
        <w:t>נפל</w:t>
      </w:r>
      <w:r>
        <w:t xml:space="preserve">, „fallen, hinfallen, gestürzt sein", </w:t>
      </w:r>
      <w:r>
        <w:rPr>
          <w:rStyle w:val="Fett"/>
          <w:rFonts w:eastAsiaTheme="majorEastAsia"/>
          <w:rtl/>
        </w:rPr>
        <w:t>בַּדֶּרֶךְ</w:t>
      </w:r>
      <w:r>
        <w:t xml:space="preserve">, Präposition </w:t>
      </w:r>
      <w:r>
        <w:rPr>
          <w:rStyle w:val="Fett"/>
          <w:rFonts w:eastAsiaTheme="majorEastAsia"/>
          <w:rtl/>
        </w:rPr>
        <w:t>בְּ</w:t>
      </w:r>
      <w:r>
        <w:rPr>
          <w:rtl/>
        </w:rPr>
        <w:t xml:space="preserve"> </w:t>
      </w:r>
      <w:r>
        <w:t xml:space="preserve">mit </w:t>
      </w:r>
      <w:r>
        <w:rPr>
          <w:rStyle w:val="Fett"/>
          <w:rFonts w:eastAsiaTheme="majorEastAsia"/>
          <w:rtl/>
        </w:rPr>
        <w:t>דֶּרֶךְ</w:t>
      </w:r>
      <w:r>
        <w:t xml:space="preserve">, „Weg", mit Artikel), </w:t>
      </w:r>
      <w:r>
        <w:rPr>
          <w:rStyle w:val="Fett"/>
          <w:rFonts w:eastAsiaTheme="majorEastAsia"/>
          <w:rtl/>
        </w:rPr>
        <w:t>וְהִתְעַלַּמְתָּ מֵהֶם</w:t>
      </w:r>
      <w:r>
        <w:rPr>
          <w:rtl/>
        </w:rPr>
        <w:t xml:space="preserve"> </w:t>
      </w:r>
      <w:r>
        <w:t>(identisch mit V. 1).</w:t>
      </w:r>
    </w:p>
    <w:p w14:paraId="76AA1440" w14:textId="77777777" w:rsidR="00C178BF" w:rsidRDefault="00C178BF" w:rsidP="00C178BF">
      <w:pPr>
        <w:pStyle w:val="whitespace-normal"/>
      </w:pPr>
      <w:r>
        <w:rPr>
          <w:rStyle w:val="Fett"/>
          <w:rFonts w:eastAsiaTheme="majorEastAsia"/>
          <w:rtl/>
        </w:rPr>
        <w:t>הָקֵם תָּקִים עִמּוֹ</w:t>
      </w:r>
      <w:r>
        <w:rPr>
          <w:rtl/>
        </w:rPr>
        <w:t xml:space="preserve"> </w:t>
      </w:r>
      <w:r>
        <w:t xml:space="preserve">ist das Gebot: </w:t>
      </w:r>
      <w:r>
        <w:rPr>
          <w:rStyle w:val="Fett"/>
          <w:rFonts w:eastAsiaTheme="majorEastAsia"/>
          <w:rtl/>
        </w:rPr>
        <w:t>הָקֵם תָּקִים</w:t>
      </w:r>
      <w:r>
        <w:rPr>
          <w:rtl/>
        </w:rPr>
        <w:t xml:space="preserve"> </w:t>
      </w:r>
      <w:r>
        <w:t xml:space="preserve">(Hiphil Infinitiv Absolutus von </w:t>
      </w:r>
      <w:r>
        <w:rPr>
          <w:rStyle w:val="Fett"/>
          <w:rFonts w:eastAsiaTheme="majorEastAsia"/>
          <w:rtl/>
        </w:rPr>
        <w:t>קום</w:t>
      </w:r>
      <w:r>
        <w:t xml:space="preserve">, „aufstehen, aufrichten" – die Wiederholung verstärkt: „gewiss aufrichten", Hiphil Imperfekt, 2. Person Maskulinum Singular – das Hiphil ist kausativ), </w:t>
      </w:r>
      <w:r>
        <w:rPr>
          <w:rStyle w:val="Fett"/>
          <w:rFonts w:eastAsiaTheme="majorEastAsia"/>
          <w:rtl/>
        </w:rPr>
        <w:t>עִמּוֹ</w:t>
      </w:r>
      <w:r>
        <w:rPr>
          <w:rtl/>
        </w:rPr>
        <w:t xml:space="preserve"> </w:t>
      </w:r>
      <w:r>
        <w:t xml:space="preserve">(Präposition </w:t>
      </w:r>
      <w:r>
        <w:rPr>
          <w:rStyle w:val="Fett"/>
          <w:rFonts w:eastAsiaTheme="majorEastAsia"/>
          <w:rtl/>
        </w:rPr>
        <w:t>עִם</w:t>
      </w:r>
      <w:r>
        <w:t>, „mit", mit Suffix 3. Person Maskulinum Singular).</w:t>
      </w:r>
    </w:p>
    <w:p w14:paraId="75D7D049" w14:textId="49F8E696" w:rsidR="00C178BF" w:rsidRDefault="00C178BF" w:rsidP="00C178BF">
      <w:pPr>
        <w:pStyle w:val="whitespace-normal"/>
      </w:pPr>
      <w:r>
        <w:t>Der Vers ist parallel zu V. 1, aber behandelt eine andere Situation: nicht verirrte (</w:t>
      </w:r>
      <w:r>
        <w:rPr>
          <w:rStyle w:val="Fett"/>
          <w:rFonts w:eastAsiaTheme="majorEastAsia"/>
          <w:rtl/>
        </w:rPr>
        <w:t>נִדָּחִים</w:t>
      </w:r>
      <w:r>
        <w:t>), sondern gestürzte (</w:t>
      </w:r>
      <w:r>
        <w:rPr>
          <w:rStyle w:val="Fett"/>
          <w:rFonts w:eastAsiaTheme="majorEastAsia"/>
          <w:rtl/>
        </w:rPr>
        <w:t>נֹפְלִים</w:t>
      </w:r>
      <w:r>
        <w:t xml:space="preserve">) Tiere. Das Partizip </w:t>
      </w:r>
      <w:r>
        <w:rPr>
          <w:rStyle w:val="Fett"/>
          <w:rFonts w:eastAsiaTheme="majorEastAsia"/>
          <w:rtl/>
        </w:rPr>
        <w:t>נֹפְלִים</w:t>
      </w:r>
      <w:r>
        <w:rPr>
          <w:rtl/>
        </w:rPr>
        <w:t xml:space="preserve"> </w:t>
      </w:r>
      <w:r>
        <w:t>(„g</w:t>
      </w:r>
      <w:r w:rsidR="00A8036F">
        <w:t>ef</w:t>
      </w:r>
      <w:r w:rsidR="00743283">
        <w:t>a</w:t>
      </w:r>
      <w:r>
        <w:t xml:space="preserve">llen, gestürzt") beschreibt Tiere, die unter ihrer Last zusammengebrochen sind oder in einen Graben </w:t>
      </w:r>
      <w:r w:rsidR="00D47758">
        <w:t>gefallen</w:t>
      </w:r>
      <w:r>
        <w:t xml:space="preserve"> sind (vgl. Ex 21,33). Die Ortsangabe </w:t>
      </w:r>
      <w:r>
        <w:rPr>
          <w:rStyle w:val="Fett"/>
          <w:rFonts w:eastAsiaTheme="majorEastAsia"/>
          <w:rtl/>
        </w:rPr>
        <w:t>בַּדֶּרֶךְ</w:t>
      </w:r>
      <w:r>
        <w:rPr>
          <w:rtl/>
        </w:rPr>
        <w:t xml:space="preserve"> </w:t>
      </w:r>
      <w:r>
        <w:t xml:space="preserve">(„auf dem Weg") zeigt: auf öffentlichen Straßen, wo Hilfe besonders dringend ist. Das Gebot </w:t>
      </w:r>
      <w:r>
        <w:rPr>
          <w:rStyle w:val="Fett"/>
          <w:rFonts w:eastAsiaTheme="majorEastAsia"/>
          <w:rtl/>
        </w:rPr>
        <w:t>הָקֵם תָּקִים עִמּוֹ</w:t>
      </w:r>
      <w:r>
        <w:rPr>
          <w:rtl/>
        </w:rPr>
        <w:t xml:space="preserve"> </w:t>
      </w:r>
      <w:r>
        <w:t xml:space="preserve">(„gewiss aufrichten sollst du mit ihm") – die Wiederholung verstärkt, und </w:t>
      </w:r>
      <w:r>
        <w:rPr>
          <w:rStyle w:val="Fett"/>
          <w:rFonts w:eastAsiaTheme="majorEastAsia"/>
          <w:rtl/>
        </w:rPr>
        <w:t>עִמּוֹ</w:t>
      </w:r>
      <w:r>
        <w:rPr>
          <w:rtl/>
        </w:rPr>
        <w:t xml:space="preserve"> </w:t>
      </w:r>
      <w:r>
        <w:t xml:space="preserve">(„mit ihm") betont: zusammen mit dem Eigentümer, gemeinsame Anstrengung. Dies erweitert Ex 23,5, das vom Esel des </w:t>
      </w:r>
      <w:r>
        <w:rPr>
          <w:rStyle w:val="Fett"/>
          <w:rFonts w:eastAsiaTheme="majorEastAsia"/>
        </w:rPr>
        <w:t>Feindes</w:t>
      </w:r>
      <w:r>
        <w:t xml:space="preserve"> spricht; hier geht es um den </w:t>
      </w:r>
      <w:r>
        <w:rPr>
          <w:rStyle w:val="Fett"/>
          <w:rFonts w:eastAsiaTheme="majorEastAsia"/>
        </w:rPr>
        <w:t>Bruder</w:t>
      </w:r>
      <w:r>
        <w:t>. Die Pflicht: nicht nur passive Rückgabe (V. 1-3), sondern aktive Hilfe.</w:t>
      </w:r>
    </w:p>
    <w:p w14:paraId="735E763B" w14:textId="248DB4F8" w:rsidR="00C178BF" w:rsidRDefault="00C178BF" w:rsidP="00C178BF">
      <w:pPr>
        <w:pStyle w:val="whitespace-normal"/>
      </w:pPr>
      <w:r>
        <w:rPr>
          <w:rStyle w:val="Fett"/>
          <w:rFonts w:eastAsiaTheme="majorEastAsia"/>
        </w:rPr>
        <w:t>Die Satzstruktur:</w:t>
      </w:r>
      <w:r>
        <w:t xml:space="preserve"> Verbot mit Gebot (nicht sehen sollst du den Esel deines Bruders oder sein Rind </w:t>
      </w:r>
      <w:r w:rsidR="00D47758">
        <w:t>gefallen</w:t>
      </w:r>
      <w:r>
        <w:t xml:space="preserve"> auf dem Weg, und entziehen dich von ihnen; gewiss aufrichten sollst du mit ihm).</w:t>
      </w:r>
    </w:p>
    <w:p w14:paraId="09EA9D10" w14:textId="77777777" w:rsidR="00C178BF" w:rsidRDefault="00C178BF" w:rsidP="00C178BF">
      <w:pPr>
        <w:pStyle w:val="whitespace-normal"/>
      </w:pPr>
      <w:r>
        <w:t>Der Vers verbietet: Du darfst nicht wegsehen, wenn das Vieh deines Bruders gestürzt ist – du musst ihm helfen, es aufzurichten.</w:t>
      </w:r>
    </w:p>
    <w:p w14:paraId="08982A62" w14:textId="77777777" w:rsidR="00C178BF" w:rsidRPr="00B27A64" w:rsidRDefault="00C178BF" w:rsidP="00C178BF">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22,5</w:t>
      </w:r>
    </w:p>
    <w:p w14:paraId="509EB496" w14:textId="77777777" w:rsidR="00C178BF" w:rsidRDefault="00C178BF" w:rsidP="00C178BF">
      <w:pPr>
        <w:pStyle w:val="whitespace-normal"/>
      </w:pPr>
      <w:r>
        <w:rPr>
          <w:rStyle w:val="Fett"/>
          <w:rFonts w:eastAsiaTheme="majorEastAsia"/>
        </w:rPr>
        <w:t>Hebräisch:</w:t>
      </w:r>
      <w:r>
        <w:t xml:space="preserve"> </w:t>
      </w:r>
      <w:r>
        <w:rPr>
          <w:rtl/>
        </w:rPr>
        <w:t>לֹא־יִהְיֶ֤ה כְלִי־גֶ֨בֶר֙ עַל־אִשָּׁ֔ה וְלֹא־יִלְבַּ֥שׁ גֶּ֖בֶר שִׂמְלַ֣ת אִשָּׁ֑ה כִּ֧י תוֹעֲבַ֛ת יְהוָ֥ה אֱלֹהֶ֖יךָ כָּל־עֹ֥שֵׂה אֵֽלֶּה׃</w:t>
      </w:r>
    </w:p>
    <w:p w14:paraId="7382C72A" w14:textId="77777777" w:rsidR="00C178BF" w:rsidRDefault="00C178BF" w:rsidP="00C178BF">
      <w:pPr>
        <w:pStyle w:val="whitespace-normal"/>
      </w:pPr>
      <w:r>
        <w:rPr>
          <w:rStyle w:val="Fett"/>
          <w:rFonts w:eastAsiaTheme="majorEastAsia"/>
        </w:rPr>
        <w:t>Deutsch:</w:t>
      </w:r>
      <w:r>
        <w:t xml:space="preserve"> Eine Frau soll keine Männersachen tragen, und ein Mann soll keine Frauenkleidung anziehen; denn jeder, der dies tut, ist ein Gräuel für den Ewigen, deinen Gott.</w:t>
      </w:r>
    </w:p>
    <w:p w14:paraId="7B1F8CF1" w14:textId="77777777" w:rsidR="00C178BF" w:rsidRDefault="004F5CEB" w:rsidP="00C178BF">
      <w:r>
        <w:rPr>
          <w:noProof/>
        </w:rPr>
        <w:pict w14:anchorId="2977961E">
          <v:rect id="_x0000_i1600" style="width:0;height:1.5pt" o:hralign="center" o:hrstd="t" o:hr="t" fillcolor="#a0a0a0" stroked="f"/>
        </w:pict>
      </w:r>
    </w:p>
    <w:p w14:paraId="046EEEF8" w14:textId="77777777" w:rsidR="00C178BF" w:rsidRDefault="00C178BF" w:rsidP="00C178BF">
      <w:pPr>
        <w:pStyle w:val="whitespace-normal"/>
      </w:pPr>
      <w:r>
        <w:rPr>
          <w:rStyle w:val="Fett"/>
          <w:rFonts w:eastAsiaTheme="majorEastAsia"/>
        </w:rPr>
        <w:t>Kommentar:</w:t>
      </w:r>
      <w:r>
        <w:t xml:space="preserve"> </w:t>
      </w:r>
      <w:r>
        <w:rPr>
          <w:rStyle w:val="Fett"/>
          <w:rFonts w:eastAsiaTheme="majorEastAsia"/>
          <w:rtl/>
        </w:rPr>
        <w:t>לֹא־יִהְיֶה כְלִי־גֶבֶר עַל־אִשָּׁה וְלֹא־יִלְבַּשׁ גֶּבֶר שִׂמְלַת אִשָּׁה</w:t>
      </w:r>
      <w:r>
        <w:rPr>
          <w:rtl/>
        </w:rPr>
        <w:t xml:space="preserve"> </w:t>
      </w:r>
      <w:r>
        <w:t xml:space="preserve">sind zwei Verbote: </w:t>
      </w:r>
      <w:r>
        <w:rPr>
          <w:rStyle w:val="Fett"/>
          <w:rFonts w:eastAsiaTheme="majorEastAsia"/>
          <w:rtl/>
        </w:rPr>
        <w:t>לֹא־יִהְיֶה כְלִי־גֶבֶר עַל־אִשָּׁה</w:t>
      </w:r>
      <w:r>
        <w:rPr>
          <w:rtl/>
        </w:rPr>
        <w:t xml:space="preserve"> </w:t>
      </w:r>
      <w:r>
        <w:t xml:space="preserve">(Negation mit </w:t>
      </w:r>
      <w:r>
        <w:rPr>
          <w:rStyle w:val="Fett"/>
          <w:rFonts w:eastAsiaTheme="majorEastAsia"/>
          <w:rtl/>
        </w:rPr>
        <w:t>היה</w:t>
      </w:r>
      <w:r>
        <w:t xml:space="preserve">, Qal Imperfekt, 3. Person Maskulinum Singular, „sein", </w:t>
      </w:r>
      <w:r>
        <w:rPr>
          <w:rStyle w:val="Fett"/>
          <w:rFonts w:eastAsiaTheme="majorEastAsia"/>
          <w:rtl/>
        </w:rPr>
        <w:t>כְלִי־גֶבֶר</w:t>
      </w:r>
      <w:r>
        <w:t xml:space="preserve">, </w:t>
      </w:r>
      <w:r>
        <w:rPr>
          <w:rStyle w:val="Fett"/>
          <w:rFonts w:eastAsiaTheme="majorEastAsia"/>
          <w:rtl/>
        </w:rPr>
        <w:t>כְּלִי</w:t>
      </w:r>
      <w:r>
        <w:t xml:space="preserve">, „Gerät, Gegenstand, Kleidung", Construct mit </w:t>
      </w:r>
      <w:r>
        <w:rPr>
          <w:rStyle w:val="Fett"/>
          <w:rFonts w:eastAsiaTheme="majorEastAsia"/>
          <w:rtl/>
        </w:rPr>
        <w:t>גֶּבֶר</w:t>
      </w:r>
      <w:r>
        <w:t xml:space="preserve">, „Mann, starker Mann" – </w:t>
      </w:r>
      <w:r>
        <w:rPr>
          <w:rStyle w:val="Fett"/>
          <w:rFonts w:eastAsiaTheme="majorEastAsia"/>
          <w:rtl/>
        </w:rPr>
        <w:t>כְלִי־גֶבֶר</w:t>
      </w:r>
      <w:r>
        <w:rPr>
          <w:rtl/>
        </w:rPr>
        <w:t xml:space="preserve"> </w:t>
      </w:r>
      <w:r>
        <w:t xml:space="preserve">= „Männergerät, Männersache", </w:t>
      </w:r>
      <w:r>
        <w:rPr>
          <w:rStyle w:val="Fett"/>
          <w:rFonts w:eastAsiaTheme="majorEastAsia"/>
          <w:rtl/>
        </w:rPr>
        <w:t>עַל־אִשָּׁה</w:t>
      </w:r>
      <w:r>
        <w:t xml:space="preserve">, Präposition </w:t>
      </w:r>
      <w:r>
        <w:rPr>
          <w:rStyle w:val="Fett"/>
          <w:rFonts w:eastAsiaTheme="majorEastAsia"/>
          <w:rtl/>
        </w:rPr>
        <w:t>עַל</w:t>
      </w:r>
      <w:r>
        <w:t xml:space="preserve">, „auf", mit </w:t>
      </w:r>
      <w:r>
        <w:rPr>
          <w:rStyle w:val="Fett"/>
          <w:rFonts w:eastAsiaTheme="majorEastAsia"/>
          <w:rtl/>
        </w:rPr>
        <w:t>אִשָּׁה</w:t>
      </w:r>
      <w:r>
        <w:t xml:space="preserve">, „Frau"), </w:t>
      </w:r>
      <w:r>
        <w:rPr>
          <w:rStyle w:val="Fett"/>
          <w:rFonts w:eastAsiaTheme="majorEastAsia"/>
          <w:rtl/>
        </w:rPr>
        <w:t>וְלֹא־יִלְבַּשׁ גֶּבֶר שִׂמְלַת אִשָּׁה</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לבשׁ</w:t>
      </w:r>
      <w:r>
        <w:t xml:space="preserve">, Qal Imperfekt, 3. Person Maskulinum Singular, „anziehen, tragen", </w:t>
      </w:r>
      <w:r>
        <w:rPr>
          <w:rStyle w:val="Fett"/>
          <w:rFonts w:eastAsiaTheme="majorEastAsia"/>
          <w:rtl/>
        </w:rPr>
        <w:t>גֶּבֶר</w:t>
      </w:r>
      <w:r>
        <w:rPr>
          <w:rtl/>
        </w:rPr>
        <w:t xml:space="preserve"> </w:t>
      </w:r>
      <w:r>
        <w:t xml:space="preserve">als Subjekt, </w:t>
      </w:r>
      <w:r>
        <w:rPr>
          <w:rStyle w:val="Fett"/>
          <w:rFonts w:eastAsiaTheme="majorEastAsia"/>
          <w:rtl/>
        </w:rPr>
        <w:t>שִׂמְלַת אִשָּׁה</w:t>
      </w:r>
      <w:r>
        <w:t xml:space="preserve">, </w:t>
      </w:r>
      <w:r>
        <w:rPr>
          <w:rStyle w:val="Fett"/>
          <w:rFonts w:eastAsiaTheme="majorEastAsia"/>
          <w:rtl/>
        </w:rPr>
        <w:t>שִׂמְלָה</w:t>
      </w:r>
      <w:r>
        <w:t xml:space="preserve">, „Gewand", Construct mit </w:t>
      </w:r>
      <w:r>
        <w:rPr>
          <w:rStyle w:val="Fett"/>
          <w:rFonts w:eastAsiaTheme="majorEastAsia"/>
          <w:rtl/>
        </w:rPr>
        <w:t>אִשָּׁה</w:t>
      </w:r>
      <w:r>
        <w:t>).</w:t>
      </w:r>
    </w:p>
    <w:p w14:paraId="2ED2457C" w14:textId="77777777" w:rsidR="00C178BF" w:rsidRDefault="00C178BF" w:rsidP="00C178BF">
      <w:pPr>
        <w:pStyle w:val="whitespace-normal"/>
      </w:pPr>
      <w:r>
        <w:rPr>
          <w:rStyle w:val="Fett"/>
          <w:rFonts w:eastAsiaTheme="majorEastAsia"/>
          <w:rtl/>
        </w:rPr>
        <w:t>כִּי תוֹעֲבַת יְהוָה אֱלֹהֶיךָ כָּל־עֹשֵׂה אֵלֶּה</w:t>
      </w:r>
      <w:r>
        <w:rPr>
          <w:rtl/>
        </w:rPr>
        <w:t xml:space="preserve"> </w:t>
      </w:r>
      <w:r>
        <w:t xml:space="preserve">ist die Begründung: </w:t>
      </w:r>
      <w:r>
        <w:rPr>
          <w:rStyle w:val="Fett"/>
          <w:rFonts w:eastAsiaTheme="majorEastAsia"/>
          <w:rtl/>
        </w:rPr>
        <w:t>כִּי תוֹעֲבַת יְהוָה אֱלֹהֶיךָ</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תּוֹעֵבָה</w:t>
      </w:r>
      <w:r>
        <w:t xml:space="preserve">, „Gräuel, Abscheu", Construct mit </w:t>
      </w:r>
      <w:r>
        <w:rPr>
          <w:rStyle w:val="Fett"/>
          <w:rFonts w:eastAsiaTheme="majorEastAsia"/>
          <w:rtl/>
        </w:rPr>
        <w:t>יְהוָה אֱלֹהֶיךָ</w:t>
      </w:r>
      <w:r>
        <w:t xml:space="preserve">), </w:t>
      </w:r>
      <w:r>
        <w:rPr>
          <w:rStyle w:val="Fett"/>
          <w:rFonts w:eastAsiaTheme="majorEastAsia"/>
          <w:rtl/>
        </w:rPr>
        <w:t>כָּל־עֹשֵׂה אֵלֶּה</w:t>
      </w:r>
      <w:r>
        <w:rPr>
          <w:rtl/>
        </w:rPr>
        <w:t xml:space="preserve"> </w:t>
      </w:r>
      <w:r>
        <w:t>(</w:t>
      </w:r>
      <w:r>
        <w:rPr>
          <w:rStyle w:val="Fett"/>
          <w:rFonts w:eastAsiaTheme="majorEastAsia"/>
          <w:rtl/>
        </w:rPr>
        <w:t>כֹּל</w:t>
      </w:r>
      <w:r>
        <w:t xml:space="preserve">, Construct mit </w:t>
      </w:r>
      <w:r>
        <w:rPr>
          <w:rStyle w:val="Fett"/>
          <w:rFonts w:eastAsiaTheme="majorEastAsia"/>
          <w:rtl/>
        </w:rPr>
        <w:t>עשׂה</w:t>
      </w:r>
      <w:r>
        <w:t xml:space="preserve">, Qal Partizip, „tun, machen", </w:t>
      </w:r>
      <w:r>
        <w:rPr>
          <w:rStyle w:val="Fett"/>
          <w:rFonts w:eastAsiaTheme="majorEastAsia"/>
          <w:rtl/>
        </w:rPr>
        <w:t>אֵלֶּה</w:t>
      </w:r>
      <w:r>
        <w:t>, Demonstrativpronomen Plural, „diese Dinge").</w:t>
      </w:r>
    </w:p>
    <w:p w14:paraId="53C07206" w14:textId="3E30A625" w:rsidR="00C178BF" w:rsidRDefault="00C178BF" w:rsidP="00C178BF">
      <w:pPr>
        <w:pStyle w:val="whitespace-normal"/>
      </w:pPr>
      <w:r>
        <w:lastRenderedPageBreak/>
        <w:t xml:space="preserve">Der Vers verbietet Geschlechter-Kleidungstausch. Das erste Verbot: </w:t>
      </w:r>
      <w:r>
        <w:rPr>
          <w:rStyle w:val="Fett"/>
          <w:rFonts w:eastAsiaTheme="majorEastAsia"/>
          <w:rtl/>
        </w:rPr>
        <w:t>לֹא־יִהְיֶה כְלִי־גֶבֶר עַל־אִשָּׁה</w:t>
      </w:r>
      <w:r>
        <w:rPr>
          <w:rtl/>
        </w:rPr>
        <w:t xml:space="preserve"> </w:t>
      </w:r>
      <w:r>
        <w:t xml:space="preserve">(„nicht soll sein Männergerät auf einer Frau"). Das Wort </w:t>
      </w:r>
      <w:r>
        <w:rPr>
          <w:rStyle w:val="Fett"/>
          <w:rFonts w:eastAsiaTheme="majorEastAsia"/>
          <w:rtl/>
        </w:rPr>
        <w:t>כְּלִי</w:t>
      </w:r>
      <w:r>
        <w:rPr>
          <w:rtl/>
        </w:rPr>
        <w:t xml:space="preserve"> </w:t>
      </w:r>
      <w:r>
        <w:t xml:space="preserve">(„Gerät, Gegenstand") ist breit und kann bedeuten: (1) Waffen (vgl. </w:t>
      </w:r>
      <w:r w:rsidR="00664EB6">
        <w:t>1Sam</w:t>
      </w:r>
      <w:r>
        <w:t xml:space="preserve"> 21,9; </w:t>
      </w:r>
      <w:r w:rsidR="00664EB6">
        <w:t>2Sam</w:t>
      </w:r>
      <w:r>
        <w:t xml:space="preserve"> 1,27), (2) Werkzeuge, (3) Kleidung (vgl. V. 5). Die Präposition </w:t>
      </w:r>
      <w:r>
        <w:rPr>
          <w:rStyle w:val="Fett"/>
          <w:rFonts w:eastAsiaTheme="majorEastAsia"/>
          <w:rtl/>
        </w:rPr>
        <w:t>עַל</w:t>
      </w:r>
      <w:r>
        <w:rPr>
          <w:rtl/>
        </w:rPr>
        <w:t xml:space="preserve"> </w:t>
      </w:r>
      <w:r>
        <w:t xml:space="preserve">(„auf") impliziert: an ihr, bei ihr. Das zweite Verbot: </w:t>
      </w:r>
      <w:r>
        <w:rPr>
          <w:rStyle w:val="Fett"/>
          <w:rFonts w:eastAsiaTheme="majorEastAsia"/>
          <w:rtl/>
        </w:rPr>
        <w:t>וְלֹא־יִלְבַּשׁ גֶּבֶר שִׂמְלַת אִשָּׁה</w:t>
      </w:r>
      <w:r>
        <w:rPr>
          <w:rtl/>
        </w:rPr>
        <w:t xml:space="preserve"> </w:t>
      </w:r>
      <w:r>
        <w:t xml:space="preserve">(„und nicht soll anziehen ein Mann Frauengewand") – spezifischer: Kleidung. Die Begründung: </w:t>
      </w:r>
      <w:r>
        <w:rPr>
          <w:rStyle w:val="Fett"/>
          <w:rFonts w:eastAsiaTheme="majorEastAsia"/>
          <w:rtl/>
        </w:rPr>
        <w:t>כִּי תוֹעֲבַת יְהוָה אֱלֹהֶיךָ כָּל־עֹשֵׂה אֵלֶּה</w:t>
      </w:r>
      <w:r>
        <w:rPr>
          <w:rtl/>
        </w:rPr>
        <w:t xml:space="preserve"> </w:t>
      </w:r>
      <w:r>
        <w:t xml:space="preserve">(„denn ein Gräuel JHWHs, deines Gottes, ist jeder, der dies tut"). Das Wort </w:t>
      </w:r>
      <w:r>
        <w:rPr>
          <w:rStyle w:val="Fett"/>
          <w:rFonts w:eastAsiaTheme="majorEastAsia"/>
          <w:rtl/>
        </w:rPr>
        <w:t>תּוֹעֵבָה</w:t>
      </w:r>
      <w:r>
        <w:rPr>
          <w:rtl/>
        </w:rPr>
        <w:t xml:space="preserve"> </w:t>
      </w:r>
      <w:r>
        <w:t xml:space="preserve">(„Gräuel") ist ein starker Begriff für kultische und moralische Abscheu. Die Formulierung </w:t>
      </w:r>
      <w:r>
        <w:rPr>
          <w:rStyle w:val="Fett"/>
          <w:rFonts w:eastAsiaTheme="majorEastAsia"/>
          <w:rtl/>
        </w:rPr>
        <w:t>כָּל־עֹשֵׂה אֵלֶּה</w:t>
      </w:r>
      <w:r>
        <w:rPr>
          <w:rtl/>
        </w:rPr>
        <w:t xml:space="preserve"> </w:t>
      </w:r>
      <w:r>
        <w:t>(„jeder, der diese Dinge tut") – universal, beide Übertretungen.</w:t>
      </w:r>
    </w:p>
    <w:p w14:paraId="18E33111" w14:textId="6DE44370" w:rsidR="00C178BF" w:rsidRDefault="00C178BF" w:rsidP="00C178BF">
      <w:pPr>
        <w:pStyle w:val="whitespace-normal"/>
      </w:pPr>
      <w:r>
        <w:t xml:space="preserve">Der Zweck des Verbots ist umstritten: (1) Erhalt klarer Geschlechterunterscheidung, (2) Verbot kultischer Transvestitismus (vgl. kanaanäische Fruchtbarkeitsriten), (3) Verbot von Täuschung (z.B. für unerlaubte Zwecke). Die Betonung auf </w:t>
      </w:r>
      <w:r>
        <w:rPr>
          <w:rStyle w:val="Fett"/>
          <w:rFonts w:eastAsiaTheme="majorEastAsia"/>
          <w:rtl/>
        </w:rPr>
        <w:t>גֶּבֶר</w:t>
      </w:r>
      <w:r>
        <w:rPr>
          <w:rtl/>
        </w:rPr>
        <w:t xml:space="preserve"> </w:t>
      </w:r>
      <w:r>
        <w:t xml:space="preserve">(„Mann, starker Mann") statt </w:t>
      </w:r>
      <w:r>
        <w:rPr>
          <w:rStyle w:val="Fett"/>
          <w:rFonts w:eastAsiaTheme="majorEastAsia"/>
          <w:rtl/>
        </w:rPr>
        <w:t>אִישׁ</w:t>
      </w:r>
      <w:r>
        <w:rPr>
          <w:rtl/>
        </w:rPr>
        <w:t xml:space="preserve"> </w:t>
      </w:r>
      <w:r>
        <w:t>ist möglicherweise signifikant.</w:t>
      </w:r>
    </w:p>
    <w:p w14:paraId="68FC1FAA" w14:textId="59472BE1" w:rsidR="00D00836" w:rsidRDefault="00D00836" w:rsidP="00C178BF">
      <w:pPr>
        <w:pStyle w:val="whitespace-normal"/>
      </w:pPr>
      <w:r>
        <w:rPr>
          <w:rStyle w:val="Fett"/>
        </w:rPr>
        <w:t>Die LXX</w:t>
      </w:r>
      <w:r>
        <w:t xml:space="preserve"> übersetzt </w:t>
      </w:r>
      <w:r>
        <w:rPr>
          <w:rtl/>
        </w:rPr>
        <w:t>כְלִי־גֶבֶר</w:t>
      </w:r>
      <w:r>
        <w:t xml:space="preserve"> (Geräte/Ausrüstung eines Mannes) mit </w:t>
      </w:r>
      <w:proofErr w:type="spellStart"/>
      <w:r>
        <w:t>σκεύη</w:t>
      </w:r>
      <w:proofErr w:type="spellEnd"/>
      <w:r>
        <w:t xml:space="preserve"> </w:t>
      </w:r>
      <w:proofErr w:type="spellStart"/>
      <w:r>
        <w:t>ἀνδρός</w:t>
      </w:r>
      <w:proofErr w:type="spellEnd"/>
      <w:r>
        <w:t xml:space="preserve"> (Geräte eines Mannes) – wobei </w:t>
      </w:r>
      <w:proofErr w:type="spellStart"/>
      <w:r>
        <w:t>σκεύη</w:t>
      </w:r>
      <w:proofErr w:type="spellEnd"/>
      <w:r>
        <w:t xml:space="preserve"> vielfältige Bedeutungen von Werkzeugen bis Waffen haben kann. Die Formulierung </w:t>
      </w:r>
      <w:proofErr w:type="spellStart"/>
      <w:r>
        <w:t>στολὴν</w:t>
      </w:r>
      <w:proofErr w:type="spellEnd"/>
      <w:r>
        <w:t xml:space="preserve"> </w:t>
      </w:r>
      <w:proofErr w:type="spellStart"/>
      <w:r>
        <w:t>γυν</w:t>
      </w:r>
      <w:proofErr w:type="spellEnd"/>
      <w:r>
        <w:t xml:space="preserve">αικείαν (weibliche Kleidung) für </w:t>
      </w:r>
      <w:r>
        <w:rPr>
          <w:rtl/>
        </w:rPr>
        <w:t>שִׂמְלַת אִשָּׁה</w:t>
      </w:r>
      <w:r>
        <w:t xml:space="preserve"> ist präzise.</w:t>
      </w:r>
    </w:p>
    <w:p w14:paraId="5EDE0754" w14:textId="77777777" w:rsidR="00C178BF" w:rsidRDefault="00C178BF" w:rsidP="00C178BF">
      <w:pPr>
        <w:pStyle w:val="whitespace-normal"/>
      </w:pPr>
      <w:r>
        <w:rPr>
          <w:rStyle w:val="Fett"/>
          <w:rFonts w:eastAsiaTheme="majorEastAsia"/>
        </w:rPr>
        <w:t>Die Satzstruktur:</w:t>
      </w:r>
      <w:r>
        <w:t xml:space="preserve"> Zwei Verbote mit Begründung (nicht sein soll Männergerät auf einer Frau, und nicht anziehen soll ein Mann Frauengewand; denn ein Gräuel JHWHs, deines Gottes, ist jeder, der tut diese Dinge).</w:t>
      </w:r>
    </w:p>
    <w:p w14:paraId="06CC1D87" w14:textId="77777777" w:rsidR="00C178BF" w:rsidRDefault="00C178BF" w:rsidP="00C178BF">
      <w:pPr>
        <w:pStyle w:val="whitespace-normal"/>
      </w:pPr>
      <w:r>
        <w:t>Der Vers verbietet: Eine Frau soll keine Männersachen tragen, ein Mann keine Frauenkleider – denn das ist JHWH ein Gräuel.</w:t>
      </w:r>
    </w:p>
    <w:p w14:paraId="5F9568C2" w14:textId="77777777" w:rsidR="00C178BF" w:rsidRPr="00B27A64" w:rsidRDefault="00C178BF" w:rsidP="00C178BF">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22,6</w:t>
      </w:r>
    </w:p>
    <w:p w14:paraId="01E0B478" w14:textId="77777777" w:rsidR="00C178BF" w:rsidRDefault="00C178BF" w:rsidP="00C178BF">
      <w:pPr>
        <w:pStyle w:val="whitespace-normal"/>
      </w:pPr>
      <w:r>
        <w:rPr>
          <w:rStyle w:val="Fett"/>
          <w:rFonts w:eastAsiaTheme="majorEastAsia"/>
        </w:rPr>
        <w:t>Hebräisch:</w:t>
      </w:r>
      <w:r>
        <w:t xml:space="preserve"> </w:t>
      </w:r>
      <w:r>
        <w:rPr>
          <w:rtl/>
        </w:rPr>
        <w:t>כִּ֣י יִקָּרֵ֣א קַן־צִפּ֣וֹר׀ לְפָנֶ֡יךָ בַּדֶּ֜רֶךְ בְּכָל־עֵ֣ץ׀ א֣וֹ עַל־הָאָ֗רֶץ אֶפְרֹחִים֙ א֣וֹ בֵיצִ֔ים וְהָאֵ֤ם רֹבֶ֨צֶת֙ עַל־הָֽאֶפְרֹחִ֔ים א֖וֹ עַל־הַבֵּיצִ֑ים לֹא־תִקַּ֥ח הָאֵ֖ם עַל־הַבָּנִֽים׃</w:t>
      </w:r>
    </w:p>
    <w:p w14:paraId="247818D7" w14:textId="77777777" w:rsidR="00C178BF" w:rsidRDefault="00C178BF" w:rsidP="00C178BF">
      <w:pPr>
        <w:pStyle w:val="whitespace-normal"/>
      </w:pPr>
      <w:r>
        <w:rPr>
          <w:rStyle w:val="Fett"/>
          <w:rFonts w:eastAsiaTheme="majorEastAsia"/>
        </w:rPr>
        <w:t>Deutsch:</w:t>
      </w:r>
      <w:r>
        <w:t xml:space="preserve"> Wenn sich zufällig ein Vogelnest vor dir auf dem Weg findet, auf irgendeinem Baum oder auf der Erde, mit Jungen oder mit Eiern, und die Mutter auf den Jungen oder auf den Eiern sitzt, so sollst du nicht die Mutter samt den Jungen nehmen;</w:t>
      </w:r>
    </w:p>
    <w:p w14:paraId="2E5DC142" w14:textId="77777777" w:rsidR="00C178BF" w:rsidRDefault="004F5CEB" w:rsidP="00C178BF">
      <w:r>
        <w:rPr>
          <w:noProof/>
        </w:rPr>
        <w:pict w14:anchorId="6BC6C8A6">
          <v:rect id="_x0000_i1601" style="width:0;height:1.5pt" o:hralign="center" o:hrstd="t" o:hr="t" fillcolor="#a0a0a0" stroked="f"/>
        </w:pict>
      </w:r>
    </w:p>
    <w:p w14:paraId="5DCBC097" w14:textId="77777777" w:rsidR="00C178BF" w:rsidRDefault="00C178BF" w:rsidP="00C178BF">
      <w:pPr>
        <w:pStyle w:val="whitespace-normal"/>
      </w:pPr>
      <w:r>
        <w:rPr>
          <w:rStyle w:val="Fett"/>
          <w:rFonts w:eastAsiaTheme="majorEastAsia"/>
        </w:rPr>
        <w:t>Kommentar:</w:t>
      </w:r>
      <w:r>
        <w:t xml:space="preserve"> </w:t>
      </w:r>
      <w:r>
        <w:rPr>
          <w:rStyle w:val="Fett"/>
          <w:rFonts w:eastAsiaTheme="majorEastAsia"/>
          <w:rtl/>
        </w:rPr>
        <w:t>כִּי יִקָּרֵא קַן־צִפּוֹר לְפָנֶיךָ בַּדֶּרֶךְ בְּכָל־עֵץ אוֹ עַל־הָאָרֶץ אֶפְרֹחִים אוֹ בֵיצִים וְהָאֵם רֹבֶצֶת עַל־הָאֶפְרֹחִים אוֹ עַל־הַבֵּיצִים</w:t>
      </w:r>
      <w:r>
        <w:rPr>
          <w:rtl/>
        </w:rPr>
        <w:t xml:space="preserve"> </w:t>
      </w:r>
      <w:r>
        <w:t xml:space="preserve">ist die Bedingung: </w:t>
      </w:r>
      <w:r>
        <w:rPr>
          <w:rStyle w:val="Fett"/>
          <w:rFonts w:eastAsiaTheme="majorEastAsia"/>
          <w:rtl/>
        </w:rPr>
        <w:t>כִּי יִקָּרֵא</w:t>
      </w:r>
      <w:r>
        <w:rPr>
          <w:rtl/>
        </w:rPr>
        <w:t xml:space="preserve"> </w:t>
      </w:r>
      <w:r>
        <w:t>(</w:t>
      </w:r>
      <w:r>
        <w:rPr>
          <w:rStyle w:val="Fett"/>
          <w:rFonts w:eastAsiaTheme="majorEastAsia"/>
          <w:rtl/>
        </w:rPr>
        <w:t>כִּי</w:t>
      </w:r>
      <w:r>
        <w:t xml:space="preserve">, „wenn", mit </w:t>
      </w:r>
      <w:r>
        <w:rPr>
          <w:rStyle w:val="Fett"/>
          <w:rFonts w:eastAsiaTheme="majorEastAsia"/>
          <w:rtl/>
        </w:rPr>
        <w:t>קרא</w:t>
      </w:r>
      <w:r>
        <w:t xml:space="preserve">, Niphal Imperfekt, 3. Person Maskulinum Singular, „begegnen, sich treffen, zufällig vorkommen"), </w:t>
      </w:r>
      <w:r>
        <w:rPr>
          <w:rStyle w:val="Fett"/>
          <w:rFonts w:eastAsiaTheme="majorEastAsia"/>
          <w:rtl/>
        </w:rPr>
        <w:t>קַן־צִפּוֹר</w:t>
      </w:r>
      <w:r>
        <w:rPr>
          <w:rtl/>
        </w:rPr>
        <w:t xml:space="preserve"> </w:t>
      </w:r>
      <w:r>
        <w:t>(</w:t>
      </w:r>
      <w:r>
        <w:rPr>
          <w:rStyle w:val="Fett"/>
          <w:rFonts w:eastAsiaTheme="majorEastAsia"/>
          <w:rtl/>
        </w:rPr>
        <w:t>קֵן</w:t>
      </w:r>
      <w:r>
        <w:t xml:space="preserve">, „Nest", Construct mit </w:t>
      </w:r>
      <w:r>
        <w:rPr>
          <w:rStyle w:val="Fett"/>
          <w:rFonts w:eastAsiaTheme="majorEastAsia"/>
          <w:rtl/>
        </w:rPr>
        <w:t>צִפּוֹר</w:t>
      </w:r>
      <w:r>
        <w:t xml:space="preserve">, „Vogel"), </w:t>
      </w:r>
      <w:r>
        <w:rPr>
          <w:rStyle w:val="Fett"/>
          <w:rFonts w:eastAsiaTheme="majorEastAsia"/>
          <w:rtl/>
        </w:rPr>
        <w:t>לְפָנֶיךָ</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פָּנִים</w:t>
      </w:r>
      <w:r>
        <w:t xml:space="preserve">, Plural, „Gesicht" – </w:t>
      </w:r>
      <w:r>
        <w:rPr>
          <w:rStyle w:val="Fett"/>
          <w:rFonts w:eastAsiaTheme="majorEastAsia"/>
          <w:rtl/>
        </w:rPr>
        <w:t>לְפָנֶיךָ</w:t>
      </w:r>
      <w:r>
        <w:rPr>
          <w:rtl/>
        </w:rPr>
        <w:t xml:space="preserve"> </w:t>
      </w:r>
      <w:r>
        <w:t xml:space="preserve">= „vor dir"), </w:t>
      </w:r>
      <w:r>
        <w:rPr>
          <w:rStyle w:val="Fett"/>
          <w:rFonts w:eastAsiaTheme="majorEastAsia"/>
          <w:rtl/>
        </w:rPr>
        <w:t>בַּדֶּרֶךְ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דֶּרֶךְ</w:t>
      </w:r>
      <w:r>
        <w:rPr>
          <w:rtl/>
        </w:rPr>
        <w:t xml:space="preserve"> </w:t>
      </w:r>
      <w:r>
        <w:t xml:space="preserve">mit Artikel), </w:t>
      </w:r>
      <w:r>
        <w:rPr>
          <w:rStyle w:val="Fett"/>
          <w:rFonts w:eastAsiaTheme="majorEastAsia"/>
          <w:rtl/>
        </w:rPr>
        <w:t>בְּכָל־עֵץ אוֹ עַל־הָאָרֶץ</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כֹּל</w:t>
      </w:r>
      <w:r>
        <w:t xml:space="preserve">, Construct mit </w:t>
      </w:r>
      <w:r>
        <w:rPr>
          <w:rStyle w:val="Fett"/>
          <w:rFonts w:eastAsiaTheme="majorEastAsia"/>
          <w:rtl/>
        </w:rPr>
        <w:t>עֵץ</w:t>
      </w:r>
      <w:r>
        <w:t xml:space="preserve">, „Baum, Holz", koordiniert durch </w:t>
      </w:r>
      <w:r>
        <w:rPr>
          <w:rStyle w:val="Fett"/>
          <w:rFonts w:eastAsiaTheme="majorEastAsia"/>
          <w:rtl/>
        </w:rPr>
        <w:t>אוֹ</w:t>
      </w:r>
      <w:r>
        <w:rPr>
          <w:rtl/>
        </w:rPr>
        <w:t xml:space="preserve"> </w:t>
      </w:r>
      <w:r>
        <w:t xml:space="preserve">mit Präposition </w:t>
      </w:r>
      <w:r>
        <w:rPr>
          <w:rStyle w:val="Fett"/>
          <w:rFonts w:eastAsiaTheme="majorEastAsia"/>
          <w:rtl/>
        </w:rPr>
        <w:t>עַל</w:t>
      </w:r>
      <w:r>
        <w:rPr>
          <w:rtl/>
        </w:rPr>
        <w:t xml:space="preserve"> </w:t>
      </w:r>
      <w:r>
        <w:t xml:space="preserve">und </w:t>
      </w:r>
      <w:r>
        <w:rPr>
          <w:rStyle w:val="Fett"/>
          <w:rFonts w:eastAsiaTheme="majorEastAsia"/>
          <w:rtl/>
        </w:rPr>
        <w:t>אֶרֶץ</w:t>
      </w:r>
      <w:r>
        <w:t xml:space="preserve">, „Erde, Boden", mit Artikel), </w:t>
      </w:r>
      <w:r>
        <w:rPr>
          <w:rStyle w:val="Fett"/>
          <w:rFonts w:eastAsiaTheme="majorEastAsia"/>
          <w:rtl/>
        </w:rPr>
        <w:t>אֶפְרֹחִים אוֹ בֵיצִים</w:t>
      </w:r>
      <w:r>
        <w:rPr>
          <w:rtl/>
        </w:rPr>
        <w:t xml:space="preserve"> </w:t>
      </w:r>
      <w:r>
        <w:t>(</w:t>
      </w:r>
      <w:r>
        <w:rPr>
          <w:rStyle w:val="Fett"/>
          <w:rFonts w:eastAsiaTheme="majorEastAsia"/>
          <w:rtl/>
        </w:rPr>
        <w:t>אֶפְרֹחַ</w:t>
      </w:r>
      <w:r>
        <w:t xml:space="preserve">, „Jungvogel, Küken", Plural, koordiniert durch </w:t>
      </w:r>
      <w:r>
        <w:rPr>
          <w:rStyle w:val="Fett"/>
          <w:rFonts w:eastAsiaTheme="majorEastAsia"/>
          <w:rtl/>
        </w:rPr>
        <w:t>אוֹ</w:t>
      </w:r>
      <w:r>
        <w:rPr>
          <w:rtl/>
        </w:rPr>
        <w:t xml:space="preserve"> </w:t>
      </w:r>
      <w:r>
        <w:t xml:space="preserve">mit </w:t>
      </w:r>
      <w:r>
        <w:rPr>
          <w:rStyle w:val="Fett"/>
          <w:rFonts w:eastAsiaTheme="majorEastAsia"/>
          <w:rtl/>
        </w:rPr>
        <w:t>בֵּיצָה</w:t>
      </w:r>
      <w:r>
        <w:t xml:space="preserve">, „Ei", Plural), </w:t>
      </w:r>
      <w:r>
        <w:rPr>
          <w:rStyle w:val="Fett"/>
          <w:rFonts w:eastAsiaTheme="majorEastAsia"/>
          <w:rtl/>
        </w:rPr>
        <w:t>וְהָאֵם רֹבֶצֶת עַל־הָאֶפְרֹחִים אוֹ עַל־הַבֵּיצִים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אֵם</w:t>
      </w:r>
      <w:r>
        <w:t xml:space="preserve">, „Mutter", mit Artikel, Qal Partizip Femininum Singular von </w:t>
      </w:r>
      <w:r>
        <w:rPr>
          <w:rStyle w:val="Fett"/>
          <w:rFonts w:eastAsiaTheme="majorEastAsia"/>
          <w:rtl/>
        </w:rPr>
        <w:t>רבץ</w:t>
      </w:r>
      <w:r>
        <w:t xml:space="preserve">, „sich lagern, brüten, sitzen", </w:t>
      </w:r>
      <w:r>
        <w:lastRenderedPageBreak/>
        <w:t xml:space="preserve">Präposition </w:t>
      </w:r>
      <w:r>
        <w:rPr>
          <w:rStyle w:val="Fett"/>
          <w:rFonts w:eastAsiaTheme="majorEastAsia"/>
          <w:rtl/>
        </w:rPr>
        <w:t>עַל</w:t>
      </w:r>
      <w:r>
        <w:rPr>
          <w:rtl/>
        </w:rPr>
        <w:t xml:space="preserve"> </w:t>
      </w:r>
      <w:r>
        <w:t xml:space="preserve">mit </w:t>
      </w:r>
      <w:r>
        <w:rPr>
          <w:rStyle w:val="Fett"/>
          <w:rFonts w:eastAsiaTheme="majorEastAsia"/>
          <w:rtl/>
        </w:rPr>
        <w:t>אֶפְרֹחַ</w:t>
      </w:r>
      <w:r>
        <w:rPr>
          <w:rtl/>
        </w:rPr>
        <w:t xml:space="preserve"> </w:t>
      </w:r>
      <w:r>
        <w:t xml:space="preserve">Plural mit Artikel, koordiniert durch </w:t>
      </w:r>
      <w:r>
        <w:rPr>
          <w:rStyle w:val="Fett"/>
          <w:rFonts w:eastAsiaTheme="majorEastAsia"/>
          <w:rtl/>
        </w:rPr>
        <w:t>אוֹ</w:t>
      </w:r>
      <w:r>
        <w:rPr>
          <w:rtl/>
        </w:rPr>
        <w:t xml:space="preserve"> </w:t>
      </w:r>
      <w:r>
        <w:t xml:space="preserve">mit </w:t>
      </w:r>
      <w:r>
        <w:rPr>
          <w:rStyle w:val="Fett"/>
          <w:rFonts w:eastAsiaTheme="majorEastAsia"/>
          <w:rtl/>
        </w:rPr>
        <w:t>עַל</w:t>
      </w:r>
      <w:r>
        <w:rPr>
          <w:rtl/>
        </w:rPr>
        <w:t xml:space="preserve"> </w:t>
      </w:r>
      <w:r>
        <w:t xml:space="preserve">und </w:t>
      </w:r>
      <w:r>
        <w:rPr>
          <w:rStyle w:val="Fett"/>
          <w:rFonts w:eastAsiaTheme="majorEastAsia"/>
          <w:rtl/>
        </w:rPr>
        <w:t>בֵּיצָה</w:t>
      </w:r>
      <w:r>
        <w:rPr>
          <w:rtl/>
        </w:rPr>
        <w:t xml:space="preserve"> </w:t>
      </w:r>
      <w:r>
        <w:t>Plural mit Artikel).</w:t>
      </w:r>
    </w:p>
    <w:p w14:paraId="6CA842DC" w14:textId="77777777" w:rsidR="00C178BF" w:rsidRDefault="00C178BF" w:rsidP="00C178BF">
      <w:pPr>
        <w:pStyle w:val="whitespace-normal"/>
      </w:pPr>
      <w:r>
        <w:rPr>
          <w:rStyle w:val="Fett"/>
          <w:rFonts w:eastAsiaTheme="majorEastAsia"/>
          <w:rtl/>
        </w:rPr>
        <w:t>לֹא־תִקַּח הָאֵם עַל־הַבָּנִים</w:t>
      </w:r>
      <w:r>
        <w:rPr>
          <w:rtl/>
        </w:rPr>
        <w:t xml:space="preserve"> </w:t>
      </w:r>
      <w:r>
        <w:t xml:space="preserve">ist das Verbot: </w:t>
      </w:r>
      <w:r>
        <w:rPr>
          <w:rStyle w:val="Fett"/>
          <w:rFonts w:eastAsiaTheme="majorEastAsia"/>
          <w:rtl/>
        </w:rPr>
        <w:t>לֹא־תִקַּח</w:t>
      </w:r>
      <w:r>
        <w:rPr>
          <w:rtl/>
        </w:rPr>
        <w:t xml:space="preserve"> </w:t>
      </w:r>
      <w:r>
        <w:t xml:space="preserve">(Negation mit </w:t>
      </w:r>
      <w:r>
        <w:rPr>
          <w:rStyle w:val="Fett"/>
          <w:rFonts w:eastAsiaTheme="majorEastAsia"/>
          <w:rtl/>
        </w:rPr>
        <w:t>לקח</w:t>
      </w:r>
      <w:r>
        <w:t xml:space="preserve">, Qal Imperfekt, 2. Person Maskulinum Singular, „nehmen"), </w:t>
      </w:r>
      <w:r>
        <w:rPr>
          <w:rStyle w:val="Fett"/>
          <w:rFonts w:eastAsiaTheme="majorEastAsia"/>
          <w:rtl/>
        </w:rPr>
        <w:t>הָאֵם</w:t>
      </w:r>
      <w:r>
        <w:rPr>
          <w:rtl/>
        </w:rPr>
        <w:t xml:space="preserve"> </w:t>
      </w:r>
      <w:r>
        <w:t>(</w:t>
      </w:r>
      <w:r>
        <w:rPr>
          <w:rStyle w:val="Fett"/>
          <w:rFonts w:eastAsiaTheme="majorEastAsia"/>
          <w:rtl/>
        </w:rPr>
        <w:t>אֵם</w:t>
      </w:r>
      <w:r>
        <w:rPr>
          <w:rtl/>
        </w:rPr>
        <w:t xml:space="preserve"> </w:t>
      </w:r>
      <w:r>
        <w:t xml:space="preserve">mit Artikel als Objekt), </w:t>
      </w:r>
      <w:r>
        <w:rPr>
          <w:rStyle w:val="Fett"/>
          <w:rFonts w:eastAsiaTheme="majorEastAsia"/>
          <w:rtl/>
        </w:rPr>
        <w:t>עַל־הַבָּנִים</w:t>
      </w:r>
      <w:r>
        <w:rPr>
          <w:rtl/>
        </w:rPr>
        <w:t xml:space="preserve"> </w:t>
      </w:r>
      <w:r>
        <w:t xml:space="preserve">(Präposition </w:t>
      </w:r>
      <w:r>
        <w:rPr>
          <w:rStyle w:val="Fett"/>
          <w:rFonts w:eastAsiaTheme="majorEastAsia"/>
          <w:rtl/>
        </w:rPr>
        <w:t>עַל</w:t>
      </w:r>
      <w:r>
        <w:t xml:space="preserve">, „mit, samt", </w:t>
      </w:r>
      <w:r>
        <w:rPr>
          <w:rStyle w:val="Fett"/>
          <w:rFonts w:eastAsiaTheme="majorEastAsia"/>
          <w:rtl/>
        </w:rPr>
        <w:t>בֵּן</w:t>
      </w:r>
      <w:r>
        <w:t>, „Sohn" – hier: Jungtiere, Plural mit Artikel).</w:t>
      </w:r>
    </w:p>
    <w:p w14:paraId="0E19E23E" w14:textId="2FFFFF90" w:rsidR="00C178BF" w:rsidRDefault="00C178BF" w:rsidP="00C178BF">
      <w:pPr>
        <w:pStyle w:val="whitespace-normal"/>
      </w:pPr>
      <w:r>
        <w:t xml:space="preserve">Der Vers leitet ein bemerkenswertes Gesetz ein: das Vogelnest-Gesetz. Die Bedingung: </w:t>
      </w:r>
      <w:r>
        <w:rPr>
          <w:rStyle w:val="Fett"/>
          <w:rFonts w:eastAsiaTheme="majorEastAsia"/>
          <w:rtl/>
        </w:rPr>
        <w:t>כִּי יִקָּרֵא קַן־צִפּוֹר לְפָנֶיךָ בַּדֶּרֶךְ</w:t>
      </w:r>
      <w:r>
        <w:rPr>
          <w:rtl/>
        </w:rPr>
        <w:t xml:space="preserve"> </w:t>
      </w:r>
      <w:r>
        <w:t xml:space="preserve">(„wenn zufällig begegnet dir ein Vogelnest auf dem Weg") – das Verb </w:t>
      </w:r>
      <w:r>
        <w:rPr>
          <w:rStyle w:val="Fett"/>
          <w:rFonts w:eastAsiaTheme="majorEastAsia"/>
          <w:rtl/>
        </w:rPr>
        <w:t>קרא</w:t>
      </w:r>
      <w:r>
        <w:rPr>
          <w:rtl/>
        </w:rPr>
        <w:t xml:space="preserve"> </w:t>
      </w:r>
      <w:r>
        <w:t xml:space="preserve">im Niphal bezeichnet zufälliges Begegnen. </w:t>
      </w:r>
      <w:r>
        <w:rPr>
          <w:rStyle w:val="Fett"/>
          <w:rFonts w:eastAsiaTheme="majorEastAsia"/>
          <w:rtl/>
        </w:rPr>
        <w:t>בְּכָל־עֵץ אוֹ עַל־הָאָרֶץ</w:t>
      </w:r>
      <w:r>
        <w:rPr>
          <w:rtl/>
        </w:rPr>
        <w:t xml:space="preserve"> </w:t>
      </w:r>
      <w:r>
        <w:t xml:space="preserve">(„auf jedem Baum oder auf der Erde") – umfassend: Baumnester oder Bodennester. </w:t>
      </w:r>
      <w:r>
        <w:rPr>
          <w:rStyle w:val="Fett"/>
          <w:rFonts w:eastAsiaTheme="majorEastAsia"/>
          <w:rtl/>
        </w:rPr>
        <w:t>אֶפְרֹחִים אוֹ בֵיצִים</w:t>
      </w:r>
      <w:r>
        <w:rPr>
          <w:rtl/>
        </w:rPr>
        <w:t xml:space="preserve"> </w:t>
      </w:r>
      <w:r>
        <w:t xml:space="preserve">(„Junge oder Eier") – entweder Küken oder noch unausgebrütete Eier. </w:t>
      </w:r>
      <w:r>
        <w:rPr>
          <w:rStyle w:val="Fett"/>
          <w:rFonts w:eastAsiaTheme="majorEastAsia"/>
          <w:rtl/>
        </w:rPr>
        <w:t>וְהָאֵם רֹבֶצֶת</w:t>
      </w:r>
      <w:r>
        <w:rPr>
          <w:rtl/>
        </w:rPr>
        <w:t xml:space="preserve"> </w:t>
      </w:r>
      <w:r>
        <w:t xml:space="preserve">(„und die Mutter sitzt brütend") – das Partizip </w:t>
      </w:r>
      <w:r>
        <w:rPr>
          <w:rStyle w:val="Fett"/>
          <w:rFonts w:eastAsiaTheme="majorEastAsia"/>
          <w:rtl/>
        </w:rPr>
        <w:t>רֹבֶצֶת</w:t>
      </w:r>
      <w:r>
        <w:rPr>
          <w:rtl/>
        </w:rPr>
        <w:t xml:space="preserve"> </w:t>
      </w:r>
      <w:r>
        <w:t xml:space="preserve">beschreibt die brütende/schützende Position. Das Verbot: </w:t>
      </w:r>
      <w:r>
        <w:rPr>
          <w:rStyle w:val="Fett"/>
          <w:rFonts w:eastAsiaTheme="majorEastAsia"/>
          <w:rtl/>
        </w:rPr>
        <w:t>לֹא־תִקַּח הָאֵם עַל־הַבָּנִים</w:t>
      </w:r>
      <w:r>
        <w:rPr>
          <w:rtl/>
        </w:rPr>
        <w:t xml:space="preserve"> </w:t>
      </w:r>
      <w:r>
        <w:t xml:space="preserve">(„nicht sollst du nehmen die Mutter samt den Jungen"). Die Präposition </w:t>
      </w:r>
      <w:r>
        <w:rPr>
          <w:rStyle w:val="Fett"/>
          <w:rFonts w:eastAsiaTheme="majorEastAsia"/>
          <w:rtl/>
        </w:rPr>
        <w:t>עַל</w:t>
      </w:r>
      <w:r>
        <w:rPr>
          <w:rtl/>
        </w:rPr>
        <w:t xml:space="preserve"> </w:t>
      </w:r>
      <w:r>
        <w:t>bedeutet hier: „zusammen mit, samt". V. 7 wird die positive Anweisung geben.</w:t>
      </w:r>
    </w:p>
    <w:p w14:paraId="0AFBF62E" w14:textId="54FE49A8" w:rsidR="00D00836" w:rsidRDefault="00D00836" w:rsidP="00C178BF">
      <w:pPr>
        <w:pStyle w:val="whitespace-normal"/>
      </w:pPr>
      <w:r>
        <w:rPr>
          <w:rStyle w:val="Fett"/>
        </w:rPr>
        <w:t>Die LXX</w:t>
      </w:r>
      <w:r>
        <w:t xml:space="preserve"> übersetzt </w:t>
      </w:r>
      <w:r>
        <w:rPr>
          <w:rtl/>
        </w:rPr>
        <w:t>רֹבֶצֶת</w:t>
      </w:r>
      <w:r>
        <w:t xml:space="preserve"> (brütend, liegend) mit </w:t>
      </w:r>
      <w:proofErr w:type="spellStart"/>
      <w:r>
        <w:t>θάλ</w:t>
      </w:r>
      <w:proofErr w:type="spellEnd"/>
      <w:r>
        <w:t>πῃ (wärmt) – ein Verb, das die mütterliche Fürsorge durch Wärmen betont, nicht nur das physische Liegen.</w:t>
      </w:r>
    </w:p>
    <w:p w14:paraId="120922CB" w14:textId="77777777" w:rsidR="00C178BF" w:rsidRDefault="00C178BF" w:rsidP="00C178BF">
      <w:pPr>
        <w:pStyle w:val="whitespace-normal"/>
      </w:pPr>
      <w:r>
        <w:rPr>
          <w:rStyle w:val="Fett"/>
          <w:rFonts w:eastAsiaTheme="majorEastAsia"/>
        </w:rPr>
        <w:t>Die Satzstruktur:</w:t>
      </w:r>
      <w:r>
        <w:t xml:space="preserve"> Bedingung mit Verbot (wenn zufällig begegnet ein Vogelnest vor dir auf dem Weg, auf jedem Baum oder auf der Erde, Junge oder Eier, und die Mutter brütend auf den Jungen oder auf den Eiern; nicht nehmen sollst du die Mutter samt den Jungen).</w:t>
      </w:r>
    </w:p>
    <w:p w14:paraId="0388770E" w14:textId="77777777" w:rsidR="00C178BF" w:rsidRDefault="00C178BF" w:rsidP="00C178BF">
      <w:pPr>
        <w:pStyle w:val="whitespace-normal"/>
      </w:pPr>
      <w:r>
        <w:t>Der Vers setzt: Wenn du zufällig ein Vogelnest mit brütender Mutter findest – nimm nicht die Mutter zusammen mit den Jungen.</w:t>
      </w:r>
    </w:p>
    <w:p w14:paraId="254BF522" w14:textId="77777777" w:rsidR="00C178BF" w:rsidRPr="00B27A64" w:rsidRDefault="00C178BF" w:rsidP="00C178BF">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22,7</w:t>
      </w:r>
    </w:p>
    <w:p w14:paraId="6E07D0CC" w14:textId="77777777" w:rsidR="00C178BF" w:rsidRDefault="00C178BF" w:rsidP="00C178BF">
      <w:pPr>
        <w:pStyle w:val="whitespace-normal"/>
      </w:pPr>
      <w:r>
        <w:rPr>
          <w:rStyle w:val="Fett"/>
          <w:rFonts w:eastAsiaTheme="majorEastAsia"/>
        </w:rPr>
        <w:t>Hebräisch:</w:t>
      </w:r>
      <w:r>
        <w:t xml:space="preserve"> </w:t>
      </w:r>
      <w:r>
        <w:rPr>
          <w:rtl/>
        </w:rPr>
        <w:t>שַׁלֵּ֤חַ תְּשַׁלַּח֙ אֶת־הָאֵ֔ם וְאֶת־הַבָּנִ֖ים תִּֽקַּֽח־לָ֑ךְ לְמַ֨עַן֙ יִ֣יטַב לָ֔ךְ וְהַאֲרַכְתָּ֖ יָמִֽים׃</w:t>
      </w:r>
    </w:p>
    <w:p w14:paraId="3CE20BD5" w14:textId="77777777" w:rsidR="00C178BF" w:rsidRDefault="00C178BF" w:rsidP="00C178BF">
      <w:pPr>
        <w:pStyle w:val="whitespace-normal"/>
      </w:pPr>
      <w:r>
        <w:rPr>
          <w:rStyle w:val="Fett"/>
          <w:rFonts w:eastAsiaTheme="majorEastAsia"/>
        </w:rPr>
        <w:t>Deutsch:</w:t>
      </w:r>
      <w:r>
        <w:t xml:space="preserve"> du sollst die Mutter gewiss fliegen lassen, und die Jungen magst du dir nehmen: damit es dir wohl gehe und du deine Tage verlängerst.</w:t>
      </w:r>
    </w:p>
    <w:p w14:paraId="46ECCF9B" w14:textId="77777777" w:rsidR="00C178BF" w:rsidRDefault="004F5CEB" w:rsidP="00C178BF">
      <w:r>
        <w:rPr>
          <w:noProof/>
        </w:rPr>
        <w:pict w14:anchorId="440C7AA5">
          <v:rect id="_x0000_i1602" style="width:0;height:1.5pt" o:hralign="center" o:hrstd="t" o:hr="t" fillcolor="#a0a0a0" stroked="f"/>
        </w:pict>
      </w:r>
    </w:p>
    <w:p w14:paraId="05E5565D" w14:textId="77777777" w:rsidR="00C178BF" w:rsidRDefault="00C178BF" w:rsidP="00C178BF">
      <w:pPr>
        <w:pStyle w:val="whitespace-normal"/>
      </w:pPr>
      <w:r>
        <w:rPr>
          <w:rStyle w:val="Fett"/>
          <w:rFonts w:eastAsiaTheme="majorEastAsia"/>
        </w:rPr>
        <w:t>Kommentar:</w:t>
      </w:r>
      <w:r>
        <w:t xml:space="preserve"> </w:t>
      </w:r>
      <w:r>
        <w:rPr>
          <w:rStyle w:val="Fett"/>
          <w:rFonts w:eastAsiaTheme="majorEastAsia"/>
          <w:rtl/>
        </w:rPr>
        <w:t>שַׁלֵּחַ תְּשַׁלַּח אֶת־הָאֵם וְאֶת־הַבָּנִים תִּקַּח־לָךְ</w:t>
      </w:r>
      <w:r>
        <w:rPr>
          <w:rtl/>
        </w:rPr>
        <w:t xml:space="preserve"> </w:t>
      </w:r>
      <w:r>
        <w:t xml:space="preserve">sind zwei Gebote: </w:t>
      </w:r>
      <w:r>
        <w:rPr>
          <w:rStyle w:val="Fett"/>
          <w:rFonts w:eastAsiaTheme="majorEastAsia"/>
          <w:rtl/>
        </w:rPr>
        <w:t>שַׁלֵּחַ תְּשַׁלַּח אֶת־הָאֵם</w:t>
      </w:r>
      <w:r>
        <w:rPr>
          <w:rtl/>
        </w:rPr>
        <w:t xml:space="preserve"> </w:t>
      </w:r>
      <w:r>
        <w:t xml:space="preserve">(Piel Infinitiv Absolutus von </w:t>
      </w:r>
      <w:r>
        <w:rPr>
          <w:rStyle w:val="Fett"/>
          <w:rFonts w:eastAsiaTheme="majorEastAsia"/>
          <w:rtl/>
        </w:rPr>
        <w:t>שׁלח</w:t>
      </w:r>
      <w:r>
        <w:t xml:space="preserve">, „entlassen, fortschicken, fliegen lassen" – die Wiederholung verstärkt: „gewiss fliegen lassen", Piel Imperfekt, 2. Person Maskulinum Singular, Objektpartikel </w:t>
      </w:r>
      <w:r>
        <w:rPr>
          <w:rStyle w:val="Fett"/>
          <w:rFonts w:eastAsiaTheme="majorEastAsia"/>
          <w:rtl/>
        </w:rPr>
        <w:t>אֵת</w:t>
      </w:r>
      <w:r>
        <w:rPr>
          <w:rtl/>
        </w:rPr>
        <w:t xml:space="preserve"> </w:t>
      </w:r>
      <w:r>
        <w:t xml:space="preserve">mit </w:t>
      </w:r>
      <w:r>
        <w:rPr>
          <w:rStyle w:val="Fett"/>
          <w:rFonts w:eastAsiaTheme="majorEastAsia"/>
          <w:rtl/>
        </w:rPr>
        <w:t>אֵם</w:t>
      </w:r>
      <w:r>
        <w:rPr>
          <w:rtl/>
        </w:rPr>
        <w:t xml:space="preserve"> </w:t>
      </w:r>
      <w:r>
        <w:t xml:space="preserve">mit Artikel), </w:t>
      </w:r>
      <w:r>
        <w:rPr>
          <w:rStyle w:val="Fett"/>
          <w:rFonts w:eastAsiaTheme="majorEastAsia"/>
          <w:rtl/>
        </w:rPr>
        <w:t>וְאֶת־הַבָּנִים תִּקַּח־לָךְ</w:t>
      </w:r>
      <w:r>
        <w:rPr>
          <w:rtl/>
        </w:rPr>
        <w:t xml:space="preserve"> </w:t>
      </w:r>
      <w:r>
        <w:t xml:space="preserve">(koordiniert durch </w:t>
      </w:r>
      <w:r>
        <w:rPr>
          <w:rStyle w:val="Fett"/>
          <w:rFonts w:eastAsiaTheme="majorEastAsia"/>
          <w:rtl/>
        </w:rPr>
        <w:t>וְ</w:t>
      </w:r>
      <w:r>
        <w:rPr>
          <w:rtl/>
        </w:rPr>
        <w:t xml:space="preserve"> </w:t>
      </w:r>
      <w:r>
        <w:t xml:space="preserve">mit Objektpartikel und </w:t>
      </w:r>
      <w:r>
        <w:rPr>
          <w:rStyle w:val="Fett"/>
          <w:rFonts w:eastAsiaTheme="majorEastAsia"/>
          <w:rtl/>
        </w:rPr>
        <w:t>בֵּן</w:t>
      </w:r>
      <w:r>
        <w:rPr>
          <w:rtl/>
        </w:rPr>
        <w:t xml:space="preserve"> </w:t>
      </w:r>
      <w:r>
        <w:t xml:space="preserve">Plural mit Artikel, </w:t>
      </w:r>
      <w:r>
        <w:rPr>
          <w:rStyle w:val="Fett"/>
          <w:rFonts w:eastAsiaTheme="majorEastAsia"/>
          <w:rtl/>
        </w:rPr>
        <w:t>לקח</w:t>
      </w:r>
      <w:r>
        <w:t xml:space="preserve">, Qal Imperfekt, 2. Person Maskulinum Singular, </w:t>
      </w:r>
      <w:r>
        <w:rPr>
          <w:rStyle w:val="Fett"/>
          <w:rFonts w:eastAsiaTheme="majorEastAsia"/>
          <w:rtl/>
        </w:rPr>
        <w:t>לָךְ</w:t>
      </w:r>
      <w:r>
        <w:t>).</w:t>
      </w:r>
    </w:p>
    <w:p w14:paraId="4A2ED439" w14:textId="77777777" w:rsidR="00C178BF" w:rsidRDefault="00C178BF" w:rsidP="00C178BF">
      <w:pPr>
        <w:pStyle w:val="whitespace-normal"/>
      </w:pPr>
      <w:r>
        <w:rPr>
          <w:rStyle w:val="Fett"/>
          <w:rFonts w:eastAsiaTheme="majorEastAsia"/>
          <w:rtl/>
        </w:rPr>
        <w:t>לְמַעַן יִיטַב לָךְ וְהַאֲרַכְתָּ יָמִים</w:t>
      </w:r>
      <w:r>
        <w:rPr>
          <w:rtl/>
        </w:rPr>
        <w:t xml:space="preserve"> </w:t>
      </w:r>
      <w:r>
        <w:t xml:space="preserve">ist die Verheißung: </w:t>
      </w:r>
      <w:r>
        <w:rPr>
          <w:rStyle w:val="Fett"/>
          <w:rFonts w:eastAsiaTheme="majorEastAsia"/>
          <w:rtl/>
        </w:rPr>
        <w:t>לְמַעַן</w:t>
      </w:r>
      <w:r>
        <w:rPr>
          <w:rtl/>
        </w:rPr>
        <w:t xml:space="preserve"> </w:t>
      </w:r>
      <w:r>
        <w:t xml:space="preserve">(Präposition, „damit, auf dass"), </w:t>
      </w:r>
      <w:r>
        <w:rPr>
          <w:rStyle w:val="Fett"/>
          <w:rFonts w:eastAsiaTheme="majorEastAsia"/>
          <w:rtl/>
        </w:rPr>
        <w:t>יִיטַב לָךְ</w:t>
      </w:r>
      <w:r>
        <w:rPr>
          <w:rtl/>
        </w:rPr>
        <w:t xml:space="preserve"> </w:t>
      </w:r>
      <w:r>
        <w:t xml:space="preserve">(Qal Imperfekt, 3. Person Maskulinum Singular von </w:t>
      </w:r>
      <w:r>
        <w:rPr>
          <w:rStyle w:val="Fett"/>
          <w:rFonts w:eastAsiaTheme="majorEastAsia"/>
          <w:rtl/>
        </w:rPr>
        <w:t>יטב</w:t>
      </w:r>
      <w:r>
        <w:t xml:space="preserve">, „gut gehen, wohl gehen", </w:t>
      </w:r>
      <w:r>
        <w:rPr>
          <w:rStyle w:val="Fett"/>
          <w:rFonts w:eastAsiaTheme="majorEastAsia"/>
          <w:rtl/>
        </w:rPr>
        <w:t>לָךְ</w:t>
      </w:r>
      <w:r>
        <w:t xml:space="preserve">), </w:t>
      </w:r>
      <w:r>
        <w:rPr>
          <w:rStyle w:val="Fett"/>
          <w:rFonts w:eastAsiaTheme="majorEastAsia"/>
          <w:rtl/>
        </w:rPr>
        <w:t>וְהַאֲרַכְתָּ יָמִים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ארך</w:t>
      </w:r>
      <w:r>
        <w:t xml:space="preserve">, Hiphil Perfekt, 2. Person Maskulinum Singular, „verlängern, lange machen" – das Hiphil ist kausativ, </w:t>
      </w:r>
      <w:r>
        <w:rPr>
          <w:rStyle w:val="Fett"/>
          <w:rFonts w:eastAsiaTheme="majorEastAsia"/>
          <w:rtl/>
        </w:rPr>
        <w:t>יוֹם</w:t>
      </w:r>
      <w:r>
        <w:t xml:space="preserve">, Plural, mit </w:t>
      </w:r>
      <w:r>
        <w:rPr>
          <w:rStyle w:val="Fett"/>
          <w:rFonts w:eastAsiaTheme="majorEastAsia"/>
        </w:rPr>
        <w:t>Waw</w:t>
      </w:r>
      <w:r>
        <w:t xml:space="preserve"> consecutives Perfekt).</w:t>
      </w:r>
    </w:p>
    <w:p w14:paraId="01906F85" w14:textId="77777777" w:rsidR="00C178BF" w:rsidRDefault="00C178BF" w:rsidP="00C178BF">
      <w:pPr>
        <w:pStyle w:val="whitespace-normal"/>
      </w:pPr>
      <w:r>
        <w:lastRenderedPageBreak/>
        <w:t xml:space="preserve">Der Vers gibt die positive Anweisung: (1) </w:t>
      </w:r>
      <w:r>
        <w:rPr>
          <w:rStyle w:val="Fett"/>
          <w:rFonts w:eastAsiaTheme="majorEastAsia"/>
          <w:rtl/>
        </w:rPr>
        <w:t>שַׁלֵּחַ תְּשַׁלַּח אֶת־הָאֵם</w:t>
      </w:r>
      <w:r>
        <w:rPr>
          <w:rtl/>
        </w:rPr>
        <w:t xml:space="preserve"> </w:t>
      </w:r>
      <w:r>
        <w:t xml:space="preserve">(„gewiss fliegen lassen sollst du die Mutter") – die Wiederholung verstärkt die Verpflichtung. Das Verb </w:t>
      </w:r>
      <w:r>
        <w:rPr>
          <w:rStyle w:val="Fett"/>
          <w:rFonts w:eastAsiaTheme="majorEastAsia"/>
          <w:rtl/>
        </w:rPr>
        <w:t>שׁלח</w:t>
      </w:r>
      <w:r>
        <w:rPr>
          <w:rtl/>
        </w:rPr>
        <w:t xml:space="preserve"> </w:t>
      </w:r>
      <w:r>
        <w:t xml:space="preserve">im Piel bedeutet „fortschicken, freilassen". (2) </w:t>
      </w:r>
      <w:r>
        <w:rPr>
          <w:rStyle w:val="Fett"/>
          <w:rFonts w:eastAsiaTheme="majorEastAsia"/>
          <w:rtl/>
        </w:rPr>
        <w:t>וְאֶת־הַבָּנִים תִּקַּח־לָךְ</w:t>
      </w:r>
      <w:r>
        <w:rPr>
          <w:rtl/>
        </w:rPr>
        <w:t xml:space="preserve"> </w:t>
      </w:r>
      <w:r>
        <w:t>(„und die Jungen darfst du nehmen für dich") – Erlaubnis, die Jungen/Eier zu nehmen. Die Logik: Die Mutter kann neue Junge haben; wenn man sie auch nimmt, zerstört man die Zukunft der Art. Dies ist ein frühes Naturschutzgesetz.</w:t>
      </w:r>
    </w:p>
    <w:p w14:paraId="1D12E882" w14:textId="4B97456F" w:rsidR="00C178BF" w:rsidRDefault="00C178BF" w:rsidP="00C178BF">
      <w:pPr>
        <w:pStyle w:val="whitespace-normal"/>
      </w:pPr>
      <w:r>
        <w:t xml:space="preserve">Die Verheißung: </w:t>
      </w:r>
      <w:r>
        <w:rPr>
          <w:rStyle w:val="Fett"/>
          <w:rFonts w:eastAsiaTheme="majorEastAsia"/>
          <w:rtl/>
        </w:rPr>
        <w:t>לְמַעַן יִיטַב לָךְ וְהַאֲרַכְתָּ יָמִים</w:t>
      </w:r>
      <w:r>
        <w:rPr>
          <w:rtl/>
        </w:rPr>
        <w:t xml:space="preserve"> </w:t>
      </w:r>
      <w:r>
        <w:t xml:space="preserve">(„damit es dir wohl gehe und du verlängerst Tage"). Diese Formulierung ist bemerkenswert – sie wird nur für wenige Gebote verwendet: (1) Eltern ehren (5,16: </w:t>
      </w:r>
      <w:r>
        <w:rPr>
          <w:rStyle w:val="Fett"/>
          <w:rFonts w:eastAsiaTheme="majorEastAsia"/>
          <w:rtl/>
        </w:rPr>
        <w:t>לְמַעַן יַאֲרִכוּן יָמֶיךָ וּלְמַעַן יִיטַב לָךְ</w:t>
      </w:r>
      <w:r>
        <w:t>), (2) Vogelnest-Gesetz (hier). Die Verbindung von ethischem Verhalten (Tierschutz, Elternehre) mit langem Leben zeigt: Gottes Gebote dienen dem Leben.</w:t>
      </w:r>
    </w:p>
    <w:p w14:paraId="054F9EC6" w14:textId="68F7488F" w:rsidR="00D00836" w:rsidRDefault="00D00836" w:rsidP="00C178BF">
      <w:pPr>
        <w:pStyle w:val="whitespace-normal"/>
      </w:pPr>
      <w:r>
        <w:rPr>
          <w:rStyle w:val="Fett"/>
        </w:rPr>
        <w:t>Die LXX</w:t>
      </w:r>
      <w:r>
        <w:t xml:space="preserve"> übersetzt </w:t>
      </w:r>
      <w:r>
        <w:rPr>
          <w:rtl/>
        </w:rPr>
        <w:t>וְהַאֲרַכְתָּ יָמִים</w:t>
      </w:r>
      <w:r>
        <w:t xml:space="preserve"> (und du wirst Tage verlängern) mit καὶ π</w:t>
      </w:r>
      <w:proofErr w:type="spellStart"/>
      <w:r>
        <w:t>ολυήμερος</w:t>
      </w:r>
      <w:proofErr w:type="spellEnd"/>
      <w:r>
        <w:t xml:space="preserve"> </w:t>
      </w:r>
      <w:proofErr w:type="spellStart"/>
      <w:r>
        <w:t>ἔσῃ</w:t>
      </w:r>
      <w:proofErr w:type="spellEnd"/>
      <w:r>
        <w:t xml:space="preserve"> (und langlebig wirst du sein) – ein zusammengesetztes Adjektiv statt der hebräischen Verbalphrase.</w:t>
      </w:r>
    </w:p>
    <w:p w14:paraId="796E76A0" w14:textId="77777777" w:rsidR="00C178BF" w:rsidRDefault="00C178BF" w:rsidP="00C178BF">
      <w:pPr>
        <w:pStyle w:val="whitespace-normal"/>
      </w:pPr>
      <w:r>
        <w:rPr>
          <w:rStyle w:val="Fett"/>
          <w:rFonts w:eastAsiaTheme="majorEastAsia"/>
        </w:rPr>
        <w:t>Die Satzstruktur:</w:t>
      </w:r>
      <w:r>
        <w:t xml:space="preserve"> Zwei Gebote mit Verheißung (gewiss fliegen lassen sollst du die Mutter, und die Jungen nehmen darfst du dir; damit wohl gehe dir, und verlängerst du Tage).</w:t>
      </w:r>
    </w:p>
    <w:p w14:paraId="1DC9D4B2" w14:textId="77777777" w:rsidR="00C178BF" w:rsidRDefault="00C178BF" w:rsidP="00C178BF">
      <w:pPr>
        <w:pStyle w:val="whitespace-normal"/>
      </w:pPr>
      <w:r>
        <w:t>Der Vers gebietet: Lass die Mutter frei fliegen, die Jungen darfst du nehmen – damit es dir wohl gehe und du lange lebst.</w:t>
      </w:r>
    </w:p>
    <w:p w14:paraId="62F17692" w14:textId="77777777" w:rsidR="00C178BF" w:rsidRPr="00B27A64" w:rsidRDefault="00C178BF" w:rsidP="00C178BF">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22,8</w:t>
      </w:r>
    </w:p>
    <w:p w14:paraId="645EAAEF" w14:textId="77777777" w:rsidR="00C178BF" w:rsidRDefault="00C178BF" w:rsidP="00C178BF">
      <w:pPr>
        <w:pStyle w:val="whitespace-normal"/>
      </w:pPr>
      <w:r>
        <w:rPr>
          <w:rStyle w:val="Fett"/>
          <w:rFonts w:eastAsiaTheme="majorEastAsia"/>
        </w:rPr>
        <w:t>Hebräisch:</w:t>
      </w:r>
      <w:r>
        <w:t xml:space="preserve"> </w:t>
      </w:r>
      <w:r>
        <w:rPr>
          <w:rtl/>
        </w:rPr>
        <w:t>כִּ֤י תִבְנֶה֙ בַּ֣יִת חָדָ֔שׁ וְעָשִׂ֥יתָ מַעֲקֶ֖ה לְגַגֶּ֑ךָ וְלֹֽא־תָשִׂ֤ים דָּמִים֙ בְּבֵיתֶ֔ךָ כִּֽי־יִפֹּ֥ל הַנֹּפֵ֖ל מִמֶּֽנּוּ׃</w:t>
      </w:r>
    </w:p>
    <w:p w14:paraId="1ED0823F" w14:textId="77777777" w:rsidR="00C178BF" w:rsidRDefault="00C178BF" w:rsidP="00C178BF">
      <w:pPr>
        <w:pStyle w:val="whitespace-normal"/>
      </w:pPr>
      <w:r>
        <w:rPr>
          <w:rStyle w:val="Fett"/>
          <w:rFonts w:eastAsiaTheme="majorEastAsia"/>
        </w:rPr>
        <w:t>Deutsch:</w:t>
      </w:r>
      <w:r>
        <w:t xml:space="preserve"> Wenn du ein neues Haus baust, so sollst du ein Geländer um dein Dach machen, damit du keine Blutschuld auf dein Haus bringst, wenn jemand von ihm herabfällt.</w:t>
      </w:r>
    </w:p>
    <w:p w14:paraId="4021622F" w14:textId="77777777" w:rsidR="00C178BF" w:rsidRDefault="004F5CEB" w:rsidP="00C178BF">
      <w:r>
        <w:rPr>
          <w:noProof/>
        </w:rPr>
        <w:pict w14:anchorId="2DC9ECFA">
          <v:rect id="_x0000_i1603" style="width:0;height:1.5pt" o:hralign="center" o:hrstd="t" o:hr="t" fillcolor="#a0a0a0" stroked="f"/>
        </w:pict>
      </w:r>
    </w:p>
    <w:p w14:paraId="5BC080DC" w14:textId="77777777" w:rsidR="00C178BF" w:rsidRDefault="00C178BF" w:rsidP="00C178BF">
      <w:pPr>
        <w:pStyle w:val="whitespace-normal"/>
      </w:pPr>
      <w:r>
        <w:rPr>
          <w:rStyle w:val="Fett"/>
          <w:rFonts w:eastAsiaTheme="majorEastAsia"/>
        </w:rPr>
        <w:t>Kommentar:</w:t>
      </w:r>
      <w:r>
        <w:t xml:space="preserve"> </w:t>
      </w:r>
      <w:r>
        <w:rPr>
          <w:rStyle w:val="Fett"/>
          <w:rFonts w:eastAsiaTheme="majorEastAsia"/>
          <w:rtl/>
        </w:rPr>
        <w:t>כִּי תִבְנֶה בַּיִת חָדָשׁ וְעָשִׂיתָ מַעֲקֶה לְגַגֶּךָ</w:t>
      </w:r>
      <w:r>
        <w:rPr>
          <w:rtl/>
        </w:rPr>
        <w:t xml:space="preserve"> </w:t>
      </w:r>
      <w:r>
        <w:t xml:space="preserve">ist die Bedingung mit Gebot: </w:t>
      </w:r>
      <w:r>
        <w:rPr>
          <w:rStyle w:val="Fett"/>
          <w:rFonts w:eastAsiaTheme="majorEastAsia"/>
          <w:rtl/>
        </w:rPr>
        <w:t>כִּי תִבְנֶה בַּיִת חָדָשׁ</w:t>
      </w:r>
      <w:r>
        <w:rPr>
          <w:rtl/>
        </w:rPr>
        <w:t xml:space="preserve"> </w:t>
      </w:r>
      <w:r>
        <w:t>(</w:t>
      </w:r>
      <w:r>
        <w:rPr>
          <w:rStyle w:val="Fett"/>
          <w:rFonts w:eastAsiaTheme="majorEastAsia"/>
          <w:rtl/>
        </w:rPr>
        <w:t>כִּי</w:t>
      </w:r>
      <w:r>
        <w:t xml:space="preserve">, „wenn", mit </w:t>
      </w:r>
      <w:r>
        <w:rPr>
          <w:rStyle w:val="Fett"/>
          <w:rFonts w:eastAsiaTheme="majorEastAsia"/>
          <w:rtl/>
        </w:rPr>
        <w:t>בנה</w:t>
      </w:r>
      <w:r>
        <w:t xml:space="preserve">, Qal Imperfekt, 2. Person Maskulinum Singular, „bauen", </w:t>
      </w:r>
      <w:r>
        <w:rPr>
          <w:rStyle w:val="Fett"/>
          <w:rFonts w:eastAsiaTheme="majorEastAsia"/>
          <w:rtl/>
        </w:rPr>
        <w:t>בַּיִת</w:t>
      </w:r>
      <w:r>
        <w:t xml:space="preserve">, </w:t>
      </w:r>
      <w:r>
        <w:rPr>
          <w:rStyle w:val="Fett"/>
          <w:rFonts w:eastAsiaTheme="majorEastAsia"/>
          <w:rtl/>
        </w:rPr>
        <w:t>חָדָשׁ</w:t>
      </w:r>
      <w:r>
        <w:t xml:space="preserve">, „neu"), </w:t>
      </w:r>
      <w:r>
        <w:rPr>
          <w:rStyle w:val="Fett"/>
          <w:rFonts w:eastAsiaTheme="majorEastAsia"/>
          <w:rtl/>
        </w:rPr>
        <w:t>וְעָשִׂיתָ מַעֲקֶה לְגַגֶּךָ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עשׂה</w:t>
      </w:r>
      <w:r>
        <w:t xml:space="preserve">, Qal Perfekt, 2. Person Maskulinum Singular, </w:t>
      </w:r>
      <w:r>
        <w:rPr>
          <w:rStyle w:val="Fett"/>
          <w:rFonts w:eastAsiaTheme="majorEastAsia"/>
          <w:rtl/>
        </w:rPr>
        <w:t>מַעֲקֶה</w:t>
      </w:r>
      <w:r>
        <w:t xml:space="preserve">, „Geländer, Brüstung" – nur hier im AT, </w:t>
      </w:r>
      <w:r>
        <w:rPr>
          <w:rStyle w:val="Fett"/>
          <w:rFonts w:eastAsiaTheme="majorEastAsia"/>
          <w:rtl/>
        </w:rPr>
        <w:t>לְגַגֶּךָ</w:t>
      </w:r>
      <w:r>
        <w:t xml:space="preserve">, Präposition </w:t>
      </w:r>
      <w:r>
        <w:rPr>
          <w:rStyle w:val="Fett"/>
          <w:rFonts w:eastAsiaTheme="majorEastAsia"/>
          <w:rtl/>
        </w:rPr>
        <w:t>לְ</w:t>
      </w:r>
      <w:r>
        <w:rPr>
          <w:rtl/>
        </w:rPr>
        <w:t xml:space="preserve"> </w:t>
      </w:r>
      <w:r>
        <w:t xml:space="preserve">mit </w:t>
      </w:r>
      <w:r>
        <w:rPr>
          <w:rStyle w:val="Fett"/>
          <w:rFonts w:eastAsiaTheme="majorEastAsia"/>
          <w:rtl/>
        </w:rPr>
        <w:t>גָּג</w:t>
      </w:r>
      <w:r>
        <w:t xml:space="preserve">, „Dach", mit Suffix 2. Person Maskulinum Singular, mit </w:t>
      </w:r>
      <w:r>
        <w:rPr>
          <w:rStyle w:val="Fett"/>
          <w:rFonts w:eastAsiaTheme="majorEastAsia"/>
        </w:rPr>
        <w:t>Waw</w:t>
      </w:r>
      <w:r>
        <w:t xml:space="preserve"> consecutives Perfekt).</w:t>
      </w:r>
    </w:p>
    <w:p w14:paraId="031C6552" w14:textId="77777777" w:rsidR="00C178BF" w:rsidRDefault="00C178BF" w:rsidP="00C178BF">
      <w:pPr>
        <w:pStyle w:val="whitespace-normal"/>
      </w:pPr>
      <w:r>
        <w:rPr>
          <w:rStyle w:val="Fett"/>
          <w:rFonts w:eastAsiaTheme="majorEastAsia"/>
          <w:rtl/>
        </w:rPr>
        <w:t>וְלֹא־תָשִׂים דָּמִים בְּבֵיתֶךָ כִּי־יִפֹּל הַנֹּפֵל מִמֶּנּוּ</w:t>
      </w:r>
      <w:r>
        <w:rPr>
          <w:rtl/>
        </w:rPr>
        <w:t xml:space="preserve"> </w:t>
      </w:r>
      <w:r>
        <w:t xml:space="preserve">ist der Zweck: </w:t>
      </w:r>
      <w:r>
        <w:rPr>
          <w:rStyle w:val="Fett"/>
          <w:rFonts w:eastAsiaTheme="majorEastAsia"/>
          <w:rtl/>
        </w:rPr>
        <w:t>וְלֹא־תָשִׂים דָּמִים בְּבֵיתֶךָ</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שׂים</w:t>
      </w:r>
      <w:r>
        <w:t xml:space="preserve">, Qal Imperfekt, 2. Person Maskulinum Singular, „setzen, legen, bringen", </w:t>
      </w:r>
      <w:r>
        <w:rPr>
          <w:rStyle w:val="Fett"/>
          <w:rFonts w:eastAsiaTheme="majorEastAsia"/>
          <w:rtl/>
        </w:rPr>
        <w:t>דָּם</w:t>
      </w:r>
      <w:r>
        <w:t xml:space="preserve">, „Blut", Plural – </w:t>
      </w:r>
      <w:r>
        <w:rPr>
          <w:rStyle w:val="Fett"/>
          <w:rFonts w:eastAsiaTheme="majorEastAsia"/>
          <w:rtl/>
        </w:rPr>
        <w:t>דָּמִים</w:t>
      </w:r>
      <w:r>
        <w:rPr>
          <w:rtl/>
        </w:rPr>
        <w:t xml:space="preserve"> </w:t>
      </w:r>
      <w:r>
        <w:t xml:space="preserve">= „Blutschuld", </w:t>
      </w:r>
      <w:r>
        <w:rPr>
          <w:rStyle w:val="Fett"/>
          <w:rFonts w:eastAsiaTheme="majorEastAsia"/>
          <w:rtl/>
        </w:rPr>
        <w:t>בְּבֵיתֶךָ</w:t>
      </w:r>
      <w:r>
        <w:t xml:space="preserve">, Präposition </w:t>
      </w:r>
      <w:r>
        <w:rPr>
          <w:rStyle w:val="Fett"/>
          <w:rFonts w:eastAsiaTheme="majorEastAsia"/>
          <w:rtl/>
        </w:rPr>
        <w:t>בְּ</w:t>
      </w:r>
      <w:r>
        <w:rPr>
          <w:rtl/>
        </w:rPr>
        <w:t xml:space="preserve"> </w:t>
      </w:r>
      <w:r>
        <w:t xml:space="preserve">mit </w:t>
      </w:r>
      <w:r>
        <w:rPr>
          <w:rStyle w:val="Fett"/>
          <w:rFonts w:eastAsiaTheme="majorEastAsia"/>
          <w:rtl/>
        </w:rPr>
        <w:t>בַּיִת</w:t>
      </w:r>
      <w:r>
        <w:rPr>
          <w:rtl/>
        </w:rPr>
        <w:t xml:space="preserve"> </w:t>
      </w:r>
      <w:r>
        <w:t xml:space="preserve">mit Suffix 2. Person Maskulinum Singular), </w:t>
      </w:r>
      <w:r>
        <w:rPr>
          <w:rStyle w:val="Fett"/>
          <w:rFonts w:eastAsiaTheme="majorEastAsia"/>
          <w:rtl/>
        </w:rPr>
        <w:t>כִּי־יִפֹּל הַנֹּפֵל מִמֶּנּוּ</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נפל</w:t>
      </w:r>
      <w:r>
        <w:t xml:space="preserve">, Qal Imperfekt, 3. Person Maskulinum Singular, „fallen", </w:t>
      </w:r>
      <w:r>
        <w:rPr>
          <w:rStyle w:val="Fett"/>
          <w:rFonts w:eastAsiaTheme="majorEastAsia"/>
          <w:rtl/>
        </w:rPr>
        <w:t>הַנֹּפֵל</w:t>
      </w:r>
      <w:r>
        <w:t xml:space="preserve">, Qal Partizip mit Artikel – „der Fallende" = „jemand, der fällt", </w:t>
      </w:r>
      <w:r>
        <w:rPr>
          <w:rStyle w:val="Fett"/>
          <w:rFonts w:eastAsiaTheme="majorEastAsia"/>
          <w:rtl/>
        </w:rPr>
        <w:t>מִמֶּנּוּ</w:t>
      </w:r>
      <w:r>
        <w:t xml:space="preserve">, Präposition </w:t>
      </w:r>
      <w:r>
        <w:rPr>
          <w:rStyle w:val="Fett"/>
          <w:rFonts w:eastAsiaTheme="majorEastAsia"/>
          <w:rtl/>
        </w:rPr>
        <w:t>מִן</w:t>
      </w:r>
      <w:r>
        <w:rPr>
          <w:rtl/>
        </w:rPr>
        <w:t xml:space="preserve"> </w:t>
      </w:r>
      <w:r>
        <w:t xml:space="preserve">mit Suffix 3. Person Maskulinum Singular bezogen auf </w:t>
      </w:r>
      <w:r>
        <w:rPr>
          <w:rStyle w:val="Fett"/>
          <w:rFonts w:eastAsiaTheme="majorEastAsia"/>
          <w:rtl/>
        </w:rPr>
        <w:t>בַּיִת</w:t>
      </w:r>
      <w:r>
        <w:t>).</w:t>
      </w:r>
    </w:p>
    <w:p w14:paraId="7367B5C1" w14:textId="41D2C1DE" w:rsidR="00C178BF" w:rsidRDefault="00C178BF" w:rsidP="00C178BF">
      <w:pPr>
        <w:pStyle w:val="whitespace-normal"/>
      </w:pPr>
      <w:r>
        <w:t xml:space="preserve">Der Vers gebietet ein praktisches Sicherheitsgesetz. </w:t>
      </w:r>
      <w:r>
        <w:rPr>
          <w:rStyle w:val="Fett"/>
          <w:rFonts w:eastAsiaTheme="majorEastAsia"/>
          <w:rtl/>
        </w:rPr>
        <w:t>כִּי תִבְנֶה בַּיִת חָדָשׁ</w:t>
      </w:r>
      <w:r>
        <w:rPr>
          <w:rtl/>
        </w:rPr>
        <w:t xml:space="preserve"> </w:t>
      </w:r>
      <w:r>
        <w:t xml:space="preserve">(„wenn du baust ein neues Haus") – bei Neubau. Das Gebot: </w:t>
      </w:r>
      <w:r>
        <w:rPr>
          <w:rStyle w:val="Fett"/>
          <w:rFonts w:eastAsiaTheme="majorEastAsia"/>
          <w:rtl/>
        </w:rPr>
        <w:t>וְעָשִׂיתָ מַעֲקֶה לְגַגֶּךָ</w:t>
      </w:r>
      <w:r>
        <w:rPr>
          <w:rtl/>
        </w:rPr>
        <w:t xml:space="preserve"> </w:t>
      </w:r>
      <w:r>
        <w:t xml:space="preserve">(„sollst du machen ein Geländer für dein Dach"). Das Wort </w:t>
      </w:r>
      <w:r>
        <w:rPr>
          <w:rStyle w:val="Fett"/>
          <w:rFonts w:eastAsiaTheme="majorEastAsia"/>
          <w:rtl/>
        </w:rPr>
        <w:t>מַעֲקֶה</w:t>
      </w:r>
      <w:r>
        <w:rPr>
          <w:rtl/>
        </w:rPr>
        <w:t xml:space="preserve"> </w:t>
      </w:r>
      <w:r>
        <w:t xml:space="preserve">(„Geländer, Brüstung") erscheint nur hier, aber die Wurzel </w:t>
      </w:r>
      <w:r>
        <w:rPr>
          <w:rStyle w:val="Fett"/>
          <w:rFonts w:eastAsiaTheme="majorEastAsia"/>
          <w:rtl/>
        </w:rPr>
        <w:t>עקה</w:t>
      </w:r>
      <w:r>
        <w:rPr>
          <w:rtl/>
        </w:rPr>
        <w:t xml:space="preserve"> </w:t>
      </w:r>
      <w:r>
        <w:lastRenderedPageBreak/>
        <w:t xml:space="preserve">kann „einschließen, umgeben" bedeuten. In der antiken israelitischen Architektur waren Dächer flach und wurden als Wohnraum benutzt (vgl. Jos 2,6.8; Ri 16,27; </w:t>
      </w:r>
      <w:r w:rsidR="00664EB6">
        <w:t>1Sam</w:t>
      </w:r>
      <w:r>
        <w:t xml:space="preserve"> 9,25.26; </w:t>
      </w:r>
      <w:r w:rsidR="00664EB6">
        <w:t>2Sam</w:t>
      </w:r>
      <w:r>
        <w:t xml:space="preserve"> 11,2; 16,22; 18,24; Neh 8,16). Ohne Geländer bestand Sturz</w:t>
      </w:r>
      <w:r w:rsidR="00A8036F">
        <w:t>gef</w:t>
      </w:r>
      <w:r w:rsidR="00743283">
        <w:t>a</w:t>
      </w:r>
      <w:r>
        <w:t xml:space="preserve">hr. Der Zweck: </w:t>
      </w:r>
      <w:r>
        <w:rPr>
          <w:rStyle w:val="Fett"/>
          <w:rFonts w:eastAsiaTheme="majorEastAsia"/>
          <w:rtl/>
        </w:rPr>
        <w:t>וְלֹא־תָשִׂים דָּמִים בְּבֵיתֶךָ כִּי־יִפֹּל הַנֹּפֵל מִמֶּנּוּ</w:t>
      </w:r>
      <w:r>
        <w:rPr>
          <w:rtl/>
        </w:rPr>
        <w:t xml:space="preserve"> </w:t>
      </w:r>
      <w:r>
        <w:t xml:space="preserve">(„damit du nicht bringst Blutschuld auf dein Haus, wenn fällt der Fallende von ihm"). Der Plural </w:t>
      </w:r>
      <w:r>
        <w:rPr>
          <w:rStyle w:val="Fett"/>
          <w:rFonts w:eastAsiaTheme="majorEastAsia"/>
          <w:rtl/>
        </w:rPr>
        <w:t>דָּמִים</w:t>
      </w:r>
      <w:r>
        <w:rPr>
          <w:rtl/>
        </w:rPr>
        <w:t xml:space="preserve"> </w:t>
      </w:r>
      <w:r>
        <w:t xml:space="preserve">(„Blut, Blutschuld") bezeichnet rechtliche Verantwortung für einen Todesfall. Die Formulierung </w:t>
      </w:r>
      <w:r>
        <w:rPr>
          <w:rStyle w:val="Fett"/>
          <w:rFonts w:eastAsiaTheme="majorEastAsia"/>
          <w:rtl/>
        </w:rPr>
        <w:t>הַנֹּפֵל</w:t>
      </w:r>
      <w:r>
        <w:rPr>
          <w:rtl/>
        </w:rPr>
        <w:t xml:space="preserve"> </w:t>
      </w:r>
      <w:r>
        <w:t>(„der Fallende") ist generisch: irgendwer. Das Gesetz schützt durch Prävention – der Hausbesitzer ist verantwortlich für Sicherheitsmaßnahmen.</w:t>
      </w:r>
    </w:p>
    <w:p w14:paraId="4B667E29" w14:textId="7BBCC033" w:rsidR="00D00836" w:rsidRDefault="00D00836" w:rsidP="00C178BF">
      <w:pPr>
        <w:pStyle w:val="whitespace-normal"/>
      </w:pPr>
      <w:r>
        <w:rPr>
          <w:rStyle w:val="Fett"/>
        </w:rPr>
        <w:t>Die LXX</w:t>
      </w:r>
      <w:r>
        <w:t xml:space="preserve"> übersetzt </w:t>
      </w:r>
      <w:r>
        <w:rPr>
          <w:rtl/>
        </w:rPr>
        <w:t>מַעֲקֶה</w:t>
      </w:r>
      <w:r>
        <w:t xml:space="preserve"> (Geländer, Brüstung) mit </w:t>
      </w:r>
      <w:proofErr w:type="spellStart"/>
      <w:r>
        <w:t>στεφάνην</w:t>
      </w:r>
      <w:proofErr w:type="spellEnd"/>
      <w:r>
        <w:t xml:space="preserve"> (Kranz, Umrandung) – ein Begriff, der die umlaufende Schutzvorrichtung als Krönung des Daches beschreibt. Die Wendung </w:t>
      </w:r>
      <w:proofErr w:type="spellStart"/>
      <w:r>
        <w:t>οὐ</w:t>
      </w:r>
      <w:proofErr w:type="spellEnd"/>
      <w:r>
        <w:t xml:space="preserve"> π</w:t>
      </w:r>
      <w:proofErr w:type="spellStart"/>
      <w:r>
        <w:t>οιήσεις</w:t>
      </w:r>
      <w:proofErr w:type="spellEnd"/>
      <w:r>
        <w:t xml:space="preserve"> </w:t>
      </w:r>
      <w:proofErr w:type="spellStart"/>
      <w:r>
        <w:t>φόνον</w:t>
      </w:r>
      <w:proofErr w:type="spellEnd"/>
      <w:r>
        <w:t xml:space="preserve"> (du wirst keinen Mord machen) für </w:t>
      </w:r>
      <w:r>
        <w:rPr>
          <w:rtl/>
        </w:rPr>
        <w:t>וְלֹא־תָשִׂים דָּמִים</w:t>
      </w:r>
      <w:r>
        <w:t xml:space="preserve"> (und du sollst nicht Blut setzen) ist eine interpretierende Übersetzung.</w:t>
      </w:r>
    </w:p>
    <w:p w14:paraId="6CB4AB71" w14:textId="77777777" w:rsidR="00C178BF" w:rsidRDefault="00C178BF" w:rsidP="00C178BF">
      <w:pPr>
        <w:pStyle w:val="whitespace-normal"/>
      </w:pPr>
      <w:r>
        <w:rPr>
          <w:rStyle w:val="Fett"/>
          <w:rFonts w:eastAsiaTheme="majorEastAsia"/>
        </w:rPr>
        <w:t>Die Satzstruktur:</w:t>
      </w:r>
      <w:r>
        <w:t xml:space="preserve"> Bedingung mit Gebot und Zweck (wenn bauen wirst du ein Haus, ein neues, machen sollst du ein Geländer für dein Dach; und nicht bringen sollst du Blutschuld auf dein Haus, wenn fällt der Fallende von ihm).</w:t>
      </w:r>
    </w:p>
    <w:p w14:paraId="6A220868" w14:textId="77777777" w:rsidR="00C178BF" w:rsidRDefault="00C178BF" w:rsidP="00C178BF">
      <w:pPr>
        <w:pStyle w:val="whitespace-normal"/>
      </w:pPr>
      <w:r>
        <w:t>Der Vers gebietet: Wenn du ein neues Haus baust, mache ein Geländer ums Dach – damit keine Blutschuld auf dein Haus kommt, falls jemand herunterfällt.</w:t>
      </w:r>
    </w:p>
    <w:p w14:paraId="7A1E94FC" w14:textId="77777777" w:rsidR="00C178BF" w:rsidRPr="00B27A64" w:rsidRDefault="00C178BF" w:rsidP="00C178BF">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22,9</w:t>
      </w:r>
    </w:p>
    <w:p w14:paraId="02466DFA" w14:textId="77777777" w:rsidR="00C178BF" w:rsidRDefault="00C178BF" w:rsidP="00C178BF">
      <w:pPr>
        <w:pStyle w:val="whitespace-normal"/>
      </w:pPr>
      <w:r>
        <w:rPr>
          <w:rStyle w:val="Fett"/>
          <w:rFonts w:eastAsiaTheme="majorEastAsia"/>
        </w:rPr>
        <w:t>Hebräisch:</w:t>
      </w:r>
      <w:r>
        <w:t xml:space="preserve"> </w:t>
      </w:r>
      <w:r>
        <w:rPr>
          <w:rtl/>
        </w:rPr>
        <w:t>לֹא־תִזְרַ֥ע כַּרְמְךָ֖ כִּלְאָ֑יִם פֶּן־תִּקְדַּ֗שׁ הַֽמְלֵאָ֤ה הַזֶּ֨רַע֙ אֲשֶׁ֣ר תִּזְרָ֔ע וּתְבוּאַ֖ת הַכָּֽרֶם׃</w:t>
      </w:r>
    </w:p>
    <w:p w14:paraId="62F5CEFC" w14:textId="77777777" w:rsidR="00C178BF" w:rsidRDefault="00C178BF" w:rsidP="00C178BF">
      <w:pPr>
        <w:pStyle w:val="whitespace-normal"/>
      </w:pPr>
      <w:r>
        <w:rPr>
          <w:rStyle w:val="Fett"/>
          <w:rFonts w:eastAsiaTheme="majorEastAsia"/>
        </w:rPr>
        <w:t>Deutsch:</w:t>
      </w:r>
      <w:r>
        <w:t xml:space="preserve"> Du sollst deinen Weinberg nicht mit zweierlei Samen besäen, damit nicht die ganze Ernte dem Heiligtum verfällt: Der Same, den du gesät hast, und der Ertrag des Weinbergs.</w:t>
      </w:r>
    </w:p>
    <w:p w14:paraId="0B12781D" w14:textId="77777777" w:rsidR="00C178BF" w:rsidRDefault="004F5CEB" w:rsidP="00C178BF">
      <w:r>
        <w:rPr>
          <w:noProof/>
        </w:rPr>
        <w:pict w14:anchorId="4A2BD409">
          <v:rect id="_x0000_i1604" style="width:0;height:1.5pt" o:hralign="center" o:hrstd="t" o:hr="t" fillcolor="#a0a0a0" stroked="f"/>
        </w:pict>
      </w:r>
    </w:p>
    <w:p w14:paraId="5E969D7E" w14:textId="77777777" w:rsidR="00C178BF" w:rsidRDefault="00C178BF" w:rsidP="00C178BF">
      <w:pPr>
        <w:pStyle w:val="whitespace-normal"/>
      </w:pPr>
      <w:r>
        <w:rPr>
          <w:rStyle w:val="Fett"/>
          <w:rFonts w:eastAsiaTheme="majorEastAsia"/>
        </w:rPr>
        <w:t>Kommentar:</w:t>
      </w:r>
      <w:r>
        <w:t xml:space="preserve"> </w:t>
      </w:r>
      <w:r>
        <w:rPr>
          <w:rStyle w:val="Fett"/>
          <w:rFonts w:eastAsiaTheme="majorEastAsia"/>
          <w:rtl/>
        </w:rPr>
        <w:t>לֹא־תִזְרַע כַּרְמְךָ כִּלְאָיִם</w:t>
      </w:r>
      <w:r>
        <w:rPr>
          <w:rtl/>
        </w:rPr>
        <w:t xml:space="preserve"> </w:t>
      </w:r>
      <w:r>
        <w:t xml:space="preserve">ist das Verbot: </w:t>
      </w:r>
      <w:r>
        <w:rPr>
          <w:rStyle w:val="Fett"/>
          <w:rFonts w:eastAsiaTheme="majorEastAsia"/>
          <w:rtl/>
        </w:rPr>
        <w:t>לֹא־תִזְרַע</w:t>
      </w:r>
      <w:r>
        <w:rPr>
          <w:rtl/>
        </w:rPr>
        <w:t xml:space="preserve"> </w:t>
      </w:r>
      <w:r>
        <w:t xml:space="preserve">(Negation mit </w:t>
      </w:r>
      <w:r>
        <w:rPr>
          <w:rStyle w:val="Fett"/>
          <w:rFonts w:eastAsiaTheme="majorEastAsia"/>
          <w:rtl/>
        </w:rPr>
        <w:t>זרע</w:t>
      </w:r>
      <w:r>
        <w:t xml:space="preserve">, Qal Imperfekt, 2. Person Maskulinum Singular, „säen"), </w:t>
      </w:r>
      <w:r>
        <w:rPr>
          <w:rStyle w:val="Fett"/>
          <w:rFonts w:eastAsiaTheme="majorEastAsia"/>
          <w:rtl/>
        </w:rPr>
        <w:t>כַּרְמְךָ</w:t>
      </w:r>
      <w:r>
        <w:rPr>
          <w:rtl/>
        </w:rPr>
        <w:t xml:space="preserve"> </w:t>
      </w:r>
      <w:r>
        <w:t>(</w:t>
      </w:r>
      <w:r>
        <w:rPr>
          <w:rStyle w:val="Fett"/>
          <w:rFonts w:eastAsiaTheme="majorEastAsia"/>
          <w:rtl/>
        </w:rPr>
        <w:t>כֶּרֶם</w:t>
      </w:r>
      <w:r>
        <w:t xml:space="preserve">, „Weinberg", mit Suffix 2. Person Maskulinum Singular), </w:t>
      </w:r>
      <w:r>
        <w:rPr>
          <w:rStyle w:val="Fett"/>
          <w:rFonts w:eastAsiaTheme="majorEastAsia"/>
          <w:rtl/>
        </w:rPr>
        <w:t>כִּלְאָיִם</w:t>
      </w:r>
      <w:r>
        <w:rPr>
          <w:rtl/>
        </w:rPr>
        <w:t xml:space="preserve"> </w:t>
      </w:r>
      <w:r>
        <w:t>(</w:t>
      </w:r>
      <w:r>
        <w:rPr>
          <w:rStyle w:val="Fett"/>
          <w:rFonts w:eastAsiaTheme="majorEastAsia"/>
          <w:rtl/>
        </w:rPr>
        <w:t>כִּלְאַיִם</w:t>
      </w:r>
      <w:r>
        <w:t xml:space="preserve">, „Mischsaat, zweierlei [Arten]" – Dual von </w:t>
      </w:r>
      <w:r>
        <w:rPr>
          <w:rStyle w:val="Fett"/>
          <w:rFonts w:eastAsiaTheme="majorEastAsia"/>
          <w:rtl/>
        </w:rPr>
        <w:t>כֶּלֶא</w:t>
      </w:r>
      <w:r>
        <w:t>, bezeichnet die Vermischung verschiedener Samen).</w:t>
      </w:r>
    </w:p>
    <w:p w14:paraId="5324C403" w14:textId="77777777" w:rsidR="00C178BF" w:rsidRDefault="00C178BF" w:rsidP="00C178BF">
      <w:pPr>
        <w:pStyle w:val="whitespace-normal"/>
      </w:pPr>
      <w:r>
        <w:rPr>
          <w:rStyle w:val="Fett"/>
          <w:rFonts w:eastAsiaTheme="majorEastAsia"/>
          <w:rtl/>
        </w:rPr>
        <w:t>פֶּן־תִּקְדַּשׁ הַמְלֵאָה הַזֶּרַע אֲשֶׁר תִּזְרָע וּתְבוּאַת הַכָּרֶם</w:t>
      </w:r>
      <w:r>
        <w:rPr>
          <w:rtl/>
        </w:rPr>
        <w:t xml:space="preserve"> </w:t>
      </w:r>
      <w:r>
        <w:t xml:space="preserve">ist die Begründung: </w:t>
      </w:r>
      <w:r>
        <w:rPr>
          <w:rStyle w:val="Fett"/>
          <w:rFonts w:eastAsiaTheme="majorEastAsia"/>
          <w:rtl/>
        </w:rPr>
        <w:t>פֶּן־תִּקְדַּשׁ</w:t>
      </w:r>
      <w:r>
        <w:rPr>
          <w:rtl/>
        </w:rPr>
        <w:t xml:space="preserve"> </w:t>
      </w:r>
      <w:r>
        <w:t>(</w:t>
      </w:r>
      <w:r>
        <w:rPr>
          <w:rStyle w:val="Fett"/>
          <w:rFonts w:eastAsiaTheme="majorEastAsia"/>
          <w:rtl/>
        </w:rPr>
        <w:t>פֶּן</w:t>
      </w:r>
      <w:r>
        <w:t xml:space="preserve">, „damit nicht", mit </w:t>
      </w:r>
      <w:r>
        <w:rPr>
          <w:rStyle w:val="Fett"/>
          <w:rFonts w:eastAsiaTheme="majorEastAsia"/>
          <w:rtl/>
        </w:rPr>
        <w:t>קדשׁ</w:t>
      </w:r>
      <w:r>
        <w:t xml:space="preserve">, Qal Imperfekt, 3. Person Femininum Singular, „heilig werden, dem Heiligtum verfallen"), </w:t>
      </w:r>
      <w:r>
        <w:rPr>
          <w:rStyle w:val="Fett"/>
          <w:rFonts w:eastAsiaTheme="majorEastAsia"/>
          <w:rtl/>
        </w:rPr>
        <w:t>הַמְלֵאָה</w:t>
      </w:r>
      <w:r>
        <w:rPr>
          <w:rtl/>
        </w:rPr>
        <w:t xml:space="preserve"> </w:t>
      </w:r>
      <w:r>
        <w:t>(</w:t>
      </w:r>
      <w:r>
        <w:rPr>
          <w:rStyle w:val="Fett"/>
          <w:rFonts w:eastAsiaTheme="majorEastAsia"/>
          <w:rtl/>
        </w:rPr>
        <w:t>מְלֵאָה</w:t>
      </w:r>
      <w:r>
        <w:t xml:space="preserve">, „Fülle, Ertrag", mit Artikel), </w:t>
      </w:r>
      <w:r>
        <w:rPr>
          <w:rStyle w:val="Fett"/>
          <w:rFonts w:eastAsiaTheme="majorEastAsia"/>
          <w:rtl/>
        </w:rPr>
        <w:t>הַזֶּרַע אֲשֶׁר תִּזְרָע</w:t>
      </w:r>
      <w:r>
        <w:rPr>
          <w:rtl/>
        </w:rPr>
        <w:t xml:space="preserve"> </w:t>
      </w:r>
      <w:r>
        <w:t>(</w:t>
      </w:r>
      <w:r>
        <w:rPr>
          <w:rStyle w:val="Fett"/>
          <w:rFonts w:eastAsiaTheme="majorEastAsia"/>
          <w:rtl/>
        </w:rPr>
        <w:t>זֶרַע</w:t>
      </w:r>
      <w:r>
        <w:t xml:space="preserve">, „Same", mit Artikel, Relativsatz: </w:t>
      </w:r>
      <w:r>
        <w:rPr>
          <w:rStyle w:val="Fett"/>
          <w:rFonts w:eastAsiaTheme="majorEastAsia"/>
          <w:rtl/>
        </w:rPr>
        <w:t>אֲשֶׁר</w:t>
      </w:r>
      <w:r>
        <w:rPr>
          <w:rtl/>
        </w:rPr>
        <w:t xml:space="preserve"> </w:t>
      </w:r>
      <w:r>
        <w:t xml:space="preserve">mit </w:t>
      </w:r>
      <w:r>
        <w:rPr>
          <w:rStyle w:val="Fett"/>
          <w:rFonts w:eastAsiaTheme="majorEastAsia"/>
          <w:rtl/>
        </w:rPr>
        <w:t>זרע</w:t>
      </w:r>
      <w:r>
        <w:t xml:space="preserve">, Qal Imperfekt, 2. Person Maskulinum Singular), </w:t>
      </w:r>
      <w:r>
        <w:rPr>
          <w:rStyle w:val="Fett"/>
          <w:rFonts w:eastAsiaTheme="majorEastAsia"/>
          <w:rtl/>
        </w:rPr>
        <w:t>וּתְבוּאַת הַכָּרֶם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תְּבוּאָה</w:t>
      </w:r>
      <w:r>
        <w:t xml:space="preserve">, „Ertrag", Construct mit </w:t>
      </w:r>
      <w:r>
        <w:rPr>
          <w:rStyle w:val="Fett"/>
          <w:rFonts w:eastAsiaTheme="majorEastAsia"/>
          <w:rtl/>
        </w:rPr>
        <w:t>כֶּרֶם</w:t>
      </w:r>
      <w:r>
        <w:rPr>
          <w:rtl/>
        </w:rPr>
        <w:t xml:space="preserve"> </w:t>
      </w:r>
      <w:r>
        <w:t>mit Artikel).</w:t>
      </w:r>
    </w:p>
    <w:p w14:paraId="44808DBE" w14:textId="7E44024F" w:rsidR="00C178BF" w:rsidRDefault="00C178BF" w:rsidP="00C178BF">
      <w:pPr>
        <w:pStyle w:val="whitespace-normal"/>
      </w:pPr>
      <w:r>
        <w:t xml:space="preserve">Der Vers verbietet </w:t>
      </w:r>
      <w:r>
        <w:rPr>
          <w:rStyle w:val="Fett"/>
          <w:rFonts w:eastAsiaTheme="majorEastAsia"/>
          <w:rtl/>
        </w:rPr>
        <w:t>כִּלְאָיִם</w:t>
      </w:r>
      <w:r>
        <w:rPr>
          <w:rtl/>
        </w:rPr>
        <w:t xml:space="preserve"> </w:t>
      </w:r>
      <w:r>
        <w:t xml:space="preserve">(„Mischsaat") im Weinberg. Das Verbot: </w:t>
      </w:r>
      <w:r>
        <w:rPr>
          <w:rStyle w:val="Fett"/>
          <w:rFonts w:eastAsiaTheme="majorEastAsia"/>
          <w:rtl/>
        </w:rPr>
        <w:t>לֹא־תִזְרַע כַּרְמְךָ כִּלְאָיִם</w:t>
      </w:r>
      <w:r>
        <w:rPr>
          <w:rtl/>
        </w:rPr>
        <w:t xml:space="preserve"> </w:t>
      </w:r>
      <w:r>
        <w:t xml:space="preserve">(„nicht säen sollst du deinen Weinberg [mit] Mischsaat") – keine anderen Pflanzen zwischen den Weinreben. Die Begründung: </w:t>
      </w:r>
      <w:r>
        <w:rPr>
          <w:rStyle w:val="Fett"/>
          <w:rFonts w:eastAsiaTheme="majorEastAsia"/>
          <w:rtl/>
        </w:rPr>
        <w:t>פֶּן־תִּקְדַּשׁ הַמְלֵאָה</w:t>
      </w:r>
      <w:r>
        <w:rPr>
          <w:rtl/>
        </w:rPr>
        <w:t xml:space="preserve"> </w:t>
      </w:r>
      <w:r>
        <w:t xml:space="preserve">(„damit nicht dem Heiligtum verfällt die Fülle"). Das Verb </w:t>
      </w:r>
      <w:r>
        <w:rPr>
          <w:rStyle w:val="Fett"/>
          <w:rFonts w:eastAsiaTheme="majorEastAsia"/>
          <w:rtl/>
        </w:rPr>
        <w:t>קדשׁ</w:t>
      </w:r>
      <w:r>
        <w:rPr>
          <w:rtl/>
        </w:rPr>
        <w:t xml:space="preserve"> </w:t>
      </w:r>
      <w:r>
        <w:t xml:space="preserve">bedeutet hier: für den profanen Gebrauch verboten, muss dem Heiligtum übergeben werden. </w:t>
      </w:r>
      <w:r>
        <w:rPr>
          <w:rStyle w:val="Fett"/>
          <w:rFonts w:eastAsiaTheme="majorEastAsia"/>
          <w:rtl/>
        </w:rPr>
        <w:t>הַמְלֵאָה הַזֶּרַע... וּתְבוּאַת הַכָּרֶם</w:t>
      </w:r>
      <w:r>
        <w:rPr>
          <w:rtl/>
        </w:rPr>
        <w:t xml:space="preserve"> </w:t>
      </w:r>
      <w:r>
        <w:t>– beides, die zusätzliche Saat und die Weintrauben, verfallen. Die Strafe: totaler Ertragsverlust.</w:t>
      </w:r>
    </w:p>
    <w:p w14:paraId="121997F3" w14:textId="37169848" w:rsidR="00D00836" w:rsidRDefault="00D00836" w:rsidP="00C178BF">
      <w:pPr>
        <w:pStyle w:val="whitespace-normal"/>
      </w:pPr>
      <w:r>
        <w:rPr>
          <w:rStyle w:val="Fett"/>
        </w:rPr>
        <w:lastRenderedPageBreak/>
        <w:t>Die LXX</w:t>
      </w:r>
      <w:r>
        <w:t xml:space="preserve"> übersetzt </w:t>
      </w:r>
      <w:r>
        <w:rPr>
          <w:rtl/>
        </w:rPr>
        <w:t>כִּלְאָיִם</w:t>
      </w:r>
      <w:r>
        <w:t xml:space="preserve"> (Mischsaat) mit </w:t>
      </w:r>
      <w:proofErr w:type="spellStart"/>
      <w:r>
        <w:t>διάφορον</w:t>
      </w:r>
      <w:proofErr w:type="spellEnd"/>
      <w:r>
        <w:t xml:space="preserve"> (Verschiedenes, Unterschiedliches) – ein allgemeinerer Begriff für das Prinzip der Vermischung. Die Wendung </w:t>
      </w:r>
      <w:proofErr w:type="spellStart"/>
      <w:r>
        <w:t>ἵν</w:t>
      </w:r>
      <w:proofErr w:type="spellEnd"/>
      <w:r>
        <w:t xml:space="preserve">α </w:t>
      </w:r>
      <w:proofErr w:type="spellStart"/>
      <w:r>
        <w:t>μὴ</w:t>
      </w:r>
      <w:proofErr w:type="spellEnd"/>
      <w:r>
        <w:t xml:space="preserve"> </w:t>
      </w:r>
      <w:proofErr w:type="spellStart"/>
      <w:r>
        <w:t>ἁγι</w:t>
      </w:r>
      <w:proofErr w:type="spellEnd"/>
      <w:r>
        <w:t xml:space="preserve">ασθῇ (damit nicht geheiligt wird) für </w:t>
      </w:r>
      <w:r>
        <w:rPr>
          <w:rtl/>
        </w:rPr>
        <w:t>פֶּן־תִּקְדַּשׁ</w:t>
      </w:r>
      <w:r>
        <w:t xml:space="preserve"> ist bemerkenswert – beide verwenden Wurzeln für "heilig", aber die LXX macht es zum Zweck der Vermeidung.</w:t>
      </w:r>
    </w:p>
    <w:p w14:paraId="12CA8605" w14:textId="77777777" w:rsidR="00C178BF" w:rsidRDefault="00C178BF" w:rsidP="00C178BF">
      <w:pPr>
        <w:pStyle w:val="whitespace-normal"/>
      </w:pPr>
      <w:r>
        <w:rPr>
          <w:rStyle w:val="Fett"/>
          <w:rFonts w:eastAsiaTheme="majorEastAsia"/>
        </w:rPr>
        <w:t>Die Satzstruktur:</w:t>
      </w:r>
      <w:r>
        <w:t xml:space="preserve"> Verbot mit Begründung (nicht säen sollst du deinen Weinberg [mit] Mischsaat; damit nicht dem Heiligtum verfällt die Fülle: der Same, den du säst, und der Ertrag des Weinbergs).</w:t>
      </w:r>
    </w:p>
    <w:p w14:paraId="7E84390A" w14:textId="77777777" w:rsidR="00C178BF" w:rsidRDefault="00C178BF" w:rsidP="00C178BF">
      <w:pPr>
        <w:pStyle w:val="whitespace-normal"/>
      </w:pPr>
      <w:r>
        <w:t>Der Vers verbietet: Säe deinen Weinberg nicht mit Mischsaat – sonst verfällt die ganze Ernte dem Heiligtum.</w:t>
      </w:r>
    </w:p>
    <w:p w14:paraId="318D42EC" w14:textId="77777777" w:rsidR="00C178BF" w:rsidRPr="00B27A64" w:rsidRDefault="00C178BF" w:rsidP="00C178BF">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22,10</w:t>
      </w:r>
    </w:p>
    <w:p w14:paraId="134D2F2E" w14:textId="77777777" w:rsidR="00C178BF" w:rsidRDefault="00C178BF" w:rsidP="00C178BF">
      <w:pPr>
        <w:pStyle w:val="whitespace-normal"/>
      </w:pPr>
      <w:r>
        <w:rPr>
          <w:rStyle w:val="Fett"/>
          <w:rFonts w:eastAsiaTheme="majorEastAsia"/>
        </w:rPr>
        <w:t>Hebräisch:</w:t>
      </w:r>
      <w:r>
        <w:t xml:space="preserve"> </w:t>
      </w:r>
      <w:r>
        <w:rPr>
          <w:rtl/>
        </w:rPr>
        <w:t>לֹֽא־תַחֲרֹ֥שׁ בְּשׁוֹר־וּבַחֲמֹ֖ר יַחְדָּֽו׃</w:t>
      </w:r>
    </w:p>
    <w:p w14:paraId="1317AA37" w14:textId="77777777" w:rsidR="00C178BF" w:rsidRDefault="00C178BF" w:rsidP="00C178BF">
      <w:pPr>
        <w:pStyle w:val="whitespace-normal"/>
      </w:pPr>
      <w:r>
        <w:rPr>
          <w:rStyle w:val="Fett"/>
          <w:rFonts w:eastAsiaTheme="majorEastAsia"/>
        </w:rPr>
        <w:t>Deutsch:</w:t>
      </w:r>
      <w:r>
        <w:t xml:space="preserve"> Du sollst nicht mit einem Rind und einem Esel zusammen pflügen.</w:t>
      </w:r>
    </w:p>
    <w:p w14:paraId="0DE9C3CB" w14:textId="77777777" w:rsidR="00C178BF" w:rsidRDefault="004F5CEB" w:rsidP="00C178BF">
      <w:r>
        <w:rPr>
          <w:noProof/>
        </w:rPr>
        <w:pict w14:anchorId="0E7243C6">
          <v:rect id="_x0000_i1605" style="width:0;height:1.5pt" o:hralign="center" o:hrstd="t" o:hr="t" fillcolor="#a0a0a0" stroked="f"/>
        </w:pict>
      </w:r>
    </w:p>
    <w:p w14:paraId="5C0904FB" w14:textId="77777777" w:rsidR="00C178BF" w:rsidRDefault="00C178BF" w:rsidP="00C178BF">
      <w:pPr>
        <w:pStyle w:val="whitespace-normal"/>
      </w:pPr>
      <w:r>
        <w:rPr>
          <w:rStyle w:val="Fett"/>
          <w:rFonts w:eastAsiaTheme="majorEastAsia"/>
        </w:rPr>
        <w:t>Kommentar:</w:t>
      </w:r>
      <w:r>
        <w:t xml:space="preserve"> </w:t>
      </w:r>
      <w:r>
        <w:rPr>
          <w:rStyle w:val="Fett"/>
          <w:rFonts w:eastAsiaTheme="majorEastAsia"/>
          <w:rtl/>
        </w:rPr>
        <w:t>לֹא־תַחֲרֹשׁ בְּשׁוֹר־וּבַחֲמֹר יַחְדָּו</w:t>
      </w:r>
      <w:r>
        <w:rPr>
          <w:rtl/>
        </w:rPr>
        <w:t xml:space="preserve"> </w:t>
      </w:r>
      <w:r>
        <w:t xml:space="preserve">ist das Verbot: </w:t>
      </w:r>
      <w:r>
        <w:rPr>
          <w:rStyle w:val="Fett"/>
          <w:rFonts w:eastAsiaTheme="majorEastAsia"/>
          <w:rtl/>
        </w:rPr>
        <w:t>לֹא־תַחֲרֹשׁ</w:t>
      </w:r>
      <w:r>
        <w:rPr>
          <w:rtl/>
        </w:rPr>
        <w:t xml:space="preserve"> </w:t>
      </w:r>
      <w:r>
        <w:t xml:space="preserve">(Negation mit </w:t>
      </w:r>
      <w:r>
        <w:rPr>
          <w:rStyle w:val="Fett"/>
          <w:rFonts w:eastAsiaTheme="majorEastAsia"/>
          <w:rtl/>
        </w:rPr>
        <w:t>חרשׁ</w:t>
      </w:r>
      <w:r>
        <w:t xml:space="preserve">, Qal Imperfekt, 2. Person Maskulinum Singular, „pflügen"), </w:t>
      </w:r>
      <w:r>
        <w:rPr>
          <w:rStyle w:val="Fett"/>
          <w:rFonts w:eastAsiaTheme="majorEastAsia"/>
          <w:rtl/>
        </w:rPr>
        <w:t>בְּשׁוֹר־וּבַחֲמֹר</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שׁוֹר</w:t>
      </w:r>
      <w:r>
        <w:t xml:space="preserve">, „Rind, Ochse", koordiniert durch </w:t>
      </w:r>
      <w:r>
        <w:rPr>
          <w:rStyle w:val="Fett"/>
          <w:rFonts w:eastAsiaTheme="majorEastAsia"/>
          <w:rtl/>
        </w:rPr>
        <w:t>וּ</w:t>
      </w:r>
      <w:r>
        <w:rPr>
          <w:rtl/>
        </w:rPr>
        <w:t xml:space="preserve"> </w:t>
      </w:r>
      <w:r>
        <w:t xml:space="preserve">mit Präposition </w:t>
      </w:r>
      <w:r>
        <w:rPr>
          <w:rStyle w:val="Fett"/>
          <w:rFonts w:eastAsiaTheme="majorEastAsia"/>
          <w:rtl/>
        </w:rPr>
        <w:t>בְּ</w:t>
      </w:r>
      <w:r>
        <w:rPr>
          <w:rtl/>
        </w:rPr>
        <w:t xml:space="preserve"> </w:t>
      </w:r>
      <w:r>
        <w:t xml:space="preserve">und </w:t>
      </w:r>
      <w:r>
        <w:rPr>
          <w:rStyle w:val="Fett"/>
          <w:rFonts w:eastAsiaTheme="majorEastAsia"/>
          <w:rtl/>
        </w:rPr>
        <w:t>חֲמוֹר</w:t>
      </w:r>
      <w:r>
        <w:t xml:space="preserve">, „Esel"), </w:t>
      </w:r>
      <w:r>
        <w:rPr>
          <w:rStyle w:val="Fett"/>
          <w:rFonts w:eastAsiaTheme="majorEastAsia"/>
          <w:rtl/>
        </w:rPr>
        <w:t>יַחְדָּו</w:t>
      </w:r>
      <w:r>
        <w:rPr>
          <w:rtl/>
        </w:rPr>
        <w:t xml:space="preserve"> </w:t>
      </w:r>
      <w:r>
        <w:t>(Adverb, „zusammen, gemeinsam").</w:t>
      </w:r>
    </w:p>
    <w:p w14:paraId="611100E6" w14:textId="77777777" w:rsidR="00C178BF" w:rsidRDefault="00C178BF" w:rsidP="00C178BF">
      <w:pPr>
        <w:pStyle w:val="whitespace-normal"/>
      </w:pPr>
      <w:r>
        <w:t xml:space="preserve">Der Vers verbietet das gemeinsame Anspannen verschiedener Tierarten. Das Verbot </w:t>
      </w:r>
      <w:r>
        <w:rPr>
          <w:rStyle w:val="Fett"/>
          <w:rFonts w:eastAsiaTheme="majorEastAsia"/>
          <w:rtl/>
        </w:rPr>
        <w:t>לֹא־תַחֲרֹשׁ בְּשׁוֹר־וּבַחֲמֹר יַחְדָּו</w:t>
      </w:r>
      <w:r>
        <w:rPr>
          <w:rtl/>
        </w:rPr>
        <w:t xml:space="preserve"> </w:t>
      </w:r>
      <w:r>
        <w:t xml:space="preserve">(„nicht pflügen sollst du mit einem Rind und einem Esel zusammen") ist kurz und direkt. Die beiden Tiere: </w:t>
      </w:r>
      <w:r>
        <w:rPr>
          <w:rStyle w:val="Fett"/>
          <w:rFonts w:eastAsiaTheme="majorEastAsia"/>
          <w:rtl/>
        </w:rPr>
        <w:t>שׁוֹר</w:t>
      </w:r>
      <w:r>
        <w:rPr>
          <w:rtl/>
        </w:rPr>
        <w:t xml:space="preserve"> </w:t>
      </w:r>
      <w:r>
        <w:t xml:space="preserve">(„Rind, Ochse") – stark, schwer, langsam; </w:t>
      </w:r>
      <w:r>
        <w:rPr>
          <w:rStyle w:val="Fett"/>
          <w:rFonts w:eastAsiaTheme="majorEastAsia"/>
          <w:rtl/>
        </w:rPr>
        <w:t>חֲמוֹר</w:t>
      </w:r>
      <w:r>
        <w:rPr>
          <w:rtl/>
        </w:rPr>
        <w:t xml:space="preserve"> </w:t>
      </w:r>
      <w:r>
        <w:t xml:space="preserve">(„Esel") – leichter, schneller. Das Adverb </w:t>
      </w:r>
      <w:r>
        <w:rPr>
          <w:rStyle w:val="Fett"/>
          <w:rFonts w:eastAsiaTheme="majorEastAsia"/>
          <w:rtl/>
        </w:rPr>
        <w:t>יַחְדָּו</w:t>
      </w:r>
      <w:r>
        <w:rPr>
          <w:rtl/>
        </w:rPr>
        <w:t xml:space="preserve"> </w:t>
      </w:r>
      <w:r>
        <w:t>(„zusammen") betont: im selben Joch. Der Zweck: Praktisch – verschiedene Tiere haben verschiedene Kraft und Tempo, gemeinsames Anspannen ist ineffizient und quält die Tiere. Symbolisch – keine Vermischung verschiedener Arten (wie V. 9.11).</w:t>
      </w:r>
    </w:p>
    <w:p w14:paraId="645C7116" w14:textId="77777777" w:rsidR="00C178BF" w:rsidRDefault="00C178BF" w:rsidP="00C178BF">
      <w:pPr>
        <w:pStyle w:val="whitespace-normal"/>
      </w:pPr>
      <w:r>
        <w:rPr>
          <w:rStyle w:val="Fett"/>
          <w:rFonts w:eastAsiaTheme="majorEastAsia"/>
        </w:rPr>
        <w:t>Die Satzstruktur:</w:t>
      </w:r>
      <w:r>
        <w:t xml:space="preserve"> Verbot (nicht pflügen sollst du mit einem Rind und einem Esel zusammen).</w:t>
      </w:r>
    </w:p>
    <w:p w14:paraId="496B4AA8" w14:textId="77777777" w:rsidR="00C178BF" w:rsidRDefault="00C178BF" w:rsidP="00C178BF">
      <w:pPr>
        <w:pStyle w:val="whitespace-normal"/>
      </w:pPr>
      <w:r>
        <w:t>Der Vers verbietet: Du darfst nicht mit Rind und Esel zusammen pflügen.</w:t>
      </w:r>
    </w:p>
    <w:p w14:paraId="341BFDED" w14:textId="77777777" w:rsidR="00C178BF" w:rsidRPr="00B27A64" w:rsidRDefault="00C178BF" w:rsidP="00C178BF">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22,11</w:t>
      </w:r>
    </w:p>
    <w:p w14:paraId="30E94058" w14:textId="77777777" w:rsidR="00C178BF" w:rsidRDefault="00C178BF" w:rsidP="00C178BF">
      <w:pPr>
        <w:pStyle w:val="whitespace-normal"/>
      </w:pPr>
      <w:r>
        <w:rPr>
          <w:rStyle w:val="Fett"/>
          <w:rFonts w:eastAsiaTheme="majorEastAsia"/>
        </w:rPr>
        <w:t>Hebräisch:</w:t>
      </w:r>
      <w:r>
        <w:t xml:space="preserve"> </w:t>
      </w:r>
      <w:r>
        <w:rPr>
          <w:rtl/>
        </w:rPr>
        <w:t>לֹ֤א תִלְבַּשׁ֙ שַֽׁעַטְנֵ֔ז צֶ֥מֶר וּפִשְׁתִּ֖ים יַחְדָּֽו׃</w:t>
      </w:r>
    </w:p>
    <w:p w14:paraId="7F56423D" w14:textId="77777777" w:rsidR="00C178BF" w:rsidRDefault="00C178BF" w:rsidP="00C178BF">
      <w:pPr>
        <w:pStyle w:val="whitespace-normal"/>
      </w:pPr>
      <w:r>
        <w:rPr>
          <w:rStyle w:val="Fett"/>
          <w:rFonts w:eastAsiaTheme="majorEastAsia"/>
        </w:rPr>
        <w:t>Deutsch:</w:t>
      </w:r>
      <w:r>
        <w:t xml:space="preserve"> Du sollst nicht Zeug von verschiedenartigem Stoff anziehen, Wolle und Leinen zusammen.</w:t>
      </w:r>
    </w:p>
    <w:p w14:paraId="2B3808EF" w14:textId="77777777" w:rsidR="00C178BF" w:rsidRDefault="004F5CEB" w:rsidP="00C178BF">
      <w:r>
        <w:rPr>
          <w:noProof/>
        </w:rPr>
        <w:pict w14:anchorId="509EC8FD">
          <v:rect id="_x0000_i1606" style="width:0;height:1.5pt" o:hralign="center" o:hrstd="t" o:hr="t" fillcolor="#a0a0a0" stroked="f"/>
        </w:pict>
      </w:r>
    </w:p>
    <w:p w14:paraId="1FBB8C85" w14:textId="06F2599D" w:rsidR="00C178BF" w:rsidRDefault="00C178BF" w:rsidP="00C178BF">
      <w:pPr>
        <w:pStyle w:val="whitespace-normal"/>
      </w:pPr>
      <w:r>
        <w:rPr>
          <w:rStyle w:val="Fett"/>
          <w:rFonts w:eastAsiaTheme="majorEastAsia"/>
        </w:rPr>
        <w:lastRenderedPageBreak/>
        <w:t>Kommentar:</w:t>
      </w:r>
      <w:r>
        <w:t xml:space="preserve"> </w:t>
      </w:r>
      <w:r>
        <w:rPr>
          <w:rStyle w:val="Fett"/>
          <w:rFonts w:eastAsiaTheme="majorEastAsia"/>
          <w:rtl/>
        </w:rPr>
        <w:t>לֹא תִלְבַּשׁ שַׁעַטְנֵז צֶמֶר וּפִשְׁתִּים יַחְדָּו</w:t>
      </w:r>
      <w:r>
        <w:rPr>
          <w:rtl/>
        </w:rPr>
        <w:t xml:space="preserve"> </w:t>
      </w:r>
      <w:r>
        <w:t xml:space="preserve">ist das Verbot: </w:t>
      </w:r>
      <w:r>
        <w:rPr>
          <w:rStyle w:val="Fett"/>
          <w:rFonts w:eastAsiaTheme="majorEastAsia"/>
          <w:rtl/>
        </w:rPr>
        <w:t>לֹא תִלְבַּשׁ</w:t>
      </w:r>
      <w:r>
        <w:rPr>
          <w:rtl/>
        </w:rPr>
        <w:t xml:space="preserve"> </w:t>
      </w:r>
      <w:r>
        <w:t xml:space="preserve">(Negation mit </w:t>
      </w:r>
      <w:r>
        <w:rPr>
          <w:rStyle w:val="Fett"/>
          <w:rFonts w:eastAsiaTheme="majorEastAsia"/>
          <w:rtl/>
        </w:rPr>
        <w:t>לבשׁ</w:t>
      </w:r>
      <w:r>
        <w:t xml:space="preserve">, Qal Imperfekt, 2. Person Maskulinum Singular, „anziehen, tragen"), </w:t>
      </w:r>
      <w:r>
        <w:rPr>
          <w:rStyle w:val="Fett"/>
          <w:rFonts w:eastAsiaTheme="majorEastAsia"/>
          <w:rtl/>
        </w:rPr>
        <w:t>שַׁעַטְנֵז</w:t>
      </w:r>
      <w:r>
        <w:rPr>
          <w:rtl/>
        </w:rPr>
        <w:t xml:space="preserve"> </w:t>
      </w:r>
      <w:r>
        <w:t>(</w:t>
      </w:r>
      <w:r>
        <w:rPr>
          <w:rStyle w:val="Fett"/>
          <w:rFonts w:eastAsiaTheme="majorEastAsia"/>
          <w:rtl/>
        </w:rPr>
        <w:t>שַׁעַטְנֵז</w:t>
      </w:r>
      <w:r>
        <w:t xml:space="preserve">, „Mischgewebe" – nur hier und </w:t>
      </w:r>
      <w:r w:rsidR="00664EB6">
        <w:t>Lev</w:t>
      </w:r>
      <w:r>
        <w:t xml:space="preserve"> 19,19, Etymologie unklar), </w:t>
      </w:r>
      <w:r>
        <w:rPr>
          <w:rStyle w:val="Fett"/>
          <w:rFonts w:eastAsiaTheme="majorEastAsia"/>
          <w:rtl/>
        </w:rPr>
        <w:t>צֶמֶר וּפִשְׁתִּים</w:t>
      </w:r>
      <w:r>
        <w:rPr>
          <w:rtl/>
        </w:rPr>
        <w:t xml:space="preserve"> </w:t>
      </w:r>
      <w:r>
        <w:t>(</w:t>
      </w:r>
      <w:r>
        <w:rPr>
          <w:rStyle w:val="Fett"/>
          <w:rFonts w:eastAsiaTheme="majorEastAsia"/>
          <w:rtl/>
        </w:rPr>
        <w:t>צֶמֶר</w:t>
      </w:r>
      <w:r>
        <w:t xml:space="preserve">, „Wolle", koordiniert durch </w:t>
      </w:r>
      <w:r>
        <w:rPr>
          <w:rStyle w:val="Fett"/>
          <w:rFonts w:eastAsiaTheme="majorEastAsia"/>
          <w:rtl/>
        </w:rPr>
        <w:t>וּ</w:t>
      </w:r>
      <w:r>
        <w:rPr>
          <w:rtl/>
        </w:rPr>
        <w:t xml:space="preserve"> </w:t>
      </w:r>
      <w:r>
        <w:t xml:space="preserve">mit </w:t>
      </w:r>
      <w:r>
        <w:rPr>
          <w:rStyle w:val="Fett"/>
          <w:rFonts w:eastAsiaTheme="majorEastAsia"/>
          <w:rtl/>
        </w:rPr>
        <w:t>פִּשְׁתָּה</w:t>
      </w:r>
      <w:r>
        <w:t xml:space="preserve">, „Flachs, Leinen", Plural), </w:t>
      </w:r>
      <w:r>
        <w:rPr>
          <w:rStyle w:val="Fett"/>
          <w:rFonts w:eastAsiaTheme="majorEastAsia"/>
          <w:rtl/>
        </w:rPr>
        <w:t>יַחְדָּו</w:t>
      </w:r>
      <w:r>
        <w:rPr>
          <w:rtl/>
        </w:rPr>
        <w:t xml:space="preserve"> </w:t>
      </w:r>
      <w:r>
        <w:t>(„zusammen").</w:t>
      </w:r>
    </w:p>
    <w:p w14:paraId="790AA008" w14:textId="1C33652C" w:rsidR="00C178BF" w:rsidRDefault="00C178BF" w:rsidP="00C178BF">
      <w:pPr>
        <w:pStyle w:val="whitespace-normal"/>
      </w:pPr>
      <w:r>
        <w:t xml:space="preserve">Der Vers verbietet das Tragen von </w:t>
      </w:r>
      <w:r>
        <w:rPr>
          <w:rStyle w:val="Fett"/>
          <w:rFonts w:eastAsiaTheme="majorEastAsia"/>
          <w:rtl/>
        </w:rPr>
        <w:t>שַׁעַטְנֵז</w:t>
      </w:r>
      <w:r>
        <w:rPr>
          <w:rtl/>
        </w:rPr>
        <w:t xml:space="preserve"> </w:t>
      </w:r>
      <w:r>
        <w:t xml:space="preserve">(„Mischgewebe"). Das Wort </w:t>
      </w:r>
      <w:r>
        <w:rPr>
          <w:rStyle w:val="Fett"/>
          <w:rFonts w:eastAsiaTheme="majorEastAsia"/>
          <w:rtl/>
        </w:rPr>
        <w:t>שַׁעַטְנֵז</w:t>
      </w:r>
      <w:r>
        <w:rPr>
          <w:rtl/>
        </w:rPr>
        <w:t xml:space="preserve"> </w:t>
      </w:r>
      <w:r>
        <w:t xml:space="preserve">ist ein Hapax legomenon (außer </w:t>
      </w:r>
      <w:r w:rsidR="00664EB6">
        <w:t>Lev</w:t>
      </w:r>
      <w:r>
        <w:t xml:space="preserve"> 19,19) und bezeichnet Gewebe aus gemischten Fasern. Die Definition: </w:t>
      </w:r>
      <w:r>
        <w:rPr>
          <w:rStyle w:val="Fett"/>
          <w:rFonts w:eastAsiaTheme="majorEastAsia"/>
          <w:rtl/>
        </w:rPr>
        <w:t>צֶמֶר וּפִשְׁתִּים יַחְדָּו</w:t>
      </w:r>
      <w:r>
        <w:rPr>
          <w:rtl/>
        </w:rPr>
        <w:t xml:space="preserve"> </w:t>
      </w:r>
      <w:r>
        <w:t xml:space="preserve">(„Wolle und Leinen zusammen") – spezifisch diese Kombination. </w:t>
      </w:r>
      <w:r>
        <w:rPr>
          <w:rStyle w:val="Fett"/>
          <w:rFonts w:eastAsiaTheme="majorEastAsia"/>
          <w:rtl/>
        </w:rPr>
        <w:t>צֶמֶר</w:t>
      </w:r>
      <w:r>
        <w:rPr>
          <w:rtl/>
        </w:rPr>
        <w:t xml:space="preserve"> </w:t>
      </w:r>
      <w:r>
        <w:t xml:space="preserve">(„Wolle") stammt von Tieren (Schafe, Ziegen), </w:t>
      </w:r>
      <w:r>
        <w:rPr>
          <w:rStyle w:val="Fett"/>
          <w:rFonts w:eastAsiaTheme="majorEastAsia"/>
          <w:rtl/>
        </w:rPr>
        <w:t>פִּשְׁתִּים</w:t>
      </w:r>
      <w:r>
        <w:rPr>
          <w:rtl/>
        </w:rPr>
        <w:t xml:space="preserve"> </w:t>
      </w:r>
      <w:r>
        <w:t xml:space="preserve">(„Leinen") von Pflanzen (Flachs). Das Adverb </w:t>
      </w:r>
      <w:r>
        <w:rPr>
          <w:rStyle w:val="Fett"/>
          <w:rFonts w:eastAsiaTheme="majorEastAsia"/>
          <w:rtl/>
        </w:rPr>
        <w:t>יַחְדָּו</w:t>
      </w:r>
      <w:r>
        <w:rPr>
          <w:rtl/>
        </w:rPr>
        <w:t xml:space="preserve"> </w:t>
      </w:r>
      <w:r>
        <w:t>(„zusammen") betont: in einem Gewebe verwoben.</w:t>
      </w:r>
    </w:p>
    <w:p w14:paraId="27AA4B51" w14:textId="408979B6" w:rsidR="00C178BF" w:rsidRDefault="00C178BF" w:rsidP="00C178BF">
      <w:pPr>
        <w:pStyle w:val="whitespace-normal"/>
      </w:pPr>
      <w:r>
        <w:t xml:space="preserve">Der Zweck des Verbots ist umstritten: (1) Erhaltung natürlicher Kategorien (Tier/Pflanze getrennt), (2) Abgrenzung von heidnischen Priestern (die Mischgewebe trugen), (3) Symbol der Heiligkeit – nur priesterliche Gewänder durften Mischgewebe enthalten (Ex 28,6-8: Ephod mit Gold, blauer und roter Purpur, Karmesin, Byssus). Die rabbinische Tradition (Mischna </w:t>
      </w:r>
      <w:proofErr w:type="spellStart"/>
      <w:r>
        <w:t>Kilajim</w:t>
      </w:r>
      <w:proofErr w:type="spellEnd"/>
      <w:r>
        <w:t xml:space="preserve"> 9,1-10) diskutiert Details extensiv.</w:t>
      </w:r>
    </w:p>
    <w:p w14:paraId="750F0E6F" w14:textId="1937161B" w:rsidR="00D00836" w:rsidRDefault="00D00836" w:rsidP="00C178BF">
      <w:pPr>
        <w:pStyle w:val="whitespace-normal"/>
      </w:pPr>
      <w:r>
        <w:rPr>
          <w:rStyle w:val="Fett"/>
        </w:rPr>
        <w:t>Die LXX</w:t>
      </w:r>
      <w:r>
        <w:t xml:space="preserve"> übersetzt </w:t>
      </w:r>
      <w:r>
        <w:rPr>
          <w:rtl/>
        </w:rPr>
        <w:t>שַׁעַטְנֵז</w:t>
      </w:r>
      <w:r>
        <w:t xml:space="preserve"> (Mischgewebe) mit </w:t>
      </w:r>
      <w:proofErr w:type="spellStart"/>
      <w:r>
        <w:t>κί</w:t>
      </w:r>
      <w:proofErr w:type="spellEnd"/>
      <w:r>
        <w:t>βδηλον (gefälschtes, vermischtes) – ein Begriff, der Unreinheit oder Vermischung bezeichnet.</w:t>
      </w:r>
    </w:p>
    <w:p w14:paraId="4B18385E" w14:textId="77777777" w:rsidR="00C178BF" w:rsidRDefault="00C178BF" w:rsidP="00C178BF">
      <w:pPr>
        <w:pStyle w:val="whitespace-normal"/>
      </w:pPr>
      <w:r>
        <w:rPr>
          <w:rStyle w:val="Fett"/>
          <w:rFonts w:eastAsiaTheme="majorEastAsia"/>
        </w:rPr>
        <w:t>Die Satzstruktur:</w:t>
      </w:r>
      <w:r>
        <w:t xml:space="preserve"> Verbot (nicht anziehen sollst du Mischgewebe, Wolle und Leinen zusammen).</w:t>
      </w:r>
    </w:p>
    <w:p w14:paraId="7B375519" w14:textId="77777777" w:rsidR="00C178BF" w:rsidRDefault="00C178BF" w:rsidP="00C178BF">
      <w:pPr>
        <w:pStyle w:val="whitespace-normal"/>
      </w:pPr>
      <w:r>
        <w:t>Der Vers verbietet: Du darfst kein Mischgewebe aus Wolle und Leinen tragen.</w:t>
      </w:r>
    </w:p>
    <w:p w14:paraId="14C88FF4" w14:textId="77777777" w:rsidR="00C178BF" w:rsidRPr="00B27A64" w:rsidRDefault="00C178BF" w:rsidP="00C178BF">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22,12</w:t>
      </w:r>
    </w:p>
    <w:p w14:paraId="6D473E75" w14:textId="77777777" w:rsidR="00C178BF" w:rsidRDefault="00C178BF" w:rsidP="00C178BF">
      <w:pPr>
        <w:pStyle w:val="whitespace-normal"/>
      </w:pPr>
      <w:r>
        <w:rPr>
          <w:rStyle w:val="Fett"/>
          <w:rFonts w:eastAsiaTheme="majorEastAsia"/>
        </w:rPr>
        <w:t>Hebräisch:</w:t>
      </w:r>
      <w:r>
        <w:t xml:space="preserve"> </w:t>
      </w:r>
      <w:r>
        <w:rPr>
          <w:rtl/>
        </w:rPr>
        <w:t>גְּדִלִ֖ים תַּעֲשֶׂה־לָּ֑ךְ עַל־אַרְבַּ֛ע כַּנְפ֥וֹת כְּסוּתְךָ֖ אֲשֶׁ֥ר תְּכַסֶּה־בָּֽהּ׃</w:t>
      </w:r>
    </w:p>
    <w:p w14:paraId="6133FEE5" w14:textId="77777777" w:rsidR="00C178BF" w:rsidRDefault="00C178BF" w:rsidP="00C178BF">
      <w:pPr>
        <w:pStyle w:val="whitespace-normal"/>
      </w:pPr>
      <w:r>
        <w:rPr>
          <w:rStyle w:val="Fett"/>
          <w:rFonts w:eastAsiaTheme="majorEastAsia"/>
        </w:rPr>
        <w:t>Deutsch:</w:t>
      </w:r>
      <w:r>
        <w:t xml:space="preserve"> Quasten sollst du dir machen an den vier Zipfeln deines Obergewandes, womit du dich bedeckst.</w:t>
      </w:r>
    </w:p>
    <w:p w14:paraId="22C682B7" w14:textId="77777777" w:rsidR="00C178BF" w:rsidRDefault="004F5CEB" w:rsidP="00C178BF">
      <w:r>
        <w:rPr>
          <w:noProof/>
        </w:rPr>
        <w:pict w14:anchorId="76916561">
          <v:rect id="_x0000_i1607" style="width:0;height:1.5pt" o:hralign="center" o:hrstd="t" o:hr="t" fillcolor="#a0a0a0" stroked="f"/>
        </w:pict>
      </w:r>
    </w:p>
    <w:p w14:paraId="3491730F" w14:textId="1AE5B95B" w:rsidR="00C178BF" w:rsidRDefault="00C178BF" w:rsidP="00C178BF">
      <w:pPr>
        <w:pStyle w:val="whitespace-normal"/>
      </w:pPr>
      <w:r>
        <w:rPr>
          <w:rStyle w:val="Fett"/>
          <w:rFonts w:eastAsiaTheme="majorEastAsia"/>
        </w:rPr>
        <w:t>Kommentar:</w:t>
      </w:r>
      <w:r>
        <w:t xml:space="preserve"> </w:t>
      </w:r>
      <w:r>
        <w:rPr>
          <w:rStyle w:val="Fett"/>
          <w:rFonts w:eastAsiaTheme="majorEastAsia"/>
          <w:rtl/>
        </w:rPr>
        <w:t>גְּדִלִים תַּעֲשֶׂה־לָּךְ עַל־אַרְבַּע כַּנְפוֹת כְּסוּתְךָ אֲשֶׁר תְּכַסֶּה־בָּהּ</w:t>
      </w:r>
      <w:r>
        <w:rPr>
          <w:rtl/>
        </w:rPr>
        <w:t xml:space="preserve"> </w:t>
      </w:r>
      <w:r>
        <w:t xml:space="preserve">ist das Gebot: </w:t>
      </w:r>
      <w:r>
        <w:rPr>
          <w:rStyle w:val="Fett"/>
          <w:rFonts w:eastAsiaTheme="majorEastAsia"/>
          <w:rtl/>
        </w:rPr>
        <w:t>גְּדִלִים תַּעֲשֶׂה־לָּךְ</w:t>
      </w:r>
      <w:r>
        <w:rPr>
          <w:rtl/>
        </w:rPr>
        <w:t xml:space="preserve"> </w:t>
      </w:r>
      <w:r>
        <w:t>(</w:t>
      </w:r>
      <w:r>
        <w:rPr>
          <w:rStyle w:val="Fett"/>
          <w:rFonts w:eastAsiaTheme="majorEastAsia"/>
          <w:rtl/>
        </w:rPr>
        <w:t>גְּדִל</w:t>
      </w:r>
      <w:r>
        <w:t xml:space="preserve">, „Quaste, Franse, Troddel" – nur hier und </w:t>
      </w:r>
      <w:r w:rsidR="00664EB6">
        <w:t>1Kön</w:t>
      </w:r>
      <w:r>
        <w:t xml:space="preserve"> 7,17, Plural, </w:t>
      </w:r>
      <w:r>
        <w:rPr>
          <w:rStyle w:val="Fett"/>
          <w:rFonts w:eastAsiaTheme="majorEastAsia"/>
          <w:rtl/>
        </w:rPr>
        <w:t>עשׂה</w:t>
      </w:r>
      <w:r>
        <w:t xml:space="preserve">, Qal Imperfekt, 2. Person Maskulinum Singular, </w:t>
      </w:r>
      <w:r>
        <w:rPr>
          <w:rStyle w:val="Fett"/>
          <w:rFonts w:eastAsiaTheme="majorEastAsia"/>
          <w:rtl/>
        </w:rPr>
        <w:t>לָּךְ</w:t>
      </w:r>
      <w:r>
        <w:t xml:space="preserve">), </w:t>
      </w:r>
      <w:r>
        <w:rPr>
          <w:rStyle w:val="Fett"/>
          <w:rFonts w:eastAsiaTheme="majorEastAsia"/>
          <w:rtl/>
        </w:rPr>
        <w:t>עַל־אַרְבַּע כַּנְפוֹת כְּסוּתְךָ</w:t>
      </w:r>
      <w:r>
        <w:rPr>
          <w:rtl/>
        </w:rPr>
        <w:t xml:space="preserve"> </w:t>
      </w:r>
      <w:r>
        <w:t xml:space="preserve">(Präposition </w:t>
      </w:r>
      <w:r>
        <w:rPr>
          <w:rStyle w:val="Fett"/>
          <w:rFonts w:eastAsiaTheme="majorEastAsia"/>
          <w:rtl/>
        </w:rPr>
        <w:t>עַל</w:t>
      </w:r>
      <w:r>
        <w:rPr>
          <w:rtl/>
        </w:rPr>
        <w:t xml:space="preserve"> </w:t>
      </w:r>
      <w:r>
        <w:t xml:space="preserve">mit </w:t>
      </w:r>
      <w:r>
        <w:rPr>
          <w:rStyle w:val="Fett"/>
          <w:rFonts w:eastAsiaTheme="majorEastAsia"/>
          <w:rtl/>
        </w:rPr>
        <w:t>אַרְבַּע</w:t>
      </w:r>
      <w:r>
        <w:t xml:space="preserve">, „vier", </w:t>
      </w:r>
      <w:r>
        <w:rPr>
          <w:rStyle w:val="Fett"/>
          <w:rFonts w:eastAsiaTheme="majorEastAsia"/>
          <w:rtl/>
        </w:rPr>
        <w:t>כָּנָף</w:t>
      </w:r>
      <w:r>
        <w:t xml:space="preserve">, „Zipfel, Ecke, Flügel", Plural Construct, </w:t>
      </w:r>
      <w:r>
        <w:rPr>
          <w:rStyle w:val="Fett"/>
          <w:rFonts w:eastAsiaTheme="majorEastAsia"/>
          <w:rtl/>
        </w:rPr>
        <w:t>כְּסוּת</w:t>
      </w:r>
      <w:r>
        <w:t xml:space="preserve">, „Bedeckung, Gewand", mit Suffix 2. Person Maskulinum Singular), </w:t>
      </w:r>
      <w:r>
        <w:rPr>
          <w:rStyle w:val="Fett"/>
          <w:rFonts w:eastAsiaTheme="majorEastAsia"/>
          <w:rtl/>
        </w:rPr>
        <w:t>אֲשֶׁר תְּכַסֶּה־בָּהּ</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כסה</w:t>
      </w:r>
      <w:r>
        <w:t xml:space="preserve">, Piel Imperfekt, 2. Person Maskulinum Singular, „bedecken", </w:t>
      </w:r>
      <w:r>
        <w:rPr>
          <w:rStyle w:val="Fett"/>
          <w:rFonts w:eastAsiaTheme="majorEastAsia"/>
          <w:rtl/>
        </w:rPr>
        <w:t>בָּהּ</w:t>
      </w:r>
      <w:r>
        <w:t xml:space="preserve">, Präposition </w:t>
      </w:r>
      <w:r>
        <w:rPr>
          <w:rStyle w:val="Fett"/>
          <w:rFonts w:eastAsiaTheme="majorEastAsia"/>
          <w:rtl/>
        </w:rPr>
        <w:t>בְּ</w:t>
      </w:r>
      <w:r>
        <w:rPr>
          <w:rtl/>
        </w:rPr>
        <w:t xml:space="preserve"> </w:t>
      </w:r>
      <w:r>
        <w:t>mit Suffix 3. Person Femininum Singular).</w:t>
      </w:r>
    </w:p>
    <w:p w14:paraId="4AF7D25A" w14:textId="1F9A0835" w:rsidR="00C178BF" w:rsidRDefault="00C178BF" w:rsidP="00C178BF">
      <w:pPr>
        <w:pStyle w:val="whitespace-normal"/>
      </w:pPr>
      <w:r>
        <w:t xml:space="preserve">Der Vers gebietet das Anbringen von </w:t>
      </w:r>
      <w:r>
        <w:rPr>
          <w:rStyle w:val="Fett"/>
          <w:rFonts w:eastAsiaTheme="majorEastAsia"/>
          <w:rtl/>
        </w:rPr>
        <w:t>גְּדִלִים</w:t>
      </w:r>
      <w:r>
        <w:rPr>
          <w:rtl/>
        </w:rPr>
        <w:t xml:space="preserve"> </w:t>
      </w:r>
      <w:r>
        <w:t xml:space="preserve">(„Quasten") an den vier Ecken des Gewandes. Das Wort </w:t>
      </w:r>
      <w:r>
        <w:rPr>
          <w:rStyle w:val="Fett"/>
          <w:rFonts w:eastAsiaTheme="majorEastAsia"/>
          <w:rtl/>
        </w:rPr>
        <w:t>גְּדִל</w:t>
      </w:r>
      <w:r>
        <w:rPr>
          <w:rtl/>
        </w:rPr>
        <w:t xml:space="preserve"> </w:t>
      </w:r>
      <w:r>
        <w:t xml:space="preserve">(„Quaste") erscheint nur hier und </w:t>
      </w:r>
      <w:r w:rsidR="00664EB6">
        <w:t>1Kön</w:t>
      </w:r>
      <w:r>
        <w:t xml:space="preserve"> 7,17. Die parallele Stelle Num 4,38 verwendet </w:t>
      </w:r>
      <w:r>
        <w:rPr>
          <w:rStyle w:val="Fett"/>
          <w:rFonts w:eastAsiaTheme="majorEastAsia"/>
          <w:rtl/>
        </w:rPr>
        <w:t>צִיצִת</w:t>
      </w:r>
      <w:r>
        <w:rPr>
          <w:rtl/>
        </w:rPr>
        <w:t xml:space="preserve"> </w:t>
      </w:r>
      <w:r>
        <w:t xml:space="preserve">(„Franse, Quaste"). Das Gebot: </w:t>
      </w:r>
      <w:r>
        <w:rPr>
          <w:rStyle w:val="Fett"/>
          <w:rFonts w:eastAsiaTheme="majorEastAsia"/>
          <w:rtl/>
        </w:rPr>
        <w:t>גְּדִלִים תַּעֲשֶׂה־לָּךְ</w:t>
      </w:r>
      <w:r>
        <w:rPr>
          <w:rtl/>
        </w:rPr>
        <w:t xml:space="preserve"> </w:t>
      </w:r>
      <w:r>
        <w:t xml:space="preserve">(„Quasten sollst du machen dir"). Die Ortsangabe: </w:t>
      </w:r>
      <w:r>
        <w:rPr>
          <w:rStyle w:val="Fett"/>
          <w:rFonts w:eastAsiaTheme="majorEastAsia"/>
          <w:rtl/>
        </w:rPr>
        <w:t>עַל־אַרְבַּע כַּנְפוֹת כְּסוּתְךָ</w:t>
      </w:r>
      <w:r>
        <w:rPr>
          <w:rtl/>
        </w:rPr>
        <w:t xml:space="preserve"> </w:t>
      </w:r>
      <w:r>
        <w:t xml:space="preserve">(„auf den vier Ecken deiner Bedeckung"). Das Wort </w:t>
      </w:r>
      <w:r>
        <w:rPr>
          <w:rStyle w:val="Fett"/>
          <w:rFonts w:eastAsiaTheme="majorEastAsia"/>
          <w:rtl/>
        </w:rPr>
        <w:t>כָּנָף</w:t>
      </w:r>
      <w:r>
        <w:rPr>
          <w:rtl/>
        </w:rPr>
        <w:t xml:space="preserve"> </w:t>
      </w:r>
      <w:r>
        <w:t xml:space="preserve">(„Zipfel, Ecke, Flügel") bezeichnet hier die Ecken des rechteckigen Gewandes. </w:t>
      </w:r>
      <w:r>
        <w:rPr>
          <w:rStyle w:val="Fett"/>
          <w:rFonts w:eastAsiaTheme="majorEastAsia"/>
          <w:rtl/>
        </w:rPr>
        <w:t>כְּסוּת</w:t>
      </w:r>
      <w:r>
        <w:rPr>
          <w:rtl/>
        </w:rPr>
        <w:t xml:space="preserve"> </w:t>
      </w:r>
      <w:r>
        <w:lastRenderedPageBreak/>
        <w:t xml:space="preserve">(„Bedeckung") ist das Obergewand. Die Formel </w:t>
      </w:r>
      <w:r>
        <w:rPr>
          <w:rStyle w:val="Fett"/>
          <w:rFonts w:eastAsiaTheme="majorEastAsia"/>
          <w:rtl/>
        </w:rPr>
        <w:t>אֲשֶׁר תְּכַסֶּה־בָּהּ</w:t>
      </w:r>
      <w:r>
        <w:rPr>
          <w:rtl/>
        </w:rPr>
        <w:t xml:space="preserve"> </w:t>
      </w:r>
      <w:r>
        <w:t>(„mit dem du dich bedeckst") betont: das tatsächlich getragene Obergewand.</w:t>
      </w:r>
    </w:p>
    <w:p w14:paraId="204DA09D" w14:textId="7F9D46E9" w:rsidR="00C178BF" w:rsidRDefault="00C178BF" w:rsidP="00C178BF">
      <w:pPr>
        <w:pStyle w:val="whitespace-normal"/>
      </w:pPr>
      <w:r>
        <w:t xml:space="preserve">Der Zweck der Quasten wird in Num 15,39-40 erklärt: Erinnerung an die Gebote JHWHs. Die Quasten dienten als ständige visuelle Erinnerung an die Verpflichtung, JHWHs Gebote zu halten. Die jüdische Tradition entwickelte den </w:t>
      </w:r>
      <w:r>
        <w:rPr>
          <w:rStyle w:val="Fett"/>
          <w:rFonts w:eastAsiaTheme="majorEastAsia"/>
        </w:rPr>
        <w:t>Tallit</w:t>
      </w:r>
      <w:r>
        <w:t xml:space="preserve"> (Gebetsschal) mit </w:t>
      </w:r>
      <w:r>
        <w:rPr>
          <w:rStyle w:val="Fett"/>
          <w:rFonts w:eastAsiaTheme="majorEastAsia"/>
        </w:rPr>
        <w:t>Zizit</w:t>
      </w:r>
      <w:r>
        <w:t xml:space="preserve"> (Quasten) daraus.</w:t>
      </w:r>
    </w:p>
    <w:p w14:paraId="4FB649C9" w14:textId="60F7792C" w:rsidR="00D00836" w:rsidRDefault="00D00836" w:rsidP="00C178BF">
      <w:pPr>
        <w:pStyle w:val="whitespace-normal"/>
      </w:pPr>
      <w:r>
        <w:rPr>
          <w:rStyle w:val="Fett"/>
        </w:rPr>
        <w:t>Die LXX</w:t>
      </w:r>
      <w:r>
        <w:t xml:space="preserve"> übersetzt </w:t>
      </w:r>
      <w:r>
        <w:rPr>
          <w:rtl/>
        </w:rPr>
        <w:t>גְּדִלִים</w:t>
      </w:r>
      <w:r>
        <w:t xml:space="preserve"> (Quasten, Troddeln) mit </w:t>
      </w:r>
      <w:proofErr w:type="spellStart"/>
      <w:r>
        <w:t>στρε</w:t>
      </w:r>
      <w:proofErr w:type="spellEnd"/>
      <w:r>
        <w:t>πτά (Gedrehtes, Geflochtenes) – ein Partizip, das die Herstellungsweise betont.</w:t>
      </w:r>
    </w:p>
    <w:p w14:paraId="5D175950" w14:textId="77777777" w:rsidR="00C178BF" w:rsidRDefault="00C178BF" w:rsidP="00C178BF">
      <w:pPr>
        <w:pStyle w:val="whitespace-normal"/>
      </w:pPr>
      <w:r>
        <w:rPr>
          <w:rStyle w:val="Fett"/>
          <w:rFonts w:eastAsiaTheme="majorEastAsia"/>
        </w:rPr>
        <w:t>Die Satzstruktur:</w:t>
      </w:r>
      <w:r>
        <w:t xml:space="preserve"> Gebot (Quasten machen sollst du dir auf den vier Ecken deiner Bedeckung, mit der du dich bedeckst).</w:t>
      </w:r>
    </w:p>
    <w:p w14:paraId="63CA2754" w14:textId="77777777" w:rsidR="00C178BF" w:rsidRDefault="00C178BF" w:rsidP="00C178BF">
      <w:pPr>
        <w:pStyle w:val="whitespace-normal"/>
      </w:pPr>
      <w:r>
        <w:t>Der Vers gebietet: Mache Quasten an den vier Ecken deines Obergewandes.</w:t>
      </w:r>
    </w:p>
    <w:p w14:paraId="5D53B67A" w14:textId="77777777" w:rsidR="00C178BF" w:rsidRPr="00B27A64" w:rsidRDefault="00C178BF" w:rsidP="00C178BF">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22,13</w:t>
      </w:r>
    </w:p>
    <w:p w14:paraId="6F8C54E9" w14:textId="77777777" w:rsidR="00C178BF" w:rsidRDefault="00C178BF" w:rsidP="00C178BF">
      <w:pPr>
        <w:pStyle w:val="whitespace-normal"/>
      </w:pPr>
      <w:r>
        <w:rPr>
          <w:rStyle w:val="Fett"/>
          <w:rFonts w:eastAsiaTheme="majorEastAsia"/>
        </w:rPr>
        <w:t>Hebräisch:</w:t>
      </w:r>
      <w:r>
        <w:t xml:space="preserve"> </w:t>
      </w:r>
      <w:r>
        <w:rPr>
          <w:rtl/>
        </w:rPr>
        <w:t>כִּֽי־יִקַּ֥ח אִ֖ישׁ אִשָּׁ֑ה וּבָ֥א אֵלֶ֖יהָ וּשְׂנֵאָֽהּ׃</w:t>
      </w:r>
    </w:p>
    <w:p w14:paraId="75A272BD" w14:textId="77777777" w:rsidR="00C178BF" w:rsidRDefault="00C178BF" w:rsidP="00C178BF">
      <w:pPr>
        <w:pStyle w:val="whitespace-normal"/>
      </w:pPr>
      <w:r>
        <w:rPr>
          <w:rStyle w:val="Fett"/>
          <w:rFonts w:eastAsiaTheme="majorEastAsia"/>
        </w:rPr>
        <w:t>Deutsch:</w:t>
      </w:r>
      <w:r>
        <w:t xml:space="preserve"> Wenn ein Mann eine Frau nimmt und zu ihr eingeht und sie dann hasst</w:t>
      </w:r>
    </w:p>
    <w:p w14:paraId="7418C5DA" w14:textId="77777777" w:rsidR="00C178BF" w:rsidRDefault="004F5CEB" w:rsidP="00C178BF">
      <w:r>
        <w:rPr>
          <w:noProof/>
        </w:rPr>
        <w:pict w14:anchorId="42EB216A">
          <v:rect id="_x0000_i1608" style="width:0;height:1.5pt" o:hralign="center" o:hrstd="t" o:hr="t" fillcolor="#a0a0a0" stroked="f"/>
        </w:pict>
      </w:r>
    </w:p>
    <w:p w14:paraId="756B2C83" w14:textId="77777777" w:rsidR="00C178BF" w:rsidRDefault="00C178BF" w:rsidP="00C178BF">
      <w:pPr>
        <w:pStyle w:val="whitespace-normal"/>
      </w:pPr>
      <w:r>
        <w:rPr>
          <w:rStyle w:val="Fett"/>
          <w:rFonts w:eastAsiaTheme="majorEastAsia"/>
        </w:rPr>
        <w:t>Kommentar:</w:t>
      </w:r>
      <w:r>
        <w:t xml:space="preserve"> </w:t>
      </w:r>
      <w:r>
        <w:rPr>
          <w:rStyle w:val="Fett"/>
          <w:rFonts w:eastAsiaTheme="majorEastAsia"/>
          <w:rtl/>
        </w:rPr>
        <w:t>כִּי־יִקַּח אִישׁ אִשָּׁה וּבָא אֵלֶיהָ וּשְׂנֵאָהּ</w:t>
      </w:r>
      <w:r>
        <w:rPr>
          <w:rtl/>
        </w:rPr>
        <w:t xml:space="preserve"> </w:t>
      </w:r>
      <w:r>
        <w:t xml:space="preserve">ist die Bedingung mit drei Verben: </w:t>
      </w:r>
      <w:r>
        <w:rPr>
          <w:rStyle w:val="Fett"/>
          <w:rFonts w:eastAsiaTheme="majorEastAsia"/>
          <w:rtl/>
        </w:rPr>
        <w:t>כִּי־יִקַּח אִישׁ אִשָּׁה</w:t>
      </w:r>
      <w:r>
        <w:rPr>
          <w:rtl/>
        </w:rPr>
        <w:t xml:space="preserve"> </w:t>
      </w:r>
      <w:r>
        <w:t>(</w:t>
      </w:r>
      <w:r>
        <w:rPr>
          <w:rStyle w:val="Fett"/>
          <w:rFonts w:eastAsiaTheme="majorEastAsia"/>
          <w:rtl/>
        </w:rPr>
        <w:t>כִּי</w:t>
      </w:r>
      <w:r>
        <w:t xml:space="preserve">, „wenn", mit </w:t>
      </w:r>
      <w:r>
        <w:rPr>
          <w:rStyle w:val="Fett"/>
          <w:rFonts w:eastAsiaTheme="majorEastAsia"/>
          <w:rtl/>
        </w:rPr>
        <w:t>לקח</w:t>
      </w:r>
      <w:r>
        <w:t xml:space="preserve">, Qal Imperfekt, 3. Person Maskulinum Singular, „nehmen", </w:t>
      </w:r>
      <w:r>
        <w:rPr>
          <w:rStyle w:val="Fett"/>
          <w:rFonts w:eastAsiaTheme="majorEastAsia"/>
          <w:rtl/>
        </w:rPr>
        <w:t>אִישׁ</w:t>
      </w:r>
      <w:r>
        <w:rPr>
          <w:rtl/>
        </w:rPr>
        <w:t xml:space="preserve"> </w:t>
      </w:r>
      <w:r>
        <w:t xml:space="preserve">als Subjekt, </w:t>
      </w:r>
      <w:r>
        <w:rPr>
          <w:rStyle w:val="Fett"/>
          <w:rFonts w:eastAsiaTheme="majorEastAsia"/>
          <w:rtl/>
        </w:rPr>
        <w:t>אִשָּׁה</w:t>
      </w:r>
      <w:r>
        <w:rPr>
          <w:rtl/>
        </w:rPr>
        <w:t xml:space="preserve"> </w:t>
      </w:r>
      <w:r>
        <w:t xml:space="preserve">– die technische Formel für Eheschließung), </w:t>
      </w:r>
      <w:r>
        <w:rPr>
          <w:rStyle w:val="Fett"/>
          <w:rFonts w:eastAsiaTheme="majorEastAsia"/>
          <w:rtl/>
        </w:rPr>
        <w:t>וּבָא אֵלֶיהָ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בוא</w:t>
      </w:r>
      <w:r>
        <w:t xml:space="preserve">, Qal Perfekt, 3. Person Maskulinum Singular, „kommen, eingehen", Präposition </w:t>
      </w:r>
      <w:r>
        <w:rPr>
          <w:rStyle w:val="Fett"/>
          <w:rFonts w:eastAsiaTheme="majorEastAsia"/>
          <w:rtl/>
        </w:rPr>
        <w:t>אֶל</w:t>
      </w:r>
      <w:r>
        <w:rPr>
          <w:rtl/>
        </w:rPr>
        <w:t xml:space="preserve"> </w:t>
      </w:r>
      <w:r>
        <w:t xml:space="preserve">mit Suffix 3. Person Femininum Singular – </w:t>
      </w:r>
      <w:r>
        <w:rPr>
          <w:rStyle w:val="Fett"/>
          <w:rFonts w:eastAsiaTheme="majorEastAsia"/>
          <w:rtl/>
        </w:rPr>
        <w:t>בּוֹא אֶל</w:t>
      </w:r>
      <w:r>
        <w:rPr>
          <w:rtl/>
        </w:rPr>
        <w:t xml:space="preserve"> </w:t>
      </w:r>
      <w:r>
        <w:t xml:space="preserve">ist Euphemismus für ehelichen Verkehr, mit </w:t>
      </w:r>
      <w:r>
        <w:rPr>
          <w:rStyle w:val="Fett"/>
          <w:rFonts w:eastAsiaTheme="majorEastAsia"/>
        </w:rPr>
        <w:t>Waw</w:t>
      </w:r>
      <w:r>
        <w:t xml:space="preserve"> consecutives Perfekt), </w:t>
      </w:r>
      <w:r>
        <w:rPr>
          <w:rStyle w:val="Fett"/>
          <w:rFonts w:eastAsiaTheme="majorEastAsia"/>
          <w:rtl/>
        </w:rPr>
        <w:t>וּשְׂנֵאָהּ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שׂנא</w:t>
      </w:r>
      <w:r>
        <w:t xml:space="preserve">, Qal Perfekt, 3. Person Maskulinum Singular, „hassen", mit Suffix 3. Person Femininum Singular, mit </w:t>
      </w:r>
      <w:r>
        <w:rPr>
          <w:rStyle w:val="Fett"/>
          <w:rFonts w:eastAsiaTheme="majorEastAsia"/>
        </w:rPr>
        <w:t>Waw</w:t>
      </w:r>
      <w:r>
        <w:t xml:space="preserve"> consecutives Perfekt).</w:t>
      </w:r>
    </w:p>
    <w:p w14:paraId="2B978238" w14:textId="77777777" w:rsidR="00C178BF" w:rsidRDefault="00C178BF" w:rsidP="00C178BF">
      <w:pPr>
        <w:pStyle w:val="whitespace-normal"/>
      </w:pPr>
      <w:r>
        <w:t xml:space="preserve">Der Vers leitet einen neuen Abschnitt ein: Gesetze über Eheanschuldigungen (V. 13-21). Die Bedingung beschreibt drei Schritte: (1) </w:t>
      </w:r>
      <w:r>
        <w:rPr>
          <w:rStyle w:val="Fett"/>
          <w:rFonts w:eastAsiaTheme="majorEastAsia"/>
          <w:rtl/>
        </w:rPr>
        <w:t>כִּי־יִקַּח אִישׁ אִשָּׁה</w:t>
      </w:r>
      <w:r>
        <w:rPr>
          <w:rtl/>
        </w:rPr>
        <w:t xml:space="preserve"> </w:t>
      </w:r>
      <w:r>
        <w:t xml:space="preserve">(„wenn nimmt ein Mann eine Frau") – rechtliche Eheschließung, (2) </w:t>
      </w:r>
      <w:r>
        <w:rPr>
          <w:rStyle w:val="Fett"/>
          <w:rFonts w:eastAsiaTheme="majorEastAsia"/>
          <w:rtl/>
        </w:rPr>
        <w:t>וּבָא אֵלֶיהָ</w:t>
      </w:r>
      <w:r>
        <w:rPr>
          <w:rtl/>
        </w:rPr>
        <w:t xml:space="preserve"> </w:t>
      </w:r>
      <w:r>
        <w:t xml:space="preserve">(„und eingeht zu ihr") – Ehevollzug, (3) </w:t>
      </w:r>
      <w:r>
        <w:rPr>
          <w:rStyle w:val="Fett"/>
          <w:rFonts w:eastAsiaTheme="majorEastAsia"/>
          <w:rtl/>
        </w:rPr>
        <w:t>וּשְׂנֵאָהּ</w:t>
      </w:r>
      <w:r>
        <w:rPr>
          <w:rtl/>
        </w:rPr>
        <w:t xml:space="preserve"> </w:t>
      </w:r>
      <w:r>
        <w:t xml:space="preserve">(„und hasst sie") – Abneigung entwickelt sich. Das Verb </w:t>
      </w:r>
      <w:r>
        <w:rPr>
          <w:rStyle w:val="Fett"/>
          <w:rFonts w:eastAsiaTheme="majorEastAsia"/>
          <w:rtl/>
        </w:rPr>
        <w:t>שׂנא</w:t>
      </w:r>
      <w:r>
        <w:rPr>
          <w:rtl/>
        </w:rPr>
        <w:t xml:space="preserve"> </w:t>
      </w:r>
      <w:r>
        <w:t xml:space="preserve">(„hassen") kann auch „weniger lieben, zurücksetzen" bedeuten (vgl. 21,15-17: die </w:t>
      </w:r>
      <w:r>
        <w:rPr>
          <w:rStyle w:val="Fett"/>
          <w:rFonts w:eastAsiaTheme="majorEastAsia"/>
          <w:rtl/>
        </w:rPr>
        <w:t>שְׂנוּאָה</w:t>
      </w:r>
      <w:r>
        <w:t>, „gehasste/ungeliebte" Frau). V. 14ff. werden die problematische Folge beschreiben: falsche Anschuldigung der Frau.</w:t>
      </w:r>
    </w:p>
    <w:p w14:paraId="6E6B7615" w14:textId="77777777" w:rsidR="00C178BF" w:rsidRDefault="00C178BF" w:rsidP="00C178BF">
      <w:pPr>
        <w:pStyle w:val="whitespace-normal"/>
      </w:pPr>
      <w:r>
        <w:rPr>
          <w:rStyle w:val="Fett"/>
          <w:rFonts w:eastAsiaTheme="majorEastAsia"/>
        </w:rPr>
        <w:t>Die Satzstruktur:</w:t>
      </w:r>
      <w:r>
        <w:t xml:space="preserve"> Bedingung mit drei Verben (wenn nehmen wird ein Mann eine Frau, und eingeht zu ihr, und hasst sie).</w:t>
      </w:r>
    </w:p>
    <w:p w14:paraId="2B9DF85E" w14:textId="77777777" w:rsidR="00C178BF" w:rsidRDefault="00C178BF" w:rsidP="00C178BF">
      <w:pPr>
        <w:pStyle w:val="whitespace-normal"/>
      </w:pPr>
      <w:r>
        <w:t>Der Vers setzt den Fall: Ein Mann heiratet eine Frau, vollzieht die Ehe, und entwickelt dann Abneigung gegen sie.</w:t>
      </w:r>
    </w:p>
    <w:p w14:paraId="664E07FC" w14:textId="77777777" w:rsidR="00C178BF" w:rsidRPr="00B27A64" w:rsidRDefault="00C178BF" w:rsidP="00C178BF">
      <w:pPr>
        <w:pStyle w:val="berschrift1"/>
        <w:rPr>
          <w:rFonts w:ascii="Times New Roman" w:hAnsi="Times New Roman"/>
          <w:color w:val="auto"/>
          <w:sz w:val="36"/>
          <w:szCs w:val="36"/>
        </w:rPr>
      </w:pPr>
      <w:r w:rsidRPr="00B27A64">
        <w:rPr>
          <w:rStyle w:val="Fett"/>
          <w:rFonts w:ascii="Times New Roman" w:hAnsi="Times New Roman"/>
          <w:color w:val="auto"/>
          <w:sz w:val="36"/>
          <w:szCs w:val="36"/>
        </w:rPr>
        <w:lastRenderedPageBreak/>
        <w:t>Deuteronomium 22,14</w:t>
      </w:r>
    </w:p>
    <w:p w14:paraId="5A954695" w14:textId="77777777" w:rsidR="00C178BF" w:rsidRDefault="00C178BF" w:rsidP="00C178BF">
      <w:pPr>
        <w:pStyle w:val="whitespace-normal"/>
      </w:pPr>
      <w:r>
        <w:rPr>
          <w:rStyle w:val="Fett"/>
          <w:rFonts w:eastAsiaTheme="majorEastAsia"/>
        </w:rPr>
        <w:t>Hebräisch:</w:t>
      </w:r>
      <w:r>
        <w:t xml:space="preserve"> </w:t>
      </w:r>
      <w:r>
        <w:rPr>
          <w:rtl/>
        </w:rPr>
        <w:t>וְשָׂ֥ם לָהּ֙ עֲלִילֹ֣ת דְּבָרִ֔ים וְהוֹצִ֥יא עָלֶ֖יהָ שֵׁ֣ם רָ֑ע וְאָמַ֗ר אֶת־הָאִשָּׁ֤ה הַזֹּאת֙ לָקַ֔חְתִּי וָאֶקְרַ֣ב אֵלֶ֔יהָ וְלֹא־מָצָ֥אתִי לָ֖הּ בְּתוּלִֽים׃</w:t>
      </w:r>
    </w:p>
    <w:p w14:paraId="2BC19B85" w14:textId="77777777" w:rsidR="00C178BF" w:rsidRDefault="00C178BF" w:rsidP="00C178BF">
      <w:pPr>
        <w:pStyle w:val="whitespace-normal"/>
      </w:pPr>
      <w:r>
        <w:rPr>
          <w:rStyle w:val="Fett"/>
          <w:rFonts w:eastAsiaTheme="majorEastAsia"/>
        </w:rPr>
        <w:t>Deutsch:</w:t>
      </w:r>
      <w:r>
        <w:t xml:space="preserve"> und ihr schändliche Dinge zur Last legt und einen bösen Namen über sie bringt und spricht: Diese Frau habe ich genommen und mich ihr genähert und habe an ihr nicht die Zeichen der Jungfrauschaft gefunden,</w:t>
      </w:r>
    </w:p>
    <w:p w14:paraId="3D780B8B" w14:textId="77777777" w:rsidR="00C178BF" w:rsidRDefault="004F5CEB" w:rsidP="00C178BF">
      <w:r>
        <w:rPr>
          <w:noProof/>
        </w:rPr>
        <w:pict w14:anchorId="516DBDFE">
          <v:rect id="_x0000_i1609" style="width:0;height:1.5pt" o:hralign="center" o:hrstd="t" o:hr="t" fillcolor="#a0a0a0" stroked="f"/>
        </w:pict>
      </w:r>
    </w:p>
    <w:p w14:paraId="415F9F40" w14:textId="77777777" w:rsidR="00C178BF" w:rsidRDefault="00C178BF" w:rsidP="00C178BF">
      <w:pPr>
        <w:pStyle w:val="whitespace-normal"/>
      </w:pPr>
      <w:r>
        <w:rPr>
          <w:rStyle w:val="Fett"/>
          <w:rFonts w:eastAsiaTheme="majorEastAsia"/>
        </w:rPr>
        <w:t>Kommentar:</w:t>
      </w:r>
      <w:r>
        <w:t xml:space="preserve"> </w:t>
      </w:r>
      <w:r>
        <w:rPr>
          <w:rStyle w:val="Fett"/>
          <w:rFonts w:eastAsiaTheme="majorEastAsia"/>
          <w:rtl/>
        </w:rPr>
        <w:t>וְשָׂם לָהּ עֲלִילֹת דְּבָרִים וְהוֹצִיא עָלֶיהָ שֵׁם רָע</w:t>
      </w:r>
      <w:r>
        <w:rPr>
          <w:rtl/>
        </w:rPr>
        <w:t xml:space="preserve"> </w:t>
      </w:r>
      <w:r>
        <w:t xml:space="preserve">sind zwei Handlungen: </w:t>
      </w:r>
      <w:r>
        <w:rPr>
          <w:rStyle w:val="Fett"/>
          <w:rFonts w:eastAsiaTheme="majorEastAsia"/>
          <w:rtl/>
        </w:rPr>
        <w:t>וְשָׂם לָהּ עֲלִילֹת דְּבָרִים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שׂים</w:t>
      </w:r>
      <w:r>
        <w:t xml:space="preserve">, Qal Perfekt, 3. Person Maskulinum Singular, „setzen, legen, zur Last legen", </w:t>
      </w:r>
      <w:r>
        <w:rPr>
          <w:rStyle w:val="Fett"/>
          <w:rFonts w:eastAsiaTheme="majorEastAsia"/>
          <w:rtl/>
        </w:rPr>
        <w:t>לָהּ</w:t>
      </w:r>
      <w:r>
        <w:t xml:space="preserve">, </w:t>
      </w:r>
      <w:r>
        <w:rPr>
          <w:rStyle w:val="Fett"/>
          <w:rFonts w:eastAsiaTheme="majorEastAsia"/>
          <w:rtl/>
        </w:rPr>
        <w:t>עֲלִילָה</w:t>
      </w:r>
      <w:r>
        <w:t xml:space="preserve">, „Tat, Beschuldigung, Vorwand", Construct mit </w:t>
      </w:r>
      <w:r>
        <w:rPr>
          <w:rStyle w:val="Fett"/>
          <w:rFonts w:eastAsiaTheme="majorEastAsia"/>
          <w:rtl/>
        </w:rPr>
        <w:t>דָּבָר</w:t>
      </w:r>
      <w:r>
        <w:t xml:space="preserve">, „Wort, Sache", Plural – </w:t>
      </w:r>
      <w:r>
        <w:rPr>
          <w:rStyle w:val="Fett"/>
          <w:rFonts w:eastAsiaTheme="majorEastAsia"/>
          <w:rtl/>
        </w:rPr>
        <w:t>עֲלִילֹת דְּבָרִים</w:t>
      </w:r>
      <w:r>
        <w:rPr>
          <w:rtl/>
        </w:rPr>
        <w:t xml:space="preserve"> </w:t>
      </w:r>
      <w:r>
        <w:t xml:space="preserve">= „Wortbeschuldigungen, erfundene Anschuldigungen", mit </w:t>
      </w:r>
      <w:r>
        <w:rPr>
          <w:rStyle w:val="Fett"/>
          <w:rFonts w:eastAsiaTheme="majorEastAsia"/>
        </w:rPr>
        <w:t>Waw</w:t>
      </w:r>
      <w:r>
        <w:t xml:space="preserve"> consecutives Perfekt), </w:t>
      </w:r>
      <w:r>
        <w:rPr>
          <w:rStyle w:val="Fett"/>
          <w:rFonts w:eastAsiaTheme="majorEastAsia"/>
          <w:rtl/>
        </w:rPr>
        <w:t>וְהוֹצִיא עָלֶיהָ שֵׁם רָע</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יצא</w:t>
      </w:r>
      <w:r>
        <w:t xml:space="preserve">, Hiphil Perfekt, 3. Person Maskulinum Singular, „hinausbringen, verbreiten", Präposition </w:t>
      </w:r>
      <w:r>
        <w:rPr>
          <w:rStyle w:val="Fett"/>
          <w:rFonts w:eastAsiaTheme="majorEastAsia"/>
          <w:rtl/>
        </w:rPr>
        <w:t>עַל</w:t>
      </w:r>
      <w:r>
        <w:rPr>
          <w:rtl/>
        </w:rPr>
        <w:t xml:space="preserve"> </w:t>
      </w:r>
      <w:r>
        <w:t xml:space="preserve">mit Suffix 3. Person Femininum Singular, </w:t>
      </w:r>
      <w:r>
        <w:rPr>
          <w:rStyle w:val="Fett"/>
          <w:rFonts w:eastAsiaTheme="majorEastAsia"/>
          <w:rtl/>
        </w:rPr>
        <w:t>שֵׁם רָע</w:t>
      </w:r>
      <w:r>
        <w:t xml:space="preserve">, „böser Name, übler Ruf", mit </w:t>
      </w:r>
      <w:r>
        <w:rPr>
          <w:rStyle w:val="Fett"/>
          <w:rFonts w:eastAsiaTheme="majorEastAsia"/>
        </w:rPr>
        <w:t>Waw</w:t>
      </w:r>
      <w:r>
        <w:t xml:space="preserve"> consecutives Perfekt).</w:t>
      </w:r>
    </w:p>
    <w:p w14:paraId="0C6D263B" w14:textId="77777777" w:rsidR="00C178BF" w:rsidRDefault="00C178BF" w:rsidP="00C178BF">
      <w:pPr>
        <w:pStyle w:val="whitespace-normal"/>
      </w:pPr>
      <w:r>
        <w:rPr>
          <w:rStyle w:val="Fett"/>
          <w:rFonts w:eastAsiaTheme="majorEastAsia"/>
          <w:rtl/>
        </w:rPr>
        <w:t>וְאָמַר אֶת־הָאִשָּׁה הַזֹּאת לָקַחְתִּי וָאֶקְרַב אֵלֶיהָ וְלֹא־מָצָאתִי לָהּ בְּתוּלִים</w:t>
      </w:r>
      <w:r>
        <w:rPr>
          <w:rtl/>
        </w:rPr>
        <w:t xml:space="preserve"> </w:t>
      </w:r>
      <w:r>
        <w:t xml:space="preserve">ist die direkte Rede: </w:t>
      </w:r>
      <w:r>
        <w:rPr>
          <w:rStyle w:val="Fett"/>
          <w:rFonts w:eastAsiaTheme="majorEastAsia"/>
          <w:rtl/>
        </w:rPr>
        <w:t>וְאָמַר</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אמר</w:t>
      </w:r>
      <w:r>
        <w:t xml:space="preserve">, Qal Perfekt, 3. Person Maskulinum Singular, mit </w:t>
      </w:r>
      <w:r>
        <w:rPr>
          <w:rStyle w:val="Fett"/>
          <w:rFonts w:eastAsiaTheme="majorEastAsia"/>
        </w:rPr>
        <w:t>Waw</w:t>
      </w:r>
      <w:r>
        <w:t xml:space="preserve"> consecutives Perfekt), </w:t>
      </w:r>
      <w:r>
        <w:rPr>
          <w:rStyle w:val="Fett"/>
          <w:rFonts w:eastAsiaTheme="majorEastAsia"/>
          <w:rtl/>
        </w:rPr>
        <w:t>אֶת־הָאִשָּׁה הַזֹּאת לָקַחְתִּי</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אִשָּׁה</w:t>
      </w:r>
      <w:r>
        <w:rPr>
          <w:rtl/>
        </w:rPr>
        <w:t xml:space="preserve"> </w:t>
      </w:r>
      <w:r>
        <w:t xml:space="preserve">mit Artikel und Demonstrativpronomen </w:t>
      </w:r>
      <w:r>
        <w:rPr>
          <w:rStyle w:val="Fett"/>
          <w:rFonts w:eastAsiaTheme="majorEastAsia"/>
          <w:rtl/>
        </w:rPr>
        <w:t>זֹאת</w:t>
      </w:r>
      <w:r>
        <w:t xml:space="preserve">, </w:t>
      </w:r>
      <w:r>
        <w:rPr>
          <w:rStyle w:val="Fett"/>
          <w:rFonts w:eastAsiaTheme="majorEastAsia"/>
          <w:rtl/>
        </w:rPr>
        <w:t>לקח</w:t>
      </w:r>
      <w:r>
        <w:t xml:space="preserve">, Qal Perfekt, 1. Person Singular), </w:t>
      </w:r>
      <w:r>
        <w:rPr>
          <w:rStyle w:val="Fett"/>
          <w:rFonts w:eastAsiaTheme="majorEastAsia"/>
          <w:rtl/>
        </w:rPr>
        <w:t>וָאֶקְרַב אֵלֶיהָ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קרב</w:t>
      </w:r>
      <w:r>
        <w:t xml:space="preserve">, Qal Imperfekt, 1. Person Singular, „nahen, sich nähern" – Euphemismus, Präposition </w:t>
      </w:r>
      <w:r>
        <w:rPr>
          <w:rStyle w:val="Fett"/>
          <w:rFonts w:eastAsiaTheme="majorEastAsia"/>
          <w:rtl/>
        </w:rPr>
        <w:t>אֶל</w:t>
      </w:r>
      <w:r>
        <w:rPr>
          <w:rtl/>
        </w:rPr>
        <w:t xml:space="preserve"> </w:t>
      </w:r>
      <w:r>
        <w:t xml:space="preserve">mit Suffix 3. Person Femininum Singular, mit </w:t>
      </w:r>
      <w:r>
        <w:rPr>
          <w:rStyle w:val="Fett"/>
          <w:rFonts w:eastAsiaTheme="majorEastAsia"/>
        </w:rPr>
        <w:t>Waw</w:t>
      </w:r>
      <w:r>
        <w:t xml:space="preserve"> consecutives Imperfekt), </w:t>
      </w:r>
      <w:r>
        <w:rPr>
          <w:rStyle w:val="Fett"/>
          <w:rFonts w:eastAsiaTheme="majorEastAsia"/>
          <w:rtl/>
        </w:rPr>
        <w:t>וְלֹא־מָצָאתִי לָהּ בְּתוּלִים</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מצא</w:t>
      </w:r>
      <w:r>
        <w:t xml:space="preserve">, Qal Perfekt, 1. Person Singular, „finden", </w:t>
      </w:r>
      <w:r>
        <w:rPr>
          <w:rStyle w:val="Fett"/>
          <w:rFonts w:eastAsiaTheme="majorEastAsia"/>
          <w:rtl/>
        </w:rPr>
        <w:t>לָהּ</w:t>
      </w:r>
      <w:r>
        <w:t xml:space="preserve">, </w:t>
      </w:r>
      <w:r>
        <w:rPr>
          <w:rStyle w:val="Fett"/>
          <w:rFonts w:eastAsiaTheme="majorEastAsia"/>
          <w:rtl/>
        </w:rPr>
        <w:t>בְּתוּלִים</w:t>
      </w:r>
      <w:r>
        <w:t xml:space="preserve">, „Jungfrauschaft, Zeichen der Jungfrauschaft" – Plural von </w:t>
      </w:r>
      <w:r>
        <w:rPr>
          <w:rStyle w:val="Fett"/>
          <w:rFonts w:eastAsiaTheme="majorEastAsia"/>
          <w:rtl/>
        </w:rPr>
        <w:t>בְּתוּלָה</w:t>
      </w:r>
      <w:r>
        <w:t xml:space="preserve">, mit </w:t>
      </w:r>
      <w:r>
        <w:rPr>
          <w:rStyle w:val="Fett"/>
          <w:rFonts w:eastAsiaTheme="majorEastAsia"/>
        </w:rPr>
        <w:t>Waw</w:t>
      </w:r>
      <w:r>
        <w:t xml:space="preserve"> consecutives Perfekt).</w:t>
      </w:r>
    </w:p>
    <w:p w14:paraId="52605FF4" w14:textId="00172DB7" w:rsidR="00C178BF" w:rsidRDefault="00C178BF" w:rsidP="00C178BF">
      <w:pPr>
        <w:pStyle w:val="whitespace-normal"/>
      </w:pPr>
      <w:r>
        <w:t xml:space="preserve">Der Vers beschreibt die falsche Anschuldigung. Die beiden Handlungen: (1) </w:t>
      </w:r>
      <w:r>
        <w:rPr>
          <w:rStyle w:val="Fett"/>
          <w:rFonts w:eastAsiaTheme="majorEastAsia"/>
          <w:rtl/>
        </w:rPr>
        <w:t>וְשָׂם לָהּ עֲלִילֹת דְּבָרִים</w:t>
      </w:r>
      <w:r>
        <w:rPr>
          <w:rtl/>
        </w:rPr>
        <w:t xml:space="preserve"> </w:t>
      </w:r>
      <w:r>
        <w:t xml:space="preserve">(„er legt ihr zur Last Wortbeschuldigungen") – </w:t>
      </w:r>
      <w:r>
        <w:rPr>
          <w:rStyle w:val="Fett"/>
          <w:rFonts w:eastAsiaTheme="majorEastAsia"/>
          <w:rtl/>
        </w:rPr>
        <w:t>עֲלִילֹת דְּבָרִים</w:t>
      </w:r>
      <w:r>
        <w:rPr>
          <w:rtl/>
        </w:rPr>
        <w:t xml:space="preserve"> </w:t>
      </w:r>
      <w:r>
        <w:t xml:space="preserve">bezeichnet erfundene, grundlose Anschuldigungen (vgl. V. 17). (2) </w:t>
      </w:r>
      <w:r>
        <w:rPr>
          <w:rStyle w:val="Fett"/>
          <w:rFonts w:eastAsiaTheme="majorEastAsia"/>
          <w:rtl/>
        </w:rPr>
        <w:t>וְהוֹצִיא עָלֶיהָ שֵׁם רָע</w:t>
      </w:r>
      <w:r>
        <w:rPr>
          <w:rtl/>
        </w:rPr>
        <w:t xml:space="preserve"> </w:t>
      </w:r>
      <w:r>
        <w:t xml:space="preserve">(„er bringt über sie einen bösen Namen") – öffentliche Diffamierung. Die konkrete Anschuldigung </w:t>
      </w:r>
      <w:proofErr w:type="spellStart"/>
      <w:r>
        <w:t>in direkter</w:t>
      </w:r>
      <w:proofErr w:type="spellEnd"/>
      <w:r>
        <w:t xml:space="preserve"> Rede: </w:t>
      </w:r>
      <w:r>
        <w:rPr>
          <w:rStyle w:val="Fett"/>
          <w:rFonts w:eastAsiaTheme="majorEastAsia"/>
          <w:rtl/>
        </w:rPr>
        <w:t>אֶת־הָאִשָּׁה הַזֹּאת לָקַחְתִּי וָאֶקְרַב אֵלֶיהָ וְלֹא־מָצָאתִי לָהּ בְּתוּלִים</w:t>
      </w:r>
      <w:r>
        <w:rPr>
          <w:rtl/>
        </w:rPr>
        <w:t xml:space="preserve"> </w:t>
      </w:r>
      <w:r>
        <w:t xml:space="preserve">(„Diese Frau habe ich genommen und mich ihr genähert und nicht fand ich bei ihr Jungfrauschaft"). Das Wort </w:t>
      </w:r>
      <w:r>
        <w:rPr>
          <w:rStyle w:val="Fett"/>
          <w:rFonts w:eastAsiaTheme="majorEastAsia"/>
          <w:rtl/>
        </w:rPr>
        <w:t>בְּתוּלִים</w:t>
      </w:r>
      <w:r>
        <w:rPr>
          <w:rtl/>
        </w:rPr>
        <w:t xml:space="preserve"> </w:t>
      </w:r>
      <w:r>
        <w:t>bezeichnet die physischen Zeichen der Jungfräulichkeit. Die Anschuldigung: Sie war keine Jungfrau bei der Hochzeit – impliziert vorehelichen Geschlechtsverkehr, ein schweres Vergehen. V. 15ff. werden das Verfahren beschreiben.</w:t>
      </w:r>
    </w:p>
    <w:p w14:paraId="14417BF5" w14:textId="32BAA549" w:rsidR="00D00836" w:rsidRDefault="00D00836" w:rsidP="00C178BF">
      <w:pPr>
        <w:pStyle w:val="whitespace-normal"/>
      </w:pPr>
      <w:r>
        <w:rPr>
          <w:rStyle w:val="Fett"/>
        </w:rPr>
        <w:t>Die LXX</w:t>
      </w:r>
      <w:r>
        <w:t xml:space="preserve"> übersetzt </w:t>
      </w:r>
      <w:r>
        <w:rPr>
          <w:rtl/>
        </w:rPr>
        <w:t>עֲלִילֹת דְּבָרִים</w:t>
      </w:r>
      <w:r>
        <w:t xml:space="preserve"> (Anschuldigungen) mit π</w:t>
      </w:r>
      <w:proofErr w:type="spellStart"/>
      <w:r>
        <w:t>ροφ</w:t>
      </w:r>
      <w:proofErr w:type="spellEnd"/>
      <w:r>
        <w:t xml:space="preserve">ασιστικοὺς </w:t>
      </w:r>
      <w:proofErr w:type="spellStart"/>
      <w:r>
        <w:t>λόγους</w:t>
      </w:r>
      <w:proofErr w:type="spellEnd"/>
      <w:r>
        <w:t xml:space="preserve"> (vorwandhafte/vorgeschobene Worte) – ein zusammengesetztes Adjektiv, das die verleumderische Natur betont.</w:t>
      </w:r>
    </w:p>
    <w:p w14:paraId="564DE829" w14:textId="77777777" w:rsidR="00C178BF" w:rsidRDefault="00C178BF" w:rsidP="00C178BF">
      <w:pPr>
        <w:pStyle w:val="whitespace-normal"/>
      </w:pPr>
      <w:r>
        <w:rPr>
          <w:rStyle w:val="Fett"/>
          <w:rFonts w:eastAsiaTheme="majorEastAsia"/>
        </w:rPr>
        <w:t>Die Satzstruktur:</w:t>
      </w:r>
      <w:r>
        <w:t xml:space="preserve"> Zwei Handlungen mit direkter Rede (zur Last legt er ihr Wortbeschuldigungen, und verbreitet über sie einen bösen Namen, und sagt: Diese Frau nahm ich und näherte mich ihr, und nicht fand ich bei ihr Jungfrauschaft).</w:t>
      </w:r>
    </w:p>
    <w:p w14:paraId="05D0428B" w14:textId="77777777" w:rsidR="00C178BF" w:rsidRDefault="00C178BF" w:rsidP="00C178BF">
      <w:pPr>
        <w:pStyle w:val="whitespace-normal"/>
      </w:pPr>
      <w:r>
        <w:lastRenderedPageBreak/>
        <w:t>Der Vers beschreibt: Er erhebt falsche Anschuldigungen gegen sie und verbreitet einen üblen Ruf, indem er sagt: Ich fand bei ihr keine Jungfrauschaft.</w:t>
      </w:r>
    </w:p>
    <w:p w14:paraId="2CABF89B" w14:textId="77777777" w:rsidR="00C178BF" w:rsidRPr="00B27A64" w:rsidRDefault="00C178BF" w:rsidP="00C178BF">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22,15</w:t>
      </w:r>
    </w:p>
    <w:p w14:paraId="5C6D0AE1" w14:textId="77777777" w:rsidR="00C178BF" w:rsidRDefault="00C178BF" w:rsidP="00C178BF">
      <w:pPr>
        <w:pStyle w:val="whitespace-normal"/>
      </w:pPr>
      <w:r>
        <w:rPr>
          <w:rStyle w:val="Fett"/>
          <w:rFonts w:eastAsiaTheme="majorEastAsia"/>
        </w:rPr>
        <w:t>Hebräisch:</w:t>
      </w:r>
      <w:r>
        <w:t xml:space="preserve"> </w:t>
      </w:r>
      <w:r>
        <w:rPr>
          <w:rtl/>
        </w:rPr>
        <w:t>וְלָקַ֛ח אֲבִ֥י הַנַּעַר וְאִמָּ֑הּ וְהוֹצִ֜יאוּ אֶת־בְּתוּלֵ֧י הַנַּעַר אֶל־זִקְנֵ֥י הָעִ֖יר הַשָּֽׁעְרָה׃</w:t>
      </w:r>
    </w:p>
    <w:p w14:paraId="5E4738E5" w14:textId="77777777" w:rsidR="00C178BF" w:rsidRDefault="00C178BF" w:rsidP="00C178BF">
      <w:pPr>
        <w:pStyle w:val="whitespace-normal"/>
      </w:pPr>
      <w:r>
        <w:rPr>
          <w:rStyle w:val="Fett"/>
          <w:rFonts w:eastAsiaTheme="majorEastAsia"/>
        </w:rPr>
        <w:t>Deutsch:</w:t>
      </w:r>
      <w:r>
        <w:t xml:space="preserve"> So sollen der Vater des Mädchens und ihre Mutter die Zeichen der Jungfrauschaft des Mädchens nehmen und zu den Ältesten der Stadt ins Tor hinausbringen.</w:t>
      </w:r>
    </w:p>
    <w:p w14:paraId="6D5E9D41" w14:textId="77777777" w:rsidR="00C178BF" w:rsidRDefault="004F5CEB" w:rsidP="00C178BF">
      <w:r>
        <w:rPr>
          <w:noProof/>
        </w:rPr>
        <w:pict w14:anchorId="57EE6990">
          <v:rect id="_x0000_i1610" style="width:0;height:1.5pt" o:hralign="center" o:hrstd="t" o:hr="t" fillcolor="#a0a0a0" stroked="f"/>
        </w:pict>
      </w:r>
    </w:p>
    <w:p w14:paraId="61C3AE50" w14:textId="77777777" w:rsidR="00C178BF" w:rsidRDefault="00C178BF" w:rsidP="00C178BF">
      <w:pPr>
        <w:pStyle w:val="whitespace-normal"/>
      </w:pPr>
      <w:r>
        <w:rPr>
          <w:rStyle w:val="Fett"/>
          <w:rFonts w:eastAsiaTheme="majorEastAsia"/>
        </w:rPr>
        <w:t>Kommentar:</w:t>
      </w:r>
      <w:r>
        <w:t xml:space="preserve"> </w:t>
      </w:r>
      <w:r>
        <w:rPr>
          <w:rStyle w:val="Fett"/>
          <w:rFonts w:eastAsiaTheme="majorEastAsia"/>
          <w:rtl/>
        </w:rPr>
        <w:t>וְלָקַח אֲבִי הַנַּעַר וְאִמָּהּ וְהוֹצִיאוּ אֶת־בְּתוּלֵי הַנַּעַר אֶל־זִקְנֵי הָעִיר הַשָּׁעְרָה</w:t>
      </w:r>
      <w:r>
        <w:rPr>
          <w:rtl/>
        </w:rPr>
        <w:t xml:space="preserve"> </w:t>
      </w:r>
      <w:r>
        <w:t xml:space="preserve">sind zwei Anweisungen: </w:t>
      </w:r>
      <w:r>
        <w:rPr>
          <w:rStyle w:val="Fett"/>
          <w:rFonts w:eastAsiaTheme="majorEastAsia"/>
          <w:rtl/>
        </w:rPr>
        <w:t>וְלָקַח אֲבִי הַנַּעַר וְאִמָּהּ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לקח</w:t>
      </w:r>
      <w:r>
        <w:t xml:space="preserve">, Qal Perfekt, 3. Person Maskulinum Singular, „nehmen", </w:t>
      </w:r>
      <w:r>
        <w:rPr>
          <w:rStyle w:val="Fett"/>
          <w:rFonts w:eastAsiaTheme="majorEastAsia"/>
          <w:rtl/>
        </w:rPr>
        <w:t>אֲבִי הַנַּעַר</w:t>
      </w:r>
      <w:r>
        <w:rPr>
          <w:rtl/>
        </w:rPr>
        <w:t xml:space="preserve"> </w:t>
      </w:r>
      <w:r>
        <w:t>(</w:t>
      </w:r>
      <w:r>
        <w:rPr>
          <w:rStyle w:val="Fett"/>
          <w:rFonts w:eastAsiaTheme="majorEastAsia"/>
          <w:rtl/>
        </w:rPr>
        <w:t>אָב</w:t>
      </w:r>
      <w:r>
        <w:t xml:space="preserve">, Construct mit </w:t>
      </w:r>
      <w:r>
        <w:rPr>
          <w:rStyle w:val="Fett"/>
          <w:rFonts w:eastAsiaTheme="majorEastAsia"/>
          <w:rtl/>
        </w:rPr>
        <w:t>נַעַר</w:t>
      </w:r>
      <w:r>
        <w:t xml:space="preserve">, „Mädchen, junge Frau", mit Artikel – hier feminines </w:t>
      </w:r>
      <w:r>
        <w:rPr>
          <w:rStyle w:val="Fett"/>
          <w:rFonts w:eastAsiaTheme="majorEastAsia"/>
          <w:rtl/>
        </w:rPr>
        <w:t>נַעַר</w:t>
      </w:r>
      <w:r>
        <w:t xml:space="preserve">), koordiniert durch </w:t>
      </w:r>
      <w:r>
        <w:rPr>
          <w:rStyle w:val="Fett"/>
          <w:rFonts w:eastAsiaTheme="majorEastAsia"/>
          <w:rtl/>
        </w:rPr>
        <w:t>וְ</w:t>
      </w:r>
      <w:r>
        <w:rPr>
          <w:rtl/>
        </w:rPr>
        <w:t xml:space="preserve"> </w:t>
      </w:r>
      <w:r>
        <w:t xml:space="preserve">mit </w:t>
      </w:r>
      <w:r>
        <w:rPr>
          <w:rStyle w:val="Fett"/>
          <w:rFonts w:eastAsiaTheme="majorEastAsia"/>
          <w:rtl/>
        </w:rPr>
        <w:t>אֵם</w:t>
      </w:r>
      <w:r>
        <w:t xml:space="preserve">, „Mutter", mit Suffix 3. Person Femininum Singular, mit </w:t>
      </w:r>
      <w:r>
        <w:rPr>
          <w:rStyle w:val="Fett"/>
          <w:rFonts w:eastAsiaTheme="majorEastAsia"/>
        </w:rPr>
        <w:t>Waw</w:t>
      </w:r>
      <w:r>
        <w:t xml:space="preserve"> consecutives Perfekt), </w:t>
      </w:r>
      <w:r>
        <w:rPr>
          <w:rStyle w:val="Fett"/>
          <w:rFonts w:eastAsiaTheme="majorEastAsia"/>
          <w:rtl/>
        </w:rPr>
        <w:t>וְהוֹצִיאוּ אֶת־בְּתוּלֵי הַנַּעַר אֶל־זִקְנֵי הָעִיר הַשָּׁעְרָה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יצא</w:t>
      </w:r>
      <w:r>
        <w:t xml:space="preserve">, Hiphil Perfekt, 3. Person Plural, „hinausbringen", Objektpartikel </w:t>
      </w:r>
      <w:r>
        <w:rPr>
          <w:rStyle w:val="Fett"/>
          <w:rFonts w:eastAsiaTheme="majorEastAsia"/>
          <w:rtl/>
        </w:rPr>
        <w:t>אֵת</w:t>
      </w:r>
      <w:r>
        <w:rPr>
          <w:rtl/>
        </w:rPr>
        <w:t xml:space="preserve"> </w:t>
      </w:r>
      <w:r>
        <w:t xml:space="preserve">mit </w:t>
      </w:r>
      <w:r>
        <w:rPr>
          <w:rStyle w:val="Fett"/>
          <w:rFonts w:eastAsiaTheme="majorEastAsia"/>
          <w:rtl/>
        </w:rPr>
        <w:t>בְּתוּלִים</w:t>
      </w:r>
      <w:r>
        <w:t xml:space="preserve">, Plural Construct (mit </w:t>
      </w:r>
      <w:r>
        <w:rPr>
          <w:rStyle w:val="Fett"/>
          <w:rFonts w:eastAsiaTheme="majorEastAsia"/>
          <w:rtl/>
        </w:rPr>
        <w:t>י</w:t>
      </w:r>
      <w:r>
        <w:rPr>
          <w:rStyle w:val="Fett"/>
          <w:rFonts w:eastAsiaTheme="majorEastAsia"/>
        </w:rPr>
        <w:t>-</w:t>
      </w:r>
      <w:r>
        <w:t xml:space="preserve"> Endung) mit </w:t>
      </w:r>
      <w:r>
        <w:rPr>
          <w:rStyle w:val="Fett"/>
          <w:rFonts w:eastAsiaTheme="majorEastAsia"/>
          <w:rtl/>
        </w:rPr>
        <w:t>נַעַר</w:t>
      </w:r>
      <w:r>
        <w:rPr>
          <w:rtl/>
        </w:rPr>
        <w:t xml:space="preserve"> </w:t>
      </w:r>
      <w:r>
        <w:t xml:space="preserve">mit Artikel, Präposition </w:t>
      </w:r>
      <w:r>
        <w:rPr>
          <w:rStyle w:val="Fett"/>
          <w:rFonts w:eastAsiaTheme="majorEastAsia"/>
          <w:rtl/>
        </w:rPr>
        <w:t>אֶל</w:t>
      </w:r>
      <w:r>
        <w:rPr>
          <w:rtl/>
        </w:rPr>
        <w:t xml:space="preserve"> </w:t>
      </w:r>
      <w:r>
        <w:t xml:space="preserve">mit </w:t>
      </w:r>
      <w:r>
        <w:rPr>
          <w:rStyle w:val="Fett"/>
          <w:rFonts w:eastAsiaTheme="majorEastAsia"/>
          <w:rtl/>
        </w:rPr>
        <w:t>זָקֵן</w:t>
      </w:r>
      <w:r>
        <w:t xml:space="preserve">, Plural Construct mit </w:t>
      </w:r>
      <w:r>
        <w:rPr>
          <w:rStyle w:val="Fett"/>
          <w:rFonts w:eastAsiaTheme="majorEastAsia"/>
          <w:rtl/>
        </w:rPr>
        <w:t>עִיר</w:t>
      </w:r>
      <w:r>
        <w:rPr>
          <w:rtl/>
        </w:rPr>
        <w:t xml:space="preserve"> </w:t>
      </w:r>
      <w:r>
        <w:t xml:space="preserve">mit Artikel, </w:t>
      </w:r>
      <w:r>
        <w:rPr>
          <w:rStyle w:val="Fett"/>
          <w:rFonts w:eastAsiaTheme="majorEastAsia"/>
          <w:rtl/>
        </w:rPr>
        <w:t>הַשָּׁעְרָה</w:t>
      </w:r>
      <w:r>
        <w:t xml:space="preserve">, </w:t>
      </w:r>
      <w:r>
        <w:rPr>
          <w:rStyle w:val="Fett"/>
          <w:rFonts w:eastAsiaTheme="majorEastAsia"/>
          <w:rtl/>
        </w:rPr>
        <w:t>שַׁעַר</w:t>
      </w:r>
      <w:r>
        <w:t xml:space="preserve">, „Tor", mit Artikel und Richtungsendung </w:t>
      </w:r>
      <w:r>
        <w:rPr>
          <w:rStyle w:val="Fett"/>
          <w:rFonts w:eastAsiaTheme="majorEastAsia"/>
          <w:rtl/>
        </w:rPr>
        <w:t>ה</w:t>
      </w:r>
      <w:r>
        <w:rPr>
          <w:rStyle w:val="Fett"/>
          <w:rFonts w:eastAsiaTheme="majorEastAsia"/>
        </w:rPr>
        <w:t>-</w:t>
      </w:r>
      <w:r>
        <w:t xml:space="preserve">, mit </w:t>
      </w:r>
      <w:r>
        <w:rPr>
          <w:rStyle w:val="Fett"/>
          <w:rFonts w:eastAsiaTheme="majorEastAsia"/>
        </w:rPr>
        <w:t>Waw</w:t>
      </w:r>
      <w:r>
        <w:t xml:space="preserve"> consecutives Perfekt).</w:t>
      </w:r>
    </w:p>
    <w:p w14:paraId="2B031BE4" w14:textId="797175E2" w:rsidR="00C178BF" w:rsidRDefault="00C178BF" w:rsidP="00C178BF">
      <w:pPr>
        <w:pStyle w:val="whitespace-normal"/>
      </w:pPr>
      <w:r>
        <w:t xml:space="preserve">Der Vers beschreibt die Verteidigung gegen die Anschuldigung. Die beiden Elternteile handeln gemeinsam: </w:t>
      </w:r>
      <w:r>
        <w:rPr>
          <w:rStyle w:val="Fett"/>
          <w:rFonts w:eastAsiaTheme="majorEastAsia"/>
          <w:rtl/>
        </w:rPr>
        <w:t>וְלָקַח אֲבִי הַנַּעַר וְאִמָּהּ</w:t>
      </w:r>
      <w:r>
        <w:rPr>
          <w:rtl/>
        </w:rPr>
        <w:t xml:space="preserve"> </w:t>
      </w:r>
      <w:r>
        <w:t xml:space="preserve">(„nehmen sollen der Vater des Mädchens und ihre Mutter"). Das Wort </w:t>
      </w:r>
      <w:r>
        <w:rPr>
          <w:rStyle w:val="Fett"/>
          <w:rFonts w:eastAsiaTheme="majorEastAsia"/>
          <w:rtl/>
        </w:rPr>
        <w:t>נַעַר</w:t>
      </w:r>
      <w:r>
        <w:rPr>
          <w:rtl/>
        </w:rPr>
        <w:t xml:space="preserve"> </w:t>
      </w:r>
      <w:r>
        <w:t xml:space="preserve">wird hier feminin verwendet (sonst maskulin) und bezeichnet eine junge Frau, ein Mädchen. Die Handlung: </w:t>
      </w:r>
      <w:r>
        <w:rPr>
          <w:rStyle w:val="Fett"/>
          <w:rFonts w:eastAsiaTheme="majorEastAsia"/>
          <w:rtl/>
        </w:rPr>
        <w:t>וְהוֹצִיאוּ אֶת־בְּתוּלֵי הַנַּעַר אֶל־זִקְנֵי הָעִיר הַשָּׁעְרָה</w:t>
      </w:r>
      <w:r>
        <w:rPr>
          <w:rtl/>
        </w:rPr>
        <w:t xml:space="preserve"> </w:t>
      </w:r>
      <w:r>
        <w:t xml:space="preserve">(„sie sollen hinausbringen die Jungfrauschaft des Mädchens zu den Ältesten der Stadt zum Tor"). Das Wort </w:t>
      </w:r>
      <w:r>
        <w:rPr>
          <w:rStyle w:val="Fett"/>
          <w:rFonts w:eastAsiaTheme="majorEastAsia"/>
          <w:rtl/>
        </w:rPr>
        <w:t>בְּתוּלִים</w:t>
      </w:r>
      <w:r>
        <w:rPr>
          <w:rtl/>
        </w:rPr>
        <w:t xml:space="preserve"> </w:t>
      </w:r>
      <w:r>
        <w:t xml:space="preserve">(„Jungfrauschaft, Zeichen der Jungfrauschaft") bezeichnet hier wahrscheinlich das Tuch/Laken der Hochzeitsnacht mit dem Beweis der Jungfräulichkeit (Blutflecken). Die Richtungsendung </w:t>
      </w:r>
      <w:r>
        <w:rPr>
          <w:rStyle w:val="Fett"/>
          <w:rFonts w:eastAsiaTheme="majorEastAsia"/>
          <w:rtl/>
        </w:rPr>
        <w:t>ה</w:t>
      </w:r>
      <w:r>
        <w:rPr>
          <w:rStyle w:val="Fett"/>
          <w:rFonts w:eastAsiaTheme="majorEastAsia"/>
        </w:rPr>
        <w:t>-</w:t>
      </w:r>
      <w:r>
        <w:t xml:space="preserve"> an </w:t>
      </w:r>
      <w:r>
        <w:rPr>
          <w:rStyle w:val="Fett"/>
          <w:rFonts w:eastAsiaTheme="majorEastAsia"/>
          <w:rtl/>
        </w:rPr>
        <w:t>הַשָּׁעְרָה</w:t>
      </w:r>
      <w:r>
        <w:rPr>
          <w:rtl/>
        </w:rPr>
        <w:t xml:space="preserve"> </w:t>
      </w:r>
      <w:r>
        <w:t>(„zum Tor hin") betont die Bewegung zur öffentlichen Gerichtsstätte.</w:t>
      </w:r>
    </w:p>
    <w:p w14:paraId="10C44ADA" w14:textId="2158258B" w:rsidR="00D00836" w:rsidRDefault="00D00836" w:rsidP="00C178BF">
      <w:pPr>
        <w:pStyle w:val="whitespace-normal"/>
      </w:pPr>
      <w:r>
        <w:rPr>
          <w:rStyle w:val="Fett"/>
        </w:rPr>
        <w:t>Die LXX</w:t>
      </w:r>
      <w:r>
        <w:t xml:space="preserve"> verwendet </w:t>
      </w:r>
      <w:proofErr w:type="spellStart"/>
      <w:r>
        <w:t>τὰ</w:t>
      </w:r>
      <w:proofErr w:type="spellEnd"/>
      <w:r>
        <w:t xml:space="preserve"> πα</w:t>
      </w:r>
      <w:proofErr w:type="spellStart"/>
      <w:r>
        <w:t>ρθένι</w:t>
      </w:r>
      <w:proofErr w:type="spellEnd"/>
      <w:r>
        <w:t xml:space="preserve">α (die Jungfräulichkeitszeichen) für </w:t>
      </w:r>
      <w:r>
        <w:rPr>
          <w:rtl/>
        </w:rPr>
        <w:t>בְּתוּלֵי</w:t>
      </w:r>
      <w:r>
        <w:t xml:space="preserve"> – ein substantiviertes Adjektiv, das zum terminus technicus für diese Beweismittel wurde.</w:t>
      </w:r>
    </w:p>
    <w:p w14:paraId="3151B1BA" w14:textId="77777777" w:rsidR="00C178BF" w:rsidRDefault="00C178BF" w:rsidP="00C178BF">
      <w:pPr>
        <w:pStyle w:val="whitespace-normal"/>
      </w:pPr>
      <w:r>
        <w:rPr>
          <w:rStyle w:val="Fett"/>
          <w:rFonts w:eastAsiaTheme="majorEastAsia"/>
        </w:rPr>
        <w:t>Die Satzstruktur:</w:t>
      </w:r>
      <w:r>
        <w:t xml:space="preserve"> Zwei Anweisungen (nehmen sollen der Vater des Mädchens und ihre Mutter, und hinausbringen sollen sie die Jungfrauschaft des Mädchens zu den Ältesten der Stadt zum Tor).</w:t>
      </w:r>
    </w:p>
    <w:p w14:paraId="261BF361" w14:textId="77777777" w:rsidR="00C178BF" w:rsidRDefault="00C178BF" w:rsidP="00C178BF">
      <w:pPr>
        <w:pStyle w:val="whitespace-normal"/>
      </w:pPr>
      <w:r>
        <w:t>Der Vers beschreibt: Der Vater und die Mutter des Mädchens sollen den Beweis ihrer Jungfrauschaft zu den Ältesten am Stadttor bringen.</w:t>
      </w:r>
    </w:p>
    <w:p w14:paraId="19549CAB" w14:textId="77777777" w:rsidR="00C178BF" w:rsidRPr="00B27A64" w:rsidRDefault="00C178BF" w:rsidP="00C178BF">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22,16</w:t>
      </w:r>
    </w:p>
    <w:p w14:paraId="5E0B0A16" w14:textId="77777777" w:rsidR="00C178BF" w:rsidRDefault="00C178BF" w:rsidP="00C178BF">
      <w:pPr>
        <w:pStyle w:val="whitespace-normal"/>
      </w:pPr>
      <w:r>
        <w:rPr>
          <w:rStyle w:val="Fett"/>
          <w:rFonts w:eastAsiaTheme="majorEastAsia"/>
        </w:rPr>
        <w:t>Hebräisch:</w:t>
      </w:r>
      <w:r>
        <w:t xml:space="preserve"> </w:t>
      </w:r>
      <w:r>
        <w:rPr>
          <w:rtl/>
        </w:rPr>
        <w:t>וְאָמַ֛ר אֲבִ֥י הַנַּעַר אֶל־הַזְּקֵנִ֑ים אֶת־בִּתִּ֗י נָתַ֜תִּי לָאִ֥ישׁ הַזֶּ֛ה לְאִשָּׁ֖ה וַיִּשְׂנָאֶֽהָ׃</w:t>
      </w:r>
    </w:p>
    <w:p w14:paraId="688ED025" w14:textId="77777777" w:rsidR="00C178BF" w:rsidRDefault="00C178BF" w:rsidP="00C178BF">
      <w:pPr>
        <w:pStyle w:val="whitespace-normal"/>
      </w:pPr>
      <w:r>
        <w:rPr>
          <w:rStyle w:val="Fett"/>
          <w:rFonts w:eastAsiaTheme="majorEastAsia"/>
        </w:rPr>
        <w:lastRenderedPageBreak/>
        <w:t>Deutsch:</w:t>
      </w:r>
      <w:r>
        <w:t xml:space="preserve"> Und der Vater des Mädchens soll zu den Ältesten sagen: Ich habe meine Tochter diesem Mann zur Frau gegeben, und er hasst sie;</w:t>
      </w:r>
    </w:p>
    <w:p w14:paraId="49D419B2" w14:textId="77777777" w:rsidR="00C178BF" w:rsidRDefault="004F5CEB" w:rsidP="00C178BF">
      <w:r>
        <w:rPr>
          <w:noProof/>
        </w:rPr>
        <w:pict w14:anchorId="7054903A">
          <v:rect id="_x0000_i1611" style="width:0;height:1.5pt" o:hralign="center" o:hrstd="t" o:hr="t" fillcolor="#a0a0a0" stroked="f"/>
        </w:pict>
      </w:r>
    </w:p>
    <w:p w14:paraId="68EA9DF9" w14:textId="77777777" w:rsidR="00C178BF" w:rsidRDefault="00C178BF" w:rsidP="00C178BF">
      <w:pPr>
        <w:pStyle w:val="whitespace-normal"/>
      </w:pPr>
      <w:r>
        <w:rPr>
          <w:rStyle w:val="Fett"/>
          <w:rFonts w:eastAsiaTheme="majorEastAsia"/>
        </w:rPr>
        <w:t>Kommentar:</w:t>
      </w:r>
      <w:r>
        <w:t xml:space="preserve"> </w:t>
      </w:r>
      <w:r>
        <w:rPr>
          <w:rStyle w:val="Fett"/>
          <w:rFonts w:eastAsiaTheme="majorEastAsia"/>
          <w:rtl/>
        </w:rPr>
        <w:t>וְאָמַר אֲבִי הַנַּעַר אֶל־הַזְּקֵנִים אֶת־בִּתִּי נָתַתִּי לָאִישׁ הַזֶּה לְאִשָּׁה וַיִּשְׂנָאֶהָ</w:t>
      </w:r>
      <w:r>
        <w:rPr>
          <w:rtl/>
        </w:rPr>
        <w:t xml:space="preserve"> </w:t>
      </w:r>
      <w:r>
        <w:t xml:space="preserve">ist die Aussage des Vaters: </w:t>
      </w:r>
      <w:r>
        <w:rPr>
          <w:rStyle w:val="Fett"/>
          <w:rFonts w:eastAsiaTheme="majorEastAsia"/>
          <w:rtl/>
        </w:rPr>
        <w:t>וְאָמַר אֲבִי הַנַּעַר אֶל־הַזְּקֵנִים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אמר</w:t>
      </w:r>
      <w:r>
        <w:t xml:space="preserve">, Qal Perfekt, 3. Person Maskulinum Singular, </w:t>
      </w:r>
      <w:r>
        <w:rPr>
          <w:rStyle w:val="Fett"/>
          <w:rFonts w:eastAsiaTheme="majorEastAsia"/>
          <w:rtl/>
        </w:rPr>
        <w:t>אֲבִי הַנַּעַר</w:t>
      </w:r>
      <w:r>
        <w:rPr>
          <w:rtl/>
        </w:rPr>
        <w:t xml:space="preserve"> </w:t>
      </w:r>
      <w:r>
        <w:t xml:space="preserve">als Subjekt, Präposition </w:t>
      </w:r>
      <w:r>
        <w:rPr>
          <w:rStyle w:val="Fett"/>
          <w:rFonts w:eastAsiaTheme="majorEastAsia"/>
          <w:rtl/>
        </w:rPr>
        <w:t>אֶל</w:t>
      </w:r>
      <w:r>
        <w:rPr>
          <w:rtl/>
        </w:rPr>
        <w:t xml:space="preserve"> </w:t>
      </w:r>
      <w:r>
        <w:t xml:space="preserve">mit </w:t>
      </w:r>
      <w:r>
        <w:rPr>
          <w:rStyle w:val="Fett"/>
          <w:rFonts w:eastAsiaTheme="majorEastAsia"/>
          <w:rtl/>
        </w:rPr>
        <w:t>זָקֵן</w:t>
      </w:r>
      <w:r>
        <w:rPr>
          <w:rtl/>
        </w:rPr>
        <w:t xml:space="preserve"> </w:t>
      </w:r>
      <w:r>
        <w:t xml:space="preserve">Plural mit Artikel, mit </w:t>
      </w:r>
      <w:r>
        <w:rPr>
          <w:rStyle w:val="Fett"/>
          <w:rFonts w:eastAsiaTheme="majorEastAsia"/>
        </w:rPr>
        <w:t>Waw</w:t>
      </w:r>
      <w:r>
        <w:t xml:space="preserve"> consecutives Perfekt), </w:t>
      </w:r>
      <w:r>
        <w:rPr>
          <w:rStyle w:val="Fett"/>
          <w:rFonts w:eastAsiaTheme="majorEastAsia"/>
          <w:rtl/>
        </w:rPr>
        <w:t>אֶת־בִּתִּי נָתַתִּי לָאִישׁ הַזֶּה לְאִשָּׁה</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בַּת</w:t>
      </w:r>
      <w:r>
        <w:t xml:space="preserve">, „Tochter", mit Suffix 1. Person Singular, </w:t>
      </w:r>
      <w:r>
        <w:rPr>
          <w:rStyle w:val="Fett"/>
          <w:rFonts w:eastAsiaTheme="majorEastAsia"/>
          <w:rtl/>
        </w:rPr>
        <w:t>נתן</w:t>
      </w:r>
      <w:r>
        <w:t xml:space="preserve">, Qal Perfekt, 1. Person Singular, „geben", </w:t>
      </w:r>
      <w:r>
        <w:rPr>
          <w:rStyle w:val="Fett"/>
          <w:rFonts w:eastAsiaTheme="majorEastAsia"/>
          <w:rtl/>
        </w:rPr>
        <w:t>לָאִישׁ הַזֶּה</w:t>
      </w:r>
      <w:r>
        <w:t xml:space="preserve">, Präposition </w:t>
      </w:r>
      <w:r>
        <w:rPr>
          <w:rStyle w:val="Fett"/>
          <w:rFonts w:eastAsiaTheme="majorEastAsia"/>
          <w:rtl/>
        </w:rPr>
        <w:t>לְ</w:t>
      </w:r>
      <w:r>
        <w:rPr>
          <w:rtl/>
        </w:rPr>
        <w:t xml:space="preserve"> </w:t>
      </w:r>
      <w:r>
        <w:t xml:space="preserve">mit </w:t>
      </w:r>
      <w:r>
        <w:rPr>
          <w:rStyle w:val="Fett"/>
          <w:rFonts w:eastAsiaTheme="majorEastAsia"/>
          <w:rtl/>
        </w:rPr>
        <w:t>אִישׁ</w:t>
      </w:r>
      <w:r>
        <w:rPr>
          <w:rtl/>
        </w:rPr>
        <w:t xml:space="preserve"> </w:t>
      </w:r>
      <w:r>
        <w:t xml:space="preserve">mit Artikel und Demonstrativpronomen, </w:t>
      </w:r>
      <w:r>
        <w:rPr>
          <w:rStyle w:val="Fett"/>
          <w:rFonts w:eastAsiaTheme="majorEastAsia"/>
          <w:rtl/>
        </w:rPr>
        <w:t>לְאִשָּׁה</w:t>
      </w:r>
      <w:r>
        <w:t xml:space="preserve">, Präposition </w:t>
      </w:r>
      <w:r>
        <w:rPr>
          <w:rStyle w:val="Fett"/>
          <w:rFonts w:eastAsiaTheme="majorEastAsia"/>
          <w:rtl/>
        </w:rPr>
        <w:t>לְ</w:t>
      </w:r>
      <w:r>
        <w:rPr>
          <w:rtl/>
        </w:rPr>
        <w:t xml:space="preserve"> </w:t>
      </w:r>
      <w:r>
        <w:t xml:space="preserve">mit </w:t>
      </w:r>
      <w:r>
        <w:rPr>
          <w:rStyle w:val="Fett"/>
          <w:rFonts w:eastAsiaTheme="majorEastAsia"/>
          <w:rtl/>
        </w:rPr>
        <w:t>אִשָּׁה</w:t>
      </w:r>
      <w:r>
        <w:rPr>
          <w:rtl/>
        </w:rPr>
        <w:t xml:space="preserve"> </w:t>
      </w:r>
      <w:r>
        <w:t xml:space="preserve">– „zur Frau"), </w:t>
      </w:r>
      <w:r>
        <w:rPr>
          <w:rStyle w:val="Fett"/>
          <w:rFonts w:eastAsiaTheme="majorEastAsia"/>
          <w:rtl/>
        </w:rPr>
        <w:t>וַיִּשְׂנָאֶהָ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שׂנא</w:t>
      </w:r>
      <w:r>
        <w:t xml:space="preserve">, Qal Imperfekt, 3. Person Maskulinum Singular, mit Suffix 3. Person Femininum Singular, mit </w:t>
      </w:r>
      <w:r>
        <w:rPr>
          <w:rStyle w:val="Fett"/>
          <w:rFonts w:eastAsiaTheme="majorEastAsia"/>
        </w:rPr>
        <w:t>Waw</w:t>
      </w:r>
      <w:r>
        <w:t xml:space="preserve"> consecutives Imperfekt).</w:t>
      </w:r>
    </w:p>
    <w:p w14:paraId="0BBB5145" w14:textId="11FC1BB5" w:rsidR="00C178BF" w:rsidRDefault="00C178BF" w:rsidP="00C178BF">
      <w:pPr>
        <w:pStyle w:val="whitespace-normal"/>
      </w:pPr>
      <w:r>
        <w:t xml:space="preserve">Der Vers gibt die formelle Aussage des Vaters vor den Ältesten. Die Aussage hat zwei Teile: (1) </w:t>
      </w:r>
      <w:r>
        <w:rPr>
          <w:rStyle w:val="Fett"/>
          <w:rFonts w:eastAsiaTheme="majorEastAsia"/>
          <w:rtl/>
        </w:rPr>
        <w:t>אֶת־בִּתִּי נָתַתִּי לָאִישׁ הַזֶּה לְאִשָּׁה</w:t>
      </w:r>
      <w:r>
        <w:rPr>
          <w:rtl/>
        </w:rPr>
        <w:t xml:space="preserve"> </w:t>
      </w:r>
      <w:r>
        <w:t xml:space="preserve">(„Meine Tochter gab ich diesem Mann zur Frau") – Bestätigung der rechtmäßigen Ehe. Das Verb </w:t>
      </w:r>
      <w:r>
        <w:rPr>
          <w:rStyle w:val="Fett"/>
          <w:rFonts w:eastAsiaTheme="majorEastAsia"/>
          <w:rtl/>
        </w:rPr>
        <w:t>נתן</w:t>
      </w:r>
      <w:r>
        <w:rPr>
          <w:rtl/>
        </w:rPr>
        <w:t xml:space="preserve"> </w:t>
      </w:r>
      <w:r>
        <w:t xml:space="preserve">(„geben") beschreibt die väterliche Übergabe der Tochter in die Ehe (vgl. Gen 29,19; Ex 22,16; Ri 1,12.13; 15,2; </w:t>
      </w:r>
      <w:r w:rsidR="00664EB6">
        <w:t>1Sam</w:t>
      </w:r>
      <w:r>
        <w:t xml:space="preserve"> 17,25; 18,17.19.21.27). Die Formulierung </w:t>
      </w:r>
      <w:r>
        <w:rPr>
          <w:rStyle w:val="Fett"/>
          <w:rFonts w:eastAsiaTheme="majorEastAsia"/>
          <w:rtl/>
        </w:rPr>
        <w:t>לְאִשָּׁה</w:t>
      </w:r>
      <w:r>
        <w:rPr>
          <w:rtl/>
        </w:rPr>
        <w:t xml:space="preserve"> </w:t>
      </w:r>
      <w:r>
        <w:t xml:space="preserve">(„zur Frau") ist die technische Formel für Eheschließung. Das Demonstrativpronomen </w:t>
      </w:r>
      <w:r>
        <w:rPr>
          <w:rStyle w:val="Fett"/>
          <w:rFonts w:eastAsiaTheme="majorEastAsia"/>
          <w:rtl/>
        </w:rPr>
        <w:t>הַזֶּה</w:t>
      </w:r>
      <w:r>
        <w:rPr>
          <w:rtl/>
        </w:rPr>
        <w:t xml:space="preserve"> </w:t>
      </w:r>
      <w:r>
        <w:t xml:space="preserve">(„dieser") macht es konkret und persönlich. (2) </w:t>
      </w:r>
      <w:r>
        <w:rPr>
          <w:rStyle w:val="Fett"/>
          <w:rFonts w:eastAsiaTheme="majorEastAsia"/>
          <w:rtl/>
        </w:rPr>
        <w:t>וַיִּשְׂנָאֶהָ</w:t>
      </w:r>
      <w:r>
        <w:rPr>
          <w:rtl/>
        </w:rPr>
        <w:t xml:space="preserve"> </w:t>
      </w:r>
      <w:r>
        <w:t>(„und er hasste sie") – Beschreibung des Problems: Der Mann hat Abneigung gegen sie entwickelt. V. 17 wird die konkrete Anschuldigung zitieren.</w:t>
      </w:r>
    </w:p>
    <w:p w14:paraId="2C29888D" w14:textId="77777777" w:rsidR="00C178BF" w:rsidRDefault="00C178BF" w:rsidP="00C178BF">
      <w:pPr>
        <w:pStyle w:val="whitespace-normal"/>
      </w:pPr>
      <w:r>
        <w:rPr>
          <w:rStyle w:val="Fett"/>
          <w:rFonts w:eastAsiaTheme="majorEastAsia"/>
        </w:rPr>
        <w:t>Die Satzstruktur:</w:t>
      </w:r>
      <w:r>
        <w:t xml:space="preserve"> Aussage des Vaters (und sagen soll der Vater des Mädchens zu den Ältesten: Meine Tochter gab ich diesem Mann zur Frau, und er hasste sie).</w:t>
      </w:r>
    </w:p>
    <w:p w14:paraId="506863CF" w14:textId="77777777" w:rsidR="00C178BF" w:rsidRDefault="00C178BF" w:rsidP="00C178BF">
      <w:pPr>
        <w:pStyle w:val="whitespace-normal"/>
      </w:pPr>
      <w:r>
        <w:t>Der Vers gibt die Aussage: Der Vater sagt zu den Ältesten: Ich gab meine Tochter diesem Mann zur Frau, und er hasst sie.</w:t>
      </w:r>
    </w:p>
    <w:p w14:paraId="4FC9ED31" w14:textId="77777777" w:rsidR="00C178BF" w:rsidRPr="00B27A64" w:rsidRDefault="00C178BF" w:rsidP="00C178BF">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22,17</w:t>
      </w:r>
    </w:p>
    <w:p w14:paraId="109D4759" w14:textId="77777777" w:rsidR="00C178BF" w:rsidRDefault="00C178BF" w:rsidP="00C178BF">
      <w:pPr>
        <w:pStyle w:val="whitespace-normal"/>
      </w:pPr>
      <w:r>
        <w:rPr>
          <w:rStyle w:val="Fett"/>
          <w:rFonts w:eastAsiaTheme="majorEastAsia"/>
        </w:rPr>
        <w:t>Hebräisch:</w:t>
      </w:r>
      <w:r>
        <w:t xml:space="preserve"> </w:t>
      </w:r>
      <w:r>
        <w:rPr>
          <w:rtl/>
        </w:rPr>
        <w:t>וְהִנֵּה־ה֡וּא שָׂם֩ עֲלִילֹ֨ת דְּבָרִ֜ים לֵאמֹ֗ר לֹֽא־מָצָ֤אתִי לְבִתְּךָ֙ בְּתוּלִ֔ים וְאֵ֖לֶּה בְּתוּלֵ֣י בִתִּ֑י וּפָֽרְשׂוּ֙ הַשִּׂמְלָ֔ה לִפְנֵ֖י זִקְנֵ֥י הָעִֽיר׃</w:t>
      </w:r>
    </w:p>
    <w:p w14:paraId="7CC6CCF0" w14:textId="77777777" w:rsidR="00C178BF" w:rsidRDefault="00C178BF" w:rsidP="00C178BF">
      <w:pPr>
        <w:pStyle w:val="whitespace-normal"/>
      </w:pPr>
      <w:r>
        <w:rPr>
          <w:rStyle w:val="Fett"/>
          <w:rFonts w:eastAsiaTheme="majorEastAsia"/>
        </w:rPr>
        <w:t>Deutsch:</w:t>
      </w:r>
      <w:r>
        <w:t xml:space="preserve"> und siehe, er legt ihr schändliche Dinge zur Last und spricht: Ich habe an deiner Tochter nicht die Zeichen der Jungfrauschaft gefunden. Dies aber sind die Zeichen der Jungfrauschaft meiner Tochter. Und sie sollen das Tuch vor den Ältesten der Stadt ausbreiten.</w:t>
      </w:r>
    </w:p>
    <w:p w14:paraId="71B10873" w14:textId="77777777" w:rsidR="00C178BF" w:rsidRDefault="004F5CEB" w:rsidP="00C178BF">
      <w:r>
        <w:rPr>
          <w:noProof/>
        </w:rPr>
        <w:pict w14:anchorId="772DF5E1">
          <v:rect id="_x0000_i1612" style="width:0;height:1.5pt" o:hralign="center" o:hrstd="t" o:hr="t" fillcolor="#a0a0a0" stroked="f"/>
        </w:pict>
      </w:r>
    </w:p>
    <w:p w14:paraId="2F9E07F5" w14:textId="77777777" w:rsidR="00C178BF" w:rsidRDefault="00C178BF" w:rsidP="00C178BF">
      <w:pPr>
        <w:pStyle w:val="whitespace-normal"/>
      </w:pPr>
      <w:r>
        <w:rPr>
          <w:rStyle w:val="Fett"/>
          <w:rFonts w:eastAsiaTheme="majorEastAsia"/>
        </w:rPr>
        <w:t>Kommentar:</w:t>
      </w:r>
      <w:r>
        <w:t xml:space="preserve"> </w:t>
      </w:r>
      <w:r>
        <w:rPr>
          <w:rStyle w:val="Fett"/>
          <w:rFonts w:eastAsiaTheme="majorEastAsia"/>
          <w:rtl/>
        </w:rPr>
        <w:t>וְהִנֵּה־הוּא שָׂם עֲלִילֹת דְּבָרִים לֵאמֹר לֹא־מָצָאתִי לְבִתְּךָ בְּתוּלִים</w:t>
      </w:r>
      <w:r>
        <w:rPr>
          <w:rtl/>
        </w:rPr>
        <w:t xml:space="preserve"> </w:t>
      </w:r>
      <w:r>
        <w:t xml:space="preserve">ist die Anklage zitiert: </w:t>
      </w:r>
      <w:r>
        <w:rPr>
          <w:rStyle w:val="Fett"/>
          <w:rFonts w:eastAsiaTheme="majorEastAsia"/>
          <w:rtl/>
        </w:rPr>
        <w:t>וְהִנֵּה־הוּא שָׂם עֲלִילֹת דְּבָרִים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הִנֵּה</w:t>
      </w:r>
      <w:r>
        <w:t xml:space="preserve">, „siehe", </w:t>
      </w:r>
      <w:r>
        <w:rPr>
          <w:rStyle w:val="Fett"/>
          <w:rFonts w:eastAsiaTheme="majorEastAsia"/>
          <w:rtl/>
        </w:rPr>
        <w:t>הוּא</w:t>
      </w:r>
      <w:r>
        <w:rPr>
          <w:rtl/>
        </w:rPr>
        <w:t xml:space="preserve"> </w:t>
      </w:r>
      <w:r>
        <w:t xml:space="preserve">als Subjekt, </w:t>
      </w:r>
      <w:r>
        <w:rPr>
          <w:rStyle w:val="Fett"/>
          <w:rFonts w:eastAsiaTheme="majorEastAsia"/>
          <w:rtl/>
        </w:rPr>
        <w:t>שׂים</w:t>
      </w:r>
      <w:r>
        <w:t xml:space="preserve">, Qal Perfekt, 3. Person Maskulinum Singular, </w:t>
      </w:r>
      <w:r>
        <w:rPr>
          <w:rStyle w:val="Fett"/>
          <w:rFonts w:eastAsiaTheme="majorEastAsia"/>
          <w:rtl/>
        </w:rPr>
        <w:t>עֲלִילֹת דְּבָרִים</w:t>
      </w:r>
      <w:r>
        <w:rPr>
          <w:rtl/>
        </w:rPr>
        <w:t xml:space="preserve"> </w:t>
      </w:r>
      <w:r>
        <w:t xml:space="preserve">wie V. 14), </w:t>
      </w:r>
      <w:r>
        <w:rPr>
          <w:rStyle w:val="Fett"/>
          <w:rFonts w:eastAsiaTheme="majorEastAsia"/>
          <w:rtl/>
        </w:rPr>
        <w:t>לֵאמֹר</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אמר</w:t>
      </w:r>
      <w:r>
        <w:t xml:space="preserve">, „sagen" – leitet direkte Rede ein), </w:t>
      </w:r>
      <w:r>
        <w:rPr>
          <w:rStyle w:val="Fett"/>
          <w:rFonts w:eastAsiaTheme="majorEastAsia"/>
          <w:rtl/>
        </w:rPr>
        <w:t>לֹא־מָצָאתִי לְבִתְּךָ בְּתוּלִים</w:t>
      </w:r>
      <w:r>
        <w:rPr>
          <w:rtl/>
        </w:rPr>
        <w:t xml:space="preserve"> </w:t>
      </w:r>
      <w:r>
        <w:t xml:space="preserve">(Negation mit </w:t>
      </w:r>
      <w:r>
        <w:rPr>
          <w:rStyle w:val="Fett"/>
          <w:rFonts w:eastAsiaTheme="majorEastAsia"/>
          <w:rtl/>
        </w:rPr>
        <w:t>מצא</w:t>
      </w:r>
      <w:r>
        <w:t xml:space="preserve">, Qal Perfekt, 1. Person Singular, </w:t>
      </w:r>
      <w:r>
        <w:rPr>
          <w:rStyle w:val="Fett"/>
          <w:rFonts w:eastAsiaTheme="majorEastAsia"/>
          <w:rtl/>
        </w:rPr>
        <w:t>לְבִתְּךָ</w:t>
      </w:r>
      <w:r>
        <w:t xml:space="preserve">, Präposition </w:t>
      </w:r>
      <w:r>
        <w:rPr>
          <w:rStyle w:val="Fett"/>
          <w:rFonts w:eastAsiaTheme="majorEastAsia"/>
          <w:rtl/>
        </w:rPr>
        <w:t>לְ</w:t>
      </w:r>
      <w:r>
        <w:rPr>
          <w:rtl/>
        </w:rPr>
        <w:t xml:space="preserve"> </w:t>
      </w:r>
      <w:r>
        <w:t xml:space="preserve">mit </w:t>
      </w:r>
      <w:r>
        <w:rPr>
          <w:rStyle w:val="Fett"/>
          <w:rFonts w:eastAsiaTheme="majorEastAsia"/>
          <w:rtl/>
        </w:rPr>
        <w:t>בַּת</w:t>
      </w:r>
      <w:r>
        <w:rPr>
          <w:rtl/>
        </w:rPr>
        <w:t xml:space="preserve"> </w:t>
      </w:r>
      <w:r>
        <w:t xml:space="preserve">mit Suffix 2. Person Maskulinum Singular, </w:t>
      </w:r>
      <w:r>
        <w:rPr>
          <w:rStyle w:val="Fett"/>
          <w:rFonts w:eastAsiaTheme="majorEastAsia"/>
          <w:rtl/>
        </w:rPr>
        <w:t>בְּתוּלִים</w:t>
      </w:r>
      <w:r>
        <w:t>).</w:t>
      </w:r>
    </w:p>
    <w:p w14:paraId="5CA4164C" w14:textId="77777777" w:rsidR="00C178BF" w:rsidRDefault="00C178BF" w:rsidP="00C178BF">
      <w:pPr>
        <w:pStyle w:val="whitespace-normal"/>
      </w:pPr>
      <w:r>
        <w:rPr>
          <w:rStyle w:val="Fett"/>
          <w:rFonts w:eastAsiaTheme="majorEastAsia"/>
          <w:rtl/>
        </w:rPr>
        <w:lastRenderedPageBreak/>
        <w:t>וְאֵלֶּה בְּתוּלֵי בִתִּי וּפָרְשׂוּ הַשִּׂמְלָה לִפְנֵי זִקְנֵי הָעִיר</w:t>
      </w:r>
      <w:r>
        <w:rPr>
          <w:rtl/>
        </w:rPr>
        <w:t xml:space="preserve"> </w:t>
      </w:r>
      <w:r>
        <w:t xml:space="preserve">ist die Antwort mit Beweis: </w:t>
      </w:r>
      <w:r>
        <w:rPr>
          <w:rStyle w:val="Fett"/>
          <w:rFonts w:eastAsiaTheme="majorEastAsia"/>
          <w:rtl/>
        </w:rPr>
        <w:t>וְאֵלֶּה בְּתוּלֵי בִתִּי</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אֵלֶּה</w:t>
      </w:r>
      <w:r>
        <w:t xml:space="preserve">, Demonstrativpronomen Plural, „diese", </w:t>
      </w:r>
      <w:r>
        <w:rPr>
          <w:rStyle w:val="Fett"/>
          <w:rFonts w:eastAsiaTheme="majorEastAsia"/>
          <w:rtl/>
        </w:rPr>
        <w:t>בְּתוּלִים</w:t>
      </w:r>
      <w:r>
        <w:rPr>
          <w:rtl/>
        </w:rPr>
        <w:t xml:space="preserve"> </w:t>
      </w:r>
      <w:r>
        <w:t xml:space="preserve">Plural Construct mit </w:t>
      </w:r>
      <w:r>
        <w:rPr>
          <w:rStyle w:val="Fett"/>
          <w:rFonts w:eastAsiaTheme="majorEastAsia"/>
          <w:rtl/>
        </w:rPr>
        <w:t>בַּת</w:t>
      </w:r>
      <w:r>
        <w:rPr>
          <w:rtl/>
        </w:rPr>
        <w:t xml:space="preserve"> </w:t>
      </w:r>
      <w:r>
        <w:t xml:space="preserve">mit Suffix 1. Person Singular), </w:t>
      </w:r>
      <w:r>
        <w:rPr>
          <w:rStyle w:val="Fett"/>
          <w:rFonts w:eastAsiaTheme="majorEastAsia"/>
          <w:rtl/>
        </w:rPr>
        <w:t>וּפָרְשׂוּ הַשִּׂמְלָה לִפְנֵי זִקְנֵי הָעִיר</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פרשׂ</w:t>
      </w:r>
      <w:r>
        <w:t xml:space="preserve">, Qal Perfekt, 3. Person Plural, „ausbreiten", </w:t>
      </w:r>
      <w:r>
        <w:rPr>
          <w:rStyle w:val="Fett"/>
          <w:rFonts w:eastAsiaTheme="majorEastAsia"/>
          <w:rtl/>
        </w:rPr>
        <w:t>הַשִּׂמְלָה</w:t>
      </w:r>
      <w:r>
        <w:t xml:space="preserve">, </w:t>
      </w:r>
      <w:r>
        <w:rPr>
          <w:rStyle w:val="Fett"/>
          <w:rFonts w:eastAsiaTheme="majorEastAsia"/>
          <w:rtl/>
        </w:rPr>
        <w:t>שִׂמְלָה</w:t>
      </w:r>
      <w:r>
        <w:t xml:space="preserve">, „Tuch, Gewand", mit Artikel, </w:t>
      </w:r>
      <w:r>
        <w:rPr>
          <w:rStyle w:val="Fett"/>
          <w:rFonts w:eastAsiaTheme="majorEastAsia"/>
          <w:rtl/>
        </w:rPr>
        <w:t>לִפְנֵי</w:t>
      </w:r>
      <w:r>
        <w:t xml:space="preserve">, Präposition </w:t>
      </w:r>
      <w:r>
        <w:rPr>
          <w:rStyle w:val="Fett"/>
          <w:rFonts w:eastAsiaTheme="majorEastAsia"/>
          <w:rtl/>
        </w:rPr>
        <w:t>לְ</w:t>
      </w:r>
      <w:r>
        <w:rPr>
          <w:rtl/>
        </w:rPr>
        <w:t xml:space="preserve"> </w:t>
      </w:r>
      <w:r>
        <w:t xml:space="preserve">mit </w:t>
      </w:r>
      <w:r>
        <w:rPr>
          <w:rStyle w:val="Fett"/>
          <w:rFonts w:eastAsiaTheme="majorEastAsia"/>
          <w:rtl/>
        </w:rPr>
        <w:t>פָּנִים</w:t>
      </w:r>
      <w:r>
        <w:rPr>
          <w:rtl/>
        </w:rPr>
        <w:t xml:space="preserve"> </w:t>
      </w:r>
      <w:r>
        <w:t xml:space="preserve">Plural Construct – „vor", </w:t>
      </w:r>
      <w:r>
        <w:rPr>
          <w:rStyle w:val="Fett"/>
          <w:rFonts w:eastAsiaTheme="majorEastAsia"/>
          <w:rtl/>
        </w:rPr>
        <w:t>זִקְנֵי הָעִיר</w:t>
      </w:r>
      <w:r>
        <w:t xml:space="preserve">, mit </w:t>
      </w:r>
      <w:r>
        <w:rPr>
          <w:rStyle w:val="Fett"/>
          <w:rFonts w:eastAsiaTheme="majorEastAsia"/>
        </w:rPr>
        <w:t>Waw</w:t>
      </w:r>
      <w:r>
        <w:t xml:space="preserve"> consecutives Perfekt).</w:t>
      </w:r>
    </w:p>
    <w:p w14:paraId="1DF848B7" w14:textId="488D5661" w:rsidR="00C178BF" w:rsidRDefault="00C178BF" w:rsidP="00C178BF">
      <w:pPr>
        <w:pStyle w:val="whitespace-normal"/>
      </w:pPr>
      <w:r>
        <w:t xml:space="preserve">Der Vers führt die Aussage des Vaters fort. Er zitiert die Anschuldigung des Mannes: </w:t>
      </w:r>
      <w:r>
        <w:rPr>
          <w:rStyle w:val="Fett"/>
          <w:rFonts w:eastAsiaTheme="majorEastAsia"/>
          <w:rtl/>
        </w:rPr>
        <w:t>וְהִנֵּה־הוּא שָׂם עֲלִילֹת דְּבָרִים לֵאמֹר לֹא־מָצָאתִי לְבִתְּךָ בְּתוּלִים</w:t>
      </w:r>
      <w:r>
        <w:rPr>
          <w:rtl/>
        </w:rPr>
        <w:t xml:space="preserve"> </w:t>
      </w:r>
      <w:r>
        <w:t xml:space="preserve">(„Und siehe, er legte zur Last Wortbeschuldigungen, sprechend: Nicht fand ich bei deiner Tochter Jungfrauschaft") – der Vater wiederholt die Anschuldigung aus V. 14, jetzt in zweiter Person. Die Antwort des Vaters: </w:t>
      </w:r>
      <w:r>
        <w:rPr>
          <w:rStyle w:val="Fett"/>
          <w:rFonts w:eastAsiaTheme="majorEastAsia"/>
          <w:rtl/>
        </w:rPr>
        <w:t>וְאֵלֶּה בְּתוּלֵי בִתִּי</w:t>
      </w:r>
      <w:r>
        <w:rPr>
          <w:rtl/>
        </w:rPr>
        <w:t xml:space="preserve"> </w:t>
      </w:r>
      <w:r>
        <w:t xml:space="preserve">(„Und dies sind die Jungfrauschaftszeichen meiner Tochter") – er präsentiert den physischen Beweis. Die Handlung: </w:t>
      </w:r>
      <w:r>
        <w:rPr>
          <w:rStyle w:val="Fett"/>
          <w:rFonts w:eastAsiaTheme="majorEastAsia"/>
          <w:rtl/>
        </w:rPr>
        <w:t>וּפָרְשׂוּ הַשִּׂמְלָה לִפְנֵי זִקְנֵי הָעִיר</w:t>
      </w:r>
      <w:r>
        <w:rPr>
          <w:rtl/>
        </w:rPr>
        <w:t xml:space="preserve"> </w:t>
      </w:r>
      <w:r>
        <w:t xml:space="preserve">(„und sie sollen ausbreiten das Tuch vor den Ältesten der Stadt"). Das Verb </w:t>
      </w:r>
      <w:r>
        <w:rPr>
          <w:rStyle w:val="Fett"/>
          <w:rFonts w:eastAsiaTheme="majorEastAsia"/>
          <w:rtl/>
        </w:rPr>
        <w:t>פרשׂ</w:t>
      </w:r>
      <w:r>
        <w:rPr>
          <w:rtl/>
        </w:rPr>
        <w:t xml:space="preserve"> </w:t>
      </w:r>
      <w:r>
        <w:t xml:space="preserve">(„ausbreiten") wird für das Ausbreiten von Kleidern oder Tüchern verwendet. </w:t>
      </w:r>
      <w:r>
        <w:rPr>
          <w:rStyle w:val="Fett"/>
          <w:rFonts w:eastAsiaTheme="majorEastAsia"/>
          <w:rtl/>
        </w:rPr>
        <w:t>הַשִּׂמְלָה</w:t>
      </w:r>
      <w:r>
        <w:rPr>
          <w:rtl/>
        </w:rPr>
        <w:t xml:space="preserve"> </w:t>
      </w:r>
      <w:r>
        <w:t>(„das Tuch") bezeichnet hier wahrscheinlich das Hochzeitslaken, auf dem die physischen Zeichen der Jungfräulichkeit (Blut vom Hymenriss) sichtbar sind. Die Eltern präsentieren diesen Beweis öffentlich vor den Ältesten.</w:t>
      </w:r>
    </w:p>
    <w:p w14:paraId="7137AD70" w14:textId="1B288CFB" w:rsidR="00D00836" w:rsidRDefault="00D00836" w:rsidP="00C178BF">
      <w:pPr>
        <w:pStyle w:val="whitespace-normal"/>
      </w:pPr>
      <w:r>
        <w:rPr>
          <w:rStyle w:val="Fett"/>
        </w:rPr>
        <w:t>Die LXX</w:t>
      </w:r>
      <w:r>
        <w:t xml:space="preserve"> übersetzt </w:t>
      </w:r>
      <w:r>
        <w:rPr>
          <w:rtl/>
        </w:rPr>
        <w:t>וּפָרְשׂוּ הַשִּׂמְלָה</w:t>
      </w:r>
      <w:r>
        <w:t xml:space="preserve"> (und sie werden das Gewand ausbreiten) mit καὶ </w:t>
      </w:r>
      <w:proofErr w:type="spellStart"/>
      <w:r>
        <w:t>ἀν</w:t>
      </w:r>
      <w:proofErr w:type="spellEnd"/>
      <w:r>
        <w:t xml:space="preserve">απτύξουσιν </w:t>
      </w:r>
      <w:proofErr w:type="spellStart"/>
      <w:r>
        <w:t>τὸ</w:t>
      </w:r>
      <w:proofErr w:type="spellEnd"/>
      <w:r>
        <w:t xml:space="preserve"> </w:t>
      </w:r>
      <w:proofErr w:type="spellStart"/>
      <w:r>
        <w:t>ἱμάτιον</w:t>
      </w:r>
      <w:proofErr w:type="spellEnd"/>
      <w:r>
        <w:t xml:space="preserve"> (und sie werden das Gewand entrollen/entfalten) – ein Verb, das das Aufrollen oder Entfalten bezeichnet.</w:t>
      </w:r>
    </w:p>
    <w:p w14:paraId="590A458F" w14:textId="77777777" w:rsidR="00C178BF" w:rsidRDefault="00C178BF" w:rsidP="00C178BF">
      <w:pPr>
        <w:pStyle w:val="whitespace-normal"/>
      </w:pPr>
      <w:r>
        <w:rPr>
          <w:rStyle w:val="Fett"/>
          <w:rFonts w:eastAsiaTheme="majorEastAsia"/>
        </w:rPr>
        <w:t>Die Satzstruktur:</w:t>
      </w:r>
      <w:r>
        <w:t xml:space="preserve"> Zitat der Anklage mit Antwort und Beweis (und siehe, er legte zur Last Wortbeschuldigungen, sprechend: Nicht fand ich bei deiner Tochter Jungfrauschaft; und dies sind die Jungfrauschaftszeichen meiner Tochter; und ausbreiten sollen sie das Tuch vor den Ältesten der Stadt).</w:t>
      </w:r>
    </w:p>
    <w:p w14:paraId="7A1B57D0" w14:textId="77777777" w:rsidR="00C178BF" w:rsidRDefault="00C178BF" w:rsidP="00C178BF">
      <w:pPr>
        <w:pStyle w:val="whitespace-normal"/>
      </w:pPr>
      <w:r>
        <w:t>Der Vers beschreibt: Der Vater zitiert die Anschuldigung des Mannes und präsentiert als Gegenbeweis das Hochzeitslaken vor den Ältesten.</w:t>
      </w:r>
    </w:p>
    <w:p w14:paraId="0604B0BD" w14:textId="77777777" w:rsidR="00C178BF" w:rsidRPr="00B27A64" w:rsidRDefault="00C178BF" w:rsidP="00C178BF">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22,18</w:t>
      </w:r>
    </w:p>
    <w:p w14:paraId="7CFD04F8" w14:textId="77777777" w:rsidR="00C178BF" w:rsidRDefault="00C178BF" w:rsidP="00C178BF">
      <w:pPr>
        <w:pStyle w:val="whitespace-normal"/>
      </w:pPr>
      <w:r>
        <w:rPr>
          <w:rStyle w:val="Fett"/>
          <w:rFonts w:eastAsiaTheme="majorEastAsia"/>
        </w:rPr>
        <w:t>Hebräisch:</w:t>
      </w:r>
      <w:r>
        <w:t xml:space="preserve"> </w:t>
      </w:r>
      <w:r>
        <w:rPr>
          <w:rtl/>
        </w:rPr>
        <w:t>וְלָֽקְח֛וּ זִקְנֵ֥י הָֽעִיר־הַהִ֖וא אֶת־הָאִ֑ישׁ וְיִסְּר֖וּ אֹתוֹֽ׃</w:t>
      </w:r>
    </w:p>
    <w:p w14:paraId="11B494C9" w14:textId="77777777" w:rsidR="00C178BF" w:rsidRDefault="00C178BF" w:rsidP="00C178BF">
      <w:pPr>
        <w:pStyle w:val="whitespace-normal"/>
      </w:pPr>
      <w:r>
        <w:rPr>
          <w:rStyle w:val="Fett"/>
          <w:rFonts w:eastAsiaTheme="majorEastAsia"/>
        </w:rPr>
        <w:t>Deutsch:</w:t>
      </w:r>
      <w:r>
        <w:t xml:space="preserve"> Und die Ältesten jener Stadt sollen den Mann nehmen und ihn züchtigen;</w:t>
      </w:r>
    </w:p>
    <w:p w14:paraId="57BC8BB4" w14:textId="77777777" w:rsidR="00C178BF" w:rsidRDefault="004F5CEB" w:rsidP="00C178BF">
      <w:r>
        <w:rPr>
          <w:noProof/>
        </w:rPr>
        <w:pict w14:anchorId="393EBFD6">
          <v:rect id="_x0000_i1613" style="width:0;height:1.5pt" o:hralign="center" o:hrstd="t" o:hr="t" fillcolor="#a0a0a0" stroked="f"/>
        </w:pict>
      </w:r>
    </w:p>
    <w:p w14:paraId="77486A6E" w14:textId="77777777" w:rsidR="00C178BF" w:rsidRDefault="00C178BF" w:rsidP="00C178BF">
      <w:pPr>
        <w:pStyle w:val="whitespace-normal"/>
      </w:pPr>
      <w:r>
        <w:rPr>
          <w:rStyle w:val="Fett"/>
          <w:rFonts w:eastAsiaTheme="majorEastAsia"/>
        </w:rPr>
        <w:t>Kommentar:</w:t>
      </w:r>
      <w:r>
        <w:t xml:space="preserve"> </w:t>
      </w:r>
      <w:r>
        <w:rPr>
          <w:rStyle w:val="Fett"/>
          <w:rFonts w:eastAsiaTheme="majorEastAsia"/>
          <w:rtl/>
        </w:rPr>
        <w:t>וְלָקְחוּ זִקְנֵי הָעִיר־הַהִוא אֶת־הָאִישׁ וְיִסְּרוּ אֹתוֹ</w:t>
      </w:r>
      <w:r>
        <w:rPr>
          <w:rtl/>
        </w:rPr>
        <w:t xml:space="preserve"> </w:t>
      </w:r>
      <w:r>
        <w:t xml:space="preserve">sind zwei Anweisungen: </w:t>
      </w:r>
      <w:r>
        <w:rPr>
          <w:rStyle w:val="Fett"/>
          <w:rFonts w:eastAsiaTheme="majorEastAsia"/>
          <w:rtl/>
        </w:rPr>
        <w:t>וְלָקְחוּ זִקְנֵי הָעִיר־הַהִוא אֶת־הָאִישׁ</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לקח</w:t>
      </w:r>
      <w:r>
        <w:t xml:space="preserve">, Qal Perfekt, 3. Person Plural, </w:t>
      </w:r>
      <w:r>
        <w:rPr>
          <w:rStyle w:val="Fett"/>
          <w:rFonts w:eastAsiaTheme="majorEastAsia"/>
          <w:rtl/>
        </w:rPr>
        <w:t>זִקְנֵי הָעִיר־הַהִוא</w:t>
      </w:r>
      <w:r>
        <w:rPr>
          <w:rtl/>
        </w:rPr>
        <w:t xml:space="preserve"> </w:t>
      </w:r>
      <w:r>
        <w:t>(</w:t>
      </w:r>
      <w:r>
        <w:rPr>
          <w:rStyle w:val="Fett"/>
          <w:rFonts w:eastAsiaTheme="majorEastAsia"/>
          <w:rtl/>
        </w:rPr>
        <w:t>זָקֵן</w:t>
      </w:r>
      <w:r>
        <w:rPr>
          <w:rtl/>
        </w:rPr>
        <w:t xml:space="preserve"> </w:t>
      </w:r>
      <w:r>
        <w:t xml:space="preserve">Plural Construct mit </w:t>
      </w:r>
      <w:r>
        <w:rPr>
          <w:rStyle w:val="Fett"/>
          <w:rFonts w:eastAsiaTheme="majorEastAsia"/>
          <w:rtl/>
        </w:rPr>
        <w:t>עִיר</w:t>
      </w:r>
      <w:r>
        <w:rPr>
          <w:rtl/>
        </w:rPr>
        <w:t xml:space="preserve"> </w:t>
      </w:r>
      <w:r>
        <w:t xml:space="preserve">mit Artikel und Demonstrativpronomen </w:t>
      </w:r>
      <w:r>
        <w:rPr>
          <w:rStyle w:val="Fett"/>
          <w:rFonts w:eastAsiaTheme="majorEastAsia"/>
          <w:rtl/>
        </w:rPr>
        <w:t>הִוא</w:t>
      </w:r>
      <w:r>
        <w:t xml:space="preserve">) als Subjekt, Objektpartikel </w:t>
      </w:r>
      <w:r>
        <w:rPr>
          <w:rStyle w:val="Fett"/>
          <w:rFonts w:eastAsiaTheme="majorEastAsia"/>
          <w:rtl/>
        </w:rPr>
        <w:t>אֵת</w:t>
      </w:r>
      <w:r>
        <w:rPr>
          <w:rtl/>
        </w:rPr>
        <w:t xml:space="preserve"> </w:t>
      </w:r>
      <w:r>
        <w:t xml:space="preserve">mit </w:t>
      </w:r>
      <w:r>
        <w:rPr>
          <w:rStyle w:val="Fett"/>
          <w:rFonts w:eastAsiaTheme="majorEastAsia"/>
          <w:rtl/>
        </w:rPr>
        <w:t>אִישׁ</w:t>
      </w:r>
      <w:r>
        <w:rPr>
          <w:rtl/>
        </w:rPr>
        <w:t xml:space="preserve"> </w:t>
      </w:r>
      <w:r>
        <w:t xml:space="preserve">mit Artikel, mit </w:t>
      </w:r>
      <w:r>
        <w:rPr>
          <w:rStyle w:val="Fett"/>
          <w:rFonts w:eastAsiaTheme="majorEastAsia"/>
        </w:rPr>
        <w:t>Waw</w:t>
      </w:r>
      <w:r>
        <w:t xml:space="preserve"> consecutives Perfekt), </w:t>
      </w:r>
      <w:r>
        <w:rPr>
          <w:rStyle w:val="Fett"/>
          <w:rFonts w:eastAsiaTheme="majorEastAsia"/>
          <w:rtl/>
        </w:rPr>
        <w:t>וְיִסְּרוּ אֹתוֹ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יסר</w:t>
      </w:r>
      <w:r>
        <w:t xml:space="preserve">, Piel Perfekt, 3. Person Plural, „züchtigen, zurechtweisen", Objektpartikel </w:t>
      </w:r>
      <w:r>
        <w:rPr>
          <w:rStyle w:val="Fett"/>
          <w:rFonts w:eastAsiaTheme="majorEastAsia"/>
          <w:rtl/>
        </w:rPr>
        <w:t>אֵת</w:t>
      </w:r>
      <w:r>
        <w:rPr>
          <w:rtl/>
        </w:rPr>
        <w:t xml:space="preserve"> </w:t>
      </w:r>
      <w:r>
        <w:t xml:space="preserve">mit Suffix 3. Person Maskulinum Singular, mit </w:t>
      </w:r>
      <w:r>
        <w:rPr>
          <w:rStyle w:val="Fett"/>
          <w:rFonts w:eastAsiaTheme="majorEastAsia"/>
        </w:rPr>
        <w:t>Waw</w:t>
      </w:r>
      <w:r>
        <w:t xml:space="preserve"> consecutives Perfekt).</w:t>
      </w:r>
    </w:p>
    <w:p w14:paraId="3027E956" w14:textId="77777777" w:rsidR="00C178BF" w:rsidRDefault="00C178BF" w:rsidP="00C178BF">
      <w:pPr>
        <w:pStyle w:val="whitespace-normal"/>
      </w:pPr>
      <w:r>
        <w:t xml:space="preserve">Der Vers beschreibt die erste Reaktion der Ältesten auf die erwiesene Falschanschuldigung. Die Ältesten handeln als Richter: (1) </w:t>
      </w:r>
      <w:r>
        <w:rPr>
          <w:rStyle w:val="Fett"/>
          <w:rFonts w:eastAsiaTheme="majorEastAsia"/>
          <w:rtl/>
        </w:rPr>
        <w:t>וְלָקְחוּ זִקְנֵי הָעִיר־הַהִוא אֶת־הָאִישׁ</w:t>
      </w:r>
      <w:r>
        <w:rPr>
          <w:rtl/>
        </w:rPr>
        <w:t xml:space="preserve"> </w:t>
      </w:r>
      <w:r>
        <w:t xml:space="preserve">(„nehmen sollen die </w:t>
      </w:r>
      <w:r>
        <w:lastRenderedPageBreak/>
        <w:t xml:space="preserve">Ältesten jener Stadt den Mann") – sie nehmen ihn in Gewahrsam, stellen ihn zur Verantwortung. Das Demonstrativpronomen </w:t>
      </w:r>
      <w:r>
        <w:rPr>
          <w:rStyle w:val="Fett"/>
          <w:rFonts w:eastAsiaTheme="majorEastAsia"/>
          <w:rtl/>
        </w:rPr>
        <w:t>הַהִוא</w:t>
      </w:r>
      <w:r>
        <w:rPr>
          <w:rtl/>
        </w:rPr>
        <w:t xml:space="preserve"> </w:t>
      </w:r>
      <w:r>
        <w:t xml:space="preserve">(„jene") bezieht sich auf die Stadt aus V. 15.17. (2) </w:t>
      </w:r>
      <w:r>
        <w:rPr>
          <w:rStyle w:val="Fett"/>
          <w:rFonts w:eastAsiaTheme="majorEastAsia"/>
          <w:rtl/>
        </w:rPr>
        <w:t>וְיִסְּרוּ אֹתוֹ</w:t>
      </w:r>
      <w:r>
        <w:rPr>
          <w:rtl/>
        </w:rPr>
        <w:t xml:space="preserve"> </w:t>
      </w:r>
      <w:r>
        <w:t xml:space="preserve">(„und züchtigen sollen sie ihn"). Das Verb </w:t>
      </w:r>
      <w:r>
        <w:rPr>
          <w:rStyle w:val="Fett"/>
          <w:rFonts w:eastAsiaTheme="majorEastAsia"/>
          <w:rtl/>
        </w:rPr>
        <w:t>יסר</w:t>
      </w:r>
      <w:r>
        <w:rPr>
          <w:rtl/>
        </w:rPr>
        <w:t xml:space="preserve"> </w:t>
      </w:r>
      <w:r>
        <w:t>im Piel bezeichnet körperliche Züchtigung oder erzieherische Bestrafung (vgl. 21,18). Die Art der Züchtigung wird nicht spezifiziert – wahrscheinlich Schläge. V. 19 wird zusätzliche Strafen beschreiben.</w:t>
      </w:r>
    </w:p>
    <w:p w14:paraId="062F46F6" w14:textId="77777777" w:rsidR="00C178BF" w:rsidRDefault="00C178BF" w:rsidP="00C178BF">
      <w:pPr>
        <w:pStyle w:val="whitespace-normal"/>
      </w:pPr>
      <w:r>
        <w:rPr>
          <w:rStyle w:val="Fett"/>
          <w:rFonts w:eastAsiaTheme="majorEastAsia"/>
        </w:rPr>
        <w:t>Die Satzstruktur:</w:t>
      </w:r>
      <w:r>
        <w:t xml:space="preserve"> Zwei Anweisungen (nehmen sollen die Ältesten jener Stadt den Mann, und züchtigen sollen sie ihn).</w:t>
      </w:r>
    </w:p>
    <w:p w14:paraId="5EC2001D" w14:textId="77777777" w:rsidR="00C178BF" w:rsidRDefault="00C178BF" w:rsidP="00C178BF">
      <w:pPr>
        <w:pStyle w:val="whitespace-normal"/>
      </w:pPr>
      <w:r>
        <w:t>Der Vers beschreibt: Die Ältesten sollen den Mann nehmen und ihn züchtigen.</w:t>
      </w:r>
    </w:p>
    <w:p w14:paraId="538B53F1" w14:textId="77777777" w:rsidR="00C178BF" w:rsidRPr="00B27A64" w:rsidRDefault="00C178BF" w:rsidP="00C178BF">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22,19</w:t>
      </w:r>
    </w:p>
    <w:p w14:paraId="2320249C" w14:textId="77777777" w:rsidR="00C178BF" w:rsidRDefault="00C178BF" w:rsidP="00C178BF">
      <w:pPr>
        <w:pStyle w:val="whitespace-normal"/>
      </w:pPr>
      <w:r>
        <w:rPr>
          <w:rStyle w:val="Fett"/>
          <w:rFonts w:eastAsiaTheme="majorEastAsia"/>
        </w:rPr>
        <w:t>Hebräisch:</w:t>
      </w:r>
      <w:r>
        <w:t xml:space="preserve"> </w:t>
      </w:r>
      <w:r>
        <w:rPr>
          <w:rtl/>
        </w:rPr>
        <w:t>וְעָנְשׁ֨וּ אֹתוֹ֜ מֵ֣אָה כֶ֗סֶף וְנָתְנוּ֙ לַאֲבִ֣י הַֽנַּעֲרָ֔ה כִּ֤י הוֹצִיא֙ שֵׁ֣ם רָ֔ע עַ֖ל בְּתוּלַ֣ת יִשְׂרָאֵ֑ל וְלוֹֽ־תִהְיֶ֣ה לְאִשָּׁ֔ה לֹא־יוּכַ֥ל לְשַׁלְּחָ֖הּ כָּל־יָמָֽיו׃</w:t>
      </w:r>
    </w:p>
    <w:p w14:paraId="23294945" w14:textId="77777777" w:rsidR="00C178BF" w:rsidRDefault="00C178BF" w:rsidP="00C178BF">
      <w:pPr>
        <w:pStyle w:val="whitespace-normal"/>
      </w:pPr>
      <w:r>
        <w:rPr>
          <w:rStyle w:val="Fett"/>
          <w:rFonts w:eastAsiaTheme="majorEastAsia"/>
        </w:rPr>
        <w:t>Deutsch:</w:t>
      </w:r>
      <w:r>
        <w:t xml:space="preserve"> und sie sollen ihm eine Buße von 100 Silberschekel auferlegen und sie dem Vater des Mädchens geben, weil er einen bösen Namen über eine Jungfrau in Jisra'el gebracht hat. Und sie soll seine Frau sein; er kann sie nicht alle seine Tage entlassen.</w:t>
      </w:r>
    </w:p>
    <w:p w14:paraId="01EC9252" w14:textId="77777777" w:rsidR="00C178BF" w:rsidRDefault="004F5CEB" w:rsidP="00C178BF">
      <w:r>
        <w:rPr>
          <w:noProof/>
        </w:rPr>
        <w:pict w14:anchorId="37523B67">
          <v:rect id="_x0000_i1614" style="width:0;height:1.5pt" o:hralign="center" o:hrstd="t" o:hr="t" fillcolor="#a0a0a0" stroked="f"/>
        </w:pict>
      </w:r>
    </w:p>
    <w:p w14:paraId="6BB5F461" w14:textId="77777777" w:rsidR="00C178BF" w:rsidRDefault="00C178BF" w:rsidP="00C178BF">
      <w:pPr>
        <w:pStyle w:val="whitespace-normal"/>
      </w:pPr>
      <w:r>
        <w:rPr>
          <w:rStyle w:val="Fett"/>
          <w:rFonts w:eastAsiaTheme="majorEastAsia"/>
        </w:rPr>
        <w:t>Kommentar:</w:t>
      </w:r>
      <w:r>
        <w:t xml:space="preserve"> </w:t>
      </w:r>
      <w:r>
        <w:rPr>
          <w:rStyle w:val="Fett"/>
          <w:rFonts w:eastAsiaTheme="majorEastAsia"/>
          <w:rtl/>
        </w:rPr>
        <w:t>וְעָנְשׁוּ אֹתוֹ מֵאָה כֶסֶף וְנָתְנוּ לַאֲבִי הַנַּעֲרָה</w:t>
      </w:r>
      <w:r>
        <w:rPr>
          <w:rtl/>
        </w:rPr>
        <w:t xml:space="preserve"> </w:t>
      </w:r>
      <w:r>
        <w:t xml:space="preserve">sind zwei Strafen: </w:t>
      </w:r>
      <w:r>
        <w:rPr>
          <w:rStyle w:val="Fett"/>
          <w:rFonts w:eastAsiaTheme="majorEastAsia"/>
          <w:rtl/>
        </w:rPr>
        <w:t>וְעָנְשׁוּ אֹתוֹ מֵאָה כֶסֶף</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ענשׁ</w:t>
      </w:r>
      <w:r>
        <w:t xml:space="preserve">, Qal Perfekt, 3. Person Plural, „bestrafen, eine Geldstrafe auferlegen", Objektpartikel </w:t>
      </w:r>
      <w:r>
        <w:rPr>
          <w:rStyle w:val="Fett"/>
          <w:rFonts w:eastAsiaTheme="majorEastAsia"/>
          <w:rtl/>
        </w:rPr>
        <w:t>אֵת</w:t>
      </w:r>
      <w:r>
        <w:rPr>
          <w:rtl/>
        </w:rPr>
        <w:t xml:space="preserve"> </w:t>
      </w:r>
      <w:r>
        <w:t xml:space="preserve">mit Suffix 3. Person Maskulinum Singular, </w:t>
      </w:r>
      <w:r>
        <w:rPr>
          <w:rStyle w:val="Fett"/>
          <w:rFonts w:eastAsiaTheme="majorEastAsia"/>
          <w:rtl/>
        </w:rPr>
        <w:t>מֵאָה כֶסֶף</w:t>
      </w:r>
      <w:r>
        <w:t xml:space="preserve">, „hundert Silber[schekel]", mit </w:t>
      </w:r>
      <w:r>
        <w:rPr>
          <w:rStyle w:val="Fett"/>
          <w:rFonts w:eastAsiaTheme="majorEastAsia"/>
        </w:rPr>
        <w:t>Waw</w:t>
      </w:r>
      <w:r>
        <w:t xml:space="preserve"> consecutives Perfekt), </w:t>
      </w:r>
      <w:r>
        <w:rPr>
          <w:rStyle w:val="Fett"/>
          <w:rFonts w:eastAsiaTheme="majorEastAsia"/>
          <w:rtl/>
        </w:rPr>
        <w:t>וְנָתְנוּ לַאֲבִי הַנַּעֲרָה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נתן</w:t>
      </w:r>
      <w:r>
        <w:t xml:space="preserve">, Qal Perfekt, 3. Person Plural, </w:t>
      </w:r>
      <w:r>
        <w:rPr>
          <w:rStyle w:val="Fett"/>
          <w:rFonts w:eastAsiaTheme="majorEastAsia"/>
          <w:rtl/>
        </w:rPr>
        <w:t>לַאֲבִי הַנַּעֲרָה</w:t>
      </w:r>
      <w:r>
        <w:t xml:space="preserve">, Präposition </w:t>
      </w:r>
      <w:r>
        <w:rPr>
          <w:rStyle w:val="Fett"/>
          <w:rFonts w:eastAsiaTheme="majorEastAsia"/>
          <w:rtl/>
        </w:rPr>
        <w:t>לְ</w:t>
      </w:r>
      <w:r>
        <w:rPr>
          <w:rtl/>
        </w:rPr>
        <w:t xml:space="preserve"> </w:t>
      </w:r>
      <w:r>
        <w:t xml:space="preserve">mit </w:t>
      </w:r>
      <w:r>
        <w:rPr>
          <w:rStyle w:val="Fett"/>
          <w:rFonts w:eastAsiaTheme="majorEastAsia"/>
          <w:rtl/>
        </w:rPr>
        <w:t>אָב</w:t>
      </w:r>
      <w:r>
        <w:rPr>
          <w:rtl/>
        </w:rPr>
        <w:t xml:space="preserve"> </w:t>
      </w:r>
      <w:r>
        <w:t xml:space="preserve">Construct mit </w:t>
      </w:r>
      <w:r>
        <w:rPr>
          <w:rStyle w:val="Fett"/>
          <w:rFonts w:eastAsiaTheme="majorEastAsia"/>
          <w:rtl/>
        </w:rPr>
        <w:t>נַעַר</w:t>
      </w:r>
      <w:r>
        <w:rPr>
          <w:rtl/>
        </w:rPr>
        <w:t xml:space="preserve"> </w:t>
      </w:r>
      <w:r>
        <w:t xml:space="preserve">Femininum mit Artikel, mit </w:t>
      </w:r>
      <w:r>
        <w:rPr>
          <w:rStyle w:val="Fett"/>
          <w:rFonts w:eastAsiaTheme="majorEastAsia"/>
        </w:rPr>
        <w:t>Waw</w:t>
      </w:r>
      <w:r>
        <w:t xml:space="preserve"> consecutives Perfekt).</w:t>
      </w:r>
    </w:p>
    <w:p w14:paraId="3E6D2DF8" w14:textId="77777777" w:rsidR="00C178BF" w:rsidRDefault="00C178BF" w:rsidP="00C178BF">
      <w:pPr>
        <w:pStyle w:val="whitespace-normal"/>
      </w:pPr>
      <w:r>
        <w:rPr>
          <w:rStyle w:val="Fett"/>
          <w:rFonts w:eastAsiaTheme="majorEastAsia"/>
          <w:rtl/>
        </w:rPr>
        <w:t>כִּי הוֹצִיא שֵׁם רָע עַל בְּתוּלַת יִשְׂרָאֵל</w:t>
      </w:r>
      <w:r>
        <w:rPr>
          <w:rtl/>
        </w:rPr>
        <w:t xml:space="preserve"> </w:t>
      </w:r>
      <w:r>
        <w:t xml:space="preserve">ist die Begründung: </w:t>
      </w:r>
      <w:r>
        <w:rPr>
          <w:rStyle w:val="Fett"/>
          <w:rFonts w:eastAsiaTheme="majorEastAsia"/>
          <w:rtl/>
        </w:rPr>
        <w:t>כִּי הוֹצִיא שֵׁם רָע</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יצא</w:t>
      </w:r>
      <w:r>
        <w:t xml:space="preserve">, Hiphil Perfekt, 3. Person Maskulinum Singular, </w:t>
      </w:r>
      <w:r>
        <w:rPr>
          <w:rStyle w:val="Fett"/>
          <w:rFonts w:eastAsiaTheme="majorEastAsia"/>
          <w:rtl/>
        </w:rPr>
        <w:t>שֵׁם רָע</w:t>
      </w:r>
      <w:r>
        <w:rPr>
          <w:rtl/>
        </w:rPr>
        <w:t xml:space="preserve"> </w:t>
      </w:r>
      <w:r>
        <w:t xml:space="preserve">wie V. 14), </w:t>
      </w:r>
      <w:r>
        <w:rPr>
          <w:rStyle w:val="Fett"/>
          <w:rFonts w:eastAsiaTheme="majorEastAsia"/>
          <w:rtl/>
        </w:rPr>
        <w:t>עַל בְּתוּלַת יִשְׂרָאֵל</w:t>
      </w:r>
      <w:r>
        <w:rPr>
          <w:rtl/>
        </w:rPr>
        <w:t xml:space="preserve"> </w:t>
      </w:r>
      <w:r>
        <w:t xml:space="preserve">(Präposition </w:t>
      </w:r>
      <w:r>
        <w:rPr>
          <w:rStyle w:val="Fett"/>
          <w:rFonts w:eastAsiaTheme="majorEastAsia"/>
          <w:rtl/>
        </w:rPr>
        <w:t>עַל</w:t>
      </w:r>
      <w:r>
        <w:rPr>
          <w:rtl/>
        </w:rPr>
        <w:t xml:space="preserve"> </w:t>
      </w:r>
      <w:r>
        <w:t xml:space="preserve">mit </w:t>
      </w:r>
      <w:r>
        <w:rPr>
          <w:rStyle w:val="Fett"/>
          <w:rFonts w:eastAsiaTheme="majorEastAsia"/>
          <w:rtl/>
        </w:rPr>
        <w:t>בְּתוּלָה</w:t>
      </w:r>
      <w:r>
        <w:t xml:space="preserve">, „Jungfrau", Construct mit </w:t>
      </w:r>
      <w:r>
        <w:rPr>
          <w:rStyle w:val="Fett"/>
          <w:rFonts w:eastAsiaTheme="majorEastAsia"/>
          <w:rtl/>
        </w:rPr>
        <w:t>יִשְׂרָאֵל</w:t>
      </w:r>
      <w:r>
        <w:t>).</w:t>
      </w:r>
    </w:p>
    <w:p w14:paraId="7D894FE4" w14:textId="77777777" w:rsidR="00C178BF" w:rsidRDefault="00C178BF" w:rsidP="00C178BF">
      <w:pPr>
        <w:pStyle w:val="whitespace-normal"/>
      </w:pPr>
      <w:r>
        <w:rPr>
          <w:rStyle w:val="Fett"/>
          <w:rFonts w:eastAsiaTheme="majorEastAsia"/>
          <w:rtl/>
        </w:rPr>
        <w:t>וְלוֹ־תִהְיֶה לְאִשָּׁה לֹא־יוּכַל לְשַׁלְּחָהּ כָּל־יָמָיו</w:t>
      </w:r>
      <w:r>
        <w:rPr>
          <w:rtl/>
        </w:rPr>
        <w:t xml:space="preserve"> </w:t>
      </w:r>
      <w:r>
        <w:t xml:space="preserve">sind zwei weitere Bestimmungen: </w:t>
      </w:r>
      <w:r>
        <w:rPr>
          <w:rStyle w:val="Fett"/>
          <w:rFonts w:eastAsiaTheme="majorEastAsia"/>
          <w:rtl/>
        </w:rPr>
        <w:t>וְלוֹ־תִהְיֶה לְאִשָּׁה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לוֹ</w:t>
      </w:r>
      <w:r>
        <w:t xml:space="preserve">, Dativ, </w:t>
      </w:r>
      <w:r>
        <w:rPr>
          <w:rStyle w:val="Fett"/>
          <w:rFonts w:eastAsiaTheme="majorEastAsia"/>
          <w:rtl/>
        </w:rPr>
        <w:t>היה</w:t>
      </w:r>
      <w:r>
        <w:t xml:space="preserve">, Qal Imperfekt, 3. Person Femininum Singular, </w:t>
      </w:r>
      <w:r>
        <w:rPr>
          <w:rStyle w:val="Fett"/>
          <w:rFonts w:eastAsiaTheme="majorEastAsia"/>
          <w:rtl/>
        </w:rPr>
        <w:t>לְאִשָּׁה</w:t>
      </w:r>
      <w:r>
        <w:t xml:space="preserve">, Präposition </w:t>
      </w:r>
      <w:r>
        <w:rPr>
          <w:rStyle w:val="Fett"/>
          <w:rFonts w:eastAsiaTheme="majorEastAsia"/>
          <w:rtl/>
        </w:rPr>
        <w:t>לְ</w:t>
      </w:r>
      <w:r>
        <w:rPr>
          <w:rtl/>
        </w:rPr>
        <w:t xml:space="preserve"> </w:t>
      </w:r>
      <w:r>
        <w:t xml:space="preserve">mit </w:t>
      </w:r>
      <w:r>
        <w:rPr>
          <w:rStyle w:val="Fett"/>
          <w:rFonts w:eastAsiaTheme="majorEastAsia"/>
          <w:rtl/>
        </w:rPr>
        <w:t>אִשָּׁה</w:t>
      </w:r>
      <w:r>
        <w:rPr>
          <w:rtl/>
        </w:rPr>
        <w:t xml:space="preserve"> </w:t>
      </w:r>
      <w:r>
        <w:t xml:space="preserve">– „zur Frau"), </w:t>
      </w:r>
      <w:r>
        <w:rPr>
          <w:rStyle w:val="Fett"/>
          <w:rFonts w:eastAsiaTheme="majorEastAsia"/>
          <w:rtl/>
        </w:rPr>
        <w:t>לֹא־יוּכַל לְשַׁלְּחָהּ כָּל־יָמָיו</w:t>
      </w:r>
      <w:r>
        <w:rPr>
          <w:rtl/>
        </w:rPr>
        <w:t xml:space="preserve"> </w:t>
      </w:r>
      <w:r>
        <w:t xml:space="preserve">(Negation mit </w:t>
      </w:r>
      <w:r>
        <w:rPr>
          <w:rStyle w:val="Fett"/>
          <w:rFonts w:eastAsiaTheme="majorEastAsia"/>
          <w:rtl/>
        </w:rPr>
        <w:t>יכל</w:t>
      </w:r>
      <w:r>
        <w:t xml:space="preserve">, Qal Imperfekt, 3. Person Maskulinum Singular, </w:t>
      </w:r>
      <w:r>
        <w:rPr>
          <w:rStyle w:val="Fett"/>
          <w:rFonts w:eastAsiaTheme="majorEastAsia"/>
          <w:rtl/>
        </w:rPr>
        <w:t>לְשַׁלְּחָהּ</w:t>
      </w:r>
      <w:r>
        <w:t xml:space="preserve">, Präposition </w:t>
      </w:r>
      <w:r>
        <w:rPr>
          <w:rStyle w:val="Fett"/>
          <w:rFonts w:eastAsiaTheme="majorEastAsia"/>
          <w:rtl/>
        </w:rPr>
        <w:t>לְ</w:t>
      </w:r>
      <w:r>
        <w:rPr>
          <w:rtl/>
        </w:rPr>
        <w:t xml:space="preserve"> </w:t>
      </w:r>
      <w:r>
        <w:t xml:space="preserve">mit Piel Infinitiv Construct von </w:t>
      </w:r>
      <w:r>
        <w:rPr>
          <w:rStyle w:val="Fett"/>
          <w:rFonts w:eastAsiaTheme="majorEastAsia"/>
          <w:rtl/>
        </w:rPr>
        <w:t>שׁלח</w:t>
      </w:r>
      <w:r>
        <w:t xml:space="preserve">, „entlassen, scheiden", mit Suffix 3. Person Femininum Singular, </w:t>
      </w:r>
      <w:r>
        <w:rPr>
          <w:rStyle w:val="Fett"/>
          <w:rFonts w:eastAsiaTheme="majorEastAsia"/>
          <w:rtl/>
        </w:rPr>
        <w:t>כָּל־יָמָיו</w:t>
      </w:r>
      <w:r>
        <w:t>, „alle seine Tage").</w:t>
      </w:r>
    </w:p>
    <w:p w14:paraId="17CAE500" w14:textId="53C338BB" w:rsidR="00C178BF" w:rsidRDefault="00C178BF" w:rsidP="00C178BF">
      <w:pPr>
        <w:pStyle w:val="whitespace-normal"/>
      </w:pPr>
      <w:r>
        <w:t xml:space="preserve">Der Vers listet die Strafen für die erwiesene Falschanschuldigung: (1) </w:t>
      </w:r>
      <w:r>
        <w:rPr>
          <w:rStyle w:val="Fett"/>
          <w:rFonts w:eastAsiaTheme="majorEastAsia"/>
          <w:rtl/>
        </w:rPr>
        <w:t>וְעָנְשׁוּ אֹתוֹ מֵאָה כֶסֶף</w:t>
      </w:r>
      <w:r>
        <w:rPr>
          <w:rtl/>
        </w:rPr>
        <w:t xml:space="preserve"> </w:t>
      </w:r>
      <w:r>
        <w:t xml:space="preserve">(„sie sollen ihn bestrafen mit hundert Silber[schekel]") – eine hohe Geldstrafe. Zum Vergleich: Der Brautpreis für eine Jungfrau beträgt 50 Schekel (V. 29; Ex 22,16), also das Doppelte. (2) </w:t>
      </w:r>
      <w:r>
        <w:rPr>
          <w:rStyle w:val="Fett"/>
          <w:rFonts w:eastAsiaTheme="majorEastAsia"/>
          <w:rtl/>
        </w:rPr>
        <w:t>וְנָתְנוּ לַאֲבִי הַנַּעֲרָה</w:t>
      </w:r>
      <w:r>
        <w:rPr>
          <w:rtl/>
        </w:rPr>
        <w:t xml:space="preserve"> </w:t>
      </w:r>
      <w:r>
        <w:t xml:space="preserve">(„sie sollen geben dem Vater des Mädchens") – das Geld geht an den Vater als Wiedergutmachung für die Ehrverletzung. Die Begründung: </w:t>
      </w:r>
      <w:r>
        <w:rPr>
          <w:rStyle w:val="Fett"/>
          <w:rFonts w:eastAsiaTheme="majorEastAsia"/>
          <w:rtl/>
        </w:rPr>
        <w:t>כִּי הוֹצִיא שֵׁם רָע עַל בְּתוּלַת יִשְׂרָאֵל</w:t>
      </w:r>
      <w:r>
        <w:rPr>
          <w:rtl/>
        </w:rPr>
        <w:t xml:space="preserve"> </w:t>
      </w:r>
      <w:r>
        <w:t>(„</w:t>
      </w:r>
      <w:proofErr w:type="gramStart"/>
      <w:r>
        <w:t>weil</w:t>
      </w:r>
      <w:proofErr w:type="gramEnd"/>
      <w:r>
        <w:t xml:space="preserve"> er verbreitete einen bösen Namen über eine Jungfrau Israels") – die Formulierung </w:t>
      </w:r>
      <w:r>
        <w:rPr>
          <w:rStyle w:val="Fett"/>
          <w:rFonts w:eastAsiaTheme="majorEastAsia"/>
          <w:rtl/>
        </w:rPr>
        <w:t>בְּתוּלַת יִשְׂרָאֵל</w:t>
      </w:r>
      <w:r>
        <w:rPr>
          <w:rtl/>
        </w:rPr>
        <w:t xml:space="preserve"> </w:t>
      </w:r>
      <w:r>
        <w:t xml:space="preserve">betont: Sie ist nicht nur irgendeine Frau, sondern eine Angehörige der Bundesgemeinschaft. (3) </w:t>
      </w:r>
      <w:r>
        <w:rPr>
          <w:rStyle w:val="Fett"/>
          <w:rFonts w:eastAsiaTheme="majorEastAsia"/>
          <w:rtl/>
        </w:rPr>
        <w:t>וְלוֹ־תִהְיֶה לְאִשָּׁה</w:t>
      </w:r>
      <w:r>
        <w:rPr>
          <w:rtl/>
        </w:rPr>
        <w:t xml:space="preserve"> </w:t>
      </w:r>
      <w:r>
        <w:t xml:space="preserve">(„und ihm soll sie sein zur Frau") – die Ehe bleibt </w:t>
      </w:r>
      <w:r>
        <w:lastRenderedPageBreak/>
        <w:t xml:space="preserve">bestehen. (4) </w:t>
      </w:r>
      <w:r>
        <w:rPr>
          <w:rStyle w:val="Fett"/>
          <w:rFonts w:eastAsiaTheme="majorEastAsia"/>
          <w:rtl/>
        </w:rPr>
        <w:t>לֹא־יוּכַל לְשַׁלְּחָהּ כָּל־יָמָיו</w:t>
      </w:r>
      <w:r>
        <w:rPr>
          <w:rtl/>
        </w:rPr>
        <w:t xml:space="preserve"> </w:t>
      </w:r>
      <w:r>
        <w:t>(„nicht darf er sie entlassen alle seine Tage") – lebenslange Scheidungsverbot. Dies schützt die Frau: Der Mann, der sie fälschlich beschuldigt hat, kann sie nicht loswerden.</w:t>
      </w:r>
    </w:p>
    <w:p w14:paraId="03643082" w14:textId="366E551C" w:rsidR="00D00836" w:rsidRDefault="00D00836" w:rsidP="00C178BF">
      <w:pPr>
        <w:pStyle w:val="whitespace-normal"/>
      </w:pPr>
      <w:r>
        <w:rPr>
          <w:rStyle w:val="Fett"/>
        </w:rPr>
        <w:t>Die LXX</w:t>
      </w:r>
      <w:r>
        <w:t xml:space="preserve"> verwendet </w:t>
      </w:r>
      <w:proofErr w:type="spellStart"/>
      <w:r>
        <w:t>σίκλους</w:t>
      </w:r>
      <w:proofErr w:type="spellEnd"/>
      <w:r>
        <w:t xml:space="preserve"> (Schekel) für </w:t>
      </w:r>
      <w:r>
        <w:rPr>
          <w:rtl/>
        </w:rPr>
        <w:t>כֶּסֶף</w:t>
      </w:r>
      <w:r>
        <w:t xml:space="preserve"> (Silber) – eine Münzbezeichnung. Die Wendung </w:t>
      </w:r>
      <w:proofErr w:type="spellStart"/>
      <w:r>
        <w:t>τὸν</w:t>
      </w:r>
      <w:proofErr w:type="spellEnd"/>
      <w:r>
        <w:t xml:space="preserve"> ἅπα</w:t>
      </w:r>
      <w:proofErr w:type="spellStart"/>
      <w:r>
        <w:t>ντ</w:t>
      </w:r>
      <w:proofErr w:type="spellEnd"/>
      <w:r>
        <w:t xml:space="preserve">α </w:t>
      </w:r>
      <w:proofErr w:type="spellStart"/>
      <w:r>
        <w:t>χρόνον</w:t>
      </w:r>
      <w:proofErr w:type="spellEnd"/>
      <w:r>
        <w:t xml:space="preserve"> (die ganze Zeit) für </w:t>
      </w:r>
      <w:r>
        <w:rPr>
          <w:rtl/>
        </w:rPr>
        <w:t>כָּל־יָמָיו</w:t>
      </w:r>
      <w:r>
        <w:t xml:space="preserve"> (alle seine Tage) ist eine zeitliche Formulierung.</w:t>
      </w:r>
    </w:p>
    <w:p w14:paraId="5DBFFE8D" w14:textId="7B758397" w:rsidR="00C178BF" w:rsidRDefault="00C178BF" w:rsidP="00C178BF">
      <w:pPr>
        <w:pStyle w:val="whitespace-normal"/>
      </w:pPr>
      <w:r>
        <w:rPr>
          <w:rStyle w:val="Fett"/>
          <w:rFonts w:eastAsiaTheme="majorEastAsia"/>
        </w:rPr>
        <w:t>Die Satzstruktur:</w:t>
      </w:r>
      <w:r>
        <w:t xml:space="preserve"> Vier Bestimmungen mit Begründung (bestrafen sollen sie ihn mit hundert Silber, und geben sollen sie dem Vater des Mädchens, </w:t>
      </w:r>
      <w:r w:rsidR="008C1A51">
        <w:t>denn</w:t>
      </w:r>
      <w:r>
        <w:t xml:space="preserve"> er verbreitete einen bösen Namen über eine Jungfrau Israels; und ihm sein soll sie zur Frau, nicht darf er sie entlassen alle seine Tage).</w:t>
      </w:r>
    </w:p>
    <w:p w14:paraId="299540FD" w14:textId="77777777" w:rsidR="00C178BF" w:rsidRDefault="00C178BF" w:rsidP="00C178BF">
      <w:pPr>
        <w:pStyle w:val="whitespace-normal"/>
      </w:pPr>
      <w:r>
        <w:t>Der Vers beschreibt die Strafen: 100 Schekel Geldstrafe an den Vater, die Ehe bleibt bestehen, und er darf sie niemals scheiden.</w:t>
      </w:r>
    </w:p>
    <w:p w14:paraId="5DEAF49D" w14:textId="77777777" w:rsidR="00C178BF" w:rsidRPr="00B27A64" w:rsidRDefault="00C178BF" w:rsidP="00C178BF">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22,20</w:t>
      </w:r>
    </w:p>
    <w:p w14:paraId="19B7088C" w14:textId="77777777" w:rsidR="00C178BF" w:rsidRDefault="00C178BF" w:rsidP="00C178BF">
      <w:pPr>
        <w:pStyle w:val="whitespace-normal"/>
      </w:pPr>
      <w:r>
        <w:rPr>
          <w:rStyle w:val="Fett"/>
          <w:rFonts w:eastAsiaTheme="majorEastAsia"/>
        </w:rPr>
        <w:t>Hebräisch:</w:t>
      </w:r>
      <w:r>
        <w:t xml:space="preserve"> </w:t>
      </w:r>
      <w:r>
        <w:rPr>
          <w:rtl/>
        </w:rPr>
        <w:t>וְאִם־אֱמֶ֣ת הָיָ֔ה הַדָּבָ֖ר הַזֶּ֑ה לֹא־נִמְצְא֥וּ בְתוּלִ֖ים לַנַּעַר׃</w:t>
      </w:r>
    </w:p>
    <w:p w14:paraId="1DCFB0B6" w14:textId="77777777" w:rsidR="00C178BF" w:rsidRDefault="00C178BF" w:rsidP="00C178BF">
      <w:pPr>
        <w:pStyle w:val="whitespace-normal"/>
      </w:pPr>
      <w:r>
        <w:rPr>
          <w:rStyle w:val="Fett"/>
          <w:rFonts w:eastAsiaTheme="majorEastAsia"/>
        </w:rPr>
        <w:t>Deutsch:</w:t>
      </w:r>
      <w:r>
        <w:t xml:space="preserve"> Wenn aber diese Sache wahr ist, wenn die Zeichen der Jungfrauschaft an dem Mädchen nicht gefunden worden sind,</w:t>
      </w:r>
    </w:p>
    <w:p w14:paraId="43BB0564" w14:textId="77777777" w:rsidR="00C178BF" w:rsidRDefault="004F5CEB" w:rsidP="00C178BF">
      <w:r>
        <w:rPr>
          <w:noProof/>
        </w:rPr>
        <w:pict w14:anchorId="68BD9CE8">
          <v:rect id="_x0000_i1615" style="width:0;height:1.5pt" o:hralign="center" o:hrstd="t" o:hr="t" fillcolor="#a0a0a0" stroked="f"/>
        </w:pict>
      </w:r>
    </w:p>
    <w:p w14:paraId="78CAADE8" w14:textId="77777777" w:rsidR="00C178BF" w:rsidRDefault="00C178BF" w:rsidP="00C178BF">
      <w:pPr>
        <w:pStyle w:val="whitespace-normal"/>
      </w:pPr>
      <w:r>
        <w:rPr>
          <w:rStyle w:val="Fett"/>
          <w:rFonts w:eastAsiaTheme="majorEastAsia"/>
        </w:rPr>
        <w:t>Kommentar:</w:t>
      </w:r>
      <w:r>
        <w:t xml:space="preserve"> </w:t>
      </w:r>
      <w:r>
        <w:rPr>
          <w:rStyle w:val="Fett"/>
          <w:rFonts w:eastAsiaTheme="majorEastAsia"/>
          <w:rtl/>
        </w:rPr>
        <w:t>וְאִם־אֱמֶת הָיָה הַדָּבָר הַזֶּה לֹא־נִמְצְאוּ בְתוּלִים לַנַּעַר</w:t>
      </w:r>
      <w:r>
        <w:rPr>
          <w:rtl/>
        </w:rPr>
        <w:t xml:space="preserve"> </w:t>
      </w:r>
      <w:r>
        <w:t xml:space="preserve">ist die alternative Bedingung: </w:t>
      </w:r>
      <w:r>
        <w:rPr>
          <w:rStyle w:val="Fett"/>
          <w:rFonts w:eastAsiaTheme="majorEastAsia"/>
          <w:rtl/>
        </w:rPr>
        <w:t>וְאִם־אֱמֶת הָיָה הַדָּבָר הַזֶּה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אִם</w:t>
      </w:r>
      <w:r>
        <w:t xml:space="preserve">, „wenn", </w:t>
      </w:r>
      <w:r>
        <w:rPr>
          <w:rStyle w:val="Fett"/>
          <w:rFonts w:eastAsiaTheme="majorEastAsia"/>
          <w:rtl/>
        </w:rPr>
        <w:t>אֱמֶת</w:t>
      </w:r>
      <w:r>
        <w:t xml:space="preserve">, „Wahrheit, wahr", </w:t>
      </w:r>
      <w:r>
        <w:rPr>
          <w:rStyle w:val="Fett"/>
          <w:rFonts w:eastAsiaTheme="majorEastAsia"/>
          <w:rtl/>
        </w:rPr>
        <w:t>היה</w:t>
      </w:r>
      <w:r>
        <w:t xml:space="preserve">, Qal Perfekt, 3. Person Maskulinum Singular, </w:t>
      </w:r>
      <w:r>
        <w:rPr>
          <w:rStyle w:val="Fett"/>
          <w:rFonts w:eastAsiaTheme="majorEastAsia"/>
          <w:rtl/>
        </w:rPr>
        <w:t>הַדָּבָר הַזֶּה</w:t>
      </w:r>
      <w:r>
        <w:t xml:space="preserve">, </w:t>
      </w:r>
      <w:r>
        <w:rPr>
          <w:rStyle w:val="Fett"/>
          <w:rFonts w:eastAsiaTheme="majorEastAsia"/>
          <w:rtl/>
        </w:rPr>
        <w:t>דָּבָר</w:t>
      </w:r>
      <w:r>
        <w:rPr>
          <w:rtl/>
        </w:rPr>
        <w:t xml:space="preserve"> </w:t>
      </w:r>
      <w:r>
        <w:t xml:space="preserve">mit Artikel und Demonstrativpronomen – „diese Sache"), </w:t>
      </w:r>
      <w:r>
        <w:rPr>
          <w:rStyle w:val="Fett"/>
          <w:rFonts w:eastAsiaTheme="majorEastAsia"/>
          <w:rtl/>
        </w:rPr>
        <w:t>לֹא־נִמְצְאוּ בְתוּלִים לַנַּעַר</w:t>
      </w:r>
      <w:r>
        <w:rPr>
          <w:rtl/>
        </w:rPr>
        <w:t xml:space="preserve"> </w:t>
      </w:r>
      <w:r>
        <w:t xml:space="preserve">(Negation mit </w:t>
      </w:r>
      <w:r>
        <w:rPr>
          <w:rStyle w:val="Fett"/>
          <w:rFonts w:eastAsiaTheme="majorEastAsia"/>
          <w:rtl/>
        </w:rPr>
        <w:t>מצא</w:t>
      </w:r>
      <w:r>
        <w:t xml:space="preserve">, Niphal Perfekt, 3. Person Plural, „gefunden werden", </w:t>
      </w:r>
      <w:r>
        <w:rPr>
          <w:rStyle w:val="Fett"/>
          <w:rFonts w:eastAsiaTheme="majorEastAsia"/>
          <w:rtl/>
        </w:rPr>
        <w:t>בְּתוּלִים</w:t>
      </w:r>
      <w:r>
        <w:t xml:space="preserve">, </w:t>
      </w:r>
      <w:r>
        <w:rPr>
          <w:rStyle w:val="Fett"/>
          <w:rFonts w:eastAsiaTheme="majorEastAsia"/>
          <w:rtl/>
        </w:rPr>
        <w:t>לַנַּעַר</w:t>
      </w:r>
      <w:r>
        <w:t xml:space="preserve">, Präposition </w:t>
      </w:r>
      <w:r>
        <w:rPr>
          <w:rStyle w:val="Fett"/>
          <w:rFonts w:eastAsiaTheme="majorEastAsia"/>
          <w:rtl/>
        </w:rPr>
        <w:t>לְ</w:t>
      </w:r>
      <w:r>
        <w:rPr>
          <w:rtl/>
        </w:rPr>
        <w:t xml:space="preserve"> </w:t>
      </w:r>
      <w:r>
        <w:t xml:space="preserve">mit </w:t>
      </w:r>
      <w:r>
        <w:rPr>
          <w:rStyle w:val="Fett"/>
          <w:rFonts w:eastAsiaTheme="majorEastAsia"/>
          <w:rtl/>
        </w:rPr>
        <w:t>נַעַר</w:t>
      </w:r>
      <w:r>
        <w:rPr>
          <w:rtl/>
        </w:rPr>
        <w:t xml:space="preserve"> </w:t>
      </w:r>
      <w:r>
        <w:t>Femininum mit Artikel).</w:t>
      </w:r>
    </w:p>
    <w:p w14:paraId="127EA2A8" w14:textId="5EC19DFB" w:rsidR="00C178BF" w:rsidRDefault="00C178BF" w:rsidP="00C178BF">
      <w:pPr>
        <w:pStyle w:val="whitespace-normal"/>
      </w:pPr>
      <w:r>
        <w:t xml:space="preserve">Der Vers setzt die alternative Situation: Was, wenn die Anschuldigung des Mannes wahr ist? Die Bedingung: </w:t>
      </w:r>
      <w:r>
        <w:rPr>
          <w:rStyle w:val="Fett"/>
          <w:rFonts w:eastAsiaTheme="majorEastAsia"/>
          <w:rtl/>
        </w:rPr>
        <w:t>וְאִם־אֱמֶת הָיָה הַדָּבָר הַזֶּה</w:t>
      </w:r>
      <w:r>
        <w:rPr>
          <w:rtl/>
        </w:rPr>
        <w:t xml:space="preserve"> </w:t>
      </w:r>
      <w:r>
        <w:t xml:space="preserve">(„und wenn wahr war diese Sache"). Das Wort </w:t>
      </w:r>
      <w:r>
        <w:rPr>
          <w:rStyle w:val="Fett"/>
          <w:rFonts w:eastAsiaTheme="majorEastAsia"/>
          <w:rtl/>
        </w:rPr>
        <w:t>אֱמֶת</w:t>
      </w:r>
      <w:r>
        <w:rPr>
          <w:rtl/>
        </w:rPr>
        <w:t xml:space="preserve"> </w:t>
      </w:r>
      <w:r>
        <w:t xml:space="preserve">(„Wahrheit, wahr") steht ohne Artikel und </w:t>
      </w:r>
      <w:r w:rsidR="008C1A51">
        <w:t>fungiert</w:t>
      </w:r>
      <w:r>
        <w:t xml:space="preserve"> als Adjektiv. Die Präzisierung: </w:t>
      </w:r>
      <w:r>
        <w:rPr>
          <w:rStyle w:val="Fett"/>
          <w:rFonts w:eastAsiaTheme="majorEastAsia"/>
          <w:rtl/>
        </w:rPr>
        <w:t>לֹא־נִמְצְאוּ בְתוּלִים לַנַּעַר</w:t>
      </w:r>
      <w:r>
        <w:rPr>
          <w:rtl/>
        </w:rPr>
        <w:t xml:space="preserve"> </w:t>
      </w:r>
      <w:r>
        <w:t xml:space="preserve">(„nicht gefunden wurden Jungfrauschaftszeichen bei dem Mädchen"). Das Verb </w:t>
      </w:r>
      <w:r>
        <w:rPr>
          <w:rStyle w:val="Fett"/>
          <w:rFonts w:eastAsiaTheme="majorEastAsia"/>
          <w:rtl/>
        </w:rPr>
        <w:t>מצא</w:t>
      </w:r>
      <w:r>
        <w:rPr>
          <w:rtl/>
        </w:rPr>
        <w:t xml:space="preserve"> </w:t>
      </w:r>
      <w:r>
        <w:t xml:space="preserve">im Niphal („gefunden werden") ist Passiv. </w:t>
      </w:r>
      <w:r>
        <w:rPr>
          <w:rStyle w:val="Fett"/>
          <w:rFonts w:eastAsiaTheme="majorEastAsia"/>
          <w:rtl/>
        </w:rPr>
        <w:t>לַנַּעַר</w:t>
      </w:r>
      <w:r>
        <w:rPr>
          <w:rtl/>
        </w:rPr>
        <w:t xml:space="preserve"> </w:t>
      </w:r>
      <w:r>
        <w:t>(„bei dem Mädchen") – die Eltern konnten keinen Beweis vorlegen, oder der vorgelegte Beweis war nicht überzeugend. Dies bedeutet: Die Frau war tatsächlich keine Jungfrau bei der Hochzeit. V. 21 wird die schwere Strafe beschreiben.</w:t>
      </w:r>
    </w:p>
    <w:p w14:paraId="1F32C6CC" w14:textId="77777777" w:rsidR="00C178BF" w:rsidRDefault="00C178BF" w:rsidP="00C178BF">
      <w:pPr>
        <w:pStyle w:val="whitespace-normal"/>
      </w:pPr>
      <w:r>
        <w:rPr>
          <w:rStyle w:val="Fett"/>
          <w:rFonts w:eastAsiaTheme="majorEastAsia"/>
        </w:rPr>
        <w:t>Die Satzstruktur:</w:t>
      </w:r>
      <w:r>
        <w:t xml:space="preserve"> Alternative Bedingung (und wenn wahr war diese Sache: nicht gefunden wurden Jungfrauschaftszeichen bei dem Mädchen).</w:t>
      </w:r>
    </w:p>
    <w:p w14:paraId="7A0149B0" w14:textId="77777777" w:rsidR="00C178BF" w:rsidRDefault="00C178BF" w:rsidP="00C178BF">
      <w:pPr>
        <w:pStyle w:val="whitespace-normal"/>
      </w:pPr>
      <w:r>
        <w:t>Der Vers setzt die Alternative: Wenn die Anschuldigung aber wahr ist – die Jungfrauschaftszeichen wurden nicht gefunden.</w:t>
      </w:r>
    </w:p>
    <w:p w14:paraId="1E74CD04" w14:textId="77777777" w:rsidR="00C178BF" w:rsidRPr="00B27A64" w:rsidRDefault="00C178BF" w:rsidP="00C178BF">
      <w:pPr>
        <w:pStyle w:val="berschrift1"/>
        <w:rPr>
          <w:rFonts w:ascii="Times New Roman" w:hAnsi="Times New Roman"/>
          <w:color w:val="auto"/>
          <w:sz w:val="36"/>
          <w:szCs w:val="36"/>
        </w:rPr>
      </w:pPr>
      <w:r w:rsidRPr="00B27A64">
        <w:rPr>
          <w:rStyle w:val="Fett"/>
          <w:rFonts w:ascii="Times New Roman" w:hAnsi="Times New Roman"/>
          <w:color w:val="auto"/>
          <w:sz w:val="36"/>
          <w:szCs w:val="36"/>
        </w:rPr>
        <w:lastRenderedPageBreak/>
        <w:t>Deuteronomium 22,21</w:t>
      </w:r>
    </w:p>
    <w:p w14:paraId="01E9D179" w14:textId="77777777" w:rsidR="00C178BF" w:rsidRDefault="00C178BF" w:rsidP="00C178BF">
      <w:pPr>
        <w:pStyle w:val="whitespace-normal"/>
      </w:pPr>
      <w:r>
        <w:rPr>
          <w:rStyle w:val="Fett"/>
          <w:rFonts w:eastAsiaTheme="majorEastAsia"/>
        </w:rPr>
        <w:t>Hebräisch:</w:t>
      </w:r>
      <w:r>
        <w:t xml:space="preserve"> </w:t>
      </w:r>
      <w:r>
        <w:rPr>
          <w:rtl/>
        </w:rPr>
        <w:t>וְהוֹצִ֨יאוּ אֶת־הַנַּעַר אֶל־פֶּ֣תַח בֵּית־אָבִ֗יהָ וּסְקָלוּהָ֩ אַנְשֵׁ֨י עִירָ֤הּ בָּאֲבָנִים֙ וָמֵ֔תָה כִּֽי־עָשְׂתָ֤ה נְבָלָה֙ בְּיִשְׂרָאֵ֔ל לִזְנ֖וֹת בֵּ֣ית אָבִ֑יהָ וּבִֽעַרְתָּ֥ הָרָ֖ע מִקִּרְבֶּֽךָ׃</w:t>
      </w:r>
    </w:p>
    <w:p w14:paraId="0215B938" w14:textId="77777777" w:rsidR="00C178BF" w:rsidRDefault="00C178BF" w:rsidP="00C178BF">
      <w:pPr>
        <w:pStyle w:val="whitespace-normal"/>
      </w:pPr>
      <w:r>
        <w:rPr>
          <w:rStyle w:val="Fett"/>
          <w:rFonts w:eastAsiaTheme="majorEastAsia"/>
        </w:rPr>
        <w:t>Deutsch:</w:t>
      </w:r>
      <w:r>
        <w:t xml:space="preserve"> so soll man das Mädchen zum Eingang des Hauses ihres Vaters hinausführen, und die Männer ihrer Stadt sollen sie steinigen, dass sie stirbt, weil sie eine Schandtat in Jisra'el begangen hat, indem sie Hurerei im Haus ihres Vaters trieb. Und du sollst das Böse aus deiner Mitte wegschaffen.</w:t>
      </w:r>
    </w:p>
    <w:p w14:paraId="166F5DE9" w14:textId="77777777" w:rsidR="00C178BF" w:rsidRDefault="004F5CEB" w:rsidP="00C178BF">
      <w:r>
        <w:rPr>
          <w:noProof/>
        </w:rPr>
        <w:pict w14:anchorId="4D395CDA">
          <v:rect id="_x0000_i1616" style="width:0;height:1.5pt" o:hralign="center" o:hrstd="t" o:hr="t" fillcolor="#a0a0a0" stroked="f"/>
        </w:pict>
      </w:r>
    </w:p>
    <w:p w14:paraId="49725F79" w14:textId="77777777" w:rsidR="00C178BF" w:rsidRDefault="00C178BF" w:rsidP="00C178BF">
      <w:pPr>
        <w:pStyle w:val="whitespace-normal"/>
      </w:pPr>
      <w:r>
        <w:rPr>
          <w:rStyle w:val="Fett"/>
          <w:rFonts w:eastAsiaTheme="majorEastAsia"/>
        </w:rPr>
        <w:t>Kommentar:</w:t>
      </w:r>
      <w:r>
        <w:t xml:space="preserve"> </w:t>
      </w:r>
      <w:r>
        <w:rPr>
          <w:rStyle w:val="Fett"/>
          <w:rFonts w:eastAsiaTheme="majorEastAsia"/>
          <w:rtl/>
        </w:rPr>
        <w:t>וְהוֹצִיאוּ אֶת־הַנַּעַר אֶל־פֶּתַח בֵּית־אָבִיהָ וּסְקָלוּהָ אַנְשֵׁי עִירָהּ בָּאֲבָנִים וָמֵתָה</w:t>
      </w:r>
      <w:r>
        <w:rPr>
          <w:rtl/>
        </w:rPr>
        <w:t xml:space="preserve"> </w:t>
      </w:r>
      <w:r>
        <w:t xml:space="preserve">sind drei Anweisungen: </w:t>
      </w:r>
      <w:r>
        <w:rPr>
          <w:rStyle w:val="Fett"/>
          <w:rFonts w:eastAsiaTheme="majorEastAsia"/>
          <w:rtl/>
        </w:rPr>
        <w:t>וְהוֹצִיאוּ אֶת־הַנַּעַר אֶל־פֶּתַח בֵּית־אָבִיהָ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יצא</w:t>
      </w:r>
      <w:r>
        <w:t xml:space="preserve">, Hiphil Perfekt, 3. Person Plural, Objektpartikel </w:t>
      </w:r>
      <w:r>
        <w:rPr>
          <w:rStyle w:val="Fett"/>
          <w:rFonts w:eastAsiaTheme="majorEastAsia"/>
          <w:rtl/>
        </w:rPr>
        <w:t>אֵת</w:t>
      </w:r>
      <w:r>
        <w:rPr>
          <w:rtl/>
        </w:rPr>
        <w:t xml:space="preserve"> </w:t>
      </w:r>
      <w:r>
        <w:t xml:space="preserve">mit </w:t>
      </w:r>
      <w:r>
        <w:rPr>
          <w:rStyle w:val="Fett"/>
          <w:rFonts w:eastAsiaTheme="majorEastAsia"/>
          <w:rtl/>
        </w:rPr>
        <w:t>נַעַר</w:t>
      </w:r>
      <w:r>
        <w:rPr>
          <w:rtl/>
        </w:rPr>
        <w:t xml:space="preserve"> </w:t>
      </w:r>
      <w:r>
        <w:t xml:space="preserve">Femininum mit Artikel, Präposition </w:t>
      </w:r>
      <w:r>
        <w:rPr>
          <w:rStyle w:val="Fett"/>
          <w:rFonts w:eastAsiaTheme="majorEastAsia"/>
          <w:rtl/>
        </w:rPr>
        <w:t>אֶל</w:t>
      </w:r>
      <w:r>
        <w:rPr>
          <w:rtl/>
        </w:rPr>
        <w:t xml:space="preserve"> </w:t>
      </w:r>
      <w:r>
        <w:t xml:space="preserve">mit </w:t>
      </w:r>
      <w:r>
        <w:rPr>
          <w:rStyle w:val="Fett"/>
          <w:rFonts w:eastAsiaTheme="majorEastAsia"/>
          <w:rtl/>
        </w:rPr>
        <w:t>פֶּתַח</w:t>
      </w:r>
      <w:r>
        <w:t xml:space="preserve">, „Öffnung, Eingang", Construct mit </w:t>
      </w:r>
      <w:r>
        <w:rPr>
          <w:rStyle w:val="Fett"/>
          <w:rFonts w:eastAsiaTheme="majorEastAsia"/>
          <w:rtl/>
        </w:rPr>
        <w:t>בַּיִת</w:t>
      </w:r>
      <w:r>
        <w:t xml:space="preserve">, Construct mit </w:t>
      </w:r>
      <w:r>
        <w:rPr>
          <w:rStyle w:val="Fett"/>
          <w:rFonts w:eastAsiaTheme="majorEastAsia"/>
          <w:rtl/>
        </w:rPr>
        <w:t>אָב</w:t>
      </w:r>
      <w:r>
        <w:rPr>
          <w:rtl/>
        </w:rPr>
        <w:t xml:space="preserve"> </w:t>
      </w:r>
      <w:r>
        <w:t xml:space="preserve">mit Suffix 3. Person Femininum Singular, mit </w:t>
      </w:r>
      <w:r>
        <w:rPr>
          <w:rStyle w:val="Fett"/>
          <w:rFonts w:eastAsiaTheme="majorEastAsia"/>
        </w:rPr>
        <w:t>Waw</w:t>
      </w:r>
      <w:r>
        <w:t xml:space="preserve"> consecutives Perfekt), </w:t>
      </w:r>
      <w:r>
        <w:rPr>
          <w:rStyle w:val="Fett"/>
          <w:rFonts w:eastAsiaTheme="majorEastAsia"/>
          <w:rtl/>
        </w:rPr>
        <w:t>וּסְקָלוּהָ אַנְשֵׁי עִירָהּ בָּאֲבָנִים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סקל</w:t>
      </w:r>
      <w:r>
        <w:t xml:space="preserve">, Qal Perfekt, 3. Person Plural, „steinigen", mit Suffix 3. Person Femininum Singular, </w:t>
      </w:r>
      <w:r>
        <w:rPr>
          <w:rStyle w:val="Fett"/>
          <w:rFonts w:eastAsiaTheme="majorEastAsia"/>
          <w:rtl/>
        </w:rPr>
        <w:t>אַנְשֵׁי עִירָהּ</w:t>
      </w:r>
      <w:r>
        <w:rPr>
          <w:rtl/>
        </w:rPr>
        <w:t xml:space="preserve"> </w:t>
      </w:r>
      <w:r>
        <w:t>(</w:t>
      </w:r>
      <w:r>
        <w:rPr>
          <w:rStyle w:val="Fett"/>
          <w:rFonts w:eastAsiaTheme="majorEastAsia"/>
          <w:rtl/>
        </w:rPr>
        <w:t>אִישׁ</w:t>
      </w:r>
      <w:r>
        <w:rPr>
          <w:rtl/>
        </w:rPr>
        <w:t xml:space="preserve"> </w:t>
      </w:r>
      <w:r>
        <w:t xml:space="preserve">Plural Construct mit </w:t>
      </w:r>
      <w:r>
        <w:rPr>
          <w:rStyle w:val="Fett"/>
          <w:rFonts w:eastAsiaTheme="majorEastAsia"/>
          <w:rtl/>
        </w:rPr>
        <w:t>עִיר</w:t>
      </w:r>
      <w:r>
        <w:rPr>
          <w:rtl/>
        </w:rPr>
        <w:t xml:space="preserve"> </w:t>
      </w:r>
      <w:r>
        <w:t xml:space="preserve">mit Suffix 3. Person Femininum Singular) als Subjekt, </w:t>
      </w:r>
      <w:r>
        <w:rPr>
          <w:rStyle w:val="Fett"/>
          <w:rFonts w:eastAsiaTheme="majorEastAsia"/>
          <w:rtl/>
        </w:rPr>
        <w:t>בָּאֲבָנִים</w:t>
      </w:r>
      <w:r>
        <w:t xml:space="preserve">, Präposition </w:t>
      </w:r>
      <w:r>
        <w:rPr>
          <w:rStyle w:val="Fett"/>
          <w:rFonts w:eastAsiaTheme="majorEastAsia"/>
          <w:rtl/>
        </w:rPr>
        <w:t>בְּ</w:t>
      </w:r>
      <w:r>
        <w:rPr>
          <w:rtl/>
        </w:rPr>
        <w:t xml:space="preserve"> </w:t>
      </w:r>
      <w:r>
        <w:t xml:space="preserve">mit </w:t>
      </w:r>
      <w:r>
        <w:rPr>
          <w:rStyle w:val="Fett"/>
          <w:rFonts w:eastAsiaTheme="majorEastAsia"/>
          <w:rtl/>
        </w:rPr>
        <w:t>אֶבֶן</w:t>
      </w:r>
      <w:r>
        <w:rPr>
          <w:rtl/>
        </w:rPr>
        <w:t xml:space="preserve"> </w:t>
      </w:r>
      <w:r>
        <w:t xml:space="preserve">Plural mit Artikel, mit </w:t>
      </w:r>
      <w:r>
        <w:rPr>
          <w:rStyle w:val="Fett"/>
          <w:rFonts w:eastAsiaTheme="majorEastAsia"/>
        </w:rPr>
        <w:t>Waw</w:t>
      </w:r>
      <w:r>
        <w:t xml:space="preserve"> consecutives Perfekt), </w:t>
      </w:r>
      <w:r>
        <w:rPr>
          <w:rStyle w:val="Fett"/>
          <w:rFonts w:eastAsiaTheme="majorEastAsia"/>
          <w:rtl/>
        </w:rPr>
        <w:t>וָמֵתָה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מות</w:t>
      </w:r>
      <w:r>
        <w:t xml:space="preserve">, Qal Perfekt, 3. Person Femininum Singular, mit </w:t>
      </w:r>
      <w:r>
        <w:rPr>
          <w:rStyle w:val="Fett"/>
          <w:rFonts w:eastAsiaTheme="majorEastAsia"/>
        </w:rPr>
        <w:t>Waw</w:t>
      </w:r>
      <w:r>
        <w:t xml:space="preserve"> consecutives Perfekt).</w:t>
      </w:r>
    </w:p>
    <w:p w14:paraId="43C58123" w14:textId="77777777" w:rsidR="00C178BF" w:rsidRDefault="00C178BF" w:rsidP="00C178BF">
      <w:pPr>
        <w:pStyle w:val="whitespace-normal"/>
      </w:pPr>
      <w:r>
        <w:rPr>
          <w:rStyle w:val="Fett"/>
          <w:rFonts w:eastAsiaTheme="majorEastAsia"/>
          <w:rtl/>
        </w:rPr>
        <w:t>כִּי־עָשְׂתָה נְבָלָה בְּיִשְׂרָאֵל לִזְנוֹת בֵּית אָבִיהָ</w:t>
      </w:r>
      <w:r>
        <w:rPr>
          <w:rtl/>
        </w:rPr>
        <w:t xml:space="preserve"> </w:t>
      </w:r>
      <w:r>
        <w:t xml:space="preserve">ist die Begründung: </w:t>
      </w:r>
      <w:r>
        <w:rPr>
          <w:rStyle w:val="Fett"/>
          <w:rFonts w:eastAsiaTheme="majorEastAsia"/>
          <w:rtl/>
        </w:rPr>
        <w:t>כִּי־עָשְׂתָה נְבָלָה בְּיִשְׂרָאֵל</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עשׂה</w:t>
      </w:r>
      <w:r>
        <w:t xml:space="preserve">, Qal Perfekt, 3. Person Femininum Singular, </w:t>
      </w:r>
      <w:r>
        <w:rPr>
          <w:rStyle w:val="Fett"/>
          <w:rFonts w:eastAsiaTheme="majorEastAsia"/>
          <w:rtl/>
        </w:rPr>
        <w:t>נְבָלָה</w:t>
      </w:r>
      <w:r>
        <w:t xml:space="preserve">, „Schandtat, Torheit, Infamie", </w:t>
      </w:r>
      <w:r>
        <w:rPr>
          <w:rStyle w:val="Fett"/>
          <w:rFonts w:eastAsiaTheme="majorEastAsia"/>
          <w:rtl/>
        </w:rPr>
        <w:t>בְּיִשְׂרָאֵל</w:t>
      </w:r>
      <w:r>
        <w:t xml:space="preserve">), </w:t>
      </w:r>
      <w:r>
        <w:rPr>
          <w:rStyle w:val="Fett"/>
          <w:rFonts w:eastAsiaTheme="majorEastAsia"/>
          <w:rtl/>
        </w:rPr>
        <w:t>לִזְנוֹת בֵּית אָבִיהָ</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זנה</w:t>
      </w:r>
      <w:r>
        <w:t xml:space="preserve">, „huren, Unzucht treiben", </w:t>
      </w:r>
      <w:r>
        <w:rPr>
          <w:rStyle w:val="Fett"/>
          <w:rFonts w:eastAsiaTheme="majorEastAsia"/>
          <w:rtl/>
        </w:rPr>
        <w:t>בֵּית אָבִיהָ</w:t>
      </w:r>
      <w:r>
        <w:rPr>
          <w:rtl/>
        </w:rPr>
        <w:t xml:space="preserve"> </w:t>
      </w:r>
      <w:r>
        <w:t>als Subjekt oder Lokalangabe).</w:t>
      </w:r>
    </w:p>
    <w:p w14:paraId="0AF7FDBA" w14:textId="77777777" w:rsidR="00C178BF" w:rsidRDefault="00C178BF" w:rsidP="00C178BF">
      <w:pPr>
        <w:pStyle w:val="whitespace-normal"/>
      </w:pPr>
      <w:r>
        <w:rPr>
          <w:rStyle w:val="Fett"/>
          <w:rFonts w:eastAsiaTheme="majorEastAsia"/>
          <w:rtl/>
        </w:rPr>
        <w:t>וּבִעַרְתָּ הָרָע מִקִּרְבֶּךָ</w:t>
      </w:r>
      <w:r>
        <w:rPr>
          <w:rtl/>
        </w:rPr>
        <w:t xml:space="preserve"> </w:t>
      </w:r>
      <w:r>
        <w:t xml:space="preserve">ist die deuteronomische Formel: koordiniert durch </w:t>
      </w:r>
      <w:r>
        <w:rPr>
          <w:rStyle w:val="Fett"/>
          <w:rFonts w:eastAsiaTheme="majorEastAsia"/>
          <w:rtl/>
        </w:rPr>
        <w:t>וּ</w:t>
      </w:r>
      <w:r>
        <w:rPr>
          <w:rtl/>
        </w:rPr>
        <w:t xml:space="preserve"> </w:t>
      </w:r>
      <w:r>
        <w:t xml:space="preserve">mit </w:t>
      </w:r>
      <w:r>
        <w:rPr>
          <w:rStyle w:val="Fett"/>
          <w:rFonts w:eastAsiaTheme="majorEastAsia"/>
          <w:rtl/>
        </w:rPr>
        <w:t>בער</w:t>
      </w:r>
      <w:r>
        <w:t xml:space="preserve">, Piel Perfekt, 2. Person Maskulinum Singular, </w:t>
      </w:r>
      <w:r>
        <w:rPr>
          <w:rStyle w:val="Fett"/>
          <w:rFonts w:eastAsiaTheme="majorEastAsia"/>
          <w:rtl/>
        </w:rPr>
        <w:t>הָרָע</w:t>
      </w:r>
      <w:r>
        <w:rPr>
          <w:rtl/>
        </w:rPr>
        <w:t xml:space="preserve"> </w:t>
      </w:r>
      <w:r>
        <w:t xml:space="preserve">mit Artikel, </w:t>
      </w:r>
      <w:r>
        <w:rPr>
          <w:rStyle w:val="Fett"/>
          <w:rFonts w:eastAsiaTheme="majorEastAsia"/>
          <w:rtl/>
        </w:rPr>
        <w:t>מִקִּרְבֶּךָ</w:t>
      </w:r>
      <w:r>
        <w:rPr>
          <w:rtl/>
        </w:rPr>
        <w:t xml:space="preserve"> </w:t>
      </w:r>
      <w:r>
        <w:t>(vgl. 21,21).</w:t>
      </w:r>
    </w:p>
    <w:p w14:paraId="66CD6C29" w14:textId="77ABED4D" w:rsidR="00C178BF" w:rsidRDefault="00C178BF" w:rsidP="00C178BF">
      <w:pPr>
        <w:pStyle w:val="whitespace-normal"/>
      </w:pPr>
      <w:r>
        <w:t xml:space="preserve">Der Vers beschreibt die Exekution: (1) </w:t>
      </w:r>
      <w:r>
        <w:rPr>
          <w:rStyle w:val="Fett"/>
          <w:rFonts w:eastAsiaTheme="majorEastAsia"/>
          <w:rtl/>
        </w:rPr>
        <w:t>וְהוֹצִיאוּ אֶת־הַנַּעַר אֶל־פֶּתַח בֵּית־אָבִיהָ</w:t>
      </w:r>
      <w:r>
        <w:rPr>
          <w:rtl/>
        </w:rPr>
        <w:t xml:space="preserve"> </w:t>
      </w:r>
      <w:r>
        <w:t xml:space="preserve">(„sie sollen hinausführen das Mädchen zum Eingang des Hauses ihres Vaters") – symbolischer Ort: am Haus des Vaters, wo sie aufgewachsen ist, wo die Unzucht stattfand. (2) </w:t>
      </w:r>
      <w:r>
        <w:rPr>
          <w:rStyle w:val="Fett"/>
          <w:rFonts w:eastAsiaTheme="majorEastAsia"/>
          <w:rtl/>
        </w:rPr>
        <w:t>וּסְקָלוּהָ אַנְשֵׁי עִירָהּ בָּאֲבָנִים וָמֵתָה</w:t>
      </w:r>
      <w:r>
        <w:rPr>
          <w:rtl/>
        </w:rPr>
        <w:t xml:space="preserve"> </w:t>
      </w:r>
      <w:r>
        <w:t xml:space="preserve">(„steinigen sollen sie die Männer ihrer Stadt mit Steinen, und sterben wird sie") – öffentliche Hinrichtung durch Steinigung. Die Begründung: </w:t>
      </w:r>
      <w:r>
        <w:rPr>
          <w:rStyle w:val="Fett"/>
          <w:rFonts w:eastAsiaTheme="majorEastAsia"/>
          <w:rtl/>
        </w:rPr>
        <w:t>כִּי־עָשְׂתָה נְבָלָה בְּיִשְׂרָאֵל</w:t>
      </w:r>
      <w:r>
        <w:rPr>
          <w:rtl/>
        </w:rPr>
        <w:t xml:space="preserve"> </w:t>
      </w:r>
      <w:r>
        <w:t>(„</w:t>
      </w:r>
      <w:r w:rsidR="008C1A51">
        <w:t>denn</w:t>
      </w:r>
      <w:r>
        <w:t xml:space="preserve"> sie tat eine Schandtat in Israel"). Das Wort </w:t>
      </w:r>
      <w:r>
        <w:rPr>
          <w:rStyle w:val="Fett"/>
          <w:rFonts w:eastAsiaTheme="majorEastAsia"/>
          <w:rtl/>
        </w:rPr>
        <w:t>נְבָלָה</w:t>
      </w:r>
      <w:r>
        <w:rPr>
          <w:rtl/>
        </w:rPr>
        <w:t xml:space="preserve"> </w:t>
      </w:r>
      <w:r>
        <w:t xml:space="preserve">(„Schandtat") bezeichnet schwere moralische und sexuelle Vergehen (vgl. Gen 34,7; Jos 7,15; Ri 19,23.24; 20,6.10; </w:t>
      </w:r>
      <w:r w:rsidR="00664EB6">
        <w:t>2Sam</w:t>
      </w:r>
      <w:r>
        <w:t xml:space="preserve"> 13,12). Die Präzisierung: </w:t>
      </w:r>
      <w:r>
        <w:rPr>
          <w:rStyle w:val="Fett"/>
          <w:rFonts w:eastAsiaTheme="majorEastAsia"/>
          <w:rtl/>
        </w:rPr>
        <w:t>לִזְנוֹת בֵּית אָבִיהָ</w:t>
      </w:r>
      <w:r>
        <w:rPr>
          <w:rtl/>
        </w:rPr>
        <w:t xml:space="preserve"> </w:t>
      </w:r>
      <w:r>
        <w:t xml:space="preserve">(„indem sie hurte [im] Haus ihres Vaters") – </w:t>
      </w:r>
      <w:r>
        <w:rPr>
          <w:rStyle w:val="Fett"/>
          <w:rFonts w:eastAsiaTheme="majorEastAsia"/>
          <w:rtl/>
        </w:rPr>
        <w:t>בֵּית אָבִיהָ</w:t>
      </w:r>
      <w:r>
        <w:rPr>
          <w:rtl/>
        </w:rPr>
        <w:t xml:space="preserve"> </w:t>
      </w:r>
      <w:r>
        <w:t xml:space="preserve">kann bedeuten: (1) örtlich: im Haus des Vaters (während sie dort wohnte), (2) metaphorisch: unter der Verantwortung/im Haushalt des Vaters (bevor sie verheiratet wurde). Die Formulierung </w:t>
      </w:r>
      <w:r>
        <w:rPr>
          <w:rStyle w:val="Fett"/>
          <w:rFonts w:eastAsiaTheme="majorEastAsia"/>
          <w:rtl/>
        </w:rPr>
        <w:t>וּבִעַרְתָּ הָרָע מִקִּרְבֶּךָ</w:t>
      </w:r>
      <w:r>
        <w:rPr>
          <w:rtl/>
        </w:rPr>
        <w:t xml:space="preserve"> </w:t>
      </w:r>
      <w:r>
        <w:t>schließt ab (vgl. 21,21).</w:t>
      </w:r>
    </w:p>
    <w:p w14:paraId="25562532" w14:textId="4AE6AEB8" w:rsidR="00D00836" w:rsidRDefault="00D00836" w:rsidP="00C178BF">
      <w:pPr>
        <w:pStyle w:val="whitespace-normal"/>
      </w:pPr>
      <w:r>
        <w:rPr>
          <w:rStyle w:val="Fett"/>
        </w:rPr>
        <w:t>Die LXX</w:t>
      </w:r>
      <w:r>
        <w:t xml:space="preserve"> übersetzt </w:t>
      </w:r>
      <w:r>
        <w:rPr>
          <w:rtl/>
        </w:rPr>
        <w:t>נְבָלָה</w:t>
      </w:r>
      <w:r>
        <w:t xml:space="preserve"> (Schandtat, Torheit) mit </w:t>
      </w:r>
      <w:proofErr w:type="spellStart"/>
      <w:r>
        <w:t>ἀφροσύνην</w:t>
      </w:r>
      <w:proofErr w:type="spellEnd"/>
      <w:r>
        <w:t xml:space="preserve"> (Torheit, Unverstand) – ein stärkerer moralischer Begriff. Das Verb </w:t>
      </w:r>
      <w:proofErr w:type="spellStart"/>
      <w:r>
        <w:t>ἐκ</w:t>
      </w:r>
      <w:proofErr w:type="spellEnd"/>
      <w:r>
        <w:t xml:space="preserve">πορνεῦσαι (Hurerei treiben von... her) für </w:t>
      </w:r>
      <w:r>
        <w:rPr>
          <w:rtl/>
        </w:rPr>
        <w:t>לִזְנוֹת</w:t>
      </w:r>
      <w:r>
        <w:t xml:space="preserve"> ist ein zusammengesetztes Verb, das die Herkunft betont.</w:t>
      </w:r>
    </w:p>
    <w:p w14:paraId="71BB4572" w14:textId="4C677E94" w:rsidR="00C178BF" w:rsidRDefault="00C178BF" w:rsidP="00C178BF">
      <w:pPr>
        <w:pStyle w:val="whitespace-normal"/>
      </w:pPr>
      <w:r>
        <w:rPr>
          <w:rStyle w:val="Fett"/>
          <w:rFonts w:eastAsiaTheme="majorEastAsia"/>
        </w:rPr>
        <w:lastRenderedPageBreak/>
        <w:t>Die Satzstruktur:</w:t>
      </w:r>
      <w:r>
        <w:t xml:space="preserve"> Drei Anweisungen mit Begründung und Formel (hinausführen sollen sie das Mädchen zum Eingang des Hauses ihres Vaters, und steinigen sollen sie die Männer ihrer Stadt mit Steinen, und sterben wird sie; </w:t>
      </w:r>
      <w:r w:rsidR="008C1A51">
        <w:t>denn</w:t>
      </w:r>
      <w:r>
        <w:t xml:space="preserve"> sie tat eine Schandtat in Israel, indem sie hurte [im] Haus ihres Vaters; und wegschaffen sollst du das Böse aus deiner Mitte).</w:t>
      </w:r>
    </w:p>
    <w:p w14:paraId="38641D7A" w14:textId="77777777" w:rsidR="00C178BF" w:rsidRDefault="00C178BF" w:rsidP="00C178BF">
      <w:pPr>
        <w:pStyle w:val="whitespace-normal"/>
      </w:pPr>
      <w:r>
        <w:t>Der Vers beschreibt: Das Mädchen wird am Eingang des Vaterhauses gesteinigt – weil sie Unzucht im Vaterhaus getrieben hat.</w:t>
      </w:r>
    </w:p>
    <w:p w14:paraId="3DCE5CC8" w14:textId="77777777" w:rsidR="00C178BF" w:rsidRPr="00B27A64" w:rsidRDefault="00C178BF" w:rsidP="00C178BF">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22,22</w:t>
      </w:r>
    </w:p>
    <w:p w14:paraId="30CA4B16" w14:textId="77777777" w:rsidR="00C178BF" w:rsidRDefault="00C178BF" w:rsidP="00C178BF">
      <w:pPr>
        <w:pStyle w:val="whitespace-normal"/>
      </w:pPr>
      <w:r>
        <w:rPr>
          <w:rStyle w:val="Fett"/>
          <w:rFonts w:eastAsiaTheme="majorEastAsia"/>
        </w:rPr>
        <w:t>Hebräisch:</w:t>
      </w:r>
      <w:r>
        <w:t xml:space="preserve"> </w:t>
      </w:r>
      <w:r>
        <w:rPr>
          <w:rtl/>
        </w:rPr>
        <w:t>כִּֽי־יִמָּצֵ֨א אִ֜ישׁ שֹׁכֵ֣ב׀ עִם־אִשָּׁ֣ה בְעֻֽלַת־בַּ֗עַל וּמֵ֨תוּ֙ גַּם־שְׁנֵיהֶ֔ם הָאִ֛ישׁ הַשֹּׁכֵ֥ב עִם־הָאִשָּׁ֖ה וְהָאִשָּׁ֑ה וּבִֽעַרְתָּ֥ הָרָ֖ע מִיִּשְׂרָאֵֽל׃</w:t>
      </w:r>
    </w:p>
    <w:p w14:paraId="5BAF4A15" w14:textId="77777777" w:rsidR="00C178BF" w:rsidRDefault="00C178BF" w:rsidP="00C178BF">
      <w:pPr>
        <w:pStyle w:val="whitespace-normal"/>
      </w:pPr>
      <w:r>
        <w:rPr>
          <w:rStyle w:val="Fett"/>
          <w:rFonts w:eastAsiaTheme="majorEastAsia"/>
        </w:rPr>
        <w:t>Deutsch:</w:t>
      </w:r>
      <w:r>
        <w:t xml:space="preserve"> Wenn ein Mann bei einer verheirateten Frau liegend angetroffen wird, so sollen beide sterben, der Mann, der bei der Frau lag, und die Frau. Und du sollst das Böse aus Jisra'el wegschaffen.</w:t>
      </w:r>
    </w:p>
    <w:p w14:paraId="6EB9DF38" w14:textId="77777777" w:rsidR="00C178BF" w:rsidRDefault="004F5CEB" w:rsidP="00C178BF">
      <w:r>
        <w:rPr>
          <w:noProof/>
        </w:rPr>
        <w:pict w14:anchorId="4E308E4D">
          <v:rect id="_x0000_i1617" style="width:0;height:1.5pt" o:hralign="center" o:hrstd="t" o:hr="t" fillcolor="#a0a0a0" stroked="f"/>
        </w:pict>
      </w:r>
    </w:p>
    <w:p w14:paraId="6BB54E25" w14:textId="77777777" w:rsidR="00C178BF" w:rsidRDefault="00C178BF" w:rsidP="00C178BF">
      <w:pPr>
        <w:pStyle w:val="whitespace-normal"/>
      </w:pPr>
      <w:r>
        <w:rPr>
          <w:rStyle w:val="Fett"/>
          <w:rFonts w:eastAsiaTheme="majorEastAsia"/>
        </w:rPr>
        <w:t>Kommentar:</w:t>
      </w:r>
      <w:r>
        <w:t xml:space="preserve"> </w:t>
      </w:r>
      <w:r>
        <w:rPr>
          <w:rStyle w:val="Fett"/>
          <w:rFonts w:eastAsiaTheme="majorEastAsia"/>
          <w:rtl/>
        </w:rPr>
        <w:t>כִּי־יִמָּצֵא אִישׁ שֹׁכֵב עִם־אִשָּׁה בְעֻלַת־בַּעַל</w:t>
      </w:r>
      <w:r>
        <w:rPr>
          <w:rtl/>
        </w:rPr>
        <w:t xml:space="preserve"> </w:t>
      </w:r>
      <w:r>
        <w:t xml:space="preserve">ist die Bedingung: </w:t>
      </w:r>
      <w:r>
        <w:rPr>
          <w:rStyle w:val="Fett"/>
          <w:rFonts w:eastAsiaTheme="majorEastAsia"/>
          <w:rtl/>
        </w:rPr>
        <w:t>כִּי־יִמָּצֵא</w:t>
      </w:r>
      <w:r>
        <w:rPr>
          <w:rtl/>
        </w:rPr>
        <w:t xml:space="preserve"> </w:t>
      </w:r>
      <w:r>
        <w:t>(</w:t>
      </w:r>
      <w:r>
        <w:rPr>
          <w:rStyle w:val="Fett"/>
          <w:rFonts w:eastAsiaTheme="majorEastAsia"/>
          <w:rtl/>
        </w:rPr>
        <w:t>כִּי</w:t>
      </w:r>
      <w:r>
        <w:t xml:space="preserve">, „wenn", mit </w:t>
      </w:r>
      <w:r>
        <w:rPr>
          <w:rStyle w:val="Fett"/>
          <w:rFonts w:eastAsiaTheme="majorEastAsia"/>
          <w:rtl/>
        </w:rPr>
        <w:t>מצא</w:t>
      </w:r>
      <w:r>
        <w:t xml:space="preserve">, Niphal Imperfekt, 3. Person Maskulinum Singular, „gefunden werden, angetroffen werden"), </w:t>
      </w:r>
      <w:r>
        <w:rPr>
          <w:rStyle w:val="Fett"/>
          <w:rFonts w:eastAsiaTheme="majorEastAsia"/>
          <w:rtl/>
        </w:rPr>
        <w:t>אִישׁ שֹׁכֵב עִם־אִשָּׁה</w:t>
      </w:r>
      <w:r>
        <w:rPr>
          <w:rtl/>
        </w:rPr>
        <w:t xml:space="preserve"> </w:t>
      </w:r>
      <w:r>
        <w:t>(</w:t>
      </w:r>
      <w:r>
        <w:rPr>
          <w:rStyle w:val="Fett"/>
          <w:rFonts w:eastAsiaTheme="majorEastAsia"/>
          <w:rtl/>
        </w:rPr>
        <w:t>אִישׁ</w:t>
      </w:r>
      <w:r>
        <w:rPr>
          <w:rtl/>
        </w:rPr>
        <w:t xml:space="preserve"> </w:t>
      </w:r>
      <w:r>
        <w:t xml:space="preserve">als Subjekt, </w:t>
      </w:r>
      <w:r>
        <w:rPr>
          <w:rStyle w:val="Fett"/>
          <w:rFonts w:eastAsiaTheme="majorEastAsia"/>
          <w:rtl/>
        </w:rPr>
        <w:t>שׁכב</w:t>
      </w:r>
      <w:r>
        <w:t xml:space="preserve">, Qal Partizip, „liegen" – Euphemismus für Geschlechtsverkehr, Präposition </w:t>
      </w:r>
      <w:r>
        <w:rPr>
          <w:rStyle w:val="Fett"/>
          <w:rFonts w:eastAsiaTheme="majorEastAsia"/>
          <w:rtl/>
        </w:rPr>
        <w:t>עִם</w:t>
      </w:r>
      <w:r>
        <w:t xml:space="preserve">, „mit", </w:t>
      </w:r>
      <w:r>
        <w:rPr>
          <w:rStyle w:val="Fett"/>
          <w:rFonts w:eastAsiaTheme="majorEastAsia"/>
          <w:rtl/>
        </w:rPr>
        <w:t>אִשָּׁה</w:t>
      </w:r>
      <w:r>
        <w:t xml:space="preserve">), </w:t>
      </w:r>
      <w:r>
        <w:rPr>
          <w:rStyle w:val="Fett"/>
          <w:rFonts w:eastAsiaTheme="majorEastAsia"/>
          <w:rtl/>
        </w:rPr>
        <w:t>בְעֻלַת־בַּעַל</w:t>
      </w:r>
      <w:r>
        <w:rPr>
          <w:rtl/>
        </w:rPr>
        <w:t xml:space="preserve"> </w:t>
      </w:r>
      <w:r>
        <w:t>(</w:t>
      </w:r>
      <w:r>
        <w:rPr>
          <w:rStyle w:val="Fett"/>
          <w:rFonts w:eastAsiaTheme="majorEastAsia"/>
          <w:rtl/>
        </w:rPr>
        <w:t>בְּעוּלָה</w:t>
      </w:r>
      <w:r>
        <w:t xml:space="preserve">, „verheiratet, vermählt" – Qal Partizip Passiv Femininum von </w:t>
      </w:r>
      <w:r>
        <w:rPr>
          <w:rStyle w:val="Fett"/>
          <w:rFonts w:eastAsiaTheme="majorEastAsia"/>
          <w:rtl/>
        </w:rPr>
        <w:t>בעל</w:t>
      </w:r>
      <w:r>
        <w:t xml:space="preserve">, „besitzen, heiraten", Construct mit </w:t>
      </w:r>
      <w:r>
        <w:rPr>
          <w:rStyle w:val="Fett"/>
          <w:rFonts w:eastAsiaTheme="majorEastAsia"/>
          <w:rtl/>
        </w:rPr>
        <w:t>בַּעַל</w:t>
      </w:r>
      <w:r>
        <w:t xml:space="preserve">, „Herr, Ehemann" – die Construct-Verbindung </w:t>
      </w:r>
      <w:r>
        <w:rPr>
          <w:rStyle w:val="Fett"/>
          <w:rFonts w:eastAsiaTheme="majorEastAsia"/>
          <w:rtl/>
        </w:rPr>
        <w:t>בְעֻלַת־בַּעַל</w:t>
      </w:r>
      <w:r>
        <w:rPr>
          <w:rtl/>
        </w:rPr>
        <w:t xml:space="preserve"> </w:t>
      </w:r>
      <w:r>
        <w:t>bedeutet: „verheiratet mit einem Ehemann" = verheiratete Frau).</w:t>
      </w:r>
    </w:p>
    <w:p w14:paraId="2583C360" w14:textId="77777777" w:rsidR="00C178BF" w:rsidRDefault="00C178BF" w:rsidP="00C178BF">
      <w:pPr>
        <w:pStyle w:val="whitespace-normal"/>
      </w:pPr>
      <w:r>
        <w:rPr>
          <w:rStyle w:val="Fett"/>
          <w:rFonts w:eastAsiaTheme="majorEastAsia"/>
          <w:rtl/>
        </w:rPr>
        <w:t>וּמֵתוּ גַּם־שְׁנֵיהֶם הָאִישׁ הַשֹּׁכֵב עִם־הָאִשָּׁה וְהָאִשָּׁה</w:t>
      </w:r>
      <w:r>
        <w:rPr>
          <w:rtl/>
        </w:rPr>
        <w:t xml:space="preserve"> </w:t>
      </w:r>
      <w:r>
        <w:t xml:space="preserve">ist die Strafe: </w:t>
      </w:r>
      <w:r>
        <w:rPr>
          <w:rStyle w:val="Fett"/>
          <w:rFonts w:eastAsiaTheme="majorEastAsia"/>
          <w:rtl/>
        </w:rPr>
        <w:t>וּמֵתוּ גַּם־שְׁנֵיהֶם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מות</w:t>
      </w:r>
      <w:r>
        <w:t xml:space="preserve">, Qal Perfekt, 3. Person Plural, </w:t>
      </w:r>
      <w:r>
        <w:rPr>
          <w:rStyle w:val="Fett"/>
          <w:rFonts w:eastAsiaTheme="majorEastAsia"/>
          <w:rtl/>
        </w:rPr>
        <w:t>גַּם</w:t>
      </w:r>
      <w:r>
        <w:t xml:space="preserve">, „auch, sogar", </w:t>
      </w:r>
      <w:r>
        <w:rPr>
          <w:rStyle w:val="Fett"/>
          <w:rFonts w:eastAsiaTheme="majorEastAsia"/>
          <w:rtl/>
        </w:rPr>
        <w:t>שְׁנַיִם</w:t>
      </w:r>
      <w:r>
        <w:t xml:space="preserve">, „zwei", mit Suffix 3. Person Maskulinum Plural – „beide", mit </w:t>
      </w:r>
      <w:r>
        <w:rPr>
          <w:rStyle w:val="Fett"/>
          <w:rFonts w:eastAsiaTheme="majorEastAsia"/>
        </w:rPr>
        <w:t>Waw</w:t>
      </w:r>
      <w:r>
        <w:t xml:space="preserve"> consecutives Perfekt), </w:t>
      </w:r>
      <w:r>
        <w:rPr>
          <w:rStyle w:val="Fett"/>
          <w:rFonts w:eastAsiaTheme="majorEastAsia"/>
          <w:rtl/>
        </w:rPr>
        <w:t>הָאִישׁ הַשֹּׁכֵב עִם־הָאִשָּׁה וְהָאִשָּׁה</w:t>
      </w:r>
      <w:r>
        <w:rPr>
          <w:rtl/>
        </w:rPr>
        <w:t xml:space="preserve"> </w:t>
      </w:r>
      <w:r>
        <w:t>(</w:t>
      </w:r>
      <w:r>
        <w:rPr>
          <w:rStyle w:val="Fett"/>
          <w:rFonts w:eastAsiaTheme="majorEastAsia"/>
          <w:rtl/>
        </w:rPr>
        <w:t>אִישׁ</w:t>
      </w:r>
      <w:r>
        <w:rPr>
          <w:rtl/>
        </w:rPr>
        <w:t xml:space="preserve"> </w:t>
      </w:r>
      <w:r>
        <w:t xml:space="preserve">mit Artikel, Qal Partizip von </w:t>
      </w:r>
      <w:r>
        <w:rPr>
          <w:rStyle w:val="Fett"/>
          <w:rFonts w:eastAsiaTheme="majorEastAsia"/>
          <w:rtl/>
        </w:rPr>
        <w:t>שׁכב</w:t>
      </w:r>
      <w:r>
        <w:rPr>
          <w:rtl/>
        </w:rPr>
        <w:t xml:space="preserve"> </w:t>
      </w:r>
      <w:r>
        <w:t xml:space="preserve">mit Artikel, Präposition </w:t>
      </w:r>
      <w:r>
        <w:rPr>
          <w:rStyle w:val="Fett"/>
          <w:rFonts w:eastAsiaTheme="majorEastAsia"/>
          <w:rtl/>
        </w:rPr>
        <w:t>עִם</w:t>
      </w:r>
      <w:r>
        <w:rPr>
          <w:rtl/>
        </w:rPr>
        <w:t xml:space="preserve"> </w:t>
      </w:r>
      <w:r>
        <w:t xml:space="preserve">mit </w:t>
      </w:r>
      <w:r>
        <w:rPr>
          <w:rStyle w:val="Fett"/>
          <w:rFonts w:eastAsiaTheme="majorEastAsia"/>
          <w:rtl/>
        </w:rPr>
        <w:t>אִשָּׁה</w:t>
      </w:r>
      <w:r>
        <w:rPr>
          <w:rtl/>
        </w:rPr>
        <w:t xml:space="preserve"> </w:t>
      </w:r>
      <w:r>
        <w:t xml:space="preserve">mit Artikel, koordiniert durch </w:t>
      </w:r>
      <w:r>
        <w:rPr>
          <w:rStyle w:val="Fett"/>
          <w:rFonts w:eastAsiaTheme="majorEastAsia"/>
          <w:rtl/>
        </w:rPr>
        <w:t>וְ</w:t>
      </w:r>
      <w:r>
        <w:rPr>
          <w:rtl/>
        </w:rPr>
        <w:t xml:space="preserve"> </w:t>
      </w:r>
      <w:r>
        <w:t xml:space="preserve">mit </w:t>
      </w:r>
      <w:r>
        <w:rPr>
          <w:rStyle w:val="Fett"/>
          <w:rFonts w:eastAsiaTheme="majorEastAsia"/>
          <w:rtl/>
        </w:rPr>
        <w:t>אִשָּׁה</w:t>
      </w:r>
      <w:r>
        <w:rPr>
          <w:rtl/>
        </w:rPr>
        <w:t xml:space="preserve"> </w:t>
      </w:r>
      <w:r>
        <w:t>mit Artikel – erklärende Apposition).</w:t>
      </w:r>
    </w:p>
    <w:p w14:paraId="4AEAFCEF" w14:textId="77777777" w:rsidR="00C178BF" w:rsidRDefault="00C178BF" w:rsidP="00C178BF">
      <w:pPr>
        <w:pStyle w:val="whitespace-normal"/>
      </w:pPr>
      <w:r>
        <w:rPr>
          <w:rStyle w:val="Fett"/>
          <w:rFonts w:eastAsiaTheme="majorEastAsia"/>
          <w:rtl/>
        </w:rPr>
        <w:t>וּבִעַרְתָּ הָרָע מִיִּשְׂרָאֵל</w:t>
      </w:r>
      <w:r>
        <w:rPr>
          <w:rtl/>
        </w:rPr>
        <w:t xml:space="preserve"> </w:t>
      </w:r>
      <w:r>
        <w:t xml:space="preserve">ist die deuteronomische Formel: koordiniert durch </w:t>
      </w:r>
      <w:r>
        <w:rPr>
          <w:rStyle w:val="Fett"/>
          <w:rFonts w:eastAsiaTheme="majorEastAsia"/>
          <w:rtl/>
        </w:rPr>
        <w:t>וּ</w:t>
      </w:r>
      <w:r>
        <w:rPr>
          <w:rtl/>
        </w:rPr>
        <w:t xml:space="preserve"> </w:t>
      </w:r>
      <w:r>
        <w:t xml:space="preserve">mit </w:t>
      </w:r>
      <w:r>
        <w:rPr>
          <w:rStyle w:val="Fett"/>
          <w:rFonts w:eastAsiaTheme="majorEastAsia"/>
          <w:rtl/>
        </w:rPr>
        <w:t>בער</w:t>
      </w:r>
      <w:r>
        <w:t xml:space="preserve">, Piel Perfekt, 2. Person Maskulinum Singular, </w:t>
      </w:r>
      <w:r>
        <w:rPr>
          <w:rStyle w:val="Fett"/>
          <w:rFonts w:eastAsiaTheme="majorEastAsia"/>
          <w:rtl/>
        </w:rPr>
        <w:t>הָרָע</w:t>
      </w:r>
      <w:r>
        <w:rPr>
          <w:rtl/>
        </w:rPr>
        <w:t xml:space="preserve"> </w:t>
      </w:r>
      <w:r>
        <w:t xml:space="preserve">mit Artikel, </w:t>
      </w:r>
      <w:r>
        <w:rPr>
          <w:rStyle w:val="Fett"/>
          <w:rFonts w:eastAsiaTheme="majorEastAsia"/>
          <w:rtl/>
        </w:rPr>
        <w:t>מִיִּשְׂרָאֵל</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יִשְׂרָאֵל</w:t>
      </w:r>
      <w:r>
        <w:t>).</w:t>
      </w:r>
    </w:p>
    <w:p w14:paraId="33F64C78" w14:textId="0917E52C" w:rsidR="00C178BF" w:rsidRDefault="00C178BF" w:rsidP="00C178BF">
      <w:pPr>
        <w:pStyle w:val="whitespace-normal"/>
      </w:pPr>
      <w:r>
        <w:t xml:space="preserve">Der Vers leitet einen neuen Abschnitt ein: Ehebruchsgesetze (V. 22-29). Die Bedingung: </w:t>
      </w:r>
      <w:r>
        <w:rPr>
          <w:rStyle w:val="Fett"/>
          <w:rFonts w:eastAsiaTheme="majorEastAsia"/>
          <w:rtl/>
        </w:rPr>
        <w:t>כִּי־יִמָּצֵא אִישׁ שֹׁכֵב עִם־אִשָּׁה בְעֻלַת־בַּעַל</w:t>
      </w:r>
      <w:r>
        <w:rPr>
          <w:rtl/>
        </w:rPr>
        <w:t xml:space="preserve"> </w:t>
      </w:r>
      <w:r>
        <w:t xml:space="preserve">(„wenn gefunden wird ein Mann liegend mit einer Frau, einer verheirateten"). Das Verb </w:t>
      </w:r>
      <w:r>
        <w:rPr>
          <w:rStyle w:val="Fett"/>
          <w:rFonts w:eastAsiaTheme="majorEastAsia"/>
          <w:rtl/>
        </w:rPr>
        <w:t>שׁכב עִם</w:t>
      </w:r>
      <w:r>
        <w:rPr>
          <w:rtl/>
        </w:rPr>
        <w:t xml:space="preserve"> </w:t>
      </w:r>
      <w:r>
        <w:t xml:space="preserve">(„liegen mit") ist der übliche biblische Euphemismus für Geschlechtsverkehr. Die Formulierung </w:t>
      </w:r>
      <w:r>
        <w:rPr>
          <w:rStyle w:val="Fett"/>
          <w:rFonts w:eastAsiaTheme="majorEastAsia"/>
          <w:rtl/>
        </w:rPr>
        <w:t>בְעֻלַת־בַּעַל</w:t>
      </w:r>
      <w:r>
        <w:rPr>
          <w:rtl/>
        </w:rPr>
        <w:t xml:space="preserve"> </w:t>
      </w:r>
      <w:r>
        <w:t xml:space="preserve">(„verheiratet mit einem Ehemann") betont: eine verheiratete Frau (im Gegensatz zu einer verlobten Frau in V. 23-27 oder einer unverheirateten in V. 28-29). Die Strafe: </w:t>
      </w:r>
      <w:r>
        <w:rPr>
          <w:rStyle w:val="Fett"/>
          <w:rFonts w:eastAsiaTheme="majorEastAsia"/>
          <w:rtl/>
        </w:rPr>
        <w:t>וּמֵתוּ גַּם־שְׁנֵיהֶם</w:t>
      </w:r>
      <w:r>
        <w:rPr>
          <w:rtl/>
        </w:rPr>
        <w:t xml:space="preserve"> </w:t>
      </w:r>
      <w:r>
        <w:t xml:space="preserve">(„sterben sollen auch beide") – </w:t>
      </w:r>
      <w:r>
        <w:rPr>
          <w:rStyle w:val="Fett"/>
          <w:rFonts w:eastAsiaTheme="majorEastAsia"/>
          <w:rtl/>
        </w:rPr>
        <w:t>גַּם</w:t>
      </w:r>
      <w:r>
        <w:rPr>
          <w:rtl/>
        </w:rPr>
        <w:t xml:space="preserve"> </w:t>
      </w:r>
      <w:r>
        <w:t xml:space="preserve">(„auch") betont: nicht nur der Mann, sondern auch die Frau. Die erklärende Apposition </w:t>
      </w:r>
      <w:r>
        <w:rPr>
          <w:rStyle w:val="Fett"/>
          <w:rFonts w:eastAsiaTheme="majorEastAsia"/>
          <w:rtl/>
        </w:rPr>
        <w:t>הָאִישׁ הַשֹּׁכֵב עִם־הָאִשָּׁה וְהָאִשָּׁה</w:t>
      </w:r>
      <w:r>
        <w:rPr>
          <w:rtl/>
        </w:rPr>
        <w:t xml:space="preserve"> </w:t>
      </w:r>
      <w:r>
        <w:t xml:space="preserve">(„der Mann, der lag mit der Frau, und die Frau") präzisiert: beide Beteiligte. Die Art der Hinrichtung wird nicht spezifiziert (anders als bei Steinigung in anderen Fällen). Die Formel </w:t>
      </w:r>
      <w:r>
        <w:rPr>
          <w:rStyle w:val="Fett"/>
          <w:rFonts w:eastAsiaTheme="majorEastAsia"/>
          <w:rtl/>
        </w:rPr>
        <w:t>וּבִעַרְתָּ הָרָע מִיִּשְׂרָאֵל</w:t>
      </w:r>
      <w:r>
        <w:rPr>
          <w:rtl/>
        </w:rPr>
        <w:t xml:space="preserve"> </w:t>
      </w:r>
      <w:r>
        <w:t xml:space="preserve">(„wegschaffen sollst du das Böse aus Israel") schließt ab – hier </w:t>
      </w:r>
      <w:r>
        <w:rPr>
          <w:rStyle w:val="Fett"/>
          <w:rFonts w:eastAsiaTheme="majorEastAsia"/>
          <w:rtl/>
        </w:rPr>
        <w:t>מִיִּשְׂרָאֵל</w:t>
      </w:r>
      <w:r>
        <w:rPr>
          <w:rtl/>
        </w:rPr>
        <w:t xml:space="preserve"> </w:t>
      </w:r>
      <w:r>
        <w:t xml:space="preserve">statt </w:t>
      </w:r>
      <w:r>
        <w:rPr>
          <w:rStyle w:val="Fett"/>
          <w:rFonts w:eastAsiaTheme="majorEastAsia"/>
          <w:rtl/>
        </w:rPr>
        <w:t>מִקִּרְבֶּךָ</w:t>
      </w:r>
      <w:r>
        <w:rPr>
          <w:rtl/>
        </w:rPr>
        <w:t xml:space="preserve"> </w:t>
      </w:r>
      <w:r>
        <w:t>(vgl. V. 21).</w:t>
      </w:r>
    </w:p>
    <w:p w14:paraId="74BF7138" w14:textId="34D161EF" w:rsidR="00D00836" w:rsidRDefault="00D00836" w:rsidP="00C178BF">
      <w:pPr>
        <w:pStyle w:val="whitespace-normal"/>
      </w:pPr>
      <w:r>
        <w:rPr>
          <w:rStyle w:val="Fett"/>
        </w:rPr>
        <w:lastRenderedPageBreak/>
        <w:t>Die LXX</w:t>
      </w:r>
      <w:r>
        <w:t xml:space="preserve"> übersetzt </w:t>
      </w:r>
      <w:r>
        <w:rPr>
          <w:rtl/>
        </w:rPr>
        <w:t>בְעֻלַת־בַּעַל</w:t>
      </w:r>
      <w:r>
        <w:t xml:space="preserve"> (eine verheiratete Frau, wörtlich: im Besitz eines Herrn) mit </w:t>
      </w:r>
      <w:proofErr w:type="spellStart"/>
      <w:r>
        <w:t>συνῳκισμένης</w:t>
      </w:r>
      <w:proofErr w:type="spellEnd"/>
      <w:r>
        <w:t xml:space="preserve"> </w:t>
      </w:r>
      <w:proofErr w:type="spellStart"/>
      <w:r>
        <w:t>ἀνδρί</w:t>
      </w:r>
      <w:proofErr w:type="spellEnd"/>
      <w:r>
        <w:t xml:space="preserve"> (mit einem Mann zusammenwohnend) – eine Umschreibung der Ehe durch die Wohngemeinschaft.</w:t>
      </w:r>
    </w:p>
    <w:p w14:paraId="0AE063CD" w14:textId="77777777" w:rsidR="00C178BF" w:rsidRDefault="00C178BF" w:rsidP="00C178BF">
      <w:pPr>
        <w:pStyle w:val="whitespace-normal"/>
      </w:pPr>
      <w:r>
        <w:rPr>
          <w:rStyle w:val="Fett"/>
          <w:rFonts w:eastAsiaTheme="majorEastAsia"/>
        </w:rPr>
        <w:t>Die Satzstruktur:</w:t>
      </w:r>
      <w:r>
        <w:t xml:space="preserve"> Bedingung mit Strafe und Formel (wenn gefunden wird ein Mann liegend mit einer Frau, einer verheirateten, sterben sollen auch beide, der Mann, der lag mit der Frau, und die Frau; und wegschaffen sollst du das Böse aus Israel).</w:t>
      </w:r>
    </w:p>
    <w:p w14:paraId="5D615888" w14:textId="77777777" w:rsidR="00C178BF" w:rsidRDefault="00C178BF" w:rsidP="00C178BF">
      <w:pPr>
        <w:pStyle w:val="whitespace-normal"/>
      </w:pPr>
      <w:r>
        <w:t>Der Vers beschreibt: Wenn ein Mann mit einer verheirateten Frau beim Ehebruch ertappt wird – beide sollen sterben.</w:t>
      </w:r>
    </w:p>
    <w:p w14:paraId="7A8E47EC" w14:textId="77777777" w:rsidR="00C178BF" w:rsidRPr="00B27A64" w:rsidRDefault="00C178BF" w:rsidP="00C178BF">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22,23</w:t>
      </w:r>
    </w:p>
    <w:p w14:paraId="3F6A25DD" w14:textId="77777777" w:rsidR="00C178BF" w:rsidRDefault="00C178BF" w:rsidP="00C178BF">
      <w:pPr>
        <w:pStyle w:val="whitespace-normal"/>
      </w:pPr>
      <w:r>
        <w:rPr>
          <w:rStyle w:val="Fett"/>
          <w:rFonts w:eastAsiaTheme="majorEastAsia"/>
        </w:rPr>
        <w:t>Hebräisch:</w:t>
      </w:r>
      <w:r>
        <w:t xml:space="preserve"> </w:t>
      </w:r>
      <w:r>
        <w:rPr>
          <w:rtl/>
        </w:rPr>
        <w:t>כִּ֤י יִהְיֶה֙ נַעַר בְתוּלָ֔ה מְאֹרָשָׂ֖ה לְאִ֑ישׁ וּמְצָאָ֥הּ אִ֛ישׁ בָּעִ֖יר וְשָׁכַ֥ב עִמָּֽהּ׃</w:t>
      </w:r>
    </w:p>
    <w:p w14:paraId="663B764F" w14:textId="77777777" w:rsidR="00C178BF" w:rsidRDefault="00C178BF" w:rsidP="00C178BF">
      <w:pPr>
        <w:pStyle w:val="whitespace-normal"/>
      </w:pPr>
      <w:r>
        <w:rPr>
          <w:rStyle w:val="Fett"/>
          <w:rFonts w:eastAsiaTheme="majorEastAsia"/>
        </w:rPr>
        <w:t>Deutsch:</w:t>
      </w:r>
      <w:r>
        <w:t xml:space="preserve"> Wenn ein Mädchen, eine Jungfrau, einem Mann verlobt ist, und es trifft sie ein Mann in der Stadt und liegt bei ihr,</w:t>
      </w:r>
    </w:p>
    <w:p w14:paraId="1236AB8A" w14:textId="77777777" w:rsidR="00C178BF" w:rsidRDefault="004F5CEB" w:rsidP="00C178BF">
      <w:r>
        <w:rPr>
          <w:noProof/>
        </w:rPr>
        <w:pict w14:anchorId="37D011F0">
          <v:rect id="_x0000_i1618" style="width:0;height:1.5pt" o:hralign="center" o:hrstd="t" o:hr="t" fillcolor="#a0a0a0" stroked="f"/>
        </w:pict>
      </w:r>
    </w:p>
    <w:p w14:paraId="565F83C1" w14:textId="738EC34F" w:rsidR="00C178BF" w:rsidRDefault="00C178BF" w:rsidP="00C178BF">
      <w:pPr>
        <w:pStyle w:val="whitespace-normal"/>
      </w:pPr>
      <w:r>
        <w:rPr>
          <w:rStyle w:val="Fett"/>
          <w:rFonts w:eastAsiaTheme="majorEastAsia"/>
        </w:rPr>
        <w:t>Kommentar:</w:t>
      </w:r>
      <w:r>
        <w:t xml:space="preserve"> </w:t>
      </w:r>
      <w:r>
        <w:rPr>
          <w:rStyle w:val="Fett"/>
          <w:rFonts w:eastAsiaTheme="majorEastAsia"/>
          <w:rtl/>
        </w:rPr>
        <w:t>כִּי יִהְיֶה נַעַר בְתוּלָה מְאֹרָשָׂה לְאִישׁ וּמְצָאָהּ אִישׁ בָּעִיר וְשָׁכַב עִמָּהּ</w:t>
      </w:r>
      <w:r>
        <w:rPr>
          <w:rtl/>
        </w:rPr>
        <w:t xml:space="preserve"> </w:t>
      </w:r>
      <w:r>
        <w:t xml:space="preserve">ist die Bedingung mit drei Verben: </w:t>
      </w:r>
      <w:r>
        <w:rPr>
          <w:rStyle w:val="Fett"/>
          <w:rFonts w:eastAsiaTheme="majorEastAsia"/>
          <w:rtl/>
        </w:rPr>
        <w:t>כִּי יִהְיֶה נַעַר בְתוּלָה מְאֹרָשָׂה לְאִישׁ</w:t>
      </w:r>
      <w:r>
        <w:rPr>
          <w:rtl/>
        </w:rPr>
        <w:t xml:space="preserve"> </w:t>
      </w:r>
      <w:r>
        <w:t>(</w:t>
      </w:r>
      <w:r>
        <w:rPr>
          <w:rStyle w:val="Fett"/>
          <w:rFonts w:eastAsiaTheme="majorEastAsia"/>
          <w:rtl/>
        </w:rPr>
        <w:t>כִּי</w:t>
      </w:r>
      <w:r>
        <w:t xml:space="preserve">, „wenn", mit </w:t>
      </w:r>
      <w:r>
        <w:rPr>
          <w:rStyle w:val="Fett"/>
          <w:rFonts w:eastAsiaTheme="majorEastAsia"/>
          <w:rtl/>
        </w:rPr>
        <w:t>היה</w:t>
      </w:r>
      <w:r>
        <w:t xml:space="preserve">, Qal </w:t>
      </w:r>
      <w:r w:rsidR="008C1A51">
        <w:t>Imperfekt</w:t>
      </w:r>
      <w:r>
        <w:t xml:space="preserve">, 3. Person Femininum Singular, </w:t>
      </w:r>
      <w:r>
        <w:rPr>
          <w:rStyle w:val="Fett"/>
          <w:rFonts w:eastAsiaTheme="majorEastAsia"/>
          <w:rtl/>
        </w:rPr>
        <w:t>נַעַר</w:t>
      </w:r>
      <w:r>
        <w:t xml:space="preserve">, „Mädchen, junge Frau" – Femininum, </w:t>
      </w:r>
      <w:r>
        <w:rPr>
          <w:rStyle w:val="Fett"/>
          <w:rFonts w:eastAsiaTheme="majorEastAsia"/>
          <w:rtl/>
        </w:rPr>
        <w:t>בְּתוּלָה</w:t>
      </w:r>
      <w:r>
        <w:t xml:space="preserve">, „Jungfrau", </w:t>
      </w:r>
      <w:r>
        <w:rPr>
          <w:rStyle w:val="Fett"/>
          <w:rFonts w:eastAsiaTheme="majorEastAsia"/>
          <w:rtl/>
        </w:rPr>
        <w:t>מְאֹרָשָׂה</w:t>
      </w:r>
      <w:r>
        <w:t xml:space="preserve">, Pual Partizip Femininum Singular von </w:t>
      </w:r>
      <w:r>
        <w:rPr>
          <w:rStyle w:val="Fett"/>
          <w:rFonts w:eastAsiaTheme="majorEastAsia"/>
          <w:rtl/>
        </w:rPr>
        <w:t>ארשׂ</w:t>
      </w:r>
      <w:r>
        <w:t xml:space="preserve">, „verloben" – das Pual ist Passiv des Piel, </w:t>
      </w:r>
      <w:r>
        <w:rPr>
          <w:rStyle w:val="Fett"/>
          <w:rFonts w:eastAsiaTheme="majorEastAsia"/>
          <w:rtl/>
        </w:rPr>
        <w:t>לְאִישׁ</w:t>
      </w:r>
      <w:r>
        <w:t xml:space="preserve">, Präposition </w:t>
      </w:r>
      <w:r>
        <w:rPr>
          <w:rStyle w:val="Fett"/>
          <w:rFonts w:eastAsiaTheme="majorEastAsia"/>
          <w:rtl/>
        </w:rPr>
        <w:t>לְ</w:t>
      </w:r>
      <w:r>
        <w:rPr>
          <w:rtl/>
        </w:rPr>
        <w:t xml:space="preserve"> </w:t>
      </w:r>
      <w:r>
        <w:t xml:space="preserve">mit </w:t>
      </w:r>
      <w:r>
        <w:rPr>
          <w:rStyle w:val="Fett"/>
          <w:rFonts w:eastAsiaTheme="majorEastAsia"/>
          <w:rtl/>
        </w:rPr>
        <w:t>אִישׁ</w:t>
      </w:r>
      <w:r>
        <w:rPr>
          <w:rtl/>
        </w:rPr>
        <w:t xml:space="preserve"> </w:t>
      </w:r>
      <w:r>
        <w:t xml:space="preserve">– „einem Mann"), </w:t>
      </w:r>
      <w:r>
        <w:rPr>
          <w:rStyle w:val="Fett"/>
          <w:rFonts w:eastAsiaTheme="majorEastAsia"/>
          <w:rtl/>
        </w:rPr>
        <w:t>וּמְצָאָהּ אִישׁ בָּעִיר</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מצא</w:t>
      </w:r>
      <w:r>
        <w:t xml:space="preserve">, Qal Perfekt, 3. Person Maskulinum Singular, „finden, treffen", mit Suffix 3. Person Femininum Singular, </w:t>
      </w:r>
      <w:r>
        <w:rPr>
          <w:rStyle w:val="Fett"/>
          <w:rFonts w:eastAsiaTheme="majorEastAsia"/>
          <w:rtl/>
        </w:rPr>
        <w:t>אִישׁ</w:t>
      </w:r>
      <w:r>
        <w:rPr>
          <w:rtl/>
        </w:rPr>
        <w:t xml:space="preserve"> </w:t>
      </w:r>
      <w:r>
        <w:t xml:space="preserve">als Subjekt, </w:t>
      </w:r>
      <w:r>
        <w:rPr>
          <w:rStyle w:val="Fett"/>
          <w:rFonts w:eastAsiaTheme="majorEastAsia"/>
          <w:rtl/>
        </w:rPr>
        <w:t>בָּעִיר</w:t>
      </w:r>
      <w:r>
        <w:t xml:space="preserve">, Präposition </w:t>
      </w:r>
      <w:r>
        <w:rPr>
          <w:rStyle w:val="Fett"/>
          <w:rFonts w:eastAsiaTheme="majorEastAsia"/>
          <w:rtl/>
        </w:rPr>
        <w:t>בְּ</w:t>
      </w:r>
      <w:r>
        <w:rPr>
          <w:rtl/>
        </w:rPr>
        <w:t xml:space="preserve"> </w:t>
      </w:r>
      <w:r>
        <w:t xml:space="preserve">mit </w:t>
      </w:r>
      <w:r>
        <w:rPr>
          <w:rStyle w:val="Fett"/>
          <w:rFonts w:eastAsiaTheme="majorEastAsia"/>
          <w:rtl/>
        </w:rPr>
        <w:t>עִיר</w:t>
      </w:r>
      <w:r>
        <w:rPr>
          <w:rtl/>
        </w:rPr>
        <w:t xml:space="preserve"> </w:t>
      </w:r>
      <w:r>
        <w:t xml:space="preserve">mit Artikel, mit </w:t>
      </w:r>
      <w:r>
        <w:rPr>
          <w:rStyle w:val="Fett"/>
          <w:rFonts w:eastAsiaTheme="majorEastAsia"/>
        </w:rPr>
        <w:t>Waw</w:t>
      </w:r>
      <w:r>
        <w:t xml:space="preserve"> consecutives Perfekt), </w:t>
      </w:r>
      <w:r>
        <w:rPr>
          <w:rStyle w:val="Fett"/>
          <w:rFonts w:eastAsiaTheme="majorEastAsia"/>
          <w:rtl/>
        </w:rPr>
        <w:t>וְשָׁכַב עִמָּהּ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שׁכב</w:t>
      </w:r>
      <w:r>
        <w:t xml:space="preserve">, Qal Perfekt, 3. Person Maskulinum Singular, Präposition </w:t>
      </w:r>
      <w:r>
        <w:rPr>
          <w:rStyle w:val="Fett"/>
          <w:rFonts w:eastAsiaTheme="majorEastAsia"/>
          <w:rtl/>
        </w:rPr>
        <w:t>עִם</w:t>
      </w:r>
      <w:r>
        <w:rPr>
          <w:rtl/>
        </w:rPr>
        <w:t xml:space="preserve"> </w:t>
      </w:r>
      <w:r>
        <w:t xml:space="preserve">mit Suffix 3. Person Femininum Singular, mit </w:t>
      </w:r>
      <w:r>
        <w:rPr>
          <w:rStyle w:val="Fett"/>
          <w:rFonts w:eastAsiaTheme="majorEastAsia"/>
        </w:rPr>
        <w:t>Waw</w:t>
      </w:r>
      <w:r>
        <w:t xml:space="preserve"> consecutives Perfekt).</w:t>
      </w:r>
    </w:p>
    <w:p w14:paraId="294E6CEA" w14:textId="77777777" w:rsidR="00C178BF" w:rsidRDefault="00C178BF" w:rsidP="00C178BF">
      <w:pPr>
        <w:pStyle w:val="whitespace-normal"/>
      </w:pPr>
      <w:r>
        <w:t xml:space="preserve">Der Vers beschreibt einen neuen Fall: Geschlechtsverkehr mit einer </w:t>
      </w:r>
      <w:r>
        <w:rPr>
          <w:rStyle w:val="Fett"/>
          <w:rFonts w:eastAsiaTheme="majorEastAsia"/>
        </w:rPr>
        <w:t>verlobten</w:t>
      </w:r>
      <w:r>
        <w:t xml:space="preserve"> Jungfrau (im Gegensatz zu einer </w:t>
      </w:r>
      <w:r>
        <w:rPr>
          <w:rStyle w:val="Fett"/>
          <w:rFonts w:eastAsiaTheme="majorEastAsia"/>
        </w:rPr>
        <w:t>verheirateten</w:t>
      </w:r>
      <w:r>
        <w:t xml:space="preserve"> Frau in V. 22). Die Situation: (1) </w:t>
      </w:r>
      <w:r>
        <w:rPr>
          <w:rStyle w:val="Fett"/>
          <w:rFonts w:eastAsiaTheme="majorEastAsia"/>
          <w:rtl/>
        </w:rPr>
        <w:t>כִּי יִהְיֶה נַעַר בְתוּלָה מְאֹרָשָׂה לְאִישׁ</w:t>
      </w:r>
      <w:r>
        <w:rPr>
          <w:rtl/>
        </w:rPr>
        <w:t xml:space="preserve"> </w:t>
      </w:r>
      <w:r>
        <w:t xml:space="preserve">(„wenn sein wird ein Mädchen, eine Jungfrau, verlobt einem Mann") – sie ist </w:t>
      </w:r>
      <w:r>
        <w:rPr>
          <w:rStyle w:val="Fett"/>
          <w:rFonts w:eastAsiaTheme="majorEastAsia"/>
          <w:rtl/>
        </w:rPr>
        <w:t>נַעַר בְתוּלָה</w:t>
      </w:r>
      <w:r>
        <w:rPr>
          <w:rtl/>
        </w:rPr>
        <w:t xml:space="preserve"> </w:t>
      </w:r>
      <w:r>
        <w:t xml:space="preserve">(„jungfräuliches Mädchen") und </w:t>
      </w:r>
      <w:r>
        <w:rPr>
          <w:rStyle w:val="Fett"/>
          <w:rFonts w:eastAsiaTheme="majorEastAsia"/>
          <w:rtl/>
        </w:rPr>
        <w:t>מְאֹרָשָׂה לְאִישׁ</w:t>
      </w:r>
      <w:r>
        <w:rPr>
          <w:rtl/>
        </w:rPr>
        <w:t xml:space="preserve"> </w:t>
      </w:r>
      <w:r>
        <w:t xml:space="preserve">(„verlobt einem Mann"). Im antiken Israel hatte die Verlobung rechtliche Bindungskraft, fast wie eine Ehe – der Verlobte wird </w:t>
      </w:r>
      <w:r>
        <w:rPr>
          <w:rStyle w:val="Fett"/>
          <w:rFonts w:eastAsiaTheme="majorEastAsia"/>
          <w:rtl/>
        </w:rPr>
        <w:t>אִישׁ</w:t>
      </w:r>
      <w:r>
        <w:rPr>
          <w:rtl/>
        </w:rPr>
        <w:t xml:space="preserve"> </w:t>
      </w:r>
      <w:r>
        <w:t xml:space="preserve">(„Mann, Ehemann") genannt. Das Verb </w:t>
      </w:r>
      <w:r>
        <w:rPr>
          <w:rStyle w:val="Fett"/>
          <w:rFonts w:eastAsiaTheme="majorEastAsia"/>
          <w:rtl/>
        </w:rPr>
        <w:t>ארשׂ</w:t>
      </w:r>
      <w:r>
        <w:rPr>
          <w:rtl/>
        </w:rPr>
        <w:t xml:space="preserve"> </w:t>
      </w:r>
      <w:r>
        <w:t xml:space="preserve">(„verloben") im Pual bezeichnet den rechtlichen Status. (2) </w:t>
      </w:r>
      <w:r>
        <w:rPr>
          <w:rStyle w:val="Fett"/>
          <w:rFonts w:eastAsiaTheme="majorEastAsia"/>
          <w:rtl/>
        </w:rPr>
        <w:t>וּמְצָאָהּ אִישׁ בָּעִיר</w:t>
      </w:r>
      <w:r>
        <w:rPr>
          <w:rtl/>
        </w:rPr>
        <w:t xml:space="preserve"> </w:t>
      </w:r>
      <w:r>
        <w:t xml:space="preserve">(„und trifft sie ein Mann in der Stadt") – ein anderer Mann (nicht ihr Verlobter) trifft sie. Die Ortsangabe </w:t>
      </w:r>
      <w:r>
        <w:rPr>
          <w:rStyle w:val="Fett"/>
          <w:rFonts w:eastAsiaTheme="majorEastAsia"/>
          <w:rtl/>
        </w:rPr>
        <w:t>בָּעִיר</w:t>
      </w:r>
      <w:r>
        <w:rPr>
          <w:rtl/>
        </w:rPr>
        <w:t xml:space="preserve"> </w:t>
      </w:r>
      <w:r>
        <w:t xml:space="preserve">(„in der Stadt") ist entscheidend für die rechtliche Bewertung in V. 24. (3) </w:t>
      </w:r>
      <w:r>
        <w:rPr>
          <w:rStyle w:val="Fett"/>
          <w:rFonts w:eastAsiaTheme="majorEastAsia"/>
          <w:rtl/>
        </w:rPr>
        <w:t>וְשָׁכַב עִמָּהּ</w:t>
      </w:r>
      <w:r>
        <w:rPr>
          <w:rtl/>
        </w:rPr>
        <w:t xml:space="preserve"> </w:t>
      </w:r>
      <w:r>
        <w:t>(„und liegt mit ihr") – Geschlechtsverkehr findet statt. V. 24 wird die Konsequenzen beschreiben.</w:t>
      </w:r>
    </w:p>
    <w:p w14:paraId="40B512C4" w14:textId="77777777" w:rsidR="00C178BF" w:rsidRDefault="00C178BF" w:rsidP="00C178BF">
      <w:pPr>
        <w:pStyle w:val="whitespace-normal"/>
      </w:pPr>
      <w:r>
        <w:rPr>
          <w:rStyle w:val="Fett"/>
          <w:rFonts w:eastAsiaTheme="majorEastAsia"/>
        </w:rPr>
        <w:t>Die Satzstruktur:</w:t>
      </w:r>
      <w:r>
        <w:t xml:space="preserve"> Bedingung mit drei Verben (wenn sein wird ein Mädchen, eine Jungfrau, verlobt einem Mann, und trifft sie ein Mann in der Stadt, und liegt mit ihr).</w:t>
      </w:r>
    </w:p>
    <w:p w14:paraId="7D9DC729" w14:textId="77777777" w:rsidR="00C178BF" w:rsidRDefault="00C178BF" w:rsidP="00C178BF">
      <w:pPr>
        <w:pStyle w:val="whitespace-normal"/>
      </w:pPr>
      <w:r>
        <w:t>Der Vers setzt den Fall: Ein verlobtes jungfräuliches Mädchen wird von einem Mann in der Stadt getroffen, und er liegt mit ihr.</w:t>
      </w:r>
    </w:p>
    <w:p w14:paraId="28EE678F" w14:textId="77777777" w:rsidR="00C178BF" w:rsidRPr="00B27A64" w:rsidRDefault="00C178BF" w:rsidP="00C178BF">
      <w:pPr>
        <w:pStyle w:val="berschrift1"/>
        <w:rPr>
          <w:rFonts w:ascii="Times New Roman" w:hAnsi="Times New Roman"/>
          <w:color w:val="auto"/>
          <w:sz w:val="36"/>
          <w:szCs w:val="36"/>
        </w:rPr>
      </w:pPr>
      <w:r w:rsidRPr="00B27A64">
        <w:rPr>
          <w:rStyle w:val="Fett"/>
          <w:rFonts w:ascii="Times New Roman" w:hAnsi="Times New Roman"/>
          <w:color w:val="auto"/>
          <w:sz w:val="36"/>
          <w:szCs w:val="36"/>
        </w:rPr>
        <w:lastRenderedPageBreak/>
        <w:t>Deuteronomium 22,24</w:t>
      </w:r>
    </w:p>
    <w:p w14:paraId="5D078F92" w14:textId="77777777" w:rsidR="00C178BF" w:rsidRDefault="00C178BF" w:rsidP="00C178BF">
      <w:pPr>
        <w:pStyle w:val="whitespace-normal"/>
      </w:pPr>
      <w:r>
        <w:rPr>
          <w:rStyle w:val="Fett"/>
          <w:rFonts w:eastAsiaTheme="majorEastAsia"/>
        </w:rPr>
        <w:t>Hebräisch:</w:t>
      </w:r>
      <w:r>
        <w:t xml:space="preserve"> </w:t>
      </w:r>
      <w:r>
        <w:rPr>
          <w:rtl/>
        </w:rPr>
        <w:t>וְהוֹצֵאתֶ֨ם אֶת־שְׁנֵיהֶ֜ם אֶל־שַׁ֣עַר׀ הָעִ֣יר הַהִ֗וא וּסְקַלְתֶּ֨ם אֹתָ֥ם בָּאֲבָנִים֮ וָמֵתוּ֒ אֶת־הַנַּעַר֙ עַל־דְּבַר֙ אֲשֶׁ֣ר לֹא־צָעֲקָ֣ה בָעִ֔יר וְאֶ֨ת־הָאִ֔ישׁ עַל־דְּבַ֥ר אֲשֶׁר־עִנָּ֖ה אֶת־אֵ֣שֶׁת רֵעֵ֑הוּ וּבִֽעַרְתָּ֥ הָרָ֖ע מִקִּרְבֶּֽךָ׃</w:t>
      </w:r>
    </w:p>
    <w:p w14:paraId="061BBDD7" w14:textId="77777777" w:rsidR="00C178BF" w:rsidRDefault="00C178BF" w:rsidP="00C178BF">
      <w:pPr>
        <w:pStyle w:val="whitespace-normal"/>
      </w:pPr>
      <w:r>
        <w:rPr>
          <w:rStyle w:val="Fett"/>
          <w:rFonts w:eastAsiaTheme="majorEastAsia"/>
        </w:rPr>
        <w:t>Deutsch:</w:t>
      </w:r>
      <w:r>
        <w:t xml:space="preserve"> so sollt ihr beide zum Tor jener Stadt hinausführen und sie steinigen, dass sie sterben: das Mädchen, weil sie nicht in der Stadt geschrien hat, und den Mann, weil er die Frau seines Nächsten geschwächt hat. Und du sollst das Böse aus deiner Mitte wegschaffen.</w:t>
      </w:r>
    </w:p>
    <w:p w14:paraId="714EA6DC" w14:textId="77777777" w:rsidR="00C178BF" w:rsidRDefault="004F5CEB" w:rsidP="00C178BF">
      <w:r>
        <w:rPr>
          <w:noProof/>
        </w:rPr>
        <w:pict w14:anchorId="444D0897">
          <v:rect id="_x0000_i1619" style="width:0;height:1.5pt" o:hralign="center" o:hrstd="t" o:hr="t" fillcolor="#a0a0a0" stroked="f"/>
        </w:pict>
      </w:r>
    </w:p>
    <w:p w14:paraId="71644A3E" w14:textId="77777777" w:rsidR="00C178BF" w:rsidRDefault="00C178BF" w:rsidP="00C178BF">
      <w:pPr>
        <w:pStyle w:val="whitespace-normal"/>
      </w:pPr>
      <w:r>
        <w:rPr>
          <w:rStyle w:val="Fett"/>
          <w:rFonts w:eastAsiaTheme="majorEastAsia"/>
        </w:rPr>
        <w:t>Kommentar:</w:t>
      </w:r>
      <w:r>
        <w:t xml:space="preserve"> </w:t>
      </w:r>
      <w:r>
        <w:rPr>
          <w:rStyle w:val="Fett"/>
          <w:rFonts w:eastAsiaTheme="majorEastAsia"/>
          <w:rtl/>
        </w:rPr>
        <w:t>וְהוֹצֵאתֶם אֶת־שְׁנֵיהֶם אֶל־שַׁעַר הָעִיר הַהִוא וּסְקַלְתֶּם אֹתָם בָּאֲבָנִים וָמֵתוּ</w:t>
      </w:r>
      <w:r>
        <w:rPr>
          <w:rtl/>
        </w:rPr>
        <w:t xml:space="preserve"> </w:t>
      </w:r>
      <w:r>
        <w:t xml:space="preserve">sind drei Anweisungen: </w:t>
      </w:r>
      <w:r>
        <w:rPr>
          <w:rStyle w:val="Fett"/>
          <w:rFonts w:eastAsiaTheme="majorEastAsia"/>
          <w:rtl/>
        </w:rPr>
        <w:t>וְהוֹצֵאתֶם אֶת־שְׁנֵיהֶם אֶל־שַׁעַר הָעִיר הַהִוא</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יצא</w:t>
      </w:r>
      <w:r>
        <w:t xml:space="preserve">, Hiphil Perfekt, 2. Person Maskulinum Plural, Objektpartikel </w:t>
      </w:r>
      <w:r>
        <w:rPr>
          <w:rStyle w:val="Fett"/>
          <w:rFonts w:eastAsiaTheme="majorEastAsia"/>
          <w:rtl/>
        </w:rPr>
        <w:t>אֵת</w:t>
      </w:r>
      <w:r>
        <w:rPr>
          <w:rtl/>
        </w:rPr>
        <w:t xml:space="preserve"> </w:t>
      </w:r>
      <w:r>
        <w:t xml:space="preserve">mit </w:t>
      </w:r>
      <w:r>
        <w:rPr>
          <w:rStyle w:val="Fett"/>
          <w:rFonts w:eastAsiaTheme="majorEastAsia"/>
          <w:rtl/>
        </w:rPr>
        <w:t>שְׁנַיִם</w:t>
      </w:r>
      <w:r>
        <w:rPr>
          <w:rtl/>
        </w:rPr>
        <w:t xml:space="preserve"> </w:t>
      </w:r>
      <w:r>
        <w:t xml:space="preserve">mit Suffix 3. Person Maskulinum Plural, Präposition </w:t>
      </w:r>
      <w:r>
        <w:rPr>
          <w:rStyle w:val="Fett"/>
          <w:rFonts w:eastAsiaTheme="majorEastAsia"/>
          <w:rtl/>
        </w:rPr>
        <w:t>אֶל</w:t>
      </w:r>
      <w:r>
        <w:rPr>
          <w:rtl/>
        </w:rPr>
        <w:t xml:space="preserve"> </w:t>
      </w:r>
      <w:r>
        <w:t xml:space="preserve">mit </w:t>
      </w:r>
      <w:r>
        <w:rPr>
          <w:rStyle w:val="Fett"/>
          <w:rFonts w:eastAsiaTheme="majorEastAsia"/>
          <w:rtl/>
        </w:rPr>
        <w:t>שַׁעַר</w:t>
      </w:r>
      <w:r>
        <w:t xml:space="preserve">, Construct mit </w:t>
      </w:r>
      <w:r>
        <w:rPr>
          <w:rStyle w:val="Fett"/>
          <w:rFonts w:eastAsiaTheme="majorEastAsia"/>
          <w:rtl/>
        </w:rPr>
        <w:t>עִיר</w:t>
      </w:r>
      <w:r>
        <w:rPr>
          <w:rtl/>
        </w:rPr>
        <w:t xml:space="preserve"> </w:t>
      </w:r>
      <w:r>
        <w:t xml:space="preserve">mit Artikel und Demonstrativpronomen, mit </w:t>
      </w:r>
      <w:r>
        <w:rPr>
          <w:rStyle w:val="Fett"/>
          <w:rFonts w:eastAsiaTheme="majorEastAsia"/>
        </w:rPr>
        <w:t>Waw</w:t>
      </w:r>
      <w:r>
        <w:t xml:space="preserve"> consecutives Perfekt), </w:t>
      </w:r>
      <w:r>
        <w:rPr>
          <w:rStyle w:val="Fett"/>
          <w:rFonts w:eastAsiaTheme="majorEastAsia"/>
          <w:rtl/>
        </w:rPr>
        <w:t>וּסְקַלְתֶּם אֹתָם בָּאֲבָנִים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סקל</w:t>
      </w:r>
      <w:r>
        <w:t xml:space="preserve">, Qal Perfekt, 2. Person Maskulinum Plural, Objektpartikel </w:t>
      </w:r>
      <w:r>
        <w:rPr>
          <w:rStyle w:val="Fett"/>
          <w:rFonts w:eastAsiaTheme="majorEastAsia"/>
          <w:rtl/>
        </w:rPr>
        <w:t>אֵת</w:t>
      </w:r>
      <w:r>
        <w:rPr>
          <w:rtl/>
        </w:rPr>
        <w:t xml:space="preserve"> </w:t>
      </w:r>
      <w:r>
        <w:t xml:space="preserve">mit Suffix 3. Person Maskulinum Plural, </w:t>
      </w:r>
      <w:r>
        <w:rPr>
          <w:rStyle w:val="Fett"/>
          <w:rFonts w:eastAsiaTheme="majorEastAsia"/>
          <w:rtl/>
        </w:rPr>
        <w:t>בָּאֲבָנִים</w:t>
      </w:r>
      <w:r>
        <w:t xml:space="preserve">, mit </w:t>
      </w:r>
      <w:r>
        <w:rPr>
          <w:rStyle w:val="Fett"/>
          <w:rFonts w:eastAsiaTheme="majorEastAsia"/>
        </w:rPr>
        <w:t>Waw</w:t>
      </w:r>
      <w:r>
        <w:t xml:space="preserve"> consecutives Perfekt), </w:t>
      </w:r>
      <w:r>
        <w:rPr>
          <w:rStyle w:val="Fett"/>
          <w:rFonts w:eastAsiaTheme="majorEastAsia"/>
          <w:rtl/>
        </w:rPr>
        <w:t>וָמֵתוּ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מות</w:t>
      </w:r>
      <w:r>
        <w:t xml:space="preserve">, Qal Perfekt, 3. Person Plural, mit </w:t>
      </w:r>
      <w:r>
        <w:rPr>
          <w:rStyle w:val="Fett"/>
          <w:rFonts w:eastAsiaTheme="majorEastAsia"/>
        </w:rPr>
        <w:t>Waw</w:t>
      </w:r>
      <w:r>
        <w:t xml:space="preserve"> consecutives Perfekt).</w:t>
      </w:r>
    </w:p>
    <w:p w14:paraId="2F812456" w14:textId="77777777" w:rsidR="00C178BF" w:rsidRDefault="00C178BF" w:rsidP="00C178BF">
      <w:pPr>
        <w:pStyle w:val="whitespace-normal"/>
      </w:pPr>
      <w:r>
        <w:rPr>
          <w:rStyle w:val="Fett"/>
          <w:rFonts w:eastAsiaTheme="majorEastAsia"/>
          <w:rtl/>
        </w:rPr>
        <w:t>אֶת־הַנַּעַר עַל־דְּבַר אֲשֶׁר לֹא־צָעֲקָה בָעִיר וְאֶת־הָאִישׁ עַל־דְּבַר אֲשֶׁר־עִנָּה אֶת־אֵשֶׁת רֵעֵהוּ</w:t>
      </w:r>
      <w:r>
        <w:rPr>
          <w:rtl/>
        </w:rPr>
        <w:t xml:space="preserve"> </w:t>
      </w:r>
      <w:r>
        <w:t xml:space="preserve">sind zwei Begründungen: </w:t>
      </w:r>
      <w:r>
        <w:rPr>
          <w:rStyle w:val="Fett"/>
          <w:rFonts w:eastAsiaTheme="majorEastAsia"/>
          <w:rtl/>
        </w:rPr>
        <w:t>אֶת־הַנַּעַר עַל־דְּבַר אֲשֶׁר לֹא־צָעֲקָה בָעִיר</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נַעַר</w:t>
      </w:r>
      <w:r>
        <w:rPr>
          <w:rtl/>
        </w:rPr>
        <w:t xml:space="preserve"> </w:t>
      </w:r>
      <w:r>
        <w:t xml:space="preserve">Femininum mit Artikel, Präposition </w:t>
      </w:r>
      <w:r>
        <w:rPr>
          <w:rStyle w:val="Fett"/>
          <w:rFonts w:eastAsiaTheme="majorEastAsia"/>
          <w:rtl/>
        </w:rPr>
        <w:t>עַל</w:t>
      </w:r>
      <w:r>
        <w:rPr>
          <w:rtl/>
        </w:rPr>
        <w:t xml:space="preserve"> </w:t>
      </w:r>
      <w:r>
        <w:t xml:space="preserve">mit </w:t>
      </w:r>
      <w:r>
        <w:rPr>
          <w:rStyle w:val="Fett"/>
          <w:rFonts w:eastAsiaTheme="majorEastAsia"/>
          <w:rtl/>
        </w:rPr>
        <w:t>דָּבָר</w:t>
      </w:r>
      <w:r>
        <w:t xml:space="preserve">, „Sache, Grund", Relativsatz: </w:t>
      </w:r>
      <w:r>
        <w:rPr>
          <w:rStyle w:val="Fett"/>
          <w:rFonts w:eastAsiaTheme="majorEastAsia"/>
          <w:rtl/>
        </w:rPr>
        <w:t>אֲשֶׁר</w:t>
      </w:r>
      <w:r>
        <w:rPr>
          <w:rtl/>
        </w:rPr>
        <w:t xml:space="preserve"> </w:t>
      </w:r>
      <w:r>
        <w:t xml:space="preserve">mit Negation, </w:t>
      </w:r>
      <w:r>
        <w:rPr>
          <w:rStyle w:val="Fett"/>
          <w:rFonts w:eastAsiaTheme="majorEastAsia"/>
          <w:rtl/>
        </w:rPr>
        <w:t>צעק</w:t>
      </w:r>
      <w:r>
        <w:t xml:space="preserve">, Qal Perfekt, 3. Person Femininum Singular, „schreien, um Hilfe rufen", </w:t>
      </w:r>
      <w:r>
        <w:rPr>
          <w:rStyle w:val="Fett"/>
          <w:rFonts w:eastAsiaTheme="majorEastAsia"/>
          <w:rtl/>
        </w:rPr>
        <w:t>בָּעִיר</w:t>
      </w:r>
      <w:r>
        <w:t xml:space="preserve">), </w:t>
      </w:r>
      <w:r>
        <w:rPr>
          <w:rStyle w:val="Fett"/>
          <w:rFonts w:eastAsiaTheme="majorEastAsia"/>
          <w:rtl/>
        </w:rPr>
        <w:t>וְאֶת־הָאִישׁ עַל־דְּבַר אֲשֶׁר־עִנָּה אֶת־אֵשֶׁת רֵעֵהוּ</w:t>
      </w:r>
      <w:r>
        <w:rPr>
          <w:rtl/>
        </w:rPr>
        <w:t xml:space="preserve"> </w:t>
      </w:r>
      <w:r>
        <w:t xml:space="preserve">(koordiniert durch </w:t>
      </w:r>
      <w:r>
        <w:rPr>
          <w:rStyle w:val="Fett"/>
          <w:rFonts w:eastAsiaTheme="majorEastAsia"/>
          <w:rtl/>
        </w:rPr>
        <w:t>וְ</w:t>
      </w:r>
      <w:r>
        <w:rPr>
          <w:rtl/>
        </w:rPr>
        <w:t xml:space="preserve"> </w:t>
      </w:r>
      <w:r>
        <w:t xml:space="preserve">mit Objektpartikel und </w:t>
      </w:r>
      <w:r>
        <w:rPr>
          <w:rStyle w:val="Fett"/>
          <w:rFonts w:eastAsiaTheme="majorEastAsia"/>
          <w:rtl/>
        </w:rPr>
        <w:t>אִישׁ</w:t>
      </w:r>
      <w:r>
        <w:rPr>
          <w:rtl/>
        </w:rPr>
        <w:t xml:space="preserve"> </w:t>
      </w:r>
      <w:r>
        <w:t xml:space="preserve">mit Artikel, Präposition </w:t>
      </w:r>
      <w:r>
        <w:rPr>
          <w:rStyle w:val="Fett"/>
          <w:rFonts w:eastAsiaTheme="majorEastAsia"/>
          <w:rtl/>
        </w:rPr>
        <w:t>עַל</w:t>
      </w:r>
      <w:r>
        <w:rPr>
          <w:rtl/>
        </w:rPr>
        <w:t xml:space="preserve"> </w:t>
      </w:r>
      <w:r>
        <w:t xml:space="preserve">mit </w:t>
      </w:r>
      <w:r>
        <w:rPr>
          <w:rStyle w:val="Fett"/>
          <w:rFonts w:eastAsiaTheme="majorEastAsia"/>
          <w:rtl/>
        </w:rPr>
        <w:t>דָּבָר</w:t>
      </w:r>
      <w:r>
        <w:t xml:space="preserve">, Relativsatz: </w:t>
      </w:r>
      <w:r>
        <w:rPr>
          <w:rStyle w:val="Fett"/>
          <w:rFonts w:eastAsiaTheme="majorEastAsia"/>
          <w:rtl/>
        </w:rPr>
        <w:t>אֲשֶׁר</w:t>
      </w:r>
      <w:r>
        <w:rPr>
          <w:rtl/>
        </w:rPr>
        <w:t xml:space="preserve"> </w:t>
      </w:r>
      <w:r>
        <w:t xml:space="preserve">mit </w:t>
      </w:r>
      <w:r>
        <w:rPr>
          <w:rStyle w:val="Fett"/>
          <w:rFonts w:eastAsiaTheme="majorEastAsia"/>
          <w:rtl/>
        </w:rPr>
        <w:t>ענה</w:t>
      </w:r>
      <w:r>
        <w:t xml:space="preserve">, Piel Perfekt, 3. Person Maskulinum Singular, „demütigen, schwächen, vergewaltigen", Objektpartikel </w:t>
      </w:r>
      <w:r>
        <w:rPr>
          <w:rStyle w:val="Fett"/>
          <w:rFonts w:eastAsiaTheme="majorEastAsia"/>
          <w:rtl/>
        </w:rPr>
        <w:t>אֵת</w:t>
      </w:r>
      <w:r>
        <w:rPr>
          <w:rtl/>
        </w:rPr>
        <w:t xml:space="preserve"> </w:t>
      </w:r>
      <w:r>
        <w:t xml:space="preserve">mit </w:t>
      </w:r>
      <w:r>
        <w:rPr>
          <w:rStyle w:val="Fett"/>
          <w:rFonts w:eastAsiaTheme="majorEastAsia"/>
          <w:rtl/>
        </w:rPr>
        <w:t>אִשָּׁה</w:t>
      </w:r>
      <w:r>
        <w:t xml:space="preserve">, Construct mit </w:t>
      </w:r>
      <w:r>
        <w:rPr>
          <w:rStyle w:val="Fett"/>
          <w:rFonts w:eastAsiaTheme="majorEastAsia"/>
          <w:rtl/>
        </w:rPr>
        <w:t>רֵעַ</w:t>
      </w:r>
      <w:r>
        <w:t>, „Nächster, Genosse", mit Suffix 3. Person Maskulinum Singular).</w:t>
      </w:r>
    </w:p>
    <w:p w14:paraId="085BBBCE" w14:textId="77777777" w:rsidR="00C178BF" w:rsidRDefault="00C178BF" w:rsidP="00C178BF">
      <w:pPr>
        <w:pStyle w:val="whitespace-normal"/>
      </w:pPr>
      <w:r>
        <w:rPr>
          <w:rStyle w:val="Fett"/>
          <w:rFonts w:eastAsiaTheme="majorEastAsia"/>
          <w:rtl/>
        </w:rPr>
        <w:t>וּבִעַרְתָּ הָרָע מִקִּרְבֶּךָ</w:t>
      </w:r>
      <w:r>
        <w:rPr>
          <w:rtl/>
        </w:rPr>
        <w:t xml:space="preserve"> </w:t>
      </w:r>
      <w:r>
        <w:t>ist die deuteronomische Formel (vgl. V. 21).</w:t>
      </w:r>
    </w:p>
    <w:p w14:paraId="42408908" w14:textId="77777777" w:rsidR="00C178BF" w:rsidRDefault="00C178BF" w:rsidP="00C178BF">
      <w:pPr>
        <w:pStyle w:val="whitespace-normal"/>
      </w:pPr>
      <w:r>
        <w:t xml:space="preserve">Der Vers beschreibt die Strafe für beide: (1) </w:t>
      </w:r>
      <w:r>
        <w:rPr>
          <w:rStyle w:val="Fett"/>
          <w:rFonts w:eastAsiaTheme="majorEastAsia"/>
          <w:rtl/>
        </w:rPr>
        <w:t>וְהוֹצֵאתֶם אֶת־שְׁנֵיהֶם אֶל־שַׁעַר הָעִיר הַהִוא</w:t>
      </w:r>
      <w:r>
        <w:rPr>
          <w:rtl/>
        </w:rPr>
        <w:t xml:space="preserve"> </w:t>
      </w:r>
      <w:r>
        <w:t xml:space="preserve">(„ihr sollt hinausführen beide zum Tor jener Stadt") – öffentlicher Ort. (2) </w:t>
      </w:r>
      <w:r>
        <w:rPr>
          <w:rStyle w:val="Fett"/>
          <w:rFonts w:eastAsiaTheme="majorEastAsia"/>
          <w:rtl/>
        </w:rPr>
        <w:t>וּסְקַלְתֶּם אֹתָם בָּאֲבָנִים וָמֵתוּ</w:t>
      </w:r>
      <w:r>
        <w:rPr>
          <w:rtl/>
        </w:rPr>
        <w:t xml:space="preserve"> </w:t>
      </w:r>
      <w:r>
        <w:t xml:space="preserve">(„ihr sollt steinigen sie mit Steinen, und sterben werden sie") – beide werden hingerichtet. Die doppelte Begründung: (a) </w:t>
      </w:r>
      <w:r>
        <w:rPr>
          <w:rStyle w:val="Fett"/>
          <w:rFonts w:eastAsiaTheme="majorEastAsia"/>
          <w:rtl/>
        </w:rPr>
        <w:t>אֶת־הַנַּעַר עַל־דְּבַר אֲשֶׁר לֹא־צָעֲקָה בָעִיר</w:t>
      </w:r>
      <w:r>
        <w:rPr>
          <w:rtl/>
        </w:rPr>
        <w:t xml:space="preserve"> </w:t>
      </w:r>
      <w:r>
        <w:t xml:space="preserve">(„das Mädchen wegen der Sache, dass sie nicht schrie in der Stadt"). Das Verb </w:t>
      </w:r>
      <w:r>
        <w:rPr>
          <w:rStyle w:val="Fett"/>
          <w:rFonts w:eastAsiaTheme="majorEastAsia"/>
          <w:rtl/>
        </w:rPr>
        <w:t>צעק</w:t>
      </w:r>
      <w:r>
        <w:rPr>
          <w:rtl/>
        </w:rPr>
        <w:t xml:space="preserve"> </w:t>
      </w:r>
      <w:r>
        <w:t xml:space="preserve">(„schreien, um Hilfe rufen") ist entscheidend. Die Logik: Wenn sie in der Stadt war und nicht schrie, wird angenommen, dass sie einwilligte. Wenn sie geschrien hätte, wäre Hilfe gekommen. (b) </w:t>
      </w:r>
      <w:r>
        <w:rPr>
          <w:rStyle w:val="Fett"/>
          <w:rFonts w:eastAsiaTheme="majorEastAsia"/>
          <w:rtl/>
        </w:rPr>
        <w:t>וְאֶת־הָאִישׁ עַל־דְּבַר אֲשֶׁר־עִנָּה אֶת־אֵשֶׁת רֵעֵהוּ</w:t>
      </w:r>
      <w:r>
        <w:rPr>
          <w:rtl/>
        </w:rPr>
        <w:t xml:space="preserve"> </w:t>
      </w:r>
      <w:r>
        <w:t xml:space="preserve">(„und den Mann wegen der Sache, dass er schwächte die Frau seines Nächsten"). Das Verb </w:t>
      </w:r>
      <w:r>
        <w:rPr>
          <w:rStyle w:val="Fett"/>
          <w:rFonts w:eastAsiaTheme="majorEastAsia"/>
          <w:rtl/>
        </w:rPr>
        <w:t>ענה</w:t>
      </w:r>
      <w:r>
        <w:rPr>
          <w:rtl/>
        </w:rPr>
        <w:t xml:space="preserve"> </w:t>
      </w:r>
      <w:r>
        <w:t xml:space="preserve">im Piel bedeutet „demütigen, schwächen, vergewaltigen". Die Formulierung </w:t>
      </w:r>
      <w:r>
        <w:rPr>
          <w:rStyle w:val="Fett"/>
          <w:rFonts w:eastAsiaTheme="majorEastAsia"/>
          <w:rtl/>
        </w:rPr>
        <w:t>אֵשֶׁת רֵעֵהוּ</w:t>
      </w:r>
      <w:r>
        <w:rPr>
          <w:rtl/>
        </w:rPr>
        <w:t xml:space="preserve"> </w:t>
      </w:r>
      <w:r>
        <w:t xml:space="preserve">(„die Frau seines Nächsten") betont: Sie ist verlobt, also rechtlich gebunden – sie gilt als </w:t>
      </w:r>
      <w:r>
        <w:rPr>
          <w:rStyle w:val="Fett"/>
          <w:rFonts w:eastAsiaTheme="majorEastAsia"/>
          <w:rtl/>
        </w:rPr>
        <w:t>אִשָּׁה</w:t>
      </w:r>
      <w:r>
        <w:rPr>
          <w:rtl/>
        </w:rPr>
        <w:t xml:space="preserve"> </w:t>
      </w:r>
      <w:r>
        <w:t xml:space="preserve">(„Frau, Ehefrau") ihres Verlobten. Die Formel </w:t>
      </w:r>
      <w:r>
        <w:rPr>
          <w:rStyle w:val="Fett"/>
          <w:rFonts w:eastAsiaTheme="majorEastAsia"/>
          <w:rtl/>
        </w:rPr>
        <w:t>וּבִעַרְתָּ הָרָע מִקִּרְבֶּךָ</w:t>
      </w:r>
      <w:r>
        <w:rPr>
          <w:rtl/>
        </w:rPr>
        <w:t xml:space="preserve"> </w:t>
      </w:r>
      <w:r>
        <w:t>schließt ab. V. 25-27 werden einen anderen Fall behandeln: Wenn dasselbe auf dem Feld geschieht.</w:t>
      </w:r>
    </w:p>
    <w:p w14:paraId="40D5BE6A" w14:textId="77777777" w:rsidR="00C178BF" w:rsidRDefault="00C178BF" w:rsidP="00C178BF">
      <w:pPr>
        <w:pStyle w:val="whitespace-normal"/>
      </w:pPr>
      <w:r>
        <w:rPr>
          <w:rStyle w:val="Fett"/>
          <w:rFonts w:eastAsiaTheme="majorEastAsia"/>
        </w:rPr>
        <w:t>Die Satzstruktur:</w:t>
      </w:r>
      <w:r>
        <w:t xml:space="preserve"> Drei Anweisungen mit doppelter Begründung und Formel (hinausführen sollt ihr beide zum Tor jener Stadt, und steinigen sollt ihr sie mit Steinen, und sterben werden </w:t>
      </w:r>
      <w:r>
        <w:lastRenderedPageBreak/>
        <w:t>sie: das Mädchen wegen der Sache, dass nicht schrie sie in der Stadt, und den Mann wegen der Sache, dass er schwächte die Frau seines Nächsten; und wegschaffen sollst du das Böse aus deiner Mitte).</w:t>
      </w:r>
    </w:p>
    <w:p w14:paraId="62F6BF6C" w14:textId="77777777" w:rsidR="00C178BF" w:rsidRDefault="00C178BF" w:rsidP="00C178BF">
      <w:pPr>
        <w:pStyle w:val="whitespace-normal"/>
      </w:pPr>
      <w:r>
        <w:t>Der Vers beschreibt: Beide werden gesteinigt – das Mädchen, weil sie nicht schrie, der Mann, weil er die Frau seines Nächsten schwächte.</w:t>
      </w:r>
    </w:p>
    <w:p w14:paraId="2F1A870D" w14:textId="77777777" w:rsidR="00C178BF" w:rsidRPr="00B27A64" w:rsidRDefault="00C178BF" w:rsidP="00C178BF">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22,25</w:t>
      </w:r>
    </w:p>
    <w:p w14:paraId="27BBB805" w14:textId="77777777" w:rsidR="00C178BF" w:rsidRDefault="00C178BF" w:rsidP="00C178BF">
      <w:pPr>
        <w:pStyle w:val="whitespace-normal"/>
      </w:pPr>
      <w:r>
        <w:rPr>
          <w:rStyle w:val="Fett"/>
          <w:rFonts w:eastAsiaTheme="majorEastAsia"/>
        </w:rPr>
        <w:t>Hebräisch:</w:t>
      </w:r>
      <w:r>
        <w:t xml:space="preserve"> </w:t>
      </w:r>
      <w:r>
        <w:rPr>
          <w:rtl/>
        </w:rPr>
        <w:t>וְֽאִם־בַּשָּׂדֶ֞ה יִמְצָ֣א הָאִ֗ישׁ אֶת־הַנַּעַר הַמְאֹ֣רָשָׂ֔ה וְהֶחֱזִֽיק־בָּ֥הּ הָאִ֖ישׁ וְשָׁכַ֣ב עִמָּ֑הּ וּמֵ֗ת הָאִ֛ישׁ אֲשֶׁר־שָׁכַ֥ב עִמָּ֖הּ לְבַדֹּֽו׃</w:t>
      </w:r>
    </w:p>
    <w:p w14:paraId="678F576E" w14:textId="77777777" w:rsidR="00C178BF" w:rsidRDefault="00C178BF" w:rsidP="00C178BF">
      <w:pPr>
        <w:pStyle w:val="whitespace-normal"/>
      </w:pPr>
      <w:r>
        <w:rPr>
          <w:rStyle w:val="Fett"/>
          <w:rFonts w:eastAsiaTheme="majorEastAsia"/>
        </w:rPr>
        <w:t>Deutsch:</w:t>
      </w:r>
      <w:r>
        <w:t xml:space="preserve"> Wenn aber der Mann das verlobte Mädchen auf dem Feld trifft, und der Mann sie ergreift und bei ihr liegt, so soll der Mann, der bei ihr gelegen hat, allein sterben.</w:t>
      </w:r>
    </w:p>
    <w:p w14:paraId="0119F8F9" w14:textId="77777777" w:rsidR="00C178BF" w:rsidRDefault="004F5CEB" w:rsidP="00C178BF">
      <w:r>
        <w:rPr>
          <w:noProof/>
        </w:rPr>
        <w:pict w14:anchorId="5A4F71FB">
          <v:rect id="_x0000_i1620" style="width:0;height:1.5pt" o:hralign="center" o:hrstd="t" o:hr="t" fillcolor="#a0a0a0" stroked="f"/>
        </w:pict>
      </w:r>
    </w:p>
    <w:p w14:paraId="5C710C0C" w14:textId="77777777" w:rsidR="00C178BF" w:rsidRDefault="00C178BF" w:rsidP="00C178BF">
      <w:pPr>
        <w:pStyle w:val="whitespace-normal"/>
      </w:pPr>
      <w:r>
        <w:rPr>
          <w:rStyle w:val="Fett"/>
          <w:rFonts w:eastAsiaTheme="majorEastAsia"/>
        </w:rPr>
        <w:t>Kommentar:</w:t>
      </w:r>
      <w:r>
        <w:t xml:space="preserve"> </w:t>
      </w:r>
      <w:r>
        <w:rPr>
          <w:rStyle w:val="Fett"/>
          <w:rFonts w:eastAsiaTheme="majorEastAsia"/>
          <w:rtl/>
        </w:rPr>
        <w:t>וְאִם־בַּשָּׂדֶה יִמְצָא הָאִישׁ אֶת־הַנַּעַר הַמְאֹרָשָׂה וְהֶחֱזִיק־בָּהּ הָאִישׁ וְשָׁכַב עִמָּהּ</w:t>
      </w:r>
      <w:r>
        <w:rPr>
          <w:rtl/>
        </w:rPr>
        <w:t xml:space="preserve"> </w:t>
      </w:r>
      <w:r>
        <w:t xml:space="preserve">ist die alternative Bedingung: </w:t>
      </w:r>
      <w:r>
        <w:rPr>
          <w:rStyle w:val="Fett"/>
          <w:rFonts w:eastAsiaTheme="majorEastAsia"/>
          <w:rtl/>
        </w:rPr>
        <w:t>וְאִם־בַּשָּׂדֶה יִמְצָא הָאִישׁ אֶת־הַנַּעַר הַמְאֹרָשָׂה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אִם</w:t>
      </w:r>
      <w:r>
        <w:t xml:space="preserve">, </w:t>
      </w:r>
      <w:r>
        <w:rPr>
          <w:rStyle w:val="Fett"/>
          <w:rFonts w:eastAsiaTheme="majorEastAsia"/>
          <w:rtl/>
        </w:rPr>
        <w:t>בַּשָּׂדֶה</w:t>
      </w:r>
      <w:r>
        <w:t xml:space="preserve">, Präposition </w:t>
      </w:r>
      <w:r>
        <w:rPr>
          <w:rStyle w:val="Fett"/>
          <w:rFonts w:eastAsiaTheme="majorEastAsia"/>
          <w:rtl/>
        </w:rPr>
        <w:t>בְּ</w:t>
      </w:r>
      <w:r>
        <w:rPr>
          <w:rtl/>
        </w:rPr>
        <w:t xml:space="preserve"> </w:t>
      </w:r>
      <w:r>
        <w:t xml:space="preserve">mit </w:t>
      </w:r>
      <w:r>
        <w:rPr>
          <w:rStyle w:val="Fett"/>
          <w:rFonts w:eastAsiaTheme="majorEastAsia"/>
          <w:rtl/>
        </w:rPr>
        <w:t>שָׂדֶה</w:t>
      </w:r>
      <w:r>
        <w:t xml:space="preserve">, „Feld, offenes Land", mit Artikel, </w:t>
      </w:r>
      <w:r>
        <w:rPr>
          <w:rStyle w:val="Fett"/>
          <w:rFonts w:eastAsiaTheme="majorEastAsia"/>
          <w:rtl/>
        </w:rPr>
        <w:t>מצא</w:t>
      </w:r>
      <w:r>
        <w:t xml:space="preserve">, Qal Imperfekt, 3. Person Maskulinum Singular, </w:t>
      </w:r>
      <w:r>
        <w:rPr>
          <w:rStyle w:val="Fett"/>
          <w:rFonts w:eastAsiaTheme="majorEastAsia"/>
          <w:rtl/>
        </w:rPr>
        <w:t>אִישׁ</w:t>
      </w:r>
      <w:r>
        <w:rPr>
          <w:rtl/>
        </w:rPr>
        <w:t xml:space="preserve"> </w:t>
      </w:r>
      <w:r>
        <w:t xml:space="preserve">mit Artikel als Subjekt, Objektpartikel </w:t>
      </w:r>
      <w:r>
        <w:rPr>
          <w:rStyle w:val="Fett"/>
          <w:rFonts w:eastAsiaTheme="majorEastAsia"/>
          <w:rtl/>
        </w:rPr>
        <w:t>אֵת</w:t>
      </w:r>
      <w:r>
        <w:rPr>
          <w:rtl/>
        </w:rPr>
        <w:t xml:space="preserve"> </w:t>
      </w:r>
      <w:r>
        <w:t xml:space="preserve">mit </w:t>
      </w:r>
      <w:r>
        <w:rPr>
          <w:rStyle w:val="Fett"/>
          <w:rFonts w:eastAsiaTheme="majorEastAsia"/>
          <w:rtl/>
        </w:rPr>
        <w:t>נַעַר</w:t>
      </w:r>
      <w:r>
        <w:rPr>
          <w:rtl/>
        </w:rPr>
        <w:t xml:space="preserve"> </w:t>
      </w:r>
      <w:r>
        <w:t xml:space="preserve">Femininum mit Artikel, </w:t>
      </w:r>
      <w:r>
        <w:rPr>
          <w:rStyle w:val="Fett"/>
          <w:rFonts w:eastAsiaTheme="majorEastAsia"/>
          <w:rtl/>
        </w:rPr>
        <w:t>הַמְאֹרָשָׂה</w:t>
      </w:r>
      <w:r>
        <w:t xml:space="preserve">, Pual Partizip mit Artikel – „die Verlobte"), </w:t>
      </w:r>
      <w:r>
        <w:rPr>
          <w:rStyle w:val="Fett"/>
          <w:rFonts w:eastAsiaTheme="majorEastAsia"/>
          <w:rtl/>
        </w:rPr>
        <w:t>וְהֶחֱזִיק־בָּהּ הָאִישׁ</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חזק</w:t>
      </w:r>
      <w:r>
        <w:t xml:space="preserve">, Hiphil Perfekt, 3. Person Maskulinum Singular, „festhalten, ergreifen, packen", </w:t>
      </w:r>
      <w:r>
        <w:rPr>
          <w:rStyle w:val="Fett"/>
          <w:rFonts w:eastAsiaTheme="majorEastAsia"/>
          <w:rtl/>
        </w:rPr>
        <w:t>בָּהּ</w:t>
      </w:r>
      <w:r>
        <w:t xml:space="preserve">, Präposition </w:t>
      </w:r>
      <w:r>
        <w:rPr>
          <w:rStyle w:val="Fett"/>
          <w:rFonts w:eastAsiaTheme="majorEastAsia"/>
          <w:rtl/>
        </w:rPr>
        <w:t>בְּ</w:t>
      </w:r>
      <w:r>
        <w:rPr>
          <w:rtl/>
        </w:rPr>
        <w:t xml:space="preserve"> </w:t>
      </w:r>
      <w:r>
        <w:t xml:space="preserve">mit Suffix 3. Person Femininum Singular, </w:t>
      </w:r>
      <w:r>
        <w:rPr>
          <w:rStyle w:val="Fett"/>
          <w:rFonts w:eastAsiaTheme="majorEastAsia"/>
          <w:rtl/>
        </w:rPr>
        <w:t>אִישׁ</w:t>
      </w:r>
      <w:r>
        <w:rPr>
          <w:rtl/>
        </w:rPr>
        <w:t xml:space="preserve"> </w:t>
      </w:r>
      <w:r>
        <w:t xml:space="preserve">mit Artikel als Subjekt, mit </w:t>
      </w:r>
      <w:r>
        <w:rPr>
          <w:rStyle w:val="Fett"/>
          <w:rFonts w:eastAsiaTheme="majorEastAsia"/>
        </w:rPr>
        <w:t>Waw</w:t>
      </w:r>
      <w:r>
        <w:t xml:space="preserve"> consecutives Perfekt), </w:t>
      </w:r>
      <w:r>
        <w:rPr>
          <w:rStyle w:val="Fett"/>
          <w:rFonts w:eastAsiaTheme="majorEastAsia"/>
          <w:rtl/>
        </w:rPr>
        <w:t>וְשָׁכַב עִמָּהּ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שׁכב</w:t>
      </w:r>
      <w:r>
        <w:t xml:space="preserve">, Qal Perfekt, 3. Person Maskulinum Singular, Präposition </w:t>
      </w:r>
      <w:r>
        <w:rPr>
          <w:rStyle w:val="Fett"/>
          <w:rFonts w:eastAsiaTheme="majorEastAsia"/>
          <w:rtl/>
        </w:rPr>
        <w:t>עִם</w:t>
      </w:r>
      <w:r>
        <w:rPr>
          <w:rtl/>
        </w:rPr>
        <w:t xml:space="preserve"> </w:t>
      </w:r>
      <w:r>
        <w:t xml:space="preserve">mit Suffix 3. Person Femininum Singular, mit </w:t>
      </w:r>
      <w:r>
        <w:rPr>
          <w:rStyle w:val="Fett"/>
          <w:rFonts w:eastAsiaTheme="majorEastAsia"/>
        </w:rPr>
        <w:t>Waw</w:t>
      </w:r>
      <w:r>
        <w:t xml:space="preserve"> consecutives Perfekt).</w:t>
      </w:r>
    </w:p>
    <w:p w14:paraId="77E80CE9" w14:textId="77777777" w:rsidR="00C178BF" w:rsidRDefault="00C178BF" w:rsidP="00C178BF">
      <w:pPr>
        <w:pStyle w:val="whitespace-normal"/>
      </w:pPr>
      <w:r>
        <w:rPr>
          <w:rStyle w:val="Fett"/>
          <w:rFonts w:eastAsiaTheme="majorEastAsia"/>
          <w:rtl/>
        </w:rPr>
        <w:t>וּמֵת הָאִישׁ אֲשֶׁר־שָׁכַב עִמָּהּ לְבַדֹּו</w:t>
      </w:r>
      <w:r>
        <w:rPr>
          <w:rtl/>
        </w:rPr>
        <w:t xml:space="preserve"> </w:t>
      </w:r>
      <w:r>
        <w:t xml:space="preserve">ist die Strafe: </w:t>
      </w:r>
      <w:r>
        <w:rPr>
          <w:rStyle w:val="Fett"/>
          <w:rFonts w:eastAsiaTheme="majorEastAsia"/>
          <w:rtl/>
        </w:rPr>
        <w:t>וּמֵת הָאִישׁ אֲשֶׁר־שָׁכַב עִמָּהּ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מות</w:t>
      </w:r>
      <w:r>
        <w:t xml:space="preserve">, Qal Perfekt, 3. Person Maskulinum Singular, </w:t>
      </w:r>
      <w:r>
        <w:rPr>
          <w:rStyle w:val="Fett"/>
          <w:rFonts w:eastAsiaTheme="majorEastAsia"/>
          <w:rtl/>
        </w:rPr>
        <w:t>אִישׁ</w:t>
      </w:r>
      <w:r>
        <w:rPr>
          <w:rtl/>
        </w:rPr>
        <w:t xml:space="preserve"> </w:t>
      </w:r>
      <w:r>
        <w:t xml:space="preserve">mit Artikel als Subjekt, Relativsatz: </w:t>
      </w:r>
      <w:r>
        <w:rPr>
          <w:rStyle w:val="Fett"/>
          <w:rFonts w:eastAsiaTheme="majorEastAsia"/>
          <w:rtl/>
        </w:rPr>
        <w:t>אֲשֶׁר־שָׁכַב עִמָּהּ</w:t>
      </w:r>
      <w:r>
        <w:t xml:space="preserve">, mit </w:t>
      </w:r>
      <w:r>
        <w:rPr>
          <w:rStyle w:val="Fett"/>
          <w:rFonts w:eastAsiaTheme="majorEastAsia"/>
        </w:rPr>
        <w:t>Waw</w:t>
      </w:r>
      <w:r>
        <w:t xml:space="preserve"> consecutives Perfekt), </w:t>
      </w:r>
      <w:r>
        <w:rPr>
          <w:rStyle w:val="Fett"/>
          <w:rFonts w:eastAsiaTheme="majorEastAsia"/>
          <w:rtl/>
        </w:rPr>
        <w:t>לְבַדֹּו</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בַּד</w:t>
      </w:r>
      <w:r>
        <w:t>, „allein, nur", mit Suffix 3. Person Maskulinum Singular).</w:t>
      </w:r>
    </w:p>
    <w:p w14:paraId="1C44492C" w14:textId="1DB14E22" w:rsidR="00C178BF" w:rsidRDefault="00C178BF" w:rsidP="00C178BF">
      <w:pPr>
        <w:pStyle w:val="whitespace-normal"/>
      </w:pPr>
      <w:r>
        <w:t xml:space="preserve">Der Vers beschreibt den alternativen Fall: Dasselbe Vergehen, aber auf dem </w:t>
      </w:r>
      <w:r>
        <w:rPr>
          <w:rStyle w:val="Fett"/>
          <w:rFonts w:eastAsiaTheme="majorEastAsia"/>
        </w:rPr>
        <w:t>Feld</w:t>
      </w:r>
      <w:r>
        <w:t xml:space="preserve"> statt in der </w:t>
      </w:r>
      <w:r>
        <w:rPr>
          <w:rStyle w:val="Fett"/>
          <w:rFonts w:eastAsiaTheme="majorEastAsia"/>
        </w:rPr>
        <w:t>Stadt</w:t>
      </w:r>
      <w:r>
        <w:t xml:space="preserve">. Die Bedingung: (1) </w:t>
      </w:r>
      <w:r>
        <w:rPr>
          <w:rStyle w:val="Fett"/>
          <w:rFonts w:eastAsiaTheme="majorEastAsia"/>
          <w:rtl/>
        </w:rPr>
        <w:t>וְאִם־בַּשָּׂדֶה יִמְצָא הָאִישׁ אֶת־הַנַּעַר הַמְאֹרָשָׂה</w:t>
      </w:r>
      <w:r>
        <w:rPr>
          <w:rtl/>
        </w:rPr>
        <w:t xml:space="preserve"> </w:t>
      </w:r>
      <w:r>
        <w:t xml:space="preserve">(„und wenn auf dem Feld findet der Mann das verlobte Mädchen") – die Ortsangabe </w:t>
      </w:r>
      <w:r>
        <w:rPr>
          <w:rStyle w:val="Fett"/>
          <w:rFonts w:eastAsiaTheme="majorEastAsia"/>
          <w:rtl/>
        </w:rPr>
        <w:t>בַּשָּׂדֶה</w:t>
      </w:r>
      <w:r>
        <w:rPr>
          <w:rtl/>
        </w:rPr>
        <w:t xml:space="preserve"> </w:t>
      </w:r>
      <w:r>
        <w:t xml:space="preserve">(„auf dem Feld") ist entscheidend. </w:t>
      </w:r>
      <w:r>
        <w:rPr>
          <w:rStyle w:val="Fett"/>
          <w:rFonts w:eastAsiaTheme="majorEastAsia"/>
          <w:rtl/>
        </w:rPr>
        <w:t>שָׂדֶה</w:t>
      </w:r>
      <w:r>
        <w:rPr>
          <w:rtl/>
        </w:rPr>
        <w:t xml:space="preserve"> </w:t>
      </w:r>
      <w:r>
        <w:t xml:space="preserve">bezeichnet offenes Land, fernab von Siedlungen, wo niemand einen Hilfeschrei hören würde. (2) </w:t>
      </w:r>
      <w:r>
        <w:rPr>
          <w:rStyle w:val="Fett"/>
          <w:rFonts w:eastAsiaTheme="majorEastAsia"/>
          <w:rtl/>
        </w:rPr>
        <w:t>וְהֶחֱזִיק־בָּהּ הָאִישׁ</w:t>
      </w:r>
      <w:r>
        <w:rPr>
          <w:rtl/>
        </w:rPr>
        <w:t xml:space="preserve"> </w:t>
      </w:r>
      <w:r>
        <w:t xml:space="preserve">(„und ergreift sie der Mann") – das Verb </w:t>
      </w:r>
      <w:r>
        <w:rPr>
          <w:rStyle w:val="Fett"/>
          <w:rFonts w:eastAsiaTheme="majorEastAsia"/>
          <w:rtl/>
        </w:rPr>
        <w:t>חזק</w:t>
      </w:r>
      <w:r>
        <w:rPr>
          <w:rtl/>
        </w:rPr>
        <w:t xml:space="preserve"> </w:t>
      </w:r>
      <w:r>
        <w:t xml:space="preserve">im Hiphil („festhalten, ergreifen") impliziert Gewalt, Zwang. (3) </w:t>
      </w:r>
      <w:r>
        <w:rPr>
          <w:rStyle w:val="Fett"/>
          <w:rFonts w:eastAsiaTheme="majorEastAsia"/>
          <w:rtl/>
        </w:rPr>
        <w:t>וְשָׁכַב עִמָּהּ</w:t>
      </w:r>
      <w:r>
        <w:rPr>
          <w:rtl/>
        </w:rPr>
        <w:t xml:space="preserve"> </w:t>
      </w:r>
      <w:r>
        <w:t xml:space="preserve">(„und liegt mit ihr") – Geschlechtsverkehr unter Zwang. Die Strafe: </w:t>
      </w:r>
      <w:r>
        <w:rPr>
          <w:rStyle w:val="Fett"/>
          <w:rFonts w:eastAsiaTheme="majorEastAsia"/>
          <w:rtl/>
        </w:rPr>
        <w:t>וּמֵת הָאִישׁ אֲשֶׁר־שָׁכַב עִמָּהּ לְבַדֹּו</w:t>
      </w:r>
      <w:r>
        <w:rPr>
          <w:rtl/>
        </w:rPr>
        <w:t xml:space="preserve"> </w:t>
      </w:r>
      <w:r>
        <w:t xml:space="preserve">(„sterben soll der Mann, der lag mit ihr, allein"). Das Adverb </w:t>
      </w:r>
      <w:r>
        <w:rPr>
          <w:rStyle w:val="Fett"/>
          <w:rFonts w:eastAsiaTheme="majorEastAsia"/>
          <w:rtl/>
        </w:rPr>
        <w:t>לְבַדֹּו</w:t>
      </w:r>
      <w:r>
        <w:rPr>
          <w:rtl/>
        </w:rPr>
        <w:t xml:space="preserve"> </w:t>
      </w:r>
      <w:r>
        <w:t xml:space="preserve">(„allein") betont: </w:t>
      </w:r>
      <w:r>
        <w:rPr>
          <w:rStyle w:val="Fett"/>
          <w:rFonts w:eastAsiaTheme="majorEastAsia"/>
        </w:rPr>
        <w:t>nur</w:t>
      </w:r>
      <w:r>
        <w:t xml:space="preserve"> der Mann wird hingerichtet, nicht das Mädchen. Der Grund wird in V. 26-27 erklärt.</w:t>
      </w:r>
    </w:p>
    <w:p w14:paraId="360F255A" w14:textId="1A7F1F2F" w:rsidR="00D00836" w:rsidRDefault="00D00836" w:rsidP="00C178BF">
      <w:pPr>
        <w:pStyle w:val="whitespace-normal"/>
      </w:pPr>
      <w:r>
        <w:rPr>
          <w:rStyle w:val="Fett"/>
        </w:rPr>
        <w:t>Die LXX</w:t>
      </w:r>
      <w:r>
        <w:t xml:space="preserve"> übersetzt </w:t>
      </w:r>
      <w:r>
        <w:rPr>
          <w:rtl/>
        </w:rPr>
        <w:t>וְהֶחֱזִיק־בָּהּ</w:t>
      </w:r>
      <w:r>
        <w:t xml:space="preserve"> (und er ergreift sie) mit καὶ βια</w:t>
      </w:r>
      <w:proofErr w:type="spellStart"/>
      <w:r>
        <w:t>σάμενος</w:t>
      </w:r>
      <w:proofErr w:type="spellEnd"/>
      <w:r>
        <w:t xml:space="preserve"> (und Gewalt anwendend) – ein expliziteres Verb für sexuelle Gewalt.</w:t>
      </w:r>
    </w:p>
    <w:p w14:paraId="02B7E0A6" w14:textId="77777777" w:rsidR="00C178BF" w:rsidRDefault="00C178BF" w:rsidP="00C178BF">
      <w:pPr>
        <w:pStyle w:val="whitespace-normal"/>
      </w:pPr>
      <w:r>
        <w:rPr>
          <w:rStyle w:val="Fett"/>
          <w:rFonts w:eastAsiaTheme="majorEastAsia"/>
        </w:rPr>
        <w:lastRenderedPageBreak/>
        <w:t>Die Satzstruktur:</w:t>
      </w:r>
      <w:r>
        <w:t xml:space="preserve"> Alternative Bedingung mit Strafe (und wenn auf dem Feld findet der Mann das verlobte Mädchen, und ergreift sie der Mann, und liegt mit ihr, sterben soll der Mann, der lag mit ihr, allein).</w:t>
      </w:r>
    </w:p>
    <w:p w14:paraId="6331F49A" w14:textId="77777777" w:rsidR="00C178BF" w:rsidRDefault="00C178BF" w:rsidP="00C178BF">
      <w:pPr>
        <w:pStyle w:val="whitespace-normal"/>
      </w:pPr>
      <w:r>
        <w:t>Der Vers beschreibt den alternativen Fall: Wenn dasselbe auf dem Feld geschieht – nur der Mann soll sterben.</w:t>
      </w:r>
    </w:p>
    <w:p w14:paraId="0E81AFE9" w14:textId="77777777" w:rsidR="00C178BF" w:rsidRPr="00B27A64" w:rsidRDefault="00C178BF" w:rsidP="00C178BF">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22,26</w:t>
      </w:r>
    </w:p>
    <w:p w14:paraId="204640B5" w14:textId="77777777" w:rsidR="00C178BF" w:rsidRDefault="00C178BF" w:rsidP="00C178BF">
      <w:pPr>
        <w:pStyle w:val="whitespace-normal"/>
      </w:pPr>
      <w:r>
        <w:rPr>
          <w:rStyle w:val="Fett"/>
          <w:rFonts w:eastAsiaTheme="majorEastAsia"/>
        </w:rPr>
        <w:t>Hebräisch:</w:t>
      </w:r>
      <w:r>
        <w:t xml:space="preserve"> </w:t>
      </w:r>
      <w:r>
        <w:rPr>
          <w:rtl/>
        </w:rPr>
        <w:t>וְלַנַּעַר לֹא־תַעֲשֶׂ֣ה דָבָ֔ר אֵ֥ין לַנַּעַר חֵ֣טְא מָ֑וֶת כִּ֡י כַּאֲשֶׁר֩ יָק֨וּם אִ֤ישׁ עַל־רֵעֵ֨הוּ֙ וּרְצָחֹ֣ו נֶ֔פֶשׁ כֵּ֖ן הַדָּבָ֥ר הַזֶּֽה׃</w:t>
      </w:r>
    </w:p>
    <w:p w14:paraId="422D2909" w14:textId="77777777" w:rsidR="00C178BF" w:rsidRDefault="00C178BF" w:rsidP="00C178BF">
      <w:pPr>
        <w:pStyle w:val="whitespace-normal"/>
      </w:pPr>
      <w:r>
        <w:rPr>
          <w:rStyle w:val="Fett"/>
          <w:rFonts w:eastAsiaTheme="majorEastAsia"/>
        </w:rPr>
        <w:t>Deutsch:</w:t>
      </w:r>
      <w:r>
        <w:t xml:space="preserve"> Aber dem Mädchen sollst du nichts tun, das Mädchen hat keine Todsünde begangen; denn es ist, wie wenn ein Mann sich gegen seinen Nächsten erhebt und ihn totschlägt, so ist diese Sache.</w:t>
      </w:r>
    </w:p>
    <w:p w14:paraId="598C0A78" w14:textId="77777777" w:rsidR="00C178BF" w:rsidRDefault="004F5CEB" w:rsidP="00C178BF">
      <w:r>
        <w:rPr>
          <w:noProof/>
        </w:rPr>
        <w:pict w14:anchorId="34D47DF4">
          <v:rect id="_x0000_i1621" style="width:0;height:1.5pt" o:hralign="center" o:hrstd="t" o:hr="t" fillcolor="#a0a0a0" stroked="f"/>
        </w:pict>
      </w:r>
    </w:p>
    <w:p w14:paraId="6C7A9361" w14:textId="77777777" w:rsidR="00C178BF" w:rsidRDefault="00C178BF" w:rsidP="00C178BF">
      <w:pPr>
        <w:pStyle w:val="whitespace-normal"/>
      </w:pPr>
      <w:r>
        <w:rPr>
          <w:rStyle w:val="Fett"/>
          <w:rFonts w:eastAsiaTheme="majorEastAsia"/>
        </w:rPr>
        <w:t>Kommentar:</w:t>
      </w:r>
      <w:r>
        <w:t xml:space="preserve"> </w:t>
      </w:r>
      <w:r>
        <w:rPr>
          <w:rStyle w:val="Fett"/>
          <w:rFonts w:eastAsiaTheme="majorEastAsia"/>
          <w:rtl/>
        </w:rPr>
        <w:t>וְלַנַּעַר לֹא־תַעֲשֶׂה דָבָר אֵין לַנַּעַר חֵטְא מָוֶת</w:t>
      </w:r>
      <w:r>
        <w:rPr>
          <w:rtl/>
        </w:rPr>
        <w:t xml:space="preserve"> </w:t>
      </w:r>
      <w:r>
        <w:t xml:space="preserve">sind zwei Aussagen: </w:t>
      </w:r>
      <w:r>
        <w:rPr>
          <w:rStyle w:val="Fett"/>
          <w:rFonts w:eastAsiaTheme="majorEastAsia"/>
          <w:rtl/>
        </w:rPr>
        <w:t>וְלַנַּעַר לֹא־תַעֲשֶׂה דָבָר</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לַנַּעַר</w:t>
      </w:r>
      <w:r>
        <w:t xml:space="preserve">, Präposition </w:t>
      </w:r>
      <w:r>
        <w:rPr>
          <w:rStyle w:val="Fett"/>
          <w:rFonts w:eastAsiaTheme="majorEastAsia"/>
          <w:rtl/>
        </w:rPr>
        <w:t>לְ</w:t>
      </w:r>
      <w:r>
        <w:rPr>
          <w:rtl/>
        </w:rPr>
        <w:t xml:space="preserve"> </w:t>
      </w:r>
      <w:r>
        <w:t xml:space="preserve">mit </w:t>
      </w:r>
      <w:r>
        <w:rPr>
          <w:rStyle w:val="Fett"/>
          <w:rFonts w:eastAsiaTheme="majorEastAsia"/>
          <w:rtl/>
        </w:rPr>
        <w:t>נַעַר</w:t>
      </w:r>
      <w:r>
        <w:rPr>
          <w:rtl/>
        </w:rPr>
        <w:t xml:space="preserve"> </w:t>
      </w:r>
      <w:r>
        <w:t xml:space="preserve">Femininum mit Artikel – Dativ des Leidens, Negation mit </w:t>
      </w:r>
      <w:r>
        <w:rPr>
          <w:rStyle w:val="Fett"/>
          <w:rFonts w:eastAsiaTheme="majorEastAsia"/>
          <w:rtl/>
        </w:rPr>
        <w:t>עשׂה</w:t>
      </w:r>
      <w:r>
        <w:t xml:space="preserve">, Qal Imperfekt, 2. Person Maskulinum Singular, </w:t>
      </w:r>
      <w:r>
        <w:rPr>
          <w:rStyle w:val="Fett"/>
          <w:rFonts w:eastAsiaTheme="majorEastAsia"/>
          <w:rtl/>
        </w:rPr>
        <w:t>דָּבָר</w:t>
      </w:r>
      <w:r>
        <w:t xml:space="preserve">, „Sache, etwas"), </w:t>
      </w:r>
      <w:r>
        <w:rPr>
          <w:rStyle w:val="Fett"/>
          <w:rFonts w:eastAsiaTheme="majorEastAsia"/>
          <w:rtl/>
        </w:rPr>
        <w:t>אֵין לַנַּעַר חֵטְא מָוֶת</w:t>
      </w:r>
      <w:r>
        <w:rPr>
          <w:rtl/>
        </w:rPr>
        <w:t xml:space="preserve"> </w:t>
      </w:r>
      <w:r>
        <w:t>(</w:t>
      </w:r>
      <w:r>
        <w:rPr>
          <w:rStyle w:val="Fett"/>
          <w:rFonts w:eastAsiaTheme="majorEastAsia"/>
          <w:rtl/>
        </w:rPr>
        <w:t>אֵין</w:t>
      </w:r>
      <w:r>
        <w:t xml:space="preserve">, „nicht sein, es gibt nicht", </w:t>
      </w:r>
      <w:r>
        <w:rPr>
          <w:rStyle w:val="Fett"/>
          <w:rFonts w:eastAsiaTheme="majorEastAsia"/>
          <w:rtl/>
        </w:rPr>
        <w:t>לַנַּעַר</w:t>
      </w:r>
      <w:r>
        <w:rPr>
          <w:rtl/>
        </w:rPr>
        <w:t xml:space="preserve"> </w:t>
      </w:r>
      <w:r>
        <w:t xml:space="preserve">als Dativ, </w:t>
      </w:r>
      <w:r>
        <w:rPr>
          <w:rStyle w:val="Fett"/>
          <w:rFonts w:eastAsiaTheme="majorEastAsia"/>
          <w:rtl/>
        </w:rPr>
        <w:t>חֵטְא מָוֶת</w:t>
      </w:r>
      <w:r>
        <w:t xml:space="preserve">, </w:t>
      </w:r>
      <w:r>
        <w:rPr>
          <w:rStyle w:val="Fett"/>
          <w:rFonts w:eastAsiaTheme="majorEastAsia"/>
          <w:rtl/>
        </w:rPr>
        <w:t>חֵטְא</w:t>
      </w:r>
      <w:r>
        <w:t xml:space="preserve">, „Sünde, Vergehen", Construct mit </w:t>
      </w:r>
      <w:r>
        <w:rPr>
          <w:rStyle w:val="Fett"/>
          <w:rFonts w:eastAsiaTheme="majorEastAsia"/>
          <w:rtl/>
        </w:rPr>
        <w:t>מָוֶת</w:t>
      </w:r>
      <w:r>
        <w:t>, „Tod" – „Todsünde, todeswürdiges Vergehen").</w:t>
      </w:r>
    </w:p>
    <w:p w14:paraId="3574DEC2" w14:textId="77777777" w:rsidR="00C178BF" w:rsidRDefault="00C178BF" w:rsidP="00C178BF">
      <w:pPr>
        <w:pStyle w:val="whitespace-normal"/>
      </w:pPr>
      <w:r>
        <w:rPr>
          <w:rStyle w:val="Fett"/>
          <w:rFonts w:eastAsiaTheme="majorEastAsia"/>
          <w:rtl/>
        </w:rPr>
        <w:t>כִּי כַּאֲשֶׁר יָקוּם אִישׁ עַל־רֵעֵהוּ וּרְצָחוֹ נֶפֶשׁ כֵּן הַדָּבָר הַזֶּה</w:t>
      </w:r>
      <w:r>
        <w:rPr>
          <w:rtl/>
        </w:rPr>
        <w:t xml:space="preserve"> </w:t>
      </w:r>
      <w:r>
        <w:t xml:space="preserve">ist der Vergleich: </w:t>
      </w:r>
      <w:r>
        <w:rPr>
          <w:rStyle w:val="Fett"/>
          <w:rFonts w:eastAsiaTheme="majorEastAsia"/>
          <w:rtl/>
        </w:rPr>
        <w:t>כִּי</w:t>
      </w:r>
      <w:r>
        <w:rPr>
          <w:rtl/>
        </w:rPr>
        <w:t xml:space="preserve"> </w:t>
      </w:r>
      <w:r>
        <w:t xml:space="preserve">(Kausalsatz), </w:t>
      </w:r>
      <w:r>
        <w:rPr>
          <w:rStyle w:val="Fett"/>
          <w:rFonts w:eastAsiaTheme="majorEastAsia"/>
          <w:rtl/>
        </w:rPr>
        <w:t>כַּאֲשֶׁר יָקוּם אִישׁ עַל־רֵעֵהוּ וּרְצָחוֹ נֶפֶשׁ</w:t>
      </w:r>
      <w:r>
        <w:rPr>
          <w:rtl/>
        </w:rPr>
        <w:t xml:space="preserve"> </w:t>
      </w:r>
      <w:r>
        <w:t>(</w:t>
      </w:r>
      <w:r>
        <w:rPr>
          <w:rStyle w:val="Fett"/>
          <w:rFonts w:eastAsiaTheme="majorEastAsia"/>
          <w:rtl/>
        </w:rPr>
        <w:t>כַּאֲשֶׁר</w:t>
      </w:r>
      <w:r>
        <w:t xml:space="preserve">, „wie wenn, gleichwie", </w:t>
      </w:r>
      <w:r>
        <w:rPr>
          <w:rStyle w:val="Fett"/>
          <w:rFonts w:eastAsiaTheme="majorEastAsia"/>
          <w:rtl/>
        </w:rPr>
        <w:t>קום</w:t>
      </w:r>
      <w:r>
        <w:t xml:space="preserve">, Qal Imperfekt, 3. Person Maskulinum Singular, „aufstehen, sich erheben" – hier: „sich erheben gegen", </w:t>
      </w:r>
      <w:r>
        <w:rPr>
          <w:rStyle w:val="Fett"/>
          <w:rFonts w:eastAsiaTheme="majorEastAsia"/>
          <w:rtl/>
        </w:rPr>
        <w:t>אִישׁ</w:t>
      </w:r>
      <w:r>
        <w:rPr>
          <w:rtl/>
        </w:rPr>
        <w:t xml:space="preserve"> </w:t>
      </w:r>
      <w:r>
        <w:t xml:space="preserve">als Subjekt, Präposition </w:t>
      </w:r>
      <w:r>
        <w:rPr>
          <w:rStyle w:val="Fett"/>
          <w:rFonts w:eastAsiaTheme="majorEastAsia"/>
          <w:rtl/>
        </w:rPr>
        <w:t>עַל</w:t>
      </w:r>
      <w:r>
        <w:rPr>
          <w:rtl/>
        </w:rPr>
        <w:t xml:space="preserve"> </w:t>
      </w:r>
      <w:r>
        <w:t xml:space="preserve">mit </w:t>
      </w:r>
      <w:r>
        <w:rPr>
          <w:rStyle w:val="Fett"/>
          <w:rFonts w:eastAsiaTheme="majorEastAsia"/>
          <w:rtl/>
        </w:rPr>
        <w:t>רֵעַ</w:t>
      </w:r>
      <w:r>
        <w:rPr>
          <w:rtl/>
        </w:rPr>
        <w:t xml:space="preserve"> </w:t>
      </w:r>
      <w:r>
        <w:t xml:space="preserve">mit Suffix 3. Person Maskulinum Singular, koordiniert durch </w:t>
      </w:r>
      <w:r>
        <w:rPr>
          <w:rStyle w:val="Fett"/>
          <w:rFonts w:eastAsiaTheme="majorEastAsia"/>
          <w:rtl/>
        </w:rPr>
        <w:t>וּ</w:t>
      </w:r>
      <w:r>
        <w:rPr>
          <w:rtl/>
        </w:rPr>
        <w:t xml:space="preserve"> </w:t>
      </w:r>
      <w:r>
        <w:t xml:space="preserve">mit </w:t>
      </w:r>
      <w:r>
        <w:rPr>
          <w:rStyle w:val="Fett"/>
          <w:rFonts w:eastAsiaTheme="majorEastAsia"/>
          <w:rtl/>
        </w:rPr>
        <w:t>רצח</w:t>
      </w:r>
      <w:r>
        <w:t xml:space="preserve">, Qal Perfekt, 3. Person Maskulinum Singular, „morden, töten", mit Suffix 3. Person Maskulinum Singular, </w:t>
      </w:r>
      <w:r>
        <w:rPr>
          <w:rStyle w:val="Fett"/>
          <w:rFonts w:eastAsiaTheme="majorEastAsia"/>
          <w:rtl/>
        </w:rPr>
        <w:t>נֶפֶשׁ</w:t>
      </w:r>
      <w:r>
        <w:t xml:space="preserve">, „Seele, Leben, Person" – hier als Objekt), </w:t>
      </w:r>
      <w:r>
        <w:rPr>
          <w:rStyle w:val="Fett"/>
          <w:rFonts w:eastAsiaTheme="majorEastAsia"/>
          <w:rtl/>
        </w:rPr>
        <w:t>כֵּן הַדָּבָר הַזֶּה</w:t>
      </w:r>
      <w:r>
        <w:rPr>
          <w:rtl/>
        </w:rPr>
        <w:t xml:space="preserve"> </w:t>
      </w:r>
      <w:r>
        <w:t>(</w:t>
      </w:r>
      <w:r>
        <w:rPr>
          <w:rStyle w:val="Fett"/>
          <w:rFonts w:eastAsiaTheme="majorEastAsia"/>
          <w:rtl/>
        </w:rPr>
        <w:t>כֵּן</w:t>
      </w:r>
      <w:r>
        <w:t xml:space="preserve">, „so", </w:t>
      </w:r>
      <w:r>
        <w:rPr>
          <w:rStyle w:val="Fett"/>
          <w:rFonts w:eastAsiaTheme="majorEastAsia"/>
          <w:rtl/>
        </w:rPr>
        <w:t>דָּבָר</w:t>
      </w:r>
      <w:r>
        <w:rPr>
          <w:rtl/>
        </w:rPr>
        <w:t xml:space="preserve"> </w:t>
      </w:r>
      <w:r>
        <w:t>mit Artikel und Demonstrativpronomen).</w:t>
      </w:r>
    </w:p>
    <w:p w14:paraId="5F928F51" w14:textId="77777777" w:rsidR="00C178BF" w:rsidRDefault="00C178BF" w:rsidP="00C178BF">
      <w:pPr>
        <w:pStyle w:val="whitespace-normal"/>
      </w:pPr>
      <w:r>
        <w:t xml:space="preserve">Der Vers begründet die Unschuld des Mädchens. Die doppelte Aussage: (1) </w:t>
      </w:r>
      <w:r>
        <w:rPr>
          <w:rStyle w:val="Fett"/>
          <w:rFonts w:eastAsiaTheme="majorEastAsia"/>
          <w:rtl/>
        </w:rPr>
        <w:t>וְלַנַּעַר לֹא־תַעֲשֶׂה דָבָר</w:t>
      </w:r>
      <w:r>
        <w:rPr>
          <w:rtl/>
        </w:rPr>
        <w:t xml:space="preserve"> </w:t>
      </w:r>
      <w:r>
        <w:t xml:space="preserve">(„und dem Mädchen sollst du nicht tun irgendetwas") – kategorisches Verbot jeglicher Bestrafung. (2) </w:t>
      </w:r>
      <w:r>
        <w:rPr>
          <w:rStyle w:val="Fett"/>
          <w:rFonts w:eastAsiaTheme="majorEastAsia"/>
          <w:rtl/>
        </w:rPr>
        <w:t>אֵין לַנַּעַר חֵטְא מָוֶת</w:t>
      </w:r>
      <w:r>
        <w:rPr>
          <w:rtl/>
        </w:rPr>
        <w:t xml:space="preserve"> </w:t>
      </w:r>
      <w:r>
        <w:t xml:space="preserve">(„es gibt nicht bei dem Mädchen eine Todsünde") – sie hat kein todeswürdiges Vergehen begangen. Der Vergleich: </w:t>
      </w:r>
      <w:r>
        <w:rPr>
          <w:rStyle w:val="Fett"/>
          <w:rFonts w:eastAsiaTheme="majorEastAsia"/>
          <w:rtl/>
        </w:rPr>
        <w:t>כִּי כַּאֲשֶׁר יָקוּם אִישׁ עַל־רֵעֵהוּ וּרְצָחוֹ נֶפֶשׁ כֵּן הַדָּבָר הַזֶּה</w:t>
      </w:r>
      <w:r>
        <w:rPr>
          <w:rtl/>
        </w:rPr>
        <w:t xml:space="preserve"> </w:t>
      </w:r>
      <w:r>
        <w:t xml:space="preserve">(„denn wie wenn aufsteht ein Mann gegen seinen Nächsten und ermordet ihn, eine Person, so ist diese Sache"). Das Verb </w:t>
      </w:r>
      <w:r>
        <w:rPr>
          <w:rStyle w:val="Fett"/>
          <w:rFonts w:eastAsiaTheme="majorEastAsia"/>
          <w:rtl/>
        </w:rPr>
        <w:t>רצח</w:t>
      </w:r>
      <w:r>
        <w:rPr>
          <w:rtl/>
        </w:rPr>
        <w:t xml:space="preserve"> </w:t>
      </w:r>
      <w:r>
        <w:t>(„morden") bezeichnet vorsätzliche Tötung (vgl. Ex 20,13; Dtn 5,17). Die Analogie: Wie ein Mord ein gewaltsamer Akt gegen ein unschuldiges Opfer ist, so ist diese Vergewaltigung. Das Mädchen ist Opfer, nicht Mittäterin. V. 27 wird dies weiter erklären.</w:t>
      </w:r>
    </w:p>
    <w:p w14:paraId="14910446" w14:textId="77777777" w:rsidR="00C178BF" w:rsidRDefault="00C178BF" w:rsidP="00C178BF">
      <w:pPr>
        <w:pStyle w:val="whitespace-normal"/>
      </w:pPr>
      <w:r>
        <w:rPr>
          <w:rStyle w:val="Fett"/>
          <w:rFonts w:eastAsiaTheme="majorEastAsia"/>
        </w:rPr>
        <w:t>Die Satzstruktur:</w:t>
      </w:r>
      <w:r>
        <w:t xml:space="preserve"> Zwei Aussagen mit Vergleich (und dem Mädchen nicht tun sollst du irgendetwas, es gibt nicht bei dem Mädchen eine Todsünde; denn wie wenn aufsteht ein Mann gegen seinen Nächsten und ermordet ihn, eine Person, so ist diese Sache).</w:t>
      </w:r>
    </w:p>
    <w:p w14:paraId="1A5DAFD9" w14:textId="77777777" w:rsidR="00C178BF" w:rsidRDefault="00C178BF" w:rsidP="00C178BF">
      <w:pPr>
        <w:pStyle w:val="whitespace-normal"/>
      </w:pPr>
      <w:r>
        <w:t>Der Vers begründet: Dem Mädchen darfst du nichts tun – sie hat keine Todsünde begangen; es ist wie ein Mord (sie ist Opfer).</w:t>
      </w:r>
    </w:p>
    <w:p w14:paraId="172FD713" w14:textId="77777777" w:rsidR="00C178BF" w:rsidRPr="00B27A64" w:rsidRDefault="00C178BF" w:rsidP="00C178BF">
      <w:pPr>
        <w:pStyle w:val="berschrift1"/>
        <w:rPr>
          <w:rFonts w:ascii="Times New Roman" w:hAnsi="Times New Roman"/>
          <w:color w:val="auto"/>
          <w:sz w:val="36"/>
          <w:szCs w:val="36"/>
        </w:rPr>
      </w:pPr>
      <w:r w:rsidRPr="00B27A64">
        <w:rPr>
          <w:rStyle w:val="Fett"/>
          <w:rFonts w:ascii="Times New Roman" w:hAnsi="Times New Roman"/>
          <w:color w:val="auto"/>
          <w:sz w:val="36"/>
          <w:szCs w:val="36"/>
        </w:rPr>
        <w:lastRenderedPageBreak/>
        <w:t>Deuteronomium 22,27</w:t>
      </w:r>
    </w:p>
    <w:p w14:paraId="215AB312" w14:textId="77777777" w:rsidR="00C178BF" w:rsidRDefault="00C178BF" w:rsidP="00C178BF">
      <w:pPr>
        <w:pStyle w:val="whitespace-normal"/>
      </w:pPr>
      <w:r>
        <w:rPr>
          <w:rStyle w:val="Fett"/>
          <w:rFonts w:eastAsiaTheme="majorEastAsia"/>
        </w:rPr>
        <w:t>Hebräisch:</w:t>
      </w:r>
      <w:r>
        <w:t xml:space="preserve"> </w:t>
      </w:r>
      <w:r>
        <w:rPr>
          <w:rtl/>
        </w:rPr>
        <w:t>כִּ֥י בַשָּׂדֶ֖ה מְצָאָ֑הּ צָעֲקָ֗ה הַנַּעַר הַמְאֹ֣רָשָׂ֔ה וְאֵ֥ין מוֹשִׁ֖יעַ לָֽהּ׃</w:t>
      </w:r>
    </w:p>
    <w:p w14:paraId="2F9471BD" w14:textId="77777777" w:rsidR="00C178BF" w:rsidRDefault="00C178BF" w:rsidP="00C178BF">
      <w:pPr>
        <w:pStyle w:val="whitespace-normal"/>
      </w:pPr>
      <w:r>
        <w:rPr>
          <w:rStyle w:val="Fett"/>
          <w:rFonts w:eastAsiaTheme="majorEastAsia"/>
        </w:rPr>
        <w:t>Deutsch:</w:t>
      </w:r>
      <w:r>
        <w:t xml:space="preserve"> Denn er hat sie auf dem Feld getroffen; das verlobte Mädchen schrie, aber niemand war da, der sie rettete.</w:t>
      </w:r>
    </w:p>
    <w:p w14:paraId="6CDC1BFA" w14:textId="77777777" w:rsidR="00C178BF" w:rsidRDefault="004F5CEB" w:rsidP="00C178BF">
      <w:r>
        <w:rPr>
          <w:noProof/>
        </w:rPr>
        <w:pict w14:anchorId="56F0D653">
          <v:rect id="_x0000_i1622" style="width:0;height:1.5pt" o:hralign="center" o:hrstd="t" o:hr="t" fillcolor="#a0a0a0" stroked="f"/>
        </w:pict>
      </w:r>
    </w:p>
    <w:p w14:paraId="532A2820" w14:textId="77777777" w:rsidR="00C178BF" w:rsidRDefault="00C178BF" w:rsidP="00C178BF">
      <w:pPr>
        <w:pStyle w:val="whitespace-normal"/>
      </w:pPr>
      <w:r>
        <w:rPr>
          <w:rStyle w:val="Fett"/>
          <w:rFonts w:eastAsiaTheme="majorEastAsia"/>
        </w:rPr>
        <w:t>Kommentar:</w:t>
      </w:r>
      <w:r>
        <w:t xml:space="preserve"> </w:t>
      </w:r>
      <w:r>
        <w:rPr>
          <w:rStyle w:val="Fett"/>
          <w:rFonts w:eastAsiaTheme="majorEastAsia"/>
          <w:rtl/>
        </w:rPr>
        <w:t>כִּי בַשָּׂדֶה מְצָאָהּ צָעֲקָה הַנַּעַר הַמְאֹרָשָׂה וְאֵין מוֹשִׁיעַ לָהּ</w:t>
      </w:r>
      <w:r>
        <w:rPr>
          <w:rtl/>
        </w:rPr>
        <w:t xml:space="preserve"> </w:t>
      </w:r>
      <w:r>
        <w:t xml:space="preserve">ist die Begründung: </w:t>
      </w:r>
      <w:r>
        <w:rPr>
          <w:rStyle w:val="Fett"/>
          <w:rFonts w:eastAsiaTheme="majorEastAsia"/>
          <w:rtl/>
        </w:rPr>
        <w:t>כִּי בַשָּׂדֶה מְצָאָהּ</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בַּשָּׂדֶה</w:t>
      </w:r>
      <w:r>
        <w:t xml:space="preserve">, </w:t>
      </w:r>
      <w:r>
        <w:rPr>
          <w:rStyle w:val="Fett"/>
          <w:rFonts w:eastAsiaTheme="majorEastAsia"/>
          <w:rtl/>
        </w:rPr>
        <w:t>מצא</w:t>
      </w:r>
      <w:r>
        <w:t xml:space="preserve">, Qal Perfekt, 3. Person Maskulinum Singular, mit Suffix 3. Person Femininum Singular), </w:t>
      </w:r>
      <w:r>
        <w:rPr>
          <w:rStyle w:val="Fett"/>
          <w:rFonts w:eastAsiaTheme="majorEastAsia"/>
          <w:rtl/>
        </w:rPr>
        <w:t>צָעֲקָה הַנַּעַר הַמְאֹרָשָׂה</w:t>
      </w:r>
      <w:r>
        <w:rPr>
          <w:rtl/>
        </w:rPr>
        <w:t xml:space="preserve"> </w:t>
      </w:r>
      <w:r>
        <w:t>(</w:t>
      </w:r>
      <w:r>
        <w:rPr>
          <w:rStyle w:val="Fett"/>
          <w:rFonts w:eastAsiaTheme="majorEastAsia"/>
          <w:rtl/>
        </w:rPr>
        <w:t>צעק</w:t>
      </w:r>
      <w:r>
        <w:t xml:space="preserve">, Qal Perfekt, 3. Person Femininum Singular, </w:t>
      </w:r>
      <w:r>
        <w:rPr>
          <w:rStyle w:val="Fett"/>
          <w:rFonts w:eastAsiaTheme="majorEastAsia"/>
          <w:rtl/>
        </w:rPr>
        <w:t>נַעַר הַמְאֹרָשָׂה</w:t>
      </w:r>
      <w:r>
        <w:rPr>
          <w:rtl/>
        </w:rPr>
        <w:t xml:space="preserve"> </w:t>
      </w:r>
      <w:r>
        <w:t xml:space="preserve">mit Artikel als Subjekt), </w:t>
      </w:r>
      <w:r>
        <w:rPr>
          <w:rStyle w:val="Fett"/>
          <w:rFonts w:eastAsiaTheme="majorEastAsia"/>
          <w:rtl/>
        </w:rPr>
        <w:t>וְאֵין מוֹשִׁיעַ לָהּ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אֵין</w:t>
      </w:r>
      <w:r>
        <w:t xml:space="preserve">, </w:t>
      </w:r>
      <w:r>
        <w:rPr>
          <w:rStyle w:val="Fett"/>
          <w:rFonts w:eastAsiaTheme="majorEastAsia"/>
          <w:rtl/>
        </w:rPr>
        <w:t>ישׁע</w:t>
      </w:r>
      <w:r>
        <w:t xml:space="preserve">, Hiphil Partizip, „retten, helfen", </w:t>
      </w:r>
      <w:r>
        <w:rPr>
          <w:rStyle w:val="Fett"/>
          <w:rFonts w:eastAsiaTheme="majorEastAsia"/>
          <w:rtl/>
        </w:rPr>
        <w:t>לָהּ</w:t>
      </w:r>
      <w:r>
        <w:t>).</w:t>
      </w:r>
    </w:p>
    <w:p w14:paraId="13523975" w14:textId="77777777" w:rsidR="00C178BF" w:rsidRDefault="00C178BF" w:rsidP="00C178BF">
      <w:pPr>
        <w:pStyle w:val="whitespace-normal"/>
      </w:pPr>
      <w:r>
        <w:t xml:space="preserve">Der Vers erklärt die Unschuld des Mädchens weiter. Die Begründung hat drei Teile: (1) </w:t>
      </w:r>
      <w:r>
        <w:rPr>
          <w:rStyle w:val="Fett"/>
          <w:rFonts w:eastAsiaTheme="majorEastAsia"/>
          <w:rtl/>
        </w:rPr>
        <w:t>כִּי בַשָּׂדֶה מְצָאָהּ</w:t>
      </w:r>
      <w:r>
        <w:rPr>
          <w:rtl/>
        </w:rPr>
        <w:t xml:space="preserve"> </w:t>
      </w:r>
      <w:r>
        <w:t xml:space="preserve">(„denn auf dem Feld fand er sie") – der Ort ist entscheidend: </w:t>
      </w:r>
      <w:r>
        <w:rPr>
          <w:rStyle w:val="Fett"/>
          <w:rFonts w:eastAsiaTheme="majorEastAsia"/>
          <w:rtl/>
        </w:rPr>
        <w:t>בַּשָּׂדֶה</w:t>
      </w:r>
      <w:r>
        <w:rPr>
          <w:rtl/>
        </w:rPr>
        <w:t xml:space="preserve"> </w:t>
      </w:r>
      <w:r>
        <w:t xml:space="preserve">(„auf dem Feld"), abgelegen, isoliert. (2) </w:t>
      </w:r>
      <w:r>
        <w:rPr>
          <w:rStyle w:val="Fett"/>
          <w:rFonts w:eastAsiaTheme="majorEastAsia"/>
          <w:rtl/>
        </w:rPr>
        <w:t>צָעֲקָה הַנַּעַר הַמְאֹרָשָׂה</w:t>
      </w:r>
      <w:r>
        <w:rPr>
          <w:rtl/>
        </w:rPr>
        <w:t xml:space="preserve"> </w:t>
      </w:r>
      <w:r>
        <w:t xml:space="preserve">(„schrie das verlobte Mädchen") – das Verb </w:t>
      </w:r>
      <w:r>
        <w:rPr>
          <w:rStyle w:val="Fett"/>
          <w:rFonts w:eastAsiaTheme="majorEastAsia"/>
          <w:rtl/>
        </w:rPr>
        <w:t>צעק</w:t>
      </w:r>
      <w:r>
        <w:rPr>
          <w:rtl/>
        </w:rPr>
        <w:t xml:space="preserve"> </w:t>
      </w:r>
      <w:r>
        <w:t xml:space="preserve">(„schreien, um Hilfe rufen") zeigt: Sie wehrte sich, sie rief um Hilfe. Im Gegensatz zu V. 24, wo </w:t>
      </w:r>
      <w:r>
        <w:rPr>
          <w:rStyle w:val="Fett"/>
          <w:rFonts w:eastAsiaTheme="majorEastAsia"/>
          <w:rtl/>
        </w:rPr>
        <w:t>לֹא־צָעֲקָה בָעִיר</w:t>
      </w:r>
      <w:r>
        <w:rPr>
          <w:rtl/>
        </w:rPr>
        <w:t xml:space="preserve"> </w:t>
      </w:r>
      <w:r>
        <w:t xml:space="preserve">(„sie schrie nicht in der Stadt") als Zeichen der Einwilligung gewertet wurde. (3) </w:t>
      </w:r>
      <w:r>
        <w:rPr>
          <w:rStyle w:val="Fett"/>
          <w:rFonts w:eastAsiaTheme="majorEastAsia"/>
          <w:rtl/>
        </w:rPr>
        <w:t>וְאֵין מוֹשִׁיעַ לָהּ</w:t>
      </w:r>
      <w:r>
        <w:rPr>
          <w:rtl/>
        </w:rPr>
        <w:t xml:space="preserve"> </w:t>
      </w:r>
      <w:r>
        <w:t xml:space="preserve">(„und es gab nicht einen Retter für sie"). Das Hiphil Partizip </w:t>
      </w:r>
      <w:r>
        <w:rPr>
          <w:rStyle w:val="Fett"/>
          <w:rFonts w:eastAsiaTheme="majorEastAsia"/>
          <w:rtl/>
        </w:rPr>
        <w:t>מוֹשִׁיעַ</w:t>
      </w:r>
      <w:r>
        <w:rPr>
          <w:rtl/>
        </w:rPr>
        <w:t xml:space="preserve"> </w:t>
      </w:r>
      <w:r>
        <w:t>(„Retter, Helfer") – niemand war in der Nähe, um zu helfen. Die Logik: Auf dem Feld hätte ein Schrei niemanden erreicht. Daher kann man nicht annehmen, dass sie einwilligte. Sie ist eindeutig Opfer einer Vergewaltigung, nicht Mittäterin eines Ehebruchs.</w:t>
      </w:r>
    </w:p>
    <w:p w14:paraId="5472EB36" w14:textId="77777777" w:rsidR="00C178BF" w:rsidRDefault="00C178BF" w:rsidP="00C178BF">
      <w:pPr>
        <w:pStyle w:val="whitespace-normal"/>
      </w:pPr>
      <w:r>
        <w:rPr>
          <w:rStyle w:val="Fett"/>
          <w:rFonts w:eastAsiaTheme="majorEastAsia"/>
        </w:rPr>
        <w:t>Die Satzstruktur:</w:t>
      </w:r>
      <w:r>
        <w:t xml:space="preserve"> Begründung mit drei Teilen (denn auf dem Feld fand er sie, schrie das verlobte Mädchen, und es gab nicht einen Retter für sie).</w:t>
      </w:r>
    </w:p>
    <w:p w14:paraId="57B648D0" w14:textId="77777777" w:rsidR="00C178BF" w:rsidRDefault="00C178BF" w:rsidP="00C178BF">
      <w:pPr>
        <w:pStyle w:val="whitespace-normal"/>
      </w:pPr>
      <w:r>
        <w:t>Der Vers erklärt: Denn auf dem abgelegenen Feld schrie sie zwar um Hilfe, aber niemand konnte sie retten.</w:t>
      </w:r>
    </w:p>
    <w:p w14:paraId="0714375F" w14:textId="77777777" w:rsidR="00C178BF" w:rsidRPr="00B27A64" w:rsidRDefault="00C178BF" w:rsidP="00C178BF">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22,28</w:t>
      </w:r>
    </w:p>
    <w:p w14:paraId="2D9CE8E4" w14:textId="77777777" w:rsidR="00C178BF" w:rsidRDefault="00C178BF" w:rsidP="00C178BF">
      <w:pPr>
        <w:pStyle w:val="whitespace-normal"/>
      </w:pPr>
      <w:r>
        <w:rPr>
          <w:rStyle w:val="Fett"/>
          <w:rFonts w:eastAsiaTheme="majorEastAsia"/>
        </w:rPr>
        <w:t>Hebräisch:</w:t>
      </w:r>
      <w:r>
        <w:t xml:space="preserve"> </w:t>
      </w:r>
      <w:r>
        <w:rPr>
          <w:rtl/>
        </w:rPr>
        <w:t>כִּֽי־יִמְצָ֣א אִ֗ישׁ נַעַר בְתוּלָה֙ אֲשֶׁ֣ר לֹא־אֹרָ֔שָׂה וּתְפָשָׂ֖הּ וְשָׁכַ֣ב עִמָּ֑הּ וְנִמְצָֽאוּ׃</w:t>
      </w:r>
    </w:p>
    <w:p w14:paraId="779F4133" w14:textId="77777777" w:rsidR="00C178BF" w:rsidRDefault="00C178BF" w:rsidP="00C178BF">
      <w:pPr>
        <w:pStyle w:val="whitespace-normal"/>
      </w:pPr>
      <w:r>
        <w:rPr>
          <w:rStyle w:val="Fett"/>
          <w:rFonts w:eastAsiaTheme="majorEastAsia"/>
        </w:rPr>
        <w:t>Deutsch:</w:t>
      </w:r>
      <w:r>
        <w:t xml:space="preserve"> Wenn ein Mann ein Mädchen trifft, eine Jungfrau, die nicht verlobt ist, und ergreift sie und liegt bei ihr, und sie werden gefunden,</w:t>
      </w:r>
    </w:p>
    <w:p w14:paraId="33954195" w14:textId="77777777" w:rsidR="00C178BF" w:rsidRDefault="004F5CEB" w:rsidP="00C178BF">
      <w:r>
        <w:rPr>
          <w:noProof/>
        </w:rPr>
        <w:pict w14:anchorId="705B2270">
          <v:rect id="_x0000_i1623" style="width:0;height:1.5pt" o:hralign="center" o:hrstd="t" o:hr="t" fillcolor="#a0a0a0" stroked="f"/>
        </w:pict>
      </w:r>
    </w:p>
    <w:p w14:paraId="0001B4F1" w14:textId="77777777" w:rsidR="00C178BF" w:rsidRDefault="00C178BF" w:rsidP="00C178BF">
      <w:pPr>
        <w:pStyle w:val="whitespace-normal"/>
      </w:pPr>
      <w:r>
        <w:rPr>
          <w:rStyle w:val="Fett"/>
          <w:rFonts w:eastAsiaTheme="majorEastAsia"/>
        </w:rPr>
        <w:t>Kommentar:</w:t>
      </w:r>
      <w:r>
        <w:t xml:space="preserve"> </w:t>
      </w:r>
      <w:r>
        <w:rPr>
          <w:rStyle w:val="Fett"/>
          <w:rFonts w:eastAsiaTheme="majorEastAsia"/>
          <w:rtl/>
        </w:rPr>
        <w:t>כִּי־יִמְצָא אִישׁ נַעַר בְתוּלָה אֲשֶׁר לֹא־אֹרָשָׂה וּתְפָשָׂהּ וְשָׁכַב עִמָּהּ וְנִמְצָאוּ</w:t>
      </w:r>
      <w:r>
        <w:rPr>
          <w:rtl/>
        </w:rPr>
        <w:t xml:space="preserve"> </w:t>
      </w:r>
      <w:r>
        <w:t xml:space="preserve">ist die Bedingung mit vier Verben: </w:t>
      </w:r>
      <w:r>
        <w:rPr>
          <w:rStyle w:val="Fett"/>
          <w:rFonts w:eastAsiaTheme="majorEastAsia"/>
          <w:rtl/>
        </w:rPr>
        <w:t>כִּי־יִמְצָא אִישׁ נַעַר בְתוּלָה אֲשֶׁר לֹא־אֹרָשָׂה</w:t>
      </w:r>
      <w:r>
        <w:rPr>
          <w:rtl/>
        </w:rPr>
        <w:t xml:space="preserve"> </w:t>
      </w:r>
      <w:r>
        <w:t>(</w:t>
      </w:r>
      <w:r>
        <w:rPr>
          <w:rStyle w:val="Fett"/>
          <w:rFonts w:eastAsiaTheme="majorEastAsia"/>
          <w:rtl/>
        </w:rPr>
        <w:t>כִּי</w:t>
      </w:r>
      <w:r>
        <w:t xml:space="preserve">, „wenn", mit </w:t>
      </w:r>
      <w:r>
        <w:rPr>
          <w:rStyle w:val="Fett"/>
          <w:rFonts w:eastAsiaTheme="majorEastAsia"/>
          <w:rtl/>
        </w:rPr>
        <w:t>מצא</w:t>
      </w:r>
      <w:r>
        <w:t xml:space="preserve">, Qal Imperfekt, 3. Person Maskulinum Singular, </w:t>
      </w:r>
      <w:r>
        <w:rPr>
          <w:rStyle w:val="Fett"/>
          <w:rFonts w:eastAsiaTheme="majorEastAsia"/>
          <w:rtl/>
        </w:rPr>
        <w:t>אִישׁ</w:t>
      </w:r>
      <w:r>
        <w:rPr>
          <w:rtl/>
        </w:rPr>
        <w:t xml:space="preserve"> </w:t>
      </w:r>
      <w:r>
        <w:t xml:space="preserve">als Subjekt, </w:t>
      </w:r>
      <w:r>
        <w:rPr>
          <w:rStyle w:val="Fett"/>
          <w:rFonts w:eastAsiaTheme="majorEastAsia"/>
          <w:rtl/>
        </w:rPr>
        <w:t>נַעַר בְתוּלָה</w:t>
      </w:r>
      <w:r>
        <w:rPr>
          <w:rtl/>
        </w:rPr>
        <w:t xml:space="preserve"> </w:t>
      </w:r>
      <w:r>
        <w:t>(</w:t>
      </w:r>
      <w:r>
        <w:rPr>
          <w:rStyle w:val="Fett"/>
          <w:rFonts w:eastAsiaTheme="majorEastAsia"/>
          <w:rtl/>
        </w:rPr>
        <w:t>נַעַר</w:t>
      </w:r>
      <w:r>
        <w:rPr>
          <w:rtl/>
        </w:rPr>
        <w:t xml:space="preserve"> </w:t>
      </w:r>
      <w:r>
        <w:t xml:space="preserve">Femininum, </w:t>
      </w:r>
      <w:r>
        <w:rPr>
          <w:rStyle w:val="Fett"/>
          <w:rFonts w:eastAsiaTheme="majorEastAsia"/>
          <w:rtl/>
        </w:rPr>
        <w:t>בְּתוּלָה</w:t>
      </w:r>
      <w:r>
        <w:t xml:space="preserve">, „Jungfrau"), Relativsatz: </w:t>
      </w:r>
      <w:r>
        <w:rPr>
          <w:rStyle w:val="Fett"/>
          <w:rFonts w:eastAsiaTheme="majorEastAsia"/>
          <w:rtl/>
        </w:rPr>
        <w:t>אֲשֶׁר לֹא־אֹרָשָׂה</w:t>
      </w:r>
      <w:r>
        <w:rPr>
          <w:rtl/>
        </w:rPr>
        <w:t xml:space="preserve"> </w:t>
      </w:r>
      <w:r>
        <w:t xml:space="preserve">(Negation mit </w:t>
      </w:r>
      <w:r>
        <w:rPr>
          <w:rStyle w:val="Fett"/>
          <w:rFonts w:eastAsiaTheme="majorEastAsia"/>
          <w:rtl/>
        </w:rPr>
        <w:t>ארשׂ</w:t>
      </w:r>
      <w:r>
        <w:t xml:space="preserve">, Pual Perfekt, 3. Person Femininum Singular – „nicht verlobt ist")), </w:t>
      </w:r>
      <w:r>
        <w:rPr>
          <w:rStyle w:val="Fett"/>
          <w:rFonts w:eastAsiaTheme="majorEastAsia"/>
          <w:rtl/>
        </w:rPr>
        <w:t>וּתְפָשָׂהּ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תפשׂ</w:t>
      </w:r>
      <w:r>
        <w:t xml:space="preserve">, Qal Perfekt, 3. Person Maskulinum Singular, „ergreifen, packen", mit Suffix 3. Person Femininum Singular, mit </w:t>
      </w:r>
      <w:r>
        <w:rPr>
          <w:rStyle w:val="Fett"/>
          <w:rFonts w:eastAsiaTheme="majorEastAsia"/>
        </w:rPr>
        <w:t>Waw</w:t>
      </w:r>
      <w:r>
        <w:t xml:space="preserve"> </w:t>
      </w:r>
      <w:r>
        <w:lastRenderedPageBreak/>
        <w:t xml:space="preserve">consecutives Perfekt), </w:t>
      </w:r>
      <w:r>
        <w:rPr>
          <w:rStyle w:val="Fett"/>
          <w:rFonts w:eastAsiaTheme="majorEastAsia"/>
          <w:rtl/>
        </w:rPr>
        <w:t>וְשָׁכַב עִמָּהּ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שׁכב</w:t>
      </w:r>
      <w:r>
        <w:t xml:space="preserve">, Qal Perfekt, 3. Person Maskulinum Singular, Präposition </w:t>
      </w:r>
      <w:r>
        <w:rPr>
          <w:rStyle w:val="Fett"/>
          <w:rFonts w:eastAsiaTheme="majorEastAsia"/>
          <w:rtl/>
        </w:rPr>
        <w:t>עִם</w:t>
      </w:r>
      <w:r>
        <w:rPr>
          <w:rtl/>
        </w:rPr>
        <w:t xml:space="preserve"> </w:t>
      </w:r>
      <w:r>
        <w:t xml:space="preserve">mit Suffix 3. Person Femininum Singular, mit </w:t>
      </w:r>
      <w:r>
        <w:rPr>
          <w:rStyle w:val="Fett"/>
          <w:rFonts w:eastAsiaTheme="majorEastAsia"/>
        </w:rPr>
        <w:t>Waw</w:t>
      </w:r>
      <w:r>
        <w:t xml:space="preserve"> consecutives Perfekt), </w:t>
      </w:r>
      <w:r>
        <w:rPr>
          <w:rStyle w:val="Fett"/>
          <w:rFonts w:eastAsiaTheme="majorEastAsia"/>
          <w:rtl/>
        </w:rPr>
        <w:t>וְנִמְצָאוּ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מצא</w:t>
      </w:r>
      <w:r>
        <w:t xml:space="preserve">, Niphal Perfekt, 3. Person Plural, „gefunden werden, ertappt werden", mit </w:t>
      </w:r>
      <w:r>
        <w:rPr>
          <w:rStyle w:val="Fett"/>
          <w:rFonts w:eastAsiaTheme="majorEastAsia"/>
        </w:rPr>
        <w:t>Waw</w:t>
      </w:r>
      <w:r>
        <w:t xml:space="preserve"> consecutives Perfekt).</w:t>
      </w:r>
    </w:p>
    <w:p w14:paraId="5C8743C9" w14:textId="3A41BE14" w:rsidR="00C178BF" w:rsidRDefault="00C178BF" w:rsidP="00C178BF">
      <w:pPr>
        <w:pStyle w:val="whitespace-normal"/>
      </w:pPr>
      <w:r>
        <w:t xml:space="preserve">Der Vers leitet den letzten Fall ein: Geschlechtsverkehr mit einer </w:t>
      </w:r>
      <w:r>
        <w:rPr>
          <w:rStyle w:val="Fett"/>
          <w:rFonts w:eastAsiaTheme="majorEastAsia"/>
        </w:rPr>
        <w:t>unverheirateten, unverlobten</w:t>
      </w:r>
      <w:r>
        <w:t xml:space="preserve"> Jungfrau. Die Bedingung: (1) </w:t>
      </w:r>
      <w:r>
        <w:rPr>
          <w:rStyle w:val="Fett"/>
          <w:rFonts w:eastAsiaTheme="majorEastAsia"/>
          <w:rtl/>
        </w:rPr>
        <w:t>כִּי־יִמְצָא אִישׁ נַעַר בְתוּלָה אֲשֶׁר לֹא־אֹרָשָׂה</w:t>
      </w:r>
      <w:r>
        <w:rPr>
          <w:rtl/>
        </w:rPr>
        <w:t xml:space="preserve"> </w:t>
      </w:r>
      <w:r>
        <w:t xml:space="preserve">(„wenn findet ein Mann ein Mädchen, eine Jungfrau, die nicht verlobt ist") – sie ist </w:t>
      </w:r>
      <w:r>
        <w:rPr>
          <w:rStyle w:val="Fett"/>
          <w:rFonts w:eastAsiaTheme="majorEastAsia"/>
          <w:rtl/>
        </w:rPr>
        <w:t>נַעַר בְתוּלָה</w:t>
      </w:r>
      <w:r>
        <w:rPr>
          <w:rtl/>
        </w:rPr>
        <w:t xml:space="preserve"> </w:t>
      </w:r>
      <w:r>
        <w:t xml:space="preserve">(„jungfräuliches Mädchen"), aber </w:t>
      </w:r>
      <w:r>
        <w:rPr>
          <w:rStyle w:val="Fett"/>
          <w:rFonts w:eastAsiaTheme="majorEastAsia"/>
          <w:rtl/>
        </w:rPr>
        <w:t>אֲשֶׁר לֹא־אֹרָשָׂה</w:t>
      </w:r>
      <w:r>
        <w:rPr>
          <w:rtl/>
        </w:rPr>
        <w:t xml:space="preserve"> </w:t>
      </w:r>
      <w:r>
        <w:t xml:space="preserve">(„die nicht verlobt ist") – im Gegensatz zu V. 23-27. (2) </w:t>
      </w:r>
      <w:r>
        <w:rPr>
          <w:rStyle w:val="Fett"/>
          <w:rFonts w:eastAsiaTheme="majorEastAsia"/>
          <w:rtl/>
        </w:rPr>
        <w:t>וּתְפָשָׂהּ</w:t>
      </w:r>
      <w:r>
        <w:rPr>
          <w:rtl/>
        </w:rPr>
        <w:t xml:space="preserve"> </w:t>
      </w:r>
      <w:r>
        <w:t xml:space="preserve">(„und ergreift sie") – das Verb </w:t>
      </w:r>
      <w:r>
        <w:rPr>
          <w:rStyle w:val="Fett"/>
          <w:rFonts w:eastAsiaTheme="majorEastAsia"/>
          <w:rtl/>
        </w:rPr>
        <w:t>תפשׂ</w:t>
      </w:r>
      <w:r>
        <w:rPr>
          <w:rtl/>
        </w:rPr>
        <w:t xml:space="preserve"> </w:t>
      </w:r>
      <w:r>
        <w:t xml:space="preserve">(„ergreifen, packen") impliziert Gewalt oder Überrumpelung. (3) </w:t>
      </w:r>
      <w:r>
        <w:rPr>
          <w:rStyle w:val="Fett"/>
          <w:rFonts w:eastAsiaTheme="majorEastAsia"/>
          <w:rtl/>
        </w:rPr>
        <w:t>וְשָׁכַב עִמָּהּ</w:t>
      </w:r>
      <w:r>
        <w:rPr>
          <w:rtl/>
        </w:rPr>
        <w:t xml:space="preserve"> </w:t>
      </w:r>
      <w:r>
        <w:t xml:space="preserve">(„und liegt mit ihr") – Geschlechtsverkehr findet statt. (4) </w:t>
      </w:r>
      <w:r>
        <w:rPr>
          <w:rStyle w:val="Fett"/>
          <w:rFonts w:eastAsiaTheme="majorEastAsia"/>
          <w:rtl/>
        </w:rPr>
        <w:t>וְנִמְצָאוּ</w:t>
      </w:r>
      <w:r>
        <w:rPr>
          <w:rtl/>
        </w:rPr>
        <w:t xml:space="preserve"> </w:t>
      </w:r>
      <w:r>
        <w:t>(„und sie werden gefunden") – sie werden ertappt, die Tat wird bekannt. V. 29 wird die Konsequenzen beschreiben – keine Todesstrafe, sondern Heiratspflicht und Zahlung.</w:t>
      </w:r>
    </w:p>
    <w:p w14:paraId="0725E0E8" w14:textId="09DD05C7" w:rsidR="00D00836" w:rsidRDefault="00D00836" w:rsidP="00C178BF">
      <w:pPr>
        <w:pStyle w:val="whitespace-normal"/>
      </w:pPr>
      <w:r>
        <w:rPr>
          <w:rStyle w:val="Fett"/>
        </w:rPr>
        <w:t>Die LXX</w:t>
      </w:r>
      <w:r>
        <w:t xml:space="preserve"> fügt καὶ </w:t>
      </w:r>
      <w:proofErr w:type="spellStart"/>
      <w:r>
        <w:t>εὑρεθῇ</w:t>
      </w:r>
      <w:proofErr w:type="spellEnd"/>
      <w:r>
        <w:t xml:space="preserve"> (und gefunden wird) am Ende hinzu, wo der MT nur </w:t>
      </w:r>
      <w:r>
        <w:rPr>
          <w:rtl/>
        </w:rPr>
        <w:t>וְנִמְצָאוּ</w:t>
      </w:r>
      <w:r>
        <w:t xml:space="preserve"> (und sie werden gefunden) hat – eine Klarstellung.</w:t>
      </w:r>
    </w:p>
    <w:p w14:paraId="4C4065BD" w14:textId="77777777" w:rsidR="00C178BF" w:rsidRDefault="00C178BF" w:rsidP="00C178BF">
      <w:pPr>
        <w:pStyle w:val="whitespace-normal"/>
      </w:pPr>
      <w:r>
        <w:rPr>
          <w:rStyle w:val="Fett"/>
          <w:rFonts w:eastAsiaTheme="majorEastAsia"/>
        </w:rPr>
        <w:t>Die Satzstruktur:</w:t>
      </w:r>
      <w:r>
        <w:t xml:space="preserve"> Bedingung mit vier Verben (wenn findet ein Mann ein Mädchen, eine Jungfrau, die nicht verlobt ist, und ergreift sie, und liegt mit ihr, und gefunden werden sie).</w:t>
      </w:r>
    </w:p>
    <w:p w14:paraId="5D8BE4B1" w14:textId="77777777" w:rsidR="00C178BF" w:rsidRDefault="00C178BF" w:rsidP="00C178BF">
      <w:pPr>
        <w:pStyle w:val="whitespace-normal"/>
      </w:pPr>
      <w:r>
        <w:t>Der Vers setzt den Fall: Ein Mann ergreift eine unverlobte Jungfrau, liegt mit ihr, und sie werden ertappt.</w:t>
      </w:r>
    </w:p>
    <w:p w14:paraId="5AD13CC1" w14:textId="77777777" w:rsidR="00C178BF" w:rsidRPr="00B27A64" w:rsidRDefault="00C178BF" w:rsidP="00C178BF">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22,29</w:t>
      </w:r>
    </w:p>
    <w:p w14:paraId="2814ABE1" w14:textId="77777777" w:rsidR="00C178BF" w:rsidRDefault="00C178BF" w:rsidP="00C178BF">
      <w:pPr>
        <w:pStyle w:val="whitespace-normal"/>
      </w:pPr>
      <w:r>
        <w:rPr>
          <w:rStyle w:val="Fett"/>
          <w:rFonts w:eastAsiaTheme="majorEastAsia"/>
        </w:rPr>
        <w:t>Hebräisch:</w:t>
      </w:r>
      <w:r>
        <w:t xml:space="preserve"> </w:t>
      </w:r>
      <w:r>
        <w:rPr>
          <w:rtl/>
        </w:rPr>
        <w:t>וְ֠נָתַן הָאִ֨ישׁ הַשֹּׁכֵ֥ב עִמָּ֛הּ לַאֲבִ֥י הַנַּעַר חֲמִשִּׁ֣ים כָּ֑סֶף וְלוֹֽ־תִהְיֶ֣ה לְאִשָּׁ֗ה תַּ֚חַת אֲשֶׁ֣ר עִנָּ֔הּ לֹא־יוּכַ֥ל שַׁלְּחָ֖הּ כָּל־יָמָֽיו׃</w:t>
      </w:r>
    </w:p>
    <w:p w14:paraId="3C12A291" w14:textId="77777777" w:rsidR="00C178BF" w:rsidRDefault="00C178BF" w:rsidP="00C178BF">
      <w:pPr>
        <w:pStyle w:val="whitespace-normal"/>
      </w:pPr>
      <w:r>
        <w:rPr>
          <w:rStyle w:val="Fett"/>
          <w:rFonts w:eastAsiaTheme="majorEastAsia"/>
        </w:rPr>
        <w:t>Deutsch:</w:t>
      </w:r>
      <w:r>
        <w:t xml:space="preserve"> so soll der Mann, der bei ihr gelegen hat, dem Vater des Mädchens 50 Silberschekel geben, und sie soll seine Frau werden, weil er sie geschwächt hat; er kann sie nicht alle seine Tage entlassen.</w:t>
      </w:r>
    </w:p>
    <w:p w14:paraId="31F3679F" w14:textId="77777777" w:rsidR="00C178BF" w:rsidRDefault="004F5CEB" w:rsidP="00C178BF">
      <w:r>
        <w:rPr>
          <w:noProof/>
        </w:rPr>
        <w:pict w14:anchorId="73451F4A">
          <v:rect id="_x0000_i1624" style="width:0;height:1.5pt" o:hralign="center" o:hrstd="t" o:hr="t" fillcolor="#a0a0a0" stroked="f"/>
        </w:pict>
      </w:r>
    </w:p>
    <w:p w14:paraId="61DB1B85" w14:textId="77777777" w:rsidR="00C178BF" w:rsidRDefault="00C178BF" w:rsidP="00C178BF">
      <w:pPr>
        <w:pStyle w:val="whitespace-normal"/>
      </w:pPr>
      <w:r>
        <w:rPr>
          <w:rStyle w:val="Fett"/>
          <w:rFonts w:eastAsiaTheme="majorEastAsia"/>
        </w:rPr>
        <w:t>Kommentar:</w:t>
      </w:r>
      <w:r>
        <w:t xml:space="preserve"> </w:t>
      </w:r>
      <w:r>
        <w:rPr>
          <w:rStyle w:val="Fett"/>
          <w:rFonts w:eastAsiaTheme="majorEastAsia"/>
          <w:rtl/>
        </w:rPr>
        <w:t>וְנָתַן הָאִישׁ הַשֹּׁכֵב עִמָּהּ לַאֲבִי הַנַּעַר חֲמִשִּׁים כָּסֶף</w:t>
      </w:r>
      <w:r>
        <w:rPr>
          <w:rtl/>
        </w:rPr>
        <w:t xml:space="preserve"> </w:t>
      </w:r>
      <w:r>
        <w:t xml:space="preserve">ist die erste Strafe: </w:t>
      </w:r>
      <w:r>
        <w:rPr>
          <w:rStyle w:val="Fett"/>
          <w:rFonts w:eastAsiaTheme="majorEastAsia"/>
          <w:rtl/>
        </w:rPr>
        <w:t>וְנָתַן הָאִישׁ הַשֹּׁכֵב עִמָּהּ לַאֲבִי הַנַּעַר חֲמִשִּׁים כָּסֶף</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נתן</w:t>
      </w:r>
      <w:r>
        <w:t xml:space="preserve">, Qal Perfekt, 3. Person Maskulinum Singular, </w:t>
      </w:r>
      <w:r>
        <w:rPr>
          <w:rStyle w:val="Fett"/>
          <w:rFonts w:eastAsiaTheme="majorEastAsia"/>
          <w:rtl/>
        </w:rPr>
        <w:t>הָאִישׁ הַשֹּׁכֵב עִמָּהּ</w:t>
      </w:r>
      <w:r>
        <w:rPr>
          <w:rtl/>
        </w:rPr>
        <w:t xml:space="preserve"> </w:t>
      </w:r>
      <w:r>
        <w:t>(</w:t>
      </w:r>
      <w:r>
        <w:rPr>
          <w:rStyle w:val="Fett"/>
          <w:rFonts w:eastAsiaTheme="majorEastAsia"/>
          <w:rtl/>
        </w:rPr>
        <w:t>אִישׁ</w:t>
      </w:r>
      <w:r>
        <w:rPr>
          <w:rtl/>
        </w:rPr>
        <w:t xml:space="preserve"> </w:t>
      </w:r>
      <w:r>
        <w:t xml:space="preserve">mit Artikel, Qal Partizip von </w:t>
      </w:r>
      <w:r>
        <w:rPr>
          <w:rStyle w:val="Fett"/>
          <w:rFonts w:eastAsiaTheme="majorEastAsia"/>
          <w:rtl/>
        </w:rPr>
        <w:t>שׁכב</w:t>
      </w:r>
      <w:r>
        <w:rPr>
          <w:rtl/>
        </w:rPr>
        <w:t xml:space="preserve"> </w:t>
      </w:r>
      <w:r>
        <w:t xml:space="preserve">mit Artikel, Präposition </w:t>
      </w:r>
      <w:r>
        <w:rPr>
          <w:rStyle w:val="Fett"/>
          <w:rFonts w:eastAsiaTheme="majorEastAsia"/>
          <w:rtl/>
        </w:rPr>
        <w:t>עִם</w:t>
      </w:r>
      <w:r>
        <w:rPr>
          <w:rtl/>
        </w:rPr>
        <w:t xml:space="preserve"> </w:t>
      </w:r>
      <w:r>
        <w:t xml:space="preserve">mit Suffix 3. Person Femininum Singular) als Subjekt, </w:t>
      </w:r>
      <w:r>
        <w:rPr>
          <w:rStyle w:val="Fett"/>
          <w:rFonts w:eastAsiaTheme="majorEastAsia"/>
          <w:rtl/>
        </w:rPr>
        <w:t>לַאֲבִי הַנַּעַר</w:t>
      </w:r>
      <w:r>
        <w:t xml:space="preserve">, Präposition </w:t>
      </w:r>
      <w:r>
        <w:rPr>
          <w:rStyle w:val="Fett"/>
          <w:rFonts w:eastAsiaTheme="majorEastAsia"/>
          <w:rtl/>
        </w:rPr>
        <w:t>לְ</w:t>
      </w:r>
      <w:r>
        <w:rPr>
          <w:rtl/>
        </w:rPr>
        <w:t xml:space="preserve"> </w:t>
      </w:r>
      <w:r>
        <w:t xml:space="preserve">mit </w:t>
      </w:r>
      <w:r>
        <w:rPr>
          <w:rStyle w:val="Fett"/>
          <w:rFonts w:eastAsiaTheme="majorEastAsia"/>
          <w:rtl/>
        </w:rPr>
        <w:t>אָב</w:t>
      </w:r>
      <w:r>
        <w:rPr>
          <w:rtl/>
        </w:rPr>
        <w:t xml:space="preserve"> </w:t>
      </w:r>
      <w:r>
        <w:t xml:space="preserve">Construct mit </w:t>
      </w:r>
      <w:r>
        <w:rPr>
          <w:rStyle w:val="Fett"/>
          <w:rFonts w:eastAsiaTheme="majorEastAsia"/>
          <w:rtl/>
        </w:rPr>
        <w:t>נַעַר</w:t>
      </w:r>
      <w:r>
        <w:rPr>
          <w:rtl/>
        </w:rPr>
        <w:t xml:space="preserve"> </w:t>
      </w:r>
      <w:r>
        <w:t xml:space="preserve">Femininum mit Artikel, </w:t>
      </w:r>
      <w:r>
        <w:rPr>
          <w:rStyle w:val="Fett"/>
          <w:rFonts w:eastAsiaTheme="majorEastAsia"/>
          <w:rtl/>
        </w:rPr>
        <w:t>חֲמִשִּׁים כָּסֶף</w:t>
      </w:r>
      <w:r>
        <w:t xml:space="preserve">, „fünfzig Silber[schekel]", mit </w:t>
      </w:r>
      <w:r>
        <w:rPr>
          <w:rStyle w:val="Fett"/>
          <w:rFonts w:eastAsiaTheme="majorEastAsia"/>
        </w:rPr>
        <w:t>Waw</w:t>
      </w:r>
      <w:r>
        <w:t xml:space="preserve"> consecutives Perfekt).</w:t>
      </w:r>
    </w:p>
    <w:p w14:paraId="2DBBB893" w14:textId="77777777" w:rsidR="00C178BF" w:rsidRDefault="00C178BF" w:rsidP="00C178BF">
      <w:pPr>
        <w:pStyle w:val="whitespace-normal"/>
      </w:pPr>
      <w:r>
        <w:rPr>
          <w:rStyle w:val="Fett"/>
          <w:rFonts w:eastAsiaTheme="majorEastAsia"/>
          <w:rtl/>
        </w:rPr>
        <w:t>וְלוֹ־תִהְיֶה לְאִשָּׁה תַּחַת אֲשֶׁר עִנָּהּ לֹא־יוּכַל שַׁלְּחָהּ כָּל־יָמָיו</w:t>
      </w:r>
      <w:r>
        <w:rPr>
          <w:rtl/>
        </w:rPr>
        <w:t xml:space="preserve"> </w:t>
      </w:r>
      <w:r>
        <w:t xml:space="preserve">sind zwei weitere Bestimmungen: </w:t>
      </w:r>
      <w:r>
        <w:rPr>
          <w:rStyle w:val="Fett"/>
          <w:rFonts w:eastAsiaTheme="majorEastAsia"/>
          <w:rtl/>
        </w:rPr>
        <w:t>וְלוֹ־תִהְיֶה לְאִשָּׁה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לוֹ</w:t>
      </w:r>
      <w:r>
        <w:t xml:space="preserve">, Dativ, </w:t>
      </w:r>
      <w:r>
        <w:rPr>
          <w:rStyle w:val="Fett"/>
          <w:rFonts w:eastAsiaTheme="majorEastAsia"/>
          <w:rtl/>
        </w:rPr>
        <w:t>היה</w:t>
      </w:r>
      <w:r>
        <w:t xml:space="preserve">, Qal Imperfekt, 3. Person Femininum Singular, </w:t>
      </w:r>
      <w:r>
        <w:rPr>
          <w:rStyle w:val="Fett"/>
          <w:rFonts w:eastAsiaTheme="majorEastAsia"/>
          <w:rtl/>
        </w:rPr>
        <w:t>לְאִשָּׁה</w:t>
      </w:r>
      <w:r>
        <w:t xml:space="preserve">), </w:t>
      </w:r>
      <w:r>
        <w:rPr>
          <w:rStyle w:val="Fett"/>
          <w:rFonts w:eastAsiaTheme="majorEastAsia"/>
          <w:rtl/>
        </w:rPr>
        <w:t>תַּחַת אֲשֶׁר עִנָּהּ</w:t>
      </w:r>
      <w:r>
        <w:rPr>
          <w:rtl/>
        </w:rPr>
        <w:t xml:space="preserve"> </w:t>
      </w:r>
      <w:r>
        <w:t xml:space="preserve">(Präposition </w:t>
      </w:r>
      <w:r>
        <w:rPr>
          <w:rStyle w:val="Fett"/>
          <w:rFonts w:eastAsiaTheme="majorEastAsia"/>
          <w:rtl/>
        </w:rPr>
        <w:t>תַּחַת</w:t>
      </w:r>
      <w:r>
        <w:t xml:space="preserve">, „unter, wegen, dafür dass", Relativsatz: </w:t>
      </w:r>
      <w:r>
        <w:rPr>
          <w:rStyle w:val="Fett"/>
          <w:rFonts w:eastAsiaTheme="majorEastAsia"/>
          <w:rtl/>
        </w:rPr>
        <w:t>אֲשֶׁר</w:t>
      </w:r>
      <w:r>
        <w:rPr>
          <w:rtl/>
        </w:rPr>
        <w:t xml:space="preserve"> </w:t>
      </w:r>
      <w:r>
        <w:t xml:space="preserve">mit </w:t>
      </w:r>
      <w:r>
        <w:rPr>
          <w:rStyle w:val="Fett"/>
          <w:rFonts w:eastAsiaTheme="majorEastAsia"/>
          <w:rtl/>
        </w:rPr>
        <w:t>ענה</w:t>
      </w:r>
      <w:r>
        <w:t xml:space="preserve">, Piel Perfekt, 3. Person Maskulinum Singular, mit Suffix 3. Person Femininum Singular), </w:t>
      </w:r>
      <w:r>
        <w:rPr>
          <w:rStyle w:val="Fett"/>
          <w:rFonts w:eastAsiaTheme="majorEastAsia"/>
          <w:rtl/>
        </w:rPr>
        <w:t>לֹא־יוּכַל שַׁלְּחָהּ כָּל־יָמָיו</w:t>
      </w:r>
      <w:r>
        <w:rPr>
          <w:rtl/>
        </w:rPr>
        <w:t xml:space="preserve"> </w:t>
      </w:r>
      <w:r>
        <w:t xml:space="preserve">(Negation mit </w:t>
      </w:r>
      <w:r>
        <w:rPr>
          <w:rStyle w:val="Fett"/>
          <w:rFonts w:eastAsiaTheme="majorEastAsia"/>
          <w:rtl/>
        </w:rPr>
        <w:t>יכל</w:t>
      </w:r>
      <w:r>
        <w:t xml:space="preserve">, Qal Imperfekt, 3. Person Maskulinum Singular, </w:t>
      </w:r>
      <w:r>
        <w:rPr>
          <w:rStyle w:val="Fett"/>
          <w:rFonts w:eastAsiaTheme="majorEastAsia"/>
          <w:rtl/>
        </w:rPr>
        <w:t>שׁלח</w:t>
      </w:r>
      <w:r>
        <w:t xml:space="preserve">, Piel Infinitiv Construct, mit Suffix 3. Person Femininum Singular, </w:t>
      </w:r>
      <w:r>
        <w:rPr>
          <w:rStyle w:val="Fett"/>
          <w:rFonts w:eastAsiaTheme="majorEastAsia"/>
          <w:rtl/>
        </w:rPr>
        <w:t>כָּל־יָמָיו</w:t>
      </w:r>
      <w:r>
        <w:t>).</w:t>
      </w:r>
    </w:p>
    <w:p w14:paraId="15A4B187" w14:textId="77777777" w:rsidR="00C178BF" w:rsidRDefault="00C178BF" w:rsidP="00C178BF">
      <w:pPr>
        <w:pStyle w:val="whitespace-normal"/>
      </w:pPr>
      <w:r>
        <w:lastRenderedPageBreak/>
        <w:t xml:space="preserve">Der Vers beschreibt die Konsequenzen – keine Todesstrafe wie in den vorherigen Fällen: (1) </w:t>
      </w:r>
      <w:r>
        <w:rPr>
          <w:rStyle w:val="Fett"/>
          <w:rFonts w:eastAsiaTheme="majorEastAsia"/>
          <w:rtl/>
        </w:rPr>
        <w:t>וְנָתַן הָאִישׁ הַשֹּׁכֵב עִמָּהּ לַאֲבִי הַנַּעַר חֲמִשִּׁים כָּסֶף</w:t>
      </w:r>
      <w:r>
        <w:rPr>
          <w:rtl/>
        </w:rPr>
        <w:t xml:space="preserve"> </w:t>
      </w:r>
      <w:r>
        <w:t xml:space="preserve">(„geben soll der Mann, der lag mit ihr, dem Vater des Mädchens fünfzig Silber[schekel]") – Zahlung von 50 Schekel. Dies ist der übliche Brautpreis für eine Jungfrau (vgl. Ex 22,16: </w:t>
      </w:r>
      <w:r>
        <w:rPr>
          <w:rStyle w:val="Fett"/>
          <w:rFonts w:eastAsiaTheme="majorEastAsia"/>
          <w:rtl/>
        </w:rPr>
        <w:t>מָהֹר יִמְהָרֶנָּה לּוֹ לְאִשָּׁה</w:t>
      </w:r>
      <w:r>
        <w:t xml:space="preserve">, „er soll sie durch Brautpreis erwerben zur Frau"). (2) </w:t>
      </w:r>
      <w:r>
        <w:rPr>
          <w:rStyle w:val="Fett"/>
          <w:rFonts w:eastAsiaTheme="majorEastAsia"/>
          <w:rtl/>
        </w:rPr>
        <w:t>וְלוֹ־תִהְיֶה לְאִשָּׁה תַּחַת אֲשֶׁר עִנָּהּ</w:t>
      </w:r>
      <w:r>
        <w:rPr>
          <w:rtl/>
        </w:rPr>
        <w:t xml:space="preserve"> </w:t>
      </w:r>
      <w:r>
        <w:t xml:space="preserve">(„und ihm soll sie sein zur Frau, dafür dass er sie schwächte") – Heiratspflicht. Die Präposition </w:t>
      </w:r>
      <w:r>
        <w:rPr>
          <w:rStyle w:val="Fett"/>
          <w:rFonts w:eastAsiaTheme="majorEastAsia"/>
          <w:rtl/>
        </w:rPr>
        <w:t>תַּחַת</w:t>
      </w:r>
      <w:r>
        <w:rPr>
          <w:rtl/>
        </w:rPr>
        <w:t xml:space="preserve"> </w:t>
      </w:r>
      <w:r>
        <w:t xml:space="preserve">(„wegen, dafür dass") mit dem Relativsatz betont: weil er sie geschwächt/entehrt hat (Verb </w:t>
      </w:r>
      <w:r>
        <w:rPr>
          <w:rStyle w:val="Fett"/>
          <w:rFonts w:eastAsiaTheme="majorEastAsia"/>
          <w:rtl/>
        </w:rPr>
        <w:t>ענה</w:t>
      </w:r>
      <w:r>
        <w:rPr>
          <w:rtl/>
        </w:rPr>
        <w:t xml:space="preserve"> </w:t>
      </w:r>
      <w:r>
        <w:t xml:space="preserve">im Piel wie V. 24). (3) </w:t>
      </w:r>
      <w:r>
        <w:rPr>
          <w:rStyle w:val="Fett"/>
          <w:rFonts w:eastAsiaTheme="majorEastAsia"/>
          <w:rtl/>
        </w:rPr>
        <w:t>לֹא־יוּכַל שַׁלְּחָהּ כָּל־יָמָיו</w:t>
      </w:r>
      <w:r>
        <w:rPr>
          <w:rtl/>
        </w:rPr>
        <w:t xml:space="preserve"> </w:t>
      </w:r>
      <w:r>
        <w:t>(„nicht darf er sie entlassen alle seine Tage") – lebenslange Scheidungsverbot (wie V. 19).</w:t>
      </w:r>
    </w:p>
    <w:p w14:paraId="6A3B3E83" w14:textId="2FCAC636" w:rsidR="00C178BF" w:rsidRDefault="00C178BF" w:rsidP="00C178BF">
      <w:pPr>
        <w:pStyle w:val="whitespace-normal"/>
      </w:pPr>
      <w:r>
        <w:t>Die Ratio: Der Mann hat der Jungfrau ihre Heiratschancen genommen (im antiken Israel war Jungfräulichkeit bei der Hochzeit erwartet). Daher muss er sie heiraten und kann sie nie scheiden – sie ist geschützt. Die Zahlung an den Vater ist Kompensation für den Verlust des Brautpreises, den der Vater sonst erhalten hätte.</w:t>
      </w:r>
    </w:p>
    <w:p w14:paraId="1122C2B0" w14:textId="59643485" w:rsidR="00D00836" w:rsidRDefault="00D00836" w:rsidP="00C178BF">
      <w:pPr>
        <w:pStyle w:val="whitespace-normal"/>
      </w:pPr>
      <w:r>
        <w:rPr>
          <w:rStyle w:val="Fett"/>
        </w:rPr>
        <w:t>Die LXX</w:t>
      </w:r>
      <w:r>
        <w:t xml:space="preserve"> verwendet </w:t>
      </w:r>
      <w:proofErr w:type="spellStart"/>
      <w:r>
        <w:t>δίδρ</w:t>
      </w:r>
      <w:proofErr w:type="spellEnd"/>
      <w:r>
        <w:t xml:space="preserve">αχμα (Doppeldrachme) als Gewichtseinheit für </w:t>
      </w:r>
      <w:r>
        <w:rPr>
          <w:rtl/>
        </w:rPr>
        <w:t>כֶּסֶף</w:t>
      </w:r>
      <w:r>
        <w:t xml:space="preserve"> – eine griechische Münzbezeichnung.</w:t>
      </w:r>
    </w:p>
    <w:p w14:paraId="6B1174E7" w14:textId="77777777" w:rsidR="0077321D" w:rsidRDefault="0077321D" w:rsidP="0077321D">
      <w:pPr>
        <w:pStyle w:val="whitespace-normal"/>
      </w:pPr>
      <w:r>
        <w:rPr>
          <w:rStyle w:val="Fett"/>
        </w:rPr>
        <w:t>Die LXX</w:t>
      </w:r>
      <w:r>
        <w:t xml:space="preserve"> fügt einen Vers hinzu, der im MT am Anfang von Kapitel 23 steht: </w:t>
      </w:r>
      <w:proofErr w:type="spellStart"/>
      <w:r>
        <w:t>Οὐ</w:t>
      </w:r>
      <w:proofErr w:type="spellEnd"/>
      <w:r>
        <w:t xml:space="preserve"> </w:t>
      </w:r>
      <w:proofErr w:type="spellStart"/>
      <w:r>
        <w:t>λήμψετ</w:t>
      </w:r>
      <w:proofErr w:type="spellEnd"/>
      <w:r>
        <w:t xml:space="preserve">αι </w:t>
      </w:r>
      <w:proofErr w:type="spellStart"/>
      <w:r>
        <w:t>ἄνθρω</w:t>
      </w:r>
      <w:proofErr w:type="spellEnd"/>
      <w:r>
        <w:t xml:space="preserve">πος τὴν </w:t>
      </w:r>
      <w:proofErr w:type="spellStart"/>
      <w:r>
        <w:t>γυν</w:t>
      </w:r>
      <w:proofErr w:type="spellEnd"/>
      <w:r>
        <w:t xml:space="preserve">αῖκα </w:t>
      </w:r>
      <w:proofErr w:type="spellStart"/>
      <w:r>
        <w:t>τοῦ</w:t>
      </w:r>
      <w:proofErr w:type="spellEnd"/>
      <w:r>
        <w:t xml:space="preserve"> πα</w:t>
      </w:r>
      <w:proofErr w:type="spellStart"/>
      <w:r>
        <w:t>τρὸς</w:t>
      </w:r>
      <w:proofErr w:type="spellEnd"/>
      <w:r>
        <w:t xml:space="preserve"> α</w:t>
      </w:r>
      <w:proofErr w:type="spellStart"/>
      <w:r>
        <w:t>ὐτοῦ</w:t>
      </w:r>
      <w:proofErr w:type="spellEnd"/>
      <w:r>
        <w:t xml:space="preserve"> (Ein Mann soll nicht die Frau seines Vaters nehmen). Die Wendung </w:t>
      </w:r>
      <w:proofErr w:type="spellStart"/>
      <w:r>
        <w:t>οὐκ</w:t>
      </w:r>
      <w:proofErr w:type="spellEnd"/>
      <w:r>
        <w:t xml:space="preserve"> </w:t>
      </w:r>
      <w:proofErr w:type="spellStart"/>
      <w:r>
        <w:t>ἀν</w:t>
      </w:r>
      <w:proofErr w:type="spellEnd"/>
      <w:r>
        <w:t xml:space="preserve">ακαλύψει </w:t>
      </w:r>
      <w:proofErr w:type="spellStart"/>
      <w:r>
        <w:t>συγκάλυμμ</w:t>
      </w:r>
      <w:proofErr w:type="spellEnd"/>
      <w:r>
        <w:t xml:space="preserve">α </w:t>
      </w:r>
      <w:proofErr w:type="spellStart"/>
      <w:r>
        <w:t>τοῦ</w:t>
      </w:r>
      <w:proofErr w:type="spellEnd"/>
      <w:r>
        <w:t xml:space="preserve"> πα</w:t>
      </w:r>
      <w:proofErr w:type="spellStart"/>
      <w:r>
        <w:t>τρὸς</w:t>
      </w:r>
      <w:proofErr w:type="spellEnd"/>
      <w:r>
        <w:t xml:space="preserve"> α</w:t>
      </w:r>
      <w:proofErr w:type="spellStart"/>
      <w:r>
        <w:t>ὐτοῦ</w:t>
      </w:r>
      <w:proofErr w:type="spellEnd"/>
      <w:r>
        <w:t xml:space="preserve"> (und er soll nicht die Decke seines Vaters aufdecken) für </w:t>
      </w:r>
      <w:r>
        <w:rPr>
          <w:rtl/>
        </w:rPr>
        <w:t>וְלֹא יְגַלֶּה כְּנַף אָבִיו</w:t>
      </w:r>
      <w:r>
        <w:t xml:space="preserve"> ist eine wörtliche Übersetzung der euphemistischen Wendung für sexuelle Beziehungen.</w:t>
      </w:r>
    </w:p>
    <w:p w14:paraId="7DDA29D0" w14:textId="77777777" w:rsidR="00C178BF" w:rsidRDefault="00C178BF" w:rsidP="00C178BF">
      <w:pPr>
        <w:pStyle w:val="whitespace-normal"/>
      </w:pPr>
      <w:r>
        <w:rPr>
          <w:rStyle w:val="Fett"/>
          <w:rFonts w:eastAsiaTheme="majorEastAsia"/>
        </w:rPr>
        <w:t>Die Satzstruktur:</w:t>
      </w:r>
      <w:r>
        <w:t xml:space="preserve"> Drei Bestimmungen (geben soll der Mann, der lag mit ihr, dem Vater des Mädchens fünfzig Silber; und ihm sein soll sie zur Frau, dafür dass er sie schwächte; nicht darf er sie entlassen alle seine Tage).</w:t>
      </w:r>
    </w:p>
    <w:p w14:paraId="358304ED" w14:textId="77777777" w:rsidR="00C178BF" w:rsidRDefault="00C178BF" w:rsidP="00C178BF">
      <w:pPr>
        <w:pStyle w:val="whitespace-normal"/>
      </w:pPr>
      <w:r>
        <w:t>Der Vers beschreibt: Der Mann zahlt 50 Schekel an den Vater, muss das Mädchen heiraten, und darf sie niemals scheiden.</w:t>
      </w:r>
    </w:p>
    <w:p w14:paraId="4DFB0482" w14:textId="77777777" w:rsidR="00277B46" w:rsidRPr="00B27A64" w:rsidRDefault="00277B46" w:rsidP="00277B46">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23,1</w:t>
      </w:r>
    </w:p>
    <w:p w14:paraId="31E8BCC7" w14:textId="77777777" w:rsidR="00277B46" w:rsidRDefault="00277B46" w:rsidP="00277B46">
      <w:pPr>
        <w:pStyle w:val="whitespace-normal"/>
      </w:pPr>
      <w:r>
        <w:rPr>
          <w:rStyle w:val="Fett"/>
          <w:rFonts w:eastAsiaTheme="majorEastAsia"/>
        </w:rPr>
        <w:t>Hebräisch:</w:t>
      </w:r>
      <w:r>
        <w:t xml:space="preserve"> </w:t>
      </w:r>
      <w:r>
        <w:rPr>
          <w:rtl/>
        </w:rPr>
        <w:t>לֹא־יִקַּ֥ח אִ֖ישׁ אֶת־אֵ֣שֶׁת אָבִ֑יו וְלֹ֥א יְגַלֶּ֖ה כְּנַ֥ף אָבִֽיו׃</w:t>
      </w:r>
    </w:p>
    <w:p w14:paraId="489EF80F" w14:textId="77777777" w:rsidR="00277B46" w:rsidRDefault="00277B46" w:rsidP="00277B46">
      <w:pPr>
        <w:pStyle w:val="whitespace-normal"/>
      </w:pPr>
      <w:r>
        <w:rPr>
          <w:rStyle w:val="Fett"/>
          <w:rFonts w:eastAsiaTheme="majorEastAsia"/>
        </w:rPr>
        <w:t>Deutsch:</w:t>
      </w:r>
      <w:r>
        <w:t xml:space="preserve"> Nicht soll nehmen ein Mann die Frau seines Vaters, und nicht soll er aufdecken die Decke seines Vaters.</w:t>
      </w:r>
    </w:p>
    <w:p w14:paraId="159F2228" w14:textId="77777777" w:rsidR="00277B46" w:rsidRDefault="004F5CEB" w:rsidP="00277B46">
      <w:r>
        <w:rPr>
          <w:noProof/>
        </w:rPr>
        <w:pict w14:anchorId="5C01BF9A">
          <v:rect id="_x0000_i1625" style="width:0;height:1.5pt" o:hralign="center" o:hrstd="t" o:hr="t" fillcolor="#a0a0a0" stroked="f"/>
        </w:pict>
      </w:r>
    </w:p>
    <w:p w14:paraId="14EE0FAE" w14:textId="77777777" w:rsidR="00277B46" w:rsidRDefault="00277B46" w:rsidP="00277B46">
      <w:pPr>
        <w:pStyle w:val="whitespace-normal"/>
      </w:pPr>
      <w:r>
        <w:rPr>
          <w:rStyle w:val="Fett"/>
          <w:rFonts w:eastAsiaTheme="majorEastAsia"/>
        </w:rPr>
        <w:t>Kommentar:</w:t>
      </w:r>
      <w:r>
        <w:t xml:space="preserve"> </w:t>
      </w:r>
      <w:r>
        <w:rPr>
          <w:rStyle w:val="Fett"/>
          <w:rFonts w:eastAsiaTheme="majorEastAsia"/>
          <w:rtl/>
        </w:rPr>
        <w:t>לֹא־יִקַּח אִישׁ אֶת־אֵשֶׁת אָבִיו וְלֹא יְגַלֶּה כְּנַף אָבִיו</w:t>
      </w:r>
      <w:r>
        <w:rPr>
          <w:rtl/>
        </w:rPr>
        <w:t xml:space="preserve"> </w:t>
      </w:r>
      <w:r>
        <w:t xml:space="preserve">sind zwei Verbote: </w:t>
      </w:r>
      <w:r>
        <w:rPr>
          <w:rStyle w:val="Fett"/>
          <w:rFonts w:eastAsiaTheme="majorEastAsia"/>
          <w:rtl/>
        </w:rPr>
        <w:t>לֹא־יִקַּח אִישׁ אֶת־אֵשֶׁת אָבִיו</w:t>
      </w:r>
      <w:r>
        <w:rPr>
          <w:rtl/>
        </w:rPr>
        <w:t xml:space="preserve"> </w:t>
      </w:r>
      <w:r>
        <w:t xml:space="preserve">(Negation mit </w:t>
      </w:r>
      <w:r>
        <w:rPr>
          <w:rStyle w:val="Fett"/>
          <w:rFonts w:eastAsiaTheme="majorEastAsia"/>
          <w:rtl/>
        </w:rPr>
        <w:t>לקח</w:t>
      </w:r>
      <w:r>
        <w:t xml:space="preserve">, Qal Imperfekt, 3. Person Maskulinum Singular, </w:t>
      </w:r>
      <w:r>
        <w:rPr>
          <w:rStyle w:val="Fett"/>
          <w:rFonts w:eastAsiaTheme="majorEastAsia"/>
          <w:rtl/>
        </w:rPr>
        <w:t>אִישׁ</w:t>
      </w:r>
      <w:r>
        <w:rPr>
          <w:rtl/>
        </w:rPr>
        <w:t xml:space="preserve"> </w:t>
      </w:r>
      <w:r>
        <w:t xml:space="preserve">als Subjekt, Objektpartikel </w:t>
      </w:r>
      <w:r>
        <w:rPr>
          <w:rStyle w:val="Fett"/>
          <w:rFonts w:eastAsiaTheme="majorEastAsia"/>
          <w:rtl/>
        </w:rPr>
        <w:t>אֵת</w:t>
      </w:r>
      <w:r>
        <w:rPr>
          <w:rtl/>
        </w:rPr>
        <w:t xml:space="preserve"> </w:t>
      </w:r>
      <w:r>
        <w:t xml:space="preserve">mit </w:t>
      </w:r>
      <w:r>
        <w:rPr>
          <w:rStyle w:val="Fett"/>
          <w:rFonts w:eastAsiaTheme="majorEastAsia"/>
          <w:rtl/>
        </w:rPr>
        <w:t>אִשָּׁה</w:t>
      </w:r>
      <w:r>
        <w:t xml:space="preserve">, Construct mit </w:t>
      </w:r>
      <w:r>
        <w:rPr>
          <w:rStyle w:val="Fett"/>
          <w:rFonts w:eastAsiaTheme="majorEastAsia"/>
          <w:rtl/>
        </w:rPr>
        <w:t>אָב</w:t>
      </w:r>
      <w:r>
        <w:rPr>
          <w:rtl/>
        </w:rPr>
        <w:t xml:space="preserve"> </w:t>
      </w:r>
      <w:r>
        <w:t xml:space="preserve">mit Suffix 3. Person Maskulinum Singular), </w:t>
      </w:r>
      <w:r>
        <w:rPr>
          <w:rStyle w:val="Fett"/>
          <w:rFonts w:eastAsiaTheme="majorEastAsia"/>
          <w:rtl/>
        </w:rPr>
        <w:t>וְלֹא יְגַלֶּה כְּנַף אָבִיו</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גלה</w:t>
      </w:r>
      <w:r>
        <w:t xml:space="preserve">, Piel Imperfekt, 3. Person Maskulinum Singular, „aufdecken, enthüllen", </w:t>
      </w:r>
      <w:r>
        <w:rPr>
          <w:rStyle w:val="Fett"/>
          <w:rFonts w:eastAsiaTheme="majorEastAsia"/>
          <w:rtl/>
        </w:rPr>
        <w:t>כָּנָף</w:t>
      </w:r>
      <w:r>
        <w:t xml:space="preserve">, „Flügel, Ecke, Zipfel, Saum (des Gewandes)", Construct mit </w:t>
      </w:r>
      <w:r>
        <w:rPr>
          <w:rStyle w:val="Fett"/>
          <w:rFonts w:eastAsiaTheme="majorEastAsia"/>
          <w:rtl/>
        </w:rPr>
        <w:t>אָב</w:t>
      </w:r>
      <w:r>
        <w:rPr>
          <w:rtl/>
        </w:rPr>
        <w:t xml:space="preserve"> </w:t>
      </w:r>
      <w:r>
        <w:t>mit Suffix 3. Person Maskulinum Singular).</w:t>
      </w:r>
    </w:p>
    <w:p w14:paraId="0BDC5411" w14:textId="0D0EB586" w:rsidR="00277B46" w:rsidRDefault="00277B46" w:rsidP="00277B46">
      <w:pPr>
        <w:pStyle w:val="whitespace-normal"/>
      </w:pPr>
      <w:r>
        <w:lastRenderedPageBreak/>
        <w:t xml:space="preserve">Der Vers leitet einen neuen Abschnitt ein: Bestimmungen über die Zugehörigkeit zur Bundesgemeinde und verschiedene Reinheitsgesetze (Kap. 23). Das erste Verbot: </w:t>
      </w:r>
      <w:r>
        <w:rPr>
          <w:rStyle w:val="Fett"/>
          <w:rFonts w:eastAsiaTheme="majorEastAsia"/>
          <w:rtl/>
        </w:rPr>
        <w:t>לֹא־יִקַּח אִישׁ אֶת־אֵשֶׁת אָבִיו</w:t>
      </w:r>
      <w:r>
        <w:rPr>
          <w:rtl/>
        </w:rPr>
        <w:t xml:space="preserve"> </w:t>
      </w:r>
      <w:r>
        <w:t xml:space="preserve">(„nicht soll nehmen ein Mann die Frau seines Vaters") – Verbot der Ehe mit der Stiefmutter. Das Verb </w:t>
      </w:r>
      <w:r>
        <w:rPr>
          <w:rStyle w:val="Fett"/>
          <w:rFonts w:eastAsiaTheme="majorEastAsia"/>
          <w:rtl/>
        </w:rPr>
        <w:t>לקח</w:t>
      </w:r>
      <w:r>
        <w:rPr>
          <w:rtl/>
        </w:rPr>
        <w:t xml:space="preserve"> </w:t>
      </w:r>
      <w:r>
        <w:t xml:space="preserve">(„nehmen") ist der technische Ausdruck für Heirat (vgl. 22,13.14; 24,1). </w:t>
      </w:r>
      <w:r>
        <w:rPr>
          <w:rStyle w:val="Fett"/>
          <w:rFonts w:eastAsiaTheme="majorEastAsia"/>
          <w:rtl/>
        </w:rPr>
        <w:t>אֵשֶׁת אָבִיו</w:t>
      </w:r>
      <w:r>
        <w:rPr>
          <w:rtl/>
        </w:rPr>
        <w:t xml:space="preserve"> </w:t>
      </w:r>
      <w:r>
        <w:t xml:space="preserve">(„die Frau seines Vaters") bezeichnet die Stiefmutter, nicht die leibliche Mutter (die unter das allgemeine Inzestverbot fällt, vgl. Lev 18,7). Dies bezieht sich typischerweise auf die Witwe des Vaters oder eine Frau, die der Vater geschieden hat. Die zweite Formulierung: </w:t>
      </w:r>
      <w:r>
        <w:rPr>
          <w:rStyle w:val="Fett"/>
          <w:rFonts w:eastAsiaTheme="majorEastAsia"/>
          <w:rtl/>
        </w:rPr>
        <w:t>וְלֹא יְגַלֶּה כְּנַף אָבִיו</w:t>
      </w:r>
      <w:r>
        <w:rPr>
          <w:rtl/>
        </w:rPr>
        <w:t xml:space="preserve"> </w:t>
      </w:r>
      <w:r>
        <w:t xml:space="preserve">(„und nicht soll er aufdecken den Saum seines Vaters"). Der Ausdruck </w:t>
      </w:r>
      <w:r>
        <w:rPr>
          <w:rStyle w:val="Fett"/>
          <w:rFonts w:eastAsiaTheme="majorEastAsia"/>
          <w:rtl/>
        </w:rPr>
        <w:t>גלה כָּנָף</w:t>
      </w:r>
      <w:r>
        <w:rPr>
          <w:rtl/>
        </w:rPr>
        <w:t xml:space="preserve"> </w:t>
      </w:r>
      <w:r>
        <w:t xml:space="preserve">(„den Saum/Zipfel aufdecken") ist eine euphemistische Wendung für sexuelle Beziehungen (vgl. Rut 3,9; Hes 16,8). </w:t>
      </w:r>
      <w:r>
        <w:rPr>
          <w:rStyle w:val="Fett"/>
          <w:rFonts w:eastAsiaTheme="majorEastAsia"/>
          <w:rtl/>
        </w:rPr>
        <w:t>כְּנַף אָבִיו</w:t>
      </w:r>
      <w:r>
        <w:rPr>
          <w:rtl/>
        </w:rPr>
        <w:t xml:space="preserve"> </w:t>
      </w:r>
      <w:r>
        <w:t>(„den Saum seines Vaters") bedeutet metaphorisch: in die Rechte des Vaters eintreten, seine Autorität und seinen Besitz (einschließlich seiner Frau) beanspruchen. Die zweite Formulierung verstärkt und erklärt die erste: Es geht um den Schutz der väterlichen Autorität und Ehre. Vgl. Lev 18,8; 20,11 für ähnliche Verbote. Historisches Beispiel: Rubens Vergehen mit Bilha (Gen 35,22; 49,4) und Abschaloms Akt der Rebellion (</w:t>
      </w:r>
      <w:r w:rsidR="00664EB6">
        <w:t>2Sam</w:t>
      </w:r>
      <w:r>
        <w:t xml:space="preserve"> 16,21-22).</w:t>
      </w:r>
    </w:p>
    <w:p w14:paraId="0AB161E1" w14:textId="47F82E06" w:rsidR="0077321D" w:rsidRDefault="0077321D" w:rsidP="00277B46">
      <w:pPr>
        <w:pStyle w:val="whitespace-normal"/>
      </w:pPr>
      <w:r>
        <w:rPr>
          <w:rStyle w:val="Fett"/>
        </w:rPr>
        <w:t>Die LXX</w:t>
      </w:r>
      <w:r>
        <w:t xml:space="preserve"> hat diesen Vers bereits als 22,30 platziert (siehe vorherige Analyse).</w:t>
      </w:r>
    </w:p>
    <w:p w14:paraId="1E91B917" w14:textId="77777777" w:rsidR="00277B46" w:rsidRDefault="00277B46" w:rsidP="00277B46">
      <w:pPr>
        <w:pStyle w:val="whitespace-normal"/>
      </w:pPr>
      <w:r>
        <w:rPr>
          <w:rStyle w:val="Fett"/>
          <w:rFonts w:eastAsiaTheme="majorEastAsia"/>
        </w:rPr>
        <w:t>Die Satzstruktur:</w:t>
      </w:r>
      <w:r>
        <w:t xml:space="preserve"> Zwei parallele Verbote (nicht nehmen soll ein Mann die Frau seines Vaters, und nicht aufdecken soll er den Saum seines Vaters).</w:t>
      </w:r>
    </w:p>
    <w:p w14:paraId="738A2369" w14:textId="658E34A7" w:rsidR="00277B46" w:rsidRDefault="00277B46" w:rsidP="0039595E">
      <w:pPr>
        <w:pStyle w:val="whitespace-normal"/>
      </w:pPr>
      <w:r>
        <w:rPr>
          <w:rStyle w:val="Fett"/>
          <w:rFonts w:eastAsiaTheme="majorEastAsia"/>
        </w:rPr>
        <w:t>Der Vers beschreibt:</w:t>
      </w:r>
      <w:r>
        <w:t xml:space="preserve"> Verbot der Ehe mit der Stiefmutter – ein Mann darf weder die Frau seines Vaters heiraten noch die väterliche Autorität durch sexuelle Beziehungen mit ihr verletzen.</w:t>
      </w:r>
    </w:p>
    <w:p w14:paraId="157D5946" w14:textId="77777777" w:rsidR="00277B46" w:rsidRPr="00B27A64" w:rsidRDefault="00277B46" w:rsidP="00277B46">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23,2</w:t>
      </w:r>
    </w:p>
    <w:p w14:paraId="04D69C17" w14:textId="77777777" w:rsidR="00277B46" w:rsidRDefault="00277B46" w:rsidP="00277B46">
      <w:pPr>
        <w:pStyle w:val="whitespace-normal"/>
      </w:pPr>
      <w:r>
        <w:rPr>
          <w:rStyle w:val="Fett"/>
          <w:rFonts w:eastAsiaTheme="majorEastAsia"/>
        </w:rPr>
        <w:t>Hebräisch:</w:t>
      </w:r>
      <w:r>
        <w:t xml:space="preserve"> </w:t>
      </w:r>
      <w:r>
        <w:rPr>
          <w:rtl/>
        </w:rPr>
        <w:t>לֹֽא־יָבֹ֧א פְצֽוּעַ־דַּכָּ֛א וּכְר֥וּת שָׁפְכָ֖ה בִּקְהַ֥ל יְהוָֽה׃</w:t>
      </w:r>
    </w:p>
    <w:p w14:paraId="382EC0AC" w14:textId="77777777" w:rsidR="00277B46" w:rsidRDefault="00277B46" w:rsidP="00277B46">
      <w:pPr>
        <w:pStyle w:val="whitespace-normal"/>
      </w:pPr>
      <w:r>
        <w:rPr>
          <w:rStyle w:val="Fett"/>
          <w:rFonts w:eastAsiaTheme="majorEastAsia"/>
        </w:rPr>
        <w:t>Deutsch:</w:t>
      </w:r>
      <w:r>
        <w:t xml:space="preserve"> Nicht soll kommen einer, dem die Hoden zerstoßen sind, und einer, dem die Harnröhre abgeschnitten ist, in die Versammlung JHWHs.</w:t>
      </w:r>
    </w:p>
    <w:p w14:paraId="74A267AA" w14:textId="77777777" w:rsidR="00277B46" w:rsidRDefault="004F5CEB" w:rsidP="00277B46">
      <w:r>
        <w:rPr>
          <w:noProof/>
        </w:rPr>
        <w:pict w14:anchorId="557D188B">
          <v:rect id="_x0000_i1626" style="width:0;height:1.5pt" o:hralign="center" o:hrstd="t" o:hr="t" fillcolor="#a0a0a0" stroked="f"/>
        </w:pict>
      </w:r>
    </w:p>
    <w:p w14:paraId="156FD527" w14:textId="77777777" w:rsidR="00277B46" w:rsidRDefault="00277B46" w:rsidP="00277B46">
      <w:pPr>
        <w:pStyle w:val="whitespace-normal"/>
      </w:pPr>
      <w:r>
        <w:rPr>
          <w:rStyle w:val="Fett"/>
          <w:rFonts w:eastAsiaTheme="majorEastAsia"/>
        </w:rPr>
        <w:t>Kommentar:</w:t>
      </w:r>
      <w:r>
        <w:t xml:space="preserve"> </w:t>
      </w:r>
      <w:r>
        <w:rPr>
          <w:rStyle w:val="Fett"/>
          <w:rFonts w:eastAsiaTheme="majorEastAsia"/>
          <w:rtl/>
        </w:rPr>
        <w:t>לֹא־יָבֹא פְצוּעַ־דַּכָּא וּכְרוּת שָׁפְכָה בִּקְהַל יְהוָה</w:t>
      </w:r>
      <w:r>
        <w:rPr>
          <w:rtl/>
        </w:rPr>
        <w:t xml:space="preserve"> </w:t>
      </w:r>
      <w:r>
        <w:t xml:space="preserve">ist ein Verbot mit zwei Partizipialkonstruktionen: </w:t>
      </w:r>
      <w:r>
        <w:rPr>
          <w:rStyle w:val="Fett"/>
          <w:rFonts w:eastAsiaTheme="majorEastAsia"/>
          <w:rtl/>
        </w:rPr>
        <w:t>לֹא־יָבֹא</w:t>
      </w:r>
      <w:r>
        <w:rPr>
          <w:rtl/>
        </w:rPr>
        <w:t xml:space="preserve"> </w:t>
      </w:r>
      <w:r>
        <w:t xml:space="preserve">(Negation mit </w:t>
      </w:r>
      <w:r>
        <w:rPr>
          <w:rStyle w:val="Fett"/>
          <w:rFonts w:eastAsiaTheme="majorEastAsia"/>
          <w:rtl/>
        </w:rPr>
        <w:t>בוא</w:t>
      </w:r>
      <w:r>
        <w:t xml:space="preserve">, Qal Imperfekt, 3. Person Maskulinum Singular, „kommen, hineinkommen"), </w:t>
      </w:r>
      <w:r>
        <w:rPr>
          <w:rStyle w:val="Fett"/>
          <w:rFonts w:eastAsiaTheme="majorEastAsia"/>
          <w:rtl/>
        </w:rPr>
        <w:t>פְצוּעַ־דַּכָּא</w:t>
      </w:r>
      <w:r>
        <w:rPr>
          <w:rtl/>
        </w:rPr>
        <w:t xml:space="preserve"> </w:t>
      </w:r>
      <w:r>
        <w:t xml:space="preserve">(Qal Partizip Passiv von </w:t>
      </w:r>
      <w:r>
        <w:rPr>
          <w:rStyle w:val="Fett"/>
          <w:rFonts w:eastAsiaTheme="majorEastAsia"/>
          <w:rtl/>
        </w:rPr>
        <w:t>פצע</w:t>
      </w:r>
      <w:r>
        <w:t xml:space="preserve">, „verwundet, beschädigt sein", Construct mit </w:t>
      </w:r>
      <w:r>
        <w:rPr>
          <w:rStyle w:val="Fett"/>
          <w:rFonts w:eastAsiaTheme="majorEastAsia"/>
          <w:rtl/>
        </w:rPr>
        <w:t>דַּכָּא</w:t>
      </w:r>
      <w:r>
        <w:t xml:space="preserve">, „Zerstoßung, Zerquetschung" – die Construct-Verbindung bedeutet: „einer, der verwundet ist durch Zerstoßung" = „einer, dem die Hoden zerstoßen sind"), </w:t>
      </w:r>
      <w:r>
        <w:rPr>
          <w:rStyle w:val="Fett"/>
          <w:rFonts w:eastAsiaTheme="majorEastAsia"/>
          <w:rtl/>
        </w:rPr>
        <w:t>וּכְרוּת שָׁפְכָה</w:t>
      </w:r>
      <w:r>
        <w:rPr>
          <w:rtl/>
        </w:rPr>
        <w:t xml:space="preserve"> </w:t>
      </w:r>
      <w:r>
        <w:t xml:space="preserve">(koordiniert durch </w:t>
      </w:r>
      <w:r>
        <w:rPr>
          <w:rStyle w:val="Fett"/>
          <w:rFonts w:eastAsiaTheme="majorEastAsia"/>
          <w:rtl/>
        </w:rPr>
        <w:t>וּ</w:t>
      </w:r>
      <w:r>
        <w:rPr>
          <w:rtl/>
        </w:rPr>
        <w:t xml:space="preserve"> </w:t>
      </w:r>
      <w:r>
        <w:t xml:space="preserve">mit Qal Partizip Passiv von </w:t>
      </w:r>
      <w:r>
        <w:rPr>
          <w:rStyle w:val="Fett"/>
          <w:rFonts w:eastAsiaTheme="majorEastAsia"/>
          <w:rtl/>
        </w:rPr>
        <w:t>כרת</w:t>
      </w:r>
      <w:r>
        <w:t xml:space="preserve">, „abgeschnitten sein", Construct mit </w:t>
      </w:r>
      <w:r>
        <w:rPr>
          <w:rStyle w:val="Fett"/>
          <w:rFonts w:eastAsiaTheme="majorEastAsia"/>
          <w:rtl/>
        </w:rPr>
        <w:t>שָׁפְכָה</w:t>
      </w:r>
      <w:r>
        <w:t xml:space="preserve">, „Harnröhre, Penis, männliches Glied" – „einer, dem abgeschnitten ist die Harnröhre"), </w:t>
      </w:r>
      <w:r>
        <w:rPr>
          <w:rStyle w:val="Fett"/>
          <w:rFonts w:eastAsiaTheme="majorEastAsia"/>
          <w:rtl/>
        </w:rPr>
        <w:t>בִּקְהַל יְהוָה</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קָהָל</w:t>
      </w:r>
      <w:r>
        <w:t xml:space="preserve">, „Versammlung, Gemeinde", Construct mit </w:t>
      </w:r>
      <w:r>
        <w:rPr>
          <w:rStyle w:val="Fett"/>
          <w:rFonts w:eastAsiaTheme="majorEastAsia"/>
          <w:rtl/>
        </w:rPr>
        <w:t>יְהוָה</w:t>
      </w:r>
      <w:r>
        <w:t>).</w:t>
      </w:r>
    </w:p>
    <w:p w14:paraId="7E50FE53" w14:textId="0845CAC0" w:rsidR="00277B46" w:rsidRDefault="00277B46" w:rsidP="00277B46">
      <w:pPr>
        <w:pStyle w:val="whitespace-normal"/>
      </w:pPr>
      <w:r>
        <w:t xml:space="preserve">Der Vers führt Ausschlusskriterien für </w:t>
      </w:r>
      <w:r>
        <w:rPr>
          <w:rStyle w:val="Fett"/>
          <w:rFonts w:eastAsiaTheme="majorEastAsia"/>
          <w:rtl/>
        </w:rPr>
        <w:t>קְהַל יְהוָה</w:t>
      </w:r>
      <w:r>
        <w:rPr>
          <w:rtl/>
        </w:rPr>
        <w:t xml:space="preserve"> </w:t>
      </w:r>
      <w:r>
        <w:t xml:space="preserve">(„die Versammlung JHWHs") ein – die Bundesgemeinde Israel. Zwei Kategorien werden genannt: (1) </w:t>
      </w:r>
      <w:r>
        <w:rPr>
          <w:rStyle w:val="Fett"/>
          <w:rFonts w:eastAsiaTheme="majorEastAsia"/>
          <w:rtl/>
        </w:rPr>
        <w:t>פְצוּעַ־דַּכָּא</w:t>
      </w:r>
      <w:r>
        <w:rPr>
          <w:rtl/>
        </w:rPr>
        <w:t xml:space="preserve"> </w:t>
      </w:r>
      <w:r>
        <w:t xml:space="preserve">(„einer, dem die Hoden zerstoßen sind") – Beschreibung einer Hodenverletzung durch Quetschung oder </w:t>
      </w:r>
      <w:r>
        <w:lastRenderedPageBreak/>
        <w:t xml:space="preserve">Zerdrückung. (2) </w:t>
      </w:r>
      <w:r>
        <w:rPr>
          <w:rStyle w:val="Fett"/>
          <w:rFonts w:eastAsiaTheme="majorEastAsia"/>
          <w:rtl/>
        </w:rPr>
        <w:t>כְרוּת שָׁפְכָה</w:t>
      </w:r>
      <w:r>
        <w:rPr>
          <w:rtl/>
        </w:rPr>
        <w:t xml:space="preserve"> </w:t>
      </w:r>
      <w:r>
        <w:t xml:space="preserve">(„einer, dem die Harnröhre/das Glied abgeschnitten ist") – Beschreibung einer Kastration oder Amputation des männlichen Glieds. Beide Begriffe beziehen sich auf männliche Genitalverstümmelung, entweder durch Unfall oder absichtlich (wie bei Eunuchen in manchen antiken Kulturen, vgl. Jes 56,3-5). Das Verb </w:t>
      </w:r>
      <w:r>
        <w:rPr>
          <w:rStyle w:val="Fett"/>
          <w:rFonts w:eastAsiaTheme="majorEastAsia"/>
          <w:rtl/>
        </w:rPr>
        <w:t>בוא ב־</w:t>
      </w:r>
      <w:r>
        <w:rPr>
          <w:rtl/>
        </w:rPr>
        <w:t xml:space="preserve"> </w:t>
      </w:r>
      <w:r>
        <w:t xml:space="preserve">(„hineinkommen in") mit </w:t>
      </w:r>
      <w:r>
        <w:rPr>
          <w:rStyle w:val="Fett"/>
          <w:rFonts w:eastAsiaTheme="majorEastAsia"/>
          <w:rtl/>
        </w:rPr>
        <w:t>קְהַל יְהוָה</w:t>
      </w:r>
      <w:r>
        <w:rPr>
          <w:rtl/>
        </w:rPr>
        <w:t xml:space="preserve"> </w:t>
      </w:r>
      <w:r>
        <w:t>bezeichnet die Zugehörigkeit zur kultischen und rechtlichen Gemeinde Israels – das Recht, am Gottesdienst teilzunehmen, zu heiraten, Verträge zu schließen. Die Ratio dieses Gesetzes ist umstritten: möglicherweise (1) Abgrenzung von kanaanäischen Kulten, in denen Kastration praktiziert wurde; (2) Betonung der Heiligkeit und Unversehrtheit des Körpers; (3) Fokus auf Fortpflanzung und Nachkommenschaft als Teil des Bundessegens (Gen 1,28; 12,2). Beachte aber: Jes 56,3-5 verheißt Eunuchen in der messianischen Zeit einen Platz in Gottes Haus.</w:t>
      </w:r>
    </w:p>
    <w:p w14:paraId="46B2F4E6" w14:textId="77777777" w:rsidR="0077321D" w:rsidRPr="0077321D" w:rsidRDefault="0077321D" w:rsidP="0077321D">
      <w:pPr>
        <w:spacing w:before="100" w:beforeAutospacing="1" w:after="100" w:afterAutospacing="1" w:line="240" w:lineRule="auto"/>
        <w:outlineLvl w:val="1"/>
        <w:rPr>
          <w:rFonts w:eastAsia="Times New Roman"/>
          <w:b/>
          <w:bCs/>
          <w:sz w:val="36"/>
          <w:szCs w:val="36"/>
          <w:lang w:eastAsia="de-DE"/>
        </w:rPr>
      </w:pPr>
      <w:r w:rsidRPr="0077321D">
        <w:rPr>
          <w:rFonts w:eastAsia="Times New Roman"/>
          <w:b/>
          <w:bCs/>
          <w:sz w:val="36"/>
          <w:szCs w:val="36"/>
          <w:lang w:eastAsia="de-DE"/>
        </w:rPr>
        <w:t>Vers 2 (MT 23,2) / Vers 1 (LXX 23,1)</w:t>
      </w:r>
    </w:p>
    <w:p w14:paraId="787FE244" w14:textId="2B76F234" w:rsidR="0077321D" w:rsidRPr="0077321D" w:rsidRDefault="0077321D" w:rsidP="0077321D">
      <w:pPr>
        <w:spacing w:before="100" w:beforeAutospacing="1" w:after="100" w:afterAutospacing="1" w:line="240" w:lineRule="auto"/>
        <w:rPr>
          <w:rFonts w:eastAsia="Times New Roman"/>
          <w:lang w:eastAsia="de-DE"/>
        </w:rPr>
      </w:pPr>
      <w:r w:rsidRPr="0077321D">
        <w:rPr>
          <w:rFonts w:eastAsia="Times New Roman"/>
          <w:b/>
          <w:bCs/>
          <w:lang w:eastAsia="de-DE"/>
        </w:rPr>
        <w:t>Die LXX</w:t>
      </w:r>
      <w:r w:rsidRPr="0077321D">
        <w:rPr>
          <w:rFonts w:eastAsia="Times New Roman"/>
          <w:lang w:eastAsia="de-DE"/>
        </w:rPr>
        <w:t xml:space="preserve"> übersetzt </w:t>
      </w:r>
      <w:r w:rsidRPr="0077321D">
        <w:rPr>
          <w:rFonts w:eastAsia="Times New Roman"/>
          <w:rtl/>
          <w:lang w:eastAsia="de-DE"/>
        </w:rPr>
        <w:t>פְצוּעַ־דַּכָּא וּכְרוּת שָׁפְכָה</w:t>
      </w:r>
      <w:r w:rsidRPr="0077321D">
        <w:rPr>
          <w:rFonts w:eastAsia="Times New Roman"/>
          <w:lang w:eastAsia="de-DE"/>
        </w:rPr>
        <w:t xml:space="preserve"> (einer mit zerquetschten [Hoden] und abgeschnittenem [Penis]) mit </w:t>
      </w:r>
      <w:proofErr w:type="spellStart"/>
      <w:r w:rsidRPr="0077321D">
        <w:rPr>
          <w:rFonts w:eastAsia="Times New Roman"/>
          <w:lang w:eastAsia="de-DE"/>
        </w:rPr>
        <w:t>θλ</w:t>
      </w:r>
      <w:proofErr w:type="spellEnd"/>
      <w:r w:rsidRPr="0077321D">
        <w:rPr>
          <w:rFonts w:eastAsia="Times New Roman"/>
          <w:lang w:eastAsia="de-DE"/>
        </w:rPr>
        <w:t>αδίας καὶ ἀπ</w:t>
      </w:r>
      <w:proofErr w:type="spellStart"/>
      <w:r w:rsidRPr="0077321D">
        <w:rPr>
          <w:rFonts w:eastAsia="Times New Roman"/>
          <w:lang w:eastAsia="de-DE"/>
        </w:rPr>
        <w:t>οκεκομμένος</w:t>
      </w:r>
      <w:proofErr w:type="spellEnd"/>
      <w:r w:rsidRPr="0077321D">
        <w:rPr>
          <w:rFonts w:eastAsia="Times New Roman"/>
          <w:lang w:eastAsia="de-DE"/>
        </w:rPr>
        <w:t xml:space="preserve"> (Zerquetschter und Abgeschnittener) – technische Begriffe für Kastration bzw. Genitalverstümmelung. Der Begriff </w:t>
      </w:r>
      <w:proofErr w:type="spellStart"/>
      <w:r w:rsidRPr="0077321D">
        <w:rPr>
          <w:rFonts w:eastAsia="Times New Roman"/>
          <w:lang w:eastAsia="de-DE"/>
        </w:rPr>
        <w:t>ἐκκλησί</w:t>
      </w:r>
      <w:proofErr w:type="spellEnd"/>
      <w:r w:rsidRPr="0077321D">
        <w:rPr>
          <w:rFonts w:eastAsia="Times New Roman"/>
          <w:lang w:eastAsia="de-DE"/>
        </w:rPr>
        <w:t xml:space="preserve">αν </w:t>
      </w:r>
      <w:proofErr w:type="spellStart"/>
      <w:r w:rsidRPr="0077321D">
        <w:rPr>
          <w:rFonts w:eastAsia="Times New Roman"/>
          <w:lang w:eastAsia="de-DE"/>
        </w:rPr>
        <w:t>κυρίου</w:t>
      </w:r>
      <w:proofErr w:type="spellEnd"/>
      <w:r w:rsidRPr="0077321D">
        <w:rPr>
          <w:rFonts w:eastAsia="Times New Roman"/>
          <w:lang w:eastAsia="de-DE"/>
        </w:rPr>
        <w:t xml:space="preserve"> (Versammlung des Herrn) für </w:t>
      </w:r>
      <w:r w:rsidRPr="0077321D">
        <w:rPr>
          <w:rFonts w:eastAsia="Times New Roman"/>
          <w:rtl/>
          <w:lang w:eastAsia="de-DE"/>
        </w:rPr>
        <w:t>קְהַל יְהוָה</w:t>
      </w:r>
      <w:r w:rsidRPr="0077321D">
        <w:rPr>
          <w:rFonts w:eastAsia="Times New Roman"/>
          <w:lang w:eastAsia="de-DE"/>
        </w:rPr>
        <w:t xml:space="preserve"> ist die standardmäßige LXX-Übersetzung.</w:t>
      </w:r>
    </w:p>
    <w:p w14:paraId="0439A919" w14:textId="77777777" w:rsidR="00277B46" w:rsidRDefault="00277B46" w:rsidP="00277B46">
      <w:pPr>
        <w:pStyle w:val="whitespace-normal"/>
      </w:pPr>
      <w:r>
        <w:rPr>
          <w:rStyle w:val="Fett"/>
          <w:rFonts w:eastAsiaTheme="majorEastAsia"/>
        </w:rPr>
        <w:t>Die Satzstruktur:</w:t>
      </w:r>
      <w:r>
        <w:t xml:space="preserve"> Verbot mit zwei Partizipialkonstruktionen (nicht kommen soll einer, dem zerstoßen sind die Hoden, und einer, dem abgeschnitten ist die Harnröhre, in die Versammlung JHWHs).</w:t>
      </w:r>
    </w:p>
    <w:p w14:paraId="5901726A" w14:textId="20609088" w:rsidR="00277B46" w:rsidRDefault="00277B46" w:rsidP="0039595E">
      <w:pPr>
        <w:pStyle w:val="whitespace-normal"/>
      </w:pPr>
      <w:r>
        <w:rPr>
          <w:rStyle w:val="Fett"/>
          <w:rFonts w:eastAsiaTheme="majorEastAsia"/>
        </w:rPr>
        <w:t>Der Vers beschreibt:</w:t>
      </w:r>
      <w:r>
        <w:t xml:space="preserve"> Männer mit Genitalverstümmelung sind von der Bundesgemeinde ausgeschlossen.</w:t>
      </w:r>
    </w:p>
    <w:p w14:paraId="278F4345" w14:textId="77777777" w:rsidR="00277B46" w:rsidRPr="00B27A64" w:rsidRDefault="00277B46" w:rsidP="00277B46">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23,3</w:t>
      </w:r>
    </w:p>
    <w:p w14:paraId="3E148416" w14:textId="77777777" w:rsidR="00277B46" w:rsidRDefault="00277B46" w:rsidP="00277B46">
      <w:pPr>
        <w:pStyle w:val="whitespace-normal"/>
      </w:pPr>
      <w:r>
        <w:rPr>
          <w:rStyle w:val="Fett"/>
          <w:rFonts w:eastAsiaTheme="majorEastAsia"/>
        </w:rPr>
        <w:t>Hebräisch:</w:t>
      </w:r>
      <w:r>
        <w:t xml:space="preserve"> </w:t>
      </w:r>
      <w:r>
        <w:rPr>
          <w:rtl/>
        </w:rPr>
        <w:t>לֹא־יָבֹ֥א מַמְזֵ֖ר בִּקְהַ֣ל יְהוָ֑ה גַּ֚ם דּ֣וֹר עֲשִׂירִ֔י לֹא־יָ֥בֹא לוֹ֖ בִּקְהַ֥ל יְהוָֽה׃</w:t>
      </w:r>
    </w:p>
    <w:p w14:paraId="341C078D" w14:textId="77777777" w:rsidR="00277B46" w:rsidRDefault="00277B46" w:rsidP="00277B46">
      <w:pPr>
        <w:pStyle w:val="whitespace-normal"/>
      </w:pPr>
      <w:r>
        <w:rPr>
          <w:rStyle w:val="Fett"/>
          <w:rFonts w:eastAsiaTheme="majorEastAsia"/>
        </w:rPr>
        <w:t>Deutsch:</w:t>
      </w:r>
      <w:r>
        <w:t xml:space="preserve"> Nicht soll kommen ein Bastard in die Versammlung JHWHs; auch die zehnte Generation von ihm soll nicht kommen in die Versammlung JHWHs.</w:t>
      </w:r>
    </w:p>
    <w:p w14:paraId="325A719B" w14:textId="77777777" w:rsidR="00277B46" w:rsidRDefault="004F5CEB" w:rsidP="00277B46">
      <w:r>
        <w:rPr>
          <w:noProof/>
        </w:rPr>
        <w:pict w14:anchorId="595E944D">
          <v:rect id="_x0000_i1627" style="width:0;height:1.5pt" o:hralign="center" o:hrstd="t" o:hr="t" fillcolor="#a0a0a0" stroked="f"/>
        </w:pict>
      </w:r>
    </w:p>
    <w:p w14:paraId="52C528CA" w14:textId="77777777" w:rsidR="00277B46" w:rsidRDefault="00277B46" w:rsidP="00277B46">
      <w:pPr>
        <w:pStyle w:val="whitespace-normal"/>
      </w:pPr>
      <w:r>
        <w:rPr>
          <w:rStyle w:val="Fett"/>
          <w:rFonts w:eastAsiaTheme="majorEastAsia"/>
        </w:rPr>
        <w:t>Kommentar:</w:t>
      </w:r>
      <w:r>
        <w:t xml:space="preserve"> </w:t>
      </w:r>
      <w:r>
        <w:rPr>
          <w:rStyle w:val="Fett"/>
          <w:rFonts w:eastAsiaTheme="majorEastAsia"/>
          <w:rtl/>
        </w:rPr>
        <w:t>לֹא־יָבֹא מַמְזֵר בִּקְהַל יְהוָה גַּם דּוֹר עֲשִׂירִי לֹא־יָבֹא לוֹ בִּקְהַל יְהוָה</w:t>
      </w:r>
      <w:r>
        <w:rPr>
          <w:rtl/>
        </w:rPr>
        <w:t xml:space="preserve"> </w:t>
      </w:r>
      <w:r>
        <w:t xml:space="preserve">sind zwei Verbote: </w:t>
      </w:r>
      <w:r>
        <w:rPr>
          <w:rStyle w:val="Fett"/>
          <w:rFonts w:eastAsiaTheme="majorEastAsia"/>
          <w:rtl/>
        </w:rPr>
        <w:t>לֹא־יָבֹא מַמְזֵר בִּקְהַל יְהוָה</w:t>
      </w:r>
      <w:r>
        <w:rPr>
          <w:rtl/>
        </w:rPr>
        <w:t xml:space="preserve"> </w:t>
      </w:r>
      <w:r>
        <w:t xml:space="preserve">(Negation mit </w:t>
      </w:r>
      <w:r>
        <w:rPr>
          <w:rStyle w:val="Fett"/>
          <w:rFonts w:eastAsiaTheme="majorEastAsia"/>
          <w:rtl/>
        </w:rPr>
        <w:t>בוא</w:t>
      </w:r>
      <w:r>
        <w:t xml:space="preserve">, Qal Imperfekt, 3. Person Maskulinum Singular, </w:t>
      </w:r>
      <w:r>
        <w:rPr>
          <w:rStyle w:val="Fett"/>
          <w:rFonts w:eastAsiaTheme="majorEastAsia"/>
          <w:rtl/>
        </w:rPr>
        <w:t>מַמְזֵר</w:t>
      </w:r>
      <w:r>
        <w:t xml:space="preserve">, „Bastard, uneheliches Kind" – Bedeutung umstritten, </w:t>
      </w:r>
      <w:r>
        <w:rPr>
          <w:rStyle w:val="Fett"/>
          <w:rFonts w:eastAsiaTheme="majorEastAsia"/>
          <w:rtl/>
        </w:rPr>
        <w:t>בִּקְהַל יְהוָה</w:t>
      </w:r>
      <w:r>
        <w:t xml:space="preserve">), </w:t>
      </w:r>
      <w:r>
        <w:rPr>
          <w:rStyle w:val="Fett"/>
          <w:rFonts w:eastAsiaTheme="majorEastAsia"/>
          <w:rtl/>
        </w:rPr>
        <w:t>גַּם דּוֹר עֲשִׂירִ֔י לֹא־יָבֹא לוֹ בִּקְהַל יְהוָה</w:t>
      </w:r>
      <w:r>
        <w:rPr>
          <w:rtl/>
        </w:rPr>
        <w:t xml:space="preserve"> </w:t>
      </w:r>
      <w:r>
        <w:t>(</w:t>
      </w:r>
      <w:r>
        <w:rPr>
          <w:rStyle w:val="Fett"/>
          <w:rFonts w:eastAsiaTheme="majorEastAsia"/>
          <w:rtl/>
        </w:rPr>
        <w:t>גַּם</w:t>
      </w:r>
      <w:r>
        <w:t xml:space="preserve">, „auch, sogar", </w:t>
      </w:r>
      <w:r>
        <w:rPr>
          <w:rStyle w:val="Fett"/>
          <w:rFonts w:eastAsiaTheme="majorEastAsia"/>
          <w:rtl/>
        </w:rPr>
        <w:t>דּוֹר עֲשִׂירִי</w:t>
      </w:r>
      <w:r>
        <w:t xml:space="preserve">, „zehnte Generation", Negation mit </w:t>
      </w:r>
      <w:r>
        <w:rPr>
          <w:rStyle w:val="Fett"/>
          <w:rFonts w:eastAsiaTheme="majorEastAsia"/>
          <w:rtl/>
        </w:rPr>
        <w:t>בוא</w:t>
      </w:r>
      <w:r>
        <w:t xml:space="preserve">, </w:t>
      </w:r>
      <w:r>
        <w:rPr>
          <w:rStyle w:val="Fett"/>
          <w:rFonts w:eastAsiaTheme="majorEastAsia"/>
          <w:rtl/>
        </w:rPr>
        <w:t>לוֹ</w:t>
      </w:r>
      <w:r>
        <w:t xml:space="preserve">, Dativ – „von ihm, ihm gehörend", </w:t>
      </w:r>
      <w:r>
        <w:rPr>
          <w:rStyle w:val="Fett"/>
          <w:rFonts w:eastAsiaTheme="majorEastAsia"/>
          <w:rtl/>
        </w:rPr>
        <w:t>בִּקְהַל יְהוָה</w:t>
      </w:r>
      <w:r>
        <w:t>).</w:t>
      </w:r>
    </w:p>
    <w:p w14:paraId="70BAB348" w14:textId="0D368C8F" w:rsidR="00277B46" w:rsidRDefault="00277B46" w:rsidP="00277B46">
      <w:pPr>
        <w:pStyle w:val="whitespace-normal"/>
      </w:pPr>
      <w:r>
        <w:t xml:space="preserve">Der Vers führt eine weitere ausgeschlossene Kategorie ein: </w:t>
      </w:r>
      <w:r>
        <w:rPr>
          <w:rStyle w:val="Fett"/>
          <w:rFonts w:eastAsiaTheme="majorEastAsia"/>
          <w:rtl/>
        </w:rPr>
        <w:t>מַמְזֵר</w:t>
      </w:r>
      <w:r>
        <w:t xml:space="preserve">. Die genaue Bedeutung dieses Wortes ist umstritten: (1) Traditionelle jüdische Auslegung (Mischna, Talmud): ein Kind aus einer inzestuösen oder ehebrecherischen Verbindung, die nach Lev 18 verboten ist. (2) Andere Auslegungen: ein Kind aus einer gemischten Ehe (Israelit mit Nicht-Israelit) oder ein Findelkind unbekannter Herkunft. (3) Moderne Wissenschaft: möglicherweise von </w:t>
      </w:r>
      <w:r>
        <w:lastRenderedPageBreak/>
        <w:t xml:space="preserve">akkadisch </w:t>
      </w:r>
      <w:r>
        <w:rPr>
          <w:rStyle w:val="Hervorhebung"/>
        </w:rPr>
        <w:t>mamzēru</w:t>
      </w:r>
      <w:r>
        <w:t xml:space="preserve"> = „aus fremdem Stamm", also ein Kind aus einer ethnisch-religiös problematischen Verbindung. Das erste Verbot: </w:t>
      </w:r>
      <w:r>
        <w:rPr>
          <w:rStyle w:val="Fett"/>
          <w:rFonts w:eastAsiaTheme="majorEastAsia"/>
          <w:rtl/>
        </w:rPr>
        <w:t>לֹא־יָבֹא מַמְזֵר בִּקְהַל יְהוָה</w:t>
      </w:r>
      <w:r>
        <w:rPr>
          <w:rtl/>
        </w:rPr>
        <w:t xml:space="preserve"> </w:t>
      </w:r>
      <w:r>
        <w:t xml:space="preserve">(„nicht soll kommen ein Bastard in die Versammlung JHWHs"). Die Verschärfung: </w:t>
      </w:r>
      <w:r>
        <w:rPr>
          <w:rStyle w:val="Fett"/>
          <w:rFonts w:eastAsiaTheme="majorEastAsia"/>
          <w:rtl/>
        </w:rPr>
        <w:t>גַּם דּוֹר עֲשִׂירִי לֹא־יָבֹא לוֹ בִּקְהַל יְהוָה</w:t>
      </w:r>
      <w:r>
        <w:rPr>
          <w:rtl/>
        </w:rPr>
        <w:t xml:space="preserve"> </w:t>
      </w:r>
      <w:r>
        <w:t xml:space="preserve">(„auch die zehnte Generation von ihm soll nicht kommen in die Versammlung JHWHs"). Die Zahl „zehn" bezeichnet hier wahrscheinlich Vollständigkeit, Endgültigkeit – praktisch ein ewiger Ausschluss (im Gegensatz zu V. 9, wo die dritte Generation zugelassen wird). Das Pronomen </w:t>
      </w:r>
      <w:r>
        <w:rPr>
          <w:rStyle w:val="Fett"/>
          <w:rFonts w:eastAsiaTheme="majorEastAsia"/>
          <w:rtl/>
        </w:rPr>
        <w:t>לוֹ</w:t>
      </w:r>
      <w:r>
        <w:rPr>
          <w:rtl/>
        </w:rPr>
        <w:t xml:space="preserve"> </w:t>
      </w:r>
      <w:r>
        <w:t xml:space="preserve">(„von ihm, ihm gehörend") bezieht sich auf </w:t>
      </w:r>
      <w:r>
        <w:rPr>
          <w:rStyle w:val="Fett"/>
          <w:rFonts w:eastAsiaTheme="majorEastAsia"/>
          <w:rtl/>
        </w:rPr>
        <w:t>מַמְזֵר</w:t>
      </w:r>
      <w:r>
        <w:rPr>
          <w:rtl/>
        </w:rPr>
        <w:t xml:space="preserve"> </w:t>
      </w:r>
      <w:r>
        <w:t>– seine Nachkommen bis zur zehnten Generation. Die Ratio: Schutz der Heiligkeit und genealogischen Reinheit der Bundesgemeinde. Beachte aber: Dies betrifft kultische und rechtliche Zugehörigkeit, nicht persönliche Schuld (vgl. Hes 18 – Kinder werden nicht für die Sünden der Eltern bestraft).</w:t>
      </w:r>
    </w:p>
    <w:p w14:paraId="7F1322CD" w14:textId="77777777" w:rsidR="0077321D" w:rsidRPr="0077321D" w:rsidRDefault="0077321D" w:rsidP="0077321D">
      <w:pPr>
        <w:spacing w:before="100" w:beforeAutospacing="1" w:after="100" w:afterAutospacing="1" w:line="240" w:lineRule="auto"/>
        <w:outlineLvl w:val="1"/>
        <w:rPr>
          <w:rFonts w:eastAsia="Times New Roman"/>
          <w:b/>
          <w:bCs/>
          <w:sz w:val="36"/>
          <w:szCs w:val="36"/>
          <w:lang w:eastAsia="de-DE"/>
        </w:rPr>
      </w:pPr>
      <w:r w:rsidRPr="0077321D">
        <w:rPr>
          <w:rFonts w:eastAsia="Times New Roman"/>
          <w:b/>
          <w:bCs/>
          <w:sz w:val="36"/>
          <w:szCs w:val="36"/>
          <w:lang w:eastAsia="de-DE"/>
        </w:rPr>
        <w:t>Vers 3 (MT 23,3) / Vers 2 (LXX 23,2)</w:t>
      </w:r>
    </w:p>
    <w:p w14:paraId="00BB115C" w14:textId="5A5559CD" w:rsidR="0077321D" w:rsidRPr="0077321D" w:rsidRDefault="0077321D" w:rsidP="0077321D">
      <w:pPr>
        <w:spacing w:before="100" w:beforeAutospacing="1" w:after="100" w:afterAutospacing="1" w:line="240" w:lineRule="auto"/>
        <w:rPr>
          <w:rFonts w:eastAsia="Times New Roman"/>
          <w:lang w:eastAsia="de-DE"/>
        </w:rPr>
      </w:pPr>
      <w:r w:rsidRPr="0077321D">
        <w:rPr>
          <w:rFonts w:eastAsia="Times New Roman"/>
          <w:b/>
          <w:bCs/>
          <w:lang w:eastAsia="de-DE"/>
        </w:rPr>
        <w:t>Die LXX</w:t>
      </w:r>
      <w:r w:rsidRPr="0077321D">
        <w:rPr>
          <w:rFonts w:eastAsia="Times New Roman"/>
          <w:lang w:eastAsia="de-DE"/>
        </w:rPr>
        <w:t xml:space="preserve"> übersetzt </w:t>
      </w:r>
      <w:r w:rsidRPr="0077321D">
        <w:rPr>
          <w:rFonts w:eastAsia="Times New Roman"/>
          <w:rtl/>
          <w:lang w:eastAsia="de-DE"/>
        </w:rPr>
        <w:t>מַמְזֵר</w:t>
      </w:r>
      <w:r w:rsidRPr="0077321D">
        <w:rPr>
          <w:rFonts w:eastAsia="Times New Roman"/>
          <w:lang w:eastAsia="de-DE"/>
        </w:rPr>
        <w:t xml:space="preserve"> (Bastard, uneheliches Kind) mit </w:t>
      </w:r>
      <w:proofErr w:type="spellStart"/>
      <w:r w:rsidRPr="0077321D">
        <w:rPr>
          <w:rFonts w:eastAsia="Times New Roman"/>
          <w:lang w:eastAsia="de-DE"/>
        </w:rPr>
        <w:t>ἐκ</w:t>
      </w:r>
      <w:proofErr w:type="spellEnd"/>
      <w:r w:rsidRPr="0077321D">
        <w:rPr>
          <w:rFonts w:eastAsia="Times New Roman"/>
          <w:lang w:eastAsia="de-DE"/>
        </w:rPr>
        <w:t xml:space="preserve"> π</w:t>
      </w:r>
      <w:proofErr w:type="spellStart"/>
      <w:r w:rsidRPr="0077321D">
        <w:rPr>
          <w:rFonts w:eastAsia="Times New Roman"/>
          <w:lang w:eastAsia="de-DE"/>
        </w:rPr>
        <w:t>όρνης</w:t>
      </w:r>
      <w:proofErr w:type="spellEnd"/>
      <w:r w:rsidRPr="0077321D">
        <w:rPr>
          <w:rFonts w:eastAsia="Times New Roman"/>
          <w:lang w:eastAsia="de-DE"/>
        </w:rPr>
        <w:t xml:space="preserve"> (aus Hurerei) – eine interpretierende Umschreibung, die die Herkunft statt des Status betont.</w:t>
      </w:r>
    </w:p>
    <w:p w14:paraId="457CD28F" w14:textId="77777777" w:rsidR="00277B46" w:rsidRDefault="00277B46" w:rsidP="00277B46">
      <w:pPr>
        <w:pStyle w:val="whitespace-normal"/>
      </w:pPr>
      <w:r>
        <w:rPr>
          <w:rStyle w:val="Fett"/>
          <w:rFonts w:eastAsiaTheme="majorEastAsia"/>
        </w:rPr>
        <w:t>Die Satzstruktur:</w:t>
      </w:r>
      <w:r>
        <w:t xml:space="preserve"> Zwei parallele Verbote (nicht kommen soll ein Bastard in die Versammlung JHWHs; auch die zehnte Generation von ihm soll nicht kommen in die Versammlung JHWHs).</w:t>
      </w:r>
    </w:p>
    <w:p w14:paraId="6F73583A" w14:textId="09F7CDFA" w:rsidR="00277B46" w:rsidRDefault="00277B46" w:rsidP="0039595E">
      <w:pPr>
        <w:pStyle w:val="whitespace-normal"/>
      </w:pPr>
      <w:r>
        <w:rPr>
          <w:rStyle w:val="Fett"/>
          <w:rFonts w:eastAsiaTheme="majorEastAsia"/>
        </w:rPr>
        <w:t>Der Vers beschreibt:</w:t>
      </w:r>
      <w:r>
        <w:t xml:space="preserve"> Ein Bastard (Kind aus verbotener Verbindung) und seine Nachkommen bis zur zehnten Generation sind von der Bundesgemeinde ausgeschlossen.</w:t>
      </w:r>
    </w:p>
    <w:p w14:paraId="370C9F88" w14:textId="77777777" w:rsidR="00277B46" w:rsidRPr="00B27A64" w:rsidRDefault="00277B46" w:rsidP="00277B46">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23,4</w:t>
      </w:r>
    </w:p>
    <w:p w14:paraId="7A5104FC" w14:textId="77777777" w:rsidR="00277B46" w:rsidRDefault="00277B46" w:rsidP="00277B46">
      <w:pPr>
        <w:pStyle w:val="whitespace-normal"/>
      </w:pPr>
      <w:r>
        <w:rPr>
          <w:rStyle w:val="Fett"/>
          <w:rFonts w:eastAsiaTheme="majorEastAsia"/>
        </w:rPr>
        <w:t>Hebräisch:</w:t>
      </w:r>
      <w:r>
        <w:t xml:space="preserve"> </w:t>
      </w:r>
      <w:r>
        <w:rPr>
          <w:rtl/>
        </w:rPr>
        <w:t>לֹֽא־יָבֹ֧א עַמּוֹנִ֛י וּמוֹאָבִ֖י בִּקְהַ֣ל יְהוָ֑ה גַּ֚ם דּ֣וֹר עֲשִׂירִ֔י לֹא־יָבֹ֥א לָהֶ֛ם בִּקְהַ֥ל יְהוָ֖ה עַד־עוֹלָֽם׃</w:t>
      </w:r>
    </w:p>
    <w:p w14:paraId="11393CEC" w14:textId="77777777" w:rsidR="00277B46" w:rsidRDefault="00277B46" w:rsidP="00277B46">
      <w:pPr>
        <w:pStyle w:val="whitespace-normal"/>
      </w:pPr>
      <w:r>
        <w:rPr>
          <w:rStyle w:val="Fett"/>
          <w:rFonts w:eastAsiaTheme="majorEastAsia"/>
        </w:rPr>
        <w:t>Deutsch:</w:t>
      </w:r>
      <w:r>
        <w:t xml:space="preserve"> Nicht soll kommen ein Ammoniter und ein Moabiter in die Versammlung JHWHs; auch die zehnte Generation von ihnen soll nicht kommen in die Versammlung JHWHs bis in Ewigkeit.</w:t>
      </w:r>
    </w:p>
    <w:p w14:paraId="5BE2E97F" w14:textId="77777777" w:rsidR="00277B46" w:rsidRDefault="004F5CEB" w:rsidP="00277B46">
      <w:r>
        <w:rPr>
          <w:noProof/>
        </w:rPr>
        <w:pict w14:anchorId="7B62D230">
          <v:rect id="_x0000_i1628" style="width:0;height:1.5pt" o:hralign="center" o:hrstd="t" o:hr="t" fillcolor="#a0a0a0" stroked="f"/>
        </w:pict>
      </w:r>
    </w:p>
    <w:p w14:paraId="2B249D15" w14:textId="77777777" w:rsidR="00277B46" w:rsidRDefault="00277B46" w:rsidP="00277B46">
      <w:pPr>
        <w:pStyle w:val="whitespace-normal"/>
      </w:pPr>
      <w:r>
        <w:rPr>
          <w:rStyle w:val="Fett"/>
          <w:rFonts w:eastAsiaTheme="majorEastAsia"/>
        </w:rPr>
        <w:t>Kommentar:</w:t>
      </w:r>
      <w:r>
        <w:t xml:space="preserve"> </w:t>
      </w:r>
      <w:r>
        <w:rPr>
          <w:rStyle w:val="Fett"/>
          <w:rFonts w:eastAsiaTheme="majorEastAsia"/>
          <w:rtl/>
        </w:rPr>
        <w:t>לֹא־יָבֹא עַמּוֹנִי וּמוֹאָבִי בִּקְהַל יְהוָה גַּם דּוֹר עֲשִׂירִי לֹא־יָבֹא לָהֶם בִּקְהַל יְהוָה עַד־עוֹלָם</w:t>
      </w:r>
      <w:r>
        <w:rPr>
          <w:rtl/>
        </w:rPr>
        <w:t xml:space="preserve"> </w:t>
      </w:r>
      <w:r>
        <w:t xml:space="preserve">sind zwei Verbote: </w:t>
      </w:r>
      <w:r>
        <w:rPr>
          <w:rStyle w:val="Fett"/>
          <w:rFonts w:eastAsiaTheme="majorEastAsia"/>
          <w:rtl/>
        </w:rPr>
        <w:t>לֹא־יָבֹא עַמּוֹנִי וּמוֹאָבִי בִּקְהַל יְהוָה</w:t>
      </w:r>
      <w:r>
        <w:rPr>
          <w:rtl/>
        </w:rPr>
        <w:t xml:space="preserve"> </w:t>
      </w:r>
      <w:r>
        <w:t xml:space="preserve">(Negation mit </w:t>
      </w:r>
      <w:r>
        <w:rPr>
          <w:rStyle w:val="Fett"/>
          <w:rFonts w:eastAsiaTheme="majorEastAsia"/>
          <w:rtl/>
        </w:rPr>
        <w:t>בוא</w:t>
      </w:r>
      <w:r>
        <w:t xml:space="preserve">, </w:t>
      </w:r>
      <w:r>
        <w:rPr>
          <w:rStyle w:val="Fett"/>
          <w:rFonts w:eastAsiaTheme="majorEastAsia"/>
          <w:rtl/>
        </w:rPr>
        <w:t>עַמּוֹנִי</w:t>
      </w:r>
      <w:r>
        <w:t xml:space="preserve">, Gentilizium – „Ammoniter", koordiniert durch </w:t>
      </w:r>
      <w:r>
        <w:rPr>
          <w:rStyle w:val="Fett"/>
          <w:rFonts w:eastAsiaTheme="majorEastAsia"/>
          <w:rtl/>
        </w:rPr>
        <w:t>וּ</w:t>
      </w:r>
      <w:r>
        <w:rPr>
          <w:rtl/>
        </w:rPr>
        <w:t xml:space="preserve"> </w:t>
      </w:r>
      <w:r>
        <w:t xml:space="preserve">mit </w:t>
      </w:r>
      <w:r>
        <w:rPr>
          <w:rStyle w:val="Fett"/>
          <w:rFonts w:eastAsiaTheme="majorEastAsia"/>
          <w:rtl/>
        </w:rPr>
        <w:t>מוֹאָבִי</w:t>
      </w:r>
      <w:r>
        <w:t xml:space="preserve">, Gentilizium – „Moabiter", </w:t>
      </w:r>
      <w:r>
        <w:rPr>
          <w:rStyle w:val="Fett"/>
          <w:rFonts w:eastAsiaTheme="majorEastAsia"/>
          <w:rtl/>
        </w:rPr>
        <w:t>בִּקְהַל יְהוָה</w:t>
      </w:r>
      <w:r>
        <w:t xml:space="preserve">), </w:t>
      </w:r>
      <w:r>
        <w:rPr>
          <w:rStyle w:val="Fett"/>
          <w:rFonts w:eastAsiaTheme="majorEastAsia"/>
          <w:rtl/>
        </w:rPr>
        <w:t>גַּם דּוֹר עֲשִׂירִי לֹא־יָבֹא לָהֶם בִּקְהַל יְהוָה עַד־עוֹלָם</w:t>
      </w:r>
      <w:r>
        <w:rPr>
          <w:rtl/>
        </w:rPr>
        <w:t xml:space="preserve"> </w:t>
      </w:r>
      <w:r>
        <w:t>(</w:t>
      </w:r>
      <w:r>
        <w:rPr>
          <w:rStyle w:val="Fett"/>
          <w:rFonts w:eastAsiaTheme="majorEastAsia"/>
          <w:rtl/>
        </w:rPr>
        <w:t>גַּם דּוֹר עֲשִׂירִי</w:t>
      </w:r>
      <w:r>
        <w:t xml:space="preserve">, Negation mit </w:t>
      </w:r>
      <w:r>
        <w:rPr>
          <w:rStyle w:val="Fett"/>
          <w:rFonts w:eastAsiaTheme="majorEastAsia"/>
          <w:rtl/>
        </w:rPr>
        <w:t>בוא</w:t>
      </w:r>
      <w:r>
        <w:t xml:space="preserve">, </w:t>
      </w:r>
      <w:r>
        <w:rPr>
          <w:rStyle w:val="Fett"/>
          <w:rFonts w:eastAsiaTheme="majorEastAsia"/>
          <w:rtl/>
        </w:rPr>
        <w:t>לָהֶם</w:t>
      </w:r>
      <w:r>
        <w:t xml:space="preserve">, Dativ Plural – „von ihnen, ihnen gehörend", </w:t>
      </w:r>
      <w:r>
        <w:rPr>
          <w:rStyle w:val="Fett"/>
          <w:rFonts w:eastAsiaTheme="majorEastAsia"/>
          <w:rtl/>
        </w:rPr>
        <w:t>בִּקְהַל יְהוָה</w:t>
      </w:r>
      <w:r>
        <w:t xml:space="preserve">, </w:t>
      </w:r>
      <w:r>
        <w:rPr>
          <w:rStyle w:val="Fett"/>
          <w:rFonts w:eastAsiaTheme="majorEastAsia"/>
          <w:rtl/>
        </w:rPr>
        <w:t>עַד־עוֹלָם</w:t>
      </w:r>
      <w:r>
        <w:t xml:space="preserve">, Präposition </w:t>
      </w:r>
      <w:r>
        <w:rPr>
          <w:rStyle w:val="Fett"/>
          <w:rFonts w:eastAsiaTheme="majorEastAsia"/>
          <w:rtl/>
        </w:rPr>
        <w:t>עַד</w:t>
      </w:r>
      <w:r>
        <w:rPr>
          <w:rtl/>
        </w:rPr>
        <w:t xml:space="preserve"> </w:t>
      </w:r>
      <w:r>
        <w:t xml:space="preserve">mit </w:t>
      </w:r>
      <w:r>
        <w:rPr>
          <w:rStyle w:val="Fett"/>
          <w:rFonts w:eastAsiaTheme="majorEastAsia"/>
          <w:rtl/>
        </w:rPr>
        <w:t>עוֹלָם</w:t>
      </w:r>
      <w:r>
        <w:t>, „Ewigkeit" – „bis in Ewigkeit").</w:t>
      </w:r>
    </w:p>
    <w:p w14:paraId="36AAF058" w14:textId="77777777" w:rsidR="00277B46" w:rsidRDefault="00277B46" w:rsidP="00277B46">
      <w:pPr>
        <w:pStyle w:val="whitespace-normal"/>
      </w:pPr>
      <w:r>
        <w:t xml:space="preserve">Der Vers nennt zwei weitere ausgeschlossene Völker: Ammoniter und Moabiter. Das erste Verbot: </w:t>
      </w:r>
      <w:r>
        <w:rPr>
          <w:rStyle w:val="Fett"/>
          <w:rFonts w:eastAsiaTheme="majorEastAsia"/>
          <w:rtl/>
        </w:rPr>
        <w:t>לֹא־יָבֹא עַמּוֹנִי וּמוֹאָבִי בִּקְהַל יְהוָה</w:t>
      </w:r>
      <w:r>
        <w:rPr>
          <w:rtl/>
        </w:rPr>
        <w:t xml:space="preserve"> </w:t>
      </w:r>
      <w:r>
        <w:t xml:space="preserve">(„nicht soll kommen ein Ammoniter und ein Moabiter in die Versammlung JHWHs"). Die Gentilizien </w:t>
      </w:r>
      <w:r>
        <w:rPr>
          <w:rStyle w:val="Fett"/>
          <w:rFonts w:eastAsiaTheme="majorEastAsia"/>
          <w:rtl/>
        </w:rPr>
        <w:t>עַמּוֹנִי</w:t>
      </w:r>
      <w:r>
        <w:rPr>
          <w:rtl/>
        </w:rPr>
        <w:t xml:space="preserve"> </w:t>
      </w:r>
      <w:r>
        <w:t xml:space="preserve">und </w:t>
      </w:r>
      <w:r>
        <w:rPr>
          <w:rStyle w:val="Fett"/>
          <w:rFonts w:eastAsiaTheme="majorEastAsia"/>
          <w:rtl/>
        </w:rPr>
        <w:t>מוֹאָבִי</w:t>
      </w:r>
      <w:r>
        <w:rPr>
          <w:rtl/>
        </w:rPr>
        <w:t xml:space="preserve"> </w:t>
      </w:r>
      <w:r>
        <w:t xml:space="preserve">bezeichnen Angehörige der Völker Ammon und Moab, die östlich des Jordan lebten (in heutigem Jordanien). Beide Völker waren mit Israel verwandt – sie stammten von Lot ab, Abrahams Neffen (Gen 19,30-38). Die Verschärfung: </w:t>
      </w:r>
      <w:r>
        <w:rPr>
          <w:rStyle w:val="Fett"/>
          <w:rFonts w:eastAsiaTheme="majorEastAsia"/>
          <w:rtl/>
        </w:rPr>
        <w:t>גַּם דּוֹר עֲשִׂירִי לֹא־יָבֹא לָהֶם בִּקְהַל יְהוָה עַד־עוֹלָם</w:t>
      </w:r>
      <w:r>
        <w:rPr>
          <w:rtl/>
        </w:rPr>
        <w:t xml:space="preserve"> </w:t>
      </w:r>
      <w:r>
        <w:t xml:space="preserve">(„auch die zehnte Generation von ihnen soll nicht kommen in die Versammlung JHWHs bis in Ewigkeit"). Hier </w:t>
      </w:r>
      <w:r>
        <w:lastRenderedPageBreak/>
        <w:t xml:space="preserve">wird die Formulierung aus V. 3 wiederholt, aber mit der zusätzlichen Phrase </w:t>
      </w:r>
      <w:r>
        <w:rPr>
          <w:rStyle w:val="Fett"/>
          <w:rFonts w:eastAsiaTheme="majorEastAsia"/>
          <w:rtl/>
        </w:rPr>
        <w:t>עַד־עוֹלָם</w:t>
      </w:r>
      <w:r>
        <w:rPr>
          <w:rtl/>
        </w:rPr>
        <w:t xml:space="preserve"> </w:t>
      </w:r>
      <w:r>
        <w:t>(„bis in Ewigkeit") – ewiger, unbedingter Ausschluss. V. 5-6 werden die historischen Gründe für dieses Verbot erklären. Beachte: Dies steht im Kontrast zu Edom und Ägypten in V. 8-9, die in der dritten Generation zugelassen werden. Historische Beispiele: Trotz dieses Verbots wird Rut, eine Moabiterin, zur Stammmutter Davids (Rut 1-4) – rabbinische Auslegung: Das Verbot galt nur für Männer, nicht für Frauen.</w:t>
      </w:r>
    </w:p>
    <w:p w14:paraId="56D31EE8" w14:textId="77777777" w:rsidR="00277B46" w:rsidRDefault="00277B46" w:rsidP="00277B46">
      <w:pPr>
        <w:pStyle w:val="whitespace-normal"/>
      </w:pPr>
      <w:r>
        <w:rPr>
          <w:rStyle w:val="Fett"/>
          <w:rFonts w:eastAsiaTheme="majorEastAsia"/>
        </w:rPr>
        <w:t>Die Satzstruktur:</w:t>
      </w:r>
      <w:r>
        <w:t xml:space="preserve"> Zwei parallele Verbote (nicht kommen soll ein Ammoniter und ein Moabiter in die Versammlung JHWHs; auch die zehnte Generation von ihnen soll nicht kommen in die Versammlung JHWHs bis in Ewigkeit).</w:t>
      </w:r>
    </w:p>
    <w:p w14:paraId="7B0D44A6" w14:textId="2931185E" w:rsidR="00277B46" w:rsidRDefault="00277B46" w:rsidP="0039595E">
      <w:pPr>
        <w:pStyle w:val="whitespace-normal"/>
      </w:pPr>
      <w:r>
        <w:rPr>
          <w:rStyle w:val="Fett"/>
          <w:rFonts w:eastAsiaTheme="majorEastAsia"/>
        </w:rPr>
        <w:t>Der Vers beschreibt:</w:t>
      </w:r>
      <w:r>
        <w:t xml:space="preserve"> Ammoniter und Moabiter sind bis in alle Ewigkeit von der Bundesgemeinde ausgeschlossen.</w:t>
      </w:r>
    </w:p>
    <w:p w14:paraId="470F9C00" w14:textId="77777777" w:rsidR="00277B46" w:rsidRPr="00B27A64" w:rsidRDefault="00277B46" w:rsidP="00277B46">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23,5</w:t>
      </w:r>
    </w:p>
    <w:p w14:paraId="3CE0840B" w14:textId="77777777" w:rsidR="00277B46" w:rsidRDefault="00277B46" w:rsidP="00277B46">
      <w:pPr>
        <w:pStyle w:val="whitespace-normal"/>
      </w:pPr>
      <w:r>
        <w:rPr>
          <w:rStyle w:val="Fett"/>
          <w:rFonts w:eastAsiaTheme="majorEastAsia"/>
        </w:rPr>
        <w:t>Hebräisch:</w:t>
      </w:r>
      <w:r>
        <w:t xml:space="preserve"> </w:t>
      </w:r>
      <w:r>
        <w:rPr>
          <w:rtl/>
        </w:rPr>
        <w:t>עַל־דְּבַ֞ר אֲשֶׁ֨ר לֹא־קִדְּמ֤וּ אֶתְכֶם֙ בַּלֶּ֣חֶם וּבַמַּ֔יִם בַּדֶּ֖רֶךְ בְּצֵאתְכֶ֣ם מִמִּצְרָ֑יִם וַאֲשֶׁר֩ שָׂכַ֨ר עָלֶ֜יךָ אֶת־בִּלְעָ֣ם בֶּן־בְּע֗וֹר מִפְּת֛וֹר אֲרַ֥ם נַהֲרַ֖יִם לְקַֽלְלֶֽךָּ׃</w:t>
      </w:r>
    </w:p>
    <w:p w14:paraId="0C365DE2" w14:textId="77777777" w:rsidR="00277B46" w:rsidRDefault="00277B46" w:rsidP="00277B46">
      <w:pPr>
        <w:pStyle w:val="whitespace-normal"/>
      </w:pPr>
      <w:r>
        <w:rPr>
          <w:rStyle w:val="Fett"/>
          <w:rFonts w:eastAsiaTheme="majorEastAsia"/>
        </w:rPr>
        <w:t>Deutsch:</w:t>
      </w:r>
      <w:r>
        <w:t xml:space="preserve"> Wegen der Sache, dass sie euch nicht entgegengekommen sind mit Brot und mit Wasser auf dem Weg, als ihr aus Ägypten zogt; und weil er gegen dich Bileam, den Sohn Beors, aus Petor in Aram-Naharajim angeworben hat, um dich zu verfluchen.</w:t>
      </w:r>
    </w:p>
    <w:p w14:paraId="1CBC704F" w14:textId="77777777" w:rsidR="00277B46" w:rsidRDefault="004F5CEB" w:rsidP="00277B46">
      <w:r>
        <w:rPr>
          <w:noProof/>
        </w:rPr>
        <w:pict w14:anchorId="75E0630C">
          <v:rect id="_x0000_i1629" style="width:0;height:1.5pt" o:hralign="center" o:hrstd="t" o:hr="t" fillcolor="#a0a0a0" stroked="f"/>
        </w:pict>
      </w:r>
    </w:p>
    <w:p w14:paraId="042D4BF0" w14:textId="77777777" w:rsidR="00277B46" w:rsidRDefault="00277B46" w:rsidP="00277B46">
      <w:pPr>
        <w:pStyle w:val="whitespace-normal"/>
      </w:pPr>
      <w:r>
        <w:rPr>
          <w:rStyle w:val="Fett"/>
          <w:rFonts w:eastAsiaTheme="majorEastAsia"/>
        </w:rPr>
        <w:t>Kommentar:</w:t>
      </w:r>
      <w:r>
        <w:t xml:space="preserve"> </w:t>
      </w:r>
      <w:r>
        <w:rPr>
          <w:rStyle w:val="Fett"/>
          <w:rFonts w:eastAsiaTheme="majorEastAsia"/>
          <w:rtl/>
        </w:rPr>
        <w:t>עַל־דְּבַר אֲשֶׁר לֹא־קִדְּמוּ אֶתְכֶם בַּלֶּחֶם וּבַמַּיִם בַּדֶּרֶךְ בְּצֵאתְכֶם מִמִּצְרָיִם</w:t>
      </w:r>
      <w:r>
        <w:rPr>
          <w:rtl/>
        </w:rPr>
        <w:t xml:space="preserve"> </w:t>
      </w:r>
      <w:r>
        <w:t xml:space="preserve">ist die erste Begründung: </w:t>
      </w:r>
      <w:r>
        <w:rPr>
          <w:rStyle w:val="Fett"/>
          <w:rFonts w:eastAsiaTheme="majorEastAsia"/>
          <w:rtl/>
        </w:rPr>
        <w:t>עַל־דְּבַר אֲשֶׁר</w:t>
      </w:r>
      <w:r>
        <w:rPr>
          <w:rtl/>
        </w:rPr>
        <w:t xml:space="preserve"> </w:t>
      </w:r>
      <w:r>
        <w:t xml:space="preserve">(Präposition </w:t>
      </w:r>
      <w:r>
        <w:rPr>
          <w:rStyle w:val="Fett"/>
          <w:rFonts w:eastAsiaTheme="majorEastAsia"/>
          <w:rtl/>
        </w:rPr>
        <w:t>עַל</w:t>
      </w:r>
      <w:r>
        <w:rPr>
          <w:rtl/>
        </w:rPr>
        <w:t xml:space="preserve"> </w:t>
      </w:r>
      <w:r>
        <w:t xml:space="preserve">mit </w:t>
      </w:r>
      <w:r>
        <w:rPr>
          <w:rStyle w:val="Fett"/>
          <w:rFonts w:eastAsiaTheme="majorEastAsia"/>
          <w:rtl/>
        </w:rPr>
        <w:t>דָּבָר</w:t>
      </w:r>
      <w:r>
        <w:t xml:space="preserve">, „Sache, Grund", Relativsatz: </w:t>
      </w:r>
      <w:r>
        <w:rPr>
          <w:rStyle w:val="Fett"/>
          <w:rFonts w:eastAsiaTheme="majorEastAsia"/>
          <w:rtl/>
        </w:rPr>
        <w:t>אֲשֶׁר</w:t>
      </w:r>
      <w:r>
        <w:rPr>
          <w:rtl/>
        </w:rPr>
        <w:t xml:space="preserve"> </w:t>
      </w:r>
      <w:r>
        <w:t xml:space="preserve">– „wegen der Sache, dass"), </w:t>
      </w:r>
      <w:r>
        <w:rPr>
          <w:rStyle w:val="Fett"/>
          <w:rFonts w:eastAsiaTheme="majorEastAsia"/>
          <w:rtl/>
        </w:rPr>
        <w:t>לֹא־קִדְּמוּ אֶתְכֶם בַּלֶּחֶם וּבַמַּיִם</w:t>
      </w:r>
      <w:r>
        <w:rPr>
          <w:rtl/>
        </w:rPr>
        <w:t xml:space="preserve"> </w:t>
      </w:r>
      <w:r>
        <w:t xml:space="preserve">(Negation mit </w:t>
      </w:r>
      <w:r>
        <w:rPr>
          <w:rStyle w:val="Fett"/>
          <w:rFonts w:eastAsiaTheme="majorEastAsia"/>
          <w:rtl/>
        </w:rPr>
        <w:t>קדם</w:t>
      </w:r>
      <w:r>
        <w:t xml:space="preserve">, Piel Perfekt, 3. Person Plural, „entgegenkommen, begegnen", Objektpartikel </w:t>
      </w:r>
      <w:r>
        <w:rPr>
          <w:rStyle w:val="Fett"/>
          <w:rFonts w:eastAsiaTheme="majorEastAsia"/>
          <w:rtl/>
        </w:rPr>
        <w:t>אֵת</w:t>
      </w:r>
      <w:r>
        <w:rPr>
          <w:rtl/>
        </w:rPr>
        <w:t xml:space="preserve"> </w:t>
      </w:r>
      <w:r>
        <w:t xml:space="preserve">mit Suffix 2. Person Maskulinum Plural, </w:t>
      </w:r>
      <w:r>
        <w:rPr>
          <w:rStyle w:val="Fett"/>
          <w:rFonts w:eastAsiaTheme="majorEastAsia"/>
          <w:rtl/>
        </w:rPr>
        <w:t>בַּלֶּחֶם וּבַמַּיִם</w:t>
      </w:r>
      <w:r>
        <w:t xml:space="preserve">, Präposition </w:t>
      </w:r>
      <w:r>
        <w:rPr>
          <w:rStyle w:val="Fett"/>
          <w:rFonts w:eastAsiaTheme="majorEastAsia"/>
          <w:rtl/>
        </w:rPr>
        <w:t>בְּ</w:t>
      </w:r>
      <w:r>
        <w:rPr>
          <w:rtl/>
        </w:rPr>
        <w:t xml:space="preserve"> </w:t>
      </w:r>
      <w:r>
        <w:t xml:space="preserve">mit </w:t>
      </w:r>
      <w:r>
        <w:rPr>
          <w:rStyle w:val="Fett"/>
          <w:rFonts w:eastAsiaTheme="majorEastAsia"/>
          <w:rtl/>
        </w:rPr>
        <w:t>לֶחֶם</w:t>
      </w:r>
      <w:r>
        <w:t xml:space="preserve">, „Brot", koordiniert durch </w:t>
      </w:r>
      <w:r>
        <w:rPr>
          <w:rStyle w:val="Fett"/>
          <w:rFonts w:eastAsiaTheme="majorEastAsia"/>
          <w:rtl/>
        </w:rPr>
        <w:t>וּ</w:t>
      </w:r>
      <w:r>
        <w:rPr>
          <w:rtl/>
        </w:rPr>
        <w:t xml:space="preserve"> </w:t>
      </w:r>
      <w:r>
        <w:t xml:space="preserve">mit Präposition </w:t>
      </w:r>
      <w:r>
        <w:rPr>
          <w:rStyle w:val="Fett"/>
          <w:rFonts w:eastAsiaTheme="majorEastAsia"/>
          <w:rtl/>
        </w:rPr>
        <w:t>בְּ</w:t>
      </w:r>
      <w:r>
        <w:rPr>
          <w:rtl/>
        </w:rPr>
        <w:t xml:space="preserve"> </w:t>
      </w:r>
      <w:r>
        <w:t xml:space="preserve">und </w:t>
      </w:r>
      <w:r>
        <w:rPr>
          <w:rStyle w:val="Fett"/>
          <w:rFonts w:eastAsiaTheme="majorEastAsia"/>
          <w:rtl/>
        </w:rPr>
        <w:t>מַיִם</w:t>
      </w:r>
      <w:r>
        <w:t xml:space="preserve">, „Wasser"), </w:t>
      </w:r>
      <w:r>
        <w:rPr>
          <w:rStyle w:val="Fett"/>
          <w:rFonts w:eastAsiaTheme="majorEastAsia"/>
          <w:rtl/>
        </w:rPr>
        <w:t>בַּדֶּרֶךְ בְּצֵאתְכֶם מִמִּצְרָיִם</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דֶּרֶךְ</w:t>
      </w:r>
      <w:r>
        <w:t xml:space="preserve">, „Weg", Präposition </w:t>
      </w:r>
      <w:r>
        <w:rPr>
          <w:rStyle w:val="Fett"/>
          <w:rFonts w:eastAsiaTheme="majorEastAsia"/>
          <w:rtl/>
        </w:rPr>
        <w:t>בְּ</w:t>
      </w:r>
      <w:r>
        <w:rPr>
          <w:rtl/>
        </w:rPr>
        <w:t xml:space="preserve"> </w:t>
      </w:r>
      <w:r>
        <w:t xml:space="preserve">mit Qal Infinitiv Construct von </w:t>
      </w:r>
      <w:r>
        <w:rPr>
          <w:rStyle w:val="Fett"/>
          <w:rFonts w:eastAsiaTheme="majorEastAsia"/>
          <w:rtl/>
        </w:rPr>
        <w:t>יצא</w:t>
      </w:r>
      <w:r>
        <w:t xml:space="preserve">, „ausgehen", mit Suffix 2. Person Maskulinum Plural, Präposition </w:t>
      </w:r>
      <w:r>
        <w:rPr>
          <w:rStyle w:val="Fett"/>
          <w:rFonts w:eastAsiaTheme="majorEastAsia"/>
          <w:rtl/>
        </w:rPr>
        <w:t>מִן</w:t>
      </w:r>
      <w:r>
        <w:rPr>
          <w:rtl/>
        </w:rPr>
        <w:t xml:space="preserve"> </w:t>
      </w:r>
      <w:r>
        <w:t xml:space="preserve">mit </w:t>
      </w:r>
      <w:r>
        <w:rPr>
          <w:rStyle w:val="Fett"/>
          <w:rFonts w:eastAsiaTheme="majorEastAsia"/>
          <w:rtl/>
        </w:rPr>
        <w:t>מִצְרַיִם</w:t>
      </w:r>
      <w:r>
        <w:t>).</w:t>
      </w:r>
    </w:p>
    <w:p w14:paraId="58C6E35E" w14:textId="77777777" w:rsidR="00277B46" w:rsidRDefault="00277B46" w:rsidP="00277B46">
      <w:pPr>
        <w:pStyle w:val="whitespace-normal"/>
      </w:pPr>
      <w:r>
        <w:rPr>
          <w:rStyle w:val="Fett"/>
          <w:rFonts w:eastAsiaTheme="majorEastAsia"/>
          <w:rtl/>
        </w:rPr>
        <w:t>וַאֲשֶׁר שָׂכַר עָלֶיךָ אֶת־בִּלְעָם בֶּן־בְּעוֹר מִפְּתוֹר אֲרַם נַהֲרַיִם לְקַלְלֶךָּ</w:t>
      </w:r>
      <w:r>
        <w:rPr>
          <w:rtl/>
        </w:rPr>
        <w:t xml:space="preserve"> </w:t>
      </w:r>
      <w:r>
        <w:t xml:space="preserve">ist die zweite Begründung: </w:t>
      </w:r>
      <w:r>
        <w:rPr>
          <w:rStyle w:val="Fett"/>
          <w:rFonts w:eastAsiaTheme="majorEastAsia"/>
          <w:rtl/>
        </w:rPr>
        <w:t>וַאֲשֶׁר שָׂכַר עָלֶיךָ אֶת־בִּלְעָם בֶּן־בְּעוֹר</w:t>
      </w:r>
      <w:r>
        <w:rPr>
          <w:rtl/>
        </w:rPr>
        <w:t xml:space="preserve"> </w:t>
      </w:r>
      <w:r>
        <w:t xml:space="preserve">(koordiniert durch </w:t>
      </w:r>
      <w:r>
        <w:rPr>
          <w:rStyle w:val="Fett"/>
          <w:rFonts w:eastAsiaTheme="majorEastAsia"/>
          <w:rtl/>
        </w:rPr>
        <w:t>וַ</w:t>
      </w:r>
      <w:r>
        <w:rPr>
          <w:rtl/>
        </w:rPr>
        <w:t xml:space="preserve"> </w:t>
      </w:r>
      <w:r>
        <w:t xml:space="preserve">mit Relativsatz: </w:t>
      </w:r>
      <w:r>
        <w:rPr>
          <w:rStyle w:val="Fett"/>
          <w:rFonts w:eastAsiaTheme="majorEastAsia"/>
          <w:rtl/>
        </w:rPr>
        <w:t>אֲשֶׁר</w:t>
      </w:r>
      <w:r>
        <w:rPr>
          <w:rtl/>
        </w:rPr>
        <w:t xml:space="preserve"> </w:t>
      </w:r>
      <w:r>
        <w:t xml:space="preserve">mit </w:t>
      </w:r>
      <w:r>
        <w:rPr>
          <w:rStyle w:val="Fett"/>
          <w:rFonts w:eastAsiaTheme="majorEastAsia"/>
          <w:rtl/>
        </w:rPr>
        <w:t>שׂכר</w:t>
      </w:r>
      <w:r>
        <w:t xml:space="preserve">, Qal Perfekt, 3. Person Maskulinum Singular, „anwerben, dingen, mieten", </w:t>
      </w:r>
      <w:r>
        <w:rPr>
          <w:rStyle w:val="Fett"/>
          <w:rFonts w:eastAsiaTheme="majorEastAsia"/>
          <w:rtl/>
        </w:rPr>
        <w:t>עָלֶיךָ</w:t>
      </w:r>
      <w:r>
        <w:t xml:space="preserve">, Präposition </w:t>
      </w:r>
      <w:r>
        <w:rPr>
          <w:rStyle w:val="Fett"/>
          <w:rFonts w:eastAsiaTheme="majorEastAsia"/>
          <w:rtl/>
        </w:rPr>
        <w:t>עַל</w:t>
      </w:r>
      <w:r>
        <w:rPr>
          <w:rtl/>
        </w:rPr>
        <w:t xml:space="preserve"> </w:t>
      </w:r>
      <w:r>
        <w:t xml:space="preserve">mit Suffix 2. Person Maskulinum Singular – „gegen dich", Objektpartikel </w:t>
      </w:r>
      <w:r>
        <w:rPr>
          <w:rStyle w:val="Fett"/>
          <w:rFonts w:eastAsiaTheme="majorEastAsia"/>
          <w:rtl/>
        </w:rPr>
        <w:t>אֵת</w:t>
      </w:r>
      <w:r>
        <w:rPr>
          <w:rtl/>
        </w:rPr>
        <w:t xml:space="preserve"> </w:t>
      </w:r>
      <w:r>
        <w:t xml:space="preserve">mit </w:t>
      </w:r>
      <w:r>
        <w:rPr>
          <w:rStyle w:val="Fett"/>
          <w:rFonts w:eastAsiaTheme="majorEastAsia"/>
          <w:rtl/>
        </w:rPr>
        <w:t>בִּלְעָם</w:t>
      </w:r>
      <w:r>
        <w:t xml:space="preserve">, Eigenname, </w:t>
      </w:r>
      <w:r>
        <w:rPr>
          <w:rStyle w:val="Fett"/>
          <w:rFonts w:eastAsiaTheme="majorEastAsia"/>
          <w:rtl/>
        </w:rPr>
        <w:t>בֶּן־בְּעוֹר</w:t>
      </w:r>
      <w:r>
        <w:t xml:space="preserve">, „Sohn Beors"), </w:t>
      </w:r>
      <w:r>
        <w:rPr>
          <w:rStyle w:val="Fett"/>
          <w:rFonts w:eastAsiaTheme="majorEastAsia"/>
          <w:rtl/>
        </w:rPr>
        <w:t>מִפְּתוֹר אֲרַם נַהֲרַיִם</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פְּתוֹר</w:t>
      </w:r>
      <w:r>
        <w:t xml:space="preserve">, Ortsname, </w:t>
      </w:r>
      <w:r>
        <w:rPr>
          <w:rStyle w:val="Fett"/>
          <w:rFonts w:eastAsiaTheme="majorEastAsia"/>
          <w:rtl/>
        </w:rPr>
        <w:t>אֲרַם נַהֲרַיִם</w:t>
      </w:r>
      <w:r>
        <w:t xml:space="preserve">, „Aram der zwei Flüsse" = Mesopotamien), </w:t>
      </w:r>
      <w:r>
        <w:rPr>
          <w:rStyle w:val="Fett"/>
          <w:rFonts w:eastAsiaTheme="majorEastAsia"/>
          <w:rtl/>
        </w:rPr>
        <w:t>לְקַלְלֶךָּ</w:t>
      </w:r>
      <w:r>
        <w:rPr>
          <w:rtl/>
        </w:rPr>
        <w:t xml:space="preserve"> </w:t>
      </w:r>
      <w:r>
        <w:t xml:space="preserve">(Präposition </w:t>
      </w:r>
      <w:r>
        <w:rPr>
          <w:rStyle w:val="Fett"/>
          <w:rFonts w:eastAsiaTheme="majorEastAsia"/>
          <w:rtl/>
        </w:rPr>
        <w:t>לְ</w:t>
      </w:r>
      <w:r>
        <w:rPr>
          <w:rtl/>
        </w:rPr>
        <w:t xml:space="preserve"> </w:t>
      </w:r>
      <w:r>
        <w:t xml:space="preserve">mit Piel Infinitiv Construct von </w:t>
      </w:r>
      <w:r>
        <w:rPr>
          <w:rStyle w:val="Fett"/>
          <w:rFonts w:eastAsiaTheme="majorEastAsia"/>
          <w:rtl/>
        </w:rPr>
        <w:t>קלל</w:t>
      </w:r>
      <w:r>
        <w:t>, „verfluchen", mit Suffix 2. Person Maskulinum Singular).</w:t>
      </w:r>
    </w:p>
    <w:p w14:paraId="610D7B4B" w14:textId="1762E1D8" w:rsidR="00277B46" w:rsidRDefault="00277B46" w:rsidP="00277B46">
      <w:pPr>
        <w:pStyle w:val="whitespace-normal"/>
      </w:pPr>
      <w:r>
        <w:t xml:space="preserve">Der Vers begründet das Verbot aus V. 4. Zwei historische Vergehen der Ammoniter und Moabiter: (1) </w:t>
      </w:r>
      <w:r>
        <w:rPr>
          <w:rStyle w:val="Fett"/>
          <w:rFonts w:eastAsiaTheme="majorEastAsia"/>
          <w:rtl/>
        </w:rPr>
        <w:t>עַל־דְּבַר אֲשֶׁר לֹא־קִדְּמוּ אֶתְכֶם בַּלֶּחֶם וּבַמַּיִם בַּדֶּרֶךְ בְּצֵאתְכֶם מִמִּצְרָיִם</w:t>
      </w:r>
      <w:r>
        <w:rPr>
          <w:rtl/>
        </w:rPr>
        <w:t xml:space="preserve"> </w:t>
      </w:r>
      <w:r>
        <w:t xml:space="preserve">(„wegen der Sache, dass sie euch nicht entgegenkamen mit Brot und mit Wasser auf dem Weg, als ihr aus Ägypten zogt"). Das Verb </w:t>
      </w:r>
      <w:r>
        <w:rPr>
          <w:rStyle w:val="Fett"/>
          <w:rFonts w:eastAsiaTheme="majorEastAsia"/>
          <w:rtl/>
        </w:rPr>
        <w:t>קדם</w:t>
      </w:r>
      <w:r>
        <w:rPr>
          <w:rtl/>
        </w:rPr>
        <w:t xml:space="preserve"> </w:t>
      </w:r>
      <w:r>
        <w:t xml:space="preserve">im Piel („entgegenkommen, willkommen heißen") bezeichnet gastfreundliche Begrüßung. Moab und Ammon verweigerten Israel grundlegende </w:t>
      </w:r>
      <w:r>
        <w:lastRenderedPageBreak/>
        <w:t xml:space="preserve">Gastfreundschaft – Brot und Wasser – während der Wüstenwanderung. Dies war ein schwerer Verstoß gegen die antike Gastfreundschaftsethik (vgl. Num 20,14-21 für Edoms ähnliche Weigerung). (2) </w:t>
      </w:r>
      <w:r>
        <w:rPr>
          <w:rStyle w:val="Fett"/>
          <w:rFonts w:eastAsiaTheme="majorEastAsia"/>
          <w:rtl/>
        </w:rPr>
        <w:t>וַאֲשֶׁר שָׂכַר עָלֶיךָ אֶת־בִּלְעָם בֶּן־בְּעוֹר מִפְּתוֹר אֲרַם נַהֲרַיִם לְקַלְלֶךָּ</w:t>
      </w:r>
      <w:r>
        <w:rPr>
          <w:rtl/>
        </w:rPr>
        <w:t xml:space="preserve"> </w:t>
      </w:r>
      <w:r>
        <w:t xml:space="preserve">(„und weil er anwarb gegen dich Bileam, den Sohn Beors, aus Petor in Aram-Naharajim, um dich zu verfluchen"). Das Verb </w:t>
      </w:r>
      <w:r>
        <w:rPr>
          <w:rStyle w:val="Fett"/>
          <w:rFonts w:eastAsiaTheme="majorEastAsia"/>
          <w:rtl/>
        </w:rPr>
        <w:t>שׂכר</w:t>
      </w:r>
      <w:r>
        <w:rPr>
          <w:rtl/>
        </w:rPr>
        <w:t xml:space="preserve"> </w:t>
      </w:r>
      <w:r>
        <w:t xml:space="preserve">(„anwerben, mieten") – Balak, König von Moab, versuchte, Israel durch magische Verfluchung zu schaden (Num 22-24). </w:t>
      </w:r>
      <w:r>
        <w:rPr>
          <w:rStyle w:val="Fett"/>
          <w:rFonts w:eastAsiaTheme="majorEastAsia"/>
          <w:rtl/>
        </w:rPr>
        <w:t>פְּתוֹר</w:t>
      </w:r>
      <w:r>
        <w:rPr>
          <w:rtl/>
        </w:rPr>
        <w:t xml:space="preserve"> </w:t>
      </w:r>
      <w:r>
        <w:t xml:space="preserve">liegt in </w:t>
      </w:r>
      <w:r>
        <w:rPr>
          <w:rStyle w:val="Fett"/>
          <w:rFonts w:eastAsiaTheme="majorEastAsia"/>
          <w:rtl/>
        </w:rPr>
        <w:t>אֲרַם נַהֲרַיִם</w:t>
      </w:r>
      <w:r>
        <w:rPr>
          <w:rtl/>
        </w:rPr>
        <w:t xml:space="preserve"> </w:t>
      </w:r>
      <w:r>
        <w:t xml:space="preserve">(„Aram der zwei Flüsse" = Obermesopotamien, Region zwischen Euphrat und Tigris). Die Konstruktion </w:t>
      </w:r>
      <w:r>
        <w:rPr>
          <w:rStyle w:val="Fett"/>
          <w:rFonts w:eastAsiaTheme="majorEastAsia"/>
          <w:rtl/>
        </w:rPr>
        <w:t>שָׂכַר עָלֶיךָ</w:t>
      </w:r>
      <w:r>
        <w:rPr>
          <w:rtl/>
        </w:rPr>
        <w:t xml:space="preserve"> </w:t>
      </w:r>
      <w:r>
        <w:t>(„anwerben gegen dich") betont die feindliche Absicht. V. 6 wird die göttliche Antwort beschreiben.</w:t>
      </w:r>
    </w:p>
    <w:p w14:paraId="3EBC367F" w14:textId="77777777" w:rsidR="0077321D" w:rsidRPr="0077321D" w:rsidRDefault="0077321D" w:rsidP="0077321D">
      <w:pPr>
        <w:spacing w:before="100" w:beforeAutospacing="1" w:after="100" w:afterAutospacing="1" w:line="240" w:lineRule="auto"/>
        <w:outlineLvl w:val="1"/>
        <w:rPr>
          <w:rFonts w:eastAsia="Times New Roman"/>
          <w:b/>
          <w:bCs/>
          <w:sz w:val="36"/>
          <w:szCs w:val="36"/>
          <w:lang w:eastAsia="de-DE"/>
        </w:rPr>
      </w:pPr>
      <w:r w:rsidRPr="0077321D">
        <w:rPr>
          <w:rFonts w:eastAsia="Times New Roman"/>
          <w:b/>
          <w:bCs/>
          <w:sz w:val="36"/>
          <w:szCs w:val="36"/>
          <w:lang w:eastAsia="de-DE"/>
        </w:rPr>
        <w:t>Vers 5 (MT 23,5) / Vers 4 (LXX 23,4)</w:t>
      </w:r>
    </w:p>
    <w:p w14:paraId="477EE32D" w14:textId="132ED5FE" w:rsidR="0077321D" w:rsidRPr="0077321D" w:rsidRDefault="0077321D" w:rsidP="0077321D">
      <w:pPr>
        <w:spacing w:before="100" w:beforeAutospacing="1" w:after="100" w:afterAutospacing="1" w:line="240" w:lineRule="auto"/>
        <w:rPr>
          <w:rFonts w:eastAsia="Times New Roman"/>
          <w:lang w:eastAsia="de-DE"/>
        </w:rPr>
      </w:pPr>
      <w:r w:rsidRPr="0077321D">
        <w:rPr>
          <w:rFonts w:eastAsia="Times New Roman"/>
          <w:b/>
          <w:bCs/>
          <w:lang w:eastAsia="de-DE"/>
        </w:rPr>
        <w:t>Die LXX</w:t>
      </w:r>
      <w:r w:rsidRPr="0077321D">
        <w:rPr>
          <w:rFonts w:eastAsia="Times New Roman"/>
          <w:lang w:eastAsia="de-DE"/>
        </w:rPr>
        <w:t xml:space="preserve"> übersetzt </w:t>
      </w:r>
      <w:r w:rsidRPr="0077321D">
        <w:rPr>
          <w:rFonts w:eastAsia="Times New Roman"/>
          <w:rtl/>
          <w:lang w:eastAsia="de-DE"/>
        </w:rPr>
        <w:t>מִפְּתוֹר אֲרַם נַהֲרַיִם</w:t>
      </w:r>
      <w:r w:rsidRPr="0077321D">
        <w:rPr>
          <w:rFonts w:eastAsia="Times New Roman"/>
          <w:lang w:eastAsia="de-DE"/>
        </w:rPr>
        <w:t xml:space="preserve"> (aus Pethor in Aram-Naharajim) mit </w:t>
      </w:r>
      <w:proofErr w:type="spellStart"/>
      <w:r w:rsidRPr="0077321D">
        <w:rPr>
          <w:rFonts w:eastAsia="Times New Roman"/>
          <w:lang w:eastAsia="de-DE"/>
        </w:rPr>
        <w:t>ἐκ</w:t>
      </w:r>
      <w:proofErr w:type="spellEnd"/>
      <w:r w:rsidRPr="0077321D">
        <w:rPr>
          <w:rFonts w:eastAsia="Times New Roman"/>
          <w:lang w:eastAsia="de-DE"/>
        </w:rPr>
        <w:t xml:space="preserve"> </w:t>
      </w:r>
      <w:proofErr w:type="spellStart"/>
      <w:r w:rsidRPr="0077321D">
        <w:rPr>
          <w:rFonts w:eastAsia="Times New Roman"/>
          <w:lang w:eastAsia="de-DE"/>
        </w:rPr>
        <w:t>τῆς</w:t>
      </w:r>
      <w:proofErr w:type="spellEnd"/>
      <w:r w:rsidRPr="0077321D">
        <w:rPr>
          <w:rFonts w:eastAsia="Times New Roman"/>
          <w:lang w:eastAsia="de-DE"/>
        </w:rPr>
        <w:t xml:space="preserve"> </w:t>
      </w:r>
      <w:proofErr w:type="spellStart"/>
      <w:r w:rsidRPr="0077321D">
        <w:rPr>
          <w:rFonts w:eastAsia="Times New Roman"/>
          <w:lang w:eastAsia="de-DE"/>
        </w:rPr>
        <w:t>Μεσο</w:t>
      </w:r>
      <w:proofErr w:type="spellEnd"/>
      <w:r w:rsidRPr="0077321D">
        <w:rPr>
          <w:rFonts w:eastAsia="Times New Roman"/>
          <w:lang w:eastAsia="de-DE"/>
        </w:rPr>
        <w:t>ποταμίας (aus Mesopotamien) – eine geographische Vereinfachung, die den griechischen Namen für die Region zwischen Euphrat und Tigris verwendet.</w:t>
      </w:r>
    </w:p>
    <w:p w14:paraId="5D3FC689" w14:textId="403E11B8" w:rsidR="00277B46" w:rsidRDefault="00277B46" w:rsidP="00277B46">
      <w:pPr>
        <w:pStyle w:val="whitespace-normal"/>
      </w:pPr>
      <w:r>
        <w:rPr>
          <w:rStyle w:val="Fett"/>
          <w:rFonts w:eastAsiaTheme="majorEastAsia"/>
        </w:rPr>
        <w:t>Die Satzstruktur:</w:t>
      </w:r>
      <w:r>
        <w:t xml:space="preserve"> Zwei begründende Relativsätze (wegen der Sache, dass nicht entgegenkamen sie euch mit Brot und mit Wasser auf dem Weg, als ihr ausging</w:t>
      </w:r>
      <w:r w:rsidR="008C1A51">
        <w:t xml:space="preserve">t </w:t>
      </w:r>
      <w:r>
        <w:t>aus Ägypten; und weil er anwarb gegen dich Bileam, den Sohn Beors, aus Petor in Aram-Naharajim, um dich zu verfluchen).</w:t>
      </w:r>
    </w:p>
    <w:p w14:paraId="7035CD7D" w14:textId="6E892250" w:rsidR="00277B46" w:rsidRDefault="00277B46" w:rsidP="0039595E">
      <w:pPr>
        <w:pStyle w:val="whitespace-normal"/>
      </w:pPr>
      <w:r>
        <w:rPr>
          <w:rStyle w:val="Fett"/>
          <w:rFonts w:eastAsiaTheme="majorEastAsia"/>
        </w:rPr>
        <w:t>Der Vers beschreibt:</w:t>
      </w:r>
      <w:r>
        <w:t xml:space="preserve"> Zwei historische Gründe für den Ausschluss: Verweigerung der Gastfreundschaft und Versuch der magischen Verfluchung durch Bileam.</w:t>
      </w:r>
    </w:p>
    <w:p w14:paraId="5B192B52" w14:textId="77777777" w:rsidR="00277B46" w:rsidRPr="00B27A64" w:rsidRDefault="00277B46" w:rsidP="00277B46">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23,6</w:t>
      </w:r>
    </w:p>
    <w:p w14:paraId="6F9FCCD1" w14:textId="77777777" w:rsidR="00277B46" w:rsidRDefault="00277B46" w:rsidP="00277B46">
      <w:pPr>
        <w:pStyle w:val="whitespace-normal"/>
      </w:pPr>
      <w:r>
        <w:rPr>
          <w:rStyle w:val="Fett"/>
          <w:rFonts w:eastAsiaTheme="majorEastAsia"/>
        </w:rPr>
        <w:t>Hebräisch:</w:t>
      </w:r>
      <w:r>
        <w:t xml:space="preserve"> </w:t>
      </w:r>
      <w:r>
        <w:rPr>
          <w:rtl/>
        </w:rPr>
        <w:t>וְלֹֽא־אָבָ֞ה יְהוָ֤ה אֱלֹהֶ֨יךָ֙ לִשְׁמֹ֣עַ אֶל־בִּלְעָ֔ם וַיַּהֲפֹךְ֩ יְהוָ֨ה אֱלֹהֶ֧יךָ לְּךָ֛ אֶת־הַקְּלָלָ֖ה לִבְרָכָ֑ה כִּ֥י אֲהֵֽבְךָ֖ יְהוָ֥ה אֱלֹהֶֽיךָ׃</w:t>
      </w:r>
    </w:p>
    <w:p w14:paraId="60815A92" w14:textId="77777777" w:rsidR="00277B46" w:rsidRDefault="00277B46" w:rsidP="00277B46">
      <w:pPr>
        <w:pStyle w:val="whitespace-normal"/>
      </w:pPr>
      <w:r>
        <w:rPr>
          <w:rStyle w:val="Fett"/>
          <w:rFonts w:eastAsiaTheme="majorEastAsia"/>
        </w:rPr>
        <w:t>Deutsch:</w:t>
      </w:r>
      <w:r>
        <w:t xml:space="preserve"> Aber JHWH, dein Gott, wollte nicht auf Bileam hören, und JHWH, dein Gott, verwandelte dir den Fluch in Segen; denn JHWH, dein Gott, liebt dich.</w:t>
      </w:r>
    </w:p>
    <w:p w14:paraId="5D7C7B90" w14:textId="77777777" w:rsidR="00277B46" w:rsidRDefault="004F5CEB" w:rsidP="00277B46">
      <w:r>
        <w:rPr>
          <w:noProof/>
        </w:rPr>
        <w:pict w14:anchorId="335770EC">
          <v:rect id="_x0000_i1630" style="width:0;height:1.5pt" o:hralign="center" o:hrstd="t" o:hr="t" fillcolor="#a0a0a0" stroked="f"/>
        </w:pict>
      </w:r>
    </w:p>
    <w:p w14:paraId="0B9D2C11" w14:textId="77777777" w:rsidR="00277B46" w:rsidRDefault="00277B46" w:rsidP="00277B46">
      <w:pPr>
        <w:pStyle w:val="whitespace-normal"/>
      </w:pPr>
      <w:r>
        <w:rPr>
          <w:rStyle w:val="Fett"/>
          <w:rFonts w:eastAsiaTheme="majorEastAsia"/>
        </w:rPr>
        <w:t>Kommentar:</w:t>
      </w:r>
      <w:r>
        <w:t xml:space="preserve"> </w:t>
      </w:r>
      <w:r>
        <w:rPr>
          <w:rStyle w:val="Fett"/>
          <w:rFonts w:eastAsiaTheme="majorEastAsia"/>
          <w:rtl/>
        </w:rPr>
        <w:t>וְלֹא־אָבָה יְהוָה אֱלֹהֶיךָ לִשְׁמֹעַ אֶל־בִּלְעָם וַיַּהֲפֹךְ יְהוָה אֱלֹהֶיךָ לְּךָ אֶת־הַקְּלָלָה לִבְרָכָה</w:t>
      </w:r>
      <w:r>
        <w:rPr>
          <w:rtl/>
        </w:rPr>
        <w:t xml:space="preserve"> </w:t>
      </w:r>
      <w:r>
        <w:t xml:space="preserve">sind zwei Aussagen: </w:t>
      </w:r>
      <w:r>
        <w:rPr>
          <w:rStyle w:val="Fett"/>
          <w:rFonts w:eastAsiaTheme="majorEastAsia"/>
          <w:rtl/>
        </w:rPr>
        <w:t>וְלֹא־אָבָה יְהוָה אֱלֹהֶיךָ לִשְׁמֹעַ אֶל־בִּלְעָם</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אבה</w:t>
      </w:r>
      <w:r>
        <w:t xml:space="preserve">, Qal Perfekt, 3. Person Maskulinum Singular, „wollen, gewillt sein", </w:t>
      </w:r>
      <w:r>
        <w:rPr>
          <w:rStyle w:val="Fett"/>
          <w:rFonts w:eastAsiaTheme="majorEastAsia"/>
          <w:rtl/>
        </w:rPr>
        <w:t>יְהוָה אֱלֹהֶיךָ</w:t>
      </w:r>
      <w:r>
        <w:rPr>
          <w:rtl/>
        </w:rPr>
        <w:t xml:space="preserve"> </w:t>
      </w:r>
      <w:r>
        <w:t xml:space="preserve">als Subjekt, </w:t>
      </w:r>
      <w:r>
        <w:rPr>
          <w:rStyle w:val="Fett"/>
          <w:rFonts w:eastAsiaTheme="majorEastAsia"/>
          <w:rtl/>
        </w:rPr>
        <w:t>לִשְׁמֹעַ</w:t>
      </w:r>
      <w:r>
        <w:t xml:space="preserve">, Präposition </w:t>
      </w:r>
      <w:r>
        <w:rPr>
          <w:rStyle w:val="Fett"/>
          <w:rFonts w:eastAsiaTheme="majorEastAsia"/>
          <w:rtl/>
        </w:rPr>
        <w:t>לְ</w:t>
      </w:r>
      <w:r>
        <w:rPr>
          <w:rtl/>
        </w:rPr>
        <w:t xml:space="preserve"> </w:t>
      </w:r>
      <w:r>
        <w:t xml:space="preserve">mit Qal Infinitiv Construct von </w:t>
      </w:r>
      <w:r>
        <w:rPr>
          <w:rStyle w:val="Fett"/>
          <w:rFonts w:eastAsiaTheme="majorEastAsia"/>
          <w:rtl/>
        </w:rPr>
        <w:t>שׁמע</w:t>
      </w:r>
      <w:r>
        <w:t xml:space="preserve">, „hören, auf jemanden hören", Präposition </w:t>
      </w:r>
      <w:r>
        <w:rPr>
          <w:rStyle w:val="Fett"/>
          <w:rFonts w:eastAsiaTheme="majorEastAsia"/>
          <w:rtl/>
        </w:rPr>
        <w:t>אֶל</w:t>
      </w:r>
      <w:r>
        <w:rPr>
          <w:rtl/>
        </w:rPr>
        <w:t xml:space="preserve"> </w:t>
      </w:r>
      <w:r>
        <w:t xml:space="preserve">mit </w:t>
      </w:r>
      <w:r>
        <w:rPr>
          <w:rStyle w:val="Fett"/>
          <w:rFonts w:eastAsiaTheme="majorEastAsia"/>
          <w:rtl/>
        </w:rPr>
        <w:t>בִּלְעָם</w:t>
      </w:r>
      <w:r>
        <w:t xml:space="preserve">), </w:t>
      </w:r>
      <w:r>
        <w:rPr>
          <w:rStyle w:val="Fett"/>
          <w:rFonts w:eastAsiaTheme="majorEastAsia"/>
          <w:rtl/>
        </w:rPr>
        <w:t>וַיַּהֲפֹךְ יְהוָה אֱלֹהֶיךָ לְּךָ אֶת־הַקְּלָלָה לִבְרָכָה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הפך</w:t>
      </w:r>
      <w:r>
        <w:t xml:space="preserve">, Qal Imperfekt, 3. Person Maskulinum Singular, „wenden, verwandeln", </w:t>
      </w:r>
      <w:r>
        <w:rPr>
          <w:rStyle w:val="Fett"/>
          <w:rFonts w:eastAsiaTheme="majorEastAsia"/>
          <w:rtl/>
        </w:rPr>
        <w:t>יְהוָה אֱלֹהֶיךָ</w:t>
      </w:r>
      <w:r>
        <w:rPr>
          <w:rtl/>
        </w:rPr>
        <w:t xml:space="preserve"> </w:t>
      </w:r>
      <w:r>
        <w:t xml:space="preserve">als Subjekt, </w:t>
      </w:r>
      <w:r>
        <w:rPr>
          <w:rStyle w:val="Fett"/>
          <w:rFonts w:eastAsiaTheme="majorEastAsia"/>
          <w:rtl/>
        </w:rPr>
        <w:t>לְּךָ</w:t>
      </w:r>
      <w:r>
        <w:t xml:space="preserve">, Dativ, Objektpartikel </w:t>
      </w:r>
      <w:r>
        <w:rPr>
          <w:rStyle w:val="Fett"/>
          <w:rFonts w:eastAsiaTheme="majorEastAsia"/>
          <w:rtl/>
        </w:rPr>
        <w:t>אֵת</w:t>
      </w:r>
      <w:r>
        <w:rPr>
          <w:rtl/>
        </w:rPr>
        <w:t xml:space="preserve"> </w:t>
      </w:r>
      <w:r>
        <w:t xml:space="preserve">mit </w:t>
      </w:r>
      <w:r>
        <w:rPr>
          <w:rStyle w:val="Fett"/>
          <w:rFonts w:eastAsiaTheme="majorEastAsia"/>
          <w:rtl/>
        </w:rPr>
        <w:t>קְלָלָה</w:t>
      </w:r>
      <w:r>
        <w:t xml:space="preserve">, „Fluch", mit Artikel, </w:t>
      </w:r>
      <w:r>
        <w:rPr>
          <w:rStyle w:val="Fett"/>
          <w:rFonts w:eastAsiaTheme="majorEastAsia"/>
          <w:rtl/>
        </w:rPr>
        <w:t>לִבְרָכָה</w:t>
      </w:r>
      <w:r>
        <w:t xml:space="preserve">, Präposition </w:t>
      </w:r>
      <w:r>
        <w:rPr>
          <w:rStyle w:val="Fett"/>
          <w:rFonts w:eastAsiaTheme="majorEastAsia"/>
          <w:rtl/>
        </w:rPr>
        <w:t>לְ</w:t>
      </w:r>
      <w:r>
        <w:rPr>
          <w:rtl/>
        </w:rPr>
        <w:t xml:space="preserve"> </w:t>
      </w:r>
      <w:r>
        <w:t xml:space="preserve">mit </w:t>
      </w:r>
      <w:r>
        <w:rPr>
          <w:rStyle w:val="Fett"/>
          <w:rFonts w:eastAsiaTheme="majorEastAsia"/>
          <w:rtl/>
        </w:rPr>
        <w:t>בְּרָכָה</w:t>
      </w:r>
      <w:r>
        <w:t xml:space="preserve">, „Segen", mit </w:t>
      </w:r>
      <w:r>
        <w:rPr>
          <w:rStyle w:val="Fett"/>
          <w:rFonts w:eastAsiaTheme="majorEastAsia"/>
        </w:rPr>
        <w:t>Waw</w:t>
      </w:r>
      <w:r>
        <w:t xml:space="preserve"> consecutives Imperfekt).</w:t>
      </w:r>
    </w:p>
    <w:p w14:paraId="27B0391B" w14:textId="77777777" w:rsidR="00277B46" w:rsidRDefault="00277B46" w:rsidP="00277B46">
      <w:pPr>
        <w:pStyle w:val="whitespace-normal"/>
      </w:pPr>
      <w:r>
        <w:rPr>
          <w:rStyle w:val="Fett"/>
          <w:rFonts w:eastAsiaTheme="majorEastAsia"/>
          <w:rtl/>
        </w:rPr>
        <w:t>כִּי אֲהֵבְךָ יְהוָה אֱלֹהֶיךָ</w:t>
      </w:r>
      <w:r>
        <w:rPr>
          <w:rtl/>
        </w:rPr>
        <w:t xml:space="preserve"> </w:t>
      </w:r>
      <w:r>
        <w:t xml:space="preserve">ist die Begründung: Kausalsatz mit </w:t>
      </w:r>
      <w:r>
        <w:rPr>
          <w:rStyle w:val="Fett"/>
          <w:rFonts w:eastAsiaTheme="majorEastAsia"/>
          <w:rtl/>
        </w:rPr>
        <w:t>כִּי</w:t>
      </w:r>
      <w:r>
        <w:t xml:space="preserve">, </w:t>
      </w:r>
      <w:r>
        <w:rPr>
          <w:rStyle w:val="Fett"/>
          <w:rFonts w:eastAsiaTheme="majorEastAsia"/>
          <w:rtl/>
        </w:rPr>
        <w:t>אהב</w:t>
      </w:r>
      <w:r>
        <w:t xml:space="preserve">, Qal Perfekt, 3. Person Maskulinum Singular, „lieben", mit Suffix 2. Person Maskulinum Singular, </w:t>
      </w:r>
      <w:r>
        <w:rPr>
          <w:rStyle w:val="Fett"/>
          <w:rFonts w:eastAsiaTheme="majorEastAsia"/>
          <w:rtl/>
        </w:rPr>
        <w:t>יְהוָה אֱלֹהֶיךָ</w:t>
      </w:r>
      <w:r>
        <w:rPr>
          <w:rtl/>
        </w:rPr>
        <w:t xml:space="preserve"> </w:t>
      </w:r>
      <w:r>
        <w:t>als Subjekt.</w:t>
      </w:r>
    </w:p>
    <w:p w14:paraId="2E8B8BBD" w14:textId="77777777" w:rsidR="00277B46" w:rsidRDefault="00277B46" w:rsidP="00277B46">
      <w:pPr>
        <w:pStyle w:val="whitespace-normal"/>
      </w:pPr>
      <w:r>
        <w:lastRenderedPageBreak/>
        <w:t xml:space="preserve">Der Vers beschreibt die göttliche Intervention in der Bileam-Episode. Zwei Handlungen JHWHs: (1) </w:t>
      </w:r>
      <w:r>
        <w:rPr>
          <w:rStyle w:val="Fett"/>
          <w:rFonts w:eastAsiaTheme="majorEastAsia"/>
          <w:rtl/>
        </w:rPr>
        <w:t>וְלֹא־אָבָה יְהוָה אֱלֹהֶיךָ לִשְׁמֹעַ אֶל־בִּלְעָם</w:t>
      </w:r>
      <w:r>
        <w:rPr>
          <w:rtl/>
        </w:rPr>
        <w:t xml:space="preserve"> </w:t>
      </w:r>
      <w:r>
        <w:t xml:space="preserve">(„und nicht wollte JHWH, dein Gott, hören auf Bileam"). Das Verb </w:t>
      </w:r>
      <w:r>
        <w:rPr>
          <w:rStyle w:val="Fett"/>
          <w:rFonts w:eastAsiaTheme="majorEastAsia"/>
          <w:rtl/>
        </w:rPr>
        <w:t>אבה</w:t>
      </w:r>
      <w:r>
        <w:rPr>
          <w:rtl/>
        </w:rPr>
        <w:t xml:space="preserve"> </w:t>
      </w:r>
      <w:r>
        <w:t xml:space="preserve">(„wollen, gewillt sein") mit Negation betont: JHWH weigerte sich kategorisch. Die Konstruktion </w:t>
      </w:r>
      <w:r>
        <w:rPr>
          <w:rStyle w:val="Fett"/>
          <w:rFonts w:eastAsiaTheme="majorEastAsia"/>
          <w:rtl/>
        </w:rPr>
        <w:t>שׁמע אֶל</w:t>
      </w:r>
      <w:r>
        <w:rPr>
          <w:rtl/>
        </w:rPr>
        <w:t xml:space="preserve"> </w:t>
      </w:r>
      <w:r>
        <w:t xml:space="preserve">(„hören auf jemanden") bedeutet: auf jemanden hören, seinen Worten folgen, sie wirksam werden lassen. Obwohl Bileam versuchte, Israel zu verfluchen, ließ JHWH es nicht zu (vgl. Num 22-24). (2) </w:t>
      </w:r>
      <w:r>
        <w:rPr>
          <w:rStyle w:val="Fett"/>
          <w:rFonts w:eastAsiaTheme="majorEastAsia"/>
          <w:rtl/>
        </w:rPr>
        <w:t>וַיַּהֲפֹךְ יְהוָה אֱלֹהֶיךָ לְּךָ אֶת־הַקְּלָלָה לִבְרָכָה</w:t>
      </w:r>
      <w:r>
        <w:rPr>
          <w:rtl/>
        </w:rPr>
        <w:t xml:space="preserve"> </w:t>
      </w:r>
      <w:r>
        <w:t xml:space="preserve">(„und verwandelte JHWH, dein Gott, dir den Fluch in Segen"). Das Verb </w:t>
      </w:r>
      <w:r>
        <w:rPr>
          <w:rStyle w:val="Fett"/>
          <w:rFonts w:eastAsiaTheme="majorEastAsia"/>
          <w:rtl/>
        </w:rPr>
        <w:t>הפך</w:t>
      </w:r>
      <w:r>
        <w:rPr>
          <w:rtl/>
        </w:rPr>
        <w:t xml:space="preserve"> </w:t>
      </w:r>
      <w:r>
        <w:t xml:space="preserve">(„wenden, verwandeln, umkehren") – statt Flüchen sprach Bileam Segnungen über Israel (Num 23,7-10.18-24; 24,3-9.15-19). Die Präposition </w:t>
      </w:r>
      <w:r>
        <w:rPr>
          <w:rStyle w:val="Fett"/>
          <w:rFonts w:eastAsiaTheme="majorEastAsia"/>
          <w:rtl/>
        </w:rPr>
        <w:t>לְ</w:t>
      </w:r>
      <w:r>
        <w:rPr>
          <w:rtl/>
        </w:rPr>
        <w:t xml:space="preserve"> </w:t>
      </w:r>
      <w:r>
        <w:t xml:space="preserve">vor </w:t>
      </w:r>
      <w:r>
        <w:rPr>
          <w:rStyle w:val="Fett"/>
          <w:rFonts w:eastAsiaTheme="majorEastAsia"/>
          <w:rtl/>
        </w:rPr>
        <w:t>בְּרָכָה</w:t>
      </w:r>
      <w:r>
        <w:rPr>
          <w:rtl/>
        </w:rPr>
        <w:t xml:space="preserve"> </w:t>
      </w:r>
      <w:r>
        <w:t xml:space="preserve">drückt die Transformation aus: „in einen Segen". Die Begründung: </w:t>
      </w:r>
      <w:r>
        <w:rPr>
          <w:rStyle w:val="Fett"/>
          <w:rFonts w:eastAsiaTheme="majorEastAsia"/>
          <w:rtl/>
        </w:rPr>
        <w:t>כִּי אֲהֵבְךָ יְהוָה אֱלֹהֶיךָ</w:t>
      </w:r>
      <w:r>
        <w:rPr>
          <w:rtl/>
        </w:rPr>
        <w:t xml:space="preserve"> </w:t>
      </w:r>
      <w:r>
        <w:t xml:space="preserve">(„denn JHWH, dein Gott, liebt dich"). Das Verb </w:t>
      </w:r>
      <w:r>
        <w:rPr>
          <w:rStyle w:val="Fett"/>
          <w:rFonts w:eastAsiaTheme="majorEastAsia"/>
          <w:rtl/>
        </w:rPr>
        <w:t>אהב</w:t>
      </w:r>
      <w:r>
        <w:rPr>
          <w:rtl/>
        </w:rPr>
        <w:t xml:space="preserve"> </w:t>
      </w:r>
      <w:r>
        <w:t>(„lieben") beschreibt JHWHs Erwählungsliebe zu Israel (vgl. 4,37; 7,7-8; 10,15). Die göttliche Liebe ist der Grund für den Schutz und die Verwandlung des Fluches in Segen.</w:t>
      </w:r>
    </w:p>
    <w:p w14:paraId="3A7C9DB7" w14:textId="77777777" w:rsidR="00277B46" w:rsidRDefault="00277B46" w:rsidP="00277B46">
      <w:pPr>
        <w:pStyle w:val="whitespace-normal"/>
      </w:pPr>
      <w:r>
        <w:rPr>
          <w:rStyle w:val="Fett"/>
          <w:rFonts w:eastAsiaTheme="majorEastAsia"/>
        </w:rPr>
        <w:t>Die Satzstruktur:</w:t>
      </w:r>
      <w:r>
        <w:t xml:space="preserve"> Zwei Aussagen mit Begründung (und nicht wollte JHWH, dein Gott, hören auf Bileam, und verwandelte JHWH, dein Gott, dir den Fluch in Segen; denn JHWH, dein Gott, liebt dich).</w:t>
      </w:r>
    </w:p>
    <w:p w14:paraId="7E38987D" w14:textId="0A3D2E65" w:rsidR="00277B46" w:rsidRDefault="00277B46" w:rsidP="0039595E">
      <w:pPr>
        <w:pStyle w:val="whitespace-normal"/>
      </w:pPr>
      <w:r>
        <w:rPr>
          <w:rStyle w:val="Fett"/>
          <w:rFonts w:eastAsiaTheme="majorEastAsia"/>
        </w:rPr>
        <w:t>Der Vers beschreibt:</w:t>
      </w:r>
      <w:r>
        <w:t xml:space="preserve"> JHWH verhinderte Bileams Fluch und verwandelte ihn in Segen – aus Liebe zu Israel.</w:t>
      </w:r>
    </w:p>
    <w:p w14:paraId="5C3EEFCA" w14:textId="77777777" w:rsidR="00277B46" w:rsidRPr="00B27A64" w:rsidRDefault="00277B46" w:rsidP="00277B46">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23,7</w:t>
      </w:r>
    </w:p>
    <w:p w14:paraId="7582064D" w14:textId="77777777" w:rsidR="00277B46" w:rsidRDefault="00277B46" w:rsidP="00277B46">
      <w:pPr>
        <w:pStyle w:val="whitespace-normal"/>
      </w:pPr>
      <w:r>
        <w:rPr>
          <w:rStyle w:val="Fett"/>
          <w:rFonts w:eastAsiaTheme="majorEastAsia"/>
        </w:rPr>
        <w:t>Hebräisch:</w:t>
      </w:r>
      <w:r>
        <w:t xml:space="preserve"> </w:t>
      </w:r>
      <w:r>
        <w:rPr>
          <w:rtl/>
        </w:rPr>
        <w:t>לֹא־תִדְרֹ֥שׁ שְׁלֹמָ֖ם וְטֹבָתָ֑ם כָּל־יָמֶ֖יךָ לְעוֹלָֽם׃</w:t>
      </w:r>
    </w:p>
    <w:p w14:paraId="1838A3B9" w14:textId="77777777" w:rsidR="00277B46" w:rsidRDefault="00277B46" w:rsidP="00277B46">
      <w:pPr>
        <w:pStyle w:val="whitespace-normal"/>
      </w:pPr>
      <w:r>
        <w:rPr>
          <w:rStyle w:val="Fett"/>
          <w:rFonts w:eastAsiaTheme="majorEastAsia"/>
        </w:rPr>
        <w:t>Deutsch:</w:t>
      </w:r>
      <w:r>
        <w:t xml:space="preserve"> Nicht sollst du suchen ihren Frieden und ihr Wohl alle deine Tage, ewiglich.</w:t>
      </w:r>
    </w:p>
    <w:p w14:paraId="4FEDAB7A" w14:textId="77777777" w:rsidR="00277B46" w:rsidRDefault="004F5CEB" w:rsidP="00277B46">
      <w:r>
        <w:rPr>
          <w:noProof/>
        </w:rPr>
        <w:pict w14:anchorId="0FEE722D">
          <v:rect id="_x0000_i1631" style="width:0;height:1.5pt" o:hralign="center" o:hrstd="t" o:hr="t" fillcolor="#a0a0a0" stroked="f"/>
        </w:pict>
      </w:r>
    </w:p>
    <w:p w14:paraId="6BD834CB" w14:textId="77777777" w:rsidR="00277B46" w:rsidRDefault="00277B46" w:rsidP="00277B46">
      <w:pPr>
        <w:pStyle w:val="whitespace-normal"/>
      </w:pPr>
      <w:r>
        <w:rPr>
          <w:rStyle w:val="Fett"/>
          <w:rFonts w:eastAsiaTheme="majorEastAsia"/>
        </w:rPr>
        <w:t>Kommentar:</w:t>
      </w:r>
      <w:r>
        <w:t xml:space="preserve"> </w:t>
      </w:r>
      <w:r>
        <w:rPr>
          <w:rStyle w:val="Fett"/>
          <w:rFonts w:eastAsiaTheme="majorEastAsia"/>
          <w:rtl/>
        </w:rPr>
        <w:t>לֹא־תִדְרֹשׁ שְׁלֹמָם וְטֹבָתָם כָּל־יָמֶיךָ לְעוֹלָם</w:t>
      </w:r>
      <w:r>
        <w:rPr>
          <w:rtl/>
        </w:rPr>
        <w:t xml:space="preserve"> </w:t>
      </w:r>
      <w:r>
        <w:t xml:space="preserve">ist ein Verbot: </w:t>
      </w:r>
      <w:r>
        <w:rPr>
          <w:rStyle w:val="Fett"/>
          <w:rFonts w:eastAsiaTheme="majorEastAsia"/>
          <w:rtl/>
        </w:rPr>
        <w:t>לֹא־תִדְרֹשׁ שְׁלֹמָם וְטֹבָתָם</w:t>
      </w:r>
      <w:r>
        <w:rPr>
          <w:rtl/>
        </w:rPr>
        <w:t xml:space="preserve"> </w:t>
      </w:r>
      <w:r>
        <w:t xml:space="preserve">(Negation mit </w:t>
      </w:r>
      <w:r>
        <w:rPr>
          <w:rStyle w:val="Fett"/>
          <w:rFonts w:eastAsiaTheme="majorEastAsia"/>
          <w:rtl/>
        </w:rPr>
        <w:t>דרשׁ</w:t>
      </w:r>
      <w:r>
        <w:t xml:space="preserve">, Qal Imperfekt, 2. Person Maskulinum Singular, „suchen, anstreben, sich kümmern um", </w:t>
      </w:r>
      <w:r>
        <w:rPr>
          <w:rStyle w:val="Fett"/>
          <w:rFonts w:eastAsiaTheme="majorEastAsia"/>
          <w:rtl/>
        </w:rPr>
        <w:t>שָׁלוֹם</w:t>
      </w:r>
      <w:r>
        <w:t xml:space="preserve">, „Frieden, Wohlergehen", mit Suffix 3. Person Maskulinum Plural, koordiniert durch </w:t>
      </w:r>
      <w:r>
        <w:rPr>
          <w:rStyle w:val="Fett"/>
          <w:rFonts w:eastAsiaTheme="majorEastAsia"/>
          <w:rtl/>
        </w:rPr>
        <w:t>וְ</w:t>
      </w:r>
      <w:r>
        <w:rPr>
          <w:rtl/>
        </w:rPr>
        <w:t xml:space="preserve"> </w:t>
      </w:r>
      <w:r>
        <w:t xml:space="preserve">mit </w:t>
      </w:r>
      <w:r>
        <w:rPr>
          <w:rStyle w:val="Fett"/>
          <w:rFonts w:eastAsiaTheme="majorEastAsia"/>
          <w:rtl/>
        </w:rPr>
        <w:t>טוֹבָה</w:t>
      </w:r>
      <w:r>
        <w:t xml:space="preserve">, „Gutes, Wohlfahrt", mit Suffix 3. Person Maskulinum Plural), </w:t>
      </w:r>
      <w:r>
        <w:rPr>
          <w:rStyle w:val="Fett"/>
          <w:rFonts w:eastAsiaTheme="majorEastAsia"/>
          <w:rtl/>
        </w:rPr>
        <w:t>כָּל־יָמֶיךָ לְעוֹלָם</w:t>
      </w:r>
      <w:r>
        <w:rPr>
          <w:rtl/>
        </w:rPr>
        <w:t xml:space="preserve"> </w:t>
      </w:r>
      <w:r>
        <w:t>(</w:t>
      </w:r>
      <w:r>
        <w:rPr>
          <w:rStyle w:val="Fett"/>
          <w:rFonts w:eastAsiaTheme="majorEastAsia"/>
          <w:rtl/>
        </w:rPr>
        <w:t>כָּל</w:t>
      </w:r>
      <w:r>
        <w:t xml:space="preserve">, „alle", </w:t>
      </w:r>
      <w:r>
        <w:rPr>
          <w:rStyle w:val="Fett"/>
          <w:rFonts w:eastAsiaTheme="majorEastAsia"/>
          <w:rtl/>
        </w:rPr>
        <w:t>יוֹם</w:t>
      </w:r>
      <w:r>
        <w:rPr>
          <w:rtl/>
        </w:rPr>
        <w:t xml:space="preserve"> </w:t>
      </w:r>
      <w:r>
        <w:t xml:space="preserve">Plural Construct mit Suffix 2. Person Maskulinum Singular, </w:t>
      </w:r>
      <w:r>
        <w:rPr>
          <w:rStyle w:val="Fett"/>
          <w:rFonts w:eastAsiaTheme="majorEastAsia"/>
          <w:rtl/>
        </w:rPr>
        <w:t>לְעוֹלָם</w:t>
      </w:r>
      <w:r>
        <w:t>, „ewiglich, für immer").</w:t>
      </w:r>
    </w:p>
    <w:p w14:paraId="606E48E7" w14:textId="7C768294" w:rsidR="00277B46" w:rsidRDefault="00277B46" w:rsidP="00277B46">
      <w:pPr>
        <w:pStyle w:val="whitespace-normal"/>
      </w:pPr>
      <w:r>
        <w:t xml:space="preserve">Der Vers zieht die praktische Konsequenz aus V. 4-6: Das Verbot bezieht sich auf Ammoniter und Moabiter (Subjekt </w:t>
      </w:r>
      <w:r>
        <w:rPr>
          <w:rStyle w:val="Fett"/>
          <w:rFonts w:eastAsiaTheme="majorEastAsia"/>
          <w:rtl/>
        </w:rPr>
        <w:t>שְׁלֹמָם וְטֹבָתָם</w:t>
      </w:r>
      <w:r>
        <w:rPr>
          <w:rtl/>
        </w:rPr>
        <w:t xml:space="preserve"> </w:t>
      </w:r>
      <w:r>
        <w:t xml:space="preserve">mit Suffix 3. Person Maskulinum Plural). </w:t>
      </w:r>
      <w:r>
        <w:rPr>
          <w:rStyle w:val="Fett"/>
          <w:rFonts w:eastAsiaTheme="majorEastAsia"/>
          <w:rtl/>
        </w:rPr>
        <w:t>לֹא־תִדְרֹשׁ שְׁלֹמָם וְטֹבָתָם</w:t>
      </w:r>
      <w:r>
        <w:rPr>
          <w:rtl/>
        </w:rPr>
        <w:t xml:space="preserve"> </w:t>
      </w:r>
      <w:r>
        <w:t xml:space="preserve">(„nicht sollst du suchen ihren Frieden und ihr Wohl"). Das Verb </w:t>
      </w:r>
      <w:r>
        <w:rPr>
          <w:rStyle w:val="Fett"/>
          <w:rFonts w:eastAsiaTheme="majorEastAsia"/>
          <w:rtl/>
        </w:rPr>
        <w:t>דרשׁ</w:t>
      </w:r>
      <w:r>
        <w:rPr>
          <w:rtl/>
        </w:rPr>
        <w:t xml:space="preserve"> </w:t>
      </w:r>
      <w:r>
        <w:t xml:space="preserve">(„suchen, anstreben") bezeichnet aktives Bemühen. Die beiden Objekte </w:t>
      </w:r>
      <w:r>
        <w:rPr>
          <w:rStyle w:val="Fett"/>
          <w:rFonts w:eastAsiaTheme="majorEastAsia"/>
          <w:rtl/>
        </w:rPr>
        <w:t>שָׁלוֹם</w:t>
      </w:r>
      <w:r>
        <w:rPr>
          <w:rtl/>
        </w:rPr>
        <w:t xml:space="preserve"> </w:t>
      </w:r>
      <w:r>
        <w:t xml:space="preserve">(„Frieden, Wohlergehen") und </w:t>
      </w:r>
      <w:r>
        <w:rPr>
          <w:rStyle w:val="Fett"/>
          <w:rFonts w:eastAsiaTheme="majorEastAsia"/>
          <w:rtl/>
        </w:rPr>
        <w:t>טוֹבָה</w:t>
      </w:r>
      <w:r>
        <w:rPr>
          <w:rtl/>
        </w:rPr>
        <w:t xml:space="preserve"> </w:t>
      </w:r>
      <w:r>
        <w:t xml:space="preserve">(„Gutes, Wohlfahrt") sind nahezu synonym und verstärken sich gegenseitig. Die Formulierung bedeutet: Israel soll keine Friedensverträge mit diesen Völkern schließen, keine diplomatischen oder wirtschaftlichen Beziehungen anstreben, nicht zu ihrem Wohlergehen beitragen. Die zeitliche Erstreckung: </w:t>
      </w:r>
      <w:r>
        <w:rPr>
          <w:rStyle w:val="Fett"/>
          <w:rFonts w:eastAsiaTheme="majorEastAsia"/>
          <w:rtl/>
        </w:rPr>
        <w:t>כָּל־יָמֶיךָ לְעוֹלָם</w:t>
      </w:r>
      <w:r>
        <w:rPr>
          <w:rtl/>
        </w:rPr>
        <w:t xml:space="preserve"> </w:t>
      </w:r>
      <w:r>
        <w:t xml:space="preserve">(„alle deine Tage, ewiglich") – doppelte Betonung der ewigen Dauer, parallel zu </w:t>
      </w:r>
      <w:r>
        <w:rPr>
          <w:rStyle w:val="Fett"/>
          <w:rFonts w:eastAsiaTheme="majorEastAsia"/>
          <w:rtl/>
        </w:rPr>
        <w:t>עַד־עוֹלָם</w:t>
      </w:r>
      <w:r>
        <w:rPr>
          <w:rtl/>
        </w:rPr>
        <w:t xml:space="preserve"> </w:t>
      </w:r>
      <w:r>
        <w:t>in V. 4. Dies steht im Kontrast zum Gebot in 20,10-11, bei anderen Völkern Frieden anzubieten vor dem Krieg. Historischer Kontext: Konflikte mit Ammon und Moab durchziehen die Geschichte Israels (vgl. Ri 3,12-30; 10,6-</w:t>
      </w:r>
      <w:r>
        <w:lastRenderedPageBreak/>
        <w:t xml:space="preserve">11,33; </w:t>
      </w:r>
      <w:r w:rsidR="00664EB6">
        <w:t>1Sam</w:t>
      </w:r>
      <w:r>
        <w:t xml:space="preserve"> 11; </w:t>
      </w:r>
      <w:r w:rsidR="00664EB6">
        <w:t>2Sam</w:t>
      </w:r>
      <w:r>
        <w:t xml:space="preserve"> 10,1-19; </w:t>
      </w:r>
      <w:r w:rsidR="00664EB6">
        <w:t>2Kön</w:t>
      </w:r>
      <w:r>
        <w:t xml:space="preserve"> 24,2). Das Verbot unterstreicht die besondere Schwere ihrer historischen Vergehen gegen Israel.</w:t>
      </w:r>
    </w:p>
    <w:p w14:paraId="72B6D791" w14:textId="77777777" w:rsidR="0077321D" w:rsidRPr="0077321D" w:rsidRDefault="0077321D" w:rsidP="0077321D">
      <w:pPr>
        <w:spacing w:before="100" w:beforeAutospacing="1" w:after="100" w:afterAutospacing="1" w:line="240" w:lineRule="auto"/>
        <w:outlineLvl w:val="1"/>
        <w:rPr>
          <w:rFonts w:eastAsia="Times New Roman"/>
          <w:b/>
          <w:bCs/>
          <w:sz w:val="36"/>
          <w:szCs w:val="36"/>
          <w:lang w:eastAsia="de-DE"/>
        </w:rPr>
      </w:pPr>
      <w:r w:rsidRPr="0077321D">
        <w:rPr>
          <w:rFonts w:eastAsia="Times New Roman"/>
          <w:b/>
          <w:bCs/>
          <w:sz w:val="36"/>
          <w:szCs w:val="36"/>
          <w:lang w:eastAsia="de-DE"/>
        </w:rPr>
        <w:t>Vers 7 (MT 23,7) / Vers 6 (LXX 23,6)</w:t>
      </w:r>
    </w:p>
    <w:p w14:paraId="15A9535F" w14:textId="55F72380" w:rsidR="0077321D" w:rsidRPr="0077321D" w:rsidRDefault="0077321D" w:rsidP="0077321D">
      <w:pPr>
        <w:spacing w:before="100" w:beforeAutospacing="1" w:after="100" w:afterAutospacing="1" w:line="240" w:lineRule="auto"/>
        <w:rPr>
          <w:rFonts w:eastAsia="Times New Roman"/>
          <w:lang w:eastAsia="de-DE"/>
        </w:rPr>
      </w:pPr>
      <w:r w:rsidRPr="0077321D">
        <w:rPr>
          <w:rFonts w:eastAsia="Times New Roman"/>
          <w:b/>
          <w:bCs/>
          <w:lang w:eastAsia="de-DE"/>
        </w:rPr>
        <w:t>Die LXX</w:t>
      </w:r>
      <w:r w:rsidRPr="0077321D">
        <w:rPr>
          <w:rFonts w:eastAsia="Times New Roman"/>
          <w:lang w:eastAsia="de-DE"/>
        </w:rPr>
        <w:t xml:space="preserve"> übersetzt </w:t>
      </w:r>
      <w:r w:rsidRPr="0077321D">
        <w:rPr>
          <w:rFonts w:eastAsia="Times New Roman"/>
          <w:rtl/>
          <w:lang w:eastAsia="de-DE"/>
        </w:rPr>
        <w:t>לֹא־תִדְרֹשׁ שְׁלֹמָם וְטֹבָתָם</w:t>
      </w:r>
      <w:r w:rsidRPr="0077321D">
        <w:rPr>
          <w:rFonts w:eastAsia="Times New Roman"/>
          <w:lang w:eastAsia="de-DE"/>
        </w:rPr>
        <w:t xml:space="preserve"> (du sollst nicht ihr Wohl und ihr Gutes suchen) mit </w:t>
      </w:r>
      <w:proofErr w:type="spellStart"/>
      <w:r w:rsidRPr="0077321D">
        <w:rPr>
          <w:rFonts w:eastAsia="Times New Roman"/>
          <w:lang w:eastAsia="de-DE"/>
        </w:rPr>
        <w:t>οὐ</w:t>
      </w:r>
      <w:proofErr w:type="spellEnd"/>
      <w:r w:rsidRPr="0077321D">
        <w:rPr>
          <w:rFonts w:eastAsia="Times New Roman"/>
          <w:lang w:eastAsia="de-DE"/>
        </w:rPr>
        <w:t xml:space="preserve"> π</w:t>
      </w:r>
      <w:proofErr w:type="spellStart"/>
      <w:r w:rsidRPr="0077321D">
        <w:rPr>
          <w:rFonts w:eastAsia="Times New Roman"/>
          <w:lang w:eastAsia="de-DE"/>
        </w:rPr>
        <w:t>ροσ</w:t>
      </w:r>
      <w:proofErr w:type="spellEnd"/>
      <w:r w:rsidRPr="0077321D">
        <w:rPr>
          <w:rFonts w:eastAsia="Times New Roman"/>
          <w:lang w:eastAsia="de-DE"/>
        </w:rPr>
        <w:t xml:space="preserve">αγορεύσεις </w:t>
      </w:r>
      <w:proofErr w:type="spellStart"/>
      <w:r w:rsidRPr="0077321D">
        <w:rPr>
          <w:rFonts w:eastAsia="Times New Roman"/>
          <w:lang w:eastAsia="de-DE"/>
        </w:rPr>
        <w:t>εἰρηνικὰ</w:t>
      </w:r>
      <w:proofErr w:type="spellEnd"/>
      <w:r w:rsidRPr="0077321D">
        <w:rPr>
          <w:rFonts w:eastAsia="Times New Roman"/>
          <w:lang w:eastAsia="de-DE"/>
        </w:rPr>
        <w:t xml:space="preserve"> α</w:t>
      </w:r>
      <w:proofErr w:type="spellStart"/>
      <w:r w:rsidRPr="0077321D">
        <w:rPr>
          <w:rFonts w:eastAsia="Times New Roman"/>
          <w:lang w:eastAsia="de-DE"/>
        </w:rPr>
        <w:t>ὐτοῖς</w:t>
      </w:r>
      <w:proofErr w:type="spellEnd"/>
      <w:r w:rsidRPr="0077321D">
        <w:rPr>
          <w:rFonts w:eastAsia="Times New Roman"/>
          <w:lang w:eastAsia="de-DE"/>
        </w:rPr>
        <w:t xml:space="preserve"> καὶ </w:t>
      </w:r>
      <w:proofErr w:type="spellStart"/>
      <w:r w:rsidRPr="0077321D">
        <w:rPr>
          <w:rFonts w:eastAsia="Times New Roman"/>
          <w:lang w:eastAsia="de-DE"/>
        </w:rPr>
        <w:t>συμφέροντ</w:t>
      </w:r>
      <w:proofErr w:type="spellEnd"/>
      <w:r w:rsidRPr="0077321D">
        <w:rPr>
          <w:rFonts w:eastAsia="Times New Roman"/>
          <w:lang w:eastAsia="de-DE"/>
        </w:rPr>
        <w:t>α α</w:t>
      </w:r>
      <w:proofErr w:type="spellStart"/>
      <w:r w:rsidRPr="0077321D">
        <w:rPr>
          <w:rFonts w:eastAsia="Times New Roman"/>
          <w:lang w:eastAsia="de-DE"/>
        </w:rPr>
        <w:t>ὐτοῖς</w:t>
      </w:r>
      <w:proofErr w:type="spellEnd"/>
      <w:r w:rsidRPr="0077321D">
        <w:rPr>
          <w:rFonts w:eastAsia="Times New Roman"/>
          <w:lang w:eastAsia="de-DE"/>
        </w:rPr>
        <w:t xml:space="preserve"> (du wirst ihnen nicht friedlich zusprechen und [nicht] das für sie Vorteilhafte) – wobei π</w:t>
      </w:r>
      <w:proofErr w:type="spellStart"/>
      <w:r w:rsidRPr="0077321D">
        <w:rPr>
          <w:rFonts w:eastAsia="Times New Roman"/>
          <w:lang w:eastAsia="de-DE"/>
        </w:rPr>
        <w:t>ροσ</w:t>
      </w:r>
      <w:proofErr w:type="spellEnd"/>
      <w:r w:rsidRPr="0077321D">
        <w:rPr>
          <w:rFonts w:eastAsia="Times New Roman"/>
          <w:lang w:eastAsia="de-DE"/>
        </w:rPr>
        <w:t>αγορεύω "anreden, begrüßen" bedeutet und eine diplomatische Nuance hat.</w:t>
      </w:r>
    </w:p>
    <w:p w14:paraId="01EFBB2F" w14:textId="77777777" w:rsidR="00277B46" w:rsidRDefault="00277B46" w:rsidP="00277B46">
      <w:pPr>
        <w:pStyle w:val="whitespace-normal"/>
      </w:pPr>
      <w:r>
        <w:rPr>
          <w:rStyle w:val="Fett"/>
          <w:rFonts w:eastAsiaTheme="majorEastAsia"/>
        </w:rPr>
        <w:t>Die Satzstruktur:</w:t>
      </w:r>
      <w:r>
        <w:t xml:space="preserve"> Verbot mit zeitlicher Erstreckung (nicht suchen sollst du ihren Frieden und ihr Wohl alle deine Tage, ewiglich).</w:t>
      </w:r>
    </w:p>
    <w:p w14:paraId="68549A2D" w14:textId="1B3B5315" w:rsidR="00277B46" w:rsidRDefault="00277B46" w:rsidP="0039595E">
      <w:pPr>
        <w:pStyle w:val="whitespace-normal"/>
      </w:pPr>
      <w:r>
        <w:rPr>
          <w:rStyle w:val="Fett"/>
          <w:rFonts w:eastAsiaTheme="majorEastAsia"/>
        </w:rPr>
        <w:t>Der Vers beschreibt:</w:t>
      </w:r>
      <w:r>
        <w:t xml:space="preserve"> Israel soll niemals Friedensverträge mit Ammon und Moab anstreben oder zu ihrem Wohlergehen beitragen.</w:t>
      </w:r>
    </w:p>
    <w:p w14:paraId="10ABAB9C" w14:textId="77777777" w:rsidR="00277B46" w:rsidRPr="00B27A64" w:rsidRDefault="00277B46" w:rsidP="00277B46">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23,8</w:t>
      </w:r>
    </w:p>
    <w:p w14:paraId="24E32B6F" w14:textId="77777777" w:rsidR="00277B46" w:rsidRDefault="00277B46" w:rsidP="00277B46">
      <w:pPr>
        <w:pStyle w:val="whitespace-normal"/>
      </w:pPr>
      <w:r>
        <w:rPr>
          <w:rStyle w:val="Fett"/>
          <w:rFonts w:eastAsiaTheme="majorEastAsia"/>
        </w:rPr>
        <w:t>Hebräisch:</w:t>
      </w:r>
      <w:r>
        <w:t xml:space="preserve"> </w:t>
      </w:r>
      <w:r>
        <w:rPr>
          <w:rtl/>
        </w:rPr>
        <w:t>לֹֽא־תְתַעֵ֣ב אֲדֹמִ֔י כִּ֥י אָחִ֖יךָ ה֑וּא לֹא־תְתַעֵ֣ב מִצְרִ֔י כִּי־גֵ֖ר הָיִ֥יתָ בְאַרְצֹֽו׃</w:t>
      </w:r>
    </w:p>
    <w:p w14:paraId="3A05F7CC" w14:textId="77777777" w:rsidR="00277B46" w:rsidRDefault="00277B46" w:rsidP="00277B46">
      <w:pPr>
        <w:pStyle w:val="whitespace-normal"/>
      </w:pPr>
      <w:r>
        <w:rPr>
          <w:rStyle w:val="Fett"/>
          <w:rFonts w:eastAsiaTheme="majorEastAsia"/>
        </w:rPr>
        <w:t>Deutsch:</w:t>
      </w:r>
      <w:r>
        <w:t xml:space="preserve"> Nicht sollst du verabscheuen einen Edomiter, denn er ist dein Bruder; nicht sollst du verabscheuen einen Ägypter, denn ein Fremder warst du in seinem Land.</w:t>
      </w:r>
    </w:p>
    <w:p w14:paraId="120028F9" w14:textId="77777777" w:rsidR="00277B46" w:rsidRDefault="004F5CEB" w:rsidP="00277B46">
      <w:r>
        <w:rPr>
          <w:noProof/>
        </w:rPr>
        <w:pict w14:anchorId="6CA6735E">
          <v:rect id="_x0000_i1632" style="width:0;height:1.5pt" o:hralign="center" o:hrstd="t" o:hr="t" fillcolor="#a0a0a0" stroked="f"/>
        </w:pict>
      </w:r>
    </w:p>
    <w:p w14:paraId="2B30A675" w14:textId="77777777" w:rsidR="00277B46" w:rsidRDefault="00277B46" w:rsidP="00277B46">
      <w:pPr>
        <w:pStyle w:val="whitespace-normal"/>
      </w:pPr>
      <w:r>
        <w:rPr>
          <w:rStyle w:val="Fett"/>
          <w:rFonts w:eastAsiaTheme="majorEastAsia"/>
        </w:rPr>
        <w:t>Kommentar:</w:t>
      </w:r>
      <w:r>
        <w:t xml:space="preserve"> </w:t>
      </w:r>
      <w:r>
        <w:rPr>
          <w:rStyle w:val="Fett"/>
          <w:rFonts w:eastAsiaTheme="majorEastAsia"/>
          <w:rtl/>
        </w:rPr>
        <w:t>לֹא־תְתַעֵב אֲדֹמִי כִּי אָחִיךָ הוּא לֹא־תְתַעֵב מִצְרִי כִּי־גֵר הָיִיתָ בְאַרְצוֹ</w:t>
      </w:r>
      <w:r>
        <w:rPr>
          <w:rtl/>
        </w:rPr>
        <w:t xml:space="preserve"> </w:t>
      </w:r>
      <w:r>
        <w:t xml:space="preserve">sind zwei Verbote mit Begründungen: </w:t>
      </w:r>
      <w:r>
        <w:rPr>
          <w:rStyle w:val="Fett"/>
          <w:rFonts w:eastAsiaTheme="majorEastAsia"/>
          <w:rtl/>
        </w:rPr>
        <w:t>לֹא־תְתַעֵב אֲדֹמִי</w:t>
      </w:r>
      <w:r>
        <w:rPr>
          <w:rtl/>
        </w:rPr>
        <w:t xml:space="preserve"> </w:t>
      </w:r>
      <w:r>
        <w:t xml:space="preserve">(Negation mit </w:t>
      </w:r>
      <w:r>
        <w:rPr>
          <w:rStyle w:val="Fett"/>
          <w:rFonts w:eastAsiaTheme="majorEastAsia"/>
          <w:rtl/>
        </w:rPr>
        <w:t>תעב</w:t>
      </w:r>
      <w:r>
        <w:t xml:space="preserve">, Piel Imperfekt, 2. Person Maskulinum Singular, „verabscheuen, als Gräuel betrachten", </w:t>
      </w:r>
      <w:r>
        <w:rPr>
          <w:rStyle w:val="Fett"/>
          <w:rFonts w:eastAsiaTheme="majorEastAsia"/>
          <w:rtl/>
        </w:rPr>
        <w:t>אֲדֹמִי</w:t>
      </w:r>
      <w:r>
        <w:t xml:space="preserve">, Gentilizium – „Edomiter"), </w:t>
      </w:r>
      <w:r>
        <w:rPr>
          <w:rStyle w:val="Fett"/>
          <w:rFonts w:eastAsiaTheme="majorEastAsia"/>
          <w:rtl/>
        </w:rPr>
        <w:t>כִּי אָחִיךָ הוּא</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אָח</w:t>
      </w:r>
      <w:r>
        <w:rPr>
          <w:rtl/>
        </w:rPr>
        <w:t xml:space="preserve"> </w:t>
      </w:r>
      <w:r>
        <w:t xml:space="preserve">mit Suffix 2. Person Maskulinum Singular, </w:t>
      </w:r>
      <w:r>
        <w:rPr>
          <w:rStyle w:val="Fett"/>
          <w:rFonts w:eastAsiaTheme="majorEastAsia"/>
          <w:rtl/>
        </w:rPr>
        <w:t>הוּא</w:t>
      </w:r>
      <w:r>
        <w:rPr>
          <w:rtl/>
        </w:rPr>
        <w:t xml:space="preserve"> </w:t>
      </w:r>
      <w:r>
        <w:t xml:space="preserve">als Kopula), </w:t>
      </w:r>
      <w:r>
        <w:rPr>
          <w:rStyle w:val="Fett"/>
          <w:rFonts w:eastAsiaTheme="majorEastAsia"/>
          <w:rtl/>
        </w:rPr>
        <w:t>לֹא־תְתַעֵב מִצְרִי</w:t>
      </w:r>
      <w:r>
        <w:rPr>
          <w:rtl/>
        </w:rPr>
        <w:t xml:space="preserve"> </w:t>
      </w:r>
      <w:r>
        <w:t xml:space="preserve">(Negation mit </w:t>
      </w:r>
      <w:r>
        <w:rPr>
          <w:rStyle w:val="Fett"/>
          <w:rFonts w:eastAsiaTheme="majorEastAsia"/>
          <w:rtl/>
        </w:rPr>
        <w:t>תעב</w:t>
      </w:r>
      <w:r>
        <w:rPr>
          <w:rtl/>
        </w:rPr>
        <w:t xml:space="preserve"> </w:t>
      </w:r>
      <w:r>
        <w:t xml:space="preserve">im Piel, </w:t>
      </w:r>
      <w:r>
        <w:rPr>
          <w:rStyle w:val="Fett"/>
          <w:rFonts w:eastAsiaTheme="majorEastAsia"/>
          <w:rtl/>
        </w:rPr>
        <w:t>מִצְרִי</w:t>
      </w:r>
      <w:r>
        <w:t xml:space="preserve">, Gentilizium – „Ägypter"), </w:t>
      </w:r>
      <w:r>
        <w:rPr>
          <w:rStyle w:val="Fett"/>
          <w:rFonts w:eastAsiaTheme="majorEastAsia"/>
          <w:rtl/>
        </w:rPr>
        <w:t>כִּי־גֵר הָיִיתָ בְאַרְצוֹ</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גֵּר</w:t>
      </w:r>
      <w:r>
        <w:t xml:space="preserve">, „Fremder, Fremdling", </w:t>
      </w:r>
      <w:r>
        <w:rPr>
          <w:rStyle w:val="Fett"/>
          <w:rFonts w:eastAsiaTheme="majorEastAsia"/>
          <w:rtl/>
        </w:rPr>
        <w:t>היה</w:t>
      </w:r>
      <w:r>
        <w:t xml:space="preserve">, Qal Perfekt, 2. Person Maskulinum Singular, Präposition </w:t>
      </w:r>
      <w:r>
        <w:rPr>
          <w:rStyle w:val="Fett"/>
          <w:rFonts w:eastAsiaTheme="majorEastAsia"/>
          <w:rtl/>
        </w:rPr>
        <w:t>בְּ</w:t>
      </w:r>
      <w:r>
        <w:rPr>
          <w:rtl/>
        </w:rPr>
        <w:t xml:space="preserve"> </w:t>
      </w:r>
      <w:r>
        <w:t xml:space="preserve">mit </w:t>
      </w:r>
      <w:r>
        <w:rPr>
          <w:rStyle w:val="Fett"/>
          <w:rFonts w:eastAsiaTheme="majorEastAsia"/>
          <w:rtl/>
        </w:rPr>
        <w:t>אֶרֶץ</w:t>
      </w:r>
      <w:r>
        <w:rPr>
          <w:rtl/>
        </w:rPr>
        <w:t xml:space="preserve"> </w:t>
      </w:r>
      <w:r>
        <w:t>Construct mit Suffix 3. Person Maskulinum Singular).</w:t>
      </w:r>
    </w:p>
    <w:p w14:paraId="046EB3B8" w14:textId="0519CC3B" w:rsidR="00277B46" w:rsidRDefault="00277B46" w:rsidP="00277B46">
      <w:pPr>
        <w:pStyle w:val="whitespace-normal"/>
      </w:pPr>
      <w:r>
        <w:t xml:space="preserve">Der Vers führt zwei Völker ein, die </w:t>
      </w:r>
      <w:r>
        <w:rPr>
          <w:rStyle w:val="Fett"/>
          <w:rFonts w:eastAsiaTheme="majorEastAsia"/>
        </w:rPr>
        <w:t>nicht</w:t>
      </w:r>
      <w:r>
        <w:t xml:space="preserve"> ausgeschlossen werden sollen – im Kontrast zu Ammon und Moab. Das erste Verbot: </w:t>
      </w:r>
      <w:r>
        <w:rPr>
          <w:rStyle w:val="Fett"/>
          <w:rFonts w:eastAsiaTheme="majorEastAsia"/>
          <w:rtl/>
        </w:rPr>
        <w:t>לֹא־תְתַעֵב אֲדֹמִי</w:t>
      </w:r>
      <w:r>
        <w:rPr>
          <w:rtl/>
        </w:rPr>
        <w:t xml:space="preserve"> </w:t>
      </w:r>
      <w:r>
        <w:t xml:space="preserve">(„nicht sollst du verabscheuen einen Edomiter"). Das Verb </w:t>
      </w:r>
      <w:r>
        <w:rPr>
          <w:rStyle w:val="Fett"/>
          <w:rFonts w:eastAsiaTheme="majorEastAsia"/>
          <w:rtl/>
        </w:rPr>
        <w:t>תעב</w:t>
      </w:r>
      <w:r>
        <w:rPr>
          <w:rtl/>
        </w:rPr>
        <w:t xml:space="preserve"> </w:t>
      </w:r>
      <w:r>
        <w:t xml:space="preserve">im Piel („verabscheuen, als Gräuel betrachten") ist stark – es bezeichnet intensive Ablehnung. </w:t>
      </w:r>
      <w:r>
        <w:rPr>
          <w:rStyle w:val="Fett"/>
          <w:rFonts w:eastAsiaTheme="majorEastAsia"/>
          <w:rtl/>
        </w:rPr>
        <w:t>אֲדֹמִי</w:t>
      </w:r>
      <w:r>
        <w:rPr>
          <w:rtl/>
        </w:rPr>
        <w:t xml:space="preserve"> </w:t>
      </w:r>
      <w:r>
        <w:t xml:space="preserve">(„Edomiter") – Nachkommen Esaus, Jakobs Bruder (Gen 25,19-34; 27,1-46; 36,1-43). Die Begründung: </w:t>
      </w:r>
      <w:r>
        <w:rPr>
          <w:rStyle w:val="Fett"/>
          <w:rFonts w:eastAsiaTheme="majorEastAsia"/>
          <w:rtl/>
        </w:rPr>
        <w:t>כִּי אָחִיךָ הוּא</w:t>
      </w:r>
      <w:r>
        <w:rPr>
          <w:rtl/>
        </w:rPr>
        <w:t xml:space="preserve"> </w:t>
      </w:r>
      <w:r>
        <w:t xml:space="preserve">(„denn er ist dein Bruder") – die Verwandtschaft mit Esau/Edom legitimiert eine gewisse Toleranz, trotz historischer Konflikte (vgl. Num 20,14-21; Ob 10-14). Das zweite Verbot: </w:t>
      </w:r>
      <w:r>
        <w:rPr>
          <w:rStyle w:val="Fett"/>
          <w:rFonts w:eastAsiaTheme="majorEastAsia"/>
          <w:rtl/>
        </w:rPr>
        <w:t>לֹא־תְתַעֵב מִצְרִי</w:t>
      </w:r>
      <w:r>
        <w:rPr>
          <w:rtl/>
        </w:rPr>
        <w:t xml:space="preserve"> </w:t>
      </w:r>
      <w:r>
        <w:t xml:space="preserve">(„nicht sollst du verabscheuen einen Ägypter"). </w:t>
      </w:r>
      <w:r>
        <w:rPr>
          <w:rStyle w:val="Fett"/>
          <w:rFonts w:eastAsiaTheme="majorEastAsia"/>
          <w:rtl/>
        </w:rPr>
        <w:t>מִצְרִי</w:t>
      </w:r>
      <w:r>
        <w:rPr>
          <w:rtl/>
        </w:rPr>
        <w:t xml:space="preserve"> </w:t>
      </w:r>
      <w:r>
        <w:t xml:space="preserve">(„Ägypter") – das Volk, das Israel versklavt hat (Ex 1-14). Die überraschende Begründung: </w:t>
      </w:r>
      <w:r>
        <w:rPr>
          <w:rStyle w:val="Fett"/>
          <w:rFonts w:eastAsiaTheme="majorEastAsia"/>
          <w:rtl/>
        </w:rPr>
        <w:t>כִּי־גֵר הָיִיתָ בְאַרְצוֹ</w:t>
      </w:r>
      <w:r>
        <w:rPr>
          <w:rtl/>
        </w:rPr>
        <w:t xml:space="preserve"> </w:t>
      </w:r>
      <w:r>
        <w:t xml:space="preserve">(„denn ein Fremder warst du in seinem Land"). Das Wort </w:t>
      </w:r>
      <w:r>
        <w:rPr>
          <w:rStyle w:val="Fett"/>
          <w:rFonts w:eastAsiaTheme="majorEastAsia"/>
          <w:rtl/>
        </w:rPr>
        <w:t>גֵּר</w:t>
      </w:r>
      <w:r>
        <w:rPr>
          <w:rtl/>
        </w:rPr>
        <w:t xml:space="preserve"> </w:t>
      </w:r>
      <w:r>
        <w:t>(„Fremder, Fremdling") erinnert an Israels eigene Fremderfahrung in Ägypten. Trotz der Sklaverei war Ägypten auch ein Zufluchtsort in Hungerzeiten (Gen 12,10; 42-47; vgl. 10,19). Die Erinnerung an die eigene Fremdlingschaft soll Israels Haltung prägen (vgl. Ex 22,20; 23,9; Lev 19,33-34; Dtn 10,19). V. 9 wird die Bedingungen für die Integration erklären.</w:t>
      </w:r>
    </w:p>
    <w:p w14:paraId="4956E75E" w14:textId="77777777" w:rsidR="0077321D" w:rsidRPr="0077321D" w:rsidRDefault="0077321D" w:rsidP="0077321D">
      <w:pPr>
        <w:spacing w:before="100" w:beforeAutospacing="1" w:after="100" w:afterAutospacing="1" w:line="240" w:lineRule="auto"/>
        <w:outlineLvl w:val="1"/>
        <w:rPr>
          <w:rFonts w:eastAsia="Times New Roman"/>
          <w:b/>
          <w:bCs/>
          <w:sz w:val="36"/>
          <w:szCs w:val="36"/>
          <w:lang w:eastAsia="de-DE"/>
        </w:rPr>
      </w:pPr>
      <w:r w:rsidRPr="0077321D">
        <w:rPr>
          <w:rFonts w:eastAsia="Times New Roman"/>
          <w:b/>
          <w:bCs/>
          <w:sz w:val="36"/>
          <w:szCs w:val="36"/>
          <w:lang w:eastAsia="de-DE"/>
        </w:rPr>
        <w:lastRenderedPageBreak/>
        <w:t>Vers 8 (MT 23,8) / Vers 7 (LXX 23,7)</w:t>
      </w:r>
    </w:p>
    <w:p w14:paraId="49BCA808" w14:textId="32B131C9" w:rsidR="0077321D" w:rsidRPr="0077321D" w:rsidRDefault="0077321D" w:rsidP="0077321D">
      <w:pPr>
        <w:spacing w:before="100" w:beforeAutospacing="1" w:after="100" w:afterAutospacing="1" w:line="240" w:lineRule="auto"/>
        <w:rPr>
          <w:rFonts w:eastAsia="Times New Roman"/>
          <w:lang w:eastAsia="de-DE"/>
        </w:rPr>
      </w:pPr>
      <w:r w:rsidRPr="0077321D">
        <w:rPr>
          <w:rFonts w:eastAsia="Times New Roman"/>
          <w:b/>
          <w:bCs/>
          <w:lang w:eastAsia="de-DE"/>
        </w:rPr>
        <w:t>Die LXX</w:t>
      </w:r>
      <w:r w:rsidRPr="0077321D">
        <w:rPr>
          <w:rFonts w:eastAsia="Times New Roman"/>
          <w:lang w:eastAsia="de-DE"/>
        </w:rPr>
        <w:t xml:space="preserve"> übersetzt </w:t>
      </w:r>
      <w:r w:rsidRPr="0077321D">
        <w:rPr>
          <w:rFonts w:eastAsia="Times New Roman"/>
          <w:rtl/>
          <w:lang w:eastAsia="de-DE"/>
        </w:rPr>
        <w:t>אֲדֹמִי</w:t>
      </w:r>
      <w:r w:rsidRPr="0077321D">
        <w:rPr>
          <w:rFonts w:eastAsia="Times New Roman"/>
          <w:lang w:eastAsia="de-DE"/>
        </w:rPr>
        <w:t xml:space="preserve"> mit </w:t>
      </w:r>
      <w:proofErr w:type="spellStart"/>
      <w:r w:rsidRPr="0077321D">
        <w:rPr>
          <w:rFonts w:eastAsia="Times New Roman"/>
          <w:lang w:eastAsia="de-DE"/>
        </w:rPr>
        <w:t>Ἰδουμ</w:t>
      </w:r>
      <w:proofErr w:type="spellEnd"/>
      <w:r w:rsidRPr="0077321D">
        <w:rPr>
          <w:rFonts w:eastAsia="Times New Roman"/>
          <w:lang w:eastAsia="de-DE"/>
        </w:rPr>
        <w:t>αῖον (Idumäer) – die gräzisierte Form. Die Begründung π</w:t>
      </w:r>
      <w:proofErr w:type="spellStart"/>
      <w:r w:rsidRPr="0077321D">
        <w:rPr>
          <w:rFonts w:eastAsia="Times New Roman"/>
          <w:lang w:eastAsia="de-DE"/>
        </w:rPr>
        <w:t>άροικος</w:t>
      </w:r>
      <w:proofErr w:type="spellEnd"/>
      <w:r w:rsidRPr="0077321D">
        <w:rPr>
          <w:rFonts w:eastAsia="Times New Roman"/>
          <w:lang w:eastAsia="de-DE"/>
        </w:rPr>
        <w:t xml:space="preserve"> </w:t>
      </w:r>
      <w:proofErr w:type="spellStart"/>
      <w:r w:rsidRPr="0077321D">
        <w:rPr>
          <w:rFonts w:eastAsia="Times New Roman"/>
          <w:lang w:eastAsia="de-DE"/>
        </w:rPr>
        <w:t>ἐγένου</w:t>
      </w:r>
      <w:proofErr w:type="spellEnd"/>
      <w:r w:rsidRPr="0077321D">
        <w:rPr>
          <w:rFonts w:eastAsia="Times New Roman"/>
          <w:lang w:eastAsia="de-DE"/>
        </w:rPr>
        <w:t xml:space="preserve"> (Fremder warst du) für </w:t>
      </w:r>
      <w:r w:rsidRPr="0077321D">
        <w:rPr>
          <w:rFonts w:eastAsia="Times New Roman"/>
          <w:rtl/>
          <w:lang w:eastAsia="de-DE"/>
        </w:rPr>
        <w:t>גֵּר הָיִיתָ</w:t>
      </w:r>
      <w:r w:rsidRPr="0077321D">
        <w:rPr>
          <w:rFonts w:eastAsia="Times New Roman"/>
          <w:lang w:eastAsia="de-DE"/>
        </w:rPr>
        <w:t xml:space="preserve"> verwendet π</w:t>
      </w:r>
      <w:proofErr w:type="spellStart"/>
      <w:r w:rsidRPr="0077321D">
        <w:rPr>
          <w:rFonts w:eastAsia="Times New Roman"/>
          <w:lang w:eastAsia="de-DE"/>
        </w:rPr>
        <w:t>άροικος</w:t>
      </w:r>
      <w:proofErr w:type="spellEnd"/>
      <w:r w:rsidRPr="0077321D">
        <w:rPr>
          <w:rFonts w:eastAsia="Times New Roman"/>
          <w:lang w:eastAsia="de-DE"/>
        </w:rPr>
        <w:t>, einen Begriff für temporären Aufenthalt.</w:t>
      </w:r>
    </w:p>
    <w:p w14:paraId="25F14BD3" w14:textId="77777777" w:rsidR="00277B46" w:rsidRDefault="00277B46" w:rsidP="00277B46">
      <w:pPr>
        <w:pStyle w:val="whitespace-normal"/>
      </w:pPr>
      <w:r>
        <w:rPr>
          <w:rStyle w:val="Fett"/>
          <w:rFonts w:eastAsiaTheme="majorEastAsia"/>
        </w:rPr>
        <w:t>Die Satzstruktur:</w:t>
      </w:r>
      <w:r>
        <w:t xml:space="preserve"> Zwei Verbote mit Begründungen (nicht verabscheuen sollst du einen Edomiter, denn dein Bruder ist er; nicht verabscheuen sollst du einen Ägypter, denn ein Fremder warst du in seinem Land).</w:t>
      </w:r>
    </w:p>
    <w:p w14:paraId="730D8671" w14:textId="6753A16A" w:rsidR="00277B46" w:rsidRDefault="00277B46" w:rsidP="0039595E">
      <w:pPr>
        <w:pStyle w:val="whitespace-normal"/>
      </w:pPr>
      <w:r>
        <w:rPr>
          <w:rStyle w:val="Fett"/>
          <w:rFonts w:eastAsiaTheme="majorEastAsia"/>
        </w:rPr>
        <w:t>Der Vers beschreibt:</w:t>
      </w:r>
      <w:r>
        <w:t xml:space="preserve"> Im Gegensatz zu Ammon und Moab sollen Edomiter (wegen Verwandtschaft) und Ägypter (wegen Israels Fremdlingserfahrung dort) nicht verabscheut werden.</w:t>
      </w:r>
    </w:p>
    <w:p w14:paraId="68EB8A25" w14:textId="77777777" w:rsidR="00277B46" w:rsidRPr="00B27A64" w:rsidRDefault="00277B46" w:rsidP="00277B46">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23,9</w:t>
      </w:r>
    </w:p>
    <w:p w14:paraId="2F1F9944" w14:textId="77777777" w:rsidR="00277B46" w:rsidRDefault="00277B46" w:rsidP="00277B46">
      <w:pPr>
        <w:pStyle w:val="whitespace-normal"/>
      </w:pPr>
      <w:r>
        <w:rPr>
          <w:rStyle w:val="Fett"/>
          <w:rFonts w:eastAsiaTheme="majorEastAsia"/>
        </w:rPr>
        <w:t>Hebräisch:</w:t>
      </w:r>
      <w:r>
        <w:t xml:space="preserve"> </w:t>
      </w:r>
      <w:r>
        <w:rPr>
          <w:rtl/>
        </w:rPr>
        <w:t>בָּנִ֛ים אֲשֶׁר־יִוָּלְד֥וּ לָהֶ֖ם דּ֣וֹר שְׁלִישִׁ֑י יָבֹ֥א לָהֶ֖ם בִּקְהַ֥ל יְהוָֽה׃</w:t>
      </w:r>
    </w:p>
    <w:p w14:paraId="6A4787CA" w14:textId="77777777" w:rsidR="00277B46" w:rsidRDefault="00277B46" w:rsidP="00277B46">
      <w:pPr>
        <w:pStyle w:val="whitespace-normal"/>
      </w:pPr>
      <w:r>
        <w:rPr>
          <w:rStyle w:val="Fett"/>
          <w:rFonts w:eastAsiaTheme="majorEastAsia"/>
        </w:rPr>
        <w:t>Deutsch:</w:t>
      </w:r>
      <w:r>
        <w:t xml:space="preserve"> Kinder, die ihnen geboren werden – die dritte Generation – darf von ihnen in die Versammlung JHWHs kommen.</w:t>
      </w:r>
    </w:p>
    <w:p w14:paraId="5531322A" w14:textId="77777777" w:rsidR="00277B46" w:rsidRDefault="004F5CEB" w:rsidP="00277B46">
      <w:r>
        <w:rPr>
          <w:noProof/>
        </w:rPr>
        <w:pict w14:anchorId="75B8CF70">
          <v:rect id="_x0000_i1633" style="width:0;height:1.5pt" o:hralign="center" o:hrstd="t" o:hr="t" fillcolor="#a0a0a0" stroked="f"/>
        </w:pict>
      </w:r>
    </w:p>
    <w:p w14:paraId="5B5E50AB" w14:textId="77777777" w:rsidR="00277B46" w:rsidRDefault="00277B46" w:rsidP="00277B46">
      <w:pPr>
        <w:pStyle w:val="whitespace-normal"/>
      </w:pPr>
      <w:r>
        <w:rPr>
          <w:rStyle w:val="Fett"/>
          <w:rFonts w:eastAsiaTheme="majorEastAsia"/>
        </w:rPr>
        <w:t>Kommentar:</w:t>
      </w:r>
      <w:r>
        <w:t xml:space="preserve"> </w:t>
      </w:r>
      <w:r>
        <w:rPr>
          <w:rStyle w:val="Fett"/>
          <w:rFonts w:eastAsiaTheme="majorEastAsia"/>
          <w:rtl/>
        </w:rPr>
        <w:t>בָּנִים אֲשֶׁר־יִוָּלְדוּ לָהֶם דּוֹר שְׁלִישִׁי יָבֹא לָהֶם בִּקְהַל יְהוָה</w:t>
      </w:r>
      <w:r>
        <w:rPr>
          <w:rtl/>
        </w:rPr>
        <w:t xml:space="preserve"> </w:t>
      </w:r>
      <w:r>
        <w:t xml:space="preserve">ist die Erlaubnis: </w:t>
      </w:r>
      <w:r>
        <w:rPr>
          <w:rStyle w:val="Fett"/>
          <w:rFonts w:eastAsiaTheme="majorEastAsia"/>
          <w:rtl/>
        </w:rPr>
        <w:t>בָּנִים אֲשֶׁר־יִוָּלְדוּ לָהֶם</w:t>
      </w:r>
      <w:r>
        <w:rPr>
          <w:rtl/>
        </w:rPr>
        <w:t xml:space="preserve"> </w:t>
      </w:r>
      <w:r>
        <w:t>(</w:t>
      </w:r>
      <w:r>
        <w:rPr>
          <w:rStyle w:val="Fett"/>
          <w:rFonts w:eastAsiaTheme="majorEastAsia"/>
          <w:rtl/>
        </w:rPr>
        <w:t>בֵּן</w:t>
      </w:r>
      <w:r>
        <w:rPr>
          <w:rtl/>
        </w:rPr>
        <w:t xml:space="preserve"> </w:t>
      </w:r>
      <w:r>
        <w:t xml:space="preserve">Plural als Subjekt, Relativsatz: </w:t>
      </w:r>
      <w:r>
        <w:rPr>
          <w:rStyle w:val="Fett"/>
          <w:rFonts w:eastAsiaTheme="majorEastAsia"/>
          <w:rtl/>
        </w:rPr>
        <w:t>אֲשֶׁר</w:t>
      </w:r>
      <w:r>
        <w:rPr>
          <w:rtl/>
        </w:rPr>
        <w:t xml:space="preserve"> </w:t>
      </w:r>
      <w:r>
        <w:t xml:space="preserve">mit </w:t>
      </w:r>
      <w:r>
        <w:rPr>
          <w:rStyle w:val="Fett"/>
          <w:rFonts w:eastAsiaTheme="majorEastAsia"/>
          <w:rtl/>
        </w:rPr>
        <w:t>ילד</w:t>
      </w:r>
      <w:r>
        <w:t xml:space="preserve">, Niphal Imperfekt, 3. Person Plural, „geboren werden", </w:t>
      </w:r>
      <w:r>
        <w:rPr>
          <w:rStyle w:val="Fett"/>
          <w:rFonts w:eastAsiaTheme="majorEastAsia"/>
          <w:rtl/>
        </w:rPr>
        <w:t>לָהֶם</w:t>
      </w:r>
      <w:r>
        <w:t xml:space="preserve">, Dativ Plural – „ihnen"), </w:t>
      </w:r>
      <w:r>
        <w:rPr>
          <w:rStyle w:val="Fett"/>
          <w:rFonts w:eastAsiaTheme="majorEastAsia"/>
          <w:rtl/>
        </w:rPr>
        <w:t>דּוֹר שְׁלִישִׁי</w:t>
      </w:r>
      <w:r>
        <w:rPr>
          <w:rtl/>
        </w:rPr>
        <w:t xml:space="preserve"> </w:t>
      </w:r>
      <w:r>
        <w:t xml:space="preserve">(Apposition: </w:t>
      </w:r>
      <w:r>
        <w:rPr>
          <w:rStyle w:val="Fett"/>
          <w:rFonts w:eastAsiaTheme="majorEastAsia"/>
          <w:rtl/>
        </w:rPr>
        <w:t>דּוֹר</w:t>
      </w:r>
      <w:r>
        <w:t xml:space="preserve">, „Generation", </w:t>
      </w:r>
      <w:r>
        <w:rPr>
          <w:rStyle w:val="Fett"/>
          <w:rFonts w:eastAsiaTheme="majorEastAsia"/>
          <w:rtl/>
        </w:rPr>
        <w:t>שְׁלִישִׁי</w:t>
      </w:r>
      <w:r>
        <w:t xml:space="preserve">, Ordinalzahl – „dritte"), </w:t>
      </w:r>
      <w:r>
        <w:rPr>
          <w:rStyle w:val="Fett"/>
          <w:rFonts w:eastAsiaTheme="majorEastAsia"/>
          <w:rtl/>
        </w:rPr>
        <w:t>יָבֹא לָהֶם בִּקְהַל יְהוָה</w:t>
      </w:r>
      <w:r>
        <w:rPr>
          <w:rtl/>
        </w:rPr>
        <w:t xml:space="preserve"> </w:t>
      </w:r>
      <w:r>
        <w:t>(</w:t>
      </w:r>
      <w:r>
        <w:rPr>
          <w:rStyle w:val="Fett"/>
          <w:rFonts w:eastAsiaTheme="majorEastAsia"/>
          <w:rtl/>
        </w:rPr>
        <w:t>בוא</w:t>
      </w:r>
      <w:r>
        <w:t xml:space="preserve">, Qal Imperfekt, 3. Person Maskulinum Singular, </w:t>
      </w:r>
      <w:r>
        <w:rPr>
          <w:rStyle w:val="Fett"/>
          <w:rFonts w:eastAsiaTheme="majorEastAsia"/>
          <w:rtl/>
        </w:rPr>
        <w:t>לָהֶם</w:t>
      </w:r>
      <w:r>
        <w:t xml:space="preserve">, Dativ, </w:t>
      </w:r>
      <w:r>
        <w:rPr>
          <w:rStyle w:val="Fett"/>
          <w:rFonts w:eastAsiaTheme="majorEastAsia"/>
          <w:rtl/>
        </w:rPr>
        <w:t>בִּקְהַל יְהוָה</w:t>
      </w:r>
      <w:r>
        <w:t>).</w:t>
      </w:r>
    </w:p>
    <w:p w14:paraId="4C49A10A" w14:textId="283A8DC5" w:rsidR="00277B46" w:rsidRDefault="00277B46" w:rsidP="00277B46">
      <w:pPr>
        <w:pStyle w:val="whitespace-normal"/>
      </w:pPr>
      <w:r>
        <w:t xml:space="preserve">Der Vers beschreibt die Bedingungen für die Integration von Edomitern und Ägyptern (aus V. 8) in die Bundesgemeinde. Das Subjekt: </w:t>
      </w:r>
      <w:r>
        <w:rPr>
          <w:rStyle w:val="Fett"/>
          <w:rFonts w:eastAsiaTheme="majorEastAsia"/>
          <w:rtl/>
        </w:rPr>
        <w:t>בָּנִים אֲשֶׁר־יִוָּלְדוּ לָהֶם</w:t>
      </w:r>
      <w:r>
        <w:rPr>
          <w:rtl/>
        </w:rPr>
        <w:t xml:space="preserve"> </w:t>
      </w:r>
      <w:r>
        <w:t xml:space="preserve">(„Kinder, die ihnen geboren werden") – Nachkommen von Edomitern und Ägyptern, die in Israel leben. Die zeitliche Präzisierung: </w:t>
      </w:r>
      <w:r>
        <w:rPr>
          <w:rStyle w:val="Fett"/>
          <w:rFonts w:eastAsiaTheme="majorEastAsia"/>
          <w:rtl/>
        </w:rPr>
        <w:t>דּוֹר שְׁלִישִׁי</w:t>
      </w:r>
      <w:r>
        <w:rPr>
          <w:rtl/>
        </w:rPr>
        <w:t xml:space="preserve"> </w:t>
      </w:r>
      <w:r>
        <w:t xml:space="preserve">(„dritte Generation") – die Apposition erklärt: die Enkel der ersten Generation. Die Erlaubnis: </w:t>
      </w:r>
      <w:r>
        <w:rPr>
          <w:rStyle w:val="Fett"/>
          <w:rFonts w:eastAsiaTheme="majorEastAsia"/>
          <w:rtl/>
        </w:rPr>
        <w:t>יָבֹא לָהֶם בִּקְהַל יְהוָה</w:t>
      </w:r>
      <w:r>
        <w:rPr>
          <w:rtl/>
        </w:rPr>
        <w:t xml:space="preserve"> </w:t>
      </w:r>
      <w:r>
        <w:t xml:space="preserve">(„darf von ihnen kommen in die Versammlung JHWHs"). Das Pronomen </w:t>
      </w:r>
      <w:r>
        <w:rPr>
          <w:rStyle w:val="Fett"/>
          <w:rFonts w:eastAsiaTheme="majorEastAsia"/>
          <w:rtl/>
        </w:rPr>
        <w:t>לָהֶם</w:t>
      </w:r>
      <w:r>
        <w:rPr>
          <w:rtl/>
        </w:rPr>
        <w:t xml:space="preserve"> </w:t>
      </w:r>
      <w:r>
        <w:t xml:space="preserve">(„von ihnen, ihnen gehörend") bezieht sich auf die Edomiter und Ägypter. Nach drei Generationen – wenn die Nachkommen der Immigranten vollständig in Israel integriert sind, die Sprache sprechen, die Kultur kennen, dem Bund folgen – dürfen sie volle Mitglieder der </w:t>
      </w:r>
      <w:r>
        <w:rPr>
          <w:rStyle w:val="Fett"/>
          <w:rFonts w:eastAsiaTheme="majorEastAsia"/>
          <w:rtl/>
        </w:rPr>
        <w:t>קְהַל יְהוָה</w:t>
      </w:r>
      <w:r>
        <w:rPr>
          <w:rtl/>
        </w:rPr>
        <w:t xml:space="preserve"> </w:t>
      </w:r>
      <w:r>
        <w:t>werden. Dies steht im scharfen Kontrast zu Ammon und Moab (V. 3-4: zehnte Generation, bis in Ewigkeit ausgeschlossen) und zu Bastarde (V. 3: zehnte Generation). Die Ratio: Edom und Ägypten haben trotz Konflikten gewisse positive Beziehungen zu Israel (Verwandtschaft, Gastfreundschaft), während Ammon und Moab aktiv feindselig waren.</w:t>
      </w:r>
    </w:p>
    <w:p w14:paraId="3FB3CC35" w14:textId="77777777" w:rsidR="00277B46" w:rsidRDefault="00277B46" w:rsidP="00277B46">
      <w:pPr>
        <w:pStyle w:val="whitespace-normal"/>
      </w:pPr>
      <w:r>
        <w:rPr>
          <w:rStyle w:val="Fett"/>
          <w:rFonts w:eastAsiaTheme="majorEastAsia"/>
        </w:rPr>
        <w:t>Die Satzstruktur:</w:t>
      </w:r>
      <w:r>
        <w:t xml:space="preserve"> Erlaubnis mit Apposition (Kinder, die geboren werden ihnen – die dritte Generation – darf von ihnen kommen in die Versammlung JHWHs).</w:t>
      </w:r>
    </w:p>
    <w:p w14:paraId="6FADE358" w14:textId="77777777" w:rsidR="00277B46" w:rsidRDefault="00277B46" w:rsidP="00277B46">
      <w:pPr>
        <w:pStyle w:val="whitespace-normal"/>
      </w:pPr>
      <w:r>
        <w:rPr>
          <w:rStyle w:val="Fett"/>
          <w:rFonts w:eastAsiaTheme="majorEastAsia"/>
        </w:rPr>
        <w:lastRenderedPageBreak/>
        <w:t>Der Vers beschreibt:</w:t>
      </w:r>
      <w:r>
        <w:t xml:space="preserve"> Nachkommen von Edomitern und Ägyptern dürfen ab der dritten Generation in die Bundesgemeinde aufgenommen werden.</w:t>
      </w:r>
    </w:p>
    <w:p w14:paraId="6EA2D887" w14:textId="77777777" w:rsidR="00277B46" w:rsidRPr="00B27A64" w:rsidRDefault="00277B46" w:rsidP="00277B46">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23,10</w:t>
      </w:r>
    </w:p>
    <w:p w14:paraId="7859A4C8" w14:textId="77777777" w:rsidR="00277B46" w:rsidRDefault="00277B46" w:rsidP="00277B46">
      <w:pPr>
        <w:pStyle w:val="whitespace-normal"/>
      </w:pPr>
      <w:r>
        <w:rPr>
          <w:rStyle w:val="Fett"/>
          <w:rFonts w:eastAsiaTheme="majorEastAsia"/>
        </w:rPr>
        <w:t>Hebräisch:</w:t>
      </w:r>
      <w:r>
        <w:t xml:space="preserve"> </w:t>
      </w:r>
      <w:r>
        <w:rPr>
          <w:rtl/>
        </w:rPr>
        <w:t>כִּֽי־תֵצֵ֥א מַחֲנֶ֖ה עַל־אֹיְבֶ֑יךָ וְנִ֨שְׁמַרְתָּ֔ מִכֹּ֖ל דָּבָ֥ר רָֽע׃</w:t>
      </w:r>
    </w:p>
    <w:p w14:paraId="221382AC" w14:textId="77777777" w:rsidR="00277B46" w:rsidRDefault="00277B46" w:rsidP="00277B46">
      <w:pPr>
        <w:pStyle w:val="whitespace-normal"/>
      </w:pPr>
      <w:r>
        <w:rPr>
          <w:rStyle w:val="Fett"/>
          <w:rFonts w:eastAsiaTheme="majorEastAsia"/>
        </w:rPr>
        <w:t>Deutsch:</w:t>
      </w:r>
      <w:r>
        <w:t xml:space="preserve"> Wenn du mit einem Heerlager gegen deine Feinde ausziehst, so sollst du dich hüten vor allem Bösen.</w:t>
      </w:r>
    </w:p>
    <w:p w14:paraId="6188B741" w14:textId="77777777" w:rsidR="00277B46" w:rsidRDefault="004F5CEB" w:rsidP="00277B46">
      <w:r>
        <w:rPr>
          <w:noProof/>
        </w:rPr>
        <w:pict w14:anchorId="0BED107A">
          <v:rect id="_x0000_i1634" style="width:0;height:1.5pt" o:hralign="center" o:hrstd="t" o:hr="t" fillcolor="#a0a0a0" stroked="f"/>
        </w:pict>
      </w:r>
    </w:p>
    <w:p w14:paraId="54EB3059" w14:textId="77777777" w:rsidR="00277B46" w:rsidRDefault="00277B46" w:rsidP="00277B46">
      <w:pPr>
        <w:pStyle w:val="whitespace-normal"/>
      </w:pPr>
      <w:r>
        <w:rPr>
          <w:rStyle w:val="Fett"/>
          <w:rFonts w:eastAsiaTheme="majorEastAsia"/>
        </w:rPr>
        <w:t>Kommentar:</w:t>
      </w:r>
      <w:r>
        <w:t xml:space="preserve"> </w:t>
      </w:r>
      <w:r>
        <w:rPr>
          <w:rStyle w:val="Fett"/>
          <w:rFonts w:eastAsiaTheme="majorEastAsia"/>
          <w:rtl/>
        </w:rPr>
        <w:t>כִּי־תֵצֵא מַחֲנֶה עַל־אֹיְבֶיךָ וְנִשְׁמַרְתָּ מִכֹּל דָּבָר רָע</w:t>
      </w:r>
      <w:r>
        <w:rPr>
          <w:rtl/>
        </w:rPr>
        <w:t xml:space="preserve"> </w:t>
      </w:r>
      <w:r>
        <w:t xml:space="preserve">ist eine Bedingung mit Anweisung: </w:t>
      </w:r>
      <w:r>
        <w:rPr>
          <w:rStyle w:val="Fett"/>
          <w:rFonts w:eastAsiaTheme="majorEastAsia"/>
          <w:rtl/>
        </w:rPr>
        <w:t>כִּי־תֵצֵא מַחֲנֶה עַל־אֹיְבֶיךָ</w:t>
      </w:r>
      <w:r>
        <w:rPr>
          <w:rtl/>
        </w:rPr>
        <w:t xml:space="preserve"> </w:t>
      </w:r>
      <w:r>
        <w:t>(</w:t>
      </w:r>
      <w:r>
        <w:rPr>
          <w:rStyle w:val="Fett"/>
          <w:rFonts w:eastAsiaTheme="majorEastAsia"/>
          <w:rtl/>
        </w:rPr>
        <w:t>כִּי</w:t>
      </w:r>
      <w:r>
        <w:t xml:space="preserve">, „wenn", mit </w:t>
      </w:r>
      <w:r>
        <w:rPr>
          <w:rStyle w:val="Fett"/>
          <w:rFonts w:eastAsiaTheme="majorEastAsia"/>
          <w:rtl/>
        </w:rPr>
        <w:t>יצא</w:t>
      </w:r>
      <w:r>
        <w:t xml:space="preserve">, Qal Imperfekt, 2. Person Maskulinum Singular, „ausziehen", </w:t>
      </w:r>
      <w:r>
        <w:rPr>
          <w:rStyle w:val="Fett"/>
          <w:rFonts w:eastAsiaTheme="majorEastAsia"/>
          <w:rtl/>
        </w:rPr>
        <w:t>מַחֲנֶה</w:t>
      </w:r>
      <w:r>
        <w:t xml:space="preserve">, „Lager, Heerlager", </w:t>
      </w:r>
      <w:r>
        <w:rPr>
          <w:rStyle w:val="Fett"/>
          <w:rFonts w:eastAsiaTheme="majorEastAsia"/>
          <w:rtl/>
        </w:rPr>
        <w:t>עַל־אֹיְבֶיךָ</w:t>
      </w:r>
      <w:r>
        <w:t xml:space="preserve">, Präposition </w:t>
      </w:r>
      <w:r>
        <w:rPr>
          <w:rStyle w:val="Fett"/>
          <w:rFonts w:eastAsiaTheme="majorEastAsia"/>
          <w:rtl/>
        </w:rPr>
        <w:t>עַל</w:t>
      </w:r>
      <w:r>
        <w:rPr>
          <w:rtl/>
        </w:rPr>
        <w:t xml:space="preserve"> </w:t>
      </w:r>
      <w:r>
        <w:t xml:space="preserve">mit </w:t>
      </w:r>
      <w:r>
        <w:rPr>
          <w:rStyle w:val="Fett"/>
          <w:rFonts w:eastAsiaTheme="majorEastAsia"/>
          <w:rtl/>
        </w:rPr>
        <w:t>אֹיֵב</w:t>
      </w:r>
      <w:r>
        <w:t xml:space="preserve">, „Feind", Plural Construct mit Suffix 2. Person Maskulinum Singular), </w:t>
      </w:r>
      <w:r>
        <w:rPr>
          <w:rStyle w:val="Fett"/>
          <w:rFonts w:eastAsiaTheme="majorEastAsia"/>
          <w:rtl/>
        </w:rPr>
        <w:t>וְנִשְׁמַרְתָּ מִכֹּל דָּבָר רָע</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שׁמר</w:t>
      </w:r>
      <w:r>
        <w:t xml:space="preserve">, Niphal Perfekt, 2. Person Maskulinum Singular, „sich hüten, sich bewahren", Präposition </w:t>
      </w:r>
      <w:r>
        <w:rPr>
          <w:rStyle w:val="Fett"/>
          <w:rFonts w:eastAsiaTheme="majorEastAsia"/>
          <w:rtl/>
        </w:rPr>
        <w:t>מִן</w:t>
      </w:r>
      <w:r>
        <w:rPr>
          <w:rtl/>
        </w:rPr>
        <w:t xml:space="preserve"> </w:t>
      </w:r>
      <w:r>
        <w:t xml:space="preserve">mit </w:t>
      </w:r>
      <w:r>
        <w:rPr>
          <w:rStyle w:val="Fett"/>
          <w:rFonts w:eastAsiaTheme="majorEastAsia"/>
          <w:rtl/>
        </w:rPr>
        <w:t>כֹּל</w:t>
      </w:r>
      <w:r>
        <w:t xml:space="preserve">, „alle", </w:t>
      </w:r>
      <w:r>
        <w:rPr>
          <w:rStyle w:val="Fett"/>
          <w:rFonts w:eastAsiaTheme="majorEastAsia"/>
          <w:rtl/>
        </w:rPr>
        <w:t>דָּבָר רָע</w:t>
      </w:r>
      <w:r>
        <w:t xml:space="preserve">, „böse Sache, Böses", mit </w:t>
      </w:r>
      <w:r>
        <w:rPr>
          <w:rStyle w:val="Fett"/>
          <w:rFonts w:eastAsiaTheme="majorEastAsia"/>
        </w:rPr>
        <w:t>Waw</w:t>
      </w:r>
      <w:r>
        <w:t xml:space="preserve"> consecutives Perfekt).</w:t>
      </w:r>
    </w:p>
    <w:p w14:paraId="5DAAAA36" w14:textId="77777777" w:rsidR="00277B46" w:rsidRDefault="00277B46" w:rsidP="00277B46">
      <w:pPr>
        <w:pStyle w:val="whitespace-normal"/>
      </w:pPr>
      <w:r>
        <w:t xml:space="preserve">Der Vers leitet einen neuen Abschnitt ein: Reinheitsgebote für das Kriegslager (V. 10-15). Die Bedingung: </w:t>
      </w:r>
      <w:r>
        <w:rPr>
          <w:rStyle w:val="Fett"/>
          <w:rFonts w:eastAsiaTheme="majorEastAsia"/>
          <w:rtl/>
        </w:rPr>
        <w:t>כִּי־תֵצֵא מַחֲנֶה עַל־אֹיְבֶיךָ</w:t>
      </w:r>
      <w:r>
        <w:rPr>
          <w:rtl/>
        </w:rPr>
        <w:t xml:space="preserve"> </w:t>
      </w:r>
      <w:r>
        <w:t xml:space="preserve">(„wenn du ausziehst mit einem Heerlager gegen deine Feinde"). Das Wort </w:t>
      </w:r>
      <w:r>
        <w:rPr>
          <w:rStyle w:val="Fett"/>
          <w:rFonts w:eastAsiaTheme="majorEastAsia"/>
          <w:rtl/>
        </w:rPr>
        <w:t>מַחֲנֶה</w:t>
      </w:r>
      <w:r>
        <w:rPr>
          <w:rtl/>
        </w:rPr>
        <w:t xml:space="preserve"> </w:t>
      </w:r>
      <w:r>
        <w:t xml:space="preserve">(„Lager, Heerlager") bezeichnet das militärische Lager während eines Feldzugs. Die Konstruktion </w:t>
      </w:r>
      <w:r>
        <w:rPr>
          <w:rStyle w:val="Fett"/>
          <w:rFonts w:eastAsiaTheme="majorEastAsia"/>
          <w:rtl/>
        </w:rPr>
        <w:t>יצא עַל</w:t>
      </w:r>
      <w:r>
        <w:rPr>
          <w:rtl/>
        </w:rPr>
        <w:t xml:space="preserve"> </w:t>
      </w:r>
      <w:r>
        <w:t xml:space="preserve">(„ausziehen gegen") ist idiomatisch für Kriegsführung. Die Anweisung: </w:t>
      </w:r>
      <w:r>
        <w:rPr>
          <w:rStyle w:val="Fett"/>
          <w:rFonts w:eastAsiaTheme="majorEastAsia"/>
          <w:rtl/>
        </w:rPr>
        <w:t>וְנִשְׁמַרְתָּ מִכֹּל דָּבָר רָע</w:t>
      </w:r>
      <w:r>
        <w:rPr>
          <w:rtl/>
        </w:rPr>
        <w:t xml:space="preserve"> </w:t>
      </w:r>
      <w:r>
        <w:t xml:space="preserve">(„und hüten sollst du dich vor allem Bösen"). Das Verb </w:t>
      </w:r>
      <w:r>
        <w:rPr>
          <w:rStyle w:val="Fett"/>
          <w:rFonts w:eastAsiaTheme="majorEastAsia"/>
          <w:rtl/>
        </w:rPr>
        <w:t>שׁמר</w:t>
      </w:r>
      <w:r>
        <w:rPr>
          <w:rtl/>
        </w:rPr>
        <w:t xml:space="preserve"> </w:t>
      </w:r>
      <w:r>
        <w:t xml:space="preserve">im Niphal („sich hüten, vorsichtig sein") mit </w:t>
      </w:r>
      <w:r>
        <w:rPr>
          <w:rStyle w:val="Fett"/>
          <w:rFonts w:eastAsiaTheme="majorEastAsia"/>
          <w:rtl/>
        </w:rPr>
        <w:t>מִן</w:t>
      </w:r>
      <w:r>
        <w:rPr>
          <w:rtl/>
        </w:rPr>
        <w:t xml:space="preserve"> </w:t>
      </w:r>
      <w:r>
        <w:t xml:space="preserve">(„vor, gegen") betont Vorsicht und Achtsamkeit. Die Formulierung </w:t>
      </w:r>
      <w:r>
        <w:rPr>
          <w:rStyle w:val="Fett"/>
          <w:rFonts w:eastAsiaTheme="majorEastAsia"/>
          <w:rtl/>
        </w:rPr>
        <w:t>מִכֹּל דָּבָר רָע</w:t>
      </w:r>
      <w:r>
        <w:rPr>
          <w:rtl/>
        </w:rPr>
        <w:t xml:space="preserve"> </w:t>
      </w:r>
      <w:r>
        <w:t xml:space="preserve">(„vor allem Bösen, vor jeder bösen Sache") ist allgemein und umfassend. </w:t>
      </w:r>
      <w:r>
        <w:rPr>
          <w:rStyle w:val="Fett"/>
          <w:rFonts w:eastAsiaTheme="majorEastAsia"/>
          <w:rtl/>
        </w:rPr>
        <w:t>דָּבָר רָע</w:t>
      </w:r>
      <w:r>
        <w:rPr>
          <w:rtl/>
        </w:rPr>
        <w:t xml:space="preserve"> </w:t>
      </w:r>
      <w:r>
        <w:t xml:space="preserve">kann bedeuten: (1) moralische/ethische Vergehen (Götzendienst, Ungerechtigkeit, sexuelle Sünde); (2) kultische Unreinheit; (3) alles, was die Gegenwart JHWHs im Lager stören könnte. V. 11-15 werden spezifische Beispiele von </w:t>
      </w:r>
      <w:r>
        <w:rPr>
          <w:rStyle w:val="Fett"/>
          <w:rFonts w:eastAsiaTheme="majorEastAsia"/>
          <w:rtl/>
        </w:rPr>
        <w:t>דָּבָר רָע</w:t>
      </w:r>
      <w:r>
        <w:rPr>
          <w:rtl/>
        </w:rPr>
        <w:t xml:space="preserve"> </w:t>
      </w:r>
      <w:r>
        <w:t>im Kriegslager nennen. Die Ratio: Das Kriegslager ist ein heiliger Ort, weil JHWH dort gegenwärtig ist (V. 15). Daher gelten besondere Reinheitsstandards.</w:t>
      </w:r>
    </w:p>
    <w:p w14:paraId="7750B853" w14:textId="77777777" w:rsidR="00277B46" w:rsidRDefault="00277B46" w:rsidP="00277B46">
      <w:pPr>
        <w:pStyle w:val="whitespace-normal"/>
      </w:pPr>
      <w:r>
        <w:rPr>
          <w:rStyle w:val="Fett"/>
          <w:rFonts w:eastAsiaTheme="majorEastAsia"/>
        </w:rPr>
        <w:t>Die Satzstruktur:</w:t>
      </w:r>
      <w:r>
        <w:t xml:space="preserve"> Bedingung mit Anweisung (wenn du ausziehst mit einem Heerlager gegen deine Feinde, hüten sollst du dich vor allem Bösen).</w:t>
      </w:r>
    </w:p>
    <w:p w14:paraId="45DAB7B5" w14:textId="39DE5021" w:rsidR="00277B46" w:rsidRDefault="00277B46" w:rsidP="0039595E">
      <w:pPr>
        <w:pStyle w:val="whitespace-normal"/>
      </w:pPr>
      <w:r>
        <w:rPr>
          <w:rStyle w:val="Fett"/>
          <w:rFonts w:eastAsiaTheme="majorEastAsia"/>
        </w:rPr>
        <w:t>Der Vers beschreibt:</w:t>
      </w:r>
      <w:r>
        <w:t xml:space="preserve"> Grundprinzip für das Kriegslager – Israel soll sich vor allem Bösen hüten, wenn es gegen Feinde auszieht.</w:t>
      </w:r>
    </w:p>
    <w:p w14:paraId="72C66202" w14:textId="77777777" w:rsidR="00277B46" w:rsidRPr="00B27A64" w:rsidRDefault="00277B46" w:rsidP="00277B46">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23,11</w:t>
      </w:r>
    </w:p>
    <w:p w14:paraId="3FAADCF7" w14:textId="77777777" w:rsidR="00277B46" w:rsidRDefault="00277B46" w:rsidP="00277B46">
      <w:pPr>
        <w:pStyle w:val="whitespace-normal"/>
      </w:pPr>
      <w:r>
        <w:rPr>
          <w:rStyle w:val="Fett"/>
          <w:rFonts w:eastAsiaTheme="majorEastAsia"/>
        </w:rPr>
        <w:t>Hebräisch:</w:t>
      </w:r>
      <w:r>
        <w:t xml:space="preserve"> </w:t>
      </w:r>
      <w:r>
        <w:rPr>
          <w:rtl/>
        </w:rPr>
        <w:t>כִּֽי־יִהְיֶ֤ה בְךָ֙ אִ֔ישׁ אֲשֶׁ֛ר לֹא־יִהְיֶ֥ה טָה֖וֹר מִקְּרֵה־לָ֑יְלָה וְיָצָא֙ אֶל־מִח֣וּץ לַֽמַּחֲנֶ֔ה לֹ֥א יָבֹ֖א אֶל־תּ֥וֹךְ הַֽמַּחֲנֶֽה׃</w:t>
      </w:r>
    </w:p>
    <w:p w14:paraId="18EBBB7C" w14:textId="77777777" w:rsidR="00277B46" w:rsidRDefault="00277B46" w:rsidP="00277B46">
      <w:pPr>
        <w:pStyle w:val="whitespace-normal"/>
      </w:pPr>
      <w:r>
        <w:rPr>
          <w:rStyle w:val="Fett"/>
          <w:rFonts w:eastAsiaTheme="majorEastAsia"/>
        </w:rPr>
        <w:t>Deutsch:</w:t>
      </w:r>
      <w:r>
        <w:t xml:space="preserve"> Wenn unter dir ein Mann ist, der nicht rein ist durch ein nächtliches Ereignis, so soll er hinausgehen aus dem Lager; er soll nicht hineinkommen in das Lager.</w:t>
      </w:r>
    </w:p>
    <w:p w14:paraId="26845007" w14:textId="77777777" w:rsidR="00277B46" w:rsidRDefault="004F5CEB" w:rsidP="00277B46">
      <w:r>
        <w:rPr>
          <w:noProof/>
        </w:rPr>
        <w:pict w14:anchorId="61CDF533">
          <v:rect id="_x0000_i1635" style="width:0;height:1.5pt" o:hralign="center" o:hrstd="t" o:hr="t" fillcolor="#a0a0a0" stroked="f"/>
        </w:pict>
      </w:r>
    </w:p>
    <w:p w14:paraId="3CFED710" w14:textId="77777777" w:rsidR="00277B46" w:rsidRDefault="00277B46" w:rsidP="00277B46">
      <w:pPr>
        <w:pStyle w:val="whitespace-normal"/>
      </w:pPr>
      <w:r>
        <w:rPr>
          <w:rStyle w:val="Fett"/>
          <w:rFonts w:eastAsiaTheme="majorEastAsia"/>
        </w:rPr>
        <w:lastRenderedPageBreak/>
        <w:t>Kommentar:</w:t>
      </w:r>
      <w:r>
        <w:t xml:space="preserve"> </w:t>
      </w:r>
      <w:r>
        <w:rPr>
          <w:rStyle w:val="Fett"/>
          <w:rFonts w:eastAsiaTheme="majorEastAsia"/>
          <w:rtl/>
        </w:rPr>
        <w:t>כִּי־יִהְיֶה בְךָ אִישׁ אֲשֶׁר לֹא־יִהְיֶה טָהוֹר מִקְּרֵה־לָיְלָה וְיָצָא אֶל־מִחוּץ לַמַּחֲנֶה לֹא יָבֹא אֶל־תּוֹךְ הַמַּחֲנֶה</w:t>
      </w:r>
      <w:r>
        <w:rPr>
          <w:rtl/>
        </w:rPr>
        <w:t xml:space="preserve"> </w:t>
      </w:r>
      <w:r>
        <w:t xml:space="preserve">ist eine Bedingung mit zwei Anweisungen: </w:t>
      </w:r>
      <w:r>
        <w:rPr>
          <w:rStyle w:val="Fett"/>
          <w:rFonts w:eastAsiaTheme="majorEastAsia"/>
          <w:rtl/>
        </w:rPr>
        <w:t>כִּי־יִהְיֶה בְךָ אִישׁ אֲשֶׁר לֹא־יִהְיֶה טָהוֹר מִקְּרֵה־לָיְלָה</w:t>
      </w:r>
      <w:r>
        <w:rPr>
          <w:rtl/>
        </w:rPr>
        <w:t xml:space="preserve"> </w:t>
      </w:r>
      <w:r>
        <w:t>(</w:t>
      </w:r>
      <w:r>
        <w:rPr>
          <w:rStyle w:val="Fett"/>
          <w:rFonts w:eastAsiaTheme="majorEastAsia"/>
          <w:rtl/>
        </w:rPr>
        <w:t>כִּי</w:t>
      </w:r>
      <w:r>
        <w:t xml:space="preserve">, „wenn", mit </w:t>
      </w:r>
      <w:r>
        <w:rPr>
          <w:rStyle w:val="Fett"/>
          <w:rFonts w:eastAsiaTheme="majorEastAsia"/>
          <w:rtl/>
        </w:rPr>
        <w:t>היה</w:t>
      </w:r>
      <w:r>
        <w:t xml:space="preserve">, Qal Imperfekt, 3. Person Maskulinum Singular, </w:t>
      </w:r>
      <w:r>
        <w:rPr>
          <w:rStyle w:val="Fett"/>
          <w:rFonts w:eastAsiaTheme="majorEastAsia"/>
          <w:rtl/>
        </w:rPr>
        <w:t>בְךָ</w:t>
      </w:r>
      <w:r>
        <w:t xml:space="preserve">, Präposition </w:t>
      </w:r>
      <w:r>
        <w:rPr>
          <w:rStyle w:val="Fett"/>
          <w:rFonts w:eastAsiaTheme="majorEastAsia"/>
          <w:rtl/>
        </w:rPr>
        <w:t>בְּ</w:t>
      </w:r>
      <w:r>
        <w:rPr>
          <w:rtl/>
        </w:rPr>
        <w:t xml:space="preserve"> </w:t>
      </w:r>
      <w:r>
        <w:t xml:space="preserve">mit Suffix 2. Person Maskulinum Singular – „unter dir, bei dir", </w:t>
      </w:r>
      <w:r>
        <w:rPr>
          <w:rStyle w:val="Fett"/>
          <w:rFonts w:eastAsiaTheme="majorEastAsia"/>
          <w:rtl/>
        </w:rPr>
        <w:t>אִישׁ</w:t>
      </w:r>
      <w:r>
        <w:rPr>
          <w:rtl/>
        </w:rPr>
        <w:t xml:space="preserve"> </w:t>
      </w:r>
      <w:r>
        <w:t xml:space="preserve">als Subjekt, Relativsatz: </w:t>
      </w:r>
      <w:r>
        <w:rPr>
          <w:rStyle w:val="Fett"/>
          <w:rFonts w:eastAsiaTheme="majorEastAsia"/>
          <w:rtl/>
        </w:rPr>
        <w:t>אֲשֶׁר לֹא־יִהְיֶה טָהוֹר מִקְּרֵה־לָיְלָה</w:t>
      </w:r>
      <w:r>
        <w:rPr>
          <w:rtl/>
        </w:rPr>
        <w:t xml:space="preserve"> </w:t>
      </w:r>
      <w:r>
        <w:t xml:space="preserve">(Negation mit </w:t>
      </w:r>
      <w:r>
        <w:rPr>
          <w:rStyle w:val="Fett"/>
          <w:rFonts w:eastAsiaTheme="majorEastAsia"/>
          <w:rtl/>
        </w:rPr>
        <w:t>היה</w:t>
      </w:r>
      <w:r>
        <w:t xml:space="preserve">, </w:t>
      </w:r>
      <w:r>
        <w:rPr>
          <w:rStyle w:val="Fett"/>
          <w:rFonts w:eastAsiaTheme="majorEastAsia"/>
          <w:rtl/>
        </w:rPr>
        <w:t>טָהוֹר</w:t>
      </w:r>
      <w:r>
        <w:t xml:space="preserve">, „rein", </w:t>
      </w:r>
      <w:r>
        <w:rPr>
          <w:rStyle w:val="Fett"/>
          <w:rFonts w:eastAsiaTheme="majorEastAsia"/>
          <w:rtl/>
        </w:rPr>
        <w:t>מִקְּרֵה־לָיְלָה</w:t>
      </w:r>
      <w:r>
        <w:t xml:space="preserve">, Präposition </w:t>
      </w:r>
      <w:r>
        <w:rPr>
          <w:rStyle w:val="Fett"/>
          <w:rFonts w:eastAsiaTheme="majorEastAsia"/>
          <w:rtl/>
        </w:rPr>
        <w:t>מִן</w:t>
      </w:r>
      <w:r>
        <w:rPr>
          <w:rtl/>
        </w:rPr>
        <w:t xml:space="preserve"> </w:t>
      </w:r>
      <w:r>
        <w:t xml:space="preserve">mit </w:t>
      </w:r>
      <w:r>
        <w:rPr>
          <w:rStyle w:val="Fett"/>
          <w:rFonts w:eastAsiaTheme="majorEastAsia"/>
          <w:rtl/>
        </w:rPr>
        <w:t>קָרָה</w:t>
      </w:r>
      <w:r>
        <w:t xml:space="preserve">, „Ereignis, Begebenheit, Zufall", Construct mit </w:t>
      </w:r>
      <w:r>
        <w:rPr>
          <w:rStyle w:val="Fett"/>
          <w:rFonts w:eastAsiaTheme="majorEastAsia"/>
          <w:rtl/>
        </w:rPr>
        <w:t>לַיְלָה</w:t>
      </w:r>
      <w:r>
        <w:t xml:space="preserve">, „Nacht" – „von/durch ein nächtliches Ereignis")), </w:t>
      </w:r>
      <w:r>
        <w:rPr>
          <w:rStyle w:val="Fett"/>
          <w:rFonts w:eastAsiaTheme="majorEastAsia"/>
          <w:rtl/>
        </w:rPr>
        <w:t>וְיָצָא אֶל־מִחוּץ לַמַּחֲנֶה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יצא</w:t>
      </w:r>
      <w:r>
        <w:t xml:space="preserve">, Qal Perfekt, 3. Person Maskulinum Singular, Präposition </w:t>
      </w:r>
      <w:r>
        <w:rPr>
          <w:rStyle w:val="Fett"/>
          <w:rFonts w:eastAsiaTheme="majorEastAsia"/>
          <w:rtl/>
        </w:rPr>
        <w:t>אֶל</w:t>
      </w:r>
      <w:r>
        <w:rPr>
          <w:rtl/>
        </w:rPr>
        <w:t xml:space="preserve"> </w:t>
      </w:r>
      <w:r>
        <w:t xml:space="preserve">mit </w:t>
      </w:r>
      <w:r>
        <w:rPr>
          <w:rStyle w:val="Fett"/>
          <w:rFonts w:eastAsiaTheme="majorEastAsia"/>
          <w:rtl/>
        </w:rPr>
        <w:t>חוּץ</w:t>
      </w:r>
      <w:r>
        <w:t xml:space="preserve">, „außen, draußen", mit </w:t>
      </w:r>
      <w:r>
        <w:rPr>
          <w:rStyle w:val="Fett"/>
          <w:rFonts w:eastAsiaTheme="majorEastAsia"/>
          <w:rtl/>
        </w:rPr>
        <w:t>מִן</w:t>
      </w:r>
      <w:r>
        <w:rPr>
          <w:rtl/>
        </w:rPr>
        <w:t xml:space="preserve"> </w:t>
      </w:r>
      <w:r>
        <w:t xml:space="preserve">(hier in der Form </w:t>
      </w:r>
      <w:r>
        <w:rPr>
          <w:rStyle w:val="Fett"/>
          <w:rFonts w:eastAsiaTheme="majorEastAsia"/>
          <w:rtl/>
        </w:rPr>
        <w:t>מִחוּץ</w:t>
      </w:r>
      <w:r>
        <w:rPr>
          <w:rtl/>
        </w:rPr>
        <w:t xml:space="preserve"> </w:t>
      </w:r>
      <w:r>
        <w:t xml:space="preserve">– „nach außen"), </w:t>
      </w:r>
      <w:r>
        <w:rPr>
          <w:rStyle w:val="Fett"/>
          <w:rFonts w:eastAsiaTheme="majorEastAsia"/>
          <w:rtl/>
        </w:rPr>
        <w:t>לַמַּחֲנֶה</w:t>
      </w:r>
      <w:r>
        <w:t xml:space="preserve">, Präposition </w:t>
      </w:r>
      <w:r>
        <w:rPr>
          <w:rStyle w:val="Fett"/>
          <w:rFonts w:eastAsiaTheme="majorEastAsia"/>
          <w:rtl/>
        </w:rPr>
        <w:t>לְ</w:t>
      </w:r>
      <w:r>
        <w:rPr>
          <w:rtl/>
        </w:rPr>
        <w:t xml:space="preserve"> </w:t>
      </w:r>
      <w:r>
        <w:t xml:space="preserve">mit </w:t>
      </w:r>
      <w:r>
        <w:rPr>
          <w:rStyle w:val="Fett"/>
          <w:rFonts w:eastAsiaTheme="majorEastAsia"/>
          <w:rtl/>
        </w:rPr>
        <w:t>מַחֲנֶה</w:t>
      </w:r>
      <w:r>
        <w:rPr>
          <w:rtl/>
        </w:rPr>
        <w:t xml:space="preserve"> </w:t>
      </w:r>
      <w:r>
        <w:t xml:space="preserve">mit Artikel, mit </w:t>
      </w:r>
      <w:r>
        <w:rPr>
          <w:rStyle w:val="Fett"/>
          <w:rFonts w:eastAsiaTheme="majorEastAsia"/>
        </w:rPr>
        <w:t>Waw</w:t>
      </w:r>
      <w:r>
        <w:t xml:space="preserve"> consecutives Perfekt), </w:t>
      </w:r>
      <w:r>
        <w:rPr>
          <w:rStyle w:val="Fett"/>
          <w:rFonts w:eastAsiaTheme="majorEastAsia"/>
          <w:rtl/>
        </w:rPr>
        <w:t>לֹא יָבֹא אֶל־תּוֹךְ הַמַּחֲנֶה</w:t>
      </w:r>
      <w:r>
        <w:rPr>
          <w:rtl/>
        </w:rPr>
        <w:t xml:space="preserve"> </w:t>
      </w:r>
      <w:r>
        <w:t xml:space="preserve">(Negation mit </w:t>
      </w:r>
      <w:r>
        <w:rPr>
          <w:rStyle w:val="Fett"/>
          <w:rFonts w:eastAsiaTheme="majorEastAsia"/>
          <w:rtl/>
        </w:rPr>
        <w:t>בוא</w:t>
      </w:r>
      <w:r>
        <w:t xml:space="preserve">, Qal Imperfekt, 3. Person Maskulinum Singular, Präposition </w:t>
      </w:r>
      <w:r>
        <w:rPr>
          <w:rStyle w:val="Fett"/>
          <w:rFonts w:eastAsiaTheme="majorEastAsia"/>
          <w:rtl/>
        </w:rPr>
        <w:t>אֶל</w:t>
      </w:r>
      <w:r>
        <w:rPr>
          <w:rtl/>
        </w:rPr>
        <w:t xml:space="preserve"> </w:t>
      </w:r>
      <w:r>
        <w:t xml:space="preserve">mit </w:t>
      </w:r>
      <w:r>
        <w:rPr>
          <w:rStyle w:val="Fett"/>
          <w:rFonts w:eastAsiaTheme="majorEastAsia"/>
          <w:rtl/>
        </w:rPr>
        <w:t>תָּוֶךְ</w:t>
      </w:r>
      <w:r>
        <w:t xml:space="preserve">, „Mitte, Inneres", </w:t>
      </w:r>
      <w:r>
        <w:rPr>
          <w:rStyle w:val="Fett"/>
          <w:rFonts w:eastAsiaTheme="majorEastAsia"/>
          <w:rtl/>
        </w:rPr>
        <w:t>הַמַּחֲנֶה</w:t>
      </w:r>
      <w:r>
        <w:rPr>
          <w:rtl/>
        </w:rPr>
        <w:t xml:space="preserve"> </w:t>
      </w:r>
      <w:r>
        <w:t>mit Artikel).</w:t>
      </w:r>
    </w:p>
    <w:p w14:paraId="178D5556" w14:textId="52CFC914" w:rsidR="00277B46" w:rsidRDefault="00277B46" w:rsidP="00277B46">
      <w:pPr>
        <w:pStyle w:val="whitespace-normal"/>
      </w:pPr>
      <w:r>
        <w:t xml:space="preserve">Der Vers nennt das erste konkrete Beispiel von </w:t>
      </w:r>
      <w:r>
        <w:rPr>
          <w:rStyle w:val="Fett"/>
          <w:rFonts w:eastAsiaTheme="majorEastAsia"/>
          <w:rtl/>
        </w:rPr>
        <w:t>דָּבָר רָע</w:t>
      </w:r>
      <w:r>
        <w:rPr>
          <w:rtl/>
        </w:rPr>
        <w:t xml:space="preserve"> </w:t>
      </w:r>
      <w:r>
        <w:t xml:space="preserve">im Kriegslager: rituelle Unreinheit durch nächtlichen Samenerguss. Die Bedingung: </w:t>
      </w:r>
      <w:r>
        <w:rPr>
          <w:rStyle w:val="Fett"/>
          <w:rFonts w:eastAsiaTheme="majorEastAsia"/>
          <w:rtl/>
        </w:rPr>
        <w:t>כִּי־יִהְיֶה בְךָ אִישׁ אֲשֶׁר לֹא־יִהְיֶה טָהוֹר מִקְּרֵה־לָיְלָה</w:t>
      </w:r>
      <w:r>
        <w:rPr>
          <w:rtl/>
        </w:rPr>
        <w:t xml:space="preserve"> </w:t>
      </w:r>
      <w:r>
        <w:t xml:space="preserve">(„wenn sein wird unter dir ein Mann, der nicht sein wird rein von einem nächtlichen Ereignis"). Die Formulierung </w:t>
      </w:r>
      <w:r>
        <w:rPr>
          <w:rStyle w:val="Fett"/>
          <w:rFonts w:eastAsiaTheme="majorEastAsia"/>
          <w:rtl/>
        </w:rPr>
        <w:t>קְרֵה־לַיְלָה</w:t>
      </w:r>
      <w:r>
        <w:rPr>
          <w:rtl/>
        </w:rPr>
        <w:t xml:space="preserve"> </w:t>
      </w:r>
      <w:r>
        <w:t xml:space="preserve">(„nächtliches Ereignis, nächtlicher Zufall") ist euphemistisch und bezeichnet einen unwillkürlichen nächtlichen Samenerguss (Pollution, vgl. Lev 15,16-17: </w:t>
      </w:r>
      <w:r>
        <w:rPr>
          <w:rStyle w:val="Fett"/>
          <w:rFonts w:eastAsiaTheme="majorEastAsia"/>
          <w:rtl/>
        </w:rPr>
        <w:t>כִּי־תֵצֵא מִמֶּנּוּ שִׁכְבַת־זָרַע</w:t>
      </w:r>
      <w:r>
        <w:t xml:space="preserve">, „wenn von ihm ausgeht ein Samenerguss"). Dies macht einen Mann rituell unrein bis zum Abend. Die erste Anweisung: </w:t>
      </w:r>
      <w:r>
        <w:rPr>
          <w:rStyle w:val="Fett"/>
          <w:rFonts w:eastAsiaTheme="majorEastAsia"/>
          <w:rtl/>
        </w:rPr>
        <w:t>וְיָצָא אֶל־מִחוּץ לַמַּחֲנֶה</w:t>
      </w:r>
      <w:r>
        <w:rPr>
          <w:rtl/>
        </w:rPr>
        <w:t xml:space="preserve"> </w:t>
      </w:r>
      <w:r>
        <w:t xml:space="preserve">(„hinausgehen soll er nach außen, aus dem Lager"). Der unreine Mann muss das Lager verlassen – Trennung vom heiligen Bereich. Die zweite Anweisung: </w:t>
      </w:r>
      <w:r>
        <w:rPr>
          <w:rStyle w:val="Fett"/>
          <w:rFonts w:eastAsiaTheme="majorEastAsia"/>
          <w:rtl/>
        </w:rPr>
        <w:t>לֹא יָבֹא אֶל־תּוֹךְ הַמַּחֲנֶה</w:t>
      </w:r>
      <w:r>
        <w:rPr>
          <w:rtl/>
        </w:rPr>
        <w:t xml:space="preserve"> </w:t>
      </w:r>
      <w:r>
        <w:t xml:space="preserve">(„nicht hineinkommen soll er in die Mitte des Lagers"). Die Konstruktion </w:t>
      </w:r>
      <w:r>
        <w:rPr>
          <w:rStyle w:val="Fett"/>
          <w:rFonts w:eastAsiaTheme="majorEastAsia"/>
          <w:rtl/>
        </w:rPr>
        <w:t>אֶל־תּוֹךְ</w:t>
      </w:r>
      <w:r>
        <w:rPr>
          <w:rtl/>
        </w:rPr>
        <w:t xml:space="preserve"> </w:t>
      </w:r>
      <w:r>
        <w:t>(„ins Innere, in die Mitte") betont: Er darf nicht ins Lagerinnere zurückkehren (bis seine Reinigung abgeschlossen ist, vgl. V. 12). V. 12 wird das Reinigungsritual beschreiben.</w:t>
      </w:r>
    </w:p>
    <w:p w14:paraId="56BE6D17" w14:textId="77777777" w:rsidR="0077321D" w:rsidRPr="0077321D" w:rsidRDefault="0077321D" w:rsidP="0077321D">
      <w:pPr>
        <w:spacing w:before="100" w:beforeAutospacing="1" w:after="100" w:afterAutospacing="1" w:line="240" w:lineRule="auto"/>
        <w:outlineLvl w:val="1"/>
        <w:rPr>
          <w:rFonts w:eastAsia="Times New Roman"/>
          <w:b/>
          <w:bCs/>
          <w:sz w:val="36"/>
          <w:szCs w:val="36"/>
          <w:lang w:eastAsia="de-DE"/>
        </w:rPr>
      </w:pPr>
      <w:r w:rsidRPr="0077321D">
        <w:rPr>
          <w:rFonts w:eastAsia="Times New Roman"/>
          <w:b/>
          <w:bCs/>
          <w:sz w:val="36"/>
          <w:szCs w:val="36"/>
          <w:lang w:eastAsia="de-DE"/>
        </w:rPr>
        <w:t>Vers 11 (MT 23,11) / Vers 10 (LXX 23,10)</w:t>
      </w:r>
    </w:p>
    <w:p w14:paraId="0861F509" w14:textId="0CD7F157" w:rsidR="0077321D" w:rsidRPr="0077321D" w:rsidRDefault="0077321D" w:rsidP="0077321D">
      <w:pPr>
        <w:spacing w:before="100" w:beforeAutospacing="1" w:after="100" w:afterAutospacing="1" w:line="240" w:lineRule="auto"/>
        <w:rPr>
          <w:rFonts w:eastAsia="Times New Roman"/>
          <w:lang w:eastAsia="de-DE"/>
        </w:rPr>
      </w:pPr>
      <w:r w:rsidRPr="0077321D">
        <w:rPr>
          <w:rFonts w:eastAsia="Times New Roman"/>
          <w:b/>
          <w:bCs/>
          <w:lang w:eastAsia="de-DE"/>
        </w:rPr>
        <w:t>Die LXX</w:t>
      </w:r>
      <w:r w:rsidRPr="0077321D">
        <w:rPr>
          <w:rFonts w:eastAsia="Times New Roman"/>
          <w:lang w:eastAsia="de-DE"/>
        </w:rPr>
        <w:t xml:space="preserve"> übersetzt </w:t>
      </w:r>
      <w:r w:rsidRPr="0077321D">
        <w:rPr>
          <w:rFonts w:eastAsia="Times New Roman"/>
          <w:rtl/>
          <w:lang w:eastAsia="de-DE"/>
        </w:rPr>
        <w:t>מִקְּרֵה־לָיְלָה</w:t>
      </w:r>
      <w:r w:rsidRPr="0077321D">
        <w:rPr>
          <w:rFonts w:eastAsia="Times New Roman"/>
          <w:lang w:eastAsia="de-DE"/>
        </w:rPr>
        <w:t xml:space="preserve"> (von einem nächtlichen Vorfall) mit </w:t>
      </w:r>
      <w:proofErr w:type="spellStart"/>
      <w:r w:rsidRPr="0077321D">
        <w:rPr>
          <w:rFonts w:eastAsia="Times New Roman"/>
          <w:lang w:eastAsia="de-DE"/>
        </w:rPr>
        <w:t>ἐκ</w:t>
      </w:r>
      <w:proofErr w:type="spellEnd"/>
      <w:r w:rsidRPr="0077321D">
        <w:rPr>
          <w:rFonts w:eastAsia="Times New Roman"/>
          <w:lang w:eastAsia="de-DE"/>
        </w:rPr>
        <w:t xml:space="preserve"> </w:t>
      </w:r>
      <w:proofErr w:type="spellStart"/>
      <w:r w:rsidRPr="0077321D">
        <w:rPr>
          <w:rFonts w:eastAsia="Times New Roman"/>
          <w:lang w:eastAsia="de-DE"/>
        </w:rPr>
        <w:t>ῥύσεως</w:t>
      </w:r>
      <w:proofErr w:type="spellEnd"/>
      <w:r w:rsidRPr="0077321D">
        <w:rPr>
          <w:rFonts w:eastAsia="Times New Roman"/>
          <w:lang w:eastAsia="de-DE"/>
        </w:rPr>
        <w:t xml:space="preserve"> α</w:t>
      </w:r>
      <w:proofErr w:type="spellStart"/>
      <w:r w:rsidRPr="0077321D">
        <w:rPr>
          <w:rFonts w:eastAsia="Times New Roman"/>
          <w:lang w:eastAsia="de-DE"/>
        </w:rPr>
        <w:t>ὐτοῦ</w:t>
      </w:r>
      <w:proofErr w:type="spellEnd"/>
      <w:r w:rsidRPr="0077321D">
        <w:rPr>
          <w:rFonts w:eastAsia="Times New Roman"/>
          <w:lang w:eastAsia="de-DE"/>
        </w:rPr>
        <w:t xml:space="preserve"> </w:t>
      </w:r>
      <w:proofErr w:type="spellStart"/>
      <w:r w:rsidRPr="0077321D">
        <w:rPr>
          <w:rFonts w:eastAsia="Times New Roman"/>
          <w:lang w:eastAsia="de-DE"/>
        </w:rPr>
        <w:t>νυκτός</w:t>
      </w:r>
      <w:proofErr w:type="spellEnd"/>
      <w:r w:rsidRPr="0077321D">
        <w:rPr>
          <w:rFonts w:eastAsia="Times New Roman"/>
          <w:lang w:eastAsia="de-DE"/>
        </w:rPr>
        <w:t xml:space="preserve"> (von seinem nächtlichen Fluss) – </w:t>
      </w:r>
      <w:proofErr w:type="spellStart"/>
      <w:r w:rsidRPr="0077321D">
        <w:rPr>
          <w:rFonts w:eastAsia="Times New Roman"/>
          <w:lang w:eastAsia="de-DE"/>
        </w:rPr>
        <w:t>ῥύσις</w:t>
      </w:r>
      <w:proofErr w:type="spellEnd"/>
      <w:r w:rsidRPr="0077321D">
        <w:rPr>
          <w:rFonts w:eastAsia="Times New Roman"/>
          <w:lang w:eastAsia="de-DE"/>
        </w:rPr>
        <w:t xml:space="preserve"> bezeichnet einen körperlichen Ausfluss und ist expliziter.</w:t>
      </w:r>
    </w:p>
    <w:p w14:paraId="240F7386" w14:textId="77777777" w:rsidR="00277B46" w:rsidRDefault="00277B46" w:rsidP="00277B46">
      <w:pPr>
        <w:pStyle w:val="whitespace-normal"/>
      </w:pPr>
      <w:r>
        <w:rPr>
          <w:rStyle w:val="Fett"/>
          <w:rFonts w:eastAsiaTheme="majorEastAsia"/>
        </w:rPr>
        <w:t>Die Satzstruktur:</w:t>
      </w:r>
      <w:r>
        <w:t xml:space="preserve"> Bedingung mit zwei Anweisungen (wenn sein wird unter dir ein Mann, der nicht sein wird rein von einem nächtlichen Ereignis, hinausgehen soll er nach außen aus dem Lager; nicht hineinkommen soll er ins Innere des Lagers).</w:t>
      </w:r>
    </w:p>
    <w:p w14:paraId="5C3D3A77" w14:textId="53BB98B3" w:rsidR="00277B46" w:rsidRDefault="00277B46" w:rsidP="0039595E">
      <w:pPr>
        <w:pStyle w:val="whitespace-normal"/>
      </w:pPr>
      <w:r>
        <w:rPr>
          <w:rStyle w:val="Fett"/>
          <w:rFonts w:eastAsiaTheme="majorEastAsia"/>
        </w:rPr>
        <w:t>Der Vers beschreibt:</w:t>
      </w:r>
      <w:r>
        <w:t xml:space="preserve"> Ein Mann, der durch nächtlichen Samenerguss unrein geworden ist, muss das Kriegslager verlassen und darf nicht zurückkehren (bis zur Reinigung).</w:t>
      </w:r>
    </w:p>
    <w:p w14:paraId="33F8C6EA" w14:textId="77777777" w:rsidR="00277B46" w:rsidRPr="00B27A64" w:rsidRDefault="00277B46" w:rsidP="00277B46">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23,12</w:t>
      </w:r>
    </w:p>
    <w:p w14:paraId="69F3D71F" w14:textId="77777777" w:rsidR="00277B46" w:rsidRDefault="00277B46" w:rsidP="00277B46">
      <w:pPr>
        <w:pStyle w:val="whitespace-normal"/>
      </w:pPr>
      <w:r>
        <w:rPr>
          <w:rStyle w:val="Fett"/>
          <w:rFonts w:eastAsiaTheme="majorEastAsia"/>
        </w:rPr>
        <w:t>Hebräisch:</w:t>
      </w:r>
      <w:r>
        <w:t xml:space="preserve"> </w:t>
      </w:r>
      <w:r>
        <w:rPr>
          <w:rtl/>
        </w:rPr>
        <w:t>וְהָיָ֥ה לִפְנֽוֹת־עֶ֖רֶב יִרְחַ֣ץ בַּמָּ֑יִם וּכְבֹ֣א הַשֶּׁ֔מֶשׁ יָבֹ֖א אֶל־תּ֥וֹךְ הַֽמַּחֲנֶה׃</w:t>
      </w:r>
    </w:p>
    <w:p w14:paraId="4A90B17A" w14:textId="77777777" w:rsidR="00277B46" w:rsidRDefault="00277B46" w:rsidP="00277B46">
      <w:pPr>
        <w:pStyle w:val="whitespace-normal"/>
      </w:pPr>
      <w:r>
        <w:rPr>
          <w:rStyle w:val="Fett"/>
          <w:rFonts w:eastAsiaTheme="majorEastAsia"/>
        </w:rPr>
        <w:t>Deutsch:</w:t>
      </w:r>
      <w:r>
        <w:t xml:space="preserve"> Und es soll geschehen, wenn der Abend sich neigt, soll er sich im Wasser baden; und wenn die Sonne untergeht, darf er ins Lager hineinkommen.</w:t>
      </w:r>
    </w:p>
    <w:p w14:paraId="2BF580C5" w14:textId="77777777" w:rsidR="00277B46" w:rsidRDefault="004F5CEB" w:rsidP="00277B46">
      <w:r>
        <w:rPr>
          <w:noProof/>
        </w:rPr>
        <w:pict w14:anchorId="23EA7BE1">
          <v:rect id="_x0000_i1636" style="width:0;height:1.5pt" o:hralign="center" o:hrstd="t" o:hr="t" fillcolor="#a0a0a0" stroked="f"/>
        </w:pict>
      </w:r>
    </w:p>
    <w:p w14:paraId="0459CB2E" w14:textId="77777777" w:rsidR="00277B46" w:rsidRDefault="00277B46" w:rsidP="00277B46">
      <w:pPr>
        <w:pStyle w:val="whitespace-normal"/>
      </w:pPr>
      <w:r>
        <w:rPr>
          <w:rStyle w:val="Fett"/>
          <w:rFonts w:eastAsiaTheme="majorEastAsia"/>
        </w:rPr>
        <w:lastRenderedPageBreak/>
        <w:t>Kommentar:</w:t>
      </w:r>
      <w:r>
        <w:t xml:space="preserve"> </w:t>
      </w:r>
      <w:r>
        <w:rPr>
          <w:rStyle w:val="Fett"/>
          <w:rFonts w:eastAsiaTheme="majorEastAsia"/>
          <w:rtl/>
        </w:rPr>
        <w:t>וְהָיָה לִפְנוֹת־עֶרֶב יִרְחַץ בַּמָּיִם וּכְבֹא הַשֶּׁמֶשׁ יָבֹא אֶל־תּוֹךְ הַמַּחֲנֶה</w:t>
      </w:r>
      <w:r>
        <w:rPr>
          <w:rtl/>
        </w:rPr>
        <w:t xml:space="preserve"> </w:t>
      </w:r>
      <w:r>
        <w:t xml:space="preserve">sind drei Anweisungen: </w:t>
      </w:r>
      <w:r>
        <w:rPr>
          <w:rStyle w:val="Fett"/>
          <w:rFonts w:eastAsiaTheme="majorEastAsia"/>
          <w:rtl/>
        </w:rPr>
        <w:t>וְהָיָה לִפְנוֹת־עֶרֶב יִרְחַץ בַּמָּיִם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3. Person Maskulinum Singular, </w:t>
      </w:r>
      <w:r>
        <w:rPr>
          <w:rStyle w:val="Fett"/>
          <w:rFonts w:eastAsiaTheme="majorEastAsia"/>
          <w:rtl/>
        </w:rPr>
        <w:t>לִפְנוֹת־עֶרֶב</w:t>
      </w:r>
      <w:r>
        <w:t xml:space="preserve">, Präposition </w:t>
      </w:r>
      <w:r>
        <w:rPr>
          <w:rStyle w:val="Fett"/>
          <w:rFonts w:eastAsiaTheme="majorEastAsia"/>
          <w:rtl/>
        </w:rPr>
        <w:t>לְ</w:t>
      </w:r>
      <w:r>
        <w:rPr>
          <w:rtl/>
        </w:rPr>
        <w:t xml:space="preserve"> </w:t>
      </w:r>
      <w:r>
        <w:t xml:space="preserve">mit Qal Infinitiv Construct von </w:t>
      </w:r>
      <w:r>
        <w:rPr>
          <w:rStyle w:val="Fett"/>
          <w:rFonts w:eastAsiaTheme="majorEastAsia"/>
          <w:rtl/>
        </w:rPr>
        <w:t>פנה</w:t>
      </w:r>
      <w:r>
        <w:t xml:space="preserve">, „sich wenden, sich neigen", Construct mit </w:t>
      </w:r>
      <w:r>
        <w:rPr>
          <w:rStyle w:val="Fett"/>
          <w:rFonts w:eastAsiaTheme="majorEastAsia"/>
          <w:rtl/>
        </w:rPr>
        <w:t>עֶרֶב</w:t>
      </w:r>
      <w:r>
        <w:t xml:space="preserve">, „Abend" – „wenn der Abend sich neigt", temporaler Nebensatz, </w:t>
      </w:r>
      <w:r>
        <w:rPr>
          <w:rStyle w:val="Fett"/>
          <w:rFonts w:eastAsiaTheme="majorEastAsia"/>
          <w:rtl/>
        </w:rPr>
        <w:t>רחץ</w:t>
      </w:r>
      <w:r>
        <w:t xml:space="preserve">, Qal Imperfekt, 3. Person Maskulinum Singular, „(sich) waschen, baden", </w:t>
      </w:r>
      <w:r>
        <w:rPr>
          <w:rStyle w:val="Fett"/>
          <w:rFonts w:eastAsiaTheme="majorEastAsia"/>
          <w:rtl/>
        </w:rPr>
        <w:t>בַּמָּיִם</w:t>
      </w:r>
      <w:r>
        <w:t xml:space="preserve">, Präposition </w:t>
      </w:r>
      <w:r>
        <w:rPr>
          <w:rStyle w:val="Fett"/>
          <w:rFonts w:eastAsiaTheme="majorEastAsia"/>
          <w:rtl/>
        </w:rPr>
        <w:t>בְּ</w:t>
      </w:r>
      <w:r>
        <w:rPr>
          <w:rtl/>
        </w:rPr>
        <w:t xml:space="preserve"> </w:t>
      </w:r>
      <w:r>
        <w:t xml:space="preserve">mit </w:t>
      </w:r>
      <w:r>
        <w:rPr>
          <w:rStyle w:val="Fett"/>
          <w:rFonts w:eastAsiaTheme="majorEastAsia"/>
          <w:rtl/>
        </w:rPr>
        <w:t>מַיִם</w:t>
      </w:r>
      <w:r>
        <w:rPr>
          <w:rtl/>
        </w:rPr>
        <w:t xml:space="preserve"> </w:t>
      </w:r>
      <w:r>
        <w:t xml:space="preserve">mit Artikel, mit </w:t>
      </w:r>
      <w:r>
        <w:rPr>
          <w:rStyle w:val="Fett"/>
          <w:rFonts w:eastAsiaTheme="majorEastAsia"/>
        </w:rPr>
        <w:t>Waw</w:t>
      </w:r>
      <w:r>
        <w:t xml:space="preserve"> consecutives Perfekt), </w:t>
      </w:r>
      <w:r>
        <w:rPr>
          <w:rStyle w:val="Fett"/>
          <w:rFonts w:eastAsiaTheme="majorEastAsia"/>
          <w:rtl/>
        </w:rPr>
        <w:t>וּכְבֹא הַשֶּׁמֶשׁ</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כְּ</w:t>
      </w:r>
      <w:r>
        <w:t xml:space="preserve">, „wenn, als", Qal Infinitiv Construct von </w:t>
      </w:r>
      <w:r>
        <w:rPr>
          <w:rStyle w:val="Fett"/>
          <w:rFonts w:eastAsiaTheme="majorEastAsia"/>
          <w:rtl/>
        </w:rPr>
        <w:t>בוא</w:t>
      </w:r>
      <w:r>
        <w:t xml:space="preserve">, „kommen, untergehen" – bei Sonne: „untergehen", </w:t>
      </w:r>
      <w:r>
        <w:rPr>
          <w:rStyle w:val="Fett"/>
          <w:rFonts w:eastAsiaTheme="majorEastAsia"/>
          <w:rtl/>
        </w:rPr>
        <w:t>שֶׁמֶשׁ</w:t>
      </w:r>
      <w:r>
        <w:rPr>
          <w:rtl/>
        </w:rPr>
        <w:t xml:space="preserve"> </w:t>
      </w:r>
      <w:r>
        <w:t xml:space="preserve">mit Artikel als Subjekt des Infinitivs), </w:t>
      </w:r>
      <w:r>
        <w:rPr>
          <w:rStyle w:val="Fett"/>
          <w:rFonts w:eastAsiaTheme="majorEastAsia"/>
          <w:rtl/>
        </w:rPr>
        <w:t>יָבֹא אֶל־תּוֹךְ הַמַּחֲנֶה</w:t>
      </w:r>
      <w:r>
        <w:rPr>
          <w:rtl/>
        </w:rPr>
        <w:t xml:space="preserve"> </w:t>
      </w:r>
      <w:r>
        <w:t>(</w:t>
      </w:r>
      <w:r>
        <w:rPr>
          <w:rStyle w:val="Fett"/>
          <w:rFonts w:eastAsiaTheme="majorEastAsia"/>
          <w:rtl/>
        </w:rPr>
        <w:t>בוא</w:t>
      </w:r>
      <w:r>
        <w:t xml:space="preserve">, Qal Imperfekt, 3. Person Maskulinum Singular, Präposition </w:t>
      </w:r>
      <w:r>
        <w:rPr>
          <w:rStyle w:val="Fett"/>
          <w:rFonts w:eastAsiaTheme="majorEastAsia"/>
          <w:rtl/>
        </w:rPr>
        <w:t>אֶל</w:t>
      </w:r>
      <w:r>
        <w:rPr>
          <w:rtl/>
        </w:rPr>
        <w:t xml:space="preserve"> </w:t>
      </w:r>
      <w:r>
        <w:t xml:space="preserve">mit </w:t>
      </w:r>
      <w:r>
        <w:rPr>
          <w:rStyle w:val="Fett"/>
          <w:rFonts w:eastAsiaTheme="majorEastAsia"/>
          <w:rtl/>
        </w:rPr>
        <w:t>תָּוֶךְ</w:t>
      </w:r>
      <w:r>
        <w:t xml:space="preserve">, </w:t>
      </w:r>
      <w:r>
        <w:rPr>
          <w:rStyle w:val="Fett"/>
          <w:rFonts w:eastAsiaTheme="majorEastAsia"/>
          <w:rtl/>
        </w:rPr>
        <w:t>הַמַּחֲנֶה</w:t>
      </w:r>
      <w:r>
        <w:t>).</w:t>
      </w:r>
    </w:p>
    <w:p w14:paraId="03D44D60" w14:textId="535255EB" w:rsidR="00277B46" w:rsidRDefault="00277B46" w:rsidP="00277B46">
      <w:pPr>
        <w:pStyle w:val="whitespace-normal"/>
      </w:pPr>
      <w:r>
        <w:t xml:space="preserve">Der Vers beschreibt das Reinigungsritual für den unreinen Mann aus V. 11. Die erste zeitliche Angabe: </w:t>
      </w:r>
      <w:r>
        <w:rPr>
          <w:rStyle w:val="Fett"/>
          <w:rFonts w:eastAsiaTheme="majorEastAsia"/>
          <w:rtl/>
        </w:rPr>
        <w:t>וְהָיָה לִפְנוֹת־עֶרֶב</w:t>
      </w:r>
      <w:r>
        <w:rPr>
          <w:rtl/>
        </w:rPr>
        <w:t xml:space="preserve"> </w:t>
      </w:r>
      <w:r>
        <w:t xml:space="preserve">(„und es soll geschehen, wenn der Abend sich neigt") – der Infinitiv </w:t>
      </w:r>
      <w:r>
        <w:rPr>
          <w:rStyle w:val="Fett"/>
          <w:rFonts w:eastAsiaTheme="majorEastAsia"/>
          <w:rtl/>
        </w:rPr>
        <w:t>לִפְנוֹת־עֶרֶב</w:t>
      </w:r>
      <w:r>
        <w:rPr>
          <w:rtl/>
        </w:rPr>
        <w:t xml:space="preserve"> </w:t>
      </w:r>
      <w:r>
        <w:t xml:space="preserve">bezeichnet die Zeit, wenn der Tag zu Ende geht, der Abend beginnt. Die Handlung: </w:t>
      </w:r>
      <w:r>
        <w:rPr>
          <w:rStyle w:val="Fett"/>
          <w:rFonts w:eastAsiaTheme="majorEastAsia"/>
          <w:rtl/>
        </w:rPr>
        <w:t>יִרְחַץ בַּמָּיִם</w:t>
      </w:r>
      <w:r>
        <w:rPr>
          <w:rtl/>
        </w:rPr>
        <w:t xml:space="preserve"> </w:t>
      </w:r>
      <w:r>
        <w:t xml:space="preserve">(„baden soll er im Wasser") – rituelle Waschung des ganzen Körpers (vgl. Lev 15,16: </w:t>
      </w:r>
      <w:r>
        <w:rPr>
          <w:rStyle w:val="Fett"/>
          <w:rFonts w:eastAsiaTheme="majorEastAsia"/>
          <w:rtl/>
        </w:rPr>
        <w:t>וְרָחַץ בַּמַּיִם אֶת־כָּל־בְּשָׂרוֹ</w:t>
      </w:r>
      <w:r>
        <w:t xml:space="preserve">, „und waschen soll er im Wasser sein ganzes Fleisch"). Die zweite zeitliche Angabe: </w:t>
      </w:r>
      <w:r>
        <w:rPr>
          <w:rStyle w:val="Fett"/>
          <w:rFonts w:eastAsiaTheme="majorEastAsia"/>
          <w:rtl/>
        </w:rPr>
        <w:t>וּכְבֹא הַשֶּׁמֶשׁ</w:t>
      </w:r>
      <w:r>
        <w:rPr>
          <w:rtl/>
        </w:rPr>
        <w:t xml:space="preserve"> </w:t>
      </w:r>
      <w:r>
        <w:t xml:space="preserve">(„und wenn untergeht die Sonne") – der Infinitiv </w:t>
      </w:r>
      <w:r>
        <w:rPr>
          <w:rStyle w:val="Fett"/>
          <w:rFonts w:eastAsiaTheme="majorEastAsia"/>
          <w:rtl/>
        </w:rPr>
        <w:t>כְּבֹא הַשֶּׁמֶשׁ</w:t>
      </w:r>
      <w:r>
        <w:rPr>
          <w:rtl/>
        </w:rPr>
        <w:t xml:space="preserve"> </w:t>
      </w:r>
      <w:r>
        <w:t xml:space="preserve">bezeichnet den Sonnenuntergang. Die Erlaubnis: </w:t>
      </w:r>
      <w:r>
        <w:rPr>
          <w:rStyle w:val="Fett"/>
          <w:rFonts w:eastAsiaTheme="majorEastAsia"/>
          <w:rtl/>
        </w:rPr>
        <w:t>יָבֹא אֶל־תּוֹךְ הַמַּחֲנֶה</w:t>
      </w:r>
      <w:r>
        <w:rPr>
          <w:rtl/>
        </w:rPr>
        <w:t xml:space="preserve"> </w:t>
      </w:r>
      <w:r>
        <w:t>(„hineinkommen darf er ins Innere des Lagers"). Die zeitliche Abfolge: (1) Am Abend: Baden. (2) Nach Sonnenuntergang: Rückkehr ins Lager erlaubt. Dies entspricht dem allgemeinen Prinzip in Lev 15,16-17 und anderen Reinheitsgesetzen: Unreinheit dauert bis zum Abend, nach Waschung und Sonnenuntergang ist man wieder rein. Im Kriegslager gelten dieselben Reinheitsstandards wie im normalen Leben.</w:t>
      </w:r>
    </w:p>
    <w:p w14:paraId="18EFE7B1" w14:textId="77777777" w:rsidR="0077321D" w:rsidRPr="0077321D" w:rsidRDefault="0077321D" w:rsidP="0077321D">
      <w:pPr>
        <w:spacing w:before="100" w:beforeAutospacing="1" w:after="100" w:afterAutospacing="1" w:line="240" w:lineRule="auto"/>
        <w:outlineLvl w:val="1"/>
        <w:rPr>
          <w:rFonts w:eastAsia="Times New Roman"/>
          <w:b/>
          <w:bCs/>
          <w:sz w:val="36"/>
          <w:szCs w:val="36"/>
          <w:lang w:eastAsia="de-DE"/>
        </w:rPr>
      </w:pPr>
      <w:r w:rsidRPr="0077321D">
        <w:rPr>
          <w:rFonts w:eastAsia="Times New Roman"/>
          <w:b/>
          <w:bCs/>
          <w:sz w:val="36"/>
          <w:szCs w:val="36"/>
          <w:lang w:eastAsia="de-DE"/>
        </w:rPr>
        <w:t>Vers 12 (MT 23,12) / Vers 11 (LXX 23,11)</w:t>
      </w:r>
    </w:p>
    <w:p w14:paraId="18B704DF" w14:textId="77D0CF27" w:rsidR="0077321D" w:rsidRPr="0077321D" w:rsidRDefault="0077321D" w:rsidP="0077321D">
      <w:pPr>
        <w:spacing w:before="100" w:beforeAutospacing="1" w:after="100" w:afterAutospacing="1" w:line="240" w:lineRule="auto"/>
        <w:rPr>
          <w:rFonts w:eastAsia="Times New Roman"/>
          <w:lang w:eastAsia="de-DE"/>
        </w:rPr>
      </w:pPr>
      <w:r w:rsidRPr="0077321D">
        <w:rPr>
          <w:rFonts w:eastAsia="Times New Roman"/>
          <w:b/>
          <w:bCs/>
          <w:lang w:eastAsia="de-DE"/>
        </w:rPr>
        <w:t>Die LXX</w:t>
      </w:r>
      <w:r w:rsidRPr="0077321D">
        <w:rPr>
          <w:rFonts w:eastAsia="Times New Roman"/>
          <w:lang w:eastAsia="de-DE"/>
        </w:rPr>
        <w:t xml:space="preserve"> fügt </w:t>
      </w:r>
      <w:proofErr w:type="spellStart"/>
      <w:r w:rsidRPr="0077321D">
        <w:rPr>
          <w:rFonts w:eastAsia="Times New Roman"/>
          <w:lang w:eastAsia="de-DE"/>
        </w:rPr>
        <w:t>λούσετ</w:t>
      </w:r>
      <w:proofErr w:type="spellEnd"/>
      <w:r w:rsidRPr="0077321D">
        <w:rPr>
          <w:rFonts w:eastAsia="Times New Roman"/>
          <w:lang w:eastAsia="de-DE"/>
        </w:rPr>
        <w:t xml:space="preserve">αι </w:t>
      </w:r>
      <w:proofErr w:type="spellStart"/>
      <w:r w:rsidRPr="0077321D">
        <w:rPr>
          <w:rFonts w:eastAsia="Times New Roman"/>
          <w:lang w:eastAsia="de-DE"/>
        </w:rPr>
        <w:t>τὸ</w:t>
      </w:r>
      <w:proofErr w:type="spellEnd"/>
      <w:r w:rsidRPr="0077321D">
        <w:rPr>
          <w:rFonts w:eastAsia="Times New Roman"/>
          <w:lang w:eastAsia="de-DE"/>
        </w:rPr>
        <w:t xml:space="preserve"> </w:t>
      </w:r>
      <w:proofErr w:type="spellStart"/>
      <w:r w:rsidRPr="0077321D">
        <w:rPr>
          <w:rFonts w:eastAsia="Times New Roman"/>
          <w:lang w:eastAsia="de-DE"/>
        </w:rPr>
        <w:t>σῶμ</w:t>
      </w:r>
      <w:proofErr w:type="spellEnd"/>
      <w:r w:rsidRPr="0077321D">
        <w:rPr>
          <w:rFonts w:eastAsia="Times New Roman"/>
          <w:lang w:eastAsia="de-DE"/>
        </w:rPr>
        <w:t>α α</w:t>
      </w:r>
      <w:proofErr w:type="spellStart"/>
      <w:r w:rsidRPr="0077321D">
        <w:rPr>
          <w:rFonts w:eastAsia="Times New Roman"/>
          <w:lang w:eastAsia="de-DE"/>
        </w:rPr>
        <w:t>ὐτοῦ</w:t>
      </w:r>
      <w:proofErr w:type="spellEnd"/>
      <w:r w:rsidRPr="0077321D">
        <w:rPr>
          <w:rFonts w:eastAsia="Times New Roman"/>
          <w:lang w:eastAsia="de-DE"/>
        </w:rPr>
        <w:t xml:space="preserve"> (er wird seinen Körper waschen) hinzu, wo der MT nur </w:t>
      </w:r>
      <w:r w:rsidRPr="0077321D">
        <w:rPr>
          <w:rFonts w:eastAsia="Times New Roman"/>
          <w:rtl/>
          <w:lang w:eastAsia="de-DE"/>
        </w:rPr>
        <w:t>יִרְחַץ בַּמָּיִם</w:t>
      </w:r>
      <w:r w:rsidRPr="0077321D">
        <w:rPr>
          <w:rFonts w:eastAsia="Times New Roman"/>
          <w:lang w:eastAsia="de-DE"/>
        </w:rPr>
        <w:t xml:space="preserve"> (er wird sich mit Wasser waschen) hat – eine Präzisierung des Objekts.</w:t>
      </w:r>
    </w:p>
    <w:p w14:paraId="02A90F0E" w14:textId="77777777" w:rsidR="00277B46" w:rsidRDefault="00277B46" w:rsidP="00277B46">
      <w:pPr>
        <w:pStyle w:val="whitespace-normal"/>
      </w:pPr>
      <w:r>
        <w:rPr>
          <w:rStyle w:val="Fett"/>
          <w:rFonts w:eastAsiaTheme="majorEastAsia"/>
        </w:rPr>
        <w:t>Die Satzstruktur:</w:t>
      </w:r>
      <w:r>
        <w:t xml:space="preserve"> Drei koordinierte Anweisungen (und es soll geschehen, wenn der Abend sich neigt, baden soll er im Wasser; und wenn untergeht die Sonne, hineinkommen darf er ins Innere des Lagers).</w:t>
      </w:r>
    </w:p>
    <w:p w14:paraId="39F364FA" w14:textId="005D18F0" w:rsidR="00277B46" w:rsidRDefault="00277B46" w:rsidP="0039595E">
      <w:pPr>
        <w:pStyle w:val="whitespace-normal"/>
      </w:pPr>
      <w:r>
        <w:rPr>
          <w:rStyle w:val="Fett"/>
          <w:rFonts w:eastAsiaTheme="majorEastAsia"/>
        </w:rPr>
        <w:t>Der Vers beschreibt:</w:t>
      </w:r>
      <w:r>
        <w:t xml:space="preserve"> Das Reinigungsritual – am Abend Baden, nach Sonnenuntergang darf der Mann ins Lager zurückkehren.</w:t>
      </w:r>
    </w:p>
    <w:p w14:paraId="4975AE8D" w14:textId="77777777" w:rsidR="00277B46" w:rsidRPr="00B27A64" w:rsidRDefault="00277B46" w:rsidP="00277B46">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23,13</w:t>
      </w:r>
    </w:p>
    <w:p w14:paraId="42B627FF" w14:textId="77777777" w:rsidR="00277B46" w:rsidRDefault="00277B46" w:rsidP="00277B46">
      <w:pPr>
        <w:pStyle w:val="whitespace-normal"/>
      </w:pPr>
      <w:r>
        <w:rPr>
          <w:rStyle w:val="Fett"/>
          <w:rFonts w:eastAsiaTheme="majorEastAsia"/>
        </w:rPr>
        <w:t>Hebräisch:</w:t>
      </w:r>
      <w:r>
        <w:t xml:space="preserve"> </w:t>
      </w:r>
      <w:r>
        <w:rPr>
          <w:rtl/>
        </w:rPr>
        <w:t>וְיָד֙ תִּהְיֶ֣ה לְךָ֔ מִח֖וּץ לַֽמַּחֲנֶ֑ה וְיָצָ֥אתָ שָׁ֖מָּה חֽוּץ׃</w:t>
      </w:r>
    </w:p>
    <w:p w14:paraId="61293422" w14:textId="77777777" w:rsidR="00277B46" w:rsidRDefault="00277B46" w:rsidP="00277B46">
      <w:pPr>
        <w:pStyle w:val="whitespace-normal"/>
      </w:pPr>
      <w:r>
        <w:rPr>
          <w:rStyle w:val="Fett"/>
          <w:rFonts w:eastAsiaTheme="majorEastAsia"/>
        </w:rPr>
        <w:t>Deutsch:</w:t>
      </w:r>
      <w:r>
        <w:t xml:space="preserve"> Und einen Platz sollst du haben außerhalb des Lagers, und dahin sollst du hinausgehen, hinaus.</w:t>
      </w:r>
    </w:p>
    <w:p w14:paraId="04C1D5AC" w14:textId="77777777" w:rsidR="00277B46" w:rsidRDefault="004F5CEB" w:rsidP="00277B46">
      <w:r>
        <w:rPr>
          <w:noProof/>
        </w:rPr>
        <w:pict w14:anchorId="73B4E20A">
          <v:rect id="_x0000_i1637" style="width:0;height:1.5pt" o:hralign="center" o:hrstd="t" o:hr="t" fillcolor="#a0a0a0" stroked="f"/>
        </w:pict>
      </w:r>
    </w:p>
    <w:p w14:paraId="1B2EC861" w14:textId="77777777" w:rsidR="00277B46" w:rsidRDefault="00277B46" w:rsidP="00277B46">
      <w:pPr>
        <w:pStyle w:val="whitespace-normal"/>
      </w:pPr>
      <w:r>
        <w:rPr>
          <w:rStyle w:val="Fett"/>
          <w:rFonts w:eastAsiaTheme="majorEastAsia"/>
        </w:rPr>
        <w:t>Kommentar:</w:t>
      </w:r>
      <w:r>
        <w:t xml:space="preserve"> </w:t>
      </w:r>
      <w:r>
        <w:rPr>
          <w:rStyle w:val="Fett"/>
          <w:rFonts w:eastAsiaTheme="majorEastAsia"/>
          <w:rtl/>
        </w:rPr>
        <w:t>וְיָד תִּהְיֶה לְךָ מִחוּץ לַמַּחֲנֶה וְיָצָאתָ שָׁמָּה חוּץ</w:t>
      </w:r>
      <w:r>
        <w:rPr>
          <w:rtl/>
        </w:rPr>
        <w:t xml:space="preserve"> </w:t>
      </w:r>
      <w:r>
        <w:t xml:space="preserve">sind zwei Anweisungen: </w:t>
      </w:r>
      <w:r>
        <w:rPr>
          <w:rStyle w:val="Fett"/>
          <w:rFonts w:eastAsiaTheme="majorEastAsia"/>
          <w:rtl/>
        </w:rPr>
        <w:t>וְיָד תִּהְיֶה לְךָ מִחוּץ לַמַּחֲנֶה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יָד</w:t>
      </w:r>
      <w:r>
        <w:t xml:space="preserve">, „Hand" – hier: „Platz, Ort" (metonymisch), </w:t>
      </w:r>
      <w:r>
        <w:rPr>
          <w:rStyle w:val="Fett"/>
          <w:rFonts w:eastAsiaTheme="majorEastAsia"/>
          <w:rtl/>
        </w:rPr>
        <w:t>היה</w:t>
      </w:r>
      <w:r>
        <w:t xml:space="preserve">, Qal Imperfekt, 3. Person Femininum Singular, </w:t>
      </w:r>
      <w:r>
        <w:rPr>
          <w:rStyle w:val="Fett"/>
          <w:rFonts w:eastAsiaTheme="majorEastAsia"/>
          <w:rtl/>
        </w:rPr>
        <w:t>לְךָ</w:t>
      </w:r>
      <w:r>
        <w:t xml:space="preserve">, Dativ, </w:t>
      </w:r>
      <w:r>
        <w:rPr>
          <w:rStyle w:val="Fett"/>
          <w:rFonts w:eastAsiaTheme="majorEastAsia"/>
          <w:rtl/>
        </w:rPr>
        <w:t>מִחוּץ לַמַּחֲנֶה</w:t>
      </w:r>
      <w:r>
        <w:t xml:space="preserve">, Präposition </w:t>
      </w:r>
      <w:r>
        <w:rPr>
          <w:rStyle w:val="Fett"/>
          <w:rFonts w:eastAsiaTheme="majorEastAsia"/>
          <w:rtl/>
        </w:rPr>
        <w:t>מִן</w:t>
      </w:r>
      <w:r>
        <w:rPr>
          <w:rtl/>
        </w:rPr>
        <w:t xml:space="preserve"> </w:t>
      </w:r>
      <w:r>
        <w:t xml:space="preserve">mit </w:t>
      </w:r>
      <w:r>
        <w:rPr>
          <w:rStyle w:val="Fett"/>
          <w:rFonts w:eastAsiaTheme="majorEastAsia"/>
          <w:rtl/>
        </w:rPr>
        <w:t>חוּץ</w:t>
      </w:r>
      <w:r>
        <w:t xml:space="preserve">, </w:t>
      </w:r>
      <w:r>
        <w:lastRenderedPageBreak/>
        <w:t xml:space="preserve">Präposition </w:t>
      </w:r>
      <w:r>
        <w:rPr>
          <w:rStyle w:val="Fett"/>
          <w:rFonts w:eastAsiaTheme="majorEastAsia"/>
          <w:rtl/>
        </w:rPr>
        <w:t>לְ</w:t>
      </w:r>
      <w:r>
        <w:rPr>
          <w:rtl/>
        </w:rPr>
        <w:t xml:space="preserve"> </w:t>
      </w:r>
      <w:r>
        <w:t xml:space="preserve">mit </w:t>
      </w:r>
      <w:r>
        <w:rPr>
          <w:rStyle w:val="Fett"/>
          <w:rFonts w:eastAsiaTheme="majorEastAsia"/>
          <w:rtl/>
        </w:rPr>
        <w:t>מַחֲנֶה</w:t>
      </w:r>
      <w:r>
        <w:rPr>
          <w:rtl/>
        </w:rPr>
        <w:t xml:space="preserve"> </w:t>
      </w:r>
      <w:r>
        <w:t xml:space="preserve">mit Artikel – „außerhalb des Lagers"), </w:t>
      </w:r>
      <w:r>
        <w:rPr>
          <w:rStyle w:val="Fett"/>
          <w:rFonts w:eastAsiaTheme="majorEastAsia"/>
          <w:rtl/>
        </w:rPr>
        <w:t>וְיָצָאתָ שָׁמָּה חוּץ</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יצא</w:t>
      </w:r>
      <w:r>
        <w:t xml:space="preserve">, Qal Perfekt, 2. Person Maskulinum Singular, </w:t>
      </w:r>
      <w:r>
        <w:rPr>
          <w:rStyle w:val="Fett"/>
          <w:rFonts w:eastAsiaTheme="majorEastAsia"/>
          <w:rtl/>
        </w:rPr>
        <w:t>שָׁמָּה</w:t>
      </w:r>
      <w:r>
        <w:t xml:space="preserve">, Adverb – „dorthin", </w:t>
      </w:r>
      <w:r>
        <w:rPr>
          <w:rStyle w:val="Fett"/>
          <w:rFonts w:eastAsiaTheme="majorEastAsia"/>
          <w:rtl/>
        </w:rPr>
        <w:t>חוּץ</w:t>
      </w:r>
      <w:r>
        <w:t xml:space="preserve">, „hinaus, draußen", mit </w:t>
      </w:r>
      <w:r>
        <w:rPr>
          <w:rStyle w:val="Fett"/>
          <w:rFonts w:eastAsiaTheme="majorEastAsia"/>
        </w:rPr>
        <w:t>Waw</w:t>
      </w:r>
      <w:r>
        <w:t xml:space="preserve"> consecutives Perfekt).</w:t>
      </w:r>
    </w:p>
    <w:p w14:paraId="6CCA011C" w14:textId="61EA46A7" w:rsidR="00277B46" w:rsidRDefault="00277B46" w:rsidP="00277B46">
      <w:pPr>
        <w:pStyle w:val="whitespace-normal"/>
      </w:pPr>
      <w:r>
        <w:t xml:space="preserve">Der Vers leitet den zweiten konkreten Fall von Reinheit im Kriegslager ein: Entsorgung menschlicher Exkremente (V. 13-15). Die erste Anweisung: </w:t>
      </w:r>
      <w:r>
        <w:rPr>
          <w:rStyle w:val="Fett"/>
          <w:rFonts w:eastAsiaTheme="majorEastAsia"/>
          <w:rtl/>
        </w:rPr>
        <w:t>וְיָד תִּהְיֶה לְךָ מִחוּץ לַמַּחֲנֶה</w:t>
      </w:r>
      <w:r>
        <w:rPr>
          <w:rtl/>
        </w:rPr>
        <w:t xml:space="preserve"> </w:t>
      </w:r>
      <w:r>
        <w:t xml:space="preserve">(„und einen Platz haben sollst du außerhalb des Lagers"). Das Wort </w:t>
      </w:r>
      <w:r>
        <w:rPr>
          <w:rStyle w:val="Fett"/>
          <w:rFonts w:eastAsiaTheme="majorEastAsia"/>
          <w:rtl/>
        </w:rPr>
        <w:t>יָד</w:t>
      </w:r>
      <w:r>
        <w:rPr>
          <w:rtl/>
        </w:rPr>
        <w:t xml:space="preserve"> </w:t>
      </w:r>
      <w:r>
        <w:t xml:space="preserve">bedeutet wörtlich „Hand", aber hier metonymisch „Platz, Ort" (vgl. </w:t>
      </w:r>
      <w:r w:rsidR="00664EB6">
        <w:t>2Sam</w:t>
      </w:r>
      <w:r>
        <w:t xml:space="preserve"> 24,5: </w:t>
      </w:r>
      <w:r>
        <w:rPr>
          <w:rStyle w:val="Fett"/>
          <w:rFonts w:eastAsiaTheme="majorEastAsia"/>
          <w:rtl/>
        </w:rPr>
        <w:t>וַיַּחֲנוּ בַיָּד</w:t>
      </w:r>
      <w:r>
        <w:t xml:space="preserve">, „sie lagerten bei/an der Stelle"; vgl. auch </w:t>
      </w:r>
      <w:r w:rsidR="00664EB6">
        <w:t>1Sam</w:t>
      </w:r>
      <w:r>
        <w:t xml:space="preserve"> 21,14; Jes 57,8). Die Ortsangabe </w:t>
      </w:r>
      <w:r>
        <w:rPr>
          <w:rStyle w:val="Fett"/>
          <w:rFonts w:eastAsiaTheme="majorEastAsia"/>
          <w:rtl/>
        </w:rPr>
        <w:t>מִחוּץ לַמַּחֲנֶה</w:t>
      </w:r>
      <w:r>
        <w:rPr>
          <w:rtl/>
        </w:rPr>
        <w:t xml:space="preserve"> </w:t>
      </w:r>
      <w:r>
        <w:t xml:space="preserve">(„außerhalb des Lagers, vom Lager weg") betont: außerhalb der Lagergrenzen. Dieser Platz dient als Latrine. Die zweite Anweisung: </w:t>
      </w:r>
      <w:r>
        <w:rPr>
          <w:rStyle w:val="Fett"/>
          <w:rFonts w:eastAsiaTheme="majorEastAsia"/>
          <w:rtl/>
        </w:rPr>
        <w:t>וְיָצָאתָ שָׁמָּה חוּץ</w:t>
      </w:r>
      <w:r>
        <w:rPr>
          <w:rtl/>
        </w:rPr>
        <w:t xml:space="preserve"> </w:t>
      </w:r>
      <w:r>
        <w:t xml:space="preserve">(„hinausgehen sollst du dorthin, hinaus"). Das Adverb </w:t>
      </w:r>
      <w:r>
        <w:rPr>
          <w:rStyle w:val="Fett"/>
          <w:rFonts w:eastAsiaTheme="majorEastAsia"/>
          <w:rtl/>
        </w:rPr>
        <w:t>שָׁמָּה</w:t>
      </w:r>
      <w:r>
        <w:rPr>
          <w:rtl/>
        </w:rPr>
        <w:t xml:space="preserve"> </w:t>
      </w:r>
      <w:r>
        <w:t xml:space="preserve">(„dorthin") bezieht sich auf den designierten Platz. Das zusätzliche </w:t>
      </w:r>
      <w:r>
        <w:rPr>
          <w:rStyle w:val="Fett"/>
          <w:rFonts w:eastAsiaTheme="majorEastAsia"/>
          <w:rtl/>
        </w:rPr>
        <w:t>חוּץ</w:t>
      </w:r>
      <w:r>
        <w:rPr>
          <w:rtl/>
        </w:rPr>
        <w:t xml:space="preserve"> </w:t>
      </w:r>
      <w:r>
        <w:t>(„hinaus, draußen") verstärkt die Richtung: aus dem Lager hinaus. Die Ratio: Hygiene und kultische Reinheit. V. 14-15 werden dies weiter erklären und begründen. Die Anordnung zeigt: Israel soll auch im Militärlager hohe hygienische und kultische Standards einhalten.</w:t>
      </w:r>
    </w:p>
    <w:p w14:paraId="74843C4B" w14:textId="77777777" w:rsidR="0077321D" w:rsidRPr="0077321D" w:rsidRDefault="0077321D" w:rsidP="0077321D">
      <w:pPr>
        <w:spacing w:before="100" w:beforeAutospacing="1" w:after="100" w:afterAutospacing="1" w:line="240" w:lineRule="auto"/>
        <w:outlineLvl w:val="1"/>
        <w:rPr>
          <w:rFonts w:eastAsia="Times New Roman"/>
          <w:b/>
          <w:bCs/>
          <w:sz w:val="36"/>
          <w:szCs w:val="36"/>
          <w:lang w:eastAsia="de-DE"/>
        </w:rPr>
      </w:pPr>
      <w:r w:rsidRPr="0077321D">
        <w:rPr>
          <w:rFonts w:eastAsia="Times New Roman"/>
          <w:b/>
          <w:bCs/>
          <w:sz w:val="36"/>
          <w:szCs w:val="36"/>
          <w:lang w:eastAsia="de-DE"/>
        </w:rPr>
        <w:t>Vers 13 (MT 23,13) / Vers 12 (LXX 23,12)</w:t>
      </w:r>
    </w:p>
    <w:p w14:paraId="68397F28" w14:textId="345E6706" w:rsidR="0077321D" w:rsidRPr="0077321D" w:rsidRDefault="0077321D" w:rsidP="0077321D">
      <w:pPr>
        <w:spacing w:before="100" w:beforeAutospacing="1" w:after="100" w:afterAutospacing="1" w:line="240" w:lineRule="auto"/>
        <w:rPr>
          <w:rFonts w:eastAsia="Times New Roman"/>
          <w:lang w:eastAsia="de-DE"/>
        </w:rPr>
      </w:pPr>
      <w:r w:rsidRPr="0077321D">
        <w:rPr>
          <w:rFonts w:eastAsia="Times New Roman"/>
          <w:b/>
          <w:bCs/>
          <w:lang w:eastAsia="de-DE"/>
        </w:rPr>
        <w:t>Die LXX</w:t>
      </w:r>
      <w:r w:rsidRPr="0077321D">
        <w:rPr>
          <w:rFonts w:eastAsia="Times New Roman"/>
          <w:lang w:eastAsia="de-DE"/>
        </w:rPr>
        <w:t xml:space="preserve"> übersetzt </w:t>
      </w:r>
      <w:r w:rsidRPr="0077321D">
        <w:rPr>
          <w:rFonts w:eastAsia="Times New Roman"/>
          <w:rtl/>
          <w:lang w:eastAsia="de-DE"/>
        </w:rPr>
        <w:t>יָד</w:t>
      </w:r>
      <w:r w:rsidRPr="0077321D">
        <w:rPr>
          <w:rFonts w:eastAsia="Times New Roman"/>
          <w:lang w:eastAsia="de-DE"/>
        </w:rPr>
        <w:t xml:space="preserve"> (Hand, hier: Ort) mit </w:t>
      </w:r>
      <w:proofErr w:type="spellStart"/>
      <w:r w:rsidRPr="0077321D">
        <w:rPr>
          <w:rFonts w:eastAsia="Times New Roman"/>
          <w:lang w:eastAsia="de-DE"/>
        </w:rPr>
        <w:t>τό</w:t>
      </w:r>
      <w:proofErr w:type="spellEnd"/>
      <w:r w:rsidRPr="0077321D">
        <w:rPr>
          <w:rFonts w:eastAsia="Times New Roman"/>
          <w:lang w:eastAsia="de-DE"/>
        </w:rPr>
        <w:t>πος (Ort) – eine direkte Wiedergabe statt der hebräischen Metapher.</w:t>
      </w:r>
    </w:p>
    <w:p w14:paraId="1C998124" w14:textId="77777777" w:rsidR="00277B46" w:rsidRDefault="00277B46" w:rsidP="00277B46">
      <w:pPr>
        <w:pStyle w:val="whitespace-normal"/>
      </w:pPr>
      <w:r>
        <w:rPr>
          <w:rStyle w:val="Fett"/>
          <w:rFonts w:eastAsiaTheme="majorEastAsia"/>
        </w:rPr>
        <w:t>Die Satzstruktur:</w:t>
      </w:r>
      <w:r>
        <w:t xml:space="preserve"> Zwei Anweisungen (und einen Platz haben sollst du außerhalb des Lagers, und hinausgehen sollst du dorthin hinaus).</w:t>
      </w:r>
    </w:p>
    <w:p w14:paraId="29A047E5" w14:textId="219ABD07" w:rsidR="00277B46" w:rsidRDefault="00277B46" w:rsidP="0039595E">
      <w:pPr>
        <w:pStyle w:val="whitespace-normal"/>
      </w:pPr>
      <w:r>
        <w:rPr>
          <w:rStyle w:val="Fett"/>
          <w:rFonts w:eastAsiaTheme="majorEastAsia"/>
        </w:rPr>
        <w:t>Der Vers beschreibt:</w:t>
      </w:r>
      <w:r>
        <w:t xml:space="preserve"> Israel soll einen designierten Platz außerhalb des Lagers haben, wohin man zur Notdurft hinausgeht.</w:t>
      </w:r>
    </w:p>
    <w:p w14:paraId="04F2EBD8" w14:textId="77777777" w:rsidR="00277B46" w:rsidRPr="00B27A64" w:rsidRDefault="00277B46" w:rsidP="00277B46">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23,14</w:t>
      </w:r>
    </w:p>
    <w:p w14:paraId="764E742A" w14:textId="77777777" w:rsidR="00277B46" w:rsidRDefault="00277B46" w:rsidP="00277B46">
      <w:pPr>
        <w:pStyle w:val="whitespace-normal"/>
      </w:pPr>
      <w:r>
        <w:rPr>
          <w:rStyle w:val="Fett"/>
          <w:rFonts w:eastAsiaTheme="majorEastAsia"/>
        </w:rPr>
        <w:t>Hebräisch:</w:t>
      </w:r>
      <w:r>
        <w:t xml:space="preserve"> </w:t>
      </w:r>
      <w:r>
        <w:rPr>
          <w:rtl/>
        </w:rPr>
        <w:t>וְיָתֵ֛ד תִּהְיֶ֥ה לְךָ֖ עַל־אֲזֵנֶ֑ךָ וְהָיָה֙ בְּשִׁבְתְּךָ֣ ח֔וּץ וְחָפַרְתָּ֣ה בָ֔הּ וְשַׁבְתָּ֖ וְכִסִּ֥יתָ אֶת־צֵאָתֶֽךָ׃</w:t>
      </w:r>
    </w:p>
    <w:p w14:paraId="3ACB6007" w14:textId="77777777" w:rsidR="00277B46" w:rsidRDefault="00277B46" w:rsidP="00277B46">
      <w:pPr>
        <w:pStyle w:val="whitespace-normal"/>
      </w:pPr>
      <w:r>
        <w:rPr>
          <w:rStyle w:val="Fett"/>
          <w:rFonts w:eastAsiaTheme="majorEastAsia"/>
        </w:rPr>
        <w:t>Deutsch:</w:t>
      </w:r>
      <w:r>
        <w:t xml:space="preserve"> Und eine Schaufel sollst du haben bei deinem Gerät; und es soll geschehen, wenn du dich draußen hinsetzt, so sollst du damit graben, und sollst dich umwenden und deine Ausscheidung bedecken.</w:t>
      </w:r>
    </w:p>
    <w:p w14:paraId="272FAE42" w14:textId="77777777" w:rsidR="00277B46" w:rsidRDefault="004F5CEB" w:rsidP="00277B46">
      <w:r>
        <w:rPr>
          <w:noProof/>
        </w:rPr>
        <w:pict w14:anchorId="1436A604">
          <v:rect id="_x0000_i1638" style="width:0;height:1.5pt" o:hralign="center" o:hrstd="t" o:hr="t" fillcolor="#a0a0a0" stroked="f"/>
        </w:pict>
      </w:r>
    </w:p>
    <w:p w14:paraId="6B3CD8EA" w14:textId="77777777" w:rsidR="00277B46" w:rsidRDefault="00277B46" w:rsidP="00277B46">
      <w:pPr>
        <w:pStyle w:val="whitespace-normal"/>
      </w:pPr>
      <w:r>
        <w:rPr>
          <w:rStyle w:val="Fett"/>
          <w:rFonts w:eastAsiaTheme="majorEastAsia"/>
        </w:rPr>
        <w:t>Kommentar:</w:t>
      </w:r>
      <w:r>
        <w:t xml:space="preserve"> </w:t>
      </w:r>
      <w:r>
        <w:rPr>
          <w:rStyle w:val="Fett"/>
          <w:rFonts w:eastAsiaTheme="majorEastAsia"/>
          <w:rtl/>
        </w:rPr>
        <w:t>וְיָתֵד תִּהְיֶה לְךָ עַל־אֲזֵנֶךָ וְהָיָה בְּשִׁבְתְּךָ חוּץ וְחָפַרְתָּה בָהּ וְשַׁבְתָּ וְכִסִּיתָ אֶת־צֵאָתֶךָ</w:t>
      </w:r>
      <w:r>
        <w:rPr>
          <w:rtl/>
        </w:rPr>
        <w:t xml:space="preserve"> </w:t>
      </w:r>
      <w:r>
        <w:t xml:space="preserve">sind fünf Anweisungen: </w:t>
      </w:r>
      <w:r>
        <w:rPr>
          <w:rStyle w:val="Fett"/>
          <w:rFonts w:eastAsiaTheme="majorEastAsia"/>
          <w:rtl/>
        </w:rPr>
        <w:t>וְיָתֵד תִּהְיֶה לְךָ עַל־אֲזֵנֶךָ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יָתֵד</w:t>
      </w:r>
      <w:r>
        <w:t xml:space="preserve">, „Pflock, Zeltpflock" – hier: „Schaufel, Grabgerät", </w:t>
      </w:r>
      <w:r>
        <w:rPr>
          <w:rStyle w:val="Fett"/>
          <w:rFonts w:eastAsiaTheme="majorEastAsia"/>
          <w:rtl/>
        </w:rPr>
        <w:t>היה</w:t>
      </w:r>
      <w:r>
        <w:t xml:space="preserve">, Qal Imperfekt, 3. Person Femininum Singular, </w:t>
      </w:r>
      <w:r>
        <w:rPr>
          <w:rStyle w:val="Fett"/>
          <w:rFonts w:eastAsiaTheme="majorEastAsia"/>
          <w:rtl/>
        </w:rPr>
        <w:t>לְךָ</w:t>
      </w:r>
      <w:r>
        <w:t xml:space="preserve">, Dativ, </w:t>
      </w:r>
      <w:r>
        <w:rPr>
          <w:rStyle w:val="Fett"/>
          <w:rFonts w:eastAsiaTheme="majorEastAsia"/>
          <w:rtl/>
        </w:rPr>
        <w:t>עַל־אֲזֵנֶךָ</w:t>
      </w:r>
      <w:r>
        <w:t xml:space="preserve">, Präposition </w:t>
      </w:r>
      <w:r>
        <w:rPr>
          <w:rStyle w:val="Fett"/>
          <w:rFonts w:eastAsiaTheme="majorEastAsia"/>
          <w:rtl/>
        </w:rPr>
        <w:t>עַל</w:t>
      </w:r>
      <w:r>
        <w:rPr>
          <w:rtl/>
        </w:rPr>
        <w:t xml:space="preserve"> </w:t>
      </w:r>
      <w:r>
        <w:t xml:space="preserve">mit </w:t>
      </w:r>
      <w:r>
        <w:rPr>
          <w:rStyle w:val="Fett"/>
          <w:rFonts w:eastAsiaTheme="majorEastAsia"/>
          <w:rtl/>
        </w:rPr>
        <w:t>אָזֵן</w:t>
      </w:r>
      <w:r>
        <w:t xml:space="preserve">, „Gerät, Ausrüstung", mit Suffix 2. Person Maskulinum Singular – „bei deinem Gerät, an deiner Ausrüstung"), </w:t>
      </w:r>
      <w:r>
        <w:rPr>
          <w:rStyle w:val="Fett"/>
          <w:rFonts w:eastAsiaTheme="majorEastAsia"/>
          <w:rtl/>
        </w:rPr>
        <w:t>וְהָיָה בְּשִׁבְתְּךָ חוּץ</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3. Person Maskulinum Singular, </w:t>
      </w:r>
      <w:r>
        <w:rPr>
          <w:rStyle w:val="Fett"/>
          <w:rFonts w:eastAsiaTheme="majorEastAsia"/>
          <w:rtl/>
        </w:rPr>
        <w:t>בְּשִׁבְתְּךָ</w:t>
      </w:r>
      <w:r>
        <w:t xml:space="preserve">, Präposition </w:t>
      </w:r>
      <w:r>
        <w:rPr>
          <w:rStyle w:val="Fett"/>
          <w:rFonts w:eastAsiaTheme="majorEastAsia"/>
          <w:rtl/>
        </w:rPr>
        <w:t>בְּ</w:t>
      </w:r>
      <w:r>
        <w:rPr>
          <w:rtl/>
        </w:rPr>
        <w:t xml:space="preserve"> </w:t>
      </w:r>
      <w:r>
        <w:t xml:space="preserve">mit Qal Infinitiv Construct von </w:t>
      </w:r>
      <w:r>
        <w:rPr>
          <w:rStyle w:val="Fett"/>
          <w:rFonts w:eastAsiaTheme="majorEastAsia"/>
          <w:rtl/>
        </w:rPr>
        <w:t>ישׁב</w:t>
      </w:r>
      <w:r>
        <w:t xml:space="preserve">, „sitzen, sich setzen", mit Suffix 2. Person Maskulinum Singular – „wenn du dich setzt", </w:t>
      </w:r>
      <w:r>
        <w:rPr>
          <w:rStyle w:val="Fett"/>
          <w:rFonts w:eastAsiaTheme="majorEastAsia"/>
          <w:rtl/>
        </w:rPr>
        <w:t>חוּץ</w:t>
      </w:r>
      <w:r>
        <w:t xml:space="preserve">, „draußen", mit </w:t>
      </w:r>
      <w:r>
        <w:rPr>
          <w:rStyle w:val="Fett"/>
          <w:rFonts w:eastAsiaTheme="majorEastAsia"/>
        </w:rPr>
        <w:t>Waw</w:t>
      </w:r>
      <w:r>
        <w:t xml:space="preserve"> consecutives Perfekt), </w:t>
      </w:r>
      <w:r>
        <w:rPr>
          <w:rStyle w:val="Fett"/>
          <w:rFonts w:eastAsiaTheme="majorEastAsia"/>
          <w:rtl/>
        </w:rPr>
        <w:t>וְחָפַרְתָּה בָהּ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חפר</w:t>
      </w:r>
      <w:r>
        <w:t xml:space="preserve">, Qal Perfekt, 2. Person Maskulinum Singular, „graben", mit Paragogischem </w:t>
      </w:r>
      <w:r>
        <w:rPr>
          <w:rStyle w:val="Fett"/>
          <w:rFonts w:eastAsiaTheme="majorEastAsia"/>
          <w:rtl/>
        </w:rPr>
        <w:t>ה</w:t>
      </w:r>
      <w:r>
        <w:t xml:space="preserve">, </w:t>
      </w:r>
      <w:r>
        <w:rPr>
          <w:rStyle w:val="Fett"/>
          <w:rFonts w:eastAsiaTheme="majorEastAsia"/>
          <w:rtl/>
        </w:rPr>
        <w:t>בָהּ</w:t>
      </w:r>
      <w:r>
        <w:t xml:space="preserve">, Präposition </w:t>
      </w:r>
      <w:r>
        <w:rPr>
          <w:rStyle w:val="Fett"/>
          <w:rFonts w:eastAsiaTheme="majorEastAsia"/>
          <w:rtl/>
        </w:rPr>
        <w:t>בְּ</w:t>
      </w:r>
      <w:r>
        <w:rPr>
          <w:rtl/>
        </w:rPr>
        <w:t xml:space="preserve"> </w:t>
      </w:r>
      <w:r>
        <w:t xml:space="preserve">mit Suffix 3. Person Femininum Singular – „damit", mit </w:t>
      </w:r>
      <w:r>
        <w:rPr>
          <w:rStyle w:val="Fett"/>
          <w:rFonts w:eastAsiaTheme="majorEastAsia"/>
        </w:rPr>
        <w:t>Waw</w:t>
      </w:r>
      <w:r>
        <w:t xml:space="preserve"> consecutives Perfekt), </w:t>
      </w:r>
      <w:r>
        <w:rPr>
          <w:rStyle w:val="Fett"/>
          <w:rFonts w:eastAsiaTheme="majorEastAsia"/>
          <w:rtl/>
        </w:rPr>
        <w:t>וְשַׁבְתָּ</w:t>
      </w:r>
      <w:r>
        <w:rPr>
          <w:rtl/>
        </w:rPr>
        <w:t xml:space="preserve"> </w:t>
      </w:r>
      <w:r>
        <w:lastRenderedPageBreak/>
        <w:t xml:space="preserve">(koordiniert durch </w:t>
      </w:r>
      <w:r>
        <w:rPr>
          <w:rStyle w:val="Fett"/>
          <w:rFonts w:eastAsiaTheme="majorEastAsia"/>
          <w:rtl/>
        </w:rPr>
        <w:t>וְ</w:t>
      </w:r>
      <w:r>
        <w:rPr>
          <w:rtl/>
        </w:rPr>
        <w:t xml:space="preserve"> </w:t>
      </w:r>
      <w:r>
        <w:t xml:space="preserve">mit </w:t>
      </w:r>
      <w:r>
        <w:rPr>
          <w:rStyle w:val="Fett"/>
          <w:rFonts w:eastAsiaTheme="majorEastAsia"/>
          <w:rtl/>
        </w:rPr>
        <w:t>שׁוב</w:t>
      </w:r>
      <w:r>
        <w:t xml:space="preserve">, Qal Perfekt, 2. Person Maskulinum Singular, „zurückkehren, sich umwenden", mit </w:t>
      </w:r>
      <w:r>
        <w:rPr>
          <w:rStyle w:val="Fett"/>
          <w:rFonts w:eastAsiaTheme="majorEastAsia"/>
        </w:rPr>
        <w:t>Waw</w:t>
      </w:r>
      <w:r>
        <w:t xml:space="preserve"> consecutives Perfekt), </w:t>
      </w:r>
      <w:r>
        <w:rPr>
          <w:rStyle w:val="Fett"/>
          <w:rFonts w:eastAsiaTheme="majorEastAsia"/>
          <w:rtl/>
        </w:rPr>
        <w:t>וְכִסִּיתָ אֶת־צֵאָתֶךָ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כסה</w:t>
      </w:r>
      <w:r>
        <w:t xml:space="preserve">, Piel Perfekt, 2. Person Maskulinum Singular, „bedecken, verhüllen", Objektpartikel </w:t>
      </w:r>
      <w:r>
        <w:rPr>
          <w:rStyle w:val="Fett"/>
          <w:rFonts w:eastAsiaTheme="majorEastAsia"/>
          <w:rtl/>
        </w:rPr>
        <w:t>אֵת</w:t>
      </w:r>
      <w:r>
        <w:rPr>
          <w:rtl/>
        </w:rPr>
        <w:t xml:space="preserve"> </w:t>
      </w:r>
      <w:r>
        <w:t xml:space="preserve">mit </w:t>
      </w:r>
      <w:r>
        <w:rPr>
          <w:rStyle w:val="Fett"/>
          <w:rFonts w:eastAsiaTheme="majorEastAsia"/>
          <w:rtl/>
        </w:rPr>
        <w:t>צֵאָה</w:t>
      </w:r>
      <w:r>
        <w:t xml:space="preserve">, „Ausscheidung, Exkremente", mit Suffix 2. Person Maskulinum Singular, mit </w:t>
      </w:r>
      <w:r>
        <w:rPr>
          <w:rStyle w:val="Fett"/>
          <w:rFonts w:eastAsiaTheme="majorEastAsia"/>
        </w:rPr>
        <w:t>Waw</w:t>
      </w:r>
      <w:r>
        <w:t xml:space="preserve"> consecutives Perfekt).</w:t>
      </w:r>
    </w:p>
    <w:p w14:paraId="185A7907" w14:textId="36C8C261" w:rsidR="00277B46" w:rsidRDefault="00277B46" w:rsidP="00277B46">
      <w:pPr>
        <w:pStyle w:val="whitespace-normal"/>
      </w:pPr>
      <w:r>
        <w:t xml:space="preserve">Der Vers gibt detaillierte Anweisungen für die Notdurft außerhalb des Lagers. Die erste Anweisung: </w:t>
      </w:r>
      <w:r>
        <w:rPr>
          <w:rStyle w:val="Fett"/>
          <w:rFonts w:eastAsiaTheme="majorEastAsia"/>
          <w:rtl/>
        </w:rPr>
        <w:t>וְיָתֵד תִּהְיֶה לְךָ עַל־אֲזֵנֶךָ</w:t>
      </w:r>
      <w:r>
        <w:rPr>
          <w:rtl/>
        </w:rPr>
        <w:t xml:space="preserve"> </w:t>
      </w:r>
      <w:r>
        <w:t xml:space="preserve">(„und eine Schaufel haben sollst du bei deinem Gerät"). Das Wort </w:t>
      </w:r>
      <w:r>
        <w:rPr>
          <w:rStyle w:val="Fett"/>
          <w:rFonts w:eastAsiaTheme="majorEastAsia"/>
          <w:rtl/>
        </w:rPr>
        <w:t>יָתֵד</w:t>
      </w:r>
      <w:r>
        <w:rPr>
          <w:rtl/>
        </w:rPr>
        <w:t xml:space="preserve"> </w:t>
      </w:r>
      <w:r>
        <w:t xml:space="preserve">bedeutet eigentlich „Pflock, Zeltpflock", hier aber wahrscheinlich ein spatenähnliches Grabwerkzeug. Die Formulierung </w:t>
      </w:r>
      <w:r>
        <w:rPr>
          <w:rStyle w:val="Fett"/>
          <w:rFonts w:eastAsiaTheme="majorEastAsia"/>
          <w:rtl/>
        </w:rPr>
        <w:t>עַל־אֲזֵנֶךָ</w:t>
      </w:r>
      <w:r>
        <w:rPr>
          <w:rtl/>
        </w:rPr>
        <w:t xml:space="preserve"> </w:t>
      </w:r>
      <w:r>
        <w:t xml:space="preserve">(„bei deinem Gerät, an deiner Ausrüstung") – </w:t>
      </w:r>
      <w:r>
        <w:rPr>
          <w:rStyle w:val="Fett"/>
          <w:rFonts w:eastAsiaTheme="majorEastAsia"/>
          <w:rtl/>
        </w:rPr>
        <w:t>אָזֵן</w:t>
      </w:r>
      <w:r>
        <w:rPr>
          <w:rtl/>
        </w:rPr>
        <w:t xml:space="preserve"> </w:t>
      </w:r>
      <w:r>
        <w:t xml:space="preserve">(von </w:t>
      </w:r>
      <w:r>
        <w:rPr>
          <w:rStyle w:val="Fett"/>
          <w:rFonts w:eastAsiaTheme="majorEastAsia"/>
          <w:rtl/>
        </w:rPr>
        <w:t>אזן</w:t>
      </w:r>
      <w:r>
        <w:t xml:space="preserve">, „ausrüsten") bezeichnet die persönliche Ausrüstung oder den Gürtel. Der Soldat soll dieses Werkzeug immer bei sich tragen. Die folgenden Anweisungen beschreiben die Prozedur: (1) </w:t>
      </w:r>
      <w:r>
        <w:rPr>
          <w:rStyle w:val="Fett"/>
          <w:rFonts w:eastAsiaTheme="majorEastAsia"/>
          <w:rtl/>
        </w:rPr>
        <w:t>וְהָיָה בְּשִׁבְתְּךָ חוּץ</w:t>
      </w:r>
      <w:r>
        <w:rPr>
          <w:rtl/>
        </w:rPr>
        <w:t xml:space="preserve"> </w:t>
      </w:r>
      <w:r>
        <w:t xml:space="preserve">(„und es soll geschehen, wenn du dich setzt draußen") – euphemistische Formulierung für die Notdurft (vgl. Ri 3,24; </w:t>
      </w:r>
      <w:r w:rsidR="00664EB6">
        <w:t>1Sam</w:t>
      </w:r>
      <w:r>
        <w:t xml:space="preserve"> 24,4). (2) </w:t>
      </w:r>
      <w:r>
        <w:rPr>
          <w:rStyle w:val="Fett"/>
          <w:rFonts w:eastAsiaTheme="majorEastAsia"/>
          <w:rtl/>
        </w:rPr>
        <w:t>וְחָפַרְתָּה בָהּ</w:t>
      </w:r>
      <w:r>
        <w:rPr>
          <w:rtl/>
        </w:rPr>
        <w:t xml:space="preserve"> </w:t>
      </w:r>
      <w:r>
        <w:t xml:space="preserve">(„graben sollst du damit") – vor der Notdurft ein Loch graben. (3) </w:t>
      </w:r>
      <w:r>
        <w:rPr>
          <w:rStyle w:val="Fett"/>
          <w:rFonts w:eastAsiaTheme="majorEastAsia"/>
          <w:rtl/>
        </w:rPr>
        <w:t>וְשַׁבְתָּ</w:t>
      </w:r>
      <w:r>
        <w:rPr>
          <w:rtl/>
        </w:rPr>
        <w:t xml:space="preserve"> </w:t>
      </w:r>
      <w:r>
        <w:t xml:space="preserve">(„umwenden sollst du dich") – nach der Notdurft sich umdrehen. (4) </w:t>
      </w:r>
      <w:r>
        <w:rPr>
          <w:rStyle w:val="Fett"/>
          <w:rFonts w:eastAsiaTheme="majorEastAsia"/>
          <w:rtl/>
        </w:rPr>
        <w:t>וְכִסִּיתָ אֶת־צֵאָתֶךָ</w:t>
      </w:r>
      <w:r>
        <w:rPr>
          <w:rtl/>
        </w:rPr>
        <w:t xml:space="preserve"> </w:t>
      </w:r>
      <w:r>
        <w:t xml:space="preserve">(„bedecken sollst du deine Ausscheidung"). Das Wort </w:t>
      </w:r>
      <w:r>
        <w:rPr>
          <w:rStyle w:val="Fett"/>
          <w:rFonts w:eastAsiaTheme="majorEastAsia"/>
          <w:rtl/>
        </w:rPr>
        <w:t>צֵאָה</w:t>
      </w:r>
      <w:r>
        <w:rPr>
          <w:rtl/>
        </w:rPr>
        <w:t xml:space="preserve"> </w:t>
      </w:r>
      <w:r>
        <w:t>(„Ausscheidung, Exkremente") ist direkt, nicht euphemistisch. Die Anweisung: Exkremente mit Erde bedecken. Die Ratio: Hygiene, Würde und kultische Reinheit. V. 15 wird die theologische Begründung geben.</w:t>
      </w:r>
    </w:p>
    <w:p w14:paraId="6813E1F5" w14:textId="77777777" w:rsidR="0077321D" w:rsidRPr="0077321D" w:rsidRDefault="0077321D" w:rsidP="0077321D">
      <w:pPr>
        <w:spacing w:before="100" w:beforeAutospacing="1" w:after="100" w:afterAutospacing="1" w:line="240" w:lineRule="auto"/>
        <w:outlineLvl w:val="1"/>
        <w:rPr>
          <w:rFonts w:eastAsia="Times New Roman"/>
          <w:b/>
          <w:bCs/>
          <w:sz w:val="36"/>
          <w:szCs w:val="36"/>
          <w:lang w:eastAsia="de-DE"/>
        </w:rPr>
      </w:pPr>
      <w:r w:rsidRPr="0077321D">
        <w:rPr>
          <w:rFonts w:eastAsia="Times New Roman"/>
          <w:b/>
          <w:bCs/>
          <w:sz w:val="36"/>
          <w:szCs w:val="36"/>
          <w:lang w:eastAsia="de-DE"/>
        </w:rPr>
        <w:t>Vers 14 (MT 23,14) / Vers 13 (LXX 23,13)</w:t>
      </w:r>
    </w:p>
    <w:p w14:paraId="2115633E" w14:textId="36B06341" w:rsidR="0077321D" w:rsidRPr="0077321D" w:rsidRDefault="0077321D" w:rsidP="0077321D">
      <w:pPr>
        <w:spacing w:before="100" w:beforeAutospacing="1" w:after="100" w:afterAutospacing="1" w:line="240" w:lineRule="auto"/>
        <w:rPr>
          <w:rFonts w:eastAsia="Times New Roman"/>
          <w:lang w:eastAsia="de-DE"/>
        </w:rPr>
      </w:pPr>
      <w:r w:rsidRPr="0077321D">
        <w:rPr>
          <w:rFonts w:eastAsia="Times New Roman"/>
          <w:b/>
          <w:bCs/>
          <w:lang w:eastAsia="de-DE"/>
        </w:rPr>
        <w:t>Die LXX</w:t>
      </w:r>
      <w:r w:rsidRPr="0077321D">
        <w:rPr>
          <w:rFonts w:eastAsia="Times New Roman"/>
          <w:lang w:eastAsia="de-DE"/>
        </w:rPr>
        <w:t xml:space="preserve"> übersetzt </w:t>
      </w:r>
      <w:r w:rsidRPr="0077321D">
        <w:rPr>
          <w:rFonts w:eastAsia="Times New Roman"/>
          <w:rtl/>
          <w:lang w:eastAsia="de-DE"/>
        </w:rPr>
        <w:t>יָתֵד... עַל־אֲזֵנֶךָ</w:t>
      </w:r>
      <w:r w:rsidRPr="0077321D">
        <w:rPr>
          <w:rFonts w:eastAsia="Times New Roman"/>
          <w:lang w:eastAsia="de-DE"/>
        </w:rPr>
        <w:t xml:space="preserve"> (Pflock... an deinem Gürtel) mit π</w:t>
      </w:r>
      <w:proofErr w:type="spellStart"/>
      <w:r w:rsidRPr="0077321D">
        <w:rPr>
          <w:rFonts w:eastAsia="Times New Roman"/>
          <w:lang w:eastAsia="de-DE"/>
        </w:rPr>
        <w:t>άσσ</w:t>
      </w:r>
      <w:proofErr w:type="spellEnd"/>
      <w:r w:rsidRPr="0077321D">
        <w:rPr>
          <w:rFonts w:eastAsia="Times New Roman"/>
          <w:lang w:eastAsia="de-DE"/>
        </w:rPr>
        <w:t xml:space="preserve">αλος... ἐπὶ </w:t>
      </w:r>
      <w:proofErr w:type="spellStart"/>
      <w:r w:rsidRPr="0077321D">
        <w:rPr>
          <w:rFonts w:eastAsia="Times New Roman"/>
          <w:lang w:eastAsia="de-DE"/>
        </w:rPr>
        <w:t>τῆς</w:t>
      </w:r>
      <w:proofErr w:type="spellEnd"/>
      <w:r w:rsidRPr="0077321D">
        <w:rPr>
          <w:rFonts w:eastAsia="Times New Roman"/>
          <w:lang w:eastAsia="de-DE"/>
        </w:rPr>
        <w:t xml:space="preserve"> </w:t>
      </w:r>
      <w:proofErr w:type="spellStart"/>
      <w:r w:rsidRPr="0077321D">
        <w:rPr>
          <w:rFonts w:eastAsia="Times New Roman"/>
          <w:lang w:eastAsia="de-DE"/>
        </w:rPr>
        <w:t>ζώνης</w:t>
      </w:r>
      <w:proofErr w:type="spellEnd"/>
      <w:r w:rsidRPr="0077321D">
        <w:rPr>
          <w:rFonts w:eastAsia="Times New Roman"/>
          <w:lang w:eastAsia="de-DE"/>
        </w:rPr>
        <w:t xml:space="preserve"> </w:t>
      </w:r>
      <w:proofErr w:type="spellStart"/>
      <w:r w:rsidRPr="0077321D">
        <w:rPr>
          <w:rFonts w:eastAsia="Times New Roman"/>
          <w:lang w:eastAsia="de-DE"/>
        </w:rPr>
        <w:t>σου</w:t>
      </w:r>
      <w:proofErr w:type="spellEnd"/>
      <w:r w:rsidRPr="0077321D">
        <w:rPr>
          <w:rFonts w:eastAsia="Times New Roman"/>
          <w:lang w:eastAsia="de-DE"/>
        </w:rPr>
        <w:t xml:space="preserve"> (Pflock auf deinem Gürtel) – präzise Übersetzung. Das Verb </w:t>
      </w:r>
      <w:proofErr w:type="spellStart"/>
      <w:r w:rsidRPr="0077321D">
        <w:rPr>
          <w:rFonts w:eastAsia="Times New Roman"/>
          <w:lang w:eastAsia="de-DE"/>
        </w:rPr>
        <w:t>δι</w:t>
      </w:r>
      <w:proofErr w:type="spellEnd"/>
      <w:r w:rsidRPr="0077321D">
        <w:rPr>
          <w:rFonts w:eastAsia="Times New Roman"/>
          <w:lang w:eastAsia="de-DE"/>
        </w:rPr>
        <w:t xml:space="preserve">ακαθιζάνῃ (du dich niedersetzt) für </w:t>
      </w:r>
      <w:r w:rsidRPr="0077321D">
        <w:rPr>
          <w:rFonts w:eastAsia="Times New Roman"/>
          <w:rtl/>
          <w:lang w:eastAsia="de-DE"/>
        </w:rPr>
        <w:t>בְּשִׁבְתְּךָ חוּץ</w:t>
      </w:r>
      <w:r w:rsidRPr="0077321D">
        <w:rPr>
          <w:rFonts w:eastAsia="Times New Roman"/>
          <w:lang w:eastAsia="de-DE"/>
        </w:rPr>
        <w:t xml:space="preserve"> ist ein zusammengesetztes Verb. Die Wendung τὴν </w:t>
      </w:r>
      <w:proofErr w:type="spellStart"/>
      <w:r w:rsidRPr="0077321D">
        <w:rPr>
          <w:rFonts w:eastAsia="Times New Roman"/>
          <w:lang w:eastAsia="de-DE"/>
        </w:rPr>
        <w:t>ἀσχημοσύνην</w:t>
      </w:r>
      <w:proofErr w:type="spellEnd"/>
      <w:r w:rsidRPr="0077321D">
        <w:rPr>
          <w:rFonts w:eastAsia="Times New Roman"/>
          <w:lang w:eastAsia="de-DE"/>
        </w:rPr>
        <w:t xml:space="preserve"> </w:t>
      </w:r>
      <w:proofErr w:type="spellStart"/>
      <w:r w:rsidRPr="0077321D">
        <w:rPr>
          <w:rFonts w:eastAsia="Times New Roman"/>
          <w:lang w:eastAsia="de-DE"/>
        </w:rPr>
        <w:t>σου</w:t>
      </w:r>
      <w:proofErr w:type="spellEnd"/>
      <w:r w:rsidRPr="0077321D">
        <w:rPr>
          <w:rFonts w:eastAsia="Times New Roman"/>
          <w:lang w:eastAsia="de-DE"/>
        </w:rPr>
        <w:t xml:space="preserve"> (deine Unanständigkeit/Unsauberkeit) für </w:t>
      </w:r>
      <w:r w:rsidRPr="0077321D">
        <w:rPr>
          <w:rFonts w:eastAsia="Times New Roman"/>
          <w:rtl/>
          <w:lang w:eastAsia="de-DE"/>
        </w:rPr>
        <w:t>צֵאָתֶךָ</w:t>
      </w:r>
      <w:r w:rsidRPr="0077321D">
        <w:rPr>
          <w:rFonts w:eastAsia="Times New Roman"/>
          <w:lang w:eastAsia="de-DE"/>
        </w:rPr>
        <w:t xml:space="preserve"> (deine Ausscheidung) ist ein Euphemismus.</w:t>
      </w:r>
    </w:p>
    <w:p w14:paraId="61E1CA4C" w14:textId="77777777" w:rsidR="00277B46" w:rsidRDefault="00277B46" w:rsidP="00277B46">
      <w:pPr>
        <w:pStyle w:val="whitespace-normal"/>
      </w:pPr>
      <w:r>
        <w:rPr>
          <w:rStyle w:val="Fett"/>
          <w:rFonts w:eastAsiaTheme="majorEastAsia"/>
        </w:rPr>
        <w:t>Die Satzstruktur:</w:t>
      </w:r>
      <w:r>
        <w:t xml:space="preserve"> Fünf koordinierte Anweisungen (und eine Schaufel haben sollst du bei deinem Gerät; und es soll geschehen, wenn du dich setzt draußen, graben sollst du damit, und umwenden sollst du dich, und bedecken sollst du deine Ausscheidung).</w:t>
      </w:r>
    </w:p>
    <w:p w14:paraId="5088D7BF" w14:textId="1EC38553" w:rsidR="00277B46" w:rsidRDefault="00277B46" w:rsidP="0039595E">
      <w:pPr>
        <w:pStyle w:val="whitespace-normal"/>
      </w:pPr>
      <w:r>
        <w:rPr>
          <w:rStyle w:val="Fett"/>
          <w:rFonts w:eastAsiaTheme="majorEastAsia"/>
        </w:rPr>
        <w:t>Der Vers beschreibt:</w:t>
      </w:r>
      <w:r>
        <w:t xml:space="preserve"> Jeder Soldat soll ein Grabwerkzeug bei sich tragen, ein Loch graben, seine Notdurft verrichten, und die Exkremente bedecken.</w:t>
      </w:r>
    </w:p>
    <w:p w14:paraId="2CC9A649" w14:textId="77777777" w:rsidR="00277B46" w:rsidRPr="00B27A64" w:rsidRDefault="00277B46" w:rsidP="00277B46">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23,15</w:t>
      </w:r>
    </w:p>
    <w:p w14:paraId="4EFD0793" w14:textId="77777777" w:rsidR="00277B46" w:rsidRDefault="00277B46" w:rsidP="00277B46">
      <w:pPr>
        <w:pStyle w:val="whitespace-normal"/>
      </w:pPr>
      <w:r>
        <w:rPr>
          <w:rStyle w:val="Fett"/>
          <w:rFonts w:eastAsiaTheme="majorEastAsia"/>
        </w:rPr>
        <w:t>Hebräisch:</w:t>
      </w:r>
      <w:r>
        <w:t xml:space="preserve"> </w:t>
      </w:r>
      <w:r>
        <w:rPr>
          <w:rtl/>
        </w:rPr>
        <w:t>כִּי֩ יְהוָ֨ה אֱלֹהֶ֜יךָ מִתְהַלֵּ֣ךְ׀ בְּקֶ֣רֶב מַחֲנֶ֗ךָ לְהַצִּֽילְךָ֙ וְלָתֵ֤ת אֹיְבֶ֨יךָ֙ לְפָנֶ֔יךָ וְהָיָ֥ה מַחֲנֶ֖יךָ קָד֑וֹשׁ וְלֹֽא־יִרְאֶ֤ה בְךָ֙ עֶרְוַ֣ת דָּבָ֔ר וְשָׁ֖ב מֵאַחֲרֶֽיךָ׃</w:t>
      </w:r>
    </w:p>
    <w:p w14:paraId="5C187010" w14:textId="77777777" w:rsidR="00277B46" w:rsidRDefault="00277B46" w:rsidP="00277B46">
      <w:pPr>
        <w:pStyle w:val="whitespace-normal"/>
      </w:pPr>
      <w:r>
        <w:rPr>
          <w:rStyle w:val="Fett"/>
          <w:rFonts w:eastAsiaTheme="majorEastAsia"/>
        </w:rPr>
        <w:t>Deutsch:</w:t>
      </w:r>
      <w:r>
        <w:t xml:space="preserve"> Denn JHWH, dein Gott, wandelt inmitten deines Lagers, um dich zu retten und deine Feinde vor dir dahinzugeben; und dein Lager soll heilig sein, dass er nicht sehe bei dir die Blöße einer Sache und sich abwende von dir.</w:t>
      </w:r>
    </w:p>
    <w:p w14:paraId="308FF19A" w14:textId="77777777" w:rsidR="00277B46" w:rsidRDefault="004F5CEB" w:rsidP="00277B46">
      <w:r>
        <w:rPr>
          <w:noProof/>
        </w:rPr>
        <w:pict w14:anchorId="79AC6F2A">
          <v:rect id="_x0000_i1639" style="width:0;height:1.5pt" o:hralign="center" o:hrstd="t" o:hr="t" fillcolor="#a0a0a0" stroked="f"/>
        </w:pict>
      </w:r>
    </w:p>
    <w:p w14:paraId="1D3467FB" w14:textId="77777777" w:rsidR="00277B46" w:rsidRDefault="00277B46" w:rsidP="00277B46">
      <w:pPr>
        <w:pStyle w:val="whitespace-normal"/>
      </w:pPr>
      <w:r>
        <w:rPr>
          <w:rStyle w:val="Fett"/>
          <w:rFonts w:eastAsiaTheme="majorEastAsia"/>
        </w:rPr>
        <w:lastRenderedPageBreak/>
        <w:t>Kommentar:</w:t>
      </w:r>
      <w:r>
        <w:t xml:space="preserve"> </w:t>
      </w:r>
      <w:r>
        <w:rPr>
          <w:rStyle w:val="Fett"/>
          <w:rFonts w:eastAsiaTheme="majorEastAsia"/>
          <w:rtl/>
        </w:rPr>
        <w:t>כִּי יְהוָה אֱלֹהֶיךָ מִתְהַלֵּךְ בְּקֶרֶב מַחֲנֶךָ לְהַצִּילְךָ וְלָתֵת אֹיְבֶיךָ לְפָנֶיךָ</w:t>
      </w:r>
      <w:r>
        <w:rPr>
          <w:rtl/>
        </w:rPr>
        <w:t xml:space="preserve"> </w:t>
      </w:r>
      <w:r>
        <w:t xml:space="preserve">ist die erste Begründung: </w:t>
      </w:r>
      <w:r>
        <w:rPr>
          <w:rStyle w:val="Fett"/>
          <w:rFonts w:eastAsiaTheme="majorEastAsia"/>
          <w:rtl/>
        </w:rPr>
        <w:t>כִּי יְהוָה אֱלֹהֶיךָ מִתְהַלֵּךְ בְּקֶרֶב מַחֲנֶךָ</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יְהוָה אֱלֹהֶיךָ</w:t>
      </w:r>
      <w:r>
        <w:rPr>
          <w:rtl/>
        </w:rPr>
        <w:t xml:space="preserve"> </w:t>
      </w:r>
      <w:r>
        <w:t xml:space="preserve">als Subjekt, </w:t>
      </w:r>
      <w:r>
        <w:rPr>
          <w:rStyle w:val="Fett"/>
          <w:rFonts w:eastAsiaTheme="majorEastAsia"/>
          <w:rtl/>
        </w:rPr>
        <w:t>הלך</w:t>
      </w:r>
      <w:r>
        <w:t xml:space="preserve">, Hitpael Partizip, „umherwandeln, sich bewegen", </w:t>
      </w:r>
      <w:r>
        <w:rPr>
          <w:rStyle w:val="Fett"/>
          <w:rFonts w:eastAsiaTheme="majorEastAsia"/>
          <w:rtl/>
        </w:rPr>
        <w:t>בְּקֶרֶב מַחֲנֶךָ</w:t>
      </w:r>
      <w:r>
        <w:t xml:space="preserve">, Präposition </w:t>
      </w:r>
      <w:r>
        <w:rPr>
          <w:rStyle w:val="Fett"/>
          <w:rFonts w:eastAsiaTheme="majorEastAsia"/>
          <w:rtl/>
        </w:rPr>
        <w:t>בְּ</w:t>
      </w:r>
      <w:r>
        <w:rPr>
          <w:rtl/>
        </w:rPr>
        <w:t xml:space="preserve"> </w:t>
      </w:r>
      <w:r>
        <w:t xml:space="preserve">mit </w:t>
      </w:r>
      <w:r>
        <w:rPr>
          <w:rStyle w:val="Fett"/>
          <w:rFonts w:eastAsiaTheme="majorEastAsia"/>
          <w:rtl/>
        </w:rPr>
        <w:t>קֶרֶב</w:t>
      </w:r>
      <w:r>
        <w:t xml:space="preserve">, „Mitte, Inneres", Construct mit </w:t>
      </w:r>
      <w:r>
        <w:rPr>
          <w:rStyle w:val="Fett"/>
          <w:rFonts w:eastAsiaTheme="majorEastAsia"/>
          <w:rtl/>
        </w:rPr>
        <w:t>מַחֲנֶה</w:t>
      </w:r>
      <w:r>
        <w:rPr>
          <w:rtl/>
        </w:rPr>
        <w:t xml:space="preserve"> </w:t>
      </w:r>
      <w:r>
        <w:t xml:space="preserve">mit Suffix 2. Person Maskulinum Singular), </w:t>
      </w:r>
      <w:r>
        <w:rPr>
          <w:rStyle w:val="Fett"/>
          <w:rFonts w:eastAsiaTheme="majorEastAsia"/>
          <w:rtl/>
        </w:rPr>
        <w:t>לְהַצִּילְךָ</w:t>
      </w:r>
      <w:r>
        <w:rPr>
          <w:rtl/>
        </w:rPr>
        <w:t xml:space="preserve"> </w:t>
      </w:r>
      <w:r>
        <w:t xml:space="preserve">(Präposition </w:t>
      </w:r>
      <w:r>
        <w:rPr>
          <w:rStyle w:val="Fett"/>
          <w:rFonts w:eastAsiaTheme="majorEastAsia"/>
          <w:rtl/>
        </w:rPr>
        <w:t>לְ</w:t>
      </w:r>
      <w:r>
        <w:rPr>
          <w:rtl/>
        </w:rPr>
        <w:t xml:space="preserve"> </w:t>
      </w:r>
      <w:r>
        <w:t xml:space="preserve">mit Hiphil Infinitiv Construct von </w:t>
      </w:r>
      <w:r>
        <w:rPr>
          <w:rStyle w:val="Fett"/>
          <w:rFonts w:eastAsiaTheme="majorEastAsia"/>
          <w:rtl/>
        </w:rPr>
        <w:t>נצל</w:t>
      </w:r>
      <w:r>
        <w:t xml:space="preserve">, „retten, befreien", mit Suffix 2. Person Maskulinum Singular), </w:t>
      </w:r>
      <w:r>
        <w:rPr>
          <w:rStyle w:val="Fett"/>
          <w:rFonts w:eastAsiaTheme="majorEastAsia"/>
          <w:rtl/>
        </w:rPr>
        <w:t>וְלָתֵת אֹיְבֶיךָ לְפָנֶיךָ</w:t>
      </w:r>
      <w:r>
        <w:rPr>
          <w:rtl/>
        </w:rPr>
        <w:t xml:space="preserve"> </w:t>
      </w:r>
      <w:r>
        <w:t xml:space="preserve">(koordiniert durch </w:t>
      </w:r>
      <w:r>
        <w:rPr>
          <w:rStyle w:val="Fett"/>
          <w:rFonts w:eastAsiaTheme="majorEastAsia"/>
          <w:rtl/>
        </w:rPr>
        <w:t>וְ</w:t>
      </w:r>
      <w:r>
        <w:rPr>
          <w:rtl/>
        </w:rPr>
        <w:t xml:space="preserve"> </w:t>
      </w:r>
      <w:r>
        <w:t xml:space="preserve">mit Präposition </w:t>
      </w:r>
      <w:r>
        <w:rPr>
          <w:rStyle w:val="Fett"/>
          <w:rFonts w:eastAsiaTheme="majorEastAsia"/>
          <w:rtl/>
        </w:rPr>
        <w:t>לְ</w:t>
      </w:r>
      <w:r>
        <w:rPr>
          <w:rtl/>
        </w:rPr>
        <w:t xml:space="preserve"> </w:t>
      </w:r>
      <w:r>
        <w:t xml:space="preserve">und Qal Infinitiv Construct von </w:t>
      </w:r>
      <w:r>
        <w:rPr>
          <w:rStyle w:val="Fett"/>
          <w:rFonts w:eastAsiaTheme="majorEastAsia"/>
          <w:rtl/>
        </w:rPr>
        <w:t>נתן</w:t>
      </w:r>
      <w:r>
        <w:t xml:space="preserve">, „geben", </w:t>
      </w:r>
      <w:r>
        <w:rPr>
          <w:rStyle w:val="Fett"/>
          <w:rFonts w:eastAsiaTheme="majorEastAsia"/>
          <w:rtl/>
        </w:rPr>
        <w:t>אֹיֵב</w:t>
      </w:r>
      <w:r>
        <w:rPr>
          <w:rtl/>
        </w:rPr>
        <w:t xml:space="preserve"> </w:t>
      </w:r>
      <w:r>
        <w:t xml:space="preserve">Plural Construct mit Suffix 2. Person Maskulinum Singular, </w:t>
      </w:r>
      <w:r>
        <w:rPr>
          <w:rStyle w:val="Fett"/>
          <w:rFonts w:eastAsiaTheme="majorEastAsia"/>
          <w:rtl/>
        </w:rPr>
        <w:t>לְפָנֶיךָ</w:t>
      </w:r>
      <w:r>
        <w:t xml:space="preserve">, Präposition </w:t>
      </w:r>
      <w:r>
        <w:rPr>
          <w:rStyle w:val="Fett"/>
          <w:rFonts w:eastAsiaTheme="majorEastAsia"/>
          <w:rtl/>
        </w:rPr>
        <w:t>לְ</w:t>
      </w:r>
      <w:r>
        <w:rPr>
          <w:rtl/>
        </w:rPr>
        <w:t xml:space="preserve"> </w:t>
      </w:r>
      <w:r>
        <w:t xml:space="preserve">mit </w:t>
      </w:r>
      <w:r>
        <w:rPr>
          <w:rStyle w:val="Fett"/>
          <w:rFonts w:eastAsiaTheme="majorEastAsia"/>
          <w:rtl/>
        </w:rPr>
        <w:t>פָּנִים</w:t>
      </w:r>
      <w:r>
        <w:rPr>
          <w:rtl/>
        </w:rPr>
        <w:t xml:space="preserve"> </w:t>
      </w:r>
      <w:r>
        <w:t>Plural Construct mit Suffix 2. Person Maskulinum Singular – „vor dir").</w:t>
      </w:r>
    </w:p>
    <w:p w14:paraId="7E85C326" w14:textId="77777777" w:rsidR="00277B46" w:rsidRDefault="00277B46" w:rsidP="00277B46">
      <w:pPr>
        <w:pStyle w:val="whitespace-normal"/>
      </w:pPr>
      <w:r>
        <w:rPr>
          <w:rStyle w:val="Fett"/>
          <w:rFonts w:eastAsiaTheme="majorEastAsia"/>
          <w:rtl/>
        </w:rPr>
        <w:t>וְהָיָה מַחֲנֶיךָ קָדוֹשׁ וְלֹא־יִרְאֶה בְךָ עֶרְוַת דָּבָר וְשָׁב מֵאַחֲרֶיךָ</w:t>
      </w:r>
      <w:r>
        <w:rPr>
          <w:rtl/>
        </w:rPr>
        <w:t xml:space="preserve"> </w:t>
      </w:r>
      <w:r>
        <w:t xml:space="preserve">sind drei weitere Aussagen: </w:t>
      </w:r>
      <w:r>
        <w:rPr>
          <w:rStyle w:val="Fett"/>
          <w:rFonts w:eastAsiaTheme="majorEastAsia"/>
          <w:rtl/>
        </w:rPr>
        <w:t>וְהָיָה מַחֲנֶיךָ קָדוֹשׁ</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3. Person Maskulinum Singular, </w:t>
      </w:r>
      <w:r>
        <w:rPr>
          <w:rStyle w:val="Fett"/>
          <w:rFonts w:eastAsiaTheme="majorEastAsia"/>
          <w:rtl/>
        </w:rPr>
        <w:t>מַחֲנֶה</w:t>
      </w:r>
      <w:r>
        <w:rPr>
          <w:rtl/>
        </w:rPr>
        <w:t xml:space="preserve"> </w:t>
      </w:r>
      <w:r>
        <w:t xml:space="preserve">mit Suffix 2. Person Maskulinum Singular als Subjekt, </w:t>
      </w:r>
      <w:r>
        <w:rPr>
          <w:rStyle w:val="Fett"/>
          <w:rFonts w:eastAsiaTheme="majorEastAsia"/>
          <w:rtl/>
        </w:rPr>
        <w:t>קָדוֹשׁ</w:t>
      </w:r>
      <w:r>
        <w:t xml:space="preserve">, „heilig", mit </w:t>
      </w:r>
      <w:r>
        <w:rPr>
          <w:rStyle w:val="Fett"/>
          <w:rFonts w:eastAsiaTheme="majorEastAsia"/>
        </w:rPr>
        <w:t>Waw</w:t>
      </w:r>
      <w:r>
        <w:t xml:space="preserve"> consecutives Perfekt), </w:t>
      </w:r>
      <w:r>
        <w:rPr>
          <w:rStyle w:val="Fett"/>
          <w:rFonts w:eastAsiaTheme="majorEastAsia"/>
          <w:rtl/>
        </w:rPr>
        <w:t>וְלֹא־יִרְאֶה בְךָ עֶרְוַת דָּבָר</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ראה</w:t>
      </w:r>
      <w:r>
        <w:t xml:space="preserve">, Qal Imperfekt, 3. Person Maskulinum Singular, „sehen", </w:t>
      </w:r>
      <w:r>
        <w:rPr>
          <w:rStyle w:val="Fett"/>
          <w:rFonts w:eastAsiaTheme="majorEastAsia"/>
          <w:rtl/>
        </w:rPr>
        <w:t>בְךָ</w:t>
      </w:r>
      <w:r>
        <w:t xml:space="preserve">, Präposition </w:t>
      </w:r>
      <w:r>
        <w:rPr>
          <w:rStyle w:val="Fett"/>
          <w:rFonts w:eastAsiaTheme="majorEastAsia"/>
          <w:rtl/>
        </w:rPr>
        <w:t>בְּ</w:t>
      </w:r>
      <w:r>
        <w:rPr>
          <w:rtl/>
        </w:rPr>
        <w:t xml:space="preserve"> </w:t>
      </w:r>
      <w:r>
        <w:t xml:space="preserve">mit Suffix 2. Person Maskulinum Singular – „bei dir, an dir", </w:t>
      </w:r>
      <w:r>
        <w:rPr>
          <w:rStyle w:val="Fett"/>
          <w:rFonts w:eastAsiaTheme="majorEastAsia"/>
          <w:rtl/>
        </w:rPr>
        <w:t>עֶרְוַת דָּבָר</w:t>
      </w:r>
      <w:r>
        <w:t xml:space="preserve">, </w:t>
      </w:r>
      <w:r>
        <w:rPr>
          <w:rStyle w:val="Fett"/>
          <w:rFonts w:eastAsiaTheme="majorEastAsia"/>
          <w:rtl/>
        </w:rPr>
        <w:t>עֶרְוָה</w:t>
      </w:r>
      <w:r>
        <w:t xml:space="preserve">, „Blöße, Nacktheit, Scham, Unreinheit", Construct mit </w:t>
      </w:r>
      <w:r>
        <w:rPr>
          <w:rStyle w:val="Fett"/>
          <w:rFonts w:eastAsiaTheme="majorEastAsia"/>
          <w:rtl/>
        </w:rPr>
        <w:t>דָּבָר</w:t>
      </w:r>
      <w:r>
        <w:t xml:space="preserve">, „Sache" – „Blöße einer Sache, etwas Anstößiges, etwas Unanständiges"), </w:t>
      </w:r>
      <w:r>
        <w:rPr>
          <w:rStyle w:val="Fett"/>
          <w:rFonts w:eastAsiaTheme="majorEastAsia"/>
          <w:rtl/>
        </w:rPr>
        <w:t>וְשָׁב מֵאַחֲרֶיךָ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שׁוב</w:t>
      </w:r>
      <w:r>
        <w:t xml:space="preserve">, Qal Perfekt, 3. Person Maskulinum Singular, „zurückkehren, sich abwenden", Präposition </w:t>
      </w:r>
      <w:r>
        <w:rPr>
          <w:rStyle w:val="Fett"/>
          <w:rFonts w:eastAsiaTheme="majorEastAsia"/>
          <w:rtl/>
        </w:rPr>
        <w:t>מִן</w:t>
      </w:r>
      <w:r>
        <w:rPr>
          <w:rtl/>
        </w:rPr>
        <w:t xml:space="preserve"> </w:t>
      </w:r>
      <w:r>
        <w:t xml:space="preserve">mit </w:t>
      </w:r>
      <w:r>
        <w:rPr>
          <w:rStyle w:val="Fett"/>
          <w:rFonts w:eastAsiaTheme="majorEastAsia"/>
          <w:rtl/>
        </w:rPr>
        <w:t>אַחַר</w:t>
      </w:r>
      <w:r>
        <w:rPr>
          <w:rtl/>
        </w:rPr>
        <w:t xml:space="preserve"> </w:t>
      </w:r>
      <w:r>
        <w:t>Plural Construct mit Suffix 2. Person Maskulinum Singular – „von hinten dir, von dir weg").</w:t>
      </w:r>
    </w:p>
    <w:p w14:paraId="6C9C8722" w14:textId="2B2E5B75" w:rsidR="00277B46" w:rsidRDefault="00277B46" w:rsidP="00277B46">
      <w:pPr>
        <w:pStyle w:val="whitespace-normal"/>
      </w:pPr>
      <w:r>
        <w:t xml:space="preserve">Der Vers gibt die theologische Begründung für alle Reinheitsgebote im Kriegslager (V. 10-14). Die erste Begründung: </w:t>
      </w:r>
      <w:r>
        <w:rPr>
          <w:rStyle w:val="Fett"/>
          <w:rFonts w:eastAsiaTheme="majorEastAsia"/>
          <w:rtl/>
        </w:rPr>
        <w:t>כִּי יְהוָה אֱלֹהֶיךָ מִתְהַלֵּךְ בְּקֶרֶב מַחֲנֶךָ לְהַצִּילְךָ וְלָתֵת אֹיְבֶיךָ לְפָנֶיךָ</w:t>
      </w:r>
      <w:r>
        <w:rPr>
          <w:rtl/>
        </w:rPr>
        <w:t xml:space="preserve"> </w:t>
      </w:r>
      <w:r>
        <w:t xml:space="preserve">(„denn JHWH, dein Gott, wandelt inmitten deines Lagers, um dich zu retten und zu geben deine Feinde vor dir"). Das Hitpael Partizip </w:t>
      </w:r>
      <w:r>
        <w:rPr>
          <w:rStyle w:val="Fett"/>
          <w:rFonts w:eastAsiaTheme="majorEastAsia"/>
          <w:rtl/>
        </w:rPr>
        <w:t>מִתְהַלֵּךְ</w:t>
      </w:r>
      <w:r>
        <w:rPr>
          <w:rtl/>
        </w:rPr>
        <w:t xml:space="preserve"> </w:t>
      </w:r>
      <w:r>
        <w:t xml:space="preserve">(„wandelnd, umherwandelnd") drückt kontinuierliche Präsenz aus – JHWH ist ständig im Lager gegenwärtig (vgl. Lev 26,12; </w:t>
      </w:r>
      <w:r w:rsidR="00664EB6">
        <w:t>2Sam</w:t>
      </w:r>
      <w:r>
        <w:t xml:space="preserve"> 7,6-7). Die Ortsangabe </w:t>
      </w:r>
      <w:r>
        <w:rPr>
          <w:rStyle w:val="Fett"/>
          <w:rFonts w:eastAsiaTheme="majorEastAsia"/>
          <w:rtl/>
        </w:rPr>
        <w:t>בְּקֶרֶב מַחֲנֶךָ</w:t>
      </w:r>
      <w:r>
        <w:rPr>
          <w:rtl/>
        </w:rPr>
        <w:t xml:space="preserve"> </w:t>
      </w:r>
      <w:r>
        <w:t xml:space="preserve">(„inmitten deines Lagers, im Inneren deines Lagers") betont: nicht nur in der Nähe, sondern mittendrin. Die Zwecke der Präsenz: (1) </w:t>
      </w:r>
      <w:r>
        <w:rPr>
          <w:rStyle w:val="Fett"/>
          <w:rFonts w:eastAsiaTheme="majorEastAsia"/>
          <w:rtl/>
        </w:rPr>
        <w:t>לְהַצִּילְךָ</w:t>
      </w:r>
      <w:r>
        <w:rPr>
          <w:rtl/>
        </w:rPr>
        <w:t xml:space="preserve"> </w:t>
      </w:r>
      <w:r>
        <w:t xml:space="preserve">(„um dich zu retten") – Schutz im Krieg. (2) </w:t>
      </w:r>
      <w:r>
        <w:rPr>
          <w:rStyle w:val="Fett"/>
          <w:rFonts w:eastAsiaTheme="majorEastAsia"/>
          <w:rtl/>
        </w:rPr>
        <w:t>וְלָתֵת אֹיְבֶיךָ לְפָנֶיךָ</w:t>
      </w:r>
      <w:r>
        <w:rPr>
          <w:rtl/>
        </w:rPr>
        <w:t xml:space="preserve"> </w:t>
      </w:r>
      <w:r>
        <w:t xml:space="preserve">(„und um zu geben deine Feinde vor dir") – Sieg über Feinde. Die Formulierung </w:t>
      </w:r>
      <w:r>
        <w:rPr>
          <w:rStyle w:val="Fett"/>
          <w:rFonts w:eastAsiaTheme="majorEastAsia"/>
          <w:rtl/>
        </w:rPr>
        <w:t>לָתֵת לְפָנֶיךָ</w:t>
      </w:r>
      <w:r>
        <w:rPr>
          <w:rtl/>
        </w:rPr>
        <w:t xml:space="preserve"> </w:t>
      </w:r>
      <w:r>
        <w:t xml:space="preserve">(„geben vor dir") bedeutet: in deine Gewalt geben, dir ausliefern. Die Konsequenz: </w:t>
      </w:r>
      <w:r>
        <w:rPr>
          <w:rStyle w:val="Fett"/>
          <w:rFonts w:eastAsiaTheme="majorEastAsia"/>
          <w:rtl/>
        </w:rPr>
        <w:t>וְהָיָה מַחֲנֶיךָ קָדוֹשׁ</w:t>
      </w:r>
      <w:r>
        <w:rPr>
          <w:rtl/>
        </w:rPr>
        <w:t xml:space="preserve"> </w:t>
      </w:r>
      <w:r>
        <w:t xml:space="preserve">(„und heilig sein soll dein Lager"). Das Adjektiv </w:t>
      </w:r>
      <w:r>
        <w:rPr>
          <w:rStyle w:val="Fett"/>
          <w:rFonts w:eastAsiaTheme="majorEastAsia"/>
          <w:rtl/>
        </w:rPr>
        <w:t>קָדוֹשׁ</w:t>
      </w:r>
      <w:r>
        <w:rPr>
          <w:rtl/>
        </w:rPr>
        <w:t xml:space="preserve"> </w:t>
      </w:r>
      <w:r>
        <w:t xml:space="preserve">(„heilig") – </w:t>
      </w:r>
      <w:proofErr w:type="spellStart"/>
      <w:r>
        <w:t>wegen</w:t>
      </w:r>
      <w:proofErr w:type="spellEnd"/>
      <w:r>
        <w:t xml:space="preserve"> JHWHs Präsenz muss das Lager heilig sein (abgesondert, rein). Die Warnung: </w:t>
      </w:r>
      <w:r>
        <w:rPr>
          <w:rStyle w:val="Fett"/>
          <w:rFonts w:eastAsiaTheme="majorEastAsia"/>
          <w:rtl/>
        </w:rPr>
        <w:t>וְלֹא־יִרְאֶה בְךָ עֶרְוַת דָּבָר וְשָׁב מֵאַחֲרֶיךָ</w:t>
      </w:r>
      <w:r>
        <w:rPr>
          <w:rtl/>
        </w:rPr>
        <w:t xml:space="preserve"> </w:t>
      </w:r>
      <w:r>
        <w:t xml:space="preserve">(„und nicht sehen soll er bei dir die Blöße einer Sache, und sich abwenden von dir"). Die Formulierung </w:t>
      </w:r>
      <w:r>
        <w:rPr>
          <w:rStyle w:val="Fett"/>
          <w:rFonts w:eastAsiaTheme="majorEastAsia"/>
          <w:rtl/>
        </w:rPr>
        <w:t>עֶרְוַת דָּבָר</w:t>
      </w:r>
      <w:r>
        <w:rPr>
          <w:rtl/>
        </w:rPr>
        <w:t xml:space="preserve"> </w:t>
      </w:r>
      <w:r>
        <w:t xml:space="preserve">(„Blöße einer Sache, etwas Anstößiges") bezeichnet alles Unreine, Unanständige, Unheilige – einschließlich unbedeckter Exkremente (V. 13-14) oder ritueller Unreinheit (V. 11-12). Das Verb </w:t>
      </w:r>
      <w:r>
        <w:rPr>
          <w:rStyle w:val="Fett"/>
          <w:rFonts w:eastAsiaTheme="majorEastAsia"/>
          <w:rtl/>
        </w:rPr>
        <w:t>שׁוב מֵאַחֲרֶי</w:t>
      </w:r>
      <w:r>
        <w:rPr>
          <w:rtl/>
        </w:rPr>
        <w:t xml:space="preserve"> </w:t>
      </w:r>
      <w:r>
        <w:t>(„sich abwenden von, zurückkehren weg von") – wenn Unreinheit im Lager ist, könnte JHWH sich zurückziehen, seine Gegenwart und seinen Schutz entziehen. Die Ratio aller Reinheitsgebote im Kriegslager: JHWHs Gegenwart erfordert Heiligkeit.</w:t>
      </w:r>
    </w:p>
    <w:p w14:paraId="6F3EE7E2" w14:textId="77777777" w:rsidR="0077321D" w:rsidRPr="0077321D" w:rsidRDefault="0077321D" w:rsidP="0077321D">
      <w:pPr>
        <w:spacing w:before="100" w:beforeAutospacing="1" w:after="100" w:afterAutospacing="1" w:line="240" w:lineRule="auto"/>
        <w:outlineLvl w:val="1"/>
        <w:rPr>
          <w:rFonts w:eastAsia="Times New Roman"/>
          <w:b/>
          <w:bCs/>
          <w:sz w:val="36"/>
          <w:szCs w:val="36"/>
          <w:lang w:eastAsia="de-DE"/>
        </w:rPr>
      </w:pPr>
      <w:r w:rsidRPr="0077321D">
        <w:rPr>
          <w:rFonts w:eastAsia="Times New Roman"/>
          <w:b/>
          <w:bCs/>
          <w:sz w:val="36"/>
          <w:szCs w:val="36"/>
          <w:lang w:eastAsia="de-DE"/>
        </w:rPr>
        <w:t>Vers 15 (MT 23,15) / Vers 14 (LXX 23,14)</w:t>
      </w:r>
    </w:p>
    <w:p w14:paraId="50666B70" w14:textId="31FD9294" w:rsidR="0077321D" w:rsidRPr="0077321D" w:rsidRDefault="0077321D" w:rsidP="0077321D">
      <w:pPr>
        <w:spacing w:before="100" w:beforeAutospacing="1" w:after="100" w:afterAutospacing="1" w:line="240" w:lineRule="auto"/>
        <w:rPr>
          <w:rFonts w:eastAsia="Times New Roman"/>
          <w:lang w:eastAsia="de-DE"/>
        </w:rPr>
      </w:pPr>
      <w:r w:rsidRPr="0077321D">
        <w:rPr>
          <w:rFonts w:eastAsia="Times New Roman"/>
          <w:b/>
          <w:bCs/>
          <w:lang w:eastAsia="de-DE"/>
        </w:rPr>
        <w:t>Die LXX</w:t>
      </w:r>
      <w:r w:rsidRPr="0077321D">
        <w:rPr>
          <w:rFonts w:eastAsia="Times New Roman"/>
          <w:lang w:eastAsia="de-DE"/>
        </w:rPr>
        <w:t xml:space="preserve"> übersetzt </w:t>
      </w:r>
      <w:r w:rsidRPr="0077321D">
        <w:rPr>
          <w:rFonts w:eastAsia="Times New Roman"/>
          <w:rtl/>
          <w:lang w:eastAsia="de-DE"/>
        </w:rPr>
        <w:t>עֶרְוַת דָּבָר</w:t>
      </w:r>
      <w:r w:rsidRPr="0077321D">
        <w:rPr>
          <w:rFonts w:eastAsia="Times New Roman"/>
          <w:lang w:eastAsia="de-DE"/>
        </w:rPr>
        <w:t xml:space="preserve"> (Blöße/Nacktheit einer Sache) mit </w:t>
      </w:r>
      <w:proofErr w:type="spellStart"/>
      <w:r w:rsidRPr="0077321D">
        <w:rPr>
          <w:rFonts w:eastAsia="Times New Roman"/>
          <w:lang w:eastAsia="de-DE"/>
        </w:rPr>
        <w:t>ἀσχημοσύνη</w:t>
      </w:r>
      <w:proofErr w:type="spellEnd"/>
      <w:r w:rsidRPr="0077321D">
        <w:rPr>
          <w:rFonts w:eastAsia="Times New Roman"/>
          <w:lang w:eastAsia="de-DE"/>
        </w:rPr>
        <w:t xml:space="preserve"> π</w:t>
      </w:r>
      <w:proofErr w:type="spellStart"/>
      <w:r w:rsidRPr="0077321D">
        <w:rPr>
          <w:rFonts w:eastAsia="Times New Roman"/>
          <w:lang w:eastAsia="de-DE"/>
        </w:rPr>
        <w:t>ράγμ</w:t>
      </w:r>
      <w:proofErr w:type="spellEnd"/>
      <w:r w:rsidRPr="0077321D">
        <w:rPr>
          <w:rFonts w:eastAsia="Times New Roman"/>
          <w:lang w:eastAsia="de-DE"/>
        </w:rPr>
        <w:t>ατος (Unanständigkeit/Unsauberkeit einer Sache) – beide Begriffe sind euphemistisch für etwas Ungehöriges.</w:t>
      </w:r>
    </w:p>
    <w:p w14:paraId="4BF906C8" w14:textId="77777777" w:rsidR="00277B46" w:rsidRDefault="00277B46" w:rsidP="00277B46">
      <w:pPr>
        <w:pStyle w:val="whitespace-normal"/>
      </w:pPr>
      <w:r>
        <w:rPr>
          <w:rStyle w:val="Fett"/>
          <w:rFonts w:eastAsiaTheme="majorEastAsia"/>
        </w:rPr>
        <w:t>Die Satzstruktur:</w:t>
      </w:r>
      <w:r>
        <w:t xml:space="preserve"> Begründung mit drei koordinierten Aussagen (denn JHWH, dein Gott, wandelt inmitten deines Lagers, um dich zu retten und zu geben deine Feinde vor dir; und </w:t>
      </w:r>
      <w:r>
        <w:lastRenderedPageBreak/>
        <w:t>heilig sein soll dein Lager, und nicht sehen soll er bei dir die Blöße einer Sache, und sich abwenden von dir).</w:t>
      </w:r>
    </w:p>
    <w:p w14:paraId="4F075739" w14:textId="4DD3BC85" w:rsidR="00277B46" w:rsidRDefault="00277B46" w:rsidP="00AB12A0">
      <w:pPr>
        <w:pStyle w:val="whitespace-normal"/>
      </w:pPr>
      <w:r>
        <w:rPr>
          <w:rStyle w:val="Fett"/>
          <w:rFonts w:eastAsiaTheme="majorEastAsia"/>
        </w:rPr>
        <w:t>Der Vers beschreibt:</w:t>
      </w:r>
      <w:r>
        <w:t xml:space="preserve"> Die theologische Begründung – JHWH wandelt im Lager, um Israel zu retten; daher muss das Lager heilig sein, damit er nichts Anstößiges sieht und sich nicht abwendet.</w:t>
      </w:r>
    </w:p>
    <w:p w14:paraId="67A9F966" w14:textId="77777777" w:rsidR="00277B46" w:rsidRPr="00B27A64" w:rsidRDefault="00277B46" w:rsidP="00277B46">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23,16</w:t>
      </w:r>
    </w:p>
    <w:p w14:paraId="7ED1BA22" w14:textId="77777777" w:rsidR="00277B46" w:rsidRDefault="00277B46" w:rsidP="00277B46">
      <w:pPr>
        <w:pStyle w:val="whitespace-normal"/>
      </w:pPr>
      <w:r>
        <w:rPr>
          <w:rStyle w:val="Fett"/>
          <w:rFonts w:eastAsiaTheme="majorEastAsia"/>
        </w:rPr>
        <w:t>Hebräisch:</w:t>
      </w:r>
      <w:r>
        <w:t xml:space="preserve"> </w:t>
      </w:r>
      <w:r>
        <w:rPr>
          <w:rtl/>
        </w:rPr>
        <w:t>לֹא־תַסְגִּ֥יר עֶ֖בֶד אֶל־אֲדֹנָ֑יו אֲשֶׁר־יִנָּצֵ֥ל אֵלֶ֖יךָ מֵעִ֥ם אֲדֹנָֽיו׃</w:t>
      </w:r>
    </w:p>
    <w:p w14:paraId="4EDEA2C3" w14:textId="77777777" w:rsidR="00277B46" w:rsidRDefault="00277B46" w:rsidP="00277B46">
      <w:pPr>
        <w:pStyle w:val="whitespace-normal"/>
      </w:pPr>
      <w:r>
        <w:rPr>
          <w:rStyle w:val="Fett"/>
          <w:rFonts w:eastAsiaTheme="majorEastAsia"/>
        </w:rPr>
        <w:t>Deutsch:</w:t>
      </w:r>
      <w:r>
        <w:t xml:space="preserve"> Nicht sollst du ausliefern einen Knecht an seinen Herrn, der sich zu dir gerettet hat von seinem Herrn.</w:t>
      </w:r>
    </w:p>
    <w:p w14:paraId="4E16E8C8" w14:textId="77777777" w:rsidR="00277B46" w:rsidRDefault="004F5CEB" w:rsidP="00277B46">
      <w:r>
        <w:rPr>
          <w:noProof/>
        </w:rPr>
        <w:pict w14:anchorId="74B8B0B3">
          <v:rect id="_x0000_i1640" style="width:0;height:1.5pt" o:hralign="center" o:hrstd="t" o:hr="t" fillcolor="#a0a0a0" stroked="f"/>
        </w:pict>
      </w:r>
    </w:p>
    <w:p w14:paraId="5FED279B" w14:textId="77777777" w:rsidR="00277B46" w:rsidRDefault="00277B46" w:rsidP="00277B46">
      <w:pPr>
        <w:pStyle w:val="whitespace-normal"/>
      </w:pPr>
      <w:r>
        <w:rPr>
          <w:rStyle w:val="Fett"/>
          <w:rFonts w:eastAsiaTheme="majorEastAsia"/>
        </w:rPr>
        <w:t>Kommentar:</w:t>
      </w:r>
      <w:r>
        <w:t xml:space="preserve"> </w:t>
      </w:r>
      <w:r>
        <w:rPr>
          <w:rStyle w:val="Fett"/>
          <w:rFonts w:eastAsiaTheme="majorEastAsia"/>
          <w:rtl/>
        </w:rPr>
        <w:t>לֹא־תַסְגִּיר עֶבֶד אֶל־אֲדֹנָיו אֲשֶׁר־יִנָּצֵל אֵלֶיךָ מֵעִם אֲדֹנָיו</w:t>
      </w:r>
      <w:r>
        <w:rPr>
          <w:rtl/>
        </w:rPr>
        <w:t xml:space="preserve"> </w:t>
      </w:r>
      <w:r>
        <w:t xml:space="preserve">ist ein Verbot: </w:t>
      </w:r>
      <w:r>
        <w:rPr>
          <w:rStyle w:val="Fett"/>
          <w:rFonts w:eastAsiaTheme="majorEastAsia"/>
          <w:rtl/>
        </w:rPr>
        <w:t>לֹא־תַסְגִּיר עֶבֶד אֶל־אֲדֹנָיו</w:t>
      </w:r>
      <w:r>
        <w:rPr>
          <w:rtl/>
        </w:rPr>
        <w:t xml:space="preserve"> </w:t>
      </w:r>
      <w:r>
        <w:t xml:space="preserve">(Negation mit </w:t>
      </w:r>
      <w:r>
        <w:rPr>
          <w:rStyle w:val="Fett"/>
          <w:rFonts w:eastAsiaTheme="majorEastAsia"/>
          <w:rtl/>
        </w:rPr>
        <w:t>סגר</w:t>
      </w:r>
      <w:r>
        <w:t xml:space="preserve">, Hiphil Imperfekt, 2. Person Maskulinum Singular, „ausliefern, übergeben", </w:t>
      </w:r>
      <w:r>
        <w:rPr>
          <w:rStyle w:val="Fett"/>
          <w:rFonts w:eastAsiaTheme="majorEastAsia"/>
          <w:rtl/>
        </w:rPr>
        <w:t>עֶבֶד</w:t>
      </w:r>
      <w:r>
        <w:t xml:space="preserve">, „Knecht, Sklave", Präposition </w:t>
      </w:r>
      <w:r>
        <w:rPr>
          <w:rStyle w:val="Fett"/>
          <w:rFonts w:eastAsiaTheme="majorEastAsia"/>
          <w:rtl/>
        </w:rPr>
        <w:t>אֶל</w:t>
      </w:r>
      <w:r>
        <w:rPr>
          <w:rtl/>
        </w:rPr>
        <w:t xml:space="preserve"> </w:t>
      </w:r>
      <w:r>
        <w:t xml:space="preserve">mit </w:t>
      </w:r>
      <w:r>
        <w:rPr>
          <w:rStyle w:val="Fett"/>
          <w:rFonts w:eastAsiaTheme="majorEastAsia"/>
          <w:rtl/>
        </w:rPr>
        <w:t>אָדוֹן</w:t>
      </w:r>
      <w:r>
        <w:t xml:space="preserve">, „Herr, Meister", Plural mit Suffix 3. Person Maskulinum Singular), </w:t>
      </w:r>
      <w:r>
        <w:rPr>
          <w:rStyle w:val="Fett"/>
          <w:rFonts w:eastAsiaTheme="majorEastAsia"/>
          <w:rtl/>
        </w:rPr>
        <w:t>אֲשֶׁר־יִנָּצֵל אֵלֶיךָ מֵעִם אֲדֹנָיו</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נצל</w:t>
      </w:r>
      <w:r>
        <w:t xml:space="preserve">, Niphal Imperfekt, 3. Person Maskulinum Singular, „sich retten, entkommen, fliehen", Präposition </w:t>
      </w:r>
      <w:r>
        <w:rPr>
          <w:rStyle w:val="Fett"/>
          <w:rFonts w:eastAsiaTheme="majorEastAsia"/>
          <w:rtl/>
        </w:rPr>
        <w:t>אֶל</w:t>
      </w:r>
      <w:r>
        <w:rPr>
          <w:rtl/>
        </w:rPr>
        <w:t xml:space="preserve"> </w:t>
      </w:r>
      <w:r>
        <w:t xml:space="preserve">mit Suffix 2. Person Maskulinum Singular, </w:t>
      </w:r>
      <w:r>
        <w:rPr>
          <w:rStyle w:val="Fett"/>
          <w:rFonts w:eastAsiaTheme="majorEastAsia"/>
          <w:rtl/>
        </w:rPr>
        <w:t>מֵעִם אֲדֹנָיו</w:t>
      </w:r>
      <w:r>
        <w:t xml:space="preserve">, Präposition </w:t>
      </w:r>
      <w:r>
        <w:rPr>
          <w:rStyle w:val="Fett"/>
          <w:rFonts w:eastAsiaTheme="majorEastAsia"/>
          <w:rtl/>
        </w:rPr>
        <w:t>מִן</w:t>
      </w:r>
      <w:r>
        <w:rPr>
          <w:rtl/>
        </w:rPr>
        <w:t xml:space="preserve"> </w:t>
      </w:r>
      <w:r>
        <w:t xml:space="preserve">mit </w:t>
      </w:r>
      <w:r>
        <w:rPr>
          <w:rStyle w:val="Fett"/>
          <w:rFonts w:eastAsiaTheme="majorEastAsia"/>
          <w:rtl/>
        </w:rPr>
        <w:t>עִם</w:t>
      </w:r>
      <w:r>
        <w:t xml:space="preserve">, „von bei, weg von", </w:t>
      </w:r>
      <w:r>
        <w:rPr>
          <w:rStyle w:val="Fett"/>
          <w:rFonts w:eastAsiaTheme="majorEastAsia"/>
          <w:rtl/>
        </w:rPr>
        <w:t>אָדוֹן</w:t>
      </w:r>
      <w:r>
        <w:rPr>
          <w:rtl/>
        </w:rPr>
        <w:t xml:space="preserve"> </w:t>
      </w:r>
      <w:r>
        <w:t>Plural mit Suffix 3. Person Maskulinum Singular).</w:t>
      </w:r>
    </w:p>
    <w:p w14:paraId="3E8BD5DB" w14:textId="324AC60C" w:rsidR="00F0029F" w:rsidRDefault="00277B46" w:rsidP="00277B46">
      <w:pPr>
        <w:pStyle w:val="whitespace-normal"/>
      </w:pPr>
      <w:r>
        <w:t xml:space="preserve">Der Vers leitet einen neuen Abschnitt ein: Schutz für geflohene Sklaven (V. 16-17). Das Verbot: </w:t>
      </w:r>
      <w:r>
        <w:rPr>
          <w:rStyle w:val="Fett"/>
          <w:rFonts w:eastAsiaTheme="majorEastAsia"/>
          <w:rtl/>
        </w:rPr>
        <w:t>לֹא־תַסְגִּיר עֶבֶד אֶל־אֲדֹנָיו</w:t>
      </w:r>
      <w:r>
        <w:rPr>
          <w:rtl/>
        </w:rPr>
        <w:t xml:space="preserve"> </w:t>
      </w:r>
      <w:r>
        <w:t xml:space="preserve">(„nicht ausliefern sollst du einen Knecht an seinen Herrn"). Das Verb </w:t>
      </w:r>
      <w:r>
        <w:rPr>
          <w:rStyle w:val="Fett"/>
          <w:rFonts w:eastAsiaTheme="majorEastAsia"/>
          <w:rtl/>
        </w:rPr>
        <w:t>סגר</w:t>
      </w:r>
      <w:r>
        <w:rPr>
          <w:rtl/>
        </w:rPr>
        <w:t xml:space="preserve"> </w:t>
      </w:r>
      <w:r>
        <w:t xml:space="preserve">im Hiphil („ausliefern, übergeben, schließen, einsperren") – hier: einen geflohenen Sklaven an seinen früheren Besitzer zurückgeben. Die Präzisierung: </w:t>
      </w:r>
      <w:r>
        <w:rPr>
          <w:rStyle w:val="Fett"/>
          <w:rFonts w:eastAsiaTheme="majorEastAsia"/>
          <w:rtl/>
        </w:rPr>
        <w:t>אֲשֶׁר־יִנָּצֵל אֵלֶיךָ מֵעִם אֲדֹנָיו</w:t>
      </w:r>
      <w:r>
        <w:rPr>
          <w:rtl/>
        </w:rPr>
        <w:t xml:space="preserve"> </w:t>
      </w:r>
      <w:r>
        <w:t xml:space="preserve">(„der sich gerettet hat zu dir von seinem Herrn"). Das Verb </w:t>
      </w:r>
      <w:r>
        <w:rPr>
          <w:rStyle w:val="Fett"/>
          <w:rFonts w:eastAsiaTheme="majorEastAsia"/>
          <w:rtl/>
        </w:rPr>
        <w:t>נצל</w:t>
      </w:r>
      <w:r>
        <w:rPr>
          <w:rtl/>
        </w:rPr>
        <w:t xml:space="preserve"> </w:t>
      </w:r>
      <w:r>
        <w:t xml:space="preserve">im Niphal („sich retten, entkommen") bezeichnet Flucht aus </w:t>
      </w:r>
      <w:r w:rsidR="00D84597">
        <w:t>Gefahr</w:t>
      </w:r>
      <w:r>
        <w:t xml:space="preserve"> oder Unterdrückung. Die Formulierung </w:t>
      </w:r>
      <w:r>
        <w:rPr>
          <w:rStyle w:val="Fett"/>
          <w:rFonts w:eastAsiaTheme="majorEastAsia"/>
          <w:rtl/>
        </w:rPr>
        <w:t>יִנָּצֵל אֵלֶיךָ</w:t>
      </w:r>
      <w:r>
        <w:rPr>
          <w:rtl/>
        </w:rPr>
        <w:t xml:space="preserve"> </w:t>
      </w:r>
      <w:r>
        <w:t xml:space="preserve">(„sich retten zu dir") – der Sklave sucht Zuflucht in Israel. </w:t>
      </w:r>
    </w:p>
    <w:p w14:paraId="2815552E" w14:textId="44B067D3" w:rsidR="00277B46" w:rsidRDefault="00277B46" w:rsidP="00277B46">
      <w:pPr>
        <w:pStyle w:val="whitespace-normal"/>
      </w:pPr>
      <w:r>
        <w:t xml:space="preserve">Die Präposition </w:t>
      </w:r>
      <w:r>
        <w:rPr>
          <w:rStyle w:val="Fett"/>
          <w:rFonts w:eastAsiaTheme="majorEastAsia"/>
          <w:rtl/>
        </w:rPr>
        <w:t>מֵעִם</w:t>
      </w:r>
      <w:r>
        <w:rPr>
          <w:rtl/>
        </w:rPr>
        <w:t xml:space="preserve"> </w:t>
      </w:r>
      <w:r>
        <w:t>(„von bei, weg von") – er kommt von seinem Herrn weg. Dieser Vers ist bemerkenswert progressiv im antiken Kontext: Die meisten antiken Gesetzessammlungen (z.B. der Kodex Hammurapi § 15-20) verlangten die Rückgabe entlaufener Sklaven unter Todesstrafe für diejenigen, die sie versteckten. Israel sollte anders handeln – Sklaven, die Zuflucht suchen, dürfen nicht ausgeliefert werden. Die Frage, ob dies nur für ausländische Sklaven (die von außerhalb Israels fliehen) oder auch für israelitische Sklaven gilt, ist umstritten. V. 17 wird weitere Anweisungen geben.</w:t>
      </w:r>
    </w:p>
    <w:p w14:paraId="26DFE0D2" w14:textId="77777777" w:rsidR="0077321D" w:rsidRPr="0077321D" w:rsidRDefault="0077321D" w:rsidP="0077321D">
      <w:pPr>
        <w:spacing w:before="100" w:beforeAutospacing="1" w:after="100" w:afterAutospacing="1" w:line="240" w:lineRule="auto"/>
        <w:outlineLvl w:val="1"/>
        <w:rPr>
          <w:rFonts w:eastAsia="Times New Roman"/>
          <w:b/>
          <w:bCs/>
          <w:sz w:val="36"/>
          <w:szCs w:val="36"/>
          <w:lang w:eastAsia="de-DE"/>
        </w:rPr>
      </w:pPr>
      <w:r w:rsidRPr="0077321D">
        <w:rPr>
          <w:rFonts w:eastAsia="Times New Roman"/>
          <w:b/>
          <w:bCs/>
          <w:sz w:val="36"/>
          <w:szCs w:val="36"/>
          <w:lang w:eastAsia="de-DE"/>
        </w:rPr>
        <w:t>Vers 16 (MT 23,16) / Vers 15 (LXX 23,15)</w:t>
      </w:r>
    </w:p>
    <w:p w14:paraId="0A1FF7A2" w14:textId="159818FD" w:rsidR="0077321D" w:rsidRPr="00F0029F" w:rsidRDefault="0077321D" w:rsidP="00F0029F">
      <w:pPr>
        <w:spacing w:before="100" w:beforeAutospacing="1" w:after="100" w:afterAutospacing="1" w:line="240" w:lineRule="auto"/>
        <w:rPr>
          <w:rFonts w:eastAsia="Times New Roman"/>
          <w:lang w:eastAsia="de-DE"/>
        </w:rPr>
      </w:pPr>
      <w:r w:rsidRPr="0077321D">
        <w:rPr>
          <w:rFonts w:eastAsia="Times New Roman"/>
          <w:b/>
          <w:bCs/>
          <w:lang w:eastAsia="de-DE"/>
        </w:rPr>
        <w:t>Die LXX</w:t>
      </w:r>
      <w:r w:rsidRPr="0077321D">
        <w:rPr>
          <w:rFonts w:eastAsia="Times New Roman"/>
          <w:lang w:eastAsia="de-DE"/>
        </w:rPr>
        <w:t xml:space="preserve"> übersetzt </w:t>
      </w:r>
      <w:r w:rsidRPr="0077321D">
        <w:rPr>
          <w:rFonts w:eastAsia="Times New Roman"/>
          <w:rtl/>
          <w:lang w:eastAsia="de-DE"/>
        </w:rPr>
        <w:t>עֶבֶד</w:t>
      </w:r>
      <w:r w:rsidRPr="0077321D">
        <w:rPr>
          <w:rFonts w:eastAsia="Times New Roman"/>
          <w:lang w:eastAsia="de-DE"/>
        </w:rPr>
        <w:t xml:space="preserve"> (Sklave, Knecht) mit πα</w:t>
      </w:r>
      <w:proofErr w:type="spellStart"/>
      <w:r w:rsidRPr="0077321D">
        <w:rPr>
          <w:rFonts w:eastAsia="Times New Roman"/>
          <w:lang w:eastAsia="de-DE"/>
        </w:rPr>
        <w:t>ῖς</w:t>
      </w:r>
      <w:proofErr w:type="spellEnd"/>
      <w:r w:rsidRPr="0077321D">
        <w:rPr>
          <w:rFonts w:eastAsia="Times New Roman"/>
          <w:lang w:eastAsia="de-DE"/>
        </w:rPr>
        <w:t xml:space="preserve"> (Knabe, junger Sklave) – ein Begriff, der oft für junge Sklaven verwendet wird. Das Verb π</w:t>
      </w:r>
      <w:proofErr w:type="spellStart"/>
      <w:r w:rsidRPr="0077321D">
        <w:rPr>
          <w:rFonts w:eastAsia="Times New Roman"/>
          <w:lang w:eastAsia="de-DE"/>
        </w:rPr>
        <w:t>ροστέθειτ</w:t>
      </w:r>
      <w:proofErr w:type="spellEnd"/>
      <w:r w:rsidRPr="0077321D">
        <w:rPr>
          <w:rFonts w:eastAsia="Times New Roman"/>
          <w:lang w:eastAsia="de-DE"/>
        </w:rPr>
        <w:t xml:space="preserve">αί </w:t>
      </w:r>
      <w:proofErr w:type="spellStart"/>
      <w:r w:rsidRPr="0077321D">
        <w:rPr>
          <w:rFonts w:eastAsia="Times New Roman"/>
          <w:lang w:eastAsia="de-DE"/>
        </w:rPr>
        <w:t>σοι</w:t>
      </w:r>
      <w:proofErr w:type="spellEnd"/>
      <w:r w:rsidRPr="0077321D">
        <w:rPr>
          <w:rFonts w:eastAsia="Times New Roman"/>
          <w:lang w:eastAsia="de-DE"/>
        </w:rPr>
        <w:t xml:space="preserve"> (sich dir anschließt) für </w:t>
      </w:r>
      <w:r w:rsidRPr="0077321D">
        <w:rPr>
          <w:rFonts w:eastAsia="Times New Roman"/>
          <w:rtl/>
          <w:lang w:eastAsia="de-DE"/>
        </w:rPr>
        <w:t>יִנָּצֵל אֵלֶיךָ</w:t>
      </w:r>
      <w:r w:rsidRPr="0077321D">
        <w:rPr>
          <w:rFonts w:eastAsia="Times New Roman"/>
          <w:lang w:eastAsia="de-DE"/>
        </w:rPr>
        <w:t xml:space="preserve"> ist eine interpretierende Übersetzung des Fluchtkonzepts.</w:t>
      </w:r>
    </w:p>
    <w:p w14:paraId="55718074" w14:textId="77777777" w:rsidR="00277B46" w:rsidRDefault="00277B46" w:rsidP="00277B46">
      <w:pPr>
        <w:pStyle w:val="whitespace-normal"/>
      </w:pPr>
      <w:r>
        <w:rPr>
          <w:rStyle w:val="Fett"/>
          <w:rFonts w:eastAsiaTheme="majorEastAsia"/>
        </w:rPr>
        <w:lastRenderedPageBreak/>
        <w:t>Die Satzstruktur:</w:t>
      </w:r>
      <w:r>
        <w:t xml:space="preserve"> Verbot mit relativischem Zusatz (nicht ausliefern sollst du einen Knecht an seinen Herrn, der sich gerettet hat zu dir von seinem Herrn).</w:t>
      </w:r>
    </w:p>
    <w:p w14:paraId="55E342F4" w14:textId="04DB7287" w:rsidR="00277B46" w:rsidRDefault="00277B46" w:rsidP="00AB12A0">
      <w:pPr>
        <w:pStyle w:val="whitespace-normal"/>
      </w:pPr>
      <w:r>
        <w:rPr>
          <w:rStyle w:val="Fett"/>
          <w:rFonts w:eastAsiaTheme="majorEastAsia"/>
        </w:rPr>
        <w:t>Der Vers beschreibt:</w:t>
      </w:r>
      <w:r>
        <w:t xml:space="preserve"> Verbot, einen geflohenen Sklaven an seinen Herrn auszuliefern – Asylrecht für entlaufene Sklaven.</w:t>
      </w:r>
    </w:p>
    <w:p w14:paraId="0A8C7D5C" w14:textId="77777777" w:rsidR="00277B46" w:rsidRPr="00B27A64" w:rsidRDefault="00277B46" w:rsidP="00277B46">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23,17</w:t>
      </w:r>
    </w:p>
    <w:p w14:paraId="4AB1E96B" w14:textId="77777777" w:rsidR="00277B46" w:rsidRDefault="00277B46" w:rsidP="00277B46">
      <w:pPr>
        <w:pStyle w:val="whitespace-normal"/>
      </w:pPr>
      <w:r>
        <w:rPr>
          <w:rStyle w:val="Fett"/>
          <w:rFonts w:eastAsiaTheme="majorEastAsia"/>
        </w:rPr>
        <w:t>Hebräisch:</w:t>
      </w:r>
      <w:r>
        <w:t xml:space="preserve"> </w:t>
      </w:r>
      <w:r>
        <w:rPr>
          <w:rtl/>
        </w:rPr>
        <w:t>עִמְּךָ֞ יֵשֵׁ֣ב בְּקִרְבְּךָ֗ בַּמָּק֧וֹם אֲשֶׁר־יִבְחַ֛ר בְּאַחַ֥ד שְׁעָרֶ֖יךָ בַּטּ֣וֹב לוֹ֑ לֹ֖א תּוֹנֶֽנּוּ׃</w:t>
      </w:r>
    </w:p>
    <w:p w14:paraId="26549426" w14:textId="77777777" w:rsidR="00277B46" w:rsidRDefault="00277B46" w:rsidP="00277B46">
      <w:pPr>
        <w:pStyle w:val="whitespace-normal"/>
      </w:pPr>
      <w:r>
        <w:rPr>
          <w:rStyle w:val="Fett"/>
          <w:rFonts w:eastAsiaTheme="majorEastAsia"/>
        </w:rPr>
        <w:t>Deutsch:</w:t>
      </w:r>
      <w:r>
        <w:t xml:space="preserve"> Bei dir soll er wohnen, in deiner Mitte, an dem Ort, den er wählen wird in einem deiner Tore, wo es ihm gefällt; du sollst ihn nicht bedrücken.</w:t>
      </w:r>
    </w:p>
    <w:p w14:paraId="15C44D53" w14:textId="77777777" w:rsidR="00277B46" w:rsidRDefault="004F5CEB" w:rsidP="00277B46">
      <w:r>
        <w:rPr>
          <w:noProof/>
        </w:rPr>
        <w:pict w14:anchorId="2E397DFB">
          <v:rect id="_x0000_i1641" style="width:0;height:1.5pt" o:hralign="center" o:hrstd="t" o:hr="t" fillcolor="#a0a0a0" stroked="f"/>
        </w:pict>
      </w:r>
    </w:p>
    <w:p w14:paraId="26D722A0" w14:textId="77777777" w:rsidR="00277B46" w:rsidRDefault="00277B46" w:rsidP="00277B46">
      <w:pPr>
        <w:pStyle w:val="whitespace-normal"/>
      </w:pPr>
      <w:r>
        <w:rPr>
          <w:rStyle w:val="Fett"/>
          <w:rFonts w:eastAsiaTheme="majorEastAsia"/>
        </w:rPr>
        <w:t>Kommentar:</w:t>
      </w:r>
      <w:r>
        <w:t xml:space="preserve"> </w:t>
      </w:r>
      <w:r>
        <w:rPr>
          <w:rStyle w:val="Fett"/>
          <w:rFonts w:eastAsiaTheme="majorEastAsia"/>
          <w:rtl/>
        </w:rPr>
        <w:t>עִמְּךָ יֵשֵׁב בְּקִרְבְּךָ בַּמָּקוֹם אֲשֶׁר־יִבְחַר בְּאַחַד שְׁעָרֶיךָ בַּטּוֹב לוֹ לֹא תּוֹנֶנּוּ</w:t>
      </w:r>
      <w:r>
        <w:rPr>
          <w:rtl/>
        </w:rPr>
        <w:t xml:space="preserve"> </w:t>
      </w:r>
      <w:r>
        <w:t xml:space="preserve">sind zwei Anweisungen: </w:t>
      </w:r>
      <w:r>
        <w:rPr>
          <w:rStyle w:val="Fett"/>
          <w:rFonts w:eastAsiaTheme="majorEastAsia"/>
          <w:rtl/>
        </w:rPr>
        <w:t>עִמְּךָ יֵשֵׁב בְּקִרְבְּךָ בַּמָּקוֹם אֲשֶׁר־יִבְחַר בְּאַחַד שְׁעָרֶיךָ בַּטּוֹב לוֹ</w:t>
      </w:r>
      <w:r>
        <w:rPr>
          <w:rtl/>
        </w:rPr>
        <w:t xml:space="preserve"> </w:t>
      </w:r>
      <w:r>
        <w:t>(</w:t>
      </w:r>
      <w:r>
        <w:rPr>
          <w:rStyle w:val="Fett"/>
          <w:rFonts w:eastAsiaTheme="majorEastAsia"/>
          <w:rtl/>
        </w:rPr>
        <w:t>עִמְּךָ</w:t>
      </w:r>
      <w:r>
        <w:t xml:space="preserve">, Präposition </w:t>
      </w:r>
      <w:r>
        <w:rPr>
          <w:rStyle w:val="Fett"/>
          <w:rFonts w:eastAsiaTheme="majorEastAsia"/>
          <w:rtl/>
        </w:rPr>
        <w:t>עִם</w:t>
      </w:r>
      <w:r>
        <w:rPr>
          <w:rtl/>
        </w:rPr>
        <w:t xml:space="preserve"> </w:t>
      </w:r>
      <w:r>
        <w:t xml:space="preserve">mit Suffix 2. Person Maskulinum Singular – „bei dir, mit dir", </w:t>
      </w:r>
      <w:r>
        <w:rPr>
          <w:rStyle w:val="Fett"/>
          <w:rFonts w:eastAsiaTheme="majorEastAsia"/>
          <w:rtl/>
        </w:rPr>
        <w:t>ישׁב</w:t>
      </w:r>
      <w:r>
        <w:t xml:space="preserve">, Qal Imperfekt, 3. Person Maskulinum Singular, „wohnen, sitzen", </w:t>
      </w:r>
      <w:r>
        <w:rPr>
          <w:rStyle w:val="Fett"/>
          <w:rFonts w:eastAsiaTheme="majorEastAsia"/>
          <w:rtl/>
        </w:rPr>
        <w:t>בְּקִרְבְּךָ</w:t>
      </w:r>
      <w:r>
        <w:t xml:space="preserve">, Präposition </w:t>
      </w:r>
      <w:r>
        <w:rPr>
          <w:rStyle w:val="Fett"/>
          <w:rFonts w:eastAsiaTheme="majorEastAsia"/>
          <w:rtl/>
        </w:rPr>
        <w:t>בְּ</w:t>
      </w:r>
      <w:r>
        <w:rPr>
          <w:rtl/>
        </w:rPr>
        <w:t xml:space="preserve"> </w:t>
      </w:r>
      <w:r>
        <w:t xml:space="preserve">mit </w:t>
      </w:r>
      <w:r>
        <w:rPr>
          <w:rStyle w:val="Fett"/>
          <w:rFonts w:eastAsiaTheme="majorEastAsia"/>
          <w:rtl/>
        </w:rPr>
        <w:t>קֶרֶב</w:t>
      </w:r>
      <w:r>
        <w:rPr>
          <w:rtl/>
        </w:rPr>
        <w:t xml:space="preserve"> </w:t>
      </w:r>
      <w:r>
        <w:t xml:space="preserve">Construct mit Suffix 2. Person Maskulinum Singular – „in deiner Mitte", </w:t>
      </w:r>
      <w:r>
        <w:rPr>
          <w:rStyle w:val="Fett"/>
          <w:rFonts w:eastAsiaTheme="majorEastAsia"/>
          <w:rtl/>
        </w:rPr>
        <w:t>בַּמָּקוֹם אֲשֶׁר־יִבְחַר</w:t>
      </w:r>
      <w:r>
        <w:t xml:space="preserve">, Präposition </w:t>
      </w:r>
      <w:r>
        <w:rPr>
          <w:rStyle w:val="Fett"/>
          <w:rFonts w:eastAsiaTheme="majorEastAsia"/>
          <w:rtl/>
        </w:rPr>
        <w:t>בְּ</w:t>
      </w:r>
      <w:r>
        <w:rPr>
          <w:rtl/>
        </w:rPr>
        <w:t xml:space="preserve"> </w:t>
      </w:r>
      <w:r>
        <w:t xml:space="preserve">mit </w:t>
      </w:r>
      <w:r>
        <w:rPr>
          <w:rStyle w:val="Fett"/>
          <w:rFonts w:eastAsiaTheme="majorEastAsia"/>
          <w:rtl/>
        </w:rPr>
        <w:t>מָקוֹם</w:t>
      </w:r>
      <w:r>
        <w:rPr>
          <w:rtl/>
        </w:rPr>
        <w:t xml:space="preserve"> </w:t>
      </w:r>
      <w:r>
        <w:t xml:space="preserve">mit Artikel, Relativsatz: </w:t>
      </w:r>
      <w:r>
        <w:rPr>
          <w:rStyle w:val="Fett"/>
          <w:rFonts w:eastAsiaTheme="majorEastAsia"/>
          <w:rtl/>
        </w:rPr>
        <w:t>אֲשֶׁר</w:t>
      </w:r>
      <w:r>
        <w:rPr>
          <w:rtl/>
        </w:rPr>
        <w:t xml:space="preserve"> </w:t>
      </w:r>
      <w:r>
        <w:t xml:space="preserve">mit </w:t>
      </w:r>
      <w:r>
        <w:rPr>
          <w:rStyle w:val="Fett"/>
          <w:rFonts w:eastAsiaTheme="majorEastAsia"/>
          <w:rtl/>
        </w:rPr>
        <w:t>בחר</w:t>
      </w:r>
      <w:r>
        <w:t xml:space="preserve">, Qal Imperfekt, 3. Person Maskulinum Singular, „wählen", </w:t>
      </w:r>
      <w:r>
        <w:rPr>
          <w:rStyle w:val="Fett"/>
          <w:rFonts w:eastAsiaTheme="majorEastAsia"/>
          <w:rtl/>
        </w:rPr>
        <w:t>בְּאַחַד שְׁעָרֶיךָ</w:t>
      </w:r>
      <w:r>
        <w:t xml:space="preserve">, Präposition </w:t>
      </w:r>
      <w:r>
        <w:rPr>
          <w:rStyle w:val="Fett"/>
          <w:rFonts w:eastAsiaTheme="majorEastAsia"/>
          <w:rtl/>
        </w:rPr>
        <w:t>בְּ</w:t>
      </w:r>
      <w:r>
        <w:rPr>
          <w:rtl/>
        </w:rPr>
        <w:t xml:space="preserve"> </w:t>
      </w:r>
      <w:r>
        <w:t xml:space="preserve">mit </w:t>
      </w:r>
      <w:r>
        <w:rPr>
          <w:rStyle w:val="Fett"/>
          <w:rFonts w:eastAsiaTheme="majorEastAsia"/>
          <w:rtl/>
        </w:rPr>
        <w:t>אֶחָד</w:t>
      </w:r>
      <w:r>
        <w:t xml:space="preserve">, „einer", Construct mit </w:t>
      </w:r>
      <w:r>
        <w:rPr>
          <w:rStyle w:val="Fett"/>
          <w:rFonts w:eastAsiaTheme="majorEastAsia"/>
          <w:rtl/>
        </w:rPr>
        <w:t>שַׁעַר</w:t>
      </w:r>
      <w:r>
        <w:t xml:space="preserve">, „Tor, Stadt", Plural Construct mit Suffix 2. Person Maskulinum Singular, </w:t>
      </w:r>
      <w:r>
        <w:rPr>
          <w:rStyle w:val="Fett"/>
          <w:rFonts w:eastAsiaTheme="majorEastAsia"/>
          <w:rtl/>
        </w:rPr>
        <w:t>בַּטּוֹב לוֹ</w:t>
      </w:r>
      <w:r>
        <w:t xml:space="preserve">, Präposition </w:t>
      </w:r>
      <w:r>
        <w:rPr>
          <w:rStyle w:val="Fett"/>
          <w:rFonts w:eastAsiaTheme="majorEastAsia"/>
          <w:rtl/>
        </w:rPr>
        <w:t>בְּ</w:t>
      </w:r>
      <w:r>
        <w:rPr>
          <w:rtl/>
        </w:rPr>
        <w:t xml:space="preserve"> </w:t>
      </w:r>
      <w:r>
        <w:t xml:space="preserve">mit </w:t>
      </w:r>
      <w:r>
        <w:rPr>
          <w:rStyle w:val="Fett"/>
          <w:rFonts w:eastAsiaTheme="majorEastAsia"/>
          <w:rtl/>
        </w:rPr>
        <w:t>טוֹב</w:t>
      </w:r>
      <w:r>
        <w:t xml:space="preserve">, „gut", </w:t>
      </w:r>
      <w:r>
        <w:rPr>
          <w:rStyle w:val="Fett"/>
          <w:rFonts w:eastAsiaTheme="majorEastAsia"/>
          <w:rtl/>
        </w:rPr>
        <w:t>לוֹ</w:t>
      </w:r>
      <w:r>
        <w:t xml:space="preserve">, Dativ – „wo gut ist ihm, wo es ihm gefällt"), </w:t>
      </w:r>
      <w:r>
        <w:rPr>
          <w:rStyle w:val="Fett"/>
          <w:rFonts w:eastAsiaTheme="majorEastAsia"/>
          <w:rtl/>
        </w:rPr>
        <w:t>לֹא תּוֹנֶנּוּ</w:t>
      </w:r>
      <w:r>
        <w:rPr>
          <w:rtl/>
        </w:rPr>
        <w:t xml:space="preserve"> </w:t>
      </w:r>
      <w:r>
        <w:t xml:space="preserve">(Negation mit </w:t>
      </w:r>
      <w:r>
        <w:rPr>
          <w:rStyle w:val="Fett"/>
          <w:rFonts w:eastAsiaTheme="majorEastAsia"/>
          <w:rtl/>
        </w:rPr>
        <w:t>ינה</w:t>
      </w:r>
      <w:r>
        <w:t>, Hiphil Imperfekt, 2. Person Maskulinum Singular, „bedrücken, unterdrücken", mit Suffix 3. Person Maskulinum Singular).</w:t>
      </w:r>
    </w:p>
    <w:p w14:paraId="265813D1" w14:textId="07036101" w:rsidR="00277B46" w:rsidRDefault="00277B46" w:rsidP="00277B46">
      <w:pPr>
        <w:pStyle w:val="whitespace-normal"/>
      </w:pPr>
      <w:r>
        <w:t xml:space="preserve">Der Vers gibt positive Anweisungen für den Umgang mit dem geflohenen Sklaven. Die erste Anweisung: </w:t>
      </w:r>
      <w:r>
        <w:rPr>
          <w:rStyle w:val="Fett"/>
          <w:rFonts w:eastAsiaTheme="majorEastAsia"/>
          <w:rtl/>
        </w:rPr>
        <w:t>עִמְּךָ יֵשֵׁב בְּקִרְבְּךָ בַּמָּקוֹם אֲשֶׁר־יִבְחַר בְּאַחַד שְׁעָרֶיךָ בַּטּוֹב לוֹ</w:t>
      </w:r>
      <w:r>
        <w:rPr>
          <w:rtl/>
        </w:rPr>
        <w:t xml:space="preserve"> </w:t>
      </w:r>
      <w:r>
        <w:t xml:space="preserve">(„bei dir wohnen soll er, in deiner Mitte, an dem Ort, den er wählen wird in einem deiner Tore, wo es ihm gefällt"). Die Präposition </w:t>
      </w:r>
      <w:r>
        <w:rPr>
          <w:rStyle w:val="Fett"/>
          <w:rFonts w:eastAsiaTheme="majorEastAsia"/>
          <w:rtl/>
        </w:rPr>
        <w:t>עִמְּךָ</w:t>
      </w:r>
      <w:r>
        <w:rPr>
          <w:rtl/>
        </w:rPr>
        <w:t xml:space="preserve"> </w:t>
      </w:r>
      <w:r>
        <w:t xml:space="preserve">(„bei dir, mit dir") und </w:t>
      </w:r>
      <w:r>
        <w:rPr>
          <w:rStyle w:val="Fett"/>
          <w:rFonts w:eastAsiaTheme="majorEastAsia"/>
          <w:rtl/>
        </w:rPr>
        <w:t>בְּקִרְבְּךָ</w:t>
      </w:r>
      <w:r>
        <w:rPr>
          <w:rtl/>
        </w:rPr>
        <w:t xml:space="preserve"> </w:t>
      </w:r>
      <w:r>
        <w:t xml:space="preserve">(„in deiner Mitte") betonen: volle Integration in die Gemeinschaft. Der geflohene Sklave darf wohnen </w:t>
      </w:r>
      <w:r>
        <w:rPr>
          <w:rStyle w:val="Fett"/>
          <w:rFonts w:eastAsiaTheme="majorEastAsia"/>
          <w:rtl/>
        </w:rPr>
        <w:t>בַּמָּקוֹם אֲשֶׁר־יִבְחַר</w:t>
      </w:r>
      <w:r>
        <w:rPr>
          <w:rtl/>
        </w:rPr>
        <w:t xml:space="preserve"> </w:t>
      </w:r>
      <w:r>
        <w:t xml:space="preserve">(„an dem Ort, den er wählen wird") – er hat </w:t>
      </w:r>
      <w:r>
        <w:rPr>
          <w:rStyle w:val="Fett"/>
          <w:rFonts w:eastAsiaTheme="majorEastAsia"/>
        </w:rPr>
        <w:t>Wahlfreiheit</w:t>
      </w:r>
      <w:r>
        <w:t xml:space="preserve"> bezüglich seines Wohnorts. Die Formulierung </w:t>
      </w:r>
      <w:r>
        <w:rPr>
          <w:rStyle w:val="Fett"/>
          <w:rFonts w:eastAsiaTheme="majorEastAsia"/>
          <w:rtl/>
        </w:rPr>
        <w:t>בְּאַחַד שְׁעָרֶיךָ</w:t>
      </w:r>
      <w:r>
        <w:rPr>
          <w:rtl/>
        </w:rPr>
        <w:t xml:space="preserve"> </w:t>
      </w:r>
      <w:r>
        <w:t xml:space="preserve">(„in einem deiner Tore") – </w:t>
      </w:r>
      <w:r>
        <w:rPr>
          <w:rStyle w:val="Fett"/>
          <w:rFonts w:eastAsiaTheme="majorEastAsia"/>
          <w:rtl/>
        </w:rPr>
        <w:t>שַׁעַר</w:t>
      </w:r>
      <w:r>
        <w:rPr>
          <w:rtl/>
        </w:rPr>
        <w:t xml:space="preserve"> </w:t>
      </w:r>
      <w:r>
        <w:t xml:space="preserve">(„Tor") steht oft metonymisch für „Stadt" (vgl. Rut 4,1.10.11). Die Präzisierung </w:t>
      </w:r>
      <w:r>
        <w:rPr>
          <w:rStyle w:val="Fett"/>
          <w:rFonts w:eastAsiaTheme="majorEastAsia"/>
          <w:rtl/>
        </w:rPr>
        <w:t>בַּטּוֹב לוֹ</w:t>
      </w:r>
      <w:r>
        <w:rPr>
          <w:rtl/>
        </w:rPr>
        <w:t xml:space="preserve"> </w:t>
      </w:r>
      <w:r>
        <w:t xml:space="preserve">(„wo es ihm gefällt, wo gut ist ihm") betont: der Sklave entscheidet selbst, wo er sich niederlässt – Respekt für seine Autonomie. Die zweite Anweisung: </w:t>
      </w:r>
      <w:r>
        <w:rPr>
          <w:rStyle w:val="Fett"/>
          <w:rFonts w:eastAsiaTheme="majorEastAsia"/>
          <w:rtl/>
        </w:rPr>
        <w:t>לֹא תּוֹנֶנּוּ</w:t>
      </w:r>
      <w:r>
        <w:rPr>
          <w:rtl/>
        </w:rPr>
        <w:t xml:space="preserve"> </w:t>
      </w:r>
      <w:r>
        <w:t xml:space="preserve">(„nicht bedrücken sollst du ihn"). Das Verb </w:t>
      </w:r>
      <w:r>
        <w:rPr>
          <w:rStyle w:val="Fett"/>
          <w:rFonts w:eastAsiaTheme="majorEastAsia"/>
          <w:rtl/>
        </w:rPr>
        <w:t>ינה</w:t>
      </w:r>
      <w:r>
        <w:rPr>
          <w:rtl/>
        </w:rPr>
        <w:t xml:space="preserve"> </w:t>
      </w:r>
      <w:r>
        <w:t>im Hiphil („bedrücken, unterdrücken, misshandeln") – Verbot jeglicher Ausbeutung oder Unterdrückung (vgl. Ex 22,20; Lev 19,33; 25,14.17). Der geflohene Sklave soll nicht nur nicht ausgeliefert werden (V. 16), sondern als freier Mensch mit vollen Rechten behandelt werden. Dies ist eines der humansten Sklavengesetze der Antike.</w:t>
      </w:r>
    </w:p>
    <w:p w14:paraId="13D9225A" w14:textId="77777777" w:rsidR="00F0029F" w:rsidRPr="00F0029F" w:rsidRDefault="00F0029F" w:rsidP="00F0029F">
      <w:pPr>
        <w:spacing w:before="100" w:beforeAutospacing="1" w:after="100" w:afterAutospacing="1" w:line="240" w:lineRule="auto"/>
        <w:outlineLvl w:val="1"/>
        <w:rPr>
          <w:rFonts w:eastAsia="Times New Roman"/>
          <w:b/>
          <w:bCs/>
          <w:sz w:val="36"/>
          <w:szCs w:val="36"/>
          <w:lang w:eastAsia="de-DE"/>
        </w:rPr>
      </w:pPr>
      <w:r w:rsidRPr="00F0029F">
        <w:rPr>
          <w:rFonts w:eastAsia="Times New Roman"/>
          <w:b/>
          <w:bCs/>
          <w:sz w:val="36"/>
          <w:szCs w:val="36"/>
          <w:lang w:eastAsia="de-DE"/>
        </w:rPr>
        <w:t>Vers 17 (MT 23,17) / Vers 16 (LXX 23,16)</w:t>
      </w:r>
    </w:p>
    <w:p w14:paraId="27AD1498" w14:textId="72E33E4F" w:rsidR="00F0029F" w:rsidRPr="00F0029F" w:rsidRDefault="00F0029F" w:rsidP="00F0029F">
      <w:pPr>
        <w:spacing w:before="100" w:beforeAutospacing="1" w:after="100" w:afterAutospacing="1" w:line="240" w:lineRule="auto"/>
        <w:rPr>
          <w:rFonts w:eastAsia="Times New Roman"/>
          <w:lang w:eastAsia="de-DE"/>
        </w:rPr>
      </w:pPr>
      <w:r w:rsidRPr="00F0029F">
        <w:rPr>
          <w:rFonts w:eastAsia="Times New Roman"/>
          <w:b/>
          <w:bCs/>
          <w:lang w:eastAsia="de-DE"/>
        </w:rPr>
        <w:t>Die LXX</w:t>
      </w:r>
      <w:r w:rsidRPr="00F0029F">
        <w:rPr>
          <w:rFonts w:eastAsia="Times New Roman"/>
          <w:lang w:eastAsia="de-DE"/>
        </w:rPr>
        <w:t xml:space="preserve"> übersetzt </w:t>
      </w:r>
      <w:r w:rsidRPr="00F0029F">
        <w:rPr>
          <w:rFonts w:eastAsia="Times New Roman"/>
          <w:rtl/>
          <w:lang w:eastAsia="de-DE"/>
        </w:rPr>
        <w:t>תּוֹנֶנּוּ</w:t>
      </w:r>
      <w:r w:rsidRPr="00F0029F">
        <w:rPr>
          <w:rFonts w:eastAsia="Times New Roman"/>
          <w:lang w:eastAsia="de-DE"/>
        </w:rPr>
        <w:t xml:space="preserve"> (du sollst ihn nicht unterdrücken) mit </w:t>
      </w:r>
      <w:proofErr w:type="spellStart"/>
      <w:r w:rsidRPr="00F0029F">
        <w:rPr>
          <w:rFonts w:eastAsia="Times New Roman"/>
          <w:lang w:eastAsia="de-DE"/>
        </w:rPr>
        <w:t>θλίψεις</w:t>
      </w:r>
      <w:proofErr w:type="spellEnd"/>
      <w:r w:rsidRPr="00F0029F">
        <w:rPr>
          <w:rFonts w:eastAsia="Times New Roman"/>
          <w:lang w:eastAsia="de-DE"/>
        </w:rPr>
        <w:t xml:space="preserve"> (du wirst [ihn] bedrängen) – ein Verb, das Bedrückung und Bedrängnis ausdrückt.</w:t>
      </w:r>
    </w:p>
    <w:p w14:paraId="1BFCFB8A" w14:textId="77777777" w:rsidR="00277B46" w:rsidRDefault="00277B46" w:rsidP="00277B46">
      <w:pPr>
        <w:pStyle w:val="whitespace-normal"/>
      </w:pPr>
      <w:r>
        <w:rPr>
          <w:rStyle w:val="Fett"/>
          <w:rFonts w:eastAsiaTheme="majorEastAsia"/>
        </w:rPr>
        <w:lastRenderedPageBreak/>
        <w:t>Die Satzstruktur:</w:t>
      </w:r>
      <w:r>
        <w:t xml:space="preserve"> Zwei Anweisungen (bei dir wohnen soll er, in deiner Mitte, an dem Ort, den er wählen wird in einem deiner Tore, wo es ihm gefällt; nicht bedrücken sollst du ihn).</w:t>
      </w:r>
    </w:p>
    <w:p w14:paraId="534AA2F7" w14:textId="77777777" w:rsidR="00277B46" w:rsidRDefault="00277B46" w:rsidP="00277B46">
      <w:pPr>
        <w:pStyle w:val="whitespace-normal"/>
      </w:pPr>
      <w:r>
        <w:rPr>
          <w:rStyle w:val="Fett"/>
          <w:rFonts w:eastAsiaTheme="majorEastAsia"/>
        </w:rPr>
        <w:t>Der Vers beschreibt:</w:t>
      </w:r>
      <w:r>
        <w:t xml:space="preserve"> Der geflohene Sklave darf frei wählen, wo er wohnen möchte, und darf nicht bedrückt werden – er wird als freier Mensch behandelt.</w:t>
      </w:r>
    </w:p>
    <w:p w14:paraId="2A9E0F2C" w14:textId="77777777" w:rsidR="00277B46" w:rsidRPr="00B27A64" w:rsidRDefault="00277B46" w:rsidP="00277B46">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23,18</w:t>
      </w:r>
    </w:p>
    <w:p w14:paraId="0CB8D4DE" w14:textId="77777777" w:rsidR="00277B46" w:rsidRDefault="00277B46" w:rsidP="00277B46">
      <w:pPr>
        <w:pStyle w:val="whitespace-normal"/>
      </w:pPr>
      <w:r>
        <w:rPr>
          <w:rStyle w:val="Fett"/>
          <w:rFonts w:eastAsiaTheme="majorEastAsia"/>
        </w:rPr>
        <w:t>Hebräisch:</w:t>
      </w:r>
      <w:r>
        <w:t xml:space="preserve"> </w:t>
      </w:r>
      <w:r>
        <w:rPr>
          <w:rtl/>
        </w:rPr>
        <w:t>לֹא־תִהְיֶ֥ה קְדֵשָׁ֖ה מִבְּנ֣וֹת יִשְׂרָאֵ֑ל וְלֹֽא־יִהְיֶ֥ה קָדֵ֖שׁ מִבְּנֵ֥י יִשְׂרָאֵל׃</w:t>
      </w:r>
    </w:p>
    <w:p w14:paraId="29CAFFDF" w14:textId="77777777" w:rsidR="00277B46" w:rsidRDefault="00277B46" w:rsidP="00277B46">
      <w:pPr>
        <w:pStyle w:val="whitespace-normal"/>
      </w:pPr>
      <w:r>
        <w:rPr>
          <w:rStyle w:val="Fett"/>
          <w:rFonts w:eastAsiaTheme="majorEastAsia"/>
        </w:rPr>
        <w:t>Deutsch:</w:t>
      </w:r>
      <w:r>
        <w:t xml:space="preserve"> Nicht soll sein eine Geweihte unter den Töchtern Israels, und nicht soll sein ein Geweihter unter den Söhnen Israels.</w:t>
      </w:r>
    </w:p>
    <w:p w14:paraId="6BC6E2D4" w14:textId="77777777" w:rsidR="00277B46" w:rsidRDefault="004F5CEB" w:rsidP="00277B46">
      <w:r>
        <w:rPr>
          <w:noProof/>
        </w:rPr>
        <w:pict w14:anchorId="6CC22EE0">
          <v:rect id="_x0000_i1642" style="width:0;height:1.5pt" o:hralign="center" o:hrstd="t" o:hr="t" fillcolor="#a0a0a0" stroked="f"/>
        </w:pict>
      </w:r>
    </w:p>
    <w:p w14:paraId="47F8D088" w14:textId="77777777" w:rsidR="00277B46" w:rsidRDefault="00277B46" w:rsidP="00277B46">
      <w:pPr>
        <w:pStyle w:val="whitespace-normal"/>
      </w:pPr>
      <w:r>
        <w:rPr>
          <w:rStyle w:val="Fett"/>
          <w:rFonts w:eastAsiaTheme="majorEastAsia"/>
        </w:rPr>
        <w:t>Kommentar:</w:t>
      </w:r>
      <w:r>
        <w:t xml:space="preserve"> </w:t>
      </w:r>
      <w:r>
        <w:rPr>
          <w:rStyle w:val="Fett"/>
          <w:rFonts w:eastAsiaTheme="majorEastAsia"/>
          <w:rtl/>
        </w:rPr>
        <w:t>לֹא־תִהְיֶה קְדֵשָׁה מִבְּנוֹת יִשְׂרָאֵל וְלֹא־יִהְיֶה קָדֵשׁ מִבְּנֵי יִשְׂרָאֵל</w:t>
      </w:r>
      <w:r>
        <w:rPr>
          <w:rtl/>
        </w:rPr>
        <w:t xml:space="preserve"> </w:t>
      </w:r>
      <w:r>
        <w:t xml:space="preserve">sind zwei parallele Verbote: </w:t>
      </w:r>
      <w:r>
        <w:rPr>
          <w:rStyle w:val="Fett"/>
          <w:rFonts w:eastAsiaTheme="majorEastAsia"/>
          <w:rtl/>
        </w:rPr>
        <w:t>לֹא־תִהְיֶה קְדֵשָׁה מִבְּנוֹת יִשְׂרָאֵל</w:t>
      </w:r>
      <w:r>
        <w:rPr>
          <w:rtl/>
        </w:rPr>
        <w:t xml:space="preserve"> </w:t>
      </w:r>
      <w:r>
        <w:t xml:space="preserve">(Negation mit </w:t>
      </w:r>
      <w:r>
        <w:rPr>
          <w:rStyle w:val="Fett"/>
          <w:rFonts w:eastAsiaTheme="majorEastAsia"/>
          <w:rtl/>
        </w:rPr>
        <w:t>היה</w:t>
      </w:r>
      <w:r>
        <w:t xml:space="preserve">, Qal Imperfekt, 3. Person Femininum Singular, </w:t>
      </w:r>
      <w:r>
        <w:rPr>
          <w:rStyle w:val="Fett"/>
          <w:rFonts w:eastAsiaTheme="majorEastAsia"/>
          <w:rtl/>
        </w:rPr>
        <w:t>קְדֵשָׁה</w:t>
      </w:r>
      <w:r>
        <w:t xml:space="preserve">, „Geweihte, Tempelprostituierte" – Femininum von </w:t>
      </w:r>
      <w:r>
        <w:rPr>
          <w:rStyle w:val="Fett"/>
          <w:rFonts w:eastAsiaTheme="majorEastAsia"/>
          <w:rtl/>
        </w:rPr>
        <w:t>קָדֵשׁ</w:t>
      </w:r>
      <w:r>
        <w:t xml:space="preserve">, von der Wurzel </w:t>
      </w:r>
      <w:r>
        <w:rPr>
          <w:rStyle w:val="Fett"/>
          <w:rFonts w:eastAsiaTheme="majorEastAsia"/>
          <w:rtl/>
        </w:rPr>
        <w:t>קדשׁ</w:t>
      </w:r>
      <w:r>
        <w:t xml:space="preserve">, „heilig sein", </w:t>
      </w:r>
      <w:r>
        <w:rPr>
          <w:rStyle w:val="Fett"/>
          <w:rFonts w:eastAsiaTheme="majorEastAsia"/>
          <w:rtl/>
        </w:rPr>
        <w:t>מִבְּנוֹת יִשְׂרָאֵל</w:t>
      </w:r>
      <w:r>
        <w:t xml:space="preserve">, Präposition </w:t>
      </w:r>
      <w:r>
        <w:rPr>
          <w:rStyle w:val="Fett"/>
          <w:rFonts w:eastAsiaTheme="majorEastAsia"/>
          <w:rtl/>
        </w:rPr>
        <w:t>מִן</w:t>
      </w:r>
      <w:r>
        <w:rPr>
          <w:rtl/>
        </w:rPr>
        <w:t xml:space="preserve"> </w:t>
      </w:r>
      <w:r>
        <w:t xml:space="preserve">mit </w:t>
      </w:r>
      <w:r>
        <w:rPr>
          <w:rStyle w:val="Fett"/>
          <w:rFonts w:eastAsiaTheme="majorEastAsia"/>
          <w:rtl/>
        </w:rPr>
        <w:t>בַּת</w:t>
      </w:r>
      <w:r>
        <w:t xml:space="preserve">, „Tochter", Plural Construct mit </w:t>
      </w:r>
      <w:r>
        <w:rPr>
          <w:rStyle w:val="Fett"/>
          <w:rFonts w:eastAsiaTheme="majorEastAsia"/>
          <w:rtl/>
        </w:rPr>
        <w:t>יִשְׂרָאֵל</w:t>
      </w:r>
      <w:r>
        <w:t xml:space="preserve">), </w:t>
      </w:r>
      <w:r>
        <w:rPr>
          <w:rStyle w:val="Fett"/>
          <w:rFonts w:eastAsiaTheme="majorEastAsia"/>
          <w:rtl/>
        </w:rPr>
        <w:t>וְלֹא־יִהְיֶה קָדֵשׁ מִבְּנֵי יִשְׂרָאֵל</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היה</w:t>
      </w:r>
      <w:r>
        <w:t xml:space="preserve">, Qal Imperfekt, 3. Person Maskulinum Singular, </w:t>
      </w:r>
      <w:r>
        <w:rPr>
          <w:rStyle w:val="Fett"/>
          <w:rFonts w:eastAsiaTheme="majorEastAsia"/>
          <w:rtl/>
        </w:rPr>
        <w:t>קָדֵשׁ</w:t>
      </w:r>
      <w:r>
        <w:t xml:space="preserve">, „Geweihter, Tempelprostituierter" – Maskulinum, </w:t>
      </w:r>
      <w:r>
        <w:rPr>
          <w:rStyle w:val="Fett"/>
          <w:rFonts w:eastAsiaTheme="majorEastAsia"/>
          <w:rtl/>
        </w:rPr>
        <w:t>מִבְּנֵי יִשְׂרָאֵל</w:t>
      </w:r>
      <w:r>
        <w:t xml:space="preserve">, Präposition </w:t>
      </w:r>
      <w:r>
        <w:rPr>
          <w:rStyle w:val="Fett"/>
          <w:rFonts w:eastAsiaTheme="majorEastAsia"/>
          <w:rtl/>
        </w:rPr>
        <w:t>מִן</w:t>
      </w:r>
      <w:r>
        <w:rPr>
          <w:rtl/>
        </w:rPr>
        <w:t xml:space="preserve"> </w:t>
      </w:r>
      <w:r>
        <w:t xml:space="preserve">mit </w:t>
      </w:r>
      <w:r>
        <w:rPr>
          <w:rStyle w:val="Fett"/>
          <w:rFonts w:eastAsiaTheme="majorEastAsia"/>
          <w:rtl/>
        </w:rPr>
        <w:t>בֵּן</w:t>
      </w:r>
      <w:r>
        <w:t xml:space="preserve">, „Sohn", Plural Construct mit </w:t>
      </w:r>
      <w:r>
        <w:rPr>
          <w:rStyle w:val="Fett"/>
          <w:rFonts w:eastAsiaTheme="majorEastAsia"/>
          <w:rtl/>
        </w:rPr>
        <w:t>יִשְׂרָאֵל</w:t>
      </w:r>
      <w:r>
        <w:t>).</w:t>
      </w:r>
    </w:p>
    <w:p w14:paraId="2F64D271" w14:textId="0165B8C8" w:rsidR="00277B46" w:rsidRDefault="00277B46" w:rsidP="00277B46">
      <w:pPr>
        <w:pStyle w:val="whitespace-normal"/>
      </w:pPr>
      <w:r>
        <w:t xml:space="preserve">Der Vers leitet einen neuen Abschnitt ein: Verbot der kultischen Prostitution (V. 18-19). Das erste Verbot: </w:t>
      </w:r>
      <w:r>
        <w:rPr>
          <w:rStyle w:val="Fett"/>
          <w:rFonts w:eastAsiaTheme="majorEastAsia"/>
          <w:rtl/>
        </w:rPr>
        <w:t>לֹא־תִהְיֶה קְדֵשָׁה מִבְּנוֹת יִשְׂרָאֵל</w:t>
      </w:r>
      <w:r>
        <w:rPr>
          <w:rtl/>
        </w:rPr>
        <w:t xml:space="preserve"> </w:t>
      </w:r>
      <w:r>
        <w:t xml:space="preserve">(„nicht sein soll eine Geweihte unter den Töchtern Israels"). Das Wort </w:t>
      </w:r>
      <w:r>
        <w:rPr>
          <w:rStyle w:val="Fett"/>
          <w:rFonts w:eastAsiaTheme="majorEastAsia"/>
          <w:rtl/>
        </w:rPr>
        <w:t>קְדֵשָׁה</w:t>
      </w:r>
      <w:r>
        <w:rPr>
          <w:rtl/>
        </w:rPr>
        <w:t xml:space="preserve"> </w:t>
      </w:r>
      <w:r>
        <w:t xml:space="preserve">(Femininum von </w:t>
      </w:r>
      <w:r>
        <w:rPr>
          <w:rStyle w:val="Fett"/>
          <w:rFonts w:eastAsiaTheme="majorEastAsia"/>
          <w:rtl/>
        </w:rPr>
        <w:t>קָדֵשׁ</w:t>
      </w:r>
      <w:r>
        <w:t xml:space="preserve">) bezeichnet wörtlich eine „Geweihte, Heilige", wird aber hier als Bezeichnung für Tempelprostituierte verstanden. Die Wurzel </w:t>
      </w:r>
      <w:r>
        <w:rPr>
          <w:rStyle w:val="Fett"/>
          <w:rFonts w:eastAsiaTheme="majorEastAsia"/>
          <w:rtl/>
        </w:rPr>
        <w:t>קדשׁ</w:t>
      </w:r>
      <w:r>
        <w:rPr>
          <w:rtl/>
        </w:rPr>
        <w:t xml:space="preserve"> </w:t>
      </w:r>
      <w:r>
        <w:t xml:space="preserve">(„heilig sein") zeigt: Diese Frauen waren „geweiht" im Sinne von religiöser Hingabe an eine Gottheit, oft verbunden mit sexuellen Riten. Solche kultische Prostitution war in vielen kanaanäischen und mesopotamischen Kulten verbreitet (vgl. Gen 38,21-22 für </w:t>
      </w:r>
      <w:r>
        <w:rPr>
          <w:rStyle w:val="Fett"/>
          <w:rFonts w:eastAsiaTheme="majorEastAsia"/>
          <w:rtl/>
        </w:rPr>
        <w:t>קְדֵשָׁה</w:t>
      </w:r>
      <w:r>
        <w:t xml:space="preserve">; Hos 4,14). Das zweite Verbot: </w:t>
      </w:r>
      <w:r>
        <w:rPr>
          <w:rStyle w:val="Fett"/>
          <w:rFonts w:eastAsiaTheme="majorEastAsia"/>
          <w:rtl/>
        </w:rPr>
        <w:t>וְלֹא־יִהְיֶה קָדֵשׁ מִבְּנֵי יִשְׂרָאֵל</w:t>
      </w:r>
      <w:r>
        <w:rPr>
          <w:rtl/>
        </w:rPr>
        <w:t xml:space="preserve"> </w:t>
      </w:r>
      <w:r>
        <w:t xml:space="preserve">(„und nicht sein soll ein Geweihter unter den Söhnen Israels"). Das maskuline </w:t>
      </w:r>
      <w:r>
        <w:rPr>
          <w:rStyle w:val="Fett"/>
          <w:rFonts w:eastAsiaTheme="majorEastAsia"/>
          <w:rtl/>
        </w:rPr>
        <w:t>קָדֵשׁ</w:t>
      </w:r>
      <w:r>
        <w:rPr>
          <w:rtl/>
        </w:rPr>
        <w:t xml:space="preserve"> </w:t>
      </w:r>
      <w:r>
        <w:t xml:space="preserve">bezeichnet einen männlichen Tempelprostituierten oder Kultdiener mit sexuellen Funktionen. Die historischen Bücher erwähnen solche </w:t>
      </w:r>
      <w:r>
        <w:rPr>
          <w:rStyle w:val="Fett"/>
          <w:rFonts w:eastAsiaTheme="majorEastAsia"/>
          <w:rtl/>
        </w:rPr>
        <w:t>קְדֵשִׁים</w:t>
      </w:r>
      <w:r>
        <w:rPr>
          <w:rtl/>
        </w:rPr>
        <w:t xml:space="preserve"> </w:t>
      </w:r>
      <w:r>
        <w:t>mehrfach als Teil des Götzendienstes in Israel (</w:t>
      </w:r>
      <w:r w:rsidR="00664EB6">
        <w:t>1Kön</w:t>
      </w:r>
      <w:r>
        <w:t xml:space="preserve"> 14,24; 15,12; 22,47; </w:t>
      </w:r>
      <w:r w:rsidR="00664EB6">
        <w:t>2Kön</w:t>
      </w:r>
      <w:r>
        <w:t xml:space="preserve"> 23,7). Die Formulierung </w:t>
      </w:r>
      <w:r>
        <w:rPr>
          <w:rStyle w:val="Fett"/>
          <w:rFonts w:eastAsiaTheme="majorEastAsia"/>
          <w:rtl/>
        </w:rPr>
        <w:t>מִבְּנוֹת יִשְׂרָאֵל</w:t>
      </w:r>
      <w:r>
        <w:rPr>
          <w:rtl/>
        </w:rPr>
        <w:t xml:space="preserve"> </w:t>
      </w:r>
      <w:r>
        <w:t xml:space="preserve">und </w:t>
      </w:r>
      <w:r>
        <w:rPr>
          <w:rStyle w:val="Fett"/>
          <w:rFonts w:eastAsiaTheme="majorEastAsia"/>
          <w:rtl/>
        </w:rPr>
        <w:t>מִבְּנֵי יִשְׂרָאֵל</w:t>
      </w:r>
      <w:r>
        <w:rPr>
          <w:rtl/>
        </w:rPr>
        <w:t xml:space="preserve"> </w:t>
      </w:r>
      <w:r>
        <w:t>(„unter den Töchtern/Söhnen Israels") betont: Niemand aus dem Bundesvolk soll solche Praktiken ausüben. Die Ratio: (1) Abgrenzung von kanaanäischen Fruchtbarkeitskulten; (2) Bewahrung der sexuellen Reinheit; (3) Schutz der Heiligkeit JHWHs und seines Volkes. V. 19 wird die ökonomische Dimension behandeln.</w:t>
      </w:r>
    </w:p>
    <w:p w14:paraId="1258299B" w14:textId="77777777" w:rsidR="00F0029F" w:rsidRPr="00F0029F" w:rsidRDefault="00F0029F" w:rsidP="00F0029F">
      <w:pPr>
        <w:spacing w:before="100" w:beforeAutospacing="1" w:after="100" w:afterAutospacing="1" w:line="240" w:lineRule="auto"/>
        <w:outlineLvl w:val="1"/>
        <w:rPr>
          <w:rFonts w:eastAsia="Times New Roman"/>
          <w:b/>
          <w:bCs/>
          <w:sz w:val="36"/>
          <w:szCs w:val="36"/>
          <w:lang w:eastAsia="de-DE"/>
        </w:rPr>
      </w:pPr>
      <w:r w:rsidRPr="00F0029F">
        <w:rPr>
          <w:rFonts w:eastAsia="Times New Roman"/>
          <w:b/>
          <w:bCs/>
          <w:sz w:val="36"/>
          <w:szCs w:val="36"/>
          <w:lang w:eastAsia="de-DE"/>
        </w:rPr>
        <w:t>Vers 18 (MT 23,18) / Vers 17 (LXX 23,17)</w:t>
      </w:r>
    </w:p>
    <w:p w14:paraId="5DFCDDBC" w14:textId="2792ADA8" w:rsidR="00F0029F" w:rsidRPr="00F0029F" w:rsidRDefault="00F0029F" w:rsidP="00F0029F">
      <w:pPr>
        <w:spacing w:before="100" w:beforeAutospacing="1" w:after="100" w:afterAutospacing="1" w:line="240" w:lineRule="auto"/>
        <w:rPr>
          <w:rFonts w:eastAsia="Times New Roman"/>
          <w:lang w:eastAsia="de-DE"/>
        </w:rPr>
      </w:pPr>
      <w:r w:rsidRPr="00F0029F">
        <w:rPr>
          <w:rFonts w:eastAsia="Times New Roman"/>
          <w:b/>
          <w:bCs/>
          <w:lang w:eastAsia="de-DE"/>
        </w:rPr>
        <w:t>Die LXX</w:t>
      </w:r>
      <w:r w:rsidRPr="00F0029F">
        <w:rPr>
          <w:rFonts w:eastAsia="Times New Roman"/>
          <w:lang w:eastAsia="de-DE"/>
        </w:rPr>
        <w:t xml:space="preserve"> übersetzt </w:t>
      </w:r>
      <w:r w:rsidRPr="00F0029F">
        <w:rPr>
          <w:rFonts w:eastAsia="Times New Roman"/>
          <w:rtl/>
          <w:lang w:eastAsia="de-DE"/>
        </w:rPr>
        <w:t>קְדֵשָׁה... קָדֵשׁ</w:t>
      </w:r>
      <w:r w:rsidRPr="00F0029F">
        <w:rPr>
          <w:rFonts w:eastAsia="Times New Roman"/>
          <w:lang w:eastAsia="de-DE"/>
        </w:rPr>
        <w:t xml:space="preserve"> (Tempelprostituierte... Tempelprostituierter) mit π</w:t>
      </w:r>
      <w:proofErr w:type="spellStart"/>
      <w:r w:rsidRPr="00F0029F">
        <w:rPr>
          <w:rFonts w:eastAsia="Times New Roman"/>
          <w:lang w:eastAsia="de-DE"/>
        </w:rPr>
        <w:t>όρνη</w:t>
      </w:r>
      <w:proofErr w:type="spellEnd"/>
      <w:r w:rsidRPr="00F0029F">
        <w:rPr>
          <w:rFonts w:eastAsia="Times New Roman"/>
          <w:lang w:eastAsia="de-DE"/>
        </w:rPr>
        <w:t>... π</w:t>
      </w:r>
      <w:proofErr w:type="spellStart"/>
      <w:r w:rsidRPr="00F0029F">
        <w:rPr>
          <w:rFonts w:eastAsia="Times New Roman"/>
          <w:lang w:eastAsia="de-DE"/>
        </w:rPr>
        <w:t>ορνεύων</w:t>
      </w:r>
      <w:proofErr w:type="spellEnd"/>
      <w:r w:rsidRPr="00F0029F">
        <w:rPr>
          <w:rFonts w:eastAsia="Times New Roman"/>
          <w:lang w:eastAsia="de-DE"/>
        </w:rPr>
        <w:t xml:space="preserve"> (Hure... Hurerei Treibender) und fügt dann eine zweite Formulierung hinzu: </w:t>
      </w:r>
      <w:proofErr w:type="spellStart"/>
      <w:r w:rsidRPr="00F0029F">
        <w:rPr>
          <w:rFonts w:eastAsia="Times New Roman"/>
          <w:lang w:eastAsia="de-DE"/>
        </w:rPr>
        <w:t>τελεσφόρος</w:t>
      </w:r>
      <w:proofErr w:type="spellEnd"/>
      <w:r w:rsidRPr="00F0029F">
        <w:rPr>
          <w:rFonts w:eastAsia="Times New Roman"/>
          <w:lang w:eastAsia="de-DE"/>
        </w:rPr>
        <w:t xml:space="preserve">... </w:t>
      </w:r>
      <w:proofErr w:type="spellStart"/>
      <w:r w:rsidRPr="00F0029F">
        <w:rPr>
          <w:rFonts w:eastAsia="Times New Roman"/>
          <w:lang w:eastAsia="de-DE"/>
        </w:rPr>
        <w:t>τελισκόμενος</w:t>
      </w:r>
      <w:proofErr w:type="spellEnd"/>
      <w:r w:rsidRPr="00F0029F">
        <w:rPr>
          <w:rFonts w:eastAsia="Times New Roman"/>
          <w:lang w:eastAsia="de-DE"/>
        </w:rPr>
        <w:t xml:space="preserve"> (Eingeweihte... Initiierter) – Begriffe, die auf heidnische Mysterienkulte hinweisen. Dies ist eine bedeutende interpretierende Erweiterung.</w:t>
      </w:r>
    </w:p>
    <w:p w14:paraId="49E9F525" w14:textId="77777777" w:rsidR="00277B46" w:rsidRDefault="00277B46" w:rsidP="00277B46">
      <w:pPr>
        <w:pStyle w:val="whitespace-normal"/>
      </w:pPr>
      <w:r>
        <w:rPr>
          <w:rStyle w:val="Fett"/>
          <w:rFonts w:eastAsiaTheme="majorEastAsia"/>
        </w:rPr>
        <w:lastRenderedPageBreak/>
        <w:t>Die Satzstruktur:</w:t>
      </w:r>
      <w:r>
        <w:t xml:space="preserve"> Zwei parallele Verbote (nicht sein soll eine Geweihte unter den Töchtern Israels, und nicht sein soll ein Geweihter unter den Söhnen Israels).</w:t>
      </w:r>
    </w:p>
    <w:p w14:paraId="37797F4C" w14:textId="3888F305" w:rsidR="00277B46" w:rsidRDefault="00277B46" w:rsidP="00AB12A0">
      <w:pPr>
        <w:pStyle w:val="whitespace-normal"/>
      </w:pPr>
      <w:r>
        <w:rPr>
          <w:rStyle w:val="Fett"/>
          <w:rFonts w:eastAsiaTheme="majorEastAsia"/>
        </w:rPr>
        <w:t>Der Vers beschreibt:</w:t>
      </w:r>
      <w:r>
        <w:t xml:space="preserve"> Verbot der kultischen Prostitution – weder Frauen noch Männer Israels sollen als Tempelprostituierte dienen.</w:t>
      </w:r>
    </w:p>
    <w:p w14:paraId="4B15598E" w14:textId="77777777" w:rsidR="00277B46" w:rsidRPr="00B27A64" w:rsidRDefault="00277B46" w:rsidP="00277B46">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23,19</w:t>
      </w:r>
    </w:p>
    <w:p w14:paraId="0D19795A" w14:textId="77777777" w:rsidR="00277B46" w:rsidRDefault="00277B46" w:rsidP="00277B46">
      <w:pPr>
        <w:pStyle w:val="whitespace-normal"/>
      </w:pPr>
      <w:r>
        <w:rPr>
          <w:rStyle w:val="Fett"/>
          <w:rFonts w:eastAsiaTheme="majorEastAsia"/>
        </w:rPr>
        <w:t>Hebräisch:</w:t>
      </w:r>
      <w:r>
        <w:t xml:space="preserve"> </w:t>
      </w:r>
      <w:r>
        <w:rPr>
          <w:rtl/>
        </w:rPr>
        <w:t>לֹא־תָבִיא֩ אֶתְנַ֨ן זוֹנָ֜ה וּמְחִ֣יר כֶּ֗לֶב בֵּ֛ית יְהוָ֥ה אֱלֹהֶ֖יךָ לְכָל־נֶ֑דֶר כִּ֧י תוֹעֲבַ֛ת יְהוָ֥ה אֱלֹהֶ֖יךָ גַּם־שְׁנֵיהֶֽם׃</w:t>
      </w:r>
    </w:p>
    <w:p w14:paraId="2551203A" w14:textId="77777777" w:rsidR="00277B46" w:rsidRDefault="00277B46" w:rsidP="00277B46">
      <w:pPr>
        <w:pStyle w:val="whitespace-normal"/>
      </w:pPr>
      <w:r>
        <w:rPr>
          <w:rStyle w:val="Fett"/>
          <w:rFonts w:eastAsiaTheme="majorEastAsia"/>
        </w:rPr>
        <w:t>Deutsch:</w:t>
      </w:r>
      <w:r>
        <w:t xml:space="preserve"> Nicht sollst du bringen den Lohn einer Hure und den Preis eines Hundes in das Haus JHWHs, deines Gottes, für irgendein Gelübde; denn ein Gräuel für JHWH, deinen Gott, sind auch diese beiden.</w:t>
      </w:r>
    </w:p>
    <w:p w14:paraId="344E2331" w14:textId="77777777" w:rsidR="00277B46" w:rsidRDefault="004F5CEB" w:rsidP="00277B46">
      <w:r>
        <w:rPr>
          <w:noProof/>
        </w:rPr>
        <w:pict w14:anchorId="76A0EEDA">
          <v:rect id="_x0000_i1643" style="width:0;height:1.5pt" o:hralign="center" o:hrstd="t" o:hr="t" fillcolor="#a0a0a0" stroked="f"/>
        </w:pict>
      </w:r>
    </w:p>
    <w:p w14:paraId="34A8EBA3" w14:textId="77777777" w:rsidR="00277B46" w:rsidRDefault="00277B46" w:rsidP="00277B46">
      <w:pPr>
        <w:pStyle w:val="whitespace-normal"/>
      </w:pPr>
      <w:r>
        <w:rPr>
          <w:rStyle w:val="Fett"/>
          <w:rFonts w:eastAsiaTheme="majorEastAsia"/>
        </w:rPr>
        <w:t>Kommentar:</w:t>
      </w:r>
      <w:r>
        <w:t xml:space="preserve"> </w:t>
      </w:r>
      <w:r>
        <w:rPr>
          <w:rStyle w:val="Fett"/>
          <w:rFonts w:eastAsiaTheme="majorEastAsia"/>
          <w:rtl/>
        </w:rPr>
        <w:t>לֹא־תָבִיא אֶתְנַן זוֹנָה וּמְחִיר כֶּלֶב בֵּית יְהוָה אֱלֹהֶיךָ לְכָל־נֶדֶר</w:t>
      </w:r>
      <w:r>
        <w:rPr>
          <w:rtl/>
        </w:rPr>
        <w:t xml:space="preserve"> </w:t>
      </w:r>
      <w:r>
        <w:t xml:space="preserve">ist das Verbot: </w:t>
      </w:r>
      <w:r>
        <w:rPr>
          <w:rStyle w:val="Fett"/>
          <w:rFonts w:eastAsiaTheme="majorEastAsia"/>
          <w:rtl/>
        </w:rPr>
        <w:t>לֹא־תָבִיא אֶתְנַן זוֹנָה וּמְחִיר כֶּלֶב בֵּית יְהוָה אֱלֹהֶיךָ</w:t>
      </w:r>
      <w:r>
        <w:rPr>
          <w:rtl/>
        </w:rPr>
        <w:t xml:space="preserve"> </w:t>
      </w:r>
      <w:r>
        <w:t xml:space="preserve">(Negation mit </w:t>
      </w:r>
      <w:r>
        <w:rPr>
          <w:rStyle w:val="Fett"/>
          <w:rFonts w:eastAsiaTheme="majorEastAsia"/>
          <w:rtl/>
        </w:rPr>
        <w:t>בוא</w:t>
      </w:r>
      <w:r>
        <w:t xml:space="preserve">, Hiphil Imperfekt, 2. Person Maskulinum Singular, „bringen", </w:t>
      </w:r>
      <w:r>
        <w:rPr>
          <w:rStyle w:val="Fett"/>
          <w:rFonts w:eastAsiaTheme="majorEastAsia"/>
          <w:rtl/>
        </w:rPr>
        <w:t>אֶתְנַן</w:t>
      </w:r>
      <w:r>
        <w:t xml:space="preserve">, „Lohn, Hurenlohn" (von </w:t>
      </w:r>
      <w:r>
        <w:rPr>
          <w:rStyle w:val="Fett"/>
          <w:rFonts w:eastAsiaTheme="majorEastAsia"/>
          <w:rtl/>
        </w:rPr>
        <w:t>תנן</w:t>
      </w:r>
      <w:r>
        <w:t xml:space="preserve">, „bezahlen"), Construct mit </w:t>
      </w:r>
      <w:r>
        <w:rPr>
          <w:rStyle w:val="Fett"/>
          <w:rFonts w:eastAsiaTheme="majorEastAsia"/>
          <w:rtl/>
        </w:rPr>
        <w:t>זוֹנָה</w:t>
      </w:r>
      <w:r>
        <w:t xml:space="preserve">, „Hure, Prostituierte", koordiniert durch </w:t>
      </w:r>
      <w:r>
        <w:rPr>
          <w:rStyle w:val="Fett"/>
          <w:rFonts w:eastAsiaTheme="majorEastAsia"/>
          <w:rtl/>
        </w:rPr>
        <w:t>וּ</w:t>
      </w:r>
      <w:r>
        <w:rPr>
          <w:rtl/>
        </w:rPr>
        <w:t xml:space="preserve"> </w:t>
      </w:r>
      <w:r>
        <w:t xml:space="preserve">mit </w:t>
      </w:r>
      <w:r>
        <w:rPr>
          <w:rStyle w:val="Fett"/>
          <w:rFonts w:eastAsiaTheme="majorEastAsia"/>
          <w:rtl/>
        </w:rPr>
        <w:t>מְחִיר</w:t>
      </w:r>
      <w:r>
        <w:t xml:space="preserve">, „Preis, Kaufpreis", Construct mit </w:t>
      </w:r>
      <w:r>
        <w:rPr>
          <w:rStyle w:val="Fett"/>
          <w:rFonts w:eastAsiaTheme="majorEastAsia"/>
          <w:rtl/>
        </w:rPr>
        <w:t>כֶּלֶב</w:t>
      </w:r>
      <w:r>
        <w:t xml:space="preserve">, „Hund", </w:t>
      </w:r>
      <w:r>
        <w:rPr>
          <w:rStyle w:val="Fett"/>
          <w:rFonts w:eastAsiaTheme="majorEastAsia"/>
          <w:rtl/>
        </w:rPr>
        <w:t>בֵּית יְהוָה אֱלֹהֶיךָ</w:t>
      </w:r>
      <w:r>
        <w:t xml:space="preserve">, „das Haus JHWHs, deines Gottes" – der Tempel), </w:t>
      </w:r>
      <w:r>
        <w:rPr>
          <w:rStyle w:val="Fett"/>
          <w:rFonts w:eastAsiaTheme="majorEastAsia"/>
          <w:rtl/>
        </w:rPr>
        <w:t>לְכָל־נֶדֶר</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כֹּל</w:t>
      </w:r>
      <w:r>
        <w:t xml:space="preserve">, </w:t>
      </w:r>
      <w:r>
        <w:rPr>
          <w:rStyle w:val="Fett"/>
          <w:rFonts w:eastAsiaTheme="majorEastAsia"/>
          <w:rtl/>
        </w:rPr>
        <w:t>נֶדֶר</w:t>
      </w:r>
      <w:r>
        <w:t>, „Gelübde").</w:t>
      </w:r>
    </w:p>
    <w:p w14:paraId="4F64A814" w14:textId="77777777" w:rsidR="00277B46" w:rsidRDefault="00277B46" w:rsidP="00277B46">
      <w:pPr>
        <w:pStyle w:val="whitespace-normal"/>
      </w:pPr>
      <w:r>
        <w:rPr>
          <w:rStyle w:val="Fett"/>
          <w:rFonts w:eastAsiaTheme="majorEastAsia"/>
          <w:rtl/>
        </w:rPr>
        <w:t>כִּי תוֹעֲבַת יְהוָה אֱלֹהֶיךָ גַּם־שְׁנֵיהֶם</w:t>
      </w:r>
      <w:r>
        <w:rPr>
          <w:rtl/>
        </w:rPr>
        <w:t xml:space="preserve"> </w:t>
      </w:r>
      <w:r>
        <w:t xml:space="preserve">ist die Begründung: Kausalsatz mit </w:t>
      </w:r>
      <w:r>
        <w:rPr>
          <w:rStyle w:val="Fett"/>
          <w:rFonts w:eastAsiaTheme="majorEastAsia"/>
          <w:rtl/>
        </w:rPr>
        <w:t>כִּי</w:t>
      </w:r>
      <w:r>
        <w:t xml:space="preserve">, </w:t>
      </w:r>
      <w:r>
        <w:rPr>
          <w:rStyle w:val="Fett"/>
          <w:rFonts w:eastAsiaTheme="majorEastAsia"/>
          <w:rtl/>
        </w:rPr>
        <w:t>תּוֹעֵבָה</w:t>
      </w:r>
      <w:r>
        <w:t xml:space="preserve">, „Gräuel, Abscheu", Construct mit </w:t>
      </w:r>
      <w:r>
        <w:rPr>
          <w:rStyle w:val="Fett"/>
          <w:rFonts w:eastAsiaTheme="majorEastAsia"/>
          <w:rtl/>
        </w:rPr>
        <w:t>יְהוָה אֱלֹהֶיךָ</w:t>
      </w:r>
      <w:r>
        <w:t xml:space="preserve">, </w:t>
      </w:r>
      <w:r>
        <w:rPr>
          <w:rStyle w:val="Fett"/>
          <w:rFonts w:eastAsiaTheme="majorEastAsia"/>
          <w:rtl/>
        </w:rPr>
        <w:t>גַּם־שְׁנֵיהֶם</w:t>
      </w:r>
      <w:r>
        <w:t>, „auch beide" (dual mit Suffix 3. Person Maskulinum Plural).</w:t>
      </w:r>
    </w:p>
    <w:p w14:paraId="6390D544" w14:textId="411CD1A2" w:rsidR="00277B46" w:rsidRDefault="00277B46" w:rsidP="00277B46">
      <w:pPr>
        <w:pStyle w:val="whitespace-normal"/>
      </w:pPr>
      <w:r>
        <w:t xml:space="preserve">Der Vers verbietet, mit Prostitutionseinkommen Opfer darzubringen. Das Verbot hat zwei Objekte: (1) </w:t>
      </w:r>
      <w:r>
        <w:rPr>
          <w:rStyle w:val="Fett"/>
          <w:rFonts w:eastAsiaTheme="majorEastAsia"/>
          <w:rtl/>
        </w:rPr>
        <w:t>אֶתְנַן זוֹנָה</w:t>
      </w:r>
      <w:r>
        <w:rPr>
          <w:rtl/>
        </w:rPr>
        <w:t xml:space="preserve"> </w:t>
      </w:r>
      <w:r>
        <w:t xml:space="preserve">(„Lohn einer Hure") – </w:t>
      </w:r>
      <w:r>
        <w:rPr>
          <w:rStyle w:val="Fett"/>
          <w:rFonts w:eastAsiaTheme="majorEastAsia"/>
          <w:rtl/>
        </w:rPr>
        <w:t>אֶתְנַן</w:t>
      </w:r>
      <w:r>
        <w:rPr>
          <w:rtl/>
        </w:rPr>
        <w:t xml:space="preserve"> </w:t>
      </w:r>
      <w:r>
        <w:t xml:space="preserve">ist der Hurenlohn (vgl. Gen 38,17-18; Hos 2,14; 9,1; Mi 1,7). </w:t>
      </w:r>
      <w:r>
        <w:rPr>
          <w:rStyle w:val="Fett"/>
          <w:rFonts w:eastAsiaTheme="majorEastAsia"/>
          <w:rtl/>
        </w:rPr>
        <w:t>זוֹנָה</w:t>
      </w:r>
      <w:r>
        <w:rPr>
          <w:rtl/>
        </w:rPr>
        <w:t xml:space="preserve"> </w:t>
      </w:r>
      <w:r>
        <w:t xml:space="preserve">(„Hure, Prostituierte") bezeichnet profane (nicht kultische) Prostitution. (2) </w:t>
      </w:r>
      <w:r>
        <w:rPr>
          <w:rStyle w:val="Fett"/>
          <w:rFonts w:eastAsiaTheme="majorEastAsia"/>
          <w:rtl/>
        </w:rPr>
        <w:t>מְחִיר כֶּלֶב</w:t>
      </w:r>
      <w:r>
        <w:rPr>
          <w:rtl/>
        </w:rPr>
        <w:t xml:space="preserve"> </w:t>
      </w:r>
      <w:r>
        <w:t xml:space="preserve">(„Preis eines Hundes") – </w:t>
      </w:r>
      <w:r>
        <w:rPr>
          <w:rStyle w:val="Fett"/>
          <w:rFonts w:eastAsiaTheme="majorEastAsia"/>
          <w:rtl/>
        </w:rPr>
        <w:t>מְחִיר</w:t>
      </w:r>
      <w:r>
        <w:rPr>
          <w:rtl/>
        </w:rPr>
        <w:t xml:space="preserve"> </w:t>
      </w:r>
      <w:r>
        <w:t xml:space="preserve">ist der Kaufpreis oder Verdienst. </w:t>
      </w:r>
      <w:r>
        <w:rPr>
          <w:rStyle w:val="Fett"/>
          <w:rFonts w:eastAsiaTheme="majorEastAsia"/>
          <w:rtl/>
        </w:rPr>
        <w:t>כֶּלֶב</w:t>
      </w:r>
      <w:r>
        <w:rPr>
          <w:rtl/>
        </w:rPr>
        <w:t xml:space="preserve"> </w:t>
      </w:r>
      <w:r>
        <w:t xml:space="preserve">(„Hund") ist hier wahrscheinlich ein abwertender Begriff für einen männlichen Prostituierten (vgl. Off 22,15: „Draußen sind die Hunde"). Manche interpretieren es wörtlich als Preis eines verkauften Hundes, aber der Kontext (parallel zu </w:t>
      </w:r>
      <w:r>
        <w:rPr>
          <w:rStyle w:val="Fett"/>
          <w:rFonts w:eastAsiaTheme="majorEastAsia"/>
          <w:rtl/>
        </w:rPr>
        <w:t>זוֹנָה</w:t>
      </w:r>
      <w:r>
        <w:t xml:space="preserve">) legt die metaphorische Deutung nahe. Das Verbot: </w:t>
      </w:r>
      <w:r>
        <w:rPr>
          <w:rStyle w:val="Fett"/>
          <w:rFonts w:eastAsiaTheme="majorEastAsia"/>
          <w:rtl/>
        </w:rPr>
        <w:t>לֹא־תָבִיא... בֵּית יְהוָה אֱלֹהֶיךָ לְכָל־נֶדֶר</w:t>
      </w:r>
      <w:r>
        <w:rPr>
          <w:rtl/>
        </w:rPr>
        <w:t xml:space="preserve"> </w:t>
      </w:r>
      <w:r>
        <w:t xml:space="preserve">(„nicht bringen sollst du... in das Haus JHWHs, deines Gottes, für irgendein Gelübde"). Die Formulierung </w:t>
      </w:r>
      <w:r>
        <w:rPr>
          <w:rStyle w:val="Fett"/>
          <w:rFonts w:eastAsiaTheme="majorEastAsia"/>
          <w:rtl/>
        </w:rPr>
        <w:t>לְכָל־נֶדֶר</w:t>
      </w:r>
      <w:r>
        <w:rPr>
          <w:rtl/>
        </w:rPr>
        <w:t xml:space="preserve"> </w:t>
      </w:r>
      <w:r>
        <w:t xml:space="preserve">(„für jedes Gelübde") betont: für keinen Zweck, selbst nicht für fromme Gelübde, darf solches Geld verwendet werden. Die Begründung: </w:t>
      </w:r>
      <w:r>
        <w:rPr>
          <w:rStyle w:val="Fett"/>
          <w:rFonts w:eastAsiaTheme="majorEastAsia"/>
          <w:rtl/>
        </w:rPr>
        <w:t>כִּי תוֹעֲבַת יְהוָה אֱלֹהֶיךָ גַּם־שְׁנֵיהֶם</w:t>
      </w:r>
      <w:r>
        <w:rPr>
          <w:rtl/>
        </w:rPr>
        <w:t xml:space="preserve"> </w:t>
      </w:r>
      <w:r>
        <w:t xml:space="preserve">(„denn ein Gräuel für JHWH, deinen Gott, sind auch diese beiden"). Das Wort </w:t>
      </w:r>
      <w:r>
        <w:rPr>
          <w:rStyle w:val="Fett"/>
          <w:rFonts w:eastAsiaTheme="majorEastAsia"/>
          <w:rtl/>
        </w:rPr>
        <w:t>תּוֹעֵבָה</w:t>
      </w:r>
      <w:r>
        <w:rPr>
          <w:rtl/>
        </w:rPr>
        <w:t xml:space="preserve"> </w:t>
      </w:r>
      <w:r>
        <w:t xml:space="preserve">(„Gräuel") ist stark und bezeichnet etwas, das JHWH zutiefst verabscheut (häufig für Götzendienst und sexuelle Sünden, vgl. Lev 18,22.26.27.29.30; Dtn 7,25.26; 12,31; 18,12). Das Wort </w:t>
      </w:r>
      <w:r>
        <w:rPr>
          <w:rStyle w:val="Fett"/>
          <w:rFonts w:eastAsiaTheme="majorEastAsia"/>
          <w:rtl/>
        </w:rPr>
        <w:t>גַּם</w:t>
      </w:r>
      <w:r>
        <w:rPr>
          <w:rtl/>
        </w:rPr>
        <w:t xml:space="preserve"> </w:t>
      </w:r>
      <w:r>
        <w:t xml:space="preserve">(„auch") und der Dual </w:t>
      </w:r>
      <w:r>
        <w:rPr>
          <w:rStyle w:val="Fett"/>
          <w:rFonts w:eastAsiaTheme="majorEastAsia"/>
          <w:rtl/>
        </w:rPr>
        <w:t>שְׁנֵיהֶם</w:t>
      </w:r>
      <w:r>
        <w:rPr>
          <w:rtl/>
        </w:rPr>
        <w:t xml:space="preserve"> </w:t>
      </w:r>
      <w:r>
        <w:t>(„beide") betonen: sowohl der Hurenlohn als auch der „Hundepreis". Die Ratio: Geld aus sexuell unmoralischen Quellen ist für den Gottesdienst ungeeignet – es würde den Tempel und die Opfer entweihen. Selbst wenn das Geld für fromme Zwecke verwendet werden soll, bleibt seine Quelle unrein.</w:t>
      </w:r>
    </w:p>
    <w:p w14:paraId="7EAC2A14" w14:textId="77777777" w:rsidR="00F0029F" w:rsidRPr="00F0029F" w:rsidRDefault="00F0029F" w:rsidP="00F0029F">
      <w:pPr>
        <w:spacing w:before="100" w:beforeAutospacing="1" w:after="100" w:afterAutospacing="1" w:line="240" w:lineRule="auto"/>
        <w:outlineLvl w:val="1"/>
        <w:rPr>
          <w:rFonts w:eastAsia="Times New Roman"/>
          <w:b/>
          <w:bCs/>
          <w:sz w:val="36"/>
          <w:szCs w:val="36"/>
          <w:lang w:eastAsia="de-DE"/>
        </w:rPr>
      </w:pPr>
      <w:r w:rsidRPr="00F0029F">
        <w:rPr>
          <w:rFonts w:eastAsia="Times New Roman"/>
          <w:b/>
          <w:bCs/>
          <w:sz w:val="36"/>
          <w:szCs w:val="36"/>
          <w:lang w:eastAsia="de-DE"/>
        </w:rPr>
        <w:t>Vers 19 (MT 23,19) / Vers 18 (LXX 23,18)</w:t>
      </w:r>
    </w:p>
    <w:p w14:paraId="09A31842" w14:textId="52A28E48" w:rsidR="00F0029F" w:rsidRPr="00F0029F" w:rsidRDefault="00F0029F" w:rsidP="00F0029F">
      <w:pPr>
        <w:spacing w:before="100" w:beforeAutospacing="1" w:after="100" w:afterAutospacing="1" w:line="240" w:lineRule="auto"/>
        <w:rPr>
          <w:rFonts w:eastAsia="Times New Roman"/>
          <w:lang w:eastAsia="de-DE"/>
        </w:rPr>
      </w:pPr>
      <w:r w:rsidRPr="00F0029F">
        <w:rPr>
          <w:rFonts w:eastAsia="Times New Roman"/>
          <w:b/>
          <w:bCs/>
          <w:lang w:eastAsia="de-DE"/>
        </w:rPr>
        <w:lastRenderedPageBreak/>
        <w:t>Die LXX</w:t>
      </w:r>
      <w:r w:rsidRPr="00F0029F">
        <w:rPr>
          <w:rFonts w:eastAsia="Times New Roman"/>
          <w:lang w:eastAsia="de-DE"/>
        </w:rPr>
        <w:t xml:space="preserve"> übersetzt </w:t>
      </w:r>
      <w:r w:rsidRPr="00F0029F">
        <w:rPr>
          <w:rFonts w:eastAsia="Times New Roman"/>
          <w:rtl/>
          <w:lang w:eastAsia="de-DE"/>
        </w:rPr>
        <w:t>אֶתְנַן זוֹנָה</w:t>
      </w:r>
      <w:r w:rsidRPr="00F0029F">
        <w:rPr>
          <w:rFonts w:eastAsia="Times New Roman"/>
          <w:lang w:eastAsia="de-DE"/>
        </w:rPr>
        <w:t xml:space="preserve"> (Lohn einer Hure) mit </w:t>
      </w:r>
      <w:proofErr w:type="spellStart"/>
      <w:r w:rsidRPr="00F0029F">
        <w:rPr>
          <w:rFonts w:eastAsia="Times New Roman"/>
          <w:lang w:eastAsia="de-DE"/>
        </w:rPr>
        <w:t>μίσθωμ</w:t>
      </w:r>
      <w:proofErr w:type="spellEnd"/>
      <w:r w:rsidRPr="00F0029F">
        <w:rPr>
          <w:rFonts w:eastAsia="Times New Roman"/>
          <w:lang w:eastAsia="de-DE"/>
        </w:rPr>
        <w:t>α π</w:t>
      </w:r>
      <w:proofErr w:type="spellStart"/>
      <w:r w:rsidRPr="00F0029F">
        <w:rPr>
          <w:rFonts w:eastAsia="Times New Roman"/>
          <w:lang w:eastAsia="de-DE"/>
        </w:rPr>
        <w:t>όρνης</w:t>
      </w:r>
      <w:proofErr w:type="spellEnd"/>
      <w:r w:rsidRPr="00F0029F">
        <w:rPr>
          <w:rFonts w:eastAsia="Times New Roman"/>
          <w:lang w:eastAsia="de-DE"/>
        </w:rPr>
        <w:t xml:space="preserve"> (Bezahlung einer Hure) und </w:t>
      </w:r>
      <w:r w:rsidRPr="00F0029F">
        <w:rPr>
          <w:rFonts w:eastAsia="Times New Roman"/>
          <w:rtl/>
          <w:lang w:eastAsia="de-DE"/>
        </w:rPr>
        <w:t>מְחִיר כֶּלֶב</w:t>
      </w:r>
      <w:r w:rsidRPr="00F0029F">
        <w:rPr>
          <w:rFonts w:eastAsia="Times New Roman"/>
          <w:lang w:eastAsia="de-DE"/>
        </w:rPr>
        <w:t xml:space="preserve"> (Preis eines Hundes) mit </w:t>
      </w:r>
      <w:proofErr w:type="spellStart"/>
      <w:r w:rsidRPr="00F0029F">
        <w:rPr>
          <w:rFonts w:eastAsia="Times New Roman"/>
          <w:lang w:eastAsia="de-DE"/>
        </w:rPr>
        <w:t>ἄλλ</w:t>
      </w:r>
      <w:proofErr w:type="spellEnd"/>
      <w:r w:rsidRPr="00F0029F">
        <w:rPr>
          <w:rFonts w:eastAsia="Times New Roman"/>
          <w:lang w:eastAsia="de-DE"/>
        </w:rPr>
        <w:t xml:space="preserve">αγμα </w:t>
      </w:r>
      <w:proofErr w:type="spellStart"/>
      <w:r w:rsidRPr="00F0029F">
        <w:rPr>
          <w:rFonts w:eastAsia="Times New Roman"/>
          <w:lang w:eastAsia="de-DE"/>
        </w:rPr>
        <w:t>κυνός</w:t>
      </w:r>
      <w:proofErr w:type="spellEnd"/>
      <w:r w:rsidRPr="00F0029F">
        <w:rPr>
          <w:rFonts w:eastAsia="Times New Roman"/>
          <w:lang w:eastAsia="de-DE"/>
        </w:rPr>
        <w:t xml:space="preserve"> (Tauschgeld eines Hundes) – wobei </w:t>
      </w:r>
      <w:proofErr w:type="spellStart"/>
      <w:r w:rsidRPr="00F0029F">
        <w:rPr>
          <w:rFonts w:eastAsia="Times New Roman"/>
          <w:lang w:eastAsia="de-DE"/>
        </w:rPr>
        <w:t>ἄλλ</w:t>
      </w:r>
      <w:proofErr w:type="spellEnd"/>
      <w:r w:rsidRPr="00F0029F">
        <w:rPr>
          <w:rFonts w:eastAsia="Times New Roman"/>
          <w:lang w:eastAsia="de-DE"/>
        </w:rPr>
        <w:t>αγμα "Austausch, Ersatz" bedeutet.</w:t>
      </w:r>
    </w:p>
    <w:p w14:paraId="46526EEA" w14:textId="77777777" w:rsidR="00277B46" w:rsidRDefault="00277B46" w:rsidP="00277B46">
      <w:pPr>
        <w:pStyle w:val="whitespace-normal"/>
      </w:pPr>
      <w:r>
        <w:rPr>
          <w:rStyle w:val="Fett"/>
          <w:rFonts w:eastAsiaTheme="majorEastAsia"/>
        </w:rPr>
        <w:t>Die Satzstruktur:</w:t>
      </w:r>
      <w:r>
        <w:t xml:space="preserve"> Verbot mit Begründung (nicht bringen sollst du den Lohn einer Hure und den Preis eines Hundes in das Haus JHWHs, deines Gottes, für jedes Gelübde; denn ein Gräuel für JHWH, deinen Gott, sind auch diese beiden).</w:t>
      </w:r>
    </w:p>
    <w:p w14:paraId="3C063917" w14:textId="3C8443B1" w:rsidR="00277B46" w:rsidRDefault="00277B46" w:rsidP="00AB12A0">
      <w:pPr>
        <w:pStyle w:val="whitespace-normal"/>
      </w:pPr>
      <w:r>
        <w:rPr>
          <w:rStyle w:val="Fett"/>
          <w:rFonts w:eastAsiaTheme="majorEastAsia"/>
        </w:rPr>
        <w:t>Der Vers beschreibt:</w:t>
      </w:r>
      <w:r>
        <w:t xml:space="preserve"> Verbot, Prostitutionseinkommen (von Frauen oder Männern) als Tempelgabe darzubringen – solches Geld ist ein Gräuel für JHWH.</w:t>
      </w:r>
    </w:p>
    <w:p w14:paraId="55C90670" w14:textId="77777777" w:rsidR="00277B46" w:rsidRPr="00B27A64" w:rsidRDefault="00277B46" w:rsidP="00277B46">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23,20</w:t>
      </w:r>
    </w:p>
    <w:p w14:paraId="1C08E3C9" w14:textId="77777777" w:rsidR="00277B46" w:rsidRDefault="00277B46" w:rsidP="00277B46">
      <w:pPr>
        <w:pStyle w:val="whitespace-normal"/>
      </w:pPr>
      <w:r>
        <w:rPr>
          <w:rStyle w:val="Fett"/>
          <w:rFonts w:eastAsiaTheme="majorEastAsia"/>
        </w:rPr>
        <w:t>Hebräisch:</w:t>
      </w:r>
      <w:r>
        <w:t xml:space="preserve"> </w:t>
      </w:r>
      <w:r>
        <w:rPr>
          <w:rtl/>
        </w:rPr>
        <w:t>לֹא־תַשִּׁ֣יךְ לְאָחִ֔יךָ נֶ֥שֶׁךְ כֶּ֖סֶף נֶ֣שֶׁךְ אֹ֑כֶל נֶ֕שֶׁךְ כָּל־דָּבָ֖ר אֲשֶׁ֥ר יִשָּֽׁךְ׃</w:t>
      </w:r>
    </w:p>
    <w:p w14:paraId="1C175B7B" w14:textId="77777777" w:rsidR="00277B46" w:rsidRDefault="00277B46" w:rsidP="00277B46">
      <w:pPr>
        <w:pStyle w:val="whitespace-normal"/>
      </w:pPr>
      <w:r>
        <w:rPr>
          <w:rStyle w:val="Fett"/>
          <w:rFonts w:eastAsiaTheme="majorEastAsia"/>
        </w:rPr>
        <w:t>Deutsch:</w:t>
      </w:r>
      <w:r>
        <w:t xml:space="preserve"> Nicht sollst du auflegen auf deinen Bruder Zins für Geld, Zins für Speise, Zins für irgendeine Sache, die man auf Zins leiht.</w:t>
      </w:r>
    </w:p>
    <w:p w14:paraId="471D3FC5" w14:textId="77777777" w:rsidR="00277B46" w:rsidRDefault="004F5CEB" w:rsidP="00277B46">
      <w:r>
        <w:rPr>
          <w:noProof/>
        </w:rPr>
        <w:pict w14:anchorId="47909E87">
          <v:rect id="_x0000_i1644" style="width:0;height:1.5pt" o:hralign="center" o:hrstd="t" o:hr="t" fillcolor="#a0a0a0" stroked="f"/>
        </w:pict>
      </w:r>
    </w:p>
    <w:p w14:paraId="48244A59" w14:textId="77777777" w:rsidR="00277B46" w:rsidRDefault="00277B46" w:rsidP="00277B46">
      <w:pPr>
        <w:pStyle w:val="whitespace-normal"/>
      </w:pPr>
      <w:r>
        <w:rPr>
          <w:rStyle w:val="Fett"/>
          <w:rFonts w:eastAsiaTheme="majorEastAsia"/>
        </w:rPr>
        <w:t>Kommentar:</w:t>
      </w:r>
      <w:r>
        <w:t xml:space="preserve"> </w:t>
      </w:r>
      <w:r>
        <w:rPr>
          <w:rStyle w:val="Fett"/>
          <w:rFonts w:eastAsiaTheme="majorEastAsia"/>
          <w:rtl/>
        </w:rPr>
        <w:t>לֹא־תַשִּׁיךְ לְאָחִיךָ נֶשֶׁךְ כֶּסֶף נֶשֶׁךְ אֹכֶל נֶשֶׁךְ כָּל־דָּבָר אֲשֶׁר יִשָּׁךְ</w:t>
      </w:r>
      <w:r>
        <w:rPr>
          <w:rtl/>
        </w:rPr>
        <w:t xml:space="preserve"> </w:t>
      </w:r>
      <w:r>
        <w:t xml:space="preserve">ist ein Verbot: </w:t>
      </w:r>
      <w:r>
        <w:rPr>
          <w:rStyle w:val="Fett"/>
          <w:rFonts w:eastAsiaTheme="majorEastAsia"/>
          <w:rtl/>
        </w:rPr>
        <w:t>לֹא־תַשִּׁיךְ לְאָחִיךָ</w:t>
      </w:r>
      <w:r>
        <w:rPr>
          <w:rtl/>
        </w:rPr>
        <w:t xml:space="preserve"> </w:t>
      </w:r>
      <w:r>
        <w:t xml:space="preserve">(Negation mit </w:t>
      </w:r>
      <w:r>
        <w:rPr>
          <w:rStyle w:val="Fett"/>
          <w:rFonts w:eastAsiaTheme="majorEastAsia"/>
          <w:rtl/>
        </w:rPr>
        <w:t>נשׁך</w:t>
      </w:r>
      <w:r>
        <w:t xml:space="preserve">, Hiphil Imperfekt, 2. Person Maskulinum Singular, „Zins nehmen, auf Zins leihen" (wörtlich: „beißen"), </w:t>
      </w:r>
      <w:r>
        <w:rPr>
          <w:rStyle w:val="Fett"/>
          <w:rFonts w:eastAsiaTheme="majorEastAsia"/>
          <w:rtl/>
        </w:rPr>
        <w:t>לְאָחִיךָ</w:t>
      </w:r>
      <w:r>
        <w:t xml:space="preserve">, Präposition </w:t>
      </w:r>
      <w:r>
        <w:rPr>
          <w:rStyle w:val="Fett"/>
          <w:rFonts w:eastAsiaTheme="majorEastAsia"/>
          <w:rtl/>
        </w:rPr>
        <w:t>לְ</w:t>
      </w:r>
      <w:r>
        <w:rPr>
          <w:rtl/>
        </w:rPr>
        <w:t xml:space="preserve"> </w:t>
      </w:r>
      <w:r>
        <w:t xml:space="preserve">mit </w:t>
      </w:r>
      <w:r>
        <w:rPr>
          <w:rStyle w:val="Fett"/>
          <w:rFonts w:eastAsiaTheme="majorEastAsia"/>
          <w:rtl/>
        </w:rPr>
        <w:t>אָח</w:t>
      </w:r>
      <w:r>
        <w:rPr>
          <w:rtl/>
        </w:rPr>
        <w:t xml:space="preserve"> </w:t>
      </w:r>
      <w:r>
        <w:t xml:space="preserve">mit Suffix 2. Person Maskulinum Singular), </w:t>
      </w:r>
      <w:r>
        <w:rPr>
          <w:rStyle w:val="Fett"/>
          <w:rFonts w:eastAsiaTheme="majorEastAsia"/>
          <w:rtl/>
        </w:rPr>
        <w:t>נֶשֶׁךְ כֶּסֶף נֶשֶׁךְ אֹכֶל נֶשֶׁךְ כָּל־דָּבָר אֲשֶׁר יִשָּׁךְ</w:t>
      </w:r>
      <w:r>
        <w:rPr>
          <w:rtl/>
        </w:rPr>
        <w:t xml:space="preserve"> </w:t>
      </w:r>
      <w:r>
        <w:t>(</w:t>
      </w:r>
      <w:r>
        <w:rPr>
          <w:rStyle w:val="Fett"/>
          <w:rFonts w:eastAsiaTheme="majorEastAsia"/>
          <w:rtl/>
        </w:rPr>
        <w:t>נֶשֶׁךְ</w:t>
      </w:r>
      <w:r>
        <w:t xml:space="preserve">, „Zins, Wucher" (von </w:t>
      </w:r>
      <w:r>
        <w:rPr>
          <w:rStyle w:val="Fett"/>
          <w:rFonts w:eastAsiaTheme="majorEastAsia"/>
          <w:rtl/>
        </w:rPr>
        <w:t>נשׁך</w:t>
      </w:r>
      <w:r>
        <w:t xml:space="preserve">, „beißen"), Construct mit </w:t>
      </w:r>
      <w:r>
        <w:rPr>
          <w:rStyle w:val="Fett"/>
          <w:rFonts w:eastAsiaTheme="majorEastAsia"/>
          <w:rtl/>
        </w:rPr>
        <w:t>כֶּסֶף</w:t>
      </w:r>
      <w:r>
        <w:t xml:space="preserve">, „Silber, Geld", </w:t>
      </w:r>
      <w:r>
        <w:rPr>
          <w:rStyle w:val="Fett"/>
          <w:rFonts w:eastAsiaTheme="majorEastAsia"/>
          <w:rtl/>
        </w:rPr>
        <w:t>נֶשֶׁךְ</w:t>
      </w:r>
      <w:r>
        <w:rPr>
          <w:rtl/>
        </w:rPr>
        <w:t xml:space="preserve"> </w:t>
      </w:r>
      <w:r>
        <w:t xml:space="preserve">mit </w:t>
      </w:r>
      <w:r>
        <w:rPr>
          <w:rStyle w:val="Fett"/>
          <w:rFonts w:eastAsiaTheme="majorEastAsia"/>
          <w:rtl/>
        </w:rPr>
        <w:t>אֹכֶל</w:t>
      </w:r>
      <w:r>
        <w:t xml:space="preserve">, „Speise, Nahrung", </w:t>
      </w:r>
      <w:r>
        <w:rPr>
          <w:rStyle w:val="Fett"/>
          <w:rFonts w:eastAsiaTheme="majorEastAsia"/>
          <w:rtl/>
        </w:rPr>
        <w:t>נֶשֶׁךְ</w:t>
      </w:r>
      <w:r>
        <w:rPr>
          <w:rtl/>
        </w:rPr>
        <w:t xml:space="preserve"> </w:t>
      </w:r>
      <w:r>
        <w:t xml:space="preserve">mit </w:t>
      </w:r>
      <w:r>
        <w:rPr>
          <w:rStyle w:val="Fett"/>
          <w:rFonts w:eastAsiaTheme="majorEastAsia"/>
          <w:rtl/>
        </w:rPr>
        <w:t>כָּל־דָּבָר</w:t>
      </w:r>
      <w:r>
        <w:t xml:space="preserve">, „jede Sache", Relativsatz: </w:t>
      </w:r>
      <w:r>
        <w:rPr>
          <w:rStyle w:val="Fett"/>
          <w:rFonts w:eastAsiaTheme="majorEastAsia"/>
          <w:rtl/>
        </w:rPr>
        <w:t>אֲשֶׁר יִשָּׁךְ</w:t>
      </w:r>
      <w:r>
        <w:rPr>
          <w:rtl/>
        </w:rPr>
        <w:t xml:space="preserve"> </w:t>
      </w:r>
      <w:r>
        <w:t xml:space="preserve">mit </w:t>
      </w:r>
      <w:r>
        <w:rPr>
          <w:rStyle w:val="Fett"/>
          <w:rFonts w:eastAsiaTheme="majorEastAsia"/>
          <w:rtl/>
        </w:rPr>
        <w:t>נשׁך</w:t>
      </w:r>
      <w:r>
        <w:t>, Qal Imperfekt, 3. Person Maskulinum Singular – „die man auf Zins leiht").</w:t>
      </w:r>
    </w:p>
    <w:p w14:paraId="334513BF" w14:textId="7E4FEAAA" w:rsidR="00277B46" w:rsidRDefault="00277B46" w:rsidP="00277B46">
      <w:pPr>
        <w:pStyle w:val="whitespace-normal"/>
      </w:pPr>
      <w:r>
        <w:t xml:space="preserve">Der Vers leitet einen neuen Abschnitt ein: Zinsverbot unter Israeliten (V. 20-21). Das Verbot: </w:t>
      </w:r>
      <w:r>
        <w:rPr>
          <w:rStyle w:val="Fett"/>
          <w:rFonts w:eastAsiaTheme="majorEastAsia"/>
          <w:rtl/>
        </w:rPr>
        <w:t>לֹא־תַשִּׁיךְ לְאָחִיךָ</w:t>
      </w:r>
      <w:r>
        <w:rPr>
          <w:rtl/>
        </w:rPr>
        <w:t xml:space="preserve"> </w:t>
      </w:r>
      <w:r>
        <w:t xml:space="preserve">(„nicht auf Zins leihen sollst du deinem Bruder"). Das Verb </w:t>
      </w:r>
      <w:r>
        <w:rPr>
          <w:rStyle w:val="Fett"/>
          <w:rFonts w:eastAsiaTheme="majorEastAsia"/>
          <w:rtl/>
        </w:rPr>
        <w:t>נשׁך</w:t>
      </w:r>
      <w:r>
        <w:rPr>
          <w:rtl/>
        </w:rPr>
        <w:t xml:space="preserve"> </w:t>
      </w:r>
      <w:r>
        <w:t xml:space="preserve">bedeutet wörtlich „beißen" und wird bildlich für Zinsnehmen verwendet – Zinsen „beißen" den Schuldner, fressen sein Vermögen auf. Die Hiphil-Form </w:t>
      </w:r>
      <w:r>
        <w:rPr>
          <w:rStyle w:val="Fett"/>
          <w:rFonts w:eastAsiaTheme="majorEastAsia"/>
          <w:rtl/>
        </w:rPr>
        <w:t>תַשִּׁיךְ</w:t>
      </w:r>
      <w:r>
        <w:rPr>
          <w:rtl/>
        </w:rPr>
        <w:t xml:space="preserve"> </w:t>
      </w:r>
      <w:r>
        <w:t xml:space="preserve">(„auf Zins leihen, Zins nehmen") bezeichnet die Handlung des Verleihers. Die Präposition </w:t>
      </w:r>
      <w:r>
        <w:rPr>
          <w:rStyle w:val="Fett"/>
          <w:rFonts w:eastAsiaTheme="majorEastAsia"/>
          <w:rtl/>
        </w:rPr>
        <w:t>לְ</w:t>
      </w:r>
      <w:r>
        <w:rPr>
          <w:rtl/>
        </w:rPr>
        <w:t xml:space="preserve"> </w:t>
      </w:r>
      <w:r>
        <w:t xml:space="preserve">vor </w:t>
      </w:r>
      <w:r>
        <w:rPr>
          <w:rStyle w:val="Fett"/>
          <w:rFonts w:eastAsiaTheme="majorEastAsia"/>
          <w:rtl/>
        </w:rPr>
        <w:t>אָחִיךָ</w:t>
      </w:r>
      <w:r>
        <w:rPr>
          <w:rtl/>
        </w:rPr>
        <w:t xml:space="preserve"> </w:t>
      </w:r>
      <w:r>
        <w:t xml:space="preserve">(„deinem Bruder") – </w:t>
      </w:r>
      <w:r>
        <w:rPr>
          <w:rStyle w:val="Fett"/>
          <w:rFonts w:eastAsiaTheme="majorEastAsia"/>
          <w:rtl/>
        </w:rPr>
        <w:t>אָח</w:t>
      </w:r>
      <w:r>
        <w:rPr>
          <w:rtl/>
        </w:rPr>
        <w:t xml:space="preserve"> </w:t>
      </w:r>
      <w:r>
        <w:t xml:space="preserve">bezeichnet hier nicht den leiblichen Bruder, sondern den Volksgenossen, Mitisraeliten (vgl. 15,7.9.11.12). Der Vers listet drei Kategorien auf, die auf Zins verliehen werden könnten: (1) </w:t>
      </w:r>
      <w:r>
        <w:rPr>
          <w:rStyle w:val="Fett"/>
          <w:rFonts w:eastAsiaTheme="majorEastAsia"/>
          <w:rtl/>
        </w:rPr>
        <w:t>נֶשֶׁךְ כֶּסֶף</w:t>
      </w:r>
      <w:r>
        <w:rPr>
          <w:rtl/>
        </w:rPr>
        <w:t xml:space="preserve"> </w:t>
      </w:r>
      <w:r>
        <w:t xml:space="preserve">(„Zins für Geld, Geldzins") – die üblichste Form: Darlehen mit Zinsen. (2) </w:t>
      </w:r>
      <w:r>
        <w:rPr>
          <w:rStyle w:val="Fett"/>
          <w:rFonts w:eastAsiaTheme="majorEastAsia"/>
          <w:rtl/>
        </w:rPr>
        <w:t>נֶשֶׁךְ אֹכֶל</w:t>
      </w:r>
      <w:r>
        <w:rPr>
          <w:rtl/>
        </w:rPr>
        <w:t xml:space="preserve"> </w:t>
      </w:r>
      <w:r>
        <w:t xml:space="preserve">(„Zins für Speise, Nahrungsmittelzins") – Darlehen von Getreide oder anderen Nahrungsmitteln mit der Forderung, mehr zurückzuzahlen. (3) </w:t>
      </w:r>
      <w:r>
        <w:rPr>
          <w:rStyle w:val="Fett"/>
          <w:rFonts w:eastAsiaTheme="majorEastAsia"/>
          <w:rtl/>
        </w:rPr>
        <w:t>נֶשֶׁךְ כָּל־דָּבָר אֲשֶׁר יִשָּׁךְ</w:t>
      </w:r>
      <w:r>
        <w:rPr>
          <w:rtl/>
        </w:rPr>
        <w:t xml:space="preserve"> </w:t>
      </w:r>
      <w:r>
        <w:t xml:space="preserve">(„Zins für jede Sache, die man auf Zins leiht") – umfassende Formulierung: jegliche Form von Zins ist verboten. Die Wiederholung des Wortes </w:t>
      </w:r>
      <w:r>
        <w:rPr>
          <w:rStyle w:val="Fett"/>
          <w:rFonts w:eastAsiaTheme="majorEastAsia"/>
          <w:rtl/>
        </w:rPr>
        <w:t>נֶשֶׁךְ</w:t>
      </w:r>
      <w:r>
        <w:rPr>
          <w:rtl/>
        </w:rPr>
        <w:t xml:space="preserve"> </w:t>
      </w:r>
      <w:r>
        <w:t>dreimal betont die Vollständigkeit des Verbots. Die Ratio: Zinsverbot unter Israeliten sollte (1) soziale Solidarität fördern; (2) Ausbeutung der Armen verhindern; (3) die Gemeinschaft der Bundesbrüder stärken. Vgl. Ex 22,24; Lev 25,35-37; Neh 5,1-13; Ps 15,5; Hes 18,8.13.17; 22,12. V. 21 wird eine Ausnahme nennen.</w:t>
      </w:r>
    </w:p>
    <w:p w14:paraId="7C9D1AC1" w14:textId="77777777" w:rsidR="00F0029F" w:rsidRPr="00F0029F" w:rsidRDefault="00F0029F" w:rsidP="00F0029F">
      <w:pPr>
        <w:spacing w:before="100" w:beforeAutospacing="1" w:after="100" w:afterAutospacing="1" w:line="240" w:lineRule="auto"/>
        <w:outlineLvl w:val="1"/>
        <w:rPr>
          <w:rFonts w:eastAsia="Times New Roman"/>
          <w:b/>
          <w:bCs/>
          <w:sz w:val="36"/>
          <w:szCs w:val="36"/>
          <w:lang w:eastAsia="de-DE"/>
        </w:rPr>
      </w:pPr>
      <w:r w:rsidRPr="00F0029F">
        <w:rPr>
          <w:rFonts w:eastAsia="Times New Roman"/>
          <w:b/>
          <w:bCs/>
          <w:sz w:val="36"/>
          <w:szCs w:val="36"/>
          <w:lang w:eastAsia="de-DE"/>
        </w:rPr>
        <w:t>Vers 20 (MT 23,20) / Vers 19 (LXX 23,19)</w:t>
      </w:r>
    </w:p>
    <w:p w14:paraId="5AEA77D6" w14:textId="0E5449DE" w:rsidR="00F0029F" w:rsidRPr="00F0029F" w:rsidRDefault="00F0029F" w:rsidP="00F0029F">
      <w:pPr>
        <w:spacing w:before="100" w:beforeAutospacing="1" w:after="100" w:afterAutospacing="1" w:line="240" w:lineRule="auto"/>
        <w:rPr>
          <w:rFonts w:eastAsia="Times New Roman"/>
          <w:lang w:eastAsia="de-DE"/>
        </w:rPr>
      </w:pPr>
      <w:r w:rsidRPr="00F0029F">
        <w:rPr>
          <w:rFonts w:eastAsia="Times New Roman"/>
          <w:b/>
          <w:bCs/>
          <w:lang w:eastAsia="de-DE"/>
        </w:rPr>
        <w:lastRenderedPageBreak/>
        <w:t>Die LXX</w:t>
      </w:r>
      <w:r w:rsidRPr="00F0029F">
        <w:rPr>
          <w:rFonts w:eastAsia="Times New Roman"/>
          <w:lang w:eastAsia="de-DE"/>
        </w:rPr>
        <w:t xml:space="preserve"> übersetzt </w:t>
      </w:r>
      <w:r w:rsidRPr="00F0029F">
        <w:rPr>
          <w:rFonts w:eastAsia="Times New Roman"/>
          <w:rtl/>
          <w:lang w:eastAsia="de-DE"/>
        </w:rPr>
        <w:t>לֹא־תַשִּׁיךְ</w:t>
      </w:r>
      <w:r w:rsidRPr="00F0029F">
        <w:rPr>
          <w:rFonts w:eastAsia="Times New Roman"/>
          <w:lang w:eastAsia="de-DE"/>
        </w:rPr>
        <w:t xml:space="preserve"> (du sollst nicht Zins nehmen) mit </w:t>
      </w:r>
      <w:proofErr w:type="spellStart"/>
      <w:r w:rsidRPr="00F0029F">
        <w:rPr>
          <w:rFonts w:eastAsia="Times New Roman"/>
          <w:lang w:eastAsia="de-DE"/>
        </w:rPr>
        <w:t>Οὐκ</w:t>
      </w:r>
      <w:proofErr w:type="spellEnd"/>
      <w:r w:rsidRPr="00F0029F">
        <w:rPr>
          <w:rFonts w:eastAsia="Times New Roman"/>
          <w:lang w:eastAsia="de-DE"/>
        </w:rPr>
        <w:t xml:space="preserve"> </w:t>
      </w:r>
      <w:proofErr w:type="spellStart"/>
      <w:r w:rsidRPr="00F0029F">
        <w:rPr>
          <w:rFonts w:eastAsia="Times New Roman"/>
          <w:lang w:eastAsia="de-DE"/>
        </w:rPr>
        <w:t>ἐκτοκιεῖς</w:t>
      </w:r>
      <w:proofErr w:type="spellEnd"/>
      <w:r w:rsidRPr="00F0029F">
        <w:rPr>
          <w:rFonts w:eastAsia="Times New Roman"/>
          <w:lang w:eastAsia="de-DE"/>
        </w:rPr>
        <w:t xml:space="preserve"> (du wirst nicht auf Zins ausleihen) – ein zusammengesetztes Verb von </w:t>
      </w:r>
      <w:proofErr w:type="spellStart"/>
      <w:r w:rsidRPr="00F0029F">
        <w:rPr>
          <w:rFonts w:eastAsia="Times New Roman"/>
          <w:lang w:eastAsia="de-DE"/>
        </w:rPr>
        <w:t>τόκος</w:t>
      </w:r>
      <w:proofErr w:type="spellEnd"/>
      <w:r w:rsidRPr="00F0029F">
        <w:rPr>
          <w:rFonts w:eastAsia="Times New Roman"/>
          <w:lang w:eastAsia="de-DE"/>
        </w:rPr>
        <w:t xml:space="preserve"> (Zins, wörtlich: "Geburt, Wachstum").</w:t>
      </w:r>
    </w:p>
    <w:p w14:paraId="7C1350F0" w14:textId="77777777" w:rsidR="00277B46" w:rsidRDefault="00277B46" w:rsidP="00277B46">
      <w:pPr>
        <w:pStyle w:val="whitespace-normal"/>
      </w:pPr>
      <w:r>
        <w:rPr>
          <w:rStyle w:val="Fett"/>
          <w:rFonts w:eastAsiaTheme="majorEastAsia"/>
        </w:rPr>
        <w:t>Die Satzstruktur:</w:t>
      </w:r>
      <w:r>
        <w:t xml:space="preserve"> Verbot mit drei Objekten (nicht auf Zins leihen sollst du deinem Bruder: Zins für Geld, Zins für Speise, Zins für jede Sache, die man auf Zins leiht).</w:t>
      </w:r>
    </w:p>
    <w:p w14:paraId="1C3F8ADF" w14:textId="754644E3" w:rsidR="00277B46" w:rsidRDefault="00277B46" w:rsidP="00AB12A0">
      <w:pPr>
        <w:pStyle w:val="whitespace-normal"/>
      </w:pPr>
      <w:r>
        <w:rPr>
          <w:rStyle w:val="Fett"/>
          <w:rFonts w:eastAsiaTheme="majorEastAsia"/>
        </w:rPr>
        <w:t>Der Vers beschreibt:</w:t>
      </w:r>
      <w:r>
        <w:t xml:space="preserve"> Umfassendes Zinsverbot unter Israeliten – kein Geld, keine Speise, nichts darf an Mitisraeliten gegen Zins verliehen werden.</w:t>
      </w:r>
    </w:p>
    <w:p w14:paraId="4CBF431C" w14:textId="77777777" w:rsidR="00277B46" w:rsidRPr="00B27A64" w:rsidRDefault="00277B46" w:rsidP="00277B46">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23,21</w:t>
      </w:r>
    </w:p>
    <w:p w14:paraId="607E688E" w14:textId="77777777" w:rsidR="00277B46" w:rsidRDefault="00277B46" w:rsidP="00277B46">
      <w:pPr>
        <w:pStyle w:val="whitespace-normal"/>
      </w:pPr>
      <w:r>
        <w:rPr>
          <w:rStyle w:val="Fett"/>
          <w:rFonts w:eastAsiaTheme="majorEastAsia"/>
        </w:rPr>
        <w:t>Hebräisch:</w:t>
      </w:r>
      <w:r>
        <w:t xml:space="preserve"> </w:t>
      </w:r>
      <w:r>
        <w:rPr>
          <w:rtl/>
        </w:rPr>
        <w:t>לַנָּכְרִ֣י תַשִּׁ֔יךְ וּלְאָחִ֖יךָ לֹ֣א תַשִּׁ֑יךְ לְמַ֨עַן יְבָרֶכְךָ֜ יְהוָ֣ה אֱלֹהֶ֗יךָ בְּכֹל֙ מִשְׁלַ֣ח יָדֶ֔ךָ עַל־הָאָ֕רֶץ אֲשֶׁר־אַתָּ֥ה בָא־שָׁ֖מָּה לְרִשְׁתָּֽהּ׃</w:t>
      </w:r>
    </w:p>
    <w:p w14:paraId="6C7DF230" w14:textId="77777777" w:rsidR="00277B46" w:rsidRDefault="00277B46" w:rsidP="00277B46">
      <w:pPr>
        <w:pStyle w:val="whitespace-normal"/>
      </w:pPr>
      <w:r>
        <w:rPr>
          <w:rStyle w:val="Fett"/>
          <w:rFonts w:eastAsiaTheme="majorEastAsia"/>
        </w:rPr>
        <w:t>Deutsch:</w:t>
      </w:r>
      <w:r>
        <w:t xml:space="preserve"> Dem Ausländer magst du auf Zins leihen, aber deinem Bruder sollst du nicht auf Zins leihen, damit JHWH, dein Gott, dich segne in allem Geschäft deiner Hand auf dem Land, in das du kommst, um es in Besitz zu nehmen.</w:t>
      </w:r>
    </w:p>
    <w:p w14:paraId="36C11D24" w14:textId="77777777" w:rsidR="00277B46" w:rsidRDefault="004F5CEB" w:rsidP="00277B46">
      <w:r>
        <w:rPr>
          <w:noProof/>
        </w:rPr>
        <w:pict w14:anchorId="34F5B1F1">
          <v:rect id="_x0000_i1645" style="width:0;height:1.5pt" o:hralign="center" o:hrstd="t" o:hr="t" fillcolor="#a0a0a0" stroked="f"/>
        </w:pict>
      </w:r>
    </w:p>
    <w:p w14:paraId="2987B1BD" w14:textId="77777777" w:rsidR="00277B46" w:rsidRDefault="00277B46" w:rsidP="00277B46">
      <w:pPr>
        <w:pStyle w:val="whitespace-normal"/>
      </w:pPr>
      <w:r>
        <w:rPr>
          <w:rStyle w:val="Fett"/>
          <w:rFonts w:eastAsiaTheme="majorEastAsia"/>
        </w:rPr>
        <w:t>Kommentar:</w:t>
      </w:r>
      <w:r>
        <w:t xml:space="preserve"> </w:t>
      </w:r>
      <w:r>
        <w:rPr>
          <w:rStyle w:val="Fett"/>
          <w:rFonts w:eastAsiaTheme="majorEastAsia"/>
          <w:rtl/>
        </w:rPr>
        <w:t>לַנָּכְרִי תַשִּׁיךְ וּלְאָחִיךָ לֹא תַשִּׁיךְ</w:t>
      </w:r>
      <w:r>
        <w:rPr>
          <w:rtl/>
        </w:rPr>
        <w:t xml:space="preserve"> </w:t>
      </w:r>
      <w:r>
        <w:t xml:space="preserve">sind Erlaubnis und Verbot: </w:t>
      </w:r>
      <w:r>
        <w:rPr>
          <w:rStyle w:val="Fett"/>
          <w:rFonts w:eastAsiaTheme="majorEastAsia"/>
          <w:rtl/>
        </w:rPr>
        <w:t>לַנָּכְרִי תַשִּׁיךְ</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נָכְרִי</w:t>
      </w:r>
      <w:r>
        <w:t xml:space="preserve">, Adjektiv – „fremd, ausländisch", als Substantiv: „Ausländer, Fremder", </w:t>
      </w:r>
      <w:r>
        <w:rPr>
          <w:rStyle w:val="Fett"/>
          <w:rFonts w:eastAsiaTheme="majorEastAsia"/>
          <w:rtl/>
        </w:rPr>
        <w:t>נשׁך</w:t>
      </w:r>
      <w:r>
        <w:t xml:space="preserve">, Hiphil Imperfekt, 2. Person Maskulinum Singular), </w:t>
      </w:r>
      <w:r>
        <w:rPr>
          <w:rStyle w:val="Fett"/>
          <w:rFonts w:eastAsiaTheme="majorEastAsia"/>
          <w:rtl/>
        </w:rPr>
        <w:t>וּלְאָחִיךָ לֹא תַשִּׁיךְ</w:t>
      </w:r>
      <w:r>
        <w:rPr>
          <w:rtl/>
        </w:rPr>
        <w:t xml:space="preserve"> </w:t>
      </w:r>
      <w:r>
        <w:t xml:space="preserve">(koordiniert durch </w:t>
      </w:r>
      <w:r>
        <w:rPr>
          <w:rStyle w:val="Fett"/>
          <w:rFonts w:eastAsiaTheme="majorEastAsia"/>
          <w:rtl/>
        </w:rPr>
        <w:t>וּ</w:t>
      </w:r>
      <w:r>
        <w:rPr>
          <w:rtl/>
        </w:rPr>
        <w:t xml:space="preserve"> </w:t>
      </w:r>
      <w:r>
        <w:t xml:space="preserve">mit Präposition </w:t>
      </w:r>
      <w:r>
        <w:rPr>
          <w:rStyle w:val="Fett"/>
          <w:rFonts w:eastAsiaTheme="majorEastAsia"/>
          <w:rtl/>
        </w:rPr>
        <w:t>לְ</w:t>
      </w:r>
      <w:r>
        <w:rPr>
          <w:rtl/>
        </w:rPr>
        <w:t xml:space="preserve"> </w:t>
      </w:r>
      <w:r>
        <w:t xml:space="preserve">und </w:t>
      </w:r>
      <w:r>
        <w:rPr>
          <w:rStyle w:val="Fett"/>
          <w:rFonts w:eastAsiaTheme="majorEastAsia"/>
          <w:rtl/>
        </w:rPr>
        <w:t>אָח</w:t>
      </w:r>
      <w:r>
        <w:rPr>
          <w:rtl/>
        </w:rPr>
        <w:t xml:space="preserve"> </w:t>
      </w:r>
      <w:r>
        <w:t xml:space="preserve">mit Suffix 2. Person Maskulinum Singular, Negation mit </w:t>
      </w:r>
      <w:r>
        <w:rPr>
          <w:rStyle w:val="Fett"/>
          <w:rFonts w:eastAsiaTheme="majorEastAsia"/>
          <w:rtl/>
        </w:rPr>
        <w:t>נשׁך</w:t>
      </w:r>
      <w:r>
        <w:rPr>
          <w:rtl/>
        </w:rPr>
        <w:t xml:space="preserve"> </w:t>
      </w:r>
      <w:r>
        <w:t>Hiphil).</w:t>
      </w:r>
    </w:p>
    <w:p w14:paraId="55BA7A53" w14:textId="77777777" w:rsidR="00277B46" w:rsidRDefault="00277B46" w:rsidP="00277B46">
      <w:pPr>
        <w:pStyle w:val="whitespace-normal"/>
      </w:pPr>
      <w:r>
        <w:rPr>
          <w:rStyle w:val="Fett"/>
          <w:rFonts w:eastAsiaTheme="majorEastAsia"/>
          <w:rtl/>
        </w:rPr>
        <w:t>לְמַעַן יְבָרֶכְךָ יְהוָה אֱלֹהֶיךָ בְּכֹל מִשְׁלַח יָדֶךָ עַל־הָאָרֶץ אֲשֶׁר־אַתָּה בָא־שָׁמָּה לְרִשְׁתָּהּ</w:t>
      </w:r>
      <w:r>
        <w:rPr>
          <w:rtl/>
        </w:rPr>
        <w:t xml:space="preserve"> </w:t>
      </w:r>
      <w:r>
        <w:t xml:space="preserve">ist die Begründung: </w:t>
      </w:r>
      <w:r>
        <w:rPr>
          <w:rStyle w:val="Fett"/>
          <w:rFonts w:eastAsiaTheme="majorEastAsia"/>
          <w:rtl/>
        </w:rPr>
        <w:t>לְמַעַן יְבָרֶכְךָ יְהוָה אֱלֹהֶיךָ</w:t>
      </w:r>
      <w:r>
        <w:rPr>
          <w:rtl/>
        </w:rPr>
        <w:t xml:space="preserve"> </w:t>
      </w:r>
      <w:r>
        <w:t xml:space="preserve">(Präposition </w:t>
      </w:r>
      <w:r>
        <w:rPr>
          <w:rStyle w:val="Fett"/>
          <w:rFonts w:eastAsiaTheme="majorEastAsia"/>
          <w:rtl/>
        </w:rPr>
        <w:t>לְמַעַן</w:t>
      </w:r>
      <w:r>
        <w:t xml:space="preserve">, „damit, auf dass", Finalsatz, </w:t>
      </w:r>
      <w:r>
        <w:rPr>
          <w:rStyle w:val="Fett"/>
          <w:rFonts w:eastAsiaTheme="majorEastAsia"/>
          <w:rtl/>
        </w:rPr>
        <w:t>ברך</w:t>
      </w:r>
      <w:r>
        <w:t xml:space="preserve">, Piel Imperfekt, 3. Person Maskulinum Singular, „segnen", mit Suffix 2. Person Maskulinum Singular, </w:t>
      </w:r>
      <w:r>
        <w:rPr>
          <w:rStyle w:val="Fett"/>
          <w:rFonts w:eastAsiaTheme="majorEastAsia"/>
          <w:rtl/>
        </w:rPr>
        <w:t>יְהוָה אֱלֹהֶיךָ</w:t>
      </w:r>
      <w:r>
        <w:rPr>
          <w:rtl/>
        </w:rPr>
        <w:t xml:space="preserve"> </w:t>
      </w:r>
      <w:r>
        <w:t xml:space="preserve">als Subjekt), </w:t>
      </w:r>
      <w:r>
        <w:rPr>
          <w:rStyle w:val="Fett"/>
          <w:rFonts w:eastAsiaTheme="majorEastAsia"/>
          <w:rtl/>
        </w:rPr>
        <w:t>בְּכֹל מִשְׁלַח יָדֶךָ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כֹּל</w:t>
      </w:r>
      <w:r>
        <w:t xml:space="preserve">, </w:t>
      </w:r>
      <w:r>
        <w:rPr>
          <w:rStyle w:val="Fett"/>
          <w:rFonts w:eastAsiaTheme="majorEastAsia"/>
          <w:rtl/>
        </w:rPr>
        <w:t>מִשְׁלַח</w:t>
      </w:r>
      <w:r>
        <w:t xml:space="preserve">, „Aussendung, Unternehmen, Geschäft" (von </w:t>
      </w:r>
      <w:r>
        <w:rPr>
          <w:rStyle w:val="Fett"/>
          <w:rFonts w:eastAsiaTheme="majorEastAsia"/>
          <w:rtl/>
        </w:rPr>
        <w:t>שׁלח</w:t>
      </w:r>
      <w:r>
        <w:t xml:space="preserve">, „aussenden"), Construct mit </w:t>
      </w:r>
      <w:r>
        <w:rPr>
          <w:rStyle w:val="Fett"/>
          <w:rFonts w:eastAsiaTheme="majorEastAsia"/>
          <w:rtl/>
        </w:rPr>
        <w:t>יָד</w:t>
      </w:r>
      <w:r>
        <w:rPr>
          <w:rtl/>
        </w:rPr>
        <w:t xml:space="preserve"> </w:t>
      </w:r>
      <w:r>
        <w:t xml:space="preserve">mit Suffix 2. Person Maskulinum Singular – „in allem Geschäft deiner Hand"), </w:t>
      </w:r>
      <w:r>
        <w:rPr>
          <w:rStyle w:val="Fett"/>
          <w:rFonts w:eastAsiaTheme="majorEastAsia"/>
          <w:rtl/>
        </w:rPr>
        <w:t>עַל־הָאָרֶץ אֲשֶׁר־אַתָּה בָא־שָׁמָּה לְרִשְׁתָּהּ</w:t>
      </w:r>
      <w:r>
        <w:rPr>
          <w:rtl/>
        </w:rPr>
        <w:t xml:space="preserve"> </w:t>
      </w:r>
      <w:r>
        <w:t xml:space="preserve">(Präposition </w:t>
      </w:r>
      <w:r>
        <w:rPr>
          <w:rStyle w:val="Fett"/>
          <w:rFonts w:eastAsiaTheme="majorEastAsia"/>
          <w:rtl/>
        </w:rPr>
        <w:t>עַל</w:t>
      </w:r>
      <w:r>
        <w:rPr>
          <w:rtl/>
        </w:rPr>
        <w:t xml:space="preserve"> </w:t>
      </w:r>
      <w:r>
        <w:t xml:space="preserve">mit </w:t>
      </w:r>
      <w:r>
        <w:rPr>
          <w:rStyle w:val="Fett"/>
          <w:rFonts w:eastAsiaTheme="majorEastAsia"/>
          <w:rtl/>
        </w:rPr>
        <w:t>אֶרֶץ</w:t>
      </w:r>
      <w:r>
        <w:rPr>
          <w:rtl/>
        </w:rPr>
        <w:t xml:space="preserve"> </w:t>
      </w:r>
      <w:r>
        <w:t xml:space="preserve">mit Artikel, Relativsatz: </w:t>
      </w:r>
      <w:r>
        <w:rPr>
          <w:rStyle w:val="Fett"/>
          <w:rFonts w:eastAsiaTheme="majorEastAsia"/>
          <w:rtl/>
        </w:rPr>
        <w:t>אֲשֶׁר אַתָּה בָא־שָׁמָּה לְרִשְׁתָּהּ</w:t>
      </w:r>
      <w:r>
        <w:rPr>
          <w:rtl/>
        </w:rPr>
        <w:t xml:space="preserve"> </w:t>
      </w:r>
      <w:r>
        <w:t xml:space="preserve">mit </w:t>
      </w:r>
      <w:r>
        <w:rPr>
          <w:rStyle w:val="Fett"/>
          <w:rFonts w:eastAsiaTheme="majorEastAsia"/>
          <w:rtl/>
        </w:rPr>
        <w:t>בוא</w:t>
      </w:r>
      <w:r>
        <w:t xml:space="preserve">, Qal Partizip, </w:t>
      </w:r>
      <w:r>
        <w:rPr>
          <w:rStyle w:val="Fett"/>
          <w:rFonts w:eastAsiaTheme="majorEastAsia"/>
          <w:rtl/>
        </w:rPr>
        <w:t>שָׁמָּה</w:t>
      </w:r>
      <w:r>
        <w:t xml:space="preserve">, Präposition </w:t>
      </w:r>
      <w:r>
        <w:rPr>
          <w:rStyle w:val="Fett"/>
          <w:rFonts w:eastAsiaTheme="majorEastAsia"/>
          <w:rtl/>
        </w:rPr>
        <w:t>לְ</w:t>
      </w:r>
      <w:r>
        <w:rPr>
          <w:rtl/>
        </w:rPr>
        <w:t xml:space="preserve"> </w:t>
      </w:r>
      <w:r>
        <w:t xml:space="preserve">mit Qal Infinitiv Construct von </w:t>
      </w:r>
      <w:r>
        <w:rPr>
          <w:rStyle w:val="Fett"/>
          <w:rFonts w:eastAsiaTheme="majorEastAsia"/>
          <w:rtl/>
        </w:rPr>
        <w:t>ירשׁ</w:t>
      </w:r>
      <w:r>
        <w:t>, „in Besitz nehmen, erben", mit Suffix 3. Person Femininum Singular).</w:t>
      </w:r>
    </w:p>
    <w:p w14:paraId="6DF393BF" w14:textId="77777777" w:rsidR="00277B46" w:rsidRDefault="00277B46" w:rsidP="00277B46">
      <w:pPr>
        <w:pStyle w:val="whitespace-normal"/>
      </w:pPr>
      <w:r>
        <w:t xml:space="preserve">Der Vers differenziert zwischen Israeliten und Ausländern beim Zinsverbot. Die Erlaubnis: </w:t>
      </w:r>
      <w:r>
        <w:rPr>
          <w:rStyle w:val="Fett"/>
          <w:rFonts w:eastAsiaTheme="majorEastAsia"/>
          <w:rtl/>
        </w:rPr>
        <w:t>לַנָּכְרִי תַשִּׁיךְ</w:t>
      </w:r>
      <w:r>
        <w:rPr>
          <w:rtl/>
        </w:rPr>
        <w:t xml:space="preserve"> </w:t>
      </w:r>
      <w:r>
        <w:t xml:space="preserve">(„dem Ausländer auf Zins leihen darfst du"). Das Wort </w:t>
      </w:r>
      <w:r>
        <w:rPr>
          <w:rStyle w:val="Fett"/>
          <w:rFonts w:eastAsiaTheme="majorEastAsia"/>
          <w:rtl/>
        </w:rPr>
        <w:t>נָכְרִי</w:t>
      </w:r>
      <w:r>
        <w:rPr>
          <w:rtl/>
        </w:rPr>
        <w:t xml:space="preserve"> </w:t>
      </w:r>
      <w:r>
        <w:t xml:space="preserve">(„Ausländer, Fremder") bezeichnet Nicht-Israeliten, die nicht zur Bundesgemeinschaft gehören (im Gegensatz zu </w:t>
      </w:r>
      <w:r>
        <w:rPr>
          <w:rStyle w:val="Fett"/>
          <w:rFonts w:eastAsiaTheme="majorEastAsia"/>
          <w:rtl/>
        </w:rPr>
        <w:t>גֵּר</w:t>
      </w:r>
      <w:r>
        <w:t xml:space="preserve">, „Fremdling", der in Israel wohnt und gewisse Rechte genießt, vgl. Ex 22,20; 23,9). Gegenüber </w:t>
      </w:r>
      <w:r>
        <w:rPr>
          <w:rStyle w:val="Fett"/>
          <w:rFonts w:eastAsiaTheme="majorEastAsia"/>
          <w:rtl/>
        </w:rPr>
        <w:t>נָכְרִי</w:t>
      </w:r>
      <w:r>
        <w:rPr>
          <w:rtl/>
        </w:rPr>
        <w:t xml:space="preserve"> </w:t>
      </w:r>
      <w:r>
        <w:t xml:space="preserve">ist Zinsnehmen erlaubt – wirtschaftliche Transaktionen mit Ausländern folgen anderen Regeln. Die Wiederholung des Verbots: </w:t>
      </w:r>
      <w:r>
        <w:rPr>
          <w:rStyle w:val="Fett"/>
          <w:rFonts w:eastAsiaTheme="majorEastAsia"/>
          <w:rtl/>
        </w:rPr>
        <w:t>וּלְאָחִיךָ לֹא תַשִּׁיךְ</w:t>
      </w:r>
      <w:r>
        <w:rPr>
          <w:rtl/>
        </w:rPr>
        <w:t xml:space="preserve"> </w:t>
      </w:r>
      <w:r>
        <w:t xml:space="preserve">(„aber deinem Bruder sollst du nicht auf Zins leihen") – Betonung durch Wiederholung (vgl. V. 20). Die Begründung: </w:t>
      </w:r>
      <w:r>
        <w:rPr>
          <w:rStyle w:val="Fett"/>
          <w:rFonts w:eastAsiaTheme="majorEastAsia"/>
          <w:rtl/>
        </w:rPr>
        <w:t>לְמַעַן יְבָרֶכְךָ יְהוָה אֱלֹהֶיךָ בְּכֹל מִשְׁלַח יָדֶךָ עַל־הָאָרֶץ אֲשֶׁר־אַתָּה בָא־שָׁמָּה לְרִשְׁתָּהּ</w:t>
      </w:r>
      <w:r>
        <w:rPr>
          <w:rtl/>
        </w:rPr>
        <w:t xml:space="preserve"> </w:t>
      </w:r>
      <w:r>
        <w:t xml:space="preserve">(„damit segne dich JHWH, dein Gott, in allem Geschäft deiner Hand auf dem Land, in das du kommst, um es in Besitz zu nehmen"). Die Formulierung </w:t>
      </w:r>
      <w:r>
        <w:rPr>
          <w:rStyle w:val="Fett"/>
          <w:rFonts w:eastAsiaTheme="majorEastAsia"/>
          <w:rtl/>
        </w:rPr>
        <w:t>מִשְׁלַח יָדֶךָ</w:t>
      </w:r>
      <w:r>
        <w:rPr>
          <w:rtl/>
        </w:rPr>
        <w:t xml:space="preserve"> </w:t>
      </w:r>
      <w:r>
        <w:t xml:space="preserve">(„Geschäft deiner Hand, Unternehmen deiner Hand") bezeichnet alle wirtschaftlichen Aktivitäten. Der Segen JHWHs </w:t>
      </w:r>
      <w:r>
        <w:lastRenderedPageBreak/>
        <w:t xml:space="preserve">ist an Gehorsam gegenüber dem Zinsverbot gebunden – soziale Gerechtigkeit führt zu wirtschaftlichem Wohlstand. Die Wendung </w:t>
      </w:r>
      <w:r>
        <w:rPr>
          <w:rStyle w:val="Fett"/>
          <w:rFonts w:eastAsiaTheme="majorEastAsia"/>
          <w:rtl/>
        </w:rPr>
        <w:t>עַל־הָאָרֶץ אֲשֶׁר־אַתָּה בָא־שָׁמָּה לְרִשְׁתָּהּ</w:t>
      </w:r>
      <w:r>
        <w:rPr>
          <w:rtl/>
        </w:rPr>
        <w:t xml:space="preserve"> </w:t>
      </w:r>
      <w:r>
        <w:t>ist die typische deuteronomische Formel für das verheißene Land (vgl. 4,5.14; 6,1; 11,10.29; 12,1 usw.).</w:t>
      </w:r>
    </w:p>
    <w:p w14:paraId="3477FF2C" w14:textId="77777777" w:rsidR="00277B46" w:rsidRDefault="00277B46" w:rsidP="00277B46">
      <w:pPr>
        <w:pStyle w:val="whitespace-normal"/>
      </w:pPr>
      <w:r>
        <w:rPr>
          <w:rStyle w:val="Fett"/>
          <w:rFonts w:eastAsiaTheme="majorEastAsia"/>
        </w:rPr>
        <w:t>Die Satzstruktur:</w:t>
      </w:r>
      <w:r>
        <w:t xml:space="preserve"> Erlaubnis, Verbot und Begründung (dem Ausländer auf Zins leihen darfst du, aber deinem Bruder sollst du nicht auf Zins leihen, damit segne dich JHWH, dein Gott, in allem Geschäft deiner Hand auf dem Land, in das du kommst, um es in Besitz zu nehmen).</w:t>
      </w:r>
    </w:p>
    <w:p w14:paraId="5D5D4141" w14:textId="258B915F" w:rsidR="00277B46" w:rsidRDefault="00277B46" w:rsidP="00AB12A0">
      <w:pPr>
        <w:pStyle w:val="whitespace-normal"/>
      </w:pPr>
      <w:r>
        <w:rPr>
          <w:rStyle w:val="Fett"/>
          <w:rFonts w:eastAsiaTheme="majorEastAsia"/>
        </w:rPr>
        <w:t>Der Vers beschreibt:</w:t>
      </w:r>
      <w:r>
        <w:t xml:space="preserve"> Differenzierung – Zinsen dürfen von Ausländern genommen werden, aber nicht von Israeliten; Gehorsam führt zu göttlichem Segen.</w:t>
      </w:r>
    </w:p>
    <w:p w14:paraId="5D9D50A0" w14:textId="77777777" w:rsidR="00277B46" w:rsidRPr="00B27A64" w:rsidRDefault="00277B46" w:rsidP="00277B46">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23,22</w:t>
      </w:r>
    </w:p>
    <w:p w14:paraId="772AE72F" w14:textId="77777777" w:rsidR="00277B46" w:rsidRDefault="00277B46" w:rsidP="00277B46">
      <w:pPr>
        <w:pStyle w:val="whitespace-normal"/>
      </w:pPr>
      <w:r>
        <w:rPr>
          <w:rStyle w:val="Fett"/>
          <w:rFonts w:eastAsiaTheme="majorEastAsia"/>
        </w:rPr>
        <w:t>Hebräisch:</w:t>
      </w:r>
      <w:r>
        <w:t xml:space="preserve"> </w:t>
      </w:r>
      <w:r>
        <w:rPr>
          <w:rtl/>
        </w:rPr>
        <w:t>כִּֽי־תִדֹּ֥ר נֶ֨דֶר֙ לַיהוָ֣ה אֱלֹהֶ֔יךָ לֹ֥א תְאַחֵ֖ר לְשַׁלְּמֹ֑ו כִּֽי־דָּרֹ֨שׁ יִדְרְשֶׁ֜נּוּ יְהוָ֤ה אֱלֹהֶ֨יךָ֙ מֵֽעִמָּ֔ךְ וְהָיָ֥ה בְךָ֖ חֵֽטְא׃</w:t>
      </w:r>
    </w:p>
    <w:p w14:paraId="43F3E6D7" w14:textId="77777777" w:rsidR="00277B46" w:rsidRDefault="00277B46" w:rsidP="00277B46">
      <w:pPr>
        <w:pStyle w:val="whitespace-normal"/>
      </w:pPr>
      <w:r>
        <w:rPr>
          <w:rStyle w:val="Fett"/>
          <w:rFonts w:eastAsiaTheme="majorEastAsia"/>
        </w:rPr>
        <w:t>Deutsch:</w:t>
      </w:r>
      <w:r>
        <w:t xml:space="preserve"> Wenn du JHWH, deinem Gott, ein Gelübde tust, sollst du nicht zögern, es zu erfüllen; denn JHWH, dein Gott, wird es gewiss von dir fordern, und es würde Sünde an dir sein.</w:t>
      </w:r>
    </w:p>
    <w:p w14:paraId="7EEBAE2D" w14:textId="77777777" w:rsidR="00277B46" w:rsidRDefault="004F5CEB" w:rsidP="00277B46">
      <w:r>
        <w:rPr>
          <w:noProof/>
        </w:rPr>
        <w:pict w14:anchorId="44C908AB">
          <v:rect id="_x0000_i1646" style="width:0;height:1.5pt" o:hralign="center" o:hrstd="t" o:hr="t" fillcolor="#a0a0a0" stroked="f"/>
        </w:pict>
      </w:r>
    </w:p>
    <w:p w14:paraId="32860004" w14:textId="77777777" w:rsidR="00277B46" w:rsidRDefault="00277B46" w:rsidP="00277B46">
      <w:pPr>
        <w:pStyle w:val="whitespace-normal"/>
      </w:pPr>
      <w:r>
        <w:rPr>
          <w:rStyle w:val="Fett"/>
          <w:rFonts w:eastAsiaTheme="majorEastAsia"/>
        </w:rPr>
        <w:t>Kommentar:</w:t>
      </w:r>
      <w:r>
        <w:t xml:space="preserve"> </w:t>
      </w:r>
      <w:r>
        <w:rPr>
          <w:rStyle w:val="Fett"/>
          <w:rFonts w:eastAsiaTheme="majorEastAsia"/>
          <w:rtl/>
        </w:rPr>
        <w:t>כִּי־תִדֹּר נֶדֶר לַיהוָה אֱלֹהֶיךָ לֹא תְאַחֵר לְשַׁלְּמוֹ</w:t>
      </w:r>
      <w:r>
        <w:rPr>
          <w:rtl/>
        </w:rPr>
        <w:t xml:space="preserve"> </w:t>
      </w:r>
      <w:r>
        <w:t xml:space="preserve">ist eine Bedingung mit Anweisung: </w:t>
      </w:r>
      <w:r>
        <w:rPr>
          <w:rStyle w:val="Fett"/>
          <w:rFonts w:eastAsiaTheme="majorEastAsia"/>
          <w:rtl/>
        </w:rPr>
        <w:t>כִּי־תִדֹּר נֶדֶר לַיהוָה אֱלֹהֶיךָ</w:t>
      </w:r>
      <w:r>
        <w:rPr>
          <w:rtl/>
        </w:rPr>
        <w:t xml:space="preserve"> </w:t>
      </w:r>
      <w:r>
        <w:t>(</w:t>
      </w:r>
      <w:r>
        <w:rPr>
          <w:rStyle w:val="Fett"/>
          <w:rFonts w:eastAsiaTheme="majorEastAsia"/>
          <w:rtl/>
        </w:rPr>
        <w:t>כִּי</w:t>
      </w:r>
      <w:r>
        <w:t xml:space="preserve">, „wenn", mit </w:t>
      </w:r>
      <w:r>
        <w:rPr>
          <w:rStyle w:val="Fett"/>
          <w:rFonts w:eastAsiaTheme="majorEastAsia"/>
          <w:rtl/>
        </w:rPr>
        <w:t>נדר</w:t>
      </w:r>
      <w:r>
        <w:t xml:space="preserve">, Qal Imperfekt, 2. Person Maskulinum Singular, „geloben, ein Gelübde tun", </w:t>
      </w:r>
      <w:r>
        <w:rPr>
          <w:rStyle w:val="Fett"/>
          <w:rFonts w:eastAsiaTheme="majorEastAsia"/>
          <w:rtl/>
        </w:rPr>
        <w:t>נֶדֶר</w:t>
      </w:r>
      <w:r>
        <w:t xml:space="preserve">, „Gelübde", als inneres Objekt – Figura etymologica, Präposition </w:t>
      </w:r>
      <w:r>
        <w:rPr>
          <w:rStyle w:val="Fett"/>
          <w:rFonts w:eastAsiaTheme="majorEastAsia"/>
          <w:rtl/>
        </w:rPr>
        <w:t>לְ</w:t>
      </w:r>
      <w:r>
        <w:rPr>
          <w:rtl/>
        </w:rPr>
        <w:t xml:space="preserve"> </w:t>
      </w:r>
      <w:r>
        <w:t xml:space="preserve">mit </w:t>
      </w:r>
      <w:r>
        <w:rPr>
          <w:rStyle w:val="Fett"/>
          <w:rFonts w:eastAsiaTheme="majorEastAsia"/>
          <w:rtl/>
        </w:rPr>
        <w:t>יְהוָה אֱלֹהֶיךָ</w:t>
      </w:r>
      <w:r>
        <w:t xml:space="preserve">), </w:t>
      </w:r>
      <w:r>
        <w:rPr>
          <w:rStyle w:val="Fett"/>
          <w:rFonts w:eastAsiaTheme="majorEastAsia"/>
          <w:rtl/>
        </w:rPr>
        <w:t>לֹא תְאַחֵר לְשַׁלְּמוֹ</w:t>
      </w:r>
      <w:r>
        <w:rPr>
          <w:rtl/>
        </w:rPr>
        <w:t xml:space="preserve"> </w:t>
      </w:r>
      <w:r>
        <w:t xml:space="preserve">(Negation mit </w:t>
      </w:r>
      <w:r>
        <w:rPr>
          <w:rStyle w:val="Fett"/>
          <w:rFonts w:eastAsiaTheme="majorEastAsia"/>
          <w:rtl/>
        </w:rPr>
        <w:t>אחר</w:t>
      </w:r>
      <w:r>
        <w:t xml:space="preserve">, Piel Imperfekt, 2. Person Maskulinum Singular, „verzögern, zögern, aufschieben", </w:t>
      </w:r>
      <w:r>
        <w:rPr>
          <w:rStyle w:val="Fett"/>
          <w:rFonts w:eastAsiaTheme="majorEastAsia"/>
          <w:rtl/>
        </w:rPr>
        <w:t>לְשַׁלְּמוֹ</w:t>
      </w:r>
      <w:r>
        <w:t xml:space="preserve">, Präposition </w:t>
      </w:r>
      <w:r>
        <w:rPr>
          <w:rStyle w:val="Fett"/>
          <w:rFonts w:eastAsiaTheme="majorEastAsia"/>
          <w:rtl/>
        </w:rPr>
        <w:t>לְ</w:t>
      </w:r>
      <w:r>
        <w:rPr>
          <w:rtl/>
        </w:rPr>
        <w:t xml:space="preserve"> </w:t>
      </w:r>
      <w:r>
        <w:t xml:space="preserve">mit Piel Infinitiv Construct von </w:t>
      </w:r>
      <w:r>
        <w:rPr>
          <w:rStyle w:val="Fett"/>
          <w:rFonts w:eastAsiaTheme="majorEastAsia"/>
          <w:rtl/>
        </w:rPr>
        <w:t>שׁלם</w:t>
      </w:r>
      <w:r>
        <w:t>, „erfüllen, bezahlen, vollständig machen", mit Suffix 3. Person Maskulinum Singular).</w:t>
      </w:r>
    </w:p>
    <w:p w14:paraId="59BB631B" w14:textId="77777777" w:rsidR="00277B46" w:rsidRDefault="00277B46" w:rsidP="00277B46">
      <w:pPr>
        <w:pStyle w:val="whitespace-normal"/>
      </w:pPr>
      <w:r>
        <w:rPr>
          <w:rStyle w:val="Fett"/>
          <w:rFonts w:eastAsiaTheme="majorEastAsia"/>
          <w:rtl/>
        </w:rPr>
        <w:t>כִּי־דָּרֹשׁ יִדְרְשֶׁנּוּ יְהוָה אֱלֹהֶיךָ מֵעִמָּךְ וְהָיָה בְךָ חֵטְא</w:t>
      </w:r>
      <w:r>
        <w:rPr>
          <w:rtl/>
        </w:rPr>
        <w:t xml:space="preserve"> </w:t>
      </w:r>
      <w:r>
        <w:t xml:space="preserve">ist die Begründung: </w:t>
      </w:r>
      <w:r>
        <w:rPr>
          <w:rStyle w:val="Fett"/>
          <w:rFonts w:eastAsiaTheme="majorEastAsia"/>
          <w:rtl/>
        </w:rPr>
        <w:t>כִּי־דָּרֹשׁ יִדְרְשֶׁנּוּ יְהוָה אֱלֹהֶיךָ מֵעִמָּךְ</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דרשׁ</w:t>
      </w:r>
      <w:r>
        <w:t xml:space="preserve">, Qal Infinitiv Absolutus, koordiniert mit </w:t>
      </w:r>
      <w:r>
        <w:rPr>
          <w:rStyle w:val="Fett"/>
          <w:rFonts w:eastAsiaTheme="majorEastAsia"/>
          <w:rtl/>
        </w:rPr>
        <w:t>דרשׁ</w:t>
      </w:r>
      <w:r>
        <w:t xml:space="preserve">, Qal Imperfekt, 3. Person Maskulinum Singular, „fordern, suchen, verlangen", mit Suffix 3. Person Maskulinum Singular – Infinitiv Absolutus + finites Verb zur Verstärkung: „gewiss fordern", </w:t>
      </w:r>
      <w:r>
        <w:rPr>
          <w:rStyle w:val="Fett"/>
          <w:rFonts w:eastAsiaTheme="majorEastAsia"/>
          <w:rtl/>
        </w:rPr>
        <w:t>יְהוָה אֱלֹהֶיךָ</w:t>
      </w:r>
      <w:r>
        <w:rPr>
          <w:rtl/>
        </w:rPr>
        <w:t xml:space="preserve"> </w:t>
      </w:r>
      <w:r>
        <w:t xml:space="preserve">als Subjekt, </w:t>
      </w:r>
      <w:r>
        <w:rPr>
          <w:rStyle w:val="Fett"/>
          <w:rFonts w:eastAsiaTheme="majorEastAsia"/>
          <w:rtl/>
        </w:rPr>
        <w:t>מֵעִמָּךְ</w:t>
      </w:r>
      <w:r>
        <w:t xml:space="preserve">, Präposition </w:t>
      </w:r>
      <w:r>
        <w:rPr>
          <w:rStyle w:val="Fett"/>
          <w:rFonts w:eastAsiaTheme="majorEastAsia"/>
          <w:rtl/>
        </w:rPr>
        <w:t>מִן</w:t>
      </w:r>
      <w:r>
        <w:rPr>
          <w:rtl/>
        </w:rPr>
        <w:t xml:space="preserve"> </w:t>
      </w:r>
      <w:r>
        <w:t xml:space="preserve">mit </w:t>
      </w:r>
      <w:r>
        <w:rPr>
          <w:rStyle w:val="Fett"/>
          <w:rFonts w:eastAsiaTheme="majorEastAsia"/>
          <w:rtl/>
        </w:rPr>
        <w:t>עִם</w:t>
      </w:r>
      <w:r>
        <w:rPr>
          <w:rtl/>
        </w:rPr>
        <w:t xml:space="preserve"> </w:t>
      </w:r>
      <w:r>
        <w:t xml:space="preserve">mit Suffix 2. Person Maskulinum Singular – „von dir"), </w:t>
      </w:r>
      <w:r>
        <w:rPr>
          <w:rStyle w:val="Fett"/>
          <w:rFonts w:eastAsiaTheme="majorEastAsia"/>
          <w:rtl/>
        </w:rPr>
        <w:t>וְהָיָה בְךָ חֵטְא</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3. Person Maskulinum Singular, </w:t>
      </w:r>
      <w:r>
        <w:rPr>
          <w:rStyle w:val="Fett"/>
          <w:rFonts w:eastAsiaTheme="majorEastAsia"/>
          <w:rtl/>
        </w:rPr>
        <w:t>בְךָ</w:t>
      </w:r>
      <w:r>
        <w:t xml:space="preserve">, Präposition </w:t>
      </w:r>
      <w:r>
        <w:rPr>
          <w:rStyle w:val="Fett"/>
          <w:rFonts w:eastAsiaTheme="majorEastAsia"/>
          <w:rtl/>
        </w:rPr>
        <w:t>בְּ</w:t>
      </w:r>
      <w:r>
        <w:rPr>
          <w:rtl/>
        </w:rPr>
        <w:t xml:space="preserve"> </w:t>
      </w:r>
      <w:r>
        <w:t xml:space="preserve">mit Suffix 2. Person Maskulinum Singular, </w:t>
      </w:r>
      <w:r>
        <w:rPr>
          <w:rStyle w:val="Fett"/>
          <w:rFonts w:eastAsiaTheme="majorEastAsia"/>
          <w:rtl/>
        </w:rPr>
        <w:t>חֵטְא</w:t>
      </w:r>
      <w:r>
        <w:t xml:space="preserve">, „Sünde, Schuld", mit </w:t>
      </w:r>
      <w:r>
        <w:rPr>
          <w:rStyle w:val="Fett"/>
          <w:rFonts w:eastAsiaTheme="majorEastAsia"/>
        </w:rPr>
        <w:t>Waw</w:t>
      </w:r>
      <w:r>
        <w:t xml:space="preserve"> consecutives Perfekt).</w:t>
      </w:r>
    </w:p>
    <w:p w14:paraId="04D5F1DB" w14:textId="7CA64469" w:rsidR="00277B46" w:rsidRDefault="00277B46" w:rsidP="00277B46">
      <w:pPr>
        <w:pStyle w:val="whitespace-normal"/>
      </w:pPr>
      <w:r>
        <w:t xml:space="preserve">Der Vers leitet einen neuen Abschnitt ein: Verbindlichkeit von Gelübden (V. 22-24). Die Bedingung: </w:t>
      </w:r>
      <w:r>
        <w:rPr>
          <w:rStyle w:val="Fett"/>
          <w:rFonts w:eastAsiaTheme="majorEastAsia"/>
          <w:rtl/>
        </w:rPr>
        <w:t>כִּי־תִדֹּר נֶדֶר לַיהוָה אֱלֹהֶיךָ</w:t>
      </w:r>
      <w:r>
        <w:rPr>
          <w:rtl/>
        </w:rPr>
        <w:t xml:space="preserve"> </w:t>
      </w:r>
      <w:r>
        <w:t xml:space="preserve">(„wenn du tust ein Gelübde JHWH, deinem Gott"). Die Figura etymologica </w:t>
      </w:r>
      <w:r>
        <w:rPr>
          <w:rStyle w:val="Fett"/>
          <w:rFonts w:eastAsiaTheme="majorEastAsia"/>
          <w:rtl/>
        </w:rPr>
        <w:t>נדר נֶדֶר</w:t>
      </w:r>
      <w:r>
        <w:rPr>
          <w:rtl/>
        </w:rPr>
        <w:t xml:space="preserve"> </w:t>
      </w:r>
      <w:r>
        <w:t xml:space="preserve">(„geloben ein Gelübde") betont die Ernsthaftigkeit. Ein </w:t>
      </w:r>
      <w:r>
        <w:rPr>
          <w:rStyle w:val="Fett"/>
          <w:rFonts w:eastAsiaTheme="majorEastAsia"/>
          <w:rtl/>
        </w:rPr>
        <w:t>נֶדֶר</w:t>
      </w:r>
      <w:r>
        <w:rPr>
          <w:rtl/>
        </w:rPr>
        <w:t xml:space="preserve"> </w:t>
      </w:r>
      <w:r>
        <w:t xml:space="preserve">(„Gelübde") ist ein freiwilliges Versprechen an JHWH, etwas zu tun oder zu geben (vgl. Gen 28,20-22; Num 30; Ri 11,30-31; </w:t>
      </w:r>
      <w:r w:rsidR="00664EB6">
        <w:t>1Sam</w:t>
      </w:r>
      <w:r>
        <w:t xml:space="preserve"> 1,11). Die Anweisung: </w:t>
      </w:r>
      <w:r>
        <w:rPr>
          <w:rStyle w:val="Fett"/>
          <w:rFonts w:eastAsiaTheme="majorEastAsia"/>
          <w:rtl/>
        </w:rPr>
        <w:t>לֹא תְאַחֵר לְשַׁלְּמוֹ</w:t>
      </w:r>
      <w:r>
        <w:rPr>
          <w:rtl/>
        </w:rPr>
        <w:t xml:space="preserve"> </w:t>
      </w:r>
      <w:r>
        <w:t xml:space="preserve">(„nicht verzögern sollst du, es zu erfüllen"). Das Verb </w:t>
      </w:r>
      <w:r>
        <w:rPr>
          <w:rStyle w:val="Fett"/>
          <w:rFonts w:eastAsiaTheme="majorEastAsia"/>
          <w:rtl/>
        </w:rPr>
        <w:t>אחר</w:t>
      </w:r>
      <w:r>
        <w:rPr>
          <w:rtl/>
        </w:rPr>
        <w:t xml:space="preserve"> </w:t>
      </w:r>
      <w:r>
        <w:t xml:space="preserve">im Piel („verzögern, aufschieben") – man darf nicht zögern oder die Erfüllung hinauszögern. Das Verb </w:t>
      </w:r>
      <w:r>
        <w:rPr>
          <w:rStyle w:val="Fett"/>
          <w:rFonts w:eastAsiaTheme="majorEastAsia"/>
          <w:rtl/>
        </w:rPr>
        <w:t>שׁלם</w:t>
      </w:r>
      <w:r>
        <w:rPr>
          <w:rtl/>
        </w:rPr>
        <w:t xml:space="preserve"> </w:t>
      </w:r>
      <w:r>
        <w:t xml:space="preserve">im Piel („erfüllen, vollständig machen, bezahlen") bezeichnet die Einlösung des Gelübdes. Die doppelte Begründung: (1) </w:t>
      </w:r>
      <w:r>
        <w:rPr>
          <w:rStyle w:val="Fett"/>
          <w:rFonts w:eastAsiaTheme="majorEastAsia"/>
          <w:rtl/>
        </w:rPr>
        <w:t>כִּי־דָּרֹשׁ יִדְרְשֶׁנּוּ יְהוָה אֱלֹהֶיךָ מֵעִמָּךְ</w:t>
      </w:r>
      <w:r>
        <w:rPr>
          <w:rtl/>
        </w:rPr>
        <w:t xml:space="preserve"> </w:t>
      </w:r>
      <w:r>
        <w:t xml:space="preserve">(„denn fordern wird es gewiss fordern </w:t>
      </w:r>
      <w:r>
        <w:lastRenderedPageBreak/>
        <w:t>JHWH, dein Gott, von dir"). Die Konstruktion Infinitiv Absolutus + finites Verb (</w:t>
      </w:r>
      <w:r>
        <w:rPr>
          <w:rStyle w:val="Fett"/>
          <w:rFonts w:eastAsiaTheme="majorEastAsia"/>
          <w:rtl/>
        </w:rPr>
        <w:t>דָּרֹשׁ יִדְרְשֶׁנּוּ</w:t>
      </w:r>
      <w:r>
        <w:t xml:space="preserve">) drückt Nachdruck und Gewissheit aus. Das Verb </w:t>
      </w:r>
      <w:r>
        <w:rPr>
          <w:rStyle w:val="Fett"/>
          <w:rFonts w:eastAsiaTheme="majorEastAsia"/>
          <w:rtl/>
        </w:rPr>
        <w:t>דרשׁ</w:t>
      </w:r>
      <w:r>
        <w:rPr>
          <w:rtl/>
        </w:rPr>
        <w:t xml:space="preserve"> </w:t>
      </w:r>
      <w:r>
        <w:t xml:space="preserve">(„fordern, suchen, zur Rechenschaft ziehen") – JHWH wird die Erfüllung des Gelübdes einfordern. (2) </w:t>
      </w:r>
      <w:r>
        <w:rPr>
          <w:rStyle w:val="Fett"/>
          <w:rFonts w:eastAsiaTheme="majorEastAsia"/>
          <w:rtl/>
        </w:rPr>
        <w:t>וְהָיָה בְךָ חֵטְא</w:t>
      </w:r>
      <w:r>
        <w:rPr>
          <w:rtl/>
        </w:rPr>
        <w:t xml:space="preserve"> </w:t>
      </w:r>
      <w:r>
        <w:t xml:space="preserve">(„und es wird sein an dir Sünde") – Nichterfüllung eines Gelübdes ist Sünde. Die Formulierung </w:t>
      </w:r>
      <w:r>
        <w:rPr>
          <w:rStyle w:val="Fett"/>
          <w:rFonts w:eastAsiaTheme="majorEastAsia"/>
          <w:rtl/>
        </w:rPr>
        <w:t>היה ב־ חֵטְא</w:t>
      </w:r>
      <w:r>
        <w:rPr>
          <w:rtl/>
        </w:rPr>
        <w:t xml:space="preserve"> </w:t>
      </w:r>
      <w:r>
        <w:t>(„es ist Sünde an jemandem") bezeichnet persönliche Schuld (vgl. 15,9; 24,15). Vgl. Pred 5,3-5; Ps 66,13-14.</w:t>
      </w:r>
    </w:p>
    <w:p w14:paraId="1EAC1961" w14:textId="77777777" w:rsidR="00277B46" w:rsidRDefault="00277B46" w:rsidP="00277B46">
      <w:pPr>
        <w:pStyle w:val="whitespace-normal"/>
      </w:pPr>
      <w:r>
        <w:rPr>
          <w:rStyle w:val="Fett"/>
          <w:rFonts w:eastAsiaTheme="majorEastAsia"/>
        </w:rPr>
        <w:t>Die Satzstruktur:</w:t>
      </w:r>
      <w:r>
        <w:t xml:space="preserve"> Bedingung mit Anweisung und doppelter Begründung (wenn du tust ein Gelübde JHWH, deinem Gott, nicht verzögern sollst du, es zu erfüllen; denn fordern wird es gewiss fordern JHWH, dein Gott, von dir, und es wird sein an dir Sünde).</w:t>
      </w:r>
    </w:p>
    <w:p w14:paraId="4CEAE43A" w14:textId="2964AD12" w:rsidR="00277B46" w:rsidRDefault="00277B46" w:rsidP="00AB12A0">
      <w:pPr>
        <w:pStyle w:val="whitespace-normal"/>
      </w:pPr>
      <w:r>
        <w:rPr>
          <w:rStyle w:val="Fett"/>
          <w:rFonts w:eastAsiaTheme="majorEastAsia"/>
        </w:rPr>
        <w:t>Der Vers beschreibt:</w:t>
      </w:r>
      <w:r>
        <w:t xml:space="preserve"> Gelübde an JHWH müssen unverzüglich erfüllt werden – JHWH fordert Rechenschaft, Nichterfüllung ist Sünde.</w:t>
      </w:r>
    </w:p>
    <w:p w14:paraId="6A4251A5" w14:textId="77777777" w:rsidR="00277B46" w:rsidRPr="00B27A64" w:rsidRDefault="00277B46" w:rsidP="00277B46">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23,23</w:t>
      </w:r>
    </w:p>
    <w:p w14:paraId="0D431936" w14:textId="77777777" w:rsidR="00277B46" w:rsidRDefault="00277B46" w:rsidP="00277B46">
      <w:pPr>
        <w:pStyle w:val="whitespace-normal"/>
      </w:pPr>
      <w:r>
        <w:rPr>
          <w:rStyle w:val="Fett"/>
          <w:rFonts w:eastAsiaTheme="majorEastAsia"/>
        </w:rPr>
        <w:t>Hebräisch:</w:t>
      </w:r>
      <w:r>
        <w:t xml:space="preserve"> </w:t>
      </w:r>
      <w:r>
        <w:rPr>
          <w:rtl/>
        </w:rPr>
        <w:t>וְכִ֥י תֶחְדַּ֖ל לִנְדֹּ֑ר לֹֽא־יִהְיֶ֥ה בְךָ֖ חֵֽטְא׃</w:t>
      </w:r>
    </w:p>
    <w:p w14:paraId="622AE02B" w14:textId="77777777" w:rsidR="00277B46" w:rsidRDefault="00277B46" w:rsidP="00277B46">
      <w:pPr>
        <w:pStyle w:val="whitespace-normal"/>
      </w:pPr>
      <w:r>
        <w:rPr>
          <w:rStyle w:val="Fett"/>
          <w:rFonts w:eastAsiaTheme="majorEastAsia"/>
        </w:rPr>
        <w:t>Deutsch:</w:t>
      </w:r>
      <w:r>
        <w:t xml:space="preserve"> Wenn du aber unterlässt zu geloben, so wird keine Sünde an dir sein.</w:t>
      </w:r>
    </w:p>
    <w:p w14:paraId="21E6AA43" w14:textId="77777777" w:rsidR="00277B46" w:rsidRDefault="004F5CEB" w:rsidP="00277B46">
      <w:r>
        <w:rPr>
          <w:noProof/>
        </w:rPr>
        <w:pict w14:anchorId="137F04EE">
          <v:rect id="_x0000_i1647" style="width:0;height:1.5pt" o:hralign="center" o:hrstd="t" o:hr="t" fillcolor="#a0a0a0" stroked="f"/>
        </w:pict>
      </w:r>
    </w:p>
    <w:p w14:paraId="291EA19C" w14:textId="77777777" w:rsidR="00277B46" w:rsidRDefault="00277B46" w:rsidP="00277B46">
      <w:pPr>
        <w:pStyle w:val="whitespace-normal"/>
      </w:pPr>
      <w:r>
        <w:rPr>
          <w:rStyle w:val="Fett"/>
          <w:rFonts w:eastAsiaTheme="majorEastAsia"/>
        </w:rPr>
        <w:t>Kommentar:</w:t>
      </w:r>
      <w:r>
        <w:t xml:space="preserve"> </w:t>
      </w:r>
      <w:r>
        <w:rPr>
          <w:rStyle w:val="Fett"/>
          <w:rFonts w:eastAsiaTheme="majorEastAsia"/>
          <w:rtl/>
        </w:rPr>
        <w:t>וְכִי תֶחְדַּל לִנְדֹּר לֹא־יִהְיֶה בְךָ חֵטְא</w:t>
      </w:r>
      <w:r>
        <w:rPr>
          <w:rtl/>
        </w:rPr>
        <w:t xml:space="preserve"> </w:t>
      </w:r>
      <w:r>
        <w:t xml:space="preserve">ist eine alternative Bedingung: </w:t>
      </w:r>
      <w:r>
        <w:rPr>
          <w:rStyle w:val="Fett"/>
          <w:rFonts w:eastAsiaTheme="majorEastAsia"/>
          <w:rtl/>
        </w:rPr>
        <w:t>וְכִי תֶחְדַּל לִנְדֹּר</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כִּי</w:t>
      </w:r>
      <w:r>
        <w:t xml:space="preserve">, „wenn, aber wenn", </w:t>
      </w:r>
      <w:r>
        <w:rPr>
          <w:rStyle w:val="Fett"/>
          <w:rFonts w:eastAsiaTheme="majorEastAsia"/>
          <w:rtl/>
        </w:rPr>
        <w:t>חדל</w:t>
      </w:r>
      <w:r>
        <w:t xml:space="preserve">, Qal Imperfekt, 2. Person Maskulinum Singular, „aufhören, unterlassen, sich enthalten", </w:t>
      </w:r>
      <w:r>
        <w:rPr>
          <w:rStyle w:val="Fett"/>
          <w:rFonts w:eastAsiaTheme="majorEastAsia"/>
          <w:rtl/>
        </w:rPr>
        <w:t>לִנְדֹּר</w:t>
      </w:r>
      <w:r>
        <w:t xml:space="preserve">, Präposition </w:t>
      </w:r>
      <w:r>
        <w:rPr>
          <w:rStyle w:val="Fett"/>
          <w:rFonts w:eastAsiaTheme="majorEastAsia"/>
          <w:rtl/>
        </w:rPr>
        <w:t>לְ</w:t>
      </w:r>
      <w:r>
        <w:rPr>
          <w:rtl/>
        </w:rPr>
        <w:t xml:space="preserve"> </w:t>
      </w:r>
      <w:r>
        <w:t xml:space="preserve">mit Qal Infinitiv Construct von </w:t>
      </w:r>
      <w:r>
        <w:rPr>
          <w:rStyle w:val="Fett"/>
          <w:rFonts w:eastAsiaTheme="majorEastAsia"/>
          <w:rtl/>
        </w:rPr>
        <w:t>נדר</w:t>
      </w:r>
      <w:r>
        <w:t xml:space="preserve">), </w:t>
      </w:r>
      <w:r>
        <w:rPr>
          <w:rStyle w:val="Fett"/>
          <w:rFonts w:eastAsiaTheme="majorEastAsia"/>
          <w:rtl/>
        </w:rPr>
        <w:t>לֹא־יִהְיֶה בְךָ חֵטְא</w:t>
      </w:r>
      <w:r>
        <w:rPr>
          <w:rtl/>
        </w:rPr>
        <w:t xml:space="preserve"> </w:t>
      </w:r>
      <w:r>
        <w:t xml:space="preserve">(Negation mit </w:t>
      </w:r>
      <w:r>
        <w:rPr>
          <w:rStyle w:val="Fett"/>
          <w:rFonts w:eastAsiaTheme="majorEastAsia"/>
          <w:rtl/>
        </w:rPr>
        <w:t>היה</w:t>
      </w:r>
      <w:r>
        <w:t xml:space="preserve">, Qal Imperfekt, 3. Person Maskulinum Singular, </w:t>
      </w:r>
      <w:r>
        <w:rPr>
          <w:rStyle w:val="Fett"/>
          <w:rFonts w:eastAsiaTheme="majorEastAsia"/>
          <w:rtl/>
        </w:rPr>
        <w:t>בְךָ</w:t>
      </w:r>
      <w:r>
        <w:t xml:space="preserve">, </w:t>
      </w:r>
      <w:r>
        <w:rPr>
          <w:rStyle w:val="Fett"/>
          <w:rFonts w:eastAsiaTheme="majorEastAsia"/>
          <w:rtl/>
        </w:rPr>
        <w:t>חֵטְא</w:t>
      </w:r>
      <w:r>
        <w:t>).</w:t>
      </w:r>
    </w:p>
    <w:p w14:paraId="172AAC46" w14:textId="77777777" w:rsidR="00277B46" w:rsidRDefault="00277B46" w:rsidP="00277B46">
      <w:pPr>
        <w:pStyle w:val="whitespace-normal"/>
      </w:pPr>
      <w:r>
        <w:t xml:space="preserve">Der Vers stellt die Alternative zu V. 22: Was, wenn jemand kein Gelübde tut? Die Bedingung: </w:t>
      </w:r>
      <w:r>
        <w:rPr>
          <w:rStyle w:val="Fett"/>
          <w:rFonts w:eastAsiaTheme="majorEastAsia"/>
          <w:rtl/>
        </w:rPr>
        <w:t>וְכִי תֶחְדַּל לִנְדֹּר</w:t>
      </w:r>
      <w:r>
        <w:rPr>
          <w:rtl/>
        </w:rPr>
        <w:t xml:space="preserve"> </w:t>
      </w:r>
      <w:r>
        <w:t xml:space="preserve">(„und wenn du unterlässt zu geloben, wenn du dich des Gelobens enthältst"). Das Verb </w:t>
      </w:r>
      <w:r>
        <w:rPr>
          <w:rStyle w:val="Fett"/>
          <w:rFonts w:eastAsiaTheme="majorEastAsia"/>
          <w:rtl/>
        </w:rPr>
        <w:t>חדל</w:t>
      </w:r>
      <w:r>
        <w:rPr>
          <w:rtl/>
        </w:rPr>
        <w:t xml:space="preserve"> </w:t>
      </w:r>
      <w:r>
        <w:t xml:space="preserve">(„aufhören, unterlassen, sich enthalten") mit </w:t>
      </w:r>
      <w:r>
        <w:rPr>
          <w:rStyle w:val="Fett"/>
          <w:rFonts w:eastAsiaTheme="majorEastAsia"/>
          <w:rtl/>
        </w:rPr>
        <w:t>לְ</w:t>
      </w:r>
      <w:r>
        <w:rPr>
          <w:rtl/>
        </w:rPr>
        <w:t xml:space="preserve"> </w:t>
      </w:r>
      <w:r>
        <w:t xml:space="preserve">+ Infinitiv bedeutet: etwas nicht tun, sich einer Handlung enthalten. Die Aussage: </w:t>
      </w:r>
      <w:r>
        <w:rPr>
          <w:rStyle w:val="Fett"/>
          <w:rFonts w:eastAsiaTheme="majorEastAsia"/>
          <w:rtl/>
        </w:rPr>
        <w:t>לֹא־יִהְיֶה בְךָ חֵטְא</w:t>
      </w:r>
      <w:r>
        <w:rPr>
          <w:rtl/>
        </w:rPr>
        <w:t xml:space="preserve"> </w:t>
      </w:r>
      <w:r>
        <w:t xml:space="preserve">(„nicht wird sein an dir Sünde") – es ist keine Sünde, kein Gelübde zu tun. Die Ratio: Gelübde sind </w:t>
      </w:r>
      <w:r>
        <w:rPr>
          <w:rStyle w:val="Fett"/>
          <w:rFonts w:eastAsiaTheme="majorEastAsia"/>
        </w:rPr>
        <w:t>freiwillig</w:t>
      </w:r>
      <w:r>
        <w:t>, nicht verpflichtend. Niemand wird gezwungen, ein Gelübde zu tun. Die Sünde entsteht erst, wenn man ein Gelübde tut und es dann nicht erfüllt (V. 22). Wer von vornherein kein Gelübde tut, begeht keine Sünde. Dies ist eine wichtige Klarstellung: Das Gesetz fördert Vorsicht beim Geloben. Es ist besser, kein Gelübde zu tun, als ein Gelübde zu tun und es nicht zu erfüllen (vgl. Pred 5,4: „Besser, du gelobst nicht, als dass du gelobst und nicht erfüllst"). V. 24 wird die Verbindlichkeit gesprochener Versprechen betonen.</w:t>
      </w:r>
    </w:p>
    <w:p w14:paraId="5B1FC1A9" w14:textId="77777777" w:rsidR="00277B46" w:rsidRDefault="00277B46" w:rsidP="00277B46">
      <w:pPr>
        <w:pStyle w:val="whitespace-normal"/>
      </w:pPr>
      <w:r>
        <w:rPr>
          <w:rStyle w:val="Fett"/>
          <w:rFonts w:eastAsiaTheme="majorEastAsia"/>
        </w:rPr>
        <w:t>Die Satzstruktur:</w:t>
      </w:r>
      <w:r>
        <w:t xml:space="preserve"> Alternative Bedingung (und wenn du unterlässt zu geloben, nicht wird sein an dir Sünde).</w:t>
      </w:r>
    </w:p>
    <w:p w14:paraId="1FA32ABF" w14:textId="25200DFB" w:rsidR="00277B46" w:rsidRDefault="00277B46" w:rsidP="00AB12A0">
      <w:pPr>
        <w:pStyle w:val="whitespace-normal"/>
      </w:pPr>
      <w:r>
        <w:rPr>
          <w:rStyle w:val="Fett"/>
          <w:rFonts w:eastAsiaTheme="majorEastAsia"/>
        </w:rPr>
        <w:t>Der Vers beschreibt:</w:t>
      </w:r>
      <w:r>
        <w:t xml:space="preserve"> Es ist keine Sünde, kein Gelübde zu tun – Gelübde sind freiwillig.</w:t>
      </w:r>
    </w:p>
    <w:p w14:paraId="51ABA472" w14:textId="77777777" w:rsidR="00277B46" w:rsidRPr="00B27A64" w:rsidRDefault="00277B46" w:rsidP="00277B46">
      <w:pPr>
        <w:pStyle w:val="berschrift1"/>
        <w:rPr>
          <w:rFonts w:ascii="Times New Roman" w:hAnsi="Times New Roman"/>
          <w:color w:val="auto"/>
          <w:sz w:val="36"/>
          <w:szCs w:val="36"/>
        </w:rPr>
      </w:pPr>
      <w:r w:rsidRPr="00B27A64">
        <w:rPr>
          <w:rStyle w:val="Fett"/>
          <w:rFonts w:ascii="Times New Roman" w:hAnsi="Times New Roman"/>
          <w:color w:val="auto"/>
          <w:sz w:val="36"/>
          <w:szCs w:val="36"/>
        </w:rPr>
        <w:lastRenderedPageBreak/>
        <w:t>Deuteronomium 23,24</w:t>
      </w:r>
    </w:p>
    <w:p w14:paraId="40D0990F" w14:textId="77777777" w:rsidR="00277B46" w:rsidRDefault="00277B46" w:rsidP="00277B46">
      <w:pPr>
        <w:pStyle w:val="whitespace-normal"/>
      </w:pPr>
      <w:r>
        <w:rPr>
          <w:rStyle w:val="Fett"/>
          <w:rFonts w:eastAsiaTheme="majorEastAsia"/>
        </w:rPr>
        <w:t>Hebräisch:</w:t>
      </w:r>
      <w:r>
        <w:t xml:space="preserve"> </w:t>
      </w:r>
      <w:r>
        <w:rPr>
          <w:rtl/>
        </w:rPr>
        <w:t>מוֹצָ֥א שְׂפָתֶ֖יךָ תִּשְׁמֹ֣ר וְעָשִׂ֑יתָ כַּאֲשֶׁ֨ר נָדַ֜רְתָּ לַיהוָ֤ה אֱלֹהֶ֨יךָ֙ נְדָבָ֔ה אֲשֶׁ֥ר דִּבַּ֖רְתָּ בְּפִֽיךָ׃</w:t>
      </w:r>
    </w:p>
    <w:p w14:paraId="1D8CA0A7" w14:textId="77777777" w:rsidR="00277B46" w:rsidRDefault="00277B46" w:rsidP="00277B46">
      <w:pPr>
        <w:pStyle w:val="whitespace-normal"/>
      </w:pPr>
      <w:r>
        <w:rPr>
          <w:rStyle w:val="Fett"/>
          <w:rFonts w:eastAsiaTheme="majorEastAsia"/>
        </w:rPr>
        <w:t>Deutsch:</w:t>
      </w:r>
      <w:r>
        <w:t xml:space="preserve"> Was über deine Lippen gegangen ist, sollst du halten und tun, wie du JHWH, deinem Gott, freiwillig gelobt hast, was du mit deinem Mund ausgesprochen hast.</w:t>
      </w:r>
    </w:p>
    <w:p w14:paraId="36FBF618" w14:textId="77777777" w:rsidR="00277B46" w:rsidRDefault="004F5CEB" w:rsidP="00277B46">
      <w:r>
        <w:rPr>
          <w:noProof/>
        </w:rPr>
        <w:pict w14:anchorId="3AB7706E">
          <v:rect id="_x0000_i1648" style="width:0;height:1.5pt" o:hralign="center" o:hrstd="t" o:hr="t" fillcolor="#a0a0a0" stroked="f"/>
        </w:pict>
      </w:r>
    </w:p>
    <w:p w14:paraId="7B1CBEDF" w14:textId="77777777" w:rsidR="00277B46" w:rsidRDefault="00277B46" w:rsidP="00277B46">
      <w:pPr>
        <w:pStyle w:val="whitespace-normal"/>
      </w:pPr>
      <w:r>
        <w:rPr>
          <w:rStyle w:val="Fett"/>
          <w:rFonts w:eastAsiaTheme="majorEastAsia"/>
        </w:rPr>
        <w:t>Kommentar:</w:t>
      </w:r>
      <w:r>
        <w:t xml:space="preserve"> </w:t>
      </w:r>
      <w:r>
        <w:rPr>
          <w:rStyle w:val="Fett"/>
          <w:rFonts w:eastAsiaTheme="majorEastAsia"/>
          <w:rtl/>
        </w:rPr>
        <w:t>מוֹצָא שְׂפָתֶיךָ תִּשְׁמֹר וְעָשִׂיתָ כַּאֲשֶׁר נָדַרְתָּ לַיהוָה אֱלֹהֶיךָ נְדָבָה אֲשֶׁר דִּבַּרְתָּ בְּפִיךָ</w:t>
      </w:r>
      <w:r>
        <w:rPr>
          <w:rtl/>
        </w:rPr>
        <w:t xml:space="preserve"> </w:t>
      </w:r>
      <w:r>
        <w:t xml:space="preserve">sind zwei Anweisungen: </w:t>
      </w:r>
      <w:r>
        <w:rPr>
          <w:rStyle w:val="Fett"/>
          <w:rFonts w:eastAsiaTheme="majorEastAsia"/>
          <w:rtl/>
        </w:rPr>
        <w:t>מוֹצָא שְׂפָתֶיךָ תִּשְׁמֹר וְעָשִׂיתָ</w:t>
      </w:r>
      <w:r>
        <w:rPr>
          <w:rtl/>
        </w:rPr>
        <w:t xml:space="preserve"> </w:t>
      </w:r>
      <w:r>
        <w:t>(</w:t>
      </w:r>
      <w:r>
        <w:rPr>
          <w:rStyle w:val="Fett"/>
          <w:rFonts w:eastAsiaTheme="majorEastAsia"/>
          <w:rtl/>
        </w:rPr>
        <w:t>מוֹצָא</w:t>
      </w:r>
      <w:r>
        <w:t xml:space="preserve">, „Ausgang, Ausgehendes" (von </w:t>
      </w:r>
      <w:r>
        <w:rPr>
          <w:rStyle w:val="Fett"/>
          <w:rFonts w:eastAsiaTheme="majorEastAsia"/>
          <w:rtl/>
        </w:rPr>
        <w:t>יצא</w:t>
      </w:r>
      <w:r>
        <w:t xml:space="preserve">, „ausgehen"), Construct mit </w:t>
      </w:r>
      <w:r>
        <w:rPr>
          <w:rStyle w:val="Fett"/>
          <w:rFonts w:eastAsiaTheme="majorEastAsia"/>
          <w:rtl/>
        </w:rPr>
        <w:t>שָׂפָה</w:t>
      </w:r>
      <w:r>
        <w:t xml:space="preserve">, „Lippe", Dual Construct mit Suffix 2. Person Maskulinum Singular – „was ausgeht aus deinen Lippen", </w:t>
      </w:r>
      <w:r>
        <w:rPr>
          <w:rStyle w:val="Fett"/>
          <w:rFonts w:eastAsiaTheme="majorEastAsia"/>
          <w:rtl/>
        </w:rPr>
        <w:t>שׁמר</w:t>
      </w:r>
      <w:r>
        <w:t xml:space="preserve">, Qal Imperfekt, 2. Person Maskulinum Singular, „halten, bewahren, beachten", koordiniert durch </w:t>
      </w:r>
      <w:r>
        <w:rPr>
          <w:rStyle w:val="Fett"/>
          <w:rFonts w:eastAsiaTheme="majorEastAsia"/>
          <w:rtl/>
        </w:rPr>
        <w:t>וְ</w:t>
      </w:r>
      <w:r>
        <w:rPr>
          <w:rtl/>
        </w:rPr>
        <w:t xml:space="preserve"> </w:t>
      </w:r>
      <w:r>
        <w:t xml:space="preserve">mit </w:t>
      </w:r>
      <w:r>
        <w:rPr>
          <w:rStyle w:val="Fett"/>
          <w:rFonts w:eastAsiaTheme="majorEastAsia"/>
          <w:rtl/>
        </w:rPr>
        <w:t>עשׂה</w:t>
      </w:r>
      <w:r>
        <w:t xml:space="preserve">, Qal Perfekt, 2. Person Maskulinum Singular, „tun, machen", mit </w:t>
      </w:r>
      <w:r>
        <w:rPr>
          <w:rStyle w:val="Fett"/>
          <w:rFonts w:eastAsiaTheme="majorEastAsia"/>
        </w:rPr>
        <w:t>Waw</w:t>
      </w:r>
      <w:r>
        <w:t xml:space="preserve"> consecutives Perfekt), </w:t>
      </w:r>
      <w:r>
        <w:rPr>
          <w:rStyle w:val="Fett"/>
          <w:rFonts w:eastAsiaTheme="majorEastAsia"/>
          <w:rtl/>
        </w:rPr>
        <w:t>כַּאֲשֶׁר נָדַרְתָּ לַיהוָה אֱלֹהֶיךָ נְדָבָה אֲשֶׁר דִּבַּרְתָּ בְּפִיךָ</w:t>
      </w:r>
      <w:r>
        <w:rPr>
          <w:rtl/>
        </w:rPr>
        <w:t xml:space="preserve"> </w:t>
      </w:r>
      <w:r>
        <w:t xml:space="preserve">(Vergleichssatz: </w:t>
      </w:r>
      <w:r>
        <w:rPr>
          <w:rStyle w:val="Fett"/>
          <w:rFonts w:eastAsiaTheme="majorEastAsia"/>
          <w:rtl/>
        </w:rPr>
        <w:t>כַּאֲשֶׁר</w:t>
      </w:r>
      <w:r>
        <w:t xml:space="preserve">, „wie, gemäß dem, was", </w:t>
      </w:r>
      <w:r>
        <w:rPr>
          <w:rStyle w:val="Fett"/>
          <w:rFonts w:eastAsiaTheme="majorEastAsia"/>
          <w:rtl/>
        </w:rPr>
        <w:t>נדר</w:t>
      </w:r>
      <w:r>
        <w:t xml:space="preserve">, Qal Perfekt, 2. Person Maskulinum Singular, Präposition </w:t>
      </w:r>
      <w:r>
        <w:rPr>
          <w:rStyle w:val="Fett"/>
          <w:rFonts w:eastAsiaTheme="majorEastAsia"/>
          <w:rtl/>
        </w:rPr>
        <w:t>לְ</w:t>
      </w:r>
      <w:r>
        <w:rPr>
          <w:rtl/>
        </w:rPr>
        <w:t xml:space="preserve"> </w:t>
      </w:r>
      <w:r>
        <w:t xml:space="preserve">mit </w:t>
      </w:r>
      <w:r>
        <w:rPr>
          <w:rStyle w:val="Fett"/>
          <w:rFonts w:eastAsiaTheme="majorEastAsia"/>
          <w:rtl/>
        </w:rPr>
        <w:t>יְהוָה אֱלֹהֶיךָ</w:t>
      </w:r>
      <w:r>
        <w:t xml:space="preserve">, </w:t>
      </w:r>
      <w:r>
        <w:rPr>
          <w:rStyle w:val="Fett"/>
          <w:rFonts w:eastAsiaTheme="majorEastAsia"/>
          <w:rtl/>
        </w:rPr>
        <w:t>נְדָבָה</w:t>
      </w:r>
      <w:r>
        <w:t xml:space="preserve">, „freiwillige Gabe, Freiwilligkeit" – Akkusativ der Art und Weise: „freiwillig", Relativsatz: </w:t>
      </w:r>
      <w:r>
        <w:rPr>
          <w:rStyle w:val="Fett"/>
          <w:rFonts w:eastAsiaTheme="majorEastAsia"/>
          <w:rtl/>
        </w:rPr>
        <w:t>אֲשֶׁר דִּבַּרְתָּ בְּפִיךָ</w:t>
      </w:r>
      <w:r>
        <w:rPr>
          <w:rtl/>
        </w:rPr>
        <w:t xml:space="preserve"> </w:t>
      </w:r>
      <w:r>
        <w:t xml:space="preserve">mit </w:t>
      </w:r>
      <w:r>
        <w:rPr>
          <w:rStyle w:val="Fett"/>
          <w:rFonts w:eastAsiaTheme="majorEastAsia"/>
          <w:rtl/>
        </w:rPr>
        <w:t>דבר</w:t>
      </w:r>
      <w:r>
        <w:t xml:space="preserve">, Piel Perfekt, 2. Person Maskulinum Singular, „reden, sprechen", </w:t>
      </w:r>
      <w:r>
        <w:rPr>
          <w:rStyle w:val="Fett"/>
          <w:rFonts w:eastAsiaTheme="majorEastAsia"/>
          <w:rtl/>
        </w:rPr>
        <w:t>בְּפִיךָ</w:t>
      </w:r>
      <w:r>
        <w:t xml:space="preserve">, Präposition </w:t>
      </w:r>
      <w:r>
        <w:rPr>
          <w:rStyle w:val="Fett"/>
          <w:rFonts w:eastAsiaTheme="majorEastAsia"/>
          <w:rtl/>
        </w:rPr>
        <w:t>בְּ</w:t>
      </w:r>
      <w:r>
        <w:rPr>
          <w:rtl/>
        </w:rPr>
        <w:t xml:space="preserve"> </w:t>
      </w:r>
      <w:r>
        <w:t xml:space="preserve">mit </w:t>
      </w:r>
      <w:r>
        <w:rPr>
          <w:rStyle w:val="Fett"/>
          <w:rFonts w:eastAsiaTheme="majorEastAsia"/>
          <w:rtl/>
        </w:rPr>
        <w:t>פֶּה</w:t>
      </w:r>
      <w:r>
        <w:rPr>
          <w:rtl/>
        </w:rPr>
        <w:t xml:space="preserve"> </w:t>
      </w:r>
      <w:r>
        <w:t>mit Suffix 2. Person Maskulinum Singular).</w:t>
      </w:r>
    </w:p>
    <w:p w14:paraId="18D36E25" w14:textId="413948AE" w:rsidR="00277B46" w:rsidRDefault="00277B46" w:rsidP="00277B46">
      <w:pPr>
        <w:pStyle w:val="whitespace-normal"/>
      </w:pPr>
      <w:r>
        <w:t xml:space="preserve">Der Vers fasst das Thema Gelübde zusammen und betont die absolute Verbindlichkeit gesprochener Versprechen. Die erste Anweisung: </w:t>
      </w:r>
      <w:r>
        <w:rPr>
          <w:rStyle w:val="Fett"/>
          <w:rFonts w:eastAsiaTheme="majorEastAsia"/>
          <w:rtl/>
        </w:rPr>
        <w:t>מוֹצָא שְׂפָתֶיךָ תִּשְׁמֹר</w:t>
      </w:r>
      <w:r>
        <w:rPr>
          <w:rtl/>
        </w:rPr>
        <w:t xml:space="preserve"> </w:t>
      </w:r>
      <w:r>
        <w:t xml:space="preserve">(„was ausgeht aus deinen Lippen, sollst du halten"). Die Formulierung </w:t>
      </w:r>
      <w:r>
        <w:rPr>
          <w:rStyle w:val="Fett"/>
          <w:rFonts w:eastAsiaTheme="majorEastAsia"/>
          <w:rtl/>
        </w:rPr>
        <w:t>מוֹצָא שְׂפָתֶיךָ</w:t>
      </w:r>
      <w:r>
        <w:rPr>
          <w:rtl/>
        </w:rPr>
        <w:t xml:space="preserve"> </w:t>
      </w:r>
      <w:r>
        <w:t xml:space="preserve">(„Ausgehendes deiner Lippen") ist poetisch und bezeichnet alles, was man verbal verspricht. Das Verb </w:t>
      </w:r>
      <w:r>
        <w:rPr>
          <w:rStyle w:val="Fett"/>
          <w:rFonts w:eastAsiaTheme="majorEastAsia"/>
          <w:rtl/>
        </w:rPr>
        <w:t>שׁמר</w:t>
      </w:r>
      <w:r>
        <w:rPr>
          <w:rtl/>
        </w:rPr>
        <w:t xml:space="preserve"> </w:t>
      </w:r>
      <w:r>
        <w:t xml:space="preserve">(„halten, bewahren, beachten") – man muss sein Wort halten. Die zweite Anweisung: </w:t>
      </w:r>
      <w:r>
        <w:rPr>
          <w:rStyle w:val="Fett"/>
          <w:rFonts w:eastAsiaTheme="majorEastAsia"/>
          <w:rtl/>
        </w:rPr>
        <w:t>וְעָשִׂיתָ כַּאֲשֶׁר נָדַרְתָּ לַיהוָה אֱלֹהֶיךָ נְדָבָה אֲשֶׁר דִּבַּרְתָּ בְּפִיךָ</w:t>
      </w:r>
      <w:r>
        <w:rPr>
          <w:rtl/>
        </w:rPr>
        <w:t xml:space="preserve"> </w:t>
      </w:r>
      <w:r>
        <w:t xml:space="preserve">(„und tun sollst du, wie du gelobt hast JHWH, deinem Gott, freiwillig, was du geredet hast mit deinem Mund"). Die Vergleichspartikel </w:t>
      </w:r>
      <w:r>
        <w:rPr>
          <w:rStyle w:val="Fett"/>
          <w:rFonts w:eastAsiaTheme="majorEastAsia"/>
          <w:rtl/>
        </w:rPr>
        <w:t>כַּאֲשֶׁר</w:t>
      </w:r>
      <w:r>
        <w:rPr>
          <w:rtl/>
        </w:rPr>
        <w:t xml:space="preserve"> </w:t>
      </w:r>
      <w:r>
        <w:t xml:space="preserve">(„wie, gemäß dem") betont: genau so, wie man es gelobt hat. Das Wort </w:t>
      </w:r>
      <w:r>
        <w:rPr>
          <w:rStyle w:val="Fett"/>
          <w:rFonts w:eastAsiaTheme="majorEastAsia"/>
          <w:rtl/>
        </w:rPr>
        <w:t>נְדָבָה</w:t>
      </w:r>
      <w:r>
        <w:rPr>
          <w:rtl/>
        </w:rPr>
        <w:t xml:space="preserve"> </w:t>
      </w:r>
      <w:r>
        <w:t xml:space="preserve">(„Freiwilligkeit, freiwillige Gabe") als Akkusativ der Art und Weise: „freiwillig, aus freien Stücken" – betont nochmals: Gelübde sind freiwillig (vgl. V. 23), aber wenn man sie einmal getan hat, sind sie verpflichtend. Der Relativsatz </w:t>
      </w:r>
      <w:r>
        <w:rPr>
          <w:rStyle w:val="Fett"/>
          <w:rFonts w:eastAsiaTheme="majorEastAsia"/>
          <w:rtl/>
        </w:rPr>
        <w:t>אֲשֶׁר דִּבַּרְתָּ בְּפִיךָ</w:t>
      </w:r>
      <w:r>
        <w:rPr>
          <w:rtl/>
        </w:rPr>
        <w:t xml:space="preserve"> </w:t>
      </w:r>
      <w:r>
        <w:t xml:space="preserve">(„was du geredet hast mit deinem Mund") verstärkt: Was man mit dem eigenen Mund ausspricht, bindet einen. Die Formulierung </w:t>
      </w:r>
      <w:r>
        <w:rPr>
          <w:rStyle w:val="Fett"/>
          <w:rFonts w:eastAsiaTheme="majorEastAsia"/>
          <w:rtl/>
        </w:rPr>
        <w:t>בְּפִיךָ</w:t>
      </w:r>
      <w:r>
        <w:rPr>
          <w:rtl/>
        </w:rPr>
        <w:t xml:space="preserve"> </w:t>
      </w:r>
      <w:r>
        <w:t xml:space="preserve">(„mit deinem Mund") betont die persönliche Verantwortung. Die Grundprinzipien: (1) Gelübde sind freiwillig (V. 23). (2) Aber einmal ausgesprochen, sind sie absolut verbindlich (V. 22.24). (3) Gesprochene Worte haben Gewicht und verpflichten. Vgl. Num 30,3: </w:t>
      </w:r>
      <w:r>
        <w:rPr>
          <w:rStyle w:val="Fett"/>
          <w:rFonts w:eastAsiaTheme="majorEastAsia"/>
          <w:rtl/>
        </w:rPr>
        <w:t>לֹא יַחֵל דְּבָרוֹ</w:t>
      </w:r>
      <w:r>
        <w:t>, „er soll sein Wort nicht entweihen/brechen".</w:t>
      </w:r>
    </w:p>
    <w:p w14:paraId="6DBE562B" w14:textId="77777777" w:rsidR="00F0029F" w:rsidRPr="00F0029F" w:rsidRDefault="00F0029F" w:rsidP="00F0029F">
      <w:pPr>
        <w:spacing w:before="100" w:beforeAutospacing="1" w:after="100" w:afterAutospacing="1" w:line="240" w:lineRule="auto"/>
        <w:outlineLvl w:val="1"/>
        <w:rPr>
          <w:rFonts w:eastAsia="Times New Roman"/>
          <w:b/>
          <w:bCs/>
          <w:sz w:val="36"/>
          <w:szCs w:val="36"/>
          <w:lang w:eastAsia="de-DE"/>
        </w:rPr>
      </w:pPr>
      <w:r w:rsidRPr="00F0029F">
        <w:rPr>
          <w:rFonts w:eastAsia="Times New Roman"/>
          <w:b/>
          <w:bCs/>
          <w:sz w:val="36"/>
          <w:szCs w:val="36"/>
          <w:lang w:eastAsia="de-DE"/>
        </w:rPr>
        <w:t>Vers 24 (MT 23,24) / Vers 23 (LXX 23,23)</w:t>
      </w:r>
    </w:p>
    <w:p w14:paraId="4DA623F6" w14:textId="01DEDBC7" w:rsidR="00F0029F" w:rsidRPr="00F0029F" w:rsidRDefault="00F0029F" w:rsidP="00F0029F">
      <w:pPr>
        <w:spacing w:before="100" w:beforeAutospacing="1" w:after="100" w:afterAutospacing="1" w:line="240" w:lineRule="auto"/>
        <w:rPr>
          <w:rFonts w:eastAsia="Times New Roman"/>
          <w:lang w:eastAsia="de-DE"/>
        </w:rPr>
      </w:pPr>
      <w:r w:rsidRPr="00F0029F">
        <w:rPr>
          <w:rFonts w:eastAsia="Times New Roman"/>
          <w:b/>
          <w:bCs/>
          <w:lang w:eastAsia="de-DE"/>
        </w:rPr>
        <w:t>Die LXX</w:t>
      </w:r>
      <w:r w:rsidRPr="00F0029F">
        <w:rPr>
          <w:rFonts w:eastAsia="Times New Roman"/>
          <w:lang w:eastAsia="de-DE"/>
        </w:rPr>
        <w:t xml:space="preserve"> übersetzt </w:t>
      </w:r>
      <w:r w:rsidRPr="00F0029F">
        <w:rPr>
          <w:rFonts w:eastAsia="Times New Roman"/>
          <w:rtl/>
          <w:lang w:eastAsia="de-DE"/>
        </w:rPr>
        <w:t>נְדָבָה</w:t>
      </w:r>
      <w:r w:rsidRPr="00F0029F">
        <w:rPr>
          <w:rFonts w:eastAsia="Times New Roman"/>
          <w:lang w:eastAsia="de-DE"/>
        </w:rPr>
        <w:t xml:space="preserve"> (freiwillige Gabe) mit </w:t>
      </w:r>
      <w:proofErr w:type="spellStart"/>
      <w:r w:rsidRPr="00F0029F">
        <w:rPr>
          <w:rFonts w:eastAsia="Times New Roman"/>
          <w:lang w:eastAsia="de-DE"/>
        </w:rPr>
        <w:t>δόμ</w:t>
      </w:r>
      <w:proofErr w:type="spellEnd"/>
      <w:r w:rsidRPr="00F0029F">
        <w:rPr>
          <w:rFonts w:eastAsia="Times New Roman"/>
          <w:lang w:eastAsia="de-DE"/>
        </w:rPr>
        <w:t>α (Gabe) – ein allgemeinerer Begriff.</w:t>
      </w:r>
      <w:r>
        <w:rPr>
          <w:rFonts w:eastAsia="Times New Roman"/>
          <w:lang w:eastAsia="de-DE"/>
        </w:rPr>
        <w:t xml:space="preserve"> </w:t>
      </w:r>
    </w:p>
    <w:p w14:paraId="0235421C" w14:textId="77777777" w:rsidR="00277B46" w:rsidRDefault="00277B46" w:rsidP="00277B46">
      <w:pPr>
        <w:pStyle w:val="whitespace-normal"/>
      </w:pPr>
      <w:r>
        <w:rPr>
          <w:rStyle w:val="Fett"/>
          <w:rFonts w:eastAsiaTheme="majorEastAsia"/>
        </w:rPr>
        <w:t>Die Satzstruktur:</w:t>
      </w:r>
      <w:r>
        <w:t xml:space="preserve"> Zwei koordinierte Anweisungen (was ausgeht aus deinen Lippen, halten sollst du und tun, wie du gelobt hast JHWH, deinem Gott, freiwillig, was du geredet hast mit deinem Mund).</w:t>
      </w:r>
    </w:p>
    <w:p w14:paraId="3C6A6525" w14:textId="7B20FB3F" w:rsidR="00277B46" w:rsidRDefault="00277B46" w:rsidP="00AB12A0">
      <w:pPr>
        <w:pStyle w:val="whitespace-normal"/>
      </w:pPr>
      <w:r>
        <w:rPr>
          <w:rStyle w:val="Fett"/>
          <w:rFonts w:eastAsiaTheme="majorEastAsia"/>
        </w:rPr>
        <w:lastRenderedPageBreak/>
        <w:t>Der Vers beschreibt:</w:t>
      </w:r>
      <w:r>
        <w:t xml:space="preserve"> Was man gelobt hat, muss man halten und tun – gesprochene Versprechen an JHWH sind absolut verbindlich.</w:t>
      </w:r>
    </w:p>
    <w:p w14:paraId="58B716E1" w14:textId="77777777" w:rsidR="00277B46" w:rsidRPr="00B27A64" w:rsidRDefault="00277B46" w:rsidP="00277B46">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23,25</w:t>
      </w:r>
    </w:p>
    <w:p w14:paraId="02F598CC" w14:textId="77777777" w:rsidR="00277B46" w:rsidRDefault="00277B46" w:rsidP="00277B46">
      <w:pPr>
        <w:pStyle w:val="whitespace-normal"/>
      </w:pPr>
      <w:r>
        <w:rPr>
          <w:rStyle w:val="Fett"/>
          <w:rFonts w:eastAsiaTheme="majorEastAsia"/>
        </w:rPr>
        <w:t>Hebräisch:</w:t>
      </w:r>
      <w:r>
        <w:t xml:space="preserve"> </w:t>
      </w:r>
      <w:r>
        <w:rPr>
          <w:rtl/>
        </w:rPr>
        <w:t>כִּ֤י תָבֹא֙ בְּכֶ֣רֶם רֵעֶ֔ךָ וְאָכַלְתָּ֧ עֲנָבִ֛ים כְּנַפְשְׁךָ֖ שָׂבְעֶ֑ךָ וְאֶֽל־כֶּלְיְךָ֖ לֹ֥א תִתֵּֽן׃</w:t>
      </w:r>
    </w:p>
    <w:p w14:paraId="22F38288" w14:textId="77777777" w:rsidR="00277B46" w:rsidRDefault="00277B46" w:rsidP="00277B46">
      <w:pPr>
        <w:pStyle w:val="whitespace-normal"/>
      </w:pPr>
      <w:r>
        <w:rPr>
          <w:rStyle w:val="Fett"/>
          <w:rFonts w:eastAsiaTheme="majorEastAsia"/>
        </w:rPr>
        <w:t>Deutsch:</w:t>
      </w:r>
      <w:r>
        <w:t xml:space="preserve"> Wenn du in den Weinberg deines Nächsten kommst, so darfst du Trauben essen nach deinem Belieben, bis du satt bist; aber in dein Gefäß sollst du nichts tun.</w:t>
      </w:r>
    </w:p>
    <w:p w14:paraId="72E36CA1" w14:textId="77777777" w:rsidR="00277B46" w:rsidRDefault="004F5CEB" w:rsidP="00277B46">
      <w:r>
        <w:rPr>
          <w:noProof/>
        </w:rPr>
        <w:pict w14:anchorId="6425FDCD">
          <v:rect id="_x0000_i1649" style="width:0;height:1.5pt" o:hralign="center" o:hrstd="t" o:hr="t" fillcolor="#a0a0a0" stroked="f"/>
        </w:pict>
      </w:r>
    </w:p>
    <w:p w14:paraId="19CB4970" w14:textId="77777777" w:rsidR="00277B46" w:rsidRDefault="00277B46" w:rsidP="00277B46">
      <w:pPr>
        <w:pStyle w:val="whitespace-normal"/>
      </w:pPr>
      <w:r>
        <w:rPr>
          <w:rStyle w:val="Fett"/>
          <w:rFonts w:eastAsiaTheme="majorEastAsia"/>
        </w:rPr>
        <w:t>Kommentar:</w:t>
      </w:r>
      <w:r>
        <w:t xml:space="preserve"> </w:t>
      </w:r>
      <w:r>
        <w:rPr>
          <w:rStyle w:val="Fett"/>
          <w:rFonts w:eastAsiaTheme="majorEastAsia"/>
          <w:rtl/>
        </w:rPr>
        <w:t>כִּי תָבֹא בְּכֶרֶם רֵעֶךָ וְאָכַלְתָּ עֲנָבִים כְּנַפְשְׁךָ שָׂבְעֶךָ וְאֶל־כֶּלְיְךָ לֹא תִתֵּן</w:t>
      </w:r>
      <w:r>
        <w:rPr>
          <w:rtl/>
        </w:rPr>
        <w:t xml:space="preserve"> </w:t>
      </w:r>
      <w:r>
        <w:t xml:space="preserve">ist eine Bedingung mit zwei Anweisungen: </w:t>
      </w:r>
      <w:r>
        <w:rPr>
          <w:rStyle w:val="Fett"/>
          <w:rFonts w:eastAsiaTheme="majorEastAsia"/>
          <w:rtl/>
        </w:rPr>
        <w:t>כִּי תָבֹא בְּכֶרֶם רֵעֶךָ</w:t>
      </w:r>
      <w:r>
        <w:rPr>
          <w:rtl/>
        </w:rPr>
        <w:t xml:space="preserve"> </w:t>
      </w:r>
      <w:r>
        <w:t>(</w:t>
      </w:r>
      <w:r>
        <w:rPr>
          <w:rStyle w:val="Fett"/>
          <w:rFonts w:eastAsiaTheme="majorEastAsia"/>
          <w:rtl/>
        </w:rPr>
        <w:t>כִּי</w:t>
      </w:r>
      <w:r>
        <w:t xml:space="preserve">, „wenn", mit </w:t>
      </w:r>
      <w:r>
        <w:rPr>
          <w:rStyle w:val="Fett"/>
          <w:rFonts w:eastAsiaTheme="majorEastAsia"/>
          <w:rtl/>
        </w:rPr>
        <w:t>בוא</w:t>
      </w:r>
      <w:r>
        <w:t xml:space="preserve">, Qal Imperfekt, 2. Person Maskulinum Singular, </w:t>
      </w:r>
      <w:r>
        <w:rPr>
          <w:rStyle w:val="Fett"/>
          <w:rFonts w:eastAsiaTheme="majorEastAsia"/>
          <w:rtl/>
        </w:rPr>
        <w:t>בְּכֶרֶם רֵעֶךָ</w:t>
      </w:r>
      <w:r>
        <w:t xml:space="preserve">, Präposition </w:t>
      </w:r>
      <w:r>
        <w:rPr>
          <w:rStyle w:val="Fett"/>
          <w:rFonts w:eastAsiaTheme="majorEastAsia"/>
          <w:rtl/>
        </w:rPr>
        <w:t>בְּ</w:t>
      </w:r>
      <w:r>
        <w:rPr>
          <w:rtl/>
        </w:rPr>
        <w:t xml:space="preserve"> </w:t>
      </w:r>
      <w:r>
        <w:t xml:space="preserve">mit </w:t>
      </w:r>
      <w:r>
        <w:rPr>
          <w:rStyle w:val="Fett"/>
          <w:rFonts w:eastAsiaTheme="majorEastAsia"/>
          <w:rtl/>
        </w:rPr>
        <w:t>כֶּרֶם</w:t>
      </w:r>
      <w:r>
        <w:t xml:space="preserve">, „Weinberg", Construct mit </w:t>
      </w:r>
      <w:r>
        <w:rPr>
          <w:rStyle w:val="Fett"/>
          <w:rFonts w:eastAsiaTheme="majorEastAsia"/>
          <w:rtl/>
        </w:rPr>
        <w:t>רֵעַ</w:t>
      </w:r>
      <w:r>
        <w:t xml:space="preserve">, „Nächster, Genosse", mit Suffix 2. Person Maskulinum Singular), </w:t>
      </w:r>
      <w:r>
        <w:rPr>
          <w:rStyle w:val="Fett"/>
          <w:rFonts w:eastAsiaTheme="majorEastAsia"/>
          <w:rtl/>
        </w:rPr>
        <w:t>וְאָכַלְתָּ עֲנָבִים כְּנַפְשְׁךָ שָׂבְעֶךָ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אכל</w:t>
      </w:r>
      <w:r>
        <w:t xml:space="preserve">, Qal Perfekt, 2. Person Maskulinum Singular, „essen", </w:t>
      </w:r>
      <w:r>
        <w:rPr>
          <w:rStyle w:val="Fett"/>
          <w:rFonts w:eastAsiaTheme="majorEastAsia"/>
          <w:rtl/>
        </w:rPr>
        <w:t>עֵנָב</w:t>
      </w:r>
      <w:r>
        <w:t xml:space="preserve">, „Weintraube", Plural, </w:t>
      </w:r>
      <w:r>
        <w:rPr>
          <w:rStyle w:val="Fett"/>
          <w:rFonts w:eastAsiaTheme="majorEastAsia"/>
          <w:rtl/>
        </w:rPr>
        <w:t>כְּנַפְשְׁךָ</w:t>
      </w:r>
      <w:r>
        <w:t xml:space="preserve">, Präposition </w:t>
      </w:r>
      <w:r>
        <w:rPr>
          <w:rStyle w:val="Fett"/>
          <w:rFonts w:eastAsiaTheme="majorEastAsia"/>
          <w:rtl/>
        </w:rPr>
        <w:t>כְּ</w:t>
      </w:r>
      <w:r>
        <w:rPr>
          <w:rtl/>
        </w:rPr>
        <w:t xml:space="preserve"> </w:t>
      </w:r>
      <w:r>
        <w:t xml:space="preserve">mit </w:t>
      </w:r>
      <w:r>
        <w:rPr>
          <w:rStyle w:val="Fett"/>
          <w:rFonts w:eastAsiaTheme="majorEastAsia"/>
          <w:rtl/>
        </w:rPr>
        <w:t>נֶפֶשׁ</w:t>
      </w:r>
      <w:r>
        <w:rPr>
          <w:rtl/>
        </w:rPr>
        <w:t xml:space="preserve"> </w:t>
      </w:r>
      <w:r>
        <w:t xml:space="preserve">mit Suffix 2. Person Maskulinum Singular – „nach deiner Seele, nach deinem Belieben, nach deinem Appetit", </w:t>
      </w:r>
      <w:r>
        <w:rPr>
          <w:rStyle w:val="Fett"/>
          <w:rFonts w:eastAsiaTheme="majorEastAsia"/>
          <w:rtl/>
        </w:rPr>
        <w:t>שָׂבְעֶךָ</w:t>
      </w:r>
      <w:r>
        <w:t xml:space="preserve">, „deine Sättigung" – Akkusativ der Begrenzung oder Infinitiv Construct von </w:t>
      </w:r>
      <w:r>
        <w:rPr>
          <w:rStyle w:val="Fett"/>
          <w:rFonts w:eastAsiaTheme="majorEastAsia"/>
          <w:rtl/>
        </w:rPr>
        <w:t>שׂבע</w:t>
      </w:r>
      <w:r>
        <w:t xml:space="preserve">, „satt werden", mit Suffix 2. Person Maskulinum Singular, mit </w:t>
      </w:r>
      <w:r>
        <w:rPr>
          <w:rStyle w:val="Fett"/>
          <w:rFonts w:eastAsiaTheme="majorEastAsia"/>
        </w:rPr>
        <w:t>Waw</w:t>
      </w:r>
      <w:r>
        <w:t xml:space="preserve"> consecutives Perfekt), </w:t>
      </w:r>
      <w:r>
        <w:rPr>
          <w:rStyle w:val="Fett"/>
          <w:rFonts w:eastAsiaTheme="majorEastAsia"/>
          <w:rtl/>
        </w:rPr>
        <w:t>וְאֶל־כֶּלְיְךָ לֹא תִתֵּן</w:t>
      </w:r>
      <w:r>
        <w:rPr>
          <w:rtl/>
        </w:rPr>
        <w:t xml:space="preserve"> </w:t>
      </w:r>
      <w:r>
        <w:t xml:space="preserve">(koordiniert durch </w:t>
      </w:r>
      <w:r>
        <w:rPr>
          <w:rStyle w:val="Fett"/>
          <w:rFonts w:eastAsiaTheme="majorEastAsia"/>
          <w:rtl/>
        </w:rPr>
        <w:t>וְ</w:t>
      </w:r>
      <w:r>
        <w:rPr>
          <w:rtl/>
        </w:rPr>
        <w:t xml:space="preserve"> </w:t>
      </w:r>
      <w:r>
        <w:t xml:space="preserve">mit Präposition </w:t>
      </w:r>
      <w:r>
        <w:rPr>
          <w:rStyle w:val="Fett"/>
          <w:rFonts w:eastAsiaTheme="majorEastAsia"/>
          <w:rtl/>
        </w:rPr>
        <w:t>אֶל</w:t>
      </w:r>
      <w:r>
        <w:rPr>
          <w:rtl/>
        </w:rPr>
        <w:t xml:space="preserve"> </w:t>
      </w:r>
      <w:r>
        <w:t xml:space="preserve">mit </w:t>
      </w:r>
      <w:r>
        <w:rPr>
          <w:rStyle w:val="Fett"/>
          <w:rFonts w:eastAsiaTheme="majorEastAsia"/>
          <w:rtl/>
        </w:rPr>
        <w:t>כְּלִי</w:t>
      </w:r>
      <w:r>
        <w:t xml:space="preserve">, „Gefäß, Gerät", mit Suffix 2. Person Maskulinum Singular, Negation mit </w:t>
      </w:r>
      <w:r>
        <w:rPr>
          <w:rStyle w:val="Fett"/>
          <w:rFonts w:eastAsiaTheme="majorEastAsia"/>
          <w:rtl/>
        </w:rPr>
        <w:t>נתן</w:t>
      </w:r>
      <w:r>
        <w:t>, Qal Imperfekt, 2. Person Maskulinum Singular).</w:t>
      </w:r>
    </w:p>
    <w:p w14:paraId="26CD055C" w14:textId="4350B3A1" w:rsidR="00277B46" w:rsidRDefault="00277B46" w:rsidP="00277B46">
      <w:pPr>
        <w:pStyle w:val="whitespace-normal"/>
      </w:pPr>
      <w:r>
        <w:t xml:space="preserve">Der Vers leitet einen neuen Abschnitt ein: Rechte von Durchreisenden auf fremdem Feld (V. 25-26). Die Bedingung: </w:t>
      </w:r>
      <w:r>
        <w:rPr>
          <w:rStyle w:val="Fett"/>
          <w:rFonts w:eastAsiaTheme="majorEastAsia"/>
          <w:rtl/>
        </w:rPr>
        <w:t>כִּי תָבֹא בְּכֶרֶם רֵעֶךָ</w:t>
      </w:r>
      <w:r>
        <w:rPr>
          <w:rtl/>
        </w:rPr>
        <w:t xml:space="preserve"> </w:t>
      </w:r>
      <w:r>
        <w:t xml:space="preserve">(„wenn du kommst in den Weinberg deines Nächsten"). Das Wort </w:t>
      </w:r>
      <w:r>
        <w:rPr>
          <w:rStyle w:val="Fett"/>
          <w:rFonts w:eastAsiaTheme="majorEastAsia"/>
          <w:rtl/>
        </w:rPr>
        <w:t>רֵעַ</w:t>
      </w:r>
      <w:r>
        <w:rPr>
          <w:rtl/>
        </w:rPr>
        <w:t xml:space="preserve"> </w:t>
      </w:r>
      <w:r>
        <w:t xml:space="preserve">(„Nächster, Genosse") bezeichnet hier den Mitisraeliten, Landsmann. Die erste Erlaubnis: </w:t>
      </w:r>
      <w:r>
        <w:rPr>
          <w:rStyle w:val="Fett"/>
          <w:rFonts w:eastAsiaTheme="majorEastAsia"/>
          <w:rtl/>
        </w:rPr>
        <w:t>וְאָכַלְתָּ עֲנָבִים כְּנַפְשְׁךָ שָׂבְעֶךָ</w:t>
      </w:r>
      <w:r>
        <w:rPr>
          <w:rtl/>
        </w:rPr>
        <w:t xml:space="preserve"> </w:t>
      </w:r>
      <w:r>
        <w:t xml:space="preserve">(„essen darfst du Trauben nach deiner Seele, deine Sättigung"). Die Formulierung </w:t>
      </w:r>
      <w:r>
        <w:rPr>
          <w:rStyle w:val="Fett"/>
          <w:rFonts w:eastAsiaTheme="majorEastAsia"/>
          <w:rtl/>
        </w:rPr>
        <w:t>כְּנַפְשְׁךָ</w:t>
      </w:r>
      <w:r>
        <w:rPr>
          <w:rtl/>
        </w:rPr>
        <w:t xml:space="preserve"> </w:t>
      </w:r>
      <w:r>
        <w:t xml:space="preserve">(„nach deiner Seele, nach deinem Belieben") – so viel man möchte. Das Wort </w:t>
      </w:r>
      <w:r>
        <w:rPr>
          <w:rStyle w:val="Fett"/>
          <w:rFonts w:eastAsiaTheme="majorEastAsia"/>
          <w:rtl/>
        </w:rPr>
        <w:t>שָׂבְעֶךָ</w:t>
      </w:r>
      <w:r>
        <w:rPr>
          <w:rtl/>
        </w:rPr>
        <w:t xml:space="preserve"> </w:t>
      </w:r>
      <w:r>
        <w:t xml:space="preserve">(„deine Sättigung") kann sein: (1) Akkusativ der Begrenzung: „bis zu deiner Sättigung" = bis man satt ist; (2) Infinitiv Construct mit Suffix: „dein Sattsein". Beide Deutungen führen zur gleichen Bedeutung: man darf so viele Trauben essen, bis man satt ist. Das Verbot: </w:t>
      </w:r>
      <w:r>
        <w:rPr>
          <w:rStyle w:val="Fett"/>
          <w:rFonts w:eastAsiaTheme="majorEastAsia"/>
          <w:rtl/>
        </w:rPr>
        <w:t>וְאֶל־כֶּלְיְךָ לֹא תִתֵּן</w:t>
      </w:r>
      <w:r>
        <w:rPr>
          <w:rtl/>
        </w:rPr>
        <w:t xml:space="preserve"> </w:t>
      </w:r>
      <w:r>
        <w:t xml:space="preserve">(„aber in dein Gefäß sollst du nicht geben/tun"). Das Wort </w:t>
      </w:r>
      <w:r>
        <w:rPr>
          <w:rStyle w:val="Fett"/>
          <w:rFonts w:eastAsiaTheme="majorEastAsia"/>
          <w:rtl/>
        </w:rPr>
        <w:t>כְּלִי</w:t>
      </w:r>
      <w:r>
        <w:rPr>
          <w:rtl/>
        </w:rPr>
        <w:t xml:space="preserve"> </w:t>
      </w:r>
      <w:r>
        <w:t>(„Gefäß, Gerät, Behälter") – man darf keine Trauben mitnehmen, sammeln, einpacken. Die Ratio: Gastfreundschaft und soziale Solidarität – Durchreisende oder Arbeiter dürfen ihren Hunger stillen, aber nicht kommerziell profitieren oder Vorräte anlegen. Dies ist ein Ausdruck praktischer Nächstenliebe, der gleichzeitig das Eigentumsrecht schützt. V. 26 gibt eine parallele Regel für Getreidefelder.</w:t>
      </w:r>
    </w:p>
    <w:p w14:paraId="3053C549" w14:textId="77777777" w:rsidR="00F0029F" w:rsidRPr="00F0029F" w:rsidRDefault="00F0029F" w:rsidP="00F0029F">
      <w:pPr>
        <w:spacing w:before="100" w:beforeAutospacing="1" w:after="100" w:afterAutospacing="1" w:line="240" w:lineRule="auto"/>
        <w:outlineLvl w:val="1"/>
        <w:rPr>
          <w:rFonts w:eastAsia="Times New Roman"/>
          <w:b/>
          <w:bCs/>
          <w:sz w:val="36"/>
          <w:szCs w:val="36"/>
          <w:lang w:eastAsia="de-DE"/>
        </w:rPr>
      </w:pPr>
      <w:r w:rsidRPr="00F0029F">
        <w:rPr>
          <w:rFonts w:eastAsia="Times New Roman"/>
          <w:b/>
          <w:bCs/>
          <w:sz w:val="36"/>
          <w:szCs w:val="36"/>
          <w:lang w:eastAsia="de-DE"/>
        </w:rPr>
        <w:t>Vers 25-26 (MT) / Vers 24-25 (LXX)</w:t>
      </w:r>
    </w:p>
    <w:p w14:paraId="667F3426" w14:textId="77777777" w:rsidR="00F0029F" w:rsidRDefault="00F0029F" w:rsidP="00F0029F">
      <w:pPr>
        <w:pStyle w:val="font-claude-response-body"/>
      </w:pPr>
      <w:r w:rsidRPr="00F0029F">
        <w:rPr>
          <w:b/>
          <w:bCs/>
        </w:rPr>
        <w:t>Die LXX</w:t>
      </w:r>
      <w:r w:rsidRPr="00F0029F">
        <w:t xml:space="preserve"> vertauscht die Reihenfolge dieser beiden Verse: Der Weinberg (MT 25) kommt in LXX 25, das Kornfeld (MT 26) in LXX 24.</w:t>
      </w:r>
      <w:r>
        <w:t xml:space="preserve"> </w:t>
      </w:r>
    </w:p>
    <w:p w14:paraId="579F61E8" w14:textId="374B8021" w:rsidR="00F0029F" w:rsidRDefault="00F0029F" w:rsidP="00F0029F">
      <w:pPr>
        <w:pStyle w:val="font-claude-response-body"/>
      </w:pPr>
      <w:r>
        <w:rPr>
          <w:rStyle w:val="Fett"/>
          <w:rFonts w:eastAsiaTheme="majorEastAsia"/>
        </w:rPr>
        <w:t>LXX Vers 24</w:t>
      </w:r>
      <w:r>
        <w:t xml:space="preserve"> übersetzt </w:t>
      </w:r>
      <w:r>
        <w:rPr>
          <w:rtl/>
        </w:rPr>
        <w:t>וְקָטַפְתָּ מְלִילֹת בְּיָדֶךָ</w:t>
      </w:r>
      <w:r>
        <w:t xml:space="preserve"> (und du darfst Ähren mit deiner Hand pflücken) mit καὶ </w:t>
      </w:r>
      <w:proofErr w:type="spellStart"/>
      <w:r>
        <w:t>συλλέξεις</w:t>
      </w:r>
      <w:proofErr w:type="spellEnd"/>
      <w:r>
        <w:t xml:space="preserve"> </w:t>
      </w:r>
      <w:proofErr w:type="spellStart"/>
      <w:r>
        <w:t>ἐν</w:t>
      </w:r>
      <w:proofErr w:type="spellEnd"/>
      <w:r>
        <w:t xml:space="preserve"> τα</w:t>
      </w:r>
      <w:proofErr w:type="spellStart"/>
      <w:r>
        <w:t>ῖς</w:t>
      </w:r>
      <w:proofErr w:type="spellEnd"/>
      <w:r>
        <w:t xml:space="preserve"> </w:t>
      </w:r>
      <w:proofErr w:type="spellStart"/>
      <w:r>
        <w:t>χερσίν</w:t>
      </w:r>
      <w:proofErr w:type="spellEnd"/>
      <w:r>
        <w:t xml:space="preserve"> </w:t>
      </w:r>
      <w:proofErr w:type="spellStart"/>
      <w:r>
        <w:t>σου</w:t>
      </w:r>
      <w:proofErr w:type="spellEnd"/>
      <w:r>
        <w:t xml:space="preserve"> </w:t>
      </w:r>
      <w:proofErr w:type="spellStart"/>
      <w:r>
        <w:t>στάχυς</w:t>
      </w:r>
      <w:proofErr w:type="spellEnd"/>
      <w:r>
        <w:t xml:space="preserve"> (und du wirst in deinen Händen Ähren sammeln).</w:t>
      </w:r>
    </w:p>
    <w:p w14:paraId="0A0804A1" w14:textId="3A3A23C7" w:rsidR="00F0029F" w:rsidRPr="00F0029F" w:rsidRDefault="00F0029F" w:rsidP="00F0029F">
      <w:pPr>
        <w:pStyle w:val="font-claude-response-body"/>
      </w:pPr>
      <w:r>
        <w:rPr>
          <w:rStyle w:val="Fett"/>
          <w:rFonts w:eastAsiaTheme="majorEastAsia"/>
        </w:rPr>
        <w:lastRenderedPageBreak/>
        <w:t>LXX Vers 25</w:t>
      </w:r>
      <w:r>
        <w:t xml:space="preserve"> übersetzt </w:t>
      </w:r>
      <w:r>
        <w:rPr>
          <w:rtl/>
        </w:rPr>
        <w:t>כְּנַפְשְׁךָ שָׂבְעֶךָ</w:t>
      </w:r>
      <w:r>
        <w:t xml:space="preserve"> (nach deinem Verlangen zu deiner Sättigung) mit </w:t>
      </w:r>
      <w:proofErr w:type="spellStart"/>
      <w:r>
        <w:t>ὅσον</w:t>
      </w:r>
      <w:proofErr w:type="spellEnd"/>
      <w:r>
        <w:t xml:space="preserve"> </w:t>
      </w:r>
      <w:proofErr w:type="spellStart"/>
      <w:r>
        <w:t>ψυχήν</w:t>
      </w:r>
      <w:proofErr w:type="spellEnd"/>
      <w:r>
        <w:t xml:space="preserve"> </w:t>
      </w:r>
      <w:proofErr w:type="spellStart"/>
      <w:r>
        <w:t>σου</w:t>
      </w:r>
      <w:proofErr w:type="spellEnd"/>
      <w:r>
        <w:t xml:space="preserve"> </w:t>
      </w:r>
      <w:proofErr w:type="spellStart"/>
      <w:r>
        <w:t>ἐμ</w:t>
      </w:r>
      <w:proofErr w:type="spellEnd"/>
      <w:r>
        <w:t>πλησθῆναι (</w:t>
      </w:r>
      <w:r w:rsidR="008C1A51">
        <w:t>so viel</w:t>
      </w:r>
      <w:r>
        <w:t xml:space="preserve"> deine Seele zu sättigen) – eine wörtliche Wiedergabe.</w:t>
      </w:r>
    </w:p>
    <w:p w14:paraId="225372B1" w14:textId="77777777" w:rsidR="00277B46" w:rsidRDefault="00277B46" w:rsidP="00277B46">
      <w:pPr>
        <w:pStyle w:val="whitespace-normal"/>
      </w:pPr>
      <w:r>
        <w:rPr>
          <w:rStyle w:val="Fett"/>
          <w:rFonts w:eastAsiaTheme="majorEastAsia"/>
        </w:rPr>
        <w:t>Die Satzstruktur:</w:t>
      </w:r>
      <w:r>
        <w:t xml:space="preserve"> Bedingung mit Erlaubnis und Verbot (wenn du kommst in den Weinberg deines Nächsten, essen darfst du Trauben nach deinem Belieben, deine Sättigung; aber in dein Gefäß sollst du nicht geben).</w:t>
      </w:r>
    </w:p>
    <w:p w14:paraId="67669CC6" w14:textId="12C6DD61" w:rsidR="00277B46" w:rsidRDefault="00277B46" w:rsidP="00AB12A0">
      <w:pPr>
        <w:pStyle w:val="whitespace-normal"/>
      </w:pPr>
      <w:r>
        <w:rPr>
          <w:rStyle w:val="Fett"/>
          <w:rFonts w:eastAsiaTheme="majorEastAsia"/>
        </w:rPr>
        <w:t>Der Vers beschreibt:</w:t>
      </w:r>
      <w:r>
        <w:t xml:space="preserve"> Gastfreundschaftsrecht im Weinberg – man darf Trauben essen, bis man satt ist, aber nichts mitnehmen.</w:t>
      </w:r>
    </w:p>
    <w:p w14:paraId="669944A6" w14:textId="77777777" w:rsidR="00277B46" w:rsidRPr="00B27A64" w:rsidRDefault="00277B46" w:rsidP="00277B46">
      <w:pPr>
        <w:pStyle w:val="berschrift1"/>
        <w:rPr>
          <w:rFonts w:ascii="Times New Roman" w:hAnsi="Times New Roman"/>
          <w:color w:val="auto"/>
          <w:sz w:val="36"/>
          <w:szCs w:val="36"/>
        </w:rPr>
      </w:pPr>
      <w:r w:rsidRPr="00B27A64">
        <w:rPr>
          <w:rStyle w:val="Fett"/>
          <w:rFonts w:ascii="Times New Roman" w:hAnsi="Times New Roman"/>
          <w:color w:val="auto"/>
          <w:sz w:val="36"/>
          <w:szCs w:val="36"/>
        </w:rPr>
        <w:t>Deuteronomium 23,26</w:t>
      </w:r>
    </w:p>
    <w:p w14:paraId="20EB83A6" w14:textId="77777777" w:rsidR="00277B46" w:rsidRDefault="00277B46" w:rsidP="00277B46">
      <w:pPr>
        <w:pStyle w:val="whitespace-normal"/>
      </w:pPr>
      <w:r>
        <w:rPr>
          <w:rStyle w:val="Fett"/>
          <w:rFonts w:eastAsiaTheme="majorEastAsia"/>
        </w:rPr>
        <w:t>Hebräisch:</w:t>
      </w:r>
      <w:r>
        <w:t xml:space="preserve"> </w:t>
      </w:r>
      <w:r>
        <w:rPr>
          <w:rtl/>
        </w:rPr>
        <w:t>כִּ֤י תָבֹא֙ בְּקָמַ֣ת רֵעֶ֔ךָ וְקָטַפְתָּ֥ מְלִילֹ֖ת בְּיָדֶ֑ךָ וְחֶרְמֵשׁ֙ לֹ֣א תָנִ֔יף עַ֖ל קָמַ֥ת רֵעֶֽךָ׃</w:t>
      </w:r>
    </w:p>
    <w:p w14:paraId="06264E00" w14:textId="77777777" w:rsidR="00277B46" w:rsidRDefault="00277B46" w:rsidP="00277B46">
      <w:pPr>
        <w:pStyle w:val="whitespace-normal"/>
      </w:pPr>
      <w:r>
        <w:rPr>
          <w:rStyle w:val="Fett"/>
          <w:rFonts w:eastAsiaTheme="majorEastAsia"/>
        </w:rPr>
        <w:t>Deutsch:</w:t>
      </w:r>
      <w:r>
        <w:t xml:space="preserve"> Wenn du in das Getreidefeld deines Nächsten kommst, darfst du Ähren mit deiner Hand abrupfen; aber die Sichel sollst du nicht schwingen über das Getreide deines Nächsten.</w:t>
      </w:r>
    </w:p>
    <w:p w14:paraId="068B0F8C" w14:textId="77777777" w:rsidR="00277B46" w:rsidRDefault="004F5CEB" w:rsidP="00277B46">
      <w:r>
        <w:rPr>
          <w:noProof/>
        </w:rPr>
        <w:pict w14:anchorId="66AD8A43">
          <v:rect id="_x0000_i1650" style="width:0;height:1.5pt" o:hralign="center" o:hrstd="t" o:hr="t" fillcolor="#a0a0a0" stroked="f"/>
        </w:pict>
      </w:r>
    </w:p>
    <w:p w14:paraId="1FE03485" w14:textId="77777777" w:rsidR="00277B46" w:rsidRDefault="00277B46" w:rsidP="00277B46">
      <w:pPr>
        <w:pStyle w:val="whitespace-normal"/>
      </w:pPr>
      <w:r>
        <w:rPr>
          <w:rStyle w:val="Fett"/>
          <w:rFonts w:eastAsiaTheme="majorEastAsia"/>
        </w:rPr>
        <w:t>Kommentar:</w:t>
      </w:r>
      <w:r>
        <w:t xml:space="preserve"> </w:t>
      </w:r>
      <w:r>
        <w:rPr>
          <w:rStyle w:val="Fett"/>
          <w:rFonts w:eastAsiaTheme="majorEastAsia"/>
          <w:rtl/>
        </w:rPr>
        <w:t>כִּי תָבֹא בְּקָמַת רֵעֶךָ וְקָטַפְתָּ מְלִילֹת בְּיָדֶךָ וְחֶרְמֵשׁ לֹא תָנִיף עַל קָמַת רֵעֶךָ</w:t>
      </w:r>
      <w:r>
        <w:rPr>
          <w:rtl/>
        </w:rPr>
        <w:t xml:space="preserve"> </w:t>
      </w:r>
      <w:r>
        <w:t xml:space="preserve">ist eine Bedingung mit zwei Anweisungen: </w:t>
      </w:r>
      <w:r>
        <w:rPr>
          <w:rStyle w:val="Fett"/>
          <w:rFonts w:eastAsiaTheme="majorEastAsia"/>
          <w:rtl/>
        </w:rPr>
        <w:t>כִּי תָבֹא בְּקָמַת רֵעֶךָ</w:t>
      </w:r>
      <w:r>
        <w:rPr>
          <w:rtl/>
        </w:rPr>
        <w:t xml:space="preserve"> </w:t>
      </w:r>
      <w:r>
        <w:t>(</w:t>
      </w:r>
      <w:r>
        <w:rPr>
          <w:rStyle w:val="Fett"/>
          <w:rFonts w:eastAsiaTheme="majorEastAsia"/>
          <w:rtl/>
        </w:rPr>
        <w:t>כִּי</w:t>
      </w:r>
      <w:r>
        <w:t xml:space="preserve">, „wenn", mit </w:t>
      </w:r>
      <w:r>
        <w:rPr>
          <w:rStyle w:val="Fett"/>
          <w:rFonts w:eastAsiaTheme="majorEastAsia"/>
          <w:rtl/>
        </w:rPr>
        <w:t>בוא</w:t>
      </w:r>
      <w:r>
        <w:t xml:space="preserve">, Qal Imperfekt, 2. Person Maskulinum Singular, </w:t>
      </w:r>
      <w:r>
        <w:rPr>
          <w:rStyle w:val="Fett"/>
          <w:rFonts w:eastAsiaTheme="majorEastAsia"/>
          <w:rtl/>
        </w:rPr>
        <w:t>בְּקָמַת רֵעֶךָ</w:t>
      </w:r>
      <w:r>
        <w:t xml:space="preserve">, Präposition </w:t>
      </w:r>
      <w:r>
        <w:rPr>
          <w:rStyle w:val="Fett"/>
          <w:rFonts w:eastAsiaTheme="majorEastAsia"/>
          <w:rtl/>
        </w:rPr>
        <w:t>בְּ</w:t>
      </w:r>
      <w:r>
        <w:rPr>
          <w:rtl/>
        </w:rPr>
        <w:t xml:space="preserve"> </w:t>
      </w:r>
      <w:r>
        <w:t xml:space="preserve">mit </w:t>
      </w:r>
      <w:r>
        <w:rPr>
          <w:rStyle w:val="Fett"/>
          <w:rFonts w:eastAsiaTheme="majorEastAsia"/>
          <w:rtl/>
        </w:rPr>
        <w:t>קָמָה</w:t>
      </w:r>
      <w:r>
        <w:t xml:space="preserve">, „stehendes Getreide, Kornfeld", Construct mit </w:t>
      </w:r>
      <w:r>
        <w:rPr>
          <w:rStyle w:val="Fett"/>
          <w:rFonts w:eastAsiaTheme="majorEastAsia"/>
          <w:rtl/>
        </w:rPr>
        <w:t>רֵעַ</w:t>
      </w:r>
      <w:r>
        <w:rPr>
          <w:rtl/>
        </w:rPr>
        <w:t xml:space="preserve"> </w:t>
      </w:r>
      <w:r>
        <w:t xml:space="preserve">mit Suffix 2. Person Maskulinum Singular), </w:t>
      </w:r>
      <w:r>
        <w:rPr>
          <w:rStyle w:val="Fett"/>
          <w:rFonts w:eastAsiaTheme="majorEastAsia"/>
          <w:rtl/>
        </w:rPr>
        <w:t>וְקָטַפְתָּ מְלִילֹת בְּיָדֶךָ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קטף</w:t>
      </w:r>
      <w:r>
        <w:t xml:space="preserve">, Qal Perfekt, 2. Person Maskulinum Singular, „abrupfen, abpflücken", </w:t>
      </w:r>
      <w:r>
        <w:rPr>
          <w:rStyle w:val="Fett"/>
          <w:rFonts w:eastAsiaTheme="majorEastAsia"/>
          <w:rtl/>
        </w:rPr>
        <w:t>מְלִילָה</w:t>
      </w:r>
      <w:r>
        <w:t xml:space="preserve">, „Ähre, Kornähre", Plural, </w:t>
      </w:r>
      <w:r>
        <w:rPr>
          <w:rStyle w:val="Fett"/>
          <w:rFonts w:eastAsiaTheme="majorEastAsia"/>
          <w:rtl/>
        </w:rPr>
        <w:t>בְּיָדֶךָ</w:t>
      </w:r>
      <w:r>
        <w:t xml:space="preserve">, Präposition </w:t>
      </w:r>
      <w:r>
        <w:rPr>
          <w:rStyle w:val="Fett"/>
          <w:rFonts w:eastAsiaTheme="majorEastAsia"/>
          <w:rtl/>
        </w:rPr>
        <w:t>בְּ</w:t>
      </w:r>
      <w:r>
        <w:rPr>
          <w:rtl/>
        </w:rPr>
        <w:t xml:space="preserve"> </w:t>
      </w:r>
      <w:r>
        <w:t xml:space="preserve">mit </w:t>
      </w:r>
      <w:r>
        <w:rPr>
          <w:rStyle w:val="Fett"/>
          <w:rFonts w:eastAsiaTheme="majorEastAsia"/>
          <w:rtl/>
        </w:rPr>
        <w:t>יָד</w:t>
      </w:r>
      <w:r>
        <w:rPr>
          <w:rtl/>
        </w:rPr>
        <w:t xml:space="preserve"> </w:t>
      </w:r>
      <w:r>
        <w:t xml:space="preserve">mit Suffix 2. Person Maskulinum Singular – „mit deiner Hand", mit </w:t>
      </w:r>
      <w:r>
        <w:rPr>
          <w:rStyle w:val="Fett"/>
          <w:rFonts w:eastAsiaTheme="majorEastAsia"/>
        </w:rPr>
        <w:t>Waw</w:t>
      </w:r>
      <w:r>
        <w:t xml:space="preserve"> consecutives Perfekt), </w:t>
      </w:r>
      <w:r>
        <w:rPr>
          <w:rStyle w:val="Fett"/>
          <w:rFonts w:eastAsiaTheme="majorEastAsia"/>
          <w:rtl/>
        </w:rPr>
        <w:t>וְחֶרְמֵשׁ לֹא תָנִיף עַל קָמַת רֵעֶךָ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חֶרְמֵשׁ</w:t>
      </w:r>
      <w:r>
        <w:t xml:space="preserve">, „Sichel", Negation mit </w:t>
      </w:r>
      <w:r>
        <w:rPr>
          <w:rStyle w:val="Fett"/>
          <w:rFonts w:eastAsiaTheme="majorEastAsia"/>
          <w:rtl/>
        </w:rPr>
        <w:t>נוף</w:t>
      </w:r>
      <w:r>
        <w:t xml:space="preserve">, Hiphil Imperfekt, 2. Person Maskulinum Singular, „schwingen, bewegen, schwenken", Präposition </w:t>
      </w:r>
      <w:r>
        <w:rPr>
          <w:rStyle w:val="Fett"/>
          <w:rFonts w:eastAsiaTheme="majorEastAsia"/>
          <w:rtl/>
        </w:rPr>
        <w:t>עַל</w:t>
      </w:r>
      <w:r>
        <w:rPr>
          <w:rtl/>
        </w:rPr>
        <w:t xml:space="preserve"> </w:t>
      </w:r>
      <w:r>
        <w:t xml:space="preserve">mit </w:t>
      </w:r>
      <w:r>
        <w:rPr>
          <w:rStyle w:val="Fett"/>
          <w:rFonts w:eastAsiaTheme="majorEastAsia"/>
          <w:rtl/>
        </w:rPr>
        <w:t>קָמָה</w:t>
      </w:r>
      <w:r>
        <w:rPr>
          <w:rtl/>
        </w:rPr>
        <w:t xml:space="preserve"> </w:t>
      </w:r>
      <w:r>
        <w:t xml:space="preserve">Construct mit </w:t>
      </w:r>
      <w:r>
        <w:rPr>
          <w:rStyle w:val="Fett"/>
          <w:rFonts w:eastAsiaTheme="majorEastAsia"/>
          <w:rtl/>
        </w:rPr>
        <w:t>רֵעַ</w:t>
      </w:r>
      <w:r>
        <w:rPr>
          <w:rtl/>
        </w:rPr>
        <w:t xml:space="preserve"> </w:t>
      </w:r>
      <w:r>
        <w:t>mit Suffix 2. Person Maskulinum Singular).</w:t>
      </w:r>
    </w:p>
    <w:p w14:paraId="774B90CE" w14:textId="77777777" w:rsidR="00277B46" w:rsidRDefault="00277B46" w:rsidP="00277B46">
      <w:pPr>
        <w:pStyle w:val="whitespace-normal"/>
      </w:pPr>
      <w:r>
        <w:t xml:space="preserve">Der Vers gibt eine parallele Regel zu V. 25, nun für Getreidefelder. Die Bedingung: </w:t>
      </w:r>
      <w:r>
        <w:rPr>
          <w:rStyle w:val="Fett"/>
          <w:rFonts w:eastAsiaTheme="majorEastAsia"/>
          <w:rtl/>
        </w:rPr>
        <w:t>כִּי תָבֹא בְּקָמַת רֵעֶךָ</w:t>
      </w:r>
      <w:r>
        <w:rPr>
          <w:rtl/>
        </w:rPr>
        <w:t xml:space="preserve"> </w:t>
      </w:r>
      <w:r>
        <w:t xml:space="preserve">(„wenn du kommst in das stehende Getreide deines Nächsten, ins Kornfeld deines Nächsten"). Das Wort </w:t>
      </w:r>
      <w:r>
        <w:rPr>
          <w:rStyle w:val="Fett"/>
          <w:rFonts w:eastAsiaTheme="majorEastAsia"/>
          <w:rtl/>
        </w:rPr>
        <w:t>קָמָה</w:t>
      </w:r>
      <w:r>
        <w:rPr>
          <w:rtl/>
        </w:rPr>
        <w:t xml:space="preserve"> </w:t>
      </w:r>
      <w:r>
        <w:t xml:space="preserve">(„stehendes Getreide, Kornfeld") bezeichnet das noch nicht geerntete, auf dem Feld stehende Getreide. Die Erlaubnis: </w:t>
      </w:r>
      <w:r>
        <w:rPr>
          <w:rStyle w:val="Fett"/>
          <w:rFonts w:eastAsiaTheme="majorEastAsia"/>
          <w:rtl/>
        </w:rPr>
        <w:t>וְקָטַפְתָּ מְלִילֹת בְּיָדֶךָ</w:t>
      </w:r>
      <w:r>
        <w:rPr>
          <w:rtl/>
        </w:rPr>
        <w:t xml:space="preserve"> </w:t>
      </w:r>
      <w:r>
        <w:t xml:space="preserve">(„abrupfen darfst du Ähren mit deiner Hand"). Das Verb </w:t>
      </w:r>
      <w:r>
        <w:rPr>
          <w:rStyle w:val="Fett"/>
          <w:rFonts w:eastAsiaTheme="majorEastAsia"/>
          <w:rtl/>
        </w:rPr>
        <w:t>קטף</w:t>
      </w:r>
      <w:r>
        <w:rPr>
          <w:rtl/>
        </w:rPr>
        <w:t xml:space="preserve"> </w:t>
      </w:r>
      <w:r>
        <w:t xml:space="preserve">(„abrupfen, abpflücken") – mit der Hand einzelne Ähren abbrechen. Das Wort </w:t>
      </w:r>
      <w:r>
        <w:rPr>
          <w:rStyle w:val="Fett"/>
          <w:rFonts w:eastAsiaTheme="majorEastAsia"/>
          <w:rtl/>
        </w:rPr>
        <w:t>מְלִילָה</w:t>
      </w:r>
      <w:r>
        <w:rPr>
          <w:rtl/>
        </w:rPr>
        <w:t xml:space="preserve"> </w:t>
      </w:r>
      <w:r>
        <w:t xml:space="preserve">(„Ähre") – die Getreidekörner am Stängel. Die Betonung </w:t>
      </w:r>
      <w:r>
        <w:rPr>
          <w:rStyle w:val="Fett"/>
          <w:rFonts w:eastAsiaTheme="majorEastAsia"/>
          <w:rtl/>
        </w:rPr>
        <w:t>בְּיָדֶךָ</w:t>
      </w:r>
      <w:r>
        <w:rPr>
          <w:rtl/>
        </w:rPr>
        <w:t xml:space="preserve"> </w:t>
      </w:r>
      <w:r>
        <w:t xml:space="preserve">(„mit deiner Hand") unterstreicht: nur Handarbeit, kein Werkzeug. Das Verbot: </w:t>
      </w:r>
      <w:r>
        <w:rPr>
          <w:rStyle w:val="Fett"/>
          <w:rFonts w:eastAsiaTheme="majorEastAsia"/>
          <w:rtl/>
        </w:rPr>
        <w:t>וְחֶרְמֵשׁ לֹא תָנִיף עַל קָמַת רֵעֶךָ</w:t>
      </w:r>
      <w:r>
        <w:rPr>
          <w:rtl/>
        </w:rPr>
        <w:t xml:space="preserve"> </w:t>
      </w:r>
      <w:r>
        <w:t xml:space="preserve">(„aber die Sichel nicht schwingen sollst du über das Getreide deines Nächsten"). Das Wort </w:t>
      </w:r>
      <w:r>
        <w:rPr>
          <w:rStyle w:val="Fett"/>
          <w:rFonts w:eastAsiaTheme="majorEastAsia"/>
          <w:rtl/>
        </w:rPr>
        <w:t>חֶרְמֵשׁ</w:t>
      </w:r>
      <w:r>
        <w:rPr>
          <w:rtl/>
        </w:rPr>
        <w:t xml:space="preserve"> </w:t>
      </w:r>
      <w:r>
        <w:t xml:space="preserve">(„Sichel") ist das Erntewerkzeug. Das Verb </w:t>
      </w:r>
      <w:r>
        <w:rPr>
          <w:rStyle w:val="Fett"/>
          <w:rFonts w:eastAsiaTheme="majorEastAsia"/>
          <w:rtl/>
        </w:rPr>
        <w:t>נוף</w:t>
      </w:r>
      <w:r>
        <w:rPr>
          <w:rtl/>
        </w:rPr>
        <w:t xml:space="preserve"> </w:t>
      </w:r>
      <w:r>
        <w:t>im Hiphil („schwingen, schwenken, bewegen") – man darf keine Sichel benutzen, kein systematisches Ernten betreiben. Die Ratio: Wie in V. 25 – Gastfreundschaft ja, aber keine Ausbeutung. Man darf den unmittelbaren Hunger stillen (einige Ähren mit der Hand abrupfen), aber nicht ernten (mit der Sichel). Diese Regel schützt sowohl die Bedürftigen (die etwas zu essen bekommen) als auch den Eigentümer (dessen Ernte nicht geplündert wird). Historisches Beispiel: Die Jünger Jesu rupften Ähren ab am Sabbat (Mt 12,1; Mk 2,23; Lk 6,1) – dies war erlaubt nach Dtn 23,26, wurde aber von den Pharisäern wegen des Sabbats kritisiert.</w:t>
      </w:r>
    </w:p>
    <w:p w14:paraId="28FF1B69" w14:textId="77777777" w:rsidR="00277B46" w:rsidRDefault="00277B46" w:rsidP="00277B46">
      <w:pPr>
        <w:pStyle w:val="whitespace-normal"/>
      </w:pPr>
      <w:r>
        <w:rPr>
          <w:rStyle w:val="Fett"/>
          <w:rFonts w:eastAsiaTheme="majorEastAsia"/>
        </w:rPr>
        <w:lastRenderedPageBreak/>
        <w:t>Die Satzstruktur:</w:t>
      </w:r>
      <w:r>
        <w:t xml:space="preserve"> Bedingung mit Erlaubnis und Verbot (wenn du kommst in das Getreide deines Nächsten, abrupfen darfst du Ähren mit deiner Hand; aber die Sichel nicht schwingen sollst du über das Getreide deines Nächsten).</w:t>
      </w:r>
    </w:p>
    <w:p w14:paraId="5DCB4643" w14:textId="77777777" w:rsidR="00277B46" w:rsidRDefault="00277B46" w:rsidP="00277B46">
      <w:pPr>
        <w:pStyle w:val="whitespace-normal"/>
      </w:pPr>
      <w:r>
        <w:rPr>
          <w:rStyle w:val="Fett"/>
          <w:rFonts w:eastAsiaTheme="majorEastAsia"/>
        </w:rPr>
        <w:t>Der Vers beschreibt:</w:t>
      </w:r>
      <w:r>
        <w:t xml:space="preserve"> Gastfreundschaftsrecht im Kornfeld – man darf Ähren mit der Hand abrupfen, aber keine Sichel verwenden.</w:t>
      </w:r>
    </w:p>
    <w:p w14:paraId="2F6288D0" w14:textId="77777777" w:rsidR="00166F02" w:rsidRPr="006D44EB" w:rsidRDefault="00166F02" w:rsidP="006D44EB">
      <w:pPr>
        <w:pStyle w:val="Bibelberschrift"/>
      </w:pPr>
      <w:r w:rsidRPr="006D44EB">
        <w:rPr>
          <w:rStyle w:val="Fett"/>
        </w:rPr>
        <w:t>Deuteronomium 24,1</w:t>
      </w:r>
    </w:p>
    <w:p w14:paraId="72276C80" w14:textId="77777777" w:rsidR="00166F02" w:rsidRDefault="00166F02" w:rsidP="00166F02">
      <w:pPr>
        <w:pStyle w:val="whitespace-normal"/>
      </w:pPr>
      <w:r>
        <w:rPr>
          <w:rStyle w:val="Fett"/>
          <w:rFonts w:eastAsiaTheme="majorEastAsia"/>
        </w:rPr>
        <w:t>Hebräisch:</w:t>
      </w:r>
      <w:r>
        <w:t xml:space="preserve"> </w:t>
      </w:r>
      <w:r>
        <w:rPr>
          <w:rtl/>
        </w:rPr>
        <w:t>כִּֽי־יִקַּ֥ח אִ֛ישׁ אִשָּׁ֖ה וּבְעָלָ֑הּ וְהָיָ֞ה אִם־לֹ֧א תִמְצָא־חֵ֣ן בְּעֵינָ֗יו כִּי־מָ֤צָא בָהּ֙ עֶרְוַ֣ת דָּבָ֔ר וְכָ֨תַב לָ֜הּ סֵ֤פֶר כְּרִיתֻת֙ וְנָתַ֣ן בְּיָדָ֔הּ וְשִׁלְּחָ֖הּ מִבֵּיתֹֽו׃</w:t>
      </w:r>
    </w:p>
    <w:p w14:paraId="6D7A5BA4" w14:textId="77777777" w:rsidR="00166F02" w:rsidRDefault="00166F02" w:rsidP="00166F02">
      <w:pPr>
        <w:pStyle w:val="whitespace-normal"/>
      </w:pPr>
      <w:r>
        <w:rPr>
          <w:rStyle w:val="Fett"/>
          <w:rFonts w:eastAsiaTheme="majorEastAsia"/>
        </w:rPr>
        <w:t>Deutsch:</w:t>
      </w:r>
      <w:r>
        <w:t xml:space="preserve"> Wenn ein Mann eine Frau nimmt und sie heiratet, und es geschieht, dass sie keine Gunst in seinen Augen findet, weil er etwas Anstößiges an ihr gefunden hat, und er schreibt ihr einen Scheidebrief und gibt ihn in ihre Hand und entlässt sie aus seinem Haus,</w:t>
      </w:r>
    </w:p>
    <w:p w14:paraId="0A1A8736" w14:textId="77777777" w:rsidR="00166F02" w:rsidRDefault="004F5CEB" w:rsidP="00166F02">
      <w:r>
        <w:rPr>
          <w:noProof/>
        </w:rPr>
        <w:pict w14:anchorId="007FD06F">
          <v:rect id="_x0000_i1651" style="width:0;height:1.5pt" o:hralign="center" o:hrstd="t" o:hr="t" fillcolor="#a0a0a0" stroked="f"/>
        </w:pict>
      </w:r>
    </w:p>
    <w:p w14:paraId="36C1D3FF"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כִּי־יִקַּח אִישׁ אִשָּׁה וּבְעָלָהּ וְהָיָה אִם־לֹא תִמְצָא־חֵן בְּעֵינָיו כִּי־מָצָא בָהּ עֶרְוַת דָּבָר וְכָתַב לָהּ סֵפֶר כְּרִיתֻת וְנָתַן בְּיָדָהּ וְשִׁלְּחָהּ מִבֵּיתוֹ</w:t>
      </w:r>
      <w:r>
        <w:rPr>
          <w:rtl/>
        </w:rPr>
        <w:t xml:space="preserve"> </w:t>
      </w:r>
      <w:r>
        <w:t xml:space="preserve">ist eine lange Bedingungskette: </w:t>
      </w:r>
      <w:r>
        <w:rPr>
          <w:rStyle w:val="Fett"/>
          <w:rFonts w:eastAsiaTheme="majorEastAsia"/>
          <w:rtl/>
        </w:rPr>
        <w:t>כִּי־יִקַּח אִישׁ אִשָּׁה וּבְעָלָהּ</w:t>
      </w:r>
      <w:r>
        <w:rPr>
          <w:rtl/>
        </w:rPr>
        <w:t xml:space="preserve"> </w:t>
      </w:r>
      <w:r>
        <w:t>(</w:t>
      </w:r>
      <w:r>
        <w:rPr>
          <w:rStyle w:val="Fett"/>
          <w:rFonts w:eastAsiaTheme="majorEastAsia"/>
          <w:rtl/>
        </w:rPr>
        <w:t>כִּי</w:t>
      </w:r>
      <w:r>
        <w:t xml:space="preserve">, „wenn", mit </w:t>
      </w:r>
      <w:r>
        <w:rPr>
          <w:rStyle w:val="Fett"/>
          <w:rFonts w:eastAsiaTheme="majorEastAsia"/>
          <w:rtl/>
        </w:rPr>
        <w:t>לקח</w:t>
      </w:r>
      <w:r>
        <w:t xml:space="preserve">, Qal Imperfekt, 3. Person Maskulinum Singular, </w:t>
      </w:r>
      <w:r>
        <w:rPr>
          <w:rStyle w:val="Fett"/>
          <w:rFonts w:eastAsiaTheme="majorEastAsia"/>
          <w:rtl/>
        </w:rPr>
        <w:t>אִישׁ</w:t>
      </w:r>
      <w:r>
        <w:rPr>
          <w:rtl/>
        </w:rPr>
        <w:t xml:space="preserve"> </w:t>
      </w:r>
      <w:r>
        <w:t xml:space="preserve">als Subjekt, </w:t>
      </w:r>
      <w:r>
        <w:rPr>
          <w:rStyle w:val="Fett"/>
          <w:rFonts w:eastAsiaTheme="majorEastAsia"/>
          <w:rtl/>
        </w:rPr>
        <w:t>אִשָּׁה</w:t>
      </w:r>
      <w:r>
        <w:rPr>
          <w:rtl/>
        </w:rPr>
        <w:t xml:space="preserve"> </w:t>
      </w:r>
      <w:r>
        <w:t xml:space="preserve">als Objekt, koordiniert durch </w:t>
      </w:r>
      <w:r>
        <w:rPr>
          <w:rStyle w:val="Fett"/>
          <w:rFonts w:eastAsiaTheme="majorEastAsia"/>
          <w:rtl/>
        </w:rPr>
        <w:t>וּ</w:t>
      </w:r>
      <w:r>
        <w:rPr>
          <w:rtl/>
        </w:rPr>
        <w:t xml:space="preserve"> </w:t>
      </w:r>
      <w:r>
        <w:t xml:space="preserve">mit </w:t>
      </w:r>
      <w:r>
        <w:rPr>
          <w:rStyle w:val="Fett"/>
          <w:rFonts w:eastAsiaTheme="majorEastAsia"/>
          <w:rtl/>
        </w:rPr>
        <w:t>בעל</w:t>
      </w:r>
      <w:r>
        <w:t xml:space="preserve">, Qal Perfekt, 3. Person Maskulinum Singular, „zum Ehemann sein, heiraten, Besitz nehmen von", mit Suffix 3. Person Femininum Singular, mit </w:t>
      </w:r>
      <w:r>
        <w:rPr>
          <w:rStyle w:val="Fett"/>
          <w:rFonts w:eastAsiaTheme="majorEastAsia"/>
        </w:rPr>
        <w:t>Waw</w:t>
      </w:r>
      <w:r>
        <w:t xml:space="preserve"> consecutives Perfekt), </w:t>
      </w:r>
      <w:r>
        <w:rPr>
          <w:rStyle w:val="Fett"/>
          <w:rFonts w:eastAsiaTheme="majorEastAsia"/>
          <w:rtl/>
        </w:rPr>
        <w:t>וְהָיָה אִם־לֹא תִמְצָא־חֵן בְּעֵינָיו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3. Person Maskulinum Singular, </w:t>
      </w:r>
      <w:r>
        <w:rPr>
          <w:rStyle w:val="Fett"/>
          <w:rFonts w:eastAsiaTheme="majorEastAsia"/>
          <w:rtl/>
        </w:rPr>
        <w:t>אִם</w:t>
      </w:r>
      <w:r>
        <w:t xml:space="preserve">, „wenn", Bedingungssatz, Negation mit </w:t>
      </w:r>
      <w:r>
        <w:rPr>
          <w:rStyle w:val="Fett"/>
          <w:rFonts w:eastAsiaTheme="majorEastAsia"/>
          <w:rtl/>
        </w:rPr>
        <w:t>מצא</w:t>
      </w:r>
      <w:r>
        <w:t xml:space="preserve">, Qal Imperfekt, 3. Person Femininum Singular, „finden", </w:t>
      </w:r>
      <w:r>
        <w:rPr>
          <w:rStyle w:val="Fett"/>
          <w:rFonts w:eastAsiaTheme="majorEastAsia"/>
          <w:rtl/>
        </w:rPr>
        <w:t>חֵן</w:t>
      </w:r>
      <w:r>
        <w:t xml:space="preserve">, „Gunst, Gnade", </w:t>
      </w:r>
      <w:r>
        <w:rPr>
          <w:rStyle w:val="Fett"/>
          <w:rFonts w:eastAsiaTheme="majorEastAsia"/>
          <w:rtl/>
        </w:rPr>
        <w:t>בְּעֵינָיו</w:t>
      </w:r>
      <w:r>
        <w:t xml:space="preserve">, Präposition </w:t>
      </w:r>
      <w:r>
        <w:rPr>
          <w:rStyle w:val="Fett"/>
          <w:rFonts w:eastAsiaTheme="majorEastAsia"/>
          <w:rtl/>
        </w:rPr>
        <w:t>בְּ</w:t>
      </w:r>
      <w:r>
        <w:rPr>
          <w:rtl/>
        </w:rPr>
        <w:t xml:space="preserve"> </w:t>
      </w:r>
      <w:r>
        <w:t xml:space="preserve">mit </w:t>
      </w:r>
      <w:r>
        <w:rPr>
          <w:rStyle w:val="Fett"/>
          <w:rFonts w:eastAsiaTheme="majorEastAsia"/>
          <w:rtl/>
        </w:rPr>
        <w:t>עַיִן</w:t>
      </w:r>
      <w:r>
        <w:t xml:space="preserve">, „Auge", Dual Construct mit Suffix 3. Person Maskulinum Singular – „in seinen Augen", mit </w:t>
      </w:r>
      <w:r>
        <w:rPr>
          <w:rStyle w:val="Fett"/>
          <w:rFonts w:eastAsiaTheme="majorEastAsia"/>
        </w:rPr>
        <w:t>Waw</w:t>
      </w:r>
      <w:r>
        <w:t xml:space="preserve"> consecutives Perfekt), </w:t>
      </w:r>
      <w:r>
        <w:rPr>
          <w:rStyle w:val="Fett"/>
          <w:rFonts w:eastAsiaTheme="majorEastAsia"/>
          <w:rtl/>
        </w:rPr>
        <w:t>כִּי־מָצָא בָהּ עֶרְוַת דָּבָר</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מצא</w:t>
      </w:r>
      <w:r>
        <w:t xml:space="preserve">, Qal Perfekt, 3. Person Maskulinum Singular, </w:t>
      </w:r>
      <w:r>
        <w:rPr>
          <w:rStyle w:val="Fett"/>
          <w:rFonts w:eastAsiaTheme="majorEastAsia"/>
          <w:rtl/>
        </w:rPr>
        <w:t>בָהּ</w:t>
      </w:r>
      <w:r>
        <w:t xml:space="preserve">, Präposition </w:t>
      </w:r>
      <w:r>
        <w:rPr>
          <w:rStyle w:val="Fett"/>
          <w:rFonts w:eastAsiaTheme="majorEastAsia"/>
          <w:rtl/>
        </w:rPr>
        <w:t>בְּ</w:t>
      </w:r>
      <w:r>
        <w:rPr>
          <w:rtl/>
        </w:rPr>
        <w:t xml:space="preserve"> </w:t>
      </w:r>
      <w:r>
        <w:t xml:space="preserve">mit Suffix 3. Person Femininum Singular, </w:t>
      </w:r>
      <w:r>
        <w:rPr>
          <w:rStyle w:val="Fett"/>
          <w:rFonts w:eastAsiaTheme="majorEastAsia"/>
          <w:rtl/>
        </w:rPr>
        <w:t>עֶרְוַת דָּבָר</w:t>
      </w:r>
      <w:r>
        <w:t xml:space="preserve">, „Blöße einer Sache, etwas Anstößiges"), </w:t>
      </w:r>
      <w:r>
        <w:rPr>
          <w:rStyle w:val="Fett"/>
          <w:rFonts w:eastAsiaTheme="majorEastAsia"/>
          <w:rtl/>
        </w:rPr>
        <w:t>וְכָתַב לָהּ סֵפֶר כְּרִיתֻת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כתב</w:t>
      </w:r>
      <w:r>
        <w:t xml:space="preserve">, Qal Perfekt, 3. Person Maskulinum Singular, „schreiben", </w:t>
      </w:r>
      <w:r>
        <w:rPr>
          <w:rStyle w:val="Fett"/>
          <w:rFonts w:eastAsiaTheme="majorEastAsia"/>
          <w:rtl/>
        </w:rPr>
        <w:t>לָהּ</w:t>
      </w:r>
      <w:r>
        <w:t xml:space="preserve">, Dativ, </w:t>
      </w:r>
      <w:r>
        <w:rPr>
          <w:rStyle w:val="Fett"/>
          <w:rFonts w:eastAsiaTheme="majorEastAsia"/>
          <w:rtl/>
        </w:rPr>
        <w:t>סֵפֶר כְּרִיתֻת</w:t>
      </w:r>
      <w:r>
        <w:t xml:space="preserve">, </w:t>
      </w:r>
      <w:r>
        <w:rPr>
          <w:rStyle w:val="Fett"/>
          <w:rFonts w:eastAsiaTheme="majorEastAsia"/>
          <w:rtl/>
        </w:rPr>
        <w:t>סֵפֶר</w:t>
      </w:r>
      <w:r>
        <w:t xml:space="preserve">, „Buch, Schriftstück, Brief", Construct mit </w:t>
      </w:r>
      <w:r>
        <w:rPr>
          <w:rStyle w:val="Fett"/>
          <w:rFonts w:eastAsiaTheme="majorEastAsia"/>
          <w:rtl/>
        </w:rPr>
        <w:t>כְּרִיתֻת</w:t>
      </w:r>
      <w:r>
        <w:t xml:space="preserve">, „Abschneidung, Scheidung" – „Scheidebrief", mit </w:t>
      </w:r>
      <w:r>
        <w:rPr>
          <w:rStyle w:val="Fett"/>
          <w:rFonts w:eastAsiaTheme="majorEastAsia"/>
        </w:rPr>
        <w:t>Waw</w:t>
      </w:r>
      <w:r>
        <w:t xml:space="preserve"> consecutives Perfekt), </w:t>
      </w:r>
      <w:r>
        <w:rPr>
          <w:rStyle w:val="Fett"/>
          <w:rFonts w:eastAsiaTheme="majorEastAsia"/>
          <w:rtl/>
        </w:rPr>
        <w:t>וְנָתַן בְּיָדָהּ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נתן</w:t>
      </w:r>
      <w:r>
        <w:t xml:space="preserve">, Qal Perfekt, 3. Person Maskulinum Singular, </w:t>
      </w:r>
      <w:r>
        <w:rPr>
          <w:rStyle w:val="Fett"/>
          <w:rFonts w:eastAsiaTheme="majorEastAsia"/>
          <w:rtl/>
        </w:rPr>
        <w:t>בְּיָדָהּ</w:t>
      </w:r>
      <w:r>
        <w:t xml:space="preserve">, Präposition </w:t>
      </w:r>
      <w:r>
        <w:rPr>
          <w:rStyle w:val="Fett"/>
          <w:rFonts w:eastAsiaTheme="majorEastAsia"/>
          <w:rtl/>
        </w:rPr>
        <w:t>בְּ</w:t>
      </w:r>
      <w:r>
        <w:rPr>
          <w:rtl/>
        </w:rPr>
        <w:t xml:space="preserve"> </w:t>
      </w:r>
      <w:r>
        <w:t xml:space="preserve">mit </w:t>
      </w:r>
      <w:r>
        <w:rPr>
          <w:rStyle w:val="Fett"/>
          <w:rFonts w:eastAsiaTheme="majorEastAsia"/>
          <w:rtl/>
        </w:rPr>
        <w:t>יָד</w:t>
      </w:r>
      <w:r>
        <w:rPr>
          <w:rtl/>
        </w:rPr>
        <w:t xml:space="preserve"> </w:t>
      </w:r>
      <w:r>
        <w:t xml:space="preserve">mit Suffix 3. Person Femininum Singular, mit </w:t>
      </w:r>
      <w:r>
        <w:rPr>
          <w:rStyle w:val="Fett"/>
          <w:rFonts w:eastAsiaTheme="majorEastAsia"/>
        </w:rPr>
        <w:t>Waw</w:t>
      </w:r>
      <w:r>
        <w:t xml:space="preserve"> consecutives Perfekt), </w:t>
      </w:r>
      <w:r>
        <w:rPr>
          <w:rStyle w:val="Fett"/>
          <w:rFonts w:eastAsiaTheme="majorEastAsia"/>
          <w:rtl/>
        </w:rPr>
        <w:t>וְשִׁלְּחָהּ מִבֵּיתוֹ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שׁלח</w:t>
      </w:r>
      <w:r>
        <w:t xml:space="preserve">, Piel Perfekt, 3. Person Maskulinum Singular, „entlassen, fortschicken", mit Suffix 3. Person Femininum Singular, </w:t>
      </w:r>
      <w:r>
        <w:rPr>
          <w:rStyle w:val="Fett"/>
          <w:rFonts w:eastAsiaTheme="majorEastAsia"/>
          <w:rtl/>
        </w:rPr>
        <w:t>מִבֵּיתוֹ</w:t>
      </w:r>
      <w:r>
        <w:t xml:space="preserve">, Präposition </w:t>
      </w:r>
      <w:r>
        <w:rPr>
          <w:rStyle w:val="Fett"/>
          <w:rFonts w:eastAsiaTheme="majorEastAsia"/>
          <w:rtl/>
        </w:rPr>
        <w:t>מִן</w:t>
      </w:r>
      <w:r>
        <w:rPr>
          <w:rtl/>
        </w:rPr>
        <w:t xml:space="preserve"> </w:t>
      </w:r>
      <w:r>
        <w:t xml:space="preserve">mit </w:t>
      </w:r>
      <w:r>
        <w:rPr>
          <w:rStyle w:val="Fett"/>
          <w:rFonts w:eastAsiaTheme="majorEastAsia"/>
          <w:rtl/>
        </w:rPr>
        <w:t>בַּיִת</w:t>
      </w:r>
      <w:r>
        <w:rPr>
          <w:rtl/>
        </w:rPr>
        <w:t xml:space="preserve"> </w:t>
      </w:r>
      <w:r>
        <w:t xml:space="preserve">mit Suffix 3. Person Maskulinum Singular, mit </w:t>
      </w:r>
      <w:r>
        <w:rPr>
          <w:rStyle w:val="Fett"/>
          <w:rFonts w:eastAsiaTheme="majorEastAsia"/>
        </w:rPr>
        <w:t>Waw</w:t>
      </w:r>
      <w:r>
        <w:t xml:space="preserve"> consecutives Perfekt).</w:t>
      </w:r>
    </w:p>
    <w:p w14:paraId="5D1E4051" w14:textId="77777777" w:rsidR="00F0029F" w:rsidRDefault="00166F02" w:rsidP="00F0029F">
      <w:pPr>
        <w:pStyle w:val="KeinLeerraum"/>
      </w:pPr>
      <w:r>
        <w:t xml:space="preserve">Der Vers leitet das berühmte und umstrittene Scheidungsgesetz ein (V. 1-4). Die Bedingungskette beschreibt fünf Schritte: </w:t>
      </w:r>
    </w:p>
    <w:p w14:paraId="394C2FFB" w14:textId="77777777" w:rsidR="00F0029F" w:rsidRDefault="00166F02" w:rsidP="00F0029F">
      <w:pPr>
        <w:pStyle w:val="KeinLeerraum"/>
      </w:pPr>
      <w:r>
        <w:t xml:space="preserve">(1) </w:t>
      </w:r>
      <w:r>
        <w:rPr>
          <w:rStyle w:val="Fett"/>
          <w:rFonts w:eastAsiaTheme="majorEastAsia"/>
          <w:rtl/>
        </w:rPr>
        <w:t>כִּי־יִקַּח אִישׁ אִשָּׁה וּבְעָלָהּ</w:t>
      </w:r>
      <w:r>
        <w:rPr>
          <w:rtl/>
        </w:rPr>
        <w:t xml:space="preserve"> </w:t>
      </w:r>
      <w:r>
        <w:t xml:space="preserve">(„wenn nimmt ein Mann eine Frau und heiratet sie"). Das Verb </w:t>
      </w:r>
      <w:r>
        <w:rPr>
          <w:rStyle w:val="Fett"/>
          <w:rFonts w:eastAsiaTheme="majorEastAsia"/>
          <w:rtl/>
        </w:rPr>
        <w:t>בעל</w:t>
      </w:r>
      <w:r>
        <w:rPr>
          <w:rtl/>
        </w:rPr>
        <w:t xml:space="preserve"> </w:t>
      </w:r>
      <w:r>
        <w:t xml:space="preserve">(„zum Ehemann sein, heiraten") beschreibt die Eheschließung. </w:t>
      </w:r>
    </w:p>
    <w:p w14:paraId="46E9F5D8" w14:textId="01F4BB8A" w:rsidR="00F0029F" w:rsidRDefault="00166F02" w:rsidP="00F0029F">
      <w:pPr>
        <w:pStyle w:val="KeinLeerraum"/>
      </w:pPr>
      <w:r>
        <w:t xml:space="preserve">(2) </w:t>
      </w:r>
      <w:r>
        <w:rPr>
          <w:rStyle w:val="Fett"/>
          <w:rFonts w:eastAsiaTheme="majorEastAsia"/>
          <w:rtl/>
        </w:rPr>
        <w:t>וְהָיָה אִם־לֹא תִמְצָא־חֵן בְּעֵינָיו</w:t>
      </w:r>
      <w:r>
        <w:rPr>
          <w:rtl/>
        </w:rPr>
        <w:t xml:space="preserve"> </w:t>
      </w:r>
      <w:r>
        <w:t xml:space="preserve">(„und es geschieht, dass nicht findet sie Gunst in seinen Augen"). Die Wendung </w:t>
      </w:r>
      <w:r>
        <w:rPr>
          <w:rStyle w:val="Fett"/>
          <w:rFonts w:eastAsiaTheme="majorEastAsia"/>
          <w:rtl/>
        </w:rPr>
        <w:t>מצא חֵן בְּעֵינֵי</w:t>
      </w:r>
      <w:r>
        <w:rPr>
          <w:rtl/>
        </w:rPr>
        <w:t xml:space="preserve"> </w:t>
      </w:r>
      <w:r>
        <w:t>(„Gunst finden in den Augen von") ist idiomatisch für Wohl</w:t>
      </w:r>
      <w:r w:rsidR="00D47758">
        <w:t>gefallen</w:t>
      </w:r>
      <w:r>
        <w:t xml:space="preserve">, Zuneigung (vgl. Gen 6,8; 18,3; 30,27; 33,10.15). Negiert: Er verliert die Zuneigung zu ihr. </w:t>
      </w:r>
    </w:p>
    <w:p w14:paraId="61715400" w14:textId="10E731E5" w:rsidR="00F0029F" w:rsidRDefault="00166F02" w:rsidP="00F0029F">
      <w:pPr>
        <w:pStyle w:val="KeinLeerraum"/>
      </w:pPr>
      <w:r>
        <w:lastRenderedPageBreak/>
        <w:t xml:space="preserve">(3) </w:t>
      </w:r>
      <w:r>
        <w:rPr>
          <w:rStyle w:val="Fett"/>
          <w:rFonts w:eastAsiaTheme="majorEastAsia"/>
          <w:rtl/>
        </w:rPr>
        <w:t>כִּי־מָצָא בָהּ עֶרְוַת דָּבָר</w:t>
      </w:r>
      <w:r>
        <w:rPr>
          <w:rtl/>
        </w:rPr>
        <w:t xml:space="preserve"> </w:t>
      </w:r>
      <w:r>
        <w:t>(„</w:t>
      </w:r>
      <w:r w:rsidR="008C1A51">
        <w:t>denn</w:t>
      </w:r>
      <w:r>
        <w:t xml:space="preserve"> er fand an ihr die Blöße einer Sache"). Die Formulierung </w:t>
      </w:r>
      <w:r>
        <w:rPr>
          <w:rStyle w:val="Fett"/>
          <w:rFonts w:eastAsiaTheme="majorEastAsia"/>
          <w:rtl/>
        </w:rPr>
        <w:t>עֶרְוַת דָּבָר</w:t>
      </w:r>
      <w:r>
        <w:rPr>
          <w:rtl/>
        </w:rPr>
        <w:t xml:space="preserve"> </w:t>
      </w:r>
      <w:r>
        <w:t xml:space="preserve">ist entscheidend und wurde historisch unterschiedlich interpretiert: wörtlich „Blöße/Scham einer Sache" (vgl. 23,15 für </w:t>
      </w:r>
      <w:r>
        <w:rPr>
          <w:rStyle w:val="Fett"/>
          <w:rFonts w:eastAsiaTheme="majorEastAsia"/>
          <w:rtl/>
        </w:rPr>
        <w:t>עֶרְוַת דָּבָר</w:t>
      </w:r>
      <w:r>
        <w:t xml:space="preserve">). </w:t>
      </w:r>
    </w:p>
    <w:p w14:paraId="34933EA9" w14:textId="77777777" w:rsidR="00F0029F" w:rsidRDefault="00166F02" w:rsidP="00F0029F">
      <w:pPr>
        <w:pStyle w:val="KeinLeerraum"/>
      </w:pPr>
      <w:r>
        <w:t xml:space="preserve">Mögliche Bedeutungen: </w:t>
      </w:r>
    </w:p>
    <w:p w14:paraId="5F464A83" w14:textId="77777777" w:rsidR="00F0029F" w:rsidRDefault="00166F02" w:rsidP="00F0029F">
      <w:pPr>
        <w:pStyle w:val="KeinLeerraum"/>
      </w:pPr>
      <w:r>
        <w:t xml:space="preserve">(a) etwas Unanständiges, Anstößiges; </w:t>
      </w:r>
    </w:p>
    <w:p w14:paraId="34AA0C58" w14:textId="77777777" w:rsidR="00F0029F" w:rsidRDefault="00166F02" w:rsidP="00F0029F">
      <w:pPr>
        <w:pStyle w:val="KeinLeerraum"/>
      </w:pPr>
      <w:r>
        <w:t xml:space="preserve">(b) sexuelle Verfehlung (aber nicht Ehebruch, der die Todesstrafe erfordert, 22,22); </w:t>
      </w:r>
    </w:p>
    <w:p w14:paraId="288A710E" w14:textId="77777777" w:rsidR="00F0029F" w:rsidRDefault="00166F02" w:rsidP="00F0029F">
      <w:pPr>
        <w:pStyle w:val="KeinLeerraum"/>
      </w:pPr>
      <w:r>
        <w:t xml:space="preserve">(c) etwas, das den Mann abstößt, ihn zur Scheidung bewegt. </w:t>
      </w:r>
    </w:p>
    <w:p w14:paraId="46A7FB90" w14:textId="77777777" w:rsidR="00F0029F" w:rsidRDefault="00166F02" w:rsidP="00F0029F">
      <w:pPr>
        <w:pStyle w:val="KeinLeerraum"/>
      </w:pPr>
      <w:r>
        <w:t xml:space="preserve">Die rabbinische Diskussion (Mischna Gittin): Schule Schammais: nur wegen sexueller Unmoral; Schule Hillels: aus jedem Grund, sogar verbranntes Essen. </w:t>
      </w:r>
    </w:p>
    <w:p w14:paraId="54FF1FA4" w14:textId="77777777" w:rsidR="00F0029F" w:rsidRDefault="00166F02" w:rsidP="00F0029F">
      <w:pPr>
        <w:pStyle w:val="KeinLeerraum"/>
      </w:pPr>
      <w:r>
        <w:t xml:space="preserve">(4) </w:t>
      </w:r>
      <w:r>
        <w:rPr>
          <w:rStyle w:val="Fett"/>
          <w:rFonts w:eastAsiaTheme="majorEastAsia"/>
          <w:rtl/>
        </w:rPr>
        <w:t>וְכָתַב לָהּ סֵפֶר כְּרִיתֻת</w:t>
      </w:r>
      <w:r>
        <w:rPr>
          <w:rtl/>
        </w:rPr>
        <w:t xml:space="preserve"> </w:t>
      </w:r>
      <w:r>
        <w:t xml:space="preserve">(„und schreibt er ihr einen Scheidebrief"). Der </w:t>
      </w:r>
      <w:r>
        <w:rPr>
          <w:rStyle w:val="Fett"/>
          <w:rFonts w:eastAsiaTheme="majorEastAsia"/>
          <w:rtl/>
        </w:rPr>
        <w:t>סֵפֶר כְּרִיתֻת</w:t>
      </w:r>
      <w:r>
        <w:rPr>
          <w:rtl/>
        </w:rPr>
        <w:t xml:space="preserve"> </w:t>
      </w:r>
      <w:r>
        <w:t xml:space="preserve">(„Buch der Abschneidung/Scheidung") ist ein schriftliches Dokument, das die Ehe offiziell beendet. Die Wurzel </w:t>
      </w:r>
      <w:r>
        <w:rPr>
          <w:rStyle w:val="Fett"/>
          <w:rFonts w:eastAsiaTheme="majorEastAsia"/>
          <w:rtl/>
        </w:rPr>
        <w:t>כרת</w:t>
      </w:r>
      <w:r>
        <w:rPr>
          <w:rtl/>
        </w:rPr>
        <w:t xml:space="preserve"> </w:t>
      </w:r>
      <w:r>
        <w:t xml:space="preserve">(„abschneiden") → Scheidung als „Abschneiden" der Eheverbindung. </w:t>
      </w:r>
    </w:p>
    <w:p w14:paraId="40AAC14A" w14:textId="77777777" w:rsidR="00F0029F" w:rsidRDefault="00166F02" w:rsidP="00F0029F">
      <w:pPr>
        <w:pStyle w:val="KeinLeerraum"/>
      </w:pPr>
      <w:r>
        <w:t xml:space="preserve">(5) </w:t>
      </w:r>
      <w:r>
        <w:rPr>
          <w:rStyle w:val="Fett"/>
          <w:rFonts w:eastAsiaTheme="majorEastAsia"/>
          <w:rtl/>
        </w:rPr>
        <w:t>וְנָתַן בְּיָדָהּ</w:t>
      </w:r>
      <w:r>
        <w:rPr>
          <w:rtl/>
        </w:rPr>
        <w:t xml:space="preserve"> </w:t>
      </w:r>
      <w:r>
        <w:t xml:space="preserve">(„und gibt er in ihre Hand") – die Frau erhält das Dokument. </w:t>
      </w:r>
    </w:p>
    <w:p w14:paraId="44EEAC03" w14:textId="5A6DC851" w:rsidR="00166F02" w:rsidRDefault="00166F02" w:rsidP="00F0029F">
      <w:pPr>
        <w:pStyle w:val="KeinLeerraum"/>
      </w:pPr>
      <w:r>
        <w:t xml:space="preserve">(6) </w:t>
      </w:r>
      <w:r>
        <w:rPr>
          <w:rStyle w:val="Fett"/>
          <w:rFonts w:eastAsiaTheme="majorEastAsia"/>
          <w:rtl/>
        </w:rPr>
        <w:t>וְשִׁלְּחָהּ מִבֵּיתוֹ</w:t>
      </w:r>
      <w:r>
        <w:rPr>
          <w:rtl/>
        </w:rPr>
        <w:t xml:space="preserve"> </w:t>
      </w:r>
      <w:r>
        <w:t xml:space="preserve">(„und entlässt er sie aus seinem Haus"). Das Verb </w:t>
      </w:r>
      <w:r>
        <w:rPr>
          <w:rStyle w:val="Fett"/>
          <w:rFonts w:eastAsiaTheme="majorEastAsia"/>
          <w:rtl/>
        </w:rPr>
        <w:t>שׁלח</w:t>
      </w:r>
      <w:r>
        <w:rPr>
          <w:rtl/>
        </w:rPr>
        <w:t xml:space="preserve"> </w:t>
      </w:r>
      <w:r>
        <w:t>im Piel („entlassen, fortschicken") ist der technische Ausdruck für Scheidung. V. 2-4 werden die Konsequenzen beschreiben.</w:t>
      </w:r>
    </w:p>
    <w:p w14:paraId="277056AB" w14:textId="6117D4F6" w:rsidR="00F0029F" w:rsidRDefault="00F0029F" w:rsidP="00166F02">
      <w:pPr>
        <w:pStyle w:val="whitespace-normal"/>
      </w:pPr>
      <w:r>
        <w:rPr>
          <w:rStyle w:val="Fett"/>
        </w:rPr>
        <w:t>Die LXX</w:t>
      </w:r>
      <w:r>
        <w:t xml:space="preserve"> übersetzt </w:t>
      </w:r>
      <w:r>
        <w:rPr>
          <w:rtl/>
        </w:rPr>
        <w:t>עֶרְוַת דָּבָר</w:t>
      </w:r>
      <w:r>
        <w:t xml:space="preserve"> (Blöße/Nacktheit einer Sache) mit </w:t>
      </w:r>
      <w:proofErr w:type="spellStart"/>
      <w:r>
        <w:t>ἄσχημον</w:t>
      </w:r>
      <w:proofErr w:type="spellEnd"/>
      <w:r>
        <w:t xml:space="preserve"> π</w:t>
      </w:r>
      <w:proofErr w:type="spellStart"/>
      <w:r>
        <w:t>ρᾶγμ</w:t>
      </w:r>
      <w:proofErr w:type="spellEnd"/>
      <w:r>
        <w:t>α (unanständige Sache) – beide Begriffe sind euphemistisch für etwas Anstößiges oder Ungehöriges. Der Begriff βιβ</w:t>
      </w:r>
      <w:proofErr w:type="spellStart"/>
      <w:r>
        <w:t>λίον</w:t>
      </w:r>
      <w:proofErr w:type="spellEnd"/>
      <w:r>
        <w:t xml:space="preserve"> ἀπ</w:t>
      </w:r>
      <w:proofErr w:type="spellStart"/>
      <w:r>
        <w:t>οστ</w:t>
      </w:r>
      <w:proofErr w:type="spellEnd"/>
      <w:r>
        <w:t xml:space="preserve">ασίου (Buch/Brief der Scheidung) für </w:t>
      </w:r>
      <w:r>
        <w:rPr>
          <w:rtl/>
        </w:rPr>
        <w:t>סֵפֶר כְּרִיתֻת</w:t>
      </w:r>
      <w:r>
        <w:t xml:space="preserve"> ist die standardmäßige LXX-Übersetzung, die im Neuen Testament übernommen wurde.</w:t>
      </w:r>
    </w:p>
    <w:p w14:paraId="1349C8C8" w14:textId="7BEF62FC" w:rsidR="00166F02" w:rsidRDefault="00166F02" w:rsidP="00166F02">
      <w:pPr>
        <w:pStyle w:val="whitespace-normal"/>
      </w:pPr>
      <w:r>
        <w:rPr>
          <w:rStyle w:val="Fett"/>
          <w:rFonts w:eastAsiaTheme="majorEastAsia"/>
        </w:rPr>
        <w:t>Die Satzstruktur:</w:t>
      </w:r>
      <w:r>
        <w:t xml:space="preserve"> Lange Bedingungskette mit sechs Schritten (wenn nimmt ein Mann eine Frau und heiratet sie, und es geschieht, dass nicht findet sie Gunst in seinen Augen, </w:t>
      </w:r>
      <w:r w:rsidR="008C1A51">
        <w:t>denn</w:t>
      </w:r>
      <w:r>
        <w:t xml:space="preserve"> er fand an ihr die Blöße einer Sache, und schreibt er ihr einen Scheidebrief, und gibt er in ihre Hand, und entlässt er sie aus seinem Haus).</w:t>
      </w:r>
    </w:p>
    <w:p w14:paraId="272031F6" w14:textId="749D087B" w:rsidR="00166F02" w:rsidRDefault="00166F02" w:rsidP="00AB12A0">
      <w:pPr>
        <w:pStyle w:val="whitespace-normal"/>
      </w:pPr>
      <w:r>
        <w:rPr>
          <w:rStyle w:val="Fett"/>
          <w:rFonts w:eastAsiaTheme="majorEastAsia"/>
        </w:rPr>
        <w:t>Der Vers beschreibt:</w:t>
      </w:r>
      <w:r>
        <w:t xml:space="preserve"> Der Protasis (Vordersatz) eines langen Bedingungsgefüges – ein Mann heiratet, findet etwas Anstößiges an seiner Frau, gibt ihr einen Scheidebrief und entlässt sie.</w:t>
      </w:r>
    </w:p>
    <w:p w14:paraId="192977D9" w14:textId="77777777" w:rsidR="00166F02" w:rsidRPr="00713867" w:rsidRDefault="00166F02" w:rsidP="00713867">
      <w:pPr>
        <w:pStyle w:val="Bibelberschrift"/>
      </w:pPr>
      <w:r w:rsidRPr="00713867">
        <w:rPr>
          <w:rStyle w:val="Fett"/>
          <w:b/>
          <w:bCs w:val="0"/>
        </w:rPr>
        <w:t>Deuteronomium 24,2</w:t>
      </w:r>
    </w:p>
    <w:p w14:paraId="66E76C43" w14:textId="77777777" w:rsidR="00166F02" w:rsidRDefault="00166F02" w:rsidP="00166F02">
      <w:pPr>
        <w:pStyle w:val="whitespace-normal"/>
      </w:pPr>
      <w:r>
        <w:rPr>
          <w:rStyle w:val="Fett"/>
          <w:rFonts w:eastAsiaTheme="majorEastAsia"/>
        </w:rPr>
        <w:t>Hebräisch:</w:t>
      </w:r>
      <w:r>
        <w:t xml:space="preserve"> </w:t>
      </w:r>
      <w:r>
        <w:rPr>
          <w:rtl/>
        </w:rPr>
        <w:t>וְיָצְאָ֖ה מִבֵּיתֹ֑ו וְהָלְכָ֖ה וְהָיְתָ֥ה לְאִישׁ־אַחֵֽר׃</w:t>
      </w:r>
    </w:p>
    <w:p w14:paraId="57313B87" w14:textId="77777777" w:rsidR="00166F02" w:rsidRDefault="00166F02" w:rsidP="00166F02">
      <w:pPr>
        <w:pStyle w:val="whitespace-normal"/>
      </w:pPr>
      <w:r>
        <w:rPr>
          <w:rStyle w:val="Fett"/>
          <w:rFonts w:eastAsiaTheme="majorEastAsia"/>
        </w:rPr>
        <w:t>Deutsch:</w:t>
      </w:r>
      <w:r>
        <w:t xml:space="preserve"> Und sie geht aus seinem Haus und geht hin und wird einem anderen Mann zur Frau.</w:t>
      </w:r>
    </w:p>
    <w:p w14:paraId="16C5872F" w14:textId="77777777" w:rsidR="00166F02" w:rsidRDefault="004F5CEB" w:rsidP="00166F02">
      <w:r>
        <w:rPr>
          <w:noProof/>
        </w:rPr>
        <w:pict w14:anchorId="40337CF5">
          <v:rect id="_x0000_i1652" style="width:0;height:1.5pt" o:hralign="center" o:hrstd="t" o:hr="t" fillcolor="#a0a0a0" stroked="f"/>
        </w:pict>
      </w:r>
    </w:p>
    <w:p w14:paraId="32DFC116"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וְיָצְאָה מִבֵּיתוֹ וְהָלְכָה וְהָיְתָה לְאִישׁ־אַחֵר</w:t>
      </w:r>
      <w:r>
        <w:rPr>
          <w:rtl/>
        </w:rPr>
        <w:t xml:space="preserve"> </w:t>
      </w:r>
      <w:r>
        <w:t xml:space="preserve">sind drei Handlungen: </w:t>
      </w:r>
      <w:r>
        <w:rPr>
          <w:rStyle w:val="Fett"/>
          <w:rFonts w:eastAsiaTheme="majorEastAsia"/>
          <w:rtl/>
        </w:rPr>
        <w:t>וְיָצְאָה מִבֵּיתוֹ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יצא</w:t>
      </w:r>
      <w:r>
        <w:t xml:space="preserve">, Qal Perfekt, 3. Person Femininum Singular, </w:t>
      </w:r>
      <w:r>
        <w:rPr>
          <w:rStyle w:val="Fett"/>
          <w:rFonts w:eastAsiaTheme="majorEastAsia"/>
          <w:rtl/>
        </w:rPr>
        <w:t>מִבֵּיתוֹ</w:t>
      </w:r>
      <w:r>
        <w:t xml:space="preserve">, mit </w:t>
      </w:r>
      <w:r>
        <w:rPr>
          <w:rStyle w:val="Fett"/>
          <w:rFonts w:eastAsiaTheme="majorEastAsia"/>
        </w:rPr>
        <w:t>Waw</w:t>
      </w:r>
      <w:r>
        <w:t xml:space="preserve"> consecutives Perfekt), </w:t>
      </w:r>
      <w:r>
        <w:rPr>
          <w:rStyle w:val="Fett"/>
          <w:rFonts w:eastAsiaTheme="majorEastAsia"/>
          <w:rtl/>
        </w:rPr>
        <w:t>וְהָלְכָה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הלך</w:t>
      </w:r>
      <w:r>
        <w:t xml:space="preserve">, Qal Perfekt, 3. Person Femininum Singular, „gehen, weggehen", mit </w:t>
      </w:r>
      <w:r>
        <w:rPr>
          <w:rStyle w:val="Fett"/>
          <w:rFonts w:eastAsiaTheme="majorEastAsia"/>
        </w:rPr>
        <w:t>Waw</w:t>
      </w:r>
      <w:r>
        <w:t xml:space="preserve"> consecutives Perfekt), </w:t>
      </w:r>
      <w:r>
        <w:rPr>
          <w:rStyle w:val="Fett"/>
          <w:rFonts w:eastAsiaTheme="majorEastAsia"/>
          <w:rtl/>
        </w:rPr>
        <w:t>וְהָיְתָה לְאִישׁ־אַחֵר</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3. Person Femininum Singular, </w:t>
      </w:r>
      <w:r>
        <w:rPr>
          <w:rStyle w:val="Fett"/>
          <w:rFonts w:eastAsiaTheme="majorEastAsia"/>
          <w:rtl/>
        </w:rPr>
        <w:t>לְאִישׁ־אַחֵר</w:t>
      </w:r>
      <w:r>
        <w:t xml:space="preserve">, Präposition </w:t>
      </w:r>
      <w:r>
        <w:rPr>
          <w:rStyle w:val="Fett"/>
          <w:rFonts w:eastAsiaTheme="majorEastAsia"/>
          <w:rtl/>
        </w:rPr>
        <w:t>לְ</w:t>
      </w:r>
      <w:r>
        <w:rPr>
          <w:rtl/>
        </w:rPr>
        <w:t xml:space="preserve"> </w:t>
      </w:r>
      <w:r>
        <w:t xml:space="preserve">mit </w:t>
      </w:r>
      <w:r>
        <w:rPr>
          <w:rStyle w:val="Fett"/>
          <w:rFonts w:eastAsiaTheme="majorEastAsia"/>
          <w:rtl/>
        </w:rPr>
        <w:t>אִישׁ</w:t>
      </w:r>
      <w:r>
        <w:rPr>
          <w:rtl/>
        </w:rPr>
        <w:t xml:space="preserve"> </w:t>
      </w:r>
      <w:r>
        <w:t xml:space="preserve">und </w:t>
      </w:r>
      <w:r>
        <w:rPr>
          <w:rStyle w:val="Fett"/>
          <w:rFonts w:eastAsiaTheme="majorEastAsia"/>
          <w:rtl/>
        </w:rPr>
        <w:t>אַחֵר</w:t>
      </w:r>
      <w:r>
        <w:t xml:space="preserve">, „ein anderer" – „wird zur Frau einem anderen Mann", mit </w:t>
      </w:r>
      <w:r>
        <w:rPr>
          <w:rStyle w:val="Fett"/>
          <w:rFonts w:eastAsiaTheme="majorEastAsia"/>
        </w:rPr>
        <w:t>Waw</w:t>
      </w:r>
      <w:r>
        <w:t xml:space="preserve"> consecutives Perfekt).</w:t>
      </w:r>
    </w:p>
    <w:p w14:paraId="4CFF2682" w14:textId="77777777" w:rsidR="00166F02" w:rsidRDefault="00166F02" w:rsidP="00166F02">
      <w:pPr>
        <w:pStyle w:val="whitespace-normal"/>
      </w:pPr>
      <w:r>
        <w:lastRenderedPageBreak/>
        <w:t xml:space="preserve">Der Vers führt die Bedingungskette fort: Die Frau wird geschieden und heiratet wieder. Drei Schritte: (1) </w:t>
      </w:r>
      <w:r>
        <w:rPr>
          <w:rStyle w:val="Fett"/>
          <w:rFonts w:eastAsiaTheme="majorEastAsia"/>
          <w:rtl/>
        </w:rPr>
        <w:t>וְיָצְאָה מִבֵּיתוֹ</w:t>
      </w:r>
      <w:r>
        <w:rPr>
          <w:rtl/>
        </w:rPr>
        <w:t xml:space="preserve"> </w:t>
      </w:r>
      <w:r>
        <w:t xml:space="preserve">(„und ausgeht sie aus seinem Haus") – sie verlässt das Haus des ersten Mannes. Das Verb </w:t>
      </w:r>
      <w:r>
        <w:rPr>
          <w:rStyle w:val="Fett"/>
          <w:rFonts w:eastAsiaTheme="majorEastAsia"/>
          <w:rtl/>
        </w:rPr>
        <w:t>יצא</w:t>
      </w:r>
      <w:r>
        <w:rPr>
          <w:rtl/>
        </w:rPr>
        <w:t xml:space="preserve"> </w:t>
      </w:r>
      <w:r>
        <w:t xml:space="preserve">(„ausgehen, hinausgehen") wiederholt die Scheidung aus V. 1. (2) </w:t>
      </w:r>
      <w:r>
        <w:rPr>
          <w:rStyle w:val="Fett"/>
          <w:rFonts w:eastAsiaTheme="majorEastAsia"/>
          <w:rtl/>
        </w:rPr>
        <w:t>וְהָלְכָה</w:t>
      </w:r>
      <w:r>
        <w:rPr>
          <w:rtl/>
        </w:rPr>
        <w:t xml:space="preserve"> </w:t>
      </w:r>
      <w:r>
        <w:t xml:space="preserve">(„und geht sie") – sie geht weg, macht weiter mit ihrem Leben. (3) </w:t>
      </w:r>
      <w:r>
        <w:rPr>
          <w:rStyle w:val="Fett"/>
          <w:rFonts w:eastAsiaTheme="majorEastAsia"/>
          <w:rtl/>
        </w:rPr>
        <w:t>וְהָיְתָה לְאִישׁ־אַחֵר</w:t>
      </w:r>
      <w:r>
        <w:rPr>
          <w:rtl/>
        </w:rPr>
        <w:t xml:space="preserve"> </w:t>
      </w:r>
      <w:r>
        <w:t xml:space="preserve">(„und wird sie einem anderen Mann zur Frau") – sie heiratet einen zweiten Mann. Die Formulierung </w:t>
      </w:r>
      <w:r>
        <w:rPr>
          <w:rStyle w:val="Fett"/>
          <w:rFonts w:eastAsiaTheme="majorEastAsia"/>
          <w:rtl/>
        </w:rPr>
        <w:t>היה לְאִישׁ</w:t>
      </w:r>
      <w:r>
        <w:rPr>
          <w:rtl/>
        </w:rPr>
        <w:t xml:space="preserve"> </w:t>
      </w:r>
      <w:r>
        <w:t xml:space="preserve">(„werden zur Frau einem Mann, einem Mann zur Frau werden") ist idiomatisch für Heirat. Das Adjektiv </w:t>
      </w:r>
      <w:r>
        <w:rPr>
          <w:rStyle w:val="Fett"/>
          <w:rFonts w:eastAsiaTheme="majorEastAsia"/>
          <w:rtl/>
        </w:rPr>
        <w:t>אַחֵר</w:t>
      </w:r>
      <w:r>
        <w:rPr>
          <w:rtl/>
        </w:rPr>
        <w:t xml:space="preserve"> </w:t>
      </w:r>
      <w:r>
        <w:t>(„ein anderer") betont: ein zweiter, unterschiedlicher Mann. Diese Wiederverheiratung ist legal und wird vorausgesetzt – die geschiedene Frau darf wieder heiraten. V. 3 wird einen weiteren Fall beschreiben.</w:t>
      </w:r>
    </w:p>
    <w:p w14:paraId="737527EF" w14:textId="77777777" w:rsidR="00166F02" w:rsidRDefault="00166F02" w:rsidP="00166F02">
      <w:pPr>
        <w:pStyle w:val="whitespace-normal"/>
      </w:pPr>
      <w:r>
        <w:rPr>
          <w:rStyle w:val="Fett"/>
          <w:rFonts w:eastAsiaTheme="majorEastAsia"/>
        </w:rPr>
        <w:t>Die Satzstruktur:</w:t>
      </w:r>
      <w:r>
        <w:t xml:space="preserve"> Drei koordinierte Handlungen (und ausgeht sie aus seinem Haus, und geht sie, und wird sie einem anderen Mann zur Frau).</w:t>
      </w:r>
    </w:p>
    <w:p w14:paraId="76408530" w14:textId="15635CC0" w:rsidR="00166F02" w:rsidRDefault="00166F02" w:rsidP="00AB12A0">
      <w:pPr>
        <w:pStyle w:val="whitespace-normal"/>
      </w:pPr>
      <w:r>
        <w:rPr>
          <w:rStyle w:val="Fett"/>
          <w:rFonts w:eastAsiaTheme="majorEastAsia"/>
        </w:rPr>
        <w:t>Der Vers beschreibt:</w:t>
      </w:r>
      <w:r>
        <w:t xml:space="preserve"> Die geschiedene Frau verlässt das Haus, geht weg und heiratet einen anderen Mann.</w:t>
      </w:r>
    </w:p>
    <w:p w14:paraId="2442700F" w14:textId="77777777" w:rsidR="00166F02" w:rsidRPr="00713867" w:rsidRDefault="00166F02" w:rsidP="00713867">
      <w:pPr>
        <w:pStyle w:val="Bibelberschrift"/>
      </w:pPr>
      <w:r w:rsidRPr="00713867">
        <w:rPr>
          <w:rStyle w:val="Fett"/>
          <w:b/>
          <w:bCs w:val="0"/>
        </w:rPr>
        <w:t>Deuteronomium 24,3</w:t>
      </w:r>
    </w:p>
    <w:p w14:paraId="23D1BF66" w14:textId="77777777" w:rsidR="00166F02" w:rsidRDefault="00166F02" w:rsidP="00166F02">
      <w:pPr>
        <w:pStyle w:val="whitespace-normal"/>
      </w:pPr>
      <w:r>
        <w:rPr>
          <w:rStyle w:val="Fett"/>
          <w:rFonts w:eastAsiaTheme="majorEastAsia"/>
        </w:rPr>
        <w:t>Hebräisch:</w:t>
      </w:r>
      <w:r>
        <w:t xml:space="preserve"> </w:t>
      </w:r>
      <w:r>
        <w:rPr>
          <w:rtl/>
        </w:rPr>
        <w:t>וּשְׂנֵאָהּ֮ הָאִ֣ישׁ הָאַחֲרוֹן֒ וְכָ֨תַב לָ֜הּ סֵ֤פֶר כְּרִיתֻת֙ וְנָתַ֣ן בְּיָדָ֔הּ וְשִׁלְּחָ֖הּ מִבֵּיתֹ֑ו א֣וֹ כִ֤י יָמוּת֙ הָאִ֣ישׁ הָאַחֲר֔וֹן אֲשֶׁר־לְקָחָ֥הּ לוֹ֖ לְאִשָּֽׁה׃</w:t>
      </w:r>
    </w:p>
    <w:p w14:paraId="40A87EA0" w14:textId="77777777" w:rsidR="00166F02" w:rsidRDefault="00166F02" w:rsidP="00166F02">
      <w:pPr>
        <w:pStyle w:val="whitespace-normal"/>
      </w:pPr>
      <w:r>
        <w:rPr>
          <w:rStyle w:val="Fett"/>
          <w:rFonts w:eastAsiaTheme="majorEastAsia"/>
        </w:rPr>
        <w:t>Deutsch:</w:t>
      </w:r>
      <w:r>
        <w:t xml:space="preserve"> Und der andere Mann hasst sie und schreibt ihr einen Scheidebrief und gibt ihn in ihre Hand und entlässt sie aus seinem Haus; oder wenn der andere Mann stirbt, der sie sich zur Frau genommen hat:</w:t>
      </w:r>
    </w:p>
    <w:p w14:paraId="1B0EA069" w14:textId="77777777" w:rsidR="00166F02" w:rsidRDefault="004F5CEB" w:rsidP="00166F02">
      <w:r>
        <w:rPr>
          <w:noProof/>
        </w:rPr>
        <w:pict w14:anchorId="455349FA">
          <v:rect id="_x0000_i1653" style="width:0;height:1.5pt" o:hralign="center" o:hrstd="t" o:hr="t" fillcolor="#a0a0a0" stroked="f"/>
        </w:pict>
      </w:r>
    </w:p>
    <w:p w14:paraId="1B2C9F48"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וּשְׂנֵאָהּ הָאִישׁ הָאַחֲרוֹן וְכָתַב לָהּ סֵפֶר כְּרִיתֻת וְנָתַן בְּיָדָהּ וְשִׁלְּחָהּ מִבֵּיתוֹ אוֹ כִי יָמוּת הָאִישׁ הָאַחֲרוֹן אֲשֶׁר־לְקָחָהּ לוֹ לְאִשָּׁה</w:t>
      </w:r>
      <w:r>
        <w:rPr>
          <w:rtl/>
        </w:rPr>
        <w:t xml:space="preserve"> </w:t>
      </w:r>
      <w:r>
        <w:t xml:space="preserve">ist eine Alternative mit zwei Möglichkeiten: </w:t>
      </w:r>
      <w:r>
        <w:rPr>
          <w:rStyle w:val="Fett"/>
          <w:rFonts w:eastAsiaTheme="majorEastAsia"/>
          <w:rtl/>
        </w:rPr>
        <w:t>וּשְׂנֵאָהּ הָאִישׁ הָאַחֲרוֹן וְכָתַב לָהּ סֵפֶר כְּרִיתֻת וְנָתַן בְּיָדָהּ וְשִׁלְּחָהּ מִבֵּיתוֹ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שׂנא</w:t>
      </w:r>
      <w:r>
        <w:t xml:space="preserve">, Qal Perfekt, 3. Person Maskulinum Singular, „hassen", mit Suffix 3. Person Femininum Singular, </w:t>
      </w:r>
      <w:r>
        <w:rPr>
          <w:rStyle w:val="Fett"/>
          <w:rFonts w:eastAsiaTheme="majorEastAsia"/>
          <w:rtl/>
        </w:rPr>
        <w:t>הָאִישׁ הָאַחֲרוֹן</w:t>
      </w:r>
      <w:r>
        <w:rPr>
          <w:rtl/>
        </w:rPr>
        <w:t xml:space="preserve"> </w:t>
      </w:r>
      <w:r>
        <w:t xml:space="preserve">als Subjekt, dann dieselbe Scheidungsformel wie V. 1: </w:t>
      </w:r>
      <w:r>
        <w:rPr>
          <w:rStyle w:val="Fett"/>
          <w:rFonts w:eastAsiaTheme="majorEastAsia"/>
          <w:rtl/>
        </w:rPr>
        <w:t>וְכָתַב לָהּ סֵפֶר כְּרִיתֻת וְנָתַן בְּיָדָהּ וְשִׁלְּחָהּ מִבֵּיתוֹ</w:t>
      </w:r>
      <w:r>
        <w:t xml:space="preserve">, mit </w:t>
      </w:r>
      <w:r>
        <w:rPr>
          <w:rStyle w:val="Fett"/>
          <w:rFonts w:eastAsiaTheme="majorEastAsia"/>
        </w:rPr>
        <w:t>Waw</w:t>
      </w:r>
      <w:r>
        <w:t xml:space="preserve"> consecutives Perfekt), </w:t>
      </w:r>
      <w:r>
        <w:rPr>
          <w:rStyle w:val="Fett"/>
          <w:rFonts w:eastAsiaTheme="majorEastAsia"/>
          <w:rtl/>
        </w:rPr>
        <w:t>אוֹ כִי יָמוּת הָאִישׁ הָאַחֲרוֹן אֲשֶׁר־לְקָחָהּ לוֹ לְאִשָּׁה</w:t>
      </w:r>
      <w:r>
        <w:rPr>
          <w:rtl/>
        </w:rPr>
        <w:t xml:space="preserve"> </w:t>
      </w:r>
      <w:r>
        <w:t>(</w:t>
      </w:r>
      <w:r>
        <w:rPr>
          <w:rStyle w:val="Fett"/>
          <w:rFonts w:eastAsiaTheme="majorEastAsia"/>
          <w:rtl/>
        </w:rPr>
        <w:t>אוֹ</w:t>
      </w:r>
      <w:r>
        <w:t xml:space="preserve">, „oder", Alternative, </w:t>
      </w:r>
      <w:r>
        <w:rPr>
          <w:rStyle w:val="Fett"/>
          <w:rFonts w:eastAsiaTheme="majorEastAsia"/>
          <w:rtl/>
        </w:rPr>
        <w:t>כִּי</w:t>
      </w:r>
      <w:r>
        <w:rPr>
          <w:rtl/>
        </w:rPr>
        <w:t xml:space="preserve"> </w:t>
      </w:r>
      <w:r>
        <w:t xml:space="preserve">mit </w:t>
      </w:r>
      <w:r>
        <w:rPr>
          <w:rStyle w:val="Fett"/>
          <w:rFonts w:eastAsiaTheme="majorEastAsia"/>
          <w:rtl/>
        </w:rPr>
        <w:t>מות</w:t>
      </w:r>
      <w:r>
        <w:t xml:space="preserve">, Qal Imperfekt, 3. Person Maskulinum Singular, „sterben", </w:t>
      </w:r>
      <w:r>
        <w:rPr>
          <w:rStyle w:val="Fett"/>
          <w:rFonts w:eastAsiaTheme="majorEastAsia"/>
          <w:rtl/>
        </w:rPr>
        <w:t>הָאִישׁ הָאַחֲרוֹן</w:t>
      </w:r>
      <w:r>
        <w:rPr>
          <w:rtl/>
        </w:rPr>
        <w:t xml:space="preserve"> </w:t>
      </w:r>
      <w:r>
        <w:t xml:space="preserve">als Subjekt, Relativsatz: </w:t>
      </w:r>
      <w:r>
        <w:rPr>
          <w:rStyle w:val="Fett"/>
          <w:rFonts w:eastAsiaTheme="majorEastAsia"/>
          <w:rtl/>
        </w:rPr>
        <w:t>אֲשֶׁר־לְקָחָהּ לוֹ לְאִשָּׁה</w:t>
      </w:r>
      <w:r>
        <w:rPr>
          <w:rtl/>
        </w:rPr>
        <w:t xml:space="preserve"> </w:t>
      </w:r>
      <w:r>
        <w:t xml:space="preserve">mit </w:t>
      </w:r>
      <w:r>
        <w:rPr>
          <w:rStyle w:val="Fett"/>
          <w:rFonts w:eastAsiaTheme="majorEastAsia"/>
          <w:rtl/>
        </w:rPr>
        <w:t>לקח</w:t>
      </w:r>
      <w:r>
        <w:t xml:space="preserve">, Qal Perfekt, 3. Person Maskulinum Singular, mit Suffix 3. Person Femininum Singular, </w:t>
      </w:r>
      <w:r>
        <w:rPr>
          <w:rStyle w:val="Fett"/>
          <w:rFonts w:eastAsiaTheme="majorEastAsia"/>
          <w:rtl/>
        </w:rPr>
        <w:t>לוֹ</w:t>
      </w:r>
      <w:r>
        <w:t xml:space="preserve">, Dativ, </w:t>
      </w:r>
      <w:r>
        <w:rPr>
          <w:rStyle w:val="Fett"/>
          <w:rFonts w:eastAsiaTheme="majorEastAsia"/>
          <w:rtl/>
        </w:rPr>
        <w:t>לְאִשָּׁה</w:t>
      </w:r>
      <w:r>
        <w:t>).</w:t>
      </w:r>
    </w:p>
    <w:p w14:paraId="19E75D68" w14:textId="77777777" w:rsidR="00166F02" w:rsidRDefault="00166F02" w:rsidP="00166F02">
      <w:pPr>
        <w:pStyle w:val="whitespace-normal"/>
      </w:pPr>
      <w:r>
        <w:t xml:space="preserve">Der Vers führt die Bedingungskette weiter: Zwei Szenarien für das Ende der zweiten Ehe. Szenario 1: </w:t>
      </w:r>
      <w:r>
        <w:rPr>
          <w:rStyle w:val="Fett"/>
          <w:rFonts w:eastAsiaTheme="majorEastAsia"/>
          <w:rtl/>
        </w:rPr>
        <w:t>וּשְׂנֵאָהּ הָאִישׁ הָאַחֲרוֹן וְכָתַב לָהּ סֵפֶר כְּרִיתֻת וְנָתַן בְּיָדָהּ וְשִׁלְּחָהּ מִבֵּיתוֹ</w:t>
      </w:r>
      <w:r>
        <w:rPr>
          <w:rtl/>
        </w:rPr>
        <w:t xml:space="preserve"> </w:t>
      </w:r>
      <w:r>
        <w:t xml:space="preserve">(„und hasst sie der andere Mann, und schreibt er ihr einen Scheidebrief, und gibt er in ihre Hand, und entlässt er sie aus seinem Haus"). Das Verb </w:t>
      </w:r>
      <w:r>
        <w:rPr>
          <w:rStyle w:val="Fett"/>
          <w:rFonts w:eastAsiaTheme="majorEastAsia"/>
          <w:rtl/>
        </w:rPr>
        <w:t>שׂנא</w:t>
      </w:r>
      <w:r>
        <w:rPr>
          <w:rtl/>
        </w:rPr>
        <w:t xml:space="preserve"> </w:t>
      </w:r>
      <w:r>
        <w:t xml:space="preserve">(„hassen") parallel zu </w:t>
      </w:r>
      <w:r>
        <w:rPr>
          <w:rStyle w:val="Fett"/>
          <w:rFonts w:eastAsiaTheme="majorEastAsia"/>
          <w:rtl/>
        </w:rPr>
        <w:t>לֹא תִמְצָא־חֵן בְּעֵינָיו</w:t>
      </w:r>
      <w:r>
        <w:rPr>
          <w:rtl/>
        </w:rPr>
        <w:t xml:space="preserve"> </w:t>
      </w:r>
      <w:r>
        <w:t xml:space="preserve">(„nicht finden Gunst in seinen Augen") aus V. 1 – der zweite Mann verliert ebenfalls die Zuneigung. Die Scheidungsformel wird wortwörtlich wiederholt aus V. 1: </w:t>
      </w:r>
      <w:r>
        <w:rPr>
          <w:rStyle w:val="Fett"/>
          <w:rFonts w:eastAsiaTheme="majorEastAsia"/>
          <w:rtl/>
        </w:rPr>
        <w:t>סֵפֶר כְּרִיתֻת</w:t>
      </w:r>
      <w:r>
        <w:t xml:space="preserve">, </w:t>
      </w:r>
      <w:r>
        <w:rPr>
          <w:rStyle w:val="Fett"/>
          <w:rFonts w:eastAsiaTheme="majorEastAsia"/>
          <w:rtl/>
        </w:rPr>
        <w:t>בְּיָדָהּ</w:t>
      </w:r>
      <w:r>
        <w:t xml:space="preserve">, </w:t>
      </w:r>
      <w:r>
        <w:rPr>
          <w:rStyle w:val="Fett"/>
          <w:rFonts w:eastAsiaTheme="majorEastAsia"/>
          <w:rtl/>
        </w:rPr>
        <w:t>שִׁלְּחָהּ מִבֵּיתוֹ</w:t>
      </w:r>
      <w:r>
        <w:t xml:space="preserve">. Szenario 2: </w:t>
      </w:r>
      <w:r>
        <w:rPr>
          <w:rStyle w:val="Fett"/>
          <w:rFonts w:eastAsiaTheme="majorEastAsia"/>
          <w:rtl/>
        </w:rPr>
        <w:t>אוֹ כִי יָמוּת הָאִישׁ הָאַחֲרוֹן אֲשֶׁר־לְקָחָהּ לוֹ לְאִשָּׁה</w:t>
      </w:r>
      <w:r>
        <w:rPr>
          <w:rtl/>
        </w:rPr>
        <w:t xml:space="preserve"> </w:t>
      </w:r>
      <w:r>
        <w:t>(„oder wenn stirbt der andere Mann, der sie sich genommen hat zur Frau"). Tod statt Scheidung – die Frau wird Witwe. In beiden Szenarien ist die zweite Ehe beendet, und die Frau ist wieder frei. V. 4 wird nun die eigentliche Anweisung geben – das Apodosis (Nachsatz) des ganzen Bedingungsgefüges.</w:t>
      </w:r>
    </w:p>
    <w:p w14:paraId="5BF726DC" w14:textId="77777777" w:rsidR="00166F02" w:rsidRDefault="00166F02" w:rsidP="00166F02">
      <w:pPr>
        <w:pStyle w:val="whitespace-normal"/>
      </w:pPr>
      <w:r>
        <w:rPr>
          <w:rStyle w:val="Fett"/>
          <w:rFonts w:eastAsiaTheme="majorEastAsia"/>
        </w:rPr>
        <w:lastRenderedPageBreak/>
        <w:t>Die Satzstruktur:</w:t>
      </w:r>
      <w:r>
        <w:t xml:space="preserve"> Alternative mit zwei Szenarien (und hasst sie der andere Mann, und schreibt er ihr einen Scheidebrief, und gibt er in ihre Hand, und entlässt er sie aus seinem Haus; oder wenn stirbt der andere Mann, der sie sich genommen hat zur Frau).</w:t>
      </w:r>
    </w:p>
    <w:p w14:paraId="522E5CA0" w14:textId="6C8A028A" w:rsidR="00166F02" w:rsidRDefault="00166F02" w:rsidP="00AB12A0">
      <w:pPr>
        <w:pStyle w:val="whitespace-normal"/>
      </w:pPr>
      <w:r>
        <w:rPr>
          <w:rStyle w:val="Fett"/>
          <w:rFonts w:eastAsiaTheme="majorEastAsia"/>
        </w:rPr>
        <w:t>Der Vers beschreibt:</w:t>
      </w:r>
      <w:r>
        <w:t xml:space="preserve"> Zwei Möglichkeiten für das Ende der zweiten Ehe – entweder Scheidung durch den zweiten Mann oder sein Tod.</w:t>
      </w:r>
    </w:p>
    <w:p w14:paraId="57A44EA6" w14:textId="77777777" w:rsidR="00166F02" w:rsidRPr="00713867" w:rsidRDefault="00166F02" w:rsidP="00B53ACC">
      <w:pPr>
        <w:pStyle w:val="Bibelberschrift"/>
      </w:pPr>
      <w:r w:rsidRPr="00713867">
        <w:rPr>
          <w:rStyle w:val="Fett"/>
          <w:b/>
          <w:bCs w:val="0"/>
        </w:rPr>
        <w:t>Deuteronomium 24,4</w:t>
      </w:r>
    </w:p>
    <w:p w14:paraId="556A1F0E" w14:textId="77777777" w:rsidR="00166F02" w:rsidRDefault="00166F02" w:rsidP="00166F02">
      <w:pPr>
        <w:pStyle w:val="whitespace-normal"/>
      </w:pPr>
      <w:r>
        <w:rPr>
          <w:rStyle w:val="Fett"/>
          <w:rFonts w:eastAsiaTheme="majorEastAsia"/>
        </w:rPr>
        <w:t>Hebräisch:</w:t>
      </w:r>
      <w:r>
        <w:t xml:space="preserve"> </w:t>
      </w:r>
      <w:r>
        <w:rPr>
          <w:rtl/>
        </w:rPr>
        <w:t>לֹא־יוּכַ֣ל בַּעְלָ֣הּ הָרִאשׁ֣וֹן אֲשֶֽׁר־שִׁ֠לְּחָהּ לָשׁ֨וּב לְקַחְתָּ֜הּ לִהְי֧וֹת לוֹ֣ לְאִשָּׁ֗ה אַחֲרֵי֙ אֲשֶׁ֣ר הֻטַּמָּ֔אָה כִּֽי־תוֹעֵבָ֥ה הִ֖וא לִפְנֵ֣י יְהוָ֑ה וְלֹ֤א תַחֲטִיא֙ אֶת־הָאָ֔רֶץ אֲשֶׁר֙ יְהוָ֣ה אֱלֹהֶ֔יךָ נֹתֵ֥ן לְךָ֖ נַחֲלָֽה׃</w:t>
      </w:r>
    </w:p>
    <w:p w14:paraId="63363360" w14:textId="77777777" w:rsidR="00166F02" w:rsidRDefault="00166F02" w:rsidP="00166F02">
      <w:pPr>
        <w:pStyle w:val="whitespace-normal"/>
      </w:pPr>
      <w:r>
        <w:rPr>
          <w:rStyle w:val="Fett"/>
          <w:rFonts w:eastAsiaTheme="majorEastAsia"/>
        </w:rPr>
        <w:t>Deutsch:</w:t>
      </w:r>
      <w:r>
        <w:t xml:space="preserve"> Nicht darf ihr erster Mann, der sie entlassen hat, zurückkehren, sie zu nehmen, dass sie ihm zur Frau sei, nachdem sie verunreinigt worden ist; denn ein Gräuel ist dies vor JHWH. Und du sollst das Land nicht zur Sünde verführen, das JHWH, dein Gott, dir als Erbe gibt.</w:t>
      </w:r>
    </w:p>
    <w:p w14:paraId="315DDB2B" w14:textId="77777777" w:rsidR="00166F02" w:rsidRDefault="004F5CEB" w:rsidP="00166F02">
      <w:r>
        <w:rPr>
          <w:noProof/>
        </w:rPr>
        <w:pict w14:anchorId="595C861F">
          <v:rect id="_x0000_i1654" style="width:0;height:1.5pt" o:hralign="center" o:hrstd="t" o:hr="t" fillcolor="#a0a0a0" stroked="f"/>
        </w:pict>
      </w:r>
    </w:p>
    <w:p w14:paraId="78ADCCAC"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לֹא־יוּכַל בַּעְלָהּ הָרִאשׁוֹן אֲשֶׁר־שִׁלְּחָהּ לָשׁוּב לְקַחְתָּהּ לִהְיוֹת לוֹ לְאִשָּׁה אַחֲרֵי אֲשֶׁר הֻטַּמָּאָה</w:t>
      </w:r>
      <w:r>
        <w:rPr>
          <w:rtl/>
        </w:rPr>
        <w:t xml:space="preserve"> </w:t>
      </w:r>
      <w:r>
        <w:t xml:space="preserve">ist das Verbot (Apodosis): </w:t>
      </w:r>
      <w:r>
        <w:rPr>
          <w:rStyle w:val="Fett"/>
          <w:rFonts w:eastAsiaTheme="majorEastAsia"/>
          <w:rtl/>
        </w:rPr>
        <w:t>לֹא־יוּכַל בַּעְלָהּ הָרִאשׁוֹן אֲשֶׁר־שִׁלְּחָהּ</w:t>
      </w:r>
      <w:r>
        <w:rPr>
          <w:rtl/>
        </w:rPr>
        <w:t xml:space="preserve"> </w:t>
      </w:r>
      <w:r>
        <w:t xml:space="preserve">(Negation mit </w:t>
      </w:r>
      <w:r>
        <w:rPr>
          <w:rStyle w:val="Fett"/>
          <w:rFonts w:eastAsiaTheme="majorEastAsia"/>
          <w:rtl/>
        </w:rPr>
        <w:t>יכל</w:t>
      </w:r>
      <w:r>
        <w:t xml:space="preserve">, Qal Imperfekt, 3. Person Maskulinum Singular, „können, dürfen", </w:t>
      </w:r>
      <w:r>
        <w:rPr>
          <w:rStyle w:val="Fett"/>
          <w:rFonts w:eastAsiaTheme="majorEastAsia"/>
          <w:rtl/>
        </w:rPr>
        <w:t>בַּעַל</w:t>
      </w:r>
      <w:r>
        <w:t xml:space="preserve">, „Herr, Ehemann", mit Suffix 3. Person Femininum Singular, </w:t>
      </w:r>
      <w:r>
        <w:rPr>
          <w:rStyle w:val="Fett"/>
          <w:rFonts w:eastAsiaTheme="majorEastAsia"/>
          <w:rtl/>
        </w:rPr>
        <w:t>הָרִאשׁוֹן</w:t>
      </w:r>
      <w:r>
        <w:t xml:space="preserve">, „der erste", Relativsatz: </w:t>
      </w:r>
      <w:r>
        <w:rPr>
          <w:rStyle w:val="Fett"/>
          <w:rFonts w:eastAsiaTheme="majorEastAsia"/>
          <w:rtl/>
        </w:rPr>
        <w:t>אֲשֶׁר־שִׁלְּחָהּ</w:t>
      </w:r>
      <w:r>
        <w:rPr>
          <w:rtl/>
        </w:rPr>
        <w:t xml:space="preserve"> </w:t>
      </w:r>
      <w:r>
        <w:t xml:space="preserve">mit </w:t>
      </w:r>
      <w:r>
        <w:rPr>
          <w:rStyle w:val="Fett"/>
          <w:rFonts w:eastAsiaTheme="majorEastAsia"/>
          <w:rtl/>
        </w:rPr>
        <w:t>שׁלח</w:t>
      </w:r>
      <w:r>
        <w:t xml:space="preserve">, Piel Perfekt, 3. Person Maskulinum Singular, mit Suffix 3. Person Femininum Singular), </w:t>
      </w:r>
      <w:r>
        <w:rPr>
          <w:rStyle w:val="Fett"/>
          <w:rFonts w:eastAsiaTheme="majorEastAsia"/>
          <w:rtl/>
        </w:rPr>
        <w:t>לָשׁוּב לְקַחְתָּהּ לִהְיוֹת לוֹ לְאִשָּׁה</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שׁוב</w:t>
      </w:r>
      <w:r>
        <w:t xml:space="preserve">, „zurückkehren", Präposition </w:t>
      </w:r>
      <w:r>
        <w:rPr>
          <w:rStyle w:val="Fett"/>
          <w:rFonts w:eastAsiaTheme="majorEastAsia"/>
          <w:rtl/>
        </w:rPr>
        <w:t>לְ</w:t>
      </w:r>
      <w:r>
        <w:rPr>
          <w:rtl/>
        </w:rPr>
        <w:t xml:space="preserve"> </w:t>
      </w:r>
      <w:r>
        <w:t xml:space="preserve">mit Qal Infinitiv Construct von </w:t>
      </w:r>
      <w:r>
        <w:rPr>
          <w:rStyle w:val="Fett"/>
          <w:rFonts w:eastAsiaTheme="majorEastAsia"/>
          <w:rtl/>
        </w:rPr>
        <w:t>לקח</w:t>
      </w:r>
      <w:r>
        <w:t xml:space="preserve">, mit Suffix 3. Person Femininum Singular, Präposition </w:t>
      </w:r>
      <w:r>
        <w:rPr>
          <w:rStyle w:val="Fett"/>
          <w:rFonts w:eastAsiaTheme="majorEastAsia"/>
          <w:rtl/>
        </w:rPr>
        <w:t>לְ</w:t>
      </w:r>
      <w:r>
        <w:rPr>
          <w:rtl/>
        </w:rPr>
        <w:t xml:space="preserve"> </w:t>
      </w:r>
      <w:r>
        <w:t xml:space="preserve">mit Qal Infinitiv Construct von </w:t>
      </w:r>
      <w:r>
        <w:rPr>
          <w:rStyle w:val="Fett"/>
          <w:rFonts w:eastAsiaTheme="majorEastAsia"/>
          <w:rtl/>
        </w:rPr>
        <w:t>היה</w:t>
      </w:r>
      <w:r>
        <w:t xml:space="preserve">, „sein", </w:t>
      </w:r>
      <w:r>
        <w:rPr>
          <w:rStyle w:val="Fett"/>
          <w:rFonts w:eastAsiaTheme="majorEastAsia"/>
          <w:rtl/>
        </w:rPr>
        <w:t>לוֹ לְאִשָּׁה</w:t>
      </w:r>
      <w:r>
        <w:t xml:space="preserve">, Dativ mit Präposition </w:t>
      </w:r>
      <w:r>
        <w:rPr>
          <w:rStyle w:val="Fett"/>
          <w:rFonts w:eastAsiaTheme="majorEastAsia"/>
          <w:rtl/>
        </w:rPr>
        <w:t>לְ</w:t>
      </w:r>
      <w:r>
        <w:rPr>
          <w:rtl/>
        </w:rPr>
        <w:t xml:space="preserve"> </w:t>
      </w:r>
      <w:r>
        <w:t xml:space="preserve">und </w:t>
      </w:r>
      <w:r>
        <w:rPr>
          <w:rStyle w:val="Fett"/>
          <w:rFonts w:eastAsiaTheme="majorEastAsia"/>
          <w:rtl/>
        </w:rPr>
        <w:t>אִשָּׁה</w:t>
      </w:r>
      <w:r>
        <w:t xml:space="preserve">), </w:t>
      </w:r>
      <w:r>
        <w:rPr>
          <w:rStyle w:val="Fett"/>
          <w:rFonts w:eastAsiaTheme="majorEastAsia"/>
          <w:rtl/>
        </w:rPr>
        <w:t>אַחֲרֵי אֲשֶׁר הֻטַּמָּאָה</w:t>
      </w:r>
      <w:r>
        <w:rPr>
          <w:rtl/>
        </w:rPr>
        <w:t xml:space="preserve"> </w:t>
      </w:r>
      <w:r>
        <w:t xml:space="preserve">(Präposition </w:t>
      </w:r>
      <w:r>
        <w:rPr>
          <w:rStyle w:val="Fett"/>
          <w:rFonts w:eastAsiaTheme="majorEastAsia"/>
          <w:rtl/>
        </w:rPr>
        <w:t>אַחֲרֵי</w:t>
      </w:r>
      <w:r>
        <w:t xml:space="preserve">, „nach, nachdem", Relativsatz: </w:t>
      </w:r>
      <w:r>
        <w:rPr>
          <w:rStyle w:val="Fett"/>
          <w:rFonts w:eastAsiaTheme="majorEastAsia"/>
          <w:rtl/>
        </w:rPr>
        <w:t>אֲשֶׁר</w:t>
      </w:r>
      <w:r>
        <w:rPr>
          <w:rtl/>
        </w:rPr>
        <w:t xml:space="preserve"> </w:t>
      </w:r>
      <w:r>
        <w:t xml:space="preserve">mit </w:t>
      </w:r>
      <w:r>
        <w:rPr>
          <w:rStyle w:val="Fett"/>
          <w:rFonts w:eastAsiaTheme="majorEastAsia"/>
          <w:rtl/>
        </w:rPr>
        <w:t>טמא</w:t>
      </w:r>
      <w:r>
        <w:t>, Pual Perfekt, 3. Person Femininum Singular, „verunreinigt werden" – Passiv).</w:t>
      </w:r>
    </w:p>
    <w:p w14:paraId="3E91CA56" w14:textId="77777777" w:rsidR="00166F02" w:rsidRDefault="00166F02" w:rsidP="00166F02">
      <w:pPr>
        <w:pStyle w:val="whitespace-normal"/>
      </w:pPr>
      <w:r>
        <w:rPr>
          <w:rStyle w:val="Fett"/>
          <w:rFonts w:eastAsiaTheme="majorEastAsia"/>
          <w:rtl/>
        </w:rPr>
        <w:t>כִּי־תוֹעֵבָה הִוא לִפְנֵי יְהוָה וְלֹא תַחֲטִיא אֶת־הָאָרֶץ אֲשֶׁר יְהוָה אֱלֹהֶיךָ נֹתֵן לְךָ נַחֲלָה</w:t>
      </w:r>
      <w:r>
        <w:rPr>
          <w:rtl/>
        </w:rPr>
        <w:t xml:space="preserve"> </w:t>
      </w:r>
      <w:r>
        <w:t xml:space="preserve">ist die Begründung: </w:t>
      </w:r>
      <w:r>
        <w:rPr>
          <w:rStyle w:val="Fett"/>
          <w:rFonts w:eastAsiaTheme="majorEastAsia"/>
          <w:rtl/>
        </w:rPr>
        <w:t>כִּי־תוֹעֵבָה הִוא לִפְנֵי יְהוָה</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תּוֹעֵבָה</w:t>
      </w:r>
      <w:r>
        <w:t xml:space="preserve">, </w:t>
      </w:r>
      <w:r>
        <w:rPr>
          <w:rStyle w:val="Fett"/>
          <w:rFonts w:eastAsiaTheme="majorEastAsia"/>
          <w:rtl/>
        </w:rPr>
        <w:t>הִוא</w:t>
      </w:r>
      <w:r>
        <w:rPr>
          <w:rtl/>
        </w:rPr>
        <w:t xml:space="preserve"> </w:t>
      </w:r>
      <w:r>
        <w:t xml:space="preserve">als Kopula, </w:t>
      </w:r>
      <w:r>
        <w:rPr>
          <w:rStyle w:val="Fett"/>
          <w:rFonts w:eastAsiaTheme="majorEastAsia"/>
          <w:rtl/>
        </w:rPr>
        <w:t>לִפְנֵי יְהוָה</w:t>
      </w:r>
      <w:r>
        <w:t xml:space="preserve">), </w:t>
      </w:r>
      <w:r>
        <w:rPr>
          <w:rStyle w:val="Fett"/>
          <w:rFonts w:eastAsiaTheme="majorEastAsia"/>
          <w:rtl/>
        </w:rPr>
        <w:t>וְלֹא תַחֲטִיא אֶת־הָאָרֶץ אֲשֶׁר יְהוָה אֱלֹהֶיךָ נֹתֵן לְךָ נַחֲלָה</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חטא</w:t>
      </w:r>
      <w:r>
        <w:t xml:space="preserve">, Hiphil Imperfekt, 2. Person Maskulinum Singular, „sündigen machen, zur Sünde verführen", Objektpartikel </w:t>
      </w:r>
      <w:r>
        <w:rPr>
          <w:rStyle w:val="Fett"/>
          <w:rFonts w:eastAsiaTheme="majorEastAsia"/>
          <w:rtl/>
        </w:rPr>
        <w:t>אֵת</w:t>
      </w:r>
      <w:r>
        <w:rPr>
          <w:rtl/>
        </w:rPr>
        <w:t xml:space="preserve"> </w:t>
      </w:r>
      <w:r>
        <w:t xml:space="preserve">mit </w:t>
      </w:r>
      <w:r>
        <w:rPr>
          <w:rStyle w:val="Fett"/>
          <w:rFonts w:eastAsiaTheme="majorEastAsia"/>
          <w:rtl/>
        </w:rPr>
        <w:t>אֶרֶץ</w:t>
      </w:r>
      <w:r>
        <w:rPr>
          <w:rtl/>
        </w:rPr>
        <w:t xml:space="preserve"> </w:t>
      </w:r>
      <w:r>
        <w:t xml:space="preserve">mit Artikel, Relativsatz: </w:t>
      </w:r>
      <w:r>
        <w:rPr>
          <w:rStyle w:val="Fett"/>
          <w:rFonts w:eastAsiaTheme="majorEastAsia"/>
          <w:rtl/>
        </w:rPr>
        <w:t>אֲשֶׁר יְהוָה אֱלֹהֶיךָ נֹתֵן לְךָ נַחֲלָה</w:t>
      </w:r>
      <w:r>
        <w:rPr>
          <w:rtl/>
        </w:rPr>
        <w:t xml:space="preserve"> </w:t>
      </w:r>
      <w:r>
        <w:t>– die übliche Formel).</w:t>
      </w:r>
    </w:p>
    <w:p w14:paraId="7A0C15C9" w14:textId="71C60301" w:rsidR="00166F02" w:rsidRDefault="00166F02" w:rsidP="00166F02">
      <w:pPr>
        <w:pStyle w:val="whitespace-normal"/>
      </w:pPr>
      <w:r>
        <w:t xml:space="preserve">Der Vers gibt endlich die eigentliche Anweisung – nach der langen Bedingungskette V. 1-3. Das Verbot: </w:t>
      </w:r>
      <w:r>
        <w:rPr>
          <w:rStyle w:val="Fett"/>
          <w:rFonts w:eastAsiaTheme="majorEastAsia"/>
          <w:rtl/>
        </w:rPr>
        <w:t>לֹא־יוּכַל בַּעְלָהּ הָרִאשׁוֹן אֲשֶׁר־שִׁלְּחָהּ לָשׁוּב לְקַחְתָּהּ לִהְיוֹת לוֹ לְאִשָּׁה אַחֲרֵי אֲשֶׁר הֻטַּמָּאָה</w:t>
      </w:r>
      <w:r>
        <w:rPr>
          <w:rtl/>
        </w:rPr>
        <w:t xml:space="preserve"> </w:t>
      </w:r>
      <w:r>
        <w:t xml:space="preserve">(„nicht darf ihr erster Mann, der sie entlassen hat, zurückkehren, sie zu nehmen, dass sie ihm sei zur Frau, nachdem sie verunreinigt worden ist"). Der </w:t>
      </w:r>
      <w:r>
        <w:rPr>
          <w:rStyle w:val="Fett"/>
          <w:rFonts w:eastAsiaTheme="majorEastAsia"/>
          <w:rtl/>
        </w:rPr>
        <w:t>בַּעְלָהּ הָרִאשׁוֹן</w:t>
      </w:r>
      <w:r>
        <w:rPr>
          <w:rtl/>
        </w:rPr>
        <w:t xml:space="preserve"> </w:t>
      </w:r>
      <w:r>
        <w:t xml:space="preserve">(„ihr erster Ehemann") – im Gegensatz zu </w:t>
      </w:r>
      <w:r>
        <w:rPr>
          <w:rStyle w:val="Fett"/>
          <w:rFonts w:eastAsiaTheme="majorEastAsia"/>
          <w:rtl/>
        </w:rPr>
        <w:t>הָאִישׁ הָאַחֲרוֹן</w:t>
      </w:r>
      <w:r>
        <w:rPr>
          <w:rtl/>
        </w:rPr>
        <w:t xml:space="preserve"> </w:t>
      </w:r>
      <w:r>
        <w:t xml:space="preserve">(„der andere/zweite Mann") aus V. 3. Die Infinitivkonstruktion </w:t>
      </w:r>
      <w:r>
        <w:rPr>
          <w:rStyle w:val="Fett"/>
          <w:rFonts w:eastAsiaTheme="majorEastAsia"/>
          <w:rtl/>
        </w:rPr>
        <w:t>לָשׁוּב לְקַחְתָּהּ לִהְיוֹת לוֹ לְאִשָּׁה</w:t>
      </w:r>
      <w:r>
        <w:rPr>
          <w:rtl/>
        </w:rPr>
        <w:t xml:space="preserve"> </w:t>
      </w:r>
      <w:r>
        <w:t xml:space="preserve">(„zurückkehren, sie zu nehmen, dass sie ihm sei zur Frau") – er darf sie nicht wieder heiraten. Die entscheidende Wendung: </w:t>
      </w:r>
      <w:r>
        <w:rPr>
          <w:rStyle w:val="Fett"/>
          <w:rFonts w:eastAsiaTheme="majorEastAsia"/>
          <w:rtl/>
        </w:rPr>
        <w:t>אַחֲרֵי אֲשֶׁר הֻטַּמָּאָה</w:t>
      </w:r>
      <w:r>
        <w:rPr>
          <w:rtl/>
        </w:rPr>
        <w:t xml:space="preserve"> </w:t>
      </w:r>
      <w:r>
        <w:t xml:space="preserve">(„nachdem sie verunreinigt worden ist"). Das Verb </w:t>
      </w:r>
      <w:r>
        <w:rPr>
          <w:rStyle w:val="Fett"/>
          <w:rFonts w:eastAsiaTheme="majorEastAsia"/>
          <w:rtl/>
        </w:rPr>
        <w:t>טמא</w:t>
      </w:r>
      <w:r>
        <w:rPr>
          <w:rtl/>
        </w:rPr>
        <w:t xml:space="preserve"> </w:t>
      </w:r>
      <w:r>
        <w:t xml:space="preserve">im Pual („verunreinigt werden") ist umstritten: (1) Rituelle Verunreinigung durch die zweite Ehe? (2) Moralische Verunreinigung? (3) Technischer Begriff für den Status nach Scheidung und Wiederverheiratung? Die Wurzel </w:t>
      </w:r>
      <w:r>
        <w:rPr>
          <w:rStyle w:val="Fett"/>
          <w:rFonts w:eastAsiaTheme="majorEastAsia"/>
          <w:rtl/>
        </w:rPr>
        <w:t>טמא</w:t>
      </w:r>
      <w:r>
        <w:rPr>
          <w:rtl/>
        </w:rPr>
        <w:t xml:space="preserve"> </w:t>
      </w:r>
      <w:r>
        <w:t xml:space="preserve">bezeichnet normalerweise kultische Unreinheit (Lev 11-15). Hier wahrscheinlich: Die Frau ist durch die zweite Ehe in Bezug auf den ersten Mann </w:t>
      </w:r>
      <w:r>
        <w:lastRenderedPageBreak/>
        <w:t xml:space="preserve">„unrein" geworden – sie kann nicht zu ihm zurückkehren. Die doppelte Begründung: (1) </w:t>
      </w:r>
      <w:r>
        <w:rPr>
          <w:rStyle w:val="Fett"/>
          <w:rFonts w:eastAsiaTheme="majorEastAsia"/>
          <w:rtl/>
        </w:rPr>
        <w:t>כִּי־תוֹעֵבָה הִוא לִפְנֵי יְהוָה</w:t>
      </w:r>
      <w:r>
        <w:rPr>
          <w:rtl/>
        </w:rPr>
        <w:t xml:space="preserve"> </w:t>
      </w:r>
      <w:r>
        <w:t xml:space="preserve">(„denn ein Gräuel ist dies vor JHWH"). Das Wort </w:t>
      </w:r>
      <w:r>
        <w:rPr>
          <w:rStyle w:val="Fett"/>
          <w:rFonts w:eastAsiaTheme="majorEastAsia"/>
          <w:rtl/>
        </w:rPr>
        <w:t>תּוֹעֵבָה</w:t>
      </w:r>
      <w:r>
        <w:rPr>
          <w:rtl/>
        </w:rPr>
        <w:t xml:space="preserve"> </w:t>
      </w:r>
      <w:r>
        <w:t xml:space="preserve">(„Gräuel") ist stark (vgl. 22,5; 23,19; 25,16). (2) </w:t>
      </w:r>
      <w:r>
        <w:rPr>
          <w:rStyle w:val="Fett"/>
          <w:rFonts w:eastAsiaTheme="majorEastAsia"/>
          <w:rtl/>
        </w:rPr>
        <w:t>וְלֹא תַחֲטִיא אֶת־הָאָרֶץ אֲשֶׁר יְהוָה אֱלֹהֶיךָ נֹתֵן לְךָ נַחֲלָה</w:t>
      </w:r>
      <w:r>
        <w:rPr>
          <w:rtl/>
        </w:rPr>
        <w:t xml:space="preserve"> </w:t>
      </w:r>
      <w:r>
        <w:t xml:space="preserve">(„und nicht zur Sünde verführen sollst du das Land, das JHWH, dein Gott, dir gibt als Erbe"). Das Verb </w:t>
      </w:r>
      <w:r>
        <w:rPr>
          <w:rStyle w:val="Fett"/>
          <w:rFonts w:eastAsiaTheme="majorEastAsia"/>
          <w:rtl/>
        </w:rPr>
        <w:t>חטא</w:t>
      </w:r>
      <w:r>
        <w:rPr>
          <w:rtl/>
        </w:rPr>
        <w:t xml:space="preserve"> </w:t>
      </w:r>
      <w:r>
        <w:t xml:space="preserve">im Hiphil („sündigen machen, zur Sünde verführen") – solche Wiederverheiratung würde das Land mit Sünde beflecken. Die Ratio dieses Gesetzes ist umstritten: (1) Schutz vor leichtfertiger Scheidung und Wiederverheiratung? (2) Verhinderung von Missbrauch – ein Mann könnte sonst seine Frau „verleihen" und zurücknehmen? (3) Die zweite Ehe schafft eine unumkehrbare Veränderung? Wichtig: Der Text </w:t>
      </w:r>
      <w:r>
        <w:rPr>
          <w:rStyle w:val="Fett"/>
          <w:rFonts w:eastAsiaTheme="majorEastAsia"/>
        </w:rPr>
        <w:t>reguliert</w:t>
      </w:r>
      <w:r>
        <w:t xml:space="preserve"> Scheidung, </w:t>
      </w:r>
      <w:r>
        <w:rPr>
          <w:rStyle w:val="Fett"/>
          <w:rFonts w:eastAsiaTheme="majorEastAsia"/>
        </w:rPr>
        <w:t>fordert</w:t>
      </w:r>
      <w:r>
        <w:t xml:space="preserve"> sie aber nicht. Jesus zitiert diesen Text in Mt 19,7-8; Mk 10,4-5 und betont: Mose erlaubte Scheidung </w:t>
      </w:r>
      <w:r>
        <w:rPr>
          <w:rStyle w:val="Fett"/>
          <w:rFonts w:eastAsiaTheme="majorEastAsia"/>
        </w:rPr>
        <w:t>wegen der Herzenshärte</w:t>
      </w:r>
      <w:r>
        <w:t xml:space="preserve">, aber </w:t>
      </w:r>
      <w:r>
        <w:rPr>
          <w:rStyle w:val="Fett"/>
          <w:rFonts w:eastAsiaTheme="majorEastAsia"/>
        </w:rPr>
        <w:t>von Anfang an war es nicht so</w:t>
      </w:r>
      <w:r>
        <w:t>. Das Gesetz ist eine Konzession an die menschliche Schwäche, schützt aber gleichzeitig die Frau durch das Erfordernis eines schriftlichen Scheidebriefs.</w:t>
      </w:r>
    </w:p>
    <w:p w14:paraId="546E365F" w14:textId="25FB4809" w:rsidR="00F0029F" w:rsidRDefault="00F0029F" w:rsidP="00166F02">
      <w:pPr>
        <w:pStyle w:val="whitespace-normal"/>
      </w:pPr>
      <w:r>
        <w:rPr>
          <w:rStyle w:val="Fett"/>
        </w:rPr>
        <w:t>Die LXX</w:t>
      </w:r>
      <w:r>
        <w:t xml:space="preserve"> übersetzt </w:t>
      </w:r>
      <w:r>
        <w:rPr>
          <w:rtl/>
        </w:rPr>
        <w:t>אַחֲרֵי אֲשֶׁר הֻטַּמָּאָה</w:t>
      </w:r>
      <w:r>
        <w:t xml:space="preserve"> (nachdem sie verunreinigt wurde) mit </w:t>
      </w:r>
      <w:proofErr w:type="spellStart"/>
      <w:r>
        <w:t>μετὰ</w:t>
      </w:r>
      <w:proofErr w:type="spellEnd"/>
      <w:r>
        <w:t xml:space="preserve"> </w:t>
      </w:r>
      <w:proofErr w:type="spellStart"/>
      <w:r>
        <w:t>τὸ</w:t>
      </w:r>
      <w:proofErr w:type="spellEnd"/>
      <w:r>
        <w:t xml:space="preserve"> </w:t>
      </w:r>
      <w:proofErr w:type="spellStart"/>
      <w:r>
        <w:t>μι</w:t>
      </w:r>
      <w:proofErr w:type="spellEnd"/>
      <w:r>
        <w:t>ανθῆναι α</w:t>
      </w:r>
      <w:proofErr w:type="spellStart"/>
      <w:r>
        <w:t>ὐτήν</w:t>
      </w:r>
      <w:proofErr w:type="spellEnd"/>
      <w:r>
        <w:t xml:space="preserve"> (nachdem sie verunreinigt wurde) – eine präzise Entsprechung. Das Verb ἐπανα</w:t>
      </w:r>
      <w:proofErr w:type="spellStart"/>
      <w:r>
        <w:t>στρέψ</w:t>
      </w:r>
      <w:proofErr w:type="spellEnd"/>
      <w:r>
        <w:t xml:space="preserve">ας (zurückkehrend) für </w:t>
      </w:r>
      <w:r>
        <w:rPr>
          <w:rtl/>
        </w:rPr>
        <w:t>לָשׁוּב</w:t>
      </w:r>
      <w:r>
        <w:t xml:space="preserve"> betont die Rückkehr.</w:t>
      </w:r>
    </w:p>
    <w:p w14:paraId="3CACCA56" w14:textId="77777777" w:rsidR="00166F02" w:rsidRDefault="00166F02" w:rsidP="00166F02">
      <w:pPr>
        <w:pStyle w:val="whitespace-normal"/>
      </w:pPr>
      <w:r>
        <w:rPr>
          <w:rStyle w:val="Fett"/>
          <w:rFonts w:eastAsiaTheme="majorEastAsia"/>
        </w:rPr>
        <w:t>Die Satzstruktur:</w:t>
      </w:r>
      <w:r>
        <w:t xml:space="preserve"> Verbot mit doppelter Begründung (nicht darf ihr erster Mann, der sie entlassen hat, zurückkehren, sie zu nehmen, dass sie ihm sei zur Frau, nachdem sie verunreinigt worden ist; denn ein Gräuel ist dies vor JHWH, und nicht zur Sünde verführen sollst du das Land, das JHWH, dein Gott, dir gibt als Erbe).</w:t>
      </w:r>
    </w:p>
    <w:p w14:paraId="3210259C" w14:textId="0E47B0DB" w:rsidR="00166F02" w:rsidRDefault="00166F02" w:rsidP="00AB12A0">
      <w:pPr>
        <w:pStyle w:val="whitespace-normal"/>
      </w:pPr>
      <w:r>
        <w:rPr>
          <w:rStyle w:val="Fett"/>
          <w:rFonts w:eastAsiaTheme="majorEastAsia"/>
        </w:rPr>
        <w:t>Der Vers beschreibt:</w:t>
      </w:r>
      <w:r>
        <w:t xml:space="preserve"> Das eigentliche Verbot nach der langen Bedingungskette – der erste Mann darf die Frau nicht wieder heiraten, nachdem sie einen anderen geheiratet hat; dies wäre ein Gräuel vor JHWH.</w:t>
      </w:r>
    </w:p>
    <w:p w14:paraId="307FA3DF" w14:textId="77777777" w:rsidR="00166F02" w:rsidRPr="00713867" w:rsidRDefault="00166F02" w:rsidP="00B53ACC">
      <w:pPr>
        <w:pStyle w:val="Bibelberschrift"/>
      </w:pPr>
      <w:r w:rsidRPr="00713867">
        <w:rPr>
          <w:rStyle w:val="Fett"/>
          <w:b/>
          <w:bCs w:val="0"/>
        </w:rPr>
        <w:t>Deuteronomium 24,5</w:t>
      </w:r>
    </w:p>
    <w:p w14:paraId="2BBE5F74" w14:textId="77777777" w:rsidR="00166F02" w:rsidRDefault="00166F02" w:rsidP="00166F02">
      <w:pPr>
        <w:pStyle w:val="whitespace-normal"/>
      </w:pPr>
      <w:r>
        <w:rPr>
          <w:rStyle w:val="Fett"/>
          <w:rFonts w:eastAsiaTheme="majorEastAsia"/>
        </w:rPr>
        <w:t>Hebräisch:</w:t>
      </w:r>
      <w:r>
        <w:t xml:space="preserve"> </w:t>
      </w:r>
      <w:r>
        <w:rPr>
          <w:rtl/>
        </w:rPr>
        <w:t>כִּֽי־יִקַּ֥ח אִישׁ֙ אִשָּׁ֣ה חֲדָשָׁ֔ה לֹ֤א יֵצֵא֙ בַּצָּבָ֔א וְלֹא־יַעֲבֹ֥ר עָלָ֖יו לְכָל־דָּבָ֑ר נָקִ֞י יִהְיֶ֤ה לְבֵיתוֹ֙ שָׁנָ֣ה אֶחָ֔ת וְשִׂמַּ֖ח אֶת־אִשְׁתּוֹ֥ אֲשֶׁר־לָקָֽח׃</w:t>
      </w:r>
    </w:p>
    <w:p w14:paraId="4160BCE2" w14:textId="77777777" w:rsidR="00166F02" w:rsidRDefault="00166F02" w:rsidP="00166F02">
      <w:pPr>
        <w:pStyle w:val="whitespace-normal"/>
      </w:pPr>
      <w:r>
        <w:rPr>
          <w:rStyle w:val="Fett"/>
          <w:rFonts w:eastAsiaTheme="majorEastAsia"/>
        </w:rPr>
        <w:t>Deutsch:</w:t>
      </w:r>
      <w:r>
        <w:t xml:space="preserve"> Wenn ein Mann kürzlich eine Frau geheiratet hat, soll er nicht mit dem Heer ausziehen, und es soll keine Verpflichtung auf ihn gelegt werden; frei soll er sein für sein Haus ein Jahr, und er soll seine Frau erfreuen, die er genommen hat.</w:t>
      </w:r>
    </w:p>
    <w:p w14:paraId="373AF87A" w14:textId="77777777" w:rsidR="00166F02" w:rsidRDefault="004F5CEB" w:rsidP="00166F02">
      <w:r>
        <w:rPr>
          <w:noProof/>
        </w:rPr>
        <w:pict w14:anchorId="7E76D1FB">
          <v:rect id="_x0000_i1655" style="width:0;height:1.5pt" o:hralign="center" o:hrstd="t" o:hr="t" fillcolor="#a0a0a0" stroked="f"/>
        </w:pict>
      </w:r>
    </w:p>
    <w:p w14:paraId="6C5B3A02"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כִּי־יִקַּח אִישׁ אִשָּׁה חֲדָשָׁה לֹא יֵצֵא בַּצָּבָא וְלֹא־יַעֲבֹר עָלָיו לְכָל־דָּבָר נָקִי יִהְיֶה לְבֵיתוֹ שָׁנָה אֶחָת וְשִׂמַּח אֶת־אִשְׁתּוֹ אֲשֶׁר־לָקָח</w:t>
      </w:r>
      <w:r>
        <w:rPr>
          <w:rtl/>
        </w:rPr>
        <w:t xml:space="preserve"> </w:t>
      </w:r>
      <w:r>
        <w:t xml:space="preserve">ist eine Bedingung mit vier Anweisungen: </w:t>
      </w:r>
      <w:r>
        <w:rPr>
          <w:rStyle w:val="Fett"/>
          <w:rFonts w:eastAsiaTheme="majorEastAsia"/>
          <w:rtl/>
        </w:rPr>
        <w:t>כִּי־יִקַּח אִישׁ אִשָּׁה חֲדָשָׁה</w:t>
      </w:r>
      <w:r>
        <w:rPr>
          <w:rtl/>
        </w:rPr>
        <w:t xml:space="preserve"> </w:t>
      </w:r>
      <w:r>
        <w:t>(</w:t>
      </w:r>
      <w:r>
        <w:rPr>
          <w:rStyle w:val="Fett"/>
          <w:rFonts w:eastAsiaTheme="majorEastAsia"/>
          <w:rtl/>
        </w:rPr>
        <w:t>כִּי</w:t>
      </w:r>
      <w:r>
        <w:rPr>
          <w:rtl/>
        </w:rPr>
        <w:t xml:space="preserve"> </w:t>
      </w:r>
      <w:r>
        <w:t xml:space="preserve">mit </w:t>
      </w:r>
      <w:r>
        <w:rPr>
          <w:rStyle w:val="Fett"/>
          <w:rFonts w:eastAsiaTheme="majorEastAsia"/>
          <w:rtl/>
        </w:rPr>
        <w:t>לקח</w:t>
      </w:r>
      <w:r>
        <w:t xml:space="preserve">, Qal Imperfekt, 3. Person Maskulinum Singular, </w:t>
      </w:r>
      <w:r>
        <w:rPr>
          <w:rStyle w:val="Fett"/>
          <w:rFonts w:eastAsiaTheme="majorEastAsia"/>
          <w:rtl/>
        </w:rPr>
        <w:t>אִישׁ</w:t>
      </w:r>
      <w:r>
        <w:rPr>
          <w:rtl/>
        </w:rPr>
        <w:t xml:space="preserve"> </w:t>
      </w:r>
      <w:r>
        <w:t xml:space="preserve">als Subjekt, </w:t>
      </w:r>
      <w:r>
        <w:rPr>
          <w:rStyle w:val="Fett"/>
          <w:rFonts w:eastAsiaTheme="majorEastAsia"/>
          <w:rtl/>
        </w:rPr>
        <w:t>אִשָּׁה חֲדָשָׁה</w:t>
      </w:r>
      <w:r>
        <w:t xml:space="preserve">, </w:t>
      </w:r>
      <w:r>
        <w:rPr>
          <w:rStyle w:val="Fett"/>
          <w:rFonts w:eastAsiaTheme="majorEastAsia"/>
          <w:rtl/>
        </w:rPr>
        <w:t>חָדָשׁ</w:t>
      </w:r>
      <w:r>
        <w:t xml:space="preserve">, „neu" – „eine neue Frau" = kürzlich geheiratet), </w:t>
      </w:r>
      <w:r>
        <w:rPr>
          <w:rStyle w:val="Fett"/>
          <w:rFonts w:eastAsiaTheme="majorEastAsia"/>
          <w:rtl/>
        </w:rPr>
        <w:t>לֹא יֵצֵא בַּצָּבָא</w:t>
      </w:r>
      <w:r>
        <w:rPr>
          <w:rtl/>
        </w:rPr>
        <w:t xml:space="preserve"> </w:t>
      </w:r>
      <w:r>
        <w:t xml:space="preserve">(Negation mit </w:t>
      </w:r>
      <w:r>
        <w:rPr>
          <w:rStyle w:val="Fett"/>
          <w:rFonts w:eastAsiaTheme="majorEastAsia"/>
          <w:rtl/>
        </w:rPr>
        <w:t>יצא</w:t>
      </w:r>
      <w:r>
        <w:t xml:space="preserve">, Qal Imperfekt, 3. Person Maskulinum Singular, </w:t>
      </w:r>
      <w:r>
        <w:rPr>
          <w:rStyle w:val="Fett"/>
          <w:rFonts w:eastAsiaTheme="majorEastAsia"/>
          <w:rtl/>
        </w:rPr>
        <w:t>בַּצָּבָא</w:t>
      </w:r>
      <w:r>
        <w:t xml:space="preserve">, Präposition </w:t>
      </w:r>
      <w:r>
        <w:rPr>
          <w:rStyle w:val="Fett"/>
          <w:rFonts w:eastAsiaTheme="majorEastAsia"/>
          <w:rtl/>
        </w:rPr>
        <w:t>בְּ</w:t>
      </w:r>
      <w:r>
        <w:rPr>
          <w:rtl/>
        </w:rPr>
        <w:t xml:space="preserve"> </w:t>
      </w:r>
      <w:r>
        <w:t xml:space="preserve">mit </w:t>
      </w:r>
      <w:r>
        <w:rPr>
          <w:rStyle w:val="Fett"/>
          <w:rFonts w:eastAsiaTheme="majorEastAsia"/>
          <w:rtl/>
        </w:rPr>
        <w:t>צָבָא</w:t>
      </w:r>
      <w:r>
        <w:t xml:space="preserve">, „Heer, Militär" – „mit dem Heer ausziehen"), </w:t>
      </w:r>
      <w:r>
        <w:rPr>
          <w:rStyle w:val="Fett"/>
          <w:rFonts w:eastAsiaTheme="majorEastAsia"/>
          <w:rtl/>
        </w:rPr>
        <w:t>וְלֹא־יַעֲבֹר עָלָיו לְכָל־דָּבָר</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עבר</w:t>
      </w:r>
      <w:r>
        <w:t xml:space="preserve">, Qal Imperfekt, 3. Person Maskulinum Singular, „übergehen, übertragen werden", </w:t>
      </w:r>
      <w:r>
        <w:rPr>
          <w:rStyle w:val="Fett"/>
          <w:rFonts w:eastAsiaTheme="majorEastAsia"/>
          <w:rtl/>
        </w:rPr>
        <w:t>עָלָיו</w:t>
      </w:r>
      <w:r>
        <w:t xml:space="preserve">, Präposition </w:t>
      </w:r>
      <w:r>
        <w:rPr>
          <w:rStyle w:val="Fett"/>
          <w:rFonts w:eastAsiaTheme="majorEastAsia"/>
          <w:rtl/>
        </w:rPr>
        <w:t>עַל</w:t>
      </w:r>
      <w:r>
        <w:rPr>
          <w:rtl/>
        </w:rPr>
        <w:t xml:space="preserve"> </w:t>
      </w:r>
      <w:r>
        <w:t xml:space="preserve">mit Suffix 3. Person Maskulinum Singular, </w:t>
      </w:r>
      <w:r>
        <w:rPr>
          <w:rStyle w:val="Fett"/>
          <w:rFonts w:eastAsiaTheme="majorEastAsia"/>
          <w:rtl/>
        </w:rPr>
        <w:t>לְכָל־דָּבָר</w:t>
      </w:r>
      <w:r>
        <w:t xml:space="preserve">, „für jede Sache, für irgendeine Verpflichtung"), </w:t>
      </w:r>
      <w:r>
        <w:rPr>
          <w:rStyle w:val="Fett"/>
          <w:rFonts w:eastAsiaTheme="majorEastAsia"/>
          <w:rtl/>
        </w:rPr>
        <w:t>נָקִי יִהְיֶה לְבֵיתוֹ שָׁנָה אֶחָת</w:t>
      </w:r>
      <w:r>
        <w:rPr>
          <w:rtl/>
        </w:rPr>
        <w:t xml:space="preserve"> </w:t>
      </w:r>
      <w:r>
        <w:t>(</w:t>
      </w:r>
      <w:r>
        <w:rPr>
          <w:rStyle w:val="Fett"/>
          <w:rFonts w:eastAsiaTheme="majorEastAsia"/>
          <w:rtl/>
        </w:rPr>
        <w:t>נָקִי</w:t>
      </w:r>
      <w:r>
        <w:t xml:space="preserve">, „frei, unbelastet, ledig", </w:t>
      </w:r>
      <w:r>
        <w:rPr>
          <w:rStyle w:val="Fett"/>
          <w:rFonts w:eastAsiaTheme="majorEastAsia"/>
          <w:rtl/>
        </w:rPr>
        <w:t>היה</w:t>
      </w:r>
      <w:r>
        <w:t xml:space="preserve">, Qal Imperfekt, 3. </w:t>
      </w:r>
      <w:r>
        <w:lastRenderedPageBreak/>
        <w:t xml:space="preserve">Person Maskulinum Singular, </w:t>
      </w:r>
      <w:r>
        <w:rPr>
          <w:rStyle w:val="Fett"/>
          <w:rFonts w:eastAsiaTheme="majorEastAsia"/>
          <w:rtl/>
        </w:rPr>
        <w:t>לְבֵיתוֹ</w:t>
      </w:r>
      <w:r>
        <w:t xml:space="preserve">, Präposition </w:t>
      </w:r>
      <w:r>
        <w:rPr>
          <w:rStyle w:val="Fett"/>
          <w:rFonts w:eastAsiaTheme="majorEastAsia"/>
          <w:rtl/>
        </w:rPr>
        <w:t>לְ</w:t>
      </w:r>
      <w:r>
        <w:rPr>
          <w:rtl/>
        </w:rPr>
        <w:t xml:space="preserve"> </w:t>
      </w:r>
      <w:r>
        <w:t xml:space="preserve">mit </w:t>
      </w:r>
      <w:r>
        <w:rPr>
          <w:rStyle w:val="Fett"/>
          <w:rFonts w:eastAsiaTheme="majorEastAsia"/>
          <w:rtl/>
        </w:rPr>
        <w:t>בַּיִת</w:t>
      </w:r>
      <w:r>
        <w:rPr>
          <w:rtl/>
        </w:rPr>
        <w:t xml:space="preserve"> </w:t>
      </w:r>
      <w:r>
        <w:t xml:space="preserve">mit Suffix 3. Person Maskulinum Singular, </w:t>
      </w:r>
      <w:r>
        <w:rPr>
          <w:rStyle w:val="Fett"/>
          <w:rFonts w:eastAsiaTheme="majorEastAsia"/>
          <w:rtl/>
        </w:rPr>
        <w:t>שָׁנָה אֶחָת</w:t>
      </w:r>
      <w:r>
        <w:t xml:space="preserve">, „ein Jahr"), </w:t>
      </w:r>
      <w:r>
        <w:rPr>
          <w:rStyle w:val="Fett"/>
          <w:rFonts w:eastAsiaTheme="majorEastAsia"/>
          <w:rtl/>
        </w:rPr>
        <w:t>וְשִׂמַּח אֶת־אִשְׁתּוֹ אֲשֶׁר־לָקָח</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שׂמח</w:t>
      </w:r>
      <w:r>
        <w:t xml:space="preserve">, Piel Perfekt, 3. Person Maskulinum Singular, „erfreuen, fröhlich machen", Objektpartikel </w:t>
      </w:r>
      <w:r>
        <w:rPr>
          <w:rStyle w:val="Fett"/>
          <w:rFonts w:eastAsiaTheme="majorEastAsia"/>
          <w:rtl/>
        </w:rPr>
        <w:t>אֵת</w:t>
      </w:r>
      <w:r>
        <w:rPr>
          <w:rtl/>
        </w:rPr>
        <w:t xml:space="preserve"> </w:t>
      </w:r>
      <w:r>
        <w:t xml:space="preserve">mit </w:t>
      </w:r>
      <w:r>
        <w:rPr>
          <w:rStyle w:val="Fett"/>
          <w:rFonts w:eastAsiaTheme="majorEastAsia"/>
          <w:rtl/>
        </w:rPr>
        <w:t>אִשָּׁה</w:t>
      </w:r>
      <w:r>
        <w:rPr>
          <w:rtl/>
        </w:rPr>
        <w:t xml:space="preserve"> </w:t>
      </w:r>
      <w:r>
        <w:t xml:space="preserve">mit Suffix 3. Person Maskulinum Singular, Relativsatz: </w:t>
      </w:r>
      <w:r>
        <w:rPr>
          <w:rStyle w:val="Fett"/>
          <w:rFonts w:eastAsiaTheme="majorEastAsia"/>
          <w:rtl/>
        </w:rPr>
        <w:t>אֲשֶׁר־לָקָח</w:t>
      </w:r>
      <w:r>
        <w:t xml:space="preserve">, mit </w:t>
      </w:r>
      <w:r>
        <w:rPr>
          <w:rStyle w:val="Fett"/>
          <w:rFonts w:eastAsiaTheme="majorEastAsia"/>
        </w:rPr>
        <w:t>Waw</w:t>
      </w:r>
      <w:r>
        <w:t xml:space="preserve"> consecutives Perfekt).</w:t>
      </w:r>
    </w:p>
    <w:p w14:paraId="02CD48D4" w14:textId="3F9E9423" w:rsidR="00166F02" w:rsidRDefault="00166F02" w:rsidP="00166F02">
      <w:pPr>
        <w:pStyle w:val="whitespace-normal"/>
      </w:pPr>
      <w:r>
        <w:t xml:space="preserve">Der Vers leitet einen neuen Abschnitt ein: Freistellung frisch Verheirateter vom Militärdienst. Die Bedingung: </w:t>
      </w:r>
      <w:r>
        <w:rPr>
          <w:rStyle w:val="Fett"/>
          <w:rFonts w:eastAsiaTheme="majorEastAsia"/>
          <w:rtl/>
        </w:rPr>
        <w:t>כִּי־יִקַּח אִישׁ אִשָּׁה חֲדָשָׁה</w:t>
      </w:r>
      <w:r>
        <w:rPr>
          <w:rtl/>
        </w:rPr>
        <w:t xml:space="preserve"> </w:t>
      </w:r>
      <w:r>
        <w:t xml:space="preserve">(„wenn nimmt ein Mann eine neue Frau"). Das Adjektiv </w:t>
      </w:r>
      <w:r>
        <w:rPr>
          <w:rStyle w:val="Fett"/>
          <w:rFonts w:eastAsiaTheme="majorEastAsia"/>
          <w:rtl/>
        </w:rPr>
        <w:t>חֲדָשָׁה</w:t>
      </w:r>
      <w:r>
        <w:rPr>
          <w:rtl/>
        </w:rPr>
        <w:t xml:space="preserve"> </w:t>
      </w:r>
      <w:r>
        <w:t xml:space="preserve">(„neu") bedeutet hier: kürzlich, vor Kurzem geheiratet. Vier Anweisungen: (1) </w:t>
      </w:r>
      <w:r>
        <w:rPr>
          <w:rStyle w:val="Fett"/>
          <w:rFonts w:eastAsiaTheme="majorEastAsia"/>
          <w:rtl/>
        </w:rPr>
        <w:t>לֹא יֵצֵא בַּצָּבָא</w:t>
      </w:r>
      <w:r>
        <w:rPr>
          <w:rtl/>
        </w:rPr>
        <w:t xml:space="preserve"> </w:t>
      </w:r>
      <w:r>
        <w:t xml:space="preserve">(„nicht ausziehen soll er mit dem Heer") – Befreiung vom Militärdienst. Vgl. 20,7 für ähnliche Befreiung. (2) </w:t>
      </w:r>
      <w:r>
        <w:rPr>
          <w:rStyle w:val="Fett"/>
          <w:rFonts w:eastAsiaTheme="majorEastAsia"/>
          <w:rtl/>
        </w:rPr>
        <w:t>וְלֹא־יַעֲבֹר עָלָיו לְכָל־דָּבָר</w:t>
      </w:r>
      <w:r>
        <w:rPr>
          <w:rtl/>
        </w:rPr>
        <w:t xml:space="preserve"> </w:t>
      </w:r>
      <w:r>
        <w:t xml:space="preserve">(„und nicht übergehen soll auf ihn für jede Sache") – keine Verpflichtung, keine Pflicht darf ihm auferlegt werden. Das Verb </w:t>
      </w:r>
      <w:r>
        <w:rPr>
          <w:rStyle w:val="Fett"/>
          <w:rFonts w:eastAsiaTheme="majorEastAsia"/>
          <w:rtl/>
        </w:rPr>
        <w:t>עבר עַל</w:t>
      </w:r>
      <w:r>
        <w:rPr>
          <w:rtl/>
        </w:rPr>
        <w:t xml:space="preserve"> </w:t>
      </w:r>
      <w:r>
        <w:t xml:space="preserve">(„übergehen auf") bedeutet: übertragen werden, auferlegt werden (vgl. Num 27,7.8). Die Formulierung </w:t>
      </w:r>
      <w:r>
        <w:rPr>
          <w:rStyle w:val="Fett"/>
          <w:rFonts w:eastAsiaTheme="majorEastAsia"/>
          <w:rtl/>
        </w:rPr>
        <w:t>לְכָל־דָּבָר</w:t>
      </w:r>
      <w:r>
        <w:rPr>
          <w:rtl/>
        </w:rPr>
        <w:t xml:space="preserve"> </w:t>
      </w:r>
      <w:r>
        <w:t xml:space="preserve">(„für jede Sache") ist umfassend: nicht nur Militärdienst, sondern auch andere öffentliche Pflichten (Steuern, Zwangsarbeit, etc.). (3) </w:t>
      </w:r>
      <w:r>
        <w:rPr>
          <w:rStyle w:val="Fett"/>
          <w:rFonts w:eastAsiaTheme="majorEastAsia"/>
          <w:rtl/>
        </w:rPr>
        <w:t>נָקִי יִהְיֶה לְבֵיתוֹ שָׁנָה אֶחָת</w:t>
      </w:r>
      <w:r>
        <w:rPr>
          <w:rtl/>
        </w:rPr>
        <w:t xml:space="preserve"> </w:t>
      </w:r>
      <w:r>
        <w:t xml:space="preserve">(„frei sein soll er für sein Haus ein Jahr"). Das Adjektiv </w:t>
      </w:r>
      <w:r>
        <w:rPr>
          <w:rStyle w:val="Fett"/>
          <w:rFonts w:eastAsiaTheme="majorEastAsia"/>
          <w:rtl/>
        </w:rPr>
        <w:t>נָקִי</w:t>
      </w:r>
      <w:r>
        <w:rPr>
          <w:rtl/>
        </w:rPr>
        <w:t xml:space="preserve"> </w:t>
      </w:r>
      <w:r>
        <w:t xml:space="preserve">(„frei, unbelastet") betont: keine Verpflichtungen. Die Formulierung </w:t>
      </w:r>
      <w:r>
        <w:rPr>
          <w:rStyle w:val="Fett"/>
          <w:rFonts w:eastAsiaTheme="majorEastAsia"/>
          <w:rtl/>
        </w:rPr>
        <w:t>לְבֵיתוֹ</w:t>
      </w:r>
      <w:r>
        <w:rPr>
          <w:rtl/>
        </w:rPr>
        <w:t xml:space="preserve"> </w:t>
      </w:r>
      <w:r>
        <w:t xml:space="preserve">(„für sein Haus") – er darf zu Hause bleiben, sich um sein Hauswesen kümmern. Die Zeitspanne: </w:t>
      </w:r>
      <w:r>
        <w:rPr>
          <w:rStyle w:val="Fett"/>
          <w:rFonts w:eastAsiaTheme="majorEastAsia"/>
          <w:rtl/>
        </w:rPr>
        <w:t>שָׁנָה אֶחָת</w:t>
      </w:r>
      <w:r>
        <w:rPr>
          <w:rtl/>
        </w:rPr>
        <w:t xml:space="preserve"> </w:t>
      </w:r>
      <w:r>
        <w:t xml:space="preserve">(„ein Jahr") – volle zwölf Monate. (4) </w:t>
      </w:r>
      <w:r>
        <w:rPr>
          <w:rStyle w:val="Fett"/>
          <w:rFonts w:eastAsiaTheme="majorEastAsia"/>
          <w:rtl/>
        </w:rPr>
        <w:t>וְשִׂמַּח אֶת־אִשְׁתּוֹ אֲשֶׁר־לָקָח</w:t>
      </w:r>
      <w:r>
        <w:rPr>
          <w:rtl/>
        </w:rPr>
        <w:t xml:space="preserve"> </w:t>
      </w:r>
      <w:r>
        <w:t xml:space="preserve">(„erfreuen soll er seine Frau, die er genommen hat"). Das Verb </w:t>
      </w:r>
      <w:r>
        <w:rPr>
          <w:rStyle w:val="Fett"/>
          <w:rFonts w:eastAsiaTheme="majorEastAsia"/>
          <w:rtl/>
        </w:rPr>
        <w:t>שׂמח</w:t>
      </w:r>
      <w:r>
        <w:rPr>
          <w:rtl/>
        </w:rPr>
        <w:t xml:space="preserve"> </w:t>
      </w:r>
      <w:r>
        <w:t>im Piel („erfreuen, fröhlich machen") ist der Zweck der Freistellung: Er soll seine Frau glücklich machen, Zeit mit ihr verbringen, die Ehe festigen. Die Ratio: (1) Schutz der jungen Ehe; (2) Familiengründung ermöglichen; (3) Humanität – der Mann soll nicht sofort nach der Hochzeit in den Krieg ziehen müssen. Dies zeigt die hohe Wertschätzung der Ehe im deuteronomischen Gesetz.</w:t>
      </w:r>
    </w:p>
    <w:p w14:paraId="41A5E16D" w14:textId="7F95FF0D" w:rsidR="00F0029F" w:rsidRDefault="00F0029F" w:rsidP="00166F02">
      <w:pPr>
        <w:pStyle w:val="whitespace-normal"/>
      </w:pPr>
      <w:r>
        <w:rPr>
          <w:rStyle w:val="Fett"/>
        </w:rPr>
        <w:t>Die LXX</w:t>
      </w:r>
      <w:r>
        <w:t xml:space="preserve"> übersetzt </w:t>
      </w:r>
      <w:r>
        <w:rPr>
          <w:rtl/>
        </w:rPr>
        <w:t>אִשָּׁה חֲדָשָׁה</w:t>
      </w:r>
      <w:r>
        <w:t xml:space="preserve"> (eine neue Frau) mit </w:t>
      </w:r>
      <w:proofErr w:type="spellStart"/>
      <w:r>
        <w:t>γυν</w:t>
      </w:r>
      <w:proofErr w:type="spellEnd"/>
      <w:r>
        <w:t>αῖκα π</w:t>
      </w:r>
      <w:proofErr w:type="spellStart"/>
      <w:r>
        <w:t>ροσφάτως</w:t>
      </w:r>
      <w:proofErr w:type="spellEnd"/>
      <w:r>
        <w:t xml:space="preserve"> (eine Frau kürzlich [geheiratet]) – ein Adverb statt Adjektiv. Die Wendung </w:t>
      </w:r>
      <w:proofErr w:type="spellStart"/>
      <w:r>
        <w:t>ἀθῷος</w:t>
      </w:r>
      <w:proofErr w:type="spellEnd"/>
      <w:r>
        <w:t xml:space="preserve"> </w:t>
      </w:r>
      <w:proofErr w:type="spellStart"/>
      <w:r>
        <w:t>ἔστ</w:t>
      </w:r>
      <w:proofErr w:type="spellEnd"/>
      <w:r>
        <w:t xml:space="preserve">αι (frei/unschuldig wird er sein) für </w:t>
      </w:r>
      <w:r>
        <w:rPr>
          <w:rtl/>
        </w:rPr>
        <w:t>נָקִי יִהְיֶה</w:t>
      </w:r>
      <w:r>
        <w:t xml:space="preserve"> ist präzise. Das Verb </w:t>
      </w:r>
      <w:proofErr w:type="spellStart"/>
      <w:r>
        <w:t>εὐφρ</w:t>
      </w:r>
      <w:proofErr w:type="spellEnd"/>
      <w:r>
        <w:t xml:space="preserve">ανεῖ (er wird erfreuen) für </w:t>
      </w:r>
      <w:r>
        <w:rPr>
          <w:rtl/>
        </w:rPr>
        <w:t>וְשִׂמַּח</w:t>
      </w:r>
      <w:r>
        <w:t xml:space="preserve"> ist eine exakte Entsprechung.</w:t>
      </w:r>
    </w:p>
    <w:p w14:paraId="186FA849" w14:textId="77777777" w:rsidR="00166F02" w:rsidRDefault="00166F02" w:rsidP="00166F02">
      <w:pPr>
        <w:pStyle w:val="whitespace-normal"/>
      </w:pPr>
      <w:r>
        <w:rPr>
          <w:rStyle w:val="Fett"/>
          <w:rFonts w:eastAsiaTheme="majorEastAsia"/>
        </w:rPr>
        <w:t>Die Satzstruktur:</w:t>
      </w:r>
      <w:r>
        <w:t xml:space="preserve"> Bedingung mit vier Anweisungen (wenn nimmt ein Mann eine neue Frau, nicht ausziehen soll er mit dem Heer, und nicht übergehen soll auf ihn für jede Sache; frei sein soll er für sein Haus ein Jahr, und erfreuen soll er seine Frau, die er genommen hat).</w:t>
      </w:r>
    </w:p>
    <w:p w14:paraId="0E97C600" w14:textId="77777777" w:rsidR="00166F02" w:rsidRDefault="00166F02" w:rsidP="00166F02">
      <w:pPr>
        <w:pStyle w:val="whitespace-normal"/>
      </w:pPr>
      <w:r>
        <w:rPr>
          <w:rStyle w:val="Fett"/>
          <w:rFonts w:eastAsiaTheme="majorEastAsia"/>
        </w:rPr>
        <w:t>Der Vers beschreibt:</w:t>
      </w:r>
      <w:r>
        <w:t xml:space="preserve"> Frischverheiratete sind ein Jahr lang von allen öffentlichen Pflichten befreit, um ihre Ehe zu festigen und ihre Frau zu erfreuen.</w:t>
      </w:r>
    </w:p>
    <w:p w14:paraId="384C82D8" w14:textId="77777777" w:rsidR="00166F02" w:rsidRPr="00713867" w:rsidRDefault="00166F02" w:rsidP="00B53ACC">
      <w:pPr>
        <w:pStyle w:val="Bibelberschrift"/>
      </w:pPr>
      <w:r w:rsidRPr="00713867">
        <w:rPr>
          <w:rStyle w:val="Fett"/>
          <w:b/>
          <w:bCs w:val="0"/>
        </w:rPr>
        <w:t>Deuteronomium 24,6</w:t>
      </w:r>
    </w:p>
    <w:p w14:paraId="6A4475C1" w14:textId="77777777" w:rsidR="00166F02" w:rsidRDefault="00166F02" w:rsidP="00166F02">
      <w:pPr>
        <w:pStyle w:val="whitespace-normal"/>
      </w:pPr>
      <w:r>
        <w:rPr>
          <w:rStyle w:val="Fett"/>
          <w:rFonts w:eastAsiaTheme="majorEastAsia"/>
        </w:rPr>
        <w:t>Hebräisch:</w:t>
      </w:r>
      <w:r>
        <w:t xml:space="preserve"> </w:t>
      </w:r>
      <w:r>
        <w:rPr>
          <w:rtl/>
        </w:rPr>
        <w:t>לֹא־יַחֲבֹ֥ל רֵחַ֖יִם וָרָ</w:t>
      </w:r>
      <w:r w:rsidRPr="00166F02">
        <w:rPr>
          <w:b/>
          <w:bCs/>
          <w:sz w:val="48"/>
          <w:szCs w:val="48"/>
          <w:rtl/>
        </w:rPr>
        <w:t>֑</w:t>
      </w:r>
      <w:r>
        <w:rPr>
          <w:rtl/>
        </w:rPr>
        <w:t>כֶב כִּי־נֶ֖פֶשׁ ה֥וּא חֹבֵֽל׃</w:t>
      </w:r>
    </w:p>
    <w:p w14:paraId="5F664C6C" w14:textId="77777777" w:rsidR="00166F02" w:rsidRDefault="00166F02" w:rsidP="00166F02">
      <w:pPr>
        <w:pStyle w:val="whitespace-normal"/>
      </w:pPr>
      <w:r>
        <w:rPr>
          <w:rStyle w:val="Fett"/>
          <w:rFonts w:eastAsiaTheme="majorEastAsia"/>
        </w:rPr>
        <w:t>Deutsch:</w:t>
      </w:r>
      <w:r>
        <w:t xml:space="preserve"> Nicht soll man pfänden eine Handmühle oder den Mühlstein; denn das Leben pfändet man.</w:t>
      </w:r>
    </w:p>
    <w:p w14:paraId="728EA6DE" w14:textId="77777777" w:rsidR="00166F02" w:rsidRDefault="004F5CEB" w:rsidP="00166F02">
      <w:r>
        <w:rPr>
          <w:noProof/>
        </w:rPr>
        <w:pict w14:anchorId="60ADE073">
          <v:rect id="_x0000_i1656" style="width:0;height:1.5pt" o:hralign="center" o:hrstd="t" o:hr="t" fillcolor="#a0a0a0" stroked="f"/>
        </w:pict>
      </w:r>
    </w:p>
    <w:p w14:paraId="65A49878" w14:textId="77777777" w:rsidR="00166F02" w:rsidRDefault="00166F02" w:rsidP="00166F02">
      <w:pPr>
        <w:pStyle w:val="whitespace-normal"/>
      </w:pPr>
      <w:r>
        <w:rPr>
          <w:rStyle w:val="Fett"/>
          <w:rFonts w:eastAsiaTheme="majorEastAsia"/>
        </w:rPr>
        <w:lastRenderedPageBreak/>
        <w:t>Kommentar:</w:t>
      </w:r>
      <w:r>
        <w:t xml:space="preserve"> </w:t>
      </w:r>
      <w:r>
        <w:rPr>
          <w:rStyle w:val="Fett"/>
          <w:rFonts w:eastAsiaTheme="majorEastAsia"/>
          <w:rtl/>
        </w:rPr>
        <w:t>לֹא־יַחֲבֹל רֵחַיִם וָרָכֶב כִּי־נֶפֶשׁ הוּא חֹבֵל</w:t>
      </w:r>
      <w:r>
        <w:rPr>
          <w:rtl/>
        </w:rPr>
        <w:t xml:space="preserve"> </w:t>
      </w:r>
      <w:r>
        <w:t xml:space="preserve">ist ein Verbot mit Begründung: </w:t>
      </w:r>
      <w:r>
        <w:rPr>
          <w:rStyle w:val="Fett"/>
          <w:rFonts w:eastAsiaTheme="majorEastAsia"/>
          <w:rtl/>
        </w:rPr>
        <w:t>לֹא־יַחֲבֹל רֵחַיִם וָרָכֶב</w:t>
      </w:r>
      <w:r>
        <w:rPr>
          <w:rtl/>
        </w:rPr>
        <w:t xml:space="preserve"> </w:t>
      </w:r>
      <w:r>
        <w:t xml:space="preserve">(Negation mit </w:t>
      </w:r>
      <w:r>
        <w:rPr>
          <w:rStyle w:val="Fett"/>
          <w:rFonts w:eastAsiaTheme="majorEastAsia"/>
          <w:rtl/>
        </w:rPr>
        <w:t>חבל</w:t>
      </w:r>
      <w:r>
        <w:t xml:space="preserve">, Qal Imperfekt, 3. Person Maskulinum Singular, „pfänden, als Pfand nehmen", </w:t>
      </w:r>
      <w:r>
        <w:rPr>
          <w:rStyle w:val="Fett"/>
          <w:rFonts w:eastAsiaTheme="majorEastAsia"/>
          <w:rtl/>
        </w:rPr>
        <w:t>רֵחַיִם</w:t>
      </w:r>
      <w:r>
        <w:t xml:space="preserve">, „Handmühle, Mühlstein" – Dual (zwei Mühlsteine), koordiniert durch </w:t>
      </w:r>
      <w:r>
        <w:rPr>
          <w:rStyle w:val="Fett"/>
          <w:rFonts w:eastAsiaTheme="majorEastAsia"/>
          <w:rtl/>
        </w:rPr>
        <w:t>וְ</w:t>
      </w:r>
      <w:r>
        <w:rPr>
          <w:rtl/>
        </w:rPr>
        <w:t xml:space="preserve"> </w:t>
      </w:r>
      <w:r>
        <w:t xml:space="preserve">mit </w:t>
      </w:r>
      <w:r>
        <w:rPr>
          <w:rStyle w:val="Fett"/>
          <w:rFonts w:eastAsiaTheme="majorEastAsia"/>
          <w:rtl/>
        </w:rPr>
        <w:t>רֶכֶב</w:t>
      </w:r>
      <w:r>
        <w:t xml:space="preserve">, „oberer Mühlstein, Läufer"), </w:t>
      </w:r>
      <w:r>
        <w:rPr>
          <w:rStyle w:val="Fett"/>
          <w:rFonts w:eastAsiaTheme="majorEastAsia"/>
          <w:rtl/>
        </w:rPr>
        <w:t>כִּי־נֶפֶשׁ הוּא חֹבֵל</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נֶפֶשׁ</w:t>
      </w:r>
      <w:r>
        <w:t xml:space="preserve">, „Seele, Leben", </w:t>
      </w:r>
      <w:r>
        <w:rPr>
          <w:rStyle w:val="Fett"/>
          <w:rFonts w:eastAsiaTheme="majorEastAsia"/>
          <w:rtl/>
        </w:rPr>
        <w:t>הוּא</w:t>
      </w:r>
      <w:r>
        <w:rPr>
          <w:rtl/>
        </w:rPr>
        <w:t xml:space="preserve"> </w:t>
      </w:r>
      <w:r>
        <w:t xml:space="preserve">als Kopula, </w:t>
      </w:r>
      <w:r>
        <w:rPr>
          <w:rStyle w:val="Fett"/>
          <w:rFonts w:eastAsiaTheme="majorEastAsia"/>
          <w:rtl/>
        </w:rPr>
        <w:t>חבל</w:t>
      </w:r>
      <w:r>
        <w:t>, Qal Partizip, „pfändend" – „das Leben ist es, das er pfändet").</w:t>
      </w:r>
    </w:p>
    <w:p w14:paraId="767A1D51" w14:textId="3EB53D8C" w:rsidR="00166F02" w:rsidRDefault="00166F02" w:rsidP="00166F02">
      <w:pPr>
        <w:pStyle w:val="whitespace-normal"/>
      </w:pPr>
      <w:r>
        <w:t xml:space="preserve">Der Vers verbietet das Pfänden lebenswichtiger Gegenstände. Das Verbot: </w:t>
      </w:r>
      <w:r>
        <w:rPr>
          <w:rStyle w:val="Fett"/>
          <w:rFonts w:eastAsiaTheme="majorEastAsia"/>
          <w:rtl/>
        </w:rPr>
        <w:t>לֹא־יַחֲבֹל רֵחַיִם וָרָכֶב</w:t>
      </w:r>
      <w:r>
        <w:rPr>
          <w:rtl/>
        </w:rPr>
        <w:t xml:space="preserve"> </w:t>
      </w:r>
      <w:r>
        <w:t xml:space="preserve">(„nicht pfänden soll man eine Handmühle und den Mühlstein"). Das Verb </w:t>
      </w:r>
      <w:r>
        <w:rPr>
          <w:rStyle w:val="Fett"/>
          <w:rFonts w:eastAsiaTheme="majorEastAsia"/>
          <w:rtl/>
        </w:rPr>
        <w:t>חבל</w:t>
      </w:r>
      <w:r>
        <w:rPr>
          <w:rtl/>
        </w:rPr>
        <w:t xml:space="preserve"> </w:t>
      </w:r>
      <w:r>
        <w:t xml:space="preserve">(„pfänden, als Pfand nehmen") bezeichnet das Nehmen eines Pfandes als Sicherheit für ein Darlehen. Das Wort </w:t>
      </w:r>
      <w:r>
        <w:rPr>
          <w:rStyle w:val="Fett"/>
          <w:rFonts w:eastAsiaTheme="majorEastAsia"/>
          <w:rtl/>
        </w:rPr>
        <w:t>רֵחַיִם</w:t>
      </w:r>
      <w:r>
        <w:rPr>
          <w:rtl/>
        </w:rPr>
        <w:t xml:space="preserve"> </w:t>
      </w:r>
      <w:r>
        <w:t xml:space="preserve">(„Handmühle") ist Dual und bezeichnet die beiden Mühlsteine einer Handmühle: einen unteren (stationären) und einen oberen (beweglichen). Das Wort </w:t>
      </w:r>
      <w:r>
        <w:rPr>
          <w:rStyle w:val="Fett"/>
          <w:rFonts w:eastAsiaTheme="majorEastAsia"/>
          <w:rtl/>
        </w:rPr>
        <w:t>רֶכֶב</w:t>
      </w:r>
      <w:r>
        <w:rPr>
          <w:rtl/>
        </w:rPr>
        <w:t xml:space="preserve"> </w:t>
      </w:r>
      <w:r>
        <w:t xml:space="preserve">(„oberer Mühlstein, Läufer") ist der obere, rotierende Stein, mit dem Getreide gemahlen wird. Die Begründung: </w:t>
      </w:r>
      <w:r>
        <w:rPr>
          <w:rStyle w:val="Fett"/>
          <w:rFonts w:eastAsiaTheme="majorEastAsia"/>
          <w:rtl/>
        </w:rPr>
        <w:t>כִּי־נֶפֶשׁ הוּא חֹבֵל</w:t>
      </w:r>
      <w:r>
        <w:rPr>
          <w:rtl/>
        </w:rPr>
        <w:t xml:space="preserve"> </w:t>
      </w:r>
      <w:r>
        <w:t xml:space="preserve">(„denn das Leben ist es, das er pfändet"). Das Wort </w:t>
      </w:r>
      <w:r>
        <w:rPr>
          <w:rStyle w:val="Fett"/>
          <w:rFonts w:eastAsiaTheme="majorEastAsia"/>
          <w:rtl/>
        </w:rPr>
        <w:t>נֶפֶשׁ</w:t>
      </w:r>
      <w:r>
        <w:rPr>
          <w:rtl/>
        </w:rPr>
        <w:t xml:space="preserve"> </w:t>
      </w:r>
      <w:r>
        <w:t xml:space="preserve">bezeichnet hier „Leben, Lebensunterhalt" – die Handmühle war für die tägliche Brotherstellung unerlässlich. Ohne sie konnte eine Familie kein Mehl mahlen, kein Brot backen, nicht überleben. Die Formulierung </w:t>
      </w:r>
      <w:r>
        <w:rPr>
          <w:rStyle w:val="Fett"/>
          <w:rFonts w:eastAsiaTheme="majorEastAsia"/>
          <w:rtl/>
        </w:rPr>
        <w:t>נֶפֶשׁ הוּא חֹבֵל</w:t>
      </w:r>
      <w:r>
        <w:rPr>
          <w:rtl/>
        </w:rPr>
        <w:t xml:space="preserve"> </w:t>
      </w:r>
      <w:r>
        <w:t>(wörtlich: „eine Seele/ein Leben ist es, das er pfändet") ist pointiert: Wer die Mühle pfändet, gefährdet das Leben der Familie. Die Ratio: Schutz der Existenzgrundlage der Armen. Man darf zwar Pfänder nehmen (V. 10-13), aber nicht solche, die zum Überleben notwendig sind. Vgl. Ex 22,25-26; Dtn 24,10-13.17; Am 2,8; Hiob 22,6; 24,3.9.</w:t>
      </w:r>
    </w:p>
    <w:p w14:paraId="4A06F89A" w14:textId="29290B10" w:rsidR="00F0029F" w:rsidRDefault="00F0029F" w:rsidP="00166F02">
      <w:pPr>
        <w:pStyle w:val="whitespace-normal"/>
      </w:pPr>
      <w:r>
        <w:rPr>
          <w:rStyle w:val="Fett"/>
        </w:rPr>
        <w:t>Die LXX</w:t>
      </w:r>
      <w:r>
        <w:t xml:space="preserve"> übersetzt </w:t>
      </w:r>
      <w:r>
        <w:rPr>
          <w:rtl/>
        </w:rPr>
        <w:t>רֵחַיִם וָרָכֶב</w:t>
      </w:r>
      <w:r>
        <w:t xml:space="preserve"> (Handmühle und Oberstein) mit </w:t>
      </w:r>
      <w:proofErr w:type="spellStart"/>
      <w:r>
        <w:t>μύλον</w:t>
      </w:r>
      <w:proofErr w:type="spellEnd"/>
      <w:r>
        <w:t xml:space="preserve"> </w:t>
      </w:r>
      <w:proofErr w:type="spellStart"/>
      <w:r>
        <w:t>οὐδὲ</w:t>
      </w:r>
      <w:proofErr w:type="spellEnd"/>
      <w:r>
        <w:t xml:space="preserve"> ἐπ</w:t>
      </w:r>
      <w:proofErr w:type="spellStart"/>
      <w:r>
        <w:t>ιμύλιον</w:t>
      </w:r>
      <w:proofErr w:type="spellEnd"/>
      <w:r>
        <w:t xml:space="preserve"> (Mühle noch Mühlstein) – wobei ἐπ</w:t>
      </w:r>
      <w:proofErr w:type="spellStart"/>
      <w:r>
        <w:t>ιμύλιον</w:t>
      </w:r>
      <w:proofErr w:type="spellEnd"/>
      <w:r>
        <w:t xml:space="preserve"> den oberen beweglichen Stein bezeichnet. Die Begründung </w:t>
      </w:r>
      <w:proofErr w:type="spellStart"/>
      <w:r>
        <w:t>ψυχὴν</w:t>
      </w:r>
      <w:proofErr w:type="spellEnd"/>
      <w:r>
        <w:t xml:space="preserve"> </w:t>
      </w:r>
      <w:proofErr w:type="spellStart"/>
      <w:r>
        <w:t>οὗτος</w:t>
      </w:r>
      <w:proofErr w:type="spellEnd"/>
      <w:r>
        <w:t xml:space="preserve"> </w:t>
      </w:r>
      <w:proofErr w:type="spellStart"/>
      <w:r>
        <w:t>ἐνεχυράζει</w:t>
      </w:r>
      <w:proofErr w:type="spellEnd"/>
      <w:r>
        <w:t xml:space="preserve"> (das Leben pfändet dieser) für </w:t>
      </w:r>
      <w:r>
        <w:rPr>
          <w:rtl/>
        </w:rPr>
        <w:t>כִּי־נֶפֶשׁ הוּא חֹבֵל</w:t>
      </w:r>
      <w:r>
        <w:t xml:space="preserve"> ist eine präzise Wiedergabe.</w:t>
      </w:r>
    </w:p>
    <w:p w14:paraId="45C39194" w14:textId="77777777" w:rsidR="00166F02" w:rsidRDefault="00166F02" w:rsidP="00166F02">
      <w:pPr>
        <w:pStyle w:val="whitespace-normal"/>
      </w:pPr>
      <w:r>
        <w:rPr>
          <w:rStyle w:val="Fett"/>
          <w:rFonts w:eastAsiaTheme="majorEastAsia"/>
        </w:rPr>
        <w:t>Die Satzstruktur:</w:t>
      </w:r>
      <w:r>
        <w:t xml:space="preserve"> Verbot mit Begründung (nicht pfänden soll man eine Handmühle und den Mühlstein; denn das Leben ist es, das er pfändet).</w:t>
      </w:r>
    </w:p>
    <w:p w14:paraId="02C36180" w14:textId="2E555A0A" w:rsidR="00166F02" w:rsidRDefault="00166F02" w:rsidP="00AB12A0">
      <w:pPr>
        <w:pStyle w:val="whitespace-normal"/>
      </w:pPr>
      <w:r>
        <w:rPr>
          <w:rStyle w:val="Fett"/>
          <w:rFonts w:eastAsiaTheme="majorEastAsia"/>
        </w:rPr>
        <w:t>Der Vers beschreibt:</w:t>
      </w:r>
      <w:r>
        <w:t xml:space="preserve"> Verbot, lebenswichtige Gegenstände (Handmühle) zu pfänden – dies würde die Existenzgrundlage der Familie gefährden.</w:t>
      </w:r>
    </w:p>
    <w:p w14:paraId="1C801D7B" w14:textId="77777777" w:rsidR="00166F02" w:rsidRPr="00713867" w:rsidRDefault="00166F02" w:rsidP="00B53ACC">
      <w:pPr>
        <w:pStyle w:val="Bibelberschrift"/>
      </w:pPr>
      <w:r w:rsidRPr="00713867">
        <w:rPr>
          <w:rStyle w:val="Fett"/>
          <w:b/>
          <w:bCs w:val="0"/>
        </w:rPr>
        <w:t>Deuteronomium 24,7</w:t>
      </w:r>
    </w:p>
    <w:p w14:paraId="79F7B114" w14:textId="77777777" w:rsidR="00166F02" w:rsidRDefault="00166F02" w:rsidP="00166F02">
      <w:pPr>
        <w:pStyle w:val="whitespace-normal"/>
      </w:pPr>
      <w:r>
        <w:rPr>
          <w:rStyle w:val="Fett"/>
          <w:rFonts w:eastAsiaTheme="majorEastAsia"/>
        </w:rPr>
        <w:t>Hebräisch:</w:t>
      </w:r>
      <w:r>
        <w:t xml:space="preserve"> </w:t>
      </w:r>
      <w:r>
        <w:rPr>
          <w:rtl/>
        </w:rPr>
        <w:t>כִּי־יִמָּצֵ֣א אִ֗ישׁ גֹּנֵ֨ב נֶ֤פֶשׁ מֵאֶחָיו֙ מִבְּנֵ֣י יִשְׂרָאֵ֔ל וְהִתְעַמֶּר־בּ֖וֹ וּמְכָרֹ֑ו וּמֵת֙ הַגַּנָּ֣ב הַה֔וּא וּבִֽעַרְתָּ֥ הָרָ֖ע מִקִּרְבֶּֽךָ׃</w:t>
      </w:r>
    </w:p>
    <w:p w14:paraId="2E51425B" w14:textId="77777777" w:rsidR="00166F02" w:rsidRDefault="00166F02" w:rsidP="00166F02">
      <w:pPr>
        <w:pStyle w:val="whitespace-normal"/>
      </w:pPr>
      <w:r>
        <w:rPr>
          <w:rStyle w:val="Fett"/>
          <w:rFonts w:eastAsiaTheme="majorEastAsia"/>
        </w:rPr>
        <w:t>Deutsch:</w:t>
      </w:r>
      <w:r>
        <w:t xml:space="preserve"> Wenn ein Mann ertappt wird, der eine Person stiehlt von seinen Brüdern, von den Söhnen Israels, und ihn misshandelt oder ihn verkauft, so soll dieser Dieb sterben. Und du sollst das Böse aus deiner Mitte wegschaffen.</w:t>
      </w:r>
    </w:p>
    <w:p w14:paraId="7E6B5AB9" w14:textId="77777777" w:rsidR="00166F02" w:rsidRDefault="004F5CEB" w:rsidP="00166F02">
      <w:r>
        <w:rPr>
          <w:noProof/>
        </w:rPr>
        <w:pict w14:anchorId="53C1784F">
          <v:rect id="_x0000_i1657" style="width:0;height:1.5pt" o:hralign="center" o:hrstd="t" o:hr="t" fillcolor="#a0a0a0" stroked="f"/>
        </w:pict>
      </w:r>
    </w:p>
    <w:p w14:paraId="778457DA"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כִּי־יִמָּצֵא אִישׁ גֹּנֵב נֶפֶשׁ מֵאֶחָיו מִבְּנֵי יִשְׂרָאֵל וְהִתְעַמֶּר־בוֹ וּמְכָרוֹ וּמֵת הַגַּנָּב הַהוּא וּבִעַרְתָּ הָרָע מִקִּרְבֶּךָ</w:t>
      </w:r>
      <w:r>
        <w:rPr>
          <w:rtl/>
        </w:rPr>
        <w:t xml:space="preserve"> </w:t>
      </w:r>
      <w:r>
        <w:t xml:space="preserve">ist eine Bedingung mit Strafe und Formel: </w:t>
      </w:r>
      <w:r>
        <w:rPr>
          <w:rStyle w:val="Fett"/>
          <w:rFonts w:eastAsiaTheme="majorEastAsia"/>
          <w:rtl/>
        </w:rPr>
        <w:t>כִּי־יִמָּצֵא אִישׁ גֹּנֵב נֶפֶשׁ מֵאֶחָיו מִבְּנֵי יִשְׂרָאֵל</w:t>
      </w:r>
      <w:r>
        <w:rPr>
          <w:rtl/>
        </w:rPr>
        <w:t xml:space="preserve"> </w:t>
      </w:r>
      <w:r>
        <w:t>(</w:t>
      </w:r>
      <w:r>
        <w:rPr>
          <w:rStyle w:val="Fett"/>
          <w:rFonts w:eastAsiaTheme="majorEastAsia"/>
          <w:rtl/>
        </w:rPr>
        <w:t>כִּי</w:t>
      </w:r>
      <w:r>
        <w:rPr>
          <w:rtl/>
        </w:rPr>
        <w:t xml:space="preserve"> </w:t>
      </w:r>
      <w:r>
        <w:t xml:space="preserve">mit </w:t>
      </w:r>
      <w:r>
        <w:rPr>
          <w:rStyle w:val="Fett"/>
          <w:rFonts w:eastAsiaTheme="majorEastAsia"/>
          <w:rtl/>
        </w:rPr>
        <w:t>מצא</w:t>
      </w:r>
      <w:r>
        <w:t xml:space="preserve">, Niphal Imperfekt, 3. Person Maskulinum Singular, „gefunden werden, ertappt werden", </w:t>
      </w:r>
      <w:r>
        <w:rPr>
          <w:rStyle w:val="Fett"/>
          <w:rFonts w:eastAsiaTheme="majorEastAsia"/>
          <w:rtl/>
        </w:rPr>
        <w:t>אִישׁ</w:t>
      </w:r>
      <w:r>
        <w:rPr>
          <w:rtl/>
        </w:rPr>
        <w:t xml:space="preserve"> </w:t>
      </w:r>
      <w:r>
        <w:t xml:space="preserve">als Subjekt, </w:t>
      </w:r>
      <w:r>
        <w:rPr>
          <w:rStyle w:val="Fett"/>
          <w:rFonts w:eastAsiaTheme="majorEastAsia"/>
          <w:rtl/>
        </w:rPr>
        <w:t>גנב</w:t>
      </w:r>
      <w:r>
        <w:t xml:space="preserve">, Qal Partizip, „stehlen, rauben", </w:t>
      </w:r>
      <w:r>
        <w:rPr>
          <w:rStyle w:val="Fett"/>
          <w:rFonts w:eastAsiaTheme="majorEastAsia"/>
          <w:rtl/>
        </w:rPr>
        <w:t>נֶפֶשׁ</w:t>
      </w:r>
      <w:r>
        <w:t xml:space="preserve">, „Seele, Person, Mensch", </w:t>
      </w:r>
      <w:r>
        <w:rPr>
          <w:rStyle w:val="Fett"/>
          <w:rFonts w:eastAsiaTheme="majorEastAsia"/>
          <w:rtl/>
        </w:rPr>
        <w:t>מֵאֶחָיו מִבְּנֵי יִשְׂרָאֵל</w:t>
      </w:r>
      <w:r>
        <w:t xml:space="preserve">, Präposition </w:t>
      </w:r>
      <w:r>
        <w:rPr>
          <w:rStyle w:val="Fett"/>
          <w:rFonts w:eastAsiaTheme="majorEastAsia"/>
          <w:rtl/>
        </w:rPr>
        <w:t>מִן</w:t>
      </w:r>
      <w:r>
        <w:rPr>
          <w:rtl/>
        </w:rPr>
        <w:t xml:space="preserve"> </w:t>
      </w:r>
      <w:r>
        <w:t xml:space="preserve">mit </w:t>
      </w:r>
      <w:r>
        <w:rPr>
          <w:rStyle w:val="Fett"/>
          <w:rFonts w:eastAsiaTheme="majorEastAsia"/>
          <w:rtl/>
        </w:rPr>
        <w:t>אָח</w:t>
      </w:r>
      <w:r>
        <w:rPr>
          <w:rtl/>
        </w:rPr>
        <w:t xml:space="preserve"> </w:t>
      </w:r>
      <w:r>
        <w:t xml:space="preserve">Plural mit Suffix 3. Person Maskulinum Singular, Präposition </w:t>
      </w:r>
      <w:r>
        <w:rPr>
          <w:rStyle w:val="Fett"/>
          <w:rFonts w:eastAsiaTheme="majorEastAsia"/>
          <w:rtl/>
        </w:rPr>
        <w:t>מִן</w:t>
      </w:r>
      <w:r>
        <w:rPr>
          <w:rtl/>
        </w:rPr>
        <w:t xml:space="preserve"> </w:t>
      </w:r>
      <w:r>
        <w:lastRenderedPageBreak/>
        <w:t xml:space="preserve">mit </w:t>
      </w:r>
      <w:r>
        <w:rPr>
          <w:rStyle w:val="Fett"/>
          <w:rFonts w:eastAsiaTheme="majorEastAsia"/>
          <w:rtl/>
        </w:rPr>
        <w:t>בֵּן</w:t>
      </w:r>
      <w:r>
        <w:rPr>
          <w:rtl/>
        </w:rPr>
        <w:t xml:space="preserve"> </w:t>
      </w:r>
      <w:r>
        <w:t xml:space="preserve">Plural Construct mit </w:t>
      </w:r>
      <w:r>
        <w:rPr>
          <w:rStyle w:val="Fett"/>
          <w:rFonts w:eastAsiaTheme="majorEastAsia"/>
          <w:rtl/>
        </w:rPr>
        <w:t>יִשְׂרָאֵל</w:t>
      </w:r>
      <w:r>
        <w:rPr>
          <w:rtl/>
        </w:rPr>
        <w:t xml:space="preserve"> </w:t>
      </w:r>
      <w:r>
        <w:t xml:space="preserve">– explikative Apposition), </w:t>
      </w:r>
      <w:r>
        <w:rPr>
          <w:rStyle w:val="Fett"/>
          <w:rFonts w:eastAsiaTheme="majorEastAsia"/>
          <w:rtl/>
        </w:rPr>
        <w:t>וְהִתְעַמֶּר־בוֹ וּמְכָרוֹ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עמר</w:t>
      </w:r>
      <w:r>
        <w:t xml:space="preserve">, Hitpael Perfekt, 3. Person Maskulinum Singular, „misshandeln, als Sklaven behandeln, unterdrücken", </w:t>
      </w:r>
      <w:r>
        <w:rPr>
          <w:rStyle w:val="Fett"/>
          <w:rFonts w:eastAsiaTheme="majorEastAsia"/>
          <w:rtl/>
        </w:rPr>
        <w:t>בוֹ</w:t>
      </w:r>
      <w:r>
        <w:t xml:space="preserve">, Präposition </w:t>
      </w:r>
      <w:r>
        <w:rPr>
          <w:rStyle w:val="Fett"/>
          <w:rFonts w:eastAsiaTheme="majorEastAsia"/>
          <w:rtl/>
        </w:rPr>
        <w:t>בְּ</w:t>
      </w:r>
      <w:r>
        <w:rPr>
          <w:rtl/>
        </w:rPr>
        <w:t xml:space="preserve"> </w:t>
      </w:r>
      <w:r>
        <w:t xml:space="preserve">mit Suffix 3. Person Maskulinum Singular, koordiniert durch </w:t>
      </w:r>
      <w:r>
        <w:rPr>
          <w:rStyle w:val="Fett"/>
          <w:rFonts w:eastAsiaTheme="majorEastAsia"/>
          <w:rtl/>
        </w:rPr>
        <w:t>וּ</w:t>
      </w:r>
      <w:r>
        <w:rPr>
          <w:rtl/>
        </w:rPr>
        <w:t xml:space="preserve"> </w:t>
      </w:r>
      <w:r>
        <w:t xml:space="preserve">mit </w:t>
      </w:r>
      <w:r>
        <w:rPr>
          <w:rStyle w:val="Fett"/>
          <w:rFonts w:eastAsiaTheme="majorEastAsia"/>
          <w:rtl/>
        </w:rPr>
        <w:t>מכר</w:t>
      </w:r>
      <w:r>
        <w:t xml:space="preserve">, Qal Perfekt, 3. Person Maskulinum Singular, „verkaufen", mit Suffix 3. Person Maskulinum Singular, mit </w:t>
      </w:r>
      <w:r>
        <w:rPr>
          <w:rStyle w:val="Fett"/>
          <w:rFonts w:eastAsiaTheme="majorEastAsia"/>
        </w:rPr>
        <w:t>Waw</w:t>
      </w:r>
      <w:r>
        <w:t xml:space="preserve"> consecutives Perfekt), </w:t>
      </w:r>
      <w:r>
        <w:rPr>
          <w:rStyle w:val="Fett"/>
          <w:rFonts w:eastAsiaTheme="majorEastAsia"/>
          <w:rtl/>
        </w:rPr>
        <w:t>וּמֵת הַגַּנָּב הַהוּא</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מות</w:t>
      </w:r>
      <w:r>
        <w:t xml:space="preserve">, Qal Perfekt, 3. Person Maskulinum Singular, </w:t>
      </w:r>
      <w:r>
        <w:rPr>
          <w:rStyle w:val="Fett"/>
          <w:rFonts w:eastAsiaTheme="majorEastAsia"/>
          <w:rtl/>
        </w:rPr>
        <w:t>הַגַּנָּב</w:t>
      </w:r>
      <w:r>
        <w:rPr>
          <w:rtl/>
        </w:rPr>
        <w:t xml:space="preserve"> </w:t>
      </w:r>
      <w:r>
        <w:t xml:space="preserve">mit Artikel, </w:t>
      </w:r>
      <w:r>
        <w:rPr>
          <w:rStyle w:val="Fett"/>
          <w:rFonts w:eastAsiaTheme="majorEastAsia"/>
          <w:rtl/>
        </w:rPr>
        <w:t>הַהוּא</w:t>
      </w:r>
      <w:r>
        <w:rPr>
          <w:rtl/>
        </w:rPr>
        <w:t xml:space="preserve"> </w:t>
      </w:r>
      <w:r>
        <w:t xml:space="preserve">als Subjekt, mit </w:t>
      </w:r>
      <w:r>
        <w:rPr>
          <w:rStyle w:val="Fett"/>
          <w:rFonts w:eastAsiaTheme="majorEastAsia"/>
        </w:rPr>
        <w:t>Waw</w:t>
      </w:r>
      <w:r>
        <w:t xml:space="preserve"> consecutives Perfekt), </w:t>
      </w:r>
      <w:r>
        <w:rPr>
          <w:rStyle w:val="Fett"/>
          <w:rFonts w:eastAsiaTheme="majorEastAsia"/>
          <w:rtl/>
        </w:rPr>
        <w:t>וּבִעַרְתָּ הָרָע מִקִּרְבֶּךָ</w:t>
      </w:r>
      <w:r>
        <w:rPr>
          <w:rtl/>
        </w:rPr>
        <w:t xml:space="preserve"> </w:t>
      </w:r>
      <w:r>
        <w:t>(die deuteronomische Formel).</w:t>
      </w:r>
    </w:p>
    <w:p w14:paraId="2B2B2EB9" w14:textId="5A8326A9" w:rsidR="00166F02" w:rsidRDefault="00166F02" w:rsidP="00166F02">
      <w:pPr>
        <w:pStyle w:val="whitespace-normal"/>
      </w:pPr>
      <w:r>
        <w:t xml:space="preserve">Der Vers verbietet Menschenraub und bedroht ihn mit der Todesstrafe. Die Bedingung: </w:t>
      </w:r>
      <w:r>
        <w:rPr>
          <w:rStyle w:val="Fett"/>
          <w:rFonts w:eastAsiaTheme="majorEastAsia"/>
          <w:rtl/>
        </w:rPr>
        <w:t>כִּי־יִמָּצֵא אִישׁ גֹּנֵב נֶפֶשׁ מֵאֶחָיו מִבְּנֵי יִשְׂרָאֵל</w:t>
      </w:r>
      <w:r>
        <w:rPr>
          <w:rtl/>
        </w:rPr>
        <w:t xml:space="preserve"> </w:t>
      </w:r>
      <w:r>
        <w:t xml:space="preserve">(„wenn ertappt wird ein Mann, der stiehlt eine Person von seinen Brüdern, von den Söhnen Israels"). Das Partizip </w:t>
      </w:r>
      <w:r>
        <w:rPr>
          <w:rStyle w:val="Fett"/>
          <w:rFonts w:eastAsiaTheme="majorEastAsia"/>
          <w:rtl/>
        </w:rPr>
        <w:t>גֹּנֵב</w:t>
      </w:r>
      <w:r>
        <w:rPr>
          <w:rtl/>
        </w:rPr>
        <w:t xml:space="preserve"> </w:t>
      </w:r>
      <w:r>
        <w:t xml:space="preserve">(„stehlend") beschreibt die Handlung: Menschenraub, Kidnapping. Das Wort </w:t>
      </w:r>
      <w:r>
        <w:rPr>
          <w:rStyle w:val="Fett"/>
          <w:rFonts w:eastAsiaTheme="majorEastAsia"/>
          <w:rtl/>
        </w:rPr>
        <w:t>נֶפֶשׁ</w:t>
      </w:r>
      <w:r>
        <w:rPr>
          <w:rtl/>
        </w:rPr>
        <w:t xml:space="preserve"> </w:t>
      </w:r>
      <w:r>
        <w:t xml:space="preserve">(„Seele, Person") bezeichnet hier einen Menschen (vgl. Gen 12,5; 46,27; Ex 1,5). Die Präzisierung </w:t>
      </w:r>
      <w:r>
        <w:rPr>
          <w:rStyle w:val="Fett"/>
          <w:rFonts w:eastAsiaTheme="majorEastAsia"/>
          <w:rtl/>
        </w:rPr>
        <w:t>מֵאֶחָיו מִבְּנֵי יִשְׂרָאֵל</w:t>
      </w:r>
      <w:r>
        <w:rPr>
          <w:rtl/>
        </w:rPr>
        <w:t xml:space="preserve"> </w:t>
      </w:r>
      <w:r>
        <w:t xml:space="preserve">(„von seinen Brüdern, von den Söhnen Israels") – die explikative Apposition betont: Es handelt sich um Israeliten, Bundesgenossen. Die beiden Verbote: </w:t>
      </w:r>
      <w:r>
        <w:rPr>
          <w:rStyle w:val="Fett"/>
          <w:rFonts w:eastAsiaTheme="majorEastAsia"/>
          <w:rtl/>
        </w:rPr>
        <w:t>וְהִתְעַמֶּר־בוֹ וּמְכָרוֹ</w:t>
      </w:r>
      <w:r>
        <w:rPr>
          <w:rtl/>
        </w:rPr>
        <w:t xml:space="preserve"> </w:t>
      </w:r>
      <w:r>
        <w:t xml:space="preserve">(„und misshandelt er ihn oder verkauft er ihn"). Das Verb </w:t>
      </w:r>
      <w:r>
        <w:rPr>
          <w:rStyle w:val="Fett"/>
          <w:rFonts w:eastAsiaTheme="majorEastAsia"/>
          <w:rtl/>
        </w:rPr>
        <w:t>עמר</w:t>
      </w:r>
      <w:r>
        <w:rPr>
          <w:rtl/>
        </w:rPr>
        <w:t xml:space="preserve"> </w:t>
      </w:r>
      <w:r>
        <w:t xml:space="preserve">im Hitpael („als Sklaven behandeln, misshandeln, unterdrücken") – der Entführte wird wie ein Sklave behandelt. Das Verb </w:t>
      </w:r>
      <w:r>
        <w:rPr>
          <w:rStyle w:val="Fett"/>
          <w:rFonts w:eastAsiaTheme="majorEastAsia"/>
          <w:rtl/>
        </w:rPr>
        <w:t>מכר</w:t>
      </w:r>
      <w:r>
        <w:rPr>
          <w:rtl/>
        </w:rPr>
        <w:t xml:space="preserve"> </w:t>
      </w:r>
      <w:r>
        <w:t xml:space="preserve">(„verkaufen") – der Entführte wird in die Sklaverei verkauft. Die Strafe: </w:t>
      </w:r>
      <w:r>
        <w:rPr>
          <w:rStyle w:val="Fett"/>
          <w:rFonts w:eastAsiaTheme="majorEastAsia"/>
          <w:rtl/>
        </w:rPr>
        <w:t>וּמֵת הַגַּנָּב הַהוּא</w:t>
      </w:r>
      <w:r>
        <w:rPr>
          <w:rtl/>
        </w:rPr>
        <w:t xml:space="preserve"> </w:t>
      </w:r>
      <w:r>
        <w:t xml:space="preserve">(„sterben soll dieser Dieb"). Das Demonstrativpronomen </w:t>
      </w:r>
      <w:r>
        <w:rPr>
          <w:rStyle w:val="Fett"/>
          <w:rFonts w:eastAsiaTheme="majorEastAsia"/>
          <w:rtl/>
        </w:rPr>
        <w:t>הַהוּא</w:t>
      </w:r>
      <w:r>
        <w:rPr>
          <w:rtl/>
        </w:rPr>
        <w:t xml:space="preserve"> </w:t>
      </w:r>
      <w:r>
        <w:t xml:space="preserve">betont: gerade dieser, dieser spezifische Verbrecher. Die Formulierung </w:t>
      </w:r>
      <w:r>
        <w:rPr>
          <w:rStyle w:val="Fett"/>
          <w:rFonts w:eastAsiaTheme="majorEastAsia"/>
          <w:rtl/>
        </w:rPr>
        <w:t>וּבִעַרְתָּ הָרָע מִקִּרְבֶּךָ</w:t>
      </w:r>
      <w:r>
        <w:rPr>
          <w:rtl/>
        </w:rPr>
        <w:t xml:space="preserve"> </w:t>
      </w:r>
      <w:r>
        <w:t>schließt ab (vgl. 13,6; 17,7.12; 19,19; 21,21; 22,21.22.24). Die Ratio: Menschenraub ist ein besonders schweres Verbrechen – es verletzt die Freiheit und Würde des Menschen, die Gott gegeben hat. Vgl. Ex 21,16 (nahezu identisches Gesetz); 1 Tim 1,10 (Menschenräuber in einer Liste von Sündern). Das achte Gebot „Du sollst nicht stehlen" (Ex 20,15; Dtn 5,19) bezieht sich primär auf Menschenraub, nicht auf Eigentumsdiebstahl.</w:t>
      </w:r>
    </w:p>
    <w:p w14:paraId="746F002D" w14:textId="00B066B0" w:rsidR="00A600C6" w:rsidRDefault="00A600C6" w:rsidP="00166F02">
      <w:pPr>
        <w:pStyle w:val="whitespace-normal"/>
      </w:pPr>
      <w:r>
        <w:rPr>
          <w:rStyle w:val="Fett"/>
        </w:rPr>
        <w:t>Die LXX</w:t>
      </w:r>
      <w:r>
        <w:t xml:space="preserve"> übersetzt </w:t>
      </w:r>
      <w:r>
        <w:rPr>
          <w:rtl/>
        </w:rPr>
        <w:t>גֹּנֵב נֶפֶשׁ</w:t>
      </w:r>
      <w:r>
        <w:t xml:space="preserve"> (einen Menschen stehlend) mit </w:t>
      </w:r>
      <w:proofErr w:type="spellStart"/>
      <w:r>
        <w:t>κλέ</w:t>
      </w:r>
      <w:proofErr w:type="spellEnd"/>
      <w:r>
        <w:t xml:space="preserve">πτων </w:t>
      </w:r>
      <w:proofErr w:type="spellStart"/>
      <w:r>
        <w:t>ψυχήν</w:t>
      </w:r>
      <w:proofErr w:type="spellEnd"/>
      <w:r>
        <w:t xml:space="preserve"> (eine Seele stehlend) – </w:t>
      </w:r>
      <w:proofErr w:type="spellStart"/>
      <w:r>
        <w:t>ψυχή</w:t>
      </w:r>
      <w:proofErr w:type="spellEnd"/>
      <w:r>
        <w:t xml:space="preserve"> ist die standardmäßige Übersetzung für </w:t>
      </w:r>
      <w:r>
        <w:rPr>
          <w:rtl/>
        </w:rPr>
        <w:t>נֶפֶשׁ</w:t>
      </w:r>
      <w:r>
        <w:t>. Das Verb κατα</w:t>
      </w:r>
      <w:proofErr w:type="spellStart"/>
      <w:r>
        <w:t>δυν</w:t>
      </w:r>
      <w:proofErr w:type="spellEnd"/>
      <w:r>
        <w:t xml:space="preserve">αστεύσας (unterdrückend, tyrannisierend) für </w:t>
      </w:r>
      <w:r>
        <w:rPr>
          <w:rtl/>
        </w:rPr>
        <w:t>וְהִתְעַמֶּר־בוֹ</w:t>
      </w:r>
      <w:r>
        <w:t xml:space="preserve"> ist stärker als das hebräische "als Sklaven behandeln".</w:t>
      </w:r>
    </w:p>
    <w:p w14:paraId="32AC31AB" w14:textId="77777777" w:rsidR="00166F02" w:rsidRDefault="00166F02" w:rsidP="00166F02">
      <w:pPr>
        <w:pStyle w:val="whitespace-normal"/>
      </w:pPr>
      <w:r>
        <w:rPr>
          <w:rStyle w:val="Fett"/>
          <w:rFonts w:eastAsiaTheme="majorEastAsia"/>
        </w:rPr>
        <w:t>Die Satzstruktur:</w:t>
      </w:r>
      <w:r>
        <w:t xml:space="preserve"> Bedingung mit zwei Vergehen, Strafe und Formel (wenn ertappt wird ein Mann, der stiehlt eine Person von seinen Brüdern, von den Söhnen Israels, und misshandelt er ihn oder verkauft er ihn, sterben soll dieser Dieb; und wegschaffen sollst du das Böse aus deiner Mitte).</w:t>
      </w:r>
    </w:p>
    <w:p w14:paraId="272AB569" w14:textId="10893083" w:rsidR="00166F02" w:rsidRDefault="00166F02" w:rsidP="00AB12A0">
      <w:pPr>
        <w:pStyle w:val="whitespace-normal"/>
      </w:pPr>
      <w:r>
        <w:rPr>
          <w:rStyle w:val="Fett"/>
          <w:rFonts w:eastAsiaTheme="majorEastAsia"/>
        </w:rPr>
        <w:t>Der Vers beschreibt:</w:t>
      </w:r>
      <w:r>
        <w:t xml:space="preserve"> Todesstrafe für Menschenraub – wer einen Israeliten entführt und versklavt oder verkauft, soll sterben.</w:t>
      </w:r>
    </w:p>
    <w:p w14:paraId="2C7E4993" w14:textId="77777777" w:rsidR="00166F02" w:rsidRPr="00713867" w:rsidRDefault="00166F02" w:rsidP="00B53ACC">
      <w:pPr>
        <w:pStyle w:val="Bibelberschrift"/>
      </w:pPr>
      <w:r w:rsidRPr="00713867">
        <w:rPr>
          <w:rStyle w:val="Fett"/>
          <w:b/>
          <w:bCs w:val="0"/>
        </w:rPr>
        <w:t>Deuteronomium 24,8</w:t>
      </w:r>
    </w:p>
    <w:p w14:paraId="03D94A5F" w14:textId="77777777" w:rsidR="00166F02" w:rsidRDefault="00166F02" w:rsidP="00166F02">
      <w:pPr>
        <w:pStyle w:val="whitespace-normal"/>
      </w:pPr>
      <w:r>
        <w:rPr>
          <w:rStyle w:val="Fett"/>
          <w:rFonts w:eastAsiaTheme="majorEastAsia"/>
        </w:rPr>
        <w:t>Hebräisch:</w:t>
      </w:r>
      <w:r>
        <w:t xml:space="preserve"> </w:t>
      </w:r>
      <w:r>
        <w:rPr>
          <w:rtl/>
        </w:rPr>
        <w:t>הִשָּׁ֧מֶר בְּנֶֽגַע־הַצָּרַ֛עַת לִשְׁמֹ֥ר מְאֹ֖ד וְלַעֲשׂ֑וֹת כְּכֹל֩ אֲשֶׁר־יוֹר֨וּ אֶתְכֶ֜ם הַכֹּהֲנִ֧ים הַלְוִיִּ֛ם כַּאֲשֶׁ֥ר צִוִּיתִ֖ם תִּשְׁמְר֥וּ לַעֲשֽׂוֹת׃</w:t>
      </w:r>
    </w:p>
    <w:p w14:paraId="4206DA4E" w14:textId="77777777" w:rsidR="00166F02" w:rsidRDefault="00166F02" w:rsidP="00166F02">
      <w:pPr>
        <w:pStyle w:val="whitespace-normal"/>
      </w:pPr>
      <w:r>
        <w:rPr>
          <w:rStyle w:val="Fett"/>
          <w:rFonts w:eastAsiaTheme="majorEastAsia"/>
        </w:rPr>
        <w:lastRenderedPageBreak/>
        <w:t>Deutsch:</w:t>
      </w:r>
      <w:r>
        <w:t xml:space="preserve"> Hüte dich bei der Plage des Aussatzes, dass du sehr sorgfältig beachtest und tust nach allem, was euch die Priester, die Leviten, lehren; wie ich ihnen geboten habe, sollt ihr beachten zu tun.</w:t>
      </w:r>
    </w:p>
    <w:p w14:paraId="1BF1BA3B" w14:textId="77777777" w:rsidR="00166F02" w:rsidRDefault="004F5CEB" w:rsidP="00166F02">
      <w:r>
        <w:rPr>
          <w:noProof/>
        </w:rPr>
        <w:pict w14:anchorId="40D7C3DA">
          <v:rect id="_x0000_i1658" style="width:0;height:1.5pt" o:hralign="center" o:hrstd="t" o:hr="t" fillcolor="#a0a0a0" stroked="f"/>
        </w:pict>
      </w:r>
    </w:p>
    <w:p w14:paraId="23821F62"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הִשָּׁמֶר בְּנֶגַע־הַצָּרַעַת לִשְׁמֹר מְאֹד וְלַעֲשׂוֹת כְּכֹל אֲשֶׁר־יוֹרוּ אֶתְכֶם הַכֹּהֲנִים הַלְוִיִּם כַּאֲשֶׁר צִוִּיתִם תִּשְׁמְרוּ לַעֲשׂוֹת</w:t>
      </w:r>
      <w:r>
        <w:rPr>
          <w:rtl/>
        </w:rPr>
        <w:t xml:space="preserve"> </w:t>
      </w:r>
      <w:r>
        <w:t xml:space="preserve">sind drei Anweisungen: </w:t>
      </w:r>
      <w:r>
        <w:rPr>
          <w:rStyle w:val="Fett"/>
          <w:rFonts w:eastAsiaTheme="majorEastAsia"/>
          <w:rtl/>
        </w:rPr>
        <w:t>הִשָּׁמֶר בְּנֶגַע־הַצָּרַעַת לִשְׁמֹר מְאֹד וְלַעֲשׂוֹת</w:t>
      </w:r>
      <w:r>
        <w:rPr>
          <w:rtl/>
        </w:rPr>
        <w:t xml:space="preserve"> </w:t>
      </w:r>
      <w:r>
        <w:t>(</w:t>
      </w:r>
      <w:r>
        <w:rPr>
          <w:rStyle w:val="Fett"/>
          <w:rFonts w:eastAsiaTheme="majorEastAsia"/>
          <w:rtl/>
        </w:rPr>
        <w:t>שׁמר</w:t>
      </w:r>
      <w:r>
        <w:t xml:space="preserve">, Niphal Imperativ, 2. Person Maskulinum Singular, „sich hüten, vorsichtig sein", </w:t>
      </w:r>
      <w:r>
        <w:rPr>
          <w:rStyle w:val="Fett"/>
          <w:rFonts w:eastAsiaTheme="majorEastAsia"/>
          <w:rtl/>
        </w:rPr>
        <w:t>בְּנֶגַע־הַצָּרַעַת</w:t>
      </w:r>
      <w:r>
        <w:t xml:space="preserve">, Präposition </w:t>
      </w:r>
      <w:r>
        <w:rPr>
          <w:rStyle w:val="Fett"/>
          <w:rFonts w:eastAsiaTheme="majorEastAsia"/>
          <w:rtl/>
        </w:rPr>
        <w:t>בְּ</w:t>
      </w:r>
      <w:r>
        <w:rPr>
          <w:rtl/>
        </w:rPr>
        <w:t xml:space="preserve"> </w:t>
      </w:r>
      <w:r>
        <w:t xml:space="preserve">mit </w:t>
      </w:r>
      <w:r>
        <w:rPr>
          <w:rStyle w:val="Fett"/>
          <w:rFonts w:eastAsiaTheme="majorEastAsia"/>
          <w:rtl/>
        </w:rPr>
        <w:t>נֶגַע</w:t>
      </w:r>
      <w:r>
        <w:t xml:space="preserve">, „Plage, Schlag, Leiden", Construct mit </w:t>
      </w:r>
      <w:r>
        <w:rPr>
          <w:rStyle w:val="Fett"/>
          <w:rFonts w:eastAsiaTheme="majorEastAsia"/>
          <w:rtl/>
        </w:rPr>
        <w:t>צָרַעַת</w:t>
      </w:r>
      <w:r>
        <w:t xml:space="preserve">, „Aussatz, Hautkrankheit", mit Artikel, Präposition </w:t>
      </w:r>
      <w:r>
        <w:rPr>
          <w:rStyle w:val="Fett"/>
          <w:rFonts w:eastAsiaTheme="majorEastAsia"/>
          <w:rtl/>
        </w:rPr>
        <w:t>לְ</w:t>
      </w:r>
      <w:r>
        <w:rPr>
          <w:rtl/>
        </w:rPr>
        <w:t xml:space="preserve"> </w:t>
      </w:r>
      <w:r>
        <w:t xml:space="preserve">mit Qal Infinitiv Construct von </w:t>
      </w:r>
      <w:r>
        <w:rPr>
          <w:rStyle w:val="Fett"/>
          <w:rFonts w:eastAsiaTheme="majorEastAsia"/>
          <w:rtl/>
        </w:rPr>
        <w:t>שׁמר</w:t>
      </w:r>
      <w:r>
        <w:t xml:space="preserve">, „beachten, halten", </w:t>
      </w:r>
      <w:r>
        <w:rPr>
          <w:rStyle w:val="Fett"/>
          <w:rFonts w:eastAsiaTheme="majorEastAsia"/>
          <w:rtl/>
        </w:rPr>
        <w:t>מְאֹד</w:t>
      </w:r>
      <w:r>
        <w:t xml:space="preserve">, „sehr, äußerst", koordiniert durch </w:t>
      </w:r>
      <w:r>
        <w:rPr>
          <w:rStyle w:val="Fett"/>
          <w:rFonts w:eastAsiaTheme="majorEastAsia"/>
          <w:rtl/>
        </w:rPr>
        <w:t>וְ</w:t>
      </w:r>
      <w:r>
        <w:rPr>
          <w:rtl/>
        </w:rPr>
        <w:t xml:space="preserve"> </w:t>
      </w:r>
      <w:r>
        <w:t xml:space="preserve">mit Präposition </w:t>
      </w:r>
      <w:r>
        <w:rPr>
          <w:rStyle w:val="Fett"/>
          <w:rFonts w:eastAsiaTheme="majorEastAsia"/>
          <w:rtl/>
        </w:rPr>
        <w:t>לְ</w:t>
      </w:r>
      <w:r>
        <w:rPr>
          <w:rtl/>
        </w:rPr>
        <w:t xml:space="preserve"> </w:t>
      </w:r>
      <w:r>
        <w:t xml:space="preserve">und Qal Infinitiv Construct von </w:t>
      </w:r>
      <w:r>
        <w:rPr>
          <w:rStyle w:val="Fett"/>
          <w:rFonts w:eastAsiaTheme="majorEastAsia"/>
          <w:rtl/>
        </w:rPr>
        <w:t>עשׂה</w:t>
      </w:r>
      <w:r>
        <w:t xml:space="preserve">), </w:t>
      </w:r>
      <w:r>
        <w:rPr>
          <w:rStyle w:val="Fett"/>
          <w:rFonts w:eastAsiaTheme="majorEastAsia"/>
          <w:rtl/>
        </w:rPr>
        <w:t>כְּכֹל אֲשֶׁר־יוֹרוּ אֶתְכֶם הַכֹּהֲנִים הַלְוִיִּם</w:t>
      </w:r>
      <w:r>
        <w:rPr>
          <w:rtl/>
        </w:rPr>
        <w:t xml:space="preserve"> </w:t>
      </w:r>
      <w:r>
        <w:t xml:space="preserve">(Präposition </w:t>
      </w:r>
      <w:r>
        <w:rPr>
          <w:rStyle w:val="Fett"/>
          <w:rFonts w:eastAsiaTheme="majorEastAsia"/>
          <w:rtl/>
        </w:rPr>
        <w:t>כְּ</w:t>
      </w:r>
      <w:r>
        <w:rPr>
          <w:rtl/>
        </w:rPr>
        <w:t xml:space="preserve"> </w:t>
      </w:r>
      <w:r>
        <w:t xml:space="preserve">mit </w:t>
      </w:r>
      <w:r>
        <w:rPr>
          <w:rStyle w:val="Fett"/>
          <w:rFonts w:eastAsiaTheme="majorEastAsia"/>
          <w:rtl/>
        </w:rPr>
        <w:t>כֹּל</w:t>
      </w:r>
      <w:r>
        <w:t xml:space="preserve">, „alles", Relativsatz: </w:t>
      </w:r>
      <w:r>
        <w:rPr>
          <w:rStyle w:val="Fett"/>
          <w:rFonts w:eastAsiaTheme="majorEastAsia"/>
          <w:rtl/>
        </w:rPr>
        <w:t>אֲשֶׁר־יוֹרוּ אֶתְכֶם</w:t>
      </w:r>
      <w:r>
        <w:rPr>
          <w:rtl/>
        </w:rPr>
        <w:t xml:space="preserve"> </w:t>
      </w:r>
      <w:r>
        <w:t xml:space="preserve">mit </w:t>
      </w:r>
      <w:r>
        <w:rPr>
          <w:rStyle w:val="Fett"/>
          <w:rFonts w:eastAsiaTheme="majorEastAsia"/>
          <w:rtl/>
        </w:rPr>
        <w:t>ירה</w:t>
      </w:r>
      <w:r>
        <w:t xml:space="preserve">, Hiphil Imperfekt, 3. Person Plural, „unterweisen, lehren, anweisen", Objektpartikel </w:t>
      </w:r>
      <w:r>
        <w:rPr>
          <w:rStyle w:val="Fett"/>
          <w:rFonts w:eastAsiaTheme="majorEastAsia"/>
          <w:rtl/>
        </w:rPr>
        <w:t>אֵת</w:t>
      </w:r>
      <w:r>
        <w:rPr>
          <w:rtl/>
        </w:rPr>
        <w:t xml:space="preserve"> </w:t>
      </w:r>
      <w:r>
        <w:t xml:space="preserve">mit Suffix 2. Person Maskulinum Plural, </w:t>
      </w:r>
      <w:r>
        <w:rPr>
          <w:rStyle w:val="Fett"/>
          <w:rFonts w:eastAsiaTheme="majorEastAsia"/>
          <w:rtl/>
        </w:rPr>
        <w:t>הַכֹּהֲנִים הַלְוִיִּם</w:t>
      </w:r>
      <w:r>
        <w:t xml:space="preserve">, „die Priester, die Leviten" – Apposition), </w:t>
      </w:r>
      <w:r>
        <w:rPr>
          <w:rStyle w:val="Fett"/>
          <w:rFonts w:eastAsiaTheme="majorEastAsia"/>
          <w:rtl/>
        </w:rPr>
        <w:t>כַּאֲשֶׁר צִוִּיתִם תִּשְׁמְרוּ לַעֲשׂוֹת</w:t>
      </w:r>
      <w:r>
        <w:rPr>
          <w:rtl/>
        </w:rPr>
        <w:t xml:space="preserve"> </w:t>
      </w:r>
      <w:r>
        <w:t xml:space="preserve">(Vergleichssatz: </w:t>
      </w:r>
      <w:r>
        <w:rPr>
          <w:rStyle w:val="Fett"/>
          <w:rFonts w:eastAsiaTheme="majorEastAsia"/>
          <w:rtl/>
        </w:rPr>
        <w:t>כַּאֲשֶׁר</w:t>
      </w:r>
      <w:r>
        <w:rPr>
          <w:rtl/>
        </w:rPr>
        <w:t xml:space="preserve"> </w:t>
      </w:r>
      <w:r>
        <w:t xml:space="preserve">mit </w:t>
      </w:r>
      <w:r>
        <w:rPr>
          <w:rStyle w:val="Fett"/>
          <w:rFonts w:eastAsiaTheme="majorEastAsia"/>
          <w:rtl/>
        </w:rPr>
        <w:t>צוה</w:t>
      </w:r>
      <w:r>
        <w:t xml:space="preserve">, Piel Perfekt, 1. Person Singular, „befehlen, gebieten", mit Suffix 3. Person Maskulinum Plural, </w:t>
      </w:r>
      <w:r>
        <w:rPr>
          <w:rStyle w:val="Fett"/>
          <w:rFonts w:eastAsiaTheme="majorEastAsia"/>
          <w:rtl/>
        </w:rPr>
        <w:t>שׁמר</w:t>
      </w:r>
      <w:r>
        <w:t xml:space="preserve">, Qal Imperfekt, 2. Person Maskulinum Plural, Präposition </w:t>
      </w:r>
      <w:r>
        <w:rPr>
          <w:rStyle w:val="Fett"/>
          <w:rFonts w:eastAsiaTheme="majorEastAsia"/>
          <w:rtl/>
        </w:rPr>
        <w:t>לְ</w:t>
      </w:r>
      <w:r>
        <w:rPr>
          <w:rtl/>
        </w:rPr>
        <w:t xml:space="preserve"> </w:t>
      </w:r>
      <w:r>
        <w:t xml:space="preserve">mit Qal Infinitiv Construct von </w:t>
      </w:r>
      <w:r>
        <w:rPr>
          <w:rStyle w:val="Fett"/>
          <w:rFonts w:eastAsiaTheme="majorEastAsia"/>
          <w:rtl/>
        </w:rPr>
        <w:t>עשׂה</w:t>
      </w:r>
      <w:r>
        <w:t>).</w:t>
      </w:r>
    </w:p>
    <w:p w14:paraId="51FAC40C" w14:textId="4DF91B0B" w:rsidR="00166F02" w:rsidRDefault="00166F02" w:rsidP="00166F02">
      <w:pPr>
        <w:pStyle w:val="whitespace-normal"/>
      </w:pPr>
      <w:r>
        <w:t xml:space="preserve">Der Vers gibt eine kurze Anweisung bezüglich </w:t>
      </w:r>
      <w:r>
        <w:rPr>
          <w:rStyle w:val="Fett"/>
          <w:rFonts w:eastAsiaTheme="majorEastAsia"/>
          <w:rtl/>
        </w:rPr>
        <w:t>צָרַעַת</w:t>
      </w:r>
      <w:r>
        <w:rPr>
          <w:rtl/>
        </w:rPr>
        <w:t xml:space="preserve"> </w:t>
      </w:r>
      <w:r>
        <w:t xml:space="preserve">(„Aussatz, Hautkrankheit"). Die erste Anweisung: </w:t>
      </w:r>
      <w:r>
        <w:rPr>
          <w:rStyle w:val="Fett"/>
          <w:rFonts w:eastAsiaTheme="majorEastAsia"/>
          <w:rtl/>
        </w:rPr>
        <w:t>הִשָּׁמֶר בְּנֶגַע־הַצָּרַעַת לִשְׁמֹר מְאֹד וְלַעֲשׂוֹת</w:t>
      </w:r>
      <w:r>
        <w:rPr>
          <w:rtl/>
        </w:rPr>
        <w:t xml:space="preserve"> </w:t>
      </w:r>
      <w:r>
        <w:t xml:space="preserve">(„hüte dich bei der Plage des Aussatzes, zu beachten sehr und zu tun"). Das Verb </w:t>
      </w:r>
      <w:r>
        <w:rPr>
          <w:rStyle w:val="Fett"/>
          <w:rFonts w:eastAsiaTheme="majorEastAsia"/>
          <w:rtl/>
        </w:rPr>
        <w:t>שׁמר</w:t>
      </w:r>
      <w:r>
        <w:rPr>
          <w:rtl/>
        </w:rPr>
        <w:t xml:space="preserve"> </w:t>
      </w:r>
      <w:r>
        <w:t xml:space="preserve">im Niphal („sich hüten") betont Vorsicht. Das Wort </w:t>
      </w:r>
      <w:r>
        <w:rPr>
          <w:rStyle w:val="Fett"/>
          <w:rFonts w:eastAsiaTheme="majorEastAsia"/>
          <w:rtl/>
        </w:rPr>
        <w:t>נֶגַע</w:t>
      </w:r>
      <w:r>
        <w:rPr>
          <w:rtl/>
        </w:rPr>
        <w:t xml:space="preserve"> </w:t>
      </w:r>
      <w:r>
        <w:t xml:space="preserve">(„Plage, Schlag") bezeichnet Hautkrankheiten (Lev 13-14). Das Wort </w:t>
      </w:r>
      <w:r>
        <w:rPr>
          <w:rStyle w:val="Fett"/>
          <w:rFonts w:eastAsiaTheme="majorEastAsia"/>
          <w:rtl/>
        </w:rPr>
        <w:t>צָרַעַת</w:t>
      </w:r>
      <w:r>
        <w:rPr>
          <w:rtl/>
        </w:rPr>
        <w:t xml:space="preserve"> </w:t>
      </w:r>
      <w:r>
        <w:t xml:space="preserve">(„Aussatz") ist ein Sammelbegriff für verschiedene Hautkrankheiten, nicht unbedingt identisch mit Lepra (Hansen-Krankheit). Die Infinitivkonstruktion </w:t>
      </w:r>
      <w:r>
        <w:rPr>
          <w:rStyle w:val="Fett"/>
          <w:rFonts w:eastAsiaTheme="majorEastAsia"/>
          <w:rtl/>
        </w:rPr>
        <w:t>לִשְׁמֹר מְאֹד וְלַעֲשׂוֹת</w:t>
      </w:r>
      <w:r>
        <w:rPr>
          <w:rtl/>
        </w:rPr>
        <w:t xml:space="preserve"> </w:t>
      </w:r>
      <w:r>
        <w:t xml:space="preserve">(„zu beachten sehr und zu tun") betont sorgfältiges Befolgen. Die zweite Anweisung: </w:t>
      </w:r>
      <w:r>
        <w:rPr>
          <w:rStyle w:val="Fett"/>
          <w:rFonts w:eastAsiaTheme="majorEastAsia"/>
          <w:rtl/>
        </w:rPr>
        <w:t>כְּכֹל אֲשֶׁר־יוֹרוּ אֶתְכֶם הַכֹּהֲנִים הַלְוִיִּם</w:t>
      </w:r>
      <w:r>
        <w:rPr>
          <w:rtl/>
        </w:rPr>
        <w:t xml:space="preserve"> </w:t>
      </w:r>
      <w:r>
        <w:t xml:space="preserve">(„nach allem, was euch lehren die Priester, die Leviten"). Das Verb </w:t>
      </w:r>
      <w:r>
        <w:rPr>
          <w:rStyle w:val="Fett"/>
          <w:rFonts w:eastAsiaTheme="majorEastAsia"/>
          <w:rtl/>
        </w:rPr>
        <w:t>ירה</w:t>
      </w:r>
      <w:r>
        <w:rPr>
          <w:rtl/>
        </w:rPr>
        <w:t xml:space="preserve"> </w:t>
      </w:r>
      <w:r>
        <w:t xml:space="preserve">im Hiphil („unterweisen, lehren, anweisen") – die Priester haben die Autorität, </w:t>
      </w:r>
      <w:r>
        <w:rPr>
          <w:rStyle w:val="Fett"/>
          <w:rFonts w:eastAsiaTheme="majorEastAsia"/>
          <w:rtl/>
        </w:rPr>
        <w:t>צָרַעַת</w:t>
      </w:r>
      <w:r>
        <w:rPr>
          <w:rtl/>
        </w:rPr>
        <w:t xml:space="preserve"> </w:t>
      </w:r>
      <w:r>
        <w:t xml:space="preserve">zu diagnostizieren und die Reinigungsvorschriften durchzusetzen (Lev 13-14). Die Formulierung </w:t>
      </w:r>
      <w:r>
        <w:rPr>
          <w:rStyle w:val="Fett"/>
          <w:rFonts w:eastAsiaTheme="majorEastAsia"/>
          <w:rtl/>
        </w:rPr>
        <w:t>הַכֹּהֲנִים הַלְוִיִּם</w:t>
      </w:r>
      <w:r>
        <w:rPr>
          <w:rtl/>
        </w:rPr>
        <w:t xml:space="preserve"> </w:t>
      </w:r>
      <w:r>
        <w:t xml:space="preserve">(„die Priester, die Leviten") ist typisch deuteronomisch (vgl. 17,9.18; 18,1; 21,5; 27,9). Die dritte Anweisung: </w:t>
      </w:r>
      <w:r>
        <w:rPr>
          <w:rStyle w:val="Fett"/>
          <w:rFonts w:eastAsiaTheme="majorEastAsia"/>
          <w:rtl/>
        </w:rPr>
        <w:t>כַּאֲשֶׁר צִוִּיתִם תִּשְׁמְרוּ לַעֲשׂוֹת</w:t>
      </w:r>
      <w:r>
        <w:rPr>
          <w:rtl/>
        </w:rPr>
        <w:t xml:space="preserve"> </w:t>
      </w:r>
      <w:r>
        <w:t xml:space="preserve">(„wie ich ihnen geboten habe, beachten sollt ihr zu tun"). Die 1. Person Singular </w:t>
      </w:r>
      <w:r>
        <w:rPr>
          <w:rStyle w:val="Fett"/>
          <w:rFonts w:eastAsiaTheme="majorEastAsia"/>
          <w:rtl/>
        </w:rPr>
        <w:t>צִוִּיתִם</w:t>
      </w:r>
      <w:r>
        <w:rPr>
          <w:rtl/>
        </w:rPr>
        <w:t xml:space="preserve"> </w:t>
      </w:r>
      <w:r>
        <w:t>(„ich habe ihnen geboten") – Mose spricht und verweist auf frühere Anweisungen (Lev 13-14). V. 9 wird ein historisches Beispiel geben.</w:t>
      </w:r>
    </w:p>
    <w:p w14:paraId="688F5B0C" w14:textId="2D3C4789" w:rsidR="00A600C6" w:rsidRDefault="00A600C6" w:rsidP="00166F02">
      <w:pPr>
        <w:pStyle w:val="whitespace-normal"/>
      </w:pPr>
      <w:r>
        <w:rPr>
          <w:rStyle w:val="Fett"/>
        </w:rPr>
        <w:t>Die LXX</w:t>
      </w:r>
      <w:r>
        <w:t xml:space="preserve"> übersetzt </w:t>
      </w:r>
      <w:r>
        <w:rPr>
          <w:rtl/>
        </w:rPr>
        <w:t>נֶגַע־הַצָּרַעַת</w:t>
      </w:r>
      <w:r>
        <w:t xml:space="preserve"> (Plage des Aussatzes) mit </w:t>
      </w:r>
      <w:proofErr w:type="spellStart"/>
      <w:r>
        <w:t>ἁφῇ</w:t>
      </w:r>
      <w:proofErr w:type="spellEnd"/>
      <w:r>
        <w:t xml:space="preserve"> </w:t>
      </w:r>
      <w:proofErr w:type="spellStart"/>
      <w:r>
        <w:t>τῆς</w:t>
      </w:r>
      <w:proofErr w:type="spellEnd"/>
      <w:r>
        <w:t xml:space="preserve"> </w:t>
      </w:r>
      <w:proofErr w:type="spellStart"/>
      <w:r>
        <w:t>λέ</w:t>
      </w:r>
      <w:proofErr w:type="spellEnd"/>
      <w:r>
        <w:t>πρας (Berührung/</w:t>
      </w:r>
      <w:r w:rsidR="008C1A51">
        <w:t>Befall</w:t>
      </w:r>
      <w:r>
        <w:t xml:space="preserve"> der Lepra) – wobei </w:t>
      </w:r>
      <w:proofErr w:type="spellStart"/>
      <w:r>
        <w:t>λέ</w:t>
      </w:r>
      <w:proofErr w:type="spellEnd"/>
      <w:r>
        <w:t>πρα der griechische Begriff für Hautkrankheiten ist, der nicht genau der modernen Lepra entspricht.</w:t>
      </w:r>
    </w:p>
    <w:p w14:paraId="1C3FEB36" w14:textId="77777777" w:rsidR="00166F02" w:rsidRDefault="00166F02" w:rsidP="00166F02">
      <w:pPr>
        <w:pStyle w:val="whitespace-normal"/>
      </w:pPr>
      <w:r>
        <w:rPr>
          <w:rStyle w:val="Fett"/>
          <w:rFonts w:eastAsiaTheme="majorEastAsia"/>
        </w:rPr>
        <w:t>Die Satzstruktur:</w:t>
      </w:r>
      <w:r>
        <w:t xml:space="preserve"> Drei koordinierte Anweisungen (hüte dich bei der Plage des Aussatzes, zu beachten sehr und zu tun, nach allem, was euch lehren die Priester, die Leviten; wie ich ihnen geboten habe, beachten sollt ihr zu tun).</w:t>
      </w:r>
    </w:p>
    <w:p w14:paraId="3B8B6B19" w14:textId="55AFF011" w:rsidR="00166F02" w:rsidRDefault="00166F02" w:rsidP="00AB12A0">
      <w:pPr>
        <w:pStyle w:val="whitespace-normal"/>
      </w:pPr>
      <w:r>
        <w:rPr>
          <w:rStyle w:val="Fett"/>
          <w:rFonts w:eastAsiaTheme="majorEastAsia"/>
        </w:rPr>
        <w:t>Der Vers beschreibt:</w:t>
      </w:r>
      <w:r>
        <w:t xml:space="preserve"> Anweisung, bei Aussatzfällen die priesterlichen Anweisungen sorgfältig zu befolgen – die Priester haben die Autorität in diesen Fragen.</w:t>
      </w:r>
    </w:p>
    <w:p w14:paraId="6E98749F" w14:textId="77777777" w:rsidR="00166F02" w:rsidRPr="00713867" w:rsidRDefault="00166F02" w:rsidP="00B53ACC">
      <w:pPr>
        <w:pStyle w:val="Bibelberschrift"/>
      </w:pPr>
      <w:r w:rsidRPr="00713867">
        <w:rPr>
          <w:rStyle w:val="Fett"/>
          <w:b/>
          <w:bCs w:val="0"/>
        </w:rPr>
        <w:lastRenderedPageBreak/>
        <w:t>Deuteronomium 24,9</w:t>
      </w:r>
    </w:p>
    <w:p w14:paraId="69BEF018" w14:textId="77777777" w:rsidR="00166F02" w:rsidRDefault="00166F02" w:rsidP="00166F02">
      <w:pPr>
        <w:pStyle w:val="whitespace-normal"/>
      </w:pPr>
      <w:r>
        <w:rPr>
          <w:rStyle w:val="Fett"/>
          <w:rFonts w:eastAsiaTheme="majorEastAsia"/>
        </w:rPr>
        <w:t>Hebräisch:</w:t>
      </w:r>
      <w:r>
        <w:t xml:space="preserve"> </w:t>
      </w:r>
      <w:r>
        <w:rPr>
          <w:rtl/>
        </w:rPr>
        <w:t>זָכ֕וֹר אֵ֧ת אֲשֶׁר־עָשָׂ֛ה יְהוָ֥ה אֱלֹהֶ֖יךָ לְמִרְיָ֑ם בַּדֶּ֖רֶךְ בְּצֵאתְכֶ֥ם מִמִּצְרָֽיִם׃</w:t>
      </w:r>
    </w:p>
    <w:p w14:paraId="5D0DBE21" w14:textId="77777777" w:rsidR="00166F02" w:rsidRDefault="00166F02" w:rsidP="00166F02">
      <w:pPr>
        <w:pStyle w:val="whitespace-normal"/>
      </w:pPr>
      <w:r>
        <w:rPr>
          <w:rStyle w:val="Fett"/>
          <w:rFonts w:eastAsiaTheme="majorEastAsia"/>
        </w:rPr>
        <w:t>Deutsch:</w:t>
      </w:r>
      <w:r>
        <w:t xml:space="preserve"> Gedenke dessen, was JHWH, dein Gott, an Mirjam getan hat auf dem Weg, als ihr aus Ägypten zogt.</w:t>
      </w:r>
    </w:p>
    <w:p w14:paraId="7343EA07" w14:textId="77777777" w:rsidR="00166F02" w:rsidRDefault="004F5CEB" w:rsidP="00166F02">
      <w:r>
        <w:rPr>
          <w:noProof/>
        </w:rPr>
        <w:pict w14:anchorId="6E6C8EA9">
          <v:rect id="_x0000_i1659" style="width:0;height:1.5pt" o:hralign="center" o:hrstd="t" o:hr="t" fillcolor="#a0a0a0" stroked="f"/>
        </w:pict>
      </w:r>
    </w:p>
    <w:p w14:paraId="0F75F9EB"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זָכוֹר אֵת אֲשֶׁר־עָשָׂה יְהוָה אֱלֹהֶיךָ לְמִרְיָם בַּדֶּרֶךְ בְּצֵאתְכֶם מִמִּצְרָיִם</w:t>
      </w:r>
      <w:r>
        <w:rPr>
          <w:rtl/>
        </w:rPr>
        <w:t xml:space="preserve"> </w:t>
      </w:r>
      <w:r>
        <w:t xml:space="preserve">ist eine Anweisung: </w:t>
      </w:r>
      <w:r>
        <w:rPr>
          <w:rStyle w:val="Fett"/>
          <w:rFonts w:eastAsiaTheme="majorEastAsia"/>
          <w:rtl/>
        </w:rPr>
        <w:t>זָכוֹר אֵת אֲשֶׁר־עָשָׂה יְהוָה אֱלֹהֶיךָ לְמִרְיָם</w:t>
      </w:r>
      <w:r>
        <w:rPr>
          <w:rtl/>
        </w:rPr>
        <w:t xml:space="preserve"> </w:t>
      </w:r>
      <w:r>
        <w:t>(</w:t>
      </w:r>
      <w:r>
        <w:rPr>
          <w:rStyle w:val="Fett"/>
          <w:rFonts w:eastAsiaTheme="majorEastAsia"/>
          <w:rtl/>
        </w:rPr>
        <w:t>זכר</w:t>
      </w:r>
      <w:r>
        <w:t xml:space="preserve">, Qal Imperativ, 2. Person Maskulinum Singular, „gedenken, erinnern", Objektpartikel </w:t>
      </w:r>
      <w:r>
        <w:rPr>
          <w:rStyle w:val="Fett"/>
          <w:rFonts w:eastAsiaTheme="majorEastAsia"/>
          <w:rtl/>
        </w:rPr>
        <w:t>אֵת</w:t>
      </w:r>
      <w:r>
        <w:t xml:space="preserve">, Relativsatz: </w:t>
      </w:r>
      <w:r>
        <w:rPr>
          <w:rStyle w:val="Fett"/>
          <w:rFonts w:eastAsiaTheme="majorEastAsia"/>
          <w:rtl/>
        </w:rPr>
        <w:t>אֲשֶׁר־עָשָׂה יְהוָה אֱלֹהֶיךָ לְמִרְיָם</w:t>
      </w:r>
      <w:r>
        <w:rPr>
          <w:rtl/>
        </w:rPr>
        <w:t xml:space="preserve"> </w:t>
      </w:r>
      <w:r>
        <w:t xml:space="preserve">mit </w:t>
      </w:r>
      <w:r>
        <w:rPr>
          <w:rStyle w:val="Fett"/>
          <w:rFonts w:eastAsiaTheme="majorEastAsia"/>
          <w:rtl/>
        </w:rPr>
        <w:t>עשׂה</w:t>
      </w:r>
      <w:r>
        <w:t xml:space="preserve">, Qal Perfekt, 3. Person Maskulinum Singular, </w:t>
      </w:r>
      <w:r>
        <w:rPr>
          <w:rStyle w:val="Fett"/>
          <w:rFonts w:eastAsiaTheme="majorEastAsia"/>
          <w:rtl/>
        </w:rPr>
        <w:t>יְהוָה אֱלֹהֶיךָ</w:t>
      </w:r>
      <w:r>
        <w:rPr>
          <w:rtl/>
        </w:rPr>
        <w:t xml:space="preserve"> </w:t>
      </w:r>
      <w:r>
        <w:t xml:space="preserve">als Subjekt, </w:t>
      </w:r>
      <w:r>
        <w:rPr>
          <w:rStyle w:val="Fett"/>
          <w:rFonts w:eastAsiaTheme="majorEastAsia"/>
          <w:rtl/>
        </w:rPr>
        <w:t>לְמִרְיָם</w:t>
      </w:r>
      <w:r>
        <w:t xml:space="preserve">, Präposition </w:t>
      </w:r>
      <w:r>
        <w:rPr>
          <w:rStyle w:val="Fett"/>
          <w:rFonts w:eastAsiaTheme="majorEastAsia"/>
          <w:rtl/>
        </w:rPr>
        <w:t>לְ</w:t>
      </w:r>
      <w:r>
        <w:rPr>
          <w:rtl/>
        </w:rPr>
        <w:t xml:space="preserve"> </w:t>
      </w:r>
      <w:r>
        <w:t xml:space="preserve">mit </w:t>
      </w:r>
      <w:r>
        <w:rPr>
          <w:rStyle w:val="Fett"/>
          <w:rFonts w:eastAsiaTheme="majorEastAsia"/>
          <w:rtl/>
        </w:rPr>
        <w:t>מִרְיָם</w:t>
      </w:r>
      <w:r>
        <w:t xml:space="preserve">, Eigenname), </w:t>
      </w:r>
      <w:r>
        <w:rPr>
          <w:rStyle w:val="Fett"/>
          <w:rFonts w:eastAsiaTheme="majorEastAsia"/>
          <w:rtl/>
        </w:rPr>
        <w:t>בַּדֶּרֶךְ בְּצֵאתְכֶם מִמִּצְרָיִם</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דֶּרֶךְ</w:t>
      </w:r>
      <w:r>
        <w:rPr>
          <w:rtl/>
        </w:rPr>
        <w:t xml:space="preserve"> </w:t>
      </w:r>
      <w:r>
        <w:t xml:space="preserve">mit Artikel, Präposition </w:t>
      </w:r>
      <w:r>
        <w:rPr>
          <w:rStyle w:val="Fett"/>
          <w:rFonts w:eastAsiaTheme="majorEastAsia"/>
          <w:rtl/>
        </w:rPr>
        <w:t>בְּ</w:t>
      </w:r>
      <w:r>
        <w:rPr>
          <w:rtl/>
        </w:rPr>
        <w:t xml:space="preserve"> </w:t>
      </w:r>
      <w:r>
        <w:t xml:space="preserve">mit Qal Infinitiv Construct von </w:t>
      </w:r>
      <w:r>
        <w:rPr>
          <w:rStyle w:val="Fett"/>
          <w:rFonts w:eastAsiaTheme="majorEastAsia"/>
          <w:rtl/>
        </w:rPr>
        <w:t>יצא</w:t>
      </w:r>
      <w:r>
        <w:t xml:space="preserve">, mit Suffix 2. Person Maskulinum Plural, Präposition </w:t>
      </w:r>
      <w:r>
        <w:rPr>
          <w:rStyle w:val="Fett"/>
          <w:rFonts w:eastAsiaTheme="majorEastAsia"/>
          <w:rtl/>
        </w:rPr>
        <w:t>מִן</w:t>
      </w:r>
      <w:r>
        <w:rPr>
          <w:rtl/>
        </w:rPr>
        <w:t xml:space="preserve"> </w:t>
      </w:r>
      <w:r>
        <w:t xml:space="preserve">mit </w:t>
      </w:r>
      <w:r>
        <w:rPr>
          <w:rStyle w:val="Fett"/>
          <w:rFonts w:eastAsiaTheme="majorEastAsia"/>
          <w:rtl/>
        </w:rPr>
        <w:t>מִצְרַיִם</w:t>
      </w:r>
      <w:r>
        <w:t>).</w:t>
      </w:r>
    </w:p>
    <w:p w14:paraId="3C016B16" w14:textId="780A4089" w:rsidR="00166F02" w:rsidRDefault="00166F02" w:rsidP="00166F02">
      <w:pPr>
        <w:pStyle w:val="whitespace-normal"/>
      </w:pPr>
      <w:r>
        <w:t xml:space="preserve">Der Vers gibt ein historisches Beispiel als Warnung bezüglich </w:t>
      </w:r>
      <w:r>
        <w:rPr>
          <w:rStyle w:val="Fett"/>
          <w:rFonts w:eastAsiaTheme="majorEastAsia"/>
          <w:rtl/>
        </w:rPr>
        <w:t>צָרַעַת</w:t>
      </w:r>
      <w:r>
        <w:t xml:space="preserve">. Die Anweisung: </w:t>
      </w:r>
      <w:r>
        <w:rPr>
          <w:rStyle w:val="Fett"/>
          <w:rFonts w:eastAsiaTheme="majorEastAsia"/>
          <w:rtl/>
        </w:rPr>
        <w:t>זָכוֹר אֵת אֲשֶׁר־עָשָׂה יְהוָה אֱלֹהֶיךָ לְמִרְיָם בַּדֶּרֶךְ בְּצֵאתְכֶם מִמִּצְרָיִם</w:t>
      </w:r>
      <w:r>
        <w:rPr>
          <w:rtl/>
        </w:rPr>
        <w:t xml:space="preserve"> </w:t>
      </w:r>
      <w:r>
        <w:t xml:space="preserve">(„gedenke dessen, was JHWH, dein Gott, getan hat an Mirjam auf dem Weg, als ihr </w:t>
      </w:r>
      <w:r w:rsidR="008C1A51">
        <w:t>ausgingt aus</w:t>
      </w:r>
      <w:r>
        <w:t xml:space="preserve"> Ägypten"). Das Verb </w:t>
      </w:r>
      <w:r>
        <w:rPr>
          <w:rStyle w:val="Fett"/>
          <w:rFonts w:eastAsiaTheme="majorEastAsia"/>
          <w:rtl/>
        </w:rPr>
        <w:t>זכר</w:t>
      </w:r>
      <w:r>
        <w:rPr>
          <w:rtl/>
        </w:rPr>
        <w:t xml:space="preserve"> </w:t>
      </w:r>
      <w:r>
        <w:t xml:space="preserve">(„gedenken, erinnern") fordert bewusste Erinnerung. Die Formulierung </w:t>
      </w:r>
      <w:r>
        <w:rPr>
          <w:rStyle w:val="Fett"/>
          <w:rFonts w:eastAsiaTheme="majorEastAsia"/>
          <w:rtl/>
        </w:rPr>
        <w:t>אֲשֶׁר־עָשָׂה יְהוָה אֱלֹהֶיךָ לְמִרְיָם</w:t>
      </w:r>
      <w:r>
        <w:rPr>
          <w:rtl/>
        </w:rPr>
        <w:t xml:space="preserve"> </w:t>
      </w:r>
      <w:r>
        <w:t xml:space="preserve">(„was JHWH, dein Gott, getan hat an Mirjam") – Verweis auf Num 12,1-15: Mirjam und Aaron sprachen gegen Mose, Mirjam wurde mit </w:t>
      </w:r>
      <w:r>
        <w:rPr>
          <w:rStyle w:val="Fett"/>
          <w:rFonts w:eastAsiaTheme="majorEastAsia"/>
          <w:rtl/>
        </w:rPr>
        <w:t>צָרַעַת</w:t>
      </w:r>
      <w:r>
        <w:rPr>
          <w:rtl/>
        </w:rPr>
        <w:t xml:space="preserve"> </w:t>
      </w:r>
      <w:r>
        <w:t xml:space="preserve">geschlagen und musste sieben Tage außerhalb des Lagers bleiben, bis sie geheilt wurde. Die zeitliche und örtliche Angabe: </w:t>
      </w:r>
      <w:r>
        <w:rPr>
          <w:rStyle w:val="Fett"/>
          <w:rFonts w:eastAsiaTheme="majorEastAsia"/>
          <w:rtl/>
        </w:rPr>
        <w:t>בַּדֶּרֶךְ בְּצֵאתְכֶם מִמִּצְרָיִם</w:t>
      </w:r>
      <w:r>
        <w:rPr>
          <w:rtl/>
        </w:rPr>
        <w:t xml:space="preserve"> </w:t>
      </w:r>
      <w:r>
        <w:t xml:space="preserve">(„auf dem Weg, als ihr </w:t>
      </w:r>
      <w:r w:rsidR="008C1A51">
        <w:t xml:space="preserve">ausgingt aus </w:t>
      </w:r>
      <w:r>
        <w:t xml:space="preserve">Ägypten") – während der Wüstenwanderung. Die Ratio des Verses: (1) Warnung – </w:t>
      </w:r>
      <w:r>
        <w:rPr>
          <w:rStyle w:val="Fett"/>
          <w:rFonts w:eastAsiaTheme="majorEastAsia"/>
          <w:rtl/>
        </w:rPr>
        <w:t>צָרַעַת</w:t>
      </w:r>
      <w:r>
        <w:rPr>
          <w:rtl/>
        </w:rPr>
        <w:t xml:space="preserve"> </w:t>
      </w:r>
      <w:r>
        <w:t xml:space="preserve">ist ernst, sogar Mirjam (eine Prophetin, Ex 15,20; Mi 6,4) wurde damit geschlagen. (2) Erinnerung an göttliches Gericht – </w:t>
      </w:r>
      <w:r>
        <w:rPr>
          <w:rStyle w:val="Fett"/>
          <w:rFonts w:eastAsiaTheme="majorEastAsia"/>
          <w:rtl/>
        </w:rPr>
        <w:t>צָרַעַת</w:t>
      </w:r>
      <w:r>
        <w:rPr>
          <w:rtl/>
        </w:rPr>
        <w:t xml:space="preserve"> </w:t>
      </w:r>
      <w:r>
        <w:t xml:space="preserve">kann göttliche Strafe sein (vgl. </w:t>
      </w:r>
      <w:r w:rsidR="00664EB6">
        <w:t>2Kön</w:t>
      </w:r>
      <w:r>
        <w:t xml:space="preserve"> 5,27; 15,5; </w:t>
      </w:r>
      <w:r w:rsidR="00664EB6">
        <w:t>2Chr</w:t>
      </w:r>
      <w:r>
        <w:t xml:space="preserve"> 26,19-21). (3) Motivation, die priesterlichen Anweisungen aus V. 8 zu befolgen. Die Verbindung V. 8-9: Nehmt </w:t>
      </w:r>
      <w:r>
        <w:rPr>
          <w:rStyle w:val="Fett"/>
          <w:rFonts w:eastAsiaTheme="majorEastAsia"/>
          <w:rtl/>
        </w:rPr>
        <w:t>צָרַעַת</w:t>
      </w:r>
      <w:r>
        <w:rPr>
          <w:rtl/>
        </w:rPr>
        <w:t xml:space="preserve"> </w:t>
      </w:r>
      <w:r>
        <w:t>ernst und befolgt die priesterlichen Anweisungen – erinnert euch, was Mirjam passiert ist!</w:t>
      </w:r>
    </w:p>
    <w:p w14:paraId="1D76061C" w14:textId="77777777" w:rsidR="00166F02" w:rsidRDefault="00166F02" w:rsidP="00166F02">
      <w:pPr>
        <w:pStyle w:val="whitespace-normal"/>
      </w:pPr>
      <w:r>
        <w:rPr>
          <w:rStyle w:val="Fett"/>
          <w:rFonts w:eastAsiaTheme="majorEastAsia"/>
        </w:rPr>
        <w:t>Die Satzstruktur:</w:t>
      </w:r>
      <w:r>
        <w:t xml:space="preserve"> Anweisung mit historischem Bezug (gedenke dessen, was JHWH, dein Gott, getan hat an Mirjam auf dem Weg, als ihr ausging aus Ägypten).</w:t>
      </w:r>
    </w:p>
    <w:p w14:paraId="2FA7A141" w14:textId="75815916" w:rsidR="00166F02" w:rsidRDefault="00166F02" w:rsidP="00AB12A0">
      <w:pPr>
        <w:pStyle w:val="whitespace-normal"/>
      </w:pPr>
      <w:r>
        <w:rPr>
          <w:rStyle w:val="Fett"/>
          <w:rFonts w:eastAsiaTheme="majorEastAsia"/>
        </w:rPr>
        <w:t>Der Vers beschreibt:</w:t>
      </w:r>
      <w:r>
        <w:t xml:space="preserve"> Mahnende Erinnerung an Mirjams Bestrafung mit Aussatz – eine Warnung, die Aussatzgesetze ernst zu nehmen.</w:t>
      </w:r>
    </w:p>
    <w:p w14:paraId="4CE20F35" w14:textId="77777777" w:rsidR="00166F02" w:rsidRPr="00713867" w:rsidRDefault="00166F02" w:rsidP="00B53ACC">
      <w:pPr>
        <w:pStyle w:val="Bibelberschrift"/>
      </w:pPr>
      <w:r w:rsidRPr="00713867">
        <w:rPr>
          <w:rStyle w:val="Fett"/>
          <w:b/>
          <w:bCs w:val="0"/>
        </w:rPr>
        <w:t>Deuteronomium 24,10</w:t>
      </w:r>
    </w:p>
    <w:p w14:paraId="176E40DE" w14:textId="77777777" w:rsidR="00166F02" w:rsidRDefault="00166F02" w:rsidP="00166F02">
      <w:pPr>
        <w:pStyle w:val="whitespace-normal"/>
      </w:pPr>
      <w:r>
        <w:rPr>
          <w:rStyle w:val="Fett"/>
          <w:rFonts w:eastAsiaTheme="majorEastAsia"/>
        </w:rPr>
        <w:t>Hebräisch:</w:t>
      </w:r>
      <w:r>
        <w:t xml:space="preserve"> </w:t>
      </w:r>
      <w:r>
        <w:rPr>
          <w:rtl/>
        </w:rPr>
        <w:t>כִּֽי־תַשֶּׁ֥ה בְרֵֽעֲךָ֖ מַשַּׁ֣את מְא֑וּמָה לֹא־תָבֹ֥א אֶל־בֵּיתֹ֖ו לַעֲבֹ֥ט עֲבֹטֹֽו׃</w:t>
      </w:r>
    </w:p>
    <w:p w14:paraId="7BBB4B9A" w14:textId="77777777" w:rsidR="00166F02" w:rsidRDefault="00166F02" w:rsidP="00166F02">
      <w:pPr>
        <w:pStyle w:val="whitespace-normal"/>
      </w:pPr>
      <w:r>
        <w:rPr>
          <w:rStyle w:val="Fett"/>
          <w:rFonts w:eastAsiaTheme="majorEastAsia"/>
        </w:rPr>
        <w:t>Deutsch:</w:t>
      </w:r>
      <w:r>
        <w:t xml:space="preserve"> Wenn du deinem Nächsten irgendein Darlehen gewährst, sollst du nicht in sein Haus hineingehen, um sein Pfand zu nehmen;</w:t>
      </w:r>
    </w:p>
    <w:p w14:paraId="5B5053AC" w14:textId="77777777" w:rsidR="00166F02" w:rsidRDefault="004F5CEB" w:rsidP="00166F02">
      <w:r>
        <w:rPr>
          <w:noProof/>
        </w:rPr>
        <w:pict w14:anchorId="731A1CD3">
          <v:rect id="_x0000_i1660" style="width:0;height:1.5pt" o:hralign="center" o:hrstd="t" o:hr="t" fillcolor="#a0a0a0" stroked="f"/>
        </w:pict>
      </w:r>
    </w:p>
    <w:p w14:paraId="33A6C9B9" w14:textId="77777777" w:rsidR="00166F02" w:rsidRDefault="00166F02" w:rsidP="00166F02">
      <w:pPr>
        <w:pStyle w:val="whitespace-normal"/>
      </w:pPr>
      <w:r>
        <w:rPr>
          <w:rStyle w:val="Fett"/>
          <w:rFonts w:eastAsiaTheme="majorEastAsia"/>
        </w:rPr>
        <w:lastRenderedPageBreak/>
        <w:t>Kommentar:</w:t>
      </w:r>
      <w:r>
        <w:t xml:space="preserve"> </w:t>
      </w:r>
      <w:r>
        <w:rPr>
          <w:rStyle w:val="Fett"/>
          <w:rFonts w:eastAsiaTheme="majorEastAsia"/>
          <w:rtl/>
        </w:rPr>
        <w:t>כִּי־תַשֶּׁה בְרֵעֲךָ מַשַּׁאת מְאוּמָה לֹא־תָבֹא אֶל־בֵּיתוֹ לַעֲבֹט עֲבֹטוֹ</w:t>
      </w:r>
      <w:r>
        <w:rPr>
          <w:rtl/>
        </w:rPr>
        <w:t xml:space="preserve"> </w:t>
      </w:r>
      <w:r>
        <w:t xml:space="preserve">ist eine Bedingung mit Verbot: </w:t>
      </w:r>
      <w:r>
        <w:rPr>
          <w:rStyle w:val="Fett"/>
          <w:rFonts w:eastAsiaTheme="majorEastAsia"/>
          <w:rtl/>
        </w:rPr>
        <w:t>כִּי־תַשֶּׁה בְרֵעֲךָ מַשַּׁאת מְאוּמָה</w:t>
      </w:r>
      <w:r>
        <w:rPr>
          <w:rtl/>
        </w:rPr>
        <w:t xml:space="preserve"> </w:t>
      </w:r>
      <w:r>
        <w:t>(</w:t>
      </w:r>
      <w:r>
        <w:rPr>
          <w:rStyle w:val="Fett"/>
          <w:rFonts w:eastAsiaTheme="majorEastAsia"/>
          <w:rtl/>
        </w:rPr>
        <w:t>כִּי</w:t>
      </w:r>
      <w:r>
        <w:rPr>
          <w:rtl/>
        </w:rPr>
        <w:t xml:space="preserve"> </w:t>
      </w:r>
      <w:r>
        <w:t xml:space="preserve">mit </w:t>
      </w:r>
      <w:r>
        <w:rPr>
          <w:rStyle w:val="Fett"/>
          <w:rFonts w:eastAsiaTheme="majorEastAsia"/>
          <w:rtl/>
        </w:rPr>
        <w:t>נשׁה</w:t>
      </w:r>
      <w:r>
        <w:t xml:space="preserve">, Hiphil Imperfekt, 2. Person Maskulinum Singular, „ausleihen, ein Darlehen gewähren" (im Hiphil: verleihen, im Qal: leihen, entleihen), </w:t>
      </w:r>
      <w:r>
        <w:rPr>
          <w:rStyle w:val="Fett"/>
          <w:rFonts w:eastAsiaTheme="majorEastAsia"/>
          <w:rtl/>
        </w:rPr>
        <w:t>בְרֵעֲךָ</w:t>
      </w:r>
      <w:r>
        <w:t xml:space="preserve">, Präposition </w:t>
      </w:r>
      <w:r>
        <w:rPr>
          <w:rStyle w:val="Fett"/>
          <w:rFonts w:eastAsiaTheme="majorEastAsia"/>
          <w:rtl/>
        </w:rPr>
        <w:t>בְּ</w:t>
      </w:r>
      <w:r>
        <w:rPr>
          <w:rtl/>
        </w:rPr>
        <w:t xml:space="preserve"> </w:t>
      </w:r>
      <w:r>
        <w:t xml:space="preserve">mit </w:t>
      </w:r>
      <w:r>
        <w:rPr>
          <w:rStyle w:val="Fett"/>
          <w:rFonts w:eastAsiaTheme="majorEastAsia"/>
          <w:rtl/>
        </w:rPr>
        <w:t>רֵעַ</w:t>
      </w:r>
      <w:r>
        <w:rPr>
          <w:rtl/>
        </w:rPr>
        <w:t xml:space="preserve"> </w:t>
      </w:r>
      <w:r>
        <w:t xml:space="preserve">mit Suffix 2. Person Maskulinum Singular, </w:t>
      </w:r>
      <w:r>
        <w:rPr>
          <w:rStyle w:val="Fett"/>
          <w:rFonts w:eastAsiaTheme="majorEastAsia"/>
          <w:rtl/>
        </w:rPr>
        <w:t>מַשַּׁאת</w:t>
      </w:r>
      <w:r>
        <w:t xml:space="preserve">, „Darlehen, Schuld" (von </w:t>
      </w:r>
      <w:r>
        <w:rPr>
          <w:rStyle w:val="Fett"/>
          <w:rFonts w:eastAsiaTheme="majorEastAsia"/>
          <w:rtl/>
        </w:rPr>
        <w:t>נשׁא</w:t>
      </w:r>
      <w:r>
        <w:t xml:space="preserve">, „tragen, erheben"), </w:t>
      </w:r>
      <w:r>
        <w:rPr>
          <w:rStyle w:val="Fett"/>
          <w:rFonts w:eastAsiaTheme="majorEastAsia"/>
          <w:rtl/>
        </w:rPr>
        <w:t>מְאוּמָה</w:t>
      </w:r>
      <w:r>
        <w:t xml:space="preserve">, „irgendetwas, etwas"), </w:t>
      </w:r>
      <w:r>
        <w:rPr>
          <w:rStyle w:val="Fett"/>
          <w:rFonts w:eastAsiaTheme="majorEastAsia"/>
          <w:rtl/>
        </w:rPr>
        <w:t>לֹא־תָבֹא אֶל־בֵּיתוֹ לַעֲבֹט עֲבֹטוֹ</w:t>
      </w:r>
      <w:r>
        <w:rPr>
          <w:rtl/>
        </w:rPr>
        <w:t xml:space="preserve"> </w:t>
      </w:r>
      <w:r>
        <w:t xml:space="preserve">(Negation mit </w:t>
      </w:r>
      <w:r>
        <w:rPr>
          <w:rStyle w:val="Fett"/>
          <w:rFonts w:eastAsiaTheme="majorEastAsia"/>
          <w:rtl/>
        </w:rPr>
        <w:t>בוא</w:t>
      </w:r>
      <w:r>
        <w:t xml:space="preserve">, Qal Imperfekt, 2. Person Maskulinum Singular, Präposition </w:t>
      </w:r>
      <w:r>
        <w:rPr>
          <w:rStyle w:val="Fett"/>
          <w:rFonts w:eastAsiaTheme="majorEastAsia"/>
          <w:rtl/>
        </w:rPr>
        <w:t>אֶל</w:t>
      </w:r>
      <w:r>
        <w:rPr>
          <w:rtl/>
        </w:rPr>
        <w:t xml:space="preserve"> </w:t>
      </w:r>
      <w:r>
        <w:t xml:space="preserve">mit </w:t>
      </w:r>
      <w:r>
        <w:rPr>
          <w:rStyle w:val="Fett"/>
          <w:rFonts w:eastAsiaTheme="majorEastAsia"/>
          <w:rtl/>
        </w:rPr>
        <w:t>בַּיִת</w:t>
      </w:r>
      <w:r>
        <w:rPr>
          <w:rtl/>
        </w:rPr>
        <w:t xml:space="preserve"> </w:t>
      </w:r>
      <w:r>
        <w:t xml:space="preserve">mit Suffix 3. Person Maskulinum Singular, </w:t>
      </w:r>
      <w:r>
        <w:rPr>
          <w:rStyle w:val="Fett"/>
          <w:rFonts w:eastAsiaTheme="majorEastAsia"/>
          <w:rtl/>
        </w:rPr>
        <w:t>לַעֲבֹט עֲבֹטוֹ</w:t>
      </w:r>
      <w:r>
        <w:t xml:space="preserve">, Präposition </w:t>
      </w:r>
      <w:r>
        <w:rPr>
          <w:rStyle w:val="Fett"/>
          <w:rFonts w:eastAsiaTheme="majorEastAsia"/>
          <w:rtl/>
        </w:rPr>
        <w:t>לְ</w:t>
      </w:r>
      <w:r>
        <w:rPr>
          <w:rtl/>
        </w:rPr>
        <w:t xml:space="preserve"> </w:t>
      </w:r>
      <w:r>
        <w:t xml:space="preserve">mit Qal Infinitiv Construct von </w:t>
      </w:r>
      <w:r>
        <w:rPr>
          <w:rStyle w:val="Fett"/>
          <w:rFonts w:eastAsiaTheme="majorEastAsia"/>
          <w:rtl/>
        </w:rPr>
        <w:t>עבט</w:t>
      </w:r>
      <w:r>
        <w:t xml:space="preserve">, „pfänden, als Pfand nehmen", inneres Objekt </w:t>
      </w:r>
      <w:r>
        <w:rPr>
          <w:rStyle w:val="Fett"/>
          <w:rFonts w:eastAsiaTheme="majorEastAsia"/>
          <w:rtl/>
        </w:rPr>
        <w:t>עֲבוֹט</w:t>
      </w:r>
      <w:r>
        <w:t>, „Pfand", mit Suffix 3. Person Maskulinum Singular – Figura etymologica).</w:t>
      </w:r>
    </w:p>
    <w:p w14:paraId="209588B0" w14:textId="1435A91C" w:rsidR="00166F02" w:rsidRDefault="00166F02" w:rsidP="00166F02">
      <w:pPr>
        <w:pStyle w:val="whitespace-normal"/>
      </w:pPr>
      <w:r>
        <w:t xml:space="preserve">Der Vers leitet einen Abschnitt über Pfandnahme ein (V. 10-13). Die Bedingung: </w:t>
      </w:r>
      <w:r>
        <w:rPr>
          <w:rStyle w:val="Fett"/>
          <w:rFonts w:eastAsiaTheme="majorEastAsia"/>
          <w:rtl/>
        </w:rPr>
        <w:t>כִּי־תַשֶּׁה בְרֵעֲךָ מַשַּׁאת מְאוּמָה</w:t>
      </w:r>
      <w:r>
        <w:rPr>
          <w:rtl/>
        </w:rPr>
        <w:t xml:space="preserve"> </w:t>
      </w:r>
      <w:r>
        <w:t xml:space="preserve">(„wenn du verleihst deinem Nächsten ein Darlehen, irgendetwas"). Das Verb </w:t>
      </w:r>
      <w:r>
        <w:rPr>
          <w:rStyle w:val="Fett"/>
          <w:rFonts w:eastAsiaTheme="majorEastAsia"/>
          <w:rtl/>
        </w:rPr>
        <w:t>נשׁה</w:t>
      </w:r>
      <w:r>
        <w:rPr>
          <w:rtl/>
        </w:rPr>
        <w:t xml:space="preserve"> </w:t>
      </w:r>
      <w:r>
        <w:t xml:space="preserve">im Hiphil („verleihen, ein Darlehen gewähren") – du bist der Gläubiger. Die Formulierung </w:t>
      </w:r>
      <w:r>
        <w:rPr>
          <w:rStyle w:val="Fett"/>
          <w:rFonts w:eastAsiaTheme="majorEastAsia"/>
          <w:rtl/>
        </w:rPr>
        <w:t>מַשַּׁאת מְאוּמָה</w:t>
      </w:r>
      <w:r>
        <w:rPr>
          <w:rtl/>
        </w:rPr>
        <w:t xml:space="preserve"> </w:t>
      </w:r>
      <w:r>
        <w:t xml:space="preserve">(„ein Darlehen, irgendetwas") betont: jede Art von Darlehen, ob groß oder klein. Das Verbot: </w:t>
      </w:r>
      <w:r>
        <w:rPr>
          <w:rStyle w:val="Fett"/>
          <w:rFonts w:eastAsiaTheme="majorEastAsia"/>
          <w:rtl/>
        </w:rPr>
        <w:t>לֹא־תָבֹא אֶל־בֵּיתוֹ לַעֲבֹט עֲבֹטוֹ</w:t>
      </w:r>
      <w:r>
        <w:rPr>
          <w:rtl/>
        </w:rPr>
        <w:t xml:space="preserve"> </w:t>
      </w:r>
      <w:r>
        <w:t xml:space="preserve">(„nicht hineingehen sollst du in sein Haus, um zu pfänden sein Pfand"). Das Verb </w:t>
      </w:r>
      <w:r>
        <w:rPr>
          <w:rStyle w:val="Fett"/>
          <w:rFonts w:eastAsiaTheme="majorEastAsia"/>
          <w:rtl/>
        </w:rPr>
        <w:t>בוא אֶל</w:t>
      </w:r>
      <w:r>
        <w:rPr>
          <w:rtl/>
        </w:rPr>
        <w:t xml:space="preserve"> </w:t>
      </w:r>
      <w:r>
        <w:t xml:space="preserve">(„hineingehen in") – du darfst nicht in das Haus des Schuldners eindringen. Die Figura etymologica </w:t>
      </w:r>
      <w:r>
        <w:rPr>
          <w:rStyle w:val="Fett"/>
          <w:rFonts w:eastAsiaTheme="majorEastAsia"/>
          <w:rtl/>
        </w:rPr>
        <w:t>לַעֲבֹט עֲבֹטוֹ</w:t>
      </w:r>
      <w:r>
        <w:rPr>
          <w:rtl/>
        </w:rPr>
        <w:t xml:space="preserve"> </w:t>
      </w:r>
      <w:r>
        <w:t>(„um zu pfänden sein Pfand") betont die Handlung. Die Ratio: Schutz der Würde und Privatsphäre des Schuldners. Der Gläubiger darf nicht gewaltsam oder willkürlich in das Haus des Schuldners eindringen und sich etwas nehmen. V. 11 wird die richtige Prozedur beschreiben.</w:t>
      </w:r>
    </w:p>
    <w:p w14:paraId="69A54759" w14:textId="08DC8E3A" w:rsidR="00A600C6" w:rsidRDefault="00A600C6" w:rsidP="00166F02">
      <w:pPr>
        <w:pStyle w:val="whitespace-normal"/>
      </w:pPr>
      <w:r>
        <w:rPr>
          <w:rStyle w:val="Fett"/>
        </w:rPr>
        <w:t>Die LXX</w:t>
      </w:r>
      <w:r>
        <w:t xml:space="preserve"> übersetzt </w:t>
      </w:r>
      <w:r>
        <w:rPr>
          <w:rtl/>
        </w:rPr>
        <w:t>מַשַּׁאת מְאוּמָה</w:t>
      </w:r>
      <w:r>
        <w:t xml:space="preserve"> (irgendeinen Betrag) mit </w:t>
      </w:r>
      <w:proofErr w:type="spellStart"/>
      <w:r>
        <w:t>ὀφείλημ</w:t>
      </w:r>
      <w:proofErr w:type="spellEnd"/>
      <w:r>
        <w:t xml:space="preserve">α </w:t>
      </w:r>
      <w:proofErr w:type="spellStart"/>
      <w:r>
        <w:t>ὁτιοῦν</w:t>
      </w:r>
      <w:proofErr w:type="spellEnd"/>
      <w:r>
        <w:t xml:space="preserve"> </w:t>
      </w:r>
      <w:proofErr w:type="spellStart"/>
      <w:r>
        <w:t>τι</w:t>
      </w:r>
      <w:proofErr w:type="spellEnd"/>
      <w:r>
        <w:t xml:space="preserve"> (irgendeine Schuld, was auch immer) – eine doppelte Betonung der Beliebigkeit. Das Verb </w:t>
      </w:r>
      <w:proofErr w:type="spellStart"/>
      <w:r>
        <w:t>ἐνεχυράσ</w:t>
      </w:r>
      <w:proofErr w:type="spellEnd"/>
      <w:r>
        <w:t xml:space="preserve">αι (als Pfand nehmen) für </w:t>
      </w:r>
      <w:r>
        <w:rPr>
          <w:rtl/>
        </w:rPr>
        <w:t>לַעֲבֹט</w:t>
      </w:r>
      <w:r>
        <w:t xml:space="preserve"> ist ein präziser terminus technicus.</w:t>
      </w:r>
    </w:p>
    <w:p w14:paraId="23A9908C" w14:textId="77777777" w:rsidR="00166F02" w:rsidRDefault="00166F02" w:rsidP="00166F02">
      <w:pPr>
        <w:pStyle w:val="whitespace-normal"/>
      </w:pPr>
      <w:r>
        <w:rPr>
          <w:rStyle w:val="Fett"/>
          <w:rFonts w:eastAsiaTheme="majorEastAsia"/>
        </w:rPr>
        <w:t>Die Satzstruktur:</w:t>
      </w:r>
      <w:r>
        <w:t xml:space="preserve"> Bedingung mit Verbot (wenn du verleihst deinem Nächsten ein Darlehen, irgendetwas, nicht hineingehen sollst du in sein Haus, um zu pfänden sein Pfand).</w:t>
      </w:r>
    </w:p>
    <w:p w14:paraId="15AA5A45" w14:textId="01A322E6" w:rsidR="00166F02" w:rsidRDefault="00166F02" w:rsidP="00AB12A0">
      <w:pPr>
        <w:pStyle w:val="whitespace-normal"/>
      </w:pPr>
      <w:r>
        <w:rPr>
          <w:rStyle w:val="Fett"/>
          <w:rFonts w:eastAsiaTheme="majorEastAsia"/>
        </w:rPr>
        <w:t>Der Vers beschreibt:</w:t>
      </w:r>
      <w:r>
        <w:t xml:space="preserve"> Verbot für den Gläubiger, in das Haus des Schuldners einzudringen, um ein Pfand zu nehmen.</w:t>
      </w:r>
    </w:p>
    <w:p w14:paraId="4355CDDA" w14:textId="77777777" w:rsidR="00166F02" w:rsidRPr="00713867" w:rsidRDefault="00166F02" w:rsidP="00B53ACC">
      <w:pPr>
        <w:pStyle w:val="Bibelberschrift"/>
      </w:pPr>
      <w:r w:rsidRPr="00713867">
        <w:rPr>
          <w:rStyle w:val="Fett"/>
          <w:b/>
          <w:bCs w:val="0"/>
        </w:rPr>
        <w:t>Deuteronomium 24,11</w:t>
      </w:r>
    </w:p>
    <w:p w14:paraId="4DC6F44B" w14:textId="77777777" w:rsidR="00166F02" w:rsidRDefault="00166F02" w:rsidP="00166F02">
      <w:pPr>
        <w:pStyle w:val="whitespace-normal"/>
      </w:pPr>
      <w:r>
        <w:rPr>
          <w:rStyle w:val="Fett"/>
          <w:rFonts w:eastAsiaTheme="majorEastAsia"/>
        </w:rPr>
        <w:t>Hebräisch:</w:t>
      </w:r>
      <w:r>
        <w:t xml:space="preserve"> </w:t>
      </w:r>
      <w:r>
        <w:rPr>
          <w:rtl/>
        </w:rPr>
        <w:t>בַּח֖וּץ תַּעֲמֹ֑ד וְהָאִ֗ישׁ אֲשֶׁ֤ר אַתָּה֙ נֹשֶׁ֣ה בוֹ֔ יוֹצִ֥יא אֵלֶ֛יךָ אֶֽת־הַעֲב֖וֹט הַחֽוּצָה׃</w:t>
      </w:r>
    </w:p>
    <w:p w14:paraId="6496C1C0" w14:textId="77777777" w:rsidR="00166F02" w:rsidRDefault="00166F02" w:rsidP="00166F02">
      <w:pPr>
        <w:pStyle w:val="whitespace-normal"/>
      </w:pPr>
      <w:r>
        <w:rPr>
          <w:rStyle w:val="Fett"/>
          <w:rFonts w:eastAsiaTheme="majorEastAsia"/>
        </w:rPr>
        <w:t>Deutsch:</w:t>
      </w:r>
      <w:r>
        <w:t xml:space="preserve"> Draußen sollst du stehen bleiben, und der Mann, dem du geliehen hast, soll das Pfand zu dir hinausbringen.</w:t>
      </w:r>
    </w:p>
    <w:p w14:paraId="0693E128" w14:textId="77777777" w:rsidR="00166F02" w:rsidRDefault="004F5CEB" w:rsidP="00166F02">
      <w:r>
        <w:rPr>
          <w:noProof/>
        </w:rPr>
        <w:pict w14:anchorId="23A9E93E">
          <v:rect id="_x0000_i1661" style="width:0;height:1.5pt" o:hralign="center" o:hrstd="t" o:hr="t" fillcolor="#a0a0a0" stroked="f"/>
        </w:pict>
      </w:r>
    </w:p>
    <w:p w14:paraId="72317F6A"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בַּחוּץ תַּעֲמֹד וְהָאִישׁ אֲשֶׁר אַתָּה נֹשֶׁה בוֹ יוֹצִיא אֵלֶיךָ אֶת־הַעֲבוֹט הַחוּצָה</w:t>
      </w:r>
      <w:r>
        <w:rPr>
          <w:rtl/>
        </w:rPr>
        <w:t xml:space="preserve"> </w:t>
      </w:r>
      <w:r>
        <w:t xml:space="preserve">sind zwei Anweisungen: </w:t>
      </w:r>
      <w:r>
        <w:rPr>
          <w:rStyle w:val="Fett"/>
          <w:rFonts w:eastAsiaTheme="majorEastAsia"/>
          <w:rtl/>
        </w:rPr>
        <w:t>בַּחוּץ תַּעֲמֹד</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חוּץ</w:t>
      </w:r>
      <w:r>
        <w:t xml:space="preserve">, „außen, draußen", mit Artikel, </w:t>
      </w:r>
      <w:r>
        <w:rPr>
          <w:rStyle w:val="Fett"/>
          <w:rFonts w:eastAsiaTheme="majorEastAsia"/>
          <w:rtl/>
        </w:rPr>
        <w:t>עמד</w:t>
      </w:r>
      <w:r>
        <w:t xml:space="preserve">, Qal Imperfekt, 2. Person Maskulinum Singular, „stehen, stehenbleiben"), </w:t>
      </w:r>
      <w:r>
        <w:rPr>
          <w:rStyle w:val="Fett"/>
          <w:rFonts w:eastAsiaTheme="majorEastAsia"/>
          <w:rtl/>
        </w:rPr>
        <w:t>וְהָאִישׁ אֲשֶׁר אַתָּה נֹשֶׁה בוֹ יוֹצִיא אֵלֶיךָ אֶת־הַעֲבוֹט הַחוּצָה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הָאִישׁ</w:t>
      </w:r>
      <w:r>
        <w:rPr>
          <w:rtl/>
        </w:rPr>
        <w:t xml:space="preserve"> </w:t>
      </w:r>
      <w:r>
        <w:t xml:space="preserve">als Subjekt, Relativsatz: </w:t>
      </w:r>
      <w:r>
        <w:rPr>
          <w:rStyle w:val="Fett"/>
          <w:rFonts w:eastAsiaTheme="majorEastAsia"/>
          <w:rtl/>
        </w:rPr>
        <w:t>אֲשֶׁר אַתָּה נֹשֶׁה בוֹ</w:t>
      </w:r>
      <w:r>
        <w:rPr>
          <w:rtl/>
        </w:rPr>
        <w:t xml:space="preserve"> </w:t>
      </w:r>
      <w:r>
        <w:t xml:space="preserve">mit </w:t>
      </w:r>
      <w:r>
        <w:rPr>
          <w:rStyle w:val="Fett"/>
          <w:rFonts w:eastAsiaTheme="majorEastAsia"/>
          <w:rtl/>
        </w:rPr>
        <w:t>נשׁה</w:t>
      </w:r>
      <w:r>
        <w:t xml:space="preserve">, Qal Partizip, „leihen an, ausleihen an" (im Qal: als Gläubiger agieren), </w:t>
      </w:r>
      <w:r>
        <w:rPr>
          <w:rStyle w:val="Fett"/>
          <w:rFonts w:eastAsiaTheme="majorEastAsia"/>
          <w:rtl/>
        </w:rPr>
        <w:t>בוֹ</w:t>
      </w:r>
      <w:r>
        <w:t xml:space="preserve">, Präposition </w:t>
      </w:r>
      <w:r>
        <w:rPr>
          <w:rStyle w:val="Fett"/>
          <w:rFonts w:eastAsiaTheme="majorEastAsia"/>
          <w:rtl/>
        </w:rPr>
        <w:t>בְּ</w:t>
      </w:r>
      <w:r>
        <w:rPr>
          <w:rtl/>
        </w:rPr>
        <w:t xml:space="preserve"> </w:t>
      </w:r>
      <w:r>
        <w:t xml:space="preserve">mit Suffix 3. Person Maskulinum Singular – „an ihn, ihm", </w:t>
      </w:r>
      <w:r>
        <w:rPr>
          <w:rStyle w:val="Fett"/>
          <w:rFonts w:eastAsiaTheme="majorEastAsia"/>
          <w:rtl/>
        </w:rPr>
        <w:t>יצא</w:t>
      </w:r>
      <w:r>
        <w:t xml:space="preserve">, Hiphil Imperfekt, 3. Person Maskulinum Singular, „hinausbringen", Präposition </w:t>
      </w:r>
      <w:r>
        <w:rPr>
          <w:rStyle w:val="Fett"/>
          <w:rFonts w:eastAsiaTheme="majorEastAsia"/>
          <w:rtl/>
        </w:rPr>
        <w:t>אֶל</w:t>
      </w:r>
      <w:r>
        <w:rPr>
          <w:rtl/>
        </w:rPr>
        <w:t xml:space="preserve"> </w:t>
      </w:r>
      <w:r>
        <w:t xml:space="preserve">mit Suffix 2. </w:t>
      </w:r>
      <w:r>
        <w:lastRenderedPageBreak/>
        <w:t xml:space="preserve">Person Maskulinum Singular, Objektpartikel </w:t>
      </w:r>
      <w:r>
        <w:rPr>
          <w:rStyle w:val="Fett"/>
          <w:rFonts w:eastAsiaTheme="majorEastAsia"/>
          <w:rtl/>
        </w:rPr>
        <w:t>אֵת</w:t>
      </w:r>
      <w:r>
        <w:rPr>
          <w:rtl/>
        </w:rPr>
        <w:t xml:space="preserve"> </w:t>
      </w:r>
      <w:r>
        <w:t xml:space="preserve">mit </w:t>
      </w:r>
      <w:r>
        <w:rPr>
          <w:rStyle w:val="Fett"/>
          <w:rFonts w:eastAsiaTheme="majorEastAsia"/>
          <w:rtl/>
        </w:rPr>
        <w:t>עֲבוֹט</w:t>
      </w:r>
      <w:r>
        <w:rPr>
          <w:rtl/>
        </w:rPr>
        <w:t xml:space="preserve"> </w:t>
      </w:r>
      <w:r>
        <w:t xml:space="preserve">mit Artikel, </w:t>
      </w:r>
      <w:r>
        <w:rPr>
          <w:rStyle w:val="Fett"/>
          <w:rFonts w:eastAsiaTheme="majorEastAsia"/>
          <w:rtl/>
        </w:rPr>
        <w:t>הַחוּצָה</w:t>
      </w:r>
      <w:r>
        <w:t xml:space="preserve">, „nach draußen" – Akkusativ der Richtung mit Artikel und Richtungsendung </w:t>
      </w:r>
      <w:r>
        <w:rPr>
          <w:rStyle w:val="Fett"/>
          <w:rFonts w:eastAsiaTheme="majorEastAsia"/>
          <w:rtl/>
        </w:rPr>
        <w:t>ה</w:t>
      </w:r>
      <w:r>
        <w:rPr>
          <w:rStyle w:val="Fett"/>
          <w:rFonts w:eastAsiaTheme="majorEastAsia"/>
        </w:rPr>
        <w:t>-</w:t>
      </w:r>
      <w:r>
        <w:t>).</w:t>
      </w:r>
    </w:p>
    <w:p w14:paraId="6FF1F513" w14:textId="77777777" w:rsidR="00166F02" w:rsidRDefault="00166F02" w:rsidP="00166F02">
      <w:pPr>
        <w:pStyle w:val="whitespace-normal"/>
      </w:pPr>
      <w:r>
        <w:t xml:space="preserve">Der Vers beschreibt die korrekte Prozedur für Pfandnahme. Die erste Anweisung: </w:t>
      </w:r>
      <w:r>
        <w:rPr>
          <w:rStyle w:val="Fett"/>
          <w:rFonts w:eastAsiaTheme="majorEastAsia"/>
          <w:rtl/>
        </w:rPr>
        <w:t>בַּחוּץ תַּעֲמֹד</w:t>
      </w:r>
      <w:r>
        <w:rPr>
          <w:rtl/>
        </w:rPr>
        <w:t xml:space="preserve"> </w:t>
      </w:r>
      <w:r>
        <w:t xml:space="preserve">(„draußen stehen sollst du"). Die Präposition </w:t>
      </w:r>
      <w:r>
        <w:rPr>
          <w:rStyle w:val="Fett"/>
          <w:rFonts w:eastAsiaTheme="majorEastAsia"/>
          <w:rtl/>
        </w:rPr>
        <w:t>בַּחוּץ</w:t>
      </w:r>
      <w:r>
        <w:rPr>
          <w:rtl/>
        </w:rPr>
        <w:t xml:space="preserve"> </w:t>
      </w:r>
      <w:r>
        <w:t xml:space="preserve">(„draußen, im Freien") – vor dem Haus, nicht drinnen. Der Gläubiger wartet vor der Tür. Die zweite Anweisung: </w:t>
      </w:r>
      <w:r>
        <w:rPr>
          <w:rStyle w:val="Fett"/>
          <w:rFonts w:eastAsiaTheme="majorEastAsia"/>
          <w:rtl/>
        </w:rPr>
        <w:t>וְהָאִישׁ אֲשֶׁר אַתָּה נֹשֶׁה בוֹ יוֹצִיא אֵלֶיךָ אֶת־הַעֲבוֹט הַחוּצָה</w:t>
      </w:r>
      <w:r>
        <w:rPr>
          <w:rtl/>
        </w:rPr>
        <w:t xml:space="preserve"> </w:t>
      </w:r>
      <w:r>
        <w:t xml:space="preserve">(„und der Mann, dem du leihst, hinausbringen soll er zu dir das Pfand nach draußen"). Der Relativsatz </w:t>
      </w:r>
      <w:r>
        <w:rPr>
          <w:rStyle w:val="Fett"/>
          <w:rFonts w:eastAsiaTheme="majorEastAsia"/>
          <w:rtl/>
        </w:rPr>
        <w:t>אֲשֶׁר אַתָּה נֹשֶׁה בוֹ</w:t>
      </w:r>
      <w:r>
        <w:rPr>
          <w:rtl/>
        </w:rPr>
        <w:t xml:space="preserve"> </w:t>
      </w:r>
      <w:r>
        <w:t xml:space="preserve">(„dem du leihst") identifiziert den Schuldner. Das Verb </w:t>
      </w:r>
      <w:r>
        <w:rPr>
          <w:rStyle w:val="Fett"/>
          <w:rFonts w:eastAsiaTheme="majorEastAsia"/>
          <w:rtl/>
        </w:rPr>
        <w:t>יצא</w:t>
      </w:r>
      <w:r>
        <w:rPr>
          <w:rtl/>
        </w:rPr>
        <w:t xml:space="preserve"> </w:t>
      </w:r>
      <w:r>
        <w:t xml:space="preserve">im Hiphil („hinausbringen") – der Schuldner selbst bringt das Pfand heraus. Die doppelte Richtungsangabe </w:t>
      </w:r>
      <w:r>
        <w:rPr>
          <w:rStyle w:val="Fett"/>
          <w:rFonts w:eastAsiaTheme="majorEastAsia"/>
          <w:rtl/>
        </w:rPr>
        <w:t>אֵלֶיךָ... הַחוּצָה</w:t>
      </w:r>
      <w:r>
        <w:rPr>
          <w:rtl/>
        </w:rPr>
        <w:t xml:space="preserve"> </w:t>
      </w:r>
      <w:r>
        <w:t>(„zu dir... nach draußen") betont: von innen nach außen, zum Gläubiger hin. Die Ratio: (1) Schutz der Würde des Schuldners – er behält Kontrolle über sein Haus und entscheidet selbst, was er als Pfand gibt. (2) Verhinderung von Missbrauch – der Gläubiger kann nicht willkürlich die wertvollsten Gegenstände auswählen oder durchsuchen. (3) Respekt vor Privatsphäre und Eigentumsrechten. V. 12-13 werden weitere Einschränkungen nennen.</w:t>
      </w:r>
    </w:p>
    <w:p w14:paraId="3053C593" w14:textId="77777777" w:rsidR="00166F02" w:rsidRDefault="00166F02" w:rsidP="00166F02">
      <w:pPr>
        <w:pStyle w:val="whitespace-normal"/>
      </w:pPr>
      <w:r>
        <w:rPr>
          <w:rStyle w:val="Fett"/>
          <w:rFonts w:eastAsiaTheme="majorEastAsia"/>
        </w:rPr>
        <w:t>Die Satzstruktur:</w:t>
      </w:r>
      <w:r>
        <w:t xml:space="preserve"> Zwei koordinierte Anweisungen (draußen stehen sollst du, und der Mann, dem du leihst, hinausbringen soll er zu dir das Pfand nach draußen).</w:t>
      </w:r>
    </w:p>
    <w:p w14:paraId="697B44E6" w14:textId="154078DF" w:rsidR="00166F02" w:rsidRDefault="00166F02" w:rsidP="00AB12A0">
      <w:pPr>
        <w:pStyle w:val="whitespace-normal"/>
      </w:pPr>
      <w:r>
        <w:rPr>
          <w:rStyle w:val="Fett"/>
          <w:rFonts w:eastAsiaTheme="majorEastAsia"/>
        </w:rPr>
        <w:t>Der Vers beschreibt:</w:t>
      </w:r>
      <w:r>
        <w:t xml:space="preserve"> Die korrekte Prozedur – der Gläubiger wartet draußen, der Schuldner bringt selbst das Pfand heraus.</w:t>
      </w:r>
    </w:p>
    <w:p w14:paraId="390F2876" w14:textId="77777777" w:rsidR="00166F02" w:rsidRPr="00713867" w:rsidRDefault="00166F02" w:rsidP="00B53ACC">
      <w:pPr>
        <w:pStyle w:val="Bibelberschrift"/>
      </w:pPr>
      <w:r w:rsidRPr="00713867">
        <w:rPr>
          <w:rStyle w:val="Fett"/>
          <w:b/>
          <w:bCs w:val="0"/>
        </w:rPr>
        <w:t>Deuteronomium 24,12</w:t>
      </w:r>
    </w:p>
    <w:p w14:paraId="159008D7" w14:textId="77777777" w:rsidR="00166F02" w:rsidRDefault="00166F02" w:rsidP="00166F02">
      <w:pPr>
        <w:pStyle w:val="whitespace-normal"/>
      </w:pPr>
      <w:r>
        <w:rPr>
          <w:rStyle w:val="Fett"/>
          <w:rFonts w:eastAsiaTheme="majorEastAsia"/>
        </w:rPr>
        <w:t>Hebräisch:</w:t>
      </w:r>
      <w:r>
        <w:t xml:space="preserve"> </w:t>
      </w:r>
      <w:r>
        <w:rPr>
          <w:rtl/>
        </w:rPr>
        <w:t>וְאִם־אִ֥ישׁ עָנִ֖י ה֑וּא לֹ֥א תִשְׁכַּ֖ב בַּעֲבֹטֹֽו׃</w:t>
      </w:r>
    </w:p>
    <w:p w14:paraId="51AFEF01" w14:textId="77777777" w:rsidR="00166F02" w:rsidRDefault="00166F02" w:rsidP="00166F02">
      <w:pPr>
        <w:pStyle w:val="whitespace-normal"/>
      </w:pPr>
      <w:r>
        <w:rPr>
          <w:rStyle w:val="Fett"/>
          <w:rFonts w:eastAsiaTheme="majorEastAsia"/>
        </w:rPr>
        <w:t>Deutsch:</w:t>
      </w:r>
      <w:r>
        <w:t xml:space="preserve"> Und wenn er ein armer Mann ist, sollst du dich nicht mit seinem Pfand schlafen legen.</w:t>
      </w:r>
    </w:p>
    <w:p w14:paraId="6570DD77" w14:textId="77777777" w:rsidR="00166F02" w:rsidRDefault="004F5CEB" w:rsidP="00166F02">
      <w:r>
        <w:rPr>
          <w:noProof/>
        </w:rPr>
        <w:pict w14:anchorId="7FFF9397">
          <v:rect id="_x0000_i1662" style="width:0;height:1.5pt" o:hralign="center" o:hrstd="t" o:hr="t" fillcolor="#a0a0a0" stroked="f"/>
        </w:pict>
      </w:r>
    </w:p>
    <w:p w14:paraId="35ED11D9"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וְאִם־אִישׁ עָנִי הוּא לֹא תִשְׁכַּב בַּעֲבֹטוֹ</w:t>
      </w:r>
      <w:r>
        <w:rPr>
          <w:rtl/>
        </w:rPr>
        <w:t xml:space="preserve"> </w:t>
      </w:r>
      <w:r>
        <w:t xml:space="preserve">ist eine Bedingung mit Verbot: </w:t>
      </w:r>
      <w:r>
        <w:rPr>
          <w:rStyle w:val="Fett"/>
          <w:rFonts w:eastAsiaTheme="majorEastAsia"/>
          <w:rtl/>
        </w:rPr>
        <w:t>וְאִם־אִישׁ עָנִי הוּא</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אִם</w:t>
      </w:r>
      <w:r>
        <w:t xml:space="preserve">, </w:t>
      </w:r>
      <w:r>
        <w:rPr>
          <w:rStyle w:val="Fett"/>
          <w:rFonts w:eastAsiaTheme="majorEastAsia"/>
          <w:rtl/>
        </w:rPr>
        <w:t>אִישׁ עָנִי</w:t>
      </w:r>
      <w:r>
        <w:t xml:space="preserve">, </w:t>
      </w:r>
      <w:r>
        <w:rPr>
          <w:rStyle w:val="Fett"/>
          <w:rFonts w:eastAsiaTheme="majorEastAsia"/>
          <w:rtl/>
        </w:rPr>
        <w:t>עָנִי</w:t>
      </w:r>
      <w:r>
        <w:t xml:space="preserve">, „arm, elend, bedürftig", </w:t>
      </w:r>
      <w:r>
        <w:rPr>
          <w:rStyle w:val="Fett"/>
          <w:rFonts w:eastAsiaTheme="majorEastAsia"/>
          <w:rtl/>
        </w:rPr>
        <w:t>הוּא</w:t>
      </w:r>
      <w:r>
        <w:rPr>
          <w:rtl/>
        </w:rPr>
        <w:t xml:space="preserve"> </w:t>
      </w:r>
      <w:r>
        <w:t xml:space="preserve">als Kopula), </w:t>
      </w:r>
      <w:r>
        <w:rPr>
          <w:rStyle w:val="Fett"/>
          <w:rFonts w:eastAsiaTheme="majorEastAsia"/>
          <w:rtl/>
        </w:rPr>
        <w:t>לֹא תִשְׁכַּב בַּעֲבֹטוֹ</w:t>
      </w:r>
      <w:r>
        <w:rPr>
          <w:rtl/>
        </w:rPr>
        <w:t xml:space="preserve"> </w:t>
      </w:r>
      <w:r>
        <w:t xml:space="preserve">(Negation mit </w:t>
      </w:r>
      <w:r>
        <w:rPr>
          <w:rStyle w:val="Fett"/>
          <w:rFonts w:eastAsiaTheme="majorEastAsia"/>
          <w:rtl/>
        </w:rPr>
        <w:t>שׁכב</w:t>
      </w:r>
      <w:r>
        <w:t xml:space="preserve">, Qal Imperfekt, 2. Person Maskulinum Singular, „sich legen, schlafen", </w:t>
      </w:r>
      <w:r>
        <w:rPr>
          <w:rStyle w:val="Fett"/>
          <w:rFonts w:eastAsiaTheme="majorEastAsia"/>
          <w:rtl/>
        </w:rPr>
        <w:t>בַּעֲבֹטוֹ</w:t>
      </w:r>
      <w:r>
        <w:t xml:space="preserve">, Präposition </w:t>
      </w:r>
      <w:r>
        <w:rPr>
          <w:rStyle w:val="Fett"/>
          <w:rFonts w:eastAsiaTheme="majorEastAsia"/>
          <w:rtl/>
        </w:rPr>
        <w:t>בְּ</w:t>
      </w:r>
      <w:r>
        <w:rPr>
          <w:rtl/>
        </w:rPr>
        <w:t xml:space="preserve"> </w:t>
      </w:r>
      <w:r>
        <w:t xml:space="preserve">mit </w:t>
      </w:r>
      <w:r>
        <w:rPr>
          <w:rStyle w:val="Fett"/>
          <w:rFonts w:eastAsiaTheme="majorEastAsia"/>
          <w:rtl/>
        </w:rPr>
        <w:t>עֲבוֹט</w:t>
      </w:r>
      <w:r>
        <w:rPr>
          <w:rtl/>
        </w:rPr>
        <w:t xml:space="preserve"> </w:t>
      </w:r>
      <w:r>
        <w:t>mit Suffix 3. Person Maskulinum Singular).</w:t>
      </w:r>
    </w:p>
    <w:p w14:paraId="62D26FB9" w14:textId="77777777" w:rsidR="00166F02" w:rsidRDefault="00166F02" w:rsidP="00166F02">
      <w:pPr>
        <w:pStyle w:val="whitespace-normal"/>
      </w:pPr>
      <w:r>
        <w:t xml:space="preserve">Der Vers fügt eine weitere Einschränkung hinzu für den Fall eines armen Schuldners. Die Bedingung: </w:t>
      </w:r>
      <w:r>
        <w:rPr>
          <w:rStyle w:val="Fett"/>
          <w:rFonts w:eastAsiaTheme="majorEastAsia"/>
          <w:rtl/>
        </w:rPr>
        <w:t>וְאִם־אִישׁ עָנִי הוּא</w:t>
      </w:r>
      <w:r>
        <w:rPr>
          <w:rtl/>
        </w:rPr>
        <w:t xml:space="preserve"> </w:t>
      </w:r>
      <w:r>
        <w:t xml:space="preserve">(„und wenn ein armer Mann ist er"). Das Adjektiv </w:t>
      </w:r>
      <w:r>
        <w:rPr>
          <w:rStyle w:val="Fett"/>
          <w:rFonts w:eastAsiaTheme="majorEastAsia"/>
          <w:rtl/>
        </w:rPr>
        <w:t>עָנִי</w:t>
      </w:r>
      <w:r>
        <w:rPr>
          <w:rtl/>
        </w:rPr>
        <w:t xml:space="preserve"> </w:t>
      </w:r>
      <w:r>
        <w:t xml:space="preserve">(„arm, elend, bedürftig") beschreibt jemanden in wirtschaftlicher Not. Das Verbot: </w:t>
      </w:r>
      <w:r>
        <w:rPr>
          <w:rStyle w:val="Fett"/>
          <w:rFonts w:eastAsiaTheme="majorEastAsia"/>
          <w:rtl/>
        </w:rPr>
        <w:t>לֹא תִשְׁכַּב בַּעֲבֹטוֹ</w:t>
      </w:r>
      <w:r>
        <w:rPr>
          <w:rtl/>
        </w:rPr>
        <w:t xml:space="preserve"> </w:t>
      </w:r>
      <w:r>
        <w:t xml:space="preserve">(„nicht schlafen sollst du mit seinem Pfand"). Die Formulierung </w:t>
      </w:r>
      <w:r>
        <w:rPr>
          <w:rStyle w:val="Fett"/>
          <w:rFonts w:eastAsiaTheme="majorEastAsia"/>
          <w:rtl/>
        </w:rPr>
        <w:t>שׁכב בְּ</w:t>
      </w:r>
      <w:r>
        <w:rPr>
          <w:rtl/>
        </w:rPr>
        <w:t xml:space="preserve"> </w:t>
      </w:r>
      <w:r>
        <w:t>(„schlafen mit, sich schlafen legen mit") bedeutet hier: das Pfand über Nacht behalten. Die Ratio: Wenn der Arme sein Pfand über Nacht braucht (z.B. seinen Mantel als Decke), darf der Gläubiger es nicht behalten. V. 13 wird präzisieren, was zu tun ist.</w:t>
      </w:r>
    </w:p>
    <w:p w14:paraId="3E14E765" w14:textId="77777777" w:rsidR="00166F02" w:rsidRDefault="00166F02" w:rsidP="00166F02">
      <w:pPr>
        <w:pStyle w:val="whitespace-normal"/>
      </w:pPr>
      <w:r>
        <w:rPr>
          <w:rStyle w:val="Fett"/>
          <w:rFonts w:eastAsiaTheme="majorEastAsia"/>
        </w:rPr>
        <w:t>Die Satzstruktur:</w:t>
      </w:r>
      <w:r>
        <w:t xml:space="preserve"> Bedingung mit Verbot (und wenn ein armer Mann ist er, nicht schlafen sollst du mit seinem Pfand).</w:t>
      </w:r>
    </w:p>
    <w:p w14:paraId="21FB7A54" w14:textId="26116DFC" w:rsidR="00166F02" w:rsidRDefault="00166F02" w:rsidP="00AB12A0">
      <w:pPr>
        <w:pStyle w:val="whitespace-normal"/>
      </w:pPr>
      <w:r>
        <w:rPr>
          <w:rStyle w:val="Fett"/>
          <w:rFonts w:eastAsiaTheme="majorEastAsia"/>
        </w:rPr>
        <w:lastRenderedPageBreak/>
        <w:t>Der Vers beschreibt:</w:t>
      </w:r>
      <w:r>
        <w:t xml:space="preserve"> Wenn der Schuldner arm ist, darf der Gläubiger sein Pfand nicht über Nacht behalten.</w:t>
      </w:r>
    </w:p>
    <w:p w14:paraId="4790BD7C" w14:textId="77777777" w:rsidR="00166F02" w:rsidRPr="00713867" w:rsidRDefault="00166F02" w:rsidP="00B53ACC">
      <w:pPr>
        <w:pStyle w:val="Bibelberschrift"/>
      </w:pPr>
      <w:r w:rsidRPr="00713867">
        <w:rPr>
          <w:rStyle w:val="Fett"/>
          <w:b/>
          <w:bCs w:val="0"/>
        </w:rPr>
        <w:t>Deuteronomium 24,13</w:t>
      </w:r>
    </w:p>
    <w:p w14:paraId="16C21724" w14:textId="77777777" w:rsidR="00166F02" w:rsidRDefault="00166F02" w:rsidP="00166F02">
      <w:pPr>
        <w:pStyle w:val="whitespace-normal"/>
      </w:pPr>
      <w:r>
        <w:rPr>
          <w:rStyle w:val="Fett"/>
          <w:rFonts w:eastAsiaTheme="majorEastAsia"/>
        </w:rPr>
        <w:t>Hebräisch:</w:t>
      </w:r>
      <w:r>
        <w:t xml:space="preserve"> </w:t>
      </w:r>
      <w:r>
        <w:rPr>
          <w:rtl/>
        </w:rPr>
        <w:t>הָשֵׁב֩ תָּשִׁ֨יב לוֹ֤ אֶֽת־הַעֲבוֹט֙ כְּבֹ֣א הַשֶּׁ֔מֶשׁ וְשָׁכַ֥ב בְּשַׂלְמָתוֹ֖ וּבֵֽרֲכֶ֑ךָּ וּלְךָ֙ תִּהְיֶ֣ה צְדָקָ֔ה לִפְנֵ֖י יְהוָ֥ה אֱלֹהֶֽיךָ׃</w:t>
      </w:r>
    </w:p>
    <w:p w14:paraId="2EFE726E" w14:textId="77777777" w:rsidR="00166F02" w:rsidRDefault="00166F02" w:rsidP="00166F02">
      <w:pPr>
        <w:pStyle w:val="whitespace-normal"/>
      </w:pPr>
      <w:r>
        <w:rPr>
          <w:rStyle w:val="Fett"/>
          <w:rFonts w:eastAsiaTheme="majorEastAsia"/>
        </w:rPr>
        <w:t>Deutsch:</w:t>
      </w:r>
      <w:r>
        <w:t xml:space="preserve"> Zurückgeben sollst du ihm das Pfand gewiss, wenn die Sonne untergeht, damit er in seinem Mantel schlafe und dich segne; und es wird dir zur Gerechtigkeit sein vor JHWH, deinem Gott.</w:t>
      </w:r>
    </w:p>
    <w:p w14:paraId="7278C232" w14:textId="77777777" w:rsidR="00166F02" w:rsidRDefault="004F5CEB" w:rsidP="00166F02">
      <w:r>
        <w:rPr>
          <w:noProof/>
        </w:rPr>
        <w:pict w14:anchorId="1A187BA7">
          <v:rect id="_x0000_i1663" style="width:0;height:1.5pt" o:hralign="center" o:hrstd="t" o:hr="t" fillcolor="#a0a0a0" stroked="f"/>
        </w:pict>
      </w:r>
    </w:p>
    <w:p w14:paraId="1DBEE902"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הָשֵׁב תָּשִׁיב לוֹ אֶת־הַעֲבוֹט כְּבֹא הַשֶּׁמֶשׁ וְשָׁכַב בְּשַׂלְמָתוֹ וּבֵרֲכֶךָּ וּלְךָ תִּהְיֶה צְדָקָה לִפְנֵי יְהוָה אֱלֹהֶיךָ</w:t>
      </w:r>
      <w:r>
        <w:rPr>
          <w:rtl/>
        </w:rPr>
        <w:t xml:space="preserve"> </w:t>
      </w:r>
      <w:r>
        <w:t xml:space="preserve">sind vier Anweisungen/Aussagen: </w:t>
      </w:r>
      <w:r>
        <w:rPr>
          <w:rStyle w:val="Fett"/>
          <w:rFonts w:eastAsiaTheme="majorEastAsia"/>
          <w:rtl/>
        </w:rPr>
        <w:t>הָשֵׁב תָּשִׁיב לוֹ אֶת־הַעֲבוֹט כְּבֹא הַשֶּׁמֶשׁ</w:t>
      </w:r>
      <w:r>
        <w:rPr>
          <w:rtl/>
        </w:rPr>
        <w:t xml:space="preserve"> </w:t>
      </w:r>
      <w:r>
        <w:t>(</w:t>
      </w:r>
      <w:r>
        <w:rPr>
          <w:rStyle w:val="Fett"/>
          <w:rFonts w:eastAsiaTheme="majorEastAsia"/>
          <w:rtl/>
        </w:rPr>
        <w:t>שׁוב</w:t>
      </w:r>
      <w:r>
        <w:t xml:space="preserve">, Hiphil Infinitiv Absolutus, koordiniert mit </w:t>
      </w:r>
      <w:r>
        <w:rPr>
          <w:rStyle w:val="Fett"/>
          <w:rFonts w:eastAsiaTheme="majorEastAsia"/>
          <w:rtl/>
        </w:rPr>
        <w:t>שׁוב</w:t>
      </w:r>
      <w:r>
        <w:t xml:space="preserve">, Hiphil Imperfekt, 2. Person Maskulinum Singular, „zurückgeben" – Infinitiv Absolutus + finites Verb zur Verstärkung: „gewiss zurückgeben", </w:t>
      </w:r>
      <w:r>
        <w:rPr>
          <w:rStyle w:val="Fett"/>
          <w:rFonts w:eastAsiaTheme="majorEastAsia"/>
          <w:rtl/>
        </w:rPr>
        <w:t>לוֹ</w:t>
      </w:r>
      <w:r>
        <w:t xml:space="preserve">, Dativ, Objektpartikel </w:t>
      </w:r>
      <w:r>
        <w:rPr>
          <w:rStyle w:val="Fett"/>
          <w:rFonts w:eastAsiaTheme="majorEastAsia"/>
          <w:rtl/>
        </w:rPr>
        <w:t>אֵת</w:t>
      </w:r>
      <w:r>
        <w:rPr>
          <w:rtl/>
        </w:rPr>
        <w:t xml:space="preserve"> </w:t>
      </w:r>
      <w:r>
        <w:t xml:space="preserve">mit </w:t>
      </w:r>
      <w:r>
        <w:rPr>
          <w:rStyle w:val="Fett"/>
          <w:rFonts w:eastAsiaTheme="majorEastAsia"/>
          <w:rtl/>
        </w:rPr>
        <w:t>עֲבוֹט</w:t>
      </w:r>
      <w:r>
        <w:rPr>
          <w:rtl/>
        </w:rPr>
        <w:t xml:space="preserve"> </w:t>
      </w:r>
      <w:r>
        <w:t xml:space="preserve">mit Artikel, </w:t>
      </w:r>
      <w:r>
        <w:rPr>
          <w:rStyle w:val="Fett"/>
          <w:rFonts w:eastAsiaTheme="majorEastAsia"/>
          <w:rtl/>
        </w:rPr>
        <w:t>כְּבֹא הַשֶּׁמֶשׁ</w:t>
      </w:r>
      <w:r>
        <w:t xml:space="preserve">, Präposition </w:t>
      </w:r>
      <w:r>
        <w:rPr>
          <w:rStyle w:val="Fett"/>
          <w:rFonts w:eastAsiaTheme="majorEastAsia"/>
          <w:rtl/>
        </w:rPr>
        <w:t>כְּ</w:t>
      </w:r>
      <w:r>
        <w:rPr>
          <w:rtl/>
        </w:rPr>
        <w:t xml:space="preserve"> </w:t>
      </w:r>
      <w:r>
        <w:t xml:space="preserve">mit Qal Infinitiv Construct von </w:t>
      </w:r>
      <w:r>
        <w:rPr>
          <w:rStyle w:val="Fett"/>
          <w:rFonts w:eastAsiaTheme="majorEastAsia"/>
          <w:rtl/>
        </w:rPr>
        <w:t>בוא</w:t>
      </w:r>
      <w:r>
        <w:t xml:space="preserve">, </w:t>
      </w:r>
      <w:r>
        <w:rPr>
          <w:rStyle w:val="Fett"/>
          <w:rFonts w:eastAsiaTheme="majorEastAsia"/>
          <w:rtl/>
        </w:rPr>
        <w:t>שֶׁמֶשׁ</w:t>
      </w:r>
      <w:r>
        <w:rPr>
          <w:rtl/>
        </w:rPr>
        <w:t xml:space="preserve"> </w:t>
      </w:r>
      <w:r>
        <w:t xml:space="preserve">mit Artikel als Subjekt des Infinitivs – „wenn untergeht die Sonne"), </w:t>
      </w:r>
      <w:r>
        <w:rPr>
          <w:rStyle w:val="Fett"/>
          <w:rFonts w:eastAsiaTheme="majorEastAsia"/>
          <w:rtl/>
        </w:rPr>
        <w:t>וְשָׁכַב בְּשַׂלְמָתוֹ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שׁכב</w:t>
      </w:r>
      <w:r>
        <w:t xml:space="preserve">, Qal Perfekt, 3. Person Maskulinum Singular, </w:t>
      </w:r>
      <w:r>
        <w:rPr>
          <w:rStyle w:val="Fett"/>
          <w:rFonts w:eastAsiaTheme="majorEastAsia"/>
          <w:rtl/>
        </w:rPr>
        <w:t>בְּשַׂלְמָתוֹ</w:t>
      </w:r>
      <w:r>
        <w:t xml:space="preserve">, Präposition </w:t>
      </w:r>
      <w:r>
        <w:rPr>
          <w:rStyle w:val="Fett"/>
          <w:rFonts w:eastAsiaTheme="majorEastAsia"/>
          <w:rtl/>
        </w:rPr>
        <w:t>בְּ</w:t>
      </w:r>
      <w:r>
        <w:rPr>
          <w:rtl/>
        </w:rPr>
        <w:t xml:space="preserve"> </w:t>
      </w:r>
      <w:r>
        <w:t xml:space="preserve">mit </w:t>
      </w:r>
      <w:r>
        <w:rPr>
          <w:rStyle w:val="Fett"/>
          <w:rFonts w:eastAsiaTheme="majorEastAsia"/>
          <w:rtl/>
        </w:rPr>
        <w:t>שַׂלְמָה</w:t>
      </w:r>
      <w:r>
        <w:t xml:space="preserve">, „Mantel, Gewand", mit Suffix 3. Person Maskulinum Singular, mit </w:t>
      </w:r>
      <w:r>
        <w:rPr>
          <w:rStyle w:val="Fett"/>
          <w:rFonts w:eastAsiaTheme="majorEastAsia"/>
        </w:rPr>
        <w:t>Waw</w:t>
      </w:r>
      <w:r>
        <w:t xml:space="preserve"> consecutives Perfekt), </w:t>
      </w:r>
      <w:r>
        <w:rPr>
          <w:rStyle w:val="Fett"/>
          <w:rFonts w:eastAsiaTheme="majorEastAsia"/>
          <w:rtl/>
        </w:rPr>
        <w:t>וּבֵרֲכֶךָּ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ברך</w:t>
      </w:r>
      <w:r>
        <w:t xml:space="preserve">, Piel Perfekt, 3. Person Maskulinum Singular, mit Suffix 2. Person Maskulinum Singular, mit </w:t>
      </w:r>
      <w:r>
        <w:rPr>
          <w:rStyle w:val="Fett"/>
          <w:rFonts w:eastAsiaTheme="majorEastAsia"/>
        </w:rPr>
        <w:t>Waw</w:t>
      </w:r>
      <w:r>
        <w:t xml:space="preserve"> consecutives Perfekt), </w:t>
      </w:r>
      <w:r>
        <w:rPr>
          <w:rStyle w:val="Fett"/>
          <w:rFonts w:eastAsiaTheme="majorEastAsia"/>
          <w:rtl/>
        </w:rPr>
        <w:t>וּלְךָ תִּהְיֶה צְדָקָה לִפְנֵי יְהוָה אֱלֹהֶיךָ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לְךָ</w:t>
      </w:r>
      <w:r>
        <w:t xml:space="preserve">, Dativ, </w:t>
      </w:r>
      <w:r>
        <w:rPr>
          <w:rStyle w:val="Fett"/>
          <w:rFonts w:eastAsiaTheme="majorEastAsia"/>
          <w:rtl/>
        </w:rPr>
        <w:t>היה</w:t>
      </w:r>
      <w:r>
        <w:t xml:space="preserve">, Qal Imperfekt, 3. Person Femininum Singular, </w:t>
      </w:r>
      <w:r>
        <w:rPr>
          <w:rStyle w:val="Fett"/>
          <w:rFonts w:eastAsiaTheme="majorEastAsia"/>
          <w:rtl/>
        </w:rPr>
        <w:t>צְדָקָה</w:t>
      </w:r>
      <w:r>
        <w:t xml:space="preserve">, „Gerechtigkeit, gerechte Tat", </w:t>
      </w:r>
      <w:r>
        <w:rPr>
          <w:rStyle w:val="Fett"/>
          <w:rFonts w:eastAsiaTheme="majorEastAsia"/>
          <w:rtl/>
        </w:rPr>
        <w:t>לִפְנֵי יְהוָה אֱלֹהֶיךָ</w:t>
      </w:r>
      <w:r>
        <w:t>).</w:t>
      </w:r>
    </w:p>
    <w:p w14:paraId="3FFDBA7B" w14:textId="4920700E" w:rsidR="00166F02" w:rsidRDefault="00166F02" w:rsidP="00166F02">
      <w:pPr>
        <w:pStyle w:val="whitespace-normal"/>
      </w:pPr>
      <w:r>
        <w:t xml:space="preserve">Der Vers gibt die positive Anweisung für den Fall aus V. 12. Die erste Anweisung: </w:t>
      </w:r>
      <w:r>
        <w:rPr>
          <w:rStyle w:val="Fett"/>
          <w:rFonts w:eastAsiaTheme="majorEastAsia"/>
          <w:rtl/>
        </w:rPr>
        <w:t>הָשֵׁב תָּשִׁיב לוֹ אֶת־הַעֲבוֹט כְּבֹא הַשֶּׁמֶשׁ</w:t>
      </w:r>
      <w:r>
        <w:rPr>
          <w:rtl/>
        </w:rPr>
        <w:t xml:space="preserve"> </w:t>
      </w:r>
      <w:r>
        <w:t>(„zurückgeben sollst du ihm gewiss das Pfand, wenn untergeht die Sonne"). Die Konstruktion Infinitiv Absolutus + finites Verb (</w:t>
      </w:r>
      <w:r>
        <w:rPr>
          <w:rStyle w:val="Fett"/>
          <w:rFonts w:eastAsiaTheme="majorEastAsia"/>
          <w:rtl/>
        </w:rPr>
        <w:t>הָשֵׁב תָּשִׁיב</w:t>
      </w:r>
      <w:r>
        <w:t xml:space="preserve">) drückt Nachdruck aus: unbedingt, gewiss zurückgeben. Die zeitliche Angabe </w:t>
      </w:r>
      <w:r>
        <w:rPr>
          <w:rStyle w:val="Fett"/>
          <w:rFonts w:eastAsiaTheme="majorEastAsia"/>
          <w:rtl/>
        </w:rPr>
        <w:t>כְּבֹא הַשֶּׁמֶשׁ</w:t>
      </w:r>
      <w:r>
        <w:rPr>
          <w:rtl/>
        </w:rPr>
        <w:t xml:space="preserve"> </w:t>
      </w:r>
      <w:r>
        <w:t xml:space="preserve">(„wenn untergeht die Sonne") – vor Einbruch der Nacht, damit der Arme sein Pfand (Mantel) als Decke nutzen kann. Die zweite Aussage (Zweck): </w:t>
      </w:r>
      <w:r>
        <w:rPr>
          <w:rStyle w:val="Fett"/>
          <w:rFonts w:eastAsiaTheme="majorEastAsia"/>
          <w:rtl/>
        </w:rPr>
        <w:t>וְשָׁכַב בְּשַׂלְמָתוֹ</w:t>
      </w:r>
      <w:r>
        <w:rPr>
          <w:rtl/>
        </w:rPr>
        <w:t xml:space="preserve"> </w:t>
      </w:r>
      <w:r>
        <w:t xml:space="preserve">(„und schlafen wird er in seinem Mantel"). Das Wort </w:t>
      </w:r>
      <w:r>
        <w:rPr>
          <w:rStyle w:val="Fett"/>
          <w:rFonts w:eastAsiaTheme="majorEastAsia"/>
          <w:rtl/>
        </w:rPr>
        <w:t>שַׂלְמָה</w:t>
      </w:r>
      <w:r>
        <w:rPr>
          <w:rtl/>
        </w:rPr>
        <w:t xml:space="preserve"> </w:t>
      </w:r>
      <w:r>
        <w:t xml:space="preserve">(„Mantel, Gewand") bezeichnet das Obergewand, das auch als Decke diente. Die dritte Aussage: </w:t>
      </w:r>
      <w:r>
        <w:rPr>
          <w:rStyle w:val="Fett"/>
          <w:rFonts w:eastAsiaTheme="majorEastAsia"/>
          <w:rtl/>
        </w:rPr>
        <w:t>וּבֵרֲכֶךָּ</w:t>
      </w:r>
      <w:r>
        <w:rPr>
          <w:rtl/>
        </w:rPr>
        <w:t xml:space="preserve"> </w:t>
      </w:r>
      <w:r>
        <w:t xml:space="preserve">(„und segnen wird er dich"). Das Verb </w:t>
      </w:r>
      <w:r>
        <w:rPr>
          <w:rStyle w:val="Fett"/>
          <w:rFonts w:eastAsiaTheme="majorEastAsia"/>
          <w:rtl/>
        </w:rPr>
        <w:t>ברך</w:t>
      </w:r>
      <w:r>
        <w:rPr>
          <w:rtl/>
        </w:rPr>
        <w:t xml:space="preserve"> </w:t>
      </w:r>
      <w:r>
        <w:t xml:space="preserve">im Piel („segnen") – der arme Schuldner wird den mitfühlenden Gläubiger segnen, für ihn beten. Die vierte Aussage: </w:t>
      </w:r>
      <w:r>
        <w:rPr>
          <w:rStyle w:val="Fett"/>
          <w:rFonts w:eastAsiaTheme="majorEastAsia"/>
          <w:rtl/>
        </w:rPr>
        <w:t>וּלְךָ תִּהְיֶה צְדָקָה לִפְנֵי יְהוָה אֱלֹהֶיךָ</w:t>
      </w:r>
      <w:r>
        <w:rPr>
          <w:rtl/>
        </w:rPr>
        <w:t xml:space="preserve"> </w:t>
      </w:r>
      <w:r>
        <w:t xml:space="preserve">(„und dir sein wird es zur Gerechtigkeit vor JHWH, deinem Gott"). Das Wort </w:t>
      </w:r>
      <w:r>
        <w:rPr>
          <w:rStyle w:val="Fett"/>
          <w:rFonts w:eastAsiaTheme="majorEastAsia"/>
          <w:rtl/>
        </w:rPr>
        <w:t>צְדָקָה</w:t>
      </w:r>
      <w:r>
        <w:rPr>
          <w:rtl/>
        </w:rPr>
        <w:t xml:space="preserve"> </w:t>
      </w:r>
      <w:r>
        <w:t xml:space="preserve">(„Gerechtigkeit, gerechte Tat") – diese Barmherzigkeit wird von JHWH als gerecht anerkannt (vgl. Gen 15,6; Ps 106,31). Die Formulierung </w:t>
      </w:r>
      <w:r>
        <w:rPr>
          <w:rStyle w:val="Fett"/>
          <w:rFonts w:eastAsiaTheme="majorEastAsia"/>
          <w:rtl/>
        </w:rPr>
        <w:t>לִפְנֵי יְהוָה</w:t>
      </w:r>
      <w:r>
        <w:rPr>
          <w:rtl/>
        </w:rPr>
        <w:t xml:space="preserve"> </w:t>
      </w:r>
      <w:r>
        <w:t>(„vor JHWH") betont die göttliche Anerkennung. Vgl. Ex 22,25-26 für ein ähnliches Gesetz über Pfandnahme von Mäntel. Die Ratio: Soziale Gerechtigkeit – die wirtschaftlichen Rechte des Gläubigers dürfen nicht die existenziellen Bedürfnisse des armen Schuldners gefährden.</w:t>
      </w:r>
    </w:p>
    <w:p w14:paraId="7C779895" w14:textId="70147675" w:rsidR="00A600C6" w:rsidRDefault="00A600C6" w:rsidP="00166F02">
      <w:pPr>
        <w:pStyle w:val="whitespace-normal"/>
      </w:pPr>
      <w:r>
        <w:rPr>
          <w:rStyle w:val="Fett"/>
        </w:rPr>
        <w:t>Die LXX</w:t>
      </w:r>
      <w:r>
        <w:t xml:space="preserve"> übersetzt </w:t>
      </w:r>
      <w:r>
        <w:rPr>
          <w:rtl/>
        </w:rPr>
        <w:t>צְדָקָה</w:t>
      </w:r>
      <w:r>
        <w:t xml:space="preserve"> (Gerechtigkeit) mit </w:t>
      </w:r>
      <w:proofErr w:type="spellStart"/>
      <w:r>
        <w:t>ἐλεημοσύνη</w:t>
      </w:r>
      <w:proofErr w:type="spellEnd"/>
      <w:r>
        <w:t xml:space="preserve"> (Barmherzigkeit, Almosen) – eine signifikante semantische Verschiebung, die im hellenistischen Judentum typisch wurde, wo </w:t>
      </w:r>
      <w:r>
        <w:rPr>
          <w:rtl/>
        </w:rPr>
        <w:t>צְדָקָה</w:t>
      </w:r>
      <w:r>
        <w:t xml:space="preserve"> zunehmend "Wohltätigkeit" bedeutete.</w:t>
      </w:r>
    </w:p>
    <w:p w14:paraId="03E7E8D7" w14:textId="77777777" w:rsidR="00166F02" w:rsidRDefault="00166F02" w:rsidP="00166F02">
      <w:pPr>
        <w:pStyle w:val="whitespace-normal"/>
      </w:pPr>
      <w:r>
        <w:rPr>
          <w:rStyle w:val="Fett"/>
          <w:rFonts w:eastAsiaTheme="majorEastAsia"/>
        </w:rPr>
        <w:lastRenderedPageBreak/>
        <w:t>Die Satzstruktur:</w:t>
      </w:r>
      <w:r>
        <w:t xml:space="preserve"> Vier koordinierte Anweisungen/Aussagen (zurückgeben sollst du ihm gewiss das Pfand, wenn untergeht die Sonne, und schlafen wird er in seinem Mantel, und segnen wird er dich; und dir sein wird es zur Gerechtigkeit vor JHWH, deinem Gott).</w:t>
      </w:r>
    </w:p>
    <w:p w14:paraId="72DC1FA6" w14:textId="77777777" w:rsidR="00166F02" w:rsidRDefault="00166F02" w:rsidP="00166F02">
      <w:pPr>
        <w:pStyle w:val="whitespace-normal"/>
      </w:pPr>
      <w:r>
        <w:rPr>
          <w:rStyle w:val="Fett"/>
          <w:rFonts w:eastAsiaTheme="majorEastAsia"/>
        </w:rPr>
        <w:t>Der Vers beschreibt:</w:t>
      </w:r>
      <w:r>
        <w:t xml:space="preserve"> Verpflichtung, das Pfand eines armen Mannes vor Sonnenuntergang zurückzugeben, damit er darin schlafen kann – dies wird als gerechte Tat anerkannt.</w:t>
      </w:r>
    </w:p>
    <w:p w14:paraId="6956F2CA" w14:textId="77777777" w:rsidR="00166F02" w:rsidRPr="00713867" w:rsidRDefault="00166F02" w:rsidP="00B53ACC">
      <w:pPr>
        <w:pStyle w:val="Bibelberschrift"/>
      </w:pPr>
      <w:r w:rsidRPr="00713867">
        <w:rPr>
          <w:rStyle w:val="Fett"/>
          <w:b/>
          <w:bCs w:val="0"/>
        </w:rPr>
        <w:t>Deuteronomium 24,14</w:t>
      </w:r>
    </w:p>
    <w:p w14:paraId="47AD2326" w14:textId="77777777" w:rsidR="00166F02" w:rsidRDefault="00166F02" w:rsidP="00166F02">
      <w:pPr>
        <w:pStyle w:val="whitespace-normal"/>
      </w:pPr>
      <w:r>
        <w:rPr>
          <w:rStyle w:val="Fett"/>
          <w:rFonts w:eastAsiaTheme="majorEastAsia"/>
        </w:rPr>
        <w:t>Hebräisch:</w:t>
      </w:r>
      <w:r>
        <w:t xml:space="preserve"> </w:t>
      </w:r>
      <w:r>
        <w:rPr>
          <w:rtl/>
        </w:rPr>
        <w:t>לֹא־תַעֲשֹׁ֥ק שָׂכִ֖יר עָנִ֣י וְאֶבְי֑וֹן מֵאַחֶ֕יךָ א֧וֹ מִגֵּרְךָ֛ אֲשֶׁ֥ר בְּאַרְצְךָ֖ בִּשְׁעָרֶֽיךָ׃</w:t>
      </w:r>
    </w:p>
    <w:p w14:paraId="582A34A2" w14:textId="77777777" w:rsidR="00166F02" w:rsidRDefault="00166F02" w:rsidP="00166F02">
      <w:pPr>
        <w:pStyle w:val="whitespace-normal"/>
      </w:pPr>
      <w:r>
        <w:rPr>
          <w:rStyle w:val="Fett"/>
          <w:rFonts w:eastAsiaTheme="majorEastAsia"/>
        </w:rPr>
        <w:t>Deutsch:</w:t>
      </w:r>
      <w:r>
        <w:t xml:space="preserve"> Nicht sollst du bedrücken einen Tagelöhner, arm und bedürftig, von deinen Brüdern oder von deinen Fremdlingen, die in deinem Land, in deinen Toren sind.</w:t>
      </w:r>
    </w:p>
    <w:p w14:paraId="6631FDCC" w14:textId="77777777" w:rsidR="00166F02" w:rsidRDefault="004F5CEB" w:rsidP="00166F02">
      <w:r>
        <w:rPr>
          <w:noProof/>
        </w:rPr>
        <w:pict w14:anchorId="0CD0DA58">
          <v:rect id="_x0000_i1664" style="width:0;height:1.5pt" o:hralign="center" o:hrstd="t" o:hr="t" fillcolor="#a0a0a0" stroked="f"/>
        </w:pict>
      </w:r>
    </w:p>
    <w:p w14:paraId="26E257DF"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לֹא־תַעֲשֹׁק שָׂכִיר עָנִי וְאֶבְיוֹן מֵאַחֶיךָ אוֹ מִגֵּרְךָ אֲשֶׁר בְּאַרְצְךָ בִּשְׁעָרֶיךָ</w:t>
      </w:r>
      <w:r>
        <w:rPr>
          <w:rtl/>
        </w:rPr>
        <w:t xml:space="preserve"> </w:t>
      </w:r>
      <w:r>
        <w:t xml:space="preserve">ist ein Verbot: </w:t>
      </w:r>
      <w:r>
        <w:rPr>
          <w:rStyle w:val="Fett"/>
          <w:rFonts w:eastAsiaTheme="majorEastAsia"/>
          <w:rtl/>
        </w:rPr>
        <w:t>לֹא־תַעֲשֹׁק שָׂכִיר עָנִי וְאֶבְיוֹן</w:t>
      </w:r>
      <w:r>
        <w:rPr>
          <w:rtl/>
        </w:rPr>
        <w:t xml:space="preserve"> </w:t>
      </w:r>
      <w:r>
        <w:t xml:space="preserve">(Negation mit </w:t>
      </w:r>
      <w:r>
        <w:rPr>
          <w:rStyle w:val="Fett"/>
          <w:rFonts w:eastAsiaTheme="majorEastAsia"/>
          <w:rtl/>
        </w:rPr>
        <w:t>עשׁק</w:t>
      </w:r>
      <w:r>
        <w:t xml:space="preserve">, Qal Imperfekt, 2. Person Maskulinum Singular, „bedrücken, unterdrücken, ausbeuten", </w:t>
      </w:r>
      <w:r>
        <w:rPr>
          <w:rStyle w:val="Fett"/>
          <w:rFonts w:eastAsiaTheme="majorEastAsia"/>
          <w:rtl/>
        </w:rPr>
        <w:t>שָׂכִיר</w:t>
      </w:r>
      <w:r>
        <w:t xml:space="preserve">, „Tagelöhner, Lohnarbeiter", </w:t>
      </w:r>
      <w:r>
        <w:rPr>
          <w:rStyle w:val="Fett"/>
          <w:rFonts w:eastAsiaTheme="majorEastAsia"/>
          <w:rtl/>
        </w:rPr>
        <w:t>עָנִי</w:t>
      </w:r>
      <w:r>
        <w:t xml:space="preserve">, „arm", koordiniert durch </w:t>
      </w:r>
      <w:r>
        <w:rPr>
          <w:rStyle w:val="Fett"/>
          <w:rFonts w:eastAsiaTheme="majorEastAsia"/>
          <w:rtl/>
        </w:rPr>
        <w:t>וְ</w:t>
      </w:r>
      <w:r>
        <w:rPr>
          <w:rtl/>
        </w:rPr>
        <w:t xml:space="preserve"> </w:t>
      </w:r>
      <w:r>
        <w:t xml:space="preserve">mit </w:t>
      </w:r>
      <w:r>
        <w:rPr>
          <w:rStyle w:val="Fett"/>
          <w:rFonts w:eastAsiaTheme="majorEastAsia"/>
          <w:rtl/>
        </w:rPr>
        <w:t>אֶבְיוֹן</w:t>
      </w:r>
      <w:r>
        <w:t xml:space="preserve">, „bedürftig, arm" – die beiden Adjektive modifizieren </w:t>
      </w:r>
      <w:r>
        <w:rPr>
          <w:rStyle w:val="Fett"/>
          <w:rFonts w:eastAsiaTheme="majorEastAsia"/>
          <w:rtl/>
        </w:rPr>
        <w:t>שָׂכִיר</w:t>
      </w:r>
      <w:r>
        <w:t xml:space="preserve">), </w:t>
      </w:r>
      <w:r>
        <w:rPr>
          <w:rStyle w:val="Fett"/>
          <w:rFonts w:eastAsiaTheme="majorEastAsia"/>
          <w:rtl/>
        </w:rPr>
        <w:t>מֵאַחֶיךָ אוֹ מִגֵּרְךָ אֲשֶׁר בְּאַרְצְךָ בִּשְׁעָרֶיךָ</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אָח</w:t>
      </w:r>
      <w:r>
        <w:rPr>
          <w:rtl/>
        </w:rPr>
        <w:t xml:space="preserve"> </w:t>
      </w:r>
      <w:r>
        <w:t xml:space="preserve">Plural mit Suffix 2. Person Maskulinum Singular, </w:t>
      </w:r>
      <w:r>
        <w:rPr>
          <w:rStyle w:val="Fett"/>
          <w:rFonts w:eastAsiaTheme="majorEastAsia"/>
          <w:rtl/>
        </w:rPr>
        <w:t>אוֹ</w:t>
      </w:r>
      <w:r>
        <w:t xml:space="preserve">, „oder", Alternative, Präposition </w:t>
      </w:r>
      <w:r>
        <w:rPr>
          <w:rStyle w:val="Fett"/>
          <w:rFonts w:eastAsiaTheme="majorEastAsia"/>
          <w:rtl/>
        </w:rPr>
        <w:t>מִן</w:t>
      </w:r>
      <w:r>
        <w:rPr>
          <w:rtl/>
        </w:rPr>
        <w:t xml:space="preserve"> </w:t>
      </w:r>
      <w:r>
        <w:t xml:space="preserve">mit </w:t>
      </w:r>
      <w:r>
        <w:rPr>
          <w:rStyle w:val="Fett"/>
          <w:rFonts w:eastAsiaTheme="majorEastAsia"/>
          <w:rtl/>
        </w:rPr>
        <w:t>גֵּר</w:t>
      </w:r>
      <w:r>
        <w:t xml:space="preserve">, „Fremdling", mit Suffix 2. Person Maskulinum Singular, Relativsatz: </w:t>
      </w:r>
      <w:r>
        <w:rPr>
          <w:rStyle w:val="Fett"/>
          <w:rFonts w:eastAsiaTheme="majorEastAsia"/>
          <w:rtl/>
        </w:rPr>
        <w:t>אֲשֶׁר בְּאַרְצְךָ בִּשְׁעָרֶיךָ</w:t>
      </w:r>
      <w:r>
        <w:rPr>
          <w:rtl/>
        </w:rPr>
        <w:t xml:space="preserve"> </w:t>
      </w:r>
      <w:r>
        <w:t xml:space="preserve">mit Präpositionen </w:t>
      </w:r>
      <w:r>
        <w:rPr>
          <w:rStyle w:val="Fett"/>
          <w:rFonts w:eastAsiaTheme="majorEastAsia"/>
          <w:rtl/>
        </w:rPr>
        <w:t>בְּ</w:t>
      </w:r>
      <w:r>
        <w:rPr>
          <w:rtl/>
        </w:rPr>
        <w:t xml:space="preserve"> </w:t>
      </w:r>
      <w:r>
        <w:t xml:space="preserve">und </w:t>
      </w:r>
      <w:r>
        <w:rPr>
          <w:rStyle w:val="Fett"/>
          <w:rFonts w:eastAsiaTheme="majorEastAsia"/>
          <w:rtl/>
        </w:rPr>
        <w:t>בְּ</w:t>
      </w:r>
      <w:r>
        <w:t>).</w:t>
      </w:r>
    </w:p>
    <w:p w14:paraId="5451DAE8" w14:textId="492F3E8B" w:rsidR="00166F02" w:rsidRDefault="00166F02" w:rsidP="00166F02">
      <w:pPr>
        <w:pStyle w:val="whitespace-normal"/>
      </w:pPr>
      <w:r>
        <w:t xml:space="preserve">Der Vers leitet einen Abschnitt über Tagelöhner ein (V. 14-15). Das Verbot: </w:t>
      </w:r>
      <w:r>
        <w:rPr>
          <w:rStyle w:val="Fett"/>
          <w:rFonts w:eastAsiaTheme="majorEastAsia"/>
          <w:rtl/>
        </w:rPr>
        <w:t>לֹא־תַעֲשֹׁק שָׂכִיר עָנִי וְאֶבְיוֹן</w:t>
      </w:r>
      <w:r>
        <w:rPr>
          <w:rtl/>
        </w:rPr>
        <w:t xml:space="preserve"> </w:t>
      </w:r>
      <w:r>
        <w:t xml:space="preserve">(„nicht bedrücken sollst du einen Tagelöhner, arm und bedürftig"). Das Verb </w:t>
      </w:r>
      <w:r>
        <w:rPr>
          <w:rStyle w:val="Fett"/>
          <w:rFonts w:eastAsiaTheme="majorEastAsia"/>
          <w:rtl/>
        </w:rPr>
        <w:t>עשׁק</w:t>
      </w:r>
      <w:r>
        <w:rPr>
          <w:rtl/>
        </w:rPr>
        <w:t xml:space="preserve"> </w:t>
      </w:r>
      <w:r>
        <w:t xml:space="preserve">(„bedrücken, unterdrücken, ausbeuten") bezeichnet wirtschaftliche Ausbeutung, Vorenthalten des Lohns (vgl. Lev 19,13; Mal 3,5; Jak 5,4). Das Wort </w:t>
      </w:r>
      <w:r>
        <w:rPr>
          <w:rStyle w:val="Fett"/>
          <w:rFonts w:eastAsiaTheme="majorEastAsia"/>
          <w:rtl/>
        </w:rPr>
        <w:t>שָׂכִיר</w:t>
      </w:r>
      <w:r>
        <w:rPr>
          <w:rtl/>
        </w:rPr>
        <w:t xml:space="preserve"> </w:t>
      </w:r>
      <w:r>
        <w:t xml:space="preserve">(„Tagelöhner, Lohnarbeiter") bezeichnet jemanden, der für Tageslohn arbeitet (im Gegensatz zu Sklaven oder Dauerbeschäftigten). Die beiden Adjektive </w:t>
      </w:r>
      <w:r>
        <w:rPr>
          <w:rStyle w:val="Fett"/>
          <w:rFonts w:eastAsiaTheme="majorEastAsia"/>
          <w:rtl/>
        </w:rPr>
        <w:t>עָנִי וְאֶבְיוֹן</w:t>
      </w:r>
      <w:r>
        <w:rPr>
          <w:rtl/>
        </w:rPr>
        <w:t xml:space="preserve"> </w:t>
      </w:r>
      <w:r>
        <w:t xml:space="preserve">(„arm und bedürftig") sind nahezu synonym und betonen: wirtschaftlich Schwache, die auf ihren täglichen Lohn angewiesen sind. Die Präzisierung: </w:t>
      </w:r>
      <w:r>
        <w:rPr>
          <w:rStyle w:val="Fett"/>
          <w:rFonts w:eastAsiaTheme="majorEastAsia"/>
          <w:rtl/>
        </w:rPr>
        <w:t>מֵאַחֶיךָ אוֹ מִגֵּרְךָ אֲשֶׁר בְּאַרְצְךָ בִּשְׁעָרֶיךָ</w:t>
      </w:r>
      <w:r>
        <w:rPr>
          <w:rtl/>
        </w:rPr>
        <w:t xml:space="preserve"> </w:t>
      </w:r>
      <w:r>
        <w:t xml:space="preserve">(„von deinen Brüdern oder von deinen Fremdlingen, die in deinem Land, in deinen Toren sind"). Die Alternative </w:t>
      </w:r>
      <w:r>
        <w:rPr>
          <w:rStyle w:val="Fett"/>
          <w:rFonts w:eastAsiaTheme="majorEastAsia"/>
          <w:rtl/>
        </w:rPr>
        <w:t>מֵאַחֶיךָ אוֹ מִגֵּרְךָ</w:t>
      </w:r>
      <w:r>
        <w:rPr>
          <w:rtl/>
        </w:rPr>
        <w:t xml:space="preserve"> </w:t>
      </w:r>
      <w:r>
        <w:t xml:space="preserve">(„von deinen Brüdern oder von deinen Fremdlingen") betont: Das Verbot gilt sowohl für israelitische als auch für fremde Tagelöhner. Das Wort </w:t>
      </w:r>
      <w:r>
        <w:rPr>
          <w:rStyle w:val="Fett"/>
          <w:rFonts w:eastAsiaTheme="majorEastAsia"/>
          <w:rtl/>
        </w:rPr>
        <w:t>גֵּר</w:t>
      </w:r>
      <w:r>
        <w:rPr>
          <w:rtl/>
        </w:rPr>
        <w:t xml:space="preserve"> </w:t>
      </w:r>
      <w:r>
        <w:t xml:space="preserve">(„Fremdling") bezeichnet einen Nicht-Israeliten, der in Israel lebt (vgl. 1,16; 5,14; 10,18.19; 14,29; 16,11.14). Die Formulierung </w:t>
      </w:r>
      <w:r>
        <w:rPr>
          <w:rStyle w:val="Fett"/>
          <w:rFonts w:eastAsiaTheme="majorEastAsia"/>
          <w:rtl/>
        </w:rPr>
        <w:t>אֲשֶׁר בְּאַרְצְךָ בִּשְׁעָרֶיךָ</w:t>
      </w:r>
      <w:r>
        <w:rPr>
          <w:rtl/>
        </w:rPr>
        <w:t xml:space="preserve"> </w:t>
      </w:r>
      <w:r>
        <w:t xml:space="preserve">(„die in deinem Land, in deinen Toren sind") ist explikativ: </w:t>
      </w:r>
      <w:r>
        <w:rPr>
          <w:rStyle w:val="Fett"/>
          <w:rFonts w:eastAsiaTheme="majorEastAsia"/>
          <w:rtl/>
        </w:rPr>
        <w:t>שַׁעַר</w:t>
      </w:r>
      <w:r>
        <w:rPr>
          <w:rtl/>
        </w:rPr>
        <w:t xml:space="preserve"> </w:t>
      </w:r>
      <w:r>
        <w:t>(„Tor") steht oft metonymisch für „Stadt" (vgl. 23,17). V. 15 wird das spezifische Verbot präzisieren.</w:t>
      </w:r>
    </w:p>
    <w:p w14:paraId="347F4006" w14:textId="065CAC3B" w:rsidR="00A600C6" w:rsidRDefault="00A600C6" w:rsidP="00166F02">
      <w:pPr>
        <w:pStyle w:val="whitespace-normal"/>
      </w:pPr>
      <w:r>
        <w:rPr>
          <w:rStyle w:val="Fett"/>
        </w:rPr>
        <w:t>Die LXX</w:t>
      </w:r>
      <w:r>
        <w:t xml:space="preserve"> übersetzt </w:t>
      </w:r>
      <w:r>
        <w:rPr>
          <w:rtl/>
        </w:rPr>
        <w:t>עָנִי וְאֶבְיוֹן</w:t>
      </w:r>
      <w:r>
        <w:t xml:space="preserve"> (arm und bedürftig) mit π</w:t>
      </w:r>
      <w:proofErr w:type="spellStart"/>
      <w:r>
        <w:t>ένητος</w:t>
      </w:r>
      <w:proofErr w:type="spellEnd"/>
      <w:r>
        <w:t xml:space="preserve"> καὶ </w:t>
      </w:r>
      <w:proofErr w:type="spellStart"/>
      <w:r>
        <w:t>ἐνδεοῦς</w:t>
      </w:r>
      <w:proofErr w:type="spellEnd"/>
      <w:r>
        <w:t xml:space="preserve"> (arm und in Not befindlich) – zwei griechische Begriffe für Armut. Die Wendung </w:t>
      </w:r>
      <w:proofErr w:type="spellStart"/>
      <w:r>
        <w:t>ἐν</w:t>
      </w:r>
      <w:proofErr w:type="spellEnd"/>
      <w:r>
        <w:t xml:space="preserve"> τα</w:t>
      </w:r>
      <w:proofErr w:type="spellStart"/>
      <w:r>
        <w:t>ῖς</w:t>
      </w:r>
      <w:proofErr w:type="spellEnd"/>
      <w:r>
        <w:t xml:space="preserve"> π</w:t>
      </w:r>
      <w:proofErr w:type="spellStart"/>
      <w:r>
        <w:t>όλεσίν</w:t>
      </w:r>
      <w:proofErr w:type="spellEnd"/>
      <w:r>
        <w:t xml:space="preserve"> </w:t>
      </w:r>
      <w:proofErr w:type="spellStart"/>
      <w:r>
        <w:t>σου</w:t>
      </w:r>
      <w:proofErr w:type="spellEnd"/>
      <w:r>
        <w:t xml:space="preserve"> (in deinen Städten) für </w:t>
      </w:r>
      <w:r>
        <w:rPr>
          <w:rtl/>
        </w:rPr>
        <w:t>בִּשְׁעָרֶיךָ</w:t>
      </w:r>
      <w:r>
        <w:t xml:space="preserve"> (in deinen Toren) ist die bekannte LXX-Tendenz.</w:t>
      </w:r>
    </w:p>
    <w:p w14:paraId="6347C867" w14:textId="77777777" w:rsidR="00166F02" w:rsidRDefault="00166F02" w:rsidP="00166F02">
      <w:pPr>
        <w:pStyle w:val="whitespace-normal"/>
      </w:pPr>
      <w:r>
        <w:rPr>
          <w:rStyle w:val="Fett"/>
          <w:rFonts w:eastAsiaTheme="majorEastAsia"/>
        </w:rPr>
        <w:t>Die Satzstruktur:</w:t>
      </w:r>
      <w:r>
        <w:t xml:space="preserve"> Verbot mit Präzisierung (nicht bedrücken sollst du einen Tagelöhner, arm und bedürftig, von deinen Brüdern oder von deinen Fremdlingen, die in deinem Land, in deinen Toren sind).</w:t>
      </w:r>
    </w:p>
    <w:p w14:paraId="51AA3D7A" w14:textId="12E8F1AB" w:rsidR="00166F02" w:rsidRDefault="00166F02" w:rsidP="00AB12A0">
      <w:pPr>
        <w:pStyle w:val="whitespace-normal"/>
      </w:pPr>
      <w:r>
        <w:rPr>
          <w:rStyle w:val="Fett"/>
          <w:rFonts w:eastAsiaTheme="majorEastAsia"/>
        </w:rPr>
        <w:lastRenderedPageBreak/>
        <w:t>Der Vers beschreibt:</w:t>
      </w:r>
      <w:r>
        <w:t xml:space="preserve"> Verbot, arme Tagelöhner (ob Israeliten oder Fremdlinge) zu bedrücken oder auszubeuten.</w:t>
      </w:r>
    </w:p>
    <w:p w14:paraId="0B053F53" w14:textId="77777777" w:rsidR="00166F02" w:rsidRPr="00713867" w:rsidRDefault="00166F02" w:rsidP="00B53ACC">
      <w:pPr>
        <w:pStyle w:val="Bibelberschrift"/>
      </w:pPr>
      <w:r w:rsidRPr="00713867">
        <w:rPr>
          <w:rStyle w:val="Fett"/>
          <w:b/>
          <w:bCs w:val="0"/>
        </w:rPr>
        <w:t>Deuteronomium 24,15</w:t>
      </w:r>
    </w:p>
    <w:p w14:paraId="635B09FF" w14:textId="77777777" w:rsidR="00166F02" w:rsidRDefault="00166F02" w:rsidP="00166F02">
      <w:pPr>
        <w:pStyle w:val="whitespace-normal"/>
      </w:pPr>
      <w:r>
        <w:rPr>
          <w:rStyle w:val="Fett"/>
          <w:rFonts w:eastAsiaTheme="majorEastAsia"/>
        </w:rPr>
        <w:t>Hebräisch:</w:t>
      </w:r>
      <w:r>
        <w:t xml:space="preserve"> </w:t>
      </w:r>
      <w:r>
        <w:rPr>
          <w:rtl/>
        </w:rPr>
        <w:t>בְּיוֹמוֹ֩ תִתֵּ֨ן שְׂכָרֹ֜ו וְֽלֹא־תָב֧וֹא עָלָ֣יו הַשֶּׁ֗מֶשׁ כִּ֤י עָנִי֙ ה֔וּא וְאֵלָ֕יו ה֥וּא נֹשֵׂ֖א אֶת־נַפְשֹׁ֑ו וְלֹֽא־יִקְרָ֤א עָלֶ֨יךָ֙ אֶל־יְהוָ֔ה וְהָיָ֥ה בְךָ֖ חֵֽטְא׃</w:t>
      </w:r>
    </w:p>
    <w:p w14:paraId="369B7A57" w14:textId="77777777" w:rsidR="00166F02" w:rsidRDefault="00166F02" w:rsidP="00166F02">
      <w:pPr>
        <w:pStyle w:val="whitespace-normal"/>
      </w:pPr>
      <w:r>
        <w:rPr>
          <w:rStyle w:val="Fett"/>
          <w:rFonts w:eastAsiaTheme="majorEastAsia"/>
        </w:rPr>
        <w:t>Deutsch:</w:t>
      </w:r>
      <w:r>
        <w:t xml:space="preserve"> An seinem Tag sollst du seinen Lohn geben, und die Sonne soll nicht darüber untergehen; denn er ist arm, und daran hängt seine Seele; damit er nicht über dich zu JHWH rufe und es Sünde an dir sei.</w:t>
      </w:r>
    </w:p>
    <w:p w14:paraId="05B13B5E" w14:textId="77777777" w:rsidR="00166F02" w:rsidRDefault="004F5CEB" w:rsidP="00166F02">
      <w:r>
        <w:rPr>
          <w:noProof/>
        </w:rPr>
        <w:pict w14:anchorId="350FE676">
          <v:rect id="_x0000_i1665" style="width:0;height:1.5pt" o:hralign="center" o:hrstd="t" o:hr="t" fillcolor="#a0a0a0" stroked="f"/>
        </w:pict>
      </w:r>
    </w:p>
    <w:p w14:paraId="7B3F3DDE"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בְּיוֹמוֹ תִתֵּן שְׂכָרוֹ וְלֹא־תָבוֹא עָלָיו הַשֶּׁמֶשׁ כִּי עָנִי הוּא וְאֵלָיו הוּא נֹשֵׂא אֶת־נַפְשׁוֹ וְלֹא־יִקְרָא עָלֶיךָ אֶל־יְהוָה וְהָיָה בְךָ חֵטְא</w:t>
      </w:r>
      <w:r>
        <w:rPr>
          <w:rtl/>
        </w:rPr>
        <w:t xml:space="preserve"> </w:t>
      </w:r>
      <w:r>
        <w:t xml:space="preserve">sind fünf Anweisungen/Aussagen: </w:t>
      </w:r>
      <w:r>
        <w:rPr>
          <w:rStyle w:val="Fett"/>
          <w:rFonts w:eastAsiaTheme="majorEastAsia"/>
          <w:rtl/>
        </w:rPr>
        <w:t>בְּיוֹמוֹ תִתֵּן שְׂכָרוֹ</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יוֹם</w:t>
      </w:r>
      <w:r>
        <w:rPr>
          <w:rtl/>
        </w:rPr>
        <w:t xml:space="preserve"> </w:t>
      </w:r>
      <w:r>
        <w:t xml:space="preserve">mit Suffix 3. Person Maskulinum Singular – „an seinem Tag, am selben Tag", </w:t>
      </w:r>
      <w:r>
        <w:rPr>
          <w:rStyle w:val="Fett"/>
          <w:rFonts w:eastAsiaTheme="majorEastAsia"/>
          <w:rtl/>
        </w:rPr>
        <w:t>נתן</w:t>
      </w:r>
      <w:r>
        <w:t xml:space="preserve">, Qal Imperfekt, 2. Person Maskulinum Singular, </w:t>
      </w:r>
      <w:r>
        <w:rPr>
          <w:rStyle w:val="Fett"/>
          <w:rFonts w:eastAsiaTheme="majorEastAsia"/>
          <w:rtl/>
        </w:rPr>
        <w:t>שָׂכָר</w:t>
      </w:r>
      <w:r>
        <w:t xml:space="preserve">, „Lohn, Sold", mit Suffix 3. Person Maskulinum Singular), </w:t>
      </w:r>
      <w:r>
        <w:rPr>
          <w:rStyle w:val="Fett"/>
          <w:rFonts w:eastAsiaTheme="majorEastAsia"/>
          <w:rtl/>
        </w:rPr>
        <w:t>וְלֹא־תָבוֹא עָלָיו הַשֶּׁמֶשׁ</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בוא</w:t>
      </w:r>
      <w:r>
        <w:t xml:space="preserve">, Qal Imperfekt, 3. Person Femininum Singular, „kommen, untergehen" (bei Sonne), Präposition </w:t>
      </w:r>
      <w:r>
        <w:rPr>
          <w:rStyle w:val="Fett"/>
          <w:rFonts w:eastAsiaTheme="majorEastAsia"/>
          <w:rtl/>
        </w:rPr>
        <w:t>עַל</w:t>
      </w:r>
      <w:r>
        <w:rPr>
          <w:rtl/>
        </w:rPr>
        <w:t xml:space="preserve"> </w:t>
      </w:r>
      <w:r>
        <w:t xml:space="preserve">mit Suffix 3. Person Maskulinum Singular, </w:t>
      </w:r>
      <w:r>
        <w:rPr>
          <w:rStyle w:val="Fett"/>
          <w:rFonts w:eastAsiaTheme="majorEastAsia"/>
          <w:rtl/>
        </w:rPr>
        <w:t>שֶׁמֶשׁ</w:t>
      </w:r>
      <w:r>
        <w:rPr>
          <w:rtl/>
        </w:rPr>
        <w:t xml:space="preserve"> </w:t>
      </w:r>
      <w:r>
        <w:t xml:space="preserve">mit Artikel als Subjekt), </w:t>
      </w:r>
      <w:r>
        <w:rPr>
          <w:rStyle w:val="Fett"/>
          <w:rFonts w:eastAsiaTheme="majorEastAsia"/>
          <w:rtl/>
        </w:rPr>
        <w:t>כִּי עָנִי הוּא וְאֵלָיו הוּא נֹשֵׂא אֶת־נַפְשׁוֹ</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עָנִי</w:t>
      </w:r>
      <w:r>
        <w:t xml:space="preserve">, </w:t>
      </w:r>
      <w:r>
        <w:rPr>
          <w:rStyle w:val="Fett"/>
          <w:rFonts w:eastAsiaTheme="majorEastAsia"/>
          <w:rtl/>
        </w:rPr>
        <w:t>הוּא</w:t>
      </w:r>
      <w:r>
        <w:rPr>
          <w:rtl/>
        </w:rPr>
        <w:t xml:space="preserve"> </w:t>
      </w:r>
      <w:r>
        <w:t xml:space="preserve">als Kopula, koordiniert durch </w:t>
      </w:r>
      <w:r>
        <w:rPr>
          <w:rStyle w:val="Fett"/>
          <w:rFonts w:eastAsiaTheme="majorEastAsia"/>
          <w:rtl/>
        </w:rPr>
        <w:t>וְ</w:t>
      </w:r>
      <w:r>
        <w:rPr>
          <w:rtl/>
        </w:rPr>
        <w:t xml:space="preserve"> </w:t>
      </w:r>
      <w:r>
        <w:t xml:space="preserve">mit </w:t>
      </w:r>
      <w:r>
        <w:rPr>
          <w:rStyle w:val="Fett"/>
          <w:rFonts w:eastAsiaTheme="majorEastAsia"/>
          <w:rtl/>
        </w:rPr>
        <w:t>אֵלָיו</w:t>
      </w:r>
      <w:r>
        <w:t xml:space="preserve">, Präposition </w:t>
      </w:r>
      <w:r>
        <w:rPr>
          <w:rStyle w:val="Fett"/>
          <w:rFonts w:eastAsiaTheme="majorEastAsia"/>
          <w:rtl/>
        </w:rPr>
        <w:t>אֶל</w:t>
      </w:r>
      <w:r>
        <w:rPr>
          <w:rtl/>
        </w:rPr>
        <w:t xml:space="preserve"> </w:t>
      </w:r>
      <w:r>
        <w:t xml:space="preserve">mit Suffix 3. Person Maskulinum Singular – „zu ihm", </w:t>
      </w:r>
      <w:r>
        <w:rPr>
          <w:rStyle w:val="Fett"/>
          <w:rFonts w:eastAsiaTheme="majorEastAsia"/>
          <w:rtl/>
        </w:rPr>
        <w:t>הוּא</w:t>
      </w:r>
      <w:r>
        <w:rPr>
          <w:rtl/>
        </w:rPr>
        <w:t xml:space="preserve"> </w:t>
      </w:r>
      <w:r>
        <w:t xml:space="preserve">als Subjekt (betont), </w:t>
      </w:r>
      <w:r>
        <w:rPr>
          <w:rStyle w:val="Fett"/>
          <w:rFonts w:eastAsiaTheme="majorEastAsia"/>
          <w:rtl/>
        </w:rPr>
        <w:t>נשׂא</w:t>
      </w:r>
      <w:r>
        <w:t xml:space="preserve">, Qal Partizip, „tragen, erheben", Objektpartikel </w:t>
      </w:r>
      <w:r>
        <w:rPr>
          <w:rStyle w:val="Fett"/>
          <w:rFonts w:eastAsiaTheme="majorEastAsia"/>
          <w:rtl/>
        </w:rPr>
        <w:t>אֵת</w:t>
      </w:r>
      <w:r>
        <w:rPr>
          <w:rtl/>
        </w:rPr>
        <w:t xml:space="preserve"> </w:t>
      </w:r>
      <w:r>
        <w:t xml:space="preserve">mit </w:t>
      </w:r>
      <w:r>
        <w:rPr>
          <w:rStyle w:val="Fett"/>
          <w:rFonts w:eastAsiaTheme="majorEastAsia"/>
          <w:rtl/>
        </w:rPr>
        <w:t>נֶפֶשׁ</w:t>
      </w:r>
      <w:r>
        <w:rPr>
          <w:rtl/>
        </w:rPr>
        <w:t xml:space="preserve"> </w:t>
      </w:r>
      <w:r>
        <w:t xml:space="preserve">mit Suffix 3. Person Maskulinum Singular), </w:t>
      </w:r>
      <w:r>
        <w:rPr>
          <w:rStyle w:val="Fett"/>
          <w:rFonts w:eastAsiaTheme="majorEastAsia"/>
          <w:rtl/>
        </w:rPr>
        <w:t>וְלֹא־יִקְרָא עָלֶיךָ אֶל־יְהוָה</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קרא</w:t>
      </w:r>
      <w:r>
        <w:t xml:space="preserve">, Qal Imperfekt, 3. Person Maskulinum Singular, „rufen", Präposition </w:t>
      </w:r>
      <w:r>
        <w:rPr>
          <w:rStyle w:val="Fett"/>
          <w:rFonts w:eastAsiaTheme="majorEastAsia"/>
          <w:rtl/>
        </w:rPr>
        <w:t>עַל</w:t>
      </w:r>
      <w:r>
        <w:rPr>
          <w:rtl/>
        </w:rPr>
        <w:t xml:space="preserve"> </w:t>
      </w:r>
      <w:r>
        <w:t xml:space="preserve">mit Suffix 2. Person Maskulinum Singular – „über dich, gegen dich", Präposition </w:t>
      </w:r>
      <w:r>
        <w:rPr>
          <w:rStyle w:val="Fett"/>
          <w:rFonts w:eastAsiaTheme="majorEastAsia"/>
          <w:rtl/>
        </w:rPr>
        <w:t>אֶל</w:t>
      </w:r>
      <w:r>
        <w:rPr>
          <w:rtl/>
        </w:rPr>
        <w:t xml:space="preserve"> </w:t>
      </w:r>
      <w:r>
        <w:t xml:space="preserve">mit </w:t>
      </w:r>
      <w:r>
        <w:rPr>
          <w:rStyle w:val="Fett"/>
          <w:rFonts w:eastAsiaTheme="majorEastAsia"/>
          <w:rtl/>
        </w:rPr>
        <w:t>יְהוָה</w:t>
      </w:r>
      <w:r>
        <w:t xml:space="preserve">), </w:t>
      </w:r>
      <w:r>
        <w:rPr>
          <w:rStyle w:val="Fett"/>
          <w:rFonts w:eastAsiaTheme="majorEastAsia"/>
          <w:rtl/>
        </w:rPr>
        <w:t>וְהָיָה בְךָ חֵטְא</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3. Person Maskulinum Singular, </w:t>
      </w:r>
      <w:r>
        <w:rPr>
          <w:rStyle w:val="Fett"/>
          <w:rFonts w:eastAsiaTheme="majorEastAsia"/>
          <w:rtl/>
        </w:rPr>
        <w:t>בְךָ</w:t>
      </w:r>
      <w:r>
        <w:t xml:space="preserve">, </w:t>
      </w:r>
      <w:r>
        <w:rPr>
          <w:rStyle w:val="Fett"/>
          <w:rFonts w:eastAsiaTheme="majorEastAsia"/>
          <w:rtl/>
        </w:rPr>
        <w:t>חֵטְא</w:t>
      </w:r>
      <w:r>
        <w:t xml:space="preserve">, mit </w:t>
      </w:r>
      <w:r>
        <w:rPr>
          <w:rStyle w:val="Fett"/>
          <w:rFonts w:eastAsiaTheme="majorEastAsia"/>
        </w:rPr>
        <w:t>Waw</w:t>
      </w:r>
      <w:r>
        <w:t xml:space="preserve"> consecutives Perfekt).</w:t>
      </w:r>
    </w:p>
    <w:p w14:paraId="44355ABE" w14:textId="66881323" w:rsidR="00166F02" w:rsidRDefault="00166F02" w:rsidP="00166F02">
      <w:pPr>
        <w:pStyle w:val="whitespace-normal"/>
      </w:pPr>
      <w:r>
        <w:t xml:space="preserve">Der Vers präzisiert das Verbot aus V. 14. Die erste Anweisung: </w:t>
      </w:r>
      <w:r>
        <w:rPr>
          <w:rStyle w:val="Fett"/>
          <w:rFonts w:eastAsiaTheme="majorEastAsia"/>
          <w:rtl/>
        </w:rPr>
        <w:t>בְּיוֹמוֹ תִתֵּן שְׂכָרוֹ</w:t>
      </w:r>
      <w:r>
        <w:rPr>
          <w:rtl/>
        </w:rPr>
        <w:t xml:space="preserve"> </w:t>
      </w:r>
      <w:r>
        <w:t xml:space="preserve">(„an seinem Tag geben sollst du seinen Lohn"). Die Formulierung </w:t>
      </w:r>
      <w:r>
        <w:rPr>
          <w:rStyle w:val="Fett"/>
          <w:rFonts w:eastAsiaTheme="majorEastAsia"/>
          <w:rtl/>
        </w:rPr>
        <w:t>בְּיוֹמוֹ</w:t>
      </w:r>
      <w:r>
        <w:rPr>
          <w:rtl/>
        </w:rPr>
        <w:t xml:space="preserve"> </w:t>
      </w:r>
      <w:r>
        <w:t xml:space="preserve">(„an seinem Tag") betont: am selben Tag, an dem er gearbeitet hat. Tagelöhner wurden täglich bezahlt (im Gegensatz zu Monats- oder Jahreslöhnen). Die zweite Anweisung (parallel): </w:t>
      </w:r>
      <w:r>
        <w:rPr>
          <w:rStyle w:val="Fett"/>
          <w:rFonts w:eastAsiaTheme="majorEastAsia"/>
          <w:rtl/>
        </w:rPr>
        <w:t>וְלֹא־תָבוֹא עָלָיו הַשֶּׁמֶשׁ</w:t>
      </w:r>
      <w:r>
        <w:rPr>
          <w:rtl/>
        </w:rPr>
        <w:t xml:space="preserve"> </w:t>
      </w:r>
      <w:r>
        <w:t xml:space="preserve">(„und nicht untergehen soll über ihm die Sonne"). Idiomatisch: Die Sonne soll nicht untergehen, bevor er seinen Lohn erhalten hat – er muss vor Sonnenuntergang bezahlt werden. Die dreifache Begründung: (1) </w:t>
      </w:r>
      <w:r>
        <w:rPr>
          <w:rStyle w:val="Fett"/>
          <w:rFonts w:eastAsiaTheme="majorEastAsia"/>
          <w:rtl/>
        </w:rPr>
        <w:t>כִּי עָנִי הוּא</w:t>
      </w:r>
      <w:r>
        <w:rPr>
          <w:rtl/>
        </w:rPr>
        <w:t xml:space="preserve"> </w:t>
      </w:r>
      <w:r>
        <w:t xml:space="preserve">(„denn arm ist er") – er braucht das Geld sofort. (2) </w:t>
      </w:r>
      <w:r>
        <w:rPr>
          <w:rStyle w:val="Fett"/>
          <w:rFonts w:eastAsiaTheme="majorEastAsia"/>
          <w:rtl/>
        </w:rPr>
        <w:t>וְאֵלָיו הוּא נֹשֵׂא אֶת־נַפְשׁוֹ</w:t>
      </w:r>
      <w:r>
        <w:rPr>
          <w:rtl/>
        </w:rPr>
        <w:t xml:space="preserve"> </w:t>
      </w:r>
      <w:r>
        <w:t xml:space="preserve">(„und zu ihm/darauf richtet er seine Seele"). Die Konstruktion </w:t>
      </w:r>
      <w:r>
        <w:rPr>
          <w:rStyle w:val="Fett"/>
          <w:rFonts w:eastAsiaTheme="majorEastAsia"/>
          <w:rtl/>
        </w:rPr>
        <w:t>נשׂא נֶפֶשׁ אֶל</w:t>
      </w:r>
      <w:r>
        <w:rPr>
          <w:rtl/>
        </w:rPr>
        <w:t xml:space="preserve"> </w:t>
      </w:r>
      <w:r>
        <w:t xml:space="preserve">(„erheben/richten die Seele zu") bedeutet: sich sehnen nach, hoffen auf, sich verlassen auf (vgl. Ps 24,4; 25,1; 86,4; 143,8; Hos 4,8). Der Tagelöhner ist auf seinen Lohn angewiesen – sein Leben hängt davon ab. (3) </w:t>
      </w:r>
      <w:r>
        <w:rPr>
          <w:rStyle w:val="Fett"/>
          <w:rFonts w:eastAsiaTheme="majorEastAsia"/>
          <w:rtl/>
        </w:rPr>
        <w:t>וְלֹא־יִקְרָא עָלֶיךָ אֶל־יְהוָה וְהָיָה בְךָ חֵטְא</w:t>
      </w:r>
      <w:r>
        <w:rPr>
          <w:rtl/>
        </w:rPr>
        <w:t xml:space="preserve"> </w:t>
      </w:r>
      <w:r>
        <w:t xml:space="preserve">(„und nicht rufen soll er über dich zu JHWH, und es wird sein an dir Sünde"). Die Konstruktion </w:t>
      </w:r>
      <w:r>
        <w:rPr>
          <w:rStyle w:val="Fett"/>
          <w:rFonts w:eastAsiaTheme="majorEastAsia"/>
          <w:rtl/>
        </w:rPr>
        <w:t>קרא עַל... אֶל־יְהוָה</w:t>
      </w:r>
      <w:r>
        <w:rPr>
          <w:rtl/>
        </w:rPr>
        <w:t xml:space="preserve"> </w:t>
      </w:r>
      <w:r>
        <w:t xml:space="preserve">(„rufen über/gegen jemanden zu JHWH") – der Tagelöhner könnte zu JHWH schreien, sich beschweren, JHWH um Gericht anrufen (vgl. Ex 22,22-23; Jak 5,4). Die Konsequenz: </w:t>
      </w:r>
      <w:r>
        <w:rPr>
          <w:rStyle w:val="Fett"/>
          <w:rFonts w:eastAsiaTheme="majorEastAsia"/>
          <w:rtl/>
        </w:rPr>
        <w:t>וְהָיָה בְךָ חֵטְא</w:t>
      </w:r>
      <w:r>
        <w:rPr>
          <w:rtl/>
        </w:rPr>
        <w:t xml:space="preserve"> </w:t>
      </w:r>
      <w:r>
        <w:t xml:space="preserve">(„und es wird sein an dir Sünde") – Vorenthalten des Lohns ist Sünde vor JHWH. Vgl. Lev 19,13 (nahezu identisches Gesetz); Jer 22,13; Mal 3,5; Jak 5,4. Die Ratio: (1) Soziale </w:t>
      </w:r>
      <w:r>
        <w:lastRenderedPageBreak/>
        <w:t>Gerechtigkeit – Schutz der Schwächsten; (2) Der Tagelöhner ist wirtschaftlich verwundbar; (3) JHWH hört den Schrei der Unterdrückten.</w:t>
      </w:r>
    </w:p>
    <w:p w14:paraId="0D531403" w14:textId="1F536C73" w:rsidR="00A600C6" w:rsidRDefault="00A600C6" w:rsidP="00166F02">
      <w:pPr>
        <w:pStyle w:val="whitespace-normal"/>
      </w:pPr>
      <w:r>
        <w:rPr>
          <w:rStyle w:val="Fett"/>
        </w:rPr>
        <w:t>Die LXX</w:t>
      </w:r>
      <w:r>
        <w:t xml:space="preserve"> übersetzt </w:t>
      </w:r>
      <w:r>
        <w:rPr>
          <w:rtl/>
        </w:rPr>
        <w:t>בְּיוֹמוֹ תִתֵּן שְׂכָרוֹ</w:t>
      </w:r>
      <w:r>
        <w:t xml:space="preserve"> (an seinem Tag sollst du seinen Lohn geben) mit α</w:t>
      </w:r>
      <w:proofErr w:type="spellStart"/>
      <w:r>
        <w:t>ὐθημερὸν</w:t>
      </w:r>
      <w:proofErr w:type="spellEnd"/>
      <w:r>
        <w:t xml:space="preserve"> ἀπ</w:t>
      </w:r>
      <w:proofErr w:type="spellStart"/>
      <w:r>
        <w:t>οδώσεις</w:t>
      </w:r>
      <w:proofErr w:type="spellEnd"/>
      <w:r>
        <w:t xml:space="preserve"> (am selben Tag wirst du geben) – ein zusammengesetztes Adverb. Die Wendung </w:t>
      </w:r>
      <w:proofErr w:type="spellStart"/>
      <w:r>
        <w:t>ἐν</w:t>
      </w:r>
      <w:proofErr w:type="spellEnd"/>
      <w:r>
        <w:t xml:space="preserve"> α</w:t>
      </w:r>
      <w:proofErr w:type="spellStart"/>
      <w:r>
        <w:t>ὐτῷ</w:t>
      </w:r>
      <w:proofErr w:type="spellEnd"/>
      <w:r>
        <w:t xml:space="preserve"> </w:t>
      </w:r>
      <w:proofErr w:type="spellStart"/>
      <w:r>
        <w:t>ἔχει</w:t>
      </w:r>
      <w:proofErr w:type="spellEnd"/>
      <w:r>
        <w:t xml:space="preserve"> τὴν </w:t>
      </w:r>
      <w:proofErr w:type="spellStart"/>
      <w:r>
        <w:t>ἐλ</w:t>
      </w:r>
      <w:proofErr w:type="spellEnd"/>
      <w:r>
        <w:t xml:space="preserve">πίδα (auf ihn hat er die Hoffnung) für </w:t>
      </w:r>
      <w:r>
        <w:rPr>
          <w:rtl/>
        </w:rPr>
        <w:t>וְאֵלָיו הוּא נֹשֵׂא אֶת־נַפְשׁוֹ</w:t>
      </w:r>
      <w:r>
        <w:t xml:space="preserve"> (auf ihn richtet er sein Verlangen/Leben) ist eine interpretierende Übersetzung, die das existenzielle Angewiesensein als "Hoffnung" versteht.</w:t>
      </w:r>
    </w:p>
    <w:p w14:paraId="4DE716D8" w14:textId="77777777" w:rsidR="00166F02" w:rsidRDefault="00166F02" w:rsidP="00166F02">
      <w:pPr>
        <w:pStyle w:val="whitespace-normal"/>
      </w:pPr>
      <w:r>
        <w:rPr>
          <w:rStyle w:val="Fett"/>
          <w:rFonts w:eastAsiaTheme="majorEastAsia"/>
        </w:rPr>
        <w:t>Die Satzstruktur:</w:t>
      </w:r>
      <w:r>
        <w:t xml:space="preserve"> Fünf koordinierte Anweisungen/Aussagen (an seinem Tag geben sollst du seinen Lohn, und nicht untergehen soll über ihm die Sonne; denn arm ist er, und darauf richtet er seine Seele; und nicht rufen soll er über dich zu JHWH, und es wird sein an dir Sünde).</w:t>
      </w:r>
    </w:p>
    <w:p w14:paraId="62B4CD27" w14:textId="4A1480AD" w:rsidR="00166F02" w:rsidRDefault="00166F02" w:rsidP="00AB12A0">
      <w:pPr>
        <w:pStyle w:val="whitespace-normal"/>
      </w:pPr>
      <w:r>
        <w:rPr>
          <w:rStyle w:val="Fett"/>
          <w:rFonts w:eastAsiaTheme="majorEastAsia"/>
        </w:rPr>
        <w:t>Der Vers beschreibt:</w:t>
      </w:r>
      <w:r>
        <w:t xml:space="preserve"> Verpflichtung, Tagelöhner am selben Tag vor Sonnenuntergang zu bezahlen – sein Leben hängt davon ab, und Vorenthalten wäre Sünde.</w:t>
      </w:r>
    </w:p>
    <w:p w14:paraId="4D2F2C94" w14:textId="77777777" w:rsidR="00166F02" w:rsidRPr="00713867" w:rsidRDefault="00166F02" w:rsidP="00B53ACC">
      <w:pPr>
        <w:pStyle w:val="Bibelberschrift"/>
      </w:pPr>
      <w:r w:rsidRPr="00713867">
        <w:rPr>
          <w:rStyle w:val="Fett"/>
          <w:b/>
          <w:bCs w:val="0"/>
        </w:rPr>
        <w:t>Deuteronomium 24,16</w:t>
      </w:r>
    </w:p>
    <w:p w14:paraId="25CE1AAF" w14:textId="77777777" w:rsidR="00166F02" w:rsidRDefault="00166F02" w:rsidP="00166F02">
      <w:pPr>
        <w:pStyle w:val="whitespace-normal"/>
      </w:pPr>
      <w:r>
        <w:rPr>
          <w:rStyle w:val="Fett"/>
          <w:rFonts w:eastAsiaTheme="majorEastAsia"/>
        </w:rPr>
        <w:t>Hebräisch:</w:t>
      </w:r>
      <w:r>
        <w:t xml:space="preserve"> </w:t>
      </w:r>
      <w:r>
        <w:rPr>
          <w:rtl/>
        </w:rPr>
        <w:t>לֹֽא־יוּמְת֤וּ אָבוֹת֙ עַל־בָּנִ֔ים וּבָנִ֖ים לֹא־יוּמְת֣וּ עַל־אָב֑וֹת אִ֥ישׁ בְּחֶטְאֹ֖ו יוּמָֽתוּ׃</w:t>
      </w:r>
    </w:p>
    <w:p w14:paraId="6EE27B25" w14:textId="77777777" w:rsidR="00166F02" w:rsidRDefault="00166F02" w:rsidP="00166F02">
      <w:pPr>
        <w:pStyle w:val="whitespace-normal"/>
      </w:pPr>
      <w:r>
        <w:rPr>
          <w:rStyle w:val="Fett"/>
          <w:rFonts w:eastAsiaTheme="majorEastAsia"/>
        </w:rPr>
        <w:t>Deutsch:</w:t>
      </w:r>
      <w:r>
        <w:t xml:space="preserve"> Nicht sollen getötet werden Väter wegen Söhnen, und Söhne nicht sollen getötet werden wegen Vätern; ein jeder soll für seine eigene Sünde getötet werden.</w:t>
      </w:r>
    </w:p>
    <w:p w14:paraId="019B36E7" w14:textId="77777777" w:rsidR="00166F02" w:rsidRDefault="004F5CEB" w:rsidP="00166F02">
      <w:r>
        <w:rPr>
          <w:noProof/>
        </w:rPr>
        <w:pict w14:anchorId="7E0F2B8B">
          <v:rect id="_x0000_i1666" style="width:0;height:1.5pt" o:hralign="center" o:hrstd="t" o:hr="t" fillcolor="#a0a0a0" stroked="f"/>
        </w:pict>
      </w:r>
    </w:p>
    <w:p w14:paraId="3A95E428"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לֹא־יוּמְתוּ אָבוֹת עַל־בָּנִים וּבָנִים לֹא־יוּמְתוּ עַל־אָבוֹת אִישׁ בְּחֶטְאוֹ יוּמָתוּ</w:t>
      </w:r>
      <w:r>
        <w:rPr>
          <w:rtl/>
        </w:rPr>
        <w:t xml:space="preserve"> </w:t>
      </w:r>
      <w:r>
        <w:t xml:space="preserve">sind drei Aussagen: </w:t>
      </w:r>
      <w:r>
        <w:rPr>
          <w:rStyle w:val="Fett"/>
          <w:rFonts w:eastAsiaTheme="majorEastAsia"/>
          <w:rtl/>
        </w:rPr>
        <w:t>לֹא־יוּמְתוּ אָבוֹת עַל־בָּנִים</w:t>
      </w:r>
      <w:r>
        <w:rPr>
          <w:rtl/>
        </w:rPr>
        <w:t xml:space="preserve"> </w:t>
      </w:r>
      <w:r>
        <w:t xml:space="preserve">(Negation mit </w:t>
      </w:r>
      <w:r>
        <w:rPr>
          <w:rStyle w:val="Fett"/>
          <w:rFonts w:eastAsiaTheme="majorEastAsia"/>
          <w:rtl/>
        </w:rPr>
        <w:t>מות</w:t>
      </w:r>
      <w:r>
        <w:t xml:space="preserve">, Hophal Imperfekt, 3. Person Plural, „getötet werden", </w:t>
      </w:r>
      <w:r>
        <w:rPr>
          <w:rStyle w:val="Fett"/>
          <w:rFonts w:eastAsiaTheme="majorEastAsia"/>
          <w:rtl/>
        </w:rPr>
        <w:t>אָב</w:t>
      </w:r>
      <w:r>
        <w:rPr>
          <w:rtl/>
        </w:rPr>
        <w:t xml:space="preserve"> </w:t>
      </w:r>
      <w:r>
        <w:t xml:space="preserve">Plural als Subjekt, Präposition </w:t>
      </w:r>
      <w:r>
        <w:rPr>
          <w:rStyle w:val="Fett"/>
          <w:rFonts w:eastAsiaTheme="majorEastAsia"/>
          <w:rtl/>
        </w:rPr>
        <w:t>עַל</w:t>
      </w:r>
      <w:r>
        <w:rPr>
          <w:rtl/>
        </w:rPr>
        <w:t xml:space="preserve"> </w:t>
      </w:r>
      <w:r>
        <w:t xml:space="preserve">mit </w:t>
      </w:r>
      <w:r>
        <w:rPr>
          <w:rStyle w:val="Fett"/>
          <w:rFonts w:eastAsiaTheme="majorEastAsia"/>
          <w:rtl/>
        </w:rPr>
        <w:t>בֵּן</w:t>
      </w:r>
      <w:r>
        <w:rPr>
          <w:rtl/>
        </w:rPr>
        <w:t xml:space="preserve"> </w:t>
      </w:r>
      <w:r>
        <w:t xml:space="preserve">Plural – „wegen, für"), </w:t>
      </w:r>
      <w:r>
        <w:rPr>
          <w:rStyle w:val="Fett"/>
          <w:rFonts w:eastAsiaTheme="majorEastAsia"/>
          <w:rtl/>
        </w:rPr>
        <w:t>וּבָנִים לֹא־יוּמְתוּ עַל־אָבוֹת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בֵּן</w:t>
      </w:r>
      <w:r>
        <w:rPr>
          <w:rtl/>
        </w:rPr>
        <w:t xml:space="preserve"> </w:t>
      </w:r>
      <w:r>
        <w:t xml:space="preserve">Plural als Subjekt, Negation mit </w:t>
      </w:r>
      <w:r>
        <w:rPr>
          <w:rStyle w:val="Fett"/>
          <w:rFonts w:eastAsiaTheme="majorEastAsia"/>
          <w:rtl/>
        </w:rPr>
        <w:t>מות</w:t>
      </w:r>
      <w:r>
        <w:rPr>
          <w:rtl/>
        </w:rPr>
        <w:t xml:space="preserve"> </w:t>
      </w:r>
      <w:r>
        <w:t xml:space="preserve">Hophal, Präposition </w:t>
      </w:r>
      <w:r>
        <w:rPr>
          <w:rStyle w:val="Fett"/>
          <w:rFonts w:eastAsiaTheme="majorEastAsia"/>
          <w:rtl/>
        </w:rPr>
        <w:t>עַל</w:t>
      </w:r>
      <w:r>
        <w:rPr>
          <w:rtl/>
        </w:rPr>
        <w:t xml:space="preserve"> </w:t>
      </w:r>
      <w:r>
        <w:t xml:space="preserve">mit </w:t>
      </w:r>
      <w:r>
        <w:rPr>
          <w:rStyle w:val="Fett"/>
          <w:rFonts w:eastAsiaTheme="majorEastAsia"/>
          <w:rtl/>
        </w:rPr>
        <w:t>אָב</w:t>
      </w:r>
      <w:r>
        <w:rPr>
          <w:rtl/>
        </w:rPr>
        <w:t xml:space="preserve"> </w:t>
      </w:r>
      <w:r>
        <w:t xml:space="preserve">Plural), </w:t>
      </w:r>
      <w:r>
        <w:rPr>
          <w:rStyle w:val="Fett"/>
          <w:rFonts w:eastAsiaTheme="majorEastAsia"/>
          <w:rtl/>
        </w:rPr>
        <w:t>אִישׁ בְּחֶטְאוֹ יוּמָתוּ</w:t>
      </w:r>
      <w:r>
        <w:rPr>
          <w:rtl/>
        </w:rPr>
        <w:t xml:space="preserve"> </w:t>
      </w:r>
      <w:r>
        <w:t>(</w:t>
      </w:r>
      <w:r>
        <w:rPr>
          <w:rStyle w:val="Fett"/>
          <w:rFonts w:eastAsiaTheme="majorEastAsia"/>
          <w:rtl/>
        </w:rPr>
        <w:t>אִישׁ</w:t>
      </w:r>
      <w:r>
        <w:t xml:space="preserve">, „jeder, ein Mann", </w:t>
      </w:r>
      <w:r>
        <w:rPr>
          <w:rStyle w:val="Fett"/>
          <w:rFonts w:eastAsiaTheme="majorEastAsia"/>
          <w:rtl/>
        </w:rPr>
        <w:t>בְּחֶטְאוֹ</w:t>
      </w:r>
      <w:r>
        <w:t xml:space="preserve">, Präposition </w:t>
      </w:r>
      <w:r>
        <w:rPr>
          <w:rStyle w:val="Fett"/>
          <w:rFonts w:eastAsiaTheme="majorEastAsia"/>
          <w:rtl/>
        </w:rPr>
        <w:t>בְּ</w:t>
      </w:r>
      <w:r>
        <w:rPr>
          <w:rtl/>
        </w:rPr>
        <w:t xml:space="preserve"> </w:t>
      </w:r>
      <w:r>
        <w:t xml:space="preserve">mit </w:t>
      </w:r>
      <w:r>
        <w:rPr>
          <w:rStyle w:val="Fett"/>
          <w:rFonts w:eastAsiaTheme="majorEastAsia"/>
          <w:rtl/>
        </w:rPr>
        <w:t>חֵטְא</w:t>
      </w:r>
      <w:r>
        <w:rPr>
          <w:rtl/>
        </w:rPr>
        <w:t xml:space="preserve"> </w:t>
      </w:r>
      <w:r>
        <w:t xml:space="preserve">mit Suffix 3. Person Maskulinum Singular, </w:t>
      </w:r>
      <w:r>
        <w:rPr>
          <w:rStyle w:val="Fett"/>
          <w:rFonts w:eastAsiaTheme="majorEastAsia"/>
          <w:rtl/>
        </w:rPr>
        <w:t>מות</w:t>
      </w:r>
      <w:r>
        <w:t xml:space="preserve">, Hophal Imperfekt, 3. Person Plural – Plural nach </w:t>
      </w:r>
      <w:r>
        <w:rPr>
          <w:rStyle w:val="Fett"/>
          <w:rFonts w:eastAsiaTheme="majorEastAsia"/>
          <w:rtl/>
        </w:rPr>
        <w:t>אִישׁ</w:t>
      </w:r>
      <w:r>
        <w:rPr>
          <w:rtl/>
        </w:rPr>
        <w:t xml:space="preserve"> </w:t>
      </w:r>
      <w:r>
        <w:t>wegen des distributiven Sinns).</w:t>
      </w:r>
    </w:p>
    <w:p w14:paraId="235E9AC4" w14:textId="78D1C1DA" w:rsidR="00166F02" w:rsidRDefault="00166F02" w:rsidP="00166F02">
      <w:pPr>
        <w:pStyle w:val="whitespace-normal"/>
      </w:pPr>
      <w:r>
        <w:t xml:space="preserve">Der Vers formuliert das Prinzip der individuellen Verantwortung in der Rechtsprechung. Die erste Aussage: </w:t>
      </w:r>
      <w:r>
        <w:rPr>
          <w:rStyle w:val="Fett"/>
          <w:rFonts w:eastAsiaTheme="majorEastAsia"/>
          <w:rtl/>
        </w:rPr>
        <w:t>לֹא־יוּמְתוּ אָבוֹת עַל־בָּנִים</w:t>
      </w:r>
      <w:r>
        <w:rPr>
          <w:rtl/>
        </w:rPr>
        <w:t xml:space="preserve"> </w:t>
      </w:r>
      <w:r>
        <w:t xml:space="preserve">(„nicht getötet werden sollen Väter wegen Söhnen"). Die Präposition </w:t>
      </w:r>
      <w:r>
        <w:rPr>
          <w:rStyle w:val="Fett"/>
          <w:rFonts w:eastAsiaTheme="majorEastAsia"/>
          <w:rtl/>
        </w:rPr>
        <w:t>עַל</w:t>
      </w:r>
      <w:r>
        <w:rPr>
          <w:rtl/>
        </w:rPr>
        <w:t xml:space="preserve"> </w:t>
      </w:r>
      <w:r>
        <w:t xml:space="preserve">(„wegen, für, auf") – Väter sollen nicht für die Verbrechen ihrer Söhne hingerichtet werden. Die zweite Aussage (parallel): </w:t>
      </w:r>
      <w:r>
        <w:rPr>
          <w:rStyle w:val="Fett"/>
          <w:rFonts w:eastAsiaTheme="majorEastAsia"/>
          <w:rtl/>
        </w:rPr>
        <w:t>וּבָנִים לֹא־יוּמְתוּ עַל־אָבוֹת</w:t>
      </w:r>
      <w:r>
        <w:rPr>
          <w:rtl/>
        </w:rPr>
        <w:t xml:space="preserve"> </w:t>
      </w:r>
      <w:r>
        <w:t xml:space="preserve">(„und Söhne nicht getötet werden sollen wegen Vätern") – Söhne sollen nicht für die Verbrechen ihrer Väter hingerichtet werden. Die dritte Aussage (positiv): </w:t>
      </w:r>
      <w:r>
        <w:rPr>
          <w:rStyle w:val="Fett"/>
          <w:rFonts w:eastAsiaTheme="majorEastAsia"/>
          <w:rtl/>
        </w:rPr>
        <w:t>אִישׁ בְּחֶטְאוֹ יוּמָתוּ</w:t>
      </w:r>
      <w:r>
        <w:rPr>
          <w:rtl/>
        </w:rPr>
        <w:t xml:space="preserve"> </w:t>
      </w:r>
      <w:r>
        <w:t xml:space="preserve">(„ein jeder für seine eigene Sünde getötet werden soll"). Das Wort </w:t>
      </w:r>
      <w:r>
        <w:rPr>
          <w:rStyle w:val="Fett"/>
          <w:rFonts w:eastAsiaTheme="majorEastAsia"/>
          <w:rtl/>
        </w:rPr>
        <w:t>אִישׁ</w:t>
      </w:r>
      <w:r>
        <w:rPr>
          <w:rtl/>
        </w:rPr>
        <w:t xml:space="preserve"> </w:t>
      </w:r>
      <w:r>
        <w:t xml:space="preserve">(„Mann, jeder") ist distributiv. Die Formulierung </w:t>
      </w:r>
      <w:r>
        <w:rPr>
          <w:rStyle w:val="Fett"/>
          <w:rFonts w:eastAsiaTheme="majorEastAsia"/>
          <w:rtl/>
        </w:rPr>
        <w:t>בְּחֶטְאוֹ</w:t>
      </w:r>
      <w:r>
        <w:rPr>
          <w:rtl/>
        </w:rPr>
        <w:t xml:space="preserve"> </w:t>
      </w:r>
      <w:r>
        <w:t xml:space="preserve">(„für seine Sünde, wegen seiner Sünde") betont: persönliche Schuld, nicht die Schuld anderer. Das Prinzip: Jeder ist nur für seine eigenen Taten verantwortlich, nicht für die seiner Familienmitglieder. Historischer Kontext: In vielen antiken Kulturen wurden ganze Familien für die Verbrechen eines Mitglieds bestraft (vgl. Jos 7,24-25 – Achan und seine Familie; aber vgl. auch </w:t>
      </w:r>
      <w:r w:rsidR="00664EB6">
        <w:t>2Sam</w:t>
      </w:r>
      <w:r>
        <w:t xml:space="preserve"> 21,1-9 – Sauls Nachkommen für Sauls Verbrechen). Dieses Gesetz verbietet solche Sippenhaft im regulären Rechtssystem Israels. Historisches Beispiel: </w:t>
      </w:r>
      <w:r w:rsidR="00664EB6">
        <w:t>2Kön</w:t>
      </w:r>
      <w:r>
        <w:t xml:space="preserve"> 14,6 zitiert dieses Gesetz explizit: Amazja tötete die Mörder seines Vaters, aber nicht deren Kinder. Vgl. </w:t>
      </w:r>
      <w:r>
        <w:lastRenderedPageBreak/>
        <w:t>auch Jer 31,29-30; Hes 18,1-32 (ausführliche theologische Ausarbeitung: Jeder stirbt für seine eigene Sünde). Wichtige Unterscheidung: Dies bezieht sich auf menschliche Rechtsprechung, nicht auf göttliches Gericht. JHWH selbst kann die Sünden der Väter an den Kindern heimsuchen (Ex 20,5; 34,7; Num 14,18), aber menschliche Gerichte dürfen es nicht.</w:t>
      </w:r>
    </w:p>
    <w:p w14:paraId="0AE189E6" w14:textId="4A446D07" w:rsidR="00A600C6" w:rsidRDefault="00A600C6" w:rsidP="00166F02">
      <w:pPr>
        <w:pStyle w:val="whitespace-normal"/>
      </w:pPr>
      <w:r>
        <w:rPr>
          <w:rStyle w:val="Fett"/>
        </w:rPr>
        <w:t>Die LXX</w:t>
      </w:r>
      <w:r>
        <w:t xml:space="preserve"> übersetzt </w:t>
      </w:r>
      <w:r>
        <w:rPr>
          <w:rtl/>
        </w:rPr>
        <w:t>עַל־בָּנִים... עַל־אָבוֹת</w:t>
      </w:r>
      <w:r>
        <w:t xml:space="preserve"> (wegen der Söhne... wegen der Väter) mit ὑπ</w:t>
      </w:r>
      <w:proofErr w:type="spellStart"/>
      <w:r>
        <w:t>ὲρ</w:t>
      </w:r>
      <w:proofErr w:type="spellEnd"/>
      <w:r>
        <w:t xml:space="preserve"> </w:t>
      </w:r>
      <w:proofErr w:type="spellStart"/>
      <w:r>
        <w:t>τέκνων</w:t>
      </w:r>
      <w:proofErr w:type="spellEnd"/>
      <w:r>
        <w:t>... ὑπ</w:t>
      </w:r>
      <w:proofErr w:type="spellStart"/>
      <w:r>
        <w:t>ὲρ</w:t>
      </w:r>
      <w:proofErr w:type="spellEnd"/>
      <w:r>
        <w:t xml:space="preserve"> πα</w:t>
      </w:r>
      <w:proofErr w:type="spellStart"/>
      <w:r>
        <w:t>τέρων</w:t>
      </w:r>
      <w:proofErr w:type="spellEnd"/>
      <w:r>
        <w:t xml:space="preserve"> (für/anstelle der Kinder... für/anstelle der Väter) – wobei ὑπ</w:t>
      </w:r>
      <w:proofErr w:type="spellStart"/>
      <w:r>
        <w:t>έρ</w:t>
      </w:r>
      <w:proofErr w:type="spellEnd"/>
      <w:r>
        <w:t xml:space="preserve"> beide Bedeutungen haben kann: "für" oder "anstelle von".</w:t>
      </w:r>
    </w:p>
    <w:p w14:paraId="7F641409" w14:textId="77777777" w:rsidR="00166F02" w:rsidRDefault="00166F02" w:rsidP="00166F02">
      <w:pPr>
        <w:pStyle w:val="whitespace-normal"/>
      </w:pPr>
      <w:r>
        <w:rPr>
          <w:rStyle w:val="Fett"/>
          <w:rFonts w:eastAsiaTheme="majorEastAsia"/>
        </w:rPr>
        <w:t>Die Satzstruktur:</w:t>
      </w:r>
      <w:r>
        <w:t xml:space="preserve"> Drei koordinierte Aussagen (nicht getötet werden sollen Väter wegen Söhnen, und Söhne nicht getötet werden sollen wegen Vätern; ein jeder für seine eigene Sünde getötet werden soll).</w:t>
      </w:r>
    </w:p>
    <w:p w14:paraId="65057B26" w14:textId="0733B45D" w:rsidR="00166F02" w:rsidRDefault="00166F02" w:rsidP="00AB12A0">
      <w:pPr>
        <w:pStyle w:val="whitespace-normal"/>
      </w:pPr>
      <w:r>
        <w:rPr>
          <w:rStyle w:val="Fett"/>
          <w:rFonts w:eastAsiaTheme="majorEastAsia"/>
        </w:rPr>
        <w:t>Der Vers beschreibt:</w:t>
      </w:r>
      <w:r>
        <w:t xml:space="preserve"> Prinzip der individuellen Verantwortung – jeder soll nur für seine eigenen Verbrechen bestraft werden, nicht für die seiner Familienangehörigen.</w:t>
      </w:r>
    </w:p>
    <w:p w14:paraId="1E525C70" w14:textId="77777777" w:rsidR="00166F02" w:rsidRPr="00713867" w:rsidRDefault="00166F02" w:rsidP="00B53ACC">
      <w:pPr>
        <w:pStyle w:val="Bibelberschrift"/>
      </w:pPr>
      <w:r w:rsidRPr="00713867">
        <w:rPr>
          <w:rStyle w:val="Fett"/>
          <w:b/>
          <w:bCs w:val="0"/>
        </w:rPr>
        <w:t>Deuteronomium 24,17</w:t>
      </w:r>
    </w:p>
    <w:p w14:paraId="58B10349" w14:textId="77777777" w:rsidR="00166F02" w:rsidRDefault="00166F02" w:rsidP="00166F02">
      <w:pPr>
        <w:pStyle w:val="whitespace-normal"/>
      </w:pPr>
      <w:r>
        <w:rPr>
          <w:rStyle w:val="Fett"/>
          <w:rFonts w:eastAsiaTheme="majorEastAsia"/>
        </w:rPr>
        <w:t>Hebräisch:</w:t>
      </w:r>
      <w:r>
        <w:t xml:space="preserve"> </w:t>
      </w:r>
      <w:r>
        <w:rPr>
          <w:rtl/>
        </w:rPr>
        <w:t>לֹ֣א תַטֶּ֔ה מִשְׁפַּ֖ט גֵּ֣ר יָת֑וֹם וְלֹ֣א תַחֲבֹ֔ל בֶּ֖גֶד אַלְמָנָֽה׃</w:t>
      </w:r>
    </w:p>
    <w:p w14:paraId="19D7F61E" w14:textId="77777777" w:rsidR="00166F02" w:rsidRDefault="00166F02" w:rsidP="00166F02">
      <w:pPr>
        <w:pStyle w:val="whitespace-normal"/>
      </w:pPr>
      <w:r>
        <w:rPr>
          <w:rStyle w:val="Fett"/>
          <w:rFonts w:eastAsiaTheme="majorEastAsia"/>
        </w:rPr>
        <w:t>Deutsch:</w:t>
      </w:r>
      <w:r>
        <w:t xml:space="preserve"> Nicht sollst du beugen das Recht eines Fremdlings oder einer </w:t>
      </w:r>
      <w:proofErr w:type="spellStart"/>
      <w:r>
        <w:t>Waise</w:t>
      </w:r>
      <w:proofErr w:type="spellEnd"/>
      <w:r>
        <w:t>; und das Kleid einer Witwe sollst du nicht pfänden.</w:t>
      </w:r>
    </w:p>
    <w:p w14:paraId="0D099446" w14:textId="77777777" w:rsidR="00166F02" w:rsidRDefault="004F5CEB" w:rsidP="00166F02">
      <w:r>
        <w:rPr>
          <w:noProof/>
        </w:rPr>
        <w:pict w14:anchorId="3C387B4B">
          <v:rect id="_x0000_i1667" style="width:0;height:1.5pt" o:hralign="center" o:hrstd="t" o:hr="t" fillcolor="#a0a0a0" stroked="f"/>
        </w:pict>
      </w:r>
    </w:p>
    <w:p w14:paraId="4389FDD2"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לֹא תַטֶּה מִשְׁפַּט גֵּר יָתוֹם וְלֹא תַחֲבֹל בֶּגֶד אַלְמָנָה</w:t>
      </w:r>
      <w:r>
        <w:rPr>
          <w:rtl/>
        </w:rPr>
        <w:t xml:space="preserve"> </w:t>
      </w:r>
      <w:r>
        <w:t xml:space="preserve">sind zwei Verbote: </w:t>
      </w:r>
      <w:r>
        <w:rPr>
          <w:rStyle w:val="Fett"/>
          <w:rFonts w:eastAsiaTheme="majorEastAsia"/>
          <w:rtl/>
        </w:rPr>
        <w:t>לֹא תַטֶּה מִשְׁפַּט גֵּר יָתוֹם</w:t>
      </w:r>
      <w:r>
        <w:rPr>
          <w:rtl/>
        </w:rPr>
        <w:t xml:space="preserve"> </w:t>
      </w:r>
      <w:r>
        <w:t xml:space="preserve">(Negation mit </w:t>
      </w:r>
      <w:r>
        <w:rPr>
          <w:rStyle w:val="Fett"/>
          <w:rFonts w:eastAsiaTheme="majorEastAsia"/>
          <w:rtl/>
        </w:rPr>
        <w:t>נטה</w:t>
      </w:r>
      <w:r>
        <w:t xml:space="preserve">, Hiphil Imperfekt, 2. Person Maskulinum Singular, „beugen, abweichen lassen, verdrehen", </w:t>
      </w:r>
      <w:r>
        <w:rPr>
          <w:rStyle w:val="Fett"/>
          <w:rFonts w:eastAsiaTheme="majorEastAsia"/>
          <w:rtl/>
        </w:rPr>
        <w:t>מִשְׁפָּט</w:t>
      </w:r>
      <w:r>
        <w:t xml:space="preserve">, „Recht, Gerechtigkeit, Rechtssache", Construct mit </w:t>
      </w:r>
      <w:r>
        <w:rPr>
          <w:rStyle w:val="Fett"/>
          <w:rFonts w:eastAsiaTheme="majorEastAsia"/>
          <w:rtl/>
        </w:rPr>
        <w:t>גֵּר יָתוֹם</w:t>
      </w:r>
      <w:r>
        <w:t xml:space="preserve">, </w:t>
      </w:r>
      <w:r>
        <w:rPr>
          <w:rStyle w:val="Fett"/>
          <w:rFonts w:eastAsiaTheme="majorEastAsia"/>
          <w:rtl/>
        </w:rPr>
        <w:t>גֵּר</w:t>
      </w:r>
      <w:r>
        <w:t xml:space="preserve">, „Fremdling", </w:t>
      </w:r>
      <w:r>
        <w:rPr>
          <w:rStyle w:val="Fett"/>
          <w:rFonts w:eastAsiaTheme="majorEastAsia"/>
          <w:rtl/>
        </w:rPr>
        <w:t>יָתוֹם</w:t>
      </w:r>
      <w:r>
        <w:t xml:space="preserve">, „Waise" – als Genitivattribut ohne Bindevokal, also „Recht eines Fremdlings [und] einer </w:t>
      </w:r>
      <w:proofErr w:type="spellStart"/>
      <w:r>
        <w:t>Waise</w:t>
      </w:r>
      <w:proofErr w:type="spellEnd"/>
      <w:r>
        <w:t xml:space="preserve">"), </w:t>
      </w:r>
      <w:r>
        <w:rPr>
          <w:rStyle w:val="Fett"/>
          <w:rFonts w:eastAsiaTheme="majorEastAsia"/>
          <w:rtl/>
        </w:rPr>
        <w:t>וְלֹא תַחֲבֹל בֶּגֶד אַלְמָנָה</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חבל</w:t>
      </w:r>
      <w:r>
        <w:t xml:space="preserve">, Qal Imperfekt, 2. Person Maskulinum Singular, </w:t>
      </w:r>
      <w:r>
        <w:rPr>
          <w:rStyle w:val="Fett"/>
          <w:rFonts w:eastAsiaTheme="majorEastAsia"/>
          <w:rtl/>
        </w:rPr>
        <w:t>בֶּגֶד</w:t>
      </w:r>
      <w:r>
        <w:t xml:space="preserve">, „Kleid, Gewand", Construct mit </w:t>
      </w:r>
      <w:r>
        <w:rPr>
          <w:rStyle w:val="Fett"/>
          <w:rFonts w:eastAsiaTheme="majorEastAsia"/>
          <w:rtl/>
        </w:rPr>
        <w:t>אַלְמָנָה</w:t>
      </w:r>
      <w:r>
        <w:t>, „Witwe").</w:t>
      </w:r>
    </w:p>
    <w:p w14:paraId="1FDB4A91" w14:textId="3CD8CBE9" w:rsidR="00166F02" w:rsidRDefault="00166F02" w:rsidP="00166F02">
      <w:pPr>
        <w:pStyle w:val="whitespace-normal"/>
      </w:pPr>
      <w:r>
        <w:t xml:space="preserve">Der Vers schützt drei besonders verwundbare Gruppen. Das erste Verbot: </w:t>
      </w:r>
      <w:r>
        <w:rPr>
          <w:rStyle w:val="Fett"/>
          <w:rFonts w:eastAsiaTheme="majorEastAsia"/>
          <w:rtl/>
        </w:rPr>
        <w:t>לֹא תַטֶּה מִשְׁפַּט גֵּר יָתוֹם</w:t>
      </w:r>
      <w:r>
        <w:rPr>
          <w:rtl/>
        </w:rPr>
        <w:t xml:space="preserve"> </w:t>
      </w:r>
      <w:r>
        <w:t xml:space="preserve">(„nicht beugen sollst du das Recht eines Fremdlings [oder] einer </w:t>
      </w:r>
      <w:proofErr w:type="spellStart"/>
      <w:r>
        <w:t>Waise</w:t>
      </w:r>
      <w:proofErr w:type="spellEnd"/>
      <w:r>
        <w:t xml:space="preserve">"). Das Verb </w:t>
      </w:r>
      <w:r>
        <w:rPr>
          <w:rStyle w:val="Fett"/>
          <w:rFonts w:eastAsiaTheme="majorEastAsia"/>
          <w:rtl/>
        </w:rPr>
        <w:t>נטה</w:t>
      </w:r>
      <w:r>
        <w:rPr>
          <w:rtl/>
        </w:rPr>
        <w:t xml:space="preserve"> </w:t>
      </w:r>
      <w:r>
        <w:t xml:space="preserve">im Hiphil („beugen, verdrehen, abweichen lassen") – im juristischen Kontext: ein Urteil verdrehen, Ungerechtigkeit begehen (vgl. 16,19; 27,19; Ex 23,2.6; Mal 3,5). Die beiden Gruppen </w:t>
      </w:r>
      <w:r>
        <w:rPr>
          <w:rStyle w:val="Fett"/>
          <w:rFonts w:eastAsiaTheme="majorEastAsia"/>
          <w:rtl/>
        </w:rPr>
        <w:t>גֵּר יָתוֹם</w:t>
      </w:r>
      <w:r>
        <w:rPr>
          <w:rtl/>
        </w:rPr>
        <w:t xml:space="preserve"> </w:t>
      </w:r>
      <w:r>
        <w:t xml:space="preserve">(„Fremdling [und] Waise") sind besonders rechtlos und verwundbar. Der </w:t>
      </w:r>
      <w:r>
        <w:rPr>
          <w:rStyle w:val="Fett"/>
          <w:rFonts w:eastAsiaTheme="majorEastAsia"/>
          <w:rtl/>
        </w:rPr>
        <w:t>גֵּר</w:t>
      </w:r>
      <w:r>
        <w:rPr>
          <w:rtl/>
        </w:rPr>
        <w:t xml:space="preserve"> </w:t>
      </w:r>
      <w:r>
        <w:t xml:space="preserve">(„Fremdling") ist ein Nicht-Israelit, der in Israel lebt – ohne Familiennetz, Landbesitz oder volle Bürgerrechte. Der </w:t>
      </w:r>
      <w:r>
        <w:rPr>
          <w:rStyle w:val="Fett"/>
          <w:rFonts w:eastAsiaTheme="majorEastAsia"/>
          <w:rtl/>
        </w:rPr>
        <w:t>יָתוֹם</w:t>
      </w:r>
      <w:r>
        <w:rPr>
          <w:rtl/>
        </w:rPr>
        <w:t xml:space="preserve"> </w:t>
      </w:r>
      <w:r>
        <w:t xml:space="preserve">(„Waise") ist ein vater- oder elternloses Kind – ohne den Schutz eines erwachsenen männlichen Vormunds. Das zweite Verbot: </w:t>
      </w:r>
      <w:r>
        <w:rPr>
          <w:rStyle w:val="Fett"/>
          <w:rFonts w:eastAsiaTheme="majorEastAsia"/>
          <w:rtl/>
        </w:rPr>
        <w:t>וְלֹא תַחֲבֹל בֶּגֶד אַלְמָנָה</w:t>
      </w:r>
      <w:r>
        <w:rPr>
          <w:rtl/>
        </w:rPr>
        <w:t xml:space="preserve"> </w:t>
      </w:r>
      <w:r>
        <w:t xml:space="preserve">(„und nicht pfänden sollst du das Kleid einer Witwe"). Das Verb </w:t>
      </w:r>
      <w:r>
        <w:rPr>
          <w:rStyle w:val="Fett"/>
          <w:rFonts w:eastAsiaTheme="majorEastAsia"/>
          <w:rtl/>
        </w:rPr>
        <w:t>חבל</w:t>
      </w:r>
      <w:r>
        <w:rPr>
          <w:rtl/>
        </w:rPr>
        <w:t xml:space="preserve"> </w:t>
      </w:r>
      <w:r>
        <w:t xml:space="preserve">(„pfänden") wie in V. 6. Das Wort </w:t>
      </w:r>
      <w:r>
        <w:rPr>
          <w:rStyle w:val="Fett"/>
          <w:rFonts w:eastAsiaTheme="majorEastAsia"/>
          <w:rtl/>
        </w:rPr>
        <w:t>בֶּגֶד</w:t>
      </w:r>
      <w:r>
        <w:rPr>
          <w:rtl/>
        </w:rPr>
        <w:t xml:space="preserve"> </w:t>
      </w:r>
      <w:r>
        <w:t xml:space="preserve">(„Kleid, Gewand") – wahrscheinlich das einzige oder wertvollste Kleidungsstück der Witwe. Die </w:t>
      </w:r>
      <w:r>
        <w:rPr>
          <w:rStyle w:val="Fett"/>
          <w:rFonts w:eastAsiaTheme="majorEastAsia"/>
          <w:rtl/>
        </w:rPr>
        <w:t>אַלְמָנָה</w:t>
      </w:r>
      <w:r>
        <w:rPr>
          <w:rtl/>
        </w:rPr>
        <w:t xml:space="preserve"> </w:t>
      </w:r>
      <w:r>
        <w:t xml:space="preserve">(„Witwe") ist die dritte verwundbare Gruppe – ohne Ehemann, oft ohne Einkommen, ohne männlichen Schutz in einer patriarchalen Gesellschaft. Die Trias </w:t>
      </w:r>
      <w:r>
        <w:rPr>
          <w:rStyle w:val="Fett"/>
          <w:rFonts w:eastAsiaTheme="majorEastAsia"/>
          <w:rtl/>
        </w:rPr>
        <w:t>גֵּר יָתוֹם אַלְמָנָה</w:t>
      </w:r>
      <w:r>
        <w:rPr>
          <w:rtl/>
        </w:rPr>
        <w:t xml:space="preserve"> </w:t>
      </w:r>
      <w:r>
        <w:t xml:space="preserve">(„Fremdling, Waise, Witwe") ist eine feste Formulierung im Deuteronomium (10,18; 14,29; 16,11.14; 24,19.20.21; 26,12.13; 27,19) und darüber hinaus (Ex 22,20-23; Ps 94,6; </w:t>
      </w:r>
      <w:r>
        <w:lastRenderedPageBreak/>
        <w:t>146,9; Jes 1,17.23; Jer 7,6; 22,3; Sach 7,10; Mal 3,5). JHWH ist besonders der Gott dieser drei Gruppen (Dtn 10,18; Ps 68,6; 146,9). V. 18 wird die Begründung geben.</w:t>
      </w:r>
    </w:p>
    <w:p w14:paraId="641374F2" w14:textId="4D3C2F7F" w:rsidR="00A600C6" w:rsidRDefault="00A600C6" w:rsidP="00166F02">
      <w:pPr>
        <w:pStyle w:val="whitespace-normal"/>
      </w:pPr>
      <w:r>
        <w:rPr>
          <w:rStyle w:val="Fett"/>
        </w:rPr>
        <w:t>Die LXX</w:t>
      </w:r>
      <w:r>
        <w:t xml:space="preserve"> fügt nach γ</w:t>
      </w:r>
      <w:r>
        <w:rPr>
          <w:rtl/>
        </w:rPr>
        <w:t>ֵּר יָתוֹם</w:t>
      </w:r>
      <w:r>
        <w:t xml:space="preserve"> (Fremder, Waise) noch καὶ </w:t>
      </w:r>
      <w:proofErr w:type="spellStart"/>
      <w:r>
        <w:t>χήρ</w:t>
      </w:r>
      <w:proofErr w:type="spellEnd"/>
      <w:r>
        <w:t>ας (und Witwe) hinzu, obwohl die Witwe im MT erst im zweiten Teil des Verses erwähnt wird – eine harmonisierende Erweiterung.</w:t>
      </w:r>
    </w:p>
    <w:p w14:paraId="3AC85805" w14:textId="77777777" w:rsidR="00166F02" w:rsidRDefault="00166F02" w:rsidP="00166F02">
      <w:pPr>
        <w:pStyle w:val="whitespace-normal"/>
      </w:pPr>
      <w:r>
        <w:rPr>
          <w:rStyle w:val="Fett"/>
          <w:rFonts w:eastAsiaTheme="majorEastAsia"/>
        </w:rPr>
        <w:t>Die Satzstruktur:</w:t>
      </w:r>
      <w:r>
        <w:t xml:space="preserve"> Zwei parallele Verbote (nicht beugen sollst du das Recht eines Fremdlings [oder] einer </w:t>
      </w:r>
      <w:proofErr w:type="spellStart"/>
      <w:r>
        <w:t>Waise</w:t>
      </w:r>
      <w:proofErr w:type="spellEnd"/>
      <w:r>
        <w:t>; und nicht pfänden sollst du das Kleid einer Witwe).</w:t>
      </w:r>
    </w:p>
    <w:p w14:paraId="2B42B504" w14:textId="05645EAF" w:rsidR="00166F02" w:rsidRDefault="00166F02" w:rsidP="00AB12A0">
      <w:pPr>
        <w:pStyle w:val="whitespace-normal"/>
      </w:pPr>
      <w:r>
        <w:rPr>
          <w:rStyle w:val="Fett"/>
          <w:rFonts w:eastAsiaTheme="majorEastAsia"/>
        </w:rPr>
        <w:t>Der Vers beschreibt:</w:t>
      </w:r>
      <w:r>
        <w:t xml:space="preserve"> Schutz der Rechtlosen – Verbot, das Recht von Fremdlingen und Waisen zu beugen oder Witwen ihre Kleidung zu pfänden.</w:t>
      </w:r>
    </w:p>
    <w:p w14:paraId="392729A7" w14:textId="77777777" w:rsidR="00166F02" w:rsidRPr="00713867" w:rsidRDefault="00166F02" w:rsidP="00B53ACC">
      <w:pPr>
        <w:pStyle w:val="Bibelberschrift"/>
      </w:pPr>
      <w:r w:rsidRPr="00713867">
        <w:rPr>
          <w:rStyle w:val="Fett"/>
          <w:b/>
          <w:bCs w:val="0"/>
        </w:rPr>
        <w:t>Deuteronomium 24,18</w:t>
      </w:r>
    </w:p>
    <w:p w14:paraId="2E75C549" w14:textId="77777777" w:rsidR="00166F02" w:rsidRDefault="00166F02" w:rsidP="00166F02">
      <w:pPr>
        <w:pStyle w:val="whitespace-normal"/>
      </w:pPr>
      <w:r>
        <w:rPr>
          <w:rStyle w:val="Fett"/>
          <w:rFonts w:eastAsiaTheme="majorEastAsia"/>
        </w:rPr>
        <w:t>Hebräisch:</w:t>
      </w:r>
      <w:r>
        <w:t xml:space="preserve"> </w:t>
      </w:r>
      <w:r>
        <w:rPr>
          <w:rtl/>
        </w:rPr>
        <w:t>וְזָכַרְתָּ֗ כִּ֣י עֶ֤בֶד הָיִ֨יתָ֙ בְּמִצְרַ֔יִם וַֽיִּפְדְּךָ֛ יְהוָ֥ה אֱלֹהֶ֖יךָ מִשָּׁ֑ם עַל־כֵּ֞ן אָנֹכִ֤י מְצַוְּךָ֙ לַעֲשׂ֔וֹת אֶת־הַדָּבָ֖ר הַזֶּֽה׃</w:t>
      </w:r>
    </w:p>
    <w:p w14:paraId="771E3E49" w14:textId="77777777" w:rsidR="00166F02" w:rsidRDefault="00166F02" w:rsidP="00166F02">
      <w:pPr>
        <w:pStyle w:val="whitespace-normal"/>
      </w:pPr>
      <w:r>
        <w:rPr>
          <w:rStyle w:val="Fett"/>
          <w:rFonts w:eastAsiaTheme="majorEastAsia"/>
        </w:rPr>
        <w:t>Deutsch:</w:t>
      </w:r>
      <w:r>
        <w:t xml:space="preserve"> Und du sollst daran denken, dass du Knecht warst in Ägypten und dass JHWH, dein Gott, dich von dort erlöst hat; darum gebiete ich dir, dies zu tun.</w:t>
      </w:r>
    </w:p>
    <w:p w14:paraId="5E485C45" w14:textId="77777777" w:rsidR="00166F02" w:rsidRDefault="004F5CEB" w:rsidP="00166F02">
      <w:r>
        <w:rPr>
          <w:noProof/>
        </w:rPr>
        <w:pict w14:anchorId="46BB27A8">
          <v:rect id="_x0000_i1668" style="width:0;height:1.5pt" o:hralign="center" o:hrstd="t" o:hr="t" fillcolor="#a0a0a0" stroked="f"/>
        </w:pict>
      </w:r>
    </w:p>
    <w:p w14:paraId="1908B6AF"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וְזָכַרְתָּ כִּי עֶבֶד הָיִיתָ בְּמִצְרַיִם וַיִּפְדְּךָ יְהוָה אֱלֹהֶיךָ מִשָּׁם עַל־כֵּן אָנֹכִי מְצַוְּךָ לַעֲשׂוֹת אֶת־הַדָּבָר הַזֶּה</w:t>
      </w:r>
      <w:r>
        <w:rPr>
          <w:rtl/>
        </w:rPr>
        <w:t xml:space="preserve"> </w:t>
      </w:r>
      <w:r>
        <w:t xml:space="preserve">ist die Begründung: </w:t>
      </w:r>
      <w:r>
        <w:rPr>
          <w:rStyle w:val="Fett"/>
          <w:rFonts w:eastAsiaTheme="majorEastAsia"/>
          <w:rtl/>
        </w:rPr>
        <w:t>וְזָכַרְתָּ כִּי עֶבֶד הָיִיתָ בְּמִצְרַיִם וַיִּפְדְּךָ יְהוָה אֱלֹהֶיךָ מִשָּׁם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זכר</w:t>
      </w:r>
      <w:r>
        <w:t xml:space="preserve">, Qal Perfekt, 2. Person Maskulinum Singular, Objektsatz: </w:t>
      </w:r>
      <w:r>
        <w:rPr>
          <w:rStyle w:val="Fett"/>
          <w:rFonts w:eastAsiaTheme="majorEastAsia"/>
          <w:rtl/>
        </w:rPr>
        <w:t>כִּי עֶבֶד הָיִיתָ בְּמִצְרַיִם</w:t>
      </w:r>
      <w:r>
        <w:rPr>
          <w:rtl/>
        </w:rPr>
        <w:t xml:space="preserve"> </w:t>
      </w:r>
      <w:r>
        <w:t xml:space="preserve">mit </w:t>
      </w:r>
      <w:r>
        <w:rPr>
          <w:rStyle w:val="Fett"/>
          <w:rFonts w:eastAsiaTheme="majorEastAsia"/>
          <w:rtl/>
        </w:rPr>
        <w:t>היה</w:t>
      </w:r>
      <w:r>
        <w:t xml:space="preserve">, Qal Perfekt, 2. Person Maskulinum Singular, koordiniert durch </w:t>
      </w:r>
      <w:r>
        <w:rPr>
          <w:rStyle w:val="Fett"/>
          <w:rFonts w:eastAsiaTheme="majorEastAsia"/>
          <w:rtl/>
        </w:rPr>
        <w:t>וַ</w:t>
      </w:r>
      <w:r>
        <w:rPr>
          <w:rtl/>
        </w:rPr>
        <w:t xml:space="preserve"> </w:t>
      </w:r>
      <w:r>
        <w:t xml:space="preserve">mit </w:t>
      </w:r>
      <w:r>
        <w:rPr>
          <w:rStyle w:val="Fett"/>
          <w:rFonts w:eastAsiaTheme="majorEastAsia"/>
          <w:rtl/>
        </w:rPr>
        <w:t>פדה</w:t>
      </w:r>
      <w:r>
        <w:t xml:space="preserve">, Qal Imperfekt, 3. Person Maskulinum Singular, „erlösen, loskaufen", mit Suffix 2. Person Maskulinum Singular, </w:t>
      </w:r>
      <w:r>
        <w:rPr>
          <w:rStyle w:val="Fett"/>
          <w:rFonts w:eastAsiaTheme="majorEastAsia"/>
          <w:rtl/>
        </w:rPr>
        <w:t>יְהוָה אֱלֹהֶיךָ</w:t>
      </w:r>
      <w:r>
        <w:rPr>
          <w:rtl/>
        </w:rPr>
        <w:t xml:space="preserve"> </w:t>
      </w:r>
      <w:r>
        <w:t xml:space="preserve">als Subjekt, </w:t>
      </w:r>
      <w:r>
        <w:rPr>
          <w:rStyle w:val="Fett"/>
          <w:rFonts w:eastAsiaTheme="majorEastAsia"/>
          <w:rtl/>
        </w:rPr>
        <w:t>מִשָּׁם</w:t>
      </w:r>
      <w:r>
        <w:t xml:space="preserve">, „von dort", mit </w:t>
      </w:r>
      <w:r>
        <w:rPr>
          <w:rStyle w:val="Fett"/>
          <w:rFonts w:eastAsiaTheme="majorEastAsia"/>
        </w:rPr>
        <w:t>Waw</w:t>
      </w:r>
      <w:r>
        <w:t xml:space="preserve"> consecutives Imperfekt, mit </w:t>
      </w:r>
      <w:r>
        <w:rPr>
          <w:rStyle w:val="Fett"/>
          <w:rFonts w:eastAsiaTheme="majorEastAsia"/>
        </w:rPr>
        <w:t>Waw</w:t>
      </w:r>
      <w:r>
        <w:t xml:space="preserve"> consecutives Perfekt), </w:t>
      </w:r>
      <w:r>
        <w:rPr>
          <w:rStyle w:val="Fett"/>
          <w:rFonts w:eastAsiaTheme="majorEastAsia"/>
          <w:rtl/>
        </w:rPr>
        <w:t>עַל־כֵּן אָנֹכִי מְצַוְּךָ לַעֲשׂוֹת אֶת־הַדָּבָר הַזֶּה</w:t>
      </w:r>
      <w:r>
        <w:rPr>
          <w:rtl/>
        </w:rPr>
        <w:t xml:space="preserve"> </w:t>
      </w:r>
      <w:r>
        <w:t xml:space="preserve">(Präposition </w:t>
      </w:r>
      <w:r>
        <w:rPr>
          <w:rStyle w:val="Fett"/>
          <w:rFonts w:eastAsiaTheme="majorEastAsia"/>
          <w:rtl/>
        </w:rPr>
        <w:t>עַל־כֵּן</w:t>
      </w:r>
      <w:r>
        <w:t xml:space="preserve">, „darum, deshalb", </w:t>
      </w:r>
      <w:r>
        <w:rPr>
          <w:rStyle w:val="Fett"/>
          <w:rFonts w:eastAsiaTheme="majorEastAsia"/>
          <w:rtl/>
        </w:rPr>
        <w:t>אָנֹכִי</w:t>
      </w:r>
      <w:r>
        <w:t xml:space="preserve">, 1. Person Singular Personalpronomen (betont), </w:t>
      </w:r>
      <w:r>
        <w:rPr>
          <w:rStyle w:val="Fett"/>
          <w:rFonts w:eastAsiaTheme="majorEastAsia"/>
          <w:rtl/>
        </w:rPr>
        <w:t>צוה</w:t>
      </w:r>
      <w:r>
        <w:t xml:space="preserve">, Piel Partizip, „befehlen, gebieten", mit Suffix 2. Person Maskulinum Singular, Präposition </w:t>
      </w:r>
      <w:r>
        <w:rPr>
          <w:rStyle w:val="Fett"/>
          <w:rFonts w:eastAsiaTheme="majorEastAsia"/>
          <w:rtl/>
        </w:rPr>
        <w:t>לְ</w:t>
      </w:r>
      <w:r>
        <w:rPr>
          <w:rtl/>
        </w:rPr>
        <w:t xml:space="preserve"> </w:t>
      </w:r>
      <w:r>
        <w:t xml:space="preserve">mit Qal Infinitiv Construct von </w:t>
      </w:r>
      <w:r>
        <w:rPr>
          <w:rStyle w:val="Fett"/>
          <w:rFonts w:eastAsiaTheme="majorEastAsia"/>
          <w:rtl/>
        </w:rPr>
        <w:t>עשׂה</w:t>
      </w:r>
      <w:r>
        <w:t xml:space="preserve">, Objektpartikel </w:t>
      </w:r>
      <w:r>
        <w:rPr>
          <w:rStyle w:val="Fett"/>
          <w:rFonts w:eastAsiaTheme="majorEastAsia"/>
          <w:rtl/>
        </w:rPr>
        <w:t>אֵת</w:t>
      </w:r>
      <w:r>
        <w:rPr>
          <w:rtl/>
        </w:rPr>
        <w:t xml:space="preserve"> </w:t>
      </w:r>
      <w:r>
        <w:t xml:space="preserve">mit </w:t>
      </w:r>
      <w:r>
        <w:rPr>
          <w:rStyle w:val="Fett"/>
          <w:rFonts w:eastAsiaTheme="majorEastAsia"/>
          <w:rtl/>
        </w:rPr>
        <w:t>דָּבָר הַזֶּה</w:t>
      </w:r>
      <w:r>
        <w:t>).</w:t>
      </w:r>
    </w:p>
    <w:p w14:paraId="7E551576" w14:textId="77777777" w:rsidR="00166F02" w:rsidRDefault="00166F02" w:rsidP="00166F02">
      <w:pPr>
        <w:pStyle w:val="whitespace-normal"/>
      </w:pPr>
      <w:r>
        <w:t xml:space="preserve">Der Vers begründet die Gebote aus V. 17 (und vermutlich die gesamte Sektion V. 10-22) mit der Exoduserfahrung. Die erste Begründung: </w:t>
      </w:r>
      <w:r>
        <w:rPr>
          <w:rStyle w:val="Fett"/>
          <w:rFonts w:eastAsiaTheme="majorEastAsia"/>
          <w:rtl/>
        </w:rPr>
        <w:t>וְזָכַרְתָּ כִּי עֶבֶד הָיִיתָ בְּמִצְרַיִם וַיִּפְדְּךָ יְהוָה אֱלֹהֶיךָ מִשָּׁם</w:t>
      </w:r>
      <w:r>
        <w:rPr>
          <w:rtl/>
        </w:rPr>
        <w:t xml:space="preserve"> </w:t>
      </w:r>
      <w:r>
        <w:t xml:space="preserve">(„und denken sollst du daran, dass Knecht warst du in Ägypten, und erlöst hat dich JHWH, dein Gott, von dort"). Das Verb </w:t>
      </w:r>
      <w:r>
        <w:rPr>
          <w:rStyle w:val="Fett"/>
          <w:rFonts w:eastAsiaTheme="majorEastAsia"/>
          <w:rtl/>
        </w:rPr>
        <w:t>זכר</w:t>
      </w:r>
      <w:r>
        <w:rPr>
          <w:rtl/>
        </w:rPr>
        <w:t xml:space="preserve"> </w:t>
      </w:r>
      <w:r>
        <w:t xml:space="preserve">(„gedenken, erinnern") fordert bewusste Erinnerung an die Vergangenheit. Die doppelte Erinnerung: (1) </w:t>
      </w:r>
      <w:r>
        <w:rPr>
          <w:rStyle w:val="Fett"/>
          <w:rFonts w:eastAsiaTheme="majorEastAsia"/>
          <w:rtl/>
        </w:rPr>
        <w:t>כִּי עֶבֶד הָיִיתָ בְּמִצְרַיִם</w:t>
      </w:r>
      <w:r>
        <w:rPr>
          <w:rtl/>
        </w:rPr>
        <w:t xml:space="preserve"> </w:t>
      </w:r>
      <w:r>
        <w:t xml:space="preserve">(„dass Knecht warst du in Ägypten") – Israel war selbst versklavt, rechtlos, unterdrückt. (2) </w:t>
      </w:r>
      <w:r>
        <w:rPr>
          <w:rStyle w:val="Fett"/>
          <w:rFonts w:eastAsiaTheme="majorEastAsia"/>
          <w:rtl/>
        </w:rPr>
        <w:t>וַיִּפְדְּךָ יְהוָה אֱלֹהֶיךָ מִשָּׁם</w:t>
      </w:r>
      <w:r>
        <w:rPr>
          <w:rtl/>
        </w:rPr>
        <w:t xml:space="preserve"> </w:t>
      </w:r>
      <w:r>
        <w:t xml:space="preserve">(„und erlöst hat dich JHWH, dein Gott, von dort"). Das Verb </w:t>
      </w:r>
      <w:r>
        <w:rPr>
          <w:rStyle w:val="Fett"/>
          <w:rFonts w:eastAsiaTheme="majorEastAsia"/>
          <w:rtl/>
        </w:rPr>
        <w:t>פדה</w:t>
      </w:r>
      <w:r>
        <w:rPr>
          <w:rtl/>
        </w:rPr>
        <w:t xml:space="preserve"> </w:t>
      </w:r>
      <w:r>
        <w:t xml:space="preserve">(„erlösen, loskaufen") beschreibt JHWHs Befreiungstat. Die Konsequenz: </w:t>
      </w:r>
      <w:r>
        <w:rPr>
          <w:rStyle w:val="Fett"/>
          <w:rFonts w:eastAsiaTheme="majorEastAsia"/>
          <w:rtl/>
        </w:rPr>
        <w:t>עַל־כֵּן אָנֹכִי מְצַוְּךָ לַעֲשׂוֹת אֶת־הַדָּבָר הַזֶּה</w:t>
      </w:r>
      <w:r>
        <w:rPr>
          <w:rtl/>
        </w:rPr>
        <w:t xml:space="preserve"> </w:t>
      </w:r>
      <w:r>
        <w:t xml:space="preserve">(„darum ich gebiete ich dir, zu tun diese Sache"). Die Präposition </w:t>
      </w:r>
      <w:r>
        <w:rPr>
          <w:rStyle w:val="Fett"/>
          <w:rFonts w:eastAsiaTheme="majorEastAsia"/>
          <w:rtl/>
        </w:rPr>
        <w:t>עַל־כֵּן</w:t>
      </w:r>
      <w:r>
        <w:rPr>
          <w:rtl/>
        </w:rPr>
        <w:t xml:space="preserve"> </w:t>
      </w:r>
      <w:r>
        <w:t xml:space="preserve">(„darum, deshalb") zieht die Folgerung. Das betonte Personalpronomen </w:t>
      </w:r>
      <w:r>
        <w:rPr>
          <w:rStyle w:val="Fett"/>
          <w:rFonts w:eastAsiaTheme="majorEastAsia"/>
          <w:rtl/>
        </w:rPr>
        <w:t>אָנֹכִי</w:t>
      </w:r>
      <w:r>
        <w:rPr>
          <w:rtl/>
        </w:rPr>
        <w:t xml:space="preserve"> </w:t>
      </w:r>
      <w:r>
        <w:t xml:space="preserve">(„ich") – Mose spricht als Gesetzgeber. Die Formulierung </w:t>
      </w:r>
      <w:r>
        <w:rPr>
          <w:rStyle w:val="Fett"/>
          <w:rFonts w:eastAsiaTheme="majorEastAsia"/>
          <w:rtl/>
        </w:rPr>
        <w:t>לַעֲשׂוֹת אֶת־הַדָּבָר הַזֶּה</w:t>
      </w:r>
      <w:r>
        <w:rPr>
          <w:rtl/>
        </w:rPr>
        <w:t xml:space="preserve"> </w:t>
      </w:r>
      <w:r>
        <w:t xml:space="preserve">(„zu tun diese Sache") bezieht sich auf die Gebote in V. 17 (und möglicherweise V. 10-17). Die Logik: Weil Israel selbst Unterdrückung erfahren hat und erlöst wurde, soll es die Schwachen und Rechtlosen in seiner Mitte schützen. Empathie aus eigener Erfahrung → soziale Gerechtigkeit. Diese Begründung erscheint mehrfach im </w:t>
      </w:r>
      <w:r>
        <w:lastRenderedPageBreak/>
        <w:t>Deuteronomium (5,15; 15,15; 16,12; 24,22), besonders in Bezug auf den Schutz von Sklaven, Fremdlingen, Waisen und Witwen. Vgl. auch Ex 22,20; 23,9; Lev 19,33-34.</w:t>
      </w:r>
    </w:p>
    <w:p w14:paraId="2125516C" w14:textId="77777777" w:rsidR="00166F02" w:rsidRDefault="00166F02" w:rsidP="00166F02">
      <w:pPr>
        <w:pStyle w:val="whitespace-normal"/>
      </w:pPr>
      <w:r>
        <w:rPr>
          <w:rStyle w:val="Fett"/>
          <w:rFonts w:eastAsiaTheme="majorEastAsia"/>
        </w:rPr>
        <w:t>Die Satzstruktur:</w:t>
      </w:r>
      <w:r>
        <w:t xml:space="preserve"> Begründung mit Folgerung (und denken sollst du daran, dass Knecht warst du in Ägypten, und erlöst hat dich JHWH, dein Gott, von dort; darum ich gebiete ich dir, zu tun diese Sache).</w:t>
      </w:r>
    </w:p>
    <w:p w14:paraId="40A206E9" w14:textId="348C62CE" w:rsidR="00166F02" w:rsidRDefault="00166F02" w:rsidP="00AB12A0">
      <w:pPr>
        <w:pStyle w:val="whitespace-normal"/>
      </w:pPr>
      <w:r>
        <w:rPr>
          <w:rStyle w:val="Fett"/>
          <w:rFonts w:eastAsiaTheme="majorEastAsia"/>
        </w:rPr>
        <w:t>Der Vers beschreibt:</w:t>
      </w:r>
      <w:r>
        <w:t xml:space="preserve"> Begründung durch die Exoduserfahrung – weil Israel selbst versklavt und erlöst wurde, soll es die Rechtlosen schützen.</w:t>
      </w:r>
    </w:p>
    <w:p w14:paraId="22EFE97F" w14:textId="77777777" w:rsidR="00166F02" w:rsidRPr="00713867" w:rsidRDefault="00166F02" w:rsidP="00B53ACC">
      <w:pPr>
        <w:pStyle w:val="Bibelberschrift"/>
      </w:pPr>
      <w:r w:rsidRPr="00713867">
        <w:rPr>
          <w:rStyle w:val="Fett"/>
          <w:b/>
          <w:bCs w:val="0"/>
        </w:rPr>
        <w:t>Deuteronomium 24,19</w:t>
      </w:r>
    </w:p>
    <w:p w14:paraId="68DD603C" w14:textId="77777777" w:rsidR="00166F02" w:rsidRDefault="00166F02" w:rsidP="00166F02">
      <w:pPr>
        <w:pStyle w:val="whitespace-normal"/>
      </w:pPr>
      <w:r>
        <w:rPr>
          <w:rStyle w:val="Fett"/>
          <w:rFonts w:eastAsiaTheme="majorEastAsia"/>
        </w:rPr>
        <w:t>Hebräisch:</w:t>
      </w:r>
      <w:r>
        <w:t xml:space="preserve"> </w:t>
      </w:r>
      <w:r>
        <w:rPr>
          <w:rtl/>
        </w:rPr>
        <w:t>כִּ֣י תִקְצֹר֩ קְצִֽירְךָ֨ בְשָׂדֶ֜ךָ וְשָֽׁכַחְתָּ֧ עֹ֣מֶר בַּשָּׂדֶ֗ה לֹ֤א תָשׁוּב֙ לְקַחְתּוֹ֔ לַגֵּ֛ר לַיָּת֥וֹם וְלָאַלְמָנָ֖ה יִהְיֶ֑ה לְמַ֤עַן יְבָרֶכְךָ֙ יְהוָ֣ה אֱלֹהֶ֔יךָ בְּכֹ֖ל מַעֲשֵׂ֥ה יָדֶֽיךָ׃</w:t>
      </w:r>
    </w:p>
    <w:p w14:paraId="0FC1D95B" w14:textId="77777777" w:rsidR="00166F02" w:rsidRDefault="00166F02" w:rsidP="00166F02">
      <w:pPr>
        <w:pStyle w:val="whitespace-normal"/>
      </w:pPr>
      <w:r>
        <w:rPr>
          <w:rStyle w:val="Fett"/>
          <w:rFonts w:eastAsiaTheme="majorEastAsia"/>
        </w:rPr>
        <w:t>Deutsch:</w:t>
      </w:r>
      <w:r>
        <w:t xml:space="preserve"> Wenn du deine Ernte auf deinem Feld einbringst und eine Garbe auf dem Feld vergisst, sollst du nicht umkehren, um sie zu holen; für den Fremdling, für die Waise und für die Witwe soll sie sein, damit JHWH, dein Gott, dich segne in allem Werk deiner Hände.</w:t>
      </w:r>
    </w:p>
    <w:p w14:paraId="1ABC3FB1" w14:textId="77777777" w:rsidR="00166F02" w:rsidRDefault="004F5CEB" w:rsidP="00166F02">
      <w:r>
        <w:rPr>
          <w:noProof/>
        </w:rPr>
        <w:pict w14:anchorId="68A80050">
          <v:rect id="_x0000_i1669" style="width:0;height:1.5pt" o:hralign="center" o:hrstd="t" o:hr="t" fillcolor="#a0a0a0" stroked="f"/>
        </w:pict>
      </w:r>
    </w:p>
    <w:p w14:paraId="42E435A7"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כִּי תִקְצֹר קְצִירְךָ בְשָׂדֶךָ וְשָׁכַחְתָּ עֹמֶר בַּשָּׂדֶה לֹא תָשׁוּב לְקַחְתּוֹ לַגֵּר לַיָּתוֹם וְלָאַלְמָנָה יִהְיֶה לְמַעַן יְבָרֶכְךָ יְהוָה אֱלֹהֶיךָ בְּכֹל מַעֲשֵׂה יָדֶיךָ</w:t>
      </w:r>
      <w:r>
        <w:rPr>
          <w:rtl/>
        </w:rPr>
        <w:t xml:space="preserve"> </w:t>
      </w:r>
      <w:r>
        <w:t xml:space="preserve">ist eine Bedingung mit drei Anweisungen: </w:t>
      </w:r>
      <w:r>
        <w:rPr>
          <w:rStyle w:val="Fett"/>
          <w:rFonts w:eastAsiaTheme="majorEastAsia"/>
          <w:rtl/>
        </w:rPr>
        <w:t>כִּי תִקְצֹר קְצִירְךָ בְשָׂדֶךָ וְשָׁכַחְתָּ עֹמֶר בַּשָּׂדֶה</w:t>
      </w:r>
      <w:r>
        <w:rPr>
          <w:rtl/>
        </w:rPr>
        <w:t xml:space="preserve"> </w:t>
      </w:r>
      <w:r>
        <w:t>(</w:t>
      </w:r>
      <w:r>
        <w:rPr>
          <w:rStyle w:val="Fett"/>
          <w:rFonts w:eastAsiaTheme="majorEastAsia"/>
          <w:rtl/>
        </w:rPr>
        <w:t>כִּי</w:t>
      </w:r>
      <w:r>
        <w:rPr>
          <w:rtl/>
        </w:rPr>
        <w:t xml:space="preserve"> </w:t>
      </w:r>
      <w:r>
        <w:t xml:space="preserve">mit </w:t>
      </w:r>
      <w:r>
        <w:rPr>
          <w:rStyle w:val="Fett"/>
          <w:rFonts w:eastAsiaTheme="majorEastAsia"/>
          <w:rtl/>
        </w:rPr>
        <w:t>קצר</w:t>
      </w:r>
      <w:r>
        <w:t xml:space="preserve">, Qal Imperfekt, 2. Person Maskulinum Singular, „ernten", </w:t>
      </w:r>
      <w:r>
        <w:rPr>
          <w:rStyle w:val="Fett"/>
          <w:rFonts w:eastAsiaTheme="majorEastAsia"/>
          <w:rtl/>
        </w:rPr>
        <w:t>קָצִיר</w:t>
      </w:r>
      <w:r>
        <w:t xml:space="preserve">, „Ernte", mit Suffix 2. Person Maskulinum Singular – inneres Objekt, </w:t>
      </w:r>
      <w:r>
        <w:rPr>
          <w:rStyle w:val="Fett"/>
          <w:rFonts w:eastAsiaTheme="majorEastAsia"/>
          <w:rtl/>
        </w:rPr>
        <w:t>בְשָׂדֶךָ</w:t>
      </w:r>
      <w:r>
        <w:t xml:space="preserve">, koordiniert durch </w:t>
      </w:r>
      <w:r>
        <w:rPr>
          <w:rStyle w:val="Fett"/>
          <w:rFonts w:eastAsiaTheme="majorEastAsia"/>
          <w:rtl/>
        </w:rPr>
        <w:t>וְ</w:t>
      </w:r>
      <w:r>
        <w:rPr>
          <w:rtl/>
        </w:rPr>
        <w:t xml:space="preserve"> </w:t>
      </w:r>
      <w:r>
        <w:t xml:space="preserve">mit </w:t>
      </w:r>
      <w:r>
        <w:rPr>
          <w:rStyle w:val="Fett"/>
          <w:rFonts w:eastAsiaTheme="majorEastAsia"/>
          <w:rtl/>
        </w:rPr>
        <w:t>שׁכח</w:t>
      </w:r>
      <w:r>
        <w:t xml:space="preserve">, Qal Perfekt, 2. Person Maskulinum Singular, „vergessen", </w:t>
      </w:r>
      <w:r>
        <w:rPr>
          <w:rStyle w:val="Fett"/>
          <w:rFonts w:eastAsiaTheme="majorEastAsia"/>
          <w:rtl/>
        </w:rPr>
        <w:t>עֹמֶר</w:t>
      </w:r>
      <w:r>
        <w:t xml:space="preserve">, „Garbe, Getreidebündel", </w:t>
      </w:r>
      <w:r>
        <w:rPr>
          <w:rStyle w:val="Fett"/>
          <w:rFonts w:eastAsiaTheme="majorEastAsia"/>
          <w:rtl/>
        </w:rPr>
        <w:t>בַּשָּׂדֶה</w:t>
      </w:r>
      <w:r>
        <w:t xml:space="preserve">, mit </w:t>
      </w:r>
      <w:r>
        <w:rPr>
          <w:rStyle w:val="Fett"/>
          <w:rFonts w:eastAsiaTheme="majorEastAsia"/>
        </w:rPr>
        <w:t>Waw</w:t>
      </w:r>
      <w:r>
        <w:t xml:space="preserve"> consecutives Perfekt), </w:t>
      </w:r>
      <w:r>
        <w:rPr>
          <w:rStyle w:val="Fett"/>
          <w:rFonts w:eastAsiaTheme="majorEastAsia"/>
          <w:rtl/>
        </w:rPr>
        <w:t>לֹא תָשׁוּב לְקַחְתּוֹ</w:t>
      </w:r>
      <w:r>
        <w:rPr>
          <w:rtl/>
        </w:rPr>
        <w:t xml:space="preserve"> </w:t>
      </w:r>
      <w:r>
        <w:t xml:space="preserve">(Negation mit </w:t>
      </w:r>
      <w:r>
        <w:rPr>
          <w:rStyle w:val="Fett"/>
          <w:rFonts w:eastAsiaTheme="majorEastAsia"/>
          <w:rtl/>
        </w:rPr>
        <w:t>שׁוב</w:t>
      </w:r>
      <w:r>
        <w:t xml:space="preserve">, Qal Imperfekt, 2. Person Maskulinum Singular, „zurückkehren, umkehren", Präposition </w:t>
      </w:r>
      <w:r>
        <w:rPr>
          <w:rStyle w:val="Fett"/>
          <w:rFonts w:eastAsiaTheme="majorEastAsia"/>
          <w:rtl/>
        </w:rPr>
        <w:t>לְ</w:t>
      </w:r>
      <w:r>
        <w:rPr>
          <w:rtl/>
        </w:rPr>
        <w:t xml:space="preserve"> </w:t>
      </w:r>
      <w:r>
        <w:t xml:space="preserve">mit Qal Infinitiv Construct von </w:t>
      </w:r>
      <w:r>
        <w:rPr>
          <w:rStyle w:val="Fett"/>
          <w:rFonts w:eastAsiaTheme="majorEastAsia"/>
          <w:rtl/>
        </w:rPr>
        <w:t>לקח</w:t>
      </w:r>
      <w:r>
        <w:t xml:space="preserve">, mit Suffix 3. Person Maskulinum Singular), </w:t>
      </w:r>
      <w:r>
        <w:rPr>
          <w:rStyle w:val="Fett"/>
          <w:rFonts w:eastAsiaTheme="majorEastAsia"/>
          <w:rtl/>
        </w:rPr>
        <w:t>לַגֵּר לַיָּתוֹם וְלָאַלְמָנָה יִהְיֶה</w:t>
      </w:r>
      <w:r>
        <w:rPr>
          <w:rtl/>
        </w:rPr>
        <w:t xml:space="preserve"> </w:t>
      </w:r>
      <w:r>
        <w:t xml:space="preserve">(Präposition </w:t>
      </w:r>
      <w:r>
        <w:rPr>
          <w:rStyle w:val="Fett"/>
          <w:rFonts w:eastAsiaTheme="majorEastAsia"/>
          <w:rtl/>
        </w:rPr>
        <w:t>לְ</w:t>
      </w:r>
      <w:r>
        <w:rPr>
          <w:rtl/>
        </w:rPr>
        <w:t xml:space="preserve"> </w:t>
      </w:r>
      <w:r>
        <w:t xml:space="preserve">mit </w:t>
      </w:r>
      <w:r>
        <w:rPr>
          <w:rStyle w:val="Fett"/>
          <w:rFonts w:eastAsiaTheme="majorEastAsia"/>
          <w:rtl/>
        </w:rPr>
        <w:t>גֵּר</w:t>
      </w:r>
      <w:r>
        <w:t xml:space="preserve">, Präposition </w:t>
      </w:r>
      <w:r>
        <w:rPr>
          <w:rStyle w:val="Fett"/>
          <w:rFonts w:eastAsiaTheme="majorEastAsia"/>
          <w:rtl/>
        </w:rPr>
        <w:t>לְ</w:t>
      </w:r>
      <w:r>
        <w:rPr>
          <w:rtl/>
        </w:rPr>
        <w:t xml:space="preserve"> </w:t>
      </w:r>
      <w:r>
        <w:t xml:space="preserve">mit </w:t>
      </w:r>
      <w:r>
        <w:rPr>
          <w:rStyle w:val="Fett"/>
          <w:rFonts w:eastAsiaTheme="majorEastAsia"/>
          <w:rtl/>
        </w:rPr>
        <w:t>יָתוֹם</w:t>
      </w:r>
      <w:r>
        <w:t xml:space="preserve">, koordiniert durch </w:t>
      </w:r>
      <w:r>
        <w:rPr>
          <w:rStyle w:val="Fett"/>
          <w:rFonts w:eastAsiaTheme="majorEastAsia"/>
          <w:rtl/>
        </w:rPr>
        <w:t>וְ</w:t>
      </w:r>
      <w:r>
        <w:rPr>
          <w:rtl/>
        </w:rPr>
        <w:t xml:space="preserve"> </w:t>
      </w:r>
      <w:r>
        <w:t xml:space="preserve">mit Präposition </w:t>
      </w:r>
      <w:r>
        <w:rPr>
          <w:rStyle w:val="Fett"/>
          <w:rFonts w:eastAsiaTheme="majorEastAsia"/>
          <w:rtl/>
        </w:rPr>
        <w:t>לְ</w:t>
      </w:r>
      <w:r>
        <w:rPr>
          <w:rtl/>
        </w:rPr>
        <w:t xml:space="preserve"> </w:t>
      </w:r>
      <w:r>
        <w:t xml:space="preserve">und </w:t>
      </w:r>
      <w:r>
        <w:rPr>
          <w:rStyle w:val="Fett"/>
          <w:rFonts w:eastAsiaTheme="majorEastAsia"/>
          <w:rtl/>
        </w:rPr>
        <w:t>אַלְמָנָה</w:t>
      </w:r>
      <w:r>
        <w:t xml:space="preserve">, </w:t>
      </w:r>
      <w:r>
        <w:rPr>
          <w:rStyle w:val="Fett"/>
          <w:rFonts w:eastAsiaTheme="majorEastAsia"/>
          <w:rtl/>
        </w:rPr>
        <w:t>היה</w:t>
      </w:r>
      <w:r>
        <w:t xml:space="preserve">, Qal Imperfekt, 3. Person Maskulinum Singular), </w:t>
      </w:r>
      <w:r>
        <w:rPr>
          <w:rStyle w:val="Fett"/>
          <w:rFonts w:eastAsiaTheme="majorEastAsia"/>
          <w:rtl/>
        </w:rPr>
        <w:t>לְמַעַן יְבָרֶכְךָ יְהוָה אֱלֹהֶיךָ בְּכֹל מַעֲשֵׂה יָדֶיךָ</w:t>
      </w:r>
      <w:r>
        <w:rPr>
          <w:rtl/>
        </w:rPr>
        <w:t xml:space="preserve"> </w:t>
      </w:r>
      <w:r>
        <w:t xml:space="preserve">(Finalsatz: </w:t>
      </w:r>
      <w:r>
        <w:rPr>
          <w:rStyle w:val="Fett"/>
          <w:rFonts w:eastAsiaTheme="majorEastAsia"/>
          <w:rtl/>
        </w:rPr>
        <w:t>לְמַעַן</w:t>
      </w:r>
      <w:r>
        <w:rPr>
          <w:rtl/>
        </w:rPr>
        <w:t xml:space="preserve"> </w:t>
      </w:r>
      <w:r>
        <w:t xml:space="preserve">mit </w:t>
      </w:r>
      <w:r>
        <w:rPr>
          <w:rStyle w:val="Fett"/>
          <w:rFonts w:eastAsiaTheme="majorEastAsia"/>
          <w:rtl/>
        </w:rPr>
        <w:t>ברך</w:t>
      </w:r>
      <w:r>
        <w:t xml:space="preserve">, Piel Imperfekt, 3. Person Maskulinum Singular, mit Suffix 2. Person Maskulinum Singular, </w:t>
      </w:r>
      <w:r>
        <w:rPr>
          <w:rStyle w:val="Fett"/>
          <w:rFonts w:eastAsiaTheme="majorEastAsia"/>
          <w:rtl/>
        </w:rPr>
        <w:t>יְהוָה אֱלֹהֶיךָ</w:t>
      </w:r>
      <w:r>
        <w:rPr>
          <w:rtl/>
        </w:rPr>
        <w:t xml:space="preserve"> </w:t>
      </w:r>
      <w:r>
        <w:t xml:space="preserve">als Subjekt, </w:t>
      </w:r>
      <w:r>
        <w:rPr>
          <w:rStyle w:val="Fett"/>
          <w:rFonts w:eastAsiaTheme="majorEastAsia"/>
          <w:rtl/>
        </w:rPr>
        <w:t>בְּכֹל מַעֲשֵׂה יָדֶיךָ</w:t>
      </w:r>
      <w:r>
        <w:t xml:space="preserve">, Präposition </w:t>
      </w:r>
      <w:r>
        <w:rPr>
          <w:rStyle w:val="Fett"/>
          <w:rFonts w:eastAsiaTheme="majorEastAsia"/>
          <w:rtl/>
        </w:rPr>
        <w:t>בְּ</w:t>
      </w:r>
      <w:r>
        <w:rPr>
          <w:rtl/>
        </w:rPr>
        <w:t xml:space="preserve"> </w:t>
      </w:r>
      <w:r>
        <w:t xml:space="preserve">mit </w:t>
      </w:r>
      <w:r>
        <w:rPr>
          <w:rStyle w:val="Fett"/>
          <w:rFonts w:eastAsiaTheme="majorEastAsia"/>
          <w:rtl/>
        </w:rPr>
        <w:t>כֹּל</w:t>
      </w:r>
      <w:r>
        <w:t xml:space="preserve">, </w:t>
      </w:r>
      <w:r>
        <w:rPr>
          <w:rStyle w:val="Fett"/>
          <w:rFonts w:eastAsiaTheme="majorEastAsia"/>
          <w:rtl/>
        </w:rPr>
        <w:t>מַעֲשֶׂה</w:t>
      </w:r>
      <w:r>
        <w:t xml:space="preserve">, „Werk, Tat", Construct mit </w:t>
      </w:r>
      <w:r>
        <w:rPr>
          <w:rStyle w:val="Fett"/>
          <w:rFonts w:eastAsiaTheme="majorEastAsia"/>
          <w:rtl/>
        </w:rPr>
        <w:t>יָד</w:t>
      </w:r>
      <w:r>
        <w:rPr>
          <w:rtl/>
        </w:rPr>
        <w:t xml:space="preserve"> </w:t>
      </w:r>
      <w:r>
        <w:t>Dual Construct mit Suffix 2. Person Maskulinum Singular).</w:t>
      </w:r>
    </w:p>
    <w:p w14:paraId="47EB2507" w14:textId="283932D4" w:rsidR="00166F02" w:rsidRDefault="00166F02" w:rsidP="00166F02">
      <w:pPr>
        <w:pStyle w:val="whitespace-normal"/>
      </w:pPr>
      <w:r>
        <w:t xml:space="preserve">Der Vers leitet einen Abschnitt über Nachlese-Rechte ein (V. 19-22). Die Bedingung: </w:t>
      </w:r>
      <w:r>
        <w:rPr>
          <w:rStyle w:val="Fett"/>
          <w:rFonts w:eastAsiaTheme="majorEastAsia"/>
          <w:rtl/>
        </w:rPr>
        <w:t>כִּי תִקְצֹר קְצִירְךָ בְשָׂדֶךָ וְשָׁכַחְתָּ עֹמֶר בַּשָּׂדֶה</w:t>
      </w:r>
      <w:r>
        <w:rPr>
          <w:rtl/>
        </w:rPr>
        <w:t xml:space="preserve"> </w:t>
      </w:r>
      <w:r>
        <w:t xml:space="preserve">(„wenn du erntest deine Ernte auf deinem Feld und vergisst eine Garbe auf dem Feld"). Die Figura etymologica </w:t>
      </w:r>
      <w:r>
        <w:rPr>
          <w:rStyle w:val="Fett"/>
          <w:rFonts w:eastAsiaTheme="majorEastAsia"/>
          <w:rtl/>
        </w:rPr>
        <w:t>תִקְצֹר קְצִירְךָ</w:t>
      </w:r>
      <w:r>
        <w:rPr>
          <w:rtl/>
        </w:rPr>
        <w:t xml:space="preserve"> </w:t>
      </w:r>
      <w:r>
        <w:t xml:space="preserve">(„ernten deine Ernte") betont die Handlung. Das Wort </w:t>
      </w:r>
      <w:r>
        <w:rPr>
          <w:rStyle w:val="Fett"/>
          <w:rFonts w:eastAsiaTheme="majorEastAsia"/>
          <w:rtl/>
        </w:rPr>
        <w:t>עֹמֶר</w:t>
      </w:r>
      <w:r>
        <w:rPr>
          <w:rtl/>
        </w:rPr>
        <w:t xml:space="preserve"> </w:t>
      </w:r>
      <w:r>
        <w:t xml:space="preserve">(„Garbe, Getreidebündel") ist ein gebundenes Bündel geernteter Halme. Das Verb </w:t>
      </w:r>
      <w:r>
        <w:rPr>
          <w:rStyle w:val="Fett"/>
          <w:rFonts w:eastAsiaTheme="majorEastAsia"/>
          <w:rtl/>
        </w:rPr>
        <w:t>שׁכח</w:t>
      </w:r>
      <w:r>
        <w:rPr>
          <w:rtl/>
        </w:rPr>
        <w:t xml:space="preserve"> </w:t>
      </w:r>
      <w:r>
        <w:t xml:space="preserve">(„vergessen") – unabsichtlich liegen lassen. Das Verbot: </w:t>
      </w:r>
      <w:r>
        <w:rPr>
          <w:rStyle w:val="Fett"/>
          <w:rFonts w:eastAsiaTheme="majorEastAsia"/>
          <w:rtl/>
        </w:rPr>
        <w:t>לֹא תָשׁוּב לְקַחְתּוֹ</w:t>
      </w:r>
      <w:r>
        <w:rPr>
          <w:rtl/>
        </w:rPr>
        <w:t xml:space="preserve"> </w:t>
      </w:r>
      <w:r>
        <w:t xml:space="preserve">(„nicht umkehren sollst du, sie zu holen"). Der Bauer darf nicht zurückgehen und die vergessene Garbe holen. Die positive Anweisung: </w:t>
      </w:r>
      <w:r>
        <w:rPr>
          <w:rStyle w:val="Fett"/>
          <w:rFonts w:eastAsiaTheme="majorEastAsia"/>
          <w:rtl/>
        </w:rPr>
        <w:t>לַגֵּר לַיָּתוֹם וְלָאַלְמָנָה יִהְיֶה</w:t>
      </w:r>
      <w:r>
        <w:rPr>
          <w:rtl/>
        </w:rPr>
        <w:t xml:space="preserve"> </w:t>
      </w:r>
      <w:r>
        <w:t xml:space="preserve">(„für den Fremdling, für die Waise und für die Witwe sein soll sie"). Die Trias </w:t>
      </w:r>
      <w:r>
        <w:rPr>
          <w:rStyle w:val="Fett"/>
          <w:rFonts w:eastAsiaTheme="majorEastAsia"/>
          <w:rtl/>
        </w:rPr>
        <w:t>גֵּר יָתוֹם אַלְמָנָה</w:t>
      </w:r>
      <w:r>
        <w:rPr>
          <w:rtl/>
        </w:rPr>
        <w:t xml:space="preserve"> </w:t>
      </w:r>
      <w:r>
        <w:t xml:space="preserve">wieder (vgl. V. 17). Die vergessene Garbe gehört den Armen und Rechtlosen. Die Begründung: </w:t>
      </w:r>
      <w:r>
        <w:rPr>
          <w:rStyle w:val="Fett"/>
          <w:rFonts w:eastAsiaTheme="majorEastAsia"/>
          <w:rtl/>
        </w:rPr>
        <w:t>לְמַעַן יְבָרֶכְךָ יְהוָה אֱלֹהֶיךָ בְּכֹל מַעֲשֵׂה יָדֶיךָ</w:t>
      </w:r>
      <w:r>
        <w:rPr>
          <w:rtl/>
        </w:rPr>
        <w:t xml:space="preserve"> </w:t>
      </w:r>
      <w:r>
        <w:t xml:space="preserve">(„damit segne dich JHWH, dein Gott, in allem Werk deiner Hände"). Der Finalsatz mit </w:t>
      </w:r>
      <w:r>
        <w:rPr>
          <w:rStyle w:val="Fett"/>
          <w:rFonts w:eastAsiaTheme="majorEastAsia"/>
          <w:rtl/>
        </w:rPr>
        <w:t>לְמַעַן</w:t>
      </w:r>
      <w:r>
        <w:rPr>
          <w:rtl/>
        </w:rPr>
        <w:t xml:space="preserve"> </w:t>
      </w:r>
      <w:r>
        <w:t xml:space="preserve">(„damit, auf dass") – göttlicher Segen als Motivation. Die Formulierung </w:t>
      </w:r>
      <w:r>
        <w:rPr>
          <w:rStyle w:val="Fett"/>
          <w:rFonts w:eastAsiaTheme="majorEastAsia"/>
          <w:rtl/>
        </w:rPr>
        <w:lastRenderedPageBreak/>
        <w:t>בְּכֹל מַעֲשֵׂה יָדֶיךָ</w:t>
      </w:r>
      <w:r>
        <w:rPr>
          <w:rtl/>
        </w:rPr>
        <w:t xml:space="preserve"> </w:t>
      </w:r>
      <w:r>
        <w:t xml:space="preserve">(„in allem Werk deiner Hände") umfasst alle Arbeit, alle wirtschaftlichen Aktivitäten. Vgl. Lev 19,9-10; 23,22 für ähnliche Nachlese-Gesetze (dort: Ecken des Feldes und </w:t>
      </w:r>
      <w:r w:rsidR="00D47758">
        <w:t>gefallen</w:t>
      </w:r>
      <w:r>
        <w:t>e Ähren). Historisches Beispiel: Rut 2,1-23 – Rut sammelt Ähren auf den Feldern Boas' nach dem Nachlese-Recht. V. 20-21 geben parallele Gesetze für Oliven und Weintrauben.</w:t>
      </w:r>
    </w:p>
    <w:p w14:paraId="6AAAEF9E" w14:textId="62F6C6CB" w:rsidR="00A600C6" w:rsidRDefault="00A600C6" w:rsidP="00166F02">
      <w:pPr>
        <w:pStyle w:val="whitespace-normal"/>
      </w:pPr>
      <w:r>
        <w:rPr>
          <w:rStyle w:val="Fett"/>
        </w:rPr>
        <w:t>Die LXX</w:t>
      </w:r>
      <w:r>
        <w:t xml:space="preserve"> übersetzt </w:t>
      </w:r>
      <w:r>
        <w:rPr>
          <w:rtl/>
        </w:rPr>
        <w:t>עֹמֶר</w:t>
      </w:r>
      <w:r>
        <w:t xml:space="preserve"> (Garbe) mit </w:t>
      </w:r>
      <w:proofErr w:type="spellStart"/>
      <w:r>
        <w:t>δράγμ</w:t>
      </w:r>
      <w:proofErr w:type="spellEnd"/>
      <w:r>
        <w:t>α (Bündel, Garbe) – eine präzise Entsprechung.</w:t>
      </w:r>
    </w:p>
    <w:p w14:paraId="22F863D2" w14:textId="77777777" w:rsidR="00166F02" w:rsidRDefault="00166F02" w:rsidP="00166F02">
      <w:pPr>
        <w:pStyle w:val="whitespace-normal"/>
      </w:pPr>
      <w:r>
        <w:rPr>
          <w:rStyle w:val="Fett"/>
          <w:rFonts w:eastAsiaTheme="majorEastAsia"/>
        </w:rPr>
        <w:t>Die Satzstruktur:</w:t>
      </w:r>
      <w:r>
        <w:t xml:space="preserve"> Bedingung mit drei Anweisungen (wenn du erntest deine Ernte auf deinem Feld und vergisst eine Garbe auf dem Feld, nicht umkehren sollst du, sie zu holen; für den Fremdling, für die Waise und für die Witwe sein soll sie, damit segne dich JHWH, dein Gott, in allem Werk deiner Hände).</w:t>
      </w:r>
    </w:p>
    <w:p w14:paraId="411B2CAB" w14:textId="78A9EE05" w:rsidR="00166F02" w:rsidRDefault="00166F02" w:rsidP="00AB12A0">
      <w:pPr>
        <w:pStyle w:val="whitespace-normal"/>
      </w:pPr>
      <w:r>
        <w:rPr>
          <w:rStyle w:val="Fett"/>
          <w:rFonts w:eastAsiaTheme="majorEastAsia"/>
        </w:rPr>
        <w:t>Der Vers beschreibt:</w:t>
      </w:r>
      <w:r>
        <w:t xml:space="preserve"> Nachlese-Recht für Getreide – vergessene Garben sollen nicht geholt werden, sondern gehören den Armen; dies führt zu göttlichem Segen.</w:t>
      </w:r>
    </w:p>
    <w:p w14:paraId="4A8D822C" w14:textId="77777777" w:rsidR="00166F02" w:rsidRPr="00713867" w:rsidRDefault="00166F02" w:rsidP="00B53ACC">
      <w:pPr>
        <w:pStyle w:val="Bibelberschrift"/>
      </w:pPr>
      <w:r w:rsidRPr="00713867">
        <w:rPr>
          <w:rStyle w:val="Fett"/>
          <w:b/>
          <w:bCs w:val="0"/>
        </w:rPr>
        <w:t>Deuteronomium 24,20</w:t>
      </w:r>
    </w:p>
    <w:p w14:paraId="31C7BAF6" w14:textId="77777777" w:rsidR="00166F02" w:rsidRDefault="00166F02" w:rsidP="00166F02">
      <w:pPr>
        <w:pStyle w:val="whitespace-normal"/>
      </w:pPr>
      <w:r>
        <w:rPr>
          <w:rStyle w:val="Fett"/>
          <w:rFonts w:eastAsiaTheme="majorEastAsia"/>
        </w:rPr>
        <w:t>Hebräisch:</w:t>
      </w:r>
      <w:r>
        <w:t xml:space="preserve"> </w:t>
      </w:r>
      <w:r>
        <w:rPr>
          <w:rtl/>
        </w:rPr>
        <w:t>כִּ֤י תַחְבֹּט֙ זֵֽיתְךָ֔ לֹ֥א תְפָאֵ֖ר אַחֲרֶ֑יךָ לַגֵּ֛ר לַיָּת֥וֹם וְלָאַלְמָנָ֖ה יִהְיֶֽה׃</w:t>
      </w:r>
    </w:p>
    <w:p w14:paraId="565C3533" w14:textId="77777777" w:rsidR="00166F02" w:rsidRDefault="00166F02" w:rsidP="00166F02">
      <w:pPr>
        <w:pStyle w:val="whitespace-normal"/>
      </w:pPr>
      <w:r>
        <w:rPr>
          <w:rStyle w:val="Fett"/>
          <w:rFonts w:eastAsiaTheme="majorEastAsia"/>
        </w:rPr>
        <w:t>Deutsch:</w:t>
      </w:r>
      <w:r>
        <w:t xml:space="preserve"> Wenn du deine Oliven abschlägst, sollst du nicht hinterher die Zweige absuchen; für den Fremdling, für die Waise und für die Witwe soll es sein.</w:t>
      </w:r>
    </w:p>
    <w:p w14:paraId="2A71CA75" w14:textId="77777777" w:rsidR="00166F02" w:rsidRDefault="004F5CEB" w:rsidP="00166F02">
      <w:r>
        <w:rPr>
          <w:noProof/>
        </w:rPr>
        <w:pict w14:anchorId="5B679978">
          <v:rect id="_x0000_i1670" style="width:0;height:1.5pt" o:hralign="center" o:hrstd="t" o:hr="t" fillcolor="#a0a0a0" stroked="f"/>
        </w:pict>
      </w:r>
    </w:p>
    <w:p w14:paraId="6A70B7AE"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כִּי תַחְבֹּט זֵיתְךָ לֹא תְפָאֵר אַחֲרֶיךָ לַגֵּר לַיָּתוֹם וְלָאַלְמָנָה יִהְיֶה</w:t>
      </w:r>
      <w:r>
        <w:rPr>
          <w:rtl/>
        </w:rPr>
        <w:t xml:space="preserve"> </w:t>
      </w:r>
      <w:r>
        <w:t xml:space="preserve">ist eine Bedingung mit zwei Anweisungen: </w:t>
      </w:r>
      <w:r>
        <w:rPr>
          <w:rStyle w:val="Fett"/>
          <w:rFonts w:eastAsiaTheme="majorEastAsia"/>
          <w:rtl/>
        </w:rPr>
        <w:t>כִּי תַחְבֹּט זֵיתְךָ</w:t>
      </w:r>
      <w:r>
        <w:rPr>
          <w:rtl/>
        </w:rPr>
        <w:t xml:space="preserve"> </w:t>
      </w:r>
      <w:r>
        <w:t>(</w:t>
      </w:r>
      <w:r>
        <w:rPr>
          <w:rStyle w:val="Fett"/>
          <w:rFonts w:eastAsiaTheme="majorEastAsia"/>
          <w:rtl/>
        </w:rPr>
        <w:t>כִּי</w:t>
      </w:r>
      <w:r>
        <w:rPr>
          <w:rtl/>
        </w:rPr>
        <w:t xml:space="preserve"> </w:t>
      </w:r>
      <w:r>
        <w:t xml:space="preserve">mit </w:t>
      </w:r>
      <w:r>
        <w:rPr>
          <w:rStyle w:val="Fett"/>
          <w:rFonts w:eastAsiaTheme="majorEastAsia"/>
          <w:rtl/>
        </w:rPr>
        <w:t>חבט</w:t>
      </w:r>
      <w:r>
        <w:t xml:space="preserve">, Qal Imperfekt, 2. Person Maskulinum Singular, „abschlagen, abklopfen" (Früchte vom Baum), </w:t>
      </w:r>
      <w:r>
        <w:rPr>
          <w:rStyle w:val="Fett"/>
          <w:rFonts w:eastAsiaTheme="majorEastAsia"/>
          <w:rtl/>
        </w:rPr>
        <w:t>זַיִת</w:t>
      </w:r>
      <w:r>
        <w:t xml:space="preserve">, „Olive, Olivenbaum", mit Suffix 2. Person Maskulinum Singular), </w:t>
      </w:r>
      <w:r>
        <w:rPr>
          <w:rStyle w:val="Fett"/>
          <w:rFonts w:eastAsiaTheme="majorEastAsia"/>
          <w:rtl/>
        </w:rPr>
        <w:t>לֹא תְפָאֵר אַחֲרֶיךָ</w:t>
      </w:r>
      <w:r>
        <w:rPr>
          <w:rtl/>
        </w:rPr>
        <w:t xml:space="preserve"> </w:t>
      </w:r>
      <w:r>
        <w:t xml:space="preserve">(Negation mit </w:t>
      </w:r>
      <w:r>
        <w:rPr>
          <w:rStyle w:val="Fett"/>
          <w:rFonts w:eastAsiaTheme="majorEastAsia"/>
          <w:rtl/>
        </w:rPr>
        <w:t>פאר</w:t>
      </w:r>
      <w:r>
        <w:t xml:space="preserve">, Piel Imperfekt, 2. Person Maskulinum Singular, „verherrlichen" (im Qal), hier im Piel wahrscheinlich: „absuchen, durchsuchen, vollständig ernten", </w:t>
      </w:r>
      <w:r>
        <w:rPr>
          <w:rStyle w:val="Fett"/>
          <w:rFonts w:eastAsiaTheme="majorEastAsia"/>
          <w:rtl/>
        </w:rPr>
        <w:t>אַחֲרֶיךָ</w:t>
      </w:r>
      <w:r>
        <w:t xml:space="preserve">, Präposition </w:t>
      </w:r>
      <w:r>
        <w:rPr>
          <w:rStyle w:val="Fett"/>
          <w:rFonts w:eastAsiaTheme="majorEastAsia"/>
          <w:rtl/>
        </w:rPr>
        <w:t>אַחַר</w:t>
      </w:r>
      <w:r>
        <w:rPr>
          <w:rtl/>
        </w:rPr>
        <w:t xml:space="preserve"> </w:t>
      </w:r>
      <w:r>
        <w:t xml:space="preserve">Plural Construct mit Suffix 2. Person Maskulinum Singular – „hinter dir, nach dir"), </w:t>
      </w:r>
      <w:r>
        <w:rPr>
          <w:rStyle w:val="Fett"/>
          <w:rFonts w:eastAsiaTheme="majorEastAsia"/>
          <w:rtl/>
        </w:rPr>
        <w:t>לַגֵּר לַיָּתוֹם וְלָאַלְמָנָה יִהְיֶה</w:t>
      </w:r>
      <w:r>
        <w:rPr>
          <w:rtl/>
        </w:rPr>
        <w:t xml:space="preserve"> </w:t>
      </w:r>
      <w:r>
        <w:t>(wie V. 19).</w:t>
      </w:r>
    </w:p>
    <w:p w14:paraId="01436B80" w14:textId="2FC98298" w:rsidR="00166F02" w:rsidRDefault="00166F02" w:rsidP="00166F02">
      <w:pPr>
        <w:pStyle w:val="whitespace-normal"/>
      </w:pPr>
      <w:r>
        <w:t xml:space="preserve">Der Vers gibt ein paralleles Nachlese-Recht für Olivenernte. Die Bedingung: </w:t>
      </w:r>
      <w:r>
        <w:rPr>
          <w:rStyle w:val="Fett"/>
          <w:rFonts w:eastAsiaTheme="majorEastAsia"/>
          <w:rtl/>
        </w:rPr>
        <w:t>כִּי תַחְבֹּט זֵיתְךָ</w:t>
      </w:r>
      <w:r>
        <w:rPr>
          <w:rtl/>
        </w:rPr>
        <w:t xml:space="preserve"> </w:t>
      </w:r>
      <w:r>
        <w:t xml:space="preserve">(„wenn du abschlägst deinen Olivenbaum"). Das Verb </w:t>
      </w:r>
      <w:r>
        <w:rPr>
          <w:rStyle w:val="Fett"/>
          <w:rFonts w:eastAsiaTheme="majorEastAsia"/>
          <w:rtl/>
        </w:rPr>
        <w:t>חבט</w:t>
      </w:r>
      <w:r>
        <w:rPr>
          <w:rtl/>
        </w:rPr>
        <w:t xml:space="preserve"> </w:t>
      </w:r>
      <w:r>
        <w:t xml:space="preserve">(„abschlagen, abklopfen") beschreibt das Ernten von Oliven: Man schlug mit Stöcken gegen die Zweige, sodass die Oliven herunterfielen (vgl. Jes 24,13 für dieselbe Technik). Das Verbot: </w:t>
      </w:r>
      <w:r>
        <w:rPr>
          <w:rStyle w:val="Fett"/>
          <w:rFonts w:eastAsiaTheme="majorEastAsia"/>
          <w:rtl/>
        </w:rPr>
        <w:t>לֹא תְפָאֵר אַחֲרֶיךָ</w:t>
      </w:r>
      <w:r>
        <w:rPr>
          <w:rtl/>
        </w:rPr>
        <w:t xml:space="preserve"> </w:t>
      </w:r>
      <w:r>
        <w:t xml:space="preserve">(„nicht absuchen sollst du hinter dir"). Das Verb </w:t>
      </w:r>
      <w:r>
        <w:rPr>
          <w:rStyle w:val="Fett"/>
          <w:rFonts w:eastAsiaTheme="majorEastAsia"/>
          <w:rtl/>
        </w:rPr>
        <w:t>פאר</w:t>
      </w:r>
      <w:r>
        <w:rPr>
          <w:rtl/>
        </w:rPr>
        <w:t xml:space="preserve"> </w:t>
      </w:r>
      <w:r>
        <w:t xml:space="preserve">im Piel ist schwierig; die übliche Bedeutung ist „verherrlichen, schmücken", aber hier im landwirtschaftlichen Kontext wahrscheinlich: „gründlich durchsuchen, vollständig ernten, absuchen". Das Adverb </w:t>
      </w:r>
      <w:r>
        <w:rPr>
          <w:rStyle w:val="Fett"/>
          <w:rFonts w:eastAsiaTheme="majorEastAsia"/>
          <w:rtl/>
        </w:rPr>
        <w:t>אַחֲרֶיךָ</w:t>
      </w:r>
      <w:r>
        <w:rPr>
          <w:rtl/>
        </w:rPr>
        <w:t xml:space="preserve"> </w:t>
      </w:r>
      <w:r>
        <w:t xml:space="preserve">(„hinter dir, nach dir") – nach der ersten Ernte. Der Bauer soll nicht zurückgehen und die Zweige systematisch nach übrig gebliebenen Oliven absuchen. Die positive Anweisung: </w:t>
      </w:r>
      <w:r>
        <w:rPr>
          <w:rStyle w:val="Fett"/>
          <w:rFonts w:eastAsiaTheme="majorEastAsia"/>
          <w:rtl/>
        </w:rPr>
        <w:t>לַגֵּר לַיָּתוֹם וְלָאַלְמָנָה יִהְיֶה</w:t>
      </w:r>
      <w:r>
        <w:rPr>
          <w:rtl/>
        </w:rPr>
        <w:t xml:space="preserve"> </w:t>
      </w:r>
      <w:r>
        <w:t>(„für den Fremdling, für die Waise und für die Witwe sein soll es"). Die übrig gebliebenen Oliven gehören den Armen. V. 21 wird ein paralleles Gesetz für Weintrauben geben.</w:t>
      </w:r>
    </w:p>
    <w:p w14:paraId="60A3C0C2" w14:textId="5BFCAEA0" w:rsidR="00A600C6" w:rsidRDefault="00A600C6" w:rsidP="00166F02">
      <w:pPr>
        <w:pStyle w:val="whitespace-normal"/>
      </w:pPr>
      <w:r>
        <w:rPr>
          <w:rStyle w:val="Fett"/>
        </w:rPr>
        <w:t>Die LXX</w:t>
      </w:r>
      <w:r>
        <w:t xml:space="preserve"> übersetzt </w:t>
      </w:r>
      <w:r>
        <w:rPr>
          <w:rtl/>
        </w:rPr>
        <w:t>כִּי תַחְבֹּט זֵיתְךָ</w:t>
      </w:r>
      <w:r>
        <w:t xml:space="preserve"> (wenn du deinen Olivenbaum abklopfst) mit </w:t>
      </w:r>
      <w:proofErr w:type="spellStart"/>
      <w:r>
        <w:t>ἐὰν</w:t>
      </w:r>
      <w:proofErr w:type="spellEnd"/>
      <w:r>
        <w:t xml:space="preserve"> </w:t>
      </w:r>
      <w:proofErr w:type="spellStart"/>
      <w:r>
        <w:t>δὲ</w:t>
      </w:r>
      <w:proofErr w:type="spellEnd"/>
      <w:r>
        <w:t xml:space="preserve"> </w:t>
      </w:r>
      <w:proofErr w:type="spellStart"/>
      <w:r>
        <w:t>ἐλ</w:t>
      </w:r>
      <w:proofErr w:type="spellEnd"/>
      <w:r>
        <w:t xml:space="preserve">αιολογήσῃς (wenn du aber Oliven sammelst) – ein zusammengesetztes Verb. Das Verb </w:t>
      </w:r>
      <w:r>
        <w:rPr>
          <w:rtl/>
        </w:rPr>
        <w:t xml:space="preserve">לֹא </w:t>
      </w:r>
      <w:r>
        <w:rPr>
          <w:rtl/>
        </w:rPr>
        <w:lastRenderedPageBreak/>
        <w:t>תְפָאֵר</w:t>
      </w:r>
      <w:r>
        <w:t xml:space="preserve"> (du sollst nicht nachsuchen/nachlesen) wird mit </w:t>
      </w:r>
      <w:proofErr w:type="spellStart"/>
      <w:r>
        <w:t>οὐκ</w:t>
      </w:r>
      <w:proofErr w:type="spellEnd"/>
      <w:r>
        <w:t xml:space="preserve"> ἐπανα</w:t>
      </w:r>
      <w:proofErr w:type="spellStart"/>
      <w:r>
        <w:t>στρέψεις</w:t>
      </w:r>
      <w:proofErr w:type="spellEnd"/>
      <w:r>
        <w:t xml:space="preserve"> καλα</w:t>
      </w:r>
      <w:proofErr w:type="spellStart"/>
      <w:r>
        <w:t>μήσ</w:t>
      </w:r>
      <w:proofErr w:type="spellEnd"/>
      <w:r>
        <w:t>ασθαι (du wirst nicht zurückkehren, um nachzulesen) wiedergegeben – eine Verdeutlichung durch zwei Verben. Die LXX fügt am Ende eine Erinnerung an die ägyptische Sklaverei hinzu, die im MT erst in Vers 22 kommt.</w:t>
      </w:r>
    </w:p>
    <w:p w14:paraId="127FC673" w14:textId="77777777" w:rsidR="00166F02" w:rsidRDefault="00166F02" w:rsidP="00166F02">
      <w:pPr>
        <w:pStyle w:val="whitespace-normal"/>
      </w:pPr>
      <w:r>
        <w:rPr>
          <w:rStyle w:val="Fett"/>
          <w:rFonts w:eastAsiaTheme="majorEastAsia"/>
        </w:rPr>
        <w:t>Die Satzstruktur:</w:t>
      </w:r>
      <w:r>
        <w:t xml:space="preserve"> Bedingung mit zwei Anweisungen (wenn du abschlägst deinen Olivenbaum, nicht absuchen sollst du hinter dir; für den Fremdling, für die Waise und für die Witwe sein soll es).</w:t>
      </w:r>
    </w:p>
    <w:p w14:paraId="7C35E0AE" w14:textId="3E7D2641" w:rsidR="00166F02" w:rsidRDefault="00166F02" w:rsidP="00AB12A0">
      <w:pPr>
        <w:pStyle w:val="whitespace-normal"/>
      </w:pPr>
      <w:r>
        <w:rPr>
          <w:rStyle w:val="Fett"/>
          <w:rFonts w:eastAsiaTheme="majorEastAsia"/>
        </w:rPr>
        <w:t>Der Vers beschreibt:</w:t>
      </w:r>
      <w:r>
        <w:t xml:space="preserve"> Nachlese-Recht für Oliven – nach dem Abschlagen soll man nicht die Zweige absuchen; die übrigen Oliven gehören den Armen.</w:t>
      </w:r>
    </w:p>
    <w:p w14:paraId="39F96B66" w14:textId="77777777" w:rsidR="00166F02" w:rsidRPr="00713867" w:rsidRDefault="00166F02" w:rsidP="00B53ACC">
      <w:pPr>
        <w:pStyle w:val="Bibelberschrift"/>
      </w:pPr>
      <w:r w:rsidRPr="00713867">
        <w:rPr>
          <w:rStyle w:val="Fett"/>
          <w:b/>
          <w:bCs w:val="0"/>
        </w:rPr>
        <w:t>Deuteronomium 24,21</w:t>
      </w:r>
    </w:p>
    <w:p w14:paraId="3099E905" w14:textId="77777777" w:rsidR="00166F02" w:rsidRDefault="00166F02" w:rsidP="00166F02">
      <w:pPr>
        <w:pStyle w:val="whitespace-normal"/>
      </w:pPr>
      <w:r>
        <w:rPr>
          <w:rStyle w:val="Fett"/>
          <w:rFonts w:eastAsiaTheme="majorEastAsia"/>
        </w:rPr>
        <w:t>Hebräisch:</w:t>
      </w:r>
      <w:r>
        <w:t xml:space="preserve"> </w:t>
      </w:r>
      <w:r>
        <w:rPr>
          <w:rtl/>
        </w:rPr>
        <w:t>כִּ֤י תִבְצֹר֙ כַּרְמְךָ֔ לֹ֥א תְעוֹלֵ֖ל אַחֲרֶ֑יךָ לַגֵּ֛ר לַיָּת֥וֹם וְלָאַלְמָנָ֖ה יִהְיֶֽה׃</w:t>
      </w:r>
    </w:p>
    <w:p w14:paraId="1B8D2ACD" w14:textId="77777777" w:rsidR="00166F02" w:rsidRDefault="00166F02" w:rsidP="00166F02">
      <w:pPr>
        <w:pStyle w:val="whitespace-normal"/>
      </w:pPr>
      <w:r>
        <w:rPr>
          <w:rStyle w:val="Fett"/>
          <w:rFonts w:eastAsiaTheme="majorEastAsia"/>
        </w:rPr>
        <w:t>Deutsch:</w:t>
      </w:r>
      <w:r>
        <w:t xml:space="preserve"> Wenn du deinen Weinberg erntest, sollst du nicht hinterher Nachlese halten; für den Fremdling, für die Waise und für die Witwe soll es sein.</w:t>
      </w:r>
    </w:p>
    <w:p w14:paraId="11AFC6FA" w14:textId="77777777" w:rsidR="00166F02" w:rsidRDefault="004F5CEB" w:rsidP="00166F02">
      <w:r>
        <w:rPr>
          <w:noProof/>
        </w:rPr>
        <w:pict w14:anchorId="743D27D3">
          <v:rect id="_x0000_i1671" style="width:0;height:1.5pt" o:hralign="center" o:hrstd="t" o:hr="t" fillcolor="#a0a0a0" stroked="f"/>
        </w:pict>
      </w:r>
    </w:p>
    <w:p w14:paraId="1F7129C2"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כִּי תִבְצֹר כַּרְמְךָ לֹא תְעוֹלֵל אַחֲרֶיךָ לַגֵּר לַיָּתוֹם וְלָאַלְמָנָה יִהְיֶה</w:t>
      </w:r>
      <w:r>
        <w:rPr>
          <w:rtl/>
        </w:rPr>
        <w:t xml:space="preserve"> </w:t>
      </w:r>
      <w:r>
        <w:t xml:space="preserve">ist eine Bedingung mit zwei Anweisungen: </w:t>
      </w:r>
      <w:r>
        <w:rPr>
          <w:rStyle w:val="Fett"/>
          <w:rFonts w:eastAsiaTheme="majorEastAsia"/>
          <w:rtl/>
        </w:rPr>
        <w:t>כִּי תִבְצֹר כַּרְמְךָ</w:t>
      </w:r>
      <w:r>
        <w:rPr>
          <w:rtl/>
        </w:rPr>
        <w:t xml:space="preserve"> </w:t>
      </w:r>
      <w:r>
        <w:t>(</w:t>
      </w:r>
      <w:r>
        <w:rPr>
          <w:rStyle w:val="Fett"/>
          <w:rFonts w:eastAsiaTheme="majorEastAsia"/>
          <w:rtl/>
        </w:rPr>
        <w:t>כִּי</w:t>
      </w:r>
      <w:r>
        <w:rPr>
          <w:rtl/>
        </w:rPr>
        <w:t xml:space="preserve"> </w:t>
      </w:r>
      <w:r>
        <w:t xml:space="preserve">mit </w:t>
      </w:r>
      <w:r>
        <w:rPr>
          <w:rStyle w:val="Fett"/>
          <w:rFonts w:eastAsiaTheme="majorEastAsia"/>
          <w:rtl/>
        </w:rPr>
        <w:t>בצר</w:t>
      </w:r>
      <w:r>
        <w:t xml:space="preserve">, Qal Imperfekt, 2. Person Maskulinum Singular, „ernten, Weinlese halten", </w:t>
      </w:r>
      <w:r>
        <w:rPr>
          <w:rStyle w:val="Fett"/>
          <w:rFonts w:eastAsiaTheme="majorEastAsia"/>
          <w:rtl/>
        </w:rPr>
        <w:t>כֶּרֶם</w:t>
      </w:r>
      <w:r>
        <w:t xml:space="preserve">, „Weinberg", mit Suffix 2. Person Maskulinum Singular), </w:t>
      </w:r>
      <w:r>
        <w:rPr>
          <w:rStyle w:val="Fett"/>
          <w:rFonts w:eastAsiaTheme="majorEastAsia"/>
          <w:rtl/>
        </w:rPr>
        <w:t>לֹא תְעוֹלֵל אַחֲרֶיךָ</w:t>
      </w:r>
      <w:r>
        <w:rPr>
          <w:rtl/>
        </w:rPr>
        <w:t xml:space="preserve"> </w:t>
      </w:r>
      <w:r>
        <w:t xml:space="preserve">(Negation mit </w:t>
      </w:r>
      <w:r>
        <w:rPr>
          <w:rStyle w:val="Fett"/>
          <w:rFonts w:eastAsiaTheme="majorEastAsia"/>
          <w:rtl/>
        </w:rPr>
        <w:t>עלל</w:t>
      </w:r>
      <w:r>
        <w:t xml:space="preserve">, Poel Imperfekt, 2. Person Maskulinum Singular, „Nachlese halten, nachsammeln" (Früchte, die bei der ersten Ernte übrig geblieben sind), </w:t>
      </w:r>
      <w:r>
        <w:rPr>
          <w:rStyle w:val="Fett"/>
          <w:rFonts w:eastAsiaTheme="majorEastAsia"/>
          <w:rtl/>
        </w:rPr>
        <w:t>אַחֲרֶיךָ</w:t>
      </w:r>
      <w:r>
        <w:t xml:space="preserve">), </w:t>
      </w:r>
      <w:r>
        <w:rPr>
          <w:rStyle w:val="Fett"/>
          <w:rFonts w:eastAsiaTheme="majorEastAsia"/>
          <w:rtl/>
        </w:rPr>
        <w:t>לַגֵּר לַיָּתוֹם וְלָאַלְמָנָה יִהְיֶה</w:t>
      </w:r>
      <w:r>
        <w:rPr>
          <w:rtl/>
        </w:rPr>
        <w:t xml:space="preserve"> </w:t>
      </w:r>
      <w:r>
        <w:t>(wie V. 19.20).</w:t>
      </w:r>
    </w:p>
    <w:p w14:paraId="535BAF26" w14:textId="34EBBF47" w:rsidR="00166F02" w:rsidRDefault="00166F02" w:rsidP="00166F02">
      <w:pPr>
        <w:pStyle w:val="whitespace-normal"/>
      </w:pPr>
      <w:r>
        <w:t xml:space="preserve">Der Vers gibt ein paralleles Nachlese-Recht für Weinlese. Die Bedingung: </w:t>
      </w:r>
      <w:r>
        <w:rPr>
          <w:rStyle w:val="Fett"/>
          <w:rFonts w:eastAsiaTheme="majorEastAsia"/>
          <w:rtl/>
        </w:rPr>
        <w:t>כִּי תִבְצֹר כַּרְמְךָ</w:t>
      </w:r>
      <w:r>
        <w:rPr>
          <w:rtl/>
        </w:rPr>
        <w:t xml:space="preserve"> </w:t>
      </w:r>
      <w:r>
        <w:t xml:space="preserve">(„wenn du erntest deinen Weinberg"). Das Verb </w:t>
      </w:r>
      <w:r>
        <w:rPr>
          <w:rStyle w:val="Fett"/>
          <w:rFonts w:eastAsiaTheme="majorEastAsia"/>
          <w:rtl/>
        </w:rPr>
        <w:t>בצר</w:t>
      </w:r>
      <w:r>
        <w:rPr>
          <w:rtl/>
        </w:rPr>
        <w:t xml:space="preserve"> </w:t>
      </w:r>
      <w:r>
        <w:t xml:space="preserve">(„ernten, Weinlese halten") ist spezifisch für Weintraubenernte. Das Verbot: </w:t>
      </w:r>
      <w:r>
        <w:rPr>
          <w:rStyle w:val="Fett"/>
          <w:rFonts w:eastAsiaTheme="majorEastAsia"/>
          <w:rtl/>
        </w:rPr>
        <w:t>לֹא תְעוֹלֵל אַחֲרֶיךָ</w:t>
      </w:r>
      <w:r>
        <w:rPr>
          <w:rtl/>
        </w:rPr>
        <w:t xml:space="preserve"> </w:t>
      </w:r>
      <w:r>
        <w:t xml:space="preserve">(„nicht Nachlese halten sollst du hinter dir"). Das Verb </w:t>
      </w:r>
      <w:r>
        <w:rPr>
          <w:rStyle w:val="Fett"/>
          <w:rFonts w:eastAsiaTheme="majorEastAsia"/>
          <w:rtl/>
        </w:rPr>
        <w:t>עלל</w:t>
      </w:r>
      <w:r>
        <w:rPr>
          <w:rtl/>
        </w:rPr>
        <w:t xml:space="preserve"> </w:t>
      </w:r>
      <w:r>
        <w:t xml:space="preserve">im Poel („Nachlese halten, nachsammeln") bezeichnet das systematische Sammeln der bei der ersten Ernte übrig gebliebenen Trauben. Der Winzer soll nicht zurückgehen und die übrigen Trauben sammeln. Die positive Anweisung: </w:t>
      </w:r>
      <w:r>
        <w:rPr>
          <w:rStyle w:val="Fett"/>
          <w:rFonts w:eastAsiaTheme="majorEastAsia"/>
          <w:rtl/>
        </w:rPr>
        <w:t>לַגֵּר לַיָּתוֹם וְלָאַלְמָנָה יִהְיֶה</w:t>
      </w:r>
      <w:r>
        <w:rPr>
          <w:rtl/>
        </w:rPr>
        <w:t xml:space="preserve"> </w:t>
      </w:r>
      <w:r>
        <w:t xml:space="preserve">(„für den Fremdling, für die Waise und für die Witwe sein soll es"). Die übrig gebliebenen Trauben gehören den Armen. Vgl. Lev 19,10 für ein ähnliches Gesetz (dort: einzelne Trauben und </w:t>
      </w:r>
      <w:r w:rsidR="00D47758">
        <w:t>gefallen</w:t>
      </w:r>
      <w:r>
        <w:t>e Trauben). Historisches Beispiel: In Ri 8,2 werden die Nachlese Ephraims mit der Haupternte Abiesers verglichen (metaphorisch). Die drei Nachlese-Gesetze (V. 19-21) decken die drei Haupternten Israels ab: Getreide (Gerste, Weizen), Oliven, Weintrauben. V. 22 wird die Begründung wiederholen.</w:t>
      </w:r>
    </w:p>
    <w:p w14:paraId="73E7D4E0" w14:textId="22E3B33F" w:rsidR="00A600C6" w:rsidRDefault="00A600C6" w:rsidP="00166F02">
      <w:pPr>
        <w:pStyle w:val="whitespace-normal"/>
      </w:pPr>
      <w:r>
        <w:rPr>
          <w:rStyle w:val="Fett"/>
        </w:rPr>
        <w:t>Die LXX</w:t>
      </w:r>
      <w:r>
        <w:t xml:space="preserve"> übersetzt </w:t>
      </w:r>
      <w:r>
        <w:rPr>
          <w:rtl/>
        </w:rPr>
        <w:t>לֹא תְעוֹלֵל</w:t>
      </w:r>
      <w:r>
        <w:t xml:space="preserve"> (du sollst nicht Nachlese halten) mit </w:t>
      </w:r>
      <w:proofErr w:type="spellStart"/>
      <w:r>
        <w:t>οὐκ</w:t>
      </w:r>
      <w:proofErr w:type="spellEnd"/>
      <w:r>
        <w:t xml:space="preserve"> ἐπανα</w:t>
      </w:r>
      <w:proofErr w:type="spellStart"/>
      <w:r>
        <w:t>τρυγήσεις</w:t>
      </w:r>
      <w:proofErr w:type="spellEnd"/>
      <w:r>
        <w:t xml:space="preserve"> (du wirst nicht wieder lesen/ernten) – ein zusammengesetztes Verb, das die wiederholte Ernte betont.</w:t>
      </w:r>
    </w:p>
    <w:p w14:paraId="7F5B1D11" w14:textId="77777777" w:rsidR="00166F02" w:rsidRDefault="00166F02" w:rsidP="00166F02">
      <w:pPr>
        <w:pStyle w:val="whitespace-normal"/>
      </w:pPr>
      <w:r>
        <w:rPr>
          <w:rStyle w:val="Fett"/>
          <w:rFonts w:eastAsiaTheme="majorEastAsia"/>
        </w:rPr>
        <w:lastRenderedPageBreak/>
        <w:t>Die Satzstruktur:</w:t>
      </w:r>
      <w:r>
        <w:t xml:space="preserve"> Bedingung mit zwei Anweisungen (wenn du erntest deinen Weinberg, nicht Nachlese halten sollst du hinter dir; für den Fremdling, für die Waise und für die Witwe sein soll es).</w:t>
      </w:r>
    </w:p>
    <w:p w14:paraId="2453BDCC" w14:textId="18CF2A31" w:rsidR="00166F02" w:rsidRDefault="00166F02" w:rsidP="00AB12A0">
      <w:pPr>
        <w:pStyle w:val="whitespace-normal"/>
      </w:pPr>
      <w:r>
        <w:rPr>
          <w:rStyle w:val="Fett"/>
          <w:rFonts w:eastAsiaTheme="majorEastAsia"/>
        </w:rPr>
        <w:t>Der Vers beschreibt:</w:t>
      </w:r>
      <w:r>
        <w:t xml:space="preserve"> Nachlese-Recht für Weintrauben – nach der Weinlese soll man nicht nachsammeln; die übrigen Trauben gehören den Armen.</w:t>
      </w:r>
    </w:p>
    <w:p w14:paraId="3BA50870" w14:textId="77777777" w:rsidR="00166F02" w:rsidRPr="00713867" w:rsidRDefault="00166F02" w:rsidP="00B53ACC">
      <w:pPr>
        <w:pStyle w:val="Bibelberschrift"/>
      </w:pPr>
      <w:r w:rsidRPr="00713867">
        <w:rPr>
          <w:rStyle w:val="Fett"/>
          <w:b/>
          <w:bCs w:val="0"/>
        </w:rPr>
        <w:t>Deuteronomium 24,22</w:t>
      </w:r>
    </w:p>
    <w:p w14:paraId="4541758C" w14:textId="77777777" w:rsidR="00166F02" w:rsidRDefault="00166F02" w:rsidP="00166F02">
      <w:pPr>
        <w:pStyle w:val="whitespace-normal"/>
      </w:pPr>
      <w:r>
        <w:rPr>
          <w:rStyle w:val="Fett"/>
          <w:rFonts w:eastAsiaTheme="majorEastAsia"/>
        </w:rPr>
        <w:t>Hebräisch:</w:t>
      </w:r>
      <w:r>
        <w:t xml:space="preserve"> </w:t>
      </w:r>
      <w:r>
        <w:rPr>
          <w:rtl/>
        </w:rPr>
        <w:t>וְזָ֣כַרְתָּ֔ כִּי־עֶ֥בֶד הָיִ֖יתָ בְּאֶ֣רֶץ מִצְרָ֑יִם עַל־כֵּ֞ן אָנֹכִ֤י מְצַוְּךָ֙ לַעֲשׂ֔וֹת אֶת־הַדָּבָ֖ר הַזֶּֽה׃</w:t>
      </w:r>
    </w:p>
    <w:p w14:paraId="7B4752EC" w14:textId="77777777" w:rsidR="00166F02" w:rsidRDefault="00166F02" w:rsidP="00166F02">
      <w:pPr>
        <w:pStyle w:val="whitespace-normal"/>
      </w:pPr>
      <w:r>
        <w:rPr>
          <w:rStyle w:val="Fett"/>
          <w:rFonts w:eastAsiaTheme="majorEastAsia"/>
        </w:rPr>
        <w:t>Deutsch:</w:t>
      </w:r>
      <w:r>
        <w:t xml:space="preserve"> Und du sollst daran denken, dass du Knecht warst im Land Ägypten; darum gebiete ich dir, dies zu tun.</w:t>
      </w:r>
    </w:p>
    <w:p w14:paraId="7A452A7B" w14:textId="77777777" w:rsidR="00166F02" w:rsidRDefault="004F5CEB" w:rsidP="00166F02">
      <w:r>
        <w:rPr>
          <w:noProof/>
        </w:rPr>
        <w:pict w14:anchorId="1A91E04F">
          <v:rect id="_x0000_i1672" style="width:0;height:1.5pt" o:hralign="center" o:hrstd="t" o:hr="t" fillcolor="#a0a0a0" stroked="f"/>
        </w:pict>
      </w:r>
    </w:p>
    <w:p w14:paraId="4A7BAF89"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וְזָכַרְתָּ כִּי־עֶבֶד הָיִיתָ בְּאֶרֶץ מִצְרָיִם עַל־כֵּן אָנֹכִי מְצַוְּךָ לַעֲשׂוֹת אֶת־הַדָּבָר הַזֶּה</w:t>
      </w:r>
      <w:r>
        <w:rPr>
          <w:rtl/>
        </w:rPr>
        <w:t xml:space="preserve"> </w:t>
      </w:r>
      <w:r>
        <w:t xml:space="preserve">ist die Begründung: </w:t>
      </w:r>
      <w:r>
        <w:rPr>
          <w:rStyle w:val="Fett"/>
          <w:rFonts w:eastAsiaTheme="majorEastAsia"/>
          <w:rtl/>
        </w:rPr>
        <w:t>וְזָכַרְתָּ כִּי־עֶבֶד הָיִיתָ בְּאֶרֶץ מִצְרָיִם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זכר</w:t>
      </w:r>
      <w:r>
        <w:t xml:space="preserve">, Qal Perfekt, 2. Person Maskulinum Singular, Objektsatz: </w:t>
      </w:r>
      <w:r>
        <w:rPr>
          <w:rStyle w:val="Fett"/>
          <w:rFonts w:eastAsiaTheme="majorEastAsia"/>
          <w:rtl/>
        </w:rPr>
        <w:t>כִּי־עֶבֶד הָיִיתָ בְּאֶרֶץ מִצְרָיִם</w:t>
      </w:r>
      <w:r>
        <w:rPr>
          <w:rtl/>
        </w:rPr>
        <w:t xml:space="preserve"> </w:t>
      </w:r>
      <w:r>
        <w:t xml:space="preserve">– fast identisch mit V. 18, aber </w:t>
      </w:r>
      <w:r>
        <w:rPr>
          <w:rStyle w:val="Fett"/>
          <w:rFonts w:eastAsiaTheme="majorEastAsia"/>
          <w:rtl/>
        </w:rPr>
        <w:t>בְּאֶרֶץ מִצְרָיִם</w:t>
      </w:r>
      <w:r>
        <w:rPr>
          <w:rtl/>
        </w:rPr>
        <w:t xml:space="preserve"> </w:t>
      </w:r>
      <w:r>
        <w:t xml:space="preserve">statt </w:t>
      </w:r>
      <w:r>
        <w:rPr>
          <w:rStyle w:val="Fett"/>
          <w:rFonts w:eastAsiaTheme="majorEastAsia"/>
          <w:rtl/>
        </w:rPr>
        <w:t>בְּמִצְרַיִם</w:t>
      </w:r>
      <w:r>
        <w:t xml:space="preserve">, mit </w:t>
      </w:r>
      <w:r>
        <w:rPr>
          <w:rStyle w:val="Fett"/>
          <w:rFonts w:eastAsiaTheme="majorEastAsia"/>
        </w:rPr>
        <w:t>Waw</w:t>
      </w:r>
      <w:r>
        <w:t xml:space="preserve"> consecutives Perfekt), </w:t>
      </w:r>
      <w:r>
        <w:rPr>
          <w:rStyle w:val="Fett"/>
          <w:rFonts w:eastAsiaTheme="majorEastAsia"/>
          <w:rtl/>
        </w:rPr>
        <w:t>עַל־כֵּן אָנֹכִי מְצַוְּךָ לַעֲשׂוֹת אֶת־הַדָּבָר הַזֶּה</w:t>
      </w:r>
      <w:r>
        <w:rPr>
          <w:rtl/>
        </w:rPr>
        <w:t xml:space="preserve"> </w:t>
      </w:r>
      <w:r>
        <w:t>(identisch mit V. 18).</w:t>
      </w:r>
    </w:p>
    <w:p w14:paraId="060A088B" w14:textId="657E517A" w:rsidR="00166F02" w:rsidRDefault="00166F02" w:rsidP="00166F02">
      <w:pPr>
        <w:pStyle w:val="whitespace-normal"/>
      </w:pPr>
      <w:r>
        <w:t xml:space="preserve">Der Vers schließt den Abschnitt über soziale Gerechtigkeit (V. 17-21) mit derselben Begründung wie V. 18. Die Erinnerung: </w:t>
      </w:r>
      <w:r>
        <w:rPr>
          <w:rStyle w:val="Fett"/>
          <w:rFonts w:eastAsiaTheme="majorEastAsia"/>
          <w:rtl/>
        </w:rPr>
        <w:t>וְזָכַרְתָּ כִּי־עֶבֶד הָיִיתָ בְּאֶרֶץ מִצְרָיִם</w:t>
      </w:r>
      <w:r>
        <w:rPr>
          <w:rtl/>
        </w:rPr>
        <w:t xml:space="preserve"> </w:t>
      </w:r>
      <w:r>
        <w:t>(„und denken sollst du daran, dass Knecht warst du im Land Ägypten"). Dieselbe Formulierung wie V. 18, mit minimaler Variation (</w:t>
      </w:r>
      <w:r>
        <w:rPr>
          <w:rStyle w:val="Fett"/>
          <w:rFonts w:eastAsiaTheme="majorEastAsia"/>
          <w:rtl/>
        </w:rPr>
        <w:t>בְּאֶרֶץ מִצְרָיִם</w:t>
      </w:r>
      <w:r>
        <w:rPr>
          <w:rtl/>
        </w:rPr>
        <w:t xml:space="preserve"> </w:t>
      </w:r>
      <w:r>
        <w:t xml:space="preserve">statt </w:t>
      </w:r>
      <w:r>
        <w:rPr>
          <w:rStyle w:val="Fett"/>
          <w:rFonts w:eastAsiaTheme="majorEastAsia"/>
          <w:rtl/>
        </w:rPr>
        <w:t>בְּמִצְרַיִם</w:t>
      </w:r>
      <w:r>
        <w:t xml:space="preserve">). Die Konsequenz: </w:t>
      </w:r>
      <w:r>
        <w:rPr>
          <w:rStyle w:val="Fett"/>
          <w:rFonts w:eastAsiaTheme="majorEastAsia"/>
          <w:rtl/>
        </w:rPr>
        <w:t>עַל־כֵּן אָנֹכִי מְצַוְּךָ לַעֲשׂוֹת אֶת־הַדָּבָר הַזֶּה</w:t>
      </w:r>
      <w:r>
        <w:rPr>
          <w:rtl/>
        </w:rPr>
        <w:t xml:space="preserve"> </w:t>
      </w:r>
      <w:r>
        <w:t>(„darum ich gebiete ich dir, zu tun diese Sache") – identisch mit V. 18. Die Wiederholung der Begründung aus V. 18 bildet eine Inklusion (Rahmen) um V. 19-21 und verbindet sie mit V. 17. Die Logik: Israels Erfahrung als Sklaven in Ägypten soll seine Behandlung der Armen und Rechtlosen prägen. Weil Israel Unterdrückung, Rechtlosigkeit und Bedürftigkeit selbst erfahren hat und von JHWH erlöst wurde, soll es Empathie zeigen und die Schwachen schützen. Die Nachlese-Gesetze (V. 19-21) sind praktische Ausdrücke dieser Empathie – die Armen sollen nicht hungern, sie haben ein Recht auf einen Teil der Ernte. Dies ist keine Wohltätigkeit (freiwillig), sondern Recht (verpflichtend). Die Wiederholung dieser Exodus-Begründung im Deuteronomium (5,15; 15,15; 16,12; 24,18.22) unterstreicht ihre zentrale Bedeutung für die deuteronomische Ethik.</w:t>
      </w:r>
    </w:p>
    <w:p w14:paraId="5576706F" w14:textId="77777777" w:rsidR="00A600C6" w:rsidRPr="00A600C6" w:rsidRDefault="00A600C6" w:rsidP="00A600C6">
      <w:pPr>
        <w:spacing w:before="100" w:beforeAutospacing="1" w:after="100" w:afterAutospacing="1" w:line="240" w:lineRule="auto"/>
        <w:rPr>
          <w:rFonts w:eastAsia="Times New Roman"/>
          <w:lang w:eastAsia="de-DE"/>
        </w:rPr>
      </w:pPr>
      <w:r w:rsidRPr="00A600C6">
        <w:rPr>
          <w:rFonts w:eastAsia="Times New Roman"/>
          <w:b/>
          <w:bCs/>
          <w:lang w:eastAsia="de-DE"/>
        </w:rPr>
        <w:t>Die LXX</w:t>
      </w:r>
      <w:r w:rsidRPr="00A600C6">
        <w:rPr>
          <w:rFonts w:eastAsia="Times New Roman"/>
          <w:lang w:eastAsia="de-DE"/>
        </w:rPr>
        <w:t xml:space="preserve"> wiederholt die Erinnerungsformel, die sie bereits in Vers 20 eingefügt hat, womit sie eine konsistente Struktur für alle drei Fälle (Getreide, Oliven, Weintrauben) schafft.</w:t>
      </w:r>
    </w:p>
    <w:p w14:paraId="49F673F1" w14:textId="77777777" w:rsidR="00166F02" w:rsidRDefault="00166F02" w:rsidP="00166F02">
      <w:pPr>
        <w:pStyle w:val="whitespace-normal"/>
      </w:pPr>
      <w:r>
        <w:rPr>
          <w:rStyle w:val="Fett"/>
          <w:rFonts w:eastAsiaTheme="majorEastAsia"/>
        </w:rPr>
        <w:t>Die Satzstruktur:</w:t>
      </w:r>
      <w:r>
        <w:t xml:space="preserve"> Begründung mit Folgerung (und denken sollst du daran, dass Knecht warst du im Land Ägypten; darum ich gebiete ich dir, zu tun diese Sache).</w:t>
      </w:r>
    </w:p>
    <w:p w14:paraId="0ECACE47" w14:textId="77777777" w:rsidR="00166F02" w:rsidRDefault="00166F02" w:rsidP="00166F02">
      <w:pPr>
        <w:pStyle w:val="whitespace-normal"/>
      </w:pPr>
      <w:r>
        <w:rPr>
          <w:rStyle w:val="Fett"/>
          <w:rFonts w:eastAsiaTheme="majorEastAsia"/>
        </w:rPr>
        <w:t>Der Vers beschreibt:</w:t>
      </w:r>
      <w:r>
        <w:t xml:space="preserve"> Wiederholung der Exodusbegründung – Israels eigene Erfahrung als Sklaven motiviert die Gesetze zum Schutz der Armen.</w:t>
      </w:r>
    </w:p>
    <w:p w14:paraId="065038D4" w14:textId="77777777" w:rsidR="00166F02" w:rsidRPr="00713867" w:rsidRDefault="00166F02" w:rsidP="00B53ACC">
      <w:pPr>
        <w:pStyle w:val="Bibelberschrift"/>
      </w:pPr>
      <w:r w:rsidRPr="00713867">
        <w:rPr>
          <w:rStyle w:val="Fett"/>
          <w:b/>
          <w:bCs w:val="0"/>
        </w:rPr>
        <w:lastRenderedPageBreak/>
        <w:t>Deuteronomium 25,1</w:t>
      </w:r>
    </w:p>
    <w:p w14:paraId="4EA0C94C" w14:textId="77777777" w:rsidR="00166F02" w:rsidRDefault="00166F02" w:rsidP="00166F02">
      <w:pPr>
        <w:pStyle w:val="whitespace-normal"/>
      </w:pPr>
      <w:r>
        <w:rPr>
          <w:rStyle w:val="Fett"/>
          <w:rFonts w:eastAsiaTheme="majorEastAsia"/>
        </w:rPr>
        <w:t>Hebräisch:</w:t>
      </w:r>
      <w:r>
        <w:t xml:space="preserve"> </w:t>
      </w:r>
      <w:r>
        <w:rPr>
          <w:rtl/>
        </w:rPr>
        <w:t>כִּֽי־יִהְיֶ֥ה רִיב֙ בֵּ֣ין אֲנָשִׁ֔ים וְנִגְּשׁ֥וּ אֶל־הַמִּשְׁפָּ֖ט וּשְׁפָט֑וּם וְהִצְדִּ֨יקוּ֙ אֶת־הַצַּדִּ֔יק וְהִרְשִׁ֖יעוּ אֶת־הָרָשָֽׁע׃</w:t>
      </w:r>
    </w:p>
    <w:p w14:paraId="09574FDD" w14:textId="77777777" w:rsidR="00166F02" w:rsidRDefault="00166F02" w:rsidP="00166F02">
      <w:pPr>
        <w:pStyle w:val="whitespace-normal"/>
      </w:pPr>
      <w:r>
        <w:rPr>
          <w:rStyle w:val="Fett"/>
          <w:rFonts w:eastAsiaTheme="majorEastAsia"/>
        </w:rPr>
        <w:t>Deutsch:</w:t>
      </w:r>
      <w:r>
        <w:t xml:space="preserve"> Wenn ein Streit ist zwischen Männern und sie nahen zum Gericht und man richtet sie, so soll man den Gerechten gerecht sprechen und den Schuldigen schuldig sprechen.</w:t>
      </w:r>
    </w:p>
    <w:p w14:paraId="759F904C" w14:textId="77777777" w:rsidR="00166F02" w:rsidRDefault="004F5CEB" w:rsidP="00166F02">
      <w:r>
        <w:rPr>
          <w:noProof/>
        </w:rPr>
        <w:pict w14:anchorId="3D15F8D5">
          <v:rect id="_x0000_i1673" style="width:0;height:1.5pt" o:hralign="center" o:hrstd="t" o:hr="t" fillcolor="#a0a0a0" stroked="f"/>
        </w:pict>
      </w:r>
    </w:p>
    <w:p w14:paraId="056FAA99"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כִּי־יִהְיֶה רִיב בֵּין אֲנָשִׁים וְנִגְּשׁוּ אֶל־הַמִּשְׁפָּט וּשְׁפָטוּם וְהִצְדִּיקוּ אֶת־הַצַּדִּיק וְהִרְשִׁיעוּ אֶת־הָרָשָׁע</w:t>
      </w:r>
      <w:r>
        <w:rPr>
          <w:rtl/>
        </w:rPr>
        <w:t xml:space="preserve"> </w:t>
      </w:r>
      <w:r>
        <w:t xml:space="preserve">ist eine Bedingung mit drei Anweisungen: </w:t>
      </w:r>
      <w:r>
        <w:rPr>
          <w:rStyle w:val="Fett"/>
          <w:rFonts w:eastAsiaTheme="majorEastAsia"/>
          <w:rtl/>
        </w:rPr>
        <w:t>כִּי־יִהְיֶה רִיב בֵּין אֲנָשִׁים</w:t>
      </w:r>
      <w:r>
        <w:rPr>
          <w:rtl/>
        </w:rPr>
        <w:t xml:space="preserve"> </w:t>
      </w:r>
      <w:r>
        <w:t>(</w:t>
      </w:r>
      <w:r>
        <w:rPr>
          <w:rStyle w:val="Fett"/>
          <w:rFonts w:eastAsiaTheme="majorEastAsia"/>
          <w:rtl/>
        </w:rPr>
        <w:t>כִּי</w:t>
      </w:r>
      <w:r>
        <w:rPr>
          <w:rtl/>
        </w:rPr>
        <w:t xml:space="preserve"> </w:t>
      </w:r>
      <w:r>
        <w:t xml:space="preserve">mit </w:t>
      </w:r>
      <w:r>
        <w:rPr>
          <w:rStyle w:val="Fett"/>
          <w:rFonts w:eastAsiaTheme="majorEastAsia"/>
          <w:rtl/>
        </w:rPr>
        <w:t>היה</w:t>
      </w:r>
      <w:r>
        <w:t xml:space="preserve">, Qal Imperfekt, 3. Person Maskulinum Singular, </w:t>
      </w:r>
      <w:r>
        <w:rPr>
          <w:rStyle w:val="Fett"/>
          <w:rFonts w:eastAsiaTheme="majorEastAsia"/>
          <w:rtl/>
        </w:rPr>
        <w:t>רִיב</w:t>
      </w:r>
      <w:r>
        <w:t xml:space="preserve">, „Streit, Rechtsstreit", </w:t>
      </w:r>
      <w:r>
        <w:rPr>
          <w:rStyle w:val="Fett"/>
          <w:rFonts w:eastAsiaTheme="majorEastAsia"/>
          <w:rtl/>
        </w:rPr>
        <w:t>בֵּין אֲנָשִׁים</w:t>
      </w:r>
      <w:r>
        <w:t xml:space="preserve">, Präposition </w:t>
      </w:r>
      <w:r>
        <w:rPr>
          <w:rStyle w:val="Fett"/>
          <w:rFonts w:eastAsiaTheme="majorEastAsia"/>
          <w:rtl/>
        </w:rPr>
        <w:t>בֵּין</w:t>
      </w:r>
      <w:r>
        <w:rPr>
          <w:rtl/>
        </w:rPr>
        <w:t xml:space="preserve"> </w:t>
      </w:r>
      <w:r>
        <w:t xml:space="preserve">mit </w:t>
      </w:r>
      <w:r>
        <w:rPr>
          <w:rStyle w:val="Fett"/>
          <w:rFonts w:eastAsiaTheme="majorEastAsia"/>
          <w:rtl/>
        </w:rPr>
        <w:t>אִישׁ</w:t>
      </w:r>
      <w:r>
        <w:rPr>
          <w:rtl/>
        </w:rPr>
        <w:t xml:space="preserve"> </w:t>
      </w:r>
      <w:r>
        <w:t xml:space="preserve">Plural – „zwischen Männern"), </w:t>
      </w:r>
      <w:r>
        <w:rPr>
          <w:rStyle w:val="Fett"/>
          <w:rFonts w:eastAsiaTheme="majorEastAsia"/>
          <w:rtl/>
        </w:rPr>
        <w:t>וְנִגְּשׁוּ אֶל־הַמִּשְׁפָּט</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נגשׁ</w:t>
      </w:r>
      <w:r>
        <w:t xml:space="preserve">, Niphal Perfekt, 3. Person Plural, „nahen, herantreten", Präposition </w:t>
      </w:r>
      <w:r>
        <w:rPr>
          <w:rStyle w:val="Fett"/>
          <w:rFonts w:eastAsiaTheme="majorEastAsia"/>
          <w:rtl/>
        </w:rPr>
        <w:t>אֶל</w:t>
      </w:r>
      <w:r>
        <w:rPr>
          <w:rtl/>
        </w:rPr>
        <w:t xml:space="preserve"> </w:t>
      </w:r>
      <w:r>
        <w:t xml:space="preserve">mit </w:t>
      </w:r>
      <w:r>
        <w:rPr>
          <w:rStyle w:val="Fett"/>
          <w:rFonts w:eastAsiaTheme="majorEastAsia"/>
          <w:rtl/>
        </w:rPr>
        <w:t>מִשְׁפָּט</w:t>
      </w:r>
      <w:r>
        <w:rPr>
          <w:rtl/>
        </w:rPr>
        <w:t xml:space="preserve"> </w:t>
      </w:r>
      <w:r>
        <w:t xml:space="preserve">mit Artikel – „Gericht, Rechtsprechung", mit </w:t>
      </w:r>
      <w:r>
        <w:rPr>
          <w:rStyle w:val="Fett"/>
          <w:rFonts w:eastAsiaTheme="majorEastAsia"/>
        </w:rPr>
        <w:t>Waw</w:t>
      </w:r>
      <w:r>
        <w:t xml:space="preserve"> consecutives Perfekt), </w:t>
      </w:r>
      <w:r>
        <w:rPr>
          <w:rStyle w:val="Fett"/>
          <w:rFonts w:eastAsiaTheme="majorEastAsia"/>
          <w:rtl/>
        </w:rPr>
        <w:t>וּשְׁפָטוּם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שׁפט</w:t>
      </w:r>
      <w:r>
        <w:t xml:space="preserve">, Qal Perfekt, 3. Person Plural, „richten, Recht sprechen", mit Suffix 3. Person Maskulinum Plural, mit </w:t>
      </w:r>
      <w:r>
        <w:rPr>
          <w:rStyle w:val="Fett"/>
          <w:rFonts w:eastAsiaTheme="majorEastAsia"/>
        </w:rPr>
        <w:t>Waw</w:t>
      </w:r>
      <w:r>
        <w:t xml:space="preserve"> consecutives Perfekt), </w:t>
      </w:r>
      <w:r>
        <w:rPr>
          <w:rStyle w:val="Fett"/>
          <w:rFonts w:eastAsiaTheme="majorEastAsia"/>
          <w:rtl/>
        </w:rPr>
        <w:t>וְהִצְדִּיקוּ אֶת־הַצַּדִּיק</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צדק</w:t>
      </w:r>
      <w:r>
        <w:t xml:space="preserve">, Hiphil Perfekt, 3. Person Plural, „gerecht sprechen, für gerecht erklären", Objektpartikel </w:t>
      </w:r>
      <w:r>
        <w:rPr>
          <w:rStyle w:val="Fett"/>
          <w:rFonts w:eastAsiaTheme="majorEastAsia"/>
          <w:rtl/>
        </w:rPr>
        <w:t>אֵת</w:t>
      </w:r>
      <w:r>
        <w:rPr>
          <w:rtl/>
        </w:rPr>
        <w:t xml:space="preserve"> </w:t>
      </w:r>
      <w:r>
        <w:t xml:space="preserve">mit </w:t>
      </w:r>
      <w:r>
        <w:rPr>
          <w:rStyle w:val="Fett"/>
          <w:rFonts w:eastAsiaTheme="majorEastAsia"/>
          <w:rtl/>
        </w:rPr>
        <w:t>צַדִּיק</w:t>
      </w:r>
      <w:r>
        <w:rPr>
          <w:rtl/>
        </w:rPr>
        <w:t xml:space="preserve"> </w:t>
      </w:r>
      <w:r>
        <w:t xml:space="preserve">mit Artikel – „der Gerechte, der Unschuldige", mit </w:t>
      </w:r>
      <w:r>
        <w:rPr>
          <w:rStyle w:val="Fett"/>
          <w:rFonts w:eastAsiaTheme="majorEastAsia"/>
        </w:rPr>
        <w:t>Waw</w:t>
      </w:r>
      <w:r>
        <w:t xml:space="preserve"> consecutives Perfekt), </w:t>
      </w:r>
      <w:r>
        <w:rPr>
          <w:rStyle w:val="Fett"/>
          <w:rFonts w:eastAsiaTheme="majorEastAsia"/>
          <w:rtl/>
        </w:rPr>
        <w:t>וְהִרְשִׁיעוּ אֶת־הָרָשָׁע</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רשׁע</w:t>
      </w:r>
      <w:r>
        <w:t xml:space="preserve">, Hiphil Perfekt, 3. Person Plural, „schuldig sprechen, für schuldig erklären", Objektpartikel </w:t>
      </w:r>
      <w:r>
        <w:rPr>
          <w:rStyle w:val="Fett"/>
          <w:rFonts w:eastAsiaTheme="majorEastAsia"/>
          <w:rtl/>
        </w:rPr>
        <w:t>אֵת</w:t>
      </w:r>
      <w:r>
        <w:rPr>
          <w:rtl/>
        </w:rPr>
        <w:t xml:space="preserve"> </w:t>
      </w:r>
      <w:r>
        <w:t xml:space="preserve">mit </w:t>
      </w:r>
      <w:r>
        <w:rPr>
          <w:rStyle w:val="Fett"/>
          <w:rFonts w:eastAsiaTheme="majorEastAsia"/>
          <w:rtl/>
        </w:rPr>
        <w:t>רָשָׁע</w:t>
      </w:r>
      <w:r>
        <w:rPr>
          <w:rtl/>
        </w:rPr>
        <w:t xml:space="preserve"> </w:t>
      </w:r>
      <w:r>
        <w:t xml:space="preserve">mit Artikel – „der Schuldige, der Böse", mit </w:t>
      </w:r>
      <w:r>
        <w:rPr>
          <w:rStyle w:val="Fett"/>
          <w:rFonts w:eastAsiaTheme="majorEastAsia"/>
        </w:rPr>
        <w:t>Waw</w:t>
      </w:r>
      <w:r>
        <w:t xml:space="preserve"> consecutives Perfekt).</w:t>
      </w:r>
    </w:p>
    <w:p w14:paraId="27F07425" w14:textId="52E04488" w:rsidR="00166F02" w:rsidRDefault="00166F02" w:rsidP="00166F02">
      <w:pPr>
        <w:pStyle w:val="whitespace-normal"/>
      </w:pPr>
      <w:r>
        <w:t xml:space="preserve">Der Vers leitet Kapitel 25 ein und behandelt Gerichtsverfahren. Die Bedingung: </w:t>
      </w:r>
      <w:r>
        <w:rPr>
          <w:rStyle w:val="Fett"/>
          <w:rFonts w:eastAsiaTheme="majorEastAsia"/>
          <w:rtl/>
        </w:rPr>
        <w:t>כִּי־יִהְיֶה רִיב בֵּין אֲנָשִׁים</w:t>
      </w:r>
      <w:r>
        <w:rPr>
          <w:rtl/>
        </w:rPr>
        <w:t xml:space="preserve"> </w:t>
      </w:r>
      <w:r>
        <w:t xml:space="preserve">(„wenn ist ein Streit zwischen Männern"). Das Wort </w:t>
      </w:r>
      <w:r>
        <w:rPr>
          <w:rStyle w:val="Fett"/>
          <w:rFonts w:eastAsiaTheme="majorEastAsia"/>
          <w:rtl/>
        </w:rPr>
        <w:t>רִיב</w:t>
      </w:r>
      <w:r>
        <w:rPr>
          <w:rtl/>
        </w:rPr>
        <w:t xml:space="preserve"> </w:t>
      </w:r>
      <w:r>
        <w:t xml:space="preserve">(„Streit, Rechtsstreit, Kontroverse") bezeichnet einen Rechtsfall, der eine gerichtliche Entscheidung erfordert. Die erste Handlung: </w:t>
      </w:r>
      <w:r>
        <w:rPr>
          <w:rStyle w:val="Fett"/>
          <w:rFonts w:eastAsiaTheme="majorEastAsia"/>
          <w:rtl/>
        </w:rPr>
        <w:t>וְנִגְּשׁוּ אֶל־הַמִּשְׁפָּט</w:t>
      </w:r>
      <w:r>
        <w:rPr>
          <w:rtl/>
        </w:rPr>
        <w:t xml:space="preserve"> </w:t>
      </w:r>
      <w:r>
        <w:t xml:space="preserve">(„und sie nahen zum Gericht"). Das Verb </w:t>
      </w:r>
      <w:r>
        <w:rPr>
          <w:rStyle w:val="Fett"/>
          <w:rFonts w:eastAsiaTheme="majorEastAsia"/>
          <w:rtl/>
        </w:rPr>
        <w:t>נגשׁ</w:t>
      </w:r>
      <w:r>
        <w:rPr>
          <w:rtl/>
        </w:rPr>
        <w:t xml:space="preserve"> </w:t>
      </w:r>
      <w:r>
        <w:t xml:space="preserve">im Niphal („nahen, herantreten") – die Streitenden treten vor Gericht. Das Wort </w:t>
      </w:r>
      <w:r>
        <w:rPr>
          <w:rStyle w:val="Fett"/>
          <w:rFonts w:eastAsiaTheme="majorEastAsia"/>
          <w:rtl/>
        </w:rPr>
        <w:t>מִשְׁפָּט</w:t>
      </w:r>
      <w:r>
        <w:rPr>
          <w:rtl/>
        </w:rPr>
        <w:t xml:space="preserve"> </w:t>
      </w:r>
      <w:r>
        <w:t xml:space="preserve">kann hier entweder „Gericht" (Institution) oder „Rechtsprechung" (Prozess) bedeuten. Die zweite Handlung: </w:t>
      </w:r>
      <w:r>
        <w:rPr>
          <w:rStyle w:val="Fett"/>
          <w:rFonts w:eastAsiaTheme="majorEastAsia"/>
          <w:rtl/>
        </w:rPr>
        <w:t>וּשְׁפָטוּם</w:t>
      </w:r>
      <w:r>
        <w:rPr>
          <w:rtl/>
        </w:rPr>
        <w:t xml:space="preserve"> </w:t>
      </w:r>
      <w:r>
        <w:t xml:space="preserve">(„und man richtet sie"). Das Verb </w:t>
      </w:r>
      <w:r>
        <w:rPr>
          <w:rStyle w:val="Fett"/>
          <w:rFonts w:eastAsiaTheme="majorEastAsia"/>
          <w:rtl/>
        </w:rPr>
        <w:t>שׁפט</w:t>
      </w:r>
      <w:r>
        <w:rPr>
          <w:rtl/>
        </w:rPr>
        <w:t xml:space="preserve"> </w:t>
      </w:r>
      <w:r>
        <w:t xml:space="preserve">(„richten, Recht sprechen") – die Richter entscheiden den Fall. Das Suffix </w:t>
      </w:r>
      <w:r>
        <w:rPr>
          <w:rStyle w:val="Fett"/>
          <w:rFonts w:eastAsiaTheme="majorEastAsia"/>
          <w:rtl/>
        </w:rPr>
        <w:t>־וּם</w:t>
      </w:r>
      <w:r>
        <w:rPr>
          <w:rtl/>
        </w:rPr>
        <w:t xml:space="preserve"> </w:t>
      </w:r>
      <w:r>
        <w:t xml:space="preserve">bezieht sich auf die Streitenden. Die dritte Handlung (doppelt): </w:t>
      </w:r>
      <w:r>
        <w:rPr>
          <w:rStyle w:val="Fett"/>
          <w:rFonts w:eastAsiaTheme="majorEastAsia"/>
          <w:rtl/>
        </w:rPr>
        <w:t>וְהִצְדִּיקוּ אֶת־הַצַּדִּיק וְהִרְשִׁיעוּ אֶת־הָרָשָׁע</w:t>
      </w:r>
      <w:r>
        <w:rPr>
          <w:rtl/>
        </w:rPr>
        <w:t xml:space="preserve"> </w:t>
      </w:r>
      <w:r>
        <w:t xml:space="preserve">(„und gerecht sprechen sollen sie den Gerechten, und schuldig sprechen sollen sie den Schuldigen"). Das Verb </w:t>
      </w:r>
      <w:r>
        <w:rPr>
          <w:rStyle w:val="Fett"/>
          <w:rFonts w:eastAsiaTheme="majorEastAsia"/>
          <w:rtl/>
        </w:rPr>
        <w:t>צדק</w:t>
      </w:r>
      <w:r>
        <w:rPr>
          <w:rtl/>
        </w:rPr>
        <w:t xml:space="preserve"> </w:t>
      </w:r>
      <w:r>
        <w:t xml:space="preserve">im Hiphil („gerecht sprechen, für gerecht erklären, freisprechen") ist das deklarative Hiphil – jemanden als </w:t>
      </w:r>
      <w:r>
        <w:rPr>
          <w:rStyle w:val="Fett"/>
          <w:rFonts w:eastAsiaTheme="majorEastAsia"/>
          <w:rtl/>
        </w:rPr>
        <w:t>צַדִּיק</w:t>
      </w:r>
      <w:r>
        <w:rPr>
          <w:rtl/>
        </w:rPr>
        <w:t xml:space="preserve"> </w:t>
      </w:r>
      <w:r>
        <w:t xml:space="preserve">(„gerecht, unschuldig") erklären. Das Verb </w:t>
      </w:r>
      <w:r>
        <w:rPr>
          <w:rStyle w:val="Fett"/>
          <w:rFonts w:eastAsiaTheme="majorEastAsia"/>
          <w:rtl/>
        </w:rPr>
        <w:t>רשׁע</w:t>
      </w:r>
      <w:r>
        <w:rPr>
          <w:rtl/>
        </w:rPr>
        <w:t xml:space="preserve"> </w:t>
      </w:r>
      <w:r>
        <w:t xml:space="preserve">im Hiphil („schuldig sprechen, verurteilen") – jemanden als </w:t>
      </w:r>
      <w:r>
        <w:rPr>
          <w:rStyle w:val="Fett"/>
          <w:rFonts w:eastAsiaTheme="majorEastAsia"/>
          <w:rtl/>
        </w:rPr>
        <w:t>רָשָׁע</w:t>
      </w:r>
      <w:r>
        <w:rPr>
          <w:rtl/>
        </w:rPr>
        <w:t xml:space="preserve"> </w:t>
      </w:r>
      <w:r>
        <w:t>(„schuldig, böse") erklären. Die Anweisung betont: Richter müssen gerecht urteilen – den Unschuldigen freisprechen, den Schuldigen verurteilen. Dies mag selbstverständlich erscheinen, bereitet aber V. 2-3 vor, die die Strafe für den Schuldigen regeln. V. 2 wird den Fall beschreiben, dass der Schuldige körperliche Züchtigung verdient.</w:t>
      </w:r>
    </w:p>
    <w:p w14:paraId="00B20A39" w14:textId="5D1BBC06" w:rsidR="00A600C6" w:rsidRDefault="00A600C6" w:rsidP="00166F02">
      <w:pPr>
        <w:pStyle w:val="whitespace-normal"/>
      </w:pPr>
      <w:r>
        <w:rPr>
          <w:rStyle w:val="Fett"/>
        </w:rPr>
        <w:t>Die LXX</w:t>
      </w:r>
      <w:r>
        <w:t xml:space="preserve"> übersetzt </w:t>
      </w:r>
      <w:r>
        <w:rPr>
          <w:rtl/>
        </w:rPr>
        <w:t>רִיב</w:t>
      </w:r>
      <w:r>
        <w:t xml:space="preserve"> (Streit, Rechtsfall) mit </w:t>
      </w:r>
      <w:proofErr w:type="spellStart"/>
      <w:r>
        <w:t>ἀντιλογί</w:t>
      </w:r>
      <w:proofErr w:type="spellEnd"/>
      <w:r>
        <w:t>α (Widerspruch, Streitgespräch) – ein Begriff, der den verbalen Aspekt des Konflikts betont. Das Verb κατα</w:t>
      </w:r>
      <w:proofErr w:type="spellStart"/>
      <w:r>
        <w:t>γνῶσιν</w:t>
      </w:r>
      <w:proofErr w:type="spellEnd"/>
      <w:r>
        <w:t xml:space="preserve"> (sie werden verurteilen) für </w:t>
      </w:r>
      <w:r>
        <w:rPr>
          <w:rtl/>
        </w:rPr>
        <w:t>וְהִרְשִׁיעוּ</w:t>
      </w:r>
      <w:r>
        <w:t xml:space="preserve"> und der Begriff </w:t>
      </w:r>
      <w:proofErr w:type="spellStart"/>
      <w:r>
        <w:t>τοῦ</w:t>
      </w:r>
      <w:proofErr w:type="spellEnd"/>
      <w:r>
        <w:t xml:space="preserve"> </w:t>
      </w:r>
      <w:proofErr w:type="spellStart"/>
      <w:r>
        <w:t>ἀσε</w:t>
      </w:r>
      <w:proofErr w:type="spellEnd"/>
      <w:r>
        <w:t xml:space="preserve">βοῦς (des Gottlosen) für </w:t>
      </w:r>
      <w:r>
        <w:rPr>
          <w:rtl/>
        </w:rPr>
        <w:t>הָרָשָׁע</w:t>
      </w:r>
      <w:r>
        <w:t xml:space="preserve"> zeigen die LXX-Tendenz, moralisch-religiöse Terminologie zu verwenden.</w:t>
      </w:r>
    </w:p>
    <w:p w14:paraId="4EA46AA2" w14:textId="77777777" w:rsidR="00166F02" w:rsidRDefault="00166F02" w:rsidP="00166F02">
      <w:pPr>
        <w:pStyle w:val="whitespace-normal"/>
      </w:pPr>
      <w:r>
        <w:rPr>
          <w:rStyle w:val="Fett"/>
          <w:rFonts w:eastAsiaTheme="majorEastAsia"/>
        </w:rPr>
        <w:lastRenderedPageBreak/>
        <w:t>Die Satzstruktur:</w:t>
      </w:r>
      <w:r>
        <w:t xml:space="preserve"> Bedingung mit drei Handlungen (wenn ist ein Streit zwischen Männern, und sie nahen zum Gericht, und man richtet sie, und gerecht sprechen sollen sie den Gerechten, und schuldig sprechen sollen sie den Schuldigen).</w:t>
      </w:r>
    </w:p>
    <w:p w14:paraId="34975120" w14:textId="379CF504" w:rsidR="00166F02" w:rsidRDefault="00166F02" w:rsidP="00AB12A0">
      <w:pPr>
        <w:pStyle w:val="whitespace-normal"/>
      </w:pPr>
      <w:r>
        <w:rPr>
          <w:rStyle w:val="Fett"/>
          <w:rFonts w:eastAsiaTheme="majorEastAsia"/>
        </w:rPr>
        <w:t>Der Vers beschreibt:</w:t>
      </w:r>
      <w:r>
        <w:t xml:space="preserve"> Grundsatz gerechter Rechtsprechung – Richter müssen den Unschuldigen freisprechen und den Schuldigen verurteilen.</w:t>
      </w:r>
    </w:p>
    <w:p w14:paraId="2C100714" w14:textId="77777777" w:rsidR="00166F02" w:rsidRPr="00713867" w:rsidRDefault="00166F02" w:rsidP="00B53ACC">
      <w:pPr>
        <w:pStyle w:val="Bibelberschrift"/>
      </w:pPr>
      <w:r w:rsidRPr="00713867">
        <w:rPr>
          <w:rStyle w:val="Fett"/>
          <w:b/>
          <w:bCs w:val="0"/>
        </w:rPr>
        <w:t>Deuteronomium 25,2</w:t>
      </w:r>
    </w:p>
    <w:p w14:paraId="7DEC448E" w14:textId="77777777" w:rsidR="00166F02" w:rsidRDefault="00166F02" w:rsidP="00166F02">
      <w:pPr>
        <w:pStyle w:val="whitespace-normal"/>
      </w:pPr>
      <w:r>
        <w:rPr>
          <w:rStyle w:val="Fett"/>
          <w:rFonts w:eastAsiaTheme="majorEastAsia"/>
        </w:rPr>
        <w:t>Hebräisch:</w:t>
      </w:r>
      <w:r>
        <w:t xml:space="preserve"> </w:t>
      </w:r>
      <w:r>
        <w:rPr>
          <w:rtl/>
        </w:rPr>
        <w:t>וְהָיָ֛ה אִם־בִּ֥ן הַכּ֖וֹת הָרָשָׁ֑ע וְהִפִּיל֤וֹ הַשֹּׁפֵט֙ וְהִכָּ֣הוּ לְפָנָ֔יו כְּדֵ֥י רִשְׁעָת֖וֹ בְּמִסְפָּֽר׃</w:t>
      </w:r>
    </w:p>
    <w:p w14:paraId="6C0F07ED" w14:textId="77777777" w:rsidR="00166F02" w:rsidRDefault="00166F02" w:rsidP="00166F02">
      <w:pPr>
        <w:pStyle w:val="whitespace-normal"/>
      </w:pPr>
      <w:r>
        <w:rPr>
          <w:rStyle w:val="Fett"/>
          <w:rFonts w:eastAsiaTheme="majorEastAsia"/>
        </w:rPr>
        <w:t>Deutsch:</w:t>
      </w:r>
      <w:r>
        <w:t xml:space="preserve"> Und es soll geschehen, wenn der Schuldige Schläge verdient, so soll der Richter ihn niederlegen lassen und ihn schlagen lassen vor sich, nach dem Maß seiner Schuld, nach der Zahl.</w:t>
      </w:r>
    </w:p>
    <w:p w14:paraId="17AFF12E" w14:textId="77777777" w:rsidR="00166F02" w:rsidRDefault="004F5CEB" w:rsidP="00166F02">
      <w:r>
        <w:rPr>
          <w:noProof/>
        </w:rPr>
        <w:pict w14:anchorId="56085DDA">
          <v:rect id="_x0000_i1674" style="width:0;height:1.5pt" o:hralign="center" o:hrstd="t" o:hr="t" fillcolor="#a0a0a0" stroked="f"/>
        </w:pict>
      </w:r>
    </w:p>
    <w:p w14:paraId="53C442B5"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וְהָיָה אִם־בִּן הַכּוֹת הָרָשָׁע וְהִפִּילוֹ הַשֹּׁפֵט וְהִכָּהוּ לְפָנָיו כְּדֵי רִשְׁעָתוֹ בְּמִסְפָּר</w:t>
      </w:r>
      <w:r>
        <w:rPr>
          <w:rtl/>
        </w:rPr>
        <w:t xml:space="preserve"> </w:t>
      </w:r>
      <w:r>
        <w:t xml:space="preserve">ist eine weitere Bedingung mit zwei Anweisungen: </w:t>
      </w:r>
      <w:r>
        <w:rPr>
          <w:rStyle w:val="Fett"/>
          <w:rFonts w:eastAsiaTheme="majorEastAsia"/>
          <w:rtl/>
        </w:rPr>
        <w:t>וְהָיָה אִם־בִּן הַכּוֹת הָרָשָׁע</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3. Person Maskulinum Singular, </w:t>
      </w:r>
      <w:r>
        <w:rPr>
          <w:rStyle w:val="Fett"/>
          <w:rFonts w:eastAsiaTheme="majorEastAsia"/>
          <w:rtl/>
        </w:rPr>
        <w:t>אִם</w:t>
      </w:r>
      <w:r>
        <w:t xml:space="preserve">, Bedingungspartikel, </w:t>
      </w:r>
      <w:r>
        <w:rPr>
          <w:rStyle w:val="Fett"/>
          <w:rFonts w:eastAsiaTheme="majorEastAsia"/>
          <w:rtl/>
        </w:rPr>
        <w:t>בֵּן הַכּוֹת</w:t>
      </w:r>
      <w:r>
        <w:t xml:space="preserve">, idiomatische Wendung: </w:t>
      </w:r>
      <w:r>
        <w:rPr>
          <w:rStyle w:val="Fett"/>
          <w:rFonts w:eastAsiaTheme="majorEastAsia"/>
          <w:rtl/>
        </w:rPr>
        <w:t>בֵּן</w:t>
      </w:r>
      <w:r>
        <w:t xml:space="preserve">, „Sohn", Construct mit </w:t>
      </w:r>
      <w:r>
        <w:rPr>
          <w:rStyle w:val="Fett"/>
          <w:rFonts w:eastAsiaTheme="majorEastAsia"/>
          <w:rtl/>
        </w:rPr>
        <w:t>הַכּוֹת</w:t>
      </w:r>
      <w:r>
        <w:t xml:space="preserve">, Hiphil Infinitiv Construct von </w:t>
      </w:r>
      <w:r>
        <w:rPr>
          <w:rStyle w:val="Fett"/>
          <w:rFonts w:eastAsiaTheme="majorEastAsia"/>
          <w:rtl/>
        </w:rPr>
        <w:t>נכה</w:t>
      </w:r>
      <w:r>
        <w:t xml:space="preserve">, „schlagen", mit Artikel – „Sohn des Schlagens" = „schlagenswert, Schläge verdienend", </w:t>
      </w:r>
      <w:r>
        <w:rPr>
          <w:rStyle w:val="Fett"/>
          <w:rFonts w:eastAsiaTheme="majorEastAsia"/>
          <w:rtl/>
        </w:rPr>
        <w:t>הָרָשָׁע</w:t>
      </w:r>
      <w:r>
        <w:rPr>
          <w:rtl/>
        </w:rPr>
        <w:t xml:space="preserve"> </w:t>
      </w:r>
      <w:r>
        <w:t xml:space="preserve">als Subjekt, mit </w:t>
      </w:r>
      <w:r>
        <w:rPr>
          <w:rStyle w:val="Fett"/>
          <w:rFonts w:eastAsiaTheme="majorEastAsia"/>
        </w:rPr>
        <w:t>Waw</w:t>
      </w:r>
      <w:r>
        <w:t xml:space="preserve"> consecutives Perfekt), </w:t>
      </w:r>
      <w:r>
        <w:rPr>
          <w:rStyle w:val="Fett"/>
          <w:rFonts w:eastAsiaTheme="majorEastAsia"/>
          <w:rtl/>
        </w:rPr>
        <w:t>וְהִפִּילוֹ הַשֹּׁפֵט</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נפל</w:t>
      </w:r>
      <w:r>
        <w:t xml:space="preserve">, Hiphil Perfekt, 3. Person Maskulinum Singular, „niederfallen lassen, hinlegen", mit Suffix 3. Person Maskulinum Singular, </w:t>
      </w:r>
      <w:r>
        <w:rPr>
          <w:rStyle w:val="Fett"/>
          <w:rFonts w:eastAsiaTheme="majorEastAsia"/>
          <w:rtl/>
        </w:rPr>
        <w:t>שֹׁפֵט</w:t>
      </w:r>
      <w:r>
        <w:rPr>
          <w:rtl/>
        </w:rPr>
        <w:t xml:space="preserve"> </w:t>
      </w:r>
      <w:r>
        <w:t xml:space="preserve">mit Artikel als Subjekt, mit </w:t>
      </w:r>
      <w:r>
        <w:rPr>
          <w:rStyle w:val="Fett"/>
          <w:rFonts w:eastAsiaTheme="majorEastAsia"/>
        </w:rPr>
        <w:t>Waw</w:t>
      </w:r>
      <w:r>
        <w:t xml:space="preserve"> consecutives Perfekt), </w:t>
      </w:r>
      <w:r>
        <w:rPr>
          <w:rStyle w:val="Fett"/>
          <w:rFonts w:eastAsiaTheme="majorEastAsia"/>
          <w:rtl/>
        </w:rPr>
        <w:t>וְהִכָּהוּ לְפָנָיו כְּדֵי רִשְׁעָתוֹ בְּמִסְפָּר</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נכה</w:t>
      </w:r>
      <w:r>
        <w:t xml:space="preserve">, Hiphil Perfekt, 3. Person Plural, „schlagen", mit Suffix 3. Person Maskulinum Singular, </w:t>
      </w:r>
      <w:r>
        <w:rPr>
          <w:rStyle w:val="Fett"/>
          <w:rFonts w:eastAsiaTheme="majorEastAsia"/>
          <w:rtl/>
        </w:rPr>
        <w:t>לְפָנָיו</w:t>
      </w:r>
      <w:r>
        <w:t xml:space="preserve">, Präposition </w:t>
      </w:r>
      <w:r>
        <w:rPr>
          <w:rStyle w:val="Fett"/>
          <w:rFonts w:eastAsiaTheme="majorEastAsia"/>
          <w:rtl/>
        </w:rPr>
        <w:t>לְ</w:t>
      </w:r>
      <w:r>
        <w:rPr>
          <w:rtl/>
        </w:rPr>
        <w:t xml:space="preserve"> </w:t>
      </w:r>
      <w:r>
        <w:t xml:space="preserve">mit </w:t>
      </w:r>
      <w:r>
        <w:rPr>
          <w:rStyle w:val="Fett"/>
          <w:rFonts w:eastAsiaTheme="majorEastAsia"/>
          <w:rtl/>
        </w:rPr>
        <w:t>פָּנִים</w:t>
      </w:r>
      <w:r>
        <w:rPr>
          <w:rtl/>
        </w:rPr>
        <w:t xml:space="preserve"> </w:t>
      </w:r>
      <w:r>
        <w:t xml:space="preserve">Plural Construct mit Suffix 3. Person Maskulinum Singular – „vor ihm, in seiner Gegenwart", </w:t>
      </w:r>
      <w:r>
        <w:rPr>
          <w:rStyle w:val="Fett"/>
          <w:rFonts w:eastAsiaTheme="majorEastAsia"/>
          <w:rtl/>
        </w:rPr>
        <w:t>כְּדֵי רִשְׁעָתוֹ</w:t>
      </w:r>
      <w:r>
        <w:t xml:space="preserve">, Präposition </w:t>
      </w:r>
      <w:r>
        <w:rPr>
          <w:rStyle w:val="Fett"/>
          <w:rFonts w:eastAsiaTheme="majorEastAsia"/>
          <w:rtl/>
        </w:rPr>
        <w:t>כְּ</w:t>
      </w:r>
      <w:r>
        <w:rPr>
          <w:rtl/>
        </w:rPr>
        <w:t xml:space="preserve"> </w:t>
      </w:r>
      <w:r>
        <w:t xml:space="preserve">mit </w:t>
      </w:r>
      <w:r>
        <w:rPr>
          <w:rStyle w:val="Fett"/>
          <w:rFonts w:eastAsiaTheme="majorEastAsia"/>
          <w:rtl/>
        </w:rPr>
        <w:t>דַּי</w:t>
      </w:r>
      <w:r>
        <w:t xml:space="preserve">, „genug, Maß", Construct mit </w:t>
      </w:r>
      <w:r>
        <w:rPr>
          <w:rStyle w:val="Fett"/>
          <w:rFonts w:eastAsiaTheme="majorEastAsia"/>
          <w:rtl/>
        </w:rPr>
        <w:t>רִשְׁעָה</w:t>
      </w:r>
      <w:r>
        <w:t xml:space="preserve">, „Schuld, Bosheit", mit Suffix 3. Person Maskulinum Singular – „nach dem Maß seiner Schuld", </w:t>
      </w:r>
      <w:r>
        <w:rPr>
          <w:rStyle w:val="Fett"/>
          <w:rFonts w:eastAsiaTheme="majorEastAsia"/>
          <w:rtl/>
        </w:rPr>
        <w:t>בְּמִסְפָּר</w:t>
      </w:r>
      <w:r>
        <w:t xml:space="preserve">, Präposition </w:t>
      </w:r>
      <w:r>
        <w:rPr>
          <w:rStyle w:val="Fett"/>
          <w:rFonts w:eastAsiaTheme="majorEastAsia"/>
          <w:rtl/>
        </w:rPr>
        <w:t>בְּ</w:t>
      </w:r>
      <w:r>
        <w:rPr>
          <w:rtl/>
        </w:rPr>
        <w:t xml:space="preserve"> </w:t>
      </w:r>
      <w:r>
        <w:t xml:space="preserve">mit </w:t>
      </w:r>
      <w:r>
        <w:rPr>
          <w:rStyle w:val="Fett"/>
          <w:rFonts w:eastAsiaTheme="majorEastAsia"/>
          <w:rtl/>
        </w:rPr>
        <w:t>מִסְפָּר</w:t>
      </w:r>
      <w:r>
        <w:t xml:space="preserve">, „Zahl, Anzahl" – „nach der Zahl", mit </w:t>
      </w:r>
      <w:r>
        <w:rPr>
          <w:rStyle w:val="Fett"/>
          <w:rFonts w:eastAsiaTheme="majorEastAsia"/>
        </w:rPr>
        <w:t>Waw</w:t>
      </w:r>
      <w:r>
        <w:t xml:space="preserve"> consecutives Perfekt).</w:t>
      </w:r>
    </w:p>
    <w:p w14:paraId="2B400128" w14:textId="1168CC92" w:rsidR="00166F02" w:rsidRDefault="00166F02" w:rsidP="00166F02">
      <w:pPr>
        <w:pStyle w:val="whitespace-normal"/>
      </w:pPr>
      <w:r>
        <w:t xml:space="preserve">Der Vers beschreibt den Fall, dass der Schuldige körperliche Züchtigung verdient. Die Bedingung: </w:t>
      </w:r>
      <w:r>
        <w:rPr>
          <w:rStyle w:val="Fett"/>
          <w:rFonts w:eastAsiaTheme="majorEastAsia"/>
          <w:rtl/>
        </w:rPr>
        <w:t>וְהָיָה אִם־בִּן הַכּוֹת הָרָשָׁע</w:t>
      </w:r>
      <w:r>
        <w:rPr>
          <w:rtl/>
        </w:rPr>
        <w:t xml:space="preserve"> </w:t>
      </w:r>
      <w:r>
        <w:t xml:space="preserve">(„und es soll geschehen, wenn Sohn des Schlagens ist der Schuldige"). Die Wendung </w:t>
      </w:r>
      <w:r>
        <w:rPr>
          <w:rStyle w:val="Fett"/>
          <w:rFonts w:eastAsiaTheme="majorEastAsia"/>
          <w:rtl/>
        </w:rPr>
        <w:t>בֵּן הַכּוֹת</w:t>
      </w:r>
      <w:r>
        <w:rPr>
          <w:rtl/>
        </w:rPr>
        <w:t xml:space="preserve"> </w:t>
      </w:r>
      <w:r>
        <w:t xml:space="preserve">(„Sohn des Schlagens") ist idiomatisch und bedeutet „schlagenswert, Schläge verdienend" (vgl. </w:t>
      </w:r>
      <w:r w:rsidR="00664EB6">
        <w:t>1Sam</w:t>
      </w:r>
      <w:r>
        <w:t xml:space="preserve"> 20,31: </w:t>
      </w:r>
      <w:r>
        <w:rPr>
          <w:rStyle w:val="Fett"/>
          <w:rFonts w:eastAsiaTheme="majorEastAsia"/>
          <w:rtl/>
        </w:rPr>
        <w:t>בֶּן־מָוֶת</w:t>
      </w:r>
      <w:r>
        <w:t xml:space="preserve">, „Sohn des Todes" = „todeswürdig"). Der </w:t>
      </w:r>
      <w:r>
        <w:rPr>
          <w:rStyle w:val="Fett"/>
          <w:rFonts w:eastAsiaTheme="majorEastAsia"/>
          <w:rtl/>
        </w:rPr>
        <w:t>רָשָׁע</w:t>
      </w:r>
      <w:r>
        <w:rPr>
          <w:rtl/>
        </w:rPr>
        <w:t xml:space="preserve"> </w:t>
      </w:r>
      <w:r>
        <w:t xml:space="preserve">aus V. 1 verdient in diesem Fall körperliche Züchtigung. Die erste Anweisung: </w:t>
      </w:r>
      <w:r>
        <w:rPr>
          <w:rStyle w:val="Fett"/>
          <w:rFonts w:eastAsiaTheme="majorEastAsia"/>
          <w:rtl/>
        </w:rPr>
        <w:t>וְהִפִּילוֹ הַשֹּׁפֵט</w:t>
      </w:r>
      <w:r>
        <w:rPr>
          <w:rtl/>
        </w:rPr>
        <w:t xml:space="preserve"> </w:t>
      </w:r>
      <w:r>
        <w:t xml:space="preserve">(„und niederlegen lassen soll ihn der Richter"). Das Verb </w:t>
      </w:r>
      <w:r>
        <w:rPr>
          <w:rStyle w:val="Fett"/>
          <w:rFonts w:eastAsiaTheme="majorEastAsia"/>
          <w:rtl/>
        </w:rPr>
        <w:t>נפל</w:t>
      </w:r>
      <w:r>
        <w:rPr>
          <w:rtl/>
        </w:rPr>
        <w:t xml:space="preserve"> </w:t>
      </w:r>
      <w:r>
        <w:t xml:space="preserve">im Hiphil („niederfallen lassen, hinlegen") – der Verurteilte wird zu Boden gelegt (wahrscheinlich auf den Bauch oder die Seite), um geschlagen zu werden. Der </w:t>
      </w:r>
      <w:r>
        <w:rPr>
          <w:rStyle w:val="Fett"/>
          <w:rFonts w:eastAsiaTheme="majorEastAsia"/>
          <w:rtl/>
        </w:rPr>
        <w:t>שֹׁפֵט</w:t>
      </w:r>
      <w:r>
        <w:rPr>
          <w:rtl/>
        </w:rPr>
        <w:t xml:space="preserve"> </w:t>
      </w:r>
      <w:r>
        <w:t xml:space="preserve">(„Richter") überwacht die Ausführung. Die zweite Anweisung: </w:t>
      </w:r>
      <w:r>
        <w:rPr>
          <w:rStyle w:val="Fett"/>
          <w:rFonts w:eastAsiaTheme="majorEastAsia"/>
          <w:rtl/>
        </w:rPr>
        <w:t>וְהִכָּהוּ לְפָנָיו כְּדֵי רִשְׁעָתוֹ בְּמִסְפָּר</w:t>
      </w:r>
      <w:r>
        <w:rPr>
          <w:rtl/>
        </w:rPr>
        <w:t xml:space="preserve"> </w:t>
      </w:r>
      <w:r>
        <w:t xml:space="preserve">(„und schlagen sollen sie ihn vor ihm, nach dem Maß seiner Schuld, nach der Zahl"). Das Verb </w:t>
      </w:r>
      <w:r>
        <w:rPr>
          <w:rStyle w:val="Fett"/>
          <w:rFonts w:eastAsiaTheme="majorEastAsia"/>
          <w:rtl/>
        </w:rPr>
        <w:t>נכה</w:t>
      </w:r>
      <w:r>
        <w:rPr>
          <w:rtl/>
        </w:rPr>
        <w:t xml:space="preserve"> </w:t>
      </w:r>
      <w:r>
        <w:t xml:space="preserve">im Hiphil („schlagen") im Plural – die Gerichtsdiener schlagen den Verurteilten. Die Formulierung </w:t>
      </w:r>
      <w:r>
        <w:rPr>
          <w:rStyle w:val="Fett"/>
          <w:rFonts w:eastAsiaTheme="majorEastAsia"/>
          <w:rtl/>
        </w:rPr>
        <w:t>לְפָנָיו</w:t>
      </w:r>
      <w:r>
        <w:rPr>
          <w:rtl/>
        </w:rPr>
        <w:t xml:space="preserve"> </w:t>
      </w:r>
      <w:r>
        <w:t xml:space="preserve">(„vor ihm") – in Gegenwart des Richters, unter seiner Aufsicht. Die doppelte Präzisierung: (1) </w:t>
      </w:r>
      <w:r>
        <w:rPr>
          <w:rStyle w:val="Fett"/>
          <w:rFonts w:eastAsiaTheme="majorEastAsia"/>
          <w:rtl/>
        </w:rPr>
        <w:t>כְּדֵי רִשְׁעָתוֹ</w:t>
      </w:r>
      <w:r>
        <w:rPr>
          <w:rtl/>
        </w:rPr>
        <w:t xml:space="preserve"> </w:t>
      </w:r>
      <w:r>
        <w:t xml:space="preserve">(„nach dem Maß seiner Schuld") – die Anzahl der Schläge muss der Schwere des Verbrechens entsprechen. (2) </w:t>
      </w:r>
      <w:r>
        <w:rPr>
          <w:rStyle w:val="Fett"/>
          <w:rFonts w:eastAsiaTheme="majorEastAsia"/>
          <w:rtl/>
        </w:rPr>
        <w:t>בְּמִסְפָּר</w:t>
      </w:r>
      <w:r>
        <w:rPr>
          <w:rtl/>
        </w:rPr>
        <w:t xml:space="preserve"> </w:t>
      </w:r>
      <w:r>
        <w:t>(„nach der Zahl") – die Schläge müssen gezählt werden, eine bestimmte Anzahl. V. 3 wird die Obergrenze festlegen.</w:t>
      </w:r>
    </w:p>
    <w:p w14:paraId="54205B35" w14:textId="48CD97FA" w:rsidR="00A600C6" w:rsidRDefault="00A600C6" w:rsidP="00166F02">
      <w:pPr>
        <w:pStyle w:val="whitespace-normal"/>
      </w:pPr>
      <w:r>
        <w:rPr>
          <w:rStyle w:val="Fett"/>
        </w:rPr>
        <w:lastRenderedPageBreak/>
        <w:t>Die LXX</w:t>
      </w:r>
      <w:r>
        <w:t xml:space="preserve"> übersetzt </w:t>
      </w:r>
      <w:r>
        <w:rPr>
          <w:rtl/>
        </w:rPr>
        <w:t>בִּן הַכּוֹת</w:t>
      </w:r>
      <w:r>
        <w:t xml:space="preserve"> (Sohn des Schlagens = würdig zu schlagen) mit </w:t>
      </w:r>
      <w:proofErr w:type="spellStart"/>
      <w:r>
        <w:t>ἄξιος</w:t>
      </w:r>
      <w:proofErr w:type="spellEnd"/>
      <w:r>
        <w:t xml:space="preserve"> ᾖ π</w:t>
      </w:r>
      <w:proofErr w:type="spellStart"/>
      <w:r>
        <w:t>ληγῶν</w:t>
      </w:r>
      <w:proofErr w:type="spellEnd"/>
      <w:r>
        <w:t xml:space="preserve"> (würdig sei von Schlägen) – eine interpretative Wiedergabe der hebräischen Idiomatik. Das Verb κα</w:t>
      </w:r>
      <w:proofErr w:type="spellStart"/>
      <w:r>
        <w:t>θιεῖς</w:t>
      </w:r>
      <w:proofErr w:type="spellEnd"/>
      <w:r>
        <w:t xml:space="preserve"> (du wirst niedersetzen lassen) für </w:t>
      </w:r>
      <w:r>
        <w:rPr>
          <w:rtl/>
        </w:rPr>
        <w:t>וְהִפִּילוֹ</w:t>
      </w:r>
      <w:r>
        <w:t xml:space="preserve"> ist präzise.</w:t>
      </w:r>
    </w:p>
    <w:p w14:paraId="5179287B" w14:textId="77777777" w:rsidR="00166F02" w:rsidRDefault="00166F02" w:rsidP="00166F02">
      <w:pPr>
        <w:pStyle w:val="whitespace-normal"/>
      </w:pPr>
      <w:r>
        <w:rPr>
          <w:rStyle w:val="Fett"/>
          <w:rFonts w:eastAsiaTheme="majorEastAsia"/>
        </w:rPr>
        <w:t>Die Satzstruktur:</w:t>
      </w:r>
      <w:r>
        <w:t xml:space="preserve"> Bedingung mit zwei Anweisungen (und es soll geschehen, wenn schlagenswert ist der Schuldige, und niederlegen lassen soll ihn der Richter, und schlagen sollen sie ihn vor ihm, nach dem Maß seiner Schuld, nach der Zahl).</w:t>
      </w:r>
    </w:p>
    <w:p w14:paraId="5FF87245" w14:textId="43A03920" w:rsidR="00166F02" w:rsidRDefault="00166F02" w:rsidP="00AB12A0">
      <w:pPr>
        <w:pStyle w:val="whitespace-normal"/>
      </w:pPr>
      <w:r>
        <w:rPr>
          <w:rStyle w:val="Fett"/>
          <w:rFonts w:eastAsiaTheme="majorEastAsia"/>
        </w:rPr>
        <w:t>Der Vers beschreibt:</w:t>
      </w:r>
      <w:r>
        <w:t xml:space="preserve"> Wenn der Verurteilte körperliche Züchtigung verdient, soll er niedergelegt und unter Aufsicht des Richters geschlagen werden, entsprechend seiner Schuld.</w:t>
      </w:r>
    </w:p>
    <w:p w14:paraId="59449B94" w14:textId="77777777" w:rsidR="00166F02" w:rsidRPr="00713867" w:rsidRDefault="00166F02" w:rsidP="00B53ACC">
      <w:pPr>
        <w:pStyle w:val="Bibelberschrift"/>
      </w:pPr>
      <w:r w:rsidRPr="00713867">
        <w:rPr>
          <w:rStyle w:val="Fett"/>
          <w:b/>
          <w:bCs w:val="0"/>
        </w:rPr>
        <w:t>Deuteronomium 25,3</w:t>
      </w:r>
    </w:p>
    <w:p w14:paraId="381166CA" w14:textId="77777777" w:rsidR="00166F02" w:rsidRDefault="00166F02" w:rsidP="00166F02">
      <w:pPr>
        <w:pStyle w:val="whitespace-normal"/>
      </w:pPr>
      <w:r>
        <w:rPr>
          <w:rStyle w:val="Fett"/>
          <w:rFonts w:eastAsiaTheme="majorEastAsia"/>
        </w:rPr>
        <w:t>Hebräisch:</w:t>
      </w:r>
      <w:r>
        <w:t xml:space="preserve"> </w:t>
      </w:r>
      <w:r>
        <w:rPr>
          <w:rtl/>
        </w:rPr>
        <w:t>אַרְבָּעִ֥ים יַכֶּ֖נּוּ לֹ֣א יֹסִ֑יף פֶּן־יֹסִ֨יף לְהַכֹּת֤וֹ עַל־אֵ֨לֶּה֙ מַכָּ֣ה רַבָּ֔ה וְנִקְלָ֥ה אָחִ֖יךָ לְעֵינֶֽיךָ׃</w:t>
      </w:r>
    </w:p>
    <w:p w14:paraId="0EA12E0D" w14:textId="77777777" w:rsidR="00166F02" w:rsidRDefault="00166F02" w:rsidP="00166F02">
      <w:pPr>
        <w:pStyle w:val="whitespace-normal"/>
      </w:pPr>
      <w:r>
        <w:rPr>
          <w:rStyle w:val="Fett"/>
          <w:rFonts w:eastAsiaTheme="majorEastAsia"/>
        </w:rPr>
        <w:t>Deutsch:</w:t>
      </w:r>
      <w:r>
        <w:t xml:space="preserve"> Vierzig [Schläge] soll man ihm geben, nicht mehr; damit er nicht, wenn man ihn über diese hinaus mit vielen Schlägen schlägt, dein Bruder verächtlich werde in deinen Augen.</w:t>
      </w:r>
    </w:p>
    <w:p w14:paraId="587053F5" w14:textId="77777777" w:rsidR="00166F02" w:rsidRDefault="004F5CEB" w:rsidP="00166F02">
      <w:r>
        <w:rPr>
          <w:noProof/>
        </w:rPr>
        <w:pict w14:anchorId="58AF1F85">
          <v:rect id="_x0000_i1675" style="width:0;height:1.5pt" o:hralign="center" o:hrstd="t" o:hr="t" fillcolor="#a0a0a0" stroked="f"/>
        </w:pict>
      </w:r>
    </w:p>
    <w:p w14:paraId="6851B06C"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אַרְבָּעִים יַכֶּנּוּ לֹא יֹסִיף פֶּן־יֹסִיף לְהַכֹּתוֹ עַל־אֵלֶּה מַכָּה רַבָּה וְנִקְלָה אָחִיךָ לְעֵינֶיךָ</w:t>
      </w:r>
      <w:r>
        <w:rPr>
          <w:rtl/>
        </w:rPr>
        <w:t xml:space="preserve"> </w:t>
      </w:r>
      <w:r>
        <w:t xml:space="preserve">sind drei Anweisungen mit Begründung: </w:t>
      </w:r>
      <w:r>
        <w:rPr>
          <w:rStyle w:val="Fett"/>
          <w:rFonts w:eastAsiaTheme="majorEastAsia"/>
          <w:rtl/>
        </w:rPr>
        <w:t>אַרְבָּעִים יַכֶּנּוּ</w:t>
      </w:r>
      <w:r>
        <w:rPr>
          <w:rtl/>
        </w:rPr>
        <w:t xml:space="preserve"> </w:t>
      </w:r>
      <w:r>
        <w:t>(</w:t>
      </w:r>
      <w:r>
        <w:rPr>
          <w:rStyle w:val="Fett"/>
          <w:rFonts w:eastAsiaTheme="majorEastAsia"/>
          <w:rtl/>
        </w:rPr>
        <w:t>אַרְבָּעִים</w:t>
      </w:r>
      <w:r>
        <w:t xml:space="preserve">, „vierzig", </w:t>
      </w:r>
      <w:r>
        <w:rPr>
          <w:rStyle w:val="Fett"/>
          <w:rFonts w:eastAsiaTheme="majorEastAsia"/>
          <w:rtl/>
        </w:rPr>
        <w:t>נכה</w:t>
      </w:r>
      <w:r>
        <w:t xml:space="preserve">, Hiphil Imperfekt, 3. Person Maskulinum Singular, mit Suffix 3. Person Maskulinum Singular – Energicus), </w:t>
      </w:r>
      <w:r>
        <w:rPr>
          <w:rStyle w:val="Fett"/>
          <w:rFonts w:eastAsiaTheme="majorEastAsia"/>
          <w:rtl/>
        </w:rPr>
        <w:t>לֹא יֹסִיף</w:t>
      </w:r>
      <w:r>
        <w:rPr>
          <w:rtl/>
        </w:rPr>
        <w:t xml:space="preserve"> </w:t>
      </w:r>
      <w:r>
        <w:t xml:space="preserve">(Negation mit </w:t>
      </w:r>
      <w:r>
        <w:rPr>
          <w:rStyle w:val="Fett"/>
          <w:rFonts w:eastAsiaTheme="majorEastAsia"/>
          <w:rtl/>
        </w:rPr>
        <w:t>יסף</w:t>
      </w:r>
      <w:r>
        <w:t xml:space="preserve">, Hiphil Imperfekt, 3. Person Maskulinum Singular, „hinzufügen, mehr geben"), </w:t>
      </w:r>
      <w:r>
        <w:rPr>
          <w:rStyle w:val="Fett"/>
          <w:rFonts w:eastAsiaTheme="majorEastAsia"/>
          <w:rtl/>
        </w:rPr>
        <w:t>פֶּן־יֹסִיף לְהַכֹּתוֹ עַל־אֵלֶּה מַכָּה רַבָּה וְנִקְלָה אָחִיךָ לְעֵינֶיךָ</w:t>
      </w:r>
      <w:r>
        <w:rPr>
          <w:rtl/>
        </w:rPr>
        <w:t xml:space="preserve"> </w:t>
      </w:r>
      <w:r>
        <w:t xml:space="preserve">(Negativ-Finalsatz: </w:t>
      </w:r>
      <w:r>
        <w:rPr>
          <w:rStyle w:val="Fett"/>
          <w:rFonts w:eastAsiaTheme="majorEastAsia"/>
          <w:rtl/>
        </w:rPr>
        <w:t>פֶּן</w:t>
      </w:r>
      <w:r>
        <w:t xml:space="preserve">, „damit nicht", mit </w:t>
      </w:r>
      <w:r>
        <w:rPr>
          <w:rStyle w:val="Fett"/>
          <w:rFonts w:eastAsiaTheme="majorEastAsia"/>
          <w:rtl/>
        </w:rPr>
        <w:t>יסף</w:t>
      </w:r>
      <w:r>
        <w:t xml:space="preserve">, Hiphil Imperfekt, 3. Person Maskulinum Singular, Präposition </w:t>
      </w:r>
      <w:r>
        <w:rPr>
          <w:rStyle w:val="Fett"/>
          <w:rFonts w:eastAsiaTheme="majorEastAsia"/>
          <w:rtl/>
        </w:rPr>
        <w:t>לְ</w:t>
      </w:r>
      <w:r>
        <w:rPr>
          <w:rtl/>
        </w:rPr>
        <w:t xml:space="preserve"> </w:t>
      </w:r>
      <w:r>
        <w:t xml:space="preserve">mit Hiphil Infinitiv Construct von </w:t>
      </w:r>
      <w:r>
        <w:rPr>
          <w:rStyle w:val="Fett"/>
          <w:rFonts w:eastAsiaTheme="majorEastAsia"/>
          <w:rtl/>
        </w:rPr>
        <w:t>נכה</w:t>
      </w:r>
      <w:r>
        <w:t xml:space="preserve">, mit Suffix 3. Person Maskulinum Singular, Präposition </w:t>
      </w:r>
      <w:r>
        <w:rPr>
          <w:rStyle w:val="Fett"/>
          <w:rFonts w:eastAsiaTheme="majorEastAsia"/>
          <w:rtl/>
        </w:rPr>
        <w:t>עַל</w:t>
      </w:r>
      <w:r>
        <w:rPr>
          <w:rtl/>
        </w:rPr>
        <w:t xml:space="preserve"> </w:t>
      </w:r>
      <w:r>
        <w:t xml:space="preserve">mit </w:t>
      </w:r>
      <w:r>
        <w:rPr>
          <w:rStyle w:val="Fett"/>
          <w:rFonts w:eastAsiaTheme="majorEastAsia"/>
          <w:rtl/>
        </w:rPr>
        <w:t>אֵלֶּה</w:t>
      </w:r>
      <w:r>
        <w:t xml:space="preserve">, „diese", </w:t>
      </w:r>
      <w:r>
        <w:rPr>
          <w:rStyle w:val="Fett"/>
          <w:rFonts w:eastAsiaTheme="majorEastAsia"/>
          <w:rtl/>
        </w:rPr>
        <w:t>מַכָּה רַבָּה</w:t>
      </w:r>
      <w:r>
        <w:t xml:space="preserve">, </w:t>
      </w:r>
      <w:r>
        <w:rPr>
          <w:rStyle w:val="Fett"/>
          <w:rFonts w:eastAsiaTheme="majorEastAsia"/>
          <w:rtl/>
        </w:rPr>
        <w:t>מַכָּה</w:t>
      </w:r>
      <w:r>
        <w:t xml:space="preserve">, „Schlag, Wunde", </w:t>
      </w:r>
      <w:r>
        <w:rPr>
          <w:rStyle w:val="Fett"/>
          <w:rFonts w:eastAsiaTheme="majorEastAsia"/>
          <w:rtl/>
        </w:rPr>
        <w:t>רַב</w:t>
      </w:r>
      <w:r>
        <w:t xml:space="preserve">, „viel, groß" – Adjektiv Femininum, koordiniert durch </w:t>
      </w:r>
      <w:r>
        <w:rPr>
          <w:rStyle w:val="Fett"/>
          <w:rFonts w:eastAsiaTheme="majorEastAsia"/>
          <w:rtl/>
        </w:rPr>
        <w:t>וְ</w:t>
      </w:r>
      <w:r>
        <w:rPr>
          <w:rtl/>
        </w:rPr>
        <w:t xml:space="preserve"> </w:t>
      </w:r>
      <w:r>
        <w:t xml:space="preserve">mit </w:t>
      </w:r>
      <w:r>
        <w:rPr>
          <w:rStyle w:val="Fett"/>
          <w:rFonts w:eastAsiaTheme="majorEastAsia"/>
          <w:rtl/>
        </w:rPr>
        <w:t>קלה</w:t>
      </w:r>
      <w:r>
        <w:t xml:space="preserve">, Niphal Perfekt, 3. Person Maskulinum Singular, „gering/verächtlich werden, entehrt werden", </w:t>
      </w:r>
      <w:r>
        <w:rPr>
          <w:rStyle w:val="Fett"/>
          <w:rFonts w:eastAsiaTheme="majorEastAsia"/>
          <w:rtl/>
        </w:rPr>
        <w:t>אָח</w:t>
      </w:r>
      <w:r>
        <w:rPr>
          <w:rtl/>
        </w:rPr>
        <w:t xml:space="preserve"> </w:t>
      </w:r>
      <w:r>
        <w:t xml:space="preserve">mit Suffix 2. Person Maskulinum Singular als Subjekt, </w:t>
      </w:r>
      <w:r>
        <w:rPr>
          <w:rStyle w:val="Fett"/>
          <w:rFonts w:eastAsiaTheme="majorEastAsia"/>
          <w:rtl/>
        </w:rPr>
        <w:t>לְעֵינֶיךָ</w:t>
      </w:r>
      <w:r>
        <w:t xml:space="preserve">, Präposition </w:t>
      </w:r>
      <w:r>
        <w:rPr>
          <w:rStyle w:val="Fett"/>
          <w:rFonts w:eastAsiaTheme="majorEastAsia"/>
          <w:rtl/>
        </w:rPr>
        <w:t>לְ</w:t>
      </w:r>
      <w:r>
        <w:rPr>
          <w:rtl/>
        </w:rPr>
        <w:t xml:space="preserve"> </w:t>
      </w:r>
      <w:r>
        <w:t xml:space="preserve">mit </w:t>
      </w:r>
      <w:r>
        <w:rPr>
          <w:rStyle w:val="Fett"/>
          <w:rFonts w:eastAsiaTheme="majorEastAsia"/>
          <w:rtl/>
        </w:rPr>
        <w:t>עַיִן</w:t>
      </w:r>
      <w:r>
        <w:rPr>
          <w:rtl/>
        </w:rPr>
        <w:t xml:space="preserve"> </w:t>
      </w:r>
      <w:r>
        <w:t xml:space="preserve">Dual Construct mit Suffix 2. Person Maskulinum Singular, mit </w:t>
      </w:r>
      <w:r>
        <w:rPr>
          <w:rStyle w:val="Fett"/>
          <w:rFonts w:eastAsiaTheme="majorEastAsia"/>
        </w:rPr>
        <w:t>Waw</w:t>
      </w:r>
      <w:r>
        <w:t xml:space="preserve"> consecutives Perfekt).</w:t>
      </w:r>
    </w:p>
    <w:p w14:paraId="20EA17F2" w14:textId="26F234B8" w:rsidR="00166F02" w:rsidRDefault="00166F02" w:rsidP="00166F02">
      <w:pPr>
        <w:pStyle w:val="whitespace-normal"/>
      </w:pPr>
      <w:r>
        <w:t xml:space="preserve">Der Vers legt die Obergrenze für körperliche Züchtigung fest. Die erste Anweisung: </w:t>
      </w:r>
      <w:r>
        <w:rPr>
          <w:rStyle w:val="Fett"/>
          <w:rFonts w:eastAsiaTheme="majorEastAsia"/>
          <w:rtl/>
        </w:rPr>
        <w:t>אַרְבָּעִים יַכֶּנּוּ</w:t>
      </w:r>
      <w:r>
        <w:rPr>
          <w:rtl/>
        </w:rPr>
        <w:t xml:space="preserve"> </w:t>
      </w:r>
      <w:r>
        <w:t xml:space="preserve">(„vierzig [Schläge] soll man ihm geben"). Die Zahl </w:t>
      </w:r>
      <w:r>
        <w:rPr>
          <w:rStyle w:val="Fett"/>
          <w:rFonts w:eastAsiaTheme="majorEastAsia"/>
          <w:rtl/>
        </w:rPr>
        <w:t>אַרְבָּעִים</w:t>
      </w:r>
      <w:r>
        <w:rPr>
          <w:rtl/>
        </w:rPr>
        <w:t xml:space="preserve"> </w:t>
      </w:r>
      <w:r>
        <w:t xml:space="preserve">(„vierzig") ist die maximale Anzahl von Schlägen. Die zweite Anweisung: </w:t>
      </w:r>
      <w:r>
        <w:rPr>
          <w:rStyle w:val="Fett"/>
          <w:rFonts w:eastAsiaTheme="majorEastAsia"/>
          <w:rtl/>
        </w:rPr>
        <w:t>לֹא יֹסִיף</w:t>
      </w:r>
      <w:r>
        <w:rPr>
          <w:rtl/>
        </w:rPr>
        <w:t xml:space="preserve"> </w:t>
      </w:r>
      <w:r>
        <w:t xml:space="preserve">(„nicht mehr geben soll man") – man darf nicht über vierzig Schläge hinausgehen. Die Begründung: </w:t>
      </w:r>
      <w:r>
        <w:rPr>
          <w:rStyle w:val="Fett"/>
          <w:rFonts w:eastAsiaTheme="majorEastAsia"/>
          <w:rtl/>
        </w:rPr>
        <w:t>פֶּן־יֹסִיף לְהַכֹּתוֹ עַל־אֵלֶּה מַכָּה רַבָּה וְנִקְלָה אָחִיךָ לְעֵינֶיךָ</w:t>
      </w:r>
      <w:r>
        <w:rPr>
          <w:rtl/>
        </w:rPr>
        <w:t xml:space="preserve"> </w:t>
      </w:r>
      <w:r>
        <w:t xml:space="preserve">(„damit nicht man hinzufügt, ihn zu schlagen über diese hinaus [mit] einem großen Schlag, und verächtlich wird dein Bruder in deinen Augen"). Die Präposition </w:t>
      </w:r>
      <w:r>
        <w:rPr>
          <w:rStyle w:val="Fett"/>
          <w:rFonts w:eastAsiaTheme="majorEastAsia"/>
          <w:rtl/>
        </w:rPr>
        <w:t>פֶּן</w:t>
      </w:r>
      <w:r>
        <w:rPr>
          <w:rtl/>
        </w:rPr>
        <w:t xml:space="preserve"> </w:t>
      </w:r>
      <w:r>
        <w:t xml:space="preserve">(„damit nicht, dass nicht") leitet einen Negativ-Finalsatz ein. Die Formulierung </w:t>
      </w:r>
      <w:r>
        <w:rPr>
          <w:rStyle w:val="Fett"/>
          <w:rFonts w:eastAsiaTheme="majorEastAsia"/>
          <w:rtl/>
        </w:rPr>
        <w:t>יֹסִיף לְהַכֹּתוֹ עַל־אֵלֶּה מַכָּה רַבָּה</w:t>
      </w:r>
      <w:r>
        <w:rPr>
          <w:rtl/>
        </w:rPr>
        <w:t xml:space="preserve"> </w:t>
      </w:r>
      <w:r>
        <w:t xml:space="preserve">(„hinzufügen, ihn zu schlagen über diese hinaus [mit] einem großen Schlag") – wenn man zu viele Schläge gibt. Die Konsequenz: </w:t>
      </w:r>
      <w:r>
        <w:rPr>
          <w:rStyle w:val="Fett"/>
          <w:rFonts w:eastAsiaTheme="majorEastAsia"/>
          <w:rtl/>
        </w:rPr>
        <w:t>וְנִקְלָה אָחִיךָ לְעֵינֶיךָ</w:t>
      </w:r>
      <w:r>
        <w:rPr>
          <w:rtl/>
        </w:rPr>
        <w:t xml:space="preserve"> </w:t>
      </w:r>
      <w:r>
        <w:t xml:space="preserve">(„und verächtlich wird dein Bruder in deinen Augen"). Das Verb </w:t>
      </w:r>
      <w:r>
        <w:rPr>
          <w:rStyle w:val="Fett"/>
          <w:rFonts w:eastAsiaTheme="majorEastAsia"/>
          <w:rtl/>
        </w:rPr>
        <w:t>קלה</w:t>
      </w:r>
      <w:r>
        <w:rPr>
          <w:rtl/>
        </w:rPr>
        <w:t xml:space="preserve"> </w:t>
      </w:r>
      <w:r>
        <w:t xml:space="preserve">im Niphal („gering werden, verächtlich werden, entehrt werden") – zu viele Schläge würden den Verurteilten erniedrigen, entmenschlichen. Das Wort </w:t>
      </w:r>
      <w:r>
        <w:rPr>
          <w:rStyle w:val="Fett"/>
          <w:rFonts w:eastAsiaTheme="majorEastAsia"/>
          <w:rtl/>
        </w:rPr>
        <w:t>אָח</w:t>
      </w:r>
      <w:r>
        <w:rPr>
          <w:rtl/>
        </w:rPr>
        <w:t xml:space="preserve"> </w:t>
      </w:r>
      <w:r>
        <w:t xml:space="preserve">(„Bruder") betont: Trotz seiner Schuld ist er immer noch ein Mitisraelit, ein Bundesbruder, und verdient menschliche Würde. Die Formulierung </w:t>
      </w:r>
      <w:r>
        <w:rPr>
          <w:rStyle w:val="Fett"/>
          <w:rFonts w:eastAsiaTheme="majorEastAsia"/>
          <w:rtl/>
        </w:rPr>
        <w:t>לְעֵינֶיךָ</w:t>
      </w:r>
      <w:r>
        <w:rPr>
          <w:rtl/>
        </w:rPr>
        <w:t xml:space="preserve"> </w:t>
      </w:r>
      <w:r>
        <w:t xml:space="preserve">(„in deinen </w:t>
      </w:r>
      <w:r>
        <w:lastRenderedPageBreak/>
        <w:t>Augen") – öffentliche Demütigung. Die Ratio: Die Strafe soll angemessen sein und die Würde des Verurteilten nicht zerstören. Historische Praxis: In der rabbinischen Tradition (Mischna Makkot 3,10) wurden maximal 39 Schläge gegeben (eine weniger als das Maximum, um sicherzustellen, dass man nicht versehentlich zu viele gab). Paulus erwähnt dies in 2 Kor 11,24: „von den Juden habe ich fünfmal empfangen vierzig [Schläge] weniger einen".</w:t>
      </w:r>
    </w:p>
    <w:p w14:paraId="34DD3902" w14:textId="332A18CE" w:rsidR="00A600C6" w:rsidRDefault="00A600C6" w:rsidP="00166F02">
      <w:pPr>
        <w:pStyle w:val="whitespace-normal"/>
      </w:pPr>
      <w:r>
        <w:rPr>
          <w:rStyle w:val="Fett"/>
        </w:rPr>
        <w:t>Die LXX</w:t>
      </w:r>
      <w:r>
        <w:t xml:space="preserve"> übersetzt </w:t>
      </w:r>
      <w:r>
        <w:rPr>
          <w:rtl/>
        </w:rPr>
        <w:t>וְנִקְלָה אָחִיךָ לְעֵינֶיךָ</w:t>
      </w:r>
      <w:r>
        <w:t xml:space="preserve"> (und dein Bruder wird verächtlich gemacht vor deinen Augen) mit </w:t>
      </w:r>
      <w:proofErr w:type="spellStart"/>
      <w:r>
        <w:t>ἀσχημονήσει</w:t>
      </w:r>
      <w:proofErr w:type="spellEnd"/>
      <w:r>
        <w:t xml:space="preserve"> ὁ </w:t>
      </w:r>
      <w:proofErr w:type="spellStart"/>
      <w:r>
        <w:t>ἀδελφός</w:t>
      </w:r>
      <w:proofErr w:type="spellEnd"/>
      <w:r>
        <w:t xml:space="preserve"> </w:t>
      </w:r>
      <w:proofErr w:type="spellStart"/>
      <w:r>
        <w:t>σου</w:t>
      </w:r>
      <w:proofErr w:type="spellEnd"/>
      <w:r>
        <w:t xml:space="preserve"> </w:t>
      </w:r>
      <w:proofErr w:type="spellStart"/>
      <w:r>
        <w:t>ἐν</w:t>
      </w:r>
      <w:proofErr w:type="spellEnd"/>
      <w:r>
        <w:t xml:space="preserve">αντίον </w:t>
      </w:r>
      <w:proofErr w:type="spellStart"/>
      <w:r>
        <w:t>σου</w:t>
      </w:r>
      <w:proofErr w:type="spellEnd"/>
      <w:r>
        <w:t xml:space="preserve"> (dein Bruder wird entehrt werden vor dir) – </w:t>
      </w:r>
      <w:proofErr w:type="spellStart"/>
      <w:r>
        <w:t>ἀσχημονέω</w:t>
      </w:r>
      <w:proofErr w:type="spellEnd"/>
      <w:r>
        <w:t xml:space="preserve"> bedeutet "unanständig/schändlich behandelt werden".</w:t>
      </w:r>
    </w:p>
    <w:p w14:paraId="4FA56A4B" w14:textId="77777777" w:rsidR="00166F02" w:rsidRDefault="00166F02" w:rsidP="00166F02">
      <w:pPr>
        <w:pStyle w:val="whitespace-normal"/>
      </w:pPr>
      <w:r>
        <w:rPr>
          <w:rStyle w:val="Fett"/>
          <w:rFonts w:eastAsiaTheme="majorEastAsia"/>
        </w:rPr>
        <w:t>Die Satzstruktur:</w:t>
      </w:r>
      <w:r>
        <w:t xml:space="preserve"> Zwei Anweisungen mit Begründung (vierzig soll man ihm geben, nicht mehr geben soll man; damit nicht man hinzufügt, ihn zu schlagen über diese hinaus [mit] einem großen Schlag, und verächtlich wird dein Bruder in deinen Augen).</w:t>
      </w:r>
    </w:p>
    <w:p w14:paraId="42D00483" w14:textId="79BC0F54" w:rsidR="00166F02" w:rsidRDefault="00166F02" w:rsidP="00AB12A0">
      <w:pPr>
        <w:pStyle w:val="whitespace-normal"/>
      </w:pPr>
      <w:r>
        <w:rPr>
          <w:rStyle w:val="Fett"/>
          <w:rFonts w:eastAsiaTheme="majorEastAsia"/>
        </w:rPr>
        <w:t>Der Vers beschreibt:</w:t>
      </w:r>
      <w:r>
        <w:t xml:space="preserve"> Maximum von vierzig Schlägen – mehr würde die Würde des Verurteilten zerstören und ihn verächtlich machen.</w:t>
      </w:r>
    </w:p>
    <w:p w14:paraId="4149E83C" w14:textId="77777777" w:rsidR="00166F02" w:rsidRPr="00713867" w:rsidRDefault="00166F02" w:rsidP="00B53ACC">
      <w:pPr>
        <w:pStyle w:val="Bibelberschrift"/>
      </w:pPr>
      <w:r w:rsidRPr="00713867">
        <w:rPr>
          <w:rStyle w:val="Fett"/>
          <w:b/>
          <w:bCs w:val="0"/>
        </w:rPr>
        <w:t>Deuteronomium 25,4</w:t>
      </w:r>
    </w:p>
    <w:p w14:paraId="4B5F2D0C" w14:textId="77777777" w:rsidR="00166F02" w:rsidRDefault="00166F02" w:rsidP="00166F02">
      <w:pPr>
        <w:pStyle w:val="whitespace-normal"/>
      </w:pPr>
      <w:r>
        <w:rPr>
          <w:rStyle w:val="Fett"/>
          <w:rFonts w:eastAsiaTheme="majorEastAsia"/>
        </w:rPr>
        <w:t>Hebräisch:</w:t>
      </w:r>
      <w:r>
        <w:t xml:space="preserve"> </w:t>
      </w:r>
      <w:r>
        <w:rPr>
          <w:rtl/>
        </w:rPr>
        <w:t>לֹא־תַחְסֹ֥ם שׁ֖וֹר בְּדִישֹֽׁו׃</w:t>
      </w:r>
    </w:p>
    <w:p w14:paraId="1D500ABD" w14:textId="274552E4" w:rsidR="00166F02" w:rsidRDefault="00166F02" w:rsidP="00166F02">
      <w:pPr>
        <w:pStyle w:val="whitespace-normal"/>
      </w:pPr>
      <w:r>
        <w:rPr>
          <w:rStyle w:val="Fett"/>
          <w:rFonts w:eastAsiaTheme="majorEastAsia"/>
        </w:rPr>
        <w:t>Deutsch:</w:t>
      </w:r>
      <w:r>
        <w:t xml:space="preserve"> </w:t>
      </w:r>
      <w:r w:rsidR="007064FD">
        <w:t>Du sollst dem Ochsen nicht das Maul verbinden,</w:t>
      </w:r>
      <w:r>
        <w:t xml:space="preserve"> wenn er drischt.</w:t>
      </w:r>
    </w:p>
    <w:p w14:paraId="22B8C549" w14:textId="77777777" w:rsidR="00166F02" w:rsidRDefault="004F5CEB" w:rsidP="00166F02">
      <w:r>
        <w:rPr>
          <w:noProof/>
        </w:rPr>
        <w:pict w14:anchorId="5EF13C01">
          <v:rect id="_x0000_i1676" style="width:0;height:1.5pt" o:hralign="center" o:hrstd="t" o:hr="t" fillcolor="#a0a0a0" stroked="f"/>
        </w:pict>
      </w:r>
    </w:p>
    <w:p w14:paraId="25754615"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לֹא־תַחְסֹם שׁוֹר בְּדִישׁוֹ</w:t>
      </w:r>
      <w:r>
        <w:rPr>
          <w:rtl/>
        </w:rPr>
        <w:t xml:space="preserve"> </w:t>
      </w:r>
      <w:r>
        <w:t xml:space="preserve">ist ein Verbot: </w:t>
      </w:r>
      <w:r>
        <w:rPr>
          <w:rStyle w:val="Fett"/>
          <w:rFonts w:eastAsiaTheme="majorEastAsia"/>
          <w:rtl/>
        </w:rPr>
        <w:t>לֹא־תַחְסֹם שׁוֹר</w:t>
      </w:r>
      <w:r>
        <w:rPr>
          <w:rtl/>
        </w:rPr>
        <w:t xml:space="preserve"> </w:t>
      </w:r>
      <w:r>
        <w:t xml:space="preserve">(Negation mit </w:t>
      </w:r>
      <w:r>
        <w:rPr>
          <w:rStyle w:val="Fett"/>
          <w:rFonts w:eastAsiaTheme="majorEastAsia"/>
          <w:rtl/>
        </w:rPr>
        <w:t>חסם</w:t>
      </w:r>
      <w:r>
        <w:t>, Qal Imperfekt, 2. Person Maskulinum Singular, „</w:t>
      </w:r>
      <w:proofErr w:type="spellStart"/>
      <w:r>
        <w:t>maulkorben</w:t>
      </w:r>
      <w:proofErr w:type="spellEnd"/>
      <w:r>
        <w:t xml:space="preserve">, einen Maulkorb anlegen", </w:t>
      </w:r>
      <w:r>
        <w:rPr>
          <w:rStyle w:val="Fett"/>
          <w:rFonts w:eastAsiaTheme="majorEastAsia"/>
          <w:rtl/>
        </w:rPr>
        <w:t>שׁוֹר</w:t>
      </w:r>
      <w:r>
        <w:t xml:space="preserve">, „Ochse, Rind"), </w:t>
      </w:r>
      <w:r>
        <w:rPr>
          <w:rStyle w:val="Fett"/>
          <w:rFonts w:eastAsiaTheme="majorEastAsia"/>
          <w:rtl/>
        </w:rPr>
        <w:t>בְּדִישׁוֹ</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דּוּשׁ</w:t>
      </w:r>
      <w:r>
        <w:t xml:space="preserve">, Qal Infinitiv Construct von </w:t>
      </w:r>
      <w:r>
        <w:rPr>
          <w:rStyle w:val="Fett"/>
          <w:rFonts w:eastAsiaTheme="majorEastAsia"/>
          <w:rtl/>
        </w:rPr>
        <w:t>דּוּשׁ</w:t>
      </w:r>
      <w:r>
        <w:t>, „dreschen", mit Suffix 3. Person Maskulinum Singular – „wenn er drischt, beim Dreschen").</w:t>
      </w:r>
    </w:p>
    <w:p w14:paraId="1F0E4ED3" w14:textId="77A2164F" w:rsidR="00166F02" w:rsidRDefault="00166F02" w:rsidP="00166F02">
      <w:pPr>
        <w:pStyle w:val="whitespace-normal"/>
      </w:pPr>
      <w:r>
        <w:t xml:space="preserve">Der Vers gibt ein scheinbar unvermitteltes humanitäres Gesetz für Arbeitstiere. Das Verbot: </w:t>
      </w:r>
      <w:r>
        <w:rPr>
          <w:rStyle w:val="Fett"/>
          <w:rFonts w:eastAsiaTheme="majorEastAsia"/>
          <w:rtl/>
        </w:rPr>
        <w:t>לֹא־תַחְסֹם שׁוֹר בְּדִישׁוֹ</w:t>
      </w:r>
      <w:r>
        <w:rPr>
          <w:rtl/>
        </w:rPr>
        <w:t xml:space="preserve"> </w:t>
      </w:r>
      <w:r>
        <w:t xml:space="preserve">(„nicht </w:t>
      </w:r>
      <w:proofErr w:type="spellStart"/>
      <w:r>
        <w:t>maulkorben</w:t>
      </w:r>
      <w:proofErr w:type="spellEnd"/>
      <w:r>
        <w:t xml:space="preserve"> sollst du einen Ochsen, wenn er drischt"). Das Verb </w:t>
      </w:r>
      <w:r>
        <w:rPr>
          <w:rStyle w:val="Fett"/>
          <w:rFonts w:eastAsiaTheme="majorEastAsia"/>
          <w:rtl/>
        </w:rPr>
        <w:t>חסם</w:t>
      </w:r>
      <w:r>
        <w:rPr>
          <w:rtl/>
        </w:rPr>
        <w:t xml:space="preserve"> </w:t>
      </w:r>
      <w:r>
        <w:t>(„</w:t>
      </w:r>
      <w:proofErr w:type="spellStart"/>
      <w:r>
        <w:t>maulkorben</w:t>
      </w:r>
      <w:proofErr w:type="spellEnd"/>
      <w:r>
        <w:t xml:space="preserve">, einen Maulkorb anlegen") – </w:t>
      </w:r>
      <w:proofErr w:type="spellStart"/>
      <w:r>
        <w:t>einen</w:t>
      </w:r>
      <w:proofErr w:type="spellEnd"/>
      <w:r>
        <w:t xml:space="preserve"> Ochsen daran hindern, vom Getreide zu fressen. Der </w:t>
      </w:r>
      <w:r>
        <w:rPr>
          <w:rStyle w:val="Fett"/>
          <w:rFonts w:eastAsiaTheme="majorEastAsia"/>
          <w:rtl/>
        </w:rPr>
        <w:t>שׁוֹר</w:t>
      </w:r>
      <w:r>
        <w:rPr>
          <w:rtl/>
        </w:rPr>
        <w:t xml:space="preserve"> </w:t>
      </w:r>
      <w:r>
        <w:t xml:space="preserve">(„Ochse") wurde zum Dreschen verwendet: Man ließ ihn über die Garben laufen oder einen Dreschschlitten ziehen, um die Körner von den Ähren zu trennen. Die Formulierung </w:t>
      </w:r>
      <w:r>
        <w:rPr>
          <w:rStyle w:val="Fett"/>
          <w:rFonts w:eastAsiaTheme="majorEastAsia"/>
          <w:rtl/>
        </w:rPr>
        <w:t>בְּדִישׁוֹ</w:t>
      </w:r>
      <w:r>
        <w:rPr>
          <w:rtl/>
        </w:rPr>
        <w:t xml:space="preserve"> </w:t>
      </w:r>
      <w:r>
        <w:t>(„wenn er drischt, beim Dreschen") – während der Ochse arbeitet. Der Ochse soll vom Getreide fressen dürfen, an dem er arbeitet. Die Ratio: (1) Humanität gegenüber Tieren – selbst Arbeitstiere haben ein Recht auf Nahrung bei der Arbeit. (2) Fairness – wer arbeitet, soll davon profitieren. Die Verbindung zum Kontext ist unklar – vielleicht folgt das Gesetz auf V. 1-3 als Beispiel für maßvolle Behandlung (selbst von Tieren)? Oder es bereitet V. 5ff vor, die mit Familien- und Erbrecht zu tun haben? Paulus zitiert dieses Gesetz zweimal (1 Kor 9,9-10; 1 Tim 5,18) und wendet es auf Prediger an: Wer im Evangelium arbeitet, soll davon leben dürfen. Paulus interpretiert das Gesetz als Prinzip, das über die wörtliche Bedeutung hinausgeht.</w:t>
      </w:r>
    </w:p>
    <w:p w14:paraId="203ECC5D" w14:textId="6364AC46" w:rsidR="00A600C6" w:rsidRDefault="00A600C6" w:rsidP="00166F02">
      <w:pPr>
        <w:pStyle w:val="whitespace-normal"/>
      </w:pPr>
      <w:r>
        <w:rPr>
          <w:rStyle w:val="Fett"/>
        </w:rPr>
        <w:t>Die LXX</w:t>
      </w:r>
      <w:r>
        <w:t xml:space="preserve"> übersetzt </w:t>
      </w:r>
      <w:r>
        <w:rPr>
          <w:rtl/>
        </w:rPr>
        <w:t>לֹא־תַחְסֹם שׁוֹר בְּדִישׁוֹ</w:t>
      </w:r>
      <w:r>
        <w:t xml:space="preserve"> (du sollst einem Ochsen beim Dreschen nicht das Maul verbinden) mit </w:t>
      </w:r>
      <w:proofErr w:type="spellStart"/>
      <w:r>
        <w:t>Οὐ</w:t>
      </w:r>
      <w:proofErr w:type="spellEnd"/>
      <w:r>
        <w:t xml:space="preserve"> </w:t>
      </w:r>
      <w:proofErr w:type="spellStart"/>
      <w:r>
        <w:t>φιμώσεις</w:t>
      </w:r>
      <w:proofErr w:type="spellEnd"/>
      <w:r>
        <w:t xml:space="preserve"> β</w:t>
      </w:r>
      <w:proofErr w:type="spellStart"/>
      <w:r>
        <w:t>οῦν</w:t>
      </w:r>
      <w:proofErr w:type="spellEnd"/>
      <w:r>
        <w:t xml:space="preserve"> </w:t>
      </w:r>
      <w:proofErr w:type="spellStart"/>
      <w:r>
        <w:t>ἀλοῶντ</w:t>
      </w:r>
      <w:proofErr w:type="spellEnd"/>
      <w:r>
        <w:t xml:space="preserve">α (du wirst einem dreschenden Ochsen nicht das </w:t>
      </w:r>
      <w:r>
        <w:lastRenderedPageBreak/>
        <w:t>Maul verbinden) – diese Formulierung wird im Neuen Testament (1 Kor 9,9; 1 Tim 5,18) wörtlich zitiert.</w:t>
      </w:r>
    </w:p>
    <w:p w14:paraId="02F2BB2A" w14:textId="77777777" w:rsidR="00166F02" w:rsidRDefault="00166F02" w:rsidP="00166F02">
      <w:pPr>
        <w:pStyle w:val="whitespace-normal"/>
      </w:pPr>
      <w:r>
        <w:rPr>
          <w:rStyle w:val="Fett"/>
          <w:rFonts w:eastAsiaTheme="majorEastAsia"/>
        </w:rPr>
        <w:t>Die Satzstruktur:</w:t>
      </w:r>
      <w:r>
        <w:t xml:space="preserve"> Einfaches Verbot (nicht </w:t>
      </w:r>
      <w:proofErr w:type="spellStart"/>
      <w:r>
        <w:t>maulkorben</w:t>
      </w:r>
      <w:proofErr w:type="spellEnd"/>
      <w:r>
        <w:t xml:space="preserve"> sollst du einen Ochsen, wenn er drischt).</w:t>
      </w:r>
    </w:p>
    <w:p w14:paraId="3502EAD0" w14:textId="77777777" w:rsidR="00166F02" w:rsidRDefault="00166F02" w:rsidP="00166F02">
      <w:pPr>
        <w:pStyle w:val="whitespace-normal"/>
      </w:pPr>
      <w:r>
        <w:rPr>
          <w:rStyle w:val="Fett"/>
          <w:rFonts w:eastAsiaTheme="majorEastAsia"/>
        </w:rPr>
        <w:t>Der Vers beschreibt:</w:t>
      </w:r>
      <w:r>
        <w:t xml:space="preserve"> Humanitäres Gesetz – ein Ochse darf beim Dreschen vom Getreide fressen, an dem er arbeitet.</w:t>
      </w:r>
    </w:p>
    <w:p w14:paraId="4BF6FC04" w14:textId="77777777" w:rsidR="00166F02" w:rsidRDefault="004F5CEB" w:rsidP="00166F02">
      <w:r>
        <w:rPr>
          <w:noProof/>
        </w:rPr>
        <w:pict w14:anchorId="6797E41A">
          <v:rect id="_x0000_i1677" style="width:0;height:1.5pt" o:hralign="center" o:hrstd="t" o:hr="t" fillcolor="#a0a0a0" stroked="f"/>
        </w:pict>
      </w:r>
    </w:p>
    <w:p w14:paraId="5D2EF6C0" w14:textId="77777777" w:rsidR="00166F02" w:rsidRPr="00713867" w:rsidRDefault="00166F02" w:rsidP="00B53ACC">
      <w:pPr>
        <w:pStyle w:val="Bibelberschrift"/>
      </w:pPr>
      <w:r w:rsidRPr="00713867">
        <w:rPr>
          <w:rStyle w:val="Fett"/>
          <w:b/>
          <w:bCs w:val="0"/>
        </w:rPr>
        <w:t>Deuteronomium 25,5</w:t>
      </w:r>
    </w:p>
    <w:p w14:paraId="6DBD00A9" w14:textId="77777777" w:rsidR="00166F02" w:rsidRDefault="00166F02" w:rsidP="00166F02">
      <w:pPr>
        <w:pStyle w:val="whitespace-normal"/>
      </w:pPr>
      <w:r>
        <w:rPr>
          <w:rStyle w:val="Fett"/>
          <w:rFonts w:eastAsiaTheme="majorEastAsia"/>
        </w:rPr>
        <w:t>Hebräisch:</w:t>
      </w:r>
      <w:r>
        <w:t xml:space="preserve"> </w:t>
      </w:r>
      <w:r>
        <w:rPr>
          <w:rtl/>
        </w:rPr>
        <w:t>כִּֽי־יֵשְׁב֨וּ אַחִ֜ים יַחְדָּ֗ו וּמֵ֨ת אַחַ֤ד מֵהֶם֙ וּבֵ֣ן אֵֽין־ל֔וֹ לֹֽא־תִהְיֶ֧ה אֵֽשֶׁת־הַמֵּ֛ת הַח֖וּצָה לְאִ֣ישׁ זָ֑ר יְבָמָהּ֙ יָבֹ֣א עָלֶ֔יהָ וּלְקָחָ֥הּ לוֹ֖ לְאִשָּׁ֥ה וְיִבְּמָֽהּ׃</w:t>
      </w:r>
    </w:p>
    <w:p w14:paraId="06CF363B" w14:textId="750B6782" w:rsidR="00166F02" w:rsidRDefault="00166F02" w:rsidP="00166F02">
      <w:pPr>
        <w:pStyle w:val="whitespace-normal"/>
      </w:pPr>
      <w:r>
        <w:rPr>
          <w:rStyle w:val="Fett"/>
          <w:rFonts w:eastAsiaTheme="majorEastAsia"/>
        </w:rPr>
        <w:t>Deutsch:</w:t>
      </w:r>
      <w:r>
        <w:t xml:space="preserve"> </w:t>
      </w:r>
      <w:r w:rsidR="007064FD">
        <w:t>Wenn Brüder beieinander wohnen und einer von ihnen stirbt und keinen Sohn hat, so soll die Frau des Verstorbenen nicht auswärts einem fremden Mann angehören; ihr Schwager soll zu ihr eingehen und sie sich zur Frau nehmen und ihr die Schwagerpflicht erfüllen.</w:t>
      </w:r>
    </w:p>
    <w:p w14:paraId="56601906" w14:textId="77777777" w:rsidR="00166F02" w:rsidRDefault="004F5CEB" w:rsidP="00166F02">
      <w:r>
        <w:rPr>
          <w:noProof/>
        </w:rPr>
        <w:pict w14:anchorId="4916AF4F">
          <v:rect id="_x0000_i1678" style="width:0;height:1.5pt" o:hralign="center" o:hrstd="t" o:hr="t" fillcolor="#a0a0a0" stroked="f"/>
        </w:pict>
      </w:r>
    </w:p>
    <w:p w14:paraId="3FACDFBC"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כִּי־יֵשְׁבוּ אַחִים יַחְדָּו וּמֵת אַחַד מֵהֶם וּבֵן אֵין־לוֹ לֹא־תִהְיֶה אֵשֶׁת־הַמֵּת הַחוּצָה לְאִישׁ זָר יְבָמָהּ יָבֹא עָלֶיהָ וּלְקָחָהּ לוֹ לְאִשָּׁה וְיִבְּמָהּ</w:t>
      </w:r>
      <w:r>
        <w:rPr>
          <w:rtl/>
        </w:rPr>
        <w:t xml:space="preserve"> </w:t>
      </w:r>
      <w:r>
        <w:t xml:space="preserve">ist eine Bedingung mit drei Anweisungen: </w:t>
      </w:r>
      <w:r>
        <w:rPr>
          <w:rStyle w:val="Fett"/>
          <w:rFonts w:eastAsiaTheme="majorEastAsia"/>
          <w:rtl/>
        </w:rPr>
        <w:t>כִּי־יֵשְׁבוּ אַחִים יַחְדָּו וּמֵת אַחַד מֵהֶם וּבֵן אֵין־לוֹ</w:t>
      </w:r>
      <w:r>
        <w:rPr>
          <w:rtl/>
        </w:rPr>
        <w:t xml:space="preserve"> </w:t>
      </w:r>
      <w:r>
        <w:t>(</w:t>
      </w:r>
      <w:r>
        <w:rPr>
          <w:rStyle w:val="Fett"/>
          <w:rFonts w:eastAsiaTheme="majorEastAsia"/>
          <w:rtl/>
        </w:rPr>
        <w:t>כִּי</w:t>
      </w:r>
      <w:r>
        <w:rPr>
          <w:rtl/>
        </w:rPr>
        <w:t xml:space="preserve"> </w:t>
      </w:r>
      <w:r>
        <w:t xml:space="preserve">mit </w:t>
      </w:r>
      <w:r>
        <w:rPr>
          <w:rStyle w:val="Fett"/>
          <w:rFonts w:eastAsiaTheme="majorEastAsia"/>
          <w:rtl/>
        </w:rPr>
        <w:t>ישׁב</w:t>
      </w:r>
      <w:r>
        <w:t xml:space="preserve">, Qal Imperfekt, 3. Person Plural, „wohnen, sitzen", </w:t>
      </w:r>
      <w:r>
        <w:rPr>
          <w:rStyle w:val="Fett"/>
          <w:rFonts w:eastAsiaTheme="majorEastAsia"/>
          <w:rtl/>
        </w:rPr>
        <w:t>אָח</w:t>
      </w:r>
      <w:r>
        <w:rPr>
          <w:rtl/>
        </w:rPr>
        <w:t xml:space="preserve"> </w:t>
      </w:r>
      <w:r>
        <w:t xml:space="preserve">Plural als Subjekt, </w:t>
      </w:r>
      <w:r>
        <w:rPr>
          <w:rStyle w:val="Fett"/>
          <w:rFonts w:eastAsiaTheme="majorEastAsia"/>
          <w:rtl/>
        </w:rPr>
        <w:t>יַחְדָּו</w:t>
      </w:r>
      <w:r>
        <w:t xml:space="preserve">, „zusammen, gemeinsam", koordiniert durch </w:t>
      </w:r>
      <w:r>
        <w:rPr>
          <w:rStyle w:val="Fett"/>
          <w:rFonts w:eastAsiaTheme="majorEastAsia"/>
          <w:rtl/>
        </w:rPr>
        <w:t>וּ</w:t>
      </w:r>
      <w:r>
        <w:rPr>
          <w:rtl/>
        </w:rPr>
        <w:t xml:space="preserve"> </w:t>
      </w:r>
      <w:r>
        <w:t xml:space="preserve">mit </w:t>
      </w:r>
      <w:r>
        <w:rPr>
          <w:rStyle w:val="Fett"/>
          <w:rFonts w:eastAsiaTheme="majorEastAsia"/>
          <w:rtl/>
        </w:rPr>
        <w:t>מות</w:t>
      </w:r>
      <w:r>
        <w:t xml:space="preserve">, Qal Perfekt, 3. Person Maskulinum Singular, </w:t>
      </w:r>
      <w:r>
        <w:rPr>
          <w:rStyle w:val="Fett"/>
          <w:rFonts w:eastAsiaTheme="majorEastAsia"/>
          <w:rtl/>
        </w:rPr>
        <w:t>אֶחָד מֵהֶם</w:t>
      </w:r>
      <w:r>
        <w:t xml:space="preserve">, „einer von ihnen", koordiniert durch </w:t>
      </w:r>
      <w:r>
        <w:rPr>
          <w:rStyle w:val="Fett"/>
          <w:rFonts w:eastAsiaTheme="majorEastAsia"/>
          <w:rtl/>
        </w:rPr>
        <w:t>וּ</w:t>
      </w:r>
      <w:r>
        <w:rPr>
          <w:rtl/>
        </w:rPr>
        <w:t xml:space="preserve"> </w:t>
      </w:r>
      <w:r>
        <w:t xml:space="preserve">mit </w:t>
      </w:r>
      <w:r>
        <w:rPr>
          <w:rStyle w:val="Fett"/>
          <w:rFonts w:eastAsiaTheme="majorEastAsia"/>
          <w:rtl/>
        </w:rPr>
        <w:t>בֵּן אֵין־לוֹ</w:t>
      </w:r>
      <w:r>
        <w:t xml:space="preserve">, Existenzsatz mit Negation: „und Sohn nicht ist ihm", mit </w:t>
      </w:r>
      <w:r>
        <w:rPr>
          <w:rStyle w:val="Fett"/>
          <w:rFonts w:eastAsiaTheme="majorEastAsia"/>
        </w:rPr>
        <w:t>Waw</w:t>
      </w:r>
      <w:r>
        <w:t xml:space="preserve"> consecutives Perfekt), </w:t>
      </w:r>
      <w:r>
        <w:rPr>
          <w:rStyle w:val="Fett"/>
          <w:rFonts w:eastAsiaTheme="majorEastAsia"/>
          <w:rtl/>
        </w:rPr>
        <w:t>לֹא־תִהְיֶה אֵשֶׁת־הַמֵּת הַחוּצָה לְאִישׁ זָר</w:t>
      </w:r>
      <w:r>
        <w:rPr>
          <w:rtl/>
        </w:rPr>
        <w:t xml:space="preserve"> </w:t>
      </w:r>
      <w:r>
        <w:t xml:space="preserve">(Negation mit </w:t>
      </w:r>
      <w:r>
        <w:rPr>
          <w:rStyle w:val="Fett"/>
          <w:rFonts w:eastAsiaTheme="majorEastAsia"/>
          <w:rtl/>
        </w:rPr>
        <w:t>היה</w:t>
      </w:r>
      <w:r>
        <w:t xml:space="preserve">, Qal Imperfekt, 3. Person Femininum Singular, </w:t>
      </w:r>
      <w:r>
        <w:rPr>
          <w:rStyle w:val="Fett"/>
          <w:rFonts w:eastAsiaTheme="majorEastAsia"/>
          <w:rtl/>
        </w:rPr>
        <w:t>אֵשֶׁת־הַמֵּת</w:t>
      </w:r>
      <w:r>
        <w:t xml:space="preserve">, „Frau des Toten", Construct mit </w:t>
      </w:r>
      <w:r>
        <w:rPr>
          <w:rStyle w:val="Fett"/>
          <w:rFonts w:eastAsiaTheme="majorEastAsia"/>
          <w:rtl/>
        </w:rPr>
        <w:t>מות</w:t>
      </w:r>
      <w:r>
        <w:t xml:space="preserve">, Qal Partizip mit Artikel, </w:t>
      </w:r>
      <w:r>
        <w:rPr>
          <w:rStyle w:val="Fett"/>
          <w:rFonts w:eastAsiaTheme="majorEastAsia"/>
          <w:rtl/>
        </w:rPr>
        <w:t>הַחוּצָה</w:t>
      </w:r>
      <w:r>
        <w:t xml:space="preserve">, „nach außen" – Richtungsendung </w:t>
      </w:r>
      <w:r>
        <w:rPr>
          <w:rStyle w:val="Fett"/>
          <w:rFonts w:eastAsiaTheme="majorEastAsia"/>
          <w:rtl/>
        </w:rPr>
        <w:t>ה</w:t>
      </w:r>
      <w:r>
        <w:rPr>
          <w:rStyle w:val="Fett"/>
          <w:rFonts w:eastAsiaTheme="majorEastAsia"/>
        </w:rPr>
        <w:t>-</w:t>
      </w:r>
      <w:r>
        <w:t xml:space="preserve">, Präposition </w:t>
      </w:r>
      <w:r>
        <w:rPr>
          <w:rStyle w:val="Fett"/>
          <w:rFonts w:eastAsiaTheme="majorEastAsia"/>
          <w:rtl/>
        </w:rPr>
        <w:t>לְ</w:t>
      </w:r>
      <w:r>
        <w:rPr>
          <w:rtl/>
        </w:rPr>
        <w:t xml:space="preserve"> </w:t>
      </w:r>
      <w:r>
        <w:t xml:space="preserve">mit </w:t>
      </w:r>
      <w:r>
        <w:rPr>
          <w:rStyle w:val="Fett"/>
          <w:rFonts w:eastAsiaTheme="majorEastAsia"/>
          <w:rtl/>
        </w:rPr>
        <w:t>אִישׁ זָר</w:t>
      </w:r>
      <w:r>
        <w:t xml:space="preserve">, </w:t>
      </w:r>
      <w:r>
        <w:rPr>
          <w:rStyle w:val="Fett"/>
          <w:rFonts w:eastAsiaTheme="majorEastAsia"/>
          <w:rtl/>
        </w:rPr>
        <w:t>זָר</w:t>
      </w:r>
      <w:r>
        <w:t xml:space="preserve">, „fremd, außenstehend"), </w:t>
      </w:r>
      <w:r>
        <w:rPr>
          <w:rStyle w:val="Fett"/>
          <w:rFonts w:eastAsiaTheme="majorEastAsia"/>
          <w:rtl/>
        </w:rPr>
        <w:t>יְבָמָהּ יָבֹא עָלֶיהָ וּלְקָחָהּ לוֹ לְאִשָּׁה וְיִבְּמָהּ</w:t>
      </w:r>
      <w:r>
        <w:rPr>
          <w:rtl/>
        </w:rPr>
        <w:t xml:space="preserve"> </w:t>
      </w:r>
      <w:r>
        <w:t>(</w:t>
      </w:r>
      <w:r>
        <w:rPr>
          <w:rStyle w:val="Fett"/>
          <w:rFonts w:eastAsiaTheme="majorEastAsia"/>
          <w:rtl/>
        </w:rPr>
        <w:t>יָבָם</w:t>
      </w:r>
      <w:r>
        <w:t xml:space="preserve">, „Schwager" (Bruder des verstorbenen Ehemanns), mit Suffix 3. Person Femininum Singular – „ihr Schwager", </w:t>
      </w:r>
      <w:r>
        <w:rPr>
          <w:rStyle w:val="Fett"/>
          <w:rFonts w:eastAsiaTheme="majorEastAsia"/>
          <w:rtl/>
        </w:rPr>
        <w:t>בוא</w:t>
      </w:r>
      <w:r>
        <w:t xml:space="preserve">, Qal Imperfekt, 3. Person Maskulinum Singular, Präposition </w:t>
      </w:r>
      <w:r>
        <w:rPr>
          <w:rStyle w:val="Fett"/>
          <w:rFonts w:eastAsiaTheme="majorEastAsia"/>
          <w:rtl/>
        </w:rPr>
        <w:t>עַל</w:t>
      </w:r>
      <w:r>
        <w:rPr>
          <w:rtl/>
        </w:rPr>
        <w:t xml:space="preserve"> </w:t>
      </w:r>
      <w:r>
        <w:t xml:space="preserve">mit Suffix 3. Person Femininum Singular – idiomatisch für Geschlechtsverkehr: </w:t>
      </w:r>
      <w:r>
        <w:rPr>
          <w:rStyle w:val="Fett"/>
          <w:rFonts w:eastAsiaTheme="majorEastAsia"/>
          <w:rtl/>
        </w:rPr>
        <w:t>בוא עַל</w:t>
      </w:r>
      <w:r>
        <w:t xml:space="preserve">, koordiniert durch </w:t>
      </w:r>
      <w:r>
        <w:rPr>
          <w:rStyle w:val="Fett"/>
          <w:rFonts w:eastAsiaTheme="majorEastAsia"/>
          <w:rtl/>
        </w:rPr>
        <w:t>וּ</w:t>
      </w:r>
      <w:r>
        <w:rPr>
          <w:rtl/>
        </w:rPr>
        <w:t xml:space="preserve"> </w:t>
      </w:r>
      <w:r>
        <w:t xml:space="preserve">mit </w:t>
      </w:r>
      <w:r>
        <w:rPr>
          <w:rStyle w:val="Fett"/>
          <w:rFonts w:eastAsiaTheme="majorEastAsia"/>
          <w:rtl/>
        </w:rPr>
        <w:t>לקח</w:t>
      </w:r>
      <w:r>
        <w:t xml:space="preserve">, Qal Perfekt, 3. Person Maskulinum Singular, mit Suffix 3. Person Femininum Singular, </w:t>
      </w:r>
      <w:r>
        <w:rPr>
          <w:rStyle w:val="Fett"/>
          <w:rFonts w:eastAsiaTheme="majorEastAsia"/>
          <w:rtl/>
        </w:rPr>
        <w:t>לוֹ לְאִשָּׁה</w:t>
      </w:r>
      <w:r>
        <w:t xml:space="preserve">, koordiniert durch </w:t>
      </w:r>
      <w:r>
        <w:rPr>
          <w:rStyle w:val="Fett"/>
          <w:rFonts w:eastAsiaTheme="majorEastAsia"/>
          <w:rtl/>
        </w:rPr>
        <w:t>וְ</w:t>
      </w:r>
      <w:r>
        <w:rPr>
          <w:rtl/>
        </w:rPr>
        <w:t xml:space="preserve"> </w:t>
      </w:r>
      <w:r>
        <w:t xml:space="preserve">mit </w:t>
      </w:r>
      <w:r>
        <w:rPr>
          <w:rStyle w:val="Fett"/>
          <w:rFonts w:eastAsiaTheme="majorEastAsia"/>
          <w:rtl/>
        </w:rPr>
        <w:t>יבם</w:t>
      </w:r>
      <w:r>
        <w:t xml:space="preserve">, Piel Perfekt, 3. Person Maskulinum Singular, „Schwagerehe vollziehen, als Schwager handeln", mit Suffix 3. Person Femininum Singular, mit </w:t>
      </w:r>
      <w:r>
        <w:rPr>
          <w:rStyle w:val="Fett"/>
          <w:rFonts w:eastAsiaTheme="majorEastAsia"/>
        </w:rPr>
        <w:t>Waw</w:t>
      </w:r>
      <w:r>
        <w:t xml:space="preserve"> consecutives Perfekt).</w:t>
      </w:r>
    </w:p>
    <w:p w14:paraId="660FFFFE" w14:textId="75C91365" w:rsidR="00166F02" w:rsidRDefault="00166F02" w:rsidP="00166F02">
      <w:pPr>
        <w:pStyle w:val="whitespace-normal"/>
      </w:pPr>
      <w:r>
        <w:t xml:space="preserve">Der Vers leitet die </w:t>
      </w:r>
      <w:r>
        <w:rPr>
          <w:rStyle w:val="Fett"/>
          <w:rFonts w:eastAsiaTheme="majorEastAsia"/>
        </w:rPr>
        <w:t>Leviratsehe</w:t>
      </w:r>
      <w:r>
        <w:t xml:space="preserve"> ein (lat. </w:t>
      </w:r>
      <w:r>
        <w:rPr>
          <w:rStyle w:val="Hervorhebung"/>
        </w:rPr>
        <w:t>levir</w:t>
      </w:r>
      <w:r>
        <w:t xml:space="preserve"> = Schwager) – V. 5-10. Die dreifache Bedingung: (1) </w:t>
      </w:r>
      <w:r>
        <w:rPr>
          <w:rStyle w:val="Fett"/>
          <w:rFonts w:eastAsiaTheme="majorEastAsia"/>
          <w:rtl/>
        </w:rPr>
        <w:t>כִּי־יֵשְׁבוּ אַחִים יַחְדָּו</w:t>
      </w:r>
      <w:r>
        <w:rPr>
          <w:rtl/>
        </w:rPr>
        <w:t xml:space="preserve"> </w:t>
      </w:r>
      <w:r>
        <w:t xml:space="preserve">(„wenn wohnen Brüder zusammen"). Das Verb </w:t>
      </w:r>
      <w:r>
        <w:rPr>
          <w:rStyle w:val="Fett"/>
          <w:rFonts w:eastAsiaTheme="majorEastAsia"/>
          <w:rtl/>
        </w:rPr>
        <w:t>ישׁב</w:t>
      </w:r>
      <w:r>
        <w:rPr>
          <w:rtl/>
        </w:rPr>
        <w:t xml:space="preserve"> </w:t>
      </w:r>
      <w:r>
        <w:t xml:space="preserve">(„wohnen, sitzen") – die Brüder leben auf demselben Familienbesitz. Das Adverb </w:t>
      </w:r>
      <w:r>
        <w:rPr>
          <w:rStyle w:val="Fett"/>
          <w:rFonts w:eastAsiaTheme="majorEastAsia"/>
          <w:rtl/>
        </w:rPr>
        <w:t>יַחְדָּו</w:t>
      </w:r>
      <w:r>
        <w:rPr>
          <w:rtl/>
        </w:rPr>
        <w:t xml:space="preserve"> </w:t>
      </w:r>
      <w:r>
        <w:t xml:space="preserve">(„zusammen") betont räumliche Nähe. (2) </w:t>
      </w:r>
      <w:r>
        <w:rPr>
          <w:rStyle w:val="Fett"/>
          <w:rFonts w:eastAsiaTheme="majorEastAsia"/>
          <w:rtl/>
        </w:rPr>
        <w:t>וּמֵת אַחַד מֵהֶם</w:t>
      </w:r>
      <w:r>
        <w:rPr>
          <w:rtl/>
        </w:rPr>
        <w:t xml:space="preserve"> </w:t>
      </w:r>
      <w:r>
        <w:t xml:space="preserve">(„und stirbt einer von ihnen") – ein Bruder stirbt. (3) </w:t>
      </w:r>
      <w:r>
        <w:rPr>
          <w:rStyle w:val="Fett"/>
          <w:rFonts w:eastAsiaTheme="majorEastAsia"/>
          <w:rtl/>
        </w:rPr>
        <w:t>וּבֵן אֵין־לוֹ</w:t>
      </w:r>
      <w:r>
        <w:rPr>
          <w:rtl/>
        </w:rPr>
        <w:t xml:space="preserve"> </w:t>
      </w:r>
      <w:r>
        <w:t xml:space="preserve">(„und Sohn nicht ist ihm") – der verstorbene Bruder hat keinen Sohn (keine männlichen Nachkommen). Das erste Verbot: </w:t>
      </w:r>
      <w:r>
        <w:rPr>
          <w:rStyle w:val="Fett"/>
          <w:rFonts w:eastAsiaTheme="majorEastAsia"/>
          <w:rtl/>
        </w:rPr>
        <w:t>לֹא־תִהְיֶה אֵשֶׁת־הַמֵּת הַחוּצָה לְאִישׁ זָר</w:t>
      </w:r>
      <w:r>
        <w:rPr>
          <w:rtl/>
        </w:rPr>
        <w:t xml:space="preserve"> </w:t>
      </w:r>
      <w:r>
        <w:t xml:space="preserve">(„nicht sein soll die Frau des Toten nach außen für einen fremden Mann"). Die Formulierung </w:t>
      </w:r>
      <w:r>
        <w:rPr>
          <w:rStyle w:val="Fett"/>
          <w:rFonts w:eastAsiaTheme="majorEastAsia"/>
          <w:rtl/>
        </w:rPr>
        <w:lastRenderedPageBreak/>
        <w:t>הַחוּצָה</w:t>
      </w:r>
      <w:r>
        <w:rPr>
          <w:rtl/>
        </w:rPr>
        <w:t xml:space="preserve"> </w:t>
      </w:r>
      <w:r>
        <w:t xml:space="preserve">(„nach außen") mit Richtungsendung – sie soll nicht außerhalb der Familie heiraten. Das Adjektiv </w:t>
      </w:r>
      <w:r>
        <w:rPr>
          <w:rStyle w:val="Fett"/>
          <w:rFonts w:eastAsiaTheme="majorEastAsia"/>
          <w:rtl/>
        </w:rPr>
        <w:t>זָר</w:t>
      </w:r>
      <w:r>
        <w:rPr>
          <w:rtl/>
        </w:rPr>
        <w:t xml:space="preserve"> </w:t>
      </w:r>
      <w:r>
        <w:t xml:space="preserve">(„fremd, außenstehend") – ein Mann außerhalb der Familie. Die doppelte Anweisung: </w:t>
      </w:r>
      <w:r>
        <w:rPr>
          <w:rStyle w:val="Fett"/>
          <w:rFonts w:eastAsiaTheme="majorEastAsia"/>
          <w:rtl/>
        </w:rPr>
        <w:t>יְבָמָהּ יָבֹא עָלֶיהָ וּלְקָחָהּ לוֹ לְאִשָּׁה וְיִבְּמָהּ</w:t>
      </w:r>
      <w:r>
        <w:rPr>
          <w:rtl/>
        </w:rPr>
        <w:t xml:space="preserve"> </w:t>
      </w:r>
      <w:r>
        <w:t xml:space="preserve">(„ihr Schwager eingehen soll zu ihr, und nehmen soll er sie sich zur Frau, und Schwagerehe vollziehen soll er mit ihr"). Das Wort </w:t>
      </w:r>
      <w:r>
        <w:rPr>
          <w:rStyle w:val="Fett"/>
          <w:rFonts w:eastAsiaTheme="majorEastAsia"/>
          <w:rtl/>
        </w:rPr>
        <w:t>יָבָם</w:t>
      </w:r>
      <w:r>
        <w:rPr>
          <w:rtl/>
        </w:rPr>
        <w:t xml:space="preserve"> </w:t>
      </w:r>
      <w:r>
        <w:t xml:space="preserve">(„Schwager") ist der technische Begriff für den Bruder des verstorbenen Ehemanns (nur in dieser Funktion verwendet). Die Wendung </w:t>
      </w:r>
      <w:r>
        <w:rPr>
          <w:rStyle w:val="Fett"/>
          <w:rFonts w:eastAsiaTheme="majorEastAsia"/>
          <w:rtl/>
        </w:rPr>
        <w:t>בוא עַל</w:t>
      </w:r>
      <w:r>
        <w:rPr>
          <w:rtl/>
        </w:rPr>
        <w:t xml:space="preserve"> </w:t>
      </w:r>
      <w:r>
        <w:t xml:space="preserve">(„eingehen zu") ist euphemistisch für Geschlechtsverkehr (vgl. Gen 6,4; 16,2; 19,31; 30,3; 38,8-9). Das Verb </w:t>
      </w:r>
      <w:r>
        <w:rPr>
          <w:rStyle w:val="Fett"/>
          <w:rFonts w:eastAsiaTheme="majorEastAsia"/>
          <w:rtl/>
        </w:rPr>
        <w:t>יבם</w:t>
      </w:r>
      <w:r>
        <w:rPr>
          <w:rtl/>
        </w:rPr>
        <w:t xml:space="preserve"> </w:t>
      </w:r>
      <w:r>
        <w:t xml:space="preserve">im Piel („Schwagerehe vollziehen, als Schwager handeln") ist vom Nomen </w:t>
      </w:r>
      <w:r>
        <w:rPr>
          <w:rStyle w:val="Fett"/>
          <w:rFonts w:eastAsiaTheme="majorEastAsia"/>
          <w:rtl/>
        </w:rPr>
        <w:t>יָבָם</w:t>
      </w:r>
      <w:r>
        <w:rPr>
          <w:rtl/>
        </w:rPr>
        <w:t xml:space="preserve"> </w:t>
      </w:r>
      <w:r>
        <w:t>abgeleitet und erscheint nur hier im AT. Die Ratio der Leviratsehe: (1) Erhalt des Namens und Erbes des Verstorbenen; (2) Versorgung der Witwe; (3) Bewahrung des Familienbesitzes. V. 6 wird den Zweck präzisieren.</w:t>
      </w:r>
    </w:p>
    <w:p w14:paraId="3DFA0F5D" w14:textId="1F78F794" w:rsidR="00A600C6" w:rsidRDefault="00A600C6" w:rsidP="00166F02">
      <w:pPr>
        <w:pStyle w:val="whitespace-normal"/>
      </w:pPr>
      <w:r>
        <w:rPr>
          <w:rStyle w:val="Fett"/>
        </w:rPr>
        <w:t>Die LXX</w:t>
      </w:r>
      <w:r>
        <w:t xml:space="preserve"> übersetzt </w:t>
      </w:r>
      <w:r>
        <w:rPr>
          <w:rtl/>
        </w:rPr>
        <w:t>וּבֵן אֵין־לוֹ</w:t>
      </w:r>
      <w:r>
        <w:t xml:space="preserve"> (und er hat keinen Sohn) mit σπ</w:t>
      </w:r>
      <w:proofErr w:type="spellStart"/>
      <w:r>
        <w:t>έρμ</w:t>
      </w:r>
      <w:proofErr w:type="spellEnd"/>
      <w:r>
        <w:t xml:space="preserve">α </w:t>
      </w:r>
      <w:proofErr w:type="spellStart"/>
      <w:r>
        <w:t>δὲ</w:t>
      </w:r>
      <w:proofErr w:type="spellEnd"/>
      <w:r>
        <w:t xml:space="preserve"> </w:t>
      </w:r>
      <w:proofErr w:type="spellStart"/>
      <w:r>
        <w:t>μὴ</w:t>
      </w:r>
      <w:proofErr w:type="spellEnd"/>
      <w:r>
        <w:t xml:space="preserve"> ᾖ α</w:t>
      </w:r>
      <w:proofErr w:type="spellStart"/>
      <w:r>
        <w:t>ὐτῷ</w:t>
      </w:r>
      <w:proofErr w:type="spellEnd"/>
      <w:r>
        <w:t xml:space="preserve"> (aber er hat keinen Samen/Nachkommen) – ein allgemeinerer Begriff. Die Wendung </w:t>
      </w:r>
      <w:proofErr w:type="spellStart"/>
      <w:r>
        <w:t>ἀνδρὶ</w:t>
      </w:r>
      <w:proofErr w:type="spellEnd"/>
      <w:r>
        <w:t xml:space="preserve"> </w:t>
      </w:r>
      <w:proofErr w:type="spellStart"/>
      <w:r>
        <w:t>μὴ</w:t>
      </w:r>
      <w:proofErr w:type="spellEnd"/>
      <w:r>
        <w:t xml:space="preserve"> </w:t>
      </w:r>
      <w:proofErr w:type="spellStart"/>
      <w:r>
        <w:t>ἐγγίζοντι</w:t>
      </w:r>
      <w:proofErr w:type="spellEnd"/>
      <w:r>
        <w:t xml:space="preserve"> (einem Mann, der nicht nahe verwandt ist) für </w:t>
      </w:r>
      <w:r>
        <w:rPr>
          <w:rtl/>
        </w:rPr>
        <w:t>לְאִישׁ זָר</w:t>
      </w:r>
      <w:r>
        <w:t xml:space="preserve"> (einem fremden Mann) ist eine präzisierende Übersetzung. Das Verb </w:t>
      </w:r>
      <w:proofErr w:type="spellStart"/>
      <w:r>
        <w:t>συνοικήσει</w:t>
      </w:r>
      <w:proofErr w:type="spellEnd"/>
      <w:r>
        <w:t xml:space="preserve"> (wird zusammenwohnen/verheiratet sein) für </w:t>
      </w:r>
      <w:r>
        <w:rPr>
          <w:rtl/>
        </w:rPr>
        <w:t>וְיִבְּמָהּ</w:t>
      </w:r>
      <w:r>
        <w:t xml:space="preserve"> ersetzt das technische hebräische Verb für Leviratsehe.</w:t>
      </w:r>
    </w:p>
    <w:p w14:paraId="0EDCA52B" w14:textId="77777777" w:rsidR="00166F02" w:rsidRDefault="00166F02" w:rsidP="00166F02">
      <w:pPr>
        <w:pStyle w:val="whitespace-normal"/>
      </w:pPr>
      <w:r>
        <w:rPr>
          <w:rStyle w:val="Fett"/>
          <w:rFonts w:eastAsiaTheme="majorEastAsia"/>
        </w:rPr>
        <w:t>Die Satzstruktur:</w:t>
      </w:r>
      <w:r>
        <w:t xml:space="preserve"> Bedingung mit drei Anweisungen (wenn wohnen Brüder zusammen, und stirbt einer von ihnen, und Sohn nicht ist ihm, nicht sein soll die Frau des Toten nach außen für einen fremden Mann; ihr Schwager eingehen soll zu ihr, und nehmen soll er sie sich zur Frau, und Schwagerehe vollziehen soll er mit ihr).</w:t>
      </w:r>
    </w:p>
    <w:p w14:paraId="41B919B2" w14:textId="77777777" w:rsidR="00166F02" w:rsidRDefault="00166F02" w:rsidP="00166F02">
      <w:pPr>
        <w:pStyle w:val="whitespace-normal"/>
      </w:pPr>
      <w:r>
        <w:rPr>
          <w:rStyle w:val="Fett"/>
          <w:rFonts w:eastAsiaTheme="majorEastAsia"/>
        </w:rPr>
        <w:t>Der Vers beschreibt:</w:t>
      </w:r>
      <w:r>
        <w:t xml:space="preserve"> Leviratsehe – wenn ein Mann ohne Sohn stirbt, soll sein Bruder die Witwe heiraten und mit ihr Nachkommen zeugen.</w:t>
      </w:r>
    </w:p>
    <w:p w14:paraId="3D7B2E90" w14:textId="77777777" w:rsidR="00166F02" w:rsidRPr="00713867" w:rsidRDefault="00166F02" w:rsidP="00B53ACC">
      <w:pPr>
        <w:pStyle w:val="Bibelberschrift"/>
      </w:pPr>
      <w:r w:rsidRPr="00713867">
        <w:rPr>
          <w:rStyle w:val="Fett"/>
          <w:b/>
          <w:bCs w:val="0"/>
        </w:rPr>
        <w:t>Deuteronomium 25,6</w:t>
      </w:r>
    </w:p>
    <w:p w14:paraId="39B626DA" w14:textId="77777777" w:rsidR="00166F02" w:rsidRDefault="00166F02" w:rsidP="00166F02">
      <w:pPr>
        <w:pStyle w:val="whitespace-normal"/>
      </w:pPr>
      <w:r>
        <w:rPr>
          <w:rStyle w:val="Fett"/>
          <w:rFonts w:eastAsiaTheme="majorEastAsia"/>
        </w:rPr>
        <w:t>Hebräisch:</w:t>
      </w:r>
      <w:r>
        <w:t xml:space="preserve"> </w:t>
      </w:r>
      <w:r>
        <w:rPr>
          <w:rtl/>
        </w:rPr>
        <w:t>וְהָיָ֗ה הַבְּכוֹר֙ אֲשֶׁ֣ר תֵּלֵ֔ד יָק֕וּם עַל־שֵׁ֥ם אָחִ֖יו הַמֵּ֑ת וְלֹֽא־יִמָּחֶ֥ה שְׁמ֖וֹ מִיִּשְׂרָאֵֽל׃</w:t>
      </w:r>
    </w:p>
    <w:p w14:paraId="1BFD3930" w14:textId="5667E38C" w:rsidR="00166F02" w:rsidRDefault="00166F02" w:rsidP="00166F02">
      <w:pPr>
        <w:pStyle w:val="whitespace-normal"/>
      </w:pPr>
      <w:r>
        <w:rPr>
          <w:rStyle w:val="Fett"/>
          <w:rFonts w:eastAsiaTheme="majorEastAsia"/>
        </w:rPr>
        <w:t>Deutsch:</w:t>
      </w:r>
      <w:r>
        <w:t xml:space="preserve"> </w:t>
      </w:r>
      <w:r w:rsidR="007064FD">
        <w:t>Und es soll geschehen: Der Erstgeborene, den sie gebiert, soll auf den Namen seines verstorbenen Bruders zu stehen kommen, damit dessen Name nicht ausgelöscht wird aus Jisra’el.</w:t>
      </w:r>
    </w:p>
    <w:p w14:paraId="5C879E8F" w14:textId="77777777" w:rsidR="00166F02" w:rsidRDefault="004F5CEB" w:rsidP="00166F02">
      <w:r>
        <w:rPr>
          <w:noProof/>
        </w:rPr>
        <w:pict w14:anchorId="36F22D8B">
          <v:rect id="_x0000_i1679" style="width:0;height:1.5pt" o:hralign="center" o:hrstd="t" o:hr="t" fillcolor="#a0a0a0" stroked="f"/>
        </w:pict>
      </w:r>
    </w:p>
    <w:p w14:paraId="59DAAFA9"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וְהָיָה הַבְּכוֹר אֲשֶׁר תֵּלֵד יָקוּם עַל־שֵׁם אָחִיו הַמֵּת וְלֹא־יִמָּחֶה שְׁמוֹ מִיִּשְׂרָאֵל</w:t>
      </w:r>
      <w:r>
        <w:rPr>
          <w:rtl/>
        </w:rPr>
        <w:t xml:space="preserve"> </w:t>
      </w:r>
      <w:r>
        <w:t xml:space="preserve">sind zwei Aussagen: </w:t>
      </w:r>
      <w:r>
        <w:rPr>
          <w:rStyle w:val="Fett"/>
          <w:rFonts w:eastAsiaTheme="majorEastAsia"/>
          <w:rtl/>
        </w:rPr>
        <w:t>וְהָיָה הַבְּכוֹר אֲשֶׁר תֵּלֵד יָקוּם עַל־שֵׁם אָחִיו הַמֵּת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3. Person Maskulinum Singular, </w:t>
      </w:r>
      <w:r>
        <w:rPr>
          <w:rStyle w:val="Fett"/>
          <w:rFonts w:eastAsiaTheme="majorEastAsia"/>
          <w:rtl/>
        </w:rPr>
        <w:t>בְּכוֹר</w:t>
      </w:r>
      <w:r>
        <w:rPr>
          <w:rtl/>
        </w:rPr>
        <w:t xml:space="preserve"> </w:t>
      </w:r>
      <w:r>
        <w:t xml:space="preserve">mit Artikel als Subjekt, Relativsatz: </w:t>
      </w:r>
      <w:r>
        <w:rPr>
          <w:rStyle w:val="Fett"/>
          <w:rFonts w:eastAsiaTheme="majorEastAsia"/>
          <w:rtl/>
        </w:rPr>
        <w:t>אֲשֶׁר תֵּלֵד</w:t>
      </w:r>
      <w:r>
        <w:rPr>
          <w:rtl/>
        </w:rPr>
        <w:t xml:space="preserve"> </w:t>
      </w:r>
      <w:r>
        <w:t xml:space="preserve">mit </w:t>
      </w:r>
      <w:r>
        <w:rPr>
          <w:rStyle w:val="Fett"/>
          <w:rFonts w:eastAsiaTheme="majorEastAsia"/>
          <w:rtl/>
        </w:rPr>
        <w:t>ילד</w:t>
      </w:r>
      <w:r>
        <w:t xml:space="preserve">, Qal Imperfekt, 3. Person Femininum Singular, „gebären", </w:t>
      </w:r>
      <w:r>
        <w:rPr>
          <w:rStyle w:val="Fett"/>
          <w:rFonts w:eastAsiaTheme="majorEastAsia"/>
          <w:rtl/>
        </w:rPr>
        <w:t>קום</w:t>
      </w:r>
      <w:r>
        <w:t xml:space="preserve">, Qal Imperfekt, 3. Person Maskulinum Singular, „aufstehen, antreten", Präposition </w:t>
      </w:r>
      <w:r>
        <w:rPr>
          <w:rStyle w:val="Fett"/>
          <w:rFonts w:eastAsiaTheme="majorEastAsia"/>
          <w:rtl/>
        </w:rPr>
        <w:t>עַל</w:t>
      </w:r>
      <w:r>
        <w:rPr>
          <w:rtl/>
        </w:rPr>
        <w:t xml:space="preserve"> </w:t>
      </w:r>
      <w:r>
        <w:t xml:space="preserve">mit </w:t>
      </w:r>
      <w:r>
        <w:rPr>
          <w:rStyle w:val="Fett"/>
          <w:rFonts w:eastAsiaTheme="majorEastAsia"/>
          <w:rtl/>
        </w:rPr>
        <w:t>שֵׁם</w:t>
      </w:r>
      <w:r>
        <w:t xml:space="preserve">, „Name", Construct mit </w:t>
      </w:r>
      <w:r>
        <w:rPr>
          <w:rStyle w:val="Fett"/>
          <w:rFonts w:eastAsiaTheme="majorEastAsia"/>
          <w:rtl/>
        </w:rPr>
        <w:t>אָח</w:t>
      </w:r>
      <w:r>
        <w:rPr>
          <w:rtl/>
        </w:rPr>
        <w:t xml:space="preserve"> </w:t>
      </w:r>
      <w:r>
        <w:t xml:space="preserve">mit Suffix 3. Person Maskulinum Singular, </w:t>
      </w:r>
      <w:r>
        <w:rPr>
          <w:rStyle w:val="Fett"/>
          <w:rFonts w:eastAsiaTheme="majorEastAsia"/>
          <w:rtl/>
        </w:rPr>
        <w:t>מות</w:t>
      </w:r>
      <w:r>
        <w:t xml:space="preserve">, Qal Partizip mit Artikel, mit </w:t>
      </w:r>
      <w:r>
        <w:rPr>
          <w:rStyle w:val="Fett"/>
          <w:rFonts w:eastAsiaTheme="majorEastAsia"/>
        </w:rPr>
        <w:t>Waw</w:t>
      </w:r>
      <w:r>
        <w:t xml:space="preserve"> consecutives Perfekt), </w:t>
      </w:r>
      <w:r>
        <w:rPr>
          <w:rStyle w:val="Fett"/>
          <w:rFonts w:eastAsiaTheme="majorEastAsia"/>
          <w:rtl/>
        </w:rPr>
        <w:t>וְלֹא־יִמָּחֶה שְׁמוֹ מִיִּשְׂרָאֵל</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מחה</w:t>
      </w:r>
      <w:r>
        <w:t xml:space="preserve">, Niphal Imperfekt, 3. Person Maskulinum Singular, „ausgelöscht werden, getilgt werden", </w:t>
      </w:r>
      <w:r>
        <w:rPr>
          <w:rStyle w:val="Fett"/>
          <w:rFonts w:eastAsiaTheme="majorEastAsia"/>
          <w:rtl/>
        </w:rPr>
        <w:t>שֵׁם</w:t>
      </w:r>
      <w:r>
        <w:rPr>
          <w:rtl/>
        </w:rPr>
        <w:t xml:space="preserve"> </w:t>
      </w:r>
      <w:r>
        <w:t xml:space="preserve">mit Suffix 3. Person Maskulinum Singular als Subjekt, Präposition </w:t>
      </w:r>
      <w:r>
        <w:rPr>
          <w:rStyle w:val="Fett"/>
          <w:rFonts w:eastAsiaTheme="majorEastAsia"/>
          <w:rtl/>
        </w:rPr>
        <w:t>מִן</w:t>
      </w:r>
      <w:r>
        <w:rPr>
          <w:rtl/>
        </w:rPr>
        <w:t xml:space="preserve"> </w:t>
      </w:r>
      <w:r>
        <w:t xml:space="preserve">mit </w:t>
      </w:r>
      <w:r>
        <w:rPr>
          <w:rStyle w:val="Fett"/>
          <w:rFonts w:eastAsiaTheme="majorEastAsia"/>
          <w:rtl/>
        </w:rPr>
        <w:t>יִשְׂרָאֵל</w:t>
      </w:r>
      <w:r>
        <w:t>).</w:t>
      </w:r>
    </w:p>
    <w:p w14:paraId="3591CCD3" w14:textId="65E45FD9" w:rsidR="00166F02" w:rsidRDefault="00166F02" w:rsidP="00166F02">
      <w:pPr>
        <w:pStyle w:val="whitespace-normal"/>
      </w:pPr>
      <w:r>
        <w:lastRenderedPageBreak/>
        <w:t xml:space="preserve">Der Vers erklärt den Zweck der Leviratsehe. Die erste Aussage: </w:t>
      </w:r>
      <w:r>
        <w:rPr>
          <w:rStyle w:val="Fett"/>
          <w:rFonts w:eastAsiaTheme="majorEastAsia"/>
          <w:rtl/>
        </w:rPr>
        <w:t>וְהָיָה הַבְּכוֹר אֲשֶׁר תֵּלֵד יָקוּם עַל־שֵׁם אָחִיו הַמֵּת</w:t>
      </w:r>
      <w:r>
        <w:rPr>
          <w:rtl/>
        </w:rPr>
        <w:t xml:space="preserve"> </w:t>
      </w:r>
      <w:r>
        <w:t xml:space="preserve">(„und es soll geschehen, der Erstgeborene, den sie gebiert, aufstehen soll auf den Namen seines verstorbenen Bruders"). Das Wort </w:t>
      </w:r>
      <w:r>
        <w:rPr>
          <w:rStyle w:val="Fett"/>
          <w:rFonts w:eastAsiaTheme="majorEastAsia"/>
          <w:rtl/>
        </w:rPr>
        <w:t>בְּכוֹר</w:t>
      </w:r>
      <w:r>
        <w:rPr>
          <w:rtl/>
        </w:rPr>
        <w:t xml:space="preserve"> </w:t>
      </w:r>
      <w:r>
        <w:t xml:space="preserve">(„Erstgeborener") – der erste Sohn aus der Leviratsehe. Das Verb </w:t>
      </w:r>
      <w:r>
        <w:rPr>
          <w:rStyle w:val="Fett"/>
          <w:rFonts w:eastAsiaTheme="majorEastAsia"/>
          <w:rtl/>
        </w:rPr>
        <w:t>קום</w:t>
      </w:r>
      <w:r>
        <w:rPr>
          <w:rtl/>
        </w:rPr>
        <w:t xml:space="preserve"> </w:t>
      </w:r>
      <w:r>
        <w:t xml:space="preserve">(„aufstehen, antreten") bedeutet hier: rechtlich </w:t>
      </w:r>
      <w:proofErr w:type="spellStart"/>
      <w:r>
        <w:t>eintreten</w:t>
      </w:r>
      <w:proofErr w:type="spellEnd"/>
      <w:r>
        <w:t xml:space="preserve"> für, die Stelle einnehmen von. Die Formulierung </w:t>
      </w:r>
      <w:r>
        <w:rPr>
          <w:rStyle w:val="Fett"/>
          <w:rFonts w:eastAsiaTheme="majorEastAsia"/>
          <w:rtl/>
        </w:rPr>
        <w:t>עַל־שֵׁם אָחִיו הַמֵּת</w:t>
      </w:r>
      <w:r>
        <w:rPr>
          <w:rtl/>
        </w:rPr>
        <w:t xml:space="preserve"> </w:t>
      </w:r>
      <w:r>
        <w:t xml:space="preserve">(„auf den Namen seines verstorbenen Bruders") – der Sohn soll rechtlich als Sohn des Verstorbenen gelten, nicht des biologischen Vaters (des Schwagers). Das Wort </w:t>
      </w:r>
      <w:r>
        <w:rPr>
          <w:rStyle w:val="Fett"/>
          <w:rFonts w:eastAsiaTheme="majorEastAsia"/>
          <w:rtl/>
        </w:rPr>
        <w:t>אָח</w:t>
      </w:r>
      <w:r>
        <w:rPr>
          <w:rtl/>
        </w:rPr>
        <w:t xml:space="preserve"> </w:t>
      </w:r>
      <w:r>
        <w:t xml:space="preserve">(„Bruder") bezieht sich auf den verstorbenen Ehemann aus Perspektive des Schwagers – es ist sein Bruder. Der Zweck (Negativ-Finalsatz): </w:t>
      </w:r>
      <w:r>
        <w:rPr>
          <w:rStyle w:val="Fett"/>
          <w:rFonts w:eastAsiaTheme="majorEastAsia"/>
          <w:rtl/>
        </w:rPr>
        <w:t>וְלֹא־יִמָּחֶה שְׁמוֹ מִיִּשְׂרָאֵל</w:t>
      </w:r>
      <w:r>
        <w:rPr>
          <w:rtl/>
        </w:rPr>
        <w:t xml:space="preserve"> </w:t>
      </w:r>
      <w:r>
        <w:t xml:space="preserve">(„damit nicht ausgelöscht wird sein Name aus Israel"). Das Verb </w:t>
      </w:r>
      <w:r>
        <w:rPr>
          <w:rStyle w:val="Fett"/>
          <w:rFonts w:eastAsiaTheme="majorEastAsia"/>
          <w:rtl/>
        </w:rPr>
        <w:t>מחה</w:t>
      </w:r>
      <w:r>
        <w:rPr>
          <w:rtl/>
        </w:rPr>
        <w:t xml:space="preserve"> </w:t>
      </w:r>
      <w:r>
        <w:t xml:space="preserve">im Niphal („ausgelöscht werden, getilgt werden") – der Name würde verschwinden, vergessen werden. Die Formulierung </w:t>
      </w:r>
      <w:r>
        <w:rPr>
          <w:rStyle w:val="Fett"/>
          <w:rFonts w:eastAsiaTheme="majorEastAsia"/>
          <w:rtl/>
        </w:rPr>
        <w:t>מִיִּשְׂרָאֵל</w:t>
      </w:r>
      <w:r>
        <w:rPr>
          <w:rtl/>
        </w:rPr>
        <w:t xml:space="preserve"> </w:t>
      </w:r>
      <w:r>
        <w:t xml:space="preserve">(„aus Israel") – aus dem Volk, aus den Genealogien. Die Ratio: In der antiken israelitischen Kultur war es von höchster Bedeutung, dass der Name und das Erbe einer Familie weiterleben. Ein Mann ohne Nachkommen war wie ausgelöscht – sein Name würde vergessen, sein Landbesitz würde an andere übergehen. Die Leviratsehe sichert den Namen des Verstorbenen durch einen posthumen Erben. Historisches Beispiel: Gen 38,1-30 – Juda und Tamar; die Geschichte zeigt die Bedeutung der Leviratsehe schon in patriarchaler Zeit. Rut 4,1-12 – Boas und Rut; Boas übernimmt die Rolle des Lösers und heiratet Rut, um den Namen </w:t>
      </w:r>
      <w:proofErr w:type="spellStart"/>
      <w:r>
        <w:t>Mahlons</w:t>
      </w:r>
      <w:proofErr w:type="spellEnd"/>
      <w:r>
        <w:t xml:space="preserve"> zu erhalten. V. 7-10 werden den Fall behandeln, dass der Schwager sich weigert.</w:t>
      </w:r>
    </w:p>
    <w:p w14:paraId="053E0724" w14:textId="5D4B41CF" w:rsidR="00A600C6" w:rsidRDefault="00A600C6" w:rsidP="00166F02">
      <w:pPr>
        <w:pStyle w:val="whitespace-normal"/>
      </w:pPr>
      <w:r>
        <w:rPr>
          <w:rStyle w:val="Fett"/>
        </w:rPr>
        <w:t>Die LXX</w:t>
      </w:r>
      <w:r>
        <w:t xml:space="preserve"> übersetzt </w:t>
      </w:r>
      <w:r>
        <w:rPr>
          <w:rtl/>
        </w:rPr>
        <w:t>הַבְּכוֹר אֲשֶׁר תֵּלֵד</w:t>
      </w:r>
      <w:r>
        <w:t xml:space="preserve"> (der Erstgeborene, den sie gebiert) mit </w:t>
      </w:r>
      <w:proofErr w:type="spellStart"/>
      <w:r>
        <w:t>τὸ</w:t>
      </w:r>
      <w:proofErr w:type="spellEnd"/>
      <w:r>
        <w:t xml:space="preserve"> πα</w:t>
      </w:r>
      <w:proofErr w:type="spellStart"/>
      <w:r>
        <w:t>ιδίον</w:t>
      </w:r>
      <w:proofErr w:type="spellEnd"/>
      <w:r>
        <w:t xml:space="preserve">, ὃ </w:t>
      </w:r>
      <w:proofErr w:type="spellStart"/>
      <w:r>
        <w:t>ἂν</w:t>
      </w:r>
      <w:proofErr w:type="spellEnd"/>
      <w:r>
        <w:t xml:space="preserve"> </w:t>
      </w:r>
      <w:proofErr w:type="spellStart"/>
      <w:r>
        <w:t>τέκῃ</w:t>
      </w:r>
      <w:proofErr w:type="spellEnd"/>
      <w:r>
        <w:t xml:space="preserve"> (das Kind, das sie gebiert) – ohne spezifische Betonung auf "Erstgeborener". Das Verb κατα</w:t>
      </w:r>
      <w:proofErr w:type="spellStart"/>
      <w:r>
        <w:t>στ</w:t>
      </w:r>
      <w:proofErr w:type="spellEnd"/>
      <w:r>
        <w:t xml:space="preserve">αθήσεται (wird eingesetzt werden) für </w:t>
      </w:r>
      <w:r>
        <w:rPr>
          <w:rtl/>
        </w:rPr>
        <w:t>יָקוּם</w:t>
      </w:r>
      <w:r>
        <w:t xml:space="preserve"> ist ein stärkerer rechtlicher Terminus.</w:t>
      </w:r>
    </w:p>
    <w:p w14:paraId="356B79BE" w14:textId="77777777" w:rsidR="00166F02" w:rsidRDefault="00166F02" w:rsidP="00166F02">
      <w:pPr>
        <w:pStyle w:val="whitespace-normal"/>
      </w:pPr>
      <w:r>
        <w:rPr>
          <w:rStyle w:val="Fett"/>
          <w:rFonts w:eastAsiaTheme="majorEastAsia"/>
        </w:rPr>
        <w:t>Die Satzstruktur:</w:t>
      </w:r>
      <w:r>
        <w:t xml:space="preserve"> Zwei koordinierte Aussagen (und es soll geschehen, der Erstgeborene, den sie gebiert, aufstehen soll auf den Namen seines verstorbenen Bruders, damit nicht ausgelöscht wird sein Name aus Israel).</w:t>
      </w:r>
    </w:p>
    <w:p w14:paraId="2BBD7ED7" w14:textId="5CAC2701" w:rsidR="00166F02" w:rsidRDefault="00166F02" w:rsidP="00AB12A0">
      <w:pPr>
        <w:pStyle w:val="whitespace-normal"/>
      </w:pPr>
      <w:r>
        <w:rPr>
          <w:rStyle w:val="Fett"/>
          <w:rFonts w:eastAsiaTheme="majorEastAsia"/>
        </w:rPr>
        <w:t>Der Vers beschreibt:</w:t>
      </w:r>
      <w:r>
        <w:t xml:space="preserve"> Zweck der Leviratsehe – der erste Sohn gilt rechtlich als Sohn des Verstorbenen, damit dessen Name und Erbe bewahrt werden.</w:t>
      </w:r>
    </w:p>
    <w:p w14:paraId="1FB7B9AD" w14:textId="77777777" w:rsidR="00166F02" w:rsidRPr="00713867" w:rsidRDefault="00166F02" w:rsidP="00B53ACC">
      <w:pPr>
        <w:pStyle w:val="Bibelberschrift"/>
      </w:pPr>
      <w:r w:rsidRPr="00713867">
        <w:rPr>
          <w:rStyle w:val="Fett"/>
          <w:b/>
          <w:bCs w:val="0"/>
        </w:rPr>
        <w:t>Deuteronomium 25,7</w:t>
      </w:r>
    </w:p>
    <w:p w14:paraId="665AE4D5" w14:textId="77777777" w:rsidR="00166F02" w:rsidRDefault="00166F02" w:rsidP="00166F02">
      <w:pPr>
        <w:pStyle w:val="whitespace-normal"/>
      </w:pPr>
      <w:r>
        <w:rPr>
          <w:rStyle w:val="Fett"/>
          <w:rFonts w:eastAsiaTheme="majorEastAsia"/>
        </w:rPr>
        <w:t>Hebräisch:</w:t>
      </w:r>
      <w:r>
        <w:t xml:space="preserve"> </w:t>
      </w:r>
      <w:r>
        <w:rPr>
          <w:rtl/>
        </w:rPr>
        <w:t>וְאִם־לֹ֤א יַחְפֹּץ֙ הָאִ֔ישׁ לָקַ֖חַת אֶת־יְבִמְתּ֑וֹ וְעָלְתָה֩ יְבִמְתּ֨וֹ הַשַּׁ֜עְרָה אֶל־הַזְּקֵנִ֗ים וְאָמְרָה֙ מֵאֵ֨ן יְבָמִ֜י לְהָקִ֨ים לְאָחִ֥יו שֵׁם֙ בְּיִשְׂרָאֵ֔ל לֹ֥א אָבָ֖ה יַבְּמִֽי׃</w:t>
      </w:r>
    </w:p>
    <w:p w14:paraId="4809A80E" w14:textId="2B09AFA9" w:rsidR="00166F02" w:rsidRDefault="00166F02" w:rsidP="00166F02">
      <w:pPr>
        <w:pStyle w:val="whitespace-normal"/>
      </w:pPr>
      <w:r>
        <w:rPr>
          <w:rStyle w:val="Fett"/>
          <w:rFonts w:eastAsiaTheme="majorEastAsia"/>
        </w:rPr>
        <w:t>Deutsch:</w:t>
      </w:r>
      <w:r>
        <w:t xml:space="preserve"> </w:t>
      </w:r>
      <w:r w:rsidR="007064FD">
        <w:t>Wenn aber der Mann keine Lust hat, seine Schwägerin zu nehmen, so soll seine Schwägerin hinaufgehen zum Tor zu den Ältesten und sagen: Mein Schwager weigert sich, seinem Bruder einen Namen in Jisra’el zu erwecken; er wird mir der Schwagerpflicht nicht nachkommen.</w:t>
      </w:r>
    </w:p>
    <w:p w14:paraId="3580F169" w14:textId="77777777" w:rsidR="00166F02" w:rsidRDefault="004F5CEB" w:rsidP="00166F02">
      <w:r>
        <w:rPr>
          <w:noProof/>
        </w:rPr>
        <w:pict w14:anchorId="75C23FDB">
          <v:rect id="_x0000_i1680" style="width:0;height:1.5pt" o:hralign="center" o:hrstd="t" o:hr="t" fillcolor="#a0a0a0" stroked="f"/>
        </w:pict>
      </w:r>
    </w:p>
    <w:p w14:paraId="2EBA1832" w14:textId="0743B074" w:rsidR="00166F02" w:rsidRDefault="00166F02" w:rsidP="00166F02">
      <w:pPr>
        <w:pStyle w:val="whitespace-normal"/>
      </w:pPr>
      <w:r>
        <w:rPr>
          <w:rStyle w:val="Fett"/>
          <w:rFonts w:eastAsiaTheme="majorEastAsia"/>
        </w:rPr>
        <w:t>Kommentar:</w:t>
      </w:r>
      <w:r>
        <w:t xml:space="preserve"> </w:t>
      </w:r>
      <w:r>
        <w:rPr>
          <w:rStyle w:val="Fett"/>
          <w:rFonts w:eastAsiaTheme="majorEastAsia"/>
          <w:rtl/>
        </w:rPr>
        <w:t>וְאִם־לֹא יַחְפֹּץ הָאִישׁ לָקַחַת אֶת־יְבִמְתּוֹ וְעָלְתָה יְבִמְתּוֹ הַשַּׁעְרָה אֶל־הַזְּקֵנִים וְאָמְרָה מֵאֵן יְבָמִי לְהָקִים לְאָחִיו שֵׁם בְּיִשְׂרָאֵל לֹא אָבָה יַבְּמִי</w:t>
      </w:r>
      <w:r>
        <w:rPr>
          <w:rtl/>
        </w:rPr>
        <w:t xml:space="preserve"> </w:t>
      </w:r>
      <w:r>
        <w:t xml:space="preserve">ist eine Bedingung mit zwei Anweisungen: </w:t>
      </w:r>
      <w:r>
        <w:rPr>
          <w:rStyle w:val="Fett"/>
          <w:rFonts w:eastAsiaTheme="majorEastAsia"/>
          <w:rtl/>
        </w:rPr>
        <w:t>וְאִם־לֹא יַחְפֹּץ הָאִישׁ לָקַחַת אֶת־יְבִמְתּוֹ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אִם</w:t>
      </w:r>
      <w:r>
        <w:t xml:space="preserve">, Negation, </w:t>
      </w:r>
      <w:r>
        <w:rPr>
          <w:rStyle w:val="Fett"/>
          <w:rFonts w:eastAsiaTheme="majorEastAsia"/>
          <w:rtl/>
        </w:rPr>
        <w:t>חפץ</w:t>
      </w:r>
      <w:r>
        <w:t xml:space="preserve">, Qal Imperfekt, 3. Person Maskulinum Singular, „Lust haben, </w:t>
      </w:r>
      <w:r w:rsidR="00D47758">
        <w:t>Gefallen</w:t>
      </w:r>
      <w:r>
        <w:t xml:space="preserve"> haben, wollen", </w:t>
      </w:r>
      <w:r>
        <w:rPr>
          <w:rStyle w:val="Fett"/>
          <w:rFonts w:eastAsiaTheme="majorEastAsia"/>
          <w:rtl/>
        </w:rPr>
        <w:t>הָאִישׁ</w:t>
      </w:r>
      <w:r>
        <w:rPr>
          <w:rtl/>
        </w:rPr>
        <w:t xml:space="preserve"> </w:t>
      </w:r>
      <w:r>
        <w:t xml:space="preserve">als Subjekt, Präposition </w:t>
      </w:r>
      <w:r>
        <w:rPr>
          <w:rStyle w:val="Fett"/>
          <w:rFonts w:eastAsiaTheme="majorEastAsia"/>
          <w:rtl/>
        </w:rPr>
        <w:t>לְ</w:t>
      </w:r>
      <w:r>
        <w:rPr>
          <w:rtl/>
        </w:rPr>
        <w:t xml:space="preserve"> </w:t>
      </w:r>
      <w:r>
        <w:lastRenderedPageBreak/>
        <w:t xml:space="preserve">mit Qal Infinitiv Construct von </w:t>
      </w:r>
      <w:r>
        <w:rPr>
          <w:rStyle w:val="Fett"/>
          <w:rFonts w:eastAsiaTheme="majorEastAsia"/>
          <w:rtl/>
        </w:rPr>
        <w:t>לקח</w:t>
      </w:r>
      <w:r>
        <w:t xml:space="preserve">, Objektpartikel </w:t>
      </w:r>
      <w:r>
        <w:rPr>
          <w:rStyle w:val="Fett"/>
          <w:rFonts w:eastAsiaTheme="majorEastAsia"/>
          <w:rtl/>
        </w:rPr>
        <w:t>אֵת</w:t>
      </w:r>
      <w:r>
        <w:rPr>
          <w:rtl/>
        </w:rPr>
        <w:t xml:space="preserve"> </w:t>
      </w:r>
      <w:r>
        <w:t xml:space="preserve">mit </w:t>
      </w:r>
      <w:r>
        <w:rPr>
          <w:rStyle w:val="Fett"/>
          <w:rFonts w:eastAsiaTheme="majorEastAsia"/>
          <w:rtl/>
        </w:rPr>
        <w:t>יְבֶמֶת</w:t>
      </w:r>
      <w:r>
        <w:t xml:space="preserve">, „Schwägerin" (Frau des verstorbenen Bruders), mit Suffix 3. Person Maskulinum Singular), </w:t>
      </w:r>
      <w:r>
        <w:rPr>
          <w:rStyle w:val="Fett"/>
          <w:rFonts w:eastAsiaTheme="majorEastAsia"/>
          <w:rtl/>
        </w:rPr>
        <w:t>וְעָלְתָה יְבִמְתּוֹ הַשַּׁעְרָה אֶל־הַזְּקֵנִים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עלה</w:t>
      </w:r>
      <w:r>
        <w:t xml:space="preserve">, Qal Perfekt, 3. Person Femininum Singular, „hinaufgehen, hinaufsteigen", </w:t>
      </w:r>
      <w:r>
        <w:rPr>
          <w:rStyle w:val="Fett"/>
          <w:rFonts w:eastAsiaTheme="majorEastAsia"/>
          <w:rtl/>
        </w:rPr>
        <w:t>יְבֶמֶת</w:t>
      </w:r>
      <w:r>
        <w:rPr>
          <w:rtl/>
        </w:rPr>
        <w:t xml:space="preserve"> </w:t>
      </w:r>
      <w:r>
        <w:t xml:space="preserve">mit Suffix 3. Person Maskulinum Singular als Subjekt, </w:t>
      </w:r>
      <w:r>
        <w:rPr>
          <w:rStyle w:val="Fett"/>
          <w:rFonts w:eastAsiaTheme="majorEastAsia"/>
          <w:rtl/>
        </w:rPr>
        <w:t>שַׁעַר</w:t>
      </w:r>
      <w:r>
        <w:rPr>
          <w:rtl/>
        </w:rPr>
        <w:t xml:space="preserve"> </w:t>
      </w:r>
      <w:r>
        <w:t xml:space="preserve">mit Artikel und Richtungsendung </w:t>
      </w:r>
      <w:r>
        <w:rPr>
          <w:rStyle w:val="Fett"/>
          <w:rFonts w:eastAsiaTheme="majorEastAsia"/>
          <w:rtl/>
        </w:rPr>
        <w:t>ה</w:t>
      </w:r>
      <w:r>
        <w:rPr>
          <w:rStyle w:val="Fett"/>
          <w:rFonts w:eastAsiaTheme="majorEastAsia"/>
        </w:rPr>
        <w:t>-</w:t>
      </w:r>
      <w:r>
        <w:t xml:space="preserve"> – „zum Tor", Präposition </w:t>
      </w:r>
      <w:r>
        <w:rPr>
          <w:rStyle w:val="Fett"/>
          <w:rFonts w:eastAsiaTheme="majorEastAsia"/>
          <w:rtl/>
        </w:rPr>
        <w:t>אֶל</w:t>
      </w:r>
      <w:r>
        <w:rPr>
          <w:rtl/>
        </w:rPr>
        <w:t xml:space="preserve"> </w:t>
      </w:r>
      <w:r>
        <w:t xml:space="preserve">mit </w:t>
      </w:r>
      <w:r>
        <w:rPr>
          <w:rStyle w:val="Fett"/>
          <w:rFonts w:eastAsiaTheme="majorEastAsia"/>
          <w:rtl/>
        </w:rPr>
        <w:t>זָקֵן</w:t>
      </w:r>
      <w:r>
        <w:rPr>
          <w:rtl/>
        </w:rPr>
        <w:t xml:space="preserve"> </w:t>
      </w:r>
      <w:r>
        <w:t xml:space="preserve">Plural mit Artikel, mit </w:t>
      </w:r>
      <w:r>
        <w:rPr>
          <w:rStyle w:val="Fett"/>
          <w:rFonts w:eastAsiaTheme="majorEastAsia"/>
        </w:rPr>
        <w:t>Waw</w:t>
      </w:r>
      <w:r>
        <w:t xml:space="preserve"> consecutives Perfekt), </w:t>
      </w:r>
      <w:r>
        <w:rPr>
          <w:rStyle w:val="Fett"/>
          <w:rFonts w:eastAsiaTheme="majorEastAsia"/>
          <w:rtl/>
        </w:rPr>
        <w:t>וְאָמְרָה מֵאֵן יְבָמִי לְהָקִים לְאָחִיו שֵׁם בְּיִשְׂרָאֵל לֹא אָבָה יַבְּמִי</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אמר</w:t>
      </w:r>
      <w:r>
        <w:t xml:space="preserve">, Qal Perfekt, 3. Person Femininum Singular, direkte Rede: </w:t>
      </w:r>
      <w:r>
        <w:rPr>
          <w:rStyle w:val="Fett"/>
          <w:rFonts w:eastAsiaTheme="majorEastAsia"/>
          <w:rtl/>
        </w:rPr>
        <w:t>מֵאֵן יְבָמִי</w:t>
      </w:r>
      <w:r>
        <w:rPr>
          <w:rtl/>
        </w:rPr>
        <w:t xml:space="preserve"> </w:t>
      </w:r>
      <w:r>
        <w:t xml:space="preserve">mit </w:t>
      </w:r>
      <w:r>
        <w:rPr>
          <w:rStyle w:val="Fett"/>
          <w:rFonts w:eastAsiaTheme="majorEastAsia"/>
          <w:rtl/>
        </w:rPr>
        <w:t>מאן</w:t>
      </w:r>
      <w:r>
        <w:t xml:space="preserve">, Piel Partizip, „sich weigern, ablehnen", </w:t>
      </w:r>
      <w:r>
        <w:rPr>
          <w:rStyle w:val="Fett"/>
          <w:rFonts w:eastAsiaTheme="majorEastAsia"/>
          <w:rtl/>
        </w:rPr>
        <w:t>יָבָם</w:t>
      </w:r>
      <w:r>
        <w:rPr>
          <w:rtl/>
        </w:rPr>
        <w:t xml:space="preserve"> </w:t>
      </w:r>
      <w:r>
        <w:t xml:space="preserve">mit Suffix 1. Person Singular – „mein Schwager", Präposition </w:t>
      </w:r>
      <w:r>
        <w:rPr>
          <w:rStyle w:val="Fett"/>
          <w:rFonts w:eastAsiaTheme="majorEastAsia"/>
          <w:rtl/>
        </w:rPr>
        <w:t>לְ</w:t>
      </w:r>
      <w:r>
        <w:rPr>
          <w:rtl/>
        </w:rPr>
        <w:t xml:space="preserve"> </w:t>
      </w:r>
      <w:r>
        <w:t xml:space="preserve">mit Hiphil Infinitiv Construct von </w:t>
      </w:r>
      <w:r>
        <w:rPr>
          <w:rStyle w:val="Fett"/>
          <w:rFonts w:eastAsiaTheme="majorEastAsia"/>
          <w:rtl/>
        </w:rPr>
        <w:t>קום</w:t>
      </w:r>
      <w:r>
        <w:t xml:space="preserve">, Präposition </w:t>
      </w:r>
      <w:r>
        <w:rPr>
          <w:rStyle w:val="Fett"/>
          <w:rFonts w:eastAsiaTheme="majorEastAsia"/>
          <w:rtl/>
        </w:rPr>
        <w:t>לְ</w:t>
      </w:r>
      <w:r>
        <w:rPr>
          <w:rtl/>
        </w:rPr>
        <w:t xml:space="preserve"> </w:t>
      </w:r>
      <w:r>
        <w:t xml:space="preserve">mit </w:t>
      </w:r>
      <w:r>
        <w:rPr>
          <w:rStyle w:val="Fett"/>
          <w:rFonts w:eastAsiaTheme="majorEastAsia"/>
          <w:rtl/>
        </w:rPr>
        <w:t>אָח</w:t>
      </w:r>
      <w:r>
        <w:rPr>
          <w:rtl/>
        </w:rPr>
        <w:t xml:space="preserve"> </w:t>
      </w:r>
      <w:r>
        <w:t xml:space="preserve">mit Suffix 3. Person Maskulinum Singular, </w:t>
      </w:r>
      <w:r>
        <w:rPr>
          <w:rStyle w:val="Fett"/>
          <w:rFonts w:eastAsiaTheme="majorEastAsia"/>
          <w:rtl/>
        </w:rPr>
        <w:t>שֵׁם</w:t>
      </w:r>
      <w:r>
        <w:rPr>
          <w:rtl/>
        </w:rPr>
        <w:t xml:space="preserve"> </w:t>
      </w:r>
      <w:r>
        <w:t xml:space="preserve">als Objekt, </w:t>
      </w:r>
      <w:r>
        <w:rPr>
          <w:rStyle w:val="Fett"/>
          <w:rFonts w:eastAsiaTheme="majorEastAsia"/>
          <w:rtl/>
        </w:rPr>
        <w:t>בְּיִשְׂרָאֵל</w:t>
      </w:r>
      <w:r>
        <w:t xml:space="preserve">, Negation mit </w:t>
      </w:r>
      <w:r>
        <w:rPr>
          <w:rStyle w:val="Fett"/>
          <w:rFonts w:eastAsiaTheme="majorEastAsia"/>
          <w:rtl/>
        </w:rPr>
        <w:t>אבה</w:t>
      </w:r>
      <w:r>
        <w:t xml:space="preserve">, Qal Perfekt, 3. Person Maskulinum Singular, „wollen, bereit sein", </w:t>
      </w:r>
      <w:r>
        <w:rPr>
          <w:rStyle w:val="Fett"/>
          <w:rFonts w:eastAsiaTheme="majorEastAsia"/>
          <w:rtl/>
        </w:rPr>
        <w:t>יָבָם</w:t>
      </w:r>
      <w:r>
        <w:rPr>
          <w:rtl/>
        </w:rPr>
        <w:t xml:space="preserve"> </w:t>
      </w:r>
      <w:r>
        <w:t xml:space="preserve">mit Suffix 1. Person Singular als Subjekt, mit </w:t>
      </w:r>
      <w:r>
        <w:rPr>
          <w:rStyle w:val="Fett"/>
          <w:rFonts w:eastAsiaTheme="majorEastAsia"/>
        </w:rPr>
        <w:t>Waw</w:t>
      </w:r>
      <w:r>
        <w:t xml:space="preserve"> consecutives Perfekt).</w:t>
      </w:r>
    </w:p>
    <w:p w14:paraId="343F01D8" w14:textId="68793940" w:rsidR="00166F02" w:rsidRDefault="00166F02" w:rsidP="00166F02">
      <w:pPr>
        <w:pStyle w:val="whitespace-normal"/>
      </w:pPr>
      <w:r>
        <w:t xml:space="preserve">Der Vers beschreibt das Verfahren, wenn der Schwager sich weigert. Die Bedingung: </w:t>
      </w:r>
      <w:r>
        <w:rPr>
          <w:rStyle w:val="Fett"/>
          <w:rFonts w:eastAsiaTheme="majorEastAsia"/>
          <w:rtl/>
        </w:rPr>
        <w:t>וְאִם־לֹא יַחְפֹּץ הָאִישׁ לָקַחַת אֶת־יְבִמְתּוֹ</w:t>
      </w:r>
      <w:r>
        <w:rPr>
          <w:rtl/>
        </w:rPr>
        <w:t xml:space="preserve"> </w:t>
      </w:r>
      <w:r>
        <w:t xml:space="preserve">(„und wenn nicht Lust hat der Mann, zu nehmen seine Schwägerin"). Das Verb </w:t>
      </w:r>
      <w:r>
        <w:rPr>
          <w:rStyle w:val="Fett"/>
          <w:rFonts w:eastAsiaTheme="majorEastAsia"/>
          <w:rtl/>
        </w:rPr>
        <w:t>חפץ</w:t>
      </w:r>
      <w:r>
        <w:rPr>
          <w:rtl/>
        </w:rPr>
        <w:t xml:space="preserve"> </w:t>
      </w:r>
      <w:r>
        <w:t xml:space="preserve">(„Lust haben, </w:t>
      </w:r>
      <w:r w:rsidR="00D47758">
        <w:t>Gefallen</w:t>
      </w:r>
      <w:r>
        <w:t xml:space="preserve"> haben, wollen") – der Schwager will die Verpflichtung nicht erfüllen. Das Wort </w:t>
      </w:r>
      <w:r>
        <w:rPr>
          <w:rStyle w:val="Fett"/>
          <w:rFonts w:eastAsiaTheme="majorEastAsia"/>
          <w:rtl/>
        </w:rPr>
        <w:t>יְבֶמֶת</w:t>
      </w:r>
      <w:r>
        <w:rPr>
          <w:rtl/>
        </w:rPr>
        <w:t xml:space="preserve"> </w:t>
      </w:r>
      <w:r>
        <w:t xml:space="preserve">(„Schwägerin") ist das feminine Pendant zu </w:t>
      </w:r>
      <w:r>
        <w:rPr>
          <w:rStyle w:val="Fett"/>
          <w:rFonts w:eastAsiaTheme="majorEastAsia"/>
          <w:rtl/>
        </w:rPr>
        <w:t>יָבָם</w:t>
      </w:r>
      <w:r>
        <w:rPr>
          <w:rtl/>
        </w:rPr>
        <w:t xml:space="preserve"> </w:t>
      </w:r>
      <w:r>
        <w:t xml:space="preserve">(„Schwager") und bezeichnet die Witwe des Bruders. Die erste Anweisung: </w:t>
      </w:r>
      <w:r>
        <w:rPr>
          <w:rStyle w:val="Fett"/>
          <w:rFonts w:eastAsiaTheme="majorEastAsia"/>
          <w:rtl/>
        </w:rPr>
        <w:t>וְעָלְתָה יְבִמְתּוֹ הַשַּׁעְרָה אֶל־הַזְּקֵנִים</w:t>
      </w:r>
      <w:r>
        <w:rPr>
          <w:rtl/>
        </w:rPr>
        <w:t xml:space="preserve"> </w:t>
      </w:r>
      <w:r>
        <w:t xml:space="preserve">(„und hinaufgehen soll seine Schwägerin zum Tor zu den Ältesten"). Das Verb </w:t>
      </w:r>
      <w:r>
        <w:rPr>
          <w:rStyle w:val="Fett"/>
          <w:rFonts w:eastAsiaTheme="majorEastAsia"/>
          <w:rtl/>
        </w:rPr>
        <w:t>עלה</w:t>
      </w:r>
      <w:r>
        <w:rPr>
          <w:rtl/>
        </w:rPr>
        <w:t xml:space="preserve"> </w:t>
      </w:r>
      <w:r>
        <w:t xml:space="preserve">(„hinaufgehen") – oft verwendet für das Gehen zu einem öffentlichen oder heiligen Ort. Das Wort </w:t>
      </w:r>
      <w:r>
        <w:rPr>
          <w:rStyle w:val="Fett"/>
          <w:rFonts w:eastAsiaTheme="majorEastAsia"/>
          <w:rtl/>
        </w:rPr>
        <w:t>שַׁעַר</w:t>
      </w:r>
      <w:r>
        <w:rPr>
          <w:rtl/>
        </w:rPr>
        <w:t xml:space="preserve"> </w:t>
      </w:r>
      <w:r>
        <w:t xml:space="preserve">(„Tor") mit Artikel und Richtungsendung – das Stadttor, wo Gericht gehalten wurde (vgl. Rut 4,1-2.11; Am 5,15). Die </w:t>
      </w:r>
      <w:r>
        <w:rPr>
          <w:rStyle w:val="Fett"/>
          <w:rFonts w:eastAsiaTheme="majorEastAsia"/>
          <w:rtl/>
        </w:rPr>
        <w:t>זְקֵנִים</w:t>
      </w:r>
      <w:r>
        <w:rPr>
          <w:rtl/>
        </w:rPr>
        <w:t xml:space="preserve"> </w:t>
      </w:r>
      <w:r>
        <w:t xml:space="preserve">(„Ältesten") sind die lokalen Richter und Autoritäten. Die zweite Anweisung (direkte Rede): </w:t>
      </w:r>
      <w:r>
        <w:rPr>
          <w:rStyle w:val="Fett"/>
          <w:rFonts w:eastAsiaTheme="majorEastAsia"/>
          <w:rtl/>
        </w:rPr>
        <w:t>וְאָמְרָה מֵאֵן יְבָמִי לְהָקִים לְאָחִיו שֵׁם בְּיִשְׂרָאֵל לֹא אָבָה יַבְּמִי</w:t>
      </w:r>
      <w:r>
        <w:rPr>
          <w:rtl/>
        </w:rPr>
        <w:t xml:space="preserve"> </w:t>
      </w:r>
      <w:r>
        <w:t xml:space="preserve">(„und sagen soll sie: Sich weigert mein Schwager, aufzurichten seinem Bruder einen Namen in Israel; nicht will mein Schwager"). Das Verb </w:t>
      </w:r>
      <w:r>
        <w:rPr>
          <w:rStyle w:val="Fett"/>
          <w:rFonts w:eastAsiaTheme="majorEastAsia"/>
          <w:rtl/>
        </w:rPr>
        <w:t>מאן</w:t>
      </w:r>
      <w:r>
        <w:rPr>
          <w:rtl/>
        </w:rPr>
        <w:t xml:space="preserve"> </w:t>
      </w:r>
      <w:r>
        <w:t xml:space="preserve">im Piel („sich weigern, ablehnen") betont die aktive Verweigerung. Die Formulierung </w:t>
      </w:r>
      <w:r>
        <w:rPr>
          <w:rStyle w:val="Fett"/>
          <w:rFonts w:eastAsiaTheme="majorEastAsia"/>
          <w:rtl/>
        </w:rPr>
        <w:t>לְהָקִים לְאָחִיו שֵׁם בְּיִשְׂרָאֵל</w:t>
      </w:r>
      <w:r>
        <w:rPr>
          <w:rtl/>
        </w:rPr>
        <w:t xml:space="preserve"> </w:t>
      </w:r>
      <w:r>
        <w:t xml:space="preserve">(„aufzurichten seinem Bruder einen Namen in Israel") beschreibt den Zweck der Leviratsehe (vgl. V. 6). Das Verb </w:t>
      </w:r>
      <w:r>
        <w:rPr>
          <w:rStyle w:val="Fett"/>
          <w:rFonts w:eastAsiaTheme="majorEastAsia"/>
          <w:rtl/>
        </w:rPr>
        <w:t>אבה</w:t>
      </w:r>
      <w:r>
        <w:rPr>
          <w:rtl/>
        </w:rPr>
        <w:t xml:space="preserve"> </w:t>
      </w:r>
      <w:r>
        <w:t xml:space="preserve">(„wollen, bereit sein") mit Negation verstärkt: Er will nicht, er ist nicht bereit. Die Wiederholung </w:t>
      </w:r>
      <w:r>
        <w:rPr>
          <w:rStyle w:val="Fett"/>
          <w:rFonts w:eastAsiaTheme="majorEastAsia"/>
          <w:rtl/>
        </w:rPr>
        <w:t>יְבָמִי</w:t>
      </w:r>
      <w:r>
        <w:rPr>
          <w:rtl/>
        </w:rPr>
        <w:t xml:space="preserve"> </w:t>
      </w:r>
      <w:r>
        <w:t>(„mein Schwager") zweimal betont die persönliche Beziehung und die Verpflichtung, die der Schwager nicht erfüllt. V. 8 wird die Reaktion der Ältesten beschreiben.</w:t>
      </w:r>
    </w:p>
    <w:p w14:paraId="41C110F1" w14:textId="55A3AC9F" w:rsidR="00A600C6" w:rsidRDefault="00A600C6" w:rsidP="00166F02">
      <w:pPr>
        <w:pStyle w:val="whitespace-normal"/>
      </w:pPr>
      <w:r>
        <w:rPr>
          <w:rStyle w:val="Fett"/>
        </w:rPr>
        <w:t>Die LXX</w:t>
      </w:r>
      <w:r>
        <w:t xml:space="preserve"> fügt eine Wiederholung hinzu: </w:t>
      </w:r>
      <w:proofErr w:type="spellStart"/>
      <w:r>
        <w:t>οὐκ</w:t>
      </w:r>
      <w:proofErr w:type="spellEnd"/>
      <w:r>
        <w:t xml:space="preserve"> </w:t>
      </w:r>
      <w:proofErr w:type="spellStart"/>
      <w:r>
        <w:t>ἠθέλησεν</w:t>
      </w:r>
      <w:proofErr w:type="spellEnd"/>
      <w:r>
        <w:t xml:space="preserve"> ὁ </w:t>
      </w:r>
      <w:proofErr w:type="spellStart"/>
      <w:r>
        <w:t>ἀδελφὸς</w:t>
      </w:r>
      <w:proofErr w:type="spellEnd"/>
      <w:r>
        <w:t xml:space="preserve"> </w:t>
      </w:r>
      <w:proofErr w:type="spellStart"/>
      <w:r>
        <w:t>τοῦ</w:t>
      </w:r>
      <w:proofErr w:type="spellEnd"/>
      <w:r>
        <w:t xml:space="preserve"> </w:t>
      </w:r>
      <w:proofErr w:type="spellStart"/>
      <w:r>
        <w:t>ἀνδρός</w:t>
      </w:r>
      <w:proofErr w:type="spellEnd"/>
      <w:r>
        <w:t xml:space="preserve"> </w:t>
      </w:r>
      <w:proofErr w:type="spellStart"/>
      <w:r>
        <w:t>μου</w:t>
      </w:r>
      <w:proofErr w:type="spellEnd"/>
      <w:r>
        <w:t xml:space="preserve"> (es wollte nicht der Bruder meines Mannes) am Ende der Rede der Frau, die im MT nicht vorhanden ist.</w:t>
      </w:r>
    </w:p>
    <w:p w14:paraId="7036807A" w14:textId="77777777" w:rsidR="00166F02" w:rsidRDefault="00166F02" w:rsidP="00166F02">
      <w:pPr>
        <w:pStyle w:val="whitespace-normal"/>
      </w:pPr>
      <w:r>
        <w:rPr>
          <w:rStyle w:val="Fett"/>
          <w:rFonts w:eastAsiaTheme="majorEastAsia"/>
        </w:rPr>
        <w:t>Die Satzstruktur:</w:t>
      </w:r>
      <w:r>
        <w:t xml:space="preserve"> Bedingung mit zwei Anweisungen (und wenn nicht Lust hat der Mann, zu nehmen seine Schwägerin, und hinaufgehen soll seine Schwägerin zum Tor zu den Ältesten, und sagen soll sie: Sich weigert mein Schwager, aufzurichten seinem Bruder einen Namen in Israel; nicht will mein Schwager).</w:t>
      </w:r>
    </w:p>
    <w:p w14:paraId="6D651D4B" w14:textId="51E2DA24" w:rsidR="00166F02" w:rsidRDefault="00166F02" w:rsidP="00AB12A0">
      <w:pPr>
        <w:pStyle w:val="whitespace-normal"/>
      </w:pPr>
      <w:r>
        <w:rPr>
          <w:rStyle w:val="Fett"/>
          <w:rFonts w:eastAsiaTheme="majorEastAsia"/>
        </w:rPr>
        <w:t>Der Vers beschreibt:</w:t>
      </w:r>
      <w:r>
        <w:t xml:space="preserve"> Wenn der Schwager sich weigert, soll die Witwe zu den Ältesten am Stadttor gehen und seine Weigerung öffentlich machen.</w:t>
      </w:r>
    </w:p>
    <w:p w14:paraId="5B21C5D9" w14:textId="77777777" w:rsidR="00166F02" w:rsidRPr="00713867" w:rsidRDefault="00166F02" w:rsidP="00B53ACC">
      <w:pPr>
        <w:pStyle w:val="Bibelberschrift"/>
      </w:pPr>
      <w:r w:rsidRPr="00713867">
        <w:rPr>
          <w:rStyle w:val="Fett"/>
          <w:b/>
          <w:bCs w:val="0"/>
        </w:rPr>
        <w:t>Deuteronomium 25,8</w:t>
      </w:r>
    </w:p>
    <w:p w14:paraId="39AFFC8F" w14:textId="77777777" w:rsidR="00166F02" w:rsidRDefault="00166F02" w:rsidP="00166F02">
      <w:pPr>
        <w:pStyle w:val="whitespace-normal"/>
      </w:pPr>
      <w:r>
        <w:rPr>
          <w:rStyle w:val="Fett"/>
          <w:rFonts w:eastAsiaTheme="majorEastAsia"/>
        </w:rPr>
        <w:t>Hebräisch:</w:t>
      </w:r>
      <w:r>
        <w:t xml:space="preserve"> </w:t>
      </w:r>
      <w:r>
        <w:rPr>
          <w:rtl/>
        </w:rPr>
        <w:t>וְקָֽרְאוּ־ל֥וֹ זִקְנֵי־עִיר֖וֹ וְדִבְּר֣וּ אֵלָ֑יו וְעָמַ֣ד וְאָמַ֔ר לֹ֥א חָפַ֖צְתִּי לְקַחְתָּֽהּ׃</w:t>
      </w:r>
    </w:p>
    <w:p w14:paraId="2F78D4EA" w14:textId="702C944A" w:rsidR="00166F02" w:rsidRDefault="00166F02" w:rsidP="00166F02">
      <w:pPr>
        <w:pStyle w:val="whitespace-normal"/>
      </w:pPr>
      <w:r>
        <w:rPr>
          <w:rStyle w:val="Fett"/>
          <w:rFonts w:eastAsiaTheme="majorEastAsia"/>
        </w:rPr>
        <w:lastRenderedPageBreak/>
        <w:t>Deutsch:</w:t>
      </w:r>
      <w:r>
        <w:t xml:space="preserve"> </w:t>
      </w:r>
      <w:r w:rsidR="007064FD">
        <w:t>Dann sollen die Ältesten seiner Stadt ihn rufen und mit ihm reden; und wenn er darauf besteht und sagt: Ich habe keine Lust, sie zu nehmen,</w:t>
      </w:r>
    </w:p>
    <w:p w14:paraId="498CDC1D" w14:textId="77777777" w:rsidR="00166F02" w:rsidRDefault="004F5CEB" w:rsidP="00166F02">
      <w:r>
        <w:rPr>
          <w:noProof/>
        </w:rPr>
        <w:pict w14:anchorId="241B2E59">
          <v:rect id="_x0000_i1681" style="width:0;height:1.5pt" o:hralign="center" o:hrstd="t" o:hr="t" fillcolor="#a0a0a0" stroked="f"/>
        </w:pict>
      </w:r>
    </w:p>
    <w:p w14:paraId="3BE52CD6"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וְקָרְאוּ־לוֹ זִקְנֵי־עִירוֹ וְדִבְּרוּ אֵלָיו וְעָמַד וְאָמַר לֹא חָפַצְתִּי לְקַחְתָּהּ</w:t>
      </w:r>
      <w:r>
        <w:rPr>
          <w:rtl/>
        </w:rPr>
        <w:t xml:space="preserve"> </w:t>
      </w:r>
      <w:r>
        <w:t xml:space="preserve">sind vier Handlungen: </w:t>
      </w:r>
      <w:r>
        <w:rPr>
          <w:rStyle w:val="Fett"/>
          <w:rFonts w:eastAsiaTheme="majorEastAsia"/>
          <w:rtl/>
        </w:rPr>
        <w:t>וְקָרְאוּ־לוֹ זִקְנֵי־עִירוֹ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קרא</w:t>
      </w:r>
      <w:r>
        <w:t xml:space="preserve">, Qal Perfekt, 3. Person Plural, „rufen, herbeirufen", Präposition </w:t>
      </w:r>
      <w:r>
        <w:rPr>
          <w:rStyle w:val="Fett"/>
          <w:rFonts w:eastAsiaTheme="majorEastAsia"/>
          <w:rtl/>
        </w:rPr>
        <w:t>לְ</w:t>
      </w:r>
      <w:r>
        <w:rPr>
          <w:rtl/>
        </w:rPr>
        <w:t xml:space="preserve"> </w:t>
      </w:r>
      <w:r>
        <w:t xml:space="preserve">mit Suffix 3. Person Maskulinum Singular, </w:t>
      </w:r>
      <w:r>
        <w:rPr>
          <w:rStyle w:val="Fett"/>
          <w:rFonts w:eastAsiaTheme="majorEastAsia"/>
          <w:rtl/>
        </w:rPr>
        <w:t>זָקֵן</w:t>
      </w:r>
      <w:r>
        <w:rPr>
          <w:rtl/>
        </w:rPr>
        <w:t xml:space="preserve"> </w:t>
      </w:r>
      <w:r>
        <w:t xml:space="preserve">Plural Construct mit </w:t>
      </w:r>
      <w:r>
        <w:rPr>
          <w:rStyle w:val="Fett"/>
          <w:rFonts w:eastAsiaTheme="majorEastAsia"/>
          <w:rtl/>
        </w:rPr>
        <w:t>עִיר</w:t>
      </w:r>
      <w:r>
        <w:t xml:space="preserve">, „Stadt", mit Suffix 3. Person Maskulinum Singular als Subjekt, mit </w:t>
      </w:r>
      <w:r>
        <w:rPr>
          <w:rStyle w:val="Fett"/>
          <w:rFonts w:eastAsiaTheme="majorEastAsia"/>
        </w:rPr>
        <w:t>Waw</w:t>
      </w:r>
      <w:r>
        <w:t xml:space="preserve"> consecutives Perfekt), </w:t>
      </w:r>
      <w:r>
        <w:rPr>
          <w:rStyle w:val="Fett"/>
          <w:rFonts w:eastAsiaTheme="majorEastAsia"/>
          <w:rtl/>
        </w:rPr>
        <w:t>וְדִבְּרוּ אֵלָיו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דבר</w:t>
      </w:r>
      <w:r>
        <w:t xml:space="preserve">, Piel Perfekt, 3. Person Plural, „sprechen, reden", Präposition </w:t>
      </w:r>
      <w:r>
        <w:rPr>
          <w:rStyle w:val="Fett"/>
          <w:rFonts w:eastAsiaTheme="majorEastAsia"/>
          <w:rtl/>
        </w:rPr>
        <w:t>אֶל</w:t>
      </w:r>
      <w:r>
        <w:rPr>
          <w:rtl/>
        </w:rPr>
        <w:t xml:space="preserve"> </w:t>
      </w:r>
      <w:r>
        <w:t xml:space="preserve">mit Suffix 3. Person Maskulinum Singular, mit </w:t>
      </w:r>
      <w:r>
        <w:rPr>
          <w:rStyle w:val="Fett"/>
          <w:rFonts w:eastAsiaTheme="majorEastAsia"/>
        </w:rPr>
        <w:t>Waw</w:t>
      </w:r>
      <w:r>
        <w:t xml:space="preserve"> consecutives Perfekt), </w:t>
      </w:r>
      <w:r>
        <w:rPr>
          <w:rStyle w:val="Fett"/>
          <w:rFonts w:eastAsiaTheme="majorEastAsia"/>
          <w:rtl/>
        </w:rPr>
        <w:t>וְעָמַד וְאָמַר</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עמד</w:t>
      </w:r>
      <w:r>
        <w:t xml:space="preserve">, Qal Perfekt, 3. Person Maskulinum Singular, „stehen, bestehen, beharren", koordiniert durch </w:t>
      </w:r>
      <w:r>
        <w:rPr>
          <w:rStyle w:val="Fett"/>
          <w:rFonts w:eastAsiaTheme="majorEastAsia"/>
          <w:rtl/>
        </w:rPr>
        <w:t>וְ</w:t>
      </w:r>
      <w:r>
        <w:rPr>
          <w:rtl/>
        </w:rPr>
        <w:t xml:space="preserve"> </w:t>
      </w:r>
      <w:r>
        <w:t xml:space="preserve">mit </w:t>
      </w:r>
      <w:r>
        <w:rPr>
          <w:rStyle w:val="Fett"/>
          <w:rFonts w:eastAsiaTheme="majorEastAsia"/>
          <w:rtl/>
        </w:rPr>
        <w:t>אמר</w:t>
      </w:r>
      <w:r>
        <w:t xml:space="preserve">, Qal Perfekt, 3. Person Maskulinum Singular, direkte Rede, mit </w:t>
      </w:r>
      <w:r>
        <w:rPr>
          <w:rStyle w:val="Fett"/>
          <w:rFonts w:eastAsiaTheme="majorEastAsia"/>
        </w:rPr>
        <w:t>Waw</w:t>
      </w:r>
      <w:r>
        <w:t xml:space="preserve"> consecutives Perfekt), </w:t>
      </w:r>
      <w:r>
        <w:rPr>
          <w:rStyle w:val="Fett"/>
          <w:rFonts w:eastAsiaTheme="majorEastAsia"/>
          <w:rtl/>
        </w:rPr>
        <w:t>לֹא חָפַצְתִּי לְקַחְתָּהּ</w:t>
      </w:r>
      <w:r>
        <w:rPr>
          <w:rtl/>
        </w:rPr>
        <w:t xml:space="preserve"> </w:t>
      </w:r>
      <w:r>
        <w:t xml:space="preserve">(Negation mit </w:t>
      </w:r>
      <w:r>
        <w:rPr>
          <w:rStyle w:val="Fett"/>
          <w:rFonts w:eastAsiaTheme="majorEastAsia"/>
          <w:rtl/>
        </w:rPr>
        <w:t>חפץ</w:t>
      </w:r>
      <w:r>
        <w:t xml:space="preserve">, Qal Perfekt, 1. Person Singular, Präposition </w:t>
      </w:r>
      <w:r>
        <w:rPr>
          <w:rStyle w:val="Fett"/>
          <w:rFonts w:eastAsiaTheme="majorEastAsia"/>
          <w:rtl/>
        </w:rPr>
        <w:t>לְ</w:t>
      </w:r>
      <w:r>
        <w:rPr>
          <w:rtl/>
        </w:rPr>
        <w:t xml:space="preserve"> </w:t>
      </w:r>
      <w:r>
        <w:t xml:space="preserve">mit Qal Infinitiv Construct von </w:t>
      </w:r>
      <w:r>
        <w:rPr>
          <w:rStyle w:val="Fett"/>
          <w:rFonts w:eastAsiaTheme="majorEastAsia"/>
          <w:rtl/>
        </w:rPr>
        <w:t>לקח</w:t>
      </w:r>
      <w:r>
        <w:t>, mit Suffix 3. Person Femininum Singular).</w:t>
      </w:r>
    </w:p>
    <w:p w14:paraId="61F5E196" w14:textId="77777777" w:rsidR="00166F02" w:rsidRDefault="00166F02" w:rsidP="00166F02">
      <w:pPr>
        <w:pStyle w:val="whitespace-normal"/>
      </w:pPr>
      <w:r>
        <w:t xml:space="preserve">Der Vers beschreibt das Gerichtsverfahren. Die erste Handlung: </w:t>
      </w:r>
      <w:r>
        <w:rPr>
          <w:rStyle w:val="Fett"/>
          <w:rFonts w:eastAsiaTheme="majorEastAsia"/>
          <w:rtl/>
        </w:rPr>
        <w:t>וְקָרְאוּ־לוֹ זִקְנֵי־עִירוֹ</w:t>
      </w:r>
      <w:r>
        <w:rPr>
          <w:rtl/>
        </w:rPr>
        <w:t xml:space="preserve"> </w:t>
      </w:r>
      <w:r>
        <w:t xml:space="preserve">(„und rufen sollen ihn die Ältesten seiner Stadt"). Das Verb </w:t>
      </w:r>
      <w:r>
        <w:rPr>
          <w:rStyle w:val="Fett"/>
          <w:rFonts w:eastAsiaTheme="majorEastAsia"/>
          <w:rtl/>
        </w:rPr>
        <w:t>קרא</w:t>
      </w:r>
      <w:r>
        <w:rPr>
          <w:rtl/>
        </w:rPr>
        <w:t xml:space="preserve"> </w:t>
      </w:r>
      <w:r>
        <w:t xml:space="preserve">(„rufen, herbeirufen") – der Schwager wird vor die Ältesten geladen. Die Formulierung </w:t>
      </w:r>
      <w:r>
        <w:rPr>
          <w:rStyle w:val="Fett"/>
          <w:rFonts w:eastAsiaTheme="majorEastAsia"/>
          <w:rtl/>
        </w:rPr>
        <w:t>זִקְנֵי־עִירוֹ</w:t>
      </w:r>
      <w:r>
        <w:rPr>
          <w:rtl/>
        </w:rPr>
        <w:t xml:space="preserve"> </w:t>
      </w:r>
      <w:r>
        <w:t xml:space="preserve">(„die Ältesten seiner Stadt") – die lokalen Autoritäten seiner eigenen Stadt. Die zweite Handlung: </w:t>
      </w:r>
      <w:r>
        <w:rPr>
          <w:rStyle w:val="Fett"/>
          <w:rFonts w:eastAsiaTheme="majorEastAsia"/>
          <w:rtl/>
        </w:rPr>
        <w:t>וְדִבְּרוּ אֵלָיו</w:t>
      </w:r>
      <w:r>
        <w:rPr>
          <w:rtl/>
        </w:rPr>
        <w:t xml:space="preserve"> </w:t>
      </w:r>
      <w:r>
        <w:t xml:space="preserve">(„und sprechen sollen sie zu ihm"). Das Verb </w:t>
      </w:r>
      <w:r>
        <w:rPr>
          <w:rStyle w:val="Fett"/>
          <w:rFonts w:eastAsiaTheme="majorEastAsia"/>
          <w:rtl/>
        </w:rPr>
        <w:t>דבר</w:t>
      </w:r>
      <w:r>
        <w:rPr>
          <w:rtl/>
        </w:rPr>
        <w:t xml:space="preserve"> </w:t>
      </w:r>
      <w:r>
        <w:t xml:space="preserve">im Piel („sprechen, reden") – die Ältesten sprechen mit ihm, befragen ihn, versuchen ihn zu überzeugen (der Inhalt wird nicht angegeben, aber wahrscheinlich ermahnen sie ihn, seine Pflicht zu erfüllen). Die dritte Handlung: </w:t>
      </w:r>
      <w:r>
        <w:rPr>
          <w:rStyle w:val="Fett"/>
          <w:rFonts w:eastAsiaTheme="majorEastAsia"/>
          <w:rtl/>
        </w:rPr>
        <w:t>וְעָמַד</w:t>
      </w:r>
      <w:r>
        <w:rPr>
          <w:rtl/>
        </w:rPr>
        <w:t xml:space="preserve"> </w:t>
      </w:r>
      <w:r>
        <w:t xml:space="preserve">(„und wenn er besteht/beharrt"). Das Verb </w:t>
      </w:r>
      <w:r>
        <w:rPr>
          <w:rStyle w:val="Fett"/>
          <w:rFonts w:eastAsiaTheme="majorEastAsia"/>
          <w:rtl/>
        </w:rPr>
        <w:t>עמד</w:t>
      </w:r>
      <w:r>
        <w:rPr>
          <w:rtl/>
        </w:rPr>
        <w:t xml:space="preserve"> </w:t>
      </w:r>
      <w:r>
        <w:t xml:space="preserve">(„stehen") bedeutet hier: feststehen, beharren auf seiner Position, nicht nachgeben. Die vierte Handlung (direkte Rede): </w:t>
      </w:r>
      <w:r>
        <w:rPr>
          <w:rStyle w:val="Fett"/>
          <w:rFonts w:eastAsiaTheme="majorEastAsia"/>
          <w:rtl/>
        </w:rPr>
        <w:t>וְאָמַר לֹא חָפַצְתִּי לְקַחְתָּהּ</w:t>
      </w:r>
      <w:r>
        <w:rPr>
          <w:rtl/>
        </w:rPr>
        <w:t xml:space="preserve"> </w:t>
      </w:r>
      <w:r>
        <w:t xml:space="preserve">(„und sagt: Nicht Lust habe ich, sie zu nehmen"). Das Verb </w:t>
      </w:r>
      <w:r>
        <w:rPr>
          <w:rStyle w:val="Fett"/>
          <w:rFonts w:eastAsiaTheme="majorEastAsia"/>
          <w:rtl/>
        </w:rPr>
        <w:t>חפץ</w:t>
      </w:r>
      <w:r>
        <w:rPr>
          <w:rtl/>
        </w:rPr>
        <w:t xml:space="preserve"> </w:t>
      </w:r>
      <w:r>
        <w:t>in der 1. Person Singular mit Negation – er wiederholt seine Weigerung öffentlich vor den Ältesten. Die Formulierung zeigt: Die Ältesten können ihn nicht zwingen – wenn er nach ihrer Ermahnung immer noch ablehnt, muss sein Wille respektiert werden. V. 9 wird die Konsequenz seiner Weigerung beschreiben.</w:t>
      </w:r>
    </w:p>
    <w:p w14:paraId="30DC1B26" w14:textId="77777777" w:rsidR="00166F02" w:rsidRDefault="00166F02" w:rsidP="00166F02">
      <w:pPr>
        <w:pStyle w:val="whitespace-normal"/>
      </w:pPr>
      <w:r>
        <w:rPr>
          <w:rStyle w:val="Fett"/>
          <w:rFonts w:eastAsiaTheme="majorEastAsia"/>
        </w:rPr>
        <w:t>Die Satzstruktur:</w:t>
      </w:r>
      <w:r>
        <w:t xml:space="preserve"> Vier koordinierte Handlungen (und rufen sollen ihn die Ältesten seiner Stadt, und sprechen sollen sie zu ihm; und wenn er besteht und sagt: Nicht Lust habe ich, sie zu nehmen).</w:t>
      </w:r>
    </w:p>
    <w:p w14:paraId="30DD194A" w14:textId="10F725D9" w:rsidR="00166F02" w:rsidRDefault="00166F02" w:rsidP="00AB12A0">
      <w:pPr>
        <w:pStyle w:val="whitespace-normal"/>
      </w:pPr>
      <w:r>
        <w:rPr>
          <w:rStyle w:val="Fett"/>
          <w:rFonts w:eastAsiaTheme="majorEastAsia"/>
        </w:rPr>
        <w:t>Der Vers beschreibt:</w:t>
      </w:r>
      <w:r>
        <w:t xml:space="preserve"> Die Ältesten laden den Schwager vor, sprechen mit ihm; wenn er nach ihrer Ermahnung immer noch ablehnt, wird seine Weigerung akzeptiert.</w:t>
      </w:r>
    </w:p>
    <w:p w14:paraId="2D2004D3" w14:textId="77777777" w:rsidR="00166F02" w:rsidRPr="00713867" w:rsidRDefault="00166F02" w:rsidP="00B53ACC">
      <w:pPr>
        <w:pStyle w:val="Bibelberschrift"/>
      </w:pPr>
      <w:r w:rsidRPr="00713867">
        <w:rPr>
          <w:rStyle w:val="Fett"/>
          <w:b/>
          <w:bCs w:val="0"/>
        </w:rPr>
        <w:t>Deuteronomium 25,9</w:t>
      </w:r>
    </w:p>
    <w:p w14:paraId="4065DD6E" w14:textId="77777777" w:rsidR="00166F02" w:rsidRDefault="00166F02" w:rsidP="00166F02">
      <w:pPr>
        <w:pStyle w:val="whitespace-normal"/>
      </w:pPr>
      <w:r>
        <w:rPr>
          <w:rStyle w:val="Fett"/>
          <w:rFonts w:eastAsiaTheme="majorEastAsia"/>
        </w:rPr>
        <w:t>Hebräisch:</w:t>
      </w:r>
      <w:r>
        <w:t xml:space="preserve"> </w:t>
      </w:r>
      <w:r>
        <w:rPr>
          <w:rtl/>
        </w:rPr>
        <w:t>וְנִגְּשָׁ֨ה יְבִמְתּ֣וֹ אֵלָיו֮ לְעֵינֵ֣י הַזְּקֵנִים֒ וְחָלְצָ֤ה נַעֲלוֹ֙ מֵעַ֣ל רַגְל֔וֹ וְיָרְקָ֖ה בְּפָנָ֑יו וְעָֽנְתָה֙ וְאָ֣מְרָ֔ה כָּ֚כָה יֵעָשֶׂ֣ה לָאִ֔ישׁ אֲשֶׁ֥ר לֹא־יִבְנֶ֖ה אֶת־בֵּ֥ית אָחִֽיו׃</w:t>
      </w:r>
    </w:p>
    <w:p w14:paraId="1EECA971" w14:textId="44DB56DE" w:rsidR="00166F02" w:rsidRDefault="00166F02" w:rsidP="00166F02">
      <w:pPr>
        <w:pStyle w:val="whitespace-normal"/>
      </w:pPr>
      <w:r>
        <w:rPr>
          <w:rStyle w:val="Fett"/>
          <w:rFonts w:eastAsiaTheme="majorEastAsia"/>
        </w:rPr>
        <w:t>Deutsch:</w:t>
      </w:r>
      <w:r>
        <w:t xml:space="preserve"> </w:t>
      </w:r>
      <w:r w:rsidR="007064FD">
        <w:t>so soll seine Schwägerin vor den Augen der Ältesten zu ihm hintreten und ihm den Schuh von seinem Fuß ausziehen und ihm ins Gesicht speien und soll anheben und sagen: So soll dem Mann geschehen, der das Haus seines Bruders nicht bauen will!</w:t>
      </w:r>
    </w:p>
    <w:p w14:paraId="782D1DC7" w14:textId="77777777" w:rsidR="00166F02" w:rsidRDefault="004F5CEB" w:rsidP="00166F02">
      <w:r>
        <w:rPr>
          <w:noProof/>
        </w:rPr>
        <w:lastRenderedPageBreak/>
        <w:pict w14:anchorId="111E2D84">
          <v:rect id="_x0000_i1682" style="width:0;height:1.5pt" o:hralign="center" o:hrstd="t" o:hr="t" fillcolor="#a0a0a0" stroked="f"/>
        </w:pict>
      </w:r>
    </w:p>
    <w:p w14:paraId="75DC514D"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וְנִגְּשָׁה יְבִמְתּוֹ אֵלָיו לְעֵינֵי הַזְּקֵנִים וְחָלְצָה נַעֲלוֹ מֵעַל רַגְלוֹ וְיָרְקָה בְּפָנָיו וְעָנְתָה וְאָמְרָה כָּכָה יֵעָשֶׂה לָאִישׁ אֲשֶׁר לֹא־יִבְנֶה אֶת־בֵּית אָחִיו</w:t>
      </w:r>
      <w:r>
        <w:rPr>
          <w:rtl/>
        </w:rPr>
        <w:t xml:space="preserve"> </w:t>
      </w:r>
      <w:r>
        <w:t xml:space="preserve">sind fünf Handlungen: </w:t>
      </w:r>
      <w:r>
        <w:rPr>
          <w:rStyle w:val="Fett"/>
          <w:rFonts w:eastAsiaTheme="majorEastAsia"/>
          <w:rtl/>
        </w:rPr>
        <w:t>וְנִגְּשָׁה יְבִמְתּוֹ אֵלָיו לְעֵינֵי הַזְּקֵנִים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נגשׁ</w:t>
      </w:r>
      <w:r>
        <w:t xml:space="preserve">, Niphal Perfekt, 3. Person Femininum Singular, </w:t>
      </w:r>
      <w:r>
        <w:rPr>
          <w:rStyle w:val="Fett"/>
          <w:rFonts w:eastAsiaTheme="majorEastAsia"/>
          <w:rtl/>
        </w:rPr>
        <w:t>יְבֶמֶת</w:t>
      </w:r>
      <w:r>
        <w:rPr>
          <w:rtl/>
        </w:rPr>
        <w:t xml:space="preserve"> </w:t>
      </w:r>
      <w:r>
        <w:t xml:space="preserve">mit Suffix 3. Person Maskulinum Singular als Subjekt, Präposition </w:t>
      </w:r>
      <w:r>
        <w:rPr>
          <w:rStyle w:val="Fett"/>
          <w:rFonts w:eastAsiaTheme="majorEastAsia"/>
          <w:rtl/>
        </w:rPr>
        <w:t>אֶל</w:t>
      </w:r>
      <w:r>
        <w:rPr>
          <w:rtl/>
        </w:rPr>
        <w:t xml:space="preserve"> </w:t>
      </w:r>
      <w:r>
        <w:t xml:space="preserve">mit Suffix 3. Person Maskulinum Singular, </w:t>
      </w:r>
      <w:r>
        <w:rPr>
          <w:rStyle w:val="Fett"/>
          <w:rFonts w:eastAsiaTheme="majorEastAsia"/>
          <w:rtl/>
        </w:rPr>
        <w:t>לְעֵינֵי הַזְּקֵנִים</w:t>
      </w:r>
      <w:r>
        <w:t xml:space="preserve">, mit </w:t>
      </w:r>
      <w:r>
        <w:rPr>
          <w:rStyle w:val="Fett"/>
          <w:rFonts w:eastAsiaTheme="majorEastAsia"/>
        </w:rPr>
        <w:t>Waw</w:t>
      </w:r>
      <w:r>
        <w:t xml:space="preserve"> consecutives Perfekt), </w:t>
      </w:r>
      <w:r>
        <w:rPr>
          <w:rStyle w:val="Fett"/>
          <w:rFonts w:eastAsiaTheme="majorEastAsia"/>
          <w:rtl/>
        </w:rPr>
        <w:t>וְחָלְצָה נַעֲלוֹ מֵעַל רַגְלוֹ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חלץ</w:t>
      </w:r>
      <w:r>
        <w:t xml:space="preserve">, Qal Perfekt, 3. Person Femininum Singular, „ausziehen, lösen", </w:t>
      </w:r>
      <w:r>
        <w:rPr>
          <w:rStyle w:val="Fett"/>
          <w:rFonts w:eastAsiaTheme="majorEastAsia"/>
          <w:rtl/>
        </w:rPr>
        <w:t>נַעַל</w:t>
      </w:r>
      <w:r>
        <w:t xml:space="preserve">, „Sandale, Schuh", mit Suffix 3. Person Maskulinum Singular als Objekt, Präposition </w:t>
      </w:r>
      <w:r>
        <w:rPr>
          <w:rStyle w:val="Fett"/>
          <w:rFonts w:eastAsiaTheme="majorEastAsia"/>
          <w:rtl/>
        </w:rPr>
        <w:t>מֵעַל</w:t>
      </w:r>
      <w:r>
        <w:rPr>
          <w:rtl/>
        </w:rPr>
        <w:t xml:space="preserve"> </w:t>
      </w:r>
      <w:r>
        <w:t xml:space="preserve">mit </w:t>
      </w:r>
      <w:r>
        <w:rPr>
          <w:rStyle w:val="Fett"/>
          <w:rFonts w:eastAsiaTheme="majorEastAsia"/>
          <w:rtl/>
        </w:rPr>
        <w:t>רֶגֶל</w:t>
      </w:r>
      <w:r>
        <w:t xml:space="preserve">, „Fuß", mit Suffix 3. Person Maskulinum Singular, mit </w:t>
      </w:r>
      <w:r>
        <w:rPr>
          <w:rStyle w:val="Fett"/>
          <w:rFonts w:eastAsiaTheme="majorEastAsia"/>
        </w:rPr>
        <w:t>Waw</w:t>
      </w:r>
      <w:r>
        <w:t xml:space="preserve"> consecutives Perfekt), </w:t>
      </w:r>
      <w:r>
        <w:rPr>
          <w:rStyle w:val="Fett"/>
          <w:rFonts w:eastAsiaTheme="majorEastAsia"/>
          <w:rtl/>
        </w:rPr>
        <w:t>וְיָרְקָה בְּפָנָיו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ירק</w:t>
      </w:r>
      <w:r>
        <w:t xml:space="preserve">, Qal Perfekt, 3. Person Femininum Singular, „spucken, speien", Präposition </w:t>
      </w:r>
      <w:r>
        <w:rPr>
          <w:rStyle w:val="Fett"/>
          <w:rFonts w:eastAsiaTheme="majorEastAsia"/>
          <w:rtl/>
        </w:rPr>
        <w:t>בְּ</w:t>
      </w:r>
      <w:r>
        <w:rPr>
          <w:rtl/>
        </w:rPr>
        <w:t xml:space="preserve"> </w:t>
      </w:r>
      <w:r>
        <w:t xml:space="preserve">mit </w:t>
      </w:r>
      <w:r>
        <w:rPr>
          <w:rStyle w:val="Fett"/>
          <w:rFonts w:eastAsiaTheme="majorEastAsia"/>
          <w:rtl/>
        </w:rPr>
        <w:t>פָּנִים</w:t>
      </w:r>
      <w:r>
        <w:t xml:space="preserve">, „Angesicht", Plural mit Suffix 3. Person Maskulinum Singular, mit </w:t>
      </w:r>
      <w:r>
        <w:rPr>
          <w:rStyle w:val="Fett"/>
          <w:rFonts w:eastAsiaTheme="majorEastAsia"/>
        </w:rPr>
        <w:t>Waw</w:t>
      </w:r>
      <w:r>
        <w:t xml:space="preserve"> consecutives Perfekt), </w:t>
      </w:r>
      <w:r>
        <w:rPr>
          <w:rStyle w:val="Fett"/>
          <w:rFonts w:eastAsiaTheme="majorEastAsia"/>
          <w:rtl/>
        </w:rPr>
        <w:t>וְעָנְתָה וְאָמְרָה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ענה</w:t>
      </w:r>
      <w:r>
        <w:t xml:space="preserve">, Qal Perfekt, 3. Person Femininum Singular, „antworten, anheben [die Stimme]", koordiniert durch </w:t>
      </w:r>
      <w:r>
        <w:rPr>
          <w:rStyle w:val="Fett"/>
          <w:rFonts w:eastAsiaTheme="majorEastAsia"/>
          <w:rtl/>
        </w:rPr>
        <w:t>וְ</w:t>
      </w:r>
      <w:r>
        <w:rPr>
          <w:rtl/>
        </w:rPr>
        <w:t xml:space="preserve"> </w:t>
      </w:r>
      <w:r>
        <w:t xml:space="preserve">mit </w:t>
      </w:r>
      <w:r>
        <w:rPr>
          <w:rStyle w:val="Fett"/>
          <w:rFonts w:eastAsiaTheme="majorEastAsia"/>
          <w:rtl/>
        </w:rPr>
        <w:t>אמר</w:t>
      </w:r>
      <w:r>
        <w:t xml:space="preserve">, Qal Perfekt, 3. Person Femininum Singular, direkte Rede, mit </w:t>
      </w:r>
      <w:r>
        <w:rPr>
          <w:rStyle w:val="Fett"/>
          <w:rFonts w:eastAsiaTheme="majorEastAsia"/>
        </w:rPr>
        <w:t>Waw</w:t>
      </w:r>
      <w:r>
        <w:t xml:space="preserve"> consecutives Perfekt), </w:t>
      </w:r>
      <w:r>
        <w:rPr>
          <w:rStyle w:val="Fett"/>
          <w:rFonts w:eastAsiaTheme="majorEastAsia"/>
          <w:rtl/>
        </w:rPr>
        <w:t>כָּכָה יֵעָשֶׂה לָאִישׁ אֲשֶׁר לֹא־יִבְנֶה אֶת־בֵּית אָחִיו</w:t>
      </w:r>
      <w:r>
        <w:rPr>
          <w:rtl/>
        </w:rPr>
        <w:t xml:space="preserve"> </w:t>
      </w:r>
      <w:r>
        <w:t>(</w:t>
      </w:r>
      <w:r>
        <w:rPr>
          <w:rStyle w:val="Fett"/>
          <w:rFonts w:eastAsiaTheme="majorEastAsia"/>
          <w:rtl/>
        </w:rPr>
        <w:t>כָּכָה</w:t>
      </w:r>
      <w:r>
        <w:t xml:space="preserve">, „so, auf diese Weise", </w:t>
      </w:r>
      <w:r>
        <w:rPr>
          <w:rStyle w:val="Fett"/>
          <w:rFonts w:eastAsiaTheme="majorEastAsia"/>
          <w:rtl/>
        </w:rPr>
        <w:t>עשׂה</w:t>
      </w:r>
      <w:r>
        <w:t xml:space="preserve">, Niphal Imperfekt, 3. Person Maskulinum Singular, „getan werden", Präposition </w:t>
      </w:r>
      <w:r>
        <w:rPr>
          <w:rStyle w:val="Fett"/>
          <w:rFonts w:eastAsiaTheme="majorEastAsia"/>
          <w:rtl/>
        </w:rPr>
        <w:t>לְ</w:t>
      </w:r>
      <w:r>
        <w:rPr>
          <w:rtl/>
        </w:rPr>
        <w:t xml:space="preserve"> </w:t>
      </w:r>
      <w:r>
        <w:t xml:space="preserve">mit </w:t>
      </w:r>
      <w:r>
        <w:rPr>
          <w:rStyle w:val="Fett"/>
          <w:rFonts w:eastAsiaTheme="majorEastAsia"/>
          <w:rtl/>
        </w:rPr>
        <w:t>אִישׁ</w:t>
      </w:r>
      <w:r>
        <w:t xml:space="preserve">, Relativsatz: </w:t>
      </w:r>
      <w:r>
        <w:rPr>
          <w:rStyle w:val="Fett"/>
          <w:rFonts w:eastAsiaTheme="majorEastAsia"/>
          <w:rtl/>
        </w:rPr>
        <w:t>אֲשֶׁר לֹא־יִבְנֶה אֶת־בֵּית אָחִיו</w:t>
      </w:r>
      <w:r>
        <w:rPr>
          <w:rtl/>
        </w:rPr>
        <w:t xml:space="preserve"> </w:t>
      </w:r>
      <w:r>
        <w:t xml:space="preserve">mit Negation, </w:t>
      </w:r>
      <w:r>
        <w:rPr>
          <w:rStyle w:val="Fett"/>
          <w:rFonts w:eastAsiaTheme="majorEastAsia"/>
          <w:rtl/>
        </w:rPr>
        <w:t>בנה</w:t>
      </w:r>
      <w:r>
        <w:t xml:space="preserve">, Qal Imperfekt, 3. Person Maskulinum Singular, „bauen, aufbauen", Objektpartikel </w:t>
      </w:r>
      <w:r>
        <w:rPr>
          <w:rStyle w:val="Fett"/>
          <w:rFonts w:eastAsiaTheme="majorEastAsia"/>
          <w:rtl/>
        </w:rPr>
        <w:t>אֵת</w:t>
      </w:r>
      <w:r>
        <w:rPr>
          <w:rtl/>
        </w:rPr>
        <w:t xml:space="preserve"> </w:t>
      </w:r>
      <w:r>
        <w:t xml:space="preserve">mit </w:t>
      </w:r>
      <w:r>
        <w:rPr>
          <w:rStyle w:val="Fett"/>
          <w:rFonts w:eastAsiaTheme="majorEastAsia"/>
          <w:rtl/>
        </w:rPr>
        <w:t>בַּיִת</w:t>
      </w:r>
      <w:r>
        <w:t xml:space="preserve">, „Haus", Construct mit </w:t>
      </w:r>
      <w:r>
        <w:rPr>
          <w:rStyle w:val="Fett"/>
          <w:rFonts w:eastAsiaTheme="majorEastAsia"/>
          <w:rtl/>
        </w:rPr>
        <w:t>אָח</w:t>
      </w:r>
      <w:r>
        <w:rPr>
          <w:rtl/>
        </w:rPr>
        <w:t xml:space="preserve"> </w:t>
      </w:r>
      <w:r>
        <w:t>mit Suffix 3. Person Maskulinum Singular).</w:t>
      </w:r>
    </w:p>
    <w:p w14:paraId="2027FA79" w14:textId="4F885B39" w:rsidR="00166F02" w:rsidRDefault="00166F02" w:rsidP="00166F02">
      <w:pPr>
        <w:pStyle w:val="whitespace-normal"/>
      </w:pPr>
      <w:r>
        <w:t xml:space="preserve">Der Vers beschreibt die rituelle Demütigung des sich weigernden Schwagers. Die erste Handlung: </w:t>
      </w:r>
      <w:r>
        <w:rPr>
          <w:rStyle w:val="Fett"/>
          <w:rFonts w:eastAsiaTheme="majorEastAsia"/>
          <w:rtl/>
        </w:rPr>
        <w:t>וְנִגְּשָׁה יְבִמְתּוֹ אֵלָיו לְעֵינֵי הַזְּקֵנִים</w:t>
      </w:r>
      <w:r>
        <w:rPr>
          <w:rtl/>
        </w:rPr>
        <w:t xml:space="preserve"> </w:t>
      </w:r>
      <w:r>
        <w:t xml:space="preserve">(„und herantreten soll seine Schwägerin zu ihm vor den Augen der Ältesten"). Das Verb </w:t>
      </w:r>
      <w:r>
        <w:rPr>
          <w:rStyle w:val="Fett"/>
          <w:rFonts w:eastAsiaTheme="majorEastAsia"/>
          <w:rtl/>
        </w:rPr>
        <w:t>נגשׁ</w:t>
      </w:r>
      <w:r>
        <w:rPr>
          <w:rtl/>
        </w:rPr>
        <w:t xml:space="preserve"> </w:t>
      </w:r>
      <w:r>
        <w:t xml:space="preserve">im Niphal („herantreten") – sie tritt öffentlich vor ihn. Die Formulierung </w:t>
      </w:r>
      <w:r>
        <w:rPr>
          <w:rStyle w:val="Fett"/>
          <w:rFonts w:eastAsiaTheme="majorEastAsia"/>
          <w:rtl/>
        </w:rPr>
        <w:t>לְעֵינֵי הַזְּקֵנִים</w:t>
      </w:r>
      <w:r>
        <w:rPr>
          <w:rtl/>
        </w:rPr>
        <w:t xml:space="preserve"> </w:t>
      </w:r>
      <w:r>
        <w:t xml:space="preserve">(„vor den Augen der Ältesten") betont die Öffentlichkeit des Rituals. Die zweite Handlung: </w:t>
      </w:r>
      <w:r>
        <w:rPr>
          <w:rStyle w:val="Fett"/>
          <w:rFonts w:eastAsiaTheme="majorEastAsia"/>
          <w:rtl/>
        </w:rPr>
        <w:t>וְחָלְצָה נַעֲלוֹ מֵעַל רַגְלוֹ</w:t>
      </w:r>
      <w:r>
        <w:rPr>
          <w:rtl/>
        </w:rPr>
        <w:t xml:space="preserve"> </w:t>
      </w:r>
      <w:r>
        <w:t xml:space="preserve">(„und ausziehen soll sie seinen Schuh von seinem Fuß"). Das Verb </w:t>
      </w:r>
      <w:r>
        <w:rPr>
          <w:rStyle w:val="Fett"/>
          <w:rFonts w:eastAsiaTheme="majorEastAsia"/>
          <w:rtl/>
        </w:rPr>
        <w:t>חלץ</w:t>
      </w:r>
      <w:r>
        <w:rPr>
          <w:rtl/>
        </w:rPr>
        <w:t xml:space="preserve"> </w:t>
      </w:r>
      <w:r>
        <w:t xml:space="preserve">(„ausziehen, lösen") – sie zieht ihm den Schuh aus (nicht er selbst). Das Wort </w:t>
      </w:r>
      <w:r>
        <w:rPr>
          <w:rStyle w:val="Fett"/>
          <w:rFonts w:eastAsiaTheme="majorEastAsia"/>
          <w:rtl/>
        </w:rPr>
        <w:t>נַעַל</w:t>
      </w:r>
      <w:r>
        <w:rPr>
          <w:rtl/>
        </w:rPr>
        <w:t xml:space="preserve"> </w:t>
      </w:r>
      <w:r>
        <w:t xml:space="preserve">(„Sandale, Schuh") – wahrscheinlich nur einen Schuh, nicht beide. Diese symbolische Handlung hat mehrere mögliche Bedeutungen: (1) Der Schuh symbolisiert Besitznahme von Land (vgl. Rut 4,7-8; Ps 60,10; 108,10); durch das Ausziehen verliert er symbolisch das Recht auf das Land seines Bruders. (2) Der Schuh symbolisiert Autorität und Würde; das Ausziehen ist eine Demütigung. Die dritte Handlung: </w:t>
      </w:r>
      <w:r>
        <w:rPr>
          <w:rStyle w:val="Fett"/>
          <w:rFonts w:eastAsiaTheme="majorEastAsia"/>
          <w:rtl/>
        </w:rPr>
        <w:t>וְיָרְקָה בְּפָנָיו</w:t>
      </w:r>
      <w:r>
        <w:rPr>
          <w:rtl/>
        </w:rPr>
        <w:t xml:space="preserve"> </w:t>
      </w:r>
      <w:r>
        <w:t xml:space="preserve">(„und spucken soll sie in sein Angesicht"). Das Verb </w:t>
      </w:r>
      <w:r>
        <w:rPr>
          <w:rStyle w:val="Fett"/>
          <w:rFonts w:eastAsiaTheme="majorEastAsia"/>
          <w:rtl/>
        </w:rPr>
        <w:t>ירק</w:t>
      </w:r>
      <w:r>
        <w:rPr>
          <w:rtl/>
        </w:rPr>
        <w:t xml:space="preserve"> </w:t>
      </w:r>
      <w:r>
        <w:t xml:space="preserve">(„spucken, speien") – wahrscheinlich nicht direkt ins Gesicht, sondern vor sein Gesicht (vgl. Num 12,14; Hiob 30,10). Spucken ist eine starke Geste der Verachtung und Demütigung. Die vierte Handlung: </w:t>
      </w:r>
      <w:r>
        <w:rPr>
          <w:rStyle w:val="Fett"/>
          <w:rFonts w:eastAsiaTheme="majorEastAsia"/>
          <w:rtl/>
        </w:rPr>
        <w:t>וְעָנְתָה וְאָמְרָה כָּכָה יֵעָשֶׂה לָאִישׁ אֲשֶׁר לֹא־יִבְנֶה אֶת־בֵּית אָחִיו</w:t>
      </w:r>
      <w:r>
        <w:rPr>
          <w:rtl/>
        </w:rPr>
        <w:t xml:space="preserve"> </w:t>
      </w:r>
      <w:r>
        <w:t xml:space="preserve">(„und antworten soll sie und sagen: So getan werden soll dem Mann, der nicht aufbaut das Haus seines Bruders"). Die Formel </w:t>
      </w:r>
      <w:r>
        <w:rPr>
          <w:rStyle w:val="Fett"/>
          <w:rFonts w:eastAsiaTheme="majorEastAsia"/>
          <w:rtl/>
        </w:rPr>
        <w:t>עָנָה וְאָמַר</w:t>
      </w:r>
      <w:r>
        <w:rPr>
          <w:rtl/>
        </w:rPr>
        <w:t xml:space="preserve"> </w:t>
      </w:r>
      <w:r>
        <w:t xml:space="preserve">(„antworten und sagen") leitet oft eine öffentliche Erklärung ein. Das Demonstrativum </w:t>
      </w:r>
      <w:r>
        <w:rPr>
          <w:rStyle w:val="Fett"/>
          <w:rFonts w:eastAsiaTheme="majorEastAsia"/>
          <w:rtl/>
        </w:rPr>
        <w:t>כָּכָה</w:t>
      </w:r>
      <w:r>
        <w:rPr>
          <w:rtl/>
        </w:rPr>
        <w:t xml:space="preserve"> </w:t>
      </w:r>
      <w:r>
        <w:t xml:space="preserve">(„so, auf diese Weise") bezieht sich auf das soeben durchgeführte Ritual. Die Formulierung </w:t>
      </w:r>
      <w:r>
        <w:rPr>
          <w:rStyle w:val="Fett"/>
          <w:rFonts w:eastAsiaTheme="majorEastAsia"/>
          <w:rtl/>
        </w:rPr>
        <w:t>לֹא־יִבְנֶה אֶת־בֵּית אָחִיו</w:t>
      </w:r>
      <w:r>
        <w:rPr>
          <w:rtl/>
        </w:rPr>
        <w:t xml:space="preserve"> </w:t>
      </w:r>
      <w:r>
        <w:t>(„nicht aufbaut das Haus seines Bruders") – „Haus aufbauen" bedeutet hier: eine Familie/Nachkommenschaft schaffen (vgl. Gen 16,2; 30,3; Rut 4,11). Das gesamte Ritual – Schuh ausziehen, spucken, öffentliche Verurteilung – ist eine Demütigung, die den sich weigernden Schwager sozial stigmatisiert. V. 10 wird die bleibende Schande beschreiben.</w:t>
      </w:r>
    </w:p>
    <w:p w14:paraId="3D206695" w14:textId="3639B3EC" w:rsidR="00A600C6" w:rsidRDefault="00A600C6" w:rsidP="00166F02">
      <w:pPr>
        <w:pStyle w:val="whitespace-normal"/>
      </w:pPr>
      <w:r>
        <w:rPr>
          <w:rStyle w:val="Fett"/>
        </w:rPr>
        <w:t>Die LXX</w:t>
      </w:r>
      <w:r>
        <w:t xml:space="preserve"> übersetzt </w:t>
      </w:r>
      <w:r>
        <w:rPr>
          <w:rtl/>
        </w:rPr>
        <w:t>וְחָלְצָה נַעֲלוֹ</w:t>
      </w:r>
      <w:r>
        <w:t xml:space="preserve"> (und sie wird seinen Schuh ausziehen) mit ὑπ</w:t>
      </w:r>
      <w:proofErr w:type="spellStart"/>
      <w:r>
        <w:t>ολύσει</w:t>
      </w:r>
      <w:proofErr w:type="spellEnd"/>
      <w:r>
        <w:t xml:space="preserve"> </w:t>
      </w:r>
      <w:proofErr w:type="spellStart"/>
      <w:r>
        <w:t>τὸ</w:t>
      </w:r>
      <w:proofErr w:type="spellEnd"/>
      <w:r>
        <w:t xml:space="preserve"> ὑπ</w:t>
      </w:r>
      <w:proofErr w:type="spellStart"/>
      <w:r>
        <w:t>όδημ</w:t>
      </w:r>
      <w:proofErr w:type="spellEnd"/>
      <w:r>
        <w:t>α α</w:t>
      </w:r>
      <w:proofErr w:type="spellStart"/>
      <w:r>
        <w:t>ὐτοῦ</w:t>
      </w:r>
      <w:proofErr w:type="spellEnd"/>
      <w:r>
        <w:t xml:space="preserve"> (sie wird seine Sandale lösen) – ein zusammengesetztes Verb, das das Lösen/Losbinden betont.</w:t>
      </w:r>
    </w:p>
    <w:p w14:paraId="38C0C568" w14:textId="77777777" w:rsidR="00166F02" w:rsidRDefault="00166F02" w:rsidP="00166F02">
      <w:pPr>
        <w:pStyle w:val="whitespace-normal"/>
      </w:pPr>
      <w:r>
        <w:rPr>
          <w:rStyle w:val="Fett"/>
          <w:rFonts w:eastAsiaTheme="majorEastAsia"/>
        </w:rPr>
        <w:lastRenderedPageBreak/>
        <w:t>Die Satzstruktur:</w:t>
      </w:r>
      <w:r>
        <w:t xml:space="preserve"> Fünf koordinierte Handlungen (und herantreten soll seine Schwägerin zu ihm vor den Augen der Ältesten, und ausziehen soll sie seinen Schuh von seinem Fuß, und spucken soll sie in sein Angesicht; und antworten soll sie und sagen: So getan werden soll dem Mann, der nicht aufbaut das Haus seines Bruders).</w:t>
      </w:r>
    </w:p>
    <w:p w14:paraId="058B6A4C" w14:textId="17C8041E" w:rsidR="00166F02" w:rsidRDefault="00166F02" w:rsidP="00AB12A0">
      <w:pPr>
        <w:pStyle w:val="whitespace-normal"/>
      </w:pPr>
      <w:r>
        <w:rPr>
          <w:rStyle w:val="Fett"/>
          <w:rFonts w:eastAsiaTheme="majorEastAsia"/>
        </w:rPr>
        <w:t>Der Vers beschreibt:</w:t>
      </w:r>
      <w:r>
        <w:t xml:space="preserve"> Rituelles Verfahren zur öffentlichen Demütigung des sich weigernden Schwagers – Schuh ausziehen, spucken, verbale Verurteilung.</w:t>
      </w:r>
    </w:p>
    <w:p w14:paraId="507989E0" w14:textId="77777777" w:rsidR="00166F02" w:rsidRPr="00713867" w:rsidRDefault="00166F02" w:rsidP="00B53ACC">
      <w:pPr>
        <w:pStyle w:val="Bibelberschrift"/>
      </w:pPr>
      <w:r w:rsidRPr="00713867">
        <w:rPr>
          <w:rStyle w:val="Fett"/>
          <w:b/>
          <w:bCs w:val="0"/>
        </w:rPr>
        <w:t>Deuteronomium 25,10</w:t>
      </w:r>
    </w:p>
    <w:p w14:paraId="61AB2CEA" w14:textId="77777777" w:rsidR="00166F02" w:rsidRDefault="00166F02" w:rsidP="00166F02">
      <w:pPr>
        <w:pStyle w:val="whitespace-normal"/>
      </w:pPr>
      <w:r>
        <w:rPr>
          <w:rStyle w:val="Fett"/>
          <w:rFonts w:eastAsiaTheme="majorEastAsia"/>
        </w:rPr>
        <w:t>Hebräisch:</w:t>
      </w:r>
      <w:r>
        <w:t xml:space="preserve"> </w:t>
      </w:r>
      <w:r>
        <w:rPr>
          <w:rtl/>
        </w:rPr>
        <w:t>וְנִקְרָ֥א שְׁמ֖וֹ בְּיִשְׂרָאֵ֑ל בֵּ֖ית חֲל֥וּץ הַנָּֽעַל׃</w:t>
      </w:r>
    </w:p>
    <w:p w14:paraId="7EE70557" w14:textId="77777777" w:rsidR="00166F02" w:rsidRDefault="00166F02" w:rsidP="00166F02">
      <w:pPr>
        <w:pStyle w:val="whitespace-normal"/>
      </w:pPr>
      <w:r>
        <w:rPr>
          <w:rStyle w:val="Fett"/>
          <w:rFonts w:eastAsiaTheme="majorEastAsia"/>
        </w:rPr>
        <w:t>Deutsch:</w:t>
      </w:r>
      <w:r>
        <w:t xml:space="preserve"> Und sein Name soll genannt werden in Israel: Haus des Barfüßigen.</w:t>
      </w:r>
    </w:p>
    <w:p w14:paraId="7FC4CFDD" w14:textId="77777777" w:rsidR="00166F02" w:rsidRDefault="004F5CEB" w:rsidP="00166F02">
      <w:r>
        <w:rPr>
          <w:noProof/>
        </w:rPr>
        <w:pict w14:anchorId="13E82832">
          <v:rect id="_x0000_i1683" style="width:0;height:1.5pt" o:hralign="center" o:hrstd="t" o:hr="t" fillcolor="#a0a0a0" stroked="f"/>
        </w:pict>
      </w:r>
    </w:p>
    <w:p w14:paraId="3C675BD4"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וְנִקְרָא שְׁמוֹ בְּיִשְׂרָאֵל בֵּית חֲלוּץ הַנָּעַל</w:t>
      </w:r>
      <w:r>
        <w:rPr>
          <w:rtl/>
        </w:rPr>
        <w:t xml:space="preserve"> </w:t>
      </w:r>
      <w:r>
        <w:t xml:space="preserve">ist eine Aussage: </w:t>
      </w:r>
      <w:r>
        <w:rPr>
          <w:rStyle w:val="Fett"/>
          <w:rFonts w:eastAsiaTheme="majorEastAsia"/>
          <w:rtl/>
        </w:rPr>
        <w:t>וְנִקְרָא שְׁמוֹ בְּיִשְׂרָאֵל</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קרא</w:t>
      </w:r>
      <w:r>
        <w:t xml:space="preserve">, Niphal Perfekt, 3. Person Maskulinum Singular, „genannt werden, gerufen werden", </w:t>
      </w:r>
      <w:r>
        <w:rPr>
          <w:rStyle w:val="Fett"/>
          <w:rFonts w:eastAsiaTheme="majorEastAsia"/>
          <w:rtl/>
        </w:rPr>
        <w:t>שֵׁם</w:t>
      </w:r>
      <w:r>
        <w:rPr>
          <w:rtl/>
        </w:rPr>
        <w:t xml:space="preserve"> </w:t>
      </w:r>
      <w:r>
        <w:t xml:space="preserve">mit Suffix 3. Person Maskulinum Singular als Subjekt, </w:t>
      </w:r>
      <w:r>
        <w:rPr>
          <w:rStyle w:val="Fett"/>
          <w:rFonts w:eastAsiaTheme="majorEastAsia"/>
          <w:rtl/>
        </w:rPr>
        <w:t>בְּיִשְׂרָאֵל</w:t>
      </w:r>
      <w:r>
        <w:t xml:space="preserve">, mit </w:t>
      </w:r>
      <w:r>
        <w:rPr>
          <w:rStyle w:val="Fett"/>
          <w:rFonts w:eastAsiaTheme="majorEastAsia"/>
        </w:rPr>
        <w:t>Waw</w:t>
      </w:r>
      <w:r>
        <w:t xml:space="preserve"> consecutives Perfekt), </w:t>
      </w:r>
      <w:r>
        <w:rPr>
          <w:rStyle w:val="Fett"/>
          <w:rFonts w:eastAsiaTheme="majorEastAsia"/>
          <w:rtl/>
        </w:rPr>
        <w:t>בֵּית חֲלוּץ הַנָּעַל</w:t>
      </w:r>
      <w:r>
        <w:rPr>
          <w:rtl/>
        </w:rPr>
        <w:t xml:space="preserve"> </w:t>
      </w:r>
      <w:r>
        <w:t>(</w:t>
      </w:r>
      <w:r>
        <w:rPr>
          <w:rStyle w:val="Fett"/>
          <w:rFonts w:eastAsiaTheme="majorEastAsia"/>
          <w:rtl/>
        </w:rPr>
        <w:t>בַּיִת</w:t>
      </w:r>
      <w:r>
        <w:t xml:space="preserve">, „Haus", Construct mit </w:t>
      </w:r>
      <w:r>
        <w:rPr>
          <w:rStyle w:val="Fett"/>
          <w:rFonts w:eastAsiaTheme="majorEastAsia"/>
          <w:rtl/>
        </w:rPr>
        <w:t>חָלוּץ</w:t>
      </w:r>
      <w:r>
        <w:t xml:space="preserve">, Qal Passiv Partizip von </w:t>
      </w:r>
      <w:r>
        <w:rPr>
          <w:rStyle w:val="Fett"/>
          <w:rFonts w:eastAsiaTheme="majorEastAsia"/>
          <w:rtl/>
        </w:rPr>
        <w:t>חלץ</w:t>
      </w:r>
      <w:r>
        <w:t xml:space="preserve">, „ausgezogen", Construct mit </w:t>
      </w:r>
      <w:r>
        <w:rPr>
          <w:rStyle w:val="Fett"/>
          <w:rFonts w:eastAsiaTheme="majorEastAsia"/>
          <w:rtl/>
        </w:rPr>
        <w:t>נַעַל</w:t>
      </w:r>
      <w:r>
        <w:rPr>
          <w:rtl/>
        </w:rPr>
        <w:t xml:space="preserve"> </w:t>
      </w:r>
      <w:r>
        <w:t>mit Artikel – „Haus des Ausgezogenen des Schuhs" = „Haus des Barfüßigen").</w:t>
      </w:r>
    </w:p>
    <w:p w14:paraId="643AA84F" w14:textId="7C9A2F7B" w:rsidR="00166F02" w:rsidRDefault="00166F02" w:rsidP="00166F02">
      <w:pPr>
        <w:pStyle w:val="whitespace-normal"/>
      </w:pPr>
      <w:r>
        <w:t xml:space="preserve">Der Vers beschreibt die bleibende Schande für die Familie des sich weigernden Schwagers. Die Aussage: </w:t>
      </w:r>
      <w:r>
        <w:rPr>
          <w:rStyle w:val="Fett"/>
          <w:rFonts w:eastAsiaTheme="majorEastAsia"/>
          <w:rtl/>
        </w:rPr>
        <w:t>וְנִקְרָא שְׁמוֹ בְּיִשְׂרָאֵל בֵּית חֲלוּץ הַנָּעַל</w:t>
      </w:r>
      <w:r>
        <w:rPr>
          <w:rtl/>
        </w:rPr>
        <w:t xml:space="preserve"> </w:t>
      </w:r>
      <w:r>
        <w:t xml:space="preserve">(„und genannt werden soll sein Name in Israel: Haus des Barfüßigen/des Ausgezogenen des Schuhs"). Das Verb </w:t>
      </w:r>
      <w:r>
        <w:rPr>
          <w:rStyle w:val="Fett"/>
          <w:rFonts w:eastAsiaTheme="majorEastAsia"/>
          <w:rtl/>
        </w:rPr>
        <w:t>קרא</w:t>
      </w:r>
      <w:r>
        <w:rPr>
          <w:rtl/>
        </w:rPr>
        <w:t xml:space="preserve"> </w:t>
      </w:r>
      <w:r>
        <w:t xml:space="preserve">im Niphal („genannt werden, gerufen werden") – er und seine Familie erhalten einen Spitznamen. Die Formulierung </w:t>
      </w:r>
      <w:r>
        <w:rPr>
          <w:rStyle w:val="Fett"/>
          <w:rFonts w:eastAsiaTheme="majorEastAsia"/>
          <w:rtl/>
        </w:rPr>
        <w:t>בְּיִשְׂרָאֵל</w:t>
      </w:r>
      <w:r>
        <w:rPr>
          <w:rtl/>
        </w:rPr>
        <w:t xml:space="preserve"> </w:t>
      </w:r>
      <w:r>
        <w:t xml:space="preserve">(„in Israel") betont: öffentlich, allgemein bekannt im ganzen Volk. Der Name </w:t>
      </w:r>
      <w:r>
        <w:rPr>
          <w:rStyle w:val="Fett"/>
          <w:rFonts w:eastAsiaTheme="majorEastAsia"/>
          <w:rtl/>
        </w:rPr>
        <w:t>בֵּית חֲלוּץ הַנָּעַל</w:t>
      </w:r>
      <w:r>
        <w:rPr>
          <w:rtl/>
        </w:rPr>
        <w:t xml:space="preserve"> </w:t>
      </w:r>
      <w:r>
        <w:t xml:space="preserve">ist ein Schmähname. Das Wort </w:t>
      </w:r>
      <w:r>
        <w:rPr>
          <w:rStyle w:val="Fett"/>
          <w:rFonts w:eastAsiaTheme="majorEastAsia"/>
          <w:rtl/>
        </w:rPr>
        <w:t>בַּיִת</w:t>
      </w:r>
      <w:r>
        <w:rPr>
          <w:rtl/>
        </w:rPr>
        <w:t xml:space="preserve"> </w:t>
      </w:r>
      <w:r>
        <w:t xml:space="preserve">(„Haus") bezeichnet hier die Familie, das Geschlecht. Das Partizip </w:t>
      </w:r>
      <w:r>
        <w:rPr>
          <w:rStyle w:val="Fett"/>
          <w:rFonts w:eastAsiaTheme="majorEastAsia"/>
          <w:rtl/>
        </w:rPr>
        <w:t>חָלוּץ</w:t>
      </w:r>
      <w:r>
        <w:rPr>
          <w:rtl/>
        </w:rPr>
        <w:t xml:space="preserve"> </w:t>
      </w:r>
      <w:r>
        <w:t xml:space="preserve">(„ausgezogen") bezieht sich auf den Schuh aus V. 9. Die Konstruktion </w:t>
      </w:r>
      <w:r>
        <w:rPr>
          <w:rStyle w:val="Fett"/>
          <w:rFonts w:eastAsiaTheme="majorEastAsia"/>
          <w:rtl/>
        </w:rPr>
        <w:t>חֲלוּץ הַנָּעַל</w:t>
      </w:r>
      <w:r>
        <w:rPr>
          <w:rtl/>
        </w:rPr>
        <w:t xml:space="preserve"> </w:t>
      </w:r>
      <w:r>
        <w:t>(„Ausgezogener des Schuhs" = „Barfüßiger") ist eine dauerhafte Erinnerung an seine Weigerung und Demütigung. Die Ratio: Die soziale Schande soll andere von ähnlicher Verweigerung abhalten. Die Familie wird generationsübergreifend stigmatisiert. Dies ist die einzige Strafe für die Weigerung – es gibt keine rechtliche Zwangsmaßnahme, keine Geldstrafe, nur soziale Ächtung. Historisches Beispiel: Rut 4,7-8 erwähnt einen ähnlichen Brauch mit Sandalen bei Eigentumstransaktionen, was zeigt, dass Schuhe rechtliche Symbolik hatten. Die Leviratsehe-Gesetze (V. 5-10) zeigen die Bedeutung von Familie, Erbe und Name in der israelitischen Gesellschaft.</w:t>
      </w:r>
    </w:p>
    <w:p w14:paraId="421C6EEE" w14:textId="26878855" w:rsidR="00A600C6" w:rsidRDefault="00A600C6" w:rsidP="00166F02">
      <w:pPr>
        <w:pStyle w:val="whitespace-normal"/>
      </w:pPr>
      <w:r>
        <w:rPr>
          <w:rStyle w:val="Fett"/>
        </w:rPr>
        <w:t>Die LXX</w:t>
      </w:r>
      <w:r>
        <w:t xml:space="preserve"> übersetzt </w:t>
      </w:r>
      <w:r>
        <w:rPr>
          <w:rtl/>
        </w:rPr>
        <w:t>בֵּית חֲלוּץ הַנָּעַל</w:t>
      </w:r>
      <w:r>
        <w:t xml:space="preserve"> (Haus des Ausgezogenen-Schuhs) mit </w:t>
      </w:r>
      <w:proofErr w:type="spellStart"/>
      <w:r>
        <w:t>Οἶκος</w:t>
      </w:r>
      <w:proofErr w:type="spellEnd"/>
      <w:r>
        <w:t xml:space="preserve"> </w:t>
      </w:r>
      <w:proofErr w:type="spellStart"/>
      <w:r>
        <w:t>τοῦ</w:t>
      </w:r>
      <w:proofErr w:type="spellEnd"/>
      <w:r>
        <w:t xml:space="preserve"> ὑπ</w:t>
      </w:r>
      <w:proofErr w:type="spellStart"/>
      <w:r>
        <w:t>ολυθέντος</w:t>
      </w:r>
      <w:proofErr w:type="spellEnd"/>
      <w:r>
        <w:t xml:space="preserve"> </w:t>
      </w:r>
      <w:proofErr w:type="spellStart"/>
      <w:r>
        <w:t>τὸ</w:t>
      </w:r>
      <w:proofErr w:type="spellEnd"/>
      <w:r>
        <w:t xml:space="preserve"> ὑπ</w:t>
      </w:r>
      <w:proofErr w:type="spellStart"/>
      <w:r>
        <w:t>όδημ</w:t>
      </w:r>
      <w:proofErr w:type="spellEnd"/>
      <w:r>
        <w:t>α (Haus dessen, dem die Sandale gelöst wurde) – eine partizipiale Konstruktion statt eines Genitivs.</w:t>
      </w:r>
    </w:p>
    <w:p w14:paraId="3957C5CD" w14:textId="77777777" w:rsidR="00166F02" w:rsidRDefault="00166F02" w:rsidP="00166F02">
      <w:pPr>
        <w:pStyle w:val="whitespace-normal"/>
      </w:pPr>
      <w:r>
        <w:rPr>
          <w:rStyle w:val="Fett"/>
          <w:rFonts w:eastAsiaTheme="majorEastAsia"/>
        </w:rPr>
        <w:t>Die Satzstruktur:</w:t>
      </w:r>
      <w:r>
        <w:t xml:space="preserve"> Eine Aussage (und genannt werden soll sein Name in Israel: Haus des Barfüßigen).</w:t>
      </w:r>
    </w:p>
    <w:p w14:paraId="3E9789E0" w14:textId="27592C8C" w:rsidR="00166F02" w:rsidRDefault="00166F02" w:rsidP="00705F3D">
      <w:pPr>
        <w:pStyle w:val="whitespace-normal"/>
      </w:pPr>
      <w:r>
        <w:rPr>
          <w:rStyle w:val="Fett"/>
          <w:rFonts w:eastAsiaTheme="majorEastAsia"/>
        </w:rPr>
        <w:lastRenderedPageBreak/>
        <w:t>Der Vers beschreibt:</w:t>
      </w:r>
      <w:r>
        <w:t xml:space="preserve"> Bleibende Schande – die Familie des sich weigernden Schwagers erhält den Schmähnamen "Haus des Barfüßigen".</w:t>
      </w:r>
    </w:p>
    <w:p w14:paraId="56911A55" w14:textId="77777777" w:rsidR="00166F02" w:rsidRPr="00713867" w:rsidRDefault="00166F02" w:rsidP="00B53ACC">
      <w:pPr>
        <w:pStyle w:val="Bibelberschrift"/>
      </w:pPr>
      <w:r w:rsidRPr="00713867">
        <w:rPr>
          <w:rStyle w:val="Fett"/>
          <w:b/>
          <w:bCs w:val="0"/>
        </w:rPr>
        <w:t>Deuteronomium 25,11</w:t>
      </w:r>
    </w:p>
    <w:p w14:paraId="17AC256B" w14:textId="77777777" w:rsidR="00166F02" w:rsidRDefault="00166F02" w:rsidP="00166F02">
      <w:pPr>
        <w:pStyle w:val="whitespace-normal"/>
      </w:pPr>
      <w:r>
        <w:rPr>
          <w:rStyle w:val="Fett"/>
          <w:rFonts w:eastAsiaTheme="majorEastAsia"/>
        </w:rPr>
        <w:t>Hebräisch:</w:t>
      </w:r>
      <w:r>
        <w:t xml:space="preserve"> </w:t>
      </w:r>
      <w:r>
        <w:rPr>
          <w:rtl/>
        </w:rPr>
        <w:t>כִּֽי־יִנָּצ֨וּ אֲנָשִׁ֤ים יַחְדָּו֙ אִ֣ישׁ וְאָחִ֔יו וְקָֽרְבָה֙ אֵ֣שֶׁת הָֽאֶחָ֔ד לְהַצִּ֥יל אֶת־אִישָׁ֖הּ מִיַּ֣ד מַכֵּ֑הוּ וְשָׁלְחָ֣ה יָדָ֔הּ וְהֶחֱזִ֖יקָה בִּמְבֻשָֽׁיו׃</w:t>
      </w:r>
    </w:p>
    <w:p w14:paraId="42243AFC" w14:textId="77777777" w:rsidR="00166F02" w:rsidRDefault="00166F02" w:rsidP="00166F02">
      <w:pPr>
        <w:pStyle w:val="whitespace-normal"/>
      </w:pPr>
      <w:r>
        <w:rPr>
          <w:rStyle w:val="Fett"/>
          <w:rFonts w:eastAsiaTheme="majorEastAsia"/>
        </w:rPr>
        <w:t>Deutsch:</w:t>
      </w:r>
      <w:r>
        <w:t xml:space="preserve"> Wenn Männer miteinander streiten, ein Mann und sein Bruder, und die Frau des einen naht, um ihren Mann zu retten aus der Hand dessen, der ihn schlägt, und sie streckt ihre Hand aus und ergreift seine Schamteile,</w:t>
      </w:r>
    </w:p>
    <w:p w14:paraId="02F7A978" w14:textId="77777777" w:rsidR="00166F02" w:rsidRDefault="004F5CEB" w:rsidP="00166F02">
      <w:r>
        <w:rPr>
          <w:noProof/>
        </w:rPr>
        <w:pict w14:anchorId="5068308D">
          <v:rect id="_x0000_i1684" style="width:0;height:1.5pt" o:hralign="center" o:hrstd="t" o:hr="t" fillcolor="#a0a0a0" stroked="f"/>
        </w:pict>
      </w:r>
    </w:p>
    <w:p w14:paraId="722D24DA"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כִּי־יִנָּצוּ אֲנָשִׁים יַחְדָּו אִישׁ וְאָחִיו וְקָרְבָה אֵשֶׁת הָאֶחָד לְהַצִּיל אֶת־אִישָׁהּ מִיַּד מַכֵּהוּ וְשָׁלְחָה יָדָהּ וְהֶחֱזִיקָה בִּמְבֻשָׁיו</w:t>
      </w:r>
      <w:r>
        <w:rPr>
          <w:rtl/>
        </w:rPr>
        <w:t xml:space="preserve"> </w:t>
      </w:r>
      <w:r>
        <w:t xml:space="preserve">ist eine lange Bedingung: </w:t>
      </w:r>
      <w:r>
        <w:rPr>
          <w:rStyle w:val="Fett"/>
          <w:rFonts w:eastAsiaTheme="majorEastAsia"/>
          <w:rtl/>
        </w:rPr>
        <w:t>כִּי־יִנָּצוּ אֲנָשִׁים יַחְדָּו אִישׁ וְאָחִיו</w:t>
      </w:r>
      <w:r>
        <w:rPr>
          <w:rtl/>
        </w:rPr>
        <w:t xml:space="preserve"> </w:t>
      </w:r>
      <w:r>
        <w:t>(</w:t>
      </w:r>
      <w:r>
        <w:rPr>
          <w:rStyle w:val="Fett"/>
          <w:rFonts w:eastAsiaTheme="majorEastAsia"/>
          <w:rtl/>
        </w:rPr>
        <w:t>כִּי</w:t>
      </w:r>
      <w:r>
        <w:rPr>
          <w:rtl/>
        </w:rPr>
        <w:t xml:space="preserve"> </w:t>
      </w:r>
      <w:r>
        <w:t xml:space="preserve">mit </w:t>
      </w:r>
      <w:r>
        <w:rPr>
          <w:rStyle w:val="Fett"/>
          <w:rFonts w:eastAsiaTheme="majorEastAsia"/>
          <w:rtl/>
        </w:rPr>
        <w:t>נצה</w:t>
      </w:r>
      <w:r>
        <w:t xml:space="preserve">, Niphal Imperfekt, 3. Person Plural, „miteinander kämpfen, streiten, raufen", </w:t>
      </w:r>
      <w:r>
        <w:rPr>
          <w:rStyle w:val="Fett"/>
          <w:rFonts w:eastAsiaTheme="majorEastAsia"/>
          <w:rtl/>
        </w:rPr>
        <w:t>אִישׁ</w:t>
      </w:r>
      <w:r>
        <w:rPr>
          <w:rtl/>
        </w:rPr>
        <w:t xml:space="preserve"> </w:t>
      </w:r>
      <w:r>
        <w:t xml:space="preserve">Plural als Subjekt, </w:t>
      </w:r>
      <w:r>
        <w:rPr>
          <w:rStyle w:val="Fett"/>
          <w:rFonts w:eastAsiaTheme="majorEastAsia"/>
          <w:rtl/>
        </w:rPr>
        <w:t>יַחְדָּו</w:t>
      </w:r>
      <w:r>
        <w:t xml:space="preserve">, „zusammen, miteinander", </w:t>
      </w:r>
      <w:r>
        <w:rPr>
          <w:rStyle w:val="Fett"/>
          <w:rFonts w:eastAsiaTheme="majorEastAsia"/>
          <w:rtl/>
        </w:rPr>
        <w:t>אִישׁ וְאָחִיו</w:t>
      </w:r>
      <w:r>
        <w:rPr>
          <w:rtl/>
        </w:rPr>
        <w:t xml:space="preserve"> </w:t>
      </w:r>
      <w:r>
        <w:t xml:space="preserve">– explikative Apposition: „ein Mann und sein Bruder"), </w:t>
      </w:r>
      <w:r>
        <w:rPr>
          <w:rStyle w:val="Fett"/>
          <w:rFonts w:eastAsiaTheme="majorEastAsia"/>
          <w:rtl/>
        </w:rPr>
        <w:t>וְקָרְבָה אֵשֶׁת הָאֶחָד לְהַצִּיל אֶת־אִישָׁהּ מִיַּד מַכֵּהוּ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קרב</w:t>
      </w:r>
      <w:r>
        <w:t xml:space="preserve">, Qal Perfekt, 3. Person Femininum Singular, „nahen, sich nähern", </w:t>
      </w:r>
      <w:r>
        <w:rPr>
          <w:rStyle w:val="Fett"/>
          <w:rFonts w:eastAsiaTheme="majorEastAsia"/>
          <w:rtl/>
        </w:rPr>
        <w:t>אֵשֶׁת הָאֶחָד</w:t>
      </w:r>
      <w:r>
        <w:t xml:space="preserve">, „Frau des einen", als Subjekt, Präposition </w:t>
      </w:r>
      <w:r>
        <w:rPr>
          <w:rStyle w:val="Fett"/>
          <w:rFonts w:eastAsiaTheme="majorEastAsia"/>
          <w:rtl/>
        </w:rPr>
        <w:t>לְ</w:t>
      </w:r>
      <w:r>
        <w:rPr>
          <w:rtl/>
        </w:rPr>
        <w:t xml:space="preserve"> </w:t>
      </w:r>
      <w:r>
        <w:t xml:space="preserve">mit Hiphil Infinitiv Construct von </w:t>
      </w:r>
      <w:r>
        <w:rPr>
          <w:rStyle w:val="Fett"/>
          <w:rFonts w:eastAsiaTheme="majorEastAsia"/>
          <w:rtl/>
        </w:rPr>
        <w:t>נצל</w:t>
      </w:r>
      <w:r>
        <w:t xml:space="preserve">, „retten, befreien", Objektpartikel </w:t>
      </w:r>
      <w:r>
        <w:rPr>
          <w:rStyle w:val="Fett"/>
          <w:rFonts w:eastAsiaTheme="majorEastAsia"/>
          <w:rtl/>
        </w:rPr>
        <w:t>אֵת</w:t>
      </w:r>
      <w:r>
        <w:rPr>
          <w:rtl/>
        </w:rPr>
        <w:t xml:space="preserve"> </w:t>
      </w:r>
      <w:r>
        <w:t xml:space="preserve">mit </w:t>
      </w:r>
      <w:r>
        <w:rPr>
          <w:rStyle w:val="Fett"/>
          <w:rFonts w:eastAsiaTheme="majorEastAsia"/>
          <w:rtl/>
        </w:rPr>
        <w:t>אִישׁ</w:t>
      </w:r>
      <w:r>
        <w:rPr>
          <w:rtl/>
        </w:rPr>
        <w:t xml:space="preserve"> </w:t>
      </w:r>
      <w:r>
        <w:t xml:space="preserve">mit Suffix 3. Person Femininum Singular, Präposition </w:t>
      </w:r>
      <w:r>
        <w:rPr>
          <w:rStyle w:val="Fett"/>
          <w:rFonts w:eastAsiaTheme="majorEastAsia"/>
          <w:rtl/>
        </w:rPr>
        <w:t>מִן</w:t>
      </w:r>
      <w:r>
        <w:rPr>
          <w:rtl/>
        </w:rPr>
        <w:t xml:space="preserve"> </w:t>
      </w:r>
      <w:r>
        <w:t xml:space="preserve">mit </w:t>
      </w:r>
      <w:r>
        <w:rPr>
          <w:rStyle w:val="Fett"/>
          <w:rFonts w:eastAsiaTheme="majorEastAsia"/>
          <w:rtl/>
        </w:rPr>
        <w:t>יָד</w:t>
      </w:r>
      <w:r>
        <w:t xml:space="preserve">, „Hand", Construct mit </w:t>
      </w:r>
      <w:r>
        <w:rPr>
          <w:rStyle w:val="Fett"/>
          <w:rFonts w:eastAsiaTheme="majorEastAsia"/>
          <w:rtl/>
        </w:rPr>
        <w:t>נכה</w:t>
      </w:r>
      <w:r>
        <w:t xml:space="preserve">, Hiphil Partizip, „schlagen", mit Suffix 3. Person Maskulinum Singular – „aus der Hand dessen, der ihn schlägt", mit </w:t>
      </w:r>
      <w:r>
        <w:rPr>
          <w:rStyle w:val="Fett"/>
          <w:rFonts w:eastAsiaTheme="majorEastAsia"/>
        </w:rPr>
        <w:t>Waw</w:t>
      </w:r>
      <w:r>
        <w:t xml:space="preserve"> consecutives Perfekt), </w:t>
      </w:r>
      <w:r>
        <w:rPr>
          <w:rStyle w:val="Fett"/>
          <w:rFonts w:eastAsiaTheme="majorEastAsia"/>
          <w:rtl/>
        </w:rPr>
        <w:t>וְשָׁלְחָה יָדָהּ וְהֶחֱזִיקָה בִּמְבֻשָׁיו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שׁלח</w:t>
      </w:r>
      <w:r>
        <w:t xml:space="preserve">, Qal Perfekt, 3. Person Femininum Singular, „ausstrecken, senden", </w:t>
      </w:r>
      <w:r>
        <w:rPr>
          <w:rStyle w:val="Fett"/>
          <w:rFonts w:eastAsiaTheme="majorEastAsia"/>
          <w:rtl/>
        </w:rPr>
        <w:t>יָד</w:t>
      </w:r>
      <w:r>
        <w:rPr>
          <w:rtl/>
        </w:rPr>
        <w:t xml:space="preserve"> </w:t>
      </w:r>
      <w:r>
        <w:t xml:space="preserve">mit Suffix 3. Person Femininum Singular als Objekt, koordiniert durch </w:t>
      </w:r>
      <w:r>
        <w:rPr>
          <w:rStyle w:val="Fett"/>
          <w:rFonts w:eastAsiaTheme="majorEastAsia"/>
          <w:rtl/>
        </w:rPr>
        <w:t>וְ</w:t>
      </w:r>
      <w:r>
        <w:rPr>
          <w:rtl/>
        </w:rPr>
        <w:t xml:space="preserve"> </w:t>
      </w:r>
      <w:r>
        <w:t xml:space="preserve">mit </w:t>
      </w:r>
      <w:r>
        <w:rPr>
          <w:rStyle w:val="Fett"/>
          <w:rFonts w:eastAsiaTheme="majorEastAsia"/>
          <w:rtl/>
        </w:rPr>
        <w:t>חזק</w:t>
      </w:r>
      <w:r>
        <w:t xml:space="preserve">, Hiphil Perfekt, 3. Person Femininum Singular, „ergreifen, festhalten", Präposition </w:t>
      </w:r>
      <w:r>
        <w:rPr>
          <w:rStyle w:val="Fett"/>
          <w:rFonts w:eastAsiaTheme="majorEastAsia"/>
          <w:rtl/>
        </w:rPr>
        <w:t>בְּ</w:t>
      </w:r>
      <w:r>
        <w:rPr>
          <w:rtl/>
        </w:rPr>
        <w:t xml:space="preserve"> </w:t>
      </w:r>
      <w:r>
        <w:t xml:space="preserve">mit </w:t>
      </w:r>
      <w:r>
        <w:rPr>
          <w:rStyle w:val="Fett"/>
          <w:rFonts w:eastAsiaTheme="majorEastAsia"/>
          <w:rtl/>
        </w:rPr>
        <w:t>מְבֻשִׁים</w:t>
      </w:r>
      <w:r>
        <w:t xml:space="preserve">, „Schamteile, Genitalien" (nur hier im AT, Plural mit Suffix 3. Person Maskulinum Singular), mit </w:t>
      </w:r>
      <w:r>
        <w:rPr>
          <w:rStyle w:val="Fett"/>
          <w:rFonts w:eastAsiaTheme="majorEastAsia"/>
        </w:rPr>
        <w:t>Waw</w:t>
      </w:r>
      <w:r>
        <w:t xml:space="preserve"> consecutives Perfekt).</w:t>
      </w:r>
    </w:p>
    <w:p w14:paraId="48EBAB3E" w14:textId="078DF880" w:rsidR="00166F02" w:rsidRDefault="00166F02" w:rsidP="00166F02">
      <w:pPr>
        <w:pStyle w:val="whitespace-normal"/>
      </w:pPr>
      <w:r>
        <w:t xml:space="preserve">Der Vers leitet ein neues, sehr spezifisches Gesetz ein (V. 11-12). Die Bedingung beschreibt eine Schlägerei zwischen zwei Männern und eine Intervention der Frau. Die erste Situation: </w:t>
      </w:r>
      <w:r>
        <w:rPr>
          <w:rStyle w:val="Fett"/>
          <w:rFonts w:eastAsiaTheme="majorEastAsia"/>
          <w:rtl/>
        </w:rPr>
        <w:t>כִּי־יִנָּצוּ אֲנָשִׁים יַחְדָּו אִישׁ וְאָחִיו</w:t>
      </w:r>
      <w:r>
        <w:rPr>
          <w:rtl/>
        </w:rPr>
        <w:t xml:space="preserve"> </w:t>
      </w:r>
      <w:r>
        <w:t xml:space="preserve">(„wenn miteinander kämpfen Männer, ein Mann und sein Bruder"). Das Verb </w:t>
      </w:r>
      <w:r>
        <w:rPr>
          <w:rStyle w:val="Fett"/>
          <w:rFonts w:eastAsiaTheme="majorEastAsia"/>
          <w:rtl/>
        </w:rPr>
        <w:t>נצה</w:t>
      </w:r>
      <w:r>
        <w:rPr>
          <w:rtl/>
        </w:rPr>
        <w:t xml:space="preserve"> </w:t>
      </w:r>
      <w:r>
        <w:t xml:space="preserve">im Niphal („miteinander kämpfen, streiten, raufen") beschreibt körperliche Auseinandersetzung. Das Adverb </w:t>
      </w:r>
      <w:r>
        <w:rPr>
          <w:rStyle w:val="Fett"/>
          <w:rFonts w:eastAsiaTheme="majorEastAsia"/>
          <w:rtl/>
        </w:rPr>
        <w:t>יַחְדָּו</w:t>
      </w:r>
      <w:r>
        <w:rPr>
          <w:rtl/>
        </w:rPr>
        <w:t xml:space="preserve"> </w:t>
      </w:r>
      <w:r>
        <w:t xml:space="preserve">(„zusammen, miteinander") betont den Konflikt zwischen ihnen. Die explikative Apposition </w:t>
      </w:r>
      <w:r>
        <w:rPr>
          <w:rStyle w:val="Fett"/>
          <w:rFonts w:eastAsiaTheme="majorEastAsia"/>
          <w:rtl/>
        </w:rPr>
        <w:t>אִישׁ וְאָחִיו</w:t>
      </w:r>
      <w:r>
        <w:rPr>
          <w:rtl/>
        </w:rPr>
        <w:t xml:space="preserve"> </w:t>
      </w:r>
      <w:r>
        <w:t xml:space="preserve">(„ein Mann und sein Bruder") präzisiert: zwei Männer (nicht notwendigerweise leibliche Brüder, sondern „Volksgenossen", vgl. Gebrauch von </w:t>
      </w:r>
      <w:r>
        <w:rPr>
          <w:rStyle w:val="Fett"/>
          <w:rFonts w:eastAsiaTheme="majorEastAsia"/>
          <w:rtl/>
        </w:rPr>
        <w:t>אָח</w:t>
      </w:r>
      <w:r>
        <w:t xml:space="preserve">). Die Intervention: </w:t>
      </w:r>
      <w:r>
        <w:rPr>
          <w:rStyle w:val="Fett"/>
          <w:rFonts w:eastAsiaTheme="majorEastAsia"/>
          <w:rtl/>
        </w:rPr>
        <w:t>וְקָרְבָה אֵשֶׁת הָאֶחָד לְהַצִּיל אֶת־אִישָׁהּ מִיַּד מַכֵּהוּ</w:t>
      </w:r>
      <w:r>
        <w:rPr>
          <w:rtl/>
        </w:rPr>
        <w:t xml:space="preserve"> </w:t>
      </w:r>
      <w:r>
        <w:t xml:space="preserve">(„und naht die Frau des einen, zu retten ihren Mann aus der Hand dessen, der ihn schlägt"). Das Verb </w:t>
      </w:r>
      <w:r>
        <w:rPr>
          <w:rStyle w:val="Fett"/>
          <w:rFonts w:eastAsiaTheme="majorEastAsia"/>
          <w:rtl/>
        </w:rPr>
        <w:t>קרב</w:t>
      </w:r>
      <w:r>
        <w:rPr>
          <w:rtl/>
        </w:rPr>
        <w:t xml:space="preserve"> </w:t>
      </w:r>
      <w:r>
        <w:t xml:space="preserve">(„nahen, sich nähern") – sie kommt hinzu. Die Formulierung </w:t>
      </w:r>
      <w:r>
        <w:rPr>
          <w:rStyle w:val="Fett"/>
          <w:rFonts w:eastAsiaTheme="majorEastAsia"/>
          <w:rtl/>
        </w:rPr>
        <w:t>אֵשֶׁת הָאֶחָד</w:t>
      </w:r>
      <w:r>
        <w:rPr>
          <w:rtl/>
        </w:rPr>
        <w:t xml:space="preserve"> </w:t>
      </w:r>
      <w:r>
        <w:t xml:space="preserve">(„die Frau des einen") – die Frau eines der Kämpfenden. Der Zweck: </w:t>
      </w:r>
      <w:r>
        <w:rPr>
          <w:rStyle w:val="Fett"/>
          <w:rFonts w:eastAsiaTheme="majorEastAsia"/>
          <w:rtl/>
        </w:rPr>
        <w:t>לְהַצִּיל אֶת־אִישָׁהּ</w:t>
      </w:r>
      <w:r>
        <w:rPr>
          <w:rtl/>
        </w:rPr>
        <w:t xml:space="preserve"> </w:t>
      </w:r>
      <w:r>
        <w:t xml:space="preserve">(„zu retten ihren Mann") – sie will ihren Mann vor Verletzung schützen. Die Formulierung </w:t>
      </w:r>
      <w:r>
        <w:rPr>
          <w:rStyle w:val="Fett"/>
          <w:rFonts w:eastAsiaTheme="majorEastAsia"/>
          <w:rtl/>
        </w:rPr>
        <w:t>מִיַּד מַכֵּהוּ</w:t>
      </w:r>
      <w:r>
        <w:rPr>
          <w:rtl/>
        </w:rPr>
        <w:t xml:space="preserve"> </w:t>
      </w:r>
      <w:r>
        <w:t xml:space="preserve">(„aus der Hand dessen, der ihn schlägt") – vor dem anderen Kämpfer, der ihren Mann schlägt. Die problematische Handlung: </w:t>
      </w:r>
      <w:r>
        <w:rPr>
          <w:rStyle w:val="Fett"/>
          <w:rFonts w:eastAsiaTheme="majorEastAsia"/>
          <w:rtl/>
        </w:rPr>
        <w:t>וְשָׁלְחָה יָדָהּ וְהֶחֱזִיקָה בִּמְבֻשָׁיו</w:t>
      </w:r>
      <w:r>
        <w:rPr>
          <w:rtl/>
        </w:rPr>
        <w:t xml:space="preserve"> </w:t>
      </w:r>
      <w:r>
        <w:t xml:space="preserve">(„und ausstreckt sie ihre Hand und ergreift sie seine Schamteile"). Das Verb </w:t>
      </w:r>
      <w:r>
        <w:rPr>
          <w:rStyle w:val="Fett"/>
          <w:rFonts w:eastAsiaTheme="majorEastAsia"/>
          <w:rtl/>
        </w:rPr>
        <w:t>שׁלח</w:t>
      </w:r>
      <w:r>
        <w:rPr>
          <w:rtl/>
        </w:rPr>
        <w:t xml:space="preserve"> </w:t>
      </w:r>
      <w:r>
        <w:t xml:space="preserve">(„ausstrecken, senden") beschreibt die Bewegung. Das Verb </w:t>
      </w:r>
      <w:r>
        <w:rPr>
          <w:rStyle w:val="Fett"/>
          <w:rFonts w:eastAsiaTheme="majorEastAsia"/>
          <w:rtl/>
        </w:rPr>
        <w:t>חזק</w:t>
      </w:r>
      <w:r>
        <w:rPr>
          <w:rtl/>
        </w:rPr>
        <w:t xml:space="preserve"> </w:t>
      </w:r>
      <w:r>
        <w:t xml:space="preserve">im Hiphil („ergreifen, festhalten") – sie greift fest zu. Das Wort </w:t>
      </w:r>
      <w:r>
        <w:rPr>
          <w:rStyle w:val="Fett"/>
          <w:rFonts w:eastAsiaTheme="majorEastAsia"/>
          <w:rtl/>
        </w:rPr>
        <w:t>מְבֻשִׁים</w:t>
      </w:r>
      <w:r>
        <w:rPr>
          <w:rtl/>
        </w:rPr>
        <w:t xml:space="preserve"> </w:t>
      </w:r>
      <w:r>
        <w:t xml:space="preserve">(„Schamteile, Genitalien") ist ein seltenes Wort (nur hier im AT) und bezieht sich auf </w:t>
      </w:r>
      <w:r>
        <w:lastRenderedPageBreak/>
        <w:t>die männlichen Genitalien des Angreifers. Diese Handlung – obwohl möglicherweise effektiv zur Rettung ihres Mannes – wird als unangemessen und beschämend angesehen. V. 12 wird die Strafe nennen.</w:t>
      </w:r>
    </w:p>
    <w:p w14:paraId="6C82F780" w14:textId="54D4A4BA" w:rsidR="00A600C6" w:rsidRDefault="00A600C6" w:rsidP="00166F02">
      <w:pPr>
        <w:pStyle w:val="whitespace-normal"/>
      </w:pPr>
      <w:r>
        <w:rPr>
          <w:rStyle w:val="Fett"/>
        </w:rPr>
        <w:t>Die LXX</w:t>
      </w:r>
      <w:r>
        <w:t xml:space="preserve"> übersetzt </w:t>
      </w:r>
      <w:r>
        <w:rPr>
          <w:rtl/>
        </w:rPr>
        <w:t>בִּמְבֻשָׁיו</w:t>
      </w:r>
      <w:r>
        <w:t xml:space="preserve"> (an seinen Schamteilen) mit </w:t>
      </w:r>
      <w:proofErr w:type="spellStart"/>
      <w:r>
        <w:t>τῶν</w:t>
      </w:r>
      <w:proofErr w:type="spellEnd"/>
      <w:r>
        <w:t xml:space="preserve"> </w:t>
      </w:r>
      <w:proofErr w:type="spellStart"/>
      <w:r>
        <w:t>διδύμων</w:t>
      </w:r>
      <w:proofErr w:type="spellEnd"/>
      <w:r>
        <w:t xml:space="preserve"> α</w:t>
      </w:r>
      <w:proofErr w:type="spellStart"/>
      <w:r>
        <w:t>ὐτοῦ</w:t>
      </w:r>
      <w:proofErr w:type="spellEnd"/>
      <w:r>
        <w:t xml:space="preserve"> (seiner Zwillinge/Hoden) – ein euphemistischerer griechischer Begriff, der wörtlich "Zwillinge" bedeutet und hier als anatomischer Terminus für die männlichen Genitalien verwendet wird.</w:t>
      </w:r>
    </w:p>
    <w:p w14:paraId="14155799" w14:textId="77777777" w:rsidR="00166F02" w:rsidRDefault="00166F02" w:rsidP="00166F02">
      <w:pPr>
        <w:pStyle w:val="whitespace-normal"/>
      </w:pPr>
      <w:r>
        <w:rPr>
          <w:rStyle w:val="Fett"/>
          <w:rFonts w:eastAsiaTheme="majorEastAsia"/>
        </w:rPr>
        <w:t>Die Satzstruktur:</w:t>
      </w:r>
      <w:r>
        <w:t xml:space="preserve"> Lange Bedingung mit mehreren Schritten (wenn miteinander kämpfen Männer, ein Mann und sein Bruder, und naht die Frau des einen, zu retten ihren Mann aus der Hand dessen, der ihn schlägt, und ausstreckt sie ihre Hand und ergreift sie seine Schamteile).</w:t>
      </w:r>
    </w:p>
    <w:p w14:paraId="2EE8C860" w14:textId="215DBA74" w:rsidR="00166F02" w:rsidRDefault="00166F02" w:rsidP="00705F3D">
      <w:pPr>
        <w:pStyle w:val="whitespace-normal"/>
      </w:pPr>
      <w:r>
        <w:rPr>
          <w:rStyle w:val="Fett"/>
          <w:rFonts w:eastAsiaTheme="majorEastAsia"/>
        </w:rPr>
        <w:t>Der Vers beschreibt:</w:t>
      </w:r>
      <w:r>
        <w:t xml:space="preserve"> Spezifische Situation – eine Frau greift in einen Kampf ein, um ihren Mann zu retten, indem sie die Genitalien des Angreifers ergreift.</w:t>
      </w:r>
    </w:p>
    <w:p w14:paraId="335BCB2A" w14:textId="77777777" w:rsidR="00166F02" w:rsidRPr="00713867" w:rsidRDefault="00166F02" w:rsidP="00B53ACC">
      <w:pPr>
        <w:pStyle w:val="Bibelberschrift"/>
      </w:pPr>
      <w:r w:rsidRPr="00713867">
        <w:rPr>
          <w:rStyle w:val="Fett"/>
          <w:b/>
          <w:bCs w:val="0"/>
        </w:rPr>
        <w:t>Deuteronomium 25,12</w:t>
      </w:r>
    </w:p>
    <w:p w14:paraId="638DDE40" w14:textId="77777777" w:rsidR="00166F02" w:rsidRDefault="00166F02" w:rsidP="00166F02">
      <w:pPr>
        <w:pStyle w:val="whitespace-normal"/>
      </w:pPr>
      <w:r>
        <w:rPr>
          <w:rStyle w:val="Fett"/>
          <w:rFonts w:eastAsiaTheme="majorEastAsia"/>
        </w:rPr>
        <w:t>Hebräisch:</w:t>
      </w:r>
      <w:r>
        <w:t xml:space="preserve"> </w:t>
      </w:r>
      <w:r>
        <w:rPr>
          <w:rtl/>
        </w:rPr>
        <w:t>וְקַצֹּתָ֖ה אֶת־כַּפָּ֑הּ לֹ֥א תָחֹ֖וס עֵינֶֽךָ׃</w:t>
      </w:r>
    </w:p>
    <w:p w14:paraId="54942ED7" w14:textId="77777777" w:rsidR="00166F02" w:rsidRDefault="00166F02" w:rsidP="00166F02">
      <w:pPr>
        <w:pStyle w:val="whitespace-normal"/>
      </w:pPr>
      <w:r>
        <w:rPr>
          <w:rStyle w:val="Fett"/>
          <w:rFonts w:eastAsiaTheme="majorEastAsia"/>
        </w:rPr>
        <w:t>Deutsch:</w:t>
      </w:r>
      <w:r>
        <w:t xml:space="preserve"> So sollst du ihre Hand abhauen; dein Auge soll nicht schonen.</w:t>
      </w:r>
    </w:p>
    <w:p w14:paraId="53D5D608" w14:textId="77777777" w:rsidR="00166F02" w:rsidRDefault="004F5CEB" w:rsidP="00166F02">
      <w:r>
        <w:rPr>
          <w:noProof/>
        </w:rPr>
        <w:pict w14:anchorId="5E827B02">
          <v:rect id="_x0000_i1685" style="width:0;height:1.5pt" o:hralign="center" o:hrstd="t" o:hr="t" fillcolor="#a0a0a0" stroked="f"/>
        </w:pict>
      </w:r>
    </w:p>
    <w:p w14:paraId="4D80C846"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וְקַצֹּתָה אֶת־כַּפָּהּ לֹא תָחוֹס עֵינֶךָ</w:t>
      </w:r>
      <w:r>
        <w:rPr>
          <w:rtl/>
        </w:rPr>
        <w:t xml:space="preserve"> </w:t>
      </w:r>
      <w:r>
        <w:t xml:space="preserve">sind zwei Anweisungen: </w:t>
      </w:r>
      <w:r>
        <w:rPr>
          <w:rStyle w:val="Fett"/>
          <w:rFonts w:eastAsiaTheme="majorEastAsia"/>
          <w:rtl/>
        </w:rPr>
        <w:t>וְקַצֹּתָה אֶת־כַּפָּהּ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קצץ</w:t>
      </w:r>
      <w:r>
        <w:t xml:space="preserve">, Qal Perfekt, 2. Person Maskulinum Singular, „abhauen, abschneiden", Objektpartikel </w:t>
      </w:r>
      <w:r>
        <w:rPr>
          <w:rStyle w:val="Fett"/>
          <w:rFonts w:eastAsiaTheme="majorEastAsia"/>
          <w:rtl/>
        </w:rPr>
        <w:t>אֵת</w:t>
      </w:r>
      <w:r>
        <w:rPr>
          <w:rtl/>
        </w:rPr>
        <w:t xml:space="preserve"> </w:t>
      </w:r>
      <w:r>
        <w:t xml:space="preserve">mit </w:t>
      </w:r>
      <w:r>
        <w:rPr>
          <w:rStyle w:val="Fett"/>
          <w:rFonts w:eastAsiaTheme="majorEastAsia"/>
          <w:rtl/>
        </w:rPr>
        <w:t>כַּף</w:t>
      </w:r>
      <w:r>
        <w:t xml:space="preserve">, „Hand, Handfläche", mit Suffix 3. Person Femininum Singular, mit </w:t>
      </w:r>
      <w:r>
        <w:rPr>
          <w:rStyle w:val="Fett"/>
          <w:rFonts w:eastAsiaTheme="majorEastAsia"/>
        </w:rPr>
        <w:t>Waw</w:t>
      </w:r>
      <w:r>
        <w:t xml:space="preserve"> consecutives Perfekt), </w:t>
      </w:r>
      <w:r>
        <w:rPr>
          <w:rStyle w:val="Fett"/>
          <w:rFonts w:eastAsiaTheme="majorEastAsia"/>
          <w:rtl/>
        </w:rPr>
        <w:t>לֹא תָחוֹס עֵינֶךָ</w:t>
      </w:r>
      <w:r>
        <w:rPr>
          <w:rtl/>
        </w:rPr>
        <w:t xml:space="preserve"> </w:t>
      </w:r>
      <w:r>
        <w:t xml:space="preserve">(Negation mit </w:t>
      </w:r>
      <w:r>
        <w:rPr>
          <w:rStyle w:val="Fett"/>
          <w:rFonts w:eastAsiaTheme="majorEastAsia"/>
          <w:rtl/>
        </w:rPr>
        <w:t>חוס</w:t>
      </w:r>
      <w:r>
        <w:t xml:space="preserve">, Qal Imperfekt, 3. Person Femininum Singular, „schonen, Mitleid haben", </w:t>
      </w:r>
      <w:r>
        <w:rPr>
          <w:rStyle w:val="Fett"/>
          <w:rFonts w:eastAsiaTheme="majorEastAsia"/>
          <w:rtl/>
        </w:rPr>
        <w:t>עַיִן</w:t>
      </w:r>
      <w:r>
        <w:rPr>
          <w:rtl/>
        </w:rPr>
        <w:t xml:space="preserve"> </w:t>
      </w:r>
      <w:r>
        <w:t>mit Suffix 2. Person Maskulinum Singular als Subjekt).</w:t>
      </w:r>
    </w:p>
    <w:p w14:paraId="608FF753" w14:textId="77777777" w:rsidR="00166F02" w:rsidRDefault="00166F02" w:rsidP="00166F02">
      <w:pPr>
        <w:pStyle w:val="whitespace-normal"/>
      </w:pPr>
      <w:r>
        <w:t xml:space="preserve">Der Vers gibt die harte Strafe für die Handlung aus V. 11. Die erste Anweisung: </w:t>
      </w:r>
      <w:r>
        <w:rPr>
          <w:rStyle w:val="Fett"/>
          <w:rFonts w:eastAsiaTheme="majorEastAsia"/>
          <w:rtl/>
        </w:rPr>
        <w:t>וְקַצֹּתָה אֶת־כַּפָּהּ</w:t>
      </w:r>
      <w:r>
        <w:rPr>
          <w:rtl/>
        </w:rPr>
        <w:t xml:space="preserve"> </w:t>
      </w:r>
      <w:r>
        <w:t xml:space="preserve">(„und abhauen sollst du ihre Hand"). Das Verb </w:t>
      </w:r>
      <w:r>
        <w:rPr>
          <w:rStyle w:val="Fett"/>
          <w:rFonts w:eastAsiaTheme="majorEastAsia"/>
          <w:rtl/>
        </w:rPr>
        <w:t>קצץ</w:t>
      </w:r>
      <w:r>
        <w:rPr>
          <w:rtl/>
        </w:rPr>
        <w:t xml:space="preserve"> </w:t>
      </w:r>
      <w:r>
        <w:t xml:space="preserve">(„abhauen, abschneiden") ist drastisch. Das Wort </w:t>
      </w:r>
      <w:r>
        <w:rPr>
          <w:rStyle w:val="Fett"/>
          <w:rFonts w:eastAsiaTheme="majorEastAsia"/>
          <w:rtl/>
        </w:rPr>
        <w:t>כַּף</w:t>
      </w:r>
      <w:r>
        <w:rPr>
          <w:rtl/>
        </w:rPr>
        <w:t xml:space="preserve"> </w:t>
      </w:r>
      <w:r>
        <w:t xml:space="preserve">(„Hand, Handfläche") – wahrscheinlich die Hand, mit der sie die Schamteile ergriffen hat. Dies ist die einzige Stelle im gesamten Pentateuch, wo eine körperliche Verstümmelung als Strafe vorgeschrieben wird (im Gegensatz zu Talionsgesetzen wie "Auge um Auge", die beschreiben, was maximal erlaubt ist). Die zweite Anweisung: </w:t>
      </w:r>
      <w:r>
        <w:rPr>
          <w:rStyle w:val="Fett"/>
          <w:rFonts w:eastAsiaTheme="majorEastAsia"/>
          <w:rtl/>
        </w:rPr>
        <w:t>לֹא תָחוֹס עֵינֶךָ</w:t>
      </w:r>
      <w:r>
        <w:rPr>
          <w:rtl/>
        </w:rPr>
        <w:t xml:space="preserve"> </w:t>
      </w:r>
      <w:r>
        <w:t xml:space="preserve">(„nicht schonen soll dein Auge"). Das Verb </w:t>
      </w:r>
      <w:r>
        <w:rPr>
          <w:rStyle w:val="Fett"/>
          <w:rFonts w:eastAsiaTheme="majorEastAsia"/>
          <w:rtl/>
        </w:rPr>
        <w:t>חוס</w:t>
      </w:r>
      <w:r>
        <w:rPr>
          <w:rtl/>
        </w:rPr>
        <w:t xml:space="preserve"> </w:t>
      </w:r>
      <w:r>
        <w:t xml:space="preserve">(„schonen, Mitleid haben") mit Negation betont: keine Gnade, keine Nachsicht. Die Formulierung </w:t>
      </w:r>
      <w:r>
        <w:rPr>
          <w:rStyle w:val="Fett"/>
          <w:rFonts w:eastAsiaTheme="majorEastAsia"/>
          <w:rtl/>
        </w:rPr>
        <w:t>עֵינֶךָ</w:t>
      </w:r>
      <w:r>
        <w:rPr>
          <w:rtl/>
        </w:rPr>
        <w:t xml:space="preserve"> </w:t>
      </w:r>
      <w:r>
        <w:t xml:space="preserve">(„dein Auge") personifiziert das Mitleid (vgl. 7,16; 13,9; 19,13.21). Die Ratio dieser harten Strafe ist umstritten: (1) Schutz der Zeugungsfähigkeit und männlichen Würde – ein Angriff auf die Genitalien bedroht die Fortpflanzungsfähigkeit und ist besonders demütigend. (2) Talionsprinzip – Hand für Hand? (3) Abschreckung vor unangemessener Intervention in Kämpfe. (4) Schutz der patriarchalen Ordnung. Historische Fragen: (1) Wurde diese Strafe jemals wörtlich vollstreckt? Es gibt keine biblischen Berichte darüber. (2) Die rabbinische Tradition (Mischna, Talmud) interpretiert "Hand" oft metaphorisch als Geldstrafe, ähnlich wie bei den Talionsgesetzen. (3) Einige Ausleger sehen dies als rhetorische Übertreibung zur Betonung der Schwere des Vergehens. Die Juxtaposition dieses Gesetzes mit dem </w:t>
      </w:r>
      <w:r>
        <w:lastRenderedPageBreak/>
        <w:t>Leviratsehe-Gesetz (V. 5-10) könnte thematisch sein: Beide behandeln Reproduktion und Familienerhalt.</w:t>
      </w:r>
    </w:p>
    <w:p w14:paraId="0E101973" w14:textId="77777777" w:rsidR="00166F02" w:rsidRDefault="00166F02" w:rsidP="00166F02">
      <w:pPr>
        <w:pStyle w:val="whitespace-normal"/>
      </w:pPr>
      <w:r>
        <w:rPr>
          <w:rStyle w:val="Fett"/>
          <w:rFonts w:eastAsiaTheme="majorEastAsia"/>
        </w:rPr>
        <w:t>Die Satzstruktur:</w:t>
      </w:r>
      <w:r>
        <w:t xml:space="preserve"> Zwei Anweisungen (und abhauen sollst du ihre Hand; nicht schonen soll dein Auge).</w:t>
      </w:r>
    </w:p>
    <w:p w14:paraId="7CB0EA74" w14:textId="062AA597" w:rsidR="00166F02" w:rsidRDefault="00166F02" w:rsidP="00705F3D">
      <w:pPr>
        <w:pStyle w:val="whitespace-normal"/>
      </w:pPr>
      <w:r>
        <w:rPr>
          <w:rStyle w:val="Fett"/>
          <w:rFonts w:eastAsiaTheme="majorEastAsia"/>
        </w:rPr>
        <w:t>Der Vers beschreibt:</w:t>
      </w:r>
      <w:r>
        <w:t xml:space="preserve"> Harte Strafe – die Hand der Frau soll abgehauen werden, ohne Mitleid.</w:t>
      </w:r>
    </w:p>
    <w:p w14:paraId="2A1F4BEB" w14:textId="77777777" w:rsidR="00166F02" w:rsidRPr="00713867" w:rsidRDefault="00166F02" w:rsidP="00B53ACC">
      <w:pPr>
        <w:pStyle w:val="Bibelberschrift"/>
      </w:pPr>
      <w:r w:rsidRPr="00713867">
        <w:rPr>
          <w:rStyle w:val="Fett"/>
          <w:b/>
          <w:bCs w:val="0"/>
        </w:rPr>
        <w:t>Deuteronomium 25,13</w:t>
      </w:r>
    </w:p>
    <w:p w14:paraId="0DB03FE1" w14:textId="77777777" w:rsidR="00166F02" w:rsidRDefault="00166F02" w:rsidP="00166F02">
      <w:pPr>
        <w:pStyle w:val="whitespace-normal"/>
      </w:pPr>
      <w:r>
        <w:rPr>
          <w:rStyle w:val="Fett"/>
          <w:rFonts w:eastAsiaTheme="majorEastAsia"/>
        </w:rPr>
        <w:t>Hebräisch:</w:t>
      </w:r>
      <w:r>
        <w:t xml:space="preserve"> </w:t>
      </w:r>
      <w:r>
        <w:rPr>
          <w:rtl/>
        </w:rPr>
        <w:t>לֹֽא־יִהְיֶ֥ה לְךָ֛ בְּכִֽיסְךָ֖ אֶ֣בֶן וָאָ֑בֶן גְּדוֹלָ֖ה וּקְטַנָּֽה׃</w:t>
      </w:r>
    </w:p>
    <w:p w14:paraId="3D8F557C" w14:textId="77777777" w:rsidR="00166F02" w:rsidRDefault="00166F02" w:rsidP="00166F02">
      <w:pPr>
        <w:pStyle w:val="whitespace-normal"/>
      </w:pPr>
      <w:r>
        <w:rPr>
          <w:rStyle w:val="Fett"/>
          <w:rFonts w:eastAsiaTheme="majorEastAsia"/>
        </w:rPr>
        <w:t>Deutsch:</w:t>
      </w:r>
      <w:r>
        <w:t xml:space="preserve"> Nicht soll sein bei dir in deinem Beutel Stein und Stein, ein großer und ein kleiner.</w:t>
      </w:r>
    </w:p>
    <w:p w14:paraId="3ECF391C" w14:textId="77777777" w:rsidR="00166F02" w:rsidRDefault="004F5CEB" w:rsidP="00166F02">
      <w:r>
        <w:rPr>
          <w:noProof/>
        </w:rPr>
        <w:pict w14:anchorId="351BDBD1">
          <v:rect id="_x0000_i1686" style="width:0;height:1.5pt" o:hralign="center" o:hrstd="t" o:hr="t" fillcolor="#a0a0a0" stroked="f"/>
        </w:pict>
      </w:r>
    </w:p>
    <w:p w14:paraId="2ECEB074"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לֹא־יִהְיֶה לְךָ בְּכִיסְךָ אֶבֶן וָאָבֶן גְּדוֹלָה וּקְטַנָּה</w:t>
      </w:r>
      <w:r>
        <w:rPr>
          <w:rtl/>
        </w:rPr>
        <w:t xml:space="preserve"> </w:t>
      </w:r>
      <w:r>
        <w:t xml:space="preserve">ist ein Verbot: </w:t>
      </w:r>
      <w:r>
        <w:rPr>
          <w:rStyle w:val="Fett"/>
          <w:rFonts w:eastAsiaTheme="majorEastAsia"/>
          <w:rtl/>
        </w:rPr>
        <w:t>לֹא־יִהְיֶה לְךָ בְּכִיסְךָ אֶבֶן וָאָבֶן</w:t>
      </w:r>
      <w:r>
        <w:rPr>
          <w:rtl/>
        </w:rPr>
        <w:t xml:space="preserve"> </w:t>
      </w:r>
      <w:r>
        <w:t xml:space="preserve">(Negation mit </w:t>
      </w:r>
      <w:r>
        <w:rPr>
          <w:rStyle w:val="Fett"/>
          <w:rFonts w:eastAsiaTheme="majorEastAsia"/>
          <w:rtl/>
        </w:rPr>
        <w:t>היה</w:t>
      </w:r>
      <w:r>
        <w:t xml:space="preserve">, Qal Imperfekt, 3. Person Maskulinum Singular, </w:t>
      </w:r>
      <w:r>
        <w:rPr>
          <w:rStyle w:val="Fett"/>
          <w:rFonts w:eastAsiaTheme="majorEastAsia"/>
          <w:rtl/>
        </w:rPr>
        <w:t>לְךָ</w:t>
      </w:r>
      <w:r>
        <w:t xml:space="preserve">, Dativ, </w:t>
      </w:r>
      <w:r>
        <w:rPr>
          <w:rStyle w:val="Fett"/>
          <w:rFonts w:eastAsiaTheme="majorEastAsia"/>
          <w:rtl/>
        </w:rPr>
        <w:t>בְּכִיסְךָ</w:t>
      </w:r>
      <w:r>
        <w:t xml:space="preserve">, Präposition </w:t>
      </w:r>
      <w:r>
        <w:rPr>
          <w:rStyle w:val="Fett"/>
          <w:rFonts w:eastAsiaTheme="majorEastAsia"/>
          <w:rtl/>
        </w:rPr>
        <w:t>בְּ</w:t>
      </w:r>
      <w:r>
        <w:rPr>
          <w:rtl/>
        </w:rPr>
        <w:t xml:space="preserve"> </w:t>
      </w:r>
      <w:r>
        <w:t xml:space="preserve">mit </w:t>
      </w:r>
      <w:r>
        <w:rPr>
          <w:rStyle w:val="Fett"/>
          <w:rFonts w:eastAsiaTheme="majorEastAsia"/>
          <w:rtl/>
        </w:rPr>
        <w:t>כִּיס</w:t>
      </w:r>
      <w:r>
        <w:t xml:space="preserve">, „Beutel, Geldbeutel", mit Suffix 2. Person Maskulinum Singular, </w:t>
      </w:r>
      <w:r>
        <w:rPr>
          <w:rStyle w:val="Fett"/>
          <w:rFonts w:eastAsiaTheme="majorEastAsia"/>
          <w:rtl/>
        </w:rPr>
        <w:t>אֶבֶן וָאֶבֶן</w:t>
      </w:r>
      <w:r>
        <w:t xml:space="preserve">, „Stein und Stein" – das </w:t>
      </w:r>
      <w:r>
        <w:rPr>
          <w:rStyle w:val="Fett"/>
          <w:rFonts w:eastAsiaTheme="majorEastAsia"/>
          <w:rtl/>
        </w:rPr>
        <w:t>וְ</w:t>
      </w:r>
      <w:r>
        <w:rPr>
          <w:rtl/>
        </w:rPr>
        <w:t xml:space="preserve"> </w:t>
      </w:r>
      <w:r>
        <w:t xml:space="preserve">mit Dageschforte zeigt die Betonung an), </w:t>
      </w:r>
      <w:r>
        <w:rPr>
          <w:rStyle w:val="Fett"/>
          <w:rFonts w:eastAsiaTheme="majorEastAsia"/>
          <w:rtl/>
        </w:rPr>
        <w:t>גְּדוֹלָה וּקְטַנָּה</w:t>
      </w:r>
      <w:r>
        <w:rPr>
          <w:rtl/>
        </w:rPr>
        <w:t xml:space="preserve"> </w:t>
      </w:r>
      <w:r>
        <w:t>(</w:t>
      </w:r>
      <w:r>
        <w:rPr>
          <w:rStyle w:val="Fett"/>
          <w:rFonts w:eastAsiaTheme="majorEastAsia"/>
          <w:rtl/>
        </w:rPr>
        <w:t>גָּדוֹל</w:t>
      </w:r>
      <w:r>
        <w:t xml:space="preserve">, „groß", Femininum, koordiniert durch </w:t>
      </w:r>
      <w:r>
        <w:rPr>
          <w:rStyle w:val="Fett"/>
          <w:rFonts w:eastAsiaTheme="majorEastAsia"/>
          <w:rtl/>
        </w:rPr>
        <w:t>וּ</w:t>
      </w:r>
      <w:r>
        <w:rPr>
          <w:rtl/>
        </w:rPr>
        <w:t xml:space="preserve"> </w:t>
      </w:r>
      <w:r>
        <w:t xml:space="preserve">mit </w:t>
      </w:r>
      <w:r>
        <w:rPr>
          <w:rStyle w:val="Fett"/>
          <w:rFonts w:eastAsiaTheme="majorEastAsia"/>
          <w:rtl/>
        </w:rPr>
        <w:t>קָטָן</w:t>
      </w:r>
      <w:r>
        <w:t xml:space="preserve">, „klein", Femininum – beide modifizieren </w:t>
      </w:r>
      <w:r>
        <w:rPr>
          <w:rStyle w:val="Fett"/>
          <w:rFonts w:eastAsiaTheme="majorEastAsia"/>
          <w:rtl/>
        </w:rPr>
        <w:t>אֶבֶן</w:t>
      </w:r>
      <w:r>
        <w:t>).</w:t>
      </w:r>
    </w:p>
    <w:p w14:paraId="4A541E58" w14:textId="559E1C44" w:rsidR="00166F02" w:rsidRDefault="00166F02" w:rsidP="00166F02">
      <w:pPr>
        <w:pStyle w:val="whitespace-normal"/>
      </w:pPr>
      <w:r>
        <w:t xml:space="preserve">Der Vers leitet einen neuen Abschnitt ein: Ehrlichkeit im Handel (V. 13-16). Das Verbot: </w:t>
      </w:r>
      <w:r>
        <w:rPr>
          <w:rStyle w:val="Fett"/>
          <w:rFonts w:eastAsiaTheme="majorEastAsia"/>
          <w:rtl/>
        </w:rPr>
        <w:t>לֹא־יִהְיֶה לְךָ בְּכִיסְךָ אֶבֶן וָאָבֶן גְּדוֹלָה וּקְטַנָּה</w:t>
      </w:r>
      <w:r>
        <w:rPr>
          <w:rtl/>
        </w:rPr>
        <w:t xml:space="preserve"> </w:t>
      </w:r>
      <w:r>
        <w:t xml:space="preserve">(„nicht sein soll bei dir in deinem Beutel Stein und Stein, ein großer und ein kleiner"). Das Wort </w:t>
      </w:r>
      <w:r>
        <w:rPr>
          <w:rStyle w:val="Fett"/>
          <w:rFonts w:eastAsiaTheme="majorEastAsia"/>
          <w:rtl/>
        </w:rPr>
        <w:t>כִּיס</w:t>
      </w:r>
      <w:r>
        <w:rPr>
          <w:rtl/>
        </w:rPr>
        <w:t xml:space="preserve"> </w:t>
      </w:r>
      <w:r>
        <w:t xml:space="preserve">(„Beutel, Geldbeutel") war auch der Aufbewahrungsort für Gewichtssteine. Das Wort </w:t>
      </w:r>
      <w:r>
        <w:rPr>
          <w:rStyle w:val="Fett"/>
          <w:rFonts w:eastAsiaTheme="majorEastAsia"/>
          <w:rtl/>
        </w:rPr>
        <w:t>אֶבֶן</w:t>
      </w:r>
      <w:r>
        <w:rPr>
          <w:rtl/>
        </w:rPr>
        <w:t xml:space="preserve"> </w:t>
      </w:r>
      <w:r>
        <w:t xml:space="preserve">(„Stein") bezeichnet hier Gewichtssteine, die zum Wiegen von Waren und Geld verwendet wurden (vgl. Lev 19,36; Spr 11,1; 16,11; 20,10.23; Mi 6,11). Die Formulierung </w:t>
      </w:r>
      <w:r>
        <w:rPr>
          <w:rStyle w:val="Fett"/>
          <w:rFonts w:eastAsiaTheme="majorEastAsia"/>
          <w:rtl/>
        </w:rPr>
        <w:t>אֶבֶן וָאֶבֶן</w:t>
      </w:r>
      <w:r>
        <w:rPr>
          <w:rtl/>
        </w:rPr>
        <w:t xml:space="preserve"> </w:t>
      </w:r>
      <w:r>
        <w:t xml:space="preserve">(„Stein und Stein") ist distributiv und betont Vielfalt: verschiedene Steine. Die Präzisierung </w:t>
      </w:r>
      <w:r>
        <w:rPr>
          <w:rStyle w:val="Fett"/>
          <w:rFonts w:eastAsiaTheme="majorEastAsia"/>
          <w:rtl/>
        </w:rPr>
        <w:t>גְּדוֹלָה וּקְטַנָּה</w:t>
      </w:r>
      <w:r>
        <w:rPr>
          <w:rtl/>
        </w:rPr>
        <w:t xml:space="preserve"> </w:t>
      </w:r>
      <w:r>
        <w:t xml:space="preserve">(„ein großer und ein kleiner") erklärt, was gemeint ist: zwei unterschiedliche Gewichte. Die Ratio: Ein unehrlicher Händler könnte zwei Sätze von Gewichtssteinen haben – einen schwereren zum Kaufen (er zahlt weniger, weil das Gewicht des Verkäufers „schwer" ist) und einen leichteren zum Verkaufen (er erhält mehr, weil sein eigenes Gewicht „leicht" ist). Dies ist Betrug. Vgl. Am 8,5: Händler, die „das </w:t>
      </w:r>
      <w:r w:rsidR="00743283">
        <w:t>Epha</w:t>
      </w:r>
      <w:r>
        <w:t xml:space="preserve"> klein und den Schekel groß machen". V. 14 wird ein paralleles Verbot für Hohlmaße geben.</w:t>
      </w:r>
    </w:p>
    <w:p w14:paraId="52988DA9" w14:textId="77E42C50" w:rsidR="00A600C6" w:rsidRDefault="00A600C6" w:rsidP="00166F02">
      <w:pPr>
        <w:pStyle w:val="whitespace-normal"/>
      </w:pPr>
      <w:r>
        <w:rPr>
          <w:rStyle w:val="Fett"/>
        </w:rPr>
        <w:t>Die LXX</w:t>
      </w:r>
      <w:r>
        <w:t xml:space="preserve"> übersetzt </w:t>
      </w:r>
      <w:r>
        <w:rPr>
          <w:rtl/>
        </w:rPr>
        <w:t>אֶבֶן וָאָבֶן</w:t>
      </w:r>
      <w:r>
        <w:t xml:space="preserve"> (Stein und Stein = zweierlei Gewichte) mit </w:t>
      </w:r>
      <w:proofErr w:type="spellStart"/>
      <w:r>
        <w:t>στάθμιον</w:t>
      </w:r>
      <w:proofErr w:type="spellEnd"/>
      <w:r>
        <w:t xml:space="preserve"> καὶ </w:t>
      </w:r>
      <w:proofErr w:type="spellStart"/>
      <w:r>
        <w:t>στάθμιον</w:t>
      </w:r>
      <w:proofErr w:type="spellEnd"/>
      <w:r>
        <w:t xml:space="preserve"> (Gewicht und Gewicht) – ein direkterer Begriff. Der Begriff μα</w:t>
      </w:r>
      <w:proofErr w:type="spellStart"/>
      <w:r>
        <w:t>ρσί</w:t>
      </w:r>
      <w:proofErr w:type="spellEnd"/>
      <w:r>
        <w:t xml:space="preserve">ππῳ (Beutel) für </w:t>
      </w:r>
      <w:r>
        <w:rPr>
          <w:rtl/>
        </w:rPr>
        <w:t>בְּכִיסְךָ</w:t>
      </w:r>
      <w:r>
        <w:t xml:space="preserve"> ist präzise.</w:t>
      </w:r>
    </w:p>
    <w:p w14:paraId="181CE565" w14:textId="77777777" w:rsidR="00166F02" w:rsidRDefault="00166F02" w:rsidP="00166F02">
      <w:pPr>
        <w:pStyle w:val="whitespace-normal"/>
      </w:pPr>
      <w:r>
        <w:rPr>
          <w:rStyle w:val="Fett"/>
          <w:rFonts w:eastAsiaTheme="majorEastAsia"/>
        </w:rPr>
        <w:t>Die Satzstruktur:</w:t>
      </w:r>
      <w:r>
        <w:t xml:space="preserve"> Verbot mit Präzisierung (nicht sein soll bei dir in deinem Beutel Stein und Stein, ein großer und ein kleiner).</w:t>
      </w:r>
    </w:p>
    <w:p w14:paraId="37CE2A9A" w14:textId="1901D416" w:rsidR="00166F02" w:rsidRDefault="00166F02" w:rsidP="00705F3D">
      <w:pPr>
        <w:pStyle w:val="whitespace-normal"/>
      </w:pPr>
      <w:r>
        <w:rPr>
          <w:rStyle w:val="Fett"/>
          <w:rFonts w:eastAsiaTheme="majorEastAsia"/>
        </w:rPr>
        <w:t>Der Vers beschreibt:</w:t>
      </w:r>
      <w:r>
        <w:t xml:space="preserve"> Verbot ungleicher Gewichtssteine – man darf nicht verschiedene Gewichte für Kaufen und Verkaufen verwenden.</w:t>
      </w:r>
    </w:p>
    <w:p w14:paraId="7B451675" w14:textId="77777777" w:rsidR="00166F02" w:rsidRPr="00713867" w:rsidRDefault="00166F02" w:rsidP="00B53ACC">
      <w:pPr>
        <w:pStyle w:val="Bibelberschrift"/>
      </w:pPr>
      <w:r w:rsidRPr="00713867">
        <w:rPr>
          <w:rStyle w:val="Fett"/>
          <w:b/>
          <w:bCs w:val="0"/>
        </w:rPr>
        <w:lastRenderedPageBreak/>
        <w:t>Deuteronomium 25,14</w:t>
      </w:r>
    </w:p>
    <w:p w14:paraId="247B6F68" w14:textId="77777777" w:rsidR="00166F02" w:rsidRDefault="00166F02" w:rsidP="00166F02">
      <w:pPr>
        <w:pStyle w:val="whitespace-normal"/>
      </w:pPr>
      <w:r>
        <w:rPr>
          <w:rStyle w:val="Fett"/>
          <w:rFonts w:eastAsiaTheme="majorEastAsia"/>
        </w:rPr>
        <w:t>Hebräisch:</w:t>
      </w:r>
      <w:r>
        <w:t xml:space="preserve"> </w:t>
      </w:r>
      <w:r>
        <w:rPr>
          <w:rtl/>
        </w:rPr>
        <w:t>לֹא־יִהְיֶ֥ה לְךָ֛ בְּבֵיתְךָ֖ אֵיפָ֣ה וְאֵיפָ֑ה גְּדוֹלָ֖ה וּקְטַנָּֽה׃</w:t>
      </w:r>
    </w:p>
    <w:p w14:paraId="2E6DA7A6" w14:textId="4D37FFDB" w:rsidR="00166F02" w:rsidRDefault="00166F02" w:rsidP="00166F02">
      <w:pPr>
        <w:pStyle w:val="whitespace-normal"/>
      </w:pPr>
      <w:r>
        <w:rPr>
          <w:rStyle w:val="Fett"/>
          <w:rFonts w:eastAsiaTheme="majorEastAsia"/>
        </w:rPr>
        <w:t>Deutsch:</w:t>
      </w:r>
      <w:r>
        <w:t xml:space="preserve"> Nicht soll sein bei dir in deinem Haus </w:t>
      </w:r>
      <w:r w:rsidR="00743283">
        <w:t>Epha</w:t>
      </w:r>
      <w:r>
        <w:t xml:space="preserve"> und </w:t>
      </w:r>
      <w:r w:rsidR="00743283">
        <w:t>Epha</w:t>
      </w:r>
      <w:r>
        <w:t>, ein großes und ein kleines.</w:t>
      </w:r>
    </w:p>
    <w:p w14:paraId="3FC54DFE" w14:textId="77777777" w:rsidR="00166F02" w:rsidRDefault="004F5CEB" w:rsidP="00166F02">
      <w:r>
        <w:rPr>
          <w:noProof/>
        </w:rPr>
        <w:pict w14:anchorId="3042AD18">
          <v:rect id="_x0000_i1687" style="width:0;height:1.5pt" o:hralign="center" o:hrstd="t" o:hr="t" fillcolor="#a0a0a0" stroked="f"/>
        </w:pict>
      </w:r>
    </w:p>
    <w:p w14:paraId="0F4DD614" w14:textId="46EA0FB9" w:rsidR="00166F02" w:rsidRDefault="00166F02" w:rsidP="00166F02">
      <w:pPr>
        <w:pStyle w:val="whitespace-normal"/>
      </w:pPr>
      <w:r>
        <w:rPr>
          <w:rStyle w:val="Fett"/>
          <w:rFonts w:eastAsiaTheme="majorEastAsia"/>
        </w:rPr>
        <w:t>Kommentar:</w:t>
      </w:r>
      <w:r>
        <w:t xml:space="preserve"> </w:t>
      </w:r>
      <w:r>
        <w:rPr>
          <w:rStyle w:val="Fett"/>
          <w:rFonts w:eastAsiaTheme="majorEastAsia"/>
          <w:rtl/>
        </w:rPr>
        <w:t>לֹא־יִהְיֶה לְךָ בְּבֵיתְךָ אֵיפָה וְאֵיפָה גְּדוֹלָה וּקְטַנָּה</w:t>
      </w:r>
      <w:r>
        <w:rPr>
          <w:rtl/>
        </w:rPr>
        <w:t xml:space="preserve"> </w:t>
      </w:r>
      <w:r>
        <w:t xml:space="preserve">ist ein paralleles Verbot: </w:t>
      </w:r>
      <w:r>
        <w:rPr>
          <w:rStyle w:val="Fett"/>
          <w:rFonts w:eastAsiaTheme="majorEastAsia"/>
          <w:rtl/>
        </w:rPr>
        <w:t>לֹא־יִהְיֶה לְךָ בְּבֵיתְךָ אֵיפָה וְאֵיפָה</w:t>
      </w:r>
      <w:r>
        <w:rPr>
          <w:rtl/>
        </w:rPr>
        <w:t xml:space="preserve"> </w:t>
      </w:r>
      <w:r>
        <w:t xml:space="preserve">(Negation mit </w:t>
      </w:r>
      <w:r>
        <w:rPr>
          <w:rStyle w:val="Fett"/>
          <w:rFonts w:eastAsiaTheme="majorEastAsia"/>
          <w:rtl/>
        </w:rPr>
        <w:t>היה</w:t>
      </w:r>
      <w:r>
        <w:t xml:space="preserve">, </w:t>
      </w:r>
      <w:r>
        <w:rPr>
          <w:rStyle w:val="Fett"/>
          <w:rFonts w:eastAsiaTheme="majorEastAsia"/>
          <w:rtl/>
        </w:rPr>
        <w:t>לְךָ</w:t>
      </w:r>
      <w:r>
        <w:t xml:space="preserve">, </w:t>
      </w:r>
      <w:r>
        <w:rPr>
          <w:rStyle w:val="Fett"/>
          <w:rFonts w:eastAsiaTheme="majorEastAsia"/>
          <w:rtl/>
        </w:rPr>
        <w:t>בְּבֵיתְךָ</w:t>
      </w:r>
      <w:r>
        <w:t xml:space="preserve">, Präposition </w:t>
      </w:r>
      <w:r>
        <w:rPr>
          <w:rStyle w:val="Fett"/>
          <w:rFonts w:eastAsiaTheme="majorEastAsia"/>
          <w:rtl/>
        </w:rPr>
        <w:t>בְּ</w:t>
      </w:r>
      <w:r>
        <w:rPr>
          <w:rtl/>
        </w:rPr>
        <w:t xml:space="preserve"> </w:t>
      </w:r>
      <w:r>
        <w:t xml:space="preserve">mit </w:t>
      </w:r>
      <w:r>
        <w:rPr>
          <w:rStyle w:val="Fett"/>
          <w:rFonts w:eastAsiaTheme="majorEastAsia"/>
          <w:rtl/>
        </w:rPr>
        <w:t>בַּיִת</w:t>
      </w:r>
      <w:r>
        <w:rPr>
          <w:rtl/>
        </w:rPr>
        <w:t xml:space="preserve"> </w:t>
      </w:r>
      <w:r>
        <w:t xml:space="preserve">mit Suffix 2. Person Maskulinum Singular, </w:t>
      </w:r>
      <w:r>
        <w:rPr>
          <w:rStyle w:val="Fett"/>
          <w:rFonts w:eastAsiaTheme="majorEastAsia"/>
          <w:rtl/>
        </w:rPr>
        <w:t>אֵיפָה וְאֵיפָה</w:t>
      </w:r>
      <w:r>
        <w:t>, „</w:t>
      </w:r>
      <w:r w:rsidR="00743283">
        <w:t>Epha</w:t>
      </w:r>
      <w:r>
        <w:t xml:space="preserve"> und </w:t>
      </w:r>
      <w:r w:rsidR="00743283">
        <w:t>Epha</w:t>
      </w:r>
      <w:r>
        <w:t xml:space="preserve">"), </w:t>
      </w:r>
      <w:r>
        <w:rPr>
          <w:rStyle w:val="Fett"/>
          <w:rFonts w:eastAsiaTheme="majorEastAsia"/>
          <w:rtl/>
        </w:rPr>
        <w:t>גְּדוֹלָה וּקְטַנָּה</w:t>
      </w:r>
      <w:r>
        <w:rPr>
          <w:rtl/>
        </w:rPr>
        <w:t xml:space="preserve"> </w:t>
      </w:r>
      <w:r>
        <w:t>(wie V. 13).</w:t>
      </w:r>
    </w:p>
    <w:p w14:paraId="381A77B6" w14:textId="562DB2CF" w:rsidR="00166F02" w:rsidRDefault="00166F02" w:rsidP="00166F02">
      <w:pPr>
        <w:pStyle w:val="whitespace-normal"/>
      </w:pPr>
      <w:r>
        <w:t xml:space="preserve">Der Vers gibt ein paralleles Verbot für Hohlmaße. Das Verbot: </w:t>
      </w:r>
      <w:r>
        <w:rPr>
          <w:rStyle w:val="Fett"/>
          <w:rFonts w:eastAsiaTheme="majorEastAsia"/>
          <w:rtl/>
        </w:rPr>
        <w:t>לֹא־יִהְיֶה לְךָ בְּבֵיתְךָ אֵיפָה וְאֵיפָה גְּדוֹלָה וּקְטַנָּה</w:t>
      </w:r>
      <w:r>
        <w:rPr>
          <w:rtl/>
        </w:rPr>
        <w:t xml:space="preserve"> </w:t>
      </w:r>
      <w:r>
        <w:t xml:space="preserve">(„nicht sein soll bei dir in deinem Haus </w:t>
      </w:r>
      <w:r w:rsidR="00743283">
        <w:t>Epha</w:t>
      </w:r>
      <w:r>
        <w:t xml:space="preserve"> und </w:t>
      </w:r>
      <w:r w:rsidR="00743283">
        <w:t>Epha</w:t>
      </w:r>
      <w:r>
        <w:t xml:space="preserve">, ein großes und ein kleines"). Das Wort </w:t>
      </w:r>
      <w:r>
        <w:rPr>
          <w:rStyle w:val="Fett"/>
          <w:rFonts w:eastAsiaTheme="majorEastAsia"/>
          <w:rtl/>
        </w:rPr>
        <w:t>בַּיִת</w:t>
      </w:r>
      <w:r>
        <w:rPr>
          <w:rtl/>
        </w:rPr>
        <w:t xml:space="preserve"> </w:t>
      </w:r>
      <w:r>
        <w:t xml:space="preserve">(„Haus") ist der Aufbewahrungsort für Messgeräte (im Gegensatz zu </w:t>
      </w:r>
      <w:r>
        <w:rPr>
          <w:rStyle w:val="Fett"/>
          <w:rFonts w:eastAsiaTheme="majorEastAsia"/>
          <w:rtl/>
        </w:rPr>
        <w:t>כִּיס</w:t>
      </w:r>
      <w:r>
        <w:t xml:space="preserve">, „Beutel", in V. 13). Das Wort </w:t>
      </w:r>
      <w:r>
        <w:rPr>
          <w:rStyle w:val="Fett"/>
          <w:rFonts w:eastAsiaTheme="majorEastAsia"/>
          <w:rtl/>
        </w:rPr>
        <w:t>אֵיפָה</w:t>
      </w:r>
      <w:r>
        <w:rPr>
          <w:rtl/>
        </w:rPr>
        <w:t xml:space="preserve"> </w:t>
      </w:r>
      <w:r>
        <w:t xml:space="preserve">ist ein Hohlmaß für trockene Güter (Getreide, etc.), entsprechend etwa 22-23 Liter. Die Formulierung </w:t>
      </w:r>
      <w:r>
        <w:rPr>
          <w:rStyle w:val="Fett"/>
          <w:rFonts w:eastAsiaTheme="majorEastAsia"/>
          <w:rtl/>
        </w:rPr>
        <w:t>אֵיפָה וְאֵיפָה גְּדוֹלָה וּקְטַנָּה</w:t>
      </w:r>
      <w:r>
        <w:rPr>
          <w:rtl/>
        </w:rPr>
        <w:t xml:space="preserve"> </w:t>
      </w:r>
      <w:r>
        <w:t xml:space="preserve">ist parallel zu V. 13 – zwei unterschiedliche Maße, ein größeres und ein kleineres, für Betrug. Vgl. Lev 19,35-36: „Ihr sollt nicht Unrecht tun im Gericht, im Längenmaß, im Gewicht und im Hohlmaß. Gerechte Waagen, gerechte Gewichtssteine, ein gerechtes </w:t>
      </w:r>
      <w:r w:rsidR="00743283">
        <w:t>Epha</w:t>
      </w:r>
      <w:r>
        <w:t xml:space="preserve"> und ein gerechter Hin sollen bei euch sein." V. 15 wird die positive Alternative nennen.</w:t>
      </w:r>
    </w:p>
    <w:p w14:paraId="2AF951D3" w14:textId="76AB911B" w:rsidR="00A600C6" w:rsidRDefault="00A600C6" w:rsidP="00166F02">
      <w:pPr>
        <w:pStyle w:val="whitespace-normal"/>
      </w:pPr>
      <w:r>
        <w:rPr>
          <w:rStyle w:val="Fett"/>
        </w:rPr>
        <w:t>Die LXX</w:t>
      </w:r>
      <w:r>
        <w:t xml:space="preserve"> übersetzt </w:t>
      </w:r>
      <w:r>
        <w:rPr>
          <w:rtl/>
        </w:rPr>
        <w:t>אֵיפָה וְאֵיפָה</w:t>
      </w:r>
      <w:r>
        <w:t xml:space="preserve"> (</w:t>
      </w:r>
      <w:r w:rsidR="00743283">
        <w:t>Epha</w:t>
      </w:r>
      <w:r>
        <w:t xml:space="preserve"> und </w:t>
      </w:r>
      <w:r w:rsidR="00743283">
        <w:t>Epha</w:t>
      </w:r>
      <w:r>
        <w:t xml:space="preserve"> = zweierlei Maße) mit </w:t>
      </w:r>
      <w:proofErr w:type="spellStart"/>
      <w:r>
        <w:t>μέτρον</w:t>
      </w:r>
      <w:proofErr w:type="spellEnd"/>
      <w:r>
        <w:t xml:space="preserve"> καὶ </w:t>
      </w:r>
      <w:proofErr w:type="spellStart"/>
      <w:r>
        <w:t>μέτρον</w:t>
      </w:r>
      <w:proofErr w:type="spellEnd"/>
      <w:r>
        <w:t xml:space="preserve"> (Maß und Maß) – wobei die LXX den technischen hebräischen Begriff durch einen allgemeineren griechischen ersetzt.</w:t>
      </w:r>
    </w:p>
    <w:p w14:paraId="6A6F4EAA" w14:textId="65CD3339" w:rsidR="00166F02" w:rsidRDefault="00166F02" w:rsidP="00166F02">
      <w:pPr>
        <w:pStyle w:val="whitespace-normal"/>
      </w:pPr>
      <w:r>
        <w:rPr>
          <w:rStyle w:val="Fett"/>
          <w:rFonts w:eastAsiaTheme="majorEastAsia"/>
        </w:rPr>
        <w:t>Die Satzstruktur:</w:t>
      </w:r>
      <w:r>
        <w:t xml:space="preserve"> Paralleles Verbot (nicht sein soll bei dir in deinem Haus </w:t>
      </w:r>
      <w:r w:rsidR="00743283">
        <w:t>Epha</w:t>
      </w:r>
      <w:r>
        <w:t xml:space="preserve"> und </w:t>
      </w:r>
      <w:r w:rsidR="00743283">
        <w:t>Epha</w:t>
      </w:r>
      <w:r>
        <w:t>, ein großes und ein kleines).</w:t>
      </w:r>
    </w:p>
    <w:p w14:paraId="1E19022C" w14:textId="7BE93427" w:rsidR="00166F02" w:rsidRDefault="00166F02" w:rsidP="00705F3D">
      <w:pPr>
        <w:pStyle w:val="whitespace-normal"/>
      </w:pPr>
      <w:r>
        <w:rPr>
          <w:rStyle w:val="Fett"/>
          <w:rFonts w:eastAsiaTheme="majorEastAsia"/>
        </w:rPr>
        <w:t>Der Vers beschreibt:</w:t>
      </w:r>
      <w:r>
        <w:t xml:space="preserve"> Verbot ungleicher Hohlmaße – man darf nicht verschiedene Maße für Kaufen und Verkaufen verwenden.</w:t>
      </w:r>
    </w:p>
    <w:p w14:paraId="40750922" w14:textId="77777777" w:rsidR="00166F02" w:rsidRPr="00713867" w:rsidRDefault="00166F02" w:rsidP="00B53ACC">
      <w:pPr>
        <w:pStyle w:val="Bibelberschrift"/>
      </w:pPr>
      <w:r w:rsidRPr="00713867">
        <w:rPr>
          <w:rStyle w:val="Fett"/>
          <w:b/>
          <w:bCs w:val="0"/>
        </w:rPr>
        <w:t>Deuteronomium 25,15</w:t>
      </w:r>
    </w:p>
    <w:p w14:paraId="64EC2B33" w14:textId="77777777" w:rsidR="00166F02" w:rsidRDefault="00166F02" w:rsidP="00166F02">
      <w:pPr>
        <w:pStyle w:val="whitespace-normal"/>
      </w:pPr>
      <w:r>
        <w:rPr>
          <w:rStyle w:val="Fett"/>
          <w:rFonts w:eastAsiaTheme="majorEastAsia"/>
        </w:rPr>
        <w:t>Hebräisch:</w:t>
      </w:r>
      <w:r>
        <w:t xml:space="preserve"> </w:t>
      </w:r>
      <w:r>
        <w:rPr>
          <w:rtl/>
        </w:rPr>
        <w:t>אֶ֣בֶן שְׁלֵמָ֤ה וָצֶ֨דֶק֙ יִֽהְיֶה־לָּ֔ךְ אֵיפָ֧ה שְׁלֵמָ֛ה וָצֶ֖דֶק יִֽהְיֶה־לָּ֑ךְ לְמַ֨עַן֙ יַאֲרִ֣יכוּ יָמֶ֔יךָ עַ֚ל הָֽאֲדָמָ֔ה אֲשֶׁר־יְהוָ֥ה אֱלֹהֶ֖יךָ נֹתֵ֥ן לָֽךְ׃</w:t>
      </w:r>
    </w:p>
    <w:p w14:paraId="5342392A" w14:textId="195AC1D6" w:rsidR="00166F02" w:rsidRDefault="00166F02" w:rsidP="00166F02">
      <w:pPr>
        <w:pStyle w:val="whitespace-normal"/>
      </w:pPr>
      <w:r>
        <w:rPr>
          <w:rStyle w:val="Fett"/>
          <w:rFonts w:eastAsiaTheme="majorEastAsia"/>
        </w:rPr>
        <w:t>Deutsch:</w:t>
      </w:r>
      <w:r>
        <w:t xml:space="preserve"> Ein Gewichtsstein, vollständig und gerecht, soll bei dir sein; ein </w:t>
      </w:r>
      <w:r w:rsidR="00743283">
        <w:t>Epha</w:t>
      </w:r>
      <w:r>
        <w:t>, vollständig und gerecht, soll bei dir sein, damit deine Tage verlängert werden auf dem Land, das JHWH, dein Gott, dir gibt.</w:t>
      </w:r>
    </w:p>
    <w:p w14:paraId="2E97E0D7" w14:textId="77777777" w:rsidR="00166F02" w:rsidRDefault="004F5CEB" w:rsidP="00166F02">
      <w:r>
        <w:rPr>
          <w:noProof/>
        </w:rPr>
        <w:pict w14:anchorId="0F15416A">
          <v:rect id="_x0000_i1688" style="width:0;height:1.5pt" o:hralign="center" o:hrstd="t" o:hr="t" fillcolor="#a0a0a0" stroked="f"/>
        </w:pict>
      </w:r>
    </w:p>
    <w:p w14:paraId="1399771E"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אֶבֶן שְׁלֵמָה וָצֶדֶק יִהְיֶה־לָּךְ אֵיפָה שְׁלֵמָה וָצֶדֶק יִהְיֶה־לָּךְ לְמַעַן יַאֲרִיכוּ יָמֶיךָ עַל הָאֲדָמָה אֲשֶׁר־יְהוָה אֱלֹהֶיךָ נֹתֵן לָךְ</w:t>
      </w:r>
      <w:r>
        <w:rPr>
          <w:rtl/>
        </w:rPr>
        <w:t xml:space="preserve"> </w:t>
      </w:r>
      <w:r>
        <w:t xml:space="preserve">sind zwei Anweisungen mit Begründung: </w:t>
      </w:r>
      <w:r>
        <w:rPr>
          <w:rStyle w:val="Fett"/>
          <w:rFonts w:eastAsiaTheme="majorEastAsia"/>
          <w:rtl/>
        </w:rPr>
        <w:t>אֶבֶן שְׁלֵמָה וָצֶדֶק יִהְיֶה־לָּךְ</w:t>
      </w:r>
      <w:r>
        <w:rPr>
          <w:rtl/>
        </w:rPr>
        <w:t xml:space="preserve"> </w:t>
      </w:r>
      <w:r>
        <w:t>(</w:t>
      </w:r>
      <w:r>
        <w:rPr>
          <w:rStyle w:val="Fett"/>
          <w:rFonts w:eastAsiaTheme="majorEastAsia"/>
          <w:rtl/>
        </w:rPr>
        <w:t>אֶבֶן</w:t>
      </w:r>
      <w:r>
        <w:t xml:space="preserve">, </w:t>
      </w:r>
      <w:r>
        <w:rPr>
          <w:rStyle w:val="Fett"/>
          <w:rFonts w:eastAsiaTheme="majorEastAsia"/>
          <w:rtl/>
        </w:rPr>
        <w:t>שָׁלֵם</w:t>
      </w:r>
      <w:r>
        <w:t xml:space="preserve">, „vollständig, ganz, richtig", Femininum, koordiniert durch </w:t>
      </w:r>
      <w:r>
        <w:rPr>
          <w:rStyle w:val="Fett"/>
          <w:rFonts w:eastAsiaTheme="majorEastAsia"/>
          <w:rtl/>
        </w:rPr>
        <w:t>וָ</w:t>
      </w:r>
      <w:r>
        <w:rPr>
          <w:rtl/>
        </w:rPr>
        <w:t xml:space="preserve"> </w:t>
      </w:r>
      <w:r>
        <w:t xml:space="preserve">(mit Dageschforte) mit </w:t>
      </w:r>
      <w:r>
        <w:rPr>
          <w:rStyle w:val="Fett"/>
          <w:rFonts w:eastAsiaTheme="majorEastAsia"/>
          <w:rtl/>
        </w:rPr>
        <w:t>צֶדֶק</w:t>
      </w:r>
      <w:r>
        <w:t xml:space="preserve">, </w:t>
      </w:r>
      <w:r>
        <w:lastRenderedPageBreak/>
        <w:t xml:space="preserve">„Gerechtigkeit, Richtigkeit" – beide modifizieren </w:t>
      </w:r>
      <w:r>
        <w:rPr>
          <w:rStyle w:val="Fett"/>
          <w:rFonts w:eastAsiaTheme="majorEastAsia"/>
          <w:rtl/>
        </w:rPr>
        <w:t>אֶבֶן</w:t>
      </w:r>
      <w:r>
        <w:t xml:space="preserve">, </w:t>
      </w:r>
      <w:r>
        <w:rPr>
          <w:rStyle w:val="Fett"/>
          <w:rFonts w:eastAsiaTheme="majorEastAsia"/>
          <w:rtl/>
        </w:rPr>
        <w:t>היה</w:t>
      </w:r>
      <w:r>
        <w:t xml:space="preserve">, Qal Imperfekt, 3. Person Maskulinum Singular, </w:t>
      </w:r>
      <w:r>
        <w:rPr>
          <w:rStyle w:val="Fett"/>
          <w:rFonts w:eastAsiaTheme="majorEastAsia"/>
          <w:rtl/>
        </w:rPr>
        <w:t>לְךָ</w:t>
      </w:r>
      <w:r>
        <w:t xml:space="preserve">), </w:t>
      </w:r>
      <w:r>
        <w:rPr>
          <w:rStyle w:val="Fett"/>
          <w:rFonts w:eastAsiaTheme="majorEastAsia"/>
          <w:rtl/>
        </w:rPr>
        <w:t>אֵיפָה שְׁלֵמָה וָצֶדֶק יִהְיֶה־לָּךְ</w:t>
      </w:r>
      <w:r>
        <w:rPr>
          <w:rtl/>
        </w:rPr>
        <w:t xml:space="preserve"> </w:t>
      </w:r>
      <w:r>
        <w:t xml:space="preserve">(parallel zur ersten Anweisung), </w:t>
      </w:r>
      <w:r>
        <w:rPr>
          <w:rStyle w:val="Fett"/>
          <w:rFonts w:eastAsiaTheme="majorEastAsia"/>
          <w:rtl/>
        </w:rPr>
        <w:t>לְמַעַן יַאֲרִיכוּ יָמֶיךָ עַל הָאֲדָמָה אֲשֶׁר־יְהוָה אֱלֹהֶיךָ נֹתֵן לָךְ</w:t>
      </w:r>
      <w:r>
        <w:rPr>
          <w:rtl/>
        </w:rPr>
        <w:t xml:space="preserve"> </w:t>
      </w:r>
      <w:r>
        <w:t xml:space="preserve">(Finalsatz: </w:t>
      </w:r>
      <w:r>
        <w:rPr>
          <w:rStyle w:val="Fett"/>
          <w:rFonts w:eastAsiaTheme="majorEastAsia"/>
          <w:rtl/>
        </w:rPr>
        <w:t>לְמַעַן</w:t>
      </w:r>
      <w:r>
        <w:rPr>
          <w:rtl/>
        </w:rPr>
        <w:t xml:space="preserve"> </w:t>
      </w:r>
      <w:r>
        <w:t xml:space="preserve">mit </w:t>
      </w:r>
      <w:r>
        <w:rPr>
          <w:rStyle w:val="Fett"/>
          <w:rFonts w:eastAsiaTheme="majorEastAsia"/>
          <w:rtl/>
        </w:rPr>
        <w:t>ארך</w:t>
      </w:r>
      <w:r>
        <w:t xml:space="preserve">, Hiphil Imperfekt, 3. Person Plural, „verlängern, lange machen" (intransitiv im Hiphil), </w:t>
      </w:r>
      <w:r>
        <w:rPr>
          <w:rStyle w:val="Fett"/>
          <w:rFonts w:eastAsiaTheme="majorEastAsia"/>
          <w:rtl/>
        </w:rPr>
        <w:t>יוֹם</w:t>
      </w:r>
      <w:r>
        <w:rPr>
          <w:rtl/>
        </w:rPr>
        <w:t xml:space="preserve"> </w:t>
      </w:r>
      <w:r>
        <w:t xml:space="preserve">Plural mit Suffix 2. Person Maskulinum Singular als Subjekt, Präposition </w:t>
      </w:r>
      <w:r>
        <w:rPr>
          <w:rStyle w:val="Fett"/>
          <w:rFonts w:eastAsiaTheme="majorEastAsia"/>
          <w:rtl/>
        </w:rPr>
        <w:t>עַל</w:t>
      </w:r>
      <w:r>
        <w:rPr>
          <w:rtl/>
        </w:rPr>
        <w:t xml:space="preserve"> </w:t>
      </w:r>
      <w:r>
        <w:t xml:space="preserve">mit </w:t>
      </w:r>
      <w:r>
        <w:rPr>
          <w:rStyle w:val="Fett"/>
          <w:rFonts w:eastAsiaTheme="majorEastAsia"/>
          <w:rtl/>
        </w:rPr>
        <w:t>אֲדָמָה</w:t>
      </w:r>
      <w:r>
        <w:rPr>
          <w:rtl/>
        </w:rPr>
        <w:t xml:space="preserve"> </w:t>
      </w:r>
      <w:r>
        <w:t>mit Artikel, Relativsatz wie üblich).</w:t>
      </w:r>
    </w:p>
    <w:p w14:paraId="017B79AB" w14:textId="06F0B48C" w:rsidR="00166F02" w:rsidRDefault="00166F02" w:rsidP="00166F02">
      <w:pPr>
        <w:pStyle w:val="whitespace-normal"/>
      </w:pPr>
      <w:r>
        <w:t xml:space="preserve">Der Vers gibt die positive Alternative zu V. 13-14. Die erste Anweisung: </w:t>
      </w:r>
      <w:r>
        <w:rPr>
          <w:rStyle w:val="Fett"/>
          <w:rFonts w:eastAsiaTheme="majorEastAsia"/>
          <w:rtl/>
        </w:rPr>
        <w:t>אֶבֶן שְׁלֵמָה וָצֶדֶק יִהְיֶה־לָּךְ</w:t>
      </w:r>
      <w:r>
        <w:rPr>
          <w:rtl/>
        </w:rPr>
        <w:t xml:space="preserve"> </w:t>
      </w:r>
      <w:r>
        <w:t xml:space="preserve">(„ein Gewichtsstein, vollständig und gerecht, sein soll bei dir"). Das Adjektiv </w:t>
      </w:r>
      <w:r>
        <w:rPr>
          <w:rStyle w:val="Fett"/>
          <w:rFonts w:eastAsiaTheme="majorEastAsia"/>
          <w:rtl/>
        </w:rPr>
        <w:t>שָׁלֵם</w:t>
      </w:r>
      <w:r>
        <w:rPr>
          <w:rtl/>
        </w:rPr>
        <w:t xml:space="preserve"> </w:t>
      </w:r>
      <w:r>
        <w:t xml:space="preserve">(„vollständig, ganz, richtig") betont: genau, ohne Manipulation. Das Wort </w:t>
      </w:r>
      <w:r>
        <w:rPr>
          <w:rStyle w:val="Fett"/>
          <w:rFonts w:eastAsiaTheme="majorEastAsia"/>
          <w:rtl/>
        </w:rPr>
        <w:t>צֶדֶק</w:t>
      </w:r>
      <w:r>
        <w:rPr>
          <w:rtl/>
        </w:rPr>
        <w:t xml:space="preserve"> </w:t>
      </w:r>
      <w:r>
        <w:t xml:space="preserve">(„Gerechtigkeit, Richtigkeit") betont: fair, ehrlich. Die zweite Anweisung (parallel): </w:t>
      </w:r>
      <w:r>
        <w:rPr>
          <w:rStyle w:val="Fett"/>
          <w:rFonts w:eastAsiaTheme="majorEastAsia"/>
          <w:rtl/>
        </w:rPr>
        <w:t>אֵיפָה שְׁלֵמָה וָצֶדֶק יִהְיֶה־לָּךְ</w:t>
      </w:r>
      <w:r>
        <w:rPr>
          <w:rtl/>
        </w:rPr>
        <w:t xml:space="preserve"> </w:t>
      </w:r>
      <w:r>
        <w:t xml:space="preserve">(„ein </w:t>
      </w:r>
      <w:r w:rsidR="00743283">
        <w:t>Epha</w:t>
      </w:r>
      <w:r>
        <w:t xml:space="preserve">, vollständig und gerecht, sein soll bei dir"). Dieselbe doppelte Qualifikation für das Hohlmaß. Die Begründung: </w:t>
      </w:r>
      <w:r>
        <w:rPr>
          <w:rStyle w:val="Fett"/>
          <w:rFonts w:eastAsiaTheme="majorEastAsia"/>
          <w:rtl/>
        </w:rPr>
        <w:t>לְמַעַן יַאֲרִיכוּ יָמֶיךָ עַל הָאֲדָמָה אֲשֶׁר־יְהוָה אֱלֹהֶיךָ נֹתֵן לָךְ</w:t>
      </w:r>
      <w:r>
        <w:rPr>
          <w:rtl/>
        </w:rPr>
        <w:t xml:space="preserve"> </w:t>
      </w:r>
      <w:r>
        <w:t>(„damit verlängert werden deine Tage auf dem Land, das JHWH, dein Gott, dir gibt"). Die Verheißung langen Lebens als Motivation für ehrlichen Handel (vgl. 5,16.33; 6,2; 11,9; 22,7; 30,18; 32,47). Die Logik: Ehrlichkeit im wirtschaftlichen Leben trägt zur Stabilität und zum Segen der Gesellschaft bei. V. 16 wird die Begründung verstärken.</w:t>
      </w:r>
    </w:p>
    <w:p w14:paraId="30D8A1DE" w14:textId="26DA98D2" w:rsidR="00A600C6" w:rsidRDefault="00A600C6" w:rsidP="00166F02">
      <w:pPr>
        <w:pStyle w:val="whitespace-normal"/>
      </w:pPr>
      <w:r>
        <w:rPr>
          <w:rStyle w:val="Fett"/>
        </w:rPr>
        <w:t>Die LXX</w:t>
      </w:r>
      <w:r>
        <w:t xml:space="preserve"> übersetzt </w:t>
      </w:r>
      <w:r>
        <w:rPr>
          <w:rtl/>
        </w:rPr>
        <w:t>אֶבֶן שְׁלֵמָה וָצֶדֶק</w:t>
      </w:r>
      <w:r>
        <w:t xml:space="preserve"> (ein vollständiges und gerechtes Gewicht) mit </w:t>
      </w:r>
      <w:proofErr w:type="spellStart"/>
      <w:r>
        <w:t>στάθμιον</w:t>
      </w:r>
      <w:proofErr w:type="spellEnd"/>
      <w:r>
        <w:t xml:space="preserve"> </w:t>
      </w:r>
      <w:proofErr w:type="spellStart"/>
      <w:r>
        <w:t>ἀληθινὸν</w:t>
      </w:r>
      <w:proofErr w:type="spellEnd"/>
      <w:r>
        <w:t xml:space="preserve"> καὶ </w:t>
      </w:r>
      <w:proofErr w:type="spellStart"/>
      <w:r>
        <w:t>δίκ</w:t>
      </w:r>
      <w:proofErr w:type="spellEnd"/>
      <w:r>
        <w:t xml:space="preserve">αιον (ein wahres und gerechtes Gewicht) – wobei </w:t>
      </w:r>
      <w:proofErr w:type="spellStart"/>
      <w:r>
        <w:t>ἀληθινόν</w:t>
      </w:r>
      <w:proofErr w:type="spellEnd"/>
      <w:r>
        <w:t xml:space="preserve"> "wahr, authentisch" eine andere Nuance als "vollständig" hat.</w:t>
      </w:r>
    </w:p>
    <w:p w14:paraId="78F73856" w14:textId="68986F98" w:rsidR="00166F02" w:rsidRDefault="00166F02" w:rsidP="00166F02">
      <w:pPr>
        <w:pStyle w:val="whitespace-normal"/>
      </w:pPr>
      <w:r>
        <w:rPr>
          <w:rStyle w:val="Fett"/>
          <w:rFonts w:eastAsiaTheme="majorEastAsia"/>
        </w:rPr>
        <w:t>Die Satzstruktur:</w:t>
      </w:r>
      <w:r>
        <w:t xml:space="preserve"> Zwei parallele Anweisungen mit Begründung (ein Gewichtsstein, vollständig und gerecht, sein soll bei dir; ein </w:t>
      </w:r>
      <w:r w:rsidR="00743283">
        <w:t>Epha</w:t>
      </w:r>
      <w:r>
        <w:t>, vollständig und gerecht, sein soll bei dir, damit verlängert werden deine Tage auf dem Land, das JHWH, dein Gott, dir gibt).</w:t>
      </w:r>
    </w:p>
    <w:p w14:paraId="3F392352" w14:textId="77777777" w:rsidR="00166F02" w:rsidRDefault="00166F02" w:rsidP="00166F02">
      <w:pPr>
        <w:pStyle w:val="whitespace-normal"/>
      </w:pPr>
      <w:r>
        <w:rPr>
          <w:rStyle w:val="Fett"/>
          <w:rFonts w:eastAsiaTheme="majorEastAsia"/>
        </w:rPr>
        <w:t>Der Vers beschreibt:</w:t>
      </w:r>
      <w:r>
        <w:t xml:space="preserve"> Gebot ehrlicher Gewichte und Maße – vollständig und gerecht; dies führt zu langem Leben im Land.</w:t>
      </w:r>
    </w:p>
    <w:p w14:paraId="7C95C49E" w14:textId="77777777" w:rsidR="00166F02" w:rsidRPr="00713867" w:rsidRDefault="00166F02" w:rsidP="00B53ACC">
      <w:pPr>
        <w:pStyle w:val="Bibelberschrift"/>
      </w:pPr>
      <w:r w:rsidRPr="00713867">
        <w:rPr>
          <w:rStyle w:val="Fett"/>
          <w:b/>
          <w:bCs w:val="0"/>
        </w:rPr>
        <w:t>Deuteronomium 25,16</w:t>
      </w:r>
    </w:p>
    <w:p w14:paraId="18A4CCC6" w14:textId="77777777" w:rsidR="00166F02" w:rsidRDefault="00166F02" w:rsidP="00166F02">
      <w:pPr>
        <w:pStyle w:val="whitespace-normal"/>
      </w:pPr>
      <w:r>
        <w:rPr>
          <w:rStyle w:val="Fett"/>
          <w:rFonts w:eastAsiaTheme="majorEastAsia"/>
        </w:rPr>
        <w:t>Hebräisch:</w:t>
      </w:r>
      <w:r>
        <w:t xml:space="preserve"> </w:t>
      </w:r>
      <w:r>
        <w:rPr>
          <w:rtl/>
        </w:rPr>
        <w:t>כִּ֧י תֽוֹעֲבַ֛ת יְהוָ֥ה אֱלֹהֶ֖יךָ כָּל־עֹ֣שֵׂה אֵ֑לֶּה כֹּ֖ל עֹ֥שֵׂה עָֽוֶל׃</w:t>
      </w:r>
    </w:p>
    <w:p w14:paraId="055086A6" w14:textId="77777777" w:rsidR="00166F02" w:rsidRDefault="00166F02" w:rsidP="00166F02">
      <w:pPr>
        <w:pStyle w:val="whitespace-normal"/>
      </w:pPr>
      <w:r>
        <w:rPr>
          <w:rStyle w:val="Fett"/>
          <w:rFonts w:eastAsiaTheme="majorEastAsia"/>
        </w:rPr>
        <w:t>Deutsch:</w:t>
      </w:r>
      <w:r>
        <w:t xml:space="preserve"> Denn ein Gräuel für JHWH, deinen Gott, ist jeder, der dies tut, jeder, der Unrecht tut.</w:t>
      </w:r>
    </w:p>
    <w:p w14:paraId="7D4A430D" w14:textId="77777777" w:rsidR="00166F02" w:rsidRDefault="004F5CEB" w:rsidP="00166F02">
      <w:r>
        <w:rPr>
          <w:noProof/>
        </w:rPr>
        <w:pict w14:anchorId="01F755C2">
          <v:rect id="_x0000_i1689" style="width:0;height:1.5pt" o:hralign="center" o:hrstd="t" o:hr="t" fillcolor="#a0a0a0" stroked="f"/>
        </w:pict>
      </w:r>
    </w:p>
    <w:p w14:paraId="24FB4522"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כִּי תוֹעֲבַת יְהוָה אֱלֹהֶיךָ כָּל־עֹשֵׂה אֵלֶּה כֹּל עֹשֵׂה עָוֶל</w:t>
      </w:r>
      <w:r>
        <w:rPr>
          <w:rtl/>
        </w:rPr>
        <w:t xml:space="preserve"> </w:t>
      </w:r>
      <w:r>
        <w:t xml:space="preserve">ist die Begründung: </w:t>
      </w:r>
      <w:r>
        <w:rPr>
          <w:rStyle w:val="Fett"/>
          <w:rFonts w:eastAsiaTheme="majorEastAsia"/>
          <w:rtl/>
        </w:rPr>
        <w:t>כִּי תוֹעֲבַת יְהוָה אֱלֹהֶיךָ כָּל־עֹשֵׂה אֵלֶּה</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תּוֹעֵבָה</w:t>
      </w:r>
      <w:r>
        <w:t xml:space="preserve">, „Gräuel, Abscheu", Construct mit </w:t>
      </w:r>
      <w:r>
        <w:rPr>
          <w:rStyle w:val="Fett"/>
          <w:rFonts w:eastAsiaTheme="majorEastAsia"/>
          <w:rtl/>
        </w:rPr>
        <w:t>יְהוָה אֱלֹהֶיךָ</w:t>
      </w:r>
      <w:r>
        <w:t xml:space="preserve">, </w:t>
      </w:r>
      <w:r>
        <w:rPr>
          <w:rStyle w:val="Fett"/>
          <w:rFonts w:eastAsiaTheme="majorEastAsia"/>
          <w:rtl/>
        </w:rPr>
        <w:t>כֹּל</w:t>
      </w:r>
      <w:r>
        <w:t xml:space="preserve">, „jeder, alles", Construct mit </w:t>
      </w:r>
      <w:r>
        <w:rPr>
          <w:rStyle w:val="Fett"/>
          <w:rFonts w:eastAsiaTheme="majorEastAsia"/>
          <w:rtl/>
        </w:rPr>
        <w:t>עשׂה</w:t>
      </w:r>
      <w:r>
        <w:t xml:space="preserve">, Qal Partizip, „tun, machen", </w:t>
      </w:r>
      <w:r>
        <w:rPr>
          <w:rStyle w:val="Fett"/>
          <w:rFonts w:eastAsiaTheme="majorEastAsia"/>
          <w:rtl/>
        </w:rPr>
        <w:t>אֵלֶּה</w:t>
      </w:r>
      <w:r>
        <w:t xml:space="preserve">, „diese [Dinge]"), </w:t>
      </w:r>
      <w:r>
        <w:rPr>
          <w:rStyle w:val="Fett"/>
          <w:rFonts w:eastAsiaTheme="majorEastAsia"/>
          <w:rtl/>
        </w:rPr>
        <w:t>כֹּל עֹשֵׂה עָוֶל</w:t>
      </w:r>
      <w:r>
        <w:rPr>
          <w:rtl/>
        </w:rPr>
        <w:t xml:space="preserve"> </w:t>
      </w:r>
      <w:r>
        <w:t>(</w:t>
      </w:r>
      <w:r>
        <w:rPr>
          <w:rStyle w:val="Fett"/>
          <w:rFonts w:eastAsiaTheme="majorEastAsia"/>
          <w:rtl/>
        </w:rPr>
        <w:t>כֹּל</w:t>
      </w:r>
      <w:r>
        <w:rPr>
          <w:rtl/>
        </w:rPr>
        <w:t xml:space="preserve"> </w:t>
      </w:r>
      <w:r>
        <w:t xml:space="preserve">Construct mit </w:t>
      </w:r>
      <w:r>
        <w:rPr>
          <w:rStyle w:val="Fett"/>
          <w:rFonts w:eastAsiaTheme="majorEastAsia"/>
          <w:rtl/>
        </w:rPr>
        <w:t>עשׂה</w:t>
      </w:r>
      <w:r>
        <w:rPr>
          <w:rtl/>
        </w:rPr>
        <w:t xml:space="preserve"> </w:t>
      </w:r>
      <w:r>
        <w:t xml:space="preserve">Qal Partizip, </w:t>
      </w:r>
      <w:r>
        <w:rPr>
          <w:rStyle w:val="Fett"/>
          <w:rFonts w:eastAsiaTheme="majorEastAsia"/>
          <w:rtl/>
        </w:rPr>
        <w:t>עָוֶל</w:t>
      </w:r>
      <w:r>
        <w:t>, „Unrecht, Ungerechtigkeit" – explikative Apposition).</w:t>
      </w:r>
    </w:p>
    <w:p w14:paraId="5697E31F" w14:textId="57C9894A" w:rsidR="00166F02" w:rsidRDefault="00166F02" w:rsidP="00166F02">
      <w:pPr>
        <w:pStyle w:val="whitespace-normal"/>
      </w:pPr>
      <w:r>
        <w:t xml:space="preserve">Der Vers verstärkt die Begründung aus V. 15 durch starke theologische Sprache. Die Begründung: </w:t>
      </w:r>
      <w:r>
        <w:rPr>
          <w:rStyle w:val="Fett"/>
          <w:rFonts w:eastAsiaTheme="majorEastAsia"/>
          <w:rtl/>
        </w:rPr>
        <w:t>כִּי תוֹעֲבַת יְהוָה אֱלֹהֶיךָ כָּל־עֹשֵׂה אֵלֶּה</w:t>
      </w:r>
      <w:r>
        <w:rPr>
          <w:rtl/>
        </w:rPr>
        <w:t xml:space="preserve"> </w:t>
      </w:r>
      <w:r>
        <w:t xml:space="preserve">(„denn ein Gräuel für JHWH, deinen Gott, ist jeder, der dies tut"). Das Wort </w:t>
      </w:r>
      <w:r>
        <w:rPr>
          <w:rStyle w:val="Fett"/>
          <w:rFonts w:eastAsiaTheme="majorEastAsia"/>
          <w:rtl/>
        </w:rPr>
        <w:t>תּוֹעֵבָה</w:t>
      </w:r>
      <w:r>
        <w:rPr>
          <w:rtl/>
        </w:rPr>
        <w:t xml:space="preserve"> </w:t>
      </w:r>
      <w:r>
        <w:t xml:space="preserve">(„Gräuel, Abscheu") ist sehr stark und wird oft für </w:t>
      </w:r>
      <w:r>
        <w:lastRenderedPageBreak/>
        <w:t xml:space="preserve">schwere religiöse oder moralische Vergehen verwendet (vgl. 7,25.26; 12,31; 17,1; 18,12; 22,5; 23,19; 24,4; 27,15). Die Formulierung </w:t>
      </w:r>
      <w:r>
        <w:rPr>
          <w:rStyle w:val="Fett"/>
          <w:rFonts w:eastAsiaTheme="majorEastAsia"/>
          <w:rtl/>
        </w:rPr>
        <w:t>כָּל־עֹשֵׂה אֵלֶּה</w:t>
      </w:r>
      <w:r>
        <w:rPr>
          <w:rtl/>
        </w:rPr>
        <w:t xml:space="preserve"> </w:t>
      </w:r>
      <w:r>
        <w:t xml:space="preserve">(„jeder, der dies tut") bezieht sich auf die unehrlichen Praktiken aus V. 13-14. Die Apposition: </w:t>
      </w:r>
      <w:r>
        <w:rPr>
          <w:rStyle w:val="Fett"/>
          <w:rFonts w:eastAsiaTheme="majorEastAsia"/>
          <w:rtl/>
        </w:rPr>
        <w:t>כֹּל עֹשֵׂה עָוֶל</w:t>
      </w:r>
      <w:r>
        <w:rPr>
          <w:rtl/>
        </w:rPr>
        <w:t xml:space="preserve"> </w:t>
      </w:r>
      <w:r>
        <w:t xml:space="preserve">(„jeder, der Unrecht tut"). Das Wort </w:t>
      </w:r>
      <w:r>
        <w:rPr>
          <w:rStyle w:val="Fett"/>
          <w:rFonts w:eastAsiaTheme="majorEastAsia"/>
          <w:rtl/>
        </w:rPr>
        <w:t>עָוֶל</w:t>
      </w:r>
      <w:r>
        <w:rPr>
          <w:rtl/>
        </w:rPr>
        <w:t xml:space="preserve"> </w:t>
      </w:r>
      <w:r>
        <w:t xml:space="preserve">(„Unrecht, Ungerechtigkeit") ist ein allgemeiner Begriff für Ungerechtigkeit (vgl. 19,15; 32,4; Lev 19,15.35; Ps 82,2; Jes 61,8; Jer 22,13; Hes 18,8). Die explikative Apposition erklärt: Unehrliche Gewichte und Maße sind nicht nur wirtschaftlicher Betrug, sondern </w:t>
      </w:r>
      <w:r>
        <w:rPr>
          <w:rStyle w:val="Fett"/>
          <w:rFonts w:eastAsiaTheme="majorEastAsia"/>
          <w:rtl/>
        </w:rPr>
        <w:t>עָוֶל</w:t>
      </w:r>
      <w:r>
        <w:rPr>
          <w:rtl/>
        </w:rPr>
        <w:t xml:space="preserve"> </w:t>
      </w:r>
      <w:r>
        <w:t>– Ungerechtigkeit im tiefsten Sinne, ein Verstoß gegen JHWHs Gerechtigkeit. Die Ratio: JHWH ist ein Gott der Gerechtigkeit (vgl. 32,4: „ein Gott der Treue und ohne Ungerechtigkeit [</w:t>
      </w:r>
      <w:r>
        <w:rPr>
          <w:rStyle w:val="Fett"/>
          <w:rFonts w:eastAsiaTheme="majorEastAsia"/>
          <w:rtl/>
        </w:rPr>
        <w:t>עָוֶל</w:t>
      </w:r>
      <w:r>
        <w:t>]"), und Sein Volk soll Seine Gerechtigkeit im wirtschaftlichen Leben widerspiegeln. Vgl. Spr 11,1: „Falsche Waage ist JHWH ein Gräuel, aber volles Gewicht ist Sein Wohl</w:t>
      </w:r>
      <w:r w:rsidR="00D47758">
        <w:t>gefallen</w:t>
      </w:r>
      <w:r>
        <w:t>"; Spr 20,10.23; Am 8,5-6; Mi 6,10-11. Die Betonung auf ehrlichen Handel als moralische und religiöse Pflicht ist bemerkenswert.</w:t>
      </w:r>
    </w:p>
    <w:p w14:paraId="27B78F0B" w14:textId="7DF6D6F0" w:rsidR="00A600C6" w:rsidRDefault="00A600C6" w:rsidP="00166F02">
      <w:pPr>
        <w:pStyle w:val="whitespace-normal"/>
      </w:pPr>
      <w:r>
        <w:rPr>
          <w:rStyle w:val="Fett"/>
        </w:rPr>
        <w:t>Die LXX</w:t>
      </w:r>
      <w:r>
        <w:t xml:space="preserve"> übersetzt </w:t>
      </w:r>
      <w:r>
        <w:rPr>
          <w:rtl/>
        </w:rPr>
        <w:t>עָוֶל</w:t>
      </w:r>
      <w:r>
        <w:t xml:space="preserve"> (Unrecht) mit </w:t>
      </w:r>
      <w:proofErr w:type="spellStart"/>
      <w:r>
        <w:t>ἄδικον</w:t>
      </w:r>
      <w:proofErr w:type="spellEnd"/>
      <w:r>
        <w:t xml:space="preserve"> (Ungerechtigkeit) – eine präzise ethische Entsprechung.</w:t>
      </w:r>
    </w:p>
    <w:p w14:paraId="1BF0F7D4" w14:textId="77777777" w:rsidR="00166F02" w:rsidRDefault="00166F02" w:rsidP="00166F02">
      <w:pPr>
        <w:pStyle w:val="whitespace-normal"/>
      </w:pPr>
      <w:r>
        <w:rPr>
          <w:rStyle w:val="Fett"/>
          <w:rFonts w:eastAsiaTheme="majorEastAsia"/>
        </w:rPr>
        <w:t>Die Satzstruktur:</w:t>
      </w:r>
      <w:r>
        <w:t xml:space="preserve"> Begründung mit Apposition (denn ein Gräuel für JHWH, deinen Gott, ist jeder, der dies tut, jeder, der Unrecht tut).</w:t>
      </w:r>
    </w:p>
    <w:p w14:paraId="33707CC6" w14:textId="7EAF5830" w:rsidR="00166F02" w:rsidRDefault="00166F02" w:rsidP="00705F3D">
      <w:pPr>
        <w:pStyle w:val="whitespace-normal"/>
      </w:pPr>
      <w:r>
        <w:rPr>
          <w:rStyle w:val="Fett"/>
          <w:rFonts w:eastAsiaTheme="majorEastAsia"/>
        </w:rPr>
        <w:t>Der Vers beschreibt:</w:t>
      </w:r>
      <w:r>
        <w:t xml:space="preserve"> Theologische Begründung – unehrliche Gewichte und Maße sind ein Gräuel für JHWH, weil sie Ungerechtigkeit darstellen.</w:t>
      </w:r>
    </w:p>
    <w:p w14:paraId="7D6F8EC5" w14:textId="77777777" w:rsidR="00166F02" w:rsidRPr="00713867" w:rsidRDefault="00166F02" w:rsidP="00B53ACC">
      <w:pPr>
        <w:pStyle w:val="Bibelberschrift"/>
      </w:pPr>
      <w:r w:rsidRPr="00713867">
        <w:rPr>
          <w:rStyle w:val="Fett"/>
          <w:b/>
          <w:bCs w:val="0"/>
        </w:rPr>
        <w:t>Deuteronomium 25,17</w:t>
      </w:r>
    </w:p>
    <w:p w14:paraId="3BC50969" w14:textId="77777777" w:rsidR="00166F02" w:rsidRDefault="00166F02" w:rsidP="00166F02">
      <w:pPr>
        <w:pStyle w:val="whitespace-normal"/>
      </w:pPr>
      <w:r>
        <w:rPr>
          <w:rStyle w:val="Fett"/>
          <w:rFonts w:eastAsiaTheme="majorEastAsia"/>
        </w:rPr>
        <w:t>Hebräisch:</w:t>
      </w:r>
      <w:r>
        <w:t xml:space="preserve"> </w:t>
      </w:r>
      <w:r>
        <w:rPr>
          <w:rtl/>
        </w:rPr>
        <w:t>זָכ֕וֹר אֵ֛ת אֲשֶׁר־עָשָׂ֥ה לְךָ֖ עֲמָלֵ֑ק בַּדֶּ֖רֶךְ בְּצֵאתְכֶ֥ם מִמִּצְרָֽיִם׃</w:t>
      </w:r>
    </w:p>
    <w:p w14:paraId="1106E613" w14:textId="77777777" w:rsidR="00166F02" w:rsidRDefault="00166F02" w:rsidP="00166F02">
      <w:pPr>
        <w:pStyle w:val="whitespace-normal"/>
      </w:pPr>
      <w:r>
        <w:rPr>
          <w:rStyle w:val="Fett"/>
          <w:rFonts w:eastAsiaTheme="majorEastAsia"/>
        </w:rPr>
        <w:t>Deutsch:</w:t>
      </w:r>
      <w:r>
        <w:t xml:space="preserve"> Gedenke dessen, was Amalek dir angetan hat auf dem Weg, als ihr aus Ägypten zogt,</w:t>
      </w:r>
    </w:p>
    <w:p w14:paraId="50B53414" w14:textId="77777777" w:rsidR="00166F02" w:rsidRDefault="004F5CEB" w:rsidP="00166F02">
      <w:r>
        <w:rPr>
          <w:noProof/>
        </w:rPr>
        <w:pict w14:anchorId="3CA88F27">
          <v:rect id="_x0000_i1690" style="width:0;height:1.5pt" o:hralign="center" o:hrstd="t" o:hr="t" fillcolor="#a0a0a0" stroked="f"/>
        </w:pict>
      </w:r>
    </w:p>
    <w:p w14:paraId="529BC08D"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זָכוֹר אֵת אֲשֶׁר־עָשָׂה לְךָ עֲמָלֵק בַּדֶּרֶךְ בְּצֵאתְכֶם מִמִּצְרָיִם</w:t>
      </w:r>
      <w:r>
        <w:rPr>
          <w:rtl/>
        </w:rPr>
        <w:t xml:space="preserve"> </w:t>
      </w:r>
      <w:r>
        <w:t xml:space="preserve">ist eine Anweisung: </w:t>
      </w:r>
      <w:r>
        <w:rPr>
          <w:rStyle w:val="Fett"/>
          <w:rFonts w:eastAsiaTheme="majorEastAsia"/>
          <w:rtl/>
        </w:rPr>
        <w:t>זָכוֹר אֵת אֲשֶׁר־עָשָׂה לְךָ עֲמָלֵק</w:t>
      </w:r>
      <w:r>
        <w:rPr>
          <w:rtl/>
        </w:rPr>
        <w:t xml:space="preserve"> </w:t>
      </w:r>
      <w:r>
        <w:t>(</w:t>
      </w:r>
      <w:r>
        <w:rPr>
          <w:rStyle w:val="Fett"/>
          <w:rFonts w:eastAsiaTheme="majorEastAsia"/>
          <w:rtl/>
        </w:rPr>
        <w:t>זכר</w:t>
      </w:r>
      <w:r>
        <w:t xml:space="preserve">, Qal Imperativ, 2. Person Maskulinum Singular, Objektpartikel </w:t>
      </w:r>
      <w:r>
        <w:rPr>
          <w:rStyle w:val="Fett"/>
          <w:rFonts w:eastAsiaTheme="majorEastAsia"/>
          <w:rtl/>
        </w:rPr>
        <w:t>אֵת</w:t>
      </w:r>
      <w:r>
        <w:t xml:space="preserve">, Relativsatz: </w:t>
      </w:r>
      <w:r>
        <w:rPr>
          <w:rStyle w:val="Fett"/>
          <w:rFonts w:eastAsiaTheme="majorEastAsia"/>
          <w:rtl/>
        </w:rPr>
        <w:t>אֲשֶׁר־עָשָׂה לְךָ עֲמָלֵק</w:t>
      </w:r>
      <w:r>
        <w:rPr>
          <w:rtl/>
        </w:rPr>
        <w:t xml:space="preserve"> </w:t>
      </w:r>
      <w:r>
        <w:t xml:space="preserve">mit </w:t>
      </w:r>
      <w:r>
        <w:rPr>
          <w:rStyle w:val="Fett"/>
          <w:rFonts w:eastAsiaTheme="majorEastAsia"/>
          <w:rtl/>
        </w:rPr>
        <w:t>עשׂה</w:t>
      </w:r>
      <w:r>
        <w:t xml:space="preserve">, Qal Perfekt, 3. Person Maskulinum Singular, </w:t>
      </w:r>
      <w:r>
        <w:rPr>
          <w:rStyle w:val="Fett"/>
          <w:rFonts w:eastAsiaTheme="majorEastAsia"/>
          <w:rtl/>
        </w:rPr>
        <w:t>לְךָ</w:t>
      </w:r>
      <w:r>
        <w:t xml:space="preserve">, Dativ, </w:t>
      </w:r>
      <w:r>
        <w:rPr>
          <w:rStyle w:val="Fett"/>
          <w:rFonts w:eastAsiaTheme="majorEastAsia"/>
          <w:rtl/>
        </w:rPr>
        <w:t>עֲמָלֵק</w:t>
      </w:r>
      <w:r>
        <w:t xml:space="preserve">, Eigenname als Subjekt), </w:t>
      </w:r>
      <w:r>
        <w:rPr>
          <w:rStyle w:val="Fett"/>
          <w:rFonts w:eastAsiaTheme="majorEastAsia"/>
          <w:rtl/>
        </w:rPr>
        <w:t>בַּדֶּרֶךְ בְּצֵאתְכֶם מִמִּצְרָיִם</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דֶּרֶךְ</w:t>
      </w:r>
      <w:r>
        <w:rPr>
          <w:rtl/>
        </w:rPr>
        <w:t xml:space="preserve"> </w:t>
      </w:r>
      <w:r>
        <w:t xml:space="preserve">mit Artikel, Präposition </w:t>
      </w:r>
      <w:r>
        <w:rPr>
          <w:rStyle w:val="Fett"/>
          <w:rFonts w:eastAsiaTheme="majorEastAsia"/>
          <w:rtl/>
        </w:rPr>
        <w:t>בְּ</w:t>
      </w:r>
      <w:r>
        <w:rPr>
          <w:rtl/>
        </w:rPr>
        <w:t xml:space="preserve"> </w:t>
      </w:r>
      <w:r>
        <w:t xml:space="preserve">mit Qal Infinitiv Construct von </w:t>
      </w:r>
      <w:r>
        <w:rPr>
          <w:rStyle w:val="Fett"/>
          <w:rFonts w:eastAsiaTheme="majorEastAsia"/>
          <w:rtl/>
        </w:rPr>
        <w:t>יצא</w:t>
      </w:r>
      <w:r>
        <w:t xml:space="preserve">, mit Suffix 2. Person Maskulinum Plural, Präposition </w:t>
      </w:r>
      <w:r>
        <w:rPr>
          <w:rStyle w:val="Fett"/>
          <w:rFonts w:eastAsiaTheme="majorEastAsia"/>
          <w:rtl/>
        </w:rPr>
        <w:t>מִן</w:t>
      </w:r>
      <w:r>
        <w:rPr>
          <w:rtl/>
        </w:rPr>
        <w:t xml:space="preserve"> </w:t>
      </w:r>
      <w:r>
        <w:t xml:space="preserve">mit </w:t>
      </w:r>
      <w:r>
        <w:rPr>
          <w:rStyle w:val="Fett"/>
          <w:rFonts w:eastAsiaTheme="majorEastAsia"/>
          <w:rtl/>
        </w:rPr>
        <w:t>מִצְרַיִם</w:t>
      </w:r>
      <w:r>
        <w:t>).</w:t>
      </w:r>
    </w:p>
    <w:p w14:paraId="3C36C088" w14:textId="52A032A9" w:rsidR="00166F02" w:rsidRDefault="00166F02" w:rsidP="00166F02">
      <w:pPr>
        <w:pStyle w:val="whitespace-normal"/>
      </w:pPr>
      <w:r>
        <w:t xml:space="preserve">Der Vers leitet den letzten Abschnitt des Kapitels ein: Gebot zur Vernichtung Amaleks (V. 17-19). Die Anweisung: </w:t>
      </w:r>
      <w:r>
        <w:rPr>
          <w:rStyle w:val="Fett"/>
          <w:rFonts w:eastAsiaTheme="majorEastAsia"/>
          <w:rtl/>
        </w:rPr>
        <w:t>זָכוֹר אֵת אֲשֶׁר־עָשָׂה לְךָ עֲמָלֵק בַּדֶּרֶךְ בְּצֵאתְכֶם מִמִּצְרָיִם</w:t>
      </w:r>
      <w:r>
        <w:rPr>
          <w:rtl/>
        </w:rPr>
        <w:t xml:space="preserve"> </w:t>
      </w:r>
      <w:r>
        <w:t xml:space="preserve">(„gedenke dessen, was Amalek dir getan hat auf dem Weg, als ihr </w:t>
      </w:r>
      <w:r w:rsidR="008C1A51">
        <w:t xml:space="preserve">ausgingt aus </w:t>
      </w:r>
      <w:r>
        <w:t xml:space="preserve">Ägypten"). Das Verb </w:t>
      </w:r>
      <w:r>
        <w:rPr>
          <w:rStyle w:val="Fett"/>
          <w:rFonts w:eastAsiaTheme="majorEastAsia"/>
          <w:rtl/>
        </w:rPr>
        <w:t>זכר</w:t>
      </w:r>
      <w:r>
        <w:rPr>
          <w:rtl/>
        </w:rPr>
        <w:t xml:space="preserve"> </w:t>
      </w:r>
      <w:r>
        <w:t xml:space="preserve">(„gedenken, erinnern") fordert bewusste Erinnerung (wie 24,9.18.22; vgl. auch 5,15; 7,18; 8,2.18; 9,7.27; 15,15; 16,3.12). Der Name </w:t>
      </w:r>
      <w:r>
        <w:rPr>
          <w:rStyle w:val="Fett"/>
          <w:rFonts w:eastAsiaTheme="majorEastAsia"/>
          <w:rtl/>
        </w:rPr>
        <w:t>עֲמָלֵק</w:t>
      </w:r>
      <w:r>
        <w:rPr>
          <w:rtl/>
        </w:rPr>
        <w:t xml:space="preserve"> </w:t>
      </w:r>
      <w:r>
        <w:t xml:space="preserve">bezeichnet das Volk der Amalekiter, einen nomadischen Stamm in der Negev-Region und auf der Sinai-Halbinsel. Die zeitliche und örtliche Angabe: </w:t>
      </w:r>
      <w:r>
        <w:rPr>
          <w:rStyle w:val="Fett"/>
          <w:rFonts w:eastAsiaTheme="majorEastAsia"/>
          <w:rtl/>
        </w:rPr>
        <w:t>בַּדֶּרֶךְ בְּצֵאתְכֶם מִמִּצְרָיִם</w:t>
      </w:r>
      <w:r>
        <w:rPr>
          <w:rtl/>
        </w:rPr>
        <w:t xml:space="preserve"> </w:t>
      </w:r>
      <w:r>
        <w:t xml:space="preserve">(„auf dem Weg, als ihr </w:t>
      </w:r>
      <w:r w:rsidR="008C1A51">
        <w:t>ausgingt aus</w:t>
      </w:r>
      <w:r>
        <w:t xml:space="preserve"> Ägypten") – während der Wüstenwanderung nach dem Exodus. Historischer Bezug: Ex 17,8-16 beschreibt den Angriff Amaleks auf Israel bei Refidim, kurz nach dem Exodus. Mose </w:t>
      </w:r>
      <w:r w:rsidR="000F34F9">
        <w:t>befahl</w:t>
      </w:r>
      <w:r>
        <w:t xml:space="preserve"> Josua, </w:t>
      </w:r>
      <w:r>
        <w:lastRenderedPageBreak/>
        <w:t>gegen Amalek zu kämpfen, während er selbst auf dem Hügel stand mit erhobenem Stab. Israel siegte, und JHWH schwor: „JHWH wird Krieg führen gegen Amalek von Generation zu Generation" (Ex 17,16). V. 18 wird präzisieren, was Amalek tat.</w:t>
      </w:r>
    </w:p>
    <w:p w14:paraId="134AC643" w14:textId="668CD14A" w:rsidR="00A600C6" w:rsidRDefault="00A600C6" w:rsidP="00166F02">
      <w:pPr>
        <w:pStyle w:val="whitespace-normal"/>
      </w:pPr>
      <w:r>
        <w:rPr>
          <w:rStyle w:val="Fett"/>
        </w:rPr>
        <w:t>Die LXX</w:t>
      </w:r>
      <w:r>
        <w:t xml:space="preserve"> verwendet </w:t>
      </w:r>
      <w:proofErr w:type="spellStart"/>
      <w:r>
        <w:t>Ἀμ</w:t>
      </w:r>
      <w:proofErr w:type="spellEnd"/>
      <w:r>
        <w:t xml:space="preserve">αλήκ statt </w:t>
      </w:r>
      <w:r>
        <w:rPr>
          <w:rtl/>
        </w:rPr>
        <w:t>עֲמָלֵק</w:t>
      </w:r>
      <w:r>
        <w:t xml:space="preserve"> – die gräzisierte Form des Namens.</w:t>
      </w:r>
    </w:p>
    <w:p w14:paraId="1B84FD0C" w14:textId="77777777" w:rsidR="00166F02" w:rsidRDefault="00166F02" w:rsidP="00166F02">
      <w:pPr>
        <w:pStyle w:val="whitespace-normal"/>
      </w:pPr>
      <w:r>
        <w:rPr>
          <w:rStyle w:val="Fett"/>
          <w:rFonts w:eastAsiaTheme="majorEastAsia"/>
        </w:rPr>
        <w:t>Die Satzstruktur:</w:t>
      </w:r>
      <w:r>
        <w:t xml:space="preserve"> Anweisung mit Relativsatz (gedenke dessen, was Amalek dir getan hat auf dem Weg, als ihr ausging aus Ägypten).</w:t>
      </w:r>
    </w:p>
    <w:p w14:paraId="245641B7" w14:textId="013D8EBF" w:rsidR="00166F02" w:rsidRDefault="00166F02" w:rsidP="00705F3D">
      <w:pPr>
        <w:pStyle w:val="whitespace-normal"/>
      </w:pPr>
      <w:r>
        <w:rPr>
          <w:rStyle w:val="Fett"/>
          <w:rFonts w:eastAsiaTheme="majorEastAsia"/>
        </w:rPr>
        <w:t>Der Vers beschreibt:</w:t>
      </w:r>
      <w:r>
        <w:t xml:space="preserve"> Aufruf zur Erinnerung – Israel soll nicht vergessen, was Amalek ihnen auf dem Weg aus Ägypten angetan hat.</w:t>
      </w:r>
    </w:p>
    <w:p w14:paraId="1C23E0B3" w14:textId="77777777" w:rsidR="00166F02" w:rsidRPr="00713867" w:rsidRDefault="00166F02" w:rsidP="00B53ACC">
      <w:pPr>
        <w:pStyle w:val="Bibelberschrift"/>
      </w:pPr>
      <w:r w:rsidRPr="00713867">
        <w:rPr>
          <w:rStyle w:val="Fett"/>
          <w:b/>
          <w:bCs w:val="0"/>
        </w:rPr>
        <w:t>Deuteronomium 25,18</w:t>
      </w:r>
    </w:p>
    <w:p w14:paraId="276FF6FD" w14:textId="77777777" w:rsidR="00166F02" w:rsidRDefault="00166F02" w:rsidP="00166F02">
      <w:pPr>
        <w:pStyle w:val="whitespace-normal"/>
      </w:pPr>
      <w:r>
        <w:rPr>
          <w:rStyle w:val="Fett"/>
          <w:rFonts w:eastAsiaTheme="majorEastAsia"/>
        </w:rPr>
        <w:t>Hebräisch:</w:t>
      </w:r>
      <w:r>
        <w:t xml:space="preserve"> </w:t>
      </w:r>
      <w:r>
        <w:rPr>
          <w:rtl/>
        </w:rPr>
        <w:t>אֲשֶׁ֨ר קָֽרְךָ֜ בַּדֶּ֗רֶךְ וַיְזַנֵּ֤ב בְּךָ֙ כָּל־הַנֶּחֱשָׁלִ֣ים אַֽחֲרֶ֔יךָ וְאַתָּ֖ה עָיֵ֣ף וְיָגֵ֑עַ וְלֹ֥א יָרֵ֖א אֱלֹהִֽים׃</w:t>
      </w:r>
    </w:p>
    <w:p w14:paraId="0D631816" w14:textId="77777777" w:rsidR="00166F02" w:rsidRDefault="00166F02" w:rsidP="00166F02">
      <w:pPr>
        <w:pStyle w:val="whitespace-normal"/>
      </w:pPr>
      <w:r>
        <w:rPr>
          <w:rStyle w:val="Fett"/>
          <w:rFonts w:eastAsiaTheme="majorEastAsia"/>
        </w:rPr>
        <w:t>Deutsch:</w:t>
      </w:r>
      <w:r>
        <w:t xml:space="preserve"> Wie er dich traf auf dem Weg und alle Schwachen hinter dir niederschlug, als du müde und erschöpft warst; und er fürchtete Gott nicht.</w:t>
      </w:r>
    </w:p>
    <w:p w14:paraId="2D9FC51B" w14:textId="77777777" w:rsidR="00166F02" w:rsidRDefault="004F5CEB" w:rsidP="00166F02">
      <w:r>
        <w:rPr>
          <w:noProof/>
        </w:rPr>
        <w:pict w14:anchorId="78010C79">
          <v:rect id="_x0000_i1691" style="width:0;height:1.5pt" o:hralign="center" o:hrstd="t" o:hr="t" fillcolor="#a0a0a0" stroked="f"/>
        </w:pict>
      </w:r>
    </w:p>
    <w:p w14:paraId="655970BA"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אֲשֶׁר קָרְךָ בַּדֶּרֶךְ וַיְזַנֵּב בְּךָ כָּל־הַנֶּחֱשָׁלִים אַחֲרֶיךָ וְאַתָּה עָיֵף וְיָגֵעַ וְלֹא יָרֵא אֱלֹהִים</w:t>
      </w:r>
      <w:r>
        <w:rPr>
          <w:rtl/>
        </w:rPr>
        <w:t xml:space="preserve"> </w:t>
      </w:r>
      <w:r>
        <w:t xml:space="preserve">ist ein Relativsatz mit drei Beschreibungen: </w:t>
      </w:r>
      <w:r>
        <w:rPr>
          <w:rStyle w:val="Fett"/>
          <w:rFonts w:eastAsiaTheme="majorEastAsia"/>
          <w:rtl/>
        </w:rPr>
        <w:t>אֲשֶׁר קָרְךָ בַּדֶּרֶךְ</w:t>
      </w:r>
      <w:r>
        <w:rPr>
          <w:rtl/>
        </w:rPr>
        <w:t xml:space="preserve"> </w:t>
      </w:r>
      <w:r>
        <w:t>(</w:t>
      </w:r>
      <w:r>
        <w:rPr>
          <w:rStyle w:val="Fett"/>
          <w:rFonts w:eastAsiaTheme="majorEastAsia"/>
          <w:rtl/>
        </w:rPr>
        <w:t>אֲשֶׁר</w:t>
      </w:r>
      <w:r>
        <w:rPr>
          <w:rtl/>
        </w:rPr>
        <w:t xml:space="preserve"> </w:t>
      </w:r>
      <w:r>
        <w:t xml:space="preserve">mit </w:t>
      </w:r>
      <w:r>
        <w:rPr>
          <w:rStyle w:val="Fett"/>
          <w:rFonts w:eastAsiaTheme="majorEastAsia"/>
          <w:rtl/>
        </w:rPr>
        <w:t>קרה</w:t>
      </w:r>
      <w:r>
        <w:t xml:space="preserve">, Qal Perfekt, 3. Person Maskulinum Singular, „treffen, begegnen, angreifen", mit Suffix 2. Person Maskulinum Singular, </w:t>
      </w:r>
      <w:r>
        <w:rPr>
          <w:rStyle w:val="Fett"/>
          <w:rFonts w:eastAsiaTheme="majorEastAsia"/>
          <w:rtl/>
        </w:rPr>
        <w:t>בַּדֶּרֶךְ</w:t>
      </w:r>
      <w:r>
        <w:t xml:space="preserve">), </w:t>
      </w:r>
      <w:r>
        <w:rPr>
          <w:rStyle w:val="Fett"/>
          <w:rFonts w:eastAsiaTheme="majorEastAsia"/>
          <w:rtl/>
        </w:rPr>
        <w:t>וַיְזַנֵּב בְּךָ כָּל־הַנֶּחֱשָׁלִים אַחֲרֶיךָ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זנב</w:t>
      </w:r>
      <w:r>
        <w:t xml:space="preserve">, Piel Imperfekt, 3. Person Maskulinum Singular, „den Schwanz abschneiden, von hinten angreifen, die Nachhut angreifen", Präposition </w:t>
      </w:r>
      <w:r>
        <w:rPr>
          <w:rStyle w:val="Fett"/>
          <w:rFonts w:eastAsiaTheme="majorEastAsia"/>
          <w:rtl/>
        </w:rPr>
        <w:t>בְּ</w:t>
      </w:r>
      <w:r>
        <w:rPr>
          <w:rtl/>
        </w:rPr>
        <w:t xml:space="preserve"> </w:t>
      </w:r>
      <w:r>
        <w:t xml:space="preserve">mit Suffix 2. Person Maskulinum Singular, </w:t>
      </w:r>
      <w:r>
        <w:rPr>
          <w:rStyle w:val="Fett"/>
          <w:rFonts w:eastAsiaTheme="majorEastAsia"/>
          <w:rtl/>
        </w:rPr>
        <w:t>כֹּל</w:t>
      </w:r>
      <w:r>
        <w:rPr>
          <w:rtl/>
        </w:rPr>
        <w:t xml:space="preserve"> </w:t>
      </w:r>
      <w:r>
        <w:t xml:space="preserve">mit Artikel, </w:t>
      </w:r>
      <w:r>
        <w:rPr>
          <w:rStyle w:val="Fett"/>
          <w:rFonts w:eastAsiaTheme="majorEastAsia"/>
          <w:rtl/>
        </w:rPr>
        <w:t>חשׁל</w:t>
      </w:r>
      <w:r>
        <w:t xml:space="preserve">, Niphal Partizip, „schwach sein, zurückbleiben, erschöpft sein", Plural, </w:t>
      </w:r>
      <w:r>
        <w:rPr>
          <w:rStyle w:val="Fett"/>
          <w:rFonts w:eastAsiaTheme="majorEastAsia"/>
          <w:rtl/>
        </w:rPr>
        <w:t>אַחֲרֶיךָ</w:t>
      </w:r>
      <w:r>
        <w:t xml:space="preserve">, mit </w:t>
      </w:r>
      <w:r>
        <w:rPr>
          <w:rStyle w:val="Fett"/>
          <w:rFonts w:eastAsiaTheme="majorEastAsia"/>
        </w:rPr>
        <w:t>Waw</w:t>
      </w:r>
      <w:r>
        <w:t xml:space="preserve"> consecutives Imperfekt), </w:t>
      </w:r>
      <w:r>
        <w:rPr>
          <w:rStyle w:val="Fett"/>
          <w:rFonts w:eastAsiaTheme="majorEastAsia"/>
          <w:rtl/>
        </w:rPr>
        <w:t>וְאַתָּה עָיֵף וְיָגֵעַ</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אַתָּה</w:t>
      </w:r>
      <w:r>
        <w:t xml:space="preserve">, </w:t>
      </w:r>
      <w:r>
        <w:rPr>
          <w:rStyle w:val="Fett"/>
          <w:rFonts w:eastAsiaTheme="majorEastAsia"/>
          <w:rtl/>
        </w:rPr>
        <w:t>עָיֵף</w:t>
      </w:r>
      <w:r>
        <w:t xml:space="preserve">, „müde, erschöpft", koordiniert durch </w:t>
      </w:r>
      <w:r>
        <w:rPr>
          <w:rStyle w:val="Fett"/>
          <w:rFonts w:eastAsiaTheme="majorEastAsia"/>
          <w:rtl/>
        </w:rPr>
        <w:t>וְ</w:t>
      </w:r>
      <w:r>
        <w:rPr>
          <w:rtl/>
        </w:rPr>
        <w:t xml:space="preserve"> </w:t>
      </w:r>
      <w:r>
        <w:t xml:space="preserve">mit </w:t>
      </w:r>
      <w:r>
        <w:rPr>
          <w:rStyle w:val="Fett"/>
          <w:rFonts w:eastAsiaTheme="majorEastAsia"/>
          <w:rtl/>
        </w:rPr>
        <w:t>יָגֵעַ</w:t>
      </w:r>
      <w:r>
        <w:t xml:space="preserve">, „ermüdet, abgearbeitet" – beide als Prädikatsadjektive), </w:t>
      </w:r>
      <w:r>
        <w:rPr>
          <w:rStyle w:val="Fett"/>
          <w:rFonts w:eastAsiaTheme="majorEastAsia"/>
          <w:rtl/>
        </w:rPr>
        <w:t>וְלֹא יָרֵא אֱלֹהִים</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ירא</w:t>
      </w:r>
      <w:r>
        <w:t xml:space="preserve">, Qal Perfekt, 3. Person Maskulinum Singular, „fürchten", </w:t>
      </w:r>
      <w:r>
        <w:rPr>
          <w:rStyle w:val="Fett"/>
          <w:rFonts w:eastAsiaTheme="majorEastAsia"/>
          <w:rtl/>
        </w:rPr>
        <w:t>אֱלֹהִים</w:t>
      </w:r>
      <w:r>
        <w:rPr>
          <w:rtl/>
        </w:rPr>
        <w:t xml:space="preserve"> </w:t>
      </w:r>
      <w:r>
        <w:t>als Objekt).</w:t>
      </w:r>
    </w:p>
    <w:p w14:paraId="33467A32" w14:textId="542230EC" w:rsidR="00166F02" w:rsidRDefault="00166F02" w:rsidP="00166F02">
      <w:pPr>
        <w:pStyle w:val="whitespace-normal"/>
      </w:pPr>
      <w:r>
        <w:t xml:space="preserve">Der Vers präzisiert Amaleks Verbrechen. Die erste Beschreibung: </w:t>
      </w:r>
      <w:r>
        <w:rPr>
          <w:rStyle w:val="Fett"/>
          <w:rFonts w:eastAsiaTheme="majorEastAsia"/>
          <w:rtl/>
        </w:rPr>
        <w:t>אֲשֶׁר קָרְךָ בַּדֶּרֶךְ</w:t>
      </w:r>
      <w:r>
        <w:rPr>
          <w:rtl/>
        </w:rPr>
        <w:t xml:space="preserve"> </w:t>
      </w:r>
      <w:r>
        <w:t xml:space="preserve">(„wie er dich traf auf dem Weg"). Das Verb </w:t>
      </w:r>
      <w:r>
        <w:rPr>
          <w:rStyle w:val="Fett"/>
          <w:rFonts w:eastAsiaTheme="majorEastAsia"/>
          <w:rtl/>
        </w:rPr>
        <w:t>קרה</w:t>
      </w:r>
      <w:r>
        <w:rPr>
          <w:rtl/>
        </w:rPr>
        <w:t xml:space="preserve"> </w:t>
      </w:r>
      <w:r>
        <w:t xml:space="preserve">(„treffen, begegnen") kann neutral sein, aber im kriegerischen Kontext: „angreifen, überfallen". Die zweite Beschreibung: </w:t>
      </w:r>
      <w:r>
        <w:rPr>
          <w:rStyle w:val="Fett"/>
          <w:rFonts w:eastAsiaTheme="majorEastAsia"/>
          <w:rtl/>
        </w:rPr>
        <w:t>וַיְזַנֵּב בְּךָ כָּל־הַנֶּחֱשָׁלִים אַחֲרֶיךָ</w:t>
      </w:r>
      <w:r>
        <w:rPr>
          <w:rtl/>
        </w:rPr>
        <w:t xml:space="preserve"> </w:t>
      </w:r>
      <w:r>
        <w:t xml:space="preserve">(„und niederschlug er an dir alle die Schwachen hinter dir"). Das Verb </w:t>
      </w:r>
      <w:r>
        <w:rPr>
          <w:rStyle w:val="Fett"/>
          <w:rFonts w:eastAsiaTheme="majorEastAsia"/>
          <w:rtl/>
        </w:rPr>
        <w:t>זנב</w:t>
      </w:r>
      <w:r>
        <w:rPr>
          <w:rtl/>
        </w:rPr>
        <w:t xml:space="preserve"> </w:t>
      </w:r>
      <w:r>
        <w:t xml:space="preserve">im Piel ist ein Denominativ von </w:t>
      </w:r>
      <w:r>
        <w:rPr>
          <w:rStyle w:val="Fett"/>
          <w:rFonts w:eastAsiaTheme="majorEastAsia"/>
          <w:rtl/>
        </w:rPr>
        <w:t>זָנָב</w:t>
      </w:r>
      <w:r>
        <w:rPr>
          <w:rtl/>
        </w:rPr>
        <w:t xml:space="preserve"> </w:t>
      </w:r>
      <w:r>
        <w:t xml:space="preserve">(„Schwanz") und bedeutet wörtlich „den Schwanz abschneiden" → übertragen: „die Nachhut angreifen, von hinten angreifen". Die Formulierung </w:t>
      </w:r>
      <w:r>
        <w:rPr>
          <w:rStyle w:val="Fett"/>
          <w:rFonts w:eastAsiaTheme="majorEastAsia"/>
          <w:rtl/>
        </w:rPr>
        <w:t>בְּךָ</w:t>
      </w:r>
      <w:r>
        <w:rPr>
          <w:rtl/>
        </w:rPr>
        <w:t xml:space="preserve"> </w:t>
      </w:r>
      <w:r>
        <w:t xml:space="preserve">(„an dir, bei dir") – gegen deine Leute. Das Partizip </w:t>
      </w:r>
      <w:r>
        <w:rPr>
          <w:rStyle w:val="Fett"/>
          <w:rFonts w:eastAsiaTheme="majorEastAsia"/>
          <w:rtl/>
        </w:rPr>
        <w:t>נֶחֱשָׁל</w:t>
      </w:r>
      <w:r>
        <w:rPr>
          <w:rtl/>
        </w:rPr>
        <w:t xml:space="preserve"> </w:t>
      </w:r>
      <w:r>
        <w:t xml:space="preserve">im Niphal („schwach, zurückgeblieben, erschöpft") bezeichnet die Schwächsten, die nicht mithalten konnten und zurückblieben. Die Formulierung </w:t>
      </w:r>
      <w:r>
        <w:rPr>
          <w:rStyle w:val="Fett"/>
          <w:rFonts w:eastAsiaTheme="majorEastAsia"/>
          <w:rtl/>
        </w:rPr>
        <w:t>אַחֲרֶיךָ</w:t>
      </w:r>
      <w:r>
        <w:rPr>
          <w:rtl/>
        </w:rPr>
        <w:t xml:space="preserve"> </w:t>
      </w:r>
      <w:r>
        <w:t xml:space="preserve">(„hinter dir") – am Ende der Karawane. Amaleks Taktik war feige: Sie griffen nicht die starke Vorhut an, sondern die schwachen, wehrlosen Nachzügler. Die dritte Beschreibung (Umstände): </w:t>
      </w:r>
      <w:r>
        <w:rPr>
          <w:rStyle w:val="Fett"/>
          <w:rFonts w:eastAsiaTheme="majorEastAsia"/>
          <w:rtl/>
        </w:rPr>
        <w:t>וְאַתָּה עָיֵף וְיָגֵעַ</w:t>
      </w:r>
      <w:r>
        <w:rPr>
          <w:rtl/>
        </w:rPr>
        <w:t xml:space="preserve"> </w:t>
      </w:r>
      <w:r>
        <w:t xml:space="preserve">(„und du warst müde und erschöpft"). Die beiden Adjektive </w:t>
      </w:r>
      <w:r>
        <w:rPr>
          <w:rStyle w:val="Fett"/>
          <w:rFonts w:eastAsiaTheme="majorEastAsia"/>
          <w:rtl/>
        </w:rPr>
        <w:t>עָיֵף</w:t>
      </w:r>
      <w:r>
        <w:rPr>
          <w:rtl/>
        </w:rPr>
        <w:t xml:space="preserve"> </w:t>
      </w:r>
      <w:r>
        <w:t xml:space="preserve">(„müde, erschöpft") und </w:t>
      </w:r>
      <w:r>
        <w:rPr>
          <w:rStyle w:val="Fett"/>
          <w:rFonts w:eastAsiaTheme="majorEastAsia"/>
          <w:rtl/>
        </w:rPr>
        <w:t>יָגֵעַ</w:t>
      </w:r>
      <w:r>
        <w:rPr>
          <w:rtl/>
        </w:rPr>
        <w:t xml:space="preserve"> </w:t>
      </w:r>
      <w:r>
        <w:t xml:space="preserve">(„ermüdet, abgearbeitet") sind nahezu synonym und betonen: Israel war nach der langen Wanderung geschwächt. Die theologische Anklage: </w:t>
      </w:r>
      <w:r>
        <w:rPr>
          <w:rStyle w:val="Fett"/>
          <w:rFonts w:eastAsiaTheme="majorEastAsia"/>
          <w:rtl/>
        </w:rPr>
        <w:t>וְלֹא יָרֵא אֱלֹהִים</w:t>
      </w:r>
      <w:r>
        <w:rPr>
          <w:rtl/>
        </w:rPr>
        <w:t xml:space="preserve"> </w:t>
      </w:r>
      <w:r>
        <w:t xml:space="preserve">(„und er fürchtete Gott nicht"). Das Verb </w:t>
      </w:r>
      <w:r>
        <w:rPr>
          <w:rStyle w:val="Fett"/>
          <w:rFonts w:eastAsiaTheme="majorEastAsia"/>
          <w:rtl/>
        </w:rPr>
        <w:t>ירא</w:t>
      </w:r>
      <w:r>
        <w:rPr>
          <w:rtl/>
        </w:rPr>
        <w:t xml:space="preserve"> </w:t>
      </w:r>
      <w:r>
        <w:t xml:space="preserve">(„fürchten") mit </w:t>
      </w:r>
      <w:r>
        <w:rPr>
          <w:rStyle w:val="Fett"/>
          <w:rFonts w:eastAsiaTheme="majorEastAsia"/>
          <w:rtl/>
        </w:rPr>
        <w:t>אֱלֹהִים</w:t>
      </w:r>
      <w:r>
        <w:rPr>
          <w:rtl/>
        </w:rPr>
        <w:t xml:space="preserve"> </w:t>
      </w:r>
      <w:r>
        <w:t xml:space="preserve">(nicht </w:t>
      </w:r>
      <w:r>
        <w:rPr>
          <w:rStyle w:val="Fett"/>
          <w:rFonts w:eastAsiaTheme="majorEastAsia"/>
          <w:rtl/>
        </w:rPr>
        <w:lastRenderedPageBreak/>
        <w:t>יְהוָה</w:t>
      </w:r>
      <w:r>
        <w:t>!) bezeichnet Gottesfurcht im allgemeinen Sinne – nicht spezifisch JHWH, sondern grundlegende religiöse Ehrfurcht und Moral. Amalek hatte keine Gottesfurcht, keine moralischen Hemmungen – sie griffen Wehrlose und Schwache an. Die Kombination dieser Faktoren macht Amaleks Angriff besonders verwerflich: (1) Feigheit – Angriff auf die Schwächsten; (2) Opportunismus – Ausnutzung von Israels Erschöpfung; (3) Gottlosigkeit – keine Gottesfurcht. V. 19 wird die Konsequenz nennen.</w:t>
      </w:r>
    </w:p>
    <w:p w14:paraId="3EBBACF8" w14:textId="58F3EBED" w:rsidR="00A600C6" w:rsidRDefault="00A600C6" w:rsidP="00166F02">
      <w:pPr>
        <w:pStyle w:val="whitespace-normal"/>
      </w:pPr>
      <w:r>
        <w:rPr>
          <w:rStyle w:val="Fett"/>
        </w:rPr>
        <w:t>Die LXX</w:t>
      </w:r>
      <w:r>
        <w:t xml:space="preserve"> übersetzt </w:t>
      </w:r>
      <w:r>
        <w:rPr>
          <w:rtl/>
        </w:rPr>
        <w:t>וַיְזַנֵּב בְּךָ</w:t>
      </w:r>
      <w:r>
        <w:t xml:space="preserve"> (und er schlug dir den Schwanz ab) mit καὶ </w:t>
      </w:r>
      <w:proofErr w:type="spellStart"/>
      <w:r>
        <w:t>ἔκοψέν</w:t>
      </w:r>
      <w:proofErr w:type="spellEnd"/>
      <w:r>
        <w:t xml:space="preserve"> </w:t>
      </w:r>
      <w:proofErr w:type="spellStart"/>
      <w:r>
        <w:t>σου</w:t>
      </w:r>
      <w:proofErr w:type="spellEnd"/>
      <w:r>
        <w:t xml:space="preserve"> τὴν </w:t>
      </w:r>
      <w:proofErr w:type="spellStart"/>
      <w:r>
        <w:t>οὐρ</w:t>
      </w:r>
      <w:proofErr w:type="spellEnd"/>
      <w:r>
        <w:t xml:space="preserve">αγίαν (und er schnitt deine Nachhut ab) – wobei </w:t>
      </w:r>
      <w:proofErr w:type="spellStart"/>
      <w:r>
        <w:t>οὐρ</w:t>
      </w:r>
      <w:proofErr w:type="spellEnd"/>
      <w:r>
        <w:t>αγία ein militärischer Fachbegriff für die Nachhut ist. Die Wendung κ</w:t>
      </w:r>
      <w:r>
        <w:rPr>
          <w:rtl/>
        </w:rPr>
        <w:t>ָּל־הַנֶּחֱשָׁלִים אַחֲרֶיךָ</w:t>
      </w:r>
      <w:r>
        <w:t xml:space="preserve"> (alle Schwachen hinter dir) wird mit </w:t>
      </w:r>
      <w:proofErr w:type="spellStart"/>
      <w:r>
        <w:t>τοὺς</w:t>
      </w:r>
      <w:proofErr w:type="spellEnd"/>
      <w:r>
        <w:t xml:space="preserve"> </w:t>
      </w:r>
      <w:proofErr w:type="spellStart"/>
      <w:r>
        <w:t>κο</w:t>
      </w:r>
      <w:proofErr w:type="spellEnd"/>
      <w:r>
        <w:t>πιῶντας ὀπ</w:t>
      </w:r>
      <w:proofErr w:type="spellStart"/>
      <w:r>
        <w:t>ίσω</w:t>
      </w:r>
      <w:proofErr w:type="spellEnd"/>
      <w:r>
        <w:t xml:space="preserve"> </w:t>
      </w:r>
      <w:proofErr w:type="spellStart"/>
      <w:r>
        <w:t>σου</w:t>
      </w:r>
      <w:proofErr w:type="spellEnd"/>
      <w:r>
        <w:t xml:space="preserve"> (die Ermüdeten hinter dir) übersetzt. </w:t>
      </w:r>
      <w:r>
        <w:rPr>
          <w:rStyle w:val="Fett"/>
        </w:rPr>
        <w:t>Die LXX</w:t>
      </w:r>
      <w:r>
        <w:t xml:space="preserve"> übersetzt </w:t>
      </w:r>
      <w:r>
        <w:rPr>
          <w:rtl/>
        </w:rPr>
        <w:t>וְאַתָּה עָיֵף וְיָגֵעַ</w:t>
      </w:r>
      <w:r>
        <w:t xml:space="preserve"> (und du warst müde und erschöpft) mit </w:t>
      </w:r>
      <w:proofErr w:type="spellStart"/>
      <w:r>
        <w:t>σὺ</w:t>
      </w:r>
      <w:proofErr w:type="spellEnd"/>
      <w:r>
        <w:t xml:space="preserve"> </w:t>
      </w:r>
      <w:proofErr w:type="spellStart"/>
      <w:r>
        <w:t>δὲ</w:t>
      </w:r>
      <w:proofErr w:type="spellEnd"/>
      <w:r>
        <w:t xml:space="preserve"> ἐπ</w:t>
      </w:r>
      <w:proofErr w:type="spellStart"/>
      <w:r>
        <w:t>είν</w:t>
      </w:r>
      <w:proofErr w:type="spellEnd"/>
      <w:r>
        <w:t xml:space="preserve">ας καὶ </w:t>
      </w:r>
      <w:proofErr w:type="spellStart"/>
      <w:r>
        <w:t>ἐκο</w:t>
      </w:r>
      <w:proofErr w:type="spellEnd"/>
      <w:r>
        <w:t>πίας (du aber warst hungrig und erschöpft) – eine bemerkenswerte Änderung, die "müde" durch "hungrig" ersetzt.</w:t>
      </w:r>
    </w:p>
    <w:p w14:paraId="31CA95D9" w14:textId="77777777" w:rsidR="00166F02" w:rsidRDefault="00166F02" w:rsidP="00166F02">
      <w:pPr>
        <w:pStyle w:val="whitespace-normal"/>
      </w:pPr>
      <w:r>
        <w:rPr>
          <w:rStyle w:val="Fett"/>
          <w:rFonts w:eastAsiaTheme="majorEastAsia"/>
        </w:rPr>
        <w:t>Die Satzstruktur:</w:t>
      </w:r>
      <w:r>
        <w:t xml:space="preserve"> Relativsatz mit drei Beschreibungen (wie er dich traf auf dem Weg, und niederschlug er an dir alle die Schwachen hinter dir, und du warst müde und erschöpft; und er fürchtete Gott nicht).</w:t>
      </w:r>
    </w:p>
    <w:p w14:paraId="09388013" w14:textId="75DDF69B" w:rsidR="00166F02" w:rsidRDefault="00166F02" w:rsidP="00705F3D">
      <w:pPr>
        <w:pStyle w:val="whitespace-normal"/>
      </w:pPr>
      <w:r>
        <w:rPr>
          <w:rStyle w:val="Fett"/>
          <w:rFonts w:eastAsiaTheme="majorEastAsia"/>
        </w:rPr>
        <w:t>Der Vers beschreibt:</w:t>
      </w:r>
      <w:r>
        <w:t xml:space="preserve"> Amaleks Verbrechen – feiger Angriff auf die schwachen Nachzügler, Ausnutzung von Israels Erschöpfung, keine Gottesfurcht.</w:t>
      </w:r>
    </w:p>
    <w:p w14:paraId="57960F13" w14:textId="77777777" w:rsidR="00166F02" w:rsidRPr="00713867" w:rsidRDefault="00166F02" w:rsidP="00B53ACC">
      <w:pPr>
        <w:pStyle w:val="Bibelberschrift"/>
      </w:pPr>
      <w:r w:rsidRPr="00713867">
        <w:rPr>
          <w:rStyle w:val="Fett"/>
          <w:b/>
          <w:bCs w:val="0"/>
        </w:rPr>
        <w:t>Deuteronomium 25,19</w:t>
      </w:r>
    </w:p>
    <w:p w14:paraId="32CD3241" w14:textId="77777777" w:rsidR="00166F02" w:rsidRDefault="00166F02" w:rsidP="00166F02">
      <w:pPr>
        <w:pStyle w:val="whitespace-normal"/>
      </w:pPr>
      <w:r>
        <w:rPr>
          <w:rStyle w:val="Fett"/>
          <w:rFonts w:eastAsiaTheme="majorEastAsia"/>
        </w:rPr>
        <w:t>Hebräisch:</w:t>
      </w:r>
      <w:r>
        <w:t xml:space="preserve"> </w:t>
      </w:r>
      <w:r>
        <w:rPr>
          <w:rtl/>
        </w:rPr>
        <w:t>וְהָיָ֡ה בְּהָנִ֣יחַ יְהוָ֣ה אֱלֹהֶ֣יךָ ׀ לְ֠ךָ מִכָּל־אֹ֨יְבֶ֜יךָ מִסָּבִ֗יב בָּאָ֨רֶץ֙ אֲשֶׁ֣ר יְהוָה־אֱ֠לֹהֶיךָ נֹתֵ֨ן לְךָ֤ נַחֲלָה֙ לְרִשְׁתָּ֔הּ תִּמְחֶה֙ אֶת־זֵ֣כֶר עֲמָלֵ֔ק מִתַּ֖חַת הַשָּׁמָ֑יִם לֹ֖א תִּשְׁכָּֽח׃</w:t>
      </w:r>
    </w:p>
    <w:p w14:paraId="050DC61A" w14:textId="77777777" w:rsidR="00166F02" w:rsidRDefault="00166F02" w:rsidP="00166F02">
      <w:pPr>
        <w:pStyle w:val="whitespace-normal"/>
      </w:pPr>
      <w:r>
        <w:rPr>
          <w:rStyle w:val="Fett"/>
          <w:rFonts w:eastAsiaTheme="majorEastAsia"/>
        </w:rPr>
        <w:t>Deutsch:</w:t>
      </w:r>
      <w:r>
        <w:t xml:space="preserve"> Und es soll geschehen, wenn JHWH, dein Gott, dir Ruhe verschafft hat von allen deinen Feinden ringsum in dem Land, das JHWH, dein Gott, dir als Erbe gibt, um es in Besitz zu nehmen, sollst du das Andenken Amaleks auslöschen unter dem Himmel; du sollst nicht vergessen.</w:t>
      </w:r>
    </w:p>
    <w:p w14:paraId="7C7588CA" w14:textId="77777777" w:rsidR="00166F02" w:rsidRDefault="004F5CEB" w:rsidP="00166F02">
      <w:r>
        <w:rPr>
          <w:noProof/>
        </w:rPr>
        <w:pict w14:anchorId="05CF4BA6">
          <v:rect id="_x0000_i1692" style="width:0;height:1.5pt" o:hralign="center" o:hrstd="t" o:hr="t" fillcolor="#a0a0a0" stroked="f"/>
        </w:pict>
      </w:r>
    </w:p>
    <w:p w14:paraId="440DBA2C"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וְהָיָה בְּהָנִיחַ יְהוָה אֱלֹהֶיךָ לְךָ מִכָּל־אֹיְבֶיךָ מִסָּבִיב בָּאָרֶץ אֲשֶׁר יְהוָה־אֱלֹהֶיךָ נֹתֵן לְךָ נַחֲלָה לְרִשְׁתָּהּ תִּמְחֶה אֶת־זֵכֶר עֲמָלֵק מִתַּחַת הַשָּׁמָיִם לֹא תִּשְׁכָּח</w:t>
      </w:r>
      <w:r>
        <w:rPr>
          <w:rtl/>
        </w:rPr>
        <w:t xml:space="preserve"> </w:t>
      </w:r>
      <w:r>
        <w:t xml:space="preserve">ist eine Bedingung mit zwei Anweisungen: </w:t>
      </w:r>
      <w:r>
        <w:rPr>
          <w:rStyle w:val="Fett"/>
          <w:rFonts w:eastAsiaTheme="majorEastAsia"/>
          <w:rtl/>
        </w:rPr>
        <w:t>וְהָיָה בְּהָנִיחַ יְהוָה אֱלֹהֶיךָ לְךָ מִכָּל־אֹיְבֶיךָ מִסָּבִיב בָּאָרֶץ אֲשֶׁר יְהוָה־אֱלֹהֶיךָ נֹתֵן לְךָ נַחֲלָה לְרִשְׁתָּהּ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3. Person Maskulinum Singular, Präposition </w:t>
      </w:r>
      <w:r>
        <w:rPr>
          <w:rStyle w:val="Fett"/>
          <w:rFonts w:eastAsiaTheme="majorEastAsia"/>
          <w:rtl/>
        </w:rPr>
        <w:t>בְּ</w:t>
      </w:r>
      <w:r>
        <w:rPr>
          <w:rtl/>
        </w:rPr>
        <w:t xml:space="preserve"> </w:t>
      </w:r>
      <w:r>
        <w:t xml:space="preserve">mit Hiphil Infinitiv Construct von </w:t>
      </w:r>
      <w:r>
        <w:rPr>
          <w:rStyle w:val="Fett"/>
          <w:rFonts w:eastAsiaTheme="majorEastAsia"/>
          <w:rtl/>
        </w:rPr>
        <w:t>נוח</w:t>
      </w:r>
      <w:r>
        <w:t xml:space="preserve">, „Ruhe verschaffen, zur Ruhe bringen", </w:t>
      </w:r>
      <w:r>
        <w:rPr>
          <w:rStyle w:val="Fett"/>
          <w:rFonts w:eastAsiaTheme="majorEastAsia"/>
          <w:rtl/>
        </w:rPr>
        <w:t>יְהוָה אֱלֹהֶיךָ</w:t>
      </w:r>
      <w:r>
        <w:rPr>
          <w:rtl/>
        </w:rPr>
        <w:t xml:space="preserve"> </w:t>
      </w:r>
      <w:r>
        <w:t xml:space="preserve">als Subjekt des Infinitivs, </w:t>
      </w:r>
      <w:r>
        <w:rPr>
          <w:rStyle w:val="Fett"/>
          <w:rFonts w:eastAsiaTheme="majorEastAsia"/>
          <w:rtl/>
        </w:rPr>
        <w:t>לְךָ</w:t>
      </w:r>
      <w:r>
        <w:t xml:space="preserve">, Dativ, Präposition </w:t>
      </w:r>
      <w:r>
        <w:rPr>
          <w:rStyle w:val="Fett"/>
          <w:rFonts w:eastAsiaTheme="majorEastAsia"/>
          <w:rtl/>
        </w:rPr>
        <w:t>מִן</w:t>
      </w:r>
      <w:r>
        <w:rPr>
          <w:rtl/>
        </w:rPr>
        <w:t xml:space="preserve"> </w:t>
      </w:r>
      <w:r>
        <w:t xml:space="preserve">mit </w:t>
      </w:r>
      <w:r>
        <w:rPr>
          <w:rStyle w:val="Fett"/>
          <w:rFonts w:eastAsiaTheme="majorEastAsia"/>
          <w:rtl/>
        </w:rPr>
        <w:t>כֹּל</w:t>
      </w:r>
      <w:r>
        <w:t xml:space="preserve">, </w:t>
      </w:r>
      <w:r>
        <w:rPr>
          <w:rStyle w:val="Fett"/>
          <w:rFonts w:eastAsiaTheme="majorEastAsia"/>
          <w:rtl/>
        </w:rPr>
        <w:t>אֹיֵב</w:t>
      </w:r>
      <w:r>
        <w:t xml:space="preserve">, „Feind", Plural mit Suffix 2. Person Maskulinum Singular, </w:t>
      </w:r>
      <w:r>
        <w:rPr>
          <w:rStyle w:val="Fett"/>
          <w:rFonts w:eastAsiaTheme="majorEastAsia"/>
          <w:rtl/>
        </w:rPr>
        <w:t>מִסָּבִיב</w:t>
      </w:r>
      <w:r>
        <w:t xml:space="preserve">, „ringsum, ringsherum", </w:t>
      </w:r>
      <w:r>
        <w:rPr>
          <w:rStyle w:val="Fett"/>
          <w:rFonts w:eastAsiaTheme="majorEastAsia"/>
          <w:rtl/>
        </w:rPr>
        <w:t>בָּאָרֶץ אֲשֶׁר יְהוָה־אֱלֹהֶיךָ נֹתֵן לְךָ נַחֲלָה לְרִשְׁתָּהּ</w:t>
      </w:r>
      <w:r>
        <w:rPr>
          <w:rtl/>
        </w:rPr>
        <w:t xml:space="preserve"> </w:t>
      </w:r>
      <w:r>
        <w:t xml:space="preserve">– die übliche Formel, mit </w:t>
      </w:r>
      <w:r>
        <w:rPr>
          <w:rStyle w:val="Fett"/>
          <w:rFonts w:eastAsiaTheme="majorEastAsia"/>
        </w:rPr>
        <w:t>Waw</w:t>
      </w:r>
      <w:r>
        <w:t xml:space="preserve"> consecutives Perfekt), </w:t>
      </w:r>
      <w:r>
        <w:rPr>
          <w:rStyle w:val="Fett"/>
          <w:rFonts w:eastAsiaTheme="majorEastAsia"/>
          <w:rtl/>
        </w:rPr>
        <w:t>תִּמְחֶה אֶת־זֵכֶר עֲמָלֵק מִתַּחַת הַשָּׁמָיִם</w:t>
      </w:r>
      <w:r>
        <w:rPr>
          <w:rtl/>
        </w:rPr>
        <w:t xml:space="preserve"> </w:t>
      </w:r>
      <w:r>
        <w:t>(</w:t>
      </w:r>
      <w:r>
        <w:rPr>
          <w:rStyle w:val="Fett"/>
          <w:rFonts w:eastAsiaTheme="majorEastAsia"/>
          <w:rtl/>
        </w:rPr>
        <w:t>מחה</w:t>
      </w:r>
      <w:r>
        <w:t xml:space="preserve">, Qal Imperfekt, 2. Person Maskulinum Singular, „auslöschen, tilgen, ausrotten", Objektpartikel </w:t>
      </w:r>
      <w:r>
        <w:rPr>
          <w:rStyle w:val="Fett"/>
          <w:rFonts w:eastAsiaTheme="majorEastAsia"/>
          <w:rtl/>
        </w:rPr>
        <w:t>אֵת</w:t>
      </w:r>
      <w:r>
        <w:rPr>
          <w:rtl/>
        </w:rPr>
        <w:t xml:space="preserve"> </w:t>
      </w:r>
      <w:r>
        <w:t xml:space="preserve">mit </w:t>
      </w:r>
      <w:r>
        <w:rPr>
          <w:rStyle w:val="Fett"/>
          <w:rFonts w:eastAsiaTheme="majorEastAsia"/>
          <w:rtl/>
        </w:rPr>
        <w:t>זֵכֶר</w:t>
      </w:r>
      <w:r>
        <w:t xml:space="preserve">, „Andenken, Gedächtnis, Erinnerung", Construct mit </w:t>
      </w:r>
      <w:r>
        <w:rPr>
          <w:rStyle w:val="Fett"/>
          <w:rFonts w:eastAsiaTheme="majorEastAsia"/>
          <w:rtl/>
        </w:rPr>
        <w:t>עֲמָלֵק</w:t>
      </w:r>
      <w:r>
        <w:t xml:space="preserve">, Präposition </w:t>
      </w:r>
      <w:r>
        <w:rPr>
          <w:rStyle w:val="Fett"/>
          <w:rFonts w:eastAsiaTheme="majorEastAsia"/>
          <w:rtl/>
        </w:rPr>
        <w:t>מִן</w:t>
      </w:r>
      <w:r>
        <w:rPr>
          <w:rtl/>
        </w:rPr>
        <w:t xml:space="preserve"> </w:t>
      </w:r>
      <w:r>
        <w:t xml:space="preserve">mit </w:t>
      </w:r>
      <w:r>
        <w:rPr>
          <w:rStyle w:val="Fett"/>
          <w:rFonts w:eastAsiaTheme="majorEastAsia"/>
          <w:rtl/>
        </w:rPr>
        <w:t>תַּחַת</w:t>
      </w:r>
      <w:r>
        <w:t xml:space="preserve">, „unter, unterhalb", </w:t>
      </w:r>
      <w:r>
        <w:rPr>
          <w:rStyle w:val="Fett"/>
          <w:rFonts w:eastAsiaTheme="majorEastAsia"/>
          <w:rtl/>
        </w:rPr>
        <w:t>שָׁמַיִם</w:t>
      </w:r>
      <w:r>
        <w:t xml:space="preserve">, „Himmel"), </w:t>
      </w:r>
      <w:r>
        <w:rPr>
          <w:rStyle w:val="Fett"/>
          <w:rFonts w:eastAsiaTheme="majorEastAsia"/>
          <w:rtl/>
        </w:rPr>
        <w:t>לֹא תִּשְׁכָּח</w:t>
      </w:r>
      <w:r>
        <w:rPr>
          <w:rtl/>
        </w:rPr>
        <w:t xml:space="preserve"> </w:t>
      </w:r>
      <w:r>
        <w:t xml:space="preserve">(Negation mit </w:t>
      </w:r>
      <w:r>
        <w:rPr>
          <w:rStyle w:val="Fett"/>
          <w:rFonts w:eastAsiaTheme="majorEastAsia"/>
          <w:rtl/>
        </w:rPr>
        <w:t>שׁכח</w:t>
      </w:r>
      <w:r>
        <w:t>, Qal Imperfekt, 2. Person Maskulinum Singular, „vergessen").</w:t>
      </w:r>
    </w:p>
    <w:p w14:paraId="00AA8BB1" w14:textId="768B2218" w:rsidR="000F34F9" w:rsidRDefault="00166F02" w:rsidP="00166F02">
      <w:pPr>
        <w:pStyle w:val="whitespace-normal"/>
      </w:pPr>
      <w:r>
        <w:lastRenderedPageBreak/>
        <w:t xml:space="preserve">Der Vers gibt das Gebot zur Vernichtung Amaleks. Die Bedingung: </w:t>
      </w:r>
      <w:r>
        <w:rPr>
          <w:rStyle w:val="Fett"/>
          <w:rFonts w:eastAsiaTheme="majorEastAsia"/>
          <w:rtl/>
        </w:rPr>
        <w:t>וְהָיָה בְּהָנִיחַ יְהוָה אֱלֹהֶיךָ לְךָ מִכָּל־אֹיְבֶיךָ מִסָּבִיב בָּאָרֶץ אֲשֶׁר יְהוָה־אֱלֹהֶיךָ נֹתֵן לְךָ נַחֲלָה לְרִשְׁתָּהּ</w:t>
      </w:r>
      <w:r>
        <w:rPr>
          <w:rtl/>
        </w:rPr>
        <w:t xml:space="preserve"> </w:t>
      </w:r>
      <w:r>
        <w:t xml:space="preserve">(„und es soll geschehen, wenn Ruhe verschafft JHWH, dein Gott, dir von allen deinen Feinden ringsum in dem Land, das JHWH, dein Gott, dir gibt als Erbe, um es in Besitz zu nehmen"). Das Verb </w:t>
      </w:r>
      <w:r>
        <w:rPr>
          <w:rStyle w:val="Fett"/>
          <w:rFonts w:eastAsiaTheme="majorEastAsia"/>
          <w:rtl/>
        </w:rPr>
        <w:t>נוח</w:t>
      </w:r>
      <w:r>
        <w:rPr>
          <w:rtl/>
        </w:rPr>
        <w:t xml:space="preserve"> </w:t>
      </w:r>
      <w:r>
        <w:t xml:space="preserve">im Hiphil („Ruhe verschaffen, zur Ruhe bringen") bezeichnet das Ende der Kriege und die Etablierung von Frieden und Sicherheit (vgl. 3,20; 12,10; Jos 21,44; 23,1; </w:t>
      </w:r>
      <w:r w:rsidR="00664EB6">
        <w:t>2Sam</w:t>
      </w:r>
      <w:r>
        <w:t xml:space="preserve"> 7,1.11). Die Formulierung </w:t>
      </w:r>
      <w:r>
        <w:rPr>
          <w:rStyle w:val="Fett"/>
          <w:rFonts w:eastAsiaTheme="majorEastAsia"/>
          <w:rtl/>
        </w:rPr>
        <w:t>מִכָּל־אֹיְבֶיךָ מִסָּבִיב</w:t>
      </w:r>
      <w:r>
        <w:rPr>
          <w:rtl/>
        </w:rPr>
        <w:t xml:space="preserve"> </w:t>
      </w:r>
      <w:r>
        <w:t xml:space="preserve">(„von allen deinen Feinden ringsum") – vollständiger Friede. Die Anweisung ist also nicht für die unmittelbare Zukunft, sondern für die Zeit, wenn Israel sich im Land etabliert hat und in Sicherheit lebt. Die erste Anweisung: </w:t>
      </w:r>
      <w:r>
        <w:rPr>
          <w:rStyle w:val="Fett"/>
          <w:rFonts w:eastAsiaTheme="majorEastAsia"/>
          <w:rtl/>
        </w:rPr>
        <w:t>תִּמְחֶה אֶת־זֵכֶר עֲמָלֵק מִתַּחַת הַשָּׁמָיִם</w:t>
      </w:r>
      <w:r>
        <w:rPr>
          <w:rtl/>
        </w:rPr>
        <w:t xml:space="preserve"> </w:t>
      </w:r>
      <w:r>
        <w:t xml:space="preserve">(„auslöschen sollst du das Andenken Amaleks unter dem Himmel"). Das Verb </w:t>
      </w:r>
      <w:r>
        <w:rPr>
          <w:rStyle w:val="Fett"/>
          <w:rFonts w:eastAsiaTheme="majorEastAsia"/>
          <w:rtl/>
        </w:rPr>
        <w:t>מחה</w:t>
      </w:r>
      <w:r>
        <w:rPr>
          <w:rtl/>
        </w:rPr>
        <w:t xml:space="preserve"> </w:t>
      </w:r>
      <w:r>
        <w:t xml:space="preserve">(„auslöschen, tilgen, ausrotten") ist stark – vollständige Vernichtung (vgl. Ex 17,14; 32,32.33; Num 5,23; 2Kön 14,27; Ps 9,6; 69,29; Spr 6,33). Das Wort </w:t>
      </w:r>
      <w:r>
        <w:rPr>
          <w:rStyle w:val="Fett"/>
          <w:rFonts w:eastAsiaTheme="majorEastAsia"/>
          <w:rtl/>
        </w:rPr>
        <w:t>זֵכֶר</w:t>
      </w:r>
      <w:r>
        <w:rPr>
          <w:rtl/>
        </w:rPr>
        <w:t xml:space="preserve"> </w:t>
      </w:r>
      <w:r>
        <w:t xml:space="preserve">(„Andenken, Gedächtnis, Erinnerung") – nicht nur das Volk selbst, sondern auch die Erinnerung an sie soll vernichtet werden. Die Formulierung </w:t>
      </w:r>
      <w:r>
        <w:rPr>
          <w:rStyle w:val="Fett"/>
          <w:rFonts w:eastAsiaTheme="majorEastAsia"/>
          <w:rtl/>
        </w:rPr>
        <w:t>מִתַּחַת הַשָּׁמָיִם</w:t>
      </w:r>
      <w:r>
        <w:rPr>
          <w:rtl/>
        </w:rPr>
        <w:t xml:space="preserve"> </w:t>
      </w:r>
      <w:r>
        <w:t xml:space="preserve">(„unter dem Himmel") ist eine Totalitätsformel: von der gesamten Erde (vgl. Ex 17,14; Dtn 7,24; 9,14; 29,19). Die zweite Anweisung: </w:t>
      </w:r>
      <w:r>
        <w:rPr>
          <w:rStyle w:val="Fett"/>
          <w:rFonts w:eastAsiaTheme="majorEastAsia"/>
          <w:rtl/>
        </w:rPr>
        <w:t>לֹא תִּשְׁכָּח</w:t>
      </w:r>
      <w:r>
        <w:rPr>
          <w:rtl/>
        </w:rPr>
        <w:t xml:space="preserve"> </w:t>
      </w:r>
      <w:r>
        <w:t xml:space="preserve">(„nicht vergessen sollst du"). Das Verb </w:t>
      </w:r>
      <w:r>
        <w:rPr>
          <w:rStyle w:val="Fett"/>
          <w:rFonts w:eastAsiaTheme="majorEastAsia"/>
          <w:rtl/>
        </w:rPr>
        <w:t>שׁכח</w:t>
      </w:r>
      <w:r>
        <w:rPr>
          <w:rtl/>
        </w:rPr>
        <w:t xml:space="preserve"> </w:t>
      </w:r>
      <w:r>
        <w:t xml:space="preserve">(„vergessen") mit Negation – Israel soll diese Verpflichtung nicht vergessen. Historische Erfüllung: </w:t>
      </w:r>
      <w:r w:rsidR="00664EB6">
        <w:t>1Sam</w:t>
      </w:r>
      <w:r>
        <w:t xml:space="preserve"> 15,1-33 – Saul erhält von Samuel den Befehl, Amalek vollständig zu vernichten. Saul gehorcht nur teilweise (er verschont König Agag und das beste Vieh), was zu seiner Verwerfung als König führt. Haman in Esther ist ein Agagiter (Est 3,1) – ein Nachkomme der Amalekiter, was den uralten Konflikt fortsetzt. Theologische und ethische Fragen: </w:t>
      </w:r>
    </w:p>
    <w:p w14:paraId="0934681C" w14:textId="77777777" w:rsidR="000F34F9" w:rsidRDefault="00166F02" w:rsidP="000F34F9">
      <w:pPr>
        <w:pStyle w:val="KeinLeerraum"/>
      </w:pPr>
      <w:r>
        <w:t>Dieses Gebot der totalen Vernichtung (</w:t>
      </w:r>
      <w:r>
        <w:rPr>
          <w:rStyle w:val="Fett"/>
          <w:rFonts w:eastAsiaTheme="majorEastAsia"/>
          <w:rtl/>
        </w:rPr>
        <w:t>חֵרֶם</w:t>
      </w:r>
      <w:r>
        <w:t xml:space="preserve">, „Bann") eines ganzen Volkes wirft schwierige Fragen auf: </w:t>
      </w:r>
    </w:p>
    <w:p w14:paraId="7393BDBA" w14:textId="77777777" w:rsidR="000F34F9" w:rsidRDefault="00166F02" w:rsidP="000F34F9">
      <w:pPr>
        <w:pStyle w:val="KeinLeerraum"/>
      </w:pPr>
      <w:r>
        <w:t xml:space="preserve">(1) Wie passt dies zu JHWHs Barmherzigkeit? </w:t>
      </w:r>
    </w:p>
    <w:p w14:paraId="5C24E271" w14:textId="77777777" w:rsidR="000F34F9" w:rsidRDefault="00166F02" w:rsidP="000F34F9">
      <w:pPr>
        <w:pStyle w:val="KeinLeerraum"/>
      </w:pPr>
      <w:r>
        <w:t xml:space="preserve">(2) Ist dies zeitgebunden oder überzeitlich? </w:t>
      </w:r>
    </w:p>
    <w:p w14:paraId="6CBD0F1B" w14:textId="05E27811" w:rsidR="000F34F9" w:rsidRDefault="00166F02" w:rsidP="000F34F9">
      <w:pPr>
        <w:pStyle w:val="KeinLeerraum"/>
      </w:pPr>
      <w:r>
        <w:t xml:space="preserve">(3) Wie sollen heutige Gläubige damit umgehen? </w:t>
      </w:r>
    </w:p>
    <w:p w14:paraId="18DD2DBE" w14:textId="77777777" w:rsidR="000F34F9" w:rsidRDefault="00166F02" w:rsidP="000F34F9">
      <w:pPr>
        <w:pStyle w:val="KeinLeerraum"/>
      </w:pPr>
      <w:r>
        <w:t xml:space="preserve">Verschiedene Interpretationsansätze: </w:t>
      </w:r>
    </w:p>
    <w:p w14:paraId="7881310A" w14:textId="77777777" w:rsidR="000F34F9" w:rsidRDefault="00166F02" w:rsidP="000F34F9">
      <w:pPr>
        <w:pStyle w:val="KeinLeerraum"/>
      </w:pPr>
      <w:r>
        <w:t xml:space="preserve">(1) Historisch-kontextuell: Dies war eine spezifische, zeitgebundene Anweisung für eine spezifische historische Situation, nicht ein allgemeines Prinzip. </w:t>
      </w:r>
    </w:p>
    <w:p w14:paraId="233B0740" w14:textId="77777777" w:rsidR="000F34F9" w:rsidRDefault="00166F02" w:rsidP="000F34F9">
      <w:pPr>
        <w:pStyle w:val="KeinLeerraum"/>
      </w:pPr>
      <w:r>
        <w:t xml:space="preserve">(2) Theologisch-symbolisch: Amalek repräsentiert das absolut Böse, den radikalen Feind Gottes und Seines Volkes. Die Vernichtung Amaleks ist ein Symbol für den eschatologischen Sieg über das Böse. </w:t>
      </w:r>
    </w:p>
    <w:p w14:paraId="3B4A8981" w14:textId="77777777" w:rsidR="000F34F9" w:rsidRDefault="00166F02" w:rsidP="000F34F9">
      <w:pPr>
        <w:pStyle w:val="KeinLeerraum"/>
      </w:pPr>
      <w:r>
        <w:t xml:space="preserve">(3) Gerechtigkeits-orientiert: Amaleks Angriff auf Wehrlose (V. 18) war so verwerflich, dass er göttliches Gericht verdiente. </w:t>
      </w:r>
    </w:p>
    <w:p w14:paraId="5DAC0F83" w14:textId="2A91ED54" w:rsidR="00166F02" w:rsidRDefault="00166F02" w:rsidP="000F34F9">
      <w:pPr>
        <w:pStyle w:val="KeinLeerraum"/>
      </w:pPr>
      <w:r>
        <w:t>Die rabbinische Tradition diskutiert, ob Amalekiter, die sich bekehren würden, verschont werden könnten. Die meisten modernen Ausleger sehen dies als Teil der altorientalischen Kriegsführung, die heute nicht mehr anwendbar ist, aber die Erinnerung an Amaleks Bosheit bleibt eine Warnung gegen das Böse.</w:t>
      </w:r>
    </w:p>
    <w:p w14:paraId="27EE9FA3" w14:textId="434E7A10" w:rsidR="00A600C6" w:rsidRDefault="00A600C6" w:rsidP="00166F02">
      <w:pPr>
        <w:pStyle w:val="whitespace-normal"/>
      </w:pPr>
      <w:r>
        <w:rPr>
          <w:rStyle w:val="Fett"/>
        </w:rPr>
        <w:t>Die LXX</w:t>
      </w:r>
      <w:r>
        <w:t xml:space="preserve"> übersetzt </w:t>
      </w:r>
      <w:r>
        <w:rPr>
          <w:rtl/>
        </w:rPr>
        <w:t>תִּמְחֶה אֶת־זֵכֶר עֲמָלֵק</w:t>
      </w:r>
      <w:r>
        <w:t xml:space="preserve"> (du sollst das Andenken Amaleks auslöschen) mit </w:t>
      </w:r>
      <w:proofErr w:type="spellStart"/>
      <w:r>
        <w:t>ἐξ</w:t>
      </w:r>
      <w:proofErr w:type="spellEnd"/>
      <w:r>
        <w:t xml:space="preserve">αλείψεις </w:t>
      </w:r>
      <w:proofErr w:type="spellStart"/>
      <w:r>
        <w:t>τὸ</w:t>
      </w:r>
      <w:proofErr w:type="spellEnd"/>
      <w:r>
        <w:t xml:space="preserve"> </w:t>
      </w:r>
      <w:proofErr w:type="spellStart"/>
      <w:r>
        <w:t>ὄνομ</w:t>
      </w:r>
      <w:proofErr w:type="spellEnd"/>
      <w:r>
        <w:t xml:space="preserve">α </w:t>
      </w:r>
      <w:proofErr w:type="spellStart"/>
      <w:r>
        <w:t>Ἀμ</w:t>
      </w:r>
      <w:proofErr w:type="spellEnd"/>
      <w:r>
        <w:t xml:space="preserve">αλήκ (du wirst den Namen Amaleks auslöschen) – "Name" statt "Andenken". Die Schlusswendung καὶ </w:t>
      </w:r>
      <w:proofErr w:type="spellStart"/>
      <w:r>
        <w:t>οὐ</w:t>
      </w:r>
      <w:proofErr w:type="spellEnd"/>
      <w:r>
        <w:t xml:space="preserve"> </w:t>
      </w:r>
      <w:proofErr w:type="spellStart"/>
      <w:r>
        <w:t>μὴ</w:t>
      </w:r>
      <w:proofErr w:type="spellEnd"/>
      <w:r>
        <w:t xml:space="preserve"> ἐπ</w:t>
      </w:r>
      <w:proofErr w:type="spellStart"/>
      <w:r>
        <w:t>ιλάθῃ</w:t>
      </w:r>
      <w:proofErr w:type="spellEnd"/>
      <w:r>
        <w:t xml:space="preserve"> (und du wirst keinesfalls vergessen) für </w:t>
      </w:r>
      <w:r>
        <w:rPr>
          <w:rtl/>
        </w:rPr>
        <w:t>לֹא תִּשְׁכָּח</w:t>
      </w:r>
      <w:r>
        <w:t xml:space="preserve"> ist eine verstärkte Negation im Griechischen.</w:t>
      </w:r>
    </w:p>
    <w:p w14:paraId="2CDBF327" w14:textId="77777777" w:rsidR="00166F02" w:rsidRDefault="00166F02" w:rsidP="00166F02">
      <w:pPr>
        <w:pStyle w:val="whitespace-normal"/>
      </w:pPr>
      <w:r>
        <w:rPr>
          <w:rStyle w:val="Fett"/>
          <w:rFonts w:eastAsiaTheme="majorEastAsia"/>
        </w:rPr>
        <w:t>Die Satzstruktur:</w:t>
      </w:r>
      <w:r>
        <w:t xml:space="preserve"> Bedingung mit zwei Anweisungen (und es soll geschehen, wenn Ruhe verschafft JHWH, dein Gott, dir von allen deinen Feinden ringsum in dem Land, das JHWH, </w:t>
      </w:r>
      <w:r>
        <w:lastRenderedPageBreak/>
        <w:t>dein Gott, dir gibt als Erbe, um es in Besitz zu nehmen, auslöschen sollst du das Andenken Amaleks unter dem Himmel; nicht vergessen sollst du).</w:t>
      </w:r>
    </w:p>
    <w:p w14:paraId="0D0BDB7D" w14:textId="77777777" w:rsidR="00166F02" w:rsidRDefault="00166F02" w:rsidP="00166F02">
      <w:pPr>
        <w:pStyle w:val="whitespace-normal"/>
      </w:pPr>
      <w:r>
        <w:rPr>
          <w:rStyle w:val="Fett"/>
          <w:rFonts w:eastAsiaTheme="majorEastAsia"/>
        </w:rPr>
        <w:t>Der Vers beschreibt:</w:t>
      </w:r>
      <w:r>
        <w:t xml:space="preserve"> Gebot zur Vernichtung Amaleks – wenn Israel im Land zur Ruhe gekommen ist, soll es das Andenken Amaleks vollständig auslöschen; diese Verpflichtung soll nicht vergessen werden.</w:t>
      </w:r>
    </w:p>
    <w:p w14:paraId="43D224BC" w14:textId="77777777" w:rsidR="00166F02" w:rsidRPr="00713867" w:rsidRDefault="00166F02" w:rsidP="00B53ACC">
      <w:pPr>
        <w:pStyle w:val="Bibelberschrift"/>
      </w:pPr>
      <w:r w:rsidRPr="00713867">
        <w:rPr>
          <w:rStyle w:val="Fett"/>
          <w:b/>
          <w:bCs w:val="0"/>
        </w:rPr>
        <w:t>Deuteronomium 26,1</w:t>
      </w:r>
    </w:p>
    <w:p w14:paraId="6FD80FA5" w14:textId="77777777" w:rsidR="00166F02" w:rsidRDefault="00166F02" w:rsidP="00166F02">
      <w:pPr>
        <w:pStyle w:val="whitespace-normal"/>
      </w:pPr>
      <w:r>
        <w:rPr>
          <w:rStyle w:val="Fett"/>
          <w:rFonts w:eastAsiaTheme="majorEastAsia"/>
        </w:rPr>
        <w:t>Hebräisch:</w:t>
      </w:r>
      <w:r>
        <w:t xml:space="preserve"> </w:t>
      </w:r>
      <w:r>
        <w:rPr>
          <w:rtl/>
        </w:rPr>
        <w:t>וְהָיָה כִּֽי־תָבוֹא אֶל־הָאָרֶץ אֲשֶׁר יְהוָה אֱלֹהֶיךָ נֹתֵן לְךָ נַחֲלָה וִֽירִשְׁתָּהּ וְיָשַׁבְתָּ בָּֽהּ׃</w:t>
      </w:r>
    </w:p>
    <w:p w14:paraId="4EDD147E" w14:textId="77777777" w:rsidR="00166F02" w:rsidRDefault="00166F02" w:rsidP="00166F02">
      <w:pPr>
        <w:pStyle w:val="whitespace-normal"/>
      </w:pPr>
      <w:r>
        <w:rPr>
          <w:rStyle w:val="Fett"/>
          <w:rFonts w:eastAsiaTheme="majorEastAsia"/>
        </w:rPr>
        <w:t>Deutsch:</w:t>
      </w:r>
      <w:r>
        <w:t xml:space="preserve"> Und es soll geschehen, wenn du kommst in das Land, das JHWH, dein Gott, dir gibt als Erbe, und du nimmst es in Besitz und wohnst darin,</w:t>
      </w:r>
    </w:p>
    <w:p w14:paraId="126800D0" w14:textId="77777777" w:rsidR="00166F02" w:rsidRDefault="004F5CEB" w:rsidP="00166F02">
      <w:r>
        <w:rPr>
          <w:noProof/>
        </w:rPr>
        <w:pict w14:anchorId="004D7047">
          <v:rect id="_x0000_i1693" style="width:0;height:1.5pt" o:hralign="center" o:hrstd="t" o:hr="t" fillcolor="#a0a0a0" stroked="f"/>
        </w:pict>
      </w:r>
    </w:p>
    <w:p w14:paraId="3AF3F9A3"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וְהָיָה כִּי־תָבוֹא אֶל־הָאָרֶץ אֲשֶׁר יְהוָה אֱלֹהֶיךָ נֹתֵן לְךָ נַחֲלָה וִירִשְׁתָּהּ וְיָשַׁבְתָּ בָּהּ</w:t>
      </w:r>
      <w:r>
        <w:rPr>
          <w:rtl/>
        </w:rPr>
        <w:t xml:space="preserve"> </w:t>
      </w:r>
      <w:r>
        <w:t xml:space="preserve">ist eine Bedingung: </w:t>
      </w:r>
      <w:r>
        <w:rPr>
          <w:rStyle w:val="Fett"/>
          <w:rFonts w:eastAsiaTheme="majorEastAsia"/>
          <w:rtl/>
        </w:rPr>
        <w:t>וְהָיָה כִּי־תָבוֹא אֶל־הָאָרֶץ אֲשֶׁר יְהוָה אֱלֹהֶיךָ נֹתֵן לְךָ נַחֲלָה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3. Person Maskulinum Singular, </w:t>
      </w:r>
      <w:r>
        <w:rPr>
          <w:rStyle w:val="Fett"/>
          <w:rFonts w:eastAsiaTheme="majorEastAsia"/>
          <w:rtl/>
        </w:rPr>
        <w:t>כִּי</w:t>
      </w:r>
      <w:r>
        <w:rPr>
          <w:rtl/>
        </w:rPr>
        <w:t xml:space="preserve"> </w:t>
      </w:r>
      <w:r>
        <w:t xml:space="preserve">mit </w:t>
      </w:r>
      <w:r>
        <w:rPr>
          <w:rStyle w:val="Fett"/>
          <w:rFonts w:eastAsiaTheme="majorEastAsia"/>
          <w:rtl/>
        </w:rPr>
        <w:t>בוא</w:t>
      </w:r>
      <w:r>
        <w:t xml:space="preserve">, Qal Imperfekt, 2. Person Maskulinum Singular, „kommen", Präposition </w:t>
      </w:r>
      <w:r>
        <w:rPr>
          <w:rStyle w:val="Fett"/>
          <w:rFonts w:eastAsiaTheme="majorEastAsia"/>
          <w:rtl/>
        </w:rPr>
        <w:t>אֶל</w:t>
      </w:r>
      <w:r>
        <w:rPr>
          <w:rtl/>
        </w:rPr>
        <w:t xml:space="preserve"> </w:t>
      </w:r>
      <w:r>
        <w:t xml:space="preserve">mit </w:t>
      </w:r>
      <w:r>
        <w:rPr>
          <w:rStyle w:val="Fett"/>
          <w:rFonts w:eastAsiaTheme="majorEastAsia"/>
          <w:rtl/>
        </w:rPr>
        <w:t>אֶרֶץ</w:t>
      </w:r>
      <w:r>
        <w:rPr>
          <w:rtl/>
        </w:rPr>
        <w:t xml:space="preserve"> </w:t>
      </w:r>
      <w:r>
        <w:t xml:space="preserve">mit Artikel, Relativsatz: </w:t>
      </w:r>
      <w:r>
        <w:rPr>
          <w:rStyle w:val="Fett"/>
          <w:rFonts w:eastAsiaTheme="majorEastAsia"/>
          <w:rtl/>
        </w:rPr>
        <w:t>אֲשֶׁר יְהוָה אֱלֹהֶיךָ נֹתֵן לְךָ נַחֲלָה</w:t>
      </w:r>
      <w:r>
        <w:rPr>
          <w:rtl/>
        </w:rPr>
        <w:t xml:space="preserve"> </w:t>
      </w:r>
      <w:r>
        <w:t xml:space="preserve">– die übliche Formel, </w:t>
      </w:r>
      <w:r>
        <w:rPr>
          <w:rStyle w:val="Fett"/>
          <w:rFonts w:eastAsiaTheme="majorEastAsia"/>
          <w:rtl/>
        </w:rPr>
        <w:t>נַחֲלָה</w:t>
      </w:r>
      <w:r>
        <w:t xml:space="preserve">, „Erbe, Erbbesitz", als Akkusativ der Art und Weise oder des Zwecks, mit </w:t>
      </w:r>
      <w:r>
        <w:rPr>
          <w:rStyle w:val="Fett"/>
          <w:rFonts w:eastAsiaTheme="majorEastAsia"/>
        </w:rPr>
        <w:t>Waw</w:t>
      </w:r>
      <w:r>
        <w:t xml:space="preserve"> consecutives Perfekt), </w:t>
      </w:r>
      <w:r>
        <w:rPr>
          <w:rStyle w:val="Fett"/>
          <w:rFonts w:eastAsiaTheme="majorEastAsia"/>
          <w:rtl/>
        </w:rPr>
        <w:t>וִירִשְׁתָּהּ וְיָשַׁבְתָּ בָּהּ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ירשׁ</w:t>
      </w:r>
      <w:r>
        <w:t xml:space="preserve">, Qal Perfekt, 2. Person Maskulinum Singular, „in Besitz nehmen, erben", mit Suffix 3. Person Femininum Singular, koordiniert durch </w:t>
      </w:r>
      <w:r>
        <w:rPr>
          <w:rStyle w:val="Fett"/>
          <w:rFonts w:eastAsiaTheme="majorEastAsia"/>
          <w:rtl/>
        </w:rPr>
        <w:t>וְ</w:t>
      </w:r>
      <w:r>
        <w:rPr>
          <w:rtl/>
        </w:rPr>
        <w:t xml:space="preserve"> </w:t>
      </w:r>
      <w:r>
        <w:t xml:space="preserve">mit </w:t>
      </w:r>
      <w:r>
        <w:rPr>
          <w:rStyle w:val="Fett"/>
          <w:rFonts w:eastAsiaTheme="majorEastAsia"/>
          <w:rtl/>
        </w:rPr>
        <w:t>ישׁב</w:t>
      </w:r>
      <w:r>
        <w:t xml:space="preserve">, Qal Perfekt, 2. Person Maskulinum Singular, „wohnen, sitzen", Präposition </w:t>
      </w:r>
      <w:r>
        <w:rPr>
          <w:rStyle w:val="Fett"/>
          <w:rFonts w:eastAsiaTheme="majorEastAsia"/>
          <w:rtl/>
        </w:rPr>
        <w:t>בְּ</w:t>
      </w:r>
      <w:r>
        <w:rPr>
          <w:rtl/>
        </w:rPr>
        <w:t xml:space="preserve"> </w:t>
      </w:r>
      <w:r>
        <w:t xml:space="preserve">mit Suffix 3. Person Femininum Singular, mit </w:t>
      </w:r>
      <w:r>
        <w:rPr>
          <w:rStyle w:val="Fett"/>
          <w:rFonts w:eastAsiaTheme="majorEastAsia"/>
        </w:rPr>
        <w:t>Waw</w:t>
      </w:r>
      <w:r>
        <w:t xml:space="preserve"> consecutives Perfekt).</w:t>
      </w:r>
    </w:p>
    <w:p w14:paraId="3CBCC665" w14:textId="77777777" w:rsidR="00166F02" w:rsidRDefault="00166F02" w:rsidP="00166F02">
      <w:pPr>
        <w:pStyle w:val="whitespace-normal"/>
      </w:pPr>
      <w:r>
        <w:t xml:space="preserve">Der Vers leitet Kapitel 26 ein, das zwei wichtige liturgische Rituale behandelt: (1) die Darbringung der Erstlingsfrüchte (V. 1-11) und (2) die Deklaration beim Zehnten (V. 12-15), gefolgt von einem feierlichen Bundesschluss (V. 16-19). Die Bedingung: </w:t>
      </w:r>
      <w:r>
        <w:rPr>
          <w:rStyle w:val="Fett"/>
          <w:rFonts w:eastAsiaTheme="majorEastAsia"/>
          <w:rtl/>
        </w:rPr>
        <w:t>וְהָיָה כִּי־תָבוֹא אֶל־הָאָרֶץ אֲשֶׁר יְהוָה אֱלֹהֶיךָ נֹתֵן לְךָ נַחֲלָה וִירִשְׁתָּהּ וְיָשַׁבְתָּ בָּהּ</w:t>
      </w:r>
      <w:r>
        <w:rPr>
          <w:rtl/>
        </w:rPr>
        <w:t xml:space="preserve"> </w:t>
      </w:r>
      <w:r>
        <w:t xml:space="preserve">(„und es soll geschehen, wenn du kommst in das Land, das JHWH, dein Gott, dir gibt als Erbe, und du nimmst es in Besitz und wohnst darin"). Diese Formulierung ist eine typische deuteronomische Einleitungsformel, die auf die Zukunft im verheißenen Land vorausweist (vgl. 6,10; 7,1; 8,7; 11,29; 17,14; 18,9; 19,1). Die dreifache Progression: (1) </w:t>
      </w:r>
      <w:r>
        <w:rPr>
          <w:rStyle w:val="Fett"/>
          <w:rFonts w:eastAsiaTheme="majorEastAsia"/>
          <w:rtl/>
        </w:rPr>
        <w:t>כִּי־תָבוֹא אֶל־הָאָרֶץ</w:t>
      </w:r>
      <w:r>
        <w:rPr>
          <w:rtl/>
        </w:rPr>
        <w:t xml:space="preserve"> </w:t>
      </w:r>
      <w:r>
        <w:t xml:space="preserve">(„wenn du kommst in das Land") – Einzug; (2) </w:t>
      </w:r>
      <w:r>
        <w:rPr>
          <w:rStyle w:val="Fett"/>
          <w:rFonts w:eastAsiaTheme="majorEastAsia"/>
          <w:rtl/>
        </w:rPr>
        <w:t>וִירִשְׁתָּהּ</w:t>
      </w:r>
      <w:r>
        <w:rPr>
          <w:rtl/>
        </w:rPr>
        <w:t xml:space="preserve"> </w:t>
      </w:r>
      <w:r>
        <w:t xml:space="preserve">(„und du nimmst es in Besitz") – Eroberung und Landnahme; (3) </w:t>
      </w:r>
      <w:r>
        <w:rPr>
          <w:rStyle w:val="Fett"/>
          <w:rFonts w:eastAsiaTheme="majorEastAsia"/>
          <w:rtl/>
        </w:rPr>
        <w:t>וְיָשַׁבְתָּ בָּהּ</w:t>
      </w:r>
      <w:r>
        <w:rPr>
          <w:rtl/>
        </w:rPr>
        <w:t xml:space="preserve"> </w:t>
      </w:r>
      <w:r>
        <w:t xml:space="preserve">(„und du wohnst darin") – dauerhafte Ansiedlung. Die Formulierung </w:t>
      </w:r>
      <w:r>
        <w:rPr>
          <w:rStyle w:val="Fett"/>
          <w:rFonts w:eastAsiaTheme="majorEastAsia"/>
          <w:rtl/>
        </w:rPr>
        <w:t>נַחֲלָה</w:t>
      </w:r>
      <w:r>
        <w:rPr>
          <w:rtl/>
        </w:rPr>
        <w:t xml:space="preserve"> </w:t>
      </w:r>
      <w:r>
        <w:t>(„Erbe, Erbbesitz") betont: Das Land ist Gottes Gabe, nicht menschliche Eroberung allein. Diese Bedingung setzt voraus, dass Israel bereits im Land etabliert ist und Landwirtschaft betreibt. V. 2 wird die erste liturgische Handlung beschreiben.</w:t>
      </w:r>
    </w:p>
    <w:p w14:paraId="3113E4E9" w14:textId="77777777" w:rsidR="00166F02" w:rsidRDefault="00166F02" w:rsidP="00166F02">
      <w:pPr>
        <w:pStyle w:val="whitespace-normal"/>
      </w:pPr>
      <w:r>
        <w:rPr>
          <w:rStyle w:val="Fett"/>
          <w:rFonts w:eastAsiaTheme="majorEastAsia"/>
        </w:rPr>
        <w:t>Die Satzstruktur:</w:t>
      </w:r>
      <w:r>
        <w:t xml:space="preserve"> Bedingung mit dreifacher Progression (und es soll geschehen, wenn du kommst in das Land, das JHWH, dein Gott, dir gibt als Erbe, und du nimmst es in Besitz und wohnst darin).</w:t>
      </w:r>
    </w:p>
    <w:p w14:paraId="677513DA" w14:textId="4A556C0C" w:rsidR="00166F02" w:rsidRDefault="00166F02" w:rsidP="00705F3D">
      <w:pPr>
        <w:pStyle w:val="whitespace-normal"/>
      </w:pPr>
      <w:r>
        <w:rPr>
          <w:rStyle w:val="Fett"/>
          <w:rFonts w:eastAsiaTheme="majorEastAsia"/>
        </w:rPr>
        <w:t>Der Vers beschreibt:</w:t>
      </w:r>
      <w:r>
        <w:t xml:space="preserve"> Einleitung – wenn Israel im verheißenen Land wohnt und es besitzt, gelten die folgenden Anweisungen.</w:t>
      </w:r>
    </w:p>
    <w:p w14:paraId="1187910D" w14:textId="77777777" w:rsidR="00166F02" w:rsidRPr="00B53ACC" w:rsidRDefault="00166F02" w:rsidP="00B53ACC">
      <w:pPr>
        <w:pStyle w:val="Bibelberschrift"/>
      </w:pPr>
      <w:r w:rsidRPr="00B53ACC">
        <w:rPr>
          <w:rStyle w:val="Fett"/>
          <w:b/>
          <w:bCs w:val="0"/>
        </w:rPr>
        <w:lastRenderedPageBreak/>
        <w:t>Deuteronomium 26,2</w:t>
      </w:r>
    </w:p>
    <w:p w14:paraId="18D4670F" w14:textId="77777777" w:rsidR="00166F02" w:rsidRDefault="00166F02" w:rsidP="00166F02">
      <w:pPr>
        <w:pStyle w:val="whitespace-normal"/>
      </w:pPr>
      <w:r>
        <w:rPr>
          <w:rStyle w:val="Fett"/>
          <w:rFonts w:eastAsiaTheme="majorEastAsia"/>
        </w:rPr>
        <w:t>Hebräisch:</w:t>
      </w:r>
      <w:r>
        <w:t xml:space="preserve"> </w:t>
      </w:r>
      <w:r>
        <w:rPr>
          <w:rtl/>
        </w:rPr>
        <w:t>וְלָקַחְתָּ מֵרֵאשִׁית כָּל־פְּרִי הָאֲדָמָה אֲשֶׁר תָּבִיא מֵֽאַרְצְךָ אֲשֶׁר יְהוָה אֱלֹהֶיךָ נֹתֵן לָךְ וְשַׂמְתָּ בַטֶּנֶא וְהָֽלַכְתָּ אֶל־הַמָּקוֹם אֲשֶׁר יִבְחַר יְהוָה אֱלֹהֶיךָ לְשַׁכֵּן שְׁמוֹ שָֽׁם׃</w:t>
      </w:r>
    </w:p>
    <w:p w14:paraId="27825AEE" w14:textId="77777777" w:rsidR="00166F02" w:rsidRDefault="00166F02" w:rsidP="00166F02">
      <w:pPr>
        <w:pStyle w:val="whitespace-normal"/>
      </w:pPr>
      <w:r>
        <w:rPr>
          <w:rStyle w:val="Fett"/>
          <w:rFonts w:eastAsiaTheme="majorEastAsia"/>
        </w:rPr>
        <w:t>Deutsch:</w:t>
      </w:r>
      <w:r>
        <w:t xml:space="preserve"> So sollst du nehmen von den Erstlingen aller Frucht des Erdbodens, die du einbringst von deinem Land, das JHWH, dein Gott, dir gibt, und du sollst sie in einen Korb legen und gehen an den Ort, den JHWH, dein Gott, erwählen wird, um seinen Namen dort wohnen zu lassen.</w:t>
      </w:r>
    </w:p>
    <w:p w14:paraId="4EE723F1" w14:textId="77777777" w:rsidR="00166F02" w:rsidRDefault="004F5CEB" w:rsidP="00166F02">
      <w:r>
        <w:rPr>
          <w:noProof/>
        </w:rPr>
        <w:pict w14:anchorId="5FCDECB3">
          <v:rect id="_x0000_i1694" style="width:0;height:1.5pt" o:hralign="center" o:hrstd="t" o:hr="t" fillcolor="#a0a0a0" stroked="f"/>
        </w:pict>
      </w:r>
    </w:p>
    <w:p w14:paraId="145AB955"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וְלָקַחְתָּ מֵרֵאשִׁית כָּל־פְּרִי הָאֲדָמָה אֲשֶׁר תָּבִיא מֵאַרְצְךָ אֲשֶׁר יְהוָה אֱלֹהֶיךָ נֹתֵן לָךְ וְשַׂמְתָּ בַטֶּנֶא וְהָלַכְתָּ אֶל־הַמָּקוֹם אֲשֶׁר יִבְחַר יְהוָה אֱלֹהֶיךָ לְשַׁכֵּן שְׁמוֹ שָׁם</w:t>
      </w:r>
      <w:r>
        <w:rPr>
          <w:rtl/>
        </w:rPr>
        <w:t xml:space="preserve"> </w:t>
      </w:r>
      <w:r>
        <w:t xml:space="preserve">sind drei Anweisungen: </w:t>
      </w:r>
      <w:r>
        <w:rPr>
          <w:rStyle w:val="Fett"/>
          <w:rFonts w:eastAsiaTheme="majorEastAsia"/>
          <w:rtl/>
        </w:rPr>
        <w:t>וְלָקַחְתָּ מֵרֵאשִׁית כָּל־פְּרִי הָאֲדָמָה אֲשֶׁר תָּבִיא מֵאַרְצְךָ אֲשֶׁר יְהוָה אֱלֹהֶיךָ נֹתֵן לָךְ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לקח</w:t>
      </w:r>
      <w:r>
        <w:t xml:space="preserve">, Qal Perfekt, 2. Person Maskulinum Singular, Präposition </w:t>
      </w:r>
      <w:r>
        <w:rPr>
          <w:rStyle w:val="Fett"/>
          <w:rFonts w:eastAsiaTheme="majorEastAsia"/>
          <w:rtl/>
        </w:rPr>
        <w:t>מִן</w:t>
      </w:r>
      <w:r>
        <w:rPr>
          <w:rtl/>
        </w:rPr>
        <w:t xml:space="preserve"> </w:t>
      </w:r>
      <w:r>
        <w:t xml:space="preserve">mit </w:t>
      </w:r>
      <w:r>
        <w:rPr>
          <w:rStyle w:val="Fett"/>
          <w:rFonts w:eastAsiaTheme="majorEastAsia"/>
          <w:rtl/>
        </w:rPr>
        <w:t>רֵאשִׁית</w:t>
      </w:r>
      <w:r>
        <w:t xml:space="preserve">, „Erstlinge, das Erste, der Anfang", Construct mit </w:t>
      </w:r>
      <w:r>
        <w:rPr>
          <w:rStyle w:val="Fett"/>
          <w:rFonts w:eastAsiaTheme="majorEastAsia"/>
          <w:rtl/>
        </w:rPr>
        <w:t>כֹּל</w:t>
      </w:r>
      <w:r>
        <w:t xml:space="preserve">, </w:t>
      </w:r>
      <w:r>
        <w:rPr>
          <w:rStyle w:val="Fett"/>
          <w:rFonts w:eastAsiaTheme="majorEastAsia"/>
          <w:rtl/>
        </w:rPr>
        <w:t>פְּרִי</w:t>
      </w:r>
      <w:r>
        <w:t xml:space="preserve">, „Frucht", Construct mit </w:t>
      </w:r>
      <w:r>
        <w:rPr>
          <w:rStyle w:val="Fett"/>
          <w:rFonts w:eastAsiaTheme="majorEastAsia"/>
          <w:rtl/>
        </w:rPr>
        <w:t>אֲדָמָה</w:t>
      </w:r>
      <w:r>
        <w:rPr>
          <w:rtl/>
        </w:rPr>
        <w:t xml:space="preserve"> </w:t>
      </w:r>
      <w:r>
        <w:t xml:space="preserve">mit Artikel, Relativsatz: </w:t>
      </w:r>
      <w:r>
        <w:rPr>
          <w:rStyle w:val="Fett"/>
          <w:rFonts w:eastAsiaTheme="majorEastAsia"/>
          <w:rtl/>
        </w:rPr>
        <w:t>אֲשֶׁר תָּבִיא מֵאַרְצְךָ</w:t>
      </w:r>
      <w:r>
        <w:rPr>
          <w:rtl/>
        </w:rPr>
        <w:t xml:space="preserve"> </w:t>
      </w:r>
      <w:r>
        <w:t xml:space="preserve">mit </w:t>
      </w:r>
      <w:r>
        <w:rPr>
          <w:rStyle w:val="Fett"/>
          <w:rFonts w:eastAsiaTheme="majorEastAsia"/>
          <w:rtl/>
        </w:rPr>
        <w:t>בוא</w:t>
      </w:r>
      <w:r>
        <w:t xml:space="preserve">, Hiphil Imperfekt, 2. Person Maskulinum Singular, „bringen, einbringen", Präposition </w:t>
      </w:r>
      <w:r>
        <w:rPr>
          <w:rStyle w:val="Fett"/>
          <w:rFonts w:eastAsiaTheme="majorEastAsia"/>
          <w:rtl/>
        </w:rPr>
        <w:t>מִן</w:t>
      </w:r>
      <w:r>
        <w:rPr>
          <w:rtl/>
        </w:rPr>
        <w:t xml:space="preserve"> </w:t>
      </w:r>
      <w:r>
        <w:t xml:space="preserve">mit </w:t>
      </w:r>
      <w:r>
        <w:rPr>
          <w:rStyle w:val="Fett"/>
          <w:rFonts w:eastAsiaTheme="majorEastAsia"/>
          <w:rtl/>
        </w:rPr>
        <w:t>אֶרֶץ</w:t>
      </w:r>
      <w:r>
        <w:rPr>
          <w:rtl/>
        </w:rPr>
        <w:t xml:space="preserve"> </w:t>
      </w:r>
      <w:r>
        <w:t xml:space="preserve">mit Suffix 2. Person Maskulinum Singular, weiterer Relativsatz: </w:t>
      </w:r>
      <w:r>
        <w:rPr>
          <w:rStyle w:val="Fett"/>
          <w:rFonts w:eastAsiaTheme="majorEastAsia"/>
          <w:rtl/>
        </w:rPr>
        <w:t>אֲשֶׁר יְהוָה אֱלֹהֶיךָ נֹתֵן לָךְ</w:t>
      </w:r>
      <w:r>
        <w:t xml:space="preserve">, mit </w:t>
      </w:r>
      <w:r>
        <w:rPr>
          <w:rStyle w:val="Fett"/>
          <w:rFonts w:eastAsiaTheme="majorEastAsia"/>
        </w:rPr>
        <w:t>Waw</w:t>
      </w:r>
      <w:r>
        <w:t xml:space="preserve"> consecutives Perfekt), </w:t>
      </w:r>
      <w:r>
        <w:rPr>
          <w:rStyle w:val="Fett"/>
          <w:rFonts w:eastAsiaTheme="majorEastAsia"/>
          <w:rtl/>
        </w:rPr>
        <w:t>וְשַׂמְתָּ בַטֶּנֶא</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שׂים</w:t>
      </w:r>
      <w:r>
        <w:t xml:space="preserve">, Qal Perfekt, 2. Person Maskulinum Singular, „legen, setzen", Präposition </w:t>
      </w:r>
      <w:r>
        <w:rPr>
          <w:rStyle w:val="Fett"/>
          <w:rFonts w:eastAsiaTheme="majorEastAsia"/>
          <w:rtl/>
        </w:rPr>
        <w:t>בְּ</w:t>
      </w:r>
      <w:r>
        <w:rPr>
          <w:rtl/>
        </w:rPr>
        <w:t xml:space="preserve"> </w:t>
      </w:r>
      <w:r>
        <w:t xml:space="preserve">mit </w:t>
      </w:r>
      <w:r>
        <w:rPr>
          <w:rStyle w:val="Fett"/>
          <w:rFonts w:eastAsiaTheme="majorEastAsia"/>
          <w:rtl/>
        </w:rPr>
        <w:t>טֶנֶא</w:t>
      </w:r>
      <w:r>
        <w:t xml:space="preserve">, „Korb", mit </w:t>
      </w:r>
      <w:r>
        <w:rPr>
          <w:rStyle w:val="Fett"/>
          <w:rFonts w:eastAsiaTheme="majorEastAsia"/>
        </w:rPr>
        <w:t>Waw</w:t>
      </w:r>
      <w:r>
        <w:t xml:space="preserve"> consecutives Perfekt), </w:t>
      </w:r>
      <w:r>
        <w:rPr>
          <w:rStyle w:val="Fett"/>
          <w:rFonts w:eastAsiaTheme="majorEastAsia"/>
          <w:rtl/>
        </w:rPr>
        <w:t>וְהָלַכְתָּ אֶל־הַמָּקוֹם אֲשֶׁר יִבְחַר יְהוָה אֱלֹהֶיךָ לְשַׁכֵּן שְׁמוֹ שָׁם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הלך</w:t>
      </w:r>
      <w:r>
        <w:t xml:space="preserve">, Qal Perfekt, 2. Person Maskulinum Singular, Präposition </w:t>
      </w:r>
      <w:r>
        <w:rPr>
          <w:rStyle w:val="Fett"/>
          <w:rFonts w:eastAsiaTheme="majorEastAsia"/>
          <w:rtl/>
        </w:rPr>
        <w:t>אֶל</w:t>
      </w:r>
      <w:r>
        <w:rPr>
          <w:rtl/>
        </w:rPr>
        <w:t xml:space="preserve"> </w:t>
      </w:r>
      <w:r>
        <w:t xml:space="preserve">mit </w:t>
      </w:r>
      <w:r>
        <w:rPr>
          <w:rStyle w:val="Fett"/>
          <w:rFonts w:eastAsiaTheme="majorEastAsia"/>
          <w:rtl/>
        </w:rPr>
        <w:t>מָקוֹם</w:t>
      </w:r>
      <w:r>
        <w:rPr>
          <w:rtl/>
        </w:rPr>
        <w:t xml:space="preserve"> </w:t>
      </w:r>
      <w:r>
        <w:t xml:space="preserve">mit Artikel, Relativsatz: </w:t>
      </w:r>
      <w:r>
        <w:rPr>
          <w:rStyle w:val="Fett"/>
          <w:rFonts w:eastAsiaTheme="majorEastAsia"/>
          <w:rtl/>
        </w:rPr>
        <w:t>אֲשֶׁר יִבְחַר יְהוָה אֱלֹהֶיךָ לְשַׁכֵּן שְׁמוֹ שָׁם</w:t>
      </w:r>
      <w:r>
        <w:rPr>
          <w:rtl/>
        </w:rPr>
        <w:t xml:space="preserve"> </w:t>
      </w:r>
      <w:r>
        <w:t xml:space="preserve">– die zentrale deuteronomische Formel, mit </w:t>
      </w:r>
      <w:r>
        <w:rPr>
          <w:rStyle w:val="Fett"/>
          <w:rFonts w:eastAsiaTheme="majorEastAsia"/>
        </w:rPr>
        <w:t>Waw</w:t>
      </w:r>
      <w:r>
        <w:t xml:space="preserve"> consecutives Perfekt).</w:t>
      </w:r>
    </w:p>
    <w:p w14:paraId="66485996" w14:textId="77777777" w:rsidR="00A600C6" w:rsidRDefault="00166F02" w:rsidP="00166F02">
      <w:pPr>
        <w:pStyle w:val="whitespace-normal"/>
      </w:pPr>
      <w:r>
        <w:t xml:space="preserve">Der Vers gibt die Anweisung für das Ritual der Erstlingsfrüchte. </w:t>
      </w:r>
    </w:p>
    <w:p w14:paraId="37108515" w14:textId="77777777" w:rsidR="00A600C6" w:rsidRDefault="00166F02" w:rsidP="00166F02">
      <w:pPr>
        <w:pStyle w:val="whitespace-normal"/>
      </w:pPr>
      <w:r>
        <w:t xml:space="preserve">Die erste Anweisung: </w:t>
      </w:r>
      <w:r>
        <w:rPr>
          <w:rStyle w:val="Fett"/>
          <w:rFonts w:eastAsiaTheme="majorEastAsia"/>
          <w:rtl/>
        </w:rPr>
        <w:t>וְלָקַחְתָּ מֵרֵאשִׁית כָּל־פְּרִי הָאֲדָמָה אֲשֶׁר תָּבִיא מֵאַרְצְךָ אֲשֶׁר יְהוָה אֱלֹהֶיךָ נֹתֵן לָךְ</w:t>
      </w:r>
      <w:r>
        <w:rPr>
          <w:rtl/>
        </w:rPr>
        <w:t xml:space="preserve"> </w:t>
      </w:r>
      <w:r>
        <w:t xml:space="preserve">(„und nehmen sollst du von den Erstlingen aller Frucht des Erdbodens, die du einbringst von deinem Land, das JHWH, dein Gott, dir gibt"). Das Wort </w:t>
      </w:r>
      <w:r>
        <w:rPr>
          <w:rStyle w:val="Fett"/>
          <w:rFonts w:eastAsiaTheme="majorEastAsia"/>
          <w:rtl/>
        </w:rPr>
        <w:t>רֵאשִׁית</w:t>
      </w:r>
      <w:r>
        <w:rPr>
          <w:rtl/>
        </w:rPr>
        <w:t xml:space="preserve"> </w:t>
      </w:r>
      <w:r>
        <w:t xml:space="preserve">(„Erstlinge, das Erste") bezeichnet die ersten Früchte der Ernte – chronologisch die ersten, qualitativ die besten (vgl. Ex 23,19; 34,26; Lev 23,10; Num 18,12-13). Die Formulierung </w:t>
      </w:r>
      <w:r>
        <w:rPr>
          <w:rStyle w:val="Fett"/>
          <w:rFonts w:eastAsiaTheme="majorEastAsia"/>
          <w:rtl/>
        </w:rPr>
        <w:t>כָּל־פְּרִי הָאֲדָמָה</w:t>
      </w:r>
      <w:r>
        <w:rPr>
          <w:rtl/>
        </w:rPr>
        <w:t xml:space="preserve"> </w:t>
      </w:r>
      <w:r>
        <w:t xml:space="preserve">(„alle Frucht des Erdbodens") ist umfassend: von allen landwirtschaftlichen Erzeugnissen. Die Präzisierung </w:t>
      </w:r>
      <w:r>
        <w:rPr>
          <w:rStyle w:val="Fett"/>
          <w:rFonts w:eastAsiaTheme="majorEastAsia"/>
          <w:rtl/>
        </w:rPr>
        <w:t>אֲשֶׁר תָּבִיא מֵאַרְצְךָ</w:t>
      </w:r>
      <w:r>
        <w:rPr>
          <w:rtl/>
        </w:rPr>
        <w:t xml:space="preserve"> </w:t>
      </w:r>
      <w:r>
        <w:t xml:space="preserve">(„die du einbringst von deinem Land") betont: die Ernte aus dem eigenen Land. </w:t>
      </w:r>
    </w:p>
    <w:p w14:paraId="57FAB03E" w14:textId="47482DC4" w:rsidR="00A600C6" w:rsidRDefault="00166F02" w:rsidP="00166F02">
      <w:pPr>
        <w:pStyle w:val="whitespace-normal"/>
      </w:pPr>
      <w:r>
        <w:t xml:space="preserve">Die zweite Anweisung: </w:t>
      </w:r>
      <w:r>
        <w:rPr>
          <w:rStyle w:val="Fett"/>
          <w:rFonts w:eastAsiaTheme="majorEastAsia"/>
          <w:rtl/>
        </w:rPr>
        <w:t>וְשַׂמְתָּ בַטֶּנֶא</w:t>
      </w:r>
      <w:r>
        <w:rPr>
          <w:rtl/>
        </w:rPr>
        <w:t xml:space="preserve"> </w:t>
      </w:r>
      <w:r>
        <w:t xml:space="preserve">(„und legen sollst du [sie] in einen Korb"). Das Wort </w:t>
      </w:r>
      <w:r>
        <w:rPr>
          <w:rStyle w:val="Fett"/>
          <w:rFonts w:eastAsiaTheme="majorEastAsia"/>
          <w:rtl/>
        </w:rPr>
        <w:t>טֶנֶא</w:t>
      </w:r>
      <w:r>
        <w:rPr>
          <w:rtl/>
        </w:rPr>
        <w:t xml:space="preserve"> </w:t>
      </w:r>
      <w:r>
        <w:t xml:space="preserve">(„Korb") ist ein seltenes Wort (nur hier und V. 4 im AT) – wahrscheinlich ein geflochtener Erntekorb. </w:t>
      </w:r>
    </w:p>
    <w:p w14:paraId="7548C76C" w14:textId="77777777" w:rsidR="00A600C6" w:rsidRDefault="00166F02" w:rsidP="00166F02">
      <w:pPr>
        <w:pStyle w:val="whitespace-normal"/>
      </w:pPr>
      <w:r>
        <w:t xml:space="preserve">Die dritte Anweisung: </w:t>
      </w:r>
      <w:r>
        <w:rPr>
          <w:rStyle w:val="Fett"/>
          <w:rFonts w:eastAsiaTheme="majorEastAsia"/>
          <w:rtl/>
        </w:rPr>
        <w:t>וְהָלַכְתָּ אֶל־הַמָּקוֹם אֲשֶׁר יִבְחַר יְהוָה אֱלֹהֶיךָ לְשַׁכֵּן שְׁמוֹ שָׁם</w:t>
      </w:r>
      <w:r>
        <w:rPr>
          <w:rtl/>
        </w:rPr>
        <w:t xml:space="preserve"> </w:t>
      </w:r>
      <w:r>
        <w:t xml:space="preserve">(„und gehen sollst du an den Ort, den JHWH, dein Gott, erwählen wird, um seinen Namen dort wohnen zu lassen"). Die zentrale deuteronomische Formel für das Zentralheiligtum (vgl. 12,5.11.21; 14,23.24; 16,2.6.11; hier in der Form </w:t>
      </w:r>
      <w:r>
        <w:rPr>
          <w:rStyle w:val="Fett"/>
          <w:rFonts w:eastAsiaTheme="majorEastAsia"/>
          <w:rtl/>
        </w:rPr>
        <w:t>לְשַׁכֵּן שְׁמוֹ</w:t>
      </w:r>
      <w:r>
        <w:t xml:space="preserve">, „um seinen Namen wohnen zu lassen"). </w:t>
      </w:r>
    </w:p>
    <w:p w14:paraId="7784B11E" w14:textId="0FCE380B" w:rsidR="00166F02" w:rsidRDefault="00166F02" w:rsidP="00166F02">
      <w:pPr>
        <w:pStyle w:val="whitespace-normal"/>
      </w:pPr>
      <w:r>
        <w:lastRenderedPageBreak/>
        <w:t>Das Ritual ist also eine Wallfahrt zum Zentralheiligtum (später Jerusalem) mit den Erstlingsfrüchten. Vgl. Ex 23,19; 34,26 für frühere Erstlingsfrucht-Gesetze; Lev 23,9-14 für das Schwingopfer der Erstlingsgarbe. Die Mischna (Bikkurim) beschreibt die spätere Praxis dieser Pilgerfahrt ausführlich. V. 3 wird beschreiben, was der Israelit zum Priester sagen soll.</w:t>
      </w:r>
    </w:p>
    <w:p w14:paraId="02A058E6" w14:textId="2E59291B" w:rsidR="00A600C6" w:rsidRDefault="00A600C6" w:rsidP="00166F02">
      <w:pPr>
        <w:pStyle w:val="whitespace-normal"/>
      </w:pPr>
      <w:r>
        <w:rPr>
          <w:rStyle w:val="Fett"/>
        </w:rPr>
        <w:t>Die LXX</w:t>
      </w:r>
      <w:r>
        <w:t xml:space="preserve"> übersetzt </w:t>
      </w:r>
      <w:r>
        <w:rPr>
          <w:rtl/>
        </w:rPr>
        <w:t>טֶנֶא</w:t>
      </w:r>
      <w:r>
        <w:t xml:space="preserve"> (Korb) mit </w:t>
      </w:r>
      <w:proofErr w:type="spellStart"/>
      <w:r>
        <w:t>κάρτ</w:t>
      </w:r>
      <w:proofErr w:type="spellEnd"/>
      <w:r>
        <w:t xml:space="preserve">αλλον (Korb, Behälter) – ein griechisches Lehnwort. Die Wendung </w:t>
      </w:r>
      <w:r>
        <w:rPr>
          <w:rtl/>
        </w:rPr>
        <w:t>לְשַׁכֵּן שְׁמוֹ שָׁם</w:t>
      </w:r>
      <w:r>
        <w:t xml:space="preserve"> (um seinen Namen dort wohnen zu lassen) wird mit ἐπ</w:t>
      </w:r>
      <w:proofErr w:type="spellStart"/>
      <w:r>
        <w:t>ικληθῆν</w:t>
      </w:r>
      <w:proofErr w:type="spellEnd"/>
      <w:r>
        <w:t xml:space="preserve">αι </w:t>
      </w:r>
      <w:proofErr w:type="spellStart"/>
      <w:r>
        <w:t>τὸ</w:t>
      </w:r>
      <w:proofErr w:type="spellEnd"/>
      <w:r>
        <w:t xml:space="preserve"> </w:t>
      </w:r>
      <w:proofErr w:type="spellStart"/>
      <w:r>
        <w:t>ὄνομ</w:t>
      </w:r>
      <w:proofErr w:type="spellEnd"/>
      <w:r>
        <w:t>α α</w:t>
      </w:r>
      <w:proofErr w:type="spellStart"/>
      <w:r>
        <w:t>ὐτοῦ</w:t>
      </w:r>
      <w:proofErr w:type="spellEnd"/>
      <w:r>
        <w:t xml:space="preserve"> </w:t>
      </w:r>
      <w:proofErr w:type="spellStart"/>
      <w:r>
        <w:t>ἐκεῖ</w:t>
      </w:r>
      <w:proofErr w:type="spellEnd"/>
      <w:r>
        <w:t xml:space="preserve"> (damit sein Name dort angerufen werde) übersetzt – eine Verschiebung von "wohnen lassen" zu "anrufen".</w:t>
      </w:r>
    </w:p>
    <w:p w14:paraId="388BB16D" w14:textId="77777777" w:rsidR="00166F02" w:rsidRDefault="00166F02" w:rsidP="00166F02">
      <w:pPr>
        <w:pStyle w:val="whitespace-normal"/>
      </w:pPr>
      <w:r>
        <w:rPr>
          <w:rStyle w:val="Fett"/>
          <w:rFonts w:eastAsiaTheme="majorEastAsia"/>
        </w:rPr>
        <w:t>Die Satzstruktur:</w:t>
      </w:r>
      <w:r>
        <w:t xml:space="preserve"> Drei koordinierte Anweisungen (und nehmen sollst du von den Erstlingen aller Frucht des Erdbodens, die du einbringst von deinem Land, das JHWH, dein Gott, dir gibt, und legen sollst du [sie] in einen Korb, und gehen sollst du an den Ort, den JHWH, dein Gott, erwählen wird, um seinen Namen dort wohnen zu lassen).</w:t>
      </w:r>
    </w:p>
    <w:p w14:paraId="60C49E15" w14:textId="1DCA30D9" w:rsidR="00166F02" w:rsidRDefault="00166F02" w:rsidP="00705F3D">
      <w:pPr>
        <w:pStyle w:val="whitespace-normal"/>
      </w:pPr>
      <w:r>
        <w:rPr>
          <w:rStyle w:val="Fett"/>
          <w:rFonts w:eastAsiaTheme="majorEastAsia"/>
        </w:rPr>
        <w:t>Der Vers beschreibt:</w:t>
      </w:r>
      <w:r>
        <w:t xml:space="preserve"> Anweisung zur Darbringung der Erstlingsfrüchte – eine Auswahl in einen Korb legen und zum Zentralheiligtum bringen.</w:t>
      </w:r>
    </w:p>
    <w:p w14:paraId="71F169D0" w14:textId="77777777" w:rsidR="00166F02" w:rsidRPr="00B53ACC" w:rsidRDefault="00166F02" w:rsidP="00B53ACC">
      <w:pPr>
        <w:pStyle w:val="Bibelberschrift"/>
      </w:pPr>
      <w:r w:rsidRPr="00B53ACC">
        <w:rPr>
          <w:rStyle w:val="Fett"/>
          <w:b/>
          <w:bCs w:val="0"/>
        </w:rPr>
        <w:t>Deuteronomium 26,3</w:t>
      </w:r>
    </w:p>
    <w:p w14:paraId="557536C4" w14:textId="77777777" w:rsidR="00166F02" w:rsidRDefault="00166F02" w:rsidP="00166F02">
      <w:pPr>
        <w:pStyle w:val="whitespace-normal"/>
      </w:pPr>
      <w:r>
        <w:rPr>
          <w:rStyle w:val="Fett"/>
          <w:rFonts w:eastAsiaTheme="majorEastAsia"/>
        </w:rPr>
        <w:t>Hebräisch:</w:t>
      </w:r>
      <w:r>
        <w:t xml:space="preserve"> </w:t>
      </w:r>
      <w:r>
        <w:rPr>
          <w:rtl/>
        </w:rPr>
        <w:t>וּבָאתָ אֶל־הַכֹּהֵן אֲשֶׁר יִהְיֶה בַּיָּמִים הָהֵם וְאָמַרְתָּ אֵלָיו הִגַּדְתִּי הַיּוֹם לַיהוָה אֱלֹהֶיךָ כִּי־בָאתִי אֶל־הָאָרֶץ אֲשֶׁר נִשְׁבַּע יְהוָה לַאֲבֹתֵינוּ לָתֶת לָֽנוּ׃</w:t>
      </w:r>
    </w:p>
    <w:p w14:paraId="0CC2CDC1" w14:textId="77777777" w:rsidR="00166F02" w:rsidRDefault="00166F02" w:rsidP="00166F02">
      <w:pPr>
        <w:pStyle w:val="whitespace-normal"/>
      </w:pPr>
      <w:r>
        <w:rPr>
          <w:rStyle w:val="Fett"/>
          <w:rFonts w:eastAsiaTheme="majorEastAsia"/>
        </w:rPr>
        <w:t>Deutsch:</w:t>
      </w:r>
      <w:r>
        <w:t xml:space="preserve"> Und du sollst kommen zu dem Priester, der in jenen Tagen sein wird, und zu ihm sagen: Ich bezeuge heute dem JHWH, deinem Gott, dass ich gekommen bin in das Land, das JHWH unseren Vätern geschworen hat, uns zu geben.</w:t>
      </w:r>
    </w:p>
    <w:p w14:paraId="285C22B5" w14:textId="77777777" w:rsidR="00166F02" w:rsidRDefault="004F5CEB" w:rsidP="00166F02">
      <w:r>
        <w:rPr>
          <w:noProof/>
        </w:rPr>
        <w:pict w14:anchorId="3096B7FC">
          <v:rect id="_x0000_i1695" style="width:0;height:1.5pt" o:hralign="center" o:hrstd="t" o:hr="t" fillcolor="#a0a0a0" stroked="f"/>
        </w:pict>
      </w:r>
    </w:p>
    <w:p w14:paraId="71AC3911"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וּבָאתָ אֶל־הַכֹּהֵן אֲשֶׁר יִהְיֶה בַּיָּמִים הָהֵם וְאָמַרְתָּ אֵלָיו הִגַּדְתִּי הַיּוֹם לַיהוָה אֱלֹהֶיךָ כִּי־בָאתִי אֶל־הָאָרֶץ אֲשֶׁר נִשְׁבַּע יְהוָה לַאֲבֹתֵינוּ לָתֶת לָנוּ</w:t>
      </w:r>
      <w:r>
        <w:rPr>
          <w:rtl/>
        </w:rPr>
        <w:t xml:space="preserve"> </w:t>
      </w:r>
      <w:r>
        <w:t xml:space="preserve">sind zwei Anweisungen: </w:t>
      </w:r>
      <w:r>
        <w:rPr>
          <w:rStyle w:val="Fett"/>
          <w:rFonts w:eastAsiaTheme="majorEastAsia"/>
          <w:rtl/>
        </w:rPr>
        <w:t>וּבָאתָ אֶל־הַכֹּהֵן אֲשֶׁר יִהְיֶה בַּיָּמִים הָהֵם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בוא</w:t>
      </w:r>
      <w:r>
        <w:t xml:space="preserve">, Qal Perfekt, 2. Person Maskulinum Singular, Präposition </w:t>
      </w:r>
      <w:r>
        <w:rPr>
          <w:rStyle w:val="Fett"/>
          <w:rFonts w:eastAsiaTheme="majorEastAsia"/>
          <w:rtl/>
        </w:rPr>
        <w:t>אֶל</w:t>
      </w:r>
      <w:r>
        <w:rPr>
          <w:rtl/>
        </w:rPr>
        <w:t xml:space="preserve"> </w:t>
      </w:r>
      <w:r>
        <w:t xml:space="preserve">mit </w:t>
      </w:r>
      <w:r>
        <w:rPr>
          <w:rStyle w:val="Fett"/>
          <w:rFonts w:eastAsiaTheme="majorEastAsia"/>
          <w:rtl/>
        </w:rPr>
        <w:t>כֹּהֵן</w:t>
      </w:r>
      <w:r>
        <w:rPr>
          <w:rtl/>
        </w:rPr>
        <w:t xml:space="preserve"> </w:t>
      </w:r>
      <w:r>
        <w:t xml:space="preserve">mit Artikel, Relativsatz: </w:t>
      </w:r>
      <w:r>
        <w:rPr>
          <w:rStyle w:val="Fett"/>
          <w:rFonts w:eastAsiaTheme="majorEastAsia"/>
          <w:rtl/>
        </w:rPr>
        <w:t>אֲשֶׁר יִהְיֶה בַּיָּמִים הָהֵם</w:t>
      </w:r>
      <w:r>
        <w:rPr>
          <w:rtl/>
        </w:rPr>
        <w:t xml:space="preserve"> </w:t>
      </w:r>
      <w:r>
        <w:t xml:space="preserve">mit </w:t>
      </w:r>
      <w:r>
        <w:rPr>
          <w:rStyle w:val="Fett"/>
          <w:rFonts w:eastAsiaTheme="majorEastAsia"/>
          <w:rtl/>
        </w:rPr>
        <w:t>היה</w:t>
      </w:r>
      <w:r>
        <w:t xml:space="preserve">, Qal Imperfekt, 3. Person Maskulinum Singular, </w:t>
      </w:r>
      <w:r>
        <w:rPr>
          <w:rStyle w:val="Fett"/>
          <w:rFonts w:eastAsiaTheme="majorEastAsia"/>
          <w:rtl/>
        </w:rPr>
        <w:t>בַּיָּמִים הָהֵם</w:t>
      </w:r>
      <w:r>
        <w:t xml:space="preserve">, „in jenen Tagen", mit </w:t>
      </w:r>
      <w:r>
        <w:rPr>
          <w:rStyle w:val="Fett"/>
          <w:rFonts w:eastAsiaTheme="majorEastAsia"/>
        </w:rPr>
        <w:t>Waw</w:t>
      </w:r>
      <w:r>
        <w:t xml:space="preserve"> consecutives Perfekt), </w:t>
      </w:r>
      <w:r>
        <w:rPr>
          <w:rStyle w:val="Fett"/>
          <w:rFonts w:eastAsiaTheme="majorEastAsia"/>
          <w:rtl/>
        </w:rPr>
        <w:t>וְאָמַרְתָּ אֵלָיו הִגַּדְתִּי הַיּוֹם לַיהוָה אֱלֹהֶיךָ כִּי־בָאתִי אֶל־הָאָרֶץ אֲשֶׁר נִשְׁבַּע יְהוָה לַאֲבֹתֵינוּ לָתֶת לָנוּ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אמר</w:t>
      </w:r>
      <w:r>
        <w:t xml:space="preserve">, Qal Perfekt, 2. Person Maskulinum Singular, Präposition </w:t>
      </w:r>
      <w:r>
        <w:rPr>
          <w:rStyle w:val="Fett"/>
          <w:rFonts w:eastAsiaTheme="majorEastAsia"/>
          <w:rtl/>
        </w:rPr>
        <w:t>אֶל</w:t>
      </w:r>
      <w:r>
        <w:rPr>
          <w:rtl/>
        </w:rPr>
        <w:t xml:space="preserve"> </w:t>
      </w:r>
      <w:r>
        <w:t xml:space="preserve">mit Suffix 3. Person Maskulinum Singular, direkte Rede: </w:t>
      </w:r>
      <w:r>
        <w:rPr>
          <w:rStyle w:val="Fett"/>
          <w:rFonts w:eastAsiaTheme="majorEastAsia"/>
          <w:rtl/>
        </w:rPr>
        <w:t>הִגַּדְתִּי הַיּוֹם לַיהוָה אֱלֹהֶיךָ</w:t>
      </w:r>
      <w:r>
        <w:rPr>
          <w:rtl/>
        </w:rPr>
        <w:t xml:space="preserve"> </w:t>
      </w:r>
      <w:r>
        <w:t xml:space="preserve">mit </w:t>
      </w:r>
      <w:r>
        <w:rPr>
          <w:rStyle w:val="Fett"/>
          <w:rFonts w:eastAsiaTheme="majorEastAsia"/>
          <w:rtl/>
        </w:rPr>
        <w:t>נגד</w:t>
      </w:r>
      <w:r>
        <w:t xml:space="preserve">, Hiphil Perfekt, 1. Person Singular, „erklären, bezeugen, bekannt machen", </w:t>
      </w:r>
      <w:r>
        <w:rPr>
          <w:rStyle w:val="Fett"/>
          <w:rFonts w:eastAsiaTheme="majorEastAsia"/>
          <w:rtl/>
        </w:rPr>
        <w:t>הַיּוֹם</w:t>
      </w:r>
      <w:r>
        <w:t xml:space="preserve">, </w:t>
      </w:r>
      <w:r>
        <w:rPr>
          <w:rStyle w:val="Fett"/>
          <w:rFonts w:eastAsiaTheme="majorEastAsia"/>
          <w:rtl/>
        </w:rPr>
        <w:t>לַיהוָה אֱלֹהֶיךָ</w:t>
      </w:r>
      <w:r>
        <w:t xml:space="preserve">, Kausalsatz: </w:t>
      </w:r>
      <w:r>
        <w:rPr>
          <w:rStyle w:val="Fett"/>
          <w:rFonts w:eastAsiaTheme="majorEastAsia"/>
          <w:rtl/>
        </w:rPr>
        <w:t>כִּי־בָאתִי אֶל־הָאָרֶץ אֲשֶׁר נִשְׁבַּע יְהוָה לַאֲבֹתֵינוּ לָתֶת לָנוּ</w:t>
      </w:r>
      <w:r>
        <w:rPr>
          <w:rtl/>
        </w:rPr>
        <w:t xml:space="preserve"> </w:t>
      </w:r>
      <w:r>
        <w:t xml:space="preserve">mit </w:t>
      </w:r>
      <w:r>
        <w:rPr>
          <w:rStyle w:val="Fett"/>
          <w:rFonts w:eastAsiaTheme="majorEastAsia"/>
          <w:rtl/>
        </w:rPr>
        <w:t>בוא</w:t>
      </w:r>
      <w:r>
        <w:t xml:space="preserve">, Qal Perfekt, 1. Person Singular, Präposition </w:t>
      </w:r>
      <w:r>
        <w:rPr>
          <w:rStyle w:val="Fett"/>
          <w:rFonts w:eastAsiaTheme="majorEastAsia"/>
          <w:rtl/>
        </w:rPr>
        <w:t>אֶל</w:t>
      </w:r>
      <w:r>
        <w:rPr>
          <w:rtl/>
        </w:rPr>
        <w:t xml:space="preserve"> </w:t>
      </w:r>
      <w:r>
        <w:t xml:space="preserve">mit </w:t>
      </w:r>
      <w:r>
        <w:rPr>
          <w:rStyle w:val="Fett"/>
          <w:rFonts w:eastAsiaTheme="majorEastAsia"/>
          <w:rtl/>
        </w:rPr>
        <w:t>אֶרֶץ</w:t>
      </w:r>
      <w:r>
        <w:rPr>
          <w:rtl/>
        </w:rPr>
        <w:t xml:space="preserve"> </w:t>
      </w:r>
      <w:r>
        <w:t xml:space="preserve">mit Artikel, Relativsatz: </w:t>
      </w:r>
      <w:r>
        <w:rPr>
          <w:rStyle w:val="Fett"/>
          <w:rFonts w:eastAsiaTheme="majorEastAsia"/>
          <w:rtl/>
        </w:rPr>
        <w:t>אֲשֶׁר נִשְׁבַּע יְהוָה לַאֲבֹתֵינוּ לָתֶת לָנוּ</w:t>
      </w:r>
      <w:r>
        <w:rPr>
          <w:rtl/>
        </w:rPr>
        <w:t xml:space="preserve"> </w:t>
      </w:r>
      <w:r>
        <w:t xml:space="preserve">mit </w:t>
      </w:r>
      <w:r>
        <w:rPr>
          <w:rStyle w:val="Fett"/>
          <w:rFonts w:eastAsiaTheme="majorEastAsia"/>
          <w:rtl/>
        </w:rPr>
        <w:t>שׁבע</w:t>
      </w:r>
      <w:r>
        <w:t xml:space="preserve">, Niphal Perfekt, 3. Person Maskulinum Singular, </w:t>
      </w:r>
      <w:r>
        <w:rPr>
          <w:rStyle w:val="Fett"/>
          <w:rFonts w:eastAsiaTheme="majorEastAsia"/>
          <w:rtl/>
        </w:rPr>
        <w:t>יְהוָה</w:t>
      </w:r>
      <w:r>
        <w:rPr>
          <w:rtl/>
        </w:rPr>
        <w:t xml:space="preserve"> </w:t>
      </w:r>
      <w:r>
        <w:t xml:space="preserve">als Subjekt, </w:t>
      </w:r>
      <w:r>
        <w:rPr>
          <w:rStyle w:val="Fett"/>
          <w:rFonts w:eastAsiaTheme="majorEastAsia"/>
          <w:rtl/>
        </w:rPr>
        <w:t>לַאֲבֹתֵינוּ</w:t>
      </w:r>
      <w:r>
        <w:t xml:space="preserve">, Präposition </w:t>
      </w:r>
      <w:r>
        <w:rPr>
          <w:rStyle w:val="Fett"/>
          <w:rFonts w:eastAsiaTheme="majorEastAsia"/>
          <w:rtl/>
        </w:rPr>
        <w:t>לְ</w:t>
      </w:r>
      <w:r>
        <w:rPr>
          <w:rtl/>
        </w:rPr>
        <w:t xml:space="preserve"> </w:t>
      </w:r>
      <w:r>
        <w:t xml:space="preserve">mit Qal Infinitiv Construct von </w:t>
      </w:r>
      <w:r>
        <w:rPr>
          <w:rStyle w:val="Fett"/>
          <w:rFonts w:eastAsiaTheme="majorEastAsia"/>
          <w:rtl/>
        </w:rPr>
        <w:t>נתן</w:t>
      </w:r>
      <w:r>
        <w:t xml:space="preserve">, </w:t>
      </w:r>
      <w:r>
        <w:rPr>
          <w:rStyle w:val="Fett"/>
          <w:rFonts w:eastAsiaTheme="majorEastAsia"/>
          <w:rtl/>
        </w:rPr>
        <w:t>לָנוּ</w:t>
      </w:r>
      <w:r>
        <w:t xml:space="preserve">, mit </w:t>
      </w:r>
      <w:r>
        <w:rPr>
          <w:rStyle w:val="Fett"/>
          <w:rFonts w:eastAsiaTheme="majorEastAsia"/>
        </w:rPr>
        <w:t>Waw</w:t>
      </w:r>
      <w:r>
        <w:t xml:space="preserve"> consecutives Perfekt).</w:t>
      </w:r>
    </w:p>
    <w:p w14:paraId="77162DAB" w14:textId="04177ABE" w:rsidR="00166F02" w:rsidRDefault="00166F02" w:rsidP="00166F02">
      <w:pPr>
        <w:pStyle w:val="whitespace-normal"/>
      </w:pPr>
      <w:r>
        <w:t xml:space="preserve">Der Vers beschreibt die erste liturgische Erklärung. Die erste Anweisung: </w:t>
      </w:r>
      <w:r>
        <w:rPr>
          <w:rStyle w:val="Fett"/>
          <w:rFonts w:eastAsiaTheme="majorEastAsia"/>
          <w:rtl/>
        </w:rPr>
        <w:t>וּבָאתָ אֶל־הַכֹּהֵן אֲשֶׁר יִהְיֶה בַּיָּמִים הָהֵם</w:t>
      </w:r>
      <w:r>
        <w:rPr>
          <w:rtl/>
        </w:rPr>
        <w:t xml:space="preserve"> </w:t>
      </w:r>
      <w:r>
        <w:t xml:space="preserve">(„und kommen sollst du zu dem Priester, der sein wird in jenen Tagen"). Die Formulierung </w:t>
      </w:r>
      <w:r>
        <w:rPr>
          <w:rStyle w:val="Fett"/>
          <w:rFonts w:eastAsiaTheme="majorEastAsia"/>
          <w:rtl/>
        </w:rPr>
        <w:t>אֲשֶׁר יִהְיֶה בַּיָּמִים הָהֵם</w:t>
      </w:r>
      <w:r>
        <w:rPr>
          <w:rtl/>
        </w:rPr>
        <w:t xml:space="preserve"> </w:t>
      </w:r>
      <w:r>
        <w:t xml:space="preserve">(„der sein wird in jenen Tagen") ist eine typische deuteronomische Wendung für zukünftige Amtsträger (vgl. 17,9; 19,17; 26,3). Der Israelit </w:t>
      </w:r>
      <w:r>
        <w:lastRenderedPageBreak/>
        <w:t xml:space="preserve">tritt vor den amtierenden Priester. Die zweite Anweisung (direkte Rede): </w:t>
      </w:r>
      <w:r>
        <w:rPr>
          <w:rStyle w:val="Fett"/>
          <w:rFonts w:eastAsiaTheme="majorEastAsia"/>
          <w:rtl/>
        </w:rPr>
        <w:t>וְאָמַרְתָּ אֵלָיו הִגַּדְתִּי הַיּוֹם לַיהוָה אֱלֹהֶיךָ כִּי־בָאתִי אֶל־הָאָרֶץ אֲשֶׁר נִשְׁבַּע יְהוָה לַאֲבֹתֵינוּ לָתֶת לָנוּ</w:t>
      </w:r>
      <w:r>
        <w:rPr>
          <w:rtl/>
        </w:rPr>
        <w:t xml:space="preserve"> </w:t>
      </w:r>
      <w:r>
        <w:t xml:space="preserve">(„und sagen sollst du zu ihm: Ich bezeuge heute dem JHWH, deinem Gott, dass ich gekommen bin in das Land, das JHWH unseren Vätern geschworen hat, uns zu geben"). Das Verb </w:t>
      </w:r>
      <w:r>
        <w:rPr>
          <w:rStyle w:val="Fett"/>
          <w:rFonts w:eastAsiaTheme="majorEastAsia"/>
          <w:rtl/>
        </w:rPr>
        <w:t>נגד</w:t>
      </w:r>
      <w:r>
        <w:rPr>
          <w:rtl/>
        </w:rPr>
        <w:t xml:space="preserve"> </w:t>
      </w:r>
      <w:r>
        <w:t xml:space="preserve">im Hiphil („erklären, bezeugen, bekannt machen") ist formell, liturgisch. Das Adverb </w:t>
      </w:r>
      <w:r>
        <w:rPr>
          <w:rStyle w:val="Fett"/>
          <w:rFonts w:eastAsiaTheme="majorEastAsia"/>
          <w:rtl/>
        </w:rPr>
        <w:t>הַיּוֹם</w:t>
      </w:r>
      <w:r>
        <w:rPr>
          <w:rtl/>
        </w:rPr>
        <w:t xml:space="preserve"> </w:t>
      </w:r>
      <w:r>
        <w:t xml:space="preserve">(„heute") betont den gegenwärtigen Moment der Erfüllung. Die Wendung </w:t>
      </w:r>
      <w:r>
        <w:rPr>
          <w:rStyle w:val="Fett"/>
          <w:rFonts w:eastAsiaTheme="majorEastAsia"/>
          <w:rtl/>
        </w:rPr>
        <w:t>לַיהוָה אֱלֹהֶיךָ</w:t>
      </w:r>
      <w:r>
        <w:rPr>
          <w:rtl/>
        </w:rPr>
        <w:t xml:space="preserve"> </w:t>
      </w:r>
      <w:r>
        <w:t xml:space="preserve">(„dem JHWH, deinem Gott") richtet sich an den Priester (daher „deinem Gott", nicht „meinem Gott"). Die Erklärung: </w:t>
      </w:r>
      <w:r>
        <w:rPr>
          <w:rStyle w:val="Fett"/>
          <w:rFonts w:eastAsiaTheme="majorEastAsia"/>
          <w:rtl/>
        </w:rPr>
        <w:t>כִּי־בָאתִי אֶל־הָאָרֶץ אֲשֶׁר נִשְׁבַּע יְהוָה לַאֲבֹתֵינוּ לָתֶת לָנוּ</w:t>
      </w:r>
      <w:r>
        <w:rPr>
          <w:rtl/>
        </w:rPr>
        <w:t xml:space="preserve"> </w:t>
      </w:r>
      <w:r>
        <w:t>(„dass ich gekommen bin in das Land, das JHWH unseren Vätern geschworen hat, uns zu geben"). Dies ist eine Bekenntnisformel: Der Israelit bezeugt die Erfüllung der göttlichen Verheißung. Die Formulierung verbindet Vergangenheit (Verheißung an die Väter), Gegenwart (Erfüllung) und persönliche Teilhabe („ich bin gekommen", „uns zu geben"). V. 4 wird die Handlung des Priesters beschreiben.</w:t>
      </w:r>
    </w:p>
    <w:p w14:paraId="13CC6BEC" w14:textId="1D9088FB" w:rsidR="00A600C6" w:rsidRDefault="00A600C6" w:rsidP="00166F02">
      <w:pPr>
        <w:pStyle w:val="whitespace-normal"/>
      </w:pPr>
      <w:r>
        <w:rPr>
          <w:rStyle w:val="Fett"/>
        </w:rPr>
        <w:t>Die LXX</w:t>
      </w:r>
      <w:r>
        <w:t xml:space="preserve"> übersetzt </w:t>
      </w:r>
      <w:r>
        <w:rPr>
          <w:rtl/>
        </w:rPr>
        <w:t>הִגַּדְתִּי הַיּוֹם</w:t>
      </w:r>
      <w:r>
        <w:t xml:space="preserve"> (ich bekenne heute) mit </w:t>
      </w:r>
      <w:proofErr w:type="spellStart"/>
      <w:r>
        <w:t>Ἀν</w:t>
      </w:r>
      <w:proofErr w:type="spellEnd"/>
      <w:r>
        <w:t xml:space="preserve">αγγέλλω </w:t>
      </w:r>
      <w:proofErr w:type="spellStart"/>
      <w:r>
        <w:t>σήμερον</w:t>
      </w:r>
      <w:proofErr w:type="spellEnd"/>
      <w:r>
        <w:t xml:space="preserve"> (ich verkünde heute) – </w:t>
      </w:r>
      <w:proofErr w:type="spellStart"/>
      <w:r>
        <w:t>ἀν</w:t>
      </w:r>
      <w:proofErr w:type="spellEnd"/>
      <w:r>
        <w:t>αγγέλλω bedeutet "ankündigen, verkünden" und hat eine stärker proklamatorische Nuance.</w:t>
      </w:r>
    </w:p>
    <w:p w14:paraId="28E2F9ED" w14:textId="77777777" w:rsidR="00166F02" w:rsidRDefault="00166F02" w:rsidP="00166F02">
      <w:pPr>
        <w:pStyle w:val="whitespace-normal"/>
      </w:pPr>
      <w:r>
        <w:rPr>
          <w:rStyle w:val="Fett"/>
          <w:rFonts w:eastAsiaTheme="majorEastAsia"/>
        </w:rPr>
        <w:t>Die Satzstruktur:</w:t>
      </w:r>
      <w:r>
        <w:t xml:space="preserve"> Zwei Anweisungen mit direkter Rede (und kommen sollst du zu dem Priester, der sein wird in jenen Tagen, und sagen sollst du zu ihm: Ich bezeuge heute dem JHWH, deinem Gott, dass ich gekommen bin in das Land, das JHWH unseren Vätern geschworen hat, uns zu geben).</w:t>
      </w:r>
    </w:p>
    <w:p w14:paraId="183FC50A" w14:textId="2D0AED95" w:rsidR="00166F02" w:rsidRDefault="00166F02" w:rsidP="00705F3D">
      <w:pPr>
        <w:pStyle w:val="whitespace-normal"/>
      </w:pPr>
      <w:r>
        <w:rPr>
          <w:rStyle w:val="Fett"/>
          <w:rFonts w:eastAsiaTheme="majorEastAsia"/>
        </w:rPr>
        <w:t>Der Vers beschreibt:</w:t>
      </w:r>
      <w:r>
        <w:t xml:space="preserve"> Erste liturgische Erklärung – Bekenntnis vor dem Priester, dass die Landverheißung erfüllt ist.</w:t>
      </w:r>
    </w:p>
    <w:p w14:paraId="6176DDBB" w14:textId="77777777" w:rsidR="00166F02" w:rsidRPr="00B53ACC" w:rsidRDefault="00166F02" w:rsidP="00B53ACC">
      <w:pPr>
        <w:pStyle w:val="Bibelberschrift"/>
      </w:pPr>
      <w:r w:rsidRPr="00B53ACC">
        <w:rPr>
          <w:rStyle w:val="Fett"/>
          <w:b/>
          <w:bCs w:val="0"/>
        </w:rPr>
        <w:t>Deuteronomium 26,4</w:t>
      </w:r>
    </w:p>
    <w:p w14:paraId="28254B9E" w14:textId="77777777" w:rsidR="00166F02" w:rsidRDefault="00166F02" w:rsidP="00166F02">
      <w:pPr>
        <w:pStyle w:val="whitespace-normal"/>
      </w:pPr>
      <w:r>
        <w:rPr>
          <w:rStyle w:val="Fett"/>
          <w:rFonts w:eastAsiaTheme="majorEastAsia"/>
        </w:rPr>
        <w:t>Hebräisch:</w:t>
      </w:r>
      <w:r>
        <w:t xml:space="preserve"> </w:t>
      </w:r>
      <w:r>
        <w:rPr>
          <w:rtl/>
        </w:rPr>
        <w:t>וְלָקַח הַכֹּהֵן הַטֶּנֶא מִיָּדֶךָ וְהִנִּיחוֹ לִפְנֵי מִזְבַּח יְהוָה אֱלֹהֶֽיךָ׃</w:t>
      </w:r>
    </w:p>
    <w:p w14:paraId="39D2A977" w14:textId="77777777" w:rsidR="00166F02" w:rsidRDefault="00166F02" w:rsidP="00166F02">
      <w:pPr>
        <w:pStyle w:val="whitespace-normal"/>
      </w:pPr>
      <w:r>
        <w:rPr>
          <w:rStyle w:val="Fett"/>
          <w:rFonts w:eastAsiaTheme="majorEastAsia"/>
        </w:rPr>
        <w:t>Deutsch:</w:t>
      </w:r>
      <w:r>
        <w:t xml:space="preserve"> Und der Priester soll den Korb nehmen aus deiner Hand und ihn niederlegen vor den Altar des JHWH, deines Gottes.</w:t>
      </w:r>
    </w:p>
    <w:p w14:paraId="61BC157E" w14:textId="77777777" w:rsidR="00166F02" w:rsidRDefault="004F5CEB" w:rsidP="00166F02">
      <w:r>
        <w:rPr>
          <w:noProof/>
        </w:rPr>
        <w:pict w14:anchorId="72AAF1BD">
          <v:rect id="_x0000_i1696" style="width:0;height:1.5pt" o:hralign="center" o:hrstd="t" o:hr="t" fillcolor="#a0a0a0" stroked="f"/>
        </w:pict>
      </w:r>
    </w:p>
    <w:p w14:paraId="079165C2"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וְלָקַח הַכֹּהֵן הַטֶּנֶא מִיָּדֶךָ וְהִנִּיחוֹ לִפְנֵי מִזְבַּח יְהוָה אֱלֹהֶיךָ</w:t>
      </w:r>
      <w:r>
        <w:rPr>
          <w:rtl/>
        </w:rPr>
        <w:t xml:space="preserve"> </w:t>
      </w:r>
      <w:r>
        <w:t xml:space="preserve">sind zwei Handlungen: </w:t>
      </w:r>
      <w:r>
        <w:rPr>
          <w:rStyle w:val="Fett"/>
          <w:rFonts w:eastAsiaTheme="majorEastAsia"/>
          <w:rtl/>
        </w:rPr>
        <w:t>וְלָקַח הַכֹּהֵן הַטֶּנֶא מִיָּדֶךָ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לקח</w:t>
      </w:r>
      <w:r>
        <w:t xml:space="preserve">, Qal Perfekt, 3. Person Maskulinum Singular, </w:t>
      </w:r>
      <w:r>
        <w:rPr>
          <w:rStyle w:val="Fett"/>
          <w:rFonts w:eastAsiaTheme="majorEastAsia"/>
          <w:rtl/>
        </w:rPr>
        <w:t>כֹּהֵן</w:t>
      </w:r>
      <w:r>
        <w:rPr>
          <w:rtl/>
        </w:rPr>
        <w:t xml:space="preserve"> </w:t>
      </w:r>
      <w:r>
        <w:t xml:space="preserve">mit Artikel als Subjekt, </w:t>
      </w:r>
      <w:r>
        <w:rPr>
          <w:rStyle w:val="Fett"/>
          <w:rFonts w:eastAsiaTheme="majorEastAsia"/>
          <w:rtl/>
        </w:rPr>
        <w:t>טֶנֶא</w:t>
      </w:r>
      <w:r>
        <w:rPr>
          <w:rtl/>
        </w:rPr>
        <w:t xml:space="preserve"> </w:t>
      </w:r>
      <w:r>
        <w:t xml:space="preserve">mit Artikel als Objekt, Präposition </w:t>
      </w:r>
      <w:r>
        <w:rPr>
          <w:rStyle w:val="Fett"/>
          <w:rFonts w:eastAsiaTheme="majorEastAsia"/>
          <w:rtl/>
        </w:rPr>
        <w:t>מִן</w:t>
      </w:r>
      <w:r>
        <w:rPr>
          <w:rtl/>
        </w:rPr>
        <w:t xml:space="preserve"> </w:t>
      </w:r>
      <w:r>
        <w:t xml:space="preserve">mit </w:t>
      </w:r>
      <w:r>
        <w:rPr>
          <w:rStyle w:val="Fett"/>
          <w:rFonts w:eastAsiaTheme="majorEastAsia"/>
          <w:rtl/>
        </w:rPr>
        <w:t>יָד</w:t>
      </w:r>
      <w:r>
        <w:t xml:space="preserve">, „Hand", mit Suffix 2. Person Maskulinum Singular, mit </w:t>
      </w:r>
      <w:r>
        <w:rPr>
          <w:rStyle w:val="Fett"/>
          <w:rFonts w:eastAsiaTheme="majorEastAsia"/>
        </w:rPr>
        <w:t>Waw</w:t>
      </w:r>
      <w:r>
        <w:t xml:space="preserve"> consecutives Perfekt), </w:t>
      </w:r>
      <w:r>
        <w:rPr>
          <w:rStyle w:val="Fett"/>
          <w:rFonts w:eastAsiaTheme="majorEastAsia"/>
          <w:rtl/>
        </w:rPr>
        <w:t>וְהִנִּיחוֹ לִפְנֵי מִזְבַּח יְהוָה אֱלֹהֶיךָ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נוח</w:t>
      </w:r>
      <w:r>
        <w:t xml:space="preserve">, Hiphil Perfekt, 3. Person Maskulinum Singular, „niederlegen, hinstellen", mit Suffix 3. Person Maskulinum Singular, </w:t>
      </w:r>
      <w:r>
        <w:rPr>
          <w:rStyle w:val="Fett"/>
          <w:rFonts w:eastAsiaTheme="majorEastAsia"/>
          <w:rtl/>
        </w:rPr>
        <w:t>לִפְנֵי מִזְבַּח יְהוָה אֱלֹהֶיךָ</w:t>
      </w:r>
      <w:r>
        <w:t xml:space="preserve">, mit </w:t>
      </w:r>
      <w:r>
        <w:rPr>
          <w:rStyle w:val="Fett"/>
          <w:rFonts w:eastAsiaTheme="majorEastAsia"/>
        </w:rPr>
        <w:t>Waw</w:t>
      </w:r>
      <w:r>
        <w:t xml:space="preserve"> consecutives Perfekt).</w:t>
      </w:r>
    </w:p>
    <w:p w14:paraId="6FF974ED" w14:textId="77777777" w:rsidR="00166F02" w:rsidRDefault="00166F02" w:rsidP="00166F02">
      <w:pPr>
        <w:pStyle w:val="whitespace-normal"/>
      </w:pPr>
      <w:r>
        <w:t xml:space="preserve">Der Vers beschreibt die priesterliche Handlung. Die erste Handlung: </w:t>
      </w:r>
      <w:r>
        <w:rPr>
          <w:rStyle w:val="Fett"/>
          <w:rFonts w:eastAsiaTheme="majorEastAsia"/>
          <w:rtl/>
        </w:rPr>
        <w:t>וְלָקַח הַכֹּהֵן הַטֶּנֶא מִיָּדֶךָ</w:t>
      </w:r>
      <w:r>
        <w:rPr>
          <w:rtl/>
        </w:rPr>
        <w:t xml:space="preserve"> </w:t>
      </w:r>
      <w:r>
        <w:t xml:space="preserve">(„und nehmen soll der Priester den Korb aus deiner Hand"). Der Priester übernimmt den Korb vom Israeliten – ein symbolischer Übergang von privatem Besitz zu heiliger Gabe. Die zweite Handlung: </w:t>
      </w:r>
      <w:r>
        <w:rPr>
          <w:rStyle w:val="Fett"/>
          <w:rFonts w:eastAsiaTheme="majorEastAsia"/>
          <w:rtl/>
        </w:rPr>
        <w:t>וְהִנִּיחוֹ לִפְנֵי מִזְבַּח יְהוָה אֱלֹהֶיךָ</w:t>
      </w:r>
      <w:r>
        <w:rPr>
          <w:rtl/>
        </w:rPr>
        <w:t xml:space="preserve"> </w:t>
      </w:r>
      <w:r>
        <w:t xml:space="preserve">(„und niederlegen soll er ihn vor den Altar des JHWH, deines Gottes"). Das Verb </w:t>
      </w:r>
      <w:r>
        <w:rPr>
          <w:rStyle w:val="Fett"/>
          <w:rFonts w:eastAsiaTheme="majorEastAsia"/>
          <w:rtl/>
        </w:rPr>
        <w:t>נוח</w:t>
      </w:r>
      <w:r>
        <w:rPr>
          <w:rtl/>
        </w:rPr>
        <w:t xml:space="preserve"> </w:t>
      </w:r>
      <w:r>
        <w:t xml:space="preserve">im Hiphil („niederlegen, hinstellen") – der Korb wird vor dem </w:t>
      </w:r>
      <w:r>
        <w:lastRenderedPageBreak/>
        <w:t xml:space="preserve">Altar platziert, aber nicht darauf verbrannt. Die Formulierung </w:t>
      </w:r>
      <w:r>
        <w:rPr>
          <w:rStyle w:val="Fett"/>
          <w:rFonts w:eastAsiaTheme="majorEastAsia"/>
          <w:rtl/>
        </w:rPr>
        <w:t>לִפְנֵי מִזְבַּח</w:t>
      </w:r>
      <w:r>
        <w:rPr>
          <w:rtl/>
        </w:rPr>
        <w:t xml:space="preserve"> </w:t>
      </w:r>
      <w:r>
        <w:t xml:space="preserve">(„vor den Altar") – räumlich vor dem Altar, im Heiligtum. Die Wendung </w:t>
      </w:r>
      <w:r>
        <w:rPr>
          <w:rStyle w:val="Fett"/>
          <w:rFonts w:eastAsiaTheme="majorEastAsia"/>
          <w:rtl/>
        </w:rPr>
        <w:t>יְהוָה אֱלֹהֶיךָ</w:t>
      </w:r>
      <w:r>
        <w:rPr>
          <w:rtl/>
        </w:rPr>
        <w:t xml:space="preserve"> </w:t>
      </w:r>
      <w:r>
        <w:t>(„JHWH, deines Gottes") richtet sich wieder an den Israeliten. Die Erstlingsfrüchte gehören nun JHWH und werden wahrscheinlich den Priestern als Teil ihres Unterhalts gegeben (vgl. Num 18,12-13). V. 5 wird das zentrale liturgische Bekenntnis beginnen – das sogenannte "kleine historische Credo".</w:t>
      </w:r>
    </w:p>
    <w:p w14:paraId="5007A3CE" w14:textId="77777777" w:rsidR="00166F02" w:rsidRDefault="00166F02" w:rsidP="00166F02">
      <w:pPr>
        <w:pStyle w:val="whitespace-normal"/>
      </w:pPr>
      <w:r>
        <w:rPr>
          <w:rStyle w:val="Fett"/>
          <w:rFonts w:eastAsiaTheme="majorEastAsia"/>
        </w:rPr>
        <w:t>Die Satzstruktur:</w:t>
      </w:r>
      <w:r>
        <w:t xml:space="preserve"> Zwei priesterliche Handlungen (und nehmen soll der Priester den Korb aus deiner Hand, und niederlegen soll er ihn vor den Altar des JHWH, deines Gottes).</w:t>
      </w:r>
    </w:p>
    <w:p w14:paraId="0D0D98C4" w14:textId="71BE638E" w:rsidR="00166F02" w:rsidRDefault="00166F02" w:rsidP="00705F3D">
      <w:pPr>
        <w:pStyle w:val="whitespace-normal"/>
      </w:pPr>
      <w:r>
        <w:rPr>
          <w:rStyle w:val="Fett"/>
          <w:rFonts w:eastAsiaTheme="majorEastAsia"/>
        </w:rPr>
        <w:t>Der Vers beschreibt:</w:t>
      </w:r>
      <w:r>
        <w:t xml:space="preserve"> Priesterliche Handlung – der Priester nimmt den Korb und legt ihn vor dem Altar nieder.</w:t>
      </w:r>
    </w:p>
    <w:p w14:paraId="5DAA4AD4" w14:textId="77777777" w:rsidR="00166F02" w:rsidRPr="00B53ACC" w:rsidRDefault="00166F02" w:rsidP="00B53ACC">
      <w:pPr>
        <w:pStyle w:val="Bibelberschrift"/>
      </w:pPr>
      <w:r w:rsidRPr="00B53ACC">
        <w:rPr>
          <w:rStyle w:val="Fett"/>
          <w:b/>
          <w:bCs w:val="0"/>
        </w:rPr>
        <w:t>Deuteronomium 26,5</w:t>
      </w:r>
    </w:p>
    <w:p w14:paraId="6905869F" w14:textId="77777777" w:rsidR="00166F02" w:rsidRDefault="00166F02" w:rsidP="00166F02">
      <w:pPr>
        <w:pStyle w:val="whitespace-normal"/>
      </w:pPr>
      <w:r>
        <w:rPr>
          <w:rStyle w:val="Fett"/>
          <w:rFonts w:eastAsiaTheme="majorEastAsia"/>
        </w:rPr>
        <w:t>Hebräisch:</w:t>
      </w:r>
      <w:r>
        <w:t xml:space="preserve"> </w:t>
      </w:r>
      <w:r>
        <w:rPr>
          <w:rtl/>
        </w:rPr>
        <w:t>וְעָנִיתָ וְאָמַרְתָּ לִפְנֵי יְהוָה אֱלֹהֶיךָ אֲרַמִּי אֹבֵד אָבִי וַיֵּרֶד מִצְרַיְמָה וַיָּגָר שָׁם בִּמְתֵי מְעָט וַֽיְהִי־שָׁם לְגוֹי גָּדוֹל עָצוּם וָרָֽב׃</w:t>
      </w:r>
    </w:p>
    <w:p w14:paraId="140A7946" w14:textId="77777777" w:rsidR="00166F02" w:rsidRDefault="00166F02" w:rsidP="00166F02">
      <w:pPr>
        <w:pStyle w:val="whitespace-normal"/>
      </w:pPr>
      <w:r>
        <w:rPr>
          <w:rStyle w:val="Fett"/>
          <w:rFonts w:eastAsiaTheme="majorEastAsia"/>
        </w:rPr>
        <w:t>Deutsch:</w:t>
      </w:r>
      <w:r>
        <w:t xml:space="preserve"> Und du sollst anheben und sprechen vor JHWH, deinem Gott: Ein umherirrender Aramäer war mein Vater, und er zog hinab nach Ägypten und weilte dort als Fremder mit wenigen Leuten, und er wurde dort zu einer großen, mächtigen und zahlreichen Nation.</w:t>
      </w:r>
    </w:p>
    <w:p w14:paraId="70DB4167" w14:textId="77777777" w:rsidR="00166F02" w:rsidRDefault="004F5CEB" w:rsidP="00166F02">
      <w:r>
        <w:rPr>
          <w:noProof/>
        </w:rPr>
        <w:pict w14:anchorId="26A93139">
          <v:rect id="_x0000_i1697" style="width:0;height:1.5pt" o:hralign="center" o:hrstd="t" o:hr="t" fillcolor="#a0a0a0" stroked="f"/>
        </w:pict>
      </w:r>
    </w:p>
    <w:p w14:paraId="2668F77E" w14:textId="7D8F62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וְעָנִיתָ וְאָמַרְתָּ לִפְנֵי יְהוָה אֱלֹהֶיךָ אֲרַמִּי אֹבֵד אָבִי וַיֵּרֶד מִצְרַיְמָה וַיָּגָר שָׁם בִּמְתֵי מְעָט וַיְהִי־שָׁם לְגוֹי גָּדוֹל עָצוּם וָרָב</w:t>
      </w:r>
      <w:r>
        <w:rPr>
          <w:rtl/>
        </w:rPr>
        <w:t xml:space="preserve"> </w:t>
      </w:r>
      <w:r>
        <w:t xml:space="preserve">ist die Einleitung zum liturgischen Bekenntnis: </w:t>
      </w:r>
      <w:r>
        <w:rPr>
          <w:rStyle w:val="Fett"/>
          <w:rFonts w:eastAsiaTheme="majorEastAsia"/>
          <w:rtl/>
        </w:rPr>
        <w:t>וְעָנִיתָ וְאָמַרְתָּ לִפְנֵי יְהוָה אֱלֹהֶיךָ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ענה</w:t>
      </w:r>
      <w:r>
        <w:t xml:space="preserve">, Qal Perfekt, 2. Person Maskulinum Singular, „antworten, anheben [die Stimme]", koordiniert durch </w:t>
      </w:r>
      <w:r>
        <w:rPr>
          <w:rStyle w:val="Fett"/>
          <w:rFonts w:eastAsiaTheme="majorEastAsia"/>
          <w:rtl/>
        </w:rPr>
        <w:t>וְ</w:t>
      </w:r>
      <w:r>
        <w:rPr>
          <w:rtl/>
        </w:rPr>
        <w:t xml:space="preserve"> </w:t>
      </w:r>
      <w:r>
        <w:t xml:space="preserve">mit </w:t>
      </w:r>
      <w:r>
        <w:rPr>
          <w:rStyle w:val="Fett"/>
          <w:rFonts w:eastAsiaTheme="majorEastAsia"/>
          <w:rtl/>
        </w:rPr>
        <w:t>אמר</w:t>
      </w:r>
      <w:r>
        <w:t xml:space="preserve">, Qal Perfekt, 2. Person Maskulinum Singular, </w:t>
      </w:r>
      <w:r>
        <w:rPr>
          <w:rStyle w:val="Fett"/>
          <w:rFonts w:eastAsiaTheme="majorEastAsia"/>
          <w:rtl/>
        </w:rPr>
        <w:t>לִפְנֵי יְהוָה אֱלֹהֶיךָ</w:t>
      </w:r>
      <w:r>
        <w:t xml:space="preserve">, direkte Rede beginnt, mit </w:t>
      </w:r>
      <w:r>
        <w:rPr>
          <w:rStyle w:val="Fett"/>
          <w:rFonts w:eastAsiaTheme="majorEastAsia"/>
        </w:rPr>
        <w:t>Waw</w:t>
      </w:r>
      <w:r>
        <w:t xml:space="preserve"> consecutives Perfekt), </w:t>
      </w:r>
      <w:r>
        <w:rPr>
          <w:rStyle w:val="Fett"/>
          <w:rFonts w:eastAsiaTheme="majorEastAsia"/>
          <w:rtl/>
        </w:rPr>
        <w:t>אֲרַמִּי אֹבֵד אָבִי</w:t>
      </w:r>
      <w:r>
        <w:rPr>
          <w:rtl/>
        </w:rPr>
        <w:t xml:space="preserve"> </w:t>
      </w:r>
      <w:r>
        <w:t>(</w:t>
      </w:r>
      <w:r>
        <w:rPr>
          <w:rStyle w:val="Fett"/>
          <w:rFonts w:eastAsiaTheme="majorEastAsia"/>
          <w:rtl/>
        </w:rPr>
        <w:t>אֲרַמִּי</w:t>
      </w:r>
      <w:r>
        <w:t xml:space="preserve">, </w:t>
      </w:r>
      <w:r w:rsidR="00C13523">
        <w:t>Gentilicum</w:t>
      </w:r>
      <w:r>
        <w:t xml:space="preserve">, „Aramäer", </w:t>
      </w:r>
      <w:r>
        <w:rPr>
          <w:rStyle w:val="Fett"/>
          <w:rFonts w:eastAsiaTheme="majorEastAsia"/>
          <w:rtl/>
        </w:rPr>
        <w:t>אבד</w:t>
      </w:r>
      <w:r>
        <w:t xml:space="preserve">, Qal Partizip, „umkommen, verloren gehen, umherirren", </w:t>
      </w:r>
      <w:r>
        <w:rPr>
          <w:rStyle w:val="Fett"/>
          <w:rFonts w:eastAsiaTheme="majorEastAsia"/>
          <w:rtl/>
        </w:rPr>
        <w:t>אָב</w:t>
      </w:r>
      <w:r>
        <w:rPr>
          <w:rtl/>
        </w:rPr>
        <w:t xml:space="preserve"> </w:t>
      </w:r>
      <w:r>
        <w:t xml:space="preserve">mit Suffix 1. Person Singular – Nominalsatz), </w:t>
      </w:r>
      <w:r>
        <w:rPr>
          <w:rStyle w:val="Fett"/>
          <w:rFonts w:eastAsiaTheme="majorEastAsia"/>
          <w:rtl/>
        </w:rPr>
        <w:t>וַיֵּרֶד מִצְרַיְמָה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ירד</w:t>
      </w:r>
      <w:r>
        <w:t xml:space="preserve">, Qal Imperfekt, 3. Person Maskulinum Singular, „hinabgehen", </w:t>
      </w:r>
      <w:r>
        <w:rPr>
          <w:rStyle w:val="Fett"/>
          <w:rFonts w:eastAsiaTheme="majorEastAsia"/>
          <w:rtl/>
        </w:rPr>
        <w:t>מִצְרַיִם</w:t>
      </w:r>
      <w:r>
        <w:rPr>
          <w:rtl/>
        </w:rPr>
        <w:t xml:space="preserve"> </w:t>
      </w:r>
      <w:r>
        <w:t xml:space="preserve">mit Richtungsendung </w:t>
      </w:r>
      <w:r>
        <w:rPr>
          <w:rStyle w:val="Fett"/>
          <w:rFonts w:eastAsiaTheme="majorEastAsia"/>
          <w:rtl/>
        </w:rPr>
        <w:t>ה</w:t>
      </w:r>
      <w:r>
        <w:rPr>
          <w:rStyle w:val="Fett"/>
          <w:rFonts w:eastAsiaTheme="majorEastAsia"/>
        </w:rPr>
        <w:t>-</w:t>
      </w:r>
      <w:r>
        <w:t xml:space="preserve">, mit </w:t>
      </w:r>
      <w:r>
        <w:rPr>
          <w:rStyle w:val="Fett"/>
          <w:rFonts w:eastAsiaTheme="majorEastAsia"/>
        </w:rPr>
        <w:t>Waw</w:t>
      </w:r>
      <w:r>
        <w:t xml:space="preserve"> consecutives Imperfekt), </w:t>
      </w:r>
      <w:r>
        <w:rPr>
          <w:rStyle w:val="Fett"/>
          <w:rFonts w:eastAsiaTheme="majorEastAsia"/>
          <w:rtl/>
        </w:rPr>
        <w:t>וַיָּגָר שָׁם בִּמְתֵי מְעָט</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גור</w:t>
      </w:r>
      <w:r>
        <w:t xml:space="preserve">, Qal Imperfekt, 3. Person Maskulinum Singular, „als Fremder weilen, sich aufhalten", </w:t>
      </w:r>
      <w:r>
        <w:rPr>
          <w:rStyle w:val="Fett"/>
          <w:rFonts w:eastAsiaTheme="majorEastAsia"/>
          <w:rtl/>
        </w:rPr>
        <w:t>שָׁם</w:t>
      </w:r>
      <w:r>
        <w:t xml:space="preserve">, Präposition </w:t>
      </w:r>
      <w:r>
        <w:rPr>
          <w:rStyle w:val="Fett"/>
          <w:rFonts w:eastAsiaTheme="majorEastAsia"/>
          <w:rtl/>
        </w:rPr>
        <w:t>בְּ</w:t>
      </w:r>
      <w:r>
        <w:rPr>
          <w:rtl/>
        </w:rPr>
        <w:t xml:space="preserve"> </w:t>
      </w:r>
      <w:r>
        <w:t xml:space="preserve">mit </w:t>
      </w:r>
      <w:r>
        <w:rPr>
          <w:rStyle w:val="Fett"/>
          <w:rFonts w:eastAsiaTheme="majorEastAsia"/>
          <w:rtl/>
        </w:rPr>
        <w:t>מְתֵי</w:t>
      </w:r>
      <w:r>
        <w:t xml:space="preserve">, Plural Construct von </w:t>
      </w:r>
      <w:r>
        <w:rPr>
          <w:rStyle w:val="Fett"/>
          <w:rFonts w:eastAsiaTheme="majorEastAsia"/>
          <w:rtl/>
        </w:rPr>
        <w:t>מַת</w:t>
      </w:r>
      <w:r>
        <w:t xml:space="preserve">, „Mann, Person" (poetisch/archaisch), </w:t>
      </w:r>
      <w:r>
        <w:rPr>
          <w:rStyle w:val="Fett"/>
          <w:rFonts w:eastAsiaTheme="majorEastAsia"/>
          <w:rtl/>
        </w:rPr>
        <w:t>מְעָט</w:t>
      </w:r>
      <w:r>
        <w:t xml:space="preserve">, „wenig, gering", mit </w:t>
      </w:r>
      <w:r>
        <w:rPr>
          <w:rStyle w:val="Fett"/>
          <w:rFonts w:eastAsiaTheme="majorEastAsia"/>
        </w:rPr>
        <w:t>Waw</w:t>
      </w:r>
      <w:r>
        <w:t xml:space="preserve"> consecutives Imperfekt), </w:t>
      </w:r>
      <w:r>
        <w:rPr>
          <w:rStyle w:val="Fett"/>
          <w:rFonts w:eastAsiaTheme="majorEastAsia"/>
          <w:rtl/>
        </w:rPr>
        <w:t>וַיְהִי־שָׁם לְגוֹי גָּדוֹל עָצוּם וָרָב</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Imperfekt, 3. Person Maskulinum Singular, </w:t>
      </w:r>
      <w:r>
        <w:rPr>
          <w:rStyle w:val="Fett"/>
          <w:rFonts w:eastAsiaTheme="majorEastAsia"/>
          <w:rtl/>
        </w:rPr>
        <w:t>שָׁם</w:t>
      </w:r>
      <w:r>
        <w:t xml:space="preserve">, </w:t>
      </w:r>
      <w:r>
        <w:rPr>
          <w:rStyle w:val="Fett"/>
          <w:rFonts w:eastAsiaTheme="majorEastAsia"/>
          <w:rtl/>
        </w:rPr>
        <w:t>לְגוֹי גָּדוֹל עָצוּם וָרָב</w:t>
      </w:r>
      <w:r>
        <w:t xml:space="preserve">, Präposition </w:t>
      </w:r>
      <w:r>
        <w:rPr>
          <w:rStyle w:val="Fett"/>
          <w:rFonts w:eastAsiaTheme="majorEastAsia"/>
          <w:rtl/>
        </w:rPr>
        <w:t>לְ</w:t>
      </w:r>
      <w:r>
        <w:rPr>
          <w:rtl/>
        </w:rPr>
        <w:t xml:space="preserve"> </w:t>
      </w:r>
      <w:r>
        <w:t xml:space="preserve">mit </w:t>
      </w:r>
      <w:r>
        <w:rPr>
          <w:rStyle w:val="Fett"/>
          <w:rFonts w:eastAsiaTheme="majorEastAsia"/>
          <w:rtl/>
        </w:rPr>
        <w:t>גּוֹי</w:t>
      </w:r>
      <w:r>
        <w:t xml:space="preserve">, „Nation, Volk", </w:t>
      </w:r>
      <w:r>
        <w:rPr>
          <w:rStyle w:val="Fett"/>
          <w:rFonts w:eastAsiaTheme="majorEastAsia"/>
          <w:rtl/>
        </w:rPr>
        <w:t>גָּדוֹל</w:t>
      </w:r>
      <w:r>
        <w:t xml:space="preserve">, „groß", </w:t>
      </w:r>
      <w:r>
        <w:rPr>
          <w:rStyle w:val="Fett"/>
          <w:rFonts w:eastAsiaTheme="majorEastAsia"/>
          <w:rtl/>
        </w:rPr>
        <w:t>עָצוּם</w:t>
      </w:r>
      <w:r>
        <w:t xml:space="preserve">, „mächtig, zahlreich", koordiniert durch </w:t>
      </w:r>
      <w:r>
        <w:rPr>
          <w:rStyle w:val="Fett"/>
          <w:rFonts w:eastAsiaTheme="majorEastAsia"/>
          <w:rtl/>
        </w:rPr>
        <w:t>וְ</w:t>
      </w:r>
      <w:r>
        <w:rPr>
          <w:rtl/>
        </w:rPr>
        <w:t xml:space="preserve"> </w:t>
      </w:r>
      <w:r>
        <w:t xml:space="preserve">(mit Dageschforte) mit </w:t>
      </w:r>
      <w:r>
        <w:rPr>
          <w:rStyle w:val="Fett"/>
          <w:rFonts w:eastAsiaTheme="majorEastAsia"/>
          <w:rtl/>
        </w:rPr>
        <w:t>רַב</w:t>
      </w:r>
      <w:r>
        <w:t xml:space="preserve">, „viel, zahlreich", mit </w:t>
      </w:r>
      <w:r>
        <w:rPr>
          <w:rStyle w:val="Fett"/>
          <w:rFonts w:eastAsiaTheme="majorEastAsia"/>
        </w:rPr>
        <w:t>Waw</w:t>
      </w:r>
      <w:r>
        <w:t xml:space="preserve"> consecutives Imperfekt).</w:t>
      </w:r>
    </w:p>
    <w:p w14:paraId="23EB65FB" w14:textId="0901ADF6" w:rsidR="00166F02" w:rsidRDefault="00166F02" w:rsidP="00166F02">
      <w:pPr>
        <w:pStyle w:val="whitespace-normal"/>
      </w:pPr>
      <w:r>
        <w:t xml:space="preserve">Der Vers beginnt das sogenannte "kleine historische Credo" (V. 5-9), eine komprimierte Heilsgeschichte Israels. Die Einleitung: </w:t>
      </w:r>
      <w:r>
        <w:rPr>
          <w:rStyle w:val="Fett"/>
          <w:rFonts w:eastAsiaTheme="majorEastAsia"/>
          <w:rtl/>
        </w:rPr>
        <w:t>וְעָנִיתָ וְאָמַרְתָּ לִפְנֵי יְהוָה אֱלֹהֶיךָ</w:t>
      </w:r>
      <w:r>
        <w:rPr>
          <w:rtl/>
        </w:rPr>
        <w:t xml:space="preserve"> </w:t>
      </w:r>
      <w:r>
        <w:t xml:space="preserve">(„und anheben sollst du und sprechen vor JHWH, deinem Gott"). Die Formel </w:t>
      </w:r>
      <w:r>
        <w:rPr>
          <w:rStyle w:val="Fett"/>
          <w:rFonts w:eastAsiaTheme="majorEastAsia"/>
          <w:rtl/>
        </w:rPr>
        <w:t>עָנָה וְאָמַר</w:t>
      </w:r>
      <w:r>
        <w:rPr>
          <w:rtl/>
        </w:rPr>
        <w:t xml:space="preserve"> </w:t>
      </w:r>
      <w:r>
        <w:t xml:space="preserve">(„antworten und sagen, anheben und sprechen") leitet oft liturgische oder feierliche Erklärungen ein (vgl. 21,7; 25,9; 27,14.15; Jos 24,16; Hiob 3,2). Die Formulierung </w:t>
      </w:r>
      <w:r>
        <w:rPr>
          <w:rStyle w:val="Fett"/>
          <w:rFonts w:eastAsiaTheme="majorEastAsia"/>
          <w:rtl/>
        </w:rPr>
        <w:t>לִפְנֵי יְהוָה אֱלֹהֶיךָ</w:t>
      </w:r>
      <w:r>
        <w:rPr>
          <w:rtl/>
        </w:rPr>
        <w:t xml:space="preserve"> </w:t>
      </w:r>
      <w:r>
        <w:t xml:space="preserve">(„vor JHWH, deinem Gott") betont die Gegenwart Gottes im Heiligtum. Der Beginn des Credos: </w:t>
      </w:r>
      <w:r>
        <w:rPr>
          <w:rStyle w:val="Fett"/>
          <w:rFonts w:eastAsiaTheme="majorEastAsia"/>
          <w:rtl/>
        </w:rPr>
        <w:t>אֲרַמִּי אֹבֵד אָבִי</w:t>
      </w:r>
      <w:r>
        <w:rPr>
          <w:rtl/>
        </w:rPr>
        <w:t xml:space="preserve"> </w:t>
      </w:r>
      <w:r>
        <w:t xml:space="preserve">(„ein Aramäer, umherirrend, war mein Vater"). Diese berühmte Formulierung ist grammatisch mehrdeutig: (1) </w:t>
      </w:r>
      <w:r>
        <w:rPr>
          <w:rStyle w:val="Fett"/>
          <w:rFonts w:eastAsiaTheme="majorEastAsia"/>
          <w:rtl/>
        </w:rPr>
        <w:t>אֹבֵד</w:t>
      </w:r>
      <w:r>
        <w:rPr>
          <w:rtl/>
        </w:rPr>
        <w:t xml:space="preserve"> </w:t>
      </w:r>
      <w:r>
        <w:t xml:space="preserve">als Qal Partizip: „umherirrend, verloren gehend, am Umkommen" – ein </w:t>
      </w:r>
      <w:r>
        <w:lastRenderedPageBreak/>
        <w:t xml:space="preserve">umherirrender, heimatloser Aramäer. (2) </w:t>
      </w:r>
      <w:r>
        <w:rPr>
          <w:rStyle w:val="Fett"/>
          <w:rFonts w:eastAsiaTheme="majorEastAsia"/>
          <w:rtl/>
        </w:rPr>
        <w:t>אֹבֵד</w:t>
      </w:r>
      <w:r>
        <w:rPr>
          <w:rtl/>
        </w:rPr>
        <w:t xml:space="preserve"> </w:t>
      </w:r>
      <w:r>
        <w:t xml:space="preserve">als Hiphil Infinitiv Construct oder Partizip: „vernichtend, zerstörend" – ein Aramäer versuchte, meinen Vater zu vernichten (Verweis auf Laban? Gen 31,24.29.42). Die erste Interpretation ist wahrscheinlicher und traditioneller. Das Wort </w:t>
      </w:r>
      <w:r>
        <w:rPr>
          <w:rStyle w:val="Fett"/>
          <w:rFonts w:eastAsiaTheme="majorEastAsia"/>
          <w:rtl/>
        </w:rPr>
        <w:t>אֲרַמִּי</w:t>
      </w:r>
      <w:r>
        <w:rPr>
          <w:rtl/>
        </w:rPr>
        <w:t xml:space="preserve"> </w:t>
      </w:r>
      <w:r>
        <w:t xml:space="preserve">(„Aramäer") bezieht sich auf Jakob, der in Aram lebte und Labans Töchter heiratete (Gen 29-31), oder allgemeiner auf die patriarchale Verbindung zu Aram (vgl. Gen 24,10; 25,20; 28,5; 31,20.24). Die erste Erzählstufe: </w:t>
      </w:r>
      <w:r>
        <w:rPr>
          <w:rStyle w:val="Fett"/>
          <w:rFonts w:eastAsiaTheme="majorEastAsia"/>
          <w:rtl/>
        </w:rPr>
        <w:t>וַיֵּרֶד מִצְרַיְמָה וַיָּגָר שָׁם בִּמְתֵי מְעָט</w:t>
      </w:r>
      <w:r>
        <w:rPr>
          <w:rtl/>
        </w:rPr>
        <w:t xml:space="preserve"> </w:t>
      </w:r>
      <w:r>
        <w:t xml:space="preserve">(„und er zog hinab nach Ägypten und weilte dort mit wenigen Leuten"). Das Verb </w:t>
      </w:r>
      <w:r>
        <w:rPr>
          <w:rStyle w:val="Fett"/>
          <w:rFonts w:eastAsiaTheme="majorEastAsia"/>
          <w:rtl/>
        </w:rPr>
        <w:t>ירד</w:t>
      </w:r>
      <w:r>
        <w:rPr>
          <w:rtl/>
        </w:rPr>
        <w:t xml:space="preserve"> </w:t>
      </w:r>
      <w:r>
        <w:t xml:space="preserve">(„hinabgehen") – geographisch (Ägypten liegt tiefer) und möglicherweise wertend. Das Verb </w:t>
      </w:r>
      <w:r>
        <w:rPr>
          <w:rStyle w:val="Fett"/>
          <w:rFonts w:eastAsiaTheme="majorEastAsia"/>
          <w:rtl/>
        </w:rPr>
        <w:t>גור</w:t>
      </w:r>
      <w:r>
        <w:rPr>
          <w:rtl/>
        </w:rPr>
        <w:t xml:space="preserve"> </w:t>
      </w:r>
      <w:r>
        <w:t xml:space="preserve">(„als Fremder weilen") betont: temporär, nicht als dauerhafter Bewohner (vgl. Gen 47,4). Die Formulierung </w:t>
      </w:r>
      <w:r>
        <w:rPr>
          <w:rStyle w:val="Fett"/>
          <w:rFonts w:eastAsiaTheme="majorEastAsia"/>
          <w:rtl/>
        </w:rPr>
        <w:t>בִּמְתֵי מְעָט</w:t>
      </w:r>
      <w:r>
        <w:rPr>
          <w:rtl/>
        </w:rPr>
        <w:t xml:space="preserve"> </w:t>
      </w:r>
      <w:r>
        <w:t xml:space="preserve">(„mit wenigen Leuten") – eine kleine Gruppe (vgl. Gen 46,27: 70 Personen; Ex 1,5: 70 Seelen). Die zweite Erzählstufe: </w:t>
      </w:r>
      <w:r>
        <w:rPr>
          <w:rStyle w:val="Fett"/>
          <w:rFonts w:eastAsiaTheme="majorEastAsia"/>
          <w:rtl/>
        </w:rPr>
        <w:t>וַיְהִי־שָׁם לְגוֹי גָּדוֹל עָצוּם וָרָב</w:t>
      </w:r>
      <w:r>
        <w:rPr>
          <w:rtl/>
        </w:rPr>
        <w:t xml:space="preserve"> </w:t>
      </w:r>
      <w:r>
        <w:t xml:space="preserve">(„und er wurde dort zu einer großen, mächtigen und zahlreichen Nation"). Die dreifache Qualifikation </w:t>
      </w:r>
      <w:r>
        <w:rPr>
          <w:rStyle w:val="Fett"/>
          <w:rFonts w:eastAsiaTheme="majorEastAsia"/>
          <w:rtl/>
        </w:rPr>
        <w:t>גָּדוֹל עָצוּם וָרָב</w:t>
      </w:r>
      <w:r>
        <w:rPr>
          <w:rtl/>
        </w:rPr>
        <w:t xml:space="preserve"> </w:t>
      </w:r>
      <w:r>
        <w:t>(„groß, mächtig und zahlreich") betont das Bevölkerungswachstum (vgl. Ex 1,7.9.20; Gen 18,18; 46,3; Num 14,12). V. 6 wird die Unterdrückung beschreiben.</w:t>
      </w:r>
    </w:p>
    <w:p w14:paraId="207B79F4" w14:textId="7519FD5B" w:rsidR="00A600C6" w:rsidRDefault="00A600C6" w:rsidP="00166F02">
      <w:pPr>
        <w:pStyle w:val="whitespace-normal"/>
      </w:pPr>
      <w:r>
        <w:rPr>
          <w:rStyle w:val="Fett"/>
        </w:rPr>
        <w:t>Die LXX</w:t>
      </w:r>
      <w:r>
        <w:t xml:space="preserve"> übersetzt die berühmte und schwierige Phrase </w:t>
      </w:r>
      <w:r>
        <w:rPr>
          <w:rtl/>
        </w:rPr>
        <w:t>אֲרַמִּי אֹבֵד אָבִי</w:t>
      </w:r>
      <w:r>
        <w:t xml:space="preserve"> (ein umherirrender/umkommender Aramäer war mein Vater) mit </w:t>
      </w:r>
      <w:proofErr w:type="spellStart"/>
      <w:r>
        <w:t>Συρί</w:t>
      </w:r>
      <w:proofErr w:type="spellEnd"/>
      <w:r>
        <w:t>αν ἀπέβα</w:t>
      </w:r>
      <w:proofErr w:type="spellStart"/>
      <w:r>
        <w:t>λεν</w:t>
      </w:r>
      <w:proofErr w:type="spellEnd"/>
      <w:r>
        <w:t xml:space="preserve"> ὁ πα</w:t>
      </w:r>
      <w:proofErr w:type="spellStart"/>
      <w:r>
        <w:t>τήρ</w:t>
      </w:r>
      <w:proofErr w:type="spellEnd"/>
      <w:r>
        <w:t xml:space="preserve"> </w:t>
      </w:r>
      <w:proofErr w:type="spellStart"/>
      <w:r>
        <w:t>μου</w:t>
      </w:r>
      <w:proofErr w:type="spellEnd"/>
      <w:r>
        <w:t xml:space="preserve"> (Syrien verließ mein Vater) – eine radikale Neuinterpretation. Das Verb ἀποβ</w:t>
      </w:r>
      <w:proofErr w:type="spellStart"/>
      <w:r>
        <w:t>άλλω</w:t>
      </w:r>
      <w:proofErr w:type="spellEnd"/>
      <w:r>
        <w:t xml:space="preserve"> bedeutet "wegwerfen, verlassen, aufgeben". Dies ist eine der signifikantesten interpretatorischen Abweichungen der LXX vom MT in diesem Kapitel. Die Wendung </w:t>
      </w:r>
      <w:proofErr w:type="spellStart"/>
      <w:r>
        <w:t>ἐν</w:t>
      </w:r>
      <w:proofErr w:type="spellEnd"/>
      <w:r>
        <w:t xml:space="preserve"> </w:t>
      </w:r>
      <w:proofErr w:type="spellStart"/>
      <w:r>
        <w:t>ἀριθμῷ</w:t>
      </w:r>
      <w:proofErr w:type="spellEnd"/>
      <w:r>
        <w:t xml:space="preserve"> βρα</w:t>
      </w:r>
      <w:proofErr w:type="spellStart"/>
      <w:r>
        <w:t>χεῖ</w:t>
      </w:r>
      <w:proofErr w:type="spellEnd"/>
      <w:r>
        <w:t xml:space="preserve"> (in geringer Zahl) für </w:t>
      </w:r>
      <w:r>
        <w:rPr>
          <w:rtl/>
        </w:rPr>
        <w:t>בִּמְתֵי מְעָט</w:t>
      </w:r>
      <w:r>
        <w:t xml:space="preserve"> (mit wenigen Leuten) ist präzise.</w:t>
      </w:r>
    </w:p>
    <w:p w14:paraId="18B4136C" w14:textId="77777777" w:rsidR="00166F02" w:rsidRDefault="00166F02" w:rsidP="00166F02">
      <w:pPr>
        <w:pStyle w:val="whitespace-normal"/>
      </w:pPr>
      <w:r>
        <w:rPr>
          <w:rStyle w:val="Fett"/>
          <w:rFonts w:eastAsiaTheme="majorEastAsia"/>
        </w:rPr>
        <w:t>Die Satzstruktur:</w:t>
      </w:r>
      <w:r>
        <w:t xml:space="preserve"> Einleitung zum liturgischen Bekenntnis mit vier Aussagen (und anheben sollst du und sprechen vor JHWH, deinem Gott: Ein Aramäer, umherirrend, war mein Vater, und er zog hinab nach Ägypten, und er weilte dort mit wenigen Leuten, und er wurde dort zu einer großen, mächtigen und zahlreichen Nation).</w:t>
      </w:r>
    </w:p>
    <w:p w14:paraId="4F59C36A" w14:textId="77777777" w:rsidR="00166F02" w:rsidRDefault="00166F02" w:rsidP="00166F02">
      <w:pPr>
        <w:pStyle w:val="whitespace-normal"/>
      </w:pPr>
      <w:r>
        <w:rPr>
          <w:rStyle w:val="Fett"/>
          <w:rFonts w:eastAsiaTheme="majorEastAsia"/>
        </w:rPr>
        <w:t>Der Vers beschreibt:</w:t>
      </w:r>
      <w:r>
        <w:t xml:space="preserve"> Beginn des "kleinen historischen Credos" – von den patriarchalen Anfängen (Jakob als umherirrender Aramäer) bis zum Bevölkerungswachstum in Ägypten.</w:t>
      </w:r>
    </w:p>
    <w:p w14:paraId="14C02C7E" w14:textId="77777777" w:rsidR="00166F02" w:rsidRPr="00B53ACC" w:rsidRDefault="00166F02" w:rsidP="00B53ACC">
      <w:pPr>
        <w:pStyle w:val="Bibelberschrift"/>
      </w:pPr>
      <w:r w:rsidRPr="00B53ACC">
        <w:rPr>
          <w:rStyle w:val="Fett"/>
          <w:b/>
          <w:bCs w:val="0"/>
        </w:rPr>
        <w:t>Deuteronomium 26,6</w:t>
      </w:r>
    </w:p>
    <w:p w14:paraId="2B779C31" w14:textId="77777777" w:rsidR="00166F02" w:rsidRDefault="00166F02" w:rsidP="00166F02">
      <w:pPr>
        <w:pStyle w:val="whitespace-normal"/>
      </w:pPr>
      <w:r>
        <w:rPr>
          <w:rStyle w:val="Fett"/>
          <w:rFonts w:eastAsiaTheme="majorEastAsia"/>
        </w:rPr>
        <w:t>Hebräisch:</w:t>
      </w:r>
      <w:r>
        <w:t xml:space="preserve"> </w:t>
      </w:r>
      <w:r>
        <w:rPr>
          <w:rtl/>
        </w:rPr>
        <w:t>וַיָּרֵעוּ אֹתָנוּ הַמִּצְרִים וַיְעַנּוּנוּ וַיִּתְּנוּ עָלֵינוּ עֲבֹדָה קָשָֽׁה׃</w:t>
      </w:r>
    </w:p>
    <w:p w14:paraId="26AFC30B" w14:textId="77777777" w:rsidR="00166F02" w:rsidRDefault="00166F02" w:rsidP="00166F02">
      <w:pPr>
        <w:pStyle w:val="whitespace-normal"/>
      </w:pPr>
      <w:r>
        <w:rPr>
          <w:rStyle w:val="Fett"/>
          <w:rFonts w:eastAsiaTheme="majorEastAsia"/>
        </w:rPr>
        <w:t>Deutsch:</w:t>
      </w:r>
      <w:r>
        <w:t xml:space="preserve"> Und die Ägypter behandelten uns schlecht und bedrückten uns und legten uns harte Arbeit auf.</w:t>
      </w:r>
    </w:p>
    <w:p w14:paraId="3FDA3C29" w14:textId="77777777" w:rsidR="00166F02" w:rsidRDefault="004F5CEB" w:rsidP="00166F02">
      <w:r>
        <w:rPr>
          <w:noProof/>
        </w:rPr>
        <w:pict w14:anchorId="319EE31F">
          <v:rect id="_x0000_i1698" style="width:0;height:1.5pt" o:hralign="center" o:hrstd="t" o:hr="t" fillcolor="#a0a0a0" stroked="f"/>
        </w:pict>
      </w:r>
    </w:p>
    <w:p w14:paraId="3242CF75"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וַיָּרֵעוּ אֹתָנוּ הַמִּצְרִים וַיְעַנּוּנוּ וַיִּתְּנוּ עָלֵינוּ עֲבֹדָה קָשָׁה</w:t>
      </w:r>
      <w:r>
        <w:rPr>
          <w:rtl/>
        </w:rPr>
        <w:t xml:space="preserve"> </w:t>
      </w:r>
      <w:r>
        <w:t xml:space="preserve">sind drei Handlungen: </w:t>
      </w:r>
      <w:r>
        <w:rPr>
          <w:rStyle w:val="Fett"/>
          <w:rFonts w:eastAsiaTheme="majorEastAsia"/>
          <w:rtl/>
        </w:rPr>
        <w:t>וַיָּרֵעוּ אֹתָנוּ הַמִּצְרִים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רעע</w:t>
      </w:r>
      <w:r>
        <w:t xml:space="preserve">, Hiphil Imperfekt, 3. Person Plural, „schlecht behandeln, übel mitspielen", Objektpartikel </w:t>
      </w:r>
      <w:r>
        <w:rPr>
          <w:rStyle w:val="Fett"/>
          <w:rFonts w:eastAsiaTheme="majorEastAsia"/>
          <w:rtl/>
        </w:rPr>
        <w:t>אֵת</w:t>
      </w:r>
      <w:r>
        <w:rPr>
          <w:rtl/>
        </w:rPr>
        <w:t xml:space="preserve"> </w:t>
      </w:r>
      <w:r>
        <w:t xml:space="preserve">mit Suffix 1. Person Plural, </w:t>
      </w:r>
      <w:r>
        <w:rPr>
          <w:rStyle w:val="Fett"/>
          <w:rFonts w:eastAsiaTheme="majorEastAsia"/>
          <w:rtl/>
        </w:rPr>
        <w:t>מִצְרִי</w:t>
      </w:r>
      <w:r>
        <w:rPr>
          <w:rtl/>
        </w:rPr>
        <w:t xml:space="preserve"> </w:t>
      </w:r>
      <w:r>
        <w:t xml:space="preserve">Plural mit Artikel als Subjekt, mit </w:t>
      </w:r>
      <w:r>
        <w:rPr>
          <w:rStyle w:val="Fett"/>
          <w:rFonts w:eastAsiaTheme="majorEastAsia"/>
        </w:rPr>
        <w:t>Waw</w:t>
      </w:r>
      <w:r>
        <w:t xml:space="preserve"> consecutives Imperfekt), </w:t>
      </w:r>
      <w:r>
        <w:rPr>
          <w:rStyle w:val="Fett"/>
          <w:rFonts w:eastAsiaTheme="majorEastAsia"/>
          <w:rtl/>
        </w:rPr>
        <w:t>וַיְעַנּוּנוּ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ענה</w:t>
      </w:r>
      <w:r>
        <w:t xml:space="preserve">, Piel Imperfekt, 3. Person Plural, „bedrücken, demütigen, unterdrücken", mit Suffix 1. Person Plural, mit </w:t>
      </w:r>
      <w:r>
        <w:rPr>
          <w:rStyle w:val="Fett"/>
          <w:rFonts w:eastAsiaTheme="majorEastAsia"/>
        </w:rPr>
        <w:t>Waw</w:t>
      </w:r>
      <w:r>
        <w:t xml:space="preserve"> consecutives Imperfekt), </w:t>
      </w:r>
      <w:r>
        <w:rPr>
          <w:rStyle w:val="Fett"/>
          <w:rFonts w:eastAsiaTheme="majorEastAsia"/>
          <w:rtl/>
        </w:rPr>
        <w:t>וַיִּתְּנוּ עָלֵינוּ עֲבֹדָה קָשָׁה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נתן</w:t>
      </w:r>
      <w:r>
        <w:t xml:space="preserve">, Qal Imperfekt, 3. Person Plural, Präposition </w:t>
      </w:r>
      <w:r>
        <w:rPr>
          <w:rStyle w:val="Fett"/>
          <w:rFonts w:eastAsiaTheme="majorEastAsia"/>
          <w:rtl/>
        </w:rPr>
        <w:t>עַל</w:t>
      </w:r>
      <w:r>
        <w:rPr>
          <w:rtl/>
        </w:rPr>
        <w:t xml:space="preserve"> </w:t>
      </w:r>
      <w:r>
        <w:t xml:space="preserve">mit Suffix 1. Person Plural, </w:t>
      </w:r>
      <w:r>
        <w:rPr>
          <w:rStyle w:val="Fett"/>
          <w:rFonts w:eastAsiaTheme="majorEastAsia"/>
          <w:rtl/>
        </w:rPr>
        <w:t>עֲבֹדָה קָשָׁה</w:t>
      </w:r>
      <w:r>
        <w:t xml:space="preserve">, „harte Arbeit", mit </w:t>
      </w:r>
      <w:r>
        <w:rPr>
          <w:rStyle w:val="Fett"/>
          <w:rFonts w:eastAsiaTheme="majorEastAsia"/>
        </w:rPr>
        <w:t>Waw</w:t>
      </w:r>
      <w:r>
        <w:t xml:space="preserve"> consecutives Imperfekt).</w:t>
      </w:r>
    </w:p>
    <w:p w14:paraId="481D77D2" w14:textId="77777777" w:rsidR="00166F02" w:rsidRDefault="00166F02" w:rsidP="00166F02">
      <w:pPr>
        <w:pStyle w:val="whitespace-normal"/>
      </w:pPr>
      <w:r>
        <w:lastRenderedPageBreak/>
        <w:t xml:space="preserve">Der Vers beschreibt die ägyptische Unterdrückung – die dritte Erzählstufe des Credos. Die erste Handlung: </w:t>
      </w:r>
      <w:r>
        <w:rPr>
          <w:rStyle w:val="Fett"/>
          <w:rFonts w:eastAsiaTheme="majorEastAsia"/>
          <w:rtl/>
        </w:rPr>
        <w:t>וַיָּרֵעוּ אֹתָנוּ הַמִּצְרִים</w:t>
      </w:r>
      <w:r>
        <w:rPr>
          <w:rtl/>
        </w:rPr>
        <w:t xml:space="preserve"> </w:t>
      </w:r>
      <w:r>
        <w:t xml:space="preserve">(„und schlecht behandelten uns die Ägypter"). Das Verb </w:t>
      </w:r>
      <w:r>
        <w:rPr>
          <w:rStyle w:val="Fett"/>
          <w:rFonts w:eastAsiaTheme="majorEastAsia"/>
          <w:rtl/>
        </w:rPr>
        <w:t>רעע</w:t>
      </w:r>
      <w:r>
        <w:rPr>
          <w:rtl/>
        </w:rPr>
        <w:t xml:space="preserve"> </w:t>
      </w:r>
      <w:r>
        <w:t xml:space="preserve">im Hiphil („schlecht behandeln, übel mitspielen") – allgemeine Misshandlung (vgl. Ex 1,11-14; 5,6-23). Die zweite Handlung: </w:t>
      </w:r>
      <w:r>
        <w:rPr>
          <w:rStyle w:val="Fett"/>
          <w:rFonts w:eastAsiaTheme="majorEastAsia"/>
          <w:rtl/>
        </w:rPr>
        <w:t>וַיְעַנּוּנוּ</w:t>
      </w:r>
      <w:r>
        <w:rPr>
          <w:rtl/>
        </w:rPr>
        <w:t xml:space="preserve"> </w:t>
      </w:r>
      <w:r>
        <w:t xml:space="preserve">(„und bedrückten sie uns"). Das Verb </w:t>
      </w:r>
      <w:r>
        <w:rPr>
          <w:rStyle w:val="Fett"/>
          <w:rFonts w:eastAsiaTheme="majorEastAsia"/>
          <w:rtl/>
        </w:rPr>
        <w:t>ענה</w:t>
      </w:r>
      <w:r>
        <w:rPr>
          <w:rtl/>
        </w:rPr>
        <w:t xml:space="preserve"> </w:t>
      </w:r>
      <w:r>
        <w:t xml:space="preserve">im Piel („bedrücken, demütigen, unterdrücken") ist stärker – systematische Unterdrückung (vgl. Ex 1,11.12; 3,7; Gen 15,13). Die dritte Handlung: </w:t>
      </w:r>
      <w:r>
        <w:rPr>
          <w:rStyle w:val="Fett"/>
          <w:rFonts w:eastAsiaTheme="majorEastAsia"/>
          <w:rtl/>
        </w:rPr>
        <w:t>וַיִּתְּנוּ עָלֵינוּ עֲבֹדָה קָשָׁה</w:t>
      </w:r>
      <w:r>
        <w:rPr>
          <w:rtl/>
        </w:rPr>
        <w:t xml:space="preserve"> </w:t>
      </w:r>
      <w:r>
        <w:t xml:space="preserve">(„und legten sie auf uns harte Arbeit"). Die Formulierung </w:t>
      </w:r>
      <w:r>
        <w:rPr>
          <w:rStyle w:val="Fett"/>
          <w:rFonts w:eastAsiaTheme="majorEastAsia"/>
          <w:rtl/>
        </w:rPr>
        <w:t>עֲבֹדָה קָשָׁה</w:t>
      </w:r>
      <w:r>
        <w:rPr>
          <w:rtl/>
        </w:rPr>
        <w:t xml:space="preserve"> </w:t>
      </w:r>
      <w:r>
        <w:t>(„harte Arbeit") ist der technische Begriff für Zwangsarbeit, Sklaverei (vgl. Ex 1,14; 6,9; Jes 14,3). Die Progression ist rhetorisch wirkungsvoll: allgemeine Misshandlung → systematische Unterdrückung → Zwangsarbeit/Sklaverei. V. 7 wird Israels Schrei und JHWHs Reaktion beschreiben.</w:t>
      </w:r>
    </w:p>
    <w:p w14:paraId="2D8A9599" w14:textId="77777777" w:rsidR="00166F02" w:rsidRDefault="00166F02" w:rsidP="00166F02">
      <w:pPr>
        <w:pStyle w:val="whitespace-normal"/>
      </w:pPr>
      <w:r>
        <w:rPr>
          <w:rStyle w:val="Fett"/>
          <w:rFonts w:eastAsiaTheme="majorEastAsia"/>
        </w:rPr>
        <w:t>Die Satzstruktur:</w:t>
      </w:r>
      <w:r>
        <w:t xml:space="preserve"> Drei koordinierte Handlungen (und schlecht behandelten uns die Ägypter, und bedrückten sie uns, und legten sie auf uns harte Arbeit).</w:t>
      </w:r>
    </w:p>
    <w:p w14:paraId="7F82766D" w14:textId="2D6DAB60" w:rsidR="00166F02" w:rsidRDefault="00166F02" w:rsidP="00705F3D">
      <w:pPr>
        <w:pStyle w:val="whitespace-normal"/>
      </w:pPr>
      <w:r>
        <w:rPr>
          <w:rStyle w:val="Fett"/>
          <w:rFonts w:eastAsiaTheme="majorEastAsia"/>
        </w:rPr>
        <w:t>Der Vers beschreibt:</w:t>
      </w:r>
      <w:r>
        <w:t xml:space="preserve"> Ägyptische Unterdrückung – schlechte Behandlung, Bedrückung und Zwangsarbeit.</w:t>
      </w:r>
    </w:p>
    <w:p w14:paraId="4B062C28" w14:textId="77777777" w:rsidR="00166F02" w:rsidRPr="00B53ACC" w:rsidRDefault="00166F02" w:rsidP="00B53ACC">
      <w:pPr>
        <w:pStyle w:val="Bibelberschrift"/>
      </w:pPr>
      <w:r w:rsidRPr="00B53ACC">
        <w:rPr>
          <w:rStyle w:val="Fett"/>
          <w:b/>
          <w:bCs w:val="0"/>
        </w:rPr>
        <w:t>Deuteronomium 26,7</w:t>
      </w:r>
    </w:p>
    <w:p w14:paraId="46D8DE69" w14:textId="77777777" w:rsidR="00166F02" w:rsidRDefault="00166F02" w:rsidP="00166F02">
      <w:pPr>
        <w:pStyle w:val="whitespace-normal"/>
      </w:pPr>
      <w:r>
        <w:rPr>
          <w:rStyle w:val="Fett"/>
          <w:rFonts w:eastAsiaTheme="majorEastAsia"/>
        </w:rPr>
        <w:t>Hebräisch:</w:t>
      </w:r>
      <w:r>
        <w:t xml:space="preserve"> </w:t>
      </w:r>
      <w:r>
        <w:rPr>
          <w:rtl/>
        </w:rPr>
        <w:t>וַנִּצְעַק אֶל־יְהוָה אֱלֹהֵי אֲבֹתֵינוּ וַיִּשְׁמַע יְהוָה אֶת־קֹלֵנוּ וַיַּרְא אֶת־עָנְיֵנוּ וְאֶת־עֲמָלֵנוּ וְאֶת־לַחֲצֵֽנוּ׃</w:t>
      </w:r>
    </w:p>
    <w:p w14:paraId="08D940DC" w14:textId="77777777" w:rsidR="00166F02" w:rsidRDefault="00166F02" w:rsidP="00166F02">
      <w:pPr>
        <w:pStyle w:val="whitespace-normal"/>
      </w:pPr>
      <w:r>
        <w:rPr>
          <w:rStyle w:val="Fett"/>
          <w:rFonts w:eastAsiaTheme="majorEastAsia"/>
        </w:rPr>
        <w:t>Deutsch:</w:t>
      </w:r>
      <w:r>
        <w:t xml:space="preserve"> Da schrien wir zu JHWH, dem Gott unserer Väter, und JHWH hörte unsere Stimme und sah unser Elend und unsere Mühsal und unsere Bedrängnis.</w:t>
      </w:r>
    </w:p>
    <w:p w14:paraId="1199DBD1" w14:textId="77777777" w:rsidR="00166F02" w:rsidRDefault="004F5CEB" w:rsidP="00166F02">
      <w:r>
        <w:rPr>
          <w:noProof/>
        </w:rPr>
        <w:pict w14:anchorId="26475B87">
          <v:rect id="_x0000_i1699" style="width:0;height:1.5pt" o:hralign="center" o:hrstd="t" o:hr="t" fillcolor="#a0a0a0" stroked="f"/>
        </w:pict>
      </w:r>
    </w:p>
    <w:p w14:paraId="569294A0"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וַנִּצְעַק אֶל־יְהוָה אֱלֹהֵי אֲבֹתֵינוּ וַיִּשְׁמַע יְהוָה אֶת־קֹלֵנוּ וַיַּרְא אֶת־עָנְיֵנוּ וְאֶת־עֲמָלֵנוּ וְאֶת־לַחֲצֵנוּ</w:t>
      </w:r>
      <w:r>
        <w:rPr>
          <w:rtl/>
        </w:rPr>
        <w:t xml:space="preserve"> </w:t>
      </w:r>
      <w:r>
        <w:t xml:space="preserve">sind vier Handlungen: </w:t>
      </w:r>
      <w:r>
        <w:rPr>
          <w:rStyle w:val="Fett"/>
          <w:rFonts w:eastAsiaTheme="majorEastAsia"/>
          <w:rtl/>
        </w:rPr>
        <w:t>וַנִּצְעַק אֶל־יְהוָה אֱלֹהֵי אֲבֹתֵינוּ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צעק</w:t>
      </w:r>
      <w:r>
        <w:t xml:space="preserve">, Qal Imperfekt, 1. Person Plural, „schreien, rufen" (um Hilfe), Präposition </w:t>
      </w:r>
      <w:r>
        <w:rPr>
          <w:rStyle w:val="Fett"/>
          <w:rFonts w:eastAsiaTheme="majorEastAsia"/>
          <w:rtl/>
        </w:rPr>
        <w:t>אֶל</w:t>
      </w:r>
      <w:r>
        <w:rPr>
          <w:rtl/>
        </w:rPr>
        <w:t xml:space="preserve"> </w:t>
      </w:r>
      <w:r>
        <w:t xml:space="preserve">mit </w:t>
      </w:r>
      <w:r>
        <w:rPr>
          <w:rStyle w:val="Fett"/>
          <w:rFonts w:eastAsiaTheme="majorEastAsia"/>
          <w:rtl/>
        </w:rPr>
        <w:t>יְהוָה אֱלֹהֵי אֲבֹתֵינוּ</w:t>
      </w:r>
      <w:r>
        <w:t xml:space="preserve">, mit </w:t>
      </w:r>
      <w:r>
        <w:rPr>
          <w:rStyle w:val="Fett"/>
          <w:rFonts w:eastAsiaTheme="majorEastAsia"/>
        </w:rPr>
        <w:t>Waw</w:t>
      </w:r>
      <w:r>
        <w:t xml:space="preserve"> consecutives Imperfekt), </w:t>
      </w:r>
      <w:r>
        <w:rPr>
          <w:rStyle w:val="Fett"/>
          <w:rFonts w:eastAsiaTheme="majorEastAsia"/>
          <w:rtl/>
        </w:rPr>
        <w:t>וַיִּשְׁמַע יְהוָה אֶת־קֹלֵנוּ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שׁמע</w:t>
      </w:r>
      <w:r>
        <w:t xml:space="preserve">, Qal Imperfekt, 3. Person Maskulinum Singular, </w:t>
      </w:r>
      <w:r>
        <w:rPr>
          <w:rStyle w:val="Fett"/>
          <w:rFonts w:eastAsiaTheme="majorEastAsia"/>
          <w:rtl/>
        </w:rPr>
        <w:t>יְהוָה</w:t>
      </w:r>
      <w:r>
        <w:rPr>
          <w:rtl/>
        </w:rPr>
        <w:t xml:space="preserve"> </w:t>
      </w:r>
      <w:r>
        <w:t xml:space="preserve">als Subjekt, Objektpartikel </w:t>
      </w:r>
      <w:r>
        <w:rPr>
          <w:rStyle w:val="Fett"/>
          <w:rFonts w:eastAsiaTheme="majorEastAsia"/>
          <w:rtl/>
        </w:rPr>
        <w:t>אֵת</w:t>
      </w:r>
      <w:r>
        <w:rPr>
          <w:rtl/>
        </w:rPr>
        <w:t xml:space="preserve"> </w:t>
      </w:r>
      <w:r>
        <w:t xml:space="preserve">mit </w:t>
      </w:r>
      <w:r>
        <w:rPr>
          <w:rStyle w:val="Fett"/>
          <w:rFonts w:eastAsiaTheme="majorEastAsia"/>
          <w:rtl/>
        </w:rPr>
        <w:t>קוֹל</w:t>
      </w:r>
      <w:r>
        <w:t xml:space="preserve">, „Stimme", mit Suffix 1. Person Plural, mit </w:t>
      </w:r>
      <w:r>
        <w:rPr>
          <w:rStyle w:val="Fett"/>
          <w:rFonts w:eastAsiaTheme="majorEastAsia"/>
        </w:rPr>
        <w:t>Waw</w:t>
      </w:r>
      <w:r>
        <w:t xml:space="preserve"> consecutives Imperfekt), </w:t>
      </w:r>
      <w:r>
        <w:rPr>
          <w:rStyle w:val="Fett"/>
          <w:rFonts w:eastAsiaTheme="majorEastAsia"/>
          <w:rtl/>
        </w:rPr>
        <w:t>וַיַּרְא אֶת־עָנְיֵנוּ וְאֶת־עֲמָלֵנוּ וְאֶת־לַחֲצֵנוּ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ראה</w:t>
      </w:r>
      <w:r>
        <w:t xml:space="preserve">, Qal Imperfekt, 3. Person Maskulinum Singular, Objektpartikel </w:t>
      </w:r>
      <w:r>
        <w:rPr>
          <w:rStyle w:val="Fett"/>
          <w:rFonts w:eastAsiaTheme="majorEastAsia"/>
          <w:rtl/>
        </w:rPr>
        <w:t>אֵת</w:t>
      </w:r>
      <w:r>
        <w:rPr>
          <w:rtl/>
        </w:rPr>
        <w:t xml:space="preserve"> </w:t>
      </w:r>
      <w:r>
        <w:t xml:space="preserve">mit </w:t>
      </w:r>
      <w:r>
        <w:rPr>
          <w:rStyle w:val="Fett"/>
          <w:rFonts w:eastAsiaTheme="majorEastAsia"/>
          <w:rtl/>
        </w:rPr>
        <w:t>עֳנִי</w:t>
      </w:r>
      <w:r>
        <w:t xml:space="preserve">, „Elend, Bedrückung", mit Suffix 1. Person Plural, koordiniert mit </w:t>
      </w:r>
      <w:r>
        <w:rPr>
          <w:rStyle w:val="Fett"/>
          <w:rFonts w:eastAsiaTheme="majorEastAsia"/>
          <w:rtl/>
        </w:rPr>
        <w:t>וְאֶת־עָמָל</w:t>
      </w:r>
      <w:r>
        <w:t xml:space="preserve">, „Mühsal, Plage", mit Suffix 1. Person Plural, koordiniert mit </w:t>
      </w:r>
      <w:r>
        <w:rPr>
          <w:rStyle w:val="Fett"/>
          <w:rFonts w:eastAsiaTheme="majorEastAsia"/>
          <w:rtl/>
        </w:rPr>
        <w:t>וְאֶת־לַחַץ</w:t>
      </w:r>
      <w:r>
        <w:t xml:space="preserve">, „Bedrängnis, Druck", mit Suffix 1. Person Plural, mit </w:t>
      </w:r>
      <w:r>
        <w:rPr>
          <w:rStyle w:val="Fett"/>
          <w:rFonts w:eastAsiaTheme="majorEastAsia"/>
        </w:rPr>
        <w:t>Waw</w:t>
      </w:r>
      <w:r>
        <w:t xml:space="preserve"> consecutives Imperfekt).</w:t>
      </w:r>
    </w:p>
    <w:p w14:paraId="505CA4B3" w14:textId="65286D3A" w:rsidR="00166F02" w:rsidRDefault="00166F02" w:rsidP="00166F02">
      <w:pPr>
        <w:pStyle w:val="whitespace-normal"/>
      </w:pPr>
      <w:r>
        <w:t xml:space="preserve">Der Vers beschreibt Israels Schrei und JHWHs Reaktion – die vierte Erzählstufe. Die erste Handlung: </w:t>
      </w:r>
      <w:r>
        <w:rPr>
          <w:rStyle w:val="Fett"/>
          <w:rFonts w:eastAsiaTheme="majorEastAsia"/>
          <w:rtl/>
        </w:rPr>
        <w:t>וַנִּצְעַק אֶל־יְהוָה אֱלֹהֵי אֲבֹתֵינוּ</w:t>
      </w:r>
      <w:r>
        <w:rPr>
          <w:rtl/>
        </w:rPr>
        <w:t xml:space="preserve"> </w:t>
      </w:r>
      <w:r>
        <w:t xml:space="preserve">(„da schrien wir zu JHWH, dem Gott unserer Väter"). Das Verb </w:t>
      </w:r>
      <w:r>
        <w:rPr>
          <w:rStyle w:val="Fett"/>
          <w:rFonts w:eastAsiaTheme="majorEastAsia"/>
          <w:rtl/>
        </w:rPr>
        <w:t>צעק</w:t>
      </w:r>
      <w:r>
        <w:rPr>
          <w:rtl/>
        </w:rPr>
        <w:t xml:space="preserve"> </w:t>
      </w:r>
      <w:r>
        <w:t xml:space="preserve">(„schreien, rufen") drückt verzweifelte Hilferufe aus (vgl. Ex 2,23; 3,7.9; 14,10). Die Formulierung </w:t>
      </w:r>
      <w:r>
        <w:rPr>
          <w:rStyle w:val="Fett"/>
          <w:rFonts w:eastAsiaTheme="majorEastAsia"/>
          <w:rtl/>
        </w:rPr>
        <w:t>יְהוָה אֱלֹהֵי אֲבֹתֵינוּ</w:t>
      </w:r>
      <w:r>
        <w:rPr>
          <w:rtl/>
        </w:rPr>
        <w:t xml:space="preserve"> </w:t>
      </w:r>
      <w:r>
        <w:t xml:space="preserve">(„JHWH, der Gott unserer Väter") verbindet die versklavte Generation mit den Patriarchen und der Bundesverheißung (vgl. Ex 3,6.13.15.16; 4,5). Die zweite Handlung: </w:t>
      </w:r>
      <w:r>
        <w:rPr>
          <w:rStyle w:val="Fett"/>
          <w:rFonts w:eastAsiaTheme="majorEastAsia"/>
          <w:rtl/>
        </w:rPr>
        <w:t>וַיִּשְׁמַע יְהוָה אֶת־קֹלֵנוּ</w:t>
      </w:r>
      <w:r>
        <w:rPr>
          <w:rtl/>
        </w:rPr>
        <w:t xml:space="preserve"> </w:t>
      </w:r>
      <w:r>
        <w:t xml:space="preserve">(„und JHWH hörte unsere Stimme"). Das Verb </w:t>
      </w:r>
      <w:r>
        <w:rPr>
          <w:rStyle w:val="Fett"/>
          <w:rFonts w:eastAsiaTheme="majorEastAsia"/>
          <w:rtl/>
        </w:rPr>
        <w:t>שׁמע</w:t>
      </w:r>
      <w:r>
        <w:rPr>
          <w:rtl/>
        </w:rPr>
        <w:t xml:space="preserve"> </w:t>
      </w:r>
      <w:r>
        <w:t xml:space="preserve">(„hören") bedeutet hier mehr als akustische Wahrnehmung – es impliziert Aufmerksamkeit und Bereitschaft zu handeln (vgl. Ex 2,24; 3,7; 6,5). Die dritte Handlung: </w:t>
      </w:r>
      <w:r>
        <w:rPr>
          <w:rStyle w:val="Fett"/>
          <w:rFonts w:eastAsiaTheme="majorEastAsia"/>
          <w:rtl/>
        </w:rPr>
        <w:t>וַיַּרְא אֶת־עָנְיֵנוּ וְאֶת־עֲמָלֵנוּ וְאֶת־לַחֲצֵנוּ</w:t>
      </w:r>
      <w:r>
        <w:rPr>
          <w:rtl/>
        </w:rPr>
        <w:t xml:space="preserve"> </w:t>
      </w:r>
      <w:r>
        <w:t xml:space="preserve">(„und er sah unser Elend und unsere Mühsal und unsere Bedrängnis"). Das Verb </w:t>
      </w:r>
      <w:r>
        <w:rPr>
          <w:rStyle w:val="Fett"/>
          <w:rFonts w:eastAsiaTheme="majorEastAsia"/>
          <w:rtl/>
        </w:rPr>
        <w:t>ראה</w:t>
      </w:r>
      <w:r>
        <w:rPr>
          <w:rtl/>
        </w:rPr>
        <w:t xml:space="preserve"> </w:t>
      </w:r>
      <w:r>
        <w:t xml:space="preserve">(„sehen") bedeutet hier: wahrnehmen, beachten, sich kümmern </w:t>
      </w:r>
      <w:r>
        <w:lastRenderedPageBreak/>
        <w:t xml:space="preserve">um (vgl. Ex 3,7.9; 4,31). Die dreifache Beschreibung der Not: (1) </w:t>
      </w:r>
      <w:r>
        <w:rPr>
          <w:rStyle w:val="Fett"/>
          <w:rFonts w:eastAsiaTheme="majorEastAsia"/>
          <w:rtl/>
        </w:rPr>
        <w:t>עֳנִי</w:t>
      </w:r>
      <w:r>
        <w:rPr>
          <w:rtl/>
        </w:rPr>
        <w:t xml:space="preserve"> </w:t>
      </w:r>
      <w:r>
        <w:t xml:space="preserve">(„Elend, Bedrückung") – allgemeiner Zustand der Unterdrückung (vgl. Ex 3,7.17; 4,31). (2) </w:t>
      </w:r>
      <w:r>
        <w:rPr>
          <w:rStyle w:val="Fett"/>
          <w:rFonts w:eastAsiaTheme="majorEastAsia"/>
          <w:rtl/>
        </w:rPr>
        <w:t>עָמָל</w:t>
      </w:r>
      <w:r>
        <w:rPr>
          <w:rtl/>
        </w:rPr>
        <w:t xml:space="preserve"> </w:t>
      </w:r>
      <w:r>
        <w:t xml:space="preserve">(„Mühsal, Plage") – die schwere Arbeit und ihre Folgen (vgl. Ex 18,8; Num 20,14). (3) </w:t>
      </w:r>
      <w:r>
        <w:rPr>
          <w:rStyle w:val="Fett"/>
          <w:rFonts w:eastAsiaTheme="majorEastAsia"/>
          <w:rtl/>
        </w:rPr>
        <w:t>לַחַץ</w:t>
      </w:r>
      <w:r>
        <w:rPr>
          <w:rtl/>
        </w:rPr>
        <w:t xml:space="preserve"> </w:t>
      </w:r>
      <w:r>
        <w:t>(„Bedrängnis, Druck") – der Druck und die Gewalt der Unterdrücker (vgl. Ex 3,9). Die Kombination von JHWHs Hören und Sehen betont Seine vollständige Wahrnehmung und Sein Mitgefühl. V. 8 wird die Befreiung beschreiben.</w:t>
      </w:r>
    </w:p>
    <w:p w14:paraId="5AF332AB" w14:textId="63D36892" w:rsidR="00A600C6" w:rsidRDefault="00A600C6" w:rsidP="00166F02">
      <w:pPr>
        <w:pStyle w:val="whitespace-normal"/>
      </w:pPr>
      <w:r>
        <w:rPr>
          <w:rStyle w:val="Fett"/>
        </w:rPr>
        <w:t>Die LXX</w:t>
      </w:r>
      <w:r>
        <w:t xml:space="preserve"> übersetzt </w:t>
      </w:r>
      <w:r>
        <w:rPr>
          <w:rtl/>
        </w:rPr>
        <w:t>עָנְיֵנוּ</w:t>
      </w:r>
      <w:r>
        <w:t xml:space="preserve"> (unser Elend) mit τὴν ταπ</w:t>
      </w:r>
      <w:proofErr w:type="spellStart"/>
      <w:r>
        <w:t>είνωσιν</w:t>
      </w:r>
      <w:proofErr w:type="spellEnd"/>
      <w:r>
        <w:t xml:space="preserve"> </w:t>
      </w:r>
      <w:proofErr w:type="spellStart"/>
      <w:r>
        <w:t>ἡμῶν</w:t>
      </w:r>
      <w:proofErr w:type="spellEnd"/>
      <w:r>
        <w:t xml:space="preserve"> (unsere Erniedrigung), </w:t>
      </w:r>
      <w:r>
        <w:rPr>
          <w:rtl/>
        </w:rPr>
        <w:t>עֲמָלֵנוּ</w:t>
      </w:r>
      <w:r>
        <w:t xml:space="preserve"> (unsere Mühsal) mit </w:t>
      </w:r>
      <w:proofErr w:type="spellStart"/>
      <w:r>
        <w:t>τὸν</w:t>
      </w:r>
      <w:proofErr w:type="spellEnd"/>
      <w:r>
        <w:t xml:space="preserve"> </w:t>
      </w:r>
      <w:proofErr w:type="spellStart"/>
      <w:r>
        <w:t>μόχθον</w:t>
      </w:r>
      <w:proofErr w:type="spellEnd"/>
      <w:r>
        <w:t xml:space="preserve"> </w:t>
      </w:r>
      <w:proofErr w:type="spellStart"/>
      <w:r>
        <w:t>ἡμῶν</w:t>
      </w:r>
      <w:proofErr w:type="spellEnd"/>
      <w:r>
        <w:t xml:space="preserve"> (unsere Plackerei), und </w:t>
      </w:r>
      <w:r>
        <w:rPr>
          <w:rtl/>
        </w:rPr>
        <w:t>לַחֲצֵנוּ</w:t>
      </w:r>
      <w:r>
        <w:t xml:space="preserve"> (unsere Bedrängnis) mit </w:t>
      </w:r>
      <w:proofErr w:type="spellStart"/>
      <w:r>
        <w:t>τὸν</w:t>
      </w:r>
      <w:proofErr w:type="spellEnd"/>
      <w:r>
        <w:t xml:space="preserve"> </w:t>
      </w:r>
      <w:proofErr w:type="spellStart"/>
      <w:r>
        <w:t>θλιμμὸν</w:t>
      </w:r>
      <w:proofErr w:type="spellEnd"/>
      <w:r>
        <w:t xml:space="preserve"> </w:t>
      </w:r>
      <w:proofErr w:type="spellStart"/>
      <w:r>
        <w:t>ἡμῶν</w:t>
      </w:r>
      <w:proofErr w:type="spellEnd"/>
      <w:r>
        <w:t xml:space="preserve"> (unsere Bedrückung).</w:t>
      </w:r>
    </w:p>
    <w:p w14:paraId="0D275A6C" w14:textId="77777777" w:rsidR="00166F02" w:rsidRDefault="00166F02" w:rsidP="00166F02">
      <w:pPr>
        <w:pStyle w:val="whitespace-normal"/>
      </w:pPr>
      <w:r>
        <w:rPr>
          <w:rStyle w:val="Fett"/>
          <w:rFonts w:eastAsiaTheme="majorEastAsia"/>
        </w:rPr>
        <w:t>Die Satzstruktur:</w:t>
      </w:r>
      <w:r>
        <w:t xml:space="preserve"> Vier koordinierte Handlungen (da schrien wir zu JHWH, dem Gott unserer Väter, und JHWH hörte unsere Stimme, und er sah unser Elend und unsere Mühsal und unsere Bedrängnis).</w:t>
      </w:r>
    </w:p>
    <w:p w14:paraId="43F76DE5" w14:textId="11ACCE29" w:rsidR="00166F02" w:rsidRDefault="00166F02" w:rsidP="00705F3D">
      <w:pPr>
        <w:pStyle w:val="whitespace-normal"/>
      </w:pPr>
      <w:r>
        <w:rPr>
          <w:rStyle w:val="Fett"/>
          <w:rFonts w:eastAsiaTheme="majorEastAsia"/>
        </w:rPr>
        <w:t>Der Vers beschreibt:</w:t>
      </w:r>
      <w:r>
        <w:t xml:space="preserve"> Israels Schrei um Hilfe und JHWHs Wahrnehmung ihrer Not – Er hörte und sah ihre dreifache Bedrängnis.</w:t>
      </w:r>
    </w:p>
    <w:p w14:paraId="063FC515" w14:textId="77777777" w:rsidR="00166F02" w:rsidRPr="00B53ACC" w:rsidRDefault="00166F02" w:rsidP="00B53ACC">
      <w:pPr>
        <w:pStyle w:val="Bibelberschrift"/>
      </w:pPr>
      <w:r w:rsidRPr="00B53ACC">
        <w:rPr>
          <w:rStyle w:val="Fett"/>
          <w:b/>
          <w:bCs w:val="0"/>
        </w:rPr>
        <w:t>Deuteronomium 26,8</w:t>
      </w:r>
    </w:p>
    <w:p w14:paraId="577876C4" w14:textId="77777777" w:rsidR="00166F02" w:rsidRDefault="00166F02" w:rsidP="00166F02">
      <w:pPr>
        <w:pStyle w:val="whitespace-normal"/>
      </w:pPr>
      <w:r>
        <w:rPr>
          <w:rStyle w:val="Fett"/>
          <w:rFonts w:eastAsiaTheme="majorEastAsia"/>
        </w:rPr>
        <w:t>Hebräisch:</w:t>
      </w:r>
      <w:r>
        <w:t xml:space="preserve"> </w:t>
      </w:r>
      <w:r>
        <w:rPr>
          <w:rtl/>
        </w:rPr>
        <w:t>וַיּוֹצִאֵנוּ יְהוָה מִמִּצְרַיִם בְּיָד חֲזָקָה וּבִזְרֹעַ נְטוּיָה וּבְמֹרָא גָּדֹל וּבְאֹתוֹת וּבְמֹפְתִֽים׃</w:t>
      </w:r>
    </w:p>
    <w:p w14:paraId="437129A0" w14:textId="77777777" w:rsidR="00166F02" w:rsidRDefault="00166F02" w:rsidP="00166F02">
      <w:pPr>
        <w:pStyle w:val="whitespace-normal"/>
      </w:pPr>
      <w:r>
        <w:rPr>
          <w:rStyle w:val="Fett"/>
          <w:rFonts w:eastAsiaTheme="majorEastAsia"/>
        </w:rPr>
        <w:t>Deutsch:</w:t>
      </w:r>
      <w:r>
        <w:t xml:space="preserve"> Und JHWH führte uns heraus aus Ägypten mit starker Hand und mit ausgestrecktem Arm und mit großer Furchtbarkeit und mit Zeichen und mit Wundern.</w:t>
      </w:r>
    </w:p>
    <w:p w14:paraId="6756B298" w14:textId="77777777" w:rsidR="00166F02" w:rsidRDefault="004F5CEB" w:rsidP="00166F02">
      <w:r>
        <w:rPr>
          <w:noProof/>
        </w:rPr>
        <w:pict w14:anchorId="7FC24DE2">
          <v:rect id="_x0000_i1700" style="width:0;height:1.5pt" o:hralign="center" o:hrstd="t" o:hr="t" fillcolor="#a0a0a0" stroked="f"/>
        </w:pict>
      </w:r>
    </w:p>
    <w:p w14:paraId="040E5866"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וַיּוֹצִאֵנוּ יְהוָה מִמִּצְרַיִם בְּיָד חֲזָקָה וּבִזְרֹעַ נְטוּיָה וּבְמֹרָא גָּדֹל וּבְאֹתוֹת וּבְמֹפְתִים</w:t>
      </w:r>
      <w:r>
        <w:rPr>
          <w:rtl/>
        </w:rPr>
        <w:t xml:space="preserve"> </w:t>
      </w:r>
      <w:r>
        <w:t xml:space="preserve">ist eine Handlung mit fünffacher Qualifikation: </w:t>
      </w:r>
      <w:r>
        <w:rPr>
          <w:rStyle w:val="Fett"/>
          <w:rFonts w:eastAsiaTheme="majorEastAsia"/>
          <w:rtl/>
        </w:rPr>
        <w:t>וַיּוֹצִאֵנוּ יְהוָה מִמִּצְרַיִם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יצא</w:t>
      </w:r>
      <w:r>
        <w:t xml:space="preserve">, Hiphil Imperfekt, 3. Person Maskulinum Singular, „herausführen, hinausführen", mit Suffix 1. Person Plural, </w:t>
      </w:r>
      <w:r>
        <w:rPr>
          <w:rStyle w:val="Fett"/>
          <w:rFonts w:eastAsiaTheme="majorEastAsia"/>
          <w:rtl/>
        </w:rPr>
        <w:t>יְהוָה</w:t>
      </w:r>
      <w:r>
        <w:rPr>
          <w:rtl/>
        </w:rPr>
        <w:t xml:space="preserve"> </w:t>
      </w:r>
      <w:r>
        <w:t xml:space="preserve">als Subjekt, Präposition </w:t>
      </w:r>
      <w:r>
        <w:rPr>
          <w:rStyle w:val="Fett"/>
          <w:rFonts w:eastAsiaTheme="majorEastAsia"/>
          <w:rtl/>
        </w:rPr>
        <w:t>מִן</w:t>
      </w:r>
      <w:r>
        <w:rPr>
          <w:rtl/>
        </w:rPr>
        <w:t xml:space="preserve"> </w:t>
      </w:r>
      <w:r>
        <w:t xml:space="preserve">mit </w:t>
      </w:r>
      <w:r>
        <w:rPr>
          <w:rStyle w:val="Fett"/>
          <w:rFonts w:eastAsiaTheme="majorEastAsia"/>
          <w:rtl/>
        </w:rPr>
        <w:t>מִצְרַיִם</w:t>
      </w:r>
      <w:r>
        <w:t xml:space="preserve">, mit </w:t>
      </w:r>
      <w:r>
        <w:rPr>
          <w:rStyle w:val="Fett"/>
          <w:rFonts w:eastAsiaTheme="majorEastAsia"/>
        </w:rPr>
        <w:t>Waw</w:t>
      </w:r>
      <w:r>
        <w:t xml:space="preserve"> consecutives Imperfekt), </w:t>
      </w:r>
      <w:r>
        <w:rPr>
          <w:rStyle w:val="Fett"/>
          <w:rFonts w:eastAsiaTheme="majorEastAsia"/>
          <w:rtl/>
        </w:rPr>
        <w:t>בְּיָד חֲזָקָה</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יָד חֲזָקָה</w:t>
      </w:r>
      <w:r>
        <w:t xml:space="preserve">, „starke Hand"), </w:t>
      </w:r>
      <w:r>
        <w:rPr>
          <w:rStyle w:val="Fett"/>
          <w:rFonts w:eastAsiaTheme="majorEastAsia"/>
          <w:rtl/>
        </w:rPr>
        <w:t>וּבִזְרֹעַ נְטוּיָה</w:t>
      </w:r>
      <w:r>
        <w:rPr>
          <w:rtl/>
        </w:rPr>
        <w:t xml:space="preserve"> </w:t>
      </w:r>
      <w:r>
        <w:t xml:space="preserve">(koordiniert durch </w:t>
      </w:r>
      <w:r>
        <w:rPr>
          <w:rStyle w:val="Fett"/>
          <w:rFonts w:eastAsiaTheme="majorEastAsia"/>
          <w:rtl/>
        </w:rPr>
        <w:t>וּ</w:t>
      </w:r>
      <w:r>
        <w:rPr>
          <w:rtl/>
        </w:rPr>
        <w:t xml:space="preserve"> </w:t>
      </w:r>
      <w:r>
        <w:t xml:space="preserve">mit Präposition </w:t>
      </w:r>
      <w:r>
        <w:rPr>
          <w:rStyle w:val="Fett"/>
          <w:rFonts w:eastAsiaTheme="majorEastAsia"/>
          <w:rtl/>
        </w:rPr>
        <w:t>בְּ</w:t>
      </w:r>
      <w:r>
        <w:t xml:space="preserve">, </w:t>
      </w:r>
      <w:r>
        <w:rPr>
          <w:rStyle w:val="Fett"/>
          <w:rFonts w:eastAsiaTheme="majorEastAsia"/>
          <w:rtl/>
        </w:rPr>
        <w:t>זְרוֹעַ</w:t>
      </w:r>
      <w:r>
        <w:t xml:space="preserve">, „Arm", </w:t>
      </w:r>
      <w:r>
        <w:rPr>
          <w:rStyle w:val="Fett"/>
          <w:rFonts w:eastAsiaTheme="majorEastAsia"/>
          <w:rtl/>
        </w:rPr>
        <w:t>נטה</w:t>
      </w:r>
      <w:r>
        <w:t xml:space="preserve">, Qal Passiv Partizip Femininum, „ausgestreckt"), </w:t>
      </w:r>
      <w:r>
        <w:rPr>
          <w:rStyle w:val="Fett"/>
          <w:rFonts w:eastAsiaTheme="majorEastAsia"/>
          <w:rtl/>
        </w:rPr>
        <w:t>וּבְמֹרָא גָּדֹל</w:t>
      </w:r>
      <w:r>
        <w:rPr>
          <w:rtl/>
        </w:rPr>
        <w:t xml:space="preserve"> </w:t>
      </w:r>
      <w:r>
        <w:t xml:space="preserve">(koordiniert durch </w:t>
      </w:r>
      <w:r>
        <w:rPr>
          <w:rStyle w:val="Fett"/>
          <w:rFonts w:eastAsiaTheme="majorEastAsia"/>
          <w:rtl/>
        </w:rPr>
        <w:t>וּ</w:t>
      </w:r>
      <w:r>
        <w:rPr>
          <w:rtl/>
        </w:rPr>
        <w:t xml:space="preserve"> </w:t>
      </w:r>
      <w:r>
        <w:t xml:space="preserve">mit Präposition </w:t>
      </w:r>
      <w:r>
        <w:rPr>
          <w:rStyle w:val="Fett"/>
          <w:rFonts w:eastAsiaTheme="majorEastAsia"/>
          <w:rtl/>
        </w:rPr>
        <w:t>בְּ</w:t>
      </w:r>
      <w:r>
        <w:t xml:space="preserve">, </w:t>
      </w:r>
      <w:r>
        <w:rPr>
          <w:rStyle w:val="Fett"/>
          <w:rFonts w:eastAsiaTheme="majorEastAsia"/>
          <w:rtl/>
        </w:rPr>
        <w:t>מוֹרָא</w:t>
      </w:r>
      <w:r>
        <w:t xml:space="preserve">, „Furcht, Furchtbarkeit, Schrecken", </w:t>
      </w:r>
      <w:r>
        <w:rPr>
          <w:rStyle w:val="Fett"/>
          <w:rFonts w:eastAsiaTheme="majorEastAsia"/>
          <w:rtl/>
        </w:rPr>
        <w:t>גָּדוֹל</w:t>
      </w:r>
      <w:r>
        <w:t xml:space="preserve">), </w:t>
      </w:r>
      <w:r>
        <w:rPr>
          <w:rStyle w:val="Fett"/>
          <w:rFonts w:eastAsiaTheme="majorEastAsia"/>
          <w:rtl/>
        </w:rPr>
        <w:t>וּבְאֹתוֹת וּבְמֹפְתִים</w:t>
      </w:r>
      <w:r>
        <w:rPr>
          <w:rtl/>
        </w:rPr>
        <w:t xml:space="preserve"> </w:t>
      </w:r>
      <w:r>
        <w:t xml:space="preserve">(koordiniert durch </w:t>
      </w:r>
      <w:r>
        <w:rPr>
          <w:rStyle w:val="Fett"/>
          <w:rFonts w:eastAsiaTheme="majorEastAsia"/>
          <w:rtl/>
        </w:rPr>
        <w:t>וּ</w:t>
      </w:r>
      <w:r>
        <w:rPr>
          <w:rtl/>
        </w:rPr>
        <w:t xml:space="preserve"> </w:t>
      </w:r>
      <w:r>
        <w:t xml:space="preserve">mit Präposition </w:t>
      </w:r>
      <w:r>
        <w:rPr>
          <w:rStyle w:val="Fett"/>
          <w:rFonts w:eastAsiaTheme="majorEastAsia"/>
          <w:rtl/>
        </w:rPr>
        <w:t>בְּ</w:t>
      </w:r>
      <w:r>
        <w:t xml:space="preserve">, </w:t>
      </w:r>
      <w:r>
        <w:rPr>
          <w:rStyle w:val="Fett"/>
          <w:rFonts w:eastAsiaTheme="majorEastAsia"/>
          <w:rtl/>
        </w:rPr>
        <w:t>אוֹת</w:t>
      </w:r>
      <w:r>
        <w:t xml:space="preserve">, „Zeichen", Plural, koordiniert durch </w:t>
      </w:r>
      <w:r>
        <w:rPr>
          <w:rStyle w:val="Fett"/>
          <w:rFonts w:eastAsiaTheme="majorEastAsia"/>
          <w:rtl/>
        </w:rPr>
        <w:t>וּ</w:t>
      </w:r>
      <w:r>
        <w:rPr>
          <w:rtl/>
        </w:rPr>
        <w:t xml:space="preserve"> </w:t>
      </w:r>
      <w:r>
        <w:t xml:space="preserve">mit Präposition </w:t>
      </w:r>
      <w:r>
        <w:rPr>
          <w:rStyle w:val="Fett"/>
          <w:rFonts w:eastAsiaTheme="majorEastAsia"/>
          <w:rtl/>
        </w:rPr>
        <w:t>בְּ</w:t>
      </w:r>
      <w:r>
        <w:t xml:space="preserve">, </w:t>
      </w:r>
      <w:r>
        <w:rPr>
          <w:rStyle w:val="Fett"/>
          <w:rFonts w:eastAsiaTheme="majorEastAsia"/>
          <w:rtl/>
        </w:rPr>
        <w:t>מוֹפֵת</w:t>
      </w:r>
      <w:r>
        <w:t>, „Wunder, Wunderzeichen", Plural).</w:t>
      </w:r>
    </w:p>
    <w:p w14:paraId="3561F91A" w14:textId="4A794AE2" w:rsidR="00166F02" w:rsidRDefault="00166F02" w:rsidP="00166F02">
      <w:pPr>
        <w:pStyle w:val="whitespace-normal"/>
      </w:pPr>
      <w:r>
        <w:t xml:space="preserve">Der Vers beschreibt den Exodus – die fünfte Erzählstufe und der Höhepunkt des Credos. Die Haupthandlung: </w:t>
      </w:r>
      <w:r>
        <w:rPr>
          <w:rStyle w:val="Fett"/>
          <w:rFonts w:eastAsiaTheme="majorEastAsia"/>
          <w:rtl/>
        </w:rPr>
        <w:t>וַיּוֹצִאֵנוּ יְהוָה מִמִּצְרַיִם</w:t>
      </w:r>
      <w:r>
        <w:rPr>
          <w:rtl/>
        </w:rPr>
        <w:t xml:space="preserve"> </w:t>
      </w:r>
      <w:r>
        <w:t xml:space="preserve">(„und JHWH führte uns heraus aus Ägypten"). Das Verb </w:t>
      </w:r>
      <w:r>
        <w:rPr>
          <w:rStyle w:val="Fett"/>
          <w:rFonts w:eastAsiaTheme="majorEastAsia"/>
          <w:rtl/>
        </w:rPr>
        <w:t>יצא</w:t>
      </w:r>
      <w:r>
        <w:rPr>
          <w:rtl/>
        </w:rPr>
        <w:t xml:space="preserve"> </w:t>
      </w:r>
      <w:r>
        <w:t xml:space="preserve">im Hiphil („herausführen") ist der zentrale Exodusbegriff (vgl. 5,6.15; 6,12.21.23; 7,8.19; 8,14; 9,26.28.29; 13,5.10; 16,1.3.6; 20,1). Die fünffache Qualifikation beschreibt, wie JHWH handelte: (1) </w:t>
      </w:r>
      <w:r>
        <w:rPr>
          <w:rStyle w:val="Fett"/>
          <w:rFonts w:eastAsiaTheme="majorEastAsia"/>
          <w:rtl/>
        </w:rPr>
        <w:t>בְּיָד חֲזָקָה</w:t>
      </w:r>
      <w:r>
        <w:rPr>
          <w:rtl/>
        </w:rPr>
        <w:t xml:space="preserve"> </w:t>
      </w:r>
      <w:r>
        <w:t xml:space="preserve">(„mit starker Hand") – göttliche Macht und Kraft (vgl. 4,34; 5,15; 6,21; 7,8.19; 9,26; 11,2; 34,12; Ex 3,19; 6,1; 13,3.9.14.16; 32,11). (2) </w:t>
      </w:r>
      <w:r>
        <w:rPr>
          <w:rStyle w:val="Fett"/>
          <w:rFonts w:eastAsiaTheme="majorEastAsia"/>
          <w:rtl/>
        </w:rPr>
        <w:t>וּבִזְרֹעַ נְטוּיָה</w:t>
      </w:r>
      <w:r>
        <w:rPr>
          <w:rtl/>
        </w:rPr>
        <w:t xml:space="preserve"> </w:t>
      </w:r>
      <w:r>
        <w:t xml:space="preserve">(„und mit ausgestrecktem Arm") – anthropomorphe Beschreibung göttlichen Handelns, oft parallel zu "starker Hand" (vgl. 4,34; 5,15; 7,19; 9,29; 11,2; </w:t>
      </w:r>
      <w:r w:rsidR="00664EB6">
        <w:t>1Kön</w:t>
      </w:r>
      <w:r>
        <w:t xml:space="preserve"> 8,42; </w:t>
      </w:r>
      <w:r w:rsidR="00664EB6">
        <w:t>2Kön</w:t>
      </w:r>
      <w:r>
        <w:t xml:space="preserve"> 17,36; Jer 32,21; Ps 136,12). Der ausgestreckte Arm symbolisiert Intervention, aktives Eingreifen. (3) </w:t>
      </w:r>
      <w:r>
        <w:rPr>
          <w:rStyle w:val="Fett"/>
          <w:rFonts w:eastAsiaTheme="majorEastAsia"/>
          <w:rtl/>
        </w:rPr>
        <w:t>וּבְמֹרָא גָּדֹל</w:t>
      </w:r>
      <w:r>
        <w:rPr>
          <w:rtl/>
        </w:rPr>
        <w:t xml:space="preserve"> </w:t>
      </w:r>
      <w:r>
        <w:t xml:space="preserve">(„und mit großer Furchtbarkeit") – die Plagen und Wunder verbreiteten Schrecken und </w:t>
      </w:r>
      <w:r>
        <w:lastRenderedPageBreak/>
        <w:t xml:space="preserve">Ehrfurcht (vgl. 4,34; 34,12; Jer 32,21). (4) </w:t>
      </w:r>
      <w:r>
        <w:rPr>
          <w:rStyle w:val="Fett"/>
          <w:rFonts w:eastAsiaTheme="majorEastAsia"/>
          <w:rtl/>
        </w:rPr>
        <w:t>וּבְאֹתוֹת</w:t>
      </w:r>
      <w:r>
        <w:rPr>
          <w:rtl/>
        </w:rPr>
        <w:t xml:space="preserve"> </w:t>
      </w:r>
      <w:r>
        <w:t xml:space="preserve">(„und mit Zeichen") – göttliche Zeichen, besonders die Plagen (vgl. 4,34; 6,22; 7,19; 11,3; 29,2; 34,11; Ex 7,3; 10,1.2). (5) </w:t>
      </w:r>
      <w:r>
        <w:rPr>
          <w:rStyle w:val="Fett"/>
          <w:rFonts w:eastAsiaTheme="majorEastAsia"/>
          <w:rtl/>
        </w:rPr>
        <w:t>וּבְמֹפְתִים</w:t>
      </w:r>
      <w:r>
        <w:rPr>
          <w:rtl/>
        </w:rPr>
        <w:t xml:space="preserve"> </w:t>
      </w:r>
      <w:r>
        <w:t xml:space="preserve">(„und mit Wundern") – Wunderzeichen, oft parallel zu </w:t>
      </w:r>
      <w:r>
        <w:rPr>
          <w:rStyle w:val="Fett"/>
          <w:rFonts w:eastAsiaTheme="majorEastAsia"/>
          <w:rtl/>
        </w:rPr>
        <w:t>אֹתוֹת</w:t>
      </w:r>
      <w:r>
        <w:rPr>
          <w:rtl/>
        </w:rPr>
        <w:t xml:space="preserve"> </w:t>
      </w:r>
      <w:r>
        <w:t xml:space="preserve">(vgl. 4,34; 6,22; 7,19; 29,2; 34,11). Die beiden Begriffe </w:t>
      </w:r>
      <w:r>
        <w:rPr>
          <w:rStyle w:val="Fett"/>
          <w:rFonts w:eastAsiaTheme="majorEastAsia"/>
          <w:rtl/>
        </w:rPr>
        <w:t>אֹתוֹת וּמֹפְתִים</w:t>
      </w:r>
      <w:r>
        <w:rPr>
          <w:rtl/>
        </w:rPr>
        <w:t xml:space="preserve"> </w:t>
      </w:r>
      <w:r>
        <w:t>(„Zeichen und Wunder") bilden ein festes Begriffspaar für die Exoduswunder. Diese fünffache Qualifikation ist eine liturgische Formel, die die Größe und Macht des Exodus betont. V. 9 wird die Landgabe beschreiben.</w:t>
      </w:r>
    </w:p>
    <w:p w14:paraId="3870F14F" w14:textId="46478CC2" w:rsidR="00A600C6" w:rsidRDefault="00A600C6" w:rsidP="00166F02">
      <w:pPr>
        <w:pStyle w:val="whitespace-normal"/>
      </w:pPr>
      <w:r>
        <w:rPr>
          <w:rStyle w:val="Fett"/>
        </w:rPr>
        <w:t>Die LXX</w:t>
      </w:r>
      <w:r>
        <w:t xml:space="preserve"> fügt α</w:t>
      </w:r>
      <w:proofErr w:type="spellStart"/>
      <w:r>
        <w:t>ὐτός</w:t>
      </w:r>
      <w:proofErr w:type="spellEnd"/>
      <w:r>
        <w:t xml:space="preserve"> (er selbst) hinzu – eine Betonung, dass Gott persönlich handelte. Die Wendung </w:t>
      </w:r>
      <w:r>
        <w:rPr>
          <w:rtl/>
        </w:rPr>
        <w:t>בְּמֹרָא גָּדֹל</w:t>
      </w:r>
      <w:r>
        <w:t xml:space="preserve"> (mit großem Schrecken) wird mit </w:t>
      </w:r>
      <w:proofErr w:type="spellStart"/>
      <w:r>
        <w:t>ἐν</w:t>
      </w:r>
      <w:proofErr w:type="spellEnd"/>
      <w:r>
        <w:t xml:space="preserve"> </w:t>
      </w:r>
      <w:proofErr w:type="spellStart"/>
      <w:r>
        <w:t>ὁράμ</w:t>
      </w:r>
      <w:proofErr w:type="spellEnd"/>
      <w:r>
        <w:t xml:space="preserve">ασιν </w:t>
      </w:r>
      <w:proofErr w:type="spellStart"/>
      <w:r>
        <w:t>μεγάλοις</w:t>
      </w:r>
      <w:proofErr w:type="spellEnd"/>
      <w:r>
        <w:t xml:space="preserve"> (in großen Visionen/Erscheinungen) übersetzt – eine bemerkenswerte semantische Verschiebung von "Schrecken" zu "Visionen".</w:t>
      </w:r>
    </w:p>
    <w:p w14:paraId="0A9E2F31" w14:textId="77777777" w:rsidR="00166F02" w:rsidRDefault="00166F02" w:rsidP="00166F02">
      <w:pPr>
        <w:pStyle w:val="whitespace-normal"/>
      </w:pPr>
      <w:r>
        <w:rPr>
          <w:rStyle w:val="Fett"/>
          <w:rFonts w:eastAsiaTheme="majorEastAsia"/>
        </w:rPr>
        <w:t>Die Satzstruktur:</w:t>
      </w:r>
      <w:r>
        <w:t xml:space="preserve"> Handlung mit fünffacher Qualifikation (und JHWH führte uns heraus aus Ägypten mit starker Hand und mit ausgestrecktem Arm und mit großer Furchtbarkeit und mit Zeichen und mit Wundern).</w:t>
      </w:r>
    </w:p>
    <w:p w14:paraId="1D685EA1" w14:textId="7253BDFF" w:rsidR="00166F02" w:rsidRDefault="00166F02" w:rsidP="00705F3D">
      <w:pPr>
        <w:pStyle w:val="whitespace-normal"/>
      </w:pPr>
      <w:r>
        <w:rPr>
          <w:rStyle w:val="Fett"/>
          <w:rFonts w:eastAsiaTheme="majorEastAsia"/>
        </w:rPr>
        <w:t>Der Vers beschreibt:</w:t>
      </w:r>
      <w:r>
        <w:t xml:space="preserve"> Der Exodus – JHWH führte Israel mit mächtigen Taten aus Ägypten heraus.</w:t>
      </w:r>
    </w:p>
    <w:p w14:paraId="4802FB50" w14:textId="77777777" w:rsidR="00166F02" w:rsidRPr="00B53ACC" w:rsidRDefault="00166F02" w:rsidP="00B53ACC">
      <w:pPr>
        <w:pStyle w:val="Bibelberschrift"/>
      </w:pPr>
      <w:r w:rsidRPr="00B53ACC">
        <w:rPr>
          <w:rStyle w:val="Fett"/>
          <w:b/>
          <w:bCs w:val="0"/>
        </w:rPr>
        <w:t>Deuteronomium 26,9</w:t>
      </w:r>
    </w:p>
    <w:p w14:paraId="35700813" w14:textId="77777777" w:rsidR="00166F02" w:rsidRDefault="00166F02" w:rsidP="00166F02">
      <w:pPr>
        <w:pStyle w:val="whitespace-normal"/>
      </w:pPr>
      <w:r>
        <w:rPr>
          <w:rStyle w:val="Fett"/>
          <w:rFonts w:eastAsiaTheme="majorEastAsia"/>
        </w:rPr>
        <w:t>Hebräisch:</w:t>
      </w:r>
      <w:r>
        <w:t xml:space="preserve"> </w:t>
      </w:r>
      <w:r>
        <w:rPr>
          <w:rtl/>
        </w:rPr>
        <w:t>וַיְבִאֵנוּ אֶל־הַמָּקוֹם הַזֶּה וַיִּתֶּן־לָנוּ אֶת־הָאָרֶץ הַזֹּאת אֶרֶץ זָבַת חָלָב וּדְבָֽשׁ׃</w:t>
      </w:r>
    </w:p>
    <w:p w14:paraId="25F29CD7" w14:textId="77777777" w:rsidR="00166F02" w:rsidRDefault="00166F02" w:rsidP="00166F02">
      <w:pPr>
        <w:pStyle w:val="whitespace-normal"/>
      </w:pPr>
      <w:r>
        <w:rPr>
          <w:rStyle w:val="Fett"/>
          <w:rFonts w:eastAsiaTheme="majorEastAsia"/>
        </w:rPr>
        <w:t>Deutsch:</w:t>
      </w:r>
      <w:r>
        <w:t xml:space="preserve"> Und er brachte uns an diesen Ort und gab uns dieses Land, ein Land, fließend von Milch und Honig.</w:t>
      </w:r>
    </w:p>
    <w:p w14:paraId="6777B912" w14:textId="77777777" w:rsidR="00166F02" w:rsidRDefault="004F5CEB" w:rsidP="00166F02">
      <w:r>
        <w:rPr>
          <w:noProof/>
        </w:rPr>
        <w:pict w14:anchorId="24E24404">
          <v:rect id="_x0000_i1701" style="width:0;height:1.5pt" o:hralign="center" o:hrstd="t" o:hr="t" fillcolor="#a0a0a0" stroked="f"/>
        </w:pict>
      </w:r>
    </w:p>
    <w:p w14:paraId="7703E6FD"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וַיְבִאֵנוּ אֶל־הַמָּקוֹם הַזֶּה וַיִּתֶּן־לָנוּ אֶת־הָאָרֶץ הַזֹּאת אֶרֶץ זָבַת חָלָב וּדְבָשׁ</w:t>
      </w:r>
      <w:r>
        <w:rPr>
          <w:rtl/>
        </w:rPr>
        <w:t xml:space="preserve"> </w:t>
      </w:r>
      <w:r>
        <w:t xml:space="preserve">sind zwei Handlungen: </w:t>
      </w:r>
      <w:r>
        <w:rPr>
          <w:rStyle w:val="Fett"/>
          <w:rFonts w:eastAsiaTheme="majorEastAsia"/>
          <w:rtl/>
        </w:rPr>
        <w:t>וַיְבִאֵנוּ אֶל־הַמָּקוֹם הַזֶּה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בוא</w:t>
      </w:r>
      <w:r>
        <w:t xml:space="preserve">, Hiphil Imperfekt, 3. Person Maskulinum Singular, „bringen, herbringen", mit Suffix 1. Person Plural, Präposition </w:t>
      </w:r>
      <w:r>
        <w:rPr>
          <w:rStyle w:val="Fett"/>
          <w:rFonts w:eastAsiaTheme="majorEastAsia"/>
          <w:rtl/>
        </w:rPr>
        <w:t>אֶל</w:t>
      </w:r>
      <w:r>
        <w:rPr>
          <w:rtl/>
        </w:rPr>
        <w:t xml:space="preserve"> </w:t>
      </w:r>
      <w:r>
        <w:t xml:space="preserve">mit </w:t>
      </w:r>
      <w:r>
        <w:rPr>
          <w:rStyle w:val="Fett"/>
          <w:rFonts w:eastAsiaTheme="majorEastAsia"/>
          <w:rtl/>
        </w:rPr>
        <w:t>מָקוֹם הַזֶּה</w:t>
      </w:r>
      <w:r>
        <w:t xml:space="preserve">, mit </w:t>
      </w:r>
      <w:r>
        <w:rPr>
          <w:rStyle w:val="Fett"/>
          <w:rFonts w:eastAsiaTheme="majorEastAsia"/>
        </w:rPr>
        <w:t>Waw</w:t>
      </w:r>
      <w:r>
        <w:t xml:space="preserve"> consecutives Imperfekt), </w:t>
      </w:r>
      <w:r>
        <w:rPr>
          <w:rStyle w:val="Fett"/>
          <w:rFonts w:eastAsiaTheme="majorEastAsia"/>
          <w:rtl/>
        </w:rPr>
        <w:t>וַיִּתֶּן־לָנוּ אֶת־הָאָרֶץ הַזֹּאת אֶרֶץ זָבַת חָלָב וּדְבָשׁ</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נתן</w:t>
      </w:r>
      <w:r>
        <w:t xml:space="preserve">, Qal Imperfekt, 3. Person Maskulinum Singular, </w:t>
      </w:r>
      <w:r>
        <w:rPr>
          <w:rStyle w:val="Fett"/>
          <w:rFonts w:eastAsiaTheme="majorEastAsia"/>
          <w:rtl/>
        </w:rPr>
        <w:t>לָנוּ</w:t>
      </w:r>
      <w:r>
        <w:t xml:space="preserve">, Objektpartikel </w:t>
      </w:r>
      <w:r>
        <w:rPr>
          <w:rStyle w:val="Fett"/>
          <w:rFonts w:eastAsiaTheme="majorEastAsia"/>
          <w:rtl/>
        </w:rPr>
        <w:t>אֵת</w:t>
      </w:r>
      <w:r>
        <w:rPr>
          <w:rtl/>
        </w:rPr>
        <w:t xml:space="preserve"> </w:t>
      </w:r>
      <w:r>
        <w:t xml:space="preserve">mit </w:t>
      </w:r>
      <w:r>
        <w:rPr>
          <w:rStyle w:val="Fett"/>
          <w:rFonts w:eastAsiaTheme="majorEastAsia"/>
          <w:rtl/>
        </w:rPr>
        <w:t>אֶרֶץ הַזֹּאת</w:t>
      </w:r>
      <w:r>
        <w:t xml:space="preserve">, Apposition: </w:t>
      </w:r>
      <w:r>
        <w:rPr>
          <w:rStyle w:val="Fett"/>
          <w:rFonts w:eastAsiaTheme="majorEastAsia"/>
          <w:rtl/>
        </w:rPr>
        <w:t>אֶרֶץ זָבַת חָלָב וּדְבָשׁ</w:t>
      </w:r>
      <w:r>
        <w:rPr>
          <w:rtl/>
        </w:rPr>
        <w:t xml:space="preserve"> </w:t>
      </w:r>
      <w:r>
        <w:t xml:space="preserve">– die Standardformel, mit </w:t>
      </w:r>
      <w:r>
        <w:rPr>
          <w:rStyle w:val="Fett"/>
          <w:rFonts w:eastAsiaTheme="majorEastAsia"/>
        </w:rPr>
        <w:t>Waw</w:t>
      </w:r>
      <w:r>
        <w:t xml:space="preserve"> consecutives Imperfekt).</w:t>
      </w:r>
    </w:p>
    <w:p w14:paraId="6BC176FC" w14:textId="77777777" w:rsidR="00166F02" w:rsidRDefault="00166F02" w:rsidP="00166F02">
      <w:pPr>
        <w:pStyle w:val="whitespace-normal"/>
      </w:pPr>
      <w:r>
        <w:t xml:space="preserve">Der Vers beschreibt die Landgabe – die sechste und letzte Erzählstufe des Credos. Die erste Handlung: </w:t>
      </w:r>
      <w:r>
        <w:rPr>
          <w:rStyle w:val="Fett"/>
          <w:rFonts w:eastAsiaTheme="majorEastAsia"/>
          <w:rtl/>
        </w:rPr>
        <w:t>וַיְבִאֵנוּ אֶל־הַמָּקוֹם הַזֶּה</w:t>
      </w:r>
      <w:r>
        <w:rPr>
          <w:rtl/>
        </w:rPr>
        <w:t xml:space="preserve"> </w:t>
      </w:r>
      <w:r>
        <w:t xml:space="preserve">(„und er brachte uns an diesen Ort"). Das Verb </w:t>
      </w:r>
      <w:r>
        <w:rPr>
          <w:rStyle w:val="Fett"/>
          <w:rFonts w:eastAsiaTheme="majorEastAsia"/>
          <w:rtl/>
        </w:rPr>
        <w:t>בוא</w:t>
      </w:r>
      <w:r>
        <w:rPr>
          <w:rtl/>
        </w:rPr>
        <w:t xml:space="preserve"> </w:t>
      </w:r>
      <w:r>
        <w:t xml:space="preserve">im Hiphil („bringen, herbringen") – JHWH führte Israel nicht nur aus Ägypten heraus, sondern auch ins verheißene Land hinein. Die Formulierung </w:t>
      </w:r>
      <w:r>
        <w:rPr>
          <w:rStyle w:val="Fett"/>
          <w:rFonts w:eastAsiaTheme="majorEastAsia"/>
          <w:rtl/>
        </w:rPr>
        <w:t>הַמָּקוֹם הַזֶּה</w:t>
      </w:r>
      <w:r>
        <w:rPr>
          <w:rtl/>
        </w:rPr>
        <w:t xml:space="preserve"> </w:t>
      </w:r>
      <w:r>
        <w:t xml:space="preserve">(„dieser Ort") ist deiktisch – der sprechende Israelit steht im Land oder im Heiligtum und weist auf die gegenwärtige Realität hin. Die zweite Handlung: </w:t>
      </w:r>
      <w:r>
        <w:rPr>
          <w:rStyle w:val="Fett"/>
          <w:rFonts w:eastAsiaTheme="majorEastAsia"/>
          <w:rtl/>
        </w:rPr>
        <w:t>וַיִּתֶּן־לָנוּ אֶת־הָאָרֶץ הַזֹּאת אֶרֶץ זָבַת חָלָב וּדְבָשׁ</w:t>
      </w:r>
      <w:r>
        <w:rPr>
          <w:rtl/>
        </w:rPr>
        <w:t xml:space="preserve"> </w:t>
      </w:r>
      <w:r>
        <w:t xml:space="preserve">(„und er gab uns dieses Land, ein Land, fließend von Milch und Honig"). Das Verb </w:t>
      </w:r>
      <w:r>
        <w:rPr>
          <w:rStyle w:val="Fett"/>
          <w:rFonts w:eastAsiaTheme="majorEastAsia"/>
          <w:rtl/>
        </w:rPr>
        <w:t>נתן</w:t>
      </w:r>
      <w:r>
        <w:rPr>
          <w:rtl/>
        </w:rPr>
        <w:t xml:space="preserve"> </w:t>
      </w:r>
      <w:r>
        <w:t xml:space="preserve">(„geben") betont: das Land ist Geschenk, nicht Eroberung allein (vgl. 1,25; 2,29; 3,19.20; 4,1.21.40; 5,31; 6,10.23; 8,10; 9,6.23; 11,9.17.21.31; 12,1.9.15; 13,13; 15,4.7; 16,5.18.20; 17,2.14; 18,9; 19,1.2.8.10.14; 20,16; 21,1.23; 24,4; 25,15.19; 26,1.2.3.9.10.11.15; 27,2.3; 28,8.11.52; 29,7; 31,7; 32,49.52; 34,4). Die Formulierung </w:t>
      </w:r>
      <w:r>
        <w:rPr>
          <w:rStyle w:val="Fett"/>
          <w:rFonts w:eastAsiaTheme="majorEastAsia"/>
          <w:rtl/>
        </w:rPr>
        <w:t>אֶרֶץ הַזֹּאת</w:t>
      </w:r>
      <w:r>
        <w:rPr>
          <w:rtl/>
        </w:rPr>
        <w:t xml:space="preserve"> </w:t>
      </w:r>
      <w:r>
        <w:t xml:space="preserve">(„dieses Land") ist wieder deiktisch. Die Apposition </w:t>
      </w:r>
      <w:r>
        <w:rPr>
          <w:rStyle w:val="Fett"/>
          <w:rFonts w:eastAsiaTheme="majorEastAsia"/>
          <w:rtl/>
        </w:rPr>
        <w:t xml:space="preserve">אֶרֶץ </w:t>
      </w:r>
      <w:r>
        <w:rPr>
          <w:rStyle w:val="Fett"/>
          <w:rFonts w:eastAsiaTheme="majorEastAsia"/>
          <w:rtl/>
        </w:rPr>
        <w:lastRenderedPageBreak/>
        <w:t>זָבַת חָלָב וּדְבָשׁ</w:t>
      </w:r>
      <w:r>
        <w:rPr>
          <w:rtl/>
        </w:rPr>
        <w:t xml:space="preserve"> </w:t>
      </w:r>
      <w:r>
        <w:t>(„ein Land, fließend von Milch und Honig") ist die klassische Beschreibung der Fruchtbarkeit und des Segens des verheißenen Landes (vgl. 6,3; 11,9; 27,3; 31,20; Ex 3,8.17; 13,5; 33,3; Lev 20,24; Num 13,27; 14,8; 16,13.14; Jer 11,5; 32,22; Hes 20,6.15). Das "kleine historische Credo" (V. 5-9) komprimiert die gesamte Heilsgeschichte in sechs Stufen: (1) Patriarchale Anfänge als umherirrender Aramäer (Jakob), (2) Abstieg nach Ägypten als kleine Gruppe, (3) Bevölkerungswachstum zu einer großen Nation, (4) Ägyptische Unterdrückung, (5) Schrei zu JHWH und Seine Wahrnehmung, (6) Exodus mit mächtigen Taten, (7) Landgabe. Diese Zusammenfassung wurde von Gerhard von Rad als Kern des israelitischen Glaubensbekenntnisses bezeichnet. V. 10 wird die liturgische Handlung abschließen.</w:t>
      </w:r>
    </w:p>
    <w:p w14:paraId="77FEA425" w14:textId="77777777" w:rsidR="00166F02" w:rsidRDefault="00166F02" w:rsidP="00166F02">
      <w:pPr>
        <w:pStyle w:val="whitespace-normal"/>
      </w:pPr>
      <w:r>
        <w:rPr>
          <w:rStyle w:val="Fett"/>
          <w:rFonts w:eastAsiaTheme="majorEastAsia"/>
        </w:rPr>
        <w:t>Die Satzstruktur:</w:t>
      </w:r>
      <w:r>
        <w:t xml:space="preserve"> Zwei koordinierte Handlungen (und er brachte uns an diesen Ort, und er gab uns dieses Land, ein Land, fließend von Milch und Honig).</w:t>
      </w:r>
    </w:p>
    <w:p w14:paraId="413C6912" w14:textId="338F0CD7" w:rsidR="00166F02" w:rsidRDefault="00166F02" w:rsidP="00705F3D">
      <w:pPr>
        <w:pStyle w:val="whitespace-normal"/>
      </w:pPr>
      <w:r>
        <w:rPr>
          <w:rStyle w:val="Fett"/>
          <w:rFonts w:eastAsiaTheme="majorEastAsia"/>
        </w:rPr>
        <w:t>Der Vers beschreibt:</w:t>
      </w:r>
      <w:r>
        <w:t xml:space="preserve"> Abschluss des Credos – JHWH brachte Israel ins verheißene Land und gab es ihnen als fruchtbares Erbe.</w:t>
      </w:r>
    </w:p>
    <w:p w14:paraId="4597B4AD" w14:textId="77777777" w:rsidR="00166F02" w:rsidRPr="00B53ACC" w:rsidRDefault="00166F02" w:rsidP="00B53ACC">
      <w:pPr>
        <w:pStyle w:val="Bibelberschrift"/>
      </w:pPr>
      <w:r w:rsidRPr="00B53ACC">
        <w:rPr>
          <w:rStyle w:val="Fett"/>
          <w:b/>
          <w:bCs w:val="0"/>
        </w:rPr>
        <w:t>Deuteronomium 26,10</w:t>
      </w:r>
    </w:p>
    <w:p w14:paraId="67FB2238" w14:textId="77777777" w:rsidR="00166F02" w:rsidRDefault="00166F02" w:rsidP="00166F02">
      <w:pPr>
        <w:pStyle w:val="whitespace-normal"/>
      </w:pPr>
      <w:r>
        <w:rPr>
          <w:rStyle w:val="Fett"/>
          <w:rFonts w:eastAsiaTheme="majorEastAsia"/>
        </w:rPr>
        <w:t>Hebräisch:</w:t>
      </w:r>
      <w:r>
        <w:t xml:space="preserve"> </w:t>
      </w:r>
      <w:r>
        <w:rPr>
          <w:rtl/>
        </w:rPr>
        <w:t>וְעַתָּה הִנֵּה הֵבֵאתִי אֶת־רֵאשִׁית פְּרִי הָאֲדָמָה אֲשֶׁר־נָתַתָּה לִּי יְהוָה וְהִנַּחְתּוֹ לִפְנֵי יְהוָה אֱלֹהֶיךָ וְהִֽשְׁתַּחֲוִיתָ לִפְנֵי יְהוָה אֱלֹהֶֽיךָ׃</w:t>
      </w:r>
    </w:p>
    <w:p w14:paraId="285CA23A" w14:textId="77777777" w:rsidR="00166F02" w:rsidRDefault="00166F02" w:rsidP="00166F02">
      <w:pPr>
        <w:pStyle w:val="whitespace-normal"/>
      </w:pPr>
      <w:r>
        <w:rPr>
          <w:rStyle w:val="Fett"/>
          <w:rFonts w:eastAsiaTheme="majorEastAsia"/>
        </w:rPr>
        <w:t>Deutsch:</w:t>
      </w:r>
      <w:r>
        <w:t xml:space="preserve"> Und nun siehe, ich habe gebracht die Erstlinge der Frucht des Erdbodens, die du, JHWH, mir gegeben hast. Und du sollst ihn niederlegen vor JHWH, deinem Gott, und anbeten vor JHWH, deinem Gott.</w:t>
      </w:r>
    </w:p>
    <w:p w14:paraId="04C8436C" w14:textId="77777777" w:rsidR="00166F02" w:rsidRDefault="004F5CEB" w:rsidP="00166F02">
      <w:r>
        <w:rPr>
          <w:noProof/>
        </w:rPr>
        <w:pict w14:anchorId="266A9929">
          <v:rect id="_x0000_i1702" style="width:0;height:1.5pt" o:hralign="center" o:hrstd="t" o:hr="t" fillcolor="#a0a0a0" stroked="f"/>
        </w:pict>
      </w:r>
    </w:p>
    <w:p w14:paraId="11CF2A21" w14:textId="27930CA2" w:rsidR="00166F02" w:rsidRDefault="00166F02" w:rsidP="00166F02">
      <w:pPr>
        <w:pStyle w:val="whitespace-normal"/>
      </w:pPr>
      <w:r>
        <w:rPr>
          <w:rStyle w:val="Fett"/>
          <w:rFonts w:eastAsiaTheme="majorEastAsia"/>
        </w:rPr>
        <w:t>Kommentar:</w:t>
      </w:r>
      <w:r>
        <w:t xml:space="preserve"> </w:t>
      </w:r>
      <w:r>
        <w:rPr>
          <w:rStyle w:val="Fett"/>
          <w:rFonts w:eastAsiaTheme="majorEastAsia"/>
          <w:rtl/>
        </w:rPr>
        <w:t>וְעַתָּה הִנֵּה הֵבֵאתִי אֶת־רֵאשִׁית פְּרִי הָאֲדָמָה אֲשֶׁר־נָתַתָּה לִּי יְהוָה וְהִנַּחְתּוֹ לִפְנֵי יְהוָה אֱלֹהֶיךָ וְהִשְׁתַּחֲוִיתָ לִפְנֵי יְהוָה אֱלֹהֶיךָ</w:t>
      </w:r>
      <w:r>
        <w:rPr>
          <w:rtl/>
        </w:rPr>
        <w:t xml:space="preserve"> </w:t>
      </w:r>
      <w:r>
        <w:t xml:space="preserve">sind drei Teile: </w:t>
      </w:r>
      <w:r>
        <w:rPr>
          <w:rStyle w:val="Fett"/>
          <w:rFonts w:eastAsiaTheme="majorEastAsia"/>
          <w:rtl/>
        </w:rPr>
        <w:t>וְעַתָּה הִנֵּה הֵבֵאתִי אֶת־רֵאשִׁית פְּרִי הָאֲדָמָה אֲשֶׁר־נָתַתָּה לִּי יְהוָה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עַתָּה</w:t>
      </w:r>
      <w:r>
        <w:t xml:space="preserve">, „nun, jetzt", </w:t>
      </w:r>
      <w:r>
        <w:rPr>
          <w:rStyle w:val="Fett"/>
          <w:rFonts w:eastAsiaTheme="majorEastAsia"/>
          <w:rtl/>
        </w:rPr>
        <w:t>הִנֵּה</w:t>
      </w:r>
      <w:r>
        <w:t xml:space="preserve">, „siehe", </w:t>
      </w:r>
      <w:r>
        <w:rPr>
          <w:rStyle w:val="Fett"/>
          <w:rFonts w:eastAsiaTheme="majorEastAsia"/>
          <w:rtl/>
        </w:rPr>
        <w:t>בוא</w:t>
      </w:r>
      <w:r>
        <w:t xml:space="preserve">, Hiphil Perfekt, 1. Person Singular, Objektpartikel </w:t>
      </w:r>
      <w:r>
        <w:rPr>
          <w:rStyle w:val="Fett"/>
          <w:rFonts w:eastAsiaTheme="majorEastAsia"/>
          <w:rtl/>
        </w:rPr>
        <w:t>אֵת</w:t>
      </w:r>
      <w:r>
        <w:rPr>
          <w:rtl/>
        </w:rPr>
        <w:t xml:space="preserve"> </w:t>
      </w:r>
      <w:r>
        <w:t xml:space="preserve">mit </w:t>
      </w:r>
      <w:r>
        <w:rPr>
          <w:rStyle w:val="Fett"/>
          <w:rFonts w:eastAsiaTheme="majorEastAsia"/>
          <w:rtl/>
        </w:rPr>
        <w:t>רֵאשִׁית פְּרִי הָאֲדָמָה</w:t>
      </w:r>
      <w:r>
        <w:t xml:space="preserve">, Relativsatz: </w:t>
      </w:r>
      <w:r>
        <w:rPr>
          <w:rStyle w:val="Fett"/>
          <w:rFonts w:eastAsiaTheme="majorEastAsia"/>
          <w:rtl/>
        </w:rPr>
        <w:t>אֲשֶׁר־נָתַתָּה לִּי יְהוָה</w:t>
      </w:r>
      <w:r>
        <w:rPr>
          <w:rtl/>
        </w:rPr>
        <w:t xml:space="preserve"> </w:t>
      </w:r>
      <w:r>
        <w:t xml:space="preserve">mit </w:t>
      </w:r>
      <w:r>
        <w:rPr>
          <w:rStyle w:val="Fett"/>
          <w:rFonts w:eastAsiaTheme="majorEastAsia"/>
          <w:rtl/>
        </w:rPr>
        <w:t>נתן</w:t>
      </w:r>
      <w:r>
        <w:t xml:space="preserve">, Qal Perfekt, 2. Person Maskulinum Singular, </w:t>
      </w:r>
      <w:r>
        <w:rPr>
          <w:rStyle w:val="Fett"/>
          <w:rFonts w:eastAsiaTheme="majorEastAsia"/>
          <w:rtl/>
        </w:rPr>
        <w:t>לִּי</w:t>
      </w:r>
      <w:r>
        <w:t xml:space="preserve">, </w:t>
      </w:r>
      <w:r>
        <w:rPr>
          <w:rStyle w:val="Fett"/>
          <w:rFonts w:eastAsiaTheme="majorEastAsia"/>
          <w:rtl/>
        </w:rPr>
        <w:t>יְהוָה</w:t>
      </w:r>
      <w:r>
        <w:rPr>
          <w:rtl/>
        </w:rPr>
        <w:t xml:space="preserve"> </w:t>
      </w:r>
      <w:r>
        <w:t xml:space="preserve">als Vokativ), </w:t>
      </w:r>
      <w:r>
        <w:rPr>
          <w:rStyle w:val="Fett"/>
          <w:rFonts w:eastAsiaTheme="majorEastAsia"/>
          <w:rtl/>
        </w:rPr>
        <w:t>וְהִנַּחְתּוֹ לִפְנֵי יְהוָה אֱלֹהֶיךָ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נוח</w:t>
      </w:r>
      <w:r>
        <w:t xml:space="preserve">, Hiphil Perfekt, 2. Person Maskulinum Singular, „niederlegen", mit Suffix 3. Person Maskulinum Singular, </w:t>
      </w:r>
      <w:r>
        <w:rPr>
          <w:rStyle w:val="Fett"/>
          <w:rFonts w:eastAsiaTheme="majorEastAsia"/>
          <w:rtl/>
        </w:rPr>
        <w:t>לִפְנֵי יְהוָה אֱלֹהֶיךָ</w:t>
      </w:r>
      <w:r>
        <w:t xml:space="preserve">, mit </w:t>
      </w:r>
      <w:r>
        <w:rPr>
          <w:rStyle w:val="Fett"/>
          <w:rFonts w:eastAsiaTheme="majorEastAsia"/>
        </w:rPr>
        <w:t>Waw</w:t>
      </w:r>
      <w:r>
        <w:t xml:space="preserve"> consecutives Perfekt), </w:t>
      </w:r>
      <w:r>
        <w:rPr>
          <w:rStyle w:val="Fett"/>
          <w:rFonts w:eastAsiaTheme="majorEastAsia"/>
          <w:rtl/>
        </w:rPr>
        <w:t>וְהִשְׁתַּחֲוִיתָ לִפְנֵי יְהוָה אֱלֹהֶיךָ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שׁחה</w:t>
      </w:r>
      <w:r>
        <w:t xml:space="preserve">, </w:t>
      </w:r>
      <w:r w:rsidR="007E2044">
        <w:t>Hitpael</w:t>
      </w:r>
      <w:r>
        <w:t xml:space="preserve"> Perfekt, 2. Person Maskulinum Singular, „sich niederwerfen, anbeten", </w:t>
      </w:r>
      <w:r>
        <w:rPr>
          <w:rStyle w:val="Fett"/>
          <w:rFonts w:eastAsiaTheme="majorEastAsia"/>
          <w:rtl/>
        </w:rPr>
        <w:t>לִפְנֵי יְהוָה אֱלֹהֶיךָ</w:t>
      </w:r>
      <w:r>
        <w:t xml:space="preserve">, mit </w:t>
      </w:r>
      <w:r>
        <w:rPr>
          <w:rStyle w:val="Fett"/>
          <w:rFonts w:eastAsiaTheme="majorEastAsia"/>
        </w:rPr>
        <w:t>Waw</w:t>
      </w:r>
      <w:r>
        <w:t xml:space="preserve"> consecutives Perfekt).</w:t>
      </w:r>
    </w:p>
    <w:p w14:paraId="538FE7B0" w14:textId="0FD42E10" w:rsidR="00166F02" w:rsidRDefault="00166F02" w:rsidP="00166F02">
      <w:pPr>
        <w:pStyle w:val="whitespace-normal"/>
      </w:pPr>
      <w:r>
        <w:t xml:space="preserve">Der Vers schließt das Erstlingsfrucht-Ritual ab. Der erste Teil (Erklärung): </w:t>
      </w:r>
      <w:r>
        <w:rPr>
          <w:rStyle w:val="Fett"/>
          <w:rFonts w:eastAsiaTheme="majorEastAsia"/>
          <w:rtl/>
        </w:rPr>
        <w:t>וְעַתָּה הִנֵּה הֵבֵאתִי אֶת־רֵאשִׁית פְּרִי הָאֲדָמָה אֲשֶׁר־נָתַתָּה לִּי יְהוָה</w:t>
      </w:r>
      <w:r>
        <w:rPr>
          <w:rtl/>
        </w:rPr>
        <w:t xml:space="preserve"> </w:t>
      </w:r>
      <w:r>
        <w:t xml:space="preserve">(„und nun siehe, ich habe gebracht die Erstlinge der Frucht des Erdbodens, die du, JHWH, mir gegeben hast"). Das Adverb </w:t>
      </w:r>
      <w:r>
        <w:rPr>
          <w:rStyle w:val="Fett"/>
          <w:rFonts w:eastAsiaTheme="majorEastAsia"/>
          <w:rtl/>
        </w:rPr>
        <w:t>עַתָּה</w:t>
      </w:r>
      <w:r>
        <w:rPr>
          <w:rtl/>
        </w:rPr>
        <w:t xml:space="preserve"> </w:t>
      </w:r>
      <w:r>
        <w:t xml:space="preserve">(„nun, jetzt") markiert den Übergang von der Heilsgeschichte (V. 5-9) zur gegenwärtigen liturgischen Handlung. Das Interjektionswort </w:t>
      </w:r>
      <w:r>
        <w:rPr>
          <w:rStyle w:val="Fett"/>
          <w:rFonts w:eastAsiaTheme="majorEastAsia"/>
          <w:rtl/>
        </w:rPr>
        <w:t>הִנֵּה</w:t>
      </w:r>
      <w:r>
        <w:rPr>
          <w:rtl/>
        </w:rPr>
        <w:t xml:space="preserve"> </w:t>
      </w:r>
      <w:r>
        <w:t xml:space="preserve">(„siehe") lenkt die Aufmerksamkeit auf die dargebrachten Erstlingsfrüchte. Die Formulierung </w:t>
      </w:r>
      <w:r>
        <w:rPr>
          <w:rStyle w:val="Fett"/>
          <w:rFonts w:eastAsiaTheme="majorEastAsia"/>
          <w:rtl/>
        </w:rPr>
        <w:t>רֵאשִׁית פְּרִי הָאֲדָמָה</w:t>
      </w:r>
      <w:r>
        <w:rPr>
          <w:rtl/>
        </w:rPr>
        <w:t xml:space="preserve"> </w:t>
      </w:r>
      <w:r>
        <w:t xml:space="preserve">(„Erstlinge der Frucht des Erdbodens") wiederholt V. 2. Der Relativsatz </w:t>
      </w:r>
      <w:r>
        <w:rPr>
          <w:rStyle w:val="Fett"/>
          <w:rFonts w:eastAsiaTheme="majorEastAsia"/>
          <w:rtl/>
        </w:rPr>
        <w:t>אֲשֶׁר־נָתַתָּה לִּי יְהוָה</w:t>
      </w:r>
      <w:r>
        <w:rPr>
          <w:rtl/>
        </w:rPr>
        <w:t xml:space="preserve"> </w:t>
      </w:r>
      <w:r>
        <w:t xml:space="preserve">(„die du, JHWH, mir gegeben hast") betont: die Früchte sind letztlich JHWHs Gabe – der Israelit gibt zurück, was er empfangen hat. Die direkte Anrede </w:t>
      </w:r>
      <w:r>
        <w:rPr>
          <w:rStyle w:val="Fett"/>
          <w:rFonts w:eastAsiaTheme="majorEastAsia"/>
          <w:rtl/>
        </w:rPr>
        <w:t>יְהוָה</w:t>
      </w:r>
      <w:r>
        <w:rPr>
          <w:rtl/>
        </w:rPr>
        <w:t xml:space="preserve"> </w:t>
      </w:r>
      <w:r>
        <w:t xml:space="preserve">als Vokativ ist bemerkenswert. Der zweite Teil: </w:t>
      </w:r>
      <w:r>
        <w:rPr>
          <w:rStyle w:val="Fett"/>
          <w:rFonts w:eastAsiaTheme="majorEastAsia"/>
          <w:rtl/>
        </w:rPr>
        <w:t>וְהִנַּחְתּוֹ לִפְנֵי יְהוָה אֱלֹהֶיךָ</w:t>
      </w:r>
      <w:r>
        <w:rPr>
          <w:rtl/>
        </w:rPr>
        <w:t xml:space="preserve"> </w:t>
      </w:r>
      <w:r>
        <w:t xml:space="preserve">(„und niederlegen sollst du ihn vor JHWH, deinem Gott"). Das Verb </w:t>
      </w:r>
      <w:r>
        <w:rPr>
          <w:rStyle w:val="Fett"/>
          <w:rFonts w:eastAsiaTheme="majorEastAsia"/>
          <w:rtl/>
        </w:rPr>
        <w:lastRenderedPageBreak/>
        <w:t>נוח</w:t>
      </w:r>
      <w:r>
        <w:rPr>
          <w:rtl/>
        </w:rPr>
        <w:t xml:space="preserve"> </w:t>
      </w:r>
      <w:r>
        <w:t xml:space="preserve">im Hiphil („niederlegen") wie in V. 4 – der Korb wird vor JHWH niedergelegt. Die Formulierung wechselt von 1. Person („ich habe gebracht") zu 2. Person („du sollst niederlegen") – der Text wendet sich wieder an den Israeliten. Der dritte Teil: </w:t>
      </w:r>
      <w:r>
        <w:rPr>
          <w:rStyle w:val="Fett"/>
          <w:rFonts w:eastAsiaTheme="majorEastAsia"/>
          <w:rtl/>
        </w:rPr>
        <w:t>וְהִשְׁתַּחֲוִיתָ לִפְנֵי יְהוָה אֱלֹהֶיךָ</w:t>
      </w:r>
      <w:r>
        <w:rPr>
          <w:rtl/>
        </w:rPr>
        <w:t xml:space="preserve"> </w:t>
      </w:r>
      <w:r>
        <w:t xml:space="preserve">(„und anbeten sollst du vor JHWH, deinem Gott"). Das Verb </w:t>
      </w:r>
      <w:r>
        <w:rPr>
          <w:rStyle w:val="Fett"/>
          <w:rFonts w:eastAsiaTheme="majorEastAsia"/>
          <w:rtl/>
        </w:rPr>
        <w:t>שׁחה</w:t>
      </w:r>
      <w:r>
        <w:rPr>
          <w:rtl/>
        </w:rPr>
        <w:t xml:space="preserve"> </w:t>
      </w:r>
      <w:r>
        <w:t xml:space="preserve">im </w:t>
      </w:r>
      <w:r w:rsidR="007E2044">
        <w:t>Hitpael</w:t>
      </w:r>
      <w:r>
        <w:t xml:space="preserve"> („sich niederwerfen, anbeten") beschreibt die körperliche Geste der Anbetung – Niederwerfung, Prostration (vgl. 4,19; 5,9; 8,19; 11,16; 17,3; 26,10; 29,25; 30,17). Das Ritual endet mit Anbetung. V. 11 wird die Freude beschreiben.</w:t>
      </w:r>
    </w:p>
    <w:p w14:paraId="46986922" w14:textId="7AF53937" w:rsidR="001A04EF" w:rsidRDefault="001A04EF" w:rsidP="00166F02">
      <w:pPr>
        <w:pStyle w:val="whitespace-normal"/>
      </w:pPr>
      <w:r>
        <w:rPr>
          <w:rStyle w:val="Fett"/>
        </w:rPr>
        <w:t>Die LXX</w:t>
      </w:r>
      <w:r>
        <w:t xml:space="preserve"> fügt </w:t>
      </w:r>
      <w:proofErr w:type="spellStart"/>
      <w:r>
        <w:t>γῆν</w:t>
      </w:r>
      <w:proofErr w:type="spellEnd"/>
      <w:r>
        <w:t xml:space="preserve"> </w:t>
      </w:r>
      <w:proofErr w:type="spellStart"/>
      <w:r>
        <w:t>ῥέουσ</w:t>
      </w:r>
      <w:proofErr w:type="spellEnd"/>
      <w:r>
        <w:t xml:space="preserve">αν </w:t>
      </w:r>
      <w:proofErr w:type="spellStart"/>
      <w:r>
        <w:t>γάλ</w:t>
      </w:r>
      <w:proofErr w:type="spellEnd"/>
      <w:r>
        <w:t xml:space="preserve">α καὶ </w:t>
      </w:r>
      <w:proofErr w:type="spellStart"/>
      <w:r>
        <w:t>μέλι</w:t>
      </w:r>
      <w:proofErr w:type="spellEnd"/>
      <w:r>
        <w:t xml:space="preserve"> (ein Land, das von Milch und Honig fließt) am Ende hinzu, eine Wiederholung aus Vers 9, die im MT nicht vorhanden ist.</w:t>
      </w:r>
    </w:p>
    <w:p w14:paraId="52B83183" w14:textId="77777777" w:rsidR="00166F02" w:rsidRDefault="00166F02" w:rsidP="00166F02">
      <w:pPr>
        <w:pStyle w:val="whitespace-normal"/>
      </w:pPr>
      <w:r>
        <w:rPr>
          <w:rStyle w:val="Fett"/>
          <w:rFonts w:eastAsiaTheme="majorEastAsia"/>
        </w:rPr>
        <w:t>Die Satzstruktur:</w:t>
      </w:r>
      <w:r>
        <w:t xml:space="preserve"> Drei Teile (und nun siehe, ich habe gebracht die Erstlinge der Frucht des Erdbodens, die du, JHWH, mir gegeben hast; und niederlegen sollst du ihn vor JHWH, deinem Gott, und anbeten sollst du vor JHWH, deinem Gott).</w:t>
      </w:r>
    </w:p>
    <w:p w14:paraId="49CBA988" w14:textId="32463C7F" w:rsidR="00166F02" w:rsidRDefault="00166F02" w:rsidP="00705F3D">
      <w:pPr>
        <w:pStyle w:val="whitespace-normal"/>
      </w:pPr>
      <w:r>
        <w:rPr>
          <w:rStyle w:val="Fett"/>
          <w:rFonts w:eastAsiaTheme="majorEastAsia"/>
        </w:rPr>
        <w:t>Der Vers beschreibt:</w:t>
      </w:r>
      <w:r>
        <w:t xml:space="preserve"> Abschluss des Erstlingsfrucht-Rituals – Erklärung, dass die Früchte JHWHs Gabe sind, Niederlegung und Anbetung.</w:t>
      </w:r>
    </w:p>
    <w:p w14:paraId="2533AE09" w14:textId="77777777" w:rsidR="00166F02" w:rsidRPr="00B53ACC" w:rsidRDefault="00166F02" w:rsidP="00B53ACC">
      <w:pPr>
        <w:pStyle w:val="Bibelberschrift"/>
      </w:pPr>
      <w:r w:rsidRPr="00B53ACC">
        <w:rPr>
          <w:rStyle w:val="Fett"/>
          <w:b/>
          <w:bCs w:val="0"/>
        </w:rPr>
        <w:t>Deuteronomium 26,11</w:t>
      </w:r>
    </w:p>
    <w:p w14:paraId="4AA84AC3" w14:textId="77777777" w:rsidR="00166F02" w:rsidRDefault="00166F02" w:rsidP="00166F02">
      <w:pPr>
        <w:pStyle w:val="whitespace-normal"/>
      </w:pPr>
      <w:r>
        <w:rPr>
          <w:rStyle w:val="Fett"/>
          <w:rFonts w:eastAsiaTheme="majorEastAsia"/>
        </w:rPr>
        <w:t>Hebräisch:</w:t>
      </w:r>
      <w:r>
        <w:t xml:space="preserve"> </w:t>
      </w:r>
      <w:r>
        <w:rPr>
          <w:rtl/>
        </w:rPr>
        <w:t>וְשָׂמַחְתָּ בְכָל־הַטּוֹב אֲשֶׁר נָֽתַן־לְךָ יְהוָה אֱלֹהֶיךָ וּלְבֵיתֶךָ אַתָּה וְהַלֵּוִי וְהַגֵּר אֲשֶׁר בְּקִרְבֶּֽךָ׃</w:t>
      </w:r>
    </w:p>
    <w:p w14:paraId="3548FD39" w14:textId="77777777" w:rsidR="00166F02" w:rsidRDefault="00166F02" w:rsidP="00166F02">
      <w:pPr>
        <w:pStyle w:val="whitespace-normal"/>
      </w:pPr>
      <w:r>
        <w:rPr>
          <w:rStyle w:val="Fett"/>
          <w:rFonts w:eastAsiaTheme="majorEastAsia"/>
        </w:rPr>
        <w:t>Deutsch:</w:t>
      </w:r>
      <w:r>
        <w:t xml:space="preserve"> Und du sollst dich freuen über all das Gute, das JHWH, dein Gott, dir und deinem Haus gegeben hat, du und der Levit und der Fremdling, der in deiner Mitte ist.</w:t>
      </w:r>
    </w:p>
    <w:p w14:paraId="4C273A24" w14:textId="77777777" w:rsidR="00166F02" w:rsidRDefault="004F5CEB" w:rsidP="00166F02">
      <w:r>
        <w:rPr>
          <w:noProof/>
        </w:rPr>
        <w:pict w14:anchorId="43A464EA">
          <v:rect id="_x0000_i1703" style="width:0;height:1.5pt" o:hralign="center" o:hrstd="t" o:hr="t" fillcolor="#a0a0a0" stroked="f"/>
        </w:pict>
      </w:r>
    </w:p>
    <w:p w14:paraId="17EE4708"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וְשָׂמַחְתָּ בְכָל־הַטּוֹב אֲשֶׁר נָתַן־לְךָ יְהוָה אֱלֹהֶיךָ וּלְבֵיתֶךָ אַתָּה וְהַלֵּוִי וְהַגֵּר אֲשֶׁר בְּקִרְבֶּךָ</w:t>
      </w:r>
      <w:r>
        <w:rPr>
          <w:rtl/>
        </w:rPr>
        <w:t xml:space="preserve"> </w:t>
      </w:r>
      <w:r>
        <w:t xml:space="preserve">ist eine Anweisung: </w:t>
      </w:r>
      <w:r>
        <w:rPr>
          <w:rStyle w:val="Fett"/>
          <w:rFonts w:eastAsiaTheme="majorEastAsia"/>
          <w:rtl/>
        </w:rPr>
        <w:t>וְשָׂמַחְתָּ בְכָל־הַטּוֹב אֲשֶׁר נָתַן־לְךָ יְהוָה אֱלֹהֶיךָ וּלְבֵיתֶךָ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שׂמח</w:t>
      </w:r>
      <w:r>
        <w:t xml:space="preserve">, Qal Perfekt, 2. Person Maskulinum Singular, „sich freuen", Präposition </w:t>
      </w:r>
      <w:r>
        <w:rPr>
          <w:rStyle w:val="Fett"/>
          <w:rFonts w:eastAsiaTheme="majorEastAsia"/>
          <w:rtl/>
        </w:rPr>
        <w:t>בְּ</w:t>
      </w:r>
      <w:r>
        <w:rPr>
          <w:rtl/>
        </w:rPr>
        <w:t xml:space="preserve"> </w:t>
      </w:r>
      <w:r>
        <w:t xml:space="preserve">mit </w:t>
      </w:r>
      <w:r>
        <w:rPr>
          <w:rStyle w:val="Fett"/>
          <w:rFonts w:eastAsiaTheme="majorEastAsia"/>
          <w:rtl/>
        </w:rPr>
        <w:t>כֹּל</w:t>
      </w:r>
      <w:r>
        <w:t xml:space="preserve">, </w:t>
      </w:r>
      <w:r>
        <w:rPr>
          <w:rStyle w:val="Fett"/>
          <w:rFonts w:eastAsiaTheme="majorEastAsia"/>
          <w:rtl/>
        </w:rPr>
        <w:t>טוֹב</w:t>
      </w:r>
      <w:r>
        <w:rPr>
          <w:rtl/>
        </w:rPr>
        <w:t xml:space="preserve"> </w:t>
      </w:r>
      <w:r>
        <w:t xml:space="preserve">mit Artikel, „das Gute", Relativsatz: </w:t>
      </w:r>
      <w:r>
        <w:rPr>
          <w:rStyle w:val="Fett"/>
          <w:rFonts w:eastAsiaTheme="majorEastAsia"/>
          <w:rtl/>
        </w:rPr>
        <w:t>אֲשֶׁר נָתַן־לְךָ יְהוָה אֱלֹהֶיךָ וּלְבֵיתֶךָ</w:t>
      </w:r>
      <w:r>
        <w:rPr>
          <w:rtl/>
        </w:rPr>
        <w:t xml:space="preserve"> </w:t>
      </w:r>
      <w:r>
        <w:t xml:space="preserve">mit </w:t>
      </w:r>
      <w:r>
        <w:rPr>
          <w:rStyle w:val="Fett"/>
          <w:rFonts w:eastAsiaTheme="majorEastAsia"/>
          <w:rtl/>
        </w:rPr>
        <w:t>נתן</w:t>
      </w:r>
      <w:r>
        <w:t xml:space="preserve">, Qal Perfekt, 3. Person Maskulinum Singular, </w:t>
      </w:r>
      <w:r>
        <w:rPr>
          <w:rStyle w:val="Fett"/>
          <w:rFonts w:eastAsiaTheme="majorEastAsia"/>
          <w:rtl/>
        </w:rPr>
        <w:t>לְךָ</w:t>
      </w:r>
      <w:r>
        <w:t xml:space="preserve">, </w:t>
      </w:r>
      <w:r>
        <w:rPr>
          <w:rStyle w:val="Fett"/>
          <w:rFonts w:eastAsiaTheme="majorEastAsia"/>
          <w:rtl/>
        </w:rPr>
        <w:t>יְהוָה אֱלֹהֶיךָ</w:t>
      </w:r>
      <w:r>
        <w:rPr>
          <w:rtl/>
        </w:rPr>
        <w:t xml:space="preserve"> </w:t>
      </w:r>
      <w:r>
        <w:t xml:space="preserve">als Subjekt, koordiniert durch </w:t>
      </w:r>
      <w:r>
        <w:rPr>
          <w:rStyle w:val="Fett"/>
          <w:rFonts w:eastAsiaTheme="majorEastAsia"/>
          <w:rtl/>
        </w:rPr>
        <w:t>וּ</w:t>
      </w:r>
      <w:r>
        <w:rPr>
          <w:rtl/>
        </w:rPr>
        <w:t xml:space="preserve"> </w:t>
      </w:r>
      <w:r>
        <w:t xml:space="preserve">mit </w:t>
      </w:r>
      <w:r>
        <w:rPr>
          <w:rStyle w:val="Fett"/>
          <w:rFonts w:eastAsiaTheme="majorEastAsia"/>
          <w:rtl/>
        </w:rPr>
        <w:t>לְבֵיתֶךָ</w:t>
      </w:r>
      <w:r>
        <w:t xml:space="preserve">, mit </w:t>
      </w:r>
      <w:r>
        <w:rPr>
          <w:rStyle w:val="Fett"/>
          <w:rFonts w:eastAsiaTheme="majorEastAsia"/>
        </w:rPr>
        <w:t>Waw</w:t>
      </w:r>
      <w:r>
        <w:t xml:space="preserve"> consecutives Perfekt), </w:t>
      </w:r>
      <w:r>
        <w:rPr>
          <w:rStyle w:val="Fett"/>
          <w:rFonts w:eastAsiaTheme="majorEastAsia"/>
          <w:rtl/>
        </w:rPr>
        <w:t>אַתָּה וְהַלֵּוִי וְהַגֵּר אֲשֶׁר בְּקִרְבֶּךָ</w:t>
      </w:r>
      <w:r>
        <w:rPr>
          <w:rtl/>
        </w:rPr>
        <w:t xml:space="preserve"> </w:t>
      </w:r>
      <w:r>
        <w:t>(</w:t>
      </w:r>
      <w:r>
        <w:rPr>
          <w:rStyle w:val="Fett"/>
          <w:rFonts w:eastAsiaTheme="majorEastAsia"/>
          <w:rtl/>
        </w:rPr>
        <w:t>אַתָּה</w:t>
      </w:r>
      <w:r>
        <w:t xml:space="preserve">, „du", koordiniert durch </w:t>
      </w:r>
      <w:r>
        <w:rPr>
          <w:rStyle w:val="Fett"/>
          <w:rFonts w:eastAsiaTheme="majorEastAsia"/>
          <w:rtl/>
        </w:rPr>
        <w:t>וְ</w:t>
      </w:r>
      <w:r>
        <w:rPr>
          <w:rtl/>
        </w:rPr>
        <w:t xml:space="preserve"> </w:t>
      </w:r>
      <w:r>
        <w:t xml:space="preserve">mit </w:t>
      </w:r>
      <w:r>
        <w:rPr>
          <w:rStyle w:val="Fett"/>
          <w:rFonts w:eastAsiaTheme="majorEastAsia"/>
          <w:rtl/>
        </w:rPr>
        <w:t>לֵוִי</w:t>
      </w:r>
      <w:r>
        <w:rPr>
          <w:rtl/>
        </w:rPr>
        <w:t xml:space="preserve"> </w:t>
      </w:r>
      <w:r>
        <w:t xml:space="preserve">mit Artikel, koordiniert durch </w:t>
      </w:r>
      <w:r>
        <w:rPr>
          <w:rStyle w:val="Fett"/>
          <w:rFonts w:eastAsiaTheme="majorEastAsia"/>
          <w:rtl/>
        </w:rPr>
        <w:t>וְ</w:t>
      </w:r>
      <w:r>
        <w:rPr>
          <w:rtl/>
        </w:rPr>
        <w:t xml:space="preserve"> </w:t>
      </w:r>
      <w:r>
        <w:t xml:space="preserve">mit </w:t>
      </w:r>
      <w:r>
        <w:rPr>
          <w:rStyle w:val="Fett"/>
          <w:rFonts w:eastAsiaTheme="majorEastAsia"/>
          <w:rtl/>
        </w:rPr>
        <w:t>גֵּר</w:t>
      </w:r>
      <w:r>
        <w:rPr>
          <w:rtl/>
        </w:rPr>
        <w:t xml:space="preserve"> </w:t>
      </w:r>
      <w:r>
        <w:t xml:space="preserve">mit Artikel, Relativsatz: </w:t>
      </w:r>
      <w:r>
        <w:rPr>
          <w:rStyle w:val="Fett"/>
          <w:rFonts w:eastAsiaTheme="majorEastAsia"/>
          <w:rtl/>
        </w:rPr>
        <w:t>אֲשֶׁר בְּקִרְבֶּךָ</w:t>
      </w:r>
      <w:r>
        <w:t>).</w:t>
      </w:r>
    </w:p>
    <w:p w14:paraId="2B27AA1E" w14:textId="77777777" w:rsidR="00166F02" w:rsidRDefault="00166F02" w:rsidP="00166F02">
      <w:pPr>
        <w:pStyle w:val="whitespace-normal"/>
      </w:pPr>
      <w:r>
        <w:t xml:space="preserve">Der Vers schließt das Erstlingsfrucht-Ritual mit dem Gebot zur Freude ab. Die Anweisung: </w:t>
      </w:r>
      <w:r>
        <w:rPr>
          <w:rStyle w:val="Fett"/>
          <w:rFonts w:eastAsiaTheme="majorEastAsia"/>
          <w:rtl/>
        </w:rPr>
        <w:t>וְשָׂמַחְתָּ בְכָל־הַטּוֹב אֲשֶׁר נָתַן־לְךָ יְהוָה אֱלֹהֶיךָ וּלְבֵיתֶךָ</w:t>
      </w:r>
      <w:r>
        <w:rPr>
          <w:rtl/>
        </w:rPr>
        <w:t xml:space="preserve"> </w:t>
      </w:r>
      <w:r>
        <w:t xml:space="preserve">(„und freuen sollst du dich über all das Gute, das JHWH, dein Gott, dir und deinem Haus gegeben hat"). Das Verb </w:t>
      </w:r>
      <w:r>
        <w:rPr>
          <w:rStyle w:val="Fett"/>
          <w:rFonts w:eastAsiaTheme="majorEastAsia"/>
          <w:rtl/>
        </w:rPr>
        <w:t>שׂמח</w:t>
      </w:r>
      <w:r>
        <w:rPr>
          <w:rtl/>
        </w:rPr>
        <w:t xml:space="preserve"> </w:t>
      </w:r>
      <w:r>
        <w:t xml:space="preserve">(„sich freuen") ist zentral im Deuteronomium für liturgische Freude (vgl. 12,7.12.18; 14,26; 16,11.14.15; 27,7). Die Formulierung </w:t>
      </w:r>
      <w:r>
        <w:rPr>
          <w:rStyle w:val="Fett"/>
          <w:rFonts w:eastAsiaTheme="majorEastAsia"/>
          <w:rtl/>
        </w:rPr>
        <w:t>בְכָל־הַטּוֹב</w:t>
      </w:r>
      <w:r>
        <w:rPr>
          <w:rtl/>
        </w:rPr>
        <w:t xml:space="preserve"> </w:t>
      </w:r>
      <w:r>
        <w:t xml:space="preserve">(„über all das Gute") ist umfassend – alle Segnungen, alle guten Gaben. Die doppelte Angabe </w:t>
      </w:r>
      <w:r>
        <w:rPr>
          <w:rStyle w:val="Fett"/>
          <w:rFonts w:eastAsiaTheme="majorEastAsia"/>
          <w:rtl/>
        </w:rPr>
        <w:t>לְךָ... וּלְבֵיתֶךָ</w:t>
      </w:r>
      <w:r>
        <w:rPr>
          <w:rtl/>
        </w:rPr>
        <w:t xml:space="preserve"> </w:t>
      </w:r>
      <w:r>
        <w:t xml:space="preserve">(„dir... und deinem Haus") betont: der Segen gilt dem Einzelnen und seiner Familie. Die Präzisierung der Teilnehmer: </w:t>
      </w:r>
      <w:r>
        <w:rPr>
          <w:rStyle w:val="Fett"/>
          <w:rFonts w:eastAsiaTheme="majorEastAsia"/>
          <w:rtl/>
        </w:rPr>
        <w:t>אַתָּה וְהַלֵּוִי וְהַגֵּר אֲשֶׁר בְּקִרְבֶּךָ</w:t>
      </w:r>
      <w:r>
        <w:rPr>
          <w:rtl/>
        </w:rPr>
        <w:t xml:space="preserve"> </w:t>
      </w:r>
      <w:r>
        <w:t xml:space="preserve">(„du und der Levit und der Fremdling, der in deiner Mitte ist"). Die Trias: (1) </w:t>
      </w:r>
      <w:r>
        <w:rPr>
          <w:rStyle w:val="Fett"/>
          <w:rFonts w:eastAsiaTheme="majorEastAsia"/>
          <w:rtl/>
        </w:rPr>
        <w:t>אַתָּה</w:t>
      </w:r>
      <w:r>
        <w:rPr>
          <w:rtl/>
        </w:rPr>
        <w:t xml:space="preserve"> </w:t>
      </w:r>
      <w:r>
        <w:t xml:space="preserve">(„du") – der Israelit selbst. (2) </w:t>
      </w:r>
      <w:r>
        <w:rPr>
          <w:rStyle w:val="Fett"/>
          <w:rFonts w:eastAsiaTheme="majorEastAsia"/>
          <w:rtl/>
        </w:rPr>
        <w:t>הַלֵּוִי</w:t>
      </w:r>
      <w:r>
        <w:rPr>
          <w:rtl/>
        </w:rPr>
        <w:t xml:space="preserve"> </w:t>
      </w:r>
      <w:r>
        <w:t xml:space="preserve">(„der Levit") – die Leviten haben keinen Landbesitz und sind auf Unterstützung angewiesen (vgl. 12,12.18.19; 14,27.29; 16,11.14; 26,11.12.13). (3) </w:t>
      </w:r>
      <w:r>
        <w:rPr>
          <w:rStyle w:val="Fett"/>
          <w:rFonts w:eastAsiaTheme="majorEastAsia"/>
          <w:rtl/>
        </w:rPr>
        <w:t>הַגֵּר אֲשֶׁר בְּקִרְבֶּךָ</w:t>
      </w:r>
      <w:r>
        <w:rPr>
          <w:rtl/>
        </w:rPr>
        <w:t xml:space="preserve"> </w:t>
      </w:r>
      <w:r>
        <w:t xml:space="preserve">(„der Fremdling, der in deiner Mitte ist") – Nicht-Israeliten, die in Israel leben (vgl. 1,16; 5,14; 10,18.19; 14,29; 16,11.14; 24,17.19.20.21; 26,11.12.13; 27,19). Das </w:t>
      </w:r>
      <w:r>
        <w:lastRenderedPageBreak/>
        <w:t xml:space="preserve">Erstlingsfrucht-Ritual endet mit inklusiver Freude – auch die Landlosen und Nicht-Israeliten sollen am Segen teilhaben. Die </w:t>
      </w:r>
      <w:r>
        <w:rPr>
          <w:rStyle w:val="Fett"/>
          <w:rFonts w:eastAsiaTheme="majorEastAsia"/>
        </w:rPr>
        <w:t>Setumah</w:t>
      </w:r>
      <w:r>
        <w:t xml:space="preserve"> (</w:t>
      </w:r>
      <w:r>
        <w:rPr>
          <w:rtl/>
        </w:rPr>
        <w:t>ס</w:t>
      </w:r>
      <w:r>
        <w:t>) markiert einen Abschnittswechsel. V. 12 beginnt den zweiten liturgischen Abschnitt: die Deklaration beim Zehnten.</w:t>
      </w:r>
    </w:p>
    <w:p w14:paraId="2BB5FAD2" w14:textId="77777777" w:rsidR="00166F02" w:rsidRDefault="00166F02" w:rsidP="00166F02">
      <w:pPr>
        <w:pStyle w:val="whitespace-normal"/>
      </w:pPr>
      <w:r>
        <w:rPr>
          <w:rStyle w:val="Fett"/>
          <w:rFonts w:eastAsiaTheme="majorEastAsia"/>
        </w:rPr>
        <w:t>Die Satzstruktur:</w:t>
      </w:r>
      <w:r>
        <w:t xml:space="preserve"> Anweisung mit Präzisierung (und freuen sollst du dich über all das Gute, das JHWH, dein Gott, dir und deinem Haus gegeben hat, du und der Levit und der Fremdling, der in deiner Mitte ist).</w:t>
      </w:r>
    </w:p>
    <w:p w14:paraId="7F640D6C" w14:textId="77777777" w:rsidR="00166F02" w:rsidRDefault="00166F02" w:rsidP="00166F02">
      <w:pPr>
        <w:pStyle w:val="whitespace-normal"/>
      </w:pPr>
      <w:r>
        <w:rPr>
          <w:rStyle w:val="Fett"/>
          <w:rFonts w:eastAsiaTheme="majorEastAsia"/>
        </w:rPr>
        <w:t>Der Vers beschreibt:</w:t>
      </w:r>
      <w:r>
        <w:t xml:space="preserve"> Abschluss mit Freude – der Israelit soll sich mit Leviten und Fremdlingen über JHWHs Segen freuen.</w:t>
      </w:r>
    </w:p>
    <w:p w14:paraId="40C6F60E" w14:textId="77777777" w:rsidR="00166F02" w:rsidRPr="00B53ACC" w:rsidRDefault="00166F02" w:rsidP="00B53ACC">
      <w:pPr>
        <w:pStyle w:val="Bibelberschrift"/>
      </w:pPr>
      <w:r w:rsidRPr="00B53ACC">
        <w:rPr>
          <w:rStyle w:val="Fett"/>
          <w:b/>
          <w:bCs w:val="0"/>
        </w:rPr>
        <w:t>Deuteronomium 26,12</w:t>
      </w:r>
    </w:p>
    <w:p w14:paraId="2BDA5DBD" w14:textId="77777777" w:rsidR="00166F02" w:rsidRDefault="00166F02" w:rsidP="00166F02">
      <w:pPr>
        <w:pStyle w:val="whitespace-normal"/>
      </w:pPr>
      <w:r>
        <w:rPr>
          <w:rStyle w:val="Fett"/>
          <w:rFonts w:eastAsiaTheme="majorEastAsia"/>
        </w:rPr>
        <w:t>Hebräisch:</w:t>
      </w:r>
      <w:r>
        <w:t xml:space="preserve"> </w:t>
      </w:r>
      <w:r>
        <w:rPr>
          <w:rtl/>
        </w:rPr>
        <w:t>כִּי תְכַלֶּה לַעְשֵׂר אֶת־כָּל־מַעְשַׂר תְּבוּאָתְךָ בַּשָּׁנָה הַשְּׁלִישִׁת שְׁנַת הַֽמַּעֲשֵׂר וְנָתַתָּה לַלֵּוִי לַגֵּר לַיָּתוֹם וְלָֽאַלְמָנָה וְאָכְלוּ בִשְׁעָרֶיךָ וְשָׂבֵֽעוּ׃</w:t>
      </w:r>
    </w:p>
    <w:p w14:paraId="734AEFA7" w14:textId="77777777" w:rsidR="00166F02" w:rsidRDefault="00166F02" w:rsidP="00166F02">
      <w:pPr>
        <w:pStyle w:val="whitespace-normal"/>
      </w:pPr>
      <w:r>
        <w:rPr>
          <w:rStyle w:val="Fett"/>
          <w:rFonts w:eastAsiaTheme="majorEastAsia"/>
        </w:rPr>
        <w:t>Deutsch:</w:t>
      </w:r>
      <w:r>
        <w:t xml:space="preserve"> Wenn du den ganzen Zehnten deines Ertrages vollständig entrichtet hast im dritten Jahr, dem Jahr des Zehnten, und ihn dem Leviten, dem Fremdling, der Waise und der Witwe gegeben hast, damit sie in deinen Toren essen und satt werden,</w:t>
      </w:r>
    </w:p>
    <w:p w14:paraId="1CD8CB43" w14:textId="77777777" w:rsidR="00166F02" w:rsidRDefault="004F5CEB" w:rsidP="00166F02">
      <w:r>
        <w:rPr>
          <w:noProof/>
        </w:rPr>
        <w:pict w14:anchorId="5CAF0105">
          <v:rect id="_x0000_i1704" style="width:0;height:1.5pt" o:hralign="center" o:hrstd="t" o:hr="t" fillcolor="#a0a0a0" stroked="f"/>
        </w:pict>
      </w:r>
    </w:p>
    <w:p w14:paraId="43FA8AE7" w14:textId="77777777" w:rsidR="00166F02" w:rsidRDefault="00166F02" w:rsidP="00166F02">
      <w:pPr>
        <w:pStyle w:val="whitespace-normal"/>
      </w:pPr>
      <w:r>
        <w:rPr>
          <w:rStyle w:val="Fett"/>
          <w:rFonts w:eastAsiaTheme="majorEastAsia"/>
        </w:rPr>
        <w:t>Kommentar:</w:t>
      </w:r>
      <w:r>
        <w:t xml:space="preserve"> </w:t>
      </w:r>
      <w:r>
        <w:rPr>
          <w:rStyle w:val="Fett"/>
          <w:rFonts w:eastAsiaTheme="majorEastAsia"/>
          <w:rtl/>
        </w:rPr>
        <w:t>כִּי תְכַלֶּה לַעְשֵׂר אֶת־כָּל־מַעְשַׂר תְּבוּאָתְךָ בַּשָּׁנָה הַשְּׁלִישִׁת שְׁנַת הַמַּעֲשֵׂר וְנָתַתָּה לַלֵּוִי לַגֵּר לַיָּתוֹם וְלָאַלְמָנָה וְאָכְלוּ בִשְׁעָרֶיךָ וְשָׂבֵעוּ</w:t>
      </w:r>
      <w:r>
        <w:rPr>
          <w:rtl/>
        </w:rPr>
        <w:t xml:space="preserve"> </w:t>
      </w:r>
      <w:r>
        <w:t xml:space="preserve">ist eine Bedingung mit drei Anweisungen: </w:t>
      </w:r>
      <w:r>
        <w:rPr>
          <w:rStyle w:val="Fett"/>
          <w:rFonts w:eastAsiaTheme="majorEastAsia"/>
          <w:rtl/>
        </w:rPr>
        <w:t>כִּי תְכַלֶּה לַעְשֵׂר אֶת־כָּל־מַעְשַׂר תְּבוּאָתְךָ בַּשָּׁנָה הַשְּׁלִישִׁת שְׁנַת הַמַּעֲשֵׂר</w:t>
      </w:r>
      <w:r>
        <w:rPr>
          <w:rtl/>
        </w:rPr>
        <w:t xml:space="preserve"> </w:t>
      </w:r>
      <w:r>
        <w:t>(</w:t>
      </w:r>
      <w:r>
        <w:rPr>
          <w:rStyle w:val="Fett"/>
          <w:rFonts w:eastAsiaTheme="majorEastAsia"/>
          <w:rtl/>
        </w:rPr>
        <w:t>כִּי</w:t>
      </w:r>
      <w:r>
        <w:rPr>
          <w:rtl/>
        </w:rPr>
        <w:t xml:space="preserve"> </w:t>
      </w:r>
      <w:r>
        <w:t xml:space="preserve">mit </w:t>
      </w:r>
      <w:r>
        <w:rPr>
          <w:rStyle w:val="Fett"/>
          <w:rFonts w:eastAsiaTheme="majorEastAsia"/>
          <w:rtl/>
        </w:rPr>
        <w:t>כלה</w:t>
      </w:r>
      <w:r>
        <w:t xml:space="preserve">, Piel Imperfekt, 2. Person Maskulinum Singular, „vollenden, beenden, zu Ende bringen", Präposition </w:t>
      </w:r>
      <w:r>
        <w:rPr>
          <w:rStyle w:val="Fett"/>
          <w:rFonts w:eastAsiaTheme="majorEastAsia"/>
          <w:rtl/>
        </w:rPr>
        <w:t>לְ</w:t>
      </w:r>
      <w:r>
        <w:rPr>
          <w:rtl/>
        </w:rPr>
        <w:t xml:space="preserve"> </w:t>
      </w:r>
      <w:r>
        <w:t xml:space="preserve">mit Piel Infinitiv Construct von </w:t>
      </w:r>
      <w:r>
        <w:rPr>
          <w:rStyle w:val="Fett"/>
          <w:rFonts w:eastAsiaTheme="majorEastAsia"/>
          <w:rtl/>
        </w:rPr>
        <w:t>עשׂר</w:t>
      </w:r>
      <w:r>
        <w:t xml:space="preserve">, „verzehnten, den Zehnten geben", Objektpartikel </w:t>
      </w:r>
      <w:r>
        <w:rPr>
          <w:rStyle w:val="Fett"/>
          <w:rFonts w:eastAsiaTheme="majorEastAsia"/>
          <w:rtl/>
        </w:rPr>
        <w:t>אֵת</w:t>
      </w:r>
      <w:r>
        <w:rPr>
          <w:rtl/>
        </w:rPr>
        <w:t xml:space="preserve"> </w:t>
      </w:r>
      <w:r>
        <w:t xml:space="preserve">mit </w:t>
      </w:r>
      <w:r>
        <w:rPr>
          <w:rStyle w:val="Fett"/>
          <w:rFonts w:eastAsiaTheme="majorEastAsia"/>
          <w:rtl/>
        </w:rPr>
        <w:t>כֹּל</w:t>
      </w:r>
      <w:r>
        <w:t xml:space="preserve">, </w:t>
      </w:r>
      <w:r>
        <w:rPr>
          <w:rStyle w:val="Fett"/>
          <w:rFonts w:eastAsiaTheme="majorEastAsia"/>
          <w:rtl/>
        </w:rPr>
        <w:t>מַעֲשֵׂר</w:t>
      </w:r>
      <w:r>
        <w:t xml:space="preserve">, „Zehnt, Zehnter", Construct mit </w:t>
      </w:r>
      <w:r>
        <w:rPr>
          <w:rStyle w:val="Fett"/>
          <w:rFonts w:eastAsiaTheme="majorEastAsia"/>
          <w:rtl/>
        </w:rPr>
        <w:t>תְּבוּאָה</w:t>
      </w:r>
      <w:r>
        <w:t xml:space="preserve">, „Ertrag, Ernte", mit Suffix 2. Person Maskulinum Singular, </w:t>
      </w:r>
      <w:r>
        <w:rPr>
          <w:rStyle w:val="Fett"/>
          <w:rFonts w:eastAsiaTheme="majorEastAsia"/>
          <w:rtl/>
        </w:rPr>
        <w:t>בַּשָּׁנָה הַשְּׁלִישִׁת</w:t>
      </w:r>
      <w:r>
        <w:t xml:space="preserve">, „im dritten Jahr", Apposition: </w:t>
      </w:r>
      <w:r>
        <w:rPr>
          <w:rStyle w:val="Fett"/>
          <w:rFonts w:eastAsiaTheme="majorEastAsia"/>
          <w:rtl/>
        </w:rPr>
        <w:t>שְׁנַת הַמַּעֲשֵׂר</w:t>
      </w:r>
      <w:r>
        <w:t xml:space="preserve">, „Jahr des Zehnten"), </w:t>
      </w:r>
      <w:r>
        <w:rPr>
          <w:rStyle w:val="Fett"/>
          <w:rFonts w:eastAsiaTheme="majorEastAsia"/>
          <w:rtl/>
        </w:rPr>
        <w:t>וְנָתַתָּה לַלֵּוִי לַגֵּר לַיָּתוֹם וְלָאַלְמָנָה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נתן</w:t>
      </w:r>
      <w:r>
        <w:t xml:space="preserve">, Qal Perfekt, 2. Person Maskulinum Singular, </w:t>
      </w:r>
      <w:r>
        <w:rPr>
          <w:rStyle w:val="Fett"/>
          <w:rFonts w:eastAsiaTheme="majorEastAsia"/>
          <w:rtl/>
        </w:rPr>
        <w:t>לַלֵּוִי לַגֵּר לַיָּתוֹם וְלָאַלְמָנָה</w:t>
      </w:r>
      <w:r>
        <w:t xml:space="preserve">, mit </w:t>
      </w:r>
      <w:r>
        <w:rPr>
          <w:rStyle w:val="Fett"/>
          <w:rFonts w:eastAsiaTheme="majorEastAsia"/>
        </w:rPr>
        <w:t>Waw</w:t>
      </w:r>
      <w:r>
        <w:t xml:space="preserve"> consecutives Perfekt), </w:t>
      </w:r>
      <w:r>
        <w:rPr>
          <w:rStyle w:val="Fett"/>
          <w:rFonts w:eastAsiaTheme="majorEastAsia"/>
          <w:rtl/>
        </w:rPr>
        <w:t>וְאָכְלוּ בִשְׁעָרֶיךָ וְשָׂבֵעוּ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אכל</w:t>
      </w:r>
      <w:r>
        <w:t xml:space="preserve">, Qal Perfekt, 3. Person Plural, </w:t>
      </w:r>
      <w:r>
        <w:rPr>
          <w:rStyle w:val="Fett"/>
          <w:rFonts w:eastAsiaTheme="majorEastAsia"/>
          <w:rtl/>
        </w:rPr>
        <w:t>בִשְׁעָרֶיךָ</w:t>
      </w:r>
      <w:r>
        <w:t xml:space="preserve">, koordiniert durch </w:t>
      </w:r>
      <w:r>
        <w:rPr>
          <w:rStyle w:val="Fett"/>
          <w:rFonts w:eastAsiaTheme="majorEastAsia"/>
          <w:rtl/>
        </w:rPr>
        <w:t>וְ</w:t>
      </w:r>
      <w:r>
        <w:rPr>
          <w:rtl/>
        </w:rPr>
        <w:t xml:space="preserve"> </w:t>
      </w:r>
      <w:r>
        <w:t xml:space="preserve">mit </w:t>
      </w:r>
      <w:r>
        <w:rPr>
          <w:rStyle w:val="Fett"/>
          <w:rFonts w:eastAsiaTheme="majorEastAsia"/>
          <w:rtl/>
        </w:rPr>
        <w:t>שׂבע</w:t>
      </w:r>
      <w:r>
        <w:t xml:space="preserve">, Qal Perfekt, 3. Person Plural, „satt werden", mit </w:t>
      </w:r>
      <w:r>
        <w:rPr>
          <w:rStyle w:val="Fett"/>
          <w:rFonts w:eastAsiaTheme="majorEastAsia"/>
        </w:rPr>
        <w:t>Waw</w:t>
      </w:r>
      <w:r>
        <w:t xml:space="preserve"> consecutives Perfekt).</w:t>
      </w:r>
    </w:p>
    <w:p w14:paraId="2977BE64" w14:textId="77777777" w:rsidR="001A04EF" w:rsidRDefault="00166F02" w:rsidP="00166F02">
      <w:pPr>
        <w:pStyle w:val="whitespace-normal"/>
      </w:pPr>
      <w:r>
        <w:t xml:space="preserve">Der Vers leitet den zweiten liturgischen Abschnitt ein: die Deklaration beim Zehnten. Die Bedingung: </w:t>
      </w:r>
      <w:r>
        <w:rPr>
          <w:rStyle w:val="Fett"/>
          <w:rFonts w:eastAsiaTheme="majorEastAsia"/>
          <w:rtl/>
        </w:rPr>
        <w:t>כִּי תְכַלֶּה לַעְשֵׂר אֶת־כָּל־מַעְשַׂר תְּבוּאָתְךָ בַּשָּׁנָה הַשְּׁלִישִׁת שְׁנַת הַמַּעֲשֵׂר</w:t>
      </w:r>
      <w:r>
        <w:rPr>
          <w:rtl/>
        </w:rPr>
        <w:t xml:space="preserve"> </w:t>
      </w:r>
      <w:r>
        <w:t xml:space="preserve">(„wenn du vollendet hast zu verzehnten den ganzen Zehnten deines Ertrages im dritten Jahr, dem Jahr des Zehnten"). Das Verb </w:t>
      </w:r>
      <w:r>
        <w:rPr>
          <w:rStyle w:val="Fett"/>
          <w:rFonts w:eastAsiaTheme="majorEastAsia"/>
          <w:rtl/>
        </w:rPr>
        <w:t>כלה</w:t>
      </w:r>
      <w:r>
        <w:rPr>
          <w:rtl/>
        </w:rPr>
        <w:t xml:space="preserve"> </w:t>
      </w:r>
      <w:r>
        <w:t xml:space="preserve">im Piel („vollenden, zu Ende bringen") betont die Vollständigkeit. Der Infinitiv </w:t>
      </w:r>
      <w:r>
        <w:rPr>
          <w:rStyle w:val="Fett"/>
          <w:rFonts w:eastAsiaTheme="majorEastAsia"/>
          <w:rtl/>
        </w:rPr>
        <w:t>לַעְשֵׂר</w:t>
      </w:r>
      <w:r>
        <w:rPr>
          <w:rtl/>
        </w:rPr>
        <w:t xml:space="preserve"> </w:t>
      </w:r>
      <w:r>
        <w:t xml:space="preserve">ist ein Piel Denominativ von </w:t>
      </w:r>
      <w:r>
        <w:rPr>
          <w:rStyle w:val="Fett"/>
          <w:rFonts w:eastAsiaTheme="majorEastAsia"/>
          <w:rtl/>
        </w:rPr>
        <w:t>עֶשֶׂר</w:t>
      </w:r>
      <w:r>
        <w:rPr>
          <w:rtl/>
        </w:rPr>
        <w:t xml:space="preserve"> </w:t>
      </w:r>
      <w:r>
        <w:t xml:space="preserve">(„zehn") → „verzehnten, den Zehnten geben". Die Formulierung </w:t>
      </w:r>
      <w:r>
        <w:rPr>
          <w:rStyle w:val="Fett"/>
          <w:rFonts w:eastAsiaTheme="majorEastAsia"/>
          <w:rtl/>
        </w:rPr>
        <w:t>כָּל־מַעְשַׂר תְּבוּאָתְךָ</w:t>
      </w:r>
      <w:r>
        <w:rPr>
          <w:rtl/>
        </w:rPr>
        <w:t xml:space="preserve"> </w:t>
      </w:r>
      <w:r>
        <w:t xml:space="preserve">(„den ganzen Zehnten deines Ertrages") – alle Zehntabgaben. Die Zeitangabe </w:t>
      </w:r>
      <w:r>
        <w:rPr>
          <w:rStyle w:val="Fett"/>
          <w:rFonts w:eastAsiaTheme="majorEastAsia"/>
          <w:rtl/>
        </w:rPr>
        <w:t>בַּשָּׁנָה הַשְּׁלִישִׁת</w:t>
      </w:r>
      <w:r>
        <w:rPr>
          <w:rtl/>
        </w:rPr>
        <w:t xml:space="preserve"> </w:t>
      </w:r>
      <w:r>
        <w:t xml:space="preserve">(„im dritten Jahr") bezieht sich auf das dritte Jahr eines siebenjährigen Zyklus (vgl. 14,28-29). Die Apposition </w:t>
      </w:r>
      <w:r>
        <w:rPr>
          <w:rStyle w:val="Fett"/>
          <w:rFonts w:eastAsiaTheme="majorEastAsia"/>
          <w:rtl/>
        </w:rPr>
        <w:t>שְׁנַת הַמַּעֲשֵׂר</w:t>
      </w:r>
      <w:r>
        <w:rPr>
          <w:rtl/>
        </w:rPr>
        <w:t xml:space="preserve"> </w:t>
      </w:r>
      <w:r>
        <w:t xml:space="preserve">(„Jahr des Zehnten") präzisiert: das Jahr, in dem der Zehnt für die Armen gegeben wird. Zum Zehntensystem im Deuteronomium: (1) 14,22-27: jährlicher Zehnt, zum Zentralheiligtum gebracht und dort mit Freude verzehrt. (2) 14,28-29: im dritten Jahr wird der Zehnt lokal gelagert für Leviten, Fremdlinge, Waisen und Witwen. (3) Hier in 26,12-15: Deklaration beim Armenzehnt des dritten Jahres. </w:t>
      </w:r>
    </w:p>
    <w:p w14:paraId="4E358FAE" w14:textId="77777777" w:rsidR="001A04EF" w:rsidRDefault="00166F02" w:rsidP="00166F02">
      <w:pPr>
        <w:pStyle w:val="whitespace-normal"/>
      </w:pPr>
      <w:r>
        <w:lastRenderedPageBreak/>
        <w:t xml:space="preserve">Die erste Anweisung: </w:t>
      </w:r>
      <w:r>
        <w:rPr>
          <w:rStyle w:val="Fett"/>
          <w:rFonts w:eastAsiaTheme="majorEastAsia"/>
          <w:rtl/>
        </w:rPr>
        <w:t>וְנָתַתָּה לַלֵּוִי לַגֵּר לַיָּתוֹם וְלָאַלְמָנָה</w:t>
      </w:r>
      <w:r>
        <w:rPr>
          <w:rtl/>
        </w:rPr>
        <w:t xml:space="preserve"> </w:t>
      </w:r>
      <w:r>
        <w:t xml:space="preserve">(„und du gibst dem Leviten, dem Fremdling, der Waise und der Witwe"). Die Vierergruppe der Bedürftigen: </w:t>
      </w:r>
      <w:r>
        <w:rPr>
          <w:rStyle w:val="Fett"/>
          <w:rFonts w:eastAsiaTheme="majorEastAsia"/>
          <w:rtl/>
        </w:rPr>
        <w:t>לֵוִי גֵּר יָתוֹם אַלְמָנָה</w:t>
      </w:r>
      <w:r>
        <w:rPr>
          <w:rtl/>
        </w:rPr>
        <w:t xml:space="preserve"> </w:t>
      </w:r>
      <w:r>
        <w:t xml:space="preserve">(vgl. 14,29; 16,11.14; 24,19.20.21). </w:t>
      </w:r>
    </w:p>
    <w:p w14:paraId="7DAF9748" w14:textId="71CFDBF1" w:rsidR="00166F02" w:rsidRDefault="00166F02" w:rsidP="00166F02">
      <w:pPr>
        <w:pStyle w:val="whitespace-normal"/>
      </w:pPr>
      <w:r>
        <w:t xml:space="preserve">Die zweite Anweisung (Zweck): </w:t>
      </w:r>
      <w:r>
        <w:rPr>
          <w:rStyle w:val="Fett"/>
          <w:rFonts w:eastAsiaTheme="majorEastAsia"/>
          <w:rtl/>
        </w:rPr>
        <w:t>וְאָכְלוּ בִשְׁעָרֶיךָ וְשָׂבֵעוּ</w:t>
      </w:r>
      <w:r>
        <w:rPr>
          <w:rtl/>
        </w:rPr>
        <w:t xml:space="preserve"> </w:t>
      </w:r>
      <w:r>
        <w:t xml:space="preserve">(„und sie essen in deinen Toren und werden satt"). Die Formulierung </w:t>
      </w:r>
      <w:r>
        <w:rPr>
          <w:rStyle w:val="Fett"/>
          <w:rFonts w:eastAsiaTheme="majorEastAsia"/>
          <w:rtl/>
        </w:rPr>
        <w:t>בִשְׁעָרֶיךָ</w:t>
      </w:r>
      <w:r>
        <w:rPr>
          <w:rtl/>
        </w:rPr>
        <w:t xml:space="preserve"> </w:t>
      </w:r>
      <w:r>
        <w:t xml:space="preserve">(„in deinen Toren") bedeutet: in deiner Stadt, lokal (nicht am Zentralheiligtum, im Gegensatz zu 14,23). Das Verb </w:t>
      </w:r>
      <w:r>
        <w:rPr>
          <w:rStyle w:val="Fett"/>
          <w:rFonts w:eastAsiaTheme="majorEastAsia"/>
          <w:rtl/>
        </w:rPr>
        <w:t>שׂבע</w:t>
      </w:r>
      <w:r>
        <w:rPr>
          <w:rtl/>
        </w:rPr>
        <w:t xml:space="preserve"> </w:t>
      </w:r>
      <w:r>
        <w:t>(„satt werden") betont: ausreichende Versorgung, nicht nur symbolische Geste. V. 13 wird die Deklarationsformel geben.</w:t>
      </w:r>
    </w:p>
    <w:p w14:paraId="51F8AA57" w14:textId="5A2EA1A8" w:rsidR="001A04EF" w:rsidRDefault="001A04EF" w:rsidP="00166F02">
      <w:pPr>
        <w:pStyle w:val="whitespace-normal"/>
      </w:pPr>
      <w:r>
        <w:rPr>
          <w:rStyle w:val="Fett"/>
        </w:rPr>
        <w:t>Die LXX</w:t>
      </w:r>
      <w:r>
        <w:t xml:space="preserve"> übersetzt </w:t>
      </w:r>
      <w:r>
        <w:rPr>
          <w:rtl/>
        </w:rPr>
        <w:t>שְׁנַת הַמַּעֲשֵׂר</w:t>
      </w:r>
      <w:r>
        <w:t xml:space="preserve"> (das Jahr des Zehnten) mit </w:t>
      </w:r>
      <w:proofErr w:type="spellStart"/>
      <w:r>
        <w:t>τὸ</w:t>
      </w:r>
      <w:proofErr w:type="spellEnd"/>
      <w:r>
        <w:t xml:space="preserve"> </w:t>
      </w:r>
      <w:proofErr w:type="spellStart"/>
      <w:r>
        <w:t>δεύτερον</w:t>
      </w:r>
      <w:proofErr w:type="spellEnd"/>
      <w:r>
        <w:t xml:space="preserve"> ἐπ</w:t>
      </w:r>
      <w:proofErr w:type="spellStart"/>
      <w:r>
        <w:t>ιδέκ</w:t>
      </w:r>
      <w:proofErr w:type="spellEnd"/>
      <w:r>
        <w:t>ατον (der zweite Zehnte) – eine interpretierende Übersetzung, die den Zehnten des dritten Jahres als "zweiten Zehnten" identifiziert.</w:t>
      </w:r>
    </w:p>
    <w:p w14:paraId="544B9D6A" w14:textId="77777777" w:rsidR="00166F02" w:rsidRDefault="00166F02" w:rsidP="00166F02">
      <w:pPr>
        <w:pStyle w:val="whitespace-normal"/>
      </w:pPr>
      <w:r>
        <w:rPr>
          <w:rStyle w:val="Fett"/>
          <w:rFonts w:eastAsiaTheme="majorEastAsia"/>
        </w:rPr>
        <w:t>Die Satzstruktur:</w:t>
      </w:r>
      <w:r>
        <w:t xml:space="preserve"> Bedingung mit zwei Anweisungen (wenn du vollendet hast zu verzehnten den ganzen Zehnten deines Ertrages im dritten Jahr, dem Jahr des Zehnten, und du gibst dem Leviten, dem Fremdling, der Waise und der Witwe, und sie essen in deinen Toren und werden satt).</w:t>
      </w:r>
    </w:p>
    <w:p w14:paraId="73E2D9E0" w14:textId="77777777" w:rsidR="00166F02" w:rsidRDefault="00166F02" w:rsidP="00166F02">
      <w:pPr>
        <w:pStyle w:val="whitespace-normal"/>
      </w:pPr>
      <w:r>
        <w:rPr>
          <w:rStyle w:val="Fett"/>
          <w:rFonts w:eastAsiaTheme="majorEastAsia"/>
        </w:rPr>
        <w:t>Der Vers beschreibt:</w:t>
      </w:r>
      <w:r>
        <w:t xml:space="preserve"> Bedingung für die Deklaration – wenn der Armenzehnt des dritten Jahres vollständig gegeben wurde, sodass die Bedürftigen satt wurden.</w:t>
      </w:r>
    </w:p>
    <w:p w14:paraId="6007F853" w14:textId="77777777" w:rsidR="00A709A3" w:rsidRPr="00B53ACC" w:rsidRDefault="00A709A3" w:rsidP="00B53ACC">
      <w:pPr>
        <w:pStyle w:val="Bibelberschrift"/>
      </w:pPr>
      <w:r w:rsidRPr="00B53ACC">
        <w:rPr>
          <w:rStyle w:val="Fett"/>
          <w:b/>
          <w:bCs w:val="0"/>
        </w:rPr>
        <w:t>Deuteronomium 26,13</w:t>
      </w:r>
    </w:p>
    <w:p w14:paraId="2CCE6ECE" w14:textId="77777777" w:rsidR="00A709A3" w:rsidRDefault="00A709A3" w:rsidP="00A709A3">
      <w:pPr>
        <w:pStyle w:val="whitespace-normal"/>
      </w:pPr>
      <w:r>
        <w:rPr>
          <w:rStyle w:val="Fett"/>
          <w:rFonts w:eastAsiaTheme="majorEastAsia"/>
        </w:rPr>
        <w:t>Hebräisch:</w:t>
      </w:r>
      <w:r>
        <w:t xml:space="preserve"> </w:t>
      </w:r>
      <w:r>
        <w:rPr>
          <w:rtl/>
        </w:rPr>
        <w:t>וְאָמַרְתָּ לִפְנֵי יְהוָה אֱלֹהֶיךָ בִּעַרְתִּי הַקֹּדֶשׁ מִן־הַבַּיִת וְגַם נְתַתִּיו לַלֵּוִי וְלַגֵּר לַיָּתוֹם וְלָאַלְמָנָה כְּכָל־מִצְוָתְךָ אֲשֶׁר צִוִּיתָנִי לֹֽא־עָבַרְתִּי מִמִּצְוֹתֶיךָ וְלֹא שָׁכָֽחְתִּי׃</w:t>
      </w:r>
    </w:p>
    <w:p w14:paraId="067DA8D6" w14:textId="77777777" w:rsidR="00A709A3" w:rsidRDefault="00A709A3" w:rsidP="00A709A3">
      <w:pPr>
        <w:pStyle w:val="whitespace-normal"/>
      </w:pPr>
      <w:r>
        <w:rPr>
          <w:rStyle w:val="Fett"/>
          <w:rFonts w:eastAsiaTheme="majorEastAsia"/>
        </w:rPr>
        <w:t>Deutsch:</w:t>
      </w:r>
      <w:r>
        <w:t xml:space="preserve"> So sollst du sprechen vor JHWH, deinem Gott: Ich habe das Heilige aus dem Haus weggeschafft und habe es auch dem Leviten und dem Fremdling, der Waise und der Witwe gegeben, nach deinem ganzen Gebot, das du mir geboten hast; ich habe deine Gebote nicht übertreten und nicht vergessen.</w:t>
      </w:r>
    </w:p>
    <w:p w14:paraId="1DC2BE9C" w14:textId="77777777" w:rsidR="00A709A3" w:rsidRDefault="004F5CEB" w:rsidP="00A709A3">
      <w:r>
        <w:rPr>
          <w:noProof/>
        </w:rPr>
        <w:pict w14:anchorId="5C8FE1A2">
          <v:rect id="_x0000_i1705" style="width:0;height:1.5pt" o:hralign="center" o:hrstd="t" o:hr="t" fillcolor="#a0a0a0" stroked="f"/>
        </w:pict>
      </w:r>
    </w:p>
    <w:p w14:paraId="5317283C"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וְאָמַרְתָּ לִפְנֵי יְהוָה אֱלֹהֶיךָ בִּעַרְתִּי הַקֹּדֶשׁ מִן־הַבַּיִת וְגַם נְתַתִּיו לַלֵּוִי וְלַגֵּר לַיָּתוֹם וְלָאַלְמָנָה כְּכָל־מִצְוָתְךָ אֲשֶׁר צִוִּיתָנִי לֹא־עָבַרְתִּי מִמִּצְוֹתֶיךָ וְלֹא שָׁכָחְתִּי</w:t>
      </w:r>
      <w:r>
        <w:rPr>
          <w:rtl/>
        </w:rPr>
        <w:t xml:space="preserve"> </w:t>
      </w:r>
      <w:r>
        <w:t xml:space="preserve">ist eine Anweisung mit direkter Rede (dreifache Erklärung): </w:t>
      </w:r>
      <w:r>
        <w:rPr>
          <w:rStyle w:val="Fett"/>
          <w:rFonts w:eastAsiaTheme="majorEastAsia"/>
          <w:rtl/>
        </w:rPr>
        <w:t>וְאָמַרְתָּ לִפְנֵי יְהוָה אֱלֹהֶיךָ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אמר</w:t>
      </w:r>
      <w:r>
        <w:t xml:space="preserve">, Qal Perfekt, 2. Person Maskulinum Singular, </w:t>
      </w:r>
      <w:r>
        <w:rPr>
          <w:rStyle w:val="Fett"/>
          <w:rFonts w:eastAsiaTheme="majorEastAsia"/>
          <w:rtl/>
        </w:rPr>
        <w:t>לִפְנֵי יְהוָה אֱלֹהֶיךָ</w:t>
      </w:r>
      <w:r>
        <w:t xml:space="preserve">, mit </w:t>
      </w:r>
      <w:r>
        <w:rPr>
          <w:rStyle w:val="Fett"/>
          <w:rFonts w:eastAsiaTheme="majorEastAsia"/>
        </w:rPr>
        <w:t>Waw</w:t>
      </w:r>
      <w:r>
        <w:t xml:space="preserve"> consecutives Perfekt), </w:t>
      </w:r>
      <w:r>
        <w:rPr>
          <w:rStyle w:val="Fett"/>
          <w:rFonts w:eastAsiaTheme="majorEastAsia"/>
          <w:rtl/>
        </w:rPr>
        <w:t>בִּעַרְתִּי הַקֹּדֶשׁ מִן־הַבַּיִת</w:t>
      </w:r>
      <w:r>
        <w:rPr>
          <w:rtl/>
        </w:rPr>
        <w:t xml:space="preserve"> </w:t>
      </w:r>
      <w:r>
        <w:t xml:space="preserve">(direkte Rede: </w:t>
      </w:r>
      <w:r>
        <w:rPr>
          <w:rStyle w:val="Fett"/>
          <w:rFonts w:eastAsiaTheme="majorEastAsia"/>
          <w:rtl/>
        </w:rPr>
        <w:t>בער</w:t>
      </w:r>
      <w:r>
        <w:t xml:space="preserve">, Piel Perfekt, 1. Person Singular, „wegschaffen, beseitigen, ausrotten", </w:t>
      </w:r>
      <w:r>
        <w:rPr>
          <w:rStyle w:val="Fett"/>
          <w:rFonts w:eastAsiaTheme="majorEastAsia"/>
          <w:rtl/>
        </w:rPr>
        <w:t>קֹדֶשׁ</w:t>
      </w:r>
      <w:r>
        <w:rPr>
          <w:rtl/>
        </w:rPr>
        <w:t xml:space="preserve"> </w:t>
      </w:r>
      <w:r>
        <w:t xml:space="preserve">mit Artikel, „das Heilige", Präposition </w:t>
      </w:r>
      <w:r>
        <w:rPr>
          <w:rStyle w:val="Fett"/>
          <w:rFonts w:eastAsiaTheme="majorEastAsia"/>
          <w:rtl/>
        </w:rPr>
        <w:t>מִן</w:t>
      </w:r>
      <w:r>
        <w:rPr>
          <w:rtl/>
        </w:rPr>
        <w:t xml:space="preserve"> </w:t>
      </w:r>
      <w:r>
        <w:t xml:space="preserve">mit </w:t>
      </w:r>
      <w:r>
        <w:rPr>
          <w:rStyle w:val="Fett"/>
          <w:rFonts w:eastAsiaTheme="majorEastAsia"/>
          <w:rtl/>
        </w:rPr>
        <w:t>בַּיִת</w:t>
      </w:r>
      <w:r>
        <w:rPr>
          <w:rtl/>
        </w:rPr>
        <w:t xml:space="preserve"> </w:t>
      </w:r>
      <w:r>
        <w:t xml:space="preserve">mit Artikel), </w:t>
      </w:r>
      <w:r>
        <w:rPr>
          <w:rStyle w:val="Fett"/>
          <w:rFonts w:eastAsiaTheme="majorEastAsia"/>
          <w:rtl/>
        </w:rPr>
        <w:t>וְגַם נְתַתִּיו לַלֵּוִי וְלַגֵּר לַיָּתוֹם וְלָאַלְמָנָה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גַּם</w:t>
      </w:r>
      <w:r>
        <w:t xml:space="preserve">, „auch", </w:t>
      </w:r>
      <w:r>
        <w:rPr>
          <w:rStyle w:val="Fett"/>
          <w:rFonts w:eastAsiaTheme="majorEastAsia"/>
          <w:rtl/>
        </w:rPr>
        <w:t>נתן</w:t>
      </w:r>
      <w:r>
        <w:t xml:space="preserve">, Qal Perfekt, 1. Person Singular, mit Suffix 3. Person Maskulinum Singular, </w:t>
      </w:r>
      <w:r>
        <w:rPr>
          <w:rStyle w:val="Fett"/>
          <w:rFonts w:eastAsiaTheme="majorEastAsia"/>
          <w:rtl/>
        </w:rPr>
        <w:t>לַלֵּוִי וְלַגֵּר לַיָּתוֹם וְלָאַלְמָנָה</w:t>
      </w:r>
      <w:r>
        <w:t xml:space="preserve">), </w:t>
      </w:r>
      <w:r>
        <w:rPr>
          <w:rStyle w:val="Fett"/>
          <w:rFonts w:eastAsiaTheme="majorEastAsia"/>
          <w:rtl/>
        </w:rPr>
        <w:t>כְּכָל־מִצְוָתְךָ אֲשֶׁר צִוִּיתָנִי</w:t>
      </w:r>
      <w:r>
        <w:rPr>
          <w:rtl/>
        </w:rPr>
        <w:t xml:space="preserve"> </w:t>
      </w:r>
      <w:r>
        <w:t xml:space="preserve">(Präposition </w:t>
      </w:r>
      <w:r>
        <w:rPr>
          <w:rStyle w:val="Fett"/>
          <w:rFonts w:eastAsiaTheme="majorEastAsia"/>
          <w:rtl/>
        </w:rPr>
        <w:t>כְּ</w:t>
      </w:r>
      <w:r>
        <w:rPr>
          <w:rtl/>
        </w:rPr>
        <w:t xml:space="preserve"> </w:t>
      </w:r>
      <w:r>
        <w:t xml:space="preserve">mit </w:t>
      </w:r>
      <w:r>
        <w:rPr>
          <w:rStyle w:val="Fett"/>
          <w:rFonts w:eastAsiaTheme="majorEastAsia"/>
          <w:rtl/>
        </w:rPr>
        <w:t>כֹּל</w:t>
      </w:r>
      <w:r>
        <w:t xml:space="preserve">, </w:t>
      </w:r>
      <w:r>
        <w:rPr>
          <w:rStyle w:val="Fett"/>
          <w:rFonts w:eastAsiaTheme="majorEastAsia"/>
          <w:rtl/>
        </w:rPr>
        <w:t>מִצְוָה</w:t>
      </w:r>
      <w:r>
        <w:t xml:space="preserve">, „Gebot", mit Suffix 2. Person Maskulinum Singular, Relativsatz: </w:t>
      </w:r>
      <w:r>
        <w:rPr>
          <w:rStyle w:val="Fett"/>
          <w:rFonts w:eastAsiaTheme="majorEastAsia"/>
          <w:rtl/>
        </w:rPr>
        <w:t>אֲשֶׁר צִוִּיתָנִי</w:t>
      </w:r>
      <w:r>
        <w:rPr>
          <w:rtl/>
        </w:rPr>
        <w:t xml:space="preserve"> </w:t>
      </w:r>
      <w:r>
        <w:t xml:space="preserve">mit </w:t>
      </w:r>
      <w:r>
        <w:rPr>
          <w:rStyle w:val="Fett"/>
          <w:rFonts w:eastAsiaTheme="majorEastAsia"/>
          <w:rtl/>
        </w:rPr>
        <w:t>צוה</w:t>
      </w:r>
      <w:r>
        <w:t xml:space="preserve">, Piel Perfekt, 2. Person Maskulinum Singular, mit Suffix 1. Person Singular), </w:t>
      </w:r>
      <w:r>
        <w:rPr>
          <w:rStyle w:val="Fett"/>
          <w:rFonts w:eastAsiaTheme="majorEastAsia"/>
          <w:rtl/>
        </w:rPr>
        <w:t>לֹא־עָבַרְתִּי מִמִּצְוֹתֶיךָ וְלֹא שָׁכָחְתִּי</w:t>
      </w:r>
      <w:r>
        <w:rPr>
          <w:rtl/>
        </w:rPr>
        <w:t xml:space="preserve"> </w:t>
      </w:r>
      <w:r>
        <w:t xml:space="preserve">(Negation mit </w:t>
      </w:r>
      <w:r>
        <w:rPr>
          <w:rStyle w:val="Fett"/>
          <w:rFonts w:eastAsiaTheme="majorEastAsia"/>
          <w:rtl/>
        </w:rPr>
        <w:t>עבר</w:t>
      </w:r>
      <w:r>
        <w:t xml:space="preserve">, Qal Perfekt, 1. Person Singular, „übertreten, überschreiten", Präposition </w:t>
      </w:r>
      <w:r>
        <w:rPr>
          <w:rStyle w:val="Fett"/>
          <w:rFonts w:eastAsiaTheme="majorEastAsia"/>
          <w:rtl/>
        </w:rPr>
        <w:t>מִן</w:t>
      </w:r>
      <w:r>
        <w:rPr>
          <w:rtl/>
        </w:rPr>
        <w:t xml:space="preserve"> </w:t>
      </w:r>
      <w:r>
        <w:t xml:space="preserve">mit </w:t>
      </w:r>
      <w:r>
        <w:rPr>
          <w:rStyle w:val="Fett"/>
          <w:rFonts w:eastAsiaTheme="majorEastAsia"/>
          <w:rtl/>
        </w:rPr>
        <w:t>מִצְוָה</w:t>
      </w:r>
      <w:r>
        <w:rPr>
          <w:rtl/>
        </w:rPr>
        <w:t xml:space="preserve"> </w:t>
      </w:r>
      <w:r>
        <w:t xml:space="preserve">Plural mit Suffix 2. Person Maskulinum Singular, koordiniert durch </w:t>
      </w:r>
      <w:r>
        <w:rPr>
          <w:rStyle w:val="Fett"/>
          <w:rFonts w:eastAsiaTheme="majorEastAsia"/>
          <w:rtl/>
        </w:rPr>
        <w:t>וְ</w:t>
      </w:r>
      <w:r>
        <w:rPr>
          <w:rtl/>
        </w:rPr>
        <w:t xml:space="preserve"> </w:t>
      </w:r>
      <w:r>
        <w:t xml:space="preserve">mit Negation, </w:t>
      </w:r>
      <w:r>
        <w:rPr>
          <w:rStyle w:val="Fett"/>
          <w:rFonts w:eastAsiaTheme="majorEastAsia"/>
          <w:rtl/>
        </w:rPr>
        <w:t>שׁכח</w:t>
      </w:r>
      <w:r>
        <w:t>, Qal Perfekt, 1. Person Singular, „vergessen").</w:t>
      </w:r>
    </w:p>
    <w:p w14:paraId="3A6F5D2A" w14:textId="77D5EC09" w:rsidR="00A709A3" w:rsidRDefault="00A709A3" w:rsidP="00A709A3">
      <w:pPr>
        <w:pStyle w:val="whitespace-normal"/>
      </w:pPr>
      <w:r>
        <w:lastRenderedPageBreak/>
        <w:t xml:space="preserve">Der Vers gibt die Deklarationsformel für den Armenzehnt. Die Einleitung: </w:t>
      </w:r>
      <w:r>
        <w:rPr>
          <w:rStyle w:val="Fett"/>
          <w:rFonts w:eastAsiaTheme="majorEastAsia"/>
          <w:rtl/>
        </w:rPr>
        <w:t>וְאָמַרְתָּ לִפְנֵי יְהוָה אֱלֹהֶיךָ</w:t>
      </w:r>
      <w:r>
        <w:rPr>
          <w:rtl/>
        </w:rPr>
        <w:t xml:space="preserve"> </w:t>
      </w:r>
      <w:r>
        <w:t xml:space="preserve">(„und sprechen sollst du vor JHWH, deinem Gott"). Diese Deklaration wird im Heiligtum gesprochen. Die erste Erklärung: </w:t>
      </w:r>
      <w:r>
        <w:rPr>
          <w:rStyle w:val="Fett"/>
          <w:rFonts w:eastAsiaTheme="majorEastAsia"/>
          <w:rtl/>
        </w:rPr>
        <w:t>בִּעַרְתִּי הַקֹּדֶשׁ מִן־הַבַּיִת</w:t>
      </w:r>
      <w:r>
        <w:rPr>
          <w:rtl/>
        </w:rPr>
        <w:t xml:space="preserve"> </w:t>
      </w:r>
      <w:r>
        <w:t xml:space="preserve">(„ich habe das Heilige aus dem Haus weggeschafft"). Das Verb </w:t>
      </w:r>
      <w:r>
        <w:rPr>
          <w:rStyle w:val="Fett"/>
          <w:rFonts w:eastAsiaTheme="majorEastAsia"/>
          <w:rtl/>
        </w:rPr>
        <w:t>בער</w:t>
      </w:r>
      <w:r>
        <w:rPr>
          <w:rtl/>
        </w:rPr>
        <w:t xml:space="preserve"> </w:t>
      </w:r>
      <w:r>
        <w:t xml:space="preserve">im Piel („wegschaffen, beseitigen") wird sonst oft für das Ausrotten des Bösen verwendet (vgl. 13,6; 17,7.12; 19,13.19; 21,9.21; 22,21.22.24; 24,7), hier aber neutral: vollständig weggeben, nichts zurückbehalten. Das Wort </w:t>
      </w:r>
      <w:r>
        <w:rPr>
          <w:rStyle w:val="Fett"/>
          <w:rFonts w:eastAsiaTheme="majorEastAsia"/>
          <w:rtl/>
        </w:rPr>
        <w:t>הַקֹּדֶשׁ</w:t>
      </w:r>
      <w:r>
        <w:rPr>
          <w:rtl/>
        </w:rPr>
        <w:t xml:space="preserve"> </w:t>
      </w:r>
      <w:r>
        <w:t xml:space="preserve">(„das Heilige") bezeichnet den Zehnten, der JHWH geheiligt ist (vgl. Lev 27,30.32; Num 18,8-32). Die Formulierung </w:t>
      </w:r>
      <w:r>
        <w:rPr>
          <w:rStyle w:val="Fett"/>
          <w:rFonts w:eastAsiaTheme="majorEastAsia"/>
          <w:rtl/>
        </w:rPr>
        <w:t>מִן־הַבַּיִת</w:t>
      </w:r>
      <w:r>
        <w:rPr>
          <w:rtl/>
        </w:rPr>
        <w:t xml:space="preserve"> </w:t>
      </w:r>
      <w:r>
        <w:t xml:space="preserve">(„aus dem Haus") – aus dem privaten Besitz, aus dem Haushalt. Die zweite Erklärung: </w:t>
      </w:r>
      <w:r>
        <w:rPr>
          <w:rStyle w:val="Fett"/>
          <w:rFonts w:eastAsiaTheme="majorEastAsia"/>
          <w:rtl/>
        </w:rPr>
        <w:t>וְגַם נְתַתִּיו לַלֵּוִי וְלַגֵּר לַיָּתוֹם וְלָאַלְמָנָה כְּכָל־מִצְוָתְךָ אֲשֶׁר צִוִּיתָנִי</w:t>
      </w:r>
      <w:r>
        <w:rPr>
          <w:rtl/>
        </w:rPr>
        <w:t xml:space="preserve"> </w:t>
      </w:r>
      <w:r>
        <w:t xml:space="preserve">(„und auch gegeben habe ich ihn dem Leviten und dem Fremdling, der Waise und der Witwe, nach deinem ganzen Gebot, das du mir geboten hast"). Das Adverb </w:t>
      </w:r>
      <w:r>
        <w:rPr>
          <w:rStyle w:val="Fett"/>
          <w:rFonts w:eastAsiaTheme="majorEastAsia"/>
          <w:rtl/>
        </w:rPr>
        <w:t>גַּם</w:t>
      </w:r>
      <w:r>
        <w:rPr>
          <w:rtl/>
        </w:rPr>
        <w:t xml:space="preserve"> </w:t>
      </w:r>
      <w:r>
        <w:t xml:space="preserve">(„auch") betont: nicht nur weggeschafft, sondern auch richtig verteilt. Die Vierergruppe wie in V. 12. Die Formulierung </w:t>
      </w:r>
      <w:r>
        <w:rPr>
          <w:rStyle w:val="Fett"/>
          <w:rFonts w:eastAsiaTheme="majorEastAsia"/>
          <w:rtl/>
        </w:rPr>
        <w:t>כְּכָל־מִצְוָתְךָ אֲשֶׁר צִוִּיתָנִי</w:t>
      </w:r>
      <w:r>
        <w:rPr>
          <w:rtl/>
        </w:rPr>
        <w:t xml:space="preserve"> </w:t>
      </w:r>
      <w:r>
        <w:t xml:space="preserve">(„nach deinem ganzen Gebot, das du mir geboten hast") betont Gehorsam – gemäß den Anweisungen in 14,28-29 und 26,12. Die dritte Erklärung (doppelte Negation): </w:t>
      </w:r>
      <w:r>
        <w:rPr>
          <w:rStyle w:val="Fett"/>
          <w:rFonts w:eastAsiaTheme="majorEastAsia"/>
          <w:rtl/>
        </w:rPr>
        <w:t>לֹא־עָבַרְתִּי מִמִּצְוֹתֶיךָ וְלֹא שָׁכָחְתִּי</w:t>
      </w:r>
      <w:r>
        <w:rPr>
          <w:rtl/>
        </w:rPr>
        <w:t xml:space="preserve"> </w:t>
      </w:r>
      <w:r>
        <w:t xml:space="preserve">(„ich habe nicht übertreten deine Gebote und nicht vergessen"). Das Verb </w:t>
      </w:r>
      <w:r>
        <w:rPr>
          <w:rStyle w:val="Fett"/>
          <w:rFonts w:eastAsiaTheme="majorEastAsia"/>
          <w:rtl/>
        </w:rPr>
        <w:t>עבר</w:t>
      </w:r>
      <w:r>
        <w:rPr>
          <w:rtl/>
        </w:rPr>
        <w:t xml:space="preserve"> </w:t>
      </w:r>
      <w:r>
        <w:t xml:space="preserve">(„übertreten") – keine Übertretung der Gebote. Das Verb </w:t>
      </w:r>
      <w:r>
        <w:rPr>
          <w:rStyle w:val="Fett"/>
          <w:rFonts w:eastAsiaTheme="majorEastAsia"/>
          <w:rtl/>
        </w:rPr>
        <w:t>שׁכח</w:t>
      </w:r>
      <w:r>
        <w:rPr>
          <w:rtl/>
        </w:rPr>
        <w:t xml:space="preserve"> </w:t>
      </w:r>
      <w:r>
        <w:t>(„vergessen") – keine Nachlässigkeit. V. 14 wird weitere Negativerklärungen geben.</w:t>
      </w:r>
    </w:p>
    <w:p w14:paraId="64CD0FB3" w14:textId="0A91F3C0" w:rsidR="001A04EF" w:rsidRDefault="001A04EF" w:rsidP="00A709A3">
      <w:pPr>
        <w:pStyle w:val="whitespace-normal"/>
      </w:pPr>
      <w:r>
        <w:rPr>
          <w:rStyle w:val="Fett"/>
        </w:rPr>
        <w:t>Die LXX</w:t>
      </w:r>
      <w:r>
        <w:t xml:space="preserve"> übersetzt </w:t>
      </w:r>
      <w:r>
        <w:rPr>
          <w:rtl/>
        </w:rPr>
        <w:t>בִּעַרְתִּי הַקֹּדֶשׁ</w:t>
      </w:r>
      <w:r>
        <w:t xml:space="preserve"> (ich habe das Heilige weggeschafft) mit </w:t>
      </w:r>
      <w:proofErr w:type="spellStart"/>
      <w:r>
        <w:t>Ἐξεκάθ</w:t>
      </w:r>
      <w:proofErr w:type="spellEnd"/>
      <w:r>
        <w:t xml:space="preserve">αρα </w:t>
      </w:r>
      <w:proofErr w:type="spellStart"/>
      <w:r>
        <w:t>τὰ</w:t>
      </w:r>
      <w:proofErr w:type="spellEnd"/>
      <w:r>
        <w:t xml:space="preserve"> </w:t>
      </w:r>
      <w:proofErr w:type="spellStart"/>
      <w:r>
        <w:t>ἅγι</w:t>
      </w:r>
      <w:proofErr w:type="spellEnd"/>
      <w:r>
        <w:t xml:space="preserve">α (ich habe die heiligen Dinge herausgereinigt) – wobei </w:t>
      </w:r>
      <w:proofErr w:type="spellStart"/>
      <w:r>
        <w:t>ἐκκ</w:t>
      </w:r>
      <w:proofErr w:type="spellEnd"/>
      <w:r>
        <w:t>αθαίρω "gründlich reinigen, säubern" bedeutet und eine stärkere kultische Konnotation hat.</w:t>
      </w:r>
    </w:p>
    <w:p w14:paraId="5D55E627" w14:textId="77777777" w:rsidR="00A709A3" w:rsidRDefault="00A709A3" w:rsidP="00A709A3">
      <w:pPr>
        <w:pStyle w:val="whitespace-normal"/>
      </w:pPr>
      <w:r>
        <w:rPr>
          <w:rStyle w:val="Fett"/>
          <w:rFonts w:eastAsiaTheme="majorEastAsia"/>
        </w:rPr>
        <w:t>Die Satzstruktur:</w:t>
      </w:r>
      <w:r>
        <w:t xml:space="preserve"> Anweisung mit direkter Rede, dreifache Erklärung (und sprechen sollst du vor JHWH, deinem Gott: Ich habe das Heilige aus dem Haus weggeschafft, und auch gegeben habe ich ihn dem Leviten und dem Fremdling, der Waise und der Witwe, nach deinem ganzen Gebot, das du mir geboten hast; ich habe nicht übertreten deine Gebote und nicht vergessen).</w:t>
      </w:r>
    </w:p>
    <w:p w14:paraId="07941B19" w14:textId="49533958" w:rsidR="00A709A3" w:rsidRDefault="00A709A3" w:rsidP="00705F3D">
      <w:pPr>
        <w:pStyle w:val="whitespace-normal"/>
      </w:pPr>
      <w:r>
        <w:rPr>
          <w:rStyle w:val="Fett"/>
          <w:rFonts w:eastAsiaTheme="majorEastAsia"/>
        </w:rPr>
        <w:t>Der Vers beschreibt:</w:t>
      </w:r>
      <w:r>
        <w:t xml:space="preserve"> Positive Deklaration – der Israelit bezeugt, dass er den heiligen Zehnten vollständig und korrekt an die Bedürftigen verteilt hat.</w:t>
      </w:r>
    </w:p>
    <w:p w14:paraId="57E03498" w14:textId="77777777" w:rsidR="00A709A3" w:rsidRPr="00B53ACC" w:rsidRDefault="00A709A3" w:rsidP="00B53ACC">
      <w:pPr>
        <w:pStyle w:val="Bibelberschrift"/>
      </w:pPr>
      <w:r w:rsidRPr="00B53ACC">
        <w:rPr>
          <w:rStyle w:val="Fett"/>
          <w:b/>
          <w:bCs w:val="0"/>
        </w:rPr>
        <w:t>Deuteronomium 26,14</w:t>
      </w:r>
    </w:p>
    <w:p w14:paraId="4F4E92FE" w14:textId="77777777" w:rsidR="00A709A3" w:rsidRDefault="00A709A3" w:rsidP="00A709A3">
      <w:pPr>
        <w:pStyle w:val="whitespace-normal"/>
      </w:pPr>
      <w:r>
        <w:rPr>
          <w:rStyle w:val="Fett"/>
          <w:rFonts w:eastAsiaTheme="majorEastAsia"/>
        </w:rPr>
        <w:t>Hebräisch:</w:t>
      </w:r>
      <w:r>
        <w:t xml:space="preserve"> </w:t>
      </w:r>
      <w:r>
        <w:rPr>
          <w:rtl/>
        </w:rPr>
        <w:t>לֹא־אָכַלְתִּי בְאֹנִי מִמֶּנּוּ וְלֹא־בִעַרְתִּי מִמֶּנּוּ בְּטָמֵא וְלֹא־נָתַתִּי מִמֶּנּוּ לְמֵת שָׁמַעְתִּי בְּקוֹל יְהוָה אֱלֹהָי עָשִׂיתִי כְּכֹל אֲשֶׁר צִוִּיתָֽנִי׃</w:t>
      </w:r>
    </w:p>
    <w:p w14:paraId="146A0A12" w14:textId="77777777" w:rsidR="00A709A3" w:rsidRDefault="00A709A3" w:rsidP="00A709A3">
      <w:pPr>
        <w:pStyle w:val="whitespace-normal"/>
      </w:pPr>
      <w:r>
        <w:rPr>
          <w:rStyle w:val="Fett"/>
          <w:rFonts w:eastAsiaTheme="majorEastAsia"/>
        </w:rPr>
        <w:t>Deutsch:</w:t>
      </w:r>
      <w:r>
        <w:t xml:space="preserve"> Ich habe nichts davon gegessen in meiner Trauer und habe nichts davon weggeschafft in Unreinheit und habe nichts davon für einen Toten gegeben; ich habe gehört auf die Stimme des JHWH, meines Gottes, ich habe getan entsprechend allem, was du mir geboten hast.</w:t>
      </w:r>
    </w:p>
    <w:p w14:paraId="43110851" w14:textId="77777777" w:rsidR="00A709A3" w:rsidRDefault="004F5CEB" w:rsidP="00A709A3">
      <w:r>
        <w:rPr>
          <w:noProof/>
        </w:rPr>
        <w:pict w14:anchorId="4280BE0E">
          <v:rect id="_x0000_i1706" style="width:0;height:1.5pt" o:hralign="center" o:hrstd="t" o:hr="t" fillcolor="#a0a0a0" stroked="f"/>
        </w:pict>
      </w:r>
    </w:p>
    <w:p w14:paraId="7F78D29B"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לֹא־אָכַלְתִּי בְאֹנִי מִמֶּנּוּ וְלֹא־בִעַרְתִּי מִמֶּנּוּ בְּטָמֵא וְלֹא־נָתַתִּי מִמֶּנּוּ לְמֵת שָׁמַעְתִּי בְּקוֹל יְהוָה אֱלֹהָי עָשִׂיתִי כְּכֹל אֲשֶׁר צִוִּיתָנִי</w:t>
      </w:r>
      <w:r>
        <w:rPr>
          <w:rtl/>
        </w:rPr>
        <w:t xml:space="preserve"> </w:t>
      </w:r>
      <w:r>
        <w:t xml:space="preserve">ist die Fortsetzung der direkten Rede (drei Negativerklärungen plus zwei positive Aussagen): </w:t>
      </w:r>
      <w:r>
        <w:rPr>
          <w:rStyle w:val="Fett"/>
          <w:rFonts w:eastAsiaTheme="majorEastAsia"/>
          <w:rtl/>
        </w:rPr>
        <w:t>לֹא־אָכַלְתִּי בְאֹנִי מִמֶּנּוּ</w:t>
      </w:r>
      <w:r>
        <w:rPr>
          <w:rtl/>
        </w:rPr>
        <w:t xml:space="preserve"> </w:t>
      </w:r>
      <w:r>
        <w:t xml:space="preserve">(Negation mit </w:t>
      </w:r>
      <w:r>
        <w:rPr>
          <w:rStyle w:val="Fett"/>
          <w:rFonts w:eastAsiaTheme="majorEastAsia"/>
          <w:rtl/>
        </w:rPr>
        <w:t>אכל</w:t>
      </w:r>
      <w:r>
        <w:t xml:space="preserve">, Qal Perfekt, 1. Person Singular, Präposition </w:t>
      </w:r>
      <w:r>
        <w:rPr>
          <w:rStyle w:val="Fett"/>
          <w:rFonts w:eastAsiaTheme="majorEastAsia"/>
          <w:rtl/>
        </w:rPr>
        <w:t>בְּ</w:t>
      </w:r>
      <w:r>
        <w:rPr>
          <w:rtl/>
        </w:rPr>
        <w:t xml:space="preserve"> </w:t>
      </w:r>
      <w:r>
        <w:t xml:space="preserve">mit </w:t>
      </w:r>
      <w:r>
        <w:rPr>
          <w:rStyle w:val="Fett"/>
          <w:rFonts w:eastAsiaTheme="majorEastAsia"/>
          <w:rtl/>
        </w:rPr>
        <w:t>אוֹן</w:t>
      </w:r>
      <w:r>
        <w:t xml:space="preserve">, „Trauer, Leid, Unheil", mit Suffix 1. Person Singular, Präposition </w:t>
      </w:r>
      <w:r>
        <w:rPr>
          <w:rStyle w:val="Fett"/>
          <w:rFonts w:eastAsiaTheme="majorEastAsia"/>
          <w:rtl/>
        </w:rPr>
        <w:t>מִן</w:t>
      </w:r>
      <w:r>
        <w:rPr>
          <w:rtl/>
        </w:rPr>
        <w:t xml:space="preserve"> </w:t>
      </w:r>
      <w:r>
        <w:t xml:space="preserve">mit Suffix 3. Person Maskulinum Singular – „davon"), </w:t>
      </w:r>
      <w:r>
        <w:rPr>
          <w:rStyle w:val="Fett"/>
          <w:rFonts w:eastAsiaTheme="majorEastAsia"/>
          <w:rtl/>
        </w:rPr>
        <w:t>וְלֹא־בִעַרְתִּי מִמֶּנּוּ בְּטָמֵא</w:t>
      </w:r>
      <w:r>
        <w:rPr>
          <w:rtl/>
        </w:rPr>
        <w:t xml:space="preserve"> </w:t>
      </w:r>
      <w:r>
        <w:t xml:space="preserve">(koordiniert durch </w:t>
      </w:r>
      <w:r>
        <w:rPr>
          <w:rStyle w:val="Fett"/>
          <w:rFonts w:eastAsiaTheme="majorEastAsia"/>
          <w:rtl/>
        </w:rPr>
        <w:t>וְ</w:t>
      </w:r>
      <w:r>
        <w:rPr>
          <w:rtl/>
        </w:rPr>
        <w:t xml:space="preserve"> </w:t>
      </w:r>
      <w:r>
        <w:lastRenderedPageBreak/>
        <w:t xml:space="preserve">mit Negation, </w:t>
      </w:r>
      <w:r>
        <w:rPr>
          <w:rStyle w:val="Fett"/>
          <w:rFonts w:eastAsiaTheme="majorEastAsia"/>
          <w:rtl/>
        </w:rPr>
        <w:t>בער</w:t>
      </w:r>
      <w:r>
        <w:t xml:space="preserve">, Piel Perfekt, 1. Person Singular, Präposition </w:t>
      </w:r>
      <w:r>
        <w:rPr>
          <w:rStyle w:val="Fett"/>
          <w:rFonts w:eastAsiaTheme="majorEastAsia"/>
          <w:rtl/>
        </w:rPr>
        <w:t>מִן</w:t>
      </w:r>
      <w:r>
        <w:rPr>
          <w:rtl/>
        </w:rPr>
        <w:t xml:space="preserve"> </w:t>
      </w:r>
      <w:r>
        <w:t xml:space="preserve">mit Suffix 3. Person Maskulinum Singular, Präposition </w:t>
      </w:r>
      <w:r>
        <w:rPr>
          <w:rStyle w:val="Fett"/>
          <w:rFonts w:eastAsiaTheme="majorEastAsia"/>
          <w:rtl/>
        </w:rPr>
        <w:t>בְּ</w:t>
      </w:r>
      <w:r>
        <w:rPr>
          <w:rtl/>
        </w:rPr>
        <w:t xml:space="preserve"> </w:t>
      </w:r>
      <w:r>
        <w:t xml:space="preserve">mit </w:t>
      </w:r>
      <w:r>
        <w:rPr>
          <w:rStyle w:val="Fett"/>
          <w:rFonts w:eastAsiaTheme="majorEastAsia"/>
          <w:rtl/>
        </w:rPr>
        <w:t>טָמֵא</w:t>
      </w:r>
      <w:r>
        <w:t xml:space="preserve">, „unrein, Unreinheit"), </w:t>
      </w:r>
      <w:r>
        <w:rPr>
          <w:rStyle w:val="Fett"/>
          <w:rFonts w:eastAsiaTheme="majorEastAsia"/>
          <w:rtl/>
        </w:rPr>
        <w:t>וְלֹא־נָתַתִּי מִמֶּנּוּ לְמֵת</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נתן</w:t>
      </w:r>
      <w:r>
        <w:t xml:space="preserve">, Qal Perfekt, 1. Person Singular, Präposition </w:t>
      </w:r>
      <w:r>
        <w:rPr>
          <w:rStyle w:val="Fett"/>
          <w:rFonts w:eastAsiaTheme="majorEastAsia"/>
          <w:rtl/>
        </w:rPr>
        <w:t>מִן</w:t>
      </w:r>
      <w:r>
        <w:rPr>
          <w:rtl/>
        </w:rPr>
        <w:t xml:space="preserve"> </w:t>
      </w:r>
      <w:r>
        <w:t xml:space="preserve">mit Suffix 3. Person Maskulinum Singular, Präposition </w:t>
      </w:r>
      <w:r>
        <w:rPr>
          <w:rStyle w:val="Fett"/>
          <w:rFonts w:eastAsiaTheme="majorEastAsia"/>
          <w:rtl/>
        </w:rPr>
        <w:t>לְ</w:t>
      </w:r>
      <w:r>
        <w:rPr>
          <w:rtl/>
        </w:rPr>
        <w:t xml:space="preserve"> </w:t>
      </w:r>
      <w:r>
        <w:t xml:space="preserve">mit </w:t>
      </w:r>
      <w:r>
        <w:rPr>
          <w:rStyle w:val="Fett"/>
          <w:rFonts w:eastAsiaTheme="majorEastAsia"/>
          <w:rtl/>
        </w:rPr>
        <w:t>מות</w:t>
      </w:r>
      <w:r>
        <w:t xml:space="preserve">, Qal Partizip, „Toter, Verstorbener"), </w:t>
      </w:r>
      <w:r>
        <w:rPr>
          <w:rStyle w:val="Fett"/>
          <w:rFonts w:eastAsiaTheme="majorEastAsia"/>
          <w:rtl/>
        </w:rPr>
        <w:t>שָׁמַעְתִּי בְּקוֹל יְהוָה אֱלֹהָי</w:t>
      </w:r>
      <w:r>
        <w:rPr>
          <w:rtl/>
        </w:rPr>
        <w:t xml:space="preserve"> </w:t>
      </w:r>
      <w:r>
        <w:t>(</w:t>
      </w:r>
      <w:r>
        <w:rPr>
          <w:rStyle w:val="Fett"/>
          <w:rFonts w:eastAsiaTheme="majorEastAsia"/>
          <w:rtl/>
        </w:rPr>
        <w:t>שׁמע</w:t>
      </w:r>
      <w:r>
        <w:t xml:space="preserve">, Qal Perfekt, 1. Person Singular, Präposition </w:t>
      </w:r>
      <w:r>
        <w:rPr>
          <w:rStyle w:val="Fett"/>
          <w:rFonts w:eastAsiaTheme="majorEastAsia"/>
          <w:rtl/>
        </w:rPr>
        <w:t>בְּ</w:t>
      </w:r>
      <w:r>
        <w:rPr>
          <w:rtl/>
        </w:rPr>
        <w:t xml:space="preserve"> </w:t>
      </w:r>
      <w:r>
        <w:t xml:space="preserve">mit </w:t>
      </w:r>
      <w:r>
        <w:rPr>
          <w:rStyle w:val="Fett"/>
          <w:rFonts w:eastAsiaTheme="majorEastAsia"/>
          <w:rtl/>
        </w:rPr>
        <w:t>קוֹל יְהוָה אֱלֹהָי</w:t>
      </w:r>
      <w:r>
        <w:t xml:space="preserve">, „Stimme des JHWH, meines Gottes"), </w:t>
      </w:r>
      <w:r>
        <w:rPr>
          <w:rStyle w:val="Fett"/>
          <w:rFonts w:eastAsiaTheme="majorEastAsia"/>
          <w:rtl/>
        </w:rPr>
        <w:t>עָשִׂיתִי כְּכֹל אֲשֶׁר צִוִּיתָנִי</w:t>
      </w:r>
      <w:r>
        <w:rPr>
          <w:rtl/>
        </w:rPr>
        <w:t xml:space="preserve"> </w:t>
      </w:r>
      <w:r>
        <w:t>(</w:t>
      </w:r>
      <w:r>
        <w:rPr>
          <w:rStyle w:val="Fett"/>
          <w:rFonts w:eastAsiaTheme="majorEastAsia"/>
          <w:rtl/>
        </w:rPr>
        <w:t>עשׂה</w:t>
      </w:r>
      <w:r>
        <w:t xml:space="preserve">, Qal Perfekt, 1. Person Singular, Präposition </w:t>
      </w:r>
      <w:r>
        <w:rPr>
          <w:rStyle w:val="Fett"/>
          <w:rFonts w:eastAsiaTheme="majorEastAsia"/>
          <w:rtl/>
        </w:rPr>
        <w:t>כְּ</w:t>
      </w:r>
      <w:r>
        <w:rPr>
          <w:rtl/>
        </w:rPr>
        <w:t xml:space="preserve"> </w:t>
      </w:r>
      <w:r>
        <w:t xml:space="preserve">mit </w:t>
      </w:r>
      <w:r>
        <w:rPr>
          <w:rStyle w:val="Fett"/>
          <w:rFonts w:eastAsiaTheme="majorEastAsia"/>
          <w:rtl/>
        </w:rPr>
        <w:t>כֹּל</w:t>
      </w:r>
      <w:r>
        <w:t>, Relativsatz wie in V. 13).</w:t>
      </w:r>
    </w:p>
    <w:p w14:paraId="59347393" w14:textId="7D7F3B0D" w:rsidR="00A709A3" w:rsidRDefault="00A709A3" w:rsidP="00A709A3">
      <w:pPr>
        <w:pStyle w:val="whitespace-normal"/>
      </w:pPr>
      <w:r>
        <w:t xml:space="preserve">Der Vers gibt drei Negativerklärungen über den richtigen Umgang mit dem heiligen Zehnten. Die erste Negativerklärung: </w:t>
      </w:r>
      <w:r>
        <w:rPr>
          <w:rStyle w:val="Fett"/>
          <w:rFonts w:eastAsiaTheme="majorEastAsia"/>
          <w:rtl/>
        </w:rPr>
        <w:t>לֹא־אָכַלְתִּי בְאֹנִי מִמֶּנּוּ</w:t>
      </w:r>
      <w:r>
        <w:rPr>
          <w:rtl/>
        </w:rPr>
        <w:t xml:space="preserve"> </w:t>
      </w:r>
      <w:r>
        <w:t xml:space="preserve">(„ich habe nicht gegessen in meiner Trauer davon"). Das Wort </w:t>
      </w:r>
      <w:r>
        <w:rPr>
          <w:rStyle w:val="Fett"/>
          <w:rFonts w:eastAsiaTheme="majorEastAsia"/>
          <w:rtl/>
        </w:rPr>
        <w:t>אוֹן</w:t>
      </w:r>
      <w:r>
        <w:rPr>
          <w:rtl/>
        </w:rPr>
        <w:t xml:space="preserve"> </w:t>
      </w:r>
      <w:r>
        <w:t xml:space="preserve">bedeutet hier „Trauer, Leid" (vgl. Hos 9,4 für Trauerspeise). Während der Trauerzeit war man rituell unrein, daher durfte man vom heiligen Zehnten nicht essen. Die zweite Negativerklärung: </w:t>
      </w:r>
      <w:r>
        <w:rPr>
          <w:rStyle w:val="Fett"/>
          <w:rFonts w:eastAsiaTheme="majorEastAsia"/>
          <w:rtl/>
        </w:rPr>
        <w:t>וְלֹא־בִעַרְתִּי מִמֶּנּוּ בְּטָמֵא</w:t>
      </w:r>
      <w:r>
        <w:rPr>
          <w:rtl/>
        </w:rPr>
        <w:t xml:space="preserve"> </w:t>
      </w:r>
      <w:r>
        <w:t xml:space="preserve">(„und ich habe nicht weggeschafft davon in Unreinheit"). Das Verb </w:t>
      </w:r>
      <w:r>
        <w:rPr>
          <w:rStyle w:val="Fett"/>
          <w:rFonts w:eastAsiaTheme="majorEastAsia"/>
          <w:rtl/>
        </w:rPr>
        <w:t>בער</w:t>
      </w:r>
      <w:r>
        <w:rPr>
          <w:rtl/>
        </w:rPr>
        <w:t xml:space="preserve"> </w:t>
      </w:r>
      <w:r>
        <w:t xml:space="preserve">im Piel wie in V. 13. Die Formulierung </w:t>
      </w:r>
      <w:r>
        <w:rPr>
          <w:rStyle w:val="Fett"/>
          <w:rFonts w:eastAsiaTheme="majorEastAsia"/>
          <w:rtl/>
        </w:rPr>
        <w:t>בְּטָמֵא</w:t>
      </w:r>
      <w:r>
        <w:rPr>
          <w:rtl/>
        </w:rPr>
        <w:t xml:space="preserve"> </w:t>
      </w:r>
      <w:r>
        <w:t xml:space="preserve">(„in Unreinheit") – während ritueller Unreinheit durfte man den heiligen Zehnten nicht handhaben (vgl. Lev 7,19-21; 11,1-47; 22,3-9). Die dritte Negativerklärung: </w:t>
      </w:r>
      <w:r>
        <w:rPr>
          <w:rStyle w:val="Fett"/>
          <w:rFonts w:eastAsiaTheme="majorEastAsia"/>
          <w:rtl/>
        </w:rPr>
        <w:t>וְלֹא־נָתַתִּי מִמֶּנּוּ לְמֵת</w:t>
      </w:r>
      <w:r>
        <w:rPr>
          <w:rtl/>
        </w:rPr>
        <w:t xml:space="preserve"> </w:t>
      </w:r>
      <w:r>
        <w:t xml:space="preserve">(„und ich habe nicht gegeben davon für einen Toten"). Die Formulierung </w:t>
      </w:r>
      <w:r>
        <w:rPr>
          <w:rStyle w:val="Fett"/>
          <w:rFonts w:eastAsiaTheme="majorEastAsia"/>
          <w:rtl/>
        </w:rPr>
        <w:t>לְמֵת</w:t>
      </w:r>
      <w:r>
        <w:rPr>
          <w:rtl/>
        </w:rPr>
        <w:t xml:space="preserve"> </w:t>
      </w:r>
      <w:r>
        <w:t xml:space="preserve">(„für einen Toten") könnte bedeuten: (1) als Totenopfer oder Totenspeise (verbotene heidnische Praxis), oder (2) für Bestattungskosten (profaner Gebrauch des heiligen Zehnten). Wahrscheinlich ersteres – Verbot heidnischer Totenkulte (vgl. Lev 19,28; Num 19,11-22 für Unreinheit durch Tote). Diese drei Negativerklärungen betonen: Der Zehnt wurde nur in ritueller Reinheit und für seinen vorgesehenen Zweck (die Bedürftigen) verwendet. Die beiden positiven Aussagen: </w:t>
      </w:r>
      <w:r>
        <w:rPr>
          <w:rStyle w:val="Fett"/>
          <w:rFonts w:eastAsiaTheme="majorEastAsia"/>
          <w:rtl/>
        </w:rPr>
        <w:t>שָׁמַעְתִּי בְּקוֹל יְהוָה אֱלֹהָי עָשִׂיתִי כְּכֹל אֲשֶׁר צִוִּיתָנִי</w:t>
      </w:r>
      <w:r>
        <w:rPr>
          <w:rtl/>
        </w:rPr>
        <w:t xml:space="preserve"> </w:t>
      </w:r>
      <w:r>
        <w:t xml:space="preserve">(„ich habe gehört auf die Stimme des JHWH, meines Gottes, ich habe getan entsprechend allem, was du mir geboten hast"). Die Formel </w:t>
      </w:r>
      <w:r>
        <w:rPr>
          <w:rStyle w:val="Fett"/>
          <w:rFonts w:eastAsiaTheme="majorEastAsia"/>
          <w:rtl/>
        </w:rPr>
        <w:t>שָׁמַעְתִּי בְּקוֹל</w:t>
      </w:r>
      <w:r>
        <w:rPr>
          <w:rtl/>
        </w:rPr>
        <w:t xml:space="preserve"> </w:t>
      </w:r>
      <w:r>
        <w:t xml:space="preserve">(„ich habe gehört auf die Stimme") bedeutet: gehorcht, befolgt (vgl. 4,30; 8,20; 9,23; 13,5.19; 15,5; 26,14.17; 27,10; 28,1.2.15.45.62; 30,2.8.10.20). Die zweite Aussage </w:t>
      </w:r>
      <w:r>
        <w:rPr>
          <w:rStyle w:val="Fett"/>
          <w:rFonts w:eastAsiaTheme="majorEastAsia"/>
          <w:rtl/>
        </w:rPr>
        <w:t>עָשִׂיתִי כְּכֹל אֲשֶׁר צִוִּיתָנִי</w:t>
      </w:r>
      <w:r>
        <w:rPr>
          <w:rtl/>
        </w:rPr>
        <w:t xml:space="preserve"> </w:t>
      </w:r>
      <w:r>
        <w:t>wiederholt die Betonung vollständigen Gehorsams aus V. 13. V. 15 wird die Bitte um Segen enthalten.</w:t>
      </w:r>
    </w:p>
    <w:p w14:paraId="15096E37" w14:textId="758CE063" w:rsidR="001A04EF" w:rsidRDefault="001A04EF" w:rsidP="00A709A3">
      <w:pPr>
        <w:pStyle w:val="whitespace-normal"/>
      </w:pPr>
      <w:r>
        <w:rPr>
          <w:rStyle w:val="Fett"/>
        </w:rPr>
        <w:t>Die LXX</w:t>
      </w:r>
      <w:r>
        <w:t xml:space="preserve"> übersetzt </w:t>
      </w:r>
      <w:r>
        <w:rPr>
          <w:rtl/>
        </w:rPr>
        <w:t>בְאֹנִי</w:t>
      </w:r>
      <w:r>
        <w:t xml:space="preserve"> (in meiner Trauer) mit </w:t>
      </w:r>
      <w:proofErr w:type="spellStart"/>
      <w:r>
        <w:t>ἐν</w:t>
      </w:r>
      <w:proofErr w:type="spellEnd"/>
      <w:r>
        <w:t xml:space="preserve"> </w:t>
      </w:r>
      <w:proofErr w:type="spellStart"/>
      <w:r>
        <w:t>ὀδύνῃ</w:t>
      </w:r>
      <w:proofErr w:type="spellEnd"/>
      <w:r>
        <w:t xml:space="preserve"> </w:t>
      </w:r>
      <w:proofErr w:type="spellStart"/>
      <w:r>
        <w:t>μου</w:t>
      </w:r>
      <w:proofErr w:type="spellEnd"/>
      <w:r>
        <w:t xml:space="preserve"> (in meinem Schmerz) – </w:t>
      </w:r>
      <w:proofErr w:type="spellStart"/>
      <w:r>
        <w:t>ὀδύνη</w:t>
      </w:r>
      <w:proofErr w:type="spellEnd"/>
      <w:r>
        <w:t xml:space="preserve"> kann sowohl physischen als auch emotionalen Schmerz bedeuten. Das Verb </w:t>
      </w:r>
      <w:r>
        <w:rPr>
          <w:rtl/>
        </w:rPr>
        <w:t>בִעַרְתִּי</w:t>
      </w:r>
      <w:r>
        <w:t xml:space="preserve"> (ich habe weggeschafft) wird mit </w:t>
      </w:r>
      <w:proofErr w:type="spellStart"/>
      <w:r>
        <w:t>οὐκ</w:t>
      </w:r>
      <w:proofErr w:type="spellEnd"/>
      <w:r>
        <w:t xml:space="preserve"> </w:t>
      </w:r>
      <w:proofErr w:type="spellStart"/>
      <w:r>
        <w:t>ἐκάρ</w:t>
      </w:r>
      <w:proofErr w:type="spellEnd"/>
      <w:r>
        <w:t>πωσα (ich habe nicht genossen/geerntet) übersetzt – ein Verb, das "Frucht tragen, nutzen" bedeutet.</w:t>
      </w:r>
    </w:p>
    <w:p w14:paraId="4C42C490" w14:textId="77777777" w:rsidR="00A709A3" w:rsidRDefault="00A709A3" w:rsidP="00A709A3">
      <w:pPr>
        <w:pStyle w:val="whitespace-normal"/>
      </w:pPr>
      <w:r>
        <w:rPr>
          <w:rStyle w:val="Fett"/>
          <w:rFonts w:eastAsiaTheme="majorEastAsia"/>
        </w:rPr>
        <w:t>Die Satzstruktur:</w:t>
      </w:r>
      <w:r>
        <w:t xml:space="preserve"> Fortsetzung der direkten Rede – drei Negativerklärungen plus zwei positive Aussagen (ich habe nicht gegessen in meiner Trauer davon, und ich habe nicht weggeschafft davon in Unreinheit, und ich habe nicht gegeben davon für einen Toten; ich habe gehört auf die Stimme des JHWH, meines Gottes, ich habe getan entsprechend allem, was du mir geboten hast).</w:t>
      </w:r>
    </w:p>
    <w:p w14:paraId="387BB350" w14:textId="77777777" w:rsidR="00A709A3" w:rsidRDefault="00A709A3" w:rsidP="00A709A3">
      <w:pPr>
        <w:pStyle w:val="whitespace-normal"/>
      </w:pPr>
      <w:r>
        <w:rPr>
          <w:rStyle w:val="Fett"/>
          <w:rFonts w:eastAsiaTheme="majorEastAsia"/>
        </w:rPr>
        <w:t>Der Vers beschreibt:</w:t>
      </w:r>
      <w:r>
        <w:t xml:space="preserve"> Negative Deklaration – der Israelit bezeugt, dass er den heiligen Zehnten nicht in rituell unreinen Zuständen oder für heidnische Zwecke verwendet hat.</w:t>
      </w:r>
    </w:p>
    <w:p w14:paraId="2E17EC99" w14:textId="77777777" w:rsidR="00A709A3" w:rsidRPr="00B53ACC" w:rsidRDefault="00A709A3" w:rsidP="00B53ACC">
      <w:pPr>
        <w:pStyle w:val="Bibelberschrift"/>
      </w:pPr>
      <w:r w:rsidRPr="00B53ACC">
        <w:rPr>
          <w:rStyle w:val="Fett"/>
          <w:b/>
          <w:bCs w:val="0"/>
        </w:rPr>
        <w:t>Deuteronomium 26,15</w:t>
      </w:r>
    </w:p>
    <w:p w14:paraId="66DC7748" w14:textId="77777777" w:rsidR="00A709A3" w:rsidRDefault="00A709A3" w:rsidP="00A709A3">
      <w:pPr>
        <w:pStyle w:val="whitespace-normal"/>
      </w:pPr>
      <w:r>
        <w:rPr>
          <w:rStyle w:val="Fett"/>
          <w:rFonts w:eastAsiaTheme="majorEastAsia"/>
        </w:rPr>
        <w:t>Hebräisch:</w:t>
      </w:r>
      <w:r>
        <w:t xml:space="preserve"> </w:t>
      </w:r>
      <w:r>
        <w:rPr>
          <w:rtl/>
        </w:rPr>
        <w:t>הַשְׁקִיפָה מִמְּעוֹן קָדְשְׁךָ מִן־הַשָּׁמַיִם וּבָרֵךְ אֶֽת־עַמְּךָ אֶת־יִשְׂרָאֵל וְאֵת הָאֲדָמָה אֲשֶׁר נָתַתָּה לָנוּ כַּאֲשֶׁר נִשְׁבַּעְתָּ לַאֲבֹתֵינוּ אֶרֶץ זָבַת חָלָב וּדְבָֽשׁ׃</w:t>
      </w:r>
    </w:p>
    <w:p w14:paraId="32D8ECDC" w14:textId="77777777" w:rsidR="00A709A3" w:rsidRDefault="00A709A3" w:rsidP="00A709A3">
      <w:pPr>
        <w:pStyle w:val="whitespace-normal"/>
      </w:pPr>
      <w:r>
        <w:rPr>
          <w:rStyle w:val="Fett"/>
          <w:rFonts w:eastAsiaTheme="majorEastAsia"/>
        </w:rPr>
        <w:lastRenderedPageBreak/>
        <w:t>Deutsch:</w:t>
      </w:r>
      <w:r>
        <w:t xml:space="preserve"> Blicke herab von deiner heiligen Wohnung, vom Himmel, und segne dein Volk Israel und das Land, das du uns gegeben hast, wie du unseren Vätern geschworen hast, ein Land, fließend von Milch und Honig.</w:t>
      </w:r>
    </w:p>
    <w:p w14:paraId="47037662" w14:textId="77777777" w:rsidR="00A709A3" w:rsidRDefault="004F5CEB" w:rsidP="00A709A3">
      <w:r>
        <w:rPr>
          <w:noProof/>
        </w:rPr>
        <w:pict w14:anchorId="28297BD8">
          <v:rect id="_x0000_i1707" style="width:0;height:1.5pt" o:hralign="center" o:hrstd="t" o:hr="t" fillcolor="#a0a0a0" stroked="f"/>
        </w:pict>
      </w:r>
    </w:p>
    <w:p w14:paraId="6AE16BDC"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הַשְׁקִיפָה מִמְּעוֹן קָדְשְׁךָ מִן־הַשָּׁמַיִם וּבָרֵךְ אֶת־עַמְּךָ אֶת־יִשְׂרָאֵל וְאֵת הָאֲדָמָה אֲשֶׁר נָתַתָּה לָנוּ כַּאֲשֶׁר נִשְׁבַּעְתָּ לַאֲבֹתֵינוּ אֶרֶץ זָבַת חָלָב וּדְבָשׁ</w:t>
      </w:r>
      <w:r>
        <w:rPr>
          <w:rtl/>
        </w:rPr>
        <w:t xml:space="preserve"> </w:t>
      </w:r>
      <w:r>
        <w:t xml:space="preserve">ist die Fortsetzung der direkten Rede (Bitte um Segen): </w:t>
      </w:r>
      <w:r>
        <w:rPr>
          <w:rStyle w:val="Fett"/>
          <w:rFonts w:eastAsiaTheme="majorEastAsia"/>
          <w:rtl/>
        </w:rPr>
        <w:t>הַשְׁקִיפָה מִמְּעוֹן קָדְשְׁךָ מִן־הַשָּׁמַיִם</w:t>
      </w:r>
      <w:r>
        <w:rPr>
          <w:rtl/>
        </w:rPr>
        <w:t xml:space="preserve"> </w:t>
      </w:r>
      <w:r>
        <w:t>(</w:t>
      </w:r>
      <w:r>
        <w:rPr>
          <w:rStyle w:val="Fett"/>
          <w:rFonts w:eastAsiaTheme="majorEastAsia"/>
          <w:rtl/>
        </w:rPr>
        <w:t>שׁקף</w:t>
      </w:r>
      <w:r>
        <w:t xml:space="preserve">, Hiphil Imperativ, 2. Person Maskulinum Singular, „herabblicken, herabschauen", Präposition </w:t>
      </w:r>
      <w:r>
        <w:rPr>
          <w:rStyle w:val="Fett"/>
          <w:rFonts w:eastAsiaTheme="majorEastAsia"/>
          <w:rtl/>
        </w:rPr>
        <w:t>מִן</w:t>
      </w:r>
      <w:r>
        <w:rPr>
          <w:rtl/>
        </w:rPr>
        <w:t xml:space="preserve"> </w:t>
      </w:r>
      <w:r>
        <w:t xml:space="preserve">mit </w:t>
      </w:r>
      <w:r>
        <w:rPr>
          <w:rStyle w:val="Fett"/>
          <w:rFonts w:eastAsiaTheme="majorEastAsia"/>
          <w:rtl/>
        </w:rPr>
        <w:t>מָעוֹן</w:t>
      </w:r>
      <w:r>
        <w:t xml:space="preserve">, „Wohnung, Wohnstätte", Construct mit </w:t>
      </w:r>
      <w:r>
        <w:rPr>
          <w:rStyle w:val="Fett"/>
          <w:rFonts w:eastAsiaTheme="majorEastAsia"/>
          <w:rtl/>
        </w:rPr>
        <w:t>קֹדֶשׁ</w:t>
      </w:r>
      <w:r>
        <w:t xml:space="preserve">, „Heiligkeit", mit Suffix 2. Person Maskulinum Singular, Präposition </w:t>
      </w:r>
      <w:r>
        <w:rPr>
          <w:rStyle w:val="Fett"/>
          <w:rFonts w:eastAsiaTheme="majorEastAsia"/>
          <w:rtl/>
        </w:rPr>
        <w:t>מִן</w:t>
      </w:r>
      <w:r>
        <w:rPr>
          <w:rtl/>
        </w:rPr>
        <w:t xml:space="preserve"> </w:t>
      </w:r>
      <w:r>
        <w:t xml:space="preserve">mit </w:t>
      </w:r>
      <w:r>
        <w:rPr>
          <w:rStyle w:val="Fett"/>
          <w:rFonts w:eastAsiaTheme="majorEastAsia"/>
          <w:rtl/>
        </w:rPr>
        <w:t>שָׁמַיִם</w:t>
      </w:r>
      <w:r>
        <w:t xml:space="preserve">), </w:t>
      </w:r>
      <w:r>
        <w:rPr>
          <w:rStyle w:val="Fett"/>
          <w:rFonts w:eastAsiaTheme="majorEastAsia"/>
          <w:rtl/>
        </w:rPr>
        <w:t>וּבָרֵךְ אֶת־עַמְּךָ אֶת־יִשְׂרָאֵל וְאֵת הָאֲדָמָה אֲשֶׁר נָתַתָּה לָנוּ כַּאֲשֶׁר נִשְׁבַּעְתָּ לַאֲבֹתֵינוּ אֶרֶץ זָבַת חָלָב וּדְבָשׁ</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ברך</w:t>
      </w:r>
      <w:r>
        <w:t xml:space="preserve">, Piel Imperativ, 2. Person Maskulinum Singular, „segnen", Objektpartikel </w:t>
      </w:r>
      <w:r>
        <w:rPr>
          <w:rStyle w:val="Fett"/>
          <w:rFonts w:eastAsiaTheme="majorEastAsia"/>
          <w:rtl/>
        </w:rPr>
        <w:t>אֵת</w:t>
      </w:r>
      <w:r>
        <w:rPr>
          <w:rtl/>
        </w:rPr>
        <w:t xml:space="preserve"> </w:t>
      </w:r>
      <w:r>
        <w:t xml:space="preserve">mit </w:t>
      </w:r>
      <w:r>
        <w:rPr>
          <w:rStyle w:val="Fett"/>
          <w:rFonts w:eastAsiaTheme="majorEastAsia"/>
          <w:rtl/>
        </w:rPr>
        <w:t>עַם</w:t>
      </w:r>
      <w:r>
        <w:rPr>
          <w:rtl/>
        </w:rPr>
        <w:t xml:space="preserve"> </w:t>
      </w:r>
      <w:r>
        <w:t xml:space="preserve">mit Suffix 2. Person Maskulinum Singular, Objektpartikel </w:t>
      </w:r>
      <w:r>
        <w:rPr>
          <w:rStyle w:val="Fett"/>
          <w:rFonts w:eastAsiaTheme="majorEastAsia"/>
          <w:rtl/>
        </w:rPr>
        <w:t>אֵת</w:t>
      </w:r>
      <w:r>
        <w:rPr>
          <w:rtl/>
        </w:rPr>
        <w:t xml:space="preserve"> </w:t>
      </w:r>
      <w:r>
        <w:t xml:space="preserve">mit </w:t>
      </w:r>
      <w:r>
        <w:rPr>
          <w:rStyle w:val="Fett"/>
          <w:rFonts w:eastAsiaTheme="majorEastAsia"/>
          <w:rtl/>
        </w:rPr>
        <w:t>יִשְׂרָאֵל</w:t>
      </w:r>
      <w:r>
        <w:rPr>
          <w:rtl/>
        </w:rPr>
        <w:t xml:space="preserve"> </w:t>
      </w:r>
      <w:r>
        <w:t xml:space="preserve">als Apposition, koordiniert durch </w:t>
      </w:r>
      <w:r>
        <w:rPr>
          <w:rStyle w:val="Fett"/>
          <w:rFonts w:eastAsiaTheme="majorEastAsia"/>
          <w:rtl/>
        </w:rPr>
        <w:t>וְ</w:t>
      </w:r>
      <w:r>
        <w:rPr>
          <w:rtl/>
        </w:rPr>
        <w:t xml:space="preserve"> </w:t>
      </w:r>
      <w:r>
        <w:t xml:space="preserve">mit Objektpartikel </w:t>
      </w:r>
      <w:r>
        <w:rPr>
          <w:rStyle w:val="Fett"/>
          <w:rFonts w:eastAsiaTheme="majorEastAsia"/>
          <w:rtl/>
        </w:rPr>
        <w:t>אֵת</w:t>
      </w:r>
      <w:r>
        <w:t xml:space="preserve">, </w:t>
      </w:r>
      <w:r>
        <w:rPr>
          <w:rStyle w:val="Fett"/>
          <w:rFonts w:eastAsiaTheme="majorEastAsia"/>
          <w:rtl/>
        </w:rPr>
        <w:t>אֲדָמָה</w:t>
      </w:r>
      <w:r>
        <w:rPr>
          <w:rtl/>
        </w:rPr>
        <w:t xml:space="preserve"> </w:t>
      </w:r>
      <w:r>
        <w:t>mit Artikel, Relativsatz und Vergleichssatz, Apposition mit der Standardformel für das Land).</w:t>
      </w:r>
    </w:p>
    <w:p w14:paraId="64F3C417" w14:textId="66A5C32C" w:rsidR="00A709A3" w:rsidRDefault="00A709A3" w:rsidP="00A709A3">
      <w:pPr>
        <w:pStyle w:val="whitespace-normal"/>
      </w:pPr>
      <w:r>
        <w:t xml:space="preserve">Der Vers schließt die Deklaration mit einer Bitte um göttlichen Segen ab. Die erste Bitte: </w:t>
      </w:r>
      <w:r>
        <w:rPr>
          <w:rStyle w:val="Fett"/>
          <w:rFonts w:eastAsiaTheme="majorEastAsia"/>
          <w:rtl/>
        </w:rPr>
        <w:t>הַשְׁקִיפָה מִמְּעוֹן קָדְשְׁךָ מִן־הַשָּׁמַיִם</w:t>
      </w:r>
      <w:r>
        <w:rPr>
          <w:rtl/>
        </w:rPr>
        <w:t xml:space="preserve"> </w:t>
      </w:r>
      <w:r>
        <w:t xml:space="preserve">(„blicke herab von deiner heiligen Wohnung, vom Himmel"). Das Verb </w:t>
      </w:r>
      <w:r>
        <w:rPr>
          <w:rStyle w:val="Fett"/>
          <w:rFonts w:eastAsiaTheme="majorEastAsia"/>
          <w:rtl/>
        </w:rPr>
        <w:t>שׁקף</w:t>
      </w:r>
      <w:r>
        <w:rPr>
          <w:rtl/>
        </w:rPr>
        <w:t xml:space="preserve"> </w:t>
      </w:r>
      <w:r>
        <w:t xml:space="preserve">im Hiphil („herabblicken, herabschauen") beschreibt göttliche Aufmerksamkeit und Fürsorge. Die Formulierung </w:t>
      </w:r>
      <w:r>
        <w:rPr>
          <w:rStyle w:val="Fett"/>
          <w:rFonts w:eastAsiaTheme="majorEastAsia"/>
          <w:rtl/>
        </w:rPr>
        <w:t>מִמְּעוֹן קָדְשְׁךָ מִן־הַשָּׁמַיִם</w:t>
      </w:r>
      <w:r>
        <w:rPr>
          <w:rtl/>
        </w:rPr>
        <w:t xml:space="preserve"> </w:t>
      </w:r>
      <w:r>
        <w:t xml:space="preserve">(„von deiner heiligen Wohnung, vom Himmel") identifiziert den Himmel als JHWHs Wohnung – im Gegensatz zum irdischen Heiligtum. Die zweite Bitte: </w:t>
      </w:r>
      <w:r>
        <w:rPr>
          <w:rStyle w:val="Fett"/>
          <w:rFonts w:eastAsiaTheme="majorEastAsia"/>
          <w:rtl/>
        </w:rPr>
        <w:t>וּבָרֵךְ אֶת־עַמְּךָ אֶת־יִשְׂרָאֵל וְאֵת הָאֲדָמָה אֲשֶׁר נָתַתָּה לָנוּ כַּאֲשֶׁר נִשְׁבַּעְתָּ לַאֲבֹתֵינוּ אֶרֶץ זָבַת חָלָב וּדְבָשׁ</w:t>
      </w:r>
      <w:r>
        <w:rPr>
          <w:rtl/>
        </w:rPr>
        <w:t xml:space="preserve"> </w:t>
      </w:r>
      <w:r>
        <w:t xml:space="preserve">(„und segne dein Volk Israel und das Land, das du uns gegeben hast, wie du unseren Vätern geschworen hast, ein Land, fließend von Milch und Honig"). Der doppelte Segen: (1) </w:t>
      </w:r>
      <w:r>
        <w:rPr>
          <w:rStyle w:val="Fett"/>
          <w:rFonts w:eastAsiaTheme="majorEastAsia"/>
          <w:rtl/>
        </w:rPr>
        <w:t>עַמְּךָ... יִשְׂרָאֵל</w:t>
      </w:r>
      <w:r>
        <w:rPr>
          <w:rtl/>
        </w:rPr>
        <w:t xml:space="preserve"> </w:t>
      </w:r>
      <w:r>
        <w:t xml:space="preserve">(„dein Volk... Israel") – das Volk selbst. (2) </w:t>
      </w:r>
      <w:r>
        <w:rPr>
          <w:rStyle w:val="Fett"/>
          <w:rFonts w:eastAsiaTheme="majorEastAsia"/>
          <w:rtl/>
        </w:rPr>
        <w:t>הָאֲדָמָה</w:t>
      </w:r>
      <w:r>
        <w:rPr>
          <w:rtl/>
        </w:rPr>
        <w:t xml:space="preserve"> </w:t>
      </w:r>
      <w:r>
        <w:t xml:space="preserve">(„das Land") – die Fruchtbarkeit des Landes. Die Formulierung </w:t>
      </w:r>
      <w:r>
        <w:rPr>
          <w:rStyle w:val="Fett"/>
          <w:rFonts w:eastAsiaTheme="majorEastAsia"/>
          <w:rtl/>
        </w:rPr>
        <w:t>אֲשֶׁר נָתַתָּה לָנוּ כַּאֲשֶׁר נִשְׁבַּעְתָּ לַאֲבֹתֵינוּ</w:t>
      </w:r>
      <w:r>
        <w:rPr>
          <w:rtl/>
        </w:rPr>
        <w:t xml:space="preserve"> </w:t>
      </w:r>
      <w:r>
        <w:t xml:space="preserve">(„das du uns gegeben hast, wie du unseren Vätern geschworen hast") verbindet Verheißung und Erfüllung (vgl. Gen 15,18-21; 26,3; Ex 6,8). Die Apposition </w:t>
      </w:r>
      <w:r>
        <w:rPr>
          <w:rStyle w:val="Fett"/>
          <w:rFonts w:eastAsiaTheme="majorEastAsia"/>
          <w:rtl/>
        </w:rPr>
        <w:t>אֶרֶץ זָבַת חָלָב וּדְבָשׁ</w:t>
      </w:r>
      <w:r>
        <w:rPr>
          <w:rtl/>
        </w:rPr>
        <w:t xml:space="preserve"> </w:t>
      </w:r>
      <w:r>
        <w:t xml:space="preserve">(„ein Land, fließend von Milch und Honig") ist die klassische Beschreibung. Die Logik des Rituals: Der Israelit hat seine Verpflichtungen erfüllt (V. 12-14), nun bittet er JHWH, Seinerseits zu segnen. Die </w:t>
      </w:r>
      <w:r>
        <w:rPr>
          <w:rStyle w:val="Fett"/>
          <w:rFonts w:eastAsiaTheme="majorEastAsia"/>
        </w:rPr>
        <w:t>Setumah</w:t>
      </w:r>
      <w:r>
        <w:t xml:space="preserve"> (</w:t>
      </w:r>
      <w:r>
        <w:rPr>
          <w:rtl/>
        </w:rPr>
        <w:t>ס</w:t>
      </w:r>
      <w:r>
        <w:t>) markiert das Ende des liturgischen Abschnitts (V. 1-15). V. 16 beginnt den feierlichen Bundesschluss.</w:t>
      </w:r>
    </w:p>
    <w:p w14:paraId="003D6A05" w14:textId="59B2077F" w:rsidR="001A04EF" w:rsidRDefault="001A04EF" w:rsidP="00A709A3">
      <w:pPr>
        <w:pStyle w:val="whitespace-normal"/>
      </w:pPr>
      <w:r>
        <w:rPr>
          <w:rStyle w:val="Fett"/>
        </w:rPr>
        <w:t>Die LXX</w:t>
      </w:r>
      <w:r>
        <w:t xml:space="preserve"> übersetzt </w:t>
      </w:r>
      <w:r>
        <w:rPr>
          <w:rtl/>
        </w:rPr>
        <w:t>הַשְׁקִיפָה מִמְּעוֹן קָדְשְׁךָ</w:t>
      </w:r>
      <w:r>
        <w:t xml:space="preserve"> (schaue herab von deiner heiligen Wohnung) mit </w:t>
      </w:r>
      <w:proofErr w:type="spellStart"/>
      <w:r>
        <w:t>κάτιδε</w:t>
      </w:r>
      <w:proofErr w:type="spellEnd"/>
      <w:r>
        <w:t xml:space="preserve"> </w:t>
      </w:r>
      <w:proofErr w:type="spellStart"/>
      <w:r>
        <w:t>ἐκ</w:t>
      </w:r>
      <w:proofErr w:type="spellEnd"/>
      <w:r>
        <w:t xml:space="preserve"> </w:t>
      </w:r>
      <w:proofErr w:type="spellStart"/>
      <w:r>
        <w:t>τοῦ</w:t>
      </w:r>
      <w:proofErr w:type="spellEnd"/>
      <w:r>
        <w:t xml:space="preserve"> </w:t>
      </w:r>
      <w:proofErr w:type="spellStart"/>
      <w:r>
        <w:t>οἴκου</w:t>
      </w:r>
      <w:proofErr w:type="spellEnd"/>
      <w:r>
        <w:t xml:space="preserve"> </w:t>
      </w:r>
      <w:proofErr w:type="spellStart"/>
      <w:r>
        <w:t>τοῦ</w:t>
      </w:r>
      <w:proofErr w:type="spellEnd"/>
      <w:r>
        <w:t xml:space="preserve"> </w:t>
      </w:r>
      <w:proofErr w:type="spellStart"/>
      <w:r>
        <w:t>ἁγίου</w:t>
      </w:r>
      <w:proofErr w:type="spellEnd"/>
      <w:r>
        <w:t xml:space="preserve"> </w:t>
      </w:r>
      <w:proofErr w:type="spellStart"/>
      <w:r>
        <w:t>σου</w:t>
      </w:r>
      <w:proofErr w:type="spellEnd"/>
      <w:r>
        <w:t xml:space="preserve"> (schaue herab aus dem Haus deines Heiligtums) – κα</w:t>
      </w:r>
      <w:proofErr w:type="spellStart"/>
      <w:r>
        <w:t>τοράω</w:t>
      </w:r>
      <w:proofErr w:type="spellEnd"/>
      <w:r>
        <w:t xml:space="preserve"> bedeutet "von oben herabschauen, beobachten".</w:t>
      </w:r>
    </w:p>
    <w:p w14:paraId="76B69938" w14:textId="77777777" w:rsidR="00A709A3" w:rsidRDefault="00A709A3" w:rsidP="00A709A3">
      <w:pPr>
        <w:pStyle w:val="whitespace-normal"/>
      </w:pPr>
      <w:r>
        <w:rPr>
          <w:rStyle w:val="Fett"/>
          <w:rFonts w:eastAsiaTheme="majorEastAsia"/>
        </w:rPr>
        <w:t>Die Satzstruktur:</w:t>
      </w:r>
      <w:r>
        <w:t xml:space="preserve"> Fortsetzung der direkten Rede – Bitte um Segen (blicke herab von deiner heiligen Wohnung, vom Himmel, und segne dein Volk Israel und das Land, das du uns gegeben hast, wie du unseren Vätern geschworen hast, ein Land, fließend von Milch und Honig).</w:t>
      </w:r>
    </w:p>
    <w:p w14:paraId="46F0459D" w14:textId="5CA8AE41" w:rsidR="00A709A3" w:rsidRDefault="00A709A3" w:rsidP="00705F3D">
      <w:pPr>
        <w:pStyle w:val="whitespace-normal"/>
      </w:pPr>
      <w:r>
        <w:rPr>
          <w:rStyle w:val="Fett"/>
          <w:rFonts w:eastAsiaTheme="majorEastAsia"/>
        </w:rPr>
        <w:t>Der Vers beschreibt:</w:t>
      </w:r>
      <w:r>
        <w:t xml:space="preserve"> Bitte um göttlichen Segen – der Israelit bittet JHWH, vom Himmel herabzublicken und Volk und Land zu segnen.</w:t>
      </w:r>
    </w:p>
    <w:p w14:paraId="0AAB704E" w14:textId="77777777" w:rsidR="00A709A3" w:rsidRPr="00B53ACC" w:rsidRDefault="00A709A3" w:rsidP="00B53ACC">
      <w:pPr>
        <w:pStyle w:val="Bibelberschrift"/>
      </w:pPr>
      <w:r w:rsidRPr="00B53ACC">
        <w:rPr>
          <w:rStyle w:val="Fett"/>
          <w:b/>
          <w:bCs w:val="0"/>
        </w:rPr>
        <w:lastRenderedPageBreak/>
        <w:t>Deuteronomium 26,16</w:t>
      </w:r>
    </w:p>
    <w:p w14:paraId="6E0012C3" w14:textId="77777777" w:rsidR="00A709A3" w:rsidRDefault="00A709A3" w:rsidP="00A709A3">
      <w:pPr>
        <w:pStyle w:val="whitespace-normal"/>
      </w:pPr>
      <w:r>
        <w:rPr>
          <w:rStyle w:val="Fett"/>
          <w:rFonts w:eastAsiaTheme="majorEastAsia"/>
        </w:rPr>
        <w:t>Hebräisch:</w:t>
      </w:r>
      <w:r>
        <w:t xml:space="preserve"> </w:t>
      </w:r>
      <w:r>
        <w:rPr>
          <w:rtl/>
        </w:rPr>
        <w:t>הַיּוֹם הַזֶּה יְהוָה אֱלֹהֶיךָ מְצַוְּךָ לַעֲשׂוֹת אֶת־הַחֻקִּים הָאֵלֶּה וְאֶת־הַמִּשְׁפָּטִים וְשָׁמַרְתָּ וְעָשִׂיתָ אוֹתָם בְּכָל־לְבָבְךָ וּבְכָל־נַפְשֶֽׁךָ׃</w:t>
      </w:r>
    </w:p>
    <w:p w14:paraId="13DCA60C" w14:textId="77777777" w:rsidR="00A709A3" w:rsidRDefault="00A709A3" w:rsidP="00A709A3">
      <w:pPr>
        <w:pStyle w:val="whitespace-normal"/>
      </w:pPr>
      <w:r>
        <w:rPr>
          <w:rStyle w:val="Fett"/>
          <w:rFonts w:eastAsiaTheme="majorEastAsia"/>
        </w:rPr>
        <w:t>Deutsch:</w:t>
      </w:r>
      <w:r>
        <w:t xml:space="preserve"> An diesem Tag gebietet dir JHWH, dein Gott, diese Satzungen und Rechte zu tun; so bewahre und tue sie mit deinem ganzen Herzen und mit deiner ganzen Seele.</w:t>
      </w:r>
    </w:p>
    <w:p w14:paraId="12DAE0B8" w14:textId="77777777" w:rsidR="00A709A3" w:rsidRDefault="004F5CEB" w:rsidP="00A709A3">
      <w:r>
        <w:rPr>
          <w:noProof/>
        </w:rPr>
        <w:pict w14:anchorId="1BAFD079">
          <v:rect id="_x0000_i1708" style="width:0;height:1.5pt" o:hralign="center" o:hrstd="t" o:hr="t" fillcolor="#a0a0a0" stroked="f"/>
        </w:pict>
      </w:r>
    </w:p>
    <w:p w14:paraId="71EBBBD2"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הַיּוֹם הַזֶּה יְהוָה אֱלֹהֶיךָ מְצַוְּךָ לַעֲשׂוֹת אֶת־הַחֻקִּים הָאֵלֶּה וְאֶת־הַמִּשְׁפָּטִים וְשָׁמַרְתָּ וְעָשִׂיתָ אוֹתָם בְּכָל־לְבָבְךָ וּבְכָל־נַפְשֶׁךָ</w:t>
      </w:r>
      <w:r>
        <w:rPr>
          <w:rtl/>
        </w:rPr>
        <w:t xml:space="preserve"> </w:t>
      </w:r>
      <w:r>
        <w:t xml:space="preserve">sind zwei Aussagen: </w:t>
      </w:r>
      <w:r>
        <w:rPr>
          <w:rStyle w:val="Fett"/>
          <w:rFonts w:eastAsiaTheme="majorEastAsia"/>
          <w:rtl/>
        </w:rPr>
        <w:t>הַיּוֹם הַזֶּה יְהוָה אֱלֹהֶיךָ מְצַוְּךָ לַעֲשׂוֹת אֶת־הַחֻקִּים הָאֵלֶּה וְאֶת־הַמִּשְׁפָּטִים</w:t>
      </w:r>
      <w:r>
        <w:rPr>
          <w:rtl/>
        </w:rPr>
        <w:t xml:space="preserve"> </w:t>
      </w:r>
      <w:r>
        <w:t>(</w:t>
      </w:r>
      <w:r>
        <w:rPr>
          <w:rStyle w:val="Fett"/>
          <w:rFonts w:eastAsiaTheme="majorEastAsia"/>
          <w:rtl/>
        </w:rPr>
        <w:t>הַיּוֹם הַזֶּה</w:t>
      </w:r>
      <w:r>
        <w:t xml:space="preserve">, „an diesem Tag", </w:t>
      </w:r>
      <w:r>
        <w:rPr>
          <w:rStyle w:val="Fett"/>
          <w:rFonts w:eastAsiaTheme="majorEastAsia"/>
          <w:rtl/>
        </w:rPr>
        <w:t>יְהוָה אֱלֹהֶיךָ</w:t>
      </w:r>
      <w:r>
        <w:rPr>
          <w:rtl/>
        </w:rPr>
        <w:t xml:space="preserve"> </w:t>
      </w:r>
      <w:r>
        <w:t xml:space="preserve">als Subjekt, </w:t>
      </w:r>
      <w:r>
        <w:rPr>
          <w:rStyle w:val="Fett"/>
          <w:rFonts w:eastAsiaTheme="majorEastAsia"/>
          <w:rtl/>
        </w:rPr>
        <w:t>צוה</w:t>
      </w:r>
      <w:r>
        <w:t xml:space="preserve">, Piel Partizip, „befehlen, gebieten", mit Suffix 2. Person Maskulinum Singular, Präposition </w:t>
      </w:r>
      <w:r>
        <w:rPr>
          <w:rStyle w:val="Fett"/>
          <w:rFonts w:eastAsiaTheme="majorEastAsia"/>
          <w:rtl/>
        </w:rPr>
        <w:t>לְ</w:t>
      </w:r>
      <w:r>
        <w:rPr>
          <w:rtl/>
        </w:rPr>
        <w:t xml:space="preserve"> </w:t>
      </w:r>
      <w:r>
        <w:t xml:space="preserve">mit Qal Infinitiv Construct von </w:t>
      </w:r>
      <w:r>
        <w:rPr>
          <w:rStyle w:val="Fett"/>
          <w:rFonts w:eastAsiaTheme="majorEastAsia"/>
          <w:rtl/>
        </w:rPr>
        <w:t>עשׂה</w:t>
      </w:r>
      <w:r>
        <w:t xml:space="preserve">, Objektpartikel </w:t>
      </w:r>
      <w:r>
        <w:rPr>
          <w:rStyle w:val="Fett"/>
          <w:rFonts w:eastAsiaTheme="majorEastAsia"/>
          <w:rtl/>
        </w:rPr>
        <w:t>אֵת</w:t>
      </w:r>
      <w:r>
        <w:rPr>
          <w:rtl/>
        </w:rPr>
        <w:t xml:space="preserve"> </w:t>
      </w:r>
      <w:r>
        <w:t xml:space="preserve">mit </w:t>
      </w:r>
      <w:r>
        <w:rPr>
          <w:rStyle w:val="Fett"/>
          <w:rFonts w:eastAsiaTheme="majorEastAsia"/>
          <w:rtl/>
        </w:rPr>
        <w:t>חֹק</w:t>
      </w:r>
      <w:r>
        <w:t xml:space="preserve">, „Satzung, Ordnung", Plural mit Demonstrativpronomen </w:t>
      </w:r>
      <w:r>
        <w:rPr>
          <w:rStyle w:val="Fett"/>
          <w:rFonts w:eastAsiaTheme="majorEastAsia"/>
          <w:rtl/>
        </w:rPr>
        <w:t>אֵלֶּה</w:t>
      </w:r>
      <w:r>
        <w:t xml:space="preserve">, koordiniert durch </w:t>
      </w:r>
      <w:r>
        <w:rPr>
          <w:rStyle w:val="Fett"/>
          <w:rFonts w:eastAsiaTheme="majorEastAsia"/>
          <w:rtl/>
        </w:rPr>
        <w:t>וְ</w:t>
      </w:r>
      <w:r>
        <w:rPr>
          <w:rtl/>
        </w:rPr>
        <w:t xml:space="preserve"> </w:t>
      </w:r>
      <w:r>
        <w:t xml:space="preserve">mit Objektpartikel </w:t>
      </w:r>
      <w:r>
        <w:rPr>
          <w:rStyle w:val="Fett"/>
          <w:rFonts w:eastAsiaTheme="majorEastAsia"/>
          <w:rtl/>
        </w:rPr>
        <w:t>אֵת</w:t>
      </w:r>
      <w:r>
        <w:t xml:space="preserve">, </w:t>
      </w:r>
      <w:r>
        <w:rPr>
          <w:rStyle w:val="Fett"/>
          <w:rFonts w:eastAsiaTheme="majorEastAsia"/>
          <w:rtl/>
        </w:rPr>
        <w:t>מִשְׁפָּט</w:t>
      </w:r>
      <w:r>
        <w:t xml:space="preserve">, „Recht, Rechtssatz", Plural), </w:t>
      </w:r>
      <w:r>
        <w:rPr>
          <w:rStyle w:val="Fett"/>
          <w:rFonts w:eastAsiaTheme="majorEastAsia"/>
          <w:rtl/>
        </w:rPr>
        <w:t>וְשָׁמַרְתָּ וְעָשִׂיתָ אוֹתָם בְּכָל־לְבָבְךָ וּבְכָל־נַפְשֶׁךָ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שׁמר</w:t>
      </w:r>
      <w:r>
        <w:t xml:space="preserve">, Qal Perfekt, 2. Person Maskulinum Singular, „bewahren, beobachten", koordiniert durch </w:t>
      </w:r>
      <w:r>
        <w:rPr>
          <w:rStyle w:val="Fett"/>
          <w:rFonts w:eastAsiaTheme="majorEastAsia"/>
          <w:rtl/>
        </w:rPr>
        <w:t>וְ</w:t>
      </w:r>
      <w:r>
        <w:rPr>
          <w:rtl/>
        </w:rPr>
        <w:t xml:space="preserve"> </w:t>
      </w:r>
      <w:r>
        <w:t xml:space="preserve">mit </w:t>
      </w:r>
      <w:r>
        <w:rPr>
          <w:rStyle w:val="Fett"/>
          <w:rFonts w:eastAsiaTheme="majorEastAsia"/>
          <w:rtl/>
        </w:rPr>
        <w:t>עשׂה</w:t>
      </w:r>
      <w:r>
        <w:t xml:space="preserve">, Qal Perfekt, 2. Person Maskulinum Singular, Objektpartikel </w:t>
      </w:r>
      <w:r>
        <w:rPr>
          <w:rStyle w:val="Fett"/>
          <w:rFonts w:eastAsiaTheme="majorEastAsia"/>
          <w:rtl/>
        </w:rPr>
        <w:t>אֵת</w:t>
      </w:r>
      <w:r>
        <w:rPr>
          <w:rtl/>
        </w:rPr>
        <w:t xml:space="preserve"> </w:t>
      </w:r>
      <w:r>
        <w:t xml:space="preserve">mit Suffix 3. Person Maskulinum Plural, </w:t>
      </w:r>
      <w:r>
        <w:rPr>
          <w:rStyle w:val="Fett"/>
          <w:rFonts w:eastAsiaTheme="majorEastAsia"/>
          <w:rtl/>
        </w:rPr>
        <w:t>בְּכָל־לְבָבְךָ וּבְכָל־נַפְשֶׁךָ</w:t>
      </w:r>
      <w:r>
        <w:t xml:space="preserve">, mit </w:t>
      </w:r>
      <w:r>
        <w:rPr>
          <w:rStyle w:val="Fett"/>
          <w:rFonts w:eastAsiaTheme="majorEastAsia"/>
        </w:rPr>
        <w:t>Waw</w:t>
      </w:r>
      <w:r>
        <w:t xml:space="preserve"> consecutives Perfekt).</w:t>
      </w:r>
    </w:p>
    <w:p w14:paraId="7B916457" w14:textId="3D1A2615" w:rsidR="00A709A3" w:rsidRDefault="00A709A3" w:rsidP="00A709A3">
      <w:pPr>
        <w:pStyle w:val="whitespace-normal"/>
      </w:pPr>
      <w:r>
        <w:t xml:space="preserve">Der Vers leitet den feierlichen Bundesschluss ein (V. 16-19). Die erste Aussage: </w:t>
      </w:r>
      <w:r>
        <w:rPr>
          <w:rStyle w:val="Fett"/>
          <w:rFonts w:eastAsiaTheme="majorEastAsia"/>
          <w:rtl/>
        </w:rPr>
        <w:t>הַיּוֹם הַזֶּה יְהוָה אֱלֹהֶיךָ מְצַוְּךָ לַעֲשׂוֹת אֶת־הַחֻקִּים הָאֵלֶּה וְאֶת־הַמִּשְׁפָּטִים</w:t>
      </w:r>
      <w:r>
        <w:rPr>
          <w:rtl/>
        </w:rPr>
        <w:t xml:space="preserve"> </w:t>
      </w:r>
      <w:r>
        <w:t xml:space="preserve">(„an diesem Tag JHWH, dein Gott, gebietet dir, zu tun diese Satzungen und Rechte"). Die Formulierung </w:t>
      </w:r>
      <w:r>
        <w:rPr>
          <w:rStyle w:val="Fett"/>
          <w:rFonts w:eastAsiaTheme="majorEastAsia"/>
          <w:rtl/>
        </w:rPr>
        <w:t>הַיּוֹם הַזֶּה</w:t>
      </w:r>
      <w:r>
        <w:rPr>
          <w:rtl/>
        </w:rPr>
        <w:t xml:space="preserve"> </w:t>
      </w:r>
      <w:r>
        <w:t xml:space="preserve">(„an diesem Tag") markiert einen besonderen, feierlichen Moment – den Tag der Bundeserneuerung. Das Partizip </w:t>
      </w:r>
      <w:r>
        <w:rPr>
          <w:rStyle w:val="Fett"/>
          <w:rFonts w:eastAsiaTheme="majorEastAsia"/>
          <w:rtl/>
        </w:rPr>
        <w:t>מְצַוְּךָ</w:t>
      </w:r>
      <w:r>
        <w:rPr>
          <w:rtl/>
        </w:rPr>
        <w:t xml:space="preserve"> </w:t>
      </w:r>
      <w:r>
        <w:t xml:space="preserve">(„gebietet dir") drückt die Gegenwart und Aktualität des göttlichen Gebots aus. Die beiden Begriffe </w:t>
      </w:r>
      <w:r>
        <w:rPr>
          <w:rStyle w:val="Fett"/>
          <w:rFonts w:eastAsiaTheme="majorEastAsia"/>
          <w:rtl/>
        </w:rPr>
        <w:t>חֻקִּים... מִשְׁפָּטִים</w:t>
      </w:r>
      <w:r>
        <w:rPr>
          <w:rtl/>
        </w:rPr>
        <w:t xml:space="preserve"> </w:t>
      </w:r>
      <w:r>
        <w:t xml:space="preserve">(„Satzungen... Rechte") sind ein festes Begriffspaar für die Gesetze (vgl. Dtn 4,1.5.8.14.45; 5,1.31; 6,1.20; 11,32; 12,1). Die zweite Aussage: </w:t>
      </w:r>
      <w:r>
        <w:rPr>
          <w:rStyle w:val="Fett"/>
          <w:rFonts w:eastAsiaTheme="majorEastAsia"/>
          <w:rtl/>
        </w:rPr>
        <w:t>וְשָׁמַרְתָּ וְעָשִׂיתָ אוֹתָם בְּכָל־לְבָבְךָ וּבְכָל־נַפְשֶׁךָ</w:t>
      </w:r>
      <w:r>
        <w:rPr>
          <w:rtl/>
        </w:rPr>
        <w:t xml:space="preserve"> </w:t>
      </w:r>
      <w:r>
        <w:t xml:space="preserve">(„und bewahren sollst du und tun sollst du sie mit deinem ganzen Herzen und mit deiner ganzen Seele"). Die doppelte Verpflichtung </w:t>
      </w:r>
      <w:r>
        <w:rPr>
          <w:rStyle w:val="Fett"/>
          <w:rFonts w:eastAsiaTheme="majorEastAsia"/>
          <w:rtl/>
        </w:rPr>
        <w:t>שָׁמַרְתָּ וְעָשִׂיתָ</w:t>
      </w:r>
      <w:r>
        <w:rPr>
          <w:rtl/>
        </w:rPr>
        <w:t xml:space="preserve"> </w:t>
      </w:r>
      <w:r>
        <w:t xml:space="preserve">(„bewahren... und tun") betont: sowohl innerlich bewahren als auch äußerlich ausführen. Die Formulierung </w:t>
      </w:r>
      <w:r>
        <w:rPr>
          <w:rStyle w:val="Fett"/>
          <w:rFonts w:eastAsiaTheme="majorEastAsia"/>
          <w:rtl/>
        </w:rPr>
        <w:t>בְּכָל־לְבָבְךָ וּבְכָל־נַפְשֶׁךָ</w:t>
      </w:r>
      <w:r>
        <w:rPr>
          <w:rtl/>
        </w:rPr>
        <w:t xml:space="preserve"> </w:t>
      </w:r>
      <w:r>
        <w:t>(„mit deinem ganzen Herzen und mit deiner ganzen Seele") ist die klassische deuteronomische Formel für totale Hingabe (vgl. Dtn 4,29; 6,5; 10,12; 11,13; 13,4; 30,2.6.10). V. 17 wird Israels Verpflichtung beschreiben.</w:t>
      </w:r>
    </w:p>
    <w:p w14:paraId="2F33D928" w14:textId="711297D3" w:rsidR="001A04EF" w:rsidRDefault="001A04EF" w:rsidP="00A709A3">
      <w:pPr>
        <w:pStyle w:val="whitespace-normal"/>
      </w:pPr>
      <w:r>
        <w:rPr>
          <w:rStyle w:val="Fett"/>
        </w:rPr>
        <w:t>Die LXX</w:t>
      </w:r>
      <w:r>
        <w:t xml:space="preserve"> wechselt von Singular zu Plural: </w:t>
      </w:r>
      <w:proofErr w:type="spellStart"/>
      <w:r>
        <w:t>φυλάξεσθε</w:t>
      </w:r>
      <w:proofErr w:type="spellEnd"/>
      <w:r>
        <w:t xml:space="preserve"> καὶ π</w:t>
      </w:r>
      <w:proofErr w:type="spellStart"/>
      <w:r>
        <w:t>οιήσετε</w:t>
      </w:r>
      <w:proofErr w:type="spellEnd"/>
      <w:r>
        <w:t xml:space="preserve"> (ihr werdet bewahren und tun) statt der Singularform im MT </w:t>
      </w:r>
      <w:r>
        <w:rPr>
          <w:rtl/>
        </w:rPr>
        <w:t>וְשָׁמַרְתָּ וְעָשִׂיתָ</w:t>
      </w:r>
      <w:r>
        <w:t>.</w:t>
      </w:r>
    </w:p>
    <w:p w14:paraId="13C363F4" w14:textId="77777777" w:rsidR="00A709A3" w:rsidRDefault="00A709A3" w:rsidP="00A709A3">
      <w:pPr>
        <w:pStyle w:val="whitespace-normal"/>
      </w:pPr>
      <w:r>
        <w:rPr>
          <w:rStyle w:val="Fett"/>
          <w:rFonts w:eastAsiaTheme="majorEastAsia"/>
        </w:rPr>
        <w:t>Die Satzstruktur:</w:t>
      </w:r>
      <w:r>
        <w:t xml:space="preserve"> Zwei koordinierte Aussagen (an diesem Tag JHWH, dein Gott, gebietet dir, zu tun diese Satzungen und Rechte; und bewahren sollst du und tun sollst du sie mit deinem ganzen Herzen und mit deiner ganzen Seele).</w:t>
      </w:r>
    </w:p>
    <w:p w14:paraId="717CD24E" w14:textId="6C86148E" w:rsidR="00A709A3" w:rsidRDefault="00A709A3" w:rsidP="00705F3D">
      <w:pPr>
        <w:pStyle w:val="whitespace-normal"/>
      </w:pPr>
      <w:r>
        <w:rPr>
          <w:rStyle w:val="Fett"/>
          <w:rFonts w:eastAsiaTheme="majorEastAsia"/>
        </w:rPr>
        <w:t>Der Vers beschreibt:</w:t>
      </w:r>
      <w:r>
        <w:t xml:space="preserve"> Feierlicher Moment – JHWH gebietet Israel die Gesetze, und Israel verpflichtet sich zu ganzem Herzen.</w:t>
      </w:r>
    </w:p>
    <w:p w14:paraId="5C9CE329" w14:textId="77777777" w:rsidR="00A709A3" w:rsidRPr="00B53ACC" w:rsidRDefault="00A709A3" w:rsidP="00B53ACC">
      <w:pPr>
        <w:pStyle w:val="Bibelberschrift"/>
      </w:pPr>
      <w:r w:rsidRPr="00B53ACC">
        <w:rPr>
          <w:rStyle w:val="Fett"/>
          <w:b/>
          <w:bCs w:val="0"/>
        </w:rPr>
        <w:lastRenderedPageBreak/>
        <w:t>Deuteronomium 26,17</w:t>
      </w:r>
    </w:p>
    <w:p w14:paraId="09C37A3C" w14:textId="77777777" w:rsidR="00A709A3" w:rsidRDefault="00A709A3" w:rsidP="00A709A3">
      <w:pPr>
        <w:pStyle w:val="whitespace-normal"/>
      </w:pPr>
      <w:r>
        <w:rPr>
          <w:rStyle w:val="Fett"/>
          <w:rFonts w:eastAsiaTheme="majorEastAsia"/>
        </w:rPr>
        <w:t>Hebräisch:</w:t>
      </w:r>
      <w:r>
        <w:t xml:space="preserve"> </w:t>
      </w:r>
      <w:r>
        <w:rPr>
          <w:rtl/>
        </w:rPr>
        <w:t>אֶת־יְהוָה הֶאֱמַרְתָּ הַיּוֹם לִהְיוֹת לְךָ לֵֽאלֹהִים וְלָלֶכֶת בִּדְרָכָיו וְלִשְׁמֹר חֻקָּיו וּמִצְוֹתָיו וּמִשְׁפָּטָיו וְלִשְׁמֹעַ בְּקֹלֹֽו׃</w:t>
      </w:r>
    </w:p>
    <w:p w14:paraId="2B34F736" w14:textId="77777777" w:rsidR="00A709A3" w:rsidRDefault="00A709A3" w:rsidP="00A709A3">
      <w:pPr>
        <w:pStyle w:val="whitespace-normal"/>
      </w:pPr>
      <w:r>
        <w:rPr>
          <w:rStyle w:val="Fett"/>
          <w:rFonts w:eastAsiaTheme="majorEastAsia"/>
        </w:rPr>
        <w:t>Deutsch:</w:t>
      </w:r>
      <w:r>
        <w:t xml:space="preserve"> Du hast heute JHWH sagen lassen, dass er dein Gott sein soll und dass du auf seinen Wegen gehen und seine Satzungen und seine Gebote und seine Rechte bewahren und auf seine Stimme hören willst.</w:t>
      </w:r>
    </w:p>
    <w:p w14:paraId="29FC9AED" w14:textId="77777777" w:rsidR="00A709A3" w:rsidRDefault="004F5CEB" w:rsidP="00A709A3">
      <w:r>
        <w:rPr>
          <w:noProof/>
        </w:rPr>
        <w:pict w14:anchorId="4371FA85">
          <v:rect id="_x0000_i1709" style="width:0;height:1.5pt" o:hralign="center" o:hrstd="t" o:hr="t" fillcolor="#a0a0a0" stroked="f"/>
        </w:pict>
      </w:r>
    </w:p>
    <w:p w14:paraId="5AD03470"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אֶת־יְהוָה הֶאֱמַרְתָּ הַיּוֹם לִהְיוֹת לְךָ לֵאלֹהִים וְלָלֶכֶת בִּדְרָכָיו וְלִשְׁמֹר חֻקָּיו וּמִצְוֹתָיו וּמִשְׁפָּטָיו וְלִשְׁמֹעַ בְּקֹלוֹ</w:t>
      </w:r>
      <w:r>
        <w:rPr>
          <w:rtl/>
        </w:rPr>
        <w:t xml:space="preserve"> </w:t>
      </w:r>
      <w:r>
        <w:t xml:space="preserve">ist eine Aussage mit fünf Infinitiven: </w:t>
      </w:r>
      <w:r>
        <w:rPr>
          <w:rStyle w:val="Fett"/>
          <w:rFonts w:eastAsiaTheme="majorEastAsia"/>
          <w:rtl/>
        </w:rPr>
        <w:t>אֶת־יְהוָה הֶאֱמַרְתָּ הַיּוֹם</w:t>
      </w:r>
      <w:r>
        <w:rPr>
          <w:rtl/>
        </w:rPr>
        <w:t xml:space="preserve"> </w:t>
      </w:r>
      <w:r>
        <w:t xml:space="preserve">(Objektpartikel </w:t>
      </w:r>
      <w:r>
        <w:rPr>
          <w:rStyle w:val="Fett"/>
          <w:rFonts w:eastAsiaTheme="majorEastAsia"/>
          <w:rtl/>
        </w:rPr>
        <w:t>אֵת</w:t>
      </w:r>
      <w:r>
        <w:rPr>
          <w:rtl/>
        </w:rPr>
        <w:t xml:space="preserve"> </w:t>
      </w:r>
      <w:r>
        <w:t xml:space="preserve">mit </w:t>
      </w:r>
      <w:r>
        <w:rPr>
          <w:rStyle w:val="Fett"/>
          <w:rFonts w:eastAsiaTheme="majorEastAsia"/>
          <w:rtl/>
        </w:rPr>
        <w:t>יְהוָה</w:t>
      </w:r>
      <w:r>
        <w:t xml:space="preserve">, </w:t>
      </w:r>
      <w:r>
        <w:rPr>
          <w:rStyle w:val="Fett"/>
          <w:rFonts w:eastAsiaTheme="majorEastAsia"/>
          <w:rtl/>
        </w:rPr>
        <w:t>אמר</w:t>
      </w:r>
      <w:r>
        <w:t xml:space="preserve">, Hiphil Perfekt, 2. Person Maskulinum Singular, „sagen lassen, erklären lassen, anerkennen", </w:t>
      </w:r>
      <w:r>
        <w:rPr>
          <w:rStyle w:val="Fett"/>
          <w:rFonts w:eastAsiaTheme="majorEastAsia"/>
          <w:rtl/>
        </w:rPr>
        <w:t>הַיּוֹם</w:t>
      </w:r>
      <w:r>
        <w:t xml:space="preserve">), </w:t>
      </w:r>
      <w:r>
        <w:rPr>
          <w:rStyle w:val="Fett"/>
          <w:rFonts w:eastAsiaTheme="majorEastAsia"/>
          <w:rtl/>
        </w:rPr>
        <w:t>לִהְיוֹת לְךָ לֵאלֹהִים</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היה</w:t>
      </w:r>
      <w:r>
        <w:t xml:space="preserve">, </w:t>
      </w:r>
      <w:r>
        <w:rPr>
          <w:rStyle w:val="Fett"/>
          <w:rFonts w:eastAsiaTheme="majorEastAsia"/>
          <w:rtl/>
        </w:rPr>
        <w:t>לְךָ</w:t>
      </w:r>
      <w:r>
        <w:t xml:space="preserve">, Dativ, </w:t>
      </w:r>
      <w:r>
        <w:rPr>
          <w:rStyle w:val="Fett"/>
          <w:rFonts w:eastAsiaTheme="majorEastAsia"/>
          <w:rtl/>
        </w:rPr>
        <w:t>לֵאלֹהִים</w:t>
      </w:r>
      <w:r>
        <w:t xml:space="preserve">, Präposition </w:t>
      </w:r>
      <w:r>
        <w:rPr>
          <w:rStyle w:val="Fett"/>
          <w:rFonts w:eastAsiaTheme="majorEastAsia"/>
          <w:rtl/>
        </w:rPr>
        <w:t>לְ</w:t>
      </w:r>
      <w:r>
        <w:rPr>
          <w:rtl/>
        </w:rPr>
        <w:t xml:space="preserve"> </w:t>
      </w:r>
      <w:r>
        <w:t xml:space="preserve">mit </w:t>
      </w:r>
      <w:r>
        <w:rPr>
          <w:rStyle w:val="Fett"/>
          <w:rFonts w:eastAsiaTheme="majorEastAsia"/>
          <w:rtl/>
        </w:rPr>
        <w:t>אֱלֹהִים</w:t>
      </w:r>
      <w:r>
        <w:t xml:space="preserve">), </w:t>
      </w:r>
      <w:r>
        <w:rPr>
          <w:rStyle w:val="Fett"/>
          <w:rFonts w:eastAsiaTheme="majorEastAsia"/>
          <w:rtl/>
        </w:rPr>
        <w:t>וְלָלֶכֶת בִּדְרָכָיו</w:t>
      </w:r>
      <w:r>
        <w:rPr>
          <w:rtl/>
        </w:rPr>
        <w:t xml:space="preserve"> </w:t>
      </w:r>
      <w:r>
        <w:t xml:space="preserve">(koordiniert durch </w:t>
      </w:r>
      <w:r>
        <w:rPr>
          <w:rStyle w:val="Fett"/>
          <w:rFonts w:eastAsiaTheme="majorEastAsia"/>
          <w:rtl/>
        </w:rPr>
        <w:t>וְ</w:t>
      </w:r>
      <w:r>
        <w:rPr>
          <w:rtl/>
        </w:rPr>
        <w:t xml:space="preserve"> </w:t>
      </w:r>
      <w:r>
        <w:t xml:space="preserve">mit Präposition </w:t>
      </w:r>
      <w:r>
        <w:rPr>
          <w:rStyle w:val="Fett"/>
          <w:rFonts w:eastAsiaTheme="majorEastAsia"/>
          <w:rtl/>
        </w:rPr>
        <w:t>לְ</w:t>
      </w:r>
      <w:r>
        <w:t xml:space="preserve">, Qal Infinitiv Construct von </w:t>
      </w:r>
      <w:r>
        <w:rPr>
          <w:rStyle w:val="Fett"/>
          <w:rFonts w:eastAsiaTheme="majorEastAsia"/>
          <w:rtl/>
        </w:rPr>
        <w:t>הלך</w:t>
      </w:r>
      <w:r>
        <w:t xml:space="preserve">, Präposition </w:t>
      </w:r>
      <w:r>
        <w:rPr>
          <w:rStyle w:val="Fett"/>
          <w:rFonts w:eastAsiaTheme="majorEastAsia"/>
          <w:rtl/>
        </w:rPr>
        <w:t>בְּ</w:t>
      </w:r>
      <w:r>
        <w:rPr>
          <w:rtl/>
        </w:rPr>
        <w:t xml:space="preserve"> </w:t>
      </w:r>
      <w:r>
        <w:t xml:space="preserve">mit </w:t>
      </w:r>
      <w:r>
        <w:rPr>
          <w:rStyle w:val="Fett"/>
          <w:rFonts w:eastAsiaTheme="majorEastAsia"/>
          <w:rtl/>
        </w:rPr>
        <w:t>דֶּרֶךְ</w:t>
      </w:r>
      <w:r>
        <w:t xml:space="preserve">, „Weg", Plural mit Suffix 3. Person Maskulinum Singular), </w:t>
      </w:r>
      <w:r>
        <w:rPr>
          <w:rStyle w:val="Fett"/>
          <w:rFonts w:eastAsiaTheme="majorEastAsia"/>
          <w:rtl/>
        </w:rPr>
        <w:t>וְלִשְׁמֹר חֻקָּיו וּמִצְוֹתָיו וּמִשְׁפָּטָיו</w:t>
      </w:r>
      <w:r>
        <w:rPr>
          <w:rtl/>
        </w:rPr>
        <w:t xml:space="preserve"> </w:t>
      </w:r>
      <w:r>
        <w:t xml:space="preserve">(koordiniert durch </w:t>
      </w:r>
      <w:r>
        <w:rPr>
          <w:rStyle w:val="Fett"/>
          <w:rFonts w:eastAsiaTheme="majorEastAsia"/>
          <w:rtl/>
        </w:rPr>
        <w:t>וְ</w:t>
      </w:r>
      <w:r>
        <w:rPr>
          <w:rtl/>
        </w:rPr>
        <w:t xml:space="preserve"> </w:t>
      </w:r>
      <w:r>
        <w:t xml:space="preserve">mit Präposition </w:t>
      </w:r>
      <w:r>
        <w:rPr>
          <w:rStyle w:val="Fett"/>
          <w:rFonts w:eastAsiaTheme="majorEastAsia"/>
          <w:rtl/>
        </w:rPr>
        <w:t>לְ</w:t>
      </w:r>
      <w:r>
        <w:t xml:space="preserve">, Qal Infinitiv Construct von </w:t>
      </w:r>
      <w:r>
        <w:rPr>
          <w:rStyle w:val="Fett"/>
          <w:rFonts w:eastAsiaTheme="majorEastAsia"/>
          <w:rtl/>
        </w:rPr>
        <w:t>שׁמר</w:t>
      </w:r>
      <w:r>
        <w:t xml:space="preserve">, </w:t>
      </w:r>
      <w:r>
        <w:rPr>
          <w:rStyle w:val="Fett"/>
          <w:rFonts w:eastAsiaTheme="majorEastAsia"/>
          <w:rtl/>
        </w:rPr>
        <w:t>חֹק</w:t>
      </w:r>
      <w:r>
        <w:rPr>
          <w:rtl/>
        </w:rPr>
        <w:t xml:space="preserve"> </w:t>
      </w:r>
      <w:r>
        <w:t xml:space="preserve">Plural mit Suffix 3. Person Maskulinum Singular, koordiniert mit </w:t>
      </w:r>
      <w:r>
        <w:rPr>
          <w:rStyle w:val="Fett"/>
          <w:rFonts w:eastAsiaTheme="majorEastAsia"/>
          <w:rtl/>
        </w:rPr>
        <w:t>מִצְוָה</w:t>
      </w:r>
      <w:r>
        <w:rPr>
          <w:rtl/>
        </w:rPr>
        <w:t xml:space="preserve"> </w:t>
      </w:r>
      <w:r>
        <w:t xml:space="preserve">Plural mit Suffix, koordiniert mit </w:t>
      </w:r>
      <w:r>
        <w:rPr>
          <w:rStyle w:val="Fett"/>
          <w:rFonts w:eastAsiaTheme="majorEastAsia"/>
          <w:rtl/>
        </w:rPr>
        <w:t>מִשְׁפָּט</w:t>
      </w:r>
      <w:r>
        <w:rPr>
          <w:rtl/>
        </w:rPr>
        <w:t xml:space="preserve"> </w:t>
      </w:r>
      <w:r>
        <w:t xml:space="preserve">Plural mit Suffix), </w:t>
      </w:r>
      <w:r>
        <w:rPr>
          <w:rStyle w:val="Fett"/>
          <w:rFonts w:eastAsiaTheme="majorEastAsia"/>
          <w:rtl/>
        </w:rPr>
        <w:t>וְלִשְׁמֹעַ בְּקֹלוֹ</w:t>
      </w:r>
      <w:r>
        <w:rPr>
          <w:rtl/>
        </w:rPr>
        <w:t xml:space="preserve"> </w:t>
      </w:r>
      <w:r>
        <w:t xml:space="preserve">(koordiniert durch </w:t>
      </w:r>
      <w:r>
        <w:rPr>
          <w:rStyle w:val="Fett"/>
          <w:rFonts w:eastAsiaTheme="majorEastAsia"/>
          <w:rtl/>
        </w:rPr>
        <w:t>וְ</w:t>
      </w:r>
      <w:r>
        <w:rPr>
          <w:rtl/>
        </w:rPr>
        <w:t xml:space="preserve"> </w:t>
      </w:r>
      <w:r>
        <w:t xml:space="preserve">mit Präposition </w:t>
      </w:r>
      <w:r>
        <w:rPr>
          <w:rStyle w:val="Fett"/>
          <w:rFonts w:eastAsiaTheme="majorEastAsia"/>
          <w:rtl/>
        </w:rPr>
        <w:t>לְ</w:t>
      </w:r>
      <w:r>
        <w:t xml:space="preserve">, Qal Infinitiv Construct von </w:t>
      </w:r>
      <w:r>
        <w:rPr>
          <w:rStyle w:val="Fett"/>
          <w:rFonts w:eastAsiaTheme="majorEastAsia"/>
          <w:rtl/>
        </w:rPr>
        <w:t>שׁמע</w:t>
      </w:r>
      <w:r>
        <w:t xml:space="preserve">, Präposition </w:t>
      </w:r>
      <w:r>
        <w:rPr>
          <w:rStyle w:val="Fett"/>
          <w:rFonts w:eastAsiaTheme="majorEastAsia"/>
          <w:rtl/>
        </w:rPr>
        <w:t>בְּ</w:t>
      </w:r>
      <w:r>
        <w:rPr>
          <w:rtl/>
        </w:rPr>
        <w:t xml:space="preserve"> </w:t>
      </w:r>
      <w:r>
        <w:t xml:space="preserve">mit </w:t>
      </w:r>
      <w:r>
        <w:rPr>
          <w:rStyle w:val="Fett"/>
          <w:rFonts w:eastAsiaTheme="majorEastAsia"/>
          <w:rtl/>
        </w:rPr>
        <w:t>קוֹל</w:t>
      </w:r>
      <w:r>
        <w:t>, „Stimme", mit Suffix 3. Person Maskulinum Singular).</w:t>
      </w:r>
    </w:p>
    <w:p w14:paraId="00788B53" w14:textId="6D522E6F" w:rsidR="00A709A3" w:rsidRDefault="00A709A3" w:rsidP="00A709A3">
      <w:pPr>
        <w:pStyle w:val="whitespace-normal"/>
      </w:pPr>
      <w:r>
        <w:t xml:space="preserve">Der Vers beschreibt Israels Bundesverpflichtung. Die Hauptaussage: </w:t>
      </w:r>
      <w:r>
        <w:rPr>
          <w:rStyle w:val="Fett"/>
          <w:rFonts w:eastAsiaTheme="majorEastAsia"/>
          <w:rtl/>
        </w:rPr>
        <w:t>אֶת־יְהוָה הֶאֱמַרְתָּ הַיּוֹם</w:t>
      </w:r>
      <w:r>
        <w:rPr>
          <w:rtl/>
        </w:rPr>
        <w:t xml:space="preserve"> </w:t>
      </w:r>
      <w:r>
        <w:t xml:space="preserve">(„JHWH hast du heute sagen lassen"). Das Verb </w:t>
      </w:r>
      <w:r>
        <w:rPr>
          <w:rStyle w:val="Fett"/>
          <w:rFonts w:eastAsiaTheme="majorEastAsia"/>
          <w:rtl/>
        </w:rPr>
        <w:t>אמר</w:t>
      </w:r>
      <w:r>
        <w:rPr>
          <w:rtl/>
        </w:rPr>
        <w:t xml:space="preserve"> </w:t>
      </w:r>
      <w:r>
        <w:t xml:space="preserve">im Hiphil ist schwierig und selten (nur hier und V. 18 im AT). Mögliche Bedeutungen: (1) „sagen lassen, erklären lassen, anerkennen" – du hast JHWH als deinen Gott anerkannt/erklärt. (2) „versichern lassen" – du hast JHWH zusichern lassen, dass Er dein Gott sein soll. Die erste Interpretation ist wahrscheinlicher. Die fünf Infinitive beschreiben die Verpflichtungen: (1) </w:t>
      </w:r>
      <w:r>
        <w:rPr>
          <w:rStyle w:val="Fett"/>
          <w:rFonts w:eastAsiaTheme="majorEastAsia"/>
          <w:rtl/>
        </w:rPr>
        <w:t>לִהְיוֹת לְךָ לֵאלֹהִים</w:t>
      </w:r>
      <w:r>
        <w:rPr>
          <w:rtl/>
        </w:rPr>
        <w:t xml:space="preserve"> </w:t>
      </w:r>
      <w:r>
        <w:t xml:space="preserve">(„dass er dir Gott sein soll") – Anerkennung JHWHs als einziger Gott (vgl. Dtn 6,4). (2) </w:t>
      </w:r>
      <w:r>
        <w:rPr>
          <w:rStyle w:val="Fett"/>
          <w:rFonts w:eastAsiaTheme="majorEastAsia"/>
          <w:rtl/>
        </w:rPr>
        <w:t>וְלָלֶכֶת בִּדְרָכָיו</w:t>
      </w:r>
      <w:r>
        <w:rPr>
          <w:rtl/>
        </w:rPr>
        <w:t xml:space="preserve"> </w:t>
      </w:r>
      <w:r>
        <w:t xml:space="preserve">(„und auf seinen Wegen zu gehen") – Nachfolge (vgl. Dtn 8,6; 10,12; 11,22; 19,9; 28,9; 30,16). (3) </w:t>
      </w:r>
      <w:r>
        <w:rPr>
          <w:rStyle w:val="Fett"/>
          <w:rFonts w:eastAsiaTheme="majorEastAsia"/>
          <w:rtl/>
        </w:rPr>
        <w:t>וְלִשְׁמֹר חֻקָּיו וּמִצְוֹתָיו וּמִשְׁפָּטָיו</w:t>
      </w:r>
      <w:r>
        <w:rPr>
          <w:rtl/>
        </w:rPr>
        <w:t xml:space="preserve"> </w:t>
      </w:r>
      <w:r>
        <w:t xml:space="preserve">(„und zu bewahren seine Satzungen und seine Gebote und seine Rechte") – Gehorsam gegenüber den Gesetzen. (4) </w:t>
      </w:r>
      <w:r>
        <w:rPr>
          <w:rStyle w:val="Fett"/>
          <w:rFonts w:eastAsiaTheme="majorEastAsia"/>
          <w:rtl/>
        </w:rPr>
        <w:t>וְלִשְׁמֹעַ בְּקֹלוֹ</w:t>
      </w:r>
      <w:r>
        <w:rPr>
          <w:rtl/>
        </w:rPr>
        <w:t xml:space="preserve"> </w:t>
      </w:r>
      <w:r>
        <w:t>(„und auf seine Stimme zu hören") – Gehorsam. V. 18 wird JHWHs Verpflichtung beschreiben.</w:t>
      </w:r>
    </w:p>
    <w:p w14:paraId="04CC4712" w14:textId="556A36DB" w:rsidR="001A04EF" w:rsidRDefault="001A04EF" w:rsidP="00A709A3">
      <w:pPr>
        <w:pStyle w:val="whitespace-normal"/>
      </w:pPr>
      <w:r>
        <w:rPr>
          <w:rStyle w:val="Fett"/>
        </w:rPr>
        <w:t>Die LXX</w:t>
      </w:r>
      <w:r>
        <w:t xml:space="preserve"> übersetzt </w:t>
      </w:r>
      <w:r>
        <w:rPr>
          <w:rtl/>
        </w:rPr>
        <w:t>אֶת־יְהוָה הֶאֱמַרְתָּ</w:t>
      </w:r>
      <w:r>
        <w:t xml:space="preserve"> (du hast den HERRN sagen lassen/erklärt) mit </w:t>
      </w:r>
      <w:proofErr w:type="spellStart"/>
      <w:r>
        <w:t>τὸν</w:t>
      </w:r>
      <w:proofErr w:type="spellEnd"/>
      <w:r>
        <w:t xml:space="preserve"> </w:t>
      </w:r>
      <w:proofErr w:type="spellStart"/>
      <w:r>
        <w:t>θεὸν</w:t>
      </w:r>
      <w:proofErr w:type="spellEnd"/>
      <w:r>
        <w:t xml:space="preserve"> </w:t>
      </w:r>
      <w:proofErr w:type="spellStart"/>
      <w:r>
        <w:t>εἵλου</w:t>
      </w:r>
      <w:proofErr w:type="spellEnd"/>
      <w:r>
        <w:t xml:space="preserve"> (du hast Gott erwählt) – das Verb α</w:t>
      </w:r>
      <w:proofErr w:type="spellStart"/>
      <w:r>
        <w:t>ἱρέομ</w:t>
      </w:r>
      <w:proofErr w:type="spellEnd"/>
      <w:r>
        <w:t>αι bedeutet "wählen, erwählen" und gibt eine andere theologische Perspektive auf die Bundesbeziehung.</w:t>
      </w:r>
    </w:p>
    <w:p w14:paraId="2B85B271" w14:textId="77777777" w:rsidR="00A709A3" w:rsidRDefault="00A709A3" w:rsidP="00A709A3">
      <w:pPr>
        <w:pStyle w:val="whitespace-normal"/>
      </w:pPr>
      <w:r>
        <w:rPr>
          <w:rStyle w:val="Fett"/>
          <w:rFonts w:eastAsiaTheme="majorEastAsia"/>
        </w:rPr>
        <w:t>Die Satzstruktur:</w:t>
      </w:r>
      <w:r>
        <w:t xml:space="preserve"> Aussage mit fünf koordinierten Infinitiven (JHWH hast du heute sagen lassen, dass er dir Gott sein soll, und auf seinen Wegen zu gehen, und zu bewahren seine Satzungen und seine Gebote und seine Rechte, und auf seine Stimme zu hören).</w:t>
      </w:r>
    </w:p>
    <w:p w14:paraId="09FA6CB8" w14:textId="26F12712" w:rsidR="00A709A3" w:rsidRDefault="00A709A3" w:rsidP="00705F3D">
      <w:pPr>
        <w:pStyle w:val="whitespace-normal"/>
      </w:pPr>
      <w:r>
        <w:rPr>
          <w:rStyle w:val="Fett"/>
          <w:rFonts w:eastAsiaTheme="majorEastAsia"/>
        </w:rPr>
        <w:t>Der Vers beschreibt:</w:t>
      </w:r>
      <w:r>
        <w:t xml:space="preserve"> Israels Bundesverpflichtung – Anerkennung JHWHs als Gott, Nachfolge, Gehorsam.</w:t>
      </w:r>
    </w:p>
    <w:p w14:paraId="672987A3" w14:textId="77777777" w:rsidR="00A709A3" w:rsidRPr="00B53ACC" w:rsidRDefault="00A709A3" w:rsidP="00B53ACC">
      <w:pPr>
        <w:pStyle w:val="Bibelberschrift"/>
      </w:pPr>
      <w:r w:rsidRPr="00B53ACC">
        <w:rPr>
          <w:rStyle w:val="Fett"/>
          <w:b/>
          <w:bCs w:val="0"/>
        </w:rPr>
        <w:lastRenderedPageBreak/>
        <w:t>Deuteronomium 26,18</w:t>
      </w:r>
    </w:p>
    <w:p w14:paraId="3F456C47" w14:textId="77777777" w:rsidR="00A709A3" w:rsidRDefault="00A709A3" w:rsidP="00A709A3">
      <w:pPr>
        <w:pStyle w:val="whitespace-normal"/>
      </w:pPr>
      <w:r>
        <w:rPr>
          <w:rStyle w:val="Fett"/>
          <w:rFonts w:eastAsiaTheme="majorEastAsia"/>
        </w:rPr>
        <w:t>Hebräisch:</w:t>
      </w:r>
      <w:r>
        <w:t xml:space="preserve"> </w:t>
      </w:r>
      <w:r>
        <w:rPr>
          <w:rtl/>
        </w:rPr>
        <w:t>וַֽיהוָה הֶאֱמִֽירְךָ הַיּוֹם לִהְיוֹת לוֹ לְעַם סְגֻלָּה כַּאֲשֶׁר דִּבֶּר־לָךְ וְלִשְׁמֹר כָּל־מִצְוֹתָֽיו׃</w:t>
      </w:r>
    </w:p>
    <w:p w14:paraId="6557C77E" w14:textId="77777777" w:rsidR="00A709A3" w:rsidRDefault="00A709A3" w:rsidP="00A709A3">
      <w:pPr>
        <w:pStyle w:val="whitespace-normal"/>
      </w:pPr>
      <w:r>
        <w:rPr>
          <w:rStyle w:val="Fett"/>
          <w:rFonts w:eastAsiaTheme="majorEastAsia"/>
        </w:rPr>
        <w:t>Deutsch:</w:t>
      </w:r>
      <w:r>
        <w:t xml:space="preserve"> Und JHWH hat dich heute sagen lassen, dass du ihm ein Eigentumsvolk sein sollst, wie er zu dir geredet hat, und dass du alle seine Gebote beobachten sollst;</w:t>
      </w:r>
    </w:p>
    <w:p w14:paraId="738D1598" w14:textId="77777777" w:rsidR="00A709A3" w:rsidRDefault="004F5CEB" w:rsidP="00A709A3">
      <w:r>
        <w:rPr>
          <w:noProof/>
        </w:rPr>
        <w:pict w14:anchorId="75614F30">
          <v:rect id="_x0000_i1710" style="width:0;height:1.5pt" o:hralign="center" o:hrstd="t" o:hr="t" fillcolor="#a0a0a0" stroked="f"/>
        </w:pict>
      </w:r>
    </w:p>
    <w:p w14:paraId="06826CD8"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וַיהוָה הֶאֱמִירְךָ הַיּוֹם לִהְיוֹת לוֹ לְעַם סְגֻלָּה כַּאֲשֶׁר דִּבֶּר־לָךְ וְלִשְׁמֹר כָּל־מִצְוֹתָיו</w:t>
      </w:r>
      <w:r>
        <w:rPr>
          <w:rtl/>
        </w:rPr>
        <w:t xml:space="preserve"> </w:t>
      </w:r>
      <w:r>
        <w:t xml:space="preserve">ist die parallele Aussage mit zwei Infinitiven: </w:t>
      </w:r>
      <w:r>
        <w:rPr>
          <w:rStyle w:val="Fett"/>
          <w:rFonts w:eastAsiaTheme="majorEastAsia"/>
          <w:rtl/>
        </w:rPr>
        <w:t>וַיהוָה הֶאֱמִירְךָ הַיּוֹם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יְהוָה</w:t>
      </w:r>
      <w:r>
        <w:rPr>
          <w:rtl/>
        </w:rPr>
        <w:t xml:space="preserve"> </w:t>
      </w:r>
      <w:r>
        <w:t xml:space="preserve">als Subjekt, </w:t>
      </w:r>
      <w:r>
        <w:rPr>
          <w:rStyle w:val="Fett"/>
          <w:rFonts w:eastAsiaTheme="majorEastAsia"/>
          <w:rtl/>
        </w:rPr>
        <w:t>אמר</w:t>
      </w:r>
      <w:r>
        <w:t xml:space="preserve">, Hiphil Perfekt, 3. Person Maskulinum Singular, mit Suffix 2. Person Maskulinum Singular, </w:t>
      </w:r>
      <w:r>
        <w:rPr>
          <w:rStyle w:val="Fett"/>
          <w:rFonts w:eastAsiaTheme="majorEastAsia"/>
          <w:rtl/>
        </w:rPr>
        <w:t>הַיּוֹם</w:t>
      </w:r>
      <w:r>
        <w:t xml:space="preserve">), </w:t>
      </w:r>
      <w:r>
        <w:rPr>
          <w:rStyle w:val="Fett"/>
          <w:rFonts w:eastAsiaTheme="majorEastAsia"/>
          <w:rtl/>
        </w:rPr>
        <w:t>לִהְיוֹת לוֹ לְעַם סְגֻלָּה כַּאֲשֶׁר דִּבֶּר־לָךְ</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היה</w:t>
      </w:r>
      <w:r>
        <w:t xml:space="preserve">, </w:t>
      </w:r>
      <w:r>
        <w:rPr>
          <w:rStyle w:val="Fett"/>
          <w:rFonts w:eastAsiaTheme="majorEastAsia"/>
          <w:rtl/>
        </w:rPr>
        <w:t>לוֹ</w:t>
      </w:r>
      <w:r>
        <w:t xml:space="preserve">, Dativ, Präposition </w:t>
      </w:r>
      <w:r>
        <w:rPr>
          <w:rStyle w:val="Fett"/>
          <w:rFonts w:eastAsiaTheme="majorEastAsia"/>
          <w:rtl/>
        </w:rPr>
        <w:t>לְ</w:t>
      </w:r>
      <w:r>
        <w:rPr>
          <w:rtl/>
        </w:rPr>
        <w:t xml:space="preserve"> </w:t>
      </w:r>
      <w:r>
        <w:t xml:space="preserve">mit </w:t>
      </w:r>
      <w:r>
        <w:rPr>
          <w:rStyle w:val="Fett"/>
          <w:rFonts w:eastAsiaTheme="majorEastAsia"/>
          <w:rtl/>
        </w:rPr>
        <w:t>עַם סְגֻלָּה</w:t>
      </w:r>
      <w:r>
        <w:t xml:space="preserve">, „Eigentumsvolk", Vergleichssatz: </w:t>
      </w:r>
      <w:r>
        <w:rPr>
          <w:rStyle w:val="Fett"/>
          <w:rFonts w:eastAsiaTheme="majorEastAsia"/>
          <w:rtl/>
        </w:rPr>
        <w:t>כַּאֲשֶׁר דִּבֶּר־לָךְ</w:t>
      </w:r>
      <w:r>
        <w:rPr>
          <w:rtl/>
        </w:rPr>
        <w:t xml:space="preserve"> </w:t>
      </w:r>
      <w:r>
        <w:t xml:space="preserve">mit </w:t>
      </w:r>
      <w:r>
        <w:rPr>
          <w:rStyle w:val="Fett"/>
          <w:rFonts w:eastAsiaTheme="majorEastAsia"/>
          <w:rtl/>
        </w:rPr>
        <w:t>דבר</w:t>
      </w:r>
      <w:r>
        <w:t xml:space="preserve">, Piel Perfekt, 3. Person Maskulinum Singular, </w:t>
      </w:r>
      <w:r>
        <w:rPr>
          <w:rStyle w:val="Fett"/>
          <w:rFonts w:eastAsiaTheme="majorEastAsia"/>
          <w:rtl/>
        </w:rPr>
        <w:t>לָךְ</w:t>
      </w:r>
      <w:r>
        <w:t xml:space="preserve">), </w:t>
      </w:r>
      <w:r>
        <w:rPr>
          <w:rStyle w:val="Fett"/>
          <w:rFonts w:eastAsiaTheme="majorEastAsia"/>
          <w:rtl/>
        </w:rPr>
        <w:t>וְלִשְׁמֹר כָּל־מִצְוֹתָיו</w:t>
      </w:r>
      <w:r>
        <w:rPr>
          <w:rtl/>
        </w:rPr>
        <w:t xml:space="preserve"> </w:t>
      </w:r>
      <w:r>
        <w:t xml:space="preserve">(koordiniert durch </w:t>
      </w:r>
      <w:r>
        <w:rPr>
          <w:rStyle w:val="Fett"/>
          <w:rFonts w:eastAsiaTheme="majorEastAsia"/>
          <w:rtl/>
        </w:rPr>
        <w:t>וְ</w:t>
      </w:r>
      <w:r>
        <w:rPr>
          <w:rtl/>
        </w:rPr>
        <w:t xml:space="preserve"> </w:t>
      </w:r>
      <w:r>
        <w:t xml:space="preserve">mit Präposition </w:t>
      </w:r>
      <w:r>
        <w:rPr>
          <w:rStyle w:val="Fett"/>
          <w:rFonts w:eastAsiaTheme="majorEastAsia"/>
          <w:rtl/>
        </w:rPr>
        <w:t>לְ</w:t>
      </w:r>
      <w:r>
        <w:t xml:space="preserve">, Qal Infinitiv Construct von </w:t>
      </w:r>
      <w:r>
        <w:rPr>
          <w:rStyle w:val="Fett"/>
          <w:rFonts w:eastAsiaTheme="majorEastAsia"/>
          <w:rtl/>
        </w:rPr>
        <w:t>שׁמר</w:t>
      </w:r>
      <w:r>
        <w:t xml:space="preserve">, </w:t>
      </w:r>
      <w:r>
        <w:rPr>
          <w:rStyle w:val="Fett"/>
          <w:rFonts w:eastAsiaTheme="majorEastAsia"/>
          <w:rtl/>
        </w:rPr>
        <w:t>כָּל־מִצְוָה</w:t>
      </w:r>
      <w:r>
        <w:rPr>
          <w:rtl/>
        </w:rPr>
        <w:t xml:space="preserve"> </w:t>
      </w:r>
      <w:r>
        <w:t>Plural mit Suffix 3. Person Maskulinum Singular).</w:t>
      </w:r>
    </w:p>
    <w:p w14:paraId="5496616D" w14:textId="0F4CB6F7" w:rsidR="00A709A3" w:rsidRDefault="00A709A3" w:rsidP="00A709A3">
      <w:pPr>
        <w:pStyle w:val="whitespace-normal"/>
      </w:pPr>
      <w:r>
        <w:t xml:space="preserve">Der Vers beschreibt JHWHs Bundesverpflichtung – parallel zu V. 17. Die Hauptaussage: </w:t>
      </w:r>
      <w:r>
        <w:rPr>
          <w:rStyle w:val="Fett"/>
          <w:rFonts w:eastAsiaTheme="majorEastAsia"/>
          <w:rtl/>
        </w:rPr>
        <w:t>וַיהוָה הֶאֱמִירְךָ הַיּוֹם</w:t>
      </w:r>
      <w:r>
        <w:rPr>
          <w:rtl/>
        </w:rPr>
        <w:t xml:space="preserve"> </w:t>
      </w:r>
      <w:r>
        <w:t xml:space="preserve">(„und JHWH hat dich heute sagen lassen"). Derselbe seltene Ausdruck wie in V. 17, nun von JHWHs Seite: JHWH hat Israel als Sein Volk anerkannt/erklärt. Die erste Verpflichtung: </w:t>
      </w:r>
      <w:r>
        <w:rPr>
          <w:rStyle w:val="Fett"/>
          <w:rFonts w:eastAsiaTheme="majorEastAsia"/>
          <w:rtl/>
        </w:rPr>
        <w:t>לִהְיוֹת לוֹ לְעַם סְגֻלָּה כַּאֲשֶׁר דִּבֶּר־לָךְ</w:t>
      </w:r>
      <w:r>
        <w:rPr>
          <w:rtl/>
        </w:rPr>
        <w:t xml:space="preserve"> </w:t>
      </w:r>
      <w:r>
        <w:t xml:space="preserve">(„dass du ihm ein Eigentumsvolk sein sollst, wie er zu dir geredet hat"). Die Formulierung </w:t>
      </w:r>
      <w:r>
        <w:rPr>
          <w:rStyle w:val="Fett"/>
          <w:rFonts w:eastAsiaTheme="majorEastAsia"/>
          <w:rtl/>
        </w:rPr>
        <w:t>עַם סְגֻלָּה</w:t>
      </w:r>
      <w:r>
        <w:rPr>
          <w:rtl/>
        </w:rPr>
        <w:t xml:space="preserve"> </w:t>
      </w:r>
      <w:r>
        <w:t xml:space="preserve">(„Eigentumsvolk") ist zentral – Israel als JHWHs besonderer Schatz, Sein auserwähltes Volk (vgl. Dtn 7,6; 14,2; Ex 19,5). Der Vergleichssatz </w:t>
      </w:r>
      <w:r>
        <w:rPr>
          <w:rStyle w:val="Fett"/>
          <w:rFonts w:eastAsiaTheme="majorEastAsia"/>
          <w:rtl/>
        </w:rPr>
        <w:t>כַּאֲשֶׁר דִּבֶּר־לָךְ</w:t>
      </w:r>
      <w:r>
        <w:rPr>
          <w:rtl/>
        </w:rPr>
        <w:t xml:space="preserve"> </w:t>
      </w:r>
      <w:r>
        <w:t xml:space="preserve">(„wie er zu dir geredet hat") verweist auf frühere Verheißungen (vgl. Ex 19,5-6). Die zweite Verpflichtung: </w:t>
      </w:r>
      <w:r>
        <w:rPr>
          <w:rStyle w:val="Fett"/>
          <w:rFonts w:eastAsiaTheme="majorEastAsia"/>
          <w:rtl/>
        </w:rPr>
        <w:t>וְלִשְׁמֹר כָּל־מִצְוֹתָיו</w:t>
      </w:r>
      <w:r>
        <w:rPr>
          <w:rtl/>
        </w:rPr>
        <w:t xml:space="preserve"> </w:t>
      </w:r>
      <w:r>
        <w:t>(„und dass du alle seine Gebote beobachten sollst"). V. 19 wird die Konsequenz dieser Bundesbeziehung beschreiben.</w:t>
      </w:r>
    </w:p>
    <w:p w14:paraId="0D13D609" w14:textId="391547B1" w:rsidR="001A04EF" w:rsidRDefault="001A04EF" w:rsidP="00A709A3">
      <w:pPr>
        <w:pStyle w:val="whitespace-normal"/>
      </w:pPr>
      <w:r>
        <w:rPr>
          <w:rStyle w:val="Fett"/>
        </w:rPr>
        <w:t>Die LXX</w:t>
      </w:r>
      <w:r>
        <w:t xml:space="preserve"> übersetzt </w:t>
      </w:r>
      <w:r>
        <w:rPr>
          <w:rtl/>
        </w:rPr>
        <w:t>הֶאֱמִירְךָ</w:t>
      </w:r>
      <w:r>
        <w:t xml:space="preserve"> (er hat dich sagen lassen/erklärt) mit </w:t>
      </w:r>
      <w:proofErr w:type="spellStart"/>
      <w:r>
        <w:t>εἵλ</w:t>
      </w:r>
      <w:proofErr w:type="spellEnd"/>
      <w:r>
        <w:t xml:space="preserve">ατό </w:t>
      </w:r>
      <w:proofErr w:type="spellStart"/>
      <w:r>
        <w:t>σε</w:t>
      </w:r>
      <w:proofErr w:type="spellEnd"/>
      <w:r>
        <w:t xml:space="preserve"> (er hat dich erwählt) – parallel zur Übersetzung in Vers 17, wodurch eine symmetrische Erwählungstheologie entsteht. Der Begriff λα</w:t>
      </w:r>
      <w:proofErr w:type="spellStart"/>
      <w:r>
        <w:t>ὸν</w:t>
      </w:r>
      <w:proofErr w:type="spellEnd"/>
      <w:r>
        <w:t xml:space="preserve"> π</w:t>
      </w:r>
      <w:proofErr w:type="spellStart"/>
      <w:r>
        <w:t>εριούσιον</w:t>
      </w:r>
      <w:proofErr w:type="spellEnd"/>
      <w:r>
        <w:t xml:space="preserve"> (ein besonderes Volk) für </w:t>
      </w:r>
      <w:r>
        <w:rPr>
          <w:rtl/>
        </w:rPr>
        <w:t>עַם סְגֻלָּה</w:t>
      </w:r>
      <w:r>
        <w:t xml:space="preserve"> ist die standardmäßige LXX-Übersetzung für "Eigentumsvolk".</w:t>
      </w:r>
    </w:p>
    <w:p w14:paraId="28246CF7" w14:textId="77777777" w:rsidR="00A709A3" w:rsidRDefault="00A709A3" w:rsidP="00A709A3">
      <w:pPr>
        <w:pStyle w:val="whitespace-normal"/>
      </w:pPr>
      <w:r>
        <w:rPr>
          <w:rStyle w:val="Fett"/>
          <w:rFonts w:eastAsiaTheme="majorEastAsia"/>
        </w:rPr>
        <w:t>Die Satzstruktur:</w:t>
      </w:r>
      <w:r>
        <w:t xml:space="preserve"> Parallele Aussage mit zwei Infinitiven (und JHWH hat dich heute sagen lassen, dass du ihm ein Eigentumsvolk sein sollst, wie er zu dir geredet hat, und dass du alle seine Gebote beobachten sollst).</w:t>
      </w:r>
    </w:p>
    <w:p w14:paraId="59F9460B" w14:textId="72F6E991" w:rsidR="00A709A3" w:rsidRDefault="00A709A3" w:rsidP="00705F3D">
      <w:pPr>
        <w:pStyle w:val="whitespace-normal"/>
      </w:pPr>
      <w:r>
        <w:rPr>
          <w:rStyle w:val="Fett"/>
          <w:rFonts w:eastAsiaTheme="majorEastAsia"/>
        </w:rPr>
        <w:t>Der Vers beschreibt:</w:t>
      </w:r>
      <w:r>
        <w:t xml:space="preserve"> JHWHs Bundesverpflichtung – Anerkennung Israels als Sein Eigentumsvolk.</w:t>
      </w:r>
    </w:p>
    <w:p w14:paraId="4B010B35" w14:textId="77777777" w:rsidR="00A709A3" w:rsidRPr="00B53ACC" w:rsidRDefault="00A709A3" w:rsidP="00B53ACC">
      <w:pPr>
        <w:pStyle w:val="Bibelberschrift"/>
      </w:pPr>
      <w:r w:rsidRPr="00B53ACC">
        <w:rPr>
          <w:rStyle w:val="Fett"/>
          <w:b/>
          <w:bCs w:val="0"/>
        </w:rPr>
        <w:t>Deuteronomium 26,19</w:t>
      </w:r>
    </w:p>
    <w:p w14:paraId="0217C9B9" w14:textId="77777777" w:rsidR="00A709A3" w:rsidRDefault="00A709A3" w:rsidP="00A709A3">
      <w:pPr>
        <w:pStyle w:val="whitespace-normal"/>
      </w:pPr>
      <w:r>
        <w:rPr>
          <w:rStyle w:val="Fett"/>
          <w:rFonts w:eastAsiaTheme="majorEastAsia"/>
        </w:rPr>
        <w:t>Hebräisch:</w:t>
      </w:r>
      <w:r>
        <w:t xml:space="preserve"> </w:t>
      </w:r>
      <w:r>
        <w:rPr>
          <w:rtl/>
        </w:rPr>
        <w:t>וּֽלְתִתְּךָ עֶלְיוֹן עַל כָּל־הַגּוֹיִם אֲשֶׁר עָשָׂה לִתְהִלָּה וּלְשֵׁם וּלְתִפְאָרֶת וְלִֽהְיֹתְךָ עַם־קָדֹשׁ לַיהוָה אֱלֹהֶיךָ כַּאֲשֶׁר דִּבֵּֽר׃</w:t>
      </w:r>
    </w:p>
    <w:p w14:paraId="65A26D09" w14:textId="77777777" w:rsidR="00A709A3" w:rsidRDefault="00A709A3" w:rsidP="00A709A3">
      <w:pPr>
        <w:pStyle w:val="whitespace-normal"/>
      </w:pPr>
      <w:r>
        <w:rPr>
          <w:rStyle w:val="Fett"/>
          <w:rFonts w:eastAsiaTheme="majorEastAsia"/>
        </w:rPr>
        <w:lastRenderedPageBreak/>
        <w:t>Deutsch:</w:t>
      </w:r>
      <w:r>
        <w:t xml:space="preserve"> Und dass er dich zur höchsten über alle Nationen machen will, die er gemacht hat, zum Ruhm und zum Namen und zum Schmuck; und dass du dem JHWH, deinem Gott, ein heiliges Volk sein sollst, wie er geredet hat.</w:t>
      </w:r>
    </w:p>
    <w:p w14:paraId="233DE045" w14:textId="77777777" w:rsidR="00A709A3" w:rsidRDefault="004F5CEB" w:rsidP="00A709A3">
      <w:r>
        <w:rPr>
          <w:noProof/>
        </w:rPr>
        <w:pict w14:anchorId="639D8C30">
          <v:rect id="_x0000_i1711" style="width:0;height:1.5pt" o:hralign="center" o:hrstd="t" o:hr="t" fillcolor="#a0a0a0" stroked="f"/>
        </w:pict>
      </w:r>
    </w:p>
    <w:p w14:paraId="17D17410"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וּלְתִתְּךָ עֶלְיוֹן עַל כָּל־הַגּוֹיִם אֲשֶׁר עָשָׂה לִתְהִלָּה וּלְשֵׁם וּלְתִפְאָרֶת וְלִהְיֹתְךָ עַם־קָדֹשׁ לַיהוָה אֱלֹהֶיךָ כַּאֲשֶׁר דִּבֵּר</w:t>
      </w:r>
      <w:r>
        <w:rPr>
          <w:rtl/>
        </w:rPr>
        <w:t xml:space="preserve"> </w:t>
      </w:r>
      <w:r>
        <w:t xml:space="preserve">ist die Fortsetzung von V. 18 mit zwei Infinitiven: </w:t>
      </w:r>
      <w:r>
        <w:rPr>
          <w:rStyle w:val="Fett"/>
          <w:rFonts w:eastAsiaTheme="majorEastAsia"/>
          <w:rtl/>
        </w:rPr>
        <w:t>וּלְתִתְּךָ עֶלְיוֹן עַל כָּל־הַגּוֹיִם אֲשֶׁר עָשָׂה לִתְהִלָּה וּלְשֵׁם וּלְתִפְאָרֶת</w:t>
      </w:r>
      <w:r>
        <w:rPr>
          <w:rtl/>
        </w:rPr>
        <w:t xml:space="preserve"> </w:t>
      </w:r>
      <w:r>
        <w:t xml:space="preserve">(koordiniert durch </w:t>
      </w:r>
      <w:r>
        <w:rPr>
          <w:rStyle w:val="Fett"/>
          <w:rFonts w:eastAsiaTheme="majorEastAsia"/>
          <w:rtl/>
        </w:rPr>
        <w:t>וּ</w:t>
      </w:r>
      <w:r>
        <w:rPr>
          <w:rtl/>
        </w:rPr>
        <w:t xml:space="preserve"> </w:t>
      </w:r>
      <w:r>
        <w:t xml:space="preserve">mit Präposition </w:t>
      </w:r>
      <w:r>
        <w:rPr>
          <w:rStyle w:val="Fett"/>
          <w:rFonts w:eastAsiaTheme="majorEastAsia"/>
          <w:rtl/>
        </w:rPr>
        <w:t>לְ</w:t>
      </w:r>
      <w:r>
        <w:t xml:space="preserve">, Qal Infinitiv Construct von </w:t>
      </w:r>
      <w:r>
        <w:rPr>
          <w:rStyle w:val="Fett"/>
          <w:rFonts w:eastAsiaTheme="majorEastAsia"/>
          <w:rtl/>
        </w:rPr>
        <w:t>נתן</w:t>
      </w:r>
      <w:r>
        <w:t xml:space="preserve">, mit Suffix 2. Person Maskulinum Singular, </w:t>
      </w:r>
      <w:r>
        <w:rPr>
          <w:rStyle w:val="Fett"/>
          <w:rFonts w:eastAsiaTheme="majorEastAsia"/>
          <w:rtl/>
        </w:rPr>
        <w:t>עֶלְיוֹן</w:t>
      </w:r>
      <w:r>
        <w:t xml:space="preserve">, „höchste, oberste", Präposition </w:t>
      </w:r>
      <w:r>
        <w:rPr>
          <w:rStyle w:val="Fett"/>
          <w:rFonts w:eastAsiaTheme="majorEastAsia"/>
          <w:rtl/>
        </w:rPr>
        <w:t>עַל</w:t>
      </w:r>
      <w:r>
        <w:rPr>
          <w:rtl/>
        </w:rPr>
        <w:t xml:space="preserve"> </w:t>
      </w:r>
      <w:r>
        <w:t xml:space="preserve">mit </w:t>
      </w:r>
      <w:r>
        <w:rPr>
          <w:rStyle w:val="Fett"/>
          <w:rFonts w:eastAsiaTheme="majorEastAsia"/>
          <w:rtl/>
        </w:rPr>
        <w:t>כָּל־גּוֹי</w:t>
      </w:r>
      <w:r>
        <w:rPr>
          <w:rtl/>
        </w:rPr>
        <w:t xml:space="preserve"> </w:t>
      </w:r>
      <w:r>
        <w:t xml:space="preserve">Plural mit Artikel, Relativsatz: </w:t>
      </w:r>
      <w:r>
        <w:rPr>
          <w:rStyle w:val="Fett"/>
          <w:rFonts w:eastAsiaTheme="majorEastAsia"/>
          <w:rtl/>
        </w:rPr>
        <w:t>אֲשֶׁר עָשָׂה</w:t>
      </w:r>
      <w:r>
        <w:rPr>
          <w:rtl/>
        </w:rPr>
        <w:t xml:space="preserve"> </w:t>
      </w:r>
      <w:r>
        <w:t xml:space="preserve">mit </w:t>
      </w:r>
      <w:r>
        <w:rPr>
          <w:rStyle w:val="Fett"/>
          <w:rFonts w:eastAsiaTheme="majorEastAsia"/>
          <w:rtl/>
        </w:rPr>
        <w:t>עשׂה</w:t>
      </w:r>
      <w:r>
        <w:t xml:space="preserve">, Qal Perfekt, 3. Person Maskulinum Singular, Präposition </w:t>
      </w:r>
      <w:r>
        <w:rPr>
          <w:rStyle w:val="Fett"/>
          <w:rFonts w:eastAsiaTheme="majorEastAsia"/>
          <w:rtl/>
        </w:rPr>
        <w:t>לְ</w:t>
      </w:r>
      <w:r>
        <w:rPr>
          <w:rtl/>
        </w:rPr>
        <w:t xml:space="preserve"> </w:t>
      </w:r>
      <w:r>
        <w:t xml:space="preserve">mit </w:t>
      </w:r>
      <w:r>
        <w:rPr>
          <w:rStyle w:val="Fett"/>
          <w:rFonts w:eastAsiaTheme="majorEastAsia"/>
          <w:rtl/>
        </w:rPr>
        <w:t>תְּהִלָּה</w:t>
      </w:r>
      <w:r>
        <w:t xml:space="preserve">, „Ruhm, Lobpreis", koordiniert durch </w:t>
      </w:r>
      <w:r>
        <w:rPr>
          <w:rStyle w:val="Fett"/>
          <w:rFonts w:eastAsiaTheme="majorEastAsia"/>
          <w:rtl/>
        </w:rPr>
        <w:t>וּ</w:t>
      </w:r>
      <w:r>
        <w:rPr>
          <w:rtl/>
        </w:rPr>
        <w:t xml:space="preserve"> </w:t>
      </w:r>
      <w:r>
        <w:t xml:space="preserve">mit Präposition </w:t>
      </w:r>
      <w:r>
        <w:rPr>
          <w:rStyle w:val="Fett"/>
          <w:rFonts w:eastAsiaTheme="majorEastAsia"/>
          <w:rtl/>
        </w:rPr>
        <w:t>לְ</w:t>
      </w:r>
      <w:r>
        <w:t xml:space="preserve">, </w:t>
      </w:r>
      <w:r>
        <w:rPr>
          <w:rStyle w:val="Fett"/>
          <w:rFonts w:eastAsiaTheme="majorEastAsia"/>
          <w:rtl/>
        </w:rPr>
        <w:t>שֵׁם</w:t>
      </w:r>
      <w:r>
        <w:t xml:space="preserve">, „Name", koordiniert durch </w:t>
      </w:r>
      <w:r>
        <w:rPr>
          <w:rStyle w:val="Fett"/>
          <w:rFonts w:eastAsiaTheme="majorEastAsia"/>
          <w:rtl/>
        </w:rPr>
        <w:t>וּ</w:t>
      </w:r>
      <w:r>
        <w:rPr>
          <w:rtl/>
        </w:rPr>
        <w:t xml:space="preserve"> </w:t>
      </w:r>
      <w:r>
        <w:t xml:space="preserve">mit Präposition </w:t>
      </w:r>
      <w:r>
        <w:rPr>
          <w:rStyle w:val="Fett"/>
          <w:rFonts w:eastAsiaTheme="majorEastAsia"/>
          <w:rtl/>
        </w:rPr>
        <w:t>לְ</w:t>
      </w:r>
      <w:r>
        <w:t xml:space="preserve">, </w:t>
      </w:r>
      <w:r>
        <w:rPr>
          <w:rStyle w:val="Fett"/>
          <w:rFonts w:eastAsiaTheme="majorEastAsia"/>
          <w:rtl/>
        </w:rPr>
        <w:t>תִּפְאֶרֶת</w:t>
      </w:r>
      <w:r>
        <w:t xml:space="preserve">, „Schmuck, Zierde, Herrlichkeit"), </w:t>
      </w:r>
      <w:r>
        <w:rPr>
          <w:rStyle w:val="Fett"/>
          <w:rFonts w:eastAsiaTheme="majorEastAsia"/>
          <w:rtl/>
        </w:rPr>
        <w:t>וְלִהְיֹתְךָ עַם־קָדֹשׁ לַיהוָה אֱלֹהֶיךָ כַּאֲשֶׁר דִּבֵּר</w:t>
      </w:r>
      <w:r>
        <w:rPr>
          <w:rtl/>
        </w:rPr>
        <w:t xml:space="preserve"> </w:t>
      </w:r>
      <w:r>
        <w:t xml:space="preserve">(koordiniert durch </w:t>
      </w:r>
      <w:r>
        <w:rPr>
          <w:rStyle w:val="Fett"/>
          <w:rFonts w:eastAsiaTheme="majorEastAsia"/>
          <w:rtl/>
        </w:rPr>
        <w:t>וְ</w:t>
      </w:r>
      <w:r>
        <w:rPr>
          <w:rtl/>
        </w:rPr>
        <w:t xml:space="preserve"> </w:t>
      </w:r>
      <w:r>
        <w:t xml:space="preserve">mit Präposition </w:t>
      </w:r>
      <w:r>
        <w:rPr>
          <w:rStyle w:val="Fett"/>
          <w:rFonts w:eastAsiaTheme="majorEastAsia"/>
          <w:rtl/>
        </w:rPr>
        <w:t>לְ</w:t>
      </w:r>
      <w:r>
        <w:t xml:space="preserve">, Qal Infinitiv Construct von </w:t>
      </w:r>
      <w:r>
        <w:rPr>
          <w:rStyle w:val="Fett"/>
          <w:rFonts w:eastAsiaTheme="majorEastAsia"/>
          <w:rtl/>
        </w:rPr>
        <w:t>היה</w:t>
      </w:r>
      <w:r>
        <w:t xml:space="preserve">, mit Suffix 2. Person Maskulinum Singular, </w:t>
      </w:r>
      <w:r>
        <w:rPr>
          <w:rStyle w:val="Fett"/>
          <w:rFonts w:eastAsiaTheme="majorEastAsia"/>
          <w:rtl/>
        </w:rPr>
        <w:t>עַם־קָדֹשׁ</w:t>
      </w:r>
      <w:r>
        <w:t xml:space="preserve">, „heiliges Volk", </w:t>
      </w:r>
      <w:r>
        <w:rPr>
          <w:rStyle w:val="Fett"/>
          <w:rFonts w:eastAsiaTheme="majorEastAsia"/>
          <w:rtl/>
        </w:rPr>
        <w:t>לַיהוָה אֱלֹהֶיךָ</w:t>
      </w:r>
      <w:r>
        <w:t>, Vergleichssatz wie in V. 18).</w:t>
      </w:r>
    </w:p>
    <w:p w14:paraId="595E37BE" w14:textId="7947131D" w:rsidR="00A709A3" w:rsidRDefault="00A709A3" w:rsidP="00A709A3">
      <w:pPr>
        <w:pStyle w:val="whitespace-normal"/>
      </w:pPr>
      <w:r>
        <w:t xml:space="preserve">Der Vers beschreibt die Konsequenzen der Bundesbeziehung – Israels Erhöhung und Heiligung. Der erste Infinitiv: </w:t>
      </w:r>
      <w:r>
        <w:rPr>
          <w:rStyle w:val="Fett"/>
          <w:rFonts w:eastAsiaTheme="majorEastAsia"/>
          <w:rtl/>
        </w:rPr>
        <w:t>וּלְתִתְּךָ עֶלְיוֹן עַל כָּל־הַגּוֹיִם אֲשֶׁר עָשָׂה לִתְהִלָּה וּלְשֵׁם וּלְתִפְאָרֶת</w:t>
      </w:r>
      <w:r>
        <w:rPr>
          <w:rtl/>
        </w:rPr>
        <w:t xml:space="preserve"> </w:t>
      </w:r>
      <w:r>
        <w:t xml:space="preserve">(„und dass er dich machen will zur höchsten über alle Nationen, die er gemacht hat, zum Ruhm und zum Namen und zum Schmuck"). Das Adjektiv </w:t>
      </w:r>
      <w:r>
        <w:rPr>
          <w:rStyle w:val="Fett"/>
          <w:rFonts w:eastAsiaTheme="majorEastAsia"/>
          <w:rtl/>
        </w:rPr>
        <w:t>עֶלְיוֹן</w:t>
      </w:r>
      <w:r>
        <w:rPr>
          <w:rtl/>
        </w:rPr>
        <w:t xml:space="preserve"> </w:t>
      </w:r>
      <w:r>
        <w:t xml:space="preserve">(„höchste, oberste") beschreibt Israels Vorrangstellung. Die dreifache Qualifikation </w:t>
      </w:r>
      <w:r>
        <w:rPr>
          <w:rStyle w:val="Fett"/>
          <w:rFonts w:eastAsiaTheme="majorEastAsia"/>
          <w:rtl/>
        </w:rPr>
        <w:t>לִתְהִלָּה וּלְשֵׁם וּלְתִפְאָרֶת</w:t>
      </w:r>
      <w:r>
        <w:rPr>
          <w:rtl/>
        </w:rPr>
        <w:t xml:space="preserve"> </w:t>
      </w:r>
      <w:r>
        <w:t xml:space="preserve">(„zum Ruhm und zum Namen und zum Schmuck") betont Israels Herrlichkeit und Ansehen unter den Völkern (vgl. Dtn 28,1). Der zweite Infinitiv: </w:t>
      </w:r>
      <w:r>
        <w:rPr>
          <w:rStyle w:val="Fett"/>
          <w:rFonts w:eastAsiaTheme="majorEastAsia"/>
          <w:rtl/>
        </w:rPr>
        <w:t>וְלִהְיֹתְךָ עַם־קָדֹשׁ לַיהוָה אֱלֹהֶיךָ כַּאֲשֶׁר דִּבֵּר</w:t>
      </w:r>
      <w:r>
        <w:rPr>
          <w:rtl/>
        </w:rPr>
        <w:t xml:space="preserve"> </w:t>
      </w:r>
      <w:r>
        <w:t xml:space="preserve">(„und dass du sein sollst ein heiliges Volk dem JHWH, deinem Gott, wie er geredet hat"). Die Formulierung </w:t>
      </w:r>
      <w:r>
        <w:rPr>
          <w:rStyle w:val="Fett"/>
          <w:rFonts w:eastAsiaTheme="majorEastAsia"/>
          <w:rtl/>
        </w:rPr>
        <w:t>עַם־קָדֹשׁ</w:t>
      </w:r>
      <w:r>
        <w:rPr>
          <w:rtl/>
        </w:rPr>
        <w:t xml:space="preserve"> </w:t>
      </w:r>
      <w:r>
        <w:t xml:space="preserve">(„heiliges Volk") ist zentral für Israels Identität – abgesondert für JHWH (vgl. Dtn 7,6; 14,2.21; 28,9; Ex 19,6). Der Vergleichssatz </w:t>
      </w:r>
      <w:r>
        <w:rPr>
          <w:rStyle w:val="Fett"/>
          <w:rFonts w:eastAsiaTheme="majorEastAsia"/>
          <w:rtl/>
        </w:rPr>
        <w:t>כַּאֲשֶׁר דִּבֵּר</w:t>
      </w:r>
      <w:r>
        <w:rPr>
          <w:rtl/>
        </w:rPr>
        <w:t xml:space="preserve"> </w:t>
      </w:r>
      <w:r>
        <w:t xml:space="preserve">(„wie er geredet hat") verweist wieder auf frühere Verheißungen. Die </w:t>
      </w:r>
      <w:r>
        <w:rPr>
          <w:rStyle w:val="Fett"/>
          <w:rFonts w:eastAsiaTheme="majorEastAsia"/>
        </w:rPr>
        <w:t>Setumah</w:t>
      </w:r>
      <w:r>
        <w:t xml:space="preserve"> (</w:t>
      </w:r>
      <w:r>
        <w:rPr>
          <w:rtl/>
        </w:rPr>
        <w:t>ס</w:t>
      </w:r>
      <w:r>
        <w:t>) markiert das Ende von Kapitel 26 und zugleich das Ende des gesamten Gesetzesteils des Deuteronomiums (Kap. 12-26). Kapitel 27-30 werden Segen und Fluch, Bundeserneuerung behandeln.</w:t>
      </w:r>
    </w:p>
    <w:p w14:paraId="36B533E6" w14:textId="1061C138" w:rsidR="001A04EF" w:rsidRDefault="001A04EF" w:rsidP="00A709A3">
      <w:pPr>
        <w:pStyle w:val="whitespace-normal"/>
      </w:pPr>
      <w:r>
        <w:rPr>
          <w:rStyle w:val="Fett"/>
        </w:rPr>
        <w:t>Die LXX</w:t>
      </w:r>
      <w:r>
        <w:t xml:space="preserve"> übersetzt </w:t>
      </w:r>
      <w:r>
        <w:rPr>
          <w:rtl/>
        </w:rPr>
        <w:t>לִתְהִלָּה וּלְשֵׁם וּלְתִפְאָרֶת</w:t>
      </w:r>
      <w:r>
        <w:t xml:space="preserve"> (zum Ruhm und zum Namen und zur Zierde) mit </w:t>
      </w:r>
      <w:proofErr w:type="spellStart"/>
      <w:r>
        <w:t>ὀνομ</w:t>
      </w:r>
      <w:proofErr w:type="spellEnd"/>
      <w:r>
        <w:t>αστὸν καὶ κα</w:t>
      </w:r>
      <w:proofErr w:type="spellStart"/>
      <w:r>
        <w:t>ύχημ</w:t>
      </w:r>
      <w:proofErr w:type="spellEnd"/>
      <w:r>
        <w:t xml:space="preserve">α καὶ </w:t>
      </w:r>
      <w:proofErr w:type="spellStart"/>
      <w:r>
        <w:t>δοξ</w:t>
      </w:r>
      <w:proofErr w:type="spellEnd"/>
      <w:r>
        <w:t xml:space="preserve">αστόν (berühmt und [ein] Ruhm und verherrlicht) – drei adjektivische Formen statt der hebräischen Substantive. Das Verb </w:t>
      </w:r>
      <w:proofErr w:type="spellStart"/>
      <w:r>
        <w:t>ὡς</w:t>
      </w:r>
      <w:proofErr w:type="spellEnd"/>
      <w:r>
        <w:t xml:space="preserve"> ἐπ</w:t>
      </w:r>
      <w:proofErr w:type="spellStart"/>
      <w:r>
        <w:t>οίησέν</w:t>
      </w:r>
      <w:proofErr w:type="spellEnd"/>
      <w:r>
        <w:t xml:space="preserve"> </w:t>
      </w:r>
      <w:proofErr w:type="spellStart"/>
      <w:r>
        <w:t>σε</w:t>
      </w:r>
      <w:proofErr w:type="spellEnd"/>
      <w:r>
        <w:t xml:space="preserve"> (wie er dich gemacht hat) für </w:t>
      </w:r>
      <w:r>
        <w:rPr>
          <w:rtl/>
        </w:rPr>
        <w:t>אֲשֶׁר עָשָׂה</w:t>
      </w:r>
      <w:r>
        <w:t xml:space="preserve"> interpretiert die Präposition als Vergleichspartikel.</w:t>
      </w:r>
    </w:p>
    <w:p w14:paraId="0E8D5B21" w14:textId="77777777" w:rsidR="00A709A3" w:rsidRDefault="00A709A3" w:rsidP="00A709A3">
      <w:pPr>
        <w:pStyle w:val="whitespace-normal"/>
      </w:pPr>
      <w:r>
        <w:rPr>
          <w:rStyle w:val="Fett"/>
          <w:rFonts w:eastAsiaTheme="majorEastAsia"/>
        </w:rPr>
        <w:t>Die Satzstruktur:</w:t>
      </w:r>
      <w:r>
        <w:t xml:space="preserve"> Zwei koordinierte Infinitive als Fortsetzung von V. 18 (und dass er dich machen will zur höchsten über alle Nationen, die er gemacht hat, zum Ruhm und zum Namen und zum Schmuck; und dass du sein sollst ein heiliges Volk dem JHWH, deinem Gott, wie er geredet hat).</w:t>
      </w:r>
    </w:p>
    <w:p w14:paraId="5FEDB211" w14:textId="77777777" w:rsidR="00A709A3" w:rsidRDefault="00A709A3" w:rsidP="00A709A3">
      <w:pPr>
        <w:pStyle w:val="whitespace-normal"/>
      </w:pPr>
      <w:r>
        <w:rPr>
          <w:rStyle w:val="Fett"/>
          <w:rFonts w:eastAsiaTheme="majorEastAsia"/>
        </w:rPr>
        <w:t>Der Vers beschreibt:</w:t>
      </w:r>
      <w:r>
        <w:t xml:space="preserve"> Konsequenz der Bundesbeziehung – Israels Erhöhung über alle Völker und Heiligung als JHWHs besonderes Volk.</w:t>
      </w:r>
    </w:p>
    <w:p w14:paraId="35456799" w14:textId="77777777" w:rsidR="00A709A3" w:rsidRPr="00B53ACC" w:rsidRDefault="00A709A3" w:rsidP="00B53ACC">
      <w:pPr>
        <w:pStyle w:val="Bibelberschrift"/>
      </w:pPr>
      <w:r w:rsidRPr="00B53ACC">
        <w:rPr>
          <w:rStyle w:val="Fett"/>
          <w:b/>
          <w:bCs w:val="0"/>
        </w:rPr>
        <w:t>Deuteronomium 27,1</w:t>
      </w:r>
    </w:p>
    <w:p w14:paraId="42A415F3" w14:textId="77777777" w:rsidR="00A709A3" w:rsidRDefault="00A709A3" w:rsidP="00A709A3">
      <w:pPr>
        <w:pStyle w:val="whitespace-normal"/>
      </w:pPr>
      <w:r>
        <w:rPr>
          <w:rStyle w:val="Fett"/>
          <w:rFonts w:eastAsiaTheme="majorEastAsia"/>
        </w:rPr>
        <w:t>Hebräisch:</w:t>
      </w:r>
      <w:r>
        <w:t xml:space="preserve"> </w:t>
      </w:r>
      <w:r>
        <w:rPr>
          <w:rtl/>
        </w:rPr>
        <w:t>וַיְצַו מֹשֶׁה וְזִקְנֵי יִשְׂרָאֵל אֶת־הָעָם לֵאמֹר שָׁמֹר אֶת־כָּל־הַמִּצְוָה אֲשֶׁר אָנֹכִי מְצַוֶּה אֶתְכֶם הַיּֽוֹם׃</w:t>
      </w:r>
    </w:p>
    <w:p w14:paraId="2BEADC0D" w14:textId="77777777" w:rsidR="00A709A3" w:rsidRDefault="00A709A3" w:rsidP="00A709A3">
      <w:pPr>
        <w:pStyle w:val="whitespace-normal"/>
      </w:pPr>
      <w:r>
        <w:rPr>
          <w:rStyle w:val="Fett"/>
          <w:rFonts w:eastAsiaTheme="majorEastAsia"/>
        </w:rPr>
        <w:lastRenderedPageBreak/>
        <w:t>Deutsch:</w:t>
      </w:r>
      <w:r>
        <w:t xml:space="preserve"> Und Mose und die Ältesten Israels geboten dem Volk und sprachen: Bewahrt das ganze Gebot, das ich euch heute gebiete.</w:t>
      </w:r>
    </w:p>
    <w:p w14:paraId="6C08B137" w14:textId="77777777" w:rsidR="00A709A3" w:rsidRDefault="004F5CEB" w:rsidP="00A709A3">
      <w:r>
        <w:rPr>
          <w:noProof/>
        </w:rPr>
        <w:pict w14:anchorId="0530CD67">
          <v:rect id="_x0000_i1712" style="width:0;height:1.5pt" o:hralign="center" o:hrstd="t" o:hr="t" fillcolor="#a0a0a0" stroked="f"/>
        </w:pict>
      </w:r>
    </w:p>
    <w:p w14:paraId="24838AA9"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וַיְצַו מֹשֶׁה וְזִקְנֵי יִשְׂרָאֵל אֶת־הָעָם לֵאמֹר שָׁמֹר אֶת־כָּל־הַמִּצְוָה אֲשֶׁר אָנֹכִי מְצַוֶּה אֶתְכֶם הַיּוֹם</w:t>
      </w:r>
      <w:r>
        <w:rPr>
          <w:rtl/>
        </w:rPr>
        <w:t xml:space="preserve"> </w:t>
      </w:r>
      <w:r>
        <w:t xml:space="preserve">ist eine Anweisung: </w:t>
      </w:r>
      <w:r>
        <w:rPr>
          <w:rStyle w:val="Fett"/>
          <w:rFonts w:eastAsiaTheme="majorEastAsia"/>
          <w:rtl/>
        </w:rPr>
        <w:t>וַיְצַו מֹשֶׁה וְזִקְנֵי יִשְׂרָאֵל אֶת־הָעָם לֵאמֹר</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צוה</w:t>
      </w:r>
      <w:r>
        <w:t xml:space="preserve">, Piel Imperfekt, 3. Person Maskulinum Singular, „befehlen, gebieten", </w:t>
      </w:r>
      <w:r>
        <w:rPr>
          <w:rStyle w:val="Fett"/>
          <w:rFonts w:eastAsiaTheme="majorEastAsia"/>
          <w:rtl/>
        </w:rPr>
        <w:t>מֹשֶׁה</w:t>
      </w:r>
      <w:r>
        <w:rPr>
          <w:rtl/>
        </w:rPr>
        <w:t xml:space="preserve"> </w:t>
      </w:r>
      <w:r>
        <w:t xml:space="preserve">als Subjekt, koordiniert durch </w:t>
      </w:r>
      <w:r>
        <w:rPr>
          <w:rStyle w:val="Fett"/>
          <w:rFonts w:eastAsiaTheme="majorEastAsia"/>
          <w:rtl/>
        </w:rPr>
        <w:t>וְ</w:t>
      </w:r>
      <w:r>
        <w:rPr>
          <w:rtl/>
        </w:rPr>
        <w:t xml:space="preserve"> </w:t>
      </w:r>
      <w:r>
        <w:t xml:space="preserve">mit </w:t>
      </w:r>
      <w:r>
        <w:rPr>
          <w:rStyle w:val="Fett"/>
          <w:rFonts w:eastAsiaTheme="majorEastAsia"/>
          <w:rtl/>
        </w:rPr>
        <w:t>זָקֵן</w:t>
      </w:r>
      <w:r>
        <w:t xml:space="preserve">, „Ältester", Plural Construct mit </w:t>
      </w:r>
      <w:r>
        <w:rPr>
          <w:rStyle w:val="Fett"/>
          <w:rFonts w:eastAsiaTheme="majorEastAsia"/>
          <w:rtl/>
        </w:rPr>
        <w:t>יִשְׂרָאֵל</w:t>
      </w:r>
      <w:r>
        <w:t xml:space="preserve">, Objektpartikel </w:t>
      </w:r>
      <w:r>
        <w:rPr>
          <w:rStyle w:val="Fett"/>
          <w:rFonts w:eastAsiaTheme="majorEastAsia"/>
          <w:rtl/>
        </w:rPr>
        <w:t>אֵת</w:t>
      </w:r>
      <w:r>
        <w:rPr>
          <w:rtl/>
        </w:rPr>
        <w:t xml:space="preserve"> </w:t>
      </w:r>
      <w:r>
        <w:t xml:space="preserve">mit </w:t>
      </w:r>
      <w:r>
        <w:rPr>
          <w:rStyle w:val="Fett"/>
          <w:rFonts w:eastAsiaTheme="majorEastAsia"/>
          <w:rtl/>
        </w:rPr>
        <w:t>עַם</w:t>
      </w:r>
      <w:r>
        <w:rPr>
          <w:rtl/>
        </w:rPr>
        <w:t xml:space="preserve"> </w:t>
      </w:r>
      <w:r>
        <w:t xml:space="preserve">mit Artikel, </w:t>
      </w:r>
      <w:r>
        <w:rPr>
          <w:rStyle w:val="Fett"/>
          <w:rFonts w:eastAsiaTheme="majorEastAsia"/>
          <w:rtl/>
        </w:rPr>
        <w:t>לֵאמֹר</w:t>
      </w:r>
      <w:r>
        <w:t xml:space="preserve">, mit </w:t>
      </w:r>
      <w:r>
        <w:rPr>
          <w:rStyle w:val="Fett"/>
          <w:rFonts w:eastAsiaTheme="majorEastAsia"/>
        </w:rPr>
        <w:t>Waw</w:t>
      </w:r>
      <w:r>
        <w:t xml:space="preserve"> consecutives Imperfekt), </w:t>
      </w:r>
      <w:r>
        <w:rPr>
          <w:rStyle w:val="Fett"/>
          <w:rFonts w:eastAsiaTheme="majorEastAsia"/>
          <w:rtl/>
        </w:rPr>
        <w:t>שָׁמֹר אֶת־כָּל־הַמִּצְוָה אֲשֶׁר אָנֹכִי מְצַוֶּה אֶתְכֶם הַיּוֹם</w:t>
      </w:r>
      <w:r>
        <w:rPr>
          <w:rtl/>
        </w:rPr>
        <w:t xml:space="preserve"> </w:t>
      </w:r>
      <w:r>
        <w:t xml:space="preserve">(direkte Rede: </w:t>
      </w:r>
      <w:r>
        <w:rPr>
          <w:rStyle w:val="Fett"/>
          <w:rFonts w:eastAsiaTheme="majorEastAsia"/>
          <w:rtl/>
        </w:rPr>
        <w:t>שׁמר</w:t>
      </w:r>
      <w:r>
        <w:t xml:space="preserve">, Qal Imperativ, 2. Person Maskulinum Singular, „bewahren, beobachten", Objektpartikel </w:t>
      </w:r>
      <w:r>
        <w:rPr>
          <w:rStyle w:val="Fett"/>
          <w:rFonts w:eastAsiaTheme="majorEastAsia"/>
          <w:rtl/>
        </w:rPr>
        <w:t>אֵת</w:t>
      </w:r>
      <w:r>
        <w:rPr>
          <w:rtl/>
        </w:rPr>
        <w:t xml:space="preserve"> </w:t>
      </w:r>
      <w:r>
        <w:t xml:space="preserve">mit </w:t>
      </w:r>
      <w:r>
        <w:rPr>
          <w:rStyle w:val="Fett"/>
          <w:rFonts w:eastAsiaTheme="majorEastAsia"/>
          <w:rtl/>
        </w:rPr>
        <w:t>כֹּל</w:t>
      </w:r>
      <w:r>
        <w:t xml:space="preserve">, </w:t>
      </w:r>
      <w:r>
        <w:rPr>
          <w:rStyle w:val="Fett"/>
          <w:rFonts w:eastAsiaTheme="majorEastAsia"/>
          <w:rtl/>
        </w:rPr>
        <w:t>מִצְוָה</w:t>
      </w:r>
      <w:r>
        <w:rPr>
          <w:rtl/>
        </w:rPr>
        <w:t xml:space="preserve"> </w:t>
      </w:r>
      <w:r>
        <w:t xml:space="preserve">mit Artikel – Singular Kollektiv, Relativsatz: </w:t>
      </w:r>
      <w:r>
        <w:rPr>
          <w:rStyle w:val="Fett"/>
          <w:rFonts w:eastAsiaTheme="majorEastAsia"/>
          <w:rtl/>
        </w:rPr>
        <w:t>אֲשֶׁר אָנֹכִי מְצַוֶּה אֶתְכֶם הַיּוֹם</w:t>
      </w:r>
      <w:r>
        <w:rPr>
          <w:rtl/>
        </w:rPr>
        <w:t xml:space="preserve"> </w:t>
      </w:r>
      <w:r>
        <w:t xml:space="preserve">mit </w:t>
      </w:r>
      <w:r>
        <w:rPr>
          <w:rStyle w:val="Fett"/>
          <w:rFonts w:eastAsiaTheme="majorEastAsia"/>
          <w:rtl/>
        </w:rPr>
        <w:t>צוה</w:t>
      </w:r>
      <w:r>
        <w:t xml:space="preserve">, Piel Partizip, 1. Person Singular, Objektpartikel </w:t>
      </w:r>
      <w:r>
        <w:rPr>
          <w:rStyle w:val="Fett"/>
          <w:rFonts w:eastAsiaTheme="majorEastAsia"/>
          <w:rtl/>
        </w:rPr>
        <w:t>אֵת</w:t>
      </w:r>
      <w:r>
        <w:rPr>
          <w:rtl/>
        </w:rPr>
        <w:t xml:space="preserve"> </w:t>
      </w:r>
      <w:r>
        <w:t xml:space="preserve">mit Suffix 2. Person Maskulinum Plural, </w:t>
      </w:r>
      <w:r>
        <w:rPr>
          <w:rStyle w:val="Fett"/>
          <w:rFonts w:eastAsiaTheme="majorEastAsia"/>
          <w:rtl/>
        </w:rPr>
        <w:t>הַיּוֹם</w:t>
      </w:r>
      <w:r>
        <w:t>).</w:t>
      </w:r>
    </w:p>
    <w:p w14:paraId="656B3CA6" w14:textId="1791658C" w:rsidR="00A709A3" w:rsidRDefault="00A709A3" w:rsidP="00A709A3">
      <w:pPr>
        <w:pStyle w:val="whitespace-normal"/>
      </w:pPr>
      <w:r>
        <w:t xml:space="preserve">Der Vers leitet Kapitel 27 ein, das drei Abschnitte enthält: (1) Anweisung zur Aufstellung von Steinen und Altarbau am Berg Ebal (V. 1-8), (2) Proklamation der Bundesbeziehung (V. 9-10), (3) Fluchritual mit zwölf Flüchen (V. 11-26). Die Einleitung: </w:t>
      </w:r>
      <w:r>
        <w:rPr>
          <w:rStyle w:val="Fett"/>
          <w:rFonts w:eastAsiaTheme="majorEastAsia"/>
          <w:rtl/>
        </w:rPr>
        <w:t>וַיְצַו מֹשֶׁה וְזִקְנֵי יִשְׂרָאֵל אֶת־הָעָם לֵאמֹר</w:t>
      </w:r>
      <w:r>
        <w:rPr>
          <w:rtl/>
        </w:rPr>
        <w:t xml:space="preserve"> </w:t>
      </w:r>
      <w:r>
        <w:t xml:space="preserve">(„und Mose und die Ältesten Israels geboten dem Volk und sprachen"). Bemerkenswert ist, dass Mose hier zusammen mit den </w:t>
      </w:r>
      <w:r>
        <w:rPr>
          <w:rStyle w:val="Fett"/>
          <w:rFonts w:eastAsiaTheme="majorEastAsia"/>
          <w:rtl/>
        </w:rPr>
        <w:t>זִקְנֵי יִשְׂרָאֵל</w:t>
      </w:r>
      <w:r>
        <w:rPr>
          <w:rtl/>
        </w:rPr>
        <w:t xml:space="preserve"> </w:t>
      </w:r>
      <w:r>
        <w:t xml:space="preserve">(„Ältesten Israels") spricht – nicht allein. Dies ist ungewöhnlich im Deuteronomium, wo Mose normalerweise der alleinige Sprecher ist. Die Anweisung: </w:t>
      </w:r>
      <w:r>
        <w:rPr>
          <w:rStyle w:val="Fett"/>
          <w:rFonts w:eastAsiaTheme="majorEastAsia"/>
          <w:rtl/>
        </w:rPr>
        <w:t>שָׁמֹר אֶת־כָּל־הַמִּצְוָה אֲשֶׁר אָנֹכִי מְצַוֶּה אֶתְכֶם הַיּוֹם</w:t>
      </w:r>
      <w:r>
        <w:rPr>
          <w:rtl/>
        </w:rPr>
        <w:t xml:space="preserve"> </w:t>
      </w:r>
      <w:r>
        <w:t xml:space="preserve">(„bewahrt das ganze Gebot, das ich euch heute gebiete"). Das Verb </w:t>
      </w:r>
      <w:r>
        <w:rPr>
          <w:rStyle w:val="Fett"/>
          <w:rFonts w:eastAsiaTheme="majorEastAsia"/>
          <w:rtl/>
        </w:rPr>
        <w:t>שׁמר</w:t>
      </w:r>
      <w:r>
        <w:rPr>
          <w:rtl/>
        </w:rPr>
        <w:t xml:space="preserve"> </w:t>
      </w:r>
      <w:r>
        <w:t xml:space="preserve">(„bewahren, beobachten") fordert Gehorsam. Das Wort </w:t>
      </w:r>
      <w:r>
        <w:rPr>
          <w:rStyle w:val="Fett"/>
          <w:rFonts w:eastAsiaTheme="majorEastAsia"/>
          <w:rtl/>
        </w:rPr>
        <w:t>מִצְוָה</w:t>
      </w:r>
      <w:r>
        <w:rPr>
          <w:rtl/>
        </w:rPr>
        <w:t xml:space="preserve"> </w:t>
      </w:r>
      <w:r>
        <w:t xml:space="preserve">ist hier Singular Kollektiv („das Gebot" = alle Gebote). Die Formulierung </w:t>
      </w:r>
      <w:r>
        <w:rPr>
          <w:rStyle w:val="Fett"/>
          <w:rFonts w:eastAsiaTheme="majorEastAsia"/>
          <w:rtl/>
        </w:rPr>
        <w:t>אֲשֶׁר אָנֹכִי מְצַוֶּה אֶתְכֶם הַיּוֹם</w:t>
      </w:r>
      <w:r>
        <w:rPr>
          <w:rtl/>
        </w:rPr>
        <w:t xml:space="preserve"> </w:t>
      </w:r>
      <w:r>
        <w:t>betont die Gegenwart und Aktualität. V. 2 wird die spezifische Anweisung für den Tag des Jordanübergangs geben.</w:t>
      </w:r>
    </w:p>
    <w:p w14:paraId="3FF15CA3" w14:textId="77F4383A" w:rsidR="001A04EF" w:rsidRDefault="001A04EF" w:rsidP="00A709A3">
      <w:pPr>
        <w:pStyle w:val="whitespace-normal"/>
      </w:pPr>
      <w:r>
        <w:rPr>
          <w:rStyle w:val="Fett"/>
        </w:rPr>
        <w:t>Die LXX</w:t>
      </w:r>
      <w:r>
        <w:t xml:space="preserve"> übersetzt </w:t>
      </w:r>
      <w:r>
        <w:rPr>
          <w:rtl/>
        </w:rPr>
        <w:t>וְזִקְנֵי יִשְׂרָאֵל</w:t>
      </w:r>
      <w:r>
        <w:t xml:space="preserve"> (und die Ältesten Israels) mit καὶ ἡ </w:t>
      </w:r>
      <w:proofErr w:type="spellStart"/>
      <w:r>
        <w:t>γερουσί</w:t>
      </w:r>
      <w:proofErr w:type="spellEnd"/>
      <w:r>
        <w:t xml:space="preserve">α </w:t>
      </w:r>
      <w:proofErr w:type="spellStart"/>
      <w:r>
        <w:t>Ἰσρ</w:t>
      </w:r>
      <w:proofErr w:type="spellEnd"/>
      <w:r>
        <w:t>αήλ (und der Ältestenrat Israels) – wie bereits zuvor eine institutionelle Bezeichnung.</w:t>
      </w:r>
    </w:p>
    <w:p w14:paraId="5E02A28A" w14:textId="77777777" w:rsidR="00A709A3" w:rsidRDefault="00A709A3" w:rsidP="00A709A3">
      <w:pPr>
        <w:pStyle w:val="whitespace-normal"/>
      </w:pPr>
      <w:r>
        <w:rPr>
          <w:rStyle w:val="Fett"/>
          <w:rFonts w:eastAsiaTheme="majorEastAsia"/>
        </w:rPr>
        <w:t>Die Satzstruktur:</w:t>
      </w:r>
      <w:r>
        <w:t xml:space="preserve"> Anweisung mit direkter Rede (und Mose und die Ältesten Israels geboten dem Volk und sprachen: Bewahrt das ganze Gebot, das ich euch heute gebiete).</w:t>
      </w:r>
    </w:p>
    <w:p w14:paraId="13B2F57D" w14:textId="7F5BF9BF" w:rsidR="00A709A3" w:rsidRDefault="00A709A3" w:rsidP="00705F3D">
      <w:pPr>
        <w:pStyle w:val="whitespace-normal"/>
      </w:pPr>
      <w:r>
        <w:rPr>
          <w:rStyle w:val="Fett"/>
          <w:rFonts w:eastAsiaTheme="majorEastAsia"/>
        </w:rPr>
        <w:t>Der Vers beschreibt:</w:t>
      </w:r>
      <w:r>
        <w:t xml:space="preserve"> Einleitung – Mose und die Ältesten gebieten dem Volk Gehorsam gegenüber den Geboten.</w:t>
      </w:r>
    </w:p>
    <w:p w14:paraId="53807F2C" w14:textId="77777777" w:rsidR="00A709A3" w:rsidRPr="00B53ACC" w:rsidRDefault="00A709A3" w:rsidP="00B53ACC">
      <w:pPr>
        <w:pStyle w:val="Bibelberschrift"/>
      </w:pPr>
      <w:r w:rsidRPr="00B53ACC">
        <w:rPr>
          <w:rStyle w:val="Fett"/>
          <w:b/>
          <w:bCs w:val="0"/>
        </w:rPr>
        <w:t>Deuteronomium 27,2</w:t>
      </w:r>
    </w:p>
    <w:p w14:paraId="039B8EC2" w14:textId="77777777" w:rsidR="00A709A3" w:rsidRDefault="00A709A3" w:rsidP="00A709A3">
      <w:pPr>
        <w:pStyle w:val="whitespace-normal"/>
      </w:pPr>
      <w:r>
        <w:rPr>
          <w:rStyle w:val="Fett"/>
          <w:rFonts w:eastAsiaTheme="majorEastAsia"/>
        </w:rPr>
        <w:t>Hebräisch:</w:t>
      </w:r>
      <w:r>
        <w:t xml:space="preserve"> </w:t>
      </w:r>
      <w:r>
        <w:rPr>
          <w:rtl/>
        </w:rPr>
        <w:t>וְהָיָה בַּיּוֹם אֲשֶׁר תַּעַבְרוּ אֶת־הַיַּרְדֵּן אֶל־הָאָרֶץ אֲשֶׁר־יְהוָה אֱלֹהֶיךָ נֹתֵן לָךְ וַהֲקֵמֹתָ לְךָ אֲבָנִים גְּדֹלוֹת וְשַׂדְתָּ אֹתָם בַּשִּֽׂיד׃</w:t>
      </w:r>
    </w:p>
    <w:p w14:paraId="01C05ECE" w14:textId="77777777" w:rsidR="00A709A3" w:rsidRDefault="00A709A3" w:rsidP="00A709A3">
      <w:pPr>
        <w:pStyle w:val="whitespace-normal"/>
      </w:pPr>
      <w:r>
        <w:rPr>
          <w:rStyle w:val="Fett"/>
          <w:rFonts w:eastAsiaTheme="majorEastAsia"/>
        </w:rPr>
        <w:t>Deutsch:</w:t>
      </w:r>
      <w:r>
        <w:t xml:space="preserve"> Und es soll geschehen, an dem Tag, da ihr über den Jordan hinüberzieht in das Land, das JHWH, dein Gott, dir gibt, sollst du dir große Steine aufrichten und sie mit Kalk bestreichen.</w:t>
      </w:r>
    </w:p>
    <w:p w14:paraId="4C01AC66" w14:textId="77777777" w:rsidR="00A709A3" w:rsidRDefault="004F5CEB" w:rsidP="00A709A3">
      <w:r>
        <w:rPr>
          <w:noProof/>
        </w:rPr>
        <w:pict w14:anchorId="2E9C17AF">
          <v:rect id="_x0000_i1713" style="width:0;height:1.5pt" o:hralign="center" o:hrstd="t" o:hr="t" fillcolor="#a0a0a0" stroked="f"/>
        </w:pict>
      </w:r>
    </w:p>
    <w:p w14:paraId="773F9B4C" w14:textId="77777777" w:rsidR="00A709A3" w:rsidRDefault="00A709A3" w:rsidP="00A709A3">
      <w:pPr>
        <w:pStyle w:val="whitespace-normal"/>
      </w:pPr>
      <w:r>
        <w:rPr>
          <w:rStyle w:val="Fett"/>
          <w:rFonts w:eastAsiaTheme="majorEastAsia"/>
        </w:rPr>
        <w:lastRenderedPageBreak/>
        <w:t>Kommentar:</w:t>
      </w:r>
      <w:r>
        <w:t xml:space="preserve"> </w:t>
      </w:r>
      <w:r>
        <w:rPr>
          <w:rStyle w:val="Fett"/>
          <w:rFonts w:eastAsiaTheme="majorEastAsia"/>
          <w:rtl/>
        </w:rPr>
        <w:t>וְהָיָה בַּיּוֹם אֲשֶׁר תַּעַבְרוּ אֶת־הַיַּרְדֵּן אֶל־הָאָרֶץ אֲשֶׁר־יְהוָה אֱלֹהֶיךָ נֹתֵן לָךְ וַהֲקֵמֹתָ לְךָ אֲבָנִים גְּדֹלוֹת וְשַׂדְתָּ אֹתָם בַּשִּׂיד</w:t>
      </w:r>
      <w:r>
        <w:rPr>
          <w:rtl/>
        </w:rPr>
        <w:t xml:space="preserve"> </w:t>
      </w:r>
      <w:r>
        <w:t xml:space="preserve">ist eine Bedingung mit zwei Anweisungen: </w:t>
      </w:r>
      <w:r>
        <w:rPr>
          <w:rStyle w:val="Fett"/>
          <w:rFonts w:eastAsiaTheme="majorEastAsia"/>
          <w:rtl/>
        </w:rPr>
        <w:t>וְהָיָה בַּיּוֹם אֲשֶׁר תַּעַבְרוּ אֶת־הַיַּרְדֵּן אֶל־הָאָרֶץ אֲשֶׁר־יְהוָה אֱלֹהֶיךָ נֹתֵן לָךְ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3. Person Maskulinum Singular, </w:t>
      </w:r>
      <w:r>
        <w:rPr>
          <w:rStyle w:val="Fett"/>
          <w:rFonts w:eastAsiaTheme="majorEastAsia"/>
          <w:rtl/>
        </w:rPr>
        <w:t>בַּיּוֹם אֲשֶׁר</w:t>
      </w:r>
      <w:r>
        <w:t xml:space="preserve">, Relativsatz: </w:t>
      </w:r>
      <w:r>
        <w:rPr>
          <w:rStyle w:val="Fett"/>
          <w:rFonts w:eastAsiaTheme="majorEastAsia"/>
          <w:rtl/>
        </w:rPr>
        <w:t>אֲשֶׁר תַּעַבְרוּ אֶת־הַיַּרְדֵּן אֶל־הָאָרֶץ</w:t>
      </w:r>
      <w:r>
        <w:rPr>
          <w:rtl/>
        </w:rPr>
        <w:t xml:space="preserve"> </w:t>
      </w:r>
      <w:r>
        <w:t xml:space="preserve">mit </w:t>
      </w:r>
      <w:r>
        <w:rPr>
          <w:rStyle w:val="Fett"/>
          <w:rFonts w:eastAsiaTheme="majorEastAsia"/>
          <w:rtl/>
        </w:rPr>
        <w:t>עבר</w:t>
      </w:r>
      <w:r>
        <w:t xml:space="preserve">, Qal Imperfekt, 2. Person Plural, „hinüberziehen, überqueren", Objektpartikel </w:t>
      </w:r>
      <w:r>
        <w:rPr>
          <w:rStyle w:val="Fett"/>
          <w:rFonts w:eastAsiaTheme="majorEastAsia"/>
          <w:rtl/>
        </w:rPr>
        <w:t>אֵת</w:t>
      </w:r>
      <w:r>
        <w:rPr>
          <w:rtl/>
        </w:rPr>
        <w:t xml:space="preserve"> </w:t>
      </w:r>
      <w:r>
        <w:t xml:space="preserve">mit </w:t>
      </w:r>
      <w:r>
        <w:rPr>
          <w:rStyle w:val="Fett"/>
          <w:rFonts w:eastAsiaTheme="majorEastAsia"/>
          <w:rtl/>
        </w:rPr>
        <w:t>יַרְדֵּן</w:t>
      </w:r>
      <w:r>
        <w:rPr>
          <w:rtl/>
        </w:rPr>
        <w:t xml:space="preserve"> </w:t>
      </w:r>
      <w:r>
        <w:t xml:space="preserve">mit Artikel, Präposition </w:t>
      </w:r>
      <w:r>
        <w:rPr>
          <w:rStyle w:val="Fett"/>
          <w:rFonts w:eastAsiaTheme="majorEastAsia"/>
          <w:rtl/>
        </w:rPr>
        <w:t>אֶל</w:t>
      </w:r>
      <w:r>
        <w:rPr>
          <w:rtl/>
        </w:rPr>
        <w:t xml:space="preserve"> </w:t>
      </w:r>
      <w:r>
        <w:t xml:space="preserve">mit </w:t>
      </w:r>
      <w:r>
        <w:rPr>
          <w:rStyle w:val="Fett"/>
          <w:rFonts w:eastAsiaTheme="majorEastAsia"/>
          <w:rtl/>
        </w:rPr>
        <w:t>אֶרֶץ</w:t>
      </w:r>
      <w:r>
        <w:rPr>
          <w:rtl/>
        </w:rPr>
        <w:t xml:space="preserve"> </w:t>
      </w:r>
      <w:r>
        <w:t xml:space="preserve">mit Artikel, weiterer Relativsatz wie üblich, mit </w:t>
      </w:r>
      <w:r>
        <w:rPr>
          <w:rStyle w:val="Fett"/>
          <w:rFonts w:eastAsiaTheme="majorEastAsia"/>
        </w:rPr>
        <w:t>Waw</w:t>
      </w:r>
      <w:r>
        <w:t xml:space="preserve"> consecutives Perfekt), </w:t>
      </w:r>
      <w:r>
        <w:rPr>
          <w:rStyle w:val="Fett"/>
          <w:rFonts w:eastAsiaTheme="majorEastAsia"/>
          <w:rtl/>
        </w:rPr>
        <w:t>וַהֲקֵמֹתָ לְךָ אֲבָנִים גְּדֹלוֹת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קום</w:t>
      </w:r>
      <w:r>
        <w:t xml:space="preserve">, Hiphil Perfekt, 2. Person Maskulinum Singular, „aufrichten, aufstellen", </w:t>
      </w:r>
      <w:r>
        <w:rPr>
          <w:rStyle w:val="Fett"/>
          <w:rFonts w:eastAsiaTheme="majorEastAsia"/>
          <w:rtl/>
        </w:rPr>
        <w:t>לְךָ</w:t>
      </w:r>
      <w:r>
        <w:t xml:space="preserve">, Dativ, </w:t>
      </w:r>
      <w:r>
        <w:rPr>
          <w:rStyle w:val="Fett"/>
          <w:rFonts w:eastAsiaTheme="majorEastAsia"/>
          <w:rtl/>
        </w:rPr>
        <w:t>אֶבֶן</w:t>
      </w:r>
      <w:r>
        <w:t xml:space="preserve">, „Stein", Plural, </w:t>
      </w:r>
      <w:r>
        <w:rPr>
          <w:rStyle w:val="Fett"/>
          <w:rFonts w:eastAsiaTheme="majorEastAsia"/>
          <w:rtl/>
        </w:rPr>
        <w:t>גָּדוֹל</w:t>
      </w:r>
      <w:r>
        <w:t xml:space="preserve">, „groß", Plural, mit </w:t>
      </w:r>
      <w:r>
        <w:rPr>
          <w:rStyle w:val="Fett"/>
          <w:rFonts w:eastAsiaTheme="majorEastAsia"/>
        </w:rPr>
        <w:t>Waw</w:t>
      </w:r>
      <w:r>
        <w:t xml:space="preserve"> consecutives Perfekt), </w:t>
      </w:r>
      <w:r>
        <w:rPr>
          <w:rStyle w:val="Fett"/>
          <w:rFonts w:eastAsiaTheme="majorEastAsia"/>
          <w:rtl/>
        </w:rPr>
        <w:t>וְשַׂדְתָּ אֹתָם בַּשִּׂיד</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שׂוד</w:t>
      </w:r>
      <w:r>
        <w:t xml:space="preserve">, Qal Perfekt, 2. Person Maskulinum Singular, „mit Kalk bestreichen, tünchen", Objektpartikel </w:t>
      </w:r>
      <w:r>
        <w:rPr>
          <w:rStyle w:val="Fett"/>
          <w:rFonts w:eastAsiaTheme="majorEastAsia"/>
          <w:rtl/>
        </w:rPr>
        <w:t>אֵת</w:t>
      </w:r>
      <w:r>
        <w:rPr>
          <w:rtl/>
        </w:rPr>
        <w:t xml:space="preserve"> </w:t>
      </w:r>
      <w:r>
        <w:t xml:space="preserve">mit Suffix 3. Person Maskulinum Plural, Präposition </w:t>
      </w:r>
      <w:r>
        <w:rPr>
          <w:rStyle w:val="Fett"/>
          <w:rFonts w:eastAsiaTheme="majorEastAsia"/>
          <w:rtl/>
        </w:rPr>
        <w:t>בְּ</w:t>
      </w:r>
      <w:r>
        <w:rPr>
          <w:rtl/>
        </w:rPr>
        <w:t xml:space="preserve"> </w:t>
      </w:r>
      <w:r>
        <w:t xml:space="preserve">mit </w:t>
      </w:r>
      <w:r>
        <w:rPr>
          <w:rStyle w:val="Fett"/>
          <w:rFonts w:eastAsiaTheme="majorEastAsia"/>
          <w:rtl/>
        </w:rPr>
        <w:t>שִׂיד</w:t>
      </w:r>
      <w:r>
        <w:t xml:space="preserve">, „Kalk, Gips", mit </w:t>
      </w:r>
      <w:r>
        <w:rPr>
          <w:rStyle w:val="Fett"/>
          <w:rFonts w:eastAsiaTheme="majorEastAsia"/>
        </w:rPr>
        <w:t>Waw</w:t>
      </w:r>
      <w:r>
        <w:t xml:space="preserve"> consecutives Perfekt).</w:t>
      </w:r>
    </w:p>
    <w:p w14:paraId="5E35A613" w14:textId="08B18FA3" w:rsidR="00A709A3" w:rsidRDefault="00A709A3" w:rsidP="00A709A3">
      <w:pPr>
        <w:pStyle w:val="whitespace-normal"/>
      </w:pPr>
      <w:r>
        <w:t xml:space="preserve">Der Vers gibt die erste Anweisung für den Tag des Jordanübergangs. Die Bedingung: </w:t>
      </w:r>
      <w:r>
        <w:rPr>
          <w:rStyle w:val="Fett"/>
          <w:rFonts w:eastAsiaTheme="majorEastAsia"/>
          <w:rtl/>
        </w:rPr>
        <w:t>וְהָיָה בַּיּוֹם אֲשֶׁר תַּעַבְרוּ אֶת־הַיַּרְדֵּן אֶל־הָאָרֶץ אֲשֶׁר־יְהוָה אֱלֹהֶיךָ נֹתֵן לָךְ</w:t>
      </w:r>
      <w:r>
        <w:rPr>
          <w:rtl/>
        </w:rPr>
        <w:t xml:space="preserve"> </w:t>
      </w:r>
      <w:r>
        <w:t xml:space="preserve">(„und es soll geschehen, an dem Tag, da ihr über den Jordan hinüberzieht in das Land, das JHWH, dein Gott, dir gibt"). Die Formulierung </w:t>
      </w:r>
      <w:r>
        <w:rPr>
          <w:rStyle w:val="Fett"/>
          <w:rFonts w:eastAsiaTheme="majorEastAsia"/>
          <w:rtl/>
        </w:rPr>
        <w:t>בַּיּוֹם אֲשֶׁר</w:t>
      </w:r>
      <w:r>
        <w:rPr>
          <w:rtl/>
        </w:rPr>
        <w:t xml:space="preserve"> </w:t>
      </w:r>
      <w:r>
        <w:t xml:space="preserve">(„an dem Tag, da") betont den spezifischen Tag des Jordanübergangs. Die erste Anweisung: </w:t>
      </w:r>
      <w:r>
        <w:rPr>
          <w:rStyle w:val="Fett"/>
          <w:rFonts w:eastAsiaTheme="majorEastAsia"/>
          <w:rtl/>
        </w:rPr>
        <w:t>וַהֲקֵמֹתָ לְךָ אֲבָנִים גְּדֹלוֹת</w:t>
      </w:r>
      <w:r>
        <w:rPr>
          <w:rtl/>
        </w:rPr>
        <w:t xml:space="preserve"> </w:t>
      </w:r>
      <w:r>
        <w:t xml:space="preserve">(„und aufrichten sollst du dir große Steine"). Das Verb </w:t>
      </w:r>
      <w:r>
        <w:rPr>
          <w:rStyle w:val="Fett"/>
          <w:rFonts w:eastAsiaTheme="majorEastAsia"/>
          <w:rtl/>
        </w:rPr>
        <w:t>קום</w:t>
      </w:r>
      <w:r>
        <w:rPr>
          <w:rtl/>
        </w:rPr>
        <w:t xml:space="preserve"> </w:t>
      </w:r>
      <w:r>
        <w:t xml:space="preserve">im Hiphil („aufrichten, aufstellen") beschreibt die Errichtung stehender Steine. Die Formulierung </w:t>
      </w:r>
      <w:r>
        <w:rPr>
          <w:rStyle w:val="Fett"/>
          <w:rFonts w:eastAsiaTheme="majorEastAsia"/>
          <w:rtl/>
        </w:rPr>
        <w:t>אֲבָנִים גְּדֹלוֹת</w:t>
      </w:r>
      <w:r>
        <w:rPr>
          <w:rtl/>
        </w:rPr>
        <w:t xml:space="preserve"> </w:t>
      </w:r>
      <w:r>
        <w:t xml:space="preserve">(„große Steine") betont die Größe – diese Steine sollen sichtbare Denkmäler sein. Die zweite Anweisung: </w:t>
      </w:r>
      <w:r>
        <w:rPr>
          <w:rStyle w:val="Fett"/>
          <w:rFonts w:eastAsiaTheme="majorEastAsia"/>
          <w:rtl/>
        </w:rPr>
        <w:t>וְשַׂדְתָּ אֹתָם בַּשִּׂיד</w:t>
      </w:r>
      <w:r>
        <w:rPr>
          <w:rtl/>
        </w:rPr>
        <w:t xml:space="preserve"> </w:t>
      </w:r>
      <w:r>
        <w:t xml:space="preserve">(„und bestreichen sollst du sie mit Kalk"). Das Verb </w:t>
      </w:r>
      <w:r>
        <w:rPr>
          <w:rStyle w:val="Fett"/>
          <w:rFonts w:eastAsiaTheme="majorEastAsia"/>
          <w:rtl/>
        </w:rPr>
        <w:t>שׂוד</w:t>
      </w:r>
      <w:r>
        <w:rPr>
          <w:rtl/>
        </w:rPr>
        <w:t xml:space="preserve"> </w:t>
      </w:r>
      <w:r>
        <w:t xml:space="preserve">(„mit Kalk bestreichen, tünchen") beschreibt das Überziehen mit weißem Kalk oder Gips. Das Wort </w:t>
      </w:r>
      <w:r>
        <w:rPr>
          <w:rStyle w:val="Fett"/>
          <w:rFonts w:eastAsiaTheme="majorEastAsia"/>
          <w:rtl/>
        </w:rPr>
        <w:t>שִׂיד</w:t>
      </w:r>
      <w:r>
        <w:rPr>
          <w:rtl/>
        </w:rPr>
        <w:t xml:space="preserve"> </w:t>
      </w:r>
      <w:r>
        <w:t>(„Kalk, Gips") macht die Steine glatt und hell – eine Oberfläche, auf die man gut schreiben kann. V. 3 wird erklären, was auf die Steine geschrieben werden soll.</w:t>
      </w:r>
    </w:p>
    <w:p w14:paraId="1EE00502" w14:textId="440CEC2B" w:rsidR="001A04EF" w:rsidRDefault="001A04EF" w:rsidP="00A709A3">
      <w:pPr>
        <w:pStyle w:val="whitespace-normal"/>
      </w:pPr>
      <w:r>
        <w:rPr>
          <w:rStyle w:val="Fett"/>
        </w:rPr>
        <w:t>Die LXX</w:t>
      </w:r>
      <w:r>
        <w:t xml:space="preserve"> übersetzt </w:t>
      </w:r>
      <w:r>
        <w:rPr>
          <w:rtl/>
        </w:rPr>
        <w:t>וְשַׂדְתָּ אֹתָם בַּשִּׂיד</w:t>
      </w:r>
      <w:r>
        <w:t xml:space="preserve"> (und du sollst sie mit Kalk tünchen) mit καὶ </w:t>
      </w:r>
      <w:proofErr w:type="spellStart"/>
      <w:r>
        <w:t>κονιάσεις</w:t>
      </w:r>
      <w:proofErr w:type="spellEnd"/>
      <w:r>
        <w:t xml:space="preserve"> α</w:t>
      </w:r>
      <w:proofErr w:type="spellStart"/>
      <w:r>
        <w:t>ὐτοὺς</w:t>
      </w:r>
      <w:proofErr w:type="spellEnd"/>
      <w:r>
        <w:t xml:space="preserve"> </w:t>
      </w:r>
      <w:proofErr w:type="spellStart"/>
      <w:r>
        <w:t>κονίᾳ</w:t>
      </w:r>
      <w:proofErr w:type="spellEnd"/>
      <w:r>
        <w:t xml:space="preserve"> (und du wirst sie mit Kalk/Gips weißen) – eine figura etymologica im Griechischen.</w:t>
      </w:r>
    </w:p>
    <w:p w14:paraId="4B30FD4B" w14:textId="77777777" w:rsidR="00A709A3" w:rsidRDefault="00A709A3" w:rsidP="00A709A3">
      <w:pPr>
        <w:pStyle w:val="whitespace-normal"/>
      </w:pPr>
      <w:r>
        <w:rPr>
          <w:rStyle w:val="Fett"/>
          <w:rFonts w:eastAsiaTheme="majorEastAsia"/>
        </w:rPr>
        <w:t>Die Satzstruktur:</w:t>
      </w:r>
      <w:r>
        <w:t xml:space="preserve"> Bedingung mit zwei Anweisungen (und es soll geschehen, an dem Tag, da ihr über den Jordan hinüberzieht in das Land, das JHWH, dein Gott, dir gibt, und aufrichten sollst du dir große Steine, und bestreichen sollst du sie mit Kalk).</w:t>
      </w:r>
    </w:p>
    <w:p w14:paraId="7FF56114" w14:textId="330EE6F3" w:rsidR="00A709A3" w:rsidRDefault="00A709A3" w:rsidP="00A709A3">
      <w:pPr>
        <w:pStyle w:val="whitespace-normal"/>
      </w:pPr>
      <w:r>
        <w:rPr>
          <w:rStyle w:val="Fett"/>
          <w:rFonts w:eastAsiaTheme="majorEastAsia"/>
        </w:rPr>
        <w:t>Der Vers beschreibt:</w:t>
      </w:r>
      <w:r>
        <w:t xml:space="preserve"> Anweisung für den Jordanübergang – große Steine aufrichten und mit Kalk bestreichen.</w:t>
      </w:r>
    </w:p>
    <w:p w14:paraId="75BD7C31" w14:textId="77777777" w:rsidR="00A709A3" w:rsidRPr="00B53ACC" w:rsidRDefault="00A709A3" w:rsidP="00B53ACC">
      <w:pPr>
        <w:pStyle w:val="Bibelberschrift"/>
      </w:pPr>
      <w:r w:rsidRPr="00B53ACC">
        <w:rPr>
          <w:rStyle w:val="Fett"/>
          <w:b/>
          <w:bCs w:val="0"/>
        </w:rPr>
        <w:t>Deuteronomium 27,3</w:t>
      </w:r>
    </w:p>
    <w:p w14:paraId="01524849" w14:textId="77777777" w:rsidR="00A709A3" w:rsidRDefault="00A709A3" w:rsidP="00A709A3">
      <w:pPr>
        <w:pStyle w:val="whitespace-normal"/>
      </w:pPr>
      <w:r>
        <w:rPr>
          <w:rStyle w:val="Fett"/>
          <w:rFonts w:eastAsiaTheme="majorEastAsia"/>
        </w:rPr>
        <w:t>Hebräisch:</w:t>
      </w:r>
      <w:r>
        <w:t xml:space="preserve"> </w:t>
      </w:r>
      <w:r>
        <w:rPr>
          <w:rtl/>
        </w:rPr>
        <w:t>וְכָתַבְתָּ עֲלֵיהֶן אֶֽת־כָּל־דִּבְרֵי הַתּוֹרָה הַזֹּאת בְּעָבְרֶךָ לְמַעַן אֲשֶׁר תָּבֹא אֶל־הָאָרֶץ אֲֽשֶׁר־יְהוָה אֱלֹהֶיךָ נֹתֵן לְךָ אֶרֶץ זָבַת חָלָב וּדְבַשׁ כַּאֲשֶׁר דִּבֶּר יְהוָה אֱלֹהֵֽי־אֲבֹתֶיךָ לָֽךְ׃</w:t>
      </w:r>
    </w:p>
    <w:p w14:paraId="4CABBBF6" w14:textId="44F43A56" w:rsidR="00A709A3" w:rsidRDefault="00A709A3" w:rsidP="00A709A3">
      <w:pPr>
        <w:pStyle w:val="whitespace-normal"/>
      </w:pPr>
      <w:r>
        <w:rPr>
          <w:rStyle w:val="Fett"/>
          <w:rFonts w:eastAsiaTheme="majorEastAsia"/>
        </w:rPr>
        <w:t>Deutsch:</w:t>
      </w:r>
      <w:r>
        <w:t xml:space="preserve"> Und du sollst auf sie schreiben alle Worte dieser </w:t>
      </w:r>
      <w:r w:rsidR="006D3FED">
        <w:t>Torah</w:t>
      </w:r>
      <w:r>
        <w:t>, wenn du hinüberziehst, damit du kommst in das Land, das JHWH, dein Gott, dir gibt, ein Land, fließend von Milch und Honig, wie JHWH, der Gott deiner Väter, zu dir geredet hat.</w:t>
      </w:r>
    </w:p>
    <w:p w14:paraId="7356A2FC" w14:textId="77777777" w:rsidR="00A709A3" w:rsidRDefault="004F5CEB" w:rsidP="00A709A3">
      <w:r>
        <w:rPr>
          <w:noProof/>
        </w:rPr>
        <w:pict w14:anchorId="38F8022B">
          <v:rect id="_x0000_i1714" style="width:0;height:1.5pt" o:hralign="center" o:hrstd="t" o:hr="t" fillcolor="#a0a0a0" stroked="f"/>
        </w:pict>
      </w:r>
    </w:p>
    <w:p w14:paraId="5DB781F3" w14:textId="77777777" w:rsidR="00A709A3" w:rsidRDefault="00A709A3" w:rsidP="00A709A3">
      <w:pPr>
        <w:pStyle w:val="whitespace-normal"/>
      </w:pPr>
      <w:r>
        <w:rPr>
          <w:rStyle w:val="Fett"/>
          <w:rFonts w:eastAsiaTheme="majorEastAsia"/>
        </w:rPr>
        <w:lastRenderedPageBreak/>
        <w:t>Kommentar:</w:t>
      </w:r>
      <w:r>
        <w:t xml:space="preserve"> </w:t>
      </w:r>
      <w:r>
        <w:rPr>
          <w:rStyle w:val="Fett"/>
          <w:rFonts w:eastAsiaTheme="majorEastAsia"/>
          <w:rtl/>
        </w:rPr>
        <w:t>וְכָתַבְתָּ עֲלֵיהֶן אֶת־כָּל־דִּבְרֵי הַתּוֹרָה הַזֹּאת בְּעָבְרֶךָ לְמַעַן אֲשֶׁר תָּבֹא אֶל־הָאָרֶץ אֲשֶׁר־יְהוָה אֱלֹהֶיךָ נֹתֵן לְךָ אֶרֶץ זָבַת חָלָב וּדְבַשׁ כַּאֲשֶׁר דִּבֶּר יְהוָה אֱלֹהֵי־אֲבֹתֶיךָ לָךְ</w:t>
      </w:r>
      <w:r>
        <w:rPr>
          <w:rtl/>
        </w:rPr>
        <w:t xml:space="preserve"> </w:t>
      </w:r>
      <w:r>
        <w:t xml:space="preserve">ist eine Anweisung mit Finalsatz: </w:t>
      </w:r>
      <w:r>
        <w:rPr>
          <w:rStyle w:val="Fett"/>
          <w:rFonts w:eastAsiaTheme="majorEastAsia"/>
          <w:rtl/>
        </w:rPr>
        <w:t>וְכָתַבְתָּ עֲלֵיהֶן אֶת־כָּל־דִּבְרֵי הַתּוֹרָה הַזֹּאת בְּעָבְרֶךָ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כתב</w:t>
      </w:r>
      <w:r>
        <w:t xml:space="preserve">, Qal Perfekt, 2. Person Maskulinum Singular, „schreiben", Präposition </w:t>
      </w:r>
      <w:r>
        <w:rPr>
          <w:rStyle w:val="Fett"/>
          <w:rFonts w:eastAsiaTheme="majorEastAsia"/>
          <w:rtl/>
        </w:rPr>
        <w:t>עַל</w:t>
      </w:r>
      <w:r>
        <w:rPr>
          <w:rtl/>
        </w:rPr>
        <w:t xml:space="preserve"> </w:t>
      </w:r>
      <w:r>
        <w:t xml:space="preserve">mit Suffix 3. Person Maskulinum Plural – „auf sie", Objektpartikel </w:t>
      </w:r>
      <w:r>
        <w:rPr>
          <w:rStyle w:val="Fett"/>
          <w:rFonts w:eastAsiaTheme="majorEastAsia"/>
          <w:rtl/>
        </w:rPr>
        <w:t>אֵת</w:t>
      </w:r>
      <w:r>
        <w:rPr>
          <w:rtl/>
        </w:rPr>
        <w:t xml:space="preserve"> </w:t>
      </w:r>
      <w:r>
        <w:t xml:space="preserve">mit </w:t>
      </w:r>
      <w:r>
        <w:rPr>
          <w:rStyle w:val="Fett"/>
          <w:rFonts w:eastAsiaTheme="majorEastAsia"/>
          <w:rtl/>
        </w:rPr>
        <w:t>כֹּל</w:t>
      </w:r>
      <w:r>
        <w:t xml:space="preserve">, </w:t>
      </w:r>
      <w:r>
        <w:rPr>
          <w:rStyle w:val="Fett"/>
          <w:rFonts w:eastAsiaTheme="majorEastAsia"/>
          <w:rtl/>
        </w:rPr>
        <w:t>דָּבָר</w:t>
      </w:r>
      <w:r>
        <w:t xml:space="preserve">, „Wort", Plural Construct mit </w:t>
      </w:r>
      <w:r>
        <w:rPr>
          <w:rStyle w:val="Fett"/>
          <w:rFonts w:eastAsiaTheme="majorEastAsia"/>
          <w:rtl/>
        </w:rPr>
        <w:t>תּוֹרָה הַזֹּאת</w:t>
      </w:r>
      <w:r>
        <w:t xml:space="preserve">, Präposition </w:t>
      </w:r>
      <w:r>
        <w:rPr>
          <w:rStyle w:val="Fett"/>
          <w:rFonts w:eastAsiaTheme="majorEastAsia"/>
          <w:rtl/>
        </w:rPr>
        <w:t>בְּ</w:t>
      </w:r>
      <w:r>
        <w:rPr>
          <w:rtl/>
        </w:rPr>
        <w:t xml:space="preserve"> </w:t>
      </w:r>
      <w:r>
        <w:t xml:space="preserve">mit Qal Infinitiv Construct von </w:t>
      </w:r>
      <w:r>
        <w:rPr>
          <w:rStyle w:val="Fett"/>
          <w:rFonts w:eastAsiaTheme="majorEastAsia"/>
          <w:rtl/>
        </w:rPr>
        <w:t>עבר</w:t>
      </w:r>
      <w:r>
        <w:t xml:space="preserve">, mit Suffix 2. Person Maskulinum Singular – „wenn du hinüberziehst", mit </w:t>
      </w:r>
      <w:r>
        <w:rPr>
          <w:rStyle w:val="Fett"/>
          <w:rFonts w:eastAsiaTheme="majorEastAsia"/>
        </w:rPr>
        <w:t>Waw</w:t>
      </w:r>
      <w:r>
        <w:t xml:space="preserve"> consecutives Perfekt), </w:t>
      </w:r>
      <w:r>
        <w:rPr>
          <w:rStyle w:val="Fett"/>
          <w:rFonts w:eastAsiaTheme="majorEastAsia"/>
          <w:rtl/>
        </w:rPr>
        <w:t>לְמַעַן אֲשֶׁר תָּבֹא אֶל־הָאָרֶץ אֲשֶׁר־יְהוָה אֱלֹהֶיךָ נֹתֵן לְךָ אֶרֶץ זָבַת חָלָב וּדְבַשׁ כַּאֲשֶׁר דִּבֶּר יְהוָה אֱלֹהֵי־אֲבֹתֶיךָ לָךְ</w:t>
      </w:r>
      <w:r>
        <w:rPr>
          <w:rtl/>
        </w:rPr>
        <w:t xml:space="preserve"> </w:t>
      </w:r>
      <w:r>
        <w:t xml:space="preserve">(Finalsatz mit </w:t>
      </w:r>
      <w:r>
        <w:rPr>
          <w:rStyle w:val="Fett"/>
          <w:rFonts w:eastAsiaTheme="majorEastAsia"/>
          <w:rtl/>
        </w:rPr>
        <w:t>לְמַעַן אֲשֶׁר</w:t>
      </w:r>
      <w:r>
        <w:t xml:space="preserve">, „damit", </w:t>
      </w:r>
      <w:r>
        <w:rPr>
          <w:rStyle w:val="Fett"/>
          <w:rFonts w:eastAsiaTheme="majorEastAsia"/>
          <w:rtl/>
        </w:rPr>
        <w:t>בוא</w:t>
      </w:r>
      <w:r>
        <w:t>, Qal Imperfekt, 2. Person Maskulinum Singular, Relativsätze und Vergleichssatz wie üblich).</w:t>
      </w:r>
    </w:p>
    <w:p w14:paraId="64013066" w14:textId="718E9C5F" w:rsidR="00A709A3" w:rsidRDefault="00A709A3" w:rsidP="00A709A3">
      <w:pPr>
        <w:pStyle w:val="whitespace-normal"/>
      </w:pPr>
      <w:r>
        <w:t xml:space="preserve">Der Vers präzisiert, was auf die Steine geschrieben werden soll. Die Anweisung: </w:t>
      </w:r>
      <w:r>
        <w:rPr>
          <w:rStyle w:val="Fett"/>
          <w:rFonts w:eastAsiaTheme="majorEastAsia"/>
          <w:rtl/>
        </w:rPr>
        <w:t>וְכָתַבְתָּ עֲלֵיהֶן אֶת־כָּל־דִּבְרֵי הַתּוֹרָה הַזֹּאת בְּעָבְרֶךָ</w:t>
      </w:r>
      <w:r>
        <w:rPr>
          <w:rtl/>
        </w:rPr>
        <w:t xml:space="preserve"> </w:t>
      </w:r>
      <w:r>
        <w:t xml:space="preserve">(„und schreiben sollst du auf sie alle Worte dieser </w:t>
      </w:r>
      <w:r w:rsidR="006D3FED">
        <w:t>Torah</w:t>
      </w:r>
      <w:r>
        <w:t xml:space="preserve">, wenn du hinüberziehst"). Das Verb </w:t>
      </w:r>
      <w:r>
        <w:rPr>
          <w:rStyle w:val="Fett"/>
          <w:rFonts w:eastAsiaTheme="majorEastAsia"/>
          <w:rtl/>
        </w:rPr>
        <w:t>כתב</w:t>
      </w:r>
      <w:r>
        <w:rPr>
          <w:rtl/>
        </w:rPr>
        <w:t xml:space="preserve"> </w:t>
      </w:r>
      <w:r>
        <w:t xml:space="preserve">(„schreiben") – die Inschrift auf den mit Kalk bestrichenen Steinen. Die Formulierung </w:t>
      </w:r>
      <w:r>
        <w:rPr>
          <w:rStyle w:val="Fett"/>
          <w:rFonts w:eastAsiaTheme="majorEastAsia"/>
          <w:rtl/>
        </w:rPr>
        <w:t>כָּל־דִּבְרֵי הַתּוֹרָה הַזֹּאת</w:t>
      </w:r>
      <w:r>
        <w:rPr>
          <w:rtl/>
        </w:rPr>
        <w:t xml:space="preserve"> </w:t>
      </w:r>
      <w:r>
        <w:t xml:space="preserve">(„alle Worte dieser </w:t>
      </w:r>
      <w:r w:rsidR="006D3FED">
        <w:t>Torah</w:t>
      </w:r>
      <w:r>
        <w:t xml:space="preserve">") wirft Fragen auf: (1) Das gesamte Deuteronomium? (2) Das gesamte Gesetzeskorpus (Dtn 12-26)? (3) Eine Zusammenfassung der Hauptgebote? (4) Nur die zwölf Flüche aus V. 15-26? Die traditionelle jüdische Interpretation (Talmud, Sotah 32a) und viele moderne Ausleger verstehen dies als das gesamte deuteronomische Gesetz oder zumindest eine umfassende Zusammenfassung. Die zeitliche Angabe </w:t>
      </w:r>
      <w:r>
        <w:rPr>
          <w:rStyle w:val="Fett"/>
          <w:rFonts w:eastAsiaTheme="majorEastAsia"/>
          <w:rtl/>
        </w:rPr>
        <w:t>בְּעָבְרֶךָ</w:t>
      </w:r>
      <w:r>
        <w:rPr>
          <w:rtl/>
        </w:rPr>
        <w:t xml:space="preserve"> </w:t>
      </w:r>
      <w:r>
        <w:t xml:space="preserve">(„wenn du hinüberziehst") – am Tag des Jordanübergangs. Der Finalsatz: </w:t>
      </w:r>
      <w:r>
        <w:rPr>
          <w:rStyle w:val="Fett"/>
          <w:rFonts w:eastAsiaTheme="majorEastAsia"/>
          <w:rtl/>
        </w:rPr>
        <w:t>לְמַעַן אֲשֶׁר תָּבֹא אֶל־הָאָרֶץ אֲשֶׁר־יְהוָה אֱלֹהֶיךָ נֹתֵן לְךָ אֶרֶץ זָבַת חָלָב וּדְבַשׁ כַּאֲשֶׁר דִּבֶּר יְהוָה אֱלֹהֵי־אֲבֹתֶיךָ לָךְ</w:t>
      </w:r>
      <w:r>
        <w:rPr>
          <w:rtl/>
        </w:rPr>
        <w:t xml:space="preserve"> </w:t>
      </w:r>
      <w:r>
        <w:t>(„damit du kommst in das Land, das JHWH, dein Gott, dir gibt, ein Land, fließend von Milch und Honig, wie JHWH, der Gott deiner Väter, zu dir geredet hat"). Die Landverheißung als Motivation. V. 4 wird den Ort präzisieren.</w:t>
      </w:r>
    </w:p>
    <w:p w14:paraId="1CAAB331" w14:textId="541C919B" w:rsidR="00A709A3" w:rsidRDefault="00A709A3" w:rsidP="00A709A3">
      <w:pPr>
        <w:pStyle w:val="whitespace-normal"/>
      </w:pPr>
      <w:r>
        <w:rPr>
          <w:rStyle w:val="Fett"/>
          <w:rFonts w:eastAsiaTheme="majorEastAsia"/>
        </w:rPr>
        <w:t>Die Satzstruktur:</w:t>
      </w:r>
      <w:r>
        <w:t xml:space="preserve"> Anweisung mit Finalsatz (und schreiben sollst du auf sie alle Worte dieser </w:t>
      </w:r>
      <w:r w:rsidR="006D3FED">
        <w:t>Torah</w:t>
      </w:r>
      <w:r>
        <w:t>, wenn du hinüberziehst, damit du kommst in das Land, das JHWH, dein Gott, dir gibt, ein Land, fließend von Milch und Honig, wie JHWH, der Gott deiner Väter, zu dir geredet hat).</w:t>
      </w:r>
    </w:p>
    <w:p w14:paraId="009C3A8E" w14:textId="26359739" w:rsidR="00A709A3" w:rsidRDefault="00A709A3" w:rsidP="00705F3D">
      <w:pPr>
        <w:pStyle w:val="whitespace-normal"/>
      </w:pPr>
      <w:r>
        <w:rPr>
          <w:rStyle w:val="Fett"/>
          <w:rFonts w:eastAsiaTheme="majorEastAsia"/>
        </w:rPr>
        <w:t>Der Vers beschreibt:</w:t>
      </w:r>
      <w:r>
        <w:t xml:space="preserve"> Inhalt der Inschrift – alle Worte der </w:t>
      </w:r>
      <w:r w:rsidR="006D3FED">
        <w:t>Torah</w:t>
      </w:r>
      <w:r>
        <w:t xml:space="preserve"> sollen auf die Steine geschrieben werden.</w:t>
      </w:r>
    </w:p>
    <w:p w14:paraId="047F0978" w14:textId="77777777" w:rsidR="00A709A3" w:rsidRPr="00B53ACC" w:rsidRDefault="00A709A3" w:rsidP="00B53ACC">
      <w:pPr>
        <w:pStyle w:val="Bibelberschrift"/>
      </w:pPr>
      <w:r w:rsidRPr="00B53ACC">
        <w:rPr>
          <w:rStyle w:val="Fett"/>
          <w:b/>
          <w:bCs w:val="0"/>
        </w:rPr>
        <w:t>Deuteronomium 27,4</w:t>
      </w:r>
    </w:p>
    <w:p w14:paraId="189AF6B2" w14:textId="77777777" w:rsidR="00A709A3" w:rsidRDefault="00A709A3" w:rsidP="00A709A3">
      <w:pPr>
        <w:pStyle w:val="whitespace-normal"/>
      </w:pPr>
      <w:r>
        <w:rPr>
          <w:rStyle w:val="Fett"/>
          <w:rFonts w:eastAsiaTheme="majorEastAsia"/>
        </w:rPr>
        <w:t>Hebräisch:</w:t>
      </w:r>
      <w:r>
        <w:t xml:space="preserve"> </w:t>
      </w:r>
      <w:r>
        <w:rPr>
          <w:rtl/>
        </w:rPr>
        <w:t>וְהָיָה בְּעָבְרְכֶם אֶת־הַיַּרְדֵּן תָּקִימוּ אֶת־הָאֲבָנִים הָאֵלֶּה אֲשֶׁר אָנֹכִי מְצַוֶּה אֶתְכֶם הַיּוֹם בְּהַר עֵיבָל וְשַׂדְתָּ אוֹתָם בַּשִּֽׂיד׃</w:t>
      </w:r>
    </w:p>
    <w:p w14:paraId="0BF6CF2F" w14:textId="77777777" w:rsidR="00A709A3" w:rsidRDefault="00A709A3" w:rsidP="00A709A3">
      <w:pPr>
        <w:pStyle w:val="whitespace-normal"/>
      </w:pPr>
      <w:r>
        <w:rPr>
          <w:rStyle w:val="Fett"/>
          <w:rFonts w:eastAsiaTheme="majorEastAsia"/>
        </w:rPr>
        <w:t>Deutsch:</w:t>
      </w:r>
      <w:r>
        <w:t xml:space="preserve"> Und es soll geschehen, wenn ihr über den Jordan gezogen seid, sollt ihr diese Steine aufrichten, betreffs derer ich euch heute gebiete, auf dem Berg Ebal, und du sollst sie mit Kalk bestreichen.</w:t>
      </w:r>
    </w:p>
    <w:p w14:paraId="16770158" w14:textId="77777777" w:rsidR="00A709A3" w:rsidRDefault="004F5CEB" w:rsidP="00A709A3">
      <w:r>
        <w:rPr>
          <w:noProof/>
        </w:rPr>
        <w:pict w14:anchorId="214DE7D7">
          <v:rect id="_x0000_i1715" style="width:0;height:1.5pt" o:hralign="center" o:hrstd="t" o:hr="t" fillcolor="#a0a0a0" stroked="f"/>
        </w:pict>
      </w:r>
    </w:p>
    <w:p w14:paraId="6E7B4CA3"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וְהָיָה בְּעָבְרְכֶם אֶת־הַיַּרְדֵּן תָּקִימוּ אֶת־הָאֲבָנִים הָאֵלֶּה אֲשֶׁר אָנֹכִי מְצַוֶּה אֶתְכֶם הַיּוֹם בְּהַר עֵיבָל וְשַׂדְתָּ אוֹתָם בַּשִּׂיד</w:t>
      </w:r>
      <w:r>
        <w:rPr>
          <w:rtl/>
        </w:rPr>
        <w:t xml:space="preserve"> </w:t>
      </w:r>
      <w:r>
        <w:t xml:space="preserve">ist eine Bedingung mit zwei Anweisungen: </w:t>
      </w:r>
      <w:r>
        <w:rPr>
          <w:rStyle w:val="Fett"/>
          <w:rFonts w:eastAsiaTheme="majorEastAsia"/>
          <w:rtl/>
        </w:rPr>
        <w:t>וְהָיָה בְּעָבְרְכֶם אֶת־הַיַּרְדֵּן</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3. Person Maskulinum Singular, Präposition </w:t>
      </w:r>
      <w:r>
        <w:rPr>
          <w:rStyle w:val="Fett"/>
          <w:rFonts w:eastAsiaTheme="majorEastAsia"/>
          <w:rtl/>
        </w:rPr>
        <w:t>בְּ</w:t>
      </w:r>
      <w:r>
        <w:rPr>
          <w:rtl/>
        </w:rPr>
        <w:t xml:space="preserve"> </w:t>
      </w:r>
      <w:r>
        <w:t xml:space="preserve">mit Qal Infinitiv Construct von </w:t>
      </w:r>
      <w:r>
        <w:rPr>
          <w:rStyle w:val="Fett"/>
          <w:rFonts w:eastAsiaTheme="majorEastAsia"/>
          <w:rtl/>
        </w:rPr>
        <w:t>עבר</w:t>
      </w:r>
      <w:r>
        <w:t xml:space="preserve">, mit Suffix 2. Person Maskulinum Plural, Objektpartikel </w:t>
      </w:r>
      <w:r>
        <w:rPr>
          <w:rStyle w:val="Fett"/>
          <w:rFonts w:eastAsiaTheme="majorEastAsia"/>
          <w:rtl/>
        </w:rPr>
        <w:t>אֵת</w:t>
      </w:r>
      <w:r>
        <w:rPr>
          <w:rtl/>
        </w:rPr>
        <w:t xml:space="preserve"> </w:t>
      </w:r>
      <w:r>
        <w:t xml:space="preserve">mit </w:t>
      </w:r>
      <w:r>
        <w:rPr>
          <w:rStyle w:val="Fett"/>
          <w:rFonts w:eastAsiaTheme="majorEastAsia"/>
          <w:rtl/>
        </w:rPr>
        <w:t>יַרְדֵּן</w:t>
      </w:r>
      <w:r>
        <w:rPr>
          <w:rtl/>
        </w:rPr>
        <w:t xml:space="preserve"> </w:t>
      </w:r>
      <w:r>
        <w:t xml:space="preserve">mit </w:t>
      </w:r>
      <w:r>
        <w:lastRenderedPageBreak/>
        <w:t xml:space="preserve">Artikel, mit </w:t>
      </w:r>
      <w:r>
        <w:rPr>
          <w:rStyle w:val="Fett"/>
          <w:rFonts w:eastAsiaTheme="majorEastAsia"/>
        </w:rPr>
        <w:t>Waw</w:t>
      </w:r>
      <w:r>
        <w:t xml:space="preserve"> consecutives Perfekt), </w:t>
      </w:r>
      <w:r>
        <w:rPr>
          <w:rStyle w:val="Fett"/>
          <w:rFonts w:eastAsiaTheme="majorEastAsia"/>
          <w:rtl/>
        </w:rPr>
        <w:t>תָּקִימוּ אֶת־הָאֲבָנִים הָאֵלֶּה אֲשֶׁר אָנֹכִי מְצַוֶּה אֶתְכֶם הַיּוֹם בְּהַר עֵיבָל</w:t>
      </w:r>
      <w:r>
        <w:rPr>
          <w:rtl/>
        </w:rPr>
        <w:t xml:space="preserve"> </w:t>
      </w:r>
      <w:r>
        <w:t>(</w:t>
      </w:r>
      <w:r>
        <w:rPr>
          <w:rStyle w:val="Fett"/>
          <w:rFonts w:eastAsiaTheme="majorEastAsia"/>
          <w:rtl/>
        </w:rPr>
        <w:t>קום</w:t>
      </w:r>
      <w:r>
        <w:t xml:space="preserve">, Hiphil Imperfekt, 2. Person Plural, Objektpartikel </w:t>
      </w:r>
      <w:r>
        <w:rPr>
          <w:rStyle w:val="Fett"/>
          <w:rFonts w:eastAsiaTheme="majorEastAsia"/>
          <w:rtl/>
        </w:rPr>
        <w:t>אֵת</w:t>
      </w:r>
      <w:r>
        <w:rPr>
          <w:rtl/>
        </w:rPr>
        <w:t xml:space="preserve"> </w:t>
      </w:r>
      <w:r>
        <w:t xml:space="preserve">mit </w:t>
      </w:r>
      <w:r>
        <w:rPr>
          <w:rStyle w:val="Fett"/>
          <w:rFonts w:eastAsiaTheme="majorEastAsia"/>
          <w:rtl/>
        </w:rPr>
        <w:t>אֶבֶן</w:t>
      </w:r>
      <w:r>
        <w:rPr>
          <w:rtl/>
        </w:rPr>
        <w:t xml:space="preserve"> </w:t>
      </w:r>
      <w:r>
        <w:t xml:space="preserve">Plural mit Artikel, </w:t>
      </w:r>
      <w:r>
        <w:rPr>
          <w:rStyle w:val="Fett"/>
          <w:rFonts w:eastAsiaTheme="majorEastAsia"/>
          <w:rtl/>
        </w:rPr>
        <w:t>אֵלֶּה</w:t>
      </w:r>
      <w:r>
        <w:t xml:space="preserve">, Relativsatz wie in V. 3, </w:t>
      </w:r>
      <w:r>
        <w:rPr>
          <w:rStyle w:val="Fett"/>
          <w:rFonts w:eastAsiaTheme="majorEastAsia"/>
          <w:rtl/>
        </w:rPr>
        <w:t>בְּהַר עֵיבָל</w:t>
      </w:r>
      <w:r>
        <w:t xml:space="preserve">, Präposition </w:t>
      </w:r>
      <w:r>
        <w:rPr>
          <w:rStyle w:val="Fett"/>
          <w:rFonts w:eastAsiaTheme="majorEastAsia"/>
          <w:rtl/>
        </w:rPr>
        <w:t>בְּ</w:t>
      </w:r>
      <w:r>
        <w:rPr>
          <w:rtl/>
        </w:rPr>
        <w:t xml:space="preserve"> </w:t>
      </w:r>
      <w:r>
        <w:t xml:space="preserve">mit </w:t>
      </w:r>
      <w:r>
        <w:rPr>
          <w:rStyle w:val="Fett"/>
          <w:rFonts w:eastAsiaTheme="majorEastAsia"/>
          <w:rtl/>
        </w:rPr>
        <w:t>הַר</w:t>
      </w:r>
      <w:r>
        <w:t xml:space="preserve">, „Berg", Construct mit </w:t>
      </w:r>
      <w:r>
        <w:rPr>
          <w:rStyle w:val="Fett"/>
          <w:rFonts w:eastAsiaTheme="majorEastAsia"/>
          <w:rtl/>
        </w:rPr>
        <w:t>עֵיבָל</w:t>
      </w:r>
      <w:r>
        <w:t xml:space="preserve">, Ortsname), </w:t>
      </w:r>
      <w:r>
        <w:rPr>
          <w:rStyle w:val="Fett"/>
          <w:rFonts w:eastAsiaTheme="majorEastAsia"/>
          <w:rtl/>
        </w:rPr>
        <w:t>וְשַׂדְתָּ אוֹתָם בַּשִּׂיד</w:t>
      </w:r>
      <w:r>
        <w:rPr>
          <w:rtl/>
        </w:rPr>
        <w:t xml:space="preserve"> </w:t>
      </w:r>
      <w:r>
        <w:t>(wie V. 2).</w:t>
      </w:r>
    </w:p>
    <w:p w14:paraId="0B37FA0B" w14:textId="3F59B6AA" w:rsidR="00A709A3" w:rsidRDefault="00A709A3" w:rsidP="00A709A3">
      <w:pPr>
        <w:pStyle w:val="whitespace-normal"/>
      </w:pPr>
      <w:r>
        <w:t xml:space="preserve">Der Vers präzisiert den Ort der Steinerrichtung. Die Bedingung wie V. 2: </w:t>
      </w:r>
      <w:r>
        <w:rPr>
          <w:rStyle w:val="Fett"/>
          <w:rFonts w:eastAsiaTheme="majorEastAsia"/>
          <w:rtl/>
        </w:rPr>
        <w:t>וְהָיָה בְּעָבְרְכֶם אֶת־הַיַּרְדֵּן</w:t>
      </w:r>
      <w:r>
        <w:rPr>
          <w:rtl/>
        </w:rPr>
        <w:t xml:space="preserve"> </w:t>
      </w:r>
      <w:r>
        <w:t xml:space="preserve">(„und es soll geschehen, wenn ihr über den Jordan gezogen seid"). Die erste Anweisung: </w:t>
      </w:r>
      <w:r>
        <w:rPr>
          <w:rStyle w:val="Fett"/>
          <w:rFonts w:eastAsiaTheme="majorEastAsia"/>
          <w:rtl/>
        </w:rPr>
        <w:t>תָּקִימוּ אֶת־הָאֲבָנִים הָאֵלֶּה אֲשֶׁר אָנֹכִי מְצַוֶּה אֶתְכֶם הַיּוֹם בְּהַר עֵיבָל</w:t>
      </w:r>
      <w:r>
        <w:rPr>
          <w:rtl/>
        </w:rPr>
        <w:t xml:space="preserve"> </w:t>
      </w:r>
      <w:r>
        <w:t xml:space="preserve">(„aufrichten sollt ihr diese Steine, betreffs derer ich euch heute gebiete, auf dem Berg Ebal"). Die Ortangabe </w:t>
      </w:r>
      <w:r>
        <w:rPr>
          <w:rStyle w:val="Fett"/>
          <w:rFonts w:eastAsiaTheme="majorEastAsia"/>
          <w:rtl/>
        </w:rPr>
        <w:t>בְּהַר עֵיבָל</w:t>
      </w:r>
      <w:r>
        <w:rPr>
          <w:rtl/>
        </w:rPr>
        <w:t xml:space="preserve"> </w:t>
      </w:r>
      <w:r>
        <w:t xml:space="preserve">(„auf dem Berg Ebal") ist entscheidend. Der </w:t>
      </w:r>
      <w:r>
        <w:rPr>
          <w:rStyle w:val="Fett"/>
          <w:rFonts w:eastAsiaTheme="majorEastAsia"/>
          <w:rtl/>
        </w:rPr>
        <w:t>הַר עֵיבָל</w:t>
      </w:r>
      <w:r>
        <w:rPr>
          <w:rtl/>
        </w:rPr>
        <w:t xml:space="preserve"> </w:t>
      </w:r>
      <w:r>
        <w:t xml:space="preserve">(„Berg Ebal") liegt bei Sichem, nördlich von Jerusalem, gegenüber dem Berg Gerisim (V. 12-13). Dies ist der Berg der Flüche (V. 13). Die zweite Anweisung: </w:t>
      </w:r>
      <w:r>
        <w:rPr>
          <w:rStyle w:val="Fett"/>
          <w:rFonts w:eastAsiaTheme="majorEastAsia"/>
          <w:rtl/>
        </w:rPr>
        <w:t>וְשַׂדְתָּ אוֹתָם בַּשִּׂיד</w:t>
      </w:r>
      <w:r>
        <w:rPr>
          <w:rtl/>
        </w:rPr>
        <w:t xml:space="preserve"> </w:t>
      </w:r>
      <w:r>
        <w:t>(„und bestreichen sollst du sie mit Kalk") – Wiederholung von V. 2 zur Betonung. V. 5 wird den Altarbau anordnen.</w:t>
      </w:r>
    </w:p>
    <w:p w14:paraId="6FC162D6" w14:textId="594304AB" w:rsidR="001A04EF" w:rsidRDefault="001A04EF" w:rsidP="00A709A3">
      <w:pPr>
        <w:pStyle w:val="whitespace-normal"/>
      </w:pPr>
      <w:r>
        <w:rPr>
          <w:rStyle w:val="Fett"/>
        </w:rPr>
        <w:t>Die LXX</w:t>
      </w:r>
      <w:r>
        <w:t xml:space="preserve"> verwendet Γαιβ</w:t>
      </w:r>
      <w:proofErr w:type="spellStart"/>
      <w:r>
        <w:t>άλ</w:t>
      </w:r>
      <w:proofErr w:type="spellEnd"/>
      <w:r>
        <w:t xml:space="preserve"> (Gaibal) für </w:t>
      </w:r>
      <w:r>
        <w:rPr>
          <w:rtl/>
        </w:rPr>
        <w:t>עֵיבָל</w:t>
      </w:r>
      <w:r>
        <w:t xml:space="preserve"> (Ebal) – eine gräzisierte Schreibweise des Namens.</w:t>
      </w:r>
    </w:p>
    <w:p w14:paraId="7D80222D" w14:textId="77777777" w:rsidR="00A709A3" w:rsidRDefault="00A709A3" w:rsidP="00A709A3">
      <w:pPr>
        <w:pStyle w:val="whitespace-normal"/>
      </w:pPr>
      <w:r>
        <w:rPr>
          <w:rStyle w:val="Fett"/>
          <w:rFonts w:eastAsiaTheme="majorEastAsia"/>
        </w:rPr>
        <w:t>Die Satzstruktur:</w:t>
      </w:r>
      <w:r>
        <w:t xml:space="preserve"> Bedingung mit zwei Anweisungen (und es soll geschehen, wenn ihr über den Jordan gezogen seid, aufrichten sollt ihr diese Steine, betreffs derer ich euch heute gebiete, auf dem Berg Ebal, und bestreichen sollst du sie mit Kalk).</w:t>
      </w:r>
    </w:p>
    <w:p w14:paraId="37AC22AB" w14:textId="77777777" w:rsidR="00A709A3" w:rsidRDefault="00A709A3" w:rsidP="00A709A3">
      <w:pPr>
        <w:pStyle w:val="whitespace-normal"/>
      </w:pPr>
      <w:r>
        <w:rPr>
          <w:rStyle w:val="Fett"/>
          <w:rFonts w:eastAsiaTheme="majorEastAsia"/>
        </w:rPr>
        <w:t>Der Vers beschreibt:</w:t>
      </w:r>
      <w:r>
        <w:t xml:space="preserve"> Ortsangabe – die Steine sollen auf dem Berg Ebal aufgerichtet werden.</w:t>
      </w:r>
    </w:p>
    <w:p w14:paraId="61BAB995" w14:textId="77777777" w:rsidR="00A709A3" w:rsidRDefault="004F5CEB" w:rsidP="00A709A3">
      <w:r>
        <w:rPr>
          <w:noProof/>
        </w:rPr>
        <w:pict w14:anchorId="44C3FA52">
          <v:rect id="_x0000_i1716" style="width:0;height:1.5pt" o:hralign="center" o:hrstd="t" o:hr="t" fillcolor="#a0a0a0" stroked="f"/>
        </w:pict>
      </w:r>
    </w:p>
    <w:p w14:paraId="536E8390" w14:textId="77777777" w:rsidR="00A709A3" w:rsidRPr="00B53ACC" w:rsidRDefault="00A709A3" w:rsidP="00B53ACC">
      <w:pPr>
        <w:pStyle w:val="Bibelberschrift"/>
      </w:pPr>
      <w:r w:rsidRPr="00B53ACC">
        <w:rPr>
          <w:rStyle w:val="Fett"/>
          <w:b/>
          <w:bCs w:val="0"/>
        </w:rPr>
        <w:t>Deuteronomium 27,5</w:t>
      </w:r>
    </w:p>
    <w:p w14:paraId="51B9FD82" w14:textId="77777777" w:rsidR="00A709A3" w:rsidRDefault="00A709A3" w:rsidP="00A709A3">
      <w:pPr>
        <w:pStyle w:val="whitespace-normal"/>
      </w:pPr>
      <w:r>
        <w:rPr>
          <w:rStyle w:val="Fett"/>
          <w:rFonts w:eastAsiaTheme="majorEastAsia"/>
        </w:rPr>
        <w:t>Hebräisch:</w:t>
      </w:r>
      <w:r>
        <w:t xml:space="preserve"> </w:t>
      </w:r>
      <w:r>
        <w:rPr>
          <w:rtl/>
        </w:rPr>
        <w:t>וּבָנִיתָ שָּׁם מִזְבֵּחַ לַיהוָה אֱלֹהֶיךָ מִזְבַּח אֲבָנִים לֹא־תָנִיף עֲלֵיהֶם בַּרְזֶֽל׃</w:t>
      </w:r>
    </w:p>
    <w:p w14:paraId="673F4807" w14:textId="77777777" w:rsidR="00A709A3" w:rsidRDefault="00A709A3" w:rsidP="00A709A3">
      <w:pPr>
        <w:pStyle w:val="whitespace-normal"/>
      </w:pPr>
      <w:r>
        <w:rPr>
          <w:rStyle w:val="Fett"/>
          <w:rFonts w:eastAsiaTheme="majorEastAsia"/>
        </w:rPr>
        <w:t>Deutsch:</w:t>
      </w:r>
      <w:r>
        <w:t xml:space="preserve"> Und du sollst dort einen Altar bauen dem JHWH, deinem Gott, einen Altar von Steinen; du sollst kein Eisen über sie schwingen.</w:t>
      </w:r>
    </w:p>
    <w:p w14:paraId="01BB32A7" w14:textId="77777777" w:rsidR="00A709A3" w:rsidRDefault="004F5CEB" w:rsidP="00A709A3">
      <w:r>
        <w:rPr>
          <w:noProof/>
        </w:rPr>
        <w:pict w14:anchorId="2D67061D">
          <v:rect id="_x0000_i1717" style="width:0;height:1.5pt" o:hralign="center" o:hrstd="t" o:hr="t" fillcolor="#a0a0a0" stroked="f"/>
        </w:pict>
      </w:r>
    </w:p>
    <w:p w14:paraId="0592D8AF"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וּבָנִיתָ שָּׁם מִזְבֵּחַ לַיהוָה אֱלֹהֶיךָ מִזְבַּח אֲבָנִים לֹא־תָנִיף עֲלֵיהֶם בַּרְזֶל</w:t>
      </w:r>
      <w:r>
        <w:rPr>
          <w:rtl/>
        </w:rPr>
        <w:t xml:space="preserve"> </w:t>
      </w:r>
      <w:r>
        <w:t xml:space="preserve">sind zwei Anweisungen: </w:t>
      </w:r>
      <w:r>
        <w:rPr>
          <w:rStyle w:val="Fett"/>
          <w:rFonts w:eastAsiaTheme="majorEastAsia"/>
          <w:rtl/>
        </w:rPr>
        <w:t>וּבָנִיתָ שָּׁם מִזְבֵּחַ לַיהוָה אֱלֹהֶיךָ מִזְבַּח אֲבָנִים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בנה</w:t>
      </w:r>
      <w:r>
        <w:t xml:space="preserve">, Qal Perfekt, 2. Person Maskulinum Singular, „bauen", </w:t>
      </w:r>
      <w:r>
        <w:rPr>
          <w:rStyle w:val="Fett"/>
          <w:rFonts w:eastAsiaTheme="majorEastAsia"/>
          <w:rtl/>
        </w:rPr>
        <w:t>שָׁם</w:t>
      </w:r>
      <w:r>
        <w:t xml:space="preserve">, „dort", </w:t>
      </w:r>
      <w:r>
        <w:rPr>
          <w:rStyle w:val="Fett"/>
          <w:rFonts w:eastAsiaTheme="majorEastAsia"/>
          <w:rtl/>
        </w:rPr>
        <w:t>מִזְבֵּחַ</w:t>
      </w:r>
      <w:r>
        <w:t xml:space="preserve">, „Altar", </w:t>
      </w:r>
      <w:r>
        <w:rPr>
          <w:rStyle w:val="Fett"/>
          <w:rFonts w:eastAsiaTheme="majorEastAsia"/>
          <w:rtl/>
        </w:rPr>
        <w:t>לַיהוָה אֱלֹהֶיךָ</w:t>
      </w:r>
      <w:r>
        <w:t xml:space="preserve">, Dativ, Apposition: </w:t>
      </w:r>
      <w:r>
        <w:rPr>
          <w:rStyle w:val="Fett"/>
          <w:rFonts w:eastAsiaTheme="majorEastAsia"/>
          <w:rtl/>
        </w:rPr>
        <w:t>מִזְבַּח אֲבָנִים</w:t>
      </w:r>
      <w:r>
        <w:t xml:space="preserve">, „Altar von Steinen", mit </w:t>
      </w:r>
      <w:r>
        <w:rPr>
          <w:rStyle w:val="Fett"/>
          <w:rFonts w:eastAsiaTheme="majorEastAsia"/>
        </w:rPr>
        <w:t>Waw</w:t>
      </w:r>
      <w:r>
        <w:t xml:space="preserve"> consecutives Perfekt), </w:t>
      </w:r>
      <w:r>
        <w:rPr>
          <w:rStyle w:val="Fett"/>
          <w:rFonts w:eastAsiaTheme="majorEastAsia"/>
          <w:rtl/>
        </w:rPr>
        <w:t>לֹא־תָנִיף עֲלֵיהֶם בַּרְזֶל</w:t>
      </w:r>
      <w:r>
        <w:rPr>
          <w:rtl/>
        </w:rPr>
        <w:t xml:space="preserve"> </w:t>
      </w:r>
      <w:r>
        <w:t xml:space="preserve">(Negation mit </w:t>
      </w:r>
      <w:r>
        <w:rPr>
          <w:rStyle w:val="Fett"/>
          <w:rFonts w:eastAsiaTheme="majorEastAsia"/>
          <w:rtl/>
        </w:rPr>
        <w:t>נוף</w:t>
      </w:r>
      <w:r>
        <w:t xml:space="preserve">, Hiphil Imperfekt, 2. Person Maskulinum Singular, „schwingen, heben", Präposition </w:t>
      </w:r>
      <w:r>
        <w:rPr>
          <w:rStyle w:val="Fett"/>
          <w:rFonts w:eastAsiaTheme="majorEastAsia"/>
          <w:rtl/>
        </w:rPr>
        <w:t>עַל</w:t>
      </w:r>
      <w:r>
        <w:rPr>
          <w:rtl/>
        </w:rPr>
        <w:t xml:space="preserve"> </w:t>
      </w:r>
      <w:r>
        <w:t xml:space="preserve">mit Suffix 3. Person Maskulinum Plural, </w:t>
      </w:r>
      <w:r>
        <w:rPr>
          <w:rStyle w:val="Fett"/>
          <w:rFonts w:eastAsiaTheme="majorEastAsia"/>
          <w:rtl/>
        </w:rPr>
        <w:t>בַּרְזֶל</w:t>
      </w:r>
      <w:r>
        <w:t>, „Eisen").</w:t>
      </w:r>
    </w:p>
    <w:p w14:paraId="6D8F64E6" w14:textId="77777777" w:rsidR="00A709A3" w:rsidRDefault="00A709A3" w:rsidP="00A709A3">
      <w:pPr>
        <w:pStyle w:val="whitespace-normal"/>
      </w:pPr>
      <w:r>
        <w:t xml:space="preserve">Der Vers gibt die Anweisung zum Altarbau. Die erste Anweisung: </w:t>
      </w:r>
      <w:r>
        <w:rPr>
          <w:rStyle w:val="Fett"/>
          <w:rFonts w:eastAsiaTheme="majorEastAsia"/>
          <w:rtl/>
        </w:rPr>
        <w:t>וּבָנִיתָ שָּׁם מִזְבֵּחַ לַיהוָה אֱלֹהֶיךָ מִזְבַּח אֲבָנִים</w:t>
      </w:r>
      <w:r>
        <w:rPr>
          <w:rtl/>
        </w:rPr>
        <w:t xml:space="preserve"> </w:t>
      </w:r>
      <w:r>
        <w:t xml:space="preserve">(„und bauen sollst du dort einen Altar dem JHWH, deinem Gott, einen Altar von Steinen"). Das Verb </w:t>
      </w:r>
      <w:r>
        <w:rPr>
          <w:rStyle w:val="Fett"/>
          <w:rFonts w:eastAsiaTheme="majorEastAsia"/>
          <w:rtl/>
        </w:rPr>
        <w:t>בנה</w:t>
      </w:r>
      <w:r>
        <w:rPr>
          <w:rtl/>
        </w:rPr>
        <w:t xml:space="preserve"> </w:t>
      </w:r>
      <w:r>
        <w:t xml:space="preserve">(„bauen") – Konstruktion eines Altars. Das Adverb </w:t>
      </w:r>
      <w:r>
        <w:rPr>
          <w:rStyle w:val="Fett"/>
          <w:rFonts w:eastAsiaTheme="majorEastAsia"/>
          <w:rtl/>
        </w:rPr>
        <w:t>שָׁם</w:t>
      </w:r>
      <w:r>
        <w:rPr>
          <w:rtl/>
        </w:rPr>
        <w:t xml:space="preserve"> </w:t>
      </w:r>
      <w:r>
        <w:t xml:space="preserve">(„dort") bezieht sich auf den Berg Ebal. Die Apposition </w:t>
      </w:r>
      <w:r>
        <w:rPr>
          <w:rStyle w:val="Fett"/>
          <w:rFonts w:eastAsiaTheme="majorEastAsia"/>
          <w:rtl/>
        </w:rPr>
        <w:t>מִזְבַּח אֲבָנִים</w:t>
      </w:r>
      <w:r>
        <w:rPr>
          <w:rtl/>
        </w:rPr>
        <w:t xml:space="preserve"> </w:t>
      </w:r>
      <w:r>
        <w:t xml:space="preserve">(„Altar von Steinen") präzisiert das Material. Die zweite Anweisung (Verbot): </w:t>
      </w:r>
      <w:r>
        <w:rPr>
          <w:rStyle w:val="Fett"/>
          <w:rFonts w:eastAsiaTheme="majorEastAsia"/>
          <w:rtl/>
        </w:rPr>
        <w:t>לֹא־תָנִיף עֲלֵיהֶם בַּרְזֶל</w:t>
      </w:r>
      <w:r>
        <w:rPr>
          <w:rtl/>
        </w:rPr>
        <w:t xml:space="preserve"> </w:t>
      </w:r>
      <w:r>
        <w:t xml:space="preserve">(„nicht schwingen sollst du über sie Eisen"). Das Verb </w:t>
      </w:r>
      <w:r>
        <w:rPr>
          <w:rStyle w:val="Fett"/>
          <w:rFonts w:eastAsiaTheme="majorEastAsia"/>
          <w:rtl/>
        </w:rPr>
        <w:t>נוף</w:t>
      </w:r>
      <w:r>
        <w:rPr>
          <w:rtl/>
        </w:rPr>
        <w:t xml:space="preserve"> </w:t>
      </w:r>
      <w:r>
        <w:t xml:space="preserve">im Hiphil („schwingen, heben") – keine Bearbeitung mit </w:t>
      </w:r>
      <w:r>
        <w:lastRenderedPageBreak/>
        <w:t xml:space="preserve">Eisenwerkzeugen. Das Wort </w:t>
      </w:r>
      <w:r>
        <w:rPr>
          <w:rStyle w:val="Fett"/>
          <w:rFonts w:eastAsiaTheme="majorEastAsia"/>
          <w:rtl/>
        </w:rPr>
        <w:t>בַּרְזֶל</w:t>
      </w:r>
      <w:r>
        <w:rPr>
          <w:rtl/>
        </w:rPr>
        <w:t xml:space="preserve"> </w:t>
      </w:r>
      <w:r>
        <w:t>(„Eisen") steht für alle metallenen Werkzeuge. Diese Regel findet sich auch in Ex 20,25: „Und wenn du mir einen Altar von Steinen machst, so sollst du ihn nicht aus behauenen Steinen bauen; denn hast du dein Werkzeug darüber geschwungen, so hast du ihn entweiht." Die Ratio: Natürliche, unbearbeitete Steine bewahren ihre Heiligkeit. V. 6 wird dies präzisieren.</w:t>
      </w:r>
    </w:p>
    <w:p w14:paraId="311ECCA6" w14:textId="77777777" w:rsidR="00A709A3" w:rsidRDefault="00A709A3" w:rsidP="00A709A3">
      <w:pPr>
        <w:pStyle w:val="whitespace-normal"/>
      </w:pPr>
      <w:r>
        <w:rPr>
          <w:rStyle w:val="Fett"/>
          <w:rFonts w:eastAsiaTheme="majorEastAsia"/>
        </w:rPr>
        <w:t>Die Satzstruktur:</w:t>
      </w:r>
      <w:r>
        <w:t xml:space="preserve"> Zwei Anweisungen (und bauen sollst du dort einen Altar dem JHWH, deinem Gott, einen Altar von Steinen; nicht schwingen sollst du über sie Eisen).</w:t>
      </w:r>
    </w:p>
    <w:p w14:paraId="10B4B791" w14:textId="12EC526C" w:rsidR="00A709A3" w:rsidRDefault="00A709A3" w:rsidP="00705F3D">
      <w:pPr>
        <w:pStyle w:val="whitespace-normal"/>
      </w:pPr>
      <w:r>
        <w:rPr>
          <w:rStyle w:val="Fett"/>
          <w:rFonts w:eastAsiaTheme="majorEastAsia"/>
        </w:rPr>
        <w:t>Der Vers beschreibt:</w:t>
      </w:r>
      <w:r>
        <w:t xml:space="preserve"> Altarbau – ein Altar aus unbehauenen Steinen, ohne Eisenwerkzeuge bearbeitet.</w:t>
      </w:r>
    </w:p>
    <w:p w14:paraId="7FF300FA" w14:textId="77777777" w:rsidR="00A709A3" w:rsidRPr="00B53ACC" w:rsidRDefault="00A709A3" w:rsidP="00B53ACC">
      <w:pPr>
        <w:pStyle w:val="Bibelberschrift"/>
      </w:pPr>
      <w:r w:rsidRPr="00B53ACC">
        <w:rPr>
          <w:rStyle w:val="Fett"/>
          <w:b/>
          <w:bCs w:val="0"/>
        </w:rPr>
        <w:t>Deuteronomium 27,6</w:t>
      </w:r>
    </w:p>
    <w:p w14:paraId="287965B7" w14:textId="77777777" w:rsidR="00A709A3" w:rsidRDefault="00A709A3" w:rsidP="00A709A3">
      <w:pPr>
        <w:pStyle w:val="whitespace-normal"/>
      </w:pPr>
      <w:r>
        <w:rPr>
          <w:rStyle w:val="Fett"/>
          <w:rFonts w:eastAsiaTheme="majorEastAsia"/>
        </w:rPr>
        <w:t>Hebräisch:</w:t>
      </w:r>
      <w:r>
        <w:t xml:space="preserve"> </w:t>
      </w:r>
      <w:r>
        <w:rPr>
          <w:rtl/>
        </w:rPr>
        <w:t>אֲבָנִים שְׁלֵמוֹת תִּבְנֶה אֶת־מִזְבַּח יְהוָה אֱלֹהֶיךָ וְהַעֲלִיתָ עָלָיו עוֹלֹת לַיהוָה אֱלֹהֶֽיךָ׃</w:t>
      </w:r>
    </w:p>
    <w:p w14:paraId="543FF0BA" w14:textId="57CD64B3" w:rsidR="00A709A3" w:rsidRDefault="00A709A3" w:rsidP="00A709A3">
      <w:pPr>
        <w:pStyle w:val="whitespace-normal"/>
      </w:pPr>
      <w:r>
        <w:rPr>
          <w:rStyle w:val="Fett"/>
          <w:rFonts w:eastAsiaTheme="majorEastAsia"/>
        </w:rPr>
        <w:t>Deutsch:</w:t>
      </w:r>
      <w:r>
        <w:t xml:space="preserve"> Von ganzen Steinen sollst du den Altar des JHWH, deines Gottes, bauen und sollst auf ihm </w:t>
      </w:r>
      <w:r w:rsidR="00A705B7">
        <w:t>Aufsteigeopfer</w:t>
      </w:r>
      <w:r>
        <w:t xml:space="preserve"> aufsteigen lassen dem </w:t>
      </w:r>
      <w:r w:rsidR="00A705B7">
        <w:t>Ewigen</w:t>
      </w:r>
      <w:r>
        <w:t>, deinem Gott.</w:t>
      </w:r>
    </w:p>
    <w:p w14:paraId="3402E1D8" w14:textId="77777777" w:rsidR="00A709A3" w:rsidRDefault="004F5CEB" w:rsidP="00A709A3">
      <w:r>
        <w:rPr>
          <w:noProof/>
        </w:rPr>
        <w:pict w14:anchorId="2BA5453B">
          <v:rect id="_x0000_i1718" style="width:0;height:1.5pt" o:hralign="center" o:hrstd="t" o:hr="t" fillcolor="#a0a0a0" stroked="f"/>
        </w:pict>
      </w:r>
    </w:p>
    <w:p w14:paraId="6D9EDFE0" w14:textId="0CC0E49B" w:rsidR="00A709A3" w:rsidRDefault="00A709A3" w:rsidP="00A709A3">
      <w:pPr>
        <w:pStyle w:val="whitespace-normal"/>
      </w:pPr>
      <w:r>
        <w:rPr>
          <w:rStyle w:val="Fett"/>
          <w:rFonts w:eastAsiaTheme="majorEastAsia"/>
        </w:rPr>
        <w:t>Kommentar:</w:t>
      </w:r>
      <w:r>
        <w:t xml:space="preserve"> </w:t>
      </w:r>
      <w:r>
        <w:rPr>
          <w:rStyle w:val="Fett"/>
          <w:rFonts w:eastAsiaTheme="majorEastAsia"/>
          <w:rtl/>
        </w:rPr>
        <w:t>אֲבָנִים שְׁלֵמוֹת תִּבְנֶה אֶת־מִזְבַּח יְהוָה אֱלֹהֶיךָ וְהַעֲלִיתָ עָלָיו עוֹלֹת לַיהוָה אֱלֹהֶיךָ</w:t>
      </w:r>
      <w:r>
        <w:rPr>
          <w:rtl/>
        </w:rPr>
        <w:t xml:space="preserve"> </w:t>
      </w:r>
      <w:r>
        <w:t xml:space="preserve">sind zwei Anweisungen: </w:t>
      </w:r>
      <w:r>
        <w:rPr>
          <w:rStyle w:val="Fett"/>
          <w:rFonts w:eastAsiaTheme="majorEastAsia"/>
          <w:rtl/>
        </w:rPr>
        <w:t>אֲבָנִים שְׁלֵמוֹת תִּבְנֶה אֶת־מִזְבַּח יְהוָה אֱלֹהֶיךָ</w:t>
      </w:r>
      <w:r>
        <w:rPr>
          <w:rtl/>
        </w:rPr>
        <w:t xml:space="preserve"> </w:t>
      </w:r>
      <w:r>
        <w:t>(</w:t>
      </w:r>
      <w:r>
        <w:rPr>
          <w:rStyle w:val="Fett"/>
          <w:rFonts w:eastAsiaTheme="majorEastAsia"/>
          <w:rtl/>
        </w:rPr>
        <w:t>אֶבֶן</w:t>
      </w:r>
      <w:r>
        <w:rPr>
          <w:rtl/>
        </w:rPr>
        <w:t xml:space="preserve"> </w:t>
      </w:r>
      <w:r>
        <w:t xml:space="preserve">Plural, </w:t>
      </w:r>
      <w:r>
        <w:rPr>
          <w:rStyle w:val="Fett"/>
          <w:rFonts w:eastAsiaTheme="majorEastAsia"/>
          <w:rtl/>
        </w:rPr>
        <w:t>שָׁלֵם</w:t>
      </w:r>
      <w:r>
        <w:t xml:space="preserve">, „ganz, vollständig, unversehrt", Plural – vorangestellt zur Betonung, </w:t>
      </w:r>
      <w:r>
        <w:rPr>
          <w:rStyle w:val="Fett"/>
          <w:rFonts w:eastAsiaTheme="majorEastAsia"/>
          <w:rtl/>
        </w:rPr>
        <w:t>בנה</w:t>
      </w:r>
      <w:r>
        <w:t xml:space="preserve">, Qal Imperfekt, 2. Person Maskulinum Singular, Objektpartikel </w:t>
      </w:r>
      <w:r>
        <w:rPr>
          <w:rStyle w:val="Fett"/>
          <w:rFonts w:eastAsiaTheme="majorEastAsia"/>
          <w:rtl/>
        </w:rPr>
        <w:t>אֵת</w:t>
      </w:r>
      <w:r>
        <w:rPr>
          <w:rtl/>
        </w:rPr>
        <w:t xml:space="preserve"> </w:t>
      </w:r>
      <w:r>
        <w:t xml:space="preserve">mit </w:t>
      </w:r>
      <w:r>
        <w:rPr>
          <w:rStyle w:val="Fett"/>
          <w:rFonts w:eastAsiaTheme="majorEastAsia"/>
          <w:rtl/>
        </w:rPr>
        <w:t>מִזְבַּח יְהוָה אֱלֹהֶיךָ</w:t>
      </w:r>
      <w:r>
        <w:t xml:space="preserve">), </w:t>
      </w:r>
      <w:r>
        <w:rPr>
          <w:rStyle w:val="Fett"/>
          <w:rFonts w:eastAsiaTheme="majorEastAsia"/>
          <w:rtl/>
        </w:rPr>
        <w:t>וְהַעֲלִיתָ עָלָיו עוֹלֹת לַיהוָה אֱלֹהֶיךָ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עלה</w:t>
      </w:r>
      <w:r>
        <w:t xml:space="preserve">, Hiphil Perfekt, 2. Person Maskulinum Singular, „aufsteigen lassen, darbringen", Präposition </w:t>
      </w:r>
      <w:r>
        <w:rPr>
          <w:rStyle w:val="Fett"/>
          <w:rFonts w:eastAsiaTheme="majorEastAsia"/>
          <w:rtl/>
        </w:rPr>
        <w:t>עַל</w:t>
      </w:r>
      <w:r>
        <w:rPr>
          <w:rtl/>
        </w:rPr>
        <w:t xml:space="preserve"> </w:t>
      </w:r>
      <w:r>
        <w:t xml:space="preserve">mit Suffix 3. Person Maskulinum Singular, </w:t>
      </w:r>
      <w:r>
        <w:rPr>
          <w:rStyle w:val="Fett"/>
          <w:rFonts w:eastAsiaTheme="majorEastAsia"/>
          <w:rtl/>
        </w:rPr>
        <w:t>עֹלָה</w:t>
      </w:r>
      <w:r>
        <w:t>, „</w:t>
      </w:r>
      <w:r w:rsidR="00A705B7">
        <w:t>Aufsteigeopfer</w:t>
      </w:r>
      <w:r>
        <w:t xml:space="preserve">, Ganzopfer", Plural, </w:t>
      </w:r>
      <w:r>
        <w:rPr>
          <w:rStyle w:val="Fett"/>
          <w:rFonts w:eastAsiaTheme="majorEastAsia"/>
          <w:rtl/>
        </w:rPr>
        <w:t>לַיהוָה אֱלֹהֶיךָ</w:t>
      </w:r>
      <w:r>
        <w:t xml:space="preserve">, Dativ, mit </w:t>
      </w:r>
      <w:r>
        <w:rPr>
          <w:rStyle w:val="Fett"/>
          <w:rFonts w:eastAsiaTheme="majorEastAsia"/>
        </w:rPr>
        <w:t>Waw</w:t>
      </w:r>
      <w:r>
        <w:t xml:space="preserve"> consecutives Perfekt).</w:t>
      </w:r>
    </w:p>
    <w:p w14:paraId="33847D28" w14:textId="12DDB149" w:rsidR="001A04EF" w:rsidRDefault="00A709A3" w:rsidP="001A04EF">
      <w:pPr>
        <w:pStyle w:val="whitespace-normal"/>
      </w:pPr>
      <w:r>
        <w:t xml:space="preserve">Der Vers präzisiert die Art der Steine und den Zweck des Altars. Die erste Anweisung: </w:t>
      </w:r>
      <w:r>
        <w:rPr>
          <w:rStyle w:val="Fett"/>
          <w:rFonts w:eastAsiaTheme="majorEastAsia"/>
          <w:rtl/>
        </w:rPr>
        <w:t>אֲבָנִים שְׁלֵמוֹת תִּבְנֶה אֶת־מִזְבַּח יְהוָה אֱלֹהֶיךָ</w:t>
      </w:r>
      <w:r>
        <w:rPr>
          <w:rtl/>
        </w:rPr>
        <w:t xml:space="preserve"> </w:t>
      </w:r>
      <w:r>
        <w:t xml:space="preserve">(„von ganzen Steinen bauen sollst du den Altar des </w:t>
      </w:r>
      <w:r w:rsidR="00281FDB">
        <w:t>JHWH</w:t>
      </w:r>
      <w:r>
        <w:t xml:space="preserve">, deines Gottes"). Das Adjektiv </w:t>
      </w:r>
      <w:r>
        <w:rPr>
          <w:rStyle w:val="Fett"/>
          <w:rFonts w:eastAsiaTheme="majorEastAsia"/>
          <w:rtl/>
        </w:rPr>
        <w:t>שָׁלֵם</w:t>
      </w:r>
      <w:r>
        <w:rPr>
          <w:rtl/>
        </w:rPr>
        <w:t xml:space="preserve"> </w:t>
      </w:r>
      <w:r>
        <w:t xml:space="preserve">(„ganz, vollständig, unversehrt") betont: unbehauene, natürliche Steine (vgl. Ex 20,25; Jos 8,31). Die zweite Anweisung: </w:t>
      </w:r>
      <w:r>
        <w:rPr>
          <w:rStyle w:val="Fett"/>
          <w:rFonts w:eastAsiaTheme="majorEastAsia"/>
          <w:rtl/>
        </w:rPr>
        <w:t>וְהַעֲלִיתָ עָלָיו עוֹלֹת לַיהוָה אֱלֹהֶיךָ</w:t>
      </w:r>
      <w:r>
        <w:rPr>
          <w:rtl/>
        </w:rPr>
        <w:t xml:space="preserve"> </w:t>
      </w:r>
      <w:r>
        <w:t xml:space="preserve">(„und aufsteigen lassen sollst du auf ihm </w:t>
      </w:r>
      <w:r w:rsidR="00A705B7">
        <w:t>Aufsteigeopfer</w:t>
      </w:r>
      <w:r>
        <w:t xml:space="preserve"> </w:t>
      </w:r>
      <w:r w:rsidR="00281FDB">
        <w:t>JHWH</w:t>
      </w:r>
      <w:r>
        <w:t xml:space="preserve">, deinem Gott"). Das Verb </w:t>
      </w:r>
      <w:r>
        <w:rPr>
          <w:rStyle w:val="Fett"/>
          <w:rFonts w:eastAsiaTheme="majorEastAsia"/>
          <w:rtl/>
        </w:rPr>
        <w:t>עלה</w:t>
      </w:r>
      <w:r>
        <w:rPr>
          <w:rtl/>
        </w:rPr>
        <w:t xml:space="preserve"> </w:t>
      </w:r>
      <w:r>
        <w:t xml:space="preserve">im Hiphil („aufsteigen lassen") ist der technische Begriff für Opferdarbringung. Das Wort </w:t>
      </w:r>
      <w:r>
        <w:rPr>
          <w:rStyle w:val="Fett"/>
          <w:rFonts w:eastAsiaTheme="majorEastAsia"/>
          <w:rtl/>
        </w:rPr>
        <w:t>עֹלָה</w:t>
      </w:r>
      <w:r>
        <w:rPr>
          <w:rtl/>
        </w:rPr>
        <w:t xml:space="preserve"> </w:t>
      </w:r>
      <w:r>
        <w:t>(„</w:t>
      </w:r>
      <w:r w:rsidR="00A705B7">
        <w:t>Aufsteigeopfer</w:t>
      </w:r>
      <w:r>
        <w:t>, Ganzopfer") ist das Opfer, das vollständig verbrannt wird. V. 7 wird ein weiteres Opfer nennen.</w:t>
      </w:r>
    </w:p>
    <w:p w14:paraId="42CE7122" w14:textId="25B3BE79" w:rsidR="001A04EF" w:rsidRDefault="001A04EF" w:rsidP="001A04EF">
      <w:pPr>
        <w:pStyle w:val="whitespace-normal"/>
      </w:pPr>
      <w:r>
        <w:rPr>
          <w:rStyle w:val="Fett"/>
        </w:rPr>
        <w:t>Die LXX</w:t>
      </w:r>
      <w:r>
        <w:t xml:space="preserve"> übersetzt </w:t>
      </w:r>
      <w:r>
        <w:rPr>
          <w:rtl/>
        </w:rPr>
        <w:t>אֲבָנִים שְׁלֵמוֹת</w:t>
      </w:r>
      <w:r>
        <w:t xml:space="preserve"> (vollständige/unbehauene Steine) mit </w:t>
      </w:r>
      <w:proofErr w:type="spellStart"/>
      <w:r>
        <w:t>λίθους</w:t>
      </w:r>
      <w:proofErr w:type="spellEnd"/>
      <w:r>
        <w:t xml:space="preserve"> </w:t>
      </w:r>
      <w:proofErr w:type="spellStart"/>
      <w:r>
        <w:t>ὁλοκλήρους</w:t>
      </w:r>
      <w:proofErr w:type="spellEnd"/>
      <w:r>
        <w:t xml:space="preserve"> (vollkommen ganze Steine) – ein zusammengesetztes Adjektiv, das "völlig ganz, unversehrt" bedeutet.</w:t>
      </w:r>
    </w:p>
    <w:p w14:paraId="21052E2C" w14:textId="49E5F706" w:rsidR="00A709A3" w:rsidRDefault="00A709A3" w:rsidP="001A04EF">
      <w:pPr>
        <w:pStyle w:val="whitespace-normal"/>
      </w:pPr>
      <w:r>
        <w:rPr>
          <w:rStyle w:val="Fett"/>
          <w:rFonts w:eastAsiaTheme="majorEastAsia"/>
        </w:rPr>
        <w:t>Die Satzstruktur:</w:t>
      </w:r>
      <w:r>
        <w:t xml:space="preserve"> Zwei Anweisungen (von ganzen Steinen bauen sollst du den Altar </w:t>
      </w:r>
      <w:r w:rsidR="00DF3D1A">
        <w:t>JHWHs</w:t>
      </w:r>
      <w:r>
        <w:t xml:space="preserve">, deines Gottes; und aufsteigen lassen sollst du auf ihm </w:t>
      </w:r>
      <w:r w:rsidR="00A705B7">
        <w:t>Aufsteigeopfer</w:t>
      </w:r>
      <w:r>
        <w:t xml:space="preserve"> </w:t>
      </w:r>
      <w:r w:rsidR="00281FDB">
        <w:t>JHWH</w:t>
      </w:r>
      <w:r>
        <w:t>, deinem Gott).</w:t>
      </w:r>
    </w:p>
    <w:p w14:paraId="657CD8AA" w14:textId="5605AB21" w:rsidR="00A709A3" w:rsidRDefault="00A709A3" w:rsidP="00705F3D">
      <w:pPr>
        <w:pStyle w:val="whitespace-normal"/>
      </w:pPr>
      <w:r>
        <w:rPr>
          <w:rStyle w:val="Fett"/>
          <w:rFonts w:eastAsiaTheme="majorEastAsia"/>
        </w:rPr>
        <w:lastRenderedPageBreak/>
        <w:t>Der Vers beschreibt:</w:t>
      </w:r>
      <w:r>
        <w:t xml:space="preserve"> Präzisierung – ganze, unbehauene Steine; </w:t>
      </w:r>
      <w:r w:rsidR="00A705B7">
        <w:t>Aufsteigeopfer</w:t>
      </w:r>
      <w:r>
        <w:t xml:space="preserve"> sollen dargebracht werden.</w:t>
      </w:r>
    </w:p>
    <w:p w14:paraId="0190CC33" w14:textId="77777777" w:rsidR="00A709A3" w:rsidRPr="00B53ACC" w:rsidRDefault="00A709A3" w:rsidP="00B53ACC">
      <w:pPr>
        <w:pStyle w:val="Bibelberschrift"/>
      </w:pPr>
      <w:r w:rsidRPr="00B53ACC">
        <w:rPr>
          <w:rStyle w:val="Fett"/>
          <w:b/>
          <w:bCs w:val="0"/>
        </w:rPr>
        <w:t>Deuteronomium 27,7</w:t>
      </w:r>
    </w:p>
    <w:p w14:paraId="2AF67D39" w14:textId="77777777" w:rsidR="00A709A3" w:rsidRDefault="00A709A3" w:rsidP="00A709A3">
      <w:pPr>
        <w:pStyle w:val="whitespace-normal"/>
      </w:pPr>
      <w:r>
        <w:rPr>
          <w:rStyle w:val="Fett"/>
          <w:rFonts w:eastAsiaTheme="majorEastAsia"/>
        </w:rPr>
        <w:t>Hebräisch:</w:t>
      </w:r>
      <w:r>
        <w:t xml:space="preserve"> </w:t>
      </w:r>
      <w:r>
        <w:rPr>
          <w:rtl/>
        </w:rPr>
        <w:t>וְזָבַחְתָּ שְׁלָמִים וְאָכַלְתָּ שָּׁם וְשָׂמַחְתָּ לִפְנֵי יְהוָה אֱלֹהֶֽיךָ׃</w:t>
      </w:r>
    </w:p>
    <w:p w14:paraId="4D2EAC21" w14:textId="28062950" w:rsidR="00A709A3" w:rsidRDefault="00A709A3" w:rsidP="00A709A3">
      <w:pPr>
        <w:pStyle w:val="whitespace-normal"/>
      </w:pPr>
      <w:r>
        <w:rPr>
          <w:rStyle w:val="Fett"/>
          <w:rFonts w:eastAsiaTheme="majorEastAsia"/>
        </w:rPr>
        <w:t>Deutsch:</w:t>
      </w:r>
      <w:r>
        <w:t xml:space="preserve"> Und du sollst Friedensopfer opfern und dort essen und dich freuen vor </w:t>
      </w:r>
      <w:r w:rsidR="00A705B7">
        <w:t>dem Ewigen</w:t>
      </w:r>
      <w:r>
        <w:t>, deinem Gott.</w:t>
      </w:r>
    </w:p>
    <w:p w14:paraId="128E4AB7" w14:textId="77777777" w:rsidR="00A709A3" w:rsidRDefault="004F5CEB" w:rsidP="00A709A3">
      <w:r>
        <w:rPr>
          <w:noProof/>
        </w:rPr>
        <w:pict w14:anchorId="6D0FB351">
          <v:rect id="_x0000_i1719" style="width:0;height:1.5pt" o:hralign="center" o:hrstd="t" o:hr="t" fillcolor="#a0a0a0" stroked="f"/>
        </w:pict>
      </w:r>
    </w:p>
    <w:p w14:paraId="77D50CAB"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וְזָבַחְתָּ שְׁלָמִים וְאָכַלְתָּ שָּׁם וְשָׂמַחְתָּ לִפְנֵי יְהוָה אֱלֹהֶיךָ</w:t>
      </w:r>
      <w:r>
        <w:rPr>
          <w:rtl/>
        </w:rPr>
        <w:t xml:space="preserve"> </w:t>
      </w:r>
      <w:r>
        <w:t xml:space="preserve">sind drei Anweisungen: </w:t>
      </w:r>
      <w:r>
        <w:rPr>
          <w:rStyle w:val="Fett"/>
          <w:rFonts w:eastAsiaTheme="majorEastAsia"/>
          <w:rtl/>
        </w:rPr>
        <w:t>וְזָבַחְתָּ שְׁלָמִים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זבח</w:t>
      </w:r>
      <w:r>
        <w:t xml:space="preserve">, Qal Perfekt, 2. Person Maskulinum Singular, „opfern, schlachten", </w:t>
      </w:r>
      <w:r>
        <w:rPr>
          <w:rStyle w:val="Fett"/>
          <w:rFonts w:eastAsiaTheme="majorEastAsia"/>
          <w:rtl/>
        </w:rPr>
        <w:t>שֶׁלֶם</w:t>
      </w:r>
      <w:r>
        <w:t xml:space="preserve">, „Friedensopfer", Plural, mit </w:t>
      </w:r>
      <w:r>
        <w:rPr>
          <w:rStyle w:val="Fett"/>
          <w:rFonts w:eastAsiaTheme="majorEastAsia"/>
        </w:rPr>
        <w:t>Waw</w:t>
      </w:r>
      <w:r>
        <w:t xml:space="preserve"> consecutives Perfekt), </w:t>
      </w:r>
      <w:r>
        <w:rPr>
          <w:rStyle w:val="Fett"/>
          <w:rFonts w:eastAsiaTheme="majorEastAsia"/>
          <w:rtl/>
        </w:rPr>
        <w:t>וְאָכַלְתָּ שָּׁם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אכל</w:t>
      </w:r>
      <w:r>
        <w:t xml:space="preserve">, Qal Perfekt, 2. Person Maskulinum Singular, </w:t>
      </w:r>
      <w:r>
        <w:rPr>
          <w:rStyle w:val="Fett"/>
          <w:rFonts w:eastAsiaTheme="majorEastAsia"/>
          <w:rtl/>
        </w:rPr>
        <w:t>שָׁם</w:t>
      </w:r>
      <w:r>
        <w:t xml:space="preserve">, mit </w:t>
      </w:r>
      <w:r>
        <w:rPr>
          <w:rStyle w:val="Fett"/>
          <w:rFonts w:eastAsiaTheme="majorEastAsia"/>
        </w:rPr>
        <w:t>Waw</w:t>
      </w:r>
      <w:r>
        <w:t xml:space="preserve"> consecutives Perfekt), </w:t>
      </w:r>
      <w:r>
        <w:rPr>
          <w:rStyle w:val="Fett"/>
          <w:rFonts w:eastAsiaTheme="majorEastAsia"/>
          <w:rtl/>
        </w:rPr>
        <w:t>וְשָׂמַחְתָּ לִפְנֵי יְהוָה אֱלֹהֶיךָ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שׂמח</w:t>
      </w:r>
      <w:r>
        <w:t xml:space="preserve">, Qal Perfekt, 2. Person Maskulinum Singular, </w:t>
      </w:r>
      <w:r>
        <w:rPr>
          <w:rStyle w:val="Fett"/>
          <w:rFonts w:eastAsiaTheme="majorEastAsia"/>
          <w:rtl/>
        </w:rPr>
        <w:t>לִפְנֵי יְהוָה אֱלֹהֶיךָ</w:t>
      </w:r>
      <w:r>
        <w:t xml:space="preserve">, mit </w:t>
      </w:r>
      <w:r>
        <w:rPr>
          <w:rStyle w:val="Fett"/>
          <w:rFonts w:eastAsiaTheme="majorEastAsia"/>
        </w:rPr>
        <w:t>Waw</w:t>
      </w:r>
      <w:r>
        <w:t xml:space="preserve"> consecutives Perfekt).</w:t>
      </w:r>
    </w:p>
    <w:p w14:paraId="4353F32F" w14:textId="56B2A206" w:rsidR="00A709A3" w:rsidRDefault="00A709A3" w:rsidP="00A709A3">
      <w:pPr>
        <w:pStyle w:val="whitespace-normal"/>
      </w:pPr>
      <w:r>
        <w:t xml:space="preserve">Der Vers fügt ein zweites Opfer hinzu und beschreibt das Freudenmahl. Die erste Anweisung: </w:t>
      </w:r>
      <w:r>
        <w:rPr>
          <w:rStyle w:val="Fett"/>
          <w:rFonts w:eastAsiaTheme="majorEastAsia"/>
          <w:rtl/>
        </w:rPr>
        <w:t>וְזָבַחְתָּ שְׁלָמִים</w:t>
      </w:r>
      <w:r>
        <w:rPr>
          <w:rtl/>
        </w:rPr>
        <w:t xml:space="preserve"> </w:t>
      </w:r>
      <w:r>
        <w:t xml:space="preserve">(„und opfern sollst du Friedensopfer"). Das Wort </w:t>
      </w:r>
      <w:r>
        <w:rPr>
          <w:rStyle w:val="Fett"/>
          <w:rFonts w:eastAsiaTheme="majorEastAsia"/>
          <w:rtl/>
        </w:rPr>
        <w:t>שֶׁלֶם</w:t>
      </w:r>
      <w:r>
        <w:rPr>
          <w:rtl/>
        </w:rPr>
        <w:t xml:space="preserve"> </w:t>
      </w:r>
      <w:r>
        <w:t xml:space="preserve">(„Friedensopfer") ist ein Gemeinschaftsopfer, von dem Teile gegessen werden (im Gegensatz zum </w:t>
      </w:r>
      <w:r>
        <w:rPr>
          <w:rStyle w:val="Fett"/>
          <w:rFonts w:eastAsiaTheme="majorEastAsia"/>
          <w:rtl/>
        </w:rPr>
        <w:t>עֹלָה</w:t>
      </w:r>
      <w:r>
        <w:t xml:space="preserve">, das völlig verbrannt wird). Die zweite Anweisung: </w:t>
      </w:r>
      <w:r>
        <w:rPr>
          <w:rStyle w:val="Fett"/>
          <w:rFonts w:eastAsiaTheme="majorEastAsia"/>
          <w:rtl/>
        </w:rPr>
        <w:t>וְאָכַלְתָּ שָּׁם</w:t>
      </w:r>
      <w:r>
        <w:rPr>
          <w:rtl/>
        </w:rPr>
        <w:t xml:space="preserve"> </w:t>
      </w:r>
      <w:r>
        <w:t xml:space="preserve">(„und essen sollst du dort"). Das Friedensopfer wird als Mahl verzehrt – ein Bundesessen. Die dritte Anweisung: </w:t>
      </w:r>
      <w:r>
        <w:rPr>
          <w:rStyle w:val="Fett"/>
          <w:rFonts w:eastAsiaTheme="majorEastAsia"/>
          <w:rtl/>
        </w:rPr>
        <w:t>וְשָׂמַחְתָּ לִפְנֵי יְהוָה אֱלֹהֶיךָ</w:t>
      </w:r>
      <w:r>
        <w:rPr>
          <w:rtl/>
        </w:rPr>
        <w:t xml:space="preserve"> </w:t>
      </w:r>
      <w:r>
        <w:t xml:space="preserve">(„und freuen sollst du dich vor </w:t>
      </w:r>
      <w:r w:rsidR="00281FDB">
        <w:t>JHWH</w:t>
      </w:r>
      <w:r>
        <w:t xml:space="preserve">, deinem Gott"). Das Verb </w:t>
      </w:r>
      <w:r>
        <w:rPr>
          <w:rStyle w:val="Fett"/>
          <w:rFonts w:eastAsiaTheme="majorEastAsia"/>
          <w:rtl/>
        </w:rPr>
        <w:t>שׂמח</w:t>
      </w:r>
      <w:r>
        <w:rPr>
          <w:rtl/>
        </w:rPr>
        <w:t xml:space="preserve"> </w:t>
      </w:r>
      <w:r>
        <w:t xml:space="preserve">(„sich freuen") – liturgische Freude. Das Ritual am Berg Ebal verbindet also: (1) Steinerrichtung mit </w:t>
      </w:r>
      <w:r w:rsidR="006D3FED">
        <w:t>Torah</w:t>
      </w:r>
      <w:r>
        <w:t>beschriftung, (2) Altarbau, (3) Opfer (Brand- und Friedensopfer), (4) Freudenmahl. V. 8 wird die Inschrift nochmals erwähnen.</w:t>
      </w:r>
    </w:p>
    <w:p w14:paraId="4C1C5E51" w14:textId="1902A416" w:rsidR="001A04EF" w:rsidRDefault="001A04EF" w:rsidP="00A709A3">
      <w:pPr>
        <w:pStyle w:val="whitespace-normal"/>
      </w:pPr>
      <w:r>
        <w:rPr>
          <w:rStyle w:val="Fett"/>
        </w:rPr>
        <w:t>Die LXX</w:t>
      </w:r>
      <w:r>
        <w:t xml:space="preserve"> übersetzt </w:t>
      </w:r>
      <w:r>
        <w:rPr>
          <w:rtl/>
        </w:rPr>
        <w:t>שְׁלָמִים</w:t>
      </w:r>
      <w:r>
        <w:t xml:space="preserve"> (Friedensopfer) mit </w:t>
      </w:r>
      <w:proofErr w:type="spellStart"/>
      <w:r>
        <w:t>θυσί</w:t>
      </w:r>
      <w:proofErr w:type="spellEnd"/>
      <w:r>
        <w:t xml:space="preserve">αν </w:t>
      </w:r>
      <w:proofErr w:type="spellStart"/>
      <w:r>
        <w:t>σωτηρίου</w:t>
      </w:r>
      <w:proofErr w:type="spellEnd"/>
      <w:r>
        <w:t xml:space="preserve"> (Heilsopfer) – die standardmäßige LXX-Übersetzung. Das Verb </w:t>
      </w:r>
      <w:proofErr w:type="spellStart"/>
      <w:r>
        <w:t>ἐμ</w:t>
      </w:r>
      <w:proofErr w:type="spellEnd"/>
      <w:r>
        <w:t xml:space="preserve">πλησθήσῃ (du wirst gesättigt werden) wird hinzugefügt, wo der MT nur </w:t>
      </w:r>
      <w:r>
        <w:rPr>
          <w:rtl/>
        </w:rPr>
        <w:t>וְאָכַלְתָּ</w:t>
      </w:r>
      <w:r>
        <w:t xml:space="preserve"> (und du sollst essen) hat.</w:t>
      </w:r>
    </w:p>
    <w:p w14:paraId="06A51DAE" w14:textId="2A3A52DF" w:rsidR="00A709A3" w:rsidRDefault="00A709A3" w:rsidP="00A709A3">
      <w:pPr>
        <w:pStyle w:val="whitespace-normal"/>
      </w:pPr>
      <w:r>
        <w:rPr>
          <w:rStyle w:val="Fett"/>
          <w:rFonts w:eastAsiaTheme="majorEastAsia"/>
        </w:rPr>
        <w:t>Die Satzstruktur:</w:t>
      </w:r>
      <w:r>
        <w:t xml:space="preserve"> Drei koordinierte Anweisungen (und opfern sollst du Friedensopfer, und essen sollst du dort, und freuen sollst du dich vor </w:t>
      </w:r>
      <w:r w:rsidR="00281FDB">
        <w:t>JHWH</w:t>
      </w:r>
      <w:r>
        <w:t>, deinem Gott).</w:t>
      </w:r>
    </w:p>
    <w:p w14:paraId="7C43325F" w14:textId="46C014F1" w:rsidR="00A709A3" w:rsidRDefault="00A709A3" w:rsidP="00705F3D">
      <w:pPr>
        <w:pStyle w:val="whitespace-normal"/>
      </w:pPr>
      <w:r>
        <w:rPr>
          <w:rStyle w:val="Fett"/>
          <w:rFonts w:eastAsiaTheme="majorEastAsia"/>
        </w:rPr>
        <w:t>Der Vers beschreibt:</w:t>
      </w:r>
      <w:r>
        <w:t xml:space="preserve"> Friedensopfer mit Freudenmahl – das Ritual endet mit gemeinschaftlichem Essen und Freude.</w:t>
      </w:r>
    </w:p>
    <w:p w14:paraId="38F060A5" w14:textId="77777777" w:rsidR="00A709A3" w:rsidRPr="00B53ACC" w:rsidRDefault="00A709A3" w:rsidP="00B53ACC">
      <w:pPr>
        <w:pStyle w:val="Bibelberschrift"/>
      </w:pPr>
      <w:r w:rsidRPr="00B53ACC">
        <w:rPr>
          <w:rStyle w:val="Fett"/>
          <w:b/>
          <w:bCs w:val="0"/>
        </w:rPr>
        <w:t>Deuteronomium 27,8</w:t>
      </w:r>
    </w:p>
    <w:p w14:paraId="78B876C6" w14:textId="77777777" w:rsidR="00A709A3" w:rsidRDefault="00A709A3" w:rsidP="00A709A3">
      <w:pPr>
        <w:pStyle w:val="whitespace-normal"/>
      </w:pPr>
      <w:r>
        <w:rPr>
          <w:rStyle w:val="Fett"/>
          <w:rFonts w:eastAsiaTheme="majorEastAsia"/>
        </w:rPr>
        <w:t>Hebräisch:</w:t>
      </w:r>
      <w:r>
        <w:t xml:space="preserve"> </w:t>
      </w:r>
      <w:r>
        <w:rPr>
          <w:rtl/>
        </w:rPr>
        <w:t>וְכָתַבְתָּ עַל־הָאֲבָנִים אֶֽת־כָּל־דִּבְרֵי הַתּוֹרָה הַזֹּאת בַּאֵר הֵיטֵֽב׃</w:t>
      </w:r>
    </w:p>
    <w:p w14:paraId="57B18C27" w14:textId="4D6CEC36" w:rsidR="00A709A3" w:rsidRDefault="00A709A3" w:rsidP="00A709A3">
      <w:pPr>
        <w:pStyle w:val="whitespace-normal"/>
      </w:pPr>
      <w:r>
        <w:rPr>
          <w:rStyle w:val="Fett"/>
          <w:rFonts w:eastAsiaTheme="majorEastAsia"/>
        </w:rPr>
        <w:t>Deutsch:</w:t>
      </w:r>
      <w:r>
        <w:t xml:space="preserve"> Und du sollst auf die Steine schreiben alle Worte dieser </w:t>
      </w:r>
      <w:r w:rsidR="006D3FED">
        <w:t>Torah</w:t>
      </w:r>
      <w:r>
        <w:t>, indem du sie sehr deutlich machst.</w:t>
      </w:r>
    </w:p>
    <w:p w14:paraId="515AA8AE" w14:textId="77777777" w:rsidR="00A709A3" w:rsidRDefault="004F5CEB" w:rsidP="00A709A3">
      <w:r>
        <w:rPr>
          <w:noProof/>
        </w:rPr>
        <w:pict w14:anchorId="70F0D6E4">
          <v:rect id="_x0000_i1720" style="width:0;height:1.5pt" o:hralign="center" o:hrstd="t" o:hr="t" fillcolor="#a0a0a0" stroked="f"/>
        </w:pict>
      </w:r>
    </w:p>
    <w:p w14:paraId="1E06065C" w14:textId="77777777" w:rsidR="00A709A3" w:rsidRDefault="00A709A3" w:rsidP="00A709A3">
      <w:pPr>
        <w:pStyle w:val="whitespace-normal"/>
      </w:pPr>
      <w:r>
        <w:rPr>
          <w:rStyle w:val="Fett"/>
          <w:rFonts w:eastAsiaTheme="majorEastAsia"/>
        </w:rPr>
        <w:lastRenderedPageBreak/>
        <w:t>Kommentar:</w:t>
      </w:r>
      <w:r>
        <w:t xml:space="preserve"> </w:t>
      </w:r>
      <w:r>
        <w:rPr>
          <w:rStyle w:val="Fett"/>
          <w:rFonts w:eastAsiaTheme="majorEastAsia"/>
          <w:rtl/>
        </w:rPr>
        <w:t>וְכָתַבְתָּ עַל־הָאֲבָנִים אֶת־כָּל־דִּבְרֵי הַתּוֹרָה הַזֹּאת בַּאֵר הֵיטֵב</w:t>
      </w:r>
      <w:r>
        <w:rPr>
          <w:rtl/>
        </w:rPr>
        <w:t xml:space="preserve"> </w:t>
      </w:r>
      <w:r>
        <w:t xml:space="preserve">ist eine Anweisung: </w:t>
      </w:r>
      <w:r>
        <w:rPr>
          <w:rStyle w:val="Fett"/>
          <w:rFonts w:eastAsiaTheme="majorEastAsia"/>
          <w:rtl/>
        </w:rPr>
        <w:t>וְכָתַבְתָּ עַל־הָאֲבָנִים אֶת־כָּל־דִּבְרֵי הַתּוֹרָה הַזֹּאת</w:t>
      </w:r>
      <w:r>
        <w:rPr>
          <w:rtl/>
        </w:rPr>
        <w:t xml:space="preserve"> </w:t>
      </w:r>
      <w:r>
        <w:t xml:space="preserve">(wie V. 3, mit </w:t>
      </w:r>
      <w:r>
        <w:rPr>
          <w:rStyle w:val="Fett"/>
          <w:rFonts w:eastAsiaTheme="majorEastAsia"/>
        </w:rPr>
        <w:t>Waw</w:t>
      </w:r>
      <w:r>
        <w:t xml:space="preserve"> consecutives Perfekt), </w:t>
      </w:r>
      <w:r>
        <w:rPr>
          <w:rStyle w:val="Fett"/>
          <w:rFonts w:eastAsiaTheme="majorEastAsia"/>
          <w:rtl/>
        </w:rPr>
        <w:t>בַּאֵר הֵיטֵב</w:t>
      </w:r>
      <w:r>
        <w:rPr>
          <w:rtl/>
        </w:rPr>
        <w:t xml:space="preserve"> </w:t>
      </w:r>
      <w:r>
        <w:t>(</w:t>
      </w:r>
      <w:r>
        <w:rPr>
          <w:rStyle w:val="Fett"/>
          <w:rFonts w:eastAsiaTheme="majorEastAsia"/>
          <w:rtl/>
        </w:rPr>
        <w:t>באר</w:t>
      </w:r>
      <w:r>
        <w:t xml:space="preserve">, Piel Infinitiv Absolut, „deutlich machen, erklären", </w:t>
      </w:r>
      <w:r>
        <w:rPr>
          <w:rStyle w:val="Fett"/>
          <w:rFonts w:eastAsiaTheme="majorEastAsia"/>
          <w:rtl/>
        </w:rPr>
        <w:t>יטב</w:t>
      </w:r>
      <w:r>
        <w:t>, Hiphil Infinitiv Absolut, „gut machen" – Doppelter Infinitiv Absolutus zur starken Betonung: „sehr deutlich, gut erklärt").</w:t>
      </w:r>
    </w:p>
    <w:p w14:paraId="682EC785" w14:textId="54418A32" w:rsidR="00A709A3" w:rsidRDefault="00A709A3" w:rsidP="00A709A3">
      <w:pPr>
        <w:pStyle w:val="whitespace-normal"/>
      </w:pPr>
      <w:r>
        <w:t xml:space="preserve">Der Vers wiederholt und verstärkt die Anweisung aus V. 3. Die Anweisung: </w:t>
      </w:r>
      <w:r>
        <w:rPr>
          <w:rStyle w:val="Fett"/>
          <w:rFonts w:eastAsiaTheme="majorEastAsia"/>
          <w:rtl/>
        </w:rPr>
        <w:t>וְכָתַבְתָּ עַל־הָאֲבָנִים אֶת־כָּל־דִּבְרֵי הַתּוֹרָה הַזֹּאת בַּאֵר הֵיטֵב</w:t>
      </w:r>
      <w:r>
        <w:rPr>
          <w:rtl/>
        </w:rPr>
        <w:t xml:space="preserve"> </w:t>
      </w:r>
      <w:r>
        <w:t xml:space="preserve">(„und schreiben sollst du auf die Steine alle Worte dieser </w:t>
      </w:r>
      <w:r w:rsidR="006D3FED">
        <w:t>Torah</w:t>
      </w:r>
      <w:r>
        <w:t xml:space="preserve">, indem du sie sehr deutlich machst"). Die Formulierung </w:t>
      </w:r>
      <w:r>
        <w:rPr>
          <w:rStyle w:val="Fett"/>
          <w:rFonts w:eastAsiaTheme="majorEastAsia"/>
          <w:rtl/>
        </w:rPr>
        <w:t>בַּאֵר הֵיטֵב</w:t>
      </w:r>
      <w:r>
        <w:rPr>
          <w:rtl/>
        </w:rPr>
        <w:t xml:space="preserve"> </w:t>
      </w:r>
      <w:r>
        <w:t xml:space="preserve">ist ein doppelter Infinitiv Absolutus zur starken Betonung: „sehr deutlich, gut erklärt, klar geschrieben". Die Schrift muss lesbar und verständlich sein. Die </w:t>
      </w:r>
      <w:r>
        <w:rPr>
          <w:rStyle w:val="Fett"/>
          <w:rFonts w:eastAsiaTheme="majorEastAsia"/>
        </w:rPr>
        <w:t>Setumah</w:t>
      </w:r>
      <w:r>
        <w:t xml:space="preserve"> (</w:t>
      </w:r>
      <w:r>
        <w:rPr>
          <w:rtl/>
        </w:rPr>
        <w:t>ס</w:t>
      </w:r>
      <w:r>
        <w:t>) markiert das Ende des ersten Abschnitts (V. 1-8). Historische Erfüllung: Jos 8,30-35 berichtet, dass Josua diese Anweisungen nach der Eroberung Ais ausführte – er baute einen Altar am Berg Ebal, schrieb das Gesetz auf Steine und hielt eine große Versammlung mit Segen und Fluch. V. 9 beginnt den zweiten Abschnitt: die Proklamation der Bundesbeziehung.</w:t>
      </w:r>
    </w:p>
    <w:p w14:paraId="48BB1A84" w14:textId="1A85B17B" w:rsidR="001A04EF" w:rsidRDefault="001A04EF" w:rsidP="00A709A3">
      <w:pPr>
        <w:pStyle w:val="whitespace-normal"/>
      </w:pPr>
      <w:r>
        <w:rPr>
          <w:rStyle w:val="Fett"/>
        </w:rPr>
        <w:t>Die LXX</w:t>
      </w:r>
      <w:r>
        <w:t xml:space="preserve"> übersetzt </w:t>
      </w:r>
      <w:r>
        <w:rPr>
          <w:rtl/>
        </w:rPr>
        <w:t>בַּאֵר הֵיטֵב</w:t>
      </w:r>
      <w:r>
        <w:t xml:space="preserve"> (sehr deutlich) mit σα</w:t>
      </w:r>
      <w:proofErr w:type="spellStart"/>
      <w:r>
        <w:t>φῶς</w:t>
      </w:r>
      <w:proofErr w:type="spellEnd"/>
      <w:r>
        <w:t xml:space="preserve"> </w:t>
      </w:r>
      <w:proofErr w:type="spellStart"/>
      <w:r>
        <w:t>σφόδρ</w:t>
      </w:r>
      <w:proofErr w:type="spellEnd"/>
      <w:r>
        <w:t>α (sehr klar) – zwei Adverbien, die Klarheit und Deutlichkeit betonen.</w:t>
      </w:r>
    </w:p>
    <w:p w14:paraId="65A919D2" w14:textId="777942CA" w:rsidR="00A709A3" w:rsidRDefault="00A709A3" w:rsidP="00A709A3">
      <w:pPr>
        <w:pStyle w:val="whitespace-normal"/>
      </w:pPr>
      <w:r>
        <w:rPr>
          <w:rStyle w:val="Fett"/>
          <w:rFonts w:eastAsiaTheme="majorEastAsia"/>
        </w:rPr>
        <w:t>Die Satzstruktur:</w:t>
      </w:r>
      <w:r>
        <w:t xml:space="preserve"> Anweisung mit Betonung (und schreiben sollst du auf die Steine alle Worte dieser </w:t>
      </w:r>
      <w:r w:rsidR="006D3FED">
        <w:t>Torah</w:t>
      </w:r>
      <w:r>
        <w:t>, indem du sie sehr deutlich machst).</w:t>
      </w:r>
    </w:p>
    <w:p w14:paraId="23508BB2" w14:textId="77E5B0CA" w:rsidR="00A709A3" w:rsidRDefault="00A709A3" w:rsidP="00A709A3">
      <w:pPr>
        <w:pStyle w:val="whitespace-normal"/>
      </w:pPr>
      <w:r>
        <w:rPr>
          <w:rStyle w:val="Fett"/>
          <w:rFonts w:eastAsiaTheme="majorEastAsia"/>
        </w:rPr>
        <w:t>Der Vers beschreibt:</w:t>
      </w:r>
      <w:r>
        <w:t xml:space="preserve"> Wiederholung und Betonung – die </w:t>
      </w:r>
      <w:r w:rsidR="006D3FED">
        <w:t>Torah</w:t>
      </w:r>
      <w:r>
        <w:t xml:space="preserve"> soll sehr deutlich und lesbar geschrieben werden.</w:t>
      </w:r>
    </w:p>
    <w:p w14:paraId="640BEF8C" w14:textId="77777777" w:rsidR="00A709A3" w:rsidRDefault="004F5CEB" w:rsidP="00A709A3">
      <w:r>
        <w:rPr>
          <w:noProof/>
        </w:rPr>
        <w:pict w14:anchorId="6270E775">
          <v:rect id="_x0000_i1721" style="width:0;height:1.5pt" o:hralign="center" o:hrstd="t" o:hr="t" fillcolor="#a0a0a0" stroked="f"/>
        </w:pict>
      </w:r>
    </w:p>
    <w:p w14:paraId="38F1BD6E" w14:textId="77777777" w:rsidR="00A709A3" w:rsidRPr="00B53ACC" w:rsidRDefault="00A709A3" w:rsidP="00B53ACC">
      <w:pPr>
        <w:pStyle w:val="Bibelberschrift"/>
      </w:pPr>
      <w:r w:rsidRPr="00B53ACC">
        <w:rPr>
          <w:rStyle w:val="Fett"/>
          <w:b/>
          <w:bCs w:val="0"/>
        </w:rPr>
        <w:t>Deuteronomium 27,9</w:t>
      </w:r>
    </w:p>
    <w:p w14:paraId="2CFCEA32" w14:textId="77777777" w:rsidR="00A709A3" w:rsidRDefault="00A709A3" w:rsidP="00A709A3">
      <w:pPr>
        <w:pStyle w:val="whitespace-normal"/>
      </w:pPr>
      <w:r>
        <w:rPr>
          <w:rStyle w:val="Fett"/>
          <w:rFonts w:eastAsiaTheme="majorEastAsia"/>
        </w:rPr>
        <w:t>Hebräisch:</w:t>
      </w:r>
      <w:r>
        <w:t xml:space="preserve"> </w:t>
      </w:r>
      <w:r>
        <w:rPr>
          <w:rtl/>
        </w:rPr>
        <w:t>וַיְדַבֵּר מֹשֶׁה וְהַכֹּהֲנִים הַלְוִיִּם אֶל כָּל־יִשְׂרָאֵל לֵאמֹר הַסְכֵּת וּשְׁמַע יִשְׂרָאֵל הַיּוֹם הַזֶּה נִהְיֵיתָֽ לְעָם לַיהוָה אֱלֹהֶֽיךָ׃</w:t>
      </w:r>
    </w:p>
    <w:p w14:paraId="7DB153B5" w14:textId="77777777" w:rsidR="00A709A3" w:rsidRDefault="00A709A3" w:rsidP="00A709A3">
      <w:pPr>
        <w:pStyle w:val="whitespace-normal"/>
      </w:pPr>
      <w:r>
        <w:rPr>
          <w:rStyle w:val="Fett"/>
          <w:rFonts w:eastAsiaTheme="majorEastAsia"/>
        </w:rPr>
        <w:t>Deutsch:</w:t>
      </w:r>
      <w:r>
        <w:t xml:space="preserve"> Und Mose und die Priester, die Leviten, redeten zu ganz Israel und sprachen: Schweige und höre, Israel! An diesem Tag bist du zum Volk geworden dem JHWH, deinem Gott.</w:t>
      </w:r>
    </w:p>
    <w:p w14:paraId="16E534E7" w14:textId="77777777" w:rsidR="00A709A3" w:rsidRDefault="004F5CEB" w:rsidP="00A709A3">
      <w:r>
        <w:rPr>
          <w:noProof/>
        </w:rPr>
        <w:pict w14:anchorId="206C4C72">
          <v:rect id="_x0000_i1722" style="width:0;height:1.5pt" o:hralign="center" o:hrstd="t" o:hr="t" fillcolor="#a0a0a0" stroked="f"/>
        </w:pict>
      </w:r>
    </w:p>
    <w:p w14:paraId="722B35FE"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וַיְדַבֵּר מֹשֶׁה וְהַכֹּהֲנִים הַלְוִיִּם אֶל כָּל־יִשְׂרָאֵל לֵאמֹר הַסְכֵּת וּשְׁמַע יִשְׂרָאֵל הַיּוֹם הַזֶּה נִהְיֵיתָֽ לְעָם לַיהוָה אֱלֹהֶיךָ</w:t>
      </w:r>
      <w:r>
        <w:rPr>
          <w:rtl/>
        </w:rPr>
        <w:t xml:space="preserve"> </w:t>
      </w:r>
      <w:r>
        <w:t xml:space="preserve">ist eine Proklamation: </w:t>
      </w:r>
      <w:r>
        <w:rPr>
          <w:rStyle w:val="Fett"/>
          <w:rFonts w:eastAsiaTheme="majorEastAsia"/>
          <w:rtl/>
        </w:rPr>
        <w:t>וַיְדַבֵּר מֹשֶׁה וְהַכֹּהֲנִים הַלְוִיִּם אֶל כָּל־יִשְׂרָאֵל לֵאמֹר</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דבר</w:t>
      </w:r>
      <w:r>
        <w:t xml:space="preserve">, Piel Imperfekt, 3. Person Maskulinum Singular, </w:t>
      </w:r>
      <w:r>
        <w:rPr>
          <w:rStyle w:val="Fett"/>
          <w:rFonts w:eastAsiaTheme="majorEastAsia"/>
          <w:rtl/>
        </w:rPr>
        <w:t>מֹשֶׁה</w:t>
      </w:r>
      <w:r>
        <w:rPr>
          <w:rtl/>
        </w:rPr>
        <w:t xml:space="preserve"> </w:t>
      </w:r>
      <w:r>
        <w:t xml:space="preserve">als Subjekt, koordiniert durch </w:t>
      </w:r>
      <w:r>
        <w:rPr>
          <w:rStyle w:val="Fett"/>
          <w:rFonts w:eastAsiaTheme="majorEastAsia"/>
          <w:rtl/>
        </w:rPr>
        <w:t>וְ</w:t>
      </w:r>
      <w:r>
        <w:rPr>
          <w:rtl/>
        </w:rPr>
        <w:t xml:space="preserve"> </w:t>
      </w:r>
      <w:r>
        <w:t xml:space="preserve">mit </w:t>
      </w:r>
      <w:r>
        <w:rPr>
          <w:rStyle w:val="Fett"/>
          <w:rFonts w:eastAsiaTheme="majorEastAsia"/>
          <w:rtl/>
        </w:rPr>
        <w:t>כֹּהֵן</w:t>
      </w:r>
      <w:r>
        <w:rPr>
          <w:rtl/>
        </w:rPr>
        <w:t xml:space="preserve"> </w:t>
      </w:r>
      <w:r>
        <w:t xml:space="preserve">Plural mit Artikel, </w:t>
      </w:r>
      <w:r>
        <w:rPr>
          <w:rStyle w:val="Fett"/>
          <w:rFonts w:eastAsiaTheme="majorEastAsia"/>
          <w:rtl/>
        </w:rPr>
        <w:t>לֵוִי</w:t>
      </w:r>
      <w:r>
        <w:rPr>
          <w:rtl/>
        </w:rPr>
        <w:t xml:space="preserve"> </w:t>
      </w:r>
      <w:r>
        <w:t xml:space="preserve">Plural mit Artikel als Apposition, Präposition </w:t>
      </w:r>
      <w:r>
        <w:rPr>
          <w:rStyle w:val="Fett"/>
          <w:rFonts w:eastAsiaTheme="majorEastAsia"/>
          <w:rtl/>
        </w:rPr>
        <w:t>אֶל</w:t>
      </w:r>
      <w:r>
        <w:rPr>
          <w:rtl/>
        </w:rPr>
        <w:t xml:space="preserve"> </w:t>
      </w:r>
      <w:r>
        <w:t xml:space="preserve">mit </w:t>
      </w:r>
      <w:r>
        <w:rPr>
          <w:rStyle w:val="Fett"/>
          <w:rFonts w:eastAsiaTheme="majorEastAsia"/>
          <w:rtl/>
        </w:rPr>
        <w:t>כָּל־יִשְׂרָאֵל</w:t>
      </w:r>
      <w:r>
        <w:t xml:space="preserve">, </w:t>
      </w:r>
      <w:r>
        <w:rPr>
          <w:rStyle w:val="Fett"/>
          <w:rFonts w:eastAsiaTheme="majorEastAsia"/>
          <w:rtl/>
        </w:rPr>
        <w:t>לֵאמֹר</w:t>
      </w:r>
      <w:r>
        <w:t xml:space="preserve">, mit </w:t>
      </w:r>
      <w:r>
        <w:rPr>
          <w:rStyle w:val="Fett"/>
          <w:rFonts w:eastAsiaTheme="majorEastAsia"/>
        </w:rPr>
        <w:t>Waw</w:t>
      </w:r>
      <w:r>
        <w:t xml:space="preserve"> consecutives Imperfekt), </w:t>
      </w:r>
      <w:r>
        <w:rPr>
          <w:rStyle w:val="Fett"/>
          <w:rFonts w:eastAsiaTheme="majorEastAsia"/>
          <w:rtl/>
        </w:rPr>
        <w:t>הַסְכֵּת וּשְׁמַע יִשְׂרָאֵל</w:t>
      </w:r>
      <w:r>
        <w:rPr>
          <w:rtl/>
        </w:rPr>
        <w:t xml:space="preserve"> </w:t>
      </w:r>
      <w:r>
        <w:t xml:space="preserve">(direkte Rede: </w:t>
      </w:r>
      <w:r>
        <w:rPr>
          <w:rStyle w:val="Fett"/>
          <w:rFonts w:eastAsiaTheme="majorEastAsia"/>
          <w:rtl/>
        </w:rPr>
        <w:t>סכת</w:t>
      </w:r>
      <w:r>
        <w:t xml:space="preserve">, Hiphil Imperativ, 2. Person Maskulinum Singular, „schweigen, still sein, aufmerken", koordiniert durch </w:t>
      </w:r>
      <w:r>
        <w:rPr>
          <w:rStyle w:val="Fett"/>
          <w:rFonts w:eastAsiaTheme="majorEastAsia"/>
          <w:rtl/>
        </w:rPr>
        <w:t>וּ</w:t>
      </w:r>
      <w:r>
        <w:rPr>
          <w:rtl/>
        </w:rPr>
        <w:t xml:space="preserve"> </w:t>
      </w:r>
      <w:r>
        <w:t xml:space="preserve">mit </w:t>
      </w:r>
      <w:r>
        <w:rPr>
          <w:rStyle w:val="Fett"/>
          <w:rFonts w:eastAsiaTheme="majorEastAsia"/>
          <w:rtl/>
        </w:rPr>
        <w:t>שׁמע</w:t>
      </w:r>
      <w:r>
        <w:t xml:space="preserve">, Qal Imperativ, 2. Person Maskulinum Singular, </w:t>
      </w:r>
      <w:r>
        <w:rPr>
          <w:rStyle w:val="Fett"/>
          <w:rFonts w:eastAsiaTheme="majorEastAsia"/>
          <w:rtl/>
        </w:rPr>
        <w:t>יִשְׂרָאֵל</w:t>
      </w:r>
      <w:r>
        <w:rPr>
          <w:rtl/>
        </w:rPr>
        <w:t xml:space="preserve"> </w:t>
      </w:r>
      <w:r>
        <w:t xml:space="preserve">als Vokativ), </w:t>
      </w:r>
      <w:r>
        <w:rPr>
          <w:rStyle w:val="Fett"/>
          <w:rFonts w:eastAsiaTheme="majorEastAsia"/>
          <w:rtl/>
        </w:rPr>
        <w:t>הַיּוֹם הַזֶּה נִהְיֵיתָֽ לְעָם לַיהוָה אֱלֹהֶיךָ</w:t>
      </w:r>
      <w:r>
        <w:rPr>
          <w:rtl/>
        </w:rPr>
        <w:t xml:space="preserve"> </w:t>
      </w:r>
      <w:r>
        <w:t>(</w:t>
      </w:r>
      <w:r>
        <w:rPr>
          <w:rStyle w:val="Fett"/>
          <w:rFonts w:eastAsiaTheme="majorEastAsia"/>
          <w:rtl/>
        </w:rPr>
        <w:t>הַיּוֹם הַזֶּה</w:t>
      </w:r>
      <w:r>
        <w:t xml:space="preserve">, </w:t>
      </w:r>
      <w:r>
        <w:rPr>
          <w:rStyle w:val="Fett"/>
          <w:rFonts w:eastAsiaTheme="majorEastAsia"/>
          <w:rtl/>
        </w:rPr>
        <w:t>היה</w:t>
      </w:r>
      <w:r>
        <w:t xml:space="preserve">, Niphal Perfekt, 2. Person Maskulinum Singular, „werden", Präposition </w:t>
      </w:r>
      <w:r>
        <w:rPr>
          <w:rStyle w:val="Fett"/>
          <w:rFonts w:eastAsiaTheme="majorEastAsia"/>
          <w:rtl/>
        </w:rPr>
        <w:t>לְ</w:t>
      </w:r>
      <w:r>
        <w:rPr>
          <w:rtl/>
        </w:rPr>
        <w:t xml:space="preserve"> </w:t>
      </w:r>
      <w:r>
        <w:t xml:space="preserve">mit </w:t>
      </w:r>
      <w:r>
        <w:rPr>
          <w:rStyle w:val="Fett"/>
          <w:rFonts w:eastAsiaTheme="majorEastAsia"/>
          <w:rtl/>
        </w:rPr>
        <w:t>עַם</w:t>
      </w:r>
      <w:r>
        <w:t xml:space="preserve">, </w:t>
      </w:r>
      <w:r>
        <w:rPr>
          <w:rStyle w:val="Fett"/>
          <w:rFonts w:eastAsiaTheme="majorEastAsia"/>
          <w:rtl/>
        </w:rPr>
        <w:t>לַיהוָה אֱלֹהֶיךָ</w:t>
      </w:r>
      <w:r>
        <w:t>, Dativ).</w:t>
      </w:r>
    </w:p>
    <w:p w14:paraId="7EC33453" w14:textId="1629EF20" w:rsidR="00A709A3" w:rsidRDefault="00A709A3" w:rsidP="00A709A3">
      <w:pPr>
        <w:pStyle w:val="whitespace-normal"/>
      </w:pPr>
      <w:r>
        <w:lastRenderedPageBreak/>
        <w:t xml:space="preserve">Der Vers leitet die feierliche Proklamation der Bundesbeziehung ein. Die Einleitung: </w:t>
      </w:r>
      <w:r>
        <w:rPr>
          <w:rStyle w:val="Fett"/>
          <w:rFonts w:eastAsiaTheme="majorEastAsia"/>
          <w:rtl/>
        </w:rPr>
        <w:t>וַיְדַבֵּר מֹשֶׁה וְהַכֹּהֲנִים הַלְוִיִּם אֶל כָּל־יִשְׂרָאֵל לֵאמֹר</w:t>
      </w:r>
      <w:r>
        <w:rPr>
          <w:rtl/>
        </w:rPr>
        <w:t xml:space="preserve"> </w:t>
      </w:r>
      <w:r>
        <w:t xml:space="preserve">(„und Mose und die Priester, die Leviten, redeten zu ganz Israel und sprachen"). Wie in V. 1 spricht Mose nicht allein, sondern zusammen mit den </w:t>
      </w:r>
      <w:r>
        <w:rPr>
          <w:rStyle w:val="Fett"/>
          <w:rFonts w:eastAsiaTheme="majorEastAsia"/>
          <w:rtl/>
        </w:rPr>
        <w:t>כֹּהֲנִים הַלְוִיִּם</w:t>
      </w:r>
      <w:r>
        <w:rPr>
          <w:rtl/>
        </w:rPr>
        <w:t xml:space="preserve"> </w:t>
      </w:r>
      <w:r>
        <w:t xml:space="preserve">(„Priester, die Leviten"). Der Aufruf: </w:t>
      </w:r>
      <w:r>
        <w:rPr>
          <w:rStyle w:val="Fett"/>
          <w:rFonts w:eastAsiaTheme="majorEastAsia"/>
          <w:rtl/>
        </w:rPr>
        <w:t>הַסְכֵּת וּשְׁמַע יִשְׂרָאֵל</w:t>
      </w:r>
      <w:r>
        <w:rPr>
          <w:rtl/>
        </w:rPr>
        <w:t xml:space="preserve"> </w:t>
      </w:r>
      <w:r>
        <w:t xml:space="preserve">(„schweige und höre, Israel!"). Das Verb </w:t>
      </w:r>
      <w:r>
        <w:rPr>
          <w:rStyle w:val="Fett"/>
          <w:rFonts w:eastAsiaTheme="majorEastAsia"/>
          <w:rtl/>
        </w:rPr>
        <w:t>סכת</w:t>
      </w:r>
      <w:r>
        <w:rPr>
          <w:rtl/>
        </w:rPr>
        <w:t xml:space="preserve"> </w:t>
      </w:r>
      <w:r>
        <w:t xml:space="preserve">im Hiphil („schweigen, still sein, aufmerken") fordert völlige Aufmerksamkeit. Das Verb </w:t>
      </w:r>
      <w:r>
        <w:rPr>
          <w:rStyle w:val="Fett"/>
          <w:rFonts w:eastAsiaTheme="majorEastAsia"/>
          <w:rtl/>
        </w:rPr>
        <w:t>שׁמע</w:t>
      </w:r>
      <w:r>
        <w:rPr>
          <w:rtl/>
        </w:rPr>
        <w:t xml:space="preserve"> </w:t>
      </w:r>
      <w:r>
        <w:t xml:space="preserve">(„hören") fordert Gehorsam. Die Proklamation: </w:t>
      </w:r>
      <w:r>
        <w:rPr>
          <w:rStyle w:val="Fett"/>
          <w:rFonts w:eastAsiaTheme="majorEastAsia"/>
          <w:rtl/>
        </w:rPr>
        <w:t>הַיּוֹם הַזֶּה נִהְיֵיתָֽ לְעָם לַיהוָה אֱלֹהֶיךָ</w:t>
      </w:r>
      <w:r>
        <w:rPr>
          <w:rtl/>
        </w:rPr>
        <w:t xml:space="preserve"> </w:t>
      </w:r>
      <w:r>
        <w:t xml:space="preserve">(„an diesem Tag bist du zum Volk geworden </w:t>
      </w:r>
      <w:r w:rsidR="00281FDB">
        <w:t>JHWH</w:t>
      </w:r>
      <w:r>
        <w:t xml:space="preserve">, deinem Gott"). Das Verb </w:t>
      </w:r>
      <w:r>
        <w:rPr>
          <w:rStyle w:val="Fett"/>
          <w:rFonts w:eastAsiaTheme="majorEastAsia"/>
          <w:rtl/>
        </w:rPr>
        <w:t>היה</w:t>
      </w:r>
      <w:r>
        <w:rPr>
          <w:rtl/>
        </w:rPr>
        <w:t xml:space="preserve"> </w:t>
      </w:r>
      <w:r>
        <w:t xml:space="preserve">im Niphal („werden") mit </w:t>
      </w:r>
      <w:r>
        <w:rPr>
          <w:rStyle w:val="Fett"/>
          <w:rFonts w:eastAsiaTheme="majorEastAsia"/>
          <w:rtl/>
        </w:rPr>
        <w:t>לְעָם</w:t>
      </w:r>
      <w:r>
        <w:rPr>
          <w:rtl/>
        </w:rPr>
        <w:t xml:space="preserve"> </w:t>
      </w:r>
      <w:r>
        <w:t xml:space="preserve">(„zum Volk") – Israel wird heute konstituiert als </w:t>
      </w:r>
      <w:r w:rsidR="00A705B7">
        <w:t>das</w:t>
      </w:r>
      <w:r>
        <w:t xml:space="preserve"> Volk</w:t>
      </w:r>
      <w:r w:rsidR="00A705B7">
        <w:t xml:space="preserve"> </w:t>
      </w:r>
      <w:r w:rsidR="00DF3D1A">
        <w:t>JHWHs</w:t>
      </w:r>
      <w:r>
        <w:t xml:space="preserve">. Die Formulierung </w:t>
      </w:r>
      <w:r>
        <w:rPr>
          <w:rStyle w:val="Fett"/>
          <w:rFonts w:eastAsiaTheme="majorEastAsia"/>
          <w:rtl/>
        </w:rPr>
        <w:t>הַיּוֹם הַזֶּה</w:t>
      </w:r>
      <w:r>
        <w:rPr>
          <w:rtl/>
        </w:rPr>
        <w:t xml:space="preserve"> </w:t>
      </w:r>
      <w:r>
        <w:t>(„an diesem Tag") betont den feierlichen Moment der Bundeserneuerung (vgl. 26,17-18). V. 10 wird die Konsequenz nennen.</w:t>
      </w:r>
    </w:p>
    <w:p w14:paraId="7B4B8227" w14:textId="3DD9C92F" w:rsidR="001A04EF" w:rsidRDefault="001A04EF" w:rsidP="00A709A3">
      <w:pPr>
        <w:pStyle w:val="whitespace-normal"/>
      </w:pPr>
      <w:r>
        <w:rPr>
          <w:rStyle w:val="Fett"/>
        </w:rPr>
        <w:t>Die LXX</w:t>
      </w:r>
      <w:r>
        <w:t xml:space="preserve"> übersetzt </w:t>
      </w:r>
      <w:r>
        <w:rPr>
          <w:rtl/>
        </w:rPr>
        <w:t>הַסְכֵּת</w:t>
      </w:r>
      <w:r>
        <w:t xml:space="preserve"> (schweige, sei still) mit </w:t>
      </w:r>
      <w:proofErr w:type="spellStart"/>
      <w:r>
        <w:t>Σιώ</w:t>
      </w:r>
      <w:proofErr w:type="spellEnd"/>
      <w:r>
        <w:t xml:space="preserve">πα (schweige) – ein Imperativ für Stille. Das Verb </w:t>
      </w:r>
      <w:proofErr w:type="spellStart"/>
      <w:r>
        <w:t>γέγον</w:t>
      </w:r>
      <w:proofErr w:type="spellEnd"/>
      <w:r>
        <w:t xml:space="preserve">ας (du bist geworden) für </w:t>
      </w:r>
      <w:r>
        <w:rPr>
          <w:rtl/>
        </w:rPr>
        <w:t>נִהְיֵיתָ</w:t>
      </w:r>
      <w:r>
        <w:t xml:space="preserve"> ist eine präzise Übersetzung des Perfekts.</w:t>
      </w:r>
    </w:p>
    <w:p w14:paraId="21BB5974" w14:textId="13C98BF6" w:rsidR="00A709A3" w:rsidRDefault="00A709A3" w:rsidP="00A709A3">
      <w:pPr>
        <w:pStyle w:val="whitespace-normal"/>
      </w:pPr>
      <w:r>
        <w:rPr>
          <w:rStyle w:val="Fett"/>
          <w:rFonts w:eastAsiaTheme="majorEastAsia"/>
        </w:rPr>
        <w:t>Die Satzstruktur:</w:t>
      </w:r>
      <w:r>
        <w:t xml:space="preserve"> Proklamation mit direkter Rede (und Mose und die Priester, die Leviten, redeten zu ganz Israel und sprachen: Schweige und höre, Israel! An diesem Tag bist du zum Volk geworden </w:t>
      </w:r>
      <w:r w:rsidR="00281FDB">
        <w:t>JHWH</w:t>
      </w:r>
      <w:r>
        <w:t>, deinem Gott).</w:t>
      </w:r>
    </w:p>
    <w:p w14:paraId="2B637003" w14:textId="77777777" w:rsidR="00A709A3" w:rsidRDefault="00A709A3" w:rsidP="00A709A3">
      <w:pPr>
        <w:pStyle w:val="whitespace-normal"/>
      </w:pPr>
      <w:r>
        <w:rPr>
          <w:rStyle w:val="Fett"/>
          <w:rFonts w:eastAsiaTheme="majorEastAsia"/>
        </w:rPr>
        <w:t>Der Vers beschreibt:</w:t>
      </w:r>
      <w:r>
        <w:t xml:space="preserve"> Feierliche Proklamation – Israel wird heute als JHWHs Volk konstituiert.</w:t>
      </w:r>
    </w:p>
    <w:p w14:paraId="42DB0954" w14:textId="77777777" w:rsidR="00A709A3" w:rsidRPr="00B53ACC" w:rsidRDefault="00A709A3" w:rsidP="00B53ACC">
      <w:pPr>
        <w:pStyle w:val="Bibelberschrift"/>
      </w:pPr>
      <w:r w:rsidRPr="00B53ACC">
        <w:rPr>
          <w:rStyle w:val="Fett"/>
          <w:b/>
          <w:bCs w:val="0"/>
        </w:rPr>
        <w:t>Deuteronomium 27,10</w:t>
      </w:r>
    </w:p>
    <w:p w14:paraId="6801A937" w14:textId="77777777" w:rsidR="00A709A3" w:rsidRDefault="00A709A3" w:rsidP="00A709A3">
      <w:pPr>
        <w:pStyle w:val="whitespace-normal"/>
      </w:pPr>
      <w:r>
        <w:rPr>
          <w:rStyle w:val="Fett"/>
          <w:rFonts w:eastAsiaTheme="majorEastAsia"/>
        </w:rPr>
        <w:t>Hebräisch:</w:t>
      </w:r>
      <w:r>
        <w:t xml:space="preserve"> </w:t>
      </w:r>
      <w:r>
        <w:rPr>
          <w:rtl/>
        </w:rPr>
        <w:t>וְשָׁמַעְתָּ בְּקוֹל יְהוָה אֱלֹהֶיךָ וְעָשִׂיתָ אֶת־מִצְוֹתָו וְאֶת־חֻקָּיו אֲשֶׁר אָנֹכִי מְצַוְּךָ הַיּֽוֹם׃</w:t>
      </w:r>
    </w:p>
    <w:p w14:paraId="22C58AAF" w14:textId="2BE19448" w:rsidR="00A709A3" w:rsidRDefault="00A709A3" w:rsidP="00A709A3">
      <w:pPr>
        <w:pStyle w:val="whitespace-normal"/>
      </w:pPr>
      <w:r>
        <w:rPr>
          <w:rStyle w:val="Fett"/>
          <w:rFonts w:eastAsiaTheme="majorEastAsia"/>
        </w:rPr>
        <w:t>Deutsch:</w:t>
      </w:r>
      <w:r>
        <w:t xml:space="preserve"> Also gehorche der Stimme des </w:t>
      </w:r>
      <w:r w:rsidR="00C50326">
        <w:t>Ewigen</w:t>
      </w:r>
      <w:r>
        <w:t>, deines Gottes, und tue seine Gebote und seine Satzungen, die ich dir heute gebiete.</w:t>
      </w:r>
    </w:p>
    <w:p w14:paraId="0F661E0A" w14:textId="77777777" w:rsidR="00A709A3" w:rsidRDefault="004F5CEB" w:rsidP="00A709A3">
      <w:r>
        <w:rPr>
          <w:noProof/>
        </w:rPr>
        <w:pict w14:anchorId="3A4A1EAC">
          <v:rect id="_x0000_i1723" style="width:0;height:1.5pt" o:hralign="center" o:hrstd="t" o:hr="t" fillcolor="#a0a0a0" stroked="f"/>
        </w:pict>
      </w:r>
    </w:p>
    <w:p w14:paraId="5B9B1D87"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וְשָׁמַעְתָּ בְּקוֹל יְהוָה אֱלֹהֶיךָ וְעָשִׂיתָ אֶת־מִצְוֹתָו וְאֶת־חֻקָּיו אֲשֶׁר אָנֹכִי מְצַוְּךָ הַיּוֹם</w:t>
      </w:r>
      <w:r>
        <w:rPr>
          <w:rtl/>
        </w:rPr>
        <w:t xml:space="preserve"> </w:t>
      </w:r>
      <w:r>
        <w:t xml:space="preserve">sind zwei Anweisungen: </w:t>
      </w:r>
      <w:r>
        <w:rPr>
          <w:rStyle w:val="Fett"/>
          <w:rFonts w:eastAsiaTheme="majorEastAsia"/>
          <w:rtl/>
        </w:rPr>
        <w:t>וְשָׁמַעְתָּ בְּקוֹל יְהוָה אֱלֹהֶיךָ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שׁמע</w:t>
      </w:r>
      <w:r>
        <w:t xml:space="preserve">, Qal Perfekt, 2. Person Maskulinum Singular, Präposition </w:t>
      </w:r>
      <w:r>
        <w:rPr>
          <w:rStyle w:val="Fett"/>
          <w:rFonts w:eastAsiaTheme="majorEastAsia"/>
          <w:rtl/>
        </w:rPr>
        <w:t>בְּ</w:t>
      </w:r>
      <w:r>
        <w:rPr>
          <w:rtl/>
        </w:rPr>
        <w:t xml:space="preserve"> </w:t>
      </w:r>
      <w:r>
        <w:t xml:space="preserve">mit </w:t>
      </w:r>
      <w:r>
        <w:rPr>
          <w:rStyle w:val="Fett"/>
          <w:rFonts w:eastAsiaTheme="majorEastAsia"/>
          <w:rtl/>
        </w:rPr>
        <w:t>קוֹל יְהוָה אֱלֹהֶיךָ</w:t>
      </w:r>
      <w:r>
        <w:t xml:space="preserve">, mit </w:t>
      </w:r>
      <w:r>
        <w:rPr>
          <w:rStyle w:val="Fett"/>
          <w:rFonts w:eastAsiaTheme="majorEastAsia"/>
        </w:rPr>
        <w:t>Waw</w:t>
      </w:r>
      <w:r>
        <w:t xml:space="preserve"> consecutives Perfekt), </w:t>
      </w:r>
      <w:r>
        <w:rPr>
          <w:rStyle w:val="Fett"/>
          <w:rFonts w:eastAsiaTheme="majorEastAsia"/>
          <w:rtl/>
        </w:rPr>
        <w:t>וְעָשִׂיתָ אֶת־מִצְוֹתָו וְאֶת־חֻקָּיו אֲשֶׁר אָנֹכִי מְצַוְּךָ הַיּוֹם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עשׂה</w:t>
      </w:r>
      <w:r>
        <w:t xml:space="preserve">, Qal Perfekt, 2. Person Maskulinum Singular, Objektpartikel </w:t>
      </w:r>
      <w:r>
        <w:rPr>
          <w:rStyle w:val="Fett"/>
          <w:rFonts w:eastAsiaTheme="majorEastAsia"/>
          <w:rtl/>
        </w:rPr>
        <w:t>אֵת</w:t>
      </w:r>
      <w:r>
        <w:rPr>
          <w:rtl/>
        </w:rPr>
        <w:t xml:space="preserve"> </w:t>
      </w:r>
      <w:r>
        <w:t xml:space="preserve">mit </w:t>
      </w:r>
      <w:r>
        <w:rPr>
          <w:rStyle w:val="Fett"/>
          <w:rFonts w:eastAsiaTheme="majorEastAsia"/>
          <w:rtl/>
        </w:rPr>
        <w:t>מִצְוָה</w:t>
      </w:r>
      <w:r>
        <w:rPr>
          <w:rtl/>
        </w:rPr>
        <w:t xml:space="preserve"> </w:t>
      </w:r>
      <w:r>
        <w:t xml:space="preserve">Plural mit Suffix 3. Person Maskulinum Singular, koordiniert durch </w:t>
      </w:r>
      <w:r>
        <w:rPr>
          <w:rStyle w:val="Fett"/>
          <w:rFonts w:eastAsiaTheme="majorEastAsia"/>
          <w:rtl/>
        </w:rPr>
        <w:t>וְ</w:t>
      </w:r>
      <w:r>
        <w:rPr>
          <w:rtl/>
        </w:rPr>
        <w:t xml:space="preserve"> </w:t>
      </w:r>
      <w:r>
        <w:t xml:space="preserve">mit Objektpartikel </w:t>
      </w:r>
      <w:r>
        <w:rPr>
          <w:rStyle w:val="Fett"/>
          <w:rFonts w:eastAsiaTheme="majorEastAsia"/>
          <w:rtl/>
        </w:rPr>
        <w:t>אֵת</w:t>
      </w:r>
      <w:r>
        <w:t xml:space="preserve">, </w:t>
      </w:r>
      <w:r>
        <w:rPr>
          <w:rStyle w:val="Fett"/>
          <w:rFonts w:eastAsiaTheme="majorEastAsia"/>
          <w:rtl/>
        </w:rPr>
        <w:t>חֹק</w:t>
      </w:r>
      <w:r>
        <w:rPr>
          <w:rtl/>
        </w:rPr>
        <w:t xml:space="preserve"> </w:t>
      </w:r>
      <w:r>
        <w:t xml:space="preserve">Plural mit Suffix 3. Person Maskulinum Singular, Relativsatz wie üblich, mit </w:t>
      </w:r>
      <w:r>
        <w:rPr>
          <w:rStyle w:val="Fett"/>
          <w:rFonts w:eastAsiaTheme="majorEastAsia"/>
        </w:rPr>
        <w:t>Waw</w:t>
      </w:r>
      <w:r>
        <w:t xml:space="preserve"> consecutives Perfekt).</w:t>
      </w:r>
    </w:p>
    <w:p w14:paraId="68C8B136" w14:textId="3751F95C" w:rsidR="00A709A3" w:rsidRDefault="00A709A3" w:rsidP="00A709A3">
      <w:pPr>
        <w:pStyle w:val="whitespace-normal"/>
      </w:pPr>
      <w:r>
        <w:t xml:space="preserve">Der Vers zieht die Konsequenz aus der Bundesbeziehung. Die erste Anweisung: </w:t>
      </w:r>
      <w:r>
        <w:rPr>
          <w:rStyle w:val="Fett"/>
          <w:rFonts w:eastAsiaTheme="majorEastAsia"/>
          <w:rtl/>
        </w:rPr>
        <w:t>וְשָׁמַעְתָּ בְּקוֹל יְהוָה אֱלֹהֶיךָ</w:t>
      </w:r>
      <w:r>
        <w:rPr>
          <w:rtl/>
        </w:rPr>
        <w:t xml:space="preserve"> </w:t>
      </w:r>
      <w:r>
        <w:t xml:space="preserve">(„und gehorchen sollst du der Stimme </w:t>
      </w:r>
      <w:r w:rsidR="00DF3D1A">
        <w:t>JHWHs</w:t>
      </w:r>
      <w:r>
        <w:t xml:space="preserve">, deines Gottes"). Die Formel </w:t>
      </w:r>
      <w:r>
        <w:rPr>
          <w:rStyle w:val="Fett"/>
          <w:rFonts w:eastAsiaTheme="majorEastAsia"/>
          <w:rtl/>
        </w:rPr>
        <w:t>שָׁמַעְתָּ בְּקוֹל</w:t>
      </w:r>
      <w:r>
        <w:rPr>
          <w:rtl/>
        </w:rPr>
        <w:t xml:space="preserve"> </w:t>
      </w:r>
      <w:r>
        <w:t xml:space="preserve">(„gehorchen der Stimme") fordert Gehorsam. Die zweite Anweisung: </w:t>
      </w:r>
      <w:r>
        <w:rPr>
          <w:rStyle w:val="Fett"/>
          <w:rFonts w:eastAsiaTheme="majorEastAsia"/>
          <w:rtl/>
        </w:rPr>
        <w:t>וְעָשִׂיתָ אֶת־מִצְוֹתָו וְאֶת־חֻקָּיו אֲשֶׁר אָנֹכִי מְצַוְּךָ הַיּוֹם</w:t>
      </w:r>
      <w:r>
        <w:rPr>
          <w:rtl/>
        </w:rPr>
        <w:t xml:space="preserve"> </w:t>
      </w:r>
      <w:r>
        <w:t xml:space="preserve">(„und tun sollst du seine Gebote und seine Satzungen, die ich dir heute gebiete"). Die beiden Begriffe </w:t>
      </w:r>
      <w:r>
        <w:rPr>
          <w:rStyle w:val="Fett"/>
          <w:rFonts w:eastAsiaTheme="majorEastAsia"/>
          <w:rtl/>
        </w:rPr>
        <w:t>מִצְוֹתָו... חֻקָּיו</w:t>
      </w:r>
      <w:r>
        <w:rPr>
          <w:rtl/>
        </w:rPr>
        <w:t xml:space="preserve"> </w:t>
      </w:r>
      <w:r>
        <w:t xml:space="preserve">(„seine Gebote... seine Satzungen") umfassen alle Gesetze. Die </w:t>
      </w:r>
      <w:r>
        <w:rPr>
          <w:rStyle w:val="Fett"/>
          <w:rFonts w:eastAsiaTheme="majorEastAsia"/>
        </w:rPr>
        <w:t>Setumah</w:t>
      </w:r>
      <w:r>
        <w:t xml:space="preserve"> (</w:t>
      </w:r>
      <w:r>
        <w:rPr>
          <w:rtl/>
        </w:rPr>
        <w:t>ס</w:t>
      </w:r>
      <w:r>
        <w:t>) markiert das Ende des zweiten Abschnitts (V. 9-10). V. 11 beginnt den dritten Abschnitt: das Fluchritual mit zwölf Flüchen.</w:t>
      </w:r>
    </w:p>
    <w:p w14:paraId="76435768" w14:textId="22D1BD77" w:rsidR="00A709A3" w:rsidRDefault="00A709A3" w:rsidP="00A709A3">
      <w:pPr>
        <w:pStyle w:val="whitespace-normal"/>
      </w:pPr>
      <w:r>
        <w:rPr>
          <w:rStyle w:val="Fett"/>
          <w:rFonts w:eastAsiaTheme="majorEastAsia"/>
        </w:rPr>
        <w:lastRenderedPageBreak/>
        <w:t>Die Satzstruktur:</w:t>
      </w:r>
      <w:r>
        <w:t xml:space="preserve"> Zwei koordinierte Anweisungen (und gehorchen sollst du der Stimme </w:t>
      </w:r>
      <w:r w:rsidR="00DF3D1A">
        <w:t>JHWHs</w:t>
      </w:r>
      <w:r>
        <w:t>, deines Gottes, und tun sollst du seine Gebote und seine Satzungen, die ich dir heute gebiete).</w:t>
      </w:r>
    </w:p>
    <w:p w14:paraId="299FB568" w14:textId="0ADADDB5" w:rsidR="00A709A3" w:rsidRDefault="00A709A3" w:rsidP="00705F3D">
      <w:pPr>
        <w:pStyle w:val="whitespace-normal"/>
      </w:pPr>
      <w:r>
        <w:rPr>
          <w:rStyle w:val="Fett"/>
          <w:rFonts w:eastAsiaTheme="majorEastAsia"/>
        </w:rPr>
        <w:t>Der Vers beschreibt:</w:t>
      </w:r>
      <w:r>
        <w:t xml:space="preserve"> Konsequenz der Bundesbeziehung – Gehorsam gegenüber JHWHs Geboten.</w:t>
      </w:r>
    </w:p>
    <w:p w14:paraId="6EFF0F46" w14:textId="77777777" w:rsidR="00A709A3" w:rsidRPr="00B53ACC" w:rsidRDefault="00A709A3" w:rsidP="00B53ACC">
      <w:pPr>
        <w:pStyle w:val="Bibelberschrift"/>
      </w:pPr>
      <w:r w:rsidRPr="00B53ACC">
        <w:rPr>
          <w:rStyle w:val="Fett"/>
          <w:b/>
          <w:bCs w:val="0"/>
        </w:rPr>
        <w:t>Deuteronomium 27,11</w:t>
      </w:r>
    </w:p>
    <w:p w14:paraId="49F9EEFC" w14:textId="77777777" w:rsidR="00A709A3" w:rsidRDefault="00A709A3" w:rsidP="00A709A3">
      <w:pPr>
        <w:pStyle w:val="whitespace-normal"/>
      </w:pPr>
      <w:r>
        <w:rPr>
          <w:rStyle w:val="Fett"/>
          <w:rFonts w:eastAsiaTheme="majorEastAsia"/>
        </w:rPr>
        <w:t>Hebräisch:</w:t>
      </w:r>
      <w:r>
        <w:t xml:space="preserve"> </w:t>
      </w:r>
      <w:r>
        <w:rPr>
          <w:rtl/>
        </w:rPr>
        <w:t>וַיְצַו מֹשֶׁה אֶת־הָעָם בַּיּוֹם הַהוּא לֵאמֹֽר׃</w:t>
      </w:r>
    </w:p>
    <w:p w14:paraId="14520B72" w14:textId="77777777" w:rsidR="00A709A3" w:rsidRDefault="00A709A3" w:rsidP="00A709A3">
      <w:pPr>
        <w:pStyle w:val="whitespace-normal"/>
      </w:pPr>
      <w:r>
        <w:rPr>
          <w:rStyle w:val="Fett"/>
          <w:rFonts w:eastAsiaTheme="majorEastAsia"/>
        </w:rPr>
        <w:t>Deutsch:</w:t>
      </w:r>
      <w:r>
        <w:t xml:space="preserve"> Und Mose gebot dem Volk an jenem Tag und sprach:</w:t>
      </w:r>
    </w:p>
    <w:p w14:paraId="2A8DDC59" w14:textId="77777777" w:rsidR="00A709A3" w:rsidRDefault="004F5CEB" w:rsidP="00A709A3">
      <w:r>
        <w:rPr>
          <w:noProof/>
        </w:rPr>
        <w:pict w14:anchorId="0F3F3219">
          <v:rect id="_x0000_i1724" style="width:0;height:1.5pt" o:hralign="center" o:hrstd="t" o:hr="t" fillcolor="#a0a0a0" stroked="f"/>
        </w:pict>
      </w:r>
    </w:p>
    <w:p w14:paraId="1F4B0432"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וַיְצַו מֹשֶׁה אֶת־הָעָם בַּיּוֹם הַהוּא לֵאמֹר</w:t>
      </w:r>
      <w:r>
        <w:rPr>
          <w:rtl/>
        </w:rPr>
        <w:t xml:space="preserve"> </w:t>
      </w:r>
      <w:r>
        <w:t xml:space="preserve">ist eine Einleitung: </w:t>
      </w:r>
      <w:r>
        <w:rPr>
          <w:rStyle w:val="Fett"/>
          <w:rFonts w:eastAsiaTheme="majorEastAsia"/>
          <w:rtl/>
        </w:rPr>
        <w:t>וַיְצַו מֹשֶׁה אֶת־הָעָם בַּיּוֹם הַהוּא לֵאמֹר</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צוה</w:t>
      </w:r>
      <w:r>
        <w:t xml:space="preserve">, Piel Imperfekt, 3. Person Maskulinum Singular, </w:t>
      </w:r>
      <w:r>
        <w:rPr>
          <w:rStyle w:val="Fett"/>
          <w:rFonts w:eastAsiaTheme="majorEastAsia"/>
          <w:rtl/>
        </w:rPr>
        <w:t>מֹשֶׁה</w:t>
      </w:r>
      <w:r>
        <w:rPr>
          <w:rtl/>
        </w:rPr>
        <w:t xml:space="preserve"> </w:t>
      </w:r>
      <w:r>
        <w:t xml:space="preserve">als Subjekt, Objektpartikel </w:t>
      </w:r>
      <w:r>
        <w:rPr>
          <w:rStyle w:val="Fett"/>
          <w:rFonts w:eastAsiaTheme="majorEastAsia"/>
          <w:rtl/>
        </w:rPr>
        <w:t>אֵת</w:t>
      </w:r>
      <w:r>
        <w:rPr>
          <w:rtl/>
        </w:rPr>
        <w:t xml:space="preserve"> </w:t>
      </w:r>
      <w:r>
        <w:t xml:space="preserve">mit </w:t>
      </w:r>
      <w:r>
        <w:rPr>
          <w:rStyle w:val="Fett"/>
          <w:rFonts w:eastAsiaTheme="majorEastAsia"/>
          <w:rtl/>
        </w:rPr>
        <w:t>עַם</w:t>
      </w:r>
      <w:r>
        <w:rPr>
          <w:rtl/>
        </w:rPr>
        <w:t xml:space="preserve"> </w:t>
      </w:r>
      <w:r>
        <w:t xml:space="preserve">mit Artikel, </w:t>
      </w:r>
      <w:r>
        <w:rPr>
          <w:rStyle w:val="Fett"/>
          <w:rFonts w:eastAsiaTheme="majorEastAsia"/>
          <w:rtl/>
        </w:rPr>
        <w:t>בַּיּוֹם הַהוּא</w:t>
      </w:r>
      <w:r>
        <w:t xml:space="preserve">, „an jenem Tag", </w:t>
      </w:r>
      <w:r>
        <w:rPr>
          <w:rStyle w:val="Fett"/>
          <w:rFonts w:eastAsiaTheme="majorEastAsia"/>
          <w:rtl/>
        </w:rPr>
        <w:t>לֵאמֹר</w:t>
      </w:r>
      <w:r>
        <w:t xml:space="preserve">, mit </w:t>
      </w:r>
      <w:r>
        <w:rPr>
          <w:rStyle w:val="Fett"/>
          <w:rFonts w:eastAsiaTheme="majorEastAsia"/>
        </w:rPr>
        <w:t>Waw</w:t>
      </w:r>
      <w:r>
        <w:t xml:space="preserve"> consecutives Imperfekt).</w:t>
      </w:r>
    </w:p>
    <w:p w14:paraId="1BECBF0B" w14:textId="77777777" w:rsidR="00A709A3" w:rsidRDefault="00A709A3" w:rsidP="00A709A3">
      <w:pPr>
        <w:pStyle w:val="whitespace-normal"/>
      </w:pPr>
      <w:r>
        <w:t xml:space="preserve">Der Vers leitet das Fluchritual ein. Die Einleitung: </w:t>
      </w:r>
      <w:r>
        <w:rPr>
          <w:rStyle w:val="Fett"/>
          <w:rFonts w:eastAsiaTheme="majorEastAsia"/>
          <w:rtl/>
        </w:rPr>
        <w:t>וַיְצַו מֹשֶׁה אֶת־הָעָם בַּיּוֹם הַהוּא לֵאמֹר</w:t>
      </w:r>
      <w:r>
        <w:rPr>
          <w:rtl/>
        </w:rPr>
        <w:t xml:space="preserve"> </w:t>
      </w:r>
      <w:r>
        <w:t xml:space="preserve">(„und Mose gebot dem Volk an jenem Tag und sprach"). Nun spricht Mose allein (nicht mit Ältesten oder Priestern). Die Formulierung </w:t>
      </w:r>
      <w:r>
        <w:rPr>
          <w:rStyle w:val="Fett"/>
          <w:rFonts w:eastAsiaTheme="majorEastAsia"/>
          <w:rtl/>
        </w:rPr>
        <w:t>בַּיּוֹם הַהוּא</w:t>
      </w:r>
      <w:r>
        <w:rPr>
          <w:rtl/>
        </w:rPr>
        <w:t xml:space="preserve"> </w:t>
      </w:r>
      <w:r>
        <w:t>(„an jenem Tag") ist vage – möglicherweise derselbe Tag wie V. 9, möglicherweise der Tag der Durchführung am Berg Ebal. V. 12-13 werden die Aufstellung der Stämme beschreiben.</w:t>
      </w:r>
    </w:p>
    <w:p w14:paraId="6469CA68" w14:textId="77777777" w:rsidR="00A709A3" w:rsidRDefault="00A709A3" w:rsidP="00A709A3">
      <w:pPr>
        <w:pStyle w:val="whitespace-normal"/>
      </w:pPr>
      <w:r>
        <w:rPr>
          <w:rStyle w:val="Fett"/>
          <w:rFonts w:eastAsiaTheme="majorEastAsia"/>
        </w:rPr>
        <w:t>Die Satzstruktur:</w:t>
      </w:r>
      <w:r>
        <w:t xml:space="preserve"> Einleitung (und Mose gebot dem Volk an jenem Tag und sprach).</w:t>
      </w:r>
    </w:p>
    <w:p w14:paraId="576ECC8A" w14:textId="5FD4559F" w:rsidR="00A709A3" w:rsidRDefault="00A709A3" w:rsidP="00705F3D">
      <w:pPr>
        <w:pStyle w:val="whitespace-normal"/>
      </w:pPr>
      <w:r>
        <w:rPr>
          <w:rStyle w:val="Fett"/>
          <w:rFonts w:eastAsiaTheme="majorEastAsia"/>
        </w:rPr>
        <w:t>Der Vers beschreibt:</w:t>
      </w:r>
      <w:r>
        <w:t xml:space="preserve"> Überleitung zum Fluchritual – Mose gibt weitere Anweisungen.</w:t>
      </w:r>
    </w:p>
    <w:p w14:paraId="50A9B7AD" w14:textId="77777777" w:rsidR="00A709A3" w:rsidRPr="00B53ACC" w:rsidRDefault="00A709A3" w:rsidP="00B53ACC">
      <w:pPr>
        <w:pStyle w:val="Bibelberschrift"/>
      </w:pPr>
      <w:r w:rsidRPr="00B53ACC">
        <w:rPr>
          <w:rStyle w:val="Fett"/>
          <w:b/>
          <w:bCs w:val="0"/>
        </w:rPr>
        <w:t>Deuteronomium 27,12</w:t>
      </w:r>
    </w:p>
    <w:p w14:paraId="19F8571E" w14:textId="77777777" w:rsidR="00A709A3" w:rsidRDefault="00A709A3" w:rsidP="00A709A3">
      <w:pPr>
        <w:pStyle w:val="whitespace-normal"/>
      </w:pPr>
      <w:r>
        <w:rPr>
          <w:rStyle w:val="Fett"/>
          <w:rFonts w:eastAsiaTheme="majorEastAsia"/>
        </w:rPr>
        <w:t>Hebräisch:</w:t>
      </w:r>
      <w:r>
        <w:t xml:space="preserve"> </w:t>
      </w:r>
      <w:r>
        <w:rPr>
          <w:rtl/>
        </w:rPr>
        <w:t>אֵלֶּה יַֽעַמְדוּ לְבָרֵךְ אֶת־הָעָם עַל־הַר גְּרִזִים בְּעָבְרְכֶם אֶת־הַיַּרְדֵּן שִׁמְעוֹן וְלֵוִי וִֽיהוּדָה וְיִשָּׂשכָר וְיוֹסֵף וּבִנְיָמִֽן׃</w:t>
      </w:r>
    </w:p>
    <w:p w14:paraId="6732E99F" w14:textId="77777777" w:rsidR="00A709A3" w:rsidRDefault="00A709A3" w:rsidP="00A709A3">
      <w:pPr>
        <w:pStyle w:val="whitespace-normal"/>
      </w:pPr>
      <w:r>
        <w:rPr>
          <w:rStyle w:val="Fett"/>
          <w:rFonts w:eastAsiaTheme="majorEastAsia"/>
        </w:rPr>
        <w:t>Deutsch:</w:t>
      </w:r>
      <w:r>
        <w:t xml:space="preserve"> Diese sollen stehen, um das Volk zu segnen, auf dem Berg Gerisim, wenn ihr über den Jordan gezogen seid: Simeon und Levi und Juda und Issaschar und Josef und Benjamin.</w:t>
      </w:r>
    </w:p>
    <w:p w14:paraId="27395CCB" w14:textId="77777777" w:rsidR="00A709A3" w:rsidRDefault="004F5CEB" w:rsidP="00A709A3">
      <w:r>
        <w:rPr>
          <w:noProof/>
        </w:rPr>
        <w:pict w14:anchorId="522DAD7D">
          <v:rect id="_x0000_i1725" style="width:0;height:1.5pt" o:hralign="center" o:hrstd="t" o:hr="t" fillcolor="#a0a0a0" stroked="f"/>
        </w:pict>
      </w:r>
    </w:p>
    <w:p w14:paraId="5EA99E07"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אֵלֶּה יַֽעַמְדוּ לְבָרֵךְ אֶת־הָעָם עַל־הַר גְּרִזִים בְּעָבְרְכֶם אֶת־הַיַּרְדֵּן שִׁמְעוֹן וְלֵוִי וִֽיהוּדָה וְיִשָּׂשכָר וְיוֹסֵף וּבִנְיָמִן</w:t>
      </w:r>
      <w:r>
        <w:rPr>
          <w:rtl/>
        </w:rPr>
        <w:t xml:space="preserve"> </w:t>
      </w:r>
      <w:r>
        <w:t xml:space="preserve">ist eine Anweisung mit Namensliste: </w:t>
      </w:r>
      <w:r>
        <w:rPr>
          <w:rStyle w:val="Fett"/>
          <w:rFonts w:eastAsiaTheme="majorEastAsia"/>
          <w:rtl/>
        </w:rPr>
        <w:t>אֵלֶּה יַֽעַמְדוּ לְבָרֵךְ אֶת־הָעָם עַל־הַר גְּרִזִים בְּעָבְרְכֶם אֶת־הַיַּרְדֵּן</w:t>
      </w:r>
      <w:r>
        <w:rPr>
          <w:rtl/>
        </w:rPr>
        <w:t xml:space="preserve"> </w:t>
      </w:r>
      <w:r>
        <w:t>(</w:t>
      </w:r>
      <w:r>
        <w:rPr>
          <w:rStyle w:val="Fett"/>
          <w:rFonts w:eastAsiaTheme="majorEastAsia"/>
          <w:rtl/>
        </w:rPr>
        <w:t>אֵלֶּה</w:t>
      </w:r>
      <w:r>
        <w:t xml:space="preserve">, „diese", </w:t>
      </w:r>
      <w:r>
        <w:rPr>
          <w:rStyle w:val="Fett"/>
          <w:rFonts w:eastAsiaTheme="majorEastAsia"/>
          <w:rtl/>
        </w:rPr>
        <w:t>עמד</w:t>
      </w:r>
      <w:r>
        <w:t xml:space="preserve">, Qal Imperfekt, 3. Person Plural, „stehen", Präposition </w:t>
      </w:r>
      <w:r>
        <w:rPr>
          <w:rStyle w:val="Fett"/>
          <w:rFonts w:eastAsiaTheme="majorEastAsia"/>
          <w:rtl/>
        </w:rPr>
        <w:t>לְ</w:t>
      </w:r>
      <w:r>
        <w:rPr>
          <w:rtl/>
        </w:rPr>
        <w:t xml:space="preserve"> </w:t>
      </w:r>
      <w:r>
        <w:t xml:space="preserve">mit Piel Infinitiv Construct von </w:t>
      </w:r>
      <w:r>
        <w:rPr>
          <w:rStyle w:val="Fett"/>
          <w:rFonts w:eastAsiaTheme="majorEastAsia"/>
          <w:rtl/>
        </w:rPr>
        <w:t>ברך</w:t>
      </w:r>
      <w:r>
        <w:t xml:space="preserve">, „segnen", Objektpartikel </w:t>
      </w:r>
      <w:r>
        <w:rPr>
          <w:rStyle w:val="Fett"/>
          <w:rFonts w:eastAsiaTheme="majorEastAsia"/>
          <w:rtl/>
        </w:rPr>
        <w:t>אֵת</w:t>
      </w:r>
      <w:r>
        <w:rPr>
          <w:rtl/>
        </w:rPr>
        <w:t xml:space="preserve"> </w:t>
      </w:r>
      <w:r>
        <w:t xml:space="preserve">mit </w:t>
      </w:r>
      <w:r>
        <w:rPr>
          <w:rStyle w:val="Fett"/>
          <w:rFonts w:eastAsiaTheme="majorEastAsia"/>
          <w:rtl/>
        </w:rPr>
        <w:t>עַם</w:t>
      </w:r>
      <w:r>
        <w:rPr>
          <w:rtl/>
        </w:rPr>
        <w:t xml:space="preserve"> </w:t>
      </w:r>
      <w:r>
        <w:t xml:space="preserve">mit Artikel, Präposition </w:t>
      </w:r>
      <w:r>
        <w:rPr>
          <w:rStyle w:val="Fett"/>
          <w:rFonts w:eastAsiaTheme="majorEastAsia"/>
          <w:rtl/>
        </w:rPr>
        <w:t>עַל</w:t>
      </w:r>
      <w:r>
        <w:rPr>
          <w:rtl/>
        </w:rPr>
        <w:t xml:space="preserve"> </w:t>
      </w:r>
      <w:r>
        <w:t xml:space="preserve">mit </w:t>
      </w:r>
      <w:r>
        <w:rPr>
          <w:rStyle w:val="Fett"/>
          <w:rFonts w:eastAsiaTheme="majorEastAsia"/>
          <w:rtl/>
        </w:rPr>
        <w:t>הַר גְּרִזִים</w:t>
      </w:r>
      <w:r>
        <w:t xml:space="preserve">, Berg Gerisim, Präposition </w:t>
      </w:r>
      <w:r>
        <w:rPr>
          <w:rStyle w:val="Fett"/>
          <w:rFonts w:eastAsiaTheme="majorEastAsia"/>
          <w:rtl/>
        </w:rPr>
        <w:t>בְּ</w:t>
      </w:r>
      <w:r>
        <w:rPr>
          <w:rtl/>
        </w:rPr>
        <w:t xml:space="preserve"> </w:t>
      </w:r>
      <w:r>
        <w:t xml:space="preserve">mit Qal Infinitiv Construct von </w:t>
      </w:r>
      <w:r>
        <w:rPr>
          <w:rStyle w:val="Fett"/>
          <w:rFonts w:eastAsiaTheme="majorEastAsia"/>
          <w:rtl/>
        </w:rPr>
        <w:t>עבר</w:t>
      </w:r>
      <w:r>
        <w:t xml:space="preserve">, mit Suffix 2. </w:t>
      </w:r>
      <w:r>
        <w:lastRenderedPageBreak/>
        <w:t xml:space="preserve">Person Maskulinum Plural, Objektpartikel </w:t>
      </w:r>
      <w:r>
        <w:rPr>
          <w:rStyle w:val="Fett"/>
          <w:rFonts w:eastAsiaTheme="majorEastAsia"/>
          <w:rtl/>
        </w:rPr>
        <w:t>אֵת</w:t>
      </w:r>
      <w:r>
        <w:rPr>
          <w:rtl/>
        </w:rPr>
        <w:t xml:space="preserve"> </w:t>
      </w:r>
      <w:r>
        <w:t xml:space="preserve">mit </w:t>
      </w:r>
      <w:r>
        <w:rPr>
          <w:rStyle w:val="Fett"/>
          <w:rFonts w:eastAsiaTheme="majorEastAsia"/>
          <w:rtl/>
        </w:rPr>
        <w:t>יַרְדֵּן</w:t>
      </w:r>
      <w:r>
        <w:rPr>
          <w:rtl/>
        </w:rPr>
        <w:t xml:space="preserve"> </w:t>
      </w:r>
      <w:r>
        <w:t xml:space="preserve">mit Artikel), </w:t>
      </w:r>
      <w:r>
        <w:rPr>
          <w:rStyle w:val="Fett"/>
          <w:rFonts w:eastAsiaTheme="majorEastAsia"/>
          <w:rtl/>
        </w:rPr>
        <w:t>שִׁמְעוֹן וְלֵוִי וִֽיהוּדָה וְיִשָּׂשכָר וְיוֹסֵף וּבִנְיָמִן</w:t>
      </w:r>
      <w:r>
        <w:rPr>
          <w:rtl/>
        </w:rPr>
        <w:t xml:space="preserve"> </w:t>
      </w:r>
      <w:r>
        <w:t xml:space="preserve">(sechs Stammesnamen, koordiniert durch </w:t>
      </w:r>
      <w:r>
        <w:rPr>
          <w:rStyle w:val="Fett"/>
          <w:rFonts w:eastAsiaTheme="majorEastAsia"/>
          <w:rtl/>
        </w:rPr>
        <w:t>וְ</w:t>
      </w:r>
      <w:r>
        <w:t>).</w:t>
      </w:r>
    </w:p>
    <w:p w14:paraId="2C205AEB" w14:textId="57ECB8C6" w:rsidR="00A709A3" w:rsidRDefault="00A709A3" w:rsidP="00A709A3">
      <w:pPr>
        <w:pStyle w:val="whitespace-normal"/>
      </w:pPr>
      <w:r>
        <w:t xml:space="preserve">Der Vers beschreibt die Aufstellung der Stämme für den Segen. Die Anweisung: </w:t>
      </w:r>
      <w:r>
        <w:rPr>
          <w:rStyle w:val="Fett"/>
          <w:rFonts w:eastAsiaTheme="majorEastAsia"/>
          <w:rtl/>
        </w:rPr>
        <w:t>אֵלֶּה יַֽעַמְדוּ לְבָרֵךְ אֶת־הָעָם עַל־הַר גְּרִזִים בְּעָבְרְכֶם אֶת־הַיַּרְדֵּן</w:t>
      </w:r>
      <w:r>
        <w:rPr>
          <w:rtl/>
        </w:rPr>
        <w:t xml:space="preserve"> </w:t>
      </w:r>
      <w:r>
        <w:t xml:space="preserve">(„diese sollen stehen, um das Volk zu segnen, auf dem Berg Gerisim, wenn ihr über den Jordan gezogen seid"). Der </w:t>
      </w:r>
      <w:r>
        <w:rPr>
          <w:rStyle w:val="Fett"/>
          <w:rFonts w:eastAsiaTheme="majorEastAsia"/>
          <w:rtl/>
        </w:rPr>
        <w:t>הַר גְּרִזִים</w:t>
      </w:r>
      <w:r>
        <w:rPr>
          <w:rtl/>
        </w:rPr>
        <w:t xml:space="preserve"> </w:t>
      </w:r>
      <w:r>
        <w:t xml:space="preserve">(„Berg Gerisim") liegt südlich des Berges Ebal, gegenüber bei Sichem – der Berg des Segens. Die sechs Stämme für den Segen: </w:t>
      </w:r>
      <w:r>
        <w:rPr>
          <w:rStyle w:val="Fett"/>
          <w:rFonts w:eastAsiaTheme="majorEastAsia"/>
          <w:rtl/>
        </w:rPr>
        <w:t>שִׁמְעוֹן וְלֵוִי וִֽיהוּדָה וְיִשָּׂשכָר וְיוֹסֵף וּבִנְיָמִן</w:t>
      </w:r>
      <w:r>
        <w:rPr>
          <w:rtl/>
        </w:rPr>
        <w:t xml:space="preserve"> </w:t>
      </w:r>
      <w:r>
        <w:t>(„Simeon und Levi und Juda und Issaschar und Josef und Benjamin"). Diese sechs Stämme sind alle Söhne der Hauptfrauen Jakobs: Lea (Simeon, Levi, Juda, Issaschar) und Rahel (Josef, Benjamin). V. 13 wird die Stämme für den Fluch nennen.</w:t>
      </w:r>
    </w:p>
    <w:p w14:paraId="2F797898" w14:textId="1A407C1D" w:rsidR="001A04EF" w:rsidRDefault="001A04EF" w:rsidP="00A709A3">
      <w:pPr>
        <w:pStyle w:val="whitespace-normal"/>
      </w:pPr>
      <w:r>
        <w:rPr>
          <w:rStyle w:val="Fett"/>
        </w:rPr>
        <w:t>Die LXX</w:t>
      </w:r>
      <w:r>
        <w:t xml:space="preserve"> verwendet Γα</w:t>
      </w:r>
      <w:proofErr w:type="spellStart"/>
      <w:r>
        <w:t>ριζίν</w:t>
      </w:r>
      <w:proofErr w:type="spellEnd"/>
      <w:r>
        <w:t xml:space="preserve"> (Garizin) für </w:t>
      </w:r>
      <w:r>
        <w:rPr>
          <w:rtl/>
        </w:rPr>
        <w:t>גְּרִזִים</w:t>
      </w:r>
      <w:r>
        <w:t xml:space="preserve"> (Gerizim) – die gräzisierte Form, die im Neuen Testament (Joh 4,20) verwendet wird.</w:t>
      </w:r>
    </w:p>
    <w:p w14:paraId="704CC42E" w14:textId="77777777" w:rsidR="00A709A3" w:rsidRDefault="00A709A3" w:rsidP="00A709A3">
      <w:pPr>
        <w:pStyle w:val="whitespace-normal"/>
      </w:pPr>
      <w:r>
        <w:rPr>
          <w:rStyle w:val="Fett"/>
          <w:rFonts w:eastAsiaTheme="majorEastAsia"/>
        </w:rPr>
        <w:t>Die Satzstruktur:</w:t>
      </w:r>
      <w:r>
        <w:t xml:space="preserve"> Anweisung mit Namensliste (diese sollen stehen, um das Volk zu segnen, auf dem Berg Gerisim, wenn ihr über den Jordan gezogen seid: Simeon und Levi und Juda und Issaschar und Josef und Benjamin).</w:t>
      </w:r>
    </w:p>
    <w:p w14:paraId="4C0F1E9B" w14:textId="77777777" w:rsidR="00A709A3" w:rsidRDefault="00A709A3" w:rsidP="00A709A3">
      <w:pPr>
        <w:pStyle w:val="whitespace-normal"/>
      </w:pPr>
      <w:r>
        <w:rPr>
          <w:rStyle w:val="Fett"/>
          <w:rFonts w:eastAsiaTheme="majorEastAsia"/>
        </w:rPr>
        <w:t>Der Vers beschreibt:</w:t>
      </w:r>
      <w:r>
        <w:t xml:space="preserve"> Aufstellung für den Segen – sechs Stämme (Söhne von Lea und Rahel) auf dem Berg Gerisim.</w:t>
      </w:r>
    </w:p>
    <w:p w14:paraId="7B1610EC" w14:textId="77777777" w:rsidR="00A709A3" w:rsidRDefault="004F5CEB" w:rsidP="00A709A3">
      <w:r>
        <w:rPr>
          <w:noProof/>
        </w:rPr>
        <w:pict w14:anchorId="3D656CAD">
          <v:rect id="_x0000_i1726" style="width:0;height:1.5pt" o:hralign="center" o:hrstd="t" o:hr="t" fillcolor="#a0a0a0" stroked="f"/>
        </w:pict>
      </w:r>
    </w:p>
    <w:p w14:paraId="18942E2A" w14:textId="77777777" w:rsidR="00A709A3" w:rsidRPr="00B53ACC" w:rsidRDefault="00A709A3" w:rsidP="00B53ACC">
      <w:pPr>
        <w:pStyle w:val="Bibelberschrift"/>
      </w:pPr>
      <w:r w:rsidRPr="00B53ACC">
        <w:rPr>
          <w:rStyle w:val="Fett"/>
          <w:b/>
          <w:bCs w:val="0"/>
        </w:rPr>
        <w:t>Deuteronomium 27,13</w:t>
      </w:r>
    </w:p>
    <w:p w14:paraId="07BBC1A0" w14:textId="77777777" w:rsidR="00A709A3" w:rsidRDefault="00A709A3" w:rsidP="00A709A3">
      <w:pPr>
        <w:pStyle w:val="whitespace-normal"/>
      </w:pPr>
      <w:r>
        <w:rPr>
          <w:rStyle w:val="Fett"/>
          <w:rFonts w:eastAsiaTheme="majorEastAsia"/>
        </w:rPr>
        <w:t>Hebräisch:</w:t>
      </w:r>
      <w:r>
        <w:t xml:space="preserve"> </w:t>
      </w:r>
      <w:r>
        <w:rPr>
          <w:rtl/>
        </w:rPr>
        <w:t>וְאֵלֶּה יַֽעַמְדוּ עַל־הַקְּלָלָה בְּהַר עֵיבָל רְאוּבֵן גָּד וְאָשֵׁר וּזְבוּלֻן דָּן וְנַפְתָּלִֽי׃</w:t>
      </w:r>
    </w:p>
    <w:p w14:paraId="48FFCBB9" w14:textId="77777777" w:rsidR="00A709A3" w:rsidRDefault="00A709A3" w:rsidP="00A709A3">
      <w:pPr>
        <w:pStyle w:val="whitespace-normal"/>
      </w:pPr>
      <w:r>
        <w:rPr>
          <w:rStyle w:val="Fett"/>
          <w:rFonts w:eastAsiaTheme="majorEastAsia"/>
        </w:rPr>
        <w:t>Deutsch:</w:t>
      </w:r>
      <w:r>
        <w:t xml:space="preserve"> Und diese sollen stehen für den Fluch auf dem Berg Ebal: Ruben, Gad und Ascher und Sebulon, Dan und Naftali.</w:t>
      </w:r>
    </w:p>
    <w:p w14:paraId="183765AE" w14:textId="77777777" w:rsidR="00A709A3" w:rsidRDefault="004F5CEB" w:rsidP="00A709A3">
      <w:r>
        <w:rPr>
          <w:noProof/>
        </w:rPr>
        <w:pict w14:anchorId="770701A2">
          <v:rect id="_x0000_i1727" style="width:0;height:1.5pt" o:hralign="center" o:hrstd="t" o:hr="t" fillcolor="#a0a0a0" stroked="f"/>
        </w:pict>
      </w:r>
    </w:p>
    <w:p w14:paraId="20448626"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וְאֵלֶּה יַֽעַמְדוּ עַל־הַקְּלָלָה בְּהַר עֵיבָל רְאוּבֵן גָּד וְאָשֵׁר וּזְבוּלֻן דָּן וְנַפְתָּלִי</w:t>
      </w:r>
      <w:r>
        <w:rPr>
          <w:rtl/>
        </w:rPr>
        <w:t xml:space="preserve"> </w:t>
      </w:r>
      <w:r>
        <w:t xml:space="preserve">ist die parallele Anweisung: </w:t>
      </w:r>
      <w:r>
        <w:rPr>
          <w:rStyle w:val="Fett"/>
          <w:rFonts w:eastAsiaTheme="majorEastAsia"/>
          <w:rtl/>
        </w:rPr>
        <w:t>וְאֵלֶּה יַֽעַמְדוּ עַל־הַקְּלָלָה בְּהַר עֵיבָל</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אֵלֶּה</w:t>
      </w:r>
      <w:r>
        <w:t xml:space="preserve">, </w:t>
      </w:r>
      <w:r>
        <w:rPr>
          <w:rStyle w:val="Fett"/>
          <w:rFonts w:eastAsiaTheme="majorEastAsia"/>
          <w:rtl/>
        </w:rPr>
        <w:t>עמד</w:t>
      </w:r>
      <w:r>
        <w:rPr>
          <w:rtl/>
        </w:rPr>
        <w:t xml:space="preserve"> </w:t>
      </w:r>
      <w:r>
        <w:t xml:space="preserve">wie V. 12, Präposition </w:t>
      </w:r>
      <w:r>
        <w:rPr>
          <w:rStyle w:val="Fett"/>
          <w:rFonts w:eastAsiaTheme="majorEastAsia"/>
          <w:rtl/>
        </w:rPr>
        <w:t>עַל</w:t>
      </w:r>
      <w:r>
        <w:rPr>
          <w:rtl/>
        </w:rPr>
        <w:t xml:space="preserve"> </w:t>
      </w:r>
      <w:r>
        <w:t xml:space="preserve">mit </w:t>
      </w:r>
      <w:r>
        <w:rPr>
          <w:rStyle w:val="Fett"/>
          <w:rFonts w:eastAsiaTheme="majorEastAsia"/>
          <w:rtl/>
        </w:rPr>
        <w:t>קְלָלָה</w:t>
      </w:r>
      <w:r>
        <w:rPr>
          <w:rtl/>
        </w:rPr>
        <w:t xml:space="preserve"> </w:t>
      </w:r>
      <w:r>
        <w:t xml:space="preserve">mit Artikel, „Fluch", </w:t>
      </w:r>
      <w:r>
        <w:rPr>
          <w:rStyle w:val="Fett"/>
          <w:rFonts w:eastAsiaTheme="majorEastAsia"/>
          <w:rtl/>
        </w:rPr>
        <w:t>בְּהַר עֵיבָל</w:t>
      </w:r>
      <w:r>
        <w:t xml:space="preserve">), </w:t>
      </w:r>
      <w:r>
        <w:rPr>
          <w:rStyle w:val="Fett"/>
          <w:rFonts w:eastAsiaTheme="majorEastAsia"/>
          <w:rtl/>
        </w:rPr>
        <w:t>רְאוּבֵן גָּד וְאָשֵׁר וּזְבוּלֻן דָּן וְנַפְתָּלִי</w:t>
      </w:r>
      <w:r>
        <w:rPr>
          <w:rtl/>
        </w:rPr>
        <w:t xml:space="preserve"> </w:t>
      </w:r>
      <w:r>
        <w:t>(sechs Stammesnamen).</w:t>
      </w:r>
    </w:p>
    <w:p w14:paraId="7FDB33A5" w14:textId="77777777" w:rsidR="00A709A3" w:rsidRDefault="00A709A3" w:rsidP="00A709A3">
      <w:pPr>
        <w:pStyle w:val="whitespace-normal"/>
      </w:pPr>
      <w:r>
        <w:t xml:space="preserve">Der Vers beschreibt die Aufstellung der Stämme für den Fluch. Die Anweisung: </w:t>
      </w:r>
      <w:r>
        <w:rPr>
          <w:rStyle w:val="Fett"/>
          <w:rFonts w:eastAsiaTheme="majorEastAsia"/>
          <w:rtl/>
        </w:rPr>
        <w:t>וְאֵלֶּה יַֽעַמְדוּ עַל־הַקְּלָלָה בְּהַר עֵיבָל</w:t>
      </w:r>
      <w:r>
        <w:rPr>
          <w:rtl/>
        </w:rPr>
        <w:t xml:space="preserve"> </w:t>
      </w:r>
      <w:r>
        <w:t xml:space="preserve">(„und diese sollen stehen für den Fluch auf dem Berg Ebal"). Das Wort </w:t>
      </w:r>
      <w:r>
        <w:rPr>
          <w:rStyle w:val="Fett"/>
          <w:rFonts w:eastAsiaTheme="majorEastAsia"/>
          <w:rtl/>
        </w:rPr>
        <w:t>קְלָלָה</w:t>
      </w:r>
      <w:r>
        <w:rPr>
          <w:rtl/>
        </w:rPr>
        <w:t xml:space="preserve"> </w:t>
      </w:r>
      <w:r>
        <w:t xml:space="preserve">(„Fluch") steht im Gegensatz zu </w:t>
      </w:r>
      <w:r>
        <w:rPr>
          <w:rStyle w:val="Fett"/>
          <w:rFonts w:eastAsiaTheme="majorEastAsia"/>
          <w:rtl/>
        </w:rPr>
        <w:t>בְּרָכָה</w:t>
      </w:r>
      <w:r>
        <w:rPr>
          <w:rtl/>
        </w:rPr>
        <w:t xml:space="preserve"> </w:t>
      </w:r>
      <w:r>
        <w:t xml:space="preserve">(„Segen") aus V. 12. Die sechs Stämme für den Fluch: </w:t>
      </w:r>
      <w:r>
        <w:rPr>
          <w:rStyle w:val="Fett"/>
          <w:rFonts w:eastAsiaTheme="majorEastAsia"/>
          <w:rtl/>
        </w:rPr>
        <w:t>רְאוּבֵן גָּד וְאָשֵׁר וּזְבוּלֻן דָּן וְנַפְתָּלִי</w:t>
      </w:r>
      <w:r>
        <w:rPr>
          <w:rtl/>
        </w:rPr>
        <w:t xml:space="preserve"> </w:t>
      </w:r>
      <w:r>
        <w:t>(„Ruben, Gad und Ascher und Sebulon, Dan und Naftali"). Diese sechs Stämme umfassen: (1) Ruben – Erstgeborener, aber er verlor seine Vorrangstellung (Gen 35,22; 49,3-4). (2) Sebulon – Sohn Leas. (3) Gad, Ascher, Dan, Naftali – Söhne der Nebenfrauen (Silpa und Bilha). Die Aufteilung ist also nicht vollständig symmetrisch nach Müttern, aber die Hauptfrauen-Söhne stehen für den Segen. V. 14 wird die Rolle der Leviten präzisieren.</w:t>
      </w:r>
    </w:p>
    <w:p w14:paraId="17594AF6" w14:textId="77777777" w:rsidR="00A709A3" w:rsidRDefault="00A709A3" w:rsidP="00A709A3">
      <w:pPr>
        <w:pStyle w:val="whitespace-normal"/>
      </w:pPr>
      <w:r>
        <w:rPr>
          <w:rStyle w:val="Fett"/>
          <w:rFonts w:eastAsiaTheme="majorEastAsia"/>
        </w:rPr>
        <w:lastRenderedPageBreak/>
        <w:t>Die Satzstruktur:</w:t>
      </w:r>
      <w:r>
        <w:t xml:space="preserve"> Parallele Anweisung mit Namensliste (und diese sollen stehen für den Fluch auf dem Berg Ebal: Ruben, Gad und Ascher und Sebulon, Dan und Naftali).</w:t>
      </w:r>
    </w:p>
    <w:p w14:paraId="579D8952" w14:textId="77777777" w:rsidR="00A709A3" w:rsidRDefault="00A709A3" w:rsidP="00A709A3">
      <w:pPr>
        <w:pStyle w:val="whitespace-normal"/>
      </w:pPr>
      <w:r>
        <w:rPr>
          <w:rStyle w:val="Fett"/>
          <w:rFonts w:eastAsiaTheme="majorEastAsia"/>
        </w:rPr>
        <w:t>Der Vers beschreibt:</w:t>
      </w:r>
      <w:r>
        <w:t xml:space="preserve"> Aufstellung für den Fluch – sechs Stämme (einschließlich Söhne der Nebenfrauen) auf dem Berg Ebal.</w:t>
      </w:r>
    </w:p>
    <w:p w14:paraId="51A9F358" w14:textId="6FE59EA2" w:rsidR="00A709A3" w:rsidRDefault="00A709A3" w:rsidP="00A709A3"/>
    <w:p w14:paraId="7FE947AA" w14:textId="77777777" w:rsidR="00A709A3" w:rsidRPr="00A709A3" w:rsidRDefault="00A709A3" w:rsidP="0039595E">
      <w:pPr>
        <w:pStyle w:val="Bibelberschrift"/>
      </w:pPr>
      <w:r w:rsidRPr="00A709A3">
        <w:rPr>
          <w:rStyle w:val="Fett"/>
          <w:sz w:val="48"/>
          <w:szCs w:val="48"/>
        </w:rPr>
        <w:t>Deuteronomium 27,14</w:t>
      </w:r>
    </w:p>
    <w:p w14:paraId="336F36A6" w14:textId="77777777" w:rsidR="00A709A3" w:rsidRDefault="00A709A3" w:rsidP="00A709A3">
      <w:pPr>
        <w:pStyle w:val="whitespace-normal"/>
      </w:pPr>
      <w:r>
        <w:rPr>
          <w:rStyle w:val="Fett"/>
          <w:rFonts w:eastAsiaTheme="majorEastAsia"/>
        </w:rPr>
        <w:t>Hebräisch:</w:t>
      </w:r>
      <w:r>
        <w:t xml:space="preserve"> </w:t>
      </w:r>
      <w:r>
        <w:rPr>
          <w:rtl/>
        </w:rPr>
        <w:t>וְעָנוּ הַלְוִיִּם וְאָֽמְרוּ אֶל־כָּל־אִישׁ יִשְׂרָאֵל קוֹל רָֽם׃</w:t>
      </w:r>
    </w:p>
    <w:p w14:paraId="4C905BBD" w14:textId="77777777" w:rsidR="00A709A3" w:rsidRDefault="00A709A3" w:rsidP="00A709A3">
      <w:pPr>
        <w:pStyle w:val="whitespace-normal"/>
      </w:pPr>
      <w:r>
        <w:rPr>
          <w:rStyle w:val="Fett"/>
          <w:rFonts w:eastAsiaTheme="majorEastAsia"/>
        </w:rPr>
        <w:t>Deutsch:</w:t>
      </w:r>
      <w:r>
        <w:t xml:space="preserve"> Und die Leviten sollen anheben und sprechen zu allen Männern Israels mit erhobener Stimme:</w:t>
      </w:r>
    </w:p>
    <w:p w14:paraId="591C4EE8" w14:textId="77777777" w:rsidR="00A709A3" w:rsidRDefault="004F5CEB" w:rsidP="00A709A3">
      <w:r>
        <w:rPr>
          <w:noProof/>
        </w:rPr>
        <w:pict w14:anchorId="60C7CE97">
          <v:rect id="_x0000_i1728" style="width:0;height:1.5pt" o:hralign="center" o:hrstd="t" o:hr="t" fillcolor="#a0a0a0" stroked="f"/>
        </w:pict>
      </w:r>
    </w:p>
    <w:p w14:paraId="2E0BEDAE"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וְעָנוּ הַלְוִיִּם וְאָֽמְרוּ אֶל־כָּל־אִישׁ יִשְׂרָאֵל קוֹל רָם</w:t>
      </w:r>
      <w:r>
        <w:rPr>
          <w:rtl/>
        </w:rPr>
        <w:t xml:space="preserve"> </w:t>
      </w:r>
      <w:r>
        <w:t xml:space="preserve">ist eine Anweisung: </w:t>
      </w:r>
      <w:r>
        <w:rPr>
          <w:rStyle w:val="Fett"/>
          <w:rFonts w:eastAsiaTheme="majorEastAsia"/>
          <w:rtl/>
        </w:rPr>
        <w:t>וְעָנוּ הַלְוִיִּם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ענה</w:t>
      </w:r>
      <w:r>
        <w:t xml:space="preserve">, Qal Perfekt, 3. Person Plural, „antworten, anheben [die Stimme]", </w:t>
      </w:r>
      <w:r>
        <w:rPr>
          <w:rStyle w:val="Fett"/>
          <w:rFonts w:eastAsiaTheme="majorEastAsia"/>
          <w:rtl/>
        </w:rPr>
        <w:t>לֵוִי</w:t>
      </w:r>
      <w:r>
        <w:rPr>
          <w:rtl/>
        </w:rPr>
        <w:t xml:space="preserve"> </w:t>
      </w:r>
      <w:r>
        <w:t xml:space="preserve">Plural mit Artikel als Subjekt, mit </w:t>
      </w:r>
      <w:r>
        <w:rPr>
          <w:rStyle w:val="Fett"/>
          <w:rFonts w:eastAsiaTheme="majorEastAsia"/>
        </w:rPr>
        <w:t>Waw</w:t>
      </w:r>
      <w:r>
        <w:t xml:space="preserve"> consecutives Perfekt), </w:t>
      </w:r>
      <w:r>
        <w:rPr>
          <w:rStyle w:val="Fett"/>
          <w:rFonts w:eastAsiaTheme="majorEastAsia"/>
          <w:rtl/>
        </w:rPr>
        <w:t>וְאָֽמְרוּ אֶל־כָּל־אִישׁ יִשְׂרָאֵל קוֹל רָם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אמר</w:t>
      </w:r>
      <w:r>
        <w:t xml:space="preserve">, Qal Perfekt, 3. Person Plural, Präposition </w:t>
      </w:r>
      <w:r>
        <w:rPr>
          <w:rStyle w:val="Fett"/>
          <w:rFonts w:eastAsiaTheme="majorEastAsia"/>
          <w:rtl/>
        </w:rPr>
        <w:t>אֶל</w:t>
      </w:r>
      <w:r>
        <w:rPr>
          <w:rtl/>
        </w:rPr>
        <w:t xml:space="preserve"> </w:t>
      </w:r>
      <w:r>
        <w:t xml:space="preserve">mit </w:t>
      </w:r>
      <w:r>
        <w:rPr>
          <w:rStyle w:val="Fett"/>
          <w:rFonts w:eastAsiaTheme="majorEastAsia"/>
          <w:rtl/>
        </w:rPr>
        <w:t>כָּל־אִישׁ יִשְׂרָאֵל</w:t>
      </w:r>
      <w:r>
        <w:t xml:space="preserve">, </w:t>
      </w:r>
      <w:r>
        <w:rPr>
          <w:rStyle w:val="Fett"/>
          <w:rFonts w:eastAsiaTheme="majorEastAsia"/>
          <w:rtl/>
        </w:rPr>
        <w:t>קוֹל רָם</w:t>
      </w:r>
      <w:r>
        <w:t xml:space="preserve">, „erhobene/laute Stimme", mit </w:t>
      </w:r>
      <w:r>
        <w:rPr>
          <w:rStyle w:val="Fett"/>
          <w:rFonts w:eastAsiaTheme="majorEastAsia"/>
        </w:rPr>
        <w:t>Waw</w:t>
      </w:r>
      <w:r>
        <w:t xml:space="preserve"> consecutives Perfekt).</w:t>
      </w:r>
    </w:p>
    <w:p w14:paraId="1AA9E60F" w14:textId="61AD9548" w:rsidR="00A709A3" w:rsidRDefault="00A709A3" w:rsidP="00A709A3">
      <w:pPr>
        <w:pStyle w:val="whitespace-normal"/>
      </w:pPr>
      <w:r>
        <w:t xml:space="preserve">Der Vers beschreibt die Rolle der Leviten. Die Anweisung: </w:t>
      </w:r>
      <w:r>
        <w:rPr>
          <w:rStyle w:val="Fett"/>
          <w:rFonts w:eastAsiaTheme="majorEastAsia"/>
          <w:rtl/>
        </w:rPr>
        <w:t>וְעָנוּ הַלְוִיִּם וְאָֽמְרוּ אֶל־כָּל־אִישׁ יִשְׂרָאֵל קוֹל רָם</w:t>
      </w:r>
      <w:r>
        <w:rPr>
          <w:rtl/>
        </w:rPr>
        <w:t xml:space="preserve"> </w:t>
      </w:r>
      <w:r>
        <w:t xml:space="preserve">(„und die Leviten sollen anheben und sprechen zu allen Männern Israels mit erhobener Stimme"). Die </w:t>
      </w:r>
      <w:r>
        <w:rPr>
          <w:rStyle w:val="Fett"/>
          <w:rFonts w:eastAsiaTheme="majorEastAsia"/>
          <w:rtl/>
        </w:rPr>
        <w:t>לְוִיִּם</w:t>
      </w:r>
      <w:r>
        <w:rPr>
          <w:rtl/>
        </w:rPr>
        <w:t xml:space="preserve"> </w:t>
      </w:r>
      <w:r>
        <w:t xml:space="preserve">(„Leviten") fungieren als liturgische Sprecher – sie verkünden die Flüche. Die Formulierung </w:t>
      </w:r>
      <w:r>
        <w:rPr>
          <w:rStyle w:val="Fett"/>
          <w:rFonts w:eastAsiaTheme="majorEastAsia"/>
          <w:rtl/>
        </w:rPr>
        <w:t>אֶל־כָּל־אִישׁ יִשְׂרָאֵל</w:t>
      </w:r>
      <w:r>
        <w:rPr>
          <w:rtl/>
        </w:rPr>
        <w:t xml:space="preserve"> </w:t>
      </w:r>
      <w:r>
        <w:t xml:space="preserve">(„zu allen Männern Israels") betont die Adressaten. Die Wendung </w:t>
      </w:r>
      <w:r>
        <w:rPr>
          <w:rStyle w:val="Fett"/>
          <w:rFonts w:eastAsiaTheme="majorEastAsia"/>
          <w:rtl/>
        </w:rPr>
        <w:t>קוֹל רָם</w:t>
      </w:r>
      <w:r>
        <w:rPr>
          <w:rtl/>
        </w:rPr>
        <w:t xml:space="preserve"> </w:t>
      </w:r>
      <w:r>
        <w:t xml:space="preserve">(„erhobene/laute Stimme") – laut genug, dass alle es hören können. Die </w:t>
      </w:r>
      <w:r>
        <w:rPr>
          <w:rStyle w:val="Fett"/>
          <w:rFonts w:eastAsiaTheme="majorEastAsia"/>
        </w:rPr>
        <w:t>Setumah</w:t>
      </w:r>
      <w:r>
        <w:t xml:space="preserve"> (</w:t>
      </w:r>
      <w:r>
        <w:rPr>
          <w:rtl/>
        </w:rPr>
        <w:t>ס</w:t>
      </w:r>
      <w:r>
        <w:t>) markiert das Ende der Einleitung. V. 15-26 geben die zwölf Flüche.</w:t>
      </w:r>
    </w:p>
    <w:p w14:paraId="5B44E5D0" w14:textId="5951BB03" w:rsidR="001A04EF" w:rsidRDefault="001A04EF" w:rsidP="00A709A3">
      <w:pPr>
        <w:pStyle w:val="whitespace-normal"/>
      </w:pPr>
      <w:r>
        <w:rPr>
          <w:rStyle w:val="Fett"/>
        </w:rPr>
        <w:t>Die LXX</w:t>
      </w:r>
      <w:r>
        <w:t xml:space="preserve"> fügt ἀπ</w:t>
      </w:r>
      <w:proofErr w:type="spellStart"/>
      <w:r>
        <w:t>οκριθέντες</w:t>
      </w:r>
      <w:proofErr w:type="spellEnd"/>
      <w:r>
        <w:t xml:space="preserve"> (antwortend) hinzu – ein Partizip, das im MT nicht vorhanden ist. Das Verb </w:t>
      </w:r>
      <w:proofErr w:type="spellStart"/>
      <w:r>
        <w:t>ἐροῦσιν</w:t>
      </w:r>
      <w:proofErr w:type="spellEnd"/>
      <w:r>
        <w:t xml:space="preserve"> (sie werden sagen) für </w:t>
      </w:r>
      <w:r>
        <w:rPr>
          <w:rtl/>
        </w:rPr>
        <w:t>וְאָמְרוּ</w:t>
      </w:r>
      <w:r>
        <w:t xml:space="preserve"> ist Futur statt Perfekt.</w:t>
      </w:r>
    </w:p>
    <w:p w14:paraId="02EB899F" w14:textId="77777777" w:rsidR="00A709A3" w:rsidRDefault="00A709A3" w:rsidP="00A709A3">
      <w:pPr>
        <w:pStyle w:val="whitespace-normal"/>
      </w:pPr>
      <w:r>
        <w:rPr>
          <w:rStyle w:val="Fett"/>
          <w:rFonts w:eastAsiaTheme="majorEastAsia"/>
        </w:rPr>
        <w:t>Die Satzstruktur:</w:t>
      </w:r>
      <w:r>
        <w:t xml:space="preserve"> Anweisung (und die Leviten sollen anheben und sprechen zu allen Männern Israels mit erhobener Stimme).</w:t>
      </w:r>
    </w:p>
    <w:p w14:paraId="210B46C5" w14:textId="77777777" w:rsidR="00A709A3" w:rsidRDefault="00A709A3" w:rsidP="00A709A3">
      <w:pPr>
        <w:pStyle w:val="whitespace-normal"/>
      </w:pPr>
      <w:r>
        <w:rPr>
          <w:rStyle w:val="Fett"/>
          <w:rFonts w:eastAsiaTheme="majorEastAsia"/>
        </w:rPr>
        <w:t>Der Vers beschreibt:</w:t>
      </w:r>
      <w:r>
        <w:t xml:space="preserve"> Rolle der Leviten – sie verkünden die Flüche laut vor ganz Israel.</w:t>
      </w:r>
    </w:p>
    <w:p w14:paraId="48A6BB46" w14:textId="57039FF1" w:rsidR="00A709A3" w:rsidRDefault="00A709A3" w:rsidP="00A709A3"/>
    <w:p w14:paraId="3F6B56C1" w14:textId="77777777" w:rsidR="00A709A3" w:rsidRPr="00B53ACC" w:rsidRDefault="00A709A3" w:rsidP="0039595E">
      <w:pPr>
        <w:pStyle w:val="Bibelberschrift"/>
      </w:pPr>
      <w:r w:rsidRPr="00B53ACC">
        <w:rPr>
          <w:rStyle w:val="Fett"/>
          <w:b/>
          <w:bCs w:val="0"/>
        </w:rPr>
        <w:t>Deuteronomium 27,15</w:t>
      </w:r>
    </w:p>
    <w:p w14:paraId="13EBFA4A" w14:textId="77777777" w:rsidR="00A709A3" w:rsidRDefault="00A709A3" w:rsidP="00A709A3">
      <w:pPr>
        <w:pStyle w:val="whitespace-normal"/>
      </w:pPr>
      <w:r>
        <w:rPr>
          <w:rStyle w:val="Fett"/>
          <w:rFonts w:eastAsiaTheme="majorEastAsia"/>
        </w:rPr>
        <w:t>Hebräisch:</w:t>
      </w:r>
      <w:r>
        <w:t xml:space="preserve"> </w:t>
      </w:r>
      <w:r>
        <w:rPr>
          <w:rtl/>
        </w:rPr>
        <w:t>אָרוּר הָאִישׁ אֲשֶׁר יַעֲשֶׂה פֶסֶל וּמַסֵּכָה תּוֹעֲבַת יְהוָה מַעֲשֵׂה יְדֵי חָרָשׁ וְשָׂם בַּסָּתֶר וְעָנוּ כָל־הָעָם וְאָמְרוּ אָמֵֽן׃</w:t>
      </w:r>
    </w:p>
    <w:p w14:paraId="5EEDA9FE" w14:textId="77777777" w:rsidR="00A709A3" w:rsidRDefault="00A709A3" w:rsidP="00A709A3">
      <w:pPr>
        <w:pStyle w:val="whitespace-normal"/>
      </w:pPr>
      <w:r>
        <w:rPr>
          <w:rStyle w:val="Fett"/>
          <w:rFonts w:eastAsiaTheme="majorEastAsia"/>
        </w:rPr>
        <w:lastRenderedPageBreak/>
        <w:t>Deutsch:</w:t>
      </w:r>
      <w:r>
        <w:t xml:space="preserve"> Verflucht sei der Mann, der ein geschnitztes oder gegossenes Bild macht, einen Gräuel für JHWH, ein Werk von Künstlerhand, und es im Verborgenen aufstellt! Und das ganze Volk soll antworten und sagen: Amen!</w:t>
      </w:r>
    </w:p>
    <w:p w14:paraId="5E9F6F8E" w14:textId="77777777" w:rsidR="00A709A3" w:rsidRDefault="004F5CEB" w:rsidP="00A709A3">
      <w:r>
        <w:rPr>
          <w:noProof/>
        </w:rPr>
        <w:pict w14:anchorId="70568937">
          <v:rect id="_x0000_i1729" style="width:0;height:1.5pt" o:hralign="center" o:hrstd="t" o:hr="t" fillcolor="#a0a0a0" stroked="f"/>
        </w:pict>
      </w:r>
    </w:p>
    <w:p w14:paraId="25878536"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אָרוּר הָאִישׁ אֲשֶׁר יַעֲשֶׂה פֶסֶל וּמַסֵּכָה תּוֹעֲבַת יְהוָה מַעֲשֵׂה יְדֵי חָרָשׁ וְשָׂם בַּסָּתֶר וְעָנוּ כָל־הָעָם וְאָמְרוּ אָמֵן</w:t>
      </w:r>
      <w:r>
        <w:rPr>
          <w:rtl/>
        </w:rPr>
        <w:t xml:space="preserve"> </w:t>
      </w:r>
      <w:r>
        <w:t xml:space="preserve">ist der erste Fluch mit Antwort: </w:t>
      </w:r>
      <w:r>
        <w:rPr>
          <w:rStyle w:val="Fett"/>
          <w:rFonts w:eastAsiaTheme="majorEastAsia"/>
          <w:rtl/>
        </w:rPr>
        <w:t>אָרוּר הָאִישׁ אֲשֶׁר יַעֲשֶׂה פֶסֶל וּמַסֵּכָה תּוֹעֲבַת יְהוָה מַעֲשֵׂה יְדֵי חָרָשׁ וְשָׂם בַּסָּתֶר</w:t>
      </w:r>
      <w:r>
        <w:rPr>
          <w:rtl/>
        </w:rPr>
        <w:t xml:space="preserve"> </w:t>
      </w:r>
      <w:r>
        <w:t>(</w:t>
      </w:r>
      <w:r>
        <w:rPr>
          <w:rStyle w:val="Fett"/>
          <w:rFonts w:eastAsiaTheme="majorEastAsia"/>
          <w:rtl/>
        </w:rPr>
        <w:t>אָרוּר</w:t>
      </w:r>
      <w:r>
        <w:t xml:space="preserve">, Qal Passiv Partizip von </w:t>
      </w:r>
      <w:r>
        <w:rPr>
          <w:rStyle w:val="Fett"/>
          <w:rFonts w:eastAsiaTheme="majorEastAsia"/>
          <w:rtl/>
        </w:rPr>
        <w:t>ארר</w:t>
      </w:r>
      <w:r>
        <w:t xml:space="preserve">, „verflucht", </w:t>
      </w:r>
      <w:r>
        <w:rPr>
          <w:rStyle w:val="Fett"/>
          <w:rFonts w:eastAsiaTheme="majorEastAsia"/>
          <w:rtl/>
        </w:rPr>
        <w:t>אִישׁ</w:t>
      </w:r>
      <w:r>
        <w:rPr>
          <w:rtl/>
        </w:rPr>
        <w:t xml:space="preserve"> </w:t>
      </w:r>
      <w:r>
        <w:t xml:space="preserve">mit Artikel, Relativsatz: </w:t>
      </w:r>
      <w:r>
        <w:rPr>
          <w:rStyle w:val="Fett"/>
          <w:rFonts w:eastAsiaTheme="majorEastAsia"/>
          <w:rtl/>
        </w:rPr>
        <w:t>אֲשֶׁר יַעֲשֶׂה פֶסֶל וּמַסֵּכָה</w:t>
      </w:r>
      <w:r>
        <w:rPr>
          <w:rtl/>
        </w:rPr>
        <w:t xml:space="preserve"> </w:t>
      </w:r>
      <w:r>
        <w:t xml:space="preserve">mit </w:t>
      </w:r>
      <w:r>
        <w:rPr>
          <w:rStyle w:val="Fett"/>
          <w:rFonts w:eastAsiaTheme="majorEastAsia"/>
          <w:rtl/>
        </w:rPr>
        <w:t>עשׂה</w:t>
      </w:r>
      <w:r>
        <w:t xml:space="preserve">, Qal Imperfekt, 3. Person Maskulinum Singular, </w:t>
      </w:r>
      <w:r>
        <w:rPr>
          <w:rStyle w:val="Fett"/>
          <w:rFonts w:eastAsiaTheme="majorEastAsia"/>
          <w:rtl/>
        </w:rPr>
        <w:t>פֶּסֶל</w:t>
      </w:r>
      <w:r>
        <w:t xml:space="preserve">, „geschnitztes Bild, Götzenbild", koordiniert durch </w:t>
      </w:r>
      <w:r>
        <w:rPr>
          <w:rStyle w:val="Fett"/>
          <w:rFonts w:eastAsiaTheme="majorEastAsia"/>
          <w:rtl/>
        </w:rPr>
        <w:t>וּ</w:t>
      </w:r>
      <w:r>
        <w:rPr>
          <w:rtl/>
        </w:rPr>
        <w:t xml:space="preserve"> </w:t>
      </w:r>
      <w:r>
        <w:t xml:space="preserve">mit </w:t>
      </w:r>
      <w:r>
        <w:rPr>
          <w:rStyle w:val="Fett"/>
          <w:rFonts w:eastAsiaTheme="majorEastAsia"/>
          <w:rtl/>
        </w:rPr>
        <w:t>מַסֵּכָה</w:t>
      </w:r>
      <w:r>
        <w:t xml:space="preserve">, „gegossenes Bild", Appositionen: </w:t>
      </w:r>
      <w:r>
        <w:rPr>
          <w:rStyle w:val="Fett"/>
          <w:rFonts w:eastAsiaTheme="majorEastAsia"/>
          <w:rtl/>
        </w:rPr>
        <w:t>תּוֹעֲבַת יְהוָה מַעֲשֵׂה יְדֵי חָרָשׁ</w:t>
      </w:r>
      <w:r>
        <w:t xml:space="preserve">, koordiniert durch </w:t>
      </w:r>
      <w:r>
        <w:rPr>
          <w:rStyle w:val="Fett"/>
          <w:rFonts w:eastAsiaTheme="majorEastAsia"/>
          <w:rtl/>
        </w:rPr>
        <w:t>וְ</w:t>
      </w:r>
      <w:r>
        <w:rPr>
          <w:rtl/>
        </w:rPr>
        <w:t xml:space="preserve"> </w:t>
      </w:r>
      <w:r>
        <w:t xml:space="preserve">mit </w:t>
      </w:r>
      <w:r>
        <w:rPr>
          <w:rStyle w:val="Fett"/>
          <w:rFonts w:eastAsiaTheme="majorEastAsia"/>
          <w:rtl/>
        </w:rPr>
        <w:t>שׂים</w:t>
      </w:r>
      <w:r>
        <w:t xml:space="preserve">, Qal Perfekt, 3. Person Maskulinum Singular, </w:t>
      </w:r>
      <w:r>
        <w:rPr>
          <w:rStyle w:val="Fett"/>
          <w:rFonts w:eastAsiaTheme="majorEastAsia"/>
          <w:rtl/>
        </w:rPr>
        <w:t>בַּסָּתֶר</w:t>
      </w:r>
      <w:r>
        <w:t xml:space="preserve">, „im Verborgenen", mit </w:t>
      </w:r>
      <w:r>
        <w:rPr>
          <w:rStyle w:val="Fett"/>
          <w:rFonts w:eastAsiaTheme="majorEastAsia"/>
        </w:rPr>
        <w:t>Waw</w:t>
      </w:r>
      <w:r>
        <w:t xml:space="preserve"> consecutives Perfekt), </w:t>
      </w:r>
      <w:r>
        <w:rPr>
          <w:rStyle w:val="Fett"/>
          <w:rFonts w:eastAsiaTheme="majorEastAsia"/>
          <w:rtl/>
        </w:rPr>
        <w:t>וְעָנוּ כָל־הָעָם וְאָמְרוּ אָמֵן</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ענה</w:t>
      </w:r>
      <w:r>
        <w:t xml:space="preserve">, Qal Perfekt, 3. Person Plural, </w:t>
      </w:r>
      <w:r>
        <w:rPr>
          <w:rStyle w:val="Fett"/>
          <w:rFonts w:eastAsiaTheme="majorEastAsia"/>
          <w:rtl/>
        </w:rPr>
        <w:t>כָּל־הָעָם</w:t>
      </w:r>
      <w:r>
        <w:rPr>
          <w:rtl/>
        </w:rPr>
        <w:t xml:space="preserve"> </w:t>
      </w:r>
      <w:r>
        <w:t xml:space="preserve">als Subjekt, koordiniert durch </w:t>
      </w:r>
      <w:r>
        <w:rPr>
          <w:rStyle w:val="Fett"/>
          <w:rFonts w:eastAsiaTheme="majorEastAsia"/>
          <w:rtl/>
        </w:rPr>
        <w:t>וְ</w:t>
      </w:r>
      <w:r>
        <w:rPr>
          <w:rtl/>
        </w:rPr>
        <w:t xml:space="preserve"> </w:t>
      </w:r>
      <w:r>
        <w:t xml:space="preserve">mit </w:t>
      </w:r>
      <w:r>
        <w:rPr>
          <w:rStyle w:val="Fett"/>
          <w:rFonts w:eastAsiaTheme="majorEastAsia"/>
          <w:rtl/>
        </w:rPr>
        <w:t>אמר</w:t>
      </w:r>
      <w:r>
        <w:t xml:space="preserve">, Qal Perfekt, 3. Person Plural, </w:t>
      </w:r>
      <w:r>
        <w:rPr>
          <w:rStyle w:val="Fett"/>
          <w:rFonts w:eastAsiaTheme="majorEastAsia"/>
          <w:rtl/>
        </w:rPr>
        <w:t>אָמֵן</w:t>
      </w:r>
      <w:r>
        <w:t xml:space="preserve">, „Amen, so sei es", mit </w:t>
      </w:r>
      <w:r>
        <w:rPr>
          <w:rStyle w:val="Fett"/>
          <w:rFonts w:eastAsiaTheme="majorEastAsia"/>
        </w:rPr>
        <w:t>Waw</w:t>
      </w:r>
      <w:r>
        <w:t xml:space="preserve"> consecutives Perfekt).</w:t>
      </w:r>
    </w:p>
    <w:p w14:paraId="5B0E2E4D" w14:textId="61E62ADE" w:rsidR="00A709A3" w:rsidRDefault="00A709A3" w:rsidP="00A709A3">
      <w:pPr>
        <w:pStyle w:val="whitespace-normal"/>
      </w:pPr>
      <w:r>
        <w:t xml:space="preserve">Der erste Fluch betrifft Götzendienst. Der Fluch: </w:t>
      </w:r>
      <w:r>
        <w:rPr>
          <w:rStyle w:val="Fett"/>
          <w:rFonts w:eastAsiaTheme="majorEastAsia"/>
          <w:rtl/>
        </w:rPr>
        <w:t>אָרוּר הָאִישׁ אֲשֶׁר יַעֲשֶׂה פֶסֶל וּמַסֵּכָה תּוֹעֲבַת יְהוָה מַעֲשֵׂה יְדֵי חָרָשׁ וְשָׂם בַּסָּתֶר</w:t>
      </w:r>
      <w:r>
        <w:rPr>
          <w:rtl/>
        </w:rPr>
        <w:t xml:space="preserve"> </w:t>
      </w:r>
      <w:r>
        <w:t xml:space="preserve">(„verflucht sei der Mann, der macht ein geschnitztes oder gegossenes Bild, einen Gräuel für JHWH, ein Werk von Künstlerhand, und aufstellt es im Verborgenen"). Das Partizip </w:t>
      </w:r>
      <w:r>
        <w:rPr>
          <w:rStyle w:val="Fett"/>
          <w:rFonts w:eastAsiaTheme="majorEastAsia"/>
          <w:rtl/>
        </w:rPr>
        <w:t>אָרוּר</w:t>
      </w:r>
      <w:r>
        <w:rPr>
          <w:rtl/>
        </w:rPr>
        <w:t xml:space="preserve"> </w:t>
      </w:r>
      <w:r>
        <w:t xml:space="preserve">(„verflucht") leitet alle zwölf Flüche ein. Die beiden Begriffe </w:t>
      </w:r>
      <w:r>
        <w:rPr>
          <w:rStyle w:val="Fett"/>
          <w:rFonts w:eastAsiaTheme="majorEastAsia"/>
          <w:rtl/>
        </w:rPr>
        <w:t>פֶּסֶל וּמַסֵּכָה</w:t>
      </w:r>
      <w:r>
        <w:rPr>
          <w:rtl/>
        </w:rPr>
        <w:t xml:space="preserve"> </w:t>
      </w:r>
      <w:r>
        <w:t xml:space="preserve">(„geschnitztes oder gegossenes Bild") umfassen alle Arten von Götzenbildern. Die doppelte Apposition </w:t>
      </w:r>
      <w:r>
        <w:rPr>
          <w:rStyle w:val="Fett"/>
          <w:rFonts w:eastAsiaTheme="majorEastAsia"/>
          <w:rtl/>
        </w:rPr>
        <w:t>תּוֹעֲבַת יְהוָה מַעֲשֵׂה יְדֵי חָרָשׁ</w:t>
      </w:r>
      <w:r>
        <w:rPr>
          <w:rtl/>
        </w:rPr>
        <w:t xml:space="preserve"> </w:t>
      </w:r>
      <w:r>
        <w:t xml:space="preserve">(„ein Gräuel für JHWH, ein Werk von Künstlerhand") betont die Verwerflichkeit. Die Wendung </w:t>
      </w:r>
      <w:r>
        <w:rPr>
          <w:rStyle w:val="Fett"/>
          <w:rFonts w:eastAsiaTheme="majorEastAsia"/>
          <w:rtl/>
        </w:rPr>
        <w:t>וְשָׂם בַּסָּתֶר</w:t>
      </w:r>
      <w:r>
        <w:rPr>
          <w:rtl/>
        </w:rPr>
        <w:t xml:space="preserve"> </w:t>
      </w:r>
      <w:r>
        <w:t xml:space="preserve">(„und aufstellt es im Verborgenen") ist bemerkenswert – der Götzendienst wird heimlich praktiziert, ist also schwer zu entdecken und zu bestrafen durch menschliche Gerichte. Die Antwort: </w:t>
      </w:r>
      <w:r>
        <w:rPr>
          <w:rStyle w:val="Fett"/>
          <w:rFonts w:eastAsiaTheme="majorEastAsia"/>
          <w:rtl/>
        </w:rPr>
        <w:t>וְעָנוּ כָל־הָעָם וְאָמְרוּ אָמֵן</w:t>
      </w:r>
      <w:r>
        <w:rPr>
          <w:rtl/>
        </w:rPr>
        <w:t xml:space="preserve"> </w:t>
      </w:r>
      <w:r>
        <w:t xml:space="preserve">(„und antworten soll das ganze Volk und sagen: Amen"). Das Wort </w:t>
      </w:r>
      <w:r>
        <w:rPr>
          <w:rStyle w:val="Fett"/>
          <w:rFonts w:eastAsiaTheme="majorEastAsia"/>
          <w:rtl/>
        </w:rPr>
        <w:t>אָמֵן</w:t>
      </w:r>
      <w:r>
        <w:rPr>
          <w:rtl/>
        </w:rPr>
        <w:t xml:space="preserve"> </w:t>
      </w:r>
      <w:r>
        <w:t xml:space="preserve">(„Amen, so sei es, fürwahr") ist eine Bekräftigung – das Volk stimmt dem Fluch zu. Diese Struktur wiederholt sich bei allen zwölf Flüchen. Die </w:t>
      </w:r>
      <w:r>
        <w:rPr>
          <w:rStyle w:val="Fett"/>
          <w:rFonts w:eastAsiaTheme="majorEastAsia"/>
        </w:rPr>
        <w:t>Setumah</w:t>
      </w:r>
      <w:r>
        <w:t xml:space="preserve"> (</w:t>
      </w:r>
      <w:r>
        <w:rPr>
          <w:rtl/>
        </w:rPr>
        <w:t>ס</w:t>
      </w:r>
      <w:r>
        <w:t>) nach jedem Fluch markiert die liturgische Struktur.</w:t>
      </w:r>
    </w:p>
    <w:p w14:paraId="56077551" w14:textId="3AE94716" w:rsidR="001A04EF" w:rsidRDefault="001A04EF" w:rsidP="00A709A3">
      <w:pPr>
        <w:pStyle w:val="whitespace-normal"/>
      </w:pPr>
      <w:r>
        <w:rPr>
          <w:rStyle w:val="Fett"/>
        </w:rPr>
        <w:t>Die LXX</w:t>
      </w:r>
      <w:r>
        <w:t xml:space="preserve"> übersetzt </w:t>
      </w:r>
      <w:r>
        <w:rPr>
          <w:rtl/>
        </w:rPr>
        <w:t>אָרוּר</w:t>
      </w:r>
      <w:r>
        <w:t xml:space="preserve"> (verflucht) mit Ἐπ</w:t>
      </w:r>
      <w:proofErr w:type="spellStart"/>
      <w:r>
        <w:t>ικ</w:t>
      </w:r>
      <w:proofErr w:type="spellEnd"/>
      <w:r>
        <w:t xml:space="preserve">ατάρατος (verflucht) – ein zusammengesetztes Adjektiv, das in der LXX standardmäßig für </w:t>
      </w:r>
      <w:r>
        <w:rPr>
          <w:rtl/>
        </w:rPr>
        <w:t>אָרוּר</w:t>
      </w:r>
      <w:r>
        <w:t xml:space="preserve"> verwendet wird. Der Begriff </w:t>
      </w:r>
      <w:proofErr w:type="spellStart"/>
      <w:r>
        <w:t>γλυ</w:t>
      </w:r>
      <w:proofErr w:type="spellEnd"/>
      <w:r>
        <w:t xml:space="preserve">πτὸν καὶ </w:t>
      </w:r>
      <w:proofErr w:type="spellStart"/>
      <w:r>
        <w:t>χωνευτόν</w:t>
      </w:r>
      <w:proofErr w:type="spellEnd"/>
      <w:r>
        <w:t xml:space="preserve"> (Geschnitztes und Gegossenes) für </w:t>
      </w:r>
      <w:r>
        <w:rPr>
          <w:rtl/>
        </w:rPr>
        <w:t>פֶסֶל וּמַסֵּכָה</w:t>
      </w:r>
      <w:r>
        <w:t xml:space="preserve"> ist die standardmäßige LXX-Übersetzung für Götzenbilder. </w:t>
      </w:r>
      <w:r>
        <w:rPr>
          <w:rStyle w:val="Fett"/>
        </w:rPr>
        <w:t>Die LXX</w:t>
      </w:r>
      <w:r>
        <w:t xml:space="preserve"> übersetzt </w:t>
      </w:r>
      <w:r>
        <w:rPr>
          <w:rtl/>
        </w:rPr>
        <w:t>אָמֵן</w:t>
      </w:r>
      <w:r>
        <w:t xml:space="preserve"> mit </w:t>
      </w:r>
      <w:proofErr w:type="spellStart"/>
      <w:r>
        <w:t>Γένοιτο</w:t>
      </w:r>
      <w:proofErr w:type="spellEnd"/>
      <w:r>
        <w:t xml:space="preserve"> (Es geschehe) – ein Optativ, der Zustimmung und Wunsch ausdrückt. Dies ist eine der bemerkenswertesten Übersetzungen in diesem Kapitel, da das hebräische </w:t>
      </w:r>
      <w:r>
        <w:rPr>
          <w:rtl/>
        </w:rPr>
        <w:t>אָמֵן</w:t>
      </w:r>
      <w:r>
        <w:t xml:space="preserve"> (Amen) durch eine griechische Entsprechung ersetzt wird.</w:t>
      </w:r>
    </w:p>
    <w:p w14:paraId="4A1316F7" w14:textId="77777777" w:rsidR="00A709A3" w:rsidRDefault="00A709A3" w:rsidP="00A709A3">
      <w:pPr>
        <w:pStyle w:val="whitespace-normal"/>
      </w:pPr>
      <w:r>
        <w:rPr>
          <w:rStyle w:val="Fett"/>
          <w:rFonts w:eastAsiaTheme="majorEastAsia"/>
        </w:rPr>
        <w:t>Die Satzstruktur:</w:t>
      </w:r>
      <w:r>
        <w:t xml:space="preserve"> Fluch mit Volksantwort (verflucht sei der Mann, der macht ein geschnitztes oder gegossenes Bild, einen Gräuel für JHWH, ein Werk von Künstlerhand, und aufstellt es im Verborgenen; und antworten soll das ganze Volk und sagen: Amen).</w:t>
      </w:r>
    </w:p>
    <w:p w14:paraId="5964D726" w14:textId="77777777" w:rsidR="00A709A3" w:rsidRDefault="00A709A3" w:rsidP="00A709A3">
      <w:pPr>
        <w:pStyle w:val="whitespace-normal"/>
      </w:pPr>
      <w:r>
        <w:rPr>
          <w:rStyle w:val="Fett"/>
          <w:rFonts w:eastAsiaTheme="majorEastAsia"/>
        </w:rPr>
        <w:t>Der Vers beschreibt:</w:t>
      </w:r>
      <w:r>
        <w:t xml:space="preserve"> Erster Fluch – gegen heimlichen Götzendienst.</w:t>
      </w:r>
    </w:p>
    <w:p w14:paraId="7FCFEB7C" w14:textId="77777777" w:rsidR="00A709A3" w:rsidRPr="00B53ACC" w:rsidRDefault="00A709A3" w:rsidP="0039595E">
      <w:pPr>
        <w:pStyle w:val="Bibelberschrift"/>
      </w:pPr>
      <w:r w:rsidRPr="00B53ACC">
        <w:rPr>
          <w:rStyle w:val="Fett"/>
          <w:b/>
          <w:bCs w:val="0"/>
        </w:rPr>
        <w:t>Deuteronomium 27,16</w:t>
      </w:r>
    </w:p>
    <w:p w14:paraId="6689E184" w14:textId="77777777" w:rsidR="00A709A3" w:rsidRDefault="00A709A3" w:rsidP="00A709A3">
      <w:pPr>
        <w:pStyle w:val="whitespace-normal"/>
      </w:pPr>
      <w:r>
        <w:rPr>
          <w:rStyle w:val="Fett"/>
          <w:rFonts w:eastAsiaTheme="majorEastAsia"/>
        </w:rPr>
        <w:t>Hebräisch:</w:t>
      </w:r>
      <w:r>
        <w:t xml:space="preserve"> </w:t>
      </w:r>
      <w:r>
        <w:rPr>
          <w:rtl/>
        </w:rPr>
        <w:t>אָרוּר מַקְלֶה אָבִיו וְאִמּוֹ וְאָמַר כָּל־הָעָם אָמֵֽן׃</w:t>
      </w:r>
    </w:p>
    <w:p w14:paraId="529D6D54" w14:textId="77777777" w:rsidR="00A709A3" w:rsidRDefault="00A709A3" w:rsidP="00A709A3">
      <w:pPr>
        <w:pStyle w:val="whitespace-normal"/>
      </w:pPr>
      <w:r>
        <w:rPr>
          <w:rStyle w:val="Fett"/>
          <w:rFonts w:eastAsiaTheme="majorEastAsia"/>
        </w:rPr>
        <w:lastRenderedPageBreak/>
        <w:t>Deutsch:</w:t>
      </w:r>
      <w:r>
        <w:t xml:space="preserve"> Verflucht sei, wer seinen Vater oder seine Mutter verachtet! Und das ganze Volk soll sagen: Amen!</w:t>
      </w:r>
    </w:p>
    <w:p w14:paraId="7C780A53" w14:textId="77777777" w:rsidR="00A709A3" w:rsidRDefault="004F5CEB" w:rsidP="00A709A3">
      <w:r>
        <w:rPr>
          <w:noProof/>
        </w:rPr>
        <w:pict w14:anchorId="269EA44D">
          <v:rect id="_x0000_i1730" style="width:0;height:1.5pt" o:hralign="center" o:hrstd="t" o:hr="t" fillcolor="#a0a0a0" stroked="f"/>
        </w:pict>
      </w:r>
    </w:p>
    <w:p w14:paraId="2431180D"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אָרוּר מַקְלֶה אָבִיו וְאִמּוֹ וְאָמַר כָּל־הָעָם אָמֵן</w:t>
      </w:r>
      <w:r>
        <w:rPr>
          <w:rtl/>
        </w:rPr>
        <w:t xml:space="preserve"> </w:t>
      </w:r>
      <w:r>
        <w:t xml:space="preserve">ist der zweite Fluch: </w:t>
      </w:r>
      <w:r>
        <w:rPr>
          <w:rStyle w:val="Fett"/>
          <w:rFonts w:eastAsiaTheme="majorEastAsia"/>
          <w:rtl/>
        </w:rPr>
        <w:t>אָרוּר מַקְלֶה אָבִיו וְאִמּוֹ</w:t>
      </w:r>
      <w:r>
        <w:rPr>
          <w:rtl/>
        </w:rPr>
        <w:t xml:space="preserve"> </w:t>
      </w:r>
      <w:r>
        <w:t>(</w:t>
      </w:r>
      <w:r>
        <w:rPr>
          <w:rStyle w:val="Fett"/>
          <w:rFonts w:eastAsiaTheme="majorEastAsia"/>
          <w:rtl/>
        </w:rPr>
        <w:t>אָרוּר</w:t>
      </w:r>
      <w:r>
        <w:t xml:space="preserve">, </w:t>
      </w:r>
      <w:r>
        <w:rPr>
          <w:rStyle w:val="Fett"/>
          <w:rFonts w:eastAsiaTheme="majorEastAsia"/>
          <w:rtl/>
        </w:rPr>
        <w:t>קלה</w:t>
      </w:r>
      <w:r>
        <w:t xml:space="preserve">, Hiphil Partizip, „verachten, gering achten, entehren", </w:t>
      </w:r>
      <w:r>
        <w:rPr>
          <w:rStyle w:val="Fett"/>
          <w:rFonts w:eastAsiaTheme="majorEastAsia"/>
          <w:rtl/>
        </w:rPr>
        <w:t>אָב</w:t>
      </w:r>
      <w:r>
        <w:rPr>
          <w:rtl/>
        </w:rPr>
        <w:t xml:space="preserve"> </w:t>
      </w:r>
      <w:r>
        <w:t xml:space="preserve">mit Suffix 3. Person Maskulinum Singular, koordiniert durch </w:t>
      </w:r>
      <w:r>
        <w:rPr>
          <w:rStyle w:val="Fett"/>
          <w:rFonts w:eastAsiaTheme="majorEastAsia"/>
          <w:rtl/>
        </w:rPr>
        <w:t>וְ</w:t>
      </w:r>
      <w:r>
        <w:rPr>
          <w:rtl/>
        </w:rPr>
        <w:t xml:space="preserve"> </w:t>
      </w:r>
      <w:r>
        <w:t xml:space="preserve">mit </w:t>
      </w:r>
      <w:r>
        <w:rPr>
          <w:rStyle w:val="Fett"/>
          <w:rFonts w:eastAsiaTheme="majorEastAsia"/>
          <w:rtl/>
        </w:rPr>
        <w:t>אֵם</w:t>
      </w:r>
      <w:r>
        <w:t xml:space="preserve">, „Mutter", mit Suffix 3. Person Maskulinum Singular), </w:t>
      </w:r>
      <w:r>
        <w:rPr>
          <w:rStyle w:val="Fett"/>
          <w:rFonts w:eastAsiaTheme="majorEastAsia"/>
          <w:rtl/>
        </w:rPr>
        <w:t>וְאָמַר כָּל־הָעָם אָמֵן</w:t>
      </w:r>
      <w:r>
        <w:rPr>
          <w:rtl/>
        </w:rPr>
        <w:t xml:space="preserve"> </w:t>
      </w:r>
      <w:r>
        <w:t>(wie V. 15).</w:t>
      </w:r>
    </w:p>
    <w:p w14:paraId="0A7474FB" w14:textId="701508C9" w:rsidR="00A709A3" w:rsidRDefault="00A709A3" w:rsidP="00A709A3">
      <w:pPr>
        <w:pStyle w:val="whitespace-normal"/>
      </w:pPr>
      <w:r>
        <w:t xml:space="preserve">Der zweite Fluch betrifft die Elternehre. Der Fluch: </w:t>
      </w:r>
      <w:r>
        <w:rPr>
          <w:rStyle w:val="Fett"/>
          <w:rFonts w:eastAsiaTheme="majorEastAsia"/>
          <w:rtl/>
        </w:rPr>
        <w:t>אָרוּר מַקְלֶה אָבִיו וְאִמּוֹ</w:t>
      </w:r>
      <w:r>
        <w:rPr>
          <w:rtl/>
        </w:rPr>
        <w:t xml:space="preserve"> </w:t>
      </w:r>
      <w:r>
        <w:t xml:space="preserve">(„verflucht sei, wer verachtet seinen Vater oder seine Mutter"). Das Verb </w:t>
      </w:r>
      <w:r>
        <w:rPr>
          <w:rStyle w:val="Fett"/>
          <w:rFonts w:eastAsiaTheme="majorEastAsia"/>
          <w:rtl/>
        </w:rPr>
        <w:t>קלה</w:t>
      </w:r>
      <w:r>
        <w:rPr>
          <w:rtl/>
        </w:rPr>
        <w:t xml:space="preserve"> </w:t>
      </w:r>
      <w:r>
        <w:t xml:space="preserve">im Hiphil („verachten, gering achten, entehren") ist das Gegenteil von </w:t>
      </w:r>
      <w:r>
        <w:rPr>
          <w:rStyle w:val="Fett"/>
          <w:rFonts w:eastAsiaTheme="majorEastAsia"/>
          <w:rtl/>
        </w:rPr>
        <w:t>כבד</w:t>
      </w:r>
      <w:r>
        <w:rPr>
          <w:rtl/>
        </w:rPr>
        <w:t xml:space="preserve"> </w:t>
      </w:r>
      <w:r>
        <w:t xml:space="preserve">(„ehren") aus dem fünften Gebot (Dtn 5,16; Ex 20,12). Die Formulierung </w:t>
      </w:r>
      <w:r>
        <w:rPr>
          <w:rStyle w:val="Fett"/>
          <w:rFonts w:eastAsiaTheme="majorEastAsia"/>
          <w:rtl/>
        </w:rPr>
        <w:t>אָבִיו וְאִמּוֹ</w:t>
      </w:r>
      <w:r>
        <w:rPr>
          <w:rtl/>
        </w:rPr>
        <w:t xml:space="preserve"> </w:t>
      </w:r>
      <w:r>
        <w:t>(„seinen Vater oder seine Mutter") entspricht dem fünften Gebot. Dieser Fluch betrifft innere Haltungen und Worte, die möglicherweise nicht öffentlich sind – daher passt er zum Muster der zwölf Flüche, die oft verborgene Sünden betreffen. Vgl. Ex 21,17; Lev 20,9.</w:t>
      </w:r>
    </w:p>
    <w:p w14:paraId="71FF051F" w14:textId="20A0DF30" w:rsidR="001A04EF" w:rsidRDefault="001A04EF" w:rsidP="00A709A3">
      <w:pPr>
        <w:pStyle w:val="whitespace-normal"/>
      </w:pPr>
      <w:r>
        <w:rPr>
          <w:rStyle w:val="Fett"/>
        </w:rPr>
        <w:t>Die LXX</w:t>
      </w:r>
      <w:r>
        <w:t xml:space="preserve"> übersetzt </w:t>
      </w:r>
      <w:r>
        <w:rPr>
          <w:rtl/>
        </w:rPr>
        <w:t>מַקְלֶה</w:t>
      </w:r>
      <w:r>
        <w:t xml:space="preserve"> (der verachtet, gering achtet) mit ὁ </w:t>
      </w:r>
      <w:proofErr w:type="spellStart"/>
      <w:r>
        <w:t>ἀτιμάζων</w:t>
      </w:r>
      <w:proofErr w:type="spellEnd"/>
      <w:r>
        <w:t xml:space="preserve"> (der entehrt, missachtet) – ein zusammengesetztes Verb, das Entehrung bezeichnet.</w:t>
      </w:r>
    </w:p>
    <w:p w14:paraId="30B874E3" w14:textId="77777777" w:rsidR="00A709A3" w:rsidRDefault="00A709A3" w:rsidP="00A709A3">
      <w:pPr>
        <w:pStyle w:val="whitespace-normal"/>
      </w:pPr>
      <w:r>
        <w:rPr>
          <w:rStyle w:val="Fett"/>
          <w:rFonts w:eastAsiaTheme="majorEastAsia"/>
        </w:rPr>
        <w:t>Die Satzstruktur:</w:t>
      </w:r>
      <w:r>
        <w:t xml:space="preserve"> Fluch mit Volksantwort (verflucht sei, wer verachtet seinen Vater oder seine Mutter; und sagen soll das ganze Volk: Amen).</w:t>
      </w:r>
    </w:p>
    <w:p w14:paraId="66B3283C" w14:textId="5FCA6000" w:rsidR="00A709A3" w:rsidRDefault="00A709A3" w:rsidP="00705F3D">
      <w:pPr>
        <w:pStyle w:val="whitespace-normal"/>
      </w:pPr>
      <w:r>
        <w:rPr>
          <w:rStyle w:val="Fett"/>
          <w:rFonts w:eastAsiaTheme="majorEastAsia"/>
        </w:rPr>
        <w:t>Der Vers beschreibt:</w:t>
      </w:r>
      <w:r>
        <w:t xml:space="preserve"> Zweiter Fluch – gegen Verachtung der Eltern.</w:t>
      </w:r>
    </w:p>
    <w:p w14:paraId="021B7B83" w14:textId="77777777" w:rsidR="00A709A3" w:rsidRPr="00B53ACC" w:rsidRDefault="00A709A3" w:rsidP="0039595E">
      <w:pPr>
        <w:pStyle w:val="Bibelberschrift"/>
      </w:pPr>
      <w:r w:rsidRPr="00B53ACC">
        <w:rPr>
          <w:rStyle w:val="Fett"/>
          <w:b/>
          <w:bCs w:val="0"/>
        </w:rPr>
        <w:t>Deuteronomium 27,17</w:t>
      </w:r>
    </w:p>
    <w:p w14:paraId="735E11C6" w14:textId="77777777" w:rsidR="00A709A3" w:rsidRDefault="00A709A3" w:rsidP="00A709A3">
      <w:pPr>
        <w:pStyle w:val="whitespace-normal"/>
      </w:pPr>
      <w:r>
        <w:rPr>
          <w:rStyle w:val="Fett"/>
          <w:rFonts w:eastAsiaTheme="majorEastAsia"/>
        </w:rPr>
        <w:t>Hebräisch:</w:t>
      </w:r>
      <w:r>
        <w:t xml:space="preserve"> </w:t>
      </w:r>
      <w:r>
        <w:rPr>
          <w:rtl/>
        </w:rPr>
        <w:t>אָרוּר מַסִּיג גְּבוּל רֵעֵהוּ וְאָמַר כָּל־הָעָם אָמֵֽן׃</w:t>
      </w:r>
    </w:p>
    <w:p w14:paraId="7ADCDA2E" w14:textId="77777777" w:rsidR="00A709A3" w:rsidRDefault="00A709A3" w:rsidP="00A709A3">
      <w:pPr>
        <w:pStyle w:val="whitespace-normal"/>
      </w:pPr>
      <w:r>
        <w:rPr>
          <w:rStyle w:val="Fett"/>
          <w:rFonts w:eastAsiaTheme="majorEastAsia"/>
        </w:rPr>
        <w:t>Deutsch:</w:t>
      </w:r>
      <w:r>
        <w:t xml:space="preserve"> Verflucht sei, wer die Grenze seines Nächsten verrückt! Und das ganze Volk soll sagen: Amen!</w:t>
      </w:r>
    </w:p>
    <w:p w14:paraId="05AB1438" w14:textId="77777777" w:rsidR="00A709A3" w:rsidRDefault="004F5CEB" w:rsidP="00A709A3">
      <w:r>
        <w:rPr>
          <w:noProof/>
        </w:rPr>
        <w:pict w14:anchorId="5AF5EAEE">
          <v:rect id="_x0000_i1731" style="width:0;height:1.5pt" o:hralign="center" o:hrstd="t" o:hr="t" fillcolor="#a0a0a0" stroked="f"/>
        </w:pict>
      </w:r>
    </w:p>
    <w:p w14:paraId="0F33656A"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אָרוּר מַסִּיג גְּבוּל רֵעֵהוּ וְאָמַר כָּל־הָעָם אָמֵן</w:t>
      </w:r>
      <w:r>
        <w:rPr>
          <w:rtl/>
        </w:rPr>
        <w:t xml:space="preserve"> </w:t>
      </w:r>
      <w:r>
        <w:t xml:space="preserve">ist der dritte Fluch: </w:t>
      </w:r>
      <w:r>
        <w:rPr>
          <w:rStyle w:val="Fett"/>
          <w:rFonts w:eastAsiaTheme="majorEastAsia"/>
          <w:rtl/>
        </w:rPr>
        <w:t>אָרוּר מַסִּיג גְּבוּל רֵעֵהוּ</w:t>
      </w:r>
      <w:r>
        <w:rPr>
          <w:rtl/>
        </w:rPr>
        <w:t xml:space="preserve"> </w:t>
      </w:r>
      <w:r>
        <w:t>(</w:t>
      </w:r>
      <w:r>
        <w:rPr>
          <w:rStyle w:val="Fett"/>
          <w:rFonts w:eastAsiaTheme="majorEastAsia"/>
          <w:rtl/>
        </w:rPr>
        <w:t>אָרוּר</w:t>
      </w:r>
      <w:r>
        <w:t xml:space="preserve">, </w:t>
      </w:r>
      <w:r>
        <w:rPr>
          <w:rStyle w:val="Fett"/>
          <w:rFonts w:eastAsiaTheme="majorEastAsia"/>
          <w:rtl/>
        </w:rPr>
        <w:t>נסג</w:t>
      </w:r>
      <w:r>
        <w:t xml:space="preserve">, Hiphil Partizip, „verrücken, verschieben, versetzen", </w:t>
      </w:r>
      <w:r>
        <w:rPr>
          <w:rStyle w:val="Fett"/>
          <w:rFonts w:eastAsiaTheme="majorEastAsia"/>
          <w:rtl/>
        </w:rPr>
        <w:t>גְּבוּל</w:t>
      </w:r>
      <w:r>
        <w:t xml:space="preserve">, „Grenze, Grenzstein", Construct mit </w:t>
      </w:r>
      <w:r>
        <w:rPr>
          <w:rStyle w:val="Fett"/>
          <w:rFonts w:eastAsiaTheme="majorEastAsia"/>
          <w:rtl/>
        </w:rPr>
        <w:t>רֵעַ</w:t>
      </w:r>
      <w:r>
        <w:t xml:space="preserve">, „Nächster, Mitmensch", mit Suffix 3. Person Maskulinum Singular), </w:t>
      </w:r>
      <w:r>
        <w:rPr>
          <w:rStyle w:val="Fett"/>
          <w:rFonts w:eastAsiaTheme="majorEastAsia"/>
          <w:rtl/>
        </w:rPr>
        <w:t>וְאָמַר כָּל־הָעָם אָמֵן</w:t>
      </w:r>
      <w:r>
        <w:rPr>
          <w:rtl/>
        </w:rPr>
        <w:t xml:space="preserve"> </w:t>
      </w:r>
      <w:r>
        <w:t>(wie V. 15-16).</w:t>
      </w:r>
    </w:p>
    <w:p w14:paraId="41C64868" w14:textId="40261554" w:rsidR="00A709A3" w:rsidRDefault="00A709A3" w:rsidP="00A709A3">
      <w:pPr>
        <w:pStyle w:val="whitespace-normal"/>
      </w:pPr>
      <w:r>
        <w:t xml:space="preserve">Der dritte Fluch betrifft Landdiebstahl. Der Fluch: </w:t>
      </w:r>
      <w:r>
        <w:rPr>
          <w:rStyle w:val="Fett"/>
          <w:rFonts w:eastAsiaTheme="majorEastAsia"/>
          <w:rtl/>
        </w:rPr>
        <w:t>אָרוּר מַסִּיג גְּבוּל רֵעֵהוּ</w:t>
      </w:r>
      <w:r>
        <w:rPr>
          <w:rtl/>
        </w:rPr>
        <w:t xml:space="preserve"> </w:t>
      </w:r>
      <w:r>
        <w:t xml:space="preserve">(„verflucht sei, wer verrückt die Grenze seines Nächsten"). Das Verb </w:t>
      </w:r>
      <w:r>
        <w:rPr>
          <w:rStyle w:val="Fett"/>
          <w:rFonts w:eastAsiaTheme="majorEastAsia"/>
          <w:rtl/>
        </w:rPr>
        <w:t>נסג</w:t>
      </w:r>
      <w:r>
        <w:rPr>
          <w:rtl/>
        </w:rPr>
        <w:t xml:space="preserve"> </w:t>
      </w:r>
      <w:r>
        <w:t xml:space="preserve">im Hiphil („verrücken, verschieben") bezieht sich auf das Verschieben von Grenzsteinen, um heimlich Land zu stehlen. Das Wort </w:t>
      </w:r>
      <w:r>
        <w:rPr>
          <w:rStyle w:val="Fett"/>
          <w:rFonts w:eastAsiaTheme="majorEastAsia"/>
          <w:rtl/>
        </w:rPr>
        <w:t>גְּבוּל</w:t>
      </w:r>
      <w:r>
        <w:rPr>
          <w:rtl/>
        </w:rPr>
        <w:t xml:space="preserve"> </w:t>
      </w:r>
      <w:r>
        <w:t>(„Grenze, Grenzstein") bezeichnet die Markierung zwischen Grundstücken. Dies ist ein heimliches Verbrechen, schwer zu beweisen. Vgl. Dtn 19,14; Spr 22,28; 23,10; Hos 5,10.</w:t>
      </w:r>
    </w:p>
    <w:p w14:paraId="100D1CAC" w14:textId="3A1CAE43" w:rsidR="001A04EF" w:rsidRDefault="001A04EF" w:rsidP="00A709A3">
      <w:pPr>
        <w:pStyle w:val="whitespace-normal"/>
      </w:pPr>
      <w:r>
        <w:rPr>
          <w:rStyle w:val="Fett"/>
        </w:rPr>
        <w:lastRenderedPageBreak/>
        <w:t>Die LXX</w:t>
      </w:r>
      <w:r>
        <w:t xml:space="preserve"> übersetzt </w:t>
      </w:r>
      <w:r>
        <w:rPr>
          <w:rtl/>
        </w:rPr>
        <w:t>מַסִּיג גְּבוּל</w:t>
      </w:r>
      <w:r>
        <w:t xml:space="preserve"> (der die Grenze verrückt) mit ὁ </w:t>
      </w:r>
      <w:proofErr w:type="spellStart"/>
      <w:r>
        <w:t>μετ</w:t>
      </w:r>
      <w:proofErr w:type="spellEnd"/>
      <w:r>
        <w:t xml:space="preserve">ατιθεὶς </w:t>
      </w:r>
      <w:proofErr w:type="spellStart"/>
      <w:r>
        <w:t>ὅρι</w:t>
      </w:r>
      <w:proofErr w:type="spellEnd"/>
      <w:r>
        <w:t>α (der die Grenzen versetzt) – ein zusammengesetztes Verb.</w:t>
      </w:r>
    </w:p>
    <w:p w14:paraId="6ED4A0C2" w14:textId="77777777" w:rsidR="00A709A3" w:rsidRDefault="00A709A3" w:rsidP="00A709A3">
      <w:pPr>
        <w:pStyle w:val="whitespace-normal"/>
      </w:pPr>
      <w:r>
        <w:rPr>
          <w:rStyle w:val="Fett"/>
          <w:rFonts w:eastAsiaTheme="majorEastAsia"/>
        </w:rPr>
        <w:t>Die Satzstruktur:</w:t>
      </w:r>
      <w:r>
        <w:t xml:space="preserve"> Fluch mit Volksantwort (verflucht sei, wer verrückt die Grenze seines Nächsten; und sagen soll das ganze Volk: Amen).</w:t>
      </w:r>
    </w:p>
    <w:p w14:paraId="16DF7261" w14:textId="15C1FF8E" w:rsidR="00A709A3" w:rsidRDefault="00A709A3" w:rsidP="00705F3D">
      <w:pPr>
        <w:pStyle w:val="whitespace-normal"/>
      </w:pPr>
      <w:r>
        <w:rPr>
          <w:rStyle w:val="Fett"/>
          <w:rFonts w:eastAsiaTheme="majorEastAsia"/>
        </w:rPr>
        <w:t>Der Vers beschreibt:</w:t>
      </w:r>
      <w:r>
        <w:t xml:space="preserve"> Dritter Fluch – gegen Verrücken von Grenzsteinen (heimlicher Landdiebstahl).</w:t>
      </w:r>
    </w:p>
    <w:p w14:paraId="1533A285" w14:textId="77777777" w:rsidR="00A709A3" w:rsidRPr="00B53ACC" w:rsidRDefault="00A709A3" w:rsidP="0039595E">
      <w:pPr>
        <w:pStyle w:val="Bibelberschrift"/>
      </w:pPr>
      <w:r w:rsidRPr="00B53ACC">
        <w:rPr>
          <w:rStyle w:val="Fett"/>
          <w:b/>
          <w:bCs w:val="0"/>
        </w:rPr>
        <w:t>Deuteronomium 27,18</w:t>
      </w:r>
    </w:p>
    <w:p w14:paraId="78EE9364" w14:textId="77777777" w:rsidR="00A709A3" w:rsidRDefault="00A709A3" w:rsidP="00A709A3">
      <w:pPr>
        <w:pStyle w:val="whitespace-normal"/>
      </w:pPr>
      <w:r>
        <w:rPr>
          <w:rStyle w:val="Fett"/>
          <w:rFonts w:eastAsiaTheme="majorEastAsia"/>
        </w:rPr>
        <w:t>Hebräisch:</w:t>
      </w:r>
      <w:r>
        <w:t xml:space="preserve"> </w:t>
      </w:r>
      <w:r>
        <w:rPr>
          <w:rtl/>
        </w:rPr>
        <w:t>אָרוּר מַשְׁגֶּה עִוֵּר בַּדָּרֶךְ וְאָמַר כָּל־הָעָם אָמֵֽן׃</w:t>
      </w:r>
    </w:p>
    <w:p w14:paraId="739963AD" w14:textId="77777777" w:rsidR="00A709A3" w:rsidRDefault="00A709A3" w:rsidP="00A709A3">
      <w:pPr>
        <w:pStyle w:val="whitespace-normal"/>
      </w:pPr>
      <w:r>
        <w:rPr>
          <w:rStyle w:val="Fett"/>
          <w:rFonts w:eastAsiaTheme="majorEastAsia"/>
        </w:rPr>
        <w:t>Deutsch:</w:t>
      </w:r>
      <w:r>
        <w:t xml:space="preserve"> Verflucht sei, wer einen Blinden auf dem Weg irreführt! Und das ganze Volk soll sagen: Amen!</w:t>
      </w:r>
    </w:p>
    <w:p w14:paraId="5E91E9E5" w14:textId="77777777" w:rsidR="00A709A3" w:rsidRDefault="004F5CEB" w:rsidP="00A709A3">
      <w:r>
        <w:rPr>
          <w:noProof/>
        </w:rPr>
        <w:pict w14:anchorId="3EB6C32E">
          <v:rect id="_x0000_i1732" style="width:0;height:1.5pt" o:hralign="center" o:hrstd="t" o:hr="t" fillcolor="#a0a0a0" stroked="f"/>
        </w:pict>
      </w:r>
    </w:p>
    <w:p w14:paraId="1EC6CE62"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אָרוּר מַשְׁגֶּה עִוֵּר בַּדָּרֶךְ וְאָמַר כָּל־הָעָם אָמֵן</w:t>
      </w:r>
      <w:r>
        <w:rPr>
          <w:rtl/>
        </w:rPr>
        <w:t xml:space="preserve"> </w:t>
      </w:r>
      <w:r>
        <w:t xml:space="preserve">ist der vierte Fluch: </w:t>
      </w:r>
      <w:r>
        <w:rPr>
          <w:rStyle w:val="Fett"/>
          <w:rFonts w:eastAsiaTheme="majorEastAsia"/>
          <w:rtl/>
        </w:rPr>
        <w:t>אָרוּר מַשְׁגֶּה עִוֵּר בַּדָּרֶךְ</w:t>
      </w:r>
      <w:r>
        <w:rPr>
          <w:rtl/>
        </w:rPr>
        <w:t xml:space="preserve"> </w:t>
      </w:r>
      <w:r>
        <w:t>(</w:t>
      </w:r>
      <w:r>
        <w:rPr>
          <w:rStyle w:val="Fett"/>
          <w:rFonts w:eastAsiaTheme="majorEastAsia"/>
          <w:rtl/>
        </w:rPr>
        <w:t>אָרוּר</w:t>
      </w:r>
      <w:r>
        <w:t xml:space="preserve">, </w:t>
      </w:r>
      <w:r>
        <w:rPr>
          <w:rStyle w:val="Fett"/>
          <w:rFonts w:eastAsiaTheme="majorEastAsia"/>
          <w:rtl/>
        </w:rPr>
        <w:t>שׁגה</w:t>
      </w:r>
      <w:r>
        <w:t xml:space="preserve">, Hiphil Partizip, „irreführen, in die Irre führen, irreleiten", </w:t>
      </w:r>
      <w:r>
        <w:rPr>
          <w:rStyle w:val="Fett"/>
          <w:rFonts w:eastAsiaTheme="majorEastAsia"/>
          <w:rtl/>
        </w:rPr>
        <w:t>עִוֵּר</w:t>
      </w:r>
      <w:r>
        <w:t xml:space="preserve">, „Blinder", </w:t>
      </w:r>
      <w:r>
        <w:rPr>
          <w:rStyle w:val="Fett"/>
          <w:rFonts w:eastAsiaTheme="majorEastAsia"/>
          <w:rtl/>
        </w:rPr>
        <w:t>בַּדָּרֶךְ</w:t>
      </w:r>
      <w:r>
        <w:t xml:space="preserve">, „auf dem Weg"), </w:t>
      </w:r>
      <w:r>
        <w:rPr>
          <w:rStyle w:val="Fett"/>
          <w:rFonts w:eastAsiaTheme="majorEastAsia"/>
          <w:rtl/>
        </w:rPr>
        <w:t>וְאָמַר כָּל־הָעָם אָמֵן</w:t>
      </w:r>
      <w:r>
        <w:rPr>
          <w:rtl/>
        </w:rPr>
        <w:t xml:space="preserve"> </w:t>
      </w:r>
      <w:r>
        <w:t>(wie V. 15-18).</w:t>
      </w:r>
    </w:p>
    <w:p w14:paraId="4BE8576C" w14:textId="146AADD4" w:rsidR="00A709A3" w:rsidRDefault="00A709A3" w:rsidP="00A709A3">
      <w:pPr>
        <w:pStyle w:val="whitespace-normal"/>
      </w:pPr>
      <w:r>
        <w:t xml:space="preserve">Der vierte Fluch betrifft Ausnutzung von Wehrlosen. Der Fluch: </w:t>
      </w:r>
      <w:r>
        <w:rPr>
          <w:rStyle w:val="Fett"/>
          <w:rFonts w:eastAsiaTheme="majorEastAsia"/>
          <w:rtl/>
        </w:rPr>
        <w:t>אָרוּר מַשְׁגֶּה עִוֵּר בַּדָּרֶךְ</w:t>
      </w:r>
      <w:r>
        <w:rPr>
          <w:rtl/>
        </w:rPr>
        <w:t xml:space="preserve"> </w:t>
      </w:r>
      <w:r>
        <w:t xml:space="preserve">(„verflucht sei, wer irreführt einen Blinden auf dem Weg"). Das Verb </w:t>
      </w:r>
      <w:r>
        <w:rPr>
          <w:rStyle w:val="Fett"/>
          <w:rFonts w:eastAsiaTheme="majorEastAsia"/>
          <w:rtl/>
        </w:rPr>
        <w:t>שׁגה</w:t>
      </w:r>
      <w:r>
        <w:rPr>
          <w:rtl/>
        </w:rPr>
        <w:t xml:space="preserve"> </w:t>
      </w:r>
      <w:r>
        <w:t xml:space="preserve">im Hiphil („irreführen, in die Irre führen") – absichtliches Fehleiten. Das Wort </w:t>
      </w:r>
      <w:r>
        <w:rPr>
          <w:rStyle w:val="Fett"/>
          <w:rFonts w:eastAsiaTheme="majorEastAsia"/>
          <w:rtl/>
        </w:rPr>
        <w:t>עִוֵּר</w:t>
      </w:r>
      <w:r>
        <w:rPr>
          <w:rtl/>
        </w:rPr>
        <w:t xml:space="preserve"> </w:t>
      </w:r>
      <w:r>
        <w:t xml:space="preserve">(„Blinder") steht für alle Wehrlosen und Hilflosen. Die Formulierung </w:t>
      </w:r>
      <w:r>
        <w:rPr>
          <w:rStyle w:val="Fett"/>
          <w:rFonts w:eastAsiaTheme="majorEastAsia"/>
          <w:rtl/>
        </w:rPr>
        <w:t>בַּדָּרֶךְ</w:t>
      </w:r>
      <w:r>
        <w:rPr>
          <w:rtl/>
        </w:rPr>
        <w:t xml:space="preserve"> </w:t>
      </w:r>
      <w:r>
        <w:t>(„auf dem Weg") kann wörtlich (physischer Weg) oder metaphorisch (Lebensweg) verstanden werden. Vgl. Lev 19,14: „Du sollst einen Tauben nicht verfluchen und vor einen Blinden kein Hindernis legen."</w:t>
      </w:r>
    </w:p>
    <w:p w14:paraId="5B9B61D3" w14:textId="2ACDD759" w:rsidR="001A04EF" w:rsidRDefault="001A04EF" w:rsidP="00A709A3">
      <w:pPr>
        <w:pStyle w:val="whitespace-normal"/>
      </w:pPr>
      <w:r>
        <w:rPr>
          <w:rStyle w:val="Fett"/>
        </w:rPr>
        <w:t>Die LXX</w:t>
      </w:r>
      <w:r>
        <w:t xml:space="preserve"> übersetzt </w:t>
      </w:r>
      <w:r>
        <w:rPr>
          <w:rtl/>
        </w:rPr>
        <w:t>מַשְׁגֶּה עִוֵּר</w:t>
      </w:r>
      <w:r>
        <w:t xml:space="preserve"> (der einen Blinden irreführt) mit ὁ πλα</w:t>
      </w:r>
      <w:proofErr w:type="spellStart"/>
      <w:r>
        <w:t>νῶν</w:t>
      </w:r>
      <w:proofErr w:type="spellEnd"/>
      <w:r>
        <w:t xml:space="preserve"> </w:t>
      </w:r>
      <w:proofErr w:type="spellStart"/>
      <w:r>
        <w:t>τυφλόν</w:t>
      </w:r>
      <w:proofErr w:type="spellEnd"/>
      <w:r>
        <w:t xml:space="preserve"> (der einen Blinden in die Irre führt).</w:t>
      </w:r>
    </w:p>
    <w:p w14:paraId="2B6EB190" w14:textId="77777777" w:rsidR="00A709A3" w:rsidRDefault="00A709A3" w:rsidP="00A709A3">
      <w:pPr>
        <w:pStyle w:val="whitespace-normal"/>
      </w:pPr>
      <w:r>
        <w:rPr>
          <w:rStyle w:val="Fett"/>
          <w:rFonts w:eastAsiaTheme="majorEastAsia"/>
        </w:rPr>
        <w:t>Die Satzstruktur:</w:t>
      </w:r>
      <w:r>
        <w:t xml:space="preserve"> Fluch mit Volksantwort (verflucht sei, wer irreführt einen Blinden auf dem Weg; und sagen soll das ganze Volk: Amen).</w:t>
      </w:r>
    </w:p>
    <w:p w14:paraId="7184DB1C" w14:textId="14E0F396" w:rsidR="00A709A3" w:rsidRDefault="00A709A3" w:rsidP="00705F3D">
      <w:pPr>
        <w:pStyle w:val="whitespace-normal"/>
      </w:pPr>
      <w:r>
        <w:rPr>
          <w:rStyle w:val="Fett"/>
          <w:rFonts w:eastAsiaTheme="majorEastAsia"/>
        </w:rPr>
        <w:t>Der Vers beschreibt:</w:t>
      </w:r>
      <w:r>
        <w:t xml:space="preserve"> Vierter Fluch – gegen Ausnutzung und Irreführung von Wehrlosen.</w:t>
      </w:r>
    </w:p>
    <w:p w14:paraId="10D6AC79" w14:textId="77777777" w:rsidR="00A709A3" w:rsidRPr="00B53ACC" w:rsidRDefault="00A709A3" w:rsidP="00B53ACC">
      <w:pPr>
        <w:pStyle w:val="Bibelberschrift"/>
      </w:pPr>
      <w:r w:rsidRPr="00B53ACC">
        <w:rPr>
          <w:rStyle w:val="Fett"/>
          <w:b/>
          <w:bCs w:val="0"/>
        </w:rPr>
        <w:t>Deuteronomium 27,19</w:t>
      </w:r>
    </w:p>
    <w:p w14:paraId="16A355A2" w14:textId="77777777" w:rsidR="00A709A3" w:rsidRDefault="00A709A3" w:rsidP="00A709A3">
      <w:pPr>
        <w:pStyle w:val="whitespace-normal"/>
      </w:pPr>
      <w:r>
        <w:rPr>
          <w:rStyle w:val="Fett"/>
          <w:rFonts w:eastAsiaTheme="majorEastAsia"/>
        </w:rPr>
        <w:t>Hebräisch:</w:t>
      </w:r>
      <w:r>
        <w:t xml:space="preserve"> </w:t>
      </w:r>
      <w:r>
        <w:rPr>
          <w:rtl/>
        </w:rPr>
        <w:t>אָרוּר מַטֶּה מִשְׁפַּט גֵּר־יָתוֹם וְאַלְמָנָה וְאָמַר כָּל־הָעָם אָמֵֽן׃</w:t>
      </w:r>
    </w:p>
    <w:p w14:paraId="1318D9C2" w14:textId="77777777" w:rsidR="00A709A3" w:rsidRDefault="00A709A3" w:rsidP="00A709A3">
      <w:pPr>
        <w:pStyle w:val="whitespace-normal"/>
      </w:pPr>
      <w:r>
        <w:rPr>
          <w:rStyle w:val="Fett"/>
          <w:rFonts w:eastAsiaTheme="majorEastAsia"/>
        </w:rPr>
        <w:t>Deutsch:</w:t>
      </w:r>
      <w:r>
        <w:t xml:space="preserve"> Verflucht sei, wer das Recht des Fremdlings, der Waise und der Witwe beugt! Und das ganze Volk soll sagen: Amen!</w:t>
      </w:r>
    </w:p>
    <w:p w14:paraId="3B6699E7" w14:textId="77777777" w:rsidR="00A709A3" w:rsidRDefault="004F5CEB" w:rsidP="00A709A3">
      <w:r>
        <w:rPr>
          <w:noProof/>
        </w:rPr>
        <w:pict w14:anchorId="05C4AD3F">
          <v:rect id="_x0000_i1733" style="width:0;height:1.5pt" o:hralign="center" o:hrstd="t" o:hr="t" fillcolor="#a0a0a0" stroked="f"/>
        </w:pict>
      </w:r>
    </w:p>
    <w:p w14:paraId="6A2B161F" w14:textId="77777777" w:rsidR="00A709A3" w:rsidRDefault="00A709A3" w:rsidP="00A709A3">
      <w:pPr>
        <w:pStyle w:val="whitespace-normal"/>
      </w:pPr>
      <w:r>
        <w:rPr>
          <w:rStyle w:val="Fett"/>
          <w:rFonts w:eastAsiaTheme="majorEastAsia"/>
        </w:rPr>
        <w:lastRenderedPageBreak/>
        <w:t>Kommentar:</w:t>
      </w:r>
      <w:r>
        <w:t xml:space="preserve"> </w:t>
      </w:r>
      <w:r>
        <w:rPr>
          <w:rStyle w:val="Fett"/>
          <w:rFonts w:eastAsiaTheme="majorEastAsia"/>
          <w:rtl/>
        </w:rPr>
        <w:t>אָרוּר מַטֶּה מִשְׁפַּט גֵּר־יָתוֹם וְאַלְמָנָה וְאָמַר כָּל־הָעָם אָמֵן</w:t>
      </w:r>
      <w:r>
        <w:rPr>
          <w:rtl/>
        </w:rPr>
        <w:t xml:space="preserve"> </w:t>
      </w:r>
      <w:r>
        <w:t xml:space="preserve">ist der fünfte Fluch: </w:t>
      </w:r>
      <w:r>
        <w:rPr>
          <w:rStyle w:val="Fett"/>
          <w:rFonts w:eastAsiaTheme="majorEastAsia"/>
          <w:rtl/>
        </w:rPr>
        <w:t>אָרוּר מַטֶּה מִשְׁפַּט גֵּר־יָתוֹם וְאַלְמָנָה</w:t>
      </w:r>
      <w:r>
        <w:rPr>
          <w:rtl/>
        </w:rPr>
        <w:t xml:space="preserve"> </w:t>
      </w:r>
      <w:r>
        <w:t>(</w:t>
      </w:r>
      <w:r>
        <w:rPr>
          <w:rStyle w:val="Fett"/>
          <w:rFonts w:eastAsiaTheme="majorEastAsia"/>
          <w:rtl/>
        </w:rPr>
        <w:t>אָרוּר</w:t>
      </w:r>
      <w:r>
        <w:t xml:space="preserve">, </w:t>
      </w:r>
      <w:r>
        <w:rPr>
          <w:rStyle w:val="Fett"/>
          <w:rFonts w:eastAsiaTheme="majorEastAsia"/>
          <w:rtl/>
        </w:rPr>
        <w:t>נטה</w:t>
      </w:r>
      <w:r>
        <w:t xml:space="preserve">, Hiphil Partizip, „beugen, verdrehen, abweichen lassen" (das Recht), </w:t>
      </w:r>
      <w:r>
        <w:rPr>
          <w:rStyle w:val="Fett"/>
          <w:rFonts w:eastAsiaTheme="majorEastAsia"/>
          <w:rtl/>
        </w:rPr>
        <w:t>מִשְׁפָּט</w:t>
      </w:r>
      <w:r>
        <w:t xml:space="preserve">, „Recht, Gerechtigkeit, Rechtssache", Construct mit </w:t>
      </w:r>
      <w:r>
        <w:rPr>
          <w:rStyle w:val="Fett"/>
          <w:rFonts w:eastAsiaTheme="majorEastAsia"/>
          <w:rtl/>
        </w:rPr>
        <w:t>גֵּר־יָתוֹם וְאַלְמָנָה</w:t>
      </w:r>
      <w:r>
        <w:t xml:space="preserve">, die bekannte Trias der Schutzlosen), </w:t>
      </w:r>
      <w:r>
        <w:rPr>
          <w:rStyle w:val="Fett"/>
          <w:rFonts w:eastAsiaTheme="majorEastAsia"/>
          <w:rtl/>
        </w:rPr>
        <w:t>וְאָמַר כָּל־הָעָם אָמֵן</w:t>
      </w:r>
      <w:r>
        <w:rPr>
          <w:rtl/>
        </w:rPr>
        <w:t xml:space="preserve"> </w:t>
      </w:r>
      <w:r>
        <w:t>(wie V. 15-19).</w:t>
      </w:r>
    </w:p>
    <w:p w14:paraId="11FC8FFC" w14:textId="2D42289E" w:rsidR="00A709A3" w:rsidRDefault="00A709A3" w:rsidP="00A709A3">
      <w:pPr>
        <w:pStyle w:val="whitespace-normal"/>
      </w:pPr>
      <w:r>
        <w:t xml:space="preserve">Der fünfte Fluch betrifft Rechtsverdrehung gegenüber den Schwächsten. Der Fluch: </w:t>
      </w:r>
      <w:r>
        <w:rPr>
          <w:rStyle w:val="Fett"/>
          <w:rFonts w:eastAsiaTheme="majorEastAsia"/>
          <w:rtl/>
        </w:rPr>
        <w:t>אָרוּר מַטֶּה מִשְׁפַּט גֵּר־יָתוֹם וְאַלְמָנָה</w:t>
      </w:r>
      <w:r>
        <w:rPr>
          <w:rtl/>
        </w:rPr>
        <w:t xml:space="preserve"> </w:t>
      </w:r>
      <w:r>
        <w:t xml:space="preserve">(„verflucht sei, wer beugt das Recht des Fremdlings, der Waise und der Witwe"). Das Verb </w:t>
      </w:r>
      <w:r>
        <w:rPr>
          <w:rStyle w:val="Fett"/>
          <w:rFonts w:eastAsiaTheme="majorEastAsia"/>
          <w:rtl/>
        </w:rPr>
        <w:t>נטה</w:t>
      </w:r>
      <w:r>
        <w:rPr>
          <w:rtl/>
        </w:rPr>
        <w:t xml:space="preserve"> </w:t>
      </w:r>
      <w:r>
        <w:t xml:space="preserve">im Hiphil („beugen, verdrehen") ist der juristische Terminus für Rechtsbeugung (vgl. Dtn 16,19; 24,17). Die Trias </w:t>
      </w:r>
      <w:r>
        <w:rPr>
          <w:rStyle w:val="Fett"/>
          <w:rFonts w:eastAsiaTheme="majorEastAsia"/>
          <w:rtl/>
        </w:rPr>
        <w:t>גֵּר יָתוֹם אַלְמָנָה</w:t>
      </w:r>
      <w:r>
        <w:rPr>
          <w:rtl/>
        </w:rPr>
        <w:t xml:space="preserve"> </w:t>
      </w:r>
      <w:r>
        <w:t>(„Fremdling, Waise, Witwe") bezeichnet die Rechtlosesten in der Gesellschaft (vgl. Dtn 24,17-22; 26,12-13). Dies ist besonders verwerflich, weil es um die Schwächsten geht.</w:t>
      </w:r>
    </w:p>
    <w:p w14:paraId="5E1CEE31" w14:textId="1F883D45" w:rsidR="001A04EF" w:rsidRDefault="001A04EF" w:rsidP="00A709A3">
      <w:pPr>
        <w:pStyle w:val="whitespace-normal"/>
      </w:pPr>
      <w:r>
        <w:rPr>
          <w:rStyle w:val="Fett"/>
        </w:rPr>
        <w:t>Die LXX</w:t>
      </w:r>
      <w:r>
        <w:t xml:space="preserve"> übersetzt </w:t>
      </w:r>
      <w:r>
        <w:rPr>
          <w:rtl/>
        </w:rPr>
        <w:t>מַטֶּה מִשְׁפַּט</w:t>
      </w:r>
      <w:r>
        <w:t xml:space="preserve"> (der das Recht beugt) mit </w:t>
      </w:r>
      <w:proofErr w:type="spellStart"/>
      <w:r>
        <w:t>ὃς</w:t>
      </w:r>
      <w:proofErr w:type="spellEnd"/>
      <w:r>
        <w:t xml:space="preserve"> </w:t>
      </w:r>
      <w:proofErr w:type="spellStart"/>
      <w:r>
        <w:t>ἂν</w:t>
      </w:r>
      <w:proofErr w:type="spellEnd"/>
      <w:r>
        <w:t xml:space="preserve"> </w:t>
      </w:r>
      <w:proofErr w:type="spellStart"/>
      <w:r>
        <w:t>ἐκκλίνῃ</w:t>
      </w:r>
      <w:proofErr w:type="spellEnd"/>
      <w:r>
        <w:t xml:space="preserve"> </w:t>
      </w:r>
      <w:proofErr w:type="spellStart"/>
      <w:r>
        <w:t>κρίσιν</w:t>
      </w:r>
      <w:proofErr w:type="spellEnd"/>
      <w:r>
        <w:t xml:space="preserve"> (wer auch immer das Gericht abwendet/beugt).</w:t>
      </w:r>
    </w:p>
    <w:p w14:paraId="212C7F87" w14:textId="77777777" w:rsidR="00A709A3" w:rsidRDefault="00A709A3" w:rsidP="00A709A3">
      <w:pPr>
        <w:pStyle w:val="whitespace-normal"/>
      </w:pPr>
      <w:r>
        <w:rPr>
          <w:rStyle w:val="Fett"/>
          <w:rFonts w:eastAsiaTheme="majorEastAsia"/>
        </w:rPr>
        <w:t>Die Satzstruktur:</w:t>
      </w:r>
      <w:r>
        <w:t xml:space="preserve"> Fluch mit Volksantwort (verflucht sei, wer beugt das Recht des Fremdlings, der Waise und der Witwe; und sagen soll das ganze Volk: Amen).</w:t>
      </w:r>
    </w:p>
    <w:p w14:paraId="432534BC" w14:textId="77777777" w:rsidR="00A709A3" w:rsidRDefault="00A709A3" w:rsidP="00A709A3">
      <w:pPr>
        <w:pStyle w:val="whitespace-normal"/>
      </w:pPr>
      <w:r>
        <w:rPr>
          <w:rStyle w:val="Fett"/>
          <w:rFonts w:eastAsiaTheme="majorEastAsia"/>
        </w:rPr>
        <w:t>Der Vers beschreibt:</w:t>
      </w:r>
      <w:r>
        <w:t xml:space="preserve"> Fünfter Fluch – gegen Rechtsbeugung gegenüber den Schwächsten der Gesellschaft.</w:t>
      </w:r>
    </w:p>
    <w:p w14:paraId="0564F036" w14:textId="77777777" w:rsidR="00A709A3" w:rsidRDefault="004F5CEB" w:rsidP="00A709A3">
      <w:r>
        <w:rPr>
          <w:noProof/>
        </w:rPr>
        <w:pict w14:anchorId="6536FF02">
          <v:rect id="_x0000_i1734" style="width:0;height:1.5pt" o:hralign="center" o:hrstd="t" o:hr="t" fillcolor="#a0a0a0" stroked="f"/>
        </w:pict>
      </w:r>
    </w:p>
    <w:p w14:paraId="0C5FE7EA" w14:textId="77777777" w:rsidR="00A709A3" w:rsidRPr="00B53ACC" w:rsidRDefault="00A709A3" w:rsidP="0039595E">
      <w:pPr>
        <w:pStyle w:val="Bibelberschrift"/>
      </w:pPr>
      <w:r w:rsidRPr="00B53ACC">
        <w:rPr>
          <w:rStyle w:val="Fett"/>
          <w:b/>
          <w:bCs w:val="0"/>
        </w:rPr>
        <w:t>Deuteronomium 27,20</w:t>
      </w:r>
    </w:p>
    <w:p w14:paraId="5650BA7F" w14:textId="77777777" w:rsidR="00A709A3" w:rsidRDefault="00A709A3" w:rsidP="00A709A3">
      <w:pPr>
        <w:pStyle w:val="whitespace-normal"/>
      </w:pPr>
      <w:r>
        <w:rPr>
          <w:rStyle w:val="Fett"/>
          <w:rFonts w:eastAsiaTheme="majorEastAsia"/>
        </w:rPr>
        <w:t>Hebräisch:</w:t>
      </w:r>
      <w:r>
        <w:t xml:space="preserve"> </w:t>
      </w:r>
      <w:r>
        <w:rPr>
          <w:rtl/>
        </w:rPr>
        <w:t>אָרוּר שֹׁכֵב עִם־אֵשֶׁת אָבִיו כִּי גִלָּה כְּנַף אָבִיו וְאָמַר כָּל־הָעָם אָמֵֽן׃</w:t>
      </w:r>
    </w:p>
    <w:p w14:paraId="720F86B5" w14:textId="77777777" w:rsidR="00A709A3" w:rsidRDefault="00A709A3" w:rsidP="00A709A3">
      <w:pPr>
        <w:pStyle w:val="whitespace-normal"/>
      </w:pPr>
      <w:r>
        <w:rPr>
          <w:rStyle w:val="Fett"/>
          <w:rFonts w:eastAsiaTheme="majorEastAsia"/>
        </w:rPr>
        <w:t>Deutsch:</w:t>
      </w:r>
      <w:r>
        <w:t xml:space="preserve"> Verflucht sei, wer liegt bei der Frau seines Vaters, denn er hat die Decke seines Vaters aufgedeckt! Und das ganze Volk soll sagen: Amen!</w:t>
      </w:r>
    </w:p>
    <w:p w14:paraId="58AFAF29" w14:textId="77777777" w:rsidR="00A709A3" w:rsidRDefault="004F5CEB" w:rsidP="00A709A3">
      <w:r>
        <w:rPr>
          <w:noProof/>
        </w:rPr>
        <w:pict w14:anchorId="09E1E79E">
          <v:rect id="_x0000_i1735" style="width:0;height:1.5pt" o:hralign="center" o:hrstd="t" o:hr="t" fillcolor="#a0a0a0" stroked="f"/>
        </w:pict>
      </w:r>
    </w:p>
    <w:p w14:paraId="66DF96D4"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אָרוּר שֹׁכֵב עִם־אֵשֶׁת אָבִיו כִּי גִלָּה כְּנַף אָבִיו וְאָמַר כָּל־הָעָם אָמֵן</w:t>
      </w:r>
      <w:r>
        <w:rPr>
          <w:rtl/>
        </w:rPr>
        <w:t xml:space="preserve"> </w:t>
      </w:r>
      <w:r>
        <w:t xml:space="preserve">ist der sechste Fluch: </w:t>
      </w:r>
      <w:r>
        <w:rPr>
          <w:rStyle w:val="Fett"/>
          <w:rFonts w:eastAsiaTheme="majorEastAsia"/>
          <w:rtl/>
        </w:rPr>
        <w:t>אָרוּר שֹׁכֵב עִם־אֵשֶׁת אָבִיו כִּי גִלָּה כְּנַף אָבִיו</w:t>
      </w:r>
      <w:r>
        <w:rPr>
          <w:rtl/>
        </w:rPr>
        <w:t xml:space="preserve"> </w:t>
      </w:r>
      <w:r>
        <w:t>(</w:t>
      </w:r>
      <w:r>
        <w:rPr>
          <w:rStyle w:val="Fett"/>
          <w:rFonts w:eastAsiaTheme="majorEastAsia"/>
          <w:rtl/>
        </w:rPr>
        <w:t>אָרוּר</w:t>
      </w:r>
      <w:r>
        <w:t xml:space="preserve">, </w:t>
      </w:r>
      <w:r>
        <w:rPr>
          <w:rStyle w:val="Fett"/>
          <w:rFonts w:eastAsiaTheme="majorEastAsia"/>
          <w:rtl/>
        </w:rPr>
        <w:t>שׁכב</w:t>
      </w:r>
      <w:r>
        <w:t xml:space="preserve">, Qal Partizip, „liegen, schlafen" (sexuell), Präposition </w:t>
      </w:r>
      <w:r>
        <w:rPr>
          <w:rStyle w:val="Fett"/>
          <w:rFonts w:eastAsiaTheme="majorEastAsia"/>
          <w:rtl/>
        </w:rPr>
        <w:t>עִם</w:t>
      </w:r>
      <w:r>
        <w:rPr>
          <w:rtl/>
        </w:rPr>
        <w:t xml:space="preserve"> </w:t>
      </w:r>
      <w:r>
        <w:t xml:space="preserve">mit </w:t>
      </w:r>
      <w:r>
        <w:rPr>
          <w:rStyle w:val="Fett"/>
          <w:rFonts w:eastAsiaTheme="majorEastAsia"/>
          <w:rtl/>
        </w:rPr>
        <w:t>אֵשֶׁת אָבִיו</w:t>
      </w:r>
      <w:r>
        <w:t xml:space="preserve">, „Frau seines Vaters" (Stiefmutter), Kausalsatz: </w:t>
      </w:r>
      <w:r>
        <w:rPr>
          <w:rStyle w:val="Fett"/>
          <w:rFonts w:eastAsiaTheme="majorEastAsia"/>
          <w:rtl/>
        </w:rPr>
        <w:t>כִּי גִלָּה כְּנַף אָבִיו</w:t>
      </w:r>
      <w:r>
        <w:rPr>
          <w:rtl/>
        </w:rPr>
        <w:t xml:space="preserve"> </w:t>
      </w:r>
      <w:r>
        <w:t xml:space="preserve">mit </w:t>
      </w:r>
      <w:r>
        <w:rPr>
          <w:rStyle w:val="Fett"/>
          <w:rFonts w:eastAsiaTheme="majorEastAsia"/>
          <w:rtl/>
        </w:rPr>
        <w:t>גלה</w:t>
      </w:r>
      <w:r>
        <w:t xml:space="preserve">, Piel Perfekt, 3. Person Maskulinum Singular, „aufdecken, entblößen", </w:t>
      </w:r>
      <w:r>
        <w:rPr>
          <w:rStyle w:val="Fett"/>
          <w:rFonts w:eastAsiaTheme="majorEastAsia"/>
          <w:rtl/>
        </w:rPr>
        <w:t>כָּנָף</w:t>
      </w:r>
      <w:r>
        <w:t xml:space="preserve">, „Flügel, Zipfel, Saum" (des Gewandes), euphemistisch für sexuelle Beziehung, Construct mit </w:t>
      </w:r>
      <w:r>
        <w:rPr>
          <w:rStyle w:val="Fett"/>
          <w:rFonts w:eastAsiaTheme="majorEastAsia"/>
          <w:rtl/>
        </w:rPr>
        <w:t>אָב</w:t>
      </w:r>
      <w:r>
        <w:rPr>
          <w:rtl/>
        </w:rPr>
        <w:t xml:space="preserve"> </w:t>
      </w:r>
      <w:r>
        <w:t xml:space="preserve">mit Suffix 3. Person Maskulinum Singular), </w:t>
      </w:r>
      <w:r>
        <w:rPr>
          <w:rStyle w:val="Fett"/>
          <w:rFonts w:eastAsiaTheme="majorEastAsia"/>
          <w:rtl/>
        </w:rPr>
        <w:t>וְאָמַר כָּל־הָעָם אָמֵן</w:t>
      </w:r>
      <w:r>
        <w:rPr>
          <w:rtl/>
        </w:rPr>
        <w:t xml:space="preserve"> </w:t>
      </w:r>
      <w:r>
        <w:t>(wie V. 15-20).</w:t>
      </w:r>
    </w:p>
    <w:p w14:paraId="2AAA222D" w14:textId="77777777" w:rsidR="00A709A3" w:rsidRDefault="00A709A3" w:rsidP="00A709A3">
      <w:pPr>
        <w:pStyle w:val="whitespace-normal"/>
      </w:pPr>
      <w:r>
        <w:t xml:space="preserve">Der sechste Fluch beginnt eine Serie von Sexualvergehen (V. 20-23). Der Fluch: </w:t>
      </w:r>
      <w:r>
        <w:rPr>
          <w:rStyle w:val="Fett"/>
          <w:rFonts w:eastAsiaTheme="majorEastAsia"/>
          <w:rtl/>
        </w:rPr>
        <w:t>אָרוּר שֹׁכֵב עִם־אֵשֶׁת אָבִיו כִּי גִלָּה כְּנַף אָבִיו</w:t>
      </w:r>
      <w:r>
        <w:rPr>
          <w:rtl/>
        </w:rPr>
        <w:t xml:space="preserve"> </w:t>
      </w:r>
      <w:r>
        <w:t xml:space="preserve">(„verflucht sei, wer liegt bei der Frau seines Vaters, denn er hat aufgedeckt die Decke seines Vaters"). Das Verb </w:t>
      </w:r>
      <w:r>
        <w:rPr>
          <w:rStyle w:val="Fett"/>
          <w:rFonts w:eastAsiaTheme="majorEastAsia"/>
          <w:rtl/>
        </w:rPr>
        <w:t>שׁכב עִם</w:t>
      </w:r>
      <w:r>
        <w:rPr>
          <w:rtl/>
        </w:rPr>
        <w:t xml:space="preserve"> </w:t>
      </w:r>
      <w:r>
        <w:t xml:space="preserve">(„liegen bei") ist der euphemistische Ausdruck für Geschlechtsverkehr. Die Formulierung </w:t>
      </w:r>
      <w:r>
        <w:rPr>
          <w:rStyle w:val="Fett"/>
          <w:rFonts w:eastAsiaTheme="majorEastAsia"/>
          <w:rtl/>
        </w:rPr>
        <w:t>אֵשֶׁת אָבִיו</w:t>
      </w:r>
      <w:r>
        <w:rPr>
          <w:rtl/>
        </w:rPr>
        <w:t xml:space="preserve"> </w:t>
      </w:r>
      <w:r>
        <w:t xml:space="preserve">(„Frau seines Vaters") meint die Stiefmutter, nicht die leibliche Mutter. Die Begründung </w:t>
      </w:r>
      <w:r>
        <w:rPr>
          <w:rStyle w:val="Fett"/>
          <w:rFonts w:eastAsiaTheme="majorEastAsia"/>
          <w:rtl/>
        </w:rPr>
        <w:t>כִּי גִלָּה כְּנַף אָבִיו</w:t>
      </w:r>
      <w:r>
        <w:rPr>
          <w:rtl/>
        </w:rPr>
        <w:t xml:space="preserve"> </w:t>
      </w:r>
      <w:r>
        <w:t xml:space="preserve">(„denn er hat aufgedeckt die Decke seines Vaters") ist eine idiomatische Wendung – </w:t>
      </w:r>
      <w:r>
        <w:rPr>
          <w:rStyle w:val="Fett"/>
          <w:rFonts w:eastAsiaTheme="majorEastAsia"/>
          <w:rtl/>
        </w:rPr>
        <w:t>כָּנָף</w:t>
      </w:r>
      <w:r>
        <w:rPr>
          <w:rtl/>
        </w:rPr>
        <w:t xml:space="preserve"> </w:t>
      </w:r>
      <w:r>
        <w:t>(„Flügel, Saum") bezieht sich auf den Gewandsaum, metaphorisch für sexuelle Beziehung. Er verletzt die Ehre und die Rechte des Vaters. Vgl. Dtn 22,30; 23,1; Lev 18,8; 20,11.</w:t>
      </w:r>
    </w:p>
    <w:p w14:paraId="5BEDE60C" w14:textId="77777777" w:rsidR="00A709A3" w:rsidRDefault="00A709A3" w:rsidP="00A709A3">
      <w:pPr>
        <w:pStyle w:val="whitespace-normal"/>
      </w:pPr>
      <w:r>
        <w:rPr>
          <w:rStyle w:val="Fett"/>
          <w:rFonts w:eastAsiaTheme="majorEastAsia"/>
        </w:rPr>
        <w:lastRenderedPageBreak/>
        <w:t>Die Satzstruktur:</w:t>
      </w:r>
      <w:r>
        <w:t xml:space="preserve"> Fluch mit Begründung und Volksantwort (verflucht sei, wer liegt bei der Frau seines Vaters, denn er hat aufgedeckt die Decke seines Vaters; und sagen soll das ganze Volk: Amen).</w:t>
      </w:r>
    </w:p>
    <w:p w14:paraId="08B62247" w14:textId="75BB539B" w:rsidR="00A709A3" w:rsidRDefault="00A709A3" w:rsidP="00705F3D">
      <w:pPr>
        <w:pStyle w:val="whitespace-normal"/>
      </w:pPr>
      <w:r>
        <w:rPr>
          <w:rStyle w:val="Fett"/>
          <w:rFonts w:eastAsiaTheme="majorEastAsia"/>
        </w:rPr>
        <w:t>Der Vers beschreibt:</w:t>
      </w:r>
      <w:r>
        <w:t xml:space="preserve"> Sechster Fluch – gegen Inzest mit der Stiefmutter.</w:t>
      </w:r>
    </w:p>
    <w:p w14:paraId="4E4DB5B0" w14:textId="77777777" w:rsidR="00A709A3" w:rsidRPr="00B53ACC" w:rsidRDefault="00A709A3" w:rsidP="0039595E">
      <w:pPr>
        <w:pStyle w:val="Bibelberschrift"/>
      </w:pPr>
      <w:r w:rsidRPr="00B53ACC">
        <w:rPr>
          <w:rStyle w:val="Fett"/>
          <w:b/>
          <w:bCs w:val="0"/>
        </w:rPr>
        <w:t>Deuteronomium 27,21</w:t>
      </w:r>
    </w:p>
    <w:p w14:paraId="16400E1C" w14:textId="77777777" w:rsidR="00A709A3" w:rsidRDefault="00A709A3" w:rsidP="00A709A3">
      <w:pPr>
        <w:pStyle w:val="whitespace-normal"/>
      </w:pPr>
      <w:r>
        <w:rPr>
          <w:rStyle w:val="Fett"/>
          <w:rFonts w:eastAsiaTheme="majorEastAsia"/>
        </w:rPr>
        <w:t>Hebräisch:</w:t>
      </w:r>
      <w:r>
        <w:t xml:space="preserve"> </w:t>
      </w:r>
      <w:r>
        <w:rPr>
          <w:rtl/>
        </w:rPr>
        <w:t>אָרוּר שֹׁכֵב עִם־כָּל־בְּהֵמָה וְאָמַר כָּל־הָעָם אָמֵֽן׃</w:t>
      </w:r>
    </w:p>
    <w:p w14:paraId="326A149A" w14:textId="77777777" w:rsidR="00A709A3" w:rsidRDefault="00A709A3" w:rsidP="00A709A3">
      <w:pPr>
        <w:pStyle w:val="whitespace-normal"/>
      </w:pPr>
      <w:r>
        <w:rPr>
          <w:rStyle w:val="Fett"/>
          <w:rFonts w:eastAsiaTheme="majorEastAsia"/>
        </w:rPr>
        <w:t>Deutsch:</w:t>
      </w:r>
      <w:r>
        <w:t xml:space="preserve"> Verflucht sei, wer liegt bei irgendeinem Tier! Und das ganze Volk soll sagen: Amen!</w:t>
      </w:r>
    </w:p>
    <w:p w14:paraId="2AA515EA" w14:textId="77777777" w:rsidR="00A709A3" w:rsidRDefault="004F5CEB" w:rsidP="00A709A3">
      <w:r>
        <w:rPr>
          <w:noProof/>
        </w:rPr>
        <w:pict w14:anchorId="3E66BAE1">
          <v:rect id="_x0000_i1736" style="width:0;height:1.5pt" o:hralign="center" o:hrstd="t" o:hr="t" fillcolor="#a0a0a0" stroked="f"/>
        </w:pict>
      </w:r>
    </w:p>
    <w:p w14:paraId="1A466DCE"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אָרוּר שֹׁכֵב עִם־כָּל־בְּהֵמָה וְאָמַר כָּל־הָעָם אָמֵן</w:t>
      </w:r>
      <w:r>
        <w:rPr>
          <w:rtl/>
        </w:rPr>
        <w:t xml:space="preserve"> </w:t>
      </w:r>
      <w:r>
        <w:t xml:space="preserve">ist der siebte Fluch: </w:t>
      </w:r>
      <w:r>
        <w:rPr>
          <w:rStyle w:val="Fett"/>
          <w:rFonts w:eastAsiaTheme="majorEastAsia"/>
          <w:rtl/>
        </w:rPr>
        <w:t>אָרוּר שֹׁכֵב עִם־כָּל־בְּהֵמָה</w:t>
      </w:r>
      <w:r>
        <w:rPr>
          <w:rtl/>
        </w:rPr>
        <w:t xml:space="preserve"> </w:t>
      </w:r>
      <w:r>
        <w:t>(</w:t>
      </w:r>
      <w:r>
        <w:rPr>
          <w:rStyle w:val="Fett"/>
          <w:rFonts w:eastAsiaTheme="majorEastAsia"/>
          <w:rtl/>
        </w:rPr>
        <w:t>אָרוּר</w:t>
      </w:r>
      <w:r>
        <w:t xml:space="preserve">, </w:t>
      </w:r>
      <w:r>
        <w:rPr>
          <w:rStyle w:val="Fett"/>
          <w:rFonts w:eastAsiaTheme="majorEastAsia"/>
          <w:rtl/>
        </w:rPr>
        <w:t>שׁכב עִם</w:t>
      </w:r>
      <w:r>
        <w:rPr>
          <w:rtl/>
        </w:rPr>
        <w:t xml:space="preserve"> </w:t>
      </w:r>
      <w:r>
        <w:t xml:space="preserve">wie V. 20, </w:t>
      </w:r>
      <w:r>
        <w:rPr>
          <w:rStyle w:val="Fett"/>
          <w:rFonts w:eastAsiaTheme="majorEastAsia"/>
          <w:rtl/>
        </w:rPr>
        <w:t>כָּל־בְּהֵמָה</w:t>
      </w:r>
      <w:r>
        <w:t xml:space="preserve">, „jedes/irgendein Tier"), </w:t>
      </w:r>
      <w:r>
        <w:rPr>
          <w:rStyle w:val="Fett"/>
          <w:rFonts w:eastAsiaTheme="majorEastAsia"/>
          <w:rtl/>
        </w:rPr>
        <w:t>וְאָמַר כָּל־הָעָם אָמֵן</w:t>
      </w:r>
      <w:r>
        <w:rPr>
          <w:rtl/>
        </w:rPr>
        <w:t xml:space="preserve"> </w:t>
      </w:r>
      <w:r>
        <w:t>(wie V. 15-21).</w:t>
      </w:r>
    </w:p>
    <w:p w14:paraId="1AEF295E" w14:textId="77777777" w:rsidR="00A709A3" w:rsidRDefault="00A709A3" w:rsidP="00A709A3">
      <w:pPr>
        <w:pStyle w:val="whitespace-normal"/>
      </w:pPr>
      <w:r>
        <w:t xml:space="preserve">Der siebte Fluch betrifft Sodomie. Der Fluch: </w:t>
      </w:r>
      <w:r>
        <w:rPr>
          <w:rStyle w:val="Fett"/>
          <w:rFonts w:eastAsiaTheme="majorEastAsia"/>
          <w:rtl/>
        </w:rPr>
        <w:t>אָרוּר שֹׁכֵב עִם־כָּל־בְּהֵמָה</w:t>
      </w:r>
      <w:r>
        <w:rPr>
          <w:rtl/>
        </w:rPr>
        <w:t xml:space="preserve"> </w:t>
      </w:r>
      <w:r>
        <w:t xml:space="preserve">(„verflucht sei, wer liegt bei irgendeinem Tier"). Das Wort </w:t>
      </w:r>
      <w:r>
        <w:rPr>
          <w:rStyle w:val="Fett"/>
          <w:rFonts w:eastAsiaTheme="majorEastAsia"/>
          <w:rtl/>
        </w:rPr>
        <w:t>בְּהֵמָה</w:t>
      </w:r>
      <w:r>
        <w:rPr>
          <w:rtl/>
        </w:rPr>
        <w:t xml:space="preserve"> </w:t>
      </w:r>
      <w:r>
        <w:t xml:space="preserve">(„Tier, Vieh") mit </w:t>
      </w:r>
      <w:r>
        <w:rPr>
          <w:rStyle w:val="Fett"/>
          <w:rFonts w:eastAsiaTheme="majorEastAsia"/>
          <w:rtl/>
        </w:rPr>
        <w:t>כָּל</w:t>
      </w:r>
      <w:r>
        <w:rPr>
          <w:rtl/>
        </w:rPr>
        <w:t xml:space="preserve"> </w:t>
      </w:r>
      <w:r>
        <w:t>(„jedes, irgendein") umfasst alle Tiere. Dies ist ein absolutes Tabu. Vgl. Ex 22,18; Lev 18,23; 20,15-16.</w:t>
      </w:r>
    </w:p>
    <w:p w14:paraId="6412B118" w14:textId="77777777" w:rsidR="00A709A3" w:rsidRDefault="00A709A3" w:rsidP="00A709A3">
      <w:pPr>
        <w:pStyle w:val="whitespace-normal"/>
      </w:pPr>
      <w:r>
        <w:rPr>
          <w:rStyle w:val="Fett"/>
          <w:rFonts w:eastAsiaTheme="majorEastAsia"/>
        </w:rPr>
        <w:t>Die Satzstruktur:</w:t>
      </w:r>
      <w:r>
        <w:t xml:space="preserve"> Fluch mit Volksantwort (verflucht sei, wer liegt bei irgendeinem Tier; und sagen soll das ganze Volk: Amen).</w:t>
      </w:r>
    </w:p>
    <w:p w14:paraId="3C20DD88" w14:textId="77777777" w:rsidR="00A709A3" w:rsidRDefault="00A709A3" w:rsidP="00A709A3">
      <w:pPr>
        <w:pStyle w:val="whitespace-normal"/>
      </w:pPr>
      <w:r>
        <w:rPr>
          <w:rStyle w:val="Fett"/>
          <w:rFonts w:eastAsiaTheme="majorEastAsia"/>
        </w:rPr>
        <w:t>Der Vers beschreibt:</w:t>
      </w:r>
      <w:r>
        <w:t xml:space="preserve"> Siebter Fluch – gegen Sodomie (sexuelle Beziehung mit Tieren).</w:t>
      </w:r>
    </w:p>
    <w:p w14:paraId="53DF6EE4" w14:textId="77777777" w:rsidR="00A709A3" w:rsidRDefault="004F5CEB" w:rsidP="00A709A3">
      <w:r>
        <w:rPr>
          <w:noProof/>
        </w:rPr>
        <w:pict w14:anchorId="061C14BF">
          <v:rect id="_x0000_i1737" style="width:0;height:1.5pt" o:hralign="center" o:hrstd="t" o:hr="t" fillcolor="#a0a0a0" stroked="f"/>
        </w:pict>
      </w:r>
    </w:p>
    <w:p w14:paraId="3DADFB6B" w14:textId="77777777" w:rsidR="00A709A3" w:rsidRPr="00B53ACC" w:rsidRDefault="00A709A3" w:rsidP="00B53ACC">
      <w:pPr>
        <w:pStyle w:val="Bibelberschrift"/>
      </w:pPr>
      <w:r w:rsidRPr="00B53ACC">
        <w:rPr>
          <w:rStyle w:val="Fett"/>
          <w:b/>
          <w:bCs w:val="0"/>
        </w:rPr>
        <w:t>Deuteronomium 27,22</w:t>
      </w:r>
    </w:p>
    <w:p w14:paraId="56930280" w14:textId="77777777" w:rsidR="00A709A3" w:rsidRDefault="00A709A3" w:rsidP="00A709A3">
      <w:pPr>
        <w:pStyle w:val="whitespace-normal"/>
      </w:pPr>
      <w:r>
        <w:rPr>
          <w:rStyle w:val="Fett"/>
          <w:rFonts w:eastAsiaTheme="majorEastAsia"/>
        </w:rPr>
        <w:t>Hebräisch:</w:t>
      </w:r>
      <w:r>
        <w:t xml:space="preserve"> </w:t>
      </w:r>
      <w:r>
        <w:rPr>
          <w:rtl/>
        </w:rPr>
        <w:t>אָרוּר שֹׁכֵב עִם־אֲחֹתוֹ בַּת־אָבִיו אוֹ בַת־אִמּוֹ וְאָמַר כָּל־הָעָם אָמֵֽן׃</w:t>
      </w:r>
    </w:p>
    <w:p w14:paraId="60D3BF0A" w14:textId="77777777" w:rsidR="00A709A3" w:rsidRDefault="00A709A3" w:rsidP="00A709A3">
      <w:pPr>
        <w:pStyle w:val="whitespace-normal"/>
      </w:pPr>
      <w:r>
        <w:rPr>
          <w:rStyle w:val="Fett"/>
          <w:rFonts w:eastAsiaTheme="majorEastAsia"/>
        </w:rPr>
        <w:t>Deutsch:</w:t>
      </w:r>
      <w:r>
        <w:t xml:space="preserve"> Verflucht sei, wer liegt bei seiner Schwester, der Tochter seines Vaters oder der Tochter seiner Mutter! Und das ganze Volk soll sagen: Amen!</w:t>
      </w:r>
    </w:p>
    <w:p w14:paraId="3654DAF8" w14:textId="77777777" w:rsidR="00A709A3" w:rsidRDefault="004F5CEB" w:rsidP="00A709A3">
      <w:r>
        <w:rPr>
          <w:noProof/>
        </w:rPr>
        <w:pict w14:anchorId="7E54900A">
          <v:rect id="_x0000_i1738" style="width:0;height:1.5pt" o:hralign="center" o:hrstd="t" o:hr="t" fillcolor="#a0a0a0" stroked="f"/>
        </w:pict>
      </w:r>
    </w:p>
    <w:p w14:paraId="70612AFE"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אָרוּר שֹׁכֵב עִם־אֲחֹתוֹ בַּת־אָבִיו אוֹ בַת־אִמּוֹ וְאָמַר כָּל־הָעָם אָמֵן</w:t>
      </w:r>
      <w:r>
        <w:rPr>
          <w:rtl/>
        </w:rPr>
        <w:t xml:space="preserve"> </w:t>
      </w:r>
      <w:r>
        <w:t xml:space="preserve">ist der achte Fluch: </w:t>
      </w:r>
      <w:r>
        <w:rPr>
          <w:rStyle w:val="Fett"/>
          <w:rFonts w:eastAsiaTheme="majorEastAsia"/>
          <w:rtl/>
        </w:rPr>
        <w:t>אָרוּר שֹׁכֵב עִם־אֲחֹתוֹ בַּת־אָבִיו אוֹ בַת־אִמּוֹ</w:t>
      </w:r>
      <w:r>
        <w:rPr>
          <w:rtl/>
        </w:rPr>
        <w:t xml:space="preserve"> </w:t>
      </w:r>
      <w:r>
        <w:t>(</w:t>
      </w:r>
      <w:r>
        <w:rPr>
          <w:rStyle w:val="Fett"/>
          <w:rFonts w:eastAsiaTheme="majorEastAsia"/>
          <w:rtl/>
        </w:rPr>
        <w:t>אָרוּר</w:t>
      </w:r>
      <w:r>
        <w:t xml:space="preserve">, </w:t>
      </w:r>
      <w:r>
        <w:rPr>
          <w:rStyle w:val="Fett"/>
          <w:rFonts w:eastAsiaTheme="majorEastAsia"/>
          <w:rtl/>
        </w:rPr>
        <w:t>שׁכב עִם</w:t>
      </w:r>
      <w:r>
        <w:rPr>
          <w:rtl/>
        </w:rPr>
        <w:t xml:space="preserve"> </w:t>
      </w:r>
      <w:r>
        <w:t xml:space="preserve">wie V. 20-21, </w:t>
      </w:r>
      <w:r>
        <w:rPr>
          <w:rStyle w:val="Fett"/>
          <w:rFonts w:eastAsiaTheme="majorEastAsia"/>
          <w:rtl/>
        </w:rPr>
        <w:t>אָחוֹת</w:t>
      </w:r>
      <w:r>
        <w:t xml:space="preserve">, „Schwester", mit Suffix 3. Person Maskulinum Singular, Appositionen: </w:t>
      </w:r>
      <w:r>
        <w:rPr>
          <w:rStyle w:val="Fett"/>
          <w:rFonts w:eastAsiaTheme="majorEastAsia"/>
          <w:rtl/>
        </w:rPr>
        <w:t>בַּת־אָבִיו</w:t>
      </w:r>
      <w:r>
        <w:t xml:space="preserve">, „Tochter seines Vaters" (Halbschwester väterlicherseits), </w:t>
      </w:r>
      <w:r>
        <w:rPr>
          <w:rStyle w:val="Fett"/>
          <w:rFonts w:eastAsiaTheme="majorEastAsia"/>
          <w:rtl/>
        </w:rPr>
        <w:t>אוֹ</w:t>
      </w:r>
      <w:r>
        <w:t xml:space="preserve">, „oder", </w:t>
      </w:r>
      <w:r>
        <w:rPr>
          <w:rStyle w:val="Fett"/>
          <w:rFonts w:eastAsiaTheme="majorEastAsia"/>
          <w:rtl/>
        </w:rPr>
        <w:t>בַת־אִמּוֹ</w:t>
      </w:r>
      <w:r>
        <w:t xml:space="preserve">, „Tochter seiner Mutter" (Halbschwester mütterlicherseits oder Vollschwester)), </w:t>
      </w:r>
      <w:r>
        <w:rPr>
          <w:rStyle w:val="Fett"/>
          <w:rFonts w:eastAsiaTheme="majorEastAsia"/>
          <w:rtl/>
        </w:rPr>
        <w:t>וְאָמַר כָּל־הָעָם אָמֵן</w:t>
      </w:r>
      <w:r>
        <w:rPr>
          <w:rtl/>
        </w:rPr>
        <w:t xml:space="preserve"> </w:t>
      </w:r>
      <w:r>
        <w:t>(wie V. 15-22).</w:t>
      </w:r>
    </w:p>
    <w:p w14:paraId="5ABB3660" w14:textId="77777777" w:rsidR="00A709A3" w:rsidRDefault="00A709A3" w:rsidP="00A709A3">
      <w:pPr>
        <w:pStyle w:val="whitespace-normal"/>
      </w:pPr>
      <w:r>
        <w:t xml:space="preserve">Der achte Fluch betrifft Inzest mit der Schwester. Der Fluch: </w:t>
      </w:r>
      <w:r>
        <w:rPr>
          <w:rStyle w:val="Fett"/>
          <w:rFonts w:eastAsiaTheme="majorEastAsia"/>
          <w:rtl/>
        </w:rPr>
        <w:t>אָרוּר שֹׁכֵב עִם־אֲחֹתוֹ בַּת־אָבִיו אוֹ בַת־אִמּוֹ</w:t>
      </w:r>
      <w:r>
        <w:rPr>
          <w:rtl/>
        </w:rPr>
        <w:t xml:space="preserve"> </w:t>
      </w:r>
      <w:r>
        <w:t xml:space="preserve">(„verflucht sei, wer liegt bei seiner Schwester, der Tochter seines Vaters oder der Tochter </w:t>
      </w:r>
      <w:r>
        <w:lastRenderedPageBreak/>
        <w:t xml:space="preserve">seiner Mutter"). Die doppelte Präzisierung </w:t>
      </w:r>
      <w:r>
        <w:rPr>
          <w:rStyle w:val="Fett"/>
          <w:rFonts w:eastAsiaTheme="majorEastAsia"/>
          <w:rtl/>
        </w:rPr>
        <w:t>בַּת־אָבִיו אוֹ בַת־אִמּוֹ</w:t>
      </w:r>
      <w:r>
        <w:rPr>
          <w:rtl/>
        </w:rPr>
        <w:t xml:space="preserve"> </w:t>
      </w:r>
      <w:r>
        <w:t>umfasst alle Arten von Schwestern: Halbschwestern (väterlicherseits oder mütterlicherseits) und Vollschwestern. Vgl. Lev 18,9.11; 20,17.</w:t>
      </w:r>
    </w:p>
    <w:p w14:paraId="5B21F47D" w14:textId="77777777" w:rsidR="00A709A3" w:rsidRDefault="00A709A3" w:rsidP="00A709A3">
      <w:pPr>
        <w:pStyle w:val="whitespace-normal"/>
      </w:pPr>
      <w:r>
        <w:rPr>
          <w:rStyle w:val="Fett"/>
          <w:rFonts w:eastAsiaTheme="majorEastAsia"/>
        </w:rPr>
        <w:t>Die Satzstruktur:</w:t>
      </w:r>
      <w:r>
        <w:t xml:space="preserve"> Fluch mit Volksantwort (verflucht sei, wer liegt bei seiner Schwester, der Tochter seines Vaters oder der Tochter seiner Mutter; und sagen soll das ganze Volk: Amen).</w:t>
      </w:r>
    </w:p>
    <w:p w14:paraId="5209ABF2" w14:textId="009FB795" w:rsidR="00A709A3" w:rsidRDefault="00A709A3" w:rsidP="00705F3D">
      <w:pPr>
        <w:pStyle w:val="whitespace-normal"/>
      </w:pPr>
      <w:r>
        <w:rPr>
          <w:rStyle w:val="Fett"/>
          <w:rFonts w:eastAsiaTheme="majorEastAsia"/>
        </w:rPr>
        <w:t>Der Vers beschreibt:</w:t>
      </w:r>
      <w:r>
        <w:t xml:space="preserve"> Achter Fluch – gegen Inzest mit der Schwester.</w:t>
      </w:r>
    </w:p>
    <w:p w14:paraId="58163EED" w14:textId="77777777" w:rsidR="00A709A3" w:rsidRPr="00B53ACC" w:rsidRDefault="00A709A3" w:rsidP="0039595E">
      <w:pPr>
        <w:pStyle w:val="Bibelberschrift"/>
      </w:pPr>
      <w:r w:rsidRPr="00B53ACC">
        <w:rPr>
          <w:rStyle w:val="Fett"/>
          <w:b/>
          <w:bCs w:val="0"/>
        </w:rPr>
        <w:t>Deuteronomium 27,23</w:t>
      </w:r>
    </w:p>
    <w:p w14:paraId="6878E608" w14:textId="77777777" w:rsidR="00A709A3" w:rsidRDefault="00A709A3" w:rsidP="00A709A3">
      <w:pPr>
        <w:pStyle w:val="whitespace-normal"/>
      </w:pPr>
      <w:r>
        <w:rPr>
          <w:rStyle w:val="Fett"/>
          <w:rFonts w:eastAsiaTheme="majorEastAsia"/>
        </w:rPr>
        <w:t>Hebräisch:</w:t>
      </w:r>
      <w:r>
        <w:t xml:space="preserve"> </w:t>
      </w:r>
      <w:r>
        <w:rPr>
          <w:rtl/>
        </w:rPr>
        <w:t>אָרוּר שֹׁכֵב עִם־חֹֽתַנְתּוֹ וְאָמַר כָּל־הָעָם אָמֵֽן׃</w:t>
      </w:r>
    </w:p>
    <w:p w14:paraId="011DBC3E" w14:textId="77777777" w:rsidR="00A709A3" w:rsidRDefault="00A709A3" w:rsidP="00A709A3">
      <w:pPr>
        <w:pStyle w:val="whitespace-normal"/>
      </w:pPr>
      <w:r>
        <w:rPr>
          <w:rStyle w:val="Fett"/>
          <w:rFonts w:eastAsiaTheme="majorEastAsia"/>
        </w:rPr>
        <w:t>Deutsch:</w:t>
      </w:r>
      <w:r>
        <w:t xml:space="preserve"> Verflucht sei, wer liegt bei seiner Schwiegermutter! Und das ganze Volk soll sagen: Amen!</w:t>
      </w:r>
    </w:p>
    <w:p w14:paraId="6CCB493F" w14:textId="77777777" w:rsidR="00A709A3" w:rsidRDefault="004F5CEB" w:rsidP="00A709A3">
      <w:r>
        <w:rPr>
          <w:noProof/>
        </w:rPr>
        <w:pict w14:anchorId="267B856B">
          <v:rect id="_x0000_i1739" style="width:0;height:1.5pt" o:hralign="center" o:hrstd="t" o:hr="t" fillcolor="#a0a0a0" stroked="f"/>
        </w:pict>
      </w:r>
    </w:p>
    <w:p w14:paraId="4DC5F4F7"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אָרוּר שֹׁכֵב עִם־חֹֽתַנְתּוֹ וְאָמַר כָּל־הָעָם אָמֵן</w:t>
      </w:r>
      <w:r>
        <w:rPr>
          <w:rtl/>
        </w:rPr>
        <w:t xml:space="preserve"> </w:t>
      </w:r>
      <w:r>
        <w:t xml:space="preserve">ist der neunte Fluch: </w:t>
      </w:r>
      <w:r>
        <w:rPr>
          <w:rStyle w:val="Fett"/>
          <w:rFonts w:eastAsiaTheme="majorEastAsia"/>
          <w:rtl/>
        </w:rPr>
        <w:t>אָרוּר שֹׁכֵב עִם־חֹֽתַנְתּוֹ</w:t>
      </w:r>
      <w:r>
        <w:rPr>
          <w:rtl/>
        </w:rPr>
        <w:t xml:space="preserve"> </w:t>
      </w:r>
      <w:r>
        <w:t>(</w:t>
      </w:r>
      <w:r>
        <w:rPr>
          <w:rStyle w:val="Fett"/>
          <w:rFonts w:eastAsiaTheme="majorEastAsia"/>
          <w:rtl/>
        </w:rPr>
        <w:t>אָרוּר</w:t>
      </w:r>
      <w:r>
        <w:t xml:space="preserve">, </w:t>
      </w:r>
      <w:r>
        <w:rPr>
          <w:rStyle w:val="Fett"/>
          <w:rFonts w:eastAsiaTheme="majorEastAsia"/>
          <w:rtl/>
        </w:rPr>
        <w:t>שׁכב עִם</w:t>
      </w:r>
      <w:r>
        <w:rPr>
          <w:rtl/>
        </w:rPr>
        <w:t xml:space="preserve"> </w:t>
      </w:r>
      <w:r>
        <w:t xml:space="preserve">wie V. 20-22, </w:t>
      </w:r>
      <w:r>
        <w:rPr>
          <w:rStyle w:val="Fett"/>
          <w:rFonts w:eastAsiaTheme="majorEastAsia"/>
          <w:rtl/>
        </w:rPr>
        <w:t>חֹתֶנֶת</w:t>
      </w:r>
      <w:r>
        <w:t xml:space="preserve">, „Schwiegermutter", mit Suffix 3. Person Maskulinum Singular), </w:t>
      </w:r>
      <w:r>
        <w:rPr>
          <w:rStyle w:val="Fett"/>
          <w:rFonts w:eastAsiaTheme="majorEastAsia"/>
          <w:rtl/>
        </w:rPr>
        <w:t>וְאָמַר כָּל־הָעָם אָמֵן</w:t>
      </w:r>
      <w:r>
        <w:rPr>
          <w:rtl/>
        </w:rPr>
        <w:t xml:space="preserve"> </w:t>
      </w:r>
      <w:r>
        <w:t>(wie V. 15-23).</w:t>
      </w:r>
    </w:p>
    <w:p w14:paraId="3E538F82" w14:textId="386C8187" w:rsidR="00A709A3" w:rsidRDefault="00A709A3" w:rsidP="00A709A3">
      <w:pPr>
        <w:pStyle w:val="whitespace-normal"/>
      </w:pPr>
      <w:r>
        <w:t xml:space="preserve">Der neunte Fluch betrifft Inzest mit der Schwiegermutter. Der Fluch: </w:t>
      </w:r>
      <w:r>
        <w:rPr>
          <w:rStyle w:val="Fett"/>
          <w:rFonts w:eastAsiaTheme="majorEastAsia"/>
          <w:rtl/>
        </w:rPr>
        <w:t>אָרוּר שֹׁכֵב עִם־חֹֽתַנְתּוֹ</w:t>
      </w:r>
      <w:r>
        <w:rPr>
          <w:rtl/>
        </w:rPr>
        <w:t xml:space="preserve"> </w:t>
      </w:r>
      <w:r>
        <w:t xml:space="preserve">(„verflucht sei, wer liegt bei seiner Schwiegermutter"). Das Wort </w:t>
      </w:r>
      <w:r>
        <w:rPr>
          <w:rStyle w:val="Fett"/>
          <w:rFonts w:eastAsiaTheme="majorEastAsia"/>
          <w:rtl/>
        </w:rPr>
        <w:t>חֹתֶנֶת</w:t>
      </w:r>
      <w:r>
        <w:rPr>
          <w:rtl/>
        </w:rPr>
        <w:t xml:space="preserve"> </w:t>
      </w:r>
      <w:r>
        <w:t>(„Schwiegermutter") ist die Mutter der Ehefrau. Vgl. Lev 18,17; 20,14.</w:t>
      </w:r>
    </w:p>
    <w:p w14:paraId="35B1F4A8" w14:textId="5E5369C4" w:rsidR="001A04EF" w:rsidRDefault="001A04EF" w:rsidP="00A709A3">
      <w:pPr>
        <w:pStyle w:val="whitespace-normal"/>
      </w:pPr>
      <w:r>
        <w:rPr>
          <w:rStyle w:val="Fett"/>
        </w:rPr>
        <w:t>Die LXX</w:t>
      </w:r>
      <w:r>
        <w:t xml:space="preserve"> übersetzt </w:t>
      </w:r>
      <w:r>
        <w:rPr>
          <w:rtl/>
        </w:rPr>
        <w:t>חֹתַנְתּוֹ</w:t>
      </w:r>
      <w:r>
        <w:t xml:space="preserve"> (seine Schwiegermutter) mit π</w:t>
      </w:r>
      <w:proofErr w:type="spellStart"/>
      <w:r>
        <w:t>ενθερᾶς</w:t>
      </w:r>
      <w:proofErr w:type="spellEnd"/>
      <w:r>
        <w:t xml:space="preserve"> α</w:t>
      </w:r>
      <w:proofErr w:type="spellStart"/>
      <w:r>
        <w:t>ὐτοῦ</w:t>
      </w:r>
      <w:proofErr w:type="spellEnd"/>
      <w:r>
        <w:t xml:space="preserve"> (seiner Schwiegermutter) – eine präzise Entsprechung.</w:t>
      </w:r>
    </w:p>
    <w:p w14:paraId="26B537A8" w14:textId="77777777" w:rsidR="00A709A3" w:rsidRDefault="00A709A3" w:rsidP="00A709A3">
      <w:pPr>
        <w:pStyle w:val="whitespace-normal"/>
      </w:pPr>
      <w:r>
        <w:rPr>
          <w:rStyle w:val="Fett"/>
          <w:rFonts w:eastAsiaTheme="majorEastAsia"/>
        </w:rPr>
        <w:t>Die Satzstruktur:</w:t>
      </w:r>
      <w:r>
        <w:t xml:space="preserve"> Fluch mit Volksantwort (verflucht sei, wer liegt bei seiner Schwiegermutter; und sagen soll das ganze Volk: Amen).</w:t>
      </w:r>
    </w:p>
    <w:p w14:paraId="53D1192A" w14:textId="1B7A59B3" w:rsidR="00A709A3" w:rsidRDefault="00A709A3" w:rsidP="00705F3D">
      <w:pPr>
        <w:pStyle w:val="whitespace-normal"/>
      </w:pPr>
      <w:r>
        <w:rPr>
          <w:rStyle w:val="Fett"/>
          <w:rFonts w:eastAsiaTheme="majorEastAsia"/>
        </w:rPr>
        <w:t>Der Vers beschreibt:</w:t>
      </w:r>
      <w:r>
        <w:t xml:space="preserve"> Neunter Fluch – gegen Inzest mit der Schwiegermutter.</w:t>
      </w:r>
    </w:p>
    <w:p w14:paraId="17BF4F87" w14:textId="77777777" w:rsidR="00A709A3" w:rsidRPr="00B53ACC" w:rsidRDefault="00A709A3" w:rsidP="00B53ACC">
      <w:pPr>
        <w:pStyle w:val="Bibelberschrift"/>
      </w:pPr>
      <w:r w:rsidRPr="00B53ACC">
        <w:rPr>
          <w:rStyle w:val="Fett"/>
          <w:b/>
          <w:bCs w:val="0"/>
        </w:rPr>
        <w:t>Deuteronomium 27,24</w:t>
      </w:r>
    </w:p>
    <w:p w14:paraId="215ABDC5" w14:textId="77777777" w:rsidR="00A709A3" w:rsidRDefault="00A709A3" w:rsidP="00A709A3">
      <w:pPr>
        <w:pStyle w:val="whitespace-normal"/>
      </w:pPr>
      <w:r>
        <w:rPr>
          <w:rStyle w:val="Fett"/>
          <w:rFonts w:eastAsiaTheme="majorEastAsia"/>
        </w:rPr>
        <w:t>Hebräisch:</w:t>
      </w:r>
      <w:r>
        <w:t xml:space="preserve"> </w:t>
      </w:r>
      <w:r>
        <w:rPr>
          <w:rtl/>
        </w:rPr>
        <w:t>אָרוּר מַכֵּה רֵעֵהוּ בַּסָּתֶר וְאָמַר כָּל־הָעָם אָמֵֽן׃</w:t>
      </w:r>
    </w:p>
    <w:p w14:paraId="312EEC3C" w14:textId="77777777" w:rsidR="00A709A3" w:rsidRDefault="00A709A3" w:rsidP="00A709A3">
      <w:pPr>
        <w:pStyle w:val="whitespace-normal"/>
      </w:pPr>
      <w:r>
        <w:rPr>
          <w:rStyle w:val="Fett"/>
          <w:rFonts w:eastAsiaTheme="majorEastAsia"/>
        </w:rPr>
        <w:t>Deutsch:</w:t>
      </w:r>
      <w:r>
        <w:t xml:space="preserve"> Verflucht sei, wer seinen Nächsten im Verborgenen erschlägt! Und das ganze Volk soll sagen: Amen!</w:t>
      </w:r>
    </w:p>
    <w:p w14:paraId="70298014" w14:textId="77777777" w:rsidR="00A709A3" w:rsidRDefault="004F5CEB" w:rsidP="00A709A3">
      <w:r>
        <w:rPr>
          <w:noProof/>
        </w:rPr>
        <w:pict w14:anchorId="61503F6F">
          <v:rect id="_x0000_i1740" style="width:0;height:1.5pt" o:hralign="center" o:hrstd="t" o:hr="t" fillcolor="#a0a0a0" stroked="f"/>
        </w:pict>
      </w:r>
    </w:p>
    <w:p w14:paraId="032367A5"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אָרוּר מַכֵּה רֵעֵהוּ בַּסָּתֶר וְאָמַר כָּל־הָעָם אָמֵן</w:t>
      </w:r>
      <w:r>
        <w:rPr>
          <w:rtl/>
        </w:rPr>
        <w:t xml:space="preserve"> </w:t>
      </w:r>
      <w:r>
        <w:t xml:space="preserve">ist der zehnte Fluch: </w:t>
      </w:r>
      <w:r>
        <w:rPr>
          <w:rStyle w:val="Fett"/>
          <w:rFonts w:eastAsiaTheme="majorEastAsia"/>
          <w:rtl/>
        </w:rPr>
        <w:t>אָרוּר מַכֵּה רֵעֵהוּ בַּסָּתֶר</w:t>
      </w:r>
      <w:r>
        <w:rPr>
          <w:rtl/>
        </w:rPr>
        <w:t xml:space="preserve"> </w:t>
      </w:r>
      <w:r>
        <w:t>(</w:t>
      </w:r>
      <w:r>
        <w:rPr>
          <w:rStyle w:val="Fett"/>
          <w:rFonts w:eastAsiaTheme="majorEastAsia"/>
          <w:rtl/>
        </w:rPr>
        <w:t>אָרוּר</w:t>
      </w:r>
      <w:r>
        <w:t xml:space="preserve">, </w:t>
      </w:r>
      <w:r>
        <w:rPr>
          <w:rStyle w:val="Fett"/>
          <w:rFonts w:eastAsiaTheme="majorEastAsia"/>
          <w:rtl/>
        </w:rPr>
        <w:t>נכה</w:t>
      </w:r>
      <w:r>
        <w:t xml:space="preserve">, Hiphil Partizip, „schlagen, erschlagen, töten", </w:t>
      </w:r>
      <w:r>
        <w:rPr>
          <w:rStyle w:val="Fett"/>
          <w:rFonts w:eastAsiaTheme="majorEastAsia"/>
          <w:rtl/>
        </w:rPr>
        <w:t>רֵעַ</w:t>
      </w:r>
      <w:r>
        <w:rPr>
          <w:rtl/>
        </w:rPr>
        <w:t xml:space="preserve"> </w:t>
      </w:r>
      <w:r>
        <w:t xml:space="preserve">mit Suffix 3. Person Maskulinum Singular, </w:t>
      </w:r>
      <w:r>
        <w:rPr>
          <w:rStyle w:val="Fett"/>
          <w:rFonts w:eastAsiaTheme="majorEastAsia"/>
          <w:rtl/>
        </w:rPr>
        <w:t>בַּסָּתֶר</w:t>
      </w:r>
      <w:r>
        <w:t xml:space="preserve">, „im Verborgenen, heimlich"), </w:t>
      </w:r>
      <w:r>
        <w:rPr>
          <w:rStyle w:val="Fett"/>
          <w:rFonts w:eastAsiaTheme="majorEastAsia"/>
          <w:rtl/>
        </w:rPr>
        <w:t>וְאָמַר כָּל־הָעָם אָמֵן</w:t>
      </w:r>
      <w:r>
        <w:rPr>
          <w:rtl/>
        </w:rPr>
        <w:t xml:space="preserve"> </w:t>
      </w:r>
      <w:r>
        <w:t>(wie V. 15-24).</w:t>
      </w:r>
    </w:p>
    <w:p w14:paraId="004BD978" w14:textId="4B41194F" w:rsidR="00A709A3" w:rsidRDefault="00A709A3" w:rsidP="00A709A3">
      <w:pPr>
        <w:pStyle w:val="whitespace-normal"/>
      </w:pPr>
      <w:r>
        <w:lastRenderedPageBreak/>
        <w:t xml:space="preserve">Der zehnte Fluch betrifft heimlichen Mord. Der Fluch: </w:t>
      </w:r>
      <w:r>
        <w:rPr>
          <w:rStyle w:val="Fett"/>
          <w:rFonts w:eastAsiaTheme="majorEastAsia"/>
          <w:rtl/>
        </w:rPr>
        <w:t>אָרוּר מַכֵּה רֵעֵהוּ בַּסָּתֶר</w:t>
      </w:r>
      <w:r>
        <w:rPr>
          <w:rtl/>
        </w:rPr>
        <w:t xml:space="preserve"> </w:t>
      </w:r>
      <w:r>
        <w:t xml:space="preserve">(„verflucht sei, wer erschlägt seinen Nächsten im Verborgenen"). Das Verb </w:t>
      </w:r>
      <w:r>
        <w:rPr>
          <w:rStyle w:val="Fett"/>
          <w:rFonts w:eastAsiaTheme="majorEastAsia"/>
          <w:rtl/>
        </w:rPr>
        <w:t>נכה</w:t>
      </w:r>
      <w:r>
        <w:rPr>
          <w:rtl/>
        </w:rPr>
        <w:t xml:space="preserve"> </w:t>
      </w:r>
      <w:r>
        <w:t xml:space="preserve">im Hiphil („schlagen, erschlagen") bedeutet hier töten. Die Formulierung </w:t>
      </w:r>
      <w:r>
        <w:rPr>
          <w:rStyle w:val="Fett"/>
          <w:rFonts w:eastAsiaTheme="majorEastAsia"/>
          <w:rtl/>
        </w:rPr>
        <w:t>בַּסָּתֶר</w:t>
      </w:r>
      <w:r>
        <w:rPr>
          <w:rtl/>
        </w:rPr>
        <w:t xml:space="preserve"> </w:t>
      </w:r>
      <w:r>
        <w:t>(„im Verborgenen") betont: heimlicher Mord, Meuchelmord – ohne Zeugen, schwer zu beweisen. Vgl. Dtn 19,11.</w:t>
      </w:r>
    </w:p>
    <w:p w14:paraId="1B74D31A" w14:textId="21D0E98C" w:rsidR="001A04EF" w:rsidRDefault="001A04EF" w:rsidP="00A709A3">
      <w:pPr>
        <w:pStyle w:val="whitespace-normal"/>
      </w:pPr>
      <w:r>
        <w:rPr>
          <w:rStyle w:val="Fett"/>
        </w:rPr>
        <w:t>Die LXX</w:t>
      </w:r>
      <w:r>
        <w:t xml:space="preserve"> übersetzt </w:t>
      </w:r>
      <w:r>
        <w:rPr>
          <w:rtl/>
        </w:rPr>
        <w:t>מַכֵּה רֵעֵהוּ בַּסָּתֶר</w:t>
      </w:r>
      <w:r>
        <w:t xml:space="preserve"> (der seinen Nächsten heimlich erschlägt) mit ὁ </w:t>
      </w:r>
      <w:proofErr w:type="spellStart"/>
      <w:r>
        <w:t>τύ</w:t>
      </w:r>
      <w:proofErr w:type="spellEnd"/>
      <w:r>
        <w:t xml:space="preserve">πτων </w:t>
      </w:r>
      <w:proofErr w:type="spellStart"/>
      <w:r>
        <w:t>τὸν</w:t>
      </w:r>
      <w:proofErr w:type="spellEnd"/>
      <w:r>
        <w:t xml:space="preserve"> π</w:t>
      </w:r>
      <w:proofErr w:type="spellStart"/>
      <w:r>
        <w:t>λησίον</w:t>
      </w:r>
      <w:proofErr w:type="spellEnd"/>
      <w:r>
        <w:t xml:space="preserve"> </w:t>
      </w:r>
      <w:proofErr w:type="spellStart"/>
      <w:r>
        <w:t>δόλῳ</w:t>
      </w:r>
      <w:proofErr w:type="spellEnd"/>
      <w:r>
        <w:t xml:space="preserve"> (der seinen Nächsten mit List/Trug schlägt) – wobei </w:t>
      </w:r>
      <w:proofErr w:type="spellStart"/>
      <w:r>
        <w:t>δόλος</w:t>
      </w:r>
      <w:proofErr w:type="spellEnd"/>
      <w:r>
        <w:t xml:space="preserve"> "List, Betrug" eine etwas andere Nuance als "heimlich" hat.</w:t>
      </w:r>
    </w:p>
    <w:p w14:paraId="78E290BB" w14:textId="77777777" w:rsidR="00A709A3" w:rsidRDefault="00A709A3" w:rsidP="00A709A3">
      <w:pPr>
        <w:pStyle w:val="whitespace-normal"/>
      </w:pPr>
      <w:r>
        <w:rPr>
          <w:rStyle w:val="Fett"/>
          <w:rFonts w:eastAsiaTheme="majorEastAsia"/>
        </w:rPr>
        <w:t>Die Satzstruktur:</w:t>
      </w:r>
      <w:r>
        <w:t xml:space="preserve"> Fluch mit Volksantwort (verflucht sei, wer erschlägt seinen Nächsten im Verborgenen; und sagen soll das ganze Volk: Amen).</w:t>
      </w:r>
    </w:p>
    <w:p w14:paraId="2E8BB247" w14:textId="249EE00A" w:rsidR="00A709A3" w:rsidRDefault="00A709A3" w:rsidP="00705F3D">
      <w:pPr>
        <w:pStyle w:val="whitespace-normal"/>
      </w:pPr>
      <w:r>
        <w:rPr>
          <w:rStyle w:val="Fett"/>
          <w:rFonts w:eastAsiaTheme="majorEastAsia"/>
        </w:rPr>
        <w:t>Der Vers beschreibt:</w:t>
      </w:r>
      <w:r>
        <w:t xml:space="preserve"> Zehnter Fluch – gegen heimlichen Mord.</w:t>
      </w:r>
    </w:p>
    <w:p w14:paraId="40432CCD" w14:textId="77777777" w:rsidR="00A709A3" w:rsidRPr="00B53ACC" w:rsidRDefault="00A709A3" w:rsidP="0039595E">
      <w:pPr>
        <w:pStyle w:val="Bibelberschrift"/>
      </w:pPr>
      <w:r w:rsidRPr="00B53ACC">
        <w:rPr>
          <w:rStyle w:val="Fett"/>
          <w:b/>
          <w:bCs w:val="0"/>
        </w:rPr>
        <w:t>Deuteronomium 27,25</w:t>
      </w:r>
    </w:p>
    <w:p w14:paraId="6C1A9A99" w14:textId="77777777" w:rsidR="00A709A3" w:rsidRDefault="00A709A3" w:rsidP="00A709A3">
      <w:pPr>
        <w:pStyle w:val="whitespace-normal"/>
      </w:pPr>
      <w:r>
        <w:rPr>
          <w:rStyle w:val="Fett"/>
          <w:rFonts w:eastAsiaTheme="majorEastAsia"/>
        </w:rPr>
        <w:t>Hebräisch:</w:t>
      </w:r>
      <w:r>
        <w:t xml:space="preserve"> </w:t>
      </w:r>
      <w:r>
        <w:rPr>
          <w:rtl/>
        </w:rPr>
        <w:t>אָרוּר לֹקֵחַ שֹׁחַד לְהַכּוֹת נֶפֶשׁ דָּם נָקִי וְאָמַר כָּל־הָעָם אָמֵֽן׃</w:t>
      </w:r>
    </w:p>
    <w:p w14:paraId="53A9CF86" w14:textId="77777777" w:rsidR="00A709A3" w:rsidRDefault="00A709A3" w:rsidP="00A709A3">
      <w:pPr>
        <w:pStyle w:val="whitespace-normal"/>
      </w:pPr>
      <w:r>
        <w:rPr>
          <w:rStyle w:val="Fett"/>
          <w:rFonts w:eastAsiaTheme="majorEastAsia"/>
        </w:rPr>
        <w:t>Deutsch:</w:t>
      </w:r>
      <w:r>
        <w:t xml:space="preserve"> Verflucht sei, wer Bestechung nimmt, um eine Seele zu erschlagen, unschuldiges Blut! Und das ganze Volk soll sagen: Amen!</w:t>
      </w:r>
    </w:p>
    <w:p w14:paraId="348B2FE8" w14:textId="77777777" w:rsidR="00A709A3" w:rsidRDefault="004F5CEB" w:rsidP="00A709A3">
      <w:r>
        <w:rPr>
          <w:noProof/>
        </w:rPr>
        <w:pict w14:anchorId="7FBDBD02">
          <v:rect id="_x0000_i1741" style="width:0;height:1.5pt" o:hralign="center" o:hrstd="t" o:hr="t" fillcolor="#a0a0a0" stroked="f"/>
        </w:pict>
      </w:r>
    </w:p>
    <w:p w14:paraId="5AB9A428"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אָרוּר לֹקֵחַ שֹׁחַד לְהַכּוֹת נֶפֶשׁ דָּם נָקִי וְאָמַר כָּל־הָעָם אָמֵן</w:t>
      </w:r>
      <w:r>
        <w:rPr>
          <w:rtl/>
        </w:rPr>
        <w:t xml:space="preserve"> </w:t>
      </w:r>
      <w:r>
        <w:t xml:space="preserve">ist der elfte Fluch: </w:t>
      </w:r>
      <w:r>
        <w:rPr>
          <w:rStyle w:val="Fett"/>
          <w:rFonts w:eastAsiaTheme="majorEastAsia"/>
          <w:rtl/>
        </w:rPr>
        <w:t>אָרוּר לֹקֵחַ שֹׁחַד לְהַכּוֹת נֶפֶשׁ דָּם נָקִי</w:t>
      </w:r>
      <w:r>
        <w:rPr>
          <w:rtl/>
        </w:rPr>
        <w:t xml:space="preserve"> </w:t>
      </w:r>
      <w:r>
        <w:t>(</w:t>
      </w:r>
      <w:r>
        <w:rPr>
          <w:rStyle w:val="Fett"/>
          <w:rFonts w:eastAsiaTheme="majorEastAsia"/>
          <w:rtl/>
        </w:rPr>
        <w:t>אָרוּר</w:t>
      </w:r>
      <w:r>
        <w:t xml:space="preserve">, </w:t>
      </w:r>
      <w:r>
        <w:rPr>
          <w:rStyle w:val="Fett"/>
          <w:rFonts w:eastAsiaTheme="majorEastAsia"/>
          <w:rtl/>
        </w:rPr>
        <w:t>לקח</w:t>
      </w:r>
      <w:r>
        <w:t xml:space="preserve">, Qal Partizip, „nehmen", </w:t>
      </w:r>
      <w:r>
        <w:rPr>
          <w:rStyle w:val="Fett"/>
          <w:rFonts w:eastAsiaTheme="majorEastAsia"/>
          <w:rtl/>
        </w:rPr>
        <w:t>שֹׁחַד</w:t>
      </w:r>
      <w:r>
        <w:t xml:space="preserve">, „Bestechung, Bestechungsgeld", Präposition </w:t>
      </w:r>
      <w:r>
        <w:rPr>
          <w:rStyle w:val="Fett"/>
          <w:rFonts w:eastAsiaTheme="majorEastAsia"/>
          <w:rtl/>
        </w:rPr>
        <w:t>לְ</w:t>
      </w:r>
      <w:r>
        <w:rPr>
          <w:rtl/>
        </w:rPr>
        <w:t xml:space="preserve"> </w:t>
      </w:r>
      <w:r>
        <w:t xml:space="preserve">mit Hiphil Infinitiv Construct von </w:t>
      </w:r>
      <w:r>
        <w:rPr>
          <w:rStyle w:val="Fett"/>
          <w:rFonts w:eastAsiaTheme="majorEastAsia"/>
          <w:rtl/>
        </w:rPr>
        <w:t>נכה</w:t>
      </w:r>
      <w:r>
        <w:t xml:space="preserve">, </w:t>
      </w:r>
      <w:r>
        <w:rPr>
          <w:rStyle w:val="Fett"/>
          <w:rFonts w:eastAsiaTheme="majorEastAsia"/>
          <w:rtl/>
        </w:rPr>
        <w:t>נֶפֶשׁ דָּם נָקִי</w:t>
      </w:r>
      <w:r>
        <w:t xml:space="preserve">, „Seele unschuldigen Blutes" = unschuldiger Mensch), </w:t>
      </w:r>
      <w:r>
        <w:rPr>
          <w:rStyle w:val="Fett"/>
          <w:rFonts w:eastAsiaTheme="majorEastAsia"/>
          <w:rtl/>
        </w:rPr>
        <w:t>וְאָמַר כָּל־הָעָם אָמֵן</w:t>
      </w:r>
      <w:r>
        <w:rPr>
          <w:rtl/>
        </w:rPr>
        <w:t xml:space="preserve"> </w:t>
      </w:r>
      <w:r>
        <w:t>(wie V. 15-25).</w:t>
      </w:r>
    </w:p>
    <w:p w14:paraId="1EDB7A4F" w14:textId="26D76D49" w:rsidR="00A709A3" w:rsidRDefault="00A709A3" w:rsidP="00A709A3">
      <w:pPr>
        <w:pStyle w:val="whitespace-normal"/>
      </w:pPr>
      <w:r>
        <w:t xml:space="preserve">Der elfte Fluch betrifft Auftragsmord. Der Fluch: </w:t>
      </w:r>
      <w:r>
        <w:rPr>
          <w:rStyle w:val="Fett"/>
          <w:rFonts w:eastAsiaTheme="majorEastAsia"/>
          <w:rtl/>
        </w:rPr>
        <w:t>אָרוּר לֹקֵחַ שֹׁחַד לְהַכּוֹת נֶפֶשׁ דָּם נָקִי</w:t>
      </w:r>
      <w:r>
        <w:rPr>
          <w:rtl/>
        </w:rPr>
        <w:t xml:space="preserve"> </w:t>
      </w:r>
      <w:r>
        <w:t xml:space="preserve">(„verflucht sei, wer nimmt Bestechung, um zu erschlagen eine Seele unschuldigen Blutes"). Das Wort </w:t>
      </w:r>
      <w:r>
        <w:rPr>
          <w:rStyle w:val="Fett"/>
          <w:rFonts w:eastAsiaTheme="majorEastAsia"/>
          <w:rtl/>
        </w:rPr>
        <w:t>שֹׁחַד</w:t>
      </w:r>
      <w:r>
        <w:rPr>
          <w:rtl/>
        </w:rPr>
        <w:t xml:space="preserve"> </w:t>
      </w:r>
      <w:r>
        <w:t xml:space="preserve">(„Bestechung") – bezahlter Mord, Auftragsmord. Die Formulierung </w:t>
      </w:r>
      <w:r>
        <w:rPr>
          <w:rStyle w:val="Fett"/>
          <w:rFonts w:eastAsiaTheme="majorEastAsia"/>
          <w:rtl/>
        </w:rPr>
        <w:t>נֶפֶשׁ דָּם נָקִי</w:t>
      </w:r>
      <w:r>
        <w:rPr>
          <w:rtl/>
        </w:rPr>
        <w:t xml:space="preserve"> </w:t>
      </w:r>
      <w:r>
        <w:t>(„Seele unschuldigen Blutes") betont: ein Unschuldiger wird getötet. Vgl. Dtn 16,19; Ex 23,7-8.</w:t>
      </w:r>
    </w:p>
    <w:p w14:paraId="3188458A" w14:textId="26B14A73" w:rsidR="001A04EF" w:rsidRDefault="001A04EF" w:rsidP="00A709A3">
      <w:pPr>
        <w:pStyle w:val="whitespace-normal"/>
      </w:pPr>
      <w:r>
        <w:rPr>
          <w:rStyle w:val="Fett"/>
        </w:rPr>
        <w:t>Die LXX</w:t>
      </w:r>
      <w:r>
        <w:t xml:space="preserve"> übersetzt </w:t>
      </w:r>
      <w:r>
        <w:rPr>
          <w:rtl/>
        </w:rPr>
        <w:t>שֹׁחַד</w:t>
      </w:r>
      <w:r>
        <w:t xml:space="preserve"> (Bestechung) mit </w:t>
      </w:r>
      <w:proofErr w:type="spellStart"/>
      <w:r>
        <w:t>δῶρ</w:t>
      </w:r>
      <w:proofErr w:type="spellEnd"/>
      <w:r>
        <w:t xml:space="preserve">α (Geschenke) – ein allgemeinerer Begriff. Die Wendung </w:t>
      </w:r>
      <w:proofErr w:type="spellStart"/>
      <w:r>
        <w:t>ψυχὴν</w:t>
      </w:r>
      <w:proofErr w:type="spellEnd"/>
      <w:r>
        <w:t xml:space="preserve"> α</w:t>
      </w:r>
      <w:proofErr w:type="spellStart"/>
      <w:r>
        <w:t>ἵμ</w:t>
      </w:r>
      <w:proofErr w:type="spellEnd"/>
      <w:r>
        <w:t xml:space="preserve">ατος </w:t>
      </w:r>
      <w:proofErr w:type="spellStart"/>
      <w:r>
        <w:t>ἀθῴου</w:t>
      </w:r>
      <w:proofErr w:type="spellEnd"/>
      <w:r>
        <w:t xml:space="preserve"> (eine unschuldige Blutseele) für </w:t>
      </w:r>
      <w:r>
        <w:rPr>
          <w:rtl/>
        </w:rPr>
        <w:t>נֶפֶשׁ דָּם נָקִי</w:t>
      </w:r>
      <w:r>
        <w:t xml:space="preserve"> ist eine wörtliche Wiedergabe.</w:t>
      </w:r>
    </w:p>
    <w:p w14:paraId="64EFF221" w14:textId="77777777" w:rsidR="00A709A3" w:rsidRDefault="00A709A3" w:rsidP="00A709A3">
      <w:pPr>
        <w:pStyle w:val="whitespace-normal"/>
      </w:pPr>
      <w:r>
        <w:rPr>
          <w:rStyle w:val="Fett"/>
          <w:rFonts w:eastAsiaTheme="majorEastAsia"/>
        </w:rPr>
        <w:t>Die Satzstruktur:</w:t>
      </w:r>
      <w:r>
        <w:t xml:space="preserve"> Fluch mit Volksantwort (verflucht sei, wer nimmt Bestechung, um zu erschlagen eine Seele unschuldigen Blutes; und sagen soll das ganze Volk: Amen).</w:t>
      </w:r>
    </w:p>
    <w:p w14:paraId="08DFD72D" w14:textId="3C390DAC" w:rsidR="00A709A3" w:rsidRDefault="00A709A3" w:rsidP="00705F3D">
      <w:pPr>
        <w:pStyle w:val="whitespace-normal"/>
      </w:pPr>
      <w:r>
        <w:rPr>
          <w:rStyle w:val="Fett"/>
          <w:rFonts w:eastAsiaTheme="majorEastAsia"/>
        </w:rPr>
        <w:t>Der Vers beschreibt:</w:t>
      </w:r>
      <w:r>
        <w:t xml:space="preserve"> Elfter Fluch – gegen Auftragsmord (Bestechung zum Mord).</w:t>
      </w:r>
    </w:p>
    <w:p w14:paraId="0E4E7BE5" w14:textId="77777777" w:rsidR="00A709A3" w:rsidRPr="00B53ACC" w:rsidRDefault="00A709A3" w:rsidP="00B53ACC">
      <w:pPr>
        <w:pStyle w:val="Bibelberschrift"/>
      </w:pPr>
      <w:r w:rsidRPr="00B53ACC">
        <w:rPr>
          <w:rStyle w:val="Fett"/>
          <w:b/>
          <w:bCs w:val="0"/>
        </w:rPr>
        <w:t>Deuteronomium 27,26</w:t>
      </w:r>
    </w:p>
    <w:p w14:paraId="73F3A98D" w14:textId="77777777" w:rsidR="00A709A3" w:rsidRDefault="00A709A3" w:rsidP="00A709A3">
      <w:pPr>
        <w:pStyle w:val="whitespace-normal"/>
      </w:pPr>
      <w:r>
        <w:rPr>
          <w:rStyle w:val="Fett"/>
          <w:rFonts w:eastAsiaTheme="majorEastAsia"/>
        </w:rPr>
        <w:t>Hebräisch:</w:t>
      </w:r>
      <w:r>
        <w:t xml:space="preserve"> </w:t>
      </w:r>
      <w:r>
        <w:rPr>
          <w:rtl/>
        </w:rPr>
        <w:t>אָרוּר אֲשֶׁר לֹא־יָקִים אֶת־דִּבְרֵי הַתּוֹרָֽה־הַזֹּאת לַעֲשׂוֹת אוֹתָם וְאָמַר כָּל־הָעָם אָמֵֽן׃</w:t>
      </w:r>
    </w:p>
    <w:p w14:paraId="65BC6A40" w14:textId="69446810" w:rsidR="00A709A3" w:rsidRDefault="00A709A3" w:rsidP="00A709A3">
      <w:pPr>
        <w:pStyle w:val="whitespace-normal"/>
      </w:pPr>
      <w:r>
        <w:rPr>
          <w:rStyle w:val="Fett"/>
          <w:rFonts w:eastAsiaTheme="majorEastAsia"/>
        </w:rPr>
        <w:lastRenderedPageBreak/>
        <w:t>Deutsch:</w:t>
      </w:r>
      <w:r>
        <w:t xml:space="preserve"> Verflucht sei, wer nicht aufrichtet die Worte dieser </w:t>
      </w:r>
      <w:r w:rsidR="006D3FED">
        <w:t>Torah</w:t>
      </w:r>
      <w:r>
        <w:t>, sie zu tun! Und das ganze Volk soll sagen: Amen!</w:t>
      </w:r>
    </w:p>
    <w:p w14:paraId="084505FA" w14:textId="77777777" w:rsidR="00A709A3" w:rsidRDefault="004F5CEB" w:rsidP="00A709A3">
      <w:r>
        <w:rPr>
          <w:noProof/>
        </w:rPr>
        <w:pict w14:anchorId="4BB87E3E">
          <v:rect id="_x0000_i1742" style="width:0;height:1.5pt" o:hralign="center" o:hrstd="t" o:hr="t" fillcolor="#a0a0a0" stroked="f"/>
        </w:pict>
      </w:r>
    </w:p>
    <w:p w14:paraId="5B02EA70"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אָרוּר אֲשֶׁר לֹא־יָקִים אֶת־דִּבְרֵי הַתּוֹרָה־הַזֹּאת לַעֲשׂוֹת אוֹתָם וְאָמַר כָּל־הָעָם אָמֵן</w:t>
      </w:r>
      <w:r>
        <w:rPr>
          <w:rtl/>
        </w:rPr>
        <w:t xml:space="preserve"> </w:t>
      </w:r>
      <w:r>
        <w:t xml:space="preserve">ist der zwölfte und letzte Fluch: </w:t>
      </w:r>
      <w:r>
        <w:rPr>
          <w:rStyle w:val="Fett"/>
          <w:rFonts w:eastAsiaTheme="majorEastAsia"/>
          <w:rtl/>
        </w:rPr>
        <w:t>אָרוּר אֲשֶׁר לֹא־יָקִים אֶת־דִּבְרֵי הַתּוֹרָה־הַזֹּאת לַעֲשׂוֹת אוֹתָם</w:t>
      </w:r>
      <w:r>
        <w:rPr>
          <w:rtl/>
        </w:rPr>
        <w:t xml:space="preserve"> </w:t>
      </w:r>
      <w:r>
        <w:t>(</w:t>
      </w:r>
      <w:r>
        <w:rPr>
          <w:rStyle w:val="Fett"/>
          <w:rFonts w:eastAsiaTheme="majorEastAsia"/>
          <w:rtl/>
        </w:rPr>
        <w:t>אָרוּר</w:t>
      </w:r>
      <w:r>
        <w:t xml:space="preserve">, Relativsatz: </w:t>
      </w:r>
      <w:r>
        <w:rPr>
          <w:rStyle w:val="Fett"/>
          <w:rFonts w:eastAsiaTheme="majorEastAsia"/>
          <w:rtl/>
        </w:rPr>
        <w:t>אֲשֶׁר לֹא־יָקִים אֶת־דִּבְרֵי הַתּוֹרָה־הַזֹּאת</w:t>
      </w:r>
      <w:r>
        <w:rPr>
          <w:rtl/>
        </w:rPr>
        <w:t xml:space="preserve"> </w:t>
      </w:r>
      <w:r>
        <w:t xml:space="preserve">mit Negation, </w:t>
      </w:r>
      <w:r>
        <w:rPr>
          <w:rStyle w:val="Fett"/>
          <w:rFonts w:eastAsiaTheme="majorEastAsia"/>
          <w:rtl/>
        </w:rPr>
        <w:t>קום</w:t>
      </w:r>
      <w:r>
        <w:t xml:space="preserve">, Hiphil Imperfekt, 3. Person Maskulinum Singular, „aufrichten, aufrechterhalten, erfüllen", Objektpartikel </w:t>
      </w:r>
      <w:r>
        <w:rPr>
          <w:rStyle w:val="Fett"/>
          <w:rFonts w:eastAsiaTheme="majorEastAsia"/>
          <w:rtl/>
        </w:rPr>
        <w:t>אֵת</w:t>
      </w:r>
      <w:r>
        <w:rPr>
          <w:rtl/>
        </w:rPr>
        <w:t xml:space="preserve"> </w:t>
      </w:r>
      <w:r>
        <w:t xml:space="preserve">mit </w:t>
      </w:r>
      <w:r>
        <w:rPr>
          <w:rStyle w:val="Fett"/>
          <w:rFonts w:eastAsiaTheme="majorEastAsia"/>
          <w:rtl/>
        </w:rPr>
        <w:t>דָּבָר</w:t>
      </w:r>
      <w:r>
        <w:t xml:space="preserve">, „Wort", Plural Construct mit </w:t>
      </w:r>
      <w:r>
        <w:rPr>
          <w:rStyle w:val="Fett"/>
          <w:rFonts w:eastAsiaTheme="majorEastAsia"/>
          <w:rtl/>
        </w:rPr>
        <w:t>תּוֹרָה הַזֹּאת</w:t>
      </w:r>
      <w:r>
        <w:t xml:space="preserve">, Präposition </w:t>
      </w:r>
      <w:r>
        <w:rPr>
          <w:rStyle w:val="Fett"/>
          <w:rFonts w:eastAsiaTheme="majorEastAsia"/>
          <w:rtl/>
        </w:rPr>
        <w:t>לְ</w:t>
      </w:r>
      <w:r>
        <w:rPr>
          <w:rtl/>
        </w:rPr>
        <w:t xml:space="preserve"> </w:t>
      </w:r>
      <w:r>
        <w:t xml:space="preserve">mit Qal Infinitiv Construct von </w:t>
      </w:r>
      <w:r>
        <w:rPr>
          <w:rStyle w:val="Fett"/>
          <w:rFonts w:eastAsiaTheme="majorEastAsia"/>
          <w:rtl/>
        </w:rPr>
        <w:t>עשׂה</w:t>
      </w:r>
      <w:r>
        <w:t xml:space="preserve">, Objektpartikel </w:t>
      </w:r>
      <w:r>
        <w:rPr>
          <w:rStyle w:val="Fett"/>
          <w:rFonts w:eastAsiaTheme="majorEastAsia"/>
          <w:rtl/>
        </w:rPr>
        <w:t>אֵת</w:t>
      </w:r>
      <w:r>
        <w:rPr>
          <w:rtl/>
        </w:rPr>
        <w:t xml:space="preserve"> </w:t>
      </w:r>
      <w:r>
        <w:t xml:space="preserve">mit Suffix 3. Person Maskulinum Plural), </w:t>
      </w:r>
      <w:r>
        <w:rPr>
          <w:rStyle w:val="Fett"/>
          <w:rFonts w:eastAsiaTheme="majorEastAsia"/>
          <w:rtl/>
        </w:rPr>
        <w:t>וְאָמַר כָּל־הָעָם אָמֵן</w:t>
      </w:r>
      <w:r>
        <w:rPr>
          <w:rtl/>
        </w:rPr>
        <w:t xml:space="preserve"> </w:t>
      </w:r>
      <w:r>
        <w:t>(wie V. 15-26).</w:t>
      </w:r>
    </w:p>
    <w:p w14:paraId="6098F20D" w14:textId="14C47FD4" w:rsidR="00A8036F" w:rsidRDefault="00A709A3" w:rsidP="00A8036F">
      <w:pPr>
        <w:pStyle w:val="KeinLeerraum"/>
      </w:pPr>
      <w:r>
        <w:t xml:space="preserve">Der zwölfte Fluch ist ein umfassender Abschlussfluch. Der Fluch: </w:t>
      </w:r>
      <w:r>
        <w:rPr>
          <w:rStyle w:val="Fett"/>
          <w:rFonts w:eastAsiaTheme="majorEastAsia"/>
          <w:rtl/>
        </w:rPr>
        <w:t>אָרוּר אֲשֶׁר לֹא־יָקִים אֶת־דִּבְרֵי הַתּוֹרָה־הַזֹּאת לַעֲשׂוֹת אוֹתָם</w:t>
      </w:r>
      <w:r>
        <w:rPr>
          <w:rtl/>
        </w:rPr>
        <w:t xml:space="preserve"> </w:t>
      </w:r>
      <w:r>
        <w:t xml:space="preserve">(„verflucht sei, wer nicht aufrichtet die Worte dieser </w:t>
      </w:r>
      <w:r w:rsidR="006D3FED">
        <w:t>Torah</w:t>
      </w:r>
      <w:r>
        <w:t xml:space="preserve">, sie zu tun"). Das Verb </w:t>
      </w:r>
      <w:r>
        <w:rPr>
          <w:rStyle w:val="Fett"/>
          <w:rFonts w:eastAsiaTheme="majorEastAsia"/>
          <w:rtl/>
        </w:rPr>
        <w:t>קום</w:t>
      </w:r>
      <w:r>
        <w:rPr>
          <w:rtl/>
        </w:rPr>
        <w:t xml:space="preserve"> </w:t>
      </w:r>
      <w:r>
        <w:t xml:space="preserve">im Hiphil („aufrichten, aufrechterhalten, erfüllen") bedeutet hier: gültig halten, befolgen. Die Formulierung </w:t>
      </w:r>
      <w:r>
        <w:rPr>
          <w:rStyle w:val="Fett"/>
          <w:rFonts w:eastAsiaTheme="majorEastAsia"/>
          <w:rtl/>
        </w:rPr>
        <w:t>דִּבְרֵי הַתּוֹרָה־הַזֹּאת</w:t>
      </w:r>
      <w:r>
        <w:rPr>
          <w:rtl/>
        </w:rPr>
        <w:t xml:space="preserve"> </w:t>
      </w:r>
      <w:r>
        <w:t xml:space="preserve">(„die Worte dieser </w:t>
      </w:r>
      <w:r w:rsidR="006D3FED">
        <w:t>Torah</w:t>
      </w:r>
      <w:r>
        <w:t xml:space="preserve">") umfasst alle Gebote des Deuteronomiums. Die Präposition </w:t>
      </w:r>
      <w:r>
        <w:rPr>
          <w:rStyle w:val="Fett"/>
          <w:rFonts w:eastAsiaTheme="majorEastAsia"/>
          <w:rtl/>
        </w:rPr>
        <w:t>לַעֲשׂוֹת אוֹתָם</w:t>
      </w:r>
      <w:r>
        <w:rPr>
          <w:rtl/>
        </w:rPr>
        <w:t xml:space="preserve"> </w:t>
      </w:r>
      <w:r>
        <w:t xml:space="preserve">(„sie zu tun") betont: nicht nur kennen, sondern tun. Dieser Fluch ist allumfassend – er schließt alle Übertretungen ein, die in den ersten elf Flüchen nicht genannt wurden. Die </w:t>
      </w:r>
      <w:r>
        <w:rPr>
          <w:rStyle w:val="Fett"/>
          <w:rFonts w:eastAsiaTheme="majorEastAsia"/>
        </w:rPr>
        <w:t>Petucha</w:t>
      </w:r>
      <w:r>
        <w:t xml:space="preserve"> (</w:t>
      </w:r>
      <w:r>
        <w:rPr>
          <w:rtl/>
        </w:rPr>
        <w:t>פ</w:t>
      </w:r>
      <w:r>
        <w:t xml:space="preserve">) markiert einen größeren Abschnittswechsel – das Ende von Kapitel 27. Die zwölf Flüche (einer für jeden Stamm?) behandeln: </w:t>
      </w:r>
    </w:p>
    <w:p w14:paraId="610CD8B1" w14:textId="77777777" w:rsidR="00A8036F" w:rsidRDefault="00A709A3" w:rsidP="00A8036F">
      <w:pPr>
        <w:pStyle w:val="KeinLeerraum"/>
      </w:pPr>
      <w:r>
        <w:t xml:space="preserve">(1) Götzendienst (V. 15), </w:t>
      </w:r>
    </w:p>
    <w:p w14:paraId="2B04C286" w14:textId="77777777" w:rsidR="00A8036F" w:rsidRDefault="00A709A3" w:rsidP="00A8036F">
      <w:pPr>
        <w:pStyle w:val="KeinLeerraum"/>
      </w:pPr>
      <w:r>
        <w:t xml:space="preserve">(2) Elternverachtung (V. 16), </w:t>
      </w:r>
    </w:p>
    <w:p w14:paraId="5D11B9A6" w14:textId="77777777" w:rsidR="00A8036F" w:rsidRDefault="00A709A3" w:rsidP="00A8036F">
      <w:pPr>
        <w:pStyle w:val="KeinLeerraum"/>
      </w:pPr>
      <w:r>
        <w:t xml:space="preserve">(3) Grenzverschiebung (V. 17), </w:t>
      </w:r>
    </w:p>
    <w:p w14:paraId="4246A014" w14:textId="77777777" w:rsidR="00A8036F" w:rsidRDefault="00A709A3" w:rsidP="00A8036F">
      <w:pPr>
        <w:pStyle w:val="KeinLeerraum"/>
      </w:pPr>
      <w:r>
        <w:t xml:space="preserve">(4) Irreführung von Wehrlosen (V. 18), </w:t>
      </w:r>
    </w:p>
    <w:p w14:paraId="55B3A877" w14:textId="77777777" w:rsidR="00A8036F" w:rsidRDefault="00A709A3" w:rsidP="00A8036F">
      <w:pPr>
        <w:pStyle w:val="KeinLeerraum"/>
      </w:pPr>
      <w:r>
        <w:t xml:space="preserve">(5) Rechtsbeugung gegenüber Schwachen (V. 19), </w:t>
      </w:r>
    </w:p>
    <w:p w14:paraId="49B5EEA8" w14:textId="77777777" w:rsidR="00A8036F" w:rsidRDefault="00A709A3" w:rsidP="00A8036F">
      <w:pPr>
        <w:pStyle w:val="KeinLeerraum"/>
      </w:pPr>
      <w:r>
        <w:t xml:space="preserve">(6-9) Sexualvergehen (V. 20-23), </w:t>
      </w:r>
    </w:p>
    <w:p w14:paraId="60CEF8E7" w14:textId="77777777" w:rsidR="00A8036F" w:rsidRDefault="00A709A3" w:rsidP="00A8036F">
      <w:pPr>
        <w:pStyle w:val="KeinLeerraum"/>
      </w:pPr>
      <w:r>
        <w:t xml:space="preserve">(10-11) Mord/Auftragsmord (V. 24-25), </w:t>
      </w:r>
    </w:p>
    <w:p w14:paraId="63BE1CB1" w14:textId="77777777" w:rsidR="00A8036F" w:rsidRDefault="00A709A3" w:rsidP="00A8036F">
      <w:pPr>
        <w:pStyle w:val="KeinLeerraum"/>
      </w:pPr>
      <w:r>
        <w:t xml:space="preserve">(12) Allgemeiner Ungehorsam (V. 26). </w:t>
      </w:r>
    </w:p>
    <w:p w14:paraId="19E8A162" w14:textId="7F2FB19F" w:rsidR="00A709A3" w:rsidRDefault="00A709A3" w:rsidP="00A8036F">
      <w:pPr>
        <w:pStyle w:val="KeinLeerraum"/>
      </w:pPr>
      <w:r>
        <w:t>Viele dieser Vergehen sind heimlich und schwer zu beweisen – daher die Bedeutung der öffentlichen Selbstverfluchung.</w:t>
      </w:r>
    </w:p>
    <w:p w14:paraId="2CAED38D" w14:textId="35BA5B98" w:rsidR="001A04EF" w:rsidRDefault="001A04EF" w:rsidP="00A709A3">
      <w:pPr>
        <w:pStyle w:val="whitespace-normal"/>
      </w:pPr>
      <w:r>
        <w:rPr>
          <w:rStyle w:val="Fett"/>
        </w:rPr>
        <w:t>Die LXX</w:t>
      </w:r>
      <w:r>
        <w:t xml:space="preserve"> übersetzt </w:t>
      </w:r>
      <w:r>
        <w:rPr>
          <w:rtl/>
        </w:rPr>
        <w:t>אֲשֶׁר לֹא־יָקִים אֶת־דִּבְרֵי הַתּוֹרָה</w:t>
      </w:r>
      <w:r>
        <w:t xml:space="preserve"> (der nicht aufrichtet die Worte dieser </w:t>
      </w:r>
      <w:r w:rsidR="006D3FED">
        <w:t>Torah</w:t>
      </w:r>
      <w:r>
        <w:t xml:space="preserve">) mit </w:t>
      </w:r>
      <w:proofErr w:type="spellStart"/>
      <w:r>
        <w:t>ὃς</w:t>
      </w:r>
      <w:proofErr w:type="spellEnd"/>
      <w:r>
        <w:t xml:space="preserve"> </w:t>
      </w:r>
      <w:proofErr w:type="spellStart"/>
      <w:r>
        <w:t>οὐκ</w:t>
      </w:r>
      <w:proofErr w:type="spellEnd"/>
      <w:r>
        <w:t xml:space="preserve"> </w:t>
      </w:r>
      <w:proofErr w:type="spellStart"/>
      <w:r>
        <w:t>ἐμμενεῖ</w:t>
      </w:r>
      <w:proofErr w:type="spellEnd"/>
      <w:r>
        <w:t xml:space="preserve"> </w:t>
      </w:r>
      <w:proofErr w:type="spellStart"/>
      <w:r>
        <w:t>ἐν</w:t>
      </w:r>
      <w:proofErr w:type="spellEnd"/>
      <w:r>
        <w:t xml:space="preserve"> π</w:t>
      </w:r>
      <w:proofErr w:type="spellStart"/>
      <w:r>
        <w:t>ᾶσιν</w:t>
      </w:r>
      <w:proofErr w:type="spellEnd"/>
      <w:r>
        <w:t xml:space="preserve"> </w:t>
      </w:r>
      <w:proofErr w:type="spellStart"/>
      <w:r>
        <w:t>τοῖς</w:t>
      </w:r>
      <w:proofErr w:type="spellEnd"/>
      <w:r>
        <w:t xml:space="preserve"> </w:t>
      </w:r>
      <w:proofErr w:type="spellStart"/>
      <w:r>
        <w:t>λόγοις</w:t>
      </w:r>
      <w:proofErr w:type="spellEnd"/>
      <w:r>
        <w:t xml:space="preserve"> </w:t>
      </w:r>
      <w:proofErr w:type="spellStart"/>
      <w:r>
        <w:t>τοῦ</w:t>
      </w:r>
      <w:proofErr w:type="spellEnd"/>
      <w:r>
        <w:t xml:space="preserve"> </w:t>
      </w:r>
      <w:proofErr w:type="spellStart"/>
      <w:r>
        <w:t>νόμου</w:t>
      </w:r>
      <w:proofErr w:type="spellEnd"/>
      <w:r>
        <w:t xml:space="preserve"> (wer nicht verbleibt in allen Worten des Gesetzes) – eine interpretierende Übersetzung, die "aufrechterhalten" als "verbleiben in, treu bleiben" versteht. Diese Formulierung wird im Neuen Testament (Gal 3,10) wörtlich zitiert.</w:t>
      </w:r>
    </w:p>
    <w:p w14:paraId="0C83E626" w14:textId="66594FCE" w:rsidR="00A709A3" w:rsidRDefault="00A709A3" w:rsidP="00A709A3">
      <w:pPr>
        <w:pStyle w:val="whitespace-normal"/>
      </w:pPr>
      <w:r>
        <w:rPr>
          <w:rStyle w:val="Fett"/>
          <w:rFonts w:eastAsiaTheme="majorEastAsia"/>
        </w:rPr>
        <w:t>Die Satzstruktur:</w:t>
      </w:r>
      <w:r>
        <w:t xml:space="preserve"> Zwölfter Fluch mit Volksantwort (verflucht sei, wer nicht aufrichtet die Worte dieser </w:t>
      </w:r>
      <w:r w:rsidR="006D3FED">
        <w:t>Torah</w:t>
      </w:r>
      <w:r>
        <w:t>, sie zu tun; und sagen soll das ganze Volk: Amen).</w:t>
      </w:r>
    </w:p>
    <w:p w14:paraId="3B210676" w14:textId="38344AB2" w:rsidR="00A709A3" w:rsidRDefault="00A709A3" w:rsidP="00A709A3">
      <w:pPr>
        <w:pStyle w:val="whitespace-normal"/>
      </w:pPr>
      <w:r>
        <w:rPr>
          <w:rStyle w:val="Fett"/>
          <w:rFonts w:eastAsiaTheme="majorEastAsia"/>
        </w:rPr>
        <w:t>Der Vers beschreibt:</w:t>
      </w:r>
      <w:r>
        <w:t xml:space="preserve"> Zwölfter Fluch – umfassender Abschlussfluch gegen jede Übertretung der </w:t>
      </w:r>
      <w:r w:rsidR="006D3FED">
        <w:t>Torah</w:t>
      </w:r>
      <w:r>
        <w:t>.</w:t>
      </w:r>
    </w:p>
    <w:p w14:paraId="7020E19C" w14:textId="77777777" w:rsidR="00A709A3" w:rsidRPr="00B53ACC" w:rsidRDefault="00A709A3" w:rsidP="00B53ACC">
      <w:pPr>
        <w:pStyle w:val="Bibelberschrift"/>
      </w:pPr>
      <w:r w:rsidRPr="00B53ACC">
        <w:rPr>
          <w:rStyle w:val="Fett"/>
          <w:b/>
          <w:bCs w:val="0"/>
        </w:rPr>
        <w:t>Deuteronomium 28,1</w:t>
      </w:r>
    </w:p>
    <w:p w14:paraId="387BFFAE" w14:textId="77777777" w:rsidR="00A709A3" w:rsidRDefault="00A709A3" w:rsidP="00A709A3">
      <w:pPr>
        <w:pStyle w:val="whitespace-normal"/>
      </w:pPr>
      <w:r>
        <w:rPr>
          <w:rStyle w:val="Fett"/>
          <w:rFonts w:eastAsiaTheme="majorEastAsia"/>
        </w:rPr>
        <w:t>Hebräisch:</w:t>
      </w:r>
      <w:r>
        <w:t xml:space="preserve"> </w:t>
      </w:r>
      <w:r>
        <w:rPr>
          <w:rtl/>
        </w:rPr>
        <w:t>וְהָיָה אִם־שָׁמוֹעַ תִּשְׁמַע בְּקוֹל יְהוָה אֱלֹהֶיךָ לִשְׁמֹר לַעֲשׂוֹת אֶת־כָּל־מִצְוֹתָיו אֲשֶׁר אָנֹכִי מְצַוְּךָ הַיּוֹם וּנְתָנְךָ יְהוָה אֱלֹהֶיךָ עֶלְיוֹן עַל כָּל־גּוֹיֵי הָאָֽרֶץ׃</w:t>
      </w:r>
    </w:p>
    <w:p w14:paraId="080C802B" w14:textId="241546C3" w:rsidR="00A709A3" w:rsidRDefault="00A709A3" w:rsidP="00A709A3">
      <w:pPr>
        <w:pStyle w:val="whitespace-normal"/>
      </w:pPr>
      <w:r>
        <w:rPr>
          <w:rStyle w:val="Fett"/>
          <w:rFonts w:eastAsiaTheme="majorEastAsia"/>
        </w:rPr>
        <w:lastRenderedPageBreak/>
        <w:t>Deutsch:</w:t>
      </w:r>
      <w:r>
        <w:t xml:space="preserve"> Und es wird geschehen, wenn du der Stimme des </w:t>
      </w:r>
      <w:r w:rsidR="00C50326">
        <w:t>Ewigen</w:t>
      </w:r>
      <w:r>
        <w:t>, deines Gottes, gewiss gehorchst, um zu bewahren und zu tun alle seine Gebote, die ich dir heute gebiete, so wird dich JHWH, dein Gott, zur höchsten machen über alle Nationen der Erde.</w:t>
      </w:r>
    </w:p>
    <w:p w14:paraId="629DAFCF" w14:textId="77777777" w:rsidR="00A709A3" w:rsidRDefault="004F5CEB" w:rsidP="00A709A3">
      <w:r>
        <w:rPr>
          <w:noProof/>
        </w:rPr>
        <w:pict w14:anchorId="5BBCAC0A">
          <v:rect id="_x0000_i1743" style="width:0;height:1.5pt" o:hralign="center" o:hrstd="t" o:hr="t" fillcolor="#a0a0a0" stroked="f"/>
        </w:pict>
      </w:r>
    </w:p>
    <w:p w14:paraId="566E8F42"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וְהָיָה אִם־שָׁמוֹעַ תִּשְׁמַע בְּקוֹל יְהוָה אֱלֹהֶיךָ לִשְׁמֹר לַעֲשׂוֹת אֶת־כָּל־מִצְוֹתָיו אֲשֶׁר אָנֹכִי מְצַוְּךָ הַיּוֹם וּנְתָנְךָ יְהוָה אֱלֹהֶיךָ עֶלְיוֹן עַל כָּל־גּוֹיֵי הָאָרֶץ</w:t>
      </w:r>
      <w:r>
        <w:rPr>
          <w:rtl/>
        </w:rPr>
        <w:t xml:space="preserve"> </w:t>
      </w:r>
      <w:r>
        <w:t xml:space="preserve">ist eine Bedingung mit Konsequenz: </w:t>
      </w:r>
      <w:r>
        <w:rPr>
          <w:rStyle w:val="Fett"/>
          <w:rFonts w:eastAsiaTheme="majorEastAsia"/>
          <w:rtl/>
        </w:rPr>
        <w:t>וְהָיָה אִם־שָׁמוֹעַ תִּשְׁמַע בְּקוֹל יְהוָה אֱלֹהֶיךָ לִשְׁמֹר לַעֲשׂוֹת אֶת־כָּל־מִצְוֹתָיו אֲשֶׁר אָנֹכִי מְצַוְּךָ הַיּוֹם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3. Person Maskulinum Singular, </w:t>
      </w:r>
      <w:r>
        <w:rPr>
          <w:rStyle w:val="Fett"/>
          <w:rFonts w:eastAsiaTheme="majorEastAsia"/>
          <w:rtl/>
        </w:rPr>
        <w:t>אִם</w:t>
      </w:r>
      <w:r>
        <w:t xml:space="preserve">, Bedingungspartikel, </w:t>
      </w:r>
      <w:r>
        <w:rPr>
          <w:rStyle w:val="Fett"/>
          <w:rFonts w:eastAsiaTheme="majorEastAsia"/>
          <w:rtl/>
        </w:rPr>
        <w:t>שָׁמוֹעַ</w:t>
      </w:r>
      <w:r>
        <w:t xml:space="preserve">, Qal Infinitiv Absolutus von </w:t>
      </w:r>
      <w:r>
        <w:rPr>
          <w:rStyle w:val="Fett"/>
          <w:rFonts w:eastAsiaTheme="majorEastAsia"/>
          <w:rtl/>
        </w:rPr>
        <w:t>שׁמע</w:t>
      </w:r>
      <w:r>
        <w:t xml:space="preserve">, </w:t>
      </w:r>
      <w:r>
        <w:rPr>
          <w:rStyle w:val="Fett"/>
          <w:rFonts w:eastAsiaTheme="majorEastAsia"/>
          <w:rtl/>
        </w:rPr>
        <w:t>שׁמע</w:t>
      </w:r>
      <w:r>
        <w:t xml:space="preserve">, Qal Imperfekt, 2. Person Maskulinum Singular – Infinitiv Absolutus + finites Verb zur starken Betonung: „gewiss gehorchen, wirklich gehorchen", Präposition </w:t>
      </w:r>
      <w:r>
        <w:rPr>
          <w:rStyle w:val="Fett"/>
          <w:rFonts w:eastAsiaTheme="majorEastAsia"/>
          <w:rtl/>
        </w:rPr>
        <w:t>בְּ</w:t>
      </w:r>
      <w:r>
        <w:rPr>
          <w:rtl/>
        </w:rPr>
        <w:t xml:space="preserve"> </w:t>
      </w:r>
      <w:r>
        <w:t xml:space="preserve">mit </w:t>
      </w:r>
      <w:r>
        <w:rPr>
          <w:rStyle w:val="Fett"/>
          <w:rFonts w:eastAsiaTheme="majorEastAsia"/>
          <w:rtl/>
        </w:rPr>
        <w:t>קוֹל יְהוָה אֱלֹהֶיךָ</w:t>
      </w:r>
      <w:r>
        <w:t xml:space="preserve">, Präposition </w:t>
      </w:r>
      <w:r>
        <w:rPr>
          <w:rStyle w:val="Fett"/>
          <w:rFonts w:eastAsiaTheme="majorEastAsia"/>
          <w:rtl/>
        </w:rPr>
        <w:t>לְ</w:t>
      </w:r>
      <w:r>
        <w:rPr>
          <w:rtl/>
        </w:rPr>
        <w:t xml:space="preserve"> </w:t>
      </w:r>
      <w:r>
        <w:t xml:space="preserve">mit Qal Infinitiv Construct von </w:t>
      </w:r>
      <w:r>
        <w:rPr>
          <w:rStyle w:val="Fett"/>
          <w:rFonts w:eastAsiaTheme="majorEastAsia"/>
          <w:rtl/>
        </w:rPr>
        <w:t>שׁמר</w:t>
      </w:r>
      <w:r>
        <w:t xml:space="preserve">, Präposition </w:t>
      </w:r>
      <w:r>
        <w:rPr>
          <w:rStyle w:val="Fett"/>
          <w:rFonts w:eastAsiaTheme="majorEastAsia"/>
          <w:rtl/>
        </w:rPr>
        <w:t>לְ</w:t>
      </w:r>
      <w:r>
        <w:rPr>
          <w:rtl/>
        </w:rPr>
        <w:t xml:space="preserve"> </w:t>
      </w:r>
      <w:r>
        <w:t xml:space="preserve">mit Qal Infinitiv Construct von </w:t>
      </w:r>
      <w:r>
        <w:rPr>
          <w:rStyle w:val="Fett"/>
          <w:rFonts w:eastAsiaTheme="majorEastAsia"/>
          <w:rtl/>
        </w:rPr>
        <w:t>עשׂה</w:t>
      </w:r>
      <w:r>
        <w:t xml:space="preserve">, Objektpartikel </w:t>
      </w:r>
      <w:r>
        <w:rPr>
          <w:rStyle w:val="Fett"/>
          <w:rFonts w:eastAsiaTheme="majorEastAsia"/>
          <w:rtl/>
        </w:rPr>
        <w:t>אֵת</w:t>
      </w:r>
      <w:r>
        <w:rPr>
          <w:rtl/>
        </w:rPr>
        <w:t xml:space="preserve"> </w:t>
      </w:r>
      <w:r>
        <w:t xml:space="preserve">mit </w:t>
      </w:r>
      <w:r>
        <w:rPr>
          <w:rStyle w:val="Fett"/>
          <w:rFonts w:eastAsiaTheme="majorEastAsia"/>
          <w:rtl/>
        </w:rPr>
        <w:t>כָּל־מִצְוָה</w:t>
      </w:r>
      <w:r>
        <w:rPr>
          <w:rtl/>
        </w:rPr>
        <w:t xml:space="preserve"> </w:t>
      </w:r>
      <w:r>
        <w:t xml:space="preserve">Plural mit Suffix 3. Person Maskulinum Singular, Relativsatz wie üblich, mit </w:t>
      </w:r>
      <w:r>
        <w:rPr>
          <w:rStyle w:val="Fett"/>
          <w:rFonts w:eastAsiaTheme="majorEastAsia"/>
        </w:rPr>
        <w:t>Waw</w:t>
      </w:r>
      <w:r>
        <w:t xml:space="preserve"> consecutives Perfekt), </w:t>
      </w:r>
      <w:r>
        <w:rPr>
          <w:rStyle w:val="Fett"/>
          <w:rFonts w:eastAsiaTheme="majorEastAsia"/>
          <w:rtl/>
        </w:rPr>
        <w:t>וּנְתָנְךָ יְהוָה אֱלֹהֶיךָ עֶלְיוֹן עַל כָּל־גּוֹיֵי הָאָרֶץ</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נתן</w:t>
      </w:r>
      <w:r>
        <w:t xml:space="preserve">, Qal Perfekt, 3. Person Maskulinum Singular, mit Suffix 2. Person Maskulinum Singular, </w:t>
      </w:r>
      <w:r>
        <w:rPr>
          <w:rStyle w:val="Fett"/>
          <w:rFonts w:eastAsiaTheme="majorEastAsia"/>
          <w:rtl/>
        </w:rPr>
        <w:t>יְהוָה אֱלֹהֶיךָ</w:t>
      </w:r>
      <w:r>
        <w:rPr>
          <w:rtl/>
        </w:rPr>
        <w:t xml:space="preserve"> </w:t>
      </w:r>
      <w:r>
        <w:t xml:space="preserve">als Subjekt, </w:t>
      </w:r>
      <w:r>
        <w:rPr>
          <w:rStyle w:val="Fett"/>
          <w:rFonts w:eastAsiaTheme="majorEastAsia"/>
          <w:rtl/>
        </w:rPr>
        <w:t>עֶלְיוֹן</w:t>
      </w:r>
      <w:r>
        <w:t xml:space="preserve">, „höchste, oberste", Präposition </w:t>
      </w:r>
      <w:r>
        <w:rPr>
          <w:rStyle w:val="Fett"/>
          <w:rFonts w:eastAsiaTheme="majorEastAsia"/>
          <w:rtl/>
        </w:rPr>
        <w:t>עַל</w:t>
      </w:r>
      <w:r>
        <w:rPr>
          <w:rtl/>
        </w:rPr>
        <w:t xml:space="preserve"> </w:t>
      </w:r>
      <w:r>
        <w:t xml:space="preserve">mit </w:t>
      </w:r>
      <w:r>
        <w:rPr>
          <w:rStyle w:val="Fett"/>
          <w:rFonts w:eastAsiaTheme="majorEastAsia"/>
          <w:rtl/>
        </w:rPr>
        <w:t>כָּל־גּוֹי</w:t>
      </w:r>
      <w:r>
        <w:t xml:space="preserve">, „Nation", Plural Construct mit </w:t>
      </w:r>
      <w:r>
        <w:rPr>
          <w:rStyle w:val="Fett"/>
          <w:rFonts w:eastAsiaTheme="majorEastAsia"/>
          <w:rtl/>
        </w:rPr>
        <w:t>אֶרֶץ</w:t>
      </w:r>
      <w:r>
        <w:rPr>
          <w:rtl/>
        </w:rPr>
        <w:t xml:space="preserve"> </w:t>
      </w:r>
      <w:r>
        <w:t xml:space="preserve">mit Artikel, mit </w:t>
      </w:r>
      <w:r>
        <w:rPr>
          <w:rStyle w:val="Fett"/>
          <w:rFonts w:eastAsiaTheme="majorEastAsia"/>
        </w:rPr>
        <w:t>Waw</w:t>
      </w:r>
      <w:r>
        <w:t xml:space="preserve"> consecutives Perfekt).</w:t>
      </w:r>
    </w:p>
    <w:p w14:paraId="6A7AC8DE" w14:textId="305236AB" w:rsidR="00A709A3" w:rsidRDefault="00A709A3" w:rsidP="00A709A3">
      <w:pPr>
        <w:pStyle w:val="whitespace-normal"/>
      </w:pPr>
      <w:r>
        <w:t xml:space="preserve">Der Vers leitet den Segensabschnitt ein (V. 1-14). Die Bedingung: </w:t>
      </w:r>
      <w:r>
        <w:rPr>
          <w:rStyle w:val="Fett"/>
          <w:rFonts w:eastAsiaTheme="majorEastAsia"/>
          <w:rtl/>
        </w:rPr>
        <w:t>וְהָיָה אִם־שָׁמוֹעַ תִּשְׁמַע בְּקוֹל יְהוָה אֱלֹהֶיךָ לִשְׁמֹר לַעֲשׂוֹת אֶת־כָּל־מִצְוֹתָיו אֲשֶׁר אָנֹכִי מְצַוְּךָ הַיּוֹם</w:t>
      </w:r>
      <w:r>
        <w:rPr>
          <w:rtl/>
        </w:rPr>
        <w:t xml:space="preserve"> </w:t>
      </w:r>
      <w:r>
        <w:t xml:space="preserve">(„und es wird geschehen, wenn du gewiss gehorchst der Stimme </w:t>
      </w:r>
      <w:r w:rsidR="00DF3D1A">
        <w:t>JHWHs</w:t>
      </w:r>
      <w:r>
        <w:t xml:space="preserve">, deines Gottes, um zu bewahren und zu tun alle seine Gebote, die ich dir heute gebiete"). Die emphatische Konstruktion </w:t>
      </w:r>
      <w:r>
        <w:rPr>
          <w:rStyle w:val="Fett"/>
          <w:rFonts w:eastAsiaTheme="majorEastAsia"/>
          <w:rtl/>
        </w:rPr>
        <w:t>שָׁמוֹעַ תִּשְׁמַע</w:t>
      </w:r>
      <w:r>
        <w:rPr>
          <w:rtl/>
        </w:rPr>
        <w:t xml:space="preserve"> </w:t>
      </w:r>
      <w:r>
        <w:t xml:space="preserve">(Infinitiv Absolutus + finites Verb) betont die Notwendigkeit vollständigen Gehorsams. Die doppelte Infinitivkonstruktion </w:t>
      </w:r>
      <w:r>
        <w:rPr>
          <w:rStyle w:val="Fett"/>
          <w:rFonts w:eastAsiaTheme="majorEastAsia"/>
          <w:rtl/>
        </w:rPr>
        <w:t>לִשְׁמֹר לַעֲשׂוֹת</w:t>
      </w:r>
      <w:r>
        <w:rPr>
          <w:rtl/>
        </w:rPr>
        <w:t xml:space="preserve"> </w:t>
      </w:r>
      <w:r>
        <w:t xml:space="preserve">(„um zu bewahren und zu tun") unterstreicht sowohl das innere Bewahren als auch die äußere Ausführung. Die Konsequenz: </w:t>
      </w:r>
      <w:r>
        <w:rPr>
          <w:rStyle w:val="Fett"/>
          <w:rFonts w:eastAsiaTheme="majorEastAsia"/>
          <w:rtl/>
        </w:rPr>
        <w:t>וּנְתָנְךָ יְהוָה אֱלֹהֶיךָ עֶלְיוֹן עַל כָּל־גּוֹיֵי הָאָרֶץ</w:t>
      </w:r>
      <w:r>
        <w:rPr>
          <w:rtl/>
        </w:rPr>
        <w:t xml:space="preserve"> </w:t>
      </w:r>
      <w:r>
        <w:t xml:space="preserve">(„so wird dich JHWH, dein Gott, zur höchsten machen über alle Nationen der Erde"). Das Adjektiv </w:t>
      </w:r>
      <w:r>
        <w:rPr>
          <w:rStyle w:val="Fett"/>
          <w:rFonts w:eastAsiaTheme="majorEastAsia"/>
          <w:rtl/>
        </w:rPr>
        <w:t>עֶלְיוֹן</w:t>
      </w:r>
      <w:r>
        <w:rPr>
          <w:rtl/>
        </w:rPr>
        <w:t xml:space="preserve"> </w:t>
      </w:r>
      <w:r>
        <w:t>(„höchste, oberste") verspricht Vorrang und Überlegenheit unter allen Völkern (vgl. 26,19).</w:t>
      </w:r>
    </w:p>
    <w:p w14:paraId="0378CA17" w14:textId="17EB684E" w:rsidR="00A709A3" w:rsidRDefault="00A709A3" w:rsidP="00A709A3">
      <w:pPr>
        <w:pStyle w:val="whitespace-normal"/>
      </w:pPr>
      <w:r>
        <w:rPr>
          <w:rStyle w:val="Fett"/>
          <w:rFonts w:eastAsiaTheme="majorEastAsia"/>
        </w:rPr>
        <w:t>Die Satzstruktur:</w:t>
      </w:r>
      <w:r>
        <w:t xml:space="preserve"> Bedingung mit Konsequenz (und es wird geschehen, wenn du gewiss gehorchst der Stimme </w:t>
      </w:r>
      <w:r w:rsidR="00DF3D1A">
        <w:t>JHWHs</w:t>
      </w:r>
      <w:r>
        <w:t>, deines Gottes, um zu bewahren und zu tun alle seine Gebote, die ich dir heute gebiete, so wird dich JHWH, dein Gott, zur höchsten machen über alle Nationen der Erde).</w:t>
      </w:r>
    </w:p>
    <w:p w14:paraId="4BED74E0" w14:textId="77777777" w:rsidR="00A709A3" w:rsidRDefault="00A709A3" w:rsidP="00A709A3">
      <w:pPr>
        <w:pStyle w:val="whitespace-normal"/>
      </w:pPr>
      <w:r>
        <w:rPr>
          <w:rStyle w:val="Fett"/>
          <w:rFonts w:eastAsiaTheme="majorEastAsia"/>
        </w:rPr>
        <w:t>Der Vers beschreibt:</w:t>
      </w:r>
      <w:r>
        <w:t xml:space="preserve"> Einleitende Bedingung – bei vollständigem Gehorsam wird Israel über alle Völker erhöht.</w:t>
      </w:r>
    </w:p>
    <w:p w14:paraId="526A1E96" w14:textId="77777777" w:rsidR="00A709A3" w:rsidRPr="00B53ACC" w:rsidRDefault="00A709A3" w:rsidP="00B53ACC">
      <w:pPr>
        <w:pStyle w:val="Bibelberschrift"/>
      </w:pPr>
      <w:r w:rsidRPr="00B53ACC">
        <w:rPr>
          <w:rStyle w:val="Fett"/>
          <w:b/>
          <w:bCs w:val="0"/>
        </w:rPr>
        <w:t>Deuteronomium 28,2</w:t>
      </w:r>
    </w:p>
    <w:p w14:paraId="4C2448CB" w14:textId="77777777" w:rsidR="00A709A3" w:rsidRDefault="00A709A3" w:rsidP="00A709A3">
      <w:pPr>
        <w:pStyle w:val="whitespace-normal"/>
      </w:pPr>
      <w:r>
        <w:rPr>
          <w:rStyle w:val="Fett"/>
          <w:rFonts w:eastAsiaTheme="majorEastAsia"/>
        </w:rPr>
        <w:t>Hebräisch:</w:t>
      </w:r>
      <w:r>
        <w:t xml:space="preserve"> </w:t>
      </w:r>
      <w:r>
        <w:rPr>
          <w:rtl/>
        </w:rPr>
        <w:t>וּבָאוּ עָלֶיךָ כָּל־הַבְּרָכוֹת הָאֵלֶּה וְהִשִּׂיגֻךָ כִּי תִשְׁמַע בְּקוֹל יְהוָה אֱלֹהֶֽיךָ׃</w:t>
      </w:r>
    </w:p>
    <w:p w14:paraId="27096798" w14:textId="383752F4" w:rsidR="00A709A3" w:rsidRDefault="00A709A3" w:rsidP="00A709A3">
      <w:pPr>
        <w:pStyle w:val="whitespace-normal"/>
      </w:pPr>
      <w:r>
        <w:rPr>
          <w:rStyle w:val="Fett"/>
          <w:rFonts w:eastAsiaTheme="majorEastAsia"/>
        </w:rPr>
        <w:t>Deutsch:</w:t>
      </w:r>
      <w:r>
        <w:t xml:space="preserve"> Und alle diese Segnungen werden über dich kommen und dich erreichen, wenn du der Stimme des </w:t>
      </w:r>
      <w:r w:rsidR="00C50326">
        <w:t>Ewigen</w:t>
      </w:r>
      <w:r>
        <w:t>, deines Gottes, gehorchst.</w:t>
      </w:r>
    </w:p>
    <w:p w14:paraId="2ED7EF83" w14:textId="77777777" w:rsidR="00A709A3" w:rsidRDefault="004F5CEB" w:rsidP="00A709A3">
      <w:r>
        <w:rPr>
          <w:noProof/>
        </w:rPr>
        <w:pict w14:anchorId="16BE6FC3">
          <v:rect id="_x0000_i1744" style="width:0;height:1.5pt" o:hralign="center" o:hrstd="t" o:hr="t" fillcolor="#a0a0a0" stroked="f"/>
        </w:pict>
      </w:r>
    </w:p>
    <w:p w14:paraId="2D0C3E65" w14:textId="77777777" w:rsidR="00A709A3" w:rsidRDefault="00A709A3" w:rsidP="00A709A3">
      <w:pPr>
        <w:pStyle w:val="whitespace-normal"/>
      </w:pPr>
      <w:r>
        <w:rPr>
          <w:rStyle w:val="Fett"/>
          <w:rFonts w:eastAsiaTheme="majorEastAsia"/>
        </w:rPr>
        <w:lastRenderedPageBreak/>
        <w:t>Kommentar:</w:t>
      </w:r>
      <w:r>
        <w:t xml:space="preserve"> </w:t>
      </w:r>
      <w:r>
        <w:rPr>
          <w:rStyle w:val="Fett"/>
          <w:rFonts w:eastAsiaTheme="majorEastAsia"/>
          <w:rtl/>
        </w:rPr>
        <w:t>וּבָאוּ עָלֶיךָ כָּל־הַבְּרָכוֹת הָאֵלֶּה וְהִשִּׂיגֻךָ כִּי תִשְׁמַע בְּקוֹל יְהוָה אֱלֹהֶיךָ</w:t>
      </w:r>
      <w:r>
        <w:rPr>
          <w:rtl/>
        </w:rPr>
        <w:t xml:space="preserve"> </w:t>
      </w:r>
      <w:r>
        <w:t xml:space="preserve">sind zwei Aussagen mit Bedingung: </w:t>
      </w:r>
      <w:r>
        <w:rPr>
          <w:rStyle w:val="Fett"/>
          <w:rFonts w:eastAsiaTheme="majorEastAsia"/>
          <w:rtl/>
        </w:rPr>
        <w:t>וּבָאוּ עָלֶיךָ כָּל־הַבְּרָכוֹת הָאֵלֶּה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בוא</w:t>
      </w:r>
      <w:r>
        <w:t xml:space="preserve">, Qal Perfekt, 3. Person Plural, Präposition </w:t>
      </w:r>
      <w:r>
        <w:rPr>
          <w:rStyle w:val="Fett"/>
          <w:rFonts w:eastAsiaTheme="majorEastAsia"/>
          <w:rtl/>
        </w:rPr>
        <w:t>עַל</w:t>
      </w:r>
      <w:r>
        <w:rPr>
          <w:rtl/>
        </w:rPr>
        <w:t xml:space="preserve"> </w:t>
      </w:r>
      <w:r>
        <w:t xml:space="preserve">mit Suffix 2. Person Maskulinum Singular, </w:t>
      </w:r>
      <w:r>
        <w:rPr>
          <w:rStyle w:val="Fett"/>
          <w:rFonts w:eastAsiaTheme="majorEastAsia"/>
          <w:rtl/>
        </w:rPr>
        <w:t>כָּל־בְּרָכָה</w:t>
      </w:r>
      <w:r>
        <w:t xml:space="preserve">, „Segnung", Plural mit Artikel, </w:t>
      </w:r>
      <w:r>
        <w:rPr>
          <w:rStyle w:val="Fett"/>
          <w:rFonts w:eastAsiaTheme="majorEastAsia"/>
          <w:rtl/>
        </w:rPr>
        <w:t>אֵלֶּה</w:t>
      </w:r>
      <w:r>
        <w:t xml:space="preserve">, mit </w:t>
      </w:r>
      <w:r>
        <w:rPr>
          <w:rStyle w:val="Fett"/>
          <w:rFonts w:eastAsiaTheme="majorEastAsia"/>
        </w:rPr>
        <w:t>Waw</w:t>
      </w:r>
      <w:r>
        <w:t xml:space="preserve"> consecutives Perfekt), </w:t>
      </w:r>
      <w:r>
        <w:rPr>
          <w:rStyle w:val="Fett"/>
          <w:rFonts w:eastAsiaTheme="majorEastAsia"/>
          <w:rtl/>
        </w:rPr>
        <w:t>וְהִשִּׂיגֻךָ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נשׂג</w:t>
      </w:r>
      <w:r>
        <w:t xml:space="preserve">, Hiphil Perfekt, 3. Person Plural, „erreichen, einholen", mit Suffix 2. Person Maskulinum Singular, mit </w:t>
      </w:r>
      <w:r>
        <w:rPr>
          <w:rStyle w:val="Fett"/>
          <w:rFonts w:eastAsiaTheme="majorEastAsia"/>
        </w:rPr>
        <w:t>Waw</w:t>
      </w:r>
      <w:r>
        <w:t xml:space="preserve"> consecutives Perfekt), </w:t>
      </w:r>
      <w:r>
        <w:rPr>
          <w:rStyle w:val="Fett"/>
          <w:rFonts w:eastAsiaTheme="majorEastAsia"/>
          <w:rtl/>
        </w:rPr>
        <w:t>כִּי תִשְׁמַע בְּקוֹל יְהוָה אֱלֹהֶיךָ</w:t>
      </w:r>
      <w:r>
        <w:rPr>
          <w:rtl/>
        </w:rPr>
        <w:t xml:space="preserve"> </w:t>
      </w:r>
      <w:r>
        <w:t xml:space="preserve">(Bedingungssatz: </w:t>
      </w:r>
      <w:r>
        <w:rPr>
          <w:rStyle w:val="Fett"/>
          <w:rFonts w:eastAsiaTheme="majorEastAsia"/>
          <w:rtl/>
        </w:rPr>
        <w:t>כִּי</w:t>
      </w:r>
      <w:r>
        <w:rPr>
          <w:rtl/>
        </w:rPr>
        <w:t xml:space="preserve"> </w:t>
      </w:r>
      <w:r>
        <w:t xml:space="preserve">mit </w:t>
      </w:r>
      <w:r>
        <w:rPr>
          <w:rStyle w:val="Fett"/>
          <w:rFonts w:eastAsiaTheme="majorEastAsia"/>
          <w:rtl/>
        </w:rPr>
        <w:t>שׁמע</w:t>
      </w:r>
      <w:r>
        <w:t xml:space="preserve">, Qal Imperfekt, 2. Person Maskulinum Singular, </w:t>
      </w:r>
      <w:r>
        <w:rPr>
          <w:rStyle w:val="Fett"/>
          <w:rFonts w:eastAsiaTheme="majorEastAsia"/>
          <w:rtl/>
        </w:rPr>
        <w:t>בְּקוֹל יְהוָה אֱלֹהֶיךָ</w:t>
      </w:r>
      <w:r>
        <w:t>).</w:t>
      </w:r>
    </w:p>
    <w:p w14:paraId="49C27F4F" w14:textId="3E0E93F5" w:rsidR="00A709A3" w:rsidRDefault="00A709A3" w:rsidP="00A709A3">
      <w:pPr>
        <w:pStyle w:val="whitespace-normal"/>
      </w:pPr>
      <w:r>
        <w:t xml:space="preserve">Der Vers wiederholt die Bedingung und betont die Fülle der Segnungen. Die erste Aussage: </w:t>
      </w:r>
      <w:r>
        <w:rPr>
          <w:rStyle w:val="Fett"/>
          <w:rFonts w:eastAsiaTheme="majorEastAsia"/>
          <w:rtl/>
        </w:rPr>
        <w:t>וּבָאוּ עָלֶיךָ כָּל־הַבְּרָכוֹת הָאֵלֶּה</w:t>
      </w:r>
      <w:r>
        <w:rPr>
          <w:rtl/>
        </w:rPr>
        <w:t xml:space="preserve"> </w:t>
      </w:r>
      <w:r>
        <w:t xml:space="preserve">(„und kommen werden über dich alle diese Segnungen"). Das Verb </w:t>
      </w:r>
      <w:r>
        <w:rPr>
          <w:rStyle w:val="Fett"/>
          <w:rFonts w:eastAsiaTheme="majorEastAsia"/>
          <w:rtl/>
        </w:rPr>
        <w:t>בוא</w:t>
      </w:r>
      <w:r>
        <w:rPr>
          <w:rtl/>
        </w:rPr>
        <w:t xml:space="preserve"> </w:t>
      </w:r>
      <w:r>
        <w:t xml:space="preserve">(„kommen") mit </w:t>
      </w:r>
      <w:r>
        <w:rPr>
          <w:rStyle w:val="Fett"/>
          <w:rFonts w:eastAsiaTheme="majorEastAsia"/>
          <w:rtl/>
        </w:rPr>
        <w:t>עַל</w:t>
      </w:r>
      <w:r>
        <w:rPr>
          <w:rtl/>
        </w:rPr>
        <w:t xml:space="preserve"> </w:t>
      </w:r>
      <w:r>
        <w:t xml:space="preserve">(„über") – die Segnungen kommen aktiv auf Israel zu. Die Formulierung </w:t>
      </w:r>
      <w:r>
        <w:rPr>
          <w:rStyle w:val="Fett"/>
          <w:rFonts w:eastAsiaTheme="majorEastAsia"/>
          <w:rtl/>
        </w:rPr>
        <w:t>כָּל־הַבְּרָכוֹת הָאֵלֶּה</w:t>
      </w:r>
      <w:r>
        <w:rPr>
          <w:rtl/>
        </w:rPr>
        <w:t xml:space="preserve"> </w:t>
      </w:r>
      <w:r>
        <w:t xml:space="preserve">(„alle diese Segnungen") verweist voraus auf V. 3-14. Die zweite Aussage: </w:t>
      </w:r>
      <w:r>
        <w:rPr>
          <w:rStyle w:val="Fett"/>
          <w:rFonts w:eastAsiaTheme="majorEastAsia"/>
          <w:rtl/>
        </w:rPr>
        <w:t>וְהִשִּׂיגֻךָ</w:t>
      </w:r>
      <w:r>
        <w:rPr>
          <w:rtl/>
        </w:rPr>
        <w:t xml:space="preserve"> </w:t>
      </w:r>
      <w:r>
        <w:t xml:space="preserve">(„und sie werden dich erreichen"). Das Verb </w:t>
      </w:r>
      <w:r>
        <w:rPr>
          <w:rStyle w:val="Fett"/>
          <w:rFonts w:eastAsiaTheme="majorEastAsia"/>
          <w:rtl/>
        </w:rPr>
        <w:t>נשׂג</w:t>
      </w:r>
      <w:r>
        <w:rPr>
          <w:rtl/>
        </w:rPr>
        <w:t xml:space="preserve"> </w:t>
      </w:r>
      <w:r>
        <w:t xml:space="preserve">im Hiphil („erreichen, einholen") betont: die Segnungen werden Israel einholen, überholen. Die Bedingung: </w:t>
      </w:r>
      <w:r>
        <w:rPr>
          <w:rStyle w:val="Fett"/>
          <w:rFonts w:eastAsiaTheme="majorEastAsia"/>
          <w:rtl/>
        </w:rPr>
        <w:t>כִּי תִשְׁמַע בְּקוֹל יְהוָה אֱלֹהֶיךָ</w:t>
      </w:r>
      <w:r>
        <w:rPr>
          <w:rtl/>
        </w:rPr>
        <w:t xml:space="preserve"> </w:t>
      </w:r>
      <w:r>
        <w:t xml:space="preserve">(„wenn du gehorchst der Stimme </w:t>
      </w:r>
      <w:r w:rsidR="00DF3D1A">
        <w:t>JHWHs</w:t>
      </w:r>
      <w:r>
        <w:t>, deines Gottes") – Wiederholung der Bedingung aus V. 1.</w:t>
      </w:r>
    </w:p>
    <w:p w14:paraId="1FB4DC5B" w14:textId="597F62EF" w:rsidR="001A04EF" w:rsidRDefault="001A04EF" w:rsidP="00A709A3">
      <w:pPr>
        <w:pStyle w:val="whitespace-normal"/>
      </w:pPr>
      <w:r>
        <w:rPr>
          <w:rStyle w:val="Fett"/>
        </w:rPr>
        <w:t>Die LXX</w:t>
      </w:r>
      <w:r>
        <w:t xml:space="preserve"> übersetzt </w:t>
      </w:r>
      <w:r>
        <w:rPr>
          <w:rtl/>
        </w:rPr>
        <w:t>וְהִשִּׂיגֻךָ</w:t>
      </w:r>
      <w:r>
        <w:t xml:space="preserve"> (und sie werden dich erreichen) mit καὶ </w:t>
      </w:r>
      <w:proofErr w:type="spellStart"/>
      <w:r>
        <w:t>εὑρήσουσίν</w:t>
      </w:r>
      <w:proofErr w:type="spellEnd"/>
      <w:r>
        <w:t xml:space="preserve"> </w:t>
      </w:r>
      <w:proofErr w:type="spellStart"/>
      <w:r>
        <w:t>σε</w:t>
      </w:r>
      <w:proofErr w:type="spellEnd"/>
      <w:r>
        <w:t xml:space="preserve"> (und sie werden dich finden) – eine semantische Verschiebung von "erreichen" zu "finden".</w:t>
      </w:r>
    </w:p>
    <w:p w14:paraId="459AD2A4" w14:textId="3FAAFE95" w:rsidR="00A709A3" w:rsidRDefault="00A709A3" w:rsidP="00A709A3">
      <w:pPr>
        <w:pStyle w:val="whitespace-normal"/>
      </w:pPr>
      <w:r>
        <w:rPr>
          <w:rStyle w:val="Fett"/>
          <w:rFonts w:eastAsiaTheme="majorEastAsia"/>
        </w:rPr>
        <w:t>Die Satzstruktur:</w:t>
      </w:r>
      <w:r>
        <w:t xml:space="preserve"> Zwei Aussagen mit Bedingung (und kommen werden über dich alle diese Segnungen, und sie werden dich erreichen, wenn du gehorchst der Stimme </w:t>
      </w:r>
      <w:r w:rsidR="00DF3D1A">
        <w:t>JHWHs</w:t>
      </w:r>
      <w:r>
        <w:t>, deines Gottes).</w:t>
      </w:r>
    </w:p>
    <w:p w14:paraId="253A8F8A" w14:textId="4F4E0AED" w:rsidR="00A709A3" w:rsidRDefault="00A709A3" w:rsidP="00705F3D">
      <w:pPr>
        <w:pStyle w:val="whitespace-normal"/>
      </w:pPr>
      <w:r>
        <w:rPr>
          <w:rStyle w:val="Fett"/>
          <w:rFonts w:eastAsiaTheme="majorEastAsia"/>
        </w:rPr>
        <w:t>Der Vers beschreibt:</w:t>
      </w:r>
      <w:r>
        <w:t xml:space="preserve"> Die Segnungen kommen aktiv auf Israel zu und werden es erreichen – bei Gehorsam.</w:t>
      </w:r>
    </w:p>
    <w:p w14:paraId="52A16ADD" w14:textId="77777777" w:rsidR="00A709A3" w:rsidRPr="00B53ACC" w:rsidRDefault="00A709A3" w:rsidP="00B53ACC">
      <w:pPr>
        <w:pStyle w:val="Bibelberschrift"/>
      </w:pPr>
      <w:r w:rsidRPr="00B53ACC">
        <w:rPr>
          <w:rStyle w:val="Fett"/>
          <w:b/>
          <w:bCs w:val="0"/>
        </w:rPr>
        <w:t>Deuteronomium 28,3</w:t>
      </w:r>
    </w:p>
    <w:p w14:paraId="158D6FF0" w14:textId="77777777" w:rsidR="00A709A3" w:rsidRDefault="00A709A3" w:rsidP="00A709A3">
      <w:pPr>
        <w:pStyle w:val="whitespace-normal"/>
      </w:pPr>
      <w:r>
        <w:rPr>
          <w:rStyle w:val="Fett"/>
          <w:rFonts w:eastAsiaTheme="majorEastAsia"/>
        </w:rPr>
        <w:t>Hebräisch:</w:t>
      </w:r>
      <w:r>
        <w:t xml:space="preserve"> </w:t>
      </w:r>
      <w:r>
        <w:rPr>
          <w:rtl/>
        </w:rPr>
        <w:t>בָּרוּךְ אַתָּה בָּעִיר וּבָרוּךְ אַתָּה בַּשָּׂדֶֽה׃</w:t>
      </w:r>
    </w:p>
    <w:p w14:paraId="6E0C00E2" w14:textId="77777777" w:rsidR="00A709A3" w:rsidRDefault="00A709A3" w:rsidP="00A709A3">
      <w:pPr>
        <w:pStyle w:val="whitespace-normal"/>
      </w:pPr>
      <w:r>
        <w:rPr>
          <w:rStyle w:val="Fett"/>
          <w:rFonts w:eastAsiaTheme="majorEastAsia"/>
        </w:rPr>
        <w:t>Deutsch:</w:t>
      </w:r>
      <w:r>
        <w:t xml:space="preserve"> Gesegnet wirst du sein in der Stadt, und gesegnet wirst du sein auf dem Feld.</w:t>
      </w:r>
    </w:p>
    <w:p w14:paraId="5D8ACEDE" w14:textId="77777777" w:rsidR="00A709A3" w:rsidRDefault="004F5CEB" w:rsidP="00A709A3">
      <w:r>
        <w:rPr>
          <w:noProof/>
        </w:rPr>
        <w:pict w14:anchorId="79467BE7">
          <v:rect id="_x0000_i1745" style="width:0;height:1.5pt" o:hralign="center" o:hrstd="t" o:hr="t" fillcolor="#a0a0a0" stroked="f"/>
        </w:pict>
      </w:r>
    </w:p>
    <w:p w14:paraId="312F02BA"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בָּרוּךְ אַתָּה בָּעִיר וּבָרוּךְ אַתָּה בַּשָּׂדֶה</w:t>
      </w:r>
      <w:r>
        <w:rPr>
          <w:rtl/>
        </w:rPr>
        <w:t xml:space="preserve"> </w:t>
      </w:r>
      <w:r>
        <w:t xml:space="preserve">sind zwei parallele Segensformeln: </w:t>
      </w:r>
      <w:r>
        <w:rPr>
          <w:rStyle w:val="Fett"/>
          <w:rFonts w:eastAsiaTheme="majorEastAsia"/>
          <w:rtl/>
        </w:rPr>
        <w:t>בָּרוּךְ אַתָּה בָּעִיר</w:t>
      </w:r>
      <w:r>
        <w:rPr>
          <w:rtl/>
        </w:rPr>
        <w:t xml:space="preserve"> </w:t>
      </w:r>
      <w:r>
        <w:t>(</w:t>
      </w:r>
      <w:r>
        <w:rPr>
          <w:rStyle w:val="Fett"/>
          <w:rFonts w:eastAsiaTheme="majorEastAsia"/>
          <w:rtl/>
        </w:rPr>
        <w:t>ברך</w:t>
      </w:r>
      <w:r>
        <w:t xml:space="preserve">, Qal Passiv Partizip, „gesegnet", </w:t>
      </w:r>
      <w:r>
        <w:rPr>
          <w:rStyle w:val="Fett"/>
          <w:rFonts w:eastAsiaTheme="majorEastAsia"/>
          <w:rtl/>
        </w:rPr>
        <w:t>אַתָּה</w:t>
      </w:r>
      <w:r>
        <w:t xml:space="preserve">, Präposition </w:t>
      </w:r>
      <w:r>
        <w:rPr>
          <w:rStyle w:val="Fett"/>
          <w:rFonts w:eastAsiaTheme="majorEastAsia"/>
          <w:rtl/>
        </w:rPr>
        <w:t>בְּ</w:t>
      </w:r>
      <w:r>
        <w:rPr>
          <w:rtl/>
        </w:rPr>
        <w:t xml:space="preserve"> </w:t>
      </w:r>
      <w:r>
        <w:t xml:space="preserve">mit </w:t>
      </w:r>
      <w:r>
        <w:rPr>
          <w:rStyle w:val="Fett"/>
          <w:rFonts w:eastAsiaTheme="majorEastAsia"/>
          <w:rtl/>
        </w:rPr>
        <w:t>עִיר</w:t>
      </w:r>
      <w:r>
        <w:rPr>
          <w:rtl/>
        </w:rPr>
        <w:t xml:space="preserve"> </w:t>
      </w:r>
      <w:r>
        <w:t xml:space="preserve">mit Artikel), </w:t>
      </w:r>
      <w:r>
        <w:rPr>
          <w:rStyle w:val="Fett"/>
          <w:rFonts w:eastAsiaTheme="majorEastAsia"/>
          <w:rtl/>
        </w:rPr>
        <w:t>וּבָרוּךְ אַתָּה בַּשָּׂדֶה</w:t>
      </w:r>
      <w:r>
        <w:rPr>
          <w:rtl/>
        </w:rPr>
        <w:t xml:space="preserve"> </w:t>
      </w:r>
      <w:r>
        <w:t>(parallel).</w:t>
      </w:r>
    </w:p>
    <w:p w14:paraId="73885882" w14:textId="77777777" w:rsidR="00A709A3" w:rsidRDefault="00A709A3" w:rsidP="00A709A3">
      <w:pPr>
        <w:pStyle w:val="whitespace-normal"/>
      </w:pPr>
      <w:r>
        <w:t xml:space="preserve">Der Vers beginnt die konkrete Auflistung der Segnungen (V. 3-6). Die erste Segensformel: </w:t>
      </w:r>
      <w:r>
        <w:rPr>
          <w:rStyle w:val="Fett"/>
          <w:rFonts w:eastAsiaTheme="majorEastAsia"/>
          <w:rtl/>
        </w:rPr>
        <w:t>בָּרוּךְ אַתָּה בָּעִיר</w:t>
      </w:r>
      <w:r>
        <w:rPr>
          <w:rtl/>
        </w:rPr>
        <w:t xml:space="preserve"> </w:t>
      </w:r>
      <w:r>
        <w:t xml:space="preserve">(„gesegnet wirst du sein in der Stadt"). Die </w:t>
      </w:r>
      <w:r>
        <w:rPr>
          <w:rStyle w:val="Fett"/>
          <w:rFonts w:eastAsiaTheme="majorEastAsia"/>
          <w:rtl/>
        </w:rPr>
        <w:t>עִיר</w:t>
      </w:r>
      <w:r>
        <w:rPr>
          <w:rtl/>
        </w:rPr>
        <w:t xml:space="preserve"> </w:t>
      </w:r>
      <w:r>
        <w:t xml:space="preserve">(„Stadt") steht für urbanes Leben, Handel, Handwerk. Die zweite Segensformel: </w:t>
      </w:r>
      <w:r>
        <w:rPr>
          <w:rStyle w:val="Fett"/>
          <w:rFonts w:eastAsiaTheme="majorEastAsia"/>
          <w:rtl/>
        </w:rPr>
        <w:t>וּבָרוּךְ אַתָּה בַּשָּׂדֶה</w:t>
      </w:r>
      <w:r>
        <w:rPr>
          <w:rtl/>
        </w:rPr>
        <w:t xml:space="preserve"> </w:t>
      </w:r>
      <w:r>
        <w:t xml:space="preserve">(„und gesegnet wirst du sein auf dem Feld"). Das </w:t>
      </w:r>
      <w:r>
        <w:rPr>
          <w:rStyle w:val="Fett"/>
          <w:rFonts w:eastAsiaTheme="majorEastAsia"/>
          <w:rtl/>
        </w:rPr>
        <w:t>שָׂדֶה</w:t>
      </w:r>
      <w:r>
        <w:rPr>
          <w:rtl/>
        </w:rPr>
        <w:t xml:space="preserve"> </w:t>
      </w:r>
      <w:r>
        <w:t>(„Feld") steht für ländliches Leben, Landwirtschaft. Zusammen umfassen diese beiden Bereiche das gesamte Leben – Stadt und Land, alle Lebensbereiche werden gesegnet.</w:t>
      </w:r>
    </w:p>
    <w:p w14:paraId="50B8633E" w14:textId="77777777" w:rsidR="00A709A3" w:rsidRDefault="00A709A3" w:rsidP="00A709A3">
      <w:pPr>
        <w:pStyle w:val="whitespace-normal"/>
      </w:pPr>
      <w:r>
        <w:rPr>
          <w:rStyle w:val="Fett"/>
          <w:rFonts w:eastAsiaTheme="majorEastAsia"/>
        </w:rPr>
        <w:lastRenderedPageBreak/>
        <w:t>Die Satzstruktur:</w:t>
      </w:r>
      <w:r>
        <w:t xml:space="preserve"> Zwei parallele Segensformeln (gesegnet wirst du sein in der Stadt, und gesegnet wirst du sein auf dem Feld).</w:t>
      </w:r>
    </w:p>
    <w:p w14:paraId="4CC430A4" w14:textId="77777777" w:rsidR="00A709A3" w:rsidRDefault="00A709A3" w:rsidP="00A709A3">
      <w:pPr>
        <w:pStyle w:val="whitespace-normal"/>
      </w:pPr>
      <w:r>
        <w:rPr>
          <w:rStyle w:val="Fett"/>
          <w:rFonts w:eastAsiaTheme="majorEastAsia"/>
        </w:rPr>
        <w:t>Der Vers beschreibt:</w:t>
      </w:r>
      <w:r>
        <w:t xml:space="preserve"> Segen in allen Lebensbereichen – Stadt und Land.</w:t>
      </w:r>
    </w:p>
    <w:p w14:paraId="1D8AEBBB" w14:textId="77777777" w:rsidR="00A709A3" w:rsidRDefault="004F5CEB" w:rsidP="00A709A3">
      <w:r>
        <w:rPr>
          <w:noProof/>
        </w:rPr>
        <w:pict w14:anchorId="200C3CA3">
          <v:rect id="_x0000_i1746" style="width:0;height:1.5pt" o:hralign="center" o:hrstd="t" o:hr="t" fillcolor="#a0a0a0" stroked="f"/>
        </w:pict>
      </w:r>
    </w:p>
    <w:p w14:paraId="75822AD7" w14:textId="77777777" w:rsidR="00A709A3" w:rsidRPr="00B53ACC" w:rsidRDefault="00A709A3" w:rsidP="00B53ACC">
      <w:pPr>
        <w:pStyle w:val="Bibelberschrift"/>
      </w:pPr>
      <w:r w:rsidRPr="00B53ACC">
        <w:rPr>
          <w:rStyle w:val="Fett"/>
          <w:b/>
          <w:bCs w:val="0"/>
        </w:rPr>
        <w:t>Deuteronomium 28,4</w:t>
      </w:r>
    </w:p>
    <w:p w14:paraId="1DB26601" w14:textId="77777777" w:rsidR="00A709A3" w:rsidRDefault="00A709A3" w:rsidP="00A709A3">
      <w:pPr>
        <w:pStyle w:val="whitespace-normal"/>
      </w:pPr>
      <w:r>
        <w:rPr>
          <w:rStyle w:val="Fett"/>
          <w:rFonts w:eastAsiaTheme="majorEastAsia"/>
        </w:rPr>
        <w:t>Hebräisch:</w:t>
      </w:r>
      <w:r>
        <w:t xml:space="preserve"> </w:t>
      </w:r>
      <w:r>
        <w:rPr>
          <w:rtl/>
        </w:rPr>
        <w:t>בָּרוּךְ פְּרִֽי־בִטְנְךָ וּפְרִי אַדְמָתְךָ וּפְרִי בְהֶמְתֶּךָ שְׁגַר אֲלָפֶיךָ וְעַשְׁתְּרוֹת צֹאנֶֽךָ׃</w:t>
      </w:r>
    </w:p>
    <w:p w14:paraId="5FFFFD6B" w14:textId="77777777" w:rsidR="00A709A3" w:rsidRDefault="00A709A3" w:rsidP="00A709A3">
      <w:pPr>
        <w:pStyle w:val="whitespace-normal"/>
      </w:pPr>
      <w:r>
        <w:rPr>
          <w:rStyle w:val="Fett"/>
          <w:rFonts w:eastAsiaTheme="majorEastAsia"/>
        </w:rPr>
        <w:t>Deutsch:</w:t>
      </w:r>
      <w:r>
        <w:t xml:space="preserve"> Gesegnet wird sein die Frucht deines Leibes und die Frucht deines Landes und die Frucht deines Viehs, der Wurf deiner Rinder und die Zucht deiner Schafe.</w:t>
      </w:r>
    </w:p>
    <w:p w14:paraId="7AA9CF87" w14:textId="77777777" w:rsidR="00A709A3" w:rsidRDefault="004F5CEB" w:rsidP="00A709A3">
      <w:r>
        <w:rPr>
          <w:noProof/>
        </w:rPr>
        <w:pict w14:anchorId="107F0C77">
          <v:rect id="_x0000_i1747" style="width:0;height:1.5pt" o:hralign="center" o:hrstd="t" o:hr="t" fillcolor="#a0a0a0" stroked="f"/>
        </w:pict>
      </w:r>
    </w:p>
    <w:p w14:paraId="5F8B7031"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בָּרוּךְ פְּרִי־בִטְנְךָ וּפְרִי אַדְמָתְךָ וּפְרִי בְהֶמְתֶּךָ שְׁגַר אֲלָפֶיךָ וְעַשְׁתְּרוֹת צֹאנֶךָ</w:t>
      </w:r>
      <w:r>
        <w:rPr>
          <w:rtl/>
        </w:rPr>
        <w:t xml:space="preserve"> </w:t>
      </w:r>
      <w:r>
        <w:t xml:space="preserve">ist eine dreifache Segensformel mit Präzisierungen: </w:t>
      </w:r>
      <w:r>
        <w:rPr>
          <w:rStyle w:val="Fett"/>
          <w:rFonts w:eastAsiaTheme="majorEastAsia"/>
          <w:rtl/>
        </w:rPr>
        <w:t>בָּרוּךְ פְּרִי־בִטְנְךָ וּפְרִי אַדְמָתְךָ וּפְרִי בְהֶמְתֶּךָ</w:t>
      </w:r>
      <w:r>
        <w:rPr>
          <w:rtl/>
        </w:rPr>
        <w:t xml:space="preserve"> </w:t>
      </w:r>
      <w:r>
        <w:t>(</w:t>
      </w:r>
      <w:r>
        <w:rPr>
          <w:rStyle w:val="Fett"/>
          <w:rFonts w:eastAsiaTheme="majorEastAsia"/>
          <w:rtl/>
        </w:rPr>
        <w:t>ברך</w:t>
      </w:r>
      <w:r>
        <w:rPr>
          <w:rtl/>
        </w:rPr>
        <w:t xml:space="preserve"> </w:t>
      </w:r>
      <w:r>
        <w:t xml:space="preserve">Passiv Partizip, </w:t>
      </w:r>
      <w:r>
        <w:rPr>
          <w:rStyle w:val="Fett"/>
          <w:rFonts w:eastAsiaTheme="majorEastAsia"/>
          <w:rtl/>
        </w:rPr>
        <w:t>פְּרִי</w:t>
      </w:r>
      <w:r>
        <w:t xml:space="preserve">, „Frucht", Construct mit </w:t>
      </w:r>
      <w:r>
        <w:rPr>
          <w:rStyle w:val="Fett"/>
          <w:rFonts w:eastAsiaTheme="majorEastAsia"/>
          <w:rtl/>
        </w:rPr>
        <w:t>בֶּטֶן</w:t>
      </w:r>
      <w:r>
        <w:t xml:space="preserve">, „Leib, Bauch, Schoß", mit Suffix 2. Person Maskulinum Singular, koordiniert mit </w:t>
      </w:r>
      <w:r>
        <w:rPr>
          <w:rStyle w:val="Fett"/>
          <w:rFonts w:eastAsiaTheme="majorEastAsia"/>
          <w:rtl/>
        </w:rPr>
        <w:t>פְּרִי אַדְמָה</w:t>
      </w:r>
      <w:r>
        <w:t xml:space="preserve">, „Frucht des Landes", mit Suffix, koordiniert mit </w:t>
      </w:r>
      <w:r>
        <w:rPr>
          <w:rStyle w:val="Fett"/>
          <w:rFonts w:eastAsiaTheme="majorEastAsia"/>
          <w:rtl/>
        </w:rPr>
        <w:t>פְּרִי בְּהֵמָה</w:t>
      </w:r>
      <w:r>
        <w:t xml:space="preserve">, „Frucht des Viehs", mit Suffix), </w:t>
      </w:r>
      <w:r>
        <w:rPr>
          <w:rStyle w:val="Fett"/>
          <w:rFonts w:eastAsiaTheme="majorEastAsia"/>
          <w:rtl/>
        </w:rPr>
        <w:t>שְׁגַר אֲלָפֶיךָ וְעַשְׁתְּרוֹת צֹאנֶךָ</w:t>
      </w:r>
      <w:r>
        <w:rPr>
          <w:rtl/>
        </w:rPr>
        <w:t xml:space="preserve"> </w:t>
      </w:r>
      <w:r>
        <w:t xml:space="preserve">(Appositionen: </w:t>
      </w:r>
      <w:r>
        <w:rPr>
          <w:rStyle w:val="Fett"/>
          <w:rFonts w:eastAsiaTheme="majorEastAsia"/>
          <w:rtl/>
        </w:rPr>
        <w:t>שֶׁגֶר</w:t>
      </w:r>
      <w:r>
        <w:t xml:space="preserve">, „Wurf, Nachwuchs", Construct mit </w:t>
      </w:r>
      <w:r>
        <w:rPr>
          <w:rStyle w:val="Fett"/>
          <w:rFonts w:eastAsiaTheme="majorEastAsia"/>
          <w:rtl/>
        </w:rPr>
        <w:t>אֶלֶף</w:t>
      </w:r>
      <w:r>
        <w:t xml:space="preserve">, „Rind", Plural mit Suffix 2. Person Maskulinum Singular, koordiniert mit </w:t>
      </w:r>
      <w:r>
        <w:rPr>
          <w:rStyle w:val="Fett"/>
          <w:rFonts w:eastAsiaTheme="majorEastAsia"/>
          <w:rtl/>
        </w:rPr>
        <w:t>עַשְׁתְּרָה</w:t>
      </w:r>
      <w:r>
        <w:t xml:space="preserve">, „Zucht, Nachwuchs" (von Schafen), Plural Construct mit </w:t>
      </w:r>
      <w:r>
        <w:rPr>
          <w:rStyle w:val="Fett"/>
          <w:rFonts w:eastAsiaTheme="majorEastAsia"/>
          <w:rtl/>
        </w:rPr>
        <w:t>צֹאן</w:t>
      </w:r>
      <w:r>
        <w:t>, „Kleinvieh, Schafe und Ziegen", mit Suffix).</w:t>
      </w:r>
    </w:p>
    <w:p w14:paraId="035BF546" w14:textId="512B6ABD" w:rsidR="00A709A3" w:rsidRDefault="00A709A3" w:rsidP="00A709A3">
      <w:pPr>
        <w:pStyle w:val="whitespace-normal"/>
      </w:pPr>
      <w:r>
        <w:t xml:space="preserve">Der Vers beschreibt Fruchtbarkeit in drei Bereichen. Die erste Segensformel: </w:t>
      </w:r>
      <w:r>
        <w:rPr>
          <w:rStyle w:val="Fett"/>
          <w:rFonts w:eastAsiaTheme="majorEastAsia"/>
          <w:rtl/>
        </w:rPr>
        <w:t>בָּרוּךְ פְּרִי־בִטְנְךָ</w:t>
      </w:r>
      <w:r>
        <w:rPr>
          <w:rtl/>
        </w:rPr>
        <w:t xml:space="preserve"> </w:t>
      </w:r>
      <w:r>
        <w:t xml:space="preserve">(„gesegnet wird sein die Frucht deines Leibes") – menschliche Fruchtbarkeit, Kindersegen. Die zweite: </w:t>
      </w:r>
      <w:r>
        <w:rPr>
          <w:rStyle w:val="Fett"/>
          <w:rFonts w:eastAsiaTheme="majorEastAsia"/>
          <w:rtl/>
        </w:rPr>
        <w:t>וּפְרִי אַדְמָתְךָ</w:t>
      </w:r>
      <w:r>
        <w:rPr>
          <w:rtl/>
        </w:rPr>
        <w:t xml:space="preserve"> </w:t>
      </w:r>
      <w:r>
        <w:t xml:space="preserve">(„und die Frucht deines Landes") – landwirtschaftliche Fruchtbarkeit, Erntesegen. Die dritte: </w:t>
      </w:r>
      <w:r>
        <w:rPr>
          <w:rStyle w:val="Fett"/>
          <w:rFonts w:eastAsiaTheme="majorEastAsia"/>
          <w:rtl/>
        </w:rPr>
        <w:t>וּפְרִי בְהֶמְתֶּךָ</w:t>
      </w:r>
      <w:r>
        <w:rPr>
          <w:rtl/>
        </w:rPr>
        <w:t xml:space="preserve"> </w:t>
      </w:r>
      <w:r>
        <w:t xml:space="preserve">(„und die Frucht deines Viehs") – Viehzucht, Vermehrung der Herden. Die Präzisierung </w:t>
      </w:r>
      <w:r>
        <w:rPr>
          <w:rStyle w:val="Fett"/>
          <w:rFonts w:eastAsiaTheme="majorEastAsia"/>
          <w:rtl/>
        </w:rPr>
        <w:t>שְׁגַר אֲלָפֶיךָ וְעַשְׁתְּרוֹת צֹאנֶךָ</w:t>
      </w:r>
      <w:r>
        <w:rPr>
          <w:rtl/>
        </w:rPr>
        <w:t xml:space="preserve"> </w:t>
      </w:r>
      <w:r>
        <w:t>(„der Wurf deiner Rinder und die Zucht deiner Schafe") unterscheidet Großvieh (Rinder) und Kleinvieh (Schafe/Ziegen).</w:t>
      </w:r>
    </w:p>
    <w:p w14:paraId="09AAC0DC" w14:textId="740C2ACD" w:rsidR="001A04EF" w:rsidRDefault="001A04EF" w:rsidP="00A709A3">
      <w:pPr>
        <w:pStyle w:val="whitespace-normal"/>
      </w:pPr>
      <w:r>
        <w:rPr>
          <w:rStyle w:val="Fett"/>
        </w:rPr>
        <w:t>Die LXX</w:t>
      </w:r>
      <w:r>
        <w:t xml:space="preserve"> übersetzt </w:t>
      </w:r>
      <w:r>
        <w:rPr>
          <w:rtl/>
        </w:rPr>
        <w:t>שְׁגַר אֲלָפֶיךָ וְעַשְׁתְּרוֹת צֹאנֶךָ</w:t>
      </w:r>
      <w:r>
        <w:t xml:space="preserve"> (die Kälber deiner Rinder und die Lämmer deiner Schafe) mit </w:t>
      </w:r>
      <w:proofErr w:type="spellStart"/>
      <w:r>
        <w:t>τὰ</w:t>
      </w:r>
      <w:proofErr w:type="spellEnd"/>
      <w:r>
        <w:t xml:space="preserve"> β</w:t>
      </w:r>
      <w:proofErr w:type="spellStart"/>
      <w:r>
        <w:t>ουκόλι</w:t>
      </w:r>
      <w:proofErr w:type="spellEnd"/>
      <w:r>
        <w:t xml:space="preserve">α </w:t>
      </w:r>
      <w:proofErr w:type="spellStart"/>
      <w:r>
        <w:t>τῶν</w:t>
      </w:r>
      <w:proofErr w:type="spellEnd"/>
      <w:r>
        <w:t xml:space="preserve"> β</w:t>
      </w:r>
      <w:proofErr w:type="spellStart"/>
      <w:r>
        <w:t>οῶν</w:t>
      </w:r>
      <w:proofErr w:type="spellEnd"/>
      <w:r>
        <w:t xml:space="preserve"> </w:t>
      </w:r>
      <w:proofErr w:type="spellStart"/>
      <w:r>
        <w:t>σου</w:t>
      </w:r>
      <w:proofErr w:type="spellEnd"/>
      <w:r>
        <w:t xml:space="preserve"> καὶ </w:t>
      </w:r>
      <w:proofErr w:type="spellStart"/>
      <w:r>
        <w:t>τὰ</w:t>
      </w:r>
      <w:proofErr w:type="spellEnd"/>
      <w:r>
        <w:t xml:space="preserve"> π</w:t>
      </w:r>
      <w:proofErr w:type="spellStart"/>
      <w:r>
        <w:t>οίμνι</w:t>
      </w:r>
      <w:proofErr w:type="spellEnd"/>
      <w:r>
        <w:t xml:space="preserve">α </w:t>
      </w:r>
      <w:proofErr w:type="spellStart"/>
      <w:r>
        <w:t>τῶν</w:t>
      </w:r>
      <w:proofErr w:type="spellEnd"/>
      <w:r>
        <w:t xml:space="preserve"> π</w:t>
      </w:r>
      <w:proofErr w:type="spellStart"/>
      <w:r>
        <w:t>ρο</w:t>
      </w:r>
      <w:proofErr w:type="spellEnd"/>
      <w:r>
        <w:t xml:space="preserve">βάτων </w:t>
      </w:r>
      <w:proofErr w:type="spellStart"/>
      <w:r>
        <w:t>σου</w:t>
      </w:r>
      <w:proofErr w:type="spellEnd"/>
      <w:r>
        <w:t xml:space="preserve"> (die Herden deiner Rinder und die Herden deiner Schafe) – allgemeinere Begriffe ohne die spezifischen Termini für Jungtiere.</w:t>
      </w:r>
    </w:p>
    <w:p w14:paraId="79DD405D" w14:textId="77777777" w:rsidR="00A709A3" w:rsidRDefault="00A709A3" w:rsidP="00A709A3">
      <w:pPr>
        <w:pStyle w:val="whitespace-normal"/>
      </w:pPr>
      <w:r>
        <w:rPr>
          <w:rStyle w:val="Fett"/>
          <w:rFonts w:eastAsiaTheme="majorEastAsia"/>
        </w:rPr>
        <w:t>Die Satzstruktur:</w:t>
      </w:r>
      <w:r>
        <w:t xml:space="preserve"> Dreifache Segensformel mit Präzisierungen (gesegnet wird sein die Frucht deines Leibes und die Frucht deines Landes und die Frucht deines Viehs, der Wurf deiner Rinder und die Zucht deiner Schafe).</w:t>
      </w:r>
    </w:p>
    <w:p w14:paraId="3986D901" w14:textId="01D9649F" w:rsidR="00A709A3" w:rsidRDefault="00A709A3" w:rsidP="00705F3D">
      <w:pPr>
        <w:pStyle w:val="whitespace-normal"/>
      </w:pPr>
      <w:r>
        <w:rPr>
          <w:rStyle w:val="Fett"/>
          <w:rFonts w:eastAsiaTheme="majorEastAsia"/>
        </w:rPr>
        <w:t>Der Vers beschreibt:</w:t>
      </w:r>
      <w:r>
        <w:t xml:space="preserve"> Segen der Fruchtbarkeit – Menschen, Ackerfrüchte, Vieh.</w:t>
      </w:r>
    </w:p>
    <w:p w14:paraId="053FCC24" w14:textId="77777777" w:rsidR="00A709A3" w:rsidRPr="00B53ACC" w:rsidRDefault="00A709A3" w:rsidP="00B53ACC">
      <w:pPr>
        <w:pStyle w:val="Bibelberschrift"/>
      </w:pPr>
      <w:r w:rsidRPr="00B53ACC">
        <w:rPr>
          <w:rStyle w:val="Fett"/>
          <w:b/>
          <w:bCs w:val="0"/>
        </w:rPr>
        <w:t>Deuteronomium 28,5</w:t>
      </w:r>
    </w:p>
    <w:p w14:paraId="7B872D35" w14:textId="77777777" w:rsidR="00A709A3" w:rsidRDefault="00A709A3" w:rsidP="00A709A3">
      <w:pPr>
        <w:pStyle w:val="whitespace-normal"/>
      </w:pPr>
      <w:r>
        <w:rPr>
          <w:rStyle w:val="Fett"/>
          <w:rFonts w:eastAsiaTheme="majorEastAsia"/>
        </w:rPr>
        <w:t>Hebräisch:</w:t>
      </w:r>
      <w:r>
        <w:t xml:space="preserve"> </w:t>
      </w:r>
      <w:r>
        <w:rPr>
          <w:rtl/>
        </w:rPr>
        <w:t>בָּרוּךְ טַנְאֲךָ וּמִשְׁאַרְתֶּֽךָ׃</w:t>
      </w:r>
    </w:p>
    <w:p w14:paraId="0BDE49EF" w14:textId="77777777" w:rsidR="00A709A3" w:rsidRDefault="00A709A3" w:rsidP="00A709A3">
      <w:pPr>
        <w:pStyle w:val="whitespace-normal"/>
      </w:pPr>
      <w:r>
        <w:rPr>
          <w:rStyle w:val="Fett"/>
          <w:rFonts w:eastAsiaTheme="majorEastAsia"/>
        </w:rPr>
        <w:lastRenderedPageBreak/>
        <w:t>Deutsch:</w:t>
      </w:r>
      <w:r>
        <w:t xml:space="preserve"> Gesegnet wird sein dein Korb und dein Backtrog.</w:t>
      </w:r>
    </w:p>
    <w:p w14:paraId="69C71D14" w14:textId="77777777" w:rsidR="00A709A3" w:rsidRDefault="004F5CEB" w:rsidP="00A709A3">
      <w:r>
        <w:rPr>
          <w:noProof/>
        </w:rPr>
        <w:pict w14:anchorId="2FE9727D">
          <v:rect id="_x0000_i1748" style="width:0;height:1.5pt" o:hralign="center" o:hrstd="t" o:hr="t" fillcolor="#a0a0a0" stroked="f"/>
        </w:pict>
      </w:r>
    </w:p>
    <w:p w14:paraId="16B37E81"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בָּרוּךְ טַנְאֲךָ וּמִשְׁאַרְתֶּךָ</w:t>
      </w:r>
      <w:r>
        <w:rPr>
          <w:rtl/>
        </w:rPr>
        <w:t xml:space="preserve"> </w:t>
      </w:r>
      <w:r>
        <w:t xml:space="preserve">ist eine doppelte Segensformel: </w:t>
      </w:r>
      <w:r>
        <w:rPr>
          <w:rStyle w:val="Fett"/>
          <w:rFonts w:eastAsiaTheme="majorEastAsia"/>
          <w:rtl/>
        </w:rPr>
        <w:t>בָּרוּךְ טַנְאֲךָ</w:t>
      </w:r>
      <w:r>
        <w:rPr>
          <w:rtl/>
        </w:rPr>
        <w:t xml:space="preserve"> </w:t>
      </w:r>
      <w:r>
        <w:t>(</w:t>
      </w:r>
      <w:r>
        <w:rPr>
          <w:rStyle w:val="Fett"/>
          <w:rFonts w:eastAsiaTheme="majorEastAsia"/>
          <w:rtl/>
        </w:rPr>
        <w:t>ברך</w:t>
      </w:r>
      <w:r>
        <w:rPr>
          <w:rtl/>
        </w:rPr>
        <w:t xml:space="preserve"> </w:t>
      </w:r>
      <w:r>
        <w:t xml:space="preserve">Passiv Partizip, </w:t>
      </w:r>
      <w:r>
        <w:rPr>
          <w:rStyle w:val="Fett"/>
          <w:rFonts w:eastAsiaTheme="majorEastAsia"/>
          <w:rtl/>
        </w:rPr>
        <w:t>טֶנֶא</w:t>
      </w:r>
      <w:r>
        <w:t xml:space="preserve">, „Korb" (für Früchte), mit Suffix 2. Person Maskulinum Singular), </w:t>
      </w:r>
      <w:r>
        <w:rPr>
          <w:rStyle w:val="Fett"/>
          <w:rFonts w:eastAsiaTheme="majorEastAsia"/>
          <w:rtl/>
        </w:rPr>
        <w:t>וּמִשְׁאַרְתֶּךָ</w:t>
      </w:r>
      <w:r>
        <w:rPr>
          <w:rtl/>
        </w:rPr>
        <w:t xml:space="preserve"> </w:t>
      </w:r>
      <w:r>
        <w:t xml:space="preserve">(koordiniert mit </w:t>
      </w:r>
      <w:r>
        <w:rPr>
          <w:rStyle w:val="Fett"/>
          <w:rFonts w:eastAsiaTheme="majorEastAsia"/>
          <w:rtl/>
        </w:rPr>
        <w:t>מִשְׁאֶרֶת</w:t>
      </w:r>
      <w:r>
        <w:t>, „Backtrog, Knetschüssel", mit Suffix 2. Person Maskulinum Singular).</w:t>
      </w:r>
    </w:p>
    <w:p w14:paraId="7F08E676" w14:textId="1749C768" w:rsidR="00A709A3" w:rsidRDefault="00A709A3" w:rsidP="00A709A3">
      <w:pPr>
        <w:pStyle w:val="whitespace-normal"/>
      </w:pPr>
      <w:r>
        <w:t xml:space="preserve">Der Vers segnet die Vorratsbehälter. Die erste Segensformel: </w:t>
      </w:r>
      <w:r>
        <w:rPr>
          <w:rStyle w:val="Fett"/>
          <w:rFonts w:eastAsiaTheme="majorEastAsia"/>
          <w:rtl/>
        </w:rPr>
        <w:t>בָּרוּךְ טַנְאֲךָ</w:t>
      </w:r>
      <w:r>
        <w:rPr>
          <w:rtl/>
        </w:rPr>
        <w:t xml:space="preserve"> </w:t>
      </w:r>
      <w:r>
        <w:t xml:space="preserve">(„gesegnet wird sein dein Korb"). Der </w:t>
      </w:r>
      <w:r>
        <w:rPr>
          <w:rStyle w:val="Fett"/>
          <w:rFonts w:eastAsiaTheme="majorEastAsia"/>
          <w:rtl/>
        </w:rPr>
        <w:t>טֶנֶא</w:t>
      </w:r>
      <w:r>
        <w:rPr>
          <w:rtl/>
        </w:rPr>
        <w:t xml:space="preserve"> </w:t>
      </w:r>
      <w:r>
        <w:t xml:space="preserve">(„Korb") dient zur Aufbewahrung von Früchten und Getreide – Symbol für Ernte und Vorrat. Die zweite: </w:t>
      </w:r>
      <w:r>
        <w:rPr>
          <w:rStyle w:val="Fett"/>
          <w:rFonts w:eastAsiaTheme="majorEastAsia"/>
          <w:rtl/>
        </w:rPr>
        <w:t>וּמִשְׁאַרְתֶּךָ</w:t>
      </w:r>
      <w:r>
        <w:rPr>
          <w:rtl/>
        </w:rPr>
        <w:t xml:space="preserve"> </w:t>
      </w:r>
      <w:r>
        <w:t xml:space="preserve">(„und dein Backtrog"). Die </w:t>
      </w:r>
      <w:r>
        <w:rPr>
          <w:rStyle w:val="Fett"/>
          <w:rFonts w:eastAsiaTheme="majorEastAsia"/>
          <w:rtl/>
        </w:rPr>
        <w:t>מִשְׁאֶרֶת</w:t>
      </w:r>
      <w:r>
        <w:rPr>
          <w:rtl/>
        </w:rPr>
        <w:t xml:space="preserve"> </w:t>
      </w:r>
      <w:r>
        <w:t>(„Backtrog, Knetschüssel") dient zur Teigzubereitung – Symbol für Nahrungsbereitung. Zusammen stehen diese für ausreichende Nahrung – von der Ernte bis zur Zubereitung.</w:t>
      </w:r>
    </w:p>
    <w:p w14:paraId="0473ADBD" w14:textId="45FD5EAD" w:rsidR="001A04EF" w:rsidRDefault="001A04EF" w:rsidP="00A709A3">
      <w:pPr>
        <w:pStyle w:val="whitespace-normal"/>
      </w:pPr>
      <w:r>
        <w:rPr>
          <w:rStyle w:val="Fett"/>
        </w:rPr>
        <w:t>Die LXX</w:t>
      </w:r>
      <w:r>
        <w:t xml:space="preserve"> übersetzt </w:t>
      </w:r>
      <w:r>
        <w:rPr>
          <w:rtl/>
        </w:rPr>
        <w:t>טַנְאֲךָ וּמִשְׁאַרְתֶּךָ</w:t>
      </w:r>
      <w:r>
        <w:t xml:space="preserve"> (dein Korb und dein Backtrog) mit αἱ ἀπ</w:t>
      </w:r>
      <w:proofErr w:type="spellStart"/>
      <w:r>
        <w:t>οθῆκ</w:t>
      </w:r>
      <w:proofErr w:type="spellEnd"/>
      <w:r>
        <w:t xml:space="preserve">αί </w:t>
      </w:r>
      <w:proofErr w:type="spellStart"/>
      <w:r>
        <w:t>σου</w:t>
      </w:r>
      <w:proofErr w:type="spellEnd"/>
      <w:r>
        <w:t xml:space="preserve"> καὶ </w:t>
      </w:r>
      <w:proofErr w:type="spellStart"/>
      <w:r>
        <w:t>τὰ</w:t>
      </w:r>
      <w:proofErr w:type="spellEnd"/>
      <w:r>
        <w:t xml:space="preserve"> </w:t>
      </w:r>
      <w:proofErr w:type="spellStart"/>
      <w:r>
        <w:t>ἐγκ</w:t>
      </w:r>
      <w:proofErr w:type="spellEnd"/>
      <w:r>
        <w:t xml:space="preserve">αταλείμματά </w:t>
      </w:r>
      <w:proofErr w:type="spellStart"/>
      <w:r>
        <w:t>σου</w:t>
      </w:r>
      <w:proofErr w:type="spellEnd"/>
      <w:r>
        <w:t xml:space="preserve"> (deine Vorratskammern und deine Überreste) – eine interpretierende Übersetzung, die die konkreten Gefäße durch allgemeinere Begriffe für Speicherung ersetzt.</w:t>
      </w:r>
    </w:p>
    <w:p w14:paraId="137E47A3" w14:textId="77777777" w:rsidR="00A709A3" w:rsidRDefault="00A709A3" w:rsidP="00A709A3">
      <w:pPr>
        <w:pStyle w:val="whitespace-normal"/>
      </w:pPr>
      <w:r>
        <w:rPr>
          <w:rStyle w:val="Fett"/>
          <w:rFonts w:eastAsiaTheme="majorEastAsia"/>
        </w:rPr>
        <w:t>Die Satzstruktur:</w:t>
      </w:r>
      <w:r>
        <w:t xml:space="preserve"> Doppelte Segensformel (gesegnet wird sein dein Korb und dein Backtrog).</w:t>
      </w:r>
    </w:p>
    <w:p w14:paraId="7E3F1C96" w14:textId="71C0544C" w:rsidR="00A709A3" w:rsidRDefault="00A709A3" w:rsidP="00705F3D">
      <w:pPr>
        <w:pStyle w:val="whitespace-normal"/>
      </w:pPr>
      <w:r>
        <w:rPr>
          <w:rStyle w:val="Fett"/>
          <w:rFonts w:eastAsiaTheme="majorEastAsia"/>
        </w:rPr>
        <w:t>Der Vers beschreibt:</w:t>
      </w:r>
      <w:r>
        <w:t xml:space="preserve"> Segen der Nahrungsversorgung – volle Vorratsbehälter.</w:t>
      </w:r>
    </w:p>
    <w:p w14:paraId="5638A9B1" w14:textId="77777777" w:rsidR="00A709A3" w:rsidRPr="00B53ACC" w:rsidRDefault="00A709A3" w:rsidP="00B53ACC">
      <w:pPr>
        <w:pStyle w:val="Bibelberschrift"/>
      </w:pPr>
      <w:r w:rsidRPr="00B53ACC">
        <w:rPr>
          <w:rStyle w:val="Fett"/>
          <w:b/>
          <w:bCs w:val="0"/>
        </w:rPr>
        <w:t>Deuteronomium 28,6</w:t>
      </w:r>
    </w:p>
    <w:p w14:paraId="56D2C73D" w14:textId="77777777" w:rsidR="00A709A3" w:rsidRDefault="00A709A3" w:rsidP="00A709A3">
      <w:pPr>
        <w:pStyle w:val="whitespace-normal"/>
      </w:pPr>
      <w:r>
        <w:rPr>
          <w:rStyle w:val="Fett"/>
          <w:rFonts w:eastAsiaTheme="majorEastAsia"/>
        </w:rPr>
        <w:t>Hebräisch:</w:t>
      </w:r>
      <w:r>
        <w:t xml:space="preserve"> </w:t>
      </w:r>
      <w:r>
        <w:rPr>
          <w:rtl/>
        </w:rPr>
        <w:t>בָּרוּךְ אַתָּה בְּבֹאֶךָ וּבָרוּךְ אַתָּה בְּצֵאתֶֽךָ׃</w:t>
      </w:r>
    </w:p>
    <w:p w14:paraId="6F324420" w14:textId="77777777" w:rsidR="00A709A3" w:rsidRDefault="00A709A3" w:rsidP="00A709A3">
      <w:pPr>
        <w:pStyle w:val="whitespace-normal"/>
      </w:pPr>
      <w:r>
        <w:rPr>
          <w:rStyle w:val="Fett"/>
          <w:rFonts w:eastAsiaTheme="majorEastAsia"/>
        </w:rPr>
        <w:t>Deutsch:</w:t>
      </w:r>
      <w:r>
        <w:t xml:space="preserve"> Gesegnet wirst du sein bei deinem Eingang, und gesegnet wirst du sein bei deinem Ausgang.</w:t>
      </w:r>
    </w:p>
    <w:p w14:paraId="766C7F13" w14:textId="77777777" w:rsidR="00A709A3" w:rsidRDefault="004F5CEB" w:rsidP="00A709A3">
      <w:r>
        <w:rPr>
          <w:noProof/>
        </w:rPr>
        <w:pict w14:anchorId="2A365687">
          <v:rect id="_x0000_i1749" style="width:0;height:1.5pt" o:hralign="center" o:hrstd="t" o:hr="t" fillcolor="#a0a0a0" stroked="f"/>
        </w:pict>
      </w:r>
    </w:p>
    <w:p w14:paraId="3B53FB0E"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בָּרוּךְ אַתָּה בְּבֹאֶךָ וּבָרוּךְ אַתָּה בְּצֵאתֶךָ</w:t>
      </w:r>
      <w:r>
        <w:rPr>
          <w:rtl/>
        </w:rPr>
        <w:t xml:space="preserve"> </w:t>
      </w:r>
      <w:r>
        <w:t xml:space="preserve">sind zwei parallele Segensformeln: </w:t>
      </w:r>
      <w:r>
        <w:rPr>
          <w:rStyle w:val="Fett"/>
          <w:rFonts w:eastAsiaTheme="majorEastAsia"/>
          <w:rtl/>
        </w:rPr>
        <w:t>בָּרוּךְ אַתָּה בְּבֹאֶךָ</w:t>
      </w:r>
      <w:r>
        <w:rPr>
          <w:rtl/>
        </w:rPr>
        <w:t xml:space="preserve"> </w:t>
      </w:r>
      <w:r>
        <w:t>(</w:t>
      </w:r>
      <w:r>
        <w:rPr>
          <w:rStyle w:val="Fett"/>
          <w:rFonts w:eastAsiaTheme="majorEastAsia"/>
          <w:rtl/>
        </w:rPr>
        <w:t>ברך</w:t>
      </w:r>
      <w:r>
        <w:rPr>
          <w:rtl/>
        </w:rPr>
        <w:t xml:space="preserve"> </w:t>
      </w:r>
      <w:r>
        <w:t xml:space="preserve">Passiv Partizip, </w:t>
      </w:r>
      <w:r>
        <w:rPr>
          <w:rStyle w:val="Fett"/>
          <w:rFonts w:eastAsiaTheme="majorEastAsia"/>
          <w:rtl/>
        </w:rPr>
        <w:t>אַתָּה</w:t>
      </w:r>
      <w:r>
        <w:t xml:space="preserve">, Präposition </w:t>
      </w:r>
      <w:r>
        <w:rPr>
          <w:rStyle w:val="Fett"/>
          <w:rFonts w:eastAsiaTheme="majorEastAsia"/>
          <w:rtl/>
        </w:rPr>
        <w:t>בְּ</w:t>
      </w:r>
      <w:r>
        <w:rPr>
          <w:rtl/>
        </w:rPr>
        <w:t xml:space="preserve"> </w:t>
      </w:r>
      <w:r>
        <w:t xml:space="preserve">mit Qal Infinitiv Construct von </w:t>
      </w:r>
      <w:r>
        <w:rPr>
          <w:rStyle w:val="Fett"/>
          <w:rFonts w:eastAsiaTheme="majorEastAsia"/>
          <w:rtl/>
        </w:rPr>
        <w:t>בוא</w:t>
      </w:r>
      <w:r>
        <w:t xml:space="preserve">, mit Suffix 2. Person Maskulinum Singular), </w:t>
      </w:r>
      <w:r>
        <w:rPr>
          <w:rStyle w:val="Fett"/>
          <w:rFonts w:eastAsiaTheme="majorEastAsia"/>
          <w:rtl/>
        </w:rPr>
        <w:t>וּבָרוּךְ אַתָּה בְּצֵאתֶךָ</w:t>
      </w:r>
      <w:r>
        <w:rPr>
          <w:rtl/>
        </w:rPr>
        <w:t xml:space="preserve"> </w:t>
      </w:r>
      <w:r>
        <w:t xml:space="preserve">(parallel mit </w:t>
      </w:r>
      <w:r>
        <w:rPr>
          <w:rStyle w:val="Fett"/>
          <w:rFonts w:eastAsiaTheme="majorEastAsia"/>
          <w:rtl/>
        </w:rPr>
        <w:t>יצא</w:t>
      </w:r>
      <w:r>
        <w:t>).</w:t>
      </w:r>
    </w:p>
    <w:p w14:paraId="1FD32B5E" w14:textId="77777777" w:rsidR="00A709A3" w:rsidRDefault="00A709A3" w:rsidP="00A709A3">
      <w:pPr>
        <w:pStyle w:val="whitespace-normal"/>
      </w:pPr>
      <w:r>
        <w:t xml:space="preserve">Der Vers schließt die erste Segensreihe (V. 3-6) mit einem umfassenden Merismus ab. Die erste Segensformel: </w:t>
      </w:r>
      <w:r>
        <w:rPr>
          <w:rStyle w:val="Fett"/>
          <w:rFonts w:eastAsiaTheme="majorEastAsia"/>
          <w:rtl/>
        </w:rPr>
        <w:t>בָּרוּךְ אַתָּה בְּבֹאֶךָ</w:t>
      </w:r>
      <w:r>
        <w:rPr>
          <w:rtl/>
        </w:rPr>
        <w:t xml:space="preserve"> </w:t>
      </w:r>
      <w:r>
        <w:t xml:space="preserve">(„gesegnet wirst du sein bei deinem Eingang"). Das </w:t>
      </w:r>
      <w:r>
        <w:rPr>
          <w:rStyle w:val="Fett"/>
          <w:rFonts w:eastAsiaTheme="majorEastAsia"/>
          <w:rtl/>
        </w:rPr>
        <w:t>בּוֹא</w:t>
      </w:r>
      <w:r>
        <w:rPr>
          <w:rtl/>
        </w:rPr>
        <w:t xml:space="preserve"> </w:t>
      </w:r>
      <w:r>
        <w:t xml:space="preserve">(„Eingang, Hineingehen") kann bedeuten: (1) nach Hause kommen, (2) ins Feld hinausgehen zur Arbeit, (3) alle Anfänge. Die zweite: </w:t>
      </w:r>
      <w:r>
        <w:rPr>
          <w:rStyle w:val="Fett"/>
          <w:rFonts w:eastAsiaTheme="majorEastAsia"/>
          <w:rtl/>
        </w:rPr>
        <w:t>וּבָרוּךְ אַתָּה בְּצֵאתֶךָ</w:t>
      </w:r>
      <w:r>
        <w:rPr>
          <w:rtl/>
        </w:rPr>
        <w:t xml:space="preserve"> </w:t>
      </w:r>
      <w:r>
        <w:t xml:space="preserve">(„und gesegnet wirst du sein bei deinem Ausgang"). Das </w:t>
      </w:r>
      <w:r>
        <w:rPr>
          <w:rStyle w:val="Fett"/>
          <w:rFonts w:eastAsiaTheme="majorEastAsia"/>
          <w:rtl/>
        </w:rPr>
        <w:t>יָצָא</w:t>
      </w:r>
      <w:r>
        <w:rPr>
          <w:rtl/>
        </w:rPr>
        <w:t xml:space="preserve"> </w:t>
      </w:r>
      <w:r>
        <w:t>(„Ausgang, Hinausgehen") entsprechend. Der Merismus „Eingang und Ausgang" umfasst alle Bewegungen, alle Aktivitäten, das gesamte Leben von Anfang bis Ende.</w:t>
      </w:r>
    </w:p>
    <w:p w14:paraId="0333827A" w14:textId="77777777" w:rsidR="00A709A3" w:rsidRDefault="00A709A3" w:rsidP="00A709A3">
      <w:pPr>
        <w:pStyle w:val="whitespace-normal"/>
      </w:pPr>
      <w:r>
        <w:rPr>
          <w:rStyle w:val="Fett"/>
          <w:rFonts w:eastAsiaTheme="majorEastAsia"/>
        </w:rPr>
        <w:t>Die Satzstruktur:</w:t>
      </w:r>
      <w:r>
        <w:t xml:space="preserve"> Zwei parallele Segensformeln (gesegnet wirst du sein bei deinem Eingang, und gesegnet wirst du sein bei deinem Ausgang).</w:t>
      </w:r>
    </w:p>
    <w:p w14:paraId="19B486C8" w14:textId="07FDAB96" w:rsidR="00A709A3" w:rsidRDefault="00A709A3" w:rsidP="00705F3D">
      <w:pPr>
        <w:pStyle w:val="whitespace-normal"/>
      </w:pPr>
      <w:r>
        <w:rPr>
          <w:rStyle w:val="Fett"/>
          <w:rFonts w:eastAsiaTheme="majorEastAsia"/>
        </w:rPr>
        <w:lastRenderedPageBreak/>
        <w:t>Der Vers beschreibt:</w:t>
      </w:r>
      <w:r>
        <w:t xml:space="preserve"> Umfassender Segen – bei allen Aktivitäten, von Anfang bis Ende.</w:t>
      </w:r>
    </w:p>
    <w:p w14:paraId="48506A3C" w14:textId="77777777" w:rsidR="00A709A3" w:rsidRPr="00B53ACC" w:rsidRDefault="00A709A3" w:rsidP="00B53ACC">
      <w:pPr>
        <w:pStyle w:val="Bibelberschrift"/>
      </w:pPr>
      <w:r w:rsidRPr="00B53ACC">
        <w:rPr>
          <w:rStyle w:val="Fett"/>
          <w:b/>
          <w:bCs w:val="0"/>
        </w:rPr>
        <w:t>Deuteronomium 28,7</w:t>
      </w:r>
    </w:p>
    <w:p w14:paraId="500866F9" w14:textId="77777777" w:rsidR="00A709A3" w:rsidRDefault="00A709A3" w:rsidP="00A709A3">
      <w:pPr>
        <w:pStyle w:val="whitespace-normal"/>
      </w:pPr>
      <w:r>
        <w:rPr>
          <w:rStyle w:val="Fett"/>
          <w:rFonts w:eastAsiaTheme="majorEastAsia"/>
        </w:rPr>
        <w:t>Hebräisch:</w:t>
      </w:r>
      <w:r>
        <w:t xml:space="preserve"> </w:t>
      </w:r>
      <w:r>
        <w:rPr>
          <w:rtl/>
        </w:rPr>
        <w:t>יִתֵּן יְהוָה אֶת־אֹיְבֶיךָ הַקָּמִים עָלֶיךָ נִגָּפִים לְפָנֶיךָ בְּדֶרֶךְ אֶחָד יֵצְאוּ אֵלֶיךָ וּבְשִׁבְעָה דְרָכִים יָנוּסוּ לְפָנֶֽיךָ׃</w:t>
      </w:r>
    </w:p>
    <w:p w14:paraId="6D633CDD" w14:textId="77777777" w:rsidR="00A709A3" w:rsidRDefault="00A709A3" w:rsidP="00A709A3">
      <w:pPr>
        <w:pStyle w:val="whitespace-normal"/>
      </w:pPr>
      <w:r>
        <w:rPr>
          <w:rStyle w:val="Fett"/>
          <w:rFonts w:eastAsiaTheme="majorEastAsia"/>
        </w:rPr>
        <w:t>Deutsch:</w:t>
      </w:r>
      <w:r>
        <w:t xml:space="preserve"> JHWH wird deine Feinde, die sich gegen dich erheben, geschlagen vor dir dahingeben; auf einem Weg werden sie gegen dich ausziehen, und auf sieben Wegen werden sie vor dir fliehen.</w:t>
      </w:r>
    </w:p>
    <w:p w14:paraId="1322E565" w14:textId="77777777" w:rsidR="00A709A3" w:rsidRDefault="004F5CEB" w:rsidP="00A709A3">
      <w:r>
        <w:rPr>
          <w:noProof/>
        </w:rPr>
        <w:pict w14:anchorId="4A278739">
          <v:rect id="_x0000_i1750" style="width:0;height:1.5pt" o:hralign="center" o:hrstd="t" o:hr="t" fillcolor="#a0a0a0" stroked="f"/>
        </w:pict>
      </w:r>
    </w:p>
    <w:p w14:paraId="3CC717F4"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יִתֵּן יְהוָה אֶת־אֹיְבֶיךָ הַקָּמִים עָלֶיךָ נִגָּפִים לְפָנֶיךָ בְּדֶרֶךְ אֶחָד יֵצְאוּ אֵלֶיךָ וּבְשִׁבְעָה דְרָכִים יָנוּסוּ לְפָנֶיךָ</w:t>
      </w:r>
      <w:r>
        <w:rPr>
          <w:rtl/>
        </w:rPr>
        <w:t xml:space="preserve"> </w:t>
      </w:r>
      <w:r>
        <w:t xml:space="preserve">ist eine Verheißung mit Kontrast: </w:t>
      </w:r>
      <w:r>
        <w:rPr>
          <w:rStyle w:val="Fett"/>
          <w:rFonts w:eastAsiaTheme="majorEastAsia"/>
          <w:rtl/>
        </w:rPr>
        <w:t>יִתֵּן יְהוָה אֶת־אֹיְבֶיךָ הַקָּמִים עָלֶיךָ נִגָּפִים לְפָנֶיךָ</w:t>
      </w:r>
      <w:r>
        <w:rPr>
          <w:rtl/>
        </w:rPr>
        <w:t xml:space="preserve"> </w:t>
      </w:r>
      <w:r>
        <w:t>(</w:t>
      </w:r>
      <w:r>
        <w:rPr>
          <w:rStyle w:val="Fett"/>
          <w:rFonts w:eastAsiaTheme="majorEastAsia"/>
          <w:rtl/>
        </w:rPr>
        <w:t>נתן</w:t>
      </w:r>
      <w:r>
        <w:t xml:space="preserve">, Qal Imperfekt, 3. Person Maskulinum Singular, </w:t>
      </w:r>
      <w:r>
        <w:rPr>
          <w:rStyle w:val="Fett"/>
          <w:rFonts w:eastAsiaTheme="majorEastAsia"/>
          <w:rtl/>
        </w:rPr>
        <w:t>יְהוָה</w:t>
      </w:r>
      <w:r>
        <w:rPr>
          <w:rtl/>
        </w:rPr>
        <w:t xml:space="preserve"> </w:t>
      </w:r>
      <w:r>
        <w:t xml:space="preserve">als Subjekt, Objektpartikel </w:t>
      </w:r>
      <w:r>
        <w:rPr>
          <w:rStyle w:val="Fett"/>
          <w:rFonts w:eastAsiaTheme="majorEastAsia"/>
          <w:rtl/>
        </w:rPr>
        <w:t>אֵת</w:t>
      </w:r>
      <w:r>
        <w:rPr>
          <w:rtl/>
        </w:rPr>
        <w:t xml:space="preserve"> </w:t>
      </w:r>
      <w:r>
        <w:t xml:space="preserve">mit </w:t>
      </w:r>
      <w:r>
        <w:rPr>
          <w:rStyle w:val="Fett"/>
          <w:rFonts w:eastAsiaTheme="majorEastAsia"/>
          <w:rtl/>
        </w:rPr>
        <w:t>אֹיֵב</w:t>
      </w:r>
      <w:r>
        <w:t xml:space="preserve">, „Feind", Plural mit Suffix 2. Person Maskulinum Singular, Partizipialsatz: </w:t>
      </w:r>
      <w:r>
        <w:rPr>
          <w:rStyle w:val="Fett"/>
          <w:rFonts w:eastAsiaTheme="majorEastAsia"/>
          <w:rtl/>
        </w:rPr>
        <w:t>הַקָּמִים עָלֶיךָ</w:t>
      </w:r>
      <w:r>
        <w:rPr>
          <w:rtl/>
        </w:rPr>
        <w:t xml:space="preserve"> </w:t>
      </w:r>
      <w:r>
        <w:t xml:space="preserve">mit </w:t>
      </w:r>
      <w:r>
        <w:rPr>
          <w:rStyle w:val="Fett"/>
          <w:rFonts w:eastAsiaTheme="majorEastAsia"/>
          <w:rtl/>
        </w:rPr>
        <w:t>קום</w:t>
      </w:r>
      <w:r>
        <w:t xml:space="preserve">, Qal Partizip Plural, „sich erheben", </w:t>
      </w:r>
      <w:r>
        <w:rPr>
          <w:rStyle w:val="Fett"/>
          <w:rFonts w:eastAsiaTheme="majorEastAsia"/>
          <w:rtl/>
        </w:rPr>
        <w:t>נגף</w:t>
      </w:r>
      <w:r>
        <w:t xml:space="preserve">, Niphal Partizip Plural, „geschlagen", </w:t>
      </w:r>
      <w:r>
        <w:rPr>
          <w:rStyle w:val="Fett"/>
          <w:rFonts w:eastAsiaTheme="majorEastAsia"/>
          <w:rtl/>
        </w:rPr>
        <w:t>לְפָנֶיךָ</w:t>
      </w:r>
      <w:r>
        <w:t xml:space="preserve">), </w:t>
      </w:r>
      <w:r>
        <w:rPr>
          <w:rStyle w:val="Fett"/>
          <w:rFonts w:eastAsiaTheme="majorEastAsia"/>
          <w:rtl/>
        </w:rPr>
        <w:t>בְּדֶרֶךְ אֶחָד יֵצְאוּ אֵלֶיךָ וּבְשִׁבְעָה דְרָכִים יָנוּסוּ לְפָנֶיךָ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דֶּרֶךְ אֶחָד</w:t>
      </w:r>
      <w:r>
        <w:t xml:space="preserve">, „ein Weg", </w:t>
      </w:r>
      <w:r>
        <w:rPr>
          <w:rStyle w:val="Fett"/>
          <w:rFonts w:eastAsiaTheme="majorEastAsia"/>
          <w:rtl/>
        </w:rPr>
        <w:t>יצא</w:t>
      </w:r>
      <w:r>
        <w:t xml:space="preserve">, Qal Imperfekt, 3. Person Plural, Präposition </w:t>
      </w:r>
      <w:r>
        <w:rPr>
          <w:rStyle w:val="Fett"/>
          <w:rFonts w:eastAsiaTheme="majorEastAsia"/>
          <w:rtl/>
        </w:rPr>
        <w:t>אֶל</w:t>
      </w:r>
      <w:r>
        <w:rPr>
          <w:rtl/>
        </w:rPr>
        <w:t xml:space="preserve"> </w:t>
      </w:r>
      <w:r>
        <w:t xml:space="preserve">mit Suffix 2. Person Maskulinum Singular, koordiniert durch </w:t>
      </w:r>
      <w:r>
        <w:rPr>
          <w:rStyle w:val="Fett"/>
          <w:rFonts w:eastAsiaTheme="majorEastAsia"/>
          <w:rtl/>
        </w:rPr>
        <w:t>וּ</w:t>
      </w:r>
      <w:r>
        <w:rPr>
          <w:rtl/>
        </w:rPr>
        <w:t xml:space="preserve"> </w:t>
      </w:r>
      <w:r>
        <w:t xml:space="preserve">mit Präposition </w:t>
      </w:r>
      <w:r>
        <w:rPr>
          <w:rStyle w:val="Fett"/>
          <w:rFonts w:eastAsiaTheme="majorEastAsia"/>
          <w:rtl/>
        </w:rPr>
        <w:t>בְּ</w:t>
      </w:r>
      <w:r>
        <w:t xml:space="preserve">, </w:t>
      </w:r>
      <w:r>
        <w:rPr>
          <w:rStyle w:val="Fett"/>
          <w:rFonts w:eastAsiaTheme="majorEastAsia"/>
          <w:rtl/>
        </w:rPr>
        <w:t>שִׁבְעָה</w:t>
      </w:r>
      <w:r>
        <w:t xml:space="preserve">, „sieben", </w:t>
      </w:r>
      <w:r>
        <w:rPr>
          <w:rStyle w:val="Fett"/>
          <w:rFonts w:eastAsiaTheme="majorEastAsia"/>
          <w:rtl/>
        </w:rPr>
        <w:t>דֶּרֶךְ</w:t>
      </w:r>
      <w:r>
        <w:rPr>
          <w:rtl/>
        </w:rPr>
        <w:t xml:space="preserve"> </w:t>
      </w:r>
      <w:r>
        <w:t xml:space="preserve">Plural, </w:t>
      </w:r>
      <w:r>
        <w:rPr>
          <w:rStyle w:val="Fett"/>
          <w:rFonts w:eastAsiaTheme="majorEastAsia"/>
          <w:rtl/>
        </w:rPr>
        <w:t>נוס</w:t>
      </w:r>
      <w:r>
        <w:t xml:space="preserve">, Qal Imperfekt, 3. Person Plural, „fliehen", </w:t>
      </w:r>
      <w:r>
        <w:rPr>
          <w:rStyle w:val="Fett"/>
          <w:rFonts w:eastAsiaTheme="majorEastAsia"/>
          <w:rtl/>
        </w:rPr>
        <w:t>לְפָנֶיךָ</w:t>
      </w:r>
      <w:r>
        <w:t>).</w:t>
      </w:r>
    </w:p>
    <w:p w14:paraId="3CEEB153" w14:textId="77777777" w:rsidR="00A709A3" w:rsidRDefault="00A709A3" w:rsidP="00A709A3">
      <w:pPr>
        <w:pStyle w:val="whitespace-normal"/>
      </w:pPr>
      <w:r>
        <w:t xml:space="preserve">Der Vers verspricht militärischen Sieg. Die Verheißung: </w:t>
      </w:r>
      <w:r>
        <w:rPr>
          <w:rStyle w:val="Fett"/>
          <w:rFonts w:eastAsiaTheme="majorEastAsia"/>
          <w:rtl/>
        </w:rPr>
        <w:t>יִתֵּן יְהוָה אֶת־אֹיְבֶיךָ הַקָּמִים עָלֶיךָ נִגָּפִים לְפָנֶיךָ</w:t>
      </w:r>
      <w:r>
        <w:rPr>
          <w:rtl/>
        </w:rPr>
        <w:t xml:space="preserve"> </w:t>
      </w:r>
      <w:r>
        <w:t xml:space="preserve">(„geben wird JHWH deine Feinde, die sich erheben gegen dich, geschlagen vor dir"). Das Verb </w:t>
      </w:r>
      <w:r>
        <w:rPr>
          <w:rStyle w:val="Fett"/>
          <w:rFonts w:eastAsiaTheme="majorEastAsia"/>
          <w:rtl/>
        </w:rPr>
        <w:t>נתן</w:t>
      </w:r>
      <w:r>
        <w:rPr>
          <w:rtl/>
        </w:rPr>
        <w:t xml:space="preserve"> </w:t>
      </w:r>
      <w:r>
        <w:t xml:space="preserve">(„geben") mit Feinden als Objekt – JHWH gibt die Feinde in Israels Hand. Das Partizip </w:t>
      </w:r>
      <w:r>
        <w:rPr>
          <w:rStyle w:val="Fett"/>
          <w:rFonts w:eastAsiaTheme="majorEastAsia"/>
          <w:rtl/>
        </w:rPr>
        <w:t>נִגָּפִים</w:t>
      </w:r>
      <w:r>
        <w:rPr>
          <w:rtl/>
        </w:rPr>
        <w:t xml:space="preserve"> </w:t>
      </w:r>
      <w:r>
        <w:t xml:space="preserve">(„geschlagen") im Niphal – bereits besiegt. Der Kontrast: </w:t>
      </w:r>
      <w:r>
        <w:rPr>
          <w:rStyle w:val="Fett"/>
          <w:rFonts w:eastAsiaTheme="majorEastAsia"/>
          <w:rtl/>
        </w:rPr>
        <w:t>בְּדֶרֶךְ אֶחָד יֵצְאוּ אֵלֶיךָ וּבְשִׁבְעָה דְרָכִים יָנוּסוּ לְפָנֶיךָ</w:t>
      </w:r>
      <w:r>
        <w:rPr>
          <w:rtl/>
        </w:rPr>
        <w:t xml:space="preserve"> </w:t>
      </w:r>
      <w:r>
        <w:t>(„auf einem Weg werden sie ausziehen gegen dich, und auf sieben Wegen werden sie fliehen vor dir"). Der numerische Kontrast „ein Weg" vs. „sieben Wege" (Sieben = Vollzahl) betont: geschlossene Angriff → chaotische Flucht in alle Richtungen.</w:t>
      </w:r>
    </w:p>
    <w:p w14:paraId="2C159425" w14:textId="77777777" w:rsidR="00A709A3" w:rsidRDefault="00A709A3" w:rsidP="00A709A3">
      <w:pPr>
        <w:pStyle w:val="whitespace-normal"/>
      </w:pPr>
      <w:r>
        <w:rPr>
          <w:rStyle w:val="Fett"/>
          <w:rFonts w:eastAsiaTheme="majorEastAsia"/>
        </w:rPr>
        <w:t>Die Satzstruktur:</w:t>
      </w:r>
      <w:r>
        <w:t xml:space="preserve"> Verheißung mit Kontrast (geben wird JHWH deine Feinde, die sich erheben gegen dich, geschlagen vor dir; auf einem Weg werden sie ausziehen gegen dich, und auf sieben Wegen werden sie fliehen vor dir).</w:t>
      </w:r>
    </w:p>
    <w:p w14:paraId="224FE876" w14:textId="52901213" w:rsidR="00A709A3" w:rsidRDefault="00A709A3" w:rsidP="00705F3D">
      <w:pPr>
        <w:pStyle w:val="whitespace-normal"/>
      </w:pPr>
      <w:r>
        <w:rPr>
          <w:rStyle w:val="Fett"/>
          <w:rFonts w:eastAsiaTheme="majorEastAsia"/>
        </w:rPr>
        <w:t>Der Vers beschreibt:</w:t>
      </w:r>
      <w:r>
        <w:t xml:space="preserve"> Militärischer Segen – geschlossener feindlicher Angriff wird zur chaotischen Flucht.</w:t>
      </w:r>
    </w:p>
    <w:p w14:paraId="6E95B6DA" w14:textId="77777777" w:rsidR="00A709A3" w:rsidRPr="00B53ACC" w:rsidRDefault="00A709A3" w:rsidP="00B53ACC">
      <w:pPr>
        <w:pStyle w:val="Bibelberschrift"/>
      </w:pPr>
      <w:r w:rsidRPr="00B53ACC">
        <w:rPr>
          <w:rStyle w:val="Fett"/>
          <w:b/>
          <w:bCs w:val="0"/>
        </w:rPr>
        <w:t>Deuteronomium 28,8</w:t>
      </w:r>
    </w:p>
    <w:p w14:paraId="0094CE0C" w14:textId="77777777" w:rsidR="00A709A3" w:rsidRDefault="00A709A3" w:rsidP="00A709A3">
      <w:pPr>
        <w:pStyle w:val="whitespace-normal"/>
      </w:pPr>
      <w:r>
        <w:rPr>
          <w:rStyle w:val="Fett"/>
          <w:rFonts w:eastAsiaTheme="majorEastAsia"/>
        </w:rPr>
        <w:t>Hebräisch:</w:t>
      </w:r>
      <w:r>
        <w:t xml:space="preserve"> </w:t>
      </w:r>
      <w:r>
        <w:rPr>
          <w:rtl/>
        </w:rPr>
        <w:t>יְצַו יְהוָה אִתְּךָ אֶת־הַבְּרָכָה בַּאֲסָמֶיךָ וּבְכֹל מִשְׁלַח יָדֶךָ וּבֵרַכְךָ בָּאָרֶץ אֲשֶׁר־יְהוָה אֱלֹהֶיךָ נֹתֵן לָֽךְ׃</w:t>
      </w:r>
    </w:p>
    <w:p w14:paraId="67B157C8" w14:textId="77777777" w:rsidR="00A709A3" w:rsidRDefault="00A709A3" w:rsidP="00A709A3">
      <w:pPr>
        <w:pStyle w:val="whitespace-normal"/>
      </w:pPr>
      <w:r>
        <w:rPr>
          <w:rStyle w:val="Fett"/>
          <w:rFonts w:eastAsiaTheme="majorEastAsia"/>
        </w:rPr>
        <w:t>Deutsch:</w:t>
      </w:r>
      <w:r>
        <w:t xml:space="preserve"> JHWH wird dir gebieten den Segen in deinen Speichern und in allem Geschäft deiner Hand; und er wird dich segnen in dem Land, das JHWH, dein Gott, dir gibt.</w:t>
      </w:r>
    </w:p>
    <w:p w14:paraId="1981810E" w14:textId="77777777" w:rsidR="00A709A3" w:rsidRDefault="004F5CEB" w:rsidP="00A709A3">
      <w:r>
        <w:rPr>
          <w:noProof/>
        </w:rPr>
        <w:pict w14:anchorId="405EE064">
          <v:rect id="_x0000_i1751" style="width:0;height:1.5pt" o:hralign="center" o:hrstd="t" o:hr="t" fillcolor="#a0a0a0" stroked="f"/>
        </w:pict>
      </w:r>
    </w:p>
    <w:p w14:paraId="1840BC85" w14:textId="77777777" w:rsidR="00A709A3" w:rsidRDefault="00A709A3" w:rsidP="00A709A3">
      <w:pPr>
        <w:pStyle w:val="whitespace-normal"/>
      </w:pPr>
      <w:r>
        <w:rPr>
          <w:rStyle w:val="Fett"/>
          <w:rFonts w:eastAsiaTheme="majorEastAsia"/>
        </w:rPr>
        <w:lastRenderedPageBreak/>
        <w:t>Kommentar:</w:t>
      </w:r>
      <w:r>
        <w:t xml:space="preserve"> </w:t>
      </w:r>
      <w:r>
        <w:rPr>
          <w:rStyle w:val="Fett"/>
          <w:rFonts w:eastAsiaTheme="majorEastAsia"/>
          <w:rtl/>
        </w:rPr>
        <w:t>יְצַו יְהוָה אִתְּךָ אֶת־הַבְּרָכָה בַּאֲסָמֶיךָ וּבְכֹל מִשְׁלַח יָדֶךָ וּבֵרַכְךָ בָּאָרֶץ אֲשֶׁר־יְהוָה אֱלֹהֶיךָ נֹתֵן לָךְ</w:t>
      </w:r>
      <w:r>
        <w:rPr>
          <w:rtl/>
        </w:rPr>
        <w:t xml:space="preserve"> </w:t>
      </w:r>
      <w:r>
        <w:t xml:space="preserve">sind zwei Verheißungen: </w:t>
      </w:r>
      <w:r>
        <w:rPr>
          <w:rStyle w:val="Fett"/>
          <w:rFonts w:eastAsiaTheme="majorEastAsia"/>
          <w:rtl/>
        </w:rPr>
        <w:t>יְצַו יְהוָה אִתְּךָ אֶת־הַבְּרָכָה בַּאֲסָמֶיךָ וּבְכֹל מִשְׁלַח יָדֶךָ</w:t>
      </w:r>
      <w:r>
        <w:rPr>
          <w:rtl/>
        </w:rPr>
        <w:t xml:space="preserve"> </w:t>
      </w:r>
      <w:r>
        <w:t>(</w:t>
      </w:r>
      <w:r>
        <w:rPr>
          <w:rStyle w:val="Fett"/>
          <w:rFonts w:eastAsiaTheme="majorEastAsia"/>
          <w:rtl/>
        </w:rPr>
        <w:t>צוה</w:t>
      </w:r>
      <w:r>
        <w:t xml:space="preserve">, Piel Imperfekt, 3. Person Maskulinum Singular, </w:t>
      </w:r>
      <w:r>
        <w:rPr>
          <w:rStyle w:val="Fett"/>
          <w:rFonts w:eastAsiaTheme="majorEastAsia"/>
          <w:rtl/>
        </w:rPr>
        <w:t>יְהוָה</w:t>
      </w:r>
      <w:r>
        <w:rPr>
          <w:rtl/>
        </w:rPr>
        <w:t xml:space="preserve"> </w:t>
      </w:r>
      <w:r>
        <w:t xml:space="preserve">als Subjekt, </w:t>
      </w:r>
      <w:r>
        <w:rPr>
          <w:rStyle w:val="Fett"/>
          <w:rFonts w:eastAsiaTheme="majorEastAsia"/>
          <w:rtl/>
        </w:rPr>
        <w:t>אִתְּךָ</w:t>
      </w:r>
      <w:r>
        <w:t xml:space="preserve">, „mit dir, dir", Objektpartikel </w:t>
      </w:r>
      <w:r>
        <w:rPr>
          <w:rStyle w:val="Fett"/>
          <w:rFonts w:eastAsiaTheme="majorEastAsia"/>
          <w:rtl/>
        </w:rPr>
        <w:t>אֵת</w:t>
      </w:r>
      <w:r>
        <w:rPr>
          <w:rtl/>
        </w:rPr>
        <w:t xml:space="preserve"> </w:t>
      </w:r>
      <w:r>
        <w:t xml:space="preserve">mit </w:t>
      </w:r>
      <w:r>
        <w:rPr>
          <w:rStyle w:val="Fett"/>
          <w:rFonts w:eastAsiaTheme="majorEastAsia"/>
          <w:rtl/>
        </w:rPr>
        <w:t>בְּרָכָה</w:t>
      </w:r>
      <w:r>
        <w:rPr>
          <w:rtl/>
        </w:rPr>
        <w:t xml:space="preserve"> </w:t>
      </w:r>
      <w:r>
        <w:t xml:space="preserve">mit Artikel, Präposition </w:t>
      </w:r>
      <w:r>
        <w:rPr>
          <w:rStyle w:val="Fett"/>
          <w:rFonts w:eastAsiaTheme="majorEastAsia"/>
          <w:rtl/>
        </w:rPr>
        <w:t>בְּ</w:t>
      </w:r>
      <w:r>
        <w:rPr>
          <w:rtl/>
        </w:rPr>
        <w:t xml:space="preserve"> </w:t>
      </w:r>
      <w:r>
        <w:t xml:space="preserve">mit </w:t>
      </w:r>
      <w:r>
        <w:rPr>
          <w:rStyle w:val="Fett"/>
          <w:rFonts w:eastAsiaTheme="majorEastAsia"/>
          <w:rtl/>
        </w:rPr>
        <w:t>אָסָם</w:t>
      </w:r>
      <w:r>
        <w:t xml:space="preserve">, „Speicher, Vorratskammer", Plural mit Suffix 2. Person Maskulinum Singular, koordiniert durch </w:t>
      </w:r>
      <w:r>
        <w:rPr>
          <w:rStyle w:val="Fett"/>
          <w:rFonts w:eastAsiaTheme="majorEastAsia"/>
          <w:rtl/>
        </w:rPr>
        <w:t>וּ</w:t>
      </w:r>
      <w:r>
        <w:rPr>
          <w:rtl/>
        </w:rPr>
        <w:t xml:space="preserve"> </w:t>
      </w:r>
      <w:r>
        <w:t xml:space="preserve">mit Präposition </w:t>
      </w:r>
      <w:r>
        <w:rPr>
          <w:rStyle w:val="Fett"/>
          <w:rFonts w:eastAsiaTheme="majorEastAsia"/>
          <w:rtl/>
        </w:rPr>
        <w:t>בְּ</w:t>
      </w:r>
      <w:r>
        <w:t xml:space="preserve">, </w:t>
      </w:r>
      <w:r>
        <w:rPr>
          <w:rStyle w:val="Fett"/>
          <w:rFonts w:eastAsiaTheme="majorEastAsia"/>
          <w:rtl/>
        </w:rPr>
        <w:t>כֹּל</w:t>
      </w:r>
      <w:r>
        <w:t xml:space="preserve">, </w:t>
      </w:r>
      <w:r>
        <w:rPr>
          <w:rStyle w:val="Fett"/>
          <w:rFonts w:eastAsiaTheme="majorEastAsia"/>
          <w:rtl/>
        </w:rPr>
        <w:t>מִשְׁלָח</w:t>
      </w:r>
      <w:r>
        <w:t xml:space="preserve">, „Geschäft, Unternehmung, Ausstrecken", Construct mit </w:t>
      </w:r>
      <w:r>
        <w:rPr>
          <w:rStyle w:val="Fett"/>
          <w:rFonts w:eastAsiaTheme="majorEastAsia"/>
          <w:rtl/>
        </w:rPr>
        <w:t>יָד</w:t>
      </w:r>
      <w:r>
        <w:rPr>
          <w:rtl/>
        </w:rPr>
        <w:t xml:space="preserve"> </w:t>
      </w:r>
      <w:r>
        <w:t xml:space="preserve">mit Suffix 2. Person Maskulinum Singular), </w:t>
      </w:r>
      <w:r>
        <w:rPr>
          <w:rStyle w:val="Fett"/>
          <w:rFonts w:eastAsiaTheme="majorEastAsia"/>
          <w:rtl/>
        </w:rPr>
        <w:t>וּבֵרַכְךָ בָּאָרֶץ אֲשֶׁר־יְהוָה אֱלֹהֶיךָ נֹתֵן לָךְ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ברך</w:t>
      </w:r>
      <w:r>
        <w:t xml:space="preserve">, Piel Perfekt, 3. Person Maskulinum Singular, mit Suffix 2. Person Maskulinum Singular, </w:t>
      </w:r>
      <w:r>
        <w:rPr>
          <w:rStyle w:val="Fett"/>
          <w:rFonts w:eastAsiaTheme="majorEastAsia"/>
          <w:rtl/>
        </w:rPr>
        <w:t>בָּאָרֶץ</w:t>
      </w:r>
      <w:r>
        <w:t xml:space="preserve">, Relativsatz wie üblich, mit </w:t>
      </w:r>
      <w:r>
        <w:rPr>
          <w:rStyle w:val="Fett"/>
          <w:rFonts w:eastAsiaTheme="majorEastAsia"/>
        </w:rPr>
        <w:t>Waw</w:t>
      </w:r>
      <w:r>
        <w:t xml:space="preserve"> consecutives Perfekt).</w:t>
      </w:r>
    </w:p>
    <w:p w14:paraId="068D0A45" w14:textId="77777777" w:rsidR="00A709A3" w:rsidRDefault="00A709A3" w:rsidP="00A709A3">
      <w:pPr>
        <w:pStyle w:val="whitespace-normal"/>
      </w:pPr>
      <w:r>
        <w:t xml:space="preserve">Der Vers erweitert den Segen auf Besitz und Arbeit. Die erste Verheißung: </w:t>
      </w:r>
      <w:r>
        <w:rPr>
          <w:rStyle w:val="Fett"/>
          <w:rFonts w:eastAsiaTheme="majorEastAsia"/>
          <w:rtl/>
        </w:rPr>
        <w:t>יְצַו יְהוָה אִתְּךָ אֶת־הַבְּרָכָה בַּאֲסָמֶיךָ וּבְכֹל מִשְׁלַח יָדֶךָ</w:t>
      </w:r>
      <w:r>
        <w:rPr>
          <w:rtl/>
        </w:rPr>
        <w:t xml:space="preserve"> </w:t>
      </w:r>
      <w:r>
        <w:t xml:space="preserve">(„gebieten wird JHWH dir den Segen in deinen Speichern und in allem Geschäft deiner Hand"). Das Verb </w:t>
      </w:r>
      <w:r>
        <w:rPr>
          <w:rStyle w:val="Fett"/>
          <w:rFonts w:eastAsiaTheme="majorEastAsia"/>
          <w:rtl/>
        </w:rPr>
        <w:t>צוה</w:t>
      </w:r>
      <w:r>
        <w:rPr>
          <w:rtl/>
        </w:rPr>
        <w:t xml:space="preserve"> </w:t>
      </w:r>
      <w:r>
        <w:t xml:space="preserve">(„gebieten") ist bemerkenswert – JHWH befiehlt dem Segen, zu Israel zu kommen (vgl. Ps 133,3). Die </w:t>
      </w:r>
      <w:r>
        <w:rPr>
          <w:rStyle w:val="Fett"/>
          <w:rFonts w:eastAsiaTheme="majorEastAsia"/>
          <w:rtl/>
        </w:rPr>
        <w:t>אֲסָמִים</w:t>
      </w:r>
      <w:r>
        <w:rPr>
          <w:rtl/>
        </w:rPr>
        <w:t xml:space="preserve"> </w:t>
      </w:r>
      <w:r>
        <w:t xml:space="preserve">(„Speicher") sind Vorratskammern für Getreide. Die Formulierung </w:t>
      </w:r>
      <w:r>
        <w:rPr>
          <w:rStyle w:val="Fett"/>
          <w:rFonts w:eastAsiaTheme="majorEastAsia"/>
          <w:rtl/>
        </w:rPr>
        <w:t>מִשְׁלַח יָדֶךָ</w:t>
      </w:r>
      <w:r>
        <w:rPr>
          <w:rtl/>
        </w:rPr>
        <w:t xml:space="preserve"> </w:t>
      </w:r>
      <w:r>
        <w:t xml:space="preserve">(„Geschäft deiner Hand") umfasst alle Arbeit und Unternehmungen. Die zweite Verheißung: </w:t>
      </w:r>
      <w:r>
        <w:rPr>
          <w:rStyle w:val="Fett"/>
          <w:rFonts w:eastAsiaTheme="majorEastAsia"/>
          <w:rtl/>
        </w:rPr>
        <w:t>וּבֵרַכְךָ בָּאָרֶץ אֲשֶׁר־יְהוָה אֱלֹהֶיךָ נֹתֵן לָךְ</w:t>
      </w:r>
      <w:r>
        <w:rPr>
          <w:rtl/>
        </w:rPr>
        <w:t xml:space="preserve"> </w:t>
      </w:r>
      <w:r>
        <w:t>(„und segnen wird er dich in dem Land, das JHWH, dein Gott, dir gibt") – umfassender Segen im verheißenen Land.</w:t>
      </w:r>
    </w:p>
    <w:p w14:paraId="6BCFA546" w14:textId="77777777" w:rsidR="00A709A3" w:rsidRDefault="00A709A3" w:rsidP="00A709A3">
      <w:pPr>
        <w:pStyle w:val="whitespace-normal"/>
      </w:pPr>
      <w:r>
        <w:rPr>
          <w:rStyle w:val="Fett"/>
          <w:rFonts w:eastAsiaTheme="majorEastAsia"/>
        </w:rPr>
        <w:t>Die Satzstruktur:</w:t>
      </w:r>
      <w:r>
        <w:t xml:space="preserve"> Zwei Verheißungen (gebieten wird JHWH dir den Segen in deinen Speichern und in allem Geschäft deiner Hand; und segnen wird er dich in dem Land, das JHWH, dein Gott, dir gibt).</w:t>
      </w:r>
    </w:p>
    <w:p w14:paraId="18044EB7" w14:textId="77777777" w:rsidR="00A709A3" w:rsidRDefault="00A709A3" w:rsidP="00A709A3">
      <w:pPr>
        <w:pStyle w:val="whitespace-normal"/>
      </w:pPr>
      <w:r>
        <w:rPr>
          <w:rStyle w:val="Fett"/>
          <w:rFonts w:eastAsiaTheme="majorEastAsia"/>
        </w:rPr>
        <w:t>Der Vers beschreibt:</w:t>
      </w:r>
      <w:r>
        <w:t xml:space="preserve"> Segen in Speichern und Arbeit – umfassender Wohlstand im Land.</w:t>
      </w:r>
    </w:p>
    <w:p w14:paraId="784C85B0" w14:textId="77777777" w:rsidR="00A709A3" w:rsidRDefault="004F5CEB" w:rsidP="00A709A3">
      <w:r>
        <w:rPr>
          <w:noProof/>
        </w:rPr>
        <w:pict w14:anchorId="12D3350C">
          <v:rect id="_x0000_i1752" style="width:0;height:1.5pt" o:hralign="center" o:hrstd="t" o:hr="t" fillcolor="#a0a0a0" stroked="f"/>
        </w:pict>
      </w:r>
    </w:p>
    <w:p w14:paraId="2AB1AE85" w14:textId="77777777" w:rsidR="00A709A3" w:rsidRPr="00B53ACC" w:rsidRDefault="00A709A3" w:rsidP="00B53ACC">
      <w:pPr>
        <w:pStyle w:val="Bibelberschrift"/>
      </w:pPr>
      <w:r w:rsidRPr="00B53ACC">
        <w:rPr>
          <w:rStyle w:val="Fett"/>
          <w:b/>
          <w:bCs w:val="0"/>
        </w:rPr>
        <w:t>Deuteronomium 28,9</w:t>
      </w:r>
    </w:p>
    <w:p w14:paraId="7D80E846" w14:textId="77777777" w:rsidR="00A709A3" w:rsidRDefault="00A709A3" w:rsidP="00A709A3">
      <w:pPr>
        <w:pStyle w:val="whitespace-normal"/>
      </w:pPr>
      <w:r>
        <w:rPr>
          <w:rStyle w:val="Fett"/>
          <w:rFonts w:eastAsiaTheme="majorEastAsia"/>
        </w:rPr>
        <w:t>Hebräisch:</w:t>
      </w:r>
      <w:r>
        <w:t xml:space="preserve"> </w:t>
      </w:r>
      <w:r>
        <w:rPr>
          <w:rtl/>
        </w:rPr>
        <w:t>יְקִֽימְךָ יְהוָה לוֹ לְעַם קָדוֹשׁ כַּאֲשֶׁר נִֽשְׁבַּֽע־לָךְ כִּי תִשְׁמֹר אֶת־מִצְוֹת יְהוָה אֱלֹהֶיךָ וְהָלַכְתָּ בִּדְרָכָֽיו׃</w:t>
      </w:r>
    </w:p>
    <w:p w14:paraId="555BBBF7" w14:textId="77777777" w:rsidR="00A709A3" w:rsidRDefault="00A709A3" w:rsidP="00A709A3">
      <w:pPr>
        <w:pStyle w:val="whitespace-normal"/>
      </w:pPr>
      <w:r>
        <w:rPr>
          <w:rStyle w:val="Fett"/>
          <w:rFonts w:eastAsiaTheme="majorEastAsia"/>
        </w:rPr>
        <w:t>Deutsch:</w:t>
      </w:r>
      <w:r>
        <w:t xml:space="preserve"> JHWH wird dich aufrichten für sich zu einem heiligen Volk, wie er dir geschworen hat, wenn du die Gebote des JHWH, deines Gottes, bewahrst und auf seinen Wegen gehst.</w:t>
      </w:r>
    </w:p>
    <w:p w14:paraId="3B46DA5B" w14:textId="77777777" w:rsidR="00A709A3" w:rsidRDefault="004F5CEB" w:rsidP="00A709A3">
      <w:r>
        <w:rPr>
          <w:noProof/>
        </w:rPr>
        <w:pict w14:anchorId="4BA6C33C">
          <v:rect id="_x0000_i1753" style="width:0;height:1.5pt" o:hralign="center" o:hrstd="t" o:hr="t" fillcolor="#a0a0a0" stroked="f"/>
        </w:pict>
      </w:r>
    </w:p>
    <w:p w14:paraId="2833B6EB"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יְקִימְךָ יְהוָה לוֹ לְעַם קָדוֹשׁ כַּאֲשֶׁר נִשְׁבַּע־לָךְ כִּי תִשְׁמֹר אֶת־מִצְוֹת יְהוָה אֱלֹהֶיךָ וְהָלַכְתָּ בִּדְרָכָיו</w:t>
      </w:r>
      <w:r>
        <w:rPr>
          <w:rtl/>
        </w:rPr>
        <w:t xml:space="preserve"> </w:t>
      </w:r>
      <w:r>
        <w:t xml:space="preserve">ist eine Verheißung mit Bedingung: </w:t>
      </w:r>
      <w:r>
        <w:rPr>
          <w:rStyle w:val="Fett"/>
          <w:rFonts w:eastAsiaTheme="majorEastAsia"/>
          <w:rtl/>
        </w:rPr>
        <w:t>יְקִימְךָ יְהוָה לוֹ לְעַם קָדוֹשׁ כַּאֲשֶׁר נִשְׁבַּע־לָךְ</w:t>
      </w:r>
      <w:r>
        <w:rPr>
          <w:rtl/>
        </w:rPr>
        <w:t xml:space="preserve"> </w:t>
      </w:r>
      <w:r>
        <w:t>(</w:t>
      </w:r>
      <w:r>
        <w:rPr>
          <w:rStyle w:val="Fett"/>
          <w:rFonts w:eastAsiaTheme="majorEastAsia"/>
          <w:rtl/>
        </w:rPr>
        <w:t>קום</w:t>
      </w:r>
      <w:r>
        <w:t xml:space="preserve">, Hiphil Imperfekt, 3. Person Maskulinum Singular, „aufrichten, etablieren", mit Suffix 2. Person Maskulinum Singular, </w:t>
      </w:r>
      <w:r>
        <w:rPr>
          <w:rStyle w:val="Fett"/>
          <w:rFonts w:eastAsiaTheme="majorEastAsia"/>
          <w:rtl/>
        </w:rPr>
        <w:t>יְהוָה</w:t>
      </w:r>
      <w:r>
        <w:rPr>
          <w:rtl/>
        </w:rPr>
        <w:t xml:space="preserve"> </w:t>
      </w:r>
      <w:r>
        <w:t xml:space="preserve">als Subjekt, </w:t>
      </w:r>
      <w:r>
        <w:rPr>
          <w:rStyle w:val="Fett"/>
          <w:rFonts w:eastAsiaTheme="majorEastAsia"/>
          <w:rtl/>
        </w:rPr>
        <w:t>לוֹ</w:t>
      </w:r>
      <w:r>
        <w:t xml:space="preserve">, „für sich, ihm", Präposition </w:t>
      </w:r>
      <w:r>
        <w:rPr>
          <w:rStyle w:val="Fett"/>
          <w:rFonts w:eastAsiaTheme="majorEastAsia"/>
          <w:rtl/>
        </w:rPr>
        <w:t>לְ</w:t>
      </w:r>
      <w:r>
        <w:rPr>
          <w:rtl/>
        </w:rPr>
        <w:t xml:space="preserve"> </w:t>
      </w:r>
      <w:r>
        <w:t xml:space="preserve">mit </w:t>
      </w:r>
      <w:r>
        <w:rPr>
          <w:rStyle w:val="Fett"/>
          <w:rFonts w:eastAsiaTheme="majorEastAsia"/>
          <w:rtl/>
        </w:rPr>
        <w:t>עַם קָדוֹשׁ</w:t>
      </w:r>
      <w:r>
        <w:t xml:space="preserve">, „heiliges Volk", Vergleichssatz: </w:t>
      </w:r>
      <w:r>
        <w:rPr>
          <w:rStyle w:val="Fett"/>
          <w:rFonts w:eastAsiaTheme="majorEastAsia"/>
          <w:rtl/>
        </w:rPr>
        <w:t>כַּאֲשֶׁר נִשְׁבַּע־לָךְ</w:t>
      </w:r>
      <w:r>
        <w:rPr>
          <w:rtl/>
        </w:rPr>
        <w:t xml:space="preserve"> </w:t>
      </w:r>
      <w:r>
        <w:t xml:space="preserve">mit </w:t>
      </w:r>
      <w:r>
        <w:rPr>
          <w:rStyle w:val="Fett"/>
          <w:rFonts w:eastAsiaTheme="majorEastAsia"/>
          <w:rtl/>
        </w:rPr>
        <w:t>שׁבע</w:t>
      </w:r>
      <w:r>
        <w:t xml:space="preserve">, Niphal Perfekt, 3. Person Maskulinum Singular, „schwören"), </w:t>
      </w:r>
      <w:r>
        <w:rPr>
          <w:rStyle w:val="Fett"/>
          <w:rFonts w:eastAsiaTheme="majorEastAsia"/>
          <w:rtl/>
        </w:rPr>
        <w:t>כִּי תִשְׁמֹר אֶת־מִצְוֹת יְהוָה אֱלֹהֶיךָ וְהָלַכְתָּ בִּדְרָכָיו</w:t>
      </w:r>
      <w:r>
        <w:rPr>
          <w:rtl/>
        </w:rPr>
        <w:t xml:space="preserve"> </w:t>
      </w:r>
      <w:r>
        <w:t xml:space="preserve">(Bedingungssatz mit </w:t>
      </w:r>
      <w:r>
        <w:rPr>
          <w:rStyle w:val="Fett"/>
          <w:rFonts w:eastAsiaTheme="majorEastAsia"/>
          <w:rtl/>
        </w:rPr>
        <w:t>כִּי</w:t>
      </w:r>
      <w:r>
        <w:t xml:space="preserve">, </w:t>
      </w:r>
      <w:r>
        <w:rPr>
          <w:rStyle w:val="Fett"/>
          <w:rFonts w:eastAsiaTheme="majorEastAsia"/>
          <w:rtl/>
        </w:rPr>
        <w:t>שׁמר</w:t>
      </w:r>
      <w:r>
        <w:t xml:space="preserve">, Qal Imperfekt, 2. Person Maskulinum Singular, Objektpartikel </w:t>
      </w:r>
      <w:r>
        <w:rPr>
          <w:rStyle w:val="Fett"/>
          <w:rFonts w:eastAsiaTheme="majorEastAsia"/>
          <w:rtl/>
        </w:rPr>
        <w:t>אֵת</w:t>
      </w:r>
      <w:r>
        <w:rPr>
          <w:rtl/>
        </w:rPr>
        <w:t xml:space="preserve"> </w:t>
      </w:r>
      <w:r>
        <w:t xml:space="preserve">mit </w:t>
      </w:r>
      <w:r>
        <w:rPr>
          <w:rStyle w:val="Fett"/>
          <w:rFonts w:eastAsiaTheme="majorEastAsia"/>
          <w:rtl/>
        </w:rPr>
        <w:t>מִצְוָה</w:t>
      </w:r>
      <w:r>
        <w:rPr>
          <w:rtl/>
        </w:rPr>
        <w:t xml:space="preserve"> </w:t>
      </w:r>
      <w:r>
        <w:t xml:space="preserve">Plural Construct von </w:t>
      </w:r>
      <w:r>
        <w:rPr>
          <w:rStyle w:val="Fett"/>
          <w:rFonts w:eastAsiaTheme="majorEastAsia"/>
          <w:rtl/>
        </w:rPr>
        <w:t>יְהוָה אֱלֹהֶיךָ</w:t>
      </w:r>
      <w:r>
        <w:t xml:space="preserve">, koordiniert durch </w:t>
      </w:r>
      <w:r>
        <w:rPr>
          <w:rStyle w:val="Fett"/>
          <w:rFonts w:eastAsiaTheme="majorEastAsia"/>
          <w:rtl/>
        </w:rPr>
        <w:t>וְ</w:t>
      </w:r>
      <w:r>
        <w:rPr>
          <w:rtl/>
        </w:rPr>
        <w:t xml:space="preserve"> </w:t>
      </w:r>
      <w:r>
        <w:t xml:space="preserve">mit </w:t>
      </w:r>
      <w:r>
        <w:rPr>
          <w:rStyle w:val="Fett"/>
          <w:rFonts w:eastAsiaTheme="majorEastAsia"/>
          <w:rtl/>
        </w:rPr>
        <w:t>הלך</w:t>
      </w:r>
      <w:r>
        <w:t xml:space="preserve">, Qal Perfekt, 2. Person Maskulinum Singular, </w:t>
      </w:r>
      <w:r>
        <w:rPr>
          <w:rStyle w:val="Fett"/>
          <w:rFonts w:eastAsiaTheme="majorEastAsia"/>
          <w:rtl/>
        </w:rPr>
        <w:t>בִּדְרָכָיו</w:t>
      </w:r>
      <w:r>
        <w:t xml:space="preserve">, „auf seinen Wegen", mit </w:t>
      </w:r>
      <w:r>
        <w:rPr>
          <w:rStyle w:val="Fett"/>
          <w:rFonts w:eastAsiaTheme="majorEastAsia"/>
        </w:rPr>
        <w:t>Waw</w:t>
      </w:r>
      <w:r>
        <w:t xml:space="preserve"> consecutives Perfekt).</w:t>
      </w:r>
    </w:p>
    <w:p w14:paraId="62FD1163" w14:textId="6A2CFCC2" w:rsidR="00A709A3" w:rsidRDefault="00A709A3" w:rsidP="00A709A3">
      <w:pPr>
        <w:pStyle w:val="whitespace-normal"/>
      </w:pPr>
      <w:r>
        <w:lastRenderedPageBreak/>
        <w:t xml:space="preserve">Der Vers kehrt zum Bundesverhältnis zurück (vgl. 26,18-19). Die Verheißung: </w:t>
      </w:r>
      <w:r>
        <w:rPr>
          <w:rStyle w:val="Fett"/>
          <w:rFonts w:eastAsiaTheme="majorEastAsia"/>
          <w:rtl/>
        </w:rPr>
        <w:t>יְקִימְךָ יְהוָה לוֹ לְעַם קָדוֹשׁ כַּאֲשֶׁר נִשְׁבַּע־לָךְ</w:t>
      </w:r>
      <w:r>
        <w:rPr>
          <w:rtl/>
        </w:rPr>
        <w:t xml:space="preserve"> </w:t>
      </w:r>
      <w:r>
        <w:t xml:space="preserve">(„aufrichten wird dich JHWH für sich zu einem heiligen Volk, wie er dir geschworen hat"). Das Verb </w:t>
      </w:r>
      <w:r>
        <w:rPr>
          <w:rStyle w:val="Fett"/>
          <w:rFonts w:eastAsiaTheme="majorEastAsia"/>
          <w:rtl/>
        </w:rPr>
        <w:t>קום</w:t>
      </w:r>
      <w:r>
        <w:rPr>
          <w:rtl/>
        </w:rPr>
        <w:t xml:space="preserve"> </w:t>
      </w:r>
      <w:r>
        <w:t xml:space="preserve">im Hiphil („aufrichten, etablieren") – JHWH konstituiert Israel als sein Volk. Die Formulierung </w:t>
      </w:r>
      <w:r>
        <w:rPr>
          <w:rStyle w:val="Fett"/>
          <w:rFonts w:eastAsiaTheme="majorEastAsia"/>
          <w:rtl/>
        </w:rPr>
        <w:t>לְעַם קָדוֹשׁ</w:t>
      </w:r>
      <w:r>
        <w:rPr>
          <w:rtl/>
        </w:rPr>
        <w:t xml:space="preserve"> </w:t>
      </w:r>
      <w:r>
        <w:t xml:space="preserve">(„zu einem heiligen Volk") betont die besondere Beziehung (vgl. 7,6; 14,2; 26,19). Die Bedingung: </w:t>
      </w:r>
      <w:r>
        <w:rPr>
          <w:rStyle w:val="Fett"/>
          <w:rFonts w:eastAsiaTheme="majorEastAsia"/>
          <w:rtl/>
        </w:rPr>
        <w:t>כִּי תִשְׁמֹר אֶת־מִצְוֹת יְהוָה אֱלֹהֶיךָ וְהָלַכְתָּ בִּדְרָכָיו</w:t>
      </w:r>
      <w:r>
        <w:rPr>
          <w:rtl/>
        </w:rPr>
        <w:t xml:space="preserve"> </w:t>
      </w:r>
      <w:r>
        <w:t xml:space="preserve">(„wenn du bewahrst die Gebote </w:t>
      </w:r>
      <w:r w:rsidR="00DF3D1A">
        <w:t>JHWHs</w:t>
      </w:r>
      <w:r>
        <w:t>, deines Gottes, und gehst auf seinen Wegen") – der heilige Status erfordert Gehorsam.</w:t>
      </w:r>
    </w:p>
    <w:p w14:paraId="2190EFC3" w14:textId="4D0F46B0" w:rsidR="00A709A3" w:rsidRDefault="00A709A3" w:rsidP="00A709A3">
      <w:pPr>
        <w:pStyle w:val="whitespace-normal"/>
      </w:pPr>
      <w:r>
        <w:rPr>
          <w:rStyle w:val="Fett"/>
          <w:rFonts w:eastAsiaTheme="majorEastAsia"/>
        </w:rPr>
        <w:t>Die Satzstruktur:</w:t>
      </w:r>
      <w:r>
        <w:t xml:space="preserve"> Verheißung mit Bedingung (aufrichten wird dich JHWH für sich zu einem heiligen Volk, wie er dir geschworen hat, wenn du bewahrst die Gebote </w:t>
      </w:r>
      <w:r w:rsidR="00DF3D1A">
        <w:t>JHWHs</w:t>
      </w:r>
      <w:r>
        <w:t>, deines Gottes, und gehst auf seinen Wegen).</w:t>
      </w:r>
    </w:p>
    <w:p w14:paraId="62DEA6F4" w14:textId="6432455D" w:rsidR="00A709A3" w:rsidRDefault="00A709A3" w:rsidP="00705F3D">
      <w:pPr>
        <w:pStyle w:val="whitespace-normal"/>
      </w:pPr>
      <w:r>
        <w:rPr>
          <w:rStyle w:val="Fett"/>
          <w:rFonts w:eastAsiaTheme="majorEastAsia"/>
        </w:rPr>
        <w:t>Der Vers beschreibt:</w:t>
      </w:r>
      <w:r>
        <w:t xml:space="preserve"> Bundesverhältnis – Israel als heiliges Volk JHWHs bei Gehorsam.</w:t>
      </w:r>
    </w:p>
    <w:p w14:paraId="12B7BEED" w14:textId="77777777" w:rsidR="00A709A3" w:rsidRPr="00B53ACC" w:rsidRDefault="00A709A3" w:rsidP="00B53ACC">
      <w:pPr>
        <w:pStyle w:val="Bibelberschrift"/>
      </w:pPr>
      <w:r w:rsidRPr="00B53ACC">
        <w:rPr>
          <w:rStyle w:val="Fett"/>
          <w:b/>
          <w:bCs w:val="0"/>
        </w:rPr>
        <w:t>Deuteronomium 28,10</w:t>
      </w:r>
    </w:p>
    <w:p w14:paraId="2E244D3C" w14:textId="77777777" w:rsidR="00A709A3" w:rsidRDefault="00A709A3" w:rsidP="00A709A3">
      <w:pPr>
        <w:pStyle w:val="whitespace-normal"/>
      </w:pPr>
      <w:r>
        <w:rPr>
          <w:rStyle w:val="Fett"/>
          <w:rFonts w:eastAsiaTheme="majorEastAsia"/>
        </w:rPr>
        <w:t>Hebräisch:</w:t>
      </w:r>
      <w:r>
        <w:t xml:space="preserve"> </w:t>
      </w:r>
      <w:r>
        <w:rPr>
          <w:rtl/>
        </w:rPr>
        <w:t>וְרָאוּ כָּל־עַמֵּי הָאָרֶץ כִּי שֵׁם יְהוָה נִקְרָא עָלֶיךָ וְיָֽרְאוּ מִמֶּֽךָּ׃</w:t>
      </w:r>
    </w:p>
    <w:p w14:paraId="41B3C70C" w14:textId="587434B7" w:rsidR="00A709A3" w:rsidRDefault="00A709A3" w:rsidP="00A709A3">
      <w:pPr>
        <w:pStyle w:val="whitespace-normal"/>
      </w:pPr>
      <w:r>
        <w:rPr>
          <w:rStyle w:val="Fett"/>
          <w:rFonts w:eastAsiaTheme="majorEastAsia"/>
        </w:rPr>
        <w:t>Deutsch:</w:t>
      </w:r>
      <w:r>
        <w:t xml:space="preserve"> Und sehen werden alle Völker der Erde, dass der Name des </w:t>
      </w:r>
      <w:r w:rsidR="00C50326">
        <w:t>Ewigen</w:t>
      </w:r>
      <w:r>
        <w:t xml:space="preserve"> über dir genannt ist, und sie werden sich fürchten vor dir.</w:t>
      </w:r>
    </w:p>
    <w:p w14:paraId="28E7DF71" w14:textId="77777777" w:rsidR="00A709A3" w:rsidRDefault="004F5CEB" w:rsidP="00A709A3">
      <w:r>
        <w:rPr>
          <w:noProof/>
        </w:rPr>
        <w:pict w14:anchorId="2E972F66">
          <v:rect id="_x0000_i1754" style="width:0;height:1.5pt" o:hralign="center" o:hrstd="t" o:hr="t" fillcolor="#a0a0a0" stroked="f"/>
        </w:pict>
      </w:r>
    </w:p>
    <w:p w14:paraId="6273C1D9"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וְרָאוּ כָּל־עַמֵּי הָאָרֶץ כִּי שֵׁם יְהוָה נִקְרָא עָלֶיךָ וְיָרְאוּ מִמֶּךָּ</w:t>
      </w:r>
      <w:r>
        <w:rPr>
          <w:rtl/>
        </w:rPr>
        <w:t xml:space="preserve"> </w:t>
      </w:r>
      <w:r>
        <w:t xml:space="preserve">sind zwei Aussagen: </w:t>
      </w:r>
      <w:r>
        <w:rPr>
          <w:rStyle w:val="Fett"/>
          <w:rFonts w:eastAsiaTheme="majorEastAsia"/>
          <w:rtl/>
        </w:rPr>
        <w:t>וְרָאוּ כָּל־עַמֵּי הָאָרֶץ כִּי שֵׁם יְהוָה נִקְרָא עָלֶיךָ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ראה</w:t>
      </w:r>
      <w:r>
        <w:t xml:space="preserve">, Qal Perfekt, 3. Person Plural, </w:t>
      </w:r>
      <w:r>
        <w:rPr>
          <w:rStyle w:val="Fett"/>
          <w:rFonts w:eastAsiaTheme="majorEastAsia"/>
          <w:rtl/>
        </w:rPr>
        <w:t>כָּל־עַמֵּי הָאָרֶץ</w:t>
      </w:r>
      <w:r>
        <w:rPr>
          <w:rtl/>
        </w:rPr>
        <w:t xml:space="preserve"> </w:t>
      </w:r>
      <w:r>
        <w:t xml:space="preserve">als Subjekt, Inhaltssatz: </w:t>
      </w:r>
      <w:r>
        <w:rPr>
          <w:rStyle w:val="Fett"/>
          <w:rFonts w:eastAsiaTheme="majorEastAsia"/>
          <w:rtl/>
        </w:rPr>
        <w:t>כִּי שֵׁם יְהוָה נִקְרָא עָלֶיךָ</w:t>
      </w:r>
      <w:r>
        <w:rPr>
          <w:rtl/>
        </w:rPr>
        <w:t xml:space="preserve"> </w:t>
      </w:r>
      <w:r>
        <w:t xml:space="preserve">mit </w:t>
      </w:r>
      <w:r>
        <w:rPr>
          <w:rStyle w:val="Fett"/>
          <w:rFonts w:eastAsiaTheme="majorEastAsia"/>
          <w:rtl/>
        </w:rPr>
        <w:t>קרא</w:t>
      </w:r>
      <w:r>
        <w:t xml:space="preserve">, Niphal Perfekt, 3. Person Maskulinum Singular, „genannt werden", Präposition </w:t>
      </w:r>
      <w:r>
        <w:rPr>
          <w:rStyle w:val="Fett"/>
          <w:rFonts w:eastAsiaTheme="majorEastAsia"/>
          <w:rtl/>
        </w:rPr>
        <w:t>עַל</w:t>
      </w:r>
      <w:r>
        <w:rPr>
          <w:rtl/>
        </w:rPr>
        <w:t xml:space="preserve"> </w:t>
      </w:r>
      <w:r>
        <w:t xml:space="preserve">mit Suffix 2. Person Maskulinum Singular, mit </w:t>
      </w:r>
      <w:r>
        <w:rPr>
          <w:rStyle w:val="Fett"/>
          <w:rFonts w:eastAsiaTheme="majorEastAsia"/>
        </w:rPr>
        <w:t>Waw</w:t>
      </w:r>
      <w:r>
        <w:t xml:space="preserve"> consecutives Perfekt), </w:t>
      </w:r>
      <w:r>
        <w:rPr>
          <w:rStyle w:val="Fett"/>
          <w:rFonts w:eastAsiaTheme="majorEastAsia"/>
          <w:rtl/>
        </w:rPr>
        <w:t>וְיָרְאוּ מִמֶּךָּ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ירא</w:t>
      </w:r>
      <w:r>
        <w:t xml:space="preserve">, Qal Perfekt, 3. Person Plural, Präposition </w:t>
      </w:r>
      <w:r>
        <w:rPr>
          <w:rStyle w:val="Fett"/>
          <w:rFonts w:eastAsiaTheme="majorEastAsia"/>
          <w:rtl/>
        </w:rPr>
        <w:t>מִן</w:t>
      </w:r>
      <w:r>
        <w:rPr>
          <w:rtl/>
        </w:rPr>
        <w:t xml:space="preserve"> </w:t>
      </w:r>
      <w:r>
        <w:t xml:space="preserve">mit Suffix 2. Person Maskulinum Singular, mit </w:t>
      </w:r>
      <w:r>
        <w:rPr>
          <w:rStyle w:val="Fett"/>
          <w:rFonts w:eastAsiaTheme="majorEastAsia"/>
        </w:rPr>
        <w:t>Waw</w:t>
      </w:r>
      <w:r>
        <w:t xml:space="preserve"> consecutives Perfekt).</w:t>
      </w:r>
    </w:p>
    <w:p w14:paraId="0DE08CD5" w14:textId="3CC9656D" w:rsidR="00A709A3" w:rsidRDefault="00A709A3" w:rsidP="00A709A3">
      <w:pPr>
        <w:pStyle w:val="whitespace-normal"/>
      </w:pPr>
      <w:r>
        <w:t xml:space="preserve">Der Vers beschreibt die internationale Wirkung von Israels gesegnetem Status. Die erste Aussage: </w:t>
      </w:r>
      <w:r>
        <w:rPr>
          <w:rStyle w:val="Fett"/>
          <w:rFonts w:eastAsiaTheme="majorEastAsia"/>
          <w:rtl/>
        </w:rPr>
        <w:t>וְרָאוּ כָּל־עַמֵּי הָאָרֶץ כִּי שֵׁם יְהוָה נִקְרָא עָלֶיךָ</w:t>
      </w:r>
      <w:r>
        <w:rPr>
          <w:rtl/>
        </w:rPr>
        <w:t xml:space="preserve"> </w:t>
      </w:r>
      <w:r>
        <w:t xml:space="preserve">(„und sehen werden alle Völker der Erde, dass der Name </w:t>
      </w:r>
      <w:r w:rsidR="00DF3D1A">
        <w:t>JHWHs</w:t>
      </w:r>
      <w:r>
        <w:t xml:space="preserve"> über dir genannt ist"). Die Formulierung </w:t>
      </w:r>
      <w:r>
        <w:rPr>
          <w:rStyle w:val="Fett"/>
          <w:rFonts w:eastAsiaTheme="majorEastAsia"/>
          <w:rtl/>
        </w:rPr>
        <w:t>שֵׁם יְהוָה נִקְרָא עָלֶיךָ</w:t>
      </w:r>
      <w:r>
        <w:rPr>
          <w:rtl/>
        </w:rPr>
        <w:t xml:space="preserve"> </w:t>
      </w:r>
      <w:r>
        <w:t xml:space="preserve">(„der Name </w:t>
      </w:r>
      <w:r w:rsidR="00DF3D1A">
        <w:t>JHWHs</w:t>
      </w:r>
      <w:r>
        <w:t xml:space="preserve"> ist über dir genannt") bedeutet: Israel trägt JHWHs Namen, gehört zu JHWH (vgl. Jes 63,19; Jer 14,9). Die zweite Aussage: </w:t>
      </w:r>
      <w:r>
        <w:rPr>
          <w:rStyle w:val="Fett"/>
          <w:rFonts w:eastAsiaTheme="majorEastAsia"/>
          <w:rtl/>
        </w:rPr>
        <w:t>וְיָרְאוּ מִמֶּךָּ</w:t>
      </w:r>
      <w:r>
        <w:rPr>
          <w:rtl/>
        </w:rPr>
        <w:t xml:space="preserve"> </w:t>
      </w:r>
      <w:r>
        <w:t xml:space="preserve">(„und sie werden sich fürchten vor dir"). Das Verb </w:t>
      </w:r>
      <w:r>
        <w:rPr>
          <w:rStyle w:val="Fett"/>
          <w:rFonts w:eastAsiaTheme="majorEastAsia"/>
          <w:rtl/>
        </w:rPr>
        <w:t>ירא</w:t>
      </w:r>
      <w:r>
        <w:rPr>
          <w:rtl/>
        </w:rPr>
        <w:t xml:space="preserve"> </w:t>
      </w:r>
      <w:r>
        <w:t xml:space="preserve">(„sich fürchten") mit </w:t>
      </w:r>
      <w:r>
        <w:rPr>
          <w:rStyle w:val="Fett"/>
          <w:rFonts w:eastAsiaTheme="majorEastAsia"/>
          <w:rtl/>
        </w:rPr>
        <w:t>מִן</w:t>
      </w:r>
      <w:r>
        <w:rPr>
          <w:rtl/>
        </w:rPr>
        <w:t xml:space="preserve"> </w:t>
      </w:r>
      <w:r>
        <w:t>– respektvolle Furcht vor Israels Macht als JHWHs Volk.</w:t>
      </w:r>
    </w:p>
    <w:p w14:paraId="7A87898A" w14:textId="0B04A129" w:rsidR="00A709A3" w:rsidRDefault="00A709A3" w:rsidP="00A709A3">
      <w:pPr>
        <w:pStyle w:val="whitespace-normal"/>
      </w:pPr>
      <w:r>
        <w:rPr>
          <w:rStyle w:val="Fett"/>
          <w:rFonts w:eastAsiaTheme="majorEastAsia"/>
        </w:rPr>
        <w:t>Die Satzstruktur:</w:t>
      </w:r>
      <w:r>
        <w:t xml:space="preserve"> Zwei Aussagen (und sehen werden alle Völker der Erde, dass der Name </w:t>
      </w:r>
      <w:r w:rsidR="00DF3D1A">
        <w:t>JHWHs</w:t>
      </w:r>
      <w:r>
        <w:t xml:space="preserve"> über dir genannt ist, und sie werden sich fürchten vor dir).</w:t>
      </w:r>
    </w:p>
    <w:p w14:paraId="6E35C48A" w14:textId="3488D67C" w:rsidR="00A709A3" w:rsidRDefault="00A709A3" w:rsidP="00705F3D">
      <w:pPr>
        <w:pStyle w:val="whitespace-normal"/>
      </w:pPr>
      <w:r>
        <w:rPr>
          <w:rStyle w:val="Fett"/>
          <w:rFonts w:eastAsiaTheme="majorEastAsia"/>
        </w:rPr>
        <w:t>Der Vers beschreibt:</w:t>
      </w:r>
      <w:r>
        <w:t xml:space="preserve"> Internationale Anerkennung – die Völker sehen Israels Zugehörigkeit zu JHWH und fürchten sich.</w:t>
      </w:r>
    </w:p>
    <w:p w14:paraId="1FC1E15D" w14:textId="77777777" w:rsidR="00A709A3" w:rsidRPr="00B53ACC" w:rsidRDefault="00A709A3" w:rsidP="00B53ACC">
      <w:pPr>
        <w:pStyle w:val="Bibelberschrift"/>
      </w:pPr>
      <w:r w:rsidRPr="00B53ACC">
        <w:rPr>
          <w:rStyle w:val="Fett"/>
          <w:b/>
          <w:bCs w:val="0"/>
        </w:rPr>
        <w:lastRenderedPageBreak/>
        <w:t>Deuteronomium 28,11</w:t>
      </w:r>
    </w:p>
    <w:p w14:paraId="6BEF70BE" w14:textId="77777777" w:rsidR="00A709A3" w:rsidRDefault="00A709A3" w:rsidP="00A709A3">
      <w:pPr>
        <w:pStyle w:val="whitespace-normal"/>
      </w:pPr>
      <w:r>
        <w:rPr>
          <w:rStyle w:val="Fett"/>
          <w:rFonts w:eastAsiaTheme="majorEastAsia"/>
        </w:rPr>
        <w:t>Hebräisch:</w:t>
      </w:r>
      <w:r>
        <w:t xml:space="preserve"> </w:t>
      </w:r>
      <w:r>
        <w:rPr>
          <w:rtl/>
        </w:rPr>
        <w:t>וְהוֹתִרְךָ יְהוָה לְטוֹבָה בִּפְרִי בִטְנְךָ וּבִפְרִי בְהַמְתְּךָ וּבִפְרִי אַדְמָתֶךָ עַל הָאֲדָמָה אֲשֶׁר נִשְׁבַּע יְהוָה לַאֲבֹתֶיךָ לָתֶת לָֽךְ׃</w:t>
      </w:r>
    </w:p>
    <w:p w14:paraId="5BC51F8F" w14:textId="331FD997" w:rsidR="00A709A3" w:rsidRDefault="00A709A3" w:rsidP="00A709A3">
      <w:pPr>
        <w:pStyle w:val="whitespace-normal"/>
      </w:pPr>
      <w:r>
        <w:rPr>
          <w:rStyle w:val="Fett"/>
          <w:rFonts w:eastAsiaTheme="majorEastAsia"/>
        </w:rPr>
        <w:t>Deutsch:</w:t>
      </w:r>
      <w:r>
        <w:t xml:space="preserve"> Und </w:t>
      </w:r>
      <w:r w:rsidR="00C50326">
        <w:t>der Ewige</w:t>
      </w:r>
      <w:r>
        <w:t xml:space="preserve"> wird dir Überfluss geben zum Guten in der Frucht deines Leibes und in der Frucht deines Viehs und in der Frucht deines Landes, auf dem Land, das </w:t>
      </w:r>
      <w:r w:rsidR="00C50326">
        <w:t>der Ewige</w:t>
      </w:r>
      <w:r>
        <w:t xml:space="preserve"> deinen Vätern geschworen hat, dir zu geben.</w:t>
      </w:r>
    </w:p>
    <w:p w14:paraId="34589893" w14:textId="77777777" w:rsidR="00A709A3" w:rsidRDefault="004F5CEB" w:rsidP="00A709A3">
      <w:r>
        <w:rPr>
          <w:noProof/>
        </w:rPr>
        <w:pict w14:anchorId="64E8C337">
          <v:rect id="_x0000_i1755" style="width:0;height:1.5pt" o:hralign="center" o:hrstd="t" o:hr="t" fillcolor="#a0a0a0" stroked="f"/>
        </w:pict>
      </w:r>
    </w:p>
    <w:p w14:paraId="45E22142"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וְהוֹתִרְךָ יְהוָה לְטוֹבָה בִּפְרִי בִטְנְךָ וּבִפְרִי בְהַמְתְּךָ וּבִפְרִי אַדְמָתֶךָ עַל הָאֲדָמָה אֲשֶׁר נִשְׁבַּע יְהוָה לַאֲבֹתֶיךָ לָתֶת לָךְ</w:t>
      </w:r>
      <w:r>
        <w:rPr>
          <w:rtl/>
        </w:rPr>
        <w:t xml:space="preserve"> </w:t>
      </w:r>
      <w:r>
        <w:t xml:space="preserve">ist eine Verheißung: </w:t>
      </w:r>
      <w:r>
        <w:rPr>
          <w:rStyle w:val="Fett"/>
          <w:rFonts w:eastAsiaTheme="majorEastAsia"/>
          <w:rtl/>
        </w:rPr>
        <w:t>וְהוֹתִרְךָ יְהוָה לְטוֹבָה בִּפְרִי בִטְנְךָ וּבִפְרִי בְהַמְתְּךָ וּבִפְרִי אַדְמָתֶךָ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יתר</w:t>
      </w:r>
      <w:r>
        <w:t xml:space="preserve">, Hiphil Perfekt, 3. Person Maskulinum Singular, „Überfluss geben, reichlich machen", mit Suffix 2. Person Maskulinum Singular, </w:t>
      </w:r>
      <w:r>
        <w:rPr>
          <w:rStyle w:val="Fett"/>
          <w:rFonts w:eastAsiaTheme="majorEastAsia"/>
          <w:rtl/>
        </w:rPr>
        <w:t>יְהוָה</w:t>
      </w:r>
      <w:r>
        <w:rPr>
          <w:rtl/>
        </w:rPr>
        <w:t xml:space="preserve"> </w:t>
      </w:r>
      <w:r>
        <w:t xml:space="preserve">als Subjekt, </w:t>
      </w:r>
      <w:r>
        <w:rPr>
          <w:rStyle w:val="Fett"/>
          <w:rFonts w:eastAsiaTheme="majorEastAsia"/>
          <w:rtl/>
        </w:rPr>
        <w:t>לְטוֹבָה</w:t>
      </w:r>
      <w:r>
        <w:t xml:space="preserve">, „zum Guten", Präposition </w:t>
      </w:r>
      <w:r>
        <w:rPr>
          <w:rStyle w:val="Fett"/>
          <w:rFonts w:eastAsiaTheme="majorEastAsia"/>
          <w:rtl/>
        </w:rPr>
        <w:t>בְּ</w:t>
      </w:r>
      <w:r>
        <w:rPr>
          <w:rtl/>
        </w:rPr>
        <w:t xml:space="preserve"> </w:t>
      </w:r>
      <w:r>
        <w:t xml:space="preserve">mit </w:t>
      </w:r>
      <w:r>
        <w:rPr>
          <w:rStyle w:val="Fett"/>
          <w:rFonts w:eastAsiaTheme="majorEastAsia"/>
          <w:rtl/>
        </w:rPr>
        <w:t>פְּרִי בֶּטֶן</w:t>
      </w:r>
      <w:r>
        <w:t xml:space="preserve">, koordiniert mit </w:t>
      </w:r>
      <w:r>
        <w:rPr>
          <w:rStyle w:val="Fett"/>
          <w:rFonts w:eastAsiaTheme="majorEastAsia"/>
          <w:rtl/>
        </w:rPr>
        <w:t>פְּרִי בְּהֵמָה</w:t>
      </w:r>
      <w:r>
        <w:rPr>
          <w:rtl/>
        </w:rPr>
        <w:t xml:space="preserve"> </w:t>
      </w:r>
      <w:r>
        <w:t xml:space="preserve">und </w:t>
      </w:r>
      <w:r>
        <w:rPr>
          <w:rStyle w:val="Fett"/>
          <w:rFonts w:eastAsiaTheme="majorEastAsia"/>
          <w:rtl/>
        </w:rPr>
        <w:t>פְּרִי אֲדָמָה</w:t>
      </w:r>
      <w:r>
        <w:t xml:space="preserve">, mit </w:t>
      </w:r>
      <w:r>
        <w:rPr>
          <w:rStyle w:val="Fett"/>
          <w:rFonts w:eastAsiaTheme="majorEastAsia"/>
        </w:rPr>
        <w:t>Waw</w:t>
      </w:r>
      <w:r>
        <w:t xml:space="preserve"> consecutives Perfekt), </w:t>
      </w:r>
      <w:r>
        <w:rPr>
          <w:rStyle w:val="Fett"/>
          <w:rFonts w:eastAsiaTheme="majorEastAsia"/>
          <w:rtl/>
        </w:rPr>
        <w:t>עַל הָאֲדָמָה אֲשֶׁר נִשְׁבַּע יְהוָה לַאֲבֹתֶיךָ לָתֶת לָךְ</w:t>
      </w:r>
      <w:r>
        <w:rPr>
          <w:rtl/>
        </w:rPr>
        <w:t xml:space="preserve"> </w:t>
      </w:r>
      <w:r>
        <w:t xml:space="preserve">(Präposition </w:t>
      </w:r>
      <w:r>
        <w:rPr>
          <w:rStyle w:val="Fett"/>
          <w:rFonts w:eastAsiaTheme="majorEastAsia"/>
          <w:rtl/>
        </w:rPr>
        <w:t>עַל</w:t>
      </w:r>
      <w:r>
        <w:rPr>
          <w:rtl/>
        </w:rPr>
        <w:t xml:space="preserve"> </w:t>
      </w:r>
      <w:r>
        <w:t xml:space="preserve">mit </w:t>
      </w:r>
      <w:r>
        <w:rPr>
          <w:rStyle w:val="Fett"/>
          <w:rFonts w:eastAsiaTheme="majorEastAsia"/>
          <w:rtl/>
        </w:rPr>
        <w:t>אֲדָמָה</w:t>
      </w:r>
      <w:r>
        <w:rPr>
          <w:rtl/>
        </w:rPr>
        <w:t xml:space="preserve"> </w:t>
      </w:r>
      <w:r>
        <w:t>mit Artikel, Relativsatz wie üblich).</w:t>
      </w:r>
    </w:p>
    <w:p w14:paraId="0F22C35C" w14:textId="77777777" w:rsidR="00A709A3" w:rsidRDefault="00A709A3" w:rsidP="00A709A3">
      <w:pPr>
        <w:pStyle w:val="whitespace-normal"/>
      </w:pPr>
      <w:r>
        <w:t xml:space="preserve">Der Vers wiederholt und verstärkt den Fruchtbarkeitssegen aus V. 4. Die Verheißung: </w:t>
      </w:r>
      <w:r>
        <w:rPr>
          <w:rStyle w:val="Fett"/>
          <w:rFonts w:eastAsiaTheme="majorEastAsia"/>
          <w:rtl/>
        </w:rPr>
        <w:t>וְהוֹתִרְךָ יְהוָה לְטוֹבָה בִּפְרִי בִטְנְךָ וּבִפְרִי בְהַמְתְּךָ וּבִפְרִי אַדְמָתֶךָ</w:t>
      </w:r>
      <w:r>
        <w:rPr>
          <w:rtl/>
        </w:rPr>
        <w:t xml:space="preserve"> </w:t>
      </w:r>
      <w:r>
        <w:t xml:space="preserve">(„und Überfluss geben wird dir JHWH zum Guten in der Frucht deines Leibes und in der Frucht deines Viehs und in der Frucht deines Landes"). Das Verb </w:t>
      </w:r>
      <w:r>
        <w:rPr>
          <w:rStyle w:val="Fett"/>
          <w:rFonts w:eastAsiaTheme="majorEastAsia"/>
          <w:rtl/>
        </w:rPr>
        <w:t>יתר</w:t>
      </w:r>
      <w:r>
        <w:rPr>
          <w:rtl/>
        </w:rPr>
        <w:t xml:space="preserve"> </w:t>
      </w:r>
      <w:r>
        <w:t xml:space="preserve">im Hiphil („Überfluss geben, reichlich machen") betont: nicht nur Fruchtbarkeit, sondern Überfluss. Die Formulierung </w:t>
      </w:r>
      <w:r>
        <w:rPr>
          <w:rStyle w:val="Fett"/>
          <w:rFonts w:eastAsiaTheme="majorEastAsia"/>
          <w:rtl/>
        </w:rPr>
        <w:t>לְטוֹבָה</w:t>
      </w:r>
      <w:r>
        <w:rPr>
          <w:rtl/>
        </w:rPr>
        <w:t xml:space="preserve"> </w:t>
      </w:r>
      <w:r>
        <w:t xml:space="preserve">(„zum Guten") unterstreicht die positive Qualität. Die dreifache </w:t>
      </w:r>
      <w:r>
        <w:rPr>
          <w:rStyle w:val="Fett"/>
          <w:rFonts w:eastAsiaTheme="majorEastAsia"/>
          <w:rtl/>
        </w:rPr>
        <w:t>פְּרִי</w:t>
      </w:r>
      <w:r>
        <w:t xml:space="preserve">-Formel wie V. 4 (aber in anderer Reihenfolge). Die Ortangabe </w:t>
      </w:r>
      <w:r>
        <w:rPr>
          <w:rStyle w:val="Fett"/>
          <w:rFonts w:eastAsiaTheme="majorEastAsia"/>
          <w:rtl/>
        </w:rPr>
        <w:t>עַל הָאֲדָמָה אֲשֶׁר נִשְׁבַּע יְהוָה לַאֲבֹתֶיךָ לָתֶת לָךְ</w:t>
      </w:r>
      <w:r>
        <w:rPr>
          <w:rtl/>
        </w:rPr>
        <w:t xml:space="preserve"> </w:t>
      </w:r>
      <w:r>
        <w:t>(„auf dem Land, das JHWH deinen Vätern geschworen hat, dir zu geben") verbindet mit der Väterverheißung.</w:t>
      </w:r>
    </w:p>
    <w:p w14:paraId="43AD66DB" w14:textId="77777777" w:rsidR="00A709A3" w:rsidRDefault="00A709A3" w:rsidP="00A709A3">
      <w:pPr>
        <w:pStyle w:val="whitespace-normal"/>
      </w:pPr>
      <w:r>
        <w:rPr>
          <w:rStyle w:val="Fett"/>
          <w:rFonts w:eastAsiaTheme="majorEastAsia"/>
        </w:rPr>
        <w:t>Die Satzstruktur:</w:t>
      </w:r>
      <w:r>
        <w:t xml:space="preserve"> Verheißung (und Überfluss geben wird dir JHWH zum Guten in der Frucht deines Leibes und in der Frucht deines Viehs und in der Frucht deines Landes, auf dem Land, das JHWH deinen Vätern geschworen hat, dir zu geben).</w:t>
      </w:r>
    </w:p>
    <w:p w14:paraId="020CE0CD" w14:textId="0B8A7E1C" w:rsidR="00A709A3" w:rsidRDefault="00A709A3" w:rsidP="00705F3D">
      <w:pPr>
        <w:pStyle w:val="whitespace-normal"/>
      </w:pPr>
      <w:r>
        <w:rPr>
          <w:rStyle w:val="Fett"/>
          <w:rFonts w:eastAsiaTheme="majorEastAsia"/>
        </w:rPr>
        <w:t>Der Vers beschreibt:</w:t>
      </w:r>
      <w:r>
        <w:t xml:space="preserve"> Überfluss an Fruchtbarkeit – Menschen, Vieh, Land – im verheißenen Land.</w:t>
      </w:r>
    </w:p>
    <w:p w14:paraId="4318D28B" w14:textId="77777777" w:rsidR="00A709A3" w:rsidRPr="00564C2A" w:rsidRDefault="00A709A3" w:rsidP="00564C2A">
      <w:pPr>
        <w:pStyle w:val="Bibelberschrift"/>
      </w:pPr>
      <w:r w:rsidRPr="00564C2A">
        <w:rPr>
          <w:rStyle w:val="Fett"/>
          <w:b/>
          <w:bCs w:val="0"/>
        </w:rPr>
        <w:t>Deuteronomium 28,12</w:t>
      </w:r>
    </w:p>
    <w:p w14:paraId="2A51EF93" w14:textId="77777777" w:rsidR="00A709A3" w:rsidRDefault="00A709A3" w:rsidP="00A709A3">
      <w:pPr>
        <w:pStyle w:val="whitespace-normal"/>
      </w:pPr>
      <w:r>
        <w:rPr>
          <w:rStyle w:val="Fett"/>
          <w:rFonts w:eastAsiaTheme="majorEastAsia"/>
        </w:rPr>
        <w:t>Hebräisch:</w:t>
      </w:r>
      <w:r>
        <w:t xml:space="preserve"> </w:t>
      </w:r>
      <w:r>
        <w:rPr>
          <w:rtl/>
        </w:rPr>
        <w:t>יִפְתַּח יְהוָה׀ לְךָ אֶת־אוֹצָרוֹ הַטּוֹב אֶת־הַשָּׁמַיִם לָתֵת מְטַֽר־אַרְצְךָ בְּעִתּוֹ וּלְבָרֵךְ אֵת כָּל־מַעֲשֵׂה יָדֶךָ וְהִלְוִיתָ גּוֹיִם רַבִּים וְאַתָּה לֹא תִלְוֶֽה׃</w:t>
      </w:r>
    </w:p>
    <w:p w14:paraId="2460930D" w14:textId="77777777" w:rsidR="00A709A3" w:rsidRDefault="00A709A3" w:rsidP="00A709A3">
      <w:pPr>
        <w:pStyle w:val="whitespace-normal"/>
      </w:pPr>
      <w:r>
        <w:rPr>
          <w:rStyle w:val="Fett"/>
          <w:rFonts w:eastAsiaTheme="majorEastAsia"/>
        </w:rPr>
        <w:t>Deutsch:</w:t>
      </w:r>
      <w:r>
        <w:t xml:space="preserve"> JHWH wird dir öffnen seinen guten Schatz, die Himmel, um deinem Land Regen zu geben zu seiner Zeit und um zu segnen alles Werk deiner Hand; und du wirst leihen vielen Nationen, du aber wirst nicht entleihen.</w:t>
      </w:r>
    </w:p>
    <w:p w14:paraId="27F6197D" w14:textId="77777777" w:rsidR="00A709A3" w:rsidRDefault="004F5CEB" w:rsidP="00A709A3">
      <w:r>
        <w:rPr>
          <w:noProof/>
        </w:rPr>
        <w:pict w14:anchorId="2592A1F6">
          <v:rect id="_x0000_i1756" style="width:0;height:1.5pt" o:hralign="center" o:hrstd="t" o:hr="t" fillcolor="#a0a0a0" stroked="f"/>
        </w:pict>
      </w:r>
    </w:p>
    <w:p w14:paraId="273C99FE" w14:textId="77777777" w:rsidR="00A709A3" w:rsidRDefault="00A709A3" w:rsidP="00A709A3">
      <w:pPr>
        <w:pStyle w:val="whitespace-normal"/>
      </w:pPr>
      <w:r>
        <w:rPr>
          <w:rStyle w:val="Fett"/>
          <w:rFonts w:eastAsiaTheme="majorEastAsia"/>
        </w:rPr>
        <w:lastRenderedPageBreak/>
        <w:t>Kommentar:</w:t>
      </w:r>
      <w:r>
        <w:t xml:space="preserve"> </w:t>
      </w:r>
      <w:r>
        <w:rPr>
          <w:rStyle w:val="Fett"/>
          <w:rFonts w:eastAsiaTheme="majorEastAsia"/>
          <w:rtl/>
        </w:rPr>
        <w:t>יִפְתַּח יְהוָה לְךָ אֶת־אוֹצָרוֹ הַטּוֹב אֶת־הַשָּׁמַיִם לָתֵת מְטַר־אַרְצְךָ בְּעִתּוֹ וּלְבָרֵךְ אֵת כָּל־מַעֲשֵׂה יָדֶךָ וְהִלְוִיתָ גּוֹיִם רַבִּים וְאַתָּה לֹא תִלְוֶה</w:t>
      </w:r>
      <w:r>
        <w:rPr>
          <w:rtl/>
        </w:rPr>
        <w:t xml:space="preserve"> </w:t>
      </w:r>
      <w:r>
        <w:t xml:space="preserve">sind drei Verheißungen: </w:t>
      </w:r>
      <w:r>
        <w:rPr>
          <w:rStyle w:val="Fett"/>
          <w:rFonts w:eastAsiaTheme="majorEastAsia"/>
          <w:rtl/>
        </w:rPr>
        <w:t>יִפְתַּח יְהוָה לְךָ אֶת־אוֹצָרוֹ הַטּוֹב אֶת־הַשָּׁמַיִם לָתֵת מְטַר־אַרְצְךָ בְּעִתּוֹ וּלְבָרֵךְ אֵת כָּל־מַעֲשֵׂה יָדֶךָ</w:t>
      </w:r>
      <w:r>
        <w:rPr>
          <w:rtl/>
        </w:rPr>
        <w:t xml:space="preserve"> </w:t>
      </w:r>
      <w:r>
        <w:t>(</w:t>
      </w:r>
      <w:r>
        <w:rPr>
          <w:rStyle w:val="Fett"/>
          <w:rFonts w:eastAsiaTheme="majorEastAsia"/>
          <w:rtl/>
        </w:rPr>
        <w:t>פתח</w:t>
      </w:r>
      <w:r>
        <w:t xml:space="preserve">, Qal Imperfekt, 3. Person Maskulinum Singular, „öffnen", </w:t>
      </w:r>
      <w:r>
        <w:rPr>
          <w:rStyle w:val="Fett"/>
          <w:rFonts w:eastAsiaTheme="majorEastAsia"/>
          <w:rtl/>
        </w:rPr>
        <w:t>יְהוָה</w:t>
      </w:r>
      <w:r>
        <w:rPr>
          <w:rtl/>
        </w:rPr>
        <w:t xml:space="preserve"> </w:t>
      </w:r>
      <w:r>
        <w:t xml:space="preserve">als Subjekt, </w:t>
      </w:r>
      <w:r>
        <w:rPr>
          <w:rStyle w:val="Fett"/>
          <w:rFonts w:eastAsiaTheme="majorEastAsia"/>
          <w:rtl/>
        </w:rPr>
        <w:t>לְךָ</w:t>
      </w:r>
      <w:r>
        <w:t xml:space="preserve">, Objektpartikel </w:t>
      </w:r>
      <w:r>
        <w:rPr>
          <w:rStyle w:val="Fett"/>
          <w:rFonts w:eastAsiaTheme="majorEastAsia"/>
          <w:rtl/>
        </w:rPr>
        <w:t>אֵת</w:t>
      </w:r>
      <w:r>
        <w:rPr>
          <w:rtl/>
        </w:rPr>
        <w:t xml:space="preserve"> </w:t>
      </w:r>
      <w:r>
        <w:t xml:space="preserve">mit </w:t>
      </w:r>
      <w:r>
        <w:rPr>
          <w:rStyle w:val="Fett"/>
          <w:rFonts w:eastAsiaTheme="majorEastAsia"/>
          <w:rtl/>
        </w:rPr>
        <w:t>אוֹצָר</w:t>
      </w:r>
      <w:r>
        <w:t xml:space="preserve">, „Schatz, Schatzkammer", mit Suffix 3. Person Maskulinum Singular, </w:t>
      </w:r>
      <w:r>
        <w:rPr>
          <w:rStyle w:val="Fett"/>
          <w:rFonts w:eastAsiaTheme="majorEastAsia"/>
          <w:rtl/>
        </w:rPr>
        <w:t>הַטּוֹב</w:t>
      </w:r>
      <w:r>
        <w:t xml:space="preserve">, Apposition: </w:t>
      </w:r>
      <w:r>
        <w:rPr>
          <w:rStyle w:val="Fett"/>
          <w:rFonts w:eastAsiaTheme="majorEastAsia"/>
          <w:rtl/>
        </w:rPr>
        <w:t>אֶת־הַשָּׁמַיִם</w:t>
      </w:r>
      <w:r>
        <w:t xml:space="preserve">, zwei Finalsätze mit </w:t>
      </w:r>
      <w:r>
        <w:rPr>
          <w:rStyle w:val="Fett"/>
          <w:rFonts w:eastAsiaTheme="majorEastAsia"/>
          <w:rtl/>
        </w:rPr>
        <w:t>לְ</w:t>
      </w:r>
      <w:r>
        <w:rPr>
          <w:rtl/>
        </w:rPr>
        <w:t xml:space="preserve"> </w:t>
      </w:r>
      <w:r>
        <w:t xml:space="preserve">+ Infinitiv), </w:t>
      </w:r>
      <w:r>
        <w:rPr>
          <w:rStyle w:val="Fett"/>
          <w:rFonts w:eastAsiaTheme="majorEastAsia"/>
          <w:rtl/>
        </w:rPr>
        <w:t>וְהִלְוִיתָ גּוֹיִם רַבִּים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לוה</w:t>
      </w:r>
      <w:r>
        <w:t xml:space="preserve">, Hiphil Perfekt, 2. Person Maskulinum Singular, „leihen, ausleihen" (als Gläubiger), </w:t>
      </w:r>
      <w:r>
        <w:rPr>
          <w:rStyle w:val="Fett"/>
          <w:rFonts w:eastAsiaTheme="majorEastAsia"/>
          <w:rtl/>
        </w:rPr>
        <w:t>גּוֹי</w:t>
      </w:r>
      <w:r>
        <w:rPr>
          <w:rtl/>
        </w:rPr>
        <w:t xml:space="preserve"> </w:t>
      </w:r>
      <w:r>
        <w:t xml:space="preserve">Plural, </w:t>
      </w:r>
      <w:r>
        <w:rPr>
          <w:rStyle w:val="Fett"/>
          <w:rFonts w:eastAsiaTheme="majorEastAsia"/>
          <w:rtl/>
        </w:rPr>
        <w:t>רַב</w:t>
      </w:r>
      <w:r>
        <w:t xml:space="preserve">, „viel", Plural, mit </w:t>
      </w:r>
      <w:r>
        <w:rPr>
          <w:rStyle w:val="Fett"/>
          <w:rFonts w:eastAsiaTheme="majorEastAsia"/>
        </w:rPr>
        <w:t>Waw</w:t>
      </w:r>
      <w:r>
        <w:t xml:space="preserve"> consecutives Perfekt), </w:t>
      </w:r>
      <w:r>
        <w:rPr>
          <w:rStyle w:val="Fett"/>
          <w:rFonts w:eastAsiaTheme="majorEastAsia"/>
          <w:rtl/>
        </w:rPr>
        <w:t>וְאַתָּה לֹא תִלְוֶה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אַתָּה</w:t>
      </w:r>
      <w:r>
        <w:t xml:space="preserve">, Negation, </w:t>
      </w:r>
      <w:r>
        <w:rPr>
          <w:rStyle w:val="Fett"/>
          <w:rFonts w:eastAsiaTheme="majorEastAsia"/>
          <w:rtl/>
        </w:rPr>
        <w:t>לוה</w:t>
      </w:r>
      <w:r>
        <w:t>, Qal Imperfekt, 2. Person Maskulinum Singular, „entleihen, borgen" (als Schuldner)).</w:t>
      </w:r>
    </w:p>
    <w:p w14:paraId="5AEC66FC" w14:textId="3CB1397C" w:rsidR="00A709A3" w:rsidRDefault="00A709A3" w:rsidP="00A709A3">
      <w:pPr>
        <w:pStyle w:val="whitespace-normal"/>
      </w:pPr>
      <w:r>
        <w:t xml:space="preserve">Der Vers verspricht Regen und wirtschaftlichen Wohlstand. Die erste Verheißung: </w:t>
      </w:r>
      <w:r>
        <w:rPr>
          <w:rStyle w:val="Fett"/>
          <w:rFonts w:eastAsiaTheme="majorEastAsia"/>
          <w:rtl/>
        </w:rPr>
        <w:t>יִפְתַּח יְהוָה לְךָ אֶת־אוֹצָרוֹ הַטּוֹב אֶת־הַשָּׁמַיִם לָתֵת מְטַר־אַרְצְךָ בְּעִתּוֹ וּלְבָרֵךְ אֵת כָּל־מַעֲשֵׂה יָדֶךָ</w:t>
      </w:r>
      <w:r>
        <w:rPr>
          <w:rtl/>
        </w:rPr>
        <w:t xml:space="preserve"> </w:t>
      </w:r>
      <w:r>
        <w:t xml:space="preserve">(„öffnen wird JHWH dir seinen guten Schatz, die Himmel, um zu geben Regen deinem Land zu seiner Zeit und um zu segnen alles Werk deiner Hand"). Die Metapher </w:t>
      </w:r>
      <w:r>
        <w:rPr>
          <w:rStyle w:val="Fett"/>
          <w:rFonts w:eastAsiaTheme="majorEastAsia"/>
          <w:rtl/>
        </w:rPr>
        <w:t>אוֹצָרוֹ הַטּוֹב</w:t>
      </w:r>
      <w:r>
        <w:rPr>
          <w:rtl/>
        </w:rPr>
        <w:t xml:space="preserve"> </w:t>
      </w:r>
      <w:r>
        <w:t xml:space="preserve">(„sein guter Schatz") mit Apposition </w:t>
      </w:r>
      <w:r>
        <w:rPr>
          <w:rStyle w:val="Fett"/>
          <w:rFonts w:eastAsiaTheme="majorEastAsia"/>
          <w:rtl/>
        </w:rPr>
        <w:t>אֶת־הַשָּׁמַיִם</w:t>
      </w:r>
      <w:r>
        <w:rPr>
          <w:rtl/>
        </w:rPr>
        <w:t xml:space="preserve"> </w:t>
      </w:r>
      <w:r>
        <w:t xml:space="preserve">(„die Himmel") – die Himmel als Schatzkammer des Regens. Die Formulierung </w:t>
      </w:r>
      <w:r>
        <w:rPr>
          <w:rStyle w:val="Fett"/>
          <w:rFonts w:eastAsiaTheme="majorEastAsia"/>
          <w:rtl/>
        </w:rPr>
        <w:t>בְּעִתּוֹ</w:t>
      </w:r>
      <w:r>
        <w:rPr>
          <w:rtl/>
        </w:rPr>
        <w:t xml:space="preserve"> </w:t>
      </w:r>
      <w:r>
        <w:t xml:space="preserve">(„zu seiner Zeit") betont: rechtzeitiger, zur richtigen Jahreszeit kommender Regen (vgl. 11,14). Die zweite und dritte Verheißung: </w:t>
      </w:r>
      <w:r>
        <w:rPr>
          <w:rStyle w:val="Fett"/>
          <w:rFonts w:eastAsiaTheme="majorEastAsia"/>
          <w:rtl/>
        </w:rPr>
        <w:t>וְהִלְוִיתָ גּוֹיִם רַבִּים וְאַתָּה לֹא תִלְוֶה</w:t>
      </w:r>
      <w:r>
        <w:rPr>
          <w:rtl/>
        </w:rPr>
        <w:t xml:space="preserve"> </w:t>
      </w:r>
      <w:r>
        <w:t>(„und leihen wirst du vielen Nationen, du aber wirst nicht entleihen"). Der Kontrast Hiphil (Gläubiger) vs. Qal (Schuldner) – Israel wird reich genug sein, um anderen zu leihen, aber nie selbst leihen müssen (vgl. 15,6).</w:t>
      </w:r>
    </w:p>
    <w:p w14:paraId="75F7314C" w14:textId="5C25582B" w:rsidR="001A04EF" w:rsidRDefault="001A04EF" w:rsidP="00A709A3">
      <w:pPr>
        <w:pStyle w:val="whitespace-normal"/>
      </w:pPr>
      <w:r>
        <w:rPr>
          <w:rStyle w:val="Fett"/>
        </w:rPr>
        <w:t>Die LXX</w:t>
      </w:r>
      <w:r>
        <w:t xml:space="preserve"> fügt καὶ </w:t>
      </w:r>
      <w:proofErr w:type="spellStart"/>
      <w:r>
        <w:t>ἄρξεις</w:t>
      </w:r>
      <w:proofErr w:type="spellEnd"/>
      <w:r>
        <w:t xml:space="preserve"> </w:t>
      </w:r>
      <w:proofErr w:type="spellStart"/>
      <w:r>
        <w:t>σὺ</w:t>
      </w:r>
      <w:proofErr w:type="spellEnd"/>
      <w:r>
        <w:t xml:space="preserve"> </w:t>
      </w:r>
      <w:proofErr w:type="spellStart"/>
      <w:r>
        <w:t>ἐθνῶν</w:t>
      </w:r>
      <w:proofErr w:type="spellEnd"/>
      <w:r>
        <w:t xml:space="preserve"> π</w:t>
      </w:r>
      <w:proofErr w:type="spellStart"/>
      <w:r>
        <w:t>ολλῶν</w:t>
      </w:r>
      <w:proofErr w:type="spellEnd"/>
      <w:r>
        <w:t xml:space="preserve">, </w:t>
      </w:r>
      <w:proofErr w:type="spellStart"/>
      <w:r>
        <w:t>σοῦ</w:t>
      </w:r>
      <w:proofErr w:type="spellEnd"/>
      <w:r>
        <w:t xml:space="preserve"> </w:t>
      </w:r>
      <w:proofErr w:type="spellStart"/>
      <w:r>
        <w:t>δὲ</w:t>
      </w:r>
      <w:proofErr w:type="spellEnd"/>
      <w:r>
        <w:t xml:space="preserve"> </w:t>
      </w:r>
      <w:proofErr w:type="spellStart"/>
      <w:r>
        <w:t>οὐκ</w:t>
      </w:r>
      <w:proofErr w:type="spellEnd"/>
      <w:r>
        <w:t xml:space="preserve"> </w:t>
      </w:r>
      <w:proofErr w:type="spellStart"/>
      <w:r>
        <w:t>ἄρξουσιν</w:t>
      </w:r>
      <w:proofErr w:type="spellEnd"/>
      <w:r>
        <w:t xml:space="preserve"> (und du wirst über viele Völker herrschen, aber sie werden nicht über dich herrschen) hinzu – eine Erweiterung, die im MT nicht vorhanden ist.</w:t>
      </w:r>
    </w:p>
    <w:p w14:paraId="3A37B6DA" w14:textId="77777777" w:rsidR="00A709A3" w:rsidRDefault="00A709A3" w:rsidP="00A709A3">
      <w:pPr>
        <w:pStyle w:val="whitespace-normal"/>
      </w:pPr>
      <w:r>
        <w:rPr>
          <w:rStyle w:val="Fett"/>
          <w:rFonts w:eastAsiaTheme="majorEastAsia"/>
        </w:rPr>
        <w:t>Die Satzstruktur:</w:t>
      </w:r>
      <w:r>
        <w:t xml:space="preserve"> Drei Verheißungen (öffnen wird JHWH dir seinen guten Schatz, die Himmel, um zu geben Regen deinem Land zu seiner Zeit und um zu segnen alles Werk deiner Hand; und leihen wirst du vielen Nationen, du aber wirst nicht entleihen).</w:t>
      </w:r>
    </w:p>
    <w:p w14:paraId="5B047DE0" w14:textId="45FAFA98" w:rsidR="00A709A3" w:rsidRDefault="00A709A3" w:rsidP="00705F3D">
      <w:pPr>
        <w:pStyle w:val="whitespace-normal"/>
      </w:pPr>
      <w:r>
        <w:rPr>
          <w:rStyle w:val="Fett"/>
          <w:rFonts w:eastAsiaTheme="majorEastAsia"/>
        </w:rPr>
        <w:t>Der Vers beschreibt:</w:t>
      </w:r>
      <w:r>
        <w:t xml:space="preserve"> Segen des Regens und wirtschaftlicher Überlegenheit – Israel als Gläubiger, nicht Schuldner.</w:t>
      </w:r>
    </w:p>
    <w:p w14:paraId="565DDB8E" w14:textId="77777777" w:rsidR="00A709A3" w:rsidRPr="00564C2A" w:rsidRDefault="00A709A3" w:rsidP="00564C2A">
      <w:pPr>
        <w:pStyle w:val="Bibelberschrift"/>
      </w:pPr>
      <w:r w:rsidRPr="00564C2A">
        <w:rPr>
          <w:rStyle w:val="Fett"/>
          <w:b/>
          <w:bCs w:val="0"/>
        </w:rPr>
        <w:t>Deuteronomium 28,13</w:t>
      </w:r>
    </w:p>
    <w:p w14:paraId="69BCC6FA" w14:textId="77777777" w:rsidR="00A709A3" w:rsidRDefault="00A709A3" w:rsidP="00A709A3">
      <w:pPr>
        <w:pStyle w:val="whitespace-normal"/>
      </w:pPr>
      <w:r>
        <w:rPr>
          <w:rStyle w:val="Fett"/>
          <w:rFonts w:eastAsiaTheme="majorEastAsia"/>
        </w:rPr>
        <w:t>Hebräisch:</w:t>
      </w:r>
      <w:r>
        <w:t xml:space="preserve"> </w:t>
      </w:r>
      <w:r>
        <w:rPr>
          <w:rtl/>
        </w:rPr>
        <w:t>וּנְתָֽנְךָ יְהוָה לְרֹאשׁ וְלֹא לְזָנָב וְהָיִיתָ רַק לְמַעְלָה וְלֹא תִהְיֶה לְמָטָּה כִּֽי־תִשְׁמַע אֶל־מִצְוֹת יְהוָה אֱלֹהֶיךָ אֲשֶׁר אָנֹכִי מְצַוְּךָ הַיּוֹם לִשְׁמֹר וְלַעֲשֽׂוֹת׃</w:t>
      </w:r>
    </w:p>
    <w:p w14:paraId="0A2A5059" w14:textId="77777777" w:rsidR="00A709A3" w:rsidRDefault="00A709A3" w:rsidP="00A709A3">
      <w:pPr>
        <w:pStyle w:val="whitespace-normal"/>
      </w:pPr>
      <w:r>
        <w:rPr>
          <w:rStyle w:val="Fett"/>
          <w:rFonts w:eastAsiaTheme="majorEastAsia"/>
        </w:rPr>
        <w:t>Deutsch:</w:t>
      </w:r>
      <w:r>
        <w:t xml:space="preserve"> Und JHWH wird dich zum Haupt machen und nicht zum Schwanz, und du wirst nur oben sein und nicht unten, wenn du gehorchst den Geboten des JHWH, deines Gottes, die ich dir heute gebiete, sie zu bewahren und zu tun.</w:t>
      </w:r>
    </w:p>
    <w:p w14:paraId="14590C8C" w14:textId="77777777" w:rsidR="00A709A3" w:rsidRDefault="004F5CEB" w:rsidP="00A709A3">
      <w:r>
        <w:rPr>
          <w:noProof/>
        </w:rPr>
        <w:pict w14:anchorId="37EDA4BF">
          <v:rect id="_x0000_i1757" style="width:0;height:1.5pt" o:hralign="center" o:hrstd="t" o:hr="t" fillcolor="#a0a0a0" stroked="f"/>
        </w:pict>
      </w:r>
    </w:p>
    <w:p w14:paraId="374322C3"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וּנְתָנְךָ יְהוָה לְרֹאשׁ וְלֹא לְזָנָב וְהָיִיתָ רַק לְמַעְלָה וְלֹא תִהְיֶה לְמָטָּה כִּי־תִשְׁמַע אֶל־מִצְוֹת יְהוָה אֱלֹהֶיךָ אֲשֶׁר אָנֹכִי מְצַוְּךָ הַיּוֹם לִשְׁמֹר וְלַעֲשׂוֹת</w:t>
      </w:r>
      <w:r>
        <w:rPr>
          <w:rtl/>
        </w:rPr>
        <w:t xml:space="preserve"> </w:t>
      </w:r>
      <w:r>
        <w:t xml:space="preserve">sind zwei Verheißungen mit Bedingung: </w:t>
      </w:r>
      <w:r>
        <w:rPr>
          <w:rStyle w:val="Fett"/>
          <w:rFonts w:eastAsiaTheme="majorEastAsia"/>
          <w:rtl/>
        </w:rPr>
        <w:t>וּנְתָנְךָ יְהוָה לְרֹאשׁ וְלֹא לְזָנָב</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נתן</w:t>
      </w:r>
      <w:r>
        <w:t xml:space="preserve">, Qal Perfekt, 3. Person Maskulinum Singular, mit Suffix 2. Person Maskulinum Singular, </w:t>
      </w:r>
      <w:r>
        <w:rPr>
          <w:rStyle w:val="Fett"/>
          <w:rFonts w:eastAsiaTheme="majorEastAsia"/>
          <w:rtl/>
        </w:rPr>
        <w:t>יְהוָה</w:t>
      </w:r>
      <w:r>
        <w:rPr>
          <w:rtl/>
        </w:rPr>
        <w:t xml:space="preserve"> </w:t>
      </w:r>
      <w:r>
        <w:t xml:space="preserve">als Subjekt, Präposition </w:t>
      </w:r>
      <w:r>
        <w:rPr>
          <w:rStyle w:val="Fett"/>
          <w:rFonts w:eastAsiaTheme="majorEastAsia"/>
          <w:rtl/>
        </w:rPr>
        <w:t>לְ</w:t>
      </w:r>
      <w:r>
        <w:rPr>
          <w:rtl/>
        </w:rPr>
        <w:t xml:space="preserve"> </w:t>
      </w:r>
      <w:r>
        <w:t xml:space="preserve">mit </w:t>
      </w:r>
      <w:r>
        <w:rPr>
          <w:rStyle w:val="Fett"/>
          <w:rFonts w:eastAsiaTheme="majorEastAsia"/>
          <w:rtl/>
        </w:rPr>
        <w:t>רֹאשׁ</w:t>
      </w:r>
      <w:r>
        <w:t xml:space="preserve">, „Haupt, </w:t>
      </w:r>
      <w:r>
        <w:lastRenderedPageBreak/>
        <w:t xml:space="preserve">Kopf", koordiniert durch </w:t>
      </w:r>
      <w:r>
        <w:rPr>
          <w:rStyle w:val="Fett"/>
          <w:rFonts w:eastAsiaTheme="majorEastAsia"/>
          <w:rtl/>
        </w:rPr>
        <w:t>וְ</w:t>
      </w:r>
      <w:r>
        <w:rPr>
          <w:rtl/>
        </w:rPr>
        <w:t xml:space="preserve"> </w:t>
      </w:r>
      <w:r>
        <w:t xml:space="preserve">mit Negation, Präposition </w:t>
      </w:r>
      <w:r>
        <w:rPr>
          <w:rStyle w:val="Fett"/>
          <w:rFonts w:eastAsiaTheme="majorEastAsia"/>
          <w:rtl/>
        </w:rPr>
        <w:t>לְ</w:t>
      </w:r>
      <w:r>
        <w:rPr>
          <w:rtl/>
        </w:rPr>
        <w:t xml:space="preserve"> </w:t>
      </w:r>
      <w:r>
        <w:t xml:space="preserve">mit </w:t>
      </w:r>
      <w:r>
        <w:rPr>
          <w:rStyle w:val="Fett"/>
          <w:rFonts w:eastAsiaTheme="majorEastAsia"/>
          <w:rtl/>
        </w:rPr>
        <w:t>זָנָב</w:t>
      </w:r>
      <w:r>
        <w:t xml:space="preserve">, „Schwanz", mit </w:t>
      </w:r>
      <w:r>
        <w:rPr>
          <w:rStyle w:val="Fett"/>
          <w:rFonts w:eastAsiaTheme="majorEastAsia"/>
        </w:rPr>
        <w:t>Waw</w:t>
      </w:r>
      <w:r>
        <w:t xml:space="preserve"> consecutives Perfekt), </w:t>
      </w:r>
      <w:r>
        <w:rPr>
          <w:rStyle w:val="Fett"/>
          <w:rFonts w:eastAsiaTheme="majorEastAsia"/>
          <w:rtl/>
        </w:rPr>
        <w:t>וְהָיִיתָ רַק לְמַעְלָה וְלֹא תִהְיֶה לְמָטָּה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2. Person Maskulinum Singular, </w:t>
      </w:r>
      <w:r>
        <w:rPr>
          <w:rStyle w:val="Fett"/>
          <w:rFonts w:eastAsiaTheme="majorEastAsia"/>
          <w:rtl/>
        </w:rPr>
        <w:t>רַק</w:t>
      </w:r>
      <w:r>
        <w:t xml:space="preserve">, „nur, allein", Präposition </w:t>
      </w:r>
      <w:r>
        <w:rPr>
          <w:rStyle w:val="Fett"/>
          <w:rFonts w:eastAsiaTheme="majorEastAsia"/>
          <w:rtl/>
        </w:rPr>
        <w:t>לְ</w:t>
      </w:r>
      <w:r>
        <w:rPr>
          <w:rtl/>
        </w:rPr>
        <w:t xml:space="preserve"> </w:t>
      </w:r>
      <w:r>
        <w:t xml:space="preserve">mit </w:t>
      </w:r>
      <w:r>
        <w:rPr>
          <w:rStyle w:val="Fett"/>
          <w:rFonts w:eastAsiaTheme="majorEastAsia"/>
          <w:rtl/>
        </w:rPr>
        <w:t>מַעְלָה</w:t>
      </w:r>
      <w:r>
        <w:t xml:space="preserve">, „oben", koordiniert durch </w:t>
      </w:r>
      <w:r>
        <w:rPr>
          <w:rStyle w:val="Fett"/>
          <w:rFonts w:eastAsiaTheme="majorEastAsia"/>
          <w:rtl/>
        </w:rPr>
        <w:t>וְ</w:t>
      </w:r>
      <w:r>
        <w:rPr>
          <w:rtl/>
        </w:rPr>
        <w:t xml:space="preserve"> </w:t>
      </w:r>
      <w:r>
        <w:t xml:space="preserve">mit Negation, </w:t>
      </w:r>
      <w:r>
        <w:rPr>
          <w:rStyle w:val="Fett"/>
          <w:rFonts w:eastAsiaTheme="majorEastAsia"/>
          <w:rtl/>
        </w:rPr>
        <w:t>היה</w:t>
      </w:r>
      <w:r>
        <w:t xml:space="preserve">, Qal Imperfekt, 2. Person Maskulinum Singular, Präposition </w:t>
      </w:r>
      <w:r>
        <w:rPr>
          <w:rStyle w:val="Fett"/>
          <w:rFonts w:eastAsiaTheme="majorEastAsia"/>
          <w:rtl/>
        </w:rPr>
        <w:t>לְ</w:t>
      </w:r>
      <w:r>
        <w:rPr>
          <w:rtl/>
        </w:rPr>
        <w:t xml:space="preserve"> </w:t>
      </w:r>
      <w:r>
        <w:t xml:space="preserve">mit </w:t>
      </w:r>
      <w:r>
        <w:rPr>
          <w:rStyle w:val="Fett"/>
          <w:rFonts w:eastAsiaTheme="majorEastAsia"/>
          <w:rtl/>
        </w:rPr>
        <w:t>מַטָּה</w:t>
      </w:r>
      <w:r>
        <w:t xml:space="preserve">, „unten", mit </w:t>
      </w:r>
      <w:r>
        <w:rPr>
          <w:rStyle w:val="Fett"/>
          <w:rFonts w:eastAsiaTheme="majorEastAsia"/>
        </w:rPr>
        <w:t>Waw</w:t>
      </w:r>
      <w:r>
        <w:t xml:space="preserve"> consecutives Perfekt), </w:t>
      </w:r>
      <w:r>
        <w:rPr>
          <w:rStyle w:val="Fett"/>
          <w:rFonts w:eastAsiaTheme="majorEastAsia"/>
          <w:rtl/>
        </w:rPr>
        <w:t>כִּי־תִשְׁמַע אֶל־מִצְוֹת יְהוָה אֱלֹהֶיךָ אֲשֶׁר אָנֹכִי מְצַוְּךָ הַיּוֹם לִשְׁמֹר וְלַעֲשׂוֹת</w:t>
      </w:r>
      <w:r>
        <w:rPr>
          <w:rtl/>
        </w:rPr>
        <w:t xml:space="preserve"> </w:t>
      </w:r>
      <w:r>
        <w:t>(Bedingungssatz wie üblich).</w:t>
      </w:r>
    </w:p>
    <w:p w14:paraId="25996CC1" w14:textId="473B94D6" w:rsidR="00A709A3" w:rsidRDefault="00A709A3" w:rsidP="00A709A3">
      <w:pPr>
        <w:pStyle w:val="whitespace-normal"/>
      </w:pPr>
      <w:r>
        <w:t xml:space="preserve">Der Vers verwendet zwei Metaphernpaare für Überlegenheit. Die erste Verheißung: </w:t>
      </w:r>
      <w:r>
        <w:rPr>
          <w:rStyle w:val="Fett"/>
          <w:rFonts w:eastAsiaTheme="majorEastAsia"/>
          <w:rtl/>
        </w:rPr>
        <w:t>וּנְתָנְךָ יְהוָה לְרֹאשׁ וְלֹא לְזָנָב</w:t>
      </w:r>
      <w:r>
        <w:rPr>
          <w:rtl/>
        </w:rPr>
        <w:t xml:space="preserve"> </w:t>
      </w:r>
      <w:r>
        <w:t xml:space="preserve">(„und machen wird dich JHWH zum Haupt und nicht zum Schwanz"). Die Metapher „Haupt – Schwanz" – Führung vs. Nachfolge (vgl. Jes 9,13-14; 19,15). Die zweite Verheißung: </w:t>
      </w:r>
      <w:r>
        <w:rPr>
          <w:rStyle w:val="Fett"/>
          <w:rFonts w:eastAsiaTheme="majorEastAsia"/>
          <w:rtl/>
        </w:rPr>
        <w:t>וְהָיִיתָ רַק לְמַעְלָה וְלֹא תִהְיֶה לְמָטָּה</w:t>
      </w:r>
      <w:r>
        <w:rPr>
          <w:rtl/>
        </w:rPr>
        <w:t xml:space="preserve"> </w:t>
      </w:r>
      <w:r>
        <w:t xml:space="preserve">(„und sein wirst du nur oben und nicht wirst du sein unten"). Die Metapher „oben – unten" – Überlegenheit vs. Unterlegenheit. Das Adverb </w:t>
      </w:r>
      <w:r>
        <w:rPr>
          <w:rStyle w:val="Fett"/>
          <w:rFonts w:eastAsiaTheme="majorEastAsia"/>
          <w:rtl/>
        </w:rPr>
        <w:t>רַק</w:t>
      </w:r>
      <w:r>
        <w:rPr>
          <w:rtl/>
        </w:rPr>
        <w:t xml:space="preserve"> </w:t>
      </w:r>
      <w:r>
        <w:t xml:space="preserve">(„nur, allein") verstärkt: ausschließlich oben. Die Bedingung: </w:t>
      </w:r>
      <w:r>
        <w:rPr>
          <w:rStyle w:val="Fett"/>
          <w:rFonts w:eastAsiaTheme="majorEastAsia"/>
          <w:rtl/>
        </w:rPr>
        <w:t>כִּי־תִשְׁמַע אֶל־מִצְוֹת יְהוָה אֱלֹהֶיךָ אֲשֶׁר אָנֹכִי מְצַוְּךָ הַיּוֹם לִשְׁמֹר וְלַעֲשׂוֹת</w:t>
      </w:r>
      <w:r>
        <w:rPr>
          <w:rtl/>
        </w:rPr>
        <w:t xml:space="preserve"> </w:t>
      </w:r>
      <w:r>
        <w:t xml:space="preserve">(„wenn du gehorchst den Geboten </w:t>
      </w:r>
      <w:r w:rsidR="00DF3D1A">
        <w:t>JHWHs</w:t>
      </w:r>
      <w:r>
        <w:t>, deines Gottes, die ich dir heute gebiete, sie zu bewahren und zu tun") – Wiederholung der Gehorsamsbedingung.</w:t>
      </w:r>
    </w:p>
    <w:p w14:paraId="09EE00C2" w14:textId="5FDFA41C" w:rsidR="00A709A3" w:rsidRDefault="00A709A3" w:rsidP="00A709A3">
      <w:pPr>
        <w:pStyle w:val="whitespace-normal"/>
      </w:pPr>
      <w:r>
        <w:rPr>
          <w:rStyle w:val="Fett"/>
          <w:rFonts w:eastAsiaTheme="majorEastAsia"/>
        </w:rPr>
        <w:t>Die Satzstruktur:</w:t>
      </w:r>
      <w:r>
        <w:t xml:space="preserve"> Zwei Verheißungen mit Bedingung (und machen wird dich JHWH zum Haupt und nicht zum Schwanz, und sein wirst du nur oben und nicht wirst du sein unten, wenn du gehorchst den Geboten </w:t>
      </w:r>
      <w:r w:rsidR="00DF3D1A">
        <w:t>JHWHs</w:t>
      </w:r>
      <w:r>
        <w:t>, deines Gottes, die ich dir heute gebiete, sie zu bewahren und zu tun).</w:t>
      </w:r>
    </w:p>
    <w:p w14:paraId="2DCA9B34" w14:textId="04D16941" w:rsidR="00A709A3" w:rsidRDefault="00A709A3" w:rsidP="00705F3D">
      <w:pPr>
        <w:pStyle w:val="whitespace-normal"/>
      </w:pPr>
      <w:r>
        <w:rPr>
          <w:rStyle w:val="Fett"/>
          <w:rFonts w:eastAsiaTheme="majorEastAsia"/>
        </w:rPr>
        <w:t>Der Vers beschreibt:</w:t>
      </w:r>
      <w:r>
        <w:t xml:space="preserve"> Vorrangstellung – Israel als Haupt/oben, nicht Schwanz/unten bei Gehorsam.</w:t>
      </w:r>
    </w:p>
    <w:p w14:paraId="50B0E21F" w14:textId="77777777" w:rsidR="00A709A3" w:rsidRPr="00564C2A" w:rsidRDefault="00A709A3" w:rsidP="00564C2A">
      <w:pPr>
        <w:pStyle w:val="Bibelberschrift"/>
      </w:pPr>
      <w:r w:rsidRPr="00564C2A">
        <w:rPr>
          <w:rStyle w:val="Fett"/>
          <w:b/>
          <w:bCs w:val="0"/>
        </w:rPr>
        <w:t>Deuteronomium 28,14</w:t>
      </w:r>
    </w:p>
    <w:p w14:paraId="2CDF9D00" w14:textId="77777777" w:rsidR="00A709A3" w:rsidRDefault="00A709A3" w:rsidP="00A709A3">
      <w:pPr>
        <w:pStyle w:val="whitespace-normal"/>
      </w:pPr>
      <w:r>
        <w:rPr>
          <w:rStyle w:val="Fett"/>
          <w:rFonts w:eastAsiaTheme="majorEastAsia"/>
        </w:rPr>
        <w:t>Hebräisch:</w:t>
      </w:r>
      <w:r>
        <w:t xml:space="preserve"> </w:t>
      </w:r>
      <w:r>
        <w:rPr>
          <w:rtl/>
        </w:rPr>
        <w:t>וְלֹא תָסוּר מִכָּל־הַדְּבָרִים אֲשֶׁר אָנֹכִי מְצַוֶּה אֶתְכֶם הַיּוֹם יָמִין וּשְׂמֹאול לָלֶכֶת אַחֲרֵי אֱלֹהִים אֲחֵרִים לְעָבְדָֽם׃</w:t>
      </w:r>
    </w:p>
    <w:p w14:paraId="1996C565" w14:textId="77777777" w:rsidR="00A709A3" w:rsidRDefault="00A709A3" w:rsidP="00A709A3">
      <w:pPr>
        <w:pStyle w:val="whitespace-normal"/>
      </w:pPr>
      <w:r>
        <w:rPr>
          <w:rStyle w:val="Fett"/>
          <w:rFonts w:eastAsiaTheme="majorEastAsia"/>
        </w:rPr>
        <w:t>Deutsch:</w:t>
      </w:r>
      <w:r>
        <w:t xml:space="preserve"> Und nicht abweichen sollst du von allen Worten, die ich euch heute gebiete, weder nach rechts noch nach links, um anderen Göttern nachzugehen, ihnen zu dienen.</w:t>
      </w:r>
    </w:p>
    <w:p w14:paraId="481F769A" w14:textId="77777777" w:rsidR="00A709A3" w:rsidRDefault="004F5CEB" w:rsidP="00A709A3">
      <w:r>
        <w:rPr>
          <w:noProof/>
        </w:rPr>
        <w:pict w14:anchorId="54F4E7B6">
          <v:rect id="_x0000_i1758" style="width:0;height:1.5pt" o:hralign="center" o:hrstd="t" o:hr="t" fillcolor="#a0a0a0" stroked="f"/>
        </w:pict>
      </w:r>
    </w:p>
    <w:p w14:paraId="7A15D3A6"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וְלֹא תָסוּר מִכָּל־הַדְּבָרִים אֲשֶׁר אָנֹכִי מְצַוֶּה אֶתְכֶם הַיּוֹם יָמִין וּשְׂמֹאול לָלֶכֶת אַחֲרֵי אֱלֹהִים אֲחֵרִים לְעָבְדָם</w:t>
      </w:r>
      <w:r>
        <w:rPr>
          <w:rtl/>
        </w:rPr>
        <w:t xml:space="preserve"> </w:t>
      </w:r>
      <w:r>
        <w:t xml:space="preserve">ist eine negative Anweisung mit Finalsatz: </w:t>
      </w:r>
      <w:r>
        <w:rPr>
          <w:rStyle w:val="Fett"/>
          <w:rFonts w:eastAsiaTheme="majorEastAsia"/>
          <w:rtl/>
        </w:rPr>
        <w:t>וְלֹא תָסוּר מִכָּל־הַדְּבָרִים אֲשֶׁר אָנֹכִי מְצַוֶּה אֶתְכֶם הַיּוֹם יָמִין וּשְׂמֹאול</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סור</w:t>
      </w:r>
      <w:r>
        <w:t xml:space="preserve">, Qal Imperfekt, 2. Person Maskulinum Singular, „abweichen", Präposition </w:t>
      </w:r>
      <w:r>
        <w:rPr>
          <w:rStyle w:val="Fett"/>
          <w:rFonts w:eastAsiaTheme="majorEastAsia"/>
          <w:rtl/>
        </w:rPr>
        <w:t>מִן</w:t>
      </w:r>
      <w:r>
        <w:rPr>
          <w:rtl/>
        </w:rPr>
        <w:t xml:space="preserve"> </w:t>
      </w:r>
      <w:r>
        <w:t xml:space="preserve">mit </w:t>
      </w:r>
      <w:r>
        <w:rPr>
          <w:rStyle w:val="Fett"/>
          <w:rFonts w:eastAsiaTheme="majorEastAsia"/>
          <w:rtl/>
        </w:rPr>
        <w:t>כָּל־דָּבָר</w:t>
      </w:r>
      <w:r>
        <w:rPr>
          <w:rtl/>
        </w:rPr>
        <w:t xml:space="preserve"> </w:t>
      </w:r>
      <w:r>
        <w:t xml:space="preserve">Plural mit Artikel, Relativsatz wie üblich, </w:t>
      </w:r>
      <w:r>
        <w:rPr>
          <w:rStyle w:val="Fett"/>
          <w:rFonts w:eastAsiaTheme="majorEastAsia"/>
          <w:rtl/>
        </w:rPr>
        <w:t>יָמִין</w:t>
      </w:r>
      <w:r>
        <w:t xml:space="preserve">, „rechts", </w:t>
      </w:r>
      <w:r>
        <w:rPr>
          <w:rStyle w:val="Fett"/>
          <w:rFonts w:eastAsiaTheme="majorEastAsia"/>
          <w:rtl/>
        </w:rPr>
        <w:t>וּשְׂמֹאול</w:t>
      </w:r>
      <w:r>
        <w:t xml:space="preserve">, „und links"), </w:t>
      </w:r>
      <w:r>
        <w:rPr>
          <w:rStyle w:val="Fett"/>
          <w:rFonts w:eastAsiaTheme="majorEastAsia"/>
          <w:rtl/>
        </w:rPr>
        <w:t>לָלֶכֶת אַחֲרֵי אֱלֹהִים אֲחֵרִים לְעָבְדָם</w:t>
      </w:r>
      <w:r>
        <w:rPr>
          <w:rtl/>
        </w:rPr>
        <w:t xml:space="preserve"> </w:t>
      </w:r>
      <w:r>
        <w:t xml:space="preserve">(Finalsatz mit Präposition </w:t>
      </w:r>
      <w:r>
        <w:rPr>
          <w:rStyle w:val="Fett"/>
          <w:rFonts w:eastAsiaTheme="majorEastAsia"/>
          <w:rtl/>
        </w:rPr>
        <w:t>לְ</w:t>
      </w:r>
      <w:r>
        <w:rPr>
          <w:rtl/>
        </w:rPr>
        <w:t xml:space="preserve"> </w:t>
      </w:r>
      <w:r>
        <w:t xml:space="preserve">+ Qal Infinitiv Construct von </w:t>
      </w:r>
      <w:r>
        <w:rPr>
          <w:rStyle w:val="Fett"/>
          <w:rFonts w:eastAsiaTheme="majorEastAsia"/>
          <w:rtl/>
        </w:rPr>
        <w:t>הלך</w:t>
      </w:r>
      <w:r>
        <w:t xml:space="preserve">, </w:t>
      </w:r>
      <w:r>
        <w:rPr>
          <w:rStyle w:val="Fett"/>
          <w:rFonts w:eastAsiaTheme="majorEastAsia"/>
          <w:rtl/>
        </w:rPr>
        <w:t>אַחֲרֵי</w:t>
      </w:r>
      <w:r>
        <w:t xml:space="preserve">, „nach, hinter", </w:t>
      </w:r>
      <w:r>
        <w:rPr>
          <w:rStyle w:val="Fett"/>
          <w:rFonts w:eastAsiaTheme="majorEastAsia"/>
          <w:rtl/>
        </w:rPr>
        <w:t>אֱלֹהִים אֲחֵרִים</w:t>
      </w:r>
      <w:r>
        <w:t xml:space="preserve">, weiterer Finalsatz mit </w:t>
      </w:r>
      <w:r>
        <w:rPr>
          <w:rStyle w:val="Fett"/>
          <w:rFonts w:eastAsiaTheme="majorEastAsia"/>
          <w:rtl/>
        </w:rPr>
        <w:t>עבד</w:t>
      </w:r>
      <w:r>
        <w:rPr>
          <w:rtl/>
        </w:rPr>
        <w:t xml:space="preserve"> </w:t>
      </w:r>
      <w:r>
        <w:t>+ Suffix).</w:t>
      </w:r>
    </w:p>
    <w:p w14:paraId="3265821D" w14:textId="06E87A76" w:rsidR="00A709A3" w:rsidRDefault="00A709A3" w:rsidP="00A709A3">
      <w:pPr>
        <w:pStyle w:val="whitespace-normal"/>
      </w:pPr>
      <w:r>
        <w:t xml:space="preserve">Der Vers schließt den Segensabschnitt mit einer Warnung vor Götzendienst ab. Die Anweisung: </w:t>
      </w:r>
      <w:r>
        <w:rPr>
          <w:rStyle w:val="Fett"/>
          <w:rFonts w:eastAsiaTheme="majorEastAsia"/>
          <w:rtl/>
        </w:rPr>
        <w:t>וְלֹא תָסוּר מִכָּל־הַדְּבָרִים אֲשֶׁר אָנֹכִי מְצַוֶּה אֶתְכֶם הַיּוֹם יָמִין וּשְׂמֹאול</w:t>
      </w:r>
      <w:r>
        <w:rPr>
          <w:rtl/>
        </w:rPr>
        <w:t xml:space="preserve"> </w:t>
      </w:r>
      <w:r>
        <w:t xml:space="preserve">(„und nicht abweichen sollst du von allen Worten, die ich euch heute gebiete, weder nach rechts noch nach links"). Die Formulierung </w:t>
      </w:r>
      <w:r>
        <w:rPr>
          <w:rStyle w:val="Fett"/>
          <w:rFonts w:eastAsiaTheme="majorEastAsia"/>
          <w:rtl/>
        </w:rPr>
        <w:t>יָמִין וּשְׂמֹאול</w:t>
      </w:r>
      <w:r>
        <w:rPr>
          <w:rtl/>
        </w:rPr>
        <w:t xml:space="preserve"> </w:t>
      </w:r>
      <w:r>
        <w:t xml:space="preserve">(„rechts und links") ist ein Merismus für jede Abweichung (vgl. 5,32; 17,11.20; Jos 1,7; 23,6). Der Finalsatz: </w:t>
      </w:r>
      <w:r>
        <w:rPr>
          <w:rStyle w:val="Fett"/>
          <w:rFonts w:eastAsiaTheme="majorEastAsia"/>
          <w:rtl/>
        </w:rPr>
        <w:t>לָלֶכֶת אַחֲרֵי אֱלֹהִים אֲחֵרִים לְעָבְדָם</w:t>
      </w:r>
      <w:r>
        <w:rPr>
          <w:rtl/>
        </w:rPr>
        <w:t xml:space="preserve"> </w:t>
      </w:r>
      <w:r>
        <w:t xml:space="preserve">(„um nachzugehen </w:t>
      </w:r>
      <w:r>
        <w:lastRenderedPageBreak/>
        <w:t xml:space="preserve">anderen Göttern, ihnen zu dienen"). Die Formulierung </w:t>
      </w:r>
      <w:r>
        <w:rPr>
          <w:rStyle w:val="Fett"/>
          <w:rFonts w:eastAsiaTheme="majorEastAsia"/>
          <w:rtl/>
        </w:rPr>
        <w:t>אֱלֹהִים אֲחֵרִים</w:t>
      </w:r>
      <w:r>
        <w:rPr>
          <w:rtl/>
        </w:rPr>
        <w:t xml:space="preserve"> </w:t>
      </w:r>
      <w:r>
        <w:t xml:space="preserve">(„andere Götter") ist die zentrale </w:t>
      </w:r>
      <w:r w:rsidR="00D84597">
        <w:t>Gefahr</w:t>
      </w:r>
      <w:r>
        <w:t xml:space="preserve"> (vgl. 6,14; 8,19; 11,16.28; 13,3.7.14). Die </w:t>
      </w:r>
      <w:r>
        <w:rPr>
          <w:rStyle w:val="Fett"/>
          <w:rFonts w:eastAsiaTheme="majorEastAsia"/>
        </w:rPr>
        <w:t>Setumah</w:t>
      </w:r>
      <w:r>
        <w:t xml:space="preserve"> (</w:t>
      </w:r>
      <w:r>
        <w:rPr>
          <w:rtl/>
        </w:rPr>
        <w:t>ס</w:t>
      </w:r>
      <w:r>
        <w:t>) markiert das Ende des Segensabschnitts (V. 1-14). V. 15 beginnt den viel längeren Fluchabschnitt (V. 15-68).</w:t>
      </w:r>
    </w:p>
    <w:p w14:paraId="7B3D6148" w14:textId="77777777" w:rsidR="00A709A3" w:rsidRDefault="00A709A3" w:rsidP="00A709A3">
      <w:pPr>
        <w:pStyle w:val="whitespace-normal"/>
      </w:pPr>
      <w:r>
        <w:rPr>
          <w:rStyle w:val="Fett"/>
          <w:rFonts w:eastAsiaTheme="majorEastAsia"/>
        </w:rPr>
        <w:t>Die Satzstruktur:</w:t>
      </w:r>
      <w:r>
        <w:t xml:space="preserve"> Negative Anweisung mit Finalsatz (und nicht abweichen sollst du von allen Worten, die ich euch heute gebiete, weder nach rechts noch nach links, um nachzugehen anderen Göttern, ihnen zu dienen).</w:t>
      </w:r>
    </w:p>
    <w:p w14:paraId="7CCA03AF" w14:textId="77777777" w:rsidR="00A709A3" w:rsidRDefault="00A709A3" w:rsidP="00A709A3">
      <w:pPr>
        <w:pStyle w:val="whitespace-normal"/>
      </w:pPr>
      <w:r>
        <w:rPr>
          <w:rStyle w:val="Fett"/>
          <w:rFonts w:eastAsiaTheme="majorEastAsia"/>
        </w:rPr>
        <w:t>Der Vers beschreibt:</w:t>
      </w:r>
      <w:r>
        <w:t xml:space="preserve"> Abschlusswarnung – keine Abweichung, besonders kein Götzendienst.</w:t>
      </w:r>
    </w:p>
    <w:p w14:paraId="6D1BCD4B" w14:textId="77777777" w:rsidR="00A709A3" w:rsidRPr="00564C2A" w:rsidRDefault="00A709A3" w:rsidP="00564C2A">
      <w:pPr>
        <w:pStyle w:val="Bibelberschrift"/>
      </w:pPr>
      <w:r w:rsidRPr="00564C2A">
        <w:rPr>
          <w:rStyle w:val="Fett"/>
          <w:b/>
          <w:bCs w:val="0"/>
        </w:rPr>
        <w:t>Deuteronomium 28,15</w:t>
      </w:r>
    </w:p>
    <w:p w14:paraId="5E9FA9C9" w14:textId="77777777" w:rsidR="00A709A3" w:rsidRDefault="00A709A3" w:rsidP="00A709A3">
      <w:pPr>
        <w:pStyle w:val="whitespace-normal"/>
      </w:pPr>
      <w:r>
        <w:rPr>
          <w:rStyle w:val="Fett"/>
          <w:rFonts w:eastAsiaTheme="majorEastAsia"/>
        </w:rPr>
        <w:t>Hebräisch:</w:t>
      </w:r>
      <w:r>
        <w:t xml:space="preserve"> </w:t>
      </w:r>
      <w:r>
        <w:rPr>
          <w:rtl/>
        </w:rPr>
        <w:t>וְהָיָה אִם־לֹא תִשְׁמַע בְּקוֹל יְהוָה אֱלֹהֶיךָ לִשְׁמֹר לַעֲשׂוֹת אֶת־כָּל־מִצְוֹתָיו וְחֻקֹּתָיו אֲשֶׁר אָנֹכִי מְצַוְּךָ הַיּוֹם וּבָאוּ עָלֶיךָ כָּל־הַקְּלָלוֹת הָאֵלֶּה וְהִשִּׂיגֽוּךָ׃</w:t>
      </w:r>
    </w:p>
    <w:p w14:paraId="2E416175" w14:textId="51105E3E" w:rsidR="00A709A3" w:rsidRDefault="00A709A3" w:rsidP="00A709A3">
      <w:pPr>
        <w:pStyle w:val="whitespace-normal"/>
      </w:pPr>
      <w:r>
        <w:rPr>
          <w:rStyle w:val="Fett"/>
          <w:rFonts w:eastAsiaTheme="majorEastAsia"/>
        </w:rPr>
        <w:t>Deutsch:</w:t>
      </w:r>
      <w:r>
        <w:t xml:space="preserve"> Es wird aber geschehen, wenn du der Stimme des </w:t>
      </w:r>
      <w:r w:rsidR="00C50326">
        <w:t>Ewigen</w:t>
      </w:r>
      <w:r>
        <w:t>, deines Gottes, nicht gehorchst, um zu bewahren und zu tun alle seine Gebote und seine Satzungen, die ich dir heute gebiete, so werden alle diese Flüche über dich kommen und dich erreichen.</w:t>
      </w:r>
    </w:p>
    <w:p w14:paraId="1D448C63" w14:textId="77777777" w:rsidR="00A709A3" w:rsidRDefault="004F5CEB" w:rsidP="00A709A3">
      <w:r>
        <w:rPr>
          <w:noProof/>
        </w:rPr>
        <w:pict w14:anchorId="5372C50E">
          <v:rect id="_x0000_i1759" style="width:0;height:1.5pt" o:hralign="center" o:hrstd="t" o:hr="t" fillcolor="#a0a0a0" stroked="f"/>
        </w:pict>
      </w:r>
    </w:p>
    <w:p w14:paraId="69CA855C" w14:textId="0578DC40" w:rsidR="00A709A3" w:rsidRDefault="00A709A3" w:rsidP="00A709A3">
      <w:pPr>
        <w:pStyle w:val="whitespace-normal"/>
      </w:pPr>
      <w:r>
        <w:rPr>
          <w:rStyle w:val="Fett"/>
          <w:rFonts w:eastAsiaTheme="majorEastAsia"/>
        </w:rPr>
        <w:t>Kommentar:</w:t>
      </w:r>
      <w:r>
        <w:t xml:space="preserve"> </w:t>
      </w:r>
      <w:r>
        <w:rPr>
          <w:rStyle w:val="Fett"/>
          <w:rFonts w:eastAsiaTheme="majorEastAsia"/>
          <w:rtl/>
        </w:rPr>
        <w:t>וְהָיָה אִם־לֹא תִשְׁמַע בְּקוֹל יְהוָה אֱלֹהֶיךָ לִשְׁמֹר לַעֲשׂוֹת אֶת־כָּל־מִצְוֹתָיו וְחֻקֹּתָיו אֲשֶׁר אָנֹכִי מְצַוְּךָ הַיּוֹם וּבָאוּ עָלֶיךָ כָּל־הַקְּלָלוֹת הָאֵלֶּה וְהִשִּׂיגוּךָ</w:t>
      </w:r>
      <w:r>
        <w:rPr>
          <w:rtl/>
        </w:rPr>
        <w:t xml:space="preserve"> </w:t>
      </w:r>
      <w:r>
        <w:t>ist die Einleitung de</w:t>
      </w:r>
      <w:r w:rsidR="001E0205">
        <w:t>r</w:t>
      </w:r>
      <w:r>
        <w:t xml:space="preserve"> </w:t>
      </w:r>
      <w:r w:rsidR="001E0205">
        <w:t>Gerichtsansage</w:t>
      </w:r>
      <w:r>
        <w:t xml:space="preserve">, parallel zu V. 1-2: </w:t>
      </w:r>
      <w:r>
        <w:rPr>
          <w:rStyle w:val="Fett"/>
          <w:rFonts w:eastAsiaTheme="majorEastAsia"/>
          <w:rtl/>
        </w:rPr>
        <w:t>וְהָיָה אִם־לֹא תִשְׁמַע בְּקוֹל יְהוָה אֱלֹהֶיךָ לִשְׁמֹר לַעֲשׂוֹת אֶת־כָּל־מִצְוֹתָיו וְחֻקֹּתָיו אֲשֶׁר אָנֹכִי מְצַוְּךָ הַיּוֹם</w:t>
      </w:r>
      <w:r>
        <w:rPr>
          <w:rtl/>
        </w:rPr>
        <w:t xml:space="preserve"> </w:t>
      </w:r>
      <w:r>
        <w:t xml:space="preserve">(wie V. 1, aber mit Negation </w:t>
      </w:r>
      <w:r>
        <w:rPr>
          <w:rStyle w:val="Fett"/>
          <w:rFonts w:eastAsiaTheme="majorEastAsia"/>
          <w:rtl/>
        </w:rPr>
        <w:t>לֹא</w:t>
      </w:r>
      <w:r>
        <w:t xml:space="preserve">, und zusätzlich </w:t>
      </w:r>
      <w:r>
        <w:rPr>
          <w:rStyle w:val="Fett"/>
          <w:rFonts w:eastAsiaTheme="majorEastAsia"/>
          <w:rtl/>
        </w:rPr>
        <w:t>חֻקֹּתָיו</w:t>
      </w:r>
      <w:r>
        <w:t xml:space="preserve">, mit </w:t>
      </w:r>
      <w:r>
        <w:rPr>
          <w:rStyle w:val="Fett"/>
          <w:rFonts w:eastAsiaTheme="majorEastAsia"/>
        </w:rPr>
        <w:t>Waw</w:t>
      </w:r>
      <w:r>
        <w:t xml:space="preserve"> consecutives Perfekt), </w:t>
      </w:r>
      <w:r>
        <w:rPr>
          <w:rStyle w:val="Fett"/>
          <w:rFonts w:eastAsiaTheme="majorEastAsia"/>
          <w:rtl/>
        </w:rPr>
        <w:t>וּבָאוּ עָלֶיךָ כָּל־הַקְּלָלוֹת הָאֵלֶּה וְהִשִּׂיגוּךָ</w:t>
      </w:r>
      <w:r>
        <w:rPr>
          <w:rtl/>
        </w:rPr>
        <w:t xml:space="preserve"> </w:t>
      </w:r>
      <w:r>
        <w:t xml:space="preserve">(wie V. 2, aber mit </w:t>
      </w:r>
      <w:r>
        <w:rPr>
          <w:rStyle w:val="Fett"/>
          <w:rFonts w:eastAsiaTheme="majorEastAsia"/>
          <w:rtl/>
        </w:rPr>
        <w:t>קְלָלָה</w:t>
      </w:r>
      <w:r>
        <w:t xml:space="preserve">, „Fluch", Plural, statt </w:t>
      </w:r>
      <w:r>
        <w:rPr>
          <w:rStyle w:val="Fett"/>
          <w:rFonts w:eastAsiaTheme="majorEastAsia"/>
          <w:rtl/>
        </w:rPr>
        <w:t>בְּרָכָה</w:t>
      </w:r>
      <w:r>
        <w:t>).</w:t>
      </w:r>
    </w:p>
    <w:p w14:paraId="196AFAA2" w14:textId="1D95EDFC" w:rsidR="00A709A3" w:rsidRDefault="00A709A3" w:rsidP="00A709A3">
      <w:pPr>
        <w:pStyle w:val="whitespace-normal"/>
      </w:pPr>
      <w:r>
        <w:t xml:space="preserve">Der Vers leitet den Fluchabschnitt ein (V. 15-68), der viermal so lang ist wie der Segensabschnitt (V. 1-14). Die Bedingung: </w:t>
      </w:r>
      <w:r>
        <w:rPr>
          <w:rStyle w:val="Fett"/>
          <w:rFonts w:eastAsiaTheme="majorEastAsia"/>
          <w:rtl/>
        </w:rPr>
        <w:t>וְהָיָה אִם־לֹא תִשְׁמַע בְּקוֹל יְהוָה אֱלֹהֶיךָ לִשְׁמֹר לַעֲשׂוֹת אֶת־כָּל־מִצְוֹתָיו וְחֻקֹּתָיו אֲשֶׁר אָנֹכִי מְצַוְּךָ הַיּוֹם</w:t>
      </w:r>
      <w:r>
        <w:rPr>
          <w:rtl/>
        </w:rPr>
        <w:t xml:space="preserve"> </w:t>
      </w:r>
      <w:r>
        <w:t xml:space="preserve">(„es wird aber geschehen, wenn du nicht gehorchst der Stimme </w:t>
      </w:r>
      <w:r w:rsidR="00DF3D1A">
        <w:t>JHWHs</w:t>
      </w:r>
      <w:r>
        <w:t xml:space="preserve">, deines Gottes, um zu bewahren und zu tun alle seine Gebote und seine Satzungen, die ich dir heute gebiete"). Die Negation des Gehorsams aus V. 1. Die Konsequenz: </w:t>
      </w:r>
      <w:r>
        <w:rPr>
          <w:rStyle w:val="Fett"/>
          <w:rFonts w:eastAsiaTheme="majorEastAsia"/>
          <w:rtl/>
        </w:rPr>
        <w:t>וּבָאוּ עָלֶיךָ כָּל־הַקְּלָלוֹת הָאֵלֶּה וְהִשִּׂיגוּךָ</w:t>
      </w:r>
      <w:r>
        <w:rPr>
          <w:rtl/>
        </w:rPr>
        <w:t xml:space="preserve"> </w:t>
      </w:r>
      <w:r>
        <w:t xml:space="preserve">(„so werden kommen über dich alle diese Flüche und sie werden dich erreichen"). Parallel zu V. 2, aber mit </w:t>
      </w:r>
      <w:r>
        <w:rPr>
          <w:rStyle w:val="Fett"/>
          <w:rFonts w:eastAsiaTheme="majorEastAsia"/>
          <w:rtl/>
        </w:rPr>
        <w:t>קְלָלוֹת</w:t>
      </w:r>
      <w:r>
        <w:rPr>
          <w:rtl/>
        </w:rPr>
        <w:t xml:space="preserve"> </w:t>
      </w:r>
      <w:r>
        <w:t xml:space="preserve">(„Flüche") statt </w:t>
      </w:r>
      <w:r>
        <w:rPr>
          <w:rStyle w:val="Fett"/>
          <w:rFonts w:eastAsiaTheme="majorEastAsia"/>
          <w:rtl/>
        </w:rPr>
        <w:t>בְּרָכוֹת</w:t>
      </w:r>
      <w:r>
        <w:rPr>
          <w:rtl/>
        </w:rPr>
        <w:t xml:space="preserve"> </w:t>
      </w:r>
      <w:r>
        <w:t>(„Segnungen"). Die Flüche werden ebenso aktiv Israel verfolgen wie die Segnungen bei Gehorsam.</w:t>
      </w:r>
    </w:p>
    <w:p w14:paraId="381DD505" w14:textId="38E7FA67" w:rsidR="00A709A3" w:rsidRDefault="00A709A3" w:rsidP="00A709A3">
      <w:pPr>
        <w:pStyle w:val="whitespace-normal"/>
      </w:pPr>
      <w:r>
        <w:rPr>
          <w:rStyle w:val="Fett"/>
          <w:rFonts w:eastAsiaTheme="majorEastAsia"/>
        </w:rPr>
        <w:t>Die Satzstruktur:</w:t>
      </w:r>
      <w:r>
        <w:t xml:space="preserve"> Bedingung mit Konsequenz (es wird aber geschehen, wenn du nicht gehorchst der Stimme </w:t>
      </w:r>
      <w:r w:rsidR="00DF3D1A">
        <w:t>JHWHs</w:t>
      </w:r>
      <w:r>
        <w:t>, deines Gottes, um zu bewahren und zu tun alle seine Gebote und seine Satzungen, die ich dir heute gebiete, so werden kommen über dich alle diese Flüche und sie werden dich erreichen).</w:t>
      </w:r>
    </w:p>
    <w:p w14:paraId="73A7FA24" w14:textId="6A6BFC4D" w:rsidR="00A709A3" w:rsidRDefault="00A709A3" w:rsidP="00564C2A">
      <w:pPr>
        <w:pStyle w:val="whitespace-normal"/>
      </w:pPr>
      <w:r>
        <w:rPr>
          <w:rStyle w:val="Fett"/>
          <w:rFonts w:eastAsiaTheme="majorEastAsia"/>
        </w:rPr>
        <w:t>Der Vers beschreibt:</w:t>
      </w:r>
      <w:r>
        <w:t xml:space="preserve"> Einleitung des </w:t>
      </w:r>
      <w:r w:rsidR="001E0205">
        <w:t>Gerichtsansage</w:t>
      </w:r>
      <w:r>
        <w:t xml:space="preserve"> – bei Ungehorsam kommen alle Flüche über Israel.</w:t>
      </w:r>
    </w:p>
    <w:p w14:paraId="0E3430D7" w14:textId="77777777" w:rsidR="00A709A3" w:rsidRPr="00564C2A" w:rsidRDefault="00A709A3" w:rsidP="00564C2A">
      <w:pPr>
        <w:pStyle w:val="Bibelberschrift"/>
      </w:pPr>
      <w:r w:rsidRPr="00564C2A">
        <w:rPr>
          <w:rStyle w:val="Fett"/>
          <w:b/>
          <w:bCs w:val="0"/>
        </w:rPr>
        <w:lastRenderedPageBreak/>
        <w:t>Deuteronomium 28,16</w:t>
      </w:r>
    </w:p>
    <w:p w14:paraId="03426207" w14:textId="77777777" w:rsidR="00A709A3" w:rsidRDefault="00A709A3" w:rsidP="00A709A3">
      <w:pPr>
        <w:pStyle w:val="whitespace-normal"/>
      </w:pPr>
      <w:r>
        <w:rPr>
          <w:rStyle w:val="Fett"/>
          <w:rFonts w:eastAsiaTheme="majorEastAsia"/>
        </w:rPr>
        <w:t>Hebräisch:</w:t>
      </w:r>
      <w:r>
        <w:t xml:space="preserve"> </w:t>
      </w:r>
      <w:r>
        <w:rPr>
          <w:rtl/>
        </w:rPr>
        <w:t>אָרוּר אַתָּה בָּעִיר וְאָרוּר אַתָּה בַּשָּׂדֶֽה׃</w:t>
      </w:r>
    </w:p>
    <w:p w14:paraId="24B769AE" w14:textId="77777777" w:rsidR="00A709A3" w:rsidRDefault="00A709A3" w:rsidP="00A709A3">
      <w:pPr>
        <w:pStyle w:val="whitespace-normal"/>
      </w:pPr>
      <w:r>
        <w:rPr>
          <w:rStyle w:val="Fett"/>
          <w:rFonts w:eastAsiaTheme="majorEastAsia"/>
        </w:rPr>
        <w:t>Deutsch:</w:t>
      </w:r>
      <w:r>
        <w:t xml:space="preserve"> Verflucht wirst du sein in der Stadt, und verflucht wirst du sein auf dem Feld.</w:t>
      </w:r>
    </w:p>
    <w:p w14:paraId="2B5E0877" w14:textId="77777777" w:rsidR="00A709A3" w:rsidRDefault="004F5CEB" w:rsidP="00A709A3">
      <w:r>
        <w:rPr>
          <w:noProof/>
        </w:rPr>
        <w:pict w14:anchorId="6681C574">
          <v:rect id="_x0000_i1760" style="width:0;height:1.5pt" o:hralign="center" o:hrstd="t" o:hr="t" fillcolor="#a0a0a0" stroked="f"/>
        </w:pict>
      </w:r>
    </w:p>
    <w:p w14:paraId="517775F3"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אָרוּר אַתָּה בָּעִיר וְאָרוּר אַתָּה בַּשָּׂדֶה</w:t>
      </w:r>
      <w:r>
        <w:rPr>
          <w:rtl/>
        </w:rPr>
        <w:t xml:space="preserve"> </w:t>
      </w:r>
      <w:r>
        <w:t xml:space="preserve">– exakte Umkehrung von V. 3, mit </w:t>
      </w:r>
      <w:r>
        <w:rPr>
          <w:rStyle w:val="Fett"/>
          <w:rFonts w:eastAsiaTheme="majorEastAsia"/>
          <w:rtl/>
        </w:rPr>
        <w:t>אָרוּר</w:t>
      </w:r>
      <w:r>
        <w:rPr>
          <w:rtl/>
        </w:rPr>
        <w:t xml:space="preserve"> </w:t>
      </w:r>
      <w:r>
        <w:t xml:space="preserve">(„verflucht") statt </w:t>
      </w:r>
      <w:r>
        <w:rPr>
          <w:rStyle w:val="Fett"/>
          <w:rFonts w:eastAsiaTheme="majorEastAsia"/>
          <w:rtl/>
        </w:rPr>
        <w:t>בָּרוּךְ</w:t>
      </w:r>
      <w:r>
        <w:rPr>
          <w:rtl/>
        </w:rPr>
        <w:t xml:space="preserve"> </w:t>
      </w:r>
      <w:r>
        <w:t>(„gesegnet").</w:t>
      </w:r>
    </w:p>
    <w:p w14:paraId="6EF4D85F" w14:textId="77777777" w:rsidR="00A709A3" w:rsidRDefault="00A709A3" w:rsidP="00A709A3">
      <w:pPr>
        <w:pStyle w:val="whitespace-normal"/>
      </w:pPr>
      <w:r>
        <w:t xml:space="preserve">Der Vers beginnt die konkrete Auflistung der Flüche (V. 16-19), die die Segnungen von V. 3-6 punktgenau umkehren. Die erste Fluchformel: </w:t>
      </w:r>
      <w:r>
        <w:rPr>
          <w:rStyle w:val="Fett"/>
          <w:rFonts w:eastAsiaTheme="majorEastAsia"/>
          <w:rtl/>
        </w:rPr>
        <w:t>אָרוּר אַתָּה בָּעִיר</w:t>
      </w:r>
      <w:r>
        <w:rPr>
          <w:rtl/>
        </w:rPr>
        <w:t xml:space="preserve"> </w:t>
      </w:r>
      <w:r>
        <w:t xml:space="preserve">(„verflucht wirst du sein in der Stadt"). Die zweite: </w:t>
      </w:r>
      <w:r>
        <w:rPr>
          <w:rStyle w:val="Fett"/>
          <w:rFonts w:eastAsiaTheme="majorEastAsia"/>
          <w:rtl/>
        </w:rPr>
        <w:t>וְאָרוּר אַתָּה בַּשָּׂדֶה</w:t>
      </w:r>
      <w:r>
        <w:rPr>
          <w:rtl/>
        </w:rPr>
        <w:t xml:space="preserve"> </w:t>
      </w:r>
      <w:r>
        <w:t>(„und verflucht wirst du sein auf dem Feld"). Stadt und Land – alle Lebensbereiche werden verflucht, als Gegenteil zu V. 3.</w:t>
      </w:r>
    </w:p>
    <w:p w14:paraId="421DA055" w14:textId="77777777" w:rsidR="00A709A3" w:rsidRDefault="00A709A3" w:rsidP="00A709A3">
      <w:pPr>
        <w:pStyle w:val="whitespace-normal"/>
      </w:pPr>
      <w:r>
        <w:rPr>
          <w:rStyle w:val="Fett"/>
          <w:rFonts w:eastAsiaTheme="majorEastAsia"/>
        </w:rPr>
        <w:t>Die Satzstruktur:</w:t>
      </w:r>
      <w:r>
        <w:t xml:space="preserve"> Zwei parallele Fluchformeln (verflucht wirst du sein in der Stadt, und verflucht wirst du sein auf dem Feld).</w:t>
      </w:r>
    </w:p>
    <w:p w14:paraId="059CC568" w14:textId="77777777" w:rsidR="00A709A3" w:rsidRDefault="00A709A3" w:rsidP="00A709A3">
      <w:pPr>
        <w:pStyle w:val="whitespace-normal"/>
      </w:pPr>
      <w:r>
        <w:rPr>
          <w:rStyle w:val="Fett"/>
          <w:rFonts w:eastAsiaTheme="majorEastAsia"/>
        </w:rPr>
        <w:t>Der Vers beschreibt:</w:t>
      </w:r>
      <w:r>
        <w:t xml:space="preserve"> Fluch in allen Lebensbereichen – Stadt und Land (Umkehrung von V. 3).</w:t>
      </w:r>
    </w:p>
    <w:p w14:paraId="6A4DE92A" w14:textId="77777777" w:rsidR="00A709A3" w:rsidRDefault="004F5CEB" w:rsidP="00A709A3">
      <w:r>
        <w:rPr>
          <w:noProof/>
        </w:rPr>
        <w:pict w14:anchorId="1B80D9DF">
          <v:rect id="_x0000_i1761" style="width:0;height:1.5pt" o:hralign="center" o:hrstd="t" o:hr="t" fillcolor="#a0a0a0" stroked="f"/>
        </w:pict>
      </w:r>
    </w:p>
    <w:p w14:paraId="49F6EDEA" w14:textId="77777777" w:rsidR="00A709A3" w:rsidRPr="00564C2A" w:rsidRDefault="00A709A3" w:rsidP="00564C2A">
      <w:pPr>
        <w:pStyle w:val="Bibelberschrift"/>
      </w:pPr>
      <w:r w:rsidRPr="00564C2A">
        <w:rPr>
          <w:rStyle w:val="Fett"/>
          <w:b/>
          <w:bCs w:val="0"/>
        </w:rPr>
        <w:t>Deuteronomium 28,17</w:t>
      </w:r>
    </w:p>
    <w:p w14:paraId="2111F4F0" w14:textId="77777777" w:rsidR="00A709A3" w:rsidRDefault="00A709A3" w:rsidP="00A709A3">
      <w:pPr>
        <w:pStyle w:val="whitespace-normal"/>
      </w:pPr>
      <w:r>
        <w:rPr>
          <w:rStyle w:val="Fett"/>
          <w:rFonts w:eastAsiaTheme="majorEastAsia"/>
        </w:rPr>
        <w:t>Hebräisch:</w:t>
      </w:r>
      <w:r>
        <w:t xml:space="preserve"> </w:t>
      </w:r>
      <w:r>
        <w:rPr>
          <w:rtl/>
        </w:rPr>
        <w:t>אָרוּר טַנְאֲךָ וּמִשְׁאַרְתֶּֽךָ׃</w:t>
      </w:r>
    </w:p>
    <w:p w14:paraId="48EE673D" w14:textId="77777777" w:rsidR="00A709A3" w:rsidRDefault="00A709A3" w:rsidP="00A709A3">
      <w:pPr>
        <w:pStyle w:val="whitespace-normal"/>
      </w:pPr>
      <w:r>
        <w:rPr>
          <w:rStyle w:val="Fett"/>
          <w:rFonts w:eastAsiaTheme="majorEastAsia"/>
        </w:rPr>
        <w:t>Deutsch:</w:t>
      </w:r>
      <w:r>
        <w:t xml:space="preserve"> Verflucht wird sein dein Korb und dein Backtrog.</w:t>
      </w:r>
    </w:p>
    <w:p w14:paraId="7CFB7702" w14:textId="77777777" w:rsidR="00A709A3" w:rsidRDefault="004F5CEB" w:rsidP="00A709A3">
      <w:r>
        <w:rPr>
          <w:noProof/>
        </w:rPr>
        <w:pict w14:anchorId="3932F49D">
          <v:rect id="_x0000_i1762" style="width:0;height:1.5pt" o:hralign="center" o:hrstd="t" o:hr="t" fillcolor="#a0a0a0" stroked="f"/>
        </w:pict>
      </w:r>
    </w:p>
    <w:p w14:paraId="56117E7D"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אָרוּר טַנְאֲךָ וּמִשְׁאַרְתֶּךָ</w:t>
      </w:r>
      <w:r>
        <w:rPr>
          <w:rtl/>
        </w:rPr>
        <w:t xml:space="preserve"> </w:t>
      </w:r>
      <w:r>
        <w:t>– exakte Umkehrung von V. 5.</w:t>
      </w:r>
    </w:p>
    <w:p w14:paraId="782E5780" w14:textId="77777777" w:rsidR="00A709A3" w:rsidRDefault="00A709A3" w:rsidP="00A709A3">
      <w:pPr>
        <w:pStyle w:val="whitespace-normal"/>
      </w:pPr>
      <w:r>
        <w:t xml:space="preserve">Der Vers verflucht die Vorratsbehälter. Die Fluchformel: </w:t>
      </w:r>
      <w:r>
        <w:rPr>
          <w:rStyle w:val="Fett"/>
          <w:rFonts w:eastAsiaTheme="majorEastAsia"/>
          <w:rtl/>
        </w:rPr>
        <w:t>אָרוּר טַנְאֲךָ וּמִשְׁאַרְתֶּךָ</w:t>
      </w:r>
      <w:r>
        <w:rPr>
          <w:rtl/>
        </w:rPr>
        <w:t xml:space="preserve"> </w:t>
      </w:r>
      <w:r>
        <w:t>(„verflucht wird sein dein Korb und dein Backtrog"). Leere statt volle Vorratsbehälter – Nahrungsmangel statt Überfluss (Umkehrung von V. 5).</w:t>
      </w:r>
    </w:p>
    <w:p w14:paraId="24DFBE64" w14:textId="77777777" w:rsidR="00A709A3" w:rsidRDefault="00A709A3" w:rsidP="00A709A3">
      <w:pPr>
        <w:pStyle w:val="whitespace-normal"/>
      </w:pPr>
      <w:r>
        <w:rPr>
          <w:rStyle w:val="Fett"/>
          <w:rFonts w:eastAsiaTheme="majorEastAsia"/>
        </w:rPr>
        <w:t>Die Satzstruktur:</w:t>
      </w:r>
      <w:r>
        <w:t xml:space="preserve"> Doppelte Fluchformel (verflucht wird sein dein Korb und dein Backtrog).</w:t>
      </w:r>
    </w:p>
    <w:p w14:paraId="3697C397" w14:textId="77777777" w:rsidR="00A709A3" w:rsidRDefault="00A709A3" w:rsidP="00A709A3">
      <w:pPr>
        <w:pStyle w:val="whitespace-normal"/>
      </w:pPr>
      <w:r>
        <w:rPr>
          <w:rStyle w:val="Fett"/>
          <w:rFonts w:eastAsiaTheme="majorEastAsia"/>
        </w:rPr>
        <w:t>Der Vers beschreibt:</w:t>
      </w:r>
      <w:r>
        <w:t xml:space="preserve"> Fluch der Nahrungsknappheit – leere Vorratsbehälter (Umkehrung von V. 5).</w:t>
      </w:r>
    </w:p>
    <w:p w14:paraId="21797D80" w14:textId="77777777" w:rsidR="00A709A3" w:rsidRPr="00564C2A" w:rsidRDefault="00A709A3" w:rsidP="00564C2A">
      <w:pPr>
        <w:pStyle w:val="Bibelberschrift"/>
      </w:pPr>
      <w:r w:rsidRPr="00564C2A">
        <w:rPr>
          <w:rStyle w:val="Fett"/>
          <w:b/>
          <w:bCs w:val="0"/>
        </w:rPr>
        <w:t>Deuteronomium 28,18</w:t>
      </w:r>
    </w:p>
    <w:p w14:paraId="4CD05E02" w14:textId="77777777" w:rsidR="00A709A3" w:rsidRDefault="00A709A3" w:rsidP="00A709A3">
      <w:pPr>
        <w:pStyle w:val="whitespace-normal"/>
      </w:pPr>
      <w:r>
        <w:rPr>
          <w:rStyle w:val="Fett"/>
          <w:rFonts w:eastAsiaTheme="majorEastAsia"/>
        </w:rPr>
        <w:t>Hebräisch:</w:t>
      </w:r>
      <w:r>
        <w:t xml:space="preserve"> </w:t>
      </w:r>
      <w:r>
        <w:rPr>
          <w:rtl/>
        </w:rPr>
        <w:t>אָרוּר פְּרִֽי־בִטְנְךָ וּפְרִי אַדְמָתֶךָ שְׁגַר אֲלָפֶיךָ וְעַשְׁתְּרוֹת צֹאנֶֽךָ׃</w:t>
      </w:r>
    </w:p>
    <w:p w14:paraId="70B349A4" w14:textId="77777777" w:rsidR="00A709A3" w:rsidRDefault="00A709A3" w:rsidP="00A709A3">
      <w:pPr>
        <w:pStyle w:val="whitespace-normal"/>
      </w:pPr>
      <w:r>
        <w:rPr>
          <w:rStyle w:val="Fett"/>
          <w:rFonts w:eastAsiaTheme="majorEastAsia"/>
        </w:rPr>
        <w:lastRenderedPageBreak/>
        <w:t>Deutsch:</w:t>
      </w:r>
      <w:r>
        <w:t xml:space="preserve"> Verflucht wird sein die Frucht deines Leibes und die Frucht deines Landes, der Wurf deiner Rinder und die Zucht deiner Schafe.</w:t>
      </w:r>
    </w:p>
    <w:p w14:paraId="291D0D65" w14:textId="77777777" w:rsidR="00A709A3" w:rsidRDefault="004F5CEB" w:rsidP="00A709A3">
      <w:r>
        <w:rPr>
          <w:noProof/>
        </w:rPr>
        <w:pict w14:anchorId="6DFC3760">
          <v:rect id="_x0000_i1763" style="width:0;height:1.5pt" o:hralign="center" o:hrstd="t" o:hr="t" fillcolor="#a0a0a0" stroked="f"/>
        </w:pict>
      </w:r>
    </w:p>
    <w:p w14:paraId="5A97960F"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אָרוּר פְּרִי־בִטְנְךָ וּפְרִי אַדְמָתֶךָ שְׁגַר אֲלָפֶיךָ וְעַשְׁתְּרוֹת צֹאנֶךָ</w:t>
      </w:r>
      <w:r>
        <w:rPr>
          <w:rtl/>
        </w:rPr>
        <w:t xml:space="preserve"> </w:t>
      </w:r>
      <w:r>
        <w:t>– exakte Umkehrung von V. 4.</w:t>
      </w:r>
    </w:p>
    <w:p w14:paraId="0464AA66" w14:textId="77777777" w:rsidR="00A709A3" w:rsidRDefault="00A709A3" w:rsidP="00A709A3">
      <w:pPr>
        <w:pStyle w:val="whitespace-normal"/>
      </w:pPr>
      <w:r>
        <w:t xml:space="preserve">Der Vers verflucht die Fruchtbarkeit in allen drei Bereichen. Die Fluchformel: </w:t>
      </w:r>
      <w:r>
        <w:rPr>
          <w:rStyle w:val="Fett"/>
          <w:rFonts w:eastAsiaTheme="majorEastAsia"/>
          <w:rtl/>
        </w:rPr>
        <w:t>אָרוּר פְּרִי־בִטְנְךָ וּפְרִי אַדְמָתֶךָ שְׁגַר אֲלָפֶיךָ וְעַשְׁתְּרוֹת צֹאנֶךָ</w:t>
      </w:r>
      <w:r>
        <w:rPr>
          <w:rtl/>
        </w:rPr>
        <w:t xml:space="preserve"> </w:t>
      </w:r>
      <w:r>
        <w:t>(„verflucht wird sein die Frucht deines Leibes und die Frucht deines Landes, der Wurf deiner Rinder und die Zucht deiner Schafe"). Unfruchtbarkeit statt Fruchtbarkeit – Kinderlosigkeit, Missernten, sterbendes Vieh (Umkehrung von V. 4).</w:t>
      </w:r>
    </w:p>
    <w:p w14:paraId="24E9C294" w14:textId="77777777" w:rsidR="00A709A3" w:rsidRDefault="00A709A3" w:rsidP="00A709A3">
      <w:pPr>
        <w:pStyle w:val="whitespace-normal"/>
      </w:pPr>
      <w:r>
        <w:rPr>
          <w:rStyle w:val="Fett"/>
          <w:rFonts w:eastAsiaTheme="majorEastAsia"/>
        </w:rPr>
        <w:t>Die Satzstruktur:</w:t>
      </w:r>
      <w:r>
        <w:t xml:space="preserve"> Dreifache Fluchformel mit Präzisierungen (verflucht wird sein die Frucht deines Leibes und die Frucht deines Landes, der Wurf deiner Rinder und die Zucht deiner Schafe).</w:t>
      </w:r>
    </w:p>
    <w:p w14:paraId="36DA7218" w14:textId="77777777" w:rsidR="00A709A3" w:rsidRDefault="00A709A3" w:rsidP="00A709A3">
      <w:pPr>
        <w:pStyle w:val="whitespace-normal"/>
      </w:pPr>
      <w:r>
        <w:rPr>
          <w:rStyle w:val="Fett"/>
          <w:rFonts w:eastAsiaTheme="majorEastAsia"/>
        </w:rPr>
        <w:t>Der Vers beschreibt:</w:t>
      </w:r>
      <w:r>
        <w:t xml:space="preserve"> Fluch der Unfruchtbarkeit – Menschen, Ackerfrüchte, Vieh (Umkehrung von V. 4).</w:t>
      </w:r>
    </w:p>
    <w:p w14:paraId="47C91F35" w14:textId="77777777" w:rsidR="00A709A3" w:rsidRPr="00564C2A" w:rsidRDefault="00A709A3" w:rsidP="00564C2A">
      <w:pPr>
        <w:pStyle w:val="Bibelberschrift"/>
      </w:pPr>
      <w:r w:rsidRPr="00564C2A">
        <w:rPr>
          <w:rStyle w:val="Fett"/>
          <w:b/>
          <w:bCs w:val="0"/>
        </w:rPr>
        <w:t>Deuteronomium 28,19</w:t>
      </w:r>
    </w:p>
    <w:p w14:paraId="09BF01CF" w14:textId="77777777" w:rsidR="00A709A3" w:rsidRDefault="00A709A3" w:rsidP="00A709A3">
      <w:pPr>
        <w:pStyle w:val="whitespace-normal"/>
      </w:pPr>
      <w:r>
        <w:rPr>
          <w:rStyle w:val="Fett"/>
          <w:rFonts w:eastAsiaTheme="majorEastAsia"/>
        </w:rPr>
        <w:t>Hebräisch:</w:t>
      </w:r>
      <w:r>
        <w:t xml:space="preserve"> </w:t>
      </w:r>
      <w:r>
        <w:rPr>
          <w:rtl/>
        </w:rPr>
        <w:t>אָרוּר אַתָּה בְּבֹאֶךָ וְאָרוּר אַתָּה בְּצֵאתֶֽךָ׃</w:t>
      </w:r>
    </w:p>
    <w:p w14:paraId="7FB51599" w14:textId="77777777" w:rsidR="00A709A3" w:rsidRDefault="00A709A3" w:rsidP="00A709A3">
      <w:pPr>
        <w:pStyle w:val="whitespace-normal"/>
      </w:pPr>
      <w:r>
        <w:rPr>
          <w:rStyle w:val="Fett"/>
          <w:rFonts w:eastAsiaTheme="majorEastAsia"/>
        </w:rPr>
        <w:t>Deutsch:</w:t>
      </w:r>
      <w:r>
        <w:t xml:space="preserve"> Verflucht wirst du sein bei deinem Eingang, und verflucht wirst du sein bei deinem Ausgang.</w:t>
      </w:r>
    </w:p>
    <w:p w14:paraId="610A7FA6" w14:textId="77777777" w:rsidR="00A709A3" w:rsidRDefault="004F5CEB" w:rsidP="00A709A3">
      <w:r>
        <w:rPr>
          <w:noProof/>
        </w:rPr>
        <w:pict w14:anchorId="1C71015C">
          <v:rect id="_x0000_i1764" style="width:0;height:1.5pt" o:hralign="center" o:hrstd="t" o:hr="t" fillcolor="#a0a0a0" stroked="f"/>
        </w:pict>
      </w:r>
    </w:p>
    <w:p w14:paraId="6ACFE0E3"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אָרוּר אַתָּה בְּבֹאֶךָ וְאָרוּר אַתָּה בְּצֵאתֶךָ</w:t>
      </w:r>
      <w:r>
        <w:rPr>
          <w:rtl/>
        </w:rPr>
        <w:t xml:space="preserve"> </w:t>
      </w:r>
      <w:r>
        <w:t>– exakte Umkehrung von V. 6.</w:t>
      </w:r>
    </w:p>
    <w:p w14:paraId="43F35FA6" w14:textId="77777777" w:rsidR="00A709A3" w:rsidRDefault="00A709A3" w:rsidP="00A709A3">
      <w:pPr>
        <w:pStyle w:val="whitespace-normal"/>
      </w:pPr>
      <w:r>
        <w:t xml:space="preserve">Der Vers schließt die erste </w:t>
      </w:r>
      <w:proofErr w:type="spellStart"/>
      <w:r>
        <w:t>Fluchreihe</w:t>
      </w:r>
      <w:proofErr w:type="spellEnd"/>
      <w:r>
        <w:t xml:space="preserve"> mit einem umfassenden Merismus ab. Die Fluchformeln: </w:t>
      </w:r>
      <w:r>
        <w:rPr>
          <w:rStyle w:val="Fett"/>
          <w:rFonts w:eastAsiaTheme="majorEastAsia"/>
          <w:rtl/>
        </w:rPr>
        <w:t>אָרוּר אַתָּה בְּבֹאֶךָ וְאָרוּר אַתָּה בְּצֵאתֶךָ</w:t>
      </w:r>
      <w:r>
        <w:rPr>
          <w:rtl/>
        </w:rPr>
        <w:t xml:space="preserve"> </w:t>
      </w:r>
      <w:r>
        <w:t>(„verflucht wirst du sein bei deinem Eingang, und verflucht wirst du sein bei deinem Ausgang"). Alle Bewegungen, alle Aktivitäten, das gesamte Leben – verflucht (Umkehrung von V. 6).</w:t>
      </w:r>
    </w:p>
    <w:p w14:paraId="6AA92E75" w14:textId="77777777" w:rsidR="00A709A3" w:rsidRDefault="00A709A3" w:rsidP="00A709A3">
      <w:pPr>
        <w:pStyle w:val="whitespace-normal"/>
      </w:pPr>
      <w:r>
        <w:rPr>
          <w:rStyle w:val="Fett"/>
          <w:rFonts w:eastAsiaTheme="majorEastAsia"/>
        </w:rPr>
        <w:t>Die Satzstruktur:</w:t>
      </w:r>
      <w:r>
        <w:t xml:space="preserve"> Zwei parallele Fluchformeln (verflucht wirst du sein bei deinem Eingang, und verflucht wirst du sein bei deinem Ausgang).</w:t>
      </w:r>
    </w:p>
    <w:p w14:paraId="77681F75" w14:textId="77777777" w:rsidR="00A709A3" w:rsidRDefault="00A709A3" w:rsidP="00A709A3">
      <w:pPr>
        <w:pStyle w:val="whitespace-normal"/>
      </w:pPr>
      <w:r>
        <w:rPr>
          <w:rStyle w:val="Fett"/>
          <w:rFonts w:eastAsiaTheme="majorEastAsia"/>
        </w:rPr>
        <w:t>Der Vers beschreibt:</w:t>
      </w:r>
      <w:r>
        <w:t xml:space="preserve"> Umfassender Fluch – bei allen Aktivitäten (Umkehrung von V. 6).</w:t>
      </w:r>
    </w:p>
    <w:p w14:paraId="3E51EDA8" w14:textId="77777777" w:rsidR="00A709A3" w:rsidRPr="00564C2A" w:rsidRDefault="00A709A3" w:rsidP="00564C2A">
      <w:pPr>
        <w:pStyle w:val="Bibelberschrift"/>
      </w:pPr>
      <w:r w:rsidRPr="00564C2A">
        <w:rPr>
          <w:rStyle w:val="Fett"/>
          <w:b/>
          <w:bCs w:val="0"/>
        </w:rPr>
        <w:t>Deuteronomium 28,20</w:t>
      </w:r>
    </w:p>
    <w:p w14:paraId="68171886" w14:textId="77777777" w:rsidR="00A709A3" w:rsidRDefault="00A709A3" w:rsidP="00A709A3">
      <w:pPr>
        <w:pStyle w:val="whitespace-normal"/>
      </w:pPr>
      <w:r>
        <w:rPr>
          <w:rStyle w:val="Fett"/>
          <w:rFonts w:eastAsiaTheme="majorEastAsia"/>
        </w:rPr>
        <w:t>Hebräisch:</w:t>
      </w:r>
      <w:r>
        <w:t xml:space="preserve"> </w:t>
      </w:r>
      <w:r>
        <w:rPr>
          <w:rtl/>
        </w:rPr>
        <w:t>יְשַׁלַּח יְהוָה׀ בְּךָ אֶת־הַמְּאֵרָה אֶת־הַמְּהוּמָה וְאֶת־הַמִּגְעֶרֶת בְּכָל־מִשְׁלַח יָדְךָ אֲשֶׁר תַּעֲשֶׂה עַד הִשָּֽׁמֶדְךָ וְעַד־אֲבָדְךָ מַהֵר מִפְּנֵי רֹעַ מַֽעֲלָלֶיךָ אֲשֶׁר עֲזַבְתָּֽנִי׃</w:t>
      </w:r>
    </w:p>
    <w:p w14:paraId="5914CC5B" w14:textId="77777777" w:rsidR="00A709A3" w:rsidRDefault="00A709A3" w:rsidP="00A709A3">
      <w:pPr>
        <w:pStyle w:val="whitespace-normal"/>
      </w:pPr>
      <w:r>
        <w:rPr>
          <w:rStyle w:val="Fett"/>
          <w:rFonts w:eastAsiaTheme="majorEastAsia"/>
        </w:rPr>
        <w:lastRenderedPageBreak/>
        <w:t>Deutsch:</w:t>
      </w:r>
      <w:r>
        <w:t xml:space="preserve"> JHWH wird gegen dich senden den Fluch, die Verwirrung und die Drohung in allem Geschäft deiner Hand, das du tust, bis du vertilgt bist und bis du schnell umkommst wegen der Bosheit deiner Handlungen, dass du mich verlassen hast.</w:t>
      </w:r>
    </w:p>
    <w:p w14:paraId="0DF0ACAF" w14:textId="77777777" w:rsidR="00A709A3" w:rsidRDefault="004F5CEB" w:rsidP="00A709A3">
      <w:r>
        <w:rPr>
          <w:noProof/>
        </w:rPr>
        <w:pict w14:anchorId="6813EB87">
          <v:rect id="_x0000_i1765" style="width:0;height:1.5pt" o:hralign="center" o:hrstd="t" o:hr="t" fillcolor="#a0a0a0" stroked="f"/>
        </w:pict>
      </w:r>
    </w:p>
    <w:p w14:paraId="651D5F15"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יְשַׁלַּח יְהוָה בְּךָ אֶת־הַמְּאֵרָה אֶת־הַמְּהוּמָה וְאֶת־הַמִּגְעֶרֶת בְּכָל־מִשְׁלַח יָדְךָ אֲשֶׁר תַּעֲשֶׂה עַד הִשָּׁמֶדְךָ וְעַד־אֲבָדְךָ מַהֵר מִפְּנֵי רֹעַ מַעֲלָלֶיךָ אֲשֶׁר עֲזַבְתָּנִי</w:t>
      </w:r>
      <w:r>
        <w:rPr>
          <w:rtl/>
        </w:rPr>
        <w:t xml:space="preserve"> </w:t>
      </w:r>
      <w:r>
        <w:t xml:space="preserve">ist eine ausführliche Fluchankündigung: </w:t>
      </w:r>
      <w:r>
        <w:rPr>
          <w:rStyle w:val="Fett"/>
          <w:rFonts w:eastAsiaTheme="majorEastAsia"/>
          <w:rtl/>
        </w:rPr>
        <w:t>יְשַׁלַּח יְהוָה בְּךָ אֶת־הַמְּאֵרָה אֶת־הַמְּהוּמָה וְאֶת־הַמִּגְעֶרֶת בְּכָל־מִשְׁלַח יָדְךָ אֲשֶׁר תַּעֲשֶׂה</w:t>
      </w:r>
      <w:r>
        <w:rPr>
          <w:rtl/>
        </w:rPr>
        <w:t xml:space="preserve"> </w:t>
      </w:r>
      <w:r>
        <w:t>(</w:t>
      </w:r>
      <w:r>
        <w:rPr>
          <w:rStyle w:val="Fett"/>
          <w:rFonts w:eastAsiaTheme="majorEastAsia"/>
          <w:rtl/>
        </w:rPr>
        <w:t>שׁלח</w:t>
      </w:r>
      <w:r>
        <w:t xml:space="preserve">, Piel Imperfekt, 3. Person Maskulinum Singular, </w:t>
      </w:r>
      <w:r>
        <w:rPr>
          <w:rStyle w:val="Fett"/>
          <w:rFonts w:eastAsiaTheme="majorEastAsia"/>
          <w:rtl/>
        </w:rPr>
        <w:t>יְהוָה</w:t>
      </w:r>
      <w:r>
        <w:rPr>
          <w:rtl/>
        </w:rPr>
        <w:t xml:space="preserve"> </w:t>
      </w:r>
      <w:r>
        <w:t xml:space="preserve">als Subjekt, Präposition </w:t>
      </w:r>
      <w:r>
        <w:rPr>
          <w:rStyle w:val="Fett"/>
          <w:rFonts w:eastAsiaTheme="majorEastAsia"/>
          <w:rtl/>
        </w:rPr>
        <w:t>בְּ</w:t>
      </w:r>
      <w:r>
        <w:rPr>
          <w:rtl/>
        </w:rPr>
        <w:t xml:space="preserve"> </w:t>
      </w:r>
      <w:r>
        <w:t xml:space="preserve">mit Suffix 2. Person Maskulinum Singular, Objektpartikel </w:t>
      </w:r>
      <w:r>
        <w:rPr>
          <w:rStyle w:val="Fett"/>
          <w:rFonts w:eastAsiaTheme="majorEastAsia"/>
          <w:rtl/>
        </w:rPr>
        <w:t>אֵת</w:t>
      </w:r>
      <w:r>
        <w:rPr>
          <w:rtl/>
        </w:rPr>
        <w:t xml:space="preserve"> </w:t>
      </w:r>
      <w:r>
        <w:t xml:space="preserve">mit </w:t>
      </w:r>
      <w:r>
        <w:rPr>
          <w:rStyle w:val="Fett"/>
          <w:rFonts w:eastAsiaTheme="majorEastAsia"/>
          <w:rtl/>
        </w:rPr>
        <w:t>מְאֵרָה</w:t>
      </w:r>
      <w:r>
        <w:rPr>
          <w:rtl/>
        </w:rPr>
        <w:t xml:space="preserve"> </w:t>
      </w:r>
      <w:r>
        <w:t xml:space="preserve">mit Artikel, „Fluch, Verfluchung", Objektpartikel </w:t>
      </w:r>
      <w:r>
        <w:rPr>
          <w:rStyle w:val="Fett"/>
          <w:rFonts w:eastAsiaTheme="majorEastAsia"/>
          <w:rtl/>
        </w:rPr>
        <w:t>אֵת</w:t>
      </w:r>
      <w:r>
        <w:rPr>
          <w:rtl/>
        </w:rPr>
        <w:t xml:space="preserve"> </w:t>
      </w:r>
      <w:r>
        <w:t xml:space="preserve">mit </w:t>
      </w:r>
      <w:r>
        <w:rPr>
          <w:rStyle w:val="Fett"/>
          <w:rFonts w:eastAsiaTheme="majorEastAsia"/>
          <w:rtl/>
        </w:rPr>
        <w:t>מְהוּמָה</w:t>
      </w:r>
      <w:r>
        <w:rPr>
          <w:rtl/>
        </w:rPr>
        <w:t xml:space="preserve"> </w:t>
      </w:r>
      <w:r>
        <w:t xml:space="preserve">mit Artikel, „Verwirrung, Bestürzung", koordiniert mit Objektpartikel </w:t>
      </w:r>
      <w:r>
        <w:rPr>
          <w:rStyle w:val="Fett"/>
          <w:rFonts w:eastAsiaTheme="majorEastAsia"/>
          <w:rtl/>
        </w:rPr>
        <w:t>אֵת</w:t>
      </w:r>
      <w:r>
        <w:t xml:space="preserve">, </w:t>
      </w:r>
      <w:r>
        <w:rPr>
          <w:rStyle w:val="Fett"/>
          <w:rFonts w:eastAsiaTheme="majorEastAsia"/>
          <w:rtl/>
        </w:rPr>
        <w:t>מִגְעֶרֶת</w:t>
      </w:r>
      <w:r>
        <w:rPr>
          <w:rtl/>
        </w:rPr>
        <w:t xml:space="preserve"> </w:t>
      </w:r>
      <w:r>
        <w:t xml:space="preserve">mit Artikel, „Drohung, Schelte", </w:t>
      </w:r>
      <w:r>
        <w:rPr>
          <w:rStyle w:val="Fett"/>
          <w:rFonts w:eastAsiaTheme="majorEastAsia"/>
          <w:rtl/>
        </w:rPr>
        <w:t>בְּכָל־מִשְׁלַח יָדְךָ</w:t>
      </w:r>
      <w:r>
        <w:t xml:space="preserve">, Relativsatz mit </w:t>
      </w:r>
      <w:r>
        <w:rPr>
          <w:rStyle w:val="Fett"/>
          <w:rFonts w:eastAsiaTheme="majorEastAsia"/>
          <w:rtl/>
        </w:rPr>
        <w:t>עשׂה</w:t>
      </w:r>
      <w:r>
        <w:t xml:space="preserve">), </w:t>
      </w:r>
      <w:r>
        <w:rPr>
          <w:rStyle w:val="Fett"/>
          <w:rFonts w:eastAsiaTheme="majorEastAsia"/>
          <w:rtl/>
        </w:rPr>
        <w:t>עַד הִשָּׁמֶדְךָ וְעַד־אֲבָדְךָ מַהֵר</w:t>
      </w:r>
      <w:r>
        <w:rPr>
          <w:rtl/>
        </w:rPr>
        <w:t xml:space="preserve"> </w:t>
      </w:r>
      <w:r>
        <w:t xml:space="preserve">(Präposition </w:t>
      </w:r>
      <w:r>
        <w:rPr>
          <w:rStyle w:val="Fett"/>
          <w:rFonts w:eastAsiaTheme="majorEastAsia"/>
          <w:rtl/>
        </w:rPr>
        <w:t>עַד</w:t>
      </w:r>
      <w:r>
        <w:rPr>
          <w:rtl/>
        </w:rPr>
        <w:t xml:space="preserve"> </w:t>
      </w:r>
      <w:r>
        <w:t xml:space="preserve">mit Niphal Infinitiv Construct von </w:t>
      </w:r>
      <w:r>
        <w:rPr>
          <w:rStyle w:val="Fett"/>
          <w:rFonts w:eastAsiaTheme="majorEastAsia"/>
          <w:rtl/>
        </w:rPr>
        <w:t>שׁמד</w:t>
      </w:r>
      <w:r>
        <w:t xml:space="preserve">, „vertilgt werden", mit Suffix 2. Person Maskulinum Singular, koordiniert mit </w:t>
      </w:r>
      <w:r>
        <w:rPr>
          <w:rStyle w:val="Fett"/>
          <w:rFonts w:eastAsiaTheme="majorEastAsia"/>
          <w:rtl/>
        </w:rPr>
        <w:t>עַד</w:t>
      </w:r>
      <w:r>
        <w:rPr>
          <w:rtl/>
        </w:rPr>
        <w:t xml:space="preserve"> </w:t>
      </w:r>
      <w:r>
        <w:t xml:space="preserve">+ Qal Infinitiv Construct von </w:t>
      </w:r>
      <w:r>
        <w:rPr>
          <w:rStyle w:val="Fett"/>
          <w:rFonts w:eastAsiaTheme="majorEastAsia"/>
          <w:rtl/>
        </w:rPr>
        <w:t>אבד</w:t>
      </w:r>
      <w:r>
        <w:t xml:space="preserve">, „umkommen", </w:t>
      </w:r>
      <w:r>
        <w:rPr>
          <w:rStyle w:val="Fett"/>
          <w:rFonts w:eastAsiaTheme="majorEastAsia"/>
          <w:rtl/>
        </w:rPr>
        <w:t>מַהֵר</w:t>
      </w:r>
      <w:r>
        <w:t xml:space="preserve">, Adverb, „schnell"), </w:t>
      </w:r>
      <w:r>
        <w:rPr>
          <w:rStyle w:val="Fett"/>
          <w:rFonts w:eastAsiaTheme="majorEastAsia"/>
          <w:rtl/>
        </w:rPr>
        <w:t>מִפְּנֵי רֹעַ מַעֲלָלֶיךָ אֲשֶׁר עֲזַבְתָּנִי</w:t>
      </w:r>
      <w:r>
        <w:rPr>
          <w:rtl/>
        </w:rPr>
        <w:t xml:space="preserve"> </w:t>
      </w:r>
      <w:r>
        <w:t xml:space="preserve">(Kausalsatz: </w:t>
      </w:r>
      <w:r>
        <w:rPr>
          <w:rStyle w:val="Fett"/>
          <w:rFonts w:eastAsiaTheme="majorEastAsia"/>
          <w:rtl/>
        </w:rPr>
        <w:t>מִפְּנֵי</w:t>
      </w:r>
      <w:r>
        <w:t xml:space="preserve">, „wegen", </w:t>
      </w:r>
      <w:r>
        <w:rPr>
          <w:rStyle w:val="Fett"/>
          <w:rFonts w:eastAsiaTheme="majorEastAsia"/>
          <w:rtl/>
        </w:rPr>
        <w:t>רֹעַ</w:t>
      </w:r>
      <w:r>
        <w:t xml:space="preserve">, „Bosheit, Schlechtigkeit", Construct mit </w:t>
      </w:r>
      <w:r>
        <w:rPr>
          <w:rStyle w:val="Fett"/>
          <w:rFonts w:eastAsiaTheme="majorEastAsia"/>
          <w:rtl/>
        </w:rPr>
        <w:t>מַעֲלָל</w:t>
      </w:r>
      <w:r>
        <w:t xml:space="preserve">, „Handlung, Tat", Plural mit Suffix 2. Person Maskulinum Singular, Relativsatz: </w:t>
      </w:r>
      <w:r>
        <w:rPr>
          <w:rStyle w:val="Fett"/>
          <w:rFonts w:eastAsiaTheme="majorEastAsia"/>
          <w:rtl/>
        </w:rPr>
        <w:t>אֲשֶׁר עֲזַבְתָּנִי</w:t>
      </w:r>
      <w:r>
        <w:rPr>
          <w:rtl/>
        </w:rPr>
        <w:t xml:space="preserve"> </w:t>
      </w:r>
      <w:r>
        <w:t xml:space="preserve">mit </w:t>
      </w:r>
      <w:r>
        <w:rPr>
          <w:rStyle w:val="Fett"/>
          <w:rFonts w:eastAsiaTheme="majorEastAsia"/>
          <w:rtl/>
        </w:rPr>
        <w:t>עזב</w:t>
      </w:r>
      <w:r>
        <w:t>, Qal Perfekt, 2. Person Maskulinum Singular, „verlassen", mit Suffix 1. Person Singular).</w:t>
      </w:r>
    </w:p>
    <w:p w14:paraId="32D59A99" w14:textId="4EC1A525" w:rsidR="00A709A3" w:rsidRDefault="00A709A3" w:rsidP="00A709A3">
      <w:pPr>
        <w:pStyle w:val="whitespace-normal"/>
      </w:pPr>
      <w:r>
        <w:t xml:space="preserve">Der Vers intensiviert die Flüche mit drei abstrakten Begriffen und einer theologischen Begründung. Die Ankündigung: </w:t>
      </w:r>
      <w:r>
        <w:rPr>
          <w:rStyle w:val="Fett"/>
          <w:rFonts w:eastAsiaTheme="majorEastAsia"/>
          <w:rtl/>
        </w:rPr>
        <w:t>יְשַׁלַּח יְהוָה בְּךָ אֶת־הַמְּאֵרָה אֶת־הַמְּהוּמָה וְאֶת־הַמִּגְעֶרֶת בְּכָל־מִשְׁלַח יָדְךָ אֲשֶׁר תַּעֲשֶׂה</w:t>
      </w:r>
      <w:r>
        <w:rPr>
          <w:rtl/>
        </w:rPr>
        <w:t xml:space="preserve"> </w:t>
      </w:r>
      <w:r>
        <w:t xml:space="preserve">(„senden wird JHWH gegen dich den Fluch, die Verwirrung und die Drohung in allem Geschäft deiner Hand, das du tust"). Drei abstrakte Unheilsbegriffe: </w:t>
      </w:r>
      <w:r>
        <w:rPr>
          <w:rStyle w:val="Fett"/>
          <w:rFonts w:eastAsiaTheme="majorEastAsia"/>
          <w:rtl/>
        </w:rPr>
        <w:t>מְאֵרָה</w:t>
      </w:r>
      <w:r>
        <w:rPr>
          <w:rtl/>
        </w:rPr>
        <w:t xml:space="preserve"> </w:t>
      </w:r>
      <w:r>
        <w:t xml:space="preserve">(„Fluch"), </w:t>
      </w:r>
      <w:r>
        <w:rPr>
          <w:rStyle w:val="Fett"/>
          <w:rFonts w:eastAsiaTheme="majorEastAsia"/>
          <w:rtl/>
        </w:rPr>
        <w:t>מְהוּמָה</w:t>
      </w:r>
      <w:r>
        <w:rPr>
          <w:rtl/>
        </w:rPr>
        <w:t xml:space="preserve"> </w:t>
      </w:r>
      <w:r>
        <w:t xml:space="preserve">(„Verwirrung, Panik, Chaos"), </w:t>
      </w:r>
      <w:r>
        <w:rPr>
          <w:rStyle w:val="Fett"/>
          <w:rFonts w:eastAsiaTheme="majorEastAsia"/>
          <w:rtl/>
        </w:rPr>
        <w:t>מִגְעֶרֶת</w:t>
      </w:r>
      <w:r>
        <w:rPr>
          <w:rtl/>
        </w:rPr>
        <w:t xml:space="preserve"> </w:t>
      </w:r>
      <w:r>
        <w:t xml:space="preserve">(„Drohung, Schelte"). Die Formulierung </w:t>
      </w:r>
      <w:r>
        <w:rPr>
          <w:rStyle w:val="Fett"/>
          <w:rFonts w:eastAsiaTheme="majorEastAsia"/>
          <w:rtl/>
        </w:rPr>
        <w:t>בְּכָל־מִשְׁלַח יָדְךָ</w:t>
      </w:r>
      <w:r>
        <w:rPr>
          <w:rtl/>
        </w:rPr>
        <w:t xml:space="preserve"> </w:t>
      </w:r>
      <w:r>
        <w:t xml:space="preserve">(„in allem Geschäft deiner Hand") – jede Unternehmung wird scheitern. Die Dauer: </w:t>
      </w:r>
      <w:r>
        <w:rPr>
          <w:rStyle w:val="Fett"/>
          <w:rFonts w:eastAsiaTheme="majorEastAsia"/>
          <w:rtl/>
        </w:rPr>
        <w:t>עַד הִשָּׁמֶדְךָ וְעַד־אֲבָדְךָ מַהֵר</w:t>
      </w:r>
      <w:r>
        <w:rPr>
          <w:rtl/>
        </w:rPr>
        <w:t xml:space="preserve"> </w:t>
      </w:r>
      <w:r>
        <w:t xml:space="preserve">(„bis du vertilgt bist und bis du schnell umkommst"). Die beiden Verben </w:t>
      </w:r>
      <w:r>
        <w:rPr>
          <w:rStyle w:val="Fett"/>
          <w:rFonts w:eastAsiaTheme="majorEastAsia"/>
          <w:rtl/>
        </w:rPr>
        <w:t>שׁמד</w:t>
      </w:r>
      <w:r>
        <w:rPr>
          <w:rtl/>
        </w:rPr>
        <w:t xml:space="preserve"> </w:t>
      </w:r>
      <w:r>
        <w:t xml:space="preserve">(„vertilgt werden") und </w:t>
      </w:r>
      <w:r>
        <w:rPr>
          <w:rStyle w:val="Fett"/>
          <w:rFonts w:eastAsiaTheme="majorEastAsia"/>
          <w:rtl/>
        </w:rPr>
        <w:t>אבד</w:t>
      </w:r>
      <w:r>
        <w:rPr>
          <w:rtl/>
        </w:rPr>
        <w:t xml:space="preserve"> </w:t>
      </w:r>
      <w:r>
        <w:t xml:space="preserve">(„umkommen") betonen die Endgültigkeit. Das Adverb </w:t>
      </w:r>
      <w:r>
        <w:rPr>
          <w:rStyle w:val="Fett"/>
          <w:rFonts w:eastAsiaTheme="majorEastAsia"/>
          <w:rtl/>
        </w:rPr>
        <w:t>מַהֵר</w:t>
      </w:r>
      <w:r>
        <w:rPr>
          <w:rtl/>
        </w:rPr>
        <w:t xml:space="preserve"> </w:t>
      </w:r>
      <w:r>
        <w:t xml:space="preserve">(„schnell") – plötzlicher Untergang. Die Begründung: </w:t>
      </w:r>
      <w:r>
        <w:rPr>
          <w:rStyle w:val="Fett"/>
          <w:rFonts w:eastAsiaTheme="majorEastAsia"/>
          <w:rtl/>
        </w:rPr>
        <w:t>מִפְּנֵי רֹעַ מַעֲלָלֶיךָ אֲשֶׁר עֲזַבְתָּנִי</w:t>
      </w:r>
      <w:r>
        <w:rPr>
          <w:rtl/>
        </w:rPr>
        <w:t xml:space="preserve"> </w:t>
      </w:r>
      <w:r>
        <w:t xml:space="preserve">(„wegen der Bosheit deiner Handlungen, dass du mich verlassen hast"). Die Formulierung </w:t>
      </w:r>
      <w:r>
        <w:rPr>
          <w:rStyle w:val="Fett"/>
          <w:rFonts w:eastAsiaTheme="majorEastAsia"/>
          <w:rtl/>
        </w:rPr>
        <w:t>עֲזַבְתָּנִי</w:t>
      </w:r>
      <w:r>
        <w:rPr>
          <w:rtl/>
        </w:rPr>
        <w:t xml:space="preserve"> </w:t>
      </w:r>
      <w:r>
        <w:t xml:space="preserve">(„du hast mich verlassen") ist ein direktes Gotteswort – JHWH selbst spricht hier (vgl. Ri 10,13; </w:t>
      </w:r>
      <w:r w:rsidR="00664EB6">
        <w:t>1Sam</w:t>
      </w:r>
      <w:r>
        <w:t xml:space="preserve"> 8,8; Jer 1,16; 2,13.17.19).</w:t>
      </w:r>
    </w:p>
    <w:p w14:paraId="37536265" w14:textId="6627AF7A" w:rsidR="001A04EF" w:rsidRDefault="001A04EF" w:rsidP="00A709A3">
      <w:pPr>
        <w:pStyle w:val="whitespace-normal"/>
      </w:pPr>
      <w:r>
        <w:rPr>
          <w:rStyle w:val="Fett"/>
        </w:rPr>
        <w:t>Die LXX</w:t>
      </w:r>
      <w:r>
        <w:t xml:space="preserve"> übersetzt </w:t>
      </w:r>
      <w:r>
        <w:rPr>
          <w:rtl/>
        </w:rPr>
        <w:t>הַמְּאֵרָה אֶת־הַמְּהוּמָה וְאֶת־הַמִּגְעֶרֶת</w:t>
      </w:r>
      <w:r>
        <w:t xml:space="preserve"> (den Fluch, die Verwirrung und die Züchtigung) mit τὴν </w:t>
      </w:r>
      <w:proofErr w:type="spellStart"/>
      <w:r>
        <w:t>ἔνδει</w:t>
      </w:r>
      <w:proofErr w:type="spellEnd"/>
      <w:r>
        <w:t xml:space="preserve">αν καὶ τὴν </w:t>
      </w:r>
      <w:proofErr w:type="spellStart"/>
      <w:r>
        <w:t>ἐκλιμί</w:t>
      </w:r>
      <w:proofErr w:type="spellEnd"/>
      <w:r>
        <w:t xml:space="preserve">αν καὶ τὴν </w:t>
      </w:r>
      <w:proofErr w:type="spellStart"/>
      <w:r>
        <w:t>ἀνάλωσιν</w:t>
      </w:r>
      <w:proofErr w:type="spellEnd"/>
      <w:r>
        <w:t xml:space="preserve"> (die Bedürftigkeit, den Hunger und die Vernichtung) – völlig andere semantische Begriffe.</w:t>
      </w:r>
    </w:p>
    <w:p w14:paraId="47989D9F" w14:textId="77777777" w:rsidR="00A709A3" w:rsidRDefault="00A709A3" w:rsidP="00A709A3">
      <w:pPr>
        <w:pStyle w:val="whitespace-normal"/>
      </w:pPr>
      <w:r>
        <w:rPr>
          <w:rStyle w:val="Fett"/>
          <w:rFonts w:eastAsiaTheme="majorEastAsia"/>
        </w:rPr>
        <w:t>Die Satzstruktur:</w:t>
      </w:r>
      <w:r>
        <w:t xml:space="preserve"> Fluchankündigung mit Dauer und Begründung (senden wird JHWH gegen dich den Fluch, die Verwirrung und die Drohung in allem Geschäft deiner Hand, das du tust, bis du vertilgt bist und bis du schnell umkommst, wegen der Bosheit deiner Handlungen, dass du mich verlassen hast).</w:t>
      </w:r>
    </w:p>
    <w:p w14:paraId="712B693B" w14:textId="58E52B5E" w:rsidR="00A709A3" w:rsidRDefault="00A709A3" w:rsidP="00564C2A">
      <w:pPr>
        <w:pStyle w:val="whitespace-normal"/>
      </w:pPr>
      <w:r>
        <w:rPr>
          <w:rStyle w:val="Fett"/>
          <w:rFonts w:eastAsiaTheme="majorEastAsia"/>
        </w:rPr>
        <w:t>Der Vers beschreibt:</w:t>
      </w:r>
      <w:r>
        <w:t xml:space="preserve"> Intensivierung – Fluch, Verwirrung, Drohung führen zu schnellem Untergang wegen Abfalls von JHWH.</w:t>
      </w:r>
    </w:p>
    <w:p w14:paraId="2970FF7C" w14:textId="77777777" w:rsidR="00A709A3" w:rsidRPr="00564C2A" w:rsidRDefault="00A709A3" w:rsidP="00564C2A">
      <w:pPr>
        <w:pStyle w:val="Bibelberschrift"/>
      </w:pPr>
      <w:r w:rsidRPr="00564C2A">
        <w:rPr>
          <w:rStyle w:val="Fett"/>
          <w:b/>
          <w:bCs w:val="0"/>
        </w:rPr>
        <w:lastRenderedPageBreak/>
        <w:t>Deuteronomium 28,21</w:t>
      </w:r>
    </w:p>
    <w:p w14:paraId="6F06060B" w14:textId="77777777" w:rsidR="00A709A3" w:rsidRDefault="00A709A3" w:rsidP="00A709A3">
      <w:pPr>
        <w:pStyle w:val="whitespace-normal"/>
      </w:pPr>
      <w:r>
        <w:rPr>
          <w:rStyle w:val="Fett"/>
          <w:rFonts w:eastAsiaTheme="majorEastAsia"/>
        </w:rPr>
        <w:t>Hebräisch:</w:t>
      </w:r>
      <w:r>
        <w:t xml:space="preserve"> </w:t>
      </w:r>
      <w:r>
        <w:rPr>
          <w:rtl/>
        </w:rPr>
        <w:t>יַדְבֵּק יְהוָה בְּךָ אֶת־הַדָּבֶר עַד כַּלֹּתוֹ אֹֽתְךָ מֵעַל הָֽאֲדָמָה אֲשֶׁר־אַתָּה בָא־שָׁמָּה לְרִשְׁתָּֽהּ׃</w:t>
      </w:r>
    </w:p>
    <w:p w14:paraId="5522D792" w14:textId="77777777" w:rsidR="00A709A3" w:rsidRDefault="00A709A3" w:rsidP="00A709A3">
      <w:pPr>
        <w:pStyle w:val="whitespace-normal"/>
      </w:pPr>
      <w:r>
        <w:rPr>
          <w:rStyle w:val="Fett"/>
          <w:rFonts w:eastAsiaTheme="majorEastAsia"/>
        </w:rPr>
        <w:t>Deutsch:</w:t>
      </w:r>
      <w:r>
        <w:t xml:space="preserve"> JHWH wird die Pest an dir haften lassen, bis er dich aufgerieben hat aus dem Land, wohin du kommst, es in Besitz zu nehmen.</w:t>
      </w:r>
    </w:p>
    <w:p w14:paraId="34B4D461" w14:textId="77777777" w:rsidR="00A709A3" w:rsidRDefault="004F5CEB" w:rsidP="00A709A3">
      <w:r>
        <w:rPr>
          <w:noProof/>
        </w:rPr>
        <w:pict w14:anchorId="255AFC94">
          <v:rect id="_x0000_i1766" style="width:0;height:1.5pt" o:hralign="center" o:hrstd="t" o:hr="t" fillcolor="#a0a0a0" stroked="f"/>
        </w:pict>
      </w:r>
    </w:p>
    <w:p w14:paraId="18446D00"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יַדְבֵּק יְהוָה בְּךָ אֶת־הַדָּבֶר עַד כַּלֹּתוֹ אֹתְךָ מֵעַל הָאֲדָמָה אֲשֶׁר־אַתָּה בָא־שָׁמָּה לְרִשְׁתָּהּ</w:t>
      </w:r>
      <w:r>
        <w:rPr>
          <w:rtl/>
        </w:rPr>
        <w:t xml:space="preserve"> </w:t>
      </w:r>
      <w:r>
        <w:t xml:space="preserve">ist eine Pestankündigung: </w:t>
      </w:r>
      <w:r>
        <w:rPr>
          <w:rStyle w:val="Fett"/>
          <w:rFonts w:eastAsiaTheme="majorEastAsia"/>
          <w:rtl/>
        </w:rPr>
        <w:t>יַדְבֵּק יְהוָה בְּךָ אֶת־הַדָּבֶר</w:t>
      </w:r>
      <w:r>
        <w:rPr>
          <w:rtl/>
        </w:rPr>
        <w:t xml:space="preserve"> </w:t>
      </w:r>
      <w:r>
        <w:t>(</w:t>
      </w:r>
      <w:r>
        <w:rPr>
          <w:rStyle w:val="Fett"/>
          <w:rFonts w:eastAsiaTheme="majorEastAsia"/>
          <w:rtl/>
        </w:rPr>
        <w:t>דבק</w:t>
      </w:r>
      <w:r>
        <w:t xml:space="preserve">, Hiphil Imperfekt, 3. Person Maskulinum Singular, „haften lassen, anheften", </w:t>
      </w:r>
      <w:r>
        <w:rPr>
          <w:rStyle w:val="Fett"/>
          <w:rFonts w:eastAsiaTheme="majorEastAsia"/>
          <w:rtl/>
        </w:rPr>
        <w:t>יְהוָה</w:t>
      </w:r>
      <w:r>
        <w:rPr>
          <w:rtl/>
        </w:rPr>
        <w:t xml:space="preserve"> </w:t>
      </w:r>
      <w:r>
        <w:t xml:space="preserve">als Subjekt, Präposition </w:t>
      </w:r>
      <w:r>
        <w:rPr>
          <w:rStyle w:val="Fett"/>
          <w:rFonts w:eastAsiaTheme="majorEastAsia"/>
          <w:rtl/>
        </w:rPr>
        <w:t>בְּ</w:t>
      </w:r>
      <w:r>
        <w:rPr>
          <w:rtl/>
        </w:rPr>
        <w:t xml:space="preserve"> </w:t>
      </w:r>
      <w:r>
        <w:t xml:space="preserve">mit Suffix 2. Person Maskulinum Singular, Objektpartikel </w:t>
      </w:r>
      <w:r>
        <w:rPr>
          <w:rStyle w:val="Fett"/>
          <w:rFonts w:eastAsiaTheme="majorEastAsia"/>
          <w:rtl/>
        </w:rPr>
        <w:t>אֵת</w:t>
      </w:r>
      <w:r>
        <w:rPr>
          <w:rtl/>
        </w:rPr>
        <w:t xml:space="preserve"> </w:t>
      </w:r>
      <w:r>
        <w:t xml:space="preserve">mit </w:t>
      </w:r>
      <w:r>
        <w:rPr>
          <w:rStyle w:val="Fett"/>
          <w:rFonts w:eastAsiaTheme="majorEastAsia"/>
          <w:rtl/>
        </w:rPr>
        <w:t>דֶּבֶר</w:t>
      </w:r>
      <w:r>
        <w:rPr>
          <w:rtl/>
        </w:rPr>
        <w:t xml:space="preserve"> </w:t>
      </w:r>
      <w:r>
        <w:t xml:space="preserve">mit Artikel, „Pest, Seuche"), </w:t>
      </w:r>
      <w:r>
        <w:rPr>
          <w:rStyle w:val="Fett"/>
          <w:rFonts w:eastAsiaTheme="majorEastAsia"/>
          <w:rtl/>
        </w:rPr>
        <w:t>עַד כַּלֹּתוֹ אֹתְךָ מֵעַל הָאֲדָמָה אֲשֶׁר־אַתָּה בָא־שָׁמָּה לְרִשְׁתָּהּ</w:t>
      </w:r>
      <w:r>
        <w:rPr>
          <w:rtl/>
        </w:rPr>
        <w:t xml:space="preserve"> </w:t>
      </w:r>
      <w:r>
        <w:t xml:space="preserve">(Präposition </w:t>
      </w:r>
      <w:r>
        <w:rPr>
          <w:rStyle w:val="Fett"/>
          <w:rFonts w:eastAsiaTheme="majorEastAsia"/>
          <w:rtl/>
        </w:rPr>
        <w:t>עַד</w:t>
      </w:r>
      <w:r>
        <w:rPr>
          <w:rtl/>
        </w:rPr>
        <w:t xml:space="preserve"> </w:t>
      </w:r>
      <w:r>
        <w:t xml:space="preserve">mit Piel Infinitiv Construct von </w:t>
      </w:r>
      <w:r>
        <w:rPr>
          <w:rStyle w:val="Fett"/>
          <w:rFonts w:eastAsiaTheme="majorEastAsia"/>
          <w:rtl/>
        </w:rPr>
        <w:t>כלה</w:t>
      </w:r>
      <w:r>
        <w:t xml:space="preserve">, „aufreiben, vernichten", mit Suffix 3. Person Maskulinum Singular, Objektpartikel </w:t>
      </w:r>
      <w:r>
        <w:rPr>
          <w:rStyle w:val="Fett"/>
          <w:rFonts w:eastAsiaTheme="majorEastAsia"/>
          <w:rtl/>
        </w:rPr>
        <w:t>אֵת</w:t>
      </w:r>
      <w:r>
        <w:rPr>
          <w:rtl/>
        </w:rPr>
        <w:t xml:space="preserve"> </w:t>
      </w:r>
      <w:r>
        <w:t xml:space="preserve">mit Suffix 2. Person Maskulinum Singular, </w:t>
      </w:r>
      <w:r>
        <w:rPr>
          <w:rStyle w:val="Fett"/>
          <w:rFonts w:eastAsiaTheme="majorEastAsia"/>
          <w:rtl/>
        </w:rPr>
        <w:t>מֵעַל הָאֲדָמָה</w:t>
      </w:r>
      <w:r>
        <w:t>, Relativsatz wie üblich).</w:t>
      </w:r>
    </w:p>
    <w:p w14:paraId="141651B9" w14:textId="46AE6547" w:rsidR="00A709A3" w:rsidRDefault="00A709A3" w:rsidP="00A709A3">
      <w:pPr>
        <w:pStyle w:val="whitespace-normal"/>
      </w:pPr>
      <w:r>
        <w:t xml:space="preserve">Der Vers beginnt eine Reihe von Krankheits- und Naturkatastrophenflüchen (V. 21-24). Die Ankündigung: </w:t>
      </w:r>
      <w:r>
        <w:rPr>
          <w:rStyle w:val="Fett"/>
          <w:rFonts w:eastAsiaTheme="majorEastAsia"/>
          <w:rtl/>
        </w:rPr>
        <w:t>יַדְבֵּק יְהוָה בְּךָ אֶת־הַדָּבֶר</w:t>
      </w:r>
      <w:r>
        <w:rPr>
          <w:rtl/>
        </w:rPr>
        <w:t xml:space="preserve"> </w:t>
      </w:r>
      <w:r>
        <w:t xml:space="preserve">(„haften lassen wird JHWH an dir die Pest"). Das Verb </w:t>
      </w:r>
      <w:r>
        <w:rPr>
          <w:rStyle w:val="Fett"/>
          <w:rFonts w:eastAsiaTheme="majorEastAsia"/>
          <w:rtl/>
        </w:rPr>
        <w:t>דבק</w:t>
      </w:r>
      <w:r>
        <w:rPr>
          <w:rtl/>
        </w:rPr>
        <w:t xml:space="preserve"> </w:t>
      </w:r>
      <w:r>
        <w:t xml:space="preserve">im Hiphil („haften lassen, anheften") – die Pest klebt an Israel, lässt nicht los. Das Wort </w:t>
      </w:r>
      <w:r>
        <w:rPr>
          <w:rStyle w:val="Fett"/>
          <w:rFonts w:eastAsiaTheme="majorEastAsia"/>
          <w:rtl/>
        </w:rPr>
        <w:t>דֶּבֶר</w:t>
      </w:r>
      <w:r>
        <w:rPr>
          <w:rtl/>
        </w:rPr>
        <w:t xml:space="preserve"> </w:t>
      </w:r>
      <w:r>
        <w:t xml:space="preserve">(„Pest, Seuche") bezeichnet ansteckende, tödliche Epidemien (vgl. Ex 5,3; 9,3.15; Lev 26,25; Num 14,12; Jer 14,12; 21,6-9; 24,10; 27,8.13; 29,17-18; 32,24.36; 34,17; 38,2; 42,17.22; 44,13; </w:t>
      </w:r>
      <w:r w:rsidR="00BF3748">
        <w:t>Hes</w:t>
      </w:r>
      <w:r>
        <w:t xml:space="preserve"> 5,12.17; 6,11-12; 7,15; 12,16; 14,19.21; 28,23; 33,27; 38,22; Am 4,10; Hab 3,5). Die Dauer: </w:t>
      </w:r>
      <w:r>
        <w:rPr>
          <w:rStyle w:val="Fett"/>
          <w:rFonts w:eastAsiaTheme="majorEastAsia"/>
          <w:rtl/>
        </w:rPr>
        <w:t>עַד כַּלֹּתוֹ אֹתְךָ מֵעַל הָאֲדָמָה אֲשֶׁר־אַתָּה בָא־שָׁמָּה לְרִשְׁתָּהּ</w:t>
      </w:r>
      <w:r>
        <w:rPr>
          <w:rtl/>
        </w:rPr>
        <w:t xml:space="preserve"> </w:t>
      </w:r>
      <w:r>
        <w:t>(„bis er dich aufgerieben hat aus dem Land, wohin du kommst, es in Besitz zu nehmen"). Die Pest dauert bis zur Ausrottung aus dem Land.</w:t>
      </w:r>
    </w:p>
    <w:p w14:paraId="3749ECF1" w14:textId="77777777" w:rsidR="00A709A3" w:rsidRDefault="00A709A3" w:rsidP="00A709A3">
      <w:pPr>
        <w:pStyle w:val="whitespace-normal"/>
      </w:pPr>
      <w:r>
        <w:rPr>
          <w:rStyle w:val="Fett"/>
          <w:rFonts w:eastAsiaTheme="majorEastAsia"/>
        </w:rPr>
        <w:t>Die Satzstruktur:</w:t>
      </w:r>
      <w:r>
        <w:t xml:space="preserve"> Pestankündigung mit Dauer (haften lassen wird JHWH an dir die Pest, bis er dich aufgerieben hat aus dem Land, wohin du kommst, es in Besitz zu nehmen).</w:t>
      </w:r>
    </w:p>
    <w:p w14:paraId="2A139F03" w14:textId="77777777" w:rsidR="00A709A3" w:rsidRDefault="00A709A3" w:rsidP="00A709A3">
      <w:pPr>
        <w:pStyle w:val="whitespace-normal"/>
      </w:pPr>
      <w:r>
        <w:rPr>
          <w:rStyle w:val="Fett"/>
          <w:rFonts w:eastAsiaTheme="majorEastAsia"/>
        </w:rPr>
        <w:t>Der Vers beschreibt:</w:t>
      </w:r>
      <w:r>
        <w:t xml:space="preserve"> Pest – anhaltende Seuche bis zur Ausrottung aus dem Land.</w:t>
      </w:r>
    </w:p>
    <w:p w14:paraId="0B88B822" w14:textId="77777777" w:rsidR="00A709A3" w:rsidRPr="00564C2A" w:rsidRDefault="00A709A3" w:rsidP="00564C2A">
      <w:pPr>
        <w:pStyle w:val="Bibelberschrift"/>
      </w:pPr>
      <w:r w:rsidRPr="00564C2A">
        <w:rPr>
          <w:rStyle w:val="Fett"/>
          <w:b/>
          <w:bCs w:val="0"/>
        </w:rPr>
        <w:t>Deuteronomium 28,22</w:t>
      </w:r>
    </w:p>
    <w:p w14:paraId="170CA567" w14:textId="77777777" w:rsidR="00A709A3" w:rsidRDefault="00A709A3" w:rsidP="00A709A3">
      <w:pPr>
        <w:pStyle w:val="whitespace-normal"/>
      </w:pPr>
      <w:r>
        <w:rPr>
          <w:rStyle w:val="Fett"/>
          <w:rFonts w:eastAsiaTheme="majorEastAsia"/>
        </w:rPr>
        <w:t>Hebräisch:</w:t>
      </w:r>
      <w:r>
        <w:t xml:space="preserve"> </w:t>
      </w:r>
      <w:r>
        <w:rPr>
          <w:rtl/>
        </w:rPr>
        <w:t>יַכְּכָה יְהוָה בַּשַּׁחֶפֶת וּבַקַּדַּחַת וּבַדַּלֶּקֶת וּבַֽחַרְחֻר וּבַחֶרֶב וּבַשִּׁדָּפוֹן וּבַיֵּרָקוֹן וּרְדָפוּךָ עַד אָבְדֶֽךָ׃</w:t>
      </w:r>
    </w:p>
    <w:p w14:paraId="5B322AF8" w14:textId="77777777" w:rsidR="00A709A3" w:rsidRDefault="00A709A3" w:rsidP="00A709A3">
      <w:pPr>
        <w:pStyle w:val="whitespace-normal"/>
      </w:pPr>
      <w:r>
        <w:rPr>
          <w:rStyle w:val="Fett"/>
          <w:rFonts w:eastAsiaTheme="majorEastAsia"/>
        </w:rPr>
        <w:t>Deutsch:</w:t>
      </w:r>
      <w:r>
        <w:t xml:space="preserve"> JHWH wird dich schlagen mit Schwindsucht und mit Fieber und mit Entzündung und mit Hitze und mit Schwert und mit Getreidebrand und mit Mehltau, und sie werden dich verfolgen, bis du umkommst.</w:t>
      </w:r>
    </w:p>
    <w:p w14:paraId="2EA76208" w14:textId="77777777" w:rsidR="00A709A3" w:rsidRDefault="004F5CEB" w:rsidP="00A709A3">
      <w:r>
        <w:rPr>
          <w:noProof/>
        </w:rPr>
        <w:pict w14:anchorId="2C5E0A43">
          <v:rect id="_x0000_i1767" style="width:0;height:1.5pt" o:hralign="center" o:hrstd="t" o:hr="t" fillcolor="#a0a0a0" stroked="f"/>
        </w:pict>
      </w:r>
    </w:p>
    <w:p w14:paraId="6668A2FF"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יַכְּכָה יְהוָה בַּשַּׁחֶפֶת וּבַקַּדַּחַת וּבַדַּלֶּקֶת וּבַחַרְחֻר וּבַחֶרֶב וּבַשִּׁדָּפוֹן וּבַיֵּרָקוֹן וּרְדָפוּךָ עַד אָבְדֶךָ</w:t>
      </w:r>
      <w:r>
        <w:rPr>
          <w:rtl/>
        </w:rPr>
        <w:t xml:space="preserve"> </w:t>
      </w:r>
      <w:r>
        <w:t xml:space="preserve">ist eine Auflistung von sieben Plagen: </w:t>
      </w:r>
      <w:r>
        <w:rPr>
          <w:rStyle w:val="Fett"/>
          <w:rFonts w:eastAsiaTheme="majorEastAsia"/>
          <w:rtl/>
        </w:rPr>
        <w:t>יַכְּכָה יְהוָה בַּשַּׁחֶפֶת וּבַקַּדַּחַת וּבַדַּלֶּקֶת וּבַחַרְחֻר וּבַחֶרֶב וּבַשִּׁדָּפוֹן וּבַיֵּרָקוֹן</w:t>
      </w:r>
      <w:r>
        <w:rPr>
          <w:rtl/>
        </w:rPr>
        <w:t xml:space="preserve"> </w:t>
      </w:r>
      <w:r>
        <w:t>(</w:t>
      </w:r>
      <w:r>
        <w:rPr>
          <w:rStyle w:val="Fett"/>
          <w:rFonts w:eastAsiaTheme="majorEastAsia"/>
          <w:rtl/>
        </w:rPr>
        <w:t>נכה</w:t>
      </w:r>
      <w:r>
        <w:t xml:space="preserve">, Hiphil Imperfekt, 3. Person Maskulinum Singular, </w:t>
      </w:r>
      <w:r>
        <w:rPr>
          <w:rStyle w:val="Fett"/>
          <w:rFonts w:eastAsiaTheme="majorEastAsia"/>
          <w:rtl/>
        </w:rPr>
        <w:t>יְהוָה</w:t>
      </w:r>
      <w:r>
        <w:rPr>
          <w:rtl/>
        </w:rPr>
        <w:t xml:space="preserve"> </w:t>
      </w:r>
      <w:r>
        <w:t xml:space="preserve">als Subjekt, sieben mit Präposition </w:t>
      </w:r>
      <w:r>
        <w:rPr>
          <w:rStyle w:val="Fett"/>
          <w:rFonts w:eastAsiaTheme="majorEastAsia"/>
          <w:rtl/>
        </w:rPr>
        <w:t>בְּ</w:t>
      </w:r>
      <w:r>
        <w:rPr>
          <w:rtl/>
        </w:rPr>
        <w:t xml:space="preserve"> </w:t>
      </w:r>
      <w:r>
        <w:t xml:space="preserve">eingeleitete Begriffe: </w:t>
      </w:r>
      <w:r>
        <w:rPr>
          <w:rStyle w:val="Fett"/>
          <w:rFonts w:eastAsiaTheme="majorEastAsia"/>
          <w:rtl/>
        </w:rPr>
        <w:t>שַׁחֶפֶת</w:t>
      </w:r>
      <w:r>
        <w:t xml:space="preserve">, „Schwindsucht, Auszehrung", </w:t>
      </w:r>
      <w:r>
        <w:rPr>
          <w:rStyle w:val="Fett"/>
          <w:rFonts w:eastAsiaTheme="majorEastAsia"/>
          <w:rtl/>
        </w:rPr>
        <w:t>קַדַּחַת</w:t>
      </w:r>
      <w:r>
        <w:t xml:space="preserve">, „Fieber, </w:t>
      </w:r>
      <w:r>
        <w:lastRenderedPageBreak/>
        <w:t xml:space="preserve">Entflammung", </w:t>
      </w:r>
      <w:r>
        <w:rPr>
          <w:rStyle w:val="Fett"/>
          <w:rFonts w:eastAsiaTheme="majorEastAsia"/>
          <w:rtl/>
        </w:rPr>
        <w:t>דַּלֶּקֶת</w:t>
      </w:r>
      <w:r>
        <w:t xml:space="preserve">, „Entzündung", </w:t>
      </w:r>
      <w:r>
        <w:rPr>
          <w:rStyle w:val="Fett"/>
          <w:rFonts w:eastAsiaTheme="majorEastAsia"/>
          <w:rtl/>
        </w:rPr>
        <w:t>חַרְחֻר</w:t>
      </w:r>
      <w:r>
        <w:t xml:space="preserve">, „Hitze, brennende Hitze", </w:t>
      </w:r>
      <w:r>
        <w:rPr>
          <w:rStyle w:val="Fett"/>
          <w:rFonts w:eastAsiaTheme="majorEastAsia"/>
          <w:rtl/>
        </w:rPr>
        <w:t>חֶרֶב</w:t>
      </w:r>
      <w:r>
        <w:t xml:space="preserve">, „Schwert", </w:t>
      </w:r>
      <w:r>
        <w:rPr>
          <w:rStyle w:val="Fett"/>
          <w:rFonts w:eastAsiaTheme="majorEastAsia"/>
          <w:rtl/>
        </w:rPr>
        <w:t>שִׁדָּפוֹן</w:t>
      </w:r>
      <w:r>
        <w:t xml:space="preserve">, „Getreidebrand, Kornbrand" (durch heiße Ostwinde), </w:t>
      </w:r>
      <w:r>
        <w:rPr>
          <w:rStyle w:val="Fett"/>
          <w:rFonts w:eastAsiaTheme="majorEastAsia"/>
          <w:rtl/>
        </w:rPr>
        <w:t>יֵרָקוֹן</w:t>
      </w:r>
      <w:r>
        <w:t xml:space="preserve">, „Mehltau, Vergilbung" (des Getreides)), </w:t>
      </w:r>
      <w:r>
        <w:rPr>
          <w:rStyle w:val="Fett"/>
          <w:rFonts w:eastAsiaTheme="majorEastAsia"/>
          <w:rtl/>
        </w:rPr>
        <w:t>וּרְדָפוּךָ עַד אָבְדֶךָ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רדף</w:t>
      </w:r>
      <w:r>
        <w:t xml:space="preserve">, Qal Perfekt, 3. Person Plural, „verfolgen", mit Suffix 2. Person Maskulinum Singular, Präposition </w:t>
      </w:r>
      <w:r>
        <w:rPr>
          <w:rStyle w:val="Fett"/>
          <w:rFonts w:eastAsiaTheme="majorEastAsia"/>
          <w:rtl/>
        </w:rPr>
        <w:t>עַד</w:t>
      </w:r>
      <w:r>
        <w:rPr>
          <w:rtl/>
        </w:rPr>
        <w:t xml:space="preserve"> </w:t>
      </w:r>
      <w:r>
        <w:t xml:space="preserve">mit Qal Infinitiv Construct von </w:t>
      </w:r>
      <w:r>
        <w:rPr>
          <w:rStyle w:val="Fett"/>
          <w:rFonts w:eastAsiaTheme="majorEastAsia"/>
          <w:rtl/>
        </w:rPr>
        <w:t>אבד</w:t>
      </w:r>
      <w:r>
        <w:t xml:space="preserve">, mit Suffix, mit </w:t>
      </w:r>
      <w:r>
        <w:rPr>
          <w:rStyle w:val="Fett"/>
          <w:rFonts w:eastAsiaTheme="majorEastAsia"/>
        </w:rPr>
        <w:t>Waw</w:t>
      </w:r>
      <w:r>
        <w:t xml:space="preserve"> consecutives Perfekt).</w:t>
      </w:r>
    </w:p>
    <w:p w14:paraId="57420586" w14:textId="6D5536A7" w:rsidR="00A709A3" w:rsidRDefault="00A709A3" w:rsidP="00A709A3">
      <w:pPr>
        <w:pStyle w:val="whitespace-normal"/>
      </w:pPr>
      <w:r>
        <w:t xml:space="preserve">Der Vers listet sieben Plagen auf (Sieben = Vollzahl). Die Ankündigung: </w:t>
      </w:r>
      <w:r>
        <w:rPr>
          <w:rStyle w:val="Fett"/>
          <w:rFonts w:eastAsiaTheme="majorEastAsia"/>
          <w:rtl/>
        </w:rPr>
        <w:t>יַכְּכָה יְהוָה בַּשַּׁחֶפֶת וּבַקַּדַּחַת וּבַדַּלֶּקֶת וּבַחַרְחֻר וּבַחֶרֶב וּבַשִּׁדָּפוֹן וּבַיֵּרָקוֹן</w:t>
      </w:r>
      <w:r>
        <w:rPr>
          <w:rtl/>
        </w:rPr>
        <w:t xml:space="preserve"> </w:t>
      </w:r>
      <w:r>
        <w:t xml:space="preserve">(„schlagen wird JHWH dich mit Schwindsucht und mit Fieber und mit Entzündung und mit Hitze und mit Schwert und mit Getreidebrand und mit Mehltau"). Die ersten vier Begriffe bezeichnen Krankheiten: </w:t>
      </w:r>
      <w:r>
        <w:rPr>
          <w:rStyle w:val="Fett"/>
          <w:rFonts w:eastAsiaTheme="majorEastAsia"/>
          <w:rtl/>
        </w:rPr>
        <w:t>שַׁחֶפֶת</w:t>
      </w:r>
      <w:r>
        <w:rPr>
          <w:rtl/>
        </w:rPr>
        <w:t xml:space="preserve"> </w:t>
      </w:r>
      <w:r>
        <w:t xml:space="preserve">(„Schwindsucht, Auszehrung" – chronische, auszehrende Krankheit wie Tuberkulose), </w:t>
      </w:r>
      <w:r>
        <w:rPr>
          <w:rStyle w:val="Fett"/>
          <w:rFonts w:eastAsiaTheme="majorEastAsia"/>
          <w:rtl/>
        </w:rPr>
        <w:t>קַדַּחַת</w:t>
      </w:r>
      <w:r>
        <w:rPr>
          <w:rtl/>
        </w:rPr>
        <w:t xml:space="preserve"> </w:t>
      </w:r>
      <w:r>
        <w:t xml:space="preserve">(„Fieber"), </w:t>
      </w:r>
      <w:r>
        <w:rPr>
          <w:rStyle w:val="Fett"/>
          <w:rFonts w:eastAsiaTheme="majorEastAsia"/>
          <w:rtl/>
        </w:rPr>
        <w:t>דַּלֶּקֶת</w:t>
      </w:r>
      <w:r>
        <w:rPr>
          <w:rtl/>
        </w:rPr>
        <w:t xml:space="preserve"> </w:t>
      </w:r>
      <w:r>
        <w:t xml:space="preserve">(„Entzündung"), </w:t>
      </w:r>
      <w:r>
        <w:rPr>
          <w:rStyle w:val="Fett"/>
          <w:rFonts w:eastAsiaTheme="majorEastAsia"/>
          <w:rtl/>
        </w:rPr>
        <w:t>חַרְחֻר</w:t>
      </w:r>
      <w:r>
        <w:rPr>
          <w:rtl/>
        </w:rPr>
        <w:t xml:space="preserve"> </w:t>
      </w:r>
      <w:r>
        <w:t xml:space="preserve">(„brennende Hitze" – möglicherweise Fieber oder Sonnenstich). Der fünfte Begriff </w:t>
      </w:r>
      <w:r>
        <w:rPr>
          <w:rStyle w:val="Fett"/>
          <w:rFonts w:eastAsiaTheme="majorEastAsia"/>
          <w:rtl/>
        </w:rPr>
        <w:t>חֶרֶב</w:t>
      </w:r>
      <w:r>
        <w:rPr>
          <w:rtl/>
        </w:rPr>
        <w:t xml:space="preserve"> </w:t>
      </w:r>
      <w:r>
        <w:t xml:space="preserve">(„Schwert") steht für Krieg. Die letzten zwei Begriffe betreffen Landwirtschaft: </w:t>
      </w:r>
      <w:r>
        <w:rPr>
          <w:rStyle w:val="Fett"/>
          <w:rFonts w:eastAsiaTheme="majorEastAsia"/>
          <w:rtl/>
        </w:rPr>
        <w:t>שִׁדָּפוֹן</w:t>
      </w:r>
      <w:r>
        <w:rPr>
          <w:rtl/>
        </w:rPr>
        <w:t xml:space="preserve"> </w:t>
      </w:r>
      <w:r>
        <w:t xml:space="preserve">(„Getreidebrand" – Verbrennung des Getreides durch heiße Wüstenwinde, vgl. </w:t>
      </w:r>
      <w:r w:rsidR="00664EB6">
        <w:t>1Kön</w:t>
      </w:r>
      <w:r>
        <w:t xml:space="preserve"> 8,37; </w:t>
      </w:r>
      <w:r w:rsidR="00664EB6">
        <w:t>2Chr</w:t>
      </w:r>
      <w:r>
        <w:t xml:space="preserve"> 6,28; Am 4,9; Hag 2,17), </w:t>
      </w:r>
      <w:r>
        <w:rPr>
          <w:rStyle w:val="Fett"/>
          <w:rFonts w:eastAsiaTheme="majorEastAsia"/>
          <w:rtl/>
        </w:rPr>
        <w:t>יֵרָקוֹן</w:t>
      </w:r>
      <w:r>
        <w:rPr>
          <w:rtl/>
        </w:rPr>
        <w:t xml:space="preserve"> </w:t>
      </w:r>
      <w:r>
        <w:t xml:space="preserve">(„Mehltau, Vergilbung" – </w:t>
      </w:r>
      <w:r w:rsidR="00D47758">
        <w:t>Pilzbefall</w:t>
      </w:r>
      <w:r>
        <w:t xml:space="preserve"> des Getreides). Die Aussage: </w:t>
      </w:r>
      <w:r>
        <w:rPr>
          <w:rStyle w:val="Fett"/>
          <w:rFonts w:eastAsiaTheme="majorEastAsia"/>
          <w:rtl/>
        </w:rPr>
        <w:t>וּרְדָפוּךָ עַד אָבְדֶךָ</w:t>
      </w:r>
      <w:r>
        <w:rPr>
          <w:rtl/>
        </w:rPr>
        <w:t xml:space="preserve"> </w:t>
      </w:r>
      <w:r>
        <w:t>(„und sie werden dich verfolgen, bis du umkommst"). Die Plagen verfolgen Israel unerbittlich bis zur Vernichtung.</w:t>
      </w:r>
    </w:p>
    <w:p w14:paraId="799D613E" w14:textId="60E2A2D9" w:rsidR="001A04EF" w:rsidRDefault="001A04EF" w:rsidP="00A709A3">
      <w:pPr>
        <w:pStyle w:val="whitespace-normal"/>
      </w:pPr>
      <w:r>
        <w:rPr>
          <w:rStyle w:val="Fett"/>
        </w:rPr>
        <w:t>Die LXX</w:t>
      </w:r>
      <w:r>
        <w:t xml:space="preserve"> bietet eine stark abweichende Liste von Plagen. Der MT hat: </w:t>
      </w:r>
      <w:r>
        <w:rPr>
          <w:rtl/>
        </w:rPr>
        <w:t>שַׁחֶפֶת וּבַקַּדַּחַת וּבַדַּלֶּקֶת וּבַחַרְחֻר וּבַחֶרֶב וּבַשִּׁדָּפוֹן וּבַיֵּרָקוֹן</w:t>
      </w:r>
      <w:r>
        <w:t xml:space="preserve"> (Schwindsucht, Fieber, Entzündung, Hitze, Schwert, Getreidebrand, Vergilbung). </w:t>
      </w:r>
      <w:r>
        <w:rPr>
          <w:rStyle w:val="Fett"/>
        </w:rPr>
        <w:t>Die LXX</w:t>
      </w:r>
      <w:r>
        <w:t xml:space="preserve"> hat: ἀπ</w:t>
      </w:r>
      <w:proofErr w:type="spellStart"/>
      <w:r>
        <w:t>ορίᾳ</w:t>
      </w:r>
      <w:proofErr w:type="spellEnd"/>
      <w:r>
        <w:t xml:space="preserve"> καὶ π</w:t>
      </w:r>
      <w:proofErr w:type="spellStart"/>
      <w:r>
        <w:t>υρετῷ</w:t>
      </w:r>
      <w:proofErr w:type="spellEnd"/>
      <w:r>
        <w:t xml:space="preserve"> καὶ </w:t>
      </w:r>
      <w:proofErr w:type="spellStart"/>
      <w:r>
        <w:t>ῥίγει</w:t>
      </w:r>
      <w:proofErr w:type="spellEnd"/>
      <w:r>
        <w:t xml:space="preserve"> καὶ </w:t>
      </w:r>
      <w:proofErr w:type="spellStart"/>
      <w:r>
        <w:t>ἐρεθισμῷ</w:t>
      </w:r>
      <w:proofErr w:type="spellEnd"/>
      <w:r>
        <w:t xml:space="preserve"> καὶ </w:t>
      </w:r>
      <w:proofErr w:type="spellStart"/>
      <w:r>
        <w:t>φόνῳ</w:t>
      </w:r>
      <w:proofErr w:type="spellEnd"/>
      <w:r>
        <w:t xml:space="preserve"> καὶ </w:t>
      </w:r>
      <w:proofErr w:type="spellStart"/>
      <w:r>
        <w:t>ἀνεμοφθορίᾳ</w:t>
      </w:r>
      <w:proofErr w:type="spellEnd"/>
      <w:r>
        <w:t xml:space="preserve"> καὶ </w:t>
      </w:r>
      <w:proofErr w:type="spellStart"/>
      <w:r>
        <w:t>τῇ</w:t>
      </w:r>
      <w:proofErr w:type="spellEnd"/>
      <w:r>
        <w:t xml:space="preserve"> </w:t>
      </w:r>
      <w:proofErr w:type="spellStart"/>
      <w:r>
        <w:t>ὤχρᾳ</w:t>
      </w:r>
      <w:proofErr w:type="spellEnd"/>
      <w:r>
        <w:t xml:space="preserve"> (Hilflosigkeit, Fieber, Schüttelfrost, Reizung, Mord, Windverderben, Bleichsucht) – teilweise überlappend, aber mit signifikanten Unterschieden.</w:t>
      </w:r>
    </w:p>
    <w:p w14:paraId="1ADACD4F" w14:textId="77777777" w:rsidR="00A709A3" w:rsidRDefault="00A709A3" w:rsidP="00A709A3">
      <w:pPr>
        <w:pStyle w:val="whitespace-normal"/>
      </w:pPr>
      <w:r>
        <w:rPr>
          <w:rStyle w:val="Fett"/>
          <w:rFonts w:eastAsiaTheme="majorEastAsia"/>
        </w:rPr>
        <w:t>Die Satzstruktur:</w:t>
      </w:r>
      <w:r>
        <w:t xml:space="preserve"> Auflistung von sieben Plagen mit Verfolgung (schlagen wird JHWH dich mit Schwindsucht und mit Fieber und mit Entzündung und mit Hitze und mit Schwert und mit Getreidebrand und mit Mehltau, und sie werden dich verfolgen, bis du umkommst).</w:t>
      </w:r>
    </w:p>
    <w:p w14:paraId="2AD1392F" w14:textId="05FDC7C2" w:rsidR="00A709A3" w:rsidRDefault="00A709A3" w:rsidP="00564C2A">
      <w:pPr>
        <w:pStyle w:val="whitespace-normal"/>
      </w:pPr>
      <w:r>
        <w:rPr>
          <w:rStyle w:val="Fett"/>
          <w:rFonts w:eastAsiaTheme="majorEastAsia"/>
        </w:rPr>
        <w:t>Der Vers beschreibt:</w:t>
      </w:r>
      <w:r>
        <w:t xml:space="preserve"> Sieben Plagen – Krankheiten, Krieg, landwirtschaftliche Katastrophen – verfolgen bis zur Vernichtung.</w:t>
      </w:r>
    </w:p>
    <w:p w14:paraId="378B8682" w14:textId="77777777" w:rsidR="00A709A3" w:rsidRPr="00564C2A" w:rsidRDefault="00A709A3" w:rsidP="00564C2A">
      <w:pPr>
        <w:pStyle w:val="Bibelberschrift"/>
      </w:pPr>
      <w:r w:rsidRPr="00564C2A">
        <w:rPr>
          <w:rStyle w:val="Fett"/>
          <w:b/>
          <w:bCs w:val="0"/>
        </w:rPr>
        <w:t>Deuteronomium 28,23</w:t>
      </w:r>
    </w:p>
    <w:p w14:paraId="7EB3F92C" w14:textId="77777777" w:rsidR="00A709A3" w:rsidRDefault="00A709A3" w:rsidP="00A709A3">
      <w:pPr>
        <w:pStyle w:val="whitespace-normal"/>
      </w:pPr>
      <w:r>
        <w:rPr>
          <w:rStyle w:val="Fett"/>
          <w:rFonts w:eastAsiaTheme="majorEastAsia"/>
        </w:rPr>
        <w:t>Hebräisch:</w:t>
      </w:r>
      <w:r>
        <w:t xml:space="preserve"> </w:t>
      </w:r>
      <w:r>
        <w:rPr>
          <w:rtl/>
        </w:rPr>
        <w:t>וְהָיוּ שָׁמֶיךָ אֲשֶׁר עַל־רֹאשְׁךָ נְחֹשֶׁת וְהָאָרֶץ אֲשֶׁר־תַּחְתֶּיךָ בַּרְזֶֽל׃</w:t>
      </w:r>
    </w:p>
    <w:p w14:paraId="596B05EB" w14:textId="77777777" w:rsidR="00A709A3" w:rsidRDefault="00A709A3" w:rsidP="00A709A3">
      <w:pPr>
        <w:pStyle w:val="whitespace-normal"/>
      </w:pPr>
      <w:r>
        <w:rPr>
          <w:rStyle w:val="Fett"/>
          <w:rFonts w:eastAsiaTheme="majorEastAsia"/>
        </w:rPr>
        <w:t>Deutsch:</w:t>
      </w:r>
      <w:r>
        <w:t xml:space="preserve"> Und dein Himmel, der über deinem Haupt ist, wird Erz sein, und die Erde, die unter dir ist, Eisen.</w:t>
      </w:r>
    </w:p>
    <w:p w14:paraId="79CEE8CD" w14:textId="77777777" w:rsidR="00A709A3" w:rsidRDefault="004F5CEB" w:rsidP="00A709A3">
      <w:r>
        <w:rPr>
          <w:noProof/>
        </w:rPr>
        <w:pict w14:anchorId="0D91D122">
          <v:rect id="_x0000_i1768" style="width:0;height:1.5pt" o:hralign="center" o:hrstd="t" o:hr="t" fillcolor="#a0a0a0" stroked="f"/>
        </w:pict>
      </w:r>
    </w:p>
    <w:p w14:paraId="11C5F7E9"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וְהָיוּ שָׁמֶיךָ אֲשֶׁר עַל־רֹאשְׁךָ נְחֹשֶׁת וְהָאָרֶץ אֲשֶׁר־תַּחְתֶּיךָ בַּרְזֶל</w:t>
      </w:r>
      <w:r>
        <w:rPr>
          <w:rtl/>
        </w:rPr>
        <w:t xml:space="preserve"> </w:t>
      </w:r>
      <w:r>
        <w:t xml:space="preserve">sind zwei parallele Aussagen: </w:t>
      </w:r>
      <w:r>
        <w:rPr>
          <w:rStyle w:val="Fett"/>
          <w:rFonts w:eastAsiaTheme="majorEastAsia"/>
          <w:rtl/>
        </w:rPr>
        <w:t>וְהָיוּ שָׁמֶיךָ אֲשֶׁר עַל־רֹאשְׁךָ נְחֹשֶׁת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3. Person Plural, </w:t>
      </w:r>
      <w:r>
        <w:rPr>
          <w:rStyle w:val="Fett"/>
          <w:rFonts w:eastAsiaTheme="majorEastAsia"/>
          <w:rtl/>
        </w:rPr>
        <w:t>שָׁמַיִם</w:t>
      </w:r>
      <w:r>
        <w:t xml:space="preserve">, „Himmel", Plural mit Suffix 2. Person Maskulinum Singular, Relativsatz: </w:t>
      </w:r>
      <w:r>
        <w:rPr>
          <w:rStyle w:val="Fett"/>
          <w:rFonts w:eastAsiaTheme="majorEastAsia"/>
          <w:rtl/>
        </w:rPr>
        <w:t>אֲשֶׁר עַל־רֹאשְׁךָ</w:t>
      </w:r>
      <w:r>
        <w:t xml:space="preserve">, </w:t>
      </w:r>
      <w:r>
        <w:rPr>
          <w:rStyle w:val="Fett"/>
          <w:rFonts w:eastAsiaTheme="majorEastAsia"/>
          <w:rtl/>
        </w:rPr>
        <w:t>נְחֹשֶׁת</w:t>
      </w:r>
      <w:r>
        <w:t xml:space="preserve">, „Erz, Kupfer, Bronze", mit </w:t>
      </w:r>
      <w:r>
        <w:rPr>
          <w:rStyle w:val="Fett"/>
          <w:rFonts w:eastAsiaTheme="majorEastAsia"/>
        </w:rPr>
        <w:t>Waw</w:t>
      </w:r>
      <w:r>
        <w:t xml:space="preserve"> consecutives Perfekt), </w:t>
      </w:r>
      <w:r>
        <w:rPr>
          <w:rStyle w:val="Fett"/>
          <w:rFonts w:eastAsiaTheme="majorEastAsia"/>
          <w:rtl/>
        </w:rPr>
        <w:t>וְהָאָרֶץ אֲשֶׁר־תַּחְתֶּיךָ בַּרְזֶל</w:t>
      </w:r>
      <w:r>
        <w:rPr>
          <w:rtl/>
        </w:rPr>
        <w:t xml:space="preserve"> </w:t>
      </w:r>
      <w:r>
        <w:t xml:space="preserve">(parallel mit </w:t>
      </w:r>
      <w:r>
        <w:rPr>
          <w:rStyle w:val="Fett"/>
          <w:rFonts w:eastAsiaTheme="majorEastAsia"/>
          <w:rtl/>
        </w:rPr>
        <w:t>אֶרֶץ</w:t>
      </w:r>
      <w:r>
        <w:t xml:space="preserve">, </w:t>
      </w:r>
      <w:r>
        <w:rPr>
          <w:rStyle w:val="Fett"/>
          <w:rFonts w:eastAsiaTheme="majorEastAsia"/>
          <w:rtl/>
        </w:rPr>
        <w:t>תַּחַת</w:t>
      </w:r>
      <w:r>
        <w:t xml:space="preserve">, „unter", </w:t>
      </w:r>
      <w:r>
        <w:rPr>
          <w:rStyle w:val="Fett"/>
          <w:rFonts w:eastAsiaTheme="majorEastAsia"/>
          <w:rtl/>
        </w:rPr>
        <w:t>בַּרְזֶל</w:t>
      </w:r>
      <w:r>
        <w:t>, „Eisen").</w:t>
      </w:r>
    </w:p>
    <w:p w14:paraId="72C46DCC" w14:textId="77777777" w:rsidR="00A709A3" w:rsidRDefault="00A709A3" w:rsidP="00A709A3">
      <w:pPr>
        <w:pStyle w:val="whitespace-normal"/>
      </w:pPr>
      <w:r>
        <w:lastRenderedPageBreak/>
        <w:t xml:space="preserve">Der Vers beschreibt Dürre durch zwei metallische Metaphern. Die erste Aussage: </w:t>
      </w:r>
      <w:r>
        <w:rPr>
          <w:rStyle w:val="Fett"/>
          <w:rFonts w:eastAsiaTheme="majorEastAsia"/>
          <w:rtl/>
        </w:rPr>
        <w:t>וְהָיוּ שָׁמֶיךָ אֲשֶׁר עַל־רֹאשְׁךָ נְחֹשֶׁת</w:t>
      </w:r>
      <w:r>
        <w:rPr>
          <w:rtl/>
        </w:rPr>
        <w:t xml:space="preserve"> </w:t>
      </w:r>
      <w:r>
        <w:t xml:space="preserve">(„und sein wird dein Himmel, der über deinem Haupt ist, Erz"). Der Himmel wird hart wie Erz – keine Wolken, kein Regen, unbarmherzige Sonne (vgl. Lev 26,19). Die zweite Aussage: </w:t>
      </w:r>
      <w:r>
        <w:rPr>
          <w:rStyle w:val="Fett"/>
          <w:rFonts w:eastAsiaTheme="majorEastAsia"/>
          <w:rtl/>
        </w:rPr>
        <w:t>וְהָאָרֶץ אֲשֶׁר־תַּחְתֶּיךָ בַּרְזֶל</w:t>
      </w:r>
      <w:r>
        <w:rPr>
          <w:rtl/>
        </w:rPr>
        <w:t xml:space="preserve"> </w:t>
      </w:r>
      <w:r>
        <w:t>(„und die Erde, die unter dir ist, Eisen"). Die Erde wird hart wie Eisen – ausgedörrt, rissig, unbearbeitbar. Zusammen beschreiben die beiden Metaphern totale Dürre – keine Feuchtigkeit von oben, völlige Unfruchtbarkeit unten.</w:t>
      </w:r>
    </w:p>
    <w:p w14:paraId="74B5283D" w14:textId="77777777" w:rsidR="00A709A3" w:rsidRDefault="00A709A3" w:rsidP="00A709A3">
      <w:pPr>
        <w:pStyle w:val="whitespace-normal"/>
      </w:pPr>
      <w:r>
        <w:rPr>
          <w:rStyle w:val="Fett"/>
          <w:rFonts w:eastAsiaTheme="majorEastAsia"/>
        </w:rPr>
        <w:t>Die Satzstruktur:</w:t>
      </w:r>
      <w:r>
        <w:t xml:space="preserve"> Zwei parallele Aussagen (und sein wird dein Himmel, der über deinem Haupt ist, Erz, und die Erde, die unter dir ist, Eisen).</w:t>
      </w:r>
    </w:p>
    <w:p w14:paraId="707C68FC" w14:textId="5A74A6E3" w:rsidR="00A709A3" w:rsidRDefault="00A709A3" w:rsidP="00C91766">
      <w:pPr>
        <w:pStyle w:val="whitespace-normal"/>
      </w:pPr>
      <w:r>
        <w:rPr>
          <w:rStyle w:val="Fett"/>
          <w:rFonts w:eastAsiaTheme="majorEastAsia"/>
        </w:rPr>
        <w:t>Der Vers beschreibt:</w:t>
      </w:r>
      <w:r>
        <w:t xml:space="preserve"> Dürre – Himmel wie Erz (kein Regen), Erde wie Eisen (ausgedörrt).</w:t>
      </w:r>
    </w:p>
    <w:p w14:paraId="6FD46F80" w14:textId="77777777" w:rsidR="00A709A3" w:rsidRPr="00564C2A" w:rsidRDefault="00A709A3" w:rsidP="00564C2A">
      <w:pPr>
        <w:pStyle w:val="Bibelberschrift"/>
      </w:pPr>
      <w:r w:rsidRPr="00564C2A">
        <w:rPr>
          <w:rStyle w:val="Fett"/>
          <w:b/>
          <w:bCs w:val="0"/>
        </w:rPr>
        <w:t>Deuteronomium 28,24</w:t>
      </w:r>
    </w:p>
    <w:p w14:paraId="43C66754" w14:textId="77777777" w:rsidR="00A709A3" w:rsidRDefault="00A709A3" w:rsidP="00A709A3">
      <w:pPr>
        <w:pStyle w:val="whitespace-normal"/>
      </w:pPr>
      <w:r>
        <w:rPr>
          <w:rStyle w:val="Fett"/>
          <w:rFonts w:eastAsiaTheme="majorEastAsia"/>
        </w:rPr>
        <w:t>Hebräisch:</w:t>
      </w:r>
      <w:r>
        <w:t xml:space="preserve"> </w:t>
      </w:r>
      <w:r>
        <w:rPr>
          <w:rtl/>
        </w:rPr>
        <w:t>יִתֵּן יְהוָה אֶת־מְטַר אַרְצְךָ אָבָק וְעָפָר מִן־הַשָּׁמַיִם יֵרֵד עָלֶיךָ עַד הִשָּׁמְדָֽךְ׃</w:t>
      </w:r>
    </w:p>
    <w:p w14:paraId="2D76D5A9" w14:textId="77777777" w:rsidR="00A709A3" w:rsidRDefault="00A709A3" w:rsidP="00A709A3">
      <w:pPr>
        <w:pStyle w:val="whitespace-normal"/>
      </w:pPr>
      <w:r>
        <w:rPr>
          <w:rStyle w:val="Fett"/>
          <w:rFonts w:eastAsiaTheme="majorEastAsia"/>
        </w:rPr>
        <w:t>Deutsch:</w:t>
      </w:r>
      <w:r>
        <w:t xml:space="preserve"> JHWH wird als Regen deines Landes Staub und Sand geben; vom Himmel wird er auf dich herabkommen, bis du vertilgt bist.</w:t>
      </w:r>
    </w:p>
    <w:p w14:paraId="42EF8D8F" w14:textId="77777777" w:rsidR="00A709A3" w:rsidRDefault="004F5CEB" w:rsidP="00A709A3">
      <w:r>
        <w:rPr>
          <w:noProof/>
        </w:rPr>
        <w:pict w14:anchorId="53756457">
          <v:rect id="_x0000_i1769" style="width:0;height:1.5pt" o:hralign="center" o:hrstd="t" o:hr="t" fillcolor="#a0a0a0" stroked="f"/>
        </w:pict>
      </w:r>
    </w:p>
    <w:p w14:paraId="7B1686A1"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יִתֵּן יְהוָה אֶת־מְטַר אַרְצְךָ אָבָק וְעָפָר מִן־הַשָּׁמַיִם יֵרֵד עָלֶיךָ עַד הִשָּׁמְדָךְ</w:t>
      </w:r>
      <w:r>
        <w:rPr>
          <w:rtl/>
        </w:rPr>
        <w:t xml:space="preserve"> </w:t>
      </w:r>
      <w:r>
        <w:t xml:space="preserve">sind zwei Aussagen: </w:t>
      </w:r>
      <w:r>
        <w:rPr>
          <w:rStyle w:val="Fett"/>
          <w:rFonts w:eastAsiaTheme="majorEastAsia"/>
          <w:rtl/>
        </w:rPr>
        <w:t>יִתֵּן יְהוָה אֶת־מְטַר אַרְצְךָ אָבָק וְעָפָר</w:t>
      </w:r>
      <w:r>
        <w:rPr>
          <w:rtl/>
        </w:rPr>
        <w:t xml:space="preserve"> </w:t>
      </w:r>
      <w:r>
        <w:t>(</w:t>
      </w:r>
      <w:r>
        <w:rPr>
          <w:rStyle w:val="Fett"/>
          <w:rFonts w:eastAsiaTheme="majorEastAsia"/>
          <w:rtl/>
        </w:rPr>
        <w:t>נתן</w:t>
      </w:r>
      <w:r>
        <w:t xml:space="preserve">, Qal Imperfekt, 3. Person Maskulinum Singular, </w:t>
      </w:r>
      <w:r>
        <w:rPr>
          <w:rStyle w:val="Fett"/>
          <w:rFonts w:eastAsiaTheme="majorEastAsia"/>
          <w:rtl/>
        </w:rPr>
        <w:t>יְהוָה</w:t>
      </w:r>
      <w:r>
        <w:rPr>
          <w:rtl/>
        </w:rPr>
        <w:t xml:space="preserve"> </w:t>
      </w:r>
      <w:r>
        <w:t xml:space="preserve">als Subjekt, Objektpartikel </w:t>
      </w:r>
      <w:r>
        <w:rPr>
          <w:rStyle w:val="Fett"/>
          <w:rFonts w:eastAsiaTheme="majorEastAsia"/>
          <w:rtl/>
        </w:rPr>
        <w:t>אֵת</w:t>
      </w:r>
      <w:r>
        <w:rPr>
          <w:rtl/>
        </w:rPr>
        <w:t xml:space="preserve"> </w:t>
      </w:r>
      <w:r>
        <w:t xml:space="preserve">mit </w:t>
      </w:r>
      <w:r>
        <w:rPr>
          <w:rStyle w:val="Fett"/>
          <w:rFonts w:eastAsiaTheme="majorEastAsia"/>
          <w:rtl/>
        </w:rPr>
        <w:t>מָטָר</w:t>
      </w:r>
      <w:r>
        <w:t xml:space="preserve">, „Regen", Construct mit </w:t>
      </w:r>
      <w:r>
        <w:rPr>
          <w:rStyle w:val="Fett"/>
          <w:rFonts w:eastAsiaTheme="majorEastAsia"/>
          <w:rtl/>
        </w:rPr>
        <w:t>אֶרֶץ</w:t>
      </w:r>
      <w:r>
        <w:rPr>
          <w:rtl/>
        </w:rPr>
        <w:t xml:space="preserve"> </w:t>
      </w:r>
      <w:r>
        <w:t xml:space="preserve">mit Suffix 2. Person Maskulinum Singular, </w:t>
      </w:r>
      <w:r>
        <w:rPr>
          <w:rStyle w:val="Fett"/>
          <w:rFonts w:eastAsiaTheme="majorEastAsia"/>
          <w:rtl/>
        </w:rPr>
        <w:t>אָבָק</w:t>
      </w:r>
      <w:r>
        <w:t xml:space="preserve">, „Staub, Staubsturm", koordiniert durch </w:t>
      </w:r>
      <w:r>
        <w:rPr>
          <w:rStyle w:val="Fett"/>
          <w:rFonts w:eastAsiaTheme="majorEastAsia"/>
          <w:rtl/>
        </w:rPr>
        <w:t>וְ</w:t>
      </w:r>
      <w:r>
        <w:rPr>
          <w:rtl/>
        </w:rPr>
        <w:t xml:space="preserve"> </w:t>
      </w:r>
      <w:r>
        <w:t xml:space="preserve">mit </w:t>
      </w:r>
      <w:r>
        <w:rPr>
          <w:rStyle w:val="Fett"/>
          <w:rFonts w:eastAsiaTheme="majorEastAsia"/>
          <w:rtl/>
        </w:rPr>
        <w:t>עָפָר</w:t>
      </w:r>
      <w:r>
        <w:t xml:space="preserve">, „Sand, Erde"), </w:t>
      </w:r>
      <w:r>
        <w:rPr>
          <w:rStyle w:val="Fett"/>
          <w:rFonts w:eastAsiaTheme="majorEastAsia"/>
          <w:rtl/>
        </w:rPr>
        <w:t>מִן־הַשָּׁמַיִם יֵרֵד עָלֶיךָ עַד הִשָּׁמְדָךְ</w:t>
      </w:r>
      <w:r>
        <w:rPr>
          <w:rtl/>
        </w:rPr>
        <w:t xml:space="preserve"> </w:t>
      </w:r>
      <w:r>
        <w:t>(</w:t>
      </w:r>
      <w:r>
        <w:rPr>
          <w:rStyle w:val="Fett"/>
          <w:rFonts w:eastAsiaTheme="majorEastAsia"/>
          <w:rtl/>
        </w:rPr>
        <w:t>מִן</w:t>
      </w:r>
      <w:r>
        <w:t xml:space="preserve">, </w:t>
      </w:r>
      <w:r>
        <w:rPr>
          <w:rStyle w:val="Fett"/>
          <w:rFonts w:eastAsiaTheme="majorEastAsia"/>
          <w:rtl/>
        </w:rPr>
        <w:t>יָרַד</w:t>
      </w:r>
      <w:r>
        <w:t xml:space="preserve">, Qal Imperfekt, 3. Person Maskulinum Singular, Präposition </w:t>
      </w:r>
      <w:r>
        <w:rPr>
          <w:rStyle w:val="Fett"/>
          <w:rFonts w:eastAsiaTheme="majorEastAsia"/>
          <w:rtl/>
        </w:rPr>
        <w:t>עַל</w:t>
      </w:r>
      <w:r>
        <w:rPr>
          <w:rtl/>
        </w:rPr>
        <w:t xml:space="preserve"> </w:t>
      </w:r>
      <w:r>
        <w:t xml:space="preserve">mit Suffix, Präposition </w:t>
      </w:r>
      <w:r>
        <w:rPr>
          <w:rStyle w:val="Fett"/>
          <w:rFonts w:eastAsiaTheme="majorEastAsia"/>
          <w:rtl/>
        </w:rPr>
        <w:t>עַד</w:t>
      </w:r>
      <w:r>
        <w:rPr>
          <w:rtl/>
        </w:rPr>
        <w:t xml:space="preserve"> </w:t>
      </w:r>
      <w:r>
        <w:t xml:space="preserve">mit Niphal Infinitiv Construct von </w:t>
      </w:r>
      <w:r>
        <w:rPr>
          <w:rStyle w:val="Fett"/>
          <w:rFonts w:eastAsiaTheme="majorEastAsia"/>
          <w:rtl/>
        </w:rPr>
        <w:t>שׁמד</w:t>
      </w:r>
      <w:r>
        <w:t>, mit Suffix).</w:t>
      </w:r>
    </w:p>
    <w:p w14:paraId="2A37CCF8" w14:textId="0B187EC0" w:rsidR="00A709A3" w:rsidRDefault="00A709A3" w:rsidP="00A709A3">
      <w:pPr>
        <w:pStyle w:val="whitespace-normal"/>
      </w:pPr>
      <w:r>
        <w:t xml:space="preserve">Der Vers präzisiert die Dürre aus V. 23. Die erste Aussage: </w:t>
      </w:r>
      <w:r>
        <w:rPr>
          <w:rStyle w:val="Fett"/>
          <w:rFonts w:eastAsiaTheme="majorEastAsia"/>
          <w:rtl/>
        </w:rPr>
        <w:t>יִתֵּן יְהוָה אֶת־מְטַר אַרְצְךָ אָבָק וְעָפָר</w:t>
      </w:r>
      <w:r>
        <w:rPr>
          <w:rtl/>
        </w:rPr>
        <w:t xml:space="preserve"> </w:t>
      </w:r>
      <w:r>
        <w:t xml:space="preserve">(„geben wird JHWH als Regen deines Landes Staub und Sand"). Statt Regen fällt Staub – Sandsturm statt Regen (vgl. </w:t>
      </w:r>
      <w:r w:rsidR="00BF3748">
        <w:t>Hes</w:t>
      </w:r>
      <w:r>
        <w:t xml:space="preserve"> 22,24). Die zweite Aussage: </w:t>
      </w:r>
      <w:r>
        <w:rPr>
          <w:rStyle w:val="Fett"/>
          <w:rFonts w:eastAsiaTheme="majorEastAsia"/>
          <w:rtl/>
        </w:rPr>
        <w:t>מִן־הַשָּׁמַיִם יֵרֵד עָלֶיךָ עַד הִשָּׁמְדָךְ</w:t>
      </w:r>
      <w:r>
        <w:rPr>
          <w:rtl/>
        </w:rPr>
        <w:t xml:space="preserve"> </w:t>
      </w:r>
      <w:r>
        <w:t>(„vom Himmel wird er herabkommen auf dich, bis du vertilgt bist"). Der tödliche Staub vom Himmel dauert bis zur Vernichtung.</w:t>
      </w:r>
    </w:p>
    <w:p w14:paraId="39BF10F3" w14:textId="77777777" w:rsidR="00A709A3" w:rsidRDefault="00A709A3" w:rsidP="00A709A3">
      <w:pPr>
        <w:pStyle w:val="whitespace-normal"/>
      </w:pPr>
      <w:r>
        <w:rPr>
          <w:rStyle w:val="Fett"/>
          <w:rFonts w:eastAsiaTheme="majorEastAsia"/>
        </w:rPr>
        <w:t>Die Satzstruktur:</w:t>
      </w:r>
      <w:r>
        <w:t xml:space="preserve"> Zwei Aussagen (geben wird JHWH als Regen deines Landes Staub und Sand; vom Himmel wird er herabkommen auf dich, bis du vertilgt bist).</w:t>
      </w:r>
    </w:p>
    <w:p w14:paraId="71F9FF5C" w14:textId="77777777" w:rsidR="00A709A3" w:rsidRDefault="00A709A3" w:rsidP="00A709A3">
      <w:pPr>
        <w:pStyle w:val="whitespace-normal"/>
      </w:pPr>
      <w:r>
        <w:rPr>
          <w:rStyle w:val="Fett"/>
          <w:rFonts w:eastAsiaTheme="majorEastAsia"/>
        </w:rPr>
        <w:t>Der Vers beschreibt:</w:t>
      </w:r>
      <w:r>
        <w:t xml:space="preserve"> Statt Regen – tödliche Sandstürme bis zur Vernichtung.</w:t>
      </w:r>
    </w:p>
    <w:p w14:paraId="3A39EACA" w14:textId="77777777" w:rsidR="00A709A3" w:rsidRPr="00564C2A" w:rsidRDefault="00A709A3" w:rsidP="00564C2A">
      <w:pPr>
        <w:pStyle w:val="Bibelberschrift"/>
      </w:pPr>
      <w:r w:rsidRPr="00564C2A">
        <w:rPr>
          <w:rStyle w:val="Fett"/>
          <w:b/>
          <w:bCs w:val="0"/>
        </w:rPr>
        <w:t>Deuteronomium 28,25</w:t>
      </w:r>
    </w:p>
    <w:p w14:paraId="5AF127E4" w14:textId="77777777" w:rsidR="00A709A3" w:rsidRDefault="00A709A3" w:rsidP="00A709A3">
      <w:pPr>
        <w:pStyle w:val="whitespace-normal"/>
      </w:pPr>
      <w:r>
        <w:rPr>
          <w:rStyle w:val="Fett"/>
          <w:rFonts w:eastAsiaTheme="majorEastAsia"/>
        </w:rPr>
        <w:t>Hebräisch:</w:t>
      </w:r>
      <w:r>
        <w:t xml:space="preserve"> </w:t>
      </w:r>
      <w:r>
        <w:rPr>
          <w:rtl/>
        </w:rPr>
        <w:t>יִתֶּנְךָ יְהוָה׀ נִגָּף לִפְנֵי אֹיְבֶיךָ בְּדֶרֶךְ אֶחָד תֵּצֵא אֵלָיו וּבְשִׁבְעָה דְרָכִים תָּנוּס לְפָנָיו וְהָיִיתָ לְזַעֲוָה לְכֹל מַמְלְכוֹת הָאָֽרֶץ׃</w:t>
      </w:r>
    </w:p>
    <w:p w14:paraId="70942DDE" w14:textId="77777777" w:rsidR="00A709A3" w:rsidRDefault="00A709A3" w:rsidP="00A709A3">
      <w:pPr>
        <w:pStyle w:val="whitespace-normal"/>
      </w:pPr>
      <w:r>
        <w:rPr>
          <w:rStyle w:val="Fett"/>
          <w:rFonts w:eastAsiaTheme="majorEastAsia"/>
        </w:rPr>
        <w:t>Deutsch:</w:t>
      </w:r>
      <w:r>
        <w:t xml:space="preserve"> JHWH wird dich geschlagen dahingeben vor deinen Feinden; auf einem Weg wirst du gegen ihn ausziehen, und auf sieben Wegen wirst du vor ihm fliehen, und du wirst zum Entsetzen werden für alle Königreiche der Erde.</w:t>
      </w:r>
    </w:p>
    <w:p w14:paraId="7FB087E5" w14:textId="77777777" w:rsidR="00A709A3" w:rsidRDefault="004F5CEB" w:rsidP="00A709A3">
      <w:r>
        <w:rPr>
          <w:noProof/>
        </w:rPr>
        <w:lastRenderedPageBreak/>
        <w:pict w14:anchorId="1B7B87F7">
          <v:rect id="_x0000_i1770" style="width:0;height:1.5pt" o:hralign="center" o:hrstd="t" o:hr="t" fillcolor="#a0a0a0" stroked="f"/>
        </w:pict>
      </w:r>
    </w:p>
    <w:p w14:paraId="325A4BE9"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יִתֶּנְךָ יְהוָה נִגָּף לִפְנֵי אֹיְבֶיךָ בְּדֶרֶךְ אֶחָד תֵּצֵא אֵלָיו וּבְשִׁבְעָה דְרָכִים תָּנוּס לְפָנָיו וְהָיִיתָ לְזַעֲוָה לְכֹל מַמְלְכוֹת הָאָרֶץ</w:t>
      </w:r>
      <w:r>
        <w:rPr>
          <w:rtl/>
        </w:rPr>
        <w:t xml:space="preserve"> </w:t>
      </w:r>
      <w:r>
        <w:t xml:space="preserve">– Umkehrung von V. 7: </w:t>
      </w:r>
      <w:r>
        <w:rPr>
          <w:rStyle w:val="Fett"/>
          <w:rFonts w:eastAsiaTheme="majorEastAsia"/>
          <w:rtl/>
        </w:rPr>
        <w:t>יִתֶּנְךָ יְהוָה נִגָּף לִפְנֵי אֹיְבֶיךָ בְּדֶרֶךְ אֶחָד תֵּצֵא אֵלָיו וּבְשִׁבְעָה דְרָכִים תָּנוּס לְפָנָיו</w:t>
      </w:r>
      <w:r>
        <w:rPr>
          <w:rtl/>
        </w:rPr>
        <w:t xml:space="preserve"> </w:t>
      </w:r>
      <w:r>
        <w:t xml:space="preserve">(wie V. 7, aber umgekehrt: Israel zieht geschlossen aus und flieht chaotisch), </w:t>
      </w:r>
      <w:r>
        <w:rPr>
          <w:rStyle w:val="Fett"/>
          <w:rFonts w:eastAsiaTheme="majorEastAsia"/>
          <w:rtl/>
        </w:rPr>
        <w:t>וְהָיִיתָ לְזַעֲוָה לְכֹל מַמְלְכוֹת הָאָרֶץ</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2. Person Maskulinum Singular, Präposition </w:t>
      </w:r>
      <w:r>
        <w:rPr>
          <w:rStyle w:val="Fett"/>
          <w:rFonts w:eastAsiaTheme="majorEastAsia"/>
          <w:rtl/>
        </w:rPr>
        <w:t>לְ</w:t>
      </w:r>
      <w:r>
        <w:rPr>
          <w:rtl/>
        </w:rPr>
        <w:t xml:space="preserve"> </w:t>
      </w:r>
      <w:r>
        <w:t xml:space="preserve">mit </w:t>
      </w:r>
      <w:r>
        <w:rPr>
          <w:rStyle w:val="Fett"/>
          <w:rFonts w:eastAsiaTheme="majorEastAsia"/>
          <w:rtl/>
        </w:rPr>
        <w:t>זַעֲוָה</w:t>
      </w:r>
      <w:r>
        <w:t xml:space="preserve">, „Entsetzen, Schrecken", </w:t>
      </w:r>
      <w:r>
        <w:rPr>
          <w:rStyle w:val="Fett"/>
          <w:rFonts w:eastAsiaTheme="majorEastAsia"/>
          <w:rtl/>
        </w:rPr>
        <w:t>לְכֹל מַמְלְכוֹת הָאָרֶץ</w:t>
      </w:r>
      <w:r>
        <w:t xml:space="preserve">, mit </w:t>
      </w:r>
      <w:r>
        <w:rPr>
          <w:rStyle w:val="Fett"/>
          <w:rFonts w:eastAsiaTheme="majorEastAsia"/>
        </w:rPr>
        <w:t>Waw</w:t>
      </w:r>
      <w:r>
        <w:t xml:space="preserve"> consecutives Perfekt).</w:t>
      </w:r>
    </w:p>
    <w:p w14:paraId="4D1EFCE4" w14:textId="22A00AB3" w:rsidR="00A709A3" w:rsidRDefault="00A709A3" w:rsidP="00A709A3">
      <w:pPr>
        <w:pStyle w:val="whitespace-normal"/>
      </w:pPr>
      <w:r>
        <w:t xml:space="preserve">Der Vers kehrt den militärischen Segen von V. 7 ins Gegenteil um. Die Ankündigung: </w:t>
      </w:r>
      <w:r>
        <w:rPr>
          <w:rStyle w:val="Fett"/>
          <w:rFonts w:eastAsiaTheme="majorEastAsia"/>
          <w:rtl/>
        </w:rPr>
        <w:t>יִתֶּנְךָ יְהוָה נִגָּף לִפְנֵי אֹיְבֶיךָ בְּדֶרֶךְ אֶחָד תֵּצֵא אֵלָיו וּבְשִׁבְעָה דְרָכִים תָּנוּס לְפָנָיו</w:t>
      </w:r>
      <w:r>
        <w:rPr>
          <w:rtl/>
        </w:rPr>
        <w:t xml:space="preserve"> </w:t>
      </w:r>
      <w:r>
        <w:t xml:space="preserve">(„dahingeben wird JHWH dich geschlagen vor deinen Feinden; auf einem Weg wirst du ausziehen gegen ihn, und auf sieben Wegen wirst du fliehen vor ihm"). Exakte Umkehrung von V. 7 – geschlossener Auszug → chaotische Flucht. Die zusätzliche Aussage: </w:t>
      </w:r>
      <w:r>
        <w:rPr>
          <w:rStyle w:val="Fett"/>
          <w:rFonts w:eastAsiaTheme="majorEastAsia"/>
          <w:rtl/>
        </w:rPr>
        <w:t>וְהָיִיתָ לְזַעֲוָה לְכֹל מַמְלְכוֹת הָאָרֶץ</w:t>
      </w:r>
      <w:r>
        <w:rPr>
          <w:rtl/>
        </w:rPr>
        <w:t xml:space="preserve"> </w:t>
      </w:r>
      <w:r>
        <w:t xml:space="preserve">(„und sein wirst du zum Entsetzen für alle Königreiche der Erde"). Das Wort </w:t>
      </w:r>
      <w:r>
        <w:rPr>
          <w:rStyle w:val="Fett"/>
          <w:rFonts w:eastAsiaTheme="majorEastAsia"/>
          <w:rtl/>
        </w:rPr>
        <w:t>זַעֲוָה</w:t>
      </w:r>
      <w:r>
        <w:rPr>
          <w:rtl/>
        </w:rPr>
        <w:t xml:space="preserve"> </w:t>
      </w:r>
      <w:r>
        <w:t xml:space="preserve">(„Entsetzen, Schrecken") – Israel wird zum abschreckenden Beispiel für andere Völker (vgl. Jer 15,4; 24,9; 29,18; 34,17; </w:t>
      </w:r>
      <w:r w:rsidR="00BF3748">
        <w:t>Hes</w:t>
      </w:r>
      <w:r>
        <w:t xml:space="preserve"> 23,46; </w:t>
      </w:r>
      <w:r w:rsidR="00664EB6">
        <w:t>2Chr</w:t>
      </w:r>
      <w:r>
        <w:t xml:space="preserve"> 29,8).</w:t>
      </w:r>
    </w:p>
    <w:p w14:paraId="38D8891A" w14:textId="77777777" w:rsidR="00A709A3" w:rsidRDefault="00A709A3" w:rsidP="00A709A3">
      <w:pPr>
        <w:pStyle w:val="whitespace-normal"/>
      </w:pPr>
      <w:r>
        <w:rPr>
          <w:rStyle w:val="Fett"/>
          <w:rFonts w:eastAsiaTheme="majorEastAsia"/>
        </w:rPr>
        <w:t>Die Satzstruktur:</w:t>
      </w:r>
      <w:r>
        <w:t xml:space="preserve"> Ankündigung mit Zusatz (dahingeben wird JHWH dich geschlagen vor deinen Feinden; auf einem Weg wirst du ausziehen gegen ihn, und auf sieben Wegen wirst du fliehen vor ihm, und sein wirst du zum Entsetzen für alle Königreiche der Erde).</w:t>
      </w:r>
    </w:p>
    <w:p w14:paraId="66106EDA" w14:textId="77777777" w:rsidR="00A709A3" w:rsidRDefault="00A709A3" w:rsidP="00A709A3">
      <w:pPr>
        <w:pStyle w:val="whitespace-normal"/>
      </w:pPr>
      <w:r>
        <w:rPr>
          <w:rStyle w:val="Fett"/>
          <w:rFonts w:eastAsiaTheme="majorEastAsia"/>
        </w:rPr>
        <w:t>Der Vers beschreibt:</w:t>
      </w:r>
      <w:r>
        <w:t xml:space="preserve"> Militärische Niederlage – chaotische Flucht statt Sieg (Umkehrung von V. 7), Israel wird zum abschreckenden Beispiel.</w:t>
      </w:r>
    </w:p>
    <w:p w14:paraId="37894AF3" w14:textId="77777777" w:rsidR="00A709A3" w:rsidRPr="00564C2A" w:rsidRDefault="00A709A3" w:rsidP="00564C2A">
      <w:pPr>
        <w:pStyle w:val="Bibelberschrift"/>
      </w:pPr>
      <w:r w:rsidRPr="00564C2A">
        <w:rPr>
          <w:rStyle w:val="Fett"/>
          <w:b/>
          <w:bCs w:val="0"/>
        </w:rPr>
        <w:t>Deuteronomium 28,26</w:t>
      </w:r>
    </w:p>
    <w:p w14:paraId="290D2B23" w14:textId="77777777" w:rsidR="00A709A3" w:rsidRDefault="00A709A3" w:rsidP="00A709A3">
      <w:pPr>
        <w:pStyle w:val="whitespace-normal"/>
      </w:pPr>
      <w:r>
        <w:rPr>
          <w:rStyle w:val="Fett"/>
          <w:rFonts w:eastAsiaTheme="majorEastAsia"/>
        </w:rPr>
        <w:t>Hebräisch:</w:t>
      </w:r>
      <w:r>
        <w:t xml:space="preserve"> </w:t>
      </w:r>
      <w:r>
        <w:rPr>
          <w:rtl/>
        </w:rPr>
        <w:t>וְהָיְתָה נִבְלָֽתְךָ לְמַאֲכָל לְכָל־עוֹף הַשָּׁמַיִם וּלְבֶהֱמַת הָאָרֶץ וְאֵין מַחֲרִֽיד׃</w:t>
      </w:r>
    </w:p>
    <w:p w14:paraId="793CB5E7" w14:textId="77777777" w:rsidR="00A709A3" w:rsidRDefault="00A709A3" w:rsidP="00A709A3">
      <w:pPr>
        <w:pStyle w:val="whitespace-normal"/>
      </w:pPr>
      <w:r>
        <w:rPr>
          <w:rStyle w:val="Fett"/>
          <w:rFonts w:eastAsiaTheme="majorEastAsia"/>
        </w:rPr>
        <w:t>Deutsch:</w:t>
      </w:r>
      <w:r>
        <w:t xml:space="preserve"> Und dein Leichnam wird zum Fraß werden für alle Vögel des Himmels und für die Tiere der Erde, und niemand wird sie verscheuchen.</w:t>
      </w:r>
    </w:p>
    <w:p w14:paraId="291B571B" w14:textId="77777777" w:rsidR="00A709A3" w:rsidRDefault="004F5CEB" w:rsidP="00A709A3">
      <w:r>
        <w:rPr>
          <w:noProof/>
        </w:rPr>
        <w:pict w14:anchorId="529452B2">
          <v:rect id="_x0000_i1771" style="width:0;height:1.5pt" o:hralign="center" o:hrstd="t" o:hr="t" fillcolor="#a0a0a0" stroked="f"/>
        </w:pict>
      </w:r>
    </w:p>
    <w:p w14:paraId="18E967C6"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וְהָיְתָה נִבְלָתְךָ לְמַאֲכָל לְכָל־עוֹף הַשָּׁמַיִם וּלְבֶהֱמַת הָאָרֶץ וְאֵין מַחֲרִיד</w:t>
      </w:r>
      <w:r>
        <w:rPr>
          <w:rtl/>
        </w:rPr>
        <w:t xml:space="preserve"> </w:t>
      </w:r>
      <w:r>
        <w:t xml:space="preserve">sind zwei Aussagen: </w:t>
      </w:r>
      <w:r>
        <w:rPr>
          <w:rStyle w:val="Fett"/>
          <w:rFonts w:eastAsiaTheme="majorEastAsia"/>
          <w:rtl/>
        </w:rPr>
        <w:t>וְהָיְתָה נִבְלָתְךָ לְמַאֲכָל לְכָל־עוֹף הַשָּׁמַיִם וּלְבֶהֱמַת הָאָרֶץ</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3. Person Femininum Singular, </w:t>
      </w:r>
      <w:r>
        <w:rPr>
          <w:rStyle w:val="Fett"/>
          <w:rFonts w:eastAsiaTheme="majorEastAsia"/>
          <w:rtl/>
        </w:rPr>
        <w:t>נְבֵלָה</w:t>
      </w:r>
      <w:r>
        <w:t xml:space="preserve">, „Leichnam, Kadaver", mit Suffix 2. Person Maskulinum Singular als Subjekt, Präposition </w:t>
      </w:r>
      <w:r>
        <w:rPr>
          <w:rStyle w:val="Fett"/>
          <w:rFonts w:eastAsiaTheme="majorEastAsia"/>
          <w:rtl/>
        </w:rPr>
        <w:t>לְ</w:t>
      </w:r>
      <w:r>
        <w:rPr>
          <w:rtl/>
        </w:rPr>
        <w:t xml:space="preserve"> </w:t>
      </w:r>
      <w:r>
        <w:t xml:space="preserve">mit </w:t>
      </w:r>
      <w:r>
        <w:rPr>
          <w:rStyle w:val="Fett"/>
          <w:rFonts w:eastAsiaTheme="majorEastAsia"/>
          <w:rtl/>
        </w:rPr>
        <w:t>מַאֲכָל</w:t>
      </w:r>
      <w:r>
        <w:t xml:space="preserve">, „Speise, Fraß", Präposition </w:t>
      </w:r>
      <w:r>
        <w:rPr>
          <w:rStyle w:val="Fett"/>
          <w:rFonts w:eastAsiaTheme="majorEastAsia"/>
          <w:rtl/>
        </w:rPr>
        <w:t>לְ</w:t>
      </w:r>
      <w:r>
        <w:rPr>
          <w:rtl/>
        </w:rPr>
        <w:t xml:space="preserve"> </w:t>
      </w:r>
      <w:r>
        <w:t xml:space="preserve">mit </w:t>
      </w:r>
      <w:r>
        <w:rPr>
          <w:rStyle w:val="Fett"/>
          <w:rFonts w:eastAsiaTheme="majorEastAsia"/>
          <w:rtl/>
        </w:rPr>
        <w:t>כָּל־עוֹף הַשָּׁמַיִם</w:t>
      </w:r>
      <w:r>
        <w:t xml:space="preserve">, koordiniert durch </w:t>
      </w:r>
      <w:r>
        <w:rPr>
          <w:rStyle w:val="Fett"/>
          <w:rFonts w:eastAsiaTheme="majorEastAsia"/>
          <w:rtl/>
        </w:rPr>
        <w:t>וּ</w:t>
      </w:r>
      <w:r>
        <w:rPr>
          <w:rtl/>
        </w:rPr>
        <w:t xml:space="preserve"> </w:t>
      </w:r>
      <w:r>
        <w:t xml:space="preserve">mit Präposition </w:t>
      </w:r>
      <w:r>
        <w:rPr>
          <w:rStyle w:val="Fett"/>
          <w:rFonts w:eastAsiaTheme="majorEastAsia"/>
          <w:rtl/>
        </w:rPr>
        <w:t>לְ</w:t>
      </w:r>
      <w:r>
        <w:t xml:space="preserve">, </w:t>
      </w:r>
      <w:r>
        <w:rPr>
          <w:rStyle w:val="Fett"/>
          <w:rFonts w:eastAsiaTheme="majorEastAsia"/>
          <w:rtl/>
        </w:rPr>
        <w:t>בְּהֵמָה</w:t>
      </w:r>
      <w:r>
        <w:t xml:space="preserve">, „Tier", Construct mit </w:t>
      </w:r>
      <w:r>
        <w:rPr>
          <w:rStyle w:val="Fett"/>
          <w:rFonts w:eastAsiaTheme="majorEastAsia"/>
          <w:rtl/>
        </w:rPr>
        <w:t>אֶרֶץ</w:t>
      </w:r>
      <w:r>
        <w:rPr>
          <w:rtl/>
        </w:rPr>
        <w:t xml:space="preserve"> </w:t>
      </w:r>
      <w:r>
        <w:t xml:space="preserve">mit Artikel, mit </w:t>
      </w:r>
      <w:r>
        <w:rPr>
          <w:rStyle w:val="Fett"/>
          <w:rFonts w:eastAsiaTheme="majorEastAsia"/>
        </w:rPr>
        <w:t>Waw</w:t>
      </w:r>
      <w:r>
        <w:t xml:space="preserve"> consecutives Perfekt), </w:t>
      </w:r>
      <w:r>
        <w:rPr>
          <w:rStyle w:val="Fett"/>
          <w:rFonts w:eastAsiaTheme="majorEastAsia"/>
          <w:rtl/>
        </w:rPr>
        <w:t>וְאֵין מַחֲרִיד</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אֵין</w:t>
      </w:r>
      <w:r>
        <w:t xml:space="preserve">, Negationspartikel, </w:t>
      </w:r>
      <w:r>
        <w:rPr>
          <w:rStyle w:val="Fett"/>
          <w:rFonts w:eastAsiaTheme="majorEastAsia"/>
          <w:rtl/>
        </w:rPr>
        <w:t>חרד</w:t>
      </w:r>
      <w:r>
        <w:t>, Hiphil Partizip, „verscheuchen, aufschrecken").</w:t>
      </w:r>
    </w:p>
    <w:p w14:paraId="4D3EDCEA" w14:textId="156BC524" w:rsidR="00A709A3" w:rsidRDefault="00A709A3" w:rsidP="00A709A3">
      <w:pPr>
        <w:pStyle w:val="whitespace-normal"/>
      </w:pPr>
      <w:r>
        <w:t xml:space="preserve">Der Vers beschreibt die Schändung der Leichen nach der Schlacht. Die erste Aussage: </w:t>
      </w:r>
      <w:r>
        <w:rPr>
          <w:rStyle w:val="Fett"/>
          <w:rFonts w:eastAsiaTheme="majorEastAsia"/>
          <w:rtl/>
        </w:rPr>
        <w:t>וְהָיְתָה נִבְלָתְךָ לְמַאֲכָל לְכָל־עוֹף הַשָּׁמַיִם וּלְבֶהֱמַת הָאָרֶץ</w:t>
      </w:r>
      <w:r>
        <w:rPr>
          <w:rtl/>
        </w:rPr>
        <w:t xml:space="preserve"> </w:t>
      </w:r>
      <w:r>
        <w:t xml:space="preserve">(„und sein wird dein Leichnam zum Fraß für alle Vögel des Himmels und für die Tiere der Erde"). Das Wort </w:t>
      </w:r>
      <w:r>
        <w:rPr>
          <w:rStyle w:val="Fett"/>
          <w:rFonts w:eastAsiaTheme="majorEastAsia"/>
          <w:rtl/>
        </w:rPr>
        <w:t>נְבֵלָה</w:t>
      </w:r>
      <w:r>
        <w:rPr>
          <w:rtl/>
        </w:rPr>
        <w:t xml:space="preserve"> </w:t>
      </w:r>
      <w:r>
        <w:t>(„Leichnam, Kadaver") – die G</w:t>
      </w:r>
      <w:r w:rsidR="00D47758">
        <w:t>ef</w:t>
      </w:r>
      <w:r w:rsidR="00743283">
        <w:t>a</w:t>
      </w:r>
      <w:r>
        <w:t xml:space="preserve">llenen liegen unbestattet. Die Formulierung </w:t>
      </w:r>
      <w:r>
        <w:rPr>
          <w:rStyle w:val="Fett"/>
          <w:rFonts w:eastAsiaTheme="majorEastAsia"/>
          <w:rtl/>
        </w:rPr>
        <w:t>לְמַאֲכָל</w:t>
      </w:r>
      <w:r>
        <w:rPr>
          <w:rtl/>
        </w:rPr>
        <w:t xml:space="preserve"> </w:t>
      </w:r>
      <w:r>
        <w:t xml:space="preserve">(„zum Fraß") – die Leichen werden von Aasvögeln und wilden Tieren gefressen (vgl. </w:t>
      </w:r>
      <w:r w:rsidR="00664EB6">
        <w:t>1Sam</w:t>
      </w:r>
      <w:r>
        <w:t xml:space="preserve"> 17,44.46; </w:t>
      </w:r>
      <w:r w:rsidR="00664EB6">
        <w:t>1Kön</w:t>
      </w:r>
      <w:r>
        <w:t xml:space="preserve"> 14,11; 16,4; 21,24; </w:t>
      </w:r>
      <w:r>
        <w:lastRenderedPageBreak/>
        <w:t xml:space="preserve">Jer 7,33; 16,4; 19,7; 34,20; </w:t>
      </w:r>
      <w:r w:rsidR="00BF3748">
        <w:t>Hes</w:t>
      </w:r>
      <w:r>
        <w:t xml:space="preserve"> 29,5; 39,4.17-20). Die zweite Aussage: </w:t>
      </w:r>
      <w:r>
        <w:rPr>
          <w:rStyle w:val="Fett"/>
          <w:rFonts w:eastAsiaTheme="majorEastAsia"/>
          <w:rtl/>
        </w:rPr>
        <w:t>וְאֵין מַחֲרִיד</w:t>
      </w:r>
      <w:r>
        <w:rPr>
          <w:rtl/>
        </w:rPr>
        <w:t xml:space="preserve"> </w:t>
      </w:r>
      <w:r>
        <w:t>(„und niemand wird verscheuchen"). Niemand wird die Tiere vertreiben – es gibt keine Bestattung, keine Ehrerbietung für die Toten. Dies ist eine besonders schwere Schande im antiken Nahen Osten, wo ordentliche Bestattung sehr wichtig war.</w:t>
      </w:r>
    </w:p>
    <w:p w14:paraId="7FADC982" w14:textId="77777777" w:rsidR="00A709A3" w:rsidRDefault="00A709A3" w:rsidP="00A709A3">
      <w:pPr>
        <w:pStyle w:val="whitespace-normal"/>
      </w:pPr>
      <w:r>
        <w:rPr>
          <w:rStyle w:val="Fett"/>
          <w:rFonts w:eastAsiaTheme="majorEastAsia"/>
        </w:rPr>
        <w:t>Die Satzstruktur:</w:t>
      </w:r>
      <w:r>
        <w:t xml:space="preserve"> Zwei Aussagen (und sein wird dein Leichnam zum Fraß für alle Vögel des Himmels und für die Tiere der Erde, und niemand wird verscheuchen).</w:t>
      </w:r>
    </w:p>
    <w:p w14:paraId="49186B86" w14:textId="77777777" w:rsidR="00A709A3" w:rsidRDefault="00A709A3" w:rsidP="00A709A3">
      <w:pPr>
        <w:pStyle w:val="whitespace-normal"/>
      </w:pPr>
      <w:r>
        <w:rPr>
          <w:rStyle w:val="Fett"/>
          <w:rFonts w:eastAsiaTheme="majorEastAsia"/>
        </w:rPr>
        <w:t>Der Vers beschreibt:</w:t>
      </w:r>
      <w:r>
        <w:t xml:space="preserve"> Schändung der Toten – Leichen bleiben unbestattet als Tierfraß.</w:t>
      </w:r>
    </w:p>
    <w:p w14:paraId="1A3731C0" w14:textId="77777777" w:rsidR="00A709A3" w:rsidRPr="00564C2A" w:rsidRDefault="00A709A3" w:rsidP="00564C2A">
      <w:pPr>
        <w:pStyle w:val="Bibelberschrift"/>
      </w:pPr>
      <w:r w:rsidRPr="00564C2A">
        <w:rPr>
          <w:rStyle w:val="Fett"/>
          <w:b/>
          <w:bCs w:val="0"/>
        </w:rPr>
        <w:t>Deuteronomium 28,27</w:t>
      </w:r>
    </w:p>
    <w:p w14:paraId="527C452D" w14:textId="77777777" w:rsidR="00A709A3" w:rsidRDefault="00A709A3" w:rsidP="00A709A3">
      <w:pPr>
        <w:pStyle w:val="whitespace-normal"/>
      </w:pPr>
      <w:r>
        <w:rPr>
          <w:rStyle w:val="Fett"/>
          <w:rFonts w:eastAsiaTheme="majorEastAsia"/>
        </w:rPr>
        <w:t>Hebräisch:</w:t>
      </w:r>
      <w:r>
        <w:t xml:space="preserve"> </w:t>
      </w:r>
      <w:r>
        <w:rPr>
          <w:rtl/>
        </w:rPr>
        <w:t>יַכְּכָה יְהוָה בִּשְׁחִין מִצְרַיִם וּבָעֳפָלִים וּבַגָּרָב וּבֶחָרֶס אֲשֶׁר לֹא־תוּכַל לְהֵרָפֵֽא׃</w:t>
      </w:r>
    </w:p>
    <w:p w14:paraId="0476B28F" w14:textId="77777777" w:rsidR="00A709A3" w:rsidRDefault="00A709A3" w:rsidP="00A709A3">
      <w:pPr>
        <w:pStyle w:val="whitespace-normal"/>
      </w:pPr>
      <w:r>
        <w:rPr>
          <w:rStyle w:val="Fett"/>
          <w:rFonts w:eastAsiaTheme="majorEastAsia"/>
        </w:rPr>
        <w:t>Deutsch:</w:t>
      </w:r>
      <w:r>
        <w:t xml:space="preserve"> JHWH wird dich schlagen mit den Geschwüren Ägyptens und mit Beulen und mit Krätze und mit Grind, dass du nicht geheilt werden kannst.</w:t>
      </w:r>
    </w:p>
    <w:p w14:paraId="58ACB7F1" w14:textId="77777777" w:rsidR="00A709A3" w:rsidRDefault="004F5CEB" w:rsidP="00A709A3">
      <w:r>
        <w:rPr>
          <w:noProof/>
        </w:rPr>
        <w:pict w14:anchorId="5A94FF96">
          <v:rect id="_x0000_i1772" style="width:0;height:1.5pt" o:hralign="center" o:hrstd="t" o:hr="t" fillcolor="#a0a0a0" stroked="f"/>
        </w:pict>
      </w:r>
    </w:p>
    <w:p w14:paraId="751987E4" w14:textId="7C340B30" w:rsidR="00A709A3" w:rsidRDefault="00A709A3" w:rsidP="00A709A3">
      <w:pPr>
        <w:pStyle w:val="whitespace-normal"/>
      </w:pPr>
      <w:r>
        <w:rPr>
          <w:rStyle w:val="Fett"/>
          <w:rFonts w:eastAsiaTheme="majorEastAsia"/>
        </w:rPr>
        <w:t>Kommentar:</w:t>
      </w:r>
      <w:r>
        <w:t xml:space="preserve"> </w:t>
      </w:r>
      <w:r>
        <w:rPr>
          <w:rStyle w:val="Fett"/>
          <w:rFonts w:eastAsiaTheme="majorEastAsia"/>
          <w:rtl/>
        </w:rPr>
        <w:t>יַכְּכָה יְהוָה בִּשְׁחִין מִצְרַיִם וּבָעֳפָלִים וּבַגָּרָב וּבֶחָרֶס אֲשֶׁר לֹא־תוּכַל לְהֵרָפֵא</w:t>
      </w:r>
      <w:r>
        <w:rPr>
          <w:rtl/>
        </w:rPr>
        <w:t xml:space="preserve"> </w:t>
      </w:r>
      <w:r>
        <w:t xml:space="preserve">ist eine Ankündigung von Hautkrankheiten: </w:t>
      </w:r>
      <w:r>
        <w:rPr>
          <w:rStyle w:val="Fett"/>
          <w:rFonts w:eastAsiaTheme="majorEastAsia"/>
          <w:rtl/>
        </w:rPr>
        <w:t>יַכְּכָה יְהוָה בִּשְׁחִין מִצְרַיִם וּבָעֳפָלִים וּבַגָּרָב וּבֶחָרֶס</w:t>
      </w:r>
      <w:r>
        <w:rPr>
          <w:rtl/>
        </w:rPr>
        <w:t xml:space="preserve"> </w:t>
      </w:r>
      <w:r>
        <w:t>(</w:t>
      </w:r>
      <w:r>
        <w:rPr>
          <w:rStyle w:val="Fett"/>
          <w:rFonts w:eastAsiaTheme="majorEastAsia"/>
          <w:rtl/>
        </w:rPr>
        <w:t>נכה</w:t>
      </w:r>
      <w:r>
        <w:t xml:space="preserve">, Hiphil Imperfekt, 3. Person Maskulinum Singular, </w:t>
      </w:r>
      <w:r>
        <w:rPr>
          <w:rStyle w:val="Fett"/>
          <w:rFonts w:eastAsiaTheme="majorEastAsia"/>
          <w:rtl/>
        </w:rPr>
        <w:t>יְהוָה</w:t>
      </w:r>
      <w:r>
        <w:rPr>
          <w:rtl/>
        </w:rPr>
        <w:t xml:space="preserve"> </w:t>
      </w:r>
      <w:r>
        <w:t xml:space="preserve">als Subjekt, vier mit Präposition </w:t>
      </w:r>
      <w:r>
        <w:rPr>
          <w:rStyle w:val="Fett"/>
          <w:rFonts w:eastAsiaTheme="majorEastAsia"/>
          <w:rtl/>
        </w:rPr>
        <w:t>בְּ</w:t>
      </w:r>
      <w:r>
        <w:rPr>
          <w:rtl/>
        </w:rPr>
        <w:t xml:space="preserve"> </w:t>
      </w:r>
      <w:r>
        <w:t xml:space="preserve">eingeleitete Begriffe: </w:t>
      </w:r>
      <w:r>
        <w:rPr>
          <w:rStyle w:val="Fett"/>
          <w:rFonts w:eastAsiaTheme="majorEastAsia"/>
          <w:rtl/>
        </w:rPr>
        <w:t>שְׁחִין מִצְרַיִם</w:t>
      </w:r>
      <w:r>
        <w:t xml:space="preserve">, „Geschwüre Ägyptens" (vgl. Ex 9,9-11 – sechste Plage), </w:t>
      </w:r>
      <w:r>
        <w:rPr>
          <w:rStyle w:val="Fett"/>
          <w:rFonts w:eastAsiaTheme="majorEastAsia"/>
          <w:rtl/>
        </w:rPr>
        <w:t>עֳפָלִים</w:t>
      </w:r>
      <w:r>
        <w:t xml:space="preserve">, „Beulen, Hämorrhoiden" (vgl. </w:t>
      </w:r>
      <w:r w:rsidR="00664EB6">
        <w:t>1Sam</w:t>
      </w:r>
      <w:r>
        <w:t xml:space="preserve"> 5,6.9.12; 6,4-5.11.17), </w:t>
      </w:r>
      <w:r>
        <w:rPr>
          <w:rStyle w:val="Fett"/>
          <w:rFonts w:eastAsiaTheme="majorEastAsia"/>
          <w:rtl/>
        </w:rPr>
        <w:t>גָּרָב</w:t>
      </w:r>
      <w:r>
        <w:t xml:space="preserve">, „Krätze, Räude", </w:t>
      </w:r>
      <w:r>
        <w:rPr>
          <w:rStyle w:val="Fett"/>
          <w:rFonts w:eastAsiaTheme="majorEastAsia"/>
          <w:rtl/>
        </w:rPr>
        <w:t>חֶרֶס</w:t>
      </w:r>
      <w:r>
        <w:t xml:space="preserve">, „Grind, Ekzem"), </w:t>
      </w:r>
      <w:r>
        <w:rPr>
          <w:rStyle w:val="Fett"/>
          <w:rFonts w:eastAsiaTheme="majorEastAsia"/>
          <w:rtl/>
        </w:rPr>
        <w:t>אֲשֶׁר לֹא־תוּכַל לְהֵרָפֵא</w:t>
      </w:r>
      <w:r>
        <w:rPr>
          <w:rtl/>
        </w:rPr>
        <w:t xml:space="preserve"> </w:t>
      </w:r>
      <w:r>
        <w:t xml:space="preserve">(Relativsatz: </w:t>
      </w:r>
      <w:r>
        <w:rPr>
          <w:rStyle w:val="Fett"/>
          <w:rFonts w:eastAsiaTheme="majorEastAsia"/>
          <w:rtl/>
        </w:rPr>
        <w:t>אֲשֶׁר</w:t>
      </w:r>
      <w:r>
        <w:rPr>
          <w:rtl/>
        </w:rPr>
        <w:t xml:space="preserve"> </w:t>
      </w:r>
      <w:r>
        <w:t xml:space="preserve">mit Negation, </w:t>
      </w:r>
      <w:r>
        <w:rPr>
          <w:rStyle w:val="Fett"/>
          <w:rFonts w:eastAsiaTheme="majorEastAsia"/>
          <w:rtl/>
        </w:rPr>
        <w:t>יכל</w:t>
      </w:r>
      <w:r>
        <w:t xml:space="preserve">, Qal Imperfekt, 2. Person Maskulinum Singular, „können", Präposition </w:t>
      </w:r>
      <w:r>
        <w:rPr>
          <w:rStyle w:val="Fett"/>
          <w:rFonts w:eastAsiaTheme="majorEastAsia"/>
          <w:rtl/>
        </w:rPr>
        <w:t>לְ</w:t>
      </w:r>
      <w:r>
        <w:rPr>
          <w:rtl/>
        </w:rPr>
        <w:t xml:space="preserve"> </w:t>
      </w:r>
      <w:r>
        <w:t xml:space="preserve">mit Niphal Infinitiv Construct von </w:t>
      </w:r>
      <w:r>
        <w:rPr>
          <w:rStyle w:val="Fett"/>
          <w:rFonts w:eastAsiaTheme="majorEastAsia"/>
          <w:rtl/>
        </w:rPr>
        <w:t>רפא</w:t>
      </w:r>
      <w:r>
        <w:t>, „geheilt werden").</w:t>
      </w:r>
    </w:p>
    <w:p w14:paraId="6F7F32E2" w14:textId="1530272D" w:rsidR="00A709A3" w:rsidRDefault="00A709A3" w:rsidP="00A709A3">
      <w:pPr>
        <w:pStyle w:val="whitespace-normal"/>
      </w:pPr>
      <w:r>
        <w:t xml:space="preserve">Der Vers beginnt eine neue Reihe von Krankheitsflüchen (V. 27-35). Die Ankündigung: </w:t>
      </w:r>
      <w:r>
        <w:rPr>
          <w:rStyle w:val="Fett"/>
          <w:rFonts w:eastAsiaTheme="majorEastAsia"/>
          <w:rtl/>
        </w:rPr>
        <w:t>יַכְּכָה יְהוָה בִּשְׁחִין מִצְרַיִם וּבָעֳפָלִים וּבַגָּרָב וּבֶחָרֶס</w:t>
      </w:r>
      <w:r>
        <w:rPr>
          <w:rtl/>
        </w:rPr>
        <w:t xml:space="preserve"> </w:t>
      </w:r>
      <w:r>
        <w:t xml:space="preserve">(„schlagen wird JHWH dich mit den Geschwüren Ägyptens und mit Beulen und mit Krätze und mit Grind"). Vier Hautkrankheiten: </w:t>
      </w:r>
      <w:r>
        <w:rPr>
          <w:rStyle w:val="Fett"/>
          <w:rFonts w:eastAsiaTheme="majorEastAsia"/>
          <w:rtl/>
        </w:rPr>
        <w:t>שְׁחִין מִצְרַיִם</w:t>
      </w:r>
      <w:r>
        <w:rPr>
          <w:rtl/>
        </w:rPr>
        <w:t xml:space="preserve"> </w:t>
      </w:r>
      <w:r>
        <w:t xml:space="preserve">(„Geschwüre Ägyptens") erinnert an die sechste Plage in Ex 9,9-11 – böse, aufbrechende Geschwüre. </w:t>
      </w:r>
      <w:r>
        <w:rPr>
          <w:rStyle w:val="Fett"/>
          <w:rFonts w:eastAsiaTheme="majorEastAsia"/>
          <w:rtl/>
        </w:rPr>
        <w:t>עֳפָלִים</w:t>
      </w:r>
      <w:r>
        <w:rPr>
          <w:rtl/>
        </w:rPr>
        <w:t xml:space="preserve"> </w:t>
      </w:r>
      <w:r>
        <w:t>(„Beulen, Hämorrhoiden") – die Krankheit, mit der JHWH die Philister schlug (</w:t>
      </w:r>
      <w:r w:rsidR="00664EB6">
        <w:t>1Sam</w:t>
      </w:r>
      <w:r>
        <w:t xml:space="preserve"> 5-6). </w:t>
      </w:r>
      <w:r>
        <w:rPr>
          <w:rStyle w:val="Fett"/>
          <w:rFonts w:eastAsiaTheme="majorEastAsia"/>
          <w:rtl/>
        </w:rPr>
        <w:t>גָּרָב</w:t>
      </w:r>
      <w:r>
        <w:rPr>
          <w:rtl/>
        </w:rPr>
        <w:t xml:space="preserve"> </w:t>
      </w:r>
      <w:r>
        <w:t xml:space="preserve">(„Krätze, Räude") – juckende Hautkrankheit. </w:t>
      </w:r>
      <w:r>
        <w:rPr>
          <w:rStyle w:val="Fett"/>
          <w:rFonts w:eastAsiaTheme="majorEastAsia"/>
          <w:rtl/>
        </w:rPr>
        <w:t>חֶרֶס</w:t>
      </w:r>
      <w:r>
        <w:rPr>
          <w:rtl/>
        </w:rPr>
        <w:t xml:space="preserve"> </w:t>
      </w:r>
      <w:r>
        <w:t xml:space="preserve">(„Grind, Ekzem") – weitere Hautkrankheit. Die Präzisierung: </w:t>
      </w:r>
      <w:r>
        <w:rPr>
          <w:rStyle w:val="Fett"/>
          <w:rFonts w:eastAsiaTheme="majorEastAsia"/>
          <w:rtl/>
        </w:rPr>
        <w:t>אֲשֶׁר לֹא־תוּכַל לְהֵרָפֵא</w:t>
      </w:r>
      <w:r>
        <w:rPr>
          <w:rtl/>
        </w:rPr>
        <w:t xml:space="preserve"> </w:t>
      </w:r>
      <w:r>
        <w:t>(„dass du nicht geheilt werden kannst"). Unheilbare Krankheiten – keine medizinische Hilfe möglich.</w:t>
      </w:r>
    </w:p>
    <w:p w14:paraId="3578099B" w14:textId="0EBDAAC3" w:rsidR="001A04EF" w:rsidRDefault="001A04EF" w:rsidP="00A709A3">
      <w:pPr>
        <w:pStyle w:val="whitespace-normal"/>
      </w:pPr>
      <w:r>
        <w:rPr>
          <w:rStyle w:val="Fett"/>
        </w:rPr>
        <w:t>Die LXX</w:t>
      </w:r>
      <w:r>
        <w:t xml:space="preserve"> übersetzt </w:t>
      </w:r>
      <w:r>
        <w:rPr>
          <w:rtl/>
        </w:rPr>
        <w:t>בִּשְׁחִין מִצְרַיִם וּבָעֳפָלִים</w:t>
      </w:r>
      <w:r>
        <w:t xml:space="preserve"> (mit den Geschwüren Ägyptens und mit Beulen) mit </w:t>
      </w:r>
      <w:proofErr w:type="spellStart"/>
      <w:r>
        <w:t>ἐν</w:t>
      </w:r>
      <w:proofErr w:type="spellEnd"/>
      <w:r>
        <w:t xml:space="preserve"> </w:t>
      </w:r>
      <w:proofErr w:type="spellStart"/>
      <w:r>
        <w:t>ἕλκει</w:t>
      </w:r>
      <w:proofErr w:type="spellEnd"/>
      <w:r>
        <w:t xml:space="preserve"> </w:t>
      </w:r>
      <w:proofErr w:type="spellStart"/>
      <w:r>
        <w:t>Αἰγυ</w:t>
      </w:r>
      <w:proofErr w:type="spellEnd"/>
      <w:r>
        <w:t xml:space="preserve">πτίῳ </w:t>
      </w:r>
      <w:proofErr w:type="spellStart"/>
      <w:r>
        <w:t>ἐν</w:t>
      </w:r>
      <w:proofErr w:type="spellEnd"/>
      <w:r>
        <w:t xml:space="preserve"> τα</w:t>
      </w:r>
      <w:proofErr w:type="spellStart"/>
      <w:r>
        <w:t>ῖς</w:t>
      </w:r>
      <w:proofErr w:type="spellEnd"/>
      <w:r>
        <w:t xml:space="preserve"> </w:t>
      </w:r>
      <w:proofErr w:type="spellStart"/>
      <w:r>
        <w:t>ἕδρ</w:t>
      </w:r>
      <w:proofErr w:type="spellEnd"/>
      <w:r>
        <w:t xml:space="preserve">αις (mit ägyptischem Geschwür in den Sitzen/Hinterteilen) – wobei </w:t>
      </w:r>
      <w:proofErr w:type="spellStart"/>
      <w:r>
        <w:t>ἕδρ</w:t>
      </w:r>
      <w:proofErr w:type="spellEnd"/>
      <w:r>
        <w:t>α spezifisch Hämorrhoiden bezeichnet.</w:t>
      </w:r>
    </w:p>
    <w:p w14:paraId="7DCFE815" w14:textId="77777777" w:rsidR="00A709A3" w:rsidRDefault="00A709A3" w:rsidP="00A709A3">
      <w:pPr>
        <w:pStyle w:val="whitespace-normal"/>
      </w:pPr>
      <w:r>
        <w:rPr>
          <w:rStyle w:val="Fett"/>
          <w:rFonts w:eastAsiaTheme="majorEastAsia"/>
        </w:rPr>
        <w:t>Die Satzstruktur:</w:t>
      </w:r>
      <w:r>
        <w:t xml:space="preserve"> Ankündigung von Hautkrankheiten (schlagen wird JHWH dich mit den Geschwüren Ägyptens und mit Beulen und mit Krätze und mit Grind, dass du nicht geheilt werden kannst).</w:t>
      </w:r>
    </w:p>
    <w:p w14:paraId="2C0761B2" w14:textId="77777777" w:rsidR="00A709A3" w:rsidRDefault="00A709A3" w:rsidP="00A709A3">
      <w:pPr>
        <w:pStyle w:val="whitespace-normal"/>
      </w:pPr>
      <w:r>
        <w:rPr>
          <w:rStyle w:val="Fett"/>
          <w:rFonts w:eastAsiaTheme="majorEastAsia"/>
        </w:rPr>
        <w:t>Der Vers beschreibt:</w:t>
      </w:r>
      <w:r>
        <w:t xml:space="preserve"> Vier unheilbare Hautkrankheiten – einschließlich der ägyptischen Plage.</w:t>
      </w:r>
    </w:p>
    <w:p w14:paraId="361EE7B2" w14:textId="77777777" w:rsidR="00A709A3" w:rsidRPr="00564C2A" w:rsidRDefault="00A709A3" w:rsidP="00564C2A">
      <w:pPr>
        <w:pStyle w:val="Bibelberschrift"/>
      </w:pPr>
      <w:r w:rsidRPr="00564C2A">
        <w:rPr>
          <w:rStyle w:val="Fett"/>
          <w:b/>
          <w:bCs w:val="0"/>
        </w:rPr>
        <w:lastRenderedPageBreak/>
        <w:t>Deuteronomium 28,28</w:t>
      </w:r>
    </w:p>
    <w:p w14:paraId="5AAB71CD" w14:textId="77777777" w:rsidR="00A709A3" w:rsidRDefault="00A709A3" w:rsidP="00A709A3">
      <w:pPr>
        <w:pStyle w:val="whitespace-normal"/>
      </w:pPr>
      <w:r>
        <w:rPr>
          <w:rStyle w:val="Fett"/>
          <w:rFonts w:eastAsiaTheme="majorEastAsia"/>
        </w:rPr>
        <w:t>Hebräisch:</w:t>
      </w:r>
      <w:r>
        <w:t xml:space="preserve"> </w:t>
      </w:r>
      <w:r>
        <w:rPr>
          <w:rtl/>
        </w:rPr>
        <w:t>יַכְּכָה יְהוָה בְּשִׁגָּעוֹן וּבְעִוָּרוֹן וּבְתִמְהוֹן לֵבָֽב׃</w:t>
      </w:r>
    </w:p>
    <w:p w14:paraId="7E39B304" w14:textId="77777777" w:rsidR="00A709A3" w:rsidRDefault="00A709A3" w:rsidP="00A709A3">
      <w:pPr>
        <w:pStyle w:val="whitespace-normal"/>
      </w:pPr>
      <w:r>
        <w:rPr>
          <w:rStyle w:val="Fett"/>
          <w:rFonts w:eastAsiaTheme="majorEastAsia"/>
        </w:rPr>
        <w:t>Deutsch:</w:t>
      </w:r>
      <w:r>
        <w:t xml:space="preserve"> JHWH wird dich schlagen mit Wahnsinn und mit Blindheit und mit Verwirrung des Herzens.</w:t>
      </w:r>
    </w:p>
    <w:p w14:paraId="06958FBA" w14:textId="77777777" w:rsidR="00A709A3" w:rsidRDefault="004F5CEB" w:rsidP="00A709A3">
      <w:r>
        <w:rPr>
          <w:noProof/>
        </w:rPr>
        <w:pict w14:anchorId="1891A7EE">
          <v:rect id="_x0000_i1773" style="width:0;height:1.5pt" o:hralign="center" o:hrstd="t" o:hr="t" fillcolor="#a0a0a0" stroked="f"/>
        </w:pict>
      </w:r>
    </w:p>
    <w:p w14:paraId="32B77C02"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יַכְּכָה יְהוָה בְּשִׁגָּעוֹן וּבְעִוָּרוֹן וּבְתִמְהוֹן לֵבָב</w:t>
      </w:r>
      <w:r>
        <w:rPr>
          <w:rtl/>
        </w:rPr>
        <w:t xml:space="preserve"> </w:t>
      </w:r>
      <w:r>
        <w:t xml:space="preserve">ist eine Ankündigung von Geistes- und Sinnesstörungen: </w:t>
      </w:r>
      <w:r>
        <w:rPr>
          <w:rStyle w:val="Fett"/>
          <w:rFonts w:eastAsiaTheme="majorEastAsia"/>
          <w:rtl/>
        </w:rPr>
        <w:t>יַכְּכָה יְהוָה בְּשִׁגָּעוֹן וּבְעִוָּרוֹן וּבְתִמְהוֹן לֵבָב</w:t>
      </w:r>
      <w:r>
        <w:rPr>
          <w:rtl/>
        </w:rPr>
        <w:t xml:space="preserve"> </w:t>
      </w:r>
      <w:r>
        <w:t>(</w:t>
      </w:r>
      <w:r>
        <w:rPr>
          <w:rStyle w:val="Fett"/>
          <w:rFonts w:eastAsiaTheme="majorEastAsia"/>
          <w:rtl/>
        </w:rPr>
        <w:t>נכה</w:t>
      </w:r>
      <w:r>
        <w:t xml:space="preserve">, Hiphil Imperfekt, 3. Person Maskulinum Singular, </w:t>
      </w:r>
      <w:r>
        <w:rPr>
          <w:rStyle w:val="Fett"/>
          <w:rFonts w:eastAsiaTheme="majorEastAsia"/>
          <w:rtl/>
        </w:rPr>
        <w:t>יְהוָה</w:t>
      </w:r>
      <w:r>
        <w:rPr>
          <w:rtl/>
        </w:rPr>
        <w:t xml:space="preserve"> </w:t>
      </w:r>
      <w:r>
        <w:t xml:space="preserve">als Subjekt, drei mit Präposition </w:t>
      </w:r>
      <w:r>
        <w:rPr>
          <w:rStyle w:val="Fett"/>
          <w:rFonts w:eastAsiaTheme="majorEastAsia"/>
          <w:rtl/>
        </w:rPr>
        <w:t>בְּ</w:t>
      </w:r>
      <w:r>
        <w:rPr>
          <w:rtl/>
        </w:rPr>
        <w:t xml:space="preserve"> </w:t>
      </w:r>
      <w:r>
        <w:t xml:space="preserve">eingeleitete Begriffe: </w:t>
      </w:r>
      <w:r>
        <w:rPr>
          <w:rStyle w:val="Fett"/>
          <w:rFonts w:eastAsiaTheme="majorEastAsia"/>
          <w:rtl/>
        </w:rPr>
        <w:t>שִׁגָּעוֹן</w:t>
      </w:r>
      <w:r>
        <w:t xml:space="preserve">, „Wahnsinn, Verrücktheit", </w:t>
      </w:r>
      <w:r>
        <w:rPr>
          <w:rStyle w:val="Fett"/>
          <w:rFonts w:eastAsiaTheme="majorEastAsia"/>
          <w:rtl/>
        </w:rPr>
        <w:t>עִוָּרוֹן</w:t>
      </w:r>
      <w:r>
        <w:t xml:space="preserve">, „Blindheit", </w:t>
      </w:r>
      <w:r>
        <w:rPr>
          <w:rStyle w:val="Fett"/>
          <w:rFonts w:eastAsiaTheme="majorEastAsia"/>
          <w:rtl/>
        </w:rPr>
        <w:t>תִּמָּהוֹן לֵבָב</w:t>
      </w:r>
      <w:r>
        <w:t>, „Verwirrung/Bestürzung des Herzens").</w:t>
      </w:r>
    </w:p>
    <w:p w14:paraId="441D1D5C" w14:textId="77777777" w:rsidR="00A709A3" w:rsidRDefault="00A709A3" w:rsidP="00A709A3">
      <w:pPr>
        <w:pStyle w:val="whitespace-normal"/>
      </w:pPr>
      <w:r>
        <w:t xml:space="preserve">Der Vers bewegt sich von körperlichen zu geistigen Leiden. Die Ankündigung: </w:t>
      </w:r>
      <w:r>
        <w:rPr>
          <w:rStyle w:val="Fett"/>
          <w:rFonts w:eastAsiaTheme="majorEastAsia"/>
          <w:rtl/>
        </w:rPr>
        <w:t>יַכְּכָה יְהוָה בְּשִׁגָּעוֹן וּבְעִוָּרוֹן וּבְתִמְהוֹן לֵבָב</w:t>
      </w:r>
      <w:r>
        <w:rPr>
          <w:rtl/>
        </w:rPr>
        <w:t xml:space="preserve"> </w:t>
      </w:r>
      <w:r>
        <w:t xml:space="preserve">(„schlagen wird JHWH dich mit Wahnsinn und mit Blindheit und mit Verwirrung des Herzens"). Drei Begriffe: </w:t>
      </w:r>
      <w:r>
        <w:rPr>
          <w:rStyle w:val="Fett"/>
          <w:rFonts w:eastAsiaTheme="majorEastAsia"/>
          <w:rtl/>
        </w:rPr>
        <w:t>שִׁגָּעוֹן</w:t>
      </w:r>
      <w:r>
        <w:rPr>
          <w:rtl/>
        </w:rPr>
        <w:t xml:space="preserve"> </w:t>
      </w:r>
      <w:r>
        <w:t xml:space="preserve">(„Wahnsinn, Verrücktheit") – Geisteskrankheit (vgl. V. 34; Sach 12,4). </w:t>
      </w:r>
      <w:r>
        <w:rPr>
          <w:rStyle w:val="Fett"/>
          <w:rFonts w:eastAsiaTheme="majorEastAsia"/>
          <w:rtl/>
        </w:rPr>
        <w:t>עִוָּרוֹן</w:t>
      </w:r>
      <w:r>
        <w:rPr>
          <w:rtl/>
        </w:rPr>
        <w:t xml:space="preserve"> </w:t>
      </w:r>
      <w:r>
        <w:t xml:space="preserve">(„Blindheit") – Verlust des Augenlichts oder geistige Blindheit. </w:t>
      </w:r>
      <w:r>
        <w:rPr>
          <w:rStyle w:val="Fett"/>
          <w:rFonts w:eastAsiaTheme="majorEastAsia"/>
          <w:rtl/>
        </w:rPr>
        <w:t>תִּמָּהוֹן לֵבָב</w:t>
      </w:r>
      <w:r>
        <w:rPr>
          <w:rtl/>
        </w:rPr>
        <w:t xml:space="preserve"> </w:t>
      </w:r>
      <w:r>
        <w:t>(„Verwirrung/Bestürzung des Herzens") – innere Verwirrung, Desorientierung (vgl. Sach 12,4). V. 29 wird diese Zustände weiter ausführen.</w:t>
      </w:r>
    </w:p>
    <w:p w14:paraId="2BFC3AF3" w14:textId="77777777" w:rsidR="00A709A3" w:rsidRDefault="00A709A3" w:rsidP="00A709A3">
      <w:pPr>
        <w:pStyle w:val="whitespace-normal"/>
      </w:pPr>
      <w:r>
        <w:rPr>
          <w:rStyle w:val="Fett"/>
          <w:rFonts w:eastAsiaTheme="majorEastAsia"/>
        </w:rPr>
        <w:t>Die Satzstruktur:</w:t>
      </w:r>
      <w:r>
        <w:t xml:space="preserve"> Ankündigung von Geistes- und Sinnesstörungen (schlagen wird JHWH dich mit Wahnsinn und mit Blindheit und mit Verwirrung des Herzens).</w:t>
      </w:r>
    </w:p>
    <w:p w14:paraId="066E3EAB" w14:textId="77777777" w:rsidR="00A709A3" w:rsidRDefault="00A709A3" w:rsidP="00A709A3">
      <w:pPr>
        <w:pStyle w:val="whitespace-normal"/>
      </w:pPr>
      <w:r>
        <w:rPr>
          <w:rStyle w:val="Fett"/>
          <w:rFonts w:eastAsiaTheme="majorEastAsia"/>
        </w:rPr>
        <w:t>Der Vers beschreibt:</w:t>
      </w:r>
      <w:r>
        <w:t xml:space="preserve"> Drei geistige Leiden – Wahnsinn, Blindheit, Verwirrung.</w:t>
      </w:r>
    </w:p>
    <w:p w14:paraId="5A54D8A6" w14:textId="77777777" w:rsidR="00A709A3" w:rsidRPr="00564C2A" w:rsidRDefault="00A709A3" w:rsidP="00564C2A">
      <w:pPr>
        <w:pStyle w:val="Bibelberschrift"/>
      </w:pPr>
      <w:r w:rsidRPr="00564C2A">
        <w:rPr>
          <w:rStyle w:val="Fett"/>
          <w:b/>
          <w:bCs w:val="0"/>
        </w:rPr>
        <w:t>Deuteronomium 28,29</w:t>
      </w:r>
    </w:p>
    <w:p w14:paraId="04084AB9" w14:textId="77777777" w:rsidR="00A709A3" w:rsidRDefault="00A709A3" w:rsidP="00A709A3">
      <w:pPr>
        <w:pStyle w:val="whitespace-normal"/>
      </w:pPr>
      <w:r>
        <w:rPr>
          <w:rStyle w:val="Fett"/>
          <w:rFonts w:eastAsiaTheme="majorEastAsia"/>
        </w:rPr>
        <w:t>Hebräisch:</w:t>
      </w:r>
      <w:r>
        <w:t xml:space="preserve"> </w:t>
      </w:r>
      <w:r>
        <w:rPr>
          <w:rtl/>
        </w:rPr>
        <w:t>וְהָיִיתָ מְמַשֵּׁשׁ בַּֽצָּהֳרַיִם כַּאֲשֶׁר יְמַשֵּׁשׁ הָעִוֵּר בָּאֲפֵלָה וְלֹא תַצְלִיחַ אֶת־דְּרָכֶיךָ וְהָיִיתָ אַךְ עָשׁוּק וְגָזוּל כָּל־הַיָּמִים וְאֵין מוֹשִֽׁיעַ׃</w:t>
      </w:r>
    </w:p>
    <w:p w14:paraId="4D275CB2" w14:textId="77777777" w:rsidR="00A709A3" w:rsidRDefault="00A709A3" w:rsidP="00A709A3">
      <w:pPr>
        <w:pStyle w:val="whitespace-normal"/>
      </w:pPr>
      <w:r>
        <w:rPr>
          <w:rStyle w:val="Fett"/>
          <w:rFonts w:eastAsiaTheme="majorEastAsia"/>
        </w:rPr>
        <w:t>Deutsch:</w:t>
      </w:r>
      <w:r>
        <w:t xml:space="preserve"> Und du wirst umhertappen am Mittag, wie der Blinde im Finstern tappt, und du wirst kein Gelingen haben auf deinen Wegen; und du wirst nur bedrückt und beraubt sein alle Tage, und niemand wird retten.</w:t>
      </w:r>
    </w:p>
    <w:p w14:paraId="7A1BE90F" w14:textId="77777777" w:rsidR="00A709A3" w:rsidRDefault="004F5CEB" w:rsidP="00A709A3">
      <w:r>
        <w:rPr>
          <w:noProof/>
        </w:rPr>
        <w:pict w14:anchorId="158DECFC">
          <v:rect id="_x0000_i1774" style="width:0;height:1.5pt" o:hralign="center" o:hrstd="t" o:hr="t" fillcolor="#a0a0a0" stroked="f"/>
        </w:pict>
      </w:r>
    </w:p>
    <w:p w14:paraId="1BC8E0D5"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וְהָיִיתָ מְמַשֵּׁשׁ בַּצָּהֳרַיִם כַּאֲשֶׁר יְמַשֵּׁשׁ הָעִוֵּר בָּאֲפֵלָה וְלֹא תַצְלִיחַ אֶת־דְּרָכֶיךָ וְהָיִיתָ אַךְ עָשׁוּק וְגָזוּל כָּל־הַיָּמִים וְאֵין מוֹשִׁיעַ</w:t>
      </w:r>
      <w:r>
        <w:rPr>
          <w:rtl/>
        </w:rPr>
        <w:t xml:space="preserve"> </w:t>
      </w:r>
      <w:r>
        <w:t xml:space="preserve">sind vier Aussagen: </w:t>
      </w:r>
      <w:r>
        <w:rPr>
          <w:rStyle w:val="Fett"/>
          <w:rFonts w:eastAsiaTheme="majorEastAsia"/>
          <w:rtl/>
        </w:rPr>
        <w:t>וְהָיִיתָ מְמַשֵּׁשׁ בַּצָּהֳרַיִם כַּאֲשֶׁר יְמַשֵּׁשׁ הָעִוֵּר בָּאֲפֵלָה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2. Person Maskulinum Singular, </w:t>
      </w:r>
      <w:r>
        <w:rPr>
          <w:rStyle w:val="Fett"/>
          <w:rFonts w:eastAsiaTheme="majorEastAsia"/>
          <w:rtl/>
        </w:rPr>
        <w:t>משׁשׁ</w:t>
      </w:r>
      <w:r>
        <w:t xml:space="preserve">, Piel Partizip, „umhertasten, umhertappen", </w:t>
      </w:r>
      <w:r>
        <w:rPr>
          <w:rStyle w:val="Fett"/>
          <w:rFonts w:eastAsiaTheme="majorEastAsia"/>
          <w:rtl/>
        </w:rPr>
        <w:t>בַּצָּהֳרַיִם</w:t>
      </w:r>
      <w:r>
        <w:t xml:space="preserve">, „am Mittag", Vergleichssatz: </w:t>
      </w:r>
      <w:r>
        <w:rPr>
          <w:rStyle w:val="Fett"/>
          <w:rFonts w:eastAsiaTheme="majorEastAsia"/>
          <w:rtl/>
        </w:rPr>
        <w:t>כַּאֲשֶׁר יְמַשֵּׁשׁ הָעִוֵּר בָּאֲפֵלָה</w:t>
      </w:r>
      <w:r>
        <w:rPr>
          <w:rtl/>
        </w:rPr>
        <w:t xml:space="preserve"> </w:t>
      </w:r>
      <w:r>
        <w:t xml:space="preserve">mit </w:t>
      </w:r>
      <w:r>
        <w:rPr>
          <w:rStyle w:val="Fett"/>
          <w:rFonts w:eastAsiaTheme="majorEastAsia"/>
          <w:rtl/>
        </w:rPr>
        <w:t>משׁשׁ</w:t>
      </w:r>
      <w:r>
        <w:t xml:space="preserve">, Piel Imperfekt, </w:t>
      </w:r>
      <w:r>
        <w:rPr>
          <w:rStyle w:val="Fett"/>
          <w:rFonts w:eastAsiaTheme="majorEastAsia"/>
          <w:rtl/>
        </w:rPr>
        <w:t>עִוֵּר</w:t>
      </w:r>
      <w:r>
        <w:rPr>
          <w:rtl/>
        </w:rPr>
        <w:t xml:space="preserve"> </w:t>
      </w:r>
      <w:r>
        <w:t xml:space="preserve">mit Artikel, </w:t>
      </w:r>
      <w:r>
        <w:rPr>
          <w:rStyle w:val="Fett"/>
          <w:rFonts w:eastAsiaTheme="majorEastAsia"/>
          <w:rtl/>
        </w:rPr>
        <w:t>בָּאֲפֵלָה</w:t>
      </w:r>
      <w:r>
        <w:t xml:space="preserve">, „im Finstern", mit </w:t>
      </w:r>
      <w:r>
        <w:rPr>
          <w:rStyle w:val="Fett"/>
          <w:rFonts w:eastAsiaTheme="majorEastAsia"/>
        </w:rPr>
        <w:t>Waw</w:t>
      </w:r>
      <w:r>
        <w:t xml:space="preserve"> consecutives Perfekt), </w:t>
      </w:r>
      <w:r>
        <w:rPr>
          <w:rStyle w:val="Fett"/>
          <w:rFonts w:eastAsiaTheme="majorEastAsia"/>
          <w:rtl/>
        </w:rPr>
        <w:t>וְלֹא תַצְלִיחַ אֶת־דְּרָכֶיךָ</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צלח</w:t>
      </w:r>
      <w:r>
        <w:t xml:space="preserve">, Hiphil Imperfekt, 2. Person Maskulinum Singular, „Gelingen haben, erfolgreich sein", Objektpartikel </w:t>
      </w:r>
      <w:r>
        <w:rPr>
          <w:rStyle w:val="Fett"/>
          <w:rFonts w:eastAsiaTheme="majorEastAsia"/>
          <w:rtl/>
        </w:rPr>
        <w:t>אֵת</w:t>
      </w:r>
      <w:r>
        <w:rPr>
          <w:rtl/>
        </w:rPr>
        <w:t xml:space="preserve"> </w:t>
      </w:r>
      <w:r>
        <w:t xml:space="preserve">mit </w:t>
      </w:r>
      <w:r>
        <w:rPr>
          <w:rStyle w:val="Fett"/>
          <w:rFonts w:eastAsiaTheme="majorEastAsia"/>
          <w:rtl/>
        </w:rPr>
        <w:t>דֶּרֶךְ</w:t>
      </w:r>
      <w:r>
        <w:t xml:space="preserve">, „Weg", Plural mit Suffix), </w:t>
      </w:r>
      <w:r>
        <w:rPr>
          <w:rStyle w:val="Fett"/>
          <w:rFonts w:eastAsiaTheme="majorEastAsia"/>
          <w:rtl/>
        </w:rPr>
        <w:t>וְהָיִיתָ אַךְ עָשׁוּק וְגָזוּל כָּל־הַיָּמִים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w:t>
      </w:r>
      <w:r>
        <w:rPr>
          <w:rStyle w:val="Fett"/>
          <w:rFonts w:eastAsiaTheme="majorEastAsia"/>
          <w:rtl/>
        </w:rPr>
        <w:t>אַךְ</w:t>
      </w:r>
      <w:r>
        <w:t xml:space="preserve">, „nur", </w:t>
      </w:r>
      <w:r>
        <w:rPr>
          <w:rStyle w:val="Fett"/>
          <w:rFonts w:eastAsiaTheme="majorEastAsia"/>
          <w:rtl/>
        </w:rPr>
        <w:lastRenderedPageBreak/>
        <w:t>עשׁק</w:t>
      </w:r>
      <w:r>
        <w:t xml:space="preserve">, Qal Passiv Partizip, „bedrückt, unterdrückt", koordiniert mit </w:t>
      </w:r>
      <w:r>
        <w:rPr>
          <w:rStyle w:val="Fett"/>
          <w:rFonts w:eastAsiaTheme="majorEastAsia"/>
          <w:rtl/>
        </w:rPr>
        <w:t>גזל</w:t>
      </w:r>
      <w:r>
        <w:t xml:space="preserve">, Qal Passiv Partizip, „beraubt", </w:t>
      </w:r>
      <w:r>
        <w:rPr>
          <w:rStyle w:val="Fett"/>
          <w:rFonts w:eastAsiaTheme="majorEastAsia"/>
          <w:rtl/>
        </w:rPr>
        <w:t>כָּל־הַיָּמִים</w:t>
      </w:r>
      <w:r>
        <w:t xml:space="preserve">, mit </w:t>
      </w:r>
      <w:r>
        <w:rPr>
          <w:rStyle w:val="Fett"/>
          <w:rFonts w:eastAsiaTheme="majorEastAsia"/>
        </w:rPr>
        <w:t>Waw</w:t>
      </w:r>
      <w:r>
        <w:t xml:space="preserve"> consecutives Perfekt), </w:t>
      </w:r>
      <w:r>
        <w:rPr>
          <w:rStyle w:val="Fett"/>
          <w:rFonts w:eastAsiaTheme="majorEastAsia"/>
          <w:rtl/>
        </w:rPr>
        <w:t>וְאֵין מוֹשִׁיעַ</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אֵין</w:t>
      </w:r>
      <w:r>
        <w:t xml:space="preserve">, </w:t>
      </w:r>
      <w:r>
        <w:rPr>
          <w:rStyle w:val="Fett"/>
          <w:rFonts w:eastAsiaTheme="majorEastAsia"/>
          <w:rtl/>
        </w:rPr>
        <w:t>ישׁע</w:t>
      </w:r>
      <w:r>
        <w:t>, Hiphil Partizip, „retten").</w:t>
      </w:r>
    </w:p>
    <w:p w14:paraId="046612F0" w14:textId="77777777" w:rsidR="00A709A3" w:rsidRDefault="00A709A3" w:rsidP="00A709A3">
      <w:pPr>
        <w:pStyle w:val="whitespace-normal"/>
      </w:pPr>
      <w:r>
        <w:t xml:space="preserve">Der Vers illustriert die geistige Verwirrung aus V. 28 durch vier konkrete Bilder. Die erste Aussage: </w:t>
      </w:r>
      <w:r>
        <w:rPr>
          <w:rStyle w:val="Fett"/>
          <w:rFonts w:eastAsiaTheme="majorEastAsia"/>
          <w:rtl/>
        </w:rPr>
        <w:t>וְהָיִיתָ מְמַשֵּׁשׁ בַּצָּהֳרַיִם כַּאֲשֶׁר יְמַשֵּׁשׁ הָעִוֵּר בָּאֲפֵלָה</w:t>
      </w:r>
      <w:r>
        <w:rPr>
          <w:rtl/>
        </w:rPr>
        <w:t xml:space="preserve"> </w:t>
      </w:r>
      <w:r>
        <w:t xml:space="preserve">(„und sein wirst du umhertappend am Mittag, wie der Blinde tappt im Finstern"). Das Verb </w:t>
      </w:r>
      <w:r>
        <w:rPr>
          <w:rStyle w:val="Fett"/>
          <w:rFonts w:eastAsiaTheme="majorEastAsia"/>
          <w:rtl/>
        </w:rPr>
        <w:t>משׁשׁ</w:t>
      </w:r>
      <w:r>
        <w:rPr>
          <w:rtl/>
        </w:rPr>
        <w:t xml:space="preserve"> </w:t>
      </w:r>
      <w:r>
        <w:t xml:space="preserve">im Piel („umhertasten, umhertappen") – orientierungslos. Die paradoxe Formulierung </w:t>
      </w:r>
      <w:r>
        <w:rPr>
          <w:rStyle w:val="Fett"/>
          <w:rFonts w:eastAsiaTheme="majorEastAsia"/>
          <w:rtl/>
        </w:rPr>
        <w:t>בַּצָּהֳרַיִם</w:t>
      </w:r>
      <w:r>
        <w:rPr>
          <w:rtl/>
        </w:rPr>
        <w:t xml:space="preserve"> </w:t>
      </w:r>
      <w:r>
        <w:t xml:space="preserve">(„am Mittag" – hellster Tag) wie </w:t>
      </w:r>
      <w:r>
        <w:rPr>
          <w:rStyle w:val="Fett"/>
          <w:rFonts w:eastAsiaTheme="majorEastAsia"/>
          <w:rtl/>
        </w:rPr>
        <w:t>בָּאֲפֵלָה</w:t>
      </w:r>
      <w:r>
        <w:rPr>
          <w:rtl/>
        </w:rPr>
        <w:t xml:space="preserve"> </w:t>
      </w:r>
      <w:r>
        <w:t xml:space="preserve">(„im Finstern") – selbst bei Tageslicht ist Israel blind und desorientiert (vgl. Jes 59,10; Hi 5,14; 12,25). Die zweite Aussage: </w:t>
      </w:r>
      <w:r>
        <w:rPr>
          <w:rStyle w:val="Fett"/>
          <w:rFonts w:eastAsiaTheme="majorEastAsia"/>
          <w:rtl/>
        </w:rPr>
        <w:t>וְלֹא תַצְלִיחַ אֶת־דְּרָכֶיךָ</w:t>
      </w:r>
      <w:r>
        <w:rPr>
          <w:rtl/>
        </w:rPr>
        <w:t xml:space="preserve"> </w:t>
      </w:r>
      <w:r>
        <w:t xml:space="preserve">(„und nicht Gelingen haben wirst du auf deinen Wegen"). Das Verb </w:t>
      </w:r>
      <w:r>
        <w:rPr>
          <w:rStyle w:val="Fett"/>
          <w:rFonts w:eastAsiaTheme="majorEastAsia"/>
          <w:rtl/>
        </w:rPr>
        <w:t>צלח</w:t>
      </w:r>
      <w:r>
        <w:rPr>
          <w:rtl/>
        </w:rPr>
        <w:t xml:space="preserve"> </w:t>
      </w:r>
      <w:r>
        <w:t xml:space="preserve">im Hiphil („Gelingen haben, erfolgreich sein") – totales Scheitern in allen Unternehmungen. Die dritte Aussage: </w:t>
      </w:r>
      <w:r>
        <w:rPr>
          <w:rStyle w:val="Fett"/>
          <w:rFonts w:eastAsiaTheme="majorEastAsia"/>
          <w:rtl/>
        </w:rPr>
        <w:t>וְהָיִיתָ אַךְ עָשׁוּק וְגָזוּל כָּל־הַיָּמִים</w:t>
      </w:r>
      <w:r>
        <w:rPr>
          <w:rtl/>
        </w:rPr>
        <w:t xml:space="preserve"> </w:t>
      </w:r>
      <w:r>
        <w:t xml:space="preserve">(„und sein wirst du nur bedrückt und beraubt alle Tage"). Die beiden Partizipien </w:t>
      </w:r>
      <w:r>
        <w:rPr>
          <w:rStyle w:val="Fett"/>
          <w:rFonts w:eastAsiaTheme="majorEastAsia"/>
          <w:rtl/>
        </w:rPr>
        <w:t>עָשׁוּק</w:t>
      </w:r>
      <w:r>
        <w:rPr>
          <w:rtl/>
        </w:rPr>
        <w:t xml:space="preserve"> </w:t>
      </w:r>
      <w:r>
        <w:t xml:space="preserve">(„bedrückt, unterdrückt") und </w:t>
      </w:r>
      <w:r>
        <w:rPr>
          <w:rStyle w:val="Fett"/>
          <w:rFonts w:eastAsiaTheme="majorEastAsia"/>
          <w:rtl/>
        </w:rPr>
        <w:t>גָזוּל</w:t>
      </w:r>
      <w:r>
        <w:rPr>
          <w:rtl/>
        </w:rPr>
        <w:t xml:space="preserve"> </w:t>
      </w:r>
      <w:r>
        <w:t xml:space="preserve">(„beraubt") beschreiben dauerhafte Ausbeutung. Das Adverb </w:t>
      </w:r>
      <w:r>
        <w:rPr>
          <w:rStyle w:val="Fett"/>
          <w:rFonts w:eastAsiaTheme="majorEastAsia"/>
          <w:rtl/>
        </w:rPr>
        <w:t>אַךְ</w:t>
      </w:r>
      <w:r>
        <w:rPr>
          <w:rtl/>
        </w:rPr>
        <w:t xml:space="preserve"> </w:t>
      </w:r>
      <w:r>
        <w:t xml:space="preserve">(„nur") verstärkt: ausschließlich Unterdrückung. Die vierte Aussage: </w:t>
      </w:r>
      <w:r>
        <w:rPr>
          <w:rStyle w:val="Fett"/>
          <w:rFonts w:eastAsiaTheme="majorEastAsia"/>
          <w:rtl/>
        </w:rPr>
        <w:t>וְאֵין מוֹשִׁיעַ</w:t>
      </w:r>
      <w:r>
        <w:rPr>
          <w:rtl/>
        </w:rPr>
        <w:t xml:space="preserve"> </w:t>
      </w:r>
      <w:r>
        <w:t>(„und niemand wird retten"). Keine Hilfe, keine Rettung möglich.</w:t>
      </w:r>
    </w:p>
    <w:p w14:paraId="5AF14692" w14:textId="77777777" w:rsidR="00A709A3" w:rsidRDefault="00A709A3" w:rsidP="00A709A3">
      <w:pPr>
        <w:pStyle w:val="whitespace-normal"/>
      </w:pPr>
      <w:r>
        <w:rPr>
          <w:rStyle w:val="Fett"/>
          <w:rFonts w:eastAsiaTheme="majorEastAsia"/>
        </w:rPr>
        <w:t>Die Satzstruktur:</w:t>
      </w:r>
      <w:r>
        <w:t xml:space="preserve"> Vier Aussagen (und sein wirst du umhertappend am Mittag, wie der Blinde tappt im Finstern, und nicht Gelingen haben wirst du auf deinen Wegen; und sein wirst du nur bedrückt und beraubt alle Tage, und niemand wird retten).</w:t>
      </w:r>
    </w:p>
    <w:p w14:paraId="752D3085" w14:textId="77777777" w:rsidR="00A709A3" w:rsidRDefault="00A709A3" w:rsidP="00A709A3">
      <w:pPr>
        <w:pStyle w:val="whitespace-normal"/>
      </w:pPr>
      <w:r>
        <w:rPr>
          <w:rStyle w:val="Fett"/>
          <w:rFonts w:eastAsiaTheme="majorEastAsia"/>
        </w:rPr>
        <w:t>Der Vers beschreibt:</w:t>
      </w:r>
      <w:r>
        <w:t xml:space="preserve"> Orientierungslosigkeit, Misserfolg, dauernde Unterdrückung ohne Rettung.</w:t>
      </w:r>
    </w:p>
    <w:p w14:paraId="0264F363" w14:textId="77777777" w:rsidR="00A709A3" w:rsidRPr="00564C2A" w:rsidRDefault="00A709A3" w:rsidP="00564C2A">
      <w:pPr>
        <w:pStyle w:val="Bibelberschrift"/>
      </w:pPr>
      <w:r w:rsidRPr="00564C2A">
        <w:rPr>
          <w:rStyle w:val="Fett"/>
          <w:b/>
          <w:bCs w:val="0"/>
        </w:rPr>
        <w:t>Deuteronomium 28,30</w:t>
      </w:r>
    </w:p>
    <w:p w14:paraId="75D9C4AD" w14:textId="77777777" w:rsidR="00A709A3" w:rsidRDefault="00A709A3" w:rsidP="00A709A3">
      <w:pPr>
        <w:pStyle w:val="whitespace-normal"/>
      </w:pPr>
      <w:r>
        <w:rPr>
          <w:rStyle w:val="Fett"/>
          <w:rFonts w:eastAsiaTheme="majorEastAsia"/>
        </w:rPr>
        <w:t>Hebräisch:</w:t>
      </w:r>
      <w:r>
        <w:t xml:space="preserve"> </w:t>
      </w:r>
      <w:r>
        <w:rPr>
          <w:rtl/>
        </w:rPr>
        <w:t>אִשָּׁה תְאָרֵשׂ וְאִישׁ אַחֵר יִשְׁגָּלֶנָּה בַּיִת תִּבְנֶה וְלֹא־תֵשֵׁב בּוֹ כֶּרֶם תִּטַּע וְלֹא תְחַלְּלֶֽנּוּ׃</w:t>
      </w:r>
    </w:p>
    <w:p w14:paraId="3E5B0508" w14:textId="77777777" w:rsidR="00A709A3" w:rsidRDefault="00A709A3" w:rsidP="00A709A3">
      <w:pPr>
        <w:pStyle w:val="whitespace-normal"/>
      </w:pPr>
      <w:r>
        <w:rPr>
          <w:rStyle w:val="Fett"/>
          <w:rFonts w:eastAsiaTheme="majorEastAsia"/>
        </w:rPr>
        <w:t>Deutsch:</w:t>
      </w:r>
      <w:r>
        <w:t xml:space="preserve"> Eine Frau wirst du dir verloben, und ein anderer Mann wird sie schänden; ein Haus wirst du bauen, und nicht darin wohnen; einen Weinberg wirst du pflanzen, und nicht ihn einweihen.</w:t>
      </w:r>
    </w:p>
    <w:p w14:paraId="44DCC8C4" w14:textId="77777777" w:rsidR="00A709A3" w:rsidRDefault="004F5CEB" w:rsidP="00A709A3">
      <w:r>
        <w:rPr>
          <w:noProof/>
        </w:rPr>
        <w:pict w14:anchorId="405E4E5F">
          <v:rect id="_x0000_i1775" style="width:0;height:1.5pt" o:hralign="center" o:hrstd="t" o:hr="t" fillcolor="#a0a0a0" stroked="f"/>
        </w:pict>
      </w:r>
    </w:p>
    <w:p w14:paraId="650EDE45"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אִשָּׁה תְאָרֵשׂ וְאִישׁ אַחֵר יִשְׁגָּלֶנָּה בַּיִת תִּבְנֶה וְלֹא־תֵשֵׁב בּוֹ כֶּרֶם תִּטַּע וְלֹא תְחַלְּלֶנּוּ</w:t>
      </w:r>
      <w:r>
        <w:rPr>
          <w:rtl/>
        </w:rPr>
        <w:t xml:space="preserve"> </w:t>
      </w:r>
      <w:r>
        <w:t xml:space="preserve">sind drei Frustrationsflüche: </w:t>
      </w:r>
      <w:r>
        <w:rPr>
          <w:rStyle w:val="Fett"/>
          <w:rFonts w:eastAsiaTheme="majorEastAsia"/>
          <w:rtl/>
        </w:rPr>
        <w:t>אִשָּׁה תְאָרֵשׂ וְאִישׁ אַחֵר יִשְׁגָּלֶנָּה</w:t>
      </w:r>
      <w:r>
        <w:rPr>
          <w:rtl/>
        </w:rPr>
        <w:t xml:space="preserve"> </w:t>
      </w:r>
      <w:r>
        <w:t>(</w:t>
      </w:r>
      <w:r>
        <w:rPr>
          <w:rStyle w:val="Fett"/>
          <w:rFonts w:eastAsiaTheme="majorEastAsia"/>
          <w:rtl/>
        </w:rPr>
        <w:t>אִשָּׁה</w:t>
      </w:r>
      <w:r>
        <w:t xml:space="preserve">, </w:t>
      </w:r>
      <w:r>
        <w:rPr>
          <w:rStyle w:val="Fett"/>
          <w:rFonts w:eastAsiaTheme="majorEastAsia"/>
          <w:rtl/>
        </w:rPr>
        <w:t>ארשׂ</w:t>
      </w:r>
      <w:r>
        <w:t xml:space="preserve">, Piel Imperfekt, 2. Person Maskulinum Singular, „verloben, sich verloben mit", koordiniert durch </w:t>
      </w:r>
      <w:r>
        <w:rPr>
          <w:rStyle w:val="Fett"/>
          <w:rFonts w:eastAsiaTheme="majorEastAsia"/>
          <w:rtl/>
        </w:rPr>
        <w:t>וְ</w:t>
      </w:r>
      <w:r>
        <w:rPr>
          <w:rtl/>
        </w:rPr>
        <w:t xml:space="preserve"> </w:t>
      </w:r>
      <w:r>
        <w:t xml:space="preserve">mit </w:t>
      </w:r>
      <w:r>
        <w:rPr>
          <w:rStyle w:val="Fett"/>
          <w:rFonts w:eastAsiaTheme="majorEastAsia"/>
          <w:rtl/>
        </w:rPr>
        <w:t>אִישׁ אַחֵר</w:t>
      </w:r>
      <w:r>
        <w:t xml:space="preserve">, </w:t>
      </w:r>
      <w:r>
        <w:rPr>
          <w:rStyle w:val="Fett"/>
          <w:rFonts w:eastAsiaTheme="majorEastAsia"/>
          <w:rtl/>
        </w:rPr>
        <w:t>שׁגל</w:t>
      </w:r>
      <w:r>
        <w:t xml:space="preserve">, Qal Imperfekt, 3. Person Maskulinum Singular (hapax legomenon), „schänden, vergewaltigen" (euphemistisch), mit Suffix 3. Person Femininum Singular), </w:t>
      </w:r>
      <w:r>
        <w:rPr>
          <w:rStyle w:val="Fett"/>
          <w:rFonts w:eastAsiaTheme="majorEastAsia"/>
          <w:rtl/>
        </w:rPr>
        <w:t>בַּיִת תִּבְנֶה וְלֹא־תֵשֵׁב בּוֹ</w:t>
      </w:r>
      <w:r>
        <w:rPr>
          <w:rtl/>
        </w:rPr>
        <w:t xml:space="preserve"> </w:t>
      </w:r>
      <w:r>
        <w:t>(</w:t>
      </w:r>
      <w:r>
        <w:rPr>
          <w:rStyle w:val="Fett"/>
          <w:rFonts w:eastAsiaTheme="majorEastAsia"/>
          <w:rtl/>
        </w:rPr>
        <w:t>בַּיִת</w:t>
      </w:r>
      <w:r>
        <w:t xml:space="preserve">, </w:t>
      </w:r>
      <w:r>
        <w:rPr>
          <w:rStyle w:val="Fett"/>
          <w:rFonts w:eastAsiaTheme="majorEastAsia"/>
          <w:rtl/>
        </w:rPr>
        <w:t>בנה</w:t>
      </w:r>
      <w:r>
        <w:t xml:space="preserve">, Qal Imperfekt, 2. Person Maskulinum Singular, koordiniert durch </w:t>
      </w:r>
      <w:r>
        <w:rPr>
          <w:rStyle w:val="Fett"/>
          <w:rFonts w:eastAsiaTheme="majorEastAsia"/>
          <w:rtl/>
        </w:rPr>
        <w:t>וְ</w:t>
      </w:r>
      <w:r>
        <w:rPr>
          <w:rtl/>
        </w:rPr>
        <w:t xml:space="preserve"> </w:t>
      </w:r>
      <w:r>
        <w:t xml:space="preserve">mit Negation, </w:t>
      </w:r>
      <w:r>
        <w:rPr>
          <w:rStyle w:val="Fett"/>
          <w:rFonts w:eastAsiaTheme="majorEastAsia"/>
          <w:rtl/>
        </w:rPr>
        <w:t>ישׁב</w:t>
      </w:r>
      <w:r>
        <w:t xml:space="preserve">, Qal Imperfekt, 2. Person Maskulinum Singular, Präposition </w:t>
      </w:r>
      <w:r>
        <w:rPr>
          <w:rStyle w:val="Fett"/>
          <w:rFonts w:eastAsiaTheme="majorEastAsia"/>
          <w:rtl/>
        </w:rPr>
        <w:t>בְּ</w:t>
      </w:r>
      <w:r>
        <w:rPr>
          <w:rtl/>
        </w:rPr>
        <w:t xml:space="preserve"> </w:t>
      </w:r>
      <w:r>
        <w:t xml:space="preserve">mit Suffix 3. Person Maskulinum Singular), </w:t>
      </w:r>
      <w:r>
        <w:rPr>
          <w:rStyle w:val="Fett"/>
          <w:rFonts w:eastAsiaTheme="majorEastAsia"/>
          <w:rtl/>
        </w:rPr>
        <w:t>כֶּרֶם תִּטַּע וְלֹא תְחַלְּלֶנּוּ</w:t>
      </w:r>
      <w:r>
        <w:rPr>
          <w:rtl/>
        </w:rPr>
        <w:t xml:space="preserve"> </w:t>
      </w:r>
      <w:r>
        <w:t>(</w:t>
      </w:r>
      <w:r>
        <w:rPr>
          <w:rStyle w:val="Fett"/>
          <w:rFonts w:eastAsiaTheme="majorEastAsia"/>
          <w:rtl/>
        </w:rPr>
        <w:t>כֶּרֶם</w:t>
      </w:r>
      <w:r>
        <w:t xml:space="preserve">, </w:t>
      </w:r>
      <w:r>
        <w:rPr>
          <w:rStyle w:val="Fett"/>
          <w:rFonts w:eastAsiaTheme="majorEastAsia"/>
          <w:rtl/>
        </w:rPr>
        <w:t>נטע</w:t>
      </w:r>
      <w:r>
        <w:t xml:space="preserve">, Qal Imperfekt, 2. Person Maskulinum Singular, koordiniert durch </w:t>
      </w:r>
      <w:r>
        <w:rPr>
          <w:rStyle w:val="Fett"/>
          <w:rFonts w:eastAsiaTheme="majorEastAsia"/>
          <w:rtl/>
        </w:rPr>
        <w:t>וְ</w:t>
      </w:r>
      <w:r>
        <w:rPr>
          <w:rtl/>
        </w:rPr>
        <w:t xml:space="preserve"> </w:t>
      </w:r>
      <w:r>
        <w:t xml:space="preserve">mit Negation, </w:t>
      </w:r>
      <w:r>
        <w:rPr>
          <w:rStyle w:val="Fett"/>
          <w:rFonts w:eastAsiaTheme="majorEastAsia"/>
          <w:rtl/>
        </w:rPr>
        <w:t>חלל</w:t>
      </w:r>
      <w:r>
        <w:t>, Piel Imperfekt, 2. Person Maskulinum Singular, „einweihen, zum ersten Mal nutzen" (von einem Weinberg), mit Suffix 3. Person Maskulinum Singular).</w:t>
      </w:r>
    </w:p>
    <w:p w14:paraId="0671D975" w14:textId="5ABEABBB" w:rsidR="00A709A3" w:rsidRDefault="00A709A3" w:rsidP="00A709A3">
      <w:pPr>
        <w:pStyle w:val="whitespace-normal"/>
      </w:pPr>
      <w:r>
        <w:lastRenderedPageBreak/>
        <w:t xml:space="preserve">Der Vers beginnt eine Reihe von Frustrationsflüchen (V. 30-33) – Arbeit ohne Frucht. Der erste Fluch: </w:t>
      </w:r>
      <w:r>
        <w:rPr>
          <w:rStyle w:val="Fett"/>
          <w:rFonts w:eastAsiaTheme="majorEastAsia"/>
          <w:rtl/>
        </w:rPr>
        <w:t>אִשָּׁה תְאָרֵשׂ וְאִישׁ אַחֵר יִשְׁגָּלֶנָּה</w:t>
      </w:r>
      <w:r>
        <w:rPr>
          <w:rtl/>
        </w:rPr>
        <w:t xml:space="preserve"> </w:t>
      </w:r>
      <w:r>
        <w:t xml:space="preserve">(„eine Frau wirst du verloben, und ein anderer Mann wird sie schänden"). Das Verb </w:t>
      </w:r>
      <w:r>
        <w:rPr>
          <w:rStyle w:val="Fett"/>
          <w:rFonts w:eastAsiaTheme="majorEastAsia"/>
          <w:rtl/>
        </w:rPr>
        <w:t>ארשׂ</w:t>
      </w:r>
      <w:r>
        <w:rPr>
          <w:rtl/>
        </w:rPr>
        <w:t xml:space="preserve"> </w:t>
      </w:r>
      <w:r>
        <w:t xml:space="preserve">(„verloben") – rechtlich bindende Verlobung. Das Verb </w:t>
      </w:r>
      <w:r>
        <w:rPr>
          <w:rStyle w:val="Fett"/>
          <w:rFonts w:eastAsiaTheme="majorEastAsia"/>
          <w:rtl/>
        </w:rPr>
        <w:t>שׁגל</w:t>
      </w:r>
      <w:r>
        <w:rPr>
          <w:rtl/>
        </w:rPr>
        <w:t xml:space="preserve"> </w:t>
      </w:r>
      <w:r>
        <w:t xml:space="preserve">(hapax) „schänden, vergewaltigen" – der Verlobte erlebt die Schändung seiner Braut durch einen anderen (vgl. V. 56-57; Jes 13,16; Jer 3,2; Sach 14,2). Der zweite Fluch: </w:t>
      </w:r>
      <w:r>
        <w:rPr>
          <w:rStyle w:val="Fett"/>
          <w:rFonts w:eastAsiaTheme="majorEastAsia"/>
          <w:rtl/>
        </w:rPr>
        <w:t>בַּיִת תִּבְנֶה וְלֹא־תֵשֵׁב בּוֹ</w:t>
      </w:r>
      <w:r>
        <w:rPr>
          <w:rtl/>
        </w:rPr>
        <w:t xml:space="preserve"> </w:t>
      </w:r>
      <w:r>
        <w:t xml:space="preserve">(„ein Haus wirst du bauen, und nicht darin wohnen"). Vgl. 20,5-6; Am 5,11; Zeph 1,13 – andere werden das Haus bewohnen. Der dritte Fluch: </w:t>
      </w:r>
      <w:r>
        <w:rPr>
          <w:rStyle w:val="Fett"/>
          <w:rFonts w:eastAsiaTheme="majorEastAsia"/>
          <w:rtl/>
        </w:rPr>
        <w:t>כֶּרֶם תִּטַּע וְלֹא תְחַלְּלֶנּוּ</w:t>
      </w:r>
      <w:r>
        <w:rPr>
          <w:rtl/>
        </w:rPr>
        <w:t xml:space="preserve"> </w:t>
      </w:r>
      <w:r>
        <w:t xml:space="preserve">(„einen Weinberg wirst du pflanzen, und nicht ihn einweihen"). Das Verb </w:t>
      </w:r>
      <w:r>
        <w:rPr>
          <w:rStyle w:val="Fett"/>
          <w:rFonts w:eastAsiaTheme="majorEastAsia"/>
          <w:rtl/>
        </w:rPr>
        <w:t>חלל</w:t>
      </w:r>
      <w:r>
        <w:rPr>
          <w:rtl/>
        </w:rPr>
        <w:t xml:space="preserve"> </w:t>
      </w:r>
      <w:r>
        <w:t>im Piel („einweihen, zum ersten Mal nutzen") bezieht sich auf die erste Ernte nach vier Jahren (vgl. Lev 19,23-25; 20,6). Diese drei Flüche betreffen die grundlegenden Lebensprojekte: Ehe, Hausbau, Weinberg.</w:t>
      </w:r>
    </w:p>
    <w:p w14:paraId="5FCF0092" w14:textId="3ABB9FFD" w:rsidR="001A04EF" w:rsidRDefault="001A04EF" w:rsidP="00A709A3">
      <w:pPr>
        <w:pStyle w:val="whitespace-normal"/>
      </w:pPr>
      <w:r>
        <w:rPr>
          <w:rStyle w:val="Fett"/>
        </w:rPr>
        <w:t>Die LXX</w:t>
      </w:r>
      <w:r>
        <w:t xml:space="preserve"> übersetzt </w:t>
      </w:r>
      <w:r>
        <w:rPr>
          <w:rtl/>
        </w:rPr>
        <w:t>יִשְׁגָּלֶנָּה</w:t>
      </w:r>
      <w:r>
        <w:t xml:space="preserve"> (er wird bei ihr liegen, sie vergewaltigen) mit </w:t>
      </w:r>
      <w:proofErr w:type="spellStart"/>
      <w:r>
        <w:t>ἕξει</w:t>
      </w:r>
      <w:proofErr w:type="spellEnd"/>
      <w:r>
        <w:t xml:space="preserve"> α</w:t>
      </w:r>
      <w:proofErr w:type="spellStart"/>
      <w:r>
        <w:t>ὐτήν</w:t>
      </w:r>
      <w:proofErr w:type="spellEnd"/>
      <w:r>
        <w:t xml:space="preserve"> (er wird sie haben/besitzen) – eine euphemistische Übersetzung des brutalen hebräischen Verbs.</w:t>
      </w:r>
    </w:p>
    <w:p w14:paraId="58B00F8E" w14:textId="77777777" w:rsidR="00A709A3" w:rsidRDefault="00A709A3" w:rsidP="00A709A3">
      <w:pPr>
        <w:pStyle w:val="whitespace-normal"/>
      </w:pPr>
      <w:r>
        <w:rPr>
          <w:rStyle w:val="Fett"/>
          <w:rFonts w:eastAsiaTheme="majorEastAsia"/>
        </w:rPr>
        <w:t>Die Satzstruktur:</w:t>
      </w:r>
      <w:r>
        <w:t xml:space="preserve"> Drei Frustrationsflüche (eine Frau wirst du verloben, und ein anderer Mann wird sie schänden; ein Haus wirst du bauen, und nicht darin wohnen; einen Weinberg wirst du pflanzen, und nicht ihn einweihen).</w:t>
      </w:r>
    </w:p>
    <w:p w14:paraId="7551A14F" w14:textId="77777777" w:rsidR="00A709A3" w:rsidRDefault="00A709A3" w:rsidP="00A709A3">
      <w:pPr>
        <w:pStyle w:val="whitespace-normal"/>
      </w:pPr>
      <w:r>
        <w:rPr>
          <w:rStyle w:val="Fett"/>
          <w:rFonts w:eastAsiaTheme="majorEastAsia"/>
        </w:rPr>
        <w:t>Der Vers beschreibt:</w:t>
      </w:r>
      <w:r>
        <w:t xml:space="preserve"> Frustrationsflüche – Arbeit und Investition ohne Genuss der Früchte.</w:t>
      </w:r>
    </w:p>
    <w:p w14:paraId="2318B4CD" w14:textId="77777777" w:rsidR="00A709A3" w:rsidRPr="00564C2A" w:rsidRDefault="00A709A3" w:rsidP="00564C2A">
      <w:pPr>
        <w:pStyle w:val="Bibelberschrift"/>
      </w:pPr>
      <w:r w:rsidRPr="00564C2A">
        <w:rPr>
          <w:rStyle w:val="Fett"/>
          <w:b/>
          <w:bCs w:val="0"/>
        </w:rPr>
        <w:t>Deuteronomium 28,31</w:t>
      </w:r>
    </w:p>
    <w:p w14:paraId="05DCEC5A" w14:textId="77777777" w:rsidR="00A709A3" w:rsidRDefault="00A709A3" w:rsidP="00A709A3">
      <w:pPr>
        <w:pStyle w:val="whitespace-normal"/>
      </w:pPr>
      <w:r>
        <w:rPr>
          <w:rStyle w:val="Fett"/>
          <w:rFonts w:eastAsiaTheme="majorEastAsia"/>
        </w:rPr>
        <w:t>Hebräisch:</w:t>
      </w:r>
      <w:r>
        <w:t xml:space="preserve"> </w:t>
      </w:r>
      <w:r>
        <w:rPr>
          <w:rtl/>
        </w:rPr>
        <w:t>שׁוֹרְךָ טָבוּחַ לְעֵינֶיךָ וְלֹא תֹאכַל מִמֶּנּוּ חֲמֹֽרְךָ גָּזוּל מִלְּפָנֶיךָ וְלֹא יָשׁוּב לָךְ צֹֽאנְךָ נְתֻנוֹת לְאֹיְבֶיךָ וְאֵין לְךָ מוֹשִֽׁיעַ׃</w:t>
      </w:r>
    </w:p>
    <w:p w14:paraId="0763DDF0" w14:textId="77777777" w:rsidR="00A709A3" w:rsidRDefault="00A709A3" w:rsidP="00A709A3">
      <w:pPr>
        <w:pStyle w:val="whitespace-normal"/>
      </w:pPr>
      <w:r>
        <w:rPr>
          <w:rStyle w:val="Fett"/>
          <w:rFonts w:eastAsiaTheme="majorEastAsia"/>
        </w:rPr>
        <w:t>Deutsch:</w:t>
      </w:r>
      <w:r>
        <w:t xml:space="preserve"> Dein Ochse wird vor deinen Augen geschlachtet werden, und du wirst nicht davon essen; dein Esel wird vor deinem Angesicht geraubt und dir nicht zurückgegeben werden; dein Kleinvieh wird deinen Feinden gegeben werden, und du wirst niemanden haben, der rettet.</w:t>
      </w:r>
    </w:p>
    <w:p w14:paraId="1D45FE3B" w14:textId="77777777" w:rsidR="00A709A3" w:rsidRDefault="004F5CEB" w:rsidP="00A709A3">
      <w:r>
        <w:rPr>
          <w:noProof/>
        </w:rPr>
        <w:pict w14:anchorId="54245DD9">
          <v:rect id="_x0000_i1776" style="width:0;height:1.5pt" o:hralign="center" o:hrstd="t" o:hr="t" fillcolor="#a0a0a0" stroked="f"/>
        </w:pict>
      </w:r>
    </w:p>
    <w:p w14:paraId="2136E032"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שׁוֹרְךָ טָבוּחַ לְעֵינֶיךָ וְלֹא תֹאכַל מִמֶּנּוּ חֲמֹרְךָ גָּזוּל מִלְּפָנֶיךָ וְלֹא יָשׁוּב לָךְ צֹאנְךָ נְתֻנוֹת לְאֹיְבֶיךָ וְאֵין לְךָ מוֹשִׁיעַ</w:t>
      </w:r>
      <w:r>
        <w:rPr>
          <w:rtl/>
        </w:rPr>
        <w:t xml:space="preserve"> </w:t>
      </w:r>
      <w:r>
        <w:t xml:space="preserve">sind drei Viehverlustflüche: </w:t>
      </w:r>
      <w:r>
        <w:rPr>
          <w:rStyle w:val="Fett"/>
          <w:rFonts w:eastAsiaTheme="majorEastAsia"/>
          <w:rtl/>
        </w:rPr>
        <w:t>שׁוֹרְךָ טָבוּחַ לְעֵינֶיךָ וְלֹא תֹאכַל מִמֶּנּוּ</w:t>
      </w:r>
      <w:r>
        <w:rPr>
          <w:rtl/>
        </w:rPr>
        <w:t xml:space="preserve"> </w:t>
      </w:r>
      <w:r>
        <w:t>(</w:t>
      </w:r>
      <w:r>
        <w:rPr>
          <w:rStyle w:val="Fett"/>
          <w:rFonts w:eastAsiaTheme="majorEastAsia"/>
          <w:rtl/>
        </w:rPr>
        <w:t>שׁוֹר</w:t>
      </w:r>
      <w:r>
        <w:t xml:space="preserve">, „Ochse, Rind", mit Suffix 2. Person Maskulinum Singular, </w:t>
      </w:r>
      <w:r>
        <w:rPr>
          <w:rStyle w:val="Fett"/>
          <w:rFonts w:eastAsiaTheme="majorEastAsia"/>
          <w:rtl/>
        </w:rPr>
        <w:t>טבח</w:t>
      </w:r>
      <w:r>
        <w:t xml:space="preserve">, Qal Passiv Partizip, „geschlachtet", </w:t>
      </w:r>
      <w:r>
        <w:rPr>
          <w:rStyle w:val="Fett"/>
          <w:rFonts w:eastAsiaTheme="majorEastAsia"/>
          <w:rtl/>
        </w:rPr>
        <w:t>לְעֵינֶיךָ</w:t>
      </w:r>
      <w:r>
        <w:t xml:space="preserve">, koordiniert durch </w:t>
      </w:r>
      <w:r>
        <w:rPr>
          <w:rStyle w:val="Fett"/>
          <w:rFonts w:eastAsiaTheme="majorEastAsia"/>
          <w:rtl/>
        </w:rPr>
        <w:t>וְ</w:t>
      </w:r>
      <w:r>
        <w:rPr>
          <w:rtl/>
        </w:rPr>
        <w:t xml:space="preserve"> </w:t>
      </w:r>
      <w:r>
        <w:t xml:space="preserve">mit Negation, </w:t>
      </w:r>
      <w:r>
        <w:rPr>
          <w:rStyle w:val="Fett"/>
          <w:rFonts w:eastAsiaTheme="majorEastAsia"/>
          <w:rtl/>
        </w:rPr>
        <w:t>אכל</w:t>
      </w:r>
      <w:r>
        <w:t xml:space="preserve">, Qal Imperfekt, 2. Person Maskulinum Singular, Präposition </w:t>
      </w:r>
      <w:r>
        <w:rPr>
          <w:rStyle w:val="Fett"/>
          <w:rFonts w:eastAsiaTheme="majorEastAsia"/>
          <w:rtl/>
        </w:rPr>
        <w:t>מִן</w:t>
      </w:r>
      <w:r>
        <w:rPr>
          <w:rtl/>
        </w:rPr>
        <w:t xml:space="preserve"> </w:t>
      </w:r>
      <w:r>
        <w:t xml:space="preserve">mit Suffix 3. Person Maskulinum Singular), </w:t>
      </w:r>
      <w:r>
        <w:rPr>
          <w:rStyle w:val="Fett"/>
          <w:rFonts w:eastAsiaTheme="majorEastAsia"/>
          <w:rtl/>
        </w:rPr>
        <w:t>חֲמֹרְךָ גָּזוּל מִלְּפָנֶיךָ וְלֹא יָשׁוּב לָךְ</w:t>
      </w:r>
      <w:r>
        <w:rPr>
          <w:rtl/>
        </w:rPr>
        <w:t xml:space="preserve"> </w:t>
      </w:r>
      <w:r>
        <w:t>(</w:t>
      </w:r>
      <w:r>
        <w:rPr>
          <w:rStyle w:val="Fett"/>
          <w:rFonts w:eastAsiaTheme="majorEastAsia"/>
          <w:rtl/>
        </w:rPr>
        <w:t>חֲמוֹר</w:t>
      </w:r>
      <w:r>
        <w:t xml:space="preserve">, „Esel", mit Suffix, </w:t>
      </w:r>
      <w:r>
        <w:rPr>
          <w:rStyle w:val="Fett"/>
          <w:rFonts w:eastAsiaTheme="majorEastAsia"/>
          <w:rtl/>
        </w:rPr>
        <w:t>גזל</w:t>
      </w:r>
      <w:r>
        <w:t xml:space="preserve">, Qal Passiv Partizip, „geraubt", </w:t>
      </w:r>
      <w:r>
        <w:rPr>
          <w:rStyle w:val="Fett"/>
          <w:rFonts w:eastAsiaTheme="majorEastAsia"/>
          <w:rtl/>
        </w:rPr>
        <w:t>מִלְּפָנֶיךָ</w:t>
      </w:r>
      <w:r>
        <w:t xml:space="preserve">, koordiniert durch </w:t>
      </w:r>
      <w:r>
        <w:rPr>
          <w:rStyle w:val="Fett"/>
          <w:rFonts w:eastAsiaTheme="majorEastAsia"/>
          <w:rtl/>
        </w:rPr>
        <w:t>וְ</w:t>
      </w:r>
      <w:r>
        <w:rPr>
          <w:rtl/>
        </w:rPr>
        <w:t xml:space="preserve"> </w:t>
      </w:r>
      <w:r>
        <w:t xml:space="preserve">mit Negation, </w:t>
      </w:r>
      <w:r>
        <w:rPr>
          <w:rStyle w:val="Fett"/>
          <w:rFonts w:eastAsiaTheme="majorEastAsia"/>
          <w:rtl/>
        </w:rPr>
        <w:t>שׁוב</w:t>
      </w:r>
      <w:r>
        <w:t xml:space="preserve">, Qal Imperfekt, 3. Person Maskulinum Singular, „zurückkehren", </w:t>
      </w:r>
      <w:r>
        <w:rPr>
          <w:rStyle w:val="Fett"/>
          <w:rFonts w:eastAsiaTheme="majorEastAsia"/>
          <w:rtl/>
        </w:rPr>
        <w:t>לָךְ</w:t>
      </w:r>
      <w:r>
        <w:t xml:space="preserve">), </w:t>
      </w:r>
      <w:r>
        <w:rPr>
          <w:rStyle w:val="Fett"/>
          <w:rFonts w:eastAsiaTheme="majorEastAsia"/>
          <w:rtl/>
        </w:rPr>
        <w:t>צֹאנְךָ נְתֻנוֹת לְאֹיְבֶיךָ וְאֵין לְךָ מוֹשִׁיעַ</w:t>
      </w:r>
      <w:r>
        <w:rPr>
          <w:rtl/>
        </w:rPr>
        <w:t xml:space="preserve"> </w:t>
      </w:r>
      <w:r>
        <w:t>(</w:t>
      </w:r>
      <w:r>
        <w:rPr>
          <w:rStyle w:val="Fett"/>
          <w:rFonts w:eastAsiaTheme="majorEastAsia"/>
          <w:rtl/>
        </w:rPr>
        <w:t>צֹאן</w:t>
      </w:r>
      <w:r>
        <w:t xml:space="preserve">, „Kleinvieh", mit Suffix, </w:t>
      </w:r>
      <w:r>
        <w:rPr>
          <w:rStyle w:val="Fett"/>
          <w:rFonts w:eastAsiaTheme="majorEastAsia"/>
          <w:rtl/>
        </w:rPr>
        <w:t>נתן</w:t>
      </w:r>
      <w:r>
        <w:t xml:space="preserve">, Qal Passiv Partizip Femininum Plural, „gegeben", </w:t>
      </w:r>
      <w:r>
        <w:rPr>
          <w:rStyle w:val="Fett"/>
          <w:rFonts w:eastAsiaTheme="majorEastAsia"/>
          <w:rtl/>
        </w:rPr>
        <w:t>לְאֹיְבֶיךָ</w:t>
      </w:r>
      <w:r>
        <w:t xml:space="preserve">, koordiniert durch </w:t>
      </w:r>
      <w:r>
        <w:rPr>
          <w:rStyle w:val="Fett"/>
          <w:rFonts w:eastAsiaTheme="majorEastAsia"/>
          <w:rtl/>
        </w:rPr>
        <w:t>וְ</w:t>
      </w:r>
      <w:r>
        <w:rPr>
          <w:rtl/>
        </w:rPr>
        <w:t xml:space="preserve"> </w:t>
      </w:r>
      <w:r>
        <w:t xml:space="preserve">mit </w:t>
      </w:r>
      <w:r>
        <w:rPr>
          <w:rStyle w:val="Fett"/>
          <w:rFonts w:eastAsiaTheme="majorEastAsia"/>
          <w:rtl/>
        </w:rPr>
        <w:t>אֵין לְךָ מוֹשִׁיעַ</w:t>
      </w:r>
      <w:r>
        <w:t>).</w:t>
      </w:r>
    </w:p>
    <w:p w14:paraId="5143B1EF" w14:textId="77777777" w:rsidR="00A709A3" w:rsidRDefault="00A709A3" w:rsidP="00A709A3">
      <w:pPr>
        <w:pStyle w:val="whitespace-normal"/>
      </w:pPr>
      <w:r>
        <w:t xml:space="preserve">Der Vers setzt die Frustrationsflüche fort mit Viehverlust. Der erste Fluch: </w:t>
      </w:r>
      <w:r>
        <w:rPr>
          <w:rStyle w:val="Fett"/>
          <w:rFonts w:eastAsiaTheme="majorEastAsia"/>
          <w:rtl/>
        </w:rPr>
        <w:t>שׁוֹרְךָ טָבוּחַ לְעֵינֶיךָ וְלֹא תֹאכַל מִמֶּנּוּ</w:t>
      </w:r>
      <w:r>
        <w:rPr>
          <w:rtl/>
        </w:rPr>
        <w:t xml:space="preserve"> </w:t>
      </w:r>
      <w:r>
        <w:t xml:space="preserve">(„dein Ochse wird geschlachtet vor deinen Augen, und nicht essen wirst du von ihm"). Der Ochse wird vor den eigenen Augen geschlachtet, aber andere essen das Fleisch. Der zweite Fluch: </w:t>
      </w:r>
      <w:r>
        <w:rPr>
          <w:rStyle w:val="Fett"/>
          <w:rFonts w:eastAsiaTheme="majorEastAsia"/>
          <w:rtl/>
        </w:rPr>
        <w:t>חֲמֹרְךָ גָּזוּל מִלְּפָנֶיךָ וְלֹא יָשׁוּב לָךְ</w:t>
      </w:r>
      <w:r>
        <w:rPr>
          <w:rtl/>
        </w:rPr>
        <w:t xml:space="preserve"> </w:t>
      </w:r>
      <w:r>
        <w:t xml:space="preserve">(„dein Esel wird geraubt vor deinem </w:t>
      </w:r>
      <w:r>
        <w:lastRenderedPageBreak/>
        <w:t xml:space="preserve">Angesicht, und nicht zurückkehren wird er zu dir"). Der Esel (Arbeitstier, Transportmittel) wird gestohlen und nie zurückgegeben. Der dritte Fluch: </w:t>
      </w:r>
      <w:r>
        <w:rPr>
          <w:rStyle w:val="Fett"/>
          <w:rFonts w:eastAsiaTheme="majorEastAsia"/>
          <w:rtl/>
        </w:rPr>
        <w:t>צֹאנְךָ נְתֻנוֹת לְאֹיְבֶיךָ וְאֵין לְךָ מוֹשִׁיעַ</w:t>
      </w:r>
      <w:r>
        <w:rPr>
          <w:rtl/>
        </w:rPr>
        <w:t xml:space="preserve"> </w:t>
      </w:r>
      <w:r>
        <w:t>(„dein Kleinvieh wird gegeben deinen Feinden, und niemanden wirst du haben, der rettet"). Die Schafe und Ziegen werden den Feinden übergeben, keine Rettung möglich.</w:t>
      </w:r>
    </w:p>
    <w:p w14:paraId="2D0DFA83" w14:textId="77777777" w:rsidR="00A709A3" w:rsidRDefault="00A709A3" w:rsidP="00A709A3">
      <w:pPr>
        <w:pStyle w:val="whitespace-normal"/>
      </w:pPr>
      <w:r>
        <w:rPr>
          <w:rStyle w:val="Fett"/>
          <w:rFonts w:eastAsiaTheme="majorEastAsia"/>
        </w:rPr>
        <w:t>Die Satzstruktur:</w:t>
      </w:r>
      <w:r>
        <w:t xml:space="preserve"> Drei Viehverlustflüche (dein Ochse wird geschlachtet vor deinen Augen, und nicht essen wirst du von ihm; dein Esel wird geraubt vor deinem Angesicht, und nicht zurückkehren wird er zu dir; dein Kleinvieh wird gegeben deinen Feinden, und niemanden wirst du haben, der rettet).</w:t>
      </w:r>
    </w:p>
    <w:p w14:paraId="0C504185" w14:textId="77777777" w:rsidR="00A709A3" w:rsidRDefault="00A709A3" w:rsidP="00A709A3">
      <w:pPr>
        <w:pStyle w:val="whitespace-normal"/>
      </w:pPr>
      <w:r>
        <w:rPr>
          <w:rStyle w:val="Fett"/>
          <w:rFonts w:eastAsiaTheme="majorEastAsia"/>
        </w:rPr>
        <w:t>Der Vers beschreibt:</w:t>
      </w:r>
      <w:r>
        <w:t xml:space="preserve"> Viehverlust – Rinder, Esel, Kleinvieh werden geraubt oder geschlachtet ohne Nutzen für den Besitzer.</w:t>
      </w:r>
    </w:p>
    <w:p w14:paraId="3761C9A0" w14:textId="77777777" w:rsidR="00A709A3" w:rsidRPr="008D48A3" w:rsidRDefault="00A709A3" w:rsidP="008D48A3">
      <w:pPr>
        <w:pStyle w:val="Bibelberschrift"/>
      </w:pPr>
      <w:r w:rsidRPr="008D48A3">
        <w:rPr>
          <w:rStyle w:val="Fett"/>
          <w:b/>
          <w:bCs w:val="0"/>
        </w:rPr>
        <w:t>Deuteronomium 28,32</w:t>
      </w:r>
    </w:p>
    <w:p w14:paraId="3D80DEA9" w14:textId="77777777" w:rsidR="00A709A3" w:rsidRDefault="00A709A3" w:rsidP="00A709A3">
      <w:pPr>
        <w:pStyle w:val="whitespace-normal"/>
      </w:pPr>
      <w:r>
        <w:rPr>
          <w:rStyle w:val="Fett"/>
          <w:rFonts w:eastAsiaTheme="majorEastAsia"/>
        </w:rPr>
        <w:t>Hebräisch:</w:t>
      </w:r>
      <w:r>
        <w:t xml:space="preserve"> </w:t>
      </w:r>
      <w:r>
        <w:rPr>
          <w:rtl/>
        </w:rPr>
        <w:t>בָּנֶיךָ וּבְנֹתֶיךָ נְתֻנִים לְעַם אַחֵר וְעֵינֶיךָ רֹאוֹת וְכָלוֹת אֲלֵיהֶם כָּל־הַיּוֹם וְאֵין לְאֵל יָדֶֽךָ׃</w:t>
      </w:r>
    </w:p>
    <w:p w14:paraId="13EAC394" w14:textId="77777777" w:rsidR="00A709A3" w:rsidRDefault="00A709A3" w:rsidP="00A709A3">
      <w:pPr>
        <w:pStyle w:val="whitespace-normal"/>
      </w:pPr>
      <w:r>
        <w:rPr>
          <w:rStyle w:val="Fett"/>
          <w:rFonts w:eastAsiaTheme="majorEastAsia"/>
        </w:rPr>
        <w:t>Deutsch:</w:t>
      </w:r>
      <w:r>
        <w:t xml:space="preserve"> Deine Söhne und deine Töchter werden einem anderen Volk gegeben, und deine Augen werden es sehen und verschmachten nach ihnen den ganzen Tag; aber es wird nicht in der Macht deiner Hand stehen.</w:t>
      </w:r>
    </w:p>
    <w:p w14:paraId="305DB180" w14:textId="77777777" w:rsidR="00A709A3" w:rsidRDefault="004F5CEB" w:rsidP="00A709A3">
      <w:r>
        <w:rPr>
          <w:noProof/>
        </w:rPr>
        <w:pict w14:anchorId="055565EF">
          <v:rect id="_x0000_i1777" style="width:0;height:1.5pt" o:hralign="center" o:hrstd="t" o:hr="t" fillcolor="#a0a0a0" stroked="f"/>
        </w:pict>
      </w:r>
    </w:p>
    <w:p w14:paraId="156F3FD6"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בָּנֶיךָ וּבְנֹתֶיךָ נְתֻנִים לְעַם אַחֵר וְעֵינֶיךָ רֹאוֹת וְכָלוֹת אֲלֵיהֶם כָּל־הַיּוֹם וְאֵין לְאֵל יָדֶךָ</w:t>
      </w:r>
      <w:r>
        <w:rPr>
          <w:rtl/>
        </w:rPr>
        <w:t xml:space="preserve"> </w:t>
      </w:r>
      <w:r>
        <w:t xml:space="preserve">sind drei Aussagen: </w:t>
      </w:r>
      <w:r>
        <w:rPr>
          <w:rStyle w:val="Fett"/>
          <w:rFonts w:eastAsiaTheme="majorEastAsia"/>
          <w:rtl/>
        </w:rPr>
        <w:t>בָּנֶיךָ וּבְנֹתֶיךָ נְתֻנִים לְעַם אַחֵר</w:t>
      </w:r>
      <w:r>
        <w:rPr>
          <w:rtl/>
        </w:rPr>
        <w:t xml:space="preserve"> </w:t>
      </w:r>
      <w:r>
        <w:t>(</w:t>
      </w:r>
      <w:r>
        <w:rPr>
          <w:rStyle w:val="Fett"/>
          <w:rFonts w:eastAsiaTheme="majorEastAsia"/>
          <w:rtl/>
        </w:rPr>
        <w:t>בֵּן</w:t>
      </w:r>
      <w:r>
        <w:rPr>
          <w:rtl/>
        </w:rPr>
        <w:t xml:space="preserve"> </w:t>
      </w:r>
      <w:r>
        <w:t xml:space="preserve">Plural mit Suffix, koordiniert mit </w:t>
      </w:r>
      <w:r>
        <w:rPr>
          <w:rStyle w:val="Fett"/>
          <w:rFonts w:eastAsiaTheme="majorEastAsia"/>
          <w:rtl/>
        </w:rPr>
        <w:t>בַּת</w:t>
      </w:r>
      <w:r>
        <w:rPr>
          <w:rtl/>
        </w:rPr>
        <w:t xml:space="preserve"> </w:t>
      </w:r>
      <w:r>
        <w:t xml:space="preserve">Plural mit Suffix, </w:t>
      </w:r>
      <w:r>
        <w:rPr>
          <w:rStyle w:val="Fett"/>
          <w:rFonts w:eastAsiaTheme="majorEastAsia"/>
          <w:rtl/>
        </w:rPr>
        <w:t>נתן</w:t>
      </w:r>
      <w:r>
        <w:t xml:space="preserve">, Qal Passiv Partizip Plural, </w:t>
      </w:r>
      <w:r>
        <w:rPr>
          <w:rStyle w:val="Fett"/>
          <w:rFonts w:eastAsiaTheme="majorEastAsia"/>
          <w:rtl/>
        </w:rPr>
        <w:t>לְעַם אַחֵר</w:t>
      </w:r>
      <w:r>
        <w:t xml:space="preserve">), </w:t>
      </w:r>
      <w:r>
        <w:rPr>
          <w:rStyle w:val="Fett"/>
          <w:rFonts w:eastAsiaTheme="majorEastAsia"/>
          <w:rtl/>
        </w:rPr>
        <w:t>וְעֵינֶיךָ רֹאוֹת וְכָלוֹת אֲלֵיהֶם כָּל־הַיּוֹם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עַיִן</w:t>
      </w:r>
      <w:r>
        <w:rPr>
          <w:rtl/>
        </w:rPr>
        <w:t xml:space="preserve"> </w:t>
      </w:r>
      <w:r>
        <w:t xml:space="preserve">Dual mit Suffix als Subjekt, </w:t>
      </w:r>
      <w:r>
        <w:rPr>
          <w:rStyle w:val="Fett"/>
          <w:rFonts w:eastAsiaTheme="majorEastAsia"/>
          <w:rtl/>
        </w:rPr>
        <w:t>ראה</w:t>
      </w:r>
      <w:r>
        <w:t xml:space="preserve">, Qal Partizip Femininum Plural, koordiniert durch </w:t>
      </w:r>
      <w:r>
        <w:rPr>
          <w:rStyle w:val="Fett"/>
          <w:rFonts w:eastAsiaTheme="majorEastAsia"/>
          <w:rtl/>
        </w:rPr>
        <w:t>וְ</w:t>
      </w:r>
      <w:r>
        <w:rPr>
          <w:rtl/>
        </w:rPr>
        <w:t xml:space="preserve"> </w:t>
      </w:r>
      <w:r>
        <w:t xml:space="preserve">mit </w:t>
      </w:r>
      <w:r>
        <w:rPr>
          <w:rStyle w:val="Fett"/>
          <w:rFonts w:eastAsiaTheme="majorEastAsia"/>
          <w:rtl/>
        </w:rPr>
        <w:t>כלה</w:t>
      </w:r>
      <w:r>
        <w:t xml:space="preserve">, Qal Partizip Femininum Plural, „verschmachten, sich verzehren", Präposition </w:t>
      </w:r>
      <w:r>
        <w:rPr>
          <w:rStyle w:val="Fett"/>
          <w:rFonts w:eastAsiaTheme="majorEastAsia"/>
          <w:rtl/>
        </w:rPr>
        <w:t>אֶל</w:t>
      </w:r>
      <w:r>
        <w:rPr>
          <w:rtl/>
        </w:rPr>
        <w:t xml:space="preserve"> </w:t>
      </w:r>
      <w:r>
        <w:t xml:space="preserve">mit Suffix 3. Person Maskulinum Plural, </w:t>
      </w:r>
      <w:r>
        <w:rPr>
          <w:rStyle w:val="Fett"/>
          <w:rFonts w:eastAsiaTheme="majorEastAsia"/>
          <w:rtl/>
        </w:rPr>
        <w:t>כָּל־הַיּוֹם</w:t>
      </w:r>
      <w:r>
        <w:t xml:space="preserve">), </w:t>
      </w:r>
      <w:r>
        <w:rPr>
          <w:rStyle w:val="Fett"/>
          <w:rFonts w:eastAsiaTheme="majorEastAsia"/>
          <w:rtl/>
        </w:rPr>
        <w:t>וְאֵין לְאֵל יָדֶךָ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אֵין</w:t>
      </w:r>
      <w:r>
        <w:t xml:space="preserve">, Präposition </w:t>
      </w:r>
      <w:r>
        <w:rPr>
          <w:rStyle w:val="Fett"/>
          <w:rFonts w:eastAsiaTheme="majorEastAsia"/>
          <w:rtl/>
        </w:rPr>
        <w:t>לְ</w:t>
      </w:r>
      <w:r>
        <w:rPr>
          <w:rtl/>
        </w:rPr>
        <w:t xml:space="preserve"> </w:t>
      </w:r>
      <w:r>
        <w:t xml:space="preserve">mit </w:t>
      </w:r>
      <w:r>
        <w:rPr>
          <w:rStyle w:val="Fett"/>
          <w:rFonts w:eastAsiaTheme="majorEastAsia"/>
          <w:rtl/>
        </w:rPr>
        <w:t>אֵל</w:t>
      </w:r>
      <w:r>
        <w:t xml:space="preserve">, „Macht, Kraft", Construct mit </w:t>
      </w:r>
      <w:r>
        <w:rPr>
          <w:rStyle w:val="Fett"/>
          <w:rFonts w:eastAsiaTheme="majorEastAsia"/>
          <w:rtl/>
        </w:rPr>
        <w:t>יָד</w:t>
      </w:r>
      <w:r>
        <w:rPr>
          <w:rtl/>
        </w:rPr>
        <w:t xml:space="preserve"> </w:t>
      </w:r>
      <w:r>
        <w:t>mit Suffix).</w:t>
      </w:r>
    </w:p>
    <w:p w14:paraId="67F0C164" w14:textId="77777777" w:rsidR="00A709A3" w:rsidRDefault="00A709A3" w:rsidP="00A709A3">
      <w:pPr>
        <w:pStyle w:val="whitespace-normal"/>
      </w:pPr>
      <w:r>
        <w:t xml:space="preserve">Der Vers beschreibt das schmerzhafteste Leid – Verlust der Kinder. Die erste Aussage: </w:t>
      </w:r>
      <w:r>
        <w:rPr>
          <w:rStyle w:val="Fett"/>
          <w:rFonts w:eastAsiaTheme="majorEastAsia"/>
          <w:rtl/>
        </w:rPr>
        <w:t>בָּנֶיךָ וּבְנֹתֶיךָ נְתֻנִים לְעַם אַחֵר</w:t>
      </w:r>
      <w:r>
        <w:rPr>
          <w:rtl/>
        </w:rPr>
        <w:t xml:space="preserve"> </w:t>
      </w:r>
      <w:r>
        <w:t xml:space="preserve">(„deine Söhne und deine Töchter werden gegeben einem anderen Volk"). Die Kinder werden verschleppt oder versklavt (vgl. V. 41; Joel 4,6; Neh 5,5). Die zweite Aussage: </w:t>
      </w:r>
      <w:r>
        <w:rPr>
          <w:rStyle w:val="Fett"/>
          <w:rFonts w:eastAsiaTheme="majorEastAsia"/>
          <w:rtl/>
        </w:rPr>
        <w:t>וְעֵינֶיךָ רֹאוֹת וְכָלוֹת אֲלֵיהֶם כָּל־הַיּוֹם</w:t>
      </w:r>
      <w:r>
        <w:rPr>
          <w:rtl/>
        </w:rPr>
        <w:t xml:space="preserve"> </w:t>
      </w:r>
      <w:r>
        <w:t xml:space="preserve">(„und deine Augen werden sehen und verschmachten nach ihnen den ganzen Tag"). Das Verb </w:t>
      </w:r>
      <w:r>
        <w:rPr>
          <w:rStyle w:val="Fett"/>
          <w:rFonts w:eastAsiaTheme="majorEastAsia"/>
          <w:rtl/>
        </w:rPr>
        <w:t>כלה</w:t>
      </w:r>
      <w:r>
        <w:rPr>
          <w:rtl/>
        </w:rPr>
        <w:t xml:space="preserve"> </w:t>
      </w:r>
      <w:r>
        <w:t xml:space="preserve">(„verschmachten, sich verzehren") – die Eltern sehen die Wegführung und sehnen sich danach, ihre Kinder zurückzubekommen. Die Formulierung </w:t>
      </w:r>
      <w:r>
        <w:rPr>
          <w:rStyle w:val="Fett"/>
          <w:rFonts w:eastAsiaTheme="majorEastAsia"/>
          <w:rtl/>
        </w:rPr>
        <w:t>כָּל־הַיּוֹם</w:t>
      </w:r>
      <w:r>
        <w:rPr>
          <w:rtl/>
        </w:rPr>
        <w:t xml:space="preserve"> </w:t>
      </w:r>
      <w:r>
        <w:t xml:space="preserve">(„den ganzen Tag") betont: dauerhafte Sehnsucht. Die dritte Aussage: </w:t>
      </w:r>
      <w:r>
        <w:rPr>
          <w:rStyle w:val="Fett"/>
          <w:rFonts w:eastAsiaTheme="majorEastAsia"/>
          <w:rtl/>
        </w:rPr>
        <w:t>וְאֵין לְאֵל יָדֶךָ</w:t>
      </w:r>
      <w:r>
        <w:rPr>
          <w:rtl/>
        </w:rPr>
        <w:t xml:space="preserve"> </w:t>
      </w:r>
      <w:r>
        <w:t xml:space="preserve">(„und nicht wird sein in der Macht deiner Hand"). Die Formulierung </w:t>
      </w:r>
      <w:r>
        <w:rPr>
          <w:rStyle w:val="Fett"/>
          <w:rFonts w:eastAsiaTheme="majorEastAsia"/>
          <w:rtl/>
        </w:rPr>
        <w:t>אֵל יָד</w:t>
      </w:r>
      <w:r>
        <w:rPr>
          <w:rtl/>
        </w:rPr>
        <w:t xml:space="preserve"> </w:t>
      </w:r>
      <w:r>
        <w:t>(„Macht der Hand") – völlige Ohnmacht, nichts zu tun (vgl. Gen 31,29; Neh 5,5; Spr 3,27; Mich 2,1).</w:t>
      </w:r>
    </w:p>
    <w:p w14:paraId="1A381291" w14:textId="77777777" w:rsidR="00A709A3" w:rsidRDefault="00A709A3" w:rsidP="00A709A3">
      <w:pPr>
        <w:pStyle w:val="whitespace-normal"/>
      </w:pPr>
      <w:r>
        <w:rPr>
          <w:rStyle w:val="Fett"/>
          <w:rFonts w:eastAsiaTheme="majorEastAsia"/>
        </w:rPr>
        <w:t>Die Satzstruktur:</w:t>
      </w:r>
      <w:r>
        <w:t xml:space="preserve"> Drei Aussagen (deine Söhne und deine Töchter werden gegeben einem anderen Volk, und deine Augen werden sehen und verschmachten nach ihnen den ganzen Tag; aber nicht wird sein in der Macht deiner Hand).</w:t>
      </w:r>
    </w:p>
    <w:p w14:paraId="742CF41A" w14:textId="77777777" w:rsidR="00A709A3" w:rsidRDefault="00A709A3" w:rsidP="00A709A3">
      <w:pPr>
        <w:pStyle w:val="whitespace-normal"/>
      </w:pPr>
      <w:r>
        <w:rPr>
          <w:rStyle w:val="Fett"/>
          <w:rFonts w:eastAsiaTheme="majorEastAsia"/>
        </w:rPr>
        <w:lastRenderedPageBreak/>
        <w:t>Der Vers beschreibt:</w:t>
      </w:r>
      <w:r>
        <w:t xml:space="preserve"> Kindesverlust – Kinder werden weggeführt, Eltern sind hilflos und voller Sehnsucht.</w:t>
      </w:r>
    </w:p>
    <w:p w14:paraId="6596D866" w14:textId="77777777" w:rsidR="00A709A3" w:rsidRPr="008D48A3" w:rsidRDefault="00A709A3" w:rsidP="008D48A3">
      <w:pPr>
        <w:pStyle w:val="Bibelberschrift"/>
      </w:pPr>
      <w:r w:rsidRPr="008D48A3">
        <w:rPr>
          <w:rStyle w:val="Fett"/>
          <w:b/>
          <w:bCs w:val="0"/>
        </w:rPr>
        <w:t>Deuteronomium 28,33</w:t>
      </w:r>
    </w:p>
    <w:p w14:paraId="66F8A17C" w14:textId="77777777" w:rsidR="00A709A3" w:rsidRDefault="00A709A3" w:rsidP="00A709A3">
      <w:pPr>
        <w:pStyle w:val="whitespace-normal"/>
      </w:pPr>
      <w:r>
        <w:rPr>
          <w:rStyle w:val="Fett"/>
          <w:rFonts w:eastAsiaTheme="majorEastAsia"/>
        </w:rPr>
        <w:t>Hebräisch:</w:t>
      </w:r>
      <w:r>
        <w:t xml:space="preserve"> </w:t>
      </w:r>
      <w:r>
        <w:rPr>
          <w:rtl/>
        </w:rPr>
        <w:t>פְּרִי אַדְמָֽתְךָ וְכָל־יְגִיעֲךָ יֹאכַל עַם אֲשֶׁר לֹא־יָדָעְתָּ וְהָיִיתָ רַק עָשׁוּק וְרָצוּץ כָּל־הַיָּמִֽים׃</w:t>
      </w:r>
    </w:p>
    <w:p w14:paraId="6B58097B" w14:textId="77777777" w:rsidR="00A709A3" w:rsidRDefault="00A709A3" w:rsidP="00A709A3">
      <w:pPr>
        <w:pStyle w:val="whitespace-normal"/>
      </w:pPr>
      <w:r>
        <w:rPr>
          <w:rStyle w:val="Fett"/>
          <w:rFonts w:eastAsiaTheme="majorEastAsia"/>
        </w:rPr>
        <w:t>Deutsch:</w:t>
      </w:r>
      <w:r>
        <w:t xml:space="preserve"> Die Frucht deines Landes und alle deine Arbeit wird ein Volk verzehren, das du nicht kennst; und du wirst nur bedrückt und zerschlagen sein alle Tage.</w:t>
      </w:r>
    </w:p>
    <w:p w14:paraId="2B70A20E" w14:textId="77777777" w:rsidR="00A709A3" w:rsidRDefault="004F5CEB" w:rsidP="00A709A3">
      <w:r>
        <w:rPr>
          <w:noProof/>
        </w:rPr>
        <w:pict w14:anchorId="44442FC9">
          <v:rect id="_x0000_i1778" style="width:0;height:1.5pt" o:hralign="center" o:hrstd="t" o:hr="t" fillcolor="#a0a0a0" stroked="f"/>
        </w:pict>
      </w:r>
    </w:p>
    <w:p w14:paraId="1B05BBFE"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פְּרִי אַדְמָתְךָ וְכָל־יְגִיעֲךָ יֹאכַל עַם אֲשֶׁר לֹא־יָדָעְתָּ וְהָיִיתָ רַק עָשׁוּק וְרָצוּץ כָּל־הַיָּמִים</w:t>
      </w:r>
      <w:r>
        <w:rPr>
          <w:rtl/>
        </w:rPr>
        <w:t xml:space="preserve"> </w:t>
      </w:r>
      <w:r>
        <w:t xml:space="preserve">sind zwei Aussagen: </w:t>
      </w:r>
      <w:r>
        <w:rPr>
          <w:rStyle w:val="Fett"/>
          <w:rFonts w:eastAsiaTheme="majorEastAsia"/>
          <w:rtl/>
        </w:rPr>
        <w:t>פְּרִי אַדְמָתְךָ וְכָל־יְגִיעֲךָ יֹאכַל עַם אֲשֶׁר לֹא־יָדָעְתָּ</w:t>
      </w:r>
      <w:r>
        <w:rPr>
          <w:rtl/>
        </w:rPr>
        <w:t xml:space="preserve"> </w:t>
      </w:r>
      <w:r>
        <w:t>(</w:t>
      </w:r>
      <w:r>
        <w:rPr>
          <w:rStyle w:val="Fett"/>
          <w:rFonts w:eastAsiaTheme="majorEastAsia"/>
          <w:rtl/>
        </w:rPr>
        <w:t>פְּרִי אַדְמָתְךָ</w:t>
      </w:r>
      <w:r>
        <w:t xml:space="preserve">, koordiniert durch </w:t>
      </w:r>
      <w:r>
        <w:rPr>
          <w:rStyle w:val="Fett"/>
          <w:rFonts w:eastAsiaTheme="majorEastAsia"/>
          <w:rtl/>
        </w:rPr>
        <w:t>וְ</w:t>
      </w:r>
      <w:r>
        <w:rPr>
          <w:rtl/>
        </w:rPr>
        <w:t xml:space="preserve"> </w:t>
      </w:r>
      <w:r>
        <w:t xml:space="preserve">mit </w:t>
      </w:r>
      <w:r>
        <w:rPr>
          <w:rStyle w:val="Fett"/>
          <w:rFonts w:eastAsiaTheme="majorEastAsia"/>
          <w:rtl/>
        </w:rPr>
        <w:t>כָּל־יְגִיעַ</w:t>
      </w:r>
      <w:r>
        <w:t xml:space="preserve">, „Arbeit, Mühe", mit Suffix, </w:t>
      </w:r>
      <w:r>
        <w:rPr>
          <w:rStyle w:val="Fett"/>
          <w:rFonts w:eastAsiaTheme="majorEastAsia"/>
          <w:rtl/>
        </w:rPr>
        <w:t>אכל</w:t>
      </w:r>
      <w:r>
        <w:t xml:space="preserve">, Qal Imperfekt, 3. Person Maskulinum Singular, </w:t>
      </w:r>
      <w:r>
        <w:rPr>
          <w:rStyle w:val="Fett"/>
          <w:rFonts w:eastAsiaTheme="majorEastAsia"/>
          <w:rtl/>
        </w:rPr>
        <w:t>עַם</w:t>
      </w:r>
      <w:r>
        <w:rPr>
          <w:rtl/>
        </w:rPr>
        <w:t xml:space="preserve"> </w:t>
      </w:r>
      <w:r>
        <w:t xml:space="preserve">als Subjekt, Relativsatz: </w:t>
      </w:r>
      <w:r>
        <w:rPr>
          <w:rStyle w:val="Fett"/>
          <w:rFonts w:eastAsiaTheme="majorEastAsia"/>
          <w:rtl/>
        </w:rPr>
        <w:t>אֲשֶׁר לֹא־יָדָעְתָּ</w:t>
      </w:r>
      <w:r>
        <w:rPr>
          <w:rtl/>
        </w:rPr>
        <w:t xml:space="preserve"> </w:t>
      </w:r>
      <w:r>
        <w:t xml:space="preserve">mit Negation, </w:t>
      </w:r>
      <w:r>
        <w:rPr>
          <w:rStyle w:val="Fett"/>
          <w:rFonts w:eastAsiaTheme="majorEastAsia"/>
          <w:rtl/>
        </w:rPr>
        <w:t>ידע</w:t>
      </w:r>
      <w:r>
        <w:t xml:space="preserve">, Qal Perfekt, 2. Person Maskulinum Singular), </w:t>
      </w:r>
      <w:r>
        <w:rPr>
          <w:rStyle w:val="Fett"/>
          <w:rFonts w:eastAsiaTheme="majorEastAsia"/>
          <w:rtl/>
        </w:rPr>
        <w:t>וְהָיִיתָ רַק עָשׁוּק וְרָצוּץ כָּל־הַיָּמִים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2. Person Maskulinum Singular, </w:t>
      </w:r>
      <w:r>
        <w:rPr>
          <w:rStyle w:val="Fett"/>
          <w:rFonts w:eastAsiaTheme="majorEastAsia"/>
          <w:rtl/>
        </w:rPr>
        <w:t>רַק</w:t>
      </w:r>
      <w:r>
        <w:t xml:space="preserve">, </w:t>
      </w:r>
      <w:r>
        <w:rPr>
          <w:rStyle w:val="Fett"/>
          <w:rFonts w:eastAsiaTheme="majorEastAsia"/>
          <w:rtl/>
        </w:rPr>
        <w:t>עשׁק</w:t>
      </w:r>
      <w:r>
        <w:t xml:space="preserve">, Qal Passiv Partizip, koordiniert durch </w:t>
      </w:r>
      <w:r>
        <w:rPr>
          <w:rStyle w:val="Fett"/>
          <w:rFonts w:eastAsiaTheme="majorEastAsia"/>
          <w:rtl/>
        </w:rPr>
        <w:t>וְ</w:t>
      </w:r>
      <w:r>
        <w:rPr>
          <w:rtl/>
        </w:rPr>
        <w:t xml:space="preserve"> </w:t>
      </w:r>
      <w:r>
        <w:t xml:space="preserve">mit </w:t>
      </w:r>
      <w:r>
        <w:rPr>
          <w:rStyle w:val="Fett"/>
          <w:rFonts w:eastAsiaTheme="majorEastAsia"/>
          <w:rtl/>
        </w:rPr>
        <w:t>רצץ</w:t>
      </w:r>
      <w:r>
        <w:t xml:space="preserve">, Qal Passiv Partizip, „zerschlagen, zermalmt", </w:t>
      </w:r>
      <w:r>
        <w:rPr>
          <w:rStyle w:val="Fett"/>
          <w:rFonts w:eastAsiaTheme="majorEastAsia"/>
          <w:rtl/>
        </w:rPr>
        <w:t>כָּל־הַיָּמִים</w:t>
      </w:r>
      <w:r>
        <w:t xml:space="preserve">, mit </w:t>
      </w:r>
      <w:r>
        <w:rPr>
          <w:rStyle w:val="Fett"/>
          <w:rFonts w:eastAsiaTheme="majorEastAsia"/>
        </w:rPr>
        <w:t>Waw</w:t>
      </w:r>
      <w:r>
        <w:t xml:space="preserve"> consecutives Perfekt).</w:t>
      </w:r>
    </w:p>
    <w:p w14:paraId="4609CEFF" w14:textId="77777777" w:rsidR="00A709A3" w:rsidRDefault="00A709A3" w:rsidP="00A709A3">
      <w:pPr>
        <w:pStyle w:val="whitespace-normal"/>
      </w:pPr>
      <w:r>
        <w:t xml:space="preserve">Der Vers schließt die Frustrationsflüche mit Ausbeutung durch Fremde ab. Die erste Aussage: </w:t>
      </w:r>
      <w:r>
        <w:rPr>
          <w:rStyle w:val="Fett"/>
          <w:rFonts w:eastAsiaTheme="majorEastAsia"/>
          <w:rtl/>
        </w:rPr>
        <w:t>פְּרִי אַדְמָתְךָ וְכָל־יְגִיעֲךָ יֹאכַל עַם אֲשֶׁר לֹא־יָדָעְתָּ</w:t>
      </w:r>
      <w:r>
        <w:rPr>
          <w:rtl/>
        </w:rPr>
        <w:t xml:space="preserve"> </w:t>
      </w:r>
      <w:r>
        <w:t xml:space="preserve">(„die Frucht deines Landes und alle deine Arbeit wird verzehren ein Volk, das du nicht kennst"). Fremde Unterdrücker nehmen die gesamte Ernte und Arbeitsfrucht. Die zweite Aussage: </w:t>
      </w:r>
      <w:r>
        <w:rPr>
          <w:rStyle w:val="Fett"/>
          <w:rFonts w:eastAsiaTheme="majorEastAsia"/>
          <w:rtl/>
        </w:rPr>
        <w:t>וְהָיִיתָ רַק עָשׁוּק וְרָצוּץ כָּל־הַיָּמִים</w:t>
      </w:r>
      <w:r>
        <w:rPr>
          <w:rtl/>
        </w:rPr>
        <w:t xml:space="preserve"> </w:t>
      </w:r>
      <w:r>
        <w:t xml:space="preserve">(„und sein wirst du nur bedrückt und zerschlagen alle Tage"). Die beiden Partizipien </w:t>
      </w:r>
      <w:r>
        <w:rPr>
          <w:rStyle w:val="Fett"/>
          <w:rFonts w:eastAsiaTheme="majorEastAsia"/>
          <w:rtl/>
        </w:rPr>
        <w:t>עָשׁוּק</w:t>
      </w:r>
      <w:r>
        <w:rPr>
          <w:rtl/>
        </w:rPr>
        <w:t xml:space="preserve"> </w:t>
      </w:r>
      <w:r>
        <w:t xml:space="preserve">(„bedrückt") und </w:t>
      </w:r>
      <w:r>
        <w:rPr>
          <w:rStyle w:val="Fett"/>
          <w:rFonts w:eastAsiaTheme="majorEastAsia"/>
          <w:rtl/>
        </w:rPr>
        <w:t>רָצוּץ</w:t>
      </w:r>
      <w:r>
        <w:rPr>
          <w:rtl/>
        </w:rPr>
        <w:t xml:space="preserve"> </w:t>
      </w:r>
      <w:r>
        <w:t>(„zerschlagen, zermalmt") beschreiben totale Unterdrückung (vgl. V. 29).</w:t>
      </w:r>
    </w:p>
    <w:p w14:paraId="0156F0AC" w14:textId="77777777" w:rsidR="00A709A3" w:rsidRDefault="00A709A3" w:rsidP="00A709A3">
      <w:pPr>
        <w:pStyle w:val="whitespace-normal"/>
      </w:pPr>
      <w:r>
        <w:rPr>
          <w:rStyle w:val="Fett"/>
          <w:rFonts w:eastAsiaTheme="majorEastAsia"/>
        </w:rPr>
        <w:t>Die Satzstruktur:</w:t>
      </w:r>
      <w:r>
        <w:t xml:space="preserve"> Zwei Aussagen (die Frucht deines Landes und alle deine Arbeit wird verzehren ein Volk, das du nicht kennst; und sein wirst du nur bedrückt und zerschlagen alle Tage).</w:t>
      </w:r>
    </w:p>
    <w:p w14:paraId="7F5B9666" w14:textId="77777777" w:rsidR="00A709A3" w:rsidRDefault="00A709A3" w:rsidP="00A709A3">
      <w:pPr>
        <w:pStyle w:val="whitespace-normal"/>
      </w:pPr>
      <w:r>
        <w:rPr>
          <w:rStyle w:val="Fett"/>
          <w:rFonts w:eastAsiaTheme="majorEastAsia"/>
        </w:rPr>
        <w:t>Der Vers beschreibt:</w:t>
      </w:r>
      <w:r>
        <w:t xml:space="preserve"> Ausbeutung – fremde Unterdrücker nehmen alle Früchte der Arbeit, dauernde Unterdrückung.</w:t>
      </w:r>
    </w:p>
    <w:p w14:paraId="3007B32D" w14:textId="77777777" w:rsidR="00A709A3" w:rsidRDefault="00A709A3" w:rsidP="00564C2A">
      <w:pPr>
        <w:pStyle w:val="Bibelberschrift"/>
      </w:pPr>
      <w:r>
        <w:rPr>
          <w:rStyle w:val="Fett"/>
          <w:bCs w:val="0"/>
        </w:rPr>
        <w:t>Deuteronomium 28,34</w:t>
      </w:r>
    </w:p>
    <w:p w14:paraId="32718483" w14:textId="77777777" w:rsidR="00A709A3" w:rsidRDefault="00A709A3" w:rsidP="00A709A3">
      <w:pPr>
        <w:pStyle w:val="whitespace-normal"/>
      </w:pPr>
      <w:r>
        <w:rPr>
          <w:rStyle w:val="Fett"/>
          <w:rFonts w:eastAsiaTheme="majorEastAsia"/>
        </w:rPr>
        <w:t>Hebräisch:</w:t>
      </w:r>
      <w:r>
        <w:t xml:space="preserve"> </w:t>
      </w:r>
      <w:r>
        <w:rPr>
          <w:rtl/>
        </w:rPr>
        <w:t>וְהָיִיתָ מְשֻׁגָּע מִמַּרְאֵה עֵינֶיךָ אֲשֶׁר תִּרְאֶֽה׃</w:t>
      </w:r>
    </w:p>
    <w:p w14:paraId="47F57426" w14:textId="77777777" w:rsidR="00A709A3" w:rsidRDefault="00A709A3" w:rsidP="00A709A3">
      <w:pPr>
        <w:pStyle w:val="whitespace-normal"/>
      </w:pPr>
      <w:r>
        <w:rPr>
          <w:rStyle w:val="Fett"/>
          <w:rFonts w:eastAsiaTheme="majorEastAsia"/>
        </w:rPr>
        <w:t>Deutsch:</w:t>
      </w:r>
      <w:r>
        <w:t xml:space="preserve"> Und du wirst wahnsinnig werden vor dem Anblick deiner Augen, den du sehen wirst.</w:t>
      </w:r>
    </w:p>
    <w:p w14:paraId="75334F5A" w14:textId="77777777" w:rsidR="00A709A3" w:rsidRDefault="00A709A3" w:rsidP="00A709A3">
      <w:pPr>
        <w:pStyle w:val="whitespace-normal"/>
      </w:pPr>
      <w:r>
        <w:rPr>
          <w:rStyle w:val="Fett"/>
          <w:rFonts w:eastAsiaTheme="majorEastAsia"/>
        </w:rPr>
        <w:t>Kommentar:</w:t>
      </w:r>
      <w:r>
        <w:t xml:space="preserve"> </w:t>
      </w:r>
      <w:r>
        <w:rPr>
          <w:rStyle w:val="Fett"/>
          <w:rFonts w:eastAsiaTheme="majorEastAsia"/>
          <w:rtl/>
        </w:rPr>
        <w:t>וְהָיִיתָ מְשֻׁגָּע מִמַּרְאֵה עֵינֶיךָ אֲשֶׁר תִּרְאֶה</w:t>
      </w:r>
      <w:r>
        <w:rPr>
          <w:rtl/>
        </w:rPr>
        <w:t xml:space="preserve"> </w:t>
      </w:r>
      <w:r>
        <w:t xml:space="preserve">ist eine zusammenfassende Aussage: </w:t>
      </w:r>
      <w:r>
        <w:rPr>
          <w:rStyle w:val="Fett"/>
          <w:rFonts w:eastAsiaTheme="majorEastAsia"/>
          <w:rtl/>
        </w:rPr>
        <w:t>וְהָיִיתָ מְשֻׁגָּע מִמַּרְאֵה עֵינֶיךָ אֲשֶׁר תִּרְאֶה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2. Person Maskulinum Singular, </w:t>
      </w:r>
      <w:r>
        <w:rPr>
          <w:rStyle w:val="Fett"/>
          <w:rFonts w:eastAsiaTheme="majorEastAsia"/>
          <w:rtl/>
        </w:rPr>
        <w:t>שׁגע</w:t>
      </w:r>
      <w:r>
        <w:t xml:space="preserve">, Pual Partizip, „wahnsinnig, verrückt", Präposition </w:t>
      </w:r>
      <w:r>
        <w:rPr>
          <w:rStyle w:val="Fett"/>
          <w:rFonts w:eastAsiaTheme="majorEastAsia"/>
          <w:rtl/>
        </w:rPr>
        <w:t>מִן</w:t>
      </w:r>
      <w:r>
        <w:rPr>
          <w:rtl/>
        </w:rPr>
        <w:t xml:space="preserve"> </w:t>
      </w:r>
      <w:r>
        <w:t xml:space="preserve">mit </w:t>
      </w:r>
      <w:r>
        <w:rPr>
          <w:rStyle w:val="Fett"/>
          <w:rFonts w:eastAsiaTheme="majorEastAsia"/>
          <w:rtl/>
        </w:rPr>
        <w:t>מַרְאֶה</w:t>
      </w:r>
      <w:r>
        <w:t xml:space="preserve">, „Anblick, Anschauung", Construct mit </w:t>
      </w:r>
      <w:r>
        <w:rPr>
          <w:rStyle w:val="Fett"/>
          <w:rFonts w:eastAsiaTheme="majorEastAsia"/>
          <w:rtl/>
        </w:rPr>
        <w:t>עַיִן</w:t>
      </w:r>
      <w:r>
        <w:rPr>
          <w:rtl/>
        </w:rPr>
        <w:t xml:space="preserve"> </w:t>
      </w:r>
      <w:r>
        <w:t xml:space="preserve">Dual mit Suffix, Relativsatz: </w:t>
      </w:r>
      <w:r>
        <w:rPr>
          <w:rStyle w:val="Fett"/>
          <w:rFonts w:eastAsiaTheme="majorEastAsia"/>
          <w:rtl/>
        </w:rPr>
        <w:t>אֲשֶׁר תִּרְאֶה</w:t>
      </w:r>
      <w:r>
        <w:rPr>
          <w:rtl/>
        </w:rPr>
        <w:t xml:space="preserve"> </w:t>
      </w:r>
      <w:r>
        <w:t xml:space="preserve">mit </w:t>
      </w:r>
      <w:r>
        <w:rPr>
          <w:rStyle w:val="Fett"/>
          <w:rFonts w:eastAsiaTheme="majorEastAsia"/>
          <w:rtl/>
        </w:rPr>
        <w:t>ראה</w:t>
      </w:r>
      <w:r>
        <w:t xml:space="preserve">, Qal Imperfekt, 2. Person Maskulinum Singular, mit </w:t>
      </w:r>
      <w:r>
        <w:rPr>
          <w:rStyle w:val="Fett"/>
          <w:rFonts w:eastAsiaTheme="majorEastAsia"/>
        </w:rPr>
        <w:t>Waw</w:t>
      </w:r>
      <w:r>
        <w:t xml:space="preserve"> consecutives Perfekt).</w:t>
      </w:r>
    </w:p>
    <w:p w14:paraId="4C781586" w14:textId="77777777" w:rsidR="00A709A3" w:rsidRDefault="00A709A3" w:rsidP="00A709A3">
      <w:pPr>
        <w:pStyle w:val="whitespace-normal"/>
      </w:pPr>
      <w:r>
        <w:lastRenderedPageBreak/>
        <w:t xml:space="preserve">Der Vers fasst die Wirkung der vorangegangenen Flüche zusammen. Die Aussage: </w:t>
      </w:r>
      <w:r>
        <w:rPr>
          <w:rStyle w:val="Fett"/>
          <w:rFonts w:eastAsiaTheme="majorEastAsia"/>
          <w:rtl/>
        </w:rPr>
        <w:t>וְהָיִיתָ מְשֻׁגָּע מִמַּרְאֵה עֵינֶיךָ אֲשֶׁר תִּרְאֶה</w:t>
      </w:r>
      <w:r>
        <w:rPr>
          <w:rtl/>
        </w:rPr>
        <w:t xml:space="preserve"> </w:t>
      </w:r>
      <w:r>
        <w:t xml:space="preserve">(„und sein wirst du wahnsinnig vor dem Anblick deiner Augen, den du sehen wirst"). Das Partizip </w:t>
      </w:r>
      <w:r>
        <w:rPr>
          <w:rStyle w:val="Fett"/>
          <w:rFonts w:eastAsiaTheme="majorEastAsia"/>
          <w:rtl/>
        </w:rPr>
        <w:t>מְשֻׁגָּע</w:t>
      </w:r>
      <w:r>
        <w:rPr>
          <w:rtl/>
        </w:rPr>
        <w:t xml:space="preserve"> </w:t>
      </w:r>
      <w:r>
        <w:t xml:space="preserve">(Pual von </w:t>
      </w:r>
      <w:r>
        <w:rPr>
          <w:rStyle w:val="Fett"/>
          <w:rFonts w:eastAsiaTheme="majorEastAsia"/>
          <w:rtl/>
        </w:rPr>
        <w:t>שׁגע</w:t>
      </w:r>
      <w:r>
        <w:t xml:space="preserve">, „wahnsinnig, verrückt") – Rückbezug auf </w:t>
      </w:r>
      <w:r>
        <w:rPr>
          <w:rStyle w:val="Fett"/>
          <w:rFonts w:eastAsiaTheme="majorEastAsia"/>
          <w:rtl/>
        </w:rPr>
        <w:t>שִׁגָּעוֹן</w:t>
      </w:r>
      <w:r>
        <w:rPr>
          <w:rtl/>
        </w:rPr>
        <w:t xml:space="preserve"> </w:t>
      </w:r>
      <w:r>
        <w:t xml:space="preserve">(„Wahnsinn") aus V. 28. Die Formulierung </w:t>
      </w:r>
      <w:r>
        <w:rPr>
          <w:rStyle w:val="Fett"/>
          <w:rFonts w:eastAsiaTheme="majorEastAsia"/>
          <w:rtl/>
        </w:rPr>
        <w:t>מִמַּרְאֵה עֵינֶיךָ</w:t>
      </w:r>
      <w:r>
        <w:rPr>
          <w:rtl/>
        </w:rPr>
        <w:t xml:space="preserve"> </w:t>
      </w:r>
      <w:r>
        <w:t>(„vor dem Anblick deiner Augen") – der Wahnsinn wird verursacht durch das, was Israel mit eigenen Augen sehen muss: Schändung der Braut, Raub des Besitzes, Wegführung der Kinder, Unterdrückung.</w:t>
      </w:r>
    </w:p>
    <w:p w14:paraId="35DE89D3" w14:textId="77777777" w:rsidR="00A709A3" w:rsidRDefault="00A709A3" w:rsidP="00A709A3">
      <w:pPr>
        <w:pStyle w:val="whitespace-normal"/>
      </w:pPr>
      <w:r>
        <w:rPr>
          <w:rStyle w:val="Fett"/>
          <w:rFonts w:eastAsiaTheme="majorEastAsia"/>
        </w:rPr>
        <w:t>Die Satzstruktur:</w:t>
      </w:r>
      <w:r>
        <w:t xml:space="preserve"> Zusammenfassende Aussage (und sein wirst du wahnsinnig vor dem Anblick deiner Augen, den du sehen wirst).</w:t>
      </w:r>
    </w:p>
    <w:p w14:paraId="355A3CD1" w14:textId="77777777" w:rsidR="00A709A3" w:rsidRDefault="00A709A3" w:rsidP="00A709A3">
      <w:pPr>
        <w:pStyle w:val="whitespace-normal"/>
      </w:pPr>
      <w:r>
        <w:rPr>
          <w:rStyle w:val="Fett"/>
          <w:rFonts w:eastAsiaTheme="majorEastAsia"/>
        </w:rPr>
        <w:t>Der Vers beschreibt:</w:t>
      </w:r>
      <w:r>
        <w:t xml:space="preserve"> Resultat – Wahnsinn durch das Mitansehen der eigenen Katastrophe.</w:t>
      </w:r>
    </w:p>
    <w:p w14:paraId="2EE3090C" w14:textId="77777777" w:rsidR="005D0B3C" w:rsidRPr="008D48A3" w:rsidRDefault="005D0B3C" w:rsidP="008D48A3">
      <w:pPr>
        <w:pStyle w:val="Bibelberschrift"/>
      </w:pPr>
      <w:r w:rsidRPr="008D48A3">
        <w:rPr>
          <w:rStyle w:val="Fett"/>
          <w:b/>
          <w:bCs w:val="0"/>
        </w:rPr>
        <w:t>Deuteronomium 28,35</w:t>
      </w:r>
    </w:p>
    <w:p w14:paraId="56DED8FD" w14:textId="77777777" w:rsidR="005D0B3C" w:rsidRDefault="005D0B3C" w:rsidP="005D0B3C">
      <w:pPr>
        <w:pStyle w:val="whitespace-normal"/>
      </w:pPr>
      <w:r>
        <w:rPr>
          <w:rStyle w:val="Fett"/>
          <w:rFonts w:eastAsiaTheme="majorEastAsia"/>
        </w:rPr>
        <w:t>Hebräisch:</w:t>
      </w:r>
      <w:r>
        <w:t xml:space="preserve"> </w:t>
      </w:r>
      <w:r>
        <w:rPr>
          <w:rtl/>
        </w:rPr>
        <w:t>יַכְּכָה יְהוָה בִּשְׁחִין רָע עַל־הַבִּרְכַּיִם וְעַל־הַשֹּׁקַיִם אֲשֶׁר לֹא־תוּכַל לְהֵרָפֵא מִכַּף רַגְלְךָ וְעַד קָדְקֳדֶֽךָ׃</w:t>
      </w:r>
    </w:p>
    <w:p w14:paraId="3E3754A0" w14:textId="77777777" w:rsidR="005D0B3C" w:rsidRDefault="005D0B3C" w:rsidP="005D0B3C">
      <w:pPr>
        <w:pStyle w:val="whitespace-normal"/>
      </w:pPr>
      <w:r>
        <w:rPr>
          <w:rStyle w:val="Fett"/>
          <w:rFonts w:eastAsiaTheme="majorEastAsia"/>
        </w:rPr>
        <w:t>Deutsch:</w:t>
      </w:r>
      <w:r>
        <w:t xml:space="preserve"> JHWH wird dich schlagen mit bösen Geschwüren an den Knien und an den Schenkeln, dass du nicht geheilt werden kannst, von deiner Fußsohle bis zu deinem Scheitel.</w:t>
      </w:r>
    </w:p>
    <w:p w14:paraId="6BB65B7C" w14:textId="77777777" w:rsidR="005D0B3C" w:rsidRDefault="004F5CEB" w:rsidP="005D0B3C">
      <w:r>
        <w:rPr>
          <w:noProof/>
        </w:rPr>
        <w:pict w14:anchorId="211125D5">
          <v:rect id="_x0000_i1779" style="width:0;height:1.5pt" o:hralign="center" o:hrstd="t" o:hr="t" fillcolor="#a0a0a0" stroked="f"/>
        </w:pict>
      </w:r>
    </w:p>
    <w:p w14:paraId="4DE08A53" w14:textId="77777777" w:rsidR="005D0B3C" w:rsidRDefault="005D0B3C" w:rsidP="005D0B3C">
      <w:pPr>
        <w:pStyle w:val="whitespace-normal"/>
      </w:pPr>
      <w:r>
        <w:rPr>
          <w:rStyle w:val="Fett"/>
          <w:rFonts w:eastAsiaTheme="majorEastAsia"/>
        </w:rPr>
        <w:t>Kommentar:</w:t>
      </w:r>
      <w:r>
        <w:t xml:space="preserve"> </w:t>
      </w:r>
      <w:r>
        <w:rPr>
          <w:rStyle w:val="Fett"/>
          <w:rFonts w:eastAsiaTheme="majorEastAsia"/>
          <w:rtl/>
        </w:rPr>
        <w:t>יַכְּכָה יְהוָה בִּשְׁחִין רָע עַל־הַבִּרְכַּיִם וְעַל־הַשֹּׁקַיִם אֲשֶׁר לֹא־תוּכַל לְהֵרָפֵא מִכַּף רַגְלְךָ וְעַד קָדְקֳדֶךָ</w:t>
      </w:r>
      <w:r>
        <w:rPr>
          <w:rtl/>
        </w:rPr>
        <w:t xml:space="preserve"> </w:t>
      </w:r>
      <w:r>
        <w:t xml:space="preserve">ist eine Ankündigung: </w:t>
      </w:r>
      <w:r>
        <w:rPr>
          <w:rStyle w:val="Fett"/>
          <w:rFonts w:eastAsiaTheme="majorEastAsia"/>
          <w:rtl/>
        </w:rPr>
        <w:t>יַכְּכָה יְהוָה בִּשְׁחִין רָע עַל־הַבִּרְכַּיִם וְעַל־הַשֹּׁקַיִם אֲשֶׁר לֹא־תוּכַל לְהֵרָפֵא</w:t>
      </w:r>
      <w:r>
        <w:rPr>
          <w:rtl/>
        </w:rPr>
        <w:t xml:space="preserve"> </w:t>
      </w:r>
      <w:r>
        <w:t>(</w:t>
      </w:r>
      <w:r>
        <w:rPr>
          <w:rStyle w:val="Fett"/>
          <w:rFonts w:eastAsiaTheme="majorEastAsia"/>
          <w:rtl/>
        </w:rPr>
        <w:t>נכה</w:t>
      </w:r>
      <w:r>
        <w:t xml:space="preserve">, Hiphil Imperfekt, 3. Person Maskulinum Singular, </w:t>
      </w:r>
      <w:r>
        <w:rPr>
          <w:rStyle w:val="Fett"/>
          <w:rFonts w:eastAsiaTheme="majorEastAsia"/>
          <w:rtl/>
        </w:rPr>
        <w:t>יְהוָה</w:t>
      </w:r>
      <w:r>
        <w:rPr>
          <w:rtl/>
        </w:rPr>
        <w:t xml:space="preserve"> </w:t>
      </w:r>
      <w:r>
        <w:t xml:space="preserve">als Subjekt, Präposition </w:t>
      </w:r>
      <w:r>
        <w:rPr>
          <w:rStyle w:val="Fett"/>
          <w:rFonts w:eastAsiaTheme="majorEastAsia"/>
          <w:rtl/>
        </w:rPr>
        <w:t>בְּ</w:t>
      </w:r>
      <w:r>
        <w:rPr>
          <w:rtl/>
        </w:rPr>
        <w:t xml:space="preserve"> </w:t>
      </w:r>
      <w:r>
        <w:t xml:space="preserve">mit </w:t>
      </w:r>
      <w:r>
        <w:rPr>
          <w:rStyle w:val="Fett"/>
          <w:rFonts w:eastAsiaTheme="majorEastAsia"/>
          <w:rtl/>
        </w:rPr>
        <w:t>שְׁחִין רָע</w:t>
      </w:r>
      <w:r>
        <w:t xml:space="preserve">, „böse Geschwüre", Präposition </w:t>
      </w:r>
      <w:r>
        <w:rPr>
          <w:rStyle w:val="Fett"/>
          <w:rFonts w:eastAsiaTheme="majorEastAsia"/>
          <w:rtl/>
        </w:rPr>
        <w:t>עַל</w:t>
      </w:r>
      <w:r>
        <w:rPr>
          <w:rtl/>
        </w:rPr>
        <w:t xml:space="preserve"> </w:t>
      </w:r>
      <w:r>
        <w:t xml:space="preserve">mit </w:t>
      </w:r>
      <w:r>
        <w:rPr>
          <w:rStyle w:val="Fett"/>
          <w:rFonts w:eastAsiaTheme="majorEastAsia"/>
          <w:rtl/>
        </w:rPr>
        <w:t>בֶּרֶךְ</w:t>
      </w:r>
      <w:r>
        <w:t xml:space="preserve">, „Knie", Dual mit Artikel, koordiniert durch </w:t>
      </w:r>
      <w:r>
        <w:rPr>
          <w:rStyle w:val="Fett"/>
          <w:rFonts w:eastAsiaTheme="majorEastAsia"/>
          <w:rtl/>
        </w:rPr>
        <w:t>וְ</w:t>
      </w:r>
      <w:r>
        <w:rPr>
          <w:rtl/>
        </w:rPr>
        <w:t xml:space="preserve"> </w:t>
      </w:r>
      <w:r>
        <w:t xml:space="preserve">mit Präposition </w:t>
      </w:r>
      <w:r>
        <w:rPr>
          <w:rStyle w:val="Fett"/>
          <w:rFonts w:eastAsiaTheme="majorEastAsia"/>
          <w:rtl/>
        </w:rPr>
        <w:t>עַל</w:t>
      </w:r>
      <w:r>
        <w:t xml:space="preserve">, </w:t>
      </w:r>
      <w:r>
        <w:rPr>
          <w:rStyle w:val="Fett"/>
          <w:rFonts w:eastAsiaTheme="majorEastAsia"/>
          <w:rtl/>
        </w:rPr>
        <w:t>שׁוֹק</w:t>
      </w:r>
      <w:r>
        <w:t xml:space="preserve">, „Schenkel, Bein", Dual mit Artikel, Relativsatz wie V. 27), </w:t>
      </w:r>
      <w:r>
        <w:rPr>
          <w:rStyle w:val="Fett"/>
          <w:rFonts w:eastAsiaTheme="majorEastAsia"/>
          <w:rtl/>
        </w:rPr>
        <w:t>מִכַּף רַגְלְךָ וְעַד קָדְקֳדֶךָ</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כַּף</w:t>
      </w:r>
      <w:r>
        <w:t xml:space="preserve">, „Sohle", Construct mit </w:t>
      </w:r>
      <w:r>
        <w:rPr>
          <w:rStyle w:val="Fett"/>
          <w:rFonts w:eastAsiaTheme="majorEastAsia"/>
          <w:rtl/>
        </w:rPr>
        <w:t>רֶגֶל</w:t>
      </w:r>
      <w:r>
        <w:t xml:space="preserve">, „Fuß", mit Suffix 2. Person Maskulinum Singular, koordiniert durch </w:t>
      </w:r>
      <w:r>
        <w:rPr>
          <w:rStyle w:val="Fett"/>
          <w:rFonts w:eastAsiaTheme="majorEastAsia"/>
          <w:rtl/>
        </w:rPr>
        <w:t>וְ</w:t>
      </w:r>
      <w:r>
        <w:rPr>
          <w:rtl/>
        </w:rPr>
        <w:t xml:space="preserve"> </w:t>
      </w:r>
      <w:r>
        <w:t xml:space="preserve">mit Präposition </w:t>
      </w:r>
      <w:r>
        <w:rPr>
          <w:rStyle w:val="Fett"/>
          <w:rFonts w:eastAsiaTheme="majorEastAsia"/>
          <w:rtl/>
        </w:rPr>
        <w:t>עַד</w:t>
      </w:r>
      <w:r>
        <w:t xml:space="preserve">, </w:t>
      </w:r>
      <w:r>
        <w:rPr>
          <w:rStyle w:val="Fett"/>
          <w:rFonts w:eastAsiaTheme="majorEastAsia"/>
          <w:rtl/>
        </w:rPr>
        <w:t>קָדְקֹד</w:t>
      </w:r>
      <w:r>
        <w:t>, „Scheitel, Kopf", mit Suffix).</w:t>
      </w:r>
    </w:p>
    <w:p w14:paraId="3A2769BF" w14:textId="11136E6B" w:rsidR="005D0B3C" w:rsidRDefault="005D0B3C" w:rsidP="005D0B3C">
      <w:pPr>
        <w:pStyle w:val="whitespace-normal"/>
      </w:pPr>
      <w:r>
        <w:t xml:space="preserve">Der Vers intensiviert die Hautkrankheiten aus V. 27. Die Ankündigung: </w:t>
      </w:r>
      <w:r>
        <w:rPr>
          <w:rStyle w:val="Fett"/>
          <w:rFonts w:eastAsiaTheme="majorEastAsia"/>
          <w:rtl/>
        </w:rPr>
        <w:t>יַכְּכָה יְהוָה בִּשְׁחִין רָע עַל־הַבִּרְכַּיִם וְעַל־הַשֹּׁקַיִם אֲשֶׁר לֹא־תוּכַל לְהֵרָפֵא</w:t>
      </w:r>
      <w:r>
        <w:rPr>
          <w:rtl/>
        </w:rPr>
        <w:t xml:space="preserve"> </w:t>
      </w:r>
      <w:r>
        <w:t xml:space="preserve">(„schlagen wird JHWH dich mit bösen Geschwüren an den Knien und an den Schenkeln, dass du nicht geheilt werden kannst"). Das Adjektiv </w:t>
      </w:r>
      <w:r>
        <w:rPr>
          <w:rStyle w:val="Fett"/>
          <w:rFonts w:eastAsiaTheme="majorEastAsia"/>
          <w:rtl/>
        </w:rPr>
        <w:t>רָע</w:t>
      </w:r>
      <w:r>
        <w:rPr>
          <w:rtl/>
        </w:rPr>
        <w:t xml:space="preserve"> </w:t>
      </w:r>
      <w:r>
        <w:t xml:space="preserve">(„böse, schlimm") betont die Schwere. Die Formulierung </w:t>
      </w:r>
      <w:r>
        <w:rPr>
          <w:rStyle w:val="Fett"/>
          <w:rFonts w:eastAsiaTheme="majorEastAsia"/>
          <w:rtl/>
        </w:rPr>
        <w:t>עַל־הַבִּרְכַּיִם וְעַל־הַשֹּׁקַיִם</w:t>
      </w:r>
      <w:r>
        <w:rPr>
          <w:rtl/>
        </w:rPr>
        <w:t xml:space="preserve"> </w:t>
      </w:r>
      <w:r>
        <w:t xml:space="preserve">(„an den Knien und an den Schenkeln") – spezifische Körperteile, die das Gehen unmöglich machen. Die Erweiterung: </w:t>
      </w:r>
      <w:r>
        <w:rPr>
          <w:rStyle w:val="Fett"/>
          <w:rFonts w:eastAsiaTheme="majorEastAsia"/>
          <w:rtl/>
        </w:rPr>
        <w:t>מִכַּף רַגְלְךָ וְעַד קָדְקֳדֶךָ</w:t>
      </w:r>
      <w:r>
        <w:rPr>
          <w:rtl/>
        </w:rPr>
        <w:t xml:space="preserve"> </w:t>
      </w:r>
      <w:r>
        <w:t xml:space="preserve">(„von der Sohle deines Fußes bis zu deinem Scheitel"). Der Merismus „von Fußsohle bis Scheitel" = ganzer Körper – totale körperliche Zerstörung (vgl. </w:t>
      </w:r>
      <w:r w:rsidR="00664EB6">
        <w:t>2Sam</w:t>
      </w:r>
      <w:r>
        <w:t xml:space="preserve"> 14,25; Hiob 2,7; Jes 1,6).</w:t>
      </w:r>
    </w:p>
    <w:p w14:paraId="151084D4" w14:textId="77777777" w:rsidR="005D0B3C" w:rsidRDefault="005D0B3C" w:rsidP="005D0B3C">
      <w:pPr>
        <w:pStyle w:val="whitespace-normal"/>
      </w:pPr>
      <w:r>
        <w:rPr>
          <w:rStyle w:val="Fett"/>
          <w:rFonts w:eastAsiaTheme="majorEastAsia"/>
        </w:rPr>
        <w:t>Die Satzstruktur:</w:t>
      </w:r>
      <w:r>
        <w:t xml:space="preserve"> Ankündigung (schlagen wird JHWH dich mit bösen Geschwüren an den Knien und an den Schenkeln, dass du nicht geheilt werden kannst, von der Sohle deines Fußes bis zu deinem Scheitel).</w:t>
      </w:r>
    </w:p>
    <w:p w14:paraId="35C47496" w14:textId="77777777" w:rsidR="005D0B3C" w:rsidRDefault="005D0B3C" w:rsidP="005D0B3C">
      <w:pPr>
        <w:pStyle w:val="whitespace-normal"/>
      </w:pPr>
      <w:r>
        <w:rPr>
          <w:rStyle w:val="Fett"/>
          <w:rFonts w:eastAsiaTheme="majorEastAsia"/>
        </w:rPr>
        <w:t>Der Vers beschreibt:</w:t>
      </w:r>
      <w:r>
        <w:t xml:space="preserve"> Unheilbare Geschwüre am ganzen Körper – totale körperliche Zerstörung.</w:t>
      </w:r>
    </w:p>
    <w:p w14:paraId="7EDD6DFE" w14:textId="77777777" w:rsidR="005D0B3C" w:rsidRPr="008D48A3" w:rsidRDefault="005D0B3C" w:rsidP="008D48A3">
      <w:pPr>
        <w:pStyle w:val="Bibelberschrift"/>
      </w:pPr>
      <w:r w:rsidRPr="008D48A3">
        <w:rPr>
          <w:rStyle w:val="Fett"/>
          <w:b/>
          <w:bCs w:val="0"/>
        </w:rPr>
        <w:lastRenderedPageBreak/>
        <w:t>Deuteronomium 28,36</w:t>
      </w:r>
    </w:p>
    <w:p w14:paraId="0FD19FF7" w14:textId="77777777" w:rsidR="005D0B3C" w:rsidRDefault="005D0B3C" w:rsidP="005D0B3C">
      <w:pPr>
        <w:pStyle w:val="whitespace-normal"/>
      </w:pPr>
      <w:r>
        <w:rPr>
          <w:rStyle w:val="Fett"/>
          <w:rFonts w:eastAsiaTheme="majorEastAsia"/>
        </w:rPr>
        <w:t>Hebräisch:</w:t>
      </w:r>
      <w:r>
        <w:t xml:space="preserve"> </w:t>
      </w:r>
      <w:r>
        <w:rPr>
          <w:rtl/>
        </w:rPr>
        <w:t>יוֹלֵךְ יְהוָה אֹֽתְךָ וְאֶֽת־מַלְכְּךָ אֲשֶׁ֣ר תָּקִים עָלֶיךָ אֶל־גּוֹי אֲשֶׁר לֹא־יָדַעְתָּ אַתָּה וַאֲבֹתֶיךָ וְעָבַדְתָּ שָּׁם אֱלֹהִים אֲחֵרִים עֵץ וָאָֽבֶן׃</w:t>
      </w:r>
    </w:p>
    <w:p w14:paraId="77F26F6A" w14:textId="77777777" w:rsidR="005D0B3C" w:rsidRDefault="005D0B3C" w:rsidP="005D0B3C">
      <w:pPr>
        <w:pStyle w:val="whitespace-normal"/>
      </w:pPr>
      <w:r>
        <w:rPr>
          <w:rStyle w:val="Fett"/>
          <w:rFonts w:eastAsiaTheme="majorEastAsia"/>
        </w:rPr>
        <w:t>Deutsch:</w:t>
      </w:r>
      <w:r>
        <w:t xml:space="preserve"> JHWH wird dich und deinen König, den du über dich setzen wirst, zu einer Nation führen, die du nicht gekannt hast, du und deine Väter; und du wirst dort dienen anderen Göttern, Holz und Stein.</w:t>
      </w:r>
    </w:p>
    <w:p w14:paraId="2AA9278D" w14:textId="77777777" w:rsidR="005D0B3C" w:rsidRDefault="004F5CEB" w:rsidP="005D0B3C">
      <w:r>
        <w:rPr>
          <w:noProof/>
        </w:rPr>
        <w:pict w14:anchorId="5661366A">
          <v:rect id="_x0000_i1780" style="width:0;height:1.5pt" o:hralign="center" o:hrstd="t" o:hr="t" fillcolor="#a0a0a0" stroked="f"/>
        </w:pict>
      </w:r>
    </w:p>
    <w:p w14:paraId="365F1162" w14:textId="77777777" w:rsidR="005D0B3C" w:rsidRDefault="005D0B3C" w:rsidP="005D0B3C">
      <w:pPr>
        <w:pStyle w:val="whitespace-normal"/>
      </w:pPr>
      <w:r>
        <w:rPr>
          <w:rStyle w:val="Fett"/>
          <w:rFonts w:eastAsiaTheme="majorEastAsia"/>
        </w:rPr>
        <w:t>Kommentar:</w:t>
      </w:r>
      <w:r>
        <w:t xml:space="preserve"> </w:t>
      </w:r>
      <w:r>
        <w:rPr>
          <w:rStyle w:val="Fett"/>
          <w:rFonts w:eastAsiaTheme="majorEastAsia"/>
          <w:rtl/>
        </w:rPr>
        <w:t>יוֹלֵךְ יְהוָה אֹתְךָ וְאֶת־מַלְכְּךָ אֲשֶׁר תָּקִים עָלֶיךָ אֶל־גּוֹי אֲשֶׁר לֹא־יָדַעְתָּ אַתָּה וַאֲבֹתֶיךָ וְעָבַדְתָּ שָּׁם אֱלֹהִים אֲחֵרִים עֵץ וָאָבֶן</w:t>
      </w:r>
      <w:r>
        <w:rPr>
          <w:rtl/>
        </w:rPr>
        <w:t xml:space="preserve"> </w:t>
      </w:r>
      <w:r>
        <w:t xml:space="preserve">sind zwei Aussagen: </w:t>
      </w:r>
      <w:r>
        <w:rPr>
          <w:rStyle w:val="Fett"/>
          <w:rFonts w:eastAsiaTheme="majorEastAsia"/>
          <w:rtl/>
        </w:rPr>
        <w:t>יוֹלֵךְ יְהוָה אֹתְךָ וְאֶת־מַלְכְּךָ אֲשֶׁר תָּקִים עָלֶיךָ אֶל־גּוֹי אֲשֶׁר לֹא־יָדַעְתָּ אַתָּה וַאֲבֹתֶיךָ</w:t>
      </w:r>
      <w:r>
        <w:rPr>
          <w:rtl/>
        </w:rPr>
        <w:t xml:space="preserve"> </w:t>
      </w:r>
      <w:r>
        <w:t>(</w:t>
      </w:r>
      <w:r>
        <w:rPr>
          <w:rStyle w:val="Fett"/>
          <w:rFonts w:eastAsiaTheme="majorEastAsia"/>
          <w:rtl/>
        </w:rPr>
        <w:t>הלך</w:t>
      </w:r>
      <w:r>
        <w:t xml:space="preserve">, Hiphil Imperfekt, 3. Person Maskulinum Singular, „führen, wegführen", </w:t>
      </w:r>
      <w:r>
        <w:rPr>
          <w:rStyle w:val="Fett"/>
          <w:rFonts w:eastAsiaTheme="majorEastAsia"/>
          <w:rtl/>
        </w:rPr>
        <w:t>יְהוָה</w:t>
      </w:r>
      <w:r>
        <w:rPr>
          <w:rtl/>
        </w:rPr>
        <w:t xml:space="preserve"> </w:t>
      </w:r>
      <w:r>
        <w:t xml:space="preserve">als Subjekt, Objektpartikel </w:t>
      </w:r>
      <w:r>
        <w:rPr>
          <w:rStyle w:val="Fett"/>
          <w:rFonts w:eastAsiaTheme="majorEastAsia"/>
          <w:rtl/>
        </w:rPr>
        <w:t>אֵת</w:t>
      </w:r>
      <w:r>
        <w:rPr>
          <w:rtl/>
        </w:rPr>
        <w:t xml:space="preserve"> </w:t>
      </w:r>
      <w:r>
        <w:t xml:space="preserve">mit Suffix 2. Person Maskulinum Singular, koordiniert mit Objektpartikel </w:t>
      </w:r>
      <w:r>
        <w:rPr>
          <w:rStyle w:val="Fett"/>
          <w:rFonts w:eastAsiaTheme="majorEastAsia"/>
          <w:rtl/>
        </w:rPr>
        <w:t>אֵת</w:t>
      </w:r>
      <w:r>
        <w:t xml:space="preserve">, </w:t>
      </w:r>
      <w:r>
        <w:rPr>
          <w:rStyle w:val="Fett"/>
          <w:rFonts w:eastAsiaTheme="majorEastAsia"/>
          <w:rtl/>
        </w:rPr>
        <w:t>מֶלֶךְ</w:t>
      </w:r>
      <w:r>
        <w:rPr>
          <w:rtl/>
        </w:rPr>
        <w:t xml:space="preserve"> </w:t>
      </w:r>
      <w:r>
        <w:t xml:space="preserve">mit Suffix, Relativsatz: </w:t>
      </w:r>
      <w:r>
        <w:rPr>
          <w:rStyle w:val="Fett"/>
          <w:rFonts w:eastAsiaTheme="majorEastAsia"/>
          <w:rtl/>
        </w:rPr>
        <w:t>אֲשֶׁר תָּקִים עָלֶיךָ</w:t>
      </w:r>
      <w:r>
        <w:rPr>
          <w:rtl/>
        </w:rPr>
        <w:t xml:space="preserve"> </w:t>
      </w:r>
      <w:r>
        <w:t xml:space="preserve">mit </w:t>
      </w:r>
      <w:r>
        <w:rPr>
          <w:rStyle w:val="Fett"/>
          <w:rFonts w:eastAsiaTheme="majorEastAsia"/>
          <w:rtl/>
        </w:rPr>
        <w:t>קום</w:t>
      </w:r>
      <w:r>
        <w:t xml:space="preserve">, Hiphil Imperfekt, 2. Person Maskulinum Singular, Präposition </w:t>
      </w:r>
      <w:r>
        <w:rPr>
          <w:rStyle w:val="Fett"/>
          <w:rFonts w:eastAsiaTheme="majorEastAsia"/>
          <w:rtl/>
        </w:rPr>
        <w:t>אֶל</w:t>
      </w:r>
      <w:r>
        <w:rPr>
          <w:rtl/>
        </w:rPr>
        <w:t xml:space="preserve"> </w:t>
      </w:r>
      <w:r>
        <w:t xml:space="preserve">mit </w:t>
      </w:r>
      <w:r>
        <w:rPr>
          <w:rStyle w:val="Fett"/>
          <w:rFonts w:eastAsiaTheme="majorEastAsia"/>
          <w:rtl/>
        </w:rPr>
        <w:t>גּוֹי</w:t>
      </w:r>
      <w:r>
        <w:t xml:space="preserve">, weiterer Relativsatz wie üblich), </w:t>
      </w:r>
      <w:r>
        <w:rPr>
          <w:rStyle w:val="Fett"/>
          <w:rFonts w:eastAsiaTheme="majorEastAsia"/>
          <w:rtl/>
        </w:rPr>
        <w:t>וְעָבַדְתָּ שָּׁם אֱלֹהִים אֲחֵרִים עֵץ וָאָבֶן</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עבד</w:t>
      </w:r>
      <w:r>
        <w:t xml:space="preserve">, Qal Perfekt, 2. Person Maskulinum Singular, </w:t>
      </w:r>
      <w:r>
        <w:rPr>
          <w:rStyle w:val="Fett"/>
          <w:rFonts w:eastAsiaTheme="majorEastAsia"/>
          <w:rtl/>
        </w:rPr>
        <w:t>שָּׁם</w:t>
      </w:r>
      <w:r>
        <w:t xml:space="preserve">, </w:t>
      </w:r>
      <w:r>
        <w:rPr>
          <w:rStyle w:val="Fett"/>
          <w:rFonts w:eastAsiaTheme="majorEastAsia"/>
          <w:rtl/>
        </w:rPr>
        <w:t>אֱלֹהִים אֲחֵרִים</w:t>
      </w:r>
      <w:r>
        <w:t xml:space="preserve">, Apposition: </w:t>
      </w:r>
      <w:r>
        <w:rPr>
          <w:rStyle w:val="Fett"/>
          <w:rFonts w:eastAsiaTheme="majorEastAsia"/>
          <w:rtl/>
        </w:rPr>
        <w:t>עֵץ וָאָבֶן</w:t>
      </w:r>
      <w:r>
        <w:t xml:space="preserve">, mit </w:t>
      </w:r>
      <w:r>
        <w:rPr>
          <w:rStyle w:val="Fett"/>
          <w:rFonts w:eastAsiaTheme="majorEastAsia"/>
        </w:rPr>
        <w:t>Waw</w:t>
      </w:r>
      <w:r>
        <w:t xml:space="preserve"> consecutives Perfekt).</w:t>
      </w:r>
    </w:p>
    <w:p w14:paraId="782AA92D" w14:textId="1E57AEE9" w:rsidR="005D0B3C" w:rsidRDefault="005D0B3C" w:rsidP="005D0B3C">
      <w:pPr>
        <w:pStyle w:val="whitespace-normal"/>
      </w:pPr>
      <w:r>
        <w:t xml:space="preserve">Der Vers beginnt die Exilsdrohung (V. 36-37, ausgeführt in V. 64-68). Die erste Aussage: </w:t>
      </w:r>
      <w:r>
        <w:rPr>
          <w:rStyle w:val="Fett"/>
          <w:rFonts w:eastAsiaTheme="majorEastAsia"/>
          <w:rtl/>
        </w:rPr>
        <w:t>יוֹלֵךְ יְהוָה אֹתְךָ וְאֶת־מַלְכְּךָ אֲשֶׁר תָּקִים עָלֶיךָ אֶל־גּוֹי אֲשֶׁר לֹא־יָדַעְתָּ אַתָּה וַאֲבֹתֶיךָ</w:t>
      </w:r>
      <w:r>
        <w:rPr>
          <w:rtl/>
        </w:rPr>
        <w:t xml:space="preserve"> </w:t>
      </w:r>
      <w:r>
        <w:t xml:space="preserve">(„führen wird JHWH dich und deinen König, den du setzen wirst über dich, zu einer Nation, die du nicht gekannt hast, du und deine Väter"). JHWH selbst führt Israel ins Exil. Die Erwähnung des </w:t>
      </w:r>
      <w:r>
        <w:rPr>
          <w:rStyle w:val="Fett"/>
          <w:rFonts w:eastAsiaTheme="majorEastAsia"/>
          <w:rtl/>
        </w:rPr>
        <w:t>מֶלֶךְ</w:t>
      </w:r>
      <w:r>
        <w:rPr>
          <w:rtl/>
        </w:rPr>
        <w:t xml:space="preserve"> </w:t>
      </w:r>
      <w:r>
        <w:t>(„König") setzt das Königtum voraus (vgl. 17,14-20) – historisch erfüllt in der babylonischen G</w:t>
      </w:r>
      <w:r w:rsidR="00D47758">
        <w:t>ef</w:t>
      </w:r>
      <w:r w:rsidR="00743283">
        <w:t>a</w:t>
      </w:r>
      <w:r>
        <w:t>ngenschaft mit König Jojachin (</w:t>
      </w:r>
      <w:r w:rsidR="00664EB6">
        <w:t>2Kön</w:t>
      </w:r>
      <w:r>
        <w:t xml:space="preserve"> 24,10-16; 25,27-30). Die Formulierung </w:t>
      </w:r>
      <w:r>
        <w:rPr>
          <w:rStyle w:val="Fett"/>
          <w:rFonts w:eastAsiaTheme="majorEastAsia"/>
          <w:rtl/>
        </w:rPr>
        <w:t>גּוֹי אֲשֶׁר לֹא־יָדַעְתָּ</w:t>
      </w:r>
      <w:r>
        <w:rPr>
          <w:rtl/>
        </w:rPr>
        <w:t xml:space="preserve"> </w:t>
      </w:r>
      <w:r>
        <w:t xml:space="preserve">(„Nation, die du nicht gekannt hast") betont die Fremdheit. Die zweite Aussage: </w:t>
      </w:r>
      <w:r>
        <w:rPr>
          <w:rStyle w:val="Fett"/>
          <w:rFonts w:eastAsiaTheme="majorEastAsia"/>
          <w:rtl/>
        </w:rPr>
        <w:t>וְעָבַדְתָּ שָּׁם אֱלֹהִים אֲחֵרִים עֵץ וָאָבֶן</w:t>
      </w:r>
      <w:r>
        <w:rPr>
          <w:rtl/>
        </w:rPr>
        <w:t xml:space="preserve"> </w:t>
      </w:r>
      <w:r>
        <w:t>(„und dienen wirst du dort anderen Göttern, Holz und Stein"). Ironisch: Israel wird ins Exil geführt, wo es gezwungen sein wird, fremden Göttern zu dienen – genau das, was in V. 14 verboten war (vgl. 4,28).</w:t>
      </w:r>
    </w:p>
    <w:p w14:paraId="17A9159E" w14:textId="77777777" w:rsidR="005D0B3C" w:rsidRDefault="005D0B3C" w:rsidP="005D0B3C">
      <w:pPr>
        <w:pStyle w:val="whitespace-normal"/>
      </w:pPr>
      <w:r>
        <w:rPr>
          <w:rStyle w:val="Fett"/>
          <w:rFonts w:eastAsiaTheme="majorEastAsia"/>
        </w:rPr>
        <w:t>Die Satzstruktur:</w:t>
      </w:r>
      <w:r>
        <w:t xml:space="preserve"> Zwei Aussagen (führen wird JHWH dich und deinen König, den du setzen wirst über dich, zu einer Nation, die du nicht gekannt hast, du und deine Väter; und dienen wirst du dort anderen Göttern, Holz und Stein).</w:t>
      </w:r>
    </w:p>
    <w:p w14:paraId="4CAF0206" w14:textId="77777777" w:rsidR="005D0B3C" w:rsidRDefault="005D0B3C" w:rsidP="005D0B3C">
      <w:pPr>
        <w:pStyle w:val="whitespace-normal"/>
      </w:pPr>
      <w:r>
        <w:rPr>
          <w:rStyle w:val="Fett"/>
          <w:rFonts w:eastAsiaTheme="majorEastAsia"/>
        </w:rPr>
        <w:t>Der Vers beschreibt:</w:t>
      </w:r>
      <w:r>
        <w:t xml:space="preserve"> Exilsdrohung – Wegführung mit dem König zu fremder Nation, dort Götzendienst.</w:t>
      </w:r>
    </w:p>
    <w:p w14:paraId="624C3987" w14:textId="77777777" w:rsidR="005D0B3C" w:rsidRPr="008D48A3" w:rsidRDefault="005D0B3C" w:rsidP="008D48A3">
      <w:pPr>
        <w:pStyle w:val="Bibelberschrift"/>
      </w:pPr>
      <w:r w:rsidRPr="008D48A3">
        <w:rPr>
          <w:rStyle w:val="Fett"/>
          <w:b/>
          <w:bCs w:val="0"/>
        </w:rPr>
        <w:t>Deuteronomium 28,37</w:t>
      </w:r>
    </w:p>
    <w:p w14:paraId="2147E575" w14:textId="77777777" w:rsidR="005D0B3C" w:rsidRDefault="005D0B3C" w:rsidP="005D0B3C">
      <w:pPr>
        <w:pStyle w:val="whitespace-normal"/>
      </w:pPr>
      <w:r>
        <w:rPr>
          <w:rStyle w:val="Fett"/>
          <w:rFonts w:eastAsiaTheme="majorEastAsia"/>
        </w:rPr>
        <w:t>Hebräisch:</w:t>
      </w:r>
      <w:r>
        <w:t xml:space="preserve"> </w:t>
      </w:r>
      <w:r>
        <w:rPr>
          <w:rtl/>
        </w:rPr>
        <w:t>וְהָיִיתָ לְשַׁמָּה לְמָשָׁל וְלִשְׁנִינָה בְּכֹל הָֽעַמִּים אֲשֶׁר־יְנַהֶגְךָ יְהוָה שָֽׁמָּה׃</w:t>
      </w:r>
    </w:p>
    <w:p w14:paraId="5E3A852E" w14:textId="77777777" w:rsidR="005D0B3C" w:rsidRDefault="005D0B3C" w:rsidP="005D0B3C">
      <w:pPr>
        <w:pStyle w:val="whitespace-normal"/>
      </w:pPr>
      <w:r>
        <w:rPr>
          <w:rStyle w:val="Fett"/>
          <w:rFonts w:eastAsiaTheme="majorEastAsia"/>
        </w:rPr>
        <w:t>Deutsch:</w:t>
      </w:r>
      <w:r>
        <w:t xml:space="preserve"> Und du wirst zum Entsetzen werden, zum Sprichwort und zur Spottrede unter allen Völkern, wohin JHWH dich wegtreiben wird.</w:t>
      </w:r>
    </w:p>
    <w:p w14:paraId="06142116" w14:textId="77777777" w:rsidR="005D0B3C" w:rsidRDefault="004F5CEB" w:rsidP="005D0B3C">
      <w:r>
        <w:rPr>
          <w:noProof/>
        </w:rPr>
        <w:pict w14:anchorId="1CDFB4C3">
          <v:rect id="_x0000_i1781" style="width:0;height:1.5pt" o:hralign="center" o:hrstd="t" o:hr="t" fillcolor="#a0a0a0" stroked="f"/>
        </w:pict>
      </w:r>
    </w:p>
    <w:p w14:paraId="4D4607A2" w14:textId="77777777" w:rsidR="005D0B3C" w:rsidRDefault="005D0B3C" w:rsidP="005D0B3C">
      <w:pPr>
        <w:pStyle w:val="whitespace-normal"/>
      </w:pPr>
      <w:r>
        <w:rPr>
          <w:rStyle w:val="Fett"/>
          <w:rFonts w:eastAsiaTheme="majorEastAsia"/>
        </w:rPr>
        <w:lastRenderedPageBreak/>
        <w:t>Kommentar:</w:t>
      </w:r>
      <w:r>
        <w:t xml:space="preserve"> </w:t>
      </w:r>
      <w:r>
        <w:rPr>
          <w:rStyle w:val="Fett"/>
          <w:rFonts w:eastAsiaTheme="majorEastAsia"/>
          <w:rtl/>
        </w:rPr>
        <w:t>וְהָיִיתָ לְשַׁמָּה לְמָשָׁל וְלִשְׁנִינָה בְּכֹל הָעַמִּים אֲשֶׁר־יְנַהֶגְךָ יְהוָה שָׁמָּה</w:t>
      </w:r>
      <w:r>
        <w:rPr>
          <w:rtl/>
        </w:rPr>
        <w:t xml:space="preserve"> </w:t>
      </w:r>
      <w:r>
        <w:t xml:space="preserve">ist eine Aussage: </w:t>
      </w:r>
      <w:r>
        <w:rPr>
          <w:rStyle w:val="Fett"/>
          <w:rFonts w:eastAsiaTheme="majorEastAsia"/>
          <w:rtl/>
        </w:rPr>
        <w:t>וְהָיִיתָ לְשַׁמָּה לְמָשָׁל וְלִשְׁנִינָה בְּכֹל הָעַמִּים אֲשֶׁר־יְנַהֶגְךָ יְהוָה שָׁמָּה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2. Person Maskulinum Singular, drei Präpositionen </w:t>
      </w:r>
      <w:r>
        <w:rPr>
          <w:rStyle w:val="Fett"/>
          <w:rFonts w:eastAsiaTheme="majorEastAsia"/>
          <w:rtl/>
        </w:rPr>
        <w:t>לְ</w:t>
      </w:r>
      <w:r>
        <w:rPr>
          <w:rtl/>
        </w:rPr>
        <w:t xml:space="preserve"> </w:t>
      </w:r>
      <w:r>
        <w:t xml:space="preserve">mit: </w:t>
      </w:r>
      <w:r>
        <w:rPr>
          <w:rStyle w:val="Fett"/>
          <w:rFonts w:eastAsiaTheme="majorEastAsia"/>
          <w:rtl/>
        </w:rPr>
        <w:t>שַׁמָּה</w:t>
      </w:r>
      <w:r>
        <w:t xml:space="preserve">, „Entsetzen, Grauen", </w:t>
      </w:r>
      <w:r>
        <w:rPr>
          <w:rStyle w:val="Fett"/>
          <w:rFonts w:eastAsiaTheme="majorEastAsia"/>
          <w:rtl/>
        </w:rPr>
        <w:t>מָשָׁל</w:t>
      </w:r>
      <w:r>
        <w:t xml:space="preserve">, „Sprichwort, Gleichnis", </w:t>
      </w:r>
      <w:r>
        <w:rPr>
          <w:rStyle w:val="Fett"/>
          <w:rFonts w:eastAsiaTheme="majorEastAsia"/>
          <w:rtl/>
        </w:rPr>
        <w:t>שְׁנִינָה</w:t>
      </w:r>
      <w:r>
        <w:t xml:space="preserve">, „Spottrede, Hohn", Präposition </w:t>
      </w:r>
      <w:r>
        <w:rPr>
          <w:rStyle w:val="Fett"/>
          <w:rFonts w:eastAsiaTheme="majorEastAsia"/>
          <w:rtl/>
        </w:rPr>
        <w:t>בְּ</w:t>
      </w:r>
      <w:r>
        <w:rPr>
          <w:rtl/>
        </w:rPr>
        <w:t xml:space="preserve"> </w:t>
      </w:r>
      <w:r>
        <w:t xml:space="preserve">mit </w:t>
      </w:r>
      <w:r>
        <w:rPr>
          <w:rStyle w:val="Fett"/>
          <w:rFonts w:eastAsiaTheme="majorEastAsia"/>
          <w:rtl/>
        </w:rPr>
        <w:t>כָּל־עַמִּים</w:t>
      </w:r>
      <w:r>
        <w:rPr>
          <w:rtl/>
        </w:rPr>
        <w:t xml:space="preserve"> </w:t>
      </w:r>
      <w:r>
        <w:t xml:space="preserve">mit Artikel, Relativsatz: </w:t>
      </w:r>
      <w:r>
        <w:rPr>
          <w:rStyle w:val="Fett"/>
          <w:rFonts w:eastAsiaTheme="majorEastAsia"/>
          <w:rtl/>
        </w:rPr>
        <w:t>אֲשֶׁר־יְנַהֶגְךָ יְהוָה שָׁמָּה</w:t>
      </w:r>
      <w:r>
        <w:rPr>
          <w:rtl/>
        </w:rPr>
        <w:t xml:space="preserve"> </w:t>
      </w:r>
      <w:r>
        <w:t xml:space="preserve">mit </w:t>
      </w:r>
      <w:r>
        <w:rPr>
          <w:rStyle w:val="Fett"/>
          <w:rFonts w:eastAsiaTheme="majorEastAsia"/>
          <w:rtl/>
        </w:rPr>
        <w:t>נהג</w:t>
      </w:r>
      <w:r>
        <w:t xml:space="preserve">, Piel Imperfekt, 3. Person Maskulinum Singular, „wegtreiben, führen", mit Suffix 2. Person Maskulinum Singular, </w:t>
      </w:r>
      <w:r>
        <w:rPr>
          <w:rStyle w:val="Fett"/>
          <w:rFonts w:eastAsiaTheme="majorEastAsia"/>
          <w:rtl/>
        </w:rPr>
        <w:t>יְהוָה</w:t>
      </w:r>
      <w:r>
        <w:rPr>
          <w:rtl/>
        </w:rPr>
        <w:t xml:space="preserve"> </w:t>
      </w:r>
      <w:r>
        <w:t xml:space="preserve">als Subjekt, </w:t>
      </w:r>
      <w:r>
        <w:rPr>
          <w:rStyle w:val="Fett"/>
          <w:rFonts w:eastAsiaTheme="majorEastAsia"/>
          <w:rtl/>
        </w:rPr>
        <w:t>שָׁמָּה</w:t>
      </w:r>
      <w:r>
        <w:t xml:space="preserve">, mit </w:t>
      </w:r>
      <w:r>
        <w:rPr>
          <w:rStyle w:val="Fett"/>
          <w:rFonts w:eastAsiaTheme="majorEastAsia"/>
        </w:rPr>
        <w:t>Waw</w:t>
      </w:r>
      <w:r>
        <w:t xml:space="preserve"> consecutives Perfekt).</w:t>
      </w:r>
    </w:p>
    <w:p w14:paraId="129FA600" w14:textId="251E9AE1" w:rsidR="005D0B3C" w:rsidRDefault="005D0B3C" w:rsidP="005D0B3C">
      <w:pPr>
        <w:pStyle w:val="whitespace-normal"/>
      </w:pPr>
      <w:r>
        <w:t xml:space="preserve">Der Vers beschreibt Israels Status unter den Völkern im Exil. Die Aussage: </w:t>
      </w:r>
      <w:r>
        <w:rPr>
          <w:rStyle w:val="Fett"/>
          <w:rFonts w:eastAsiaTheme="majorEastAsia"/>
          <w:rtl/>
        </w:rPr>
        <w:t>וְהָיִיתָ לְשַׁמָּה לְמָשָׁל וְלִשְׁנִינָה בְּכֹל הָעַמִּים אֲשֶׁר־יְנַהֶגְךָ יְהוָה שָׁמָּה</w:t>
      </w:r>
      <w:r>
        <w:rPr>
          <w:rtl/>
        </w:rPr>
        <w:t xml:space="preserve"> </w:t>
      </w:r>
      <w:r>
        <w:t xml:space="preserve">(„und sein wirst du zum Entsetzen, zum Sprichwort und zur Spottrede unter allen Völkern, wohin JHWH dich wegtreiben wird"). Drei Begriffe: </w:t>
      </w:r>
      <w:r>
        <w:rPr>
          <w:rStyle w:val="Fett"/>
          <w:rFonts w:eastAsiaTheme="majorEastAsia"/>
          <w:rtl/>
        </w:rPr>
        <w:t>שַׁמָּה</w:t>
      </w:r>
      <w:r>
        <w:rPr>
          <w:rtl/>
        </w:rPr>
        <w:t xml:space="preserve"> </w:t>
      </w:r>
      <w:r>
        <w:t xml:space="preserve">(„Entsetzen, Grauen") – abschreckendes Beispiel. </w:t>
      </w:r>
      <w:r>
        <w:rPr>
          <w:rStyle w:val="Fett"/>
          <w:rFonts w:eastAsiaTheme="majorEastAsia"/>
          <w:rtl/>
        </w:rPr>
        <w:t>מָשָׁל</w:t>
      </w:r>
      <w:r>
        <w:rPr>
          <w:rtl/>
        </w:rPr>
        <w:t xml:space="preserve"> </w:t>
      </w:r>
      <w:r>
        <w:t xml:space="preserve">(„Sprichwort, Gleichnis") – Israel wird zum sprichwörtlichen Beispiel des Unglücks. </w:t>
      </w:r>
      <w:r>
        <w:rPr>
          <w:rStyle w:val="Fett"/>
          <w:rFonts w:eastAsiaTheme="majorEastAsia"/>
          <w:rtl/>
        </w:rPr>
        <w:t>שְׁנִינָה</w:t>
      </w:r>
      <w:r>
        <w:rPr>
          <w:rtl/>
        </w:rPr>
        <w:t xml:space="preserve"> </w:t>
      </w:r>
      <w:r>
        <w:t xml:space="preserve">(„Spottrede, Hohn") – Gegenstand des Spotts (vgl. </w:t>
      </w:r>
      <w:r w:rsidR="00664EB6">
        <w:t>1Kön</w:t>
      </w:r>
      <w:r>
        <w:t xml:space="preserve"> 9,7; </w:t>
      </w:r>
      <w:r w:rsidR="00664EB6">
        <w:t>2Chr</w:t>
      </w:r>
      <w:r>
        <w:t xml:space="preserve"> 7,20; Ps 44,15).</w:t>
      </w:r>
    </w:p>
    <w:p w14:paraId="101BEEF6" w14:textId="0D834E1D" w:rsidR="001A04EF" w:rsidRDefault="001A04EF" w:rsidP="005D0B3C">
      <w:pPr>
        <w:pStyle w:val="whitespace-normal"/>
      </w:pPr>
      <w:r>
        <w:rPr>
          <w:rStyle w:val="Fett"/>
        </w:rPr>
        <w:t>Die LXX</w:t>
      </w:r>
      <w:r>
        <w:t xml:space="preserve"> übersetzt </w:t>
      </w:r>
      <w:r>
        <w:rPr>
          <w:rtl/>
        </w:rPr>
        <w:t>לְשַׁמָּה לְמָשָׁל וְלִשְׁנִינָה</w:t>
      </w:r>
      <w:r>
        <w:t xml:space="preserve"> (zur Verwüstung, zum Sprichwort und zum Spott) mit </w:t>
      </w:r>
      <w:proofErr w:type="spellStart"/>
      <w:r>
        <w:t>ἐν</w:t>
      </w:r>
      <w:proofErr w:type="spellEnd"/>
      <w:r>
        <w:t xml:space="preserve"> α</w:t>
      </w:r>
      <w:proofErr w:type="spellStart"/>
      <w:r>
        <w:t>ἰνίγμ</w:t>
      </w:r>
      <w:proofErr w:type="spellEnd"/>
      <w:r>
        <w:t>ατι καὶ παραβ</w:t>
      </w:r>
      <w:proofErr w:type="spellStart"/>
      <w:r>
        <w:t>ολῇ</w:t>
      </w:r>
      <w:proofErr w:type="spellEnd"/>
      <w:r>
        <w:t xml:space="preserve"> καὶ </w:t>
      </w:r>
      <w:proofErr w:type="spellStart"/>
      <w:r>
        <w:t>διηγήμ</w:t>
      </w:r>
      <w:proofErr w:type="spellEnd"/>
      <w:r>
        <w:t>ατι (zum Rätsel, zur Parabel und zur Erzählung) – eine interpretierende Übersetzung, die die Begriffe für öffentliche Schmach durch literarische Termini ersetzt.</w:t>
      </w:r>
    </w:p>
    <w:p w14:paraId="11B000CE" w14:textId="77777777" w:rsidR="005D0B3C" w:rsidRDefault="005D0B3C" w:rsidP="005D0B3C">
      <w:pPr>
        <w:pStyle w:val="whitespace-normal"/>
      </w:pPr>
      <w:r>
        <w:rPr>
          <w:rStyle w:val="Fett"/>
          <w:rFonts w:eastAsiaTheme="majorEastAsia"/>
        </w:rPr>
        <w:t>Die Satzstruktur:</w:t>
      </w:r>
      <w:r>
        <w:t xml:space="preserve"> Aussage (und sein wirst du zum Entsetzen, zum Sprichwort und zur Spottrede unter allen Völkern, wohin JHWH dich wegtreiben wird).</w:t>
      </w:r>
    </w:p>
    <w:p w14:paraId="281B9828" w14:textId="77777777" w:rsidR="005D0B3C" w:rsidRDefault="005D0B3C" w:rsidP="005D0B3C">
      <w:pPr>
        <w:pStyle w:val="whitespace-normal"/>
      </w:pPr>
      <w:r>
        <w:rPr>
          <w:rStyle w:val="Fett"/>
          <w:rFonts w:eastAsiaTheme="majorEastAsia"/>
        </w:rPr>
        <w:t>Der Vers beschreibt:</w:t>
      </w:r>
      <w:r>
        <w:t xml:space="preserve"> Status im Exil – Israel wird zum Entsetzen, Sprichwort und Spott unter den Völkern.</w:t>
      </w:r>
    </w:p>
    <w:p w14:paraId="01A3C12A" w14:textId="77777777" w:rsidR="005D0B3C" w:rsidRPr="008D48A3" w:rsidRDefault="005D0B3C" w:rsidP="008D48A3">
      <w:pPr>
        <w:pStyle w:val="Bibelberschrift"/>
      </w:pPr>
      <w:r w:rsidRPr="008D48A3">
        <w:rPr>
          <w:rStyle w:val="Fett"/>
          <w:b/>
          <w:bCs w:val="0"/>
        </w:rPr>
        <w:t>Deuteronomium 28,38</w:t>
      </w:r>
    </w:p>
    <w:p w14:paraId="023606FC" w14:textId="77777777" w:rsidR="005D0B3C" w:rsidRDefault="005D0B3C" w:rsidP="005D0B3C">
      <w:pPr>
        <w:pStyle w:val="whitespace-normal"/>
      </w:pPr>
      <w:r>
        <w:rPr>
          <w:rStyle w:val="Fett"/>
          <w:rFonts w:eastAsiaTheme="majorEastAsia"/>
        </w:rPr>
        <w:t>Hebräisch:</w:t>
      </w:r>
      <w:r>
        <w:t xml:space="preserve"> </w:t>
      </w:r>
      <w:r>
        <w:rPr>
          <w:rtl/>
        </w:rPr>
        <w:t>זֶרַע רַב תּוֹצִיא הַשָּׂדֶה וּמְעַט תֶּאֱסֹף כִּי יַחְסְלֶנּוּ הָאַרְבֶּֽה׃</w:t>
      </w:r>
    </w:p>
    <w:p w14:paraId="6DB690CA" w14:textId="77777777" w:rsidR="005D0B3C" w:rsidRDefault="005D0B3C" w:rsidP="005D0B3C">
      <w:pPr>
        <w:pStyle w:val="whitespace-normal"/>
      </w:pPr>
      <w:r>
        <w:rPr>
          <w:rStyle w:val="Fett"/>
          <w:rFonts w:eastAsiaTheme="majorEastAsia"/>
        </w:rPr>
        <w:t>Deutsch:</w:t>
      </w:r>
      <w:r>
        <w:t xml:space="preserve"> Viel Samen wirst du aufs Feld hinausführen, aber wenig wirst du einsammeln, denn die Heuschrecke wird es abfressen.</w:t>
      </w:r>
    </w:p>
    <w:p w14:paraId="0FDD9746" w14:textId="77777777" w:rsidR="005D0B3C" w:rsidRDefault="004F5CEB" w:rsidP="005D0B3C">
      <w:r>
        <w:rPr>
          <w:noProof/>
        </w:rPr>
        <w:pict w14:anchorId="522EC1BC">
          <v:rect id="_x0000_i1782" style="width:0;height:1.5pt" o:hralign="center" o:hrstd="t" o:hr="t" fillcolor="#a0a0a0" stroked="f"/>
        </w:pict>
      </w:r>
    </w:p>
    <w:p w14:paraId="4301035D" w14:textId="77777777" w:rsidR="005D0B3C" w:rsidRDefault="005D0B3C" w:rsidP="005D0B3C">
      <w:pPr>
        <w:pStyle w:val="whitespace-normal"/>
      </w:pPr>
      <w:r>
        <w:rPr>
          <w:rStyle w:val="Fett"/>
          <w:rFonts w:eastAsiaTheme="majorEastAsia"/>
        </w:rPr>
        <w:t>Kommentar:</w:t>
      </w:r>
      <w:r>
        <w:t xml:space="preserve"> </w:t>
      </w:r>
      <w:r>
        <w:rPr>
          <w:rStyle w:val="Fett"/>
          <w:rFonts w:eastAsiaTheme="majorEastAsia"/>
          <w:rtl/>
        </w:rPr>
        <w:t>זֶרַע רַב תּוֹצִיא הַשָּׂדֶה וּמְעַט תֶּאֱסֹף כִּי יַחְסְלֶנּוּ הָאַרְבֶּה</w:t>
      </w:r>
      <w:r>
        <w:rPr>
          <w:rtl/>
        </w:rPr>
        <w:t xml:space="preserve"> </w:t>
      </w:r>
      <w:r>
        <w:t xml:space="preserve">sind zwei Aussagen mit Begründung: </w:t>
      </w:r>
      <w:r>
        <w:rPr>
          <w:rStyle w:val="Fett"/>
          <w:rFonts w:eastAsiaTheme="majorEastAsia"/>
          <w:rtl/>
        </w:rPr>
        <w:t>זֶרַע רַב תּוֹצִיא הַשָּׂדֶה</w:t>
      </w:r>
      <w:r>
        <w:rPr>
          <w:rtl/>
        </w:rPr>
        <w:t xml:space="preserve"> </w:t>
      </w:r>
      <w:r>
        <w:t>(</w:t>
      </w:r>
      <w:r>
        <w:rPr>
          <w:rStyle w:val="Fett"/>
          <w:rFonts w:eastAsiaTheme="majorEastAsia"/>
          <w:rtl/>
        </w:rPr>
        <w:t>זֶרַע</w:t>
      </w:r>
      <w:r>
        <w:t xml:space="preserve">, „Samen, Saat", </w:t>
      </w:r>
      <w:r>
        <w:rPr>
          <w:rStyle w:val="Fett"/>
          <w:rFonts w:eastAsiaTheme="majorEastAsia"/>
          <w:rtl/>
        </w:rPr>
        <w:t>רַב</w:t>
      </w:r>
      <w:r>
        <w:t xml:space="preserve">, „viel", </w:t>
      </w:r>
      <w:r>
        <w:rPr>
          <w:rStyle w:val="Fett"/>
          <w:rFonts w:eastAsiaTheme="majorEastAsia"/>
          <w:rtl/>
        </w:rPr>
        <w:t>יצא</w:t>
      </w:r>
      <w:r>
        <w:t xml:space="preserve">, Hiphil Imperfekt, 2. Person Maskulinum Singular, „hinausführen, hinaustragen", </w:t>
      </w:r>
      <w:r>
        <w:rPr>
          <w:rStyle w:val="Fett"/>
          <w:rFonts w:eastAsiaTheme="majorEastAsia"/>
          <w:rtl/>
        </w:rPr>
        <w:t>הַשָּׂדֶה</w:t>
      </w:r>
      <w:r>
        <w:t xml:space="preserve">), </w:t>
      </w:r>
      <w:r>
        <w:rPr>
          <w:rStyle w:val="Fett"/>
          <w:rFonts w:eastAsiaTheme="majorEastAsia"/>
          <w:rtl/>
        </w:rPr>
        <w:t>וּמְעַט תֶּאֱסֹף</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מְעַט</w:t>
      </w:r>
      <w:r>
        <w:t xml:space="preserve">, „wenig", </w:t>
      </w:r>
      <w:r>
        <w:rPr>
          <w:rStyle w:val="Fett"/>
          <w:rFonts w:eastAsiaTheme="majorEastAsia"/>
          <w:rtl/>
        </w:rPr>
        <w:t>אסף</w:t>
      </w:r>
      <w:r>
        <w:t xml:space="preserve">, Qal Imperfekt, 2. Person Maskulinum Singular, „einsammeln, ernten"), </w:t>
      </w:r>
      <w:r>
        <w:rPr>
          <w:rStyle w:val="Fett"/>
          <w:rFonts w:eastAsiaTheme="majorEastAsia"/>
          <w:rtl/>
        </w:rPr>
        <w:t>כִּי יַחְסְלֶנּוּ הָאַרְבֶּה</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חסל</w:t>
      </w:r>
      <w:r>
        <w:t xml:space="preserve">, Qal Imperfekt, 3. Person Maskulinum Singular, „abfressen, vernichten", mit Suffix 3. Person Maskulinum Singular, </w:t>
      </w:r>
      <w:r>
        <w:rPr>
          <w:rStyle w:val="Fett"/>
          <w:rFonts w:eastAsiaTheme="majorEastAsia"/>
          <w:rtl/>
        </w:rPr>
        <w:t>אַרְבֶּה</w:t>
      </w:r>
      <w:r>
        <w:rPr>
          <w:rtl/>
        </w:rPr>
        <w:t xml:space="preserve"> </w:t>
      </w:r>
      <w:r>
        <w:t>mit Artikel, „Heuschrecke", als Subjekt).</w:t>
      </w:r>
    </w:p>
    <w:p w14:paraId="18EAE3B3" w14:textId="77777777" w:rsidR="005D0B3C" w:rsidRDefault="005D0B3C" w:rsidP="005D0B3C">
      <w:pPr>
        <w:pStyle w:val="whitespace-normal"/>
      </w:pPr>
      <w:r>
        <w:t xml:space="preserve">Der Vers beginnt eine neue Reihe landwirtschaftlicher Flüche (V. 38-42). Die erste Aussage: </w:t>
      </w:r>
      <w:r>
        <w:rPr>
          <w:rStyle w:val="Fett"/>
          <w:rFonts w:eastAsiaTheme="majorEastAsia"/>
          <w:rtl/>
        </w:rPr>
        <w:t>זֶרַע רַב תּוֹצִיא הַשָּׂדֶה</w:t>
      </w:r>
      <w:r>
        <w:rPr>
          <w:rtl/>
        </w:rPr>
        <w:t xml:space="preserve"> </w:t>
      </w:r>
      <w:r>
        <w:t xml:space="preserve">(„viel Samen wirst du hinausführen aufs Feld"). Große Aussaat. Die zweite Aussage: </w:t>
      </w:r>
      <w:r>
        <w:rPr>
          <w:rStyle w:val="Fett"/>
          <w:rFonts w:eastAsiaTheme="majorEastAsia"/>
          <w:rtl/>
        </w:rPr>
        <w:t>וּמְעַט תֶּאֱסֹף</w:t>
      </w:r>
      <w:r>
        <w:rPr>
          <w:rtl/>
        </w:rPr>
        <w:t xml:space="preserve"> </w:t>
      </w:r>
      <w:r>
        <w:t xml:space="preserve">(„aber wenig wirst du einsammeln"). Geringe Ernte – krasser Kontrast. Die Begründung: </w:t>
      </w:r>
      <w:r>
        <w:rPr>
          <w:rStyle w:val="Fett"/>
          <w:rFonts w:eastAsiaTheme="majorEastAsia"/>
          <w:rtl/>
        </w:rPr>
        <w:t>כִּי יַחְסְלֶנּוּ הָאַרְבֶּה</w:t>
      </w:r>
      <w:r>
        <w:rPr>
          <w:rtl/>
        </w:rPr>
        <w:t xml:space="preserve"> </w:t>
      </w:r>
      <w:r>
        <w:t xml:space="preserve">(„denn abfressen wird es die Heuschrecke"). Das Verb </w:t>
      </w:r>
      <w:r>
        <w:rPr>
          <w:rStyle w:val="Fett"/>
          <w:rFonts w:eastAsiaTheme="majorEastAsia"/>
          <w:rtl/>
        </w:rPr>
        <w:t>חסל</w:t>
      </w:r>
      <w:r>
        <w:rPr>
          <w:rtl/>
        </w:rPr>
        <w:t xml:space="preserve"> </w:t>
      </w:r>
      <w:r>
        <w:lastRenderedPageBreak/>
        <w:t>(„abfressen, vernichten") – die Heuschreckenplage frisst die Ernte (vgl. 3. Plage in Ex 10,1-20; Joel 1,4; 2,25).</w:t>
      </w:r>
    </w:p>
    <w:p w14:paraId="062E0680" w14:textId="77777777" w:rsidR="005D0B3C" w:rsidRDefault="005D0B3C" w:rsidP="005D0B3C">
      <w:pPr>
        <w:pStyle w:val="whitespace-normal"/>
      </w:pPr>
      <w:r>
        <w:rPr>
          <w:rStyle w:val="Fett"/>
          <w:rFonts w:eastAsiaTheme="majorEastAsia"/>
        </w:rPr>
        <w:t>Die Satzstruktur:</w:t>
      </w:r>
      <w:r>
        <w:t xml:space="preserve"> Zwei Aussagen mit Begründung (viel Samen wirst du hinausführen aufs Feld, aber wenig wirst du einsammeln, denn abfressen wird es die Heuschrecke).</w:t>
      </w:r>
    </w:p>
    <w:p w14:paraId="2EBC0004" w14:textId="77777777" w:rsidR="005D0B3C" w:rsidRDefault="005D0B3C" w:rsidP="005D0B3C">
      <w:pPr>
        <w:pStyle w:val="whitespace-normal"/>
      </w:pPr>
      <w:r>
        <w:rPr>
          <w:rStyle w:val="Fett"/>
          <w:rFonts w:eastAsiaTheme="majorEastAsia"/>
        </w:rPr>
        <w:t>Der Vers beschreibt:</w:t>
      </w:r>
      <w:r>
        <w:t xml:space="preserve"> Heuschreckenplage – große Aussaat führt zu geringer Ernte.</w:t>
      </w:r>
    </w:p>
    <w:p w14:paraId="6C388F73" w14:textId="77777777" w:rsidR="005D0B3C" w:rsidRPr="008D48A3" w:rsidRDefault="005D0B3C" w:rsidP="008D48A3">
      <w:pPr>
        <w:pStyle w:val="Bibelberschrift"/>
      </w:pPr>
      <w:r w:rsidRPr="008D48A3">
        <w:rPr>
          <w:rStyle w:val="Fett"/>
          <w:b/>
          <w:bCs w:val="0"/>
        </w:rPr>
        <w:t>Deuteronomium 28,39</w:t>
      </w:r>
    </w:p>
    <w:p w14:paraId="50E4204B" w14:textId="77777777" w:rsidR="005D0B3C" w:rsidRDefault="005D0B3C" w:rsidP="005D0B3C">
      <w:pPr>
        <w:pStyle w:val="whitespace-normal"/>
      </w:pPr>
      <w:r>
        <w:rPr>
          <w:rStyle w:val="Fett"/>
          <w:rFonts w:eastAsiaTheme="majorEastAsia"/>
        </w:rPr>
        <w:t>Hebräisch:</w:t>
      </w:r>
      <w:r>
        <w:t xml:space="preserve"> </w:t>
      </w:r>
      <w:r>
        <w:rPr>
          <w:rtl/>
        </w:rPr>
        <w:t>כְּרָמִים תִּטַּע וְעָבָדְתָּ וְיַיִן לֹֽא־תִשְׁתֶּה וְלֹא תֶאֱגֹר כִּי תֹאכְלֶנּוּ הַתֹּלָֽעַת׃</w:t>
      </w:r>
    </w:p>
    <w:p w14:paraId="5AB7BE47" w14:textId="77777777" w:rsidR="005D0B3C" w:rsidRDefault="005D0B3C" w:rsidP="005D0B3C">
      <w:pPr>
        <w:pStyle w:val="whitespace-normal"/>
      </w:pPr>
      <w:r>
        <w:rPr>
          <w:rStyle w:val="Fett"/>
          <w:rFonts w:eastAsiaTheme="majorEastAsia"/>
        </w:rPr>
        <w:t>Deutsch:</w:t>
      </w:r>
      <w:r>
        <w:t xml:space="preserve"> Weinberge wirst du pflanzen und bebauen, aber Wein wirst du weder trinken noch einsammeln, denn der Wurm wird sie fressen.</w:t>
      </w:r>
    </w:p>
    <w:p w14:paraId="560B8C3F" w14:textId="77777777" w:rsidR="005D0B3C" w:rsidRDefault="004F5CEB" w:rsidP="005D0B3C">
      <w:r>
        <w:rPr>
          <w:noProof/>
        </w:rPr>
        <w:pict w14:anchorId="1B2F3A75">
          <v:rect id="_x0000_i1783" style="width:0;height:1.5pt" o:hralign="center" o:hrstd="t" o:hr="t" fillcolor="#a0a0a0" stroked="f"/>
        </w:pict>
      </w:r>
    </w:p>
    <w:p w14:paraId="141040A7" w14:textId="77777777" w:rsidR="005D0B3C" w:rsidRDefault="005D0B3C" w:rsidP="005D0B3C">
      <w:pPr>
        <w:pStyle w:val="whitespace-normal"/>
      </w:pPr>
      <w:r>
        <w:rPr>
          <w:rStyle w:val="Fett"/>
          <w:rFonts w:eastAsiaTheme="majorEastAsia"/>
        </w:rPr>
        <w:t>Kommentar:</w:t>
      </w:r>
      <w:r>
        <w:t xml:space="preserve"> </w:t>
      </w:r>
      <w:r>
        <w:rPr>
          <w:rStyle w:val="Fett"/>
          <w:rFonts w:eastAsiaTheme="majorEastAsia"/>
          <w:rtl/>
        </w:rPr>
        <w:t>כְּרָמִים תִּטַּע וְעָבָדְתָּ וְיַיִן לֹא־תִשְׁתֶּה וְלֹא תֶאֱגֹר כִּי תֹאכְלֶנּוּ הַתֹּלָעַת</w:t>
      </w:r>
      <w:r>
        <w:rPr>
          <w:rtl/>
        </w:rPr>
        <w:t xml:space="preserve"> </w:t>
      </w:r>
      <w:r>
        <w:t xml:space="preserve">sind drei Aussagen mit Begründung: </w:t>
      </w:r>
      <w:r>
        <w:rPr>
          <w:rStyle w:val="Fett"/>
          <w:rFonts w:eastAsiaTheme="majorEastAsia"/>
          <w:rtl/>
        </w:rPr>
        <w:t>כְּרָמִים תִּטַּע וְעָבָדְתָּ</w:t>
      </w:r>
      <w:r>
        <w:rPr>
          <w:rtl/>
        </w:rPr>
        <w:t xml:space="preserve"> </w:t>
      </w:r>
      <w:r>
        <w:t>(</w:t>
      </w:r>
      <w:r>
        <w:rPr>
          <w:rStyle w:val="Fett"/>
          <w:rFonts w:eastAsiaTheme="majorEastAsia"/>
          <w:rtl/>
        </w:rPr>
        <w:t>כֶּרֶם</w:t>
      </w:r>
      <w:r>
        <w:t xml:space="preserve">, „Weinberg", Plural, </w:t>
      </w:r>
      <w:r>
        <w:rPr>
          <w:rStyle w:val="Fett"/>
          <w:rFonts w:eastAsiaTheme="majorEastAsia"/>
          <w:rtl/>
        </w:rPr>
        <w:t>נטע</w:t>
      </w:r>
      <w:r>
        <w:t xml:space="preserve">, Qal Imperfekt, 2. Person Maskulinum Singular, koordiniert durch </w:t>
      </w:r>
      <w:r>
        <w:rPr>
          <w:rStyle w:val="Fett"/>
          <w:rFonts w:eastAsiaTheme="majorEastAsia"/>
          <w:rtl/>
        </w:rPr>
        <w:t>וְ</w:t>
      </w:r>
      <w:r>
        <w:rPr>
          <w:rtl/>
        </w:rPr>
        <w:t xml:space="preserve"> </w:t>
      </w:r>
      <w:r>
        <w:t xml:space="preserve">mit </w:t>
      </w:r>
      <w:r>
        <w:rPr>
          <w:rStyle w:val="Fett"/>
          <w:rFonts w:eastAsiaTheme="majorEastAsia"/>
          <w:rtl/>
        </w:rPr>
        <w:t>עבד</w:t>
      </w:r>
      <w:r>
        <w:t xml:space="preserve">, Qal Perfekt, 2. Person Maskulinum Singular, „bebauen, bearbeiten", mit </w:t>
      </w:r>
      <w:r>
        <w:rPr>
          <w:rStyle w:val="Fett"/>
          <w:rFonts w:eastAsiaTheme="majorEastAsia"/>
        </w:rPr>
        <w:t>Waw</w:t>
      </w:r>
      <w:r>
        <w:t xml:space="preserve"> consecutives Perfekt), </w:t>
      </w:r>
      <w:r>
        <w:rPr>
          <w:rStyle w:val="Fett"/>
          <w:rFonts w:eastAsiaTheme="majorEastAsia"/>
          <w:rtl/>
        </w:rPr>
        <w:t>וְיַיִן לֹא־תִשְׁתֶּה וְלֹא תֶאֱגֹר</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יַיִן</w:t>
      </w:r>
      <w:r>
        <w:t xml:space="preserve">, Negation, </w:t>
      </w:r>
      <w:r>
        <w:rPr>
          <w:rStyle w:val="Fett"/>
          <w:rFonts w:eastAsiaTheme="majorEastAsia"/>
          <w:rtl/>
        </w:rPr>
        <w:t>שׁתה</w:t>
      </w:r>
      <w:r>
        <w:t xml:space="preserve">, Qal Imperfekt, 2. Person Maskulinum Singular, koordiniert durch </w:t>
      </w:r>
      <w:r>
        <w:rPr>
          <w:rStyle w:val="Fett"/>
          <w:rFonts w:eastAsiaTheme="majorEastAsia"/>
          <w:rtl/>
        </w:rPr>
        <w:t>וְ</w:t>
      </w:r>
      <w:r>
        <w:rPr>
          <w:rtl/>
        </w:rPr>
        <w:t xml:space="preserve"> </w:t>
      </w:r>
      <w:r>
        <w:t xml:space="preserve">mit Negation, </w:t>
      </w:r>
      <w:r>
        <w:rPr>
          <w:rStyle w:val="Fett"/>
          <w:rFonts w:eastAsiaTheme="majorEastAsia"/>
          <w:rtl/>
        </w:rPr>
        <w:t>אגר</w:t>
      </w:r>
      <w:r>
        <w:t xml:space="preserve">, Qal Imperfekt, 2. Person Maskulinum Singular, „einsammeln, lagern"), </w:t>
      </w:r>
      <w:r>
        <w:rPr>
          <w:rStyle w:val="Fett"/>
          <w:rFonts w:eastAsiaTheme="majorEastAsia"/>
          <w:rtl/>
        </w:rPr>
        <w:t>כִּי תֹאכְלֶנּוּ הַתֹּלָעַת</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אכל</w:t>
      </w:r>
      <w:r>
        <w:t xml:space="preserve">, Qal Imperfekt, 3. Person Femininum Singular, mit Suffix 3. Person Maskulinum Singular, </w:t>
      </w:r>
      <w:r>
        <w:rPr>
          <w:rStyle w:val="Fett"/>
          <w:rFonts w:eastAsiaTheme="majorEastAsia"/>
          <w:rtl/>
        </w:rPr>
        <w:t>תּוֹלֵעָה</w:t>
      </w:r>
      <w:r>
        <w:rPr>
          <w:rtl/>
        </w:rPr>
        <w:t xml:space="preserve"> </w:t>
      </w:r>
      <w:r>
        <w:t>mit Artikel, „Wurm, Made", als Subjekt).</w:t>
      </w:r>
    </w:p>
    <w:p w14:paraId="4E8D127F" w14:textId="77777777" w:rsidR="005D0B3C" w:rsidRDefault="005D0B3C" w:rsidP="005D0B3C">
      <w:pPr>
        <w:pStyle w:val="whitespace-normal"/>
      </w:pPr>
      <w:r>
        <w:t xml:space="preserve">Der Vers setzt die landwirtschaftlichen Flüche mit Weinbergen fort. Die erste Aussage: </w:t>
      </w:r>
      <w:r>
        <w:rPr>
          <w:rStyle w:val="Fett"/>
          <w:rFonts w:eastAsiaTheme="majorEastAsia"/>
          <w:rtl/>
        </w:rPr>
        <w:t>כְּרָמִים תִּטַּע וְעָבָדְתָּ</w:t>
      </w:r>
      <w:r>
        <w:rPr>
          <w:rtl/>
        </w:rPr>
        <w:t xml:space="preserve"> </w:t>
      </w:r>
      <w:r>
        <w:t xml:space="preserve">(„Weinberge wirst du pflanzen und bebauen"). Intensive Arbeit im Weinberg. Die zweite und dritte Aussage: </w:t>
      </w:r>
      <w:r>
        <w:rPr>
          <w:rStyle w:val="Fett"/>
          <w:rFonts w:eastAsiaTheme="majorEastAsia"/>
          <w:rtl/>
        </w:rPr>
        <w:t>וְיַיִן לֹא־תִשְׁתֶּה וְלֹא תֶאֱגֹר</w:t>
      </w:r>
      <w:r>
        <w:rPr>
          <w:rtl/>
        </w:rPr>
        <w:t xml:space="preserve"> </w:t>
      </w:r>
      <w:r>
        <w:t xml:space="preserve">(„aber Wein wirst du nicht trinken und nicht einsammeln"). Kein Ertrag – weder für Konsum noch für Lagerung (vgl. V. 30). Die Begründung: </w:t>
      </w:r>
      <w:r>
        <w:rPr>
          <w:rStyle w:val="Fett"/>
          <w:rFonts w:eastAsiaTheme="majorEastAsia"/>
          <w:rtl/>
        </w:rPr>
        <w:t>כִּי תֹאכְלֶנּוּ הַתֹּלָעַת</w:t>
      </w:r>
      <w:r>
        <w:rPr>
          <w:rtl/>
        </w:rPr>
        <w:t xml:space="preserve"> </w:t>
      </w:r>
      <w:r>
        <w:t xml:space="preserve">(„denn fressen wird ihn der Wurm"). Das Wort </w:t>
      </w:r>
      <w:r>
        <w:rPr>
          <w:rStyle w:val="Fett"/>
          <w:rFonts w:eastAsiaTheme="majorEastAsia"/>
          <w:rtl/>
        </w:rPr>
        <w:t>תּוֹלֵעָה</w:t>
      </w:r>
      <w:r>
        <w:rPr>
          <w:rtl/>
        </w:rPr>
        <w:t xml:space="preserve"> </w:t>
      </w:r>
      <w:r>
        <w:t>(„Wurm, Made") – Schädlinge vernichten die Trauben oder Reben.</w:t>
      </w:r>
    </w:p>
    <w:p w14:paraId="150B6516" w14:textId="77777777" w:rsidR="005D0B3C" w:rsidRDefault="005D0B3C" w:rsidP="005D0B3C">
      <w:pPr>
        <w:pStyle w:val="whitespace-normal"/>
      </w:pPr>
      <w:r>
        <w:rPr>
          <w:rStyle w:val="Fett"/>
          <w:rFonts w:eastAsiaTheme="majorEastAsia"/>
        </w:rPr>
        <w:t>Die Satzstruktur:</w:t>
      </w:r>
      <w:r>
        <w:t xml:space="preserve"> Drei Aussagen mit Begründung (Weinberge wirst du pflanzen und bebauen, aber Wein wirst du nicht trinken und nicht einsammeln, denn fressen wird ihn der Wurm).</w:t>
      </w:r>
    </w:p>
    <w:p w14:paraId="7131B363" w14:textId="2A84DF44" w:rsidR="005D0B3C" w:rsidRDefault="005D0B3C" w:rsidP="005D0B3C">
      <w:pPr>
        <w:pStyle w:val="whitespace-normal"/>
      </w:pPr>
      <w:r>
        <w:rPr>
          <w:rStyle w:val="Fett"/>
          <w:rFonts w:eastAsiaTheme="majorEastAsia"/>
        </w:rPr>
        <w:t>Der Vers beschreibt:</w:t>
      </w:r>
      <w:r>
        <w:t xml:space="preserve"> Weinbergplage – Arbeit ohne Frucht wegen </w:t>
      </w:r>
      <w:r w:rsidR="003933AB">
        <w:t>Wurmbefalls</w:t>
      </w:r>
      <w:r>
        <w:t>.</w:t>
      </w:r>
    </w:p>
    <w:p w14:paraId="3362D4E8" w14:textId="77777777" w:rsidR="005D0B3C" w:rsidRPr="008D48A3" w:rsidRDefault="005D0B3C" w:rsidP="008D48A3">
      <w:pPr>
        <w:pStyle w:val="Bibelberschrift"/>
      </w:pPr>
      <w:r w:rsidRPr="008D48A3">
        <w:rPr>
          <w:rStyle w:val="Fett"/>
          <w:b/>
          <w:bCs w:val="0"/>
        </w:rPr>
        <w:t>Deuteronomium 28,40</w:t>
      </w:r>
    </w:p>
    <w:p w14:paraId="718E85B8" w14:textId="77777777" w:rsidR="005D0B3C" w:rsidRDefault="005D0B3C" w:rsidP="005D0B3C">
      <w:pPr>
        <w:pStyle w:val="whitespace-normal"/>
      </w:pPr>
      <w:r>
        <w:rPr>
          <w:rStyle w:val="Fett"/>
          <w:rFonts w:eastAsiaTheme="majorEastAsia"/>
        </w:rPr>
        <w:t>Hebräisch:</w:t>
      </w:r>
      <w:r>
        <w:t xml:space="preserve"> </w:t>
      </w:r>
      <w:r>
        <w:rPr>
          <w:rtl/>
        </w:rPr>
        <w:t>זֵיתִים יִהְיוּ לְךָ בְּכָל־גְּבוּלֶךָ וְשֶׁמֶן לֹא תָסוּךְ כִּי יִשַּׁל זֵיתֶֽךָ׃</w:t>
      </w:r>
    </w:p>
    <w:p w14:paraId="03ACE1F4" w14:textId="77777777" w:rsidR="005D0B3C" w:rsidRDefault="005D0B3C" w:rsidP="005D0B3C">
      <w:pPr>
        <w:pStyle w:val="whitespace-normal"/>
      </w:pPr>
      <w:r>
        <w:rPr>
          <w:rStyle w:val="Fett"/>
          <w:rFonts w:eastAsiaTheme="majorEastAsia"/>
        </w:rPr>
        <w:t>Deutsch:</w:t>
      </w:r>
      <w:r>
        <w:t xml:space="preserve"> Ölbäume wirst du haben in deinem ganzen Gebiet, aber mit Öl wirst du dich nicht salben, denn dein Ölbaum wird die Frucht abwerfen.</w:t>
      </w:r>
    </w:p>
    <w:p w14:paraId="1A64F5BB" w14:textId="77777777" w:rsidR="005D0B3C" w:rsidRDefault="004F5CEB" w:rsidP="005D0B3C">
      <w:r>
        <w:rPr>
          <w:noProof/>
        </w:rPr>
        <w:lastRenderedPageBreak/>
        <w:pict w14:anchorId="6F40978F">
          <v:rect id="_x0000_i1784" style="width:0;height:1.5pt" o:hralign="center" o:hrstd="t" o:hr="t" fillcolor="#a0a0a0" stroked="f"/>
        </w:pict>
      </w:r>
    </w:p>
    <w:p w14:paraId="2E33C13B" w14:textId="77777777" w:rsidR="005D0B3C" w:rsidRDefault="005D0B3C" w:rsidP="005D0B3C">
      <w:pPr>
        <w:pStyle w:val="whitespace-normal"/>
      </w:pPr>
      <w:r>
        <w:rPr>
          <w:rStyle w:val="Fett"/>
          <w:rFonts w:eastAsiaTheme="majorEastAsia"/>
        </w:rPr>
        <w:t>Kommentar:</w:t>
      </w:r>
      <w:r>
        <w:t xml:space="preserve"> </w:t>
      </w:r>
      <w:r>
        <w:rPr>
          <w:rStyle w:val="Fett"/>
          <w:rFonts w:eastAsiaTheme="majorEastAsia"/>
          <w:rtl/>
        </w:rPr>
        <w:t>זֵיתִים יִהְיוּ לְךָ בְּכָל־גְּבוּלֶךָ וְשֶׁמֶן לֹא תָסוּךְ כִּי יִשַּׁל זֵיתֶךָ</w:t>
      </w:r>
      <w:r>
        <w:rPr>
          <w:rtl/>
        </w:rPr>
        <w:t xml:space="preserve"> </w:t>
      </w:r>
      <w:r>
        <w:t xml:space="preserve">sind zwei Aussagen mit Begründung: </w:t>
      </w:r>
      <w:r>
        <w:rPr>
          <w:rStyle w:val="Fett"/>
          <w:rFonts w:eastAsiaTheme="majorEastAsia"/>
          <w:rtl/>
        </w:rPr>
        <w:t>זֵיתִים יִהְיוּ לְךָ בְּכָל־גְּבוּלֶךָ</w:t>
      </w:r>
      <w:r>
        <w:rPr>
          <w:rtl/>
        </w:rPr>
        <w:t xml:space="preserve"> </w:t>
      </w:r>
      <w:r>
        <w:t>(</w:t>
      </w:r>
      <w:r>
        <w:rPr>
          <w:rStyle w:val="Fett"/>
          <w:rFonts w:eastAsiaTheme="majorEastAsia"/>
          <w:rtl/>
        </w:rPr>
        <w:t>זַיִת</w:t>
      </w:r>
      <w:r>
        <w:t xml:space="preserve">, „Ölbaum, Olive", Plural, </w:t>
      </w:r>
      <w:r>
        <w:rPr>
          <w:rStyle w:val="Fett"/>
          <w:rFonts w:eastAsiaTheme="majorEastAsia"/>
          <w:rtl/>
        </w:rPr>
        <w:t>היה</w:t>
      </w:r>
      <w:r>
        <w:t xml:space="preserve">, Qal Imperfekt, 3. Person Plural, </w:t>
      </w:r>
      <w:r>
        <w:rPr>
          <w:rStyle w:val="Fett"/>
          <w:rFonts w:eastAsiaTheme="majorEastAsia"/>
          <w:rtl/>
        </w:rPr>
        <w:t>לְךָ</w:t>
      </w:r>
      <w:r>
        <w:t xml:space="preserve">, </w:t>
      </w:r>
      <w:r>
        <w:rPr>
          <w:rStyle w:val="Fett"/>
          <w:rFonts w:eastAsiaTheme="majorEastAsia"/>
          <w:rtl/>
        </w:rPr>
        <w:t>בְּכָל־גְּבוּל</w:t>
      </w:r>
      <w:r>
        <w:rPr>
          <w:rtl/>
        </w:rPr>
        <w:t xml:space="preserve"> </w:t>
      </w:r>
      <w:r>
        <w:t xml:space="preserve">mit Suffix), </w:t>
      </w:r>
      <w:r>
        <w:rPr>
          <w:rStyle w:val="Fett"/>
          <w:rFonts w:eastAsiaTheme="majorEastAsia"/>
          <w:rtl/>
        </w:rPr>
        <w:t>וְשֶׁמֶן לֹא תָסוּךְ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שֶׁמֶן</w:t>
      </w:r>
      <w:r>
        <w:t xml:space="preserve">, „Öl", Negation, </w:t>
      </w:r>
      <w:r>
        <w:rPr>
          <w:rStyle w:val="Fett"/>
          <w:rFonts w:eastAsiaTheme="majorEastAsia"/>
          <w:rtl/>
        </w:rPr>
        <w:t>סוך</w:t>
      </w:r>
      <w:r>
        <w:t xml:space="preserve">, Qal Imperfekt, 2. Person Maskulinum Singular, „salben, einreiben"), </w:t>
      </w:r>
      <w:r>
        <w:rPr>
          <w:rStyle w:val="Fett"/>
          <w:rFonts w:eastAsiaTheme="majorEastAsia"/>
          <w:rtl/>
        </w:rPr>
        <w:t>כִּי יִשַּׁל זֵיתֶךָ</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נשׁל</w:t>
      </w:r>
      <w:r>
        <w:t xml:space="preserve">, Qal Imperfekt, 3. Person Maskulinum Singular, „abfallen, abwerfen", </w:t>
      </w:r>
      <w:r>
        <w:rPr>
          <w:rStyle w:val="Fett"/>
          <w:rFonts w:eastAsiaTheme="majorEastAsia"/>
          <w:rtl/>
        </w:rPr>
        <w:t>זַיִת</w:t>
      </w:r>
      <w:r>
        <w:rPr>
          <w:rtl/>
        </w:rPr>
        <w:t xml:space="preserve"> </w:t>
      </w:r>
      <w:r>
        <w:t>mit Suffix als Subjekt).</w:t>
      </w:r>
    </w:p>
    <w:p w14:paraId="1288B40D" w14:textId="77777777" w:rsidR="005D0B3C" w:rsidRDefault="005D0B3C" w:rsidP="005D0B3C">
      <w:pPr>
        <w:pStyle w:val="whitespace-normal"/>
      </w:pPr>
      <w:r>
        <w:t xml:space="preserve">Der Vers setzt die landwirtschaftlichen Flüche mit Ölbäumen fort. Die erste Aussage: </w:t>
      </w:r>
      <w:r>
        <w:rPr>
          <w:rStyle w:val="Fett"/>
          <w:rFonts w:eastAsiaTheme="majorEastAsia"/>
          <w:rtl/>
        </w:rPr>
        <w:t>זֵיתִים יִהְיוּ לְךָ בְּכָל־גְּבוּלֶךָ</w:t>
      </w:r>
      <w:r>
        <w:rPr>
          <w:rtl/>
        </w:rPr>
        <w:t xml:space="preserve"> </w:t>
      </w:r>
      <w:r>
        <w:t xml:space="preserve">(„Ölbäume werden sein dir in deinem ganzen Gebiet"). Viele Ölbäume vorhanden. Die zweite Aussage: </w:t>
      </w:r>
      <w:r>
        <w:rPr>
          <w:rStyle w:val="Fett"/>
          <w:rFonts w:eastAsiaTheme="majorEastAsia"/>
          <w:rtl/>
        </w:rPr>
        <w:t>וְשֶׁמֶן לֹא תָסוּךְ</w:t>
      </w:r>
      <w:r>
        <w:rPr>
          <w:rtl/>
        </w:rPr>
        <w:t xml:space="preserve"> </w:t>
      </w:r>
      <w:r>
        <w:t xml:space="preserve">(„aber mit Öl wirst du nicht salben"). Kein Öl für die Körperpflege (Salben war tägliche Praxis). Die Begründung: </w:t>
      </w:r>
      <w:r>
        <w:rPr>
          <w:rStyle w:val="Fett"/>
          <w:rFonts w:eastAsiaTheme="majorEastAsia"/>
          <w:rtl/>
        </w:rPr>
        <w:t>כִּי יִשַּׁל זֵיתֶךָ</w:t>
      </w:r>
      <w:r>
        <w:rPr>
          <w:rtl/>
        </w:rPr>
        <w:t xml:space="preserve"> </w:t>
      </w:r>
      <w:r>
        <w:t xml:space="preserve">(„denn abwerfen wird dein Ölbaum"). Das Verb </w:t>
      </w:r>
      <w:r>
        <w:rPr>
          <w:rStyle w:val="Fett"/>
          <w:rFonts w:eastAsiaTheme="majorEastAsia"/>
          <w:rtl/>
        </w:rPr>
        <w:t>נשׁל</w:t>
      </w:r>
      <w:r>
        <w:rPr>
          <w:rtl/>
        </w:rPr>
        <w:t xml:space="preserve"> </w:t>
      </w:r>
      <w:r>
        <w:t>(„abfallen, abwerfen") – die Oliven fallen ab, bevor sie reif sind (vgl. Mich 6,15).</w:t>
      </w:r>
    </w:p>
    <w:p w14:paraId="2170125E" w14:textId="77777777" w:rsidR="005D0B3C" w:rsidRDefault="005D0B3C" w:rsidP="005D0B3C">
      <w:pPr>
        <w:pStyle w:val="whitespace-normal"/>
      </w:pPr>
      <w:r>
        <w:rPr>
          <w:rStyle w:val="Fett"/>
          <w:rFonts w:eastAsiaTheme="majorEastAsia"/>
        </w:rPr>
        <w:t>Die Satzstruktur:</w:t>
      </w:r>
      <w:r>
        <w:t xml:space="preserve"> Zwei Aussagen mit Begründung (Ölbäume werden sein dir in deinem ganzen Gebiet, aber mit Öl wirst du nicht salben, denn abwerfen wird dein Ölbaum).</w:t>
      </w:r>
    </w:p>
    <w:p w14:paraId="637D6A1A" w14:textId="77777777" w:rsidR="005D0B3C" w:rsidRDefault="005D0B3C" w:rsidP="005D0B3C">
      <w:pPr>
        <w:pStyle w:val="whitespace-normal"/>
      </w:pPr>
      <w:r>
        <w:rPr>
          <w:rStyle w:val="Fett"/>
          <w:rFonts w:eastAsiaTheme="majorEastAsia"/>
        </w:rPr>
        <w:t>Der Vers beschreibt:</w:t>
      </w:r>
      <w:r>
        <w:t xml:space="preserve"> Ölbaumplage – Oliven fallen unreif ab, kein Öl verfügbar.</w:t>
      </w:r>
    </w:p>
    <w:p w14:paraId="38DC6CB3" w14:textId="77777777" w:rsidR="005D0B3C" w:rsidRPr="008D48A3" w:rsidRDefault="005D0B3C" w:rsidP="008D48A3">
      <w:pPr>
        <w:pStyle w:val="Bibelberschrift"/>
      </w:pPr>
      <w:r w:rsidRPr="008D48A3">
        <w:rPr>
          <w:rStyle w:val="Fett"/>
          <w:b/>
          <w:bCs w:val="0"/>
        </w:rPr>
        <w:t>Deuteronomium 28,41</w:t>
      </w:r>
    </w:p>
    <w:p w14:paraId="7B42DA8D" w14:textId="77777777" w:rsidR="005D0B3C" w:rsidRPr="008D48A3" w:rsidRDefault="005D0B3C" w:rsidP="008D48A3">
      <w:pPr>
        <w:pStyle w:val="Bibelberschrift"/>
      </w:pPr>
      <w:r w:rsidRPr="008D48A3">
        <w:rPr>
          <w:rStyle w:val="Fett"/>
          <w:b/>
          <w:bCs w:val="0"/>
        </w:rPr>
        <w:t>Hebräisch:</w:t>
      </w:r>
      <w:r w:rsidRPr="008D48A3">
        <w:t xml:space="preserve"> </w:t>
      </w:r>
      <w:r w:rsidRPr="008D48A3">
        <w:rPr>
          <w:rtl/>
        </w:rPr>
        <w:t>בָּנִים וּבָנוֹת תּוֹלִיד וְלֹא־יִהְיוּ לָךְ כִּי יֵלְכוּ בַּשֶּֽׁבִי׃</w:t>
      </w:r>
    </w:p>
    <w:p w14:paraId="4EC75705" w14:textId="673A518B" w:rsidR="005D0B3C" w:rsidRDefault="005D0B3C" w:rsidP="005D0B3C">
      <w:pPr>
        <w:pStyle w:val="whitespace-normal"/>
      </w:pPr>
      <w:r>
        <w:rPr>
          <w:rStyle w:val="Fett"/>
          <w:rFonts w:eastAsiaTheme="majorEastAsia"/>
        </w:rPr>
        <w:t>Deutsch:</w:t>
      </w:r>
      <w:r>
        <w:t xml:space="preserve"> Söhne und Töchter wirst du zeugen, aber sie werden dir nicht gehören, denn sie werden in die </w:t>
      </w:r>
      <w:r w:rsidR="00D47758">
        <w:t>Gefangenschaft</w:t>
      </w:r>
      <w:r>
        <w:t xml:space="preserve"> gehen.</w:t>
      </w:r>
    </w:p>
    <w:p w14:paraId="50624823" w14:textId="77777777" w:rsidR="005D0B3C" w:rsidRDefault="004F5CEB" w:rsidP="005D0B3C">
      <w:r>
        <w:rPr>
          <w:noProof/>
        </w:rPr>
        <w:pict w14:anchorId="41F55320">
          <v:rect id="_x0000_i1785" style="width:0;height:1.5pt" o:hralign="center" o:hrstd="t" o:hr="t" fillcolor="#a0a0a0" stroked="f"/>
        </w:pict>
      </w:r>
    </w:p>
    <w:p w14:paraId="65764114" w14:textId="018C058C" w:rsidR="005D0B3C" w:rsidRDefault="005D0B3C" w:rsidP="005D0B3C">
      <w:pPr>
        <w:pStyle w:val="whitespace-normal"/>
      </w:pPr>
      <w:r>
        <w:rPr>
          <w:rStyle w:val="Fett"/>
          <w:rFonts w:eastAsiaTheme="majorEastAsia"/>
        </w:rPr>
        <w:t>Kommentar:</w:t>
      </w:r>
      <w:r>
        <w:t xml:space="preserve"> </w:t>
      </w:r>
      <w:r>
        <w:rPr>
          <w:rStyle w:val="Fett"/>
          <w:rFonts w:eastAsiaTheme="majorEastAsia"/>
          <w:rtl/>
        </w:rPr>
        <w:t>בָּנִים וּבָנוֹת תּוֹלִיד וְלֹא־יִהְיוּ לָךְ כִּי יֵלְכוּ בַּשֶּׁבִי</w:t>
      </w:r>
      <w:r>
        <w:rPr>
          <w:rtl/>
        </w:rPr>
        <w:t xml:space="preserve"> </w:t>
      </w:r>
      <w:r>
        <w:t xml:space="preserve">sind zwei Aussagen mit Begründung: </w:t>
      </w:r>
      <w:r>
        <w:rPr>
          <w:rStyle w:val="Fett"/>
          <w:rFonts w:eastAsiaTheme="majorEastAsia"/>
          <w:rtl/>
        </w:rPr>
        <w:t>בָּנִים וּבָנוֹת תּוֹלִיד</w:t>
      </w:r>
      <w:r>
        <w:rPr>
          <w:rtl/>
        </w:rPr>
        <w:t xml:space="preserve"> </w:t>
      </w:r>
      <w:r>
        <w:t>(</w:t>
      </w:r>
      <w:r>
        <w:rPr>
          <w:rStyle w:val="Fett"/>
          <w:rFonts w:eastAsiaTheme="majorEastAsia"/>
          <w:rtl/>
        </w:rPr>
        <w:t>בֵּן</w:t>
      </w:r>
      <w:r>
        <w:rPr>
          <w:rtl/>
        </w:rPr>
        <w:t xml:space="preserve"> </w:t>
      </w:r>
      <w:r>
        <w:t xml:space="preserve">Plural, koordiniert mit </w:t>
      </w:r>
      <w:r>
        <w:rPr>
          <w:rStyle w:val="Fett"/>
          <w:rFonts w:eastAsiaTheme="majorEastAsia"/>
          <w:rtl/>
        </w:rPr>
        <w:t>בַּת</w:t>
      </w:r>
      <w:r>
        <w:rPr>
          <w:rtl/>
        </w:rPr>
        <w:t xml:space="preserve"> </w:t>
      </w:r>
      <w:r>
        <w:t xml:space="preserve">Plural, </w:t>
      </w:r>
      <w:r>
        <w:rPr>
          <w:rStyle w:val="Fett"/>
          <w:rFonts w:eastAsiaTheme="majorEastAsia"/>
          <w:rtl/>
        </w:rPr>
        <w:t>ילד</w:t>
      </w:r>
      <w:r>
        <w:t xml:space="preserve">, Hiphil Imperfekt, 2. Person Maskulinum Singular, „zeugen, gebären"), </w:t>
      </w:r>
      <w:r>
        <w:rPr>
          <w:rStyle w:val="Fett"/>
          <w:rFonts w:eastAsiaTheme="majorEastAsia"/>
          <w:rtl/>
        </w:rPr>
        <w:t>וְלֹא־יִהְיוּ לָךְ</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היה</w:t>
      </w:r>
      <w:r>
        <w:t xml:space="preserve">, Qal Imperfekt, 3. Person Plural, </w:t>
      </w:r>
      <w:r>
        <w:rPr>
          <w:rStyle w:val="Fett"/>
          <w:rFonts w:eastAsiaTheme="majorEastAsia"/>
          <w:rtl/>
        </w:rPr>
        <w:t>לָךְ</w:t>
      </w:r>
      <w:r>
        <w:t xml:space="preserve">), </w:t>
      </w:r>
      <w:r>
        <w:rPr>
          <w:rStyle w:val="Fett"/>
          <w:rFonts w:eastAsiaTheme="majorEastAsia"/>
          <w:rtl/>
        </w:rPr>
        <w:t>כִּי יֵלְכוּ בַּשֶּׁבִי</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הלך</w:t>
      </w:r>
      <w:r>
        <w:t xml:space="preserve">, Qal Imperfekt, 3. Person Plural, </w:t>
      </w:r>
      <w:r>
        <w:rPr>
          <w:rStyle w:val="Fett"/>
          <w:rFonts w:eastAsiaTheme="majorEastAsia"/>
          <w:rtl/>
        </w:rPr>
        <w:t>בַּשֶּׁבִי</w:t>
      </w:r>
      <w:r>
        <w:t xml:space="preserve">, „in die </w:t>
      </w:r>
      <w:r w:rsidR="00D47758">
        <w:t>Gefangenschaft</w:t>
      </w:r>
      <w:r>
        <w:t>").</w:t>
      </w:r>
    </w:p>
    <w:p w14:paraId="04AB785B" w14:textId="310D5CC5" w:rsidR="005D0B3C" w:rsidRDefault="005D0B3C" w:rsidP="005D0B3C">
      <w:pPr>
        <w:pStyle w:val="whitespace-normal"/>
      </w:pPr>
      <w:r>
        <w:t xml:space="preserve">Der Vers kehrt zum Kindesverlust zurück (vgl. V. 32). Die erste Aussage: </w:t>
      </w:r>
      <w:r>
        <w:rPr>
          <w:rStyle w:val="Fett"/>
          <w:rFonts w:eastAsiaTheme="majorEastAsia"/>
          <w:rtl/>
        </w:rPr>
        <w:t>בָּנִים וּבָנוֹת תּוֹלִיד</w:t>
      </w:r>
      <w:r>
        <w:rPr>
          <w:rtl/>
        </w:rPr>
        <w:t xml:space="preserve"> </w:t>
      </w:r>
      <w:r>
        <w:t xml:space="preserve">(„Söhne und Töchter wirst du zeugen"). Kinder werden geboren. Die zweite Aussage: </w:t>
      </w:r>
      <w:r>
        <w:rPr>
          <w:rStyle w:val="Fett"/>
          <w:rFonts w:eastAsiaTheme="majorEastAsia"/>
          <w:rtl/>
        </w:rPr>
        <w:t>וְלֹא־יִהְיוּ לָךְ</w:t>
      </w:r>
      <w:r>
        <w:rPr>
          <w:rtl/>
        </w:rPr>
        <w:t xml:space="preserve"> </w:t>
      </w:r>
      <w:r>
        <w:t xml:space="preserve">(„aber sie werden nicht sein dir" = sie werden dir nicht gehören). Du wirst sie verlieren. Die Begründung: </w:t>
      </w:r>
      <w:r>
        <w:rPr>
          <w:rStyle w:val="Fett"/>
          <w:rFonts w:eastAsiaTheme="majorEastAsia"/>
          <w:rtl/>
        </w:rPr>
        <w:t>כִּי יֵלְכוּ בַּשֶּׁבִי</w:t>
      </w:r>
      <w:r>
        <w:rPr>
          <w:rtl/>
        </w:rPr>
        <w:t xml:space="preserve"> </w:t>
      </w:r>
      <w:r>
        <w:t xml:space="preserve">(„denn sie werden gehen in die </w:t>
      </w:r>
      <w:r w:rsidR="00D47758">
        <w:t>Gefangenschaft</w:t>
      </w:r>
      <w:r>
        <w:t xml:space="preserve">"). Das Wort </w:t>
      </w:r>
      <w:r>
        <w:rPr>
          <w:rStyle w:val="Fett"/>
          <w:rFonts w:eastAsiaTheme="majorEastAsia"/>
          <w:rtl/>
        </w:rPr>
        <w:t>שְׁבִי</w:t>
      </w:r>
      <w:r>
        <w:rPr>
          <w:rtl/>
        </w:rPr>
        <w:t xml:space="preserve"> </w:t>
      </w:r>
      <w:r>
        <w:t>(„</w:t>
      </w:r>
      <w:r w:rsidR="00D47758">
        <w:t>Gefangenschaft</w:t>
      </w:r>
      <w:r>
        <w:t>") – Deportation ins Exil (vgl. V. 32).</w:t>
      </w:r>
    </w:p>
    <w:p w14:paraId="4134F79A" w14:textId="474C2EBB" w:rsidR="005D0B3C" w:rsidRDefault="005D0B3C" w:rsidP="005D0B3C">
      <w:pPr>
        <w:pStyle w:val="whitespace-normal"/>
      </w:pPr>
      <w:r>
        <w:rPr>
          <w:rStyle w:val="Fett"/>
          <w:rFonts w:eastAsiaTheme="majorEastAsia"/>
        </w:rPr>
        <w:t>Die Satzstruktur:</w:t>
      </w:r>
      <w:r>
        <w:t xml:space="preserve"> Zwei Aussagen mit Begründung (Söhne und Töchter wirst du zeugen, aber sie werden nicht sein dir, denn sie werden gehen in die </w:t>
      </w:r>
      <w:r w:rsidR="00D47758">
        <w:t>Gefangenschaft</w:t>
      </w:r>
      <w:r>
        <w:t>).</w:t>
      </w:r>
    </w:p>
    <w:p w14:paraId="60FE0835" w14:textId="2B03661B" w:rsidR="005D0B3C" w:rsidRDefault="005D0B3C" w:rsidP="00564C2A">
      <w:pPr>
        <w:pStyle w:val="whitespace-normal"/>
      </w:pPr>
      <w:r>
        <w:rPr>
          <w:rStyle w:val="Fett"/>
          <w:rFonts w:eastAsiaTheme="majorEastAsia"/>
        </w:rPr>
        <w:t>Der Vers beschreibt:</w:t>
      </w:r>
      <w:r>
        <w:t xml:space="preserve"> Kindesverlust durch Deportation – die Kinder werden ins Exil geführt.</w:t>
      </w:r>
    </w:p>
    <w:p w14:paraId="0C8DD4D0" w14:textId="77777777" w:rsidR="005D0B3C" w:rsidRPr="008D48A3" w:rsidRDefault="005D0B3C" w:rsidP="008D48A3">
      <w:pPr>
        <w:pStyle w:val="Bibelberschrift"/>
        <w:rPr>
          <w:b w:val="0"/>
        </w:rPr>
      </w:pPr>
      <w:r w:rsidRPr="008D48A3">
        <w:rPr>
          <w:rStyle w:val="Fett"/>
          <w:b/>
        </w:rPr>
        <w:lastRenderedPageBreak/>
        <w:t>Deuteronomium 28,42</w:t>
      </w:r>
    </w:p>
    <w:p w14:paraId="3829F732" w14:textId="77777777" w:rsidR="005D0B3C" w:rsidRDefault="005D0B3C" w:rsidP="005D0B3C">
      <w:pPr>
        <w:pStyle w:val="whitespace-normal"/>
      </w:pPr>
      <w:r>
        <w:rPr>
          <w:rStyle w:val="Fett"/>
          <w:rFonts w:eastAsiaTheme="majorEastAsia"/>
        </w:rPr>
        <w:t>Hebräisch:</w:t>
      </w:r>
      <w:r>
        <w:t xml:space="preserve"> </w:t>
      </w:r>
      <w:r>
        <w:rPr>
          <w:rtl/>
        </w:rPr>
        <w:t>כָּל־עֵצְךָ וּפְרִי אַדְמָתֶךָ יְיָרֵשׁ הַצְּלָצַֽל׃</w:t>
      </w:r>
    </w:p>
    <w:p w14:paraId="3CFD0584" w14:textId="77777777" w:rsidR="005D0B3C" w:rsidRDefault="005D0B3C" w:rsidP="005D0B3C">
      <w:pPr>
        <w:pStyle w:val="whitespace-normal"/>
      </w:pPr>
      <w:r>
        <w:rPr>
          <w:rStyle w:val="Fett"/>
          <w:rFonts w:eastAsiaTheme="majorEastAsia"/>
        </w:rPr>
        <w:t>Deutsch:</w:t>
      </w:r>
      <w:r>
        <w:t xml:space="preserve"> Alle deine Bäume und die Frucht deines Landes wird die Grille in Besitz nehmen.</w:t>
      </w:r>
    </w:p>
    <w:p w14:paraId="51C97650" w14:textId="77777777" w:rsidR="005D0B3C" w:rsidRDefault="004F5CEB" w:rsidP="005D0B3C">
      <w:r>
        <w:rPr>
          <w:noProof/>
        </w:rPr>
        <w:pict w14:anchorId="6557D27A">
          <v:rect id="_x0000_i1786" style="width:0;height:1.5pt" o:hralign="center" o:hrstd="t" o:hr="t" fillcolor="#a0a0a0" stroked="f"/>
        </w:pict>
      </w:r>
    </w:p>
    <w:p w14:paraId="38CCC157" w14:textId="77777777" w:rsidR="005D0B3C" w:rsidRDefault="005D0B3C" w:rsidP="005D0B3C">
      <w:pPr>
        <w:pStyle w:val="whitespace-normal"/>
      </w:pPr>
      <w:r>
        <w:rPr>
          <w:rStyle w:val="Fett"/>
          <w:rFonts w:eastAsiaTheme="majorEastAsia"/>
        </w:rPr>
        <w:t>Kommentar:</w:t>
      </w:r>
      <w:r>
        <w:t xml:space="preserve"> </w:t>
      </w:r>
      <w:r>
        <w:rPr>
          <w:rStyle w:val="Fett"/>
          <w:rFonts w:eastAsiaTheme="majorEastAsia"/>
          <w:rtl/>
        </w:rPr>
        <w:t>כָּל־עֵצְךָ וּפְרִי אַדְמָתֶךָ יְיָרֵשׁ הַצְּלָצַל</w:t>
      </w:r>
      <w:r>
        <w:rPr>
          <w:rtl/>
        </w:rPr>
        <w:t xml:space="preserve"> </w:t>
      </w:r>
      <w:r>
        <w:t xml:space="preserve">ist eine Aussage: </w:t>
      </w:r>
      <w:r>
        <w:rPr>
          <w:rStyle w:val="Fett"/>
          <w:rFonts w:eastAsiaTheme="majorEastAsia"/>
          <w:rtl/>
        </w:rPr>
        <w:t>כָּל־עֵצְךָ וּפְרִי אַדְמָתֶךָ יְיָרֵשׁ הַצְּלָצַל</w:t>
      </w:r>
      <w:r>
        <w:rPr>
          <w:rtl/>
        </w:rPr>
        <w:t xml:space="preserve"> </w:t>
      </w:r>
      <w:r>
        <w:t>(</w:t>
      </w:r>
      <w:r>
        <w:rPr>
          <w:rStyle w:val="Fett"/>
          <w:rFonts w:eastAsiaTheme="majorEastAsia"/>
          <w:rtl/>
        </w:rPr>
        <w:t>כָּל־עֵץ</w:t>
      </w:r>
      <w:r>
        <w:t xml:space="preserve">, „Baum", mit Suffix, koordiniert durch </w:t>
      </w:r>
      <w:r>
        <w:rPr>
          <w:rStyle w:val="Fett"/>
          <w:rFonts w:eastAsiaTheme="majorEastAsia"/>
          <w:rtl/>
        </w:rPr>
        <w:t>וּ</w:t>
      </w:r>
      <w:r>
        <w:rPr>
          <w:rtl/>
        </w:rPr>
        <w:t xml:space="preserve"> </w:t>
      </w:r>
      <w:r>
        <w:t xml:space="preserve">mit </w:t>
      </w:r>
      <w:r>
        <w:rPr>
          <w:rStyle w:val="Fett"/>
          <w:rFonts w:eastAsiaTheme="majorEastAsia"/>
          <w:rtl/>
        </w:rPr>
        <w:t>פְּרִי אַדְמָתֶךָ</w:t>
      </w:r>
      <w:r>
        <w:t xml:space="preserve">, </w:t>
      </w:r>
      <w:r>
        <w:rPr>
          <w:rStyle w:val="Fett"/>
          <w:rFonts w:eastAsiaTheme="majorEastAsia"/>
          <w:rtl/>
        </w:rPr>
        <w:t>ירשׁ</w:t>
      </w:r>
      <w:r>
        <w:t xml:space="preserve">, Piel Imperfekt, 3. Person Maskulinum Singular, „in Besitz nehmen, erben", </w:t>
      </w:r>
      <w:r>
        <w:rPr>
          <w:rStyle w:val="Fett"/>
          <w:rFonts w:eastAsiaTheme="majorEastAsia"/>
          <w:rtl/>
        </w:rPr>
        <w:t>צְלָצַל</w:t>
      </w:r>
      <w:r>
        <w:rPr>
          <w:rtl/>
        </w:rPr>
        <w:t xml:space="preserve"> </w:t>
      </w:r>
      <w:r>
        <w:t>mit Artikel, „Grille, Zikade, Insekt", als Subjekt).</w:t>
      </w:r>
    </w:p>
    <w:p w14:paraId="2221FE20" w14:textId="77777777" w:rsidR="005D0B3C" w:rsidRDefault="005D0B3C" w:rsidP="005D0B3C">
      <w:pPr>
        <w:pStyle w:val="whitespace-normal"/>
      </w:pPr>
      <w:r>
        <w:t xml:space="preserve">Der Vers schließt die landwirtschaftlichen Flüche (V. 38-42) mit einer Zusammenfassung ab. Die Aussage: </w:t>
      </w:r>
      <w:r>
        <w:rPr>
          <w:rStyle w:val="Fett"/>
          <w:rFonts w:eastAsiaTheme="majorEastAsia"/>
          <w:rtl/>
        </w:rPr>
        <w:t>כָּל־עֵצְךָ וּפְרִי אַדְמָתֶךָ יְיָרֵשׁ הַצְּלָצַל</w:t>
      </w:r>
      <w:r>
        <w:rPr>
          <w:rtl/>
        </w:rPr>
        <w:t xml:space="preserve"> </w:t>
      </w:r>
      <w:r>
        <w:t xml:space="preserve">(„alle deine Bäume und die Frucht deines Landes wird in Besitz nehmen die Grille"). Das Wort </w:t>
      </w:r>
      <w:r>
        <w:rPr>
          <w:rStyle w:val="Fett"/>
          <w:rFonts w:eastAsiaTheme="majorEastAsia"/>
          <w:rtl/>
        </w:rPr>
        <w:t>צְלָצַל</w:t>
      </w:r>
      <w:r>
        <w:rPr>
          <w:rtl/>
        </w:rPr>
        <w:t xml:space="preserve"> </w:t>
      </w:r>
      <w:r>
        <w:t xml:space="preserve">(„Grille, Zikade") bezeichnet lärmende Insekten, die Pflanzen zerstören. Das Verb </w:t>
      </w:r>
      <w:r>
        <w:rPr>
          <w:rStyle w:val="Fett"/>
          <w:rFonts w:eastAsiaTheme="majorEastAsia"/>
          <w:rtl/>
        </w:rPr>
        <w:t>ירשׁ</w:t>
      </w:r>
      <w:r>
        <w:rPr>
          <w:rtl/>
        </w:rPr>
        <w:t xml:space="preserve"> </w:t>
      </w:r>
      <w:r>
        <w:t>im Piel („in Besitz nehmen, erben") – die Insekten übernehmen das Land.</w:t>
      </w:r>
    </w:p>
    <w:p w14:paraId="0D1ECB19" w14:textId="77777777" w:rsidR="005D0B3C" w:rsidRDefault="005D0B3C" w:rsidP="005D0B3C">
      <w:pPr>
        <w:pStyle w:val="whitespace-normal"/>
      </w:pPr>
      <w:r>
        <w:rPr>
          <w:rStyle w:val="Fett"/>
          <w:rFonts w:eastAsiaTheme="majorEastAsia"/>
        </w:rPr>
        <w:t>Die Satzstruktur:</w:t>
      </w:r>
      <w:r>
        <w:t xml:space="preserve"> Aussage (alle deine Bäume und die Frucht deines Landes wird in Besitz nehmen die Grille).</w:t>
      </w:r>
    </w:p>
    <w:p w14:paraId="60E8978A" w14:textId="62E65F35" w:rsidR="005D0B3C" w:rsidRDefault="005D0B3C" w:rsidP="00564C2A">
      <w:pPr>
        <w:pStyle w:val="whitespace-normal"/>
      </w:pPr>
      <w:r>
        <w:rPr>
          <w:rStyle w:val="Fett"/>
          <w:rFonts w:eastAsiaTheme="majorEastAsia"/>
        </w:rPr>
        <w:t>Der Vers beschreibt:</w:t>
      </w:r>
      <w:r>
        <w:t xml:space="preserve"> Insektenplage – Grillen übernehmen alle Bäume und Feldfrüchte.</w:t>
      </w:r>
    </w:p>
    <w:p w14:paraId="362ABC82" w14:textId="77777777" w:rsidR="005D0B3C" w:rsidRPr="008D48A3" w:rsidRDefault="005D0B3C" w:rsidP="008D48A3">
      <w:pPr>
        <w:pStyle w:val="Bibelberschrift"/>
      </w:pPr>
      <w:r w:rsidRPr="008D48A3">
        <w:rPr>
          <w:rStyle w:val="Fett"/>
          <w:b/>
          <w:bCs w:val="0"/>
        </w:rPr>
        <w:t>Deuteronomium 28,43</w:t>
      </w:r>
    </w:p>
    <w:p w14:paraId="208EA890" w14:textId="77777777" w:rsidR="005D0B3C" w:rsidRDefault="005D0B3C" w:rsidP="005D0B3C">
      <w:pPr>
        <w:pStyle w:val="whitespace-normal"/>
      </w:pPr>
      <w:r>
        <w:rPr>
          <w:rStyle w:val="Fett"/>
          <w:rFonts w:eastAsiaTheme="majorEastAsia"/>
        </w:rPr>
        <w:t>Hebräisch:</w:t>
      </w:r>
      <w:r>
        <w:t xml:space="preserve"> </w:t>
      </w:r>
      <w:r>
        <w:rPr>
          <w:rtl/>
        </w:rPr>
        <w:t>הַגֵּר אֲשֶׁר בְּקִרְבְּךָ יַעֲלֶה עָלֶיךָ מַעְלָה מָּעְלָה וְאַתָּה תֵרֵד מַטָּה מָּֽטָּה׃</w:t>
      </w:r>
    </w:p>
    <w:p w14:paraId="1BE54DEB" w14:textId="77777777" w:rsidR="005D0B3C" w:rsidRDefault="005D0B3C" w:rsidP="005D0B3C">
      <w:pPr>
        <w:pStyle w:val="whitespace-normal"/>
      </w:pPr>
      <w:r>
        <w:rPr>
          <w:rStyle w:val="Fett"/>
          <w:rFonts w:eastAsiaTheme="majorEastAsia"/>
        </w:rPr>
        <w:t>Deutsch:</w:t>
      </w:r>
      <w:r>
        <w:t xml:space="preserve"> Der Fremdling, der in deiner Mitte ist, wird höher und höher über dich emporsteigen, und du, du wirst tiefer und tiefer hinabsinken.</w:t>
      </w:r>
    </w:p>
    <w:p w14:paraId="46EAED4A" w14:textId="77777777" w:rsidR="005D0B3C" w:rsidRDefault="004F5CEB" w:rsidP="005D0B3C">
      <w:r>
        <w:rPr>
          <w:noProof/>
        </w:rPr>
        <w:pict w14:anchorId="2C6BDB8C">
          <v:rect id="_x0000_i1787" style="width:0;height:1.5pt" o:hralign="center" o:hrstd="t" o:hr="t" fillcolor="#a0a0a0" stroked="f"/>
        </w:pict>
      </w:r>
    </w:p>
    <w:p w14:paraId="3D9DFD36" w14:textId="77777777" w:rsidR="005D0B3C" w:rsidRDefault="005D0B3C" w:rsidP="005D0B3C">
      <w:pPr>
        <w:pStyle w:val="whitespace-normal"/>
      </w:pPr>
      <w:r>
        <w:rPr>
          <w:rStyle w:val="Fett"/>
          <w:rFonts w:eastAsiaTheme="majorEastAsia"/>
        </w:rPr>
        <w:t>Kommentar:</w:t>
      </w:r>
      <w:r>
        <w:t xml:space="preserve"> </w:t>
      </w:r>
      <w:r>
        <w:rPr>
          <w:rStyle w:val="Fett"/>
          <w:rFonts w:eastAsiaTheme="majorEastAsia"/>
          <w:rtl/>
        </w:rPr>
        <w:t>הַגֵּר אֲשֶׁר בְּקִרְבְּךָ יַעֲלֶה עָלֶיךָ מַעְלָה מָּעְלָה וְאַתָּה תֵרֵד מַטָּה מָּטָּה</w:t>
      </w:r>
      <w:r>
        <w:rPr>
          <w:rtl/>
        </w:rPr>
        <w:t xml:space="preserve"> </w:t>
      </w:r>
      <w:r>
        <w:t xml:space="preserve">sind zwei parallele Aussagen: </w:t>
      </w:r>
      <w:r>
        <w:rPr>
          <w:rStyle w:val="Fett"/>
          <w:rFonts w:eastAsiaTheme="majorEastAsia"/>
          <w:rtl/>
        </w:rPr>
        <w:t>הַגֵּר אֲשֶׁר בְּקִרְבְּךָ יַעֲלֶה עָלֶיךָ מַעְלָה מָּעְלָה</w:t>
      </w:r>
      <w:r>
        <w:rPr>
          <w:rtl/>
        </w:rPr>
        <w:t xml:space="preserve"> </w:t>
      </w:r>
      <w:r>
        <w:t>(</w:t>
      </w:r>
      <w:r>
        <w:rPr>
          <w:rStyle w:val="Fett"/>
          <w:rFonts w:eastAsiaTheme="majorEastAsia"/>
          <w:rtl/>
        </w:rPr>
        <w:t>גֵּר</w:t>
      </w:r>
      <w:r>
        <w:rPr>
          <w:rtl/>
        </w:rPr>
        <w:t xml:space="preserve"> </w:t>
      </w:r>
      <w:r>
        <w:t xml:space="preserve">mit Artikel, „Fremdling", Relativsatz: </w:t>
      </w:r>
      <w:r>
        <w:rPr>
          <w:rStyle w:val="Fett"/>
          <w:rFonts w:eastAsiaTheme="majorEastAsia"/>
          <w:rtl/>
        </w:rPr>
        <w:t>אֲשֶׁר בְּקִרְבְּךָ</w:t>
      </w:r>
      <w:r>
        <w:t xml:space="preserve">, </w:t>
      </w:r>
      <w:r>
        <w:rPr>
          <w:rStyle w:val="Fett"/>
          <w:rFonts w:eastAsiaTheme="majorEastAsia"/>
          <w:rtl/>
        </w:rPr>
        <w:t>עלה</w:t>
      </w:r>
      <w:r>
        <w:t xml:space="preserve">, Qal Imperfekt, 3. Person Maskulinum Singular, „emporsteigen, hinaufgehen", Präposition </w:t>
      </w:r>
      <w:r>
        <w:rPr>
          <w:rStyle w:val="Fett"/>
          <w:rFonts w:eastAsiaTheme="majorEastAsia"/>
          <w:rtl/>
        </w:rPr>
        <w:t>עַל</w:t>
      </w:r>
      <w:r>
        <w:rPr>
          <w:rtl/>
        </w:rPr>
        <w:t xml:space="preserve"> </w:t>
      </w:r>
      <w:r>
        <w:t xml:space="preserve">mit Suffix 2. Person Maskulinum Singular, </w:t>
      </w:r>
      <w:r>
        <w:rPr>
          <w:rStyle w:val="Fett"/>
          <w:rFonts w:eastAsiaTheme="majorEastAsia"/>
          <w:rtl/>
        </w:rPr>
        <w:t>מַעְלָה מָּעְלָה</w:t>
      </w:r>
      <w:r>
        <w:t xml:space="preserve">, „höher und höher" – Wiederholung zur Verstärkung), </w:t>
      </w:r>
      <w:r>
        <w:rPr>
          <w:rStyle w:val="Fett"/>
          <w:rFonts w:eastAsiaTheme="majorEastAsia"/>
          <w:rtl/>
        </w:rPr>
        <w:t>וְאַתָּה תֵרֵד מַטָּה מָּטָּה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אַתָּה</w:t>
      </w:r>
      <w:r>
        <w:t xml:space="preserve">, </w:t>
      </w:r>
      <w:r>
        <w:rPr>
          <w:rStyle w:val="Fett"/>
          <w:rFonts w:eastAsiaTheme="majorEastAsia"/>
          <w:rtl/>
        </w:rPr>
        <w:t>ירד</w:t>
      </w:r>
      <w:r>
        <w:t xml:space="preserve">, Qal Imperfekt, 2. Person Maskulinum Singular, „hinabsteigen, hinabsinken", </w:t>
      </w:r>
      <w:r>
        <w:rPr>
          <w:rStyle w:val="Fett"/>
          <w:rFonts w:eastAsiaTheme="majorEastAsia"/>
          <w:rtl/>
        </w:rPr>
        <w:t>מַטָּה מָּטָּה</w:t>
      </w:r>
      <w:r>
        <w:t>, „tiefer und tiefer").</w:t>
      </w:r>
    </w:p>
    <w:p w14:paraId="7107C579" w14:textId="77777777" w:rsidR="005D0B3C" w:rsidRDefault="005D0B3C" w:rsidP="005D0B3C">
      <w:pPr>
        <w:pStyle w:val="whitespace-normal"/>
      </w:pPr>
      <w:r>
        <w:t xml:space="preserve">Der Vers beschreibt die soziale Umkehrung (V. 43-44). Die erste Aussage: </w:t>
      </w:r>
      <w:r>
        <w:rPr>
          <w:rStyle w:val="Fett"/>
          <w:rFonts w:eastAsiaTheme="majorEastAsia"/>
          <w:rtl/>
        </w:rPr>
        <w:t>הַגֵּר אֲשֶׁר בְּקִרְבְּךָ יַעֲלֶה עָלֶיךָ מַעְלָה מָּעְלָה</w:t>
      </w:r>
      <w:r>
        <w:rPr>
          <w:rtl/>
        </w:rPr>
        <w:t xml:space="preserve"> </w:t>
      </w:r>
      <w:r>
        <w:t xml:space="preserve">(„der Fremdling, der in deiner Mitte ist, wird emporsteigen über dich höher und höher"). Der </w:t>
      </w:r>
      <w:r>
        <w:rPr>
          <w:rStyle w:val="Fett"/>
          <w:rFonts w:eastAsiaTheme="majorEastAsia"/>
          <w:rtl/>
        </w:rPr>
        <w:t>גֵּר</w:t>
      </w:r>
      <w:r>
        <w:rPr>
          <w:rtl/>
        </w:rPr>
        <w:t xml:space="preserve"> </w:t>
      </w:r>
      <w:r>
        <w:t xml:space="preserve">(„Fremdling") – normalerweise rechtlos und arm (vgl. 10,18-19; 24,17-22; 26,12-13) – wird zum Überlegenen. Die Wiederholung </w:t>
      </w:r>
      <w:r>
        <w:rPr>
          <w:rStyle w:val="Fett"/>
          <w:rFonts w:eastAsiaTheme="majorEastAsia"/>
          <w:rtl/>
        </w:rPr>
        <w:t>מַעְלָה מָּעְלָה</w:t>
      </w:r>
      <w:r>
        <w:rPr>
          <w:rtl/>
        </w:rPr>
        <w:t xml:space="preserve"> </w:t>
      </w:r>
      <w:r>
        <w:t xml:space="preserve">(„höher und höher") betont den fortschreitenden Aufstieg. Die zweite Aussage: </w:t>
      </w:r>
      <w:r>
        <w:rPr>
          <w:rStyle w:val="Fett"/>
          <w:rFonts w:eastAsiaTheme="majorEastAsia"/>
          <w:rtl/>
        </w:rPr>
        <w:t>וְאַתָּה תֵרֵד מַטָּה מָּטָּה</w:t>
      </w:r>
      <w:r>
        <w:rPr>
          <w:rtl/>
        </w:rPr>
        <w:t xml:space="preserve"> </w:t>
      </w:r>
      <w:r>
        <w:t xml:space="preserve">(„und </w:t>
      </w:r>
      <w:r>
        <w:lastRenderedPageBreak/>
        <w:t xml:space="preserve">du, du wirst hinabsinken tiefer und tiefer"). Die Wiederholung </w:t>
      </w:r>
      <w:r>
        <w:rPr>
          <w:rStyle w:val="Fett"/>
          <w:rFonts w:eastAsiaTheme="majorEastAsia"/>
          <w:rtl/>
        </w:rPr>
        <w:t>מַטָּה מָּטָּה</w:t>
      </w:r>
      <w:r>
        <w:rPr>
          <w:rtl/>
        </w:rPr>
        <w:t xml:space="preserve"> </w:t>
      </w:r>
      <w:r>
        <w:t>(„tiefer und tiefer") betont den fortschreitenden Abstieg. Totale Umkehrung der Verhältnisse – Kontrast zu V. 13.</w:t>
      </w:r>
    </w:p>
    <w:p w14:paraId="522FB063" w14:textId="77777777" w:rsidR="005D0B3C" w:rsidRDefault="005D0B3C" w:rsidP="005D0B3C">
      <w:pPr>
        <w:pStyle w:val="whitespace-normal"/>
      </w:pPr>
      <w:r>
        <w:rPr>
          <w:rStyle w:val="Fett"/>
          <w:rFonts w:eastAsiaTheme="majorEastAsia"/>
        </w:rPr>
        <w:t>Die Satzstruktur:</w:t>
      </w:r>
      <w:r>
        <w:t xml:space="preserve"> Zwei parallele Aussagen (der Fremdling, der in deiner Mitte ist, wird emporsteigen über dich höher und höher, und du, du wirst hinabsinken tiefer und tiefer).</w:t>
      </w:r>
    </w:p>
    <w:p w14:paraId="1CFCEEDB" w14:textId="53F25C78" w:rsidR="005D0B3C" w:rsidRDefault="005D0B3C" w:rsidP="00564C2A">
      <w:pPr>
        <w:pStyle w:val="whitespace-normal"/>
      </w:pPr>
      <w:r>
        <w:rPr>
          <w:rStyle w:val="Fett"/>
          <w:rFonts w:eastAsiaTheme="majorEastAsia"/>
        </w:rPr>
        <w:t>Der Vers beschreibt:</w:t>
      </w:r>
      <w:r>
        <w:t xml:space="preserve"> Soziale Umkehrung – der Fremdling steigt auf, Israel sinkt ab (Gegenteil von V. 13).</w:t>
      </w:r>
    </w:p>
    <w:p w14:paraId="2E63FFAE" w14:textId="77777777" w:rsidR="005D0B3C" w:rsidRPr="008D48A3" w:rsidRDefault="005D0B3C" w:rsidP="008D48A3">
      <w:pPr>
        <w:pStyle w:val="Bibelberschrift"/>
      </w:pPr>
      <w:r w:rsidRPr="008D48A3">
        <w:rPr>
          <w:rStyle w:val="Fett"/>
          <w:b/>
          <w:bCs w:val="0"/>
        </w:rPr>
        <w:t>Deuteronomium 28,44</w:t>
      </w:r>
    </w:p>
    <w:p w14:paraId="4D5491EC" w14:textId="77777777" w:rsidR="005D0B3C" w:rsidRDefault="005D0B3C" w:rsidP="005D0B3C">
      <w:pPr>
        <w:pStyle w:val="whitespace-normal"/>
      </w:pPr>
      <w:r>
        <w:rPr>
          <w:rStyle w:val="Fett"/>
          <w:rFonts w:eastAsiaTheme="majorEastAsia"/>
        </w:rPr>
        <w:t>Hebräisch:</w:t>
      </w:r>
      <w:r>
        <w:t xml:space="preserve"> </w:t>
      </w:r>
      <w:r>
        <w:rPr>
          <w:rtl/>
        </w:rPr>
        <w:t>הוּא יַלְוְךָ וְאַתָּה לֹא תַלְוֶנּוּ הוּא יִהְיֶה לְרֹאשׁ וְאַתָּה תִּֽהְיֶה לְזָנָֽב׃</w:t>
      </w:r>
    </w:p>
    <w:p w14:paraId="406EF129" w14:textId="77777777" w:rsidR="005D0B3C" w:rsidRDefault="005D0B3C" w:rsidP="005D0B3C">
      <w:pPr>
        <w:pStyle w:val="whitespace-normal"/>
      </w:pPr>
      <w:r>
        <w:rPr>
          <w:rStyle w:val="Fett"/>
          <w:rFonts w:eastAsiaTheme="majorEastAsia"/>
        </w:rPr>
        <w:t>Deutsch:</w:t>
      </w:r>
      <w:r>
        <w:t xml:space="preserve"> Er wird dir leihen, du aber wirst ihm nicht leihen; er wird zum Haupt werden, du aber wirst zum Schwanz werden.</w:t>
      </w:r>
    </w:p>
    <w:p w14:paraId="7B269758" w14:textId="77777777" w:rsidR="005D0B3C" w:rsidRDefault="004F5CEB" w:rsidP="005D0B3C">
      <w:r>
        <w:rPr>
          <w:noProof/>
        </w:rPr>
        <w:pict w14:anchorId="6184247E">
          <v:rect id="_x0000_i1788" style="width:0;height:1.5pt" o:hralign="center" o:hrstd="t" o:hr="t" fillcolor="#a0a0a0" stroked="f"/>
        </w:pict>
      </w:r>
    </w:p>
    <w:p w14:paraId="128908ED" w14:textId="77777777" w:rsidR="005D0B3C" w:rsidRDefault="005D0B3C" w:rsidP="005D0B3C">
      <w:pPr>
        <w:pStyle w:val="whitespace-normal"/>
      </w:pPr>
      <w:r>
        <w:rPr>
          <w:rStyle w:val="Fett"/>
          <w:rFonts w:eastAsiaTheme="majorEastAsia"/>
        </w:rPr>
        <w:t>Kommentar:</w:t>
      </w:r>
      <w:r>
        <w:t xml:space="preserve"> </w:t>
      </w:r>
      <w:r>
        <w:rPr>
          <w:rStyle w:val="Fett"/>
          <w:rFonts w:eastAsiaTheme="majorEastAsia"/>
          <w:rtl/>
        </w:rPr>
        <w:t>הוּא יַלְוְךָ וְאַתָּה לֹא תַלְוֶנּוּ הוּא יִהְיֶה לְרֹאשׁ וְאַתָּה תִּהְיֶה לְזָנָב</w:t>
      </w:r>
      <w:r>
        <w:rPr>
          <w:rtl/>
        </w:rPr>
        <w:t xml:space="preserve"> </w:t>
      </w:r>
      <w:r>
        <w:t xml:space="preserve">sind zwei Gegensatzpaare: </w:t>
      </w:r>
      <w:r>
        <w:rPr>
          <w:rStyle w:val="Fett"/>
          <w:rFonts w:eastAsiaTheme="majorEastAsia"/>
          <w:rtl/>
        </w:rPr>
        <w:t>הוּא יַלְוְךָ וְאַתָּה לֹא תַלְוֶנּוּ</w:t>
      </w:r>
      <w:r>
        <w:rPr>
          <w:rtl/>
        </w:rPr>
        <w:t xml:space="preserve"> </w:t>
      </w:r>
      <w:r>
        <w:t>(</w:t>
      </w:r>
      <w:r>
        <w:rPr>
          <w:rStyle w:val="Fett"/>
          <w:rFonts w:eastAsiaTheme="majorEastAsia"/>
          <w:rtl/>
        </w:rPr>
        <w:t>הוּא</w:t>
      </w:r>
      <w:r>
        <w:t xml:space="preserve">, </w:t>
      </w:r>
      <w:r>
        <w:rPr>
          <w:rStyle w:val="Fett"/>
          <w:rFonts w:eastAsiaTheme="majorEastAsia"/>
          <w:rtl/>
        </w:rPr>
        <w:t>לוה</w:t>
      </w:r>
      <w:r>
        <w:t xml:space="preserve">, Hiphil Imperfekt, 3. Person Maskulinum Singular, „leihen" (als Gläubiger), mit Suffix 2. Person Maskulinum Singular, koordiniert durch </w:t>
      </w:r>
      <w:r>
        <w:rPr>
          <w:rStyle w:val="Fett"/>
          <w:rFonts w:eastAsiaTheme="majorEastAsia"/>
          <w:rtl/>
        </w:rPr>
        <w:t>וְ</w:t>
      </w:r>
      <w:r>
        <w:rPr>
          <w:rtl/>
        </w:rPr>
        <w:t xml:space="preserve"> </w:t>
      </w:r>
      <w:r>
        <w:t xml:space="preserve">mit </w:t>
      </w:r>
      <w:r>
        <w:rPr>
          <w:rStyle w:val="Fett"/>
          <w:rFonts w:eastAsiaTheme="majorEastAsia"/>
          <w:rtl/>
        </w:rPr>
        <w:t>אַתָּה</w:t>
      </w:r>
      <w:r>
        <w:t xml:space="preserve">, Negation, </w:t>
      </w:r>
      <w:r>
        <w:rPr>
          <w:rStyle w:val="Fett"/>
          <w:rFonts w:eastAsiaTheme="majorEastAsia"/>
          <w:rtl/>
        </w:rPr>
        <w:t>לוה</w:t>
      </w:r>
      <w:r>
        <w:t xml:space="preserve">, Qal Imperfekt, 2. Person Maskulinum Singular, „entleihen, borgen" (als Schuldner), mit Suffix 3. Person Maskulinum Singular), </w:t>
      </w:r>
      <w:r>
        <w:rPr>
          <w:rStyle w:val="Fett"/>
          <w:rFonts w:eastAsiaTheme="majorEastAsia"/>
          <w:rtl/>
        </w:rPr>
        <w:t>הוּא יִהְיֶה לְרֹאשׁ וְאַתָּה תִּהְיֶה לְזָנָב</w:t>
      </w:r>
      <w:r>
        <w:rPr>
          <w:rtl/>
        </w:rPr>
        <w:t xml:space="preserve"> </w:t>
      </w:r>
      <w:r>
        <w:t>(</w:t>
      </w:r>
      <w:r>
        <w:rPr>
          <w:rStyle w:val="Fett"/>
          <w:rFonts w:eastAsiaTheme="majorEastAsia"/>
          <w:rtl/>
        </w:rPr>
        <w:t>הוּא</w:t>
      </w:r>
      <w:r>
        <w:t xml:space="preserve">, </w:t>
      </w:r>
      <w:r>
        <w:rPr>
          <w:rStyle w:val="Fett"/>
          <w:rFonts w:eastAsiaTheme="majorEastAsia"/>
          <w:rtl/>
        </w:rPr>
        <w:t>היה</w:t>
      </w:r>
      <w:r>
        <w:t xml:space="preserve">, Qal Imperfekt, 3. Person Maskulinum Singular, Präposition </w:t>
      </w:r>
      <w:r>
        <w:rPr>
          <w:rStyle w:val="Fett"/>
          <w:rFonts w:eastAsiaTheme="majorEastAsia"/>
          <w:rtl/>
        </w:rPr>
        <w:t>לְ</w:t>
      </w:r>
      <w:r>
        <w:rPr>
          <w:rtl/>
        </w:rPr>
        <w:t xml:space="preserve"> </w:t>
      </w:r>
      <w:r>
        <w:t xml:space="preserve">mit </w:t>
      </w:r>
      <w:r>
        <w:rPr>
          <w:rStyle w:val="Fett"/>
          <w:rFonts w:eastAsiaTheme="majorEastAsia"/>
          <w:rtl/>
        </w:rPr>
        <w:t>רֹאשׁ</w:t>
      </w:r>
      <w:r>
        <w:t xml:space="preserve">, koordiniert durch </w:t>
      </w:r>
      <w:r>
        <w:rPr>
          <w:rStyle w:val="Fett"/>
          <w:rFonts w:eastAsiaTheme="majorEastAsia"/>
          <w:rtl/>
        </w:rPr>
        <w:t>וְ</w:t>
      </w:r>
      <w:r>
        <w:rPr>
          <w:rtl/>
        </w:rPr>
        <w:t xml:space="preserve"> </w:t>
      </w:r>
      <w:r>
        <w:t xml:space="preserve">mit </w:t>
      </w:r>
      <w:r>
        <w:rPr>
          <w:rStyle w:val="Fett"/>
          <w:rFonts w:eastAsiaTheme="majorEastAsia"/>
          <w:rtl/>
        </w:rPr>
        <w:t>אַתָּה</w:t>
      </w:r>
      <w:r>
        <w:t xml:space="preserve">, </w:t>
      </w:r>
      <w:r>
        <w:rPr>
          <w:rStyle w:val="Fett"/>
          <w:rFonts w:eastAsiaTheme="majorEastAsia"/>
          <w:rtl/>
        </w:rPr>
        <w:t>היה</w:t>
      </w:r>
      <w:r>
        <w:t xml:space="preserve">, Qal Imperfekt, 2. Person Maskulinum Singular, Präposition </w:t>
      </w:r>
      <w:r>
        <w:rPr>
          <w:rStyle w:val="Fett"/>
          <w:rFonts w:eastAsiaTheme="majorEastAsia"/>
          <w:rtl/>
        </w:rPr>
        <w:t>לְ</w:t>
      </w:r>
      <w:r>
        <w:rPr>
          <w:rtl/>
        </w:rPr>
        <w:t xml:space="preserve"> </w:t>
      </w:r>
      <w:r>
        <w:t xml:space="preserve">mit </w:t>
      </w:r>
      <w:r>
        <w:rPr>
          <w:rStyle w:val="Fett"/>
          <w:rFonts w:eastAsiaTheme="majorEastAsia"/>
          <w:rtl/>
        </w:rPr>
        <w:t>זָנָב</w:t>
      </w:r>
      <w:r>
        <w:t>).</w:t>
      </w:r>
    </w:p>
    <w:p w14:paraId="2E282C9D" w14:textId="77777777" w:rsidR="005D0B3C" w:rsidRDefault="005D0B3C" w:rsidP="005D0B3C">
      <w:pPr>
        <w:pStyle w:val="whitespace-normal"/>
      </w:pPr>
      <w:r>
        <w:t xml:space="preserve">Der Vers setzt die soziale Umkehrung fort – exakte Umkehrung von V. 12-13. Das erste Gegensatzpaar: </w:t>
      </w:r>
      <w:r>
        <w:rPr>
          <w:rStyle w:val="Fett"/>
          <w:rFonts w:eastAsiaTheme="majorEastAsia"/>
          <w:rtl/>
        </w:rPr>
        <w:t>הוּא יַלְוְךָ וְאַתָּה לֹא תַלְוֶנּוּ</w:t>
      </w:r>
      <w:r>
        <w:rPr>
          <w:rtl/>
        </w:rPr>
        <w:t xml:space="preserve"> </w:t>
      </w:r>
      <w:r>
        <w:t xml:space="preserve">(„er wird dir leihen, du aber wirst ihm nicht leihen"). Umkehrung von V. 12 – Israel wird zum Schuldner statt Gläubiger. Das zweite Gegensatzpaar: </w:t>
      </w:r>
      <w:r>
        <w:rPr>
          <w:rStyle w:val="Fett"/>
          <w:rFonts w:eastAsiaTheme="majorEastAsia"/>
          <w:rtl/>
        </w:rPr>
        <w:t>הוּא יִהְיֶה לְרֹאשׁ וְאַתָּה תִּהְיֶה לְזָנָב</w:t>
      </w:r>
      <w:r>
        <w:rPr>
          <w:rtl/>
        </w:rPr>
        <w:t xml:space="preserve"> </w:t>
      </w:r>
      <w:r>
        <w:t>(„er wird sein zum Haupt, du aber wirst sein zum Schwanz"). Umkehrung von V. 13 – der Fremdling wird zum Haupt, Israel zum Schwanz.</w:t>
      </w:r>
    </w:p>
    <w:p w14:paraId="56444592" w14:textId="77777777" w:rsidR="005D0B3C" w:rsidRDefault="005D0B3C" w:rsidP="005D0B3C">
      <w:pPr>
        <w:pStyle w:val="whitespace-normal"/>
      </w:pPr>
      <w:r>
        <w:rPr>
          <w:rStyle w:val="Fett"/>
          <w:rFonts w:eastAsiaTheme="majorEastAsia"/>
        </w:rPr>
        <w:t>Die Satzstruktur:</w:t>
      </w:r>
      <w:r>
        <w:t xml:space="preserve"> Zwei Gegensatzpaare (er wird dir leihen, du aber wirst ihm nicht leihen; er wird sein zum Haupt, du aber wirst sein zum Schwanz).</w:t>
      </w:r>
    </w:p>
    <w:p w14:paraId="3DA834C1" w14:textId="0381385F" w:rsidR="005D0B3C" w:rsidRDefault="005D0B3C" w:rsidP="00564C2A">
      <w:pPr>
        <w:pStyle w:val="whitespace-normal"/>
      </w:pPr>
      <w:r>
        <w:rPr>
          <w:rStyle w:val="Fett"/>
          <w:rFonts w:eastAsiaTheme="majorEastAsia"/>
        </w:rPr>
        <w:t>Der Vers beschreibt:</w:t>
      </w:r>
      <w:r>
        <w:t xml:space="preserve"> Fortsetzung der sozialen Umkehrung – Umkehrung von V. 12-13.</w:t>
      </w:r>
    </w:p>
    <w:p w14:paraId="78FC9CE9" w14:textId="77777777" w:rsidR="005D0B3C" w:rsidRPr="008D48A3" w:rsidRDefault="005D0B3C" w:rsidP="008D48A3">
      <w:pPr>
        <w:pStyle w:val="Bibelberschrift"/>
      </w:pPr>
      <w:r w:rsidRPr="008D48A3">
        <w:rPr>
          <w:rStyle w:val="Fett"/>
          <w:b/>
          <w:bCs w:val="0"/>
        </w:rPr>
        <w:t>Deuteronomium 28,45</w:t>
      </w:r>
    </w:p>
    <w:p w14:paraId="0E1C9DD2" w14:textId="77777777" w:rsidR="005D0B3C" w:rsidRDefault="005D0B3C" w:rsidP="005D0B3C">
      <w:pPr>
        <w:pStyle w:val="whitespace-normal"/>
      </w:pPr>
      <w:r>
        <w:rPr>
          <w:rStyle w:val="Fett"/>
          <w:rFonts w:eastAsiaTheme="majorEastAsia"/>
        </w:rPr>
        <w:t>Hebräisch:</w:t>
      </w:r>
      <w:r>
        <w:t xml:space="preserve"> </w:t>
      </w:r>
      <w:r>
        <w:rPr>
          <w:rtl/>
        </w:rPr>
        <w:t>וּבָאוּ עָלֶיךָ כָּל־הַקְּלָלוֹת הָאֵלֶּה וּרְדָפוּךָ וְהִשִּׂיגוּךָ עַד הִשָּֽׁמְדָךְ כִּי־לֹא שָׁמַעְתָּ בְּקוֹל יְהוָה אֱלֹהֶיךָ לִשְׁמֹר מִצְוֹתָיו וְחֻקֹּתָיו אֲשֶׁר צִוָּֽךְ׃</w:t>
      </w:r>
    </w:p>
    <w:p w14:paraId="7ADF2879" w14:textId="70C607C7" w:rsidR="005D0B3C" w:rsidRDefault="005D0B3C" w:rsidP="005D0B3C">
      <w:pPr>
        <w:pStyle w:val="whitespace-normal"/>
      </w:pPr>
      <w:r>
        <w:rPr>
          <w:rStyle w:val="Fett"/>
          <w:rFonts w:eastAsiaTheme="majorEastAsia"/>
        </w:rPr>
        <w:t>Deutsch:</w:t>
      </w:r>
      <w:r>
        <w:t xml:space="preserve"> Und alle diese Flüche werden über dich kommen und dich verfolgen und dich erreichen, bis du vertilgt bist; weil du der Stimme des </w:t>
      </w:r>
      <w:r w:rsidR="00C50326">
        <w:t>Ewigen</w:t>
      </w:r>
      <w:r>
        <w:t>, deines Gottes, nicht gehorcht hast, seine Gebote und seine Satzungen zu bewahren, die er dir geboten hat.</w:t>
      </w:r>
    </w:p>
    <w:p w14:paraId="5E20AA15" w14:textId="77777777" w:rsidR="005D0B3C" w:rsidRDefault="004F5CEB" w:rsidP="005D0B3C">
      <w:r>
        <w:rPr>
          <w:noProof/>
        </w:rPr>
        <w:lastRenderedPageBreak/>
        <w:pict w14:anchorId="2870B84F">
          <v:rect id="_x0000_i1789" style="width:0;height:1.5pt" o:hralign="center" o:hrstd="t" o:hr="t" fillcolor="#a0a0a0" stroked="f"/>
        </w:pict>
      </w:r>
    </w:p>
    <w:p w14:paraId="2629D8D9" w14:textId="77777777" w:rsidR="005D0B3C" w:rsidRDefault="005D0B3C" w:rsidP="005D0B3C">
      <w:pPr>
        <w:pStyle w:val="whitespace-normal"/>
      </w:pPr>
      <w:r>
        <w:rPr>
          <w:rStyle w:val="Fett"/>
          <w:rFonts w:eastAsiaTheme="majorEastAsia"/>
        </w:rPr>
        <w:t>Kommentar:</w:t>
      </w:r>
      <w:r>
        <w:t xml:space="preserve"> </w:t>
      </w:r>
      <w:r>
        <w:rPr>
          <w:rStyle w:val="Fett"/>
          <w:rFonts w:eastAsiaTheme="majorEastAsia"/>
          <w:rtl/>
        </w:rPr>
        <w:t>וּבָאוּ עָלֶיךָ כָּל־הַקְּלָלוֹת הָאֵלֶּה וּרְדָפוּךָ וְהִשִּׂיגוּךָ עַד הִשָּׁמְדָךְ כִּי־לֹא שָׁמַעְתָּ בְּקוֹל יְהוָה אֱלֹהֶיךָ לִשְׁמֹר מִצְוֹתָיו וְחֻקֹּתָיו אֲשֶׁר צִוָּךְ</w:t>
      </w:r>
      <w:r>
        <w:rPr>
          <w:rtl/>
        </w:rPr>
        <w:t xml:space="preserve"> </w:t>
      </w:r>
      <w:r>
        <w:t xml:space="preserve">sind drei Aussagen mit Begründung: </w:t>
      </w:r>
      <w:r>
        <w:rPr>
          <w:rStyle w:val="Fett"/>
          <w:rFonts w:eastAsiaTheme="majorEastAsia"/>
          <w:rtl/>
        </w:rPr>
        <w:t>וּבָאוּ עָלֶיךָ כָּל־הַקְּלָלוֹת הָאֵלֶּה</w:t>
      </w:r>
      <w:r>
        <w:rPr>
          <w:rtl/>
        </w:rPr>
        <w:t xml:space="preserve"> </w:t>
      </w:r>
      <w:r>
        <w:t xml:space="preserve">(wie V. 15, mit </w:t>
      </w:r>
      <w:r>
        <w:rPr>
          <w:rStyle w:val="Fett"/>
          <w:rFonts w:eastAsiaTheme="majorEastAsia"/>
        </w:rPr>
        <w:t>Waw</w:t>
      </w:r>
      <w:r>
        <w:t xml:space="preserve"> consecutives Perfekt), </w:t>
      </w:r>
      <w:r>
        <w:rPr>
          <w:rStyle w:val="Fett"/>
          <w:rFonts w:eastAsiaTheme="majorEastAsia"/>
          <w:rtl/>
        </w:rPr>
        <w:t>וּרְדָפוּךָ וְהִשִּׂיגוּךָ עַד הִשָּׁמְדָךְ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רדף</w:t>
      </w:r>
      <w:r>
        <w:t xml:space="preserve">, Qal Perfekt, 3. Person Plural, „verfolgen", mit Suffix, koordiniert durch </w:t>
      </w:r>
      <w:r>
        <w:rPr>
          <w:rStyle w:val="Fett"/>
          <w:rFonts w:eastAsiaTheme="majorEastAsia"/>
          <w:rtl/>
        </w:rPr>
        <w:t>וְ</w:t>
      </w:r>
      <w:r>
        <w:rPr>
          <w:rtl/>
        </w:rPr>
        <w:t xml:space="preserve"> </w:t>
      </w:r>
      <w:r>
        <w:t xml:space="preserve">mit </w:t>
      </w:r>
      <w:r>
        <w:rPr>
          <w:rStyle w:val="Fett"/>
          <w:rFonts w:eastAsiaTheme="majorEastAsia"/>
          <w:rtl/>
        </w:rPr>
        <w:t>נשׂג</w:t>
      </w:r>
      <w:r>
        <w:t xml:space="preserve">, Hiphil Perfekt, 3. Person Plural, mit Suffix, Präposition </w:t>
      </w:r>
      <w:r>
        <w:rPr>
          <w:rStyle w:val="Fett"/>
          <w:rFonts w:eastAsiaTheme="majorEastAsia"/>
          <w:rtl/>
        </w:rPr>
        <w:t>עַד</w:t>
      </w:r>
      <w:r>
        <w:rPr>
          <w:rtl/>
        </w:rPr>
        <w:t xml:space="preserve"> </w:t>
      </w:r>
      <w:r>
        <w:t xml:space="preserve">mit Niphal Infinitiv Construct von </w:t>
      </w:r>
      <w:r>
        <w:rPr>
          <w:rStyle w:val="Fett"/>
          <w:rFonts w:eastAsiaTheme="majorEastAsia"/>
          <w:rtl/>
        </w:rPr>
        <w:t>שׁמד</w:t>
      </w:r>
      <w:r>
        <w:t xml:space="preserve">, mit Suffix, mit </w:t>
      </w:r>
      <w:r>
        <w:rPr>
          <w:rStyle w:val="Fett"/>
          <w:rFonts w:eastAsiaTheme="majorEastAsia"/>
        </w:rPr>
        <w:t>Waw</w:t>
      </w:r>
      <w:r>
        <w:t xml:space="preserve"> consecutives Perfekt), </w:t>
      </w:r>
      <w:r>
        <w:rPr>
          <w:rStyle w:val="Fett"/>
          <w:rFonts w:eastAsiaTheme="majorEastAsia"/>
          <w:rtl/>
        </w:rPr>
        <w:t>כִּי־לֹא שָׁמַעְתָּ בְּקוֹל יְהוָה אֱלֹהֶיךָ לִשְׁמֹר מִצְוֹתָיו וְחֻקֹּתָיו אֲשֶׁר צִוָּךְ</w:t>
      </w:r>
      <w:r>
        <w:rPr>
          <w:rtl/>
        </w:rPr>
        <w:t xml:space="preserve"> </w:t>
      </w:r>
      <w:r>
        <w:t>(Kausalsatz wie V. 15).</w:t>
      </w:r>
    </w:p>
    <w:p w14:paraId="2E70C1EB" w14:textId="454FE0D4" w:rsidR="005D0B3C" w:rsidRDefault="005D0B3C" w:rsidP="005D0B3C">
      <w:pPr>
        <w:pStyle w:val="whitespace-normal"/>
      </w:pPr>
      <w:r>
        <w:t xml:space="preserve">Der Vers ist eine zusammenfassende Wiederholung, die einen größeren Abschnitt abschließt (V. 15-44). Die drei Aussagen: </w:t>
      </w:r>
      <w:r>
        <w:rPr>
          <w:rStyle w:val="Fett"/>
          <w:rFonts w:eastAsiaTheme="majorEastAsia"/>
          <w:rtl/>
        </w:rPr>
        <w:t>וּבָאוּ עָלֶיךָ כָּל־הַקְּלָלוֹת הָאֵלֶּה וּרְדָפוּךָ וְהִשִּׂיגוּךָ עַד הִשָּׁמְדָךְ</w:t>
      </w:r>
      <w:r>
        <w:rPr>
          <w:rtl/>
        </w:rPr>
        <w:t xml:space="preserve"> </w:t>
      </w:r>
      <w:r>
        <w:t xml:space="preserve">(„und kommen werden über dich alle diese Flüche und verfolgen werden sie dich und erreichen werden sie dich, bis du vertilgt bist"). Die Flüche sind aktive Verfolger – sie lassen nicht los. Die Formulierung </w:t>
      </w:r>
      <w:r>
        <w:rPr>
          <w:rStyle w:val="Fett"/>
          <w:rFonts w:eastAsiaTheme="majorEastAsia"/>
          <w:rtl/>
        </w:rPr>
        <w:t>עַד הִשָּׁמְדָךְ</w:t>
      </w:r>
      <w:r>
        <w:rPr>
          <w:rtl/>
        </w:rPr>
        <w:t xml:space="preserve"> </w:t>
      </w:r>
      <w:r>
        <w:t xml:space="preserve">(„bis du vertilgt bist") betont die Endgültigkeit. Die Begründung: </w:t>
      </w:r>
      <w:r>
        <w:rPr>
          <w:rStyle w:val="Fett"/>
          <w:rFonts w:eastAsiaTheme="majorEastAsia"/>
          <w:rtl/>
        </w:rPr>
        <w:t>כִּי־לֹא שָׁמַעְתָּ בְּקוֹל יְהוָה אֱלֹהֶיךָ לִשְׁמֹר מִצְוֹתָיו וְחֻקֹּתָיו אֲשֶׁר צִוָּךְ</w:t>
      </w:r>
      <w:r>
        <w:rPr>
          <w:rtl/>
        </w:rPr>
        <w:t xml:space="preserve"> </w:t>
      </w:r>
      <w:r>
        <w:t xml:space="preserve">(„weil du nicht gehorcht hast der Stimme </w:t>
      </w:r>
      <w:r w:rsidR="00DF3D1A">
        <w:t>JHWHs</w:t>
      </w:r>
      <w:r>
        <w:t>, deines Gottes, um zu bewahren seine Gebote und seine Satzungen, die er dir geboten hat"). Wiederholung der Begründung aus V. 15 – Ungehorsam.</w:t>
      </w:r>
    </w:p>
    <w:p w14:paraId="36CC19FB" w14:textId="5FF0490C" w:rsidR="005D0B3C" w:rsidRDefault="005D0B3C" w:rsidP="005D0B3C">
      <w:pPr>
        <w:pStyle w:val="whitespace-normal"/>
      </w:pPr>
      <w:r>
        <w:rPr>
          <w:rStyle w:val="Fett"/>
          <w:rFonts w:eastAsiaTheme="majorEastAsia"/>
        </w:rPr>
        <w:t>Die Satzstruktur:</w:t>
      </w:r>
      <w:r>
        <w:t xml:space="preserve"> Drei Aussagen mit Begründung (und kommen werden über dich alle diese Flüche und verfolgen werden sie dich und erreichen werden sie dich, bis du vertilgt bist; weil du nicht gehorcht hast der Stimme </w:t>
      </w:r>
      <w:r w:rsidR="00DF3D1A">
        <w:t>JHWHs</w:t>
      </w:r>
      <w:r>
        <w:t>, deines Gottes, um zu bewahren seine Gebote und seine Satzungen, die er dir geboten hat).</w:t>
      </w:r>
    </w:p>
    <w:p w14:paraId="544904CB" w14:textId="28BD271A" w:rsidR="005D0B3C" w:rsidRDefault="005D0B3C" w:rsidP="00564C2A">
      <w:pPr>
        <w:pStyle w:val="whitespace-normal"/>
      </w:pPr>
      <w:r>
        <w:rPr>
          <w:rStyle w:val="Fett"/>
          <w:rFonts w:eastAsiaTheme="majorEastAsia"/>
        </w:rPr>
        <w:t>Der Vers beschreibt:</w:t>
      </w:r>
      <w:r>
        <w:t xml:space="preserve"> Zusammenfassende Wiederholung – die Flüche verfolgen bis zur Vernichtung wegen Ungehorsam.</w:t>
      </w:r>
    </w:p>
    <w:p w14:paraId="1049BBE9" w14:textId="77777777" w:rsidR="005D0B3C" w:rsidRPr="008D48A3" w:rsidRDefault="005D0B3C" w:rsidP="008D48A3">
      <w:pPr>
        <w:pStyle w:val="Bibelberschrift"/>
      </w:pPr>
      <w:r w:rsidRPr="008D48A3">
        <w:rPr>
          <w:rStyle w:val="Fett"/>
          <w:b/>
          <w:bCs w:val="0"/>
        </w:rPr>
        <w:t>Deuteronomium 28,46</w:t>
      </w:r>
    </w:p>
    <w:p w14:paraId="77BA9D27" w14:textId="77777777" w:rsidR="005D0B3C" w:rsidRDefault="005D0B3C" w:rsidP="005D0B3C">
      <w:pPr>
        <w:pStyle w:val="whitespace-normal"/>
      </w:pPr>
      <w:r>
        <w:rPr>
          <w:rStyle w:val="Fett"/>
          <w:rFonts w:eastAsiaTheme="majorEastAsia"/>
        </w:rPr>
        <w:t>Hebräisch:</w:t>
      </w:r>
      <w:r>
        <w:t xml:space="preserve"> </w:t>
      </w:r>
      <w:r>
        <w:rPr>
          <w:rtl/>
        </w:rPr>
        <w:t>וְהָיוּ בְךָ לְאוֹת וּלְמוֹפֵת וּֽבְזַרְעֲךָ עַד־עוֹלָֽם׃</w:t>
      </w:r>
    </w:p>
    <w:p w14:paraId="4D2BD442" w14:textId="77777777" w:rsidR="005D0B3C" w:rsidRDefault="005D0B3C" w:rsidP="005D0B3C">
      <w:pPr>
        <w:pStyle w:val="whitespace-normal"/>
      </w:pPr>
      <w:r>
        <w:rPr>
          <w:rStyle w:val="Fett"/>
          <w:rFonts w:eastAsiaTheme="majorEastAsia"/>
        </w:rPr>
        <w:t>Deutsch:</w:t>
      </w:r>
      <w:r>
        <w:t xml:space="preserve"> Und sie werden sein an dir zum Zeichen und zum Wunder, und an deinen Nachkommen bis in Ewigkeit.</w:t>
      </w:r>
    </w:p>
    <w:p w14:paraId="257AC1D1" w14:textId="77777777" w:rsidR="005D0B3C" w:rsidRDefault="004F5CEB" w:rsidP="005D0B3C">
      <w:r>
        <w:rPr>
          <w:noProof/>
        </w:rPr>
        <w:pict w14:anchorId="5CD9F014">
          <v:rect id="_x0000_i1790" style="width:0;height:1.5pt" o:hralign="center" o:hrstd="t" o:hr="t" fillcolor="#a0a0a0" stroked="f"/>
        </w:pict>
      </w:r>
    </w:p>
    <w:p w14:paraId="716A4098" w14:textId="77777777" w:rsidR="005D0B3C" w:rsidRDefault="005D0B3C" w:rsidP="005D0B3C">
      <w:pPr>
        <w:pStyle w:val="whitespace-normal"/>
      </w:pPr>
      <w:r>
        <w:rPr>
          <w:rStyle w:val="Fett"/>
          <w:rFonts w:eastAsiaTheme="majorEastAsia"/>
        </w:rPr>
        <w:t>Kommentar:</w:t>
      </w:r>
      <w:r>
        <w:t xml:space="preserve"> </w:t>
      </w:r>
      <w:r>
        <w:rPr>
          <w:rStyle w:val="Fett"/>
          <w:rFonts w:eastAsiaTheme="majorEastAsia"/>
          <w:rtl/>
        </w:rPr>
        <w:t>וְהָיוּ בְךָ לְאוֹת וּלְמוֹפֵת וּבְזַרְעֲךָ עַד־עוֹלָם</w:t>
      </w:r>
      <w:r>
        <w:rPr>
          <w:rtl/>
        </w:rPr>
        <w:t xml:space="preserve"> </w:t>
      </w:r>
      <w:r>
        <w:t xml:space="preserve">ist eine Aussage: </w:t>
      </w:r>
      <w:r>
        <w:rPr>
          <w:rStyle w:val="Fett"/>
          <w:rFonts w:eastAsiaTheme="majorEastAsia"/>
          <w:rtl/>
        </w:rPr>
        <w:t>וְהָיוּ בְךָ לְאוֹת וּלְמוֹפֵת וּבְזַרְעֲךָ עַד־עוֹלָם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3. Person Plural (die Flüche als Subjekt), Präposition </w:t>
      </w:r>
      <w:r>
        <w:rPr>
          <w:rStyle w:val="Fett"/>
          <w:rFonts w:eastAsiaTheme="majorEastAsia"/>
          <w:rtl/>
        </w:rPr>
        <w:t>בְּ</w:t>
      </w:r>
      <w:r>
        <w:rPr>
          <w:rtl/>
        </w:rPr>
        <w:t xml:space="preserve"> </w:t>
      </w:r>
      <w:r>
        <w:t xml:space="preserve">mit Suffix 2. Person Maskulinum Singular, Präposition </w:t>
      </w:r>
      <w:r>
        <w:rPr>
          <w:rStyle w:val="Fett"/>
          <w:rFonts w:eastAsiaTheme="majorEastAsia"/>
          <w:rtl/>
        </w:rPr>
        <w:t>לְ</w:t>
      </w:r>
      <w:r>
        <w:rPr>
          <w:rtl/>
        </w:rPr>
        <w:t xml:space="preserve"> </w:t>
      </w:r>
      <w:r>
        <w:t xml:space="preserve">mit </w:t>
      </w:r>
      <w:r>
        <w:rPr>
          <w:rStyle w:val="Fett"/>
          <w:rFonts w:eastAsiaTheme="majorEastAsia"/>
          <w:rtl/>
        </w:rPr>
        <w:t>אוֹת</w:t>
      </w:r>
      <w:r>
        <w:t xml:space="preserve">, „Zeichen", koordiniert durch </w:t>
      </w:r>
      <w:r>
        <w:rPr>
          <w:rStyle w:val="Fett"/>
          <w:rFonts w:eastAsiaTheme="majorEastAsia"/>
          <w:rtl/>
        </w:rPr>
        <w:t>וּ</w:t>
      </w:r>
      <w:r>
        <w:rPr>
          <w:rtl/>
        </w:rPr>
        <w:t xml:space="preserve"> </w:t>
      </w:r>
      <w:r>
        <w:t xml:space="preserve">mit Präposition </w:t>
      </w:r>
      <w:r>
        <w:rPr>
          <w:rStyle w:val="Fett"/>
          <w:rFonts w:eastAsiaTheme="majorEastAsia"/>
          <w:rtl/>
        </w:rPr>
        <w:t>לְ</w:t>
      </w:r>
      <w:r>
        <w:t xml:space="preserve">, </w:t>
      </w:r>
      <w:r>
        <w:rPr>
          <w:rStyle w:val="Fett"/>
          <w:rFonts w:eastAsiaTheme="majorEastAsia"/>
          <w:rtl/>
        </w:rPr>
        <w:t>מוֹפֵת</w:t>
      </w:r>
      <w:r>
        <w:t xml:space="preserve">, „Wunder, Zeichen", koordiniert durch </w:t>
      </w:r>
      <w:r>
        <w:rPr>
          <w:rStyle w:val="Fett"/>
          <w:rFonts w:eastAsiaTheme="majorEastAsia"/>
          <w:rtl/>
        </w:rPr>
        <w:t>וּ</w:t>
      </w:r>
      <w:r>
        <w:rPr>
          <w:rtl/>
        </w:rPr>
        <w:t xml:space="preserve"> </w:t>
      </w:r>
      <w:r>
        <w:t xml:space="preserve">mit Präposition </w:t>
      </w:r>
      <w:r>
        <w:rPr>
          <w:rStyle w:val="Fett"/>
          <w:rFonts w:eastAsiaTheme="majorEastAsia"/>
          <w:rtl/>
        </w:rPr>
        <w:t>בְּ</w:t>
      </w:r>
      <w:r>
        <w:t xml:space="preserve">, </w:t>
      </w:r>
      <w:r>
        <w:rPr>
          <w:rStyle w:val="Fett"/>
          <w:rFonts w:eastAsiaTheme="majorEastAsia"/>
          <w:rtl/>
        </w:rPr>
        <w:t>זֶרַע</w:t>
      </w:r>
      <w:r>
        <w:t xml:space="preserve">, „Nachkommenschaft", mit Suffix, Präposition </w:t>
      </w:r>
      <w:r>
        <w:rPr>
          <w:rStyle w:val="Fett"/>
          <w:rFonts w:eastAsiaTheme="majorEastAsia"/>
          <w:rtl/>
        </w:rPr>
        <w:t>עַד</w:t>
      </w:r>
      <w:r>
        <w:rPr>
          <w:rtl/>
        </w:rPr>
        <w:t xml:space="preserve"> </w:t>
      </w:r>
      <w:r>
        <w:t xml:space="preserve">mit </w:t>
      </w:r>
      <w:r>
        <w:rPr>
          <w:rStyle w:val="Fett"/>
          <w:rFonts w:eastAsiaTheme="majorEastAsia"/>
          <w:rtl/>
        </w:rPr>
        <w:t>עוֹלָם</w:t>
      </w:r>
      <w:r>
        <w:t xml:space="preserve">, mit </w:t>
      </w:r>
      <w:r>
        <w:rPr>
          <w:rStyle w:val="Fett"/>
          <w:rFonts w:eastAsiaTheme="majorEastAsia"/>
        </w:rPr>
        <w:t>Waw</w:t>
      </w:r>
      <w:r>
        <w:t xml:space="preserve"> consecutives Perfekt).</w:t>
      </w:r>
    </w:p>
    <w:p w14:paraId="143D06F9" w14:textId="77777777" w:rsidR="005D0B3C" w:rsidRDefault="005D0B3C" w:rsidP="005D0B3C">
      <w:pPr>
        <w:pStyle w:val="whitespace-normal"/>
      </w:pPr>
      <w:r>
        <w:t xml:space="preserve">Der Vers beschreibt die dauerhafte Bedeutung der Flüche. Die Aussage: </w:t>
      </w:r>
      <w:r>
        <w:rPr>
          <w:rStyle w:val="Fett"/>
          <w:rFonts w:eastAsiaTheme="majorEastAsia"/>
          <w:rtl/>
        </w:rPr>
        <w:t>וְהָיוּ בְךָ לְאוֹת וּלְמוֹפֵת וּבְזַרְעֲךָ עַד־עוֹלָם</w:t>
      </w:r>
      <w:r>
        <w:rPr>
          <w:rtl/>
        </w:rPr>
        <w:t xml:space="preserve"> </w:t>
      </w:r>
      <w:r>
        <w:t xml:space="preserve">(„und sein werden sie an dir zum Zeichen und zum Wunder, und an deinen Nachkommen bis in Ewigkeit"). Die beiden Begriffe </w:t>
      </w:r>
      <w:r>
        <w:rPr>
          <w:rStyle w:val="Fett"/>
          <w:rFonts w:eastAsiaTheme="majorEastAsia"/>
          <w:rtl/>
        </w:rPr>
        <w:t>אוֹת</w:t>
      </w:r>
      <w:r>
        <w:rPr>
          <w:rtl/>
        </w:rPr>
        <w:t xml:space="preserve"> </w:t>
      </w:r>
      <w:r>
        <w:t xml:space="preserve">(„Zeichen") und </w:t>
      </w:r>
      <w:r>
        <w:rPr>
          <w:rStyle w:val="Fett"/>
          <w:rFonts w:eastAsiaTheme="majorEastAsia"/>
          <w:rtl/>
        </w:rPr>
        <w:t>מוֹפֵת</w:t>
      </w:r>
      <w:r>
        <w:rPr>
          <w:rtl/>
        </w:rPr>
        <w:t xml:space="preserve"> </w:t>
      </w:r>
      <w:r>
        <w:t xml:space="preserve">(„Wunder") zusammen bezeichnen außergewöhnliche, gottgewirkte Ereignisse (vgl. 4,34; 6,22; 7,19; 26,8; </w:t>
      </w:r>
      <w:r>
        <w:lastRenderedPageBreak/>
        <w:t xml:space="preserve">29,2; 34,11). Die Flüche werden zu sichtbaren Zeichen von JHWHs Gericht – ein warnendes Beispiel für alle Generationen. Die Formulierung </w:t>
      </w:r>
      <w:r>
        <w:rPr>
          <w:rStyle w:val="Fett"/>
          <w:rFonts w:eastAsiaTheme="majorEastAsia"/>
          <w:rtl/>
        </w:rPr>
        <w:t>עַד־עוֹלָם</w:t>
      </w:r>
      <w:r>
        <w:rPr>
          <w:rtl/>
        </w:rPr>
        <w:t xml:space="preserve"> </w:t>
      </w:r>
      <w:r>
        <w:t>(„bis in Ewigkeit") betont: dauerhafte Wirkung.</w:t>
      </w:r>
    </w:p>
    <w:p w14:paraId="04414CC3" w14:textId="77777777" w:rsidR="005D0B3C" w:rsidRDefault="005D0B3C" w:rsidP="005D0B3C">
      <w:pPr>
        <w:pStyle w:val="whitespace-normal"/>
      </w:pPr>
      <w:r>
        <w:rPr>
          <w:rStyle w:val="Fett"/>
          <w:rFonts w:eastAsiaTheme="majorEastAsia"/>
        </w:rPr>
        <w:t>Die Satzstruktur:</w:t>
      </w:r>
      <w:r>
        <w:t xml:space="preserve"> Aussage (und sein werden sie an dir zum Zeichen und zum Wunder, und an deinen Nachkommen bis in Ewigkeit).</w:t>
      </w:r>
    </w:p>
    <w:p w14:paraId="71AB4962" w14:textId="24634BE5" w:rsidR="005D0B3C" w:rsidRDefault="005D0B3C" w:rsidP="00564C2A">
      <w:pPr>
        <w:pStyle w:val="whitespace-normal"/>
      </w:pPr>
      <w:r>
        <w:rPr>
          <w:rStyle w:val="Fett"/>
          <w:rFonts w:eastAsiaTheme="majorEastAsia"/>
        </w:rPr>
        <w:t>Der Vers beschreibt:</w:t>
      </w:r>
      <w:r>
        <w:t xml:space="preserve"> Dauerhafte Bedeutung – die Flüche werden zum ewigen Zeichen und Wunder an Israel.</w:t>
      </w:r>
    </w:p>
    <w:p w14:paraId="532B15DC" w14:textId="77777777" w:rsidR="005D0B3C" w:rsidRPr="008D48A3" w:rsidRDefault="005D0B3C" w:rsidP="008D48A3">
      <w:pPr>
        <w:pStyle w:val="Bibelberschrift"/>
      </w:pPr>
      <w:r w:rsidRPr="008D48A3">
        <w:rPr>
          <w:rStyle w:val="Fett"/>
          <w:b/>
          <w:bCs w:val="0"/>
        </w:rPr>
        <w:t>Deuteronomium 28,47</w:t>
      </w:r>
    </w:p>
    <w:p w14:paraId="36F26A12" w14:textId="77777777" w:rsidR="005D0B3C" w:rsidRDefault="005D0B3C" w:rsidP="005D0B3C">
      <w:pPr>
        <w:pStyle w:val="whitespace-normal"/>
      </w:pPr>
      <w:r>
        <w:rPr>
          <w:rStyle w:val="Fett"/>
          <w:rFonts w:eastAsiaTheme="majorEastAsia"/>
        </w:rPr>
        <w:t>Hebräisch:</w:t>
      </w:r>
      <w:r>
        <w:t xml:space="preserve"> </w:t>
      </w:r>
      <w:r>
        <w:rPr>
          <w:rtl/>
        </w:rPr>
        <w:t>תַּחַת אֲשֶׁר לֹא־עָבַדְתָּ אֶת־יְהוָה אֱלֹהֶיךָ בְּשִׂמְחָה וּבְטוּב לֵבָב מֵרֹב כֹּֽל׃</w:t>
      </w:r>
    </w:p>
    <w:p w14:paraId="0CDC0384" w14:textId="77777777" w:rsidR="005D0B3C" w:rsidRDefault="005D0B3C" w:rsidP="005D0B3C">
      <w:pPr>
        <w:pStyle w:val="whitespace-normal"/>
      </w:pPr>
      <w:r>
        <w:rPr>
          <w:rStyle w:val="Fett"/>
          <w:rFonts w:eastAsiaTheme="majorEastAsia"/>
        </w:rPr>
        <w:t>Deutsch:</w:t>
      </w:r>
      <w:r>
        <w:t xml:space="preserve"> Dafür, dass du dem JHWH, deinem Gott, nicht gedient hast mit Freude und mit fröhlichem Herzen wegen des Überflusses an allem,</w:t>
      </w:r>
    </w:p>
    <w:p w14:paraId="6F7FA3A9" w14:textId="77777777" w:rsidR="005D0B3C" w:rsidRDefault="004F5CEB" w:rsidP="005D0B3C">
      <w:r>
        <w:rPr>
          <w:noProof/>
        </w:rPr>
        <w:pict w14:anchorId="2C4CA952">
          <v:rect id="_x0000_i1791" style="width:0;height:1.5pt" o:hralign="center" o:hrstd="t" o:hr="t" fillcolor="#a0a0a0" stroked="f"/>
        </w:pict>
      </w:r>
    </w:p>
    <w:p w14:paraId="0EB679E4" w14:textId="77777777" w:rsidR="005D0B3C" w:rsidRDefault="005D0B3C" w:rsidP="005D0B3C">
      <w:pPr>
        <w:pStyle w:val="whitespace-normal"/>
      </w:pPr>
      <w:r>
        <w:rPr>
          <w:rStyle w:val="Fett"/>
          <w:rFonts w:eastAsiaTheme="majorEastAsia"/>
        </w:rPr>
        <w:t>Kommentar:</w:t>
      </w:r>
      <w:r>
        <w:t xml:space="preserve"> </w:t>
      </w:r>
      <w:r>
        <w:rPr>
          <w:rStyle w:val="Fett"/>
          <w:rFonts w:eastAsiaTheme="majorEastAsia"/>
          <w:rtl/>
        </w:rPr>
        <w:t>תַּחַת אֲשֶׁר לֹא־עָבַדְתָּ אֶת־יְהוָה אֱלֹהֶיךָ בְּשִׂמְחָה וּבְטוּב לֵבָב מֵרֹב כֹּל</w:t>
      </w:r>
      <w:r>
        <w:rPr>
          <w:rtl/>
        </w:rPr>
        <w:t xml:space="preserve"> </w:t>
      </w:r>
      <w:r>
        <w:t xml:space="preserve">ist ein Kausalsatz (ohne Hauptsatz – dieser folgt in V. 48): </w:t>
      </w:r>
      <w:r>
        <w:rPr>
          <w:rStyle w:val="Fett"/>
          <w:rFonts w:eastAsiaTheme="majorEastAsia"/>
          <w:rtl/>
        </w:rPr>
        <w:t>תַּחַת אֲשֶׁר לֹא־עָבַדְתָּ אֶת־יְהוָה אֱלֹהֶיךָ בְּשִׂמְחָה וּבְטוּב לֵבָב מֵרֹב כֹּל</w:t>
      </w:r>
      <w:r>
        <w:rPr>
          <w:rtl/>
        </w:rPr>
        <w:t xml:space="preserve"> </w:t>
      </w:r>
      <w:r>
        <w:t>(</w:t>
      </w:r>
      <w:r>
        <w:rPr>
          <w:rStyle w:val="Fett"/>
          <w:rFonts w:eastAsiaTheme="majorEastAsia"/>
          <w:rtl/>
        </w:rPr>
        <w:t>תַּחַת אֲשֶׁר</w:t>
      </w:r>
      <w:r>
        <w:t xml:space="preserve">, „dafür dass, weil", mit Negation, </w:t>
      </w:r>
      <w:r>
        <w:rPr>
          <w:rStyle w:val="Fett"/>
          <w:rFonts w:eastAsiaTheme="majorEastAsia"/>
          <w:rtl/>
        </w:rPr>
        <w:t>עבד</w:t>
      </w:r>
      <w:r>
        <w:t xml:space="preserve">, Qal Perfekt, 2. Person Maskulinum Singular, Objektpartikel </w:t>
      </w:r>
      <w:r>
        <w:rPr>
          <w:rStyle w:val="Fett"/>
          <w:rFonts w:eastAsiaTheme="majorEastAsia"/>
          <w:rtl/>
        </w:rPr>
        <w:t>אֵת</w:t>
      </w:r>
      <w:r>
        <w:rPr>
          <w:rtl/>
        </w:rPr>
        <w:t xml:space="preserve"> </w:t>
      </w:r>
      <w:r>
        <w:t xml:space="preserve">mit </w:t>
      </w:r>
      <w:r>
        <w:rPr>
          <w:rStyle w:val="Fett"/>
          <w:rFonts w:eastAsiaTheme="majorEastAsia"/>
          <w:rtl/>
        </w:rPr>
        <w:t>יְהוָה אֱלֹהֶיךָ</w:t>
      </w:r>
      <w:r>
        <w:t xml:space="preserve">, Präposition </w:t>
      </w:r>
      <w:r>
        <w:rPr>
          <w:rStyle w:val="Fett"/>
          <w:rFonts w:eastAsiaTheme="majorEastAsia"/>
          <w:rtl/>
        </w:rPr>
        <w:t>בְּ</w:t>
      </w:r>
      <w:r>
        <w:rPr>
          <w:rtl/>
        </w:rPr>
        <w:t xml:space="preserve"> </w:t>
      </w:r>
      <w:r>
        <w:t xml:space="preserve">mit </w:t>
      </w:r>
      <w:r>
        <w:rPr>
          <w:rStyle w:val="Fett"/>
          <w:rFonts w:eastAsiaTheme="majorEastAsia"/>
          <w:rtl/>
        </w:rPr>
        <w:t>שִׂמְחָה</w:t>
      </w:r>
      <w:r>
        <w:t xml:space="preserve">, „Freude", koordiniert durch </w:t>
      </w:r>
      <w:r>
        <w:rPr>
          <w:rStyle w:val="Fett"/>
          <w:rFonts w:eastAsiaTheme="majorEastAsia"/>
          <w:rtl/>
        </w:rPr>
        <w:t>וּ</w:t>
      </w:r>
      <w:r>
        <w:rPr>
          <w:rtl/>
        </w:rPr>
        <w:t xml:space="preserve"> </w:t>
      </w:r>
      <w:r>
        <w:t xml:space="preserve">mit Präposition </w:t>
      </w:r>
      <w:r>
        <w:rPr>
          <w:rStyle w:val="Fett"/>
          <w:rFonts w:eastAsiaTheme="majorEastAsia"/>
          <w:rtl/>
        </w:rPr>
        <w:t>בְּ</w:t>
      </w:r>
      <w:r>
        <w:t xml:space="preserve">, </w:t>
      </w:r>
      <w:r>
        <w:rPr>
          <w:rStyle w:val="Fett"/>
          <w:rFonts w:eastAsiaTheme="majorEastAsia"/>
          <w:rtl/>
        </w:rPr>
        <w:t>טוּב לֵבָב</w:t>
      </w:r>
      <w:r>
        <w:t xml:space="preserve">, „Güte/Fröhlichkeit des Herzens", </w:t>
      </w:r>
      <w:r>
        <w:rPr>
          <w:rStyle w:val="Fett"/>
          <w:rFonts w:eastAsiaTheme="majorEastAsia"/>
          <w:rtl/>
        </w:rPr>
        <w:t>מֵרֹב כֹּל</w:t>
      </w:r>
      <w:r>
        <w:t>, „wegen des Überflusses an allem").</w:t>
      </w:r>
    </w:p>
    <w:p w14:paraId="096EDE19" w14:textId="212C18A5" w:rsidR="005D0B3C" w:rsidRDefault="005D0B3C" w:rsidP="005D0B3C">
      <w:pPr>
        <w:pStyle w:val="whitespace-normal"/>
      </w:pPr>
      <w:r>
        <w:t xml:space="preserve">Der Vers beginnt eine neue Begründung für die Flüche (V. 47-48) und leitet gleichzeitig zum letzten großen Abschnitt (V. 49-68) über. Der Kausalsatz: </w:t>
      </w:r>
      <w:r>
        <w:rPr>
          <w:rStyle w:val="Fett"/>
          <w:rFonts w:eastAsiaTheme="majorEastAsia"/>
          <w:rtl/>
        </w:rPr>
        <w:t>תַּחַת אֲשֶׁר לֹא־עָבַדְתָּ אֶת־יְהוָה אֱלֹהֶיךָ בְּשִׂמְחָה וּבְטוּב לֵבָב מֵרֹב כֹּל</w:t>
      </w:r>
      <w:r>
        <w:rPr>
          <w:rtl/>
        </w:rPr>
        <w:t xml:space="preserve"> </w:t>
      </w:r>
      <w:r>
        <w:t xml:space="preserve">(„dafür, dass du nicht gedient hast </w:t>
      </w:r>
      <w:r w:rsidR="00281FDB">
        <w:t>JHWH</w:t>
      </w:r>
      <w:r>
        <w:t xml:space="preserve">, deinem Gott, mit Freude und mit fröhlichem Herzen wegen des Überflusses an allem"). Das Verb </w:t>
      </w:r>
      <w:r>
        <w:rPr>
          <w:rStyle w:val="Fett"/>
          <w:rFonts w:eastAsiaTheme="majorEastAsia"/>
          <w:rtl/>
        </w:rPr>
        <w:t>עבד</w:t>
      </w:r>
      <w:r>
        <w:rPr>
          <w:rtl/>
        </w:rPr>
        <w:t xml:space="preserve"> </w:t>
      </w:r>
      <w:r>
        <w:t xml:space="preserve">(„dienen") – Gottesdienst. Die doppelte Formulierung </w:t>
      </w:r>
      <w:r>
        <w:rPr>
          <w:rStyle w:val="Fett"/>
          <w:rFonts w:eastAsiaTheme="majorEastAsia"/>
          <w:rtl/>
        </w:rPr>
        <w:t>בְּשִׂמְחָה וּבְטוּב לֵבָב</w:t>
      </w:r>
      <w:r>
        <w:rPr>
          <w:rtl/>
        </w:rPr>
        <w:t xml:space="preserve"> </w:t>
      </w:r>
      <w:r>
        <w:t xml:space="preserve">(„mit Freude und mit fröhlichem Herzen") betont die innere Haltung (vgl. 12,7.12.18; 16,11.14-15; 26,11; 27,7). Die Formulierung </w:t>
      </w:r>
      <w:r>
        <w:rPr>
          <w:rStyle w:val="Fett"/>
          <w:rFonts w:eastAsiaTheme="majorEastAsia"/>
          <w:rtl/>
        </w:rPr>
        <w:t>מֵרֹב כֹּל</w:t>
      </w:r>
      <w:r>
        <w:rPr>
          <w:rtl/>
        </w:rPr>
        <w:t xml:space="preserve"> </w:t>
      </w:r>
      <w:r>
        <w:t>(„wegen des Überflusses an allem") – Israel hatte allen Grund zur Freude, hat aber undankbar reagiert. Die Strafe wird in V. 48 genannt.</w:t>
      </w:r>
    </w:p>
    <w:p w14:paraId="7D4B1662" w14:textId="0C5350D5" w:rsidR="005D0B3C" w:rsidRDefault="005D0B3C" w:rsidP="005D0B3C">
      <w:pPr>
        <w:pStyle w:val="whitespace-normal"/>
      </w:pPr>
      <w:r>
        <w:rPr>
          <w:rStyle w:val="Fett"/>
          <w:rFonts w:eastAsiaTheme="majorEastAsia"/>
        </w:rPr>
        <w:t>Die Satzstruktur:</w:t>
      </w:r>
      <w:r>
        <w:t xml:space="preserve"> Kausalsatz ohne Hauptsatz (dafür, dass du nicht gedient hast </w:t>
      </w:r>
      <w:r w:rsidR="00281FDB">
        <w:t>JHWH</w:t>
      </w:r>
      <w:r>
        <w:t>, deinem Gott, mit Freude und mit fröhlichem Herzen wegen des Überflusses an allem).</w:t>
      </w:r>
    </w:p>
    <w:p w14:paraId="46A36966" w14:textId="50B988A6" w:rsidR="005D0B3C" w:rsidRDefault="005D0B3C" w:rsidP="00564C2A">
      <w:pPr>
        <w:pStyle w:val="whitespace-normal"/>
      </w:pPr>
      <w:r>
        <w:rPr>
          <w:rStyle w:val="Fett"/>
          <w:rFonts w:eastAsiaTheme="majorEastAsia"/>
        </w:rPr>
        <w:t>Der Vers beschreibt:</w:t>
      </w:r>
      <w:r>
        <w:t xml:space="preserve"> Begründung – fehlende Freude und Dankbarkeit trotz Überfluss.</w:t>
      </w:r>
    </w:p>
    <w:p w14:paraId="060F3863" w14:textId="77777777" w:rsidR="005D0B3C" w:rsidRPr="008D48A3" w:rsidRDefault="005D0B3C" w:rsidP="008D48A3">
      <w:pPr>
        <w:pStyle w:val="Bibelberschrift"/>
      </w:pPr>
      <w:r w:rsidRPr="008D48A3">
        <w:rPr>
          <w:rStyle w:val="Fett"/>
          <w:b/>
          <w:bCs w:val="0"/>
        </w:rPr>
        <w:t>Deuteronomium 28,48</w:t>
      </w:r>
    </w:p>
    <w:p w14:paraId="10F2E8A3" w14:textId="77777777" w:rsidR="005D0B3C" w:rsidRDefault="005D0B3C" w:rsidP="005D0B3C">
      <w:pPr>
        <w:pStyle w:val="whitespace-normal"/>
      </w:pPr>
      <w:r>
        <w:rPr>
          <w:rStyle w:val="Fett"/>
          <w:rFonts w:eastAsiaTheme="majorEastAsia"/>
        </w:rPr>
        <w:t>Hebräisch:</w:t>
      </w:r>
      <w:r>
        <w:t xml:space="preserve"> </w:t>
      </w:r>
      <w:r>
        <w:rPr>
          <w:rtl/>
        </w:rPr>
        <w:t>וְעָבַדְתָּ אֶת־אֹיְבֶיךָ אֲשֶׁר יְשַׁלְּחֶנּוּ יְהוָה בָּךְ בְּרָעָב וּבְצָמָא וּבְעֵירֹם וּבְחֹסֶר כֹּל וְנָתַן עֹל בַּרְזֶל עַל־צַוָּארֶךָ עַד הִשְׁמִידוֹ אֹתָֽךְ׃</w:t>
      </w:r>
    </w:p>
    <w:p w14:paraId="51D3714E" w14:textId="77777777" w:rsidR="005D0B3C" w:rsidRDefault="005D0B3C" w:rsidP="005D0B3C">
      <w:pPr>
        <w:pStyle w:val="whitespace-normal"/>
      </w:pPr>
      <w:r>
        <w:rPr>
          <w:rStyle w:val="Fett"/>
          <w:rFonts w:eastAsiaTheme="majorEastAsia"/>
        </w:rPr>
        <w:lastRenderedPageBreak/>
        <w:t>Deutsch:</w:t>
      </w:r>
      <w:r>
        <w:t xml:space="preserve"> Wirst du deinen Feinden dienen, die JHWH gegen dich senden wird, in Hunger und in Durst und in Blöße und in Mangel an allem; und er wird ein eisernes Joch auf deinen Hals legen, bis er dich vertilgt hat.</w:t>
      </w:r>
    </w:p>
    <w:p w14:paraId="37AEB11A" w14:textId="77777777" w:rsidR="005D0B3C" w:rsidRDefault="004F5CEB" w:rsidP="005D0B3C">
      <w:r>
        <w:rPr>
          <w:noProof/>
        </w:rPr>
        <w:pict w14:anchorId="2399FAC1">
          <v:rect id="_x0000_i1792" style="width:0;height:1.5pt" o:hralign="center" o:hrstd="t" o:hr="t" fillcolor="#a0a0a0" stroked="f"/>
        </w:pict>
      </w:r>
    </w:p>
    <w:p w14:paraId="43CCFE46" w14:textId="77777777" w:rsidR="005D0B3C" w:rsidRDefault="005D0B3C" w:rsidP="005D0B3C">
      <w:pPr>
        <w:pStyle w:val="whitespace-normal"/>
      </w:pPr>
      <w:r>
        <w:rPr>
          <w:rStyle w:val="Fett"/>
          <w:rFonts w:eastAsiaTheme="majorEastAsia"/>
        </w:rPr>
        <w:t>Kommentar:</w:t>
      </w:r>
      <w:r>
        <w:t xml:space="preserve"> </w:t>
      </w:r>
      <w:r>
        <w:rPr>
          <w:rStyle w:val="Fett"/>
          <w:rFonts w:eastAsiaTheme="majorEastAsia"/>
          <w:rtl/>
        </w:rPr>
        <w:t>וְעָבַדְתָּ אֶת־אֹיְבֶיךָ אֲשֶׁר יְשַׁלְּחֶנּוּ יְהוָה בָּךְ בְּרָעָב וּבְצָמָא וּבְעֵירֹם וּבְחֹסֶר כֹּל וְנָתַן עֹל בַּרְזֶל עַל־צַוָּארֶךָ עַד הִשְׁמִידוֹ אֹתָךְ</w:t>
      </w:r>
      <w:r>
        <w:rPr>
          <w:rtl/>
        </w:rPr>
        <w:t xml:space="preserve"> </w:t>
      </w:r>
      <w:r>
        <w:t xml:space="preserve">sind zwei Aussagen: </w:t>
      </w:r>
      <w:r>
        <w:rPr>
          <w:rStyle w:val="Fett"/>
          <w:rFonts w:eastAsiaTheme="majorEastAsia"/>
          <w:rtl/>
        </w:rPr>
        <w:t>וְעָבַדְתָּ אֶת־אֹיְבֶיךָ אֲשֶׁר יְשַׁלְּחֶנּוּ יְהוָה בָּךְ בְּרָעָב וּבְצָמָא וּבְעֵירֹם וּבְחֹסֶר כֹּל</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עבד</w:t>
      </w:r>
      <w:r>
        <w:t xml:space="preserve">, Qal Perfekt, 2. Person Maskulinum Singular, Objektpartikel </w:t>
      </w:r>
      <w:r>
        <w:rPr>
          <w:rStyle w:val="Fett"/>
          <w:rFonts w:eastAsiaTheme="majorEastAsia"/>
          <w:rtl/>
        </w:rPr>
        <w:t>אֵת</w:t>
      </w:r>
      <w:r>
        <w:rPr>
          <w:rtl/>
        </w:rPr>
        <w:t xml:space="preserve"> </w:t>
      </w:r>
      <w:r>
        <w:t xml:space="preserve">mit </w:t>
      </w:r>
      <w:r>
        <w:rPr>
          <w:rStyle w:val="Fett"/>
          <w:rFonts w:eastAsiaTheme="majorEastAsia"/>
          <w:rtl/>
        </w:rPr>
        <w:t>אֹיֵב</w:t>
      </w:r>
      <w:r>
        <w:rPr>
          <w:rtl/>
        </w:rPr>
        <w:t xml:space="preserve"> </w:t>
      </w:r>
      <w:r>
        <w:t xml:space="preserve">Plural mit Suffix, Relativsatz: </w:t>
      </w:r>
      <w:r>
        <w:rPr>
          <w:rStyle w:val="Fett"/>
          <w:rFonts w:eastAsiaTheme="majorEastAsia"/>
          <w:rtl/>
        </w:rPr>
        <w:t>אֲשֶׁר יְשַׁלְּחֶנּוּ יְהוָה בָּךְ</w:t>
      </w:r>
      <w:r>
        <w:rPr>
          <w:rtl/>
        </w:rPr>
        <w:t xml:space="preserve"> </w:t>
      </w:r>
      <w:r>
        <w:t xml:space="preserve">mit </w:t>
      </w:r>
      <w:r>
        <w:rPr>
          <w:rStyle w:val="Fett"/>
          <w:rFonts w:eastAsiaTheme="majorEastAsia"/>
          <w:rtl/>
        </w:rPr>
        <w:t>שׁלח</w:t>
      </w:r>
      <w:r>
        <w:t xml:space="preserve">, Piel Imperfekt, 3. Person Maskulinum Singular, mit Suffix 3. Person Maskulinum Singular, </w:t>
      </w:r>
      <w:r>
        <w:rPr>
          <w:rStyle w:val="Fett"/>
          <w:rFonts w:eastAsiaTheme="majorEastAsia"/>
          <w:rtl/>
        </w:rPr>
        <w:t>יְהוָה</w:t>
      </w:r>
      <w:r>
        <w:rPr>
          <w:rtl/>
        </w:rPr>
        <w:t xml:space="preserve"> </w:t>
      </w:r>
      <w:r>
        <w:t xml:space="preserve">als Subjekt, Präposition </w:t>
      </w:r>
      <w:r>
        <w:rPr>
          <w:rStyle w:val="Fett"/>
          <w:rFonts w:eastAsiaTheme="majorEastAsia"/>
          <w:rtl/>
        </w:rPr>
        <w:t>בְּ</w:t>
      </w:r>
      <w:r>
        <w:rPr>
          <w:rtl/>
        </w:rPr>
        <w:t xml:space="preserve"> </w:t>
      </w:r>
      <w:r>
        <w:t xml:space="preserve">mit Suffix 2. Person Maskulinum Singular, vier mit Präposition </w:t>
      </w:r>
      <w:r>
        <w:rPr>
          <w:rStyle w:val="Fett"/>
          <w:rFonts w:eastAsiaTheme="majorEastAsia"/>
          <w:rtl/>
        </w:rPr>
        <w:t>בְּ</w:t>
      </w:r>
      <w:r>
        <w:rPr>
          <w:rtl/>
        </w:rPr>
        <w:t xml:space="preserve"> </w:t>
      </w:r>
      <w:r>
        <w:t xml:space="preserve">eingeleitete Begriffe: </w:t>
      </w:r>
      <w:r>
        <w:rPr>
          <w:rStyle w:val="Fett"/>
          <w:rFonts w:eastAsiaTheme="majorEastAsia"/>
          <w:rtl/>
        </w:rPr>
        <w:t>רָעָב</w:t>
      </w:r>
      <w:r>
        <w:t xml:space="preserve">, „Hunger", </w:t>
      </w:r>
      <w:r>
        <w:rPr>
          <w:rStyle w:val="Fett"/>
          <w:rFonts w:eastAsiaTheme="majorEastAsia"/>
          <w:rtl/>
        </w:rPr>
        <w:t>צָמָא</w:t>
      </w:r>
      <w:r>
        <w:t xml:space="preserve">, „Durst", </w:t>
      </w:r>
      <w:r>
        <w:rPr>
          <w:rStyle w:val="Fett"/>
          <w:rFonts w:eastAsiaTheme="majorEastAsia"/>
          <w:rtl/>
        </w:rPr>
        <w:t>עֵירֹם</w:t>
      </w:r>
      <w:r>
        <w:t xml:space="preserve">, „Blöße, Nacktheit", </w:t>
      </w:r>
      <w:r>
        <w:rPr>
          <w:rStyle w:val="Fett"/>
          <w:rFonts w:eastAsiaTheme="majorEastAsia"/>
          <w:rtl/>
        </w:rPr>
        <w:t>חֹסֶר כֹּל</w:t>
      </w:r>
      <w:r>
        <w:t xml:space="preserve">, „Mangel an allem", mit </w:t>
      </w:r>
      <w:r>
        <w:rPr>
          <w:rStyle w:val="Fett"/>
          <w:rFonts w:eastAsiaTheme="majorEastAsia"/>
        </w:rPr>
        <w:t>Waw</w:t>
      </w:r>
      <w:r>
        <w:t xml:space="preserve"> consecutives Perfekt), </w:t>
      </w:r>
      <w:r>
        <w:rPr>
          <w:rStyle w:val="Fett"/>
          <w:rFonts w:eastAsiaTheme="majorEastAsia"/>
          <w:rtl/>
        </w:rPr>
        <w:t>וְנָתַן עֹל בַּרְזֶל עַל־צַוָּארֶךָ עַד הִשְׁמִידוֹ אֹתָךְ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נתן</w:t>
      </w:r>
      <w:r>
        <w:t xml:space="preserve">, Qal Perfekt, 3. Person Maskulinum Singular (JHWH als implizites Subjekt), </w:t>
      </w:r>
      <w:r>
        <w:rPr>
          <w:rStyle w:val="Fett"/>
          <w:rFonts w:eastAsiaTheme="majorEastAsia"/>
          <w:rtl/>
        </w:rPr>
        <w:t>עֹל</w:t>
      </w:r>
      <w:r>
        <w:t xml:space="preserve">, „Joch", Construct mit </w:t>
      </w:r>
      <w:r>
        <w:rPr>
          <w:rStyle w:val="Fett"/>
          <w:rFonts w:eastAsiaTheme="majorEastAsia"/>
          <w:rtl/>
        </w:rPr>
        <w:t>בַּרְזֶל</w:t>
      </w:r>
      <w:r>
        <w:t xml:space="preserve">, Präposition </w:t>
      </w:r>
      <w:r>
        <w:rPr>
          <w:rStyle w:val="Fett"/>
          <w:rFonts w:eastAsiaTheme="majorEastAsia"/>
          <w:rtl/>
        </w:rPr>
        <w:t>עַל</w:t>
      </w:r>
      <w:r>
        <w:rPr>
          <w:rtl/>
        </w:rPr>
        <w:t xml:space="preserve"> </w:t>
      </w:r>
      <w:r>
        <w:t xml:space="preserve">mit </w:t>
      </w:r>
      <w:r>
        <w:rPr>
          <w:rStyle w:val="Fett"/>
          <w:rFonts w:eastAsiaTheme="majorEastAsia"/>
          <w:rtl/>
        </w:rPr>
        <w:t>צַוָּאר</w:t>
      </w:r>
      <w:r>
        <w:t xml:space="preserve">, „Hals, Nacken", mit Suffix, Präposition </w:t>
      </w:r>
      <w:r>
        <w:rPr>
          <w:rStyle w:val="Fett"/>
          <w:rFonts w:eastAsiaTheme="majorEastAsia"/>
          <w:rtl/>
        </w:rPr>
        <w:t>עַד</w:t>
      </w:r>
      <w:r>
        <w:rPr>
          <w:rtl/>
        </w:rPr>
        <w:t xml:space="preserve"> </w:t>
      </w:r>
      <w:r>
        <w:t xml:space="preserve">mit Hiphil Infinitiv Construct von </w:t>
      </w:r>
      <w:r>
        <w:rPr>
          <w:rStyle w:val="Fett"/>
          <w:rFonts w:eastAsiaTheme="majorEastAsia"/>
          <w:rtl/>
        </w:rPr>
        <w:t>שׁמד</w:t>
      </w:r>
      <w:r>
        <w:t xml:space="preserve">, mit Suffix 3. Person Maskulinum Singular, Objektpartikel </w:t>
      </w:r>
      <w:r>
        <w:rPr>
          <w:rStyle w:val="Fett"/>
          <w:rFonts w:eastAsiaTheme="majorEastAsia"/>
          <w:rtl/>
        </w:rPr>
        <w:t>אֵת</w:t>
      </w:r>
      <w:r>
        <w:rPr>
          <w:rtl/>
        </w:rPr>
        <w:t xml:space="preserve"> </w:t>
      </w:r>
      <w:r>
        <w:t xml:space="preserve">mit Suffix 2. Person Maskulinum Singular, mit </w:t>
      </w:r>
      <w:r>
        <w:rPr>
          <w:rStyle w:val="Fett"/>
          <w:rFonts w:eastAsiaTheme="majorEastAsia"/>
        </w:rPr>
        <w:t>Waw</w:t>
      </w:r>
      <w:r>
        <w:t xml:space="preserve"> consecutives Perfekt).</w:t>
      </w:r>
    </w:p>
    <w:p w14:paraId="2A439661" w14:textId="77777777" w:rsidR="005D0B3C" w:rsidRDefault="005D0B3C" w:rsidP="005D0B3C">
      <w:pPr>
        <w:pStyle w:val="whitespace-normal"/>
      </w:pPr>
      <w:r>
        <w:t xml:space="preserve">Der Vers ist der Hauptsatz zu V. 47 und beschreibt die Konsequenz. Die erste Aussage: </w:t>
      </w:r>
      <w:r>
        <w:rPr>
          <w:rStyle w:val="Fett"/>
          <w:rFonts w:eastAsiaTheme="majorEastAsia"/>
          <w:rtl/>
        </w:rPr>
        <w:t>וְעָבַדְתָּ אֶת־אֹיְבֶיךָ אֲשֶׁר יְשַׁלְּחֶנּוּ יְהוָה בָּךְ בְּרָעָב וּבְצָמָא וּבְעֵירֹם וּבְחֹסֶר כֹּל</w:t>
      </w:r>
      <w:r>
        <w:rPr>
          <w:rtl/>
        </w:rPr>
        <w:t xml:space="preserve"> </w:t>
      </w:r>
      <w:r>
        <w:t xml:space="preserve">(„wirst du dienen deinen Feinden, die JHWH senden wird gegen dich, in Hunger und in Durst und in Blöße und in Mangel an allem"). Bittere Ironie: statt JHWH mit Freude im Überfluss zu dienen, wird Israel den Feinden in völligem Mangel dienen. Die vier Begriffe </w:t>
      </w:r>
      <w:r>
        <w:rPr>
          <w:rStyle w:val="Fett"/>
          <w:rFonts w:eastAsiaTheme="majorEastAsia"/>
          <w:rtl/>
        </w:rPr>
        <w:t>רָעָב וּבְצָמָא וּבְעֵירֹם וּבְחֹסֶר כֹּל</w:t>
      </w:r>
      <w:r>
        <w:rPr>
          <w:rtl/>
        </w:rPr>
        <w:t xml:space="preserve"> </w:t>
      </w:r>
      <w:r>
        <w:t xml:space="preserve">(„Hunger und Durst und Blöße und Mangel an allem") beschreiben totale Entbehrung – Gegenteil von </w:t>
      </w:r>
      <w:r>
        <w:rPr>
          <w:rStyle w:val="Fett"/>
          <w:rFonts w:eastAsiaTheme="majorEastAsia"/>
          <w:rtl/>
        </w:rPr>
        <w:t>מֵרֹב כֹּל</w:t>
      </w:r>
      <w:r>
        <w:rPr>
          <w:rtl/>
        </w:rPr>
        <w:t xml:space="preserve"> </w:t>
      </w:r>
      <w:r>
        <w:t xml:space="preserve">(„Überfluss an allem") aus V. 47. Die zweite Aussage: </w:t>
      </w:r>
      <w:r>
        <w:rPr>
          <w:rStyle w:val="Fett"/>
          <w:rFonts w:eastAsiaTheme="majorEastAsia"/>
          <w:rtl/>
        </w:rPr>
        <w:t>וְנָתַן עֹל בַּרְזֶל עַל־צַוָּארֶךָ עַד הִשְׁמִידוֹ אֹתָךְ</w:t>
      </w:r>
      <w:r>
        <w:rPr>
          <w:rtl/>
        </w:rPr>
        <w:t xml:space="preserve"> </w:t>
      </w:r>
      <w:r>
        <w:t xml:space="preserve">(„und legen wird er ein eisernes Joch auf deinen Hals, bis er dich vertilgt hat"). Das Bild </w:t>
      </w:r>
      <w:r>
        <w:rPr>
          <w:rStyle w:val="Fett"/>
          <w:rFonts w:eastAsiaTheme="majorEastAsia"/>
          <w:rtl/>
        </w:rPr>
        <w:t>עֹל בַּרְזֶל</w:t>
      </w:r>
      <w:r>
        <w:rPr>
          <w:rtl/>
        </w:rPr>
        <w:t xml:space="preserve"> </w:t>
      </w:r>
      <w:r>
        <w:t>(„eisernes Joch") symbolisiert harte, unbarmherzige Unterdrückung (vgl. Jer 28,13-14) – bis zur völligen Vernichtung.</w:t>
      </w:r>
    </w:p>
    <w:p w14:paraId="7DECBDA2" w14:textId="77777777" w:rsidR="005D0B3C" w:rsidRDefault="005D0B3C" w:rsidP="005D0B3C">
      <w:pPr>
        <w:pStyle w:val="whitespace-normal"/>
      </w:pPr>
      <w:r>
        <w:rPr>
          <w:rStyle w:val="Fett"/>
          <w:rFonts w:eastAsiaTheme="majorEastAsia"/>
        </w:rPr>
        <w:t>Die Satzstruktur:</w:t>
      </w:r>
      <w:r>
        <w:t xml:space="preserve"> Zwei Aussagen (wirst du dienen deinen Feinden, die JHWH senden wird gegen dich, in Hunger und in Durst und in Blöße und in Mangel an allem; und legen wird er ein eisernes Joch auf deinen Hals, bis er dich vertilgt hat).</w:t>
      </w:r>
    </w:p>
    <w:p w14:paraId="28CF635F" w14:textId="62C78A83" w:rsidR="005D0B3C" w:rsidRDefault="005D0B3C" w:rsidP="00564C2A">
      <w:pPr>
        <w:pStyle w:val="whitespace-normal"/>
      </w:pPr>
      <w:r>
        <w:rPr>
          <w:rStyle w:val="Fett"/>
          <w:rFonts w:eastAsiaTheme="majorEastAsia"/>
        </w:rPr>
        <w:t>Der Vers beschreibt:</w:t>
      </w:r>
      <w:r>
        <w:t xml:space="preserve"> Konsequenz – Dienst an Feinden in völligem Mangel unter eisernem Joch bis zur Vernichtung.</w:t>
      </w:r>
    </w:p>
    <w:p w14:paraId="3723F107" w14:textId="77777777" w:rsidR="005D0B3C" w:rsidRPr="008D48A3" w:rsidRDefault="005D0B3C" w:rsidP="008D48A3">
      <w:pPr>
        <w:pStyle w:val="Bibelberschrift"/>
      </w:pPr>
      <w:r w:rsidRPr="008D48A3">
        <w:rPr>
          <w:rStyle w:val="Fett"/>
          <w:b/>
          <w:bCs w:val="0"/>
        </w:rPr>
        <w:t>Deuteronomium 28,49</w:t>
      </w:r>
    </w:p>
    <w:p w14:paraId="78E27840" w14:textId="77777777" w:rsidR="005D0B3C" w:rsidRDefault="005D0B3C" w:rsidP="005D0B3C">
      <w:pPr>
        <w:pStyle w:val="whitespace-normal"/>
      </w:pPr>
      <w:r>
        <w:rPr>
          <w:rStyle w:val="Fett"/>
          <w:rFonts w:eastAsiaTheme="majorEastAsia"/>
        </w:rPr>
        <w:t>Hebräisch:</w:t>
      </w:r>
      <w:r>
        <w:t xml:space="preserve"> </w:t>
      </w:r>
      <w:r>
        <w:rPr>
          <w:rtl/>
        </w:rPr>
        <w:t>יִשָּׂא יְהוָה עָלֶיךָ גּוֹי מֵרָחוֹק מִקְצֵה הָאָרֶץ כַּאֲשֶׁר יִדְאֶה הַנָּשֶׁר גּוֹי אֲשֶׁר לֹא־תִשְׁמַע לְשֹׁנֽוֹ׃</w:t>
      </w:r>
    </w:p>
    <w:p w14:paraId="232C1FDF" w14:textId="77777777" w:rsidR="005D0B3C" w:rsidRDefault="005D0B3C" w:rsidP="005D0B3C">
      <w:pPr>
        <w:pStyle w:val="whitespace-normal"/>
      </w:pPr>
      <w:r>
        <w:rPr>
          <w:rStyle w:val="Fett"/>
          <w:rFonts w:eastAsiaTheme="majorEastAsia"/>
        </w:rPr>
        <w:t>Deutsch:</w:t>
      </w:r>
      <w:r>
        <w:t xml:space="preserve"> JHWH wird von ferne, vom Ende der Erde her, eine Nation gegen dich herbeiführen, gleichwie der Adler fliegt, eine Nation, deren Sprache du nicht verstehst.</w:t>
      </w:r>
    </w:p>
    <w:p w14:paraId="6ECF61C9" w14:textId="77777777" w:rsidR="005D0B3C" w:rsidRDefault="004F5CEB" w:rsidP="005D0B3C">
      <w:r>
        <w:rPr>
          <w:noProof/>
        </w:rPr>
        <w:pict w14:anchorId="4EA9BBA6">
          <v:rect id="_x0000_i1793" style="width:0;height:1.5pt" o:hralign="center" o:hrstd="t" o:hr="t" fillcolor="#a0a0a0" stroked="f"/>
        </w:pict>
      </w:r>
    </w:p>
    <w:p w14:paraId="24E74991" w14:textId="77777777" w:rsidR="005D0B3C" w:rsidRDefault="005D0B3C" w:rsidP="005D0B3C">
      <w:pPr>
        <w:pStyle w:val="whitespace-normal"/>
      </w:pPr>
      <w:r>
        <w:rPr>
          <w:rStyle w:val="Fett"/>
          <w:rFonts w:eastAsiaTheme="majorEastAsia"/>
        </w:rPr>
        <w:lastRenderedPageBreak/>
        <w:t>Kommentar:</w:t>
      </w:r>
      <w:r>
        <w:t xml:space="preserve"> </w:t>
      </w:r>
      <w:r>
        <w:rPr>
          <w:rStyle w:val="Fett"/>
          <w:rFonts w:eastAsiaTheme="majorEastAsia"/>
          <w:rtl/>
        </w:rPr>
        <w:t>יִשָּׂא יְהוָה עָלֶיךָ גּוֹי מֵרָחוֹק מִקְצֵה הָאָרֶץ כַּאֲשֶׁר יִדְאֶה הַנָּשֶׁר גּוֹי אֲשֶׁר לֹא־תִשְׁמַע לְשֹׁנוֹ</w:t>
      </w:r>
      <w:r>
        <w:rPr>
          <w:rtl/>
        </w:rPr>
        <w:t xml:space="preserve"> </w:t>
      </w:r>
      <w:r>
        <w:t xml:space="preserve">sind zwei Beschreibungen: </w:t>
      </w:r>
      <w:r>
        <w:rPr>
          <w:rStyle w:val="Fett"/>
          <w:rFonts w:eastAsiaTheme="majorEastAsia"/>
          <w:rtl/>
        </w:rPr>
        <w:t>יִשָּׂא יְהוָה עָלֶיךָ גּוֹי מֵרָחוֹק מִקְצֵה הָאָרֶץ כַּאֲשֶׁר יִדְאֶה הַנָּשֶׁר</w:t>
      </w:r>
      <w:r>
        <w:rPr>
          <w:rtl/>
        </w:rPr>
        <w:t xml:space="preserve"> </w:t>
      </w:r>
      <w:r>
        <w:t>(</w:t>
      </w:r>
      <w:r>
        <w:rPr>
          <w:rStyle w:val="Fett"/>
          <w:rFonts w:eastAsiaTheme="majorEastAsia"/>
          <w:rtl/>
        </w:rPr>
        <w:t>נשׂא</w:t>
      </w:r>
      <w:r>
        <w:t xml:space="preserve">, Qal Imperfekt, 3. Person Maskulinum Singular, „erheben, herbeiführen, herbeibringen", </w:t>
      </w:r>
      <w:r>
        <w:rPr>
          <w:rStyle w:val="Fett"/>
          <w:rFonts w:eastAsiaTheme="majorEastAsia"/>
          <w:rtl/>
        </w:rPr>
        <w:t>יְהוָה</w:t>
      </w:r>
      <w:r>
        <w:rPr>
          <w:rtl/>
        </w:rPr>
        <w:t xml:space="preserve"> </w:t>
      </w:r>
      <w:r>
        <w:t xml:space="preserve">als Subjekt, Präposition </w:t>
      </w:r>
      <w:r>
        <w:rPr>
          <w:rStyle w:val="Fett"/>
          <w:rFonts w:eastAsiaTheme="majorEastAsia"/>
          <w:rtl/>
        </w:rPr>
        <w:t>עַל</w:t>
      </w:r>
      <w:r>
        <w:rPr>
          <w:rtl/>
        </w:rPr>
        <w:t xml:space="preserve"> </w:t>
      </w:r>
      <w:r>
        <w:t xml:space="preserve">mit Suffix, </w:t>
      </w:r>
      <w:r>
        <w:rPr>
          <w:rStyle w:val="Fett"/>
          <w:rFonts w:eastAsiaTheme="majorEastAsia"/>
          <w:rtl/>
        </w:rPr>
        <w:t>גּוֹי</w:t>
      </w:r>
      <w:r>
        <w:t xml:space="preserve">, </w:t>
      </w:r>
      <w:r>
        <w:rPr>
          <w:rStyle w:val="Fett"/>
          <w:rFonts w:eastAsiaTheme="majorEastAsia"/>
          <w:rtl/>
        </w:rPr>
        <w:t>מֵרָחוֹק</w:t>
      </w:r>
      <w:r>
        <w:t xml:space="preserve">, „von ferne", </w:t>
      </w:r>
      <w:r>
        <w:rPr>
          <w:rStyle w:val="Fett"/>
          <w:rFonts w:eastAsiaTheme="majorEastAsia"/>
          <w:rtl/>
        </w:rPr>
        <w:t>מִקְצֵה הָאָרֶץ</w:t>
      </w:r>
      <w:r>
        <w:t xml:space="preserve">, Vergleichssatz: </w:t>
      </w:r>
      <w:r>
        <w:rPr>
          <w:rStyle w:val="Fett"/>
          <w:rFonts w:eastAsiaTheme="majorEastAsia"/>
          <w:rtl/>
        </w:rPr>
        <w:t>כַּאֲשֶׁר יִדְאֶה הַנָּשֶׁר</w:t>
      </w:r>
      <w:r>
        <w:rPr>
          <w:rtl/>
        </w:rPr>
        <w:t xml:space="preserve"> </w:t>
      </w:r>
      <w:r>
        <w:t xml:space="preserve">mit </w:t>
      </w:r>
      <w:r>
        <w:rPr>
          <w:rStyle w:val="Fett"/>
          <w:rFonts w:eastAsiaTheme="majorEastAsia"/>
          <w:rtl/>
        </w:rPr>
        <w:t>דאה</w:t>
      </w:r>
      <w:r>
        <w:t xml:space="preserve">, Qal Imperfekt, 3. Person Maskulinum Singular, „fliegen, dahinfliegen", </w:t>
      </w:r>
      <w:r>
        <w:rPr>
          <w:rStyle w:val="Fett"/>
          <w:rFonts w:eastAsiaTheme="majorEastAsia"/>
          <w:rtl/>
        </w:rPr>
        <w:t>נֶשֶׁר</w:t>
      </w:r>
      <w:r>
        <w:rPr>
          <w:rtl/>
        </w:rPr>
        <w:t xml:space="preserve"> </w:t>
      </w:r>
      <w:r>
        <w:t xml:space="preserve">mit Artikel, „Adler, Geier"), </w:t>
      </w:r>
      <w:r>
        <w:rPr>
          <w:rStyle w:val="Fett"/>
          <w:rFonts w:eastAsiaTheme="majorEastAsia"/>
          <w:rtl/>
        </w:rPr>
        <w:t>גּוֹי אֲשֶׁר לֹא־תִשְׁמַע לְשֹׁנוֹ</w:t>
      </w:r>
      <w:r>
        <w:rPr>
          <w:rtl/>
        </w:rPr>
        <w:t xml:space="preserve"> </w:t>
      </w:r>
      <w:r>
        <w:t xml:space="preserve">(Apposition zu </w:t>
      </w:r>
      <w:r>
        <w:rPr>
          <w:rStyle w:val="Fett"/>
          <w:rFonts w:eastAsiaTheme="majorEastAsia"/>
          <w:rtl/>
        </w:rPr>
        <w:t>גּוֹי</w:t>
      </w:r>
      <w:r>
        <w:t xml:space="preserve">: Relativsatz mit Negation, </w:t>
      </w:r>
      <w:r>
        <w:rPr>
          <w:rStyle w:val="Fett"/>
          <w:rFonts w:eastAsiaTheme="majorEastAsia"/>
          <w:rtl/>
        </w:rPr>
        <w:t>שׁמע</w:t>
      </w:r>
      <w:r>
        <w:t xml:space="preserve">, Qal Imperfekt, 2. Person Maskulinum Singular, „verstehen" (eine Sprache), Präposition </w:t>
      </w:r>
      <w:r>
        <w:rPr>
          <w:rStyle w:val="Fett"/>
          <w:rFonts w:eastAsiaTheme="majorEastAsia"/>
          <w:rtl/>
        </w:rPr>
        <w:t>לְ</w:t>
      </w:r>
      <w:r>
        <w:rPr>
          <w:rtl/>
        </w:rPr>
        <w:t xml:space="preserve"> </w:t>
      </w:r>
      <w:r>
        <w:t xml:space="preserve">mit </w:t>
      </w:r>
      <w:r>
        <w:rPr>
          <w:rStyle w:val="Fett"/>
          <w:rFonts w:eastAsiaTheme="majorEastAsia"/>
          <w:rtl/>
        </w:rPr>
        <w:t>לָשׁוֹן</w:t>
      </w:r>
      <w:r>
        <w:t>, „Zunge, Sprache", mit Suffix 3. Person Maskulinum Singular).</w:t>
      </w:r>
    </w:p>
    <w:p w14:paraId="57FE08BB" w14:textId="20CEFB9E" w:rsidR="005D0B3C" w:rsidRDefault="005D0B3C" w:rsidP="005D0B3C">
      <w:pPr>
        <w:pStyle w:val="whitespace-normal"/>
      </w:pPr>
      <w:r>
        <w:t xml:space="preserve">Der Vers beginnt den letzten großen Abschnitt (V. 49-68): die detaillierte Beschreibung der feindlichen Invasion und ihrer Folgen. Die erste Beschreibung: </w:t>
      </w:r>
      <w:r>
        <w:rPr>
          <w:rStyle w:val="Fett"/>
          <w:rFonts w:eastAsiaTheme="majorEastAsia"/>
          <w:rtl/>
        </w:rPr>
        <w:t>יִשָּׂא יְהוָה עָלֶיךָ גּוֹי מֵרָחוֹק מִקְצֵה הָאָרֶץ כַּאֲשֶׁר יִדְאֶה הַנָּשֶׁר</w:t>
      </w:r>
      <w:r>
        <w:rPr>
          <w:rtl/>
        </w:rPr>
        <w:t xml:space="preserve"> </w:t>
      </w:r>
      <w:r>
        <w:t xml:space="preserve">(„herbeiführen wird JHWH gegen dich eine Nation von ferne, vom Ende der Erde, gleichwie fliegt der Adler"). JHWH ist das handelnde Subjekt – er bringt den Feind. Die Formulierung </w:t>
      </w:r>
      <w:r>
        <w:rPr>
          <w:rStyle w:val="Fett"/>
          <w:rFonts w:eastAsiaTheme="majorEastAsia"/>
          <w:rtl/>
        </w:rPr>
        <w:t>מֵרָחוֹק מִקְצֵה הָאָרֶץ</w:t>
      </w:r>
      <w:r>
        <w:rPr>
          <w:rtl/>
        </w:rPr>
        <w:t xml:space="preserve"> </w:t>
      </w:r>
      <w:r>
        <w:t xml:space="preserve">(„von ferne, vom Ende der Erde") betont die weite Entfernung. Der Vergleich </w:t>
      </w:r>
      <w:r>
        <w:rPr>
          <w:rStyle w:val="Fett"/>
          <w:rFonts w:eastAsiaTheme="majorEastAsia"/>
          <w:rtl/>
        </w:rPr>
        <w:t>כַּאֲשֶׁר יִדְאֶה הַנָּשֶׁר</w:t>
      </w:r>
      <w:r>
        <w:rPr>
          <w:rtl/>
        </w:rPr>
        <w:t xml:space="preserve"> </w:t>
      </w:r>
      <w:r>
        <w:t xml:space="preserve">(„gleichwie fliegt der Adler") – Geschwindigkeit und Unaufhaltsamkeit des Angriffs. Die zweite Beschreibung: </w:t>
      </w:r>
      <w:r>
        <w:rPr>
          <w:rStyle w:val="Fett"/>
          <w:rFonts w:eastAsiaTheme="majorEastAsia"/>
          <w:rtl/>
        </w:rPr>
        <w:t>גּוֹי אֲשֶׁר לֹא־תִשְׁמַע לְשֹׁנוֹ</w:t>
      </w:r>
      <w:r>
        <w:rPr>
          <w:rtl/>
        </w:rPr>
        <w:t xml:space="preserve"> </w:t>
      </w:r>
      <w:r>
        <w:t>(„eine Nation, deren Sprache du nicht verstehst"). Völlige Fremdheit – keine Kommunikation möglich (vgl. Jes 28,11; 33,19; Jer 5,15).</w:t>
      </w:r>
    </w:p>
    <w:p w14:paraId="3F9791AC" w14:textId="303D5103" w:rsidR="001A04EF" w:rsidRDefault="001A04EF" w:rsidP="005D0B3C">
      <w:pPr>
        <w:pStyle w:val="whitespace-normal"/>
      </w:pPr>
      <w:r>
        <w:rPr>
          <w:rStyle w:val="Fett"/>
        </w:rPr>
        <w:t>Die LXX</w:t>
      </w:r>
      <w:r>
        <w:t xml:space="preserve"> übersetzt </w:t>
      </w:r>
      <w:r>
        <w:rPr>
          <w:rtl/>
        </w:rPr>
        <w:t>כַּאֲשֶׁר יִדְאֶה הַנָּשֶׁר</w:t>
      </w:r>
      <w:r>
        <w:t xml:space="preserve"> (wie ein Adler herabstößt) mit </w:t>
      </w:r>
      <w:proofErr w:type="spellStart"/>
      <w:r>
        <w:t>ὡσεὶ</w:t>
      </w:r>
      <w:proofErr w:type="spellEnd"/>
      <w:r>
        <w:t xml:space="preserve"> </w:t>
      </w:r>
      <w:proofErr w:type="spellStart"/>
      <w:r>
        <w:t>ὅρμημ</w:t>
      </w:r>
      <w:proofErr w:type="spellEnd"/>
      <w:r>
        <w:t xml:space="preserve">α </w:t>
      </w:r>
      <w:proofErr w:type="spellStart"/>
      <w:r>
        <w:t>ἀετοῦ</w:t>
      </w:r>
      <w:proofErr w:type="spellEnd"/>
      <w:r>
        <w:t xml:space="preserve"> (wie ein Ansturm eines Adlers) – wobei </w:t>
      </w:r>
      <w:proofErr w:type="spellStart"/>
      <w:r>
        <w:t>ὅρμημ</w:t>
      </w:r>
      <w:proofErr w:type="spellEnd"/>
      <w:r>
        <w:t>α "Ansturm, Angriff" bedeutet.</w:t>
      </w:r>
    </w:p>
    <w:p w14:paraId="47A1CB98" w14:textId="77777777" w:rsidR="005D0B3C" w:rsidRDefault="005D0B3C" w:rsidP="005D0B3C">
      <w:pPr>
        <w:pStyle w:val="whitespace-normal"/>
      </w:pPr>
      <w:r>
        <w:rPr>
          <w:rStyle w:val="Fett"/>
          <w:rFonts w:eastAsiaTheme="majorEastAsia"/>
        </w:rPr>
        <w:t>Die Satzstruktur:</w:t>
      </w:r>
      <w:r>
        <w:t xml:space="preserve"> Zwei Beschreibungen (herbeiführen wird JHWH gegen dich eine Nation von ferne, vom Ende der Erde, gleichwie fliegt der Adler, eine Nation, deren Sprache du nicht verstehst).</w:t>
      </w:r>
    </w:p>
    <w:p w14:paraId="6718ADC2" w14:textId="1E4ECFE9" w:rsidR="005D0B3C" w:rsidRDefault="005D0B3C" w:rsidP="00564C2A">
      <w:pPr>
        <w:pStyle w:val="whitespace-normal"/>
      </w:pPr>
      <w:r>
        <w:rPr>
          <w:rStyle w:val="Fett"/>
          <w:rFonts w:eastAsiaTheme="majorEastAsia"/>
        </w:rPr>
        <w:t>Der Vers beschreibt:</w:t>
      </w:r>
      <w:r>
        <w:t xml:space="preserve"> Feindliche Invasion – eine ferne, schnelle Nation mit fremder Sprache wird von JHWH herbeigeführt.</w:t>
      </w:r>
    </w:p>
    <w:p w14:paraId="38CECCCF" w14:textId="77777777" w:rsidR="005D0B3C" w:rsidRPr="008D48A3" w:rsidRDefault="005D0B3C" w:rsidP="008D48A3">
      <w:pPr>
        <w:pStyle w:val="Bibelberschrift"/>
      </w:pPr>
      <w:r w:rsidRPr="008D48A3">
        <w:rPr>
          <w:rStyle w:val="Fett"/>
          <w:b/>
          <w:bCs w:val="0"/>
        </w:rPr>
        <w:t>Deuteronomium 28,50</w:t>
      </w:r>
    </w:p>
    <w:p w14:paraId="7093F92A" w14:textId="77777777" w:rsidR="005D0B3C" w:rsidRDefault="005D0B3C" w:rsidP="005D0B3C">
      <w:pPr>
        <w:pStyle w:val="whitespace-normal"/>
      </w:pPr>
      <w:r>
        <w:rPr>
          <w:rStyle w:val="Fett"/>
          <w:rFonts w:eastAsiaTheme="majorEastAsia"/>
        </w:rPr>
        <w:t>Hebräisch:</w:t>
      </w:r>
      <w:r>
        <w:t xml:space="preserve"> </w:t>
      </w:r>
      <w:r>
        <w:rPr>
          <w:rtl/>
        </w:rPr>
        <w:t>גּוֹי עַז פָּנִים אֲשֶׁר לֹא־יִשָּׂא פָנִים לְזָקֵן וְנַעַר לֹא יָחֹֽן׃</w:t>
      </w:r>
    </w:p>
    <w:p w14:paraId="77CAA389" w14:textId="77777777" w:rsidR="005D0B3C" w:rsidRDefault="005D0B3C" w:rsidP="005D0B3C">
      <w:pPr>
        <w:pStyle w:val="whitespace-normal"/>
      </w:pPr>
      <w:r>
        <w:rPr>
          <w:rStyle w:val="Fett"/>
          <w:rFonts w:eastAsiaTheme="majorEastAsia"/>
        </w:rPr>
        <w:t>Deutsch:</w:t>
      </w:r>
      <w:r>
        <w:t xml:space="preserve"> Eine Nation harten Angesichts, die die Person des Greises nicht ansieht und des Knaben sich nicht erbarmt.</w:t>
      </w:r>
    </w:p>
    <w:p w14:paraId="33F0B289" w14:textId="77777777" w:rsidR="005D0B3C" w:rsidRDefault="004F5CEB" w:rsidP="005D0B3C">
      <w:r>
        <w:rPr>
          <w:noProof/>
        </w:rPr>
        <w:pict w14:anchorId="275CD1A2">
          <v:rect id="_x0000_i1794" style="width:0;height:1.5pt" o:hralign="center" o:hrstd="t" o:hr="t" fillcolor="#a0a0a0" stroked="f"/>
        </w:pict>
      </w:r>
    </w:p>
    <w:p w14:paraId="33FDFDAC" w14:textId="77777777" w:rsidR="005D0B3C" w:rsidRDefault="005D0B3C" w:rsidP="005D0B3C">
      <w:pPr>
        <w:pStyle w:val="whitespace-normal"/>
      </w:pPr>
      <w:r>
        <w:rPr>
          <w:rStyle w:val="Fett"/>
          <w:rFonts w:eastAsiaTheme="majorEastAsia"/>
        </w:rPr>
        <w:t>Kommentar:</w:t>
      </w:r>
      <w:r>
        <w:t xml:space="preserve"> </w:t>
      </w:r>
      <w:r>
        <w:rPr>
          <w:rStyle w:val="Fett"/>
          <w:rFonts w:eastAsiaTheme="majorEastAsia"/>
          <w:rtl/>
        </w:rPr>
        <w:t>גּוֹי עַז פָּנִים אֲשֶׁר לֹא־יִשָּׂא פָנִים לְזָקֵן וְנַעַר לֹא יָחֹן</w:t>
      </w:r>
      <w:r>
        <w:rPr>
          <w:rtl/>
        </w:rPr>
        <w:t xml:space="preserve"> </w:t>
      </w:r>
      <w:r>
        <w:t xml:space="preserve">sind zwei Beschreibungen: </w:t>
      </w:r>
      <w:r>
        <w:rPr>
          <w:rStyle w:val="Fett"/>
          <w:rFonts w:eastAsiaTheme="majorEastAsia"/>
          <w:rtl/>
        </w:rPr>
        <w:t>גּוֹי עַז פָּנִים</w:t>
      </w:r>
      <w:r>
        <w:rPr>
          <w:rtl/>
        </w:rPr>
        <w:t xml:space="preserve"> </w:t>
      </w:r>
      <w:r>
        <w:t>(</w:t>
      </w:r>
      <w:r>
        <w:rPr>
          <w:rStyle w:val="Fett"/>
          <w:rFonts w:eastAsiaTheme="majorEastAsia"/>
          <w:rtl/>
        </w:rPr>
        <w:t>גּוֹי</w:t>
      </w:r>
      <w:r>
        <w:t xml:space="preserve">, </w:t>
      </w:r>
      <w:r>
        <w:rPr>
          <w:rStyle w:val="Fett"/>
          <w:rFonts w:eastAsiaTheme="majorEastAsia"/>
          <w:rtl/>
        </w:rPr>
        <w:t>עַז</w:t>
      </w:r>
      <w:r>
        <w:t xml:space="preserve">, „stark, hart, grausam", Construct mit </w:t>
      </w:r>
      <w:r>
        <w:rPr>
          <w:rStyle w:val="Fett"/>
          <w:rFonts w:eastAsiaTheme="majorEastAsia"/>
          <w:rtl/>
        </w:rPr>
        <w:t>פָּנִים</w:t>
      </w:r>
      <w:r>
        <w:t xml:space="preserve">, „Angesicht" – „harten Angesichts" = gnadenlos), </w:t>
      </w:r>
      <w:r>
        <w:rPr>
          <w:rStyle w:val="Fett"/>
          <w:rFonts w:eastAsiaTheme="majorEastAsia"/>
          <w:rtl/>
        </w:rPr>
        <w:t>אֲשֶׁר לֹא־יִשָּׂא פָנִים לְזָקֵן וְנַעַר לֹא יָחֹן</w:t>
      </w:r>
      <w:r>
        <w:rPr>
          <w:rtl/>
        </w:rPr>
        <w:t xml:space="preserve"> </w:t>
      </w:r>
      <w:r>
        <w:t xml:space="preserve">(Relativsatz: </w:t>
      </w:r>
      <w:r>
        <w:rPr>
          <w:rStyle w:val="Fett"/>
          <w:rFonts w:eastAsiaTheme="majorEastAsia"/>
          <w:rtl/>
        </w:rPr>
        <w:t>אֲשֶׁר</w:t>
      </w:r>
      <w:r>
        <w:rPr>
          <w:rtl/>
        </w:rPr>
        <w:t xml:space="preserve"> </w:t>
      </w:r>
      <w:r>
        <w:t xml:space="preserve">mit Negation, </w:t>
      </w:r>
      <w:r>
        <w:rPr>
          <w:rStyle w:val="Fett"/>
          <w:rFonts w:eastAsiaTheme="majorEastAsia"/>
          <w:rtl/>
        </w:rPr>
        <w:t>נשׂא פָּנִים</w:t>
      </w:r>
      <w:r>
        <w:t xml:space="preserve">, Redewendung, „die Person ansehen, Rücksicht nehmen", Qal Imperfekt, 3. Person Maskulinum Singular, Präposition </w:t>
      </w:r>
      <w:r>
        <w:rPr>
          <w:rStyle w:val="Fett"/>
          <w:rFonts w:eastAsiaTheme="majorEastAsia"/>
          <w:rtl/>
        </w:rPr>
        <w:t>לְ</w:t>
      </w:r>
      <w:r>
        <w:rPr>
          <w:rtl/>
        </w:rPr>
        <w:t xml:space="preserve"> </w:t>
      </w:r>
      <w:r>
        <w:t xml:space="preserve">mit </w:t>
      </w:r>
      <w:r>
        <w:rPr>
          <w:rStyle w:val="Fett"/>
          <w:rFonts w:eastAsiaTheme="majorEastAsia"/>
          <w:rtl/>
        </w:rPr>
        <w:t>זָקֵן</w:t>
      </w:r>
      <w:r>
        <w:t xml:space="preserve">, „Greis, Alter", koordiniert durch </w:t>
      </w:r>
      <w:r>
        <w:rPr>
          <w:rStyle w:val="Fett"/>
          <w:rFonts w:eastAsiaTheme="majorEastAsia"/>
          <w:rtl/>
        </w:rPr>
        <w:t>וְ</w:t>
      </w:r>
      <w:r>
        <w:rPr>
          <w:rtl/>
        </w:rPr>
        <w:t xml:space="preserve"> </w:t>
      </w:r>
      <w:r>
        <w:t xml:space="preserve">mit </w:t>
      </w:r>
      <w:r>
        <w:rPr>
          <w:rStyle w:val="Fett"/>
          <w:rFonts w:eastAsiaTheme="majorEastAsia"/>
          <w:rtl/>
        </w:rPr>
        <w:t>נַעַר</w:t>
      </w:r>
      <w:r>
        <w:t xml:space="preserve">, „Knabe, Junge", Negation, </w:t>
      </w:r>
      <w:r>
        <w:rPr>
          <w:rStyle w:val="Fett"/>
          <w:rFonts w:eastAsiaTheme="majorEastAsia"/>
          <w:rtl/>
        </w:rPr>
        <w:t>חנן</w:t>
      </w:r>
      <w:r>
        <w:t>, Qal Imperfekt, 3. Person Maskulinum Singular, „sich erbarmen, gnädig sein").</w:t>
      </w:r>
    </w:p>
    <w:p w14:paraId="31F98966" w14:textId="77777777" w:rsidR="005D0B3C" w:rsidRDefault="005D0B3C" w:rsidP="005D0B3C">
      <w:pPr>
        <w:pStyle w:val="whitespace-normal"/>
      </w:pPr>
      <w:r>
        <w:lastRenderedPageBreak/>
        <w:t xml:space="preserve">Der Vers charakterisiert die feindliche Nation weiter. Die erste Beschreibung: </w:t>
      </w:r>
      <w:r>
        <w:rPr>
          <w:rStyle w:val="Fett"/>
          <w:rFonts w:eastAsiaTheme="majorEastAsia"/>
          <w:rtl/>
        </w:rPr>
        <w:t>גּוֹי עַז פָּנִים</w:t>
      </w:r>
      <w:r>
        <w:rPr>
          <w:rtl/>
        </w:rPr>
        <w:t xml:space="preserve"> </w:t>
      </w:r>
      <w:r>
        <w:t xml:space="preserve">(„eine Nation harten Angesichts"). Die Formulierung </w:t>
      </w:r>
      <w:r>
        <w:rPr>
          <w:rStyle w:val="Fett"/>
          <w:rFonts w:eastAsiaTheme="majorEastAsia"/>
          <w:rtl/>
        </w:rPr>
        <w:t>עַז פָּנִים</w:t>
      </w:r>
      <w:r>
        <w:rPr>
          <w:rtl/>
        </w:rPr>
        <w:t xml:space="preserve"> </w:t>
      </w:r>
      <w:r>
        <w:t xml:space="preserve">(„harten Angesichts") bedeutet: unbarmherzig, gnadenlos, unerbittlich (vgl. Dan 8,23). Die zweite Beschreibung: </w:t>
      </w:r>
      <w:r>
        <w:rPr>
          <w:rStyle w:val="Fett"/>
          <w:rFonts w:eastAsiaTheme="majorEastAsia"/>
          <w:rtl/>
        </w:rPr>
        <w:t>אֲשֶׁר לֹא־יִשָּׂא פָנִים לְזָקֵן וְנַעַר לֹא יָחֹן</w:t>
      </w:r>
      <w:r>
        <w:rPr>
          <w:rtl/>
        </w:rPr>
        <w:t xml:space="preserve"> </w:t>
      </w:r>
      <w:r>
        <w:t>(„die nicht ansieht die Person des Greises, und des Knaben sich nicht erbarmt"). Merismus: weder Alte (die Respekt verdienen) noch Junge (die Mitleid verdienen) werden verschont – totale Rücksichtslosigkeit gegen alle Altersgruppen (vgl. Jes 47,6; Klgl 4,16; 5,12).</w:t>
      </w:r>
    </w:p>
    <w:p w14:paraId="4D18E6B2" w14:textId="77777777" w:rsidR="005D0B3C" w:rsidRDefault="005D0B3C" w:rsidP="005D0B3C">
      <w:pPr>
        <w:pStyle w:val="whitespace-normal"/>
      </w:pPr>
      <w:r>
        <w:rPr>
          <w:rStyle w:val="Fett"/>
          <w:rFonts w:eastAsiaTheme="majorEastAsia"/>
        </w:rPr>
        <w:t>Die Satzstruktur:</w:t>
      </w:r>
      <w:r>
        <w:t xml:space="preserve"> Zwei Beschreibungen (eine Nation harten Angesichts, die nicht ansieht die Person des Greises, und des Knaben sich nicht erbarmt).</w:t>
      </w:r>
    </w:p>
    <w:p w14:paraId="4F570FEF" w14:textId="77777777" w:rsidR="005D0B3C" w:rsidRDefault="005D0B3C" w:rsidP="005D0B3C">
      <w:pPr>
        <w:pStyle w:val="whitespace-normal"/>
      </w:pPr>
      <w:r>
        <w:rPr>
          <w:rStyle w:val="Fett"/>
          <w:rFonts w:eastAsiaTheme="majorEastAsia"/>
        </w:rPr>
        <w:t>Der Vers beschreibt:</w:t>
      </w:r>
      <w:r>
        <w:t xml:space="preserve"> Charakter der feindlichen Nation – gnadenlos gegen Alt und Jung.</w:t>
      </w:r>
    </w:p>
    <w:p w14:paraId="2100C32E" w14:textId="77777777" w:rsidR="005D0B3C" w:rsidRPr="008A57FB" w:rsidRDefault="005D0B3C" w:rsidP="005D0B3C">
      <w:pPr>
        <w:pStyle w:val="berschrift1"/>
        <w:rPr>
          <w:rFonts w:ascii="Times New Roman" w:hAnsi="Times New Roman"/>
          <w:color w:val="auto"/>
          <w:sz w:val="48"/>
          <w:szCs w:val="48"/>
        </w:rPr>
      </w:pPr>
      <w:r w:rsidRPr="008A57FB">
        <w:rPr>
          <w:rStyle w:val="Fett"/>
          <w:rFonts w:ascii="Times New Roman" w:hAnsi="Times New Roman"/>
          <w:color w:val="auto"/>
          <w:sz w:val="48"/>
          <w:szCs w:val="48"/>
        </w:rPr>
        <w:t>Deuteronomium 28,51</w:t>
      </w:r>
    </w:p>
    <w:p w14:paraId="354C769B" w14:textId="77777777" w:rsidR="005D0B3C" w:rsidRDefault="005D0B3C" w:rsidP="005D0B3C">
      <w:pPr>
        <w:pStyle w:val="whitespace-normal"/>
      </w:pPr>
      <w:r>
        <w:rPr>
          <w:rStyle w:val="Fett"/>
          <w:rFonts w:eastAsiaTheme="majorEastAsia"/>
        </w:rPr>
        <w:t>Hebräisch:</w:t>
      </w:r>
      <w:r>
        <w:t xml:space="preserve"> </w:t>
      </w:r>
      <w:r>
        <w:rPr>
          <w:rtl/>
        </w:rPr>
        <w:t>וְאָכַל פְּרִי בְהֶמְתְּךָ וּפְרִֽי־אַדְמָתְךָ עַד הִשָּֽׁמְדָךְ אֲשֶׁר לֹֽא־יַשְׁאִיר לְךָ דָּגָן תִּירוֹשׁ וְיִצְהָר שְׁגַר אֲלָפֶיךָ וְעַשְׁתְּרֹת צֹאנֶךָ עַד הַאֲבִידוֹ אֹתָֽךְ׃</w:t>
      </w:r>
    </w:p>
    <w:p w14:paraId="26F93CBD" w14:textId="7AD5894A" w:rsidR="005D0B3C" w:rsidRDefault="005D0B3C" w:rsidP="00564C2A">
      <w:pPr>
        <w:pStyle w:val="whitespace-normal"/>
      </w:pPr>
      <w:r>
        <w:rPr>
          <w:rStyle w:val="Fett"/>
          <w:rFonts w:eastAsiaTheme="majorEastAsia"/>
        </w:rPr>
        <w:t>Deutsch:</w:t>
      </w:r>
      <w:r>
        <w:t xml:space="preserve"> Und sie wird verzehren die Frucht deines Viehs und die Frucht deines Landes, bis du vertilgt bist; sie wird dir nichts übriglassen von Korn, Most und Öl, vom Wurf deiner Rinder und von der Zucht deiner Schafe, bis sie dich zugrunde richtet.</w:t>
      </w:r>
    </w:p>
    <w:p w14:paraId="429BEB9D" w14:textId="77777777" w:rsidR="005D0B3C" w:rsidRDefault="005D0B3C" w:rsidP="005D0B3C">
      <w:pPr>
        <w:pStyle w:val="whitespace-normal"/>
      </w:pPr>
      <w:r>
        <w:rPr>
          <w:rStyle w:val="Fett"/>
          <w:rFonts w:eastAsiaTheme="majorEastAsia"/>
        </w:rPr>
        <w:t>Kommentar:</w:t>
      </w:r>
      <w:r>
        <w:t xml:space="preserve"> </w:t>
      </w:r>
      <w:r>
        <w:rPr>
          <w:rStyle w:val="Fett"/>
          <w:rFonts w:eastAsiaTheme="majorEastAsia"/>
          <w:rtl/>
        </w:rPr>
        <w:t>וְאָכַל פְּרִי בְהֶמְתְּךָ וּפְרִי־אַדְמָתְךָ עַד הִשָּׁמְדָךְ אֲשֶׁר לֹא־יַשְׁאִיר לְךָ דָּגָן תִּירוֹשׁ וְיִצְהָר שְׁגַר אֲלָפֶיךָ וְעַשְׁתְּרֹת צֹאנֶךָ עַד הַאֲבִידוֹ אֹתָךְ</w:t>
      </w:r>
      <w:r>
        <w:rPr>
          <w:rtl/>
        </w:rPr>
        <w:t xml:space="preserve"> </w:t>
      </w:r>
      <w:r>
        <w:t xml:space="preserve">sind zwei Aussagen: </w:t>
      </w:r>
      <w:r>
        <w:rPr>
          <w:rStyle w:val="Fett"/>
          <w:rFonts w:eastAsiaTheme="majorEastAsia"/>
          <w:rtl/>
        </w:rPr>
        <w:t>וְאָכַל פְּרִי בְהֶמְתְּךָ וּפְרִי־אַדְמָתְךָ עַד הִשָּׁמְדָךְ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אכל</w:t>
      </w:r>
      <w:r>
        <w:t xml:space="preserve">, Qal Perfekt, 3. Person Maskulinum Singular (die Nation als Subjekt), </w:t>
      </w:r>
      <w:r>
        <w:rPr>
          <w:rStyle w:val="Fett"/>
          <w:rFonts w:eastAsiaTheme="majorEastAsia"/>
          <w:rtl/>
        </w:rPr>
        <w:t>פְּרִי בְהֶמְתְּךָ</w:t>
      </w:r>
      <w:r>
        <w:t xml:space="preserve">, koordiniert mit </w:t>
      </w:r>
      <w:r>
        <w:rPr>
          <w:rStyle w:val="Fett"/>
          <w:rFonts w:eastAsiaTheme="majorEastAsia"/>
          <w:rtl/>
        </w:rPr>
        <w:t>פְּרִי־אַדְמָתְךָ</w:t>
      </w:r>
      <w:r>
        <w:t xml:space="preserve">, Präposition </w:t>
      </w:r>
      <w:r>
        <w:rPr>
          <w:rStyle w:val="Fett"/>
          <w:rFonts w:eastAsiaTheme="majorEastAsia"/>
          <w:rtl/>
        </w:rPr>
        <w:t>עַד</w:t>
      </w:r>
      <w:r>
        <w:rPr>
          <w:rtl/>
        </w:rPr>
        <w:t xml:space="preserve"> </w:t>
      </w:r>
      <w:r>
        <w:t xml:space="preserve">mit Niphal Infinitiv Construct von </w:t>
      </w:r>
      <w:r>
        <w:rPr>
          <w:rStyle w:val="Fett"/>
          <w:rFonts w:eastAsiaTheme="majorEastAsia"/>
          <w:rtl/>
        </w:rPr>
        <w:t>שׁמד</w:t>
      </w:r>
      <w:r>
        <w:t xml:space="preserve">, mit Suffix, mit </w:t>
      </w:r>
      <w:r>
        <w:rPr>
          <w:rStyle w:val="Fett"/>
          <w:rFonts w:eastAsiaTheme="majorEastAsia"/>
        </w:rPr>
        <w:t>Waw</w:t>
      </w:r>
      <w:r>
        <w:t xml:space="preserve"> consecutives Perfekt), </w:t>
      </w:r>
      <w:r>
        <w:rPr>
          <w:rStyle w:val="Fett"/>
          <w:rFonts w:eastAsiaTheme="majorEastAsia"/>
          <w:rtl/>
        </w:rPr>
        <w:t>אֲשֶׁר לֹא־יַשְׁאִיר לְךָ דָּגָן תִּירוֹשׁ וְיִצְהָר שְׁגַר אֲלָפֶיךָ וְעַשְׁתְּרֹת צֹאנֶךָ עַד הַאֲבִידוֹ אֹתָךְ</w:t>
      </w:r>
      <w:r>
        <w:rPr>
          <w:rtl/>
        </w:rPr>
        <w:t xml:space="preserve"> </w:t>
      </w:r>
      <w:r>
        <w:t xml:space="preserve">(Relativsatz: </w:t>
      </w:r>
      <w:r>
        <w:rPr>
          <w:rStyle w:val="Fett"/>
          <w:rFonts w:eastAsiaTheme="majorEastAsia"/>
          <w:rtl/>
        </w:rPr>
        <w:t>אֲשֶׁר</w:t>
      </w:r>
      <w:r>
        <w:rPr>
          <w:rtl/>
        </w:rPr>
        <w:t xml:space="preserve"> </w:t>
      </w:r>
      <w:r>
        <w:t xml:space="preserve">mit Negation, </w:t>
      </w:r>
      <w:r>
        <w:rPr>
          <w:rStyle w:val="Fett"/>
          <w:rFonts w:eastAsiaTheme="majorEastAsia"/>
          <w:rtl/>
        </w:rPr>
        <w:t>שׁאר</w:t>
      </w:r>
      <w:r>
        <w:t xml:space="preserve">, Hiphil Imperfekt, 3. Person Maskulinum Singular, „übriglassen", </w:t>
      </w:r>
      <w:r>
        <w:rPr>
          <w:rStyle w:val="Fett"/>
          <w:rFonts w:eastAsiaTheme="majorEastAsia"/>
          <w:rtl/>
        </w:rPr>
        <w:t>לְךָ</w:t>
      </w:r>
      <w:r>
        <w:t xml:space="preserve">, fünf Objekte ohne Artikel: </w:t>
      </w:r>
      <w:r>
        <w:rPr>
          <w:rStyle w:val="Fett"/>
          <w:rFonts w:eastAsiaTheme="majorEastAsia"/>
          <w:rtl/>
        </w:rPr>
        <w:t>דָּגָן</w:t>
      </w:r>
      <w:r>
        <w:t xml:space="preserve">, „Korn, Getreide", </w:t>
      </w:r>
      <w:r>
        <w:rPr>
          <w:rStyle w:val="Fett"/>
          <w:rFonts w:eastAsiaTheme="majorEastAsia"/>
          <w:rtl/>
        </w:rPr>
        <w:t>תִּירוֹשׁ</w:t>
      </w:r>
      <w:r>
        <w:t xml:space="preserve">, „Most, neuer Wein", </w:t>
      </w:r>
      <w:r>
        <w:rPr>
          <w:rStyle w:val="Fett"/>
          <w:rFonts w:eastAsiaTheme="majorEastAsia"/>
          <w:rtl/>
        </w:rPr>
        <w:t>יִצְהָר</w:t>
      </w:r>
      <w:r>
        <w:t xml:space="preserve">, „Öl", </w:t>
      </w:r>
      <w:r>
        <w:rPr>
          <w:rStyle w:val="Fett"/>
          <w:rFonts w:eastAsiaTheme="majorEastAsia"/>
          <w:rtl/>
        </w:rPr>
        <w:t>שְׁגַר אֲלָפֶיךָ וְעַשְׁתְּרֹת צֹאנֶךָ</w:t>
      </w:r>
      <w:r>
        <w:rPr>
          <w:rtl/>
        </w:rPr>
        <w:t xml:space="preserve"> </w:t>
      </w:r>
      <w:r>
        <w:t xml:space="preserve">wie V. 4, Präposition </w:t>
      </w:r>
      <w:r>
        <w:rPr>
          <w:rStyle w:val="Fett"/>
          <w:rFonts w:eastAsiaTheme="majorEastAsia"/>
          <w:rtl/>
        </w:rPr>
        <w:t>עַד</w:t>
      </w:r>
      <w:r>
        <w:rPr>
          <w:rtl/>
        </w:rPr>
        <w:t xml:space="preserve"> </w:t>
      </w:r>
      <w:r>
        <w:t xml:space="preserve">mit Hiphil Infinitiv Construct von </w:t>
      </w:r>
      <w:r>
        <w:rPr>
          <w:rStyle w:val="Fett"/>
          <w:rFonts w:eastAsiaTheme="majorEastAsia"/>
          <w:rtl/>
        </w:rPr>
        <w:t>אבד</w:t>
      </w:r>
      <w:r>
        <w:t xml:space="preserve">, mit Suffix 3. Person Maskulinum Singular, Objektpartikel </w:t>
      </w:r>
      <w:r>
        <w:rPr>
          <w:rStyle w:val="Fett"/>
          <w:rFonts w:eastAsiaTheme="majorEastAsia"/>
          <w:rtl/>
        </w:rPr>
        <w:t>אֵת</w:t>
      </w:r>
      <w:r>
        <w:rPr>
          <w:rtl/>
        </w:rPr>
        <w:t xml:space="preserve"> </w:t>
      </w:r>
      <w:r>
        <w:t>mit Suffix 2. Person Maskulinum Singular).</w:t>
      </w:r>
    </w:p>
    <w:p w14:paraId="72AAAE6A" w14:textId="77777777" w:rsidR="005D0B3C" w:rsidRDefault="005D0B3C" w:rsidP="005D0B3C">
      <w:pPr>
        <w:pStyle w:val="whitespace-normal"/>
      </w:pPr>
      <w:r>
        <w:t xml:space="preserve">Der Vers beschreibt die totale Plünderung durch die feindliche Nation. Die erste Aussage: </w:t>
      </w:r>
      <w:r>
        <w:rPr>
          <w:rStyle w:val="Fett"/>
          <w:rFonts w:eastAsiaTheme="majorEastAsia"/>
          <w:rtl/>
        </w:rPr>
        <w:t>וְאָכַל פְּרִי בְהֶמְתְּךָ וּפְרִי־אַדְמָתְךָ עַד הִשָּׁמְדָךְ</w:t>
      </w:r>
      <w:r>
        <w:rPr>
          <w:rtl/>
        </w:rPr>
        <w:t xml:space="preserve"> </w:t>
      </w:r>
      <w:r>
        <w:t xml:space="preserve">(„und verzehren wird sie die Frucht deines Viehs und die Frucht deines Landes, bis du vertilgt bist"). Die beiden Begriffe </w:t>
      </w:r>
      <w:r>
        <w:rPr>
          <w:rStyle w:val="Fett"/>
          <w:rFonts w:eastAsiaTheme="majorEastAsia"/>
          <w:rtl/>
        </w:rPr>
        <w:t>פְּרִי בְהֶמְתְּךָ וּפְרִי־אַדְמָתְךָ</w:t>
      </w:r>
      <w:r>
        <w:rPr>
          <w:rtl/>
        </w:rPr>
        <w:t xml:space="preserve"> </w:t>
      </w:r>
      <w:r>
        <w:t xml:space="preserve">umfassen alle Nahrungsressourcen (vgl. V. 4, 11, 18). Die Formulierung </w:t>
      </w:r>
      <w:r>
        <w:rPr>
          <w:rStyle w:val="Fett"/>
          <w:rFonts w:eastAsiaTheme="majorEastAsia"/>
          <w:rtl/>
        </w:rPr>
        <w:t>עַד הִשָּׁמְדָךְ</w:t>
      </w:r>
      <w:r>
        <w:rPr>
          <w:rtl/>
        </w:rPr>
        <w:t xml:space="preserve"> </w:t>
      </w:r>
      <w:r>
        <w:t xml:space="preserve">(„bis du vertilgt bist") – die Plünderung dauert bis zur totalen Vernichtung. Die zweite Aussage: </w:t>
      </w:r>
      <w:r>
        <w:rPr>
          <w:rStyle w:val="Fett"/>
          <w:rFonts w:eastAsiaTheme="majorEastAsia"/>
          <w:rtl/>
        </w:rPr>
        <w:t>אֲשֶׁר לֹא־יַשְׁאִיר לְךָ דָּגָן תִּירוֹשׁ וְיִצְהָר שְׁגַר אֲלָפֶיךָ וְעַשְׁתְּרֹת צֹאנֶךָ עַד הַאֲבִידוֹ אֹתָךְ</w:t>
      </w:r>
      <w:r>
        <w:rPr>
          <w:rtl/>
        </w:rPr>
        <w:t xml:space="preserve"> </w:t>
      </w:r>
      <w:r>
        <w:t xml:space="preserve">(„die nicht übriglassen wird dir Korn, Most und Öl, Wurf deiner Rinder und Zucht deiner Schafe, bis sie dich zugrunde richtet"). Die Trias </w:t>
      </w:r>
      <w:r>
        <w:rPr>
          <w:rStyle w:val="Fett"/>
          <w:rFonts w:eastAsiaTheme="majorEastAsia"/>
          <w:rtl/>
        </w:rPr>
        <w:t>דָּגָן תִּירוֹשׁ וְיִצְהָר</w:t>
      </w:r>
      <w:r>
        <w:rPr>
          <w:rtl/>
        </w:rPr>
        <w:t xml:space="preserve"> </w:t>
      </w:r>
      <w:r>
        <w:t>(„Korn, Most und Öl") ist die klassische Formel für landwirtschaftliche Produkte (vgl. 7,13; 11,14; 12,17; 14,23; 18,4). Nichts bleibt übrig.</w:t>
      </w:r>
    </w:p>
    <w:p w14:paraId="18F2042F" w14:textId="77777777" w:rsidR="005D0B3C" w:rsidRDefault="005D0B3C" w:rsidP="005D0B3C">
      <w:pPr>
        <w:pStyle w:val="whitespace-normal"/>
      </w:pPr>
      <w:r>
        <w:rPr>
          <w:rStyle w:val="Fett"/>
          <w:rFonts w:eastAsiaTheme="majorEastAsia"/>
        </w:rPr>
        <w:t>Die Satzstruktur:</w:t>
      </w:r>
      <w:r>
        <w:t xml:space="preserve"> Zwei Aussagen (und verzehren wird sie die Frucht deines Viehs und die Frucht deines Landes, bis du vertilgt bist; die nicht übriglassen wird dir Korn, Most und Öl, Wurf deiner Rinder und Zucht deiner Schafe, bis sie dich zugrunde richtet).</w:t>
      </w:r>
    </w:p>
    <w:p w14:paraId="1E97DB9B" w14:textId="5439130D" w:rsidR="005D0B3C" w:rsidRDefault="005D0B3C" w:rsidP="00564C2A">
      <w:pPr>
        <w:pStyle w:val="whitespace-normal"/>
      </w:pPr>
      <w:r>
        <w:rPr>
          <w:rStyle w:val="Fett"/>
          <w:rFonts w:eastAsiaTheme="majorEastAsia"/>
        </w:rPr>
        <w:lastRenderedPageBreak/>
        <w:t>Der Vers beschreibt:</w:t>
      </w:r>
      <w:r>
        <w:t xml:space="preserve"> Totale Plünderung – die feindliche Nation nimmt alle Nahrungsressourcen bis zur Vernichtung.</w:t>
      </w:r>
    </w:p>
    <w:p w14:paraId="42D0797D" w14:textId="77777777" w:rsidR="005D0B3C" w:rsidRPr="008D48A3" w:rsidRDefault="005D0B3C" w:rsidP="008D48A3">
      <w:pPr>
        <w:pStyle w:val="Bibelberschrift"/>
      </w:pPr>
      <w:r w:rsidRPr="008D48A3">
        <w:rPr>
          <w:rStyle w:val="Fett"/>
          <w:b/>
          <w:bCs w:val="0"/>
        </w:rPr>
        <w:t>Deuteronomium 28,52</w:t>
      </w:r>
    </w:p>
    <w:p w14:paraId="52D18262" w14:textId="77777777" w:rsidR="005D0B3C" w:rsidRDefault="005D0B3C" w:rsidP="005D0B3C">
      <w:pPr>
        <w:pStyle w:val="whitespace-normal"/>
      </w:pPr>
      <w:r>
        <w:rPr>
          <w:rStyle w:val="Fett"/>
          <w:rFonts w:eastAsiaTheme="majorEastAsia"/>
        </w:rPr>
        <w:t>Hebräisch:</w:t>
      </w:r>
      <w:r>
        <w:t xml:space="preserve"> </w:t>
      </w:r>
      <w:r>
        <w:rPr>
          <w:rtl/>
        </w:rPr>
        <w:t>וְהֵצַר לְךָ בְּכָל־שְׁעָרֶיךָ עַד רֶדֶת חֹמֹתֶיךָ הַגְּבֹהוֹת וְהַבְּצֻרוֹת אֲשֶׁר אַתָּה בֹּטֵחַ בָּהֵן בְּכָל־אַרְצֶךָ וְהֵצַר לְךָ בְּכָל־שְׁעָרֶיךָ בְּכָל־אַרְצְךָ אֲשֶׁר נָתַן יְהוָה אֱלֹהֶיךָ לָֽךְ׃</w:t>
      </w:r>
    </w:p>
    <w:p w14:paraId="4A83B880" w14:textId="69A2F800" w:rsidR="005D0B3C" w:rsidRDefault="005D0B3C" w:rsidP="005D0B3C">
      <w:pPr>
        <w:pStyle w:val="whitespace-normal"/>
      </w:pPr>
      <w:r>
        <w:rPr>
          <w:rStyle w:val="Fett"/>
          <w:rFonts w:eastAsiaTheme="majorEastAsia"/>
        </w:rPr>
        <w:t>Deutsch:</w:t>
      </w:r>
      <w:r>
        <w:t xml:space="preserve"> Und sie wird dich belagern in allen deinen Toren, bis deine hohen und festen Mauern, auf die du vertraust, in deinem ganzen Land </w:t>
      </w:r>
      <w:r w:rsidR="00D47758">
        <w:t>gefallen</w:t>
      </w:r>
      <w:r>
        <w:t xml:space="preserve"> sind; und sie wird dich belagern in allen deinen Toren, in deinem ganzen Land, das JHWH, dein Gott, dir gegeben hat.</w:t>
      </w:r>
    </w:p>
    <w:p w14:paraId="3A49EA9B" w14:textId="77777777" w:rsidR="005D0B3C" w:rsidRDefault="004F5CEB" w:rsidP="005D0B3C">
      <w:r>
        <w:rPr>
          <w:noProof/>
        </w:rPr>
        <w:pict w14:anchorId="6DA2E17F">
          <v:rect id="_x0000_i1795" style="width:0;height:1.5pt" o:hralign="center" o:hrstd="t" o:hr="t" fillcolor="#a0a0a0" stroked="f"/>
        </w:pict>
      </w:r>
    </w:p>
    <w:p w14:paraId="40BA098F" w14:textId="77777777" w:rsidR="005D0B3C" w:rsidRDefault="005D0B3C" w:rsidP="005D0B3C">
      <w:pPr>
        <w:pStyle w:val="whitespace-normal"/>
      </w:pPr>
      <w:r>
        <w:rPr>
          <w:rStyle w:val="Fett"/>
          <w:rFonts w:eastAsiaTheme="majorEastAsia"/>
        </w:rPr>
        <w:t>Kommentar:</w:t>
      </w:r>
      <w:r>
        <w:t xml:space="preserve"> </w:t>
      </w:r>
      <w:r>
        <w:rPr>
          <w:rStyle w:val="Fett"/>
          <w:rFonts w:eastAsiaTheme="majorEastAsia"/>
          <w:rtl/>
        </w:rPr>
        <w:t>וְהֵצַר לְךָ בְּכָל־שְׁעָרֶיךָ עַד רֶדֶת חֹמֹתֶיךָ הַגְּבֹהוֹת וְהַבְּצֻרוֹת אֲשֶׁר אַתָּה בֹּטֵחַ בָּהֵן בְּכָל־אַרְצֶךָ וְהֵצַר לְךָ בְּכָל־שְׁעָרֶיךָ בְּכָל־אַרְצְךָ אֲשֶׁר נָתַן יְהוָה אֱלֹהֶיךָ לָךְ</w:t>
      </w:r>
      <w:r>
        <w:rPr>
          <w:rtl/>
        </w:rPr>
        <w:t xml:space="preserve"> </w:t>
      </w:r>
      <w:r>
        <w:t xml:space="preserve">ist eine doppelte Belagerungsankündigung: </w:t>
      </w:r>
      <w:r>
        <w:rPr>
          <w:rStyle w:val="Fett"/>
          <w:rFonts w:eastAsiaTheme="majorEastAsia"/>
          <w:rtl/>
        </w:rPr>
        <w:t>וְהֵצַר לְךָ בְּכָל־שְׁעָרֶיךָ עַד רֶדֶת חֹמֹתֶיךָ הַגְּבֹהוֹת וְהַבְּצֻרוֹת אֲשֶׁר אַתָּה בֹּטֵחַ בָּהֵן בְּכָל־אַרְצֶךָ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צור</w:t>
      </w:r>
      <w:r>
        <w:t xml:space="preserve">, Hiphil Perfekt, 3. Person Maskulinum Singular (die Nation als Subjekt), „belagern, bedrängen", </w:t>
      </w:r>
      <w:r>
        <w:rPr>
          <w:rStyle w:val="Fett"/>
          <w:rFonts w:eastAsiaTheme="majorEastAsia"/>
          <w:rtl/>
        </w:rPr>
        <w:t>לְךָ</w:t>
      </w:r>
      <w:r>
        <w:t xml:space="preserve">, </w:t>
      </w:r>
      <w:r>
        <w:rPr>
          <w:rStyle w:val="Fett"/>
          <w:rFonts w:eastAsiaTheme="majorEastAsia"/>
          <w:rtl/>
        </w:rPr>
        <w:t>בְּכָל־שְׁעָרֶיךָ</w:t>
      </w:r>
      <w:r>
        <w:t xml:space="preserve">, Präposition </w:t>
      </w:r>
      <w:r>
        <w:rPr>
          <w:rStyle w:val="Fett"/>
          <w:rFonts w:eastAsiaTheme="majorEastAsia"/>
          <w:rtl/>
        </w:rPr>
        <w:t>עַד</w:t>
      </w:r>
      <w:r>
        <w:rPr>
          <w:rtl/>
        </w:rPr>
        <w:t xml:space="preserve"> </w:t>
      </w:r>
      <w:r>
        <w:t xml:space="preserve">mit Qal Infinitiv Construct von </w:t>
      </w:r>
      <w:r>
        <w:rPr>
          <w:rStyle w:val="Fett"/>
          <w:rFonts w:eastAsiaTheme="majorEastAsia"/>
          <w:rtl/>
        </w:rPr>
        <w:t>ירד</w:t>
      </w:r>
      <w:r>
        <w:t xml:space="preserve">, „fallen, herunterkommen", </w:t>
      </w:r>
      <w:r>
        <w:rPr>
          <w:rStyle w:val="Fett"/>
          <w:rFonts w:eastAsiaTheme="majorEastAsia"/>
          <w:rtl/>
        </w:rPr>
        <w:t>חוֹמָה</w:t>
      </w:r>
      <w:r>
        <w:t xml:space="preserve">, „Mauer", Plural mit Suffix, zwei Adjektive: </w:t>
      </w:r>
      <w:r>
        <w:rPr>
          <w:rStyle w:val="Fett"/>
          <w:rFonts w:eastAsiaTheme="majorEastAsia"/>
          <w:rtl/>
        </w:rPr>
        <w:t>גָּבֹהַּ</w:t>
      </w:r>
      <w:r>
        <w:t xml:space="preserve">, „hoch", Plural mit Artikel, koordiniert mit </w:t>
      </w:r>
      <w:r>
        <w:rPr>
          <w:rStyle w:val="Fett"/>
          <w:rFonts w:eastAsiaTheme="majorEastAsia"/>
          <w:rtl/>
        </w:rPr>
        <w:t>בָּצוּר</w:t>
      </w:r>
      <w:r>
        <w:t xml:space="preserve">, Qal Passiv Partizip, „befestigt, fest", Plural mit Artikel, Relativsatz: </w:t>
      </w:r>
      <w:r>
        <w:rPr>
          <w:rStyle w:val="Fett"/>
          <w:rFonts w:eastAsiaTheme="majorEastAsia"/>
          <w:rtl/>
        </w:rPr>
        <w:t>אֲשֶׁר אַתָּה בֹּטֵחַ בָּהֵן</w:t>
      </w:r>
      <w:r>
        <w:rPr>
          <w:rtl/>
        </w:rPr>
        <w:t xml:space="preserve"> </w:t>
      </w:r>
      <w:r>
        <w:t xml:space="preserve">mit </w:t>
      </w:r>
      <w:r>
        <w:rPr>
          <w:rStyle w:val="Fett"/>
          <w:rFonts w:eastAsiaTheme="majorEastAsia"/>
          <w:rtl/>
        </w:rPr>
        <w:t>בטח</w:t>
      </w:r>
      <w:r>
        <w:t xml:space="preserve">, Qal Partizip, „vertrauen", Präposition </w:t>
      </w:r>
      <w:r>
        <w:rPr>
          <w:rStyle w:val="Fett"/>
          <w:rFonts w:eastAsiaTheme="majorEastAsia"/>
          <w:rtl/>
        </w:rPr>
        <w:t>בְּ</w:t>
      </w:r>
      <w:r>
        <w:rPr>
          <w:rtl/>
        </w:rPr>
        <w:t xml:space="preserve"> </w:t>
      </w:r>
      <w:r>
        <w:t xml:space="preserve">mit Suffix 3. Person Femininum Plural, </w:t>
      </w:r>
      <w:r>
        <w:rPr>
          <w:rStyle w:val="Fett"/>
          <w:rFonts w:eastAsiaTheme="majorEastAsia"/>
          <w:rtl/>
        </w:rPr>
        <w:t>בְּכָל־אַרְצֶךָ</w:t>
      </w:r>
      <w:r>
        <w:t xml:space="preserve">, mit </w:t>
      </w:r>
      <w:r>
        <w:rPr>
          <w:rStyle w:val="Fett"/>
          <w:rFonts w:eastAsiaTheme="majorEastAsia"/>
        </w:rPr>
        <w:t>Waw</w:t>
      </w:r>
      <w:r>
        <w:t xml:space="preserve"> consecutives Perfekt), </w:t>
      </w:r>
      <w:r>
        <w:rPr>
          <w:rStyle w:val="Fett"/>
          <w:rFonts w:eastAsiaTheme="majorEastAsia"/>
          <w:rtl/>
        </w:rPr>
        <w:t>וְהֵצַר לְךָ בְּכָל־שְׁעָרֶיךָ בְּכָל־אַרְצְךָ אֲשֶׁר נָתַן יְהוָה אֱלֹהֶיךָ לָךְ</w:t>
      </w:r>
      <w:r>
        <w:rPr>
          <w:rtl/>
        </w:rPr>
        <w:t xml:space="preserve"> </w:t>
      </w:r>
      <w:r>
        <w:t>(Wiederholung zur Verstärkung, mit Relativsatz wie üblich).</w:t>
      </w:r>
    </w:p>
    <w:p w14:paraId="3C0D9734" w14:textId="77777777" w:rsidR="005D0B3C" w:rsidRDefault="005D0B3C" w:rsidP="005D0B3C">
      <w:pPr>
        <w:pStyle w:val="whitespace-normal"/>
      </w:pPr>
      <w:r>
        <w:t xml:space="preserve">Der Vers beschreibt die Belagerung der Städte. Die erste Ankündigung: </w:t>
      </w:r>
      <w:r>
        <w:rPr>
          <w:rStyle w:val="Fett"/>
          <w:rFonts w:eastAsiaTheme="majorEastAsia"/>
          <w:rtl/>
        </w:rPr>
        <w:t>וְהֵצַר לְךָ בְּכָל־שְׁעָרֶיךָ עַד רֶדֶת חֹמֹתֶיךָ הַגְּבֹהוֹת וְהַבְּצֻרוֹת אֲשֶׁר אַתָּה בֹּטֵחַ בָּהֵן בְּכָל־אַרְצֶךָ</w:t>
      </w:r>
      <w:r>
        <w:rPr>
          <w:rtl/>
        </w:rPr>
        <w:t xml:space="preserve"> </w:t>
      </w:r>
      <w:r>
        <w:t xml:space="preserve">(„und belagern wird sie dich in allen deinen Toren, bis fallen deine Mauern, die hohen und festen, auf die du vertraust, in deinem ganzen Land"). Das Verb </w:t>
      </w:r>
      <w:r>
        <w:rPr>
          <w:rStyle w:val="Fett"/>
          <w:rFonts w:eastAsiaTheme="majorEastAsia"/>
          <w:rtl/>
        </w:rPr>
        <w:t>צור</w:t>
      </w:r>
      <w:r>
        <w:rPr>
          <w:rtl/>
        </w:rPr>
        <w:t xml:space="preserve"> </w:t>
      </w:r>
      <w:r>
        <w:t xml:space="preserve">im Hiphil („belagern, bedrängen") – militärische Belagerung. Die Formulierung </w:t>
      </w:r>
      <w:r>
        <w:rPr>
          <w:rStyle w:val="Fett"/>
          <w:rFonts w:eastAsiaTheme="majorEastAsia"/>
          <w:rtl/>
        </w:rPr>
        <w:t>בְּכָל־שְׁעָרֶיךָ</w:t>
      </w:r>
      <w:r>
        <w:rPr>
          <w:rtl/>
        </w:rPr>
        <w:t xml:space="preserve"> </w:t>
      </w:r>
      <w:r>
        <w:t xml:space="preserve">(„in allen deinen Toren") – alle befestigten Städte (das Tor steht für die ganze Stadt). Die beiden Adjektive </w:t>
      </w:r>
      <w:r>
        <w:rPr>
          <w:rStyle w:val="Fett"/>
          <w:rFonts w:eastAsiaTheme="majorEastAsia"/>
          <w:rtl/>
        </w:rPr>
        <w:t>הַגְּבֹהוֹת וְהַבְּצֻרוֹת</w:t>
      </w:r>
      <w:r>
        <w:rPr>
          <w:rtl/>
        </w:rPr>
        <w:t xml:space="preserve"> </w:t>
      </w:r>
      <w:r>
        <w:t xml:space="preserve">(„die hohen und festen") betonen die scheinbare Uneinnehmbarkeit. Die Formulierung </w:t>
      </w:r>
      <w:r>
        <w:rPr>
          <w:rStyle w:val="Fett"/>
          <w:rFonts w:eastAsiaTheme="majorEastAsia"/>
          <w:rtl/>
        </w:rPr>
        <w:t>אֲשֶׁר אַתָּה בֹּטֵחַ בָּהֵן</w:t>
      </w:r>
      <w:r>
        <w:rPr>
          <w:rtl/>
        </w:rPr>
        <w:t xml:space="preserve"> </w:t>
      </w:r>
      <w:r>
        <w:t xml:space="preserve">(„auf die du vertraust") – falsches Vertrauen auf militärische Stärke statt auf JHWH (vgl. 17,8; 20,20). Die zweite Ankündigung: </w:t>
      </w:r>
      <w:r>
        <w:rPr>
          <w:rStyle w:val="Fett"/>
          <w:rFonts w:eastAsiaTheme="majorEastAsia"/>
          <w:rtl/>
        </w:rPr>
        <w:t>וְהֵצַר לְךָ בְּכָל־שְׁעָרֶיךָ בְּכָל־אַרְצְךָ אֲשֶׁר נָתַן יְהוָה אֱלֹהֶיךָ לָךְ</w:t>
      </w:r>
      <w:r>
        <w:rPr>
          <w:rtl/>
        </w:rPr>
        <w:t xml:space="preserve"> </w:t>
      </w:r>
      <w:r>
        <w:t xml:space="preserve">– fast wörtliche Wiederholung zur Verstärkung, mit der bitteren Ironie: </w:t>
      </w:r>
      <w:r>
        <w:rPr>
          <w:rStyle w:val="Fett"/>
          <w:rFonts w:eastAsiaTheme="majorEastAsia"/>
          <w:rtl/>
        </w:rPr>
        <w:t>אֲשֶׁר נָתַן יְהוָה אֱלֹהֶיךָ לָךְ</w:t>
      </w:r>
      <w:r>
        <w:rPr>
          <w:rtl/>
        </w:rPr>
        <w:t xml:space="preserve"> </w:t>
      </w:r>
      <w:r>
        <w:t>(„das JHWH, dein Gott, dir gegeben hat") – das von JHWH gegebene Land wird zum Schauplatz des Gerichts.</w:t>
      </w:r>
    </w:p>
    <w:p w14:paraId="706E8113" w14:textId="77777777" w:rsidR="005D0B3C" w:rsidRDefault="005D0B3C" w:rsidP="005D0B3C">
      <w:pPr>
        <w:pStyle w:val="whitespace-normal"/>
      </w:pPr>
      <w:r>
        <w:rPr>
          <w:rStyle w:val="Fett"/>
          <w:rFonts w:eastAsiaTheme="majorEastAsia"/>
        </w:rPr>
        <w:t>Die Satzstruktur:</w:t>
      </w:r>
      <w:r>
        <w:t xml:space="preserve"> Doppelte Belagerungsankündigung (und belagern wird sie dich in allen deinen Toren, bis fallen deine Mauern, die hohen und festen, auf die du vertraust, in deinem ganzen Land; und belagern wird sie dich in allen deinen Toren, in deinem ganzen Land, das JHWH, dein Gott, dir gegeben hat).</w:t>
      </w:r>
    </w:p>
    <w:p w14:paraId="655C57BA" w14:textId="12177332" w:rsidR="005D0B3C" w:rsidRDefault="005D0B3C" w:rsidP="00564C2A">
      <w:pPr>
        <w:pStyle w:val="whitespace-normal"/>
      </w:pPr>
      <w:r>
        <w:rPr>
          <w:rStyle w:val="Fett"/>
          <w:rFonts w:eastAsiaTheme="majorEastAsia"/>
        </w:rPr>
        <w:t>Der Vers beschreibt:</w:t>
      </w:r>
      <w:r>
        <w:t xml:space="preserve"> Belagerung – alle befestigten Städte werden belagert, bis die Mauern fallen.</w:t>
      </w:r>
    </w:p>
    <w:p w14:paraId="229E75E8" w14:textId="77777777" w:rsidR="005D0B3C" w:rsidRPr="008D48A3" w:rsidRDefault="005D0B3C" w:rsidP="008D48A3">
      <w:pPr>
        <w:pStyle w:val="Bibelberschrift"/>
      </w:pPr>
      <w:r w:rsidRPr="008D48A3">
        <w:rPr>
          <w:rStyle w:val="Fett"/>
          <w:b/>
          <w:bCs w:val="0"/>
        </w:rPr>
        <w:lastRenderedPageBreak/>
        <w:t>Deuteronomium 28,53</w:t>
      </w:r>
    </w:p>
    <w:p w14:paraId="341DF802" w14:textId="77777777" w:rsidR="005D0B3C" w:rsidRDefault="005D0B3C" w:rsidP="005D0B3C">
      <w:pPr>
        <w:pStyle w:val="whitespace-normal"/>
      </w:pPr>
      <w:r>
        <w:rPr>
          <w:rStyle w:val="Fett"/>
          <w:rFonts w:eastAsiaTheme="majorEastAsia"/>
        </w:rPr>
        <w:t>Hebräisch:</w:t>
      </w:r>
      <w:r>
        <w:t xml:space="preserve"> </w:t>
      </w:r>
      <w:r>
        <w:rPr>
          <w:rtl/>
        </w:rPr>
        <w:t>וְאָכַלְתָּ פְרִֽי־בִטְנְךָ בְּשַׂר בָּנֶיךָ וּבְנֹתֶיךָ אֲשֶׁר נָֽתַן־לְךָ יְהוָה אֱלֹהֶיךָ בְּמָצוֹר וּבְמָצוֹק אֲשֶׁר־יָצִיק לְךָ אֹיְבֶֽךָ׃</w:t>
      </w:r>
    </w:p>
    <w:p w14:paraId="7CC03D70" w14:textId="77777777" w:rsidR="005D0B3C" w:rsidRDefault="005D0B3C" w:rsidP="005D0B3C">
      <w:pPr>
        <w:pStyle w:val="whitespace-normal"/>
      </w:pPr>
      <w:r>
        <w:rPr>
          <w:rStyle w:val="Fett"/>
          <w:rFonts w:eastAsiaTheme="majorEastAsia"/>
        </w:rPr>
        <w:t>Deutsch:</w:t>
      </w:r>
      <w:r>
        <w:t xml:space="preserve"> Und du wirst essen die Frucht deines Leibes, das Fleisch deiner Söhne und deiner Töchter, die JHWH, dein Gott, dir gegeben hat – in der Belagerung und in der Bedrängnis, womit dein Feind dich bedrängen wird.</w:t>
      </w:r>
    </w:p>
    <w:p w14:paraId="7601F449" w14:textId="77777777" w:rsidR="005D0B3C" w:rsidRDefault="004F5CEB" w:rsidP="005D0B3C">
      <w:r>
        <w:rPr>
          <w:noProof/>
        </w:rPr>
        <w:pict w14:anchorId="67155894">
          <v:rect id="_x0000_i1796" style="width:0;height:1.5pt" o:hralign="center" o:hrstd="t" o:hr="t" fillcolor="#a0a0a0" stroked="f"/>
        </w:pict>
      </w:r>
    </w:p>
    <w:p w14:paraId="44058570" w14:textId="77777777" w:rsidR="005D0B3C" w:rsidRDefault="005D0B3C" w:rsidP="005D0B3C">
      <w:pPr>
        <w:pStyle w:val="whitespace-normal"/>
      </w:pPr>
      <w:r>
        <w:rPr>
          <w:rStyle w:val="Fett"/>
          <w:rFonts w:eastAsiaTheme="majorEastAsia"/>
        </w:rPr>
        <w:t>Kommentar:</w:t>
      </w:r>
      <w:r>
        <w:t xml:space="preserve"> </w:t>
      </w:r>
      <w:r>
        <w:rPr>
          <w:rStyle w:val="Fett"/>
          <w:rFonts w:eastAsiaTheme="majorEastAsia"/>
          <w:rtl/>
        </w:rPr>
        <w:t>וְאָכַלְתָּ פְרִי־בִטְנְךָ בְּשַׂר בָּנֶיךָ וּבְנֹתֶיךָ אֲשֶׁר נָתַן־לְךָ יְהוָה אֱלֹהֶיךָ בְּמָצוֹר וּבְמָצוֹק אֲשֶׁר־יָצִיק לְךָ אֹיְבֶךָ</w:t>
      </w:r>
      <w:r>
        <w:rPr>
          <w:rtl/>
        </w:rPr>
        <w:t xml:space="preserve"> </w:t>
      </w:r>
      <w:r>
        <w:t xml:space="preserve">ist eine entsetzliche Ankündigung: </w:t>
      </w:r>
      <w:r>
        <w:rPr>
          <w:rStyle w:val="Fett"/>
          <w:rFonts w:eastAsiaTheme="majorEastAsia"/>
          <w:rtl/>
        </w:rPr>
        <w:t>וְאָכַלְתָּ פְרִי־בִטְנְךָ בְּשַׂר בָּנֶיךָ וּבְנֹתֶיךָ אֲשֶׁר נָתַן־לְךָ יְהוָה אֱלֹהֶיךָ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אכל</w:t>
      </w:r>
      <w:r>
        <w:t xml:space="preserve">, Qal Perfekt, 2. Person Maskulinum Singular, </w:t>
      </w:r>
      <w:r>
        <w:rPr>
          <w:rStyle w:val="Fett"/>
          <w:rFonts w:eastAsiaTheme="majorEastAsia"/>
          <w:rtl/>
        </w:rPr>
        <w:t>פְּרִי־בֶּטֶן</w:t>
      </w:r>
      <w:r>
        <w:rPr>
          <w:rtl/>
        </w:rPr>
        <w:t xml:space="preserve"> </w:t>
      </w:r>
      <w:r>
        <w:t xml:space="preserve">mit Suffix, Apposition: </w:t>
      </w:r>
      <w:r>
        <w:rPr>
          <w:rStyle w:val="Fett"/>
          <w:rFonts w:eastAsiaTheme="majorEastAsia"/>
          <w:rtl/>
        </w:rPr>
        <w:t>בְּשַׂר בָּנֶיךָ וּבְנֹתֶיךָ</w:t>
      </w:r>
      <w:r>
        <w:t xml:space="preserve">, Relativsatz wie üblich, mit </w:t>
      </w:r>
      <w:r>
        <w:rPr>
          <w:rStyle w:val="Fett"/>
          <w:rFonts w:eastAsiaTheme="majorEastAsia"/>
        </w:rPr>
        <w:t>Waw</w:t>
      </w:r>
      <w:r>
        <w:t xml:space="preserve"> consecutives Perfekt), </w:t>
      </w:r>
      <w:r>
        <w:rPr>
          <w:rStyle w:val="Fett"/>
          <w:rFonts w:eastAsiaTheme="majorEastAsia"/>
          <w:rtl/>
        </w:rPr>
        <w:t>בְּמָצוֹר וּבְמָצוֹק אֲשֶׁר־יָצִיק לְךָ אֹיְבֶךָ</w:t>
      </w:r>
      <w:r>
        <w:rPr>
          <w:rtl/>
        </w:rPr>
        <w:t xml:space="preserve"> </w:t>
      </w:r>
      <w:r>
        <w:t xml:space="preserve">(Präposition </w:t>
      </w:r>
      <w:r>
        <w:rPr>
          <w:rStyle w:val="Fett"/>
          <w:rFonts w:eastAsiaTheme="majorEastAsia"/>
          <w:rtl/>
        </w:rPr>
        <w:t>בְּ</w:t>
      </w:r>
      <w:r>
        <w:rPr>
          <w:rtl/>
        </w:rPr>
        <w:t xml:space="preserve"> </w:t>
      </w:r>
      <w:r>
        <w:t xml:space="preserve">mit </w:t>
      </w:r>
      <w:r>
        <w:rPr>
          <w:rStyle w:val="Fett"/>
          <w:rFonts w:eastAsiaTheme="majorEastAsia"/>
          <w:rtl/>
        </w:rPr>
        <w:t>מָצוֹר</w:t>
      </w:r>
      <w:r>
        <w:t xml:space="preserve">, „Belagerung", koordiniert durch </w:t>
      </w:r>
      <w:r>
        <w:rPr>
          <w:rStyle w:val="Fett"/>
          <w:rFonts w:eastAsiaTheme="majorEastAsia"/>
          <w:rtl/>
        </w:rPr>
        <w:t>וּ</w:t>
      </w:r>
      <w:r>
        <w:rPr>
          <w:rtl/>
        </w:rPr>
        <w:t xml:space="preserve"> </w:t>
      </w:r>
      <w:r>
        <w:t xml:space="preserve">mit Präposition </w:t>
      </w:r>
      <w:r>
        <w:rPr>
          <w:rStyle w:val="Fett"/>
          <w:rFonts w:eastAsiaTheme="majorEastAsia"/>
          <w:rtl/>
        </w:rPr>
        <w:t>בְּ</w:t>
      </w:r>
      <w:r>
        <w:t xml:space="preserve">, </w:t>
      </w:r>
      <w:r>
        <w:rPr>
          <w:rStyle w:val="Fett"/>
          <w:rFonts w:eastAsiaTheme="majorEastAsia"/>
          <w:rtl/>
        </w:rPr>
        <w:t>מָצוֹק</w:t>
      </w:r>
      <w:r>
        <w:t xml:space="preserve">, „Bedrängnis, Not", Relativsatz: </w:t>
      </w:r>
      <w:r>
        <w:rPr>
          <w:rStyle w:val="Fett"/>
          <w:rFonts w:eastAsiaTheme="majorEastAsia"/>
          <w:rtl/>
        </w:rPr>
        <w:t>אֲשֶׁר־יָצִיק לְךָ אֹיְבֶךָ</w:t>
      </w:r>
      <w:r>
        <w:rPr>
          <w:rtl/>
        </w:rPr>
        <w:t xml:space="preserve"> </w:t>
      </w:r>
      <w:r>
        <w:t xml:space="preserve">mit </w:t>
      </w:r>
      <w:r>
        <w:rPr>
          <w:rStyle w:val="Fett"/>
          <w:rFonts w:eastAsiaTheme="majorEastAsia"/>
          <w:rtl/>
        </w:rPr>
        <w:t>צוק</w:t>
      </w:r>
      <w:r>
        <w:t xml:space="preserve">, Hiphil Imperfekt, 3. Person Maskulinum Singular, „bedrängen", </w:t>
      </w:r>
      <w:r>
        <w:rPr>
          <w:rStyle w:val="Fett"/>
          <w:rFonts w:eastAsiaTheme="majorEastAsia"/>
          <w:rtl/>
        </w:rPr>
        <w:t>לְךָ</w:t>
      </w:r>
      <w:r>
        <w:t xml:space="preserve">, </w:t>
      </w:r>
      <w:r>
        <w:rPr>
          <w:rStyle w:val="Fett"/>
          <w:rFonts w:eastAsiaTheme="majorEastAsia"/>
          <w:rtl/>
        </w:rPr>
        <w:t>אֹיֵב</w:t>
      </w:r>
      <w:r>
        <w:rPr>
          <w:rtl/>
        </w:rPr>
        <w:t xml:space="preserve"> </w:t>
      </w:r>
      <w:r>
        <w:t>mit Suffix als Subjekt).</w:t>
      </w:r>
    </w:p>
    <w:p w14:paraId="22DCE957" w14:textId="707254A7" w:rsidR="005D0B3C" w:rsidRDefault="005D0B3C" w:rsidP="005D0B3C">
      <w:pPr>
        <w:pStyle w:val="whitespace-normal"/>
      </w:pPr>
      <w:r>
        <w:t xml:space="preserve">Der Vers beginnt die schrecklichste Passage des Kapitels (V. 53-57): Kannibalismus während der Belagerung. Die Ankündigung: </w:t>
      </w:r>
      <w:r>
        <w:rPr>
          <w:rStyle w:val="Fett"/>
          <w:rFonts w:eastAsiaTheme="majorEastAsia"/>
          <w:rtl/>
        </w:rPr>
        <w:t>וְאָכַלְתָּ פְרִי־בִטְנְךָ בְּשַׂר בָּנֶיךָ וּבְנֹתֶיךָ אֲשֶׁר נָתַן־לְךָ יְהוָה אֱלֹהֶיךָ</w:t>
      </w:r>
      <w:r>
        <w:rPr>
          <w:rtl/>
        </w:rPr>
        <w:t xml:space="preserve"> </w:t>
      </w:r>
      <w:r>
        <w:t xml:space="preserve">(„und essen wirst du die Frucht deines Leibes, das Fleisch deiner Söhne und deiner Töchter, die JHWH, dein Gott, dir gegeben hat"). Die euphemistische Formulierung </w:t>
      </w:r>
      <w:r>
        <w:rPr>
          <w:rStyle w:val="Fett"/>
          <w:rFonts w:eastAsiaTheme="majorEastAsia"/>
          <w:rtl/>
        </w:rPr>
        <w:t>פְּרִי־בִטְנְךָ</w:t>
      </w:r>
      <w:r>
        <w:rPr>
          <w:rtl/>
        </w:rPr>
        <w:t xml:space="preserve"> </w:t>
      </w:r>
      <w:r>
        <w:t xml:space="preserve">(„Frucht deines Leibes") wird sofort durch die schockierende Apposition </w:t>
      </w:r>
      <w:r>
        <w:rPr>
          <w:rStyle w:val="Fett"/>
          <w:rFonts w:eastAsiaTheme="majorEastAsia"/>
          <w:rtl/>
        </w:rPr>
        <w:t>בְּשַׂר בָּנֶיךָ וּבְנֹתֶיךָ</w:t>
      </w:r>
      <w:r>
        <w:rPr>
          <w:rtl/>
        </w:rPr>
        <w:t xml:space="preserve"> </w:t>
      </w:r>
      <w:r>
        <w:t xml:space="preserve">(„Fleisch deiner Söhne und deiner Töchter") präzisiert – Kannibalismus der eigenen Kinder (vgl. die Erfüllung in </w:t>
      </w:r>
      <w:r w:rsidR="00664EB6">
        <w:t>2Kön</w:t>
      </w:r>
      <w:r>
        <w:t xml:space="preserve"> 6,28-29; Klgl 2,20; 4,10). Die bittere Ironie: </w:t>
      </w:r>
      <w:r>
        <w:rPr>
          <w:rStyle w:val="Fett"/>
          <w:rFonts w:eastAsiaTheme="majorEastAsia"/>
          <w:rtl/>
        </w:rPr>
        <w:t>אֲשֶׁר נָתַן־לְךָ יְהוָה אֱלֹהֶיךָ</w:t>
      </w:r>
      <w:r>
        <w:rPr>
          <w:rtl/>
        </w:rPr>
        <w:t xml:space="preserve"> </w:t>
      </w:r>
      <w:r>
        <w:t xml:space="preserve">(„die JHWH, dein Gott, dir gegeben hat") – die von JHWH geschenkten Kinder werden gegessen. Die Umstände: </w:t>
      </w:r>
      <w:r>
        <w:rPr>
          <w:rStyle w:val="Fett"/>
          <w:rFonts w:eastAsiaTheme="majorEastAsia"/>
          <w:rtl/>
        </w:rPr>
        <w:t>בְּמָצוֹר וּבְמָצוֹק אֲשֶׁר־יָצִיק לְךָ אֹיְבֶךָ</w:t>
      </w:r>
      <w:r>
        <w:rPr>
          <w:rtl/>
        </w:rPr>
        <w:t xml:space="preserve"> </w:t>
      </w:r>
      <w:r>
        <w:t xml:space="preserve">(„in der Belagerung und in der Bedrängnis, womit dein Feind dich bedrängen wird"). Die beiden Begriffe </w:t>
      </w:r>
      <w:r>
        <w:rPr>
          <w:rStyle w:val="Fett"/>
          <w:rFonts w:eastAsiaTheme="majorEastAsia"/>
          <w:rtl/>
        </w:rPr>
        <w:t>מָצוֹר</w:t>
      </w:r>
      <w:r>
        <w:rPr>
          <w:rtl/>
        </w:rPr>
        <w:t xml:space="preserve"> </w:t>
      </w:r>
      <w:r>
        <w:t xml:space="preserve">(„Belagerung") und </w:t>
      </w:r>
      <w:r>
        <w:rPr>
          <w:rStyle w:val="Fett"/>
          <w:rFonts w:eastAsiaTheme="majorEastAsia"/>
          <w:rtl/>
        </w:rPr>
        <w:t>מָצוֹק</w:t>
      </w:r>
      <w:r>
        <w:rPr>
          <w:rtl/>
        </w:rPr>
        <w:t xml:space="preserve"> </w:t>
      </w:r>
      <w:r>
        <w:t>(„Bedrängnis") beschreiben die extreme Hungersnot während einer Belagerung. V. 54-57 werden dies weiter ausführen.</w:t>
      </w:r>
    </w:p>
    <w:p w14:paraId="0FF0654E" w14:textId="77777777" w:rsidR="005D0B3C" w:rsidRDefault="005D0B3C" w:rsidP="005D0B3C">
      <w:pPr>
        <w:pStyle w:val="whitespace-normal"/>
      </w:pPr>
      <w:r>
        <w:rPr>
          <w:rStyle w:val="Fett"/>
          <w:rFonts w:eastAsiaTheme="majorEastAsia"/>
        </w:rPr>
        <w:t>Die Satzstruktur:</w:t>
      </w:r>
      <w:r>
        <w:t xml:space="preserve"> Ankündigung mit Umständen (und essen wirst du die Frucht deines Leibes, das Fleisch deiner Söhne und deiner Töchter, die JHWH, dein Gott, dir gegeben hat – in der Belagerung und in der Bedrängnis, womit dein Feind dich bedrängen wird).</w:t>
      </w:r>
    </w:p>
    <w:p w14:paraId="6E79D9A8" w14:textId="42E633AE" w:rsidR="005D0B3C" w:rsidRDefault="005D0B3C" w:rsidP="00564C2A">
      <w:pPr>
        <w:pStyle w:val="whitespace-normal"/>
      </w:pPr>
      <w:r>
        <w:rPr>
          <w:rStyle w:val="Fett"/>
          <w:rFonts w:eastAsiaTheme="majorEastAsia"/>
        </w:rPr>
        <w:t>Der Vers beschreibt:</w:t>
      </w:r>
      <w:r>
        <w:t xml:space="preserve"> Kannibalismus während der Belagerung – Eltern werden ihre eigenen Kinder essen.</w:t>
      </w:r>
    </w:p>
    <w:p w14:paraId="53A006BA" w14:textId="77777777" w:rsidR="005D0B3C" w:rsidRPr="008D48A3" w:rsidRDefault="005D0B3C" w:rsidP="008D48A3">
      <w:pPr>
        <w:pStyle w:val="Bibelberschrift"/>
      </w:pPr>
      <w:r w:rsidRPr="008D48A3">
        <w:rPr>
          <w:rStyle w:val="Fett"/>
          <w:b/>
          <w:bCs w:val="0"/>
        </w:rPr>
        <w:t>Deuteronomium 28,54</w:t>
      </w:r>
    </w:p>
    <w:p w14:paraId="3D2F01C9" w14:textId="77777777" w:rsidR="005D0B3C" w:rsidRDefault="005D0B3C" w:rsidP="005D0B3C">
      <w:pPr>
        <w:pStyle w:val="whitespace-normal"/>
      </w:pPr>
      <w:r>
        <w:rPr>
          <w:rStyle w:val="Fett"/>
          <w:rFonts w:eastAsiaTheme="majorEastAsia"/>
        </w:rPr>
        <w:t>Hebräisch:</w:t>
      </w:r>
      <w:r>
        <w:t xml:space="preserve"> </w:t>
      </w:r>
      <w:r>
        <w:rPr>
          <w:rtl/>
        </w:rPr>
        <w:t>הָאִישׁ הָרַךְ בְּךָ וְהֶעָנֹג מְאֹד תֵּרַע עֵינוֹ בְאָחִיו וּבְאֵשֶׁת חֵיקוֹ וּבְיֶתֶר בָּנָיו אֲשֶׁר יוֹתִֽיר׃</w:t>
      </w:r>
    </w:p>
    <w:p w14:paraId="4F644B4B" w14:textId="77777777" w:rsidR="005D0B3C" w:rsidRDefault="005D0B3C" w:rsidP="005D0B3C">
      <w:pPr>
        <w:pStyle w:val="whitespace-normal"/>
      </w:pPr>
      <w:r>
        <w:rPr>
          <w:rStyle w:val="Fett"/>
          <w:rFonts w:eastAsiaTheme="majorEastAsia"/>
        </w:rPr>
        <w:t>Deutsch:</w:t>
      </w:r>
      <w:r>
        <w:t xml:space="preserve"> Der weichlichste und am meisten verwöhnte Mann unter dir, dessen Auge wird missgünstig blicken auf seinen Bruder und auf die Frau seines Busens und auf die übrigen seiner Kinder, die er übrigbehalten hat.</w:t>
      </w:r>
    </w:p>
    <w:p w14:paraId="55A95CD4" w14:textId="77777777" w:rsidR="005D0B3C" w:rsidRDefault="004F5CEB" w:rsidP="005D0B3C">
      <w:r>
        <w:rPr>
          <w:noProof/>
        </w:rPr>
        <w:pict w14:anchorId="08DA52D9">
          <v:rect id="_x0000_i1797" style="width:0;height:1.5pt" o:hralign="center" o:hrstd="t" o:hr="t" fillcolor="#a0a0a0" stroked="f"/>
        </w:pict>
      </w:r>
    </w:p>
    <w:p w14:paraId="5D5B1006" w14:textId="77777777" w:rsidR="005D0B3C" w:rsidRDefault="005D0B3C" w:rsidP="005D0B3C">
      <w:pPr>
        <w:pStyle w:val="whitespace-normal"/>
      </w:pPr>
      <w:r>
        <w:rPr>
          <w:rStyle w:val="Fett"/>
          <w:rFonts w:eastAsiaTheme="majorEastAsia"/>
        </w:rPr>
        <w:lastRenderedPageBreak/>
        <w:t>Kommentar:</w:t>
      </w:r>
      <w:r>
        <w:t xml:space="preserve"> </w:t>
      </w:r>
      <w:r>
        <w:rPr>
          <w:rStyle w:val="Fett"/>
          <w:rFonts w:eastAsiaTheme="majorEastAsia"/>
          <w:rtl/>
        </w:rPr>
        <w:t>הָאִישׁ הָרַךְ בְּךָ וְהֶעָנֹג מְאֹד תֵּרַע עֵינוֹ בְאָחִיו וּבְאֵשֶׁת חֵיקוֹ וּבְיֶתֶר בָּנָיו אֲשֶׁר יוֹתִיר</w:t>
      </w:r>
      <w:r>
        <w:rPr>
          <w:rtl/>
        </w:rPr>
        <w:t xml:space="preserve"> </w:t>
      </w:r>
      <w:r>
        <w:t xml:space="preserve">ist eine Beschreibung: </w:t>
      </w:r>
      <w:r>
        <w:rPr>
          <w:rStyle w:val="Fett"/>
          <w:rFonts w:eastAsiaTheme="majorEastAsia"/>
          <w:rtl/>
        </w:rPr>
        <w:t>הָאִישׁ הָרַךְ בְּךָ וְהֶעָנֹג מְאֹד תֵּרַע עֵינוֹ בְאָחִיו וּבְאֵשֶׁת חֵיקוֹ וּבְיֶתֶר בָּנָיו אֲשֶׁר יוֹתִיר</w:t>
      </w:r>
      <w:r>
        <w:rPr>
          <w:rtl/>
        </w:rPr>
        <w:t xml:space="preserve"> </w:t>
      </w:r>
      <w:r>
        <w:t>(</w:t>
      </w:r>
      <w:r>
        <w:rPr>
          <w:rStyle w:val="Fett"/>
          <w:rFonts w:eastAsiaTheme="majorEastAsia"/>
          <w:rtl/>
        </w:rPr>
        <w:t>אִישׁ</w:t>
      </w:r>
      <w:r>
        <w:rPr>
          <w:rtl/>
        </w:rPr>
        <w:t xml:space="preserve"> </w:t>
      </w:r>
      <w:r>
        <w:t xml:space="preserve">mit Artikel, </w:t>
      </w:r>
      <w:r>
        <w:rPr>
          <w:rStyle w:val="Fett"/>
          <w:rFonts w:eastAsiaTheme="majorEastAsia"/>
          <w:rtl/>
        </w:rPr>
        <w:t>רַךְ</w:t>
      </w:r>
      <w:r>
        <w:t xml:space="preserve">, „weich, zart, weichlich", mit Artikel, </w:t>
      </w:r>
      <w:r>
        <w:rPr>
          <w:rStyle w:val="Fett"/>
          <w:rFonts w:eastAsiaTheme="majorEastAsia"/>
          <w:rtl/>
        </w:rPr>
        <w:t>בְּךָ</w:t>
      </w:r>
      <w:r>
        <w:t xml:space="preserve">, koordiniert durch </w:t>
      </w:r>
      <w:r>
        <w:rPr>
          <w:rStyle w:val="Fett"/>
          <w:rFonts w:eastAsiaTheme="majorEastAsia"/>
          <w:rtl/>
        </w:rPr>
        <w:t>וְ</w:t>
      </w:r>
      <w:r>
        <w:rPr>
          <w:rtl/>
        </w:rPr>
        <w:t xml:space="preserve"> </w:t>
      </w:r>
      <w:r>
        <w:t xml:space="preserve">mit </w:t>
      </w:r>
      <w:r>
        <w:rPr>
          <w:rStyle w:val="Fett"/>
          <w:rFonts w:eastAsiaTheme="majorEastAsia"/>
          <w:rtl/>
        </w:rPr>
        <w:t>עָנֹג</w:t>
      </w:r>
      <w:r>
        <w:t xml:space="preserve">, Adjektiv, „verwöhnt, verzärtelt", mit Artikel, </w:t>
      </w:r>
      <w:r>
        <w:rPr>
          <w:rStyle w:val="Fett"/>
          <w:rFonts w:eastAsiaTheme="majorEastAsia"/>
          <w:rtl/>
        </w:rPr>
        <w:t>מְאֹד</w:t>
      </w:r>
      <w:r>
        <w:t xml:space="preserve">, </w:t>
      </w:r>
      <w:r>
        <w:rPr>
          <w:rStyle w:val="Fett"/>
          <w:rFonts w:eastAsiaTheme="majorEastAsia"/>
          <w:rtl/>
        </w:rPr>
        <w:t>רעע</w:t>
      </w:r>
      <w:r>
        <w:t xml:space="preserve">, Qal Imperfekt, 3. Person Femininum Singular, „böse/missgünstig blicken", </w:t>
      </w:r>
      <w:r>
        <w:rPr>
          <w:rStyle w:val="Fett"/>
          <w:rFonts w:eastAsiaTheme="majorEastAsia"/>
          <w:rtl/>
        </w:rPr>
        <w:t>עַיִן</w:t>
      </w:r>
      <w:r>
        <w:rPr>
          <w:rtl/>
        </w:rPr>
        <w:t xml:space="preserve"> </w:t>
      </w:r>
      <w:r>
        <w:t xml:space="preserve">mit Suffix 3. Person Maskulinum Singular als Subjekt, drei Präpositionen </w:t>
      </w:r>
      <w:r>
        <w:rPr>
          <w:rStyle w:val="Fett"/>
          <w:rFonts w:eastAsiaTheme="majorEastAsia"/>
          <w:rtl/>
        </w:rPr>
        <w:t>בְּ</w:t>
      </w:r>
      <w:r>
        <w:t xml:space="preserve">: </w:t>
      </w:r>
      <w:r>
        <w:rPr>
          <w:rStyle w:val="Fett"/>
          <w:rFonts w:eastAsiaTheme="majorEastAsia"/>
          <w:rtl/>
        </w:rPr>
        <w:t>בְאָחִיו</w:t>
      </w:r>
      <w:r>
        <w:t xml:space="preserve">, </w:t>
      </w:r>
      <w:r>
        <w:rPr>
          <w:rStyle w:val="Fett"/>
          <w:rFonts w:eastAsiaTheme="majorEastAsia"/>
          <w:rtl/>
        </w:rPr>
        <w:t>בְאֵשֶׁת חֵיקוֹ</w:t>
      </w:r>
      <w:r>
        <w:t xml:space="preserve">, </w:t>
      </w:r>
      <w:r>
        <w:rPr>
          <w:rStyle w:val="Fett"/>
          <w:rFonts w:eastAsiaTheme="majorEastAsia"/>
          <w:rtl/>
        </w:rPr>
        <w:t>בְיֶתֶר בָּנָיו</w:t>
      </w:r>
      <w:r>
        <w:t xml:space="preserve">, Relativsatz: </w:t>
      </w:r>
      <w:r>
        <w:rPr>
          <w:rStyle w:val="Fett"/>
          <w:rFonts w:eastAsiaTheme="majorEastAsia"/>
          <w:rtl/>
        </w:rPr>
        <w:t>אֲשֶׁר יוֹתִיר</w:t>
      </w:r>
      <w:r>
        <w:rPr>
          <w:rtl/>
        </w:rPr>
        <w:t xml:space="preserve"> </w:t>
      </w:r>
      <w:r>
        <w:t xml:space="preserve">mit </w:t>
      </w:r>
      <w:r>
        <w:rPr>
          <w:rStyle w:val="Fett"/>
          <w:rFonts w:eastAsiaTheme="majorEastAsia"/>
          <w:rtl/>
        </w:rPr>
        <w:t>יתר</w:t>
      </w:r>
      <w:r>
        <w:t>, Hiphil Imperfekt, 3. Person Maskulinum Singular, „übriglassen, übrigbehalten").</w:t>
      </w:r>
    </w:p>
    <w:p w14:paraId="09829C50" w14:textId="77777777" w:rsidR="005D0B3C" w:rsidRDefault="005D0B3C" w:rsidP="005D0B3C">
      <w:pPr>
        <w:pStyle w:val="whitespace-normal"/>
      </w:pPr>
      <w:r>
        <w:t xml:space="preserve">Der Vers beschreibt den moralischen Zusammenbruch während der Belagerung – selbst die feinsten Menschen werden grausam. Die Beschreibung: </w:t>
      </w:r>
      <w:r>
        <w:rPr>
          <w:rStyle w:val="Fett"/>
          <w:rFonts w:eastAsiaTheme="majorEastAsia"/>
          <w:rtl/>
        </w:rPr>
        <w:t>הָאִישׁ הָרַךְ בְּךָ וְהֶעָנֹג מְאֹד תֵּרַע עֵינוֹ בְאָחִיו וּבְאֵשֶׁת חֵיקוֹ וּבְיֶתֶר בָּנָיו אֲשֶׁר יוֹתִיר</w:t>
      </w:r>
      <w:r>
        <w:rPr>
          <w:rtl/>
        </w:rPr>
        <w:t xml:space="preserve"> </w:t>
      </w:r>
      <w:r>
        <w:t xml:space="preserve">(„der weichlichste und am meisten verwöhnte Mann unter dir, dessen Auge wird missgünstig blicken auf seinen Bruder und auf die Frau seines Busens und auf die übrigen seiner Kinder, die er übrigbehalten hat"). Die beiden Adjektive </w:t>
      </w:r>
      <w:r>
        <w:rPr>
          <w:rStyle w:val="Fett"/>
          <w:rFonts w:eastAsiaTheme="majorEastAsia"/>
          <w:rtl/>
        </w:rPr>
        <w:t>הָרַךְ</w:t>
      </w:r>
      <w:r>
        <w:rPr>
          <w:rtl/>
        </w:rPr>
        <w:t xml:space="preserve"> </w:t>
      </w:r>
      <w:r>
        <w:t xml:space="preserve">(„weichlich, zart") und </w:t>
      </w:r>
      <w:r>
        <w:rPr>
          <w:rStyle w:val="Fett"/>
          <w:rFonts w:eastAsiaTheme="majorEastAsia"/>
          <w:rtl/>
        </w:rPr>
        <w:t>הֶעָנֹג מְאֹד</w:t>
      </w:r>
      <w:r>
        <w:rPr>
          <w:rtl/>
        </w:rPr>
        <w:t xml:space="preserve"> </w:t>
      </w:r>
      <w:r>
        <w:t xml:space="preserve">(„sehr verwöhnt") beschreiben einen Mann von höchstem Status und Komfort – normalerweise mitfühlend und großzügig. Das Verb </w:t>
      </w:r>
      <w:r>
        <w:rPr>
          <w:rStyle w:val="Fett"/>
          <w:rFonts w:eastAsiaTheme="majorEastAsia"/>
          <w:rtl/>
        </w:rPr>
        <w:t>רעע</w:t>
      </w:r>
      <w:r>
        <w:rPr>
          <w:rtl/>
        </w:rPr>
        <w:t xml:space="preserve"> </w:t>
      </w:r>
      <w:r>
        <w:t xml:space="preserve">(„böse/missgünstig blicken") – er wird gierig und neidisch. Die drei Objekte: </w:t>
      </w:r>
      <w:r>
        <w:rPr>
          <w:rStyle w:val="Fett"/>
          <w:rFonts w:eastAsiaTheme="majorEastAsia"/>
          <w:rtl/>
        </w:rPr>
        <w:t>בְאָחִיו</w:t>
      </w:r>
      <w:r>
        <w:rPr>
          <w:rtl/>
        </w:rPr>
        <w:t xml:space="preserve"> </w:t>
      </w:r>
      <w:r>
        <w:t xml:space="preserve">(„auf seinen Bruder"), </w:t>
      </w:r>
      <w:r>
        <w:rPr>
          <w:rStyle w:val="Fett"/>
          <w:rFonts w:eastAsiaTheme="majorEastAsia"/>
          <w:rtl/>
        </w:rPr>
        <w:t>וּבְאֵשֶׁת חֵיקוֹ</w:t>
      </w:r>
      <w:r>
        <w:rPr>
          <w:rtl/>
        </w:rPr>
        <w:t xml:space="preserve"> </w:t>
      </w:r>
      <w:r>
        <w:t xml:space="preserve">(„und auf die Frau seines Busens" = seine geliebte Frau), </w:t>
      </w:r>
      <w:r>
        <w:rPr>
          <w:rStyle w:val="Fett"/>
          <w:rFonts w:eastAsiaTheme="majorEastAsia"/>
          <w:rtl/>
        </w:rPr>
        <w:t>וּבְיֶתֶר בָּנָיו אֲשֶׁר יוֹתִיר</w:t>
      </w:r>
      <w:r>
        <w:rPr>
          <w:rtl/>
        </w:rPr>
        <w:t xml:space="preserve"> </w:t>
      </w:r>
      <w:r>
        <w:t>(„und auf die übrigen seiner Kinder, die er übrigbehalten hat") – die nächsten Angehörigen. V. 55 wird erklären, warum.</w:t>
      </w:r>
    </w:p>
    <w:p w14:paraId="72B34C47" w14:textId="77777777" w:rsidR="005D0B3C" w:rsidRDefault="005D0B3C" w:rsidP="005D0B3C">
      <w:pPr>
        <w:pStyle w:val="whitespace-normal"/>
      </w:pPr>
      <w:r>
        <w:rPr>
          <w:rStyle w:val="Fett"/>
          <w:rFonts w:eastAsiaTheme="majorEastAsia"/>
        </w:rPr>
        <w:t>Die Satzstruktur:</w:t>
      </w:r>
      <w:r>
        <w:t xml:space="preserve"> Beschreibung (der weichlichste und am meisten verwöhnte Mann unter dir, dessen Auge wird missgünstig blicken auf seinen Bruder und auf die Frau seines Busens und auf die übrigen seiner Kinder, die er übrigbehalten hat).</w:t>
      </w:r>
    </w:p>
    <w:p w14:paraId="13405508" w14:textId="46FF65CF" w:rsidR="005D0B3C" w:rsidRDefault="005D0B3C" w:rsidP="00564C2A">
      <w:pPr>
        <w:pStyle w:val="whitespace-normal"/>
      </w:pPr>
      <w:r>
        <w:rPr>
          <w:rStyle w:val="Fett"/>
          <w:rFonts w:eastAsiaTheme="majorEastAsia"/>
        </w:rPr>
        <w:t>Der Vers beschreibt:</w:t>
      </w:r>
      <w:r>
        <w:t xml:space="preserve"> Moralischer Zusammenbruch – selbst der feinste Mann wird gierig gegenüber seinen Liebsten.</w:t>
      </w:r>
    </w:p>
    <w:p w14:paraId="260ABE2B" w14:textId="77777777" w:rsidR="005D0B3C" w:rsidRPr="008D48A3" w:rsidRDefault="005D0B3C" w:rsidP="008D48A3">
      <w:pPr>
        <w:pStyle w:val="Bibelberschrift"/>
      </w:pPr>
      <w:r w:rsidRPr="008D48A3">
        <w:rPr>
          <w:rStyle w:val="Fett"/>
          <w:b/>
          <w:bCs w:val="0"/>
        </w:rPr>
        <w:t>Deuteronomium 28,55</w:t>
      </w:r>
    </w:p>
    <w:p w14:paraId="052E3C2F" w14:textId="77777777" w:rsidR="005D0B3C" w:rsidRDefault="005D0B3C" w:rsidP="005D0B3C">
      <w:pPr>
        <w:pStyle w:val="whitespace-normal"/>
      </w:pPr>
      <w:r>
        <w:rPr>
          <w:rStyle w:val="Fett"/>
          <w:rFonts w:eastAsiaTheme="majorEastAsia"/>
        </w:rPr>
        <w:t>Hebräisch:</w:t>
      </w:r>
      <w:r>
        <w:t xml:space="preserve"> </w:t>
      </w:r>
      <w:r>
        <w:rPr>
          <w:rtl/>
        </w:rPr>
        <w:t>מִתֵּת׀ לְאַחַד מֵהֶם מִבְּשַׂר בָּנָיו אֲשֶׁר יֹאכֵל מִבְּלִי הִשְׁאִֽיר־לוֹ כֹּל בְּמָצוֹר וּבְמָצוֹק אֲשֶׁר יָצִיק לְךָ אֹיִבְךָ בְּכָל־שְׁעָרֶֽיךָ׃</w:t>
      </w:r>
    </w:p>
    <w:p w14:paraId="59C79244" w14:textId="77777777" w:rsidR="005D0B3C" w:rsidRDefault="005D0B3C" w:rsidP="005D0B3C">
      <w:pPr>
        <w:pStyle w:val="whitespace-normal"/>
      </w:pPr>
      <w:r>
        <w:rPr>
          <w:rStyle w:val="Fett"/>
          <w:rFonts w:eastAsiaTheme="majorEastAsia"/>
        </w:rPr>
        <w:t>Deutsch:</w:t>
      </w:r>
      <w:r>
        <w:t xml:space="preserve"> Damit er keinem von ihnen etwas gibt von dem Fleisch seiner Kinder, das er isst; weil ihm nichts übriggeblieben ist in der Belagerung und in der Bedrängnis, womit dein Feind dich bedrängen wird in allen deinen Toren.</w:t>
      </w:r>
    </w:p>
    <w:p w14:paraId="58432793" w14:textId="77777777" w:rsidR="005D0B3C" w:rsidRDefault="004F5CEB" w:rsidP="005D0B3C">
      <w:r>
        <w:rPr>
          <w:noProof/>
        </w:rPr>
        <w:pict w14:anchorId="0100FFEB">
          <v:rect id="_x0000_i1798" style="width:0;height:1.5pt" o:hralign="center" o:hrstd="t" o:hr="t" fillcolor="#a0a0a0" stroked="f"/>
        </w:pict>
      </w:r>
    </w:p>
    <w:p w14:paraId="23520952" w14:textId="77777777" w:rsidR="005D0B3C" w:rsidRDefault="005D0B3C" w:rsidP="005D0B3C">
      <w:pPr>
        <w:pStyle w:val="whitespace-normal"/>
      </w:pPr>
      <w:r>
        <w:rPr>
          <w:rStyle w:val="Fett"/>
          <w:rFonts w:eastAsiaTheme="majorEastAsia"/>
        </w:rPr>
        <w:t>Kommentar:</w:t>
      </w:r>
      <w:r>
        <w:t xml:space="preserve"> </w:t>
      </w:r>
      <w:r>
        <w:rPr>
          <w:rStyle w:val="Fett"/>
          <w:rFonts w:eastAsiaTheme="majorEastAsia"/>
          <w:rtl/>
        </w:rPr>
        <w:t>מִתֵּת לְאַחַד מֵהֶם מִבְּשַׂר בָּנָיו אֲשֶׁר יֹאכֵל מִבְּלִי הִשְׁאִיר־לוֹ כֹּל בְּמָצוֹר וּבְמָצוֹק אֲשֶׁר יָצִיק לְךָ אֹיִבְךָ בְּכָל־שְׁעָרֶיךָ</w:t>
      </w:r>
      <w:r>
        <w:rPr>
          <w:rtl/>
        </w:rPr>
        <w:t xml:space="preserve"> </w:t>
      </w:r>
      <w:r>
        <w:t xml:space="preserve">ist eine Erklärung mit Begründung: </w:t>
      </w:r>
      <w:r>
        <w:rPr>
          <w:rStyle w:val="Fett"/>
          <w:rFonts w:eastAsiaTheme="majorEastAsia"/>
          <w:rtl/>
        </w:rPr>
        <w:t>מִתֵּת לְאַחַד מֵהֶם מִבְּשַׂר בָּנָיו אֲשֶׁר יֹאכֵל</w:t>
      </w:r>
      <w:r>
        <w:rPr>
          <w:rtl/>
        </w:rPr>
        <w:t xml:space="preserve"> </w:t>
      </w:r>
      <w:r>
        <w:t>(</w:t>
      </w:r>
      <w:r>
        <w:rPr>
          <w:rStyle w:val="Fett"/>
          <w:rFonts w:eastAsiaTheme="majorEastAsia"/>
          <w:rtl/>
        </w:rPr>
        <w:t>מִן</w:t>
      </w:r>
      <w:r>
        <w:rPr>
          <w:rtl/>
        </w:rPr>
        <w:t xml:space="preserve"> </w:t>
      </w:r>
      <w:r>
        <w:t xml:space="preserve">mit Qal Infinitiv Construct von </w:t>
      </w:r>
      <w:r>
        <w:rPr>
          <w:rStyle w:val="Fett"/>
          <w:rFonts w:eastAsiaTheme="majorEastAsia"/>
          <w:rtl/>
        </w:rPr>
        <w:t>נתן</w:t>
      </w:r>
      <w:r>
        <w:t xml:space="preserve">, mit Suffix 3. Person Maskulinum Singular (implizites Subjekt: der Mann aus V. 54), Präposition </w:t>
      </w:r>
      <w:r>
        <w:rPr>
          <w:rStyle w:val="Fett"/>
          <w:rFonts w:eastAsiaTheme="majorEastAsia"/>
          <w:rtl/>
        </w:rPr>
        <w:t>לְ</w:t>
      </w:r>
      <w:r>
        <w:rPr>
          <w:rtl/>
        </w:rPr>
        <w:t xml:space="preserve"> </w:t>
      </w:r>
      <w:r>
        <w:t xml:space="preserve">mit </w:t>
      </w:r>
      <w:r>
        <w:rPr>
          <w:rStyle w:val="Fett"/>
          <w:rFonts w:eastAsiaTheme="majorEastAsia"/>
          <w:rtl/>
        </w:rPr>
        <w:t>אֶחָד</w:t>
      </w:r>
      <w:r>
        <w:t xml:space="preserve">, „einer", Präposition </w:t>
      </w:r>
      <w:r>
        <w:rPr>
          <w:rStyle w:val="Fett"/>
          <w:rFonts w:eastAsiaTheme="majorEastAsia"/>
          <w:rtl/>
        </w:rPr>
        <w:t>מִן</w:t>
      </w:r>
      <w:r>
        <w:rPr>
          <w:rtl/>
        </w:rPr>
        <w:t xml:space="preserve"> </w:t>
      </w:r>
      <w:r>
        <w:t xml:space="preserve">mit Suffix 3. Person Maskulinum Plural, </w:t>
      </w:r>
      <w:r>
        <w:rPr>
          <w:rStyle w:val="Fett"/>
          <w:rFonts w:eastAsiaTheme="majorEastAsia"/>
          <w:rtl/>
        </w:rPr>
        <w:t>מִן</w:t>
      </w:r>
      <w:r>
        <w:rPr>
          <w:rtl/>
        </w:rPr>
        <w:t xml:space="preserve"> </w:t>
      </w:r>
      <w:r>
        <w:t xml:space="preserve">mit </w:t>
      </w:r>
      <w:r>
        <w:rPr>
          <w:rStyle w:val="Fett"/>
          <w:rFonts w:eastAsiaTheme="majorEastAsia"/>
          <w:rtl/>
        </w:rPr>
        <w:t>בְּשַׂר בָּנָיו</w:t>
      </w:r>
      <w:r>
        <w:t xml:space="preserve">, Relativsatz: </w:t>
      </w:r>
      <w:r>
        <w:rPr>
          <w:rStyle w:val="Fett"/>
          <w:rFonts w:eastAsiaTheme="majorEastAsia"/>
          <w:rtl/>
        </w:rPr>
        <w:t>אֲשֶׁר יֹאכֵל</w:t>
      </w:r>
      <w:r>
        <w:rPr>
          <w:rtl/>
        </w:rPr>
        <w:t xml:space="preserve"> </w:t>
      </w:r>
      <w:r>
        <w:t xml:space="preserve">mit </w:t>
      </w:r>
      <w:r>
        <w:rPr>
          <w:rStyle w:val="Fett"/>
          <w:rFonts w:eastAsiaTheme="majorEastAsia"/>
          <w:rtl/>
        </w:rPr>
        <w:t>אכל</w:t>
      </w:r>
      <w:r>
        <w:t xml:space="preserve">, Qal Imperfekt, 3. Person Maskulinum Singular), </w:t>
      </w:r>
      <w:r>
        <w:rPr>
          <w:rStyle w:val="Fett"/>
          <w:rFonts w:eastAsiaTheme="majorEastAsia"/>
          <w:rtl/>
        </w:rPr>
        <w:t>מִבְּלִי הִשְׁאִיר־לוֹ כֹּל</w:t>
      </w:r>
      <w:r>
        <w:rPr>
          <w:rtl/>
        </w:rPr>
        <w:t xml:space="preserve"> </w:t>
      </w:r>
      <w:r>
        <w:t xml:space="preserve">(Präposition </w:t>
      </w:r>
      <w:r>
        <w:rPr>
          <w:rStyle w:val="Fett"/>
          <w:rFonts w:eastAsiaTheme="majorEastAsia"/>
          <w:rtl/>
        </w:rPr>
        <w:t>מִן</w:t>
      </w:r>
      <w:r>
        <w:rPr>
          <w:rtl/>
        </w:rPr>
        <w:t xml:space="preserve"> </w:t>
      </w:r>
      <w:r>
        <w:t xml:space="preserve">mit </w:t>
      </w:r>
      <w:r>
        <w:rPr>
          <w:rStyle w:val="Fett"/>
          <w:rFonts w:eastAsiaTheme="majorEastAsia"/>
          <w:rtl/>
        </w:rPr>
        <w:t>בְּלִי</w:t>
      </w:r>
      <w:r>
        <w:t xml:space="preserve">, „ohne, weil nicht", Hiphil Infinitiv Construct von </w:t>
      </w:r>
      <w:r>
        <w:rPr>
          <w:rStyle w:val="Fett"/>
          <w:rFonts w:eastAsiaTheme="majorEastAsia"/>
          <w:rtl/>
        </w:rPr>
        <w:t>שׁאר</w:t>
      </w:r>
      <w:r>
        <w:t xml:space="preserve">, „übriglassen", Präposition </w:t>
      </w:r>
      <w:r>
        <w:rPr>
          <w:rStyle w:val="Fett"/>
          <w:rFonts w:eastAsiaTheme="majorEastAsia"/>
          <w:rtl/>
        </w:rPr>
        <w:t>לְ</w:t>
      </w:r>
      <w:r>
        <w:rPr>
          <w:rtl/>
        </w:rPr>
        <w:t xml:space="preserve"> </w:t>
      </w:r>
      <w:r>
        <w:t xml:space="preserve">mit Suffix 3. Person Maskulinum Singular, </w:t>
      </w:r>
      <w:r>
        <w:rPr>
          <w:rStyle w:val="Fett"/>
          <w:rFonts w:eastAsiaTheme="majorEastAsia"/>
          <w:rtl/>
        </w:rPr>
        <w:t>כֹּל</w:t>
      </w:r>
      <w:r>
        <w:t xml:space="preserve">), </w:t>
      </w:r>
      <w:r>
        <w:rPr>
          <w:rStyle w:val="Fett"/>
          <w:rFonts w:eastAsiaTheme="majorEastAsia"/>
          <w:rtl/>
        </w:rPr>
        <w:t>בְּמָצוֹר וּבְמָצוֹק אֲשֶׁר יָצִיק לְךָ אֹיִבְךָ בְּכָל־שְׁעָרֶיךָ</w:t>
      </w:r>
      <w:r>
        <w:rPr>
          <w:rtl/>
        </w:rPr>
        <w:t xml:space="preserve"> </w:t>
      </w:r>
      <w:r>
        <w:t xml:space="preserve">(wie V. 53, mit Zusatz </w:t>
      </w:r>
      <w:r>
        <w:rPr>
          <w:rStyle w:val="Fett"/>
          <w:rFonts w:eastAsiaTheme="majorEastAsia"/>
          <w:rtl/>
        </w:rPr>
        <w:t>בְּכָל־שְׁעָרֶיךָ</w:t>
      </w:r>
      <w:r>
        <w:t>).</w:t>
      </w:r>
    </w:p>
    <w:p w14:paraId="1D3C5D3E" w14:textId="77777777" w:rsidR="005D0B3C" w:rsidRDefault="005D0B3C" w:rsidP="005D0B3C">
      <w:pPr>
        <w:pStyle w:val="whitespace-normal"/>
      </w:pPr>
      <w:r>
        <w:lastRenderedPageBreak/>
        <w:t xml:space="preserve">Der Vers erklärt das missgünstige Blicken aus V. 54. Die Erklärung: </w:t>
      </w:r>
      <w:r>
        <w:rPr>
          <w:rStyle w:val="Fett"/>
          <w:rFonts w:eastAsiaTheme="majorEastAsia"/>
          <w:rtl/>
        </w:rPr>
        <w:t>מִתֵּת לְאַחַד מֵהֶם מִבְּשַׂר בָּנָיו אֲשֶׁר יֹאכֵל</w:t>
      </w:r>
      <w:r>
        <w:rPr>
          <w:rtl/>
        </w:rPr>
        <w:t xml:space="preserve"> </w:t>
      </w:r>
      <w:r>
        <w:t xml:space="preserve">(„damit er nicht gibt einem von ihnen von dem Fleisch seiner Kinder, das er isst"). Der verwöhnte Mann wird so gierig, dass er nichts von dem kannibalischen Fleisch abgeben will – nicht einmal seinen engsten Angehörigen. Die Begründung: </w:t>
      </w:r>
      <w:r>
        <w:rPr>
          <w:rStyle w:val="Fett"/>
          <w:rFonts w:eastAsiaTheme="majorEastAsia"/>
          <w:rtl/>
        </w:rPr>
        <w:t>מִבְּלִי הִשְׁאִיר־לוֹ כֹּל</w:t>
      </w:r>
      <w:r>
        <w:rPr>
          <w:rtl/>
        </w:rPr>
        <w:t xml:space="preserve"> </w:t>
      </w:r>
      <w:r>
        <w:t xml:space="preserve">(„weil ihm nichts übriggeblieben ist"). Totaler Mangel an Nahrung. Die Umstände wie V. 53: </w:t>
      </w:r>
      <w:r>
        <w:rPr>
          <w:rStyle w:val="Fett"/>
          <w:rFonts w:eastAsiaTheme="majorEastAsia"/>
          <w:rtl/>
        </w:rPr>
        <w:t>בְּמָצוֹר וּבְמָצוֹק אֲשֶׁר יָצִיק לְךָ אֹיִבְךָ בְּכָל־שְׁעָרֶיךָ</w:t>
      </w:r>
      <w:r>
        <w:rPr>
          <w:rtl/>
        </w:rPr>
        <w:t xml:space="preserve"> </w:t>
      </w:r>
      <w:r>
        <w:t>(„in der Belagerung und in der Bedrängnis, womit dein Feind dich bedrängen wird in allen deinen Toren").</w:t>
      </w:r>
    </w:p>
    <w:p w14:paraId="2FD1CDD2" w14:textId="77777777" w:rsidR="005D0B3C" w:rsidRDefault="005D0B3C" w:rsidP="005D0B3C">
      <w:pPr>
        <w:pStyle w:val="whitespace-normal"/>
      </w:pPr>
      <w:r>
        <w:rPr>
          <w:rStyle w:val="Fett"/>
          <w:rFonts w:eastAsiaTheme="majorEastAsia"/>
        </w:rPr>
        <w:t>Die Satzstruktur:</w:t>
      </w:r>
      <w:r>
        <w:t xml:space="preserve"> Erklärung mit Begründung und Umständen (damit er nicht gibt einem von ihnen von dem Fleisch seiner Kinder, das er isst; weil ihm nichts übriggeblieben ist – in der Belagerung und in der Bedrängnis, womit dein Feind dich bedrängen wird in allen deinen Toren).</w:t>
      </w:r>
    </w:p>
    <w:p w14:paraId="6D7C6FEC" w14:textId="2343EBE9" w:rsidR="005D0B3C" w:rsidRDefault="005D0B3C" w:rsidP="00564C2A">
      <w:pPr>
        <w:pStyle w:val="whitespace-normal"/>
      </w:pPr>
      <w:r>
        <w:rPr>
          <w:rStyle w:val="Fett"/>
          <w:rFonts w:eastAsiaTheme="majorEastAsia"/>
        </w:rPr>
        <w:t>Der Vers beschreibt:</w:t>
      </w:r>
      <w:r>
        <w:t xml:space="preserve"> Grund für die Gier – völliger Nahrungsmangel führt zu extremem Egoismus, selbst gegenüber Liebsten.</w:t>
      </w:r>
    </w:p>
    <w:p w14:paraId="59DEA10D" w14:textId="77777777" w:rsidR="005D0B3C" w:rsidRPr="008D48A3" w:rsidRDefault="005D0B3C" w:rsidP="008D48A3">
      <w:pPr>
        <w:pStyle w:val="Bibelberschrift"/>
      </w:pPr>
      <w:r w:rsidRPr="008D48A3">
        <w:rPr>
          <w:rStyle w:val="Fett"/>
          <w:b/>
          <w:bCs w:val="0"/>
        </w:rPr>
        <w:t>Deuteronomium 28,56</w:t>
      </w:r>
    </w:p>
    <w:p w14:paraId="4CD5545A" w14:textId="77777777" w:rsidR="005D0B3C" w:rsidRDefault="005D0B3C" w:rsidP="005D0B3C">
      <w:pPr>
        <w:pStyle w:val="whitespace-normal"/>
      </w:pPr>
      <w:r>
        <w:rPr>
          <w:rStyle w:val="Fett"/>
          <w:rFonts w:eastAsiaTheme="majorEastAsia"/>
        </w:rPr>
        <w:t>Hebräisch:</w:t>
      </w:r>
      <w:r>
        <w:t xml:space="preserve"> </w:t>
      </w:r>
      <w:r>
        <w:rPr>
          <w:rtl/>
        </w:rPr>
        <w:t>הָרַכָּה בְךָ וְהָעֲנֻגָּה אֲשֶׁר לֹא־נִסְּתָה כַף־רַגְלָהּ הַצֵּג עַל־הָאָרֶץ מֵהִתְעַנֵּג וּמֵרֹךְ תֵּרַע עֵינָהּ בְּאִישׁ חֵיקָהּ וּבִבְנָהּ וּבְבִתָּֽהּ׃</w:t>
      </w:r>
    </w:p>
    <w:p w14:paraId="2F11D85D" w14:textId="77777777" w:rsidR="005D0B3C" w:rsidRDefault="005D0B3C" w:rsidP="005D0B3C">
      <w:pPr>
        <w:pStyle w:val="whitespace-normal"/>
      </w:pPr>
      <w:r>
        <w:rPr>
          <w:rStyle w:val="Fett"/>
          <w:rFonts w:eastAsiaTheme="majorEastAsia"/>
        </w:rPr>
        <w:t>Deutsch:</w:t>
      </w:r>
      <w:r>
        <w:t xml:space="preserve"> Die weichlichste und verwöhnteste Frau unter dir, die vor Verwöhnung und Verweichlichung nie versucht hat, ihre Fußsohle auf die Erde zu setzen, deren Auge wird missgünstig blicken auf den Mann ihres Busens und auf ihren Sohn und auf ihre Tochter.</w:t>
      </w:r>
    </w:p>
    <w:p w14:paraId="5AA62F31" w14:textId="77777777" w:rsidR="005D0B3C" w:rsidRDefault="004F5CEB" w:rsidP="005D0B3C">
      <w:r>
        <w:rPr>
          <w:noProof/>
        </w:rPr>
        <w:pict w14:anchorId="5F0EF2FF">
          <v:rect id="_x0000_i1799" style="width:0;height:1.5pt" o:hralign="center" o:hrstd="t" o:hr="t" fillcolor="#a0a0a0" stroked="f"/>
        </w:pict>
      </w:r>
    </w:p>
    <w:p w14:paraId="346D489D" w14:textId="77777777" w:rsidR="005D0B3C" w:rsidRDefault="005D0B3C" w:rsidP="005D0B3C">
      <w:pPr>
        <w:pStyle w:val="whitespace-normal"/>
      </w:pPr>
      <w:r>
        <w:rPr>
          <w:rStyle w:val="Fett"/>
          <w:rFonts w:eastAsiaTheme="majorEastAsia"/>
        </w:rPr>
        <w:t>Kommentar:</w:t>
      </w:r>
      <w:r>
        <w:t xml:space="preserve"> </w:t>
      </w:r>
      <w:r>
        <w:rPr>
          <w:rStyle w:val="Fett"/>
          <w:rFonts w:eastAsiaTheme="majorEastAsia"/>
          <w:rtl/>
        </w:rPr>
        <w:t>הָרַכָּה בְךָ וְהָעֲנֻגָּה אֲשֶׁר לֹא־נִסְּתָה כַף־רַגְלָהּ הַצֵּג עַל־הָאָרֶץ מֵהִתְעַנֵּג וּמֵרֹךְ תֵּרַע עֵינָהּ בְּאִישׁ חֵיקָהּ וּבִבְנָהּ וּבְבִתָּהּ</w:t>
      </w:r>
      <w:r>
        <w:rPr>
          <w:rtl/>
        </w:rPr>
        <w:t xml:space="preserve"> </w:t>
      </w:r>
      <w:r>
        <w:t xml:space="preserve">ist eine parallele Beschreibung zu V. 54: </w:t>
      </w:r>
      <w:r>
        <w:rPr>
          <w:rStyle w:val="Fett"/>
          <w:rFonts w:eastAsiaTheme="majorEastAsia"/>
          <w:rtl/>
        </w:rPr>
        <w:t>הָרַכָּה בְךָ וְהָעֲנֻגָּה אֲשֶׁר לֹא־נִסְּתָה כַף־רַגְלָהּ הַצֵּג עַל־הָאָרֶץ מֵהִתְעַנֵּג וּמֵרֹךְ</w:t>
      </w:r>
      <w:r>
        <w:rPr>
          <w:rtl/>
        </w:rPr>
        <w:t xml:space="preserve"> </w:t>
      </w:r>
      <w:r>
        <w:t xml:space="preserve">(Femininum von V. 54: </w:t>
      </w:r>
      <w:r>
        <w:rPr>
          <w:rStyle w:val="Fett"/>
          <w:rFonts w:eastAsiaTheme="majorEastAsia"/>
          <w:rtl/>
        </w:rPr>
        <w:t>רַךְ</w:t>
      </w:r>
      <w:r>
        <w:rPr>
          <w:rtl/>
        </w:rPr>
        <w:t xml:space="preserve"> </w:t>
      </w:r>
      <w:r>
        <w:t xml:space="preserve">Femininum mit Artikel, </w:t>
      </w:r>
      <w:r>
        <w:rPr>
          <w:rStyle w:val="Fett"/>
          <w:rFonts w:eastAsiaTheme="majorEastAsia"/>
          <w:rtl/>
        </w:rPr>
        <w:t>בְּךָ</w:t>
      </w:r>
      <w:r>
        <w:t xml:space="preserve">, koordiniert durch </w:t>
      </w:r>
      <w:r>
        <w:rPr>
          <w:rStyle w:val="Fett"/>
          <w:rFonts w:eastAsiaTheme="majorEastAsia"/>
          <w:rtl/>
        </w:rPr>
        <w:t>וְ</w:t>
      </w:r>
      <w:r>
        <w:rPr>
          <w:rtl/>
        </w:rPr>
        <w:t xml:space="preserve"> </w:t>
      </w:r>
      <w:r>
        <w:t xml:space="preserve">mit </w:t>
      </w:r>
      <w:r>
        <w:rPr>
          <w:rStyle w:val="Fett"/>
          <w:rFonts w:eastAsiaTheme="majorEastAsia"/>
          <w:rtl/>
        </w:rPr>
        <w:t>עָנֹג</w:t>
      </w:r>
      <w:r>
        <w:rPr>
          <w:rtl/>
        </w:rPr>
        <w:t xml:space="preserve"> </w:t>
      </w:r>
      <w:r>
        <w:t xml:space="preserve">Femininum mit Artikel, Relativsatz: </w:t>
      </w:r>
      <w:r>
        <w:rPr>
          <w:rStyle w:val="Fett"/>
          <w:rFonts w:eastAsiaTheme="majorEastAsia"/>
          <w:rtl/>
        </w:rPr>
        <w:t>אֲשֶׁר לֹא־נִסְּתָה כַף־רַגְלָהּ הַצֵּג עַל־הָאָרֶץ</w:t>
      </w:r>
      <w:r>
        <w:rPr>
          <w:rtl/>
        </w:rPr>
        <w:t xml:space="preserve"> </w:t>
      </w:r>
      <w:r>
        <w:t xml:space="preserve">mit Negation, </w:t>
      </w:r>
      <w:r>
        <w:rPr>
          <w:rStyle w:val="Fett"/>
          <w:rFonts w:eastAsiaTheme="majorEastAsia"/>
          <w:rtl/>
        </w:rPr>
        <w:t>נסה</w:t>
      </w:r>
      <w:r>
        <w:t xml:space="preserve">, Piel Perfekt, 3. Person Femininum Singular, „versuchen", </w:t>
      </w:r>
      <w:r>
        <w:rPr>
          <w:rStyle w:val="Fett"/>
          <w:rFonts w:eastAsiaTheme="majorEastAsia"/>
          <w:rtl/>
        </w:rPr>
        <w:t>כַף־רֶגֶל</w:t>
      </w:r>
      <w:r>
        <w:rPr>
          <w:rtl/>
        </w:rPr>
        <w:t xml:space="preserve"> </w:t>
      </w:r>
      <w:r>
        <w:t xml:space="preserve">mit Suffix 3. Person Femininum Singular, Hiphil Infinitiv Construct von </w:t>
      </w:r>
      <w:r>
        <w:rPr>
          <w:rStyle w:val="Fett"/>
          <w:rFonts w:eastAsiaTheme="majorEastAsia"/>
          <w:rtl/>
        </w:rPr>
        <w:t>יצג</w:t>
      </w:r>
      <w:r>
        <w:t xml:space="preserve">, „setzen, stellen" (hapax), </w:t>
      </w:r>
      <w:r>
        <w:rPr>
          <w:rStyle w:val="Fett"/>
          <w:rFonts w:eastAsiaTheme="majorEastAsia"/>
          <w:rtl/>
        </w:rPr>
        <w:t>עַל־הָאָרֶץ</w:t>
      </w:r>
      <w:r>
        <w:t xml:space="preserve">, zwei Präpositionen </w:t>
      </w:r>
      <w:r>
        <w:rPr>
          <w:rStyle w:val="Fett"/>
          <w:rFonts w:eastAsiaTheme="majorEastAsia"/>
          <w:rtl/>
        </w:rPr>
        <w:t>מִן</w:t>
      </w:r>
      <w:r>
        <w:t xml:space="preserve">: </w:t>
      </w:r>
      <w:r>
        <w:rPr>
          <w:rStyle w:val="Fett"/>
          <w:rFonts w:eastAsiaTheme="majorEastAsia"/>
          <w:rtl/>
        </w:rPr>
        <w:t>מֵהִתְעַנֵּג</w:t>
      </w:r>
      <w:r>
        <w:rPr>
          <w:rtl/>
        </w:rPr>
        <w:t xml:space="preserve"> </w:t>
      </w:r>
      <w:r>
        <w:t xml:space="preserve">mit Hitpael Infinitiv Construct von </w:t>
      </w:r>
      <w:r>
        <w:rPr>
          <w:rStyle w:val="Fett"/>
          <w:rFonts w:eastAsiaTheme="majorEastAsia"/>
          <w:rtl/>
        </w:rPr>
        <w:t>ענג</w:t>
      </w:r>
      <w:r>
        <w:t xml:space="preserve">, </w:t>
      </w:r>
      <w:r>
        <w:rPr>
          <w:rStyle w:val="Fett"/>
          <w:rFonts w:eastAsiaTheme="majorEastAsia"/>
          <w:rtl/>
        </w:rPr>
        <w:t>וּמֵרֹךְ</w:t>
      </w:r>
      <w:r>
        <w:t xml:space="preserve">, „Weichheit"), </w:t>
      </w:r>
      <w:r>
        <w:rPr>
          <w:rStyle w:val="Fett"/>
          <w:rFonts w:eastAsiaTheme="majorEastAsia"/>
          <w:rtl/>
        </w:rPr>
        <w:t>תֵּרַע עֵינָהּ בְּאִישׁ חֵיקָהּ וּבִבְנָהּ וּבְבִתָּהּ</w:t>
      </w:r>
      <w:r>
        <w:rPr>
          <w:rtl/>
        </w:rPr>
        <w:t xml:space="preserve"> </w:t>
      </w:r>
      <w:r>
        <w:t>(wie V. 54, aber Femininum).</w:t>
      </w:r>
    </w:p>
    <w:p w14:paraId="5F877265" w14:textId="77777777" w:rsidR="005D0B3C" w:rsidRDefault="005D0B3C" w:rsidP="005D0B3C">
      <w:pPr>
        <w:pStyle w:val="whitespace-normal"/>
      </w:pPr>
      <w:r>
        <w:t xml:space="preserve">Der Vers beschreibt dasselbe Phänomen bei einer Frau. Die Beschreibung: </w:t>
      </w:r>
      <w:r>
        <w:rPr>
          <w:rStyle w:val="Fett"/>
          <w:rFonts w:eastAsiaTheme="majorEastAsia"/>
          <w:rtl/>
        </w:rPr>
        <w:t>הָרַכָּה בְךָ וְהָעֲנֻגָּה אֲשֶׁר לֹא־נִסְּתָה כַף־רַגְלָהּ הַצֵּג עַל־הָאָרֶץ מֵהִתְעַנֵּג וּמֵרֹךְ תֵּרַע עֵינָהּ בְּאִישׁ חֵיקָהּ וּבִבְנָהּ וּבְבִתָּהּ</w:t>
      </w:r>
      <w:r>
        <w:rPr>
          <w:rtl/>
        </w:rPr>
        <w:t xml:space="preserve"> </w:t>
      </w:r>
      <w:r>
        <w:t xml:space="preserve">(„die weichlichste und verwöhnteste Frau unter dir, die nie versucht hat, die Sohle ihres Fußes auf die Erde zu setzen vor Verwöhnung und Weichheit, deren Auge wird missgünstig blicken auf den Mann ihres Busens und auf ihren Sohn und auf ihre Tochter"). Die hyperbolische Beschreibung </w:t>
      </w:r>
      <w:r>
        <w:rPr>
          <w:rStyle w:val="Fett"/>
          <w:rFonts w:eastAsiaTheme="majorEastAsia"/>
          <w:rtl/>
        </w:rPr>
        <w:t>אֲשֶׁר לֹא־נִסְּתָה כַף־רַגְלָהּ הַצֵּג עַל־הָאָרֶץ מֵהִתְעַנֵּג וּמֵרֹךְ</w:t>
      </w:r>
      <w:r>
        <w:rPr>
          <w:rtl/>
        </w:rPr>
        <w:t xml:space="preserve"> </w:t>
      </w:r>
      <w:r>
        <w:t>(„die nie versucht hat, die Sohle ihres Fußes auf die Erde zu setzen vor Verwöhnung und Weichheit") – eine Frau von extremstem Luxus, die nie den Boden berührt hat (getragen wurde). Auch sie wird gierig gegen ihre Liebsten. V. 57 wird erklären, warum.</w:t>
      </w:r>
    </w:p>
    <w:p w14:paraId="6A3C71D8" w14:textId="77777777" w:rsidR="005D0B3C" w:rsidRDefault="005D0B3C" w:rsidP="005D0B3C">
      <w:pPr>
        <w:pStyle w:val="whitespace-normal"/>
      </w:pPr>
      <w:r>
        <w:rPr>
          <w:rStyle w:val="Fett"/>
          <w:rFonts w:eastAsiaTheme="majorEastAsia"/>
        </w:rPr>
        <w:lastRenderedPageBreak/>
        <w:t>Die Satzstruktur:</w:t>
      </w:r>
      <w:r>
        <w:t xml:space="preserve"> Beschreibung (die weichlichste und verwöhnteste Frau unter dir, die nie versucht hat, die Sohle ihres Fußes auf die Erde zu setzen vor Verwöhnung und Weichheit, deren Auge wird missgünstig blicken auf den Mann ihres Busens und auf ihren Sohn und auf ihre Tochter).</w:t>
      </w:r>
    </w:p>
    <w:p w14:paraId="09F3EB26" w14:textId="3B392B2B" w:rsidR="005D0B3C" w:rsidRDefault="005D0B3C" w:rsidP="00564C2A">
      <w:pPr>
        <w:pStyle w:val="whitespace-normal"/>
      </w:pPr>
      <w:r>
        <w:rPr>
          <w:rStyle w:val="Fett"/>
          <w:rFonts w:eastAsiaTheme="majorEastAsia"/>
        </w:rPr>
        <w:t>Der Vers beschreibt:</w:t>
      </w:r>
      <w:r>
        <w:t xml:space="preserve"> Parallele zu V. 54 – auch die verwöhnteste Frau wird gierig gegenüber ihren Liebsten.</w:t>
      </w:r>
    </w:p>
    <w:p w14:paraId="6D90CADF" w14:textId="77777777" w:rsidR="005D0B3C" w:rsidRPr="008D48A3" w:rsidRDefault="005D0B3C" w:rsidP="008D48A3">
      <w:pPr>
        <w:pStyle w:val="Bibelberschrift"/>
      </w:pPr>
      <w:r w:rsidRPr="008D48A3">
        <w:rPr>
          <w:rStyle w:val="Fett"/>
          <w:b/>
          <w:bCs w:val="0"/>
        </w:rPr>
        <w:t>Deuteronomium 28,57</w:t>
      </w:r>
    </w:p>
    <w:p w14:paraId="66C3C472" w14:textId="77777777" w:rsidR="005D0B3C" w:rsidRDefault="005D0B3C" w:rsidP="005D0B3C">
      <w:pPr>
        <w:pStyle w:val="whitespace-normal"/>
      </w:pPr>
      <w:r>
        <w:rPr>
          <w:rStyle w:val="Fett"/>
          <w:rFonts w:eastAsiaTheme="majorEastAsia"/>
        </w:rPr>
        <w:t>Hebräisch:</w:t>
      </w:r>
      <w:r>
        <w:t xml:space="preserve"> </w:t>
      </w:r>
      <w:r>
        <w:rPr>
          <w:rtl/>
        </w:rPr>
        <w:t>וּֽבְשִׁלְיָתָהּ הַיּוֹצֵת׀ מִבֵּין רַגְלֶיהָ וּבְבָנֶיהָ אֲשֶׁר תֵּלֵד כִּֽי־תֹאכְלֵם בְּחֹֽסֶר־כֹּל בַּסָּתֶר בְּמָצוֹר וּבְמָצוֹק אֲשֶׁר יָצִיק לְךָ אֹיִבְךָ בִּשְׁעָרֶֽיךָ׃</w:t>
      </w:r>
    </w:p>
    <w:p w14:paraId="7F5437EE" w14:textId="77777777" w:rsidR="005D0B3C" w:rsidRDefault="005D0B3C" w:rsidP="005D0B3C">
      <w:pPr>
        <w:pStyle w:val="whitespace-normal"/>
      </w:pPr>
      <w:r>
        <w:rPr>
          <w:rStyle w:val="Fett"/>
          <w:rFonts w:eastAsiaTheme="majorEastAsia"/>
        </w:rPr>
        <w:t>Deutsch:</w:t>
      </w:r>
      <w:r>
        <w:t xml:space="preserve"> Wegen ihrer Nachgeburt, die zwischen ihren Beinen hervorkommt, und wegen ihrer Kinder, die sie gebiert; denn sie wird sie im Geheimen aufessen aus Mangel an allem, in der Belagerung und in der Bedrängnis, womit dein Feind dich bedrängen wird in deinen Toren.</w:t>
      </w:r>
    </w:p>
    <w:p w14:paraId="5CF2A297" w14:textId="77777777" w:rsidR="005D0B3C" w:rsidRDefault="004F5CEB" w:rsidP="005D0B3C">
      <w:r>
        <w:rPr>
          <w:noProof/>
        </w:rPr>
        <w:pict w14:anchorId="4B874F79">
          <v:rect id="_x0000_i1800" style="width:0;height:1.5pt" o:hralign="center" o:hrstd="t" o:hr="t" fillcolor="#a0a0a0" stroked="f"/>
        </w:pict>
      </w:r>
    </w:p>
    <w:p w14:paraId="635461E1" w14:textId="77777777" w:rsidR="005D0B3C" w:rsidRDefault="005D0B3C" w:rsidP="005D0B3C">
      <w:pPr>
        <w:pStyle w:val="whitespace-normal"/>
      </w:pPr>
      <w:r>
        <w:rPr>
          <w:rStyle w:val="Fett"/>
          <w:rFonts w:eastAsiaTheme="majorEastAsia"/>
        </w:rPr>
        <w:t>Kommentar:</w:t>
      </w:r>
      <w:r>
        <w:t xml:space="preserve"> </w:t>
      </w:r>
      <w:r>
        <w:rPr>
          <w:rStyle w:val="Fett"/>
          <w:rFonts w:eastAsiaTheme="majorEastAsia"/>
          <w:rtl/>
        </w:rPr>
        <w:t>וּבְשִׁלְיָתָהּ הַיּוֹצֵת מִבֵּין רַגְלֶיהָ וּבְבָנֶיהָ אֲשֶׁר תֵּלֵד כִּי־תֹאכְלֵם בְּחֹסֶר־כֹּל בַּסָּתֶר בְּמָצוֹר וּבְמָצוֹק אֲשֶׁר יָצִיק לְךָ אֹיִבְךָ בִּשְׁעָרֶיךָ</w:t>
      </w:r>
      <w:r>
        <w:rPr>
          <w:rtl/>
        </w:rPr>
        <w:t xml:space="preserve"> </w:t>
      </w:r>
      <w:r>
        <w:t xml:space="preserve">ist die entsetzlichste Aussage des Kapitels: </w:t>
      </w:r>
      <w:r>
        <w:rPr>
          <w:rStyle w:val="Fett"/>
          <w:rFonts w:eastAsiaTheme="majorEastAsia"/>
          <w:rtl/>
        </w:rPr>
        <w:t>וּבְשִׁלְיָתָהּ הַיּוֹצֵת מִבֵּין רַגְלֶיהָ וּבְבָנֶיהָ אֲשֶׁר תֵּלֵד</w:t>
      </w:r>
      <w:r>
        <w:rPr>
          <w:rtl/>
        </w:rPr>
        <w:t xml:space="preserve"> </w:t>
      </w:r>
      <w:r>
        <w:t xml:space="preserve">(koordiniert durch </w:t>
      </w:r>
      <w:r>
        <w:rPr>
          <w:rStyle w:val="Fett"/>
          <w:rFonts w:eastAsiaTheme="majorEastAsia"/>
          <w:rtl/>
        </w:rPr>
        <w:t>וּ</w:t>
      </w:r>
      <w:r>
        <w:rPr>
          <w:rtl/>
        </w:rPr>
        <w:t xml:space="preserve"> </w:t>
      </w:r>
      <w:r>
        <w:t xml:space="preserve">mit Präposition </w:t>
      </w:r>
      <w:r>
        <w:rPr>
          <w:rStyle w:val="Fett"/>
          <w:rFonts w:eastAsiaTheme="majorEastAsia"/>
          <w:rtl/>
        </w:rPr>
        <w:t>בְּ</w:t>
      </w:r>
      <w:r>
        <w:t xml:space="preserve">, </w:t>
      </w:r>
      <w:r>
        <w:rPr>
          <w:rStyle w:val="Fett"/>
          <w:rFonts w:eastAsiaTheme="majorEastAsia"/>
          <w:rtl/>
        </w:rPr>
        <w:t>שִׁלְיָה</w:t>
      </w:r>
      <w:r>
        <w:t xml:space="preserve">, „Nachgeburt, Plazenta", mit Suffix 3. Person Femininum Singular, Partizipialsatz: </w:t>
      </w:r>
      <w:r>
        <w:rPr>
          <w:rStyle w:val="Fett"/>
          <w:rFonts w:eastAsiaTheme="majorEastAsia"/>
          <w:rtl/>
        </w:rPr>
        <w:t>הַיּוֹצֵת מִבֵּין רַגְלֶיהָ</w:t>
      </w:r>
      <w:r>
        <w:rPr>
          <w:rtl/>
        </w:rPr>
        <w:t xml:space="preserve"> </w:t>
      </w:r>
      <w:r>
        <w:t xml:space="preserve">mit </w:t>
      </w:r>
      <w:r>
        <w:rPr>
          <w:rStyle w:val="Fett"/>
          <w:rFonts w:eastAsiaTheme="majorEastAsia"/>
          <w:rtl/>
        </w:rPr>
        <w:t>יצא</w:t>
      </w:r>
      <w:r>
        <w:t xml:space="preserve">, Qal Partizip Femininum Singular, „hervorkommen", </w:t>
      </w:r>
      <w:r>
        <w:rPr>
          <w:rStyle w:val="Fett"/>
          <w:rFonts w:eastAsiaTheme="majorEastAsia"/>
          <w:rtl/>
        </w:rPr>
        <w:t>מִבֵּין רַגְלֶיהָ</w:t>
      </w:r>
      <w:r>
        <w:t xml:space="preserve">, euphemistisch für Geburt, koordiniert durch </w:t>
      </w:r>
      <w:r>
        <w:rPr>
          <w:rStyle w:val="Fett"/>
          <w:rFonts w:eastAsiaTheme="majorEastAsia"/>
          <w:rtl/>
        </w:rPr>
        <w:t>וּ</w:t>
      </w:r>
      <w:r>
        <w:rPr>
          <w:rtl/>
        </w:rPr>
        <w:t xml:space="preserve"> </w:t>
      </w:r>
      <w:r>
        <w:t xml:space="preserve">mit Präposition </w:t>
      </w:r>
      <w:r>
        <w:rPr>
          <w:rStyle w:val="Fett"/>
          <w:rFonts w:eastAsiaTheme="majorEastAsia"/>
          <w:rtl/>
        </w:rPr>
        <w:t>בְּ</w:t>
      </w:r>
      <w:r>
        <w:t xml:space="preserve">, </w:t>
      </w:r>
      <w:r>
        <w:rPr>
          <w:rStyle w:val="Fett"/>
          <w:rFonts w:eastAsiaTheme="majorEastAsia"/>
          <w:rtl/>
        </w:rPr>
        <w:t>בֵּן</w:t>
      </w:r>
      <w:r>
        <w:rPr>
          <w:rtl/>
        </w:rPr>
        <w:t xml:space="preserve"> </w:t>
      </w:r>
      <w:r>
        <w:t xml:space="preserve">Plural mit Suffix, Relativsatz: </w:t>
      </w:r>
      <w:r>
        <w:rPr>
          <w:rStyle w:val="Fett"/>
          <w:rFonts w:eastAsiaTheme="majorEastAsia"/>
          <w:rtl/>
        </w:rPr>
        <w:t>אֲשֶׁר תֵּלֵד</w:t>
      </w:r>
      <w:r>
        <w:rPr>
          <w:rtl/>
        </w:rPr>
        <w:t xml:space="preserve"> </w:t>
      </w:r>
      <w:r>
        <w:t xml:space="preserve">mit </w:t>
      </w:r>
      <w:r>
        <w:rPr>
          <w:rStyle w:val="Fett"/>
          <w:rFonts w:eastAsiaTheme="majorEastAsia"/>
          <w:rtl/>
        </w:rPr>
        <w:t>ילד</w:t>
      </w:r>
      <w:r>
        <w:t xml:space="preserve">, Qal Imperfekt, 3. Person Femininum Singular), </w:t>
      </w:r>
      <w:r>
        <w:rPr>
          <w:rStyle w:val="Fett"/>
          <w:rFonts w:eastAsiaTheme="majorEastAsia"/>
          <w:rtl/>
        </w:rPr>
        <w:t>כִּי־תֹאכְלֵם בְּחֹסֶר־כֹּל בַּסָּתֶר</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אכל</w:t>
      </w:r>
      <w:r>
        <w:t xml:space="preserve">, Qal Imperfekt, 3. Person Femininum Singular, mit Suffix 3. Person Maskulinum Plural, </w:t>
      </w:r>
      <w:r>
        <w:rPr>
          <w:rStyle w:val="Fett"/>
          <w:rFonts w:eastAsiaTheme="majorEastAsia"/>
          <w:rtl/>
        </w:rPr>
        <w:t>בְּחֹסֶר־כֹּל</w:t>
      </w:r>
      <w:r>
        <w:t xml:space="preserve">, </w:t>
      </w:r>
      <w:r>
        <w:rPr>
          <w:rStyle w:val="Fett"/>
          <w:rFonts w:eastAsiaTheme="majorEastAsia"/>
          <w:rtl/>
        </w:rPr>
        <w:t>בַּסָּתֶר</w:t>
      </w:r>
      <w:r>
        <w:t xml:space="preserve">, „im Geheimen, heimlich"), </w:t>
      </w:r>
      <w:r>
        <w:rPr>
          <w:rStyle w:val="Fett"/>
          <w:rFonts w:eastAsiaTheme="majorEastAsia"/>
          <w:rtl/>
        </w:rPr>
        <w:t>בְּמָצוֹר וּבְמָצוֹק אֲשֶׁר יָצִיק לְךָ אֹיִבְךָ בִּשְׁעָרֶיךָ</w:t>
      </w:r>
      <w:r>
        <w:rPr>
          <w:rtl/>
        </w:rPr>
        <w:t xml:space="preserve"> </w:t>
      </w:r>
      <w:r>
        <w:t>(wie V. 53, 55).</w:t>
      </w:r>
    </w:p>
    <w:p w14:paraId="373BEB93" w14:textId="77777777" w:rsidR="005D0B3C" w:rsidRDefault="005D0B3C" w:rsidP="005D0B3C">
      <w:pPr>
        <w:pStyle w:val="whitespace-normal"/>
      </w:pPr>
      <w:r>
        <w:t xml:space="preserve">Der Vers erklärt das missgünstige Blicken aus V. 56 mit der entsetzlichsten Vorstellung. Die Erklärung: </w:t>
      </w:r>
      <w:r>
        <w:rPr>
          <w:rStyle w:val="Fett"/>
          <w:rFonts w:eastAsiaTheme="majorEastAsia"/>
          <w:rtl/>
        </w:rPr>
        <w:t>וּבְשִׁלְיָתָהּ הַיּוֹצֵת מִבֵּין רַגְלֶיהָ וּבְבָנֶיהָ אֲשֶׁר תֵּלֵד כִּי־תֹאכְלֵם בְּחֹסֶר־כֹּל בַּסָּתֶר</w:t>
      </w:r>
      <w:r>
        <w:rPr>
          <w:rtl/>
        </w:rPr>
        <w:t xml:space="preserve"> </w:t>
      </w:r>
      <w:r>
        <w:t xml:space="preserve">(„wegen ihrer Nachgeburt, die hervorkommt zwischen ihren Beinen, und wegen ihrer Kinder, die sie gebiert; denn essen wird sie sie aus Mangel an allem im Geheimen"). Die verwöhnte Frau wird ihre eigene Nachgeburt und ihre neugeborenen Kinder essen – die extremste Form des Kannibalismus. Die Formulierung </w:t>
      </w:r>
      <w:r>
        <w:rPr>
          <w:rStyle w:val="Fett"/>
          <w:rFonts w:eastAsiaTheme="majorEastAsia"/>
          <w:rtl/>
        </w:rPr>
        <w:t>בַּסָּתֶר</w:t>
      </w:r>
      <w:r>
        <w:rPr>
          <w:rtl/>
        </w:rPr>
        <w:t xml:space="preserve"> </w:t>
      </w:r>
      <w:r>
        <w:t xml:space="preserve">(„im Geheimen") – heimlich, damit andere es nicht sehen und ihr die „Nahrung" wegnehmen. Die Umstände: </w:t>
      </w:r>
      <w:r>
        <w:rPr>
          <w:rStyle w:val="Fett"/>
          <w:rFonts w:eastAsiaTheme="majorEastAsia"/>
          <w:rtl/>
        </w:rPr>
        <w:t>בְּמָצוֹר וּבְמָצוֹק אֲשֶׁר יָצִיק לְךָ אֹיִבְךָ בִּשְׁעָרֶיךָ</w:t>
      </w:r>
      <w:r>
        <w:rPr>
          <w:rtl/>
        </w:rPr>
        <w:t xml:space="preserve"> </w:t>
      </w:r>
      <w:r>
        <w:t>wie zuvor.</w:t>
      </w:r>
    </w:p>
    <w:p w14:paraId="10C94364" w14:textId="77777777" w:rsidR="005D0B3C" w:rsidRDefault="005D0B3C" w:rsidP="005D0B3C">
      <w:pPr>
        <w:pStyle w:val="whitespace-normal"/>
      </w:pPr>
      <w:r>
        <w:rPr>
          <w:rStyle w:val="Fett"/>
          <w:rFonts w:eastAsiaTheme="majorEastAsia"/>
        </w:rPr>
        <w:t>Die Satzstruktur:</w:t>
      </w:r>
      <w:r>
        <w:t xml:space="preserve"> Erklärung mit Umständen (wegen ihrer Nachgeburt, die hervorkommt zwischen ihren Beinen, und wegen ihrer Kinder, die sie gebiert; denn essen wird sie sie aus Mangel an allem im Geheimen – in der Belagerung und in der Bedrängnis, womit dein Feind dich bedrängen wird in deinen Toren).</w:t>
      </w:r>
    </w:p>
    <w:p w14:paraId="142B16C4" w14:textId="77777777" w:rsidR="005D0B3C" w:rsidRDefault="005D0B3C" w:rsidP="005D0B3C">
      <w:pPr>
        <w:pStyle w:val="whitespace-normal"/>
      </w:pPr>
      <w:r>
        <w:rPr>
          <w:rStyle w:val="Fett"/>
          <w:rFonts w:eastAsiaTheme="majorEastAsia"/>
        </w:rPr>
        <w:t>Der Vers beschreibt:</w:t>
      </w:r>
      <w:r>
        <w:t xml:space="preserve"> Entsetzlichster Kannibalismus – eine Mutter isst ihre Nachgeburt und Neugeborenen heimlich.</w:t>
      </w:r>
    </w:p>
    <w:p w14:paraId="305D3636" w14:textId="77777777" w:rsidR="005D0B3C" w:rsidRPr="008D48A3" w:rsidRDefault="005D0B3C" w:rsidP="008D48A3">
      <w:pPr>
        <w:pStyle w:val="Bibelberschrift"/>
      </w:pPr>
      <w:r w:rsidRPr="008D48A3">
        <w:rPr>
          <w:rStyle w:val="Fett"/>
          <w:b/>
          <w:bCs w:val="0"/>
        </w:rPr>
        <w:lastRenderedPageBreak/>
        <w:t>Deuteronomium 28,58</w:t>
      </w:r>
    </w:p>
    <w:p w14:paraId="02F58EB6" w14:textId="77777777" w:rsidR="005D0B3C" w:rsidRDefault="005D0B3C" w:rsidP="005D0B3C">
      <w:pPr>
        <w:pStyle w:val="whitespace-normal"/>
      </w:pPr>
      <w:r>
        <w:rPr>
          <w:rStyle w:val="Fett"/>
          <w:rFonts w:eastAsiaTheme="majorEastAsia"/>
        </w:rPr>
        <w:t>Hebräisch:</w:t>
      </w:r>
      <w:r>
        <w:t xml:space="preserve"> </w:t>
      </w:r>
      <w:r>
        <w:rPr>
          <w:rtl/>
        </w:rPr>
        <w:t>אִם־לֹא תִשְׁמֹר לַעֲשׂוֹת אֶת־כָּל־דִּבְרֵי הַתּוֹרָה הַזֹּאת הַכְּתוּבִים בַּסֵּפֶר הַזֶּה לְיִרְאָה אֶת־הַשֵּׁם הַנִּכְבָּד וְהַנּוֹרָא הַזֶּה אֵת יְהוָה אֱלֹהֶֽיךָ׃</w:t>
      </w:r>
    </w:p>
    <w:p w14:paraId="21708E79" w14:textId="46BF9DAB" w:rsidR="005D0B3C" w:rsidRDefault="005D0B3C" w:rsidP="005D0B3C">
      <w:pPr>
        <w:pStyle w:val="whitespace-normal"/>
      </w:pPr>
      <w:r>
        <w:rPr>
          <w:rStyle w:val="Fett"/>
          <w:rFonts w:eastAsiaTheme="majorEastAsia"/>
        </w:rPr>
        <w:t>Deutsch:</w:t>
      </w:r>
      <w:r>
        <w:t xml:space="preserve"> Wenn du nicht darauf achtest, zu tun alle Worte dieser </w:t>
      </w:r>
      <w:r w:rsidR="006D3FED">
        <w:t>Torah</w:t>
      </w:r>
      <w:r>
        <w:t>, die geschrieben sind in diesem Buch, dass du fürchtest diesen herrlichen und furchtbaren Namen, JHWH, deinen Gott.</w:t>
      </w:r>
    </w:p>
    <w:p w14:paraId="76166DD4" w14:textId="77777777" w:rsidR="005D0B3C" w:rsidRDefault="004F5CEB" w:rsidP="005D0B3C">
      <w:r>
        <w:rPr>
          <w:noProof/>
        </w:rPr>
        <w:pict w14:anchorId="1526E0D5">
          <v:rect id="_x0000_i1801" style="width:0;height:1.5pt" o:hralign="center" o:hrstd="t" o:hr="t" fillcolor="#a0a0a0" stroked="f"/>
        </w:pict>
      </w:r>
    </w:p>
    <w:p w14:paraId="558065DC" w14:textId="77777777" w:rsidR="005D0B3C" w:rsidRDefault="005D0B3C" w:rsidP="005D0B3C">
      <w:pPr>
        <w:pStyle w:val="whitespace-normal"/>
      </w:pPr>
      <w:r>
        <w:rPr>
          <w:rStyle w:val="Fett"/>
          <w:rFonts w:eastAsiaTheme="majorEastAsia"/>
        </w:rPr>
        <w:t>Kommentar:</w:t>
      </w:r>
      <w:r>
        <w:t xml:space="preserve"> </w:t>
      </w:r>
      <w:r>
        <w:rPr>
          <w:rStyle w:val="Fett"/>
          <w:rFonts w:eastAsiaTheme="majorEastAsia"/>
          <w:rtl/>
        </w:rPr>
        <w:t>אִם־לֹא תִשְׁמֹר לַעֲשׂוֹת אֶת־כָּל־דִּבְרֵי הַתּוֹרָה הַזֹּאת הַכְּתוּבִים בַּסֵּפֶר הַזֶּה לְיִרְאָה אֶת־הַשֵּׁם הַנִּכְבָּד וְהַנּוֹרָא הַזֶּה אֵת יְהוָה אֱלֹהֶיךָ</w:t>
      </w:r>
      <w:r>
        <w:rPr>
          <w:rtl/>
        </w:rPr>
        <w:t xml:space="preserve"> </w:t>
      </w:r>
      <w:r>
        <w:t xml:space="preserve">ist ein Bedingungssatz (der Hauptsatz folgt in V. 59): </w:t>
      </w:r>
      <w:r>
        <w:rPr>
          <w:rStyle w:val="Fett"/>
          <w:rFonts w:eastAsiaTheme="majorEastAsia"/>
          <w:rtl/>
        </w:rPr>
        <w:t>אִם־לֹא תִשְׁמֹר לַעֲשׂוֹת אֶת־כָּל־דִּבְרֵי הַתּוֹרָה הַזֹּאת הַכְּתוּבִים בַּסֵּפֶר הַזֶּה</w:t>
      </w:r>
      <w:r>
        <w:rPr>
          <w:rtl/>
        </w:rPr>
        <w:t xml:space="preserve"> </w:t>
      </w:r>
      <w:r>
        <w:t>(</w:t>
      </w:r>
      <w:r>
        <w:rPr>
          <w:rStyle w:val="Fett"/>
          <w:rFonts w:eastAsiaTheme="majorEastAsia"/>
          <w:rtl/>
        </w:rPr>
        <w:t>אִם</w:t>
      </w:r>
      <w:r>
        <w:rPr>
          <w:rtl/>
        </w:rPr>
        <w:t xml:space="preserve"> </w:t>
      </w:r>
      <w:r>
        <w:t xml:space="preserve">mit Negation, </w:t>
      </w:r>
      <w:r>
        <w:rPr>
          <w:rStyle w:val="Fett"/>
          <w:rFonts w:eastAsiaTheme="majorEastAsia"/>
          <w:rtl/>
        </w:rPr>
        <w:t>שׁמר</w:t>
      </w:r>
      <w:r>
        <w:t xml:space="preserve">, Qal Imperfekt, 2. Person Maskulinum Singular, Präposition </w:t>
      </w:r>
      <w:r>
        <w:rPr>
          <w:rStyle w:val="Fett"/>
          <w:rFonts w:eastAsiaTheme="majorEastAsia"/>
          <w:rtl/>
        </w:rPr>
        <w:t>לְ</w:t>
      </w:r>
      <w:r>
        <w:rPr>
          <w:rtl/>
        </w:rPr>
        <w:t xml:space="preserve"> </w:t>
      </w:r>
      <w:r>
        <w:t xml:space="preserve">mit Qal Infinitiv Construct von </w:t>
      </w:r>
      <w:r>
        <w:rPr>
          <w:rStyle w:val="Fett"/>
          <w:rFonts w:eastAsiaTheme="majorEastAsia"/>
          <w:rtl/>
        </w:rPr>
        <w:t>עשׂה</w:t>
      </w:r>
      <w:r>
        <w:t xml:space="preserve">, Objektpartikel </w:t>
      </w:r>
      <w:r>
        <w:rPr>
          <w:rStyle w:val="Fett"/>
          <w:rFonts w:eastAsiaTheme="majorEastAsia"/>
          <w:rtl/>
        </w:rPr>
        <w:t>אֵת</w:t>
      </w:r>
      <w:r>
        <w:rPr>
          <w:rtl/>
        </w:rPr>
        <w:t xml:space="preserve"> </w:t>
      </w:r>
      <w:r>
        <w:t xml:space="preserve">mit </w:t>
      </w:r>
      <w:r>
        <w:rPr>
          <w:rStyle w:val="Fett"/>
          <w:rFonts w:eastAsiaTheme="majorEastAsia"/>
          <w:rtl/>
        </w:rPr>
        <w:t>כָּל־דִּבְרֵי הַתּוֹרָה הַזֹּאת</w:t>
      </w:r>
      <w:r>
        <w:t xml:space="preserve">, Partizipialsatz: </w:t>
      </w:r>
      <w:r>
        <w:rPr>
          <w:rStyle w:val="Fett"/>
          <w:rFonts w:eastAsiaTheme="majorEastAsia"/>
          <w:rtl/>
        </w:rPr>
        <w:t>הַכְּתוּבִים בַּסֵּפֶר הַזֶּה</w:t>
      </w:r>
      <w:r>
        <w:rPr>
          <w:rtl/>
        </w:rPr>
        <w:t xml:space="preserve"> </w:t>
      </w:r>
      <w:r>
        <w:t xml:space="preserve">mit </w:t>
      </w:r>
      <w:r>
        <w:rPr>
          <w:rStyle w:val="Fett"/>
          <w:rFonts w:eastAsiaTheme="majorEastAsia"/>
          <w:rtl/>
        </w:rPr>
        <w:t>כתב</w:t>
      </w:r>
      <w:r>
        <w:t xml:space="preserve">, Qal Passiv Partizip Plural, </w:t>
      </w:r>
      <w:r>
        <w:rPr>
          <w:rStyle w:val="Fett"/>
          <w:rFonts w:eastAsiaTheme="majorEastAsia"/>
          <w:rtl/>
        </w:rPr>
        <w:t>בַּסֵּפֶר הַזֶּה</w:t>
      </w:r>
      <w:r>
        <w:t xml:space="preserve">), </w:t>
      </w:r>
      <w:r>
        <w:rPr>
          <w:rStyle w:val="Fett"/>
          <w:rFonts w:eastAsiaTheme="majorEastAsia"/>
          <w:rtl/>
        </w:rPr>
        <w:t>לְיִרְאָה אֶת־הַשֵּׁם הַנִּכְבָּד וְהַנּוֹרָא הַזֶּה אֵת יְהוָה אֱלֹהֶיךָ</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ירא</w:t>
      </w:r>
      <w:r>
        <w:t xml:space="preserve">, Objektpartikel </w:t>
      </w:r>
      <w:r>
        <w:rPr>
          <w:rStyle w:val="Fett"/>
          <w:rFonts w:eastAsiaTheme="majorEastAsia"/>
          <w:rtl/>
        </w:rPr>
        <w:t>אֵת</w:t>
      </w:r>
      <w:r>
        <w:rPr>
          <w:rtl/>
        </w:rPr>
        <w:t xml:space="preserve"> </w:t>
      </w:r>
      <w:r>
        <w:t xml:space="preserve">mit </w:t>
      </w:r>
      <w:r>
        <w:rPr>
          <w:rStyle w:val="Fett"/>
          <w:rFonts w:eastAsiaTheme="majorEastAsia"/>
          <w:rtl/>
        </w:rPr>
        <w:t>שֵׁם</w:t>
      </w:r>
      <w:r>
        <w:rPr>
          <w:rtl/>
        </w:rPr>
        <w:t xml:space="preserve"> </w:t>
      </w:r>
      <w:r>
        <w:t xml:space="preserve">mit Artikel, zwei Adjektive: </w:t>
      </w:r>
      <w:r>
        <w:rPr>
          <w:rStyle w:val="Fett"/>
          <w:rFonts w:eastAsiaTheme="majorEastAsia"/>
          <w:rtl/>
        </w:rPr>
        <w:t>נִכְבָּד</w:t>
      </w:r>
      <w:r>
        <w:t xml:space="preserve">, Niphal Partizip, „geehrt, herrlich", mit Artikel, koordiniert mit </w:t>
      </w:r>
      <w:r>
        <w:rPr>
          <w:rStyle w:val="Fett"/>
          <w:rFonts w:eastAsiaTheme="majorEastAsia"/>
          <w:rtl/>
        </w:rPr>
        <w:t>נוֹרָא</w:t>
      </w:r>
      <w:r>
        <w:t xml:space="preserve">, Niphal Partizip, „gefürchtet, furchtbar", mit Artikel, </w:t>
      </w:r>
      <w:r>
        <w:rPr>
          <w:rStyle w:val="Fett"/>
          <w:rFonts w:eastAsiaTheme="majorEastAsia"/>
          <w:rtl/>
        </w:rPr>
        <w:t>הַזֶּה</w:t>
      </w:r>
      <w:r>
        <w:t xml:space="preserve">, Apposition: </w:t>
      </w:r>
      <w:r>
        <w:rPr>
          <w:rStyle w:val="Fett"/>
          <w:rFonts w:eastAsiaTheme="majorEastAsia"/>
          <w:rtl/>
        </w:rPr>
        <w:t>אֵת יְהוָה אֱלֹהֶיךָ</w:t>
      </w:r>
      <w:r>
        <w:t>).</w:t>
      </w:r>
    </w:p>
    <w:p w14:paraId="39D08EE6" w14:textId="6446D76E" w:rsidR="005D0B3C" w:rsidRDefault="005D0B3C" w:rsidP="005D0B3C">
      <w:pPr>
        <w:pStyle w:val="whitespace-normal"/>
      </w:pPr>
      <w:r>
        <w:t xml:space="preserve">Der Vers beginnt den Abschluss </w:t>
      </w:r>
      <w:r w:rsidR="001E0205">
        <w:t>der</w:t>
      </w:r>
      <w:r>
        <w:t xml:space="preserve"> </w:t>
      </w:r>
      <w:r w:rsidR="001E0205">
        <w:t>Gerichtsansage</w:t>
      </w:r>
      <w:r>
        <w:t xml:space="preserve"> (V. 58-68) mit einer erneuerten Bedingung. Die Bedingung: </w:t>
      </w:r>
      <w:r>
        <w:rPr>
          <w:rStyle w:val="Fett"/>
          <w:rFonts w:eastAsiaTheme="majorEastAsia"/>
          <w:rtl/>
        </w:rPr>
        <w:t>אִם־לֹא תִשְׁמֹר לַעֲשׂוֹת אֶת־כָּל־דִּבְרֵי הַתּוֹרָה הַזֹּאת הַכְּתוּבִים בַּסֵּפֶר הַזֶּה</w:t>
      </w:r>
      <w:r>
        <w:rPr>
          <w:rtl/>
        </w:rPr>
        <w:t xml:space="preserve"> </w:t>
      </w:r>
      <w:r>
        <w:t xml:space="preserve">(„wenn du nicht darauf achtest, zu tun alle Worte dieser </w:t>
      </w:r>
      <w:r w:rsidR="006D3FED">
        <w:t>Torah</w:t>
      </w:r>
      <w:r>
        <w:t xml:space="preserve">, die geschrieben sind in diesem Buch"). Die Formulierung </w:t>
      </w:r>
      <w:r>
        <w:rPr>
          <w:rStyle w:val="Fett"/>
          <w:rFonts w:eastAsiaTheme="majorEastAsia"/>
          <w:rtl/>
        </w:rPr>
        <w:t>הַכְּתוּבִים בַּסֵּפֶר הַזֶּה</w:t>
      </w:r>
      <w:r>
        <w:rPr>
          <w:rtl/>
        </w:rPr>
        <w:t xml:space="preserve"> </w:t>
      </w:r>
      <w:r>
        <w:t xml:space="preserve">(„die geschrieben sind in diesem Buch") ist bemerkenswert – sie setzt voraus, dass das Deuteronomium als Schriftstück existiert (vgl. 17,18; 29,20.26; 30,10; 31,9.11.24.26). Der Finalsatz: </w:t>
      </w:r>
      <w:r>
        <w:rPr>
          <w:rStyle w:val="Fett"/>
          <w:rFonts w:eastAsiaTheme="majorEastAsia"/>
          <w:rtl/>
        </w:rPr>
        <w:t>לְיִרְאָה אֶת־הַשֵּׁם הַנִּכְבָּד וְהַנּוֹרָא הַזֶּה אֵת יְהוָה אֱלֹהֶיךָ</w:t>
      </w:r>
      <w:r>
        <w:rPr>
          <w:rtl/>
        </w:rPr>
        <w:t xml:space="preserve"> </w:t>
      </w:r>
      <w:r>
        <w:t xml:space="preserve">(„um zu fürchten diesen herrlichen und furchtbaren Namen, JHWH, deinen Gott"). Die Formulierung </w:t>
      </w:r>
      <w:r>
        <w:rPr>
          <w:rStyle w:val="Fett"/>
          <w:rFonts w:eastAsiaTheme="majorEastAsia"/>
          <w:rtl/>
        </w:rPr>
        <w:t>הַשֵּׁם הַנִּכְבָּד וְהַנּוֹרָא</w:t>
      </w:r>
      <w:r>
        <w:rPr>
          <w:rtl/>
        </w:rPr>
        <w:t xml:space="preserve"> </w:t>
      </w:r>
      <w:r>
        <w:t xml:space="preserve">(„der herrliche und furchtbare Name") betont JHWHs Majestät und Macht. Die beiden Adjektive </w:t>
      </w:r>
      <w:r>
        <w:rPr>
          <w:rStyle w:val="Fett"/>
          <w:rFonts w:eastAsiaTheme="majorEastAsia"/>
          <w:rtl/>
        </w:rPr>
        <w:t>נִכְבָּד</w:t>
      </w:r>
      <w:r>
        <w:rPr>
          <w:rtl/>
        </w:rPr>
        <w:t xml:space="preserve"> </w:t>
      </w:r>
      <w:r>
        <w:t xml:space="preserve">(„herrlich") und </w:t>
      </w:r>
      <w:r>
        <w:rPr>
          <w:rStyle w:val="Fett"/>
          <w:rFonts w:eastAsiaTheme="majorEastAsia"/>
          <w:rtl/>
        </w:rPr>
        <w:t>נוֹרָא</w:t>
      </w:r>
      <w:r>
        <w:rPr>
          <w:rtl/>
        </w:rPr>
        <w:t xml:space="preserve"> </w:t>
      </w:r>
      <w:r>
        <w:t>(„furchtbar") beschreiben die doppelte Natur Gottes – verehrungswürdig und furchterregend.</w:t>
      </w:r>
    </w:p>
    <w:p w14:paraId="3863BB84" w14:textId="0BF5C984" w:rsidR="001A04EF" w:rsidRDefault="001A04EF" w:rsidP="005D0B3C">
      <w:pPr>
        <w:pStyle w:val="whitespace-normal"/>
      </w:pPr>
      <w:r>
        <w:rPr>
          <w:rStyle w:val="Fett"/>
        </w:rPr>
        <w:t>Die LXX</w:t>
      </w:r>
      <w:r>
        <w:t xml:space="preserve"> übersetzt </w:t>
      </w:r>
      <w:r>
        <w:rPr>
          <w:rtl/>
        </w:rPr>
        <w:t>הַשֵּׁם הַנִּכְבָּד וְהַנּוֹרָא</w:t>
      </w:r>
      <w:r>
        <w:t xml:space="preserve"> (den herrlichen und furchtbaren Namen) mit </w:t>
      </w:r>
      <w:proofErr w:type="spellStart"/>
      <w:r>
        <w:t>τὸ</w:t>
      </w:r>
      <w:proofErr w:type="spellEnd"/>
      <w:r>
        <w:t xml:space="preserve"> </w:t>
      </w:r>
      <w:proofErr w:type="spellStart"/>
      <w:r>
        <w:t>ὄνομ</w:t>
      </w:r>
      <w:proofErr w:type="spellEnd"/>
      <w:r>
        <w:t xml:space="preserve">α </w:t>
      </w:r>
      <w:proofErr w:type="spellStart"/>
      <w:r>
        <w:t>τὸ</w:t>
      </w:r>
      <w:proofErr w:type="spellEnd"/>
      <w:r>
        <w:t xml:space="preserve"> </w:t>
      </w:r>
      <w:proofErr w:type="spellStart"/>
      <w:r>
        <w:t>ἔντιμον</w:t>
      </w:r>
      <w:proofErr w:type="spellEnd"/>
      <w:r>
        <w:t xml:space="preserve"> καὶ </w:t>
      </w:r>
      <w:proofErr w:type="spellStart"/>
      <w:r>
        <w:t>τὸ</w:t>
      </w:r>
      <w:proofErr w:type="spellEnd"/>
      <w:r>
        <w:t xml:space="preserve"> θα</w:t>
      </w:r>
      <w:proofErr w:type="spellStart"/>
      <w:r>
        <w:t>υμ</w:t>
      </w:r>
      <w:proofErr w:type="spellEnd"/>
      <w:r>
        <w:t>αστόν (den ehrwürdigen und wunderbaren Namen).</w:t>
      </w:r>
    </w:p>
    <w:p w14:paraId="1106EF90" w14:textId="08E6DC61" w:rsidR="005D0B3C" w:rsidRDefault="005D0B3C" w:rsidP="005D0B3C">
      <w:pPr>
        <w:pStyle w:val="whitespace-normal"/>
      </w:pPr>
      <w:r>
        <w:rPr>
          <w:rStyle w:val="Fett"/>
          <w:rFonts w:eastAsiaTheme="majorEastAsia"/>
        </w:rPr>
        <w:t>Die Satzstruktur:</w:t>
      </w:r>
      <w:r>
        <w:t xml:space="preserve"> Bedingungssatz (wenn du nicht darauf achtest, zu tun alle Worte dieser </w:t>
      </w:r>
      <w:r w:rsidR="006D3FED">
        <w:t>Torah</w:t>
      </w:r>
      <w:r>
        <w:t>, die geschrieben sind in diesem Buch, um zu fürchten diesen herrlichen und furchtbaren Namen, JHWH, deinen Gott).</w:t>
      </w:r>
    </w:p>
    <w:p w14:paraId="5E6BE241" w14:textId="135886FD" w:rsidR="005D0B3C" w:rsidRDefault="005D0B3C" w:rsidP="00564C2A">
      <w:pPr>
        <w:pStyle w:val="whitespace-normal"/>
      </w:pPr>
      <w:r>
        <w:rPr>
          <w:rStyle w:val="Fett"/>
          <w:rFonts w:eastAsiaTheme="majorEastAsia"/>
        </w:rPr>
        <w:t>Der Vers beschreibt:</w:t>
      </w:r>
      <w:r>
        <w:t xml:space="preserve"> Erneute Bedingung – wenn Israel die geschriebene </w:t>
      </w:r>
      <w:r w:rsidR="006D3FED">
        <w:t>Torah</w:t>
      </w:r>
      <w:r>
        <w:t xml:space="preserve"> nicht befolgt und JHWHs Namen nicht fürchtet.</w:t>
      </w:r>
    </w:p>
    <w:p w14:paraId="6BD3CEAC" w14:textId="77777777" w:rsidR="005D0B3C" w:rsidRPr="008D48A3" w:rsidRDefault="005D0B3C" w:rsidP="008D48A3">
      <w:pPr>
        <w:pStyle w:val="Bibelberschrift"/>
      </w:pPr>
      <w:r w:rsidRPr="008D48A3">
        <w:rPr>
          <w:rStyle w:val="Fett"/>
          <w:b/>
          <w:bCs w:val="0"/>
        </w:rPr>
        <w:t>Deuteronomium 28,59</w:t>
      </w:r>
    </w:p>
    <w:p w14:paraId="37AC8E60" w14:textId="77777777" w:rsidR="005D0B3C" w:rsidRDefault="005D0B3C" w:rsidP="005D0B3C">
      <w:pPr>
        <w:pStyle w:val="whitespace-normal"/>
      </w:pPr>
      <w:r>
        <w:rPr>
          <w:rStyle w:val="Fett"/>
          <w:rFonts w:eastAsiaTheme="majorEastAsia"/>
        </w:rPr>
        <w:t>Hebräisch:</w:t>
      </w:r>
      <w:r>
        <w:t xml:space="preserve"> </w:t>
      </w:r>
      <w:r>
        <w:rPr>
          <w:rtl/>
        </w:rPr>
        <w:t>וְהִפְלָא יְהוָה אֶת־מַכֹּתְךָ וְאֵת מַכּוֹת זַרְעֶךָ מַכּוֹת גְּדֹלוֹת וְנֶאֱמָנוֹת וָחֳלָיִם רָעִים וְנֶאֱמָנִֽים׃</w:t>
      </w:r>
    </w:p>
    <w:p w14:paraId="71DED64F" w14:textId="77777777" w:rsidR="005D0B3C" w:rsidRDefault="005D0B3C" w:rsidP="005D0B3C">
      <w:pPr>
        <w:pStyle w:val="whitespace-normal"/>
      </w:pPr>
      <w:r>
        <w:rPr>
          <w:rStyle w:val="Fett"/>
          <w:rFonts w:eastAsiaTheme="majorEastAsia"/>
        </w:rPr>
        <w:lastRenderedPageBreak/>
        <w:t>Deutsch:</w:t>
      </w:r>
      <w:r>
        <w:t xml:space="preserve"> So wird JHWH außergewöhnlich machen deine Plagen und die Plagen deiner Nachkommen – Plagen groß und andauernd, und Krankheiten böse und andauernd.</w:t>
      </w:r>
    </w:p>
    <w:p w14:paraId="0CD081F3" w14:textId="77777777" w:rsidR="005D0B3C" w:rsidRDefault="004F5CEB" w:rsidP="005D0B3C">
      <w:r>
        <w:rPr>
          <w:noProof/>
        </w:rPr>
        <w:pict w14:anchorId="08E5276C">
          <v:rect id="_x0000_i1802" style="width:0;height:1.5pt" o:hralign="center" o:hrstd="t" o:hr="t" fillcolor="#a0a0a0" stroked="f"/>
        </w:pict>
      </w:r>
    </w:p>
    <w:p w14:paraId="3615F476" w14:textId="77777777" w:rsidR="005D0B3C" w:rsidRDefault="005D0B3C" w:rsidP="005D0B3C">
      <w:pPr>
        <w:pStyle w:val="whitespace-normal"/>
      </w:pPr>
      <w:r>
        <w:rPr>
          <w:rStyle w:val="Fett"/>
          <w:rFonts w:eastAsiaTheme="majorEastAsia"/>
        </w:rPr>
        <w:t>Kommentar:</w:t>
      </w:r>
      <w:r>
        <w:t xml:space="preserve"> </w:t>
      </w:r>
      <w:r>
        <w:rPr>
          <w:rStyle w:val="Fett"/>
          <w:rFonts w:eastAsiaTheme="majorEastAsia"/>
          <w:rtl/>
        </w:rPr>
        <w:t>וְהִפְלָא יְהוָה אֶת־מַכֹּתְךָ וְאֵת מַכּוֹת זַרְעֶךָ מַכּוֹת גְּדֹלוֹת וְנֶאֱמָנוֹת וָחֳלָיִם רָעִים וְנֶאֱמָנִים</w:t>
      </w:r>
      <w:r>
        <w:rPr>
          <w:rtl/>
        </w:rPr>
        <w:t xml:space="preserve"> </w:t>
      </w:r>
      <w:r>
        <w:t xml:space="preserve">ist der Hauptsatz zu V. 58: </w:t>
      </w:r>
      <w:r>
        <w:rPr>
          <w:rStyle w:val="Fett"/>
          <w:rFonts w:eastAsiaTheme="majorEastAsia"/>
          <w:rtl/>
        </w:rPr>
        <w:t>וְהִפְלָא יְהוָה אֶת־מַכֹּתְךָ וְאֵת מַכּוֹת זַרְעֶךָ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פלא</w:t>
      </w:r>
      <w:r>
        <w:t xml:space="preserve">, Hiphil Perfekt, 3. Person Maskulinum Singular, „außergewöhnlich machen, wunderbar machen", </w:t>
      </w:r>
      <w:r>
        <w:rPr>
          <w:rStyle w:val="Fett"/>
          <w:rFonts w:eastAsiaTheme="majorEastAsia"/>
          <w:rtl/>
        </w:rPr>
        <w:t>יְהוָה</w:t>
      </w:r>
      <w:r>
        <w:rPr>
          <w:rtl/>
        </w:rPr>
        <w:t xml:space="preserve"> </w:t>
      </w:r>
      <w:r>
        <w:t xml:space="preserve">als Subjekt, Objektpartikel </w:t>
      </w:r>
      <w:r>
        <w:rPr>
          <w:rStyle w:val="Fett"/>
          <w:rFonts w:eastAsiaTheme="majorEastAsia"/>
          <w:rtl/>
        </w:rPr>
        <w:t>אֵת</w:t>
      </w:r>
      <w:r>
        <w:rPr>
          <w:rtl/>
        </w:rPr>
        <w:t xml:space="preserve"> </w:t>
      </w:r>
      <w:r>
        <w:t xml:space="preserve">mit </w:t>
      </w:r>
      <w:r>
        <w:rPr>
          <w:rStyle w:val="Fett"/>
          <w:rFonts w:eastAsiaTheme="majorEastAsia"/>
          <w:rtl/>
        </w:rPr>
        <w:t>מַכָּה</w:t>
      </w:r>
      <w:r>
        <w:t xml:space="preserve">, „Plage, Schlag", mit Suffix 2. Person Maskulinum Singular, koordiniert mit Objektpartikel </w:t>
      </w:r>
      <w:r>
        <w:rPr>
          <w:rStyle w:val="Fett"/>
          <w:rFonts w:eastAsiaTheme="majorEastAsia"/>
          <w:rtl/>
        </w:rPr>
        <w:t>אֵת</w:t>
      </w:r>
      <w:r>
        <w:t xml:space="preserve">, </w:t>
      </w:r>
      <w:r>
        <w:rPr>
          <w:rStyle w:val="Fett"/>
          <w:rFonts w:eastAsiaTheme="majorEastAsia"/>
          <w:rtl/>
        </w:rPr>
        <w:t>מַכָּה</w:t>
      </w:r>
      <w:r>
        <w:rPr>
          <w:rtl/>
        </w:rPr>
        <w:t xml:space="preserve"> </w:t>
      </w:r>
      <w:r>
        <w:t xml:space="preserve">Plural Construct mit </w:t>
      </w:r>
      <w:r>
        <w:rPr>
          <w:rStyle w:val="Fett"/>
          <w:rFonts w:eastAsiaTheme="majorEastAsia"/>
          <w:rtl/>
        </w:rPr>
        <w:t>זֶרַע</w:t>
      </w:r>
      <w:r>
        <w:rPr>
          <w:rtl/>
        </w:rPr>
        <w:t xml:space="preserve"> </w:t>
      </w:r>
      <w:r>
        <w:t xml:space="preserve">mit Suffix, mit </w:t>
      </w:r>
      <w:r>
        <w:rPr>
          <w:rStyle w:val="Fett"/>
          <w:rFonts w:eastAsiaTheme="majorEastAsia"/>
        </w:rPr>
        <w:t>Waw</w:t>
      </w:r>
      <w:r>
        <w:t xml:space="preserve"> consecutives Perfekt), </w:t>
      </w:r>
      <w:r>
        <w:rPr>
          <w:rStyle w:val="Fett"/>
          <w:rFonts w:eastAsiaTheme="majorEastAsia"/>
          <w:rtl/>
        </w:rPr>
        <w:t>מַכּוֹת גְּדֹלוֹת וְנֶאֱמָנוֹת וָחֳלָיִם רָעִים וְנֶאֱמָנִים</w:t>
      </w:r>
      <w:r>
        <w:rPr>
          <w:rtl/>
        </w:rPr>
        <w:t xml:space="preserve"> </w:t>
      </w:r>
      <w:r>
        <w:t xml:space="preserve">(Apposition: </w:t>
      </w:r>
      <w:r>
        <w:rPr>
          <w:rStyle w:val="Fett"/>
          <w:rFonts w:eastAsiaTheme="majorEastAsia"/>
          <w:rtl/>
        </w:rPr>
        <w:t>מַכָּה</w:t>
      </w:r>
      <w:r>
        <w:rPr>
          <w:rtl/>
        </w:rPr>
        <w:t xml:space="preserve"> </w:t>
      </w:r>
      <w:r>
        <w:t xml:space="preserve">Plural, </w:t>
      </w:r>
      <w:r>
        <w:rPr>
          <w:rStyle w:val="Fett"/>
          <w:rFonts w:eastAsiaTheme="majorEastAsia"/>
          <w:rtl/>
        </w:rPr>
        <w:t>גָּדוֹל</w:t>
      </w:r>
      <w:r>
        <w:t xml:space="preserve">, „groß", Plural, koordiniert mit </w:t>
      </w:r>
      <w:r>
        <w:rPr>
          <w:rStyle w:val="Fett"/>
          <w:rFonts w:eastAsiaTheme="majorEastAsia"/>
          <w:rtl/>
        </w:rPr>
        <w:t>אָמַן</w:t>
      </w:r>
      <w:r>
        <w:t xml:space="preserve">, Niphal Partizip Plural, „fest, zuverlässig, andauernd", koordiniert mit </w:t>
      </w:r>
      <w:r>
        <w:rPr>
          <w:rStyle w:val="Fett"/>
          <w:rFonts w:eastAsiaTheme="majorEastAsia"/>
          <w:rtl/>
        </w:rPr>
        <w:t>חֳלִי</w:t>
      </w:r>
      <w:r>
        <w:t xml:space="preserve">, „Krankheit", Plural, </w:t>
      </w:r>
      <w:r>
        <w:rPr>
          <w:rStyle w:val="Fett"/>
          <w:rFonts w:eastAsiaTheme="majorEastAsia"/>
          <w:rtl/>
        </w:rPr>
        <w:t>רַע</w:t>
      </w:r>
      <w:r>
        <w:t xml:space="preserve">, „böse, schlimm", Plural, koordiniert mit </w:t>
      </w:r>
      <w:r>
        <w:rPr>
          <w:rStyle w:val="Fett"/>
          <w:rFonts w:eastAsiaTheme="majorEastAsia"/>
          <w:rtl/>
        </w:rPr>
        <w:t>אָמַן</w:t>
      </w:r>
      <w:r>
        <w:t>, Niphal Partizip Plural).</w:t>
      </w:r>
    </w:p>
    <w:p w14:paraId="03501AA7" w14:textId="77777777" w:rsidR="005D0B3C" w:rsidRDefault="005D0B3C" w:rsidP="005D0B3C">
      <w:pPr>
        <w:pStyle w:val="whitespace-normal"/>
      </w:pPr>
      <w:r>
        <w:t xml:space="preserve">Der Vers beschreibt die Konsequenz aus V. 58. Die Aussage: </w:t>
      </w:r>
      <w:r>
        <w:rPr>
          <w:rStyle w:val="Fett"/>
          <w:rFonts w:eastAsiaTheme="majorEastAsia"/>
          <w:rtl/>
        </w:rPr>
        <w:t>וְהִפְלָא יְהוָה אֶת־מַכֹּתְךָ וְאֵת מַכּוֹת זַרְעֶךָ</w:t>
      </w:r>
      <w:r>
        <w:rPr>
          <w:rtl/>
        </w:rPr>
        <w:t xml:space="preserve"> </w:t>
      </w:r>
      <w:r>
        <w:t xml:space="preserve">(„und außergewöhnlich machen wird JHWH deine Plagen und die Plagen deiner Nachkommen"). Das Verb </w:t>
      </w:r>
      <w:r>
        <w:rPr>
          <w:rStyle w:val="Fett"/>
          <w:rFonts w:eastAsiaTheme="majorEastAsia"/>
          <w:rtl/>
        </w:rPr>
        <w:t>פלא</w:t>
      </w:r>
      <w:r>
        <w:rPr>
          <w:rtl/>
        </w:rPr>
        <w:t xml:space="preserve"> </w:t>
      </w:r>
      <w:r>
        <w:t xml:space="preserve">im Hiphil („außergewöhnlich machen, wunderbar machen") – die Plagen werden von ungewöhnlicher, erschreckender Art sein. Die doppelte Zielangabe </w:t>
      </w:r>
      <w:r>
        <w:rPr>
          <w:rStyle w:val="Fett"/>
          <w:rFonts w:eastAsiaTheme="majorEastAsia"/>
          <w:rtl/>
        </w:rPr>
        <w:t>מַכֹּתְךָ... מַכּוֹת זַרְעֶךָ</w:t>
      </w:r>
      <w:r>
        <w:rPr>
          <w:rtl/>
        </w:rPr>
        <w:t xml:space="preserve"> </w:t>
      </w:r>
      <w:r>
        <w:t xml:space="preserve">(„deine Plagen... die Plagen deiner Nachkommen") – die Flüche treffen mehrere Generationen (vgl. V. 46). Die Präzisierung: </w:t>
      </w:r>
      <w:r>
        <w:rPr>
          <w:rStyle w:val="Fett"/>
          <w:rFonts w:eastAsiaTheme="majorEastAsia"/>
          <w:rtl/>
        </w:rPr>
        <w:t>מַכּוֹת גְּדֹלוֹת וְנֶאֱמָנוֹת וָחֳלָיִם רָעִים וְנֶאֱמָנִים</w:t>
      </w:r>
      <w:r>
        <w:rPr>
          <w:rtl/>
        </w:rPr>
        <w:t xml:space="preserve"> </w:t>
      </w:r>
      <w:r>
        <w:t xml:space="preserve">(„Plagen groß und andauernd, und Krankheiten böse und andauernd"). Die Adjektive </w:t>
      </w:r>
      <w:r>
        <w:rPr>
          <w:rStyle w:val="Fett"/>
          <w:rFonts w:eastAsiaTheme="majorEastAsia"/>
          <w:rtl/>
        </w:rPr>
        <w:t>גְּדֹלוֹת</w:t>
      </w:r>
      <w:r>
        <w:rPr>
          <w:rtl/>
        </w:rPr>
        <w:t xml:space="preserve"> </w:t>
      </w:r>
      <w:r>
        <w:t xml:space="preserve">(„groß") und </w:t>
      </w:r>
      <w:r>
        <w:rPr>
          <w:rStyle w:val="Fett"/>
          <w:rFonts w:eastAsiaTheme="majorEastAsia"/>
          <w:rtl/>
        </w:rPr>
        <w:t>רָעִים</w:t>
      </w:r>
      <w:r>
        <w:rPr>
          <w:rtl/>
        </w:rPr>
        <w:t xml:space="preserve"> </w:t>
      </w:r>
      <w:r>
        <w:t xml:space="preserve">(„böse") beschreiben Intensität. Das Partizip </w:t>
      </w:r>
      <w:r>
        <w:rPr>
          <w:rStyle w:val="Fett"/>
          <w:rFonts w:eastAsiaTheme="majorEastAsia"/>
          <w:rtl/>
        </w:rPr>
        <w:t>נֶאֱמָנוֹת/נֶאֱמָנִים</w:t>
      </w:r>
      <w:r>
        <w:rPr>
          <w:rtl/>
        </w:rPr>
        <w:t xml:space="preserve"> </w:t>
      </w:r>
      <w:r>
        <w:t>(„fest, zuverlässig, andauernd") betont: keine vorübergehenden Leiden, sondern chronische, anhaltende Plagen.</w:t>
      </w:r>
    </w:p>
    <w:p w14:paraId="331B2C98" w14:textId="77777777" w:rsidR="005D0B3C" w:rsidRDefault="005D0B3C" w:rsidP="005D0B3C">
      <w:pPr>
        <w:pStyle w:val="whitespace-normal"/>
      </w:pPr>
      <w:r>
        <w:rPr>
          <w:rStyle w:val="Fett"/>
          <w:rFonts w:eastAsiaTheme="majorEastAsia"/>
        </w:rPr>
        <w:t>Die Satzstruktur:</w:t>
      </w:r>
      <w:r>
        <w:t xml:space="preserve"> Aussage mit Präzisierung (und außergewöhnlich machen wird JHWH deine Plagen und die Plagen deiner Nachkommen – Plagen groß und andauernd, und Krankheiten böse und andauernd).</w:t>
      </w:r>
    </w:p>
    <w:p w14:paraId="44031946" w14:textId="71FDB6FD" w:rsidR="005D0B3C" w:rsidRDefault="005D0B3C" w:rsidP="00564C2A">
      <w:pPr>
        <w:pStyle w:val="whitespace-normal"/>
      </w:pPr>
      <w:r>
        <w:rPr>
          <w:rStyle w:val="Fett"/>
          <w:rFonts w:eastAsiaTheme="majorEastAsia"/>
        </w:rPr>
        <w:t>Der Vers beschreibt:</w:t>
      </w:r>
      <w:r>
        <w:t xml:space="preserve"> Konsequenz – außergewöhnliche, große, andauernde Plagen und Krankheiten für mehrere Generationen.</w:t>
      </w:r>
    </w:p>
    <w:p w14:paraId="45ED59D6" w14:textId="77777777" w:rsidR="005D0B3C" w:rsidRPr="008D48A3" w:rsidRDefault="005D0B3C" w:rsidP="008D48A3">
      <w:pPr>
        <w:pStyle w:val="Bibelberschrift"/>
      </w:pPr>
      <w:r w:rsidRPr="008D48A3">
        <w:rPr>
          <w:rStyle w:val="Fett"/>
          <w:b/>
          <w:bCs w:val="0"/>
        </w:rPr>
        <w:t>Deuteronomium 28,60</w:t>
      </w:r>
    </w:p>
    <w:p w14:paraId="3D9C448E" w14:textId="77777777" w:rsidR="005D0B3C" w:rsidRDefault="005D0B3C" w:rsidP="005D0B3C">
      <w:pPr>
        <w:pStyle w:val="whitespace-normal"/>
      </w:pPr>
      <w:r>
        <w:rPr>
          <w:rStyle w:val="Fett"/>
          <w:rFonts w:eastAsiaTheme="majorEastAsia"/>
        </w:rPr>
        <w:t>Hebräisch:</w:t>
      </w:r>
      <w:r>
        <w:t xml:space="preserve"> </w:t>
      </w:r>
      <w:r>
        <w:rPr>
          <w:rtl/>
        </w:rPr>
        <w:t>וְהֵשִׁיב בְּךָ אֵת כָּל־מַדְוֵה מִצְרַיִם אֲשֶׁר יָגֹרְתָּ מִפְּנֵיהֶם וְדָבְקוּ בָּֽךְ׃</w:t>
      </w:r>
    </w:p>
    <w:p w14:paraId="2EFEBEF3" w14:textId="77777777" w:rsidR="005D0B3C" w:rsidRDefault="005D0B3C" w:rsidP="005D0B3C">
      <w:pPr>
        <w:pStyle w:val="whitespace-normal"/>
      </w:pPr>
      <w:r>
        <w:rPr>
          <w:rStyle w:val="Fett"/>
          <w:rFonts w:eastAsiaTheme="majorEastAsia"/>
        </w:rPr>
        <w:t>Deutsch:</w:t>
      </w:r>
      <w:r>
        <w:t xml:space="preserve"> Und er wird auf dich zurückbringen alle Seuchen Ägyptens, vor denen du dich gefürchtet hast; und sie werden an dir haften.</w:t>
      </w:r>
    </w:p>
    <w:p w14:paraId="7DF02F10" w14:textId="77777777" w:rsidR="005D0B3C" w:rsidRDefault="004F5CEB" w:rsidP="005D0B3C">
      <w:r>
        <w:rPr>
          <w:noProof/>
        </w:rPr>
        <w:pict w14:anchorId="03B1B0B8">
          <v:rect id="_x0000_i1803" style="width:0;height:1.5pt" o:hralign="center" o:hrstd="t" o:hr="t" fillcolor="#a0a0a0" stroked="f"/>
        </w:pict>
      </w:r>
    </w:p>
    <w:p w14:paraId="024A8143" w14:textId="77777777" w:rsidR="005D0B3C" w:rsidRDefault="005D0B3C" w:rsidP="005D0B3C">
      <w:pPr>
        <w:pStyle w:val="whitespace-normal"/>
      </w:pPr>
      <w:r>
        <w:rPr>
          <w:rStyle w:val="Fett"/>
          <w:rFonts w:eastAsiaTheme="majorEastAsia"/>
        </w:rPr>
        <w:t>Kommentar:</w:t>
      </w:r>
      <w:r>
        <w:t xml:space="preserve"> </w:t>
      </w:r>
      <w:r>
        <w:rPr>
          <w:rStyle w:val="Fett"/>
          <w:rFonts w:eastAsiaTheme="majorEastAsia"/>
          <w:rtl/>
        </w:rPr>
        <w:t>וְהֵשִׁיב בְּךָ אֵת כָּל־מַדְוֵה מִצְרַיִם אֲשֶׁר יָגֹרְתָּ מִפְּנֵיהֶם וְדָבְקוּ בָּךְ</w:t>
      </w:r>
      <w:r>
        <w:rPr>
          <w:rtl/>
        </w:rPr>
        <w:t xml:space="preserve"> </w:t>
      </w:r>
      <w:r>
        <w:t xml:space="preserve">sind zwei Aussagen: </w:t>
      </w:r>
      <w:r>
        <w:rPr>
          <w:rStyle w:val="Fett"/>
          <w:rFonts w:eastAsiaTheme="majorEastAsia"/>
          <w:rtl/>
        </w:rPr>
        <w:t>וְהֵשִׁיב בְּךָ אֵת כָּל־מַדְוֵה מִצְרַיִם אֲשֶׁר יָגֹרְתָּ מִפְּנֵיהֶם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שׁוב</w:t>
      </w:r>
      <w:r>
        <w:t xml:space="preserve">, Hiphil Perfekt, 3. Person Maskulinum Singular (JHWH als implizites Subjekt), „zurückbringen", Präposition </w:t>
      </w:r>
      <w:r>
        <w:rPr>
          <w:rStyle w:val="Fett"/>
          <w:rFonts w:eastAsiaTheme="majorEastAsia"/>
          <w:rtl/>
        </w:rPr>
        <w:t>בְּ</w:t>
      </w:r>
      <w:r>
        <w:rPr>
          <w:rtl/>
        </w:rPr>
        <w:t xml:space="preserve"> </w:t>
      </w:r>
      <w:r>
        <w:t xml:space="preserve">mit Suffix 2. Person Maskulinum Singular, Objektpartikel </w:t>
      </w:r>
      <w:r>
        <w:rPr>
          <w:rStyle w:val="Fett"/>
          <w:rFonts w:eastAsiaTheme="majorEastAsia"/>
          <w:rtl/>
        </w:rPr>
        <w:t>אֵת</w:t>
      </w:r>
      <w:r>
        <w:rPr>
          <w:rtl/>
        </w:rPr>
        <w:t xml:space="preserve"> </w:t>
      </w:r>
      <w:r>
        <w:t xml:space="preserve">mit </w:t>
      </w:r>
      <w:r>
        <w:rPr>
          <w:rStyle w:val="Fett"/>
          <w:rFonts w:eastAsiaTheme="majorEastAsia"/>
          <w:rtl/>
        </w:rPr>
        <w:t>כָּל־מַדְוֶה</w:t>
      </w:r>
      <w:r>
        <w:t xml:space="preserve">, „Seuche, Krankheit", Construct mit </w:t>
      </w:r>
      <w:r>
        <w:rPr>
          <w:rStyle w:val="Fett"/>
          <w:rFonts w:eastAsiaTheme="majorEastAsia"/>
          <w:rtl/>
        </w:rPr>
        <w:t>מִצְרַיִם</w:t>
      </w:r>
      <w:r>
        <w:t xml:space="preserve">, Relativsatz: </w:t>
      </w:r>
      <w:r>
        <w:rPr>
          <w:rStyle w:val="Fett"/>
          <w:rFonts w:eastAsiaTheme="majorEastAsia"/>
          <w:rtl/>
        </w:rPr>
        <w:t>אֲשֶׁר יָגֹרְתָּ מִפְּנֵיהֶם</w:t>
      </w:r>
      <w:r>
        <w:rPr>
          <w:rtl/>
        </w:rPr>
        <w:t xml:space="preserve"> </w:t>
      </w:r>
      <w:r>
        <w:t xml:space="preserve">mit </w:t>
      </w:r>
      <w:r>
        <w:rPr>
          <w:rStyle w:val="Fett"/>
          <w:rFonts w:eastAsiaTheme="majorEastAsia"/>
          <w:rtl/>
        </w:rPr>
        <w:t>יָגוֹר/גּוּר</w:t>
      </w:r>
      <w:r>
        <w:t xml:space="preserve">, Qal Perfekt, 2. </w:t>
      </w:r>
      <w:r>
        <w:lastRenderedPageBreak/>
        <w:t xml:space="preserve">Person Maskulinum Singular, „sich fürchten", </w:t>
      </w:r>
      <w:r>
        <w:rPr>
          <w:rStyle w:val="Fett"/>
          <w:rFonts w:eastAsiaTheme="majorEastAsia"/>
          <w:rtl/>
        </w:rPr>
        <w:t>מִפְּנֵיהֶם</w:t>
      </w:r>
      <w:r>
        <w:t xml:space="preserve">, mit </w:t>
      </w:r>
      <w:r>
        <w:rPr>
          <w:rStyle w:val="Fett"/>
          <w:rFonts w:eastAsiaTheme="majorEastAsia"/>
        </w:rPr>
        <w:t>Waw</w:t>
      </w:r>
      <w:r>
        <w:t xml:space="preserve"> consecutives Perfekt), </w:t>
      </w:r>
      <w:r>
        <w:rPr>
          <w:rStyle w:val="Fett"/>
          <w:rFonts w:eastAsiaTheme="majorEastAsia"/>
          <w:rtl/>
        </w:rPr>
        <w:t>וְדָבְקוּ בָּךְ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דבק</w:t>
      </w:r>
      <w:r>
        <w:t xml:space="preserve">, Qal Perfekt, 3. Person Plural, „anhaften, kleben", Präposition </w:t>
      </w:r>
      <w:r>
        <w:rPr>
          <w:rStyle w:val="Fett"/>
          <w:rFonts w:eastAsiaTheme="majorEastAsia"/>
          <w:rtl/>
        </w:rPr>
        <w:t>בְּ</w:t>
      </w:r>
      <w:r>
        <w:rPr>
          <w:rtl/>
        </w:rPr>
        <w:t xml:space="preserve"> </w:t>
      </w:r>
      <w:r>
        <w:t xml:space="preserve">mit Suffix, mit </w:t>
      </w:r>
      <w:r>
        <w:rPr>
          <w:rStyle w:val="Fett"/>
          <w:rFonts w:eastAsiaTheme="majorEastAsia"/>
        </w:rPr>
        <w:t>Waw</w:t>
      </w:r>
      <w:r>
        <w:t xml:space="preserve"> consecutives Perfekt).</w:t>
      </w:r>
    </w:p>
    <w:p w14:paraId="7F4D91F8" w14:textId="77777777" w:rsidR="005D0B3C" w:rsidRDefault="005D0B3C" w:rsidP="005D0B3C">
      <w:pPr>
        <w:pStyle w:val="whitespace-normal"/>
      </w:pPr>
      <w:r>
        <w:t xml:space="preserve">Der Vers droht mit der Rückkehr der ägyptischen Plagen. Die erste Aussage: </w:t>
      </w:r>
      <w:r>
        <w:rPr>
          <w:rStyle w:val="Fett"/>
          <w:rFonts w:eastAsiaTheme="majorEastAsia"/>
          <w:rtl/>
        </w:rPr>
        <w:t>וְהֵשִׁיב בְּךָ אֵת כָּל־מַדְוֵה מִצְרַיִם אֲשֶׁר יָגֹרְתָּ מִפְּנֵיהֶם</w:t>
      </w:r>
      <w:r>
        <w:rPr>
          <w:rtl/>
        </w:rPr>
        <w:t xml:space="preserve"> </w:t>
      </w:r>
      <w:r>
        <w:t xml:space="preserve">(„und zurückbringen wird er auf dich alle Seuchen Ägyptens, vor denen du dich gefürchtet hast"). Die </w:t>
      </w:r>
      <w:r>
        <w:rPr>
          <w:rStyle w:val="Fett"/>
          <w:rFonts w:eastAsiaTheme="majorEastAsia"/>
          <w:rtl/>
        </w:rPr>
        <w:t>מַדְוֵה מִצְרַיִם</w:t>
      </w:r>
      <w:r>
        <w:rPr>
          <w:rtl/>
        </w:rPr>
        <w:t xml:space="preserve"> </w:t>
      </w:r>
      <w:r>
        <w:t xml:space="preserve">(„Seuchen Ägyptens") erinnern an die zehn Plagen (vgl. V. 27; 7,15). Bittere Ironie: Israel wurde aus Ägypten befreit, aber bei Ungehorsam werden die ägyptischen Plagen zurückkehren. Die zweite Aussage: </w:t>
      </w:r>
      <w:r>
        <w:rPr>
          <w:rStyle w:val="Fett"/>
          <w:rFonts w:eastAsiaTheme="majorEastAsia"/>
          <w:rtl/>
        </w:rPr>
        <w:t>וְדָבְקוּ בָּךְ</w:t>
      </w:r>
      <w:r>
        <w:rPr>
          <w:rtl/>
        </w:rPr>
        <w:t xml:space="preserve"> </w:t>
      </w:r>
      <w:r>
        <w:t xml:space="preserve">(„und anhaften werden sie an dir"). Das Verb </w:t>
      </w:r>
      <w:r>
        <w:rPr>
          <w:rStyle w:val="Fett"/>
          <w:rFonts w:eastAsiaTheme="majorEastAsia"/>
          <w:rtl/>
        </w:rPr>
        <w:t>דבק</w:t>
      </w:r>
      <w:r>
        <w:rPr>
          <w:rtl/>
        </w:rPr>
        <w:t xml:space="preserve"> </w:t>
      </w:r>
      <w:r>
        <w:t>(„anhaften, kleben") – die Seuchen werden nicht loslassen (vgl. V. 21).</w:t>
      </w:r>
    </w:p>
    <w:p w14:paraId="5DE5E4DC" w14:textId="77777777" w:rsidR="005D0B3C" w:rsidRDefault="005D0B3C" w:rsidP="005D0B3C">
      <w:pPr>
        <w:pStyle w:val="whitespace-normal"/>
      </w:pPr>
      <w:r>
        <w:rPr>
          <w:rStyle w:val="Fett"/>
          <w:rFonts w:eastAsiaTheme="majorEastAsia"/>
        </w:rPr>
        <w:t>Die Satzstruktur:</w:t>
      </w:r>
      <w:r>
        <w:t xml:space="preserve"> Zwei Aussagen (und zurückbringen wird er auf dich alle Seuchen Ägyptens, vor denen du dich gefürchtet hast; und anhaften werden sie an dir).</w:t>
      </w:r>
    </w:p>
    <w:p w14:paraId="5789AFF3" w14:textId="77777777" w:rsidR="005D0B3C" w:rsidRDefault="005D0B3C" w:rsidP="005D0B3C">
      <w:pPr>
        <w:pStyle w:val="whitespace-normal"/>
      </w:pPr>
      <w:r>
        <w:rPr>
          <w:rStyle w:val="Fett"/>
          <w:rFonts w:eastAsiaTheme="majorEastAsia"/>
        </w:rPr>
        <w:t>Der Vers beschreibt:</w:t>
      </w:r>
      <w:r>
        <w:t xml:space="preserve"> Rückkehr der ägyptischen Plagen – die Befreiung wird rückgängig gemacht.</w:t>
      </w:r>
    </w:p>
    <w:p w14:paraId="582FE9EC" w14:textId="77777777" w:rsidR="005D0B3C" w:rsidRDefault="004F5CEB" w:rsidP="005D0B3C">
      <w:r>
        <w:rPr>
          <w:noProof/>
        </w:rPr>
        <w:pict w14:anchorId="52D543A8">
          <v:rect id="_x0000_i1804" style="width:0;height:1.5pt" o:hralign="center" o:hrstd="t" o:hr="t" fillcolor="#a0a0a0" stroked="f"/>
        </w:pict>
      </w:r>
    </w:p>
    <w:p w14:paraId="412DEB1C" w14:textId="77777777" w:rsidR="005D0B3C" w:rsidRPr="008D48A3" w:rsidRDefault="005D0B3C" w:rsidP="008D48A3">
      <w:pPr>
        <w:pStyle w:val="Bibelberschrift"/>
      </w:pPr>
      <w:r w:rsidRPr="008D48A3">
        <w:rPr>
          <w:rStyle w:val="Fett"/>
          <w:b/>
          <w:bCs w:val="0"/>
        </w:rPr>
        <w:t>Deuteronomium 28,61</w:t>
      </w:r>
    </w:p>
    <w:p w14:paraId="19A16BFD" w14:textId="77777777" w:rsidR="005D0B3C" w:rsidRDefault="005D0B3C" w:rsidP="005D0B3C">
      <w:pPr>
        <w:pStyle w:val="whitespace-normal"/>
      </w:pPr>
      <w:r>
        <w:rPr>
          <w:rStyle w:val="Fett"/>
          <w:rFonts w:eastAsiaTheme="majorEastAsia"/>
        </w:rPr>
        <w:t>Hebräisch:</w:t>
      </w:r>
      <w:r>
        <w:t xml:space="preserve"> </w:t>
      </w:r>
      <w:r>
        <w:rPr>
          <w:rtl/>
        </w:rPr>
        <w:t>גַּם כָּל־חֳלִי וְכָל־מַכָּה אֲשֶׁר לֹא כָתוּב בְּסֵפֶר הַתּוֹרָה הַזֹּאת יַעְלֵם יְהוָה עָלֶיךָ עַד הִשָּׁמְדָֽךְ׃</w:t>
      </w:r>
    </w:p>
    <w:p w14:paraId="60B88214" w14:textId="05CE800C" w:rsidR="005D0B3C" w:rsidRDefault="005D0B3C" w:rsidP="005D0B3C">
      <w:pPr>
        <w:pStyle w:val="whitespace-normal"/>
      </w:pPr>
      <w:r>
        <w:rPr>
          <w:rStyle w:val="Fett"/>
          <w:rFonts w:eastAsiaTheme="majorEastAsia"/>
        </w:rPr>
        <w:t>Deutsch:</w:t>
      </w:r>
      <w:r>
        <w:t xml:space="preserve"> Auch alle Krankheiten und alle Plagen, die nicht geschrieben sind in dem Buch dieser </w:t>
      </w:r>
      <w:r w:rsidR="006D3FED">
        <w:t>Torah</w:t>
      </w:r>
      <w:r>
        <w:t>, sie wird JHWH auf dich kommen lassen, bis du vertilgt bist.</w:t>
      </w:r>
    </w:p>
    <w:p w14:paraId="216329CF" w14:textId="77777777" w:rsidR="005D0B3C" w:rsidRDefault="004F5CEB" w:rsidP="005D0B3C">
      <w:r>
        <w:rPr>
          <w:noProof/>
        </w:rPr>
        <w:pict w14:anchorId="5A916271">
          <v:rect id="_x0000_i1805" style="width:0;height:1.5pt" o:hralign="center" o:hrstd="t" o:hr="t" fillcolor="#a0a0a0" stroked="f"/>
        </w:pict>
      </w:r>
    </w:p>
    <w:p w14:paraId="7447BD4B" w14:textId="77777777" w:rsidR="005D0B3C" w:rsidRDefault="005D0B3C" w:rsidP="005D0B3C">
      <w:pPr>
        <w:pStyle w:val="whitespace-normal"/>
      </w:pPr>
      <w:r>
        <w:rPr>
          <w:rStyle w:val="Fett"/>
          <w:rFonts w:eastAsiaTheme="majorEastAsia"/>
        </w:rPr>
        <w:t>Kommentar:</w:t>
      </w:r>
      <w:r>
        <w:t xml:space="preserve"> </w:t>
      </w:r>
      <w:r>
        <w:rPr>
          <w:rStyle w:val="Fett"/>
          <w:rFonts w:eastAsiaTheme="majorEastAsia"/>
          <w:rtl/>
        </w:rPr>
        <w:t>גַּם כָּל־חֳלִי וְכָל־מַכָּה אֲשֶׁר לֹא כָתוּב בְּסֵפֶר הַתּוֹרָה הַזֹּאת יַעְלֵם יְהוָה עָלֶיךָ עַד הִשָּׁמְדָךְ</w:t>
      </w:r>
      <w:r>
        <w:rPr>
          <w:rtl/>
        </w:rPr>
        <w:t xml:space="preserve"> </w:t>
      </w:r>
      <w:r>
        <w:t xml:space="preserve">ist eine Aussage: </w:t>
      </w:r>
      <w:r>
        <w:rPr>
          <w:rStyle w:val="Fett"/>
          <w:rFonts w:eastAsiaTheme="majorEastAsia"/>
          <w:rtl/>
        </w:rPr>
        <w:t>גַּם כָּל־חֳלִי וְכָל־מַכָּה אֲשֶׁר לֹא כָתוּב בְּסֵפֶר הַתּוֹרָה הַזֹּאת יַעְלֵם יְהוָה עָלֶיךָ עַד הִשָּׁמְדָךְ</w:t>
      </w:r>
      <w:r>
        <w:rPr>
          <w:rtl/>
        </w:rPr>
        <w:t xml:space="preserve"> </w:t>
      </w:r>
      <w:r>
        <w:t>(</w:t>
      </w:r>
      <w:r>
        <w:rPr>
          <w:rStyle w:val="Fett"/>
          <w:rFonts w:eastAsiaTheme="majorEastAsia"/>
          <w:rtl/>
        </w:rPr>
        <w:t>גַּם</w:t>
      </w:r>
      <w:r>
        <w:t xml:space="preserve">, „auch", </w:t>
      </w:r>
      <w:r>
        <w:rPr>
          <w:rStyle w:val="Fett"/>
          <w:rFonts w:eastAsiaTheme="majorEastAsia"/>
          <w:rtl/>
        </w:rPr>
        <w:t>כָּל־חֳלִי</w:t>
      </w:r>
      <w:r>
        <w:rPr>
          <w:rtl/>
        </w:rPr>
        <w:t xml:space="preserve"> </w:t>
      </w:r>
      <w:r>
        <w:t xml:space="preserve">koordiniert mit </w:t>
      </w:r>
      <w:r>
        <w:rPr>
          <w:rStyle w:val="Fett"/>
          <w:rFonts w:eastAsiaTheme="majorEastAsia"/>
          <w:rtl/>
        </w:rPr>
        <w:t>כָּל־מַכָּה</w:t>
      </w:r>
      <w:r>
        <w:t xml:space="preserve">, Relativsatz: </w:t>
      </w:r>
      <w:r>
        <w:rPr>
          <w:rStyle w:val="Fett"/>
          <w:rFonts w:eastAsiaTheme="majorEastAsia"/>
          <w:rtl/>
        </w:rPr>
        <w:t>אֲשֶׁר לֹא כָתוּב בְּסֵפֶר הַתּוֹרָה הַזֹּאת</w:t>
      </w:r>
      <w:r>
        <w:rPr>
          <w:rtl/>
        </w:rPr>
        <w:t xml:space="preserve"> </w:t>
      </w:r>
      <w:r>
        <w:t xml:space="preserve">mit Negation, </w:t>
      </w:r>
      <w:r>
        <w:rPr>
          <w:rStyle w:val="Fett"/>
          <w:rFonts w:eastAsiaTheme="majorEastAsia"/>
          <w:rtl/>
        </w:rPr>
        <w:t>כתב</w:t>
      </w:r>
      <w:r>
        <w:t xml:space="preserve">, Qal Passiv Partizip, </w:t>
      </w:r>
      <w:r>
        <w:rPr>
          <w:rStyle w:val="Fett"/>
          <w:rFonts w:eastAsiaTheme="majorEastAsia"/>
          <w:rtl/>
        </w:rPr>
        <w:t>עלה</w:t>
      </w:r>
      <w:r>
        <w:t xml:space="preserve">, Hiphil Imperfekt, 3. Person Maskulinum Singular, „auf jemanden kommen lassen, über jemanden bringen", </w:t>
      </w:r>
      <w:r>
        <w:rPr>
          <w:rStyle w:val="Fett"/>
          <w:rFonts w:eastAsiaTheme="majorEastAsia"/>
          <w:rtl/>
        </w:rPr>
        <w:t>יְהוָה</w:t>
      </w:r>
      <w:r>
        <w:rPr>
          <w:rtl/>
        </w:rPr>
        <w:t xml:space="preserve"> </w:t>
      </w:r>
      <w:r>
        <w:t xml:space="preserve">als Subjekt, Präposition </w:t>
      </w:r>
      <w:r>
        <w:rPr>
          <w:rStyle w:val="Fett"/>
          <w:rFonts w:eastAsiaTheme="majorEastAsia"/>
          <w:rtl/>
        </w:rPr>
        <w:t>עַל</w:t>
      </w:r>
      <w:r>
        <w:rPr>
          <w:rtl/>
        </w:rPr>
        <w:t xml:space="preserve"> </w:t>
      </w:r>
      <w:r>
        <w:t xml:space="preserve">mit Suffix, Präposition </w:t>
      </w:r>
      <w:r>
        <w:rPr>
          <w:rStyle w:val="Fett"/>
          <w:rFonts w:eastAsiaTheme="majorEastAsia"/>
          <w:rtl/>
        </w:rPr>
        <w:t>עַד</w:t>
      </w:r>
      <w:r>
        <w:rPr>
          <w:rtl/>
        </w:rPr>
        <w:t xml:space="preserve"> </w:t>
      </w:r>
      <w:r>
        <w:t xml:space="preserve">mit Niphal Infinitiv Construct von </w:t>
      </w:r>
      <w:r>
        <w:rPr>
          <w:rStyle w:val="Fett"/>
          <w:rFonts w:eastAsiaTheme="majorEastAsia"/>
          <w:rtl/>
        </w:rPr>
        <w:t>שׁמד</w:t>
      </w:r>
      <w:r>
        <w:t>, mit Suffix).</w:t>
      </w:r>
    </w:p>
    <w:p w14:paraId="7F35D0F1" w14:textId="2DFAC7E3" w:rsidR="005D0B3C" w:rsidRDefault="005D0B3C" w:rsidP="005D0B3C">
      <w:pPr>
        <w:pStyle w:val="whitespace-normal"/>
      </w:pPr>
      <w:r>
        <w:t xml:space="preserve">Der Vers intensiviert die Flüche ins Unermessliche. Die Aussage: </w:t>
      </w:r>
      <w:r>
        <w:rPr>
          <w:rStyle w:val="Fett"/>
          <w:rFonts w:eastAsiaTheme="majorEastAsia"/>
          <w:rtl/>
        </w:rPr>
        <w:t>גַּם כָּל־חֳלִי וְכָל־מַכָּה אֲשֶׁר לֹא כָתוּב בְּסֵפֶר הַתּוֹרָה הַזֹּאת יַעְלֵם יְהוָה עָלֶיךָ עַד הִשָּׁמְדָךְ</w:t>
      </w:r>
      <w:r>
        <w:rPr>
          <w:rtl/>
        </w:rPr>
        <w:t xml:space="preserve"> </w:t>
      </w:r>
      <w:r>
        <w:t xml:space="preserve">(„auch alle Krankheiten und alle Plagen, die nicht geschrieben sind in dem Buch dieser </w:t>
      </w:r>
      <w:r w:rsidR="006D3FED">
        <w:t>Torah</w:t>
      </w:r>
      <w:r>
        <w:t xml:space="preserve">, wird JHWH auf dich kommen lassen, bis du vertilgt bist"). Die Formulierung </w:t>
      </w:r>
      <w:r>
        <w:rPr>
          <w:rStyle w:val="Fett"/>
          <w:rFonts w:eastAsiaTheme="majorEastAsia"/>
          <w:rtl/>
        </w:rPr>
        <w:t>אֲשֶׁר לֹא כָתוּב בְּסֵפֶר הַתּוֹרָה הַזֹּאת</w:t>
      </w:r>
      <w:r>
        <w:rPr>
          <w:rtl/>
        </w:rPr>
        <w:t xml:space="preserve"> </w:t>
      </w:r>
      <w:r>
        <w:t xml:space="preserve">(„die nicht geschrieben sind in dem Buch dieser </w:t>
      </w:r>
      <w:r w:rsidR="006D3FED">
        <w:t>Torah</w:t>
      </w:r>
      <w:r>
        <w:t xml:space="preserve">") ist erschreckend – zusätzlich zu allen in Kapitel 28 aufgelisteten Flüchen wird JHWH noch weitere, nicht aufgelistete Plagen senden. Die Liste ist nicht erschöpfend. Die Formulierung </w:t>
      </w:r>
      <w:r>
        <w:rPr>
          <w:rStyle w:val="Fett"/>
          <w:rFonts w:eastAsiaTheme="majorEastAsia"/>
          <w:rtl/>
        </w:rPr>
        <w:t>עַד הִשָּׁמְדָךְ</w:t>
      </w:r>
      <w:r>
        <w:rPr>
          <w:rtl/>
        </w:rPr>
        <w:t xml:space="preserve"> </w:t>
      </w:r>
      <w:r>
        <w:t>(„bis du vertilgt bist") wiederholt das Endziel.</w:t>
      </w:r>
    </w:p>
    <w:p w14:paraId="4E9DA091" w14:textId="26045C9B" w:rsidR="005D0B3C" w:rsidRDefault="005D0B3C" w:rsidP="005D0B3C">
      <w:pPr>
        <w:pStyle w:val="whitespace-normal"/>
      </w:pPr>
      <w:r>
        <w:rPr>
          <w:rStyle w:val="Fett"/>
          <w:rFonts w:eastAsiaTheme="majorEastAsia"/>
        </w:rPr>
        <w:t>Die Satzstruktur:</w:t>
      </w:r>
      <w:r>
        <w:t xml:space="preserve"> Aussage (auch alle Krankheiten und alle Plagen, die nicht geschrieben sind in dem Buch dieser </w:t>
      </w:r>
      <w:r w:rsidR="006D3FED">
        <w:t>Torah</w:t>
      </w:r>
      <w:r>
        <w:t>, wird JHWH auf dich kommen lassen, bis du vertilgt bist).</w:t>
      </w:r>
    </w:p>
    <w:p w14:paraId="10828987" w14:textId="232C05BD" w:rsidR="005D0B3C" w:rsidRDefault="005D0B3C" w:rsidP="00564C2A">
      <w:pPr>
        <w:pStyle w:val="whitespace-normal"/>
      </w:pPr>
      <w:r>
        <w:rPr>
          <w:rStyle w:val="Fett"/>
          <w:rFonts w:eastAsiaTheme="majorEastAsia"/>
        </w:rPr>
        <w:lastRenderedPageBreak/>
        <w:t>Der Vers beschreibt:</w:t>
      </w:r>
      <w:r>
        <w:t xml:space="preserve"> Intensivierung – zusätzlich zu den aufgelisteten Flüchen kommen noch ungenannte Plagen.</w:t>
      </w:r>
    </w:p>
    <w:p w14:paraId="7AE2AE92" w14:textId="77777777" w:rsidR="005D0B3C" w:rsidRPr="008D48A3" w:rsidRDefault="005D0B3C" w:rsidP="008D48A3">
      <w:pPr>
        <w:pStyle w:val="Bibelberschrift"/>
      </w:pPr>
      <w:r w:rsidRPr="008D48A3">
        <w:rPr>
          <w:rStyle w:val="Fett"/>
          <w:b/>
          <w:bCs w:val="0"/>
        </w:rPr>
        <w:t>Deuteronomium 28,62</w:t>
      </w:r>
    </w:p>
    <w:p w14:paraId="65500F86" w14:textId="77777777" w:rsidR="005D0B3C" w:rsidRDefault="005D0B3C" w:rsidP="005D0B3C">
      <w:pPr>
        <w:pStyle w:val="whitespace-normal"/>
      </w:pPr>
      <w:r>
        <w:rPr>
          <w:rStyle w:val="Fett"/>
          <w:rFonts w:eastAsiaTheme="majorEastAsia"/>
        </w:rPr>
        <w:t>Hebräisch:</w:t>
      </w:r>
      <w:r>
        <w:t xml:space="preserve"> </w:t>
      </w:r>
      <w:r>
        <w:rPr>
          <w:rtl/>
        </w:rPr>
        <w:t>וְנִשְׁאַרְתֶּם בִּמְתֵי מְעָט תַּחַת אֲשֶׁר הֱיִיתֶם כְּכוֹכְבֵי הַשָּׁמַיִם לָרֹב כִּי־לֹא שָׁמַעְתָּ בְּקוֹל יְהוָה אֱלֹהֶֽיךָ׃</w:t>
      </w:r>
    </w:p>
    <w:p w14:paraId="4B706484" w14:textId="664CC910" w:rsidR="005D0B3C" w:rsidRDefault="005D0B3C" w:rsidP="005D0B3C">
      <w:pPr>
        <w:pStyle w:val="whitespace-normal"/>
      </w:pPr>
      <w:r>
        <w:rPr>
          <w:rStyle w:val="Fett"/>
          <w:rFonts w:eastAsiaTheme="majorEastAsia"/>
        </w:rPr>
        <w:t>Deutsch:</w:t>
      </w:r>
      <w:r>
        <w:t xml:space="preserve"> Und ihr werdet übrigbleiben als ein geringes Häuflein, anstatt dass ihr zahlreich wart wie die Sterne des Himmels; weil du der Stimme des </w:t>
      </w:r>
      <w:r w:rsidR="00796A84">
        <w:t>Ewigen</w:t>
      </w:r>
      <w:r>
        <w:t>, deines Gottes, nicht gehorcht hast.</w:t>
      </w:r>
    </w:p>
    <w:p w14:paraId="31CCF7D1" w14:textId="77777777" w:rsidR="005D0B3C" w:rsidRDefault="004F5CEB" w:rsidP="005D0B3C">
      <w:r>
        <w:rPr>
          <w:noProof/>
        </w:rPr>
        <w:pict w14:anchorId="6F6D1F4B">
          <v:rect id="_x0000_i1806" style="width:0;height:1.5pt" o:hralign="center" o:hrstd="t" o:hr="t" fillcolor="#a0a0a0" stroked="f"/>
        </w:pict>
      </w:r>
    </w:p>
    <w:p w14:paraId="1F4BDAEE" w14:textId="77777777" w:rsidR="005D0B3C" w:rsidRDefault="005D0B3C" w:rsidP="005D0B3C">
      <w:pPr>
        <w:pStyle w:val="whitespace-normal"/>
      </w:pPr>
      <w:r>
        <w:rPr>
          <w:rStyle w:val="Fett"/>
          <w:rFonts w:eastAsiaTheme="majorEastAsia"/>
        </w:rPr>
        <w:t>Kommentar:</w:t>
      </w:r>
      <w:r>
        <w:t xml:space="preserve"> </w:t>
      </w:r>
      <w:r>
        <w:rPr>
          <w:rStyle w:val="Fett"/>
          <w:rFonts w:eastAsiaTheme="majorEastAsia"/>
          <w:rtl/>
        </w:rPr>
        <w:t>וְנִשְׁאַרְתֶּם בִּמְתֵי מְעָט תַּחַת אֲשֶׁר הֱיִיתֶם כְּכוֹכְבֵי הַשָּׁמַיִם לָרֹב כִּי־לֹא שָׁמַעְתָּ בְּקוֹל יְהוָה אֱלֹהֶיךָ</w:t>
      </w:r>
      <w:r>
        <w:rPr>
          <w:rtl/>
        </w:rPr>
        <w:t xml:space="preserve"> </w:t>
      </w:r>
      <w:r>
        <w:t xml:space="preserve">ist eine Aussage mit Kontrast und Begründung: </w:t>
      </w:r>
      <w:r>
        <w:rPr>
          <w:rStyle w:val="Fett"/>
          <w:rFonts w:eastAsiaTheme="majorEastAsia"/>
          <w:rtl/>
        </w:rPr>
        <w:t>וְנִשְׁאַרְתֶּם בִּמְתֵי מְעָט</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שׁאר</w:t>
      </w:r>
      <w:r>
        <w:t xml:space="preserve">, Niphal Perfekt, 2. Person Plural, „übrigbleiben", Präposition </w:t>
      </w:r>
      <w:r>
        <w:rPr>
          <w:rStyle w:val="Fett"/>
          <w:rFonts w:eastAsiaTheme="majorEastAsia"/>
          <w:rtl/>
        </w:rPr>
        <w:t>בְּ</w:t>
      </w:r>
      <w:r>
        <w:rPr>
          <w:rtl/>
        </w:rPr>
        <w:t xml:space="preserve"> </w:t>
      </w:r>
      <w:r>
        <w:t xml:space="preserve">mit </w:t>
      </w:r>
      <w:r>
        <w:rPr>
          <w:rStyle w:val="Fett"/>
          <w:rFonts w:eastAsiaTheme="majorEastAsia"/>
          <w:rtl/>
        </w:rPr>
        <w:t>מְתֵי מְעָט</w:t>
      </w:r>
      <w:r>
        <w:t xml:space="preserve">, „geringe/wenige Leute", mit </w:t>
      </w:r>
      <w:r>
        <w:rPr>
          <w:rStyle w:val="Fett"/>
          <w:rFonts w:eastAsiaTheme="majorEastAsia"/>
        </w:rPr>
        <w:t>Waw</w:t>
      </w:r>
      <w:r>
        <w:t xml:space="preserve"> consecutives Perfekt), </w:t>
      </w:r>
      <w:r>
        <w:rPr>
          <w:rStyle w:val="Fett"/>
          <w:rFonts w:eastAsiaTheme="majorEastAsia"/>
          <w:rtl/>
        </w:rPr>
        <w:t>תַּחַת אֲשֶׁר הֱיִיתֶם כְּכוֹכְבֵי הַשָּׁמַיִם לָרֹב</w:t>
      </w:r>
      <w:r>
        <w:rPr>
          <w:rtl/>
        </w:rPr>
        <w:t xml:space="preserve"> </w:t>
      </w:r>
      <w:r>
        <w:t xml:space="preserve">(Kontrastsatz: </w:t>
      </w:r>
      <w:r>
        <w:rPr>
          <w:rStyle w:val="Fett"/>
          <w:rFonts w:eastAsiaTheme="majorEastAsia"/>
          <w:rtl/>
        </w:rPr>
        <w:t>תַּחַת אֲשֶׁר</w:t>
      </w:r>
      <w:r>
        <w:t xml:space="preserve">, „anstatt dass", </w:t>
      </w:r>
      <w:r>
        <w:rPr>
          <w:rStyle w:val="Fett"/>
          <w:rFonts w:eastAsiaTheme="majorEastAsia"/>
          <w:rtl/>
        </w:rPr>
        <w:t>היה</w:t>
      </w:r>
      <w:r>
        <w:t xml:space="preserve">, Qal Perfekt, 2. Person Plural, Präposition </w:t>
      </w:r>
      <w:r>
        <w:rPr>
          <w:rStyle w:val="Fett"/>
          <w:rFonts w:eastAsiaTheme="majorEastAsia"/>
          <w:rtl/>
        </w:rPr>
        <w:t>כְּ</w:t>
      </w:r>
      <w:r>
        <w:rPr>
          <w:rtl/>
        </w:rPr>
        <w:t xml:space="preserve"> </w:t>
      </w:r>
      <w:r>
        <w:t xml:space="preserve">mit </w:t>
      </w:r>
      <w:r>
        <w:rPr>
          <w:rStyle w:val="Fett"/>
          <w:rFonts w:eastAsiaTheme="majorEastAsia"/>
          <w:rtl/>
        </w:rPr>
        <w:t>כּוֹכָב</w:t>
      </w:r>
      <w:r>
        <w:t xml:space="preserve">, „Stern", Plural Construct mit </w:t>
      </w:r>
      <w:r>
        <w:rPr>
          <w:rStyle w:val="Fett"/>
          <w:rFonts w:eastAsiaTheme="majorEastAsia"/>
          <w:rtl/>
        </w:rPr>
        <w:t>שָׁמַיִם</w:t>
      </w:r>
      <w:r>
        <w:t xml:space="preserve">, </w:t>
      </w:r>
      <w:r>
        <w:rPr>
          <w:rStyle w:val="Fett"/>
          <w:rFonts w:eastAsiaTheme="majorEastAsia"/>
          <w:rtl/>
        </w:rPr>
        <w:t>לָרֹב</w:t>
      </w:r>
      <w:r>
        <w:t xml:space="preserve">, „zur Menge, an Zahl"), </w:t>
      </w:r>
      <w:r>
        <w:rPr>
          <w:rStyle w:val="Fett"/>
          <w:rFonts w:eastAsiaTheme="majorEastAsia"/>
          <w:rtl/>
        </w:rPr>
        <w:t>כִּי־לֹא שָׁמַעְתָּ בְּקוֹל יְהוָה אֱלֹהֶיךָ</w:t>
      </w:r>
      <w:r>
        <w:rPr>
          <w:rtl/>
        </w:rPr>
        <w:t xml:space="preserve"> </w:t>
      </w:r>
      <w:r>
        <w:t>(Kausalsatz wie üblich).</w:t>
      </w:r>
    </w:p>
    <w:p w14:paraId="3C1A934F" w14:textId="4E81BF37" w:rsidR="005D0B3C" w:rsidRDefault="005D0B3C" w:rsidP="005D0B3C">
      <w:pPr>
        <w:pStyle w:val="whitespace-normal"/>
      </w:pPr>
      <w:r>
        <w:t xml:space="preserve">Der Vers beschreibt die demografische Katastrophe. Die Aussage: </w:t>
      </w:r>
      <w:r>
        <w:rPr>
          <w:rStyle w:val="Fett"/>
          <w:rFonts w:eastAsiaTheme="majorEastAsia"/>
          <w:rtl/>
        </w:rPr>
        <w:t>וְנִשְׁאַרְתֶּם בִּמְתֵי מְעָט</w:t>
      </w:r>
      <w:r>
        <w:rPr>
          <w:rtl/>
        </w:rPr>
        <w:t xml:space="preserve"> </w:t>
      </w:r>
      <w:r>
        <w:t xml:space="preserve">(„und übrigbleiben werdet ihr als geringe Leute"). Der Kontrast: </w:t>
      </w:r>
      <w:r>
        <w:rPr>
          <w:rStyle w:val="Fett"/>
          <w:rFonts w:eastAsiaTheme="majorEastAsia"/>
          <w:rtl/>
        </w:rPr>
        <w:t>תַּחַת אֲשֶׁר הֱיִיתֶם כְּכוֹכְבֵי הַשָּׁמַיִם לָרֹב</w:t>
      </w:r>
      <w:r>
        <w:rPr>
          <w:rtl/>
        </w:rPr>
        <w:t xml:space="preserve"> </w:t>
      </w:r>
      <w:r>
        <w:t xml:space="preserve">(„anstatt dass ihr wart wie die Sterne des Himmels an Zahl"). Die Formulierung </w:t>
      </w:r>
      <w:r>
        <w:rPr>
          <w:rStyle w:val="Fett"/>
          <w:rFonts w:eastAsiaTheme="majorEastAsia"/>
          <w:rtl/>
        </w:rPr>
        <w:t>כְּכוֹכְבֵי הַשָּׁמַיִם</w:t>
      </w:r>
      <w:r>
        <w:rPr>
          <w:rtl/>
        </w:rPr>
        <w:t xml:space="preserve"> </w:t>
      </w:r>
      <w:r>
        <w:t xml:space="preserve">(„wie die Sterne des Himmels") erinnert an die Verheißung an Abraham (vgl. 1,10; 10,22; Gen 15,5; 22,17; 26,4). Von zahllos wie die Sterne zu einem winzigen Rest – totale Umkehrung der Segensverheißung. Die Begründung: </w:t>
      </w:r>
      <w:r>
        <w:rPr>
          <w:rStyle w:val="Fett"/>
          <w:rFonts w:eastAsiaTheme="majorEastAsia"/>
          <w:rtl/>
        </w:rPr>
        <w:t>כִּי־לֹא שָׁמַעְתָּ בְּקוֹל יְהוָה אֱלֹהֶיךָ</w:t>
      </w:r>
      <w:r>
        <w:rPr>
          <w:rtl/>
        </w:rPr>
        <w:t xml:space="preserve"> </w:t>
      </w:r>
      <w:r>
        <w:t xml:space="preserve">(„weil du nicht gehorcht hast der Stimme </w:t>
      </w:r>
      <w:r w:rsidR="00DF3D1A">
        <w:t>JHWHs</w:t>
      </w:r>
      <w:r>
        <w:t>, deines Gottes"). Wiederholung der Grundursache.</w:t>
      </w:r>
    </w:p>
    <w:p w14:paraId="6292160A" w14:textId="3052D551" w:rsidR="005D0B3C" w:rsidRDefault="005D0B3C" w:rsidP="005D0B3C">
      <w:pPr>
        <w:pStyle w:val="whitespace-normal"/>
      </w:pPr>
      <w:r>
        <w:rPr>
          <w:rStyle w:val="Fett"/>
          <w:rFonts w:eastAsiaTheme="majorEastAsia"/>
        </w:rPr>
        <w:t>Die Satzstruktur:</w:t>
      </w:r>
      <w:r>
        <w:t xml:space="preserve"> Aussage mit Kontrast und Begründung (und übrigbleiben werdet ihr als geringe Leute, anstatt dass ihr wart wie die Sterne des Himmels an Zahl; weil du nicht gehorcht hast der Stimme </w:t>
      </w:r>
      <w:r w:rsidR="00DF3D1A">
        <w:t>JHWHs</w:t>
      </w:r>
      <w:r>
        <w:t>, deines Gottes).</w:t>
      </w:r>
    </w:p>
    <w:p w14:paraId="3A5FA46A" w14:textId="6951BD8C" w:rsidR="005D0B3C" w:rsidRDefault="005D0B3C" w:rsidP="00564C2A">
      <w:pPr>
        <w:pStyle w:val="whitespace-normal"/>
      </w:pPr>
      <w:r>
        <w:rPr>
          <w:rStyle w:val="Fett"/>
          <w:rFonts w:eastAsiaTheme="majorEastAsia"/>
        </w:rPr>
        <w:t>Der Vers beschreibt:</w:t>
      </w:r>
      <w:r>
        <w:t xml:space="preserve"> Demografische Katastrophe – von zahlreich wie die Sterne zu einem winzigen Rest.</w:t>
      </w:r>
    </w:p>
    <w:p w14:paraId="02333D3F" w14:textId="77777777" w:rsidR="005D0B3C" w:rsidRPr="008D48A3" w:rsidRDefault="005D0B3C" w:rsidP="008D48A3">
      <w:pPr>
        <w:pStyle w:val="Bibelberschrift"/>
      </w:pPr>
      <w:r w:rsidRPr="008D48A3">
        <w:rPr>
          <w:rStyle w:val="Fett"/>
          <w:b/>
          <w:bCs w:val="0"/>
        </w:rPr>
        <w:t>Deuteronomium 28,63</w:t>
      </w:r>
    </w:p>
    <w:p w14:paraId="02C138FC" w14:textId="77777777" w:rsidR="005D0B3C" w:rsidRDefault="005D0B3C" w:rsidP="005D0B3C">
      <w:pPr>
        <w:pStyle w:val="whitespace-normal"/>
      </w:pPr>
      <w:r>
        <w:rPr>
          <w:rStyle w:val="Fett"/>
          <w:rFonts w:eastAsiaTheme="majorEastAsia"/>
        </w:rPr>
        <w:t>Hebräisch:</w:t>
      </w:r>
      <w:r>
        <w:t xml:space="preserve"> </w:t>
      </w:r>
      <w:r>
        <w:rPr>
          <w:rtl/>
        </w:rPr>
        <w:t>וְהָיָה כַּאֲשֶׁר־שָׂשׂ יְהוָה עֲלֵיכֶם לְהֵיטִיב אֶתְכֶם וּלְהַרְבּוֹת אֶתְכֶם כֵּן יָשִׂישׂ יְהוָה עֲלֵיכֶם לְהַאֲבִיד אֶתְכֶם וּלְהַשְׁמִיד אֶתְכֶם וְנִסַּחְתֶּם מֵעַל הָֽאֲדָמָה אֲשֶׁר־אַתָּה בָא־שָׁמָּה לְרִשְׁתָּֽהּ׃</w:t>
      </w:r>
    </w:p>
    <w:p w14:paraId="49B3DDA3" w14:textId="77777777" w:rsidR="005D0B3C" w:rsidRDefault="005D0B3C" w:rsidP="005D0B3C">
      <w:pPr>
        <w:pStyle w:val="whitespace-normal"/>
      </w:pPr>
      <w:r>
        <w:rPr>
          <w:rStyle w:val="Fett"/>
          <w:rFonts w:eastAsiaTheme="majorEastAsia"/>
        </w:rPr>
        <w:t>Deutsch:</w:t>
      </w:r>
      <w:r>
        <w:t xml:space="preserve"> Und es wird geschehen: So wie JHWH sich über euch freute, euch wohlzutun und euch zu mehren, so wird JHWH sich über euch freuen, euch zugrunde zu richten und euch zu vertilgen; und ihr werdet herausgerissen werden aus dem Land, wohin du kommst, es in Besitz zu nehmen.</w:t>
      </w:r>
    </w:p>
    <w:p w14:paraId="144A88A2" w14:textId="77777777" w:rsidR="005D0B3C" w:rsidRDefault="004F5CEB" w:rsidP="005D0B3C">
      <w:r>
        <w:rPr>
          <w:noProof/>
        </w:rPr>
        <w:pict w14:anchorId="3579FC57">
          <v:rect id="_x0000_i1807" style="width:0;height:1.5pt" o:hralign="center" o:hrstd="t" o:hr="t" fillcolor="#a0a0a0" stroked="f"/>
        </w:pict>
      </w:r>
    </w:p>
    <w:p w14:paraId="0A68798F" w14:textId="77777777" w:rsidR="005D0B3C" w:rsidRDefault="005D0B3C" w:rsidP="005D0B3C">
      <w:pPr>
        <w:pStyle w:val="whitespace-normal"/>
      </w:pPr>
      <w:r>
        <w:rPr>
          <w:rStyle w:val="Fett"/>
          <w:rFonts w:eastAsiaTheme="majorEastAsia"/>
        </w:rPr>
        <w:lastRenderedPageBreak/>
        <w:t>Kommentar:</w:t>
      </w:r>
      <w:r>
        <w:t xml:space="preserve"> </w:t>
      </w:r>
      <w:r>
        <w:rPr>
          <w:rStyle w:val="Fett"/>
          <w:rFonts w:eastAsiaTheme="majorEastAsia"/>
          <w:rtl/>
        </w:rPr>
        <w:t>וְהָיָה כַּאֲשֶׁר־שָׂשׂ יְהוָה עֲלֵיכֶם לְהֵיטִיב אֶתְכֶם וּלְהַרְבּוֹת אֶתְכֶם כֵּן יָשִׂישׂ יְהוָה עֲלֵיכֶם לְהַאֲבִיד אֶתְכֶם וּלְהַשְׁמִיד אֶתְכֶם וְנִסַּחְתֶּם מֵעַל הָאֲדָמָה אֲשֶׁר־אַתָּה בָא־שָׁמָּה לְרִשְׁתָּהּ</w:t>
      </w:r>
      <w:r>
        <w:rPr>
          <w:rtl/>
        </w:rPr>
        <w:t xml:space="preserve"> </w:t>
      </w:r>
      <w:r>
        <w:t xml:space="preserve">ist ein erschreckender Vergleich: </w:t>
      </w:r>
      <w:r>
        <w:rPr>
          <w:rStyle w:val="Fett"/>
          <w:rFonts w:eastAsiaTheme="majorEastAsia"/>
          <w:rtl/>
        </w:rPr>
        <w:t>וְהָיָה כַּאֲשֶׁר־שָׂשׂ יְהוָה עֲלֵיכֶם לְהֵיטִיב אֶתְכֶם וּלְהַרְבּוֹת אֶתְכֶם כֵּן יָשִׂישׂ יְהוָה עֲלֵיכֶם לְהַאֲבִיד אֶתְכֶם וּלְהַשְׁמִיד אֶתְכֶם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3. Person Maskulinum Singular, Vergleichssatz: </w:t>
      </w:r>
      <w:r>
        <w:rPr>
          <w:rStyle w:val="Fett"/>
          <w:rFonts w:eastAsiaTheme="majorEastAsia"/>
          <w:rtl/>
        </w:rPr>
        <w:t>כַּאֲשֶׁר־שָׂשׂ יְהוָה עֲלֵיכֶם לְהֵיטִיב אֶתְכֶם וּלְהַרְבּוֹת אֶתְכֶם</w:t>
      </w:r>
      <w:r>
        <w:rPr>
          <w:rtl/>
        </w:rPr>
        <w:t xml:space="preserve"> </w:t>
      </w:r>
      <w:r>
        <w:t xml:space="preserve">mit </w:t>
      </w:r>
      <w:r>
        <w:rPr>
          <w:rStyle w:val="Fett"/>
          <w:rFonts w:eastAsiaTheme="majorEastAsia"/>
          <w:rtl/>
        </w:rPr>
        <w:t>שׂושׂ</w:t>
      </w:r>
      <w:r>
        <w:t xml:space="preserve">, Qal Perfekt, 3. Person Maskulinum Singular, „sich freuen", </w:t>
      </w:r>
      <w:r>
        <w:rPr>
          <w:rStyle w:val="Fett"/>
          <w:rFonts w:eastAsiaTheme="majorEastAsia"/>
          <w:rtl/>
        </w:rPr>
        <w:t>יְהוָה</w:t>
      </w:r>
      <w:r>
        <w:rPr>
          <w:rtl/>
        </w:rPr>
        <w:t xml:space="preserve"> </w:t>
      </w:r>
      <w:r>
        <w:t xml:space="preserve">als Subjekt, Präposition </w:t>
      </w:r>
      <w:r>
        <w:rPr>
          <w:rStyle w:val="Fett"/>
          <w:rFonts w:eastAsiaTheme="majorEastAsia"/>
          <w:rtl/>
        </w:rPr>
        <w:t>עַל</w:t>
      </w:r>
      <w:r>
        <w:rPr>
          <w:rtl/>
        </w:rPr>
        <w:t xml:space="preserve"> </w:t>
      </w:r>
      <w:r>
        <w:t xml:space="preserve">mit Suffix 2. Person Plural, zwei Finalsätze mit Hiphil Infinitiv Construct von </w:t>
      </w:r>
      <w:r>
        <w:rPr>
          <w:rStyle w:val="Fett"/>
          <w:rFonts w:eastAsiaTheme="majorEastAsia"/>
          <w:rtl/>
        </w:rPr>
        <w:t>יטב</w:t>
      </w:r>
      <w:r>
        <w:t xml:space="preserve">, „Gutes tun", und </w:t>
      </w:r>
      <w:r>
        <w:rPr>
          <w:rStyle w:val="Fett"/>
          <w:rFonts w:eastAsiaTheme="majorEastAsia"/>
          <w:rtl/>
        </w:rPr>
        <w:t>רבה</w:t>
      </w:r>
      <w:r>
        <w:t xml:space="preserve">, „mehren", jeweils mit Objektpartikel </w:t>
      </w:r>
      <w:r>
        <w:rPr>
          <w:rStyle w:val="Fett"/>
          <w:rFonts w:eastAsiaTheme="majorEastAsia"/>
          <w:rtl/>
        </w:rPr>
        <w:t>אֵת</w:t>
      </w:r>
      <w:r>
        <w:rPr>
          <w:rtl/>
        </w:rPr>
        <w:t xml:space="preserve"> </w:t>
      </w:r>
      <w:r>
        <w:t xml:space="preserve">+ Suffix 2. Person Plural, </w:t>
      </w:r>
      <w:r>
        <w:rPr>
          <w:rStyle w:val="Fett"/>
          <w:rFonts w:eastAsiaTheme="majorEastAsia"/>
          <w:rtl/>
        </w:rPr>
        <w:t>כֵּן</w:t>
      </w:r>
      <w:r>
        <w:t xml:space="preserve">, „so", </w:t>
      </w:r>
      <w:r>
        <w:rPr>
          <w:rStyle w:val="Fett"/>
          <w:rFonts w:eastAsiaTheme="majorEastAsia"/>
          <w:rtl/>
        </w:rPr>
        <w:t>שׂושׂ</w:t>
      </w:r>
      <w:r>
        <w:t xml:space="preserve">, Qal Imperfekt, 3. Person Maskulinum Singular, zwei parallele Finalsätze mit Hiphil Infinitiv Construct von </w:t>
      </w:r>
      <w:r>
        <w:rPr>
          <w:rStyle w:val="Fett"/>
          <w:rFonts w:eastAsiaTheme="majorEastAsia"/>
          <w:rtl/>
        </w:rPr>
        <w:t>אבד</w:t>
      </w:r>
      <w:r>
        <w:rPr>
          <w:rtl/>
        </w:rPr>
        <w:t xml:space="preserve"> </w:t>
      </w:r>
      <w:r>
        <w:t xml:space="preserve">und </w:t>
      </w:r>
      <w:r>
        <w:rPr>
          <w:rStyle w:val="Fett"/>
          <w:rFonts w:eastAsiaTheme="majorEastAsia"/>
          <w:rtl/>
        </w:rPr>
        <w:t>שׁמד</w:t>
      </w:r>
      <w:r>
        <w:t xml:space="preserve">, mit </w:t>
      </w:r>
      <w:r>
        <w:rPr>
          <w:rStyle w:val="Fett"/>
          <w:rFonts w:eastAsiaTheme="majorEastAsia"/>
        </w:rPr>
        <w:t>Waw</w:t>
      </w:r>
      <w:r>
        <w:t xml:space="preserve"> consecutives Perfekt), </w:t>
      </w:r>
      <w:r>
        <w:rPr>
          <w:rStyle w:val="Fett"/>
          <w:rFonts w:eastAsiaTheme="majorEastAsia"/>
          <w:rtl/>
        </w:rPr>
        <w:t>וְנִסַּחְתֶּם מֵעַל הָאֲדָמָה אֲשֶׁר־אַתָּה בָא־שָׁמָּה לְרִשְׁתָּהּ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נסח</w:t>
      </w:r>
      <w:r>
        <w:t xml:space="preserve">, Niphal Perfekt, 2. Person Plural, „herausgerissen werden, ausgerissen werden", </w:t>
      </w:r>
      <w:r>
        <w:rPr>
          <w:rStyle w:val="Fett"/>
          <w:rFonts w:eastAsiaTheme="majorEastAsia"/>
          <w:rtl/>
        </w:rPr>
        <w:t>מֵעַל הָאֲדָמָה</w:t>
      </w:r>
      <w:r>
        <w:t xml:space="preserve">, Relativsatz wie üblich, mit </w:t>
      </w:r>
      <w:r>
        <w:rPr>
          <w:rStyle w:val="Fett"/>
          <w:rFonts w:eastAsiaTheme="majorEastAsia"/>
        </w:rPr>
        <w:t>Waw</w:t>
      </w:r>
      <w:r>
        <w:t xml:space="preserve"> consecutives Perfekt).</w:t>
      </w:r>
    </w:p>
    <w:p w14:paraId="650C1A18" w14:textId="77777777" w:rsidR="005D0B3C" w:rsidRDefault="005D0B3C" w:rsidP="005D0B3C">
      <w:pPr>
        <w:pStyle w:val="whitespace-normal"/>
      </w:pPr>
      <w:r>
        <w:t xml:space="preserve">Der Vers ist einer der theologisch schwierigsten im gesamten Deuteronomium. Der Vergleich: </w:t>
      </w:r>
      <w:r>
        <w:rPr>
          <w:rStyle w:val="Fett"/>
          <w:rFonts w:eastAsiaTheme="majorEastAsia"/>
          <w:rtl/>
        </w:rPr>
        <w:t>וְהָיָה כַּאֲשֶׁר־שָׂשׂ יְהוָה עֲלֵיכֶם לְהֵיטִיב אֶתְכֶם וּלְהַרְבּוֹת אֶתְכֶם כֵּן יָשִׂישׂ יְהוָה עֲלֵיכֶם לְהַאֲבִיד אֶתְכֶם וּלְהַשְׁמִיד אֶתְכֶם</w:t>
      </w:r>
      <w:r>
        <w:rPr>
          <w:rtl/>
        </w:rPr>
        <w:t xml:space="preserve"> </w:t>
      </w:r>
      <w:r>
        <w:t xml:space="preserve">(„und es wird geschehen: so wie JHWH sich freute über euch, euch Gutes zu tun und euch zu mehren, so wird JHWH sich freuen über euch, euch zugrunde zu richten und euch zu vertilgen"). Das Verb </w:t>
      </w:r>
      <w:r>
        <w:rPr>
          <w:rStyle w:val="Fett"/>
          <w:rFonts w:eastAsiaTheme="majorEastAsia"/>
          <w:rtl/>
        </w:rPr>
        <w:t>שׂושׂ</w:t>
      </w:r>
      <w:r>
        <w:rPr>
          <w:rtl/>
        </w:rPr>
        <w:t xml:space="preserve"> </w:t>
      </w:r>
      <w:r>
        <w:t xml:space="preserve">(„sich freuen") wird sowohl für Segen als auch für Fluch verwendet – erschreckender Parallelismus. JHWH wird mit derselben Intensität, mit der er Israel gesegnet hat, Israel nun verfluchen. Die Aussage: </w:t>
      </w:r>
      <w:r>
        <w:rPr>
          <w:rStyle w:val="Fett"/>
          <w:rFonts w:eastAsiaTheme="majorEastAsia"/>
          <w:rtl/>
        </w:rPr>
        <w:t>וְנִסַּחְתֶּם מֵעַל הָאֲדָמָה אֲשֶׁר־אַתָּה בָא־שָׁמָּה לְרִשְׁתָּהּ</w:t>
      </w:r>
      <w:r>
        <w:rPr>
          <w:rtl/>
        </w:rPr>
        <w:t xml:space="preserve"> </w:t>
      </w:r>
      <w:r>
        <w:t xml:space="preserve">(„und herausgerissen werdet ihr aus dem Land, wohin du kommst, es in Besitz zu nehmen"). Das Verb </w:t>
      </w:r>
      <w:r>
        <w:rPr>
          <w:rStyle w:val="Fett"/>
          <w:rFonts w:eastAsiaTheme="majorEastAsia"/>
          <w:rtl/>
        </w:rPr>
        <w:t>נסח</w:t>
      </w:r>
      <w:r>
        <w:rPr>
          <w:rtl/>
        </w:rPr>
        <w:t xml:space="preserve"> </w:t>
      </w:r>
      <w:r>
        <w:t>im Niphal („herausgerissen werden, ausgerissen werden") – gewaltsame Entwurzelung aus dem Land (Exil).</w:t>
      </w:r>
    </w:p>
    <w:p w14:paraId="1C51FEEF" w14:textId="77777777" w:rsidR="005D0B3C" w:rsidRDefault="005D0B3C" w:rsidP="005D0B3C">
      <w:pPr>
        <w:pStyle w:val="whitespace-normal"/>
      </w:pPr>
      <w:r>
        <w:rPr>
          <w:rStyle w:val="Fett"/>
          <w:rFonts w:eastAsiaTheme="majorEastAsia"/>
        </w:rPr>
        <w:t>Die Satzstruktur:</w:t>
      </w:r>
      <w:r>
        <w:t xml:space="preserve"> Vergleich mit Aussage (und es wird geschehen: so wie JHWH sich freute über euch, euch Gutes zu tun und euch zu mehren, so wird JHWH sich freuen über euch, euch zugrunde zu richten und euch zu vertilgen; und herausgerissen werdet ihr aus dem Land, wohin du kommst, es in Besitz zu nehmen).</w:t>
      </w:r>
    </w:p>
    <w:p w14:paraId="7A612DA9" w14:textId="0B7A2CDB" w:rsidR="005D0B3C" w:rsidRDefault="005D0B3C" w:rsidP="00564C2A">
      <w:pPr>
        <w:pStyle w:val="whitespace-normal"/>
      </w:pPr>
      <w:r>
        <w:rPr>
          <w:rStyle w:val="Fett"/>
          <w:rFonts w:eastAsiaTheme="majorEastAsia"/>
        </w:rPr>
        <w:t>Der Vers beschreibt:</w:t>
      </w:r>
      <w:r>
        <w:t xml:space="preserve"> Erschreckender Parallelismus – JHWH wird mit derselben Intensität verfluchen, wie er gesegnet hat; Exil.</w:t>
      </w:r>
    </w:p>
    <w:p w14:paraId="7D21B1C3" w14:textId="77777777" w:rsidR="005D0B3C" w:rsidRPr="008D48A3" w:rsidRDefault="005D0B3C" w:rsidP="008D48A3">
      <w:pPr>
        <w:pStyle w:val="Bibelberschrift"/>
      </w:pPr>
      <w:r w:rsidRPr="008D48A3">
        <w:rPr>
          <w:rStyle w:val="Fett"/>
          <w:b/>
          <w:bCs w:val="0"/>
        </w:rPr>
        <w:t>Deuteronomium 28,64</w:t>
      </w:r>
    </w:p>
    <w:p w14:paraId="10AD9255" w14:textId="77777777" w:rsidR="005D0B3C" w:rsidRDefault="005D0B3C" w:rsidP="005D0B3C">
      <w:pPr>
        <w:pStyle w:val="whitespace-normal"/>
      </w:pPr>
      <w:r>
        <w:rPr>
          <w:rStyle w:val="Fett"/>
          <w:rFonts w:eastAsiaTheme="majorEastAsia"/>
        </w:rPr>
        <w:t>Hebräisch:</w:t>
      </w:r>
      <w:r>
        <w:t xml:space="preserve"> </w:t>
      </w:r>
      <w:r>
        <w:rPr>
          <w:rtl/>
        </w:rPr>
        <w:t>וֶהֱפִֽיצְךָ יְהוָה בְּכָל־הָעַמִּים מִקְצֵה הָאָרֶץ וְעַד־קְצֵה הָאָרֶץ וְעָבַדְתָּ שָּׁם אֱלֹהִים אֲחֵרִים אֲשֶׁר לֹא־יָדַעְתָּ אַתָּה וַאֲבֹתֶיךָ עֵץ וָאָֽבֶן׃</w:t>
      </w:r>
    </w:p>
    <w:p w14:paraId="6DD39088" w14:textId="77777777" w:rsidR="005D0B3C" w:rsidRDefault="005D0B3C" w:rsidP="005D0B3C">
      <w:pPr>
        <w:pStyle w:val="whitespace-normal"/>
      </w:pPr>
      <w:r>
        <w:rPr>
          <w:rStyle w:val="Fett"/>
          <w:rFonts w:eastAsiaTheme="majorEastAsia"/>
        </w:rPr>
        <w:t>Deutsch:</w:t>
      </w:r>
      <w:r>
        <w:t xml:space="preserve"> Und JHWH wird dich zerstreuen unter alle Völker, von einem Ende der Erde bis zum anderen Ende der Erde; und du wirst dort dienen anderen Göttern, die du nicht gekannt hast, du und deine Väter – Holz und Stein.</w:t>
      </w:r>
    </w:p>
    <w:p w14:paraId="685CA073" w14:textId="77777777" w:rsidR="005D0B3C" w:rsidRDefault="004F5CEB" w:rsidP="005D0B3C">
      <w:r>
        <w:rPr>
          <w:noProof/>
        </w:rPr>
        <w:pict w14:anchorId="5B5D9656">
          <v:rect id="_x0000_i1808" style="width:0;height:1.5pt" o:hralign="center" o:hrstd="t" o:hr="t" fillcolor="#a0a0a0" stroked="f"/>
        </w:pict>
      </w:r>
    </w:p>
    <w:p w14:paraId="44843D1C" w14:textId="77777777" w:rsidR="005D0B3C" w:rsidRDefault="005D0B3C" w:rsidP="005D0B3C">
      <w:pPr>
        <w:pStyle w:val="whitespace-normal"/>
      </w:pPr>
      <w:r>
        <w:rPr>
          <w:rStyle w:val="Fett"/>
          <w:rFonts w:eastAsiaTheme="majorEastAsia"/>
        </w:rPr>
        <w:t>Kommentar:</w:t>
      </w:r>
      <w:r>
        <w:t xml:space="preserve"> </w:t>
      </w:r>
      <w:r>
        <w:rPr>
          <w:rStyle w:val="Fett"/>
          <w:rFonts w:eastAsiaTheme="majorEastAsia"/>
          <w:rtl/>
        </w:rPr>
        <w:t>וֶהֱפִיצְךָ יְהוָה בְּכָל־הָעַמִּים מִקְצֵה הָאָרֶץ וְעַד־קְצֵה הָאָרֶץ וְעָבַדְתָּ שָּׁם אֱלֹהִים אֲחֵרִים אֲשֶׁר לֹא־יָדַעְתָּ אַתָּה וַאֲבֹתֶיךָ עֵץ וָאָבֶן</w:t>
      </w:r>
      <w:r>
        <w:rPr>
          <w:rtl/>
        </w:rPr>
        <w:t xml:space="preserve"> </w:t>
      </w:r>
      <w:r>
        <w:t xml:space="preserve">– Wiederaufnahme von V. 36-37: </w:t>
      </w:r>
      <w:r>
        <w:rPr>
          <w:rStyle w:val="Fett"/>
          <w:rFonts w:eastAsiaTheme="majorEastAsia"/>
          <w:rtl/>
        </w:rPr>
        <w:t>וֶהֱפִיצְךָ יְהוָה בְּכָל־הָעַמִּים מִקְצֵה הָאָרֶץ וְעַד־קְצֵה הָאָרֶץ</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פוץ</w:t>
      </w:r>
      <w:r>
        <w:t xml:space="preserve">, Hiphil Perfekt, 3. Person Maskulinum Singular, </w:t>
      </w:r>
      <w:r>
        <w:lastRenderedPageBreak/>
        <w:t xml:space="preserve">„zerstreuen", mit Suffix 2. Person Maskulinum Singular, </w:t>
      </w:r>
      <w:r>
        <w:rPr>
          <w:rStyle w:val="Fett"/>
          <w:rFonts w:eastAsiaTheme="majorEastAsia"/>
          <w:rtl/>
        </w:rPr>
        <w:t>יְהוָה</w:t>
      </w:r>
      <w:r>
        <w:rPr>
          <w:rtl/>
        </w:rPr>
        <w:t xml:space="preserve"> </w:t>
      </w:r>
      <w:r>
        <w:t xml:space="preserve">als Subjekt, </w:t>
      </w:r>
      <w:r>
        <w:rPr>
          <w:rStyle w:val="Fett"/>
          <w:rFonts w:eastAsiaTheme="majorEastAsia"/>
          <w:rtl/>
        </w:rPr>
        <w:t>בְּכָל־הָעַמִּים</w:t>
      </w:r>
      <w:r>
        <w:t xml:space="preserve">, Merismus: </w:t>
      </w:r>
      <w:r>
        <w:rPr>
          <w:rStyle w:val="Fett"/>
          <w:rFonts w:eastAsiaTheme="majorEastAsia"/>
          <w:rtl/>
        </w:rPr>
        <w:t>מִקְצֵה הָאָרֶץ וְעַד־קְצֵה הָאָרֶץ</w:t>
      </w:r>
      <w:r>
        <w:t xml:space="preserve">, mit </w:t>
      </w:r>
      <w:r>
        <w:rPr>
          <w:rStyle w:val="Fett"/>
          <w:rFonts w:eastAsiaTheme="majorEastAsia"/>
        </w:rPr>
        <w:t>Waw</w:t>
      </w:r>
      <w:r>
        <w:t xml:space="preserve"> consecutives Perfekt), </w:t>
      </w:r>
      <w:r>
        <w:rPr>
          <w:rStyle w:val="Fett"/>
          <w:rFonts w:eastAsiaTheme="majorEastAsia"/>
          <w:rtl/>
        </w:rPr>
        <w:t>וְעָבַדְתָּ שָּׁם אֱלֹהִים אֲחֵרִים אֲשֶׁר לֹא־יָדַעְתָּ אַתָּה וַאֲבֹתֶיךָ עֵץ וָאָבֶן</w:t>
      </w:r>
      <w:r>
        <w:rPr>
          <w:rtl/>
        </w:rPr>
        <w:t xml:space="preserve"> </w:t>
      </w:r>
      <w:r>
        <w:t>(wie V. 36).</w:t>
      </w:r>
    </w:p>
    <w:p w14:paraId="20293324" w14:textId="77777777" w:rsidR="005D0B3C" w:rsidRDefault="005D0B3C" w:rsidP="005D0B3C">
      <w:pPr>
        <w:pStyle w:val="whitespace-normal"/>
      </w:pPr>
      <w:r>
        <w:t xml:space="preserve">Der Vers beschreibt die weltweite Zerstreuung. Die erste Aussage: </w:t>
      </w:r>
      <w:r>
        <w:rPr>
          <w:rStyle w:val="Fett"/>
          <w:rFonts w:eastAsiaTheme="majorEastAsia"/>
          <w:rtl/>
        </w:rPr>
        <w:t>וֶהֱפִיצְךָ יְהוָה בְּכָל־הָעַמִּים מִקְצֵה הָאָרֶץ וְעַד־קְצֵה הָאָרֶץ</w:t>
      </w:r>
      <w:r>
        <w:rPr>
          <w:rtl/>
        </w:rPr>
        <w:t xml:space="preserve"> </w:t>
      </w:r>
      <w:r>
        <w:t xml:space="preserve">(„und zerstreuen wird dich JHWH unter alle Völker, von einem Ende der Erde bis zum anderen Ende der Erde"). Das Verb </w:t>
      </w:r>
      <w:r>
        <w:rPr>
          <w:rStyle w:val="Fett"/>
          <w:rFonts w:eastAsiaTheme="majorEastAsia"/>
          <w:rtl/>
        </w:rPr>
        <w:t>פוץ</w:t>
      </w:r>
      <w:r>
        <w:rPr>
          <w:rtl/>
        </w:rPr>
        <w:t xml:space="preserve"> </w:t>
      </w:r>
      <w:r>
        <w:t xml:space="preserve">im Hiphil („zerstreuen") beschreibt die Diaspora. Der Merismus </w:t>
      </w:r>
      <w:r>
        <w:rPr>
          <w:rStyle w:val="Fett"/>
          <w:rFonts w:eastAsiaTheme="majorEastAsia"/>
          <w:rtl/>
        </w:rPr>
        <w:t>מִקְצֵה הָאָרֶץ וְעַד־קְצֵה הָאָרֶץ</w:t>
      </w:r>
      <w:r>
        <w:rPr>
          <w:rtl/>
        </w:rPr>
        <w:t xml:space="preserve"> </w:t>
      </w:r>
      <w:r>
        <w:t xml:space="preserve">(„von einem Ende der Erde bis zum anderen Ende der Erde") betont: weltweite Zerstreuung (vgl. 4,27; 30,4). Die zweite Aussage wie V. 36: </w:t>
      </w:r>
      <w:r>
        <w:rPr>
          <w:rStyle w:val="Fett"/>
          <w:rFonts w:eastAsiaTheme="majorEastAsia"/>
          <w:rtl/>
        </w:rPr>
        <w:t>וְעָבַדְתָּ שָּׁם אֱלֹהִים אֲחֵרִים אֲשֶׁר לֹא־יָדַעְתָּ אַתָּה וַאֲבֹתֶיךָ עֵץ וָאָבֶן</w:t>
      </w:r>
      <w:r>
        <w:rPr>
          <w:rtl/>
        </w:rPr>
        <w:t xml:space="preserve"> </w:t>
      </w:r>
      <w:r>
        <w:t>(„und dienen wirst du dort anderen Göttern, die du nicht gekannt hast, du und deine Väter – Holz und Stein"). In der Diaspora wird Israel gezwungen sein, fremden Göttern zu dienen.</w:t>
      </w:r>
    </w:p>
    <w:p w14:paraId="679BA8FE" w14:textId="77777777" w:rsidR="005D0B3C" w:rsidRDefault="005D0B3C" w:rsidP="005D0B3C">
      <w:pPr>
        <w:pStyle w:val="whitespace-normal"/>
      </w:pPr>
      <w:r>
        <w:rPr>
          <w:rStyle w:val="Fett"/>
          <w:rFonts w:eastAsiaTheme="majorEastAsia"/>
        </w:rPr>
        <w:t>Die Satzstruktur:</w:t>
      </w:r>
      <w:r>
        <w:t xml:space="preserve"> Zwei Aussagen (und zerstreuen wird dich JHWH unter alle Völker, von einem Ende der Erde bis zum anderen Ende der Erde; und dienen wirst du dort anderen Göttern, die du nicht gekannt hast, du und deine Väter – Holz und Stein).</w:t>
      </w:r>
    </w:p>
    <w:p w14:paraId="59AF0BF6" w14:textId="77777777" w:rsidR="005D0B3C" w:rsidRDefault="005D0B3C" w:rsidP="005D0B3C">
      <w:pPr>
        <w:pStyle w:val="whitespace-normal"/>
      </w:pPr>
      <w:r>
        <w:rPr>
          <w:rStyle w:val="Fett"/>
          <w:rFonts w:eastAsiaTheme="majorEastAsia"/>
        </w:rPr>
        <w:t>Der Vers beschreibt:</w:t>
      </w:r>
      <w:r>
        <w:t xml:space="preserve"> Weltweite Zerstreuung (Diaspora) – Exil zu allen Völkern, dort Götzendienst.</w:t>
      </w:r>
    </w:p>
    <w:p w14:paraId="1F4D780F" w14:textId="77777777" w:rsidR="005D0B3C" w:rsidRPr="008D48A3" w:rsidRDefault="005D0B3C" w:rsidP="008D48A3">
      <w:pPr>
        <w:pStyle w:val="Bibelberschrift"/>
      </w:pPr>
      <w:r w:rsidRPr="008D48A3">
        <w:rPr>
          <w:rStyle w:val="Fett"/>
          <w:b/>
          <w:bCs w:val="0"/>
        </w:rPr>
        <w:t>Deuteronomium 28,65</w:t>
      </w:r>
    </w:p>
    <w:p w14:paraId="7A03A406" w14:textId="77777777" w:rsidR="005D0B3C" w:rsidRDefault="005D0B3C" w:rsidP="005D0B3C">
      <w:pPr>
        <w:pStyle w:val="whitespace-normal"/>
      </w:pPr>
      <w:r>
        <w:rPr>
          <w:rStyle w:val="Fett"/>
          <w:rFonts w:eastAsiaTheme="majorEastAsia"/>
        </w:rPr>
        <w:t>Hebräisch:</w:t>
      </w:r>
      <w:r>
        <w:t xml:space="preserve"> </w:t>
      </w:r>
      <w:r>
        <w:rPr>
          <w:rtl/>
        </w:rPr>
        <w:t>וּבַגּוֹיִם הָהֵם לֹא תַרְגִּיעַ וְלֹא־יִהְיֶה מָנוֹחַ לְכַף־רַגְלֶךָ וְנָתַן יְהוָה לְךָ שָׁם לֵב רַגָּז וְכִלְיוֹן עֵינַיִם וְדַֽאֲבוֹן נָֽפֶשׁ׃</w:t>
      </w:r>
    </w:p>
    <w:p w14:paraId="78B86C71" w14:textId="77777777" w:rsidR="005D0B3C" w:rsidRDefault="005D0B3C" w:rsidP="005D0B3C">
      <w:pPr>
        <w:pStyle w:val="whitespace-normal"/>
      </w:pPr>
      <w:r>
        <w:rPr>
          <w:rStyle w:val="Fett"/>
          <w:rFonts w:eastAsiaTheme="majorEastAsia"/>
        </w:rPr>
        <w:t>Deutsch:</w:t>
      </w:r>
      <w:r>
        <w:t xml:space="preserve"> Und unter jenen Nationen wirst du nicht rasten, und deine Fußsohle wird keine Ruhestätte finden; und JHWH wird dir dort geben ein zitterndes Herz, Erlöschen der Augen und Verschmachten der Seele.</w:t>
      </w:r>
    </w:p>
    <w:p w14:paraId="56252B67" w14:textId="77777777" w:rsidR="005D0B3C" w:rsidRDefault="004F5CEB" w:rsidP="005D0B3C">
      <w:r>
        <w:rPr>
          <w:noProof/>
        </w:rPr>
        <w:pict w14:anchorId="03A26DB2">
          <v:rect id="_x0000_i1809" style="width:0;height:1.5pt" o:hralign="center" o:hrstd="t" o:hr="t" fillcolor="#a0a0a0" stroked="f"/>
        </w:pict>
      </w:r>
    </w:p>
    <w:p w14:paraId="6AFEEE19" w14:textId="77777777" w:rsidR="005D0B3C" w:rsidRDefault="005D0B3C" w:rsidP="005D0B3C">
      <w:pPr>
        <w:pStyle w:val="whitespace-normal"/>
      </w:pPr>
      <w:r>
        <w:rPr>
          <w:rStyle w:val="Fett"/>
          <w:rFonts w:eastAsiaTheme="majorEastAsia"/>
        </w:rPr>
        <w:t>Kommentar:</w:t>
      </w:r>
      <w:r>
        <w:t xml:space="preserve"> </w:t>
      </w:r>
      <w:r>
        <w:rPr>
          <w:rStyle w:val="Fett"/>
          <w:rFonts w:eastAsiaTheme="majorEastAsia"/>
          <w:rtl/>
        </w:rPr>
        <w:t>וּבַגּוֹיִם הָהֵם לֹא תַרְגִּיעַ וְלֹא־יִהְיֶה מָנוֹחַ לְכַף־רַגְלֶךָ וְנָתַן יְהוָה לְךָ שָׁם לֵב רַגָּז וְכִלְיוֹן עֵינַיִם וְדַאֲבוֹן נָפֶשׁ</w:t>
      </w:r>
      <w:r>
        <w:rPr>
          <w:rtl/>
        </w:rPr>
        <w:t xml:space="preserve"> </w:t>
      </w:r>
      <w:r>
        <w:t xml:space="preserve">sind drei Aussagen: </w:t>
      </w:r>
      <w:r>
        <w:rPr>
          <w:rStyle w:val="Fett"/>
          <w:rFonts w:eastAsiaTheme="majorEastAsia"/>
          <w:rtl/>
        </w:rPr>
        <w:t>וּבַגּוֹיִם הָהֵם לֹא תַרְגִּיעַ</w:t>
      </w:r>
      <w:r>
        <w:rPr>
          <w:rtl/>
        </w:rPr>
        <w:t xml:space="preserve"> </w:t>
      </w:r>
      <w:r>
        <w:t xml:space="preserve">(koordiniert durch </w:t>
      </w:r>
      <w:r>
        <w:rPr>
          <w:rStyle w:val="Fett"/>
          <w:rFonts w:eastAsiaTheme="majorEastAsia"/>
          <w:rtl/>
        </w:rPr>
        <w:t>וּ</w:t>
      </w:r>
      <w:r>
        <w:rPr>
          <w:rtl/>
        </w:rPr>
        <w:t xml:space="preserve"> </w:t>
      </w:r>
      <w:r>
        <w:t xml:space="preserve">mit Präposition </w:t>
      </w:r>
      <w:r>
        <w:rPr>
          <w:rStyle w:val="Fett"/>
          <w:rFonts w:eastAsiaTheme="majorEastAsia"/>
          <w:rtl/>
        </w:rPr>
        <w:t>בְּ</w:t>
      </w:r>
      <w:r>
        <w:t xml:space="preserve">, </w:t>
      </w:r>
      <w:r>
        <w:rPr>
          <w:rStyle w:val="Fett"/>
          <w:rFonts w:eastAsiaTheme="majorEastAsia"/>
          <w:rtl/>
        </w:rPr>
        <w:t>גּוֹי</w:t>
      </w:r>
      <w:r>
        <w:rPr>
          <w:rtl/>
        </w:rPr>
        <w:t xml:space="preserve"> </w:t>
      </w:r>
      <w:r>
        <w:t xml:space="preserve">Plural mit Artikel, </w:t>
      </w:r>
      <w:r>
        <w:rPr>
          <w:rStyle w:val="Fett"/>
          <w:rFonts w:eastAsiaTheme="majorEastAsia"/>
          <w:rtl/>
        </w:rPr>
        <w:t>הֵם</w:t>
      </w:r>
      <w:r>
        <w:t xml:space="preserve">, Negation, </w:t>
      </w:r>
      <w:r>
        <w:rPr>
          <w:rStyle w:val="Fett"/>
          <w:rFonts w:eastAsiaTheme="majorEastAsia"/>
          <w:rtl/>
        </w:rPr>
        <w:t>רגע</w:t>
      </w:r>
      <w:r>
        <w:t xml:space="preserve">, Hiphil Imperfekt, 2. Person Maskulinum Singular, „rasten, Ruhe finden"), </w:t>
      </w:r>
      <w:r>
        <w:rPr>
          <w:rStyle w:val="Fett"/>
          <w:rFonts w:eastAsiaTheme="majorEastAsia"/>
          <w:rtl/>
        </w:rPr>
        <w:t>וְלֹא־יִהְיֶה מָנוֹחַ לְכַף־רַגְלֶךָ</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היה</w:t>
      </w:r>
      <w:r>
        <w:t xml:space="preserve">, Qal Imperfekt, 3. Person Maskulinum Singular, </w:t>
      </w:r>
      <w:r>
        <w:rPr>
          <w:rStyle w:val="Fett"/>
          <w:rFonts w:eastAsiaTheme="majorEastAsia"/>
          <w:rtl/>
        </w:rPr>
        <w:t>מָנוֹחַ</w:t>
      </w:r>
      <w:r>
        <w:t xml:space="preserve">, „Ruhestätte, Ruhe", Präposition </w:t>
      </w:r>
      <w:r>
        <w:rPr>
          <w:rStyle w:val="Fett"/>
          <w:rFonts w:eastAsiaTheme="majorEastAsia"/>
          <w:rtl/>
        </w:rPr>
        <w:t>לְ</w:t>
      </w:r>
      <w:r>
        <w:rPr>
          <w:rtl/>
        </w:rPr>
        <w:t xml:space="preserve"> </w:t>
      </w:r>
      <w:r>
        <w:t xml:space="preserve">mit </w:t>
      </w:r>
      <w:r>
        <w:rPr>
          <w:rStyle w:val="Fett"/>
          <w:rFonts w:eastAsiaTheme="majorEastAsia"/>
          <w:rtl/>
        </w:rPr>
        <w:t>כַף־רֶגֶל</w:t>
      </w:r>
      <w:r>
        <w:rPr>
          <w:rtl/>
        </w:rPr>
        <w:t xml:space="preserve"> </w:t>
      </w:r>
      <w:r>
        <w:t xml:space="preserve">mit Suffix), </w:t>
      </w:r>
      <w:r>
        <w:rPr>
          <w:rStyle w:val="Fett"/>
          <w:rFonts w:eastAsiaTheme="majorEastAsia"/>
          <w:rtl/>
        </w:rPr>
        <w:t>וְנָתַן יְהוָה לְךָ שָׁם לֵב רַגָּז וְכִלְיוֹן עֵינַיִם וְדַאֲבוֹן נָפֶשׁ</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נתן</w:t>
      </w:r>
      <w:r>
        <w:t xml:space="preserve">, Qal Perfekt, 3. Person Maskulinum Singular, </w:t>
      </w:r>
      <w:r>
        <w:rPr>
          <w:rStyle w:val="Fett"/>
          <w:rFonts w:eastAsiaTheme="majorEastAsia"/>
          <w:rtl/>
        </w:rPr>
        <w:t>יְהוָה</w:t>
      </w:r>
      <w:r>
        <w:rPr>
          <w:rtl/>
        </w:rPr>
        <w:t xml:space="preserve"> </w:t>
      </w:r>
      <w:r>
        <w:t xml:space="preserve">als Subjekt, </w:t>
      </w:r>
      <w:r>
        <w:rPr>
          <w:rStyle w:val="Fett"/>
          <w:rFonts w:eastAsiaTheme="majorEastAsia"/>
          <w:rtl/>
        </w:rPr>
        <w:t>לְךָ</w:t>
      </w:r>
      <w:r>
        <w:t xml:space="preserve">, </w:t>
      </w:r>
      <w:r>
        <w:rPr>
          <w:rStyle w:val="Fett"/>
          <w:rFonts w:eastAsiaTheme="majorEastAsia"/>
          <w:rtl/>
        </w:rPr>
        <w:t>שָׁם</w:t>
      </w:r>
      <w:r>
        <w:t xml:space="preserve">, drei Objekte: </w:t>
      </w:r>
      <w:r>
        <w:rPr>
          <w:rStyle w:val="Fett"/>
          <w:rFonts w:eastAsiaTheme="majorEastAsia"/>
          <w:rtl/>
        </w:rPr>
        <w:t>לֵב רַגָּז</w:t>
      </w:r>
      <w:r>
        <w:t xml:space="preserve">, „zitterndes Herz", </w:t>
      </w:r>
      <w:r>
        <w:rPr>
          <w:rStyle w:val="Fett"/>
          <w:rFonts w:eastAsiaTheme="majorEastAsia"/>
          <w:rtl/>
        </w:rPr>
        <w:t>כִּלְיוֹן עֵינַיִם</w:t>
      </w:r>
      <w:r>
        <w:t xml:space="preserve">, „Erlöschen der Augen", </w:t>
      </w:r>
      <w:r>
        <w:rPr>
          <w:rStyle w:val="Fett"/>
          <w:rFonts w:eastAsiaTheme="majorEastAsia"/>
          <w:rtl/>
        </w:rPr>
        <w:t>דַּאֲבוֹן נָפֶשׁ</w:t>
      </w:r>
      <w:r>
        <w:t xml:space="preserve">, „Verschmachten der Seele", mit </w:t>
      </w:r>
      <w:r>
        <w:rPr>
          <w:rStyle w:val="Fett"/>
          <w:rFonts w:eastAsiaTheme="majorEastAsia"/>
        </w:rPr>
        <w:t>Waw</w:t>
      </w:r>
      <w:r>
        <w:t xml:space="preserve"> consecutives Perfekt).</w:t>
      </w:r>
    </w:p>
    <w:p w14:paraId="5101338F" w14:textId="77777777" w:rsidR="005D0B3C" w:rsidRDefault="005D0B3C" w:rsidP="005D0B3C">
      <w:pPr>
        <w:pStyle w:val="whitespace-normal"/>
      </w:pPr>
      <w:r>
        <w:t xml:space="preserve">Der Vers beschreibt die Ruhelosigkeit in der Diaspora. Die erste Aussage: </w:t>
      </w:r>
      <w:r>
        <w:rPr>
          <w:rStyle w:val="Fett"/>
          <w:rFonts w:eastAsiaTheme="majorEastAsia"/>
          <w:rtl/>
        </w:rPr>
        <w:t>וּבַגּוֹיִם הָהֵם לֹא תַרְגִּיעַ</w:t>
      </w:r>
      <w:r>
        <w:rPr>
          <w:rtl/>
        </w:rPr>
        <w:t xml:space="preserve"> </w:t>
      </w:r>
      <w:r>
        <w:t xml:space="preserve">(„und unter jenen Nationen wirst du nicht rasten"). Keine Ruhe, keine Sicherheit im Exil. Die zweite Aussage: </w:t>
      </w:r>
      <w:r>
        <w:rPr>
          <w:rStyle w:val="Fett"/>
          <w:rFonts w:eastAsiaTheme="majorEastAsia"/>
          <w:rtl/>
        </w:rPr>
        <w:t>וְלֹא־יִהְיֶה מָנוֹחַ לְכַף־רַגְלֶךָ</w:t>
      </w:r>
      <w:r>
        <w:rPr>
          <w:rtl/>
        </w:rPr>
        <w:t xml:space="preserve"> </w:t>
      </w:r>
      <w:r>
        <w:t xml:space="preserve">(„und nicht sein wird Ruhestätte für die Sohle deines Fußes"). Die Formulierung </w:t>
      </w:r>
      <w:r>
        <w:rPr>
          <w:rStyle w:val="Fett"/>
          <w:rFonts w:eastAsiaTheme="majorEastAsia"/>
          <w:rtl/>
        </w:rPr>
        <w:t>מָנוֹחַ לְכַף־רַגְלֶךָ</w:t>
      </w:r>
      <w:r>
        <w:rPr>
          <w:rtl/>
        </w:rPr>
        <w:t xml:space="preserve"> </w:t>
      </w:r>
      <w:r>
        <w:t xml:space="preserve">(„Ruhestätte für die Fußsohle") erinnert an die Taube in der Sintflut (Gen 8,9), die keinen Platz zum Landen fand – Symbol der Heimatlosigkeit. Die dritte Aussage: </w:t>
      </w:r>
      <w:r>
        <w:rPr>
          <w:rStyle w:val="Fett"/>
          <w:rFonts w:eastAsiaTheme="majorEastAsia"/>
          <w:rtl/>
        </w:rPr>
        <w:t>וְנָתַן יְהוָה לְךָ שָׁם לֵב רַגָּז וְכִלְיוֹן עֵינַיִם וְדַאֲבוֹן נָפֶשׁ</w:t>
      </w:r>
      <w:r>
        <w:rPr>
          <w:rtl/>
        </w:rPr>
        <w:t xml:space="preserve"> </w:t>
      </w:r>
      <w:r>
        <w:t xml:space="preserve">(„und </w:t>
      </w:r>
      <w:r>
        <w:lastRenderedPageBreak/>
        <w:t xml:space="preserve">geben wird JHWH dir dort ein zitterndes Herz, Erlöschen der Augen und Verschmachten der Seele"). Drei Begriffe beschreiben inneres Leiden: </w:t>
      </w:r>
      <w:r>
        <w:rPr>
          <w:rStyle w:val="Fett"/>
          <w:rFonts w:eastAsiaTheme="majorEastAsia"/>
          <w:rtl/>
        </w:rPr>
        <w:t>לֵב רַגָּז</w:t>
      </w:r>
      <w:r>
        <w:rPr>
          <w:rtl/>
        </w:rPr>
        <w:t xml:space="preserve"> </w:t>
      </w:r>
      <w:r>
        <w:t xml:space="preserve">(„zitterndes Herz") – ständige Angst. </w:t>
      </w:r>
      <w:r>
        <w:rPr>
          <w:rStyle w:val="Fett"/>
          <w:rFonts w:eastAsiaTheme="majorEastAsia"/>
          <w:rtl/>
        </w:rPr>
        <w:t>כִּלְיוֹן עֵינַיִם</w:t>
      </w:r>
      <w:r>
        <w:rPr>
          <w:rtl/>
        </w:rPr>
        <w:t xml:space="preserve"> </w:t>
      </w:r>
      <w:r>
        <w:t xml:space="preserve">(„Erlöschen der Augen") – Schwinden der Hoffnung, müde Augen vom Warten auf Rettung. </w:t>
      </w:r>
      <w:r>
        <w:rPr>
          <w:rStyle w:val="Fett"/>
          <w:rFonts w:eastAsiaTheme="majorEastAsia"/>
          <w:rtl/>
        </w:rPr>
        <w:t>דַּאֲבוֹן נָפֶשׁ</w:t>
      </w:r>
      <w:r>
        <w:rPr>
          <w:rtl/>
        </w:rPr>
        <w:t xml:space="preserve"> </w:t>
      </w:r>
      <w:r>
        <w:t>(„Verschmachten der Seele") – seelische Verzweiflung.</w:t>
      </w:r>
    </w:p>
    <w:p w14:paraId="3623E62B" w14:textId="77777777" w:rsidR="005D0B3C" w:rsidRDefault="005D0B3C" w:rsidP="005D0B3C">
      <w:pPr>
        <w:pStyle w:val="whitespace-normal"/>
      </w:pPr>
      <w:r>
        <w:rPr>
          <w:rStyle w:val="Fett"/>
          <w:rFonts w:eastAsiaTheme="majorEastAsia"/>
        </w:rPr>
        <w:t>Die Satzstruktur:</w:t>
      </w:r>
      <w:r>
        <w:t xml:space="preserve"> Drei Aussagen (und unter jenen Nationen wirst du nicht rasten, und nicht sein wird Ruhestätte für die Sohle deines Fußes; und geben wird JHWH dir dort ein zitterndes Herz, Erlöschen der Augen und Verschmachten der Seele).</w:t>
      </w:r>
    </w:p>
    <w:p w14:paraId="6824195C" w14:textId="44091B99" w:rsidR="005D0B3C" w:rsidRDefault="005D0B3C" w:rsidP="00564C2A">
      <w:pPr>
        <w:pStyle w:val="whitespace-normal"/>
      </w:pPr>
      <w:r>
        <w:rPr>
          <w:rStyle w:val="Fett"/>
          <w:rFonts w:eastAsiaTheme="majorEastAsia"/>
        </w:rPr>
        <w:t>Der Vers beschreibt:</w:t>
      </w:r>
      <w:r>
        <w:t xml:space="preserve"> Ruhelosigkeit in der Diaspora – keine äußere Ruhe, inneres Leiden (Angst, Hoffnungslosigkeit, Verzweiflung).</w:t>
      </w:r>
    </w:p>
    <w:p w14:paraId="4BEDD4CF" w14:textId="77777777" w:rsidR="005D0B3C" w:rsidRPr="008D48A3" w:rsidRDefault="005D0B3C" w:rsidP="008D48A3">
      <w:pPr>
        <w:pStyle w:val="Bibelberschrift"/>
      </w:pPr>
      <w:r w:rsidRPr="008D48A3">
        <w:rPr>
          <w:rStyle w:val="Fett"/>
          <w:b/>
          <w:bCs w:val="0"/>
        </w:rPr>
        <w:t>Deuteronomium 28,66</w:t>
      </w:r>
    </w:p>
    <w:p w14:paraId="7E09E2BC" w14:textId="77777777" w:rsidR="005D0B3C" w:rsidRDefault="005D0B3C" w:rsidP="005D0B3C">
      <w:pPr>
        <w:pStyle w:val="whitespace-normal"/>
      </w:pPr>
      <w:r>
        <w:rPr>
          <w:rStyle w:val="Fett"/>
          <w:rFonts w:eastAsiaTheme="majorEastAsia"/>
        </w:rPr>
        <w:t>Hebräisch:</w:t>
      </w:r>
      <w:r>
        <w:t xml:space="preserve"> </w:t>
      </w:r>
      <w:r>
        <w:rPr>
          <w:rtl/>
        </w:rPr>
        <w:t>וְהָיוּ חַיֶּיךָ תְּלֻאִים לְךָ מִנֶּגֶד וּפָֽחַדְתָּ לַיְלָה וְיוֹמָם וְלֹא תַאֲמִין בְּחַיֶּֽיךָ׃</w:t>
      </w:r>
    </w:p>
    <w:p w14:paraId="5C4C48D2" w14:textId="77777777" w:rsidR="005D0B3C" w:rsidRDefault="005D0B3C" w:rsidP="005D0B3C">
      <w:pPr>
        <w:pStyle w:val="whitespace-normal"/>
      </w:pPr>
      <w:r>
        <w:rPr>
          <w:rStyle w:val="Fett"/>
          <w:rFonts w:eastAsiaTheme="majorEastAsia"/>
        </w:rPr>
        <w:t>Deutsch:</w:t>
      </w:r>
      <w:r>
        <w:t xml:space="preserve"> Und dein Leben wird schwebend vor dir hängen, und du wirst dich fürchten Nacht und Tag, und du wirst deinem Leben nicht trauen.</w:t>
      </w:r>
    </w:p>
    <w:p w14:paraId="75928A4F" w14:textId="77777777" w:rsidR="005D0B3C" w:rsidRDefault="004F5CEB" w:rsidP="005D0B3C">
      <w:r>
        <w:rPr>
          <w:noProof/>
        </w:rPr>
        <w:pict w14:anchorId="696702D3">
          <v:rect id="_x0000_i1810" style="width:0;height:1.5pt" o:hralign="center" o:hrstd="t" o:hr="t" fillcolor="#a0a0a0" stroked="f"/>
        </w:pict>
      </w:r>
    </w:p>
    <w:p w14:paraId="11D0F9BB" w14:textId="77777777" w:rsidR="005D0B3C" w:rsidRDefault="005D0B3C" w:rsidP="005D0B3C">
      <w:pPr>
        <w:pStyle w:val="whitespace-normal"/>
      </w:pPr>
      <w:r>
        <w:rPr>
          <w:rStyle w:val="Fett"/>
          <w:rFonts w:eastAsiaTheme="majorEastAsia"/>
        </w:rPr>
        <w:t>Kommentar:</w:t>
      </w:r>
      <w:r>
        <w:t xml:space="preserve"> </w:t>
      </w:r>
      <w:r>
        <w:rPr>
          <w:rStyle w:val="Fett"/>
          <w:rFonts w:eastAsiaTheme="majorEastAsia"/>
          <w:rtl/>
        </w:rPr>
        <w:t>וְהָיוּ חַיֶּיךָ תְּלֻאִים לְךָ מִנֶּגֶד וּפָחַדְתָּ לַיְלָה וְיוֹמָם וְלֹא תַאֲמִין בְּחַיֶּיךָ</w:t>
      </w:r>
      <w:r>
        <w:rPr>
          <w:rtl/>
        </w:rPr>
        <w:t xml:space="preserve"> </w:t>
      </w:r>
      <w:r>
        <w:t xml:space="preserve">sind drei Aussagen: </w:t>
      </w:r>
      <w:r>
        <w:rPr>
          <w:rStyle w:val="Fett"/>
          <w:rFonts w:eastAsiaTheme="majorEastAsia"/>
          <w:rtl/>
        </w:rPr>
        <w:t>וְהָיוּ חַיֶּיךָ תְּלֻאִים לְךָ מִנֶּגֶד</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3. Person Plural, </w:t>
      </w:r>
      <w:r>
        <w:rPr>
          <w:rStyle w:val="Fett"/>
          <w:rFonts w:eastAsiaTheme="majorEastAsia"/>
          <w:rtl/>
        </w:rPr>
        <w:t>חַיִּים</w:t>
      </w:r>
      <w:r>
        <w:rPr>
          <w:rtl/>
        </w:rPr>
        <w:t xml:space="preserve"> </w:t>
      </w:r>
      <w:r>
        <w:t xml:space="preserve">Plural mit Suffix als Subjekt, „Leben", </w:t>
      </w:r>
      <w:r>
        <w:rPr>
          <w:rStyle w:val="Fett"/>
          <w:rFonts w:eastAsiaTheme="majorEastAsia"/>
          <w:rtl/>
        </w:rPr>
        <w:t>תלה</w:t>
      </w:r>
      <w:r>
        <w:t xml:space="preserve">, Qal Passiv Partizip Plural, „hängend, schwebend", </w:t>
      </w:r>
      <w:r>
        <w:rPr>
          <w:rStyle w:val="Fett"/>
          <w:rFonts w:eastAsiaTheme="majorEastAsia"/>
          <w:rtl/>
        </w:rPr>
        <w:t>לְךָ מִנֶּגֶד</w:t>
      </w:r>
      <w:r>
        <w:t xml:space="preserve">, „vor dir", mit </w:t>
      </w:r>
      <w:r>
        <w:rPr>
          <w:rStyle w:val="Fett"/>
          <w:rFonts w:eastAsiaTheme="majorEastAsia"/>
        </w:rPr>
        <w:t>Waw</w:t>
      </w:r>
      <w:r>
        <w:t xml:space="preserve"> consecutives Perfekt), </w:t>
      </w:r>
      <w:r>
        <w:rPr>
          <w:rStyle w:val="Fett"/>
          <w:rFonts w:eastAsiaTheme="majorEastAsia"/>
          <w:rtl/>
        </w:rPr>
        <w:t>וּפָחַדְתָּ לַיְלָה וְיוֹמָם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פחד</w:t>
      </w:r>
      <w:r>
        <w:t xml:space="preserve">, Qal Perfekt, 2. Person Maskulinum Singular, „sich fürchten", Merismus: </w:t>
      </w:r>
      <w:r>
        <w:rPr>
          <w:rStyle w:val="Fett"/>
          <w:rFonts w:eastAsiaTheme="majorEastAsia"/>
          <w:rtl/>
        </w:rPr>
        <w:t>לַיְלָה וְיוֹמָם</w:t>
      </w:r>
      <w:r>
        <w:t xml:space="preserve">, „Nacht und Tag", mit </w:t>
      </w:r>
      <w:r>
        <w:rPr>
          <w:rStyle w:val="Fett"/>
          <w:rFonts w:eastAsiaTheme="majorEastAsia"/>
        </w:rPr>
        <w:t>Waw</w:t>
      </w:r>
      <w:r>
        <w:t xml:space="preserve"> consecutives Perfekt), </w:t>
      </w:r>
      <w:r>
        <w:rPr>
          <w:rStyle w:val="Fett"/>
          <w:rFonts w:eastAsiaTheme="majorEastAsia"/>
          <w:rtl/>
        </w:rPr>
        <w:t>וְלֹא תַאֲמִין בְּחַיֶּיךָ</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אמן</w:t>
      </w:r>
      <w:r>
        <w:t xml:space="preserve">, Hiphil Imperfekt, 2. Person Maskulinum Singular, „vertrauen, glauben", Präposition </w:t>
      </w:r>
      <w:r>
        <w:rPr>
          <w:rStyle w:val="Fett"/>
          <w:rFonts w:eastAsiaTheme="majorEastAsia"/>
          <w:rtl/>
        </w:rPr>
        <w:t>בְּ</w:t>
      </w:r>
      <w:r>
        <w:rPr>
          <w:rtl/>
        </w:rPr>
        <w:t xml:space="preserve"> </w:t>
      </w:r>
      <w:r>
        <w:t xml:space="preserve">mit </w:t>
      </w:r>
      <w:r>
        <w:rPr>
          <w:rStyle w:val="Fett"/>
          <w:rFonts w:eastAsiaTheme="majorEastAsia"/>
          <w:rtl/>
        </w:rPr>
        <w:t>חַיִּים</w:t>
      </w:r>
      <w:r>
        <w:rPr>
          <w:rtl/>
        </w:rPr>
        <w:t xml:space="preserve"> </w:t>
      </w:r>
      <w:r>
        <w:t>Plural mit Suffix).</w:t>
      </w:r>
    </w:p>
    <w:p w14:paraId="19092652" w14:textId="77777777" w:rsidR="005D0B3C" w:rsidRDefault="005D0B3C" w:rsidP="005D0B3C">
      <w:pPr>
        <w:pStyle w:val="whitespace-normal"/>
      </w:pPr>
      <w:r>
        <w:t xml:space="preserve">Der Vers setzt die Beschreibung des Lebens in der Diaspora fort. Die erste Aussage: </w:t>
      </w:r>
      <w:r>
        <w:rPr>
          <w:rStyle w:val="Fett"/>
          <w:rFonts w:eastAsiaTheme="majorEastAsia"/>
          <w:rtl/>
        </w:rPr>
        <w:t>וְהָיוּ חַיֶּיךָ תְּלֻאִים לְךָ מִנֶּגֶד</w:t>
      </w:r>
      <w:r>
        <w:rPr>
          <w:rtl/>
        </w:rPr>
        <w:t xml:space="preserve"> </w:t>
      </w:r>
      <w:r>
        <w:t xml:space="preserve">(„und sein wird dein Leben schwebend vor dir"). Das Partizip </w:t>
      </w:r>
      <w:r>
        <w:rPr>
          <w:rStyle w:val="Fett"/>
          <w:rFonts w:eastAsiaTheme="majorEastAsia"/>
          <w:rtl/>
        </w:rPr>
        <w:t>תְּלֻאִים</w:t>
      </w:r>
      <w:r>
        <w:rPr>
          <w:rtl/>
        </w:rPr>
        <w:t xml:space="preserve"> </w:t>
      </w:r>
      <w:r>
        <w:t xml:space="preserve">(„hängend, schwebend") – das Leben hängt an einem seidenen Faden, völlig unsicher (vgl. Hiob 26,7). Die zweite Aussage: </w:t>
      </w:r>
      <w:r>
        <w:rPr>
          <w:rStyle w:val="Fett"/>
          <w:rFonts w:eastAsiaTheme="majorEastAsia"/>
          <w:rtl/>
        </w:rPr>
        <w:t>וּפָחַדְתָּ לַיְלָה וְיוֹמָם</w:t>
      </w:r>
      <w:r>
        <w:rPr>
          <w:rtl/>
        </w:rPr>
        <w:t xml:space="preserve"> </w:t>
      </w:r>
      <w:r>
        <w:t xml:space="preserve">(„und fürchten wirst du dich Nacht und Tag"). Der Merismus </w:t>
      </w:r>
      <w:r>
        <w:rPr>
          <w:rStyle w:val="Fett"/>
          <w:rFonts w:eastAsiaTheme="majorEastAsia"/>
          <w:rtl/>
        </w:rPr>
        <w:t>לַיְלָה וְיוֹמָם</w:t>
      </w:r>
      <w:r>
        <w:rPr>
          <w:rtl/>
        </w:rPr>
        <w:t xml:space="preserve"> </w:t>
      </w:r>
      <w:r>
        <w:t xml:space="preserve">(„Nacht und Tag") – ständige, unaufhörliche Furcht. Die dritte Aussage: </w:t>
      </w:r>
      <w:r>
        <w:rPr>
          <w:rStyle w:val="Fett"/>
          <w:rFonts w:eastAsiaTheme="majorEastAsia"/>
          <w:rtl/>
        </w:rPr>
        <w:t>וְלֹא תַאֲמִין בְּחַיֶּיךָ</w:t>
      </w:r>
      <w:r>
        <w:rPr>
          <w:rtl/>
        </w:rPr>
        <w:t xml:space="preserve"> </w:t>
      </w:r>
      <w:r>
        <w:t>(„und nicht trauen wirst du deinem Leben"). Kein Vertrauen in die eigene Zukunft – jeder Moment könnte der letzte sein.</w:t>
      </w:r>
    </w:p>
    <w:p w14:paraId="0F0FD1C9" w14:textId="77777777" w:rsidR="005D0B3C" w:rsidRDefault="005D0B3C" w:rsidP="005D0B3C">
      <w:pPr>
        <w:pStyle w:val="whitespace-normal"/>
      </w:pPr>
      <w:r>
        <w:rPr>
          <w:rStyle w:val="Fett"/>
          <w:rFonts w:eastAsiaTheme="majorEastAsia"/>
        </w:rPr>
        <w:t>Die Satzstruktur:</w:t>
      </w:r>
      <w:r>
        <w:t xml:space="preserve"> Drei Aussagen (und sein wird dein Leben schwebend vor dir, und fürchten wirst du dich Nacht und Tag, und nicht trauen wirst du deinem Leben).</w:t>
      </w:r>
    </w:p>
    <w:p w14:paraId="47F655C1" w14:textId="118D29F5" w:rsidR="005D0B3C" w:rsidRDefault="005D0B3C" w:rsidP="00564C2A">
      <w:pPr>
        <w:pStyle w:val="whitespace-normal"/>
      </w:pPr>
      <w:r>
        <w:rPr>
          <w:rStyle w:val="Fett"/>
          <w:rFonts w:eastAsiaTheme="majorEastAsia"/>
        </w:rPr>
        <w:t>Der Vers beschreibt:</w:t>
      </w:r>
      <w:r>
        <w:t xml:space="preserve"> Unsicherheit in der Diaspora – das Leben schwebt am seidenen Faden, ständige Furcht, kein Vertrauen in die Zukunft.</w:t>
      </w:r>
    </w:p>
    <w:p w14:paraId="50449591" w14:textId="77777777" w:rsidR="005D0B3C" w:rsidRPr="008D48A3" w:rsidRDefault="005D0B3C" w:rsidP="008D48A3">
      <w:pPr>
        <w:pStyle w:val="Bibelberschrift"/>
      </w:pPr>
      <w:r w:rsidRPr="008D48A3">
        <w:rPr>
          <w:rStyle w:val="Fett"/>
          <w:b/>
          <w:bCs w:val="0"/>
        </w:rPr>
        <w:lastRenderedPageBreak/>
        <w:t>Deuteronomium 28,67</w:t>
      </w:r>
    </w:p>
    <w:p w14:paraId="722ACE50" w14:textId="77777777" w:rsidR="005D0B3C" w:rsidRDefault="005D0B3C" w:rsidP="005D0B3C">
      <w:pPr>
        <w:pStyle w:val="whitespace-normal"/>
      </w:pPr>
      <w:r>
        <w:rPr>
          <w:rStyle w:val="Fett"/>
          <w:rFonts w:eastAsiaTheme="majorEastAsia"/>
        </w:rPr>
        <w:t>Hebräisch:</w:t>
      </w:r>
      <w:r>
        <w:t xml:space="preserve"> </w:t>
      </w:r>
      <w:r>
        <w:rPr>
          <w:rtl/>
        </w:rPr>
        <w:t>בַּבֹּקֶר תֹּאמַר מִֽי־יִתֵּן עֶרֶב וּבָעֶרֶב תֹּאמַר מִֽי־יִתֵּן בֹּקֶר מִפַּחַד לְבָֽבְךָ אֲשֶׁר תִּפְחָד וּמִמַּרְאֵה עֵינֶיךָ אֲשֶׁר תִּרְאֶֽה׃</w:t>
      </w:r>
    </w:p>
    <w:p w14:paraId="6F39CFD1" w14:textId="77777777" w:rsidR="005D0B3C" w:rsidRDefault="005D0B3C" w:rsidP="005D0B3C">
      <w:pPr>
        <w:pStyle w:val="whitespace-normal"/>
      </w:pPr>
      <w:r>
        <w:rPr>
          <w:rStyle w:val="Fett"/>
          <w:rFonts w:eastAsiaTheme="majorEastAsia"/>
        </w:rPr>
        <w:t>Deutsch:</w:t>
      </w:r>
      <w:r>
        <w:t xml:space="preserve"> Am Morgen wirst du sagen: Wer gäbe mir Abend! Und am Abend wirst du sagen: Wer gäbe mir Morgen! – wegen der Furcht deines Herzens, womit du dich fürchtest, und wegen des Anblicks deiner Augen, den du sehen wirst.</w:t>
      </w:r>
    </w:p>
    <w:p w14:paraId="17E66F67" w14:textId="77777777" w:rsidR="005D0B3C" w:rsidRDefault="004F5CEB" w:rsidP="005D0B3C">
      <w:r>
        <w:rPr>
          <w:noProof/>
        </w:rPr>
        <w:pict w14:anchorId="63C1D74B">
          <v:rect id="_x0000_i1811" style="width:0;height:1.5pt" o:hralign="center" o:hrstd="t" o:hr="t" fillcolor="#a0a0a0" stroked="f"/>
        </w:pict>
      </w:r>
    </w:p>
    <w:p w14:paraId="7E4C7A3C" w14:textId="77777777" w:rsidR="005D0B3C" w:rsidRDefault="005D0B3C" w:rsidP="005D0B3C">
      <w:pPr>
        <w:pStyle w:val="whitespace-normal"/>
      </w:pPr>
      <w:r>
        <w:rPr>
          <w:rStyle w:val="Fett"/>
          <w:rFonts w:eastAsiaTheme="majorEastAsia"/>
        </w:rPr>
        <w:t>Kommentar:</w:t>
      </w:r>
      <w:r>
        <w:t xml:space="preserve"> </w:t>
      </w:r>
      <w:r>
        <w:rPr>
          <w:rStyle w:val="Fett"/>
          <w:rFonts w:eastAsiaTheme="majorEastAsia"/>
          <w:rtl/>
        </w:rPr>
        <w:t>בַּבֹּקֶר תֹּאמַר מִי־יִתֵּן עֶרֶב וּבָעֶרֶב תֹּאמַר מִי־יִתֵּן בֹּקֶר מִפַּחַד לְבָבְךָ אֲשֶׁר תִּפְחָד וּמִמַּרְאֵה עֵינֶיךָ אֲשֶׁר תִּרְאֶה</w:t>
      </w:r>
      <w:r>
        <w:rPr>
          <w:rtl/>
        </w:rPr>
        <w:t xml:space="preserve"> </w:t>
      </w:r>
      <w:r>
        <w:t xml:space="preserve">sind zwei Aussagen mit Begründung: </w:t>
      </w:r>
      <w:r>
        <w:rPr>
          <w:rStyle w:val="Fett"/>
          <w:rFonts w:eastAsiaTheme="majorEastAsia"/>
          <w:rtl/>
        </w:rPr>
        <w:t>בַּבֹּקֶר תֹּאמַר מִי־יִתֵּן עֶרֶב</w:t>
      </w:r>
      <w:r>
        <w:rPr>
          <w:rtl/>
        </w:rPr>
        <w:t xml:space="preserve"> </w:t>
      </w:r>
      <w:r>
        <w:t>(</w:t>
      </w:r>
      <w:r>
        <w:rPr>
          <w:rStyle w:val="Fett"/>
          <w:rFonts w:eastAsiaTheme="majorEastAsia"/>
          <w:rtl/>
        </w:rPr>
        <w:t>בַּבֹּקֶר</w:t>
      </w:r>
      <w:r>
        <w:t xml:space="preserve">, „am Morgen", </w:t>
      </w:r>
      <w:r>
        <w:rPr>
          <w:rStyle w:val="Fett"/>
          <w:rFonts w:eastAsiaTheme="majorEastAsia"/>
          <w:rtl/>
        </w:rPr>
        <w:t>אמר</w:t>
      </w:r>
      <w:r>
        <w:t xml:space="preserve">, Qal Imperfekt, 2. Person Maskulinum Singular, direkte Rede: </w:t>
      </w:r>
      <w:r>
        <w:rPr>
          <w:rStyle w:val="Fett"/>
          <w:rFonts w:eastAsiaTheme="majorEastAsia"/>
          <w:rtl/>
        </w:rPr>
        <w:t>מִי־יִתֵּן עֶרֶב</w:t>
      </w:r>
      <w:r>
        <w:rPr>
          <w:rtl/>
        </w:rPr>
        <w:t xml:space="preserve"> </w:t>
      </w:r>
      <w:r>
        <w:t xml:space="preserve">– </w:t>
      </w:r>
      <w:r>
        <w:rPr>
          <w:rStyle w:val="Fett"/>
          <w:rFonts w:eastAsiaTheme="majorEastAsia"/>
          <w:rtl/>
        </w:rPr>
        <w:t>מִי</w:t>
      </w:r>
      <w:r>
        <w:t xml:space="preserve">, Interrogativpartikel, </w:t>
      </w:r>
      <w:r>
        <w:rPr>
          <w:rStyle w:val="Fett"/>
          <w:rFonts w:eastAsiaTheme="majorEastAsia"/>
          <w:rtl/>
        </w:rPr>
        <w:t>נתן</w:t>
      </w:r>
      <w:r>
        <w:t xml:space="preserve">, Qal Imperfekt, 3. Person Maskulinum Singular, „geben" – Optativformel: „wer gäbe mir...!", „wäre es doch...!", </w:t>
      </w:r>
      <w:r>
        <w:rPr>
          <w:rStyle w:val="Fett"/>
          <w:rFonts w:eastAsiaTheme="majorEastAsia"/>
          <w:rtl/>
        </w:rPr>
        <w:t>עֶרֶב</w:t>
      </w:r>
      <w:r>
        <w:t xml:space="preserve">, „Abend"), </w:t>
      </w:r>
      <w:r>
        <w:rPr>
          <w:rStyle w:val="Fett"/>
          <w:rFonts w:eastAsiaTheme="majorEastAsia"/>
          <w:rtl/>
        </w:rPr>
        <w:t>וּבָעֶרֶב תֹּאמַר מִי־יִתֵּן בֹּקֶר</w:t>
      </w:r>
      <w:r>
        <w:rPr>
          <w:rtl/>
        </w:rPr>
        <w:t xml:space="preserve"> </w:t>
      </w:r>
      <w:r>
        <w:t xml:space="preserve">(parallel mit </w:t>
      </w:r>
      <w:r>
        <w:rPr>
          <w:rStyle w:val="Fett"/>
          <w:rFonts w:eastAsiaTheme="majorEastAsia"/>
          <w:rtl/>
        </w:rPr>
        <w:t>עֶרֶב</w:t>
      </w:r>
      <w:r>
        <w:rPr>
          <w:rtl/>
        </w:rPr>
        <w:t xml:space="preserve"> </w:t>
      </w:r>
      <w:r>
        <w:t xml:space="preserve">und </w:t>
      </w:r>
      <w:r>
        <w:rPr>
          <w:rStyle w:val="Fett"/>
          <w:rFonts w:eastAsiaTheme="majorEastAsia"/>
          <w:rtl/>
        </w:rPr>
        <w:t>בֹּקֶר</w:t>
      </w:r>
      <w:r>
        <w:t xml:space="preserve">, „Morgen"), </w:t>
      </w:r>
      <w:r>
        <w:rPr>
          <w:rStyle w:val="Fett"/>
          <w:rFonts w:eastAsiaTheme="majorEastAsia"/>
          <w:rtl/>
        </w:rPr>
        <w:t>מִפַּחַד לְבָבְךָ אֲשֶׁר תִּפְחָד וּמִמַּרְאֵה עֵינֶיךָ אֲשֶׁר תִּרְאֶה</w:t>
      </w:r>
      <w:r>
        <w:rPr>
          <w:rtl/>
        </w:rPr>
        <w:t xml:space="preserve"> </w:t>
      </w:r>
      <w:r>
        <w:t xml:space="preserve">(Kausalsatz: </w:t>
      </w:r>
      <w:r>
        <w:rPr>
          <w:rStyle w:val="Fett"/>
          <w:rFonts w:eastAsiaTheme="majorEastAsia"/>
          <w:rtl/>
        </w:rPr>
        <w:t>מִן</w:t>
      </w:r>
      <w:r>
        <w:rPr>
          <w:rtl/>
        </w:rPr>
        <w:t xml:space="preserve"> </w:t>
      </w:r>
      <w:r>
        <w:t xml:space="preserve">mit </w:t>
      </w:r>
      <w:r>
        <w:rPr>
          <w:rStyle w:val="Fett"/>
          <w:rFonts w:eastAsiaTheme="majorEastAsia"/>
          <w:rtl/>
        </w:rPr>
        <w:t>פַּחַד</w:t>
      </w:r>
      <w:r>
        <w:t xml:space="preserve">, „Furcht", Construct mit </w:t>
      </w:r>
      <w:r>
        <w:rPr>
          <w:rStyle w:val="Fett"/>
          <w:rFonts w:eastAsiaTheme="majorEastAsia"/>
          <w:rtl/>
        </w:rPr>
        <w:t>לֵבָב</w:t>
      </w:r>
      <w:r>
        <w:rPr>
          <w:rtl/>
        </w:rPr>
        <w:t xml:space="preserve"> </w:t>
      </w:r>
      <w:r>
        <w:t xml:space="preserve">mit Suffix, Relativsatz: </w:t>
      </w:r>
      <w:r>
        <w:rPr>
          <w:rStyle w:val="Fett"/>
          <w:rFonts w:eastAsiaTheme="majorEastAsia"/>
          <w:rtl/>
        </w:rPr>
        <w:t>אֲשֶׁר תִּפְחָד</w:t>
      </w:r>
      <w:r>
        <w:rPr>
          <w:rtl/>
        </w:rPr>
        <w:t xml:space="preserve"> </w:t>
      </w:r>
      <w:r>
        <w:t xml:space="preserve">mit </w:t>
      </w:r>
      <w:r>
        <w:rPr>
          <w:rStyle w:val="Fett"/>
          <w:rFonts w:eastAsiaTheme="majorEastAsia"/>
          <w:rtl/>
        </w:rPr>
        <w:t>פחד</w:t>
      </w:r>
      <w:r>
        <w:t xml:space="preserve">, Qal Imperfekt, 2. Person Maskulinum Singular, koordiniert durch </w:t>
      </w:r>
      <w:r>
        <w:rPr>
          <w:rStyle w:val="Fett"/>
          <w:rFonts w:eastAsiaTheme="majorEastAsia"/>
          <w:rtl/>
        </w:rPr>
        <w:t>וּ</w:t>
      </w:r>
      <w:r>
        <w:rPr>
          <w:rtl/>
        </w:rPr>
        <w:t xml:space="preserve"> </w:t>
      </w:r>
      <w:r>
        <w:t xml:space="preserve">mit </w:t>
      </w:r>
      <w:r>
        <w:rPr>
          <w:rStyle w:val="Fett"/>
          <w:rFonts w:eastAsiaTheme="majorEastAsia"/>
          <w:rtl/>
        </w:rPr>
        <w:t>מִן</w:t>
      </w:r>
      <w:r>
        <w:t xml:space="preserve">, </w:t>
      </w:r>
      <w:r>
        <w:rPr>
          <w:rStyle w:val="Fett"/>
          <w:rFonts w:eastAsiaTheme="majorEastAsia"/>
          <w:rtl/>
        </w:rPr>
        <w:t>מַרְאֶה עֵינֶיךָ</w:t>
      </w:r>
      <w:r>
        <w:t xml:space="preserve">, Relativsatz: </w:t>
      </w:r>
      <w:r>
        <w:rPr>
          <w:rStyle w:val="Fett"/>
          <w:rFonts w:eastAsiaTheme="majorEastAsia"/>
          <w:rtl/>
        </w:rPr>
        <w:t>אֲשֶׁר תִּרְאֶה</w:t>
      </w:r>
      <w:r>
        <w:rPr>
          <w:rtl/>
        </w:rPr>
        <w:t xml:space="preserve"> </w:t>
      </w:r>
      <w:r>
        <w:t xml:space="preserve">mit </w:t>
      </w:r>
      <w:r>
        <w:rPr>
          <w:rStyle w:val="Fett"/>
          <w:rFonts w:eastAsiaTheme="majorEastAsia"/>
          <w:rtl/>
        </w:rPr>
        <w:t>ראה</w:t>
      </w:r>
      <w:r>
        <w:t>, Qal Imperfekt, 2. Person Maskulinum Singular).</w:t>
      </w:r>
    </w:p>
    <w:p w14:paraId="56FA5C5C" w14:textId="77777777" w:rsidR="005D0B3C" w:rsidRDefault="005D0B3C" w:rsidP="005D0B3C">
      <w:pPr>
        <w:pStyle w:val="whitespace-normal"/>
      </w:pPr>
      <w:r>
        <w:t xml:space="preserve">Der Vers beschreibt die paradoxe Zeitverzweiflung. Die erste Aussage: </w:t>
      </w:r>
      <w:r>
        <w:rPr>
          <w:rStyle w:val="Fett"/>
          <w:rFonts w:eastAsiaTheme="majorEastAsia"/>
          <w:rtl/>
        </w:rPr>
        <w:t>בַּבֹּקֶר תֹּאמַר מִי־יִתֵּן עֶרֶב</w:t>
      </w:r>
      <w:r>
        <w:rPr>
          <w:rtl/>
        </w:rPr>
        <w:t xml:space="preserve"> </w:t>
      </w:r>
      <w:r>
        <w:t xml:space="preserve">(„am Morgen wirst du sagen: Wer gäbe mir Abend!"). Die Optativformel </w:t>
      </w:r>
      <w:r>
        <w:rPr>
          <w:rStyle w:val="Fett"/>
          <w:rFonts w:eastAsiaTheme="majorEastAsia"/>
          <w:rtl/>
        </w:rPr>
        <w:t>מִי־יִתֵּן</w:t>
      </w:r>
      <w:r>
        <w:rPr>
          <w:rtl/>
        </w:rPr>
        <w:t xml:space="preserve"> </w:t>
      </w:r>
      <w:r>
        <w:t xml:space="preserve">(„wer gäbe mir...!", „wäre es doch...!") drückt sehnlichen Wunsch aus. Am Morgen sehnt man sich nach dem Abend – der Tag ist unerträglich. Die zweite Aussage: </w:t>
      </w:r>
      <w:r>
        <w:rPr>
          <w:rStyle w:val="Fett"/>
          <w:rFonts w:eastAsiaTheme="majorEastAsia"/>
          <w:rtl/>
        </w:rPr>
        <w:t>וּבָעֶרֶב תֹּאמַר מִי־יִתֵּן בֹּקֶר</w:t>
      </w:r>
      <w:r>
        <w:rPr>
          <w:rtl/>
        </w:rPr>
        <w:t xml:space="preserve"> </w:t>
      </w:r>
      <w:r>
        <w:t xml:space="preserve">(„und am Abend wirst du sagen: Wer gäbe mir Morgen!"). Am Abend sehnt man sich nach dem Morgen – die Nacht ist unerträglich. Paradox: keine Tageszeit bringt Erleichterung, jede Gegenwart ist unerträglich. Die Begründung: </w:t>
      </w:r>
      <w:r>
        <w:rPr>
          <w:rStyle w:val="Fett"/>
          <w:rFonts w:eastAsiaTheme="majorEastAsia"/>
          <w:rtl/>
        </w:rPr>
        <w:t>מִפַּחַד לְבָבְךָ אֲשֶׁר תִּפְחָד וּמִמַּרְאֵה עֵינֶיךָ אֲשֶׁר תִּרְאֶה</w:t>
      </w:r>
      <w:r>
        <w:rPr>
          <w:rtl/>
        </w:rPr>
        <w:t xml:space="preserve"> </w:t>
      </w:r>
      <w:r>
        <w:t>(„wegen der Furcht deines Herzens, womit du dich fürchtest, und wegen des Anblicks deiner Augen, den du sehen wirst"). Innere Furcht und äußere Schrecken (vgl. V. 34).</w:t>
      </w:r>
    </w:p>
    <w:p w14:paraId="5DB62C55" w14:textId="77777777" w:rsidR="005D0B3C" w:rsidRDefault="005D0B3C" w:rsidP="005D0B3C">
      <w:pPr>
        <w:pStyle w:val="whitespace-normal"/>
      </w:pPr>
      <w:r>
        <w:rPr>
          <w:rStyle w:val="Fett"/>
          <w:rFonts w:eastAsiaTheme="majorEastAsia"/>
        </w:rPr>
        <w:t>Die Satzstruktur:</w:t>
      </w:r>
      <w:r>
        <w:t xml:space="preserve"> Zwei Aussagen mit Begründung (am Morgen wirst du sagen: Wer gäbe mir Abend!, und am Abend wirst du sagen: Wer gäbe mir Morgen! – wegen der Furcht deines Herzens, womit du dich fürchtest, und wegen des Anblicks deiner Augen, den du sehen wirst).</w:t>
      </w:r>
    </w:p>
    <w:p w14:paraId="27C07D0F" w14:textId="6B474C8E" w:rsidR="005D0B3C" w:rsidRDefault="005D0B3C" w:rsidP="00564C2A">
      <w:pPr>
        <w:pStyle w:val="whitespace-normal"/>
      </w:pPr>
      <w:r>
        <w:rPr>
          <w:rStyle w:val="Fett"/>
          <w:rFonts w:eastAsiaTheme="majorEastAsia"/>
        </w:rPr>
        <w:t>Der Vers beschreibt:</w:t>
      </w:r>
      <w:r>
        <w:t xml:space="preserve"> Paradoxe Zeitverzweiflung – jeder Zeitpunkt ist unerträglich, ständige Sehnsucht nach der anderen Tageszeit.</w:t>
      </w:r>
    </w:p>
    <w:p w14:paraId="1E8A6E96" w14:textId="77777777" w:rsidR="005D0B3C" w:rsidRPr="008D48A3" w:rsidRDefault="005D0B3C" w:rsidP="008D48A3">
      <w:pPr>
        <w:pStyle w:val="Bibelberschrift"/>
      </w:pPr>
      <w:r w:rsidRPr="008D48A3">
        <w:rPr>
          <w:rStyle w:val="Fett"/>
          <w:b/>
          <w:bCs w:val="0"/>
        </w:rPr>
        <w:t>Deuteronomium 28,68</w:t>
      </w:r>
    </w:p>
    <w:p w14:paraId="3FC12491" w14:textId="77777777" w:rsidR="005D0B3C" w:rsidRDefault="005D0B3C" w:rsidP="005D0B3C">
      <w:pPr>
        <w:pStyle w:val="whitespace-normal"/>
      </w:pPr>
      <w:r>
        <w:rPr>
          <w:rStyle w:val="Fett"/>
          <w:rFonts w:eastAsiaTheme="majorEastAsia"/>
        </w:rPr>
        <w:t>Hebräisch:</w:t>
      </w:r>
      <w:r>
        <w:t xml:space="preserve"> </w:t>
      </w:r>
      <w:r>
        <w:rPr>
          <w:rtl/>
        </w:rPr>
        <w:t>וֶֽהֱשִֽׁיבְךָ יְהוָה׀ מִצְרַיִם בָּאֳנִיּוֹת בַּדֶּרֶךְ אֲשֶׁר אָמַרְתִּֽי לְךָ לֹא־תֹסִיף עוֹד לִרְאֹתָהּ וְהִתְמַכַּרְתֶּם שָׁם לְאֹיְבֶיךָ לַעֲבָדִים וְלִשְׁפָחוֹת וְאֵין קֹנֶֽה׃</w:t>
      </w:r>
    </w:p>
    <w:p w14:paraId="6FA4B1BA" w14:textId="77777777" w:rsidR="005D0B3C" w:rsidRDefault="005D0B3C" w:rsidP="005D0B3C">
      <w:pPr>
        <w:pStyle w:val="whitespace-normal"/>
      </w:pPr>
      <w:r>
        <w:rPr>
          <w:rStyle w:val="Fett"/>
          <w:rFonts w:eastAsiaTheme="majorEastAsia"/>
        </w:rPr>
        <w:t>Deutsch:</w:t>
      </w:r>
      <w:r>
        <w:t xml:space="preserve"> Und JHWH wird dich nach Ägypten zurückführen in Schiffen, auf dem Weg, von dem ich zu dir gesagt habe: Du sollst ihn nie mehr wiedersehen! Und ihr werdet euch dort </w:t>
      </w:r>
      <w:r>
        <w:lastRenderedPageBreak/>
        <w:t>euren Feinden verkaufen wollen zu Knechten und zu Mägden, aber es wird kein Käufer da sein.</w:t>
      </w:r>
    </w:p>
    <w:p w14:paraId="1C4331B8" w14:textId="77777777" w:rsidR="005D0B3C" w:rsidRDefault="004F5CEB" w:rsidP="005D0B3C">
      <w:r>
        <w:rPr>
          <w:noProof/>
        </w:rPr>
        <w:pict w14:anchorId="5FDF13E0">
          <v:rect id="_x0000_i1812" style="width:0;height:1.5pt" o:hralign="center" o:hrstd="t" o:hr="t" fillcolor="#a0a0a0" stroked="f"/>
        </w:pict>
      </w:r>
    </w:p>
    <w:p w14:paraId="58D73124" w14:textId="77777777" w:rsidR="005D0B3C" w:rsidRDefault="005D0B3C" w:rsidP="005D0B3C">
      <w:pPr>
        <w:pStyle w:val="whitespace-normal"/>
      </w:pPr>
      <w:r>
        <w:rPr>
          <w:rStyle w:val="Fett"/>
          <w:rFonts w:eastAsiaTheme="majorEastAsia"/>
        </w:rPr>
        <w:t>Kommentar:</w:t>
      </w:r>
      <w:r>
        <w:t xml:space="preserve"> </w:t>
      </w:r>
      <w:r>
        <w:rPr>
          <w:rStyle w:val="Fett"/>
          <w:rFonts w:eastAsiaTheme="majorEastAsia"/>
          <w:rtl/>
        </w:rPr>
        <w:t>וֶהֱשִׁיבְךָ יְהוָה מִצְרַיִם בָּאֳנִיּוֹת בַּדֶּרֶךְ אֲשֶׁר אָמַרְתִּי לְךָ לֹא־תֹסִיף עוֹד לִרְאֹתָהּ וְהִתְמַכַּרְתֶּם שָׁם לְאֹיְבֶיךָ לַעֲבָדִים וְלִשְׁפָחוֹת וְאֵין קֹנֶה</w:t>
      </w:r>
      <w:r>
        <w:rPr>
          <w:rtl/>
        </w:rPr>
        <w:t xml:space="preserve"> </w:t>
      </w:r>
      <w:r>
        <w:t xml:space="preserve">sind zwei Aussagen: </w:t>
      </w:r>
      <w:r>
        <w:rPr>
          <w:rStyle w:val="Fett"/>
          <w:rFonts w:eastAsiaTheme="majorEastAsia"/>
          <w:rtl/>
        </w:rPr>
        <w:t>וֶהֱשִׁיבְךָ יְהוָה מִצְרַיִם בָּאֳנִיּוֹת בַּדֶּרֶךְ אֲשֶׁר אָמַרְתִּי לְךָ לֹא־תֹסִיף עוֹד לִרְאֹתָהּ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שׁוב</w:t>
      </w:r>
      <w:r>
        <w:t xml:space="preserve">, Hiphil Perfekt, 3. Person Maskulinum Singular, mit Suffix 2. Person Maskulinum Singular, </w:t>
      </w:r>
      <w:r>
        <w:rPr>
          <w:rStyle w:val="Fett"/>
          <w:rFonts w:eastAsiaTheme="majorEastAsia"/>
          <w:rtl/>
        </w:rPr>
        <w:t>יְהוָה</w:t>
      </w:r>
      <w:r>
        <w:rPr>
          <w:rtl/>
        </w:rPr>
        <w:t xml:space="preserve"> </w:t>
      </w:r>
      <w:r>
        <w:t xml:space="preserve">als Subjekt, </w:t>
      </w:r>
      <w:r>
        <w:rPr>
          <w:rStyle w:val="Fett"/>
          <w:rFonts w:eastAsiaTheme="majorEastAsia"/>
          <w:rtl/>
        </w:rPr>
        <w:t>מִצְרַיִם</w:t>
      </w:r>
      <w:r>
        <w:t xml:space="preserve">, </w:t>
      </w:r>
      <w:r>
        <w:rPr>
          <w:rStyle w:val="Fett"/>
          <w:rFonts w:eastAsiaTheme="majorEastAsia"/>
          <w:rtl/>
        </w:rPr>
        <w:t>בָּאֳנִיּוֹת</w:t>
      </w:r>
      <w:r>
        <w:t xml:space="preserve">, „in Schiffen", </w:t>
      </w:r>
      <w:r>
        <w:rPr>
          <w:rStyle w:val="Fett"/>
          <w:rFonts w:eastAsiaTheme="majorEastAsia"/>
          <w:rtl/>
        </w:rPr>
        <w:t>בַּדֶּרֶךְ</w:t>
      </w:r>
      <w:r>
        <w:t xml:space="preserve">, Relativsatz: </w:t>
      </w:r>
      <w:r>
        <w:rPr>
          <w:rStyle w:val="Fett"/>
          <w:rFonts w:eastAsiaTheme="majorEastAsia"/>
          <w:rtl/>
        </w:rPr>
        <w:t>אֲשֶׁר אָמַרְתִּי לְךָ לֹא־תֹסִיף עוֹד לִרְאֹתָהּ</w:t>
      </w:r>
      <w:r>
        <w:rPr>
          <w:rtl/>
        </w:rPr>
        <w:t xml:space="preserve"> </w:t>
      </w:r>
      <w:r>
        <w:t xml:space="preserve">mit </w:t>
      </w:r>
      <w:r>
        <w:rPr>
          <w:rStyle w:val="Fett"/>
          <w:rFonts w:eastAsiaTheme="majorEastAsia"/>
          <w:rtl/>
        </w:rPr>
        <w:t>אמר</w:t>
      </w:r>
      <w:r>
        <w:t xml:space="preserve">, Qal Perfekt, 1. Person Singular (JHWH als Sprecher), </w:t>
      </w:r>
      <w:r>
        <w:rPr>
          <w:rStyle w:val="Fett"/>
          <w:rFonts w:eastAsiaTheme="majorEastAsia"/>
          <w:rtl/>
        </w:rPr>
        <w:t>לְךָ</w:t>
      </w:r>
      <w:r>
        <w:t xml:space="preserve">, Negation, </w:t>
      </w:r>
      <w:r>
        <w:rPr>
          <w:rStyle w:val="Fett"/>
          <w:rFonts w:eastAsiaTheme="majorEastAsia"/>
          <w:rtl/>
        </w:rPr>
        <w:t>יסף</w:t>
      </w:r>
      <w:r>
        <w:t xml:space="preserve">, Hiphil Imperfekt, 2. Person Maskulinum Singular, „hinzufügen, fortfahren, weitermachen", </w:t>
      </w:r>
      <w:r>
        <w:rPr>
          <w:rStyle w:val="Fett"/>
          <w:rFonts w:eastAsiaTheme="majorEastAsia"/>
          <w:rtl/>
        </w:rPr>
        <w:t>עוֹד</w:t>
      </w:r>
      <w:r>
        <w:t xml:space="preserve">, Präposition </w:t>
      </w:r>
      <w:r>
        <w:rPr>
          <w:rStyle w:val="Fett"/>
          <w:rFonts w:eastAsiaTheme="majorEastAsia"/>
          <w:rtl/>
        </w:rPr>
        <w:t>לְ</w:t>
      </w:r>
      <w:r>
        <w:rPr>
          <w:rtl/>
        </w:rPr>
        <w:t xml:space="preserve"> </w:t>
      </w:r>
      <w:r>
        <w:t xml:space="preserve">mit Qal Infinitiv Construct von </w:t>
      </w:r>
      <w:r>
        <w:rPr>
          <w:rStyle w:val="Fett"/>
          <w:rFonts w:eastAsiaTheme="majorEastAsia"/>
          <w:rtl/>
        </w:rPr>
        <w:t>ראה</w:t>
      </w:r>
      <w:r>
        <w:t xml:space="preserve">, mit Suffix 3. Person Femininum Singular – „sie wiedersehen", mit </w:t>
      </w:r>
      <w:r>
        <w:rPr>
          <w:rStyle w:val="Fett"/>
          <w:rFonts w:eastAsiaTheme="majorEastAsia"/>
        </w:rPr>
        <w:t>Waw</w:t>
      </w:r>
      <w:r>
        <w:t xml:space="preserve"> consecutives Perfekt), </w:t>
      </w:r>
      <w:r>
        <w:rPr>
          <w:rStyle w:val="Fett"/>
          <w:rFonts w:eastAsiaTheme="majorEastAsia"/>
          <w:rtl/>
        </w:rPr>
        <w:t>וְהִתְמַכַּרְתֶּם שָׁם לְאֹיְבֶיךָ לַעֲבָדִים וְלִשְׁפָחוֹת וְאֵין קֹנֶה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מכר</w:t>
      </w:r>
      <w:r>
        <w:t xml:space="preserve">, Hitpael Perfekt, 2. Person Plural, „sich verkaufen", </w:t>
      </w:r>
      <w:r>
        <w:rPr>
          <w:rStyle w:val="Fett"/>
          <w:rFonts w:eastAsiaTheme="majorEastAsia"/>
          <w:rtl/>
        </w:rPr>
        <w:t>שָׁם</w:t>
      </w:r>
      <w:r>
        <w:t xml:space="preserve">, Präposition </w:t>
      </w:r>
      <w:r>
        <w:rPr>
          <w:rStyle w:val="Fett"/>
          <w:rFonts w:eastAsiaTheme="majorEastAsia"/>
          <w:rtl/>
        </w:rPr>
        <w:t>לְ</w:t>
      </w:r>
      <w:r>
        <w:rPr>
          <w:rtl/>
        </w:rPr>
        <w:t xml:space="preserve"> </w:t>
      </w:r>
      <w:r>
        <w:t xml:space="preserve">mit </w:t>
      </w:r>
      <w:r>
        <w:rPr>
          <w:rStyle w:val="Fett"/>
          <w:rFonts w:eastAsiaTheme="majorEastAsia"/>
          <w:rtl/>
        </w:rPr>
        <w:t>אֹיֵב</w:t>
      </w:r>
      <w:r>
        <w:rPr>
          <w:rtl/>
        </w:rPr>
        <w:t xml:space="preserve"> </w:t>
      </w:r>
      <w:r>
        <w:t xml:space="preserve">Plural mit Suffix, Präposition </w:t>
      </w:r>
      <w:r>
        <w:rPr>
          <w:rStyle w:val="Fett"/>
          <w:rFonts w:eastAsiaTheme="majorEastAsia"/>
          <w:rtl/>
        </w:rPr>
        <w:t>לְ</w:t>
      </w:r>
      <w:r>
        <w:rPr>
          <w:rtl/>
        </w:rPr>
        <w:t xml:space="preserve"> </w:t>
      </w:r>
      <w:r>
        <w:t xml:space="preserve">mit </w:t>
      </w:r>
      <w:r>
        <w:rPr>
          <w:rStyle w:val="Fett"/>
          <w:rFonts w:eastAsiaTheme="majorEastAsia"/>
          <w:rtl/>
        </w:rPr>
        <w:t>עֶבֶד</w:t>
      </w:r>
      <w:r>
        <w:t xml:space="preserve">, „Knecht, Sklave", Plural, koordiniert mit Präposition </w:t>
      </w:r>
      <w:r>
        <w:rPr>
          <w:rStyle w:val="Fett"/>
          <w:rFonts w:eastAsiaTheme="majorEastAsia"/>
          <w:rtl/>
        </w:rPr>
        <w:t>לְ</w:t>
      </w:r>
      <w:r>
        <w:t xml:space="preserve">, </w:t>
      </w:r>
      <w:r>
        <w:rPr>
          <w:rStyle w:val="Fett"/>
          <w:rFonts w:eastAsiaTheme="majorEastAsia"/>
          <w:rtl/>
        </w:rPr>
        <w:t>שִׁפְחָה</w:t>
      </w:r>
      <w:r>
        <w:t xml:space="preserve">, „Magd, Sklavin", Plural, koordiniert durch </w:t>
      </w:r>
      <w:r>
        <w:rPr>
          <w:rStyle w:val="Fett"/>
          <w:rFonts w:eastAsiaTheme="majorEastAsia"/>
          <w:rtl/>
        </w:rPr>
        <w:t>וְ</w:t>
      </w:r>
      <w:r>
        <w:rPr>
          <w:rtl/>
        </w:rPr>
        <w:t xml:space="preserve"> </w:t>
      </w:r>
      <w:r>
        <w:t xml:space="preserve">mit </w:t>
      </w:r>
      <w:r>
        <w:rPr>
          <w:rStyle w:val="Fett"/>
          <w:rFonts w:eastAsiaTheme="majorEastAsia"/>
          <w:rtl/>
        </w:rPr>
        <w:t>אֵין קֹנֶה</w:t>
      </w:r>
      <w:r>
        <w:rPr>
          <w:rtl/>
        </w:rPr>
        <w:t xml:space="preserve"> </w:t>
      </w:r>
      <w:r>
        <w:t xml:space="preserve">– </w:t>
      </w:r>
      <w:r>
        <w:rPr>
          <w:rStyle w:val="Fett"/>
          <w:rFonts w:eastAsiaTheme="majorEastAsia"/>
          <w:rtl/>
        </w:rPr>
        <w:t>אֵין</w:t>
      </w:r>
      <w:r>
        <w:t xml:space="preserve">, </w:t>
      </w:r>
      <w:r>
        <w:rPr>
          <w:rStyle w:val="Fett"/>
          <w:rFonts w:eastAsiaTheme="majorEastAsia"/>
          <w:rtl/>
        </w:rPr>
        <w:t>קנה</w:t>
      </w:r>
      <w:r>
        <w:t xml:space="preserve">, Qal Partizip, „Käufer", mit </w:t>
      </w:r>
      <w:r>
        <w:rPr>
          <w:rStyle w:val="Fett"/>
          <w:rFonts w:eastAsiaTheme="majorEastAsia"/>
        </w:rPr>
        <w:t>Waw</w:t>
      </w:r>
      <w:r>
        <w:t xml:space="preserve"> consecutives Perfekt).</w:t>
      </w:r>
    </w:p>
    <w:p w14:paraId="52850EFD" w14:textId="0C93903D" w:rsidR="005D0B3C" w:rsidRDefault="005D0B3C" w:rsidP="005D0B3C">
      <w:pPr>
        <w:pStyle w:val="whitespace-normal"/>
      </w:pPr>
      <w:r>
        <w:t xml:space="preserve">Der letzte Vers </w:t>
      </w:r>
      <w:r w:rsidR="001E0205">
        <w:t>der</w:t>
      </w:r>
      <w:r>
        <w:t xml:space="preserve"> </w:t>
      </w:r>
      <w:r w:rsidR="001E0205">
        <w:t>Gerichtsansage</w:t>
      </w:r>
      <w:r>
        <w:t xml:space="preserve"> bringt die erschreckendste Umkehrung: Rückkehr nach Ägypten in die Sklaverei. Die erste Aussage: </w:t>
      </w:r>
      <w:r>
        <w:rPr>
          <w:rStyle w:val="Fett"/>
          <w:rFonts w:eastAsiaTheme="majorEastAsia"/>
          <w:rtl/>
        </w:rPr>
        <w:t>וֶהֱשִׁיבְךָ יְהוָה מִצְרַיִם בָּאֳנִיּוֹת בַּדֶּרֶךְ אֲשֶׁר אָמַרְתִּי לְךָ לֹא־תֹסִיף עוֹד לִרְאֹתָהּ</w:t>
      </w:r>
      <w:r>
        <w:rPr>
          <w:rtl/>
        </w:rPr>
        <w:t xml:space="preserve"> </w:t>
      </w:r>
      <w:r>
        <w:t xml:space="preserve">(„und zurückführen wird dich JHWH nach Ägypten in Schiffen, auf dem Weg, von dem ich zu dir gesagt habe: Du sollst ihn nie mehr wiedersehen"). Die totale Umkehrung des Exodus – Israel wird nach Ägypten zurückgeführt (vgl. 17,16). Die Formulierung </w:t>
      </w:r>
      <w:r>
        <w:rPr>
          <w:rStyle w:val="Fett"/>
          <w:rFonts w:eastAsiaTheme="majorEastAsia"/>
          <w:rtl/>
        </w:rPr>
        <w:t>בָּאֳנִיּוֹת</w:t>
      </w:r>
      <w:r>
        <w:rPr>
          <w:rtl/>
        </w:rPr>
        <w:t xml:space="preserve"> </w:t>
      </w:r>
      <w:r>
        <w:t xml:space="preserve">(„in Schiffen") – auf dem Seeweg, möglicherweise als Sklaven transportiert. Die Wendung </w:t>
      </w:r>
      <w:r>
        <w:rPr>
          <w:rStyle w:val="Fett"/>
          <w:rFonts w:eastAsiaTheme="majorEastAsia"/>
          <w:rtl/>
        </w:rPr>
        <w:t>אֲשֶׁר אָמַרְתִּי לְךָ לֹא־תֹסִיף עוֹד לִרְאֹתָהּ</w:t>
      </w:r>
      <w:r>
        <w:rPr>
          <w:rtl/>
        </w:rPr>
        <w:t xml:space="preserve"> </w:t>
      </w:r>
      <w:r>
        <w:t xml:space="preserve">(„von dem ich zu dir gesagt habe: Du sollst ihn nie mehr wiedersehen") bezieht sich auf die Verheißung, nie mehr nach Ägypten zurückzukehren (vgl. 17,16). Die zweite Aussage: </w:t>
      </w:r>
      <w:r>
        <w:rPr>
          <w:rStyle w:val="Fett"/>
          <w:rFonts w:eastAsiaTheme="majorEastAsia"/>
          <w:rtl/>
        </w:rPr>
        <w:t>וְהִתְמַכַּרְתֶּם שָׁם לְאֹיְבֶיךָ לַעֲבָדִים וְלִשְׁפָחוֹת וְאֵין קֹנֶה</w:t>
      </w:r>
      <w:r>
        <w:rPr>
          <w:rtl/>
        </w:rPr>
        <w:t xml:space="preserve"> </w:t>
      </w:r>
      <w:r>
        <w:t xml:space="preserve">(„und verkaufen werdet ihr euch dort euren Feinden zu Knechten und zu Mägden, aber kein Käufer wird da sein"). Das Verb </w:t>
      </w:r>
      <w:r>
        <w:rPr>
          <w:rStyle w:val="Fett"/>
          <w:rFonts w:eastAsiaTheme="majorEastAsia"/>
          <w:rtl/>
        </w:rPr>
        <w:t>מכר</w:t>
      </w:r>
      <w:r>
        <w:rPr>
          <w:rtl/>
        </w:rPr>
        <w:t xml:space="preserve"> </w:t>
      </w:r>
      <w:r>
        <w:t xml:space="preserve">im Hitpael („sich verkaufen") – verzweifelter Versuch, sich als Sklaven zu verkaufen, um zu überleben. Die erschreckende Pointe: </w:t>
      </w:r>
      <w:r>
        <w:rPr>
          <w:rStyle w:val="Fett"/>
          <w:rFonts w:eastAsiaTheme="majorEastAsia"/>
          <w:rtl/>
        </w:rPr>
        <w:t>וְאֵין קֹנֶה</w:t>
      </w:r>
      <w:r>
        <w:rPr>
          <w:rtl/>
        </w:rPr>
        <w:t xml:space="preserve"> </w:t>
      </w:r>
      <w:r>
        <w:t xml:space="preserve">(„aber kein Käufer wird da sein"). Israel ist so verachtet und wertlos geworden, dass nicht einmal jemand bereit ist, sie als Sklaven zu kaufen – der tiefste Punkt der Erniedrigung. Die </w:t>
      </w:r>
      <w:r>
        <w:rPr>
          <w:rStyle w:val="Fett"/>
          <w:rFonts w:eastAsiaTheme="majorEastAsia"/>
        </w:rPr>
        <w:t>Setumah</w:t>
      </w:r>
      <w:r>
        <w:t xml:space="preserve"> (</w:t>
      </w:r>
      <w:r>
        <w:rPr>
          <w:rtl/>
        </w:rPr>
        <w:t>ס</w:t>
      </w:r>
      <w:r>
        <w:t xml:space="preserve">) markiert das Ende des </w:t>
      </w:r>
      <w:r w:rsidR="001E0205">
        <w:t>Gerichtsansage</w:t>
      </w:r>
      <w:r>
        <w:t xml:space="preserve"> (V. 15-68).</w:t>
      </w:r>
    </w:p>
    <w:p w14:paraId="01047739" w14:textId="166C30B6" w:rsidR="004F2264" w:rsidRDefault="004F2264" w:rsidP="005D0B3C">
      <w:pPr>
        <w:pStyle w:val="whitespace-normal"/>
      </w:pPr>
      <w:r>
        <w:rPr>
          <w:rStyle w:val="Fett"/>
        </w:rPr>
        <w:t>Die LXX</w:t>
      </w:r>
      <w:r>
        <w:t xml:space="preserve"> übersetzt </w:t>
      </w:r>
      <w:r>
        <w:rPr>
          <w:rtl/>
        </w:rPr>
        <w:t>לַעֲבָדִים וְלִשְׁפָחוֹת</w:t>
      </w:r>
      <w:r>
        <w:t xml:space="preserve"> (zu Sklaven und Sklavinnen) mit </w:t>
      </w:r>
      <w:proofErr w:type="spellStart"/>
      <w:r>
        <w:t>εἰς</w:t>
      </w:r>
      <w:proofErr w:type="spellEnd"/>
      <w:r>
        <w:t xml:space="preserve"> πα</w:t>
      </w:r>
      <w:proofErr w:type="spellStart"/>
      <w:r>
        <w:t>ῖδ</w:t>
      </w:r>
      <w:proofErr w:type="spellEnd"/>
      <w:r>
        <w:t>ας καὶ πα</w:t>
      </w:r>
      <w:proofErr w:type="spellStart"/>
      <w:r>
        <w:t>ιδίσκ</w:t>
      </w:r>
      <w:proofErr w:type="spellEnd"/>
      <w:r>
        <w:t>ας (zu Knechten und Mägden) – etwas mildere Begriffe.</w:t>
      </w:r>
    </w:p>
    <w:p w14:paraId="559CE2BD" w14:textId="77777777" w:rsidR="005D0B3C" w:rsidRDefault="005D0B3C" w:rsidP="005D0B3C">
      <w:pPr>
        <w:pStyle w:val="whitespace-normal"/>
      </w:pPr>
      <w:r>
        <w:rPr>
          <w:rStyle w:val="Fett"/>
          <w:rFonts w:eastAsiaTheme="majorEastAsia"/>
        </w:rPr>
        <w:t>Die Satzstruktur:</w:t>
      </w:r>
      <w:r>
        <w:t xml:space="preserve"> Zwei Aussagen (und zurückführen wird dich JHWH nach Ägypten in Schiffen, auf dem Weg, von dem ich zu dir gesagt habe: Du sollst ihn nie mehr wiedersehen; und verkaufen werdet ihr euch dort euren Feinden zu Knechten und zu Mägden, aber kein Käufer wird da sein).</w:t>
      </w:r>
    </w:p>
    <w:p w14:paraId="41FFE781" w14:textId="1DE69DA7" w:rsidR="005D0B3C" w:rsidRDefault="005D0B3C" w:rsidP="00564C2A">
      <w:pPr>
        <w:pStyle w:val="whitespace-normal"/>
      </w:pPr>
      <w:r>
        <w:rPr>
          <w:rStyle w:val="Fett"/>
          <w:rFonts w:eastAsiaTheme="majorEastAsia"/>
        </w:rPr>
        <w:t>Der Vers beschreibt:</w:t>
      </w:r>
      <w:r>
        <w:t xml:space="preserve"> Totale Umkehrung des Exodus – Rückkehr nach Ägypten in die Sklaverei, aber so verachtet, dass niemand sie kaufen will.</w:t>
      </w:r>
    </w:p>
    <w:p w14:paraId="116114C3" w14:textId="77777777" w:rsidR="005D0B3C" w:rsidRPr="008D48A3" w:rsidRDefault="005D0B3C" w:rsidP="008D48A3">
      <w:pPr>
        <w:pStyle w:val="Bibelberschrift"/>
      </w:pPr>
      <w:r w:rsidRPr="008D48A3">
        <w:rPr>
          <w:rStyle w:val="Fett"/>
          <w:b/>
          <w:bCs w:val="0"/>
        </w:rPr>
        <w:lastRenderedPageBreak/>
        <w:t>Deuteronomium 28,69 (29,1)</w:t>
      </w:r>
    </w:p>
    <w:p w14:paraId="54662899" w14:textId="77777777" w:rsidR="005D0B3C" w:rsidRDefault="005D0B3C" w:rsidP="005D0B3C">
      <w:pPr>
        <w:pStyle w:val="whitespace-normal"/>
      </w:pPr>
      <w:r>
        <w:rPr>
          <w:rStyle w:val="Fett"/>
          <w:rFonts w:eastAsiaTheme="majorEastAsia"/>
        </w:rPr>
        <w:t>Hebräisch:</w:t>
      </w:r>
      <w:r>
        <w:t xml:space="preserve"> </w:t>
      </w:r>
      <w:r>
        <w:rPr>
          <w:rtl/>
        </w:rPr>
        <w:t>אֵלֶּה דִבְרֵי הַבְּרִית אֲֽשֶׁר־צִוָּה יְהוָה אֶת־מֹשֶׁה לִכְרֹת אֶת־בְּנֵי יִשְׂרָאֵל בְּאֶרֶץ מוֹאָב מִלְּבַד הַבְּרִית אֲשֶׁר־כָּרַת אִתָּם בְּחֹרֵֽב׃</w:t>
      </w:r>
    </w:p>
    <w:p w14:paraId="6E30526A" w14:textId="77777777" w:rsidR="005D0B3C" w:rsidRDefault="005D0B3C" w:rsidP="005D0B3C">
      <w:pPr>
        <w:pStyle w:val="whitespace-normal"/>
      </w:pPr>
      <w:r>
        <w:rPr>
          <w:rStyle w:val="Fett"/>
          <w:rFonts w:eastAsiaTheme="majorEastAsia"/>
        </w:rPr>
        <w:t>Deutsch:</w:t>
      </w:r>
      <w:r>
        <w:t xml:space="preserve"> Dies sind die Worte des Bundes, den JHWH dem Mose geboten hat zu schließen mit den Kindern Israels im Land Moab, außer dem Bund, den er mit ihnen am Horeb geschlossen hatte.</w:t>
      </w:r>
    </w:p>
    <w:p w14:paraId="4ED6AEBC" w14:textId="77777777" w:rsidR="005D0B3C" w:rsidRDefault="004F5CEB" w:rsidP="005D0B3C">
      <w:r>
        <w:rPr>
          <w:noProof/>
        </w:rPr>
        <w:pict w14:anchorId="062E550F">
          <v:rect id="_x0000_i1813" style="width:0;height:1.5pt" o:hralign="center" o:hrstd="t" o:hr="t" fillcolor="#a0a0a0" stroked="f"/>
        </w:pict>
      </w:r>
    </w:p>
    <w:p w14:paraId="1CFA3073" w14:textId="77777777" w:rsidR="005D0B3C" w:rsidRDefault="005D0B3C" w:rsidP="005D0B3C">
      <w:pPr>
        <w:pStyle w:val="whitespace-normal"/>
      </w:pPr>
      <w:r>
        <w:rPr>
          <w:rStyle w:val="Fett"/>
          <w:rFonts w:eastAsiaTheme="majorEastAsia"/>
        </w:rPr>
        <w:t>Kommentar:</w:t>
      </w:r>
      <w:r>
        <w:t xml:space="preserve"> </w:t>
      </w:r>
      <w:r>
        <w:rPr>
          <w:rStyle w:val="Fett"/>
          <w:rFonts w:eastAsiaTheme="majorEastAsia"/>
          <w:rtl/>
        </w:rPr>
        <w:t>אֵלֶּה דִבְרֵי הַבְּרִית אֲשֶׁר־צִוָּה יְהוָה אֶת־מֹשֶׁה לִכְרֹת אֶת־בְּנֵי יִשְׂרָאֵל בְּאֶרֶץ מוֹאָב מִלְּבַד הַבְּרִית אֲשֶׁר־כָּרַת אִתָּם בְּחֹרֵב</w:t>
      </w:r>
      <w:r>
        <w:rPr>
          <w:rtl/>
        </w:rPr>
        <w:t xml:space="preserve"> </w:t>
      </w:r>
      <w:r>
        <w:t xml:space="preserve">ist eine Kolophon-Formel: </w:t>
      </w:r>
      <w:r>
        <w:rPr>
          <w:rStyle w:val="Fett"/>
          <w:rFonts w:eastAsiaTheme="majorEastAsia"/>
          <w:rtl/>
        </w:rPr>
        <w:t>אֵלֶּה דִבְרֵי הַבְּרִית אֲשֶׁר־צִוָּה יְהוָה אֶת־מֹשֶׁה לִכְרֹת אֶת־בְּנֵי יִשְׂרָאֵל בְּאֶרֶץ מוֹאָב</w:t>
      </w:r>
      <w:r>
        <w:rPr>
          <w:rtl/>
        </w:rPr>
        <w:t xml:space="preserve"> </w:t>
      </w:r>
      <w:r>
        <w:t>(</w:t>
      </w:r>
      <w:r>
        <w:rPr>
          <w:rStyle w:val="Fett"/>
          <w:rFonts w:eastAsiaTheme="majorEastAsia"/>
          <w:rtl/>
        </w:rPr>
        <w:t>אֵלֶּה</w:t>
      </w:r>
      <w:r>
        <w:t xml:space="preserve">, </w:t>
      </w:r>
      <w:r>
        <w:rPr>
          <w:rStyle w:val="Fett"/>
          <w:rFonts w:eastAsiaTheme="majorEastAsia"/>
          <w:rtl/>
        </w:rPr>
        <w:t>דָּבָר</w:t>
      </w:r>
      <w:r>
        <w:t xml:space="preserve">, „Wort", Plural Construct mit </w:t>
      </w:r>
      <w:r>
        <w:rPr>
          <w:rStyle w:val="Fett"/>
          <w:rFonts w:eastAsiaTheme="majorEastAsia"/>
          <w:rtl/>
        </w:rPr>
        <w:t>בְּרִית</w:t>
      </w:r>
      <w:r>
        <w:rPr>
          <w:rtl/>
        </w:rPr>
        <w:t xml:space="preserve"> </w:t>
      </w:r>
      <w:r>
        <w:t xml:space="preserve">mit Artikel, Relativsatz: </w:t>
      </w:r>
      <w:r>
        <w:rPr>
          <w:rStyle w:val="Fett"/>
          <w:rFonts w:eastAsiaTheme="majorEastAsia"/>
          <w:rtl/>
        </w:rPr>
        <w:t>אֲשֶׁר־צִוָּה יְהוָה אֶת־מֹשֶׁה</w:t>
      </w:r>
      <w:r>
        <w:rPr>
          <w:rtl/>
        </w:rPr>
        <w:t xml:space="preserve"> </w:t>
      </w:r>
      <w:r>
        <w:t xml:space="preserve">mit </w:t>
      </w:r>
      <w:r>
        <w:rPr>
          <w:rStyle w:val="Fett"/>
          <w:rFonts w:eastAsiaTheme="majorEastAsia"/>
          <w:rtl/>
        </w:rPr>
        <w:t>צוה</w:t>
      </w:r>
      <w:r>
        <w:t xml:space="preserve">, Piel Perfekt, 3. Person Maskulinum Singular, </w:t>
      </w:r>
      <w:r>
        <w:rPr>
          <w:rStyle w:val="Fett"/>
          <w:rFonts w:eastAsiaTheme="majorEastAsia"/>
          <w:rtl/>
        </w:rPr>
        <w:t>יְהוָה</w:t>
      </w:r>
      <w:r>
        <w:rPr>
          <w:rtl/>
        </w:rPr>
        <w:t xml:space="preserve"> </w:t>
      </w:r>
      <w:r>
        <w:t xml:space="preserve">als Subjekt, Objektpartikel </w:t>
      </w:r>
      <w:r>
        <w:rPr>
          <w:rStyle w:val="Fett"/>
          <w:rFonts w:eastAsiaTheme="majorEastAsia"/>
          <w:rtl/>
        </w:rPr>
        <w:t>אֵת</w:t>
      </w:r>
      <w:r>
        <w:rPr>
          <w:rtl/>
        </w:rPr>
        <w:t xml:space="preserve"> </w:t>
      </w:r>
      <w:r>
        <w:t xml:space="preserve">mit </w:t>
      </w:r>
      <w:r>
        <w:rPr>
          <w:rStyle w:val="Fett"/>
          <w:rFonts w:eastAsiaTheme="majorEastAsia"/>
          <w:rtl/>
        </w:rPr>
        <w:t>מֹשֶׁה</w:t>
      </w:r>
      <w:r>
        <w:t xml:space="preserve">, Präposition </w:t>
      </w:r>
      <w:r>
        <w:rPr>
          <w:rStyle w:val="Fett"/>
          <w:rFonts w:eastAsiaTheme="majorEastAsia"/>
          <w:rtl/>
        </w:rPr>
        <w:t>לְ</w:t>
      </w:r>
      <w:r>
        <w:rPr>
          <w:rtl/>
        </w:rPr>
        <w:t xml:space="preserve"> </w:t>
      </w:r>
      <w:r>
        <w:t xml:space="preserve">mit Qal Infinitiv Construct von </w:t>
      </w:r>
      <w:r>
        <w:rPr>
          <w:rStyle w:val="Fett"/>
          <w:rFonts w:eastAsiaTheme="majorEastAsia"/>
          <w:rtl/>
        </w:rPr>
        <w:t>כרת</w:t>
      </w:r>
      <w:r>
        <w:t xml:space="preserve">, „schneiden, schließen" (einen Bund), Objektpartikel </w:t>
      </w:r>
      <w:r>
        <w:rPr>
          <w:rStyle w:val="Fett"/>
          <w:rFonts w:eastAsiaTheme="majorEastAsia"/>
          <w:rtl/>
        </w:rPr>
        <w:t>אֵת</w:t>
      </w:r>
      <w:r>
        <w:rPr>
          <w:rtl/>
        </w:rPr>
        <w:t xml:space="preserve"> </w:t>
      </w:r>
      <w:r>
        <w:t xml:space="preserve">mit </w:t>
      </w:r>
      <w:r>
        <w:rPr>
          <w:rStyle w:val="Fett"/>
          <w:rFonts w:eastAsiaTheme="majorEastAsia"/>
          <w:rtl/>
        </w:rPr>
        <w:t>בְּנֵי יִשְׂרָאֵל</w:t>
      </w:r>
      <w:r>
        <w:t xml:space="preserve">, </w:t>
      </w:r>
      <w:r>
        <w:rPr>
          <w:rStyle w:val="Fett"/>
          <w:rFonts w:eastAsiaTheme="majorEastAsia"/>
          <w:rtl/>
        </w:rPr>
        <w:t>בְּאֶרֶץ מוֹאָב</w:t>
      </w:r>
      <w:r>
        <w:t xml:space="preserve">), </w:t>
      </w:r>
      <w:r>
        <w:rPr>
          <w:rStyle w:val="Fett"/>
          <w:rFonts w:eastAsiaTheme="majorEastAsia"/>
          <w:rtl/>
        </w:rPr>
        <w:t>מִלְּבַד הַבְּרִית אֲשֶׁר־כָּרַת אִתָּם בְּחֹרֵב</w:t>
      </w:r>
      <w:r>
        <w:rPr>
          <w:rtl/>
        </w:rPr>
        <w:t xml:space="preserve"> </w:t>
      </w:r>
      <w:r>
        <w:t>(</w:t>
      </w:r>
      <w:r>
        <w:rPr>
          <w:rStyle w:val="Fett"/>
          <w:rFonts w:eastAsiaTheme="majorEastAsia"/>
          <w:rtl/>
        </w:rPr>
        <w:t>מִלְּבַד</w:t>
      </w:r>
      <w:r>
        <w:t xml:space="preserve">, „außer, neben", </w:t>
      </w:r>
      <w:r>
        <w:rPr>
          <w:rStyle w:val="Fett"/>
          <w:rFonts w:eastAsiaTheme="majorEastAsia"/>
          <w:rtl/>
        </w:rPr>
        <w:t>בְּרִית</w:t>
      </w:r>
      <w:r>
        <w:rPr>
          <w:rtl/>
        </w:rPr>
        <w:t xml:space="preserve"> </w:t>
      </w:r>
      <w:r>
        <w:t xml:space="preserve">mit Artikel, Relativsatz: </w:t>
      </w:r>
      <w:r>
        <w:rPr>
          <w:rStyle w:val="Fett"/>
          <w:rFonts w:eastAsiaTheme="majorEastAsia"/>
          <w:rtl/>
        </w:rPr>
        <w:t>אֲשֶׁר־כָּרַת אִתָּם בְּחֹרֵב</w:t>
      </w:r>
      <w:r>
        <w:rPr>
          <w:rtl/>
        </w:rPr>
        <w:t xml:space="preserve"> </w:t>
      </w:r>
      <w:r>
        <w:t xml:space="preserve">mit </w:t>
      </w:r>
      <w:r>
        <w:rPr>
          <w:rStyle w:val="Fett"/>
          <w:rFonts w:eastAsiaTheme="majorEastAsia"/>
          <w:rtl/>
        </w:rPr>
        <w:t>כרת</w:t>
      </w:r>
      <w:r>
        <w:t xml:space="preserve">, Qal Perfekt, 3. Person Maskulinum Singular (JHWH als implizites Subjekt), Objektpartikel </w:t>
      </w:r>
      <w:r>
        <w:rPr>
          <w:rStyle w:val="Fett"/>
          <w:rFonts w:eastAsiaTheme="majorEastAsia"/>
          <w:rtl/>
        </w:rPr>
        <w:t>אֵת</w:t>
      </w:r>
      <w:r>
        <w:rPr>
          <w:rtl/>
        </w:rPr>
        <w:t xml:space="preserve"> </w:t>
      </w:r>
      <w:r>
        <w:t xml:space="preserve">mit Suffix 3. Person Maskulinum Plural, </w:t>
      </w:r>
      <w:r>
        <w:rPr>
          <w:rStyle w:val="Fett"/>
          <w:rFonts w:eastAsiaTheme="majorEastAsia"/>
          <w:rtl/>
        </w:rPr>
        <w:t>בְּחֹרֵב</w:t>
      </w:r>
      <w:r>
        <w:t>).</w:t>
      </w:r>
    </w:p>
    <w:p w14:paraId="45217090" w14:textId="0BB359E4" w:rsidR="005D0B3C" w:rsidRDefault="005D0B3C" w:rsidP="005D0B3C">
      <w:pPr>
        <w:pStyle w:val="whitespace-normal"/>
      </w:pPr>
      <w:r>
        <w:t xml:space="preserve">Der Vers ist ein Kolophon (Abschlussformel), der die Kapitel 5-28 als Einheit markiert. Die Formel: </w:t>
      </w:r>
      <w:r>
        <w:rPr>
          <w:rStyle w:val="Fett"/>
          <w:rFonts w:eastAsiaTheme="majorEastAsia"/>
          <w:rtl/>
        </w:rPr>
        <w:t>אֵלֶּה דִבְרֵי הַבְּרִית אֲשֶׁר־צִוָּה יְהוָה אֶת־מֹשֶׁה לִכְרֹת אֶת־בְּנֵי יִשְׂרָאֵל בְּאֶרֶץ מוֹאָב</w:t>
      </w:r>
      <w:r>
        <w:rPr>
          <w:rtl/>
        </w:rPr>
        <w:t xml:space="preserve"> </w:t>
      </w:r>
      <w:r>
        <w:t xml:space="preserve">(„dies sind die Worte des Bundes, den JHWH dem Mose geboten hat zu schließen mit den Kindern Israels im Land Moab"). Die Formulierung </w:t>
      </w:r>
      <w:r>
        <w:rPr>
          <w:rStyle w:val="Fett"/>
          <w:rFonts w:eastAsiaTheme="majorEastAsia"/>
          <w:rtl/>
        </w:rPr>
        <w:t>דִבְרֵי הַבְּרִית</w:t>
      </w:r>
      <w:r>
        <w:rPr>
          <w:rtl/>
        </w:rPr>
        <w:t xml:space="preserve"> </w:t>
      </w:r>
      <w:r>
        <w:t xml:space="preserve">(„Worte des Bundes") fasst die vorangegangenen Kapitel zusammen. Die Ortangabe </w:t>
      </w:r>
      <w:r>
        <w:rPr>
          <w:rStyle w:val="Fett"/>
          <w:rFonts w:eastAsiaTheme="majorEastAsia"/>
          <w:rtl/>
        </w:rPr>
        <w:t>בְּאֶרֶץ מוֹאָב</w:t>
      </w:r>
      <w:r>
        <w:rPr>
          <w:rtl/>
        </w:rPr>
        <w:t xml:space="preserve"> </w:t>
      </w:r>
      <w:r>
        <w:t xml:space="preserve">(„im Land Moab") lokalisiert die Bundesschließung östlich des Jordan (vgl. 1,5; 4,44-46; 29,1). Der Zusatz: </w:t>
      </w:r>
      <w:r>
        <w:rPr>
          <w:rStyle w:val="Fett"/>
          <w:rFonts w:eastAsiaTheme="majorEastAsia"/>
          <w:rtl/>
        </w:rPr>
        <w:t>מִלְּבַד הַבְּרִית אֲשֶׁר־כָּרַת אִתָּם בְּחֹרֵב</w:t>
      </w:r>
      <w:r>
        <w:rPr>
          <w:rtl/>
        </w:rPr>
        <w:t xml:space="preserve"> </w:t>
      </w:r>
      <w:r>
        <w:t xml:space="preserve">(„außer dem Bund, den er mit ihnen am Horeb geschlossen hatte"). Die Formulierung </w:t>
      </w:r>
      <w:r>
        <w:rPr>
          <w:rStyle w:val="Fett"/>
          <w:rFonts w:eastAsiaTheme="majorEastAsia"/>
          <w:rtl/>
        </w:rPr>
        <w:t>מִלְּבַד</w:t>
      </w:r>
      <w:r>
        <w:rPr>
          <w:rtl/>
        </w:rPr>
        <w:t xml:space="preserve"> </w:t>
      </w:r>
      <w:r>
        <w:t xml:space="preserve">(„außer, neben") ist </w:t>
      </w:r>
      <w:r w:rsidR="003933AB">
        <w:t>umstritten in</w:t>
      </w:r>
      <w:r>
        <w:t xml:space="preserve"> ihrer Bedeutung: (1) „zusätzlich zu" – der Moab-Bund ist ein zweiter, zusätzlicher Bund neben dem Horeb-Bund, oder (2) „abgesehen von, im Unterschied zu" – der Moab-Bund ist eine Erneuerung/Aktualisierung des Horeb-Bundes für die neue Generation. Die meisten Ausleger verstehen es als „zusätzlich zu" – zwei Bundesschlüsse. Die </w:t>
      </w:r>
      <w:r>
        <w:rPr>
          <w:rStyle w:val="Fett"/>
          <w:rFonts w:eastAsiaTheme="majorEastAsia"/>
        </w:rPr>
        <w:t>Petucha</w:t>
      </w:r>
      <w:r>
        <w:t xml:space="preserve"> (</w:t>
      </w:r>
      <w:r>
        <w:rPr>
          <w:rtl/>
        </w:rPr>
        <w:t>פ</w:t>
      </w:r>
      <w:r>
        <w:t>) markiert einen größeren Abschnittswechsel – Ende von Kapitel 28 und Übergang zu Kapitel 29.</w:t>
      </w:r>
    </w:p>
    <w:p w14:paraId="125425D4" w14:textId="77777777" w:rsidR="004F2264" w:rsidRPr="004F2264" w:rsidRDefault="004F2264" w:rsidP="004F2264">
      <w:pPr>
        <w:spacing w:before="100" w:beforeAutospacing="1" w:after="100" w:afterAutospacing="1" w:line="240" w:lineRule="auto"/>
        <w:outlineLvl w:val="1"/>
        <w:rPr>
          <w:rFonts w:eastAsia="Times New Roman"/>
          <w:b/>
          <w:bCs/>
          <w:sz w:val="36"/>
          <w:szCs w:val="36"/>
          <w:lang w:eastAsia="de-DE"/>
        </w:rPr>
      </w:pPr>
      <w:r w:rsidRPr="004F2264">
        <w:rPr>
          <w:rFonts w:eastAsia="Times New Roman"/>
          <w:b/>
          <w:bCs/>
          <w:sz w:val="36"/>
          <w:szCs w:val="36"/>
          <w:lang w:eastAsia="de-DE"/>
        </w:rPr>
        <w:t>Vers 69 (MT) / fehlt in LXX Kapitel 28</w:t>
      </w:r>
    </w:p>
    <w:p w14:paraId="4D28FAE7" w14:textId="15C52441" w:rsidR="004F2264" w:rsidRDefault="004F2264" w:rsidP="004F2264">
      <w:pPr>
        <w:pStyle w:val="KeinLeerraum"/>
        <w:rPr>
          <w:lang w:eastAsia="de-DE"/>
        </w:rPr>
      </w:pPr>
      <w:r w:rsidRPr="004F2264">
        <w:rPr>
          <w:b/>
          <w:bCs/>
          <w:lang w:eastAsia="de-DE"/>
        </w:rPr>
        <w:t>Der MT</w:t>
      </w:r>
      <w:r w:rsidRPr="004F2264">
        <w:rPr>
          <w:lang w:eastAsia="de-DE"/>
        </w:rPr>
        <w:t xml:space="preserve"> endet mit Vers 69, der den Bundesschluss im Land Moab beschreibt. </w:t>
      </w:r>
      <w:r w:rsidRPr="004F2264">
        <w:rPr>
          <w:b/>
          <w:bCs/>
          <w:lang w:eastAsia="de-DE"/>
        </w:rPr>
        <w:t>Die LXX</w:t>
      </w:r>
      <w:r w:rsidRPr="004F2264">
        <w:rPr>
          <w:lang w:eastAsia="de-DE"/>
        </w:rPr>
        <w:t xml:space="preserve"> zählt diesen Vers als 29:1, wodurch eine Verschiebung der Kapiteleinteilung entsteht.</w:t>
      </w:r>
    </w:p>
    <w:p w14:paraId="470C8F5B" w14:textId="1F3C8CA8" w:rsidR="004F2264" w:rsidRPr="004F2264" w:rsidRDefault="004F2264" w:rsidP="004F2264">
      <w:pPr>
        <w:pStyle w:val="KeinLeerraum"/>
        <w:rPr>
          <w:lang w:eastAsia="de-DE"/>
        </w:rPr>
      </w:pPr>
      <w:r>
        <w:rPr>
          <w:rStyle w:val="Fett"/>
        </w:rPr>
        <w:t>Die LXX</w:t>
      </w:r>
      <w:r>
        <w:t xml:space="preserve"> übersetzt </w:t>
      </w:r>
      <w:r>
        <w:rPr>
          <w:rtl/>
        </w:rPr>
        <w:t>לִכְרֹת</w:t>
      </w:r>
      <w:r>
        <w:t xml:space="preserve"> (zu schneiden/schließen) mit </w:t>
      </w:r>
      <w:proofErr w:type="spellStart"/>
      <w:r>
        <w:t>στῆσ</w:t>
      </w:r>
      <w:proofErr w:type="spellEnd"/>
      <w:r>
        <w:t>αι (aufzurichten, zu etablieren) – ein Verb, das den Bundesschluss als "Aufrichtung" versteht.</w:t>
      </w:r>
    </w:p>
    <w:p w14:paraId="2EE8146A" w14:textId="77777777" w:rsidR="005D0B3C" w:rsidRDefault="005D0B3C" w:rsidP="005D0B3C">
      <w:pPr>
        <w:pStyle w:val="whitespace-normal"/>
      </w:pPr>
      <w:r>
        <w:rPr>
          <w:rStyle w:val="Fett"/>
          <w:rFonts w:eastAsiaTheme="majorEastAsia"/>
        </w:rPr>
        <w:t>Die Satzstruktur:</w:t>
      </w:r>
      <w:r>
        <w:t xml:space="preserve"> Kolophon-Formel (dies sind die Worte des Bundes, den JHWH dem Mose geboten hat zu schließen mit den Kindern Israels im Land Moab, außer dem Bund, den er mit ihnen am Horeb geschlossen hatte).</w:t>
      </w:r>
    </w:p>
    <w:p w14:paraId="1863E0A8" w14:textId="77777777" w:rsidR="005D0B3C" w:rsidRDefault="005D0B3C" w:rsidP="005D0B3C">
      <w:pPr>
        <w:pStyle w:val="whitespace-normal"/>
      </w:pPr>
      <w:r>
        <w:rPr>
          <w:rStyle w:val="Fett"/>
          <w:rFonts w:eastAsiaTheme="majorEastAsia"/>
        </w:rPr>
        <w:lastRenderedPageBreak/>
        <w:t>Der Vers beschreibt:</w:t>
      </w:r>
      <w:r>
        <w:t xml:space="preserve"> Abschlussformel – diese Worte (Kap. 5-28) sind der moabitische Bund, zusätzlich zum Horeb-Bund.</w:t>
      </w:r>
    </w:p>
    <w:p w14:paraId="73281DA6" w14:textId="77777777" w:rsidR="008A57FB" w:rsidRPr="008D48A3" w:rsidRDefault="008A57FB" w:rsidP="008D48A3">
      <w:pPr>
        <w:pStyle w:val="Bibelberschrift"/>
      </w:pPr>
      <w:r w:rsidRPr="008D48A3">
        <w:rPr>
          <w:rStyle w:val="Fett"/>
          <w:b/>
          <w:bCs w:val="0"/>
        </w:rPr>
        <w:t>Deuteronomium 29,1 (29,2 MT)</w:t>
      </w:r>
    </w:p>
    <w:p w14:paraId="65065E1E" w14:textId="77777777" w:rsidR="008A57FB" w:rsidRDefault="008A57FB" w:rsidP="008A57FB">
      <w:pPr>
        <w:pStyle w:val="whitespace-normal"/>
      </w:pPr>
      <w:r>
        <w:rPr>
          <w:rStyle w:val="Fett"/>
          <w:rFonts w:eastAsiaTheme="majorEastAsia"/>
        </w:rPr>
        <w:t>Hebräisch:</w:t>
      </w:r>
      <w:r>
        <w:t xml:space="preserve"> </w:t>
      </w:r>
      <w:r>
        <w:rPr>
          <w:rtl/>
        </w:rPr>
        <w:t>וַיִּקְרָא מֹשֶׁה אֶל־כָּל־יִשְׂרָאֵל וַיֹּאמֶר אֲלֵהֶם אַתֶּם רְאִיתֶם אֵת כָּל־אֲשֶׁר עָשָׂה יְהוָה לְעֵינֵיכֶם בְּאֶרֶץ מִצְרַיִם לְפַרְעֹה וּלְכָל־עֲבָדָיו וּלְכָל־אַרְצוֹ׃</w:t>
      </w:r>
    </w:p>
    <w:p w14:paraId="405585A2" w14:textId="016C6354" w:rsidR="008A57FB" w:rsidRDefault="008A57FB" w:rsidP="008A57FB">
      <w:pPr>
        <w:pStyle w:val="whitespace-normal"/>
      </w:pPr>
      <w:r>
        <w:rPr>
          <w:rStyle w:val="Fett"/>
          <w:rFonts w:eastAsiaTheme="majorEastAsia"/>
        </w:rPr>
        <w:t>Deutsch:</w:t>
      </w:r>
      <w:r>
        <w:t xml:space="preserve"> Und Mose rief ganz Israel und sprach zu ihnen: Ihr habt gesehen alles, was JHWH vor euren Augen getan hat im Land Ägypten, dem </w:t>
      </w:r>
      <w:r w:rsidR="003F0E7B">
        <w:t>Par’o</w:t>
      </w:r>
      <w:r>
        <w:t xml:space="preserve"> und allen seinen Knechten und seinem ganzen Land.</w:t>
      </w:r>
    </w:p>
    <w:p w14:paraId="2BF45E70" w14:textId="77777777" w:rsidR="008A57FB" w:rsidRDefault="004F5CEB" w:rsidP="008A57FB">
      <w:r>
        <w:rPr>
          <w:noProof/>
        </w:rPr>
        <w:pict w14:anchorId="61F9850F">
          <v:rect id="_x0000_i1814" style="width:0;height:1.5pt" o:hralign="center" o:hrstd="t" o:hr="t" fillcolor="#a0a0a0" stroked="f"/>
        </w:pict>
      </w:r>
    </w:p>
    <w:p w14:paraId="58D7A635"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וַיִּקְרָא מֹשֶׁה אֶל־כָּל־יִשְׂרָאֵל וַיֹּאמֶר אֲלֵהֶם אַתֶּם רְאִיתֶם אֵת כָּל־אֲשֶׁר עָשָׂה יְהוָה לְעֵינֵיכֶם בְּאֶרֶץ מִצְרַיִם לְפַרְעֹה וּלְכָל־עֲבָדָיו וּלְכָל־אַרְצוֹ</w:t>
      </w:r>
      <w:r>
        <w:rPr>
          <w:rtl/>
        </w:rPr>
        <w:t xml:space="preserve"> </w:t>
      </w:r>
      <w:r>
        <w:t xml:space="preserve">sind Einleitung und Aussage: </w:t>
      </w:r>
      <w:r>
        <w:rPr>
          <w:rStyle w:val="Fett"/>
          <w:rFonts w:eastAsiaTheme="majorEastAsia"/>
          <w:rtl/>
        </w:rPr>
        <w:t>וַיִּקְרָא מֹשֶׁה אֶל־כָּל־יִשְׂרָאֵל וַיֹּאמֶר אֲלֵהֶם</w:t>
      </w:r>
      <w:r>
        <w:rPr>
          <w:rtl/>
        </w:rPr>
        <w:t xml:space="preserve"> </w:t>
      </w:r>
      <w:r>
        <w:t>(</w:t>
      </w:r>
      <w:r>
        <w:rPr>
          <w:rStyle w:val="Fett"/>
          <w:rFonts w:eastAsiaTheme="majorEastAsia"/>
          <w:rtl/>
        </w:rPr>
        <w:t>קרא</w:t>
      </w:r>
      <w:r>
        <w:t xml:space="preserve">, Qal Imperfekt mit </w:t>
      </w:r>
      <w:r>
        <w:rPr>
          <w:rStyle w:val="Fett"/>
          <w:rFonts w:eastAsiaTheme="majorEastAsia"/>
        </w:rPr>
        <w:t>Waw</w:t>
      </w:r>
      <w:r>
        <w:t xml:space="preserve"> consecutivum, 3. Person Maskulinum Singular, „rufen", </w:t>
      </w:r>
      <w:r>
        <w:rPr>
          <w:rStyle w:val="Fett"/>
          <w:rFonts w:eastAsiaTheme="majorEastAsia"/>
          <w:rtl/>
        </w:rPr>
        <w:t>מֹשֶׁה</w:t>
      </w:r>
      <w:r>
        <w:rPr>
          <w:rtl/>
        </w:rPr>
        <w:t xml:space="preserve"> </w:t>
      </w:r>
      <w:r>
        <w:t xml:space="preserve">als Subjekt, Präposition </w:t>
      </w:r>
      <w:r>
        <w:rPr>
          <w:rStyle w:val="Fett"/>
          <w:rFonts w:eastAsiaTheme="majorEastAsia"/>
          <w:rtl/>
        </w:rPr>
        <w:t>אֶל</w:t>
      </w:r>
      <w:r>
        <w:rPr>
          <w:rtl/>
        </w:rPr>
        <w:t xml:space="preserve"> </w:t>
      </w:r>
      <w:r>
        <w:t xml:space="preserve">mit </w:t>
      </w:r>
      <w:r>
        <w:rPr>
          <w:rStyle w:val="Fett"/>
          <w:rFonts w:eastAsiaTheme="majorEastAsia"/>
          <w:rtl/>
        </w:rPr>
        <w:t>כָּל־יִשְׂרָאֵל</w:t>
      </w:r>
      <w:r>
        <w:t xml:space="preserve">, koordiniert durch </w:t>
      </w:r>
      <w:r>
        <w:rPr>
          <w:rStyle w:val="Fett"/>
          <w:rFonts w:eastAsiaTheme="majorEastAsia"/>
          <w:rtl/>
        </w:rPr>
        <w:t>וְ</w:t>
      </w:r>
      <w:r>
        <w:rPr>
          <w:rtl/>
        </w:rPr>
        <w:t xml:space="preserve"> </w:t>
      </w:r>
      <w:r>
        <w:t xml:space="preserve">mit </w:t>
      </w:r>
      <w:r>
        <w:rPr>
          <w:rStyle w:val="Fett"/>
          <w:rFonts w:eastAsiaTheme="majorEastAsia"/>
          <w:rtl/>
        </w:rPr>
        <w:t>אמר</w:t>
      </w:r>
      <w:r>
        <w:t xml:space="preserve">, Qal Imperfekt mit </w:t>
      </w:r>
      <w:r>
        <w:rPr>
          <w:rStyle w:val="Fett"/>
          <w:rFonts w:eastAsiaTheme="majorEastAsia"/>
        </w:rPr>
        <w:t>Waw</w:t>
      </w:r>
      <w:r>
        <w:t xml:space="preserve"> consecutivum, 3. Person Maskulinum Singular, </w:t>
      </w:r>
      <w:r>
        <w:rPr>
          <w:rStyle w:val="Fett"/>
          <w:rFonts w:eastAsiaTheme="majorEastAsia"/>
          <w:rtl/>
        </w:rPr>
        <w:t>אֲלֵהֶם</w:t>
      </w:r>
      <w:r>
        <w:t xml:space="preserve">), </w:t>
      </w:r>
      <w:r>
        <w:rPr>
          <w:rStyle w:val="Fett"/>
          <w:rFonts w:eastAsiaTheme="majorEastAsia"/>
          <w:rtl/>
        </w:rPr>
        <w:t>אַתֶּם רְאִיתֶם אֵת כָּל־אֲשֶׁר עָשָׂה יְהוָה לְעֵינֵיכֶם בְּאֶרֶץ מִצְרַיִם לְפַרְעֹה וּלְכָל־עֲבָדָיו וּלְכָל־אַרְצוֹ</w:t>
      </w:r>
      <w:r>
        <w:rPr>
          <w:rtl/>
        </w:rPr>
        <w:t xml:space="preserve"> </w:t>
      </w:r>
      <w:r>
        <w:t xml:space="preserve">(direkte Rede: </w:t>
      </w:r>
      <w:r>
        <w:rPr>
          <w:rStyle w:val="Fett"/>
          <w:rFonts w:eastAsiaTheme="majorEastAsia"/>
          <w:rtl/>
        </w:rPr>
        <w:t>אַתֶּם</w:t>
      </w:r>
      <w:r>
        <w:t xml:space="preserve">, </w:t>
      </w:r>
      <w:r>
        <w:rPr>
          <w:rStyle w:val="Fett"/>
          <w:rFonts w:eastAsiaTheme="majorEastAsia"/>
          <w:rtl/>
        </w:rPr>
        <w:t>ראה</w:t>
      </w:r>
      <w:r>
        <w:t xml:space="preserve">, Qal Perfekt, 2. Person Plural, „sehen", Objektpartikel </w:t>
      </w:r>
      <w:r>
        <w:rPr>
          <w:rStyle w:val="Fett"/>
          <w:rFonts w:eastAsiaTheme="majorEastAsia"/>
          <w:rtl/>
        </w:rPr>
        <w:t>אֵת</w:t>
      </w:r>
      <w:r>
        <w:rPr>
          <w:rtl/>
        </w:rPr>
        <w:t xml:space="preserve"> </w:t>
      </w:r>
      <w:r>
        <w:t xml:space="preserve">mit </w:t>
      </w:r>
      <w:r>
        <w:rPr>
          <w:rStyle w:val="Fett"/>
          <w:rFonts w:eastAsiaTheme="majorEastAsia"/>
          <w:rtl/>
        </w:rPr>
        <w:t>כָּל</w:t>
      </w:r>
      <w:r>
        <w:t xml:space="preserve">, Relativsatz: </w:t>
      </w:r>
      <w:r>
        <w:rPr>
          <w:rStyle w:val="Fett"/>
          <w:rFonts w:eastAsiaTheme="majorEastAsia"/>
          <w:rtl/>
        </w:rPr>
        <w:t>אֲשֶׁר עָשָׂה יְהוָה לְעֵינֵיכֶם בְּאֶרֶץ מִצְרַיִם</w:t>
      </w:r>
      <w:r>
        <w:rPr>
          <w:rtl/>
        </w:rPr>
        <w:t xml:space="preserve"> </w:t>
      </w:r>
      <w:r>
        <w:t xml:space="preserve">mit </w:t>
      </w:r>
      <w:r>
        <w:rPr>
          <w:rStyle w:val="Fett"/>
          <w:rFonts w:eastAsiaTheme="majorEastAsia"/>
          <w:rtl/>
        </w:rPr>
        <w:t>עשׂה</w:t>
      </w:r>
      <w:r>
        <w:t xml:space="preserve">, Qal Perfekt, 3. Person Maskulinum Singular, </w:t>
      </w:r>
      <w:r>
        <w:rPr>
          <w:rStyle w:val="Fett"/>
          <w:rFonts w:eastAsiaTheme="majorEastAsia"/>
          <w:rtl/>
        </w:rPr>
        <w:t>יְהוָה</w:t>
      </w:r>
      <w:r>
        <w:rPr>
          <w:rtl/>
        </w:rPr>
        <w:t xml:space="preserve"> </w:t>
      </w:r>
      <w:r>
        <w:t xml:space="preserve">als Subjekt, </w:t>
      </w:r>
      <w:r>
        <w:rPr>
          <w:rStyle w:val="Fett"/>
          <w:rFonts w:eastAsiaTheme="majorEastAsia"/>
          <w:rtl/>
        </w:rPr>
        <w:t>לְעֵינֵיכֶם</w:t>
      </w:r>
      <w:r>
        <w:t xml:space="preserve">, „vor euren Augen", </w:t>
      </w:r>
      <w:r>
        <w:rPr>
          <w:rStyle w:val="Fett"/>
          <w:rFonts w:eastAsiaTheme="majorEastAsia"/>
          <w:rtl/>
        </w:rPr>
        <w:t>בְּאֶרֶץ מִצְרַיִם</w:t>
      </w:r>
      <w:r>
        <w:t xml:space="preserve">, drei Präpositionen </w:t>
      </w:r>
      <w:r>
        <w:rPr>
          <w:rStyle w:val="Fett"/>
          <w:rFonts w:eastAsiaTheme="majorEastAsia"/>
          <w:rtl/>
        </w:rPr>
        <w:t>לְ</w:t>
      </w:r>
      <w:r>
        <w:t xml:space="preserve">: </w:t>
      </w:r>
      <w:r>
        <w:rPr>
          <w:rStyle w:val="Fett"/>
          <w:rFonts w:eastAsiaTheme="majorEastAsia"/>
          <w:rtl/>
        </w:rPr>
        <w:t>לְפַרְעֹה</w:t>
      </w:r>
      <w:r>
        <w:t xml:space="preserve">, </w:t>
      </w:r>
      <w:r>
        <w:rPr>
          <w:rStyle w:val="Fett"/>
          <w:rFonts w:eastAsiaTheme="majorEastAsia"/>
          <w:rtl/>
        </w:rPr>
        <w:t>לְכָל־עֲבָדָיו</w:t>
      </w:r>
      <w:r>
        <w:t xml:space="preserve">, </w:t>
      </w:r>
      <w:r>
        <w:rPr>
          <w:rStyle w:val="Fett"/>
          <w:rFonts w:eastAsiaTheme="majorEastAsia"/>
          <w:rtl/>
        </w:rPr>
        <w:t>לְכָל־אַרְצוֹ</w:t>
      </w:r>
      <w:r>
        <w:t>).</w:t>
      </w:r>
    </w:p>
    <w:p w14:paraId="64102FF2" w14:textId="34AE1ED8" w:rsidR="008A57FB" w:rsidRDefault="008A57FB" w:rsidP="008A57FB">
      <w:pPr>
        <w:pStyle w:val="whitespace-normal"/>
      </w:pPr>
      <w:r>
        <w:t xml:space="preserve">Der Vers beginnt eine neue große Rede Moses (Kap. 29-30), die dritte moabitische Bundesrede. Die Einleitung: </w:t>
      </w:r>
      <w:r>
        <w:rPr>
          <w:rStyle w:val="Fett"/>
          <w:rFonts w:eastAsiaTheme="majorEastAsia"/>
          <w:rtl/>
        </w:rPr>
        <w:t>וַיִּקְרָא מֹשֶׁה אֶל־כָּל־יִשְׂרָאֵל וַיֹּאמֶר אֲלֵהֶם</w:t>
      </w:r>
      <w:r>
        <w:rPr>
          <w:rtl/>
        </w:rPr>
        <w:t xml:space="preserve"> </w:t>
      </w:r>
      <w:r>
        <w:t xml:space="preserve">(„und rief Mose ganz Israel und sprach zu ihnen"). Die Formulierung </w:t>
      </w:r>
      <w:r>
        <w:rPr>
          <w:rStyle w:val="Fett"/>
          <w:rFonts w:eastAsiaTheme="majorEastAsia"/>
          <w:rtl/>
        </w:rPr>
        <w:t>כָּל־יִשְׂרָאֵל</w:t>
      </w:r>
      <w:r>
        <w:rPr>
          <w:rtl/>
        </w:rPr>
        <w:t xml:space="preserve"> </w:t>
      </w:r>
      <w:r>
        <w:t xml:space="preserve">(„ganz Israel") betont: die gesamte Versammlung (vgl. V. 9-10). Die Aussage: </w:t>
      </w:r>
      <w:r>
        <w:rPr>
          <w:rStyle w:val="Fett"/>
          <w:rFonts w:eastAsiaTheme="majorEastAsia"/>
          <w:rtl/>
        </w:rPr>
        <w:t>אַתֶּם רְאִיתֶם אֵת כָּל־אֲשֶׁר עָשָׂה יְהוָה לְעֵינֵיכֶם בְּאֶרֶץ מִצְרַיִם לְפַרְעֹה וּלְכָל־עֲבָדָיו וּלְכָל־אַרְצוֹ</w:t>
      </w:r>
      <w:r>
        <w:rPr>
          <w:rtl/>
        </w:rPr>
        <w:t xml:space="preserve"> </w:t>
      </w:r>
      <w:r>
        <w:t xml:space="preserve">(„ihr habt gesehen alles, was JHWH getan hat vor euren Augen im Land Ägypten, dem </w:t>
      </w:r>
      <w:r w:rsidR="003F0E7B">
        <w:t>Par’o</w:t>
      </w:r>
      <w:r>
        <w:t xml:space="preserve"> und allen seinen Knechten und seinem ganzen Land"). Mose erinnert an die Augenzeugen der ägyptischen Plagen. Die Formulierung </w:t>
      </w:r>
      <w:r>
        <w:rPr>
          <w:rStyle w:val="Fett"/>
          <w:rFonts w:eastAsiaTheme="majorEastAsia"/>
          <w:rtl/>
        </w:rPr>
        <w:t>לְעֵינֵיכֶם</w:t>
      </w:r>
      <w:r>
        <w:rPr>
          <w:rtl/>
        </w:rPr>
        <w:t xml:space="preserve"> </w:t>
      </w:r>
      <w:r>
        <w:t xml:space="preserve">(„vor euren Augen") betont: direkte Erfahrung, kein Hörensagen. Die drei Ziele: </w:t>
      </w:r>
      <w:r>
        <w:rPr>
          <w:rStyle w:val="Fett"/>
          <w:rFonts w:eastAsiaTheme="majorEastAsia"/>
          <w:rtl/>
        </w:rPr>
        <w:t>לְפַרְעֹה וּלְכָל־עֲבָדָיו וּלְכָל־אַרְצוֹ</w:t>
      </w:r>
      <w:r>
        <w:rPr>
          <w:rtl/>
        </w:rPr>
        <w:t xml:space="preserve"> </w:t>
      </w:r>
      <w:r>
        <w:t>– umfassende Zerstörung in ganz Ägypten (vgl. 4,34; 7,18-19; 11,2-7).</w:t>
      </w:r>
    </w:p>
    <w:p w14:paraId="5C0C37F2" w14:textId="7A0541A3" w:rsidR="008A57FB" w:rsidRDefault="008A57FB" w:rsidP="008A57FB">
      <w:pPr>
        <w:pStyle w:val="whitespace-normal"/>
      </w:pPr>
      <w:r>
        <w:rPr>
          <w:rStyle w:val="Fett"/>
          <w:rFonts w:eastAsiaTheme="majorEastAsia"/>
        </w:rPr>
        <w:t>Die Satzstruktur:</w:t>
      </w:r>
      <w:r>
        <w:t xml:space="preserve"> Einleitung und Aussage (und rief Mose ganz Israel und sprach zu ihnen: Ihr habt gesehen alles, was JHWH getan hat vor euren Augen im Land Ägypten, dem </w:t>
      </w:r>
      <w:r w:rsidR="003F0E7B">
        <w:t>Par’o</w:t>
      </w:r>
      <w:r>
        <w:t xml:space="preserve"> und allen seinen Knechten und seinem ganzen Land).</w:t>
      </w:r>
    </w:p>
    <w:p w14:paraId="1ACC06EA" w14:textId="70B6501A" w:rsidR="008A57FB" w:rsidRDefault="008A57FB" w:rsidP="00564C2A">
      <w:pPr>
        <w:pStyle w:val="whitespace-normal"/>
      </w:pPr>
      <w:r>
        <w:rPr>
          <w:rStyle w:val="Fett"/>
          <w:rFonts w:eastAsiaTheme="majorEastAsia"/>
        </w:rPr>
        <w:t>Der Vers beschreibt:</w:t>
      </w:r>
      <w:r>
        <w:t xml:space="preserve"> Beginn der dritten moabitischen Bundesrede – Erinnerung an die Augenzeugenschaft der ägyptischen Plagen.</w:t>
      </w:r>
    </w:p>
    <w:p w14:paraId="20320AD6" w14:textId="77777777" w:rsidR="008A57FB" w:rsidRPr="008D48A3" w:rsidRDefault="008A57FB" w:rsidP="008D48A3">
      <w:pPr>
        <w:pStyle w:val="Bibelberschrift"/>
      </w:pPr>
      <w:r w:rsidRPr="008D48A3">
        <w:rPr>
          <w:rStyle w:val="Fett"/>
          <w:b/>
          <w:bCs w:val="0"/>
        </w:rPr>
        <w:t>Deuteronomium 29,2 (29,3 MT)</w:t>
      </w:r>
    </w:p>
    <w:p w14:paraId="3AD686B0" w14:textId="77777777" w:rsidR="008A57FB" w:rsidRDefault="008A57FB" w:rsidP="008A57FB">
      <w:pPr>
        <w:pStyle w:val="whitespace-normal"/>
      </w:pPr>
      <w:r>
        <w:rPr>
          <w:rStyle w:val="Fett"/>
          <w:rFonts w:eastAsiaTheme="majorEastAsia"/>
        </w:rPr>
        <w:t>Hebräisch:</w:t>
      </w:r>
      <w:r>
        <w:t xml:space="preserve"> </w:t>
      </w:r>
      <w:r>
        <w:rPr>
          <w:rtl/>
        </w:rPr>
        <w:t>הַמַּסּוֹת הַגְּדֹלֹת אֲשֶׁר רָאוּ עֵינֶיךָ הָאֹתֹת וְהַמֹּפְתִים הַגְּדֹלִים הָהֵם׃</w:t>
      </w:r>
    </w:p>
    <w:p w14:paraId="52F9EAB3" w14:textId="77777777" w:rsidR="008A57FB" w:rsidRDefault="008A57FB" w:rsidP="008A57FB">
      <w:pPr>
        <w:pStyle w:val="whitespace-normal"/>
      </w:pPr>
      <w:r>
        <w:rPr>
          <w:rStyle w:val="Fett"/>
          <w:rFonts w:eastAsiaTheme="majorEastAsia"/>
        </w:rPr>
        <w:t>Deutsch:</w:t>
      </w:r>
      <w:r>
        <w:t xml:space="preserve"> Die großen Prüfungen, die deine Augen gesehen haben, jene großen Zeichen und Wunder.</w:t>
      </w:r>
    </w:p>
    <w:p w14:paraId="58ADA9EB" w14:textId="77777777" w:rsidR="008A57FB" w:rsidRDefault="004F5CEB" w:rsidP="008A57FB">
      <w:r>
        <w:rPr>
          <w:noProof/>
        </w:rPr>
        <w:lastRenderedPageBreak/>
        <w:pict w14:anchorId="10C29840">
          <v:rect id="_x0000_i1815" style="width:0;height:1.5pt" o:hralign="center" o:hrstd="t" o:hr="t" fillcolor="#a0a0a0" stroked="f"/>
        </w:pict>
      </w:r>
    </w:p>
    <w:p w14:paraId="195C94DC"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הַמַּסּוֹת הַגְּדֹלֹת אֲשֶׁר רָאוּ עֵינֶיךָ הָאֹתֹת וְהַמֹּפְתִים הַגְּדֹלִים הָהֵם</w:t>
      </w:r>
      <w:r>
        <w:rPr>
          <w:rtl/>
        </w:rPr>
        <w:t xml:space="preserve"> </w:t>
      </w:r>
      <w:r>
        <w:t xml:space="preserve">ist eine Apposition zu V. 1: </w:t>
      </w:r>
      <w:r>
        <w:rPr>
          <w:rStyle w:val="Fett"/>
          <w:rFonts w:eastAsiaTheme="majorEastAsia"/>
          <w:rtl/>
        </w:rPr>
        <w:t>הַמַּסּוֹת הַגְּדֹלֹת אֲשֶׁר רָאוּ עֵינֶיךָ הָאֹתֹת וְהַמֹּפְתִים הַגְּדֹלִים הָהֵם</w:t>
      </w:r>
      <w:r>
        <w:rPr>
          <w:rtl/>
        </w:rPr>
        <w:t xml:space="preserve"> </w:t>
      </w:r>
      <w:r>
        <w:t>(</w:t>
      </w:r>
      <w:r>
        <w:rPr>
          <w:rStyle w:val="Fett"/>
          <w:rFonts w:eastAsiaTheme="majorEastAsia"/>
          <w:rtl/>
        </w:rPr>
        <w:t>מַסָּה</w:t>
      </w:r>
      <w:r>
        <w:t xml:space="preserve">, „Prüfung, Versuchung", Plural mit Artikel, </w:t>
      </w:r>
      <w:r>
        <w:rPr>
          <w:rStyle w:val="Fett"/>
          <w:rFonts w:eastAsiaTheme="majorEastAsia"/>
          <w:rtl/>
        </w:rPr>
        <w:t>גָּדוֹל</w:t>
      </w:r>
      <w:r>
        <w:t xml:space="preserve">, „groß", Plural mit Artikel, Relativsatz: </w:t>
      </w:r>
      <w:r>
        <w:rPr>
          <w:rStyle w:val="Fett"/>
          <w:rFonts w:eastAsiaTheme="majorEastAsia"/>
          <w:rtl/>
        </w:rPr>
        <w:t>אֲשֶׁר רָאוּ עֵינֶיךָ</w:t>
      </w:r>
      <w:r>
        <w:rPr>
          <w:rtl/>
        </w:rPr>
        <w:t xml:space="preserve"> </w:t>
      </w:r>
      <w:r>
        <w:t xml:space="preserve">mit </w:t>
      </w:r>
      <w:r>
        <w:rPr>
          <w:rStyle w:val="Fett"/>
          <w:rFonts w:eastAsiaTheme="majorEastAsia"/>
          <w:rtl/>
        </w:rPr>
        <w:t>ראה</w:t>
      </w:r>
      <w:r>
        <w:t xml:space="preserve">, Qal Perfekt, 3. Person Plural, </w:t>
      </w:r>
      <w:r>
        <w:rPr>
          <w:rStyle w:val="Fett"/>
          <w:rFonts w:eastAsiaTheme="majorEastAsia"/>
          <w:rtl/>
        </w:rPr>
        <w:t>עַיִן</w:t>
      </w:r>
      <w:r>
        <w:rPr>
          <w:rtl/>
        </w:rPr>
        <w:t xml:space="preserve"> </w:t>
      </w:r>
      <w:r>
        <w:t xml:space="preserve">Dual mit Suffix 2. Person Maskulinum Singular als Subjekt (personifiziert), weitere Apposition: </w:t>
      </w:r>
      <w:r>
        <w:rPr>
          <w:rStyle w:val="Fett"/>
          <w:rFonts w:eastAsiaTheme="majorEastAsia"/>
          <w:rtl/>
        </w:rPr>
        <w:t>הָאֹתֹת וְהַמֹּפְתִים הַגְּדֹלִים הָהֵם</w:t>
      </w:r>
      <w:r>
        <w:rPr>
          <w:rtl/>
        </w:rPr>
        <w:t xml:space="preserve"> </w:t>
      </w:r>
      <w:r>
        <w:t xml:space="preserve">mit </w:t>
      </w:r>
      <w:r>
        <w:rPr>
          <w:rStyle w:val="Fett"/>
          <w:rFonts w:eastAsiaTheme="majorEastAsia"/>
          <w:rtl/>
        </w:rPr>
        <w:t>אוֹת</w:t>
      </w:r>
      <w:r>
        <w:t xml:space="preserve">, „Zeichen", Plural mit Artikel, koordiniert mit </w:t>
      </w:r>
      <w:r>
        <w:rPr>
          <w:rStyle w:val="Fett"/>
          <w:rFonts w:eastAsiaTheme="majorEastAsia"/>
          <w:rtl/>
        </w:rPr>
        <w:t>מוֹפֵת</w:t>
      </w:r>
      <w:r>
        <w:t xml:space="preserve">, „Wunder", Plural mit Artikel, </w:t>
      </w:r>
      <w:r>
        <w:rPr>
          <w:rStyle w:val="Fett"/>
          <w:rFonts w:eastAsiaTheme="majorEastAsia"/>
          <w:rtl/>
        </w:rPr>
        <w:t>גָּדוֹל</w:t>
      </w:r>
      <w:r>
        <w:rPr>
          <w:rtl/>
        </w:rPr>
        <w:t xml:space="preserve"> </w:t>
      </w:r>
      <w:r>
        <w:t xml:space="preserve">Plural mit Artikel, </w:t>
      </w:r>
      <w:r>
        <w:rPr>
          <w:rStyle w:val="Fett"/>
          <w:rFonts w:eastAsiaTheme="majorEastAsia"/>
          <w:rtl/>
        </w:rPr>
        <w:t>הֵם</w:t>
      </w:r>
      <w:r>
        <w:t>).</w:t>
      </w:r>
    </w:p>
    <w:p w14:paraId="0FC77266" w14:textId="77777777" w:rsidR="008A57FB" w:rsidRDefault="008A57FB" w:rsidP="008A57FB">
      <w:pPr>
        <w:pStyle w:val="whitespace-normal"/>
      </w:pPr>
      <w:r>
        <w:t xml:space="preserve">Der Vers präzisiert, was Israel in Ägypten gesehen hat. Die Apposition: </w:t>
      </w:r>
      <w:r>
        <w:rPr>
          <w:rStyle w:val="Fett"/>
          <w:rFonts w:eastAsiaTheme="majorEastAsia"/>
          <w:rtl/>
        </w:rPr>
        <w:t>הַמַּסּוֹת הַגְּדֹלֹת אֲשֶׁר רָאוּ עֵינֶיךָ הָאֹתֹת וְהַמֹּפְתִים הַגְּדֹלִים הָהֵם</w:t>
      </w:r>
      <w:r>
        <w:rPr>
          <w:rtl/>
        </w:rPr>
        <w:t xml:space="preserve"> </w:t>
      </w:r>
      <w:r>
        <w:t xml:space="preserve">(„die großen Prüfungen, die deine Augen gesehen haben, jene großen Zeichen und Wunder"). Der Begriff </w:t>
      </w:r>
      <w:r>
        <w:rPr>
          <w:rStyle w:val="Fett"/>
          <w:rFonts w:eastAsiaTheme="majorEastAsia"/>
          <w:rtl/>
        </w:rPr>
        <w:t>מַסּוֹת</w:t>
      </w:r>
      <w:r>
        <w:rPr>
          <w:rtl/>
        </w:rPr>
        <w:t xml:space="preserve"> </w:t>
      </w:r>
      <w:r>
        <w:t xml:space="preserve">(„Prüfungen") bezieht sich auf die Plagen als Erprobung/Demonstration von JHWHs Macht (vgl. 4,34; 7,19). Die Formulierung </w:t>
      </w:r>
      <w:r>
        <w:rPr>
          <w:rStyle w:val="Fett"/>
          <w:rFonts w:eastAsiaTheme="majorEastAsia"/>
          <w:rtl/>
        </w:rPr>
        <w:t>אֲשֶׁר רָאוּ עֵינֶיךָ</w:t>
      </w:r>
      <w:r>
        <w:rPr>
          <w:rtl/>
        </w:rPr>
        <w:t xml:space="preserve"> </w:t>
      </w:r>
      <w:r>
        <w:t xml:space="preserve">(„die deine Augen gesehen haben") wiederholt die Betonung der Augenzeugenschaft, mit poetischer Personifizierung der Augen als Subjekt. Die beiden Begriffe </w:t>
      </w:r>
      <w:r>
        <w:rPr>
          <w:rStyle w:val="Fett"/>
          <w:rFonts w:eastAsiaTheme="majorEastAsia"/>
          <w:rtl/>
        </w:rPr>
        <w:t>הָאֹתֹת וְהַמֹּפְתִים</w:t>
      </w:r>
      <w:r>
        <w:rPr>
          <w:rtl/>
        </w:rPr>
        <w:t xml:space="preserve"> </w:t>
      </w:r>
      <w:r>
        <w:t xml:space="preserve">(„Zeichen und Wunder") sind die klassische Formulierung für JHWHs übernatürliche Taten (vgl. 4,34; 6,22; 7,19; 26,8; 28,46; 34,11). Das Adjektiv </w:t>
      </w:r>
      <w:r>
        <w:rPr>
          <w:rStyle w:val="Fett"/>
          <w:rFonts w:eastAsiaTheme="majorEastAsia"/>
          <w:rtl/>
        </w:rPr>
        <w:t>הַגְּדֹלִים</w:t>
      </w:r>
      <w:r>
        <w:rPr>
          <w:rtl/>
        </w:rPr>
        <w:t xml:space="preserve"> </w:t>
      </w:r>
      <w:r>
        <w:t xml:space="preserve">(„die großen") und das Demonstrativpronomen </w:t>
      </w:r>
      <w:r>
        <w:rPr>
          <w:rStyle w:val="Fett"/>
          <w:rFonts w:eastAsiaTheme="majorEastAsia"/>
          <w:rtl/>
        </w:rPr>
        <w:t>הָהֵם</w:t>
      </w:r>
      <w:r>
        <w:rPr>
          <w:rtl/>
        </w:rPr>
        <w:t xml:space="preserve"> </w:t>
      </w:r>
      <w:r>
        <w:t>(„jene") betonen die Eindrücklichkeit und Unvergesslichkeit.</w:t>
      </w:r>
    </w:p>
    <w:p w14:paraId="717C688D" w14:textId="77777777" w:rsidR="008A57FB" w:rsidRDefault="008A57FB" w:rsidP="008A57FB">
      <w:pPr>
        <w:pStyle w:val="whitespace-normal"/>
      </w:pPr>
      <w:r>
        <w:rPr>
          <w:rStyle w:val="Fett"/>
          <w:rFonts w:eastAsiaTheme="majorEastAsia"/>
        </w:rPr>
        <w:t>Die Satzstruktur:</w:t>
      </w:r>
      <w:r>
        <w:t xml:space="preserve"> Apposition (die großen Prüfungen, die deine Augen gesehen haben, jene großen Zeichen und Wunder).</w:t>
      </w:r>
    </w:p>
    <w:p w14:paraId="1118A0C8" w14:textId="3E99E45C" w:rsidR="008A57FB" w:rsidRDefault="008A57FB" w:rsidP="00564C2A">
      <w:pPr>
        <w:pStyle w:val="whitespace-normal"/>
      </w:pPr>
      <w:r>
        <w:rPr>
          <w:rStyle w:val="Fett"/>
          <w:rFonts w:eastAsiaTheme="majorEastAsia"/>
        </w:rPr>
        <w:t>Der Vers beschreibt:</w:t>
      </w:r>
      <w:r>
        <w:t xml:space="preserve"> Präzisierung – die ägyptischen Plagen waren große Prüfungen, Zeichen und Wunder, die Israel mit eigenen Augen sah.</w:t>
      </w:r>
    </w:p>
    <w:p w14:paraId="78DCD199" w14:textId="77777777" w:rsidR="008A57FB" w:rsidRPr="008D48A3" w:rsidRDefault="008A57FB" w:rsidP="008D48A3">
      <w:pPr>
        <w:pStyle w:val="Bibelberschrift"/>
      </w:pPr>
      <w:r w:rsidRPr="008D48A3">
        <w:rPr>
          <w:rStyle w:val="Fett"/>
          <w:b/>
          <w:bCs w:val="0"/>
        </w:rPr>
        <w:t>Deuteronomium 29,3 (29,4 MT)</w:t>
      </w:r>
    </w:p>
    <w:p w14:paraId="4A61DC95" w14:textId="77777777" w:rsidR="008A57FB" w:rsidRDefault="008A57FB" w:rsidP="008A57FB">
      <w:pPr>
        <w:pStyle w:val="whitespace-normal"/>
      </w:pPr>
      <w:r>
        <w:rPr>
          <w:rStyle w:val="Fett"/>
          <w:rFonts w:eastAsiaTheme="majorEastAsia"/>
        </w:rPr>
        <w:t>Hebräisch:</w:t>
      </w:r>
      <w:r>
        <w:t xml:space="preserve"> </w:t>
      </w:r>
      <w:r>
        <w:rPr>
          <w:rtl/>
        </w:rPr>
        <w:t>וְלֹא־נָתַן יְהוָה לָכֶם לֵב לָדַעַת וְעֵינַיִם לִרְאוֹת וְאָזְנַיִם לִשְׁמֹעַ עַד הַיּוֹם הַזֶּה׃</w:t>
      </w:r>
    </w:p>
    <w:p w14:paraId="27581FAA" w14:textId="77777777" w:rsidR="008A57FB" w:rsidRDefault="008A57FB" w:rsidP="008A57FB">
      <w:pPr>
        <w:pStyle w:val="whitespace-normal"/>
      </w:pPr>
      <w:r>
        <w:rPr>
          <w:rStyle w:val="Fett"/>
          <w:rFonts w:eastAsiaTheme="majorEastAsia"/>
        </w:rPr>
        <w:t>Deutsch:</w:t>
      </w:r>
      <w:r>
        <w:t xml:space="preserve"> Aber nicht gegeben hat JHWH euch ein Herz, zu erkennen, und Augen, zu sehen, und Ohren, zu hören, bis auf diesen Tag.</w:t>
      </w:r>
    </w:p>
    <w:p w14:paraId="7AC386EF" w14:textId="77777777" w:rsidR="008A57FB" w:rsidRDefault="004F5CEB" w:rsidP="008A57FB">
      <w:r>
        <w:rPr>
          <w:noProof/>
        </w:rPr>
        <w:pict w14:anchorId="7D66FDEB">
          <v:rect id="_x0000_i1816" style="width:0;height:1.5pt" o:hralign="center" o:hrstd="t" o:hr="t" fillcolor="#a0a0a0" stroked="f"/>
        </w:pict>
      </w:r>
    </w:p>
    <w:p w14:paraId="3A1C7849"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וְלֹא־נָתַן יְהוָה לָכֶם לֵב לָדַעַת וְעֵינַיִם לִרְאוֹת וְאָזְנַיִם לִשְׁמֹעַ עַד הַיּוֹם הַזֶּה</w:t>
      </w:r>
      <w:r>
        <w:rPr>
          <w:rtl/>
        </w:rPr>
        <w:t xml:space="preserve"> </w:t>
      </w:r>
      <w:r>
        <w:t xml:space="preserve">ist eine erstaunliche Aussage: </w:t>
      </w:r>
      <w:r>
        <w:rPr>
          <w:rStyle w:val="Fett"/>
          <w:rFonts w:eastAsiaTheme="majorEastAsia"/>
          <w:rtl/>
        </w:rPr>
        <w:t>וְלֹא־נָתַן יְהוָה לָכֶם לֵב לָדַעַת וְעֵינַיִם לִרְאוֹת וְאָזְנַיִם לִשְׁמֹעַ עַד הַיּוֹם הַזֶּה</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נתן</w:t>
      </w:r>
      <w:r>
        <w:t xml:space="preserve">, Qal Perfekt, 3. Person Maskulinum Singular, </w:t>
      </w:r>
      <w:r>
        <w:rPr>
          <w:rStyle w:val="Fett"/>
          <w:rFonts w:eastAsiaTheme="majorEastAsia"/>
          <w:rtl/>
        </w:rPr>
        <w:t>יְהוָה</w:t>
      </w:r>
      <w:r>
        <w:rPr>
          <w:rtl/>
        </w:rPr>
        <w:t xml:space="preserve"> </w:t>
      </w:r>
      <w:r>
        <w:t xml:space="preserve">als Subjekt, </w:t>
      </w:r>
      <w:r>
        <w:rPr>
          <w:rStyle w:val="Fett"/>
          <w:rFonts w:eastAsiaTheme="majorEastAsia"/>
          <w:rtl/>
        </w:rPr>
        <w:t>לָכֶם</w:t>
      </w:r>
      <w:r>
        <w:t xml:space="preserve">, drei Objekte mit Finalsätzen: </w:t>
      </w:r>
      <w:r>
        <w:rPr>
          <w:rStyle w:val="Fett"/>
          <w:rFonts w:eastAsiaTheme="majorEastAsia"/>
          <w:rtl/>
        </w:rPr>
        <w:t>לֵב</w:t>
      </w:r>
      <w:r>
        <w:rPr>
          <w:rtl/>
        </w:rPr>
        <w:t xml:space="preserve"> </w:t>
      </w:r>
      <w:r>
        <w:t xml:space="preserve">mit Präposition </w:t>
      </w:r>
      <w:r>
        <w:rPr>
          <w:rStyle w:val="Fett"/>
          <w:rFonts w:eastAsiaTheme="majorEastAsia"/>
          <w:rtl/>
        </w:rPr>
        <w:t>לְ</w:t>
      </w:r>
      <w:r>
        <w:rPr>
          <w:rtl/>
        </w:rPr>
        <w:t xml:space="preserve"> </w:t>
      </w:r>
      <w:r>
        <w:t xml:space="preserve">+ Qal Infinitiv Construct von </w:t>
      </w:r>
      <w:r>
        <w:rPr>
          <w:rStyle w:val="Fett"/>
          <w:rFonts w:eastAsiaTheme="majorEastAsia"/>
          <w:rtl/>
        </w:rPr>
        <w:t>ידע</w:t>
      </w:r>
      <w:r>
        <w:t xml:space="preserve">, </w:t>
      </w:r>
      <w:r>
        <w:rPr>
          <w:rStyle w:val="Fett"/>
          <w:rFonts w:eastAsiaTheme="majorEastAsia"/>
          <w:rtl/>
        </w:rPr>
        <w:t>עַיִן</w:t>
      </w:r>
      <w:r>
        <w:rPr>
          <w:rtl/>
        </w:rPr>
        <w:t xml:space="preserve"> </w:t>
      </w:r>
      <w:r>
        <w:t xml:space="preserve">Dual mit Präposition </w:t>
      </w:r>
      <w:r>
        <w:rPr>
          <w:rStyle w:val="Fett"/>
          <w:rFonts w:eastAsiaTheme="majorEastAsia"/>
          <w:rtl/>
        </w:rPr>
        <w:t>לְ</w:t>
      </w:r>
      <w:r>
        <w:rPr>
          <w:rtl/>
        </w:rPr>
        <w:t xml:space="preserve"> </w:t>
      </w:r>
      <w:r>
        <w:t xml:space="preserve">+ Qal Infinitiv Construct von </w:t>
      </w:r>
      <w:r>
        <w:rPr>
          <w:rStyle w:val="Fett"/>
          <w:rFonts w:eastAsiaTheme="majorEastAsia"/>
          <w:rtl/>
        </w:rPr>
        <w:t>ראה</w:t>
      </w:r>
      <w:r>
        <w:t xml:space="preserve">, </w:t>
      </w:r>
      <w:r>
        <w:rPr>
          <w:rStyle w:val="Fett"/>
          <w:rFonts w:eastAsiaTheme="majorEastAsia"/>
          <w:rtl/>
        </w:rPr>
        <w:t>אֹזֶן</w:t>
      </w:r>
      <w:r>
        <w:t xml:space="preserve">, „Ohr", Dual mit Präposition </w:t>
      </w:r>
      <w:r>
        <w:rPr>
          <w:rStyle w:val="Fett"/>
          <w:rFonts w:eastAsiaTheme="majorEastAsia"/>
          <w:rtl/>
        </w:rPr>
        <w:t>לְ</w:t>
      </w:r>
      <w:r>
        <w:rPr>
          <w:rtl/>
        </w:rPr>
        <w:t xml:space="preserve"> </w:t>
      </w:r>
      <w:r>
        <w:t xml:space="preserve">+ Qal Infinitiv Construct von </w:t>
      </w:r>
      <w:r>
        <w:rPr>
          <w:rStyle w:val="Fett"/>
          <w:rFonts w:eastAsiaTheme="majorEastAsia"/>
          <w:rtl/>
        </w:rPr>
        <w:t>שׁמע</w:t>
      </w:r>
      <w:r>
        <w:t xml:space="preserve">, </w:t>
      </w:r>
      <w:r>
        <w:rPr>
          <w:rStyle w:val="Fett"/>
          <w:rFonts w:eastAsiaTheme="majorEastAsia"/>
          <w:rtl/>
        </w:rPr>
        <w:t>עַד הַיּוֹם הַזֶּה</w:t>
      </w:r>
      <w:r>
        <w:t>).</w:t>
      </w:r>
    </w:p>
    <w:p w14:paraId="713F4CED" w14:textId="296B934C" w:rsidR="008A57FB" w:rsidRDefault="008A57FB" w:rsidP="008A57FB">
      <w:pPr>
        <w:pStyle w:val="whitespace-normal"/>
      </w:pPr>
      <w:r>
        <w:t xml:space="preserve">Der Vers enthält eine der theologisch schwierigsten Aussagen des Deuteronomiums. Die Aussage: </w:t>
      </w:r>
      <w:r>
        <w:rPr>
          <w:rStyle w:val="Fett"/>
          <w:rFonts w:eastAsiaTheme="majorEastAsia"/>
          <w:rtl/>
        </w:rPr>
        <w:t>וְלֹא־נָתַן יְהוָה לָכֶם לֵב לָדַעַת וְעֵינַיִם לִרְאוֹת וְאָזְנַיִם לִשְׁמֹעַ עַד הַיּוֹם הַזֶּה</w:t>
      </w:r>
      <w:r>
        <w:rPr>
          <w:rtl/>
        </w:rPr>
        <w:t xml:space="preserve"> </w:t>
      </w:r>
      <w:r>
        <w:t xml:space="preserve">(„aber nicht gegeben hat JHWH euch ein Herz, zu erkennen, und Augen, zu sehen, und Ohren, zu hören, bis auf diesen Tag"). Die drei Formulierungen: </w:t>
      </w:r>
      <w:r>
        <w:rPr>
          <w:rStyle w:val="Fett"/>
          <w:rFonts w:eastAsiaTheme="majorEastAsia"/>
          <w:rtl/>
        </w:rPr>
        <w:t>לֵב לָדַעַת</w:t>
      </w:r>
      <w:r>
        <w:rPr>
          <w:rtl/>
        </w:rPr>
        <w:t xml:space="preserve"> </w:t>
      </w:r>
      <w:r>
        <w:t xml:space="preserve">(„Herz, zu erkennen") – Verständnis, Einsicht (vgl. 8,5; Jes 6,10). </w:t>
      </w:r>
      <w:r>
        <w:rPr>
          <w:rStyle w:val="Fett"/>
          <w:rFonts w:eastAsiaTheme="majorEastAsia"/>
          <w:rtl/>
        </w:rPr>
        <w:t>עֵינַיִם לִרְאוֹת</w:t>
      </w:r>
      <w:r>
        <w:rPr>
          <w:rtl/>
        </w:rPr>
        <w:t xml:space="preserve"> </w:t>
      </w:r>
      <w:r>
        <w:t xml:space="preserve">(„Augen, zu sehen") – geistliches Sehen, nicht nur physisches Sehen (vgl. Jes 6,9). </w:t>
      </w:r>
      <w:r>
        <w:rPr>
          <w:rStyle w:val="Fett"/>
          <w:rFonts w:eastAsiaTheme="majorEastAsia"/>
          <w:rtl/>
        </w:rPr>
        <w:t>אָזְנַיִם לִשְׁמֹעַ</w:t>
      </w:r>
      <w:r>
        <w:rPr>
          <w:rtl/>
        </w:rPr>
        <w:t xml:space="preserve"> </w:t>
      </w:r>
      <w:r>
        <w:t xml:space="preserve">(„Ohren, zu hören") – geistliches Hören, Verstehen (vgl. Jes </w:t>
      </w:r>
      <w:r>
        <w:lastRenderedPageBreak/>
        <w:t xml:space="preserve">6,10; Jer 5,21; </w:t>
      </w:r>
      <w:r w:rsidR="00BF3748">
        <w:t>Hes</w:t>
      </w:r>
      <w:r>
        <w:t xml:space="preserve"> 12,2). Die Zeitangabe </w:t>
      </w:r>
      <w:r>
        <w:rPr>
          <w:rStyle w:val="Fett"/>
          <w:rFonts w:eastAsiaTheme="majorEastAsia"/>
          <w:rtl/>
        </w:rPr>
        <w:t>עַד הַיּוֹם הַזֶּה</w:t>
      </w:r>
      <w:r>
        <w:rPr>
          <w:rtl/>
        </w:rPr>
        <w:t xml:space="preserve"> </w:t>
      </w:r>
      <w:r>
        <w:t xml:space="preserve">(„bis auf diesen Tag") – erst jetzt, vierzig Jahre nach dem Exodus, gibt JHWH das Verstehen. Dies impliziert: (1) Die vierzigjährige Wüstenwanderung war nötig, um zur Reife zu kommen. (2) JHWH selbst muss das Verstehen geben – es ist nicht selbstverständlich. (3) Die vorherige Generation (die in der Wüste starb) hatte dieses Verstehen nie erlangt. (4) Die neue Generation erhält es jetzt. Ähnliche Aussagen über verstockte Herzen/blinde Augen/taube Ohren finden sich bei den Propheten (Jes 6,9-10; 63,17; Jer 5,21; </w:t>
      </w:r>
      <w:r w:rsidR="00BF3748">
        <w:t>Hes</w:t>
      </w:r>
      <w:r>
        <w:t xml:space="preserve"> 12,2).</w:t>
      </w:r>
    </w:p>
    <w:p w14:paraId="13BF957F" w14:textId="77777777" w:rsidR="004F2264" w:rsidRPr="004F2264" w:rsidRDefault="004F2264" w:rsidP="004F2264">
      <w:pPr>
        <w:spacing w:before="100" w:beforeAutospacing="1" w:after="100" w:afterAutospacing="1" w:line="240" w:lineRule="auto"/>
        <w:outlineLvl w:val="1"/>
        <w:rPr>
          <w:rFonts w:eastAsia="Times New Roman"/>
          <w:b/>
          <w:bCs/>
          <w:sz w:val="36"/>
          <w:szCs w:val="36"/>
          <w:lang w:eastAsia="de-DE"/>
        </w:rPr>
      </w:pPr>
      <w:r w:rsidRPr="004F2264">
        <w:rPr>
          <w:rFonts w:eastAsia="Times New Roman"/>
          <w:b/>
          <w:bCs/>
          <w:sz w:val="36"/>
          <w:szCs w:val="36"/>
          <w:lang w:eastAsia="de-DE"/>
        </w:rPr>
        <w:t>Vers 3 (MT 29:3) / Vers 4 (LXX)</w:t>
      </w:r>
    </w:p>
    <w:p w14:paraId="4726C32B" w14:textId="26E73AFB" w:rsidR="004F2264" w:rsidRPr="004F2264" w:rsidRDefault="004F2264" w:rsidP="004F2264">
      <w:pPr>
        <w:spacing w:before="100" w:beforeAutospacing="1" w:after="100" w:afterAutospacing="1" w:line="240" w:lineRule="auto"/>
        <w:rPr>
          <w:rFonts w:eastAsia="Times New Roman"/>
          <w:lang w:eastAsia="de-DE"/>
        </w:rPr>
      </w:pPr>
      <w:r w:rsidRPr="004F2264">
        <w:rPr>
          <w:rFonts w:eastAsia="Times New Roman"/>
          <w:b/>
          <w:bCs/>
          <w:lang w:eastAsia="de-DE"/>
        </w:rPr>
        <w:t>Die LXX</w:t>
      </w:r>
      <w:r w:rsidRPr="004F2264">
        <w:rPr>
          <w:rFonts w:eastAsia="Times New Roman"/>
          <w:lang w:eastAsia="de-DE"/>
        </w:rPr>
        <w:t xml:space="preserve"> übersetzt </w:t>
      </w:r>
      <w:r w:rsidRPr="004F2264">
        <w:rPr>
          <w:rFonts w:eastAsia="Times New Roman"/>
          <w:rtl/>
          <w:lang w:eastAsia="de-DE"/>
        </w:rPr>
        <w:t>וְלֹא־נָתַן יְהוָה לָכֶם</w:t>
      </w:r>
      <w:r w:rsidRPr="004F2264">
        <w:rPr>
          <w:rFonts w:eastAsia="Times New Roman"/>
          <w:lang w:eastAsia="de-DE"/>
        </w:rPr>
        <w:t xml:space="preserve"> (und der HERR hat euch nicht gegeben) mit καὶ </w:t>
      </w:r>
      <w:proofErr w:type="spellStart"/>
      <w:r w:rsidRPr="004F2264">
        <w:rPr>
          <w:rFonts w:eastAsia="Times New Roman"/>
          <w:lang w:eastAsia="de-DE"/>
        </w:rPr>
        <w:t>οὐκ</w:t>
      </w:r>
      <w:proofErr w:type="spellEnd"/>
      <w:r w:rsidRPr="004F2264">
        <w:rPr>
          <w:rFonts w:eastAsia="Times New Roman"/>
          <w:lang w:eastAsia="de-DE"/>
        </w:rPr>
        <w:t xml:space="preserve"> </w:t>
      </w:r>
      <w:proofErr w:type="spellStart"/>
      <w:r w:rsidRPr="004F2264">
        <w:rPr>
          <w:rFonts w:eastAsia="Times New Roman"/>
          <w:lang w:eastAsia="de-DE"/>
        </w:rPr>
        <w:t>ἔδωκεν</w:t>
      </w:r>
      <w:proofErr w:type="spellEnd"/>
      <w:r w:rsidRPr="004F2264">
        <w:rPr>
          <w:rFonts w:eastAsia="Times New Roman"/>
          <w:lang w:eastAsia="de-DE"/>
        </w:rPr>
        <w:t xml:space="preserve"> </w:t>
      </w:r>
      <w:proofErr w:type="spellStart"/>
      <w:r w:rsidRPr="004F2264">
        <w:rPr>
          <w:rFonts w:eastAsia="Times New Roman"/>
          <w:lang w:eastAsia="de-DE"/>
        </w:rPr>
        <w:t>Κύριος</w:t>
      </w:r>
      <w:proofErr w:type="spellEnd"/>
      <w:r w:rsidRPr="004F2264">
        <w:rPr>
          <w:rFonts w:eastAsia="Times New Roman"/>
          <w:lang w:eastAsia="de-DE"/>
        </w:rPr>
        <w:t xml:space="preserve"> ὁ </w:t>
      </w:r>
      <w:proofErr w:type="spellStart"/>
      <w:r w:rsidRPr="004F2264">
        <w:rPr>
          <w:rFonts w:eastAsia="Times New Roman"/>
          <w:lang w:eastAsia="de-DE"/>
        </w:rPr>
        <w:t>θεὸς</w:t>
      </w:r>
      <w:proofErr w:type="spellEnd"/>
      <w:r w:rsidRPr="004F2264">
        <w:rPr>
          <w:rFonts w:eastAsia="Times New Roman"/>
          <w:lang w:eastAsia="de-DE"/>
        </w:rPr>
        <w:t xml:space="preserve"> </w:t>
      </w:r>
      <w:proofErr w:type="spellStart"/>
      <w:r w:rsidRPr="004F2264">
        <w:rPr>
          <w:rFonts w:eastAsia="Times New Roman"/>
          <w:lang w:eastAsia="de-DE"/>
        </w:rPr>
        <w:t>ὑμῖν</w:t>
      </w:r>
      <w:proofErr w:type="spellEnd"/>
      <w:r w:rsidRPr="004F2264">
        <w:rPr>
          <w:rFonts w:eastAsia="Times New Roman"/>
          <w:lang w:eastAsia="de-DE"/>
        </w:rPr>
        <w:t xml:space="preserve"> (und der Herr, der Gott, hat euch nicht gegeben) – eine theologisch bedeutsame Stelle über die göttliche Souveränität im Verstehen.</w:t>
      </w:r>
    </w:p>
    <w:p w14:paraId="24771A15" w14:textId="77777777" w:rsidR="008A57FB" w:rsidRDefault="008A57FB" w:rsidP="008A57FB">
      <w:pPr>
        <w:pStyle w:val="whitespace-normal"/>
      </w:pPr>
      <w:r>
        <w:rPr>
          <w:rStyle w:val="Fett"/>
          <w:rFonts w:eastAsiaTheme="majorEastAsia"/>
        </w:rPr>
        <w:t>Die Satzstruktur:</w:t>
      </w:r>
      <w:r>
        <w:t xml:space="preserve"> Aussage (aber nicht gegeben hat JHWH euch ein Herz, zu erkennen, und Augen, zu sehen, und Ohren, zu hören, bis auf diesen Tag).</w:t>
      </w:r>
    </w:p>
    <w:p w14:paraId="08306662" w14:textId="77777777" w:rsidR="008A57FB" w:rsidRDefault="008A57FB" w:rsidP="008A57FB">
      <w:pPr>
        <w:pStyle w:val="whitespace-normal"/>
      </w:pPr>
      <w:r>
        <w:rPr>
          <w:rStyle w:val="Fett"/>
          <w:rFonts w:eastAsiaTheme="majorEastAsia"/>
        </w:rPr>
        <w:t>Der Vers beschreibt:</w:t>
      </w:r>
      <w:r>
        <w:t xml:space="preserve"> Theologisch schwierige Aussage – JHWH hat Israel bis heute kein geistliches </w:t>
      </w:r>
      <w:proofErr w:type="spellStart"/>
      <w:r>
        <w:t>Verstehen</w:t>
      </w:r>
      <w:proofErr w:type="spellEnd"/>
      <w:r>
        <w:t xml:space="preserve"> gegeben, aber jetzt (implizit) geschieht es.</w:t>
      </w:r>
    </w:p>
    <w:p w14:paraId="200FDAC0" w14:textId="77777777" w:rsidR="008A57FB" w:rsidRPr="008D48A3" w:rsidRDefault="008A57FB" w:rsidP="008D48A3">
      <w:pPr>
        <w:pStyle w:val="Bibelberschrift"/>
      </w:pPr>
      <w:r w:rsidRPr="008D48A3">
        <w:rPr>
          <w:rStyle w:val="Fett"/>
          <w:b/>
          <w:bCs w:val="0"/>
        </w:rPr>
        <w:t>Deuteronomium 29,4 (29,5 MT)</w:t>
      </w:r>
    </w:p>
    <w:p w14:paraId="1B47B618" w14:textId="77777777" w:rsidR="008A57FB" w:rsidRDefault="008A57FB" w:rsidP="008A57FB">
      <w:pPr>
        <w:pStyle w:val="whitespace-normal"/>
      </w:pPr>
      <w:r>
        <w:rPr>
          <w:rStyle w:val="Fett"/>
          <w:rFonts w:eastAsiaTheme="majorEastAsia"/>
        </w:rPr>
        <w:t>Hebräisch:</w:t>
      </w:r>
      <w:r>
        <w:t xml:space="preserve"> </w:t>
      </w:r>
      <w:r>
        <w:rPr>
          <w:rtl/>
        </w:rPr>
        <w:t>וָאוֹלֵךְ אֶתְכֶם אַרְבָּעִים שָׁנָה בַּמִּדְבָּר לֹא־בָלוּ שַׂלְמֹתֵיכֶם מֵעֲלֵיכֶם וְנַעַלְךָ לֹא־בָלְתָה מֵעַל רַגְלֶךָ׃</w:t>
      </w:r>
    </w:p>
    <w:p w14:paraId="29216EFE" w14:textId="77777777" w:rsidR="008A57FB" w:rsidRDefault="008A57FB" w:rsidP="008A57FB">
      <w:pPr>
        <w:pStyle w:val="whitespace-normal"/>
      </w:pPr>
      <w:r>
        <w:rPr>
          <w:rStyle w:val="Fett"/>
          <w:rFonts w:eastAsiaTheme="majorEastAsia"/>
        </w:rPr>
        <w:t>Deutsch:</w:t>
      </w:r>
      <w:r>
        <w:t xml:space="preserve"> Und ich habe euch vierzig Jahre in der Wüste geführt; eure Kleider sind nicht zerfallen von euch, und dein Schuh ist nicht zerfallen von deinem Fuß.</w:t>
      </w:r>
    </w:p>
    <w:p w14:paraId="02ABC990" w14:textId="77777777" w:rsidR="008A57FB" w:rsidRDefault="004F5CEB" w:rsidP="008A57FB">
      <w:r>
        <w:rPr>
          <w:noProof/>
        </w:rPr>
        <w:pict w14:anchorId="442184BF">
          <v:rect id="_x0000_i1817" style="width:0;height:1.5pt" o:hralign="center" o:hrstd="t" o:hr="t" fillcolor="#a0a0a0" stroked="f"/>
        </w:pict>
      </w:r>
    </w:p>
    <w:p w14:paraId="13605123"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וָאוֹלֵךְ אֶתְכֶם אַרְבָּעִים שָׁנָה בַּמִּדְבָּר לֹא־בָלוּ שַׂלְמֹתֵיכֶם מֵעֲלֵיכֶם וְנַעַלְךָ לֹא־בָלְתָה מֵעַל רַגְלֶךָ</w:t>
      </w:r>
      <w:r>
        <w:rPr>
          <w:rtl/>
        </w:rPr>
        <w:t xml:space="preserve"> </w:t>
      </w:r>
      <w:r>
        <w:t xml:space="preserve">sind drei Aussagen: </w:t>
      </w:r>
      <w:r>
        <w:rPr>
          <w:rStyle w:val="Fett"/>
          <w:rFonts w:eastAsiaTheme="majorEastAsia"/>
          <w:rtl/>
        </w:rPr>
        <w:t>וָאוֹלֵךְ אֶתְכֶם אַרְבָּעִים שָׁנָה בַּמִּדְבָּר</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הלך</w:t>
      </w:r>
      <w:r>
        <w:t xml:space="preserve">, Hiphil Imperfekt mit </w:t>
      </w:r>
      <w:r>
        <w:rPr>
          <w:rStyle w:val="Fett"/>
          <w:rFonts w:eastAsiaTheme="majorEastAsia"/>
        </w:rPr>
        <w:t>Waw</w:t>
      </w:r>
      <w:r>
        <w:t xml:space="preserve"> consecutivum, 1. Person Singular (JHWH/Mose als Sprecher), „führen", Objektpartikel </w:t>
      </w:r>
      <w:r>
        <w:rPr>
          <w:rStyle w:val="Fett"/>
          <w:rFonts w:eastAsiaTheme="majorEastAsia"/>
          <w:rtl/>
        </w:rPr>
        <w:t>אֵת</w:t>
      </w:r>
      <w:r>
        <w:rPr>
          <w:rtl/>
        </w:rPr>
        <w:t xml:space="preserve"> </w:t>
      </w:r>
      <w:r>
        <w:t xml:space="preserve">mit Suffix 2. Person Plural, </w:t>
      </w:r>
      <w:r>
        <w:rPr>
          <w:rStyle w:val="Fett"/>
          <w:rFonts w:eastAsiaTheme="majorEastAsia"/>
          <w:rtl/>
        </w:rPr>
        <w:t>אַרְבָּעִים שָׁנָה</w:t>
      </w:r>
      <w:r>
        <w:t xml:space="preserve">, </w:t>
      </w:r>
      <w:r>
        <w:rPr>
          <w:rStyle w:val="Fett"/>
          <w:rFonts w:eastAsiaTheme="majorEastAsia"/>
          <w:rtl/>
        </w:rPr>
        <w:t>בַּמִּדְבָּר</w:t>
      </w:r>
      <w:r>
        <w:t xml:space="preserve">), </w:t>
      </w:r>
      <w:r>
        <w:rPr>
          <w:rStyle w:val="Fett"/>
          <w:rFonts w:eastAsiaTheme="majorEastAsia"/>
          <w:rtl/>
        </w:rPr>
        <w:t>לֹא־בָלוּ שַׂלְמֹתֵיכֶם מֵעֲלֵיכֶם</w:t>
      </w:r>
      <w:r>
        <w:rPr>
          <w:rtl/>
        </w:rPr>
        <w:t xml:space="preserve"> </w:t>
      </w:r>
      <w:r>
        <w:t xml:space="preserve">(Negation, </w:t>
      </w:r>
      <w:r>
        <w:rPr>
          <w:rStyle w:val="Fett"/>
          <w:rFonts w:eastAsiaTheme="majorEastAsia"/>
          <w:rtl/>
        </w:rPr>
        <w:t>בלה</w:t>
      </w:r>
      <w:r>
        <w:t xml:space="preserve">, Qal Perfekt, 3. Person Plural, „zerfallen, verschleißen", </w:t>
      </w:r>
      <w:r>
        <w:rPr>
          <w:rStyle w:val="Fett"/>
          <w:rFonts w:eastAsiaTheme="majorEastAsia"/>
          <w:rtl/>
        </w:rPr>
        <w:t>שַׂלְמָה</w:t>
      </w:r>
      <w:r>
        <w:t xml:space="preserve">, „Kleid, Gewand", Plural mit Suffix 2. Person Plural als Subjekt, </w:t>
      </w:r>
      <w:r>
        <w:rPr>
          <w:rStyle w:val="Fett"/>
          <w:rFonts w:eastAsiaTheme="majorEastAsia"/>
          <w:rtl/>
        </w:rPr>
        <w:t>מֵעֲלֵיכֶם</w:t>
      </w:r>
      <w:r>
        <w:t xml:space="preserve">, „von euch"), </w:t>
      </w:r>
      <w:r>
        <w:rPr>
          <w:rStyle w:val="Fett"/>
          <w:rFonts w:eastAsiaTheme="majorEastAsia"/>
          <w:rtl/>
        </w:rPr>
        <w:t>וְנַעַלְךָ לֹא־בָלְתָה מֵעַל רַגְלֶךָ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נַעַל</w:t>
      </w:r>
      <w:r>
        <w:t xml:space="preserve">, „Schuh, Sandale", Singular mit Suffix 2. Person Maskulinum Singular, Negation, </w:t>
      </w:r>
      <w:r>
        <w:rPr>
          <w:rStyle w:val="Fett"/>
          <w:rFonts w:eastAsiaTheme="majorEastAsia"/>
          <w:rtl/>
        </w:rPr>
        <w:t>בלה</w:t>
      </w:r>
      <w:r>
        <w:t xml:space="preserve">, Qal Perfekt, 3. Person Femininum Singular, </w:t>
      </w:r>
      <w:r>
        <w:rPr>
          <w:rStyle w:val="Fett"/>
          <w:rFonts w:eastAsiaTheme="majorEastAsia"/>
          <w:rtl/>
        </w:rPr>
        <w:t>מֵעַל רַגְלֶךָ</w:t>
      </w:r>
      <w:r>
        <w:t>).</w:t>
      </w:r>
    </w:p>
    <w:p w14:paraId="71156B8E" w14:textId="77777777" w:rsidR="008A57FB" w:rsidRDefault="008A57FB" w:rsidP="008A57FB">
      <w:pPr>
        <w:pStyle w:val="whitespace-normal"/>
      </w:pPr>
      <w:r>
        <w:t xml:space="preserve">Der Vers erinnert an JHWHs wunderbare Fürsorge in der Wüste. Die erste Aussage: </w:t>
      </w:r>
      <w:r>
        <w:rPr>
          <w:rStyle w:val="Fett"/>
          <w:rFonts w:eastAsiaTheme="majorEastAsia"/>
          <w:rtl/>
        </w:rPr>
        <w:t>וָאוֹלֵךְ אֶתְכֶם אַרְבָּעִים שָׁנָה בַּמִּדְבָּר</w:t>
      </w:r>
      <w:r>
        <w:rPr>
          <w:rtl/>
        </w:rPr>
        <w:t xml:space="preserve"> </w:t>
      </w:r>
      <w:r>
        <w:t xml:space="preserve">(„und geführt habe ich euch vierzig Jahre in der Wüste"). Der Sprecher ist JHWH (durch Mose). Die zweite Aussage: </w:t>
      </w:r>
      <w:r>
        <w:rPr>
          <w:rStyle w:val="Fett"/>
          <w:rFonts w:eastAsiaTheme="majorEastAsia"/>
          <w:rtl/>
        </w:rPr>
        <w:t>לֹא־בָלוּ שַׂלְמֹתֵיכֶם מֵעֲלֵיכֶם</w:t>
      </w:r>
      <w:r>
        <w:rPr>
          <w:rtl/>
        </w:rPr>
        <w:t xml:space="preserve"> </w:t>
      </w:r>
      <w:r>
        <w:t xml:space="preserve">(„nicht zerfallen sind eure Kleider von euch"). Übernatürliche Bewahrung – trotz vierzig Jahren Wüstenwanderung verschleißen die Kleider nicht (vgl. 8,4; Neh 9,21). Die dritte Aussage: </w:t>
      </w:r>
      <w:r>
        <w:rPr>
          <w:rStyle w:val="Fett"/>
          <w:rFonts w:eastAsiaTheme="majorEastAsia"/>
          <w:rtl/>
        </w:rPr>
        <w:t>וְנַעַלְךָ לֹא־בָלְתָה מֵעַל רַגְלֶךָ</w:t>
      </w:r>
      <w:r>
        <w:rPr>
          <w:rtl/>
        </w:rPr>
        <w:t xml:space="preserve"> </w:t>
      </w:r>
      <w:r>
        <w:t>(„und dein Schuh ist nicht zerfallen von deinem Fuß"). Übergang von Plural zu Singular – kollektiver Singular für das Volk. Die beiden Aussagen über Kleider und Schuhe sind Beispiele für JHWHs umfassende Versorgung.</w:t>
      </w:r>
    </w:p>
    <w:p w14:paraId="5DCC0E23" w14:textId="77777777" w:rsidR="008A57FB" w:rsidRDefault="008A57FB" w:rsidP="008A57FB">
      <w:pPr>
        <w:pStyle w:val="whitespace-normal"/>
      </w:pPr>
      <w:r>
        <w:rPr>
          <w:rStyle w:val="Fett"/>
          <w:rFonts w:eastAsiaTheme="majorEastAsia"/>
        </w:rPr>
        <w:lastRenderedPageBreak/>
        <w:t>Die Satzstruktur:</w:t>
      </w:r>
      <w:r>
        <w:t xml:space="preserve"> Drei Aussagen (und geführt habe ich euch vierzig Jahre in der Wüste; nicht zerfallen sind eure Kleider von euch, und dein Schuh ist nicht zerfallen von deinem Fuß).</w:t>
      </w:r>
    </w:p>
    <w:p w14:paraId="5DFFCD30" w14:textId="3884A99C" w:rsidR="008A57FB" w:rsidRDefault="008A57FB" w:rsidP="00564C2A">
      <w:pPr>
        <w:pStyle w:val="whitespace-normal"/>
      </w:pPr>
      <w:r>
        <w:rPr>
          <w:rStyle w:val="Fett"/>
          <w:rFonts w:eastAsiaTheme="majorEastAsia"/>
        </w:rPr>
        <w:t>Der Vers beschreibt:</w:t>
      </w:r>
      <w:r>
        <w:t xml:space="preserve"> JHWHs wunderbare Fürsorge – vierzig Jahre in der Wüste, Kleider und Schuhe verschleißen nicht.</w:t>
      </w:r>
    </w:p>
    <w:p w14:paraId="396F8EC4" w14:textId="77777777" w:rsidR="008A57FB" w:rsidRPr="008D48A3" w:rsidRDefault="008A57FB" w:rsidP="008D48A3">
      <w:pPr>
        <w:pStyle w:val="Bibelberschrift"/>
      </w:pPr>
      <w:r w:rsidRPr="008D48A3">
        <w:rPr>
          <w:rStyle w:val="Fett"/>
          <w:b/>
          <w:bCs w:val="0"/>
        </w:rPr>
        <w:t>Deuteronomium 29,5 (29,6 MT)</w:t>
      </w:r>
    </w:p>
    <w:p w14:paraId="07C4D75D" w14:textId="77777777" w:rsidR="008A57FB" w:rsidRDefault="008A57FB" w:rsidP="008A57FB">
      <w:pPr>
        <w:pStyle w:val="whitespace-normal"/>
      </w:pPr>
      <w:r>
        <w:rPr>
          <w:rStyle w:val="Fett"/>
          <w:rFonts w:eastAsiaTheme="majorEastAsia"/>
        </w:rPr>
        <w:t>Hebräisch:</w:t>
      </w:r>
      <w:r>
        <w:t xml:space="preserve"> </w:t>
      </w:r>
      <w:r>
        <w:rPr>
          <w:rtl/>
        </w:rPr>
        <w:t>לֶחֶם לֹא אֲכַלְתֶּם וְיַיִן וְשֵׁכָר לֹא שְׁתִיתֶם לְמַעַן תֵּדְעוּ כִּי אֲנִי יְהוָה אֱלֹהֵיכֶם׃</w:t>
      </w:r>
    </w:p>
    <w:p w14:paraId="2586BC51" w14:textId="77777777" w:rsidR="008A57FB" w:rsidRDefault="008A57FB" w:rsidP="008A57FB">
      <w:pPr>
        <w:pStyle w:val="whitespace-normal"/>
      </w:pPr>
      <w:r>
        <w:rPr>
          <w:rStyle w:val="Fett"/>
          <w:rFonts w:eastAsiaTheme="majorEastAsia"/>
        </w:rPr>
        <w:t>Deutsch:</w:t>
      </w:r>
      <w:r>
        <w:t xml:space="preserve"> Brot habt ihr nicht gegessen, und Wein und Bier habt ihr nicht getrunken – damit ihr erkennt, dass ich JHWH, euer Gott, bin.</w:t>
      </w:r>
    </w:p>
    <w:p w14:paraId="3CF32560" w14:textId="77777777" w:rsidR="008A57FB" w:rsidRDefault="004F5CEB" w:rsidP="008A57FB">
      <w:r>
        <w:rPr>
          <w:noProof/>
        </w:rPr>
        <w:pict w14:anchorId="5C0902E9">
          <v:rect id="_x0000_i1818" style="width:0;height:1.5pt" o:hralign="center" o:hrstd="t" o:hr="t" fillcolor="#a0a0a0" stroked="f"/>
        </w:pict>
      </w:r>
    </w:p>
    <w:p w14:paraId="56EDA552"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לֶחֶם לֹא אֲכַלְתֶּם וְיַיִן וְשֵׁכָר לֹא שְׁתִיתֶם לְמַעַן תֵּדְעוּ כִּי אֲנִי יְהוָה אֱלֹהֵיכֶם</w:t>
      </w:r>
      <w:r>
        <w:rPr>
          <w:rtl/>
        </w:rPr>
        <w:t xml:space="preserve"> </w:t>
      </w:r>
      <w:r>
        <w:t xml:space="preserve">sind zwei Aussagen mit Finalsatz: </w:t>
      </w:r>
      <w:r>
        <w:rPr>
          <w:rStyle w:val="Fett"/>
          <w:rFonts w:eastAsiaTheme="majorEastAsia"/>
          <w:rtl/>
        </w:rPr>
        <w:t>לֶחֶם לֹא אֲכַלְתֶּם</w:t>
      </w:r>
      <w:r>
        <w:rPr>
          <w:rtl/>
        </w:rPr>
        <w:t xml:space="preserve"> </w:t>
      </w:r>
      <w:r>
        <w:t>(</w:t>
      </w:r>
      <w:r>
        <w:rPr>
          <w:rStyle w:val="Fett"/>
          <w:rFonts w:eastAsiaTheme="majorEastAsia"/>
          <w:rtl/>
        </w:rPr>
        <w:t>לֶחֶם</w:t>
      </w:r>
      <w:r>
        <w:t xml:space="preserve">, „Brot", Negation, </w:t>
      </w:r>
      <w:r>
        <w:rPr>
          <w:rStyle w:val="Fett"/>
          <w:rFonts w:eastAsiaTheme="majorEastAsia"/>
          <w:rtl/>
        </w:rPr>
        <w:t>אכל</w:t>
      </w:r>
      <w:r>
        <w:t xml:space="preserve">, Qal Perfekt, 2. Person Plural), </w:t>
      </w:r>
      <w:r>
        <w:rPr>
          <w:rStyle w:val="Fett"/>
          <w:rFonts w:eastAsiaTheme="majorEastAsia"/>
          <w:rtl/>
        </w:rPr>
        <w:t>וְיַיִן וְשֵׁכָר לֹא שְׁתִיתֶם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יַיִן</w:t>
      </w:r>
      <w:r>
        <w:t xml:space="preserve">, koordiniert durch </w:t>
      </w:r>
      <w:r>
        <w:rPr>
          <w:rStyle w:val="Fett"/>
          <w:rFonts w:eastAsiaTheme="majorEastAsia"/>
          <w:rtl/>
        </w:rPr>
        <w:t>וְ</w:t>
      </w:r>
      <w:r>
        <w:rPr>
          <w:rtl/>
        </w:rPr>
        <w:t xml:space="preserve"> </w:t>
      </w:r>
      <w:r>
        <w:t xml:space="preserve">mit </w:t>
      </w:r>
      <w:r>
        <w:rPr>
          <w:rStyle w:val="Fett"/>
          <w:rFonts w:eastAsiaTheme="majorEastAsia"/>
          <w:rtl/>
        </w:rPr>
        <w:t>שֵׁכָר</w:t>
      </w:r>
      <w:r>
        <w:t xml:space="preserve">, „Bier, berauschendes Getränk", Negation, </w:t>
      </w:r>
      <w:r>
        <w:rPr>
          <w:rStyle w:val="Fett"/>
          <w:rFonts w:eastAsiaTheme="majorEastAsia"/>
          <w:rtl/>
        </w:rPr>
        <w:t>שׁתה</w:t>
      </w:r>
      <w:r>
        <w:t xml:space="preserve">, Qal Perfekt, 2. Person Plural), </w:t>
      </w:r>
      <w:r>
        <w:rPr>
          <w:rStyle w:val="Fett"/>
          <w:rFonts w:eastAsiaTheme="majorEastAsia"/>
          <w:rtl/>
        </w:rPr>
        <w:t>לְמַעַן תֵּדְעוּ כִּי אֲנִי יְהוָה אֱלֹהֵיכֶם</w:t>
      </w:r>
      <w:r>
        <w:rPr>
          <w:rtl/>
        </w:rPr>
        <w:t xml:space="preserve"> </w:t>
      </w:r>
      <w:r>
        <w:t xml:space="preserve">(Finalsatz: </w:t>
      </w:r>
      <w:r>
        <w:rPr>
          <w:rStyle w:val="Fett"/>
          <w:rFonts w:eastAsiaTheme="majorEastAsia"/>
          <w:rtl/>
        </w:rPr>
        <w:t>לְמַעַן</w:t>
      </w:r>
      <w:r>
        <w:rPr>
          <w:rtl/>
        </w:rPr>
        <w:t xml:space="preserve"> </w:t>
      </w:r>
      <w:r>
        <w:t xml:space="preserve">mit </w:t>
      </w:r>
      <w:r>
        <w:rPr>
          <w:rStyle w:val="Fett"/>
          <w:rFonts w:eastAsiaTheme="majorEastAsia"/>
          <w:rtl/>
        </w:rPr>
        <w:t>ידע</w:t>
      </w:r>
      <w:r>
        <w:t xml:space="preserve">, Qal Imperfekt, 2. Person Plural, </w:t>
      </w:r>
      <w:r>
        <w:rPr>
          <w:rStyle w:val="Fett"/>
          <w:rFonts w:eastAsiaTheme="majorEastAsia"/>
          <w:rtl/>
        </w:rPr>
        <w:t>כִּי</w:t>
      </w:r>
      <w:r>
        <w:t xml:space="preserve">-Satz: </w:t>
      </w:r>
      <w:r>
        <w:rPr>
          <w:rStyle w:val="Fett"/>
          <w:rFonts w:eastAsiaTheme="majorEastAsia"/>
          <w:rtl/>
        </w:rPr>
        <w:t>כִּי אֲנִי יְהוָה אֱלֹהֵיכֶם</w:t>
      </w:r>
      <w:r>
        <w:t>).</w:t>
      </w:r>
    </w:p>
    <w:p w14:paraId="75EC25A2" w14:textId="1C965C96" w:rsidR="008A57FB" w:rsidRDefault="008A57FB" w:rsidP="008A57FB">
      <w:pPr>
        <w:pStyle w:val="whitespace-normal"/>
      </w:pPr>
      <w:r>
        <w:t xml:space="preserve">Der Vers setzt die Erinnerung an die Wüstenzeit fort. Die erste Aussage: </w:t>
      </w:r>
      <w:r>
        <w:rPr>
          <w:rStyle w:val="Fett"/>
          <w:rFonts w:eastAsiaTheme="majorEastAsia"/>
          <w:rtl/>
        </w:rPr>
        <w:t>לֶחֶם לֹא אֲכַלְתֶּם</w:t>
      </w:r>
      <w:r>
        <w:rPr>
          <w:rtl/>
        </w:rPr>
        <w:t xml:space="preserve"> </w:t>
      </w:r>
      <w:r>
        <w:t xml:space="preserve">(„Brot habt ihr nicht gegessen"). Dies bedeutet: kein normales Brot, sondern Manna (vgl. 8,3.16; Ex 16,4.15). Die zweite Aussage: </w:t>
      </w:r>
      <w:r>
        <w:rPr>
          <w:rStyle w:val="Fett"/>
          <w:rFonts w:eastAsiaTheme="majorEastAsia"/>
          <w:rtl/>
        </w:rPr>
        <w:t>וְיַיִן וְשֵׁכָר לֹא שְׁתִיתֶם</w:t>
      </w:r>
      <w:r>
        <w:rPr>
          <w:rtl/>
        </w:rPr>
        <w:t xml:space="preserve"> </w:t>
      </w:r>
      <w:r>
        <w:t xml:space="preserve">(„und Wein und Bier habt ihr nicht getrunken"). Keine alkoholischen Getränke – nur Wasser. Die beiden Begriffe </w:t>
      </w:r>
      <w:r>
        <w:rPr>
          <w:rStyle w:val="Fett"/>
          <w:rFonts w:eastAsiaTheme="majorEastAsia"/>
          <w:rtl/>
        </w:rPr>
        <w:t>יַיִן</w:t>
      </w:r>
      <w:r>
        <w:rPr>
          <w:rtl/>
        </w:rPr>
        <w:t xml:space="preserve"> </w:t>
      </w:r>
      <w:r>
        <w:t xml:space="preserve">(„Wein") und </w:t>
      </w:r>
      <w:r>
        <w:rPr>
          <w:rStyle w:val="Fett"/>
          <w:rFonts w:eastAsiaTheme="majorEastAsia"/>
          <w:rtl/>
        </w:rPr>
        <w:t>שֵׁכָר</w:t>
      </w:r>
      <w:r>
        <w:rPr>
          <w:rtl/>
        </w:rPr>
        <w:t xml:space="preserve"> </w:t>
      </w:r>
      <w:r>
        <w:t xml:space="preserve">(„Bier, berauschendes Getränk") stehen für alle alkoholischen Getränke (vgl. Num 6,3; Ri 13,4.7.14; </w:t>
      </w:r>
      <w:r w:rsidR="00664EB6">
        <w:t>1Sam</w:t>
      </w:r>
      <w:r>
        <w:t xml:space="preserve"> 1,15). Der Finalsatz: </w:t>
      </w:r>
      <w:r>
        <w:rPr>
          <w:rStyle w:val="Fett"/>
          <w:rFonts w:eastAsiaTheme="majorEastAsia"/>
          <w:rtl/>
        </w:rPr>
        <w:t>לְמַעַן תֵּדְעוּ כִּי אֲנִי יְהוָה אֱלֹהֵיכֶם</w:t>
      </w:r>
      <w:r>
        <w:rPr>
          <w:rtl/>
        </w:rPr>
        <w:t xml:space="preserve"> </w:t>
      </w:r>
      <w:r>
        <w:t>(„damit ihr erkennt, dass ich JHWH, euer Gott, bin"). Der Zweck der außergewöhnlichen Versorgung: Erkenntnis von JHWHs Identität und Einzigartigkeit (vgl. 8,3; Ex 16,12). Die ungewöhnliche Nahrung (Manna statt Brot) und das Fehlen von Wein sollten Israel lehren, vollständig auf JHWH zu vertrauen.</w:t>
      </w:r>
    </w:p>
    <w:p w14:paraId="5C966184" w14:textId="77777777" w:rsidR="004F2264" w:rsidRPr="004F2264" w:rsidRDefault="004F2264" w:rsidP="004F2264">
      <w:pPr>
        <w:spacing w:before="100" w:beforeAutospacing="1" w:after="100" w:afterAutospacing="1" w:line="240" w:lineRule="auto"/>
        <w:outlineLvl w:val="1"/>
        <w:rPr>
          <w:rFonts w:eastAsia="Times New Roman"/>
          <w:b/>
          <w:bCs/>
          <w:sz w:val="36"/>
          <w:szCs w:val="36"/>
          <w:lang w:eastAsia="de-DE"/>
        </w:rPr>
      </w:pPr>
      <w:r w:rsidRPr="004F2264">
        <w:rPr>
          <w:rFonts w:eastAsia="Times New Roman"/>
          <w:b/>
          <w:bCs/>
          <w:sz w:val="36"/>
          <w:szCs w:val="36"/>
          <w:lang w:eastAsia="de-DE"/>
        </w:rPr>
        <w:t>Vers 5 (MT) / Vers 6 (LXX)</w:t>
      </w:r>
    </w:p>
    <w:p w14:paraId="7FDBEED3" w14:textId="0C4BBE80" w:rsidR="004F2264" w:rsidRPr="004F2264" w:rsidRDefault="004F2264" w:rsidP="004F2264">
      <w:pPr>
        <w:spacing w:before="100" w:beforeAutospacing="1" w:after="100" w:afterAutospacing="1" w:line="240" w:lineRule="auto"/>
        <w:rPr>
          <w:rFonts w:eastAsia="Times New Roman"/>
          <w:lang w:eastAsia="de-DE"/>
        </w:rPr>
      </w:pPr>
      <w:r w:rsidRPr="004F2264">
        <w:rPr>
          <w:rFonts w:eastAsia="Times New Roman"/>
          <w:b/>
          <w:bCs/>
          <w:lang w:eastAsia="de-DE"/>
        </w:rPr>
        <w:t>Die LXX</w:t>
      </w:r>
      <w:r w:rsidRPr="004F2264">
        <w:rPr>
          <w:rFonts w:eastAsia="Times New Roman"/>
          <w:lang w:eastAsia="de-DE"/>
        </w:rPr>
        <w:t xml:space="preserve"> übersetzt </w:t>
      </w:r>
      <w:r w:rsidRPr="004F2264">
        <w:rPr>
          <w:rFonts w:eastAsia="Times New Roman"/>
          <w:rtl/>
          <w:lang w:eastAsia="de-DE"/>
        </w:rPr>
        <w:t>לֶחֶם לֹא אֲכַלְתֶּם</w:t>
      </w:r>
      <w:r w:rsidRPr="004F2264">
        <w:rPr>
          <w:rFonts w:eastAsia="Times New Roman"/>
          <w:lang w:eastAsia="de-DE"/>
        </w:rPr>
        <w:t xml:space="preserve"> (Brot habt ihr nicht gegessen) mit </w:t>
      </w:r>
      <w:proofErr w:type="spellStart"/>
      <w:r w:rsidRPr="004F2264">
        <w:rPr>
          <w:rFonts w:eastAsia="Times New Roman"/>
          <w:lang w:eastAsia="de-DE"/>
        </w:rPr>
        <w:t>ἄρτον</w:t>
      </w:r>
      <w:proofErr w:type="spellEnd"/>
      <w:r w:rsidRPr="004F2264">
        <w:rPr>
          <w:rFonts w:eastAsia="Times New Roman"/>
          <w:lang w:eastAsia="de-DE"/>
        </w:rPr>
        <w:t xml:space="preserve"> </w:t>
      </w:r>
      <w:proofErr w:type="spellStart"/>
      <w:r w:rsidRPr="004F2264">
        <w:rPr>
          <w:rFonts w:eastAsia="Times New Roman"/>
          <w:lang w:eastAsia="de-DE"/>
        </w:rPr>
        <w:t>οὐκ</w:t>
      </w:r>
      <w:proofErr w:type="spellEnd"/>
      <w:r w:rsidRPr="004F2264">
        <w:rPr>
          <w:rFonts w:eastAsia="Times New Roman"/>
          <w:lang w:eastAsia="de-DE"/>
        </w:rPr>
        <w:t xml:space="preserve"> </w:t>
      </w:r>
      <w:proofErr w:type="spellStart"/>
      <w:r w:rsidRPr="004F2264">
        <w:rPr>
          <w:rFonts w:eastAsia="Times New Roman"/>
          <w:lang w:eastAsia="de-DE"/>
        </w:rPr>
        <w:t>ἐφάγετε</w:t>
      </w:r>
      <w:proofErr w:type="spellEnd"/>
      <w:r w:rsidRPr="004F2264">
        <w:rPr>
          <w:rFonts w:eastAsia="Times New Roman"/>
          <w:lang w:eastAsia="de-DE"/>
        </w:rPr>
        <w:t xml:space="preserve"> (Brot habt ihr nicht gegessen) und fügt hinzu </w:t>
      </w:r>
      <w:proofErr w:type="spellStart"/>
      <w:r w:rsidRPr="004F2264">
        <w:rPr>
          <w:rFonts w:eastAsia="Times New Roman"/>
          <w:lang w:eastAsia="de-DE"/>
        </w:rPr>
        <w:t>ἵν</w:t>
      </w:r>
      <w:proofErr w:type="spellEnd"/>
      <w:r w:rsidRPr="004F2264">
        <w:rPr>
          <w:rFonts w:eastAsia="Times New Roman"/>
          <w:lang w:eastAsia="de-DE"/>
        </w:rPr>
        <w:t xml:space="preserve">α </w:t>
      </w:r>
      <w:proofErr w:type="spellStart"/>
      <w:r w:rsidRPr="004F2264">
        <w:rPr>
          <w:rFonts w:eastAsia="Times New Roman"/>
          <w:lang w:eastAsia="de-DE"/>
        </w:rPr>
        <w:t>γνῶτε</w:t>
      </w:r>
      <w:proofErr w:type="spellEnd"/>
      <w:r w:rsidRPr="004F2264">
        <w:rPr>
          <w:rFonts w:eastAsia="Times New Roman"/>
          <w:lang w:eastAsia="de-DE"/>
        </w:rPr>
        <w:t xml:space="preserve"> (damit ihr erkennt) – eine finale Konjunktion, die den Zweck explizit macht.</w:t>
      </w:r>
    </w:p>
    <w:p w14:paraId="7F6CB8CD" w14:textId="77777777" w:rsidR="008A57FB" w:rsidRDefault="008A57FB" w:rsidP="008A57FB">
      <w:pPr>
        <w:pStyle w:val="whitespace-normal"/>
      </w:pPr>
      <w:r>
        <w:rPr>
          <w:rStyle w:val="Fett"/>
          <w:rFonts w:eastAsiaTheme="majorEastAsia"/>
        </w:rPr>
        <w:t>Die Satzstruktur:</w:t>
      </w:r>
      <w:r>
        <w:t xml:space="preserve"> Zwei Aussagen mit Finalsatz (Brot habt ihr nicht gegessen, und Wein und Bier habt ihr nicht getrunken – damit ihr erkennt, dass ich JHWH, euer Gott, bin).</w:t>
      </w:r>
    </w:p>
    <w:p w14:paraId="0D4868B9" w14:textId="46608B0F" w:rsidR="008A57FB" w:rsidRDefault="008A57FB" w:rsidP="00564C2A">
      <w:pPr>
        <w:pStyle w:val="whitespace-normal"/>
      </w:pPr>
      <w:r>
        <w:rPr>
          <w:rStyle w:val="Fett"/>
          <w:rFonts w:eastAsiaTheme="majorEastAsia"/>
        </w:rPr>
        <w:t>Der Vers beschreibt:</w:t>
      </w:r>
      <w:r>
        <w:t xml:space="preserve"> Zweck der außergewöhnlichen Versorgung – keine normale Nahrung, sondern Manna und Wasser, um JHWHs Identität zu erkennen.</w:t>
      </w:r>
    </w:p>
    <w:p w14:paraId="2DE62FAA" w14:textId="77777777" w:rsidR="008A57FB" w:rsidRPr="008D48A3" w:rsidRDefault="008A57FB" w:rsidP="008D48A3">
      <w:pPr>
        <w:pStyle w:val="Bibelberschrift"/>
      </w:pPr>
      <w:r w:rsidRPr="008D48A3">
        <w:rPr>
          <w:rStyle w:val="Fett"/>
          <w:b/>
          <w:bCs w:val="0"/>
        </w:rPr>
        <w:lastRenderedPageBreak/>
        <w:t>Deuteronomium 29,6 (29,7 MT)</w:t>
      </w:r>
    </w:p>
    <w:p w14:paraId="72BF57E8" w14:textId="77777777" w:rsidR="008A57FB" w:rsidRDefault="008A57FB" w:rsidP="008A57FB">
      <w:pPr>
        <w:pStyle w:val="whitespace-normal"/>
      </w:pPr>
      <w:r>
        <w:rPr>
          <w:rStyle w:val="Fett"/>
          <w:rFonts w:eastAsiaTheme="majorEastAsia"/>
        </w:rPr>
        <w:t>Hebräisch:</w:t>
      </w:r>
      <w:r>
        <w:t xml:space="preserve"> </w:t>
      </w:r>
      <w:r>
        <w:rPr>
          <w:rtl/>
        </w:rPr>
        <w:t>וַתָּבֹאוּ אֶל־הַמָּקוֹם הַזֶּה וַיֵּצֵא סִיחֹן מֶלֶךְ־חֶשְׁבּוֹן וְעוֹג מֶלֶךְ־הַבָּשָׁן לִקְרָאתֵנוּ לַמִּלְחָמָה וַנַּכֵּם׃</w:t>
      </w:r>
    </w:p>
    <w:p w14:paraId="319C669A" w14:textId="77777777" w:rsidR="008A57FB" w:rsidRDefault="008A57FB" w:rsidP="008A57FB">
      <w:pPr>
        <w:pStyle w:val="whitespace-normal"/>
      </w:pPr>
      <w:r>
        <w:rPr>
          <w:rStyle w:val="Fett"/>
          <w:rFonts w:eastAsiaTheme="majorEastAsia"/>
        </w:rPr>
        <w:t>Deutsch:</w:t>
      </w:r>
      <w:r>
        <w:t xml:space="preserve"> Und ihr kamt zu diesem Ort, und es zog aus Sihon, der König von Heschbon, und Og, der König von Baschan, uns entgegen zum Kampf, und wir schlugen sie.</w:t>
      </w:r>
    </w:p>
    <w:p w14:paraId="5818FD95" w14:textId="77777777" w:rsidR="008A57FB" w:rsidRDefault="004F5CEB" w:rsidP="008A57FB">
      <w:r>
        <w:rPr>
          <w:noProof/>
        </w:rPr>
        <w:pict w14:anchorId="7C34D4A9">
          <v:rect id="_x0000_i1819" style="width:0;height:1.5pt" o:hralign="center" o:hrstd="t" o:hr="t" fillcolor="#a0a0a0" stroked="f"/>
        </w:pict>
      </w:r>
    </w:p>
    <w:p w14:paraId="51C51C96"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וַתָּבֹאוּ אֶל־הַמָּקוֹם הַזֶּה וַיֵּצֵא סִיחֹן מֶלֶךְ־חֶשְׁבּוֹן וְעוֹג מֶלֶךְ־הַבָּשָׁן לִקְרָאתֵנוּ לַמִּלְחָמָה וַנַּכֵּם</w:t>
      </w:r>
      <w:r>
        <w:rPr>
          <w:rtl/>
        </w:rPr>
        <w:t xml:space="preserve"> </w:t>
      </w:r>
      <w:r>
        <w:t xml:space="preserve">sind drei Aussagen: </w:t>
      </w:r>
      <w:r>
        <w:rPr>
          <w:rStyle w:val="Fett"/>
          <w:rFonts w:eastAsiaTheme="majorEastAsia"/>
          <w:rtl/>
        </w:rPr>
        <w:t>וַתָּבֹאוּ אֶל־הַמָּקוֹם הַזֶּה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בוא</w:t>
      </w:r>
      <w:r>
        <w:t xml:space="preserve">, Qal Imperfekt mit </w:t>
      </w:r>
      <w:r>
        <w:rPr>
          <w:rStyle w:val="Fett"/>
          <w:rFonts w:eastAsiaTheme="majorEastAsia"/>
        </w:rPr>
        <w:t>Waw</w:t>
      </w:r>
      <w:r>
        <w:t xml:space="preserve"> consecutivum, 2. Person Plural, Präposition </w:t>
      </w:r>
      <w:r>
        <w:rPr>
          <w:rStyle w:val="Fett"/>
          <w:rFonts w:eastAsiaTheme="majorEastAsia"/>
          <w:rtl/>
        </w:rPr>
        <w:t>אֶל</w:t>
      </w:r>
      <w:r>
        <w:rPr>
          <w:rtl/>
        </w:rPr>
        <w:t xml:space="preserve"> </w:t>
      </w:r>
      <w:r>
        <w:t xml:space="preserve">mit </w:t>
      </w:r>
      <w:r>
        <w:rPr>
          <w:rStyle w:val="Fett"/>
          <w:rFonts w:eastAsiaTheme="majorEastAsia"/>
          <w:rtl/>
        </w:rPr>
        <w:t>מָקוֹם</w:t>
      </w:r>
      <w:r>
        <w:rPr>
          <w:rtl/>
        </w:rPr>
        <w:t xml:space="preserve"> </w:t>
      </w:r>
      <w:r>
        <w:t xml:space="preserve">mit Artikel, </w:t>
      </w:r>
      <w:r>
        <w:rPr>
          <w:rStyle w:val="Fett"/>
          <w:rFonts w:eastAsiaTheme="majorEastAsia"/>
          <w:rtl/>
        </w:rPr>
        <w:t>זֶה</w:t>
      </w:r>
      <w:r>
        <w:t xml:space="preserve">), </w:t>
      </w:r>
      <w:r>
        <w:rPr>
          <w:rStyle w:val="Fett"/>
          <w:rFonts w:eastAsiaTheme="majorEastAsia"/>
          <w:rtl/>
        </w:rPr>
        <w:t>וַיֵּצֵא סִיחֹן מֶלֶךְ־חֶשְׁבּוֹן וְעוֹג מֶלֶךְ־הַבָּשָׁן לִקְרָאתֵנוּ לַמִּלְחָמָה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יצא</w:t>
      </w:r>
      <w:r>
        <w:t xml:space="preserve">, Qal Imperfekt mit </w:t>
      </w:r>
      <w:r>
        <w:rPr>
          <w:rStyle w:val="Fett"/>
          <w:rFonts w:eastAsiaTheme="majorEastAsia"/>
        </w:rPr>
        <w:t>Waw</w:t>
      </w:r>
      <w:r>
        <w:t xml:space="preserve"> consecutivum, 3. Person Maskulinum Singular, </w:t>
      </w:r>
      <w:r>
        <w:rPr>
          <w:rStyle w:val="Fett"/>
          <w:rFonts w:eastAsiaTheme="majorEastAsia"/>
          <w:rtl/>
        </w:rPr>
        <w:t>סִיחֹן מֶלֶךְ־חֶשְׁבּוֹן</w:t>
      </w:r>
      <w:r>
        <w:rPr>
          <w:rtl/>
        </w:rPr>
        <w:t xml:space="preserve"> </w:t>
      </w:r>
      <w:r>
        <w:t xml:space="preserve">als Subjekt, koordiniert durch </w:t>
      </w:r>
      <w:r>
        <w:rPr>
          <w:rStyle w:val="Fett"/>
          <w:rFonts w:eastAsiaTheme="majorEastAsia"/>
          <w:rtl/>
        </w:rPr>
        <w:t>וְ</w:t>
      </w:r>
      <w:r>
        <w:rPr>
          <w:rtl/>
        </w:rPr>
        <w:t xml:space="preserve"> </w:t>
      </w:r>
      <w:r>
        <w:t xml:space="preserve">mit </w:t>
      </w:r>
      <w:r>
        <w:rPr>
          <w:rStyle w:val="Fett"/>
          <w:rFonts w:eastAsiaTheme="majorEastAsia"/>
          <w:rtl/>
        </w:rPr>
        <w:t>עוֹג מֶלֶךְ־הַבָּשָׁן</w:t>
      </w:r>
      <w:r>
        <w:t xml:space="preserve">, </w:t>
      </w:r>
      <w:r>
        <w:rPr>
          <w:rStyle w:val="Fett"/>
          <w:rFonts w:eastAsiaTheme="majorEastAsia"/>
          <w:rtl/>
        </w:rPr>
        <w:t>לִקְרָאתֵנוּ</w:t>
      </w:r>
      <w:r>
        <w:t xml:space="preserve">, „uns entgegen", </w:t>
      </w:r>
      <w:r>
        <w:rPr>
          <w:rStyle w:val="Fett"/>
          <w:rFonts w:eastAsiaTheme="majorEastAsia"/>
          <w:rtl/>
        </w:rPr>
        <w:t>לַמִּלְחָמָה</w:t>
      </w:r>
      <w:r>
        <w:t xml:space="preserve">), </w:t>
      </w:r>
      <w:r>
        <w:rPr>
          <w:rStyle w:val="Fett"/>
          <w:rFonts w:eastAsiaTheme="majorEastAsia"/>
          <w:rtl/>
        </w:rPr>
        <w:t>וַנַּכֵּם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נכה</w:t>
      </w:r>
      <w:r>
        <w:t xml:space="preserve">, Hiphil Imperfekt mit </w:t>
      </w:r>
      <w:r>
        <w:rPr>
          <w:rStyle w:val="Fett"/>
          <w:rFonts w:eastAsiaTheme="majorEastAsia"/>
        </w:rPr>
        <w:t>Waw</w:t>
      </w:r>
      <w:r>
        <w:t xml:space="preserve"> consecutivum, 1. Person Plural, „schlagen", mit Suffix 3. Person Maskulinum Plural).</w:t>
      </w:r>
    </w:p>
    <w:p w14:paraId="11E69012" w14:textId="77777777" w:rsidR="008A57FB" w:rsidRDefault="008A57FB" w:rsidP="008A57FB">
      <w:pPr>
        <w:pStyle w:val="whitespace-normal"/>
      </w:pPr>
      <w:r>
        <w:t xml:space="preserve">Der Vers erinnert an die ersten militärischen Siege. Die erste Aussage: </w:t>
      </w:r>
      <w:r>
        <w:rPr>
          <w:rStyle w:val="Fett"/>
          <w:rFonts w:eastAsiaTheme="majorEastAsia"/>
          <w:rtl/>
        </w:rPr>
        <w:t>וַתָּבֹאוּ אֶל־הַמָּקוֹם הַזֶּה</w:t>
      </w:r>
      <w:r>
        <w:rPr>
          <w:rtl/>
        </w:rPr>
        <w:t xml:space="preserve"> </w:t>
      </w:r>
      <w:r>
        <w:t xml:space="preserve">(„und gekommen seid ihr zu diesem Ort"). Der </w:t>
      </w:r>
      <w:r>
        <w:rPr>
          <w:rStyle w:val="Fett"/>
          <w:rFonts w:eastAsiaTheme="majorEastAsia"/>
          <w:rtl/>
        </w:rPr>
        <w:t>מָקוֹם הַזֶּה</w:t>
      </w:r>
      <w:r>
        <w:rPr>
          <w:rtl/>
        </w:rPr>
        <w:t xml:space="preserve"> </w:t>
      </w:r>
      <w:r>
        <w:t xml:space="preserve">(„dieser Ort") ist das transjordanische Gebiet, östlich des Jordan (vgl. 1,31; 9,7; 11,5). Die zweite Aussage: </w:t>
      </w:r>
      <w:r>
        <w:rPr>
          <w:rStyle w:val="Fett"/>
          <w:rFonts w:eastAsiaTheme="majorEastAsia"/>
          <w:rtl/>
        </w:rPr>
        <w:t>וַיֵּצֵא סִיחֹן מֶלֶךְ־חֶשְׁבּוֹן וְעוֹג מֶלֶךְ־הַבָּשָׁן לִקְרָאתֵנוּ לַמִּלְחָמָה</w:t>
      </w:r>
      <w:r>
        <w:rPr>
          <w:rtl/>
        </w:rPr>
        <w:t xml:space="preserve"> </w:t>
      </w:r>
      <w:r>
        <w:t xml:space="preserve">(„und ausgezogen ist Sihon, der König von Heschbon, und Og, der König von Baschan, uns entgegen zum Kampf"). Die beiden Könige Sihon und Og werden zusammen genannt (vgl. 1,4; 2,24-3,11; 31,4; Num 21,21-35). Die dritte Aussage: </w:t>
      </w:r>
      <w:r>
        <w:rPr>
          <w:rStyle w:val="Fett"/>
          <w:rFonts w:eastAsiaTheme="majorEastAsia"/>
          <w:rtl/>
        </w:rPr>
        <w:t>וַנַּכֵּם</w:t>
      </w:r>
      <w:r>
        <w:rPr>
          <w:rtl/>
        </w:rPr>
        <w:t xml:space="preserve"> </w:t>
      </w:r>
      <w:r>
        <w:t>(„und geschlagen haben wir sie"). Kurzfassung des Sieges (ausführlich in 2,24-3,11). Der Sprecher wechselt von 2. Person Plural („ihr kamt") zu 1. Person Plural („wir schlugen sie") – Mose identifiziert sich mit dem Volk.</w:t>
      </w:r>
    </w:p>
    <w:p w14:paraId="5531B364" w14:textId="77777777" w:rsidR="008A57FB" w:rsidRDefault="008A57FB" w:rsidP="008A57FB">
      <w:pPr>
        <w:pStyle w:val="whitespace-normal"/>
      </w:pPr>
      <w:r>
        <w:rPr>
          <w:rStyle w:val="Fett"/>
          <w:rFonts w:eastAsiaTheme="majorEastAsia"/>
        </w:rPr>
        <w:t>Die Satzstruktur:</w:t>
      </w:r>
      <w:r>
        <w:t xml:space="preserve"> Drei Aussagen (und gekommen seid ihr zu diesem Ort, und ausgezogen ist Sihon, der König von Heschbon, und Og, der König von Baschan, uns entgegen zum Kampf, und geschlagen haben wir sie).</w:t>
      </w:r>
    </w:p>
    <w:p w14:paraId="3A98EFD8" w14:textId="68A2587A" w:rsidR="008A57FB" w:rsidRDefault="008A57FB" w:rsidP="00564C2A">
      <w:pPr>
        <w:pStyle w:val="whitespace-normal"/>
      </w:pPr>
      <w:r>
        <w:rPr>
          <w:rStyle w:val="Fett"/>
          <w:rFonts w:eastAsiaTheme="majorEastAsia"/>
        </w:rPr>
        <w:t>Der Vers beschreibt:</w:t>
      </w:r>
      <w:r>
        <w:t xml:space="preserve"> Erste militärische Siege – Sihon und Og werden besiegt (Verweis auf 2,24-3,11).</w:t>
      </w:r>
    </w:p>
    <w:p w14:paraId="1835F2BC" w14:textId="77777777" w:rsidR="008A57FB" w:rsidRPr="008D48A3" w:rsidRDefault="008A57FB" w:rsidP="008D48A3">
      <w:pPr>
        <w:pStyle w:val="Bibelberschrift"/>
      </w:pPr>
      <w:r w:rsidRPr="008D48A3">
        <w:rPr>
          <w:rStyle w:val="Fett"/>
          <w:b/>
          <w:bCs w:val="0"/>
        </w:rPr>
        <w:t>Deuteronomium 29,7 (29,8 MT)</w:t>
      </w:r>
    </w:p>
    <w:p w14:paraId="68ADD1CA" w14:textId="77777777" w:rsidR="008A57FB" w:rsidRDefault="008A57FB" w:rsidP="008A57FB">
      <w:pPr>
        <w:pStyle w:val="whitespace-normal"/>
      </w:pPr>
      <w:r>
        <w:rPr>
          <w:rStyle w:val="Fett"/>
          <w:rFonts w:eastAsiaTheme="majorEastAsia"/>
        </w:rPr>
        <w:t>Hebräisch:</w:t>
      </w:r>
      <w:r>
        <w:t xml:space="preserve"> </w:t>
      </w:r>
      <w:r>
        <w:rPr>
          <w:rtl/>
        </w:rPr>
        <w:t>וַנִּקַּח אֶת־אַרְצָם וַנִּתְּנָהּ לְנַחֲלָה לָראוּבֵנִי וְלַגָּדִי וְלַחֲצִי שֵׁבֶט הַמְנַשִּׁי׃</w:t>
      </w:r>
    </w:p>
    <w:p w14:paraId="6F5614C3" w14:textId="77777777" w:rsidR="008A57FB" w:rsidRDefault="008A57FB" w:rsidP="008A57FB">
      <w:pPr>
        <w:pStyle w:val="whitespace-normal"/>
      </w:pPr>
      <w:r>
        <w:rPr>
          <w:rStyle w:val="Fett"/>
          <w:rFonts w:eastAsiaTheme="majorEastAsia"/>
        </w:rPr>
        <w:t>Deutsch:</w:t>
      </w:r>
      <w:r>
        <w:t xml:space="preserve"> Und wir nahmen ihr Land und gaben es zum Erbteil den Rubeniten und den Gaditen und dem halben Stamm der Manassiten.</w:t>
      </w:r>
    </w:p>
    <w:p w14:paraId="546769A3" w14:textId="77777777" w:rsidR="008A57FB" w:rsidRDefault="004F5CEB" w:rsidP="008A57FB">
      <w:r>
        <w:rPr>
          <w:noProof/>
        </w:rPr>
        <w:pict w14:anchorId="5A6BD9CF">
          <v:rect id="_x0000_i1820" style="width:0;height:1.5pt" o:hralign="center" o:hrstd="t" o:hr="t" fillcolor="#a0a0a0" stroked="f"/>
        </w:pict>
      </w:r>
    </w:p>
    <w:p w14:paraId="1E4C622A" w14:textId="7C04488C"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וַנִּקַּח אֶת־אַרְצָם וַנִּתְּנָהּ לְנַחֲלָה לָראוּבֵנִי וְלַגָּדִי וְלַחֲצִי שֵׁבֶט הַמְנַשִּׁי</w:t>
      </w:r>
      <w:r>
        <w:rPr>
          <w:rtl/>
        </w:rPr>
        <w:t xml:space="preserve"> </w:t>
      </w:r>
      <w:r>
        <w:t xml:space="preserve">sind zwei Aussagen: </w:t>
      </w:r>
      <w:r>
        <w:rPr>
          <w:rStyle w:val="Fett"/>
          <w:rFonts w:eastAsiaTheme="majorEastAsia"/>
          <w:rtl/>
        </w:rPr>
        <w:t>וַנִּקַּח אֶת־אַרְצָם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לקח</w:t>
      </w:r>
      <w:r>
        <w:t xml:space="preserve">, Qal Imperfekt mit </w:t>
      </w:r>
      <w:r>
        <w:rPr>
          <w:rStyle w:val="Fett"/>
          <w:rFonts w:eastAsiaTheme="majorEastAsia"/>
        </w:rPr>
        <w:t>Waw</w:t>
      </w:r>
      <w:r>
        <w:t xml:space="preserve"> consecutivum, 1. Person </w:t>
      </w:r>
      <w:r>
        <w:lastRenderedPageBreak/>
        <w:t xml:space="preserve">Plural, Objektpartikel </w:t>
      </w:r>
      <w:r>
        <w:rPr>
          <w:rStyle w:val="Fett"/>
          <w:rFonts w:eastAsiaTheme="majorEastAsia"/>
          <w:rtl/>
        </w:rPr>
        <w:t>אֵת</w:t>
      </w:r>
      <w:r>
        <w:rPr>
          <w:rtl/>
        </w:rPr>
        <w:t xml:space="preserve"> </w:t>
      </w:r>
      <w:r>
        <w:t xml:space="preserve">mit </w:t>
      </w:r>
      <w:r>
        <w:rPr>
          <w:rStyle w:val="Fett"/>
          <w:rFonts w:eastAsiaTheme="majorEastAsia"/>
          <w:rtl/>
        </w:rPr>
        <w:t>אֶרֶץ</w:t>
      </w:r>
      <w:r>
        <w:t xml:space="preserve">, „Land", mit Suffix 3. Person Maskulinum Plural), </w:t>
      </w:r>
      <w:r>
        <w:rPr>
          <w:rStyle w:val="Fett"/>
          <w:rFonts w:eastAsiaTheme="majorEastAsia"/>
          <w:rtl/>
        </w:rPr>
        <w:t>וַנִּתְּנָהּ לְנַחֲלָה לָראוּבֵנִי וְלַגָּדִי וְלַחֲצִי שֵׁבֶט הַמְנַשִּׁי</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נתן</w:t>
      </w:r>
      <w:r>
        <w:t xml:space="preserve">, Qal Imperfekt mit </w:t>
      </w:r>
      <w:r>
        <w:rPr>
          <w:rStyle w:val="Fett"/>
          <w:rFonts w:eastAsiaTheme="majorEastAsia"/>
        </w:rPr>
        <w:t>Waw</w:t>
      </w:r>
      <w:r>
        <w:t xml:space="preserve"> consecutivum, 1. Person Plural, mit Suffix 3. Person Femininum Singular, Präposition </w:t>
      </w:r>
      <w:r>
        <w:rPr>
          <w:rStyle w:val="Fett"/>
          <w:rFonts w:eastAsiaTheme="majorEastAsia"/>
          <w:rtl/>
        </w:rPr>
        <w:t>לְ</w:t>
      </w:r>
      <w:r>
        <w:rPr>
          <w:rtl/>
        </w:rPr>
        <w:t xml:space="preserve"> </w:t>
      </w:r>
      <w:r>
        <w:t xml:space="preserve">mit </w:t>
      </w:r>
      <w:r>
        <w:rPr>
          <w:rStyle w:val="Fett"/>
          <w:rFonts w:eastAsiaTheme="majorEastAsia"/>
          <w:rtl/>
        </w:rPr>
        <w:t>נַחֲלָה</w:t>
      </w:r>
      <w:r>
        <w:t xml:space="preserve">, „Erbteil", drei Präpositionen </w:t>
      </w:r>
      <w:r>
        <w:rPr>
          <w:rStyle w:val="Fett"/>
          <w:rFonts w:eastAsiaTheme="majorEastAsia"/>
          <w:rtl/>
        </w:rPr>
        <w:t>לְ</w:t>
      </w:r>
      <w:r>
        <w:t xml:space="preserve">: </w:t>
      </w:r>
      <w:r>
        <w:rPr>
          <w:rStyle w:val="Fett"/>
          <w:rFonts w:eastAsiaTheme="majorEastAsia"/>
          <w:rtl/>
        </w:rPr>
        <w:t>לָראוּבֵנִי</w:t>
      </w:r>
      <w:r>
        <w:t xml:space="preserve">, </w:t>
      </w:r>
      <w:r w:rsidR="00C13523">
        <w:t>Gentilicum</w:t>
      </w:r>
      <w:r>
        <w:t xml:space="preserve"> für Rubeniten, </w:t>
      </w:r>
      <w:r>
        <w:rPr>
          <w:rStyle w:val="Fett"/>
          <w:rFonts w:eastAsiaTheme="majorEastAsia"/>
          <w:rtl/>
        </w:rPr>
        <w:t>לַגָּדִי</w:t>
      </w:r>
      <w:r>
        <w:t xml:space="preserve">, </w:t>
      </w:r>
      <w:r w:rsidR="00C13523">
        <w:t>Gentilicum</w:t>
      </w:r>
      <w:r>
        <w:t xml:space="preserve"> für Gaditen, </w:t>
      </w:r>
      <w:r>
        <w:rPr>
          <w:rStyle w:val="Fett"/>
          <w:rFonts w:eastAsiaTheme="majorEastAsia"/>
          <w:rtl/>
        </w:rPr>
        <w:t>לַחֲצִי שֵׁבֶט הַמְנַשִּׁי</w:t>
      </w:r>
      <w:r>
        <w:t xml:space="preserve">, </w:t>
      </w:r>
      <w:r w:rsidR="00C13523">
        <w:t>Gentilicum</w:t>
      </w:r>
      <w:r>
        <w:t xml:space="preserve"> für Manassiten).</w:t>
      </w:r>
    </w:p>
    <w:p w14:paraId="735EB7D3" w14:textId="77777777" w:rsidR="008A57FB" w:rsidRDefault="008A57FB" w:rsidP="008A57FB">
      <w:pPr>
        <w:pStyle w:val="whitespace-normal"/>
      </w:pPr>
      <w:r>
        <w:t xml:space="preserve">Der Vers setzt die Erinnerung an die Landnahme im Ostjordanland fort. Die erste Aussage: </w:t>
      </w:r>
      <w:r>
        <w:rPr>
          <w:rStyle w:val="Fett"/>
          <w:rFonts w:eastAsiaTheme="majorEastAsia"/>
          <w:rtl/>
        </w:rPr>
        <w:t>וַנִּקַּח אֶת־אַרְצָם</w:t>
      </w:r>
      <w:r>
        <w:rPr>
          <w:rtl/>
        </w:rPr>
        <w:t xml:space="preserve"> </w:t>
      </w:r>
      <w:r>
        <w:t xml:space="preserve">(„und genommen haben wir ihr Land"). Das Land von Sihon und Og. Die zweite Aussage: </w:t>
      </w:r>
      <w:r>
        <w:rPr>
          <w:rStyle w:val="Fett"/>
          <w:rFonts w:eastAsiaTheme="majorEastAsia"/>
          <w:rtl/>
        </w:rPr>
        <w:t>וַנִּתְּנָהּ לְנַחֲלָה לָראוּבֵנִי וְלַגָּדִי וְלַחֲצִי שֵׁבֶט הַמְנַשִּׁי</w:t>
      </w:r>
      <w:r>
        <w:rPr>
          <w:rtl/>
        </w:rPr>
        <w:t xml:space="preserve"> </w:t>
      </w:r>
      <w:r>
        <w:t xml:space="preserve">(„und gegeben haben wir es zum Erbteil den Rubeniten und den Gaditen und dem halben Stamm der Manassiten"). Die drei ostjordanischen Stämme werden genannt (vgl. 3,12-17; Num 32; Jos 13,8-32). Die Formulierung </w:t>
      </w:r>
      <w:r>
        <w:rPr>
          <w:rStyle w:val="Fett"/>
          <w:rFonts w:eastAsiaTheme="majorEastAsia"/>
          <w:rtl/>
        </w:rPr>
        <w:t>לְנַחֲלָה</w:t>
      </w:r>
      <w:r>
        <w:rPr>
          <w:rtl/>
        </w:rPr>
        <w:t xml:space="preserve"> </w:t>
      </w:r>
      <w:r>
        <w:t>(„zum Erbteil") betont: legitimer Landbesitz, von JHWH gegeben.</w:t>
      </w:r>
    </w:p>
    <w:p w14:paraId="13BF204D" w14:textId="77777777" w:rsidR="008A57FB" w:rsidRDefault="008A57FB" w:rsidP="008A57FB">
      <w:pPr>
        <w:pStyle w:val="whitespace-normal"/>
      </w:pPr>
      <w:r>
        <w:rPr>
          <w:rStyle w:val="Fett"/>
          <w:rFonts w:eastAsiaTheme="majorEastAsia"/>
        </w:rPr>
        <w:t>Die Satzstruktur:</w:t>
      </w:r>
      <w:r>
        <w:t xml:space="preserve"> Zwei Aussagen (und genommen haben wir ihr Land, und gegeben haben wir es zum Erbteil den Rubeniten und den Gaditen und dem halben Stamm der Manassiten).</w:t>
      </w:r>
    </w:p>
    <w:p w14:paraId="0A05FB4B" w14:textId="43D11AFF" w:rsidR="008A57FB" w:rsidRDefault="008A57FB" w:rsidP="00564C2A">
      <w:pPr>
        <w:pStyle w:val="whitespace-normal"/>
      </w:pPr>
      <w:r>
        <w:rPr>
          <w:rStyle w:val="Fett"/>
          <w:rFonts w:eastAsiaTheme="majorEastAsia"/>
        </w:rPr>
        <w:t>Der Vers beschreibt:</w:t>
      </w:r>
      <w:r>
        <w:t xml:space="preserve"> Verteilung des ostjordanischen Landes – an Ruben, Gad und halb Manasse (Verweis auf 3,12-17).</w:t>
      </w:r>
    </w:p>
    <w:p w14:paraId="22863035" w14:textId="77777777" w:rsidR="008A57FB" w:rsidRPr="008D48A3" w:rsidRDefault="008A57FB" w:rsidP="008D48A3">
      <w:pPr>
        <w:pStyle w:val="Bibelberschrift"/>
      </w:pPr>
      <w:r w:rsidRPr="008D48A3">
        <w:rPr>
          <w:rStyle w:val="Fett"/>
          <w:b/>
          <w:bCs w:val="0"/>
        </w:rPr>
        <w:t>Deuteronomium 29,8 (29,9 MT)</w:t>
      </w:r>
    </w:p>
    <w:p w14:paraId="10F4316E" w14:textId="77777777" w:rsidR="008A57FB" w:rsidRDefault="008A57FB" w:rsidP="008A57FB">
      <w:pPr>
        <w:pStyle w:val="whitespace-normal"/>
      </w:pPr>
      <w:r>
        <w:rPr>
          <w:rStyle w:val="Fett"/>
          <w:rFonts w:eastAsiaTheme="majorEastAsia"/>
        </w:rPr>
        <w:t>Hebräisch:</w:t>
      </w:r>
      <w:r>
        <w:t xml:space="preserve"> </w:t>
      </w:r>
      <w:r>
        <w:rPr>
          <w:rtl/>
        </w:rPr>
        <w:t>וּשְׁמַרְתֶּם אֶת־דִּבְרֵי הַבְּרִית הַזֹּאת וַעֲשִׂיתֶם אֹתָם לְמַעַן תַּשְׂכִּילוּ אֵת כָּל־אֲשֶׁר תַּעֲשׂוּן׃</w:t>
      </w:r>
    </w:p>
    <w:p w14:paraId="03190A14" w14:textId="77777777" w:rsidR="008A57FB" w:rsidRDefault="008A57FB" w:rsidP="008A57FB">
      <w:pPr>
        <w:pStyle w:val="whitespace-normal"/>
      </w:pPr>
      <w:r>
        <w:rPr>
          <w:rStyle w:val="Fett"/>
          <w:rFonts w:eastAsiaTheme="majorEastAsia"/>
        </w:rPr>
        <w:t>Deutsch:</w:t>
      </w:r>
      <w:r>
        <w:t xml:space="preserve"> So bewahrt denn die Worte dieses Bundes und tut sie, damit ihr Erfolg habt in allem, was ihr tut.</w:t>
      </w:r>
    </w:p>
    <w:p w14:paraId="72A44ED2" w14:textId="77777777" w:rsidR="008A57FB" w:rsidRDefault="004F5CEB" w:rsidP="008A57FB">
      <w:r>
        <w:rPr>
          <w:noProof/>
        </w:rPr>
        <w:pict w14:anchorId="063C244B">
          <v:rect id="_x0000_i1821" style="width:0;height:1.5pt" o:hralign="center" o:hrstd="t" o:hr="t" fillcolor="#a0a0a0" stroked="f"/>
        </w:pict>
      </w:r>
    </w:p>
    <w:p w14:paraId="2470B8EB"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וּשְׁמַרְתֶּם אֶת־דִּבְרֵי הַבְּרִית הַזֹּאת וַעֲשִׂיתֶם אֹתָם לְמַעַן תַּשְׂכִּילוּ אֵת כָּל־אֲשֶׁר תַּעֲשׂוּן</w:t>
      </w:r>
      <w:r>
        <w:rPr>
          <w:rtl/>
        </w:rPr>
        <w:t xml:space="preserve"> </w:t>
      </w:r>
      <w:r>
        <w:t xml:space="preserve">sind zwei Imperative mit Finalsatz: </w:t>
      </w:r>
      <w:r>
        <w:rPr>
          <w:rStyle w:val="Fett"/>
          <w:rFonts w:eastAsiaTheme="majorEastAsia"/>
          <w:rtl/>
        </w:rPr>
        <w:t>וּשְׁמַרְתֶּם אֶת־דִּבְרֵי הַבְּרִית הַזֹּאת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שׁמר</w:t>
      </w:r>
      <w:r>
        <w:t xml:space="preserve">, Qal Perfekt, 2. Person Plural (als Imperativ verwendet mit </w:t>
      </w:r>
      <w:r>
        <w:rPr>
          <w:rStyle w:val="Fett"/>
          <w:rFonts w:eastAsiaTheme="majorEastAsia"/>
        </w:rPr>
        <w:t>Waw</w:t>
      </w:r>
      <w:r>
        <w:t xml:space="preserve"> consecutivum), Objektpartikel </w:t>
      </w:r>
      <w:r>
        <w:rPr>
          <w:rStyle w:val="Fett"/>
          <w:rFonts w:eastAsiaTheme="majorEastAsia"/>
          <w:rtl/>
        </w:rPr>
        <w:t>אֵת</w:t>
      </w:r>
      <w:r>
        <w:rPr>
          <w:rtl/>
        </w:rPr>
        <w:t xml:space="preserve"> </w:t>
      </w:r>
      <w:r>
        <w:t xml:space="preserve">mit </w:t>
      </w:r>
      <w:r>
        <w:rPr>
          <w:rStyle w:val="Fett"/>
          <w:rFonts w:eastAsiaTheme="majorEastAsia"/>
          <w:rtl/>
        </w:rPr>
        <w:t>דָּבָר</w:t>
      </w:r>
      <w:r>
        <w:rPr>
          <w:rtl/>
        </w:rPr>
        <w:t xml:space="preserve"> </w:t>
      </w:r>
      <w:r>
        <w:t xml:space="preserve">Plural Construct mit </w:t>
      </w:r>
      <w:r>
        <w:rPr>
          <w:rStyle w:val="Fett"/>
          <w:rFonts w:eastAsiaTheme="majorEastAsia"/>
          <w:rtl/>
        </w:rPr>
        <w:t>בְּרִית</w:t>
      </w:r>
      <w:r>
        <w:rPr>
          <w:rtl/>
        </w:rPr>
        <w:t xml:space="preserve"> </w:t>
      </w:r>
      <w:r>
        <w:t xml:space="preserve">mit Artikel, </w:t>
      </w:r>
      <w:r>
        <w:rPr>
          <w:rStyle w:val="Fett"/>
          <w:rFonts w:eastAsiaTheme="majorEastAsia"/>
          <w:rtl/>
        </w:rPr>
        <w:t>זֹאת</w:t>
      </w:r>
      <w:r>
        <w:t xml:space="preserve">), </w:t>
      </w:r>
      <w:r>
        <w:rPr>
          <w:rStyle w:val="Fett"/>
          <w:rFonts w:eastAsiaTheme="majorEastAsia"/>
          <w:rtl/>
        </w:rPr>
        <w:t>וַעֲשִׂיתֶם אֹתָם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עשׂה</w:t>
      </w:r>
      <w:r>
        <w:t xml:space="preserve">, Qal Perfekt, 2. Person Plural (als Imperativ), Objektpartikel </w:t>
      </w:r>
      <w:r>
        <w:rPr>
          <w:rStyle w:val="Fett"/>
          <w:rFonts w:eastAsiaTheme="majorEastAsia"/>
          <w:rtl/>
        </w:rPr>
        <w:t>אֵת</w:t>
      </w:r>
      <w:r>
        <w:rPr>
          <w:rtl/>
        </w:rPr>
        <w:t xml:space="preserve"> </w:t>
      </w:r>
      <w:r>
        <w:t xml:space="preserve">mit Suffix 3. Person Maskulinum Plural), </w:t>
      </w:r>
      <w:r>
        <w:rPr>
          <w:rStyle w:val="Fett"/>
          <w:rFonts w:eastAsiaTheme="majorEastAsia"/>
          <w:rtl/>
        </w:rPr>
        <w:t>לְמַעַן תַּשְׂכִּילוּ אֵת כָּל־אֲשֶׁר תַּעֲשׂוּן</w:t>
      </w:r>
      <w:r>
        <w:rPr>
          <w:rtl/>
        </w:rPr>
        <w:t xml:space="preserve"> </w:t>
      </w:r>
      <w:r>
        <w:t xml:space="preserve">(Finalsatz: </w:t>
      </w:r>
      <w:r>
        <w:rPr>
          <w:rStyle w:val="Fett"/>
          <w:rFonts w:eastAsiaTheme="majorEastAsia"/>
          <w:rtl/>
        </w:rPr>
        <w:t>לְמַעַן</w:t>
      </w:r>
      <w:r>
        <w:rPr>
          <w:rtl/>
        </w:rPr>
        <w:t xml:space="preserve"> </w:t>
      </w:r>
      <w:r>
        <w:t xml:space="preserve">mit </w:t>
      </w:r>
      <w:r>
        <w:rPr>
          <w:rStyle w:val="Fett"/>
          <w:rFonts w:eastAsiaTheme="majorEastAsia"/>
          <w:rtl/>
        </w:rPr>
        <w:t>שׂכל</w:t>
      </w:r>
      <w:r>
        <w:t xml:space="preserve">, Hiphil Imperfekt, 2. Person Plural, „Erfolg haben, weise handeln, Einsicht haben", Objektpartikel </w:t>
      </w:r>
      <w:r>
        <w:rPr>
          <w:rStyle w:val="Fett"/>
          <w:rFonts w:eastAsiaTheme="majorEastAsia"/>
          <w:rtl/>
        </w:rPr>
        <w:t>אֵת</w:t>
      </w:r>
      <w:r>
        <w:rPr>
          <w:rtl/>
        </w:rPr>
        <w:t xml:space="preserve"> </w:t>
      </w:r>
      <w:r>
        <w:t xml:space="preserve">mit </w:t>
      </w:r>
      <w:r>
        <w:rPr>
          <w:rStyle w:val="Fett"/>
          <w:rFonts w:eastAsiaTheme="majorEastAsia"/>
          <w:rtl/>
        </w:rPr>
        <w:t>כָּל</w:t>
      </w:r>
      <w:r>
        <w:t xml:space="preserve">, Relativsatz: </w:t>
      </w:r>
      <w:r>
        <w:rPr>
          <w:rStyle w:val="Fett"/>
          <w:rFonts w:eastAsiaTheme="majorEastAsia"/>
          <w:rtl/>
        </w:rPr>
        <w:t>אֲשֶׁר תַּעֲשׂוּן</w:t>
      </w:r>
      <w:r>
        <w:rPr>
          <w:rtl/>
        </w:rPr>
        <w:t xml:space="preserve"> </w:t>
      </w:r>
      <w:r>
        <w:t xml:space="preserve">mit </w:t>
      </w:r>
      <w:r>
        <w:rPr>
          <w:rStyle w:val="Fett"/>
          <w:rFonts w:eastAsiaTheme="majorEastAsia"/>
          <w:rtl/>
        </w:rPr>
        <w:t>עשׂה</w:t>
      </w:r>
      <w:r>
        <w:t xml:space="preserve">, Qal Imperfekt, 2. Person Plural). Die </w:t>
      </w:r>
      <w:r>
        <w:rPr>
          <w:rStyle w:val="Fett"/>
          <w:rFonts w:eastAsiaTheme="majorEastAsia"/>
        </w:rPr>
        <w:t>Petucha</w:t>
      </w:r>
      <w:r>
        <w:t xml:space="preserve"> (</w:t>
      </w:r>
      <w:r>
        <w:rPr>
          <w:rtl/>
        </w:rPr>
        <w:t>פ</w:t>
      </w:r>
      <w:r>
        <w:t>) markiert das Ende des historischen Rückblicks (V. 1-8).</w:t>
      </w:r>
    </w:p>
    <w:p w14:paraId="1372C5B2" w14:textId="50EF98DF" w:rsidR="008A57FB" w:rsidRDefault="008A57FB" w:rsidP="008A57FB">
      <w:pPr>
        <w:pStyle w:val="whitespace-normal"/>
      </w:pPr>
      <w:r>
        <w:t xml:space="preserve">Der Vers schließt den historischen Rückblick (V. 1-8) mit einer paränetischen Mahnung ab. Die beiden Imperative: </w:t>
      </w:r>
      <w:r>
        <w:rPr>
          <w:rStyle w:val="Fett"/>
          <w:rFonts w:eastAsiaTheme="majorEastAsia"/>
          <w:rtl/>
        </w:rPr>
        <w:t>וּשְׁמַרְתֶּם אֶת־דִּבְרֵי הַבְּרִית הַזֹּאת וַעֲשִׂיתֶם אֹתָם</w:t>
      </w:r>
      <w:r>
        <w:rPr>
          <w:rtl/>
        </w:rPr>
        <w:t xml:space="preserve"> </w:t>
      </w:r>
      <w:r>
        <w:t xml:space="preserve">(„so bewahrt denn die Worte dieses Bundes und tut sie"). Die doppelte Formulierung </w:t>
      </w:r>
      <w:r>
        <w:rPr>
          <w:rStyle w:val="Fett"/>
          <w:rFonts w:eastAsiaTheme="majorEastAsia"/>
          <w:rtl/>
        </w:rPr>
        <w:t>שׁמר</w:t>
      </w:r>
      <w:r>
        <w:rPr>
          <w:rtl/>
        </w:rPr>
        <w:t xml:space="preserve"> </w:t>
      </w:r>
      <w:r>
        <w:t xml:space="preserve">(„bewahren") und </w:t>
      </w:r>
      <w:r>
        <w:rPr>
          <w:rStyle w:val="Fett"/>
          <w:rFonts w:eastAsiaTheme="majorEastAsia"/>
          <w:rtl/>
        </w:rPr>
        <w:t>עשׂה</w:t>
      </w:r>
      <w:r>
        <w:rPr>
          <w:rtl/>
        </w:rPr>
        <w:t xml:space="preserve"> </w:t>
      </w:r>
      <w:r>
        <w:t xml:space="preserve">(„tun") betont sowohl innere Bewahrung als auch äußere Ausführung (vgl. 4,6; 5,1; 6,3; 7,12; 8,1). Der Finalsatz: </w:t>
      </w:r>
      <w:r>
        <w:rPr>
          <w:rStyle w:val="Fett"/>
          <w:rFonts w:eastAsiaTheme="majorEastAsia"/>
          <w:rtl/>
        </w:rPr>
        <w:t>לְמַעַן תַּשְׂכִּילוּ אֵת כָּל־אֲשֶׁר תַּעֲשׂוּן</w:t>
      </w:r>
      <w:r>
        <w:rPr>
          <w:rtl/>
        </w:rPr>
        <w:t xml:space="preserve"> </w:t>
      </w:r>
      <w:r>
        <w:t xml:space="preserve">(„damit ihr Erfolg habt in allem, was ihr tut"). Das Verb </w:t>
      </w:r>
      <w:r>
        <w:rPr>
          <w:rStyle w:val="Fett"/>
          <w:rFonts w:eastAsiaTheme="majorEastAsia"/>
          <w:rtl/>
        </w:rPr>
        <w:t>שׂכל</w:t>
      </w:r>
      <w:r>
        <w:rPr>
          <w:rtl/>
        </w:rPr>
        <w:t xml:space="preserve"> </w:t>
      </w:r>
      <w:r>
        <w:t xml:space="preserve">im Hiphil kann bedeuten: (1) „Erfolg haben, Gelingen haben" (vgl. Jos 1,8; </w:t>
      </w:r>
      <w:r w:rsidR="00664EB6">
        <w:t>1Kön</w:t>
      </w:r>
      <w:r>
        <w:t xml:space="preserve"> 2,3), oder (2) „weise handeln, mit Einsicht handeln" (vgl. Ps 101,2; Jer 23,5). Beide Bedeutungen sind möglich. Der Vers verbindet JHWHs Taten in der Vergangenheit (V. 1-7) </w:t>
      </w:r>
      <w:r>
        <w:lastRenderedPageBreak/>
        <w:t>mit der Verpflichtung zur Bundesbeobachtung in der Gegenwart (V. 8) und der Verheißung für die Zukunft (Erfolg/Weisheit).</w:t>
      </w:r>
    </w:p>
    <w:p w14:paraId="35170B97" w14:textId="77777777" w:rsidR="008A57FB" w:rsidRDefault="008A57FB" w:rsidP="008A57FB">
      <w:pPr>
        <w:pStyle w:val="whitespace-normal"/>
      </w:pPr>
      <w:r>
        <w:rPr>
          <w:rStyle w:val="Fett"/>
          <w:rFonts w:eastAsiaTheme="majorEastAsia"/>
        </w:rPr>
        <w:t>Die Satzstruktur:</w:t>
      </w:r>
      <w:r>
        <w:t xml:space="preserve"> Zwei Imperative mit Finalsatz (so bewahrt denn die Worte dieses Bundes und tut sie, damit ihr Erfolg habt in allem, was ihr tut).</w:t>
      </w:r>
    </w:p>
    <w:p w14:paraId="21D3798C" w14:textId="1249B491" w:rsidR="008A57FB" w:rsidRDefault="008A57FB" w:rsidP="00B77CC6">
      <w:pPr>
        <w:pStyle w:val="whitespace-normal"/>
      </w:pPr>
      <w:r>
        <w:rPr>
          <w:rStyle w:val="Fett"/>
          <w:rFonts w:eastAsiaTheme="majorEastAsia"/>
        </w:rPr>
        <w:t>Der Vers beschreibt:</w:t>
      </w:r>
      <w:r>
        <w:t xml:space="preserve"> Paränetische Mahnung – Bundesgehorsam führt zu Erfolg/Weisheit. Ende des historischen Rückblicks.</w:t>
      </w:r>
    </w:p>
    <w:p w14:paraId="48EAA8E1" w14:textId="77777777" w:rsidR="008A57FB" w:rsidRPr="008D48A3" w:rsidRDefault="008A57FB" w:rsidP="008D48A3">
      <w:pPr>
        <w:pStyle w:val="Bibelberschrift"/>
      </w:pPr>
      <w:r w:rsidRPr="008D48A3">
        <w:rPr>
          <w:rStyle w:val="Fett"/>
          <w:b/>
          <w:bCs w:val="0"/>
        </w:rPr>
        <w:t>Deuteronomium 29,9 (29,10 MT)</w:t>
      </w:r>
    </w:p>
    <w:p w14:paraId="6D5DA257" w14:textId="77777777" w:rsidR="008A57FB" w:rsidRDefault="008A57FB" w:rsidP="008A57FB">
      <w:pPr>
        <w:pStyle w:val="whitespace-normal"/>
      </w:pPr>
      <w:r>
        <w:rPr>
          <w:rStyle w:val="Fett"/>
          <w:rFonts w:eastAsiaTheme="majorEastAsia"/>
        </w:rPr>
        <w:t>Hebräisch:</w:t>
      </w:r>
      <w:r>
        <w:t xml:space="preserve"> </w:t>
      </w:r>
      <w:r>
        <w:rPr>
          <w:rtl/>
        </w:rPr>
        <w:t>אַתֶּם נִצָּבִים הַיּוֹם כֻּלְּכֶם לִפְנֵי יְהוָה אֱלֹהֵיכֶם רָאשֵׁיכֶם שִׁבְטֵיכֶם זִקְנֵיכֶם וְשֹׁטְרֵיכֶם כֹּל אִישׁ יִשְׂרָאֵל׃</w:t>
      </w:r>
    </w:p>
    <w:p w14:paraId="3C29E54F" w14:textId="77777777" w:rsidR="008A57FB" w:rsidRDefault="008A57FB" w:rsidP="008A57FB">
      <w:pPr>
        <w:pStyle w:val="whitespace-normal"/>
      </w:pPr>
      <w:r>
        <w:rPr>
          <w:rStyle w:val="Fett"/>
          <w:rFonts w:eastAsiaTheme="majorEastAsia"/>
        </w:rPr>
        <w:t>Deutsch:</w:t>
      </w:r>
      <w:r>
        <w:t xml:space="preserve"> Ihr steht heute alle vor JHWH, eurem Gott: eure Häupter, eure Stämme, eure Ältesten und eure Vorsteher, alle Männer Israels.</w:t>
      </w:r>
    </w:p>
    <w:p w14:paraId="2E4ECB5C" w14:textId="77777777" w:rsidR="008A57FB" w:rsidRDefault="004F5CEB" w:rsidP="008A57FB">
      <w:r>
        <w:rPr>
          <w:noProof/>
        </w:rPr>
        <w:pict w14:anchorId="29DF2C84">
          <v:rect id="_x0000_i1822" style="width:0;height:1.5pt" o:hralign="center" o:hrstd="t" o:hr="t" fillcolor="#a0a0a0" stroked="f"/>
        </w:pict>
      </w:r>
    </w:p>
    <w:p w14:paraId="1FDC6316"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אַתֶּם נִצָּבִים הַיּוֹם כֻּלְּכֶם לִפְנֵי יְהוָה אֱלֹהֵיכֶם רָאשֵׁיכֶם שִׁבְטֵיכֶם זִקְנֵיכֶם וְשֹׁטְרֵיכֶם כֹּל אִישׁ יִשְׂרָאֵל</w:t>
      </w:r>
      <w:r>
        <w:rPr>
          <w:rtl/>
        </w:rPr>
        <w:t xml:space="preserve"> </w:t>
      </w:r>
      <w:r>
        <w:t xml:space="preserve">ist eine Beschreibung: </w:t>
      </w:r>
      <w:r>
        <w:rPr>
          <w:rStyle w:val="Fett"/>
          <w:rFonts w:eastAsiaTheme="majorEastAsia"/>
          <w:rtl/>
        </w:rPr>
        <w:t>אַתֶּם נִצָּבִים הַיּוֹם כֻּלְּכֶם לִפְנֵי יְהוָה אֱלֹהֵיכֶם</w:t>
      </w:r>
      <w:r>
        <w:rPr>
          <w:rtl/>
        </w:rPr>
        <w:t xml:space="preserve"> </w:t>
      </w:r>
      <w:r>
        <w:t>(</w:t>
      </w:r>
      <w:r>
        <w:rPr>
          <w:rStyle w:val="Fett"/>
          <w:rFonts w:eastAsiaTheme="majorEastAsia"/>
          <w:rtl/>
        </w:rPr>
        <w:t>אַתֶּם</w:t>
      </w:r>
      <w:r>
        <w:t xml:space="preserve">, </w:t>
      </w:r>
      <w:r>
        <w:rPr>
          <w:rStyle w:val="Fett"/>
          <w:rFonts w:eastAsiaTheme="majorEastAsia"/>
          <w:rtl/>
        </w:rPr>
        <w:t>נצב</w:t>
      </w:r>
      <w:r>
        <w:t xml:space="preserve">, Niphal Partizip Plural, „stehen, dastehen, aufgestellt sein", </w:t>
      </w:r>
      <w:r>
        <w:rPr>
          <w:rStyle w:val="Fett"/>
          <w:rFonts w:eastAsiaTheme="majorEastAsia"/>
          <w:rtl/>
        </w:rPr>
        <w:t>הַיּוֹם</w:t>
      </w:r>
      <w:r>
        <w:t xml:space="preserve">, </w:t>
      </w:r>
      <w:r>
        <w:rPr>
          <w:rStyle w:val="Fett"/>
          <w:rFonts w:eastAsiaTheme="majorEastAsia"/>
          <w:rtl/>
        </w:rPr>
        <w:t>כֻּלְּכֶם</w:t>
      </w:r>
      <w:r>
        <w:t xml:space="preserve">, „ihr alle", </w:t>
      </w:r>
      <w:r>
        <w:rPr>
          <w:rStyle w:val="Fett"/>
          <w:rFonts w:eastAsiaTheme="majorEastAsia"/>
          <w:rtl/>
        </w:rPr>
        <w:t>לִפְנֵי יְהוָה אֱלֹהֵיכֶם</w:t>
      </w:r>
      <w:r>
        <w:t xml:space="preserve">), </w:t>
      </w:r>
      <w:r>
        <w:rPr>
          <w:rStyle w:val="Fett"/>
          <w:rFonts w:eastAsiaTheme="majorEastAsia"/>
          <w:rtl/>
        </w:rPr>
        <w:t>רָאשֵׁיכֶם שִׁבְטֵיכֶם זִקְנֵיכֶם וְשֹׁטְרֵיכֶם כֹּל אִישׁ יִשְׂרָאֵל</w:t>
      </w:r>
      <w:r>
        <w:rPr>
          <w:rtl/>
        </w:rPr>
        <w:t xml:space="preserve"> </w:t>
      </w:r>
      <w:r>
        <w:t xml:space="preserve">(Aufzählung: </w:t>
      </w:r>
      <w:r>
        <w:rPr>
          <w:rStyle w:val="Fett"/>
          <w:rFonts w:eastAsiaTheme="majorEastAsia"/>
          <w:rtl/>
        </w:rPr>
        <w:t>רֹאשׁ</w:t>
      </w:r>
      <w:r>
        <w:t xml:space="preserve">, „Haupt, Anführer", Plural mit Suffix, </w:t>
      </w:r>
      <w:r>
        <w:rPr>
          <w:rStyle w:val="Fett"/>
          <w:rFonts w:eastAsiaTheme="majorEastAsia"/>
          <w:rtl/>
        </w:rPr>
        <w:t>שֵׁבֶט</w:t>
      </w:r>
      <w:r>
        <w:t xml:space="preserve">, „Stamm", Plural mit Suffix, </w:t>
      </w:r>
      <w:r>
        <w:rPr>
          <w:rStyle w:val="Fett"/>
          <w:rFonts w:eastAsiaTheme="majorEastAsia"/>
          <w:rtl/>
        </w:rPr>
        <w:t>זָקֵן</w:t>
      </w:r>
      <w:r>
        <w:t xml:space="preserve">, „Ältester", Plural mit Suffix, koordiniert mit </w:t>
      </w:r>
      <w:r>
        <w:rPr>
          <w:rStyle w:val="Fett"/>
          <w:rFonts w:eastAsiaTheme="majorEastAsia"/>
          <w:rtl/>
        </w:rPr>
        <w:t>שֹׁטֵר</w:t>
      </w:r>
      <w:r>
        <w:t xml:space="preserve">, „Vorsteher, Aufseher", Plural mit Suffix, </w:t>
      </w:r>
      <w:r>
        <w:rPr>
          <w:rStyle w:val="Fett"/>
          <w:rFonts w:eastAsiaTheme="majorEastAsia"/>
          <w:rtl/>
        </w:rPr>
        <w:t>כֹּל אִישׁ יִשְׂרָאֵל</w:t>
      </w:r>
      <w:r>
        <w:t>).</w:t>
      </w:r>
    </w:p>
    <w:p w14:paraId="64D21496" w14:textId="50D7E906" w:rsidR="008A57FB" w:rsidRDefault="008A57FB" w:rsidP="008A57FB">
      <w:pPr>
        <w:pStyle w:val="whitespace-normal"/>
      </w:pPr>
      <w:r>
        <w:t xml:space="preserve">Der Vers beginnt die eigentliche Bundeserneuerungsszene (V. 9-14). Die Beschreibung: </w:t>
      </w:r>
      <w:r>
        <w:rPr>
          <w:rStyle w:val="Fett"/>
          <w:rFonts w:eastAsiaTheme="majorEastAsia"/>
          <w:rtl/>
        </w:rPr>
        <w:t>אַתֶּם נִצָּבִים הַיּוֹם כֻּלְּכֶם לִפְנֵי יְהוָה אֱלֹהֵיכֶם</w:t>
      </w:r>
      <w:r>
        <w:rPr>
          <w:rtl/>
        </w:rPr>
        <w:t xml:space="preserve"> </w:t>
      </w:r>
      <w:r>
        <w:t xml:space="preserve">(„ihr steht heute alle vor JHWH, eurem Gott"). Das Partizip </w:t>
      </w:r>
      <w:r>
        <w:rPr>
          <w:rStyle w:val="Fett"/>
          <w:rFonts w:eastAsiaTheme="majorEastAsia"/>
          <w:rtl/>
        </w:rPr>
        <w:t>נִצָּבִים</w:t>
      </w:r>
      <w:r>
        <w:rPr>
          <w:rtl/>
        </w:rPr>
        <w:t xml:space="preserve"> </w:t>
      </w:r>
      <w:r>
        <w:t xml:space="preserve">(„stehend, aufgestellt") beschreibt formelle Versammlung zur Bundeszeremonie. Die Betonung </w:t>
      </w:r>
      <w:r>
        <w:rPr>
          <w:rStyle w:val="Fett"/>
          <w:rFonts w:eastAsiaTheme="majorEastAsia"/>
          <w:rtl/>
        </w:rPr>
        <w:t>הַיּוֹם</w:t>
      </w:r>
      <w:r>
        <w:rPr>
          <w:rtl/>
        </w:rPr>
        <w:t xml:space="preserve"> </w:t>
      </w:r>
      <w:r>
        <w:t xml:space="preserve">(„heute") markiert den feierlichen Moment. Die Formulierung </w:t>
      </w:r>
      <w:r>
        <w:rPr>
          <w:rStyle w:val="Fett"/>
          <w:rFonts w:eastAsiaTheme="majorEastAsia"/>
          <w:rtl/>
        </w:rPr>
        <w:t>כֻּלְּכֶם</w:t>
      </w:r>
      <w:r>
        <w:rPr>
          <w:rtl/>
        </w:rPr>
        <w:t xml:space="preserve"> </w:t>
      </w:r>
      <w:r>
        <w:t xml:space="preserve">(„ihr alle") wird durch die folgende Aufzählung präzisiert. Die Aufzählung: </w:t>
      </w:r>
      <w:r>
        <w:rPr>
          <w:rStyle w:val="Fett"/>
          <w:rFonts w:eastAsiaTheme="majorEastAsia"/>
          <w:rtl/>
        </w:rPr>
        <w:t>רָאשֵׁיכֶם שִׁבְטֵיכֶם זִקְנֵיכֶם וְשֹׁטְרֵיכֶם כֹּל אִישׁ יִשְׂרָאֵל</w:t>
      </w:r>
      <w:r>
        <w:rPr>
          <w:rtl/>
        </w:rPr>
        <w:t xml:space="preserve"> </w:t>
      </w:r>
      <w:r>
        <w:t xml:space="preserve">(„eure Häupter, eure Stämme, eure Ältesten und eure Vorsteher, alle Männer Israels"). Vier/fünf Kategorien: </w:t>
      </w:r>
      <w:r>
        <w:rPr>
          <w:rStyle w:val="Fett"/>
          <w:rFonts w:eastAsiaTheme="majorEastAsia"/>
          <w:rtl/>
        </w:rPr>
        <w:t>רָאשֵׁיכֶם</w:t>
      </w:r>
      <w:r>
        <w:rPr>
          <w:rtl/>
        </w:rPr>
        <w:t xml:space="preserve"> </w:t>
      </w:r>
      <w:r>
        <w:t xml:space="preserve">(„eure Häupter") – Stammesoberhäupter (vgl. 1,15). </w:t>
      </w:r>
      <w:r>
        <w:rPr>
          <w:rStyle w:val="Fett"/>
          <w:rFonts w:eastAsiaTheme="majorEastAsia"/>
          <w:rtl/>
        </w:rPr>
        <w:t>שִׁבְטֵיכֶם</w:t>
      </w:r>
      <w:r>
        <w:rPr>
          <w:rtl/>
        </w:rPr>
        <w:t xml:space="preserve"> </w:t>
      </w:r>
      <w:r>
        <w:t xml:space="preserve">(„eure Stämme") – kann entweder die Stämme selbst bezeichnen oder die Stammesvertreter. </w:t>
      </w:r>
      <w:r>
        <w:rPr>
          <w:rStyle w:val="Fett"/>
          <w:rFonts w:eastAsiaTheme="majorEastAsia"/>
          <w:rtl/>
        </w:rPr>
        <w:t>זִקְנֵיכֶם</w:t>
      </w:r>
      <w:r>
        <w:rPr>
          <w:rtl/>
        </w:rPr>
        <w:t xml:space="preserve"> </w:t>
      </w:r>
      <w:r>
        <w:t xml:space="preserve">(„eure Ältesten") – lokale Führer (vgl. 5,23; 19,12; 21,2-6). </w:t>
      </w:r>
      <w:r>
        <w:rPr>
          <w:rStyle w:val="Fett"/>
          <w:rFonts w:eastAsiaTheme="majorEastAsia"/>
          <w:rtl/>
        </w:rPr>
        <w:t>שֹׁטְרֵיכֶם</w:t>
      </w:r>
      <w:r>
        <w:rPr>
          <w:rtl/>
        </w:rPr>
        <w:t xml:space="preserve"> </w:t>
      </w:r>
      <w:r>
        <w:t xml:space="preserve">(„eure Vorsteher") – Beamte, Aufseher (vgl. 1,15; 16,18; 20,5.8-9). </w:t>
      </w:r>
      <w:r>
        <w:rPr>
          <w:rStyle w:val="Fett"/>
          <w:rFonts w:eastAsiaTheme="majorEastAsia"/>
          <w:rtl/>
        </w:rPr>
        <w:t>כֹּל אִישׁ יִשְׂרָאֵל</w:t>
      </w:r>
      <w:r>
        <w:rPr>
          <w:rtl/>
        </w:rPr>
        <w:t xml:space="preserve"> </w:t>
      </w:r>
      <w:r>
        <w:t>(„alle Männer Israels") – die gesamte männliche Bevölkerung. Die Aufzählung wird in V. 10 fortgesetzt.</w:t>
      </w:r>
    </w:p>
    <w:p w14:paraId="36E8F971" w14:textId="77777777" w:rsidR="004F2264" w:rsidRPr="004F2264" w:rsidRDefault="004F2264" w:rsidP="004F2264">
      <w:pPr>
        <w:spacing w:before="100" w:beforeAutospacing="1" w:after="100" w:afterAutospacing="1" w:line="240" w:lineRule="auto"/>
        <w:outlineLvl w:val="1"/>
        <w:rPr>
          <w:rFonts w:eastAsia="Times New Roman"/>
          <w:b/>
          <w:bCs/>
          <w:sz w:val="36"/>
          <w:szCs w:val="36"/>
          <w:lang w:eastAsia="de-DE"/>
        </w:rPr>
      </w:pPr>
      <w:r w:rsidRPr="004F2264">
        <w:rPr>
          <w:rFonts w:eastAsia="Times New Roman"/>
          <w:b/>
          <w:bCs/>
          <w:sz w:val="36"/>
          <w:szCs w:val="36"/>
          <w:lang w:eastAsia="de-DE"/>
        </w:rPr>
        <w:t>Vers 9 (MT) / Vers 10 (LXX)</w:t>
      </w:r>
    </w:p>
    <w:p w14:paraId="06137D30" w14:textId="6A9FF79C" w:rsidR="004F2264" w:rsidRPr="004F2264" w:rsidRDefault="004F2264" w:rsidP="004F2264">
      <w:pPr>
        <w:spacing w:before="100" w:beforeAutospacing="1" w:after="100" w:afterAutospacing="1" w:line="240" w:lineRule="auto"/>
        <w:rPr>
          <w:rFonts w:eastAsia="Times New Roman"/>
          <w:lang w:eastAsia="de-DE"/>
        </w:rPr>
      </w:pPr>
      <w:r w:rsidRPr="004F2264">
        <w:rPr>
          <w:rFonts w:eastAsia="Times New Roman"/>
          <w:b/>
          <w:bCs/>
          <w:lang w:eastAsia="de-DE"/>
        </w:rPr>
        <w:t>Die LXX</w:t>
      </w:r>
      <w:r w:rsidRPr="004F2264">
        <w:rPr>
          <w:rFonts w:eastAsia="Times New Roman"/>
          <w:lang w:eastAsia="de-DE"/>
        </w:rPr>
        <w:t xml:space="preserve"> übersetzt </w:t>
      </w:r>
      <w:r w:rsidRPr="004F2264">
        <w:rPr>
          <w:rFonts w:eastAsia="Times New Roman"/>
          <w:rtl/>
          <w:lang w:eastAsia="de-DE"/>
        </w:rPr>
        <w:t>רָאשֵׁיכֶם שִׁבְטֵיכֶם</w:t>
      </w:r>
      <w:r w:rsidRPr="004F2264">
        <w:rPr>
          <w:rFonts w:eastAsia="Times New Roman"/>
          <w:lang w:eastAsia="de-DE"/>
        </w:rPr>
        <w:t xml:space="preserve"> (eure Häupter, eure Stämme) mit </w:t>
      </w:r>
      <w:proofErr w:type="spellStart"/>
      <w:r w:rsidRPr="004F2264">
        <w:rPr>
          <w:rFonts w:eastAsia="Times New Roman"/>
          <w:lang w:eastAsia="de-DE"/>
        </w:rPr>
        <w:t>οἱ</w:t>
      </w:r>
      <w:proofErr w:type="spellEnd"/>
      <w:r w:rsidRPr="004F2264">
        <w:rPr>
          <w:rFonts w:eastAsia="Times New Roman"/>
          <w:lang w:eastAsia="de-DE"/>
        </w:rPr>
        <w:t xml:space="preserve"> </w:t>
      </w:r>
      <w:proofErr w:type="spellStart"/>
      <w:r w:rsidRPr="004F2264">
        <w:rPr>
          <w:rFonts w:eastAsia="Times New Roman"/>
          <w:lang w:eastAsia="de-DE"/>
        </w:rPr>
        <w:t>ἀρχίφυλοι</w:t>
      </w:r>
      <w:proofErr w:type="spellEnd"/>
      <w:r w:rsidRPr="004F2264">
        <w:rPr>
          <w:rFonts w:eastAsia="Times New Roman"/>
          <w:lang w:eastAsia="de-DE"/>
        </w:rPr>
        <w:t xml:space="preserve"> </w:t>
      </w:r>
      <w:proofErr w:type="spellStart"/>
      <w:r w:rsidRPr="004F2264">
        <w:rPr>
          <w:rFonts w:eastAsia="Times New Roman"/>
          <w:lang w:eastAsia="de-DE"/>
        </w:rPr>
        <w:t>ὑμῶν</w:t>
      </w:r>
      <w:proofErr w:type="spellEnd"/>
      <w:r w:rsidRPr="004F2264">
        <w:rPr>
          <w:rFonts w:eastAsia="Times New Roman"/>
          <w:lang w:eastAsia="de-DE"/>
        </w:rPr>
        <w:t xml:space="preserve"> (eure Stammesführer) – ein zusammengesetztes griechisches Wort. Der Begriff </w:t>
      </w:r>
      <w:proofErr w:type="spellStart"/>
      <w:r w:rsidRPr="004F2264">
        <w:rPr>
          <w:rFonts w:eastAsia="Times New Roman"/>
          <w:lang w:eastAsia="de-DE"/>
        </w:rPr>
        <w:t>γρ</w:t>
      </w:r>
      <w:proofErr w:type="spellEnd"/>
      <w:r w:rsidRPr="004F2264">
        <w:rPr>
          <w:rFonts w:eastAsia="Times New Roman"/>
          <w:lang w:eastAsia="de-DE"/>
        </w:rPr>
        <w:t xml:space="preserve">αμματοεισαγωγεῖς (Schreiber/Beamte) für </w:t>
      </w:r>
      <w:r w:rsidRPr="004F2264">
        <w:rPr>
          <w:rFonts w:eastAsia="Times New Roman"/>
          <w:rtl/>
          <w:lang w:eastAsia="de-DE"/>
        </w:rPr>
        <w:t>שֹׁטְרֵיכֶם</w:t>
      </w:r>
      <w:r w:rsidRPr="004F2264">
        <w:rPr>
          <w:rFonts w:eastAsia="Times New Roman"/>
          <w:lang w:eastAsia="de-DE"/>
        </w:rPr>
        <w:t xml:space="preserve"> ist eine interpretierende Übersetzung.</w:t>
      </w:r>
    </w:p>
    <w:p w14:paraId="6A6CB746" w14:textId="77777777" w:rsidR="008A57FB" w:rsidRDefault="008A57FB" w:rsidP="008A57FB">
      <w:pPr>
        <w:pStyle w:val="whitespace-normal"/>
      </w:pPr>
      <w:r>
        <w:rPr>
          <w:rStyle w:val="Fett"/>
          <w:rFonts w:eastAsiaTheme="majorEastAsia"/>
        </w:rPr>
        <w:t>Die Satzstruktur:</w:t>
      </w:r>
      <w:r>
        <w:t xml:space="preserve"> Beschreibung (ihr steht heute alle vor JHWH, eurem Gott: eure Häupter, eure Stämme, eure Ältesten und eure Vorsteher, alle Männer Israels).</w:t>
      </w:r>
    </w:p>
    <w:p w14:paraId="4992BD75" w14:textId="27AA8851" w:rsidR="008A57FB" w:rsidRDefault="008A57FB" w:rsidP="00B77CC6">
      <w:pPr>
        <w:pStyle w:val="whitespace-normal"/>
      </w:pPr>
      <w:r>
        <w:rPr>
          <w:rStyle w:val="Fett"/>
          <w:rFonts w:eastAsiaTheme="majorEastAsia"/>
        </w:rPr>
        <w:lastRenderedPageBreak/>
        <w:t>Der Vers beschreibt:</w:t>
      </w:r>
      <w:r>
        <w:t xml:space="preserve"> Beginn der Bundeserneuerung – formelle Versammlung aller vor JHWH, Aufzählung der Führungsschichten.</w:t>
      </w:r>
    </w:p>
    <w:p w14:paraId="1D7B0101" w14:textId="77777777" w:rsidR="008A57FB" w:rsidRPr="008D48A3" w:rsidRDefault="008A57FB" w:rsidP="008D48A3">
      <w:pPr>
        <w:pStyle w:val="Bibelberschrift"/>
      </w:pPr>
      <w:r w:rsidRPr="008D48A3">
        <w:rPr>
          <w:rStyle w:val="Fett"/>
          <w:b/>
          <w:bCs w:val="0"/>
        </w:rPr>
        <w:t>Deuteronomium 29,10 (29,11 MT)</w:t>
      </w:r>
    </w:p>
    <w:p w14:paraId="12E2527E" w14:textId="77777777" w:rsidR="008A57FB" w:rsidRDefault="008A57FB" w:rsidP="008A57FB">
      <w:pPr>
        <w:pStyle w:val="whitespace-normal"/>
      </w:pPr>
      <w:r>
        <w:rPr>
          <w:rStyle w:val="Fett"/>
          <w:rFonts w:eastAsiaTheme="majorEastAsia"/>
        </w:rPr>
        <w:t>Hebräisch:</w:t>
      </w:r>
      <w:r>
        <w:t xml:space="preserve"> </w:t>
      </w:r>
      <w:r>
        <w:rPr>
          <w:rtl/>
        </w:rPr>
        <w:t>טַפְּכֶם נְשֵׁיכֶם וְגֵרְךָ אֲשֶׁר בְּקֶרֶב מַחֲנֶיךָ מֵחֹטֵב עֵצֶיךָ עַד שֹׁאֵב מֵימֶיךָ׃</w:t>
      </w:r>
    </w:p>
    <w:p w14:paraId="0F83580F" w14:textId="77777777" w:rsidR="008A57FB" w:rsidRDefault="008A57FB" w:rsidP="008A57FB">
      <w:pPr>
        <w:pStyle w:val="whitespace-normal"/>
      </w:pPr>
      <w:r>
        <w:rPr>
          <w:rStyle w:val="Fett"/>
          <w:rFonts w:eastAsiaTheme="majorEastAsia"/>
        </w:rPr>
        <w:t>Deutsch:</w:t>
      </w:r>
      <w:r>
        <w:t xml:space="preserve"> Eure Kinder, eure Frauen und dein Fremdling, der inmitten deines Lagers ist, vom Holzhauer bis zum Wasserschöpfer.</w:t>
      </w:r>
    </w:p>
    <w:p w14:paraId="3CD5F856" w14:textId="77777777" w:rsidR="008A57FB" w:rsidRDefault="004F5CEB" w:rsidP="008A57FB">
      <w:r>
        <w:rPr>
          <w:noProof/>
        </w:rPr>
        <w:pict w14:anchorId="441A5802">
          <v:rect id="_x0000_i1823" style="width:0;height:1.5pt" o:hralign="center" o:hrstd="t" o:hr="t" fillcolor="#a0a0a0" stroked="f"/>
        </w:pict>
      </w:r>
    </w:p>
    <w:p w14:paraId="77A4E09E"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טַפְּכֶם נְשֵׁיכֶם וְגֵרְךָ אֲשֶׁר בְּקֶרֶב מַחֲנֶיךָ מֵחֹטֵב עֵצֶיךָ עַד שֹׁאֵב מֵימֶיךָ</w:t>
      </w:r>
      <w:r>
        <w:rPr>
          <w:rtl/>
        </w:rPr>
        <w:t xml:space="preserve"> </w:t>
      </w:r>
      <w:r>
        <w:t xml:space="preserve">ist Fortsetzung der Aufzählung: </w:t>
      </w:r>
      <w:r>
        <w:rPr>
          <w:rStyle w:val="Fett"/>
          <w:rFonts w:eastAsiaTheme="majorEastAsia"/>
          <w:rtl/>
        </w:rPr>
        <w:t>טַפְּכֶם נְשֵׁיכֶם וְגֵרְךָ אֲשֶׁר בְּקֶרֶב מַחֲנֶיךָ</w:t>
      </w:r>
      <w:r>
        <w:rPr>
          <w:rtl/>
        </w:rPr>
        <w:t xml:space="preserve"> </w:t>
      </w:r>
      <w:r>
        <w:t>(</w:t>
      </w:r>
      <w:r>
        <w:rPr>
          <w:rStyle w:val="Fett"/>
          <w:rFonts w:eastAsiaTheme="majorEastAsia"/>
          <w:rtl/>
        </w:rPr>
        <w:t>טַף</w:t>
      </w:r>
      <w:r>
        <w:t xml:space="preserve">, „Kinder, Kleinkinder", Plural mit Suffix, </w:t>
      </w:r>
      <w:r>
        <w:rPr>
          <w:rStyle w:val="Fett"/>
          <w:rFonts w:eastAsiaTheme="majorEastAsia"/>
          <w:rtl/>
        </w:rPr>
        <w:t>אִשָּׁה</w:t>
      </w:r>
      <w:r>
        <w:t xml:space="preserve">, „Frau", Plural mit Suffix, koordiniert durch </w:t>
      </w:r>
      <w:r>
        <w:rPr>
          <w:rStyle w:val="Fett"/>
          <w:rFonts w:eastAsiaTheme="majorEastAsia"/>
          <w:rtl/>
        </w:rPr>
        <w:t>וְ</w:t>
      </w:r>
      <w:r>
        <w:rPr>
          <w:rtl/>
        </w:rPr>
        <w:t xml:space="preserve"> </w:t>
      </w:r>
      <w:r>
        <w:t xml:space="preserve">mit </w:t>
      </w:r>
      <w:r>
        <w:rPr>
          <w:rStyle w:val="Fett"/>
          <w:rFonts w:eastAsiaTheme="majorEastAsia"/>
          <w:rtl/>
        </w:rPr>
        <w:t>גֵּר</w:t>
      </w:r>
      <w:r>
        <w:t xml:space="preserve">, „Fremdling", Singular mit Suffix, Relativsatz: </w:t>
      </w:r>
      <w:r>
        <w:rPr>
          <w:rStyle w:val="Fett"/>
          <w:rFonts w:eastAsiaTheme="majorEastAsia"/>
          <w:rtl/>
        </w:rPr>
        <w:t>אֲשֶׁר בְּקֶרֶב מַחֲנֶיךָ</w:t>
      </w:r>
      <w:r>
        <w:rPr>
          <w:rtl/>
        </w:rPr>
        <w:t xml:space="preserve"> </w:t>
      </w:r>
      <w:r>
        <w:t xml:space="preserve">mit </w:t>
      </w:r>
      <w:r>
        <w:rPr>
          <w:rStyle w:val="Fett"/>
          <w:rFonts w:eastAsiaTheme="majorEastAsia"/>
          <w:rtl/>
        </w:rPr>
        <w:t>קֶרֶב</w:t>
      </w:r>
      <w:r>
        <w:t xml:space="preserve">, „Mitte, Inneres", Construct mit </w:t>
      </w:r>
      <w:r>
        <w:rPr>
          <w:rStyle w:val="Fett"/>
          <w:rFonts w:eastAsiaTheme="majorEastAsia"/>
          <w:rtl/>
        </w:rPr>
        <w:t>מַחֲנֶה</w:t>
      </w:r>
      <w:r>
        <w:t xml:space="preserve">, „Lager", Plural mit Suffix), </w:t>
      </w:r>
      <w:r>
        <w:rPr>
          <w:rStyle w:val="Fett"/>
          <w:rFonts w:eastAsiaTheme="majorEastAsia"/>
          <w:rtl/>
        </w:rPr>
        <w:t>מֵחֹטֵב עֵצֶיךָ עַד שֹׁאֵב מֵימֶיךָ</w:t>
      </w:r>
      <w:r>
        <w:rPr>
          <w:rtl/>
        </w:rPr>
        <w:t xml:space="preserve"> </w:t>
      </w:r>
      <w:r>
        <w:t xml:space="preserve">(Merismus: </w:t>
      </w:r>
      <w:r>
        <w:rPr>
          <w:rStyle w:val="Fett"/>
          <w:rFonts w:eastAsiaTheme="majorEastAsia"/>
          <w:rtl/>
        </w:rPr>
        <w:t>מִן</w:t>
      </w:r>
      <w:r>
        <w:rPr>
          <w:rtl/>
        </w:rPr>
        <w:t xml:space="preserve"> </w:t>
      </w:r>
      <w:r>
        <w:t xml:space="preserve">mit </w:t>
      </w:r>
      <w:r>
        <w:rPr>
          <w:rStyle w:val="Fett"/>
          <w:rFonts w:eastAsiaTheme="majorEastAsia"/>
          <w:rtl/>
        </w:rPr>
        <w:t>חטב</w:t>
      </w:r>
      <w:r>
        <w:t xml:space="preserve">, Qal Partizip, „Holzhacker, Holzhauer", Construct mit </w:t>
      </w:r>
      <w:r>
        <w:rPr>
          <w:rStyle w:val="Fett"/>
          <w:rFonts w:eastAsiaTheme="majorEastAsia"/>
          <w:rtl/>
        </w:rPr>
        <w:t>עֵץ</w:t>
      </w:r>
      <w:r>
        <w:t xml:space="preserve">, „Holz", Plural mit Suffix, Präposition </w:t>
      </w:r>
      <w:r>
        <w:rPr>
          <w:rStyle w:val="Fett"/>
          <w:rFonts w:eastAsiaTheme="majorEastAsia"/>
          <w:rtl/>
        </w:rPr>
        <w:t>עַד</w:t>
      </w:r>
      <w:r>
        <w:rPr>
          <w:rtl/>
        </w:rPr>
        <w:t xml:space="preserve"> </w:t>
      </w:r>
      <w:r>
        <w:t xml:space="preserve">mit </w:t>
      </w:r>
      <w:r>
        <w:rPr>
          <w:rStyle w:val="Fett"/>
          <w:rFonts w:eastAsiaTheme="majorEastAsia"/>
          <w:rtl/>
        </w:rPr>
        <w:t>שׁאב</w:t>
      </w:r>
      <w:r>
        <w:t xml:space="preserve">, Qal Partizip, „Wasserschöpfer", Construct mit </w:t>
      </w:r>
      <w:r>
        <w:rPr>
          <w:rStyle w:val="Fett"/>
          <w:rFonts w:eastAsiaTheme="majorEastAsia"/>
          <w:rtl/>
        </w:rPr>
        <w:t>מַיִם</w:t>
      </w:r>
      <w:r>
        <w:t>, Plural mit Suffix).</w:t>
      </w:r>
    </w:p>
    <w:p w14:paraId="0B4A0463" w14:textId="15EB0E51" w:rsidR="008A57FB" w:rsidRDefault="008A57FB" w:rsidP="008A57FB">
      <w:pPr>
        <w:pStyle w:val="whitespace-normal"/>
      </w:pPr>
      <w:r>
        <w:t xml:space="preserve">Der Vers setzt die Aufzählung aus V. 9 fort und erweitert sie auf alle Bevölkerungsschichten. Die Fortsetzung: </w:t>
      </w:r>
      <w:r>
        <w:rPr>
          <w:rStyle w:val="Fett"/>
          <w:rFonts w:eastAsiaTheme="majorEastAsia"/>
          <w:rtl/>
        </w:rPr>
        <w:t>טַפְּכֶם נְשֵׁיכֶם וְגֵרְךָ אֲשֶׁר בְּקֶרֶב מַחֲנֶיךָ</w:t>
      </w:r>
      <w:r>
        <w:rPr>
          <w:rtl/>
        </w:rPr>
        <w:t xml:space="preserve"> </w:t>
      </w:r>
      <w:r>
        <w:t xml:space="preserve">(„eure Kinder, eure Frauen und dein Fremdling, der inmitten deines Lagers ist"). Drei weitere Kategorien: </w:t>
      </w:r>
      <w:r>
        <w:rPr>
          <w:rStyle w:val="Fett"/>
          <w:rFonts w:eastAsiaTheme="majorEastAsia"/>
          <w:rtl/>
        </w:rPr>
        <w:t>טַפְּכֶם</w:t>
      </w:r>
      <w:r>
        <w:rPr>
          <w:rtl/>
        </w:rPr>
        <w:t xml:space="preserve"> </w:t>
      </w:r>
      <w:r>
        <w:t xml:space="preserve">(„eure Kinder") – die jüngere Generation (vgl. 1,39). </w:t>
      </w:r>
      <w:r>
        <w:rPr>
          <w:rStyle w:val="Fett"/>
          <w:rFonts w:eastAsiaTheme="majorEastAsia"/>
          <w:rtl/>
        </w:rPr>
        <w:t>נְשֵׁיכֶם</w:t>
      </w:r>
      <w:r>
        <w:rPr>
          <w:rtl/>
        </w:rPr>
        <w:t xml:space="preserve"> </w:t>
      </w:r>
      <w:r>
        <w:t xml:space="preserve">(„eure Frauen") – die weibliche Bevölkerung. </w:t>
      </w:r>
      <w:r>
        <w:rPr>
          <w:rStyle w:val="Fett"/>
          <w:rFonts w:eastAsiaTheme="majorEastAsia"/>
          <w:rtl/>
        </w:rPr>
        <w:t>גֵּרְךָ אֲשֶׁר בְּקֶרֶב מַחֲנֶיךָ</w:t>
      </w:r>
      <w:r>
        <w:rPr>
          <w:rtl/>
        </w:rPr>
        <w:t xml:space="preserve"> </w:t>
      </w:r>
      <w:r>
        <w:t xml:space="preserve">(„dein Fremdling, der inmitten deines Lagers ist") – die Nicht-Israeliten, die mit Israel leben (vgl. 1,16; 5,14; 10,18-19; 14,21.29; 16,11.14; 24,14.17.19-21; 26,11-13; 27,19). Der Merismus: </w:t>
      </w:r>
      <w:r>
        <w:rPr>
          <w:rStyle w:val="Fett"/>
          <w:rFonts w:eastAsiaTheme="majorEastAsia"/>
          <w:rtl/>
        </w:rPr>
        <w:t>מֵחֹטֵב עֵצֶיךָ עַד שֹׁאֵב מֵימֶיךָ</w:t>
      </w:r>
      <w:r>
        <w:rPr>
          <w:rtl/>
        </w:rPr>
        <w:t xml:space="preserve"> </w:t>
      </w:r>
      <w:r>
        <w:t>(„vom Holzhauer bis zum Wasserschöpfer"). Die beiden niedrigsten Arbeiten – Holzhacken und Wasserschöpfen – repräsentieren die unterste soziale Schicht (vgl. Jos 9,21.23.27, wo die Gibeoniten zu diesen Arbeiten verurteilt wurden). Der Merismus „vom Holzhauer bis zum Wasserschöpfer" = alle sozialen Schichten, vom Niedrigsten bis zum Höchsten. Die gesamte Aufzählung (V. 9-10) zeigt: der Bund umfasst absolut alle – Führung, Männer, Frauen, Kinder, Fremde, von den Höchsten bis zu den Niedrigsten.</w:t>
      </w:r>
    </w:p>
    <w:p w14:paraId="2D9DD2E5" w14:textId="77777777" w:rsidR="004F2264" w:rsidRPr="004F2264" w:rsidRDefault="004F2264" w:rsidP="004F2264">
      <w:pPr>
        <w:spacing w:before="100" w:beforeAutospacing="1" w:after="100" w:afterAutospacing="1" w:line="240" w:lineRule="auto"/>
        <w:outlineLvl w:val="1"/>
        <w:rPr>
          <w:rFonts w:eastAsia="Times New Roman"/>
          <w:b/>
          <w:bCs/>
          <w:sz w:val="36"/>
          <w:szCs w:val="36"/>
          <w:lang w:eastAsia="de-DE"/>
        </w:rPr>
      </w:pPr>
      <w:r w:rsidRPr="004F2264">
        <w:rPr>
          <w:rFonts w:eastAsia="Times New Roman"/>
          <w:b/>
          <w:bCs/>
          <w:sz w:val="36"/>
          <w:szCs w:val="36"/>
          <w:lang w:eastAsia="de-DE"/>
        </w:rPr>
        <w:t>Vers 10 (MT) / Vers 11 (LXX)</w:t>
      </w:r>
    </w:p>
    <w:p w14:paraId="7590E974" w14:textId="15BC46A0" w:rsidR="004F2264" w:rsidRPr="004F2264" w:rsidRDefault="004F2264" w:rsidP="004F2264">
      <w:pPr>
        <w:spacing w:before="100" w:beforeAutospacing="1" w:after="100" w:afterAutospacing="1" w:line="240" w:lineRule="auto"/>
        <w:rPr>
          <w:rFonts w:eastAsia="Times New Roman"/>
          <w:lang w:eastAsia="de-DE"/>
        </w:rPr>
      </w:pPr>
      <w:r w:rsidRPr="004F2264">
        <w:rPr>
          <w:rFonts w:eastAsia="Times New Roman"/>
          <w:b/>
          <w:bCs/>
          <w:lang w:eastAsia="de-DE"/>
        </w:rPr>
        <w:t>Die LXX</w:t>
      </w:r>
      <w:r w:rsidRPr="004F2264">
        <w:rPr>
          <w:rFonts w:eastAsia="Times New Roman"/>
          <w:lang w:eastAsia="de-DE"/>
        </w:rPr>
        <w:t xml:space="preserve"> übersetzt </w:t>
      </w:r>
      <w:r w:rsidRPr="004F2264">
        <w:rPr>
          <w:rFonts w:eastAsia="Times New Roman"/>
          <w:rtl/>
          <w:lang w:eastAsia="de-DE"/>
        </w:rPr>
        <w:t>טַפְּכֶם</w:t>
      </w:r>
      <w:r w:rsidRPr="004F2264">
        <w:rPr>
          <w:rFonts w:eastAsia="Times New Roman"/>
          <w:lang w:eastAsia="de-DE"/>
        </w:rPr>
        <w:t xml:space="preserve"> (eure Kinder) mit </w:t>
      </w:r>
      <w:proofErr w:type="spellStart"/>
      <w:r w:rsidRPr="004F2264">
        <w:rPr>
          <w:rFonts w:eastAsia="Times New Roman"/>
          <w:lang w:eastAsia="de-DE"/>
        </w:rPr>
        <w:t>τὰ</w:t>
      </w:r>
      <w:proofErr w:type="spellEnd"/>
      <w:r w:rsidRPr="004F2264">
        <w:rPr>
          <w:rFonts w:eastAsia="Times New Roman"/>
          <w:lang w:eastAsia="de-DE"/>
        </w:rPr>
        <w:t xml:space="preserve"> </w:t>
      </w:r>
      <w:proofErr w:type="spellStart"/>
      <w:r w:rsidRPr="004F2264">
        <w:rPr>
          <w:rFonts w:eastAsia="Times New Roman"/>
          <w:lang w:eastAsia="de-DE"/>
        </w:rPr>
        <w:t>ἔκγον</w:t>
      </w:r>
      <w:proofErr w:type="spellEnd"/>
      <w:r w:rsidRPr="004F2264">
        <w:rPr>
          <w:rFonts w:eastAsia="Times New Roman"/>
          <w:lang w:eastAsia="de-DE"/>
        </w:rPr>
        <w:t xml:space="preserve">α </w:t>
      </w:r>
      <w:proofErr w:type="spellStart"/>
      <w:r w:rsidRPr="004F2264">
        <w:rPr>
          <w:rFonts w:eastAsia="Times New Roman"/>
          <w:lang w:eastAsia="de-DE"/>
        </w:rPr>
        <w:t>ὑμῶν</w:t>
      </w:r>
      <w:proofErr w:type="spellEnd"/>
      <w:r w:rsidRPr="004F2264">
        <w:rPr>
          <w:rFonts w:eastAsia="Times New Roman"/>
          <w:lang w:eastAsia="de-DE"/>
        </w:rPr>
        <w:t xml:space="preserve"> (eure Nachkommen) – ein allgemeinerer Begriff.</w:t>
      </w:r>
    </w:p>
    <w:p w14:paraId="31970E87" w14:textId="77777777" w:rsidR="008A57FB" w:rsidRDefault="008A57FB" w:rsidP="008A57FB">
      <w:pPr>
        <w:pStyle w:val="whitespace-normal"/>
      </w:pPr>
      <w:r>
        <w:rPr>
          <w:rStyle w:val="Fett"/>
          <w:rFonts w:eastAsiaTheme="majorEastAsia"/>
        </w:rPr>
        <w:t>Die Satzstruktur:</w:t>
      </w:r>
      <w:r>
        <w:t xml:space="preserve"> Fortsetzung der Aufzählung (eure Kinder, eure Frauen und dein Fremdling, der inmitten deines Lagers ist, vom Holzhauer bis zum Wasserschöpfer).</w:t>
      </w:r>
    </w:p>
    <w:p w14:paraId="418346AB" w14:textId="26AD70F0" w:rsidR="008A57FB" w:rsidRDefault="008A57FB" w:rsidP="00B77CC6">
      <w:pPr>
        <w:pStyle w:val="whitespace-normal"/>
      </w:pPr>
      <w:r>
        <w:rPr>
          <w:rStyle w:val="Fett"/>
          <w:rFonts w:eastAsiaTheme="majorEastAsia"/>
        </w:rPr>
        <w:t>Der Vers beschreibt:</w:t>
      </w:r>
      <w:r>
        <w:t xml:space="preserve"> Erweiterung der Versammlung – auch Kinder, Frauen, Fremde und die untersten Schichten sind eingeschlossen.</w:t>
      </w:r>
    </w:p>
    <w:p w14:paraId="643AE509" w14:textId="77777777" w:rsidR="008A57FB" w:rsidRPr="008D48A3" w:rsidRDefault="008A57FB" w:rsidP="008D48A3">
      <w:pPr>
        <w:pStyle w:val="Bibelberschrift"/>
      </w:pPr>
      <w:r w:rsidRPr="008D48A3">
        <w:rPr>
          <w:rStyle w:val="Fett"/>
          <w:b/>
          <w:bCs w:val="0"/>
        </w:rPr>
        <w:lastRenderedPageBreak/>
        <w:t>Deuteronomium 29,11 (29,12 MT)</w:t>
      </w:r>
    </w:p>
    <w:p w14:paraId="42717F15" w14:textId="77777777" w:rsidR="008A57FB" w:rsidRDefault="008A57FB" w:rsidP="008A57FB">
      <w:pPr>
        <w:pStyle w:val="whitespace-normal"/>
      </w:pPr>
      <w:r>
        <w:rPr>
          <w:rStyle w:val="Fett"/>
          <w:rFonts w:eastAsiaTheme="majorEastAsia"/>
        </w:rPr>
        <w:t>Hebräisch:</w:t>
      </w:r>
      <w:r>
        <w:t xml:space="preserve"> </w:t>
      </w:r>
      <w:r>
        <w:rPr>
          <w:rtl/>
        </w:rPr>
        <w:t>לְעָבְרְךָ בִּבְרִית יְהוָה אֱלֹהֶיךָ וּבְאָלָתוֹ אֲשֶׁר יְהוָה אֱלֹהֶיךָ כֹּרֵת עִמְּךָ הַיּוֹם׃</w:t>
      </w:r>
    </w:p>
    <w:p w14:paraId="1725294A" w14:textId="330CE6A1" w:rsidR="008A57FB" w:rsidRDefault="008A57FB" w:rsidP="008A57FB">
      <w:pPr>
        <w:pStyle w:val="whitespace-normal"/>
      </w:pPr>
      <w:r>
        <w:rPr>
          <w:rStyle w:val="Fett"/>
          <w:rFonts w:eastAsiaTheme="majorEastAsia"/>
        </w:rPr>
        <w:t>Deutsch:</w:t>
      </w:r>
      <w:r>
        <w:t xml:space="preserve"> Damit du eintrittst in den Bund des </w:t>
      </w:r>
      <w:r w:rsidR="004D33BE">
        <w:t>Ewigen</w:t>
      </w:r>
      <w:r>
        <w:t>, deines Gottes, und in seinen Eidschwur, den JHWH, dein Gott, heute mit dir schließt.</w:t>
      </w:r>
    </w:p>
    <w:p w14:paraId="07ADBB80" w14:textId="77777777" w:rsidR="008A57FB" w:rsidRDefault="004F5CEB" w:rsidP="008A57FB">
      <w:r>
        <w:rPr>
          <w:noProof/>
        </w:rPr>
        <w:pict w14:anchorId="73EA0CBA">
          <v:rect id="_x0000_i1824" style="width:0;height:1.5pt" o:hralign="center" o:hrstd="t" o:hr="t" fillcolor="#a0a0a0" stroked="f"/>
        </w:pict>
      </w:r>
    </w:p>
    <w:p w14:paraId="2EFED925"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לְעָבְרְךָ בִּבְרִית יְהוָה אֱלֹהֶיךָ וּבְאָלָתוֹ אֲשֶׁר יְהוָה אֱלֹהֶיךָ כֹּרֵת עִמְּךָ הַיּוֹם</w:t>
      </w:r>
      <w:r>
        <w:rPr>
          <w:rtl/>
        </w:rPr>
        <w:t xml:space="preserve"> </w:t>
      </w:r>
      <w:r>
        <w:t xml:space="preserve">ist ein Finalsatz: </w:t>
      </w:r>
      <w:r>
        <w:rPr>
          <w:rStyle w:val="Fett"/>
          <w:rFonts w:eastAsiaTheme="majorEastAsia"/>
          <w:rtl/>
        </w:rPr>
        <w:t>לְעָבְרְךָ בִּבְרִית יְהוָה אֱלֹהֶיךָ וּבְאָלָתוֹ אֲשֶׁר יְהוָה אֱלֹהֶיךָ כֹּרֵת עִמְּךָ הַיּוֹם</w:t>
      </w:r>
      <w:r>
        <w:rPr>
          <w:rtl/>
        </w:rPr>
        <w:t xml:space="preserve"> </w:t>
      </w:r>
      <w:r>
        <w:t xml:space="preserve">(Präposition </w:t>
      </w:r>
      <w:r>
        <w:rPr>
          <w:rStyle w:val="Fett"/>
          <w:rFonts w:eastAsiaTheme="majorEastAsia"/>
          <w:rtl/>
        </w:rPr>
        <w:t>לְ</w:t>
      </w:r>
      <w:r>
        <w:rPr>
          <w:rtl/>
        </w:rPr>
        <w:t xml:space="preserve"> </w:t>
      </w:r>
      <w:r>
        <w:t xml:space="preserve">mit Qal Infinitiv Construct von </w:t>
      </w:r>
      <w:r>
        <w:rPr>
          <w:rStyle w:val="Fett"/>
          <w:rFonts w:eastAsiaTheme="majorEastAsia"/>
          <w:rtl/>
        </w:rPr>
        <w:t>עבר</w:t>
      </w:r>
      <w:r>
        <w:t xml:space="preserve">, „hinübergehen, eintreten, durchschreiten", mit Suffix 2. Person Maskulinum Singular, Präposition </w:t>
      </w:r>
      <w:r>
        <w:rPr>
          <w:rStyle w:val="Fett"/>
          <w:rFonts w:eastAsiaTheme="majorEastAsia"/>
          <w:rtl/>
        </w:rPr>
        <w:t>בְּ</w:t>
      </w:r>
      <w:r>
        <w:rPr>
          <w:rtl/>
        </w:rPr>
        <w:t xml:space="preserve"> </w:t>
      </w:r>
      <w:r>
        <w:t xml:space="preserve">mit </w:t>
      </w:r>
      <w:r>
        <w:rPr>
          <w:rStyle w:val="Fett"/>
          <w:rFonts w:eastAsiaTheme="majorEastAsia"/>
          <w:rtl/>
        </w:rPr>
        <w:t>בְּרִית</w:t>
      </w:r>
      <w:r>
        <w:rPr>
          <w:rtl/>
        </w:rPr>
        <w:t xml:space="preserve"> </w:t>
      </w:r>
      <w:r>
        <w:t xml:space="preserve">Construct mit </w:t>
      </w:r>
      <w:r>
        <w:rPr>
          <w:rStyle w:val="Fett"/>
          <w:rFonts w:eastAsiaTheme="majorEastAsia"/>
          <w:rtl/>
        </w:rPr>
        <w:t>יְהוָה אֱלֹהֶיךָ</w:t>
      </w:r>
      <w:r>
        <w:t xml:space="preserve">, koordiniert durch </w:t>
      </w:r>
      <w:r>
        <w:rPr>
          <w:rStyle w:val="Fett"/>
          <w:rFonts w:eastAsiaTheme="majorEastAsia"/>
          <w:rtl/>
        </w:rPr>
        <w:t>וּ</w:t>
      </w:r>
      <w:r>
        <w:rPr>
          <w:rtl/>
        </w:rPr>
        <w:t xml:space="preserve"> </w:t>
      </w:r>
      <w:r>
        <w:t xml:space="preserve">mit Präposition </w:t>
      </w:r>
      <w:r>
        <w:rPr>
          <w:rStyle w:val="Fett"/>
          <w:rFonts w:eastAsiaTheme="majorEastAsia"/>
          <w:rtl/>
        </w:rPr>
        <w:t>בְּ</w:t>
      </w:r>
      <w:r>
        <w:t xml:space="preserve">, </w:t>
      </w:r>
      <w:r>
        <w:rPr>
          <w:rStyle w:val="Fett"/>
          <w:rFonts w:eastAsiaTheme="majorEastAsia"/>
          <w:rtl/>
        </w:rPr>
        <w:t>אָלָה</w:t>
      </w:r>
      <w:r>
        <w:t xml:space="preserve">, „Eidschwur, Verfluchung", mit Suffix 3. Person Maskulinum Singular, Relativsatz: </w:t>
      </w:r>
      <w:r>
        <w:rPr>
          <w:rStyle w:val="Fett"/>
          <w:rFonts w:eastAsiaTheme="majorEastAsia"/>
          <w:rtl/>
        </w:rPr>
        <w:t>אֲשֶׁר יְהוָה אֱלֹהֶיךָ כֹּרֵת עִמְּךָ הַיּוֹם</w:t>
      </w:r>
      <w:r>
        <w:rPr>
          <w:rtl/>
        </w:rPr>
        <w:t xml:space="preserve"> </w:t>
      </w:r>
      <w:r>
        <w:t xml:space="preserve">mit </w:t>
      </w:r>
      <w:r>
        <w:rPr>
          <w:rStyle w:val="Fett"/>
          <w:rFonts w:eastAsiaTheme="majorEastAsia"/>
          <w:rtl/>
        </w:rPr>
        <w:t>כרת</w:t>
      </w:r>
      <w:r>
        <w:t xml:space="preserve">, Qal Partizip, „schneiden, schließen" (einen Bund), </w:t>
      </w:r>
      <w:r>
        <w:rPr>
          <w:rStyle w:val="Fett"/>
          <w:rFonts w:eastAsiaTheme="majorEastAsia"/>
          <w:rtl/>
        </w:rPr>
        <w:t>יְהוָה אֱלֹהֶיךָ</w:t>
      </w:r>
      <w:r>
        <w:rPr>
          <w:rtl/>
        </w:rPr>
        <w:t xml:space="preserve"> </w:t>
      </w:r>
      <w:r>
        <w:t xml:space="preserve">als Subjekt, Präposition </w:t>
      </w:r>
      <w:r>
        <w:rPr>
          <w:rStyle w:val="Fett"/>
          <w:rFonts w:eastAsiaTheme="majorEastAsia"/>
          <w:rtl/>
        </w:rPr>
        <w:t>עִם</w:t>
      </w:r>
      <w:r>
        <w:rPr>
          <w:rtl/>
        </w:rPr>
        <w:t xml:space="preserve"> </w:t>
      </w:r>
      <w:r>
        <w:t xml:space="preserve">mit Suffix 2. Person Maskulinum Singular, </w:t>
      </w:r>
      <w:r>
        <w:rPr>
          <w:rStyle w:val="Fett"/>
          <w:rFonts w:eastAsiaTheme="majorEastAsia"/>
          <w:rtl/>
        </w:rPr>
        <w:t>הַיּוֹם</w:t>
      </w:r>
      <w:r>
        <w:t>).</w:t>
      </w:r>
    </w:p>
    <w:p w14:paraId="01DD2A66" w14:textId="0D770476" w:rsidR="008A57FB" w:rsidRDefault="008A57FB" w:rsidP="008A57FB">
      <w:pPr>
        <w:pStyle w:val="whitespace-normal"/>
      </w:pPr>
      <w:r>
        <w:t xml:space="preserve">Der Vers erklärt den Zweck der Versammlung (V. 9-10). Der Finalsatz: </w:t>
      </w:r>
      <w:r>
        <w:rPr>
          <w:rStyle w:val="Fett"/>
          <w:rFonts w:eastAsiaTheme="majorEastAsia"/>
          <w:rtl/>
        </w:rPr>
        <w:t>לְעָבְרְךָ בִּבְרִית יְהוָה אֱלֹהֶיךָ וּבְאָלָתוֹ אֲשֶׁר יְהוָה אֱלֹהֶיךָ כֹּרֵת עִמְּךָ הַיּוֹם</w:t>
      </w:r>
      <w:r>
        <w:rPr>
          <w:rtl/>
        </w:rPr>
        <w:t xml:space="preserve"> </w:t>
      </w:r>
      <w:r>
        <w:t xml:space="preserve">(„damit du eintrittst in den Bund </w:t>
      </w:r>
      <w:r w:rsidR="00DF3D1A">
        <w:t>JHWHs</w:t>
      </w:r>
      <w:r>
        <w:t xml:space="preserve">, deines Gottes, und in seinen Eidschwur, den JHWH, dein Gott, heute mit dir schließt"). Das Verb </w:t>
      </w:r>
      <w:r>
        <w:rPr>
          <w:rStyle w:val="Fett"/>
          <w:rFonts w:eastAsiaTheme="majorEastAsia"/>
          <w:rtl/>
        </w:rPr>
        <w:t>עבר</w:t>
      </w:r>
      <w:r>
        <w:rPr>
          <w:rtl/>
        </w:rPr>
        <w:t xml:space="preserve"> </w:t>
      </w:r>
      <w:r>
        <w:t xml:space="preserve">mit Präposition </w:t>
      </w:r>
      <w:r>
        <w:rPr>
          <w:rStyle w:val="Fett"/>
          <w:rFonts w:eastAsiaTheme="majorEastAsia"/>
          <w:rtl/>
        </w:rPr>
        <w:t>בְּ</w:t>
      </w:r>
      <w:r>
        <w:rPr>
          <w:rtl/>
        </w:rPr>
        <w:t xml:space="preserve"> </w:t>
      </w:r>
      <w:r>
        <w:t xml:space="preserve">(„eintreten in, durchschreiten") bezieht sich möglicherweise auf das rituelle Durchschreiten zwischen zerteilten Tieren bei der Bundesschließung (vgl. Gen 15,17; Jer 34,18-19). Die beiden Begriffe: </w:t>
      </w:r>
      <w:r>
        <w:rPr>
          <w:rStyle w:val="Fett"/>
          <w:rFonts w:eastAsiaTheme="majorEastAsia"/>
          <w:rtl/>
        </w:rPr>
        <w:t>בְּרִית</w:t>
      </w:r>
      <w:r>
        <w:rPr>
          <w:rtl/>
        </w:rPr>
        <w:t xml:space="preserve"> </w:t>
      </w:r>
      <w:r>
        <w:t xml:space="preserve">(„Bund") und </w:t>
      </w:r>
      <w:r>
        <w:rPr>
          <w:rStyle w:val="Fett"/>
          <w:rFonts w:eastAsiaTheme="majorEastAsia"/>
          <w:rtl/>
        </w:rPr>
        <w:t>אָלָה</w:t>
      </w:r>
      <w:r>
        <w:rPr>
          <w:rtl/>
        </w:rPr>
        <w:t xml:space="preserve"> </w:t>
      </w:r>
      <w:r>
        <w:t xml:space="preserve">(„Eidschwur, Verfluchung"). Das Wort </w:t>
      </w:r>
      <w:r>
        <w:rPr>
          <w:rStyle w:val="Fett"/>
          <w:rFonts w:eastAsiaTheme="majorEastAsia"/>
          <w:rtl/>
        </w:rPr>
        <w:t>אָלָה</w:t>
      </w:r>
      <w:r>
        <w:rPr>
          <w:rtl/>
        </w:rPr>
        <w:t xml:space="preserve"> </w:t>
      </w:r>
      <w:r>
        <w:t xml:space="preserve">(„Eidschwur") betont den selbstverfluchenden Charakter des Bundes – wer den Bund bricht, ruft die Flüche auf sich herab (vgl. V. 18-19; 30,7; Gen 24,41; 26,28; Num 5,21; Neh 10,30). Die Betonung </w:t>
      </w:r>
      <w:r>
        <w:rPr>
          <w:rStyle w:val="Fett"/>
          <w:rFonts w:eastAsiaTheme="majorEastAsia"/>
          <w:rtl/>
        </w:rPr>
        <w:t>הַיּוֹם</w:t>
      </w:r>
      <w:r>
        <w:rPr>
          <w:rtl/>
        </w:rPr>
        <w:t xml:space="preserve"> </w:t>
      </w:r>
      <w:r>
        <w:t>(„heute") markiert wieder den feierlichen Moment.</w:t>
      </w:r>
    </w:p>
    <w:p w14:paraId="1CB0493F" w14:textId="77777777" w:rsidR="008A57FB" w:rsidRDefault="008A57FB" w:rsidP="008A57FB">
      <w:pPr>
        <w:pStyle w:val="whitespace-normal"/>
      </w:pPr>
      <w:r>
        <w:rPr>
          <w:rStyle w:val="Fett"/>
          <w:rFonts w:eastAsiaTheme="majorEastAsia"/>
        </w:rPr>
        <w:t>Die Satzstruktur:</w:t>
      </w:r>
      <w:r>
        <w:t xml:space="preserve"> Finalsatz (damit du eintrittst in den Bund des JHWH, deines Gottes, und in seinen Eidschwur, den JHWH, dein Gott, heute mit dir schließt).</w:t>
      </w:r>
    </w:p>
    <w:p w14:paraId="632D4B05" w14:textId="2F9F356A" w:rsidR="008A57FB" w:rsidRDefault="008A57FB" w:rsidP="00B77CC6">
      <w:pPr>
        <w:pStyle w:val="whitespace-normal"/>
      </w:pPr>
      <w:r>
        <w:rPr>
          <w:rStyle w:val="Fett"/>
          <w:rFonts w:eastAsiaTheme="majorEastAsia"/>
        </w:rPr>
        <w:t>Der Vers beschreibt:</w:t>
      </w:r>
      <w:r>
        <w:t xml:space="preserve"> Zweck der Versammlung – Eintritt in den Bund und seinen selbstverfluchenden Eidschwur.</w:t>
      </w:r>
    </w:p>
    <w:p w14:paraId="5BA3F98C" w14:textId="77777777" w:rsidR="008A57FB" w:rsidRPr="008D48A3" w:rsidRDefault="008A57FB" w:rsidP="008D48A3">
      <w:pPr>
        <w:pStyle w:val="Bibelberschrift"/>
      </w:pPr>
      <w:r w:rsidRPr="008D48A3">
        <w:rPr>
          <w:rStyle w:val="Fett"/>
          <w:b/>
          <w:bCs w:val="0"/>
        </w:rPr>
        <w:t>Deuteronomium 29,12 (29,13 MT)</w:t>
      </w:r>
    </w:p>
    <w:p w14:paraId="3CA95DEE" w14:textId="77777777" w:rsidR="008A57FB" w:rsidRDefault="008A57FB" w:rsidP="008A57FB">
      <w:pPr>
        <w:pStyle w:val="whitespace-normal"/>
      </w:pPr>
      <w:r>
        <w:rPr>
          <w:rStyle w:val="Fett"/>
          <w:rFonts w:eastAsiaTheme="majorEastAsia"/>
        </w:rPr>
        <w:t>Hebräisch:</w:t>
      </w:r>
      <w:r>
        <w:t xml:space="preserve"> </w:t>
      </w:r>
      <w:r>
        <w:rPr>
          <w:rtl/>
        </w:rPr>
        <w:t>לְמַעַן הָקִים־אֹתְךָ הַיּוֹם לוֹ לְעָם וְהוּא יִהְיֶה־לְּךָ לֵאלֹהִים כַּאֲשֶׁר דִּבֶּר־לָךְ וְכַאֲשֶׁר נִשְׁבַּע לַאֲבֹתֶיךָ לְאַבְרָהָם לְיִצְחָק וּלְיַעֲקֹב׃</w:t>
      </w:r>
    </w:p>
    <w:p w14:paraId="488546C8" w14:textId="77777777" w:rsidR="008A57FB" w:rsidRDefault="008A57FB" w:rsidP="008A57FB">
      <w:pPr>
        <w:pStyle w:val="whitespace-normal"/>
      </w:pPr>
      <w:r>
        <w:rPr>
          <w:rStyle w:val="Fett"/>
          <w:rFonts w:eastAsiaTheme="majorEastAsia"/>
        </w:rPr>
        <w:t>Deutsch:</w:t>
      </w:r>
      <w:r>
        <w:t xml:space="preserve"> Damit er dich heute für sich als Volk aufrichte, und er sei dir Gott, wie er zu dir geredet hat und wie er deinen Vätern geschworen hat, dem Abraham, dem Isaak und dem Jakob.</w:t>
      </w:r>
    </w:p>
    <w:p w14:paraId="3BF93FE5" w14:textId="77777777" w:rsidR="008A57FB" w:rsidRDefault="004F5CEB" w:rsidP="008A57FB">
      <w:r>
        <w:rPr>
          <w:noProof/>
        </w:rPr>
        <w:pict w14:anchorId="4B2D3324">
          <v:rect id="_x0000_i1825" style="width:0;height:1.5pt" o:hralign="center" o:hrstd="t" o:hr="t" fillcolor="#a0a0a0" stroked="f"/>
        </w:pict>
      </w:r>
    </w:p>
    <w:p w14:paraId="64151AD7" w14:textId="77777777" w:rsidR="008A57FB" w:rsidRDefault="008A57FB" w:rsidP="008A57FB">
      <w:pPr>
        <w:pStyle w:val="whitespace-normal"/>
      </w:pPr>
      <w:r>
        <w:rPr>
          <w:rStyle w:val="Fett"/>
          <w:rFonts w:eastAsiaTheme="majorEastAsia"/>
        </w:rPr>
        <w:lastRenderedPageBreak/>
        <w:t>Kommentar:</w:t>
      </w:r>
      <w:r>
        <w:t xml:space="preserve"> </w:t>
      </w:r>
      <w:r>
        <w:rPr>
          <w:rStyle w:val="Fett"/>
          <w:rFonts w:eastAsiaTheme="majorEastAsia"/>
          <w:rtl/>
        </w:rPr>
        <w:t>לְמַעַן הָקִים־אֹתְךָ הַיּוֹם לוֹ לְעָם וְהוּא יִהְיֶה־לְּךָ לֵאלֹהִים כַּאֲשֶׁר דִּבֶּר־לָךְ וְכַאֲשֶׁר נִשְׁבַּע לַאֲבֹתֶיךָ לְאַבְרָהָם לְיִצְחָק וּלְיַעֲקֹב</w:t>
      </w:r>
      <w:r>
        <w:rPr>
          <w:rtl/>
        </w:rPr>
        <w:t xml:space="preserve"> </w:t>
      </w:r>
      <w:r>
        <w:t xml:space="preserve">ist ein Finalsatz mit zwei Vergleichssätzen: </w:t>
      </w:r>
      <w:r>
        <w:rPr>
          <w:rStyle w:val="Fett"/>
          <w:rFonts w:eastAsiaTheme="majorEastAsia"/>
          <w:rtl/>
        </w:rPr>
        <w:t>לְמַעַן הָקִים־אֹתְךָ הַיּוֹם לוֹ לְעָם וְהוּא יִהְיֶה־לְּךָ לֵאלֹהִים</w:t>
      </w:r>
      <w:r>
        <w:rPr>
          <w:rtl/>
        </w:rPr>
        <w:t xml:space="preserve"> </w:t>
      </w:r>
      <w:r>
        <w:t xml:space="preserve">(Finalsatz: </w:t>
      </w:r>
      <w:r>
        <w:rPr>
          <w:rStyle w:val="Fett"/>
          <w:rFonts w:eastAsiaTheme="majorEastAsia"/>
          <w:rtl/>
        </w:rPr>
        <w:t>לְמַעַן</w:t>
      </w:r>
      <w:r>
        <w:rPr>
          <w:rtl/>
        </w:rPr>
        <w:t xml:space="preserve"> </w:t>
      </w:r>
      <w:r>
        <w:t xml:space="preserve">mit Hiphil Infinitiv Construct von </w:t>
      </w:r>
      <w:r>
        <w:rPr>
          <w:rStyle w:val="Fett"/>
          <w:rFonts w:eastAsiaTheme="majorEastAsia"/>
          <w:rtl/>
        </w:rPr>
        <w:t>קום</w:t>
      </w:r>
      <w:r>
        <w:t xml:space="preserve">, „aufrichten, errichten, bestätigen", Objektpartikel </w:t>
      </w:r>
      <w:r>
        <w:rPr>
          <w:rStyle w:val="Fett"/>
          <w:rFonts w:eastAsiaTheme="majorEastAsia"/>
          <w:rtl/>
        </w:rPr>
        <w:t>אֵת</w:t>
      </w:r>
      <w:r>
        <w:rPr>
          <w:rtl/>
        </w:rPr>
        <w:t xml:space="preserve"> </w:t>
      </w:r>
      <w:r>
        <w:t xml:space="preserve">mit Suffix 2. Person Maskulinum Singular (JHWH als implizites Subjekt), </w:t>
      </w:r>
      <w:r>
        <w:rPr>
          <w:rStyle w:val="Fett"/>
          <w:rFonts w:eastAsiaTheme="majorEastAsia"/>
          <w:rtl/>
        </w:rPr>
        <w:t>הַיּוֹם</w:t>
      </w:r>
      <w:r>
        <w:t xml:space="preserve">, </w:t>
      </w:r>
      <w:r>
        <w:rPr>
          <w:rStyle w:val="Fett"/>
          <w:rFonts w:eastAsiaTheme="majorEastAsia"/>
          <w:rtl/>
        </w:rPr>
        <w:t>לוֹ</w:t>
      </w:r>
      <w:r>
        <w:t xml:space="preserve">, Präposition </w:t>
      </w:r>
      <w:r>
        <w:rPr>
          <w:rStyle w:val="Fett"/>
          <w:rFonts w:eastAsiaTheme="majorEastAsia"/>
          <w:rtl/>
        </w:rPr>
        <w:t>לְ</w:t>
      </w:r>
      <w:r>
        <w:rPr>
          <w:rtl/>
        </w:rPr>
        <w:t xml:space="preserve"> </w:t>
      </w:r>
      <w:r>
        <w:t xml:space="preserve">mit </w:t>
      </w:r>
      <w:r>
        <w:rPr>
          <w:rStyle w:val="Fett"/>
          <w:rFonts w:eastAsiaTheme="majorEastAsia"/>
          <w:rtl/>
        </w:rPr>
        <w:t>עַם</w:t>
      </w:r>
      <w:r>
        <w:t xml:space="preserve">, koordiniert durch </w:t>
      </w:r>
      <w:r>
        <w:rPr>
          <w:rStyle w:val="Fett"/>
          <w:rFonts w:eastAsiaTheme="majorEastAsia"/>
          <w:rtl/>
        </w:rPr>
        <w:t>וְ</w:t>
      </w:r>
      <w:r>
        <w:rPr>
          <w:rtl/>
        </w:rPr>
        <w:t xml:space="preserve"> </w:t>
      </w:r>
      <w:r>
        <w:t xml:space="preserve">mit </w:t>
      </w:r>
      <w:r>
        <w:rPr>
          <w:rStyle w:val="Fett"/>
          <w:rFonts w:eastAsiaTheme="majorEastAsia"/>
          <w:rtl/>
        </w:rPr>
        <w:t>הוּא</w:t>
      </w:r>
      <w:r>
        <w:t xml:space="preserve">, </w:t>
      </w:r>
      <w:r>
        <w:rPr>
          <w:rStyle w:val="Fett"/>
          <w:rFonts w:eastAsiaTheme="majorEastAsia"/>
          <w:rtl/>
        </w:rPr>
        <w:t>היה</w:t>
      </w:r>
      <w:r>
        <w:t xml:space="preserve">, Qal Imperfekt, 3. Person Maskulinum Singular, Präposition </w:t>
      </w:r>
      <w:r>
        <w:rPr>
          <w:rStyle w:val="Fett"/>
          <w:rFonts w:eastAsiaTheme="majorEastAsia"/>
          <w:rtl/>
        </w:rPr>
        <w:t>לְ</w:t>
      </w:r>
      <w:r>
        <w:rPr>
          <w:rtl/>
        </w:rPr>
        <w:t xml:space="preserve"> </w:t>
      </w:r>
      <w:r>
        <w:t xml:space="preserve">mit Suffix 2. Person Maskulinum Singular, Präposition </w:t>
      </w:r>
      <w:r>
        <w:rPr>
          <w:rStyle w:val="Fett"/>
          <w:rFonts w:eastAsiaTheme="majorEastAsia"/>
          <w:rtl/>
        </w:rPr>
        <w:t>לְ</w:t>
      </w:r>
      <w:r>
        <w:rPr>
          <w:rtl/>
        </w:rPr>
        <w:t xml:space="preserve"> </w:t>
      </w:r>
      <w:r>
        <w:t xml:space="preserve">mit </w:t>
      </w:r>
      <w:r>
        <w:rPr>
          <w:rStyle w:val="Fett"/>
          <w:rFonts w:eastAsiaTheme="majorEastAsia"/>
          <w:rtl/>
        </w:rPr>
        <w:t>אֱלֹהִים</w:t>
      </w:r>
      <w:r>
        <w:t xml:space="preserve">), </w:t>
      </w:r>
      <w:r>
        <w:rPr>
          <w:rStyle w:val="Fett"/>
          <w:rFonts w:eastAsiaTheme="majorEastAsia"/>
          <w:rtl/>
        </w:rPr>
        <w:t>כַּאֲשֶׁר דִּבֶּר־לָךְ וְכַאֲשֶׁר נִשְׁבַּע לַאֲבֹתֶיךָ לְאַבְרָהָם לְיִצְחָק וּלְיַעֲקֹב</w:t>
      </w:r>
      <w:r>
        <w:rPr>
          <w:rtl/>
        </w:rPr>
        <w:t xml:space="preserve"> </w:t>
      </w:r>
      <w:r>
        <w:t xml:space="preserve">(zwei Vergleichssätze: </w:t>
      </w:r>
      <w:r>
        <w:rPr>
          <w:rStyle w:val="Fett"/>
          <w:rFonts w:eastAsiaTheme="majorEastAsia"/>
          <w:rtl/>
        </w:rPr>
        <w:t>כַּאֲשֶׁר דִּבֶּר־לָךְ</w:t>
      </w:r>
      <w:r>
        <w:rPr>
          <w:rtl/>
        </w:rPr>
        <w:t xml:space="preserve"> </w:t>
      </w:r>
      <w:r>
        <w:t xml:space="preserve">mit </w:t>
      </w:r>
      <w:r>
        <w:rPr>
          <w:rStyle w:val="Fett"/>
          <w:rFonts w:eastAsiaTheme="majorEastAsia"/>
          <w:rtl/>
        </w:rPr>
        <w:t>דבר</w:t>
      </w:r>
      <w:r>
        <w:t xml:space="preserve">, Piel Perfekt, 3. Person Maskulinum Singular (JHWH als implizites Subjekt), </w:t>
      </w:r>
      <w:r>
        <w:rPr>
          <w:rStyle w:val="Fett"/>
          <w:rFonts w:eastAsiaTheme="majorEastAsia"/>
          <w:rtl/>
        </w:rPr>
        <w:t>לָךְ</w:t>
      </w:r>
      <w:r>
        <w:t xml:space="preserve">, koordiniert durch </w:t>
      </w:r>
      <w:r>
        <w:rPr>
          <w:rStyle w:val="Fett"/>
          <w:rFonts w:eastAsiaTheme="majorEastAsia"/>
          <w:rtl/>
        </w:rPr>
        <w:t>וְ</w:t>
      </w:r>
      <w:r>
        <w:rPr>
          <w:rtl/>
        </w:rPr>
        <w:t xml:space="preserve"> </w:t>
      </w:r>
      <w:r>
        <w:t xml:space="preserve">mit </w:t>
      </w:r>
      <w:r>
        <w:rPr>
          <w:rStyle w:val="Fett"/>
          <w:rFonts w:eastAsiaTheme="majorEastAsia"/>
          <w:rtl/>
        </w:rPr>
        <w:t>כַּאֲשֶׁר נִשְׁבַּע לַאֲבֹתֶיךָ</w:t>
      </w:r>
      <w:r>
        <w:rPr>
          <w:rtl/>
        </w:rPr>
        <w:t xml:space="preserve"> </w:t>
      </w:r>
      <w:r>
        <w:t xml:space="preserve">mit </w:t>
      </w:r>
      <w:r>
        <w:rPr>
          <w:rStyle w:val="Fett"/>
          <w:rFonts w:eastAsiaTheme="majorEastAsia"/>
          <w:rtl/>
        </w:rPr>
        <w:t>שׁבע</w:t>
      </w:r>
      <w:r>
        <w:t xml:space="preserve">, Niphal Perfekt, 3. Person Maskulinum Singular, </w:t>
      </w:r>
      <w:r>
        <w:rPr>
          <w:rStyle w:val="Fett"/>
          <w:rFonts w:eastAsiaTheme="majorEastAsia"/>
          <w:rtl/>
        </w:rPr>
        <w:t>לַאֲבֹתֶיךָ</w:t>
      </w:r>
      <w:r>
        <w:t xml:space="preserve">, drei Appositionen mit Präposition </w:t>
      </w:r>
      <w:r>
        <w:rPr>
          <w:rStyle w:val="Fett"/>
          <w:rFonts w:eastAsiaTheme="majorEastAsia"/>
          <w:rtl/>
        </w:rPr>
        <w:t>לְ</w:t>
      </w:r>
      <w:r>
        <w:t xml:space="preserve">: </w:t>
      </w:r>
      <w:r>
        <w:rPr>
          <w:rStyle w:val="Fett"/>
          <w:rFonts w:eastAsiaTheme="majorEastAsia"/>
          <w:rtl/>
        </w:rPr>
        <w:t>לְאַבְרָהָם לְיִצְחָק וּלְיַעֲקֹב</w:t>
      </w:r>
      <w:r>
        <w:t>).</w:t>
      </w:r>
    </w:p>
    <w:p w14:paraId="18B3A477" w14:textId="291A4B69" w:rsidR="008A57FB" w:rsidRDefault="008A57FB" w:rsidP="008A57FB">
      <w:pPr>
        <w:pStyle w:val="whitespace-normal"/>
      </w:pPr>
      <w:r>
        <w:t xml:space="preserve">Der Vers nennt den Zweck des Bundesschlusses. Der Finalsatz: </w:t>
      </w:r>
      <w:r>
        <w:rPr>
          <w:rStyle w:val="Fett"/>
          <w:rFonts w:eastAsiaTheme="majorEastAsia"/>
          <w:rtl/>
        </w:rPr>
        <w:t>לְמַעַן הָקִים־אֹתְךָ הַיּוֹם לוֹ לְעָם וְהוּא יִהְיֶה־לְּךָ לֵאלֹהִים</w:t>
      </w:r>
      <w:r>
        <w:rPr>
          <w:rtl/>
        </w:rPr>
        <w:t xml:space="preserve"> </w:t>
      </w:r>
      <w:r>
        <w:t xml:space="preserve">(„damit er dich heute für sich als Volk aufrichte, und er sei dir Gott"). Die Bundesformel in zwei Teilen: (1) </w:t>
      </w:r>
      <w:r>
        <w:rPr>
          <w:rStyle w:val="Fett"/>
          <w:rFonts w:eastAsiaTheme="majorEastAsia"/>
          <w:rtl/>
        </w:rPr>
        <w:t>הָקִים־אֹתְךָ... לוֹ לְעָם</w:t>
      </w:r>
      <w:r>
        <w:rPr>
          <w:rtl/>
        </w:rPr>
        <w:t xml:space="preserve"> </w:t>
      </w:r>
      <w:r>
        <w:t xml:space="preserve">(„dich aufrichten... für sich als Volk") – Israel wird zu JHWHs Volk. (2) </w:t>
      </w:r>
      <w:r>
        <w:rPr>
          <w:rStyle w:val="Fett"/>
          <w:rFonts w:eastAsiaTheme="majorEastAsia"/>
          <w:rtl/>
        </w:rPr>
        <w:t>וְהוּא יִהְיֶה־לְּךָ לֵאלֹהִים</w:t>
      </w:r>
      <w:r>
        <w:rPr>
          <w:rtl/>
        </w:rPr>
        <w:t xml:space="preserve"> </w:t>
      </w:r>
      <w:r>
        <w:t xml:space="preserve">(„und er sei dir Gott") – JHWH wird zu Israels Gott. Dies ist die klassische Bundesformel (vgl. 26,17-18; 27,9; 28,9; Ex 6,7; Lev 26,12; Jer 7,23; 11,4; 24,7; 30,22; 31,33; 32,38; </w:t>
      </w:r>
      <w:r w:rsidR="00BF3748">
        <w:t>Hes</w:t>
      </w:r>
      <w:r>
        <w:t xml:space="preserve"> 11,20; 14,11; 36,28; 37,23.27; Hos 2,25; Sach 8,8; 13,9). Die beiden Vergleichssätze: </w:t>
      </w:r>
      <w:r>
        <w:rPr>
          <w:rStyle w:val="Fett"/>
          <w:rFonts w:eastAsiaTheme="majorEastAsia"/>
          <w:rtl/>
        </w:rPr>
        <w:t>כַּאֲשֶׁר דִּבֶּר־לָךְ וְכַאֲשֶׁר נִשְׁבַּע לַאֲבֹתֶיךָ לְאַבְרָהָם לְיִצְחָק וּלְיַעֲקֹב</w:t>
      </w:r>
      <w:r>
        <w:rPr>
          <w:rtl/>
        </w:rPr>
        <w:t xml:space="preserve"> </w:t>
      </w:r>
      <w:r>
        <w:t>(„wie er zu dir geredet hat und wie er deinen Vätern geschworen hat, dem Abraham, dem Isaak und dem Jakob"). Der Bund in Moab ist keine Neuerung, sondern Erfüllung früherer Verheißungen – sowohl an die gegenwärtige Generation (</w:t>
      </w:r>
      <w:r>
        <w:rPr>
          <w:rStyle w:val="Fett"/>
          <w:rFonts w:eastAsiaTheme="majorEastAsia"/>
          <w:rtl/>
        </w:rPr>
        <w:t>דִּבֶּר־לָךְ</w:t>
      </w:r>
      <w:r>
        <w:t>) als auch an die Erzväter (</w:t>
      </w:r>
      <w:r>
        <w:rPr>
          <w:rStyle w:val="Fett"/>
          <w:rFonts w:eastAsiaTheme="majorEastAsia"/>
          <w:rtl/>
        </w:rPr>
        <w:t>נִשְׁבַּע לַאֲבֹתֶיךָ</w:t>
      </w:r>
      <w:r>
        <w:t>). Die drei Patriarchen werden namentlich genannt (vgl. 1,8; 6,10; 9,5.27; 30,20; 34,4).</w:t>
      </w:r>
    </w:p>
    <w:p w14:paraId="3EB93475" w14:textId="77777777" w:rsidR="008A57FB" w:rsidRDefault="008A57FB" w:rsidP="008A57FB">
      <w:pPr>
        <w:pStyle w:val="whitespace-normal"/>
      </w:pPr>
      <w:r>
        <w:rPr>
          <w:rStyle w:val="Fett"/>
          <w:rFonts w:eastAsiaTheme="majorEastAsia"/>
        </w:rPr>
        <w:t>Die Satzstruktur:</w:t>
      </w:r>
      <w:r>
        <w:t xml:space="preserve"> Finalsatz mit zwei Vergleichssätzen (damit er dich heute für sich als Volk aufrichte, und er sei dir Gott, wie er zu dir geredet hat und wie er deinen Vätern geschworen hat, dem Abraham, dem Isaak und dem Jakob).</w:t>
      </w:r>
    </w:p>
    <w:p w14:paraId="621E546D" w14:textId="77777777" w:rsidR="008A57FB" w:rsidRDefault="008A57FB" w:rsidP="008A57FB">
      <w:pPr>
        <w:pStyle w:val="whitespace-normal"/>
      </w:pPr>
      <w:r>
        <w:rPr>
          <w:rStyle w:val="Fett"/>
          <w:rFonts w:eastAsiaTheme="majorEastAsia"/>
        </w:rPr>
        <w:t>Der Vers beschreibt:</w:t>
      </w:r>
      <w:r>
        <w:t xml:space="preserve"> Zweck des Bundes – Erfüllung der Bundesformel (JHWH = Gott, Israel = Volk) gemäß früheren Verheißungen.</w:t>
      </w:r>
    </w:p>
    <w:p w14:paraId="1C4CFB18" w14:textId="77777777" w:rsidR="008A57FB" w:rsidRPr="008D48A3" w:rsidRDefault="008A57FB" w:rsidP="008D48A3">
      <w:pPr>
        <w:pStyle w:val="Bibelberschrift"/>
      </w:pPr>
      <w:r w:rsidRPr="008D48A3">
        <w:rPr>
          <w:rStyle w:val="Fett"/>
          <w:b/>
          <w:bCs w:val="0"/>
        </w:rPr>
        <w:t>Deuteronomium 29,13 (29,14 MT)</w:t>
      </w:r>
    </w:p>
    <w:p w14:paraId="504978F2" w14:textId="77777777" w:rsidR="008A57FB" w:rsidRDefault="008A57FB" w:rsidP="008A57FB">
      <w:pPr>
        <w:pStyle w:val="whitespace-normal"/>
      </w:pPr>
      <w:r>
        <w:rPr>
          <w:rStyle w:val="Fett"/>
          <w:rFonts w:eastAsiaTheme="majorEastAsia"/>
        </w:rPr>
        <w:t>Hebräisch:</w:t>
      </w:r>
      <w:r>
        <w:t xml:space="preserve"> </w:t>
      </w:r>
      <w:r>
        <w:rPr>
          <w:rtl/>
        </w:rPr>
        <w:t>וְלֹא אִתְּכֶם לְבַדְּכֶם אָנֹכִי כֹּרֵת אֶת־הַבְּרִית הַזֹּאת וְאֶת־הָאָלָה הַזֹּאת׃</w:t>
      </w:r>
    </w:p>
    <w:p w14:paraId="2DB1C2B8" w14:textId="77777777" w:rsidR="008A57FB" w:rsidRDefault="008A57FB" w:rsidP="008A57FB">
      <w:pPr>
        <w:pStyle w:val="whitespace-normal"/>
      </w:pPr>
      <w:r>
        <w:rPr>
          <w:rStyle w:val="Fett"/>
          <w:rFonts w:eastAsiaTheme="majorEastAsia"/>
        </w:rPr>
        <w:t>Deutsch:</w:t>
      </w:r>
      <w:r>
        <w:t xml:space="preserve"> Und nicht mit euch allein schließe ich diesen Bund und diesen Eidschwur.</w:t>
      </w:r>
    </w:p>
    <w:p w14:paraId="1787C86A" w14:textId="77777777" w:rsidR="008A57FB" w:rsidRDefault="004F5CEB" w:rsidP="008A57FB">
      <w:r>
        <w:rPr>
          <w:noProof/>
        </w:rPr>
        <w:pict w14:anchorId="135D22E9">
          <v:rect id="_x0000_i1826" style="width:0;height:1.5pt" o:hralign="center" o:hrstd="t" o:hr="t" fillcolor="#a0a0a0" stroked="f"/>
        </w:pict>
      </w:r>
    </w:p>
    <w:p w14:paraId="4F204D7E"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וְלֹא אִתְּכֶם לְבַדְּכֶם אָנֹכִי כֹּרֵת אֶת־הַבְּרִית הַזֹּאת וְאֶת־הָאָלָה הַזֹּאת</w:t>
      </w:r>
      <w:r>
        <w:rPr>
          <w:rtl/>
        </w:rPr>
        <w:t xml:space="preserve"> </w:t>
      </w:r>
      <w:r>
        <w:t xml:space="preserve">ist eine negative Aussage: </w:t>
      </w:r>
      <w:r>
        <w:rPr>
          <w:rStyle w:val="Fett"/>
          <w:rFonts w:eastAsiaTheme="majorEastAsia"/>
          <w:rtl/>
        </w:rPr>
        <w:t>וְלֹא אִתְּכֶם לְבַדְּכֶם אָנֹכִי כֹּרֵת אֶת־הַבְּרִית הַזֹּאת וְאֶת־הָאָלָה הַזֹּאת</w:t>
      </w:r>
      <w:r>
        <w:rPr>
          <w:rtl/>
        </w:rPr>
        <w:t xml:space="preserve"> </w:t>
      </w:r>
      <w:r>
        <w:t xml:space="preserve">(koordiniert durch </w:t>
      </w:r>
      <w:r>
        <w:rPr>
          <w:rStyle w:val="Fett"/>
          <w:rFonts w:eastAsiaTheme="majorEastAsia"/>
          <w:rtl/>
        </w:rPr>
        <w:t>וְ</w:t>
      </w:r>
      <w:r>
        <w:rPr>
          <w:rtl/>
        </w:rPr>
        <w:t xml:space="preserve"> </w:t>
      </w:r>
      <w:r>
        <w:t xml:space="preserve">mit Negation, Präposition </w:t>
      </w:r>
      <w:r>
        <w:rPr>
          <w:rStyle w:val="Fett"/>
          <w:rFonts w:eastAsiaTheme="majorEastAsia"/>
          <w:rtl/>
        </w:rPr>
        <w:t>אֵת</w:t>
      </w:r>
      <w:r>
        <w:rPr>
          <w:rtl/>
        </w:rPr>
        <w:t xml:space="preserve"> </w:t>
      </w:r>
      <w:r>
        <w:t xml:space="preserve">mit Suffix 2. Person Plural, </w:t>
      </w:r>
      <w:r>
        <w:rPr>
          <w:rStyle w:val="Fett"/>
          <w:rFonts w:eastAsiaTheme="majorEastAsia"/>
          <w:rtl/>
        </w:rPr>
        <w:t>לְבַדְּכֶם</w:t>
      </w:r>
      <w:r>
        <w:t xml:space="preserve">, „allein", </w:t>
      </w:r>
      <w:r>
        <w:rPr>
          <w:rStyle w:val="Fett"/>
          <w:rFonts w:eastAsiaTheme="majorEastAsia"/>
          <w:rtl/>
        </w:rPr>
        <w:t>אָנֹכִי</w:t>
      </w:r>
      <w:r>
        <w:t xml:space="preserve">, </w:t>
      </w:r>
      <w:r>
        <w:rPr>
          <w:rStyle w:val="Fett"/>
          <w:rFonts w:eastAsiaTheme="majorEastAsia"/>
          <w:rtl/>
        </w:rPr>
        <w:t>כרת</w:t>
      </w:r>
      <w:r>
        <w:t xml:space="preserve">, Qal Partizip, „schneiden, schließen", Objektpartikel </w:t>
      </w:r>
      <w:r>
        <w:rPr>
          <w:rStyle w:val="Fett"/>
          <w:rFonts w:eastAsiaTheme="majorEastAsia"/>
          <w:rtl/>
        </w:rPr>
        <w:t>אֵת</w:t>
      </w:r>
      <w:r>
        <w:rPr>
          <w:rtl/>
        </w:rPr>
        <w:t xml:space="preserve"> </w:t>
      </w:r>
      <w:r>
        <w:t xml:space="preserve">mit </w:t>
      </w:r>
      <w:r>
        <w:rPr>
          <w:rStyle w:val="Fett"/>
          <w:rFonts w:eastAsiaTheme="majorEastAsia"/>
          <w:rtl/>
        </w:rPr>
        <w:t>בְּרִית</w:t>
      </w:r>
      <w:r>
        <w:rPr>
          <w:rtl/>
        </w:rPr>
        <w:t xml:space="preserve"> </w:t>
      </w:r>
      <w:r>
        <w:t xml:space="preserve">mit Artikel, </w:t>
      </w:r>
      <w:r>
        <w:rPr>
          <w:rStyle w:val="Fett"/>
          <w:rFonts w:eastAsiaTheme="majorEastAsia"/>
          <w:rtl/>
        </w:rPr>
        <w:t>זֹאת</w:t>
      </w:r>
      <w:r>
        <w:t xml:space="preserve">, koordiniert durch </w:t>
      </w:r>
      <w:r>
        <w:rPr>
          <w:rStyle w:val="Fett"/>
          <w:rFonts w:eastAsiaTheme="majorEastAsia"/>
          <w:rtl/>
        </w:rPr>
        <w:t>וְ</w:t>
      </w:r>
      <w:r>
        <w:rPr>
          <w:rtl/>
        </w:rPr>
        <w:t xml:space="preserve"> </w:t>
      </w:r>
      <w:r>
        <w:t xml:space="preserve">mit Objektpartikel </w:t>
      </w:r>
      <w:r>
        <w:rPr>
          <w:rStyle w:val="Fett"/>
          <w:rFonts w:eastAsiaTheme="majorEastAsia"/>
          <w:rtl/>
        </w:rPr>
        <w:t>אֵת</w:t>
      </w:r>
      <w:r>
        <w:t xml:space="preserve">, </w:t>
      </w:r>
      <w:r>
        <w:rPr>
          <w:rStyle w:val="Fett"/>
          <w:rFonts w:eastAsiaTheme="majorEastAsia"/>
          <w:rtl/>
        </w:rPr>
        <w:t>אָלָה</w:t>
      </w:r>
      <w:r>
        <w:rPr>
          <w:rtl/>
        </w:rPr>
        <w:t xml:space="preserve"> </w:t>
      </w:r>
      <w:r>
        <w:t xml:space="preserve">mit Artikel, </w:t>
      </w:r>
      <w:r>
        <w:rPr>
          <w:rStyle w:val="Fett"/>
          <w:rFonts w:eastAsiaTheme="majorEastAsia"/>
          <w:rtl/>
        </w:rPr>
        <w:t>זֹאת</w:t>
      </w:r>
      <w:r>
        <w:t>).</w:t>
      </w:r>
    </w:p>
    <w:p w14:paraId="2549C373" w14:textId="77777777" w:rsidR="008A57FB" w:rsidRDefault="008A57FB" w:rsidP="008A57FB">
      <w:pPr>
        <w:pStyle w:val="whitespace-normal"/>
      </w:pPr>
      <w:r>
        <w:lastRenderedPageBreak/>
        <w:t xml:space="preserve">Der Vers leitet eine der bemerkenswertesten Aussagen des Deuteronomiums ein (V. 13-14). Die negative Aussage: </w:t>
      </w:r>
      <w:r>
        <w:rPr>
          <w:rStyle w:val="Fett"/>
          <w:rFonts w:eastAsiaTheme="majorEastAsia"/>
          <w:rtl/>
        </w:rPr>
        <w:t>וְלֹא אִתְּכֶם לְבַדְּכֶם אָנֹכִי כֹּרֵת אֶת־הַבְּרִית הַזֹּאת וְאֶת־הָאָלָה הַזֹּאת</w:t>
      </w:r>
      <w:r>
        <w:rPr>
          <w:rtl/>
        </w:rPr>
        <w:t xml:space="preserve"> </w:t>
      </w:r>
      <w:r>
        <w:t xml:space="preserve">(„und nicht mit euch allein schließe ich diesen Bund und diesen Eidschwur"). Die Betonung </w:t>
      </w:r>
      <w:r>
        <w:rPr>
          <w:rStyle w:val="Fett"/>
          <w:rFonts w:eastAsiaTheme="majorEastAsia"/>
          <w:rtl/>
        </w:rPr>
        <w:t>לְבַדְּכֶם</w:t>
      </w:r>
      <w:r>
        <w:rPr>
          <w:rtl/>
        </w:rPr>
        <w:t xml:space="preserve"> </w:t>
      </w:r>
      <w:r>
        <w:t xml:space="preserve">(„allein") betont: der Bund umfasst mehr als nur die anwesende Generation. Die beiden Begriffe </w:t>
      </w:r>
      <w:r>
        <w:rPr>
          <w:rStyle w:val="Fett"/>
          <w:rFonts w:eastAsiaTheme="majorEastAsia"/>
          <w:rtl/>
        </w:rPr>
        <w:t>בְּרִית</w:t>
      </w:r>
      <w:r>
        <w:rPr>
          <w:rtl/>
        </w:rPr>
        <w:t xml:space="preserve"> </w:t>
      </w:r>
      <w:r>
        <w:t xml:space="preserve">(„Bund") und </w:t>
      </w:r>
      <w:r>
        <w:rPr>
          <w:rStyle w:val="Fett"/>
          <w:rFonts w:eastAsiaTheme="majorEastAsia"/>
          <w:rtl/>
        </w:rPr>
        <w:t>אָלָה</w:t>
      </w:r>
      <w:r>
        <w:rPr>
          <w:rtl/>
        </w:rPr>
        <w:t xml:space="preserve"> </w:t>
      </w:r>
      <w:r>
        <w:t>(„Eidschwur") wie V. 11. V. 14 wird präzisieren, mit wem noch der Bund geschlossen wird.</w:t>
      </w:r>
    </w:p>
    <w:p w14:paraId="19DBE31A" w14:textId="77777777" w:rsidR="008A57FB" w:rsidRDefault="008A57FB" w:rsidP="008A57FB">
      <w:pPr>
        <w:pStyle w:val="whitespace-normal"/>
      </w:pPr>
      <w:r>
        <w:rPr>
          <w:rStyle w:val="Fett"/>
          <w:rFonts w:eastAsiaTheme="majorEastAsia"/>
        </w:rPr>
        <w:t>Die Satzstruktur:</w:t>
      </w:r>
      <w:r>
        <w:t xml:space="preserve"> Negative Aussage (und nicht mit euch allein schließe ich diesen Bund und diesen Eidschwur).</w:t>
      </w:r>
    </w:p>
    <w:p w14:paraId="6C2572D0" w14:textId="2DB73D7E" w:rsidR="008A57FB" w:rsidRDefault="008A57FB" w:rsidP="00B77CC6">
      <w:pPr>
        <w:pStyle w:val="whitespace-normal"/>
      </w:pPr>
      <w:r>
        <w:rPr>
          <w:rStyle w:val="Fett"/>
          <w:rFonts w:eastAsiaTheme="majorEastAsia"/>
        </w:rPr>
        <w:t>Der Vers beschreibt:</w:t>
      </w:r>
      <w:r>
        <w:t xml:space="preserve"> Einleitung – der Bund gilt nicht nur für die Anwesenden, sondern auch für andere (V. 14 präzisiert).</w:t>
      </w:r>
    </w:p>
    <w:p w14:paraId="73B280EF" w14:textId="77777777" w:rsidR="008A57FB" w:rsidRPr="008D48A3" w:rsidRDefault="008A57FB" w:rsidP="008D48A3">
      <w:pPr>
        <w:pStyle w:val="Bibelberschrift"/>
      </w:pPr>
      <w:r w:rsidRPr="008D48A3">
        <w:rPr>
          <w:rStyle w:val="Fett"/>
          <w:b/>
          <w:bCs w:val="0"/>
        </w:rPr>
        <w:t>Deuteronomium 29,14 (29,15 MT)</w:t>
      </w:r>
    </w:p>
    <w:p w14:paraId="220935E8" w14:textId="77777777" w:rsidR="008A57FB" w:rsidRDefault="008A57FB" w:rsidP="008A57FB">
      <w:pPr>
        <w:pStyle w:val="whitespace-normal"/>
      </w:pPr>
      <w:r>
        <w:rPr>
          <w:rStyle w:val="Fett"/>
          <w:rFonts w:eastAsiaTheme="majorEastAsia"/>
        </w:rPr>
        <w:t>Hebräisch:</w:t>
      </w:r>
      <w:r>
        <w:t xml:space="preserve"> </w:t>
      </w:r>
      <w:r>
        <w:rPr>
          <w:rtl/>
        </w:rPr>
        <w:t>כִּי אֶת־אֲשֶׁר יֶשְׁנוֹ פֹּה עִמָּנוּ עֹמֵד הַיּוֹם לִפְנֵי יְהוָה אֱלֹהֵינוּ וְאֵת אֲשֶׁר אֵינֶנּוּ פֹּה עִמָּנוּ הַיּוֹם׃</w:t>
      </w:r>
    </w:p>
    <w:p w14:paraId="5665BA1B" w14:textId="77777777" w:rsidR="008A57FB" w:rsidRDefault="008A57FB" w:rsidP="008A57FB">
      <w:pPr>
        <w:pStyle w:val="whitespace-normal"/>
      </w:pPr>
      <w:r>
        <w:rPr>
          <w:rStyle w:val="Fett"/>
          <w:rFonts w:eastAsiaTheme="majorEastAsia"/>
        </w:rPr>
        <w:t>Deutsch:</w:t>
      </w:r>
      <w:r>
        <w:t xml:space="preserve"> Sondern sowohl mit dem, der hier mit uns steht heute vor JHWH, unserem Gott, als auch mit dem, der nicht hier ist mit uns heute.</w:t>
      </w:r>
    </w:p>
    <w:p w14:paraId="17A179D3" w14:textId="77777777" w:rsidR="008A57FB" w:rsidRDefault="004F5CEB" w:rsidP="008A57FB">
      <w:r>
        <w:rPr>
          <w:noProof/>
        </w:rPr>
        <w:pict w14:anchorId="619588B9">
          <v:rect id="_x0000_i1827" style="width:0;height:1.5pt" o:hralign="center" o:hrstd="t" o:hr="t" fillcolor="#a0a0a0" stroked="f"/>
        </w:pict>
      </w:r>
    </w:p>
    <w:p w14:paraId="28CB493A"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כִּי אֶת־אֲשֶׁר יֶשְׁנוֹ פֹּה עִמָּנוּ עֹמֵד הַיּוֹם לִפְנֵי יְהוָה אֱלֹהֵינוּ וְאֵת אֲשֶׁר אֵינֶנּוּ פֹּה עִמָּנוּ הַיּוֹם</w:t>
      </w:r>
      <w:r>
        <w:rPr>
          <w:rtl/>
        </w:rPr>
        <w:t xml:space="preserve"> </w:t>
      </w:r>
      <w:r>
        <w:t xml:space="preserve">sind zwei Objektphrasen: </w:t>
      </w:r>
      <w:r>
        <w:rPr>
          <w:rStyle w:val="Fett"/>
          <w:rFonts w:eastAsiaTheme="majorEastAsia"/>
          <w:rtl/>
        </w:rPr>
        <w:t>כִּי אֶת־אֲשֶׁר יֶשְׁנוֹ פֹּה עִמָּנוּ עֹמֵד הַיּוֹם לִפְנֵי יְהוָה אֱלֹהֵינוּ</w:t>
      </w:r>
      <w:r>
        <w:rPr>
          <w:rtl/>
        </w:rPr>
        <w:t xml:space="preserve"> </w:t>
      </w:r>
      <w:r>
        <w:t>(</w:t>
      </w:r>
      <w:r>
        <w:rPr>
          <w:rStyle w:val="Fett"/>
          <w:rFonts w:eastAsiaTheme="majorEastAsia"/>
          <w:rtl/>
        </w:rPr>
        <w:t>כִּי</w:t>
      </w:r>
      <w:r>
        <w:rPr>
          <w:rtl/>
        </w:rPr>
        <w:t xml:space="preserve"> </w:t>
      </w:r>
      <w:r>
        <w:t xml:space="preserve">als „sondern", Objektpartikel </w:t>
      </w:r>
      <w:r>
        <w:rPr>
          <w:rStyle w:val="Fett"/>
          <w:rFonts w:eastAsiaTheme="majorEastAsia"/>
          <w:rtl/>
        </w:rPr>
        <w:t>אֵת</w:t>
      </w:r>
      <w:r>
        <w:t xml:space="preserve">, Relativsatz: </w:t>
      </w:r>
      <w:r>
        <w:rPr>
          <w:rStyle w:val="Fett"/>
          <w:rFonts w:eastAsiaTheme="majorEastAsia"/>
          <w:rtl/>
        </w:rPr>
        <w:t>אֲשֶׁר יֶשְׁנוֹ פֹּה עִמָּנוּ עֹמֵד הַיּוֹם לִפְנֵי יְהוָה אֱלֹהֵינוּ</w:t>
      </w:r>
      <w:r>
        <w:rPr>
          <w:rtl/>
        </w:rPr>
        <w:t xml:space="preserve"> </w:t>
      </w:r>
      <w:r>
        <w:t xml:space="preserve">mit </w:t>
      </w:r>
      <w:r>
        <w:rPr>
          <w:rStyle w:val="Fett"/>
          <w:rFonts w:eastAsiaTheme="majorEastAsia"/>
          <w:rtl/>
        </w:rPr>
        <w:t>יֵשׁ</w:t>
      </w:r>
      <w:r>
        <w:rPr>
          <w:rtl/>
        </w:rPr>
        <w:t xml:space="preserve"> </w:t>
      </w:r>
      <w:r>
        <w:t xml:space="preserve">mit Suffix 3. Person Maskulinum Singular, „er ist hier", </w:t>
      </w:r>
      <w:r>
        <w:rPr>
          <w:rStyle w:val="Fett"/>
          <w:rFonts w:eastAsiaTheme="majorEastAsia"/>
          <w:rtl/>
        </w:rPr>
        <w:t>פֹּה</w:t>
      </w:r>
      <w:r>
        <w:t xml:space="preserve">, </w:t>
      </w:r>
      <w:r>
        <w:rPr>
          <w:rStyle w:val="Fett"/>
          <w:rFonts w:eastAsiaTheme="majorEastAsia"/>
          <w:rtl/>
        </w:rPr>
        <w:t>עִמָּנוּ</w:t>
      </w:r>
      <w:r>
        <w:t xml:space="preserve">, </w:t>
      </w:r>
      <w:r>
        <w:rPr>
          <w:rStyle w:val="Fett"/>
          <w:rFonts w:eastAsiaTheme="majorEastAsia"/>
          <w:rtl/>
        </w:rPr>
        <w:t>עמד</w:t>
      </w:r>
      <w:r>
        <w:t xml:space="preserve">, Qal Partizip, „stehen", </w:t>
      </w:r>
      <w:r>
        <w:rPr>
          <w:rStyle w:val="Fett"/>
          <w:rFonts w:eastAsiaTheme="majorEastAsia"/>
          <w:rtl/>
        </w:rPr>
        <w:t>הַיּוֹם</w:t>
      </w:r>
      <w:r>
        <w:t xml:space="preserve">, </w:t>
      </w:r>
      <w:r>
        <w:rPr>
          <w:rStyle w:val="Fett"/>
          <w:rFonts w:eastAsiaTheme="majorEastAsia"/>
          <w:rtl/>
        </w:rPr>
        <w:t>לִפְנֵי יְהוָה אֱלֹהֵינוּ</w:t>
      </w:r>
      <w:r>
        <w:t xml:space="preserve">), </w:t>
      </w:r>
      <w:r>
        <w:rPr>
          <w:rStyle w:val="Fett"/>
          <w:rFonts w:eastAsiaTheme="majorEastAsia"/>
          <w:rtl/>
        </w:rPr>
        <w:t>וְאֵת אֲשֶׁר אֵינֶנּוּ פֹּה עִמָּנוּ הַיּוֹם</w:t>
      </w:r>
      <w:r>
        <w:rPr>
          <w:rtl/>
        </w:rPr>
        <w:t xml:space="preserve"> </w:t>
      </w:r>
      <w:r>
        <w:t xml:space="preserve">(koordiniert durch </w:t>
      </w:r>
      <w:r>
        <w:rPr>
          <w:rStyle w:val="Fett"/>
          <w:rFonts w:eastAsiaTheme="majorEastAsia"/>
          <w:rtl/>
        </w:rPr>
        <w:t>וְ</w:t>
      </w:r>
      <w:r>
        <w:rPr>
          <w:rtl/>
        </w:rPr>
        <w:t xml:space="preserve"> </w:t>
      </w:r>
      <w:r>
        <w:t xml:space="preserve">mit Objektpartikel </w:t>
      </w:r>
      <w:r>
        <w:rPr>
          <w:rStyle w:val="Fett"/>
          <w:rFonts w:eastAsiaTheme="majorEastAsia"/>
          <w:rtl/>
        </w:rPr>
        <w:t>אֵת</w:t>
      </w:r>
      <w:r>
        <w:t xml:space="preserve">, Relativsatz: </w:t>
      </w:r>
      <w:r>
        <w:rPr>
          <w:rStyle w:val="Fett"/>
          <w:rFonts w:eastAsiaTheme="majorEastAsia"/>
          <w:rtl/>
        </w:rPr>
        <w:t>אֲשֶׁר אֵינֶנּוּ פֹּה עִמָּנוּ הַיּוֹם</w:t>
      </w:r>
      <w:r>
        <w:rPr>
          <w:rtl/>
        </w:rPr>
        <w:t xml:space="preserve"> </w:t>
      </w:r>
      <w:r>
        <w:t xml:space="preserve">mit </w:t>
      </w:r>
      <w:r>
        <w:rPr>
          <w:rStyle w:val="Fett"/>
          <w:rFonts w:eastAsiaTheme="majorEastAsia"/>
          <w:rtl/>
        </w:rPr>
        <w:t>אַיִן</w:t>
      </w:r>
      <w:r>
        <w:rPr>
          <w:rtl/>
        </w:rPr>
        <w:t xml:space="preserve"> </w:t>
      </w:r>
      <w:r>
        <w:t xml:space="preserve">mit Suffix 3. Person Maskulinum Singular, „er ist nicht hier", </w:t>
      </w:r>
      <w:r>
        <w:rPr>
          <w:rStyle w:val="Fett"/>
          <w:rFonts w:eastAsiaTheme="majorEastAsia"/>
          <w:rtl/>
        </w:rPr>
        <w:t>פֹּה עִמָּנוּ הַיּוֹם</w:t>
      </w:r>
      <w:r>
        <w:t>).</w:t>
      </w:r>
    </w:p>
    <w:p w14:paraId="19C50B0B" w14:textId="77777777" w:rsidR="008A57FB" w:rsidRDefault="008A57FB" w:rsidP="008A57FB">
      <w:pPr>
        <w:pStyle w:val="whitespace-normal"/>
      </w:pPr>
      <w:r>
        <w:t xml:space="preserve">Der Vers präzisiert V. 13 mit einer revolutionären Aussage. Die beiden Objektphrasen: </w:t>
      </w:r>
      <w:r>
        <w:rPr>
          <w:rStyle w:val="Fett"/>
          <w:rFonts w:eastAsiaTheme="majorEastAsia"/>
          <w:rtl/>
        </w:rPr>
        <w:t>כִּי אֶת־אֲשֶׁר יֶשְׁנוֹ פֹּה עִמָּנוּ עֹמֵד הַיּוֹם לִפְנֵי יְהוָה אֱלֹהֵינוּ וְאֵת אֲשֶׁר אֵינֶנּוּ פֹּה עִמָּנוּ הַיּוֹם</w:t>
      </w:r>
      <w:r>
        <w:rPr>
          <w:rtl/>
        </w:rPr>
        <w:t xml:space="preserve"> </w:t>
      </w:r>
      <w:r>
        <w:t xml:space="preserve">(„sondern sowohl mit dem, der hier ist mit uns stehend heute vor JHWH, unserem Gott, als auch mit dem, der nicht hier ist mit uns heute"). Zwei Gruppen: (1) </w:t>
      </w:r>
      <w:r>
        <w:rPr>
          <w:rStyle w:val="Fett"/>
          <w:rFonts w:eastAsiaTheme="majorEastAsia"/>
          <w:rtl/>
        </w:rPr>
        <w:t>אֲשֶׁר יֶשְׁנוֹ פֹּה עִמָּנוּ עֹמֵד הַיּוֹם</w:t>
      </w:r>
      <w:r>
        <w:rPr>
          <w:rtl/>
        </w:rPr>
        <w:t xml:space="preserve"> </w:t>
      </w:r>
      <w:r>
        <w:t xml:space="preserve">(„der hier ist mit uns stehend heute") – die gegenwärtige Generation, die physisch anwesend ist bei der Bundeszeremonie. (2) </w:t>
      </w:r>
      <w:r>
        <w:rPr>
          <w:rStyle w:val="Fett"/>
          <w:rFonts w:eastAsiaTheme="majorEastAsia"/>
          <w:rtl/>
        </w:rPr>
        <w:t>אֲשֶׁר אֵינֶנּוּ פֹּה עִמָּנוּ הַיּוֹם</w:t>
      </w:r>
      <w:r>
        <w:rPr>
          <w:rtl/>
        </w:rPr>
        <w:t xml:space="preserve"> </w:t>
      </w:r>
      <w:r>
        <w:t>(„der nicht hier ist mit uns heute") – wer ist gemeint? Zwei Hauptinterpretationen: (a) Die zukünftigen Generationen, die noch nicht geboren sind (so die meisten Ausleger – vgl. rabbinische Tradition). (b) Israeliten, die aus irgendeinem Grund bei der Zeremonie abwesend sind. Die erste Interpretation ist wahrscheinlicher – der Bund verpflichtet nicht nur die gegenwärtige, sondern alle zukünftigen Generationen. Dies ist eine der zentralsten Aussagen über die Kontinuität des Bundes durch die Generationen hindurch. Die Formulierung impliziert: jede Generation steht in derselben Bundesverpflichtung wie die Generation am Sinai/Horeb und in Moab.</w:t>
      </w:r>
    </w:p>
    <w:p w14:paraId="374557B9" w14:textId="77777777" w:rsidR="008A57FB" w:rsidRDefault="008A57FB" w:rsidP="008A57FB">
      <w:pPr>
        <w:pStyle w:val="whitespace-normal"/>
      </w:pPr>
      <w:r>
        <w:rPr>
          <w:rStyle w:val="Fett"/>
          <w:rFonts w:eastAsiaTheme="majorEastAsia"/>
        </w:rPr>
        <w:t>Die Satzstruktur:</w:t>
      </w:r>
      <w:r>
        <w:t xml:space="preserve"> Zwei Objektphrasen (sondern sowohl mit dem, der hier ist mit uns stehend heute vor JHWH, unserem Gott, als auch mit dem, der nicht hier ist mit uns heute).</w:t>
      </w:r>
    </w:p>
    <w:p w14:paraId="7E1F35F8" w14:textId="5AFEF096" w:rsidR="008A57FB" w:rsidRDefault="008A57FB" w:rsidP="00B77CC6">
      <w:pPr>
        <w:pStyle w:val="whitespace-normal"/>
      </w:pPr>
      <w:r>
        <w:rPr>
          <w:rStyle w:val="Fett"/>
          <w:rFonts w:eastAsiaTheme="majorEastAsia"/>
        </w:rPr>
        <w:lastRenderedPageBreak/>
        <w:t>Der Vers beschreibt:</w:t>
      </w:r>
      <w:r>
        <w:t xml:space="preserve"> Revolutionäre Aussage – der Bund gilt sowohl für die Anwesenden als auch für die Abwesenden (= zukünftige Generationen).</w:t>
      </w:r>
    </w:p>
    <w:p w14:paraId="0E665C04" w14:textId="77777777" w:rsidR="008A57FB" w:rsidRPr="008D48A3" w:rsidRDefault="008A57FB" w:rsidP="008D48A3">
      <w:pPr>
        <w:pStyle w:val="Bibelberschrift"/>
      </w:pPr>
      <w:r w:rsidRPr="008D48A3">
        <w:rPr>
          <w:rStyle w:val="Fett"/>
          <w:b/>
          <w:bCs w:val="0"/>
        </w:rPr>
        <w:t>Deuteronomium 29,15 (29,16 MT)</w:t>
      </w:r>
    </w:p>
    <w:p w14:paraId="07E4AEBE" w14:textId="77777777" w:rsidR="008A57FB" w:rsidRDefault="008A57FB" w:rsidP="008A57FB">
      <w:pPr>
        <w:pStyle w:val="whitespace-normal"/>
      </w:pPr>
      <w:r>
        <w:rPr>
          <w:rStyle w:val="Fett"/>
          <w:rFonts w:eastAsiaTheme="majorEastAsia"/>
        </w:rPr>
        <w:t>Hebräisch:</w:t>
      </w:r>
      <w:r>
        <w:t xml:space="preserve"> </w:t>
      </w:r>
      <w:r>
        <w:rPr>
          <w:rtl/>
        </w:rPr>
        <w:t>כִּי־אַתֶּם יְדַעְתֶּם אֵת אֲשֶׁר־יָשַׁבְנוּ בְּאֶרֶץ מִצְרָיִם וְאֵת אֲשֶׁר־עָבַרְנוּ בְּקֶרֶב הַגּוֹיִם אֲשֶׁר עֲבַרְתֶּם׃</w:t>
      </w:r>
    </w:p>
    <w:p w14:paraId="6B1065B8" w14:textId="77777777" w:rsidR="008A57FB" w:rsidRDefault="008A57FB" w:rsidP="008A57FB">
      <w:pPr>
        <w:pStyle w:val="whitespace-normal"/>
      </w:pPr>
      <w:r>
        <w:rPr>
          <w:rStyle w:val="Fett"/>
          <w:rFonts w:eastAsiaTheme="majorEastAsia"/>
        </w:rPr>
        <w:t>Deutsch:</w:t>
      </w:r>
      <w:r>
        <w:t xml:space="preserve"> Denn ihr wisst, wie wir gewohnt haben im Land Ägypten und wie wir gezogen sind mitten durch die Völker, durch die ihr gezogen seid.</w:t>
      </w:r>
    </w:p>
    <w:p w14:paraId="6F1B349C" w14:textId="77777777" w:rsidR="008A57FB" w:rsidRDefault="004F5CEB" w:rsidP="008A57FB">
      <w:r>
        <w:rPr>
          <w:noProof/>
        </w:rPr>
        <w:pict w14:anchorId="7F3C15AD">
          <v:rect id="_x0000_i1828" style="width:0;height:1.5pt" o:hralign="center" o:hrstd="t" o:hr="t" fillcolor="#a0a0a0" stroked="f"/>
        </w:pict>
      </w:r>
    </w:p>
    <w:p w14:paraId="01BE2CC0"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כִּי־אַתֶּם יְדַעְתֶּם אֵת אֲשֶׁר־יָשַׁבְנוּ בְּאֶרֶץ מִצְרָיִם וְאֵת אֲשֶׁר־עָבַרְנוּ בְּקֶרֶב הַגּוֹיִם אֲשֶׁר עֲבַרְתֶּם</w:t>
      </w:r>
      <w:r>
        <w:rPr>
          <w:rtl/>
        </w:rPr>
        <w:t xml:space="preserve"> </w:t>
      </w:r>
      <w:r>
        <w:t xml:space="preserve">ist eine Begründung: </w:t>
      </w:r>
      <w:r>
        <w:rPr>
          <w:rStyle w:val="Fett"/>
          <w:rFonts w:eastAsiaTheme="majorEastAsia"/>
          <w:rtl/>
        </w:rPr>
        <w:t>כִּי־אַתֶּם יְדַעְתֶּם אֵת אֲשֶׁר־יָשַׁבְנוּ בְּאֶרֶץ מִצְרָיִם וְאֵת אֲשֶׁר־עָבַרְנוּ בְּקֶרֶב הַגּוֹיִם אֲשֶׁר עֲבַרְתֶּם</w:t>
      </w:r>
      <w:r>
        <w:rPr>
          <w:rtl/>
        </w:rPr>
        <w:t xml:space="preserve"> </w:t>
      </w:r>
      <w:r>
        <w:t>(</w:t>
      </w:r>
      <w:r>
        <w:rPr>
          <w:rStyle w:val="Fett"/>
          <w:rFonts w:eastAsiaTheme="majorEastAsia"/>
          <w:rtl/>
        </w:rPr>
        <w:t>כִּי</w:t>
      </w:r>
      <w:r>
        <w:t xml:space="preserve">, </w:t>
      </w:r>
      <w:r>
        <w:rPr>
          <w:rStyle w:val="Fett"/>
          <w:rFonts w:eastAsiaTheme="majorEastAsia"/>
          <w:rtl/>
        </w:rPr>
        <w:t>אַתֶּם</w:t>
      </w:r>
      <w:r>
        <w:t xml:space="preserve">, </w:t>
      </w:r>
      <w:r>
        <w:rPr>
          <w:rStyle w:val="Fett"/>
          <w:rFonts w:eastAsiaTheme="majorEastAsia"/>
          <w:rtl/>
        </w:rPr>
        <w:t>ידע</w:t>
      </w:r>
      <w:r>
        <w:t xml:space="preserve">, Qal Perfekt, 2. Person Plural, zwei Objektphrasen mit Objektpartikel </w:t>
      </w:r>
      <w:r>
        <w:rPr>
          <w:rStyle w:val="Fett"/>
          <w:rFonts w:eastAsiaTheme="majorEastAsia"/>
          <w:rtl/>
        </w:rPr>
        <w:t>אֵת</w:t>
      </w:r>
      <w:r>
        <w:t xml:space="preserve">: (1) </w:t>
      </w:r>
      <w:r>
        <w:rPr>
          <w:rStyle w:val="Fett"/>
          <w:rFonts w:eastAsiaTheme="majorEastAsia"/>
          <w:rtl/>
        </w:rPr>
        <w:t>אֵת אֲשֶׁר־יָשַׁבְנוּ בְּאֶרֶץ מִצְרָיִם</w:t>
      </w:r>
      <w:r>
        <w:rPr>
          <w:rtl/>
        </w:rPr>
        <w:t xml:space="preserve"> </w:t>
      </w:r>
      <w:r>
        <w:t xml:space="preserve">– Relativsatz mit </w:t>
      </w:r>
      <w:r>
        <w:rPr>
          <w:rStyle w:val="Fett"/>
          <w:rFonts w:eastAsiaTheme="majorEastAsia"/>
          <w:rtl/>
        </w:rPr>
        <w:t>ישׁב</w:t>
      </w:r>
      <w:r>
        <w:t xml:space="preserve">, Qal Perfekt, 1. Person Plural, „wohnen", </w:t>
      </w:r>
      <w:r>
        <w:rPr>
          <w:rStyle w:val="Fett"/>
          <w:rFonts w:eastAsiaTheme="majorEastAsia"/>
          <w:rtl/>
        </w:rPr>
        <w:t>בְּאֶרֶץ מִצְרָיִם</w:t>
      </w:r>
      <w:r>
        <w:t xml:space="preserve">, (2) koordiniert durch </w:t>
      </w:r>
      <w:r>
        <w:rPr>
          <w:rStyle w:val="Fett"/>
          <w:rFonts w:eastAsiaTheme="majorEastAsia"/>
          <w:rtl/>
        </w:rPr>
        <w:t>וְ</w:t>
      </w:r>
      <w:r>
        <w:rPr>
          <w:rtl/>
        </w:rPr>
        <w:t xml:space="preserve"> </w:t>
      </w:r>
      <w:r>
        <w:t xml:space="preserve">mit </w:t>
      </w:r>
      <w:r>
        <w:rPr>
          <w:rStyle w:val="Fett"/>
          <w:rFonts w:eastAsiaTheme="majorEastAsia"/>
          <w:rtl/>
        </w:rPr>
        <w:t>אֵת אֲשֶׁר־עָבַרְנוּ בְּקֶרֶב הַגּוֹיִם אֲשֶׁר עֲבַרְתֶּם</w:t>
      </w:r>
      <w:r>
        <w:rPr>
          <w:rtl/>
        </w:rPr>
        <w:t xml:space="preserve"> </w:t>
      </w:r>
      <w:r>
        <w:t xml:space="preserve">– Relativsatz mit </w:t>
      </w:r>
      <w:r>
        <w:rPr>
          <w:rStyle w:val="Fett"/>
          <w:rFonts w:eastAsiaTheme="majorEastAsia"/>
          <w:rtl/>
        </w:rPr>
        <w:t>עבר</w:t>
      </w:r>
      <w:r>
        <w:t xml:space="preserve">, Qal Perfekt, 1. Person Plural, „ziehen, durchziehen", </w:t>
      </w:r>
      <w:r>
        <w:rPr>
          <w:rStyle w:val="Fett"/>
          <w:rFonts w:eastAsiaTheme="majorEastAsia"/>
          <w:rtl/>
        </w:rPr>
        <w:t>בְּקֶרֶב הַגּוֹיִם</w:t>
      </w:r>
      <w:r>
        <w:t xml:space="preserve">, weiterer Relativsatz: </w:t>
      </w:r>
      <w:r>
        <w:rPr>
          <w:rStyle w:val="Fett"/>
          <w:rFonts w:eastAsiaTheme="majorEastAsia"/>
          <w:rtl/>
        </w:rPr>
        <w:t>אֲשֶׁר עֲבַרְתֶּם</w:t>
      </w:r>
      <w:r>
        <w:rPr>
          <w:rtl/>
        </w:rPr>
        <w:t xml:space="preserve"> </w:t>
      </w:r>
      <w:r>
        <w:t xml:space="preserve">mit </w:t>
      </w:r>
      <w:r>
        <w:rPr>
          <w:rStyle w:val="Fett"/>
          <w:rFonts w:eastAsiaTheme="majorEastAsia"/>
          <w:rtl/>
        </w:rPr>
        <w:t>עבר</w:t>
      </w:r>
      <w:r>
        <w:t>, Qal Perfekt, 2. Person Plural).</w:t>
      </w:r>
    </w:p>
    <w:p w14:paraId="77C780C3" w14:textId="77777777" w:rsidR="008A57FB" w:rsidRDefault="008A57FB" w:rsidP="008A57FB">
      <w:pPr>
        <w:pStyle w:val="whitespace-normal"/>
      </w:pPr>
      <w:r>
        <w:t xml:space="preserve">Der Vers beginnt eine Warnung vor Götzendienst (V. 15-28), eingeleitet durch eine Erinnerung an die Erfahrungen mit fremden Völkern. Die Begründung: </w:t>
      </w:r>
      <w:r>
        <w:rPr>
          <w:rStyle w:val="Fett"/>
          <w:rFonts w:eastAsiaTheme="majorEastAsia"/>
          <w:rtl/>
        </w:rPr>
        <w:t>כִּי־אַתֶּם יְדַעְתֶּם אֵת אֲשֶׁר־יָשַׁבְנוּ בְּאֶרֶץ מִצְרָיִם וְאֵת אֲשֶׁר־עָבַרְנוּ בְּקֶרֶב הַגּוֹיִם אֲשֶׁר עֲבַרְתֶּם</w:t>
      </w:r>
      <w:r>
        <w:rPr>
          <w:rtl/>
        </w:rPr>
        <w:t xml:space="preserve"> </w:t>
      </w:r>
      <w:r>
        <w:t xml:space="preserve">(„denn ihr wisst, wie wir gewohnt haben im Land Ägypten und wie wir gezogen sind mitten durch die Völker, durch die ihr gezogen seid"). Zwei Erinnerungen: (1) </w:t>
      </w:r>
      <w:r>
        <w:rPr>
          <w:rStyle w:val="Fett"/>
          <w:rFonts w:eastAsiaTheme="majorEastAsia"/>
          <w:rtl/>
        </w:rPr>
        <w:t>אֲשֶׁר־יָשַׁבְנוּ בְּאֶרֶץ מִצְרָיִם</w:t>
      </w:r>
      <w:r>
        <w:rPr>
          <w:rtl/>
        </w:rPr>
        <w:t xml:space="preserve"> </w:t>
      </w:r>
      <w:r>
        <w:t xml:space="preserve">(„wie wir gewohnt haben im Land Ägypten") – die lange Zeit in Ägypten (430 Jahre laut Ex 12,40-41). (2) </w:t>
      </w:r>
      <w:r>
        <w:rPr>
          <w:rStyle w:val="Fett"/>
          <w:rFonts w:eastAsiaTheme="majorEastAsia"/>
          <w:rtl/>
        </w:rPr>
        <w:t>אֲשֶׁר־עָבַרְנוּ בְּקֶרֶב הַגּוֹיִם אֲשֶׁר עֲבַרְתֶּם</w:t>
      </w:r>
      <w:r>
        <w:rPr>
          <w:rtl/>
        </w:rPr>
        <w:t xml:space="preserve"> </w:t>
      </w:r>
      <w:r>
        <w:t>(„wie wir gezogen sind mitten durch die Völker, durch die ihr gezogen seid") – die Wüstenwanderung durch verschiedene Völker (Edomiter, Moabiter, Ammoniter, Amoriter usw., vgl. Num 20-21; Dtn 2-3). Der Wechsel von 1. Person Plural („wir") zu 2. Person Plural („ihr") ist flüssig – Mose identifiziert sich mit dem Volk. Israel hat direkten Kontakt mit fremden Völkern und ihren Göttern gehabt.</w:t>
      </w:r>
    </w:p>
    <w:p w14:paraId="3BA3AFD4" w14:textId="77777777" w:rsidR="008A57FB" w:rsidRDefault="008A57FB" w:rsidP="008A57FB">
      <w:pPr>
        <w:pStyle w:val="whitespace-normal"/>
      </w:pPr>
      <w:r>
        <w:rPr>
          <w:rStyle w:val="Fett"/>
          <w:rFonts w:eastAsiaTheme="majorEastAsia"/>
        </w:rPr>
        <w:t>Die Satzstruktur:</w:t>
      </w:r>
      <w:r>
        <w:t xml:space="preserve"> Begründung (denn ihr wisst, wie wir gewohnt haben im Land Ägypten und wie wir gezogen sind mitten durch die Völker, durch die ihr gezogen seid).</w:t>
      </w:r>
    </w:p>
    <w:p w14:paraId="56D36D20" w14:textId="6FF7F495" w:rsidR="008A57FB" w:rsidRDefault="008A57FB" w:rsidP="00B77CC6">
      <w:pPr>
        <w:pStyle w:val="whitespace-normal"/>
      </w:pPr>
      <w:r>
        <w:rPr>
          <w:rStyle w:val="Fett"/>
          <w:rFonts w:eastAsiaTheme="majorEastAsia"/>
        </w:rPr>
        <w:t>Der Vers beschreibt:</w:t>
      </w:r>
      <w:r>
        <w:t xml:space="preserve"> Erinnerung an Kontakt mit fremden Völkern – lange Zeit in Ägypten, Durchzug durch verschiedene Völker.</w:t>
      </w:r>
    </w:p>
    <w:p w14:paraId="080E4E34" w14:textId="77777777" w:rsidR="008A57FB" w:rsidRPr="008D48A3" w:rsidRDefault="008A57FB" w:rsidP="008D48A3">
      <w:pPr>
        <w:pStyle w:val="Bibelberschrift"/>
      </w:pPr>
      <w:r w:rsidRPr="008D48A3">
        <w:rPr>
          <w:rStyle w:val="Fett"/>
          <w:b/>
          <w:bCs w:val="0"/>
        </w:rPr>
        <w:t>Deuteronomium 29,16 (29,17 MT)</w:t>
      </w:r>
    </w:p>
    <w:p w14:paraId="27DAD1BF" w14:textId="77777777" w:rsidR="008A57FB" w:rsidRDefault="008A57FB" w:rsidP="008A57FB">
      <w:pPr>
        <w:pStyle w:val="whitespace-normal"/>
      </w:pPr>
      <w:r>
        <w:rPr>
          <w:rStyle w:val="Fett"/>
          <w:rFonts w:eastAsiaTheme="majorEastAsia"/>
        </w:rPr>
        <w:t>Hebräisch:</w:t>
      </w:r>
      <w:r>
        <w:t xml:space="preserve"> </w:t>
      </w:r>
      <w:r>
        <w:rPr>
          <w:rtl/>
        </w:rPr>
        <w:t>וַתִּרְאוּ אֶת־שִׁקּוּצֵיהֶם וְאֵת גִּלֻּלֵיהֶם עֵץ וָאֶבֶן כֶּסֶף וְזָהָב אֲשֶׁר עִמָּהֶם׃</w:t>
      </w:r>
    </w:p>
    <w:p w14:paraId="10AD505A" w14:textId="77777777" w:rsidR="008A57FB" w:rsidRDefault="008A57FB" w:rsidP="008A57FB">
      <w:pPr>
        <w:pStyle w:val="whitespace-normal"/>
      </w:pPr>
      <w:r>
        <w:rPr>
          <w:rStyle w:val="Fett"/>
          <w:rFonts w:eastAsiaTheme="majorEastAsia"/>
        </w:rPr>
        <w:t>Deutsch:</w:t>
      </w:r>
      <w:r>
        <w:t xml:space="preserve"> Und ihr habt gesehen ihre Scheusale und ihre Götzen, Holz und Stein, Silber und Gold, die bei ihnen sind.</w:t>
      </w:r>
    </w:p>
    <w:p w14:paraId="63F03681" w14:textId="77777777" w:rsidR="008A57FB" w:rsidRDefault="004F5CEB" w:rsidP="008A57FB">
      <w:r>
        <w:rPr>
          <w:noProof/>
        </w:rPr>
        <w:pict w14:anchorId="2C1F99B2">
          <v:rect id="_x0000_i1829" style="width:0;height:1.5pt" o:hralign="center" o:hrstd="t" o:hr="t" fillcolor="#a0a0a0" stroked="f"/>
        </w:pict>
      </w:r>
    </w:p>
    <w:p w14:paraId="1167DA58" w14:textId="77777777" w:rsidR="008A57FB" w:rsidRDefault="008A57FB" w:rsidP="008A57FB">
      <w:pPr>
        <w:pStyle w:val="whitespace-normal"/>
      </w:pPr>
      <w:r>
        <w:rPr>
          <w:rStyle w:val="Fett"/>
          <w:rFonts w:eastAsiaTheme="majorEastAsia"/>
        </w:rPr>
        <w:lastRenderedPageBreak/>
        <w:t>Kommentar:</w:t>
      </w:r>
      <w:r>
        <w:t xml:space="preserve"> </w:t>
      </w:r>
      <w:r>
        <w:rPr>
          <w:rStyle w:val="Fett"/>
          <w:rFonts w:eastAsiaTheme="majorEastAsia"/>
          <w:rtl/>
        </w:rPr>
        <w:t>וַתִּרְאוּ אֶת־שִׁקּוּצֵיהֶם וְאֵת גִּלֻּלֵיהֶם עֵץ וָאֶבֶן כֶּסֶף וְזָהָב אֲשֶׁר עִמָּהֶם</w:t>
      </w:r>
      <w:r>
        <w:rPr>
          <w:rtl/>
        </w:rPr>
        <w:t xml:space="preserve"> </w:t>
      </w:r>
      <w:r>
        <w:t xml:space="preserve">ist eine Aussage: </w:t>
      </w:r>
      <w:r>
        <w:rPr>
          <w:rStyle w:val="Fett"/>
          <w:rFonts w:eastAsiaTheme="majorEastAsia"/>
          <w:rtl/>
        </w:rPr>
        <w:t>וַתִּרְאוּ אֶת־שִׁקּוּצֵיהֶם וְאֵת גִּלֻּלֵיהֶם עֵץ וָאֶבֶן כֶּסֶף וְזָהָב אֲשֶׁר עִמָּהֶם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ראה</w:t>
      </w:r>
      <w:r>
        <w:t xml:space="preserve">, Qal Imperfekt mit </w:t>
      </w:r>
      <w:r>
        <w:rPr>
          <w:rStyle w:val="Fett"/>
          <w:rFonts w:eastAsiaTheme="majorEastAsia"/>
        </w:rPr>
        <w:t>Waw</w:t>
      </w:r>
      <w:r>
        <w:t xml:space="preserve"> consecutivum, 2. Person Plural, zwei Objektphrasen mit Objektpartikel </w:t>
      </w:r>
      <w:r>
        <w:rPr>
          <w:rStyle w:val="Fett"/>
          <w:rFonts w:eastAsiaTheme="majorEastAsia"/>
          <w:rtl/>
        </w:rPr>
        <w:t>אֵת</w:t>
      </w:r>
      <w:r>
        <w:t xml:space="preserve">: (1) </w:t>
      </w:r>
      <w:r>
        <w:rPr>
          <w:rStyle w:val="Fett"/>
          <w:rFonts w:eastAsiaTheme="majorEastAsia"/>
          <w:rtl/>
        </w:rPr>
        <w:t>שִׁקּוּץ</w:t>
      </w:r>
      <w:r>
        <w:t xml:space="preserve">, „Scheusal, Gräuel", Plural mit Suffix 3. Person Maskulinum Plural, (2) koordiniert durch </w:t>
      </w:r>
      <w:r>
        <w:rPr>
          <w:rStyle w:val="Fett"/>
          <w:rFonts w:eastAsiaTheme="majorEastAsia"/>
          <w:rtl/>
        </w:rPr>
        <w:t>וְ</w:t>
      </w:r>
      <w:r>
        <w:rPr>
          <w:rtl/>
        </w:rPr>
        <w:t xml:space="preserve"> </w:t>
      </w:r>
      <w:r>
        <w:t xml:space="preserve">mit Objektpartikel </w:t>
      </w:r>
      <w:r>
        <w:rPr>
          <w:rStyle w:val="Fett"/>
          <w:rFonts w:eastAsiaTheme="majorEastAsia"/>
          <w:rtl/>
        </w:rPr>
        <w:t>אֵת</w:t>
      </w:r>
      <w:r>
        <w:t xml:space="preserve">, </w:t>
      </w:r>
      <w:r>
        <w:rPr>
          <w:rStyle w:val="Fett"/>
          <w:rFonts w:eastAsiaTheme="majorEastAsia"/>
          <w:rtl/>
        </w:rPr>
        <w:t>גִּלּוּל</w:t>
      </w:r>
      <w:r>
        <w:t xml:space="preserve">, „Götze, Götzenbild", Plural mit Suffix, vier Appositionen: </w:t>
      </w:r>
      <w:r>
        <w:rPr>
          <w:rStyle w:val="Fett"/>
          <w:rFonts w:eastAsiaTheme="majorEastAsia"/>
          <w:rtl/>
        </w:rPr>
        <w:t>עֵץ</w:t>
      </w:r>
      <w:r>
        <w:t xml:space="preserve">, </w:t>
      </w:r>
      <w:r>
        <w:rPr>
          <w:rStyle w:val="Fett"/>
          <w:rFonts w:eastAsiaTheme="majorEastAsia"/>
          <w:rtl/>
        </w:rPr>
        <w:t>אֶבֶן</w:t>
      </w:r>
      <w:r>
        <w:t xml:space="preserve">, </w:t>
      </w:r>
      <w:r>
        <w:rPr>
          <w:rStyle w:val="Fett"/>
          <w:rFonts w:eastAsiaTheme="majorEastAsia"/>
          <w:rtl/>
        </w:rPr>
        <w:t>כֶּסֶף</w:t>
      </w:r>
      <w:r>
        <w:t xml:space="preserve">, </w:t>
      </w:r>
      <w:r>
        <w:rPr>
          <w:rStyle w:val="Fett"/>
          <w:rFonts w:eastAsiaTheme="majorEastAsia"/>
          <w:rtl/>
        </w:rPr>
        <w:t>זָהָב</w:t>
      </w:r>
      <w:r>
        <w:t xml:space="preserve">, Relativsatz: </w:t>
      </w:r>
      <w:r>
        <w:rPr>
          <w:rStyle w:val="Fett"/>
          <w:rFonts w:eastAsiaTheme="majorEastAsia"/>
          <w:rtl/>
        </w:rPr>
        <w:t>אֲשֶׁר עִמָּהֶם</w:t>
      </w:r>
      <w:r>
        <w:rPr>
          <w:rtl/>
        </w:rPr>
        <w:t xml:space="preserve"> </w:t>
      </w:r>
      <w:r>
        <w:t xml:space="preserve">mit </w:t>
      </w:r>
      <w:r>
        <w:rPr>
          <w:rStyle w:val="Fett"/>
          <w:rFonts w:eastAsiaTheme="majorEastAsia"/>
          <w:rtl/>
        </w:rPr>
        <w:t>עִם</w:t>
      </w:r>
      <w:r>
        <w:rPr>
          <w:rtl/>
        </w:rPr>
        <w:t xml:space="preserve"> </w:t>
      </w:r>
      <w:r>
        <w:t>+ Suffix 3. Person Maskulinum Plural).</w:t>
      </w:r>
    </w:p>
    <w:p w14:paraId="58300F86" w14:textId="331989F6" w:rsidR="008A57FB" w:rsidRDefault="008A57FB" w:rsidP="008A57FB">
      <w:pPr>
        <w:pStyle w:val="whitespace-normal"/>
      </w:pPr>
      <w:r>
        <w:t xml:space="preserve">Der Vers beschreibt, was Israel bei den fremden Völkern gesehen hat. Die Aussage: </w:t>
      </w:r>
      <w:r>
        <w:rPr>
          <w:rStyle w:val="Fett"/>
          <w:rFonts w:eastAsiaTheme="majorEastAsia"/>
          <w:rtl/>
        </w:rPr>
        <w:t>וַתִּרְאוּ אֶת־שִׁקּוּצֵיהֶם וְאֵת גִּלֻּלֵיהֶם עֵץ וָאֶבֶן כֶּסֶף וְזָהָב אֲשֶׁר עִמָּהֶם</w:t>
      </w:r>
      <w:r>
        <w:rPr>
          <w:rtl/>
        </w:rPr>
        <w:t xml:space="preserve"> </w:t>
      </w:r>
      <w:r>
        <w:t xml:space="preserve">(„und gesehen habt ihr ihre Scheusale und ihre Götzen, Holz und Stein, Silber und Gold, die bei ihnen sind"). Die beiden abwertenden Begriffe für fremde Götter: </w:t>
      </w:r>
      <w:r>
        <w:rPr>
          <w:rStyle w:val="Fett"/>
          <w:rFonts w:eastAsiaTheme="majorEastAsia"/>
          <w:rtl/>
        </w:rPr>
        <w:t>שִׁקּוּצִים</w:t>
      </w:r>
      <w:r>
        <w:rPr>
          <w:rtl/>
        </w:rPr>
        <w:t xml:space="preserve"> </w:t>
      </w:r>
      <w:r>
        <w:t xml:space="preserve">(„Scheusale, Gräuel") – betont das Abscheuliche (vgl. 7,26; </w:t>
      </w:r>
      <w:r w:rsidR="00664EB6">
        <w:t>1Kön</w:t>
      </w:r>
      <w:r>
        <w:t xml:space="preserve"> 11,5.7; </w:t>
      </w:r>
      <w:r w:rsidR="00664EB6">
        <w:t>2Kön</w:t>
      </w:r>
      <w:r>
        <w:t xml:space="preserve"> 23,13.24; Jer 4,1; 7,30; 13,27; 16,18; 32,34; </w:t>
      </w:r>
      <w:r w:rsidR="00BF3748">
        <w:t>Hes</w:t>
      </w:r>
      <w:r>
        <w:t xml:space="preserve"> 5,11; 7,20; 11,18.21; 20,7-8.30; 37,23). </w:t>
      </w:r>
      <w:r>
        <w:rPr>
          <w:rStyle w:val="Fett"/>
          <w:rFonts w:eastAsiaTheme="majorEastAsia"/>
          <w:rtl/>
        </w:rPr>
        <w:t>גִּלּוּלִים</w:t>
      </w:r>
      <w:r>
        <w:rPr>
          <w:rtl/>
        </w:rPr>
        <w:t xml:space="preserve"> </w:t>
      </w:r>
      <w:r>
        <w:t xml:space="preserve">(„Götzen, Götzenbilder") – möglicherweise von </w:t>
      </w:r>
      <w:r>
        <w:rPr>
          <w:rStyle w:val="Fett"/>
          <w:rFonts w:eastAsiaTheme="majorEastAsia"/>
          <w:rtl/>
        </w:rPr>
        <w:t>גָּלַל</w:t>
      </w:r>
      <w:r>
        <w:rPr>
          <w:rtl/>
        </w:rPr>
        <w:t xml:space="preserve"> </w:t>
      </w:r>
      <w:r>
        <w:t xml:space="preserve">(„Mist, Kot") – verächtliche Bezeichnung (häufig bei </w:t>
      </w:r>
      <w:r w:rsidR="00BF3748">
        <w:t>Hesek</w:t>
      </w:r>
      <w:r>
        <w:t xml:space="preserve">iel). Die vier Materialien: </w:t>
      </w:r>
      <w:r>
        <w:rPr>
          <w:rStyle w:val="Fett"/>
          <w:rFonts w:eastAsiaTheme="majorEastAsia"/>
          <w:rtl/>
        </w:rPr>
        <w:t>עֵץ וָאֶבֶן כֶּסֶף וְזָהָב</w:t>
      </w:r>
      <w:r>
        <w:rPr>
          <w:rtl/>
        </w:rPr>
        <w:t xml:space="preserve"> </w:t>
      </w:r>
      <w:r>
        <w:t xml:space="preserve">(„Holz und Stein, Silber und Gold"). Zwei Merismen: (1) </w:t>
      </w:r>
      <w:r>
        <w:rPr>
          <w:rStyle w:val="Fett"/>
          <w:rFonts w:eastAsiaTheme="majorEastAsia"/>
          <w:rtl/>
        </w:rPr>
        <w:t>עֵץ וָאֶבֶן</w:t>
      </w:r>
      <w:r>
        <w:rPr>
          <w:rtl/>
        </w:rPr>
        <w:t xml:space="preserve"> </w:t>
      </w:r>
      <w:r>
        <w:t xml:space="preserve">– wertlose Materialien (vgl. 4,28; 28,36.64). (2) </w:t>
      </w:r>
      <w:r>
        <w:rPr>
          <w:rStyle w:val="Fett"/>
          <w:rFonts w:eastAsiaTheme="majorEastAsia"/>
          <w:rtl/>
        </w:rPr>
        <w:t>כֶּסֶף וְזָהָב</w:t>
      </w:r>
      <w:r>
        <w:rPr>
          <w:rtl/>
        </w:rPr>
        <w:t xml:space="preserve"> </w:t>
      </w:r>
      <w:r>
        <w:t>– kostbare Materialien. Zusammen: alle Arten von Götzenbildern, vom Billigsten bis zum Teuersten (vgl. 7,25; Ps 115,4; 135,15; Jes 2,20; 30,22; 31,7; Hos 8,4; 13,2).</w:t>
      </w:r>
    </w:p>
    <w:p w14:paraId="32B9311A" w14:textId="77777777" w:rsidR="004F2264" w:rsidRPr="004F2264" w:rsidRDefault="004F2264" w:rsidP="004F2264">
      <w:pPr>
        <w:spacing w:before="100" w:beforeAutospacing="1" w:after="100" w:afterAutospacing="1" w:line="240" w:lineRule="auto"/>
        <w:outlineLvl w:val="1"/>
        <w:rPr>
          <w:rFonts w:eastAsia="Times New Roman"/>
          <w:b/>
          <w:bCs/>
          <w:sz w:val="36"/>
          <w:szCs w:val="36"/>
          <w:lang w:eastAsia="de-DE"/>
        </w:rPr>
      </w:pPr>
      <w:r w:rsidRPr="004F2264">
        <w:rPr>
          <w:rFonts w:eastAsia="Times New Roman"/>
          <w:b/>
          <w:bCs/>
          <w:sz w:val="36"/>
          <w:szCs w:val="36"/>
          <w:lang w:eastAsia="de-DE"/>
        </w:rPr>
        <w:t>Vers 16 (MT) / Vers 17 (LXX)</w:t>
      </w:r>
    </w:p>
    <w:p w14:paraId="3346D8E3" w14:textId="1239C4D1" w:rsidR="004F2264" w:rsidRPr="004F2264" w:rsidRDefault="004F2264" w:rsidP="004F2264">
      <w:pPr>
        <w:spacing w:before="100" w:beforeAutospacing="1" w:after="100" w:afterAutospacing="1" w:line="240" w:lineRule="auto"/>
        <w:rPr>
          <w:rFonts w:eastAsia="Times New Roman"/>
          <w:lang w:eastAsia="de-DE"/>
        </w:rPr>
      </w:pPr>
      <w:r w:rsidRPr="004F2264">
        <w:rPr>
          <w:rFonts w:eastAsia="Times New Roman"/>
          <w:b/>
          <w:bCs/>
          <w:lang w:eastAsia="de-DE"/>
        </w:rPr>
        <w:t>Die LXX</w:t>
      </w:r>
      <w:r w:rsidRPr="004F2264">
        <w:rPr>
          <w:rFonts w:eastAsia="Times New Roman"/>
          <w:lang w:eastAsia="de-DE"/>
        </w:rPr>
        <w:t xml:space="preserve"> übersetzt </w:t>
      </w:r>
      <w:r w:rsidRPr="004F2264">
        <w:rPr>
          <w:rFonts w:eastAsia="Times New Roman"/>
          <w:rtl/>
          <w:lang w:eastAsia="de-DE"/>
        </w:rPr>
        <w:t>שִׁקּוּצֵיהֶם וְאֵת גִּלֻּלֵיהֶם</w:t>
      </w:r>
      <w:r w:rsidRPr="004F2264">
        <w:rPr>
          <w:rFonts w:eastAsia="Times New Roman"/>
          <w:lang w:eastAsia="de-DE"/>
        </w:rPr>
        <w:t xml:space="preserve"> (ihre Scheusale und ihre Mistdinger) mit </w:t>
      </w:r>
      <w:proofErr w:type="spellStart"/>
      <w:r w:rsidRPr="004F2264">
        <w:rPr>
          <w:rFonts w:eastAsia="Times New Roman"/>
          <w:lang w:eastAsia="de-DE"/>
        </w:rPr>
        <w:t>τὰ</w:t>
      </w:r>
      <w:proofErr w:type="spellEnd"/>
      <w:r w:rsidRPr="004F2264">
        <w:rPr>
          <w:rFonts w:eastAsia="Times New Roman"/>
          <w:lang w:eastAsia="de-DE"/>
        </w:rPr>
        <w:t xml:space="preserve"> β</w:t>
      </w:r>
      <w:proofErr w:type="spellStart"/>
      <w:r w:rsidRPr="004F2264">
        <w:rPr>
          <w:rFonts w:eastAsia="Times New Roman"/>
          <w:lang w:eastAsia="de-DE"/>
        </w:rPr>
        <w:t>δελύγμ</w:t>
      </w:r>
      <w:proofErr w:type="spellEnd"/>
      <w:r w:rsidRPr="004F2264">
        <w:rPr>
          <w:rFonts w:eastAsia="Times New Roman"/>
          <w:lang w:eastAsia="de-DE"/>
        </w:rPr>
        <w:t>ατα α</w:t>
      </w:r>
      <w:proofErr w:type="spellStart"/>
      <w:r w:rsidRPr="004F2264">
        <w:rPr>
          <w:rFonts w:eastAsia="Times New Roman"/>
          <w:lang w:eastAsia="de-DE"/>
        </w:rPr>
        <w:t>ὐτῶν</w:t>
      </w:r>
      <w:proofErr w:type="spellEnd"/>
      <w:r w:rsidRPr="004F2264">
        <w:rPr>
          <w:rFonts w:eastAsia="Times New Roman"/>
          <w:lang w:eastAsia="de-DE"/>
        </w:rPr>
        <w:t xml:space="preserve"> καὶ </w:t>
      </w:r>
      <w:proofErr w:type="spellStart"/>
      <w:r w:rsidRPr="004F2264">
        <w:rPr>
          <w:rFonts w:eastAsia="Times New Roman"/>
          <w:lang w:eastAsia="de-DE"/>
        </w:rPr>
        <w:t>τὰ</w:t>
      </w:r>
      <w:proofErr w:type="spellEnd"/>
      <w:r w:rsidRPr="004F2264">
        <w:rPr>
          <w:rFonts w:eastAsia="Times New Roman"/>
          <w:lang w:eastAsia="de-DE"/>
        </w:rPr>
        <w:t xml:space="preserve"> </w:t>
      </w:r>
      <w:proofErr w:type="spellStart"/>
      <w:r w:rsidRPr="004F2264">
        <w:rPr>
          <w:rFonts w:eastAsia="Times New Roman"/>
          <w:lang w:eastAsia="de-DE"/>
        </w:rPr>
        <w:t>εἴδωλ</w:t>
      </w:r>
      <w:proofErr w:type="spellEnd"/>
      <w:r w:rsidRPr="004F2264">
        <w:rPr>
          <w:rFonts w:eastAsia="Times New Roman"/>
          <w:lang w:eastAsia="de-DE"/>
        </w:rPr>
        <w:t>α α</w:t>
      </w:r>
      <w:proofErr w:type="spellStart"/>
      <w:r w:rsidRPr="004F2264">
        <w:rPr>
          <w:rFonts w:eastAsia="Times New Roman"/>
          <w:lang w:eastAsia="de-DE"/>
        </w:rPr>
        <w:t>ὐτῶν</w:t>
      </w:r>
      <w:proofErr w:type="spellEnd"/>
      <w:r w:rsidRPr="004F2264">
        <w:rPr>
          <w:rFonts w:eastAsia="Times New Roman"/>
          <w:lang w:eastAsia="de-DE"/>
        </w:rPr>
        <w:t xml:space="preserve"> (ihre Gräuel und ihre Götzenbilder) – wobei </w:t>
      </w:r>
      <w:proofErr w:type="spellStart"/>
      <w:r w:rsidRPr="004F2264">
        <w:rPr>
          <w:rFonts w:eastAsia="Times New Roman"/>
          <w:lang w:eastAsia="de-DE"/>
        </w:rPr>
        <w:t>εἴδωλ</w:t>
      </w:r>
      <w:proofErr w:type="spellEnd"/>
      <w:r w:rsidRPr="004F2264">
        <w:rPr>
          <w:rFonts w:eastAsia="Times New Roman"/>
          <w:lang w:eastAsia="de-DE"/>
        </w:rPr>
        <w:t>α der standardmäßige LXX-Begriff für Götzenbilder ist.</w:t>
      </w:r>
    </w:p>
    <w:p w14:paraId="46D0724D" w14:textId="77777777" w:rsidR="008A57FB" w:rsidRDefault="008A57FB" w:rsidP="008A57FB">
      <w:pPr>
        <w:pStyle w:val="whitespace-normal"/>
      </w:pPr>
      <w:r>
        <w:rPr>
          <w:rStyle w:val="Fett"/>
          <w:rFonts w:eastAsiaTheme="majorEastAsia"/>
        </w:rPr>
        <w:t>Die Satzstruktur:</w:t>
      </w:r>
      <w:r>
        <w:t xml:space="preserve"> Aussage (und gesehen habt ihr ihre Scheusale und ihre Götzen, Holz und Stein, Silber und Gold, die bei ihnen sind).</w:t>
      </w:r>
    </w:p>
    <w:p w14:paraId="2047F6CF" w14:textId="36B31AC6" w:rsidR="008A57FB" w:rsidRDefault="008A57FB" w:rsidP="00B77CC6">
      <w:pPr>
        <w:pStyle w:val="whitespace-normal"/>
      </w:pPr>
      <w:r>
        <w:rPr>
          <w:rStyle w:val="Fett"/>
          <w:rFonts w:eastAsiaTheme="majorEastAsia"/>
        </w:rPr>
        <w:t>Der Vers beschreibt:</w:t>
      </w:r>
      <w:r>
        <w:t xml:space="preserve"> Was Israel bei fremden Völkern sah – Götzenbilder aus allen Materialien, vom Wertlosen bis zum Kostbaren.</w:t>
      </w:r>
    </w:p>
    <w:p w14:paraId="03D4389F" w14:textId="77777777" w:rsidR="008A57FB" w:rsidRPr="008D48A3" w:rsidRDefault="008A57FB" w:rsidP="008D48A3">
      <w:pPr>
        <w:pStyle w:val="Bibelberschrift"/>
      </w:pPr>
      <w:r w:rsidRPr="008D48A3">
        <w:rPr>
          <w:rStyle w:val="Fett"/>
          <w:b/>
          <w:bCs w:val="0"/>
        </w:rPr>
        <w:t>Deuteronomium 29,17 (29,18 MT)</w:t>
      </w:r>
    </w:p>
    <w:p w14:paraId="7F8CE1EE" w14:textId="77777777" w:rsidR="008A57FB" w:rsidRDefault="008A57FB" w:rsidP="008A57FB">
      <w:pPr>
        <w:pStyle w:val="whitespace-normal"/>
      </w:pPr>
      <w:r>
        <w:rPr>
          <w:rStyle w:val="Fett"/>
          <w:rFonts w:eastAsiaTheme="majorEastAsia"/>
        </w:rPr>
        <w:t>Hebräisch:</w:t>
      </w:r>
      <w:r>
        <w:t xml:space="preserve"> </w:t>
      </w:r>
      <w:r>
        <w:rPr>
          <w:rtl/>
        </w:rPr>
        <w:t>פֶּן־יֵשׁ בָּכֶם אִישׁ אוֹ־אִשָּׁה אוֹ מִשְׁפָּחָה אוֹ־שֵׁבֶט אֲשֶׁר לְבָבוֹ פֹנֶה הַיּוֹם מֵעִם יְהוָה אֱלֹהֵינוּ לָלֶכֶת לַעֲבֹד אֶת־אֱלֹהֵי הַגּוֹיִם הָהֵם פֶּן־יֵשׁ בָּכֶם שֹׁרֶשׁ פֹּרֶה רֹאשׁ וְלַעֲנָה׃</w:t>
      </w:r>
    </w:p>
    <w:p w14:paraId="5AC4742D" w14:textId="77777777" w:rsidR="008A57FB" w:rsidRDefault="008A57FB" w:rsidP="008A57FB">
      <w:pPr>
        <w:pStyle w:val="whitespace-normal"/>
      </w:pPr>
      <w:r>
        <w:rPr>
          <w:rStyle w:val="Fett"/>
          <w:rFonts w:eastAsiaTheme="majorEastAsia"/>
        </w:rPr>
        <w:t>Deutsch:</w:t>
      </w:r>
      <w:r>
        <w:t xml:space="preserve"> Dass es unter euch nicht gebe einen Mann oder eine Frau oder eine Familie oder einen Stamm, dessen Herz sich heute abwendet von JHWH, unserem Gott, hinzugehen, zu dienen den Göttern jener Völker; dass es unter euch nicht gebe eine Wurzel, die Gift und Wermut trägt.</w:t>
      </w:r>
    </w:p>
    <w:p w14:paraId="3DA9C0FC" w14:textId="77777777" w:rsidR="008A57FB" w:rsidRDefault="004F5CEB" w:rsidP="008A57FB">
      <w:r>
        <w:rPr>
          <w:noProof/>
        </w:rPr>
        <w:pict w14:anchorId="736974F5">
          <v:rect id="_x0000_i1830" style="width:0;height:1.5pt" o:hralign="center" o:hrstd="t" o:hr="t" fillcolor="#a0a0a0" stroked="f"/>
        </w:pict>
      </w:r>
    </w:p>
    <w:p w14:paraId="345D46D5"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פֶּן־יֵשׁ בָּכֶם אִישׁ אוֹ־אִשָּׁה אוֹ מִשְׁפָּחָה אוֹ־שֵׁבֶט אֲשֶׁר לְבָבוֹ פֹנֶה הַיּוֹם מֵעִם יְהוָה אֱלֹהֵינוּ לָלֶכֶת לַעֲבֹד אֶת־אֱלֹהֵי הַגּוֹיִם הָהֵם פֶּן־יֵשׁ בָּכֶם שֹׁרֶשׁ פֹּרֶה רֹאשׁ וְלַעֲנָה</w:t>
      </w:r>
      <w:r>
        <w:rPr>
          <w:rtl/>
        </w:rPr>
        <w:t xml:space="preserve"> </w:t>
      </w:r>
      <w:r>
        <w:t xml:space="preserve">sind zwei Warnungen: </w:t>
      </w:r>
      <w:r>
        <w:rPr>
          <w:rStyle w:val="Fett"/>
          <w:rFonts w:eastAsiaTheme="majorEastAsia"/>
          <w:rtl/>
        </w:rPr>
        <w:t>פֶּן־יֵשׁ בָּכֶם אִישׁ אוֹ־אִשָּׁה אוֹ מִשְׁפָּחָה אוֹ־שֵׁבֶט אֲשֶׁר לְבָבוֹ פֹנֶה הַיּוֹם מֵעִם יְהוָה אֱלֹהֵינוּ לָלֶכֶת לַעֲבֹד אֶת־אֱלֹהֵי הַגּוֹיִם הָהֵם</w:t>
      </w:r>
      <w:r>
        <w:rPr>
          <w:rtl/>
        </w:rPr>
        <w:t xml:space="preserve"> </w:t>
      </w:r>
      <w:r>
        <w:t>(</w:t>
      </w:r>
      <w:r>
        <w:rPr>
          <w:rStyle w:val="Fett"/>
          <w:rFonts w:eastAsiaTheme="majorEastAsia"/>
          <w:rtl/>
        </w:rPr>
        <w:t>פֶּן</w:t>
      </w:r>
      <w:r>
        <w:t xml:space="preserve">, </w:t>
      </w:r>
      <w:r>
        <w:lastRenderedPageBreak/>
        <w:t xml:space="preserve">„dass nicht, damit nicht", </w:t>
      </w:r>
      <w:r>
        <w:rPr>
          <w:rStyle w:val="Fett"/>
          <w:rFonts w:eastAsiaTheme="majorEastAsia"/>
          <w:rtl/>
        </w:rPr>
        <w:t>יֵשׁ</w:t>
      </w:r>
      <w:r>
        <w:t xml:space="preserve">, </w:t>
      </w:r>
      <w:r>
        <w:rPr>
          <w:rStyle w:val="Fett"/>
          <w:rFonts w:eastAsiaTheme="majorEastAsia"/>
          <w:rtl/>
        </w:rPr>
        <w:t>בָּכֶם</w:t>
      </w:r>
      <w:r>
        <w:t xml:space="preserve">, vier Möglichkeiten mit </w:t>
      </w:r>
      <w:r>
        <w:rPr>
          <w:rStyle w:val="Fett"/>
          <w:rFonts w:eastAsiaTheme="majorEastAsia"/>
          <w:rtl/>
        </w:rPr>
        <w:t>אוֹ</w:t>
      </w:r>
      <w:r>
        <w:t xml:space="preserve">: </w:t>
      </w:r>
      <w:r>
        <w:rPr>
          <w:rStyle w:val="Fett"/>
          <w:rFonts w:eastAsiaTheme="majorEastAsia"/>
          <w:rtl/>
        </w:rPr>
        <w:t>אִישׁ</w:t>
      </w:r>
      <w:r>
        <w:t xml:space="preserve">, </w:t>
      </w:r>
      <w:r>
        <w:rPr>
          <w:rStyle w:val="Fett"/>
          <w:rFonts w:eastAsiaTheme="majorEastAsia"/>
          <w:rtl/>
        </w:rPr>
        <w:t>אִשָּׁה</w:t>
      </w:r>
      <w:r>
        <w:t xml:space="preserve">, </w:t>
      </w:r>
      <w:r>
        <w:rPr>
          <w:rStyle w:val="Fett"/>
          <w:rFonts w:eastAsiaTheme="majorEastAsia"/>
          <w:rtl/>
        </w:rPr>
        <w:t>מִשְׁפָּחָה</w:t>
      </w:r>
      <w:r>
        <w:t xml:space="preserve">, </w:t>
      </w:r>
      <w:r>
        <w:rPr>
          <w:rStyle w:val="Fett"/>
          <w:rFonts w:eastAsiaTheme="majorEastAsia"/>
          <w:rtl/>
        </w:rPr>
        <w:t>שֵׁבֶט</w:t>
      </w:r>
      <w:r>
        <w:t xml:space="preserve">, Relativsatz: </w:t>
      </w:r>
      <w:r>
        <w:rPr>
          <w:rStyle w:val="Fett"/>
          <w:rFonts w:eastAsiaTheme="majorEastAsia"/>
          <w:rtl/>
        </w:rPr>
        <w:t>אֲשֶׁר לְבָבוֹ פֹנֶה הַיּוֹם מֵעִם יְהוָה אֱלֹהֵינוּ לָלֶכֶת לַעֲבֹד אֶת־אֱלֹהֵי הַגּוֹיִם הָהֵם</w:t>
      </w:r>
      <w:r>
        <w:rPr>
          <w:rtl/>
        </w:rPr>
        <w:t xml:space="preserve"> </w:t>
      </w:r>
      <w:r>
        <w:t xml:space="preserve">mit </w:t>
      </w:r>
      <w:r>
        <w:rPr>
          <w:rStyle w:val="Fett"/>
          <w:rFonts w:eastAsiaTheme="majorEastAsia"/>
          <w:rtl/>
        </w:rPr>
        <w:t>לֵבָב</w:t>
      </w:r>
      <w:r>
        <w:rPr>
          <w:rtl/>
        </w:rPr>
        <w:t xml:space="preserve"> </w:t>
      </w:r>
      <w:r>
        <w:t xml:space="preserve">mit Suffix 3. Person Maskulinum Singular als Subjekt, </w:t>
      </w:r>
      <w:r>
        <w:rPr>
          <w:rStyle w:val="Fett"/>
          <w:rFonts w:eastAsiaTheme="majorEastAsia"/>
          <w:rtl/>
        </w:rPr>
        <w:t>פנה</w:t>
      </w:r>
      <w:r>
        <w:t xml:space="preserve">, Qal Partizip, „sich wenden, sich abwenden", </w:t>
      </w:r>
      <w:r>
        <w:rPr>
          <w:rStyle w:val="Fett"/>
          <w:rFonts w:eastAsiaTheme="majorEastAsia"/>
          <w:rtl/>
        </w:rPr>
        <w:t>הַיּוֹם</w:t>
      </w:r>
      <w:r>
        <w:t xml:space="preserve">, </w:t>
      </w:r>
      <w:r>
        <w:rPr>
          <w:rStyle w:val="Fett"/>
          <w:rFonts w:eastAsiaTheme="majorEastAsia"/>
          <w:rtl/>
        </w:rPr>
        <w:t>מֵעִם יְהוָה אֱלֹהֵינוּ</w:t>
      </w:r>
      <w:r>
        <w:t xml:space="preserve">, zwei Finalsätze mit Präposition </w:t>
      </w:r>
      <w:r>
        <w:rPr>
          <w:rStyle w:val="Fett"/>
          <w:rFonts w:eastAsiaTheme="majorEastAsia"/>
          <w:rtl/>
        </w:rPr>
        <w:t>לְ</w:t>
      </w:r>
      <w:r>
        <w:rPr>
          <w:rtl/>
        </w:rPr>
        <w:t xml:space="preserve"> </w:t>
      </w:r>
      <w:r>
        <w:t xml:space="preserve">+ Infinitiv Construct von </w:t>
      </w:r>
      <w:r>
        <w:rPr>
          <w:rStyle w:val="Fett"/>
          <w:rFonts w:eastAsiaTheme="majorEastAsia"/>
          <w:rtl/>
        </w:rPr>
        <w:t>הלך</w:t>
      </w:r>
      <w:r>
        <w:rPr>
          <w:rtl/>
        </w:rPr>
        <w:t xml:space="preserve"> </w:t>
      </w:r>
      <w:r>
        <w:t xml:space="preserve">und </w:t>
      </w:r>
      <w:r>
        <w:rPr>
          <w:rStyle w:val="Fett"/>
          <w:rFonts w:eastAsiaTheme="majorEastAsia"/>
          <w:rtl/>
        </w:rPr>
        <w:t>עבד</w:t>
      </w:r>
      <w:r>
        <w:t xml:space="preserve">, Objektpartikel </w:t>
      </w:r>
      <w:r>
        <w:rPr>
          <w:rStyle w:val="Fett"/>
          <w:rFonts w:eastAsiaTheme="majorEastAsia"/>
          <w:rtl/>
        </w:rPr>
        <w:t>אֵת</w:t>
      </w:r>
      <w:r>
        <w:rPr>
          <w:rtl/>
        </w:rPr>
        <w:t xml:space="preserve"> </w:t>
      </w:r>
      <w:r>
        <w:t xml:space="preserve">mit </w:t>
      </w:r>
      <w:r>
        <w:rPr>
          <w:rStyle w:val="Fett"/>
          <w:rFonts w:eastAsiaTheme="majorEastAsia"/>
          <w:rtl/>
        </w:rPr>
        <w:t>אֱלֹהֵי הַגּוֹיִם הָהֵם</w:t>
      </w:r>
      <w:r>
        <w:t xml:space="preserve">), </w:t>
      </w:r>
      <w:r>
        <w:rPr>
          <w:rStyle w:val="Fett"/>
          <w:rFonts w:eastAsiaTheme="majorEastAsia"/>
          <w:rtl/>
        </w:rPr>
        <w:t>פֶּן־יֵשׁ בָּכֶם שֹׁרֶשׁ פֹּרֶה רֹאשׁ וְלַעֲנָה</w:t>
      </w:r>
      <w:r>
        <w:rPr>
          <w:rtl/>
        </w:rPr>
        <w:t xml:space="preserve"> </w:t>
      </w:r>
      <w:r>
        <w:t xml:space="preserve">(zweite Warnung: </w:t>
      </w:r>
      <w:r>
        <w:rPr>
          <w:rStyle w:val="Fett"/>
          <w:rFonts w:eastAsiaTheme="majorEastAsia"/>
          <w:rtl/>
        </w:rPr>
        <w:t>פֶּן־יֵשׁ בָּכֶם</w:t>
      </w:r>
      <w:r>
        <w:t xml:space="preserve">, </w:t>
      </w:r>
      <w:r>
        <w:rPr>
          <w:rStyle w:val="Fett"/>
          <w:rFonts w:eastAsiaTheme="majorEastAsia"/>
          <w:rtl/>
        </w:rPr>
        <w:t>שֹׁרֶשׁ</w:t>
      </w:r>
      <w:r>
        <w:t xml:space="preserve">, „Wurzel", </w:t>
      </w:r>
      <w:r>
        <w:rPr>
          <w:rStyle w:val="Fett"/>
          <w:rFonts w:eastAsiaTheme="majorEastAsia"/>
          <w:rtl/>
        </w:rPr>
        <w:t>פרה</w:t>
      </w:r>
      <w:r>
        <w:t xml:space="preserve">, Qal Partizip, „Frucht tragen, hervorbringen", </w:t>
      </w:r>
      <w:r>
        <w:rPr>
          <w:rStyle w:val="Fett"/>
          <w:rFonts w:eastAsiaTheme="majorEastAsia"/>
          <w:rtl/>
        </w:rPr>
        <w:t>רֹאשׁ</w:t>
      </w:r>
      <w:r>
        <w:t xml:space="preserve">, „Gift, Giftkraut" (auch „Haupt, Kopf"), koordiniert mit </w:t>
      </w:r>
      <w:r>
        <w:rPr>
          <w:rStyle w:val="Fett"/>
          <w:rFonts w:eastAsiaTheme="majorEastAsia"/>
          <w:rtl/>
        </w:rPr>
        <w:t>לַעֲנָה</w:t>
      </w:r>
      <w:r>
        <w:t>, „Wermut" – bitteres Kraut).</w:t>
      </w:r>
    </w:p>
    <w:p w14:paraId="79733790" w14:textId="4D405354" w:rsidR="008A57FB" w:rsidRDefault="008A57FB" w:rsidP="008A57FB">
      <w:pPr>
        <w:pStyle w:val="whitespace-normal"/>
      </w:pPr>
      <w:r>
        <w:t xml:space="preserve">Der Vers warnt vor Abfall vom Glauben auf verschiedenen Ebenen. Die erste Warnung: </w:t>
      </w:r>
      <w:r>
        <w:rPr>
          <w:rStyle w:val="Fett"/>
          <w:rFonts w:eastAsiaTheme="majorEastAsia"/>
          <w:rtl/>
        </w:rPr>
        <w:t>פֶּן־יֵשׁ בָּכֶם אִישׁ אוֹ־אִשָּׁה אוֹ מִשְׁפָּחָה אוֹ־שֵׁבֶט אֲשֶׁר לְבָבוֹ פֹנֶה הַיּוֹם מֵעִם יְהוָה אֱלֹהֵינוּ לָלֶכֶת לַעֲבֹד אֶת־אֱלֹהֵי הַגּוֹיִם הָהֵם</w:t>
      </w:r>
      <w:r>
        <w:rPr>
          <w:rtl/>
        </w:rPr>
        <w:t xml:space="preserve"> </w:t>
      </w:r>
      <w:r>
        <w:t xml:space="preserve">(„dass es nicht gebe unter euch einen Mann oder eine Frau oder eine Familie oder einen Stamm, dessen Herz sich heute abwendet von JHWH, unserem Gott, hinzugehen, zu dienen den Göttern jener Völker"). Vier Ebenen: (1) </w:t>
      </w:r>
      <w:r>
        <w:rPr>
          <w:rStyle w:val="Fett"/>
          <w:rFonts w:eastAsiaTheme="majorEastAsia"/>
          <w:rtl/>
        </w:rPr>
        <w:t>אִישׁ</w:t>
      </w:r>
      <w:r>
        <w:rPr>
          <w:rtl/>
        </w:rPr>
        <w:t xml:space="preserve"> </w:t>
      </w:r>
      <w:r>
        <w:t xml:space="preserve">(„Mann") – Individuum, männlich. (2) </w:t>
      </w:r>
      <w:r>
        <w:rPr>
          <w:rStyle w:val="Fett"/>
          <w:rFonts w:eastAsiaTheme="majorEastAsia"/>
          <w:rtl/>
        </w:rPr>
        <w:t>אִשָּׁה</w:t>
      </w:r>
      <w:r>
        <w:rPr>
          <w:rtl/>
        </w:rPr>
        <w:t xml:space="preserve"> </w:t>
      </w:r>
      <w:r>
        <w:t xml:space="preserve">(„Frau") – Individuum, weiblich. (3) </w:t>
      </w:r>
      <w:r>
        <w:rPr>
          <w:rStyle w:val="Fett"/>
          <w:rFonts w:eastAsiaTheme="majorEastAsia"/>
          <w:rtl/>
        </w:rPr>
        <w:t>מִשְׁפָּחָה</w:t>
      </w:r>
      <w:r>
        <w:rPr>
          <w:rtl/>
        </w:rPr>
        <w:t xml:space="preserve"> </w:t>
      </w:r>
      <w:r>
        <w:t xml:space="preserve">(„Familie") – kleinere Gruppe, Sippe. (4) </w:t>
      </w:r>
      <w:r>
        <w:rPr>
          <w:rStyle w:val="Fett"/>
          <w:rFonts w:eastAsiaTheme="majorEastAsia"/>
          <w:rtl/>
        </w:rPr>
        <w:t>שֵׁבֶט</w:t>
      </w:r>
      <w:r>
        <w:rPr>
          <w:rtl/>
        </w:rPr>
        <w:t xml:space="preserve"> </w:t>
      </w:r>
      <w:r>
        <w:t xml:space="preserve">(„Stamm") – größere Gruppe, ganzer Stamm. Die Warnung gilt auf allen sozialen Ebenen (vgl. 13,2-19). Die Formulierung </w:t>
      </w:r>
      <w:r>
        <w:rPr>
          <w:rStyle w:val="Fett"/>
          <w:rFonts w:eastAsiaTheme="majorEastAsia"/>
          <w:rtl/>
        </w:rPr>
        <w:t>לְבָבוֹ פֹנֶה הַיּוֹם מֵעִם יְהוָה אֱלֹהֵינוּ</w:t>
      </w:r>
      <w:r>
        <w:rPr>
          <w:rtl/>
        </w:rPr>
        <w:t xml:space="preserve"> </w:t>
      </w:r>
      <w:r>
        <w:t xml:space="preserve">(„dessen Herz sich heute abwendet von JHWH, unserem Gott") betont: innere Abwendung, nicht nur äußere Handlung. Die beiden Finalsätze </w:t>
      </w:r>
      <w:r>
        <w:rPr>
          <w:rStyle w:val="Fett"/>
          <w:rFonts w:eastAsiaTheme="majorEastAsia"/>
          <w:rtl/>
        </w:rPr>
        <w:t>לָלֶכֶת לַעֲבֹד אֶת־אֱלֹהֵי הַגּוֹיִם הָהֵם</w:t>
      </w:r>
      <w:r>
        <w:rPr>
          <w:rtl/>
        </w:rPr>
        <w:t xml:space="preserve"> </w:t>
      </w:r>
      <w:r>
        <w:t xml:space="preserve">(„hinzugehen, zu dienen den Göttern jener Völker") beschreiben die Folge der Herzensabwendung. Die zweite Warnung: </w:t>
      </w:r>
      <w:r>
        <w:rPr>
          <w:rStyle w:val="Fett"/>
          <w:rFonts w:eastAsiaTheme="majorEastAsia"/>
          <w:rtl/>
        </w:rPr>
        <w:t>פֶּן־יֵשׁ בָּכֶם שֹׁרֶשׁ פֹּרֶה רֹאשׁ וְלַעֲנָה</w:t>
      </w:r>
      <w:r>
        <w:rPr>
          <w:rtl/>
        </w:rPr>
        <w:t xml:space="preserve"> </w:t>
      </w:r>
      <w:r>
        <w:t xml:space="preserve">(„dass es nicht gebe unter euch eine Wurzel, die Gift und Wermut trägt"). Metapher: eine Person/Gruppe, die wie eine giftige Pflanze ist und andere vergiften/verderben kann (vgl. Hebr 12,15). Die beiden Begriffe </w:t>
      </w:r>
      <w:r>
        <w:rPr>
          <w:rStyle w:val="Fett"/>
          <w:rFonts w:eastAsiaTheme="majorEastAsia"/>
          <w:rtl/>
        </w:rPr>
        <w:t>רֹאשׁ</w:t>
      </w:r>
      <w:r>
        <w:rPr>
          <w:rtl/>
        </w:rPr>
        <w:t xml:space="preserve"> </w:t>
      </w:r>
      <w:r>
        <w:t xml:space="preserve">(„Gift, Giftkraut") und </w:t>
      </w:r>
      <w:r>
        <w:rPr>
          <w:rStyle w:val="Fett"/>
          <w:rFonts w:eastAsiaTheme="majorEastAsia"/>
          <w:rtl/>
        </w:rPr>
        <w:t>לַעֲנָה</w:t>
      </w:r>
      <w:r>
        <w:rPr>
          <w:rtl/>
        </w:rPr>
        <w:t xml:space="preserve"> </w:t>
      </w:r>
      <w:r>
        <w:t>(„Wermut") stehen oft zusammen für bittere, giftige Pflanzen (vgl. Hos 10,4; Amos 5,7; 6,12; Jer 9,14; 23,15).</w:t>
      </w:r>
    </w:p>
    <w:p w14:paraId="0F3B5C41" w14:textId="77777777" w:rsidR="004F2264" w:rsidRPr="004F2264" w:rsidRDefault="004F2264" w:rsidP="004F2264">
      <w:pPr>
        <w:spacing w:before="100" w:beforeAutospacing="1" w:after="100" w:afterAutospacing="1" w:line="240" w:lineRule="auto"/>
        <w:outlineLvl w:val="1"/>
        <w:rPr>
          <w:rFonts w:eastAsia="Times New Roman"/>
          <w:b/>
          <w:bCs/>
          <w:sz w:val="36"/>
          <w:szCs w:val="36"/>
          <w:lang w:eastAsia="de-DE"/>
        </w:rPr>
      </w:pPr>
      <w:r w:rsidRPr="004F2264">
        <w:rPr>
          <w:rFonts w:eastAsia="Times New Roman"/>
          <w:b/>
          <w:bCs/>
          <w:sz w:val="36"/>
          <w:szCs w:val="36"/>
          <w:lang w:eastAsia="de-DE"/>
        </w:rPr>
        <w:t>Vers 17 (MT) / Vers 18 (LXX)</w:t>
      </w:r>
    </w:p>
    <w:p w14:paraId="37C98958" w14:textId="61A39A4A" w:rsidR="004F2264" w:rsidRPr="004F2264" w:rsidRDefault="004F2264" w:rsidP="004F2264">
      <w:pPr>
        <w:spacing w:before="100" w:beforeAutospacing="1" w:after="100" w:afterAutospacing="1" w:line="240" w:lineRule="auto"/>
        <w:rPr>
          <w:rFonts w:eastAsia="Times New Roman"/>
          <w:lang w:eastAsia="de-DE"/>
        </w:rPr>
      </w:pPr>
      <w:r w:rsidRPr="004F2264">
        <w:rPr>
          <w:rFonts w:eastAsia="Times New Roman"/>
          <w:b/>
          <w:bCs/>
          <w:lang w:eastAsia="de-DE"/>
        </w:rPr>
        <w:t>Die LXX</w:t>
      </w:r>
      <w:r w:rsidRPr="004F2264">
        <w:rPr>
          <w:rFonts w:eastAsia="Times New Roman"/>
          <w:lang w:eastAsia="de-DE"/>
        </w:rPr>
        <w:t xml:space="preserve"> übersetzt </w:t>
      </w:r>
      <w:r w:rsidRPr="004F2264">
        <w:rPr>
          <w:rFonts w:eastAsia="Times New Roman"/>
          <w:rtl/>
          <w:lang w:eastAsia="de-DE"/>
        </w:rPr>
        <w:t>שֹׁרֶשׁ פֹּרֶה רֹאשׁ וְלַעֲנָה</w:t>
      </w:r>
      <w:r w:rsidRPr="004F2264">
        <w:rPr>
          <w:rFonts w:eastAsia="Times New Roman"/>
          <w:lang w:eastAsia="de-DE"/>
        </w:rPr>
        <w:t xml:space="preserve"> (eine Wurzel, die Gift und Wermut hervorbringt) mit </w:t>
      </w:r>
      <w:proofErr w:type="spellStart"/>
      <w:r w:rsidRPr="004F2264">
        <w:rPr>
          <w:rFonts w:eastAsia="Times New Roman"/>
          <w:lang w:eastAsia="de-DE"/>
        </w:rPr>
        <w:t>ῥίζ</w:t>
      </w:r>
      <w:proofErr w:type="spellEnd"/>
      <w:r w:rsidRPr="004F2264">
        <w:rPr>
          <w:rFonts w:eastAsia="Times New Roman"/>
          <w:lang w:eastAsia="de-DE"/>
        </w:rPr>
        <w:t xml:space="preserve">α </w:t>
      </w:r>
      <w:proofErr w:type="spellStart"/>
      <w:r w:rsidRPr="004F2264">
        <w:rPr>
          <w:rFonts w:eastAsia="Times New Roman"/>
          <w:lang w:eastAsia="de-DE"/>
        </w:rPr>
        <w:t>ἄνω</w:t>
      </w:r>
      <w:proofErr w:type="spellEnd"/>
      <w:r w:rsidRPr="004F2264">
        <w:rPr>
          <w:rFonts w:eastAsia="Times New Roman"/>
          <w:lang w:eastAsia="de-DE"/>
        </w:rPr>
        <w:t xml:space="preserve"> </w:t>
      </w:r>
      <w:proofErr w:type="spellStart"/>
      <w:r w:rsidRPr="004F2264">
        <w:rPr>
          <w:rFonts w:eastAsia="Times New Roman"/>
          <w:lang w:eastAsia="de-DE"/>
        </w:rPr>
        <w:t>φύουσ</w:t>
      </w:r>
      <w:proofErr w:type="spellEnd"/>
      <w:r w:rsidRPr="004F2264">
        <w:rPr>
          <w:rFonts w:eastAsia="Times New Roman"/>
          <w:lang w:eastAsia="de-DE"/>
        </w:rPr>
        <w:t xml:space="preserve">α </w:t>
      </w:r>
      <w:proofErr w:type="spellStart"/>
      <w:r w:rsidRPr="004F2264">
        <w:rPr>
          <w:rFonts w:eastAsia="Times New Roman"/>
          <w:lang w:eastAsia="de-DE"/>
        </w:rPr>
        <w:t>ἐν</w:t>
      </w:r>
      <w:proofErr w:type="spellEnd"/>
      <w:r w:rsidRPr="004F2264">
        <w:rPr>
          <w:rFonts w:eastAsia="Times New Roman"/>
          <w:lang w:eastAsia="de-DE"/>
        </w:rPr>
        <w:t xml:space="preserve"> </w:t>
      </w:r>
      <w:proofErr w:type="spellStart"/>
      <w:r w:rsidRPr="004F2264">
        <w:rPr>
          <w:rFonts w:eastAsia="Times New Roman"/>
          <w:lang w:eastAsia="de-DE"/>
        </w:rPr>
        <w:t>χολῇ</w:t>
      </w:r>
      <w:proofErr w:type="spellEnd"/>
      <w:r w:rsidRPr="004F2264">
        <w:rPr>
          <w:rFonts w:eastAsia="Times New Roman"/>
          <w:lang w:eastAsia="de-DE"/>
        </w:rPr>
        <w:t xml:space="preserve"> καὶ π</w:t>
      </w:r>
      <w:proofErr w:type="spellStart"/>
      <w:r w:rsidRPr="004F2264">
        <w:rPr>
          <w:rFonts w:eastAsia="Times New Roman"/>
          <w:lang w:eastAsia="de-DE"/>
        </w:rPr>
        <w:t>ικρίᾳ</w:t>
      </w:r>
      <w:proofErr w:type="spellEnd"/>
      <w:r w:rsidRPr="004F2264">
        <w:rPr>
          <w:rFonts w:eastAsia="Times New Roman"/>
          <w:lang w:eastAsia="de-DE"/>
        </w:rPr>
        <w:t xml:space="preserve"> (eine Wurzel, die nach oben wächst in Galle und Bitterkeit). Das Adverb </w:t>
      </w:r>
      <w:proofErr w:type="spellStart"/>
      <w:r w:rsidRPr="004F2264">
        <w:rPr>
          <w:rFonts w:eastAsia="Times New Roman"/>
          <w:lang w:eastAsia="de-DE"/>
        </w:rPr>
        <w:t>ἄνω</w:t>
      </w:r>
      <w:proofErr w:type="spellEnd"/>
      <w:r w:rsidRPr="004F2264">
        <w:rPr>
          <w:rFonts w:eastAsia="Times New Roman"/>
          <w:lang w:eastAsia="de-DE"/>
        </w:rPr>
        <w:t xml:space="preserve"> (nach oben) betont das Wachstum der Wurzel, und </w:t>
      </w:r>
      <w:proofErr w:type="spellStart"/>
      <w:r w:rsidRPr="004F2264">
        <w:rPr>
          <w:rFonts w:eastAsia="Times New Roman"/>
          <w:lang w:eastAsia="de-DE"/>
        </w:rPr>
        <w:t>χολή</w:t>
      </w:r>
      <w:proofErr w:type="spellEnd"/>
      <w:r w:rsidRPr="004F2264">
        <w:rPr>
          <w:rFonts w:eastAsia="Times New Roman"/>
          <w:lang w:eastAsia="de-DE"/>
        </w:rPr>
        <w:t xml:space="preserve"> (Galle) ersetzt </w:t>
      </w:r>
      <w:r w:rsidRPr="004F2264">
        <w:rPr>
          <w:rFonts w:eastAsia="Times New Roman"/>
          <w:rtl/>
          <w:lang w:eastAsia="de-DE"/>
        </w:rPr>
        <w:t>רֹאשׁ</w:t>
      </w:r>
      <w:r w:rsidRPr="004F2264">
        <w:rPr>
          <w:rFonts w:eastAsia="Times New Roman"/>
          <w:lang w:eastAsia="de-DE"/>
        </w:rPr>
        <w:t xml:space="preserve"> (Gift/Giftpflanze). Diese Stelle wird im Neuen Testament (Hebr 12,15) zitiert.</w:t>
      </w:r>
    </w:p>
    <w:p w14:paraId="54277584" w14:textId="77777777" w:rsidR="008A57FB" w:rsidRDefault="008A57FB" w:rsidP="008A57FB">
      <w:pPr>
        <w:pStyle w:val="whitespace-normal"/>
      </w:pPr>
      <w:r>
        <w:rPr>
          <w:rStyle w:val="Fett"/>
          <w:rFonts w:eastAsiaTheme="majorEastAsia"/>
        </w:rPr>
        <w:t>Die Satzstruktur:</w:t>
      </w:r>
      <w:r>
        <w:t xml:space="preserve"> Zwei Warnungen (dass es nicht gebe unter euch einen Mann oder eine Frau oder eine Familie oder einen Stamm, dessen Herz sich heute abwendet von JHWH, unserem Gott, hinzugehen, zu dienen den Göttern jener Völker; dass es nicht gebe unter euch eine Wurzel, die Gift und Wermut trägt).</w:t>
      </w:r>
    </w:p>
    <w:p w14:paraId="4BE32774" w14:textId="5B713AA5" w:rsidR="008A57FB" w:rsidRDefault="008A57FB" w:rsidP="00B77CC6">
      <w:pPr>
        <w:pStyle w:val="whitespace-normal"/>
      </w:pPr>
      <w:r>
        <w:rPr>
          <w:rStyle w:val="Fett"/>
          <w:rFonts w:eastAsiaTheme="majorEastAsia"/>
        </w:rPr>
        <w:t>Der Vers beschreibt:</w:t>
      </w:r>
      <w:r>
        <w:t xml:space="preserve"> Warnung vor Abfall auf allen Ebenen (Individuum, Familie, Stamm) – giftige Wurzel, die andere verdirbt.</w:t>
      </w:r>
    </w:p>
    <w:p w14:paraId="646D72D1" w14:textId="77777777" w:rsidR="008A57FB" w:rsidRPr="008D48A3" w:rsidRDefault="008A57FB" w:rsidP="008D48A3">
      <w:pPr>
        <w:pStyle w:val="Bibelberschrift"/>
      </w:pPr>
      <w:r w:rsidRPr="008D48A3">
        <w:rPr>
          <w:rStyle w:val="Fett"/>
          <w:b/>
          <w:bCs w:val="0"/>
        </w:rPr>
        <w:t>Deuteronomium 29,18 (29,19 MT)</w:t>
      </w:r>
    </w:p>
    <w:p w14:paraId="55DAA86C" w14:textId="77777777" w:rsidR="008A57FB" w:rsidRDefault="008A57FB" w:rsidP="008A57FB">
      <w:pPr>
        <w:pStyle w:val="whitespace-normal"/>
      </w:pPr>
      <w:r>
        <w:rPr>
          <w:rStyle w:val="Fett"/>
          <w:rFonts w:eastAsiaTheme="majorEastAsia"/>
        </w:rPr>
        <w:t>Hebräisch:</w:t>
      </w:r>
      <w:r>
        <w:t xml:space="preserve"> </w:t>
      </w:r>
      <w:r>
        <w:rPr>
          <w:rtl/>
        </w:rPr>
        <w:t>וְהָיָה בְּשָׁמְעוֹ אֶת־דִּבְרֵי הָאָלָה הַזֹּאת וְהִתְבָּרֵךְ בִּלְבָבוֹ לֵאמֹר שָׁלוֹם יִהְיֶה־לִּי כִּי בִּשְׁרִרוּת לִבִּי אֵלֵךְ לְמַעַן סְפוֹת הָרָוָה אֶת־הַצְּמֵאָה׃</w:t>
      </w:r>
    </w:p>
    <w:p w14:paraId="407C11AC" w14:textId="77777777" w:rsidR="008A57FB" w:rsidRDefault="008A57FB" w:rsidP="008A57FB">
      <w:pPr>
        <w:pStyle w:val="whitespace-normal"/>
      </w:pPr>
      <w:r>
        <w:rPr>
          <w:rStyle w:val="Fett"/>
          <w:rFonts w:eastAsiaTheme="majorEastAsia"/>
        </w:rPr>
        <w:lastRenderedPageBreak/>
        <w:t>Deutsch:</w:t>
      </w:r>
      <w:r>
        <w:t xml:space="preserve"> Und es geschehe, wenn er die Worte dieses Eidschwurs hört, dass er sich in seinem Herzen segnet und spricht: Friede wird mir sein, obwohl ich in der Verstocktheit meines Herzens wandle – um wegzuraffen das Getränkte mit dem Durstigen.</w:t>
      </w:r>
    </w:p>
    <w:p w14:paraId="72BED689" w14:textId="77777777" w:rsidR="008A57FB" w:rsidRDefault="004F5CEB" w:rsidP="008A57FB">
      <w:r>
        <w:rPr>
          <w:noProof/>
        </w:rPr>
        <w:pict w14:anchorId="62456BFF">
          <v:rect id="_x0000_i1831" style="width:0;height:1.5pt" o:hralign="center" o:hrstd="t" o:hr="t" fillcolor="#a0a0a0" stroked="f"/>
        </w:pict>
      </w:r>
    </w:p>
    <w:p w14:paraId="1E394AEB"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וְהָיָה בְּשָׁמְעוֹ אֶת־דִּבְרֵי הָאָלָה הַזֹּאת וְהִתְבָּרֵךְ בִּלְבָבוֹ לֵאמֹר שָׁלוֹם יִהְיֶה־לִּי כִּי בִּשְׁרִרוּת לִבִּי אֵלֵךְ לְמַעַן סְפוֹת הָרָוָה אֶת־הַצְּמֵאָה</w:t>
      </w:r>
      <w:r>
        <w:rPr>
          <w:rtl/>
        </w:rPr>
        <w:t xml:space="preserve"> </w:t>
      </w:r>
      <w:r>
        <w:t xml:space="preserve">ist eine komplexe Warnung: </w:t>
      </w:r>
      <w:r>
        <w:rPr>
          <w:rStyle w:val="Fett"/>
          <w:rFonts w:eastAsiaTheme="majorEastAsia"/>
          <w:rtl/>
        </w:rPr>
        <w:t>וְהָיָה בְּשָׁמְעוֹ אֶת־דִּבְרֵי הָאָלָה הַזֹּאת וְהִתְבָּרֵךְ בִּלְבָבוֹ לֵאמֹר שָׁלוֹם יִהְיֶה־לִּי כִּי בִּשְׁרִרוּת לִבִּי אֵלֵךְ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3. Person Maskulinum Singular, Temporalsatz: </w:t>
      </w:r>
      <w:r>
        <w:rPr>
          <w:rStyle w:val="Fett"/>
          <w:rFonts w:eastAsiaTheme="majorEastAsia"/>
          <w:rtl/>
        </w:rPr>
        <w:t>בְּשָׁמְעוֹ אֶת־דִּבְרֵי הָאָלָה הַזֹּאת</w:t>
      </w:r>
      <w:r>
        <w:rPr>
          <w:rtl/>
        </w:rPr>
        <w:t xml:space="preserve"> </w:t>
      </w:r>
      <w:r>
        <w:t xml:space="preserve">mit Präposition </w:t>
      </w:r>
      <w:r>
        <w:rPr>
          <w:rStyle w:val="Fett"/>
          <w:rFonts w:eastAsiaTheme="majorEastAsia"/>
          <w:rtl/>
        </w:rPr>
        <w:t>בְּ</w:t>
      </w:r>
      <w:r>
        <w:rPr>
          <w:rtl/>
        </w:rPr>
        <w:t xml:space="preserve"> </w:t>
      </w:r>
      <w:r>
        <w:t xml:space="preserve">+ Qal Infinitiv Construct von </w:t>
      </w:r>
      <w:r>
        <w:rPr>
          <w:rStyle w:val="Fett"/>
          <w:rFonts w:eastAsiaTheme="majorEastAsia"/>
          <w:rtl/>
        </w:rPr>
        <w:t>שׁמע</w:t>
      </w:r>
      <w:r>
        <w:rPr>
          <w:rtl/>
        </w:rPr>
        <w:t xml:space="preserve"> </w:t>
      </w:r>
      <w:r>
        <w:t xml:space="preserve">mit Suffix 3. Person Maskulinum Singular, Objektpartikel </w:t>
      </w:r>
      <w:r>
        <w:rPr>
          <w:rStyle w:val="Fett"/>
          <w:rFonts w:eastAsiaTheme="majorEastAsia"/>
          <w:rtl/>
        </w:rPr>
        <w:t>אֵת</w:t>
      </w:r>
      <w:r>
        <w:rPr>
          <w:rtl/>
        </w:rPr>
        <w:t xml:space="preserve"> </w:t>
      </w:r>
      <w:r>
        <w:t xml:space="preserve">mit </w:t>
      </w:r>
      <w:r>
        <w:rPr>
          <w:rStyle w:val="Fett"/>
          <w:rFonts w:eastAsiaTheme="majorEastAsia"/>
          <w:rtl/>
        </w:rPr>
        <w:t>דָּבָר</w:t>
      </w:r>
      <w:r>
        <w:rPr>
          <w:rtl/>
        </w:rPr>
        <w:t xml:space="preserve"> </w:t>
      </w:r>
      <w:r>
        <w:t xml:space="preserve">Plural Construct mit </w:t>
      </w:r>
      <w:r>
        <w:rPr>
          <w:rStyle w:val="Fett"/>
          <w:rFonts w:eastAsiaTheme="majorEastAsia"/>
          <w:rtl/>
        </w:rPr>
        <w:t>אָלָה</w:t>
      </w:r>
      <w:r>
        <w:rPr>
          <w:rtl/>
        </w:rPr>
        <w:t xml:space="preserve"> </w:t>
      </w:r>
      <w:r>
        <w:t xml:space="preserve">mit Artikel, </w:t>
      </w:r>
      <w:r>
        <w:rPr>
          <w:rStyle w:val="Fett"/>
          <w:rFonts w:eastAsiaTheme="majorEastAsia"/>
          <w:rtl/>
        </w:rPr>
        <w:t>זֹאת</w:t>
      </w:r>
      <w:r>
        <w:t xml:space="preserve">, koordiniert durch </w:t>
      </w:r>
      <w:r>
        <w:rPr>
          <w:rStyle w:val="Fett"/>
          <w:rFonts w:eastAsiaTheme="majorEastAsia"/>
          <w:rtl/>
        </w:rPr>
        <w:t>וְ</w:t>
      </w:r>
      <w:r>
        <w:rPr>
          <w:rtl/>
        </w:rPr>
        <w:t xml:space="preserve"> </w:t>
      </w:r>
      <w:r>
        <w:t xml:space="preserve">mit </w:t>
      </w:r>
      <w:r>
        <w:rPr>
          <w:rStyle w:val="Fett"/>
          <w:rFonts w:eastAsiaTheme="majorEastAsia"/>
          <w:rtl/>
        </w:rPr>
        <w:t>ברך</w:t>
      </w:r>
      <w:r>
        <w:t xml:space="preserve">, Hitpael Perfekt, 3. Person Maskulinum Singular, „sich segnen", </w:t>
      </w:r>
      <w:r>
        <w:rPr>
          <w:rStyle w:val="Fett"/>
          <w:rFonts w:eastAsiaTheme="majorEastAsia"/>
          <w:rtl/>
        </w:rPr>
        <w:t>בִּלְבָבוֹ</w:t>
      </w:r>
      <w:r>
        <w:t xml:space="preserve">, Präposition </w:t>
      </w:r>
      <w:r>
        <w:rPr>
          <w:rStyle w:val="Fett"/>
          <w:rFonts w:eastAsiaTheme="majorEastAsia"/>
          <w:rtl/>
        </w:rPr>
        <w:t>לְ</w:t>
      </w:r>
      <w:r>
        <w:rPr>
          <w:rtl/>
        </w:rPr>
        <w:t xml:space="preserve"> </w:t>
      </w:r>
      <w:r>
        <w:t xml:space="preserve">+ Qal Infinitiv Construct von </w:t>
      </w:r>
      <w:r>
        <w:rPr>
          <w:rStyle w:val="Fett"/>
          <w:rFonts w:eastAsiaTheme="majorEastAsia"/>
          <w:rtl/>
        </w:rPr>
        <w:t>אמר</w:t>
      </w:r>
      <w:r>
        <w:t xml:space="preserve">, direkte Rede: </w:t>
      </w:r>
      <w:r>
        <w:rPr>
          <w:rStyle w:val="Fett"/>
          <w:rFonts w:eastAsiaTheme="majorEastAsia"/>
          <w:rtl/>
        </w:rPr>
        <w:t>שָׁלוֹם יִהְיֶה־לִּי כִּי בִּשְׁרִרוּת לִבִּי אֵלֵךְ</w:t>
      </w:r>
      <w:r>
        <w:rPr>
          <w:rtl/>
        </w:rPr>
        <w:t xml:space="preserve"> </w:t>
      </w:r>
      <w:r>
        <w:t xml:space="preserve">mit </w:t>
      </w:r>
      <w:r>
        <w:rPr>
          <w:rStyle w:val="Fett"/>
          <w:rFonts w:eastAsiaTheme="majorEastAsia"/>
          <w:rtl/>
        </w:rPr>
        <w:t>שָׁלוֹם</w:t>
      </w:r>
      <w:r>
        <w:rPr>
          <w:rtl/>
        </w:rPr>
        <w:t xml:space="preserve"> </w:t>
      </w:r>
      <w:r>
        <w:t xml:space="preserve">als Subjekt, </w:t>
      </w:r>
      <w:r>
        <w:rPr>
          <w:rStyle w:val="Fett"/>
          <w:rFonts w:eastAsiaTheme="majorEastAsia"/>
          <w:rtl/>
        </w:rPr>
        <w:t>היה</w:t>
      </w:r>
      <w:r>
        <w:t xml:space="preserve">, Qal Imperfekt, 3. Person Maskulinum Singular, Präposition </w:t>
      </w:r>
      <w:r>
        <w:rPr>
          <w:rStyle w:val="Fett"/>
          <w:rFonts w:eastAsiaTheme="majorEastAsia"/>
          <w:rtl/>
        </w:rPr>
        <w:t>לְ</w:t>
      </w:r>
      <w:r>
        <w:rPr>
          <w:rtl/>
        </w:rPr>
        <w:t xml:space="preserve"> </w:t>
      </w:r>
      <w:r>
        <w:t xml:space="preserve">mit Suffix 1. Person Singular, Kausalsatz: </w:t>
      </w:r>
      <w:r>
        <w:rPr>
          <w:rStyle w:val="Fett"/>
          <w:rFonts w:eastAsiaTheme="majorEastAsia"/>
          <w:rtl/>
        </w:rPr>
        <w:t>כִּי בִּשְׁרִרוּת לִבִּי אֵלֵךְ</w:t>
      </w:r>
      <w:r>
        <w:rPr>
          <w:rtl/>
        </w:rPr>
        <w:t xml:space="preserve"> </w:t>
      </w:r>
      <w:r>
        <w:t xml:space="preserve">mit Präposition </w:t>
      </w:r>
      <w:r>
        <w:rPr>
          <w:rStyle w:val="Fett"/>
          <w:rFonts w:eastAsiaTheme="majorEastAsia"/>
          <w:rtl/>
        </w:rPr>
        <w:t>בְּ</w:t>
      </w:r>
      <w:r>
        <w:t xml:space="preserve">, </w:t>
      </w:r>
      <w:r>
        <w:rPr>
          <w:rStyle w:val="Fett"/>
          <w:rFonts w:eastAsiaTheme="majorEastAsia"/>
          <w:rtl/>
        </w:rPr>
        <w:t>שְׁרִרוּת</w:t>
      </w:r>
      <w:r>
        <w:t xml:space="preserve">, „Verstocktheit, Halsstarrigkeit", Construct mit </w:t>
      </w:r>
      <w:r>
        <w:rPr>
          <w:rStyle w:val="Fett"/>
          <w:rFonts w:eastAsiaTheme="majorEastAsia"/>
          <w:rtl/>
        </w:rPr>
        <w:t>לֵב</w:t>
      </w:r>
      <w:r>
        <w:rPr>
          <w:rtl/>
        </w:rPr>
        <w:t xml:space="preserve"> </w:t>
      </w:r>
      <w:r>
        <w:t xml:space="preserve">mit Suffix 1. Person Singular, </w:t>
      </w:r>
      <w:r>
        <w:rPr>
          <w:rStyle w:val="Fett"/>
          <w:rFonts w:eastAsiaTheme="majorEastAsia"/>
          <w:rtl/>
        </w:rPr>
        <w:t>הלך</w:t>
      </w:r>
      <w:r>
        <w:t xml:space="preserve">, Qal Imperfekt, 1. Person Singular, mit </w:t>
      </w:r>
      <w:r>
        <w:rPr>
          <w:rStyle w:val="Fett"/>
          <w:rFonts w:eastAsiaTheme="majorEastAsia"/>
        </w:rPr>
        <w:t>Waw</w:t>
      </w:r>
      <w:r>
        <w:t xml:space="preserve"> consecutivum für gesamten Komplex), </w:t>
      </w:r>
      <w:r>
        <w:rPr>
          <w:rStyle w:val="Fett"/>
          <w:rFonts w:eastAsiaTheme="majorEastAsia"/>
          <w:rtl/>
        </w:rPr>
        <w:t>לְמַעַן סְפוֹת הָרָוָה אֶת־הַצְּמֵאָה</w:t>
      </w:r>
      <w:r>
        <w:rPr>
          <w:rtl/>
        </w:rPr>
        <w:t xml:space="preserve"> </w:t>
      </w:r>
      <w:r>
        <w:t xml:space="preserve">(Finalsatz oder Folgesatz: </w:t>
      </w:r>
      <w:r>
        <w:rPr>
          <w:rStyle w:val="Fett"/>
          <w:rFonts w:eastAsiaTheme="majorEastAsia"/>
          <w:rtl/>
        </w:rPr>
        <w:t>לְמַעַן</w:t>
      </w:r>
      <w:r>
        <w:rPr>
          <w:rtl/>
        </w:rPr>
        <w:t xml:space="preserve"> </w:t>
      </w:r>
      <w:r>
        <w:t xml:space="preserve">mit Qal Infinitiv Construct von </w:t>
      </w:r>
      <w:r>
        <w:rPr>
          <w:rStyle w:val="Fett"/>
          <w:rFonts w:eastAsiaTheme="majorEastAsia"/>
          <w:rtl/>
        </w:rPr>
        <w:t>ספה</w:t>
      </w:r>
      <w:r>
        <w:t xml:space="preserve">, „wegraffen, hinwegfegen, vernichten", </w:t>
      </w:r>
      <w:r>
        <w:rPr>
          <w:rStyle w:val="Fett"/>
          <w:rFonts w:eastAsiaTheme="majorEastAsia"/>
          <w:rtl/>
        </w:rPr>
        <w:t>רָוֶה</w:t>
      </w:r>
      <w:r>
        <w:t xml:space="preserve">, Qal Passiv Partizip Femininum Singular, „getränkt, bewässert", Objektpartikel </w:t>
      </w:r>
      <w:r>
        <w:rPr>
          <w:rStyle w:val="Fett"/>
          <w:rFonts w:eastAsiaTheme="majorEastAsia"/>
          <w:rtl/>
        </w:rPr>
        <w:t>אֵת</w:t>
      </w:r>
      <w:r>
        <w:rPr>
          <w:rtl/>
        </w:rPr>
        <w:t xml:space="preserve"> </w:t>
      </w:r>
      <w:r>
        <w:t xml:space="preserve">mit </w:t>
      </w:r>
      <w:r>
        <w:rPr>
          <w:rStyle w:val="Fett"/>
          <w:rFonts w:eastAsiaTheme="majorEastAsia"/>
          <w:rtl/>
        </w:rPr>
        <w:t>צָמֵא</w:t>
      </w:r>
      <w:r>
        <w:t>, Adjektiv Femininum Singular, „durstig").</w:t>
      </w:r>
    </w:p>
    <w:p w14:paraId="6A321347" w14:textId="77777777" w:rsidR="004F2264" w:rsidRDefault="008A57FB" w:rsidP="008A57FB">
      <w:pPr>
        <w:pStyle w:val="whitespace-normal"/>
      </w:pPr>
      <w:r>
        <w:t xml:space="preserve">Der Vers beschreibt die selbstgefällige Haltung des Abtrünnigen. Die Warnung: </w:t>
      </w:r>
      <w:r>
        <w:rPr>
          <w:rStyle w:val="Fett"/>
          <w:rFonts w:eastAsiaTheme="majorEastAsia"/>
          <w:rtl/>
        </w:rPr>
        <w:t>וְהָיָה בְּשָׁמְעוֹ אֶת־דִּבְרֵי הָאָלָה הַזֹּאת וְהִתְבָּרֵךְ בִּלְבָבוֹ לֵאמֹר שָׁלוֹם יִהְיֶה־לִּי כִּי בִּשְׁרִרוּת לִבִּי אֵלֵךְ</w:t>
      </w:r>
      <w:r>
        <w:rPr>
          <w:rtl/>
        </w:rPr>
        <w:t xml:space="preserve"> </w:t>
      </w:r>
      <w:r>
        <w:t xml:space="preserve">(„und es geschehe, wenn er hört die Worte dieses Eidschwurs, dass er sich segnet in seinem Herzen, sprechend: Friede wird mir sein, obwohl ich in der Verstocktheit meines Herzens wandle"). Das Verb </w:t>
      </w:r>
      <w:r>
        <w:rPr>
          <w:rStyle w:val="Fett"/>
          <w:rFonts w:eastAsiaTheme="majorEastAsia"/>
          <w:rtl/>
        </w:rPr>
        <w:t>הִתְבָּרֵךְ</w:t>
      </w:r>
      <w:r>
        <w:rPr>
          <w:rtl/>
        </w:rPr>
        <w:t xml:space="preserve"> </w:t>
      </w:r>
      <w:r>
        <w:t xml:space="preserve">im Hitpael („sich segnen") – er segnet sich selbst, gratuliert sich. Die direkte Rede: </w:t>
      </w:r>
      <w:r>
        <w:rPr>
          <w:rStyle w:val="Fett"/>
          <w:rFonts w:eastAsiaTheme="majorEastAsia"/>
          <w:rtl/>
        </w:rPr>
        <w:t>שָׁלוֹם יִהְיֶה־לִּי כִּי בִּשְׁרִרוּת לִבִּי אֵלֵךְ</w:t>
      </w:r>
      <w:r>
        <w:rPr>
          <w:rtl/>
        </w:rPr>
        <w:t xml:space="preserve"> </w:t>
      </w:r>
      <w:r>
        <w:t xml:space="preserve">(„Friede/Heil wird mir sein, obwohl ich in der Verstocktheit meines Herzens wandle"). Falsches Sicherheitsgefühl – er denkt, die Flüche treffen ihn nicht, obwohl er eigenwillig und halsstarrig handelt. Der Begriff </w:t>
      </w:r>
      <w:r>
        <w:rPr>
          <w:rStyle w:val="Fett"/>
          <w:rFonts w:eastAsiaTheme="majorEastAsia"/>
          <w:rtl/>
        </w:rPr>
        <w:t>שְׁרִרוּת לֵב</w:t>
      </w:r>
      <w:r>
        <w:rPr>
          <w:rtl/>
        </w:rPr>
        <w:t xml:space="preserve"> </w:t>
      </w:r>
      <w:r>
        <w:t xml:space="preserve">(„Verstocktheit des Herzens, Halsstarrigkeit des Herzens") kommt oft in Jeremia vor (3,17; 7,24; 9,13; 11,8; 13,10; 16,12; 18,12; 23,17). Die schwierige Schlussformulierung: </w:t>
      </w:r>
      <w:r>
        <w:rPr>
          <w:rStyle w:val="Fett"/>
          <w:rFonts w:eastAsiaTheme="majorEastAsia"/>
          <w:rtl/>
        </w:rPr>
        <w:t>לְמַעַן סְפוֹת הָרָוָה אֶת־הַצְּמֵאָה</w:t>
      </w:r>
      <w:r>
        <w:rPr>
          <w:rtl/>
        </w:rPr>
        <w:t xml:space="preserve"> </w:t>
      </w:r>
      <w:r>
        <w:t xml:space="preserve">(„um wegzuraffen das Getränkte mit dem Durstigen"). Sehr umstritten. Mögliche Interpretationen: (1) Sprichwort: „das Bewässerte mit dem Trockenen vernichten" = der Sünder bringt sowohl Schuldige als auch Unschuldige ins Verderben (so LXX, Targum). </w:t>
      </w:r>
    </w:p>
    <w:p w14:paraId="7A44F676" w14:textId="77777777" w:rsidR="004F2264" w:rsidRDefault="008A57FB" w:rsidP="008A57FB">
      <w:pPr>
        <w:pStyle w:val="whitespace-normal"/>
      </w:pPr>
      <w:r>
        <w:t xml:space="preserve">(2) „Den Betrunkenen zusammen mit dem Durstigen vernichten" = der Götzendiener zusammen mit dem Treuen wird bestraft. </w:t>
      </w:r>
    </w:p>
    <w:p w14:paraId="16FBEAAC" w14:textId="1E1A83F4" w:rsidR="008A57FB" w:rsidRDefault="008A57FB" w:rsidP="008A57FB">
      <w:pPr>
        <w:pStyle w:val="whitespace-normal"/>
      </w:pPr>
      <w:r>
        <w:t>(3) „Den Rausch zum Durst hinzufügen" = immer mehr sündigen. Die erste Interpretation ist am wahrscheinlichsten – ein Sünder zieht andere mit ins Verderben.</w:t>
      </w:r>
    </w:p>
    <w:p w14:paraId="46902CB9" w14:textId="77777777" w:rsidR="004F2264" w:rsidRPr="004F2264" w:rsidRDefault="004F2264" w:rsidP="004F2264">
      <w:pPr>
        <w:spacing w:before="100" w:beforeAutospacing="1" w:after="100" w:afterAutospacing="1" w:line="240" w:lineRule="auto"/>
        <w:outlineLvl w:val="1"/>
        <w:rPr>
          <w:rFonts w:eastAsia="Times New Roman"/>
          <w:b/>
          <w:bCs/>
          <w:sz w:val="36"/>
          <w:szCs w:val="36"/>
          <w:lang w:eastAsia="de-DE"/>
        </w:rPr>
      </w:pPr>
      <w:r w:rsidRPr="004F2264">
        <w:rPr>
          <w:rFonts w:eastAsia="Times New Roman"/>
          <w:b/>
          <w:bCs/>
          <w:sz w:val="36"/>
          <w:szCs w:val="36"/>
          <w:lang w:eastAsia="de-DE"/>
        </w:rPr>
        <w:t>Vers 18 (MT) / Vers 19 (LXX)</w:t>
      </w:r>
    </w:p>
    <w:p w14:paraId="5A4A11BD" w14:textId="26651C55" w:rsidR="004F2264" w:rsidRPr="004F2264" w:rsidRDefault="004F2264" w:rsidP="004F2264">
      <w:pPr>
        <w:spacing w:before="100" w:beforeAutospacing="1" w:after="100" w:afterAutospacing="1" w:line="240" w:lineRule="auto"/>
        <w:rPr>
          <w:rFonts w:eastAsia="Times New Roman"/>
          <w:lang w:eastAsia="de-DE"/>
        </w:rPr>
      </w:pPr>
      <w:r w:rsidRPr="004F2264">
        <w:rPr>
          <w:rFonts w:eastAsia="Times New Roman"/>
          <w:b/>
          <w:bCs/>
          <w:lang w:eastAsia="de-DE"/>
        </w:rPr>
        <w:t>Die LXX</w:t>
      </w:r>
      <w:r w:rsidRPr="004F2264">
        <w:rPr>
          <w:rFonts w:eastAsia="Times New Roman"/>
          <w:lang w:eastAsia="de-DE"/>
        </w:rPr>
        <w:t xml:space="preserve"> übersetzt </w:t>
      </w:r>
      <w:r w:rsidRPr="004F2264">
        <w:rPr>
          <w:rFonts w:eastAsia="Times New Roman"/>
          <w:rtl/>
          <w:lang w:eastAsia="de-DE"/>
        </w:rPr>
        <w:t>בִּשְׁרִרוּת לִבִּי אֵלֵךְ</w:t>
      </w:r>
      <w:r w:rsidRPr="004F2264">
        <w:rPr>
          <w:rFonts w:eastAsia="Times New Roman"/>
          <w:lang w:eastAsia="de-DE"/>
        </w:rPr>
        <w:t xml:space="preserve"> (in der Verstocktheit meines Herzens werde ich gehen) mit </w:t>
      </w:r>
      <w:proofErr w:type="spellStart"/>
      <w:r w:rsidRPr="004F2264">
        <w:rPr>
          <w:rFonts w:eastAsia="Times New Roman"/>
          <w:lang w:eastAsia="de-DE"/>
        </w:rPr>
        <w:t>ἐν</w:t>
      </w:r>
      <w:proofErr w:type="spellEnd"/>
      <w:r w:rsidRPr="004F2264">
        <w:rPr>
          <w:rFonts w:eastAsia="Times New Roman"/>
          <w:lang w:eastAsia="de-DE"/>
        </w:rPr>
        <w:t xml:space="preserve"> </w:t>
      </w:r>
      <w:proofErr w:type="spellStart"/>
      <w:r w:rsidRPr="004F2264">
        <w:rPr>
          <w:rFonts w:eastAsia="Times New Roman"/>
          <w:lang w:eastAsia="de-DE"/>
        </w:rPr>
        <w:t>τῇ</w:t>
      </w:r>
      <w:proofErr w:type="spellEnd"/>
      <w:r w:rsidRPr="004F2264">
        <w:rPr>
          <w:rFonts w:eastAsia="Times New Roman"/>
          <w:lang w:eastAsia="de-DE"/>
        </w:rPr>
        <w:t xml:space="preserve"> ἀποπλα</w:t>
      </w:r>
      <w:proofErr w:type="spellStart"/>
      <w:r w:rsidRPr="004F2264">
        <w:rPr>
          <w:rFonts w:eastAsia="Times New Roman"/>
          <w:lang w:eastAsia="de-DE"/>
        </w:rPr>
        <w:t>νήσει</w:t>
      </w:r>
      <w:proofErr w:type="spellEnd"/>
      <w:r w:rsidRPr="004F2264">
        <w:rPr>
          <w:rFonts w:eastAsia="Times New Roman"/>
          <w:lang w:eastAsia="de-DE"/>
        </w:rPr>
        <w:t xml:space="preserve"> </w:t>
      </w:r>
      <w:proofErr w:type="spellStart"/>
      <w:r w:rsidRPr="004F2264">
        <w:rPr>
          <w:rFonts w:eastAsia="Times New Roman"/>
          <w:lang w:eastAsia="de-DE"/>
        </w:rPr>
        <w:t>τῆς</w:t>
      </w:r>
      <w:proofErr w:type="spellEnd"/>
      <w:r w:rsidRPr="004F2264">
        <w:rPr>
          <w:rFonts w:eastAsia="Times New Roman"/>
          <w:lang w:eastAsia="de-DE"/>
        </w:rPr>
        <w:t xml:space="preserve"> κα</w:t>
      </w:r>
      <w:proofErr w:type="spellStart"/>
      <w:r w:rsidRPr="004F2264">
        <w:rPr>
          <w:rFonts w:eastAsia="Times New Roman"/>
          <w:lang w:eastAsia="de-DE"/>
        </w:rPr>
        <w:t>ρδί</w:t>
      </w:r>
      <w:proofErr w:type="spellEnd"/>
      <w:r w:rsidRPr="004F2264">
        <w:rPr>
          <w:rFonts w:eastAsia="Times New Roman"/>
          <w:lang w:eastAsia="de-DE"/>
        </w:rPr>
        <w:t xml:space="preserve">ας </w:t>
      </w:r>
      <w:proofErr w:type="spellStart"/>
      <w:r w:rsidRPr="004F2264">
        <w:rPr>
          <w:rFonts w:eastAsia="Times New Roman"/>
          <w:lang w:eastAsia="de-DE"/>
        </w:rPr>
        <w:t>μου</w:t>
      </w:r>
      <w:proofErr w:type="spellEnd"/>
      <w:r w:rsidRPr="004F2264">
        <w:rPr>
          <w:rFonts w:eastAsia="Times New Roman"/>
          <w:lang w:eastAsia="de-DE"/>
        </w:rPr>
        <w:t xml:space="preserve"> π</w:t>
      </w:r>
      <w:proofErr w:type="spellStart"/>
      <w:r w:rsidRPr="004F2264">
        <w:rPr>
          <w:rFonts w:eastAsia="Times New Roman"/>
          <w:lang w:eastAsia="de-DE"/>
        </w:rPr>
        <w:t>ορεύσομ</w:t>
      </w:r>
      <w:proofErr w:type="spellEnd"/>
      <w:r w:rsidRPr="004F2264">
        <w:rPr>
          <w:rFonts w:eastAsia="Times New Roman"/>
          <w:lang w:eastAsia="de-DE"/>
        </w:rPr>
        <w:t xml:space="preserve">αι (in der Verirrung meines Herzens werde ich gehen). Die schwierige Wendung </w:t>
      </w:r>
      <w:r w:rsidRPr="004F2264">
        <w:rPr>
          <w:rFonts w:eastAsia="Times New Roman"/>
          <w:rtl/>
          <w:lang w:eastAsia="de-DE"/>
        </w:rPr>
        <w:t>לְמַעַן סְפוֹת הָרָוָה אֶת־הַצְּמֵאָה</w:t>
      </w:r>
      <w:r w:rsidRPr="004F2264">
        <w:rPr>
          <w:rFonts w:eastAsia="Times New Roman"/>
          <w:lang w:eastAsia="de-DE"/>
        </w:rPr>
        <w:t xml:space="preserve"> (um die Bewässerte mit der </w:t>
      </w:r>
      <w:r w:rsidRPr="004F2264">
        <w:rPr>
          <w:rFonts w:eastAsia="Times New Roman"/>
          <w:lang w:eastAsia="de-DE"/>
        </w:rPr>
        <w:lastRenderedPageBreak/>
        <w:t xml:space="preserve">Durstigen wegzuraffen) wird mit </w:t>
      </w:r>
      <w:proofErr w:type="spellStart"/>
      <w:r w:rsidRPr="004F2264">
        <w:rPr>
          <w:rFonts w:eastAsia="Times New Roman"/>
          <w:lang w:eastAsia="de-DE"/>
        </w:rPr>
        <w:t>ἵν</w:t>
      </w:r>
      <w:proofErr w:type="spellEnd"/>
      <w:r w:rsidRPr="004F2264">
        <w:rPr>
          <w:rFonts w:eastAsia="Times New Roman"/>
          <w:lang w:eastAsia="de-DE"/>
        </w:rPr>
        <w:t xml:space="preserve">α </w:t>
      </w:r>
      <w:proofErr w:type="spellStart"/>
      <w:r w:rsidRPr="004F2264">
        <w:rPr>
          <w:rFonts w:eastAsia="Times New Roman"/>
          <w:lang w:eastAsia="de-DE"/>
        </w:rPr>
        <w:t>μὴ</w:t>
      </w:r>
      <w:proofErr w:type="spellEnd"/>
      <w:r w:rsidRPr="004F2264">
        <w:rPr>
          <w:rFonts w:eastAsia="Times New Roman"/>
          <w:lang w:eastAsia="de-DE"/>
        </w:rPr>
        <w:t xml:space="preserve"> </w:t>
      </w:r>
      <w:proofErr w:type="spellStart"/>
      <w:r w:rsidRPr="004F2264">
        <w:rPr>
          <w:rFonts w:eastAsia="Times New Roman"/>
          <w:lang w:eastAsia="de-DE"/>
        </w:rPr>
        <w:t>συν</w:t>
      </w:r>
      <w:proofErr w:type="spellEnd"/>
      <w:r w:rsidRPr="004F2264">
        <w:rPr>
          <w:rFonts w:eastAsia="Times New Roman"/>
          <w:lang w:eastAsia="de-DE"/>
        </w:rPr>
        <w:t xml:space="preserve">απολέσῃ ὁ </w:t>
      </w:r>
      <w:proofErr w:type="spellStart"/>
      <w:r w:rsidRPr="004F2264">
        <w:rPr>
          <w:rFonts w:eastAsia="Times New Roman"/>
          <w:lang w:eastAsia="de-DE"/>
        </w:rPr>
        <w:t>ἁμ</w:t>
      </w:r>
      <w:proofErr w:type="spellEnd"/>
      <w:r w:rsidRPr="004F2264">
        <w:rPr>
          <w:rFonts w:eastAsia="Times New Roman"/>
          <w:lang w:eastAsia="de-DE"/>
        </w:rPr>
        <w:t xml:space="preserve">αρτωλὸς </w:t>
      </w:r>
      <w:proofErr w:type="spellStart"/>
      <w:r w:rsidRPr="004F2264">
        <w:rPr>
          <w:rFonts w:eastAsia="Times New Roman"/>
          <w:lang w:eastAsia="de-DE"/>
        </w:rPr>
        <w:t>τὸν</w:t>
      </w:r>
      <w:proofErr w:type="spellEnd"/>
      <w:r w:rsidRPr="004F2264">
        <w:rPr>
          <w:rFonts w:eastAsia="Times New Roman"/>
          <w:lang w:eastAsia="de-DE"/>
        </w:rPr>
        <w:t xml:space="preserve"> </w:t>
      </w:r>
      <w:proofErr w:type="spellStart"/>
      <w:r w:rsidRPr="004F2264">
        <w:rPr>
          <w:rFonts w:eastAsia="Times New Roman"/>
          <w:lang w:eastAsia="de-DE"/>
        </w:rPr>
        <w:t>ἀν</w:t>
      </w:r>
      <w:proofErr w:type="spellEnd"/>
      <w:r w:rsidRPr="004F2264">
        <w:rPr>
          <w:rFonts w:eastAsia="Times New Roman"/>
          <w:lang w:eastAsia="de-DE"/>
        </w:rPr>
        <w:t>αμάρτητον (damit nicht der Sünder den Sündlosen mit vernichte) übersetzt – eine völlig andere Interpretation, die aus einer dunklen hebräischen Redewendung eine ethische Aussage macht.</w:t>
      </w:r>
    </w:p>
    <w:p w14:paraId="59667F08" w14:textId="77777777" w:rsidR="008A57FB" w:rsidRDefault="008A57FB" w:rsidP="008A57FB">
      <w:pPr>
        <w:pStyle w:val="whitespace-normal"/>
      </w:pPr>
      <w:r>
        <w:rPr>
          <w:rStyle w:val="Fett"/>
          <w:rFonts w:eastAsiaTheme="majorEastAsia"/>
        </w:rPr>
        <w:t>Die Satzstruktur:</w:t>
      </w:r>
      <w:r>
        <w:t xml:space="preserve"> Komplexe Warnung (und es geschehe, wenn er hört die Worte dieses Eidschwurs, dass er sich segnet in seinem Herzen, sprechend: Friede wird mir sein, obwohl ich in der Verstocktheit meines Herzens wandle – um wegzuraffen das Getränkte mit dem Durstigen).</w:t>
      </w:r>
    </w:p>
    <w:p w14:paraId="4C2438BC" w14:textId="77777777" w:rsidR="008A57FB" w:rsidRDefault="008A57FB" w:rsidP="008A57FB">
      <w:pPr>
        <w:pStyle w:val="whitespace-normal"/>
      </w:pPr>
      <w:r>
        <w:rPr>
          <w:rStyle w:val="Fett"/>
          <w:rFonts w:eastAsiaTheme="majorEastAsia"/>
        </w:rPr>
        <w:t>Der Vers beschreibt:</w:t>
      </w:r>
      <w:r>
        <w:t xml:space="preserve"> Selbstgefälligkeit des Abtrünnigen – er denkt, die Flüche treffen ihn nicht, bringt aber andere mit ins Verderben.</w:t>
      </w:r>
    </w:p>
    <w:p w14:paraId="33D7836C" w14:textId="77777777" w:rsidR="008A57FB" w:rsidRPr="008D48A3" w:rsidRDefault="008A57FB" w:rsidP="008D48A3">
      <w:pPr>
        <w:pStyle w:val="Bibelberschrift"/>
      </w:pPr>
      <w:r w:rsidRPr="008D48A3">
        <w:rPr>
          <w:rStyle w:val="Fett"/>
          <w:b/>
          <w:bCs w:val="0"/>
        </w:rPr>
        <w:t>Deuteronomium 29,19 (29,20 MT)</w:t>
      </w:r>
    </w:p>
    <w:p w14:paraId="6DD995A8" w14:textId="77777777" w:rsidR="008A57FB" w:rsidRDefault="008A57FB" w:rsidP="008A57FB">
      <w:pPr>
        <w:pStyle w:val="whitespace-normal"/>
      </w:pPr>
      <w:r>
        <w:rPr>
          <w:rStyle w:val="Fett"/>
          <w:rFonts w:eastAsiaTheme="majorEastAsia"/>
        </w:rPr>
        <w:t>Hebräisch:</w:t>
      </w:r>
      <w:r>
        <w:t xml:space="preserve"> </w:t>
      </w:r>
      <w:r>
        <w:rPr>
          <w:rtl/>
        </w:rPr>
        <w:t>לֹא־יֹאבֶה יְהוָה סְלֹחַ לוֹ כִּי אָז יֶעְשַׁן אַף־יְהוָה וְקִנְאָתוֹ בָּאִישׁ הַהוּא וְרָבְצָה בּוֹ כָּל־הָאָלָה הַכְּתוּבָה בַּסֵּפֶר הַזֶּה וּמָחָה יְהוָה אֶת־שְׁמוֹ מִתַּחַת הַשָּׁמָיִם׃</w:t>
      </w:r>
    </w:p>
    <w:p w14:paraId="4F4F3C8D" w14:textId="77777777" w:rsidR="008A57FB" w:rsidRDefault="008A57FB" w:rsidP="008A57FB">
      <w:pPr>
        <w:pStyle w:val="whitespace-normal"/>
      </w:pPr>
      <w:r>
        <w:rPr>
          <w:rStyle w:val="Fett"/>
          <w:rFonts w:eastAsiaTheme="majorEastAsia"/>
        </w:rPr>
        <w:t>Deutsch:</w:t>
      </w:r>
      <w:r>
        <w:t xml:space="preserve"> Nicht wird JHWH bereit sein, ihm zu vergeben, sondern alsdann wird rauchen der Zorn JHWHs und sein Eifer gegen jenen Mann, und lagern wird sich auf ihn aller Fluch, der geschrieben ist in diesem Buch; und auslöschen wird JHWH seinen Namen unter dem Himmel.</w:t>
      </w:r>
    </w:p>
    <w:p w14:paraId="2DD2C411" w14:textId="77777777" w:rsidR="008A57FB" w:rsidRDefault="004F5CEB" w:rsidP="008A57FB">
      <w:r>
        <w:rPr>
          <w:noProof/>
        </w:rPr>
        <w:pict w14:anchorId="6B504E50">
          <v:rect id="_x0000_i1832" style="width:0;height:1.5pt" o:hralign="center" o:hrstd="t" o:hr="t" fillcolor="#a0a0a0" stroked="f"/>
        </w:pict>
      </w:r>
    </w:p>
    <w:p w14:paraId="09B887A9"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לֹא־יֹאבֶה יְהוָה סְלֹחַ לוֹ כִּי אָז יֶעְשַׁן אַף־יְהוָה וְקִנְאָתוֹ בָּאִישׁ הַהוּא וְרָבְצָה בּוֹ כָּל־הָאָלָה הַכְּתוּבָה בַּסֵּפֶר הַזֶּה וּמָחָה יְהוָה אֶת־שְׁמוֹ מִתַּחַת הַשָּׁמָיִם</w:t>
      </w:r>
      <w:r>
        <w:rPr>
          <w:rtl/>
        </w:rPr>
        <w:t xml:space="preserve"> </w:t>
      </w:r>
      <w:r>
        <w:t xml:space="preserve">sind vier Aussagen: </w:t>
      </w:r>
      <w:r>
        <w:rPr>
          <w:rStyle w:val="Fett"/>
          <w:rFonts w:eastAsiaTheme="majorEastAsia"/>
          <w:rtl/>
        </w:rPr>
        <w:t>לֹא־יֹאבֶה יְהוָה סְלֹחַ לוֹ</w:t>
      </w:r>
      <w:r>
        <w:rPr>
          <w:rtl/>
        </w:rPr>
        <w:t xml:space="preserve"> </w:t>
      </w:r>
      <w:r>
        <w:t xml:space="preserve">(Negation, </w:t>
      </w:r>
      <w:r>
        <w:rPr>
          <w:rStyle w:val="Fett"/>
          <w:rFonts w:eastAsiaTheme="majorEastAsia"/>
          <w:rtl/>
        </w:rPr>
        <w:t>אבה</w:t>
      </w:r>
      <w:r>
        <w:t xml:space="preserve">, Qal Imperfekt, 3. Person Maskulinum Singular, „bereit sein, willig sein", </w:t>
      </w:r>
      <w:r>
        <w:rPr>
          <w:rStyle w:val="Fett"/>
          <w:rFonts w:eastAsiaTheme="majorEastAsia"/>
          <w:rtl/>
        </w:rPr>
        <w:t>יְהוָה</w:t>
      </w:r>
      <w:r>
        <w:rPr>
          <w:rtl/>
        </w:rPr>
        <w:t xml:space="preserve"> </w:t>
      </w:r>
      <w:r>
        <w:t xml:space="preserve">als Subjekt, Qal Infinitiv Construct von </w:t>
      </w:r>
      <w:r>
        <w:rPr>
          <w:rStyle w:val="Fett"/>
          <w:rFonts w:eastAsiaTheme="majorEastAsia"/>
          <w:rtl/>
        </w:rPr>
        <w:t>סלח</w:t>
      </w:r>
      <w:r>
        <w:t xml:space="preserve">, „vergeben", </w:t>
      </w:r>
      <w:r>
        <w:rPr>
          <w:rStyle w:val="Fett"/>
          <w:rFonts w:eastAsiaTheme="majorEastAsia"/>
          <w:rtl/>
        </w:rPr>
        <w:t>לוֹ</w:t>
      </w:r>
      <w:r>
        <w:t xml:space="preserve">), </w:t>
      </w:r>
      <w:r>
        <w:rPr>
          <w:rStyle w:val="Fett"/>
          <w:rFonts w:eastAsiaTheme="majorEastAsia"/>
          <w:rtl/>
        </w:rPr>
        <w:t>כִּי אָז יֶעְשַׁן אַף־יְהוָה וְקִנְאָתוֹ בָּאִישׁ הַהוּא</w:t>
      </w:r>
      <w:r>
        <w:rPr>
          <w:rtl/>
        </w:rPr>
        <w:t xml:space="preserve"> </w:t>
      </w:r>
      <w:r>
        <w:t xml:space="preserve">(Kausalsatz: </w:t>
      </w:r>
      <w:r>
        <w:rPr>
          <w:rStyle w:val="Fett"/>
          <w:rFonts w:eastAsiaTheme="majorEastAsia"/>
          <w:rtl/>
        </w:rPr>
        <w:t>כִּי אָז</w:t>
      </w:r>
      <w:r>
        <w:t xml:space="preserve">, „denn dann", </w:t>
      </w:r>
      <w:r>
        <w:rPr>
          <w:rStyle w:val="Fett"/>
          <w:rFonts w:eastAsiaTheme="majorEastAsia"/>
          <w:rtl/>
        </w:rPr>
        <w:t>עשׁן</w:t>
      </w:r>
      <w:r>
        <w:t xml:space="preserve">, Qal Imperfekt, 3. Person Maskulinum Singular, „rauchen", </w:t>
      </w:r>
      <w:r>
        <w:rPr>
          <w:rStyle w:val="Fett"/>
          <w:rFonts w:eastAsiaTheme="majorEastAsia"/>
          <w:rtl/>
        </w:rPr>
        <w:t>אַף־יְהוָה</w:t>
      </w:r>
      <w:r>
        <w:rPr>
          <w:rtl/>
        </w:rPr>
        <w:t xml:space="preserve"> </w:t>
      </w:r>
      <w:r>
        <w:t xml:space="preserve">als Subjekt, koordiniert durch </w:t>
      </w:r>
      <w:r>
        <w:rPr>
          <w:rStyle w:val="Fett"/>
          <w:rFonts w:eastAsiaTheme="majorEastAsia"/>
          <w:rtl/>
        </w:rPr>
        <w:t>וְ</w:t>
      </w:r>
      <w:r>
        <w:rPr>
          <w:rtl/>
        </w:rPr>
        <w:t xml:space="preserve"> </w:t>
      </w:r>
      <w:r>
        <w:t xml:space="preserve">mit </w:t>
      </w:r>
      <w:r>
        <w:rPr>
          <w:rStyle w:val="Fett"/>
          <w:rFonts w:eastAsiaTheme="majorEastAsia"/>
          <w:rtl/>
        </w:rPr>
        <w:t>קִנְאָה</w:t>
      </w:r>
      <w:r>
        <w:t xml:space="preserve">, „Eifer, Eifersucht", mit Suffix 3. Person Maskulinum Singular, Präposition </w:t>
      </w:r>
      <w:r>
        <w:rPr>
          <w:rStyle w:val="Fett"/>
          <w:rFonts w:eastAsiaTheme="majorEastAsia"/>
          <w:rtl/>
        </w:rPr>
        <w:t>בְּ</w:t>
      </w:r>
      <w:r>
        <w:rPr>
          <w:rtl/>
        </w:rPr>
        <w:t xml:space="preserve"> </w:t>
      </w:r>
      <w:r>
        <w:t xml:space="preserve">mit </w:t>
      </w:r>
      <w:r>
        <w:rPr>
          <w:rStyle w:val="Fett"/>
          <w:rFonts w:eastAsiaTheme="majorEastAsia"/>
          <w:rtl/>
        </w:rPr>
        <w:t>אִישׁ</w:t>
      </w:r>
      <w:r>
        <w:rPr>
          <w:rtl/>
        </w:rPr>
        <w:t xml:space="preserve"> </w:t>
      </w:r>
      <w:r>
        <w:t xml:space="preserve">mit Artikel, </w:t>
      </w:r>
      <w:r>
        <w:rPr>
          <w:rStyle w:val="Fett"/>
          <w:rFonts w:eastAsiaTheme="majorEastAsia"/>
          <w:rtl/>
        </w:rPr>
        <w:t>הוּא</w:t>
      </w:r>
      <w:r>
        <w:t xml:space="preserve">), </w:t>
      </w:r>
      <w:r>
        <w:rPr>
          <w:rStyle w:val="Fett"/>
          <w:rFonts w:eastAsiaTheme="majorEastAsia"/>
          <w:rtl/>
        </w:rPr>
        <w:t>וְרָבְצָה בּוֹ כָּל־הָאָלָה הַכְּתוּבָה בַּסֵּפֶר הַזֶּה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רבץ</w:t>
      </w:r>
      <w:r>
        <w:t xml:space="preserve">, Qal Perfekt, 3. Person Femininum Singular, „sich lagern, ruhen, liegen", Präposition </w:t>
      </w:r>
      <w:r>
        <w:rPr>
          <w:rStyle w:val="Fett"/>
          <w:rFonts w:eastAsiaTheme="majorEastAsia"/>
          <w:rtl/>
        </w:rPr>
        <w:t>בְּ</w:t>
      </w:r>
      <w:r>
        <w:rPr>
          <w:rtl/>
        </w:rPr>
        <w:t xml:space="preserve"> </w:t>
      </w:r>
      <w:r>
        <w:t xml:space="preserve">mit Suffix 3. Person Maskulinum Singular, </w:t>
      </w:r>
      <w:r>
        <w:rPr>
          <w:rStyle w:val="Fett"/>
          <w:rFonts w:eastAsiaTheme="majorEastAsia"/>
          <w:rtl/>
        </w:rPr>
        <w:t>כָּל־אָלָה</w:t>
      </w:r>
      <w:r>
        <w:rPr>
          <w:rtl/>
        </w:rPr>
        <w:t xml:space="preserve"> </w:t>
      </w:r>
      <w:r>
        <w:t xml:space="preserve">mit Artikel als Subjekt, Partizipialsatz: </w:t>
      </w:r>
      <w:r>
        <w:rPr>
          <w:rStyle w:val="Fett"/>
          <w:rFonts w:eastAsiaTheme="majorEastAsia"/>
          <w:rtl/>
        </w:rPr>
        <w:t>הַכְּתוּבָה בַּסֵּפֶר הַזֶּה</w:t>
      </w:r>
      <w:r>
        <w:rPr>
          <w:rtl/>
        </w:rPr>
        <w:t xml:space="preserve"> </w:t>
      </w:r>
      <w:r>
        <w:t xml:space="preserve">mit </w:t>
      </w:r>
      <w:r>
        <w:rPr>
          <w:rStyle w:val="Fett"/>
          <w:rFonts w:eastAsiaTheme="majorEastAsia"/>
          <w:rtl/>
        </w:rPr>
        <w:t>כתב</w:t>
      </w:r>
      <w:r>
        <w:t xml:space="preserve">, Qal Passiv Partizip Femininum Singular, mit </w:t>
      </w:r>
      <w:r>
        <w:rPr>
          <w:rStyle w:val="Fett"/>
          <w:rFonts w:eastAsiaTheme="majorEastAsia"/>
        </w:rPr>
        <w:t>Waw</w:t>
      </w:r>
      <w:r>
        <w:t xml:space="preserve"> consecutivum), </w:t>
      </w:r>
      <w:r>
        <w:rPr>
          <w:rStyle w:val="Fett"/>
          <w:rFonts w:eastAsiaTheme="majorEastAsia"/>
          <w:rtl/>
        </w:rPr>
        <w:t>וּמָחָה יְהוָה אֶת־שְׁמוֹ מִתַּחַת הַשָּׁמָיִם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מחה</w:t>
      </w:r>
      <w:r>
        <w:t xml:space="preserve">, Qal Perfekt, 3. Person Maskulinum Singular, „auslöschen, austilgen", </w:t>
      </w:r>
      <w:r>
        <w:rPr>
          <w:rStyle w:val="Fett"/>
          <w:rFonts w:eastAsiaTheme="majorEastAsia"/>
          <w:rtl/>
        </w:rPr>
        <w:t>יְהוָה</w:t>
      </w:r>
      <w:r>
        <w:rPr>
          <w:rtl/>
        </w:rPr>
        <w:t xml:space="preserve"> </w:t>
      </w:r>
      <w:r>
        <w:t xml:space="preserve">als Subjekt, Objektpartikel </w:t>
      </w:r>
      <w:r>
        <w:rPr>
          <w:rStyle w:val="Fett"/>
          <w:rFonts w:eastAsiaTheme="majorEastAsia"/>
          <w:rtl/>
        </w:rPr>
        <w:t>אֵת</w:t>
      </w:r>
      <w:r>
        <w:rPr>
          <w:rtl/>
        </w:rPr>
        <w:t xml:space="preserve"> </w:t>
      </w:r>
      <w:r>
        <w:t xml:space="preserve">mit </w:t>
      </w:r>
      <w:r>
        <w:rPr>
          <w:rStyle w:val="Fett"/>
          <w:rFonts w:eastAsiaTheme="majorEastAsia"/>
          <w:rtl/>
        </w:rPr>
        <w:t>שֵׁם</w:t>
      </w:r>
      <w:r>
        <w:t xml:space="preserve">, „Name", mit Suffix 3. Person Maskulinum Singular, </w:t>
      </w:r>
      <w:r>
        <w:rPr>
          <w:rStyle w:val="Fett"/>
          <w:rFonts w:eastAsiaTheme="majorEastAsia"/>
          <w:rtl/>
        </w:rPr>
        <w:t>מִתַּחַת הַשָּׁמָיִם</w:t>
      </w:r>
      <w:r>
        <w:t xml:space="preserve">, mit </w:t>
      </w:r>
      <w:r>
        <w:rPr>
          <w:rStyle w:val="Fett"/>
          <w:rFonts w:eastAsiaTheme="majorEastAsia"/>
        </w:rPr>
        <w:t>Waw</w:t>
      </w:r>
      <w:r>
        <w:t xml:space="preserve"> consecutivum).</w:t>
      </w:r>
    </w:p>
    <w:p w14:paraId="07391CD0" w14:textId="1718BFD9" w:rsidR="008A57FB" w:rsidRDefault="008A57FB" w:rsidP="008A57FB">
      <w:pPr>
        <w:pStyle w:val="whitespace-normal"/>
      </w:pPr>
      <w:r>
        <w:t xml:space="preserve">Der Vers beschreibt JHWHs Reaktion auf den selbstgefälligen Abtrünnigen aus V. 18. Die erste Aussage: </w:t>
      </w:r>
      <w:r>
        <w:rPr>
          <w:rStyle w:val="Fett"/>
          <w:rFonts w:eastAsiaTheme="majorEastAsia"/>
          <w:rtl/>
        </w:rPr>
        <w:t>לֹא־יֹאבֶה יְהוָה סְלֹחַ לוֹ</w:t>
      </w:r>
      <w:r>
        <w:rPr>
          <w:rtl/>
        </w:rPr>
        <w:t xml:space="preserve"> </w:t>
      </w:r>
      <w:r>
        <w:t xml:space="preserve">(„nicht wird JHWH bereit sein, ihm zu vergeben"). Das Verb </w:t>
      </w:r>
      <w:r>
        <w:rPr>
          <w:rStyle w:val="Fett"/>
          <w:rFonts w:eastAsiaTheme="majorEastAsia"/>
          <w:rtl/>
        </w:rPr>
        <w:t>אבה</w:t>
      </w:r>
      <w:r>
        <w:rPr>
          <w:rtl/>
        </w:rPr>
        <w:t xml:space="preserve"> </w:t>
      </w:r>
      <w:r>
        <w:t xml:space="preserve">(„bereit sein, willig sein") betont: JHWH wird nicht einmal gewillt sein zu vergeben – kategorische Ablehnung (vgl. 1,26; 2,30; 23,6; 25,7). Die zweite Aussage: </w:t>
      </w:r>
      <w:r>
        <w:rPr>
          <w:rStyle w:val="Fett"/>
          <w:rFonts w:eastAsiaTheme="majorEastAsia"/>
          <w:rtl/>
        </w:rPr>
        <w:t>כִּי אָז יֶעְשַׁן אַף־יְהוָה וְקִנְאָתוֹ בָּאִישׁ הַהוּא</w:t>
      </w:r>
      <w:r>
        <w:rPr>
          <w:rtl/>
        </w:rPr>
        <w:t xml:space="preserve"> </w:t>
      </w:r>
      <w:r>
        <w:t xml:space="preserve">(„denn dann wird rauchen der Zorn JHWHs und sein Eifer gegen jenen Mann"). Das Verb </w:t>
      </w:r>
      <w:r>
        <w:rPr>
          <w:rStyle w:val="Fett"/>
          <w:rFonts w:eastAsiaTheme="majorEastAsia"/>
          <w:rtl/>
        </w:rPr>
        <w:t>עשׁן</w:t>
      </w:r>
      <w:r>
        <w:rPr>
          <w:rtl/>
        </w:rPr>
        <w:t xml:space="preserve"> </w:t>
      </w:r>
      <w:r>
        <w:t xml:space="preserve">(„rauchen") – der Zorn JHWHs wird wie Rauch aufsteigen (vgl. Ps 74,1; 80,5). Die beiden Begriffe </w:t>
      </w:r>
      <w:r>
        <w:rPr>
          <w:rStyle w:val="Fett"/>
          <w:rFonts w:eastAsiaTheme="majorEastAsia"/>
          <w:rtl/>
        </w:rPr>
        <w:t>אַף</w:t>
      </w:r>
      <w:r>
        <w:rPr>
          <w:rtl/>
        </w:rPr>
        <w:t xml:space="preserve"> </w:t>
      </w:r>
      <w:r>
        <w:t xml:space="preserve">(„Zorn") und </w:t>
      </w:r>
      <w:r>
        <w:rPr>
          <w:rStyle w:val="Fett"/>
          <w:rFonts w:eastAsiaTheme="majorEastAsia"/>
          <w:rtl/>
        </w:rPr>
        <w:t>קִנְאָה</w:t>
      </w:r>
      <w:r>
        <w:rPr>
          <w:rtl/>
        </w:rPr>
        <w:t xml:space="preserve"> </w:t>
      </w:r>
      <w:r>
        <w:t xml:space="preserve">(„Eifer, Eifersucht") stehen oft zusammen (vgl. Ps 79,5; </w:t>
      </w:r>
      <w:r w:rsidR="00BF3748">
        <w:t>Hes</w:t>
      </w:r>
      <w:r>
        <w:t xml:space="preserve"> 36,5-6; Zeph 1,18; 3,8). Die dritte Aussage: </w:t>
      </w:r>
      <w:r>
        <w:rPr>
          <w:rStyle w:val="Fett"/>
          <w:rFonts w:eastAsiaTheme="majorEastAsia"/>
          <w:rtl/>
        </w:rPr>
        <w:t xml:space="preserve">וְרָבְצָה בּוֹ כָּל־הָאָלָה </w:t>
      </w:r>
      <w:r>
        <w:rPr>
          <w:rStyle w:val="Fett"/>
          <w:rFonts w:eastAsiaTheme="majorEastAsia"/>
          <w:rtl/>
        </w:rPr>
        <w:lastRenderedPageBreak/>
        <w:t>הַכְּתוּבָה בַּסֵּפֶר הַזֶּה</w:t>
      </w:r>
      <w:r>
        <w:rPr>
          <w:rtl/>
        </w:rPr>
        <w:t xml:space="preserve"> </w:t>
      </w:r>
      <w:r>
        <w:t xml:space="preserve">(„und lagern wird sich auf ihn aller Fluch, der geschrieben ist in diesem Buch"). Das Verb </w:t>
      </w:r>
      <w:r>
        <w:rPr>
          <w:rStyle w:val="Fett"/>
          <w:rFonts w:eastAsiaTheme="majorEastAsia"/>
          <w:rtl/>
        </w:rPr>
        <w:t>רבץ</w:t>
      </w:r>
      <w:r>
        <w:rPr>
          <w:rtl/>
        </w:rPr>
        <w:t xml:space="preserve"> </w:t>
      </w:r>
      <w:r>
        <w:t xml:space="preserve">(„sich lagern") wird sonst für Tiere verwendet, die sich hinlegen – hier: die Flüche lagern sich wie ein Raubtier auf dem Sünder (vgl. Gen 4,7). Die Formulierung </w:t>
      </w:r>
      <w:r>
        <w:rPr>
          <w:rStyle w:val="Fett"/>
          <w:rFonts w:eastAsiaTheme="majorEastAsia"/>
          <w:rtl/>
        </w:rPr>
        <w:t>כָּל־הָאָלָה הַכְּתוּבָה בַּסֵּפֶר הַזֶּה</w:t>
      </w:r>
      <w:r>
        <w:rPr>
          <w:rtl/>
        </w:rPr>
        <w:t xml:space="preserve"> </w:t>
      </w:r>
      <w:r>
        <w:t xml:space="preserve">(„aller Fluch, der geschrieben ist in diesem Buch") bezieht sich auf die Flüche in Kapitel 28. Die vierte Aussage: </w:t>
      </w:r>
      <w:r>
        <w:rPr>
          <w:rStyle w:val="Fett"/>
          <w:rFonts w:eastAsiaTheme="majorEastAsia"/>
          <w:rtl/>
        </w:rPr>
        <w:t>וּמָחָה יְהוָה אֶת־שְׁמוֹ מִתַּחַת הַשָּׁמָיִם</w:t>
      </w:r>
      <w:r>
        <w:rPr>
          <w:rtl/>
        </w:rPr>
        <w:t xml:space="preserve"> </w:t>
      </w:r>
      <w:r>
        <w:t xml:space="preserve">(„und auslöschen wird JHWH seinen Namen unter dem Himmel"). Das Verb </w:t>
      </w:r>
      <w:r>
        <w:rPr>
          <w:rStyle w:val="Fett"/>
          <w:rFonts w:eastAsiaTheme="majorEastAsia"/>
          <w:rtl/>
        </w:rPr>
        <w:t>מחה</w:t>
      </w:r>
      <w:r>
        <w:rPr>
          <w:rtl/>
        </w:rPr>
        <w:t xml:space="preserve"> </w:t>
      </w:r>
      <w:r>
        <w:t xml:space="preserve">(„auslöschen, austilgen") – totale Vernichtung der Person und ihres Andenkens (vgl. 9,14; 25,19; Ex 17,14; 32,32-33; </w:t>
      </w:r>
      <w:r w:rsidR="00664EB6">
        <w:t>2Kön</w:t>
      </w:r>
      <w:r>
        <w:t xml:space="preserve"> 14,27). Die Formulierung </w:t>
      </w:r>
      <w:r>
        <w:rPr>
          <w:rStyle w:val="Fett"/>
          <w:rFonts w:eastAsiaTheme="majorEastAsia"/>
          <w:rtl/>
        </w:rPr>
        <w:t>מִתַּחַת הַשָּׁמָיִם</w:t>
      </w:r>
      <w:r>
        <w:rPr>
          <w:rtl/>
        </w:rPr>
        <w:t xml:space="preserve"> </w:t>
      </w:r>
      <w:r>
        <w:t>(„unter dem Himmel") = auf der ganzen Erde – vollständige Auslöschung.</w:t>
      </w:r>
    </w:p>
    <w:p w14:paraId="2EDFDE96" w14:textId="77777777" w:rsidR="004F2264" w:rsidRPr="004F2264" w:rsidRDefault="004F2264" w:rsidP="004F2264">
      <w:pPr>
        <w:spacing w:before="100" w:beforeAutospacing="1" w:after="100" w:afterAutospacing="1" w:line="240" w:lineRule="auto"/>
        <w:outlineLvl w:val="1"/>
        <w:rPr>
          <w:rFonts w:eastAsia="Times New Roman"/>
          <w:b/>
          <w:bCs/>
          <w:sz w:val="36"/>
          <w:szCs w:val="36"/>
          <w:lang w:eastAsia="de-DE"/>
        </w:rPr>
      </w:pPr>
      <w:r w:rsidRPr="004F2264">
        <w:rPr>
          <w:rFonts w:eastAsia="Times New Roman"/>
          <w:b/>
          <w:bCs/>
          <w:sz w:val="36"/>
          <w:szCs w:val="36"/>
          <w:lang w:eastAsia="de-DE"/>
        </w:rPr>
        <w:t>Vers 19 (MT) / Vers 20 (LXX)</w:t>
      </w:r>
    </w:p>
    <w:p w14:paraId="7770B798" w14:textId="7CAA45C6" w:rsidR="004F2264" w:rsidRPr="004F2264" w:rsidRDefault="004F2264" w:rsidP="004F2264">
      <w:pPr>
        <w:spacing w:before="100" w:beforeAutospacing="1" w:after="100" w:afterAutospacing="1" w:line="240" w:lineRule="auto"/>
        <w:rPr>
          <w:rFonts w:eastAsia="Times New Roman"/>
          <w:lang w:eastAsia="de-DE"/>
        </w:rPr>
      </w:pPr>
      <w:r w:rsidRPr="004F2264">
        <w:rPr>
          <w:rFonts w:eastAsia="Times New Roman"/>
          <w:b/>
          <w:bCs/>
          <w:lang w:eastAsia="de-DE"/>
        </w:rPr>
        <w:t>Die LXX</w:t>
      </w:r>
      <w:r w:rsidRPr="004F2264">
        <w:rPr>
          <w:rFonts w:eastAsia="Times New Roman"/>
          <w:lang w:eastAsia="de-DE"/>
        </w:rPr>
        <w:t xml:space="preserve"> übersetzt </w:t>
      </w:r>
      <w:r w:rsidRPr="004F2264">
        <w:rPr>
          <w:rFonts w:eastAsia="Times New Roman"/>
          <w:rtl/>
          <w:lang w:eastAsia="de-DE"/>
        </w:rPr>
        <w:t>יֶעְשַׁן אַף־יְהוָה</w:t>
      </w:r>
      <w:r w:rsidRPr="004F2264">
        <w:rPr>
          <w:rFonts w:eastAsia="Times New Roman"/>
          <w:lang w:eastAsia="de-DE"/>
        </w:rPr>
        <w:t xml:space="preserve"> (der Zorn des HERRN wird rauchen) mit </w:t>
      </w:r>
      <w:proofErr w:type="spellStart"/>
      <w:r w:rsidRPr="004F2264">
        <w:rPr>
          <w:rFonts w:eastAsia="Times New Roman"/>
          <w:lang w:eastAsia="de-DE"/>
        </w:rPr>
        <w:t>ἐκκ</w:t>
      </w:r>
      <w:proofErr w:type="spellEnd"/>
      <w:r w:rsidRPr="004F2264">
        <w:rPr>
          <w:rFonts w:eastAsia="Times New Roman"/>
          <w:lang w:eastAsia="de-DE"/>
        </w:rPr>
        <w:t xml:space="preserve">αυθήσεται </w:t>
      </w:r>
      <w:proofErr w:type="spellStart"/>
      <w:r w:rsidRPr="004F2264">
        <w:rPr>
          <w:rFonts w:eastAsia="Times New Roman"/>
          <w:lang w:eastAsia="de-DE"/>
        </w:rPr>
        <w:t>ὀργὴ</w:t>
      </w:r>
      <w:proofErr w:type="spellEnd"/>
      <w:r w:rsidRPr="004F2264">
        <w:rPr>
          <w:rFonts w:eastAsia="Times New Roman"/>
          <w:lang w:eastAsia="de-DE"/>
        </w:rPr>
        <w:t xml:space="preserve"> </w:t>
      </w:r>
      <w:proofErr w:type="spellStart"/>
      <w:r w:rsidRPr="004F2264">
        <w:rPr>
          <w:rFonts w:eastAsia="Times New Roman"/>
          <w:lang w:eastAsia="de-DE"/>
        </w:rPr>
        <w:t>κυρίου</w:t>
      </w:r>
      <w:proofErr w:type="spellEnd"/>
      <w:r w:rsidRPr="004F2264">
        <w:rPr>
          <w:rFonts w:eastAsia="Times New Roman"/>
          <w:lang w:eastAsia="de-DE"/>
        </w:rPr>
        <w:t xml:space="preserve"> (der Zorn des Herrn wird entbrennen) – ein aktiveres Verb für das Auflodern des Zorns.</w:t>
      </w:r>
    </w:p>
    <w:p w14:paraId="351316CE" w14:textId="77777777" w:rsidR="008A57FB" w:rsidRDefault="008A57FB" w:rsidP="008A57FB">
      <w:pPr>
        <w:pStyle w:val="whitespace-normal"/>
      </w:pPr>
      <w:r>
        <w:rPr>
          <w:rStyle w:val="Fett"/>
          <w:rFonts w:eastAsiaTheme="majorEastAsia"/>
        </w:rPr>
        <w:t>Die Satzstruktur:</w:t>
      </w:r>
      <w:r>
        <w:t xml:space="preserve"> Vier Aussagen (nicht wird JHWH bereit sein, ihm zu vergeben, denn dann wird rauchen der Zorn JHWHs und sein Eifer gegen jenen Mann, und lagern wird sich auf ihn aller Fluch, der geschrieben ist in diesem Buch; und auslöschen wird JHWH seinen Namen unter dem Himmel).</w:t>
      </w:r>
    </w:p>
    <w:p w14:paraId="20938A90" w14:textId="35309D45" w:rsidR="008A57FB" w:rsidRDefault="008A57FB" w:rsidP="00B77CC6">
      <w:pPr>
        <w:pStyle w:val="whitespace-normal"/>
      </w:pPr>
      <w:r>
        <w:rPr>
          <w:rStyle w:val="Fett"/>
          <w:rFonts w:eastAsiaTheme="majorEastAsia"/>
        </w:rPr>
        <w:t>Der Vers beschreibt:</w:t>
      </w:r>
      <w:r>
        <w:t xml:space="preserve"> JHWHs Gericht – keine Vergebung, rauchender Zorn, alle Flüche treffen ihn, sein Name wird ausgelöscht.</w:t>
      </w:r>
    </w:p>
    <w:p w14:paraId="573772A1" w14:textId="77777777" w:rsidR="008A57FB" w:rsidRPr="008D48A3" w:rsidRDefault="008A57FB" w:rsidP="008D48A3">
      <w:pPr>
        <w:pStyle w:val="Bibelberschrift"/>
      </w:pPr>
      <w:r w:rsidRPr="008D48A3">
        <w:rPr>
          <w:rStyle w:val="Fett"/>
          <w:b/>
          <w:bCs w:val="0"/>
        </w:rPr>
        <w:t>Deuteronomium 29,20 (29,21 MT)</w:t>
      </w:r>
    </w:p>
    <w:p w14:paraId="05356CCC" w14:textId="77777777" w:rsidR="008A57FB" w:rsidRDefault="008A57FB" w:rsidP="008A57FB">
      <w:pPr>
        <w:pStyle w:val="whitespace-normal"/>
      </w:pPr>
      <w:r>
        <w:rPr>
          <w:rStyle w:val="Fett"/>
          <w:rFonts w:eastAsiaTheme="majorEastAsia"/>
        </w:rPr>
        <w:t>Hebräisch:</w:t>
      </w:r>
      <w:r>
        <w:t xml:space="preserve"> </w:t>
      </w:r>
      <w:r>
        <w:rPr>
          <w:rtl/>
        </w:rPr>
        <w:t>וְהִבְדִּילוֹ יְהוָה לְרָעָה מִכֹּל שִׁבְטֵי יִשְׂרָאֵל כְּכֹל אָלוֹת הַבְּרִית הַכְּתוּבָה בְּסֵפֶר הַתּוֹרָה הַזֶּה׃</w:t>
      </w:r>
    </w:p>
    <w:p w14:paraId="6D9B8D92" w14:textId="0713A844" w:rsidR="008A57FB" w:rsidRDefault="008A57FB" w:rsidP="008A57FB">
      <w:pPr>
        <w:pStyle w:val="whitespace-normal"/>
      </w:pPr>
      <w:r>
        <w:rPr>
          <w:rStyle w:val="Fett"/>
          <w:rFonts w:eastAsiaTheme="majorEastAsia"/>
        </w:rPr>
        <w:t>Deutsch:</w:t>
      </w:r>
      <w:r>
        <w:t xml:space="preserve"> Und aussondern wird ihn JHWH zum Bösen aus allen Stämmen Israels, gemäß allen Flüchen des Bundes, die geschrieben sind in diesem Buch der </w:t>
      </w:r>
      <w:r w:rsidR="006D3FED">
        <w:t>Torah</w:t>
      </w:r>
      <w:r>
        <w:t>.</w:t>
      </w:r>
    </w:p>
    <w:p w14:paraId="0393147A" w14:textId="77777777" w:rsidR="008A57FB" w:rsidRDefault="004F5CEB" w:rsidP="008A57FB">
      <w:r>
        <w:rPr>
          <w:noProof/>
        </w:rPr>
        <w:pict w14:anchorId="627F55F0">
          <v:rect id="_x0000_i1833" style="width:0;height:1.5pt" o:hralign="center" o:hrstd="t" o:hr="t" fillcolor="#a0a0a0" stroked="f"/>
        </w:pict>
      </w:r>
    </w:p>
    <w:p w14:paraId="3C85384E"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וְהִבְדִּילוֹ יְהוָה לְרָעָה מִכֹּל שִׁבְטֵי יִשְׂרָאֵל כְּכֹל אָלוֹת הַבְּרִית הַכְּתוּבָה בְּסֵפֶר הַתּוֹרָה הַזֶּה</w:t>
      </w:r>
      <w:r>
        <w:rPr>
          <w:rtl/>
        </w:rPr>
        <w:t xml:space="preserve"> </w:t>
      </w:r>
      <w:r>
        <w:t xml:space="preserve">ist eine Aussage: </w:t>
      </w:r>
      <w:r>
        <w:rPr>
          <w:rStyle w:val="Fett"/>
          <w:rFonts w:eastAsiaTheme="majorEastAsia"/>
          <w:rtl/>
        </w:rPr>
        <w:t>וְהִבְדִּילוֹ יְהוָה לְרָעָה מִכֹּל שִׁבְטֵי יִשְׂרָאֵל כְּכֹל אָלוֹת הַבְּרִית הַכְּתוּבָה בְּסֵפֶר הַתּוֹרָה הַזֶּה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בדל</w:t>
      </w:r>
      <w:r>
        <w:t xml:space="preserve">, Hiphil Perfekt, 3. Person Maskulinum Singular, mit Suffix 3. Person Maskulinum Singular, „absondern, aussondern, trennen", </w:t>
      </w:r>
      <w:r>
        <w:rPr>
          <w:rStyle w:val="Fett"/>
          <w:rFonts w:eastAsiaTheme="majorEastAsia"/>
          <w:rtl/>
        </w:rPr>
        <w:t>יְהוָה</w:t>
      </w:r>
      <w:r>
        <w:rPr>
          <w:rtl/>
        </w:rPr>
        <w:t xml:space="preserve"> </w:t>
      </w:r>
      <w:r>
        <w:t xml:space="preserve">als Subjekt, Präposition </w:t>
      </w:r>
      <w:r>
        <w:rPr>
          <w:rStyle w:val="Fett"/>
          <w:rFonts w:eastAsiaTheme="majorEastAsia"/>
          <w:rtl/>
        </w:rPr>
        <w:t>לְ</w:t>
      </w:r>
      <w:r>
        <w:rPr>
          <w:rtl/>
        </w:rPr>
        <w:t xml:space="preserve"> </w:t>
      </w:r>
      <w:r>
        <w:t xml:space="preserve">mit </w:t>
      </w:r>
      <w:r>
        <w:rPr>
          <w:rStyle w:val="Fett"/>
          <w:rFonts w:eastAsiaTheme="majorEastAsia"/>
          <w:rtl/>
        </w:rPr>
        <w:t>רָעָה</w:t>
      </w:r>
      <w:r>
        <w:t xml:space="preserve">, „Böses, Unheil", </w:t>
      </w:r>
      <w:r>
        <w:rPr>
          <w:rStyle w:val="Fett"/>
          <w:rFonts w:eastAsiaTheme="majorEastAsia"/>
          <w:rtl/>
        </w:rPr>
        <w:t>מִכֹּל שִׁבְטֵי יִשְׂרָאֵל</w:t>
      </w:r>
      <w:r>
        <w:t xml:space="preserve">, Vergleichssatz: </w:t>
      </w:r>
      <w:r>
        <w:rPr>
          <w:rStyle w:val="Fett"/>
          <w:rFonts w:eastAsiaTheme="majorEastAsia"/>
          <w:rtl/>
        </w:rPr>
        <w:t>כְּכֹל אָלוֹת הַבְּרִית הַכְּתוּבָה בְּסֵפֶר הַתּוֹרָה הַזֶּה</w:t>
      </w:r>
      <w:r>
        <w:rPr>
          <w:rtl/>
        </w:rPr>
        <w:t xml:space="preserve"> </w:t>
      </w:r>
      <w:r>
        <w:t xml:space="preserve">mit </w:t>
      </w:r>
      <w:r>
        <w:rPr>
          <w:rStyle w:val="Fett"/>
          <w:rFonts w:eastAsiaTheme="majorEastAsia"/>
          <w:rtl/>
        </w:rPr>
        <w:t>כְּ</w:t>
      </w:r>
      <w:r>
        <w:rPr>
          <w:rtl/>
        </w:rPr>
        <w:t xml:space="preserve"> </w:t>
      </w:r>
      <w:r>
        <w:t xml:space="preserve">+ </w:t>
      </w:r>
      <w:r>
        <w:rPr>
          <w:rStyle w:val="Fett"/>
          <w:rFonts w:eastAsiaTheme="majorEastAsia"/>
          <w:rtl/>
        </w:rPr>
        <w:t>כָּל</w:t>
      </w:r>
      <w:r>
        <w:t xml:space="preserve">, </w:t>
      </w:r>
      <w:r>
        <w:rPr>
          <w:rStyle w:val="Fett"/>
          <w:rFonts w:eastAsiaTheme="majorEastAsia"/>
          <w:rtl/>
        </w:rPr>
        <w:t>אָלָה</w:t>
      </w:r>
      <w:r>
        <w:t xml:space="preserve">, „Fluch, Eidschwur", Plural Construct mit </w:t>
      </w:r>
      <w:r>
        <w:rPr>
          <w:rStyle w:val="Fett"/>
          <w:rFonts w:eastAsiaTheme="majorEastAsia"/>
          <w:rtl/>
        </w:rPr>
        <w:t>בְּרִית</w:t>
      </w:r>
      <w:r>
        <w:t xml:space="preserve">, Partizipialsatz: </w:t>
      </w:r>
      <w:r>
        <w:rPr>
          <w:rStyle w:val="Fett"/>
          <w:rFonts w:eastAsiaTheme="majorEastAsia"/>
          <w:rtl/>
        </w:rPr>
        <w:t>הַכְּתוּבָה בְּסֵפֶר הַתּוֹרָה הַזֶּה</w:t>
      </w:r>
      <w:r>
        <w:rPr>
          <w:rtl/>
        </w:rPr>
        <w:t xml:space="preserve"> </w:t>
      </w:r>
      <w:r>
        <w:t xml:space="preserve">mit </w:t>
      </w:r>
      <w:r>
        <w:rPr>
          <w:rStyle w:val="Fett"/>
          <w:rFonts w:eastAsiaTheme="majorEastAsia"/>
          <w:rtl/>
        </w:rPr>
        <w:t>כתב</w:t>
      </w:r>
      <w:r>
        <w:t xml:space="preserve">, Qal Passiv Partizip Femininum Singular, mit </w:t>
      </w:r>
      <w:r>
        <w:rPr>
          <w:rStyle w:val="Fett"/>
          <w:rFonts w:eastAsiaTheme="majorEastAsia"/>
        </w:rPr>
        <w:t>Waw</w:t>
      </w:r>
      <w:r>
        <w:t xml:space="preserve"> consecutivum).</w:t>
      </w:r>
    </w:p>
    <w:p w14:paraId="5DCDD3B6" w14:textId="183A4C51" w:rsidR="008A57FB" w:rsidRDefault="008A57FB" w:rsidP="008A57FB">
      <w:pPr>
        <w:pStyle w:val="whitespace-normal"/>
      </w:pPr>
      <w:r>
        <w:t xml:space="preserve">Der Vers setzt die Beschreibung des Gerichts fort. Die Aussage: </w:t>
      </w:r>
      <w:r>
        <w:rPr>
          <w:rStyle w:val="Fett"/>
          <w:rFonts w:eastAsiaTheme="majorEastAsia"/>
          <w:rtl/>
        </w:rPr>
        <w:t>וְהִבְדִּילוֹ יְהוָה לְרָעָה מִכֹּל שִׁבְטֵי יִשְׂרָאֵל כְּכֹל אָלוֹת הַבְּרִית הַכְּתוּבָה בְּסֵפֶר הַתּוֹרָה הַזֶּה</w:t>
      </w:r>
      <w:r>
        <w:rPr>
          <w:rtl/>
        </w:rPr>
        <w:t xml:space="preserve"> </w:t>
      </w:r>
      <w:r>
        <w:t xml:space="preserve">(„und aussondern wird ihn JHWH zum Bösen aus allen Stämmen Israels, gemäß allen Flüchen des Bundes, die geschrieben sind in diesem Buch der </w:t>
      </w:r>
      <w:r w:rsidR="006D3FED">
        <w:t>Torah</w:t>
      </w:r>
      <w:r>
        <w:t xml:space="preserve">"). Das Verb </w:t>
      </w:r>
      <w:r>
        <w:rPr>
          <w:rStyle w:val="Fett"/>
          <w:rFonts w:eastAsiaTheme="majorEastAsia"/>
          <w:rtl/>
        </w:rPr>
        <w:t>בדל</w:t>
      </w:r>
      <w:r>
        <w:rPr>
          <w:rtl/>
        </w:rPr>
        <w:t xml:space="preserve"> </w:t>
      </w:r>
      <w:r>
        <w:t xml:space="preserve">im Hiphil („absondern, aussondern") wird sonst für positive Absonderung verwendet (Israel von den Völkern, Priester vom Volk, Reine von Unreinen, vgl. Lev 20,24-26; Num 16,9; Dtn 10,8), hier aber für negative Absonderung – </w:t>
      </w:r>
      <w:r>
        <w:rPr>
          <w:rStyle w:val="Fett"/>
          <w:rFonts w:eastAsiaTheme="majorEastAsia"/>
          <w:rtl/>
        </w:rPr>
        <w:t>לְרָעָה</w:t>
      </w:r>
      <w:r>
        <w:rPr>
          <w:rtl/>
        </w:rPr>
        <w:t xml:space="preserve"> </w:t>
      </w:r>
      <w:r>
        <w:t xml:space="preserve">(„zum </w:t>
      </w:r>
      <w:r>
        <w:lastRenderedPageBreak/>
        <w:t xml:space="preserve">Bösen, zum Unheil"). Der Abtrünnige wird aus der Gemeinschaft Israels herausgenommen zum Gericht. Die Formulierung </w:t>
      </w:r>
      <w:r>
        <w:rPr>
          <w:rStyle w:val="Fett"/>
          <w:rFonts w:eastAsiaTheme="majorEastAsia"/>
          <w:rtl/>
        </w:rPr>
        <w:t>מִכֹּל שִׁבְטֵי יִשְׂרָאֵל</w:t>
      </w:r>
      <w:r>
        <w:rPr>
          <w:rtl/>
        </w:rPr>
        <w:t xml:space="preserve"> </w:t>
      </w:r>
      <w:r>
        <w:t xml:space="preserve">(„aus allen Stämmen Israels") betont: egal zu welchem Stamm er gehört, er wird herausgenommen. Der Vergleichssatz: </w:t>
      </w:r>
      <w:r>
        <w:rPr>
          <w:rStyle w:val="Fett"/>
          <w:rFonts w:eastAsiaTheme="majorEastAsia"/>
          <w:rtl/>
        </w:rPr>
        <w:t>כְּכֹל אָלוֹת הַבְּרִית הַכְּתוּבָה בְּסֵפֶר הַתּוֹרָה הַזֶּה</w:t>
      </w:r>
      <w:r>
        <w:rPr>
          <w:rtl/>
        </w:rPr>
        <w:t xml:space="preserve"> </w:t>
      </w:r>
      <w:r>
        <w:t xml:space="preserve">(„gemäß allen Flüchen des Bundes, die geschrieben sind in diesem Buch der </w:t>
      </w:r>
      <w:r w:rsidR="006D3FED">
        <w:t>Torah</w:t>
      </w:r>
      <w:r>
        <w:t xml:space="preserve">"). Die Formulierung </w:t>
      </w:r>
      <w:r>
        <w:rPr>
          <w:rStyle w:val="Fett"/>
          <w:rFonts w:eastAsiaTheme="majorEastAsia"/>
          <w:rtl/>
        </w:rPr>
        <w:t>סֵפֶר הַתּוֹרָה</w:t>
      </w:r>
      <w:r>
        <w:rPr>
          <w:rtl/>
        </w:rPr>
        <w:t xml:space="preserve"> </w:t>
      </w:r>
      <w:r>
        <w:t xml:space="preserve">(„Buch der </w:t>
      </w:r>
      <w:r w:rsidR="006D3FED">
        <w:t>Torah</w:t>
      </w:r>
      <w:r>
        <w:t xml:space="preserve">") betont den schriftlichen, autoritativen Charakter (vgl. 28,61; 30,10; 31,26; Jos 1,8; 8,31.34; </w:t>
      </w:r>
      <w:r w:rsidR="00664EB6">
        <w:t>2Kön</w:t>
      </w:r>
      <w:r>
        <w:t xml:space="preserve"> 22,8.11).</w:t>
      </w:r>
    </w:p>
    <w:p w14:paraId="3C3FE2FB" w14:textId="68C0A3BB" w:rsidR="008A57FB" w:rsidRDefault="008A57FB" w:rsidP="008A57FB">
      <w:pPr>
        <w:pStyle w:val="whitespace-normal"/>
      </w:pPr>
      <w:r>
        <w:rPr>
          <w:rStyle w:val="Fett"/>
          <w:rFonts w:eastAsiaTheme="majorEastAsia"/>
        </w:rPr>
        <w:t>Die Satzstruktur:</w:t>
      </w:r>
      <w:r>
        <w:t xml:space="preserve"> Aussage (und aussondern wird ihn JHWH zum Bösen aus allen Stämmen Israels, gemäß allen Flüchen des Bundes, die geschrieben sind in diesem Buch der </w:t>
      </w:r>
      <w:r w:rsidR="006D3FED">
        <w:t>Torah</w:t>
      </w:r>
      <w:r>
        <w:t>).</w:t>
      </w:r>
    </w:p>
    <w:p w14:paraId="0E745759" w14:textId="2B830577" w:rsidR="008A57FB" w:rsidRDefault="008A57FB" w:rsidP="00B77CC6">
      <w:pPr>
        <w:pStyle w:val="whitespace-normal"/>
      </w:pPr>
      <w:r>
        <w:rPr>
          <w:rStyle w:val="Fett"/>
          <w:rFonts w:eastAsiaTheme="majorEastAsia"/>
        </w:rPr>
        <w:t>Der Vers beschreibt:</w:t>
      </w:r>
      <w:r>
        <w:t xml:space="preserve"> Fortsetzung des Gerichts – Aussonderung zum Unheil aus der Gemeinschaft gemäß den geschriebenen Bundesflüchen.</w:t>
      </w:r>
    </w:p>
    <w:p w14:paraId="2047B24C" w14:textId="77777777" w:rsidR="008A57FB" w:rsidRPr="008D48A3" w:rsidRDefault="008A57FB" w:rsidP="008D48A3">
      <w:pPr>
        <w:pStyle w:val="Bibelberschrift"/>
      </w:pPr>
      <w:r w:rsidRPr="008D48A3">
        <w:rPr>
          <w:rStyle w:val="Fett"/>
          <w:b/>
          <w:bCs w:val="0"/>
        </w:rPr>
        <w:t>Deuteronomium 29,21 (29,22 MT)</w:t>
      </w:r>
    </w:p>
    <w:p w14:paraId="798FD397" w14:textId="77777777" w:rsidR="008A57FB" w:rsidRDefault="008A57FB" w:rsidP="008A57FB">
      <w:pPr>
        <w:pStyle w:val="whitespace-normal"/>
      </w:pPr>
      <w:r>
        <w:rPr>
          <w:rStyle w:val="Fett"/>
          <w:rFonts w:eastAsiaTheme="majorEastAsia"/>
        </w:rPr>
        <w:t>Hebräisch:</w:t>
      </w:r>
      <w:r>
        <w:t xml:space="preserve"> </w:t>
      </w:r>
      <w:r>
        <w:rPr>
          <w:rtl/>
        </w:rPr>
        <w:t>וְאָמַר הַדּוֹר הָאַחֲרוֹן בְּנֵיכֶם אֲשֶׁר יָקוּמוּ מֵאַחֲרֵיכֶם וְהַנָּכְרִי אֲשֶׁר יָבֹא מֵאֶרֶץ רְחוֹקָה וְרָאוּ אֶת־מַכּוֹת הָאָרֶץ הַהִוא וְאֶת־תַּחֲלֻאֶיהָ אֲשֶׁר־חִלָּה יְהוָה בָּהּ׃</w:t>
      </w:r>
    </w:p>
    <w:p w14:paraId="1DB53AB9" w14:textId="77777777" w:rsidR="008A57FB" w:rsidRDefault="008A57FB" w:rsidP="008A57FB">
      <w:pPr>
        <w:pStyle w:val="whitespace-normal"/>
      </w:pPr>
      <w:r>
        <w:rPr>
          <w:rStyle w:val="Fett"/>
          <w:rFonts w:eastAsiaTheme="majorEastAsia"/>
        </w:rPr>
        <w:t>Deutsch:</w:t>
      </w:r>
      <w:r>
        <w:t xml:space="preserve"> Und sagen wird die künftige Generation, eure Kinder, die nach euch aufstehen werden, und der Ausländer, der kommen wird aus fernem Land – und sie werden sehen die Plagen jenes Landes und seine Krankheiten, womit JHWH es geschlagen hat.</w:t>
      </w:r>
    </w:p>
    <w:p w14:paraId="4C9A9037" w14:textId="77777777" w:rsidR="008A57FB" w:rsidRDefault="004F5CEB" w:rsidP="008A57FB">
      <w:r>
        <w:rPr>
          <w:noProof/>
        </w:rPr>
        <w:pict w14:anchorId="7E3FB711">
          <v:rect id="_x0000_i1834" style="width:0;height:1.5pt" o:hralign="center" o:hrstd="t" o:hr="t" fillcolor="#a0a0a0" stroked="f"/>
        </w:pict>
      </w:r>
    </w:p>
    <w:p w14:paraId="609B72FB"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וְאָמַר הַדּוֹר הָאַחֲרוֹן בְּנֵיכֶם אֲשֶׁר יָקוּמוּ מֵאַחֲרֵיכֶם וְהַנָּכְרִי אֲשֶׁר יָבֹא מֵאֶרֶץ רְחוֹקָה וְרָאוּ אֶת־מַכּוֹת הָאָרֶץ הַהִוא וְאֶת־תַּחֲלֻאֶיהָ אֲשֶׁר־חִלָּה יְהוָה בָּהּ</w:t>
      </w:r>
      <w:r>
        <w:rPr>
          <w:rtl/>
        </w:rPr>
        <w:t xml:space="preserve"> </w:t>
      </w:r>
      <w:r>
        <w:t xml:space="preserve">sind zwei Aussagen: </w:t>
      </w:r>
      <w:r>
        <w:rPr>
          <w:rStyle w:val="Fett"/>
          <w:rFonts w:eastAsiaTheme="majorEastAsia"/>
          <w:rtl/>
        </w:rPr>
        <w:t>וְאָמַר הַדּוֹר הָאַחֲרוֹן בְּנֵיכֶם אֲשֶׁר יָקוּמוּ מֵאַחֲרֵיכֶם וְהַנָּכְרִי אֲשֶׁר יָבֹא מֵאֶרֶץ רְחוֹקָה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אמר</w:t>
      </w:r>
      <w:r>
        <w:t xml:space="preserve">, Qal Perfekt, 3. Person Maskulinum Singular, </w:t>
      </w:r>
      <w:r>
        <w:rPr>
          <w:rStyle w:val="Fett"/>
          <w:rFonts w:eastAsiaTheme="majorEastAsia"/>
          <w:rtl/>
        </w:rPr>
        <w:t>דּוֹר</w:t>
      </w:r>
      <w:r>
        <w:rPr>
          <w:rtl/>
        </w:rPr>
        <w:t xml:space="preserve"> </w:t>
      </w:r>
      <w:r>
        <w:t xml:space="preserve">mit Artikel als Subjekt, „Generation", </w:t>
      </w:r>
      <w:r>
        <w:rPr>
          <w:rStyle w:val="Fett"/>
          <w:rFonts w:eastAsiaTheme="majorEastAsia"/>
          <w:rtl/>
        </w:rPr>
        <w:t>אַחֲרוֹן</w:t>
      </w:r>
      <w:r>
        <w:t xml:space="preserve">, „letzter, künftiger", mit Artikel, Apposition: </w:t>
      </w:r>
      <w:r>
        <w:rPr>
          <w:rStyle w:val="Fett"/>
          <w:rFonts w:eastAsiaTheme="majorEastAsia"/>
          <w:rtl/>
        </w:rPr>
        <w:t>בְּנֵיכֶם</w:t>
      </w:r>
      <w:r>
        <w:t xml:space="preserve">, Relativsatz: </w:t>
      </w:r>
      <w:r>
        <w:rPr>
          <w:rStyle w:val="Fett"/>
          <w:rFonts w:eastAsiaTheme="majorEastAsia"/>
          <w:rtl/>
        </w:rPr>
        <w:t>אֲשֶׁר יָקוּמוּ מֵאַחֲרֵיכֶם</w:t>
      </w:r>
      <w:r>
        <w:rPr>
          <w:rtl/>
        </w:rPr>
        <w:t xml:space="preserve"> </w:t>
      </w:r>
      <w:r>
        <w:t xml:space="preserve">mit </w:t>
      </w:r>
      <w:r>
        <w:rPr>
          <w:rStyle w:val="Fett"/>
          <w:rFonts w:eastAsiaTheme="majorEastAsia"/>
          <w:rtl/>
        </w:rPr>
        <w:t>קום</w:t>
      </w:r>
      <w:r>
        <w:t xml:space="preserve">, Qal Imperfekt, 3. Person Plural, </w:t>
      </w:r>
      <w:r>
        <w:rPr>
          <w:rStyle w:val="Fett"/>
          <w:rFonts w:eastAsiaTheme="majorEastAsia"/>
          <w:rtl/>
        </w:rPr>
        <w:t>מֵאַחֲרֵיכֶם</w:t>
      </w:r>
      <w:r>
        <w:t xml:space="preserve">, „nach euch", koordiniert durch </w:t>
      </w:r>
      <w:r>
        <w:rPr>
          <w:rStyle w:val="Fett"/>
          <w:rFonts w:eastAsiaTheme="majorEastAsia"/>
          <w:rtl/>
        </w:rPr>
        <w:t>וְ</w:t>
      </w:r>
      <w:r>
        <w:rPr>
          <w:rtl/>
        </w:rPr>
        <w:t xml:space="preserve"> </w:t>
      </w:r>
      <w:r>
        <w:t xml:space="preserve">mit </w:t>
      </w:r>
      <w:r>
        <w:rPr>
          <w:rStyle w:val="Fett"/>
          <w:rFonts w:eastAsiaTheme="majorEastAsia"/>
          <w:rtl/>
        </w:rPr>
        <w:t>נָכְרִי</w:t>
      </w:r>
      <w:r>
        <w:rPr>
          <w:rtl/>
        </w:rPr>
        <w:t xml:space="preserve"> </w:t>
      </w:r>
      <w:r>
        <w:t xml:space="preserve">mit Artikel, „Ausländer, Fremder", Relativsatz: </w:t>
      </w:r>
      <w:r>
        <w:rPr>
          <w:rStyle w:val="Fett"/>
          <w:rFonts w:eastAsiaTheme="majorEastAsia"/>
          <w:rtl/>
        </w:rPr>
        <w:t>אֲשֶׁר יָבֹא מֵאֶרֶץ רְחוֹקָה</w:t>
      </w:r>
      <w:r>
        <w:rPr>
          <w:rtl/>
        </w:rPr>
        <w:t xml:space="preserve"> </w:t>
      </w:r>
      <w:r>
        <w:t xml:space="preserve">mit </w:t>
      </w:r>
      <w:r>
        <w:rPr>
          <w:rStyle w:val="Fett"/>
          <w:rFonts w:eastAsiaTheme="majorEastAsia"/>
          <w:rtl/>
        </w:rPr>
        <w:t>בוא</w:t>
      </w:r>
      <w:r>
        <w:t xml:space="preserve">, Qal Imperfekt, 3. Person Maskulinum Singular, </w:t>
      </w:r>
      <w:r>
        <w:rPr>
          <w:rStyle w:val="Fett"/>
          <w:rFonts w:eastAsiaTheme="majorEastAsia"/>
          <w:rtl/>
        </w:rPr>
        <w:t>מֵאֶרֶץ רְחוֹקָה</w:t>
      </w:r>
      <w:r>
        <w:t xml:space="preserve">, mit </w:t>
      </w:r>
      <w:r>
        <w:rPr>
          <w:rStyle w:val="Fett"/>
          <w:rFonts w:eastAsiaTheme="majorEastAsia"/>
        </w:rPr>
        <w:t>Waw</w:t>
      </w:r>
      <w:r>
        <w:t xml:space="preserve"> consecutivum), </w:t>
      </w:r>
      <w:r>
        <w:rPr>
          <w:rStyle w:val="Fett"/>
          <w:rFonts w:eastAsiaTheme="majorEastAsia"/>
          <w:rtl/>
        </w:rPr>
        <w:t>וְרָאוּ אֶת־מַכּוֹת הָאָרֶץ הַהִוא וְאֶת־תַּחֲלֻאֶיהָ אֲשֶׁר־חִלָּה יְהוָה בָּהּ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ראה</w:t>
      </w:r>
      <w:r>
        <w:t xml:space="preserve">, Qal Perfekt, 3. Person Plural, zwei Objektphrasen mit Objektpartikel </w:t>
      </w:r>
      <w:r>
        <w:rPr>
          <w:rStyle w:val="Fett"/>
          <w:rFonts w:eastAsiaTheme="majorEastAsia"/>
          <w:rtl/>
        </w:rPr>
        <w:t>אֵת</w:t>
      </w:r>
      <w:r>
        <w:t xml:space="preserve">: (1) </w:t>
      </w:r>
      <w:r>
        <w:rPr>
          <w:rStyle w:val="Fett"/>
          <w:rFonts w:eastAsiaTheme="majorEastAsia"/>
          <w:rtl/>
        </w:rPr>
        <w:t>מַכָּה</w:t>
      </w:r>
      <w:r>
        <w:t xml:space="preserve">, „Plage, Schlag", Plural Construct mit </w:t>
      </w:r>
      <w:r>
        <w:rPr>
          <w:rStyle w:val="Fett"/>
          <w:rFonts w:eastAsiaTheme="majorEastAsia"/>
          <w:rtl/>
        </w:rPr>
        <w:t>אֶרֶץ</w:t>
      </w:r>
      <w:r>
        <w:rPr>
          <w:rtl/>
        </w:rPr>
        <w:t xml:space="preserve"> </w:t>
      </w:r>
      <w:r>
        <w:t xml:space="preserve">mit Artikel, </w:t>
      </w:r>
      <w:r>
        <w:rPr>
          <w:rStyle w:val="Fett"/>
          <w:rFonts w:eastAsiaTheme="majorEastAsia"/>
          <w:rtl/>
        </w:rPr>
        <w:t>הִוא</w:t>
      </w:r>
      <w:r>
        <w:t xml:space="preserve">, (2) koordiniert durch </w:t>
      </w:r>
      <w:r>
        <w:rPr>
          <w:rStyle w:val="Fett"/>
          <w:rFonts w:eastAsiaTheme="majorEastAsia"/>
          <w:rtl/>
        </w:rPr>
        <w:t>וְ</w:t>
      </w:r>
      <w:r>
        <w:rPr>
          <w:rtl/>
        </w:rPr>
        <w:t xml:space="preserve"> </w:t>
      </w:r>
      <w:r>
        <w:t xml:space="preserve">mit Objektpartikel </w:t>
      </w:r>
      <w:r>
        <w:rPr>
          <w:rStyle w:val="Fett"/>
          <w:rFonts w:eastAsiaTheme="majorEastAsia"/>
          <w:rtl/>
        </w:rPr>
        <w:t>אֵת</w:t>
      </w:r>
      <w:r>
        <w:t xml:space="preserve">, </w:t>
      </w:r>
      <w:r>
        <w:rPr>
          <w:rStyle w:val="Fett"/>
          <w:rFonts w:eastAsiaTheme="majorEastAsia"/>
          <w:rtl/>
        </w:rPr>
        <w:t>תַּחֲלֻא</w:t>
      </w:r>
      <w:r>
        <w:t xml:space="preserve">, „Krankheit, Seuche", Plural mit Suffix 3. Person Femininum Singular, Relativsatz: </w:t>
      </w:r>
      <w:r>
        <w:rPr>
          <w:rStyle w:val="Fett"/>
          <w:rFonts w:eastAsiaTheme="majorEastAsia"/>
          <w:rtl/>
        </w:rPr>
        <w:t>אֲשֶׁר־חִלָּה יְהוָה בָּהּ</w:t>
      </w:r>
      <w:r>
        <w:rPr>
          <w:rtl/>
        </w:rPr>
        <w:t xml:space="preserve"> </w:t>
      </w:r>
      <w:r>
        <w:t xml:space="preserve">mit </w:t>
      </w:r>
      <w:r>
        <w:rPr>
          <w:rStyle w:val="Fett"/>
          <w:rFonts w:eastAsiaTheme="majorEastAsia"/>
          <w:rtl/>
        </w:rPr>
        <w:t>חלה</w:t>
      </w:r>
      <w:r>
        <w:t xml:space="preserve">, Piel Perfekt, 3. Person Maskulinum Singular, „krank machen, schlagen", </w:t>
      </w:r>
      <w:r>
        <w:rPr>
          <w:rStyle w:val="Fett"/>
          <w:rFonts w:eastAsiaTheme="majorEastAsia"/>
          <w:rtl/>
        </w:rPr>
        <w:t>יְהוָה</w:t>
      </w:r>
      <w:r>
        <w:rPr>
          <w:rtl/>
        </w:rPr>
        <w:t xml:space="preserve"> </w:t>
      </w:r>
      <w:r>
        <w:t xml:space="preserve">als Subjekt, Präposition </w:t>
      </w:r>
      <w:r>
        <w:rPr>
          <w:rStyle w:val="Fett"/>
          <w:rFonts w:eastAsiaTheme="majorEastAsia"/>
          <w:rtl/>
        </w:rPr>
        <w:t>בְּ</w:t>
      </w:r>
      <w:r>
        <w:rPr>
          <w:rtl/>
        </w:rPr>
        <w:t xml:space="preserve"> </w:t>
      </w:r>
      <w:r>
        <w:t xml:space="preserve">mit Suffix 3. Person Femininum Singular, mit </w:t>
      </w:r>
      <w:r>
        <w:rPr>
          <w:rStyle w:val="Fett"/>
          <w:rFonts w:eastAsiaTheme="majorEastAsia"/>
        </w:rPr>
        <w:t>Waw</w:t>
      </w:r>
      <w:r>
        <w:t xml:space="preserve"> consecutivum).</w:t>
      </w:r>
    </w:p>
    <w:p w14:paraId="469701B1" w14:textId="2B43AAC7" w:rsidR="008A57FB" w:rsidRDefault="008A57FB" w:rsidP="008A57FB">
      <w:pPr>
        <w:pStyle w:val="whitespace-normal"/>
      </w:pPr>
      <w:r>
        <w:t xml:space="preserve">Der Vers beginnt eine neue Szene (V. 21-27): zukünftige Generationen und Fremde sehen das verwüstete Land und fragen nach dem Grund. Die erste Aussage: </w:t>
      </w:r>
      <w:r>
        <w:rPr>
          <w:rStyle w:val="Fett"/>
          <w:rFonts w:eastAsiaTheme="majorEastAsia"/>
          <w:rtl/>
        </w:rPr>
        <w:t>וְאָמַר הַדּוֹר הָאַחֲרוֹן בְּנֵיכֶם אֲשֶׁר יָקוּמוּ מֵאַחֲרֵיכֶם וְהַנָּכְרִי אֲשֶׁר יָבֹא מֵאֶרֶץ רְחוֹקָה</w:t>
      </w:r>
      <w:r>
        <w:rPr>
          <w:rtl/>
        </w:rPr>
        <w:t xml:space="preserve"> </w:t>
      </w:r>
      <w:r>
        <w:t xml:space="preserve">(„und sagen wird die künftige Generation, eure Kinder, die aufstehen werden nach euch, und der Ausländer, der kommen wird aus fernem Land"). Zwei Gruppen von Zeugen: (1) </w:t>
      </w:r>
      <w:r>
        <w:rPr>
          <w:rStyle w:val="Fett"/>
          <w:rFonts w:eastAsiaTheme="majorEastAsia"/>
          <w:rtl/>
        </w:rPr>
        <w:t>הַדּוֹר הָאַחֲרוֹן בְּנֵיכֶם</w:t>
      </w:r>
      <w:r>
        <w:rPr>
          <w:rtl/>
        </w:rPr>
        <w:t xml:space="preserve"> </w:t>
      </w:r>
      <w:r>
        <w:t xml:space="preserve">(„die künftige Generation, eure Kinder") – zukünftige Israeliten (vgl. 31,21.29; Ri 2,10). (2) </w:t>
      </w:r>
      <w:r>
        <w:rPr>
          <w:rStyle w:val="Fett"/>
          <w:rFonts w:eastAsiaTheme="majorEastAsia"/>
          <w:rtl/>
        </w:rPr>
        <w:t>הַנָּכְרִי אֲשֶׁר יָבֹא מֵאֶרֶץ רְחוֹקָה</w:t>
      </w:r>
      <w:r>
        <w:rPr>
          <w:rtl/>
        </w:rPr>
        <w:t xml:space="preserve"> </w:t>
      </w:r>
      <w:r>
        <w:t xml:space="preserve">(„der Ausländer, der kommen wird aus fernem Land") – fremde Besucher von weit her. Die zweite Aussage: </w:t>
      </w:r>
      <w:r>
        <w:rPr>
          <w:rStyle w:val="Fett"/>
          <w:rFonts w:eastAsiaTheme="majorEastAsia"/>
          <w:rtl/>
        </w:rPr>
        <w:t>וְרָאוּ אֶת־מַכּוֹת הָאָרֶץ הַהִוא וְאֶת־תַּחֲלֻאֶיהָ אֲשֶׁר־חִלָּה יְהוָה בָּהּ</w:t>
      </w:r>
      <w:r>
        <w:rPr>
          <w:rtl/>
        </w:rPr>
        <w:t xml:space="preserve"> </w:t>
      </w:r>
      <w:r>
        <w:t xml:space="preserve">(„und sehen werden sie die </w:t>
      </w:r>
      <w:r>
        <w:lastRenderedPageBreak/>
        <w:t xml:space="preserve">Plagen jenes Landes und seine Krankheiten, womit JHWH es geschlagen hat"). Die beiden Begriffe </w:t>
      </w:r>
      <w:r>
        <w:rPr>
          <w:rStyle w:val="Fett"/>
          <w:rFonts w:eastAsiaTheme="majorEastAsia"/>
          <w:rtl/>
        </w:rPr>
        <w:t>מַכּוֹת</w:t>
      </w:r>
      <w:r>
        <w:rPr>
          <w:rtl/>
        </w:rPr>
        <w:t xml:space="preserve"> </w:t>
      </w:r>
      <w:r>
        <w:t xml:space="preserve">(„Plagen") und </w:t>
      </w:r>
      <w:r>
        <w:rPr>
          <w:rStyle w:val="Fett"/>
          <w:rFonts w:eastAsiaTheme="majorEastAsia"/>
          <w:rtl/>
        </w:rPr>
        <w:t>תַּחֲלֻאִים</w:t>
      </w:r>
      <w:r>
        <w:rPr>
          <w:rtl/>
        </w:rPr>
        <w:t xml:space="preserve"> </w:t>
      </w:r>
      <w:r>
        <w:t xml:space="preserve">(„Krankheiten") beschreiben die Verwüstung des Landes (vgl. 28,59-61). Das Verb </w:t>
      </w:r>
      <w:r>
        <w:rPr>
          <w:rStyle w:val="Fett"/>
          <w:rFonts w:eastAsiaTheme="majorEastAsia"/>
          <w:rtl/>
        </w:rPr>
        <w:t>חִלָּה</w:t>
      </w:r>
      <w:r>
        <w:rPr>
          <w:rtl/>
        </w:rPr>
        <w:t xml:space="preserve"> </w:t>
      </w:r>
      <w:r>
        <w:t>im Piel („krank machen, schlagen") mit JHWH als Subjekt – JHWH selbst hat das Land geschlagen. V. 22 wird die Verwüstung beschreiben.</w:t>
      </w:r>
    </w:p>
    <w:p w14:paraId="6F42D42F" w14:textId="77777777" w:rsidR="004F2264" w:rsidRPr="004F2264" w:rsidRDefault="004F2264" w:rsidP="004F2264">
      <w:pPr>
        <w:spacing w:before="100" w:beforeAutospacing="1" w:after="100" w:afterAutospacing="1" w:line="240" w:lineRule="auto"/>
        <w:outlineLvl w:val="1"/>
        <w:rPr>
          <w:rFonts w:eastAsia="Times New Roman"/>
          <w:b/>
          <w:bCs/>
          <w:sz w:val="36"/>
          <w:szCs w:val="36"/>
          <w:lang w:eastAsia="de-DE"/>
        </w:rPr>
      </w:pPr>
      <w:r w:rsidRPr="004F2264">
        <w:rPr>
          <w:rFonts w:eastAsia="Times New Roman"/>
          <w:b/>
          <w:bCs/>
          <w:sz w:val="36"/>
          <w:szCs w:val="36"/>
          <w:lang w:eastAsia="de-DE"/>
        </w:rPr>
        <w:t>Vers 21 (MT) / Vers 22 (LXX)</w:t>
      </w:r>
    </w:p>
    <w:p w14:paraId="5DFB52DB" w14:textId="1B8414A1" w:rsidR="004F2264" w:rsidRPr="004F2264" w:rsidRDefault="004F2264" w:rsidP="004F2264">
      <w:pPr>
        <w:spacing w:before="100" w:beforeAutospacing="1" w:after="100" w:afterAutospacing="1" w:line="240" w:lineRule="auto"/>
        <w:rPr>
          <w:rFonts w:eastAsia="Times New Roman"/>
          <w:lang w:eastAsia="de-DE"/>
        </w:rPr>
      </w:pPr>
      <w:r w:rsidRPr="004F2264">
        <w:rPr>
          <w:rFonts w:eastAsia="Times New Roman"/>
          <w:b/>
          <w:bCs/>
          <w:lang w:eastAsia="de-DE"/>
        </w:rPr>
        <w:t>Die LXX</w:t>
      </w:r>
      <w:r w:rsidRPr="004F2264">
        <w:rPr>
          <w:rFonts w:eastAsia="Times New Roman"/>
          <w:lang w:eastAsia="de-DE"/>
        </w:rPr>
        <w:t xml:space="preserve"> übersetzt </w:t>
      </w:r>
      <w:r w:rsidRPr="004F2264">
        <w:rPr>
          <w:rFonts w:eastAsia="Times New Roman"/>
          <w:rtl/>
          <w:lang w:eastAsia="de-DE"/>
        </w:rPr>
        <w:t>תַּחֲלֻאֶיהָ</w:t>
      </w:r>
      <w:r w:rsidRPr="004F2264">
        <w:rPr>
          <w:rFonts w:eastAsia="Times New Roman"/>
          <w:lang w:eastAsia="de-DE"/>
        </w:rPr>
        <w:t xml:space="preserve"> (ihre Krankheiten) mit </w:t>
      </w:r>
      <w:proofErr w:type="spellStart"/>
      <w:r w:rsidRPr="004F2264">
        <w:rPr>
          <w:rFonts w:eastAsia="Times New Roman"/>
          <w:lang w:eastAsia="de-DE"/>
        </w:rPr>
        <w:t>τὰς</w:t>
      </w:r>
      <w:proofErr w:type="spellEnd"/>
      <w:r w:rsidRPr="004F2264">
        <w:rPr>
          <w:rFonts w:eastAsia="Times New Roman"/>
          <w:lang w:eastAsia="de-DE"/>
        </w:rPr>
        <w:t xml:space="preserve"> </w:t>
      </w:r>
      <w:proofErr w:type="spellStart"/>
      <w:r w:rsidRPr="004F2264">
        <w:rPr>
          <w:rFonts w:eastAsia="Times New Roman"/>
          <w:lang w:eastAsia="de-DE"/>
        </w:rPr>
        <w:t>νόσους</w:t>
      </w:r>
      <w:proofErr w:type="spellEnd"/>
      <w:r w:rsidRPr="004F2264">
        <w:rPr>
          <w:rFonts w:eastAsia="Times New Roman"/>
          <w:lang w:eastAsia="de-DE"/>
        </w:rPr>
        <w:t xml:space="preserve"> α</w:t>
      </w:r>
      <w:proofErr w:type="spellStart"/>
      <w:r w:rsidRPr="004F2264">
        <w:rPr>
          <w:rFonts w:eastAsia="Times New Roman"/>
          <w:lang w:eastAsia="de-DE"/>
        </w:rPr>
        <w:t>ὐτῆς</w:t>
      </w:r>
      <w:proofErr w:type="spellEnd"/>
      <w:r w:rsidRPr="004F2264">
        <w:rPr>
          <w:rFonts w:eastAsia="Times New Roman"/>
          <w:lang w:eastAsia="de-DE"/>
        </w:rPr>
        <w:t xml:space="preserve"> (ihre Krankheiten) – eine präzise Entsprechung.</w:t>
      </w:r>
    </w:p>
    <w:p w14:paraId="2A28BC78" w14:textId="77777777" w:rsidR="008A57FB" w:rsidRDefault="008A57FB" w:rsidP="008A57FB">
      <w:pPr>
        <w:pStyle w:val="whitespace-normal"/>
      </w:pPr>
      <w:r>
        <w:rPr>
          <w:rStyle w:val="Fett"/>
          <w:rFonts w:eastAsiaTheme="majorEastAsia"/>
        </w:rPr>
        <w:t>Die Satzstruktur:</w:t>
      </w:r>
      <w:r>
        <w:t xml:space="preserve"> Zwei Aussagen (und sagen wird die künftige Generation, eure Kinder, die aufstehen werden nach euch, und der Ausländer, der kommen wird aus fernem Land – und sehen werden sie die Plagen jenes Landes und seine Krankheiten, womit JHWH es geschlagen hat).</w:t>
      </w:r>
    </w:p>
    <w:p w14:paraId="74D6E91F" w14:textId="22CD6391" w:rsidR="008A57FB" w:rsidRDefault="008A57FB" w:rsidP="00B77CC6">
      <w:pPr>
        <w:pStyle w:val="whitespace-normal"/>
      </w:pPr>
      <w:r>
        <w:rPr>
          <w:rStyle w:val="Fett"/>
          <w:rFonts w:eastAsiaTheme="majorEastAsia"/>
        </w:rPr>
        <w:t>Der Vers beschreibt:</w:t>
      </w:r>
      <w:r>
        <w:t xml:space="preserve"> Zukünftige Zeugen – Kinder und Fremde sehen das verwüstete Land und dessen Plagen.</w:t>
      </w:r>
    </w:p>
    <w:p w14:paraId="73BA3B7A" w14:textId="77777777" w:rsidR="008A57FB" w:rsidRPr="008D48A3" w:rsidRDefault="008A57FB" w:rsidP="008D48A3">
      <w:pPr>
        <w:pStyle w:val="Bibelberschrift"/>
      </w:pPr>
      <w:r w:rsidRPr="008D48A3">
        <w:rPr>
          <w:rStyle w:val="Fett"/>
          <w:b/>
          <w:bCs w:val="0"/>
        </w:rPr>
        <w:t>Deuteronomium 29,22 (29,23 MT)</w:t>
      </w:r>
    </w:p>
    <w:p w14:paraId="4A88A2D8" w14:textId="77777777" w:rsidR="008A57FB" w:rsidRDefault="008A57FB" w:rsidP="008A57FB">
      <w:pPr>
        <w:pStyle w:val="whitespace-normal"/>
      </w:pPr>
      <w:r>
        <w:rPr>
          <w:rStyle w:val="Fett"/>
          <w:rFonts w:eastAsiaTheme="majorEastAsia"/>
        </w:rPr>
        <w:t>Hebräisch:</w:t>
      </w:r>
      <w:r>
        <w:t xml:space="preserve"> </w:t>
      </w:r>
      <w:r>
        <w:rPr>
          <w:rtl/>
        </w:rPr>
        <w:t>גָּפְרִית וָמֶלַח שְׂרֵפָה כָל־אַרְצָהּ לֹא תִזָּרַע וְלֹא תַצְמִחַ וְלֹא־יַעֲלֶה בָהּ כָּל־עֵשֶׂב כְּמַהְפֵּכַת סְדֹם וַעֲמֹרָה אַדְמָה וּצְבֹיִּים אֲשֶׁר הָפַךְ יְהוָה בְּאַפּוֹ וּבַחֲמָתוֹ׃</w:t>
      </w:r>
    </w:p>
    <w:p w14:paraId="76DC051E" w14:textId="77777777" w:rsidR="008A57FB" w:rsidRDefault="008A57FB" w:rsidP="008A57FB">
      <w:pPr>
        <w:pStyle w:val="whitespace-normal"/>
      </w:pPr>
      <w:r>
        <w:rPr>
          <w:rStyle w:val="Fett"/>
          <w:rFonts w:eastAsiaTheme="majorEastAsia"/>
        </w:rPr>
        <w:t>Deutsch:</w:t>
      </w:r>
      <w:r>
        <w:t xml:space="preserve"> Schwefel und Salz, eine Brandstätte ist sein ganzes Land; es wird nicht besät und lässt nichts sprossen, und keinerlei Kraut kommt darin auf – wie die Umkehrung von Sodom und Gomorra, Adma und Zebojim, die JHWH umgekehrt hat in seinem Zorn und in seinem Grimm.</w:t>
      </w:r>
    </w:p>
    <w:p w14:paraId="71BD4921" w14:textId="77777777" w:rsidR="008A57FB" w:rsidRDefault="004F5CEB" w:rsidP="008A57FB">
      <w:r>
        <w:rPr>
          <w:noProof/>
        </w:rPr>
        <w:pict w14:anchorId="7193E704">
          <v:rect id="_x0000_i1835" style="width:0;height:1.5pt" o:hralign="center" o:hrstd="t" o:hr="t" fillcolor="#a0a0a0" stroked="f"/>
        </w:pict>
      </w:r>
    </w:p>
    <w:p w14:paraId="05AB734C"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גָּפְרִית וָמֶלַח שְׂרֵפָה כָל־אַרְצָהּ לֹא תִזָּרַע וְלֹא תַצְמִחַ וְלֹא־יַעֲלֶה בָהּ כָּל־עֵשֶׂב כְּמַהְפֵּכַת סְדֹם וַעֲמֹרָה אַדְמָה וּצְבֹיִּים אֲשֶׁר הָפַךְ יְהוָה בְּאַפּוֹ וּבַחֲמָתוֹ</w:t>
      </w:r>
      <w:r>
        <w:rPr>
          <w:rtl/>
        </w:rPr>
        <w:t xml:space="preserve"> </w:t>
      </w:r>
      <w:r>
        <w:t xml:space="preserve">sind Beschreibung und Vergleich: </w:t>
      </w:r>
      <w:r>
        <w:rPr>
          <w:rStyle w:val="Fett"/>
          <w:rFonts w:eastAsiaTheme="majorEastAsia"/>
          <w:rtl/>
        </w:rPr>
        <w:t>גָּפְרִית וָמֶלַח שְׂרֵפָה כָל־אַרְצָהּ לֹא תִזָּרַע וְלֹא תַצְמִחַ וְלֹא־יַעֲלֶה בָהּ כָּל־עֵשֶׂב</w:t>
      </w:r>
      <w:r>
        <w:rPr>
          <w:rtl/>
        </w:rPr>
        <w:t xml:space="preserve"> </w:t>
      </w:r>
      <w:r>
        <w:t>(</w:t>
      </w:r>
      <w:r>
        <w:rPr>
          <w:rStyle w:val="Fett"/>
          <w:rFonts w:eastAsiaTheme="majorEastAsia"/>
          <w:rtl/>
        </w:rPr>
        <w:t>גָּפְרִית</w:t>
      </w:r>
      <w:r>
        <w:t xml:space="preserve">, „Schwefel", koordiniert durch </w:t>
      </w:r>
      <w:r>
        <w:rPr>
          <w:rStyle w:val="Fett"/>
          <w:rFonts w:eastAsiaTheme="majorEastAsia"/>
          <w:rtl/>
        </w:rPr>
        <w:t>וָ</w:t>
      </w:r>
      <w:r>
        <w:rPr>
          <w:rtl/>
        </w:rPr>
        <w:t xml:space="preserve"> </w:t>
      </w:r>
      <w:r>
        <w:t xml:space="preserve">mit </w:t>
      </w:r>
      <w:r>
        <w:rPr>
          <w:rStyle w:val="Fett"/>
          <w:rFonts w:eastAsiaTheme="majorEastAsia"/>
          <w:rtl/>
        </w:rPr>
        <w:t>מֶלַח</w:t>
      </w:r>
      <w:r>
        <w:t xml:space="preserve">, „Salz", </w:t>
      </w:r>
      <w:r>
        <w:rPr>
          <w:rStyle w:val="Fett"/>
          <w:rFonts w:eastAsiaTheme="majorEastAsia"/>
          <w:rtl/>
        </w:rPr>
        <w:t>שְׂרֵפָה</w:t>
      </w:r>
      <w:r>
        <w:t xml:space="preserve">, „Brandstätte, Verbrennung", </w:t>
      </w:r>
      <w:r>
        <w:rPr>
          <w:rStyle w:val="Fett"/>
          <w:rFonts w:eastAsiaTheme="majorEastAsia"/>
          <w:rtl/>
        </w:rPr>
        <w:t>כָּל־אַרְצָהּ</w:t>
      </w:r>
      <w:r>
        <w:t xml:space="preserve">, drei negative Aussagen: (1) Negation, </w:t>
      </w:r>
      <w:r>
        <w:rPr>
          <w:rStyle w:val="Fett"/>
          <w:rFonts w:eastAsiaTheme="majorEastAsia"/>
          <w:rtl/>
        </w:rPr>
        <w:t>זרע</w:t>
      </w:r>
      <w:r>
        <w:t xml:space="preserve">, Niphal Imperfekt, 3. Person Femininum Singular, „besät werden", (2) koordiniert durch </w:t>
      </w:r>
      <w:r>
        <w:rPr>
          <w:rStyle w:val="Fett"/>
          <w:rFonts w:eastAsiaTheme="majorEastAsia"/>
          <w:rtl/>
        </w:rPr>
        <w:t>וְ</w:t>
      </w:r>
      <w:r>
        <w:rPr>
          <w:rtl/>
        </w:rPr>
        <w:t xml:space="preserve"> </w:t>
      </w:r>
      <w:r>
        <w:t xml:space="preserve">mit Negation, </w:t>
      </w:r>
      <w:r>
        <w:rPr>
          <w:rStyle w:val="Fett"/>
          <w:rFonts w:eastAsiaTheme="majorEastAsia"/>
          <w:rtl/>
        </w:rPr>
        <w:t>צמח</w:t>
      </w:r>
      <w:r>
        <w:t xml:space="preserve">, Hiphil Imperfekt, 3. Person Femininum Singular, „sprossen lassen, Vegetation hervorbringen", (3) koordiniert durch </w:t>
      </w:r>
      <w:r>
        <w:rPr>
          <w:rStyle w:val="Fett"/>
          <w:rFonts w:eastAsiaTheme="majorEastAsia"/>
          <w:rtl/>
        </w:rPr>
        <w:t>וְ</w:t>
      </w:r>
      <w:r>
        <w:rPr>
          <w:rtl/>
        </w:rPr>
        <w:t xml:space="preserve"> </w:t>
      </w:r>
      <w:r>
        <w:t xml:space="preserve">mit Negation, </w:t>
      </w:r>
      <w:r>
        <w:rPr>
          <w:rStyle w:val="Fett"/>
          <w:rFonts w:eastAsiaTheme="majorEastAsia"/>
          <w:rtl/>
        </w:rPr>
        <w:t>עלה</w:t>
      </w:r>
      <w:r>
        <w:t xml:space="preserve">, Qal Imperfekt, 3. Person Maskulinum Singular, „aufkommen, emporsteigen", Präposition </w:t>
      </w:r>
      <w:r>
        <w:rPr>
          <w:rStyle w:val="Fett"/>
          <w:rFonts w:eastAsiaTheme="majorEastAsia"/>
          <w:rtl/>
        </w:rPr>
        <w:t>בְּ</w:t>
      </w:r>
      <w:r>
        <w:rPr>
          <w:rtl/>
        </w:rPr>
        <w:t xml:space="preserve"> </w:t>
      </w:r>
      <w:r>
        <w:t xml:space="preserve">mit Suffix 3. Person Femininum Singular, </w:t>
      </w:r>
      <w:r>
        <w:rPr>
          <w:rStyle w:val="Fett"/>
          <w:rFonts w:eastAsiaTheme="majorEastAsia"/>
          <w:rtl/>
        </w:rPr>
        <w:t>כָּל־עֵשֶׂב</w:t>
      </w:r>
      <w:r>
        <w:t xml:space="preserve">, „jegliches Kraut"), </w:t>
      </w:r>
      <w:r>
        <w:rPr>
          <w:rStyle w:val="Fett"/>
          <w:rFonts w:eastAsiaTheme="majorEastAsia"/>
          <w:rtl/>
        </w:rPr>
        <w:t>כְּמַהְפֵּכַת סְדֹם וַעֲמֹרָה אַדְמָה וּצְבֹיִּים אֲשֶׁר הָפַךְ יְהוָה בְּאַפּוֹ וּבַחֲמָתוֹ</w:t>
      </w:r>
      <w:r>
        <w:rPr>
          <w:rtl/>
        </w:rPr>
        <w:t xml:space="preserve"> </w:t>
      </w:r>
      <w:r>
        <w:t xml:space="preserve">(Vergleichssatz: </w:t>
      </w:r>
      <w:r>
        <w:rPr>
          <w:rStyle w:val="Fett"/>
          <w:rFonts w:eastAsiaTheme="majorEastAsia"/>
          <w:rtl/>
        </w:rPr>
        <w:t>כְּ</w:t>
      </w:r>
      <w:r>
        <w:rPr>
          <w:rtl/>
        </w:rPr>
        <w:t xml:space="preserve"> </w:t>
      </w:r>
      <w:r>
        <w:t xml:space="preserve">mit </w:t>
      </w:r>
      <w:r>
        <w:rPr>
          <w:rStyle w:val="Fett"/>
          <w:rFonts w:eastAsiaTheme="majorEastAsia"/>
          <w:rtl/>
        </w:rPr>
        <w:t>מַהְפֵּכָה</w:t>
      </w:r>
      <w:r>
        <w:t xml:space="preserve">, „Umkehrung, Zerstörung", Construct mit vier Städten: </w:t>
      </w:r>
      <w:r>
        <w:rPr>
          <w:rStyle w:val="Fett"/>
          <w:rFonts w:eastAsiaTheme="majorEastAsia"/>
          <w:rtl/>
        </w:rPr>
        <w:t>סְדֹם</w:t>
      </w:r>
      <w:r>
        <w:t xml:space="preserve">, koordiniert mit </w:t>
      </w:r>
      <w:r>
        <w:rPr>
          <w:rStyle w:val="Fett"/>
          <w:rFonts w:eastAsiaTheme="majorEastAsia"/>
          <w:rtl/>
        </w:rPr>
        <w:t>עֲמֹרָה</w:t>
      </w:r>
      <w:r>
        <w:t xml:space="preserve">, </w:t>
      </w:r>
      <w:r>
        <w:rPr>
          <w:rStyle w:val="Fett"/>
          <w:rFonts w:eastAsiaTheme="majorEastAsia"/>
          <w:rtl/>
        </w:rPr>
        <w:t>אַדְמָה</w:t>
      </w:r>
      <w:r>
        <w:t xml:space="preserve">, koordiniert mit </w:t>
      </w:r>
      <w:r>
        <w:rPr>
          <w:rStyle w:val="Fett"/>
          <w:rFonts w:eastAsiaTheme="majorEastAsia"/>
          <w:rtl/>
        </w:rPr>
        <w:t>צְבֹיִּים</w:t>
      </w:r>
      <w:r>
        <w:t xml:space="preserve">, Relativsatz: </w:t>
      </w:r>
      <w:r>
        <w:rPr>
          <w:rStyle w:val="Fett"/>
          <w:rFonts w:eastAsiaTheme="majorEastAsia"/>
          <w:rtl/>
        </w:rPr>
        <w:t>אֲשֶׁר הָפַךְ יְהוָה בְּאַפּוֹ וּבַחֲמָתוֹ</w:t>
      </w:r>
      <w:r>
        <w:rPr>
          <w:rtl/>
        </w:rPr>
        <w:t xml:space="preserve"> </w:t>
      </w:r>
      <w:r>
        <w:t xml:space="preserve">mit </w:t>
      </w:r>
      <w:r>
        <w:rPr>
          <w:rStyle w:val="Fett"/>
          <w:rFonts w:eastAsiaTheme="majorEastAsia"/>
          <w:rtl/>
        </w:rPr>
        <w:t>הפך</w:t>
      </w:r>
      <w:r>
        <w:t xml:space="preserve">, Qal Perfekt, 3. Person Maskulinum Singular, „umkehren, zerstören", </w:t>
      </w:r>
      <w:r>
        <w:rPr>
          <w:rStyle w:val="Fett"/>
          <w:rFonts w:eastAsiaTheme="majorEastAsia"/>
          <w:rtl/>
        </w:rPr>
        <w:t>יְהוָה</w:t>
      </w:r>
      <w:r>
        <w:rPr>
          <w:rtl/>
        </w:rPr>
        <w:t xml:space="preserve"> </w:t>
      </w:r>
      <w:r>
        <w:t xml:space="preserve">als Subjekt, Präposition </w:t>
      </w:r>
      <w:r>
        <w:rPr>
          <w:rStyle w:val="Fett"/>
          <w:rFonts w:eastAsiaTheme="majorEastAsia"/>
          <w:rtl/>
        </w:rPr>
        <w:t>בְּ</w:t>
      </w:r>
      <w:r>
        <w:rPr>
          <w:rtl/>
        </w:rPr>
        <w:t xml:space="preserve"> </w:t>
      </w:r>
      <w:r>
        <w:t xml:space="preserve">mit </w:t>
      </w:r>
      <w:r>
        <w:rPr>
          <w:rStyle w:val="Fett"/>
          <w:rFonts w:eastAsiaTheme="majorEastAsia"/>
          <w:rtl/>
        </w:rPr>
        <w:t>אַף</w:t>
      </w:r>
      <w:r>
        <w:t xml:space="preserve">, „Zorn", mit Suffix 3. Person Maskulinum Singular, koordiniert durch </w:t>
      </w:r>
      <w:r>
        <w:rPr>
          <w:rStyle w:val="Fett"/>
          <w:rFonts w:eastAsiaTheme="majorEastAsia"/>
          <w:rtl/>
        </w:rPr>
        <w:t>וּ</w:t>
      </w:r>
      <w:r>
        <w:rPr>
          <w:rtl/>
        </w:rPr>
        <w:t xml:space="preserve"> </w:t>
      </w:r>
      <w:r>
        <w:t xml:space="preserve">mit Präposition </w:t>
      </w:r>
      <w:r>
        <w:rPr>
          <w:rStyle w:val="Fett"/>
          <w:rFonts w:eastAsiaTheme="majorEastAsia"/>
          <w:rtl/>
        </w:rPr>
        <w:t>בְּ</w:t>
      </w:r>
      <w:r>
        <w:t xml:space="preserve">, </w:t>
      </w:r>
      <w:r>
        <w:rPr>
          <w:rStyle w:val="Fett"/>
          <w:rFonts w:eastAsiaTheme="majorEastAsia"/>
          <w:rtl/>
        </w:rPr>
        <w:t>חֵמָה</w:t>
      </w:r>
      <w:r>
        <w:t>, „Grimm, Zorn", mit Suffix).</w:t>
      </w:r>
    </w:p>
    <w:p w14:paraId="1D72EB46" w14:textId="3518235B" w:rsidR="008A57FB" w:rsidRDefault="008A57FB" w:rsidP="008A57FB">
      <w:pPr>
        <w:pStyle w:val="whitespace-normal"/>
      </w:pPr>
      <w:r>
        <w:t xml:space="preserve">Der Vers beschreibt die totale Verwüstung des Landes. Die Beschreibung: </w:t>
      </w:r>
      <w:r>
        <w:rPr>
          <w:rStyle w:val="Fett"/>
          <w:rFonts w:eastAsiaTheme="majorEastAsia"/>
          <w:rtl/>
        </w:rPr>
        <w:t>גָּפְרִית וָמֶלַח שְׂרֵפָה כָל־אַרְצָהּ לֹא תִזָּרַע וְלֹא תַצְמִחַ וְלֹא־יַעֲלֶה בָהּ כָּל־עֵשֶׂב</w:t>
      </w:r>
      <w:r>
        <w:rPr>
          <w:rtl/>
        </w:rPr>
        <w:t xml:space="preserve"> </w:t>
      </w:r>
      <w:r>
        <w:t xml:space="preserve">(„Schwefel und Salz, eine Brandstätte ist sein </w:t>
      </w:r>
      <w:r>
        <w:lastRenderedPageBreak/>
        <w:t xml:space="preserve">ganzes Land; nicht wird es besät und nicht lässt es sprossen, und nicht kommt auf darin jegliches Kraut"). Die beiden Begriffe </w:t>
      </w:r>
      <w:r>
        <w:rPr>
          <w:rStyle w:val="Fett"/>
          <w:rFonts w:eastAsiaTheme="majorEastAsia"/>
          <w:rtl/>
        </w:rPr>
        <w:t>גָּפְרִית</w:t>
      </w:r>
      <w:r>
        <w:rPr>
          <w:rtl/>
        </w:rPr>
        <w:t xml:space="preserve"> </w:t>
      </w:r>
      <w:r>
        <w:t xml:space="preserve">(„Schwefel") und </w:t>
      </w:r>
      <w:r>
        <w:rPr>
          <w:rStyle w:val="Fett"/>
          <w:rFonts w:eastAsiaTheme="majorEastAsia"/>
          <w:rtl/>
        </w:rPr>
        <w:t>מֶלַח</w:t>
      </w:r>
      <w:r>
        <w:rPr>
          <w:rtl/>
        </w:rPr>
        <w:t xml:space="preserve"> </w:t>
      </w:r>
      <w:r>
        <w:t xml:space="preserve">(„Salz") beschreiben unfruchtbare, verbrannte Erde (vgl. Ps 107,34; Jer 17,6; Zeph 2,9). </w:t>
      </w:r>
      <w:r>
        <w:rPr>
          <w:rStyle w:val="Fett"/>
          <w:rFonts w:eastAsiaTheme="majorEastAsia"/>
          <w:rtl/>
        </w:rPr>
        <w:t>שְׂרֵפָה</w:t>
      </w:r>
      <w:r>
        <w:rPr>
          <w:rtl/>
        </w:rPr>
        <w:t xml:space="preserve"> </w:t>
      </w:r>
      <w:r>
        <w:t xml:space="preserve">(„Brandstätte") – verbranntes Land. Die drei negativen Aussagen beschreiben totale Unfruchtbarkeit: (1) </w:t>
      </w:r>
      <w:r>
        <w:rPr>
          <w:rStyle w:val="Fett"/>
          <w:rFonts w:eastAsiaTheme="majorEastAsia"/>
          <w:rtl/>
        </w:rPr>
        <w:t>לֹא תִזָּרַע</w:t>
      </w:r>
      <w:r>
        <w:rPr>
          <w:rtl/>
        </w:rPr>
        <w:t xml:space="preserve"> </w:t>
      </w:r>
      <w:r>
        <w:t xml:space="preserve">(„nicht wird es besät") – kein Ackerbau möglich. (2) </w:t>
      </w:r>
      <w:r>
        <w:rPr>
          <w:rStyle w:val="Fett"/>
          <w:rFonts w:eastAsiaTheme="majorEastAsia"/>
          <w:rtl/>
        </w:rPr>
        <w:t>לֹא תַצְמִחַ</w:t>
      </w:r>
      <w:r>
        <w:rPr>
          <w:rtl/>
        </w:rPr>
        <w:t xml:space="preserve"> </w:t>
      </w:r>
      <w:r>
        <w:t xml:space="preserve">(„nicht lässt es sprossen") – keine Vegetation. (3) </w:t>
      </w:r>
      <w:r>
        <w:rPr>
          <w:rStyle w:val="Fett"/>
          <w:rFonts w:eastAsiaTheme="majorEastAsia"/>
          <w:rtl/>
        </w:rPr>
        <w:t>לֹא־יַעֲלֶה בָהּ כָּל־עֵשֶׂב</w:t>
      </w:r>
      <w:r>
        <w:rPr>
          <w:rtl/>
        </w:rPr>
        <w:t xml:space="preserve"> </w:t>
      </w:r>
      <w:r>
        <w:t xml:space="preserve">(„nicht kommt auf darin jegliches Kraut") – nicht einmal Wildkräuter. Der Vergleich: </w:t>
      </w:r>
      <w:r>
        <w:rPr>
          <w:rStyle w:val="Fett"/>
          <w:rFonts w:eastAsiaTheme="majorEastAsia"/>
          <w:rtl/>
        </w:rPr>
        <w:t>כְּמַהְפֵּכַת סְדֹם וַעֲמֹרָה אַדְמָה וּצְבֹיִּים אֲשֶׁר הָפַךְ יְהוָה בְּאַפּוֹ וּבַחֲמָתוֹ</w:t>
      </w:r>
      <w:r>
        <w:rPr>
          <w:rtl/>
        </w:rPr>
        <w:t xml:space="preserve"> </w:t>
      </w:r>
      <w:r>
        <w:t xml:space="preserve">(„wie die Umkehrung von Sodom und Gomorra, Adma und Zebojim, die JHWH umgekehrt hat in seinem Zorn und in seinem Grimm"). Die vier Städte der Ebene, die JHWH zerstörte (vgl. Gen 19,24-25.28-29; 14,2.8; Hos 11,8). Das Verb </w:t>
      </w:r>
      <w:r>
        <w:rPr>
          <w:rStyle w:val="Fett"/>
          <w:rFonts w:eastAsiaTheme="majorEastAsia"/>
          <w:rtl/>
        </w:rPr>
        <w:t>הפך</w:t>
      </w:r>
      <w:r>
        <w:rPr>
          <w:rtl/>
        </w:rPr>
        <w:t xml:space="preserve"> </w:t>
      </w:r>
      <w:r>
        <w:t xml:space="preserve">(„umkehren, zerstören") wird für die Zerstörung Sodoms verwendet (Gen 19,25.29). Die beiden Begriffe </w:t>
      </w:r>
      <w:r>
        <w:rPr>
          <w:rStyle w:val="Fett"/>
          <w:rFonts w:eastAsiaTheme="majorEastAsia"/>
          <w:rtl/>
        </w:rPr>
        <w:t>אַף</w:t>
      </w:r>
      <w:r>
        <w:rPr>
          <w:rtl/>
        </w:rPr>
        <w:t xml:space="preserve"> </w:t>
      </w:r>
      <w:r>
        <w:t xml:space="preserve">(„Zorn") und </w:t>
      </w:r>
      <w:r>
        <w:rPr>
          <w:rStyle w:val="Fett"/>
          <w:rFonts w:eastAsiaTheme="majorEastAsia"/>
          <w:rtl/>
        </w:rPr>
        <w:t>חֵמָה</w:t>
      </w:r>
      <w:r>
        <w:rPr>
          <w:rtl/>
        </w:rPr>
        <w:t xml:space="preserve"> </w:t>
      </w:r>
      <w:r>
        <w:t>(„Grimm") wie V. 19, 26, 27.</w:t>
      </w:r>
    </w:p>
    <w:p w14:paraId="2DC51A84" w14:textId="77777777" w:rsidR="004F2264" w:rsidRPr="004F2264" w:rsidRDefault="004F2264" w:rsidP="004F2264">
      <w:pPr>
        <w:spacing w:before="100" w:beforeAutospacing="1" w:after="100" w:afterAutospacing="1" w:line="240" w:lineRule="auto"/>
        <w:outlineLvl w:val="1"/>
        <w:rPr>
          <w:rFonts w:eastAsia="Times New Roman"/>
          <w:b/>
          <w:bCs/>
          <w:sz w:val="36"/>
          <w:szCs w:val="36"/>
          <w:lang w:eastAsia="de-DE"/>
        </w:rPr>
      </w:pPr>
      <w:r w:rsidRPr="004F2264">
        <w:rPr>
          <w:rFonts w:eastAsia="Times New Roman"/>
          <w:b/>
          <w:bCs/>
          <w:sz w:val="36"/>
          <w:szCs w:val="36"/>
          <w:lang w:eastAsia="de-DE"/>
        </w:rPr>
        <w:t>Vers 22 (MT) / Vers 23 (LXX)</w:t>
      </w:r>
    </w:p>
    <w:p w14:paraId="7A111CBE" w14:textId="34C5E2EB" w:rsidR="004F2264" w:rsidRPr="004F2264" w:rsidRDefault="004F2264" w:rsidP="004F2264">
      <w:pPr>
        <w:spacing w:before="100" w:beforeAutospacing="1" w:after="100" w:afterAutospacing="1" w:line="240" w:lineRule="auto"/>
        <w:rPr>
          <w:rFonts w:eastAsia="Times New Roman"/>
          <w:lang w:eastAsia="de-DE"/>
        </w:rPr>
      </w:pPr>
      <w:r w:rsidRPr="004F2264">
        <w:rPr>
          <w:rFonts w:eastAsia="Times New Roman"/>
          <w:b/>
          <w:bCs/>
          <w:lang w:eastAsia="de-DE"/>
        </w:rPr>
        <w:t>Die LXX</w:t>
      </w:r>
      <w:r w:rsidRPr="004F2264">
        <w:rPr>
          <w:rFonts w:eastAsia="Times New Roman"/>
          <w:lang w:eastAsia="de-DE"/>
        </w:rPr>
        <w:t xml:space="preserve"> übersetzt </w:t>
      </w:r>
      <w:r w:rsidRPr="004F2264">
        <w:rPr>
          <w:rFonts w:eastAsia="Times New Roman"/>
          <w:rtl/>
          <w:lang w:eastAsia="de-DE"/>
        </w:rPr>
        <w:t>גָּפְרִית וָמֶלַח שְׂרֵפָה</w:t>
      </w:r>
      <w:r w:rsidRPr="004F2264">
        <w:rPr>
          <w:rFonts w:eastAsia="Times New Roman"/>
          <w:lang w:eastAsia="de-DE"/>
        </w:rPr>
        <w:t xml:space="preserve"> (Schwefel und Salz, eine Brandstätte) mit </w:t>
      </w:r>
      <w:proofErr w:type="spellStart"/>
      <w:r w:rsidRPr="004F2264">
        <w:rPr>
          <w:rFonts w:eastAsia="Times New Roman"/>
          <w:lang w:eastAsia="de-DE"/>
        </w:rPr>
        <w:t>θεῖον</w:t>
      </w:r>
      <w:proofErr w:type="spellEnd"/>
      <w:r w:rsidRPr="004F2264">
        <w:rPr>
          <w:rFonts w:eastAsia="Times New Roman"/>
          <w:lang w:eastAsia="de-DE"/>
        </w:rPr>
        <w:t xml:space="preserve"> καὶ </w:t>
      </w:r>
      <w:proofErr w:type="spellStart"/>
      <w:r w:rsidRPr="004F2264">
        <w:rPr>
          <w:rFonts w:eastAsia="Times New Roman"/>
          <w:lang w:eastAsia="de-DE"/>
        </w:rPr>
        <w:t>ἅλ</w:t>
      </w:r>
      <w:proofErr w:type="spellEnd"/>
      <w:r w:rsidRPr="004F2264">
        <w:rPr>
          <w:rFonts w:eastAsia="Times New Roman"/>
          <w:lang w:eastAsia="de-DE"/>
        </w:rPr>
        <w:t>α κατα</w:t>
      </w:r>
      <w:proofErr w:type="spellStart"/>
      <w:r w:rsidRPr="004F2264">
        <w:rPr>
          <w:rFonts w:eastAsia="Times New Roman"/>
          <w:lang w:eastAsia="de-DE"/>
        </w:rPr>
        <w:t>κεκ</w:t>
      </w:r>
      <w:proofErr w:type="spellEnd"/>
      <w:r w:rsidRPr="004F2264">
        <w:rPr>
          <w:rFonts w:eastAsia="Times New Roman"/>
          <w:lang w:eastAsia="de-DE"/>
        </w:rPr>
        <w:t>αυμένον (Schwefel und Salz verbrannt) – wobei κατακα</w:t>
      </w:r>
      <w:proofErr w:type="spellStart"/>
      <w:r w:rsidRPr="004F2264">
        <w:rPr>
          <w:rFonts w:eastAsia="Times New Roman"/>
          <w:lang w:eastAsia="de-DE"/>
        </w:rPr>
        <w:t>ίω</w:t>
      </w:r>
      <w:proofErr w:type="spellEnd"/>
      <w:r w:rsidRPr="004F2264">
        <w:rPr>
          <w:rFonts w:eastAsia="Times New Roman"/>
          <w:lang w:eastAsia="de-DE"/>
        </w:rPr>
        <w:t xml:space="preserve"> "verbrennen, verzehren" bedeutet. Die Städtenamen </w:t>
      </w:r>
      <w:r w:rsidRPr="004F2264">
        <w:rPr>
          <w:rFonts w:eastAsia="Times New Roman"/>
          <w:rtl/>
          <w:lang w:eastAsia="de-DE"/>
        </w:rPr>
        <w:t>אַדְמָה וּצְבֹיִּים</w:t>
      </w:r>
      <w:r w:rsidRPr="004F2264">
        <w:rPr>
          <w:rFonts w:eastAsia="Times New Roman"/>
          <w:lang w:eastAsia="de-DE"/>
        </w:rPr>
        <w:t xml:space="preserve"> werden als </w:t>
      </w:r>
      <w:proofErr w:type="spellStart"/>
      <w:r w:rsidRPr="004F2264">
        <w:rPr>
          <w:rFonts w:eastAsia="Times New Roman"/>
          <w:lang w:eastAsia="de-DE"/>
        </w:rPr>
        <w:t>Ἀδ</w:t>
      </w:r>
      <w:proofErr w:type="spellEnd"/>
      <w:r w:rsidRPr="004F2264">
        <w:rPr>
          <w:rFonts w:eastAsia="Times New Roman"/>
          <w:lang w:eastAsia="de-DE"/>
        </w:rPr>
        <w:t xml:space="preserve">αμὰ καὶ </w:t>
      </w:r>
      <w:proofErr w:type="spellStart"/>
      <w:r w:rsidRPr="004F2264">
        <w:rPr>
          <w:rFonts w:eastAsia="Times New Roman"/>
          <w:lang w:eastAsia="de-DE"/>
        </w:rPr>
        <w:t>Σε</w:t>
      </w:r>
      <w:proofErr w:type="spellEnd"/>
      <w:r w:rsidRPr="004F2264">
        <w:rPr>
          <w:rFonts w:eastAsia="Times New Roman"/>
          <w:lang w:eastAsia="de-DE"/>
        </w:rPr>
        <w:t>βωείμ gräzisiert.</w:t>
      </w:r>
    </w:p>
    <w:p w14:paraId="5CB8ACE7" w14:textId="77777777" w:rsidR="008A57FB" w:rsidRDefault="008A57FB" w:rsidP="008A57FB">
      <w:pPr>
        <w:pStyle w:val="whitespace-normal"/>
      </w:pPr>
      <w:r>
        <w:rPr>
          <w:rStyle w:val="Fett"/>
          <w:rFonts w:eastAsiaTheme="majorEastAsia"/>
        </w:rPr>
        <w:t>Die Satzstruktur:</w:t>
      </w:r>
      <w:r>
        <w:t xml:space="preserve"> Beschreibung und Vergleich (Schwefel und Salz, eine Brandstätte ist sein ganzes Land; nicht wird es besät und nicht lässt es sprossen, und nicht kommt auf darin jegliches Kraut – wie die Umkehrung von Sodom und Gomorra, Adma und Zebojim, die JHWH umgekehrt hat in seinem Zorn und in seinem Grimm).</w:t>
      </w:r>
    </w:p>
    <w:p w14:paraId="7F85E5B7" w14:textId="67DA5CF7" w:rsidR="008A57FB" w:rsidRDefault="008A57FB" w:rsidP="00B77CC6">
      <w:pPr>
        <w:pStyle w:val="whitespace-normal"/>
      </w:pPr>
      <w:r>
        <w:rPr>
          <w:rStyle w:val="Fett"/>
          <w:rFonts w:eastAsiaTheme="majorEastAsia"/>
        </w:rPr>
        <w:t>Der Vers beschreibt:</w:t>
      </w:r>
      <w:r>
        <w:t xml:space="preserve"> Totale Verwüstung – unfruchtbar wie Sodom und Gomorra, keine Vegetation mehr möglich.</w:t>
      </w:r>
    </w:p>
    <w:p w14:paraId="4ECA899A" w14:textId="77777777" w:rsidR="008A57FB" w:rsidRPr="008D48A3" w:rsidRDefault="008A57FB" w:rsidP="008D48A3">
      <w:pPr>
        <w:pStyle w:val="Bibelberschrift"/>
      </w:pPr>
      <w:r w:rsidRPr="008D48A3">
        <w:rPr>
          <w:rStyle w:val="Fett"/>
          <w:b/>
          <w:bCs w:val="0"/>
        </w:rPr>
        <w:t>Deuteronomium 29,23 (29,24 MT)</w:t>
      </w:r>
    </w:p>
    <w:p w14:paraId="4B0DB6FB" w14:textId="77777777" w:rsidR="008A57FB" w:rsidRDefault="008A57FB" w:rsidP="008A57FB">
      <w:pPr>
        <w:pStyle w:val="whitespace-normal"/>
      </w:pPr>
      <w:r>
        <w:rPr>
          <w:rStyle w:val="Fett"/>
          <w:rFonts w:eastAsiaTheme="majorEastAsia"/>
        </w:rPr>
        <w:t>Hebräisch:</w:t>
      </w:r>
      <w:r>
        <w:t xml:space="preserve"> </w:t>
      </w:r>
      <w:r>
        <w:rPr>
          <w:rtl/>
        </w:rPr>
        <w:t>וְאָמְרוּ כָּל־הַגּוֹיִם עַל־מֶה עָשָׂה יְהוָה כָּכָה לָאָרֶץ הַזֹּאת מֶה חֳרִי הָאַף הַגָּדוֹל הַזֶּה׃</w:t>
      </w:r>
    </w:p>
    <w:p w14:paraId="68319372" w14:textId="77777777" w:rsidR="008A57FB" w:rsidRDefault="008A57FB" w:rsidP="008A57FB">
      <w:pPr>
        <w:pStyle w:val="whitespace-normal"/>
      </w:pPr>
      <w:r>
        <w:rPr>
          <w:rStyle w:val="Fett"/>
          <w:rFonts w:eastAsiaTheme="majorEastAsia"/>
        </w:rPr>
        <w:t>Deutsch:</w:t>
      </w:r>
      <w:r>
        <w:t xml:space="preserve"> Und sagen werden alle Völker: Warum hat JHWH so getan diesem Land? Was bedeutet diese große Zornglut?</w:t>
      </w:r>
    </w:p>
    <w:p w14:paraId="50F27B91" w14:textId="77777777" w:rsidR="008A57FB" w:rsidRDefault="004F5CEB" w:rsidP="008A57FB">
      <w:r>
        <w:rPr>
          <w:noProof/>
        </w:rPr>
        <w:pict w14:anchorId="2BA5F0B6">
          <v:rect id="_x0000_i1836" style="width:0;height:1.5pt" o:hralign="center" o:hrstd="t" o:hr="t" fillcolor="#a0a0a0" stroked="f"/>
        </w:pict>
      </w:r>
    </w:p>
    <w:p w14:paraId="017B4CE3"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וְאָמְרוּ כָּל־הַגּוֹיִם עַל־מֶה עָשָׂה יְהוָה כָּכָה לָאָרֶץ הַזֹּאת מֶה חֳרִי הָאַף הַגָּדוֹל הַזֶּה</w:t>
      </w:r>
      <w:r>
        <w:rPr>
          <w:rtl/>
        </w:rPr>
        <w:t xml:space="preserve"> </w:t>
      </w:r>
      <w:r>
        <w:t xml:space="preserve">sind Aussage und zwei Fragen: </w:t>
      </w:r>
      <w:r>
        <w:rPr>
          <w:rStyle w:val="Fett"/>
          <w:rFonts w:eastAsiaTheme="majorEastAsia"/>
          <w:rtl/>
        </w:rPr>
        <w:t>וְאָמְרוּ כָּל־הַגּוֹיִם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אמר</w:t>
      </w:r>
      <w:r>
        <w:t xml:space="preserve">, Qal Perfekt, 3. Person Plural, </w:t>
      </w:r>
      <w:r>
        <w:rPr>
          <w:rStyle w:val="Fett"/>
          <w:rFonts w:eastAsiaTheme="majorEastAsia"/>
          <w:rtl/>
        </w:rPr>
        <w:t>כָּל־גּוֹי</w:t>
      </w:r>
      <w:r>
        <w:rPr>
          <w:rtl/>
        </w:rPr>
        <w:t xml:space="preserve"> </w:t>
      </w:r>
      <w:r>
        <w:t xml:space="preserve">Plural mit Artikel als Subjekt, mit </w:t>
      </w:r>
      <w:r>
        <w:rPr>
          <w:rStyle w:val="Fett"/>
          <w:rFonts w:eastAsiaTheme="majorEastAsia"/>
        </w:rPr>
        <w:t>Waw</w:t>
      </w:r>
      <w:r>
        <w:t xml:space="preserve"> consecutivum), </w:t>
      </w:r>
      <w:r>
        <w:rPr>
          <w:rStyle w:val="Fett"/>
          <w:rFonts w:eastAsiaTheme="majorEastAsia"/>
          <w:rtl/>
        </w:rPr>
        <w:t>עַל־מֶה עָשָׂה יְהוָה כָּכָה לָאָרֶץ הַזֹּאת</w:t>
      </w:r>
      <w:r>
        <w:rPr>
          <w:rtl/>
        </w:rPr>
        <w:t xml:space="preserve"> </w:t>
      </w:r>
      <w:r>
        <w:t xml:space="preserve">(erste Frage: </w:t>
      </w:r>
      <w:r>
        <w:rPr>
          <w:rStyle w:val="Fett"/>
          <w:rFonts w:eastAsiaTheme="majorEastAsia"/>
          <w:rtl/>
        </w:rPr>
        <w:t>עַל־מֶה</w:t>
      </w:r>
      <w:r>
        <w:t xml:space="preserve">, „warum, weshalb", </w:t>
      </w:r>
      <w:r>
        <w:rPr>
          <w:rStyle w:val="Fett"/>
          <w:rFonts w:eastAsiaTheme="majorEastAsia"/>
          <w:rtl/>
        </w:rPr>
        <w:t>עשׂה</w:t>
      </w:r>
      <w:r>
        <w:t xml:space="preserve">, Qal Perfekt, 3. Person Maskulinum Singular, </w:t>
      </w:r>
      <w:r>
        <w:rPr>
          <w:rStyle w:val="Fett"/>
          <w:rFonts w:eastAsiaTheme="majorEastAsia"/>
          <w:rtl/>
        </w:rPr>
        <w:t>יְהוָה</w:t>
      </w:r>
      <w:r>
        <w:rPr>
          <w:rtl/>
        </w:rPr>
        <w:t xml:space="preserve"> </w:t>
      </w:r>
      <w:r>
        <w:t xml:space="preserve">als Subjekt, </w:t>
      </w:r>
      <w:r>
        <w:rPr>
          <w:rStyle w:val="Fett"/>
          <w:rFonts w:eastAsiaTheme="majorEastAsia"/>
          <w:rtl/>
        </w:rPr>
        <w:t>כָּכָה</w:t>
      </w:r>
      <w:r>
        <w:t xml:space="preserve">, „so, solches", </w:t>
      </w:r>
      <w:r>
        <w:rPr>
          <w:rStyle w:val="Fett"/>
          <w:rFonts w:eastAsiaTheme="majorEastAsia"/>
          <w:rtl/>
        </w:rPr>
        <w:t>לָאָרֶץ הַזֹּאת</w:t>
      </w:r>
      <w:r>
        <w:t xml:space="preserve">), </w:t>
      </w:r>
      <w:r>
        <w:rPr>
          <w:rStyle w:val="Fett"/>
          <w:rFonts w:eastAsiaTheme="majorEastAsia"/>
          <w:rtl/>
        </w:rPr>
        <w:t>מֶה חֳרִי הָאַף הַגָּדוֹל הַזֶּה</w:t>
      </w:r>
      <w:r>
        <w:rPr>
          <w:rtl/>
        </w:rPr>
        <w:t xml:space="preserve"> </w:t>
      </w:r>
      <w:r>
        <w:t xml:space="preserve">(zweite Frage: </w:t>
      </w:r>
      <w:r>
        <w:rPr>
          <w:rStyle w:val="Fett"/>
          <w:rFonts w:eastAsiaTheme="majorEastAsia"/>
          <w:rtl/>
        </w:rPr>
        <w:t>מֶה</w:t>
      </w:r>
      <w:r>
        <w:t xml:space="preserve">, „was", </w:t>
      </w:r>
      <w:r>
        <w:rPr>
          <w:rStyle w:val="Fett"/>
          <w:rFonts w:eastAsiaTheme="majorEastAsia"/>
          <w:rtl/>
        </w:rPr>
        <w:t>חֳרִי</w:t>
      </w:r>
      <w:r>
        <w:t xml:space="preserve">, „Glut, Brennen", Construct mit </w:t>
      </w:r>
      <w:r>
        <w:rPr>
          <w:rStyle w:val="Fett"/>
          <w:rFonts w:eastAsiaTheme="majorEastAsia"/>
          <w:rtl/>
        </w:rPr>
        <w:t>אַף</w:t>
      </w:r>
      <w:r>
        <w:rPr>
          <w:rtl/>
        </w:rPr>
        <w:t xml:space="preserve"> </w:t>
      </w:r>
      <w:r>
        <w:t xml:space="preserve">mit Artikel, </w:t>
      </w:r>
      <w:r>
        <w:rPr>
          <w:rStyle w:val="Fett"/>
          <w:rFonts w:eastAsiaTheme="majorEastAsia"/>
          <w:rtl/>
        </w:rPr>
        <w:t>גָּדוֹל</w:t>
      </w:r>
      <w:r>
        <w:rPr>
          <w:rtl/>
        </w:rPr>
        <w:t xml:space="preserve"> </w:t>
      </w:r>
      <w:r>
        <w:t xml:space="preserve">mit Artikel, </w:t>
      </w:r>
      <w:r>
        <w:rPr>
          <w:rStyle w:val="Fett"/>
          <w:rFonts w:eastAsiaTheme="majorEastAsia"/>
          <w:rtl/>
        </w:rPr>
        <w:t>זֶה</w:t>
      </w:r>
      <w:r>
        <w:t>).</w:t>
      </w:r>
    </w:p>
    <w:p w14:paraId="72414075" w14:textId="055E2CAF" w:rsidR="008A57FB" w:rsidRDefault="008A57FB" w:rsidP="008A57FB">
      <w:pPr>
        <w:pStyle w:val="whitespace-normal"/>
      </w:pPr>
      <w:r>
        <w:t xml:space="preserve">Der Vers führt die direkte Rede fort (begonnen in V. 21) – die Völker fragen nach dem Grund der Verwüstung. Die Aussage: </w:t>
      </w:r>
      <w:r>
        <w:rPr>
          <w:rStyle w:val="Fett"/>
          <w:rFonts w:eastAsiaTheme="majorEastAsia"/>
          <w:rtl/>
        </w:rPr>
        <w:t>וְאָמְרוּ כָּל־הַגּוֹיִם</w:t>
      </w:r>
      <w:r>
        <w:rPr>
          <w:rtl/>
        </w:rPr>
        <w:t xml:space="preserve"> </w:t>
      </w:r>
      <w:r>
        <w:t xml:space="preserve">(„und sagen werden alle Völker"). Die Formulierung </w:t>
      </w:r>
      <w:r>
        <w:rPr>
          <w:rStyle w:val="Fett"/>
          <w:rFonts w:eastAsiaTheme="majorEastAsia"/>
          <w:rtl/>
        </w:rPr>
        <w:t>כָּל־הַגּוֹיִם</w:t>
      </w:r>
      <w:r>
        <w:rPr>
          <w:rtl/>
        </w:rPr>
        <w:t xml:space="preserve"> </w:t>
      </w:r>
      <w:r>
        <w:t xml:space="preserve">(„alle Völker") betont: die Zerstörung ist so gewaltig, dass sie internationale Aufmerksamkeit erregt (vgl. </w:t>
      </w:r>
      <w:r w:rsidR="00664EB6">
        <w:t>1Kön</w:t>
      </w:r>
      <w:r>
        <w:t xml:space="preserve"> 9,8-9; Jer 22,8-9). Die erste Frage: </w:t>
      </w:r>
      <w:r>
        <w:rPr>
          <w:rStyle w:val="Fett"/>
          <w:rFonts w:eastAsiaTheme="majorEastAsia"/>
          <w:rtl/>
        </w:rPr>
        <w:t xml:space="preserve">עַל־מֶה </w:t>
      </w:r>
      <w:r>
        <w:rPr>
          <w:rStyle w:val="Fett"/>
          <w:rFonts w:eastAsiaTheme="majorEastAsia"/>
          <w:rtl/>
        </w:rPr>
        <w:lastRenderedPageBreak/>
        <w:t>עָשָׂה יְהוָה כָּכָה לָאָרֶץ הַזֹּאת</w:t>
      </w:r>
      <w:r>
        <w:rPr>
          <w:rtl/>
        </w:rPr>
        <w:t xml:space="preserve"> </w:t>
      </w:r>
      <w:r>
        <w:t xml:space="preserve">(„warum hat JHWH so getan diesem Land?"). Die Völker erkennen, dass JHWH selbst der Urheber der Zerstörung ist. Die zweite Frage: </w:t>
      </w:r>
      <w:r>
        <w:rPr>
          <w:rStyle w:val="Fett"/>
          <w:rFonts w:eastAsiaTheme="majorEastAsia"/>
          <w:rtl/>
        </w:rPr>
        <w:t>מֶה חֳרִי הָאַף הַגָּדוֹל הַזֶּה</w:t>
      </w:r>
      <w:r>
        <w:rPr>
          <w:rtl/>
        </w:rPr>
        <w:t xml:space="preserve"> </w:t>
      </w:r>
      <w:r>
        <w:t xml:space="preserve">(„was bedeutet diese große Zornglut?"). Der Begriff </w:t>
      </w:r>
      <w:r>
        <w:rPr>
          <w:rStyle w:val="Fett"/>
          <w:rFonts w:eastAsiaTheme="majorEastAsia"/>
          <w:rtl/>
        </w:rPr>
        <w:t>חֳרִי הָאַף</w:t>
      </w:r>
      <w:r>
        <w:rPr>
          <w:rtl/>
        </w:rPr>
        <w:t xml:space="preserve"> </w:t>
      </w:r>
      <w:r>
        <w:t xml:space="preserve">(„Glut des Zorns, Brennen des Zorns") kommt oft vor (vgl. Ex 32,12; Num 25,4; 32,14; Jos 7,26; </w:t>
      </w:r>
      <w:r w:rsidR="00664EB6">
        <w:t>1Sam</w:t>
      </w:r>
      <w:r>
        <w:t xml:space="preserve"> 28,18; </w:t>
      </w:r>
      <w:r w:rsidR="00664EB6">
        <w:t>2Chr</w:t>
      </w:r>
      <w:r>
        <w:t xml:space="preserve"> 28,11; 30,8; Ps 2,12; 58,10; 85,4; Jer 4,8.26; 12,13; 25,37-38; 30,24; 49,37; 51,45; Hos 11,9; Nah 1,6; Zeph 2,2; 3,8). Das Adjektiv </w:t>
      </w:r>
      <w:r>
        <w:rPr>
          <w:rStyle w:val="Fett"/>
          <w:rFonts w:eastAsiaTheme="majorEastAsia"/>
          <w:rtl/>
        </w:rPr>
        <w:t>גָּדוֹל</w:t>
      </w:r>
      <w:r>
        <w:rPr>
          <w:rtl/>
        </w:rPr>
        <w:t xml:space="preserve"> </w:t>
      </w:r>
      <w:r>
        <w:t>(„groß") betont die Intensität des Zorns. V. 24-27 werden die Antwort geben.</w:t>
      </w:r>
    </w:p>
    <w:p w14:paraId="4C52B7D9" w14:textId="77777777" w:rsidR="008A57FB" w:rsidRDefault="008A57FB" w:rsidP="008A57FB">
      <w:pPr>
        <w:pStyle w:val="whitespace-normal"/>
      </w:pPr>
      <w:r>
        <w:rPr>
          <w:rStyle w:val="Fett"/>
          <w:rFonts w:eastAsiaTheme="majorEastAsia"/>
        </w:rPr>
        <w:t>Die Satzstruktur:</w:t>
      </w:r>
      <w:r>
        <w:t xml:space="preserve"> Aussage und zwei Fragen (und sagen werden alle Völker: Warum hat JHWH so getan diesem Land? Was bedeutet diese große Zornglut?).</w:t>
      </w:r>
    </w:p>
    <w:p w14:paraId="3EE45EAC" w14:textId="486C0C33" w:rsidR="008A57FB" w:rsidRDefault="008A57FB" w:rsidP="00B77CC6">
      <w:pPr>
        <w:pStyle w:val="whitespace-normal"/>
      </w:pPr>
      <w:r>
        <w:rPr>
          <w:rStyle w:val="Fett"/>
          <w:rFonts w:eastAsiaTheme="majorEastAsia"/>
        </w:rPr>
        <w:t>Der Vers beschreibt:</w:t>
      </w:r>
      <w:r>
        <w:t xml:space="preserve"> Die Völker fragen – warum diese Zerstörung, was bedeutet dieser große Zorn JHWHs?</w:t>
      </w:r>
    </w:p>
    <w:p w14:paraId="5A10C4AC" w14:textId="77777777" w:rsidR="008A57FB" w:rsidRPr="008D48A3" w:rsidRDefault="008A57FB" w:rsidP="008D48A3">
      <w:pPr>
        <w:pStyle w:val="Bibelberschrift"/>
      </w:pPr>
      <w:r w:rsidRPr="008D48A3">
        <w:rPr>
          <w:rStyle w:val="Fett"/>
          <w:b/>
          <w:bCs w:val="0"/>
        </w:rPr>
        <w:t>Deuteronomium 29,24 (29,25 MT)</w:t>
      </w:r>
    </w:p>
    <w:p w14:paraId="5055F2AB" w14:textId="77777777" w:rsidR="008A57FB" w:rsidRDefault="008A57FB" w:rsidP="008A57FB">
      <w:pPr>
        <w:pStyle w:val="whitespace-normal"/>
      </w:pPr>
      <w:r>
        <w:rPr>
          <w:rStyle w:val="Fett"/>
          <w:rFonts w:eastAsiaTheme="majorEastAsia"/>
        </w:rPr>
        <w:t>Hebräisch:</w:t>
      </w:r>
      <w:r>
        <w:t xml:space="preserve"> </w:t>
      </w:r>
      <w:r>
        <w:rPr>
          <w:rtl/>
        </w:rPr>
        <w:t>וְאָמְרוּ עַל אֲשֶׁר עָזְבוּ אֶת־בְּרִית יְהוָה אֱלֹהֵי אֲבֹתָם אֲשֶׁר כָּרַת עִמָּם בְּהוֹצִיאוֹ אֹתָם מֵאֶרֶץ מִצְרָיִם׃</w:t>
      </w:r>
    </w:p>
    <w:p w14:paraId="0C4B7173" w14:textId="77777777" w:rsidR="008A57FB" w:rsidRDefault="008A57FB" w:rsidP="008A57FB">
      <w:pPr>
        <w:pStyle w:val="whitespace-normal"/>
      </w:pPr>
      <w:r>
        <w:rPr>
          <w:rStyle w:val="Fett"/>
          <w:rFonts w:eastAsiaTheme="majorEastAsia"/>
        </w:rPr>
        <w:t>Deutsch:</w:t>
      </w:r>
      <w:r>
        <w:t xml:space="preserve"> Und man wird sagen: Darum, dass sie verlassen haben den Bund des JHWH, des Gottes ihrer Väter, den er mit ihnen geschlossen hatte, als er sie herausführte aus dem Land Ägypten.</w:t>
      </w:r>
    </w:p>
    <w:p w14:paraId="454C0EC3" w14:textId="77777777" w:rsidR="008A57FB" w:rsidRDefault="004F5CEB" w:rsidP="008A57FB">
      <w:r>
        <w:rPr>
          <w:noProof/>
        </w:rPr>
        <w:pict w14:anchorId="41B08004">
          <v:rect id="_x0000_i1837" style="width:0;height:1.5pt" o:hralign="center" o:hrstd="t" o:hr="t" fillcolor="#a0a0a0" stroked="f"/>
        </w:pict>
      </w:r>
    </w:p>
    <w:p w14:paraId="11DF1B58"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וְאָמְרוּ עַל אֲשֶׁר עָזְבוּ אֶת־בְּרִית יְהוָה אֱלֹהֵי אֲבֹתָם אֲשֶׁר כָּרַת עִמָּם בְּהוֹצִיאוֹ אֹתָם מֵאֶרֶץ מִצְרָיִם</w:t>
      </w:r>
      <w:r>
        <w:rPr>
          <w:rtl/>
        </w:rPr>
        <w:t xml:space="preserve"> </w:t>
      </w:r>
      <w:r>
        <w:t xml:space="preserve">ist Antwort mit Kausalsatz: </w:t>
      </w:r>
      <w:r>
        <w:rPr>
          <w:rStyle w:val="Fett"/>
          <w:rFonts w:eastAsiaTheme="majorEastAsia"/>
          <w:rtl/>
        </w:rPr>
        <w:t>וְאָמְרוּ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אמר</w:t>
      </w:r>
      <w:r>
        <w:t xml:space="preserve">, Qal Perfekt, 3. Person Plural (unpersönlich: „man wird sagen"), mit </w:t>
      </w:r>
      <w:r>
        <w:rPr>
          <w:rStyle w:val="Fett"/>
          <w:rFonts w:eastAsiaTheme="majorEastAsia"/>
        </w:rPr>
        <w:t>Waw</w:t>
      </w:r>
      <w:r>
        <w:t xml:space="preserve"> consecutivum), </w:t>
      </w:r>
      <w:r>
        <w:rPr>
          <w:rStyle w:val="Fett"/>
          <w:rFonts w:eastAsiaTheme="majorEastAsia"/>
          <w:rtl/>
        </w:rPr>
        <w:t>עַל אֲשֶׁר עָזְבוּ אֶת־בְּרִית יְהוָה אֱלֹהֵי אֲבֹתָם אֲשֶׁר כָּרַת עִמָּם בְּהוֹצִיאוֹ אֹתָם מֵאֶרֶץ מִצְרָיִם</w:t>
      </w:r>
      <w:r>
        <w:rPr>
          <w:rtl/>
        </w:rPr>
        <w:t xml:space="preserve"> </w:t>
      </w:r>
      <w:r>
        <w:t xml:space="preserve">(Kausalsatz: </w:t>
      </w:r>
      <w:r>
        <w:rPr>
          <w:rStyle w:val="Fett"/>
          <w:rFonts w:eastAsiaTheme="majorEastAsia"/>
          <w:rtl/>
        </w:rPr>
        <w:t>עַל אֲשֶׁר</w:t>
      </w:r>
      <w:r>
        <w:t xml:space="preserve">, „darum dass, weil", </w:t>
      </w:r>
      <w:r>
        <w:rPr>
          <w:rStyle w:val="Fett"/>
          <w:rFonts w:eastAsiaTheme="majorEastAsia"/>
          <w:rtl/>
        </w:rPr>
        <w:t>עזב</w:t>
      </w:r>
      <w:r>
        <w:t xml:space="preserve">, Qal Perfekt, 3. Person Plural, „verlassen", Objektpartikel </w:t>
      </w:r>
      <w:r>
        <w:rPr>
          <w:rStyle w:val="Fett"/>
          <w:rFonts w:eastAsiaTheme="majorEastAsia"/>
          <w:rtl/>
        </w:rPr>
        <w:t>אֵת</w:t>
      </w:r>
      <w:r>
        <w:rPr>
          <w:rtl/>
        </w:rPr>
        <w:t xml:space="preserve"> </w:t>
      </w:r>
      <w:r>
        <w:t xml:space="preserve">mit </w:t>
      </w:r>
      <w:r>
        <w:rPr>
          <w:rStyle w:val="Fett"/>
          <w:rFonts w:eastAsiaTheme="majorEastAsia"/>
          <w:rtl/>
        </w:rPr>
        <w:t>בְּרִית</w:t>
      </w:r>
      <w:r>
        <w:rPr>
          <w:rtl/>
        </w:rPr>
        <w:t xml:space="preserve"> </w:t>
      </w:r>
      <w:r>
        <w:t xml:space="preserve">Construct mit </w:t>
      </w:r>
      <w:r>
        <w:rPr>
          <w:rStyle w:val="Fett"/>
          <w:rFonts w:eastAsiaTheme="majorEastAsia"/>
          <w:rtl/>
        </w:rPr>
        <w:t>יְהוָה אֱלֹהֵי אֲבֹתָם</w:t>
      </w:r>
      <w:r>
        <w:t xml:space="preserve">, Relativsatz: </w:t>
      </w:r>
      <w:r>
        <w:rPr>
          <w:rStyle w:val="Fett"/>
          <w:rFonts w:eastAsiaTheme="majorEastAsia"/>
          <w:rtl/>
        </w:rPr>
        <w:t>אֲשֶׁר כָּרַת עִמָּם בְּהוֹצִיאוֹ אֹתָם מֵאֶרֶץ מִצְרָיִם</w:t>
      </w:r>
      <w:r>
        <w:rPr>
          <w:rtl/>
        </w:rPr>
        <w:t xml:space="preserve"> </w:t>
      </w:r>
      <w:r>
        <w:t xml:space="preserve">mit </w:t>
      </w:r>
      <w:r>
        <w:rPr>
          <w:rStyle w:val="Fett"/>
          <w:rFonts w:eastAsiaTheme="majorEastAsia"/>
          <w:rtl/>
        </w:rPr>
        <w:t>כרת</w:t>
      </w:r>
      <w:r>
        <w:t xml:space="preserve">, Qal Perfekt, 3. Person Maskulinum Singular (JHWH als implizites Subjekt), Präposition </w:t>
      </w:r>
      <w:r>
        <w:rPr>
          <w:rStyle w:val="Fett"/>
          <w:rFonts w:eastAsiaTheme="majorEastAsia"/>
          <w:rtl/>
        </w:rPr>
        <w:t>עִם</w:t>
      </w:r>
      <w:r>
        <w:rPr>
          <w:rtl/>
        </w:rPr>
        <w:t xml:space="preserve"> </w:t>
      </w:r>
      <w:r>
        <w:t xml:space="preserve">mit Suffix 3. Person Maskulinum Plural, Temporalsatz: </w:t>
      </w:r>
      <w:r>
        <w:rPr>
          <w:rStyle w:val="Fett"/>
          <w:rFonts w:eastAsiaTheme="majorEastAsia"/>
          <w:rtl/>
        </w:rPr>
        <w:t>בְּהוֹצִיאוֹ אֹתָם מֵאֶרֶץ מִצְרָיִם</w:t>
      </w:r>
      <w:r>
        <w:rPr>
          <w:rtl/>
        </w:rPr>
        <w:t xml:space="preserve"> </w:t>
      </w:r>
      <w:r>
        <w:t xml:space="preserve">mit Präposition </w:t>
      </w:r>
      <w:r>
        <w:rPr>
          <w:rStyle w:val="Fett"/>
          <w:rFonts w:eastAsiaTheme="majorEastAsia"/>
          <w:rtl/>
        </w:rPr>
        <w:t>בְּ</w:t>
      </w:r>
      <w:r>
        <w:rPr>
          <w:rtl/>
        </w:rPr>
        <w:t xml:space="preserve"> </w:t>
      </w:r>
      <w:r>
        <w:t xml:space="preserve">+ Hiphil Infinitiv Construct von </w:t>
      </w:r>
      <w:r>
        <w:rPr>
          <w:rStyle w:val="Fett"/>
          <w:rFonts w:eastAsiaTheme="majorEastAsia"/>
          <w:rtl/>
        </w:rPr>
        <w:t>יצא</w:t>
      </w:r>
      <w:r>
        <w:t xml:space="preserve">, mit Suffix 3. Person Maskulinum Singular, Objektpartikel </w:t>
      </w:r>
      <w:r>
        <w:rPr>
          <w:rStyle w:val="Fett"/>
          <w:rFonts w:eastAsiaTheme="majorEastAsia"/>
          <w:rtl/>
        </w:rPr>
        <w:t>אֵת</w:t>
      </w:r>
      <w:r>
        <w:rPr>
          <w:rtl/>
        </w:rPr>
        <w:t xml:space="preserve"> </w:t>
      </w:r>
      <w:r>
        <w:t xml:space="preserve">mit Suffix 3. Person Maskulinum Plural, </w:t>
      </w:r>
      <w:r>
        <w:rPr>
          <w:rStyle w:val="Fett"/>
          <w:rFonts w:eastAsiaTheme="majorEastAsia"/>
          <w:rtl/>
        </w:rPr>
        <w:t>מֵאֶרֶץ מִצְרָיִם</w:t>
      </w:r>
      <w:r>
        <w:t>).</w:t>
      </w:r>
    </w:p>
    <w:p w14:paraId="3728C3E7" w14:textId="09F49289" w:rsidR="008A57FB" w:rsidRDefault="008A57FB" w:rsidP="008A57FB">
      <w:pPr>
        <w:pStyle w:val="whitespace-normal"/>
      </w:pPr>
      <w:r>
        <w:t xml:space="preserve">Der Vers beginnt die Antwort auf die Fragen aus V. 23. Die Antwort: </w:t>
      </w:r>
      <w:r>
        <w:rPr>
          <w:rStyle w:val="Fett"/>
          <w:rFonts w:eastAsiaTheme="majorEastAsia"/>
          <w:rtl/>
        </w:rPr>
        <w:t>וְאָמְרוּ עַל אֲשֶׁר עָזְבוּ אֶת־בְּרִית יְהוָה אֱלֹהֵי אֲבֹתָם אֲשֶׁר כָּרַת עִמָּם בְּהוֹצִיאוֹ אֹתָם מֵאֶרֶץ מִצְרָיִם</w:t>
      </w:r>
      <w:r>
        <w:rPr>
          <w:rtl/>
        </w:rPr>
        <w:t xml:space="preserve"> </w:t>
      </w:r>
      <w:r>
        <w:t xml:space="preserve">(„und man wird sagen: Darum, dass sie verlassen haben den Bund des JHWH, des Gottes ihrer Väter, den er mit ihnen geschlossen hatte, als er sie herausführte aus dem Land Ägypten"). Die Grundursache: </w:t>
      </w:r>
      <w:r>
        <w:rPr>
          <w:rStyle w:val="Fett"/>
          <w:rFonts w:eastAsiaTheme="majorEastAsia"/>
          <w:rtl/>
        </w:rPr>
        <w:t>עָזְבוּ אֶת־בְּרִית יְהוָה</w:t>
      </w:r>
      <w:r>
        <w:rPr>
          <w:rtl/>
        </w:rPr>
        <w:t xml:space="preserve"> </w:t>
      </w:r>
      <w:r>
        <w:t xml:space="preserve">(„sie haben verlassen den Bund des JHWH"). Das Verb </w:t>
      </w:r>
      <w:r>
        <w:rPr>
          <w:rStyle w:val="Fett"/>
          <w:rFonts w:eastAsiaTheme="majorEastAsia"/>
          <w:rtl/>
        </w:rPr>
        <w:t>עזב</w:t>
      </w:r>
      <w:r>
        <w:rPr>
          <w:rtl/>
        </w:rPr>
        <w:t xml:space="preserve"> </w:t>
      </w:r>
      <w:r>
        <w:t xml:space="preserve">(„verlassen, aufgeben") wird oft für Bundesbruch verwendet (vgl. 28,20; 31,16.20; Ri 2,12-13; 10,6.10.13; </w:t>
      </w:r>
      <w:r w:rsidR="00664EB6">
        <w:t>1Sam</w:t>
      </w:r>
      <w:r>
        <w:t xml:space="preserve"> 8,8; 12,10; </w:t>
      </w:r>
      <w:r w:rsidR="00664EB6">
        <w:t>1Kön</w:t>
      </w:r>
      <w:r>
        <w:t xml:space="preserve"> 9,9; 11,33; 18,18; 19,10.14; </w:t>
      </w:r>
      <w:r w:rsidR="00664EB6">
        <w:t>2Kön</w:t>
      </w:r>
      <w:r>
        <w:t xml:space="preserve"> 21,22; 22,17; Jer 1,16; 2,13.17.19; 5,7.19; 9,12; 16,11; 17,13; 19,4; 22,9). Die Präzisierung: </w:t>
      </w:r>
      <w:r>
        <w:rPr>
          <w:rStyle w:val="Fett"/>
          <w:rFonts w:eastAsiaTheme="majorEastAsia"/>
          <w:rtl/>
        </w:rPr>
        <w:t>בְּרִית יְהוָה אֱלֹהֵי אֲבֹתָם אֲשֶׁר כָּרַת עִמָּם בְּהוֹצִיאוֹ אֹתָם מֵאֶרֶץ מִצְרָיִם</w:t>
      </w:r>
      <w:r>
        <w:rPr>
          <w:rtl/>
        </w:rPr>
        <w:t xml:space="preserve"> </w:t>
      </w:r>
      <w:r>
        <w:t xml:space="preserve">(„den Bund des JHWH, des Gottes ihrer Väter, den er mit ihnen geschlossen hatte, als er sie herausführte aus dem Land Ägypten"). Der Bund wird identifiziert als der Exodus-Bund (= Sinai/Horeb-Bund). Die Formulierung betont die </w:t>
      </w:r>
      <w:r>
        <w:lastRenderedPageBreak/>
        <w:t>Undankbarkeit – JHWH hatte sie aus Ägypten befreit, und sie haben seinen Bund verlassen. V. 25 wird präzisieren, wie sie den Bund verlassen haben.</w:t>
      </w:r>
    </w:p>
    <w:p w14:paraId="31F052F4" w14:textId="77777777" w:rsidR="008A57FB" w:rsidRDefault="008A57FB" w:rsidP="008A57FB">
      <w:pPr>
        <w:pStyle w:val="whitespace-normal"/>
      </w:pPr>
      <w:r>
        <w:rPr>
          <w:rStyle w:val="Fett"/>
          <w:rFonts w:eastAsiaTheme="majorEastAsia"/>
        </w:rPr>
        <w:t>Die Satzstruktur:</w:t>
      </w:r>
      <w:r>
        <w:t xml:space="preserve"> Antwort mit Kausalsatz (und man wird sagen: Darum, dass sie verlassen haben den Bund des JHWH, des Gottes ihrer Väter, den er mit ihnen geschlossen hatte, als er sie herausführte aus dem Land Ägypten).</w:t>
      </w:r>
    </w:p>
    <w:p w14:paraId="21CCC713" w14:textId="14679D80" w:rsidR="008A57FB" w:rsidRDefault="008A57FB" w:rsidP="00B77CC6">
      <w:pPr>
        <w:pStyle w:val="whitespace-normal"/>
      </w:pPr>
      <w:r>
        <w:rPr>
          <w:rStyle w:val="Fett"/>
          <w:rFonts w:eastAsiaTheme="majorEastAsia"/>
        </w:rPr>
        <w:t>Der Vers beschreibt:</w:t>
      </w:r>
      <w:r>
        <w:t xml:space="preserve"> Antwort auf die Frage – Bundesbruch: sie haben den Exodus-Bund verlassen.</w:t>
      </w:r>
    </w:p>
    <w:p w14:paraId="47FDE0D2" w14:textId="77777777" w:rsidR="008A57FB" w:rsidRPr="008D48A3" w:rsidRDefault="008A57FB" w:rsidP="008D48A3">
      <w:pPr>
        <w:pStyle w:val="Bibelberschrift"/>
      </w:pPr>
      <w:r w:rsidRPr="008D48A3">
        <w:rPr>
          <w:rStyle w:val="Fett"/>
          <w:b/>
          <w:bCs w:val="0"/>
        </w:rPr>
        <w:t>Deuteronomium 29,25 (29,26 MT)</w:t>
      </w:r>
    </w:p>
    <w:p w14:paraId="71A6A59D" w14:textId="77777777" w:rsidR="008A57FB" w:rsidRDefault="008A57FB" w:rsidP="008A57FB">
      <w:pPr>
        <w:pStyle w:val="whitespace-normal"/>
      </w:pPr>
      <w:r>
        <w:rPr>
          <w:rStyle w:val="Fett"/>
          <w:rFonts w:eastAsiaTheme="majorEastAsia"/>
        </w:rPr>
        <w:t>Hebräisch:</w:t>
      </w:r>
      <w:r>
        <w:t xml:space="preserve"> </w:t>
      </w:r>
      <w:r>
        <w:rPr>
          <w:rtl/>
        </w:rPr>
        <w:t>וַיֵּלְכוּ וַיַּעַבְדוּ אֱלֹהִים אֲחֵרִים וַיִּשְׁתַּחֲווּ לָהֶם אֱלֹהִים אֲשֶׁר לֹא־יְדָעוּם וְלֹא חָלַק לָהֶם׃</w:t>
      </w:r>
    </w:p>
    <w:p w14:paraId="212C6342" w14:textId="77777777" w:rsidR="008A57FB" w:rsidRDefault="008A57FB" w:rsidP="008A57FB">
      <w:pPr>
        <w:pStyle w:val="whitespace-normal"/>
      </w:pPr>
      <w:r>
        <w:rPr>
          <w:rStyle w:val="Fett"/>
          <w:rFonts w:eastAsiaTheme="majorEastAsia"/>
        </w:rPr>
        <w:t>Deutsch:</w:t>
      </w:r>
      <w:r>
        <w:t xml:space="preserve"> Und sie gingen hin und dienten anderen Göttern und warfen sich nieder vor ihnen, Göttern, die sie nicht gekannt hatten und die er ihnen nicht zugeteilt hatte.</w:t>
      </w:r>
    </w:p>
    <w:p w14:paraId="3EE8B21E" w14:textId="77777777" w:rsidR="008A57FB" w:rsidRDefault="004F5CEB" w:rsidP="008A57FB">
      <w:r>
        <w:rPr>
          <w:noProof/>
        </w:rPr>
        <w:pict w14:anchorId="51212A68">
          <v:rect id="_x0000_i1838" style="width:0;height:1.5pt" o:hralign="center" o:hrstd="t" o:hr="t" fillcolor="#a0a0a0" stroked="f"/>
        </w:pict>
      </w:r>
    </w:p>
    <w:p w14:paraId="00060C42" w14:textId="14F4833F"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וַיֵּלְכוּ וַיַּעַבְדוּ אֱלֹהִים אֲחֵרִים וַיִּשְׁתַּחֲווּ לָהֶם אֱלֹהִים אֲשֶׁר לֹא־יְדָעוּם וְלֹא חָלַק לָהֶם</w:t>
      </w:r>
      <w:r>
        <w:rPr>
          <w:rtl/>
        </w:rPr>
        <w:t xml:space="preserve"> </w:t>
      </w:r>
      <w:r>
        <w:t xml:space="preserve">sind drei Aussagen: </w:t>
      </w:r>
      <w:r>
        <w:rPr>
          <w:rStyle w:val="Fett"/>
          <w:rFonts w:eastAsiaTheme="majorEastAsia"/>
          <w:rtl/>
        </w:rPr>
        <w:t>וַיֵּלְכוּ וַיַּעַבְדוּ אֱלֹהִים אֲחֵרִים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הלך</w:t>
      </w:r>
      <w:r>
        <w:t xml:space="preserve">, Qal Imperfekt mit </w:t>
      </w:r>
      <w:r>
        <w:rPr>
          <w:rStyle w:val="Fett"/>
          <w:rFonts w:eastAsiaTheme="majorEastAsia"/>
        </w:rPr>
        <w:t>Waw</w:t>
      </w:r>
      <w:r>
        <w:t xml:space="preserve"> consecutivum, 3. Person Plural, koordiniert durch </w:t>
      </w:r>
      <w:r>
        <w:rPr>
          <w:rStyle w:val="Fett"/>
          <w:rFonts w:eastAsiaTheme="majorEastAsia"/>
          <w:rtl/>
        </w:rPr>
        <w:t>וְ</w:t>
      </w:r>
      <w:r>
        <w:rPr>
          <w:rtl/>
        </w:rPr>
        <w:t xml:space="preserve"> </w:t>
      </w:r>
      <w:r>
        <w:t xml:space="preserve">mit </w:t>
      </w:r>
      <w:r>
        <w:rPr>
          <w:rStyle w:val="Fett"/>
          <w:rFonts w:eastAsiaTheme="majorEastAsia"/>
          <w:rtl/>
        </w:rPr>
        <w:t>עבד</w:t>
      </w:r>
      <w:r>
        <w:t xml:space="preserve">, Qal Imperfekt mit </w:t>
      </w:r>
      <w:r>
        <w:rPr>
          <w:rStyle w:val="Fett"/>
          <w:rFonts w:eastAsiaTheme="majorEastAsia"/>
        </w:rPr>
        <w:t>Waw</w:t>
      </w:r>
      <w:r>
        <w:t xml:space="preserve"> consecutivum, 3. Person Plural, </w:t>
      </w:r>
      <w:r>
        <w:rPr>
          <w:rStyle w:val="Fett"/>
          <w:rFonts w:eastAsiaTheme="majorEastAsia"/>
          <w:rtl/>
        </w:rPr>
        <w:t>אֱלֹהִים אֲחֵרִים</w:t>
      </w:r>
      <w:r>
        <w:t xml:space="preserve">), </w:t>
      </w:r>
      <w:r>
        <w:rPr>
          <w:rStyle w:val="Fett"/>
          <w:rFonts w:eastAsiaTheme="majorEastAsia"/>
          <w:rtl/>
        </w:rPr>
        <w:t>וַיִּשְׁתַּחֲווּ לָהֶם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שׁחה</w:t>
      </w:r>
      <w:r>
        <w:t xml:space="preserve">, </w:t>
      </w:r>
      <w:r w:rsidR="007E2044">
        <w:t>Hitpael</w:t>
      </w:r>
      <w:r>
        <w:t xml:space="preserve"> Imperfekt mit </w:t>
      </w:r>
      <w:r>
        <w:rPr>
          <w:rStyle w:val="Fett"/>
          <w:rFonts w:eastAsiaTheme="majorEastAsia"/>
        </w:rPr>
        <w:t>Waw</w:t>
      </w:r>
      <w:r>
        <w:t xml:space="preserve"> consecutivum, 3. Person Plural, „sich niederwerfen, anbeten", </w:t>
      </w:r>
      <w:r>
        <w:rPr>
          <w:rStyle w:val="Fett"/>
          <w:rFonts w:eastAsiaTheme="majorEastAsia"/>
          <w:rtl/>
        </w:rPr>
        <w:t>לָהֶם</w:t>
      </w:r>
      <w:r>
        <w:t xml:space="preserve">), </w:t>
      </w:r>
      <w:r>
        <w:rPr>
          <w:rStyle w:val="Fett"/>
          <w:rFonts w:eastAsiaTheme="majorEastAsia"/>
          <w:rtl/>
        </w:rPr>
        <w:t>אֱלֹהִים אֲשֶׁר לֹא־יְדָעוּם וְלֹא חָלַק לָהֶם</w:t>
      </w:r>
      <w:r>
        <w:rPr>
          <w:rtl/>
        </w:rPr>
        <w:t xml:space="preserve"> </w:t>
      </w:r>
      <w:r>
        <w:t xml:space="preserve">(Apposition zu </w:t>
      </w:r>
      <w:r>
        <w:rPr>
          <w:rStyle w:val="Fett"/>
          <w:rFonts w:eastAsiaTheme="majorEastAsia"/>
          <w:rtl/>
        </w:rPr>
        <w:t>אֱלֹהִים אֲחֵרִים</w:t>
      </w:r>
      <w:r>
        <w:t xml:space="preserve">: </w:t>
      </w:r>
      <w:r>
        <w:rPr>
          <w:rStyle w:val="Fett"/>
          <w:rFonts w:eastAsiaTheme="majorEastAsia"/>
          <w:rtl/>
        </w:rPr>
        <w:t>אֱלֹהִים</w:t>
      </w:r>
      <w:r>
        <w:t xml:space="preserve">, Relativsatz mit zwei Aussagen: (1) </w:t>
      </w:r>
      <w:r>
        <w:rPr>
          <w:rStyle w:val="Fett"/>
          <w:rFonts w:eastAsiaTheme="majorEastAsia"/>
          <w:rtl/>
        </w:rPr>
        <w:t>אֲשֶׁר לֹא־יְדָעוּם</w:t>
      </w:r>
      <w:r>
        <w:rPr>
          <w:rtl/>
        </w:rPr>
        <w:t xml:space="preserve"> </w:t>
      </w:r>
      <w:r>
        <w:t xml:space="preserve">mit Negation, </w:t>
      </w:r>
      <w:r>
        <w:rPr>
          <w:rStyle w:val="Fett"/>
          <w:rFonts w:eastAsiaTheme="majorEastAsia"/>
          <w:rtl/>
        </w:rPr>
        <w:t>ידע</w:t>
      </w:r>
      <w:r>
        <w:t xml:space="preserve">, Qal Perfekt, 3. Person Plural, mit Suffix 3. Person Maskulinum Plural, (2) koordiniert durch </w:t>
      </w:r>
      <w:r>
        <w:rPr>
          <w:rStyle w:val="Fett"/>
          <w:rFonts w:eastAsiaTheme="majorEastAsia"/>
          <w:rtl/>
        </w:rPr>
        <w:t>וְ</w:t>
      </w:r>
      <w:r>
        <w:rPr>
          <w:rtl/>
        </w:rPr>
        <w:t xml:space="preserve"> </w:t>
      </w:r>
      <w:r>
        <w:t xml:space="preserve">mit Negation, </w:t>
      </w:r>
      <w:r>
        <w:rPr>
          <w:rStyle w:val="Fett"/>
          <w:rFonts w:eastAsiaTheme="majorEastAsia"/>
          <w:rtl/>
        </w:rPr>
        <w:t>חלק</w:t>
      </w:r>
      <w:r>
        <w:t xml:space="preserve">, Qal Perfekt, 3. Person Maskulinum Singular (JHWH als implizites Subjekt), „zuteilen", </w:t>
      </w:r>
      <w:r>
        <w:rPr>
          <w:rStyle w:val="Fett"/>
          <w:rFonts w:eastAsiaTheme="majorEastAsia"/>
          <w:rtl/>
        </w:rPr>
        <w:t>לָהֶם</w:t>
      </w:r>
      <w:r>
        <w:t>).</w:t>
      </w:r>
    </w:p>
    <w:p w14:paraId="0310EDE9" w14:textId="269F2EEB" w:rsidR="008A57FB" w:rsidRDefault="008A57FB" w:rsidP="008A57FB">
      <w:pPr>
        <w:pStyle w:val="whitespace-normal"/>
      </w:pPr>
      <w:r>
        <w:t xml:space="preserve">Der Vers präzisiert den Bundesbruch aus V. 24. Die drei Aussagen: </w:t>
      </w:r>
      <w:r>
        <w:rPr>
          <w:rStyle w:val="Fett"/>
          <w:rFonts w:eastAsiaTheme="majorEastAsia"/>
          <w:rtl/>
        </w:rPr>
        <w:t>וַיֵּלְכוּ וַיַּעַבְדוּ אֱלֹהִים אֲחֵרִים וַיִּשְׁתַּחֲווּ לָהֶם</w:t>
      </w:r>
      <w:r>
        <w:rPr>
          <w:rtl/>
        </w:rPr>
        <w:t xml:space="preserve"> </w:t>
      </w:r>
      <w:r>
        <w:t xml:space="preserve">(„und sie gingen hin und dienten anderen Göttern und warfen sich nieder vor ihnen"). Die drei Verben beschreiben die Apostasie: (1) </w:t>
      </w:r>
      <w:r>
        <w:rPr>
          <w:rStyle w:val="Fett"/>
          <w:rFonts w:eastAsiaTheme="majorEastAsia"/>
          <w:rtl/>
        </w:rPr>
        <w:t>הלך</w:t>
      </w:r>
      <w:r>
        <w:rPr>
          <w:rtl/>
        </w:rPr>
        <w:t xml:space="preserve"> </w:t>
      </w:r>
      <w:r>
        <w:t xml:space="preserve">(„hingehen") – aktive Bewegung weg von JHWH, hin zu fremden Göttern (vgl. 6,14; 8,19; 11,28; 13,3.7.14; 17,3; 28,14.36.64; 30,17; 31,18.20). (2) </w:t>
      </w:r>
      <w:r>
        <w:rPr>
          <w:rStyle w:val="Fett"/>
          <w:rFonts w:eastAsiaTheme="majorEastAsia"/>
          <w:rtl/>
        </w:rPr>
        <w:t>עבד</w:t>
      </w:r>
      <w:r>
        <w:rPr>
          <w:rtl/>
        </w:rPr>
        <w:t xml:space="preserve"> </w:t>
      </w:r>
      <w:r>
        <w:t xml:space="preserve">(„dienen") – kultische Verehrung (vgl. 4,28; 7,4.16; 8,19; 11,16; 12,2.30; 13,3.7.14; 17,3; 28,14.36.64; 30,17; 31,20). (3) </w:t>
      </w:r>
      <w:r>
        <w:rPr>
          <w:rStyle w:val="Fett"/>
          <w:rFonts w:eastAsiaTheme="majorEastAsia"/>
          <w:rtl/>
        </w:rPr>
        <w:t>שׁחה</w:t>
      </w:r>
      <w:r>
        <w:rPr>
          <w:rtl/>
        </w:rPr>
        <w:t xml:space="preserve"> </w:t>
      </w:r>
      <w:r>
        <w:t xml:space="preserve">(„sich niederwerfen") – physische Proskynese (vgl. 4,19; 5,9; 8,19; 11,16; 17,3; 26,10; 30,17). Die Apposition: </w:t>
      </w:r>
      <w:r>
        <w:rPr>
          <w:rStyle w:val="Fett"/>
          <w:rFonts w:eastAsiaTheme="majorEastAsia"/>
          <w:rtl/>
        </w:rPr>
        <w:t>אֱלֹהִים אֲשֶׁר לֹא־יְדָעוּם וְלֹא חָלַק לָהֶם</w:t>
      </w:r>
      <w:r>
        <w:rPr>
          <w:rtl/>
        </w:rPr>
        <w:t xml:space="preserve"> </w:t>
      </w:r>
      <w:r>
        <w:t xml:space="preserve">(„Götter, die sie nicht gekannt hatten und die er ihnen nicht zugeteilt hatte"). Zwei Charakterisierungen: (1) </w:t>
      </w:r>
      <w:r>
        <w:rPr>
          <w:rStyle w:val="Fett"/>
          <w:rFonts w:eastAsiaTheme="majorEastAsia"/>
          <w:rtl/>
        </w:rPr>
        <w:t>לֹא־יְדָעוּם</w:t>
      </w:r>
      <w:r>
        <w:rPr>
          <w:rtl/>
        </w:rPr>
        <w:t xml:space="preserve"> </w:t>
      </w:r>
      <w:r>
        <w:t xml:space="preserve">(„die sie nicht gekannt hatten") – fremde, unbekannte Götter (vgl. 11,28; 13,3.7.14; 28,64; 32,17). (2) </w:t>
      </w:r>
      <w:r>
        <w:rPr>
          <w:rStyle w:val="Fett"/>
          <w:rFonts w:eastAsiaTheme="majorEastAsia"/>
          <w:rtl/>
        </w:rPr>
        <w:t>לֹא חָלַק לָהֶם</w:t>
      </w:r>
      <w:r>
        <w:rPr>
          <w:rtl/>
        </w:rPr>
        <w:t xml:space="preserve"> </w:t>
      </w:r>
      <w:r>
        <w:t xml:space="preserve">(„die er ihnen nicht zugeteilt hatte") – sehr interessante Formulierung. Das Verb </w:t>
      </w:r>
      <w:r>
        <w:rPr>
          <w:rStyle w:val="Fett"/>
          <w:rFonts w:eastAsiaTheme="majorEastAsia"/>
          <w:rtl/>
        </w:rPr>
        <w:t>חלק</w:t>
      </w:r>
      <w:r>
        <w:rPr>
          <w:rtl/>
        </w:rPr>
        <w:t xml:space="preserve"> </w:t>
      </w:r>
      <w:r>
        <w:t>(„zuteilen, verteilen") mit JHWH als Subjekt impliziert: JHWH hat jedem Volk seine Götter zugeteilt (vgl. 4,19; 32,8-9), aber Israel sollte nur JHWH anbeten. Polytheistische Weltanschauung mit monotheistischer Verpflichtung für Israel.</w:t>
      </w:r>
    </w:p>
    <w:p w14:paraId="225A4F7B" w14:textId="77777777" w:rsidR="004F2264" w:rsidRPr="004F2264" w:rsidRDefault="004F2264" w:rsidP="004F2264">
      <w:pPr>
        <w:spacing w:before="100" w:beforeAutospacing="1" w:after="100" w:afterAutospacing="1" w:line="240" w:lineRule="auto"/>
        <w:outlineLvl w:val="1"/>
        <w:rPr>
          <w:rFonts w:eastAsia="Times New Roman"/>
          <w:b/>
          <w:bCs/>
          <w:sz w:val="36"/>
          <w:szCs w:val="36"/>
          <w:lang w:eastAsia="de-DE"/>
        </w:rPr>
      </w:pPr>
      <w:r w:rsidRPr="004F2264">
        <w:rPr>
          <w:rFonts w:eastAsia="Times New Roman"/>
          <w:b/>
          <w:bCs/>
          <w:sz w:val="36"/>
          <w:szCs w:val="36"/>
          <w:lang w:eastAsia="de-DE"/>
        </w:rPr>
        <w:t>Vers 25 (MT) / Vers 26 (LXX)</w:t>
      </w:r>
    </w:p>
    <w:p w14:paraId="43D7BAE2" w14:textId="13FB350B" w:rsidR="004F2264" w:rsidRPr="004F2264" w:rsidRDefault="004F2264" w:rsidP="004F2264">
      <w:pPr>
        <w:spacing w:before="100" w:beforeAutospacing="1" w:after="100" w:afterAutospacing="1" w:line="240" w:lineRule="auto"/>
        <w:rPr>
          <w:rFonts w:eastAsia="Times New Roman"/>
          <w:lang w:eastAsia="de-DE"/>
        </w:rPr>
      </w:pPr>
      <w:r w:rsidRPr="004F2264">
        <w:rPr>
          <w:rFonts w:eastAsia="Times New Roman"/>
          <w:b/>
          <w:bCs/>
          <w:lang w:eastAsia="de-DE"/>
        </w:rPr>
        <w:lastRenderedPageBreak/>
        <w:t>Die LXX</w:t>
      </w:r>
      <w:r w:rsidRPr="004F2264">
        <w:rPr>
          <w:rFonts w:eastAsia="Times New Roman"/>
          <w:lang w:eastAsia="de-DE"/>
        </w:rPr>
        <w:t xml:space="preserve"> übersetzt </w:t>
      </w:r>
      <w:r w:rsidRPr="004F2264">
        <w:rPr>
          <w:rFonts w:eastAsia="Times New Roman"/>
          <w:rtl/>
          <w:lang w:eastAsia="de-DE"/>
        </w:rPr>
        <w:t>וְלֹא חָלַק לָהֶם</w:t>
      </w:r>
      <w:r w:rsidRPr="004F2264">
        <w:rPr>
          <w:rFonts w:eastAsia="Times New Roman"/>
          <w:lang w:eastAsia="de-DE"/>
        </w:rPr>
        <w:t xml:space="preserve"> (und [die] er ihnen nicht zugeteilt hatte) mit </w:t>
      </w:r>
      <w:proofErr w:type="spellStart"/>
      <w:r w:rsidRPr="004F2264">
        <w:rPr>
          <w:rFonts w:eastAsia="Times New Roman"/>
          <w:lang w:eastAsia="de-DE"/>
        </w:rPr>
        <w:t>οὐδὲ</w:t>
      </w:r>
      <w:proofErr w:type="spellEnd"/>
      <w:r w:rsidRPr="004F2264">
        <w:rPr>
          <w:rFonts w:eastAsia="Times New Roman"/>
          <w:lang w:eastAsia="de-DE"/>
        </w:rPr>
        <w:t xml:space="preserve"> </w:t>
      </w:r>
      <w:proofErr w:type="spellStart"/>
      <w:r w:rsidRPr="004F2264">
        <w:rPr>
          <w:rFonts w:eastAsia="Times New Roman"/>
          <w:lang w:eastAsia="de-DE"/>
        </w:rPr>
        <w:t>διένειμεν</w:t>
      </w:r>
      <w:proofErr w:type="spellEnd"/>
      <w:r w:rsidRPr="004F2264">
        <w:rPr>
          <w:rFonts w:eastAsia="Times New Roman"/>
          <w:lang w:eastAsia="de-DE"/>
        </w:rPr>
        <w:t xml:space="preserve"> α</w:t>
      </w:r>
      <w:proofErr w:type="spellStart"/>
      <w:r w:rsidRPr="004F2264">
        <w:rPr>
          <w:rFonts w:eastAsia="Times New Roman"/>
          <w:lang w:eastAsia="de-DE"/>
        </w:rPr>
        <w:t>ὐτοῖς</w:t>
      </w:r>
      <w:proofErr w:type="spellEnd"/>
      <w:r w:rsidRPr="004F2264">
        <w:rPr>
          <w:rFonts w:eastAsia="Times New Roman"/>
          <w:lang w:eastAsia="de-DE"/>
        </w:rPr>
        <w:t xml:space="preserve"> (noch hat er sie ihnen zugeteilt) – wobei </w:t>
      </w:r>
      <w:proofErr w:type="spellStart"/>
      <w:r w:rsidRPr="004F2264">
        <w:rPr>
          <w:rFonts w:eastAsia="Times New Roman"/>
          <w:lang w:eastAsia="de-DE"/>
        </w:rPr>
        <w:t>δι</w:t>
      </w:r>
      <w:proofErr w:type="spellEnd"/>
      <w:r w:rsidRPr="004F2264">
        <w:rPr>
          <w:rFonts w:eastAsia="Times New Roman"/>
          <w:lang w:eastAsia="de-DE"/>
        </w:rPr>
        <w:t>ανέμω "verteilen, zuteilen" bedeutet.</w:t>
      </w:r>
    </w:p>
    <w:p w14:paraId="3B83C462" w14:textId="77777777" w:rsidR="008A57FB" w:rsidRDefault="008A57FB" w:rsidP="008A57FB">
      <w:pPr>
        <w:pStyle w:val="whitespace-normal"/>
      </w:pPr>
      <w:r>
        <w:rPr>
          <w:rStyle w:val="Fett"/>
          <w:rFonts w:eastAsiaTheme="majorEastAsia"/>
        </w:rPr>
        <w:t>Die Satzstruktur:</w:t>
      </w:r>
      <w:r>
        <w:t xml:space="preserve"> Drei Aussagen (und sie gingen hin und dienten anderen Göttern und warfen sich nieder vor ihnen, Göttern, die sie nicht gekannt hatten und die er ihnen nicht zugeteilt hatte).</w:t>
      </w:r>
    </w:p>
    <w:p w14:paraId="4A4D4E46" w14:textId="5B1C6BB6" w:rsidR="008A57FB" w:rsidRDefault="008A57FB" w:rsidP="00B77CC6">
      <w:pPr>
        <w:pStyle w:val="whitespace-normal"/>
      </w:pPr>
      <w:r>
        <w:rPr>
          <w:rStyle w:val="Fett"/>
          <w:rFonts w:eastAsiaTheme="majorEastAsia"/>
        </w:rPr>
        <w:t>Der Vers beschreibt:</w:t>
      </w:r>
      <w:r>
        <w:t xml:space="preserve"> Präzisierung des Bundesbruchs – Götzendienst: Hingehen, Dienen, Niederfallen vor fremden Göttern</w:t>
      </w:r>
      <w:r w:rsidR="004F5CEB">
        <w:rPr>
          <w:noProof/>
        </w:rPr>
        <w:pict w14:anchorId="0064C209">
          <v:rect id="_x0000_i1839" style="width:0;height:1.5pt" o:hralign="center" o:hrstd="t" o:hr="t" fillcolor="#a0a0a0" stroked="f"/>
        </w:pict>
      </w:r>
    </w:p>
    <w:p w14:paraId="12C0A5B4" w14:textId="77777777" w:rsidR="008A57FB" w:rsidRPr="008D48A3" w:rsidRDefault="008A57FB" w:rsidP="008D48A3">
      <w:pPr>
        <w:pStyle w:val="Bibelberschrift"/>
      </w:pPr>
      <w:r w:rsidRPr="008D48A3">
        <w:rPr>
          <w:rStyle w:val="Fett"/>
          <w:b/>
          <w:bCs w:val="0"/>
        </w:rPr>
        <w:t>Deuteronomium 29,26 (29,27 MT)</w:t>
      </w:r>
    </w:p>
    <w:p w14:paraId="03A1AECE" w14:textId="77777777" w:rsidR="008A57FB" w:rsidRDefault="008A57FB" w:rsidP="008A57FB">
      <w:pPr>
        <w:pStyle w:val="whitespace-normal"/>
      </w:pPr>
      <w:r>
        <w:rPr>
          <w:rStyle w:val="Fett"/>
          <w:rFonts w:eastAsiaTheme="majorEastAsia"/>
        </w:rPr>
        <w:t>Hebräisch:</w:t>
      </w:r>
      <w:r>
        <w:t xml:space="preserve"> </w:t>
      </w:r>
      <w:r>
        <w:rPr>
          <w:rtl/>
        </w:rPr>
        <w:t>וַיִּֽחַר־אַף יְהוָה בָּאָרֶץ הַהִוא לְהָבִיא עָלֶיהָ אֶת־כָּל־הַקְּלָלָה הַכְּתוּבָה בַּסֵּפֶר הַזֶּה׃</w:t>
      </w:r>
    </w:p>
    <w:p w14:paraId="6CBBC217" w14:textId="77777777" w:rsidR="008A57FB" w:rsidRDefault="008A57FB" w:rsidP="008A57FB">
      <w:pPr>
        <w:pStyle w:val="whitespace-normal"/>
      </w:pPr>
      <w:r>
        <w:rPr>
          <w:rStyle w:val="Fett"/>
          <w:rFonts w:eastAsiaTheme="majorEastAsia"/>
        </w:rPr>
        <w:t>Deutsch:</w:t>
      </w:r>
      <w:r>
        <w:t xml:space="preserve"> Und es entbrannte der Zorn JHWHs gegen jenes Land, zu bringen über es allen Fluch, der geschrieben ist in diesem Buch.</w:t>
      </w:r>
    </w:p>
    <w:p w14:paraId="7A11E177" w14:textId="77777777" w:rsidR="008A57FB" w:rsidRDefault="004F5CEB" w:rsidP="008A57FB">
      <w:r>
        <w:rPr>
          <w:noProof/>
        </w:rPr>
        <w:pict w14:anchorId="3474761D">
          <v:rect id="_x0000_i1840" style="width:0;height:1.5pt" o:hralign="center" o:hrstd="t" o:hr="t" fillcolor="#a0a0a0" stroked="f"/>
        </w:pict>
      </w:r>
    </w:p>
    <w:p w14:paraId="1B038ED7"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וַיִּֽחַר־אַף יְהוָה בָּאָרֶץ הַהִוא לְהָבִיא עָלֶיהָ אֶת־כָּל־הַקְּלָלָה הַכְּתוּבָה בַּסֵּפֶר הַזֶּה</w:t>
      </w:r>
      <w:r>
        <w:rPr>
          <w:rtl/>
        </w:rPr>
        <w:t xml:space="preserve"> </w:t>
      </w:r>
      <w:r>
        <w:t xml:space="preserve">ist eine Aussage: </w:t>
      </w:r>
      <w:r>
        <w:rPr>
          <w:rStyle w:val="Fett"/>
          <w:rFonts w:eastAsiaTheme="majorEastAsia"/>
          <w:rtl/>
        </w:rPr>
        <w:t>וַיִּֽחַר־אַף יְהוָה בָּאָרֶץ הַהִוא לְהָבִיא עָלֶיהָ אֶת־כָּל־הַקְּלָלָה הַכְּתוּבָה בַּסֵּפֶר הַזֶּה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חרה</w:t>
      </w:r>
      <w:r>
        <w:t xml:space="preserve">, Qal Imperfekt mit </w:t>
      </w:r>
      <w:r>
        <w:rPr>
          <w:rStyle w:val="Fett"/>
          <w:rFonts w:eastAsiaTheme="majorEastAsia"/>
        </w:rPr>
        <w:t>Waw</w:t>
      </w:r>
      <w:r>
        <w:t xml:space="preserve"> consecutivum, 3. Person Maskulinum Singular, „entbrennen", </w:t>
      </w:r>
      <w:r>
        <w:rPr>
          <w:rStyle w:val="Fett"/>
          <w:rFonts w:eastAsiaTheme="majorEastAsia"/>
          <w:rtl/>
        </w:rPr>
        <w:t>אַף־יְהוָה</w:t>
      </w:r>
      <w:r>
        <w:rPr>
          <w:rtl/>
        </w:rPr>
        <w:t xml:space="preserve"> </w:t>
      </w:r>
      <w:r>
        <w:t xml:space="preserve">als Subjekt, Präposition </w:t>
      </w:r>
      <w:r>
        <w:rPr>
          <w:rStyle w:val="Fett"/>
          <w:rFonts w:eastAsiaTheme="majorEastAsia"/>
          <w:rtl/>
        </w:rPr>
        <w:t>בְּ</w:t>
      </w:r>
      <w:r>
        <w:rPr>
          <w:rtl/>
        </w:rPr>
        <w:t xml:space="preserve"> </w:t>
      </w:r>
      <w:r>
        <w:t xml:space="preserve">mit </w:t>
      </w:r>
      <w:r>
        <w:rPr>
          <w:rStyle w:val="Fett"/>
          <w:rFonts w:eastAsiaTheme="majorEastAsia"/>
          <w:rtl/>
        </w:rPr>
        <w:t>אֶרֶץ</w:t>
      </w:r>
      <w:r>
        <w:rPr>
          <w:rtl/>
        </w:rPr>
        <w:t xml:space="preserve"> </w:t>
      </w:r>
      <w:r>
        <w:t xml:space="preserve">mit Artikel, </w:t>
      </w:r>
      <w:r>
        <w:rPr>
          <w:rStyle w:val="Fett"/>
          <w:rFonts w:eastAsiaTheme="majorEastAsia"/>
          <w:rtl/>
        </w:rPr>
        <w:t>הִוא</w:t>
      </w:r>
      <w:r>
        <w:t xml:space="preserve">, Finalsatz: </w:t>
      </w:r>
      <w:r>
        <w:rPr>
          <w:rStyle w:val="Fett"/>
          <w:rFonts w:eastAsiaTheme="majorEastAsia"/>
          <w:rtl/>
        </w:rPr>
        <w:t>לְהָבִיא עָלֶיהָ אֶת־כָּל־הַקְּלָלָה הַכְּתוּבָה בַּסֵּפֶר הַזֶּה</w:t>
      </w:r>
      <w:r>
        <w:rPr>
          <w:rtl/>
        </w:rPr>
        <w:t xml:space="preserve"> </w:t>
      </w:r>
      <w:r>
        <w:t xml:space="preserve">mit Präposition </w:t>
      </w:r>
      <w:r>
        <w:rPr>
          <w:rStyle w:val="Fett"/>
          <w:rFonts w:eastAsiaTheme="majorEastAsia"/>
          <w:rtl/>
        </w:rPr>
        <w:t>לְ</w:t>
      </w:r>
      <w:r>
        <w:rPr>
          <w:rtl/>
        </w:rPr>
        <w:t xml:space="preserve"> </w:t>
      </w:r>
      <w:r>
        <w:t xml:space="preserve">+ Hiphil Infinitiv Construct von </w:t>
      </w:r>
      <w:r>
        <w:rPr>
          <w:rStyle w:val="Fett"/>
          <w:rFonts w:eastAsiaTheme="majorEastAsia"/>
          <w:rtl/>
        </w:rPr>
        <w:t>בוא</w:t>
      </w:r>
      <w:r>
        <w:t xml:space="preserve">, Präposition </w:t>
      </w:r>
      <w:r>
        <w:rPr>
          <w:rStyle w:val="Fett"/>
          <w:rFonts w:eastAsiaTheme="majorEastAsia"/>
          <w:rtl/>
        </w:rPr>
        <w:t>עַל</w:t>
      </w:r>
      <w:r>
        <w:rPr>
          <w:rtl/>
        </w:rPr>
        <w:t xml:space="preserve"> </w:t>
      </w:r>
      <w:r>
        <w:t xml:space="preserve">mit Suffix 3. Person Femininum Singular, Objektpartikel </w:t>
      </w:r>
      <w:r>
        <w:rPr>
          <w:rStyle w:val="Fett"/>
          <w:rFonts w:eastAsiaTheme="majorEastAsia"/>
          <w:rtl/>
        </w:rPr>
        <w:t>אֵת</w:t>
      </w:r>
      <w:r>
        <w:rPr>
          <w:rtl/>
        </w:rPr>
        <w:t xml:space="preserve"> </w:t>
      </w:r>
      <w:r>
        <w:t xml:space="preserve">mit </w:t>
      </w:r>
      <w:r>
        <w:rPr>
          <w:rStyle w:val="Fett"/>
          <w:rFonts w:eastAsiaTheme="majorEastAsia"/>
          <w:rtl/>
        </w:rPr>
        <w:t>כָּל־קְלָלָה</w:t>
      </w:r>
      <w:r>
        <w:rPr>
          <w:rtl/>
        </w:rPr>
        <w:t xml:space="preserve"> </w:t>
      </w:r>
      <w:r>
        <w:t xml:space="preserve">mit Artikel, Partizipialsatz: </w:t>
      </w:r>
      <w:r>
        <w:rPr>
          <w:rStyle w:val="Fett"/>
          <w:rFonts w:eastAsiaTheme="majorEastAsia"/>
          <w:rtl/>
        </w:rPr>
        <w:t>הַכְּתוּבָה בַּסֵּפֶר הַזֶּה</w:t>
      </w:r>
      <w:r>
        <w:rPr>
          <w:rtl/>
        </w:rPr>
        <w:t xml:space="preserve"> </w:t>
      </w:r>
      <w:r>
        <w:t xml:space="preserve">mit </w:t>
      </w:r>
      <w:r>
        <w:rPr>
          <w:rStyle w:val="Fett"/>
          <w:rFonts w:eastAsiaTheme="majorEastAsia"/>
          <w:rtl/>
        </w:rPr>
        <w:t>כתב</w:t>
      </w:r>
      <w:r>
        <w:t>, Qal Passiv Partizip Femininum Singular).</w:t>
      </w:r>
    </w:p>
    <w:p w14:paraId="728B8447" w14:textId="53798A9D" w:rsidR="008A57FB" w:rsidRDefault="008A57FB" w:rsidP="008A57FB">
      <w:pPr>
        <w:pStyle w:val="whitespace-normal"/>
      </w:pPr>
      <w:r>
        <w:t xml:space="preserve">Der Vers beschreibt JHWHs Reaktion auf den Götzendienst. Die Aussage: </w:t>
      </w:r>
      <w:r>
        <w:rPr>
          <w:rStyle w:val="Fett"/>
          <w:rFonts w:eastAsiaTheme="majorEastAsia"/>
          <w:rtl/>
        </w:rPr>
        <w:t>וַיִּֽחַר־אַף יְהוָה בָּאָרֶץ הַהִוא לְהָבִיא עָלֶיהָ אֶת־כָּל־הַקְּלָלָה הַכְּתוּבָה בַּסֵּפֶר הַזֶּה</w:t>
      </w:r>
      <w:r>
        <w:rPr>
          <w:rtl/>
        </w:rPr>
        <w:t xml:space="preserve"> </w:t>
      </w:r>
      <w:r>
        <w:t xml:space="preserve">(„und es entbrannte der Zorn JHWHs gegen jenes Land, zu bringen über es allen Fluch, der geschrieben ist in diesem Buch"). Die Formulierung </w:t>
      </w:r>
      <w:r>
        <w:rPr>
          <w:rStyle w:val="Fett"/>
          <w:rFonts w:eastAsiaTheme="majorEastAsia"/>
          <w:rtl/>
        </w:rPr>
        <w:t>חרה אַף יְהוָה</w:t>
      </w:r>
      <w:r>
        <w:rPr>
          <w:rtl/>
        </w:rPr>
        <w:t xml:space="preserve"> </w:t>
      </w:r>
      <w:r>
        <w:t xml:space="preserve">(„es entbrannte der Zorn JHWHs") ist eine häufige Wendung (vgl. Ex 4,14; 32,10-11.22; Num 11,1.10.33; 12,9; 22,22.27; 24,10; 25,3; 32,10.13; Dtn 6,15; 7,4; 11,17; 31,17; Jos 7,1; 23,16; Ri 2,14.20; 3,8; 10,7; </w:t>
      </w:r>
      <w:r w:rsidR="00664EB6">
        <w:t>2Sam</w:t>
      </w:r>
      <w:r>
        <w:t xml:space="preserve"> 6,7; 24,1; </w:t>
      </w:r>
      <w:r w:rsidR="00664EB6">
        <w:t>2Kön</w:t>
      </w:r>
      <w:r>
        <w:t xml:space="preserve"> 13,3; 23,26; </w:t>
      </w:r>
      <w:r w:rsidR="00664EB6">
        <w:t>2Chr</w:t>
      </w:r>
      <w:r>
        <w:t xml:space="preserve"> 25,15; Ps 106,40; Jes 5,25). Der Finalsatz: </w:t>
      </w:r>
      <w:r>
        <w:rPr>
          <w:rStyle w:val="Fett"/>
          <w:rFonts w:eastAsiaTheme="majorEastAsia"/>
          <w:rtl/>
        </w:rPr>
        <w:t>לְהָבִיא עָלֶיהָ אֶת־כָּל־הַקְּלָלָה הַכְּתוּבָה בַּסֵּפֶר הַזֶּה</w:t>
      </w:r>
      <w:r>
        <w:rPr>
          <w:rtl/>
        </w:rPr>
        <w:t xml:space="preserve"> </w:t>
      </w:r>
      <w:r>
        <w:t xml:space="preserve">(„zu bringen über es allen Fluch, der geschrieben ist in diesem Buch"). Die Formulierung </w:t>
      </w:r>
      <w:r>
        <w:rPr>
          <w:rStyle w:val="Fett"/>
          <w:rFonts w:eastAsiaTheme="majorEastAsia"/>
          <w:rtl/>
        </w:rPr>
        <w:t>כָּל־הַקְּלָלָה הַכְּתוּבָה בַּסֵּפֶר הַזֶּה</w:t>
      </w:r>
      <w:r>
        <w:rPr>
          <w:rtl/>
        </w:rPr>
        <w:t xml:space="preserve"> </w:t>
      </w:r>
      <w:r>
        <w:t>(„aller Fluch, der geschrieben ist in diesem Buch") verweist auf Kapitel 28 (vgl. V. 19-20, 26; 28,15.45.58-61; 30,7.10).</w:t>
      </w:r>
    </w:p>
    <w:p w14:paraId="6D5E7E25" w14:textId="77777777" w:rsidR="008A57FB" w:rsidRDefault="008A57FB" w:rsidP="008A57FB">
      <w:pPr>
        <w:pStyle w:val="whitespace-normal"/>
      </w:pPr>
      <w:r>
        <w:rPr>
          <w:rStyle w:val="Fett"/>
          <w:rFonts w:eastAsiaTheme="majorEastAsia"/>
        </w:rPr>
        <w:t>Die Satzstruktur:</w:t>
      </w:r>
      <w:r>
        <w:t xml:space="preserve"> Aussage (und es entbrannte der Zorn JHWHs gegen jenes Land, zu bringen über es allen Fluch, der geschrieben ist in diesem Buch).</w:t>
      </w:r>
    </w:p>
    <w:p w14:paraId="50B332A0" w14:textId="491AB2BE" w:rsidR="008A57FB" w:rsidRDefault="008A57FB" w:rsidP="00B77CC6">
      <w:pPr>
        <w:pStyle w:val="whitespace-normal"/>
      </w:pPr>
      <w:r>
        <w:rPr>
          <w:rStyle w:val="Fett"/>
          <w:rFonts w:eastAsiaTheme="majorEastAsia"/>
        </w:rPr>
        <w:t>Der Vers beschreibt:</w:t>
      </w:r>
      <w:r>
        <w:t xml:space="preserve"> JHWHs Reaktion – sein Zorn entbrennt, er bringt alle geschriebenen Flüche über das Land.</w:t>
      </w:r>
    </w:p>
    <w:p w14:paraId="05AA0948" w14:textId="77777777" w:rsidR="008A57FB" w:rsidRPr="008D48A3" w:rsidRDefault="008A57FB" w:rsidP="008D48A3">
      <w:pPr>
        <w:pStyle w:val="Bibelberschrift"/>
      </w:pPr>
      <w:r w:rsidRPr="008D48A3">
        <w:rPr>
          <w:rStyle w:val="Fett"/>
          <w:b/>
          <w:bCs w:val="0"/>
        </w:rPr>
        <w:lastRenderedPageBreak/>
        <w:t>Deuteronomium 29,27 (29,28 MT)</w:t>
      </w:r>
    </w:p>
    <w:p w14:paraId="6732CADF" w14:textId="77777777" w:rsidR="008A57FB" w:rsidRDefault="008A57FB" w:rsidP="008A57FB">
      <w:pPr>
        <w:pStyle w:val="whitespace-normal"/>
      </w:pPr>
      <w:r>
        <w:rPr>
          <w:rStyle w:val="Fett"/>
          <w:rFonts w:eastAsiaTheme="majorEastAsia"/>
        </w:rPr>
        <w:t>Hebräisch:</w:t>
      </w:r>
      <w:r>
        <w:t xml:space="preserve"> </w:t>
      </w:r>
      <w:r>
        <w:rPr>
          <w:rtl/>
        </w:rPr>
        <w:t>וַיִּתְּשֵׁם יְהוָה מֵעַל אַדְמָתָם בְּאַף וּבְחֵמָה וּבְקֶצֶף גָּדוֹל וַיַּשְׁלִכֵם אֶל־אֶרֶץ אַחֶרֶת כַּיּוֹם הַזֶּה׃</w:t>
      </w:r>
    </w:p>
    <w:p w14:paraId="229DC44D" w14:textId="77777777" w:rsidR="008A57FB" w:rsidRDefault="008A57FB" w:rsidP="008A57FB">
      <w:pPr>
        <w:pStyle w:val="whitespace-normal"/>
      </w:pPr>
      <w:r>
        <w:rPr>
          <w:rStyle w:val="Fett"/>
          <w:rFonts w:eastAsiaTheme="majorEastAsia"/>
        </w:rPr>
        <w:t>Deutsch:</w:t>
      </w:r>
      <w:r>
        <w:t xml:space="preserve"> Und JHWH riss sie heraus von ihrem Boden in Zorn und in Grimm und in großem Unwillen, und warf sie in ein anderes Land, wie es an diesem Tag ist.</w:t>
      </w:r>
    </w:p>
    <w:p w14:paraId="1980780B" w14:textId="77777777" w:rsidR="008A57FB" w:rsidRDefault="004F5CEB" w:rsidP="008A57FB">
      <w:r>
        <w:rPr>
          <w:noProof/>
        </w:rPr>
        <w:pict w14:anchorId="2F3E9680">
          <v:rect id="_x0000_i1841" style="width:0;height:1.5pt" o:hralign="center" o:hrstd="t" o:hr="t" fillcolor="#a0a0a0" stroked="f"/>
        </w:pict>
      </w:r>
    </w:p>
    <w:p w14:paraId="708A0F11"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וַיִּתְּשֵׁם יְהוָה מֵעַל אַדְמָתָם בְּאַף וּבְחֵמָה וּבְקֶצֶף גָּדוֹל וַיַּשְׁלִכֵם אֶל־אֶרֶץ אַחֶרֶת כַּיּוֹם הַזֶּה</w:t>
      </w:r>
      <w:r>
        <w:rPr>
          <w:rtl/>
        </w:rPr>
        <w:t xml:space="preserve"> </w:t>
      </w:r>
      <w:r>
        <w:t xml:space="preserve">sind zwei Aussagen: </w:t>
      </w:r>
      <w:r>
        <w:rPr>
          <w:rStyle w:val="Fett"/>
          <w:rFonts w:eastAsiaTheme="majorEastAsia"/>
          <w:rtl/>
        </w:rPr>
        <w:t>וַיִּתְּשֵׁם יְהוָה מֵעַל אַדְמָתָם בְּאַף וּבְחֵמָה וּבְקֶצֶף גָּדוֹל</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נתשׁ</w:t>
      </w:r>
      <w:r>
        <w:t xml:space="preserve">, Qal Imperfekt mit </w:t>
      </w:r>
      <w:r>
        <w:rPr>
          <w:rStyle w:val="Fett"/>
          <w:rFonts w:eastAsiaTheme="majorEastAsia"/>
        </w:rPr>
        <w:t>Waw</w:t>
      </w:r>
      <w:r>
        <w:t xml:space="preserve"> consecutivum, 3. Person Maskulinum Singular, mit Suffix 3. Person Maskulinum Plural, „herausreißen, entwurzeln", </w:t>
      </w:r>
      <w:r>
        <w:rPr>
          <w:rStyle w:val="Fett"/>
          <w:rFonts w:eastAsiaTheme="majorEastAsia"/>
          <w:rtl/>
        </w:rPr>
        <w:t>יְהוָה</w:t>
      </w:r>
      <w:r>
        <w:rPr>
          <w:rtl/>
        </w:rPr>
        <w:t xml:space="preserve"> </w:t>
      </w:r>
      <w:r>
        <w:t xml:space="preserve">als Subjekt, </w:t>
      </w:r>
      <w:r>
        <w:rPr>
          <w:rStyle w:val="Fett"/>
          <w:rFonts w:eastAsiaTheme="majorEastAsia"/>
          <w:rtl/>
        </w:rPr>
        <w:t>מֵעַל אַדְמָתָם</w:t>
      </w:r>
      <w:r>
        <w:t xml:space="preserve">, drei Präpositionen </w:t>
      </w:r>
      <w:r>
        <w:rPr>
          <w:rStyle w:val="Fett"/>
          <w:rFonts w:eastAsiaTheme="majorEastAsia"/>
          <w:rtl/>
        </w:rPr>
        <w:t>בְּ</w:t>
      </w:r>
      <w:r>
        <w:t xml:space="preserve">: </w:t>
      </w:r>
      <w:r>
        <w:rPr>
          <w:rStyle w:val="Fett"/>
          <w:rFonts w:eastAsiaTheme="majorEastAsia"/>
          <w:rtl/>
        </w:rPr>
        <w:t>אַף</w:t>
      </w:r>
      <w:r>
        <w:t xml:space="preserve">, </w:t>
      </w:r>
      <w:r>
        <w:rPr>
          <w:rStyle w:val="Fett"/>
          <w:rFonts w:eastAsiaTheme="majorEastAsia"/>
          <w:rtl/>
        </w:rPr>
        <w:t>חֵמָה</w:t>
      </w:r>
      <w:r>
        <w:t xml:space="preserve">, </w:t>
      </w:r>
      <w:r>
        <w:rPr>
          <w:rStyle w:val="Fett"/>
          <w:rFonts w:eastAsiaTheme="majorEastAsia"/>
          <w:rtl/>
        </w:rPr>
        <w:t>קֶצֶף</w:t>
      </w:r>
      <w:r>
        <w:t xml:space="preserve">, „Unwille, Zorn", mit </w:t>
      </w:r>
      <w:r>
        <w:rPr>
          <w:rStyle w:val="Fett"/>
          <w:rFonts w:eastAsiaTheme="majorEastAsia"/>
          <w:rtl/>
        </w:rPr>
        <w:t>גָּדוֹל</w:t>
      </w:r>
      <w:r>
        <w:t xml:space="preserve">), </w:t>
      </w:r>
      <w:r>
        <w:rPr>
          <w:rStyle w:val="Fett"/>
          <w:rFonts w:eastAsiaTheme="majorEastAsia"/>
          <w:rtl/>
        </w:rPr>
        <w:t>וַיַּשְׁלִכֵם אֶל־אֶרֶץ אַחֶרֶת כַּיּוֹם הַזֶּה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שׁלך</w:t>
      </w:r>
      <w:r>
        <w:t xml:space="preserve">, Hiphil Imperfekt mit </w:t>
      </w:r>
      <w:r>
        <w:rPr>
          <w:rStyle w:val="Fett"/>
          <w:rFonts w:eastAsiaTheme="majorEastAsia"/>
        </w:rPr>
        <w:t>Waw</w:t>
      </w:r>
      <w:r>
        <w:t xml:space="preserve"> consecutivum, 3. Person Maskulinum Singular, mit Suffix 3. Person Maskulinum Plural, „werfen, schleudern", Präposition </w:t>
      </w:r>
      <w:r>
        <w:rPr>
          <w:rStyle w:val="Fett"/>
          <w:rFonts w:eastAsiaTheme="majorEastAsia"/>
          <w:rtl/>
        </w:rPr>
        <w:t>אֶל</w:t>
      </w:r>
      <w:r>
        <w:rPr>
          <w:rtl/>
        </w:rPr>
        <w:t xml:space="preserve"> </w:t>
      </w:r>
      <w:r>
        <w:t xml:space="preserve">mit </w:t>
      </w:r>
      <w:r>
        <w:rPr>
          <w:rStyle w:val="Fett"/>
          <w:rFonts w:eastAsiaTheme="majorEastAsia"/>
          <w:rtl/>
        </w:rPr>
        <w:t>אֶרֶץ אַחֶרֶת</w:t>
      </w:r>
      <w:r>
        <w:t xml:space="preserve">, </w:t>
      </w:r>
      <w:r>
        <w:rPr>
          <w:rStyle w:val="Fett"/>
          <w:rFonts w:eastAsiaTheme="majorEastAsia"/>
          <w:rtl/>
        </w:rPr>
        <w:t>כַּיּוֹם הַזֶּה</w:t>
      </w:r>
      <w:r>
        <w:t>).</w:t>
      </w:r>
    </w:p>
    <w:p w14:paraId="7B70ED8B" w14:textId="319CE3A7" w:rsidR="008A57FB" w:rsidRDefault="008A57FB" w:rsidP="008A57FB">
      <w:pPr>
        <w:pStyle w:val="whitespace-normal"/>
      </w:pPr>
      <w:r>
        <w:t xml:space="preserve">Der Vers beschreibt das Exil. Die erste Aussage: </w:t>
      </w:r>
      <w:r>
        <w:rPr>
          <w:rStyle w:val="Fett"/>
          <w:rFonts w:eastAsiaTheme="majorEastAsia"/>
          <w:rtl/>
        </w:rPr>
        <w:t>וַיִּתְּשֵׁם יְהוָה מֵעַל אַדְמָתָם בְּאַף וּבְחֵמָה וּבְקֶצֶף גָּדוֹל</w:t>
      </w:r>
      <w:r>
        <w:rPr>
          <w:rtl/>
        </w:rPr>
        <w:t xml:space="preserve"> </w:t>
      </w:r>
      <w:r>
        <w:t xml:space="preserve">(„und herausgerissen hat JHWH sie von ihrem Boden in Zorn und in Grimm und in großem Unwillen"). Das Verb </w:t>
      </w:r>
      <w:r>
        <w:rPr>
          <w:rStyle w:val="Fett"/>
          <w:rFonts w:eastAsiaTheme="majorEastAsia"/>
          <w:rtl/>
        </w:rPr>
        <w:t>נתשׁ</w:t>
      </w:r>
      <w:r>
        <w:rPr>
          <w:rtl/>
        </w:rPr>
        <w:t xml:space="preserve"> </w:t>
      </w:r>
      <w:r>
        <w:t xml:space="preserve">(„herausreißen, entwurzeln") beschreibt gewaltsame Entwurzelung (vgl. 28,63; </w:t>
      </w:r>
      <w:r w:rsidR="00664EB6">
        <w:t>1Kön</w:t>
      </w:r>
      <w:r>
        <w:t xml:space="preserve"> 14,15; Jer 1,10; 12,14-15.17; 18,7; 24,6; 31,28.40; 42,10; 45,4; Amos 9,15; Zeph 2,4). Die drei Begriffe </w:t>
      </w:r>
      <w:r>
        <w:rPr>
          <w:rStyle w:val="Fett"/>
          <w:rFonts w:eastAsiaTheme="majorEastAsia"/>
          <w:rtl/>
        </w:rPr>
        <w:t>אַף וּבְחֵמָה וּבְקֶצֶף גָּדוֹל</w:t>
      </w:r>
      <w:r>
        <w:rPr>
          <w:rtl/>
        </w:rPr>
        <w:t xml:space="preserve"> </w:t>
      </w:r>
      <w:r>
        <w:t xml:space="preserve">(„Zorn und Grimm und großer Unwille") beschreiben die Intensität von JHWHs Zorn (vgl. V. 22, 26). Die zweite Aussage: </w:t>
      </w:r>
      <w:r>
        <w:rPr>
          <w:rStyle w:val="Fett"/>
          <w:rFonts w:eastAsiaTheme="majorEastAsia"/>
          <w:rtl/>
        </w:rPr>
        <w:t>וַיַּשְׁלִכֵם אֶל־אֶרֶץ אַחֶרֶת כַּיּוֹם הַזֶּה</w:t>
      </w:r>
      <w:r>
        <w:rPr>
          <w:rtl/>
        </w:rPr>
        <w:t xml:space="preserve"> </w:t>
      </w:r>
      <w:r>
        <w:t xml:space="preserve">(„und geworfen hat er sie in ein anderes Land, wie es an diesem Tag ist"). Das Verb </w:t>
      </w:r>
      <w:r>
        <w:rPr>
          <w:rStyle w:val="Fett"/>
          <w:rFonts w:eastAsiaTheme="majorEastAsia"/>
          <w:rtl/>
        </w:rPr>
        <w:t>שׁלך</w:t>
      </w:r>
      <w:r>
        <w:rPr>
          <w:rtl/>
        </w:rPr>
        <w:t xml:space="preserve"> </w:t>
      </w:r>
      <w:r>
        <w:t xml:space="preserve">(„werfen, schleudern") beschreibt gewaltsames Wegwerfen (vgl. </w:t>
      </w:r>
      <w:r w:rsidR="00664EB6">
        <w:t>1Kön</w:t>
      </w:r>
      <w:r>
        <w:t xml:space="preserve"> 14,9; </w:t>
      </w:r>
      <w:r w:rsidR="00664EB6">
        <w:t>2Kön</w:t>
      </w:r>
      <w:r>
        <w:t xml:space="preserve"> 7,15; 13,23; 17,20; 24,20; Jer 7,15; 16,13; 22,26.28; 51,63-64). Die Formulierung </w:t>
      </w:r>
      <w:r>
        <w:rPr>
          <w:rStyle w:val="Fett"/>
          <w:rFonts w:eastAsiaTheme="majorEastAsia"/>
          <w:rtl/>
        </w:rPr>
        <w:t>אֶרֶץ אַחֶרֶת</w:t>
      </w:r>
      <w:r>
        <w:rPr>
          <w:rtl/>
        </w:rPr>
        <w:t xml:space="preserve"> </w:t>
      </w:r>
      <w:r>
        <w:t xml:space="preserve">(„ein anderes Land") = Exil (vgl. 28,36.64; Jer 22,26). Die Schlussformel </w:t>
      </w:r>
      <w:r>
        <w:rPr>
          <w:rStyle w:val="Fett"/>
          <w:rFonts w:eastAsiaTheme="majorEastAsia"/>
          <w:rtl/>
        </w:rPr>
        <w:t>כַּיּוֹם הַזֶּה</w:t>
      </w:r>
      <w:r>
        <w:rPr>
          <w:rtl/>
        </w:rPr>
        <w:t xml:space="preserve"> </w:t>
      </w:r>
      <w:r>
        <w:t>(„wie es an diesem Tag ist") markiert: diese Situation ist (aus der Perspektive des Sprechers) Realität geworden – das Exil ist eingetreten (vgl. ähnliche Formulierungen in 2,30; 4,20.38; 6,24; 8,18; 10,15; 29,3).</w:t>
      </w:r>
    </w:p>
    <w:p w14:paraId="42570A16" w14:textId="77777777" w:rsidR="004F2264" w:rsidRPr="004F2264" w:rsidRDefault="004F2264" w:rsidP="004F2264">
      <w:pPr>
        <w:spacing w:before="100" w:beforeAutospacing="1" w:after="100" w:afterAutospacing="1" w:line="240" w:lineRule="auto"/>
        <w:outlineLvl w:val="1"/>
        <w:rPr>
          <w:rFonts w:eastAsia="Times New Roman"/>
          <w:b/>
          <w:bCs/>
          <w:sz w:val="36"/>
          <w:szCs w:val="36"/>
          <w:lang w:eastAsia="de-DE"/>
        </w:rPr>
      </w:pPr>
      <w:r w:rsidRPr="004F2264">
        <w:rPr>
          <w:rFonts w:eastAsia="Times New Roman"/>
          <w:b/>
          <w:bCs/>
          <w:sz w:val="36"/>
          <w:szCs w:val="36"/>
          <w:lang w:eastAsia="de-DE"/>
        </w:rPr>
        <w:t>Vers 27 (MT) / Vers 28 (LXX)</w:t>
      </w:r>
    </w:p>
    <w:p w14:paraId="45559E2F" w14:textId="7B819580" w:rsidR="004F2264" w:rsidRPr="004F2264" w:rsidRDefault="004F2264" w:rsidP="004F2264">
      <w:pPr>
        <w:spacing w:before="100" w:beforeAutospacing="1" w:after="100" w:afterAutospacing="1" w:line="240" w:lineRule="auto"/>
        <w:rPr>
          <w:rFonts w:eastAsia="Times New Roman"/>
          <w:lang w:eastAsia="de-DE"/>
        </w:rPr>
      </w:pPr>
      <w:r w:rsidRPr="004F2264">
        <w:rPr>
          <w:rFonts w:eastAsia="Times New Roman"/>
          <w:b/>
          <w:bCs/>
          <w:lang w:eastAsia="de-DE"/>
        </w:rPr>
        <w:t>Die LXX</w:t>
      </w:r>
      <w:r w:rsidRPr="004F2264">
        <w:rPr>
          <w:rFonts w:eastAsia="Times New Roman"/>
          <w:lang w:eastAsia="de-DE"/>
        </w:rPr>
        <w:t xml:space="preserve"> übersetzt </w:t>
      </w:r>
      <w:r w:rsidRPr="004F2264">
        <w:rPr>
          <w:rFonts w:eastAsia="Times New Roman"/>
          <w:rtl/>
          <w:lang w:eastAsia="de-DE"/>
        </w:rPr>
        <w:t>וַיִּתְּשֵׁם... וַיַּשְׁלִכֵם</w:t>
      </w:r>
      <w:r w:rsidRPr="004F2264">
        <w:rPr>
          <w:rFonts w:eastAsia="Times New Roman"/>
          <w:lang w:eastAsia="de-DE"/>
        </w:rPr>
        <w:t xml:space="preserve"> (und er riss sie aus... und warf sie) mit καὶ </w:t>
      </w:r>
      <w:proofErr w:type="spellStart"/>
      <w:r w:rsidRPr="004F2264">
        <w:rPr>
          <w:rFonts w:eastAsia="Times New Roman"/>
          <w:lang w:eastAsia="de-DE"/>
        </w:rPr>
        <w:t>ἐξῆρεν</w:t>
      </w:r>
      <w:proofErr w:type="spellEnd"/>
      <w:r w:rsidRPr="004F2264">
        <w:rPr>
          <w:rFonts w:eastAsia="Times New Roman"/>
          <w:lang w:eastAsia="de-DE"/>
        </w:rPr>
        <w:t xml:space="preserve"> α</w:t>
      </w:r>
      <w:proofErr w:type="spellStart"/>
      <w:r w:rsidRPr="004F2264">
        <w:rPr>
          <w:rFonts w:eastAsia="Times New Roman"/>
          <w:lang w:eastAsia="de-DE"/>
        </w:rPr>
        <w:t>ὐτοὺς</w:t>
      </w:r>
      <w:proofErr w:type="spellEnd"/>
      <w:r w:rsidRPr="004F2264">
        <w:rPr>
          <w:rFonts w:eastAsia="Times New Roman"/>
          <w:lang w:eastAsia="de-DE"/>
        </w:rPr>
        <w:t xml:space="preserve">... καὶ </w:t>
      </w:r>
      <w:proofErr w:type="spellStart"/>
      <w:r w:rsidRPr="004F2264">
        <w:rPr>
          <w:rFonts w:eastAsia="Times New Roman"/>
          <w:lang w:eastAsia="de-DE"/>
        </w:rPr>
        <w:t>ἐξέ</w:t>
      </w:r>
      <w:proofErr w:type="spellEnd"/>
      <w:r w:rsidRPr="004F2264">
        <w:rPr>
          <w:rFonts w:eastAsia="Times New Roman"/>
          <w:lang w:eastAsia="de-DE"/>
        </w:rPr>
        <w:t>βαλεν α</w:t>
      </w:r>
      <w:proofErr w:type="spellStart"/>
      <w:r w:rsidRPr="004F2264">
        <w:rPr>
          <w:rFonts w:eastAsia="Times New Roman"/>
          <w:lang w:eastAsia="de-DE"/>
        </w:rPr>
        <w:t>ὐτοὺς</w:t>
      </w:r>
      <w:proofErr w:type="spellEnd"/>
      <w:r w:rsidRPr="004F2264">
        <w:rPr>
          <w:rFonts w:eastAsia="Times New Roman"/>
          <w:lang w:eastAsia="de-DE"/>
        </w:rPr>
        <w:t xml:space="preserve"> (und er hob sie auf/entfernte sie... und warf sie hinaus). Das Verb </w:t>
      </w:r>
      <w:proofErr w:type="spellStart"/>
      <w:r w:rsidRPr="004F2264">
        <w:rPr>
          <w:rFonts w:eastAsia="Times New Roman"/>
          <w:lang w:eastAsia="de-DE"/>
        </w:rPr>
        <w:t>ἐξ</w:t>
      </w:r>
      <w:proofErr w:type="spellEnd"/>
      <w:r w:rsidRPr="004F2264">
        <w:rPr>
          <w:rFonts w:eastAsia="Times New Roman"/>
          <w:lang w:eastAsia="de-DE"/>
        </w:rPr>
        <w:t>αίρω kann "wegnehmen, entfernen" bedeuten.</w:t>
      </w:r>
    </w:p>
    <w:p w14:paraId="3655DCC4" w14:textId="77777777" w:rsidR="008A57FB" w:rsidRDefault="008A57FB" w:rsidP="008A57FB">
      <w:pPr>
        <w:pStyle w:val="whitespace-normal"/>
      </w:pPr>
      <w:r>
        <w:rPr>
          <w:rStyle w:val="Fett"/>
          <w:rFonts w:eastAsiaTheme="majorEastAsia"/>
        </w:rPr>
        <w:t>Die Satzstruktur:</w:t>
      </w:r>
      <w:r>
        <w:t xml:space="preserve"> Zwei Aussagen (und herausgerissen hat JHWH sie von ihrem Boden in Zorn und in Grimm und in großem Unwillen, und geworfen hat er sie in ein anderes Land, wie es an diesem Tag ist).</w:t>
      </w:r>
    </w:p>
    <w:p w14:paraId="6D2FB9FF" w14:textId="714DF559" w:rsidR="008A57FB" w:rsidRDefault="008A57FB" w:rsidP="00B77CC6">
      <w:pPr>
        <w:pStyle w:val="whitespace-normal"/>
      </w:pPr>
      <w:r>
        <w:rPr>
          <w:rStyle w:val="Fett"/>
          <w:rFonts w:eastAsiaTheme="majorEastAsia"/>
        </w:rPr>
        <w:t>Der Vers beschreibt:</w:t>
      </w:r>
      <w:r>
        <w:t xml:space="preserve"> Das Exil – gewaltsame Entwurzelung und </w:t>
      </w:r>
      <w:r w:rsidR="003933AB">
        <w:t>Wegschleudern</w:t>
      </w:r>
      <w:r>
        <w:t xml:space="preserve"> in fremdes Land im Zorn JHWHs.</w:t>
      </w:r>
    </w:p>
    <w:p w14:paraId="5AFF5429" w14:textId="77777777" w:rsidR="008A57FB" w:rsidRPr="008D48A3" w:rsidRDefault="008A57FB" w:rsidP="008D48A3">
      <w:pPr>
        <w:pStyle w:val="Bibelberschrift"/>
      </w:pPr>
      <w:r w:rsidRPr="008D48A3">
        <w:rPr>
          <w:rStyle w:val="Fett"/>
          <w:b/>
          <w:bCs w:val="0"/>
        </w:rPr>
        <w:lastRenderedPageBreak/>
        <w:t>Deuteronomium 29,28 (29,29 MT)</w:t>
      </w:r>
    </w:p>
    <w:p w14:paraId="104C91B9" w14:textId="77777777" w:rsidR="008A57FB" w:rsidRDefault="008A57FB" w:rsidP="008A57FB">
      <w:pPr>
        <w:pStyle w:val="whitespace-normal"/>
      </w:pPr>
      <w:r>
        <w:rPr>
          <w:rStyle w:val="Fett"/>
          <w:rFonts w:eastAsiaTheme="majorEastAsia"/>
        </w:rPr>
        <w:t>Hebräisch:</w:t>
      </w:r>
      <w:r>
        <w:t xml:space="preserve"> </w:t>
      </w:r>
      <w:r>
        <w:rPr>
          <w:rtl/>
        </w:rPr>
        <w:t>הַנִּסְתָּרֹת לַיהוָה אֱלֹהֵינוּ וְהַנִּגְלֹת לָנוּ וּלְבָנֵינוּ עַד־עוֹלָם לַעֲשׂוֹת אֶת־כָּל־דִּבְרֵי הַתּוֹרָה הַזֹּאת׃</w:t>
      </w:r>
    </w:p>
    <w:p w14:paraId="647F1E1A" w14:textId="237FE462" w:rsidR="008A57FB" w:rsidRDefault="008A57FB" w:rsidP="008A57FB">
      <w:pPr>
        <w:pStyle w:val="whitespace-normal"/>
      </w:pPr>
      <w:r>
        <w:rPr>
          <w:rStyle w:val="Fett"/>
          <w:rFonts w:eastAsiaTheme="majorEastAsia"/>
        </w:rPr>
        <w:t>Deutsch:</w:t>
      </w:r>
      <w:r>
        <w:t xml:space="preserve"> Das Verborgene gehört JHWH, unserem Gott; aber das Geoffenbarte gehört uns und unseren Kindern bis in Ewigkeit, zu tun alle Worte dieser </w:t>
      </w:r>
      <w:r w:rsidR="006D3FED">
        <w:t>Torah</w:t>
      </w:r>
      <w:r>
        <w:t>.</w:t>
      </w:r>
    </w:p>
    <w:p w14:paraId="7BB2B89D" w14:textId="77777777" w:rsidR="008A57FB" w:rsidRDefault="004F5CEB" w:rsidP="008A57FB">
      <w:r>
        <w:rPr>
          <w:noProof/>
        </w:rPr>
        <w:pict w14:anchorId="6A64B097">
          <v:rect id="_x0000_i1842" style="width:0;height:1.5pt" o:hralign="center" o:hrstd="t" o:hr="t" fillcolor="#a0a0a0" stroked="f"/>
        </w:pict>
      </w:r>
    </w:p>
    <w:p w14:paraId="126151D4"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הַנִּסְתָּרֹת לַיהוָה אֱלֹהֵינוּ וְהַנִּגְלֹת לָנוּ וּלְבָנֵינוּ עַד־עוֹלָם לַעֲשׂוֹת אֶת־כָּל־דִּבְרֵי הַתּוֹרָה הַזֹּאת</w:t>
      </w:r>
      <w:r>
        <w:rPr>
          <w:rtl/>
        </w:rPr>
        <w:t xml:space="preserve"> </w:t>
      </w:r>
      <w:r>
        <w:t xml:space="preserve">ist eine grundlegende theologische Aussage: </w:t>
      </w:r>
      <w:r>
        <w:rPr>
          <w:rStyle w:val="Fett"/>
          <w:rFonts w:eastAsiaTheme="majorEastAsia"/>
          <w:rtl/>
        </w:rPr>
        <w:t>הַנִּסְתָּרֹת לַיהוָה אֱלֹהֵינוּ וְהַנִּגְלֹת לָנוּ וּלְבָנֵינוּ עַד־עוֹלָם לַעֲשׂוֹת אֶת־כָּל־דִּבְרֵי הַתּוֹרָה הַזֹּאת</w:t>
      </w:r>
      <w:r>
        <w:rPr>
          <w:rtl/>
        </w:rPr>
        <w:t xml:space="preserve"> </w:t>
      </w:r>
      <w:r>
        <w:t>(</w:t>
      </w:r>
      <w:r>
        <w:rPr>
          <w:rStyle w:val="Fett"/>
          <w:rFonts w:eastAsiaTheme="majorEastAsia"/>
          <w:rtl/>
        </w:rPr>
        <w:t>סתר</w:t>
      </w:r>
      <w:r>
        <w:t xml:space="preserve">, Niphal Partizip Plural, „verborgen, geheim", mit Artikel, Präposition </w:t>
      </w:r>
      <w:r>
        <w:rPr>
          <w:rStyle w:val="Fett"/>
          <w:rFonts w:eastAsiaTheme="majorEastAsia"/>
          <w:rtl/>
        </w:rPr>
        <w:t>לְ</w:t>
      </w:r>
      <w:r>
        <w:rPr>
          <w:rtl/>
        </w:rPr>
        <w:t xml:space="preserve"> </w:t>
      </w:r>
      <w:r>
        <w:t xml:space="preserve">mit </w:t>
      </w:r>
      <w:r>
        <w:rPr>
          <w:rStyle w:val="Fett"/>
          <w:rFonts w:eastAsiaTheme="majorEastAsia"/>
          <w:rtl/>
        </w:rPr>
        <w:t>יְהוָה אֱלֹהֵינוּ</w:t>
      </w:r>
      <w:r>
        <w:t xml:space="preserve">, koordiniert durch </w:t>
      </w:r>
      <w:r>
        <w:rPr>
          <w:rStyle w:val="Fett"/>
          <w:rFonts w:eastAsiaTheme="majorEastAsia"/>
          <w:rtl/>
        </w:rPr>
        <w:t>וְ</w:t>
      </w:r>
      <w:r>
        <w:rPr>
          <w:rtl/>
        </w:rPr>
        <w:t xml:space="preserve"> </w:t>
      </w:r>
      <w:r>
        <w:t xml:space="preserve">mit </w:t>
      </w:r>
      <w:r>
        <w:rPr>
          <w:rStyle w:val="Fett"/>
          <w:rFonts w:eastAsiaTheme="majorEastAsia"/>
          <w:rtl/>
        </w:rPr>
        <w:t>גלה</w:t>
      </w:r>
      <w:r>
        <w:t xml:space="preserve">, Niphal Partizip Plural, „geoffenbart, offenbar", mit Artikel, Präposition </w:t>
      </w:r>
      <w:r>
        <w:rPr>
          <w:rStyle w:val="Fett"/>
          <w:rFonts w:eastAsiaTheme="majorEastAsia"/>
          <w:rtl/>
        </w:rPr>
        <w:t>לְ</w:t>
      </w:r>
      <w:r>
        <w:rPr>
          <w:rtl/>
        </w:rPr>
        <w:t xml:space="preserve"> </w:t>
      </w:r>
      <w:r>
        <w:t xml:space="preserve">mit Suffix 1. Person Plural, koordiniert durch </w:t>
      </w:r>
      <w:r>
        <w:rPr>
          <w:rStyle w:val="Fett"/>
          <w:rFonts w:eastAsiaTheme="majorEastAsia"/>
          <w:rtl/>
        </w:rPr>
        <w:t>וּ</w:t>
      </w:r>
      <w:r>
        <w:rPr>
          <w:rtl/>
        </w:rPr>
        <w:t xml:space="preserve"> </w:t>
      </w:r>
      <w:r>
        <w:t xml:space="preserve">mit Präposition </w:t>
      </w:r>
      <w:r>
        <w:rPr>
          <w:rStyle w:val="Fett"/>
          <w:rFonts w:eastAsiaTheme="majorEastAsia"/>
          <w:rtl/>
        </w:rPr>
        <w:t>לְ</w:t>
      </w:r>
      <w:r>
        <w:t xml:space="preserve">, </w:t>
      </w:r>
      <w:r>
        <w:rPr>
          <w:rStyle w:val="Fett"/>
          <w:rFonts w:eastAsiaTheme="majorEastAsia"/>
          <w:rtl/>
        </w:rPr>
        <w:t>בֵּן</w:t>
      </w:r>
      <w:r>
        <w:rPr>
          <w:rtl/>
        </w:rPr>
        <w:t xml:space="preserve"> </w:t>
      </w:r>
      <w:r>
        <w:t xml:space="preserve">Plural mit Suffix 1. Person Plural, </w:t>
      </w:r>
      <w:r>
        <w:rPr>
          <w:rStyle w:val="Fett"/>
          <w:rFonts w:eastAsiaTheme="majorEastAsia"/>
          <w:rtl/>
        </w:rPr>
        <w:t>עַד־עוֹלָם</w:t>
      </w:r>
      <w:r>
        <w:t xml:space="preserve">, Finalsatz: </w:t>
      </w:r>
      <w:r>
        <w:rPr>
          <w:rStyle w:val="Fett"/>
          <w:rFonts w:eastAsiaTheme="majorEastAsia"/>
          <w:rtl/>
        </w:rPr>
        <w:t>לַעֲשׂוֹת אֶת־כָּל־דִּבְרֵי הַתּוֹרָה הַזֹּאת</w:t>
      </w:r>
      <w:r>
        <w:rPr>
          <w:rtl/>
        </w:rPr>
        <w:t xml:space="preserve"> </w:t>
      </w:r>
      <w:r>
        <w:t xml:space="preserve">mit Präposition </w:t>
      </w:r>
      <w:r>
        <w:rPr>
          <w:rStyle w:val="Fett"/>
          <w:rFonts w:eastAsiaTheme="majorEastAsia"/>
          <w:rtl/>
        </w:rPr>
        <w:t>לְ</w:t>
      </w:r>
      <w:r>
        <w:rPr>
          <w:rtl/>
        </w:rPr>
        <w:t xml:space="preserve"> </w:t>
      </w:r>
      <w:r>
        <w:t xml:space="preserve">+ Qal Infinitiv Construct von </w:t>
      </w:r>
      <w:r>
        <w:rPr>
          <w:rStyle w:val="Fett"/>
          <w:rFonts w:eastAsiaTheme="majorEastAsia"/>
          <w:rtl/>
        </w:rPr>
        <w:t>עשׂה</w:t>
      </w:r>
      <w:r>
        <w:t xml:space="preserve">, Objektpartikel </w:t>
      </w:r>
      <w:r>
        <w:rPr>
          <w:rStyle w:val="Fett"/>
          <w:rFonts w:eastAsiaTheme="majorEastAsia"/>
          <w:rtl/>
        </w:rPr>
        <w:t>אֵת</w:t>
      </w:r>
      <w:r>
        <w:rPr>
          <w:rtl/>
        </w:rPr>
        <w:t xml:space="preserve"> </w:t>
      </w:r>
      <w:r>
        <w:t xml:space="preserve">mit </w:t>
      </w:r>
      <w:r>
        <w:rPr>
          <w:rStyle w:val="Fett"/>
          <w:rFonts w:eastAsiaTheme="majorEastAsia"/>
          <w:rtl/>
        </w:rPr>
        <w:t>כָּל־דָּבָר</w:t>
      </w:r>
      <w:r>
        <w:rPr>
          <w:rtl/>
        </w:rPr>
        <w:t xml:space="preserve"> </w:t>
      </w:r>
      <w:r>
        <w:t xml:space="preserve">Plural Construct mit </w:t>
      </w:r>
      <w:r>
        <w:rPr>
          <w:rStyle w:val="Fett"/>
          <w:rFonts w:eastAsiaTheme="majorEastAsia"/>
          <w:rtl/>
        </w:rPr>
        <w:t>תּוֹרָה</w:t>
      </w:r>
      <w:r>
        <w:rPr>
          <w:rtl/>
        </w:rPr>
        <w:t xml:space="preserve"> </w:t>
      </w:r>
      <w:r>
        <w:t xml:space="preserve">mit Artikel, </w:t>
      </w:r>
      <w:r>
        <w:rPr>
          <w:rStyle w:val="Fett"/>
          <w:rFonts w:eastAsiaTheme="majorEastAsia"/>
          <w:rtl/>
        </w:rPr>
        <w:t>זֹאת</w:t>
      </w:r>
      <w:r>
        <w:t xml:space="preserve">). Die </w:t>
      </w:r>
      <w:r>
        <w:rPr>
          <w:rStyle w:val="Fett"/>
          <w:rFonts w:eastAsiaTheme="majorEastAsia"/>
        </w:rPr>
        <w:t>Setumah</w:t>
      </w:r>
      <w:r>
        <w:t xml:space="preserve"> (</w:t>
      </w:r>
      <w:r>
        <w:rPr>
          <w:rtl/>
        </w:rPr>
        <w:t>ס</w:t>
      </w:r>
      <w:r>
        <w:t>) markiert das Ende von Kapitel 29.</w:t>
      </w:r>
    </w:p>
    <w:p w14:paraId="3A8CEFFB" w14:textId="79A07CD5" w:rsidR="008A57FB" w:rsidRDefault="008A57FB" w:rsidP="008A57FB">
      <w:pPr>
        <w:pStyle w:val="whitespace-normal"/>
      </w:pPr>
      <w:r>
        <w:t xml:space="preserve">Der Vers ist einer der berühmtesten im Deuteronomium und schließt das Kapitel mit einer grundlegenden theologischen Aussage ab. Die Aussage: </w:t>
      </w:r>
      <w:r>
        <w:rPr>
          <w:rStyle w:val="Fett"/>
          <w:rFonts w:eastAsiaTheme="majorEastAsia"/>
          <w:rtl/>
        </w:rPr>
        <w:t>הַנִּסְתָּרֹת לַיהוָה אֱלֹהֵינוּ וְהַנִּגְלֹת לָנוּ וּלְבָנֵינוּ עַד־עוֹלָם לַעֲשׂוֹת אֶת־כָּל־דִּבְרֵי הַתּוֹרָה הַזֹּאת</w:t>
      </w:r>
      <w:r>
        <w:rPr>
          <w:rtl/>
        </w:rPr>
        <w:t xml:space="preserve"> </w:t>
      </w:r>
      <w:r>
        <w:t xml:space="preserve">(„das Verborgene gehört JHWH, unserem Gott; aber das Geoffenbarte gehört uns und unseren Kindern bis in Ewigkeit, zu tun alle Worte dieser </w:t>
      </w:r>
      <w:r w:rsidR="006D3FED">
        <w:t>Torah</w:t>
      </w:r>
      <w:r>
        <w:t xml:space="preserve">"). Zwei Bereiche: (1) </w:t>
      </w:r>
      <w:r>
        <w:rPr>
          <w:rStyle w:val="Fett"/>
          <w:rFonts w:eastAsiaTheme="majorEastAsia"/>
          <w:rtl/>
        </w:rPr>
        <w:t>הַנִּסְתָּרֹת לַיהוָה אֱלֹהֵינוּ</w:t>
      </w:r>
      <w:r>
        <w:rPr>
          <w:rtl/>
        </w:rPr>
        <w:t xml:space="preserve"> </w:t>
      </w:r>
      <w:r>
        <w:t xml:space="preserve">(„das Verborgene gehört JHWH, unserem Gott") – Gottes verborgene Ratschlüsse, Geheimnisse, die nur er kennt (vgl. 32,34; Ps 44,22; Amos 3,7). (2) </w:t>
      </w:r>
      <w:r>
        <w:rPr>
          <w:rStyle w:val="Fett"/>
          <w:rFonts w:eastAsiaTheme="majorEastAsia"/>
          <w:rtl/>
        </w:rPr>
        <w:t>הַנִּגְלֹת לָנוּ וּלְבָנֵינוּ עַד־עוֹלָם</w:t>
      </w:r>
      <w:r>
        <w:rPr>
          <w:rtl/>
        </w:rPr>
        <w:t xml:space="preserve"> </w:t>
      </w:r>
      <w:r>
        <w:t xml:space="preserve">(„das Geoffenbarte gehört uns und unseren Kindern bis in Ewigkeit") – die geoffenbarte </w:t>
      </w:r>
      <w:r w:rsidR="006D3FED">
        <w:t>Torah</w:t>
      </w:r>
      <w:r>
        <w:t xml:space="preserve">, die uns gegeben wurde. Der Finalsatz: </w:t>
      </w:r>
      <w:r>
        <w:rPr>
          <w:rStyle w:val="Fett"/>
          <w:rFonts w:eastAsiaTheme="majorEastAsia"/>
          <w:rtl/>
        </w:rPr>
        <w:t>לַעֲשׂוֹת אֶת־כָּל־דִּבְרֵי הַתּוֹרָה הַזֹּאת</w:t>
      </w:r>
      <w:r>
        <w:rPr>
          <w:rtl/>
        </w:rPr>
        <w:t xml:space="preserve"> </w:t>
      </w:r>
      <w:r>
        <w:t xml:space="preserve">(„zu tun alle Worte dieser </w:t>
      </w:r>
      <w:r w:rsidR="006D3FED">
        <w:t>Torah</w:t>
      </w:r>
      <w:r>
        <w:t xml:space="preserve">"). Der Zweck der Offenbarung: Gehorsam. Die Aussage bedeutet: Wir brauchen uns nicht um Gottes verborgene Geheimnisse zu kümmern (warum geschieht dies oder jenes, warum dieses Leiden, warum dieses Gericht usw.), sondern sollen uns auf das konzentrieren, was offenbart ist – die </w:t>
      </w:r>
      <w:r w:rsidR="006D3FED">
        <w:t>Torah</w:t>
      </w:r>
      <w:r>
        <w:t xml:space="preserve"> zu tun. Klassische rabbinische Interpretation: Die Verantwortung liegt im Gehorsam gegenüber dem Offenbarten, nicht im Spekulieren über das Verborgene.</w:t>
      </w:r>
    </w:p>
    <w:p w14:paraId="7A645E9C" w14:textId="77777777" w:rsidR="00FD17A7" w:rsidRPr="00FD17A7" w:rsidRDefault="00FD17A7" w:rsidP="00FD17A7">
      <w:pPr>
        <w:spacing w:before="100" w:beforeAutospacing="1" w:after="100" w:afterAutospacing="1" w:line="240" w:lineRule="auto"/>
        <w:outlineLvl w:val="1"/>
        <w:rPr>
          <w:rFonts w:eastAsia="Times New Roman"/>
          <w:b/>
          <w:bCs/>
          <w:sz w:val="36"/>
          <w:szCs w:val="36"/>
          <w:lang w:eastAsia="de-DE"/>
        </w:rPr>
      </w:pPr>
      <w:r w:rsidRPr="00FD17A7">
        <w:rPr>
          <w:rFonts w:eastAsia="Times New Roman"/>
          <w:b/>
          <w:bCs/>
          <w:sz w:val="36"/>
          <w:szCs w:val="36"/>
          <w:lang w:eastAsia="de-DE"/>
        </w:rPr>
        <w:t>Vers 28 (MT 29:28) / Vers 29 (LXX)</w:t>
      </w:r>
    </w:p>
    <w:p w14:paraId="6B06A761" w14:textId="7BEFA252" w:rsidR="00FD17A7" w:rsidRPr="00FD17A7" w:rsidRDefault="00FD17A7" w:rsidP="00FD17A7">
      <w:pPr>
        <w:spacing w:before="100" w:beforeAutospacing="1" w:after="100" w:afterAutospacing="1" w:line="240" w:lineRule="auto"/>
        <w:rPr>
          <w:rFonts w:eastAsia="Times New Roman"/>
          <w:lang w:eastAsia="de-DE"/>
        </w:rPr>
      </w:pPr>
      <w:r w:rsidRPr="00FD17A7">
        <w:rPr>
          <w:rFonts w:eastAsia="Times New Roman"/>
          <w:b/>
          <w:bCs/>
          <w:lang w:eastAsia="de-DE"/>
        </w:rPr>
        <w:t>Die LXX</w:t>
      </w:r>
      <w:r w:rsidRPr="00FD17A7">
        <w:rPr>
          <w:rFonts w:eastAsia="Times New Roman"/>
          <w:lang w:eastAsia="de-DE"/>
        </w:rPr>
        <w:t xml:space="preserve"> übersetzt </w:t>
      </w:r>
      <w:r w:rsidRPr="00FD17A7">
        <w:rPr>
          <w:rFonts w:eastAsia="Times New Roman"/>
          <w:rtl/>
          <w:lang w:eastAsia="de-DE"/>
        </w:rPr>
        <w:t>הַנִּסְתָּרֹת... וְהַנִּגְלֹת</w:t>
      </w:r>
      <w:r w:rsidRPr="00FD17A7">
        <w:rPr>
          <w:rFonts w:eastAsia="Times New Roman"/>
          <w:lang w:eastAsia="de-DE"/>
        </w:rPr>
        <w:t xml:space="preserve"> (die verborgenen Dinge... und die offenbarten Dinge) mit </w:t>
      </w:r>
      <w:proofErr w:type="spellStart"/>
      <w:r w:rsidRPr="00FD17A7">
        <w:rPr>
          <w:rFonts w:eastAsia="Times New Roman"/>
          <w:lang w:eastAsia="de-DE"/>
        </w:rPr>
        <w:t>τὰ</w:t>
      </w:r>
      <w:proofErr w:type="spellEnd"/>
      <w:r w:rsidRPr="00FD17A7">
        <w:rPr>
          <w:rFonts w:eastAsia="Times New Roman"/>
          <w:lang w:eastAsia="de-DE"/>
        </w:rPr>
        <w:t xml:space="preserve"> </w:t>
      </w:r>
      <w:proofErr w:type="spellStart"/>
      <w:r w:rsidRPr="00FD17A7">
        <w:rPr>
          <w:rFonts w:eastAsia="Times New Roman"/>
          <w:lang w:eastAsia="de-DE"/>
        </w:rPr>
        <w:t>κρυ</w:t>
      </w:r>
      <w:proofErr w:type="spellEnd"/>
      <w:r w:rsidRPr="00FD17A7">
        <w:rPr>
          <w:rFonts w:eastAsia="Times New Roman"/>
          <w:lang w:eastAsia="de-DE"/>
        </w:rPr>
        <w:t xml:space="preserve">πτὰ... </w:t>
      </w:r>
      <w:proofErr w:type="spellStart"/>
      <w:r w:rsidRPr="00FD17A7">
        <w:rPr>
          <w:rFonts w:eastAsia="Times New Roman"/>
          <w:lang w:eastAsia="de-DE"/>
        </w:rPr>
        <w:t>τὰ</w:t>
      </w:r>
      <w:proofErr w:type="spellEnd"/>
      <w:r w:rsidRPr="00FD17A7">
        <w:rPr>
          <w:rFonts w:eastAsia="Times New Roman"/>
          <w:lang w:eastAsia="de-DE"/>
        </w:rPr>
        <w:t xml:space="preserve"> </w:t>
      </w:r>
      <w:proofErr w:type="spellStart"/>
      <w:r w:rsidRPr="00FD17A7">
        <w:rPr>
          <w:rFonts w:eastAsia="Times New Roman"/>
          <w:lang w:eastAsia="de-DE"/>
        </w:rPr>
        <w:t>δὲ</w:t>
      </w:r>
      <w:proofErr w:type="spellEnd"/>
      <w:r w:rsidRPr="00FD17A7">
        <w:rPr>
          <w:rFonts w:eastAsia="Times New Roman"/>
          <w:lang w:eastAsia="de-DE"/>
        </w:rPr>
        <w:t xml:space="preserve"> φα</w:t>
      </w:r>
      <w:proofErr w:type="spellStart"/>
      <w:r w:rsidRPr="00FD17A7">
        <w:rPr>
          <w:rFonts w:eastAsia="Times New Roman"/>
          <w:lang w:eastAsia="de-DE"/>
        </w:rPr>
        <w:t>νερὰ</w:t>
      </w:r>
      <w:proofErr w:type="spellEnd"/>
      <w:r w:rsidRPr="00FD17A7">
        <w:rPr>
          <w:rFonts w:eastAsia="Times New Roman"/>
          <w:lang w:eastAsia="de-DE"/>
        </w:rPr>
        <w:t xml:space="preserve"> (die verborgenen Dinge... aber die offenbaren Dinge). Diese berühmte theologische Aussage über Gottes Souveränität und menschliche Verantwortung wird präzise übersetzt.</w:t>
      </w:r>
    </w:p>
    <w:p w14:paraId="4BDF5257" w14:textId="20F88281" w:rsidR="008A57FB" w:rsidRDefault="008A57FB" w:rsidP="008A57FB">
      <w:pPr>
        <w:pStyle w:val="whitespace-normal"/>
      </w:pPr>
      <w:r>
        <w:rPr>
          <w:rStyle w:val="Fett"/>
          <w:rFonts w:eastAsiaTheme="majorEastAsia"/>
        </w:rPr>
        <w:t>Die Satzstruktur:</w:t>
      </w:r>
      <w:r>
        <w:t xml:space="preserve"> Theologische Aussage (das Verborgene gehört JHWH, unserem Gott; aber das Geoffenbarte gehört uns und unseren Kindern bis in Ewigkeit, zu tun alle Worte dieser </w:t>
      </w:r>
      <w:r w:rsidR="006D3FED">
        <w:t>Torah</w:t>
      </w:r>
      <w:r>
        <w:t>).</w:t>
      </w:r>
    </w:p>
    <w:p w14:paraId="5166AB7F" w14:textId="10976EAF" w:rsidR="008A57FB" w:rsidRDefault="008A57FB" w:rsidP="008A57FB">
      <w:pPr>
        <w:pStyle w:val="whitespace-normal"/>
      </w:pPr>
      <w:r>
        <w:rPr>
          <w:rStyle w:val="Fett"/>
          <w:rFonts w:eastAsiaTheme="majorEastAsia"/>
        </w:rPr>
        <w:t>Der Vers beschreibt:</w:t>
      </w:r>
      <w:r>
        <w:t xml:space="preserve"> Grundlegende theologische Aussage – das Verborgene ist Gottes Sache, das Geoffenbarte (</w:t>
      </w:r>
      <w:r w:rsidR="006D3FED">
        <w:t>Torah</w:t>
      </w:r>
      <w:r>
        <w:t>) ist unsere Verantwortung zum Gehorsam.</w:t>
      </w:r>
    </w:p>
    <w:p w14:paraId="1D5FB254" w14:textId="1B7C721C" w:rsidR="00FD17A7" w:rsidRDefault="00FD17A7" w:rsidP="00FD17A7">
      <w:pPr>
        <w:pStyle w:val="StandardWeb"/>
      </w:pPr>
      <w:r w:rsidRPr="008E2218">
        <w:rPr>
          <w:rStyle w:val="Fett"/>
          <w:u w:val="single"/>
        </w:rPr>
        <w:lastRenderedPageBreak/>
        <w:t>Bemerkenswert</w:t>
      </w:r>
      <w:r w:rsidRPr="008E2218">
        <w:rPr>
          <w:u w:val="single"/>
        </w:rPr>
        <w:t>:</w:t>
      </w:r>
      <w:r>
        <w:t xml:space="preserve"> Im MT hat dieser Vers besondere Punktierung (</w:t>
      </w:r>
      <w:r>
        <w:rPr>
          <w:rStyle w:val="Fett"/>
          <w:rFonts w:eastAsiaTheme="majorEastAsia"/>
        </w:rPr>
        <w:t>puncta extraordinaria</w:t>
      </w:r>
      <w:r>
        <w:t>) über bestimmten Buchstaben (</w:t>
      </w:r>
      <w:r>
        <w:rPr>
          <w:rtl/>
        </w:rPr>
        <w:t>לָׄנׄוּׄ וּׄלְׄבָׄנֵׄיׄנׄוּׄ</w:t>
      </w:r>
      <w:r>
        <w:t>), die in der masoretischen Tradition als außergewöhnlich markiert sind.</w:t>
      </w:r>
    </w:p>
    <w:p w14:paraId="10325FC3" w14:textId="5DA697B5" w:rsidR="008E2218" w:rsidRDefault="001E0205" w:rsidP="008E2218">
      <w:pPr>
        <w:pStyle w:val="KeinLeerraum"/>
      </w:pPr>
      <w:r>
        <w:t>Torah</w:t>
      </w:r>
      <w:r w:rsidR="008E2218">
        <w:t xml:space="preserve"> </w:t>
      </w:r>
      <w:r w:rsidR="008E2218">
        <w:tab/>
      </w:r>
      <w:r w:rsidR="008E2218">
        <w:tab/>
        <w:t>(5 Stellen) Gen 16,5; 18,9; 19,33; 33,4; Deu 29,28 (viele Punkte)</w:t>
      </w:r>
    </w:p>
    <w:p w14:paraId="14EF241A" w14:textId="0E18CC7D" w:rsidR="008E2218" w:rsidRDefault="008E2218" w:rsidP="008E2218">
      <w:pPr>
        <w:pStyle w:val="KeinLeerraum"/>
      </w:pPr>
      <w:r>
        <w:t xml:space="preserve">Propheten </w:t>
      </w:r>
      <w:r>
        <w:tab/>
        <w:t>(3 Stellen) 2Sam 19,20; Jes 44,9; Hes 41,20</w:t>
      </w:r>
    </w:p>
    <w:p w14:paraId="683A1F82" w14:textId="5C0A6794" w:rsidR="008E2218" w:rsidRDefault="008E2218" w:rsidP="008E2218">
      <w:pPr>
        <w:pStyle w:val="KeinLeerraum"/>
      </w:pPr>
      <w:r>
        <w:t xml:space="preserve">Schriften </w:t>
      </w:r>
      <w:r>
        <w:tab/>
        <w:t>(7 Stellen) Ps 27,13; 87,6; 106,16; Hi 3,10; 33,28; Spr 25,21 Esr 9,2</w:t>
      </w:r>
    </w:p>
    <w:p w14:paraId="48B24C0A" w14:textId="77777777" w:rsidR="008E2218" w:rsidRDefault="008E2218" w:rsidP="008E2218">
      <w:pPr>
        <w:pStyle w:val="KeinLeerraum"/>
      </w:pPr>
    </w:p>
    <w:p w14:paraId="4630EA0A" w14:textId="1A35F4F0" w:rsidR="00FD17A7" w:rsidRDefault="00FD17A7" w:rsidP="00FD17A7">
      <w:pPr>
        <w:pStyle w:val="KeinLeerraum"/>
      </w:pPr>
      <w:r>
        <w:rPr>
          <w:rFonts w:hAnsi="Symbol"/>
        </w:rPr>
        <w:t></w:t>
      </w:r>
      <w:r>
        <w:t xml:space="preserve"> Die masoretische Tradition ist sich uneinig, </w:t>
      </w:r>
      <w:r>
        <w:rPr>
          <w:rStyle w:val="Hervorhebung"/>
        </w:rPr>
        <w:t>warum</w:t>
      </w:r>
      <w:r>
        <w:t xml:space="preserve"> diese Stelle markiert wurde.</w:t>
      </w:r>
    </w:p>
    <w:p w14:paraId="5D8F6C8E" w14:textId="230252A3" w:rsidR="00FD17A7" w:rsidRDefault="00FD17A7" w:rsidP="00FD17A7">
      <w:pPr>
        <w:pStyle w:val="KeinLeerraum"/>
      </w:pPr>
      <w:r>
        <w:rPr>
          <w:rFonts w:hAnsi="Symbol"/>
        </w:rPr>
        <w:t></w:t>
      </w:r>
      <w:r>
        <w:t xml:space="preserve"> Die häufigsten Erklärungen:</w:t>
      </w:r>
    </w:p>
    <w:p w14:paraId="62446524" w14:textId="4ED06CBF" w:rsidR="00FD17A7" w:rsidRDefault="00FD17A7" w:rsidP="008E2218">
      <w:pPr>
        <w:pStyle w:val="KeinLeerraum"/>
        <w:numPr>
          <w:ilvl w:val="0"/>
          <w:numId w:val="25"/>
        </w:numPr>
      </w:pPr>
      <w:r>
        <w:rPr>
          <w:rStyle w:val="Fett"/>
        </w:rPr>
        <w:t>Hinweis auf eine besondere Auslegung</w:t>
      </w:r>
      <w:r>
        <w:t>: Das „Geoffenbarte“ gehört Israel und den Kindern – aber die masoretischen Punkte deuten auf eine traditionelle Zurückhaltung oder besondere Betonung.</w:t>
      </w:r>
    </w:p>
    <w:p w14:paraId="74E902F2" w14:textId="77777777" w:rsidR="00FD17A7" w:rsidRDefault="00FD17A7" w:rsidP="008E2218">
      <w:pPr>
        <w:pStyle w:val="KeinLeerraum"/>
        <w:numPr>
          <w:ilvl w:val="0"/>
          <w:numId w:val="25"/>
        </w:numPr>
      </w:pPr>
      <w:r>
        <w:rPr>
          <w:rStyle w:val="Fett"/>
        </w:rPr>
        <w:t>Textkritischer Vermerk</w:t>
      </w:r>
      <w:r>
        <w:t>: Masoreten wollten anzeigen, dass es hier eine ältere abweichende Lesart gab.</w:t>
      </w:r>
    </w:p>
    <w:p w14:paraId="66546952" w14:textId="68282039" w:rsidR="00232434" w:rsidRPr="00232434" w:rsidRDefault="00FD17A7" w:rsidP="008E2218">
      <w:pPr>
        <w:pStyle w:val="KeinLeerraum"/>
        <w:numPr>
          <w:ilvl w:val="0"/>
          <w:numId w:val="25"/>
        </w:numPr>
      </w:pPr>
      <w:r>
        <w:rPr>
          <w:rStyle w:val="Fett"/>
        </w:rPr>
        <w:t>Theologische Markierung</w:t>
      </w:r>
      <w:r>
        <w:t>: In rabbinischen Texten (z. B. Sifre) wird die Stelle diskutiert, weil der Vers die Verantwortlichkeit der Generationen betrifft. Die Punkte markieren die Diskussion über die Reichweite der Verantwortung.</w:t>
      </w:r>
    </w:p>
    <w:p w14:paraId="508C8493" w14:textId="3DFFFEF8" w:rsidR="00FD17A7" w:rsidRDefault="00FD17A7" w:rsidP="008E2218">
      <w:pPr>
        <w:pStyle w:val="KeinLeerraum"/>
        <w:numPr>
          <w:ilvl w:val="0"/>
          <w:numId w:val="25"/>
        </w:numPr>
      </w:pPr>
      <w:r w:rsidRPr="00232434">
        <w:rPr>
          <w:b/>
          <w:bCs/>
        </w:rPr>
        <w:t>Grammatikalisch</w:t>
      </w:r>
      <w:r>
        <w:t xml:space="preserve"> ändert sich </w:t>
      </w:r>
      <w:r>
        <w:rPr>
          <w:rStyle w:val="Fett"/>
        </w:rPr>
        <w:t>nichts</w:t>
      </w:r>
      <w:r>
        <w:t>; es bleibt ein normaler Ausdruck „uns und unseren Kindern“.</w:t>
      </w:r>
    </w:p>
    <w:p w14:paraId="4C88528E" w14:textId="39C6E427" w:rsidR="00FD17A7" w:rsidRDefault="00FD17A7" w:rsidP="00232434">
      <w:pPr>
        <w:pStyle w:val="KeinLeerraum"/>
      </w:pPr>
    </w:p>
    <w:p w14:paraId="3A569F76" w14:textId="77777777" w:rsidR="008A57FB" w:rsidRPr="008D48A3" w:rsidRDefault="008A57FB" w:rsidP="008D48A3">
      <w:pPr>
        <w:pStyle w:val="Bibelberschrift"/>
      </w:pPr>
      <w:r w:rsidRPr="008D48A3">
        <w:rPr>
          <w:rStyle w:val="Fett"/>
          <w:b/>
          <w:bCs w:val="0"/>
        </w:rPr>
        <w:t>Deuteronomium 30,1</w:t>
      </w:r>
    </w:p>
    <w:p w14:paraId="28303F0C" w14:textId="77777777" w:rsidR="008A57FB" w:rsidRDefault="008A57FB" w:rsidP="008A57FB">
      <w:pPr>
        <w:pStyle w:val="whitespace-normal"/>
      </w:pPr>
      <w:r>
        <w:rPr>
          <w:rStyle w:val="Fett"/>
          <w:rFonts w:eastAsiaTheme="majorEastAsia"/>
        </w:rPr>
        <w:t>Hebräisch:</w:t>
      </w:r>
      <w:r>
        <w:t xml:space="preserve"> </w:t>
      </w:r>
      <w:r>
        <w:rPr>
          <w:rtl/>
        </w:rPr>
        <w:t>וְהָיָה כִי־יָבֹאוּ עָלֶיךָ כָּל־הַדְּבָרִים הָאֵלֶּה הַבְּרָכָה וְהַקְּלָלָה אֲשֶׁר נָתַתִּי לְפָנֶיךָ וַהֲשֵׁבֹתָ אֶל־לְבָבֶךָ בְּכָל־הַגּוֹיִם אֲשֶׁר הִדִּיחֲךָ יְהוָה אֱלֹהֶיךָ שָׁמָּה׃</w:t>
      </w:r>
    </w:p>
    <w:p w14:paraId="5DEF6648" w14:textId="77777777" w:rsidR="008A57FB" w:rsidRDefault="008A57FB" w:rsidP="008A57FB">
      <w:pPr>
        <w:pStyle w:val="whitespace-normal"/>
      </w:pPr>
      <w:r>
        <w:rPr>
          <w:rStyle w:val="Fett"/>
          <w:rFonts w:eastAsiaTheme="majorEastAsia"/>
        </w:rPr>
        <w:t>Deutsch:</w:t>
      </w:r>
      <w:r>
        <w:t xml:space="preserve"> Und es wird geschehen, wenn kommen über dich alle diese Worte, der Segen und der Fluch, die ich vor dich gelegt habe, und du es dir zu Herzen nimmst unter allen Völkern, wohin der Ewige, dein Gott, dich verstoßen hat.</w:t>
      </w:r>
    </w:p>
    <w:p w14:paraId="4433B777" w14:textId="77777777" w:rsidR="008A57FB" w:rsidRDefault="004F5CEB" w:rsidP="008A57FB">
      <w:r>
        <w:rPr>
          <w:noProof/>
        </w:rPr>
        <w:pict w14:anchorId="304FA0B2">
          <v:rect id="_x0000_i1843" style="width:0;height:1.5pt" o:hralign="center" o:hrstd="t" o:hr="t" fillcolor="#a0a0a0" stroked="f"/>
        </w:pict>
      </w:r>
    </w:p>
    <w:p w14:paraId="0F122BDF"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וְהָיָה כִי־יָבֹאוּ עָלֶיךָ כָּל־הַדְּבָרִים הָאֵלֶּה הַבְּרָכָה וְהַקְּלָלָה אֲשֶׁר נָתַתִּי לְפָנֶיךָ וַהֲשֵׁבֹתָ אֶל־לְבָבֶךָ בְּכָל־הַגּוֹיִם אֲשֶׁר הִדִּיחֲךָ יְהוָה אֱלֹהֶיךָ שָׁמָּה</w:t>
      </w:r>
      <w:r>
        <w:rPr>
          <w:rtl/>
        </w:rPr>
        <w:t xml:space="preserve"> </w:t>
      </w:r>
      <w:r>
        <w:t xml:space="preserve">ist ein Konditionalsatz: </w:t>
      </w:r>
      <w:r>
        <w:rPr>
          <w:rStyle w:val="Fett"/>
          <w:rFonts w:eastAsiaTheme="majorEastAsia"/>
          <w:rtl/>
        </w:rPr>
        <w:t>וְהָיָה כִי־יָבֹאוּ עָלֶיךָ כָּל־הַדְּבָרִים הָאֵלֶּה הַבְּרָכָה וְהַקְּלָלָה אֲשֶׁר נָתַתִּי לְפָנֶיךָ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3. Person Maskulinum Singular, Konditionalsatz: </w:t>
      </w:r>
      <w:r>
        <w:rPr>
          <w:rStyle w:val="Fett"/>
          <w:rFonts w:eastAsiaTheme="majorEastAsia"/>
          <w:rtl/>
        </w:rPr>
        <w:t>כִי־יָבֹאוּ עָלֶיךָ כָּל־הַדְּבָרִים הָאֵלֶּה</w:t>
      </w:r>
      <w:r>
        <w:rPr>
          <w:rtl/>
        </w:rPr>
        <w:t xml:space="preserve"> </w:t>
      </w:r>
      <w:r>
        <w:t xml:space="preserve">mit </w:t>
      </w:r>
      <w:r>
        <w:rPr>
          <w:rStyle w:val="Fett"/>
          <w:rFonts w:eastAsiaTheme="majorEastAsia"/>
          <w:rtl/>
        </w:rPr>
        <w:t>בוא</w:t>
      </w:r>
      <w:r>
        <w:t xml:space="preserve">, Qal Imperfekt, 3. Person Plural, Präposition </w:t>
      </w:r>
      <w:r>
        <w:rPr>
          <w:rStyle w:val="Fett"/>
          <w:rFonts w:eastAsiaTheme="majorEastAsia"/>
          <w:rtl/>
        </w:rPr>
        <w:t>עַל</w:t>
      </w:r>
      <w:r>
        <w:rPr>
          <w:rtl/>
        </w:rPr>
        <w:t xml:space="preserve"> </w:t>
      </w:r>
      <w:r>
        <w:t xml:space="preserve">mit Suffix 2. Person Maskulinum Singular, </w:t>
      </w:r>
      <w:r>
        <w:rPr>
          <w:rStyle w:val="Fett"/>
          <w:rFonts w:eastAsiaTheme="majorEastAsia"/>
          <w:rtl/>
        </w:rPr>
        <w:t>כָּל־דָּבָר</w:t>
      </w:r>
      <w:r>
        <w:rPr>
          <w:rtl/>
        </w:rPr>
        <w:t xml:space="preserve"> </w:t>
      </w:r>
      <w:r>
        <w:t xml:space="preserve">Plural mit Artikel, </w:t>
      </w:r>
      <w:r>
        <w:rPr>
          <w:rStyle w:val="Fett"/>
          <w:rFonts w:eastAsiaTheme="majorEastAsia"/>
          <w:rtl/>
        </w:rPr>
        <w:t>אֵלֶּה</w:t>
      </w:r>
      <w:r>
        <w:t xml:space="preserve">, zwei Appositionen: </w:t>
      </w:r>
      <w:r>
        <w:rPr>
          <w:rStyle w:val="Fett"/>
          <w:rFonts w:eastAsiaTheme="majorEastAsia"/>
          <w:rtl/>
        </w:rPr>
        <w:t>בְּרָכָה</w:t>
      </w:r>
      <w:r>
        <w:rPr>
          <w:rtl/>
        </w:rPr>
        <w:t xml:space="preserve"> </w:t>
      </w:r>
      <w:r>
        <w:t xml:space="preserve">mit Artikel, koordiniert mit </w:t>
      </w:r>
      <w:r>
        <w:rPr>
          <w:rStyle w:val="Fett"/>
          <w:rFonts w:eastAsiaTheme="majorEastAsia"/>
          <w:rtl/>
        </w:rPr>
        <w:t>קְלָלָה</w:t>
      </w:r>
      <w:r>
        <w:rPr>
          <w:rtl/>
        </w:rPr>
        <w:t xml:space="preserve"> </w:t>
      </w:r>
      <w:r>
        <w:t xml:space="preserve">mit Artikel, Relativsatz: </w:t>
      </w:r>
      <w:r>
        <w:rPr>
          <w:rStyle w:val="Fett"/>
          <w:rFonts w:eastAsiaTheme="majorEastAsia"/>
          <w:rtl/>
        </w:rPr>
        <w:t>אֲשֶׁר נָתַתִּי לְפָנֶיךָ</w:t>
      </w:r>
      <w:r>
        <w:rPr>
          <w:rtl/>
        </w:rPr>
        <w:t xml:space="preserve"> </w:t>
      </w:r>
      <w:r>
        <w:t xml:space="preserve">mit </w:t>
      </w:r>
      <w:r>
        <w:rPr>
          <w:rStyle w:val="Fett"/>
          <w:rFonts w:eastAsiaTheme="majorEastAsia"/>
          <w:rtl/>
        </w:rPr>
        <w:t>נתן</w:t>
      </w:r>
      <w:r>
        <w:t xml:space="preserve">, Qal Perfekt, 1. Person Singular, </w:t>
      </w:r>
      <w:r>
        <w:rPr>
          <w:rStyle w:val="Fett"/>
          <w:rFonts w:eastAsiaTheme="majorEastAsia"/>
          <w:rtl/>
        </w:rPr>
        <w:t>לְפָנֶיךָ</w:t>
      </w:r>
      <w:r>
        <w:t xml:space="preserve">, mit </w:t>
      </w:r>
      <w:r>
        <w:rPr>
          <w:rStyle w:val="Fett"/>
          <w:rFonts w:eastAsiaTheme="majorEastAsia"/>
        </w:rPr>
        <w:t>Waw</w:t>
      </w:r>
      <w:r>
        <w:t xml:space="preserve"> consecutivum), </w:t>
      </w:r>
      <w:r>
        <w:rPr>
          <w:rStyle w:val="Fett"/>
          <w:rFonts w:eastAsiaTheme="majorEastAsia"/>
          <w:rtl/>
        </w:rPr>
        <w:t>וַהֲשֵׁבֹתָ אֶל־לְבָבֶךָ בְּכָל־הַגּוֹיִם אֲשֶׁר הִדִּיחֲךָ יְהוָה אֱלֹהֶיךָ שָׁמָּה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שׁוב</w:t>
      </w:r>
      <w:r>
        <w:t xml:space="preserve">, Hiphil Perfekt, 2. Person Maskulinum Singular, „zurückbringen, zu Herzen nehmen", Präposition </w:t>
      </w:r>
      <w:r>
        <w:rPr>
          <w:rStyle w:val="Fett"/>
          <w:rFonts w:eastAsiaTheme="majorEastAsia"/>
          <w:rtl/>
        </w:rPr>
        <w:t>אֶל</w:t>
      </w:r>
      <w:r>
        <w:rPr>
          <w:rtl/>
        </w:rPr>
        <w:t xml:space="preserve"> </w:t>
      </w:r>
      <w:r>
        <w:t xml:space="preserve">mit </w:t>
      </w:r>
      <w:r>
        <w:rPr>
          <w:rStyle w:val="Fett"/>
          <w:rFonts w:eastAsiaTheme="majorEastAsia"/>
          <w:rtl/>
        </w:rPr>
        <w:t>לֵבָב</w:t>
      </w:r>
      <w:r>
        <w:rPr>
          <w:rtl/>
        </w:rPr>
        <w:t xml:space="preserve"> </w:t>
      </w:r>
      <w:r>
        <w:t xml:space="preserve">mit Suffix, </w:t>
      </w:r>
      <w:r>
        <w:rPr>
          <w:rStyle w:val="Fett"/>
          <w:rFonts w:eastAsiaTheme="majorEastAsia"/>
          <w:rtl/>
        </w:rPr>
        <w:t>בְּכָל־גּוֹי</w:t>
      </w:r>
      <w:r>
        <w:rPr>
          <w:rtl/>
        </w:rPr>
        <w:t xml:space="preserve"> </w:t>
      </w:r>
      <w:r>
        <w:t xml:space="preserve">Plural mit Artikel, Relativsatz: </w:t>
      </w:r>
      <w:r>
        <w:rPr>
          <w:rStyle w:val="Fett"/>
          <w:rFonts w:eastAsiaTheme="majorEastAsia"/>
          <w:rtl/>
        </w:rPr>
        <w:t>אֲשֶׁר הִדִּיחֲךָ יְהוָה אֱלֹהֶיךָ שָׁמָּה</w:t>
      </w:r>
      <w:r>
        <w:rPr>
          <w:rtl/>
        </w:rPr>
        <w:t xml:space="preserve"> </w:t>
      </w:r>
      <w:r>
        <w:t xml:space="preserve">mit </w:t>
      </w:r>
      <w:r>
        <w:rPr>
          <w:rStyle w:val="Fett"/>
          <w:rFonts w:eastAsiaTheme="majorEastAsia"/>
          <w:rtl/>
        </w:rPr>
        <w:t>נדח</w:t>
      </w:r>
      <w:r>
        <w:t xml:space="preserve">, Hiphil Perfekt, 3. Person Maskulinum Singular, „verstoßen, vertreiben", mit Suffix 2. Person Maskulinum Singular, </w:t>
      </w:r>
      <w:r>
        <w:rPr>
          <w:rStyle w:val="Fett"/>
          <w:rFonts w:eastAsiaTheme="majorEastAsia"/>
          <w:rtl/>
        </w:rPr>
        <w:t>יְהוָה אֱלֹהֶיךָ</w:t>
      </w:r>
      <w:r>
        <w:rPr>
          <w:rtl/>
        </w:rPr>
        <w:t xml:space="preserve"> </w:t>
      </w:r>
      <w:r>
        <w:t xml:space="preserve">als Subjekt, </w:t>
      </w:r>
      <w:r>
        <w:rPr>
          <w:rStyle w:val="Fett"/>
          <w:rFonts w:eastAsiaTheme="majorEastAsia"/>
          <w:rtl/>
        </w:rPr>
        <w:t>שָׁמָּה</w:t>
      </w:r>
      <w:r>
        <w:t xml:space="preserve">, mit </w:t>
      </w:r>
      <w:r>
        <w:rPr>
          <w:rStyle w:val="Fett"/>
          <w:rFonts w:eastAsiaTheme="majorEastAsia"/>
        </w:rPr>
        <w:t>Waw</w:t>
      </w:r>
      <w:r>
        <w:t xml:space="preserve"> consecutivum).</w:t>
      </w:r>
    </w:p>
    <w:p w14:paraId="4729C31B" w14:textId="396F845A" w:rsidR="008A57FB" w:rsidRDefault="008A57FB" w:rsidP="008A57FB">
      <w:pPr>
        <w:pStyle w:val="whitespace-normal"/>
      </w:pPr>
      <w:r>
        <w:lastRenderedPageBreak/>
        <w:t xml:space="preserve">Der Vers beginnt Kapitel 30 mit einer der hoffnungsvollsten Verheißungen des Deuteronomiums – die Ankündigung der Umkehr und Wiederherstellung. Der Konditionalsatz: </w:t>
      </w:r>
      <w:r>
        <w:rPr>
          <w:rStyle w:val="Fett"/>
          <w:rFonts w:eastAsiaTheme="majorEastAsia"/>
          <w:rtl/>
        </w:rPr>
        <w:t>וְהָיָה כִי־יָבֹאוּ עָלֶיךָ כָּל־הַדְּבָרִים הָאֵלֶּה הַבְּרָכָה וְהַקְּלָלָה אֲשֶׁר נָתַתִּי לְפָנֶיךָ וַהֲשֵׁבֹתָ אֶל־לְבָבֶךָ בְּכָל־הַגּוֹיִם אֲשֶׁר הִדִּיחֲךָ יְהוָה אֱלֹהֶיךָ שָׁמָּה</w:t>
      </w:r>
      <w:r>
        <w:rPr>
          <w:rtl/>
        </w:rPr>
        <w:t xml:space="preserve"> </w:t>
      </w:r>
      <w:r>
        <w:t xml:space="preserve">(„und es wird geschehen, wenn kommen über dich alle diese Worte, der Segen und der Fluch, die ich vor dich gelegt habe, und du es dir zu Herzen nimmst unter allen Völkern, wohin </w:t>
      </w:r>
      <w:r w:rsidR="00B77E5E">
        <w:t>JHWH</w:t>
      </w:r>
      <w:r>
        <w:t xml:space="preserve">, dein Gott, dich verstoßen hat"). Die Formulierung </w:t>
      </w:r>
      <w:r>
        <w:rPr>
          <w:rStyle w:val="Fett"/>
          <w:rFonts w:eastAsiaTheme="majorEastAsia"/>
          <w:rtl/>
        </w:rPr>
        <w:t>כָּל־הַדְּבָרִים הָאֵלֶּה הַבְּרָכָה וְהַקְּלָלָה</w:t>
      </w:r>
      <w:r>
        <w:rPr>
          <w:rtl/>
        </w:rPr>
        <w:t xml:space="preserve"> </w:t>
      </w:r>
      <w:r>
        <w:t>(„alle diese Worte, der Segen und der Fluch") bezieht sich auf die Kapitel 28-29. Die Situation: Israel ist im Exil (</w:t>
      </w:r>
      <w:r>
        <w:rPr>
          <w:rStyle w:val="Fett"/>
          <w:rFonts w:eastAsiaTheme="majorEastAsia"/>
          <w:rtl/>
        </w:rPr>
        <w:t>בְּכָל־הַגּוֹיִם</w:t>
      </w:r>
      <w:r>
        <w:t xml:space="preserve">, „unter allen Völkern"). Der entscheidende Wendepunkt: </w:t>
      </w:r>
      <w:r>
        <w:rPr>
          <w:rStyle w:val="Fett"/>
          <w:rFonts w:eastAsiaTheme="majorEastAsia"/>
          <w:rtl/>
        </w:rPr>
        <w:t>וַהֲשֵׁבֹתָ אֶל־לְבָבֶךָ</w:t>
      </w:r>
      <w:r>
        <w:rPr>
          <w:rtl/>
        </w:rPr>
        <w:t xml:space="preserve"> </w:t>
      </w:r>
      <w:r>
        <w:t xml:space="preserve">(„und du nimmst es dir zu Herzen"). Das Verb </w:t>
      </w:r>
      <w:r>
        <w:rPr>
          <w:rStyle w:val="Fett"/>
          <w:rFonts w:eastAsiaTheme="majorEastAsia"/>
          <w:rtl/>
        </w:rPr>
        <w:t>שׁוב</w:t>
      </w:r>
      <w:r>
        <w:rPr>
          <w:rtl/>
        </w:rPr>
        <w:t xml:space="preserve"> </w:t>
      </w:r>
      <w:r>
        <w:t xml:space="preserve">im Hiphil mit </w:t>
      </w:r>
      <w:r>
        <w:rPr>
          <w:rStyle w:val="Fett"/>
          <w:rFonts w:eastAsiaTheme="majorEastAsia"/>
          <w:rtl/>
        </w:rPr>
        <w:t>אֶל־לֵבָב</w:t>
      </w:r>
      <w:r>
        <w:rPr>
          <w:rtl/>
        </w:rPr>
        <w:t xml:space="preserve"> </w:t>
      </w:r>
      <w:r>
        <w:t xml:space="preserve">bedeutet: „zurückbringen zum Herzen" = sich besinnen, zur Besinnung kommen, reflektieren (vgl. </w:t>
      </w:r>
      <w:r w:rsidR="00664EB6">
        <w:t>1Kön</w:t>
      </w:r>
      <w:r>
        <w:t xml:space="preserve"> 8,47; Jes 44,19; 46,8). Dies ist der erste Schritt zur Umkehr – innere Reflexion und Reue im Exil.</w:t>
      </w:r>
    </w:p>
    <w:p w14:paraId="4CB34EE0" w14:textId="2EEA6A46" w:rsidR="008E2218" w:rsidRDefault="008E2218" w:rsidP="008A57FB">
      <w:pPr>
        <w:pStyle w:val="whitespace-normal"/>
      </w:pPr>
      <w:r>
        <w:rPr>
          <w:rStyle w:val="Fett"/>
        </w:rPr>
        <w:t>Die LXX</w:t>
      </w:r>
      <w:r>
        <w:t xml:space="preserve"> übersetzt </w:t>
      </w:r>
      <w:r>
        <w:rPr>
          <w:rtl/>
        </w:rPr>
        <w:t>וַהֲשֵׁבֹתָ אֶל־לְבָבֶךָ</w:t>
      </w:r>
      <w:r>
        <w:t xml:space="preserve"> (und du wirst zu Herzen nehmen/zurückbringen zu deinem Herzen) mit καὶ </w:t>
      </w:r>
      <w:proofErr w:type="spellStart"/>
      <w:r>
        <w:t>δέξῃ</w:t>
      </w:r>
      <w:proofErr w:type="spellEnd"/>
      <w:r>
        <w:t xml:space="preserve"> </w:t>
      </w:r>
      <w:proofErr w:type="spellStart"/>
      <w:r>
        <w:t>εἰς</w:t>
      </w:r>
      <w:proofErr w:type="spellEnd"/>
      <w:r>
        <w:t xml:space="preserve"> τὴν κα</w:t>
      </w:r>
      <w:proofErr w:type="spellStart"/>
      <w:r>
        <w:t>ρδί</w:t>
      </w:r>
      <w:proofErr w:type="spellEnd"/>
      <w:r>
        <w:t xml:space="preserve">αν </w:t>
      </w:r>
      <w:proofErr w:type="spellStart"/>
      <w:r>
        <w:t>σου</w:t>
      </w:r>
      <w:proofErr w:type="spellEnd"/>
      <w:r>
        <w:t xml:space="preserve"> (und du wirst aufnehmen in dein Herz) – wobei </w:t>
      </w:r>
      <w:proofErr w:type="spellStart"/>
      <w:r>
        <w:t>δέχομ</w:t>
      </w:r>
      <w:proofErr w:type="spellEnd"/>
      <w:r>
        <w:t xml:space="preserve">αι "empfangen, aufnehmen" bedeutet. Das Verb </w:t>
      </w:r>
      <w:r>
        <w:rPr>
          <w:rtl/>
        </w:rPr>
        <w:t>הִדִּיחֲךָ</w:t>
      </w:r>
      <w:r>
        <w:t xml:space="preserve"> (dich verstoßen hat) wird mit </w:t>
      </w:r>
      <w:proofErr w:type="spellStart"/>
      <w:r>
        <w:t>δι</w:t>
      </w:r>
      <w:proofErr w:type="spellEnd"/>
      <w:r>
        <w:t>ασκορπίσῃ (zerstreuen wird) übersetzt – ein stärkeres Bild der Diaspora.</w:t>
      </w:r>
    </w:p>
    <w:p w14:paraId="282ECC62" w14:textId="4A7BC793" w:rsidR="008A57FB" w:rsidRDefault="008A57FB" w:rsidP="008A57FB">
      <w:pPr>
        <w:pStyle w:val="whitespace-normal"/>
      </w:pPr>
      <w:r>
        <w:rPr>
          <w:rStyle w:val="Fett"/>
          <w:rFonts w:eastAsiaTheme="majorEastAsia"/>
        </w:rPr>
        <w:t>Die Satzstruktur:</w:t>
      </w:r>
      <w:r>
        <w:t xml:space="preserve"> Konditionalsatz (und es wird geschehen, wenn kommen über dich alle diese Worte, der Segen und der Fluch, die ich vor dich gelegt habe, und du es dir zu Herzen nimmst unter allen Völkern, wohin </w:t>
      </w:r>
      <w:r w:rsidR="00B77E5E">
        <w:t>JHWH</w:t>
      </w:r>
      <w:r>
        <w:t>, dein Gott, dich verstoßen hat).</w:t>
      </w:r>
    </w:p>
    <w:p w14:paraId="576A163F" w14:textId="1716FE05" w:rsidR="008A57FB" w:rsidRDefault="008A57FB" w:rsidP="00B77CC6">
      <w:pPr>
        <w:pStyle w:val="whitespace-normal"/>
      </w:pPr>
      <w:r>
        <w:rPr>
          <w:rStyle w:val="Fett"/>
          <w:rFonts w:eastAsiaTheme="majorEastAsia"/>
        </w:rPr>
        <w:t>Der Vers beschreibt:</w:t>
      </w:r>
      <w:r>
        <w:t xml:space="preserve"> Situation im Exil – wenn Israel zur Besinnung kommt und reflektiert über Segen und Fluch.</w:t>
      </w:r>
    </w:p>
    <w:p w14:paraId="1BE4656D" w14:textId="77777777" w:rsidR="008A57FB" w:rsidRPr="008D48A3" w:rsidRDefault="008A57FB" w:rsidP="008D48A3">
      <w:pPr>
        <w:pStyle w:val="Bibelberschrift"/>
      </w:pPr>
      <w:r w:rsidRPr="008D48A3">
        <w:rPr>
          <w:rStyle w:val="Fett"/>
          <w:b/>
          <w:bCs w:val="0"/>
        </w:rPr>
        <w:t>Deuteronomium 30,2</w:t>
      </w:r>
    </w:p>
    <w:p w14:paraId="2413C7B6" w14:textId="77777777" w:rsidR="008A57FB" w:rsidRDefault="008A57FB" w:rsidP="008A57FB">
      <w:pPr>
        <w:pStyle w:val="whitespace-normal"/>
      </w:pPr>
      <w:r>
        <w:rPr>
          <w:rStyle w:val="Fett"/>
          <w:rFonts w:eastAsiaTheme="majorEastAsia"/>
        </w:rPr>
        <w:t>Hebräisch:</w:t>
      </w:r>
      <w:r>
        <w:t xml:space="preserve"> </w:t>
      </w:r>
      <w:r>
        <w:rPr>
          <w:rtl/>
        </w:rPr>
        <w:t>וְשַׁבְתָּ עַד־יְהוָה אֱלֹהֶיךָ וְשָׁמַעְתָּ בְקֹלוֹ כְּכֹל אֲשֶׁר־אָנֹכִי מְצַוְּךָ הַיּוֹם אַתָּה וּבָנֶיךָ בְּכָל־לְבָבְךָ וּבְכָל־נַפְשֶׁךָ׃</w:t>
      </w:r>
    </w:p>
    <w:p w14:paraId="25E1650A" w14:textId="77777777" w:rsidR="008A57FB" w:rsidRDefault="008A57FB" w:rsidP="008A57FB">
      <w:pPr>
        <w:pStyle w:val="whitespace-normal"/>
      </w:pPr>
      <w:r>
        <w:rPr>
          <w:rStyle w:val="Fett"/>
          <w:rFonts w:eastAsiaTheme="majorEastAsia"/>
        </w:rPr>
        <w:t>Deutsch:</w:t>
      </w:r>
      <w:r>
        <w:t xml:space="preserve"> Und du zurückkehrst bis zum Ewigen, deinem Gott, und seiner Stimme gehorchst nach allem, was ich dir heute gebiete, du und deine Kinder, mit deinem ganzen Herzen und mit deiner ganzen Seele.</w:t>
      </w:r>
    </w:p>
    <w:p w14:paraId="52EDF4E4" w14:textId="77777777" w:rsidR="008A57FB" w:rsidRDefault="004F5CEB" w:rsidP="008A57FB">
      <w:r>
        <w:rPr>
          <w:noProof/>
        </w:rPr>
        <w:pict w14:anchorId="6D945994">
          <v:rect id="_x0000_i1844" style="width:0;height:1.5pt" o:hralign="center" o:hrstd="t" o:hr="t" fillcolor="#a0a0a0" stroked="f"/>
        </w:pict>
      </w:r>
    </w:p>
    <w:p w14:paraId="0DD8BAE1"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וְשַׁבְתָּ עַד־יְהוָה אֱלֹהֶיךָ וְשָׁמַעְתָּ בְקֹלוֹ כְּכֹל אֲשֶׁר־אָנֹכִי מְצַוְּךָ הַיּוֹם אַתָּה וּבָנֶיךָ בְּכָל־לְבָבְךָ וּבְכָל־נַפְשֶׁךָ</w:t>
      </w:r>
      <w:r>
        <w:rPr>
          <w:rtl/>
        </w:rPr>
        <w:t xml:space="preserve"> </w:t>
      </w:r>
      <w:r>
        <w:t xml:space="preserve">sind zwei Aussagen: </w:t>
      </w:r>
      <w:r>
        <w:rPr>
          <w:rStyle w:val="Fett"/>
          <w:rFonts w:eastAsiaTheme="majorEastAsia"/>
          <w:rtl/>
        </w:rPr>
        <w:t>וְשַׁבְתָּ עַד־יְהוָה אֱלֹהֶיךָ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שׁוב</w:t>
      </w:r>
      <w:r>
        <w:t xml:space="preserve">, Qal Perfekt, 2. Person Maskulinum Singular, „zurückkehren, umkehren", Präposition </w:t>
      </w:r>
      <w:r>
        <w:rPr>
          <w:rStyle w:val="Fett"/>
          <w:rFonts w:eastAsiaTheme="majorEastAsia"/>
          <w:rtl/>
        </w:rPr>
        <w:t>עַד</w:t>
      </w:r>
      <w:r>
        <w:rPr>
          <w:rtl/>
        </w:rPr>
        <w:t xml:space="preserve"> </w:t>
      </w:r>
      <w:r>
        <w:t xml:space="preserve">(statt </w:t>
      </w:r>
      <w:r>
        <w:rPr>
          <w:rStyle w:val="Fett"/>
          <w:rFonts w:eastAsiaTheme="majorEastAsia"/>
          <w:rtl/>
        </w:rPr>
        <w:t>אֶל</w:t>
      </w:r>
      <w:r>
        <w:t xml:space="preserve">) mit </w:t>
      </w:r>
      <w:r>
        <w:rPr>
          <w:rStyle w:val="Fett"/>
          <w:rFonts w:eastAsiaTheme="majorEastAsia"/>
          <w:rtl/>
        </w:rPr>
        <w:t>יְהוָה אֱלֹהֶיךָ</w:t>
      </w:r>
      <w:r>
        <w:t xml:space="preserve">, mit </w:t>
      </w:r>
      <w:r>
        <w:rPr>
          <w:rStyle w:val="Fett"/>
          <w:rFonts w:eastAsiaTheme="majorEastAsia"/>
        </w:rPr>
        <w:t>Waw</w:t>
      </w:r>
      <w:r>
        <w:t xml:space="preserve"> consecutivum), </w:t>
      </w:r>
      <w:r>
        <w:rPr>
          <w:rStyle w:val="Fett"/>
          <w:rFonts w:eastAsiaTheme="majorEastAsia"/>
          <w:rtl/>
        </w:rPr>
        <w:t>וְשָׁמַעְתָּ בְקֹלוֹ כְּכֹל אֲשֶׁר־אָנֹכִי מְצַוְּךָ הַיּוֹם אַתָּה וּבָנֶיךָ בְּכָל־לְבָבְךָ וּבְכָל־נַפְשֶׁךָ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שׁמע</w:t>
      </w:r>
      <w:r>
        <w:t xml:space="preserve">, Qal Perfekt, 2. Person Maskulinum Singular, </w:t>
      </w:r>
      <w:r>
        <w:rPr>
          <w:rStyle w:val="Fett"/>
          <w:rFonts w:eastAsiaTheme="majorEastAsia"/>
          <w:rtl/>
        </w:rPr>
        <w:t>בְּקֹלוֹ</w:t>
      </w:r>
      <w:r>
        <w:t xml:space="preserve">, Vergleichssatz: </w:t>
      </w:r>
      <w:r>
        <w:rPr>
          <w:rStyle w:val="Fett"/>
          <w:rFonts w:eastAsiaTheme="majorEastAsia"/>
          <w:rtl/>
        </w:rPr>
        <w:t>כְּכֹל אֲשֶׁר־אָנֹכִי מְצַוְּךָ הַיּוֹם</w:t>
      </w:r>
      <w:r>
        <w:rPr>
          <w:rtl/>
        </w:rPr>
        <w:t xml:space="preserve"> </w:t>
      </w:r>
      <w:r>
        <w:t xml:space="preserve">mit </w:t>
      </w:r>
      <w:r>
        <w:rPr>
          <w:rStyle w:val="Fett"/>
          <w:rFonts w:eastAsiaTheme="majorEastAsia"/>
          <w:rtl/>
        </w:rPr>
        <w:t>כְּ</w:t>
      </w:r>
      <w:r>
        <w:rPr>
          <w:rtl/>
        </w:rPr>
        <w:t xml:space="preserve"> </w:t>
      </w:r>
      <w:r>
        <w:t xml:space="preserve">+ </w:t>
      </w:r>
      <w:r>
        <w:rPr>
          <w:rStyle w:val="Fett"/>
          <w:rFonts w:eastAsiaTheme="majorEastAsia"/>
          <w:rtl/>
        </w:rPr>
        <w:t>כֹּל</w:t>
      </w:r>
      <w:r>
        <w:t xml:space="preserve">, Relativsatz mit </w:t>
      </w:r>
      <w:r>
        <w:rPr>
          <w:rStyle w:val="Fett"/>
          <w:rFonts w:eastAsiaTheme="majorEastAsia"/>
          <w:rtl/>
        </w:rPr>
        <w:t>צוה</w:t>
      </w:r>
      <w:r>
        <w:t xml:space="preserve">, Piel Partizip, 1. Person Singular, mit Suffix 2. Person Maskulinum Singular, </w:t>
      </w:r>
      <w:r>
        <w:rPr>
          <w:rStyle w:val="Fett"/>
          <w:rFonts w:eastAsiaTheme="majorEastAsia"/>
          <w:rtl/>
        </w:rPr>
        <w:t>הַיּוֹם</w:t>
      </w:r>
      <w:r>
        <w:t xml:space="preserve">, </w:t>
      </w:r>
      <w:r>
        <w:rPr>
          <w:rStyle w:val="Fett"/>
          <w:rFonts w:eastAsiaTheme="majorEastAsia"/>
          <w:rtl/>
        </w:rPr>
        <w:t>אַתָּה</w:t>
      </w:r>
      <w:r>
        <w:t xml:space="preserve">, koordiniert mit </w:t>
      </w:r>
      <w:r>
        <w:rPr>
          <w:rStyle w:val="Fett"/>
          <w:rFonts w:eastAsiaTheme="majorEastAsia"/>
          <w:rtl/>
        </w:rPr>
        <w:t>בֵּן</w:t>
      </w:r>
      <w:r>
        <w:rPr>
          <w:rtl/>
        </w:rPr>
        <w:t xml:space="preserve"> </w:t>
      </w:r>
      <w:r>
        <w:t xml:space="preserve">Plural mit Suffix, zwei Präpositionen </w:t>
      </w:r>
      <w:r>
        <w:rPr>
          <w:rStyle w:val="Fett"/>
          <w:rFonts w:eastAsiaTheme="majorEastAsia"/>
          <w:rtl/>
        </w:rPr>
        <w:t>בְּ</w:t>
      </w:r>
      <w:r>
        <w:t xml:space="preserve">: </w:t>
      </w:r>
      <w:r>
        <w:rPr>
          <w:rStyle w:val="Fett"/>
          <w:rFonts w:eastAsiaTheme="majorEastAsia"/>
          <w:rtl/>
        </w:rPr>
        <w:t>כָּל־לֵבָב</w:t>
      </w:r>
      <w:r>
        <w:rPr>
          <w:rtl/>
        </w:rPr>
        <w:t xml:space="preserve"> </w:t>
      </w:r>
      <w:r>
        <w:t xml:space="preserve">mit Suffix, </w:t>
      </w:r>
      <w:r>
        <w:rPr>
          <w:rStyle w:val="Fett"/>
          <w:rFonts w:eastAsiaTheme="majorEastAsia"/>
          <w:rtl/>
        </w:rPr>
        <w:t>כָּל־נֶפֶשׁ</w:t>
      </w:r>
      <w:r>
        <w:rPr>
          <w:rtl/>
        </w:rPr>
        <w:t xml:space="preserve"> </w:t>
      </w:r>
      <w:r>
        <w:t xml:space="preserve">mit Suffix, mit </w:t>
      </w:r>
      <w:r>
        <w:rPr>
          <w:rStyle w:val="Fett"/>
          <w:rFonts w:eastAsiaTheme="majorEastAsia"/>
        </w:rPr>
        <w:t>Waw</w:t>
      </w:r>
      <w:r>
        <w:t xml:space="preserve"> consecutivum).</w:t>
      </w:r>
    </w:p>
    <w:p w14:paraId="4E85FA5E" w14:textId="77777777" w:rsidR="008A57FB" w:rsidRDefault="008A57FB" w:rsidP="008A57FB">
      <w:pPr>
        <w:pStyle w:val="whitespace-normal"/>
      </w:pPr>
      <w:r>
        <w:t xml:space="preserve">Der Vers beschreibt die konkrete Umkehr. Die erste Aussage: </w:t>
      </w:r>
      <w:r>
        <w:rPr>
          <w:rStyle w:val="Fett"/>
          <w:rFonts w:eastAsiaTheme="majorEastAsia"/>
          <w:rtl/>
        </w:rPr>
        <w:t>וְשַׁבְתָּ עַד־יְהוָה אֱלֹהֶיךָ</w:t>
      </w:r>
      <w:r>
        <w:rPr>
          <w:rtl/>
        </w:rPr>
        <w:t xml:space="preserve"> </w:t>
      </w:r>
      <w:r>
        <w:t xml:space="preserve">(„und zurückkehrst du bis zum Ewigen, deinem Gott"). Das Verb </w:t>
      </w:r>
      <w:r>
        <w:rPr>
          <w:rStyle w:val="Fett"/>
          <w:rFonts w:eastAsiaTheme="majorEastAsia"/>
          <w:rtl/>
        </w:rPr>
        <w:t>שׁוב</w:t>
      </w:r>
      <w:r>
        <w:rPr>
          <w:rtl/>
        </w:rPr>
        <w:t xml:space="preserve"> </w:t>
      </w:r>
      <w:r>
        <w:t>(„zurückkehren, umkehren") ist das zentrale Wort für Buße im Alten Testament (vgl. 4,30; Hos 3,5; 6,1; 14,2-3; Joel 2,12-</w:t>
      </w:r>
      <w:r>
        <w:lastRenderedPageBreak/>
        <w:t xml:space="preserve">13; Amos 4,6.8-11; Mal 3,7). Die Präposition </w:t>
      </w:r>
      <w:r>
        <w:rPr>
          <w:rStyle w:val="Fett"/>
          <w:rFonts w:eastAsiaTheme="majorEastAsia"/>
          <w:rtl/>
        </w:rPr>
        <w:t>עַד</w:t>
      </w:r>
      <w:r>
        <w:rPr>
          <w:rtl/>
        </w:rPr>
        <w:t xml:space="preserve"> </w:t>
      </w:r>
      <w:r>
        <w:t xml:space="preserve">(statt des üblichen </w:t>
      </w:r>
      <w:r>
        <w:rPr>
          <w:rStyle w:val="Fett"/>
          <w:rFonts w:eastAsiaTheme="majorEastAsia"/>
          <w:rtl/>
        </w:rPr>
        <w:t>אֶל</w:t>
      </w:r>
      <w:r>
        <w:t xml:space="preserve">) betont: vollständige Rückkehr, bis hin zu Gott. Die zweite Aussage: </w:t>
      </w:r>
      <w:r>
        <w:rPr>
          <w:rStyle w:val="Fett"/>
          <w:rFonts w:eastAsiaTheme="majorEastAsia"/>
          <w:rtl/>
        </w:rPr>
        <w:t>וְשָׁמַעְתָּ בְקֹלוֹ כְּכֹל אֲשֶׁר־אָנֹכִי מְצַוְּךָ הַיּוֹם אַתָּה וּבָנֶיךָ בְּכָל־לְבָבְךָ וּבְכָל־נַפְשֶׁךָ</w:t>
      </w:r>
      <w:r>
        <w:rPr>
          <w:rtl/>
        </w:rPr>
        <w:t xml:space="preserve"> </w:t>
      </w:r>
      <w:r>
        <w:t xml:space="preserve">(„und gehorchst du seiner Stimme nach allem, was ich dir heute gebiete, du und deine Kinder, mit deinem ganzen Herzen und mit deiner ganzen Seele"). Gehorsam ist die Frucht der Umkehr. Die Formulierung </w:t>
      </w:r>
      <w:r>
        <w:rPr>
          <w:rStyle w:val="Fett"/>
          <w:rFonts w:eastAsiaTheme="majorEastAsia"/>
          <w:rtl/>
        </w:rPr>
        <w:t>אַתָּה וּבָנֶיךָ</w:t>
      </w:r>
      <w:r>
        <w:rPr>
          <w:rtl/>
        </w:rPr>
        <w:t xml:space="preserve"> </w:t>
      </w:r>
      <w:r>
        <w:t xml:space="preserve">(„du und deine Kinder") betont: generationenübergreifende Umkehr. Die doppelte Formulierung </w:t>
      </w:r>
      <w:r>
        <w:rPr>
          <w:rStyle w:val="Fett"/>
          <w:rFonts w:eastAsiaTheme="majorEastAsia"/>
          <w:rtl/>
        </w:rPr>
        <w:t>בְּכָל־לְבָבְךָ וּבְכָל־נַפְשֶׁךָ</w:t>
      </w:r>
      <w:r>
        <w:rPr>
          <w:rtl/>
        </w:rPr>
        <w:t xml:space="preserve"> </w:t>
      </w:r>
      <w:r>
        <w:t>(„mit deinem ganzen Herzen und mit deiner ganzen Seele") ist die klassische Formel für totale Hingabe (vgl. 4,29; 6,5; 10,12; 11,13; 13,4; 26,16; 30,6.10).</w:t>
      </w:r>
    </w:p>
    <w:p w14:paraId="04E2BD92" w14:textId="77777777" w:rsidR="008A57FB" w:rsidRDefault="008A57FB" w:rsidP="008A57FB">
      <w:pPr>
        <w:pStyle w:val="whitespace-normal"/>
      </w:pPr>
      <w:r>
        <w:rPr>
          <w:rStyle w:val="Fett"/>
          <w:rFonts w:eastAsiaTheme="majorEastAsia"/>
        </w:rPr>
        <w:t>Die Satzstruktur:</w:t>
      </w:r>
      <w:r>
        <w:t xml:space="preserve"> Zwei Aussagen (und zurückkehrst du bis zum Ewigen, deinem Gott, und gehorchst du seiner Stimme nach allem, was ich dir heute gebiete, du und deine Kinder, mit deinem ganzen Herzen und mit deiner ganzen Seele).</w:t>
      </w:r>
    </w:p>
    <w:p w14:paraId="579F3DF8" w14:textId="0DC51FB6" w:rsidR="008A57FB" w:rsidRDefault="008A57FB" w:rsidP="00B77CC6">
      <w:pPr>
        <w:pStyle w:val="whitespace-normal"/>
      </w:pPr>
      <w:r>
        <w:rPr>
          <w:rStyle w:val="Fett"/>
          <w:rFonts w:eastAsiaTheme="majorEastAsia"/>
        </w:rPr>
        <w:t>Der Vers beschreibt:</w:t>
      </w:r>
      <w:r>
        <w:t xml:space="preserve"> Die Umkehr – Rückkehr zum Ewigen und vollständiger Gehorsam mit ganzem Herzen und ganzer Seele.</w:t>
      </w:r>
    </w:p>
    <w:p w14:paraId="13193195" w14:textId="77777777" w:rsidR="008A57FB" w:rsidRPr="008D48A3" w:rsidRDefault="008A57FB" w:rsidP="008D48A3">
      <w:pPr>
        <w:pStyle w:val="Bibelberschrift"/>
      </w:pPr>
      <w:r w:rsidRPr="008D48A3">
        <w:rPr>
          <w:rStyle w:val="Fett"/>
          <w:b/>
          <w:bCs w:val="0"/>
        </w:rPr>
        <w:t>Deuteronomium 30,3</w:t>
      </w:r>
    </w:p>
    <w:p w14:paraId="488FD67A" w14:textId="77777777" w:rsidR="008A57FB" w:rsidRDefault="008A57FB" w:rsidP="008A57FB">
      <w:pPr>
        <w:pStyle w:val="whitespace-normal"/>
      </w:pPr>
      <w:r>
        <w:rPr>
          <w:rStyle w:val="Fett"/>
          <w:rFonts w:eastAsiaTheme="majorEastAsia"/>
        </w:rPr>
        <w:t>Hebräisch:</w:t>
      </w:r>
      <w:r>
        <w:t xml:space="preserve"> </w:t>
      </w:r>
      <w:r>
        <w:rPr>
          <w:rtl/>
        </w:rPr>
        <w:t>וְשָׁב יְהוָה אֱלֹהֶיךָ אֶת־שְׁבוּתְךָ וְרִחֲמֶךָ וְשָׁב וְקִבֶּצְךָ מִכָּל־הָעַמִּים אֲשֶׁר הֱפִיצְךָ יְהוָה אֱלֹהֶיךָ שָׁמָּה׃</w:t>
      </w:r>
    </w:p>
    <w:p w14:paraId="5123ECBF" w14:textId="141A67A8" w:rsidR="008A57FB" w:rsidRDefault="008A57FB" w:rsidP="008A57FB">
      <w:pPr>
        <w:pStyle w:val="whitespace-normal"/>
      </w:pPr>
      <w:r>
        <w:rPr>
          <w:rStyle w:val="Fett"/>
          <w:rFonts w:eastAsiaTheme="majorEastAsia"/>
        </w:rPr>
        <w:t>Deutsch:</w:t>
      </w:r>
      <w:r>
        <w:t xml:space="preserve"> Dann wird der Ewige, dein Gott, deine </w:t>
      </w:r>
      <w:r w:rsidR="00D47758">
        <w:t>Gefangenschaft</w:t>
      </w:r>
      <w:r>
        <w:t xml:space="preserve"> wenden und sich deiner </w:t>
      </w:r>
      <w:proofErr w:type="spellStart"/>
      <w:r>
        <w:t>erbarmen</w:t>
      </w:r>
      <w:proofErr w:type="spellEnd"/>
      <w:r>
        <w:t>; und er wird zurückkehren und dich sammeln aus allen Völkern, wohin der Ewige, dein Gott, dich zerstreut hat.</w:t>
      </w:r>
    </w:p>
    <w:p w14:paraId="6A3E40D6" w14:textId="77777777" w:rsidR="008A57FB" w:rsidRDefault="004F5CEB" w:rsidP="008A57FB">
      <w:r>
        <w:rPr>
          <w:noProof/>
        </w:rPr>
        <w:pict w14:anchorId="211EEC29">
          <v:rect id="_x0000_i1845" style="width:0;height:1.5pt" o:hralign="center" o:hrstd="t" o:hr="t" fillcolor="#a0a0a0" stroked="f"/>
        </w:pict>
      </w:r>
    </w:p>
    <w:p w14:paraId="714A4FB2" w14:textId="39D3EA46"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וְשָׁב יְהוָה אֱלֹהֶיךָ אֶת־שְׁבוּתְךָ וְרִחֲמֶךָ וְשָׁב וְקִבֶּצְךָ מִכָּל־הָעַמִּים אֲשֶׁר הֱפִיצְךָ יְהוָה אֱלֹהֶיךָ שָׁמָּה</w:t>
      </w:r>
      <w:r>
        <w:rPr>
          <w:rtl/>
        </w:rPr>
        <w:t xml:space="preserve"> </w:t>
      </w:r>
      <w:r>
        <w:t xml:space="preserve">sind drei Aussagen: </w:t>
      </w:r>
      <w:r>
        <w:rPr>
          <w:rStyle w:val="Fett"/>
          <w:rFonts w:eastAsiaTheme="majorEastAsia"/>
          <w:rtl/>
        </w:rPr>
        <w:t>וְשָׁב יְהוָה אֱלֹהֶיךָ אֶת־שְׁבוּתְךָ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שׁוב</w:t>
      </w:r>
      <w:r>
        <w:t xml:space="preserve">, Qal Perfekt, 3. Person Maskulinum Singular, </w:t>
      </w:r>
      <w:r>
        <w:rPr>
          <w:rStyle w:val="Fett"/>
          <w:rFonts w:eastAsiaTheme="majorEastAsia"/>
          <w:rtl/>
        </w:rPr>
        <w:t>יְהוָה אֱלֹהֶיךָ</w:t>
      </w:r>
      <w:r>
        <w:rPr>
          <w:rtl/>
        </w:rPr>
        <w:t xml:space="preserve"> </w:t>
      </w:r>
      <w:r>
        <w:t xml:space="preserve">als Subjekt, Objektpartikel </w:t>
      </w:r>
      <w:r>
        <w:rPr>
          <w:rStyle w:val="Fett"/>
          <w:rFonts w:eastAsiaTheme="majorEastAsia"/>
          <w:rtl/>
        </w:rPr>
        <w:t>אֵת</w:t>
      </w:r>
      <w:r>
        <w:rPr>
          <w:rtl/>
        </w:rPr>
        <w:t xml:space="preserve"> </w:t>
      </w:r>
      <w:r>
        <w:t xml:space="preserve">mit </w:t>
      </w:r>
      <w:r>
        <w:rPr>
          <w:rStyle w:val="Fett"/>
          <w:rFonts w:eastAsiaTheme="majorEastAsia"/>
          <w:rtl/>
        </w:rPr>
        <w:t>שְׁבוּת</w:t>
      </w:r>
      <w:r>
        <w:t>, „</w:t>
      </w:r>
      <w:r w:rsidR="00D47758">
        <w:t>Gefangenschaft</w:t>
      </w:r>
      <w:r>
        <w:t xml:space="preserve">, Geschick", mit Suffix 2. Person Maskulinum Singular, mit </w:t>
      </w:r>
      <w:r>
        <w:rPr>
          <w:rStyle w:val="Fett"/>
          <w:rFonts w:eastAsiaTheme="majorEastAsia"/>
        </w:rPr>
        <w:t>Waw</w:t>
      </w:r>
      <w:r>
        <w:t xml:space="preserve"> consecutivum), </w:t>
      </w:r>
      <w:r>
        <w:rPr>
          <w:rStyle w:val="Fett"/>
          <w:rFonts w:eastAsiaTheme="majorEastAsia"/>
          <w:rtl/>
        </w:rPr>
        <w:t>וְרִחֲמֶךָ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רחם</w:t>
      </w:r>
      <w:r>
        <w:t xml:space="preserve">, Piel Perfekt, 3. Person Maskulinum Singular, „sich erbarmen", mit Suffix, mit </w:t>
      </w:r>
      <w:r>
        <w:rPr>
          <w:rStyle w:val="Fett"/>
          <w:rFonts w:eastAsiaTheme="majorEastAsia"/>
        </w:rPr>
        <w:t>Waw</w:t>
      </w:r>
      <w:r>
        <w:t xml:space="preserve"> consecutivum), </w:t>
      </w:r>
      <w:r>
        <w:rPr>
          <w:rStyle w:val="Fett"/>
          <w:rFonts w:eastAsiaTheme="majorEastAsia"/>
          <w:rtl/>
        </w:rPr>
        <w:t>וְשָׁב וְקִבֶּצְךָ מִכָּל־הָעַמִּים אֲשֶׁר הֱפִיצְךָ יְהוָה אֱלֹהֶיךָ שָׁמָּה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שׁוב</w:t>
      </w:r>
      <w:r>
        <w:t xml:space="preserve">, Qal Perfekt, 3. Person Maskulinum Singular, koordiniert durch </w:t>
      </w:r>
      <w:r>
        <w:rPr>
          <w:rStyle w:val="Fett"/>
          <w:rFonts w:eastAsiaTheme="majorEastAsia"/>
          <w:rtl/>
        </w:rPr>
        <w:t>וְ</w:t>
      </w:r>
      <w:r>
        <w:rPr>
          <w:rtl/>
        </w:rPr>
        <w:t xml:space="preserve"> </w:t>
      </w:r>
      <w:r>
        <w:t xml:space="preserve">mit </w:t>
      </w:r>
      <w:r>
        <w:rPr>
          <w:rStyle w:val="Fett"/>
          <w:rFonts w:eastAsiaTheme="majorEastAsia"/>
          <w:rtl/>
        </w:rPr>
        <w:t>קבץ</w:t>
      </w:r>
      <w:r>
        <w:t xml:space="preserve">, Piel Perfekt, 3. Person Maskulinum Singular, „sammeln", mit Suffix, </w:t>
      </w:r>
      <w:r>
        <w:rPr>
          <w:rStyle w:val="Fett"/>
          <w:rFonts w:eastAsiaTheme="majorEastAsia"/>
          <w:rtl/>
        </w:rPr>
        <w:t>מִכָּל־עַמִּים</w:t>
      </w:r>
      <w:r>
        <w:rPr>
          <w:rtl/>
        </w:rPr>
        <w:t xml:space="preserve"> </w:t>
      </w:r>
      <w:r>
        <w:t xml:space="preserve">mit Artikel, Relativsatz: </w:t>
      </w:r>
      <w:r>
        <w:rPr>
          <w:rStyle w:val="Fett"/>
          <w:rFonts w:eastAsiaTheme="majorEastAsia"/>
          <w:rtl/>
        </w:rPr>
        <w:t>אֲשֶׁר הֱפִיצְךָ יְהוָה אֱלֹהֶיךָ שָׁמָּה</w:t>
      </w:r>
      <w:r>
        <w:rPr>
          <w:rtl/>
        </w:rPr>
        <w:t xml:space="preserve"> </w:t>
      </w:r>
      <w:r>
        <w:t xml:space="preserve">mit </w:t>
      </w:r>
      <w:r>
        <w:rPr>
          <w:rStyle w:val="Fett"/>
          <w:rFonts w:eastAsiaTheme="majorEastAsia"/>
          <w:rtl/>
        </w:rPr>
        <w:t>פוץ</w:t>
      </w:r>
      <w:r>
        <w:t xml:space="preserve">, Hiphil Perfekt, 3. Person Maskulinum Singular, „zerstreuen", mit Suffix, mit </w:t>
      </w:r>
      <w:r>
        <w:rPr>
          <w:rStyle w:val="Fett"/>
          <w:rFonts w:eastAsiaTheme="majorEastAsia"/>
        </w:rPr>
        <w:t>Waw</w:t>
      </w:r>
      <w:r>
        <w:t xml:space="preserve"> consecutivum für alle drei Verben).</w:t>
      </w:r>
    </w:p>
    <w:p w14:paraId="4AE04677" w14:textId="669BB187" w:rsidR="008A57FB" w:rsidRDefault="008A57FB" w:rsidP="008A57FB">
      <w:pPr>
        <w:pStyle w:val="whitespace-normal"/>
      </w:pPr>
      <w:r>
        <w:t xml:space="preserve">Der Vers beschreibt Gottes Antwort auf Israels Umkehr – dreifache Verheißung. Die erste Aussage: </w:t>
      </w:r>
      <w:r>
        <w:rPr>
          <w:rStyle w:val="Fett"/>
          <w:rFonts w:eastAsiaTheme="majorEastAsia"/>
          <w:rtl/>
        </w:rPr>
        <w:t>וְשָׁב יְהוָה אֱלֹהֶיךָ אֶת־שְׁבוּתְךָ</w:t>
      </w:r>
      <w:r>
        <w:rPr>
          <w:rtl/>
        </w:rPr>
        <w:t xml:space="preserve"> </w:t>
      </w:r>
      <w:r>
        <w:t xml:space="preserve">(„dann wird zurückwenden </w:t>
      </w:r>
      <w:r w:rsidR="00B77E5E">
        <w:t>JHWH</w:t>
      </w:r>
      <w:r>
        <w:t xml:space="preserve">, dein Gott, deine </w:t>
      </w:r>
      <w:r w:rsidR="00D47758">
        <w:t>Gefangenschaft</w:t>
      </w:r>
      <w:r>
        <w:t xml:space="preserve">"). Die Formulierung </w:t>
      </w:r>
      <w:r>
        <w:rPr>
          <w:rStyle w:val="Fett"/>
          <w:rFonts w:eastAsiaTheme="majorEastAsia"/>
          <w:rtl/>
        </w:rPr>
        <w:t>שׁוב שְׁבוּת</w:t>
      </w:r>
      <w:r>
        <w:rPr>
          <w:rtl/>
        </w:rPr>
        <w:t xml:space="preserve"> </w:t>
      </w:r>
      <w:r>
        <w:t xml:space="preserve">ist idiomatisch und bedeutet: „das Geschick wenden, die </w:t>
      </w:r>
      <w:r w:rsidR="00D47758">
        <w:t>Gefangenschaft</w:t>
      </w:r>
      <w:r>
        <w:t xml:space="preserve"> wenden, wiederherstellen" (vgl. Jer 29,14; 30,3.18; 31,23; 32,44; 33,7.11.26; 48,47; 49,6.39; </w:t>
      </w:r>
      <w:r w:rsidR="00BF3748">
        <w:t>Hes</w:t>
      </w:r>
      <w:r>
        <w:t xml:space="preserve"> 16,53; 29,14; 39,25; Hos 6,11; Joel 4,1; Amos 9,14; Zeph 2,7; 3,20; Ps 14,7; 53,7; 85,2; 126,1.4; Hiob 42,10). Die zweite Aussage: </w:t>
      </w:r>
      <w:r>
        <w:rPr>
          <w:rStyle w:val="Fett"/>
          <w:rFonts w:eastAsiaTheme="majorEastAsia"/>
          <w:rtl/>
        </w:rPr>
        <w:t>וְרִחֲמֶךָ</w:t>
      </w:r>
      <w:r>
        <w:rPr>
          <w:rtl/>
        </w:rPr>
        <w:t xml:space="preserve"> </w:t>
      </w:r>
      <w:r>
        <w:t xml:space="preserve">(„und sich erbarmen wird er deiner"). Das Verb </w:t>
      </w:r>
      <w:r>
        <w:rPr>
          <w:rStyle w:val="Fett"/>
          <w:rFonts w:eastAsiaTheme="majorEastAsia"/>
          <w:rtl/>
        </w:rPr>
        <w:t>רחם</w:t>
      </w:r>
      <w:r>
        <w:rPr>
          <w:rtl/>
        </w:rPr>
        <w:t xml:space="preserve"> </w:t>
      </w:r>
      <w:r>
        <w:t xml:space="preserve">im Piel drückt tiefes Erbarmen aus. Die dritte Aussage: </w:t>
      </w:r>
      <w:r>
        <w:rPr>
          <w:rStyle w:val="Fett"/>
          <w:rFonts w:eastAsiaTheme="majorEastAsia"/>
          <w:rtl/>
        </w:rPr>
        <w:t>וְשָׁב וְקִבֶּצְךָ מִכָּל־הָעַמִּים אֲשֶׁר הֱפִיצְךָ יְהוָה אֱלֹהֶיךָ שָׁמָּה</w:t>
      </w:r>
      <w:r>
        <w:rPr>
          <w:rtl/>
        </w:rPr>
        <w:t xml:space="preserve"> </w:t>
      </w:r>
      <w:r>
        <w:t xml:space="preserve">(„und zurückkehren wird er und sammeln wird er dich aus allen Völkern, wohin </w:t>
      </w:r>
      <w:r w:rsidR="00B77E5E">
        <w:t>JHWH</w:t>
      </w:r>
      <w:r>
        <w:t xml:space="preserve">, dein Gott, dich zerstreut hat"). Das </w:t>
      </w:r>
      <w:r>
        <w:lastRenderedPageBreak/>
        <w:t xml:space="preserve">doppelte </w:t>
      </w:r>
      <w:r>
        <w:rPr>
          <w:rStyle w:val="Fett"/>
          <w:rFonts w:eastAsiaTheme="majorEastAsia"/>
          <w:rtl/>
        </w:rPr>
        <w:t>שׁוב</w:t>
      </w:r>
      <w:r>
        <w:rPr>
          <w:rtl/>
        </w:rPr>
        <w:t xml:space="preserve"> </w:t>
      </w:r>
      <w:r>
        <w:t xml:space="preserve">(„zurückkehren") ist bemerkenswert – Gott kehrt zurück zu seinem Volk und sammelt es. Das Verb </w:t>
      </w:r>
      <w:r>
        <w:rPr>
          <w:rStyle w:val="Fett"/>
          <w:rFonts w:eastAsiaTheme="majorEastAsia"/>
          <w:rtl/>
        </w:rPr>
        <w:t>קבץ</w:t>
      </w:r>
      <w:r>
        <w:rPr>
          <w:rtl/>
        </w:rPr>
        <w:t xml:space="preserve"> </w:t>
      </w:r>
      <w:r>
        <w:t xml:space="preserve">(„sammeln") ist das klassische Wort für die Sammlung der Exilanten (vgl. 29,3; Jes 11,12; 43,5; 56,8; Jer 23,3; 29,14; 31,8.10; 32,37; </w:t>
      </w:r>
      <w:r w:rsidR="00BF3748">
        <w:t>Hes</w:t>
      </w:r>
      <w:r>
        <w:t xml:space="preserve"> 11,17; 20,34.41; 28,25; 34,13; 36,24; 37,21; Mich 4,6; Zeph 3,19-20).</w:t>
      </w:r>
    </w:p>
    <w:p w14:paraId="463ED8E0" w14:textId="47D50EC2" w:rsidR="008E2218" w:rsidRDefault="008E2218" w:rsidP="008A57FB">
      <w:pPr>
        <w:pStyle w:val="whitespace-normal"/>
      </w:pPr>
      <w:r>
        <w:rPr>
          <w:rStyle w:val="Fett"/>
        </w:rPr>
        <w:t>Die LXX</w:t>
      </w:r>
      <w:r>
        <w:t xml:space="preserve"> übersetzt </w:t>
      </w:r>
      <w:r>
        <w:rPr>
          <w:rtl/>
        </w:rPr>
        <w:t>וְשָׁב יְהוָה אֱלֹהֶיךָ אֶת־שְׁבוּתְךָ</w:t>
      </w:r>
      <w:r>
        <w:t xml:space="preserve"> (und der HERR, dein Gott, wird deine </w:t>
      </w:r>
      <w:r w:rsidR="00D47758">
        <w:t>Gefangenschaft</w:t>
      </w:r>
      <w:r>
        <w:t xml:space="preserve"> wenden) mit καὶ </w:t>
      </w:r>
      <w:proofErr w:type="spellStart"/>
      <w:r>
        <w:t>ἰάσετ</w:t>
      </w:r>
      <w:proofErr w:type="spellEnd"/>
      <w:r>
        <w:t xml:space="preserve">αι </w:t>
      </w:r>
      <w:proofErr w:type="spellStart"/>
      <w:r>
        <w:t>κύριος</w:t>
      </w:r>
      <w:proofErr w:type="spellEnd"/>
      <w:r>
        <w:t xml:space="preserve"> </w:t>
      </w:r>
      <w:proofErr w:type="spellStart"/>
      <w:r>
        <w:t>τὰς</w:t>
      </w:r>
      <w:proofErr w:type="spellEnd"/>
      <w:r>
        <w:t xml:space="preserve"> </w:t>
      </w:r>
      <w:proofErr w:type="spellStart"/>
      <w:r>
        <w:t>ἁμ</w:t>
      </w:r>
      <w:proofErr w:type="spellEnd"/>
      <w:r>
        <w:t xml:space="preserve">αρτίας </w:t>
      </w:r>
      <w:proofErr w:type="spellStart"/>
      <w:r>
        <w:t>σου</w:t>
      </w:r>
      <w:proofErr w:type="spellEnd"/>
      <w:r>
        <w:t xml:space="preserve"> (und der Herr wird deine Sünden heilen) – eine bemerkenswerte theologische Neuinterpretation, die die "Wiederherstellung aus der </w:t>
      </w:r>
      <w:r w:rsidR="00D47758">
        <w:t>Gefangenschaft</w:t>
      </w:r>
      <w:r>
        <w:t>" als "Heilung von Sünden" versteht. Dies ist einer der signifikantesten interpretativen Unterschiede in diesem Kapitel.</w:t>
      </w:r>
    </w:p>
    <w:p w14:paraId="18FC252A" w14:textId="2A92967D" w:rsidR="008A57FB" w:rsidRDefault="008A57FB" w:rsidP="008A57FB">
      <w:pPr>
        <w:pStyle w:val="whitespace-normal"/>
      </w:pPr>
      <w:r>
        <w:rPr>
          <w:rStyle w:val="Fett"/>
          <w:rFonts w:eastAsiaTheme="majorEastAsia"/>
        </w:rPr>
        <w:t>Die Satzstruktur:</w:t>
      </w:r>
      <w:r>
        <w:t xml:space="preserve"> Drei Aussagen (dann wird zurückwenden </w:t>
      </w:r>
      <w:r w:rsidR="00B77E5E">
        <w:t>JHWH</w:t>
      </w:r>
      <w:r>
        <w:t xml:space="preserve">, dein Gott, deine </w:t>
      </w:r>
      <w:r w:rsidR="00D47758">
        <w:t>Gefangenschaft</w:t>
      </w:r>
      <w:r>
        <w:t xml:space="preserve"> und sich erbarmen wird er deiner; und zurückkehren wird er und sammeln wird er dich aus allen Völkern, wohin </w:t>
      </w:r>
      <w:r w:rsidR="00B77E5E">
        <w:t>JHWH</w:t>
      </w:r>
      <w:r>
        <w:t>, dein Gott, dich zerstreut hat).</w:t>
      </w:r>
    </w:p>
    <w:p w14:paraId="1C2A7F3F" w14:textId="77777777" w:rsidR="008A57FB" w:rsidRDefault="008A57FB" w:rsidP="008A57FB">
      <w:pPr>
        <w:pStyle w:val="whitespace-normal"/>
      </w:pPr>
      <w:r>
        <w:rPr>
          <w:rStyle w:val="Fett"/>
          <w:rFonts w:eastAsiaTheme="majorEastAsia"/>
        </w:rPr>
        <w:t>Der Vers beschreibt:</w:t>
      </w:r>
      <w:r>
        <w:t xml:space="preserve"> Gottes Antwort – Wende des Geschicks, Erbarmen, Sammlung aus der Zerstreuung.</w:t>
      </w:r>
    </w:p>
    <w:p w14:paraId="1DB4F7B2" w14:textId="77777777" w:rsidR="008A57FB" w:rsidRPr="008D48A3" w:rsidRDefault="008A57FB" w:rsidP="008D48A3">
      <w:pPr>
        <w:pStyle w:val="Bibelberschrift"/>
      </w:pPr>
      <w:r w:rsidRPr="008D48A3">
        <w:rPr>
          <w:rStyle w:val="Fett"/>
          <w:b/>
          <w:bCs w:val="0"/>
        </w:rPr>
        <w:t>Deuteronomium 30,4</w:t>
      </w:r>
    </w:p>
    <w:p w14:paraId="428F2328" w14:textId="77777777" w:rsidR="008A57FB" w:rsidRDefault="008A57FB" w:rsidP="008A57FB">
      <w:pPr>
        <w:pStyle w:val="whitespace-normal"/>
      </w:pPr>
      <w:r>
        <w:rPr>
          <w:rStyle w:val="Fett"/>
          <w:rFonts w:eastAsiaTheme="majorEastAsia"/>
        </w:rPr>
        <w:t>Hebräisch:</w:t>
      </w:r>
      <w:r>
        <w:t xml:space="preserve"> </w:t>
      </w:r>
      <w:r>
        <w:rPr>
          <w:rtl/>
        </w:rPr>
        <w:t>אִם־יִהְיֶה נִדַּחֲךָ בִּקְצֵה הַשָּׁמָיִם מִשָּׁם יְקַבֶּצְךָ יְהוָה אֱלֹהֶיךָ וּמִשָּׁם יִקָּחֶךָ׃</w:t>
      </w:r>
    </w:p>
    <w:p w14:paraId="084497EA" w14:textId="77777777" w:rsidR="008A57FB" w:rsidRDefault="008A57FB" w:rsidP="008A57FB">
      <w:pPr>
        <w:pStyle w:val="whitespace-normal"/>
      </w:pPr>
      <w:r>
        <w:rPr>
          <w:rStyle w:val="Fett"/>
          <w:rFonts w:eastAsiaTheme="majorEastAsia"/>
        </w:rPr>
        <w:t>Deutsch:</w:t>
      </w:r>
      <w:r>
        <w:t xml:space="preserve"> Wenn deine Verstoßenen am Ende des Himmels wären, wird der Ewige, dein Gott, dich von dort sammeln und dich von dort holen.</w:t>
      </w:r>
    </w:p>
    <w:p w14:paraId="4A84B271" w14:textId="77777777" w:rsidR="008A57FB" w:rsidRDefault="004F5CEB" w:rsidP="008A57FB">
      <w:r>
        <w:rPr>
          <w:noProof/>
        </w:rPr>
        <w:pict w14:anchorId="6EE1A600">
          <v:rect id="_x0000_i1846" style="width:0;height:1.5pt" o:hralign="center" o:hrstd="t" o:hr="t" fillcolor="#a0a0a0" stroked="f"/>
        </w:pict>
      </w:r>
    </w:p>
    <w:p w14:paraId="5FBE68FF"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אִם־יִהְיֶה נִדַּחֲךָ בִּקְצֵה הַשָּׁמָיִם מִשָּׁם יְקַבֶּצְךָ יְהוָה אֱלֹהֶיךָ וּמִשָּׁם יִקָּחֶךָ</w:t>
      </w:r>
      <w:r>
        <w:rPr>
          <w:rtl/>
        </w:rPr>
        <w:t xml:space="preserve"> </w:t>
      </w:r>
      <w:r>
        <w:t xml:space="preserve">sind Bedingung und zwei Aussagen: </w:t>
      </w:r>
      <w:r>
        <w:rPr>
          <w:rStyle w:val="Fett"/>
          <w:rFonts w:eastAsiaTheme="majorEastAsia"/>
          <w:rtl/>
        </w:rPr>
        <w:t>אִם־יִהְיֶה נִדַּחֲךָ בִּקְצֵה הַשָּׁמָיִם</w:t>
      </w:r>
      <w:r>
        <w:rPr>
          <w:rtl/>
        </w:rPr>
        <w:t xml:space="preserve"> </w:t>
      </w:r>
      <w:r>
        <w:t xml:space="preserve">(Konditionalsatz: </w:t>
      </w:r>
      <w:r>
        <w:rPr>
          <w:rStyle w:val="Fett"/>
          <w:rFonts w:eastAsiaTheme="majorEastAsia"/>
          <w:rtl/>
        </w:rPr>
        <w:t>אִם</w:t>
      </w:r>
      <w:r>
        <w:rPr>
          <w:rtl/>
        </w:rPr>
        <w:t xml:space="preserve"> </w:t>
      </w:r>
      <w:r>
        <w:t xml:space="preserve">mit </w:t>
      </w:r>
      <w:r>
        <w:rPr>
          <w:rStyle w:val="Fett"/>
          <w:rFonts w:eastAsiaTheme="majorEastAsia"/>
          <w:rtl/>
        </w:rPr>
        <w:t>היה</w:t>
      </w:r>
      <w:r>
        <w:t xml:space="preserve">, Qal Imperfekt, 3. Person Maskulinum Singular, </w:t>
      </w:r>
      <w:r>
        <w:rPr>
          <w:rStyle w:val="Fett"/>
          <w:rFonts w:eastAsiaTheme="majorEastAsia"/>
          <w:rtl/>
        </w:rPr>
        <w:t>נדח</w:t>
      </w:r>
      <w:r>
        <w:t xml:space="preserve">, Niphal Partizip, „verstoßen, vertrieben", mit Suffix 2. Person Maskulinum Singular als Subjekt (kollektiver Singular), </w:t>
      </w:r>
      <w:r>
        <w:rPr>
          <w:rStyle w:val="Fett"/>
          <w:rFonts w:eastAsiaTheme="majorEastAsia"/>
          <w:rtl/>
        </w:rPr>
        <w:t>בִּקְצֵה הַשָּׁמָיִם</w:t>
      </w:r>
      <w:r>
        <w:t xml:space="preserve">), </w:t>
      </w:r>
      <w:r>
        <w:rPr>
          <w:rStyle w:val="Fett"/>
          <w:rFonts w:eastAsiaTheme="majorEastAsia"/>
          <w:rtl/>
        </w:rPr>
        <w:t>מִשָּׁם יְקַבֶּצְךָ יְהוָה אֱלֹהֶיךָ וּמִשָּׁם יִקָּחֶךָ</w:t>
      </w:r>
      <w:r>
        <w:rPr>
          <w:rtl/>
        </w:rPr>
        <w:t xml:space="preserve"> </w:t>
      </w:r>
      <w:r>
        <w:t>(</w:t>
      </w:r>
      <w:r>
        <w:rPr>
          <w:rStyle w:val="Fett"/>
          <w:rFonts w:eastAsiaTheme="majorEastAsia"/>
          <w:rtl/>
        </w:rPr>
        <w:t>מִשָּׁם</w:t>
      </w:r>
      <w:r>
        <w:t xml:space="preserve">, „von dort", </w:t>
      </w:r>
      <w:r>
        <w:rPr>
          <w:rStyle w:val="Fett"/>
          <w:rFonts w:eastAsiaTheme="majorEastAsia"/>
          <w:rtl/>
        </w:rPr>
        <w:t>קבץ</w:t>
      </w:r>
      <w:r>
        <w:t xml:space="preserve">, Piel Imperfekt, 3. Person Maskulinum Singular, mit Suffix, </w:t>
      </w:r>
      <w:r>
        <w:rPr>
          <w:rStyle w:val="Fett"/>
          <w:rFonts w:eastAsiaTheme="majorEastAsia"/>
          <w:rtl/>
        </w:rPr>
        <w:t>יְהוָה אֱלֹהֶיךָ</w:t>
      </w:r>
      <w:r>
        <w:rPr>
          <w:rtl/>
        </w:rPr>
        <w:t xml:space="preserve"> </w:t>
      </w:r>
      <w:r>
        <w:t xml:space="preserve">als Subjekt, koordiniert durch </w:t>
      </w:r>
      <w:r>
        <w:rPr>
          <w:rStyle w:val="Fett"/>
          <w:rFonts w:eastAsiaTheme="majorEastAsia"/>
          <w:rtl/>
        </w:rPr>
        <w:t>וּ</w:t>
      </w:r>
      <w:r>
        <w:rPr>
          <w:rtl/>
        </w:rPr>
        <w:t xml:space="preserve"> </w:t>
      </w:r>
      <w:r>
        <w:t xml:space="preserve">mit </w:t>
      </w:r>
      <w:r>
        <w:rPr>
          <w:rStyle w:val="Fett"/>
          <w:rFonts w:eastAsiaTheme="majorEastAsia"/>
          <w:rtl/>
        </w:rPr>
        <w:t>מִשָּׁם</w:t>
      </w:r>
      <w:r>
        <w:t xml:space="preserve">, </w:t>
      </w:r>
      <w:r>
        <w:rPr>
          <w:rStyle w:val="Fett"/>
          <w:rFonts w:eastAsiaTheme="majorEastAsia"/>
          <w:rtl/>
        </w:rPr>
        <w:t>לקח</w:t>
      </w:r>
      <w:r>
        <w:t>, Qal Imperfekt, 3. Person Maskulinum Singular, „nehmen, holen", mit Suffix).</w:t>
      </w:r>
    </w:p>
    <w:p w14:paraId="26CEF793" w14:textId="5E0B1966" w:rsidR="008A57FB" w:rsidRDefault="008A57FB" w:rsidP="008A57FB">
      <w:pPr>
        <w:pStyle w:val="whitespace-normal"/>
      </w:pPr>
      <w:r>
        <w:t xml:space="preserve">Der Vers intensiviert die Verheißung aus V. 3. Die Bedingung: </w:t>
      </w:r>
      <w:r>
        <w:rPr>
          <w:rStyle w:val="Fett"/>
          <w:rFonts w:eastAsiaTheme="majorEastAsia"/>
          <w:rtl/>
        </w:rPr>
        <w:t>אִם־יִהְיֶה נִדַּחֲךָ בִּקְצֵה הַשָּׁמָיִם</w:t>
      </w:r>
      <w:r>
        <w:rPr>
          <w:rtl/>
        </w:rPr>
        <w:t xml:space="preserve"> </w:t>
      </w:r>
      <w:r>
        <w:t xml:space="preserve">(„wenn wäre deine Verstoßenen am Ende des Himmels"). Die Formulierung </w:t>
      </w:r>
      <w:r>
        <w:rPr>
          <w:rStyle w:val="Fett"/>
          <w:rFonts w:eastAsiaTheme="majorEastAsia"/>
          <w:rtl/>
        </w:rPr>
        <w:t>בִּקְצֵה הַשָּׁמָיִם</w:t>
      </w:r>
      <w:r>
        <w:rPr>
          <w:rtl/>
        </w:rPr>
        <w:t xml:space="preserve"> </w:t>
      </w:r>
      <w:r>
        <w:t xml:space="preserve">(„am Ende des Himmels") ist hyperbolisch und bedeutet: am weitesten entfernten Punkt der bewohnten Welt (vgl. Neh 1,9; Jes 13,5; Jer 12,12; 25,33; Ps 19,7; Sach 9,10). Die beiden Aussagen: </w:t>
      </w:r>
      <w:r>
        <w:rPr>
          <w:rStyle w:val="Fett"/>
          <w:rFonts w:eastAsiaTheme="majorEastAsia"/>
          <w:rtl/>
        </w:rPr>
        <w:t>מִשָּׁם יְקַבֶּצְךָ יְהוָה אֱלֹהֶיךָ וּמִשָּׁם יִקָּחֶךָ</w:t>
      </w:r>
      <w:r>
        <w:rPr>
          <w:rtl/>
        </w:rPr>
        <w:t xml:space="preserve"> </w:t>
      </w:r>
      <w:r>
        <w:t xml:space="preserve">(„von dort wird dich sammeln </w:t>
      </w:r>
      <w:r w:rsidR="00B77E5E">
        <w:t>JHWH</w:t>
      </w:r>
      <w:r>
        <w:t xml:space="preserve">, dein Gott, und von dort wird er dich holen"). Die zweifache Betonung </w:t>
      </w:r>
      <w:r>
        <w:rPr>
          <w:rStyle w:val="Fett"/>
          <w:rFonts w:eastAsiaTheme="majorEastAsia"/>
          <w:rtl/>
        </w:rPr>
        <w:t>מִשָּׁם... וּמִשָּׁם</w:t>
      </w:r>
      <w:r>
        <w:rPr>
          <w:rtl/>
        </w:rPr>
        <w:t xml:space="preserve"> </w:t>
      </w:r>
      <w:r>
        <w:t xml:space="preserve">(„von dort... und von dort") verstärkt die Aussage. Die beiden Verben </w:t>
      </w:r>
      <w:r>
        <w:rPr>
          <w:rStyle w:val="Fett"/>
          <w:rFonts w:eastAsiaTheme="majorEastAsia"/>
          <w:rtl/>
        </w:rPr>
        <w:t>קבץ</w:t>
      </w:r>
      <w:r>
        <w:rPr>
          <w:rtl/>
        </w:rPr>
        <w:t xml:space="preserve"> </w:t>
      </w:r>
      <w:r>
        <w:t xml:space="preserve">(„sammeln") und </w:t>
      </w:r>
      <w:r>
        <w:rPr>
          <w:rStyle w:val="Fett"/>
          <w:rFonts w:eastAsiaTheme="majorEastAsia"/>
          <w:rtl/>
        </w:rPr>
        <w:t>לקח</w:t>
      </w:r>
      <w:r>
        <w:rPr>
          <w:rtl/>
        </w:rPr>
        <w:t xml:space="preserve"> </w:t>
      </w:r>
      <w:r>
        <w:t>(„nehmen, holen") beschreiben die Heimholung. Die Botschaft: Keine Entfernung ist zu groß für Gottes rettende Macht (vgl. Neh 1,9, fast identischer Wortlaut).</w:t>
      </w:r>
    </w:p>
    <w:p w14:paraId="6CFC7C52" w14:textId="508AFEC5" w:rsidR="008A57FB" w:rsidRDefault="008A57FB" w:rsidP="008A57FB">
      <w:pPr>
        <w:pStyle w:val="whitespace-normal"/>
      </w:pPr>
      <w:r>
        <w:rPr>
          <w:rStyle w:val="Fett"/>
          <w:rFonts w:eastAsiaTheme="majorEastAsia"/>
        </w:rPr>
        <w:lastRenderedPageBreak/>
        <w:t>Die Satzstruktur:</w:t>
      </w:r>
      <w:r>
        <w:t xml:space="preserve"> Bedingung und zwei Aussagen (wenn wäre deine Verstoßenen am Ende des Himmels, von dort wird dich sammeln </w:t>
      </w:r>
      <w:r w:rsidR="00B77E5E">
        <w:t>JHWH</w:t>
      </w:r>
      <w:r>
        <w:t>, dein Gott, und von dort wird er dich holen).</w:t>
      </w:r>
    </w:p>
    <w:p w14:paraId="2E9ACA22" w14:textId="5FC32AD7" w:rsidR="008A57FB" w:rsidRDefault="008A57FB" w:rsidP="00B77CC6">
      <w:pPr>
        <w:pStyle w:val="whitespace-normal"/>
      </w:pPr>
      <w:r>
        <w:rPr>
          <w:rStyle w:val="Fett"/>
          <w:rFonts w:eastAsiaTheme="majorEastAsia"/>
        </w:rPr>
        <w:t>Der Vers beschreibt:</w:t>
      </w:r>
      <w:r>
        <w:t xml:space="preserve"> Intensivierung – selbst vom weitesten Punkt der Erde wird Gott Israel sammeln.</w:t>
      </w:r>
    </w:p>
    <w:p w14:paraId="03494270" w14:textId="77777777" w:rsidR="008A57FB" w:rsidRPr="008D48A3" w:rsidRDefault="008A57FB" w:rsidP="008D48A3">
      <w:pPr>
        <w:pStyle w:val="Bibelberschrift"/>
      </w:pPr>
      <w:r w:rsidRPr="008D48A3">
        <w:rPr>
          <w:rStyle w:val="Fett"/>
          <w:b/>
          <w:bCs w:val="0"/>
        </w:rPr>
        <w:t>Deuteronomium 30,5</w:t>
      </w:r>
    </w:p>
    <w:p w14:paraId="2C866C20" w14:textId="77777777" w:rsidR="008A57FB" w:rsidRDefault="008A57FB" w:rsidP="008A57FB">
      <w:pPr>
        <w:pStyle w:val="whitespace-normal"/>
      </w:pPr>
      <w:r>
        <w:rPr>
          <w:rStyle w:val="Fett"/>
          <w:rFonts w:eastAsiaTheme="majorEastAsia"/>
        </w:rPr>
        <w:t>Hebräisch:</w:t>
      </w:r>
      <w:r>
        <w:t xml:space="preserve"> </w:t>
      </w:r>
      <w:r>
        <w:rPr>
          <w:rtl/>
        </w:rPr>
        <w:t>וֶהֱבִיאֲךָ יְהוָה אֱלֹהֶיךָ אֶל־הָאָרֶץ אֲשֶׁר־יָרְשׁוּ אֲבֹתֶיךָ וִירִשְׁתָּהּ וְהֵיטִבְךָ וְהִרְבְּךָ מֵאֲבֹתֶיךָ׃</w:t>
      </w:r>
    </w:p>
    <w:p w14:paraId="3BEECC43" w14:textId="77777777" w:rsidR="008A57FB" w:rsidRDefault="008A57FB" w:rsidP="008A57FB">
      <w:pPr>
        <w:pStyle w:val="whitespace-normal"/>
      </w:pPr>
      <w:r>
        <w:rPr>
          <w:rStyle w:val="Fett"/>
          <w:rFonts w:eastAsiaTheme="majorEastAsia"/>
        </w:rPr>
        <w:t>Deutsch:</w:t>
      </w:r>
      <w:r>
        <w:t xml:space="preserve"> Und bringen wird dich der Ewige, dein Gott, in das Land, das deine Väter in Besitz genommen haben, und du wirst es in Besitz nehmen; und er wird dir Gutes tun und dich mehr vermehren als deine Väter.</w:t>
      </w:r>
    </w:p>
    <w:p w14:paraId="531EFF81" w14:textId="77777777" w:rsidR="008A57FB" w:rsidRDefault="004F5CEB" w:rsidP="008A57FB">
      <w:r>
        <w:rPr>
          <w:noProof/>
        </w:rPr>
        <w:pict w14:anchorId="5E44AA1A">
          <v:rect id="_x0000_i1847" style="width:0;height:1.5pt" o:hralign="center" o:hrstd="t" o:hr="t" fillcolor="#a0a0a0" stroked="f"/>
        </w:pict>
      </w:r>
    </w:p>
    <w:p w14:paraId="673CD78B"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וֶהֱבִיאֲךָ יְהוָה אֱלֹהֶיךָ אֶל־הָאָרֶץ אֲשֶׁר־יָרְשׁוּ אֲבֹתֶיךָ וִירִשְׁתָּהּ וְהֵיטִבְךָ וְהִרְבְּךָ מֵאֲבֹתֶיךָ</w:t>
      </w:r>
      <w:r>
        <w:rPr>
          <w:rtl/>
        </w:rPr>
        <w:t xml:space="preserve"> </w:t>
      </w:r>
      <w:r>
        <w:t xml:space="preserve">sind vier Aussagen: </w:t>
      </w:r>
      <w:r>
        <w:rPr>
          <w:rStyle w:val="Fett"/>
          <w:rFonts w:eastAsiaTheme="majorEastAsia"/>
          <w:rtl/>
        </w:rPr>
        <w:t>וֶהֱבִיאֲךָ יְהוָה אֱלֹהֶיךָ אֶל־הָאָרֶץ אֲשֶׁר־יָרְשׁוּ אֲבֹתֶיךָ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בוא</w:t>
      </w:r>
      <w:r>
        <w:t xml:space="preserve">, Hiphil Perfekt, 3. Person Maskulinum Singular, mit Suffix 2. Person Maskulinum Singular, „bringen", </w:t>
      </w:r>
      <w:r>
        <w:rPr>
          <w:rStyle w:val="Fett"/>
          <w:rFonts w:eastAsiaTheme="majorEastAsia"/>
          <w:rtl/>
        </w:rPr>
        <w:t>יְהוָה אֱלֹהֶיךָ</w:t>
      </w:r>
      <w:r>
        <w:rPr>
          <w:rtl/>
        </w:rPr>
        <w:t xml:space="preserve"> </w:t>
      </w:r>
      <w:r>
        <w:t xml:space="preserve">als Subjekt, Präposition </w:t>
      </w:r>
      <w:r>
        <w:rPr>
          <w:rStyle w:val="Fett"/>
          <w:rFonts w:eastAsiaTheme="majorEastAsia"/>
          <w:rtl/>
        </w:rPr>
        <w:t>אֶל</w:t>
      </w:r>
      <w:r>
        <w:rPr>
          <w:rtl/>
        </w:rPr>
        <w:t xml:space="preserve"> </w:t>
      </w:r>
      <w:r>
        <w:t xml:space="preserve">mit </w:t>
      </w:r>
      <w:r>
        <w:rPr>
          <w:rStyle w:val="Fett"/>
          <w:rFonts w:eastAsiaTheme="majorEastAsia"/>
          <w:rtl/>
        </w:rPr>
        <w:t>אֶרֶץ</w:t>
      </w:r>
      <w:r>
        <w:rPr>
          <w:rtl/>
        </w:rPr>
        <w:t xml:space="preserve"> </w:t>
      </w:r>
      <w:r>
        <w:t xml:space="preserve">mit Artikel, Relativsatz: </w:t>
      </w:r>
      <w:r>
        <w:rPr>
          <w:rStyle w:val="Fett"/>
          <w:rFonts w:eastAsiaTheme="majorEastAsia"/>
          <w:rtl/>
        </w:rPr>
        <w:t>אֲשֶׁר־יָרְשׁוּ אֲבֹתֶיךָ</w:t>
      </w:r>
      <w:r>
        <w:rPr>
          <w:rtl/>
        </w:rPr>
        <w:t xml:space="preserve"> </w:t>
      </w:r>
      <w:r>
        <w:t xml:space="preserve">mit </w:t>
      </w:r>
      <w:r>
        <w:rPr>
          <w:rStyle w:val="Fett"/>
          <w:rFonts w:eastAsiaTheme="majorEastAsia"/>
          <w:rtl/>
        </w:rPr>
        <w:t>ירשׁ</w:t>
      </w:r>
      <w:r>
        <w:t xml:space="preserve">, Qal Perfekt, 3. Person Plural, </w:t>
      </w:r>
      <w:r>
        <w:rPr>
          <w:rStyle w:val="Fett"/>
          <w:rFonts w:eastAsiaTheme="majorEastAsia"/>
          <w:rtl/>
        </w:rPr>
        <w:t>אָב</w:t>
      </w:r>
      <w:r>
        <w:rPr>
          <w:rtl/>
        </w:rPr>
        <w:t xml:space="preserve"> </w:t>
      </w:r>
      <w:r>
        <w:t xml:space="preserve">Plural mit Suffix als Subjekt, mit </w:t>
      </w:r>
      <w:r>
        <w:rPr>
          <w:rStyle w:val="Fett"/>
          <w:rFonts w:eastAsiaTheme="majorEastAsia"/>
        </w:rPr>
        <w:t>Waw</w:t>
      </w:r>
      <w:r>
        <w:t xml:space="preserve"> consecutivum), </w:t>
      </w:r>
      <w:r>
        <w:rPr>
          <w:rStyle w:val="Fett"/>
          <w:rFonts w:eastAsiaTheme="majorEastAsia"/>
          <w:rtl/>
        </w:rPr>
        <w:t>וִירִשְׁתָּהּ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ירשׁ</w:t>
      </w:r>
      <w:r>
        <w:t xml:space="preserve">, Qal Perfekt, 2. Person Maskulinum Singular, mit Suffix 3. Person Femininum Singular, mit </w:t>
      </w:r>
      <w:r>
        <w:rPr>
          <w:rStyle w:val="Fett"/>
          <w:rFonts w:eastAsiaTheme="majorEastAsia"/>
        </w:rPr>
        <w:t>Waw</w:t>
      </w:r>
      <w:r>
        <w:t xml:space="preserve"> consecutivum), </w:t>
      </w:r>
      <w:r>
        <w:rPr>
          <w:rStyle w:val="Fett"/>
          <w:rFonts w:eastAsiaTheme="majorEastAsia"/>
          <w:rtl/>
        </w:rPr>
        <w:t>וְהֵיטִבְךָ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יטב</w:t>
      </w:r>
      <w:r>
        <w:t xml:space="preserve">, Hiphil Perfekt, 3. Person Maskulinum Singular, mit Suffix 2. Person Maskulinum Singular, „Gutes tun", mit </w:t>
      </w:r>
      <w:r>
        <w:rPr>
          <w:rStyle w:val="Fett"/>
          <w:rFonts w:eastAsiaTheme="majorEastAsia"/>
        </w:rPr>
        <w:t>Waw</w:t>
      </w:r>
      <w:r>
        <w:t xml:space="preserve"> consecutivum), </w:t>
      </w:r>
      <w:r>
        <w:rPr>
          <w:rStyle w:val="Fett"/>
          <w:rFonts w:eastAsiaTheme="majorEastAsia"/>
          <w:rtl/>
        </w:rPr>
        <w:t>וְהִרְבְּךָ מֵאֲבֹתֶיךָ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רבה</w:t>
      </w:r>
      <w:r>
        <w:t xml:space="preserve">, Hiphil Perfekt, 3. Person Maskulinum Singular, mit Suffix, „vermehren", </w:t>
      </w:r>
      <w:r>
        <w:rPr>
          <w:rStyle w:val="Fett"/>
          <w:rFonts w:eastAsiaTheme="majorEastAsia"/>
          <w:rtl/>
        </w:rPr>
        <w:t>מֵאֲבֹתֶיךָ</w:t>
      </w:r>
      <w:r>
        <w:t xml:space="preserve">, „mehr als deine Väter", mit </w:t>
      </w:r>
      <w:r>
        <w:rPr>
          <w:rStyle w:val="Fett"/>
          <w:rFonts w:eastAsiaTheme="majorEastAsia"/>
        </w:rPr>
        <w:t>Waw</w:t>
      </w:r>
      <w:r>
        <w:t xml:space="preserve"> consecutivum).</w:t>
      </w:r>
    </w:p>
    <w:p w14:paraId="2425EDFA" w14:textId="71100185" w:rsidR="008A57FB" w:rsidRDefault="008A57FB" w:rsidP="008A57FB">
      <w:pPr>
        <w:pStyle w:val="whitespace-normal"/>
      </w:pPr>
      <w:r>
        <w:t xml:space="preserve">Der Vers beschreibt die Rückführung ins Land und die Wiederherstellung. Die erste Aussage: </w:t>
      </w:r>
      <w:r>
        <w:rPr>
          <w:rStyle w:val="Fett"/>
          <w:rFonts w:eastAsiaTheme="majorEastAsia"/>
          <w:rtl/>
        </w:rPr>
        <w:t>וֶהֱבִיאֲךָ יְהוָה אֱלֹהֶיךָ אֶל־הָאָרֶץ אֲשֶׁר־יָרְשׁוּ אֲבֹתֶיךָ</w:t>
      </w:r>
      <w:r>
        <w:rPr>
          <w:rtl/>
        </w:rPr>
        <w:t xml:space="preserve"> </w:t>
      </w:r>
      <w:r>
        <w:t xml:space="preserve">(„und bringen wird dich </w:t>
      </w:r>
      <w:r w:rsidR="00B77E5E">
        <w:t>JHWH</w:t>
      </w:r>
      <w:r>
        <w:t xml:space="preserve">, dein Gott, in das Land, das in Besitz genommen haben deine Väter"). Rückkehr ins verheißene Land. Die zweite Aussage: </w:t>
      </w:r>
      <w:r>
        <w:rPr>
          <w:rStyle w:val="Fett"/>
          <w:rFonts w:eastAsiaTheme="majorEastAsia"/>
          <w:rtl/>
        </w:rPr>
        <w:t>וִירִשְׁתָּהּ</w:t>
      </w:r>
      <w:r>
        <w:rPr>
          <w:rtl/>
        </w:rPr>
        <w:t xml:space="preserve"> </w:t>
      </w:r>
      <w:r>
        <w:t xml:space="preserve">(„und in Besitz nehmen wirst du es"). Erneute Landnahme. Die dritte Aussage: </w:t>
      </w:r>
      <w:r>
        <w:rPr>
          <w:rStyle w:val="Fett"/>
          <w:rFonts w:eastAsiaTheme="majorEastAsia"/>
          <w:rtl/>
        </w:rPr>
        <w:t>וְהֵיטִבְךָ</w:t>
      </w:r>
      <w:r>
        <w:rPr>
          <w:rtl/>
        </w:rPr>
        <w:t xml:space="preserve"> </w:t>
      </w:r>
      <w:r>
        <w:t xml:space="preserve">(„und Gutes tun wird er dir"). Gottes Wohltat (vgl. 28,63). Die vierte Aussage: </w:t>
      </w:r>
      <w:r>
        <w:rPr>
          <w:rStyle w:val="Fett"/>
          <w:rFonts w:eastAsiaTheme="majorEastAsia"/>
          <w:rtl/>
        </w:rPr>
        <w:t>וְהִרְבְּךָ מֵאֲבֹתֶיךָ</w:t>
      </w:r>
      <w:r>
        <w:rPr>
          <w:rtl/>
        </w:rPr>
        <w:t xml:space="preserve"> </w:t>
      </w:r>
      <w:r>
        <w:t xml:space="preserve">(„und vermehren wird er dich mehr als deine Väter"). Die Wiederherstellung übertrifft die ursprüngliche Situation – größerer Segen als zur Zeit der Väter (vgl. 28,63; Jer 30,19; </w:t>
      </w:r>
      <w:r w:rsidR="00BF3748">
        <w:t>Hes</w:t>
      </w:r>
      <w:r>
        <w:t xml:space="preserve"> 36,11).</w:t>
      </w:r>
    </w:p>
    <w:p w14:paraId="5E275AAC" w14:textId="5627970A" w:rsidR="008A57FB" w:rsidRDefault="008A57FB" w:rsidP="008A57FB">
      <w:pPr>
        <w:pStyle w:val="whitespace-normal"/>
      </w:pPr>
      <w:r>
        <w:rPr>
          <w:rStyle w:val="Fett"/>
          <w:rFonts w:eastAsiaTheme="majorEastAsia"/>
        </w:rPr>
        <w:t>Die Satzstruktur:</w:t>
      </w:r>
      <w:r>
        <w:t xml:space="preserve"> Vier Aussagen (und bringen wird dich </w:t>
      </w:r>
      <w:r w:rsidR="00B77E5E">
        <w:t>JHWH</w:t>
      </w:r>
      <w:r>
        <w:t>, dein Gott, in das Land, das in Besitz genommen haben deine Väter, und in Besitz nehmen wirst du es; und Gutes tun wird er dir und vermehren wird er dich mehr als deine Väter).</w:t>
      </w:r>
    </w:p>
    <w:p w14:paraId="26CE63EF" w14:textId="77777777" w:rsidR="008A57FB" w:rsidRDefault="008A57FB" w:rsidP="008A57FB">
      <w:pPr>
        <w:pStyle w:val="whitespace-normal"/>
      </w:pPr>
      <w:r>
        <w:rPr>
          <w:rStyle w:val="Fett"/>
          <w:rFonts w:eastAsiaTheme="majorEastAsia"/>
        </w:rPr>
        <w:t>Der Vers beschreibt:</w:t>
      </w:r>
      <w:r>
        <w:t xml:space="preserve"> Rückführung ins Land – erneute Landnahme und größerer Segen als zuvor.</w:t>
      </w:r>
    </w:p>
    <w:p w14:paraId="662AAB58" w14:textId="77777777" w:rsidR="008A57FB" w:rsidRPr="008D48A3" w:rsidRDefault="008A57FB" w:rsidP="008D48A3">
      <w:pPr>
        <w:pStyle w:val="Bibelberschrift"/>
      </w:pPr>
      <w:r w:rsidRPr="008D48A3">
        <w:rPr>
          <w:rStyle w:val="Fett"/>
          <w:b/>
          <w:bCs w:val="0"/>
        </w:rPr>
        <w:lastRenderedPageBreak/>
        <w:t>Deuteronomium 30,6</w:t>
      </w:r>
    </w:p>
    <w:p w14:paraId="0DFC4EE0" w14:textId="77777777" w:rsidR="008A57FB" w:rsidRDefault="008A57FB" w:rsidP="008A57FB">
      <w:pPr>
        <w:pStyle w:val="whitespace-normal"/>
      </w:pPr>
      <w:r>
        <w:rPr>
          <w:rStyle w:val="Fett"/>
          <w:rFonts w:eastAsiaTheme="majorEastAsia"/>
        </w:rPr>
        <w:t>Hebräisch:</w:t>
      </w:r>
      <w:r>
        <w:t xml:space="preserve"> </w:t>
      </w:r>
      <w:r>
        <w:rPr>
          <w:rtl/>
        </w:rPr>
        <w:t>וּמָל יְהוָה אֱלֹהֶיךָ אֶת־לְבָבְךָ וְאֶת־לְבַב זַרְעֶךָ לְאַהֲבָה אֶת־יְהוָה אֱלֹהֶיךָ בְּכָל־לְבָבְךָ וּבְכָל־נַפְשְׁךָ לְמַעַן חַיֶּיךָ׃</w:t>
      </w:r>
    </w:p>
    <w:p w14:paraId="236A9D2D" w14:textId="77777777" w:rsidR="008A57FB" w:rsidRDefault="008A57FB" w:rsidP="008A57FB">
      <w:pPr>
        <w:pStyle w:val="whitespace-normal"/>
      </w:pPr>
      <w:r>
        <w:rPr>
          <w:rStyle w:val="Fett"/>
          <w:rFonts w:eastAsiaTheme="majorEastAsia"/>
        </w:rPr>
        <w:t>Deutsch:</w:t>
      </w:r>
      <w:r>
        <w:t xml:space="preserve"> Und beschneiden wird der Ewige, dein Gott, dein Herz und das Herz deiner Nachkommen, zu lieben den Ewigen, deinen Gott, mit deinem ganzen Herzen und mit deiner ganzen Seele, um deines Lebens willen.</w:t>
      </w:r>
    </w:p>
    <w:p w14:paraId="4C1C8ADC" w14:textId="77777777" w:rsidR="008A57FB" w:rsidRDefault="004F5CEB" w:rsidP="008A57FB">
      <w:r>
        <w:rPr>
          <w:noProof/>
        </w:rPr>
        <w:pict w14:anchorId="786879E3">
          <v:rect id="_x0000_i1848" style="width:0;height:1.5pt" o:hralign="center" o:hrstd="t" o:hr="t" fillcolor="#a0a0a0" stroked="f"/>
        </w:pict>
      </w:r>
    </w:p>
    <w:p w14:paraId="7E07E6A5"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וּמָל יְהוָה אֱלֹהֶיךָ אֶת־לְבָבְךָ וְאֶת־לְבַב זַרְעֶךָ לְאַהֲבָה אֶת־יְהוָה אֱלֹהֶיךָ בְּכָל־לְבָבְךָ וּבְכָל־נַפְשְׁךָ לְמַעַן חַיֶּיךָ</w:t>
      </w:r>
      <w:r>
        <w:rPr>
          <w:rtl/>
        </w:rPr>
        <w:t xml:space="preserve"> </w:t>
      </w:r>
      <w:r>
        <w:t xml:space="preserve">ist eine der theologisch tiefgründigsten Aussagen: </w:t>
      </w:r>
      <w:r>
        <w:rPr>
          <w:rStyle w:val="Fett"/>
          <w:rFonts w:eastAsiaTheme="majorEastAsia"/>
          <w:rtl/>
        </w:rPr>
        <w:t>וּמָל יְהוָה אֱלֹהֶיךָ אֶת־לְבָבְךָ וְאֶת־לְבַב זַרְעֶךָ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מול</w:t>
      </w:r>
      <w:r>
        <w:t xml:space="preserve">, Qal Perfekt, 3. Person Maskulinum Singular, „beschneiden", </w:t>
      </w:r>
      <w:r>
        <w:rPr>
          <w:rStyle w:val="Fett"/>
          <w:rFonts w:eastAsiaTheme="majorEastAsia"/>
          <w:rtl/>
        </w:rPr>
        <w:t>יְהוָה אֱלֹהֶיךָ</w:t>
      </w:r>
      <w:r>
        <w:rPr>
          <w:rtl/>
        </w:rPr>
        <w:t xml:space="preserve"> </w:t>
      </w:r>
      <w:r>
        <w:t xml:space="preserve">als Subjekt, Objektpartikel </w:t>
      </w:r>
      <w:r>
        <w:rPr>
          <w:rStyle w:val="Fett"/>
          <w:rFonts w:eastAsiaTheme="majorEastAsia"/>
          <w:rtl/>
        </w:rPr>
        <w:t>אֵת</w:t>
      </w:r>
      <w:r>
        <w:rPr>
          <w:rtl/>
        </w:rPr>
        <w:t xml:space="preserve"> </w:t>
      </w:r>
      <w:r>
        <w:t xml:space="preserve">mit </w:t>
      </w:r>
      <w:r>
        <w:rPr>
          <w:rStyle w:val="Fett"/>
          <w:rFonts w:eastAsiaTheme="majorEastAsia"/>
          <w:rtl/>
        </w:rPr>
        <w:t>לֵבָב</w:t>
      </w:r>
      <w:r>
        <w:rPr>
          <w:rtl/>
        </w:rPr>
        <w:t xml:space="preserve"> </w:t>
      </w:r>
      <w:r>
        <w:t xml:space="preserve">mit Suffix, koordiniert durch </w:t>
      </w:r>
      <w:r>
        <w:rPr>
          <w:rStyle w:val="Fett"/>
          <w:rFonts w:eastAsiaTheme="majorEastAsia"/>
          <w:rtl/>
        </w:rPr>
        <w:t>וְ</w:t>
      </w:r>
      <w:r>
        <w:rPr>
          <w:rtl/>
        </w:rPr>
        <w:t xml:space="preserve"> </w:t>
      </w:r>
      <w:r>
        <w:t xml:space="preserve">mit Objektpartikel </w:t>
      </w:r>
      <w:r>
        <w:rPr>
          <w:rStyle w:val="Fett"/>
          <w:rFonts w:eastAsiaTheme="majorEastAsia"/>
          <w:rtl/>
        </w:rPr>
        <w:t>אֵת</w:t>
      </w:r>
      <w:r>
        <w:t xml:space="preserve">, </w:t>
      </w:r>
      <w:r>
        <w:rPr>
          <w:rStyle w:val="Fett"/>
          <w:rFonts w:eastAsiaTheme="majorEastAsia"/>
          <w:rtl/>
        </w:rPr>
        <w:t>לֵבָב זֶרַע</w:t>
      </w:r>
      <w:r>
        <w:rPr>
          <w:rtl/>
        </w:rPr>
        <w:t xml:space="preserve"> </w:t>
      </w:r>
      <w:r>
        <w:t xml:space="preserve">mit Suffix, mit </w:t>
      </w:r>
      <w:r>
        <w:rPr>
          <w:rStyle w:val="Fett"/>
          <w:rFonts w:eastAsiaTheme="majorEastAsia"/>
        </w:rPr>
        <w:t>Waw</w:t>
      </w:r>
      <w:r>
        <w:t xml:space="preserve"> consecutivum), </w:t>
      </w:r>
      <w:r>
        <w:rPr>
          <w:rStyle w:val="Fett"/>
          <w:rFonts w:eastAsiaTheme="majorEastAsia"/>
          <w:rtl/>
        </w:rPr>
        <w:t>לְאַהֲבָה אֶת־יְהוָה אֱלֹהֶיךָ בְּכָל־לְבָבְךָ וּבְכָל־נַפְשְׁךָ לְמַעַן חַיֶּיךָ</w:t>
      </w:r>
      <w:r>
        <w:rPr>
          <w:rtl/>
        </w:rPr>
        <w:t xml:space="preserve"> </w:t>
      </w:r>
      <w:r>
        <w:t xml:space="preserve">(Finalsatz: </w:t>
      </w:r>
      <w:r>
        <w:rPr>
          <w:rStyle w:val="Fett"/>
          <w:rFonts w:eastAsiaTheme="majorEastAsia"/>
          <w:rtl/>
        </w:rPr>
        <w:t>לְ</w:t>
      </w:r>
      <w:r>
        <w:rPr>
          <w:rtl/>
        </w:rPr>
        <w:t xml:space="preserve"> </w:t>
      </w:r>
      <w:r>
        <w:t xml:space="preserve">mit Qal Infinitiv Construct von </w:t>
      </w:r>
      <w:r>
        <w:rPr>
          <w:rStyle w:val="Fett"/>
          <w:rFonts w:eastAsiaTheme="majorEastAsia"/>
          <w:rtl/>
        </w:rPr>
        <w:t>אהב</w:t>
      </w:r>
      <w:r>
        <w:t xml:space="preserve">, Objektpartikel </w:t>
      </w:r>
      <w:r>
        <w:rPr>
          <w:rStyle w:val="Fett"/>
          <w:rFonts w:eastAsiaTheme="majorEastAsia"/>
          <w:rtl/>
        </w:rPr>
        <w:t>אֵת</w:t>
      </w:r>
      <w:r>
        <w:rPr>
          <w:rtl/>
        </w:rPr>
        <w:t xml:space="preserve"> </w:t>
      </w:r>
      <w:r>
        <w:t xml:space="preserve">mit </w:t>
      </w:r>
      <w:r>
        <w:rPr>
          <w:rStyle w:val="Fett"/>
          <w:rFonts w:eastAsiaTheme="majorEastAsia"/>
          <w:rtl/>
        </w:rPr>
        <w:t>יְהוָה אֱלֹהֶיךָ</w:t>
      </w:r>
      <w:r>
        <w:t xml:space="preserve">, </w:t>
      </w:r>
      <w:r>
        <w:rPr>
          <w:rStyle w:val="Fett"/>
          <w:rFonts w:eastAsiaTheme="majorEastAsia"/>
          <w:rtl/>
        </w:rPr>
        <w:t>בְּכָל־לְבָבְךָ וּבְכָל־נַפְשְׁךָ</w:t>
      </w:r>
      <w:r>
        <w:rPr>
          <w:rtl/>
        </w:rPr>
        <w:t xml:space="preserve"> </w:t>
      </w:r>
      <w:r>
        <w:t xml:space="preserve">wie üblich, weiterer Finalsatz: </w:t>
      </w:r>
      <w:r>
        <w:rPr>
          <w:rStyle w:val="Fett"/>
          <w:rFonts w:eastAsiaTheme="majorEastAsia"/>
          <w:rtl/>
        </w:rPr>
        <w:t>לְמַעַן חַיֶּיךָ</w:t>
      </w:r>
      <w:r>
        <w:rPr>
          <w:rtl/>
        </w:rPr>
        <w:t xml:space="preserve"> </w:t>
      </w:r>
      <w:r>
        <w:t xml:space="preserve">mit </w:t>
      </w:r>
      <w:r>
        <w:rPr>
          <w:rStyle w:val="Fett"/>
          <w:rFonts w:eastAsiaTheme="majorEastAsia"/>
          <w:rtl/>
        </w:rPr>
        <w:t>חַיִּים</w:t>
      </w:r>
      <w:r>
        <w:rPr>
          <w:rtl/>
        </w:rPr>
        <w:t xml:space="preserve"> </w:t>
      </w:r>
      <w:r>
        <w:t>Plural mit Suffix).</w:t>
      </w:r>
    </w:p>
    <w:p w14:paraId="10284826" w14:textId="2CADD69A" w:rsidR="008A57FB" w:rsidRDefault="008A57FB" w:rsidP="008A57FB">
      <w:pPr>
        <w:pStyle w:val="whitespace-normal"/>
      </w:pPr>
      <w:r>
        <w:t xml:space="preserve">Der Vers beschreibt die innere Transformation durch Gott selbst. Die Aussage: </w:t>
      </w:r>
      <w:r>
        <w:rPr>
          <w:rStyle w:val="Fett"/>
          <w:rFonts w:eastAsiaTheme="majorEastAsia"/>
          <w:rtl/>
        </w:rPr>
        <w:t>וּמָל יְהוָה אֱלֹהֶיךָ אֶת־לְבָבְךָ וְאֶת־לְבַב זַרְעֶךָ לְאַהֲבָה אֶת־יְהוָה אֱלֹהֶיךָ בְּכָל־לְבָבְךָ וּבְכָל־נַפְשְׁךָ לְמַעַן חַיֶּיךָ</w:t>
      </w:r>
      <w:r>
        <w:rPr>
          <w:rtl/>
        </w:rPr>
        <w:t xml:space="preserve"> </w:t>
      </w:r>
      <w:r>
        <w:t xml:space="preserve">(„und beschneiden wird </w:t>
      </w:r>
      <w:r w:rsidR="00B77E5E">
        <w:t>JHWH</w:t>
      </w:r>
      <w:r>
        <w:t xml:space="preserve">, dein Gott, dein Herz und das Herz deiner Nachkommen, zu lieben </w:t>
      </w:r>
      <w:r w:rsidR="00281FDB">
        <w:t>JHWH</w:t>
      </w:r>
      <w:r>
        <w:t>, deinen Gott, mit deinem ganzen Herzen und mit deiner ganzen Seele, um deines Lebens willen").</w:t>
      </w:r>
      <w:r w:rsidR="0016376A">
        <w:t xml:space="preserve"> Eine der seltenen Stellen ist, wo Gott selbst als Subjekt der Beschneidung erscheint.</w:t>
      </w:r>
      <w:r>
        <w:t xml:space="preserve"> Die Metapher </w:t>
      </w:r>
      <w:r>
        <w:rPr>
          <w:rStyle w:val="Fett"/>
          <w:rFonts w:eastAsiaTheme="majorEastAsia"/>
          <w:rtl/>
        </w:rPr>
        <w:t>מול אֶת־לֵבָב</w:t>
      </w:r>
      <w:r>
        <w:rPr>
          <w:rtl/>
        </w:rPr>
        <w:t xml:space="preserve"> </w:t>
      </w:r>
      <w:r>
        <w:t xml:space="preserve">(„das Herz beschneiden") ist revolutionär – während Israel aufgefordert wurde, selbst das Herz zu beschneiden (10,16; Jer 4,4), verspricht Gott hier, selbst diese innere Transformation vorzunehmen. Die Beschneidung des Herzens bedeutet: Entfernung der Verstocktheit, Öffnung für Gott (vgl. Jer 31,31-34; </w:t>
      </w:r>
      <w:r w:rsidR="00BF3748">
        <w:t>Hes</w:t>
      </w:r>
      <w:r>
        <w:t xml:space="preserve"> 11,19-20; 36,26-27). Der doppelte Zweck: (1) </w:t>
      </w:r>
      <w:r>
        <w:rPr>
          <w:rStyle w:val="Fett"/>
          <w:rFonts w:eastAsiaTheme="majorEastAsia"/>
          <w:rtl/>
        </w:rPr>
        <w:t>לְאַהֲבָה אֶת־יְהוָה אֱלֹהֶיךָ בְּכָל־לְבָבְךָ וּבְכָל־נַפְשְׁךָ</w:t>
      </w:r>
      <w:r>
        <w:rPr>
          <w:rtl/>
        </w:rPr>
        <w:t xml:space="preserve"> </w:t>
      </w:r>
      <w:r>
        <w:t xml:space="preserve">(„zu lieben </w:t>
      </w:r>
      <w:r w:rsidR="00281FDB">
        <w:t>JHWH</w:t>
      </w:r>
      <w:r>
        <w:t xml:space="preserve">, deinen Gott, mit deinem ganzen Herzen und mit deiner ganzen Seele") – totale Gottesliebe wird möglich. (2) </w:t>
      </w:r>
      <w:r>
        <w:rPr>
          <w:rStyle w:val="Fett"/>
          <w:rFonts w:eastAsiaTheme="majorEastAsia"/>
          <w:rtl/>
        </w:rPr>
        <w:t>לְמַעַן חַיֶּיךָ</w:t>
      </w:r>
      <w:r>
        <w:rPr>
          <w:rtl/>
        </w:rPr>
        <w:t xml:space="preserve"> </w:t>
      </w:r>
      <w:r>
        <w:t>(„um deines Lebens willen") – das wahre Leben. Dies ist die höchste Verheißung der Gnade – Gott selbst wirkt die Umkehr und befähigt zur Liebe.</w:t>
      </w:r>
    </w:p>
    <w:p w14:paraId="570F3E86" w14:textId="10609AF4" w:rsidR="008E2218" w:rsidRDefault="008E2218" w:rsidP="008A57FB">
      <w:pPr>
        <w:pStyle w:val="whitespace-normal"/>
      </w:pPr>
      <w:r>
        <w:rPr>
          <w:rStyle w:val="Fett"/>
        </w:rPr>
        <w:t>Die LXX</w:t>
      </w:r>
      <w:r>
        <w:t xml:space="preserve"> übersetzt </w:t>
      </w:r>
      <w:r>
        <w:rPr>
          <w:rtl/>
        </w:rPr>
        <w:t>וּמָל יְהוָה אֱלֹהֶיךָ אֶת־לְבָבְךָ</w:t>
      </w:r>
      <w:r>
        <w:t xml:space="preserve"> (und der HERR, dein Gott, wird dein Herz beschneiden) mit καὶ π</w:t>
      </w:r>
      <w:proofErr w:type="spellStart"/>
      <w:r>
        <w:t>ερικ</w:t>
      </w:r>
      <w:proofErr w:type="spellEnd"/>
      <w:r>
        <w:t xml:space="preserve">αθαριεῖ </w:t>
      </w:r>
      <w:proofErr w:type="spellStart"/>
      <w:r>
        <w:t>κύριος</w:t>
      </w:r>
      <w:proofErr w:type="spellEnd"/>
      <w:r>
        <w:t xml:space="preserve"> τὴν κα</w:t>
      </w:r>
      <w:proofErr w:type="spellStart"/>
      <w:r>
        <w:t>ρδί</w:t>
      </w:r>
      <w:proofErr w:type="spellEnd"/>
      <w:r>
        <w:t xml:space="preserve">αν </w:t>
      </w:r>
      <w:proofErr w:type="spellStart"/>
      <w:r>
        <w:t>σου</w:t>
      </w:r>
      <w:proofErr w:type="spellEnd"/>
      <w:r>
        <w:t xml:space="preserve"> (und der Herr wird dein Herz ringsum reinigen) – wobei π</w:t>
      </w:r>
      <w:proofErr w:type="spellStart"/>
      <w:r>
        <w:t>ερικ</w:t>
      </w:r>
      <w:proofErr w:type="spellEnd"/>
      <w:r>
        <w:t>αθαρίζω "ringsum reinigen, säubern" bedeutet. Die LXX vermeidet das konkrete Bild der Beschneidung und verwendet stattdessen eine metaphorische Reinigungsterminologie.</w:t>
      </w:r>
    </w:p>
    <w:p w14:paraId="7464852F" w14:textId="55979E74" w:rsidR="008A57FB" w:rsidRDefault="008A57FB" w:rsidP="008A57FB">
      <w:pPr>
        <w:pStyle w:val="whitespace-normal"/>
      </w:pPr>
      <w:r>
        <w:rPr>
          <w:rStyle w:val="Fett"/>
          <w:rFonts w:eastAsiaTheme="majorEastAsia"/>
        </w:rPr>
        <w:t>Die Satzstruktur:</w:t>
      </w:r>
      <w:r>
        <w:t xml:space="preserve"> Aussage mit doppeltem Finalsatz (und beschneiden wird </w:t>
      </w:r>
      <w:r w:rsidR="00B77E5E">
        <w:t>JHWH</w:t>
      </w:r>
      <w:r>
        <w:t xml:space="preserve">, dein Gott, dein Herz und das Herz deiner Nachkommen, zu lieben </w:t>
      </w:r>
      <w:r w:rsidR="00281FDB">
        <w:t>JHWH</w:t>
      </w:r>
      <w:r>
        <w:t>, deinen Gott, mit deinem ganzen Herzen und mit deiner ganzen Seele, um deines Lebens willen).</w:t>
      </w:r>
    </w:p>
    <w:p w14:paraId="4018F65D" w14:textId="03BE3BD2" w:rsidR="008A57FB" w:rsidRDefault="008A57FB" w:rsidP="00B77CC6">
      <w:pPr>
        <w:pStyle w:val="whitespace-normal"/>
      </w:pPr>
      <w:r>
        <w:rPr>
          <w:rStyle w:val="Fett"/>
          <w:rFonts w:eastAsiaTheme="majorEastAsia"/>
        </w:rPr>
        <w:t>Der Vers beschreibt:</w:t>
      </w:r>
      <w:r>
        <w:t xml:space="preserve"> Innere Transformation durch Gott – er beschneidet das Herz, um totale Gottesliebe zu ermöglichen.</w:t>
      </w:r>
    </w:p>
    <w:p w14:paraId="18B027DA" w14:textId="77777777" w:rsidR="008A57FB" w:rsidRPr="008D48A3" w:rsidRDefault="008A57FB" w:rsidP="008D48A3">
      <w:pPr>
        <w:pStyle w:val="Bibelberschrift"/>
      </w:pPr>
      <w:r w:rsidRPr="008D48A3">
        <w:rPr>
          <w:rStyle w:val="Fett"/>
          <w:b/>
          <w:bCs w:val="0"/>
        </w:rPr>
        <w:lastRenderedPageBreak/>
        <w:t>Deuteronomium 30,7</w:t>
      </w:r>
    </w:p>
    <w:p w14:paraId="38F59669" w14:textId="77777777" w:rsidR="008A57FB" w:rsidRDefault="008A57FB" w:rsidP="008A57FB">
      <w:pPr>
        <w:pStyle w:val="whitespace-normal"/>
      </w:pPr>
      <w:r>
        <w:rPr>
          <w:rStyle w:val="Fett"/>
          <w:rFonts w:eastAsiaTheme="majorEastAsia"/>
        </w:rPr>
        <w:t>Hebräisch:</w:t>
      </w:r>
      <w:r>
        <w:t xml:space="preserve"> </w:t>
      </w:r>
      <w:r>
        <w:rPr>
          <w:rtl/>
        </w:rPr>
        <w:t>וְנָתַן יְהוָה אֱלֹהֶיךָ אֵת כָּל־הָאָלוֹת הָאֵלֶּה עַל־אֹיְבֶיךָ וְעַל־שֹׂנְאֶיךָ אֲשֶׁר רְדָפוּךָ׃</w:t>
      </w:r>
    </w:p>
    <w:p w14:paraId="4098072C" w14:textId="77777777" w:rsidR="008A57FB" w:rsidRDefault="008A57FB" w:rsidP="008A57FB">
      <w:pPr>
        <w:pStyle w:val="whitespace-normal"/>
      </w:pPr>
      <w:r>
        <w:rPr>
          <w:rStyle w:val="Fett"/>
          <w:rFonts w:eastAsiaTheme="majorEastAsia"/>
        </w:rPr>
        <w:t>Deutsch:</w:t>
      </w:r>
      <w:r>
        <w:t xml:space="preserve"> Und legen wird der Ewige, dein Gott, alle diese Flüche auf deine Feinde und auf deine Hasser, die dich verfolgt haben.</w:t>
      </w:r>
    </w:p>
    <w:p w14:paraId="2357F256" w14:textId="77777777" w:rsidR="008A57FB" w:rsidRDefault="004F5CEB" w:rsidP="008A57FB">
      <w:r>
        <w:rPr>
          <w:noProof/>
        </w:rPr>
        <w:pict w14:anchorId="65CAA27D">
          <v:rect id="_x0000_i1849" style="width:0;height:1.5pt" o:hralign="center" o:hrstd="t" o:hr="t" fillcolor="#a0a0a0" stroked="f"/>
        </w:pict>
      </w:r>
    </w:p>
    <w:p w14:paraId="7FF88E6D"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וְנָתַן יְהוָה אֱלֹהֶיךָ אֵת כָּל־הָאָלוֹת הָאֵלֶּה עַל־אֹיְבֶיךָ וְעַל־שֹׂנְאֶיךָ אֲשֶׁר רְדָפוּךָ</w:t>
      </w:r>
      <w:r>
        <w:rPr>
          <w:rtl/>
        </w:rPr>
        <w:t xml:space="preserve"> </w:t>
      </w:r>
      <w:r>
        <w:t xml:space="preserve">ist eine Aussage: </w:t>
      </w:r>
      <w:r>
        <w:rPr>
          <w:rStyle w:val="Fett"/>
          <w:rFonts w:eastAsiaTheme="majorEastAsia"/>
          <w:rtl/>
        </w:rPr>
        <w:t>וְנָתַן יְהוָה אֱלֹהֶיךָ אֵת כָּל־הָאָלוֹת הָאֵלֶּה עַל־אֹיְבֶיךָ וְעַל־שֹׂנְאֶיךָ אֲשֶׁר רְדָפוּךָ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נתן</w:t>
      </w:r>
      <w:r>
        <w:t xml:space="preserve">, Qal Perfekt, 3. Person Maskulinum Singular, </w:t>
      </w:r>
      <w:r>
        <w:rPr>
          <w:rStyle w:val="Fett"/>
          <w:rFonts w:eastAsiaTheme="majorEastAsia"/>
          <w:rtl/>
        </w:rPr>
        <w:t>יְהוָה אֱלֹהֶיךָ</w:t>
      </w:r>
      <w:r>
        <w:rPr>
          <w:rtl/>
        </w:rPr>
        <w:t xml:space="preserve"> </w:t>
      </w:r>
      <w:r>
        <w:t xml:space="preserve">als Subjekt, Objektpartikel </w:t>
      </w:r>
      <w:r>
        <w:rPr>
          <w:rStyle w:val="Fett"/>
          <w:rFonts w:eastAsiaTheme="majorEastAsia"/>
          <w:rtl/>
        </w:rPr>
        <w:t>אֵת</w:t>
      </w:r>
      <w:r>
        <w:rPr>
          <w:rtl/>
        </w:rPr>
        <w:t xml:space="preserve"> </w:t>
      </w:r>
      <w:r>
        <w:t xml:space="preserve">mit </w:t>
      </w:r>
      <w:r>
        <w:rPr>
          <w:rStyle w:val="Fett"/>
          <w:rFonts w:eastAsiaTheme="majorEastAsia"/>
          <w:rtl/>
        </w:rPr>
        <w:t>כָּל־אָלָה</w:t>
      </w:r>
      <w:r>
        <w:t xml:space="preserve">, „Fluch", Plural mit Artikel, </w:t>
      </w:r>
      <w:r>
        <w:rPr>
          <w:rStyle w:val="Fett"/>
          <w:rFonts w:eastAsiaTheme="majorEastAsia"/>
          <w:rtl/>
        </w:rPr>
        <w:t>אֵלֶּה</w:t>
      </w:r>
      <w:r>
        <w:t xml:space="preserve">, zwei Präpositionen </w:t>
      </w:r>
      <w:r>
        <w:rPr>
          <w:rStyle w:val="Fett"/>
          <w:rFonts w:eastAsiaTheme="majorEastAsia"/>
          <w:rtl/>
        </w:rPr>
        <w:t>עַל</w:t>
      </w:r>
      <w:r>
        <w:t xml:space="preserve">: </w:t>
      </w:r>
      <w:r>
        <w:rPr>
          <w:rStyle w:val="Fett"/>
          <w:rFonts w:eastAsiaTheme="majorEastAsia"/>
          <w:rtl/>
        </w:rPr>
        <w:t>אֹיֵב</w:t>
      </w:r>
      <w:r>
        <w:t xml:space="preserve">, „Feind", Plural mit Suffix, koordiniert mit </w:t>
      </w:r>
      <w:r>
        <w:rPr>
          <w:rStyle w:val="Fett"/>
          <w:rFonts w:eastAsiaTheme="majorEastAsia"/>
          <w:rtl/>
        </w:rPr>
        <w:t>שֹׂנֵא</w:t>
      </w:r>
      <w:r>
        <w:t xml:space="preserve">, Qal Partizip, „Hasser", Plural mit Suffix, Relativsatz: </w:t>
      </w:r>
      <w:r>
        <w:rPr>
          <w:rStyle w:val="Fett"/>
          <w:rFonts w:eastAsiaTheme="majorEastAsia"/>
          <w:rtl/>
        </w:rPr>
        <w:t>אֲשֶׁר רְדָפוּךָ</w:t>
      </w:r>
      <w:r>
        <w:rPr>
          <w:rtl/>
        </w:rPr>
        <w:t xml:space="preserve"> </w:t>
      </w:r>
      <w:r>
        <w:t xml:space="preserve">mit </w:t>
      </w:r>
      <w:r>
        <w:rPr>
          <w:rStyle w:val="Fett"/>
          <w:rFonts w:eastAsiaTheme="majorEastAsia"/>
          <w:rtl/>
        </w:rPr>
        <w:t>רדף</w:t>
      </w:r>
      <w:r>
        <w:t xml:space="preserve">, Qal Perfekt, 3. Person Plural, „verfolgen", mit Suffix 2. Person Maskulinum Singular, mit </w:t>
      </w:r>
      <w:r>
        <w:rPr>
          <w:rStyle w:val="Fett"/>
          <w:rFonts w:eastAsiaTheme="majorEastAsia"/>
        </w:rPr>
        <w:t>Waw</w:t>
      </w:r>
      <w:r>
        <w:t xml:space="preserve"> consecutivum).</w:t>
      </w:r>
    </w:p>
    <w:p w14:paraId="7D7CECD8" w14:textId="77EBA87D" w:rsidR="008A57FB" w:rsidRDefault="008A57FB" w:rsidP="008A57FB">
      <w:pPr>
        <w:pStyle w:val="whitespace-normal"/>
      </w:pPr>
      <w:r>
        <w:t xml:space="preserve">Der Vers beschreibt die Umkehr der Flüche. Die Aussage: </w:t>
      </w:r>
      <w:r>
        <w:rPr>
          <w:rStyle w:val="Fett"/>
          <w:rFonts w:eastAsiaTheme="majorEastAsia"/>
          <w:rtl/>
        </w:rPr>
        <w:t>וְנָתַן יְהוָה אֱלֹהֶיךָ אֵת כָּל־הָאָלוֹת הָאֵלֶּה עַל־אֹיְבֶיךָ וְעַל־שֹׂנְאֶיךָ אֲשֶׁר רְדָפוּךָ</w:t>
      </w:r>
      <w:r>
        <w:rPr>
          <w:rtl/>
        </w:rPr>
        <w:t xml:space="preserve"> </w:t>
      </w:r>
      <w:r>
        <w:t xml:space="preserve">(„und legen wird </w:t>
      </w:r>
      <w:r w:rsidR="00B77E5E">
        <w:t>JHWH</w:t>
      </w:r>
      <w:r>
        <w:t xml:space="preserve">, dein Gott, alle diese Flüche auf deine Feinde und auf deine Hasser, die dich verfolgt haben"). Die Formulierung </w:t>
      </w:r>
      <w:r>
        <w:rPr>
          <w:rStyle w:val="Fett"/>
          <w:rFonts w:eastAsiaTheme="majorEastAsia"/>
          <w:rtl/>
        </w:rPr>
        <w:t>כָּל־הָאָלוֹת הָאֵלֶּה</w:t>
      </w:r>
      <w:r>
        <w:rPr>
          <w:rtl/>
        </w:rPr>
        <w:t xml:space="preserve"> </w:t>
      </w:r>
      <w:r>
        <w:t xml:space="preserve">(„alle diese Flüche") bezieht sich auf die Flüche aus Kapitel 28-29, die über Israel gekommen waren. Diese werden nun auf Israels Feinde übertragen (vgl. 28,7.25; Jes 51,22-23; Jer 30,16; 51,24.35.49; Joel 4,2-8.19; Obadja 15-16; Sach 1,15; 2,12-13). Die beiden Begriffe </w:t>
      </w:r>
      <w:r>
        <w:rPr>
          <w:rStyle w:val="Fett"/>
          <w:rFonts w:eastAsiaTheme="majorEastAsia"/>
          <w:rtl/>
        </w:rPr>
        <w:t>אֹיְבֶיךָ</w:t>
      </w:r>
      <w:r>
        <w:rPr>
          <w:rtl/>
        </w:rPr>
        <w:t xml:space="preserve"> </w:t>
      </w:r>
      <w:r>
        <w:t xml:space="preserve">(„deine Feinde") und </w:t>
      </w:r>
      <w:r>
        <w:rPr>
          <w:rStyle w:val="Fett"/>
          <w:rFonts w:eastAsiaTheme="majorEastAsia"/>
          <w:rtl/>
        </w:rPr>
        <w:t>שֹׂנְאֶיךָ</w:t>
      </w:r>
      <w:r>
        <w:rPr>
          <w:rtl/>
        </w:rPr>
        <w:t xml:space="preserve"> </w:t>
      </w:r>
      <w:r>
        <w:t xml:space="preserve">(„deine Hasser") sind synonyme Parallelausdrücke. Die Präzisierung </w:t>
      </w:r>
      <w:r>
        <w:rPr>
          <w:rStyle w:val="Fett"/>
          <w:rFonts w:eastAsiaTheme="majorEastAsia"/>
          <w:rtl/>
        </w:rPr>
        <w:t>אֲשֶׁר רְדָפוּךָ</w:t>
      </w:r>
      <w:r>
        <w:rPr>
          <w:rtl/>
        </w:rPr>
        <w:t xml:space="preserve"> </w:t>
      </w:r>
      <w:r>
        <w:t>(„die dich verfolgt haben") identifiziert: die Völker, die Israel ins Exil trieben und verfolgten.</w:t>
      </w:r>
    </w:p>
    <w:p w14:paraId="3C972769" w14:textId="279BA2DA" w:rsidR="008A57FB" w:rsidRDefault="008A57FB" w:rsidP="008A57FB">
      <w:pPr>
        <w:pStyle w:val="whitespace-normal"/>
      </w:pPr>
      <w:r>
        <w:rPr>
          <w:rStyle w:val="Fett"/>
          <w:rFonts w:eastAsiaTheme="majorEastAsia"/>
        </w:rPr>
        <w:t>Die Satzstruktur:</w:t>
      </w:r>
      <w:r>
        <w:t xml:space="preserve"> Aussage (und legen wird </w:t>
      </w:r>
      <w:r w:rsidR="00B77E5E">
        <w:t>JHWH</w:t>
      </w:r>
      <w:r>
        <w:t>, dein Gott, alle diese Flüche auf deine Feinde und auf deine Hasser, die dich verfolgt haben).</w:t>
      </w:r>
    </w:p>
    <w:p w14:paraId="7442AB34" w14:textId="717FEBFB" w:rsidR="008A57FB" w:rsidRDefault="008A57FB" w:rsidP="00B77CC6">
      <w:pPr>
        <w:pStyle w:val="whitespace-normal"/>
      </w:pPr>
      <w:r>
        <w:rPr>
          <w:rStyle w:val="Fett"/>
          <w:rFonts w:eastAsiaTheme="majorEastAsia"/>
        </w:rPr>
        <w:t>Der Vers beschreibt:</w:t>
      </w:r>
      <w:r>
        <w:t xml:space="preserve"> Umkehr der Flüche – die Flüche aus Kapitel 28-29 treffen nun Israels Feinde.</w:t>
      </w:r>
    </w:p>
    <w:p w14:paraId="3CAECD52" w14:textId="77777777" w:rsidR="008A57FB" w:rsidRPr="008D48A3" w:rsidRDefault="008A57FB" w:rsidP="008D48A3">
      <w:pPr>
        <w:pStyle w:val="Bibelberschrift"/>
      </w:pPr>
      <w:r w:rsidRPr="008D48A3">
        <w:rPr>
          <w:rStyle w:val="Fett"/>
          <w:b/>
          <w:bCs w:val="0"/>
        </w:rPr>
        <w:t>Deuteronomium 30,8</w:t>
      </w:r>
    </w:p>
    <w:p w14:paraId="19079E21" w14:textId="77777777" w:rsidR="008A57FB" w:rsidRDefault="008A57FB" w:rsidP="008A57FB">
      <w:pPr>
        <w:pStyle w:val="whitespace-normal"/>
      </w:pPr>
      <w:r>
        <w:rPr>
          <w:rStyle w:val="Fett"/>
          <w:rFonts w:eastAsiaTheme="majorEastAsia"/>
        </w:rPr>
        <w:t>Hebräisch:</w:t>
      </w:r>
      <w:r>
        <w:t xml:space="preserve"> </w:t>
      </w:r>
      <w:r>
        <w:rPr>
          <w:rtl/>
        </w:rPr>
        <w:t>וְאַתָּה תָשׁוּב וְשָׁמַעְתָּ בְּקוֹל יְהוָה וְעָשִׂיתָ אֶת־כָּל־מִצְוֹתָיו אֲשֶׁר אָנֹכִי מְצַוְּךָ הַיּוֹם׃</w:t>
      </w:r>
    </w:p>
    <w:p w14:paraId="544A1B93" w14:textId="77777777" w:rsidR="008A57FB" w:rsidRDefault="008A57FB" w:rsidP="008A57FB">
      <w:pPr>
        <w:pStyle w:val="whitespace-normal"/>
      </w:pPr>
      <w:r>
        <w:rPr>
          <w:rStyle w:val="Fett"/>
          <w:rFonts w:eastAsiaTheme="majorEastAsia"/>
        </w:rPr>
        <w:t>Deutsch:</w:t>
      </w:r>
      <w:r>
        <w:t xml:space="preserve"> Und du, du wirst umkehren und gehorchen der Stimme des Ewigen und tun alle seine Gebote, die ich dir heute gebiete.</w:t>
      </w:r>
    </w:p>
    <w:p w14:paraId="3A10AA19" w14:textId="77777777" w:rsidR="008A57FB" w:rsidRDefault="004F5CEB" w:rsidP="008A57FB">
      <w:r>
        <w:rPr>
          <w:noProof/>
        </w:rPr>
        <w:pict w14:anchorId="0AB6CC89">
          <v:rect id="_x0000_i1850" style="width:0;height:1.5pt" o:hralign="center" o:hrstd="t" o:hr="t" fillcolor="#a0a0a0" stroked="f"/>
        </w:pict>
      </w:r>
    </w:p>
    <w:p w14:paraId="2C5A56CD"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וְאַתָּה תָשׁוּב וְשָׁמַעְתָּ בְּקוֹל יְהוָה וְעָשִׂיתָ אֶת־כָּל־מִצְוֹתָיו אֲשֶׁר אָנֹכִי מְצַוְּךָ הַיּוֹם</w:t>
      </w:r>
      <w:r>
        <w:rPr>
          <w:rtl/>
        </w:rPr>
        <w:t xml:space="preserve"> </w:t>
      </w:r>
      <w:r>
        <w:t xml:space="preserve">sind drei Aussagen: </w:t>
      </w:r>
      <w:r>
        <w:rPr>
          <w:rStyle w:val="Fett"/>
          <w:rFonts w:eastAsiaTheme="majorEastAsia"/>
          <w:rtl/>
        </w:rPr>
        <w:t>וְאַתָּה תָשׁוּב</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אַתָּה</w:t>
      </w:r>
      <w:r>
        <w:t xml:space="preserve">, </w:t>
      </w:r>
      <w:r>
        <w:rPr>
          <w:rStyle w:val="Fett"/>
          <w:rFonts w:eastAsiaTheme="majorEastAsia"/>
          <w:rtl/>
        </w:rPr>
        <w:t>שׁוב</w:t>
      </w:r>
      <w:r>
        <w:t xml:space="preserve">, Qal Imperfekt, 2. Person Maskulinum Singular), </w:t>
      </w:r>
      <w:r>
        <w:rPr>
          <w:rStyle w:val="Fett"/>
          <w:rFonts w:eastAsiaTheme="majorEastAsia"/>
          <w:rtl/>
        </w:rPr>
        <w:t>וְשָׁמַעְתָּ בְּקוֹל יְהוָה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שׁמע</w:t>
      </w:r>
      <w:r>
        <w:t xml:space="preserve">, Qal Perfekt, 2. Person Maskulinum Singular, </w:t>
      </w:r>
      <w:r>
        <w:rPr>
          <w:rStyle w:val="Fett"/>
          <w:rFonts w:eastAsiaTheme="majorEastAsia"/>
          <w:rtl/>
        </w:rPr>
        <w:t>בְּקוֹל יְהוָה</w:t>
      </w:r>
      <w:r>
        <w:t xml:space="preserve">, mit </w:t>
      </w:r>
      <w:r>
        <w:rPr>
          <w:rStyle w:val="Fett"/>
          <w:rFonts w:eastAsiaTheme="majorEastAsia"/>
        </w:rPr>
        <w:t>Waw</w:t>
      </w:r>
      <w:r>
        <w:t xml:space="preserve"> consecutivum), </w:t>
      </w:r>
      <w:r>
        <w:rPr>
          <w:rStyle w:val="Fett"/>
          <w:rFonts w:eastAsiaTheme="majorEastAsia"/>
          <w:rtl/>
        </w:rPr>
        <w:t>וְעָשִׂיתָ אֶת־כָּל־מִצְוֹתָיו אֲשֶׁר אָנֹכִי מְצַוְּךָ הַיּוֹם</w:t>
      </w:r>
      <w:r>
        <w:rPr>
          <w:rtl/>
        </w:rPr>
        <w:t xml:space="preserve"> </w:t>
      </w:r>
      <w:r>
        <w:lastRenderedPageBreak/>
        <w:t xml:space="preserve">(koordiniert durch </w:t>
      </w:r>
      <w:r>
        <w:rPr>
          <w:rStyle w:val="Fett"/>
          <w:rFonts w:eastAsiaTheme="majorEastAsia"/>
          <w:rtl/>
        </w:rPr>
        <w:t>וְ</w:t>
      </w:r>
      <w:r>
        <w:rPr>
          <w:rtl/>
        </w:rPr>
        <w:t xml:space="preserve"> </w:t>
      </w:r>
      <w:r>
        <w:t xml:space="preserve">mit </w:t>
      </w:r>
      <w:r>
        <w:rPr>
          <w:rStyle w:val="Fett"/>
          <w:rFonts w:eastAsiaTheme="majorEastAsia"/>
          <w:rtl/>
        </w:rPr>
        <w:t>עשׂה</w:t>
      </w:r>
      <w:r>
        <w:t xml:space="preserve">, Qal Perfekt, 2. Person Maskulinum Singular, Objektpartikel </w:t>
      </w:r>
      <w:r>
        <w:rPr>
          <w:rStyle w:val="Fett"/>
          <w:rFonts w:eastAsiaTheme="majorEastAsia"/>
          <w:rtl/>
        </w:rPr>
        <w:t>אֵת</w:t>
      </w:r>
      <w:r>
        <w:rPr>
          <w:rtl/>
        </w:rPr>
        <w:t xml:space="preserve"> </w:t>
      </w:r>
      <w:r>
        <w:t xml:space="preserve">mit </w:t>
      </w:r>
      <w:r>
        <w:rPr>
          <w:rStyle w:val="Fett"/>
          <w:rFonts w:eastAsiaTheme="majorEastAsia"/>
          <w:rtl/>
        </w:rPr>
        <w:t>כָּל־מִצְוָה</w:t>
      </w:r>
      <w:r>
        <w:t xml:space="preserve">, „Gebot", Plural mit Suffix 3. Person Maskulinum Singular, Relativsatz wie üblich, mit </w:t>
      </w:r>
      <w:r>
        <w:rPr>
          <w:rStyle w:val="Fett"/>
          <w:rFonts w:eastAsiaTheme="majorEastAsia"/>
        </w:rPr>
        <w:t>Waw</w:t>
      </w:r>
      <w:r>
        <w:t xml:space="preserve"> consecutivum).</w:t>
      </w:r>
    </w:p>
    <w:p w14:paraId="20C0C885" w14:textId="53D088C1" w:rsidR="008A57FB" w:rsidRDefault="008A57FB" w:rsidP="008A57FB">
      <w:pPr>
        <w:pStyle w:val="whitespace-normal"/>
      </w:pPr>
      <w:r>
        <w:t xml:space="preserve">Der Vers wiederholt und bekräftigt die Umkehr Israels nach der göttlichen Wiederherstellung. Die drei Aussagen: </w:t>
      </w:r>
      <w:r>
        <w:rPr>
          <w:rStyle w:val="Fett"/>
          <w:rFonts w:eastAsiaTheme="majorEastAsia"/>
          <w:rtl/>
        </w:rPr>
        <w:t>וְאַתָּה תָשׁוּב וְשָׁמַעְתָּ בְּקוֹל יְהוָה וְעָשִׂיתָ אֶת־כָּל־מִצְוֹתָיו אֲשֶׁר אָנֹכִי מְצַוְּךָ הַיּוֹם</w:t>
      </w:r>
      <w:r>
        <w:rPr>
          <w:rtl/>
        </w:rPr>
        <w:t xml:space="preserve"> </w:t>
      </w:r>
      <w:r>
        <w:t xml:space="preserve">(„und du, du wirst umkehren und gehorchen der Stimme </w:t>
      </w:r>
      <w:r w:rsidR="00DF3D1A">
        <w:t>JHWHs</w:t>
      </w:r>
      <w:r>
        <w:t xml:space="preserve"> und tun alle seine Gebote, die ich dir heute gebiete"). Die Betonung </w:t>
      </w:r>
      <w:r>
        <w:rPr>
          <w:rStyle w:val="Fett"/>
          <w:rFonts w:eastAsiaTheme="majorEastAsia"/>
          <w:rtl/>
        </w:rPr>
        <w:t>וְאַתָּה</w:t>
      </w:r>
      <w:r>
        <w:rPr>
          <w:rtl/>
        </w:rPr>
        <w:t xml:space="preserve"> </w:t>
      </w:r>
      <w:r>
        <w:t xml:space="preserve">(„und du") nach den Aussagen über Gottes Handeln in V. 3-7 betont: Israels eigene Verantwortung bleibt. Die drei Verben: (1) </w:t>
      </w:r>
      <w:r>
        <w:rPr>
          <w:rStyle w:val="Fett"/>
          <w:rFonts w:eastAsiaTheme="majorEastAsia"/>
          <w:rtl/>
        </w:rPr>
        <w:t>תָשׁוּב</w:t>
      </w:r>
      <w:r>
        <w:rPr>
          <w:rtl/>
        </w:rPr>
        <w:t xml:space="preserve"> </w:t>
      </w:r>
      <w:r>
        <w:t xml:space="preserve">(„du wirst umkehren") – Wiederholung von V. 2, bekräftigt die Umkehr. (2) </w:t>
      </w:r>
      <w:r>
        <w:rPr>
          <w:rStyle w:val="Fett"/>
          <w:rFonts w:eastAsiaTheme="majorEastAsia"/>
          <w:rtl/>
        </w:rPr>
        <w:t>שָׁמַעְתָּ בְּקוֹל יְהוָה</w:t>
      </w:r>
      <w:r>
        <w:rPr>
          <w:rtl/>
        </w:rPr>
        <w:t xml:space="preserve"> </w:t>
      </w:r>
      <w:r>
        <w:t xml:space="preserve">(„du wirst gehorchen der Stimme </w:t>
      </w:r>
      <w:r w:rsidR="00DF3D1A">
        <w:t xml:space="preserve">JHWHs </w:t>
      </w:r>
      <w:r>
        <w:t xml:space="preserve">") – Gehorsam. (3) </w:t>
      </w:r>
      <w:r>
        <w:rPr>
          <w:rStyle w:val="Fett"/>
          <w:rFonts w:eastAsiaTheme="majorEastAsia"/>
          <w:rtl/>
        </w:rPr>
        <w:t>עָשִׂיתָ אֶת־כָּל־מִצְוֹתָיו</w:t>
      </w:r>
      <w:r>
        <w:rPr>
          <w:rtl/>
        </w:rPr>
        <w:t xml:space="preserve"> </w:t>
      </w:r>
      <w:r>
        <w:t>(„du wirst tun alle seine Gebote") – konkrete Tat. Die Formulierung ähnelt V. 2, aber hier als Folge der göttlichen Herzenstransformation aus V. 6.</w:t>
      </w:r>
    </w:p>
    <w:p w14:paraId="1ED96C30" w14:textId="6B4DF250" w:rsidR="008A57FB" w:rsidRDefault="008A57FB" w:rsidP="008A57FB">
      <w:pPr>
        <w:pStyle w:val="whitespace-normal"/>
      </w:pPr>
      <w:r>
        <w:rPr>
          <w:rStyle w:val="Fett"/>
          <w:rFonts w:eastAsiaTheme="majorEastAsia"/>
        </w:rPr>
        <w:t>Die Satzstruktur:</w:t>
      </w:r>
      <w:r>
        <w:t xml:space="preserve"> Drei Aussagen (und du, du wirst umkehren und gehorchen der Stimme </w:t>
      </w:r>
      <w:r w:rsidR="00DF3D1A">
        <w:t>JHWHs</w:t>
      </w:r>
      <w:r>
        <w:t xml:space="preserve"> und tun alle seine Gebote, die ich dir heute gebiete).</w:t>
      </w:r>
    </w:p>
    <w:p w14:paraId="379F3813" w14:textId="6295D577" w:rsidR="008A57FB" w:rsidRDefault="008A57FB" w:rsidP="00B77CC6">
      <w:pPr>
        <w:pStyle w:val="whitespace-normal"/>
      </w:pPr>
      <w:r>
        <w:rPr>
          <w:rStyle w:val="Fett"/>
          <w:rFonts w:eastAsiaTheme="majorEastAsia"/>
        </w:rPr>
        <w:t>Der Vers beschreibt:</w:t>
      </w:r>
      <w:r>
        <w:t xml:space="preserve"> Israels Umkehr nach der Wiederherstellung – Gehorsam als Folge der Herzenstransformation.</w:t>
      </w:r>
    </w:p>
    <w:p w14:paraId="723711A2" w14:textId="77777777" w:rsidR="008A57FB" w:rsidRPr="008D48A3" w:rsidRDefault="008A57FB" w:rsidP="008D48A3">
      <w:pPr>
        <w:pStyle w:val="Bibelberschrift"/>
      </w:pPr>
      <w:r w:rsidRPr="008D48A3">
        <w:rPr>
          <w:rStyle w:val="Fett"/>
          <w:b/>
          <w:bCs w:val="0"/>
        </w:rPr>
        <w:t>Deuteronomium 30,9</w:t>
      </w:r>
    </w:p>
    <w:p w14:paraId="45AC60CC" w14:textId="77777777" w:rsidR="008A57FB" w:rsidRDefault="008A57FB" w:rsidP="008A57FB">
      <w:pPr>
        <w:pStyle w:val="whitespace-normal"/>
      </w:pPr>
      <w:r>
        <w:rPr>
          <w:rStyle w:val="Fett"/>
          <w:rFonts w:eastAsiaTheme="majorEastAsia"/>
        </w:rPr>
        <w:t>Hebräisch:</w:t>
      </w:r>
      <w:r>
        <w:t xml:space="preserve"> </w:t>
      </w:r>
      <w:r>
        <w:rPr>
          <w:rtl/>
        </w:rPr>
        <w:t>וְהוֹתִירְךָ יְהוָה אֱלֹהֶיךָ בְּכֹל מַעֲשֵׂה יָדֶךָ בִּפְרִי בִטְנְךָ וּבִפְרִי בְהֶמְתְּךָ וּבִפְרִי אַדְמָתְךָ לְטוֹבָה כִּי יָשׁוּב יְהוָה לָשׂוּשׂ עָלֶיךָ לְטוֹב כַּאֲשֶׁר־שָׂשׂ עַל־אֲבֹתֶיךָ׃</w:t>
      </w:r>
    </w:p>
    <w:p w14:paraId="010A5026" w14:textId="77777777" w:rsidR="008A57FB" w:rsidRDefault="008A57FB" w:rsidP="008A57FB">
      <w:pPr>
        <w:pStyle w:val="whitespace-normal"/>
      </w:pPr>
      <w:r>
        <w:rPr>
          <w:rStyle w:val="Fett"/>
          <w:rFonts w:eastAsiaTheme="majorEastAsia"/>
        </w:rPr>
        <w:t>Deutsch:</w:t>
      </w:r>
      <w:r>
        <w:t xml:space="preserve"> Und Überfluss geben wird dir der Ewige, dein Gott, bei allem Werk deiner Hand, an der Frucht deines Leibes und an der Frucht deines Viehs und an der Frucht deines Landes, zum Guten; denn zurückkehren wird der Ewige, sich über dich zu freuen zum Guten, wie er sich gefreut hat über deine Väter.</w:t>
      </w:r>
    </w:p>
    <w:p w14:paraId="03B173B6" w14:textId="77777777" w:rsidR="008A57FB" w:rsidRDefault="004F5CEB" w:rsidP="008A57FB">
      <w:r>
        <w:rPr>
          <w:noProof/>
        </w:rPr>
        <w:pict w14:anchorId="783AAFFA">
          <v:rect id="_x0000_i1851" style="width:0;height:1.5pt" o:hralign="center" o:hrstd="t" o:hr="t" fillcolor="#a0a0a0" stroked="f"/>
        </w:pict>
      </w:r>
    </w:p>
    <w:p w14:paraId="49B0BF8B"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וְהוֹתִירְךָ יְהוָה אֱלֹהֶיךָ בְּכֹל מַעֲשֵׂה יָדֶךָ בִּפְרִי בִטְנְךָ וּבִפְרִי בְהֶמְתְּךָ וּבִפְרִי אַדְמָתְךָ לְטוֹבָה כִּי יָשׁוּב יְהוָה לָשׂוּשׂ עָלֶיךָ לְטוֹב כַּאֲשֶׁר־שָׂשׂ עַל־אֲבֹתֶיךָ</w:t>
      </w:r>
      <w:r>
        <w:rPr>
          <w:rtl/>
        </w:rPr>
        <w:t xml:space="preserve"> </w:t>
      </w:r>
      <w:r>
        <w:t xml:space="preserve">sind Aussage und Begründung: </w:t>
      </w:r>
      <w:r>
        <w:rPr>
          <w:rStyle w:val="Fett"/>
          <w:rFonts w:eastAsiaTheme="majorEastAsia"/>
          <w:rtl/>
        </w:rPr>
        <w:t>וְהוֹתִירְךָ יְהוָה אֱלֹהֶיךָ בְּכֹל מַעֲשֵׂה יָדֶךָ בִּפְרִי בִטְנְךָ וּבִפְרִי בְהֶמְתְּךָ וּבִפְרִי אַדְמָתְךָ לְטוֹבָה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יתר</w:t>
      </w:r>
      <w:r>
        <w:t xml:space="preserve">, Hiphil Perfekt, 3. Person Maskulinum Singular, mit Suffix 2. Person Maskulinum Singular, „Überfluss geben, reichlich geben", </w:t>
      </w:r>
      <w:r>
        <w:rPr>
          <w:rStyle w:val="Fett"/>
          <w:rFonts w:eastAsiaTheme="majorEastAsia"/>
          <w:rtl/>
        </w:rPr>
        <w:t>יְהוָה אֱלֹהֶיךָ</w:t>
      </w:r>
      <w:r>
        <w:rPr>
          <w:rtl/>
        </w:rPr>
        <w:t xml:space="preserve"> </w:t>
      </w:r>
      <w:r>
        <w:t xml:space="preserve">als Subjekt, </w:t>
      </w:r>
      <w:r>
        <w:rPr>
          <w:rStyle w:val="Fett"/>
          <w:rFonts w:eastAsiaTheme="majorEastAsia"/>
          <w:rtl/>
        </w:rPr>
        <w:t>בְּכֹל מַעֲשֵׂה יָדֶךָ</w:t>
      </w:r>
      <w:r>
        <w:t xml:space="preserve">, drei weitere Präpositionen </w:t>
      </w:r>
      <w:r>
        <w:rPr>
          <w:rStyle w:val="Fett"/>
          <w:rFonts w:eastAsiaTheme="majorEastAsia"/>
          <w:rtl/>
        </w:rPr>
        <w:t>בְּ</w:t>
      </w:r>
      <w:r>
        <w:t xml:space="preserve">: </w:t>
      </w:r>
      <w:r>
        <w:rPr>
          <w:rStyle w:val="Fett"/>
          <w:rFonts w:eastAsiaTheme="majorEastAsia"/>
          <w:rtl/>
        </w:rPr>
        <w:t>פְּרִי בֶטֶן</w:t>
      </w:r>
      <w:r>
        <w:rPr>
          <w:rtl/>
        </w:rPr>
        <w:t xml:space="preserve"> </w:t>
      </w:r>
      <w:r>
        <w:t xml:space="preserve">mit Suffix, </w:t>
      </w:r>
      <w:r>
        <w:rPr>
          <w:rStyle w:val="Fett"/>
          <w:rFonts w:eastAsiaTheme="majorEastAsia"/>
          <w:rtl/>
        </w:rPr>
        <w:t>פְּרִי בְהֵמָה</w:t>
      </w:r>
      <w:r>
        <w:rPr>
          <w:rtl/>
        </w:rPr>
        <w:t xml:space="preserve"> </w:t>
      </w:r>
      <w:r>
        <w:t xml:space="preserve">mit Suffix, </w:t>
      </w:r>
      <w:r>
        <w:rPr>
          <w:rStyle w:val="Fett"/>
          <w:rFonts w:eastAsiaTheme="majorEastAsia"/>
          <w:rtl/>
        </w:rPr>
        <w:t>פְּרִי אֲדָמָה</w:t>
      </w:r>
      <w:r>
        <w:rPr>
          <w:rtl/>
        </w:rPr>
        <w:t xml:space="preserve"> </w:t>
      </w:r>
      <w:r>
        <w:t xml:space="preserve">mit Suffix, </w:t>
      </w:r>
      <w:r>
        <w:rPr>
          <w:rStyle w:val="Fett"/>
          <w:rFonts w:eastAsiaTheme="majorEastAsia"/>
          <w:rtl/>
        </w:rPr>
        <w:t>לְטוֹבָה</w:t>
      </w:r>
      <w:r>
        <w:t xml:space="preserve">, mit </w:t>
      </w:r>
      <w:r>
        <w:rPr>
          <w:rStyle w:val="Fett"/>
          <w:rFonts w:eastAsiaTheme="majorEastAsia"/>
        </w:rPr>
        <w:t>Waw</w:t>
      </w:r>
      <w:r>
        <w:t xml:space="preserve"> consecutivum), </w:t>
      </w:r>
      <w:r>
        <w:rPr>
          <w:rStyle w:val="Fett"/>
          <w:rFonts w:eastAsiaTheme="majorEastAsia"/>
          <w:rtl/>
        </w:rPr>
        <w:t>כִּי יָשׁוּב יְהוָה לָשׂוּשׂ עָלֶיךָ לְטוֹב כַּאֲשֶׁר־שָׂשׂ עַל־אֲבֹתֶיךָ</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שׁוב</w:t>
      </w:r>
      <w:r>
        <w:t xml:space="preserve">, Qal Imperfekt, 3. Person Maskulinum Singular, </w:t>
      </w:r>
      <w:r>
        <w:rPr>
          <w:rStyle w:val="Fett"/>
          <w:rFonts w:eastAsiaTheme="majorEastAsia"/>
          <w:rtl/>
        </w:rPr>
        <w:t>יְהוָה</w:t>
      </w:r>
      <w:r>
        <w:rPr>
          <w:rtl/>
        </w:rPr>
        <w:t xml:space="preserve"> </w:t>
      </w:r>
      <w:r>
        <w:t xml:space="preserve">als Subjekt, Präposition </w:t>
      </w:r>
      <w:r>
        <w:rPr>
          <w:rStyle w:val="Fett"/>
          <w:rFonts w:eastAsiaTheme="majorEastAsia"/>
          <w:rtl/>
        </w:rPr>
        <w:t>לְ</w:t>
      </w:r>
      <w:r>
        <w:rPr>
          <w:rtl/>
        </w:rPr>
        <w:t xml:space="preserve"> </w:t>
      </w:r>
      <w:r>
        <w:t xml:space="preserve">mit Qal Infinitiv Construct von </w:t>
      </w:r>
      <w:r>
        <w:rPr>
          <w:rStyle w:val="Fett"/>
          <w:rFonts w:eastAsiaTheme="majorEastAsia"/>
          <w:rtl/>
        </w:rPr>
        <w:t>שׂושׂ</w:t>
      </w:r>
      <w:r>
        <w:t xml:space="preserve">, „sich freuen", Präposition </w:t>
      </w:r>
      <w:r>
        <w:rPr>
          <w:rStyle w:val="Fett"/>
          <w:rFonts w:eastAsiaTheme="majorEastAsia"/>
          <w:rtl/>
        </w:rPr>
        <w:t>עַל</w:t>
      </w:r>
      <w:r>
        <w:rPr>
          <w:rtl/>
        </w:rPr>
        <w:t xml:space="preserve"> </w:t>
      </w:r>
      <w:r>
        <w:t xml:space="preserve">mit Suffix, </w:t>
      </w:r>
      <w:r>
        <w:rPr>
          <w:rStyle w:val="Fett"/>
          <w:rFonts w:eastAsiaTheme="majorEastAsia"/>
          <w:rtl/>
        </w:rPr>
        <w:t>לְטוֹב</w:t>
      </w:r>
      <w:r>
        <w:t xml:space="preserve">, Vergleichssatz: </w:t>
      </w:r>
      <w:r>
        <w:rPr>
          <w:rStyle w:val="Fett"/>
          <w:rFonts w:eastAsiaTheme="majorEastAsia"/>
          <w:rtl/>
        </w:rPr>
        <w:t>כַּאֲשֶׁר־שָׂשׂ עַל־אֲבֹתֶיךָ</w:t>
      </w:r>
      <w:r>
        <w:rPr>
          <w:rtl/>
        </w:rPr>
        <w:t xml:space="preserve"> </w:t>
      </w:r>
      <w:r>
        <w:t xml:space="preserve">mit </w:t>
      </w:r>
      <w:r>
        <w:rPr>
          <w:rStyle w:val="Fett"/>
          <w:rFonts w:eastAsiaTheme="majorEastAsia"/>
          <w:rtl/>
        </w:rPr>
        <w:t>שׂושׂ</w:t>
      </w:r>
      <w:r>
        <w:t>, Qal Perfekt, 3. Person Maskulinum Singular).</w:t>
      </w:r>
    </w:p>
    <w:p w14:paraId="1CB12633" w14:textId="6E50535D" w:rsidR="008A57FB" w:rsidRDefault="008A57FB" w:rsidP="008A57FB">
      <w:pPr>
        <w:pStyle w:val="whitespace-normal"/>
      </w:pPr>
      <w:r>
        <w:t xml:space="preserve">Der Vers beschreibt den materiellen Segen der Wiederherstellung. Die Aussage: </w:t>
      </w:r>
      <w:r>
        <w:rPr>
          <w:rStyle w:val="Fett"/>
          <w:rFonts w:eastAsiaTheme="majorEastAsia"/>
          <w:rtl/>
        </w:rPr>
        <w:t>וְהוֹתִירְךָ יְהוָה אֱלֹהֶיךָ בְּכֹל מַעֲשֵׂה יָדֶךָ בִּפְרִי בִטְנְךָ וּבִפְרִי בְהֶמְתְּךָ וּבִפְרִי אַדְמָתְךָ לְטוֹבָה</w:t>
      </w:r>
      <w:r>
        <w:rPr>
          <w:rtl/>
        </w:rPr>
        <w:t xml:space="preserve"> </w:t>
      </w:r>
      <w:r>
        <w:t xml:space="preserve">(„und Überfluss geben wird dir </w:t>
      </w:r>
      <w:r w:rsidR="00B77E5E">
        <w:t>JHWH</w:t>
      </w:r>
      <w:r>
        <w:t xml:space="preserve">, dein Gott, bei allem Werk deiner Hand, an der Frucht deines Leibes und an der Frucht deines Viehs und an der Frucht deines Landes, zum Guten"). Das Verb </w:t>
      </w:r>
      <w:r>
        <w:rPr>
          <w:rStyle w:val="Fett"/>
          <w:rFonts w:eastAsiaTheme="majorEastAsia"/>
          <w:rtl/>
        </w:rPr>
        <w:t>יתר</w:t>
      </w:r>
      <w:r>
        <w:rPr>
          <w:rtl/>
        </w:rPr>
        <w:t xml:space="preserve"> </w:t>
      </w:r>
      <w:r>
        <w:t xml:space="preserve">im Hiphil </w:t>
      </w:r>
      <w:r>
        <w:lastRenderedPageBreak/>
        <w:t xml:space="preserve">(„Überfluss geben") betont: reichlicher Segen. Die vier Bereiche: </w:t>
      </w:r>
      <w:r>
        <w:rPr>
          <w:rStyle w:val="Fett"/>
          <w:rFonts w:eastAsiaTheme="majorEastAsia"/>
          <w:rtl/>
        </w:rPr>
        <w:t>כֹל מַעֲשֵׂה יָדֶךָ</w:t>
      </w:r>
      <w:r>
        <w:rPr>
          <w:rtl/>
        </w:rPr>
        <w:t xml:space="preserve"> </w:t>
      </w:r>
      <w:r>
        <w:t xml:space="preserve">(„alles Werk deiner Hand") – allgemein, dann drei spezifische: </w:t>
      </w:r>
      <w:r>
        <w:rPr>
          <w:rStyle w:val="Fett"/>
          <w:rFonts w:eastAsiaTheme="majorEastAsia"/>
          <w:rtl/>
        </w:rPr>
        <w:t>פְּרִי בִטְנְךָ</w:t>
      </w:r>
      <w:r>
        <w:rPr>
          <w:rtl/>
        </w:rPr>
        <w:t xml:space="preserve"> </w:t>
      </w:r>
      <w:r>
        <w:t xml:space="preserve">(„Frucht deines Leibes"), </w:t>
      </w:r>
      <w:r>
        <w:rPr>
          <w:rStyle w:val="Fett"/>
          <w:rFonts w:eastAsiaTheme="majorEastAsia"/>
          <w:rtl/>
        </w:rPr>
        <w:t>פְּרִי בְהֶמְתְּךָ</w:t>
      </w:r>
      <w:r>
        <w:rPr>
          <w:rtl/>
        </w:rPr>
        <w:t xml:space="preserve"> </w:t>
      </w:r>
      <w:r>
        <w:t xml:space="preserve">(„Frucht deines Viehs"), </w:t>
      </w:r>
      <w:r>
        <w:rPr>
          <w:rStyle w:val="Fett"/>
          <w:rFonts w:eastAsiaTheme="majorEastAsia"/>
          <w:rtl/>
        </w:rPr>
        <w:t>פְּרִי אַדְמָתְךָ</w:t>
      </w:r>
      <w:r>
        <w:rPr>
          <w:rtl/>
        </w:rPr>
        <w:t xml:space="preserve"> </w:t>
      </w:r>
      <w:r>
        <w:t xml:space="preserve">(„Frucht deines Landes") – wie 28,4.11.18. Die Formulierung </w:t>
      </w:r>
      <w:r>
        <w:rPr>
          <w:rStyle w:val="Fett"/>
          <w:rFonts w:eastAsiaTheme="majorEastAsia"/>
          <w:rtl/>
        </w:rPr>
        <w:t>לְטוֹבָה</w:t>
      </w:r>
      <w:r>
        <w:rPr>
          <w:rtl/>
        </w:rPr>
        <w:t xml:space="preserve"> </w:t>
      </w:r>
      <w:r>
        <w:t xml:space="preserve">(„zum Guten") betont: zum Wohl. Die Begründung: </w:t>
      </w:r>
      <w:r>
        <w:rPr>
          <w:rStyle w:val="Fett"/>
          <w:rFonts w:eastAsiaTheme="majorEastAsia"/>
          <w:rtl/>
        </w:rPr>
        <w:t>כִּי יָשׁוּב יְהוָה לָשׂוּשׂ עָלֶיךָ לְטוֹב כַּאֲשֶׁר־שָׂשׂ עַל־אֲבֹתֶיךָ</w:t>
      </w:r>
      <w:r>
        <w:rPr>
          <w:rtl/>
        </w:rPr>
        <w:t xml:space="preserve"> </w:t>
      </w:r>
      <w:r>
        <w:t xml:space="preserve">(„denn zurückkehren wird </w:t>
      </w:r>
      <w:r w:rsidR="00B77E5E">
        <w:t>JHWH</w:t>
      </w:r>
      <w:r>
        <w:t xml:space="preserve">, sich über dich zu freuen zum Guten, wie er sich gefreut hat über deine Väter"). Das Verb </w:t>
      </w:r>
      <w:r>
        <w:rPr>
          <w:rStyle w:val="Fett"/>
          <w:rFonts w:eastAsiaTheme="majorEastAsia"/>
          <w:rtl/>
        </w:rPr>
        <w:t>שׂושׂ</w:t>
      </w:r>
      <w:r>
        <w:rPr>
          <w:rtl/>
        </w:rPr>
        <w:t xml:space="preserve"> </w:t>
      </w:r>
      <w:r>
        <w:t>(„sich freuen") – Gottes Freude an seinem Volk (vgl. 28,63; Jes 62,5; 65,19; Jer 32,41; Zeph 3,17). Der Kontrast zu 28,63, wo Gott sich freute, Israel zu vernichten – jetzt freut er sich, Israel Gutes zu tun.</w:t>
      </w:r>
    </w:p>
    <w:p w14:paraId="4BC6989E" w14:textId="0CB8B402" w:rsidR="00C367A0" w:rsidRDefault="00C367A0" w:rsidP="008A57FB">
      <w:pPr>
        <w:pStyle w:val="whitespace-normal"/>
      </w:pPr>
      <w:r>
        <w:rPr>
          <w:rStyle w:val="Fett"/>
        </w:rPr>
        <w:t>Die LXX</w:t>
      </w:r>
      <w:r>
        <w:t xml:space="preserve"> übersetzt </w:t>
      </w:r>
      <w:r>
        <w:rPr>
          <w:rtl/>
        </w:rPr>
        <w:t>וְהוֹתִירְךָ</w:t>
      </w:r>
      <w:r>
        <w:t xml:space="preserve"> (und er wird dich reichlich segnen) mit καὶ π</w:t>
      </w:r>
      <w:proofErr w:type="spellStart"/>
      <w:r>
        <w:t>ολυωρήσει</w:t>
      </w:r>
      <w:proofErr w:type="spellEnd"/>
      <w:r>
        <w:t xml:space="preserve"> </w:t>
      </w:r>
      <w:proofErr w:type="spellStart"/>
      <w:r>
        <w:t>σε</w:t>
      </w:r>
      <w:proofErr w:type="spellEnd"/>
      <w:r>
        <w:t xml:space="preserve"> (und er wird dich reichlich versorgen) – ein seltenes Verb, das "reichlich geben, segnen" bedeutet. Das Verb </w:t>
      </w:r>
      <w:r>
        <w:rPr>
          <w:rtl/>
        </w:rPr>
        <w:t>לָשׂוּשׂ</w:t>
      </w:r>
      <w:r>
        <w:t xml:space="preserve"> (sich zu freuen) wird mit </w:t>
      </w:r>
      <w:proofErr w:type="spellStart"/>
      <w:r>
        <w:t>εὐφρ</w:t>
      </w:r>
      <w:proofErr w:type="spellEnd"/>
      <w:r>
        <w:t>ανθῆναι (sich zu freuen) übersetzt – ein präzises Äquivalent.</w:t>
      </w:r>
    </w:p>
    <w:p w14:paraId="53133FED" w14:textId="25C4C704" w:rsidR="008A57FB" w:rsidRDefault="008A57FB" w:rsidP="008A57FB">
      <w:pPr>
        <w:pStyle w:val="whitespace-normal"/>
      </w:pPr>
      <w:r>
        <w:rPr>
          <w:rStyle w:val="Fett"/>
          <w:rFonts w:eastAsiaTheme="majorEastAsia"/>
        </w:rPr>
        <w:t>Die Satzstruktur:</w:t>
      </w:r>
      <w:r>
        <w:t xml:space="preserve"> Aussage und Begründung (und Überfluss geben wird dir </w:t>
      </w:r>
      <w:r w:rsidR="00B77E5E">
        <w:t>JHWH</w:t>
      </w:r>
      <w:r>
        <w:t xml:space="preserve">, dein Gott, bei allem Werk deiner Hand, an der Frucht deines Leibes und an der Frucht deines Viehs und an der Frucht deines Landes, zum Guten; denn zurückkehren wird </w:t>
      </w:r>
      <w:r w:rsidR="00B77E5E">
        <w:t>JHWH</w:t>
      </w:r>
      <w:r>
        <w:t>, sich über dich zu freuen zum Guten, wie er sich gefreut hat über deine Väter).</w:t>
      </w:r>
    </w:p>
    <w:p w14:paraId="1DD63ED5" w14:textId="786142AD" w:rsidR="008A57FB" w:rsidRDefault="008A57FB" w:rsidP="00B77CC6">
      <w:pPr>
        <w:pStyle w:val="whitespace-normal"/>
      </w:pPr>
      <w:r>
        <w:rPr>
          <w:rStyle w:val="Fett"/>
          <w:rFonts w:eastAsiaTheme="majorEastAsia"/>
        </w:rPr>
        <w:t>Der Vers beschreibt:</w:t>
      </w:r>
      <w:r>
        <w:t xml:space="preserve"> Materieller Segen – Überfluss in allen Bereichen, weil Gott sich wieder über Israel freut.</w:t>
      </w:r>
    </w:p>
    <w:p w14:paraId="3F3527C7" w14:textId="77777777" w:rsidR="008A57FB" w:rsidRPr="008D48A3" w:rsidRDefault="008A57FB" w:rsidP="008D48A3">
      <w:pPr>
        <w:pStyle w:val="Bibelberschrift"/>
      </w:pPr>
      <w:r w:rsidRPr="008D48A3">
        <w:rPr>
          <w:rStyle w:val="Fett"/>
          <w:b/>
          <w:bCs w:val="0"/>
        </w:rPr>
        <w:t>Deuteronomium 30,10</w:t>
      </w:r>
    </w:p>
    <w:p w14:paraId="7543D22F" w14:textId="77777777" w:rsidR="008A57FB" w:rsidRDefault="008A57FB" w:rsidP="008A57FB">
      <w:pPr>
        <w:pStyle w:val="whitespace-normal"/>
      </w:pPr>
      <w:r>
        <w:rPr>
          <w:rStyle w:val="Fett"/>
          <w:rFonts w:eastAsiaTheme="majorEastAsia"/>
        </w:rPr>
        <w:t>Hebräisch:</w:t>
      </w:r>
      <w:r>
        <w:t xml:space="preserve"> </w:t>
      </w:r>
      <w:r>
        <w:rPr>
          <w:rtl/>
        </w:rPr>
        <w:t>כִּי תִשְׁמַע בְּקוֹל יְהוָה אֱלֹהֶיךָ לִשְׁמֹר מִצְוֹתָיו וְחֻקֹּתָיו הַכְּתוּבָה בְּסֵפֶר הַתּוֹרָה הַזֶּה כִּי תָשׁוּב אֶל־יְהוָה אֱלֹהֶיךָ בְּכָל־לְבָבְךָ וּבְכָל־נַפְשֶׁךָ׃</w:t>
      </w:r>
    </w:p>
    <w:p w14:paraId="45E34D8F" w14:textId="5DD5E7FA" w:rsidR="008A57FB" w:rsidRDefault="008A57FB" w:rsidP="008A57FB">
      <w:pPr>
        <w:pStyle w:val="whitespace-normal"/>
      </w:pPr>
      <w:r>
        <w:rPr>
          <w:rStyle w:val="Fett"/>
          <w:rFonts w:eastAsiaTheme="majorEastAsia"/>
        </w:rPr>
        <w:t>Deutsch:</w:t>
      </w:r>
      <w:r>
        <w:t xml:space="preserve"> Wenn du gehorchst der Stimme des Ewigen, deines Gottes, zu bewahren seine Gebote und seine Satzungen, die geschrieben sind in diesem Buch der </w:t>
      </w:r>
      <w:r w:rsidR="006D3FED">
        <w:t>Torah</w:t>
      </w:r>
      <w:r>
        <w:t>, wenn du zurückkehrst zum Ewigen, deinem Gott, mit deinem ganzen Herzen und mit deiner ganzen Seele.</w:t>
      </w:r>
    </w:p>
    <w:p w14:paraId="3C2343C9" w14:textId="77777777" w:rsidR="008A57FB" w:rsidRDefault="004F5CEB" w:rsidP="008A57FB">
      <w:r>
        <w:rPr>
          <w:noProof/>
        </w:rPr>
        <w:pict w14:anchorId="42A70D45">
          <v:rect id="_x0000_i1852" style="width:0;height:1.5pt" o:hralign="center" o:hrstd="t" o:hr="t" fillcolor="#a0a0a0" stroked="f"/>
        </w:pict>
      </w:r>
    </w:p>
    <w:p w14:paraId="2FEC51E2"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כִּי תִשְׁמַע בְּקוֹל יְהוָה אֱלֹהֶיךָ לִשְׁמֹר מִצְוֹתָיו וְחֻקֹּתָיו הַכְּתוּבָה בְּסֵפֶר הַתּוֹרָה הַזֶּה כִּי תָשׁוּב אֶל־יְהוָה אֱלֹהֶיךָ בְּכָל־לְבָבְךָ וּבְכָל־נַפְשֶׁךָ</w:t>
      </w:r>
      <w:r>
        <w:rPr>
          <w:rtl/>
        </w:rPr>
        <w:t xml:space="preserve"> </w:t>
      </w:r>
      <w:r>
        <w:t xml:space="preserve">sind zwei Bedingungen: </w:t>
      </w:r>
      <w:r>
        <w:rPr>
          <w:rStyle w:val="Fett"/>
          <w:rFonts w:eastAsiaTheme="majorEastAsia"/>
          <w:rtl/>
        </w:rPr>
        <w:t>כִּי תִשְׁמַע בְּקוֹל יְהוָה אֱלֹהֶיךָ לִשְׁמֹר מִצְוֹתָיו וְחֻקֹּתָיו הַכְּתוּבָה בְּסֵפֶר הַתּוֹרָה הַזֶּה</w:t>
      </w:r>
      <w:r>
        <w:rPr>
          <w:rtl/>
        </w:rPr>
        <w:t xml:space="preserve"> </w:t>
      </w:r>
      <w:r>
        <w:t xml:space="preserve">(Konditionalsatz: </w:t>
      </w:r>
      <w:r>
        <w:rPr>
          <w:rStyle w:val="Fett"/>
          <w:rFonts w:eastAsiaTheme="majorEastAsia"/>
          <w:rtl/>
        </w:rPr>
        <w:t>כִּי</w:t>
      </w:r>
      <w:r>
        <w:rPr>
          <w:rtl/>
        </w:rPr>
        <w:t xml:space="preserve"> </w:t>
      </w:r>
      <w:r>
        <w:t xml:space="preserve">mit </w:t>
      </w:r>
      <w:r>
        <w:rPr>
          <w:rStyle w:val="Fett"/>
          <w:rFonts w:eastAsiaTheme="majorEastAsia"/>
          <w:rtl/>
        </w:rPr>
        <w:t>שׁמע</w:t>
      </w:r>
      <w:r>
        <w:t xml:space="preserve">, Qal Imperfekt, 2. Person Maskulinum Singular, </w:t>
      </w:r>
      <w:r>
        <w:rPr>
          <w:rStyle w:val="Fett"/>
          <w:rFonts w:eastAsiaTheme="majorEastAsia"/>
          <w:rtl/>
        </w:rPr>
        <w:t>בְּקוֹל יְהוָה אֱלֹהֶיךָ</w:t>
      </w:r>
      <w:r>
        <w:t xml:space="preserve">, Finalsatz: </w:t>
      </w:r>
      <w:r>
        <w:rPr>
          <w:rStyle w:val="Fett"/>
          <w:rFonts w:eastAsiaTheme="majorEastAsia"/>
          <w:rtl/>
        </w:rPr>
        <w:t>לִשְׁמֹר מִצְוֹתָיו וְחֻקֹּתָיו</w:t>
      </w:r>
      <w:r>
        <w:rPr>
          <w:rtl/>
        </w:rPr>
        <w:t xml:space="preserve"> </w:t>
      </w:r>
      <w:r>
        <w:t xml:space="preserve">mit Präposition </w:t>
      </w:r>
      <w:r>
        <w:rPr>
          <w:rStyle w:val="Fett"/>
          <w:rFonts w:eastAsiaTheme="majorEastAsia"/>
          <w:rtl/>
        </w:rPr>
        <w:t>לְ</w:t>
      </w:r>
      <w:r>
        <w:rPr>
          <w:rtl/>
        </w:rPr>
        <w:t xml:space="preserve"> </w:t>
      </w:r>
      <w:r>
        <w:t xml:space="preserve">+ Qal Infinitiv Construct von </w:t>
      </w:r>
      <w:r>
        <w:rPr>
          <w:rStyle w:val="Fett"/>
          <w:rFonts w:eastAsiaTheme="majorEastAsia"/>
          <w:rtl/>
        </w:rPr>
        <w:t>שׁמר</w:t>
      </w:r>
      <w:r>
        <w:t xml:space="preserve">, </w:t>
      </w:r>
      <w:r>
        <w:rPr>
          <w:rStyle w:val="Fett"/>
          <w:rFonts w:eastAsiaTheme="majorEastAsia"/>
          <w:rtl/>
        </w:rPr>
        <w:t>מִצְוָה</w:t>
      </w:r>
      <w:r>
        <w:t xml:space="preserve">, „Gebot", Plural mit Suffix 3. Person Maskulinum Singular, koordiniert mit </w:t>
      </w:r>
      <w:r>
        <w:rPr>
          <w:rStyle w:val="Fett"/>
          <w:rFonts w:eastAsiaTheme="majorEastAsia"/>
          <w:rtl/>
        </w:rPr>
        <w:t>חֻקָּה</w:t>
      </w:r>
      <w:r>
        <w:t xml:space="preserve">, „Satzung", Plural mit Suffix, Partizipialsatz: </w:t>
      </w:r>
      <w:r>
        <w:rPr>
          <w:rStyle w:val="Fett"/>
          <w:rFonts w:eastAsiaTheme="majorEastAsia"/>
          <w:rtl/>
        </w:rPr>
        <w:t>הַכְּתוּבָה בְּסֵפֶר הַתּוֹרָה הַזֶּה</w:t>
      </w:r>
      <w:r>
        <w:rPr>
          <w:rtl/>
        </w:rPr>
        <w:t xml:space="preserve"> </w:t>
      </w:r>
      <w:r>
        <w:t xml:space="preserve">mit </w:t>
      </w:r>
      <w:r>
        <w:rPr>
          <w:rStyle w:val="Fett"/>
          <w:rFonts w:eastAsiaTheme="majorEastAsia"/>
          <w:rtl/>
        </w:rPr>
        <w:t>כתב</w:t>
      </w:r>
      <w:r>
        <w:t xml:space="preserve">, Qal Passiv Partizip Femininum Singular), </w:t>
      </w:r>
      <w:r>
        <w:rPr>
          <w:rStyle w:val="Fett"/>
          <w:rFonts w:eastAsiaTheme="majorEastAsia"/>
          <w:rtl/>
        </w:rPr>
        <w:t>כִּי תָשׁוּב אֶל־יְהוָה אֱלֹהֶיךָ בְּכָל־לְבָבְךָ וּבְכָל־נַפְשֶׁךָ</w:t>
      </w:r>
      <w:r>
        <w:rPr>
          <w:rtl/>
        </w:rPr>
        <w:t xml:space="preserve"> </w:t>
      </w:r>
      <w:r>
        <w:t xml:space="preserve">(zweiter Konditionalsatz: </w:t>
      </w:r>
      <w:r>
        <w:rPr>
          <w:rStyle w:val="Fett"/>
          <w:rFonts w:eastAsiaTheme="majorEastAsia"/>
          <w:rtl/>
        </w:rPr>
        <w:t>כִּי</w:t>
      </w:r>
      <w:r>
        <w:rPr>
          <w:rtl/>
        </w:rPr>
        <w:t xml:space="preserve"> </w:t>
      </w:r>
      <w:r>
        <w:t xml:space="preserve">mit </w:t>
      </w:r>
      <w:r>
        <w:rPr>
          <w:rStyle w:val="Fett"/>
          <w:rFonts w:eastAsiaTheme="majorEastAsia"/>
          <w:rtl/>
        </w:rPr>
        <w:t>שׁוב</w:t>
      </w:r>
      <w:r>
        <w:t xml:space="preserve">, Qal Imperfekt, 2. Person Maskulinum Singular, </w:t>
      </w:r>
      <w:r>
        <w:rPr>
          <w:rStyle w:val="Fett"/>
          <w:rFonts w:eastAsiaTheme="majorEastAsia"/>
          <w:rtl/>
        </w:rPr>
        <w:t>אֶל־יְהוָה אֱלֹהֶיךָ</w:t>
      </w:r>
      <w:r>
        <w:t xml:space="preserve">, </w:t>
      </w:r>
      <w:r>
        <w:rPr>
          <w:rStyle w:val="Fett"/>
          <w:rFonts w:eastAsiaTheme="majorEastAsia"/>
          <w:rtl/>
        </w:rPr>
        <w:t>בְּכָל־לְבָבְךָ וּבְכָל־נַפְשֶׁךָ</w:t>
      </w:r>
      <w:r>
        <w:rPr>
          <w:rtl/>
        </w:rPr>
        <w:t xml:space="preserve"> </w:t>
      </w:r>
      <w:r>
        <w:t xml:space="preserve">wie üblich). Die </w:t>
      </w:r>
      <w:r>
        <w:rPr>
          <w:rStyle w:val="Fett"/>
          <w:rFonts w:eastAsiaTheme="majorEastAsia"/>
        </w:rPr>
        <w:t>Petucha</w:t>
      </w:r>
      <w:r>
        <w:t xml:space="preserve"> (</w:t>
      </w:r>
      <w:r>
        <w:rPr>
          <w:rtl/>
        </w:rPr>
        <w:t>פ</w:t>
      </w:r>
      <w:r>
        <w:t>) markiert das Ende des ersten Teils von Kapitel 30 (V. 1-10).</w:t>
      </w:r>
    </w:p>
    <w:p w14:paraId="07C51D2A" w14:textId="69232D86" w:rsidR="008D4C22" w:rsidRDefault="008D4C22" w:rsidP="008D4C22">
      <w:pPr>
        <w:pStyle w:val="KeinLeerraum"/>
      </w:pPr>
      <w:r>
        <w:t xml:space="preserve">Der Vers nennt die Bedingungen für die Segensverheißungen aus V. 1-9. Die beiden Bedingungen: </w:t>
      </w:r>
      <w:r>
        <w:rPr>
          <w:rtl/>
        </w:rPr>
        <w:t xml:space="preserve">כִּי תִשְׁמַע בְּקוֹל יְהוָה אֱלֹהֶיךָ לִשְׁמֹר מִצְוֹתָיו וְחֻקֹּתָיו הַכְּתוּבָה בְּסֵפֶר הַתּוֹרָה הַזֶּה כִּי תָשׁוּב אֶל־יְהוָה </w:t>
      </w:r>
      <w:r>
        <w:rPr>
          <w:rtl/>
        </w:rPr>
        <w:lastRenderedPageBreak/>
        <w:t>אֱלֹהֶיךָ בְּכָל־לְבָבְךָ וּבְכָל־נַפְשֶׁךָ</w:t>
      </w:r>
      <w:r>
        <w:t xml:space="preserve"> („wenn du gehorchst der Stimme </w:t>
      </w:r>
      <w:r w:rsidR="00DF3D1A">
        <w:rPr>
          <w:rFonts w:eastAsia="Times New Roman"/>
          <w:lang w:eastAsia="de-DE"/>
        </w:rPr>
        <w:t>JHWH</w:t>
      </w:r>
      <w:r w:rsidR="00DF3D1A">
        <w:t>s</w:t>
      </w:r>
      <w:r>
        <w:t xml:space="preserve">, deines Gottes, zu bewahren seine Gebote und seine Satzungen, die geschrieben sind in diesem Buch der </w:t>
      </w:r>
      <w:r w:rsidR="006D3FED">
        <w:t>Torah</w:t>
      </w:r>
      <w:r>
        <w:t xml:space="preserve">, wenn du zurückkehrst zum Ewigen, deinem Gott, mit deinem ganzen Herzen und mit deiner ganzen Seele"). </w:t>
      </w:r>
    </w:p>
    <w:p w14:paraId="0762D84A" w14:textId="77777777" w:rsidR="008D4C22" w:rsidRDefault="008D4C22" w:rsidP="008D4C22">
      <w:pPr>
        <w:pStyle w:val="KeinLeerraum"/>
      </w:pPr>
      <w:r>
        <w:t xml:space="preserve">Zwei </w:t>
      </w:r>
      <w:r>
        <w:rPr>
          <w:rtl/>
        </w:rPr>
        <w:t>כִּי</w:t>
      </w:r>
      <w:r>
        <w:t xml:space="preserve">-Sätze: </w:t>
      </w:r>
    </w:p>
    <w:p w14:paraId="698F2C6D" w14:textId="77777777" w:rsidR="008D4C22" w:rsidRDefault="008D4C22" w:rsidP="008D4C22">
      <w:pPr>
        <w:pStyle w:val="KeinLeerraum"/>
      </w:pPr>
      <w:r>
        <w:t xml:space="preserve">(1) Gehorsam gegenüber den geschriebenen Geboten. </w:t>
      </w:r>
    </w:p>
    <w:p w14:paraId="372644DB" w14:textId="79A82EA7" w:rsidR="008D4C22" w:rsidRDefault="008D4C22" w:rsidP="008D4C22">
      <w:pPr>
        <w:pStyle w:val="KeinLeerraum"/>
      </w:pPr>
      <w:r>
        <w:t xml:space="preserve">(2) Totale Umkehr mit ganzem Herzen und ganzer Seele. Die Formulierung </w:t>
      </w:r>
      <w:r w:rsidRPr="008D4C22">
        <w:rPr>
          <w:b/>
          <w:bCs/>
          <w:rtl/>
        </w:rPr>
        <w:t>הַכְּתוּבָה בְּסֵפֶר הַתּוֹרָה הַזֶּה</w:t>
      </w:r>
      <w:r w:rsidRPr="008D4C22">
        <w:rPr>
          <w:b/>
          <w:bCs/>
        </w:rPr>
        <w:t xml:space="preserve"> </w:t>
      </w:r>
      <w:r>
        <w:t xml:space="preserve">(„die geschrieben sind in diesem Buch der </w:t>
      </w:r>
      <w:r w:rsidR="006D3FED">
        <w:t>Torah</w:t>
      </w:r>
      <w:r>
        <w:t xml:space="preserve">") betont wieder den schriftlichen, autoritativen Charakter (vgl. 29,20.26; 31,26). Das Partizip </w:t>
      </w:r>
      <w:r>
        <w:rPr>
          <w:rtl/>
        </w:rPr>
        <w:t>הַכְּתוּבָה</w:t>
      </w:r>
      <w:r>
        <w:t xml:space="preserve"> steht im Femininum Singular, obwohl es sich auf beide Begriffe </w:t>
      </w:r>
      <w:r>
        <w:rPr>
          <w:rtl/>
        </w:rPr>
        <w:t>מִצְוֹתָיו</w:t>
      </w:r>
      <w:r>
        <w:t xml:space="preserve"> (maskulin Plural) und </w:t>
      </w:r>
      <w:r>
        <w:rPr>
          <w:rtl/>
        </w:rPr>
        <w:t>חֻקֹּתָיו</w:t>
      </w:r>
      <w:r>
        <w:t xml:space="preserve"> (feminin Plural) bezieht – eine </w:t>
      </w:r>
      <w:proofErr w:type="spellStart"/>
      <w:r>
        <w:t>constructio</w:t>
      </w:r>
      <w:proofErr w:type="spellEnd"/>
      <w:r>
        <w:t xml:space="preserve"> ad </w:t>
      </w:r>
      <w:proofErr w:type="spellStart"/>
      <w:r>
        <w:t>sensum</w:t>
      </w:r>
      <w:proofErr w:type="spellEnd"/>
      <w:r>
        <w:t xml:space="preserve">, bei der das Partizip auf den kollektiven Singular </w:t>
      </w:r>
      <w:r>
        <w:rPr>
          <w:rtl/>
        </w:rPr>
        <w:t>הַתּוֹרָה</w:t>
      </w:r>
      <w:r>
        <w:t xml:space="preserve"> („die </w:t>
      </w:r>
      <w:r w:rsidR="006D3FED">
        <w:t>Torah</w:t>
      </w:r>
      <w:r>
        <w:t xml:space="preserve">") als Gesamtheit der Gebote ausgerichtet ist, oder möglicherweise eine Kongruenz nur mit dem näherstehenden femininen </w:t>
      </w:r>
      <w:r>
        <w:rPr>
          <w:rtl/>
        </w:rPr>
        <w:t>חֻקֹּתָיו</w:t>
      </w:r>
      <w:r>
        <w:t xml:space="preserve">. Der Vers fasst die Bedingungen zusammen – die Verheißungen von V. 1-9 setzen Umkehr und Gehorsam voraus. </w:t>
      </w:r>
    </w:p>
    <w:p w14:paraId="6FE5D7A7" w14:textId="1D690553" w:rsidR="008A57FB" w:rsidRDefault="008A57FB" w:rsidP="008A57FB">
      <w:pPr>
        <w:pStyle w:val="whitespace-normal"/>
      </w:pPr>
      <w:r>
        <w:rPr>
          <w:rStyle w:val="Fett"/>
          <w:rFonts w:eastAsiaTheme="majorEastAsia"/>
        </w:rPr>
        <w:t>Die Satzstruktur:</w:t>
      </w:r>
      <w:r>
        <w:t xml:space="preserve"> Zwei Bedingungen (wenn du gehorchst der Stimme </w:t>
      </w:r>
      <w:r w:rsidR="00DF3D1A">
        <w:t>JHWHs</w:t>
      </w:r>
      <w:r>
        <w:t xml:space="preserve">, deines Gottes, zu bewahren seine Gebote und seine Satzungen, die geschrieben sind in diesem Buch der </w:t>
      </w:r>
      <w:r w:rsidR="006D3FED">
        <w:t>Torah</w:t>
      </w:r>
      <w:r>
        <w:t>, wenn du zurückkehrst zum Ewigen, deinem Gott, mit deinem ganzen Herzen und mit deiner ganzen Seele).</w:t>
      </w:r>
    </w:p>
    <w:p w14:paraId="5F8F205F" w14:textId="77777777" w:rsidR="008A57FB" w:rsidRDefault="008A57FB" w:rsidP="008A57FB">
      <w:pPr>
        <w:pStyle w:val="whitespace-normal"/>
      </w:pPr>
      <w:r>
        <w:rPr>
          <w:rStyle w:val="Fett"/>
          <w:rFonts w:eastAsiaTheme="majorEastAsia"/>
        </w:rPr>
        <w:t>Der Vers beschreibt:</w:t>
      </w:r>
      <w:r>
        <w:t xml:space="preserve"> Zusammenfassung der Bedingungen – Gehorsam und totale Umkehr für die Segensverheißungen.</w:t>
      </w:r>
    </w:p>
    <w:p w14:paraId="23876793" w14:textId="77777777" w:rsidR="008A57FB" w:rsidRPr="008D48A3" w:rsidRDefault="008A57FB" w:rsidP="008D48A3">
      <w:pPr>
        <w:pStyle w:val="Bibelberschrift"/>
      </w:pPr>
      <w:r w:rsidRPr="008D48A3">
        <w:rPr>
          <w:rStyle w:val="Fett"/>
          <w:b/>
          <w:bCs w:val="0"/>
        </w:rPr>
        <w:t>Deuteronomium 30,11</w:t>
      </w:r>
    </w:p>
    <w:p w14:paraId="1C9D370A" w14:textId="77777777" w:rsidR="008A57FB" w:rsidRDefault="008A57FB" w:rsidP="008A57FB">
      <w:pPr>
        <w:pStyle w:val="whitespace-normal"/>
      </w:pPr>
      <w:r>
        <w:rPr>
          <w:rStyle w:val="Fett"/>
          <w:rFonts w:eastAsiaTheme="majorEastAsia"/>
        </w:rPr>
        <w:t>Hebräisch:</w:t>
      </w:r>
      <w:r>
        <w:t xml:space="preserve"> </w:t>
      </w:r>
      <w:r>
        <w:rPr>
          <w:rtl/>
        </w:rPr>
        <w:t>כִּי הַמִּצְוָה הַזֹּאת אֲשֶׁר אָנֹכִי מְצַוְּךָ הַיּוֹם לֹא־נִפְלֵאת הִוא מִמְּךָ וְלֹא רְחֹקָה הִוא׃</w:t>
      </w:r>
    </w:p>
    <w:p w14:paraId="56553CCB" w14:textId="77777777" w:rsidR="008A57FB" w:rsidRDefault="008A57FB" w:rsidP="008A57FB">
      <w:pPr>
        <w:pStyle w:val="whitespace-normal"/>
      </w:pPr>
      <w:r>
        <w:rPr>
          <w:rStyle w:val="Fett"/>
          <w:rFonts w:eastAsiaTheme="majorEastAsia"/>
        </w:rPr>
        <w:t>Deutsch:</w:t>
      </w:r>
      <w:r>
        <w:t xml:space="preserve"> Denn dieses Gebot, das ich dir heute gebiete, ist nicht zu wunderbar für dich und ist nicht fern.</w:t>
      </w:r>
    </w:p>
    <w:p w14:paraId="1F0A2080" w14:textId="77777777" w:rsidR="008A57FB" w:rsidRDefault="004F5CEB" w:rsidP="008A57FB">
      <w:r>
        <w:rPr>
          <w:noProof/>
        </w:rPr>
        <w:pict w14:anchorId="71649357">
          <v:rect id="_x0000_i1853" style="width:0;height:1.5pt" o:hralign="center" o:hrstd="t" o:hr="t" fillcolor="#a0a0a0" stroked="f"/>
        </w:pict>
      </w:r>
    </w:p>
    <w:p w14:paraId="628D7F6D"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כִּי הַמִּצְוָה הַזֹּאת אֲשֶׁר אָנֹכִי מְצַוְּךָ הַיּוֹם לֹא־נִפְלֵאת הִוא מִמְּךָ וְלֹא רְחֹקָה הִוא</w:t>
      </w:r>
      <w:r>
        <w:rPr>
          <w:rtl/>
        </w:rPr>
        <w:t xml:space="preserve"> </w:t>
      </w:r>
      <w:r>
        <w:t xml:space="preserve">sind zwei Aussagen: </w:t>
      </w:r>
      <w:r>
        <w:rPr>
          <w:rStyle w:val="Fett"/>
          <w:rFonts w:eastAsiaTheme="majorEastAsia"/>
          <w:rtl/>
        </w:rPr>
        <w:t>כִּי הַמִּצְוָה הַזֹּאת אֲשֶׁר אָנֹכִי מְצַוְּךָ הַיּוֹם לֹא־נִפְלֵאת הִוא מִמְּךָ</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מִצְוָה</w:t>
      </w:r>
      <w:r>
        <w:rPr>
          <w:rtl/>
        </w:rPr>
        <w:t xml:space="preserve"> </w:t>
      </w:r>
      <w:r>
        <w:t xml:space="preserve">mit Artikel, </w:t>
      </w:r>
      <w:r>
        <w:rPr>
          <w:rStyle w:val="Fett"/>
          <w:rFonts w:eastAsiaTheme="majorEastAsia"/>
          <w:rtl/>
        </w:rPr>
        <w:t>זֹאת</w:t>
      </w:r>
      <w:r>
        <w:t xml:space="preserve">, Relativsatz wie üblich, Negation, </w:t>
      </w:r>
      <w:r>
        <w:rPr>
          <w:rStyle w:val="Fett"/>
          <w:rFonts w:eastAsiaTheme="majorEastAsia"/>
          <w:rtl/>
        </w:rPr>
        <w:t>פלא</w:t>
      </w:r>
      <w:r>
        <w:t xml:space="preserve">, Niphal Partizip Femininum Singular, „wunderbar, zu schwierig, unbegreiflich", </w:t>
      </w:r>
      <w:r>
        <w:rPr>
          <w:rStyle w:val="Fett"/>
          <w:rFonts w:eastAsiaTheme="majorEastAsia"/>
          <w:rtl/>
        </w:rPr>
        <w:t>הִוא</w:t>
      </w:r>
      <w:r>
        <w:t xml:space="preserve">, </w:t>
      </w:r>
      <w:r>
        <w:rPr>
          <w:rStyle w:val="Fett"/>
          <w:rFonts w:eastAsiaTheme="majorEastAsia"/>
          <w:rtl/>
        </w:rPr>
        <w:t>מִמְּךָ</w:t>
      </w:r>
      <w:r>
        <w:t xml:space="preserve">), </w:t>
      </w:r>
      <w:r>
        <w:rPr>
          <w:rStyle w:val="Fett"/>
          <w:rFonts w:eastAsiaTheme="majorEastAsia"/>
          <w:rtl/>
        </w:rPr>
        <w:t>וְלֹא רְחֹקָה הִוא</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רָחוֹק</w:t>
      </w:r>
      <w:r>
        <w:t xml:space="preserve">, Adjektiv Femininum Singular, „fern, entfernt", </w:t>
      </w:r>
      <w:r>
        <w:rPr>
          <w:rStyle w:val="Fett"/>
          <w:rFonts w:eastAsiaTheme="majorEastAsia"/>
          <w:rtl/>
        </w:rPr>
        <w:t>הִוא</w:t>
      </w:r>
      <w:r>
        <w:t>).</w:t>
      </w:r>
    </w:p>
    <w:p w14:paraId="695E69E3" w14:textId="1DA3EAA3" w:rsidR="008A57FB" w:rsidRDefault="008A57FB" w:rsidP="008A57FB">
      <w:pPr>
        <w:pStyle w:val="whitespace-normal"/>
      </w:pPr>
      <w:r>
        <w:t xml:space="preserve">Der Vers beginnt einen neuen Abschnitt (V. 11-14), der die Zugänglichkeit der </w:t>
      </w:r>
      <w:r w:rsidR="006D3FED">
        <w:t>Torah</w:t>
      </w:r>
      <w:r>
        <w:t xml:space="preserve"> betont. Die beiden Aussagen: </w:t>
      </w:r>
      <w:r>
        <w:rPr>
          <w:rStyle w:val="Fett"/>
          <w:rFonts w:eastAsiaTheme="majorEastAsia"/>
          <w:rtl/>
        </w:rPr>
        <w:t>כִּי הַמִּצְוָה הַזֹּאת אֲשֶׁר אָנֹכִי מְצַוְּךָ הַיּוֹם לֹא־נִפְלֵאת הִוא מִמְּךָ וְלֹא רְחֹקָה הִוא</w:t>
      </w:r>
      <w:r>
        <w:rPr>
          <w:rtl/>
        </w:rPr>
        <w:t xml:space="preserve"> </w:t>
      </w:r>
      <w:r>
        <w:t xml:space="preserve">(„denn dieses Gebot, das ich dir heute gebiete, ist nicht zu wunderbar für dich und ist nicht fern"). Der Begriff </w:t>
      </w:r>
      <w:r>
        <w:rPr>
          <w:rStyle w:val="Fett"/>
          <w:rFonts w:eastAsiaTheme="majorEastAsia"/>
          <w:rtl/>
        </w:rPr>
        <w:t>מִצְוָה</w:t>
      </w:r>
      <w:r>
        <w:rPr>
          <w:rtl/>
        </w:rPr>
        <w:t xml:space="preserve"> </w:t>
      </w:r>
      <w:r>
        <w:t xml:space="preserve">(„Gebot") kann hier entweder (1) das spezifische Gebot der Umkehr aus V. 1-10 bedeuten, oder (2) die gesamte </w:t>
      </w:r>
      <w:r w:rsidR="006D3FED">
        <w:t>Torah</w:t>
      </w:r>
      <w:r>
        <w:t xml:space="preserve">/alle Gebote kollektiv bezeichnen (so die meisten Ausleger). Die erste Negation: </w:t>
      </w:r>
      <w:r>
        <w:rPr>
          <w:rStyle w:val="Fett"/>
          <w:rFonts w:eastAsiaTheme="majorEastAsia"/>
          <w:rtl/>
        </w:rPr>
        <w:t>לֹא־נִפְלֵאת הִוא מִמְּךָ</w:t>
      </w:r>
      <w:r>
        <w:rPr>
          <w:rtl/>
        </w:rPr>
        <w:t xml:space="preserve"> </w:t>
      </w:r>
      <w:r>
        <w:t xml:space="preserve">(„nicht ist sie zu wunderbar für dich"). Das Partizip </w:t>
      </w:r>
      <w:r>
        <w:rPr>
          <w:rStyle w:val="Fett"/>
          <w:rFonts w:eastAsiaTheme="majorEastAsia"/>
          <w:rtl/>
        </w:rPr>
        <w:t>נִפְלָא</w:t>
      </w:r>
      <w:r>
        <w:rPr>
          <w:rtl/>
        </w:rPr>
        <w:t xml:space="preserve"> </w:t>
      </w:r>
      <w:r>
        <w:t xml:space="preserve">bedeutet: „wunderbar, außerordentlich, zu schwierig, unbegreiflich" (vgl. Gen 18,14; Ri 13,18; </w:t>
      </w:r>
      <w:r w:rsidR="00664EB6">
        <w:t>2Sam</w:t>
      </w:r>
      <w:r>
        <w:t xml:space="preserve"> 13,2; Ps 131,1; Jer 32,17.27). Die </w:t>
      </w:r>
      <w:r w:rsidR="006D3FED">
        <w:t>Torah</w:t>
      </w:r>
      <w:r>
        <w:t xml:space="preserve"> ist nicht zu schwierig oder </w:t>
      </w:r>
      <w:r>
        <w:lastRenderedPageBreak/>
        <w:t xml:space="preserve">unerreichbar. Die zweite Negation: </w:t>
      </w:r>
      <w:r>
        <w:rPr>
          <w:rStyle w:val="Fett"/>
          <w:rFonts w:eastAsiaTheme="majorEastAsia"/>
          <w:rtl/>
        </w:rPr>
        <w:t>וְלֹא רְחֹקָה הִוא</w:t>
      </w:r>
      <w:r>
        <w:rPr>
          <w:rtl/>
        </w:rPr>
        <w:t xml:space="preserve"> </w:t>
      </w:r>
      <w:r>
        <w:t xml:space="preserve">(„und nicht ist sie fern"). Räumliche und geistige Ferne – die </w:t>
      </w:r>
      <w:r w:rsidR="006D3FED">
        <w:t>Torah</w:t>
      </w:r>
      <w:r>
        <w:t xml:space="preserve"> ist nahbar. V. 12-13 werden diese beiden Negationen entfalten.</w:t>
      </w:r>
    </w:p>
    <w:p w14:paraId="16C07B77" w14:textId="01FCC5D4" w:rsidR="00C367A0" w:rsidRDefault="00C367A0" w:rsidP="008A57FB">
      <w:pPr>
        <w:pStyle w:val="whitespace-normal"/>
      </w:pPr>
      <w:r>
        <w:rPr>
          <w:rStyle w:val="Fett"/>
        </w:rPr>
        <w:t>Die LXX</w:t>
      </w:r>
      <w:r>
        <w:t xml:space="preserve"> übersetzt </w:t>
      </w:r>
      <w:r>
        <w:rPr>
          <w:rtl/>
        </w:rPr>
        <w:t>לֹא־נִפְלֵאת הִוא</w:t>
      </w:r>
      <w:r>
        <w:t xml:space="preserve"> (sie ist nicht zu wunderbar/schwierig) mit </w:t>
      </w:r>
      <w:proofErr w:type="spellStart"/>
      <w:r>
        <w:t>οὐχ</w:t>
      </w:r>
      <w:proofErr w:type="spellEnd"/>
      <w:r>
        <w:t xml:space="preserve"> ὑπ</w:t>
      </w:r>
      <w:proofErr w:type="spellStart"/>
      <w:r>
        <w:t>έρογκός</w:t>
      </w:r>
      <w:proofErr w:type="spellEnd"/>
      <w:r>
        <w:t xml:space="preserve"> </w:t>
      </w:r>
      <w:proofErr w:type="spellStart"/>
      <w:r>
        <w:t>ἐστιν</w:t>
      </w:r>
      <w:proofErr w:type="spellEnd"/>
      <w:r>
        <w:t xml:space="preserve"> (sie ist nicht zu groß/übermäßig) – wobei ὑπ</w:t>
      </w:r>
      <w:proofErr w:type="spellStart"/>
      <w:r>
        <w:t>έρογκος</w:t>
      </w:r>
      <w:proofErr w:type="spellEnd"/>
      <w:r>
        <w:t xml:space="preserve"> "übermäßig groß, schwülstig" bedeutet und eine etwas andere Nuance hat als das hebräische </w:t>
      </w:r>
      <w:r>
        <w:rPr>
          <w:rtl/>
        </w:rPr>
        <w:t>נִפְלָא</w:t>
      </w:r>
      <w:r>
        <w:t>.</w:t>
      </w:r>
    </w:p>
    <w:p w14:paraId="66111BE1" w14:textId="77777777" w:rsidR="008A57FB" w:rsidRDefault="008A57FB" w:rsidP="008A57FB">
      <w:pPr>
        <w:pStyle w:val="whitespace-normal"/>
      </w:pPr>
      <w:r>
        <w:rPr>
          <w:rStyle w:val="Fett"/>
          <w:rFonts w:eastAsiaTheme="majorEastAsia"/>
        </w:rPr>
        <w:t>Die Satzstruktur:</w:t>
      </w:r>
      <w:r>
        <w:t xml:space="preserve"> Zwei negative Aussagen (denn dieses Gebot, das ich dir heute gebiete, ist nicht zu wunderbar für dich und ist nicht fern).</w:t>
      </w:r>
    </w:p>
    <w:p w14:paraId="500A6741" w14:textId="5948F870" w:rsidR="008A57FB" w:rsidRDefault="008A57FB" w:rsidP="00B77CC6">
      <w:pPr>
        <w:pStyle w:val="whitespace-normal"/>
      </w:pPr>
      <w:r>
        <w:rPr>
          <w:rStyle w:val="Fett"/>
          <w:rFonts w:eastAsiaTheme="majorEastAsia"/>
        </w:rPr>
        <w:t>Der Vers beschreibt:</w:t>
      </w:r>
      <w:r>
        <w:t xml:space="preserve"> Zugänglichkeit der </w:t>
      </w:r>
      <w:r w:rsidR="006D3FED">
        <w:t>Torah</w:t>
      </w:r>
      <w:r>
        <w:t xml:space="preserve"> – sie ist nicht zu schwierig und nicht zu fern.</w:t>
      </w:r>
    </w:p>
    <w:p w14:paraId="3A27FEA2" w14:textId="77777777" w:rsidR="008A57FB" w:rsidRPr="008D48A3" w:rsidRDefault="008A57FB" w:rsidP="008D48A3">
      <w:pPr>
        <w:pStyle w:val="Bibelberschrift"/>
      </w:pPr>
      <w:r w:rsidRPr="008D48A3">
        <w:rPr>
          <w:rStyle w:val="Fett"/>
          <w:b/>
          <w:bCs w:val="0"/>
        </w:rPr>
        <w:t>Deuteronomium 30,12</w:t>
      </w:r>
    </w:p>
    <w:p w14:paraId="2B605469" w14:textId="77777777" w:rsidR="008A57FB" w:rsidRDefault="008A57FB" w:rsidP="008A57FB">
      <w:pPr>
        <w:pStyle w:val="whitespace-normal"/>
      </w:pPr>
      <w:r>
        <w:rPr>
          <w:rStyle w:val="Fett"/>
          <w:rFonts w:eastAsiaTheme="majorEastAsia"/>
        </w:rPr>
        <w:t>Hebräisch:</w:t>
      </w:r>
      <w:r>
        <w:t xml:space="preserve"> </w:t>
      </w:r>
      <w:r>
        <w:rPr>
          <w:rtl/>
        </w:rPr>
        <w:t>לֹא בַשָּׁמַיִם הִוא לֵאמֹר מִי יַעֲלֶה־לָּנוּ הַשָּׁמַיְמָה וְיִקָּחֶהָ לָּנוּ וְיַשְׁמִעֵנוּ אֹתָהּ וְנַעֲשֶׂנָּה׃</w:t>
      </w:r>
    </w:p>
    <w:p w14:paraId="29930588" w14:textId="77777777" w:rsidR="008A57FB" w:rsidRDefault="008A57FB" w:rsidP="008A57FB">
      <w:pPr>
        <w:pStyle w:val="whitespace-normal"/>
      </w:pPr>
      <w:r>
        <w:rPr>
          <w:rStyle w:val="Fett"/>
          <w:rFonts w:eastAsiaTheme="majorEastAsia"/>
        </w:rPr>
        <w:t>Deutsch:</w:t>
      </w:r>
      <w:r>
        <w:t xml:space="preserve"> Nicht im Himmel ist sie, dass du sagen müsstest: Wer wird für uns zum Himmel hinaufsteigen und sie für uns holen und sie uns hören lassen, damit wir sie tun?</w:t>
      </w:r>
    </w:p>
    <w:p w14:paraId="0847ED87" w14:textId="77777777" w:rsidR="008A57FB" w:rsidRDefault="004F5CEB" w:rsidP="008A57FB">
      <w:r>
        <w:rPr>
          <w:noProof/>
        </w:rPr>
        <w:pict w14:anchorId="42FA6F0A">
          <v:rect id="_x0000_i1854" style="width:0;height:1.5pt" o:hralign="center" o:hrstd="t" o:hr="t" fillcolor="#a0a0a0" stroked="f"/>
        </w:pict>
      </w:r>
    </w:p>
    <w:p w14:paraId="4A701395"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לֹא בַשָּׁמַיִם הִוא לֵאמֹר מִי יַעֲלֶה־לָּנוּ הַשָּׁמַיְמָה וְיִקָּחֶהָ לָּנוּ וְיַשְׁמִעֵנוּ אֹתָהּ וְנַעֲשֶׂנָּה</w:t>
      </w:r>
      <w:r>
        <w:rPr>
          <w:rtl/>
        </w:rPr>
        <w:t xml:space="preserve"> </w:t>
      </w:r>
      <w:r>
        <w:t xml:space="preserve">sind Aussage und hypothetische Frage: </w:t>
      </w:r>
      <w:r>
        <w:rPr>
          <w:rStyle w:val="Fett"/>
          <w:rFonts w:eastAsiaTheme="majorEastAsia"/>
          <w:rtl/>
        </w:rPr>
        <w:t>לֹא בַשָּׁמַיִם הִוא</w:t>
      </w:r>
      <w:r>
        <w:rPr>
          <w:rtl/>
        </w:rPr>
        <w:t xml:space="preserve"> </w:t>
      </w:r>
      <w:r>
        <w:t xml:space="preserve">(Negation, </w:t>
      </w:r>
      <w:r>
        <w:rPr>
          <w:rStyle w:val="Fett"/>
          <w:rFonts w:eastAsiaTheme="majorEastAsia"/>
          <w:rtl/>
        </w:rPr>
        <w:t>בַּשָּׁמַיִם</w:t>
      </w:r>
      <w:r>
        <w:t xml:space="preserve">, </w:t>
      </w:r>
      <w:r>
        <w:rPr>
          <w:rStyle w:val="Fett"/>
          <w:rFonts w:eastAsiaTheme="majorEastAsia"/>
          <w:rtl/>
        </w:rPr>
        <w:t>הִוא</w:t>
      </w:r>
      <w:r>
        <w:t xml:space="preserve">), </w:t>
      </w:r>
      <w:r>
        <w:rPr>
          <w:rStyle w:val="Fett"/>
          <w:rFonts w:eastAsiaTheme="majorEastAsia"/>
          <w:rtl/>
        </w:rPr>
        <w:t>לֵאמֹר מִי יַעֲלֶה־לָּנוּ הַשָּׁמַיְמָה וְיִקָּחֶהָ לָּנוּ וְיַשְׁמִעֵנוּ אֹתָהּ וְנַעֲשֶׂנָּה</w:t>
      </w:r>
      <w:r>
        <w:rPr>
          <w:rtl/>
        </w:rPr>
        <w:t xml:space="preserve"> </w:t>
      </w:r>
      <w:r>
        <w:t xml:space="preserve">(Präposition </w:t>
      </w:r>
      <w:r>
        <w:rPr>
          <w:rStyle w:val="Fett"/>
          <w:rFonts w:eastAsiaTheme="majorEastAsia"/>
          <w:rtl/>
        </w:rPr>
        <w:t>לְ</w:t>
      </w:r>
      <w:r>
        <w:rPr>
          <w:rtl/>
        </w:rPr>
        <w:t xml:space="preserve"> </w:t>
      </w:r>
      <w:r>
        <w:t xml:space="preserve">+ Qal Infinitiv Construct von </w:t>
      </w:r>
      <w:r>
        <w:rPr>
          <w:rStyle w:val="Fett"/>
          <w:rFonts w:eastAsiaTheme="majorEastAsia"/>
          <w:rtl/>
        </w:rPr>
        <w:t>אמר</w:t>
      </w:r>
      <w:r>
        <w:t xml:space="preserve">, hypothetische Frage: </w:t>
      </w:r>
      <w:r>
        <w:rPr>
          <w:rStyle w:val="Fett"/>
          <w:rFonts w:eastAsiaTheme="majorEastAsia"/>
          <w:rtl/>
        </w:rPr>
        <w:t>מִי</w:t>
      </w:r>
      <w:r>
        <w:t xml:space="preserve">, </w:t>
      </w:r>
      <w:r>
        <w:rPr>
          <w:rStyle w:val="Fett"/>
          <w:rFonts w:eastAsiaTheme="majorEastAsia"/>
          <w:rtl/>
        </w:rPr>
        <w:t>עלה</w:t>
      </w:r>
      <w:r>
        <w:t xml:space="preserve">, Qal Imperfekt, 3. Person Maskulinum Singular, „hinaufsteigen", </w:t>
      </w:r>
      <w:r>
        <w:rPr>
          <w:rStyle w:val="Fett"/>
          <w:rFonts w:eastAsiaTheme="majorEastAsia"/>
          <w:rtl/>
        </w:rPr>
        <w:t>לָּנוּ</w:t>
      </w:r>
      <w:r>
        <w:t xml:space="preserve">, </w:t>
      </w:r>
      <w:r>
        <w:rPr>
          <w:rStyle w:val="Fett"/>
          <w:rFonts w:eastAsiaTheme="majorEastAsia"/>
          <w:rtl/>
        </w:rPr>
        <w:t>הַשָּׁמַיְמָה</w:t>
      </w:r>
      <w:r>
        <w:t xml:space="preserve">, „himmelwärts" (Richtungsendung </w:t>
      </w:r>
      <w:r>
        <w:rPr>
          <w:rStyle w:val="Fett"/>
          <w:rFonts w:eastAsiaTheme="majorEastAsia"/>
        </w:rPr>
        <w:t>-</w:t>
      </w:r>
      <w:r>
        <w:rPr>
          <w:rStyle w:val="Fett"/>
          <w:rFonts w:eastAsiaTheme="majorEastAsia"/>
          <w:rtl/>
        </w:rPr>
        <w:t>ה</w:t>
      </w:r>
      <w:r>
        <w:t xml:space="preserve">), drei koordinierte Aussagen mit </w:t>
      </w:r>
      <w:r>
        <w:rPr>
          <w:rStyle w:val="Fett"/>
          <w:rFonts w:eastAsiaTheme="majorEastAsia"/>
        </w:rPr>
        <w:t>Waw</w:t>
      </w:r>
      <w:r>
        <w:t xml:space="preserve"> consecutivum: </w:t>
      </w:r>
      <w:r>
        <w:rPr>
          <w:rStyle w:val="Fett"/>
          <w:rFonts w:eastAsiaTheme="majorEastAsia"/>
          <w:rtl/>
        </w:rPr>
        <w:t>וְיִקָּחֶהָ לָּנוּ</w:t>
      </w:r>
      <w:r>
        <w:rPr>
          <w:rtl/>
        </w:rPr>
        <w:t xml:space="preserve"> </w:t>
      </w:r>
      <w:r>
        <w:t xml:space="preserve">mit </w:t>
      </w:r>
      <w:r>
        <w:rPr>
          <w:rStyle w:val="Fett"/>
          <w:rFonts w:eastAsiaTheme="majorEastAsia"/>
          <w:rtl/>
        </w:rPr>
        <w:t>לקח</w:t>
      </w:r>
      <w:r>
        <w:t xml:space="preserve">, Qal Imperfekt, 3. Person Maskulinum Singular, mit Suffix 3. Person Femininum Singular, </w:t>
      </w:r>
      <w:r>
        <w:rPr>
          <w:rStyle w:val="Fett"/>
          <w:rFonts w:eastAsiaTheme="majorEastAsia"/>
          <w:rtl/>
        </w:rPr>
        <w:t>לָּנוּ</w:t>
      </w:r>
      <w:r>
        <w:t xml:space="preserve">, </w:t>
      </w:r>
      <w:r>
        <w:rPr>
          <w:rStyle w:val="Fett"/>
          <w:rFonts w:eastAsiaTheme="majorEastAsia"/>
          <w:rtl/>
        </w:rPr>
        <w:t>וְיַשְׁמִעֵנוּ אֹתָהּ</w:t>
      </w:r>
      <w:r>
        <w:rPr>
          <w:rtl/>
        </w:rPr>
        <w:t xml:space="preserve"> </w:t>
      </w:r>
      <w:r>
        <w:t xml:space="preserve">mit </w:t>
      </w:r>
      <w:r>
        <w:rPr>
          <w:rStyle w:val="Fett"/>
          <w:rFonts w:eastAsiaTheme="majorEastAsia"/>
          <w:rtl/>
        </w:rPr>
        <w:t>שׁמע</w:t>
      </w:r>
      <w:r>
        <w:t xml:space="preserve">, Hiphil Imperfekt, 3. Person Maskulinum Singular, „hören lassen", mit Suffix 1. Person Plural, Objektpartikel </w:t>
      </w:r>
      <w:r>
        <w:rPr>
          <w:rStyle w:val="Fett"/>
          <w:rFonts w:eastAsiaTheme="majorEastAsia"/>
          <w:rtl/>
        </w:rPr>
        <w:t>אֵת</w:t>
      </w:r>
      <w:r>
        <w:rPr>
          <w:rtl/>
        </w:rPr>
        <w:t xml:space="preserve"> </w:t>
      </w:r>
      <w:r>
        <w:t xml:space="preserve">mit Suffix 3. Person Femininum Singular, </w:t>
      </w:r>
      <w:r>
        <w:rPr>
          <w:rStyle w:val="Fett"/>
          <w:rFonts w:eastAsiaTheme="majorEastAsia"/>
          <w:rtl/>
        </w:rPr>
        <w:t>וְנַעֲשֶׂנָּה</w:t>
      </w:r>
      <w:r>
        <w:rPr>
          <w:rtl/>
        </w:rPr>
        <w:t xml:space="preserve"> </w:t>
      </w:r>
      <w:r>
        <w:t xml:space="preserve">mit </w:t>
      </w:r>
      <w:r>
        <w:rPr>
          <w:rStyle w:val="Fett"/>
          <w:rFonts w:eastAsiaTheme="majorEastAsia"/>
          <w:rtl/>
        </w:rPr>
        <w:t>עשׂה</w:t>
      </w:r>
      <w:r>
        <w:t>, Qal Imperfekt, 1. Person Plural (Kohortativ), mit Suffix 3. Person Femininum Singular).</w:t>
      </w:r>
    </w:p>
    <w:p w14:paraId="48AC162B" w14:textId="6CB7B717" w:rsidR="008A57FB" w:rsidRDefault="008A57FB" w:rsidP="008A57FB">
      <w:pPr>
        <w:pStyle w:val="whitespace-normal"/>
      </w:pPr>
      <w:r>
        <w:t xml:space="preserve">Der Vers entfaltet die erste Negation aus V. 11 – die </w:t>
      </w:r>
      <w:r w:rsidR="006D3FED">
        <w:t>Torah</w:t>
      </w:r>
      <w:r>
        <w:t xml:space="preserve"> ist nicht im unzugänglichen Himmel. Die Aussage: </w:t>
      </w:r>
      <w:r>
        <w:rPr>
          <w:rStyle w:val="Fett"/>
          <w:rFonts w:eastAsiaTheme="majorEastAsia"/>
          <w:rtl/>
        </w:rPr>
        <w:t>לֹא בַשָּׁמַיִם הִוא</w:t>
      </w:r>
      <w:r>
        <w:rPr>
          <w:rtl/>
        </w:rPr>
        <w:t xml:space="preserve"> </w:t>
      </w:r>
      <w:r>
        <w:t xml:space="preserve">(„nicht im Himmel ist sie"). Die </w:t>
      </w:r>
      <w:r w:rsidR="006D3FED">
        <w:t>Torah</w:t>
      </w:r>
      <w:r>
        <w:t xml:space="preserve"> ist nicht in einer unerreichbaren himmlischen Sphäre verborgen. Die hypothetische Frage: </w:t>
      </w:r>
      <w:r>
        <w:rPr>
          <w:rStyle w:val="Fett"/>
          <w:rFonts w:eastAsiaTheme="majorEastAsia"/>
          <w:rtl/>
        </w:rPr>
        <w:t>לֵאמֹר מִי יַעֲלֶה־לָּנוּ הַשָּׁמַיְמָה וְיִקָּחֶהָ לָּנוּ וְיַשְׁמִעֵנוּ אֹתָהּ וְנַעֲשֶׂנָּה</w:t>
      </w:r>
      <w:r>
        <w:rPr>
          <w:rtl/>
        </w:rPr>
        <w:t xml:space="preserve"> </w:t>
      </w:r>
      <w:r>
        <w:t xml:space="preserve">(„dass du sagen müsstest: Wer wird für uns zum Himmel hinaufsteigen und sie für uns holen und sie uns hören lassen, damit wir sie tun?"). Eine rhetorische Frage, die verneint wird – niemand muss zum Himmel steigen, um die </w:t>
      </w:r>
      <w:r w:rsidR="006D3FED">
        <w:t>Torah</w:t>
      </w:r>
      <w:r>
        <w:t xml:space="preserve"> zu holen. Die </w:t>
      </w:r>
      <w:r w:rsidR="006D3FED">
        <w:t>Torah</w:t>
      </w:r>
      <w:r>
        <w:t xml:space="preserve"> wurde bereits von Mose vom Berg Sinai/Horeb herabgebracht und ist jetzt verfügbar (vgl. Ex 19-20; 24,12-18; 31,18; 32,15-16; 34,1-4.27-29). Die vier Verben: (1) </w:t>
      </w:r>
      <w:r>
        <w:rPr>
          <w:rStyle w:val="Fett"/>
          <w:rFonts w:eastAsiaTheme="majorEastAsia"/>
          <w:rtl/>
        </w:rPr>
        <w:t>יַעֲלֶה הַשָּׁמַיְמָה</w:t>
      </w:r>
      <w:r>
        <w:rPr>
          <w:rtl/>
        </w:rPr>
        <w:t xml:space="preserve"> </w:t>
      </w:r>
      <w:r>
        <w:t xml:space="preserve">(„hinaufsteigen zum Himmel"), (2) </w:t>
      </w:r>
      <w:r>
        <w:rPr>
          <w:rStyle w:val="Fett"/>
          <w:rFonts w:eastAsiaTheme="majorEastAsia"/>
          <w:rtl/>
        </w:rPr>
        <w:t>יִקָּחֶהָ</w:t>
      </w:r>
      <w:r>
        <w:rPr>
          <w:rtl/>
        </w:rPr>
        <w:t xml:space="preserve"> </w:t>
      </w:r>
      <w:r>
        <w:t xml:space="preserve">(„sie holen"), (3) </w:t>
      </w:r>
      <w:r>
        <w:rPr>
          <w:rStyle w:val="Fett"/>
          <w:rFonts w:eastAsiaTheme="majorEastAsia"/>
          <w:rtl/>
        </w:rPr>
        <w:t>יַשְׁמִעֵנוּ אֹתָהּ</w:t>
      </w:r>
      <w:r>
        <w:rPr>
          <w:rtl/>
        </w:rPr>
        <w:t xml:space="preserve"> </w:t>
      </w:r>
      <w:r>
        <w:t xml:space="preserve">(„sie uns hören lassen"), (4) </w:t>
      </w:r>
      <w:r>
        <w:rPr>
          <w:rStyle w:val="Fett"/>
          <w:rFonts w:eastAsiaTheme="majorEastAsia"/>
          <w:rtl/>
        </w:rPr>
        <w:t>נַעֲשֶׂנָּה</w:t>
      </w:r>
      <w:r>
        <w:rPr>
          <w:rtl/>
        </w:rPr>
        <w:t xml:space="preserve"> </w:t>
      </w:r>
      <w:r>
        <w:t>(„wir sie tun") – die gesamte Kette ist unnötig.</w:t>
      </w:r>
    </w:p>
    <w:p w14:paraId="2E2D7DEA" w14:textId="351EF6D4" w:rsidR="00C367A0" w:rsidRDefault="00C367A0" w:rsidP="008A57FB">
      <w:pPr>
        <w:pStyle w:val="whitespace-normal"/>
      </w:pPr>
      <w:r>
        <w:rPr>
          <w:rStyle w:val="Fett"/>
        </w:rPr>
        <w:t>Die LXX</w:t>
      </w:r>
      <w:r>
        <w:t xml:space="preserve"> fügt </w:t>
      </w:r>
      <w:proofErr w:type="spellStart"/>
      <w:r>
        <w:t>λέγων</w:t>
      </w:r>
      <w:proofErr w:type="spellEnd"/>
      <w:r>
        <w:t xml:space="preserve"> (sagend) hinzu, um die direkte Rede einzuleiten. Das Verb </w:t>
      </w:r>
      <w:proofErr w:type="spellStart"/>
      <w:r>
        <w:t>ἀν</w:t>
      </w:r>
      <w:proofErr w:type="spellEnd"/>
      <w:r>
        <w:t xml:space="preserve">αβήσεται (wird hinaufsteigen) für </w:t>
      </w:r>
      <w:r>
        <w:rPr>
          <w:rtl/>
        </w:rPr>
        <w:t>יַעֲלֶה</w:t>
      </w:r>
      <w:r>
        <w:t xml:space="preserve"> ist präzise.</w:t>
      </w:r>
    </w:p>
    <w:p w14:paraId="0CDB3DB3" w14:textId="77777777" w:rsidR="008A57FB" w:rsidRDefault="008A57FB" w:rsidP="008A57FB">
      <w:pPr>
        <w:pStyle w:val="whitespace-normal"/>
      </w:pPr>
      <w:r>
        <w:rPr>
          <w:rStyle w:val="Fett"/>
          <w:rFonts w:eastAsiaTheme="majorEastAsia"/>
        </w:rPr>
        <w:lastRenderedPageBreak/>
        <w:t>Die Satzstruktur:</w:t>
      </w:r>
      <w:r>
        <w:t xml:space="preserve"> Aussage und hypothetische Frage (nicht im Himmel ist sie, dass du sagen müsstest: Wer wird für uns zum Himmel hinaufsteigen und sie für uns holen und sie uns hören lassen, damit wir sie tun?).</w:t>
      </w:r>
    </w:p>
    <w:p w14:paraId="4F1867B0" w14:textId="6661AFB7" w:rsidR="008A57FB" w:rsidRDefault="008A57FB" w:rsidP="00B77CC6">
      <w:pPr>
        <w:pStyle w:val="whitespace-normal"/>
      </w:pPr>
      <w:r>
        <w:rPr>
          <w:rStyle w:val="Fett"/>
          <w:rFonts w:eastAsiaTheme="majorEastAsia"/>
        </w:rPr>
        <w:t>Der Vers beschreibt:</w:t>
      </w:r>
      <w:r>
        <w:t xml:space="preserve"> Die </w:t>
      </w:r>
      <w:r w:rsidR="006D3FED">
        <w:t>Torah</w:t>
      </w:r>
      <w:r>
        <w:t xml:space="preserve"> ist nicht im unerreichbaren Himmel – niemand muss hinaufsteigen, um sie zu holen.</w:t>
      </w:r>
    </w:p>
    <w:p w14:paraId="764EAB11" w14:textId="77777777" w:rsidR="008A57FB" w:rsidRPr="008D48A3" w:rsidRDefault="008A57FB" w:rsidP="008D48A3">
      <w:pPr>
        <w:pStyle w:val="Bibelberschrift"/>
      </w:pPr>
      <w:r w:rsidRPr="008D48A3">
        <w:rPr>
          <w:rStyle w:val="Fett"/>
          <w:b/>
          <w:bCs w:val="0"/>
        </w:rPr>
        <w:t>Deuteronomium 30,13</w:t>
      </w:r>
    </w:p>
    <w:p w14:paraId="4305AD1A" w14:textId="77777777" w:rsidR="008A57FB" w:rsidRDefault="008A57FB" w:rsidP="008A57FB">
      <w:pPr>
        <w:pStyle w:val="whitespace-normal"/>
      </w:pPr>
      <w:r>
        <w:rPr>
          <w:rStyle w:val="Fett"/>
          <w:rFonts w:eastAsiaTheme="majorEastAsia"/>
        </w:rPr>
        <w:t>Hebräisch:</w:t>
      </w:r>
      <w:r>
        <w:t xml:space="preserve"> </w:t>
      </w:r>
      <w:r>
        <w:rPr>
          <w:rtl/>
        </w:rPr>
        <w:t>וְלֹא־מֵעֵבֶר לַיָּם הִוא לֵאמֹר מִי יַעֲבָר־לָנוּ אֶל־עֵבֶר הַיָּם וְיִקָּחֶהָ לָּנוּ וְיַשְׁמִעֵנוּ אֹתָהּ וְנַעֲשֶׂנָּה׃</w:t>
      </w:r>
    </w:p>
    <w:p w14:paraId="4BCE9716" w14:textId="77777777" w:rsidR="008A57FB" w:rsidRDefault="008A57FB" w:rsidP="008A57FB">
      <w:pPr>
        <w:pStyle w:val="whitespace-normal"/>
      </w:pPr>
      <w:r>
        <w:rPr>
          <w:rStyle w:val="Fett"/>
          <w:rFonts w:eastAsiaTheme="majorEastAsia"/>
        </w:rPr>
        <w:t>Deutsch:</w:t>
      </w:r>
      <w:r>
        <w:t xml:space="preserve"> Und nicht jenseits des Meeres ist sie, dass du sagen müsstest: Wer wird für uns jenseits des Meeres hinüberfahren und sie für uns holen und sie uns hören lassen, damit wir sie tun?</w:t>
      </w:r>
    </w:p>
    <w:p w14:paraId="4F86FC43" w14:textId="77777777" w:rsidR="008A57FB" w:rsidRDefault="004F5CEB" w:rsidP="008A57FB">
      <w:r>
        <w:rPr>
          <w:noProof/>
        </w:rPr>
        <w:pict w14:anchorId="591472AD">
          <v:rect id="_x0000_i1855" style="width:0;height:1.5pt" o:hralign="center" o:hrstd="t" o:hr="t" fillcolor="#a0a0a0" stroked="f"/>
        </w:pict>
      </w:r>
    </w:p>
    <w:p w14:paraId="088864F1"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וְלֹא־מֵעֵבֶר לַיָּם הִוא לֵאמֹר מִי יַעֲבָר־לָנוּ אֶל־עֵבֶר הַיָּם וְיִקָּחֶהָ לָּנוּ וְיַשְׁמִעֵנוּ אֹתָהּ וְנַעֲשֶׂנָּה</w:t>
      </w:r>
      <w:r>
        <w:rPr>
          <w:rtl/>
        </w:rPr>
        <w:t xml:space="preserve"> </w:t>
      </w:r>
      <w:r>
        <w:t xml:space="preserve">ist parallel zu V. 12: </w:t>
      </w:r>
      <w:r>
        <w:rPr>
          <w:rStyle w:val="Fett"/>
          <w:rFonts w:eastAsiaTheme="majorEastAsia"/>
          <w:rtl/>
        </w:rPr>
        <w:t>וְלֹא־מֵעֵבֶר לַיָּם הִוא</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מֵעֵבֶר לַיָּם</w:t>
      </w:r>
      <w:r>
        <w:t xml:space="preserve">, „jenseits des Meeres", </w:t>
      </w:r>
      <w:r>
        <w:rPr>
          <w:rStyle w:val="Fett"/>
          <w:rFonts w:eastAsiaTheme="majorEastAsia"/>
          <w:rtl/>
        </w:rPr>
        <w:t>הִוא</w:t>
      </w:r>
      <w:r>
        <w:t xml:space="preserve">), </w:t>
      </w:r>
      <w:r>
        <w:rPr>
          <w:rStyle w:val="Fett"/>
          <w:rFonts w:eastAsiaTheme="majorEastAsia"/>
          <w:rtl/>
        </w:rPr>
        <w:t>לֵאמֹר מִי יַעֲבָר־לָנוּ אֶל־עֵבֶר הַיָּם וְיִקָּחֶהָ לָּנוּ וְיַשְׁמִעֵנוּ אֹתָהּ וְנַעֲשֶׂנָּה</w:t>
      </w:r>
      <w:r>
        <w:rPr>
          <w:rtl/>
        </w:rPr>
        <w:t xml:space="preserve"> </w:t>
      </w:r>
      <w:r>
        <w:t xml:space="preserve">(parallel zu V. 12, aber </w:t>
      </w:r>
      <w:r>
        <w:rPr>
          <w:rStyle w:val="Fett"/>
          <w:rFonts w:eastAsiaTheme="majorEastAsia"/>
          <w:rtl/>
        </w:rPr>
        <w:t>עבר</w:t>
      </w:r>
      <w:r>
        <w:t xml:space="preserve">, Qal Imperfekt, 3. Person Maskulinum Singular, „hinüberfahren, durchqueren", </w:t>
      </w:r>
      <w:r>
        <w:rPr>
          <w:rStyle w:val="Fett"/>
          <w:rFonts w:eastAsiaTheme="majorEastAsia"/>
          <w:rtl/>
        </w:rPr>
        <w:t>לָנוּ</w:t>
      </w:r>
      <w:r>
        <w:t xml:space="preserve">, </w:t>
      </w:r>
      <w:r>
        <w:rPr>
          <w:rStyle w:val="Fett"/>
          <w:rFonts w:eastAsiaTheme="majorEastAsia"/>
          <w:rtl/>
        </w:rPr>
        <w:t>אֶל־עֵבֶר הַיָּם</w:t>
      </w:r>
      <w:r>
        <w:t>, „zum jenseitigen Ufer des Meeres", dann identisch).</w:t>
      </w:r>
    </w:p>
    <w:p w14:paraId="739539C7" w14:textId="1F444EFB" w:rsidR="008A57FB" w:rsidRDefault="008A57FB" w:rsidP="008A57FB">
      <w:pPr>
        <w:pStyle w:val="whitespace-normal"/>
      </w:pPr>
      <w:r>
        <w:t xml:space="preserve">Der Vers entfaltet die zweite Negation aus V. 11 – die </w:t>
      </w:r>
      <w:r w:rsidR="006D3FED">
        <w:t>Torah</w:t>
      </w:r>
      <w:r>
        <w:t xml:space="preserve"> ist nicht jenseits des Meeres. Die Aussage: </w:t>
      </w:r>
      <w:r>
        <w:rPr>
          <w:rStyle w:val="Fett"/>
          <w:rFonts w:eastAsiaTheme="majorEastAsia"/>
          <w:rtl/>
        </w:rPr>
        <w:t>וְלֹא־מֵעֵבֶר לַיָּם הִוא</w:t>
      </w:r>
      <w:r>
        <w:rPr>
          <w:rtl/>
        </w:rPr>
        <w:t xml:space="preserve"> </w:t>
      </w:r>
      <w:r>
        <w:t xml:space="preserve">(„und nicht jenseits des Meeres ist sie"). Die </w:t>
      </w:r>
      <w:r w:rsidR="006D3FED">
        <w:t>Torah</w:t>
      </w:r>
      <w:r>
        <w:t xml:space="preserve"> ist nicht in fernen, überseeischen Ländern verborgen. Der Begriff </w:t>
      </w:r>
      <w:r>
        <w:rPr>
          <w:rStyle w:val="Fett"/>
          <w:rFonts w:eastAsiaTheme="majorEastAsia"/>
          <w:rtl/>
        </w:rPr>
        <w:t>מֵעֵבֶר לַיָּם</w:t>
      </w:r>
      <w:r>
        <w:rPr>
          <w:rtl/>
        </w:rPr>
        <w:t xml:space="preserve"> </w:t>
      </w:r>
      <w:r>
        <w:t xml:space="preserve">(„jenseits des Meeres") bezeichnet aus israelitischer Perspektive fremde, ferne Länder (vgl. </w:t>
      </w:r>
      <w:r w:rsidR="00664EB6">
        <w:t>1Kön</w:t>
      </w:r>
      <w:r>
        <w:t xml:space="preserve"> 5,4; Jes 18,1-2; </w:t>
      </w:r>
      <w:r w:rsidR="00BF3748">
        <w:t>Hes</w:t>
      </w:r>
      <w:r>
        <w:t xml:space="preserve"> 27,3-36). Die hypothetische Frage: </w:t>
      </w:r>
      <w:r>
        <w:rPr>
          <w:rStyle w:val="Fett"/>
          <w:rFonts w:eastAsiaTheme="majorEastAsia"/>
          <w:rtl/>
        </w:rPr>
        <w:t>לֵאמֹר מִי יַעֲבָר־לָנוּ אֶל־עֵבֶר הַיָּם וְיִקָּחֶהָ לָּנוּ וְיַשְׁמִעֵנוּ אֹתָהּ וְנַעֲשֶׂנָּה</w:t>
      </w:r>
      <w:r>
        <w:rPr>
          <w:rtl/>
        </w:rPr>
        <w:t xml:space="preserve"> </w:t>
      </w:r>
      <w:r>
        <w:t xml:space="preserve">(„dass du sagen müsstest: Wer wird für uns jenseits des Meeres hinüberfahren und sie für uns holen und sie uns hören lassen, damit wir sie tun?"). Wieder eine rhetorische Frage, die verneint wird – niemand muss über das Meer fahren, um die </w:t>
      </w:r>
      <w:r w:rsidR="006D3FED">
        <w:t>Torah</w:t>
      </w:r>
      <w:r>
        <w:t xml:space="preserve"> zu holen. Die Struktur ist identisch zu V. 12, nur dass </w:t>
      </w:r>
      <w:r>
        <w:rPr>
          <w:rStyle w:val="Fett"/>
          <w:rFonts w:eastAsiaTheme="majorEastAsia"/>
          <w:rtl/>
        </w:rPr>
        <w:t>עלה</w:t>
      </w:r>
      <w:r>
        <w:rPr>
          <w:rtl/>
        </w:rPr>
        <w:t xml:space="preserve"> </w:t>
      </w:r>
      <w:r>
        <w:t xml:space="preserve">(„hinaufsteigen") durch </w:t>
      </w:r>
      <w:r>
        <w:rPr>
          <w:rStyle w:val="Fett"/>
          <w:rFonts w:eastAsiaTheme="majorEastAsia"/>
          <w:rtl/>
        </w:rPr>
        <w:t>עבר</w:t>
      </w:r>
      <w:r>
        <w:rPr>
          <w:rtl/>
        </w:rPr>
        <w:t xml:space="preserve"> </w:t>
      </w:r>
      <w:r>
        <w:t>(„hinüberfahren, durchqueren") ersetzt ist.</w:t>
      </w:r>
    </w:p>
    <w:p w14:paraId="65530410" w14:textId="18271467" w:rsidR="00C367A0" w:rsidRDefault="00C367A0" w:rsidP="008A57FB">
      <w:pPr>
        <w:pStyle w:val="whitespace-normal"/>
      </w:pPr>
      <w:r>
        <w:rPr>
          <w:rStyle w:val="Fett"/>
        </w:rPr>
        <w:t>Die LXX</w:t>
      </w:r>
      <w:r>
        <w:t xml:space="preserve"> übersetzt </w:t>
      </w:r>
      <w:r>
        <w:rPr>
          <w:rtl/>
        </w:rPr>
        <w:t>מֵעֵבֶר לַיָּם</w:t>
      </w:r>
      <w:r>
        <w:t xml:space="preserve"> (jenseits des Meeres) mit π</w:t>
      </w:r>
      <w:proofErr w:type="spellStart"/>
      <w:r>
        <w:t>έρ</w:t>
      </w:r>
      <w:proofErr w:type="spellEnd"/>
      <w:r>
        <w:t xml:space="preserve">αν </w:t>
      </w:r>
      <w:proofErr w:type="spellStart"/>
      <w:r>
        <w:t>τῆς</w:t>
      </w:r>
      <w:proofErr w:type="spellEnd"/>
      <w:r>
        <w:t xml:space="preserve"> θα</w:t>
      </w:r>
      <w:proofErr w:type="spellStart"/>
      <w:r>
        <w:t>λάσσης</w:t>
      </w:r>
      <w:proofErr w:type="spellEnd"/>
      <w:r>
        <w:t xml:space="preserve"> (jenseits des Meeres) – eine direkte Entsprechung. Das Verb </w:t>
      </w:r>
      <w:proofErr w:type="spellStart"/>
      <w:r>
        <w:t>δι</w:t>
      </w:r>
      <w:proofErr w:type="spellEnd"/>
      <w:r>
        <w:t xml:space="preserve">απεράσει (wird hinübergehen) für </w:t>
      </w:r>
      <w:r>
        <w:rPr>
          <w:rtl/>
        </w:rPr>
        <w:t>יַעֲבָר</w:t>
      </w:r>
      <w:r>
        <w:t xml:space="preserve"> ist ein zusammengesetztes Verb, das das Durchqueren betont.</w:t>
      </w:r>
    </w:p>
    <w:p w14:paraId="3ED68B64" w14:textId="77777777" w:rsidR="008A57FB" w:rsidRDefault="008A57FB" w:rsidP="008A57FB">
      <w:pPr>
        <w:pStyle w:val="whitespace-normal"/>
      </w:pPr>
      <w:r>
        <w:rPr>
          <w:rStyle w:val="Fett"/>
          <w:rFonts w:eastAsiaTheme="majorEastAsia"/>
        </w:rPr>
        <w:t>Die Satzstruktur:</w:t>
      </w:r>
      <w:r>
        <w:t xml:space="preserve"> Aussage und hypothetische Frage (und nicht jenseits des Meeres ist sie, dass du sagen müsstest: Wer wird für uns jenseits des Meeres hinüberfahren und sie für uns holen und sie uns hören lassen, damit wir sie tun?).</w:t>
      </w:r>
    </w:p>
    <w:p w14:paraId="075F14C7" w14:textId="232AD48C" w:rsidR="008A57FB" w:rsidRDefault="008A57FB" w:rsidP="00B77CC6">
      <w:pPr>
        <w:pStyle w:val="whitespace-normal"/>
      </w:pPr>
      <w:r>
        <w:rPr>
          <w:rStyle w:val="Fett"/>
          <w:rFonts w:eastAsiaTheme="majorEastAsia"/>
        </w:rPr>
        <w:t>Der Vers beschreibt:</w:t>
      </w:r>
      <w:r>
        <w:t xml:space="preserve"> Die </w:t>
      </w:r>
      <w:r w:rsidR="006D3FED">
        <w:t>Torah</w:t>
      </w:r>
      <w:r>
        <w:t xml:space="preserve"> ist nicht jenseits des Meeres in fernen Ländern – niemand muss hinüberfahren, um sie zu holen.</w:t>
      </w:r>
    </w:p>
    <w:p w14:paraId="65ACCD83" w14:textId="77777777" w:rsidR="008A57FB" w:rsidRPr="008D48A3" w:rsidRDefault="008A57FB" w:rsidP="008D48A3">
      <w:pPr>
        <w:pStyle w:val="Bibelberschrift"/>
      </w:pPr>
      <w:r w:rsidRPr="008D48A3">
        <w:rPr>
          <w:rStyle w:val="Fett"/>
          <w:b/>
          <w:bCs w:val="0"/>
        </w:rPr>
        <w:lastRenderedPageBreak/>
        <w:t>Deuteronomium 30,14</w:t>
      </w:r>
    </w:p>
    <w:p w14:paraId="315515C6" w14:textId="77777777" w:rsidR="008A57FB" w:rsidRDefault="008A57FB" w:rsidP="008A57FB">
      <w:pPr>
        <w:pStyle w:val="whitespace-normal"/>
      </w:pPr>
      <w:r>
        <w:rPr>
          <w:rStyle w:val="Fett"/>
          <w:rFonts w:eastAsiaTheme="majorEastAsia"/>
        </w:rPr>
        <w:t>Hebräisch:</w:t>
      </w:r>
      <w:r>
        <w:t xml:space="preserve"> </w:t>
      </w:r>
      <w:r>
        <w:rPr>
          <w:rtl/>
        </w:rPr>
        <w:t>כִּי־קָרוֹב אֵלֶיךָ הַדָּבָר מְאֹד בְּפִיךָ וּבִלְבָבְךָ לַעֲשֹׂתוֹ׃</w:t>
      </w:r>
    </w:p>
    <w:p w14:paraId="28311816" w14:textId="77777777" w:rsidR="008A57FB" w:rsidRDefault="008A57FB" w:rsidP="008A57FB">
      <w:pPr>
        <w:pStyle w:val="whitespace-normal"/>
      </w:pPr>
      <w:r>
        <w:rPr>
          <w:rStyle w:val="Fett"/>
          <w:rFonts w:eastAsiaTheme="majorEastAsia"/>
        </w:rPr>
        <w:t>Deutsch:</w:t>
      </w:r>
      <w:r>
        <w:t xml:space="preserve"> Sondern sehr nahe ist dir das Wort, in deinem Mund und in deinem Herzen, um es zu tun.</w:t>
      </w:r>
    </w:p>
    <w:p w14:paraId="7E75BE95" w14:textId="77777777" w:rsidR="008A57FB" w:rsidRDefault="004F5CEB" w:rsidP="008A57FB">
      <w:r>
        <w:rPr>
          <w:noProof/>
        </w:rPr>
        <w:pict w14:anchorId="516B3B03">
          <v:rect id="_x0000_i1856" style="width:0;height:1.5pt" o:hralign="center" o:hrstd="t" o:hr="t" fillcolor="#a0a0a0" stroked="f"/>
        </w:pict>
      </w:r>
    </w:p>
    <w:p w14:paraId="061D5BFC"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כִּי־קָרוֹב אֵלֶיךָ הַדָּבָר מְאֹד בְּפִיךָ וּבִלְבָבְךָ לַעֲשֹׂתוֹ</w:t>
      </w:r>
      <w:r>
        <w:rPr>
          <w:rtl/>
        </w:rPr>
        <w:t xml:space="preserve"> </w:t>
      </w:r>
      <w:r>
        <w:t xml:space="preserve">ist die positive Aussage: </w:t>
      </w:r>
      <w:r>
        <w:rPr>
          <w:rStyle w:val="Fett"/>
          <w:rFonts w:eastAsiaTheme="majorEastAsia"/>
          <w:rtl/>
        </w:rPr>
        <w:t>כִּי־קָרוֹב אֵלֶיךָ הַדָּבָר מְאֹד בְּפִיךָ וּבִלְבָבְךָ לַעֲשֹׂתוֹ</w:t>
      </w:r>
      <w:r>
        <w:rPr>
          <w:rtl/>
        </w:rPr>
        <w:t xml:space="preserve"> </w:t>
      </w:r>
      <w:r>
        <w:t>(</w:t>
      </w:r>
      <w:r>
        <w:rPr>
          <w:rStyle w:val="Fett"/>
          <w:rFonts w:eastAsiaTheme="majorEastAsia"/>
          <w:rtl/>
        </w:rPr>
        <w:t>כִּי</w:t>
      </w:r>
      <w:r>
        <w:rPr>
          <w:rtl/>
        </w:rPr>
        <w:t xml:space="preserve"> </w:t>
      </w:r>
      <w:r>
        <w:t xml:space="preserve">als „sondern", </w:t>
      </w:r>
      <w:r>
        <w:rPr>
          <w:rStyle w:val="Fett"/>
          <w:rFonts w:eastAsiaTheme="majorEastAsia"/>
          <w:rtl/>
        </w:rPr>
        <w:t>קָרוֹב</w:t>
      </w:r>
      <w:r>
        <w:t xml:space="preserve">, Adjektiv, „nahe", </w:t>
      </w:r>
      <w:r>
        <w:rPr>
          <w:rStyle w:val="Fett"/>
          <w:rFonts w:eastAsiaTheme="majorEastAsia"/>
          <w:rtl/>
        </w:rPr>
        <w:t>אֵלֶיךָ</w:t>
      </w:r>
      <w:r>
        <w:t xml:space="preserve">, </w:t>
      </w:r>
      <w:r>
        <w:rPr>
          <w:rStyle w:val="Fett"/>
          <w:rFonts w:eastAsiaTheme="majorEastAsia"/>
          <w:rtl/>
        </w:rPr>
        <w:t>דָּבָר</w:t>
      </w:r>
      <w:r>
        <w:rPr>
          <w:rtl/>
        </w:rPr>
        <w:t xml:space="preserve"> </w:t>
      </w:r>
      <w:r>
        <w:t xml:space="preserve">mit Artikel, </w:t>
      </w:r>
      <w:r>
        <w:rPr>
          <w:rStyle w:val="Fett"/>
          <w:rFonts w:eastAsiaTheme="majorEastAsia"/>
          <w:rtl/>
        </w:rPr>
        <w:t>מְאֹד</w:t>
      </w:r>
      <w:r>
        <w:t xml:space="preserve">, zwei Präpositionen </w:t>
      </w:r>
      <w:r>
        <w:rPr>
          <w:rStyle w:val="Fett"/>
          <w:rFonts w:eastAsiaTheme="majorEastAsia"/>
          <w:rtl/>
        </w:rPr>
        <w:t>בְּ</w:t>
      </w:r>
      <w:r>
        <w:t xml:space="preserve">: </w:t>
      </w:r>
      <w:r>
        <w:rPr>
          <w:rStyle w:val="Fett"/>
          <w:rFonts w:eastAsiaTheme="majorEastAsia"/>
          <w:rtl/>
        </w:rPr>
        <w:t>פֶּה</w:t>
      </w:r>
      <w:r>
        <w:rPr>
          <w:rtl/>
        </w:rPr>
        <w:t xml:space="preserve"> </w:t>
      </w:r>
      <w:r>
        <w:t xml:space="preserve">mit Suffix 2. Person Maskulinum Singular, „Mund", </w:t>
      </w:r>
      <w:r>
        <w:rPr>
          <w:rStyle w:val="Fett"/>
          <w:rFonts w:eastAsiaTheme="majorEastAsia"/>
          <w:rtl/>
        </w:rPr>
        <w:t>לֵבָב</w:t>
      </w:r>
      <w:r>
        <w:rPr>
          <w:rtl/>
        </w:rPr>
        <w:t xml:space="preserve"> </w:t>
      </w:r>
      <w:r>
        <w:t xml:space="preserve">mit Suffix, Finalsatz: </w:t>
      </w:r>
      <w:r>
        <w:rPr>
          <w:rStyle w:val="Fett"/>
          <w:rFonts w:eastAsiaTheme="majorEastAsia"/>
          <w:rtl/>
        </w:rPr>
        <w:t>לַעֲשֹׂתוֹ</w:t>
      </w:r>
      <w:r>
        <w:rPr>
          <w:rtl/>
        </w:rPr>
        <w:t xml:space="preserve"> </w:t>
      </w:r>
      <w:r>
        <w:t xml:space="preserve">mit Präposition </w:t>
      </w:r>
      <w:r>
        <w:rPr>
          <w:rStyle w:val="Fett"/>
          <w:rFonts w:eastAsiaTheme="majorEastAsia"/>
          <w:rtl/>
        </w:rPr>
        <w:t>לְ</w:t>
      </w:r>
      <w:r>
        <w:rPr>
          <w:rtl/>
        </w:rPr>
        <w:t xml:space="preserve"> </w:t>
      </w:r>
      <w:r>
        <w:t xml:space="preserve">+ Qal Infinitiv Construct von </w:t>
      </w:r>
      <w:r>
        <w:rPr>
          <w:rStyle w:val="Fett"/>
          <w:rFonts w:eastAsiaTheme="majorEastAsia"/>
          <w:rtl/>
        </w:rPr>
        <w:t>עשׂה</w:t>
      </w:r>
      <w:r>
        <w:t xml:space="preserve">, mit Suffix 3. Person Maskulinum Singular). Die </w:t>
      </w:r>
      <w:r>
        <w:rPr>
          <w:rStyle w:val="Fett"/>
          <w:rFonts w:eastAsiaTheme="majorEastAsia"/>
        </w:rPr>
        <w:t>Setumah</w:t>
      </w:r>
      <w:r>
        <w:t xml:space="preserve"> (</w:t>
      </w:r>
      <w:r>
        <w:rPr>
          <w:rtl/>
        </w:rPr>
        <w:t>ס</w:t>
      </w:r>
      <w:r>
        <w:t>) markiert das Ende dieses Abschnitts (V. 11-14).</w:t>
      </w:r>
    </w:p>
    <w:p w14:paraId="2F5E7DC8" w14:textId="74458D64" w:rsidR="008A57FB" w:rsidRDefault="008A57FB" w:rsidP="008A57FB">
      <w:pPr>
        <w:pStyle w:val="whitespace-normal"/>
      </w:pPr>
      <w:r>
        <w:t xml:space="preserve">Der Vers gibt die positive Antwort nach den Negationen in V. 11-13. Die Aussage: </w:t>
      </w:r>
      <w:r>
        <w:rPr>
          <w:rStyle w:val="Fett"/>
          <w:rFonts w:eastAsiaTheme="majorEastAsia"/>
          <w:rtl/>
        </w:rPr>
        <w:t>כִּי־קָרוֹב אֵלֶיךָ הַדָּבָר מְאֹד בְּפִיךָ וּבִלְבָבְךָ לַעֲשֹׂתוֹ</w:t>
      </w:r>
      <w:r>
        <w:rPr>
          <w:rtl/>
        </w:rPr>
        <w:t xml:space="preserve"> </w:t>
      </w:r>
      <w:r>
        <w:t xml:space="preserve">(„sondern sehr nahe ist dir das Wort, in deinem Mund und in deinem Herzen, um es zu tun"). Der Begriff </w:t>
      </w:r>
      <w:r>
        <w:rPr>
          <w:rStyle w:val="Fett"/>
          <w:rFonts w:eastAsiaTheme="majorEastAsia"/>
          <w:rtl/>
        </w:rPr>
        <w:t>דָּבָר</w:t>
      </w:r>
      <w:r>
        <w:rPr>
          <w:rtl/>
        </w:rPr>
        <w:t xml:space="preserve"> </w:t>
      </w:r>
      <w:r>
        <w:t xml:space="preserve">(„Wort") bezieht sich auf die </w:t>
      </w:r>
      <w:r w:rsidR="006D3FED">
        <w:t>Torah</w:t>
      </w:r>
      <w:r>
        <w:t>/</w:t>
      </w:r>
      <w:r>
        <w:rPr>
          <w:rStyle w:val="Fett"/>
          <w:rFonts w:eastAsiaTheme="majorEastAsia"/>
          <w:rtl/>
        </w:rPr>
        <w:t>מִצְוָה</w:t>
      </w:r>
      <w:r>
        <w:rPr>
          <w:rtl/>
        </w:rPr>
        <w:t xml:space="preserve"> </w:t>
      </w:r>
      <w:r>
        <w:t xml:space="preserve">aus V. 11. Das Adjektiv </w:t>
      </w:r>
      <w:r>
        <w:rPr>
          <w:rStyle w:val="Fett"/>
          <w:rFonts w:eastAsiaTheme="majorEastAsia"/>
          <w:rtl/>
        </w:rPr>
        <w:t>קָרוֹב</w:t>
      </w:r>
      <w:r>
        <w:rPr>
          <w:rtl/>
        </w:rPr>
        <w:t xml:space="preserve"> </w:t>
      </w:r>
      <w:r>
        <w:t xml:space="preserve">(„nahe") steht im Gegensatz zu </w:t>
      </w:r>
      <w:r>
        <w:rPr>
          <w:rStyle w:val="Fett"/>
          <w:rFonts w:eastAsiaTheme="majorEastAsia"/>
          <w:rtl/>
        </w:rPr>
        <w:t>רְחֹקָה</w:t>
      </w:r>
      <w:r>
        <w:rPr>
          <w:rtl/>
        </w:rPr>
        <w:t xml:space="preserve"> </w:t>
      </w:r>
      <w:r>
        <w:t xml:space="preserve">(„fern") aus V. 11. Die Betonung </w:t>
      </w:r>
      <w:r>
        <w:rPr>
          <w:rStyle w:val="Fett"/>
          <w:rFonts w:eastAsiaTheme="majorEastAsia"/>
          <w:rtl/>
        </w:rPr>
        <w:t>מְאֹד</w:t>
      </w:r>
      <w:r>
        <w:rPr>
          <w:rtl/>
        </w:rPr>
        <w:t xml:space="preserve"> </w:t>
      </w:r>
      <w:r>
        <w:t xml:space="preserve">(„sehr") verstärkt die Aussage. Die beiden Orte: (1) </w:t>
      </w:r>
      <w:r>
        <w:rPr>
          <w:rStyle w:val="Fett"/>
          <w:rFonts w:eastAsiaTheme="majorEastAsia"/>
          <w:rtl/>
        </w:rPr>
        <w:t>בְּפִיךָ</w:t>
      </w:r>
      <w:r>
        <w:rPr>
          <w:rtl/>
        </w:rPr>
        <w:t xml:space="preserve"> </w:t>
      </w:r>
      <w:r>
        <w:t xml:space="preserve">(„in deinem Mund") – die </w:t>
      </w:r>
      <w:r w:rsidR="006D3FED">
        <w:t>Torah</w:t>
      </w:r>
      <w:r>
        <w:t xml:space="preserve"> ist rezitierbar, sprechbar (vgl. 6,7; 11,19; Jos 1,8; Ps 1,2). (2) </w:t>
      </w:r>
      <w:r>
        <w:rPr>
          <w:rStyle w:val="Fett"/>
          <w:rFonts w:eastAsiaTheme="majorEastAsia"/>
          <w:rtl/>
        </w:rPr>
        <w:t>בִלְבָבְךָ</w:t>
      </w:r>
      <w:r>
        <w:rPr>
          <w:rtl/>
        </w:rPr>
        <w:t xml:space="preserve"> </w:t>
      </w:r>
      <w:r>
        <w:t xml:space="preserve">(„in deinem Herzen") – die </w:t>
      </w:r>
      <w:r w:rsidR="006D3FED">
        <w:t>Torah</w:t>
      </w:r>
      <w:r>
        <w:t xml:space="preserve"> ist verstehbar, innerlich gegenwärtig (vgl. 6,6; 11,18; 30,6; Jer 31,33). Der Finalsatz: </w:t>
      </w:r>
      <w:r>
        <w:rPr>
          <w:rStyle w:val="Fett"/>
          <w:rFonts w:eastAsiaTheme="majorEastAsia"/>
          <w:rtl/>
        </w:rPr>
        <w:t>לַעֲשֹׂתוֹ</w:t>
      </w:r>
      <w:r>
        <w:rPr>
          <w:rtl/>
        </w:rPr>
        <w:t xml:space="preserve"> </w:t>
      </w:r>
      <w:r>
        <w:t xml:space="preserve">(„um es zu tun"). Der Zweck der Nähe: praktischer Gehorsam. Die </w:t>
      </w:r>
      <w:r w:rsidR="006D3FED">
        <w:t>Torah</w:t>
      </w:r>
      <w:r>
        <w:t xml:space="preserve"> ist vollkommen zugänglich – sie ist bereits in Mund und Herz, bereit zum Tun. Diese Aussage wird im Neuen Testament von Paulus zitiert (Röm 10,6-8), wo er sie auf Christus und das Evangelium anwendet.</w:t>
      </w:r>
    </w:p>
    <w:p w14:paraId="7B1B3FE5" w14:textId="54E970FC" w:rsidR="00C367A0" w:rsidRDefault="00C367A0" w:rsidP="008A57FB">
      <w:pPr>
        <w:pStyle w:val="whitespace-normal"/>
      </w:pPr>
      <w:r>
        <w:rPr>
          <w:rStyle w:val="Fett"/>
        </w:rPr>
        <w:t>Die LXX</w:t>
      </w:r>
      <w:r>
        <w:t xml:space="preserve"> fügt καὶ </w:t>
      </w:r>
      <w:proofErr w:type="spellStart"/>
      <w:r>
        <w:t>ἐν</w:t>
      </w:r>
      <w:proofErr w:type="spellEnd"/>
      <w:r>
        <w:t xml:space="preserve"> τα</w:t>
      </w:r>
      <w:proofErr w:type="spellStart"/>
      <w:r>
        <w:t>ῖς</w:t>
      </w:r>
      <w:proofErr w:type="spellEnd"/>
      <w:r>
        <w:t xml:space="preserve"> </w:t>
      </w:r>
      <w:proofErr w:type="spellStart"/>
      <w:r>
        <w:t>χερσίν</w:t>
      </w:r>
      <w:proofErr w:type="spellEnd"/>
      <w:r>
        <w:t xml:space="preserve"> </w:t>
      </w:r>
      <w:proofErr w:type="spellStart"/>
      <w:r>
        <w:t>σου</w:t>
      </w:r>
      <w:proofErr w:type="spellEnd"/>
      <w:r>
        <w:t xml:space="preserve"> (und in deinen Händen) hinzu – eine Erweiterung, die im MT nicht vorhanden ist, aber die praktische Umsetzung des Gebots betont.</w:t>
      </w:r>
    </w:p>
    <w:p w14:paraId="570C3414" w14:textId="77777777" w:rsidR="008A57FB" w:rsidRDefault="008A57FB" w:rsidP="008A57FB">
      <w:pPr>
        <w:pStyle w:val="whitespace-normal"/>
      </w:pPr>
      <w:r>
        <w:rPr>
          <w:rStyle w:val="Fett"/>
          <w:rFonts w:eastAsiaTheme="majorEastAsia"/>
        </w:rPr>
        <w:t>Die Satzstruktur:</w:t>
      </w:r>
      <w:r>
        <w:t xml:space="preserve"> Positive Aussage (sondern sehr nahe ist dir das Wort, in deinem Mund und in deinem Herzen, um es zu tun).</w:t>
      </w:r>
    </w:p>
    <w:p w14:paraId="6FE21369" w14:textId="6EF8DBB9" w:rsidR="008A57FB" w:rsidRDefault="008A57FB" w:rsidP="00B77CC6">
      <w:pPr>
        <w:pStyle w:val="whitespace-normal"/>
      </w:pPr>
      <w:r>
        <w:rPr>
          <w:rStyle w:val="Fett"/>
          <w:rFonts w:eastAsiaTheme="majorEastAsia"/>
        </w:rPr>
        <w:t>Der Vers beschreibt:</w:t>
      </w:r>
      <w:r>
        <w:t xml:space="preserve"> Positive Antwort – die </w:t>
      </w:r>
      <w:r w:rsidR="006D3FED">
        <w:t>Torah</w:t>
      </w:r>
      <w:r>
        <w:t xml:space="preserve"> ist sehr nahe, in Mund und Herzen, bereit zum Tun.</w:t>
      </w:r>
    </w:p>
    <w:p w14:paraId="4F0F9902" w14:textId="77777777" w:rsidR="008A57FB" w:rsidRPr="008D48A3" w:rsidRDefault="008A57FB" w:rsidP="008D48A3">
      <w:pPr>
        <w:pStyle w:val="Bibelberschrift"/>
      </w:pPr>
      <w:r w:rsidRPr="008D48A3">
        <w:rPr>
          <w:rStyle w:val="Fett"/>
          <w:b/>
          <w:bCs w:val="0"/>
        </w:rPr>
        <w:t>Deuteronomium 30,15</w:t>
      </w:r>
    </w:p>
    <w:p w14:paraId="246DB0EE" w14:textId="77777777" w:rsidR="008A57FB" w:rsidRDefault="008A57FB" w:rsidP="008A57FB">
      <w:pPr>
        <w:pStyle w:val="whitespace-normal"/>
      </w:pPr>
      <w:r>
        <w:rPr>
          <w:rStyle w:val="Fett"/>
          <w:rFonts w:eastAsiaTheme="majorEastAsia"/>
        </w:rPr>
        <w:t>Hebräisch:</w:t>
      </w:r>
      <w:r>
        <w:t xml:space="preserve"> </w:t>
      </w:r>
      <w:r>
        <w:rPr>
          <w:rtl/>
        </w:rPr>
        <w:t>רְאֵה נָתַתִּי לְפָנֶיךָ הַיּוֹם אֶת־הַחַיִּים וְאֶת־הַטּוֹב וְאֶת־הַמָּוֶת וְאֶת־הָרָע׃</w:t>
      </w:r>
    </w:p>
    <w:p w14:paraId="1F294DB7" w14:textId="77777777" w:rsidR="008A57FB" w:rsidRDefault="008A57FB" w:rsidP="008A57FB">
      <w:pPr>
        <w:pStyle w:val="whitespace-normal"/>
      </w:pPr>
      <w:r>
        <w:rPr>
          <w:rStyle w:val="Fett"/>
          <w:rFonts w:eastAsiaTheme="majorEastAsia"/>
        </w:rPr>
        <w:t>Deutsch:</w:t>
      </w:r>
      <w:r>
        <w:t xml:space="preserve"> Siehe, ich habe vor dich gelegt heute das Leben und das Gute, und den Tod und das Böse.</w:t>
      </w:r>
    </w:p>
    <w:p w14:paraId="0E972240" w14:textId="77777777" w:rsidR="008A57FB" w:rsidRDefault="004F5CEB" w:rsidP="008A57FB">
      <w:r>
        <w:rPr>
          <w:noProof/>
        </w:rPr>
        <w:pict w14:anchorId="07FBB4D9">
          <v:rect id="_x0000_i1857" style="width:0;height:1.5pt" o:hralign="center" o:hrstd="t" o:hr="t" fillcolor="#a0a0a0" stroked="f"/>
        </w:pict>
      </w:r>
    </w:p>
    <w:p w14:paraId="5709B0A3" w14:textId="77777777" w:rsidR="008A57FB" w:rsidRDefault="008A57FB" w:rsidP="008A57FB">
      <w:pPr>
        <w:pStyle w:val="whitespace-normal"/>
      </w:pPr>
      <w:r>
        <w:rPr>
          <w:rStyle w:val="Fett"/>
          <w:rFonts w:eastAsiaTheme="majorEastAsia"/>
        </w:rPr>
        <w:lastRenderedPageBreak/>
        <w:t>Kommentar:</w:t>
      </w:r>
      <w:r>
        <w:t xml:space="preserve"> </w:t>
      </w:r>
      <w:r>
        <w:rPr>
          <w:rStyle w:val="Fett"/>
          <w:rFonts w:eastAsiaTheme="majorEastAsia"/>
          <w:rtl/>
        </w:rPr>
        <w:t>רְאֵה נָתַתִּי לְפָנֶיךָ הַיּוֹם אֶת־הַחַיִּים וְאֶת־הַטּוֹב וְאֶת־הַמָּוֶת וְאֶת־הָרָע</w:t>
      </w:r>
      <w:r>
        <w:rPr>
          <w:rtl/>
        </w:rPr>
        <w:t xml:space="preserve"> </w:t>
      </w:r>
      <w:r>
        <w:t xml:space="preserve">sind Imperativ und Aussage: </w:t>
      </w:r>
      <w:r>
        <w:rPr>
          <w:rStyle w:val="Fett"/>
          <w:rFonts w:eastAsiaTheme="majorEastAsia"/>
          <w:rtl/>
        </w:rPr>
        <w:t>רְאֵה</w:t>
      </w:r>
      <w:r>
        <w:rPr>
          <w:rtl/>
        </w:rPr>
        <w:t xml:space="preserve"> </w:t>
      </w:r>
      <w:r>
        <w:t>(</w:t>
      </w:r>
      <w:r>
        <w:rPr>
          <w:rStyle w:val="Fett"/>
          <w:rFonts w:eastAsiaTheme="majorEastAsia"/>
          <w:rtl/>
        </w:rPr>
        <w:t>ראה</w:t>
      </w:r>
      <w:r>
        <w:t xml:space="preserve">, Qal Imperativ, Maskulinum Singular, „siehe!"), </w:t>
      </w:r>
      <w:r>
        <w:rPr>
          <w:rStyle w:val="Fett"/>
          <w:rFonts w:eastAsiaTheme="majorEastAsia"/>
          <w:rtl/>
        </w:rPr>
        <w:t>נָתַתִּי לְפָנֶיךָ הַיּוֹם אֶת־הַחַיִּים וְאֶת־הַטּוֹב וְאֶת־הַמָּוֶת וְאֶת־הָרָע</w:t>
      </w:r>
      <w:r>
        <w:rPr>
          <w:rtl/>
        </w:rPr>
        <w:t xml:space="preserve"> </w:t>
      </w:r>
      <w:r>
        <w:t>(</w:t>
      </w:r>
      <w:r>
        <w:rPr>
          <w:rStyle w:val="Fett"/>
          <w:rFonts w:eastAsiaTheme="majorEastAsia"/>
          <w:rtl/>
        </w:rPr>
        <w:t>נתן</w:t>
      </w:r>
      <w:r>
        <w:t xml:space="preserve">, Qal Perfekt, 1. Person Singular, </w:t>
      </w:r>
      <w:r>
        <w:rPr>
          <w:rStyle w:val="Fett"/>
          <w:rFonts w:eastAsiaTheme="majorEastAsia"/>
          <w:rtl/>
        </w:rPr>
        <w:t>לְפָנֶיךָ הַיּוֹם</w:t>
      </w:r>
      <w:r>
        <w:t xml:space="preserve">, vier Objektphrasen mit Objektpartikel </w:t>
      </w:r>
      <w:r>
        <w:rPr>
          <w:rStyle w:val="Fett"/>
          <w:rFonts w:eastAsiaTheme="majorEastAsia"/>
          <w:rtl/>
        </w:rPr>
        <w:t>אֵת</w:t>
      </w:r>
      <w:r>
        <w:t xml:space="preserve">: (1) </w:t>
      </w:r>
      <w:r>
        <w:rPr>
          <w:rStyle w:val="Fett"/>
          <w:rFonts w:eastAsiaTheme="majorEastAsia"/>
          <w:rtl/>
        </w:rPr>
        <w:t>חַיִּים</w:t>
      </w:r>
      <w:r>
        <w:rPr>
          <w:rtl/>
        </w:rPr>
        <w:t xml:space="preserve"> </w:t>
      </w:r>
      <w:r>
        <w:t xml:space="preserve">Plural mit Artikel, „Leben", (2) koordiniert durch </w:t>
      </w:r>
      <w:r>
        <w:rPr>
          <w:rStyle w:val="Fett"/>
          <w:rFonts w:eastAsiaTheme="majorEastAsia"/>
          <w:rtl/>
        </w:rPr>
        <w:t>וְ</w:t>
      </w:r>
      <w:r>
        <w:rPr>
          <w:rtl/>
        </w:rPr>
        <w:t xml:space="preserve"> </w:t>
      </w:r>
      <w:r>
        <w:t xml:space="preserve">mit Objektpartikel </w:t>
      </w:r>
      <w:r>
        <w:rPr>
          <w:rStyle w:val="Fett"/>
          <w:rFonts w:eastAsiaTheme="majorEastAsia"/>
          <w:rtl/>
        </w:rPr>
        <w:t>אֵת</w:t>
      </w:r>
      <w:r>
        <w:t xml:space="preserve">, </w:t>
      </w:r>
      <w:r>
        <w:rPr>
          <w:rStyle w:val="Fett"/>
          <w:rFonts w:eastAsiaTheme="majorEastAsia"/>
          <w:rtl/>
        </w:rPr>
        <w:t>טוֹב</w:t>
      </w:r>
      <w:r>
        <w:rPr>
          <w:rtl/>
        </w:rPr>
        <w:t xml:space="preserve"> </w:t>
      </w:r>
      <w:r>
        <w:t xml:space="preserve">mit Artikel, „Gutes", (3) koordiniert durch </w:t>
      </w:r>
      <w:r>
        <w:rPr>
          <w:rStyle w:val="Fett"/>
          <w:rFonts w:eastAsiaTheme="majorEastAsia"/>
          <w:rtl/>
        </w:rPr>
        <w:t>וְ</w:t>
      </w:r>
      <w:r>
        <w:rPr>
          <w:rtl/>
        </w:rPr>
        <w:t xml:space="preserve"> </w:t>
      </w:r>
      <w:r>
        <w:t xml:space="preserve">mit Objektpartikel </w:t>
      </w:r>
      <w:r>
        <w:rPr>
          <w:rStyle w:val="Fett"/>
          <w:rFonts w:eastAsiaTheme="majorEastAsia"/>
          <w:rtl/>
        </w:rPr>
        <w:t>אֵת</w:t>
      </w:r>
      <w:r>
        <w:t xml:space="preserve">, </w:t>
      </w:r>
      <w:r>
        <w:rPr>
          <w:rStyle w:val="Fett"/>
          <w:rFonts w:eastAsiaTheme="majorEastAsia"/>
          <w:rtl/>
        </w:rPr>
        <w:t>מָוֶת</w:t>
      </w:r>
      <w:r>
        <w:rPr>
          <w:rtl/>
        </w:rPr>
        <w:t xml:space="preserve"> </w:t>
      </w:r>
      <w:r>
        <w:t xml:space="preserve">mit Artikel, „Tod", (4) koordiniert durch </w:t>
      </w:r>
      <w:r>
        <w:rPr>
          <w:rStyle w:val="Fett"/>
          <w:rFonts w:eastAsiaTheme="majorEastAsia"/>
          <w:rtl/>
        </w:rPr>
        <w:t>וְ</w:t>
      </w:r>
      <w:r>
        <w:rPr>
          <w:rtl/>
        </w:rPr>
        <w:t xml:space="preserve"> </w:t>
      </w:r>
      <w:r>
        <w:t xml:space="preserve">mit Objektpartikel </w:t>
      </w:r>
      <w:r>
        <w:rPr>
          <w:rStyle w:val="Fett"/>
          <w:rFonts w:eastAsiaTheme="majorEastAsia"/>
          <w:rtl/>
        </w:rPr>
        <w:t>אֵת</w:t>
      </w:r>
      <w:r>
        <w:t xml:space="preserve">, </w:t>
      </w:r>
      <w:r>
        <w:rPr>
          <w:rStyle w:val="Fett"/>
          <w:rFonts w:eastAsiaTheme="majorEastAsia"/>
          <w:rtl/>
        </w:rPr>
        <w:t>רַע</w:t>
      </w:r>
      <w:r>
        <w:rPr>
          <w:rtl/>
        </w:rPr>
        <w:t xml:space="preserve"> </w:t>
      </w:r>
      <w:r>
        <w:t>mit Artikel, „Böses").</w:t>
      </w:r>
    </w:p>
    <w:p w14:paraId="29CA50AE" w14:textId="1BD81832" w:rsidR="008A57FB" w:rsidRDefault="008A57FB" w:rsidP="008A57FB">
      <w:pPr>
        <w:pStyle w:val="whitespace-normal"/>
      </w:pPr>
      <w:r>
        <w:t xml:space="preserve">Der Vers beginnt den abschließenden Abschnitt des Kapitels (V. 15-20) mit einer feierlichen Wahl zwischen Leben und Tod. Der Imperativ: </w:t>
      </w:r>
      <w:r>
        <w:rPr>
          <w:rStyle w:val="Fett"/>
          <w:rFonts w:eastAsiaTheme="majorEastAsia"/>
          <w:rtl/>
        </w:rPr>
        <w:t>רְאֵה</w:t>
      </w:r>
      <w:r>
        <w:rPr>
          <w:rtl/>
        </w:rPr>
        <w:t xml:space="preserve"> </w:t>
      </w:r>
      <w:r>
        <w:t xml:space="preserve">(„siehe!") – Aufmerksamkeitsruf (vgl. 1,8.21; 4,5; 11,26; 30,19). Die Aussage: </w:t>
      </w:r>
      <w:r>
        <w:rPr>
          <w:rStyle w:val="Fett"/>
          <w:rFonts w:eastAsiaTheme="majorEastAsia"/>
          <w:rtl/>
        </w:rPr>
        <w:t>נָתַתִּי לְפָנֶיךָ הַיּוֹם אֶת־הַחַיִּים וְאֶת־הַטּוֹב וְאֶת־הַמָּוֶת וְאֶת־הָרָע</w:t>
      </w:r>
      <w:r>
        <w:rPr>
          <w:rtl/>
        </w:rPr>
        <w:t xml:space="preserve"> </w:t>
      </w:r>
      <w:r>
        <w:t xml:space="preserve">(„ich habe vor dich gelegt heute das Leben und das Gute, und den Tod und das Böse"). Die Formulierung </w:t>
      </w:r>
      <w:r>
        <w:rPr>
          <w:rStyle w:val="Fett"/>
          <w:rFonts w:eastAsiaTheme="majorEastAsia"/>
          <w:rtl/>
        </w:rPr>
        <w:t>לְפָנֶיךָ</w:t>
      </w:r>
      <w:r>
        <w:rPr>
          <w:rtl/>
        </w:rPr>
        <w:t xml:space="preserve"> </w:t>
      </w:r>
      <w:r>
        <w:t xml:space="preserve">(„vor dich") betont: als Wahl vorgelegt (vgl. 11,26). Die Betonung </w:t>
      </w:r>
      <w:r>
        <w:rPr>
          <w:rStyle w:val="Fett"/>
          <w:rFonts w:eastAsiaTheme="majorEastAsia"/>
          <w:rtl/>
        </w:rPr>
        <w:t>הַיּוֹם</w:t>
      </w:r>
      <w:r>
        <w:rPr>
          <w:rtl/>
        </w:rPr>
        <w:t xml:space="preserve"> </w:t>
      </w:r>
      <w:r>
        <w:t xml:space="preserve">(„heute") markiert den entscheidenden Moment. Die vier Begriffe in zwei Paaren: (1) </w:t>
      </w:r>
      <w:r>
        <w:rPr>
          <w:rStyle w:val="Fett"/>
          <w:rFonts w:eastAsiaTheme="majorEastAsia"/>
          <w:rtl/>
        </w:rPr>
        <w:t>חַיִּים</w:t>
      </w:r>
      <w:r>
        <w:rPr>
          <w:rtl/>
        </w:rPr>
        <w:t xml:space="preserve"> </w:t>
      </w:r>
      <w:r>
        <w:t xml:space="preserve">(„Leben") und </w:t>
      </w:r>
      <w:r>
        <w:rPr>
          <w:rStyle w:val="Fett"/>
          <w:rFonts w:eastAsiaTheme="majorEastAsia"/>
          <w:rtl/>
        </w:rPr>
        <w:t>טוֹב</w:t>
      </w:r>
      <w:r>
        <w:rPr>
          <w:rtl/>
        </w:rPr>
        <w:t xml:space="preserve"> </w:t>
      </w:r>
      <w:r>
        <w:t xml:space="preserve">(„Gutes") – positive Wahl. (2) </w:t>
      </w:r>
      <w:r>
        <w:rPr>
          <w:rStyle w:val="Fett"/>
          <w:rFonts w:eastAsiaTheme="majorEastAsia"/>
          <w:rtl/>
        </w:rPr>
        <w:t>מָוֶת</w:t>
      </w:r>
      <w:r>
        <w:rPr>
          <w:rtl/>
        </w:rPr>
        <w:t xml:space="preserve"> </w:t>
      </w:r>
      <w:r>
        <w:t xml:space="preserve">(„Tod") und </w:t>
      </w:r>
      <w:r>
        <w:rPr>
          <w:rStyle w:val="Fett"/>
          <w:rFonts w:eastAsiaTheme="majorEastAsia"/>
          <w:rtl/>
        </w:rPr>
        <w:t>רַע</w:t>
      </w:r>
      <w:r>
        <w:rPr>
          <w:rtl/>
        </w:rPr>
        <w:t xml:space="preserve"> </w:t>
      </w:r>
      <w:r>
        <w:t>(„Böses") – negative Wahl. Leben und Tod sind nicht nur biologische Zustände, sondern umfassende Existenzweisen – Leben bedeutet Segen, Wohlergehen, Gemeinschaft mit Gott; Tod bedeutet Fluch, Unheil, Trennung von Gott (vgl. 11,26-28; Jer 21,8).</w:t>
      </w:r>
    </w:p>
    <w:p w14:paraId="4C250823" w14:textId="68FCDF90" w:rsidR="00C367A0" w:rsidRDefault="00C367A0" w:rsidP="008A57FB">
      <w:pPr>
        <w:pStyle w:val="whitespace-normal"/>
      </w:pPr>
      <w:r>
        <w:rPr>
          <w:rStyle w:val="Fett"/>
        </w:rPr>
        <w:t>Die LXX</w:t>
      </w:r>
      <w:r>
        <w:t xml:space="preserve"> ändert die Reihenfolge: τὴν </w:t>
      </w:r>
      <w:proofErr w:type="spellStart"/>
      <w:r>
        <w:t>ζωὴν</w:t>
      </w:r>
      <w:proofErr w:type="spellEnd"/>
      <w:r>
        <w:t xml:space="preserve"> καὶ </w:t>
      </w:r>
      <w:proofErr w:type="spellStart"/>
      <w:r>
        <w:t>τὸν</w:t>
      </w:r>
      <w:proofErr w:type="spellEnd"/>
      <w:r>
        <w:t xml:space="preserve"> </w:t>
      </w:r>
      <w:proofErr w:type="spellStart"/>
      <w:r>
        <w:t>θάν</w:t>
      </w:r>
      <w:proofErr w:type="spellEnd"/>
      <w:r>
        <w:t xml:space="preserve">ατον, </w:t>
      </w:r>
      <w:proofErr w:type="spellStart"/>
      <w:r>
        <w:t>τὸ</w:t>
      </w:r>
      <w:proofErr w:type="spellEnd"/>
      <w:r>
        <w:t xml:space="preserve"> </w:t>
      </w:r>
      <w:proofErr w:type="spellStart"/>
      <w:r>
        <w:t>ἀγ</w:t>
      </w:r>
      <w:proofErr w:type="spellEnd"/>
      <w:r>
        <w:t xml:space="preserve">αθὸν καὶ </w:t>
      </w:r>
      <w:proofErr w:type="spellStart"/>
      <w:r>
        <w:t>τὸ</w:t>
      </w:r>
      <w:proofErr w:type="spellEnd"/>
      <w:r>
        <w:t xml:space="preserve"> κα</w:t>
      </w:r>
      <w:proofErr w:type="spellStart"/>
      <w:r>
        <w:t>κόν</w:t>
      </w:r>
      <w:proofErr w:type="spellEnd"/>
      <w:r>
        <w:t xml:space="preserve"> (das Leben und den Tod, das Gute und das Böse), während der MT hat: </w:t>
      </w:r>
      <w:r>
        <w:rPr>
          <w:rtl/>
        </w:rPr>
        <w:t>אֶת־הַחַיִּים וְאֶת־הַטּוֹב וְאֶת־הַמָּוֶת וְאֶת־הָרָע</w:t>
      </w:r>
      <w:r>
        <w:t xml:space="preserve"> (das Leben und das Gute und den Tod und das Böse).</w:t>
      </w:r>
    </w:p>
    <w:p w14:paraId="5185F987" w14:textId="77777777" w:rsidR="008A57FB" w:rsidRDefault="008A57FB" w:rsidP="008A57FB">
      <w:pPr>
        <w:pStyle w:val="whitespace-normal"/>
      </w:pPr>
      <w:r>
        <w:rPr>
          <w:rStyle w:val="Fett"/>
          <w:rFonts w:eastAsiaTheme="majorEastAsia"/>
        </w:rPr>
        <w:t>Die Satzstruktur:</w:t>
      </w:r>
      <w:r>
        <w:t xml:space="preserve"> Imperativ und Aussage (siehe, ich habe vor dich gelegt heute das Leben und das Gute, und den Tod und das Böse).</w:t>
      </w:r>
    </w:p>
    <w:p w14:paraId="12A06439" w14:textId="2E102193" w:rsidR="008A57FB" w:rsidRDefault="008A57FB" w:rsidP="00B77CC6">
      <w:pPr>
        <w:pStyle w:val="whitespace-normal"/>
      </w:pPr>
      <w:r>
        <w:rPr>
          <w:rStyle w:val="Fett"/>
          <w:rFonts w:eastAsiaTheme="majorEastAsia"/>
        </w:rPr>
        <w:t>Der Vers beschreibt:</w:t>
      </w:r>
      <w:r>
        <w:t xml:space="preserve"> Feierliche Wahl – Leben/Gutes vs. Tod/Böses wird vor Israel gelegt.</w:t>
      </w:r>
    </w:p>
    <w:p w14:paraId="2E319B53" w14:textId="77777777" w:rsidR="008A57FB" w:rsidRPr="008D48A3" w:rsidRDefault="008A57FB" w:rsidP="008D48A3">
      <w:pPr>
        <w:pStyle w:val="Bibelberschrift"/>
      </w:pPr>
      <w:r w:rsidRPr="008D48A3">
        <w:rPr>
          <w:rStyle w:val="Fett"/>
          <w:b/>
          <w:bCs w:val="0"/>
        </w:rPr>
        <w:t>Deuteronomium 30,16</w:t>
      </w:r>
    </w:p>
    <w:p w14:paraId="402096F8" w14:textId="77777777" w:rsidR="008A57FB" w:rsidRDefault="008A57FB" w:rsidP="008A57FB">
      <w:pPr>
        <w:pStyle w:val="whitespace-normal"/>
      </w:pPr>
      <w:r>
        <w:rPr>
          <w:rStyle w:val="Fett"/>
          <w:rFonts w:eastAsiaTheme="majorEastAsia"/>
        </w:rPr>
        <w:t>Hebräisch:</w:t>
      </w:r>
      <w:r>
        <w:t xml:space="preserve"> </w:t>
      </w:r>
      <w:r>
        <w:rPr>
          <w:rtl/>
        </w:rPr>
        <w:t>אֲשֶׁר אָנֹכִי מְצַוְּךָ הַיּוֹם לְאַהֲבָה אֶת־יְהוָה אֱלֹהֶיךָ לָלֶכֶת בִּדְרָכָיו וְלִשְׁמֹר מִצְוֹתָיו וְחֻקֹּתָיו וּמִשְׁפָּטָיו וְחָיִיתָ וְרָבִיתָ וּבֵרַכְךָ יְהוָה אֱלֹהֶיךָ בָּאָרֶץ אֲשֶׁר־אַתָּה בָא־שָׁמָּה לְרִשְׁתָּהּ׃</w:t>
      </w:r>
    </w:p>
    <w:p w14:paraId="3D4C7D70" w14:textId="77777777" w:rsidR="008A57FB" w:rsidRDefault="008A57FB" w:rsidP="008A57FB">
      <w:pPr>
        <w:pStyle w:val="whitespace-normal"/>
      </w:pPr>
      <w:r>
        <w:rPr>
          <w:rStyle w:val="Fett"/>
          <w:rFonts w:eastAsiaTheme="majorEastAsia"/>
        </w:rPr>
        <w:t>Deutsch:</w:t>
      </w:r>
      <w:r>
        <w:t xml:space="preserve"> Indem ich dir heute gebiete, den Ewigen, deinen Gott, zu lieben, auf seinen Wegen zu gehen und seine Gebote und seine Satzungen und seine Rechtsbestimmungen zu halten, damit du lebst und dich mehrst und der Ewige, dein Gott, dich segnet in dem Land, wohin du kommst, um es in Besitz zu nehmen.</w:t>
      </w:r>
    </w:p>
    <w:p w14:paraId="3A750742" w14:textId="77777777" w:rsidR="008A57FB" w:rsidRDefault="004F5CEB" w:rsidP="008A57FB">
      <w:r>
        <w:rPr>
          <w:noProof/>
        </w:rPr>
        <w:pict w14:anchorId="13DEE572">
          <v:rect id="_x0000_i1858" style="width:0;height:1.5pt" o:hralign="center" o:hrstd="t" o:hr="t" fillcolor="#a0a0a0" stroked="f"/>
        </w:pict>
      </w:r>
    </w:p>
    <w:p w14:paraId="36A43316"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אֲשֶׁר אָנֹכִי מְצַוְּךָ הַיּוֹם לְאַהֲבָה אֶת־יְהוָה אֱלֹהֶיךָ לָלֶכֶת בִּדְרָכָיו וְלִשְׁמֹר מִצְוֹתָיו וְחֻקֹּתָיו וּמִשְׁפָּטָיו וְחָיִיתָ וְרָבִיתָ וּבֵרַכְךָ יְהוָה אֱלֹהֶיךָ בָּאָרֶץ אֲשֶׁר־אַתָּה בָא־שָׁמָּה לְרִשְׁתָּהּ</w:t>
      </w:r>
      <w:r>
        <w:rPr>
          <w:rtl/>
        </w:rPr>
        <w:t xml:space="preserve"> </w:t>
      </w:r>
      <w:r>
        <w:t xml:space="preserve">ist ein langer Relativsatz mit Folgen: </w:t>
      </w:r>
      <w:r>
        <w:rPr>
          <w:rStyle w:val="Fett"/>
          <w:rFonts w:eastAsiaTheme="majorEastAsia"/>
          <w:rtl/>
        </w:rPr>
        <w:t>אֲשֶׁר אָנֹכִי מְצַוְּךָ הַיּוֹם לְאַהֲבָה אֶת־יְהוָה אֱלֹהֶיךָ לָלֶכֶת בִּדְרָכָיו וְלִשְׁמֹר מִצְוֹתָיו וְחֻקֹּתָיו וּמִשְׁפָּטָיו</w:t>
      </w:r>
      <w:r>
        <w:rPr>
          <w:rtl/>
        </w:rPr>
        <w:t xml:space="preserve"> </w:t>
      </w:r>
      <w:r>
        <w:t xml:space="preserve">(Relativsatz: </w:t>
      </w:r>
      <w:r>
        <w:rPr>
          <w:rStyle w:val="Fett"/>
          <w:rFonts w:eastAsiaTheme="majorEastAsia"/>
          <w:rtl/>
        </w:rPr>
        <w:t>אֲשֶׁר</w:t>
      </w:r>
      <w:r>
        <w:rPr>
          <w:rtl/>
        </w:rPr>
        <w:t xml:space="preserve"> </w:t>
      </w:r>
      <w:r>
        <w:t xml:space="preserve">mit </w:t>
      </w:r>
      <w:r>
        <w:rPr>
          <w:rStyle w:val="Fett"/>
          <w:rFonts w:eastAsiaTheme="majorEastAsia"/>
          <w:rtl/>
        </w:rPr>
        <w:t>אָנֹכִי</w:t>
      </w:r>
      <w:r>
        <w:t xml:space="preserve">, </w:t>
      </w:r>
      <w:r>
        <w:rPr>
          <w:rStyle w:val="Fett"/>
          <w:rFonts w:eastAsiaTheme="majorEastAsia"/>
          <w:rtl/>
        </w:rPr>
        <w:t>צוה</w:t>
      </w:r>
      <w:r>
        <w:t xml:space="preserve">, Piel Partizip, 1. Person Singular, mit Suffix 2. Person Maskulinum Singular, </w:t>
      </w:r>
      <w:r>
        <w:rPr>
          <w:rStyle w:val="Fett"/>
          <w:rFonts w:eastAsiaTheme="majorEastAsia"/>
          <w:rtl/>
        </w:rPr>
        <w:t>הַיּוֹם</w:t>
      </w:r>
      <w:r>
        <w:t xml:space="preserve">, drei Finalsätze mit Präposition </w:t>
      </w:r>
      <w:r>
        <w:rPr>
          <w:rStyle w:val="Fett"/>
          <w:rFonts w:eastAsiaTheme="majorEastAsia"/>
          <w:rtl/>
        </w:rPr>
        <w:t>לְ</w:t>
      </w:r>
      <w:r>
        <w:rPr>
          <w:rtl/>
        </w:rPr>
        <w:t xml:space="preserve"> </w:t>
      </w:r>
      <w:r>
        <w:t xml:space="preserve">+ Infinitiv: (1) </w:t>
      </w:r>
      <w:r>
        <w:rPr>
          <w:rStyle w:val="Fett"/>
          <w:rFonts w:eastAsiaTheme="majorEastAsia"/>
          <w:rtl/>
        </w:rPr>
        <w:t>אהב</w:t>
      </w:r>
      <w:r>
        <w:t xml:space="preserve">, Qal Infinitiv Construct, Objektpartikel </w:t>
      </w:r>
      <w:r>
        <w:rPr>
          <w:rStyle w:val="Fett"/>
          <w:rFonts w:eastAsiaTheme="majorEastAsia"/>
          <w:rtl/>
        </w:rPr>
        <w:t>אֵת</w:t>
      </w:r>
      <w:r>
        <w:rPr>
          <w:rtl/>
        </w:rPr>
        <w:t xml:space="preserve"> </w:t>
      </w:r>
      <w:r>
        <w:t xml:space="preserve">mit </w:t>
      </w:r>
      <w:r>
        <w:rPr>
          <w:rStyle w:val="Fett"/>
          <w:rFonts w:eastAsiaTheme="majorEastAsia"/>
          <w:rtl/>
        </w:rPr>
        <w:t>יְהוָה אֱלֹהֶיךָ</w:t>
      </w:r>
      <w:r>
        <w:t xml:space="preserve">, (2) </w:t>
      </w:r>
      <w:r>
        <w:rPr>
          <w:rStyle w:val="Fett"/>
          <w:rFonts w:eastAsiaTheme="majorEastAsia"/>
          <w:rtl/>
        </w:rPr>
        <w:t>הלך</w:t>
      </w:r>
      <w:r>
        <w:t xml:space="preserve">, Qal Infinitiv Construct, </w:t>
      </w:r>
      <w:r>
        <w:rPr>
          <w:rStyle w:val="Fett"/>
          <w:rFonts w:eastAsiaTheme="majorEastAsia"/>
          <w:rtl/>
        </w:rPr>
        <w:t>בִּדְרָכָיו</w:t>
      </w:r>
      <w:r>
        <w:t xml:space="preserve">, „auf seinen Wegen", (3) </w:t>
      </w:r>
      <w:r>
        <w:rPr>
          <w:rStyle w:val="Fett"/>
          <w:rFonts w:eastAsiaTheme="majorEastAsia"/>
          <w:rtl/>
        </w:rPr>
        <w:t>שׁמר</w:t>
      </w:r>
      <w:r>
        <w:t xml:space="preserve">, Qal Infinitiv Construct, drei Objekte: </w:t>
      </w:r>
      <w:r>
        <w:rPr>
          <w:rStyle w:val="Fett"/>
          <w:rFonts w:eastAsiaTheme="majorEastAsia"/>
          <w:rtl/>
        </w:rPr>
        <w:t>מִצְוָה</w:t>
      </w:r>
      <w:r>
        <w:t xml:space="preserve">, </w:t>
      </w:r>
      <w:r>
        <w:rPr>
          <w:rStyle w:val="Fett"/>
          <w:rFonts w:eastAsiaTheme="majorEastAsia"/>
          <w:rtl/>
        </w:rPr>
        <w:t>חֻקָּה</w:t>
      </w:r>
      <w:r>
        <w:t xml:space="preserve">, </w:t>
      </w:r>
      <w:r>
        <w:rPr>
          <w:rStyle w:val="Fett"/>
          <w:rFonts w:eastAsiaTheme="majorEastAsia"/>
          <w:rtl/>
        </w:rPr>
        <w:t>מִשְׁפָּט</w:t>
      </w:r>
      <w:r>
        <w:t xml:space="preserve">, alle Plural </w:t>
      </w:r>
      <w:r>
        <w:lastRenderedPageBreak/>
        <w:t xml:space="preserve">mit Suffix 3. Person Maskulinum Singular), </w:t>
      </w:r>
      <w:r>
        <w:rPr>
          <w:rStyle w:val="Fett"/>
          <w:rFonts w:eastAsiaTheme="majorEastAsia"/>
          <w:rtl/>
        </w:rPr>
        <w:t>וְחָיִיתָ וְרָבִיתָ וּבֵרַכְךָ יְהוָה אֱלֹהֶיךָ בָּאָרֶץ אֲשֶׁר־אַתָּה בָא־שָׁמָּה לְרִשְׁתָּהּ</w:t>
      </w:r>
      <w:r>
        <w:rPr>
          <w:rtl/>
        </w:rPr>
        <w:t xml:space="preserve"> </w:t>
      </w:r>
      <w:r>
        <w:t xml:space="preserve">(drei koordinierte Aussagen mit </w:t>
      </w:r>
      <w:r>
        <w:rPr>
          <w:rStyle w:val="Fett"/>
          <w:rFonts w:eastAsiaTheme="majorEastAsia"/>
        </w:rPr>
        <w:t>Waw</w:t>
      </w:r>
      <w:r>
        <w:t xml:space="preserve"> consecutivum: </w:t>
      </w:r>
      <w:r>
        <w:rPr>
          <w:rStyle w:val="Fett"/>
          <w:rFonts w:eastAsiaTheme="majorEastAsia"/>
          <w:rtl/>
        </w:rPr>
        <w:t>חיה</w:t>
      </w:r>
      <w:r>
        <w:t xml:space="preserve">, Qal Perfekt, 2. Person Maskulinum Singular, </w:t>
      </w:r>
      <w:r>
        <w:rPr>
          <w:rStyle w:val="Fett"/>
          <w:rFonts w:eastAsiaTheme="majorEastAsia"/>
          <w:rtl/>
        </w:rPr>
        <w:t>רבה</w:t>
      </w:r>
      <w:r>
        <w:t xml:space="preserve">, Qal Perfekt, 2. Person Maskulinum Singular, </w:t>
      </w:r>
      <w:r>
        <w:rPr>
          <w:rStyle w:val="Fett"/>
          <w:rFonts w:eastAsiaTheme="majorEastAsia"/>
          <w:rtl/>
        </w:rPr>
        <w:t>ברך</w:t>
      </w:r>
      <w:r>
        <w:t xml:space="preserve">, Piel Perfekt, 3. Person Maskulinum Singular, mit Suffix, </w:t>
      </w:r>
      <w:r>
        <w:rPr>
          <w:rStyle w:val="Fett"/>
          <w:rFonts w:eastAsiaTheme="majorEastAsia"/>
          <w:rtl/>
        </w:rPr>
        <w:t>יְהוָה אֱלֹהֶיךָ</w:t>
      </w:r>
      <w:r>
        <w:rPr>
          <w:rtl/>
        </w:rPr>
        <w:t xml:space="preserve"> </w:t>
      </w:r>
      <w:r>
        <w:t xml:space="preserve">als Subjekt, </w:t>
      </w:r>
      <w:r>
        <w:rPr>
          <w:rStyle w:val="Fett"/>
          <w:rFonts w:eastAsiaTheme="majorEastAsia"/>
          <w:rtl/>
        </w:rPr>
        <w:t>בָּאָרֶץ</w:t>
      </w:r>
      <w:r>
        <w:t>, Relativsatz wie üblich).</w:t>
      </w:r>
    </w:p>
    <w:p w14:paraId="5448B11A" w14:textId="6AB3043B" w:rsidR="008A57FB" w:rsidRDefault="008A57FB" w:rsidP="008A57FB">
      <w:pPr>
        <w:pStyle w:val="whitespace-normal"/>
      </w:pPr>
      <w:r>
        <w:t xml:space="preserve">Der Vers entfaltet den Weg zum Leben aus V. 15. Der Relativsatz: </w:t>
      </w:r>
      <w:r>
        <w:rPr>
          <w:rStyle w:val="Fett"/>
          <w:rFonts w:eastAsiaTheme="majorEastAsia"/>
          <w:rtl/>
        </w:rPr>
        <w:t>אֲשֶׁר אָנֹכִי מְצַוְּךָ הַיּוֹם לְאַהֲבָה אֶת־יְהוָה אֱלֹהֶיךָ לָלֶכֶת בִּדְרָכָיו וְלִשְׁמֹר מִצְוֹתָיו וְחֻקֹּתָיו וּמִשְׁפָּטָיו</w:t>
      </w:r>
      <w:r>
        <w:rPr>
          <w:rtl/>
        </w:rPr>
        <w:t xml:space="preserve"> </w:t>
      </w:r>
      <w:r>
        <w:t xml:space="preserve">(„indem ich dir heute gebiete, </w:t>
      </w:r>
      <w:r w:rsidR="00281FDB">
        <w:t>JHWH</w:t>
      </w:r>
      <w:r>
        <w:t xml:space="preserve">, deinen Gott, zu lieben, auf seinen Wegen zu gehen und zu halten seine Gebote und seine Satzungen und seine Rechtsbestimmungen"). Drei Forderungen: (1) </w:t>
      </w:r>
      <w:r>
        <w:rPr>
          <w:rStyle w:val="Fett"/>
          <w:rFonts w:eastAsiaTheme="majorEastAsia"/>
          <w:rtl/>
        </w:rPr>
        <w:t>לְאַהֲבָה אֶת־יְהוָה אֱלֹהֶיךָ</w:t>
      </w:r>
      <w:r>
        <w:rPr>
          <w:rtl/>
        </w:rPr>
        <w:t xml:space="preserve"> </w:t>
      </w:r>
      <w:r>
        <w:t>(„</w:t>
      </w:r>
      <w:r w:rsidR="00281FDB">
        <w:t>JHWH</w:t>
      </w:r>
      <w:r>
        <w:t xml:space="preserve">, deinen Gott, zu lieben") – das Hauptgebot (vgl. 6,5; 10,12; 11,1.13.22; 13,4; 19,9; 30,6.20). (2) </w:t>
      </w:r>
      <w:r>
        <w:rPr>
          <w:rStyle w:val="Fett"/>
          <w:rFonts w:eastAsiaTheme="majorEastAsia"/>
          <w:rtl/>
        </w:rPr>
        <w:t>לָלֶכֶת בִּדְרָכָיו</w:t>
      </w:r>
      <w:r>
        <w:rPr>
          <w:rtl/>
        </w:rPr>
        <w:t xml:space="preserve"> </w:t>
      </w:r>
      <w:r>
        <w:t xml:space="preserve">(„auf seinen Wegen zu gehen") – Lebenswandel nach Gottes Willen (vgl. 5,33; 8,6; 10,12; 11,22; 19,9; 26,17; 28,9). (3) </w:t>
      </w:r>
      <w:r>
        <w:rPr>
          <w:rStyle w:val="Fett"/>
          <w:rFonts w:eastAsiaTheme="majorEastAsia"/>
          <w:rtl/>
        </w:rPr>
        <w:t>לִשְׁמֹר מִצְוֹתָיו וְחֻקֹּתָיו וּמִשְׁפָּטָיו</w:t>
      </w:r>
      <w:r>
        <w:rPr>
          <w:rtl/>
        </w:rPr>
        <w:t xml:space="preserve"> </w:t>
      </w:r>
      <w:r>
        <w:t xml:space="preserve">(„zu halten seine Gebote und seine Satzungen und seine Rechtsbestimmungen") – konkreter Gehorsam. Die Folgen: </w:t>
      </w:r>
      <w:r>
        <w:rPr>
          <w:rStyle w:val="Fett"/>
          <w:rFonts w:eastAsiaTheme="majorEastAsia"/>
          <w:rtl/>
        </w:rPr>
        <w:t>וְחָיִיתָ וְרָבִיתָ וּבֵרַכְךָ יְהוָה אֱלֹהֶיךָ בָּאָרֶץ אֲשֶׁר־אַתָּה בָא־שָׁמָּה לְרִשְׁתָּהּ</w:t>
      </w:r>
      <w:r>
        <w:rPr>
          <w:rtl/>
        </w:rPr>
        <w:t xml:space="preserve"> </w:t>
      </w:r>
      <w:r>
        <w:t xml:space="preserve">(„damit du lebst und dich mehrst und </w:t>
      </w:r>
      <w:r w:rsidR="00B77E5E">
        <w:t>JHWH</w:t>
      </w:r>
      <w:r>
        <w:t xml:space="preserve">, dein Gott, dich segnet in dem Land, wohin du kommst, um es in Besitz zu nehmen"). Die drei Verben </w:t>
      </w:r>
      <w:r>
        <w:rPr>
          <w:rStyle w:val="Fett"/>
          <w:rFonts w:eastAsiaTheme="majorEastAsia"/>
          <w:rtl/>
        </w:rPr>
        <w:t>חיה</w:t>
      </w:r>
      <w:r>
        <w:rPr>
          <w:rtl/>
        </w:rPr>
        <w:t xml:space="preserve"> </w:t>
      </w:r>
      <w:r>
        <w:t xml:space="preserve">(„leben"), </w:t>
      </w:r>
      <w:r>
        <w:rPr>
          <w:rStyle w:val="Fett"/>
          <w:rFonts w:eastAsiaTheme="majorEastAsia"/>
          <w:rtl/>
        </w:rPr>
        <w:t>רבה</w:t>
      </w:r>
      <w:r>
        <w:rPr>
          <w:rtl/>
        </w:rPr>
        <w:t xml:space="preserve"> </w:t>
      </w:r>
      <w:r>
        <w:t xml:space="preserve">(„sich mehren"), </w:t>
      </w:r>
      <w:r>
        <w:rPr>
          <w:rStyle w:val="Fett"/>
          <w:rFonts w:eastAsiaTheme="majorEastAsia"/>
          <w:rtl/>
        </w:rPr>
        <w:t>ברך</w:t>
      </w:r>
      <w:r>
        <w:rPr>
          <w:rtl/>
        </w:rPr>
        <w:t xml:space="preserve"> </w:t>
      </w:r>
      <w:r>
        <w:t>(„segnen") fassen den Segen aus Kapitel 28,1-14 zusammen.</w:t>
      </w:r>
    </w:p>
    <w:p w14:paraId="0C2F9979" w14:textId="66099D15" w:rsidR="00C367A0" w:rsidRDefault="00C367A0" w:rsidP="008A57FB">
      <w:pPr>
        <w:pStyle w:val="whitespace-normal"/>
      </w:pPr>
      <w:r>
        <w:rPr>
          <w:rStyle w:val="Fett"/>
        </w:rPr>
        <w:t>Die LXX</w:t>
      </w:r>
      <w:r>
        <w:t xml:space="preserve"> beginnt mit </w:t>
      </w:r>
      <w:proofErr w:type="spellStart"/>
      <w:r>
        <w:t>ἐὰν</w:t>
      </w:r>
      <w:proofErr w:type="spellEnd"/>
      <w:r>
        <w:t xml:space="preserve"> </w:t>
      </w:r>
      <w:proofErr w:type="spellStart"/>
      <w:r>
        <w:t>δὲ</w:t>
      </w:r>
      <w:proofErr w:type="spellEnd"/>
      <w:r>
        <w:t xml:space="preserve"> </w:t>
      </w:r>
      <w:proofErr w:type="spellStart"/>
      <w:r>
        <w:t>εἰσ</w:t>
      </w:r>
      <w:proofErr w:type="spellEnd"/>
      <w:r>
        <w:t xml:space="preserve">ακούσῃς (wenn du aber hörst) statt </w:t>
      </w:r>
      <w:r>
        <w:rPr>
          <w:rtl/>
        </w:rPr>
        <w:t>אֲשֶׁר אָנֹכִי מְצַוְּךָ</w:t>
      </w:r>
      <w:r>
        <w:t xml:space="preserve"> (was ich dir gebiete) – eine strukturelle Änderung, die den Vers als Bedingungssatz konstruiert.</w:t>
      </w:r>
    </w:p>
    <w:p w14:paraId="03BF11AF" w14:textId="1EAFE1F4" w:rsidR="008A57FB" w:rsidRDefault="008A57FB" w:rsidP="008A57FB">
      <w:pPr>
        <w:pStyle w:val="whitespace-normal"/>
      </w:pPr>
      <w:r>
        <w:rPr>
          <w:rStyle w:val="Fett"/>
          <w:rFonts w:eastAsiaTheme="majorEastAsia"/>
        </w:rPr>
        <w:t>Die Satzstruktur:</w:t>
      </w:r>
      <w:r>
        <w:t xml:space="preserve"> Relativsatz mit drei Folgen (indem ich dir heute gebiete, </w:t>
      </w:r>
      <w:r w:rsidR="00DF3D1A">
        <w:t>JHWH</w:t>
      </w:r>
      <w:r>
        <w:t xml:space="preserve">, deinen Gott, zu lieben, auf seinen Wegen zu gehen und zu halten seine Gebote und seine Satzungen und seine Rechtsbestimmungen, damit du lebst und dich mehrst und </w:t>
      </w:r>
      <w:r w:rsidR="00B77E5E">
        <w:t>JHWH</w:t>
      </w:r>
      <w:r>
        <w:t>, dein Gott, dich segnet in dem Land, wohin du kommst, um es in Besitz zu nehmen).</w:t>
      </w:r>
    </w:p>
    <w:p w14:paraId="6E2BDF51" w14:textId="2C3E872B" w:rsidR="008A57FB" w:rsidRDefault="008A57FB" w:rsidP="00B77CC6">
      <w:pPr>
        <w:pStyle w:val="whitespace-normal"/>
      </w:pPr>
      <w:r>
        <w:rPr>
          <w:rStyle w:val="Fett"/>
          <w:rFonts w:eastAsiaTheme="majorEastAsia"/>
        </w:rPr>
        <w:t>Der Vers beschreibt:</w:t>
      </w:r>
      <w:r>
        <w:t xml:space="preserve"> Der Weg zum Leben – Gottesliebe, Wandel auf Gottes Wegen, Gehorsam führen zu </w:t>
      </w:r>
      <w:proofErr w:type="spellStart"/>
      <w:r>
        <w:t>Leben</w:t>
      </w:r>
      <w:proofErr w:type="spellEnd"/>
      <w:r>
        <w:t>, Mehrung, Segen.</w:t>
      </w:r>
    </w:p>
    <w:p w14:paraId="24230FA1" w14:textId="77777777" w:rsidR="008A57FB" w:rsidRPr="008D48A3" w:rsidRDefault="008A57FB" w:rsidP="008D48A3">
      <w:pPr>
        <w:pStyle w:val="Bibelberschrift"/>
      </w:pPr>
      <w:r w:rsidRPr="008D48A3">
        <w:rPr>
          <w:rStyle w:val="Fett"/>
          <w:b/>
          <w:bCs w:val="0"/>
        </w:rPr>
        <w:t>Deuteronomium 30,17</w:t>
      </w:r>
    </w:p>
    <w:p w14:paraId="701B47DC" w14:textId="77777777" w:rsidR="008A57FB" w:rsidRDefault="008A57FB" w:rsidP="008A57FB">
      <w:pPr>
        <w:pStyle w:val="whitespace-normal"/>
      </w:pPr>
      <w:r>
        <w:rPr>
          <w:rStyle w:val="Fett"/>
          <w:rFonts w:eastAsiaTheme="majorEastAsia"/>
        </w:rPr>
        <w:t>Hebräisch:</w:t>
      </w:r>
      <w:r>
        <w:t xml:space="preserve"> </w:t>
      </w:r>
      <w:r>
        <w:rPr>
          <w:rtl/>
        </w:rPr>
        <w:t>וְאִם־יִפְנֶה לְבָבְךָ וְלֹא תִשְׁמָע וְנִדַּחְתָּ וְהִשְׁתַּחֲוִיתָ לֵאלֹהִים אֲחֵרִים וַעֲבַדְתָּם׃</w:t>
      </w:r>
    </w:p>
    <w:p w14:paraId="61A0C1D9" w14:textId="77777777" w:rsidR="008A57FB" w:rsidRDefault="008A57FB" w:rsidP="008A57FB">
      <w:pPr>
        <w:pStyle w:val="whitespace-normal"/>
      </w:pPr>
      <w:r>
        <w:rPr>
          <w:rStyle w:val="Fett"/>
          <w:rFonts w:eastAsiaTheme="majorEastAsia"/>
        </w:rPr>
        <w:t>Deutsch:</w:t>
      </w:r>
      <w:r>
        <w:t xml:space="preserve"> Wenn aber dein Herz sich abwendet und du nicht gehorchst und du dich verführen lässt und dich vor anderen Göttern niederwirfst und ihnen dienst.</w:t>
      </w:r>
    </w:p>
    <w:p w14:paraId="6F3996A5" w14:textId="77777777" w:rsidR="008A57FB" w:rsidRDefault="004F5CEB" w:rsidP="008A57FB">
      <w:r>
        <w:rPr>
          <w:noProof/>
        </w:rPr>
        <w:pict w14:anchorId="65BAA660">
          <v:rect id="_x0000_i1859" style="width:0;height:1.5pt" o:hralign="center" o:hrstd="t" o:hr="t" fillcolor="#a0a0a0" stroked="f"/>
        </w:pict>
      </w:r>
    </w:p>
    <w:p w14:paraId="0F55189A" w14:textId="6FFEFE2A"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וְאִם־יִפְנֶה לְבָבְךָ וְלֹא תִשְׁמָע וְנִדַּחְתָּ וְהִשְׁתַּחֲוִיתָ לֵאלֹהִים אֲחֵרִים וַעֲבַדְתָּם</w:t>
      </w:r>
      <w:r>
        <w:rPr>
          <w:rtl/>
        </w:rPr>
        <w:t xml:space="preserve"> </w:t>
      </w:r>
      <w:r>
        <w:t xml:space="preserve">ist eine Bedingung mit vier Aussagen: </w:t>
      </w:r>
      <w:r>
        <w:rPr>
          <w:rStyle w:val="Fett"/>
          <w:rFonts w:eastAsiaTheme="majorEastAsia"/>
          <w:rtl/>
        </w:rPr>
        <w:t>וְאִם־יִפְנֶה לְבָבְךָ</w:t>
      </w:r>
      <w:r>
        <w:rPr>
          <w:rtl/>
        </w:rPr>
        <w:t xml:space="preserve"> </w:t>
      </w:r>
      <w:r>
        <w:t xml:space="preserve">(koordiniert durch </w:t>
      </w:r>
      <w:r>
        <w:rPr>
          <w:rStyle w:val="Fett"/>
          <w:rFonts w:eastAsiaTheme="majorEastAsia"/>
          <w:rtl/>
        </w:rPr>
        <w:t>וְ</w:t>
      </w:r>
      <w:r>
        <w:rPr>
          <w:rtl/>
        </w:rPr>
        <w:t xml:space="preserve"> </w:t>
      </w:r>
      <w:r>
        <w:t xml:space="preserve">mit Konditionalsatz: </w:t>
      </w:r>
      <w:r>
        <w:rPr>
          <w:rStyle w:val="Fett"/>
          <w:rFonts w:eastAsiaTheme="majorEastAsia"/>
          <w:rtl/>
        </w:rPr>
        <w:t>אִם</w:t>
      </w:r>
      <w:r>
        <w:rPr>
          <w:rtl/>
        </w:rPr>
        <w:t xml:space="preserve"> </w:t>
      </w:r>
      <w:r>
        <w:t xml:space="preserve">mit </w:t>
      </w:r>
      <w:r>
        <w:rPr>
          <w:rStyle w:val="Fett"/>
          <w:rFonts w:eastAsiaTheme="majorEastAsia"/>
          <w:rtl/>
        </w:rPr>
        <w:t>פנה</w:t>
      </w:r>
      <w:r>
        <w:t xml:space="preserve">, Qal Imperfekt, 3. Person Maskulinum Singular, „sich wenden, sich abwenden", </w:t>
      </w:r>
      <w:r>
        <w:rPr>
          <w:rStyle w:val="Fett"/>
          <w:rFonts w:eastAsiaTheme="majorEastAsia"/>
          <w:rtl/>
        </w:rPr>
        <w:t>לֵבָב</w:t>
      </w:r>
      <w:r>
        <w:rPr>
          <w:rtl/>
        </w:rPr>
        <w:t xml:space="preserve"> </w:t>
      </w:r>
      <w:r>
        <w:t xml:space="preserve">mit Suffix 2. Person Maskulinum Singular als Subjekt), </w:t>
      </w:r>
      <w:r>
        <w:rPr>
          <w:rStyle w:val="Fett"/>
          <w:rFonts w:eastAsiaTheme="majorEastAsia"/>
          <w:rtl/>
        </w:rPr>
        <w:t>וְלֹא תִשְׁמָע</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שׁמע</w:t>
      </w:r>
      <w:r>
        <w:t xml:space="preserve">, Qal Imperfekt, 2. Person Maskulinum Singular, mit </w:t>
      </w:r>
      <w:r>
        <w:rPr>
          <w:rStyle w:val="Fett"/>
          <w:rFonts w:eastAsiaTheme="majorEastAsia"/>
        </w:rPr>
        <w:t>Waw</w:t>
      </w:r>
      <w:r>
        <w:t xml:space="preserve"> consecutivum), </w:t>
      </w:r>
      <w:r>
        <w:rPr>
          <w:rStyle w:val="Fett"/>
          <w:rFonts w:eastAsiaTheme="majorEastAsia"/>
          <w:rtl/>
        </w:rPr>
        <w:t>וְנִדַּחְתָּ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נדח</w:t>
      </w:r>
      <w:r>
        <w:t xml:space="preserve">, Niphal Perfekt, 2. Person Maskulinum Singular, „verführt werden, abgelenkt werden", mit </w:t>
      </w:r>
      <w:r>
        <w:rPr>
          <w:rStyle w:val="Fett"/>
          <w:rFonts w:eastAsiaTheme="majorEastAsia"/>
        </w:rPr>
        <w:t>Waw</w:t>
      </w:r>
      <w:r>
        <w:t xml:space="preserve"> consecutivum), </w:t>
      </w:r>
      <w:r>
        <w:rPr>
          <w:rStyle w:val="Fett"/>
          <w:rFonts w:eastAsiaTheme="majorEastAsia"/>
          <w:rtl/>
        </w:rPr>
        <w:t>וְהִשְׁתַּחֲוִיתָ לֵאלֹהִים אֲחֵרִים וַעֲבַדְתָּם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שׁחה</w:t>
      </w:r>
      <w:r>
        <w:t xml:space="preserve">, </w:t>
      </w:r>
      <w:r w:rsidR="007E2044">
        <w:t>Hitpael</w:t>
      </w:r>
      <w:r>
        <w:t xml:space="preserve"> Perfekt, 2. Person Maskulinum Singular, </w:t>
      </w:r>
      <w:r>
        <w:rPr>
          <w:rStyle w:val="Fett"/>
          <w:rFonts w:eastAsiaTheme="majorEastAsia"/>
          <w:rtl/>
        </w:rPr>
        <w:t>לֵאלֹהִים אֲחֵרִים</w:t>
      </w:r>
      <w:r>
        <w:t xml:space="preserve">, koordiniert durch </w:t>
      </w:r>
      <w:r>
        <w:rPr>
          <w:rStyle w:val="Fett"/>
          <w:rFonts w:eastAsiaTheme="majorEastAsia"/>
          <w:rtl/>
        </w:rPr>
        <w:t>וְ</w:t>
      </w:r>
      <w:r>
        <w:rPr>
          <w:rtl/>
        </w:rPr>
        <w:t xml:space="preserve"> </w:t>
      </w:r>
      <w:r>
        <w:t xml:space="preserve">mit </w:t>
      </w:r>
      <w:r>
        <w:rPr>
          <w:rStyle w:val="Fett"/>
          <w:rFonts w:eastAsiaTheme="majorEastAsia"/>
          <w:rtl/>
        </w:rPr>
        <w:lastRenderedPageBreak/>
        <w:t>עבד</w:t>
      </w:r>
      <w:r>
        <w:t xml:space="preserve">, Qal Perfekt, 2. Person Maskulinum Singular, mit Suffix 3. Person Maskulinum Plural, mit </w:t>
      </w:r>
      <w:r>
        <w:rPr>
          <w:rStyle w:val="Fett"/>
          <w:rFonts w:eastAsiaTheme="majorEastAsia"/>
        </w:rPr>
        <w:t>Waw</w:t>
      </w:r>
      <w:r>
        <w:t xml:space="preserve"> consecutivum für beide).</w:t>
      </w:r>
    </w:p>
    <w:p w14:paraId="4E9D8BB5" w14:textId="3A728265" w:rsidR="008A57FB" w:rsidRDefault="008A57FB" w:rsidP="008A57FB">
      <w:pPr>
        <w:pStyle w:val="whitespace-normal"/>
      </w:pPr>
      <w:r>
        <w:t xml:space="preserve">Der Vers beschreibt den Weg zum Tod aus V. 15. Die Bedingung mit vier Aussagen: </w:t>
      </w:r>
      <w:r>
        <w:rPr>
          <w:rStyle w:val="Fett"/>
          <w:rFonts w:eastAsiaTheme="majorEastAsia"/>
          <w:rtl/>
        </w:rPr>
        <w:t>וְאִם־יִפְנֶה לְבָבְךָ וְלֹא תִשְׁמָע וְנִדַּחְתָּ וְהִשְׁתַּחֲוִיתָ לֵאלֹהִים אֲחֵרִים וַעֲבַדְתָּם</w:t>
      </w:r>
      <w:r>
        <w:rPr>
          <w:rtl/>
        </w:rPr>
        <w:t xml:space="preserve"> </w:t>
      </w:r>
      <w:r>
        <w:t xml:space="preserve">(„wenn aber sich abwendet dein Herz und nicht gehorchst du und verführt wirst du und dich niederwirfst vor anderen Göttern und ihnen dienst"). Die vier Stufen des Abfalls: (1) </w:t>
      </w:r>
      <w:r>
        <w:rPr>
          <w:rStyle w:val="Fett"/>
          <w:rFonts w:eastAsiaTheme="majorEastAsia"/>
          <w:rtl/>
        </w:rPr>
        <w:t>יִפְנֶה לְבָבְךָ</w:t>
      </w:r>
      <w:r>
        <w:rPr>
          <w:rtl/>
        </w:rPr>
        <w:t xml:space="preserve"> </w:t>
      </w:r>
      <w:r>
        <w:t xml:space="preserve">(„sich abwendet dein Herz") – innere Abwendung von Gott (vgl. 29,17). (2) </w:t>
      </w:r>
      <w:r>
        <w:rPr>
          <w:rStyle w:val="Fett"/>
          <w:rFonts w:eastAsiaTheme="majorEastAsia"/>
          <w:rtl/>
        </w:rPr>
        <w:t>לֹא תִשְׁמָע</w:t>
      </w:r>
      <w:r>
        <w:rPr>
          <w:rtl/>
        </w:rPr>
        <w:t xml:space="preserve"> </w:t>
      </w:r>
      <w:r>
        <w:t xml:space="preserve">(„nicht gehorchst du") – Ungehorsam als Folge der Herzensabwendung. (3) </w:t>
      </w:r>
      <w:r>
        <w:rPr>
          <w:rStyle w:val="Fett"/>
          <w:rFonts w:eastAsiaTheme="majorEastAsia"/>
          <w:rtl/>
        </w:rPr>
        <w:t>נִדַּחְתָּ</w:t>
      </w:r>
      <w:r>
        <w:rPr>
          <w:rtl/>
        </w:rPr>
        <w:t xml:space="preserve"> </w:t>
      </w:r>
      <w:r>
        <w:t xml:space="preserve">(„verführt wirst du") – Abgleiten zum Götzendienst. (4) </w:t>
      </w:r>
      <w:r>
        <w:rPr>
          <w:rStyle w:val="Fett"/>
          <w:rFonts w:eastAsiaTheme="majorEastAsia"/>
          <w:rtl/>
        </w:rPr>
        <w:t>הִשְׁתַּחֲוִיתָ לֵאלֹהִים אֲחֵרִים וַעֲבַדְתָּם</w:t>
      </w:r>
      <w:r>
        <w:rPr>
          <w:rtl/>
        </w:rPr>
        <w:t xml:space="preserve"> </w:t>
      </w:r>
      <w:r>
        <w:t xml:space="preserve">(„du </w:t>
      </w:r>
      <w:proofErr w:type="spellStart"/>
      <w:r>
        <w:t>wirfst</w:t>
      </w:r>
      <w:proofErr w:type="spellEnd"/>
      <w:r>
        <w:t xml:space="preserve"> dich nieder vor anderen Göttern und dienst ihnen") – vollständiger Abfall zum Götzendienst (vgl. 4,19; 8,19; 11,16; 17,3; 29,25).</w:t>
      </w:r>
    </w:p>
    <w:p w14:paraId="56012DD6" w14:textId="50C3437B" w:rsidR="00C367A0" w:rsidRDefault="00C367A0" w:rsidP="008A57FB">
      <w:pPr>
        <w:pStyle w:val="whitespace-normal"/>
      </w:pPr>
      <w:r>
        <w:rPr>
          <w:rStyle w:val="Fett"/>
        </w:rPr>
        <w:t>Die LXX</w:t>
      </w:r>
      <w:r>
        <w:t xml:space="preserve"> übersetzt </w:t>
      </w:r>
      <w:r>
        <w:rPr>
          <w:rtl/>
        </w:rPr>
        <w:t>וְנִדַּחְתָּ</w:t>
      </w:r>
      <w:r>
        <w:t xml:space="preserve"> (und du wirst verführt werden) mit καὶ πλα</w:t>
      </w:r>
      <w:proofErr w:type="spellStart"/>
      <w:r>
        <w:t>νηθείς</w:t>
      </w:r>
      <w:proofErr w:type="spellEnd"/>
      <w:r>
        <w:t xml:space="preserve"> (und in die Irre geführt werdend) – ein Partizip Aorist Passiv, das die passive Verführung betont.</w:t>
      </w:r>
    </w:p>
    <w:p w14:paraId="0D058EB3" w14:textId="77777777" w:rsidR="008A57FB" w:rsidRDefault="008A57FB" w:rsidP="008A57FB">
      <w:pPr>
        <w:pStyle w:val="whitespace-normal"/>
      </w:pPr>
      <w:r>
        <w:rPr>
          <w:rStyle w:val="Fett"/>
          <w:rFonts w:eastAsiaTheme="majorEastAsia"/>
        </w:rPr>
        <w:t>Die Satzstruktur:</w:t>
      </w:r>
      <w:r>
        <w:t xml:space="preserve"> Bedingung mit vier Aussagen (wenn aber sich abwendet dein Herz und nicht gehorchst du und verführt wirst du und dich niederwirfst vor anderen Göttern und ihnen dienst).</w:t>
      </w:r>
    </w:p>
    <w:p w14:paraId="1DB479F7" w14:textId="6A374A61" w:rsidR="008A57FB" w:rsidRDefault="008A57FB" w:rsidP="00B77CC6">
      <w:pPr>
        <w:pStyle w:val="whitespace-normal"/>
      </w:pPr>
      <w:r>
        <w:rPr>
          <w:rStyle w:val="Fett"/>
          <w:rFonts w:eastAsiaTheme="majorEastAsia"/>
        </w:rPr>
        <w:t>Der Vers beschreibt:</w:t>
      </w:r>
      <w:r>
        <w:t xml:space="preserve"> Der Weg zum Tod – Herzensabwendung führt zu Ungehorsam und schließlich zum Götzendienst.</w:t>
      </w:r>
    </w:p>
    <w:p w14:paraId="2FB7C263" w14:textId="77777777" w:rsidR="008A57FB" w:rsidRPr="008D48A3" w:rsidRDefault="008A57FB" w:rsidP="008D48A3">
      <w:pPr>
        <w:pStyle w:val="Bibelberschrift"/>
      </w:pPr>
      <w:r w:rsidRPr="008D48A3">
        <w:rPr>
          <w:rStyle w:val="Fett"/>
          <w:b/>
          <w:bCs w:val="0"/>
        </w:rPr>
        <w:t>Deuteronomium 30,18</w:t>
      </w:r>
    </w:p>
    <w:p w14:paraId="37A918A5" w14:textId="77777777" w:rsidR="008A57FB" w:rsidRDefault="008A57FB" w:rsidP="008A57FB">
      <w:pPr>
        <w:pStyle w:val="whitespace-normal"/>
      </w:pPr>
      <w:r>
        <w:rPr>
          <w:rStyle w:val="Fett"/>
          <w:rFonts w:eastAsiaTheme="majorEastAsia"/>
        </w:rPr>
        <w:t>Hebräisch:</w:t>
      </w:r>
      <w:r>
        <w:t xml:space="preserve"> </w:t>
      </w:r>
      <w:r>
        <w:rPr>
          <w:rtl/>
        </w:rPr>
        <w:t>הִגַּדְתִּי לָכֶם הַיּוֹם כִּי אָבֹד תֹּאבֵדוּן לֹא־תַאֲרִיכֻן יָמִים עַל־הָאֲדָמָה אֲשֶׁר אַתָּה עֹבֵר אֶת־הַיַּרְדֵּן לָבֹא שָׁמָּה לְרִשְׁתָּהּ׃</w:t>
      </w:r>
    </w:p>
    <w:p w14:paraId="6D23531F" w14:textId="77777777" w:rsidR="008A57FB" w:rsidRDefault="008A57FB" w:rsidP="008A57FB">
      <w:pPr>
        <w:pStyle w:val="whitespace-normal"/>
      </w:pPr>
      <w:r>
        <w:rPr>
          <w:rStyle w:val="Fett"/>
          <w:rFonts w:eastAsiaTheme="majorEastAsia"/>
        </w:rPr>
        <w:t>Deutsch:</w:t>
      </w:r>
      <w:r>
        <w:t xml:space="preserve"> So verkünde ich euch heute, dass ihr gewiss umkommen werdet; ihr werdet eure Tage nicht verlängern in dem Land, wohin du über den Jordan ziehst, um hineinzukommen, es in Besitz zu nehmen.</w:t>
      </w:r>
    </w:p>
    <w:p w14:paraId="7F38BCA7" w14:textId="77777777" w:rsidR="008A57FB" w:rsidRDefault="004F5CEB" w:rsidP="008A57FB">
      <w:r>
        <w:rPr>
          <w:noProof/>
        </w:rPr>
        <w:pict w14:anchorId="095F2E7F">
          <v:rect id="_x0000_i1860" style="width:0;height:1.5pt" o:hralign="center" o:hrstd="t" o:hr="t" fillcolor="#a0a0a0" stroked="f"/>
        </w:pict>
      </w:r>
    </w:p>
    <w:p w14:paraId="3EAA3E31"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הִגַּדְתִּי לָכֶם הַיּוֹם כִּי אָבֹד תֹּאבֵדוּן לֹא־תַאֲרִיכֻן יָמִים עַל־הָאֲדָמָה אֲשֶׁר אַתָּה עֹבֵר אֶת־הַיַּרְדֵּן לָבֹא שָׁמָּה לְרִשְׁתָּהּ</w:t>
      </w:r>
      <w:r>
        <w:rPr>
          <w:rtl/>
        </w:rPr>
        <w:t xml:space="preserve"> </w:t>
      </w:r>
      <w:r>
        <w:t xml:space="preserve">sind Ankündigung und zwei Aussagen: </w:t>
      </w:r>
      <w:r>
        <w:rPr>
          <w:rStyle w:val="Fett"/>
          <w:rFonts w:eastAsiaTheme="majorEastAsia"/>
          <w:rtl/>
        </w:rPr>
        <w:t>הִגַּדְתִּי לָכֶם הַיּוֹם</w:t>
      </w:r>
      <w:r>
        <w:rPr>
          <w:rtl/>
        </w:rPr>
        <w:t xml:space="preserve"> </w:t>
      </w:r>
      <w:r>
        <w:t>(</w:t>
      </w:r>
      <w:r>
        <w:rPr>
          <w:rStyle w:val="Fett"/>
          <w:rFonts w:eastAsiaTheme="majorEastAsia"/>
          <w:rtl/>
        </w:rPr>
        <w:t>נגד</w:t>
      </w:r>
      <w:r>
        <w:t xml:space="preserve">, Hiphil Perfekt, 1. Person Singular, „verkünden, erklären", </w:t>
      </w:r>
      <w:r>
        <w:rPr>
          <w:rStyle w:val="Fett"/>
          <w:rFonts w:eastAsiaTheme="majorEastAsia"/>
          <w:rtl/>
        </w:rPr>
        <w:t>לָכֶם הַיּוֹם</w:t>
      </w:r>
      <w:r>
        <w:t xml:space="preserve">), </w:t>
      </w:r>
      <w:r>
        <w:rPr>
          <w:rStyle w:val="Fett"/>
          <w:rFonts w:eastAsiaTheme="majorEastAsia"/>
          <w:rtl/>
        </w:rPr>
        <w:t>כִּי אָבֹד תֹּאבֵדוּן</w:t>
      </w:r>
      <w:r>
        <w:rPr>
          <w:rtl/>
        </w:rPr>
        <w:t xml:space="preserve"> </w:t>
      </w:r>
      <w:r>
        <w:t xml:space="preserve">(Inhaltssatz: </w:t>
      </w:r>
      <w:r>
        <w:rPr>
          <w:rStyle w:val="Fett"/>
          <w:rFonts w:eastAsiaTheme="majorEastAsia"/>
          <w:rtl/>
        </w:rPr>
        <w:t>כִּי</w:t>
      </w:r>
      <w:r>
        <w:rPr>
          <w:rtl/>
        </w:rPr>
        <w:t xml:space="preserve"> </w:t>
      </w:r>
      <w:r>
        <w:t xml:space="preserve">mit </w:t>
      </w:r>
      <w:r>
        <w:rPr>
          <w:rStyle w:val="Fett"/>
          <w:rFonts w:eastAsiaTheme="majorEastAsia"/>
          <w:rtl/>
        </w:rPr>
        <w:t>אבד</w:t>
      </w:r>
      <w:r>
        <w:t xml:space="preserve">, Qal Infinitiv Absolutus, „umkommen, zugrunde gehen", </w:t>
      </w:r>
      <w:r>
        <w:rPr>
          <w:rStyle w:val="Fett"/>
          <w:rFonts w:eastAsiaTheme="majorEastAsia"/>
          <w:rtl/>
        </w:rPr>
        <w:t>אבד</w:t>
      </w:r>
      <w:r>
        <w:t xml:space="preserve">, Qal Imperfekt, 2. Person Plural (emphatische Konstruktion)), </w:t>
      </w:r>
      <w:r>
        <w:rPr>
          <w:rStyle w:val="Fett"/>
          <w:rFonts w:eastAsiaTheme="majorEastAsia"/>
          <w:rtl/>
        </w:rPr>
        <w:t>לֹא־תַאֲרִיכֻן יָמִים עַל־הָאֲדָמָה אֲשֶׁר אַתָּה עֹבֵר אֶת־הַיַּרְדֵּן לָבֹא שָׁמָּה לְרִשְׁתָּהּ</w:t>
      </w:r>
      <w:r>
        <w:rPr>
          <w:rtl/>
        </w:rPr>
        <w:t xml:space="preserve"> </w:t>
      </w:r>
      <w:r>
        <w:t xml:space="preserve">(Negation, </w:t>
      </w:r>
      <w:r>
        <w:rPr>
          <w:rStyle w:val="Fett"/>
          <w:rFonts w:eastAsiaTheme="majorEastAsia"/>
          <w:rtl/>
        </w:rPr>
        <w:t>ארך</w:t>
      </w:r>
      <w:r>
        <w:t xml:space="preserve">, Hiphil Imperfekt, 2. Person Plural, „verlängern", </w:t>
      </w:r>
      <w:r>
        <w:rPr>
          <w:rStyle w:val="Fett"/>
          <w:rFonts w:eastAsiaTheme="majorEastAsia"/>
          <w:rtl/>
        </w:rPr>
        <w:t>יָמִים</w:t>
      </w:r>
      <w:r>
        <w:t xml:space="preserve">, </w:t>
      </w:r>
      <w:r>
        <w:rPr>
          <w:rStyle w:val="Fett"/>
          <w:rFonts w:eastAsiaTheme="majorEastAsia"/>
          <w:rtl/>
        </w:rPr>
        <w:t>עַל־הָאֲדָמָה</w:t>
      </w:r>
      <w:r>
        <w:t>, Relativsatz wie üblich).</w:t>
      </w:r>
    </w:p>
    <w:p w14:paraId="2420AA74" w14:textId="77777777" w:rsidR="008A57FB" w:rsidRDefault="008A57FB" w:rsidP="008A57FB">
      <w:pPr>
        <w:pStyle w:val="whitespace-normal"/>
      </w:pPr>
      <w:r>
        <w:t xml:space="preserve">Der Vers nennt die Konsequenzen des Weges aus V. 17. Die Ankündigung: </w:t>
      </w:r>
      <w:r>
        <w:rPr>
          <w:rStyle w:val="Fett"/>
          <w:rFonts w:eastAsiaTheme="majorEastAsia"/>
          <w:rtl/>
        </w:rPr>
        <w:t>הִגַּדְתִּי לָכֶם הַיּוֹם</w:t>
      </w:r>
      <w:r>
        <w:rPr>
          <w:rtl/>
        </w:rPr>
        <w:t xml:space="preserve"> </w:t>
      </w:r>
      <w:r>
        <w:t xml:space="preserve">(„so verkünde ich euch heute"). Feierliche Warnung. Die erste Aussage: </w:t>
      </w:r>
      <w:r>
        <w:rPr>
          <w:rStyle w:val="Fett"/>
          <w:rFonts w:eastAsiaTheme="majorEastAsia"/>
          <w:rtl/>
        </w:rPr>
        <w:t>כִּי אָבֹד תֹּאבֵדוּן</w:t>
      </w:r>
      <w:r>
        <w:rPr>
          <w:rtl/>
        </w:rPr>
        <w:t xml:space="preserve"> </w:t>
      </w:r>
      <w:r>
        <w:t xml:space="preserve">(„dass umkommen, umkommen werdet ihr"). Die Konstruktion Infinitiv Absolutus + finites Verb verstärkt die Aussage: „ihr werdet gewiss umkommen" (vgl. Gen 2,17). Die zweite Aussage: </w:t>
      </w:r>
      <w:r>
        <w:rPr>
          <w:rStyle w:val="Fett"/>
          <w:rFonts w:eastAsiaTheme="majorEastAsia"/>
          <w:rtl/>
        </w:rPr>
        <w:t>לֹא־תַאֲרִיכֻן יָמִים עַל־הָאֲדָמָה אֲשֶׁר אַתָּה עֹבֵר אֶת־הַיַּרְדֵּן לָבֹא שָׁמָּה לְרִשְׁתָּהּ</w:t>
      </w:r>
      <w:r>
        <w:rPr>
          <w:rtl/>
        </w:rPr>
        <w:t xml:space="preserve"> </w:t>
      </w:r>
      <w:r>
        <w:t xml:space="preserve">(„nicht werdet ihr verlängern Tage auf dem Land, wohin du über den Jordan ziehst, um hineinzukommen, es in Besitz zu </w:t>
      </w:r>
      <w:r>
        <w:lastRenderedPageBreak/>
        <w:t xml:space="preserve">nehmen"). Die Formulierung </w:t>
      </w:r>
      <w:r>
        <w:rPr>
          <w:rStyle w:val="Fett"/>
          <w:rFonts w:eastAsiaTheme="majorEastAsia"/>
          <w:rtl/>
        </w:rPr>
        <w:t>לֹא־תַאֲרִיכֻן יָמִים</w:t>
      </w:r>
      <w:r>
        <w:rPr>
          <w:rtl/>
        </w:rPr>
        <w:t xml:space="preserve"> </w:t>
      </w:r>
      <w:r>
        <w:t>(„nicht verlängern Tage") = kurzes Leben, früher Tod im Land (Gegenteil von 4,26.40; 5,16.33; 6,2; 11,9.21; 17,20; 22,7; 25,15; 32,47). Der Götzendienst führt zum Verlust des Landes.</w:t>
      </w:r>
    </w:p>
    <w:p w14:paraId="1437F704" w14:textId="77777777" w:rsidR="008A57FB" w:rsidRDefault="008A57FB" w:rsidP="008A57FB">
      <w:pPr>
        <w:pStyle w:val="whitespace-normal"/>
      </w:pPr>
      <w:r>
        <w:rPr>
          <w:rStyle w:val="Fett"/>
          <w:rFonts w:eastAsiaTheme="majorEastAsia"/>
        </w:rPr>
        <w:t>Die Satzstruktur:</w:t>
      </w:r>
      <w:r>
        <w:t xml:space="preserve"> Ankündigung und zwei Aussagen (so verkünde ich euch heute, dass umkommen, umkommen werdet ihr; nicht werdet ihr verlängern Tage auf dem Land, wohin du über den Jordan ziehst, um hineinzukommen, es in Besitz zu nehmen).</w:t>
      </w:r>
    </w:p>
    <w:p w14:paraId="420C03E2" w14:textId="77777777" w:rsidR="008A57FB" w:rsidRDefault="008A57FB" w:rsidP="008A57FB">
      <w:pPr>
        <w:pStyle w:val="whitespace-normal"/>
      </w:pPr>
      <w:r>
        <w:rPr>
          <w:rStyle w:val="Fett"/>
          <w:rFonts w:eastAsiaTheme="majorEastAsia"/>
        </w:rPr>
        <w:t>Der Vers beschreibt:</w:t>
      </w:r>
      <w:r>
        <w:t xml:space="preserve"> Konsequenz des Götzendienstes – sicherer Untergang, keine Verlängerung der Tage im Land.</w:t>
      </w:r>
    </w:p>
    <w:p w14:paraId="4BBDC859" w14:textId="77777777" w:rsidR="008A57FB" w:rsidRPr="008D48A3" w:rsidRDefault="008A57FB" w:rsidP="008D48A3">
      <w:pPr>
        <w:pStyle w:val="Bibelberschrift"/>
      </w:pPr>
      <w:r w:rsidRPr="008D48A3">
        <w:rPr>
          <w:rStyle w:val="Fett"/>
          <w:b/>
          <w:bCs w:val="0"/>
        </w:rPr>
        <w:t>Deuteronomium 30,19</w:t>
      </w:r>
    </w:p>
    <w:p w14:paraId="4ABBD8FF" w14:textId="77777777" w:rsidR="008A57FB" w:rsidRDefault="008A57FB" w:rsidP="008A57FB">
      <w:pPr>
        <w:pStyle w:val="whitespace-normal"/>
      </w:pPr>
      <w:r>
        <w:rPr>
          <w:rStyle w:val="Fett"/>
          <w:rFonts w:eastAsiaTheme="majorEastAsia"/>
        </w:rPr>
        <w:t>Hebräisch:</w:t>
      </w:r>
      <w:r>
        <w:t xml:space="preserve"> </w:t>
      </w:r>
      <w:r>
        <w:rPr>
          <w:rtl/>
        </w:rPr>
        <w:t>הַעִידֹתִי בָכֶם הַיּוֹם אֶת־הַשָּׁמַיִם וְאֶת־הָאָרֶץ הַחַיִּים וְהַמָּוֶת נָתַתִּי לְפָנֶיךָ הַבְּרָכָה וְהַקְּלָלָה וּבָחַרְתָּ בַּחַיִּים לְמַעַן תִּחְיֶה אַתָּה וְזַרְעֶךָ׃</w:t>
      </w:r>
    </w:p>
    <w:p w14:paraId="2380803C" w14:textId="77777777" w:rsidR="008A57FB" w:rsidRDefault="008A57FB" w:rsidP="008A57FB">
      <w:pPr>
        <w:pStyle w:val="whitespace-normal"/>
      </w:pPr>
      <w:r>
        <w:rPr>
          <w:rStyle w:val="Fett"/>
          <w:rFonts w:eastAsiaTheme="majorEastAsia"/>
        </w:rPr>
        <w:t>Deutsch:</w:t>
      </w:r>
      <w:r>
        <w:t xml:space="preserve"> Ich rufe heute die Himmel und die Erde als Zeugen gegen euch auf: Das Leben und den Tod habe ich vor dich gelegt, den Segen und den Fluch! So wähle das Leben, damit du lebst, du und dein Nachkomme.</w:t>
      </w:r>
    </w:p>
    <w:p w14:paraId="13C45039" w14:textId="77777777" w:rsidR="008A57FB" w:rsidRDefault="004F5CEB" w:rsidP="008A57FB">
      <w:r>
        <w:rPr>
          <w:noProof/>
        </w:rPr>
        <w:pict w14:anchorId="151D80F1">
          <v:rect id="_x0000_i1861" style="width:0;height:1.5pt" o:hralign="center" o:hrstd="t" o:hr="t" fillcolor="#a0a0a0" stroked="f"/>
        </w:pict>
      </w:r>
    </w:p>
    <w:p w14:paraId="6D4646B0"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הַעִידֹתִי בָכֶם הַיּוֹם אֶת־הַשָּׁמַיִם וְאֶת־הָאָרֶץ הַחַיִּים וְהַמָּוֶת נָתַתִּי לְפָנֶיךָ הַבְּרָכָה וְהַקְּלָלָה וּבָחַרְתָּ בַּחַיִּים לְמַעַן תִּחְיֶה אַתָּה וְזַרְעֶךָ</w:t>
      </w:r>
      <w:r>
        <w:rPr>
          <w:rtl/>
        </w:rPr>
        <w:t xml:space="preserve"> </w:t>
      </w:r>
      <w:r>
        <w:t xml:space="preserve">sind vier Aussagen: </w:t>
      </w:r>
      <w:r>
        <w:rPr>
          <w:rStyle w:val="Fett"/>
          <w:rFonts w:eastAsiaTheme="majorEastAsia"/>
          <w:rtl/>
        </w:rPr>
        <w:t>הַעִידֹתִי בָכֶם הַיּוֹם אֶת־הַשָּׁמַיִם וְאֶת־הָאָרֶץ</w:t>
      </w:r>
      <w:r>
        <w:rPr>
          <w:rtl/>
        </w:rPr>
        <w:t xml:space="preserve"> </w:t>
      </w:r>
      <w:r>
        <w:t>(</w:t>
      </w:r>
      <w:r>
        <w:rPr>
          <w:rStyle w:val="Fett"/>
          <w:rFonts w:eastAsiaTheme="majorEastAsia"/>
          <w:rtl/>
        </w:rPr>
        <w:t>עוד</w:t>
      </w:r>
      <w:r>
        <w:t xml:space="preserve">, Hiphil Perfekt, 1. Person Singular, „als Zeugen aufrufen, bezeugen", Präposition </w:t>
      </w:r>
      <w:r>
        <w:rPr>
          <w:rStyle w:val="Fett"/>
          <w:rFonts w:eastAsiaTheme="majorEastAsia"/>
          <w:rtl/>
        </w:rPr>
        <w:t>בְּ</w:t>
      </w:r>
      <w:r>
        <w:rPr>
          <w:rtl/>
        </w:rPr>
        <w:t xml:space="preserve"> </w:t>
      </w:r>
      <w:r>
        <w:t xml:space="preserve">mit Suffix 2. Person Plural, </w:t>
      </w:r>
      <w:r>
        <w:rPr>
          <w:rStyle w:val="Fett"/>
          <w:rFonts w:eastAsiaTheme="majorEastAsia"/>
          <w:rtl/>
        </w:rPr>
        <w:t>הַיּוֹם</w:t>
      </w:r>
      <w:r>
        <w:t xml:space="preserve">, Objektpartikel </w:t>
      </w:r>
      <w:r>
        <w:rPr>
          <w:rStyle w:val="Fett"/>
          <w:rFonts w:eastAsiaTheme="majorEastAsia"/>
          <w:rtl/>
        </w:rPr>
        <w:t>אֵת</w:t>
      </w:r>
      <w:r>
        <w:rPr>
          <w:rtl/>
        </w:rPr>
        <w:t xml:space="preserve"> </w:t>
      </w:r>
      <w:r>
        <w:t xml:space="preserve">mit </w:t>
      </w:r>
      <w:r>
        <w:rPr>
          <w:rStyle w:val="Fett"/>
          <w:rFonts w:eastAsiaTheme="majorEastAsia"/>
          <w:rtl/>
        </w:rPr>
        <w:t>שָׁמַיִם</w:t>
      </w:r>
      <w:r>
        <w:rPr>
          <w:rtl/>
        </w:rPr>
        <w:t xml:space="preserve"> </w:t>
      </w:r>
      <w:r>
        <w:t xml:space="preserve">mit Artikel, koordiniert durch </w:t>
      </w:r>
      <w:r>
        <w:rPr>
          <w:rStyle w:val="Fett"/>
          <w:rFonts w:eastAsiaTheme="majorEastAsia"/>
          <w:rtl/>
        </w:rPr>
        <w:t>וְ</w:t>
      </w:r>
      <w:r>
        <w:rPr>
          <w:rtl/>
        </w:rPr>
        <w:t xml:space="preserve"> </w:t>
      </w:r>
      <w:r>
        <w:t xml:space="preserve">mit Objektpartikel </w:t>
      </w:r>
      <w:r>
        <w:rPr>
          <w:rStyle w:val="Fett"/>
          <w:rFonts w:eastAsiaTheme="majorEastAsia"/>
          <w:rtl/>
        </w:rPr>
        <w:t>אֵת</w:t>
      </w:r>
      <w:r>
        <w:t xml:space="preserve">, </w:t>
      </w:r>
      <w:r>
        <w:rPr>
          <w:rStyle w:val="Fett"/>
          <w:rFonts w:eastAsiaTheme="majorEastAsia"/>
          <w:rtl/>
        </w:rPr>
        <w:t>אֶרֶץ</w:t>
      </w:r>
      <w:r>
        <w:rPr>
          <w:rtl/>
        </w:rPr>
        <w:t xml:space="preserve"> </w:t>
      </w:r>
      <w:r>
        <w:t xml:space="preserve">mit Artikel), </w:t>
      </w:r>
      <w:r>
        <w:rPr>
          <w:rStyle w:val="Fett"/>
          <w:rFonts w:eastAsiaTheme="majorEastAsia"/>
          <w:rtl/>
        </w:rPr>
        <w:t>הַחַיִּים וְהַמָּוֶת נָתַתִּי לְפָנֶיךָ הַבְּרָכָה וְהַקְּלָלָה</w:t>
      </w:r>
      <w:r>
        <w:rPr>
          <w:rtl/>
        </w:rPr>
        <w:t xml:space="preserve"> </w:t>
      </w:r>
      <w:r>
        <w:t xml:space="preserve">(Wiederholung von V. 15: </w:t>
      </w:r>
      <w:r>
        <w:rPr>
          <w:rStyle w:val="Fett"/>
          <w:rFonts w:eastAsiaTheme="majorEastAsia"/>
          <w:rtl/>
        </w:rPr>
        <w:t>חַיִּים</w:t>
      </w:r>
      <w:r>
        <w:rPr>
          <w:rtl/>
        </w:rPr>
        <w:t xml:space="preserve"> </w:t>
      </w:r>
      <w:r>
        <w:t xml:space="preserve">Plural mit Artikel, koordiniert mit </w:t>
      </w:r>
      <w:r>
        <w:rPr>
          <w:rStyle w:val="Fett"/>
          <w:rFonts w:eastAsiaTheme="majorEastAsia"/>
          <w:rtl/>
        </w:rPr>
        <w:t>מָוֶת</w:t>
      </w:r>
      <w:r>
        <w:rPr>
          <w:rtl/>
        </w:rPr>
        <w:t xml:space="preserve"> </w:t>
      </w:r>
      <w:r>
        <w:t xml:space="preserve">mit Artikel als Objekt vorangestellt, </w:t>
      </w:r>
      <w:r>
        <w:rPr>
          <w:rStyle w:val="Fett"/>
          <w:rFonts w:eastAsiaTheme="majorEastAsia"/>
          <w:rtl/>
        </w:rPr>
        <w:t>נתן</w:t>
      </w:r>
      <w:r>
        <w:t xml:space="preserve">, Qal Perfekt, 1. Person Singular, </w:t>
      </w:r>
      <w:r>
        <w:rPr>
          <w:rStyle w:val="Fett"/>
          <w:rFonts w:eastAsiaTheme="majorEastAsia"/>
          <w:rtl/>
        </w:rPr>
        <w:t>לְפָנֶיךָ</w:t>
      </w:r>
      <w:r>
        <w:t xml:space="preserve">, zwei Appositionen: </w:t>
      </w:r>
      <w:r>
        <w:rPr>
          <w:rStyle w:val="Fett"/>
          <w:rFonts w:eastAsiaTheme="majorEastAsia"/>
          <w:rtl/>
        </w:rPr>
        <w:t>בְּרָכָה</w:t>
      </w:r>
      <w:r>
        <w:rPr>
          <w:rtl/>
        </w:rPr>
        <w:t xml:space="preserve"> </w:t>
      </w:r>
      <w:r>
        <w:t xml:space="preserve">mit Artikel, koordiniert mit </w:t>
      </w:r>
      <w:r>
        <w:rPr>
          <w:rStyle w:val="Fett"/>
          <w:rFonts w:eastAsiaTheme="majorEastAsia"/>
          <w:rtl/>
        </w:rPr>
        <w:t>קְלָלָה</w:t>
      </w:r>
      <w:r>
        <w:rPr>
          <w:rtl/>
        </w:rPr>
        <w:t xml:space="preserve"> </w:t>
      </w:r>
      <w:r>
        <w:t xml:space="preserve">mit Artikel), </w:t>
      </w:r>
      <w:r>
        <w:rPr>
          <w:rStyle w:val="Fett"/>
          <w:rFonts w:eastAsiaTheme="majorEastAsia"/>
          <w:rtl/>
        </w:rPr>
        <w:t>וּבָחַרְתָּ בַּחַיִּים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בחר</w:t>
      </w:r>
      <w:r>
        <w:t xml:space="preserve">, Qal Perfekt, 2. Person Maskulinum Singular, „wählen", Präposition </w:t>
      </w:r>
      <w:r>
        <w:rPr>
          <w:rStyle w:val="Fett"/>
          <w:rFonts w:eastAsiaTheme="majorEastAsia"/>
          <w:rtl/>
        </w:rPr>
        <w:t>בְּ</w:t>
      </w:r>
      <w:r>
        <w:rPr>
          <w:rtl/>
        </w:rPr>
        <w:t xml:space="preserve"> </w:t>
      </w:r>
      <w:r>
        <w:t xml:space="preserve">mit </w:t>
      </w:r>
      <w:r>
        <w:rPr>
          <w:rStyle w:val="Fett"/>
          <w:rFonts w:eastAsiaTheme="majorEastAsia"/>
          <w:rtl/>
        </w:rPr>
        <w:t>חַיִּים</w:t>
      </w:r>
      <w:r>
        <w:rPr>
          <w:rtl/>
        </w:rPr>
        <w:t xml:space="preserve"> </w:t>
      </w:r>
      <w:r>
        <w:t xml:space="preserve">Plural, mit </w:t>
      </w:r>
      <w:r>
        <w:rPr>
          <w:rStyle w:val="Fett"/>
          <w:rFonts w:eastAsiaTheme="majorEastAsia"/>
        </w:rPr>
        <w:t>Waw</w:t>
      </w:r>
      <w:r>
        <w:t xml:space="preserve"> consecutivum), </w:t>
      </w:r>
      <w:r>
        <w:rPr>
          <w:rStyle w:val="Fett"/>
          <w:rFonts w:eastAsiaTheme="majorEastAsia"/>
          <w:rtl/>
        </w:rPr>
        <w:t>לְמַעַן תִּחְיֶה אַתָּה וְזַרְעֶךָ</w:t>
      </w:r>
      <w:r>
        <w:rPr>
          <w:rtl/>
        </w:rPr>
        <w:t xml:space="preserve"> </w:t>
      </w:r>
      <w:r>
        <w:t xml:space="preserve">(Finalsatz: </w:t>
      </w:r>
      <w:r>
        <w:rPr>
          <w:rStyle w:val="Fett"/>
          <w:rFonts w:eastAsiaTheme="majorEastAsia"/>
          <w:rtl/>
        </w:rPr>
        <w:t>לְמַעַן</w:t>
      </w:r>
      <w:r>
        <w:rPr>
          <w:rtl/>
        </w:rPr>
        <w:t xml:space="preserve"> </w:t>
      </w:r>
      <w:r>
        <w:t xml:space="preserve">mit </w:t>
      </w:r>
      <w:r>
        <w:rPr>
          <w:rStyle w:val="Fett"/>
          <w:rFonts w:eastAsiaTheme="majorEastAsia"/>
          <w:rtl/>
        </w:rPr>
        <w:t>חיה</w:t>
      </w:r>
      <w:r>
        <w:t xml:space="preserve">, Qal Imperfekt, 2. Person Maskulinum Singular, </w:t>
      </w:r>
      <w:r>
        <w:rPr>
          <w:rStyle w:val="Fett"/>
          <w:rFonts w:eastAsiaTheme="majorEastAsia"/>
          <w:rtl/>
        </w:rPr>
        <w:t>אַתָּה</w:t>
      </w:r>
      <w:r>
        <w:t xml:space="preserve">, koordiniert durch </w:t>
      </w:r>
      <w:r>
        <w:rPr>
          <w:rStyle w:val="Fett"/>
          <w:rFonts w:eastAsiaTheme="majorEastAsia"/>
          <w:rtl/>
        </w:rPr>
        <w:t>וְ</w:t>
      </w:r>
      <w:r>
        <w:rPr>
          <w:rtl/>
        </w:rPr>
        <w:t xml:space="preserve"> </w:t>
      </w:r>
      <w:r>
        <w:t xml:space="preserve">mit </w:t>
      </w:r>
      <w:r>
        <w:rPr>
          <w:rStyle w:val="Fett"/>
          <w:rFonts w:eastAsiaTheme="majorEastAsia"/>
          <w:rtl/>
        </w:rPr>
        <w:t>זֶרַע</w:t>
      </w:r>
      <w:r>
        <w:rPr>
          <w:rtl/>
        </w:rPr>
        <w:t xml:space="preserve"> </w:t>
      </w:r>
      <w:r>
        <w:t>mit Suffix 2. Person Maskulinum Singular).</w:t>
      </w:r>
    </w:p>
    <w:p w14:paraId="3C12BFAE" w14:textId="4C84A31B" w:rsidR="008A57FB" w:rsidRDefault="008A57FB" w:rsidP="008A57FB">
      <w:pPr>
        <w:pStyle w:val="whitespace-normal"/>
      </w:pPr>
      <w:r>
        <w:t xml:space="preserve">Der Vers ist der Höhepunkt des gesamten Kapitels und einer der eindrücklichsten Verse des Deuteronomiums. Die erste Aussage: </w:t>
      </w:r>
      <w:r>
        <w:rPr>
          <w:rStyle w:val="Fett"/>
          <w:rFonts w:eastAsiaTheme="majorEastAsia"/>
          <w:rtl/>
        </w:rPr>
        <w:t>הַעִידֹתִי בָכֶם הַיּוֹם אֶת־הַשָּׁמַיִם וְאֶת־הָאָרֶץ</w:t>
      </w:r>
      <w:r>
        <w:rPr>
          <w:rtl/>
        </w:rPr>
        <w:t xml:space="preserve"> </w:t>
      </w:r>
      <w:r>
        <w:t xml:space="preserve">(„ich rufe als Zeugen auf gegen euch heute die Himmel und die Erde"). Die Formulierung </w:t>
      </w:r>
      <w:r>
        <w:rPr>
          <w:rStyle w:val="Fett"/>
          <w:rFonts w:eastAsiaTheme="majorEastAsia"/>
          <w:rtl/>
        </w:rPr>
        <w:t>העיד ב</w:t>
      </w:r>
      <w:r>
        <w:rPr>
          <w:rtl/>
        </w:rPr>
        <w:t xml:space="preserve"> </w:t>
      </w:r>
      <w:r>
        <w:t xml:space="preserve">(„als Zeugen aufrufen gegen") ist rechtlich-forensisch (vgl. 4,26; 31,28; 32,1; Jes 1,2; Mich 6,2). Himmel und Erde werden als kosmische Zeugen aufgerufen – sie werden Zeuge sein, dass Israel die Wahl hatte (vgl. 4,26; 31,28; 32,1). Die zweite Aussage: </w:t>
      </w:r>
      <w:r>
        <w:rPr>
          <w:rStyle w:val="Fett"/>
          <w:rFonts w:eastAsiaTheme="majorEastAsia"/>
          <w:rtl/>
        </w:rPr>
        <w:t>הַחַיִּים וְהַמָּוֶת נָתַתִּי לְפָנֶיךָ הַבְּרָכָה וְהַקְּלָלָה</w:t>
      </w:r>
      <w:r>
        <w:rPr>
          <w:rtl/>
        </w:rPr>
        <w:t xml:space="preserve"> </w:t>
      </w:r>
      <w:r>
        <w:t xml:space="preserve">(„das Leben und den Tod habe ich vor dich gelegt, den Segen und den Fluch"). Wiederholung und Bekräftigung von V. 15 – die beiden Optionen stehen klar vor Israel. Die dritte Aussage: </w:t>
      </w:r>
      <w:r>
        <w:rPr>
          <w:rStyle w:val="Fett"/>
          <w:rFonts w:eastAsiaTheme="majorEastAsia"/>
          <w:rtl/>
        </w:rPr>
        <w:t>וּבָחַרְתָּ בַּחַיִּים</w:t>
      </w:r>
      <w:r>
        <w:rPr>
          <w:rtl/>
        </w:rPr>
        <w:t xml:space="preserve"> </w:t>
      </w:r>
      <w:r>
        <w:t xml:space="preserve">(„so wähle das Leben"). Das Verb </w:t>
      </w:r>
      <w:r>
        <w:rPr>
          <w:rStyle w:val="Fett"/>
          <w:rFonts w:eastAsiaTheme="majorEastAsia"/>
          <w:rtl/>
        </w:rPr>
        <w:t>בחר</w:t>
      </w:r>
      <w:r>
        <w:rPr>
          <w:rtl/>
        </w:rPr>
        <w:t xml:space="preserve"> </w:t>
      </w:r>
      <w:r>
        <w:t xml:space="preserve">(„wählen") ist entscheidend – Israel hat die Wahl und wird aufgefordert, das Leben zu wählen (vgl. Jos 24,15.22). Dies ist keine neutrale Wahl, sondern eine dringende Aufforderung. Der Finalsatz: </w:t>
      </w:r>
      <w:r>
        <w:rPr>
          <w:rStyle w:val="Fett"/>
          <w:rFonts w:eastAsiaTheme="majorEastAsia"/>
          <w:rtl/>
        </w:rPr>
        <w:t>לְמַעַן תִּחְיֶה אַתָּה וְזַרְעֶךָ</w:t>
      </w:r>
      <w:r>
        <w:rPr>
          <w:rtl/>
        </w:rPr>
        <w:t xml:space="preserve"> </w:t>
      </w:r>
      <w:r>
        <w:t xml:space="preserve">(„damit du lebst, du und dein Nachkomme"). Die Betonung </w:t>
      </w:r>
      <w:r>
        <w:rPr>
          <w:rStyle w:val="Fett"/>
          <w:rFonts w:eastAsiaTheme="majorEastAsia"/>
          <w:rtl/>
        </w:rPr>
        <w:t>אַתָּה</w:t>
      </w:r>
      <w:r>
        <w:rPr>
          <w:rtl/>
        </w:rPr>
        <w:t xml:space="preserve"> </w:t>
      </w:r>
      <w:r>
        <w:t xml:space="preserve">(„du") verstärkt die </w:t>
      </w:r>
      <w:r>
        <w:lastRenderedPageBreak/>
        <w:t xml:space="preserve">persönliche Anrede. Die Formulierung </w:t>
      </w:r>
      <w:r>
        <w:rPr>
          <w:rStyle w:val="Fett"/>
          <w:rFonts w:eastAsiaTheme="majorEastAsia"/>
          <w:rtl/>
        </w:rPr>
        <w:t>וְזַרְעֶךָ</w:t>
      </w:r>
      <w:r>
        <w:rPr>
          <w:rtl/>
        </w:rPr>
        <w:t xml:space="preserve"> </w:t>
      </w:r>
      <w:r>
        <w:t>(„und dein Nachkomme") betont: die Wahl hat generationenübergreifende Konsequenzen.</w:t>
      </w:r>
    </w:p>
    <w:p w14:paraId="177214B5" w14:textId="46853178" w:rsidR="00C367A0" w:rsidRDefault="00C367A0" w:rsidP="008A57FB">
      <w:pPr>
        <w:pStyle w:val="whitespace-normal"/>
      </w:pPr>
      <w:r>
        <w:rPr>
          <w:rStyle w:val="Fett"/>
        </w:rPr>
        <w:t>Die LXX</w:t>
      </w:r>
      <w:r>
        <w:t xml:space="preserve"> übersetzt </w:t>
      </w:r>
      <w:r>
        <w:rPr>
          <w:rtl/>
        </w:rPr>
        <w:t>הַעִידֹתִי בָכֶם</w:t>
      </w:r>
      <w:r>
        <w:t xml:space="preserve"> (ich habe euch bezeugen lassen) mit </w:t>
      </w:r>
      <w:proofErr w:type="spellStart"/>
      <w:r>
        <w:t>δι</w:t>
      </w:r>
      <w:proofErr w:type="spellEnd"/>
      <w:r>
        <w:t xml:space="preserve">αμαρτύρομαι </w:t>
      </w:r>
      <w:proofErr w:type="spellStart"/>
      <w:r>
        <w:t>ὑμῖν</w:t>
      </w:r>
      <w:proofErr w:type="spellEnd"/>
      <w:r>
        <w:t xml:space="preserve"> (ich bezeuge euch feierlich) – ein zusammengesetztes Verb, das die ernste Natur des Zeugnisses betont. Die LXX fügt καὶ </w:t>
      </w:r>
      <w:proofErr w:type="spellStart"/>
      <w:r>
        <w:t>ἔκλεξ</w:t>
      </w:r>
      <w:proofErr w:type="spellEnd"/>
      <w:r>
        <w:t>αι (und wähle!) hinzu – einen Imperativ Aorist, der im MT nicht explizit vorhanden ist, obwohl die Aufforderung zur Wahl impliziert ist.</w:t>
      </w:r>
    </w:p>
    <w:p w14:paraId="365045DC" w14:textId="77777777" w:rsidR="008A57FB" w:rsidRDefault="008A57FB" w:rsidP="008A57FB">
      <w:pPr>
        <w:pStyle w:val="whitespace-normal"/>
      </w:pPr>
      <w:r>
        <w:rPr>
          <w:rStyle w:val="Fett"/>
          <w:rFonts w:eastAsiaTheme="majorEastAsia"/>
        </w:rPr>
        <w:t>Die Satzstruktur:</w:t>
      </w:r>
      <w:r>
        <w:t xml:space="preserve"> Vier Aussagen (ich rufe als Zeugen auf gegen euch heute die Himmel und die Erde: das Leben und den Tod habe ich vor dich gelegt, den Segen und den Fluch; so wähle das Leben, damit du lebst, du und dein Nachkomme).</w:t>
      </w:r>
    </w:p>
    <w:p w14:paraId="2B47BEF4" w14:textId="7415C709" w:rsidR="008A57FB" w:rsidRDefault="008A57FB" w:rsidP="00B77CC6">
      <w:pPr>
        <w:pStyle w:val="whitespace-normal"/>
      </w:pPr>
      <w:r>
        <w:rPr>
          <w:rStyle w:val="Fett"/>
          <w:rFonts w:eastAsiaTheme="majorEastAsia"/>
        </w:rPr>
        <w:t>Der Vers beschreibt:</w:t>
      </w:r>
      <w:r>
        <w:t xml:space="preserve"> Höhepunkt – mit Himmel und Erde als Zeugen wird Israel aufgefordert, das Leben zu wählen.</w:t>
      </w:r>
    </w:p>
    <w:p w14:paraId="7A755846" w14:textId="77777777" w:rsidR="008A57FB" w:rsidRPr="008D48A3" w:rsidRDefault="008A57FB" w:rsidP="008D48A3">
      <w:pPr>
        <w:pStyle w:val="Bibelberschrift"/>
      </w:pPr>
      <w:r w:rsidRPr="008D48A3">
        <w:rPr>
          <w:rStyle w:val="Fett"/>
          <w:b/>
          <w:bCs w:val="0"/>
        </w:rPr>
        <w:t>Deuteronomium 30,20</w:t>
      </w:r>
    </w:p>
    <w:p w14:paraId="02C87A22" w14:textId="77777777" w:rsidR="008A57FB" w:rsidRDefault="008A57FB" w:rsidP="008A57FB">
      <w:pPr>
        <w:pStyle w:val="whitespace-normal"/>
      </w:pPr>
      <w:r>
        <w:rPr>
          <w:rStyle w:val="Fett"/>
          <w:rFonts w:eastAsiaTheme="majorEastAsia"/>
        </w:rPr>
        <w:t>Hebräisch:</w:t>
      </w:r>
      <w:r>
        <w:t xml:space="preserve"> </w:t>
      </w:r>
      <w:r>
        <w:rPr>
          <w:rtl/>
        </w:rPr>
        <w:t>לְאַהֲבָה אֶת־יְהוָה אֱלֹהֶיךָ לִשְׁמֹעַ בְּקֹלוֹ וּלְדָבְקָה־בוֹ כִּי הוּא חַיֶּיךָ וְאֹרֶךְ יָמֶיךָ לָשֶׁבֶת עַל־הָאֲדָמָה אֲשֶׁר נִשְׁבַּע יְהוָה לַאֲבֹתֶיךָ לְאַבְרָהָם לְיִצְחָק וּלְיַעֲקֹב לָתֵת לָהֶם׃</w:t>
      </w:r>
    </w:p>
    <w:p w14:paraId="600211D6" w14:textId="77777777" w:rsidR="008A57FB" w:rsidRDefault="008A57FB" w:rsidP="008A57FB">
      <w:pPr>
        <w:pStyle w:val="whitespace-normal"/>
      </w:pPr>
      <w:r>
        <w:rPr>
          <w:rStyle w:val="Fett"/>
          <w:rFonts w:eastAsiaTheme="majorEastAsia"/>
        </w:rPr>
        <w:t>Deutsch:</w:t>
      </w:r>
      <w:r>
        <w:t xml:space="preserve"> Indem du den Ewigen, deinen Gott, liebst, seiner Stimme gehorchst und ihm anhängst; denn das ist dein Leben und die Länge deiner Tage, dass du wohnst in dem Land, das der Ewige deinen Vätern geschworen hat, dem Abraham, dem Isaak und dem Jakob, ihnen zu geben.</w:t>
      </w:r>
    </w:p>
    <w:p w14:paraId="4A733462" w14:textId="77777777" w:rsidR="008A57FB" w:rsidRDefault="004F5CEB" w:rsidP="008A57FB">
      <w:r>
        <w:rPr>
          <w:noProof/>
        </w:rPr>
        <w:pict w14:anchorId="19256C70">
          <v:rect id="_x0000_i1862" style="width:0;height:1.5pt" o:hralign="center" o:hrstd="t" o:hr="t" fillcolor="#a0a0a0" stroked="f"/>
        </w:pict>
      </w:r>
    </w:p>
    <w:p w14:paraId="40AD64D3"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לְאַהֲבָה אֶת־יְהוָה אֱלֹהֶיךָ לִשְׁמֹעַ בְּקֹלוֹ וּלְדָבְקָה־בוֹ כִּי הוּא חַיֶּיךָ וְאֹרֶךְ יָמֶיךָ לָשֶׁבֶת עַל־הָאֲדָמָה אֲשֶׁר נִשְׁבַּע יְהוָה לַאֲבֹתֶיךָ לְאַבְרָהָם לְיִצְחָק וּלְיַעֲקֹב לָתֵת לָהֶם</w:t>
      </w:r>
      <w:r>
        <w:rPr>
          <w:rtl/>
        </w:rPr>
        <w:t xml:space="preserve"> </w:t>
      </w:r>
      <w:r>
        <w:t xml:space="preserve">sind drei Finalsätze, Begründung und weiterer Finalsatz: </w:t>
      </w:r>
      <w:r>
        <w:rPr>
          <w:rStyle w:val="Fett"/>
          <w:rFonts w:eastAsiaTheme="majorEastAsia"/>
          <w:rtl/>
        </w:rPr>
        <w:t>לְאַהֲבָה אֶת־יְהוָה אֱלֹהֶיךָ לִשְׁמֹעַ בְּקֹלוֹ וּלְדָבְקָה־בוֹ</w:t>
      </w:r>
      <w:r>
        <w:rPr>
          <w:rtl/>
        </w:rPr>
        <w:t xml:space="preserve"> </w:t>
      </w:r>
      <w:r>
        <w:t xml:space="preserve">(drei koordinierte Finalsätze mit Präposition </w:t>
      </w:r>
      <w:r>
        <w:rPr>
          <w:rStyle w:val="Fett"/>
          <w:rFonts w:eastAsiaTheme="majorEastAsia"/>
          <w:rtl/>
        </w:rPr>
        <w:t>לְ</w:t>
      </w:r>
      <w:r>
        <w:rPr>
          <w:rtl/>
        </w:rPr>
        <w:t xml:space="preserve"> </w:t>
      </w:r>
      <w:r>
        <w:t xml:space="preserve">+ Infinitiv Construct: (1) </w:t>
      </w:r>
      <w:r>
        <w:rPr>
          <w:rStyle w:val="Fett"/>
          <w:rFonts w:eastAsiaTheme="majorEastAsia"/>
          <w:rtl/>
        </w:rPr>
        <w:t>אהב</w:t>
      </w:r>
      <w:r>
        <w:t xml:space="preserve">, Qal Infinitiv Construct, Objektpartikel </w:t>
      </w:r>
      <w:r>
        <w:rPr>
          <w:rStyle w:val="Fett"/>
          <w:rFonts w:eastAsiaTheme="majorEastAsia"/>
          <w:rtl/>
        </w:rPr>
        <w:t>אֵת</w:t>
      </w:r>
      <w:r>
        <w:rPr>
          <w:rtl/>
        </w:rPr>
        <w:t xml:space="preserve"> </w:t>
      </w:r>
      <w:r>
        <w:t xml:space="preserve">mit </w:t>
      </w:r>
      <w:r>
        <w:rPr>
          <w:rStyle w:val="Fett"/>
          <w:rFonts w:eastAsiaTheme="majorEastAsia"/>
          <w:rtl/>
        </w:rPr>
        <w:t>יְהוָה אֱלֹהֶיךָ</w:t>
      </w:r>
      <w:r>
        <w:t xml:space="preserve">, (2) </w:t>
      </w:r>
      <w:r>
        <w:rPr>
          <w:rStyle w:val="Fett"/>
          <w:rFonts w:eastAsiaTheme="majorEastAsia"/>
          <w:rtl/>
        </w:rPr>
        <w:t>שׁמע</w:t>
      </w:r>
      <w:r>
        <w:t xml:space="preserve">, Qal Infinitiv Construct, </w:t>
      </w:r>
      <w:r>
        <w:rPr>
          <w:rStyle w:val="Fett"/>
          <w:rFonts w:eastAsiaTheme="majorEastAsia"/>
          <w:rtl/>
        </w:rPr>
        <w:t>בְּקֹלוֹ</w:t>
      </w:r>
      <w:r>
        <w:t xml:space="preserve">, (3) koordiniert durch </w:t>
      </w:r>
      <w:r>
        <w:rPr>
          <w:rStyle w:val="Fett"/>
          <w:rFonts w:eastAsiaTheme="majorEastAsia"/>
          <w:rtl/>
        </w:rPr>
        <w:t>וּ</w:t>
      </w:r>
      <w:r>
        <w:rPr>
          <w:rtl/>
        </w:rPr>
        <w:t xml:space="preserve"> </w:t>
      </w:r>
      <w:r>
        <w:t xml:space="preserve">mit Präposition </w:t>
      </w:r>
      <w:r>
        <w:rPr>
          <w:rStyle w:val="Fett"/>
          <w:rFonts w:eastAsiaTheme="majorEastAsia"/>
          <w:rtl/>
        </w:rPr>
        <w:t>לְ</w:t>
      </w:r>
      <w:r>
        <w:t xml:space="preserve">, </w:t>
      </w:r>
      <w:r>
        <w:rPr>
          <w:rStyle w:val="Fett"/>
          <w:rFonts w:eastAsiaTheme="majorEastAsia"/>
          <w:rtl/>
        </w:rPr>
        <w:t>דבק</w:t>
      </w:r>
      <w:r>
        <w:t xml:space="preserve">, Qal Infinitiv Construct, „anhangen, festhalten an", Präposition </w:t>
      </w:r>
      <w:r>
        <w:rPr>
          <w:rStyle w:val="Fett"/>
          <w:rFonts w:eastAsiaTheme="majorEastAsia"/>
          <w:rtl/>
        </w:rPr>
        <w:t>בְּ</w:t>
      </w:r>
      <w:r>
        <w:rPr>
          <w:rtl/>
        </w:rPr>
        <w:t xml:space="preserve"> </w:t>
      </w:r>
      <w:r>
        <w:t xml:space="preserve">mit Suffix 3. Person Maskulinum Singular), </w:t>
      </w:r>
      <w:r>
        <w:rPr>
          <w:rStyle w:val="Fett"/>
          <w:rFonts w:eastAsiaTheme="majorEastAsia"/>
          <w:rtl/>
        </w:rPr>
        <w:t>כִּי הוּא חַיֶּיךָ וְאֹרֶךְ יָמֶיךָ</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הוּא</w:t>
      </w:r>
      <w:r>
        <w:t xml:space="preserve">, </w:t>
      </w:r>
      <w:r>
        <w:rPr>
          <w:rStyle w:val="Fett"/>
          <w:rFonts w:eastAsiaTheme="majorEastAsia"/>
          <w:rtl/>
        </w:rPr>
        <w:t>חַיִּים</w:t>
      </w:r>
      <w:r>
        <w:rPr>
          <w:rtl/>
        </w:rPr>
        <w:t xml:space="preserve"> </w:t>
      </w:r>
      <w:r>
        <w:t xml:space="preserve">Plural mit Suffix 2. Person Maskulinum Singular, koordiniert durch </w:t>
      </w:r>
      <w:r>
        <w:rPr>
          <w:rStyle w:val="Fett"/>
          <w:rFonts w:eastAsiaTheme="majorEastAsia"/>
          <w:rtl/>
        </w:rPr>
        <w:t>וְ</w:t>
      </w:r>
      <w:r>
        <w:rPr>
          <w:rtl/>
        </w:rPr>
        <w:t xml:space="preserve"> </w:t>
      </w:r>
      <w:r>
        <w:t xml:space="preserve">mit </w:t>
      </w:r>
      <w:r>
        <w:rPr>
          <w:rStyle w:val="Fett"/>
          <w:rFonts w:eastAsiaTheme="majorEastAsia"/>
          <w:rtl/>
        </w:rPr>
        <w:t>אֹרֶךְ</w:t>
      </w:r>
      <w:r>
        <w:t xml:space="preserve">, „Länge", Construct mit </w:t>
      </w:r>
      <w:r>
        <w:rPr>
          <w:rStyle w:val="Fett"/>
          <w:rFonts w:eastAsiaTheme="majorEastAsia"/>
          <w:rtl/>
        </w:rPr>
        <w:t>יָמִים</w:t>
      </w:r>
      <w:r>
        <w:rPr>
          <w:rtl/>
        </w:rPr>
        <w:t xml:space="preserve"> </w:t>
      </w:r>
      <w:r>
        <w:t xml:space="preserve">Plural mit Suffix), </w:t>
      </w:r>
      <w:r>
        <w:rPr>
          <w:rStyle w:val="Fett"/>
          <w:rFonts w:eastAsiaTheme="majorEastAsia"/>
          <w:rtl/>
        </w:rPr>
        <w:t>לָשֶׁבֶת עַל־הָאֲדָמָה אֲשֶׁר נִשְׁבַּע יְהוָה לַאֲבֹתֶיךָ לְאַבְרָהָם לְיִצְחָק וּלְיַעֲקֹב לָתֵת לָהֶם</w:t>
      </w:r>
      <w:r>
        <w:rPr>
          <w:rtl/>
        </w:rPr>
        <w:t xml:space="preserve"> </w:t>
      </w:r>
      <w:r>
        <w:t xml:space="preserve">(Finalsatz: </w:t>
      </w:r>
      <w:r>
        <w:rPr>
          <w:rStyle w:val="Fett"/>
          <w:rFonts w:eastAsiaTheme="majorEastAsia"/>
          <w:rtl/>
        </w:rPr>
        <w:t>לְ</w:t>
      </w:r>
      <w:r>
        <w:rPr>
          <w:rtl/>
        </w:rPr>
        <w:t xml:space="preserve"> </w:t>
      </w:r>
      <w:r>
        <w:t xml:space="preserve">mit Qal Infinitiv Construct von </w:t>
      </w:r>
      <w:r>
        <w:rPr>
          <w:rStyle w:val="Fett"/>
          <w:rFonts w:eastAsiaTheme="majorEastAsia"/>
          <w:rtl/>
        </w:rPr>
        <w:t>ישׁב</w:t>
      </w:r>
      <w:r>
        <w:t xml:space="preserve">, </w:t>
      </w:r>
      <w:r>
        <w:rPr>
          <w:rStyle w:val="Fett"/>
          <w:rFonts w:eastAsiaTheme="majorEastAsia"/>
          <w:rtl/>
        </w:rPr>
        <w:t>עַל־הָאֲדָמָה</w:t>
      </w:r>
      <w:r>
        <w:t xml:space="preserve">, Relativsatz wie üblich mit drei Patriarchennamen in Apposition, abschließender Finalsatz: </w:t>
      </w:r>
      <w:r>
        <w:rPr>
          <w:rStyle w:val="Fett"/>
          <w:rFonts w:eastAsiaTheme="majorEastAsia"/>
          <w:rtl/>
        </w:rPr>
        <w:t>לָתֵת לָהֶם</w:t>
      </w:r>
      <w:r>
        <w:rPr>
          <w:rtl/>
        </w:rPr>
        <w:t xml:space="preserve"> </w:t>
      </w:r>
      <w:r>
        <w:t xml:space="preserve">mit </w:t>
      </w:r>
      <w:r>
        <w:rPr>
          <w:rStyle w:val="Fett"/>
          <w:rFonts w:eastAsiaTheme="majorEastAsia"/>
          <w:rtl/>
        </w:rPr>
        <w:t>לְ</w:t>
      </w:r>
      <w:r>
        <w:rPr>
          <w:rtl/>
        </w:rPr>
        <w:t xml:space="preserve"> </w:t>
      </w:r>
      <w:r>
        <w:t xml:space="preserve">+ Qal Infinitiv Construct von </w:t>
      </w:r>
      <w:r>
        <w:rPr>
          <w:rStyle w:val="Fett"/>
          <w:rFonts w:eastAsiaTheme="majorEastAsia"/>
          <w:rtl/>
        </w:rPr>
        <w:t>נתן</w:t>
      </w:r>
      <w:r>
        <w:t xml:space="preserve">, </w:t>
      </w:r>
      <w:r>
        <w:rPr>
          <w:rStyle w:val="Fett"/>
          <w:rFonts w:eastAsiaTheme="majorEastAsia"/>
          <w:rtl/>
        </w:rPr>
        <w:t>לָהֶם</w:t>
      </w:r>
      <w:r>
        <w:t xml:space="preserve">). Die </w:t>
      </w:r>
      <w:r>
        <w:rPr>
          <w:rStyle w:val="Fett"/>
          <w:rFonts w:eastAsiaTheme="majorEastAsia"/>
        </w:rPr>
        <w:t>Petucha</w:t>
      </w:r>
      <w:r>
        <w:t xml:space="preserve"> (</w:t>
      </w:r>
      <w:r>
        <w:rPr>
          <w:rtl/>
        </w:rPr>
        <w:t>פ</w:t>
      </w:r>
      <w:r>
        <w:t>) markiert das Ende von Kapitel 30.</w:t>
      </w:r>
    </w:p>
    <w:p w14:paraId="5701C898" w14:textId="2B3BC42D" w:rsidR="008A57FB" w:rsidRDefault="008A57FB" w:rsidP="008A57FB">
      <w:pPr>
        <w:pStyle w:val="whitespace-normal"/>
      </w:pPr>
      <w:r>
        <w:t xml:space="preserve">Der Vers schließt Kapitel 30 mit einer Definition dessen, was „Leben wählen" bedeutet. Die drei Finalsätze: </w:t>
      </w:r>
      <w:r>
        <w:rPr>
          <w:rStyle w:val="Fett"/>
          <w:rFonts w:eastAsiaTheme="majorEastAsia"/>
          <w:rtl/>
        </w:rPr>
        <w:t>לְאַהֲבָה אֶת־יְהוָה אֱלֹהֶיךָ לִשְׁמֹעַ בְּקֹלוֹ וּלְדָבְקָה־בוֹ</w:t>
      </w:r>
      <w:r>
        <w:rPr>
          <w:rtl/>
        </w:rPr>
        <w:t xml:space="preserve"> </w:t>
      </w:r>
      <w:r>
        <w:t xml:space="preserve">(„indem du </w:t>
      </w:r>
      <w:r w:rsidR="00DF3D1A">
        <w:t>JHWH</w:t>
      </w:r>
      <w:r>
        <w:t xml:space="preserve">, deinen Gott, liebst, seiner Stimme gehorchst und ihm anhängst"). Drei Aspekte der Wahl für das Leben: (1) </w:t>
      </w:r>
      <w:r>
        <w:rPr>
          <w:rStyle w:val="Fett"/>
          <w:rFonts w:eastAsiaTheme="majorEastAsia"/>
          <w:rtl/>
        </w:rPr>
        <w:t>לְאַהֲבָה אֶת־יְהוָה אֱלֹהֶיךָ</w:t>
      </w:r>
      <w:r>
        <w:rPr>
          <w:rtl/>
        </w:rPr>
        <w:t xml:space="preserve"> </w:t>
      </w:r>
      <w:r>
        <w:t>(„</w:t>
      </w:r>
      <w:r w:rsidR="00DF3D1A">
        <w:t>JHWH</w:t>
      </w:r>
      <w:r>
        <w:t xml:space="preserve">, deinen Gott, zu lieben") – das Hauptgebot (vgl. 6,5; 10,12; 11,1.13.22; 30,6.16). (2) </w:t>
      </w:r>
      <w:r>
        <w:rPr>
          <w:rStyle w:val="Fett"/>
          <w:rFonts w:eastAsiaTheme="majorEastAsia"/>
          <w:rtl/>
        </w:rPr>
        <w:t>לִשְׁמֹעַ בְּקֹלוֹ</w:t>
      </w:r>
      <w:r>
        <w:rPr>
          <w:rtl/>
        </w:rPr>
        <w:t xml:space="preserve"> </w:t>
      </w:r>
      <w:r>
        <w:t xml:space="preserve">(„seiner Stimme zu gehorchen") – Gehorsam (vgl. 4,30; 8,20; 9,23; 13,5.19; 15,5; 26,14.17; 27,10; 28,1-2.15.45.62; 30,2.8.10). (3) </w:t>
      </w:r>
      <w:r>
        <w:rPr>
          <w:rStyle w:val="Fett"/>
          <w:rFonts w:eastAsiaTheme="majorEastAsia"/>
          <w:rtl/>
        </w:rPr>
        <w:t>לְדָבְקָה־בוֹ</w:t>
      </w:r>
      <w:r>
        <w:rPr>
          <w:rtl/>
        </w:rPr>
        <w:t xml:space="preserve"> </w:t>
      </w:r>
      <w:r>
        <w:t xml:space="preserve">(„ihm anzuhangen") – treue Verbundenheit, Loyalität (vgl. 4,4; 10,20; 11,22; 13,5; Jos 22,5; 23,8). </w:t>
      </w:r>
      <w:r>
        <w:lastRenderedPageBreak/>
        <w:t xml:space="preserve">Das Verb </w:t>
      </w:r>
      <w:r>
        <w:rPr>
          <w:rStyle w:val="Fett"/>
          <w:rFonts w:eastAsiaTheme="majorEastAsia"/>
          <w:rtl/>
        </w:rPr>
        <w:t>דבק</w:t>
      </w:r>
      <w:r>
        <w:rPr>
          <w:rtl/>
        </w:rPr>
        <w:t xml:space="preserve"> </w:t>
      </w:r>
      <w:r>
        <w:t xml:space="preserve">(„anhangen, festhalten an") drückt intensive, beständige Treue aus. Die Begründung: </w:t>
      </w:r>
      <w:r>
        <w:rPr>
          <w:rStyle w:val="Fett"/>
          <w:rFonts w:eastAsiaTheme="majorEastAsia"/>
          <w:rtl/>
        </w:rPr>
        <w:t>כִּי הוּא חַיֶּיךָ וְאֹרֶךְ יָמֶיךָ</w:t>
      </w:r>
      <w:r>
        <w:rPr>
          <w:rtl/>
        </w:rPr>
        <w:t xml:space="preserve"> </w:t>
      </w:r>
      <w:r>
        <w:t xml:space="preserve">(„denn das ist dein Leben und die Länge deiner Tage"). </w:t>
      </w:r>
      <w:r w:rsidR="00B77E5E">
        <w:t>JHWH</w:t>
      </w:r>
      <w:r>
        <w:t xml:space="preserve"> selbst ist Israels Leben – nicht nur die Quelle des Lebens, sondern das Leben selbst (vgl. Ps 27,1; 36,10; Jer 2,13). Die Formulierung </w:t>
      </w:r>
      <w:r>
        <w:rPr>
          <w:rStyle w:val="Fett"/>
          <w:rFonts w:eastAsiaTheme="majorEastAsia"/>
          <w:rtl/>
        </w:rPr>
        <w:t>אֹרֶךְ יָמֶיךָ</w:t>
      </w:r>
      <w:r>
        <w:rPr>
          <w:rtl/>
        </w:rPr>
        <w:t xml:space="preserve"> </w:t>
      </w:r>
      <w:r>
        <w:t xml:space="preserve">(„Länge deiner Tage") = langes Leben (vgl. 4,26.40; 5,16.33; 6,2; 11,9.21; 17,20; 22,7; 25,15; 32,47; Spr 3,2.16; 10,27). Der abschließende Finalsatz: </w:t>
      </w:r>
      <w:r>
        <w:rPr>
          <w:rStyle w:val="Fett"/>
          <w:rFonts w:eastAsiaTheme="majorEastAsia"/>
          <w:rtl/>
        </w:rPr>
        <w:t>לָשֶׁבֶת עַל־הָאֲדָמָה אֲשֶׁר נִשְׁבַּע יְהוָה לַאֲבֹתֶיךָ לְאַבְרָהָם לְיִצְחָק וּלְיַעֲקֹב לָתֵת לָהֶם</w:t>
      </w:r>
      <w:r>
        <w:rPr>
          <w:rtl/>
        </w:rPr>
        <w:t xml:space="preserve"> </w:t>
      </w:r>
      <w:r>
        <w:t xml:space="preserve">(„dass du wohnst in dem Land, das </w:t>
      </w:r>
      <w:r w:rsidR="00B77E5E">
        <w:t>JHWH</w:t>
      </w:r>
      <w:r>
        <w:t xml:space="preserve"> deinen Vätern geschworen hat, dem Abraham, dem Isaak und dem Jakob, ihnen zu geben"). Das Ziel: Wohnen im verheißenen Land. Die drei Patriarchen werden namentlich genannt (vgl. 1,8; 6,10; 9,5.27; 29,12; 34,4) – Verbindung zur Urverheißung. Das Kapitel endet mit einem Rückblick auf die Väterverheißung – die gesamte Geschichte Israels von Abraham bis zum Einzug ins Land wird zusammeng</w:t>
      </w:r>
      <w:r w:rsidR="0016376A">
        <w:t>ef</w:t>
      </w:r>
      <w:r w:rsidR="00743283">
        <w:t>a</w:t>
      </w:r>
      <w:r>
        <w:t>sst.</w:t>
      </w:r>
    </w:p>
    <w:p w14:paraId="27EC6648" w14:textId="201D4281" w:rsidR="00C367A0" w:rsidRDefault="00C367A0" w:rsidP="008A57FB">
      <w:pPr>
        <w:pStyle w:val="whitespace-normal"/>
      </w:pPr>
      <w:r>
        <w:rPr>
          <w:rStyle w:val="Fett"/>
        </w:rPr>
        <w:t>Die LXX</w:t>
      </w:r>
      <w:r>
        <w:t xml:space="preserve"> übersetzt </w:t>
      </w:r>
      <w:r>
        <w:rPr>
          <w:rtl/>
        </w:rPr>
        <w:t>וּלְדָבְקָה־בוֹ</w:t>
      </w:r>
      <w:r>
        <w:t xml:space="preserve"> (und ihm anzuhangen) mit καὶ </w:t>
      </w:r>
      <w:proofErr w:type="spellStart"/>
      <w:r>
        <w:t>ἔχεσθ</w:t>
      </w:r>
      <w:proofErr w:type="spellEnd"/>
      <w:r>
        <w:t>αι α</w:t>
      </w:r>
      <w:proofErr w:type="spellStart"/>
      <w:r>
        <w:t>ὐτοῦ</w:t>
      </w:r>
      <w:proofErr w:type="spellEnd"/>
      <w:r>
        <w:t xml:space="preserve"> (und an ihm festzuhalten) – wobei </w:t>
      </w:r>
      <w:proofErr w:type="spellStart"/>
      <w:r>
        <w:t>ἔχομ</w:t>
      </w:r>
      <w:proofErr w:type="spellEnd"/>
      <w:r>
        <w:t>αι mit Genitiv "festhalten an, anhangen an" bedeutet.</w:t>
      </w:r>
    </w:p>
    <w:p w14:paraId="7A79562B" w14:textId="3D68B573" w:rsidR="008A57FB" w:rsidRDefault="008A57FB" w:rsidP="008A57FB">
      <w:pPr>
        <w:pStyle w:val="whitespace-normal"/>
      </w:pPr>
      <w:r>
        <w:rPr>
          <w:rStyle w:val="Fett"/>
          <w:rFonts w:eastAsiaTheme="majorEastAsia"/>
        </w:rPr>
        <w:t>Die Satzstruktur:</w:t>
      </w:r>
      <w:r>
        <w:t xml:space="preserve"> Drei Finalsätze, Begründung und weiterer Finalsatz (indem du </w:t>
      </w:r>
      <w:r w:rsidR="00DF3D1A">
        <w:t>JHWH</w:t>
      </w:r>
      <w:r>
        <w:t xml:space="preserve">, deinen Gott, liebst, seiner Stimme gehorchst und ihm anhängst; denn das ist dein Leben und die Länge deiner Tage, dass du wohnst in dem Land, das </w:t>
      </w:r>
      <w:r w:rsidR="00B77E5E">
        <w:t>JHWH</w:t>
      </w:r>
      <w:r>
        <w:t xml:space="preserve"> deinen Vätern geschworen hat, dem Abraham, dem Isaak und dem Jakob, ihnen zu geben).</w:t>
      </w:r>
    </w:p>
    <w:p w14:paraId="1BEB9F7E" w14:textId="1451EE92" w:rsidR="008A57FB" w:rsidRDefault="008A57FB" w:rsidP="008A57FB">
      <w:pPr>
        <w:pStyle w:val="whitespace-normal"/>
      </w:pPr>
      <w:r>
        <w:rPr>
          <w:rStyle w:val="Fett"/>
          <w:rFonts w:eastAsiaTheme="majorEastAsia"/>
        </w:rPr>
        <w:t>Der Vers beschreibt:</w:t>
      </w:r>
      <w:r>
        <w:t xml:space="preserve"> Definition des Lebens – Gottesliebe, Gehorsam, Treue; </w:t>
      </w:r>
      <w:r w:rsidR="00B77E5E">
        <w:t>JHWH</w:t>
      </w:r>
      <w:r>
        <w:t xml:space="preserve"> selbst ist das Leben; Ziel ist Wohnen im verheißenen Land.</w:t>
      </w:r>
    </w:p>
    <w:p w14:paraId="0D55ABC1" w14:textId="77777777" w:rsidR="008A57FB" w:rsidRPr="008D48A3" w:rsidRDefault="008A57FB" w:rsidP="008D48A3">
      <w:pPr>
        <w:pStyle w:val="Bibelberschrift"/>
      </w:pPr>
      <w:r w:rsidRPr="008D48A3">
        <w:rPr>
          <w:rStyle w:val="Fett"/>
          <w:b/>
          <w:bCs w:val="0"/>
        </w:rPr>
        <w:t>Deuteronomium 31,1</w:t>
      </w:r>
    </w:p>
    <w:p w14:paraId="2AAAB90C" w14:textId="77777777" w:rsidR="008A57FB" w:rsidRDefault="008A57FB" w:rsidP="008A57FB">
      <w:pPr>
        <w:pStyle w:val="whitespace-normal"/>
      </w:pPr>
      <w:r>
        <w:rPr>
          <w:rStyle w:val="Fett"/>
          <w:rFonts w:eastAsiaTheme="majorEastAsia"/>
        </w:rPr>
        <w:t>Hebräisch:</w:t>
      </w:r>
      <w:r>
        <w:t xml:space="preserve"> </w:t>
      </w:r>
      <w:r>
        <w:rPr>
          <w:rtl/>
        </w:rPr>
        <w:t>וַיֵּלֶךְ מֹשֶׁה וַיְדַבֵּר אֶת־הַדְּבָרִים הָאֵלֶּה אֶל־כָּל־יִשְׂרָאֵל׃</w:t>
      </w:r>
    </w:p>
    <w:p w14:paraId="7289C218" w14:textId="77777777" w:rsidR="008A57FB" w:rsidRDefault="008A57FB" w:rsidP="008A57FB">
      <w:pPr>
        <w:pStyle w:val="whitespace-normal"/>
      </w:pPr>
      <w:r>
        <w:rPr>
          <w:rStyle w:val="Fett"/>
          <w:rFonts w:eastAsiaTheme="majorEastAsia"/>
        </w:rPr>
        <w:t>Deutsch:</w:t>
      </w:r>
      <w:r>
        <w:t xml:space="preserve"> Und Mosche ging hin und redete diese Worte zu ganz Israel.</w:t>
      </w:r>
    </w:p>
    <w:p w14:paraId="29E81086" w14:textId="77777777" w:rsidR="008A57FB" w:rsidRDefault="004F5CEB" w:rsidP="008A57FB">
      <w:r>
        <w:rPr>
          <w:noProof/>
        </w:rPr>
        <w:pict w14:anchorId="3831DC99">
          <v:rect id="_x0000_i1863" style="width:0;height:1.5pt" o:hralign="center" o:hrstd="t" o:hr="t" fillcolor="#a0a0a0" stroked="f"/>
        </w:pict>
      </w:r>
    </w:p>
    <w:p w14:paraId="46CEBD9F"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וַיֵּלֶךְ מֹשֶׁה וַיְדַבֵּר אֶת־הַדְּבָרִים הָאֵלֶּה אֶל־כָּל־יִשְׂרָאֵל</w:t>
      </w:r>
      <w:r>
        <w:rPr>
          <w:rtl/>
        </w:rPr>
        <w:t xml:space="preserve"> </w:t>
      </w:r>
      <w:r>
        <w:t xml:space="preserve">sind zwei Aussagen: </w:t>
      </w:r>
      <w:r>
        <w:rPr>
          <w:rStyle w:val="Fett"/>
          <w:rFonts w:eastAsiaTheme="majorEastAsia"/>
          <w:rtl/>
        </w:rPr>
        <w:t>וַיֵּלֶךְ מֹשֶׁה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הלך</w:t>
      </w:r>
      <w:r>
        <w:t xml:space="preserve">, Qal Imperfekt mit </w:t>
      </w:r>
      <w:r>
        <w:rPr>
          <w:rStyle w:val="Fett"/>
          <w:rFonts w:eastAsiaTheme="majorEastAsia"/>
        </w:rPr>
        <w:t>Waw</w:t>
      </w:r>
      <w:r>
        <w:t xml:space="preserve"> consecutivum, 3. Person Maskulinum Singular, </w:t>
      </w:r>
      <w:r>
        <w:rPr>
          <w:rStyle w:val="Fett"/>
          <w:rFonts w:eastAsiaTheme="majorEastAsia"/>
          <w:rtl/>
        </w:rPr>
        <w:t>מֹשֶׁה</w:t>
      </w:r>
      <w:r>
        <w:rPr>
          <w:rtl/>
        </w:rPr>
        <w:t xml:space="preserve"> </w:t>
      </w:r>
      <w:r>
        <w:t xml:space="preserve">als Subjekt), </w:t>
      </w:r>
      <w:r>
        <w:rPr>
          <w:rStyle w:val="Fett"/>
          <w:rFonts w:eastAsiaTheme="majorEastAsia"/>
          <w:rtl/>
        </w:rPr>
        <w:t>וַיְדַבֵּר אֶת־הַדְּבָרִים הָאֵלֶּה אֶל־כָּל־יִשְׂרָאֵל</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דבר</w:t>
      </w:r>
      <w:r>
        <w:t xml:space="preserve">, Piel Imperfekt mit </w:t>
      </w:r>
      <w:r>
        <w:rPr>
          <w:rStyle w:val="Fett"/>
          <w:rFonts w:eastAsiaTheme="majorEastAsia"/>
        </w:rPr>
        <w:t>Waw</w:t>
      </w:r>
      <w:r>
        <w:t xml:space="preserve"> consecutivum, 3. Person Maskulinum Singular, Objektpartikel </w:t>
      </w:r>
      <w:r>
        <w:rPr>
          <w:rStyle w:val="Fett"/>
          <w:rFonts w:eastAsiaTheme="majorEastAsia"/>
          <w:rtl/>
        </w:rPr>
        <w:t>אֵת</w:t>
      </w:r>
      <w:r>
        <w:rPr>
          <w:rtl/>
        </w:rPr>
        <w:t xml:space="preserve"> </w:t>
      </w:r>
      <w:r>
        <w:t xml:space="preserve">mit </w:t>
      </w:r>
      <w:r>
        <w:rPr>
          <w:rStyle w:val="Fett"/>
          <w:rFonts w:eastAsiaTheme="majorEastAsia"/>
          <w:rtl/>
        </w:rPr>
        <w:t>דָּבָר</w:t>
      </w:r>
      <w:r>
        <w:rPr>
          <w:rtl/>
        </w:rPr>
        <w:t xml:space="preserve"> </w:t>
      </w:r>
      <w:r>
        <w:t xml:space="preserve">Plural mit Artikel, </w:t>
      </w:r>
      <w:r>
        <w:rPr>
          <w:rStyle w:val="Fett"/>
          <w:rFonts w:eastAsiaTheme="majorEastAsia"/>
          <w:rtl/>
        </w:rPr>
        <w:t>אֵלֶּה</w:t>
      </w:r>
      <w:r>
        <w:t xml:space="preserve">, Präposition </w:t>
      </w:r>
      <w:r>
        <w:rPr>
          <w:rStyle w:val="Fett"/>
          <w:rFonts w:eastAsiaTheme="majorEastAsia"/>
          <w:rtl/>
        </w:rPr>
        <w:t>אֶל</w:t>
      </w:r>
      <w:r>
        <w:rPr>
          <w:rtl/>
        </w:rPr>
        <w:t xml:space="preserve"> </w:t>
      </w:r>
      <w:r>
        <w:t xml:space="preserve">mit </w:t>
      </w:r>
      <w:r>
        <w:rPr>
          <w:rStyle w:val="Fett"/>
          <w:rFonts w:eastAsiaTheme="majorEastAsia"/>
          <w:rtl/>
        </w:rPr>
        <w:t>כָּל־יִשְׂרָאֵל</w:t>
      </w:r>
      <w:r>
        <w:t>).</w:t>
      </w:r>
    </w:p>
    <w:p w14:paraId="044D478B" w14:textId="1714FC27" w:rsidR="008A57FB" w:rsidRDefault="008A57FB" w:rsidP="008A57FB">
      <w:pPr>
        <w:pStyle w:val="whitespace-normal"/>
      </w:pPr>
      <w:r>
        <w:t xml:space="preserve">Der Vers beginnt Kapitel 31 mit einer Übergangsnotiz. Die beiden Aussagen: </w:t>
      </w:r>
      <w:r>
        <w:rPr>
          <w:rStyle w:val="Fett"/>
          <w:rFonts w:eastAsiaTheme="majorEastAsia"/>
          <w:rtl/>
        </w:rPr>
        <w:t>וַיֵּלֶךְ מֹשֶׁה וַיְדַבֵּר אֶת־הַדְּבָרִים הָאֵלֶּה אֶל־כָּל־יִשְׂרָאֵל</w:t>
      </w:r>
      <w:r>
        <w:rPr>
          <w:rtl/>
        </w:rPr>
        <w:t xml:space="preserve"> </w:t>
      </w:r>
      <w:r>
        <w:t xml:space="preserve">(„und Mosche ging hin und redete diese Worte zu ganz Israel"). Das Verb </w:t>
      </w:r>
      <w:r>
        <w:rPr>
          <w:rStyle w:val="Fett"/>
          <w:rFonts w:eastAsiaTheme="majorEastAsia"/>
          <w:rtl/>
        </w:rPr>
        <w:t>הלך</w:t>
      </w:r>
      <w:r>
        <w:rPr>
          <w:rtl/>
        </w:rPr>
        <w:t xml:space="preserve"> </w:t>
      </w:r>
      <w:r>
        <w:t xml:space="preserve">(„hingehen") ist hier überraschend – wohin ging Mosche? Wahrscheinlich: von seinem Zelt zu einer öffentlichen Versammlung. Die Formulierung </w:t>
      </w:r>
      <w:r>
        <w:rPr>
          <w:rStyle w:val="Fett"/>
          <w:rFonts w:eastAsiaTheme="majorEastAsia"/>
          <w:rtl/>
        </w:rPr>
        <w:t>הַדְּבָרִים הָאֵלֶּה</w:t>
      </w:r>
      <w:r>
        <w:rPr>
          <w:rtl/>
        </w:rPr>
        <w:t xml:space="preserve"> </w:t>
      </w:r>
      <w:r>
        <w:t xml:space="preserve">(„diese Worte") bezieht sich entweder (1) rückwärts auf Kapitel 1-30, oder (2) vorwärts auf V. 2-6. Wahrscheinlicher ist (2) – die folgenden Abschiedsworte. Die Formulierung </w:t>
      </w:r>
      <w:r>
        <w:rPr>
          <w:rStyle w:val="Fett"/>
          <w:rFonts w:eastAsiaTheme="majorEastAsia"/>
          <w:rtl/>
        </w:rPr>
        <w:t>כָּל־יִשְׂרָאֵל</w:t>
      </w:r>
      <w:r>
        <w:rPr>
          <w:rtl/>
        </w:rPr>
        <w:t xml:space="preserve"> </w:t>
      </w:r>
      <w:r>
        <w:t>(„ganz Israel") betont: öffentliche, alle einschließende Verkündigung (vgl. 1,1; 5,1; 11,6; 27,9; 29,1; 31,7.11; 34,12).</w:t>
      </w:r>
    </w:p>
    <w:p w14:paraId="1B1A1A92" w14:textId="2BD04BBA" w:rsidR="00C367A0" w:rsidRDefault="00C367A0" w:rsidP="008A57FB">
      <w:pPr>
        <w:pStyle w:val="whitespace-normal"/>
      </w:pPr>
      <w:r>
        <w:rPr>
          <w:rStyle w:val="Fett"/>
        </w:rPr>
        <w:lastRenderedPageBreak/>
        <w:t>Die LXX</w:t>
      </w:r>
      <w:r>
        <w:t xml:space="preserve"> übersetzt </w:t>
      </w:r>
      <w:r>
        <w:rPr>
          <w:rtl/>
        </w:rPr>
        <w:t>וַיֵּלֶךְ מֹשֶׁה</w:t>
      </w:r>
      <w:r>
        <w:t xml:space="preserve"> (und Mose ging) mit Καὶ </w:t>
      </w:r>
      <w:proofErr w:type="spellStart"/>
      <w:r>
        <w:t>συνετέλεσεν</w:t>
      </w:r>
      <w:proofErr w:type="spellEnd"/>
      <w:r>
        <w:t xml:space="preserve"> Μωυσῆς λα</w:t>
      </w:r>
      <w:proofErr w:type="spellStart"/>
      <w:r>
        <w:t>λῶν</w:t>
      </w:r>
      <w:proofErr w:type="spellEnd"/>
      <w:r>
        <w:t xml:space="preserve"> (und Mose vollendete zu sprechen) – eine völlig andere Einleitung, die das Kapitel als Abschluss der vorherigen Rede präsentiert statt als Beginn einer neuen Szene.</w:t>
      </w:r>
    </w:p>
    <w:p w14:paraId="23BE5D9D" w14:textId="77777777" w:rsidR="008A57FB" w:rsidRDefault="008A57FB" w:rsidP="008A57FB">
      <w:pPr>
        <w:pStyle w:val="whitespace-normal"/>
      </w:pPr>
      <w:r>
        <w:rPr>
          <w:rStyle w:val="Fett"/>
          <w:rFonts w:eastAsiaTheme="majorEastAsia"/>
        </w:rPr>
        <w:t>Die Satzstruktur:</w:t>
      </w:r>
      <w:r>
        <w:t xml:space="preserve"> Zwei Aussagen (und Mosche ging hin und redete diese Worte zu ganz Israel).</w:t>
      </w:r>
    </w:p>
    <w:p w14:paraId="595B43DA" w14:textId="40845F3E" w:rsidR="008A57FB" w:rsidRDefault="008A57FB" w:rsidP="00B77CC6">
      <w:pPr>
        <w:pStyle w:val="whitespace-normal"/>
      </w:pPr>
      <w:r>
        <w:rPr>
          <w:rStyle w:val="Fett"/>
          <w:rFonts w:eastAsiaTheme="majorEastAsia"/>
        </w:rPr>
        <w:t>Der Vers beschreibt:</w:t>
      </w:r>
      <w:r>
        <w:t xml:space="preserve"> Übergang – Mosche versammelt ganz Israel für seine Abschiedsworte.</w:t>
      </w:r>
    </w:p>
    <w:p w14:paraId="1D46DF42" w14:textId="77777777" w:rsidR="008A57FB" w:rsidRPr="008D48A3" w:rsidRDefault="008A57FB" w:rsidP="008D48A3">
      <w:pPr>
        <w:pStyle w:val="Bibelberschrift"/>
      </w:pPr>
      <w:r w:rsidRPr="008D48A3">
        <w:rPr>
          <w:rStyle w:val="Fett"/>
          <w:b/>
          <w:bCs w:val="0"/>
        </w:rPr>
        <w:t>Deuteronomium 31,2</w:t>
      </w:r>
    </w:p>
    <w:p w14:paraId="42EFB161" w14:textId="77777777" w:rsidR="008A57FB" w:rsidRDefault="008A57FB" w:rsidP="008A57FB">
      <w:pPr>
        <w:pStyle w:val="whitespace-normal"/>
      </w:pPr>
      <w:r>
        <w:rPr>
          <w:rStyle w:val="Fett"/>
          <w:rFonts w:eastAsiaTheme="majorEastAsia"/>
        </w:rPr>
        <w:t>Hebräisch:</w:t>
      </w:r>
      <w:r>
        <w:t xml:space="preserve"> </w:t>
      </w:r>
      <w:r>
        <w:rPr>
          <w:rtl/>
        </w:rPr>
        <w:t>וַיֹּאמֶר אֲלֵהֶם בֶּן־מֵאָה וְעֶשְׂרִים שָׁנָה אָנֹכִי הַיּוֹם לֹא־אוּכַל עוֹד לָצֵאת וְלָבוֹא וַיהוָה אָמַר אֵלַי לֹא תַעֲבֹר אֶת־הַיַּרְדֵּן הַזֶּה׃</w:t>
      </w:r>
    </w:p>
    <w:p w14:paraId="0074BE3E" w14:textId="77777777" w:rsidR="008A57FB" w:rsidRDefault="008A57FB" w:rsidP="008A57FB">
      <w:pPr>
        <w:pStyle w:val="whitespace-normal"/>
      </w:pPr>
      <w:r>
        <w:rPr>
          <w:rStyle w:val="Fett"/>
          <w:rFonts w:eastAsiaTheme="majorEastAsia"/>
        </w:rPr>
        <w:t>Deutsch:</w:t>
      </w:r>
      <w:r>
        <w:t xml:space="preserve"> Und er sprach zu ihnen: Hundertundzwanzig Jahre alt bin ich heute, ich kann nicht mehr aus- und eingehen; und der Ewige hat zu mir gesagt: Du sollst nicht über diesen Jordan gehen.</w:t>
      </w:r>
    </w:p>
    <w:p w14:paraId="19B3087F" w14:textId="77777777" w:rsidR="008A57FB" w:rsidRDefault="004F5CEB" w:rsidP="008A57FB">
      <w:r>
        <w:rPr>
          <w:noProof/>
        </w:rPr>
        <w:pict w14:anchorId="59016A5D">
          <v:rect id="_x0000_i1864" style="width:0;height:1.5pt" o:hralign="center" o:hrstd="t" o:hr="t" fillcolor="#a0a0a0" stroked="f"/>
        </w:pict>
      </w:r>
    </w:p>
    <w:p w14:paraId="0459BDEB"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וַיֹּאמֶר אֲלֵהֶם בֶּן־מֵאָה וְעֶשְׂרִים שָׁנָה אָנֹכִי הַיּוֹם לֹא־אוּכַל עוֹד לָצֵאת וְלָבוֹא וַיהוָה אָמַר אֵלַי לֹא תַעֲבֹר אֶת־הַיַּרְדֵּן הַזֶּה</w:t>
      </w:r>
      <w:r>
        <w:rPr>
          <w:rtl/>
        </w:rPr>
        <w:t xml:space="preserve"> </w:t>
      </w:r>
      <w:r>
        <w:t xml:space="preserve">sind Einleitung und drei Aussagen: </w:t>
      </w:r>
      <w:r>
        <w:rPr>
          <w:rStyle w:val="Fett"/>
          <w:rFonts w:eastAsiaTheme="majorEastAsia"/>
          <w:rtl/>
        </w:rPr>
        <w:t>וַיֹּאמֶר אֲלֵהֶם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אמר</w:t>
      </w:r>
      <w:r>
        <w:t xml:space="preserve">, Qal Imperfekt mit </w:t>
      </w:r>
      <w:r>
        <w:rPr>
          <w:rStyle w:val="Fett"/>
          <w:rFonts w:eastAsiaTheme="majorEastAsia"/>
        </w:rPr>
        <w:t>Waw</w:t>
      </w:r>
      <w:r>
        <w:t xml:space="preserve"> consecutivum, 3. Person Maskulinum Singular, </w:t>
      </w:r>
      <w:r>
        <w:rPr>
          <w:rStyle w:val="Fett"/>
          <w:rFonts w:eastAsiaTheme="majorEastAsia"/>
          <w:rtl/>
        </w:rPr>
        <w:t>אֲלֵהֶם</w:t>
      </w:r>
      <w:r>
        <w:t xml:space="preserve">), </w:t>
      </w:r>
      <w:r>
        <w:rPr>
          <w:rStyle w:val="Fett"/>
          <w:rFonts w:eastAsiaTheme="majorEastAsia"/>
          <w:rtl/>
        </w:rPr>
        <w:t>בֶּן־מֵאָה וְעֶשְׂרִים שָׁנָה אָנֹכִי הַיּוֹם</w:t>
      </w:r>
      <w:r>
        <w:rPr>
          <w:rtl/>
        </w:rPr>
        <w:t xml:space="preserve"> </w:t>
      </w:r>
      <w:r>
        <w:t>(</w:t>
      </w:r>
      <w:r>
        <w:rPr>
          <w:rStyle w:val="Fett"/>
          <w:rFonts w:eastAsiaTheme="majorEastAsia"/>
          <w:rtl/>
        </w:rPr>
        <w:t>בֶּן</w:t>
      </w:r>
      <w:r>
        <w:rPr>
          <w:rtl/>
        </w:rPr>
        <w:t xml:space="preserve"> </w:t>
      </w:r>
      <w:r>
        <w:t xml:space="preserve">Construct mit </w:t>
      </w:r>
      <w:r>
        <w:rPr>
          <w:rStyle w:val="Fett"/>
          <w:rFonts w:eastAsiaTheme="majorEastAsia"/>
          <w:rtl/>
        </w:rPr>
        <w:t>מֵאָה וְעֶשְׂרִים שָׁנָה</w:t>
      </w:r>
      <w:r>
        <w:t xml:space="preserve">, </w:t>
      </w:r>
      <w:r>
        <w:rPr>
          <w:rStyle w:val="Fett"/>
          <w:rFonts w:eastAsiaTheme="majorEastAsia"/>
          <w:rtl/>
        </w:rPr>
        <w:t>אָנֹכִי הַיּוֹם</w:t>
      </w:r>
      <w:r>
        <w:t xml:space="preserve">), </w:t>
      </w:r>
      <w:r>
        <w:rPr>
          <w:rStyle w:val="Fett"/>
          <w:rFonts w:eastAsiaTheme="majorEastAsia"/>
          <w:rtl/>
        </w:rPr>
        <w:t>לֹא־אוּכַל עוֹד לָצֵאת וְלָבוֹא</w:t>
      </w:r>
      <w:r>
        <w:rPr>
          <w:rtl/>
        </w:rPr>
        <w:t xml:space="preserve"> </w:t>
      </w:r>
      <w:r>
        <w:t xml:space="preserve">(Negation, </w:t>
      </w:r>
      <w:r>
        <w:rPr>
          <w:rStyle w:val="Fett"/>
          <w:rFonts w:eastAsiaTheme="majorEastAsia"/>
          <w:rtl/>
        </w:rPr>
        <w:t>יכל</w:t>
      </w:r>
      <w:r>
        <w:t xml:space="preserve">, Qal Imperfekt, 1. Person Singular, „können", </w:t>
      </w:r>
      <w:r>
        <w:rPr>
          <w:rStyle w:val="Fett"/>
          <w:rFonts w:eastAsiaTheme="majorEastAsia"/>
          <w:rtl/>
        </w:rPr>
        <w:t>עוֹד</w:t>
      </w:r>
      <w:r>
        <w:t xml:space="preserve">, zwei Infinitive Construct mit </w:t>
      </w:r>
      <w:r>
        <w:rPr>
          <w:rStyle w:val="Fett"/>
          <w:rFonts w:eastAsiaTheme="majorEastAsia"/>
          <w:rtl/>
        </w:rPr>
        <w:t>לְ</w:t>
      </w:r>
      <w:r>
        <w:t xml:space="preserve">: </w:t>
      </w:r>
      <w:r>
        <w:rPr>
          <w:rStyle w:val="Fett"/>
          <w:rFonts w:eastAsiaTheme="majorEastAsia"/>
          <w:rtl/>
        </w:rPr>
        <w:t>יצא</w:t>
      </w:r>
      <w:r>
        <w:t xml:space="preserve">, „hinausgehen", koordiniert mit </w:t>
      </w:r>
      <w:r>
        <w:rPr>
          <w:rStyle w:val="Fett"/>
          <w:rFonts w:eastAsiaTheme="majorEastAsia"/>
          <w:rtl/>
        </w:rPr>
        <w:t>בוא</w:t>
      </w:r>
      <w:r>
        <w:t xml:space="preserve">, „hineinkommen"), </w:t>
      </w:r>
      <w:r>
        <w:rPr>
          <w:rStyle w:val="Fett"/>
          <w:rFonts w:eastAsiaTheme="majorEastAsia"/>
          <w:rtl/>
        </w:rPr>
        <w:t>וַיהוָה אָמַר אֵלַי לֹא תַעֲבֹר אֶת־הַיַּרְדֵּן הַזֶּה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יְהוָה</w:t>
      </w:r>
      <w:r>
        <w:rPr>
          <w:rtl/>
        </w:rPr>
        <w:t xml:space="preserve"> </w:t>
      </w:r>
      <w:r>
        <w:t xml:space="preserve">als Subjekt, </w:t>
      </w:r>
      <w:r>
        <w:rPr>
          <w:rStyle w:val="Fett"/>
          <w:rFonts w:eastAsiaTheme="majorEastAsia"/>
          <w:rtl/>
        </w:rPr>
        <w:t>אמר</w:t>
      </w:r>
      <w:r>
        <w:t xml:space="preserve">, Qal Perfekt, 3. Person Maskulinum Singular, </w:t>
      </w:r>
      <w:r>
        <w:rPr>
          <w:rStyle w:val="Fett"/>
          <w:rFonts w:eastAsiaTheme="majorEastAsia"/>
          <w:rtl/>
        </w:rPr>
        <w:t>אֵלַי</w:t>
      </w:r>
      <w:r>
        <w:t xml:space="preserve">, direkte Rede: Negation, </w:t>
      </w:r>
      <w:r>
        <w:rPr>
          <w:rStyle w:val="Fett"/>
          <w:rFonts w:eastAsiaTheme="majorEastAsia"/>
          <w:rtl/>
        </w:rPr>
        <w:t>עבר</w:t>
      </w:r>
      <w:r>
        <w:t xml:space="preserve">, Qal Imperfekt, 2. Person Maskulinum Singular, Objektpartikel </w:t>
      </w:r>
      <w:r>
        <w:rPr>
          <w:rStyle w:val="Fett"/>
          <w:rFonts w:eastAsiaTheme="majorEastAsia"/>
          <w:rtl/>
        </w:rPr>
        <w:t>אֵת</w:t>
      </w:r>
      <w:r>
        <w:rPr>
          <w:rtl/>
        </w:rPr>
        <w:t xml:space="preserve"> </w:t>
      </w:r>
      <w:r>
        <w:t xml:space="preserve">mit </w:t>
      </w:r>
      <w:r>
        <w:rPr>
          <w:rStyle w:val="Fett"/>
          <w:rFonts w:eastAsiaTheme="majorEastAsia"/>
          <w:rtl/>
        </w:rPr>
        <w:t>יַרְדֵּן</w:t>
      </w:r>
      <w:r>
        <w:rPr>
          <w:rtl/>
        </w:rPr>
        <w:t xml:space="preserve"> </w:t>
      </w:r>
      <w:r>
        <w:t xml:space="preserve">mit Artikel, </w:t>
      </w:r>
      <w:r>
        <w:rPr>
          <w:rStyle w:val="Fett"/>
          <w:rFonts w:eastAsiaTheme="majorEastAsia"/>
          <w:rtl/>
        </w:rPr>
        <w:t>זֶה</w:t>
      </w:r>
      <w:r>
        <w:t xml:space="preserve">, mit </w:t>
      </w:r>
      <w:r>
        <w:rPr>
          <w:rStyle w:val="Fett"/>
          <w:rFonts w:eastAsiaTheme="majorEastAsia"/>
        </w:rPr>
        <w:t>Waw</w:t>
      </w:r>
      <w:r>
        <w:t xml:space="preserve"> consecutivum).</w:t>
      </w:r>
    </w:p>
    <w:p w14:paraId="01D78DD2" w14:textId="23E2593B" w:rsidR="008A57FB" w:rsidRDefault="008A57FB" w:rsidP="008A57FB">
      <w:pPr>
        <w:pStyle w:val="whitespace-normal"/>
      </w:pPr>
      <w:r>
        <w:t xml:space="preserve">Der Vers enthält Moses Abschiedsrede mit drei Aussagen. Die erste Aussage: </w:t>
      </w:r>
      <w:r>
        <w:rPr>
          <w:rStyle w:val="Fett"/>
          <w:rFonts w:eastAsiaTheme="majorEastAsia"/>
          <w:rtl/>
        </w:rPr>
        <w:t>בֶּן־מֵאָה וְעֶשְׂרִים שָׁנָה אָנֹכִי הַיּוֹם</w:t>
      </w:r>
      <w:r>
        <w:rPr>
          <w:rtl/>
        </w:rPr>
        <w:t xml:space="preserve"> </w:t>
      </w:r>
      <w:r>
        <w:t xml:space="preserve">(„hundertundzwanzig Jahre alt bin ich heute"). Moses Alter wird genau angegeben: 120 Jahre (vgl. 34,7; Ex 7,7). Die zweite Aussage: </w:t>
      </w:r>
      <w:r>
        <w:rPr>
          <w:rStyle w:val="Fett"/>
          <w:rFonts w:eastAsiaTheme="majorEastAsia"/>
          <w:rtl/>
        </w:rPr>
        <w:t>לֹא־אוּכַל עוֹד לָצֵאת וְלָבוֹא</w:t>
      </w:r>
      <w:r>
        <w:rPr>
          <w:rtl/>
        </w:rPr>
        <w:t xml:space="preserve"> </w:t>
      </w:r>
      <w:r>
        <w:t xml:space="preserve">(„nicht kann ich mehr aus- und eingehen"). Die Formulierung </w:t>
      </w:r>
      <w:r>
        <w:rPr>
          <w:rStyle w:val="Fett"/>
          <w:rFonts w:eastAsiaTheme="majorEastAsia"/>
          <w:rtl/>
        </w:rPr>
        <w:t>יצא ובוא</w:t>
      </w:r>
      <w:r>
        <w:rPr>
          <w:rtl/>
        </w:rPr>
        <w:t xml:space="preserve"> </w:t>
      </w:r>
      <w:r>
        <w:t xml:space="preserve">(„aus- und eingehen") ist idiomatisch und bedeutet: (1) allgemein: aktiv sein, handlungsfähig sein (vgl. Num 27,17; </w:t>
      </w:r>
      <w:r w:rsidR="00664EB6">
        <w:t>1Sam</w:t>
      </w:r>
      <w:r>
        <w:t xml:space="preserve"> 18,13.16; 29,6; </w:t>
      </w:r>
      <w:r w:rsidR="00664EB6">
        <w:t>2Sam</w:t>
      </w:r>
      <w:r>
        <w:t xml:space="preserve"> 3,25; </w:t>
      </w:r>
      <w:r w:rsidR="00664EB6">
        <w:t>1Kön</w:t>
      </w:r>
      <w:r>
        <w:t xml:space="preserve"> 3,7; </w:t>
      </w:r>
      <w:r w:rsidR="00664EB6">
        <w:t>2Kön</w:t>
      </w:r>
      <w:r>
        <w:t xml:space="preserve"> 19,27; Ps 121,8), oder (2) speziell: militärische Führung ausüben (vgl. Num 27,17; Jos 14,11; </w:t>
      </w:r>
      <w:r w:rsidR="00664EB6">
        <w:t>1Sam</w:t>
      </w:r>
      <w:r>
        <w:t xml:space="preserve"> 18,13.16). Hier wahrscheinlich (1) – Mose ist </w:t>
      </w:r>
      <w:r w:rsidR="008D4C22">
        <w:t xml:space="preserve">physich </w:t>
      </w:r>
      <w:r>
        <w:t xml:space="preserve">nicht mehr handlungsfähig für die Führungsaufgabe. Die dritte Aussage: </w:t>
      </w:r>
      <w:r>
        <w:rPr>
          <w:rStyle w:val="Fett"/>
          <w:rFonts w:eastAsiaTheme="majorEastAsia"/>
          <w:rtl/>
        </w:rPr>
        <w:t>וַיהוָה אָמַר אֵלַי לֹא תַעֲבֹר אֶת־הַיַּרְדֵּן הַזֶּה</w:t>
      </w:r>
      <w:r>
        <w:rPr>
          <w:rtl/>
        </w:rPr>
        <w:t xml:space="preserve"> </w:t>
      </w:r>
      <w:r>
        <w:t xml:space="preserve">(„und </w:t>
      </w:r>
      <w:r w:rsidR="00B77E5E">
        <w:t>JHWH</w:t>
      </w:r>
      <w:r>
        <w:t xml:space="preserve"> hat zu mir gesagt: Du sollst nicht über diesen Jordan gehen"). Verweis auf 3,23-28; 4,21-22; Num 20,12; 27,12-14 – Mose darf wegen seines Ungehorsams bei Meriba nicht ins verheißene Land.</w:t>
      </w:r>
    </w:p>
    <w:p w14:paraId="0DAE4DB0" w14:textId="49DEE37F" w:rsidR="00C367A0" w:rsidRDefault="00C367A0" w:rsidP="008A57FB">
      <w:pPr>
        <w:pStyle w:val="whitespace-normal"/>
      </w:pPr>
      <w:r>
        <w:rPr>
          <w:rStyle w:val="Fett"/>
        </w:rPr>
        <w:t>Die LXX</w:t>
      </w:r>
      <w:r>
        <w:t xml:space="preserve"> übersetzt </w:t>
      </w:r>
      <w:r>
        <w:rPr>
          <w:rtl/>
        </w:rPr>
        <w:t>לָצֵאת וְלָבוֹא</w:t>
      </w:r>
      <w:r>
        <w:t xml:space="preserve"> (auszugehen und einzugehen) mit </w:t>
      </w:r>
      <w:proofErr w:type="spellStart"/>
      <w:r>
        <w:t>εἰσ</w:t>
      </w:r>
      <w:proofErr w:type="spellEnd"/>
      <w:r>
        <w:t xml:space="preserve">πορεύεσθαι καὶ </w:t>
      </w:r>
      <w:proofErr w:type="spellStart"/>
      <w:r>
        <w:t>ἐκ</w:t>
      </w:r>
      <w:proofErr w:type="spellEnd"/>
      <w:r>
        <w:t>πορεύεσθαι (einzugehen und auszugehen) – die umgekehrte Reihenfolge.</w:t>
      </w:r>
    </w:p>
    <w:p w14:paraId="456857EA" w14:textId="5C79DBC6" w:rsidR="008A57FB" w:rsidRDefault="008A57FB" w:rsidP="008A57FB">
      <w:pPr>
        <w:pStyle w:val="whitespace-normal"/>
      </w:pPr>
      <w:r>
        <w:rPr>
          <w:rStyle w:val="Fett"/>
          <w:rFonts w:eastAsiaTheme="majorEastAsia"/>
        </w:rPr>
        <w:lastRenderedPageBreak/>
        <w:t>Die Satzstruktur:</w:t>
      </w:r>
      <w:r>
        <w:t xml:space="preserve"> Einleitung und drei Aussagen (und er sprach zu ihnen: Hundertundzwanzig Jahre alt bin ich heute, nicht kann ich mehr aus- und eingehen; und </w:t>
      </w:r>
      <w:r w:rsidR="00B77E5E">
        <w:t>JHWH</w:t>
      </w:r>
      <w:r>
        <w:t xml:space="preserve"> hat zu mir gesagt: Du sollst nicht über diesen Jordan gehen).</w:t>
      </w:r>
    </w:p>
    <w:p w14:paraId="0940857C" w14:textId="7CF475F3" w:rsidR="008A57FB" w:rsidRDefault="008A57FB" w:rsidP="00B77CC6">
      <w:pPr>
        <w:pStyle w:val="whitespace-normal"/>
      </w:pPr>
      <w:r>
        <w:rPr>
          <w:rStyle w:val="Fett"/>
          <w:rFonts w:eastAsiaTheme="majorEastAsia"/>
        </w:rPr>
        <w:t>Der Vers beschreibt:</w:t>
      </w:r>
      <w:r>
        <w:t xml:space="preserve"> Moses Abschiedsworte – sein Alter (120 Jahre), seine Handlungsunfähigkeit, Gottes Verbot, den Jordan zu überschreiten.</w:t>
      </w:r>
    </w:p>
    <w:p w14:paraId="0B4DA105" w14:textId="77777777" w:rsidR="008A57FB" w:rsidRPr="008D48A3" w:rsidRDefault="008A57FB" w:rsidP="008D48A3">
      <w:pPr>
        <w:pStyle w:val="Bibelberschrift"/>
      </w:pPr>
      <w:r w:rsidRPr="008D48A3">
        <w:rPr>
          <w:rStyle w:val="Fett"/>
          <w:b/>
          <w:bCs w:val="0"/>
        </w:rPr>
        <w:t>Deuteronomium 31,3</w:t>
      </w:r>
    </w:p>
    <w:p w14:paraId="3C26EE6B" w14:textId="77777777" w:rsidR="008A57FB" w:rsidRDefault="008A57FB" w:rsidP="008A57FB">
      <w:pPr>
        <w:pStyle w:val="whitespace-normal"/>
      </w:pPr>
      <w:r>
        <w:rPr>
          <w:rStyle w:val="Fett"/>
          <w:rFonts w:eastAsiaTheme="majorEastAsia"/>
        </w:rPr>
        <w:t>Hebräisch:</w:t>
      </w:r>
      <w:r>
        <w:t xml:space="preserve"> </w:t>
      </w:r>
      <w:r>
        <w:rPr>
          <w:rtl/>
        </w:rPr>
        <w:t>יְהוָה אֱלֹהֶיךָ הוּא עֹבֵר לְפָנֶיךָ הוּא־יַשְׁמִיד אֶת־הַגּוֹיִם הָאֵלֶּה מִלְּפָנֶיךָ וִירִשְׁתָּם יְהוֹשֻׁעַ הוּא עֹבֵר לְפָנֶיךָ כַּאֲשֶׁר דִּבֶּר יְהוָה׃</w:t>
      </w:r>
    </w:p>
    <w:p w14:paraId="3C956227" w14:textId="77777777" w:rsidR="008A57FB" w:rsidRDefault="008A57FB" w:rsidP="008A57FB">
      <w:pPr>
        <w:pStyle w:val="whitespace-normal"/>
      </w:pPr>
      <w:r>
        <w:rPr>
          <w:rStyle w:val="Fett"/>
          <w:rFonts w:eastAsiaTheme="majorEastAsia"/>
        </w:rPr>
        <w:t>Deutsch:</w:t>
      </w:r>
      <w:r>
        <w:t xml:space="preserve"> Der Ewige, dein Gott, er zieht vor dir her; er wird diese Völker vor dir vernichten, und du wirst sie vertreiben. Josua, er zieht vor dir her, wie der Ewige geredet hat.</w:t>
      </w:r>
    </w:p>
    <w:p w14:paraId="49E33F7E" w14:textId="77777777" w:rsidR="008A57FB" w:rsidRDefault="004F5CEB" w:rsidP="008A57FB">
      <w:r>
        <w:rPr>
          <w:noProof/>
        </w:rPr>
        <w:pict w14:anchorId="714208BA">
          <v:rect id="_x0000_i1865" style="width:0;height:1.5pt" o:hralign="center" o:hrstd="t" o:hr="t" fillcolor="#a0a0a0" stroked="f"/>
        </w:pict>
      </w:r>
    </w:p>
    <w:p w14:paraId="2E07AFFF"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יְהוָה אֱלֹהֶיךָ הוּא עֹבֵר לְפָנֶיךָ הוּא־יַשְׁמִיד אֶת־הַגּוֹיִם הָאֵלֶּה מִלְּפָנֶיךָ וִירִשְׁתָּם יְהוֹשֻׁעַ הוּא עֹבֵר לְפָנֶיךָ כַּאֲשֶׁר דִּבֶּר יְהוָה</w:t>
      </w:r>
      <w:r>
        <w:rPr>
          <w:rtl/>
        </w:rPr>
        <w:t xml:space="preserve"> </w:t>
      </w:r>
      <w:r>
        <w:t xml:space="preserve">sind vier Aussagen: </w:t>
      </w:r>
      <w:r>
        <w:rPr>
          <w:rStyle w:val="Fett"/>
          <w:rFonts w:eastAsiaTheme="majorEastAsia"/>
          <w:rtl/>
        </w:rPr>
        <w:t>יְהוָה אֱלֹהֶיךָ הוּא עֹבֵר לְפָנֶיךָ</w:t>
      </w:r>
      <w:r>
        <w:rPr>
          <w:rtl/>
        </w:rPr>
        <w:t xml:space="preserve"> </w:t>
      </w:r>
      <w:r>
        <w:t>(</w:t>
      </w:r>
      <w:r>
        <w:rPr>
          <w:rStyle w:val="Fett"/>
          <w:rFonts w:eastAsiaTheme="majorEastAsia"/>
          <w:rtl/>
        </w:rPr>
        <w:t>יְהוָה אֱלֹהֶיךָ</w:t>
      </w:r>
      <w:r>
        <w:rPr>
          <w:rtl/>
        </w:rPr>
        <w:t xml:space="preserve"> </w:t>
      </w:r>
      <w:r>
        <w:t xml:space="preserve">als Subjekt, </w:t>
      </w:r>
      <w:r>
        <w:rPr>
          <w:rStyle w:val="Fett"/>
          <w:rFonts w:eastAsiaTheme="majorEastAsia"/>
          <w:rtl/>
        </w:rPr>
        <w:t>הוּא</w:t>
      </w:r>
      <w:r>
        <w:t xml:space="preserve">, </w:t>
      </w:r>
      <w:r>
        <w:rPr>
          <w:rStyle w:val="Fett"/>
          <w:rFonts w:eastAsiaTheme="majorEastAsia"/>
          <w:rtl/>
        </w:rPr>
        <w:t>עבר</w:t>
      </w:r>
      <w:r>
        <w:t xml:space="preserve">, Qal Partizip Maskulinum Singular, </w:t>
      </w:r>
      <w:r>
        <w:rPr>
          <w:rStyle w:val="Fett"/>
          <w:rFonts w:eastAsiaTheme="majorEastAsia"/>
          <w:rtl/>
        </w:rPr>
        <w:t>לְפָנֶיךָ</w:t>
      </w:r>
      <w:r>
        <w:t xml:space="preserve">), </w:t>
      </w:r>
      <w:r>
        <w:rPr>
          <w:rStyle w:val="Fett"/>
          <w:rFonts w:eastAsiaTheme="majorEastAsia"/>
          <w:rtl/>
        </w:rPr>
        <w:t>הוּא־יַשְׁמִיד אֶת־הַגּוֹיִם הָאֵלֶּה מִלְּפָנֶיךָ</w:t>
      </w:r>
      <w:r>
        <w:rPr>
          <w:rtl/>
        </w:rPr>
        <w:t xml:space="preserve"> </w:t>
      </w:r>
      <w:r>
        <w:t>(</w:t>
      </w:r>
      <w:r>
        <w:rPr>
          <w:rStyle w:val="Fett"/>
          <w:rFonts w:eastAsiaTheme="majorEastAsia"/>
          <w:rtl/>
        </w:rPr>
        <w:t>הוּא</w:t>
      </w:r>
      <w:r>
        <w:t xml:space="preserve">, </w:t>
      </w:r>
      <w:r>
        <w:rPr>
          <w:rStyle w:val="Fett"/>
          <w:rFonts w:eastAsiaTheme="majorEastAsia"/>
          <w:rtl/>
        </w:rPr>
        <w:t>שׁמד</w:t>
      </w:r>
      <w:r>
        <w:t xml:space="preserve">, Hiphil Imperfekt, 3. Person Maskulinum Singular, „vernichten", Objektpartikel </w:t>
      </w:r>
      <w:r>
        <w:rPr>
          <w:rStyle w:val="Fett"/>
          <w:rFonts w:eastAsiaTheme="majorEastAsia"/>
          <w:rtl/>
        </w:rPr>
        <w:t>אֵת</w:t>
      </w:r>
      <w:r>
        <w:rPr>
          <w:rtl/>
        </w:rPr>
        <w:t xml:space="preserve"> </w:t>
      </w:r>
      <w:r>
        <w:t xml:space="preserve">mit </w:t>
      </w:r>
      <w:r>
        <w:rPr>
          <w:rStyle w:val="Fett"/>
          <w:rFonts w:eastAsiaTheme="majorEastAsia"/>
          <w:rtl/>
        </w:rPr>
        <w:t>גּוֹי</w:t>
      </w:r>
      <w:r>
        <w:rPr>
          <w:rtl/>
        </w:rPr>
        <w:t xml:space="preserve"> </w:t>
      </w:r>
      <w:r>
        <w:t xml:space="preserve">Plural mit Artikel, </w:t>
      </w:r>
      <w:r>
        <w:rPr>
          <w:rStyle w:val="Fett"/>
          <w:rFonts w:eastAsiaTheme="majorEastAsia"/>
          <w:rtl/>
        </w:rPr>
        <w:t>אֵלֶּה</w:t>
      </w:r>
      <w:r>
        <w:t xml:space="preserve">, </w:t>
      </w:r>
      <w:r>
        <w:rPr>
          <w:rStyle w:val="Fett"/>
          <w:rFonts w:eastAsiaTheme="majorEastAsia"/>
          <w:rtl/>
        </w:rPr>
        <w:t>מִלְּפָנֶיךָ</w:t>
      </w:r>
      <w:r>
        <w:t xml:space="preserve">), </w:t>
      </w:r>
      <w:r>
        <w:rPr>
          <w:rStyle w:val="Fett"/>
          <w:rFonts w:eastAsiaTheme="majorEastAsia"/>
          <w:rtl/>
        </w:rPr>
        <w:t>וִירִשְׁתָּם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ירשׁ</w:t>
      </w:r>
      <w:r>
        <w:t xml:space="preserve">, Qal Perfekt, 2. Person Maskulinum Singular, mit Suffix 3. Person Maskulinum Plural, mit </w:t>
      </w:r>
      <w:r>
        <w:rPr>
          <w:rStyle w:val="Fett"/>
          <w:rFonts w:eastAsiaTheme="majorEastAsia"/>
        </w:rPr>
        <w:t>Waw</w:t>
      </w:r>
      <w:r>
        <w:t xml:space="preserve"> consecutivum), </w:t>
      </w:r>
      <w:r>
        <w:rPr>
          <w:rStyle w:val="Fett"/>
          <w:rFonts w:eastAsiaTheme="majorEastAsia"/>
          <w:rtl/>
        </w:rPr>
        <w:t>יְהוֹשֻׁעַ הוּא עֹבֵר לְפָנֶיךָ כַּאֲשֶׁר דִּבֶּר יְהוָה</w:t>
      </w:r>
      <w:r>
        <w:rPr>
          <w:rtl/>
        </w:rPr>
        <w:t xml:space="preserve"> </w:t>
      </w:r>
      <w:r>
        <w:t>(</w:t>
      </w:r>
      <w:r>
        <w:rPr>
          <w:rStyle w:val="Fett"/>
          <w:rFonts w:eastAsiaTheme="majorEastAsia"/>
          <w:rtl/>
        </w:rPr>
        <w:t>יְהוֹשֻׁעַ</w:t>
      </w:r>
      <w:r>
        <w:rPr>
          <w:rtl/>
        </w:rPr>
        <w:t xml:space="preserve"> </w:t>
      </w:r>
      <w:r>
        <w:t xml:space="preserve">als Subjekt, </w:t>
      </w:r>
      <w:r>
        <w:rPr>
          <w:rStyle w:val="Fett"/>
          <w:rFonts w:eastAsiaTheme="majorEastAsia"/>
          <w:rtl/>
        </w:rPr>
        <w:t>הוּא עֹבֵר לְפָנֶיךָ</w:t>
      </w:r>
      <w:r>
        <w:rPr>
          <w:rtl/>
        </w:rPr>
        <w:t xml:space="preserve"> </w:t>
      </w:r>
      <w:r>
        <w:t xml:space="preserve">wie oben, Vergleichssatz: </w:t>
      </w:r>
      <w:r>
        <w:rPr>
          <w:rStyle w:val="Fett"/>
          <w:rFonts w:eastAsiaTheme="majorEastAsia"/>
          <w:rtl/>
        </w:rPr>
        <w:t>כַּאֲשֶׁר דִּבֶּר יְהוָה</w:t>
      </w:r>
      <w:r>
        <w:rPr>
          <w:rtl/>
        </w:rPr>
        <w:t xml:space="preserve"> </w:t>
      </w:r>
      <w:r>
        <w:t xml:space="preserve">mit </w:t>
      </w:r>
      <w:r>
        <w:rPr>
          <w:rStyle w:val="Fett"/>
          <w:rFonts w:eastAsiaTheme="majorEastAsia"/>
          <w:rtl/>
        </w:rPr>
        <w:t>דבר</w:t>
      </w:r>
      <w:r>
        <w:t>, Piel Perfekt, 3. Person Maskulinum Singular).</w:t>
      </w:r>
    </w:p>
    <w:p w14:paraId="77F7A0B3" w14:textId="49CD950E" w:rsidR="008A57FB" w:rsidRDefault="008A57FB" w:rsidP="008A57FB">
      <w:pPr>
        <w:pStyle w:val="whitespace-normal"/>
      </w:pPr>
      <w:r>
        <w:t xml:space="preserve">Der Vers tröstet Israel – obwohl Mose nicht mitkommt, wird Gott selbst und sein Stellvertreter Josua vorangehen. Die erste Aussage: </w:t>
      </w:r>
      <w:r>
        <w:rPr>
          <w:rStyle w:val="Fett"/>
          <w:rFonts w:eastAsiaTheme="majorEastAsia"/>
          <w:rtl/>
        </w:rPr>
        <w:t>יְהוָה אֱלֹהֶיךָ הוּא עֹבֵר לְפָנֶיךָ</w:t>
      </w:r>
      <w:r>
        <w:rPr>
          <w:rtl/>
        </w:rPr>
        <w:t xml:space="preserve"> </w:t>
      </w:r>
      <w:r>
        <w:t>(„</w:t>
      </w:r>
      <w:r w:rsidR="00B77E5E">
        <w:t>JHWH</w:t>
      </w:r>
      <w:r>
        <w:t xml:space="preserve">, dein Gott, er zieht vor dir her"). Die Betonung </w:t>
      </w:r>
      <w:r>
        <w:rPr>
          <w:rStyle w:val="Fett"/>
          <w:rFonts w:eastAsiaTheme="majorEastAsia"/>
          <w:rtl/>
        </w:rPr>
        <w:t>הוּא</w:t>
      </w:r>
      <w:r>
        <w:rPr>
          <w:rtl/>
        </w:rPr>
        <w:t xml:space="preserve"> </w:t>
      </w:r>
      <w:r>
        <w:t xml:space="preserve">(„er") verstärkt: Gott selbst geht voran (vgl. 9,3). Die zweite Aussage: </w:t>
      </w:r>
      <w:r>
        <w:rPr>
          <w:rStyle w:val="Fett"/>
          <w:rFonts w:eastAsiaTheme="majorEastAsia"/>
          <w:rtl/>
        </w:rPr>
        <w:t>הוּא־יַשְׁמִיד אֶת־הַגּוֹיִם הָאֵלֶּה מִלְּפָנֶיךָ</w:t>
      </w:r>
      <w:r>
        <w:rPr>
          <w:rtl/>
        </w:rPr>
        <w:t xml:space="preserve"> </w:t>
      </w:r>
      <w:r>
        <w:t xml:space="preserve">(„er wird vernichten diese Völker vor dir"). Gottes vernichtende Macht gegen die Kanaaniter (vgl. 7,1-2.23-24; 9,3; 12,29-30). Die dritte Aussage: </w:t>
      </w:r>
      <w:r>
        <w:rPr>
          <w:rStyle w:val="Fett"/>
          <w:rFonts w:eastAsiaTheme="majorEastAsia"/>
          <w:rtl/>
        </w:rPr>
        <w:t>וִירִשְׁתָּם</w:t>
      </w:r>
      <w:r>
        <w:rPr>
          <w:rtl/>
        </w:rPr>
        <w:t xml:space="preserve"> </w:t>
      </w:r>
      <w:r>
        <w:t xml:space="preserve">(„und du wirst sie vertreiben/in Besitz nehmen"). Israel wird die Völker beerben. Die vierte Aussage: </w:t>
      </w:r>
      <w:r>
        <w:rPr>
          <w:rStyle w:val="Fett"/>
          <w:rFonts w:eastAsiaTheme="majorEastAsia"/>
          <w:rtl/>
        </w:rPr>
        <w:t>יְהוֹשֻׁעַ הוּא עֹבֵר לְפָנֶיךָ כַּאֲשֶׁר דִּבֶּר יְהוָה</w:t>
      </w:r>
      <w:r>
        <w:rPr>
          <w:rtl/>
        </w:rPr>
        <w:t xml:space="preserve"> </w:t>
      </w:r>
      <w:r>
        <w:t xml:space="preserve">(„Josua, er zieht vor dir her, wie </w:t>
      </w:r>
      <w:r w:rsidR="00B77E5E">
        <w:t>JHWH</w:t>
      </w:r>
      <w:r>
        <w:t xml:space="preserve"> geredet hat"). Josua als Moses menschlicher Nachfolger (vgl. 1,38; 3,28; Num 27,18-23). Die Formulierung </w:t>
      </w:r>
      <w:r>
        <w:rPr>
          <w:rStyle w:val="Fett"/>
          <w:rFonts w:eastAsiaTheme="majorEastAsia"/>
          <w:rtl/>
        </w:rPr>
        <w:t>כַּאֲשֶׁר דִּבֶּר יְהוָה</w:t>
      </w:r>
      <w:r>
        <w:rPr>
          <w:rtl/>
        </w:rPr>
        <w:t xml:space="preserve"> </w:t>
      </w:r>
      <w:r>
        <w:t xml:space="preserve">(„wie </w:t>
      </w:r>
      <w:r w:rsidR="00B77E5E">
        <w:t>JHWH</w:t>
      </w:r>
      <w:r>
        <w:t xml:space="preserve"> geredet hat") verweist auf frühere Verheißungen.</w:t>
      </w:r>
    </w:p>
    <w:p w14:paraId="2C5FBB1A" w14:textId="36A7F5D8" w:rsidR="00C367A0" w:rsidRDefault="00C367A0" w:rsidP="008A57FB">
      <w:pPr>
        <w:pStyle w:val="whitespace-normal"/>
      </w:pPr>
      <w:r>
        <w:rPr>
          <w:rStyle w:val="Fett"/>
        </w:rPr>
        <w:t>Die LXX</w:t>
      </w:r>
      <w:r>
        <w:t xml:space="preserve"> übersetzt </w:t>
      </w:r>
      <w:r>
        <w:rPr>
          <w:rtl/>
        </w:rPr>
        <w:t>הוּא עֹבֵר לְפָנֶיךָ</w:t>
      </w:r>
      <w:r>
        <w:t xml:space="preserve"> (er geht vor dir her) mit ὁ π</w:t>
      </w:r>
      <w:proofErr w:type="spellStart"/>
      <w:r>
        <w:t>ρο</w:t>
      </w:r>
      <w:proofErr w:type="spellEnd"/>
      <w:r>
        <w:t>πορευόμενος π</w:t>
      </w:r>
      <w:proofErr w:type="spellStart"/>
      <w:r>
        <w:t>ρὸ</w:t>
      </w:r>
      <w:proofErr w:type="spellEnd"/>
      <w:r>
        <w:t xml:space="preserve"> π</w:t>
      </w:r>
      <w:proofErr w:type="spellStart"/>
      <w:r>
        <w:t>ροσώ</w:t>
      </w:r>
      <w:proofErr w:type="spellEnd"/>
      <w:r>
        <w:t xml:space="preserve">που </w:t>
      </w:r>
      <w:proofErr w:type="spellStart"/>
      <w:r>
        <w:t>σου</w:t>
      </w:r>
      <w:proofErr w:type="spellEnd"/>
      <w:r>
        <w:t xml:space="preserve"> (der vor deinem Angesicht hergeht) – ein zusammengesetztes Verb mit Präfix π</w:t>
      </w:r>
      <w:proofErr w:type="spellStart"/>
      <w:r>
        <w:t>ρο</w:t>
      </w:r>
      <w:proofErr w:type="spellEnd"/>
      <w:r>
        <w:t>-.</w:t>
      </w:r>
    </w:p>
    <w:p w14:paraId="71DCF5C6" w14:textId="15BA5E5C" w:rsidR="008A57FB" w:rsidRDefault="008A57FB" w:rsidP="008A57FB">
      <w:pPr>
        <w:pStyle w:val="whitespace-normal"/>
      </w:pPr>
      <w:r>
        <w:rPr>
          <w:rStyle w:val="Fett"/>
          <w:rFonts w:eastAsiaTheme="majorEastAsia"/>
        </w:rPr>
        <w:t>Die Satzstruktur:</w:t>
      </w:r>
      <w:r>
        <w:t xml:space="preserve"> Vier Aussagen (</w:t>
      </w:r>
      <w:r w:rsidR="00B77E5E">
        <w:t>JHWH</w:t>
      </w:r>
      <w:r>
        <w:t xml:space="preserve">, dein Gott, er zieht vor dir her; er wird vernichten diese Völker vor dir; und du wirst sie vertreiben; Josua, er zieht vor dir her, wie </w:t>
      </w:r>
      <w:r w:rsidR="00272EAD">
        <w:t>JHWH</w:t>
      </w:r>
      <w:r>
        <w:t xml:space="preserve"> geredet hat).</w:t>
      </w:r>
    </w:p>
    <w:p w14:paraId="44CDABC9" w14:textId="77777777" w:rsidR="008A57FB" w:rsidRDefault="008A57FB" w:rsidP="008A57FB">
      <w:pPr>
        <w:pStyle w:val="whitespace-normal"/>
      </w:pPr>
      <w:r>
        <w:rPr>
          <w:rStyle w:val="Fett"/>
          <w:rFonts w:eastAsiaTheme="majorEastAsia"/>
        </w:rPr>
        <w:t>Der Vers beschreibt:</w:t>
      </w:r>
      <w:r>
        <w:t xml:space="preserve"> Trost – Gott selbst und Josua werden Israel ins Land führen und die Völker vernichten.</w:t>
      </w:r>
    </w:p>
    <w:p w14:paraId="2D334116" w14:textId="77777777" w:rsidR="008A57FB" w:rsidRPr="008D48A3" w:rsidRDefault="008A57FB" w:rsidP="008D48A3">
      <w:pPr>
        <w:pStyle w:val="Bibelberschrift"/>
      </w:pPr>
      <w:r w:rsidRPr="008D48A3">
        <w:rPr>
          <w:rStyle w:val="Fett"/>
          <w:b/>
          <w:bCs w:val="0"/>
        </w:rPr>
        <w:lastRenderedPageBreak/>
        <w:t>Deuteronomium 31,4</w:t>
      </w:r>
    </w:p>
    <w:p w14:paraId="2254BDF7" w14:textId="77777777" w:rsidR="008A57FB" w:rsidRDefault="008A57FB" w:rsidP="008A57FB">
      <w:pPr>
        <w:pStyle w:val="whitespace-normal"/>
      </w:pPr>
      <w:r>
        <w:rPr>
          <w:rStyle w:val="Fett"/>
          <w:rFonts w:eastAsiaTheme="majorEastAsia"/>
        </w:rPr>
        <w:t>Hebräisch:</w:t>
      </w:r>
      <w:r>
        <w:t xml:space="preserve"> </w:t>
      </w:r>
      <w:r>
        <w:rPr>
          <w:rtl/>
        </w:rPr>
        <w:t>וְעָשָׂה יְהוָה לָהֶם כַּאֲשֶׁר עָשָׂה לְסִיחוֹן וּלְעוֹג מַלְכֵי הָאֱמֹרִי וּלְאַרְצָם אֲשֶׁר הִשְׁמִיד אֹתָם׃</w:t>
      </w:r>
    </w:p>
    <w:p w14:paraId="28085F75" w14:textId="77777777" w:rsidR="008A57FB" w:rsidRDefault="008A57FB" w:rsidP="008A57FB">
      <w:pPr>
        <w:pStyle w:val="whitespace-normal"/>
      </w:pPr>
      <w:r>
        <w:rPr>
          <w:rStyle w:val="Fett"/>
          <w:rFonts w:eastAsiaTheme="majorEastAsia"/>
        </w:rPr>
        <w:t>Deutsch:</w:t>
      </w:r>
      <w:r>
        <w:t xml:space="preserve"> Und tun wird der Ewige ihnen, wie er getan hat dem Sichon und dem Og, den Königen der Emoriter, und ihrem Land, die er vernichtet hat.</w:t>
      </w:r>
    </w:p>
    <w:p w14:paraId="6442E438" w14:textId="77777777" w:rsidR="008A57FB" w:rsidRDefault="004F5CEB" w:rsidP="008A57FB">
      <w:r>
        <w:rPr>
          <w:noProof/>
        </w:rPr>
        <w:pict w14:anchorId="4B2BD081">
          <v:rect id="_x0000_i1866" style="width:0;height:1.5pt" o:hralign="center" o:hrstd="t" o:hr="t" fillcolor="#a0a0a0" stroked="f"/>
        </w:pict>
      </w:r>
    </w:p>
    <w:p w14:paraId="753A1494"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וְעָשָׂה יְהוָה לָהֶם כַּאֲשֶׁר עָשָׂה לְסִיחוֹן וּלְעוֹג מַלְכֵי הָאֱמֹרִי וּלְאַרְצָם אֲשֶׁר הִשְׁמִיד אֹתָם</w:t>
      </w:r>
      <w:r>
        <w:rPr>
          <w:rtl/>
        </w:rPr>
        <w:t xml:space="preserve"> </w:t>
      </w:r>
      <w:r>
        <w:t xml:space="preserve">ist eine Aussage: </w:t>
      </w:r>
      <w:r>
        <w:rPr>
          <w:rStyle w:val="Fett"/>
          <w:rFonts w:eastAsiaTheme="majorEastAsia"/>
          <w:rtl/>
        </w:rPr>
        <w:t>וְעָשָׂה יְהוָה לָהֶם כַּאֲשֶׁר עָשָׂה לְסִיחוֹן וּלְעוֹג מַלְכֵי הָאֱמֹרִי וּלְאַרְצָם אֲשֶׁר הִשְׁמִיד אֹתָם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עשׂה</w:t>
      </w:r>
      <w:r>
        <w:t xml:space="preserve">, Qal Perfekt, 3. Person Maskulinum Singular, </w:t>
      </w:r>
      <w:r>
        <w:rPr>
          <w:rStyle w:val="Fett"/>
          <w:rFonts w:eastAsiaTheme="majorEastAsia"/>
          <w:rtl/>
        </w:rPr>
        <w:t>יְהוָה</w:t>
      </w:r>
      <w:r>
        <w:rPr>
          <w:rtl/>
        </w:rPr>
        <w:t xml:space="preserve"> </w:t>
      </w:r>
      <w:r>
        <w:t xml:space="preserve">als Subjekt, </w:t>
      </w:r>
      <w:r>
        <w:rPr>
          <w:rStyle w:val="Fett"/>
          <w:rFonts w:eastAsiaTheme="majorEastAsia"/>
          <w:rtl/>
        </w:rPr>
        <w:t>לָהֶם</w:t>
      </w:r>
      <w:r>
        <w:t xml:space="preserve">, Vergleichssatz: </w:t>
      </w:r>
      <w:r>
        <w:rPr>
          <w:rStyle w:val="Fett"/>
          <w:rFonts w:eastAsiaTheme="majorEastAsia"/>
          <w:rtl/>
        </w:rPr>
        <w:t>כַּאֲשֶׁר עָשָׂה לְסִיחוֹן וּלְעוֹג מַלְכֵי הָאֱמֹרִי וּלְאַרְצָם</w:t>
      </w:r>
      <w:r>
        <w:rPr>
          <w:rtl/>
        </w:rPr>
        <w:t xml:space="preserve"> </w:t>
      </w:r>
      <w:r>
        <w:t xml:space="preserve">mit </w:t>
      </w:r>
      <w:r>
        <w:rPr>
          <w:rStyle w:val="Fett"/>
          <w:rFonts w:eastAsiaTheme="majorEastAsia"/>
          <w:rtl/>
        </w:rPr>
        <w:t>עשׂה</w:t>
      </w:r>
      <w:r>
        <w:t xml:space="preserve">, Qal Perfekt, 3. Person Maskulinum Singular, drei Präpositionen </w:t>
      </w:r>
      <w:r>
        <w:rPr>
          <w:rStyle w:val="Fett"/>
          <w:rFonts w:eastAsiaTheme="majorEastAsia"/>
          <w:rtl/>
        </w:rPr>
        <w:t>לְ</w:t>
      </w:r>
      <w:r>
        <w:t xml:space="preserve">: </w:t>
      </w:r>
      <w:r>
        <w:rPr>
          <w:rStyle w:val="Fett"/>
          <w:rFonts w:eastAsiaTheme="majorEastAsia"/>
          <w:rtl/>
        </w:rPr>
        <w:t>סִיחוֹן</w:t>
      </w:r>
      <w:r>
        <w:t xml:space="preserve">, koordiniert mit </w:t>
      </w:r>
      <w:r>
        <w:rPr>
          <w:rStyle w:val="Fett"/>
          <w:rFonts w:eastAsiaTheme="majorEastAsia"/>
          <w:rtl/>
        </w:rPr>
        <w:t>עוֹג</w:t>
      </w:r>
      <w:r>
        <w:t xml:space="preserve">, Apposition: </w:t>
      </w:r>
      <w:r>
        <w:rPr>
          <w:rStyle w:val="Fett"/>
          <w:rFonts w:eastAsiaTheme="majorEastAsia"/>
          <w:rtl/>
        </w:rPr>
        <w:t>מֶלֶךְ</w:t>
      </w:r>
      <w:r>
        <w:rPr>
          <w:rtl/>
        </w:rPr>
        <w:t xml:space="preserve"> </w:t>
      </w:r>
      <w:r>
        <w:t xml:space="preserve">Dual Construct mit </w:t>
      </w:r>
      <w:r>
        <w:rPr>
          <w:rStyle w:val="Fett"/>
          <w:rFonts w:eastAsiaTheme="majorEastAsia"/>
          <w:rtl/>
        </w:rPr>
        <w:t>אֱמֹרִי</w:t>
      </w:r>
      <w:r>
        <w:rPr>
          <w:rtl/>
        </w:rPr>
        <w:t xml:space="preserve"> </w:t>
      </w:r>
      <w:r>
        <w:t xml:space="preserve">mit Artikel, koordiniert mit </w:t>
      </w:r>
      <w:r>
        <w:rPr>
          <w:rStyle w:val="Fett"/>
          <w:rFonts w:eastAsiaTheme="majorEastAsia"/>
          <w:rtl/>
        </w:rPr>
        <w:t>אֶרֶץ</w:t>
      </w:r>
      <w:r>
        <w:rPr>
          <w:rtl/>
        </w:rPr>
        <w:t xml:space="preserve"> </w:t>
      </w:r>
      <w:r>
        <w:t xml:space="preserve">mit Suffix 3. Person Maskulinum Plural, Relativsatz: </w:t>
      </w:r>
      <w:r>
        <w:rPr>
          <w:rStyle w:val="Fett"/>
          <w:rFonts w:eastAsiaTheme="majorEastAsia"/>
          <w:rtl/>
        </w:rPr>
        <w:t>אֲשֶׁר הִשְׁמִיד אֹתָם</w:t>
      </w:r>
      <w:r>
        <w:rPr>
          <w:rtl/>
        </w:rPr>
        <w:t xml:space="preserve"> </w:t>
      </w:r>
      <w:r>
        <w:t xml:space="preserve">mit </w:t>
      </w:r>
      <w:r>
        <w:rPr>
          <w:rStyle w:val="Fett"/>
          <w:rFonts w:eastAsiaTheme="majorEastAsia"/>
          <w:rtl/>
        </w:rPr>
        <w:t>שׁמד</w:t>
      </w:r>
      <w:r>
        <w:t xml:space="preserve">, Hiphil Perfekt, 3. Person Maskulinum Singular, Objektpartikel </w:t>
      </w:r>
      <w:r>
        <w:rPr>
          <w:rStyle w:val="Fett"/>
          <w:rFonts w:eastAsiaTheme="majorEastAsia"/>
          <w:rtl/>
        </w:rPr>
        <w:t>אֵת</w:t>
      </w:r>
      <w:r>
        <w:rPr>
          <w:rtl/>
        </w:rPr>
        <w:t xml:space="preserve"> </w:t>
      </w:r>
      <w:r>
        <w:t xml:space="preserve">mit Suffix 3. Person Maskulinum Plural, mit </w:t>
      </w:r>
      <w:r>
        <w:rPr>
          <w:rStyle w:val="Fett"/>
          <w:rFonts w:eastAsiaTheme="majorEastAsia"/>
        </w:rPr>
        <w:t>Waw</w:t>
      </w:r>
      <w:r>
        <w:t xml:space="preserve"> consecutivum).</w:t>
      </w:r>
    </w:p>
    <w:p w14:paraId="5034629B" w14:textId="6963DC86" w:rsidR="008A57FB" w:rsidRDefault="008A57FB" w:rsidP="008A57FB">
      <w:pPr>
        <w:pStyle w:val="whitespace-normal"/>
      </w:pPr>
      <w:r>
        <w:t xml:space="preserve">Der Vers gibt ein konkretes Beispiel aus der jüngsten Vergangenheit. Die Aussage: </w:t>
      </w:r>
      <w:r>
        <w:rPr>
          <w:rStyle w:val="Fett"/>
          <w:rFonts w:eastAsiaTheme="majorEastAsia"/>
          <w:rtl/>
        </w:rPr>
        <w:t>וְעָשָׂה יְהוָה לָהֶם כַּאֲשֶׁר עָשָׂה לְסִיחוֹן וּלְעוֹג מַלְכֵי הָאֱמֹרִי וּלְאַרְצָם אֲשֶׁר הִשְׁמִיד אֹתָם</w:t>
      </w:r>
      <w:r>
        <w:rPr>
          <w:rtl/>
        </w:rPr>
        <w:t xml:space="preserve"> </w:t>
      </w:r>
      <w:r>
        <w:t xml:space="preserve">(„und tun wird </w:t>
      </w:r>
      <w:r w:rsidR="00272EAD">
        <w:t>JHWH</w:t>
      </w:r>
      <w:r>
        <w:t xml:space="preserve"> ihnen, wie er getan hat dem Sichon und dem Og, den Königen der Emoriter, und ihrem Land, die er vernichtet hat"). Die beiden Könige Sichon und Og wurden von Israel besiegt östlich des Jordan (vgl. 1,4; 2,24-3,11; 4,46-47; 29,6; Num 21,21-35). Diese Siege sind Paradigma und Vorgeschmack für die kommenden Siege westlich des Jordan. Die Formulierung </w:t>
      </w:r>
      <w:r>
        <w:rPr>
          <w:rStyle w:val="Fett"/>
          <w:rFonts w:eastAsiaTheme="majorEastAsia"/>
          <w:rtl/>
        </w:rPr>
        <w:t>אֲשֶׁר הִשְׁמִיד אֹתָם</w:t>
      </w:r>
      <w:r>
        <w:rPr>
          <w:rtl/>
        </w:rPr>
        <w:t xml:space="preserve"> </w:t>
      </w:r>
      <w:r>
        <w:t>(„die er vernichtet hat") betont: Gott war der eigentliche Urheber der Vernichtung.</w:t>
      </w:r>
    </w:p>
    <w:p w14:paraId="04B7C36E" w14:textId="21D66E94" w:rsidR="008A57FB" w:rsidRDefault="008A57FB" w:rsidP="008A57FB">
      <w:pPr>
        <w:pStyle w:val="whitespace-normal"/>
      </w:pPr>
      <w:r>
        <w:rPr>
          <w:rStyle w:val="Fett"/>
          <w:rFonts w:eastAsiaTheme="majorEastAsia"/>
        </w:rPr>
        <w:t>Die Satzstruktur:</w:t>
      </w:r>
      <w:r>
        <w:t xml:space="preserve"> Aussage (und tun wird </w:t>
      </w:r>
      <w:r w:rsidR="00272EAD">
        <w:t>JHWH</w:t>
      </w:r>
      <w:r>
        <w:t xml:space="preserve"> ihnen, wie er getan hat dem Sichon und dem Og, den Königen der Emoriter, und ihrem Land, die er vernichtet hat).</w:t>
      </w:r>
    </w:p>
    <w:p w14:paraId="2815CFA9" w14:textId="33C657EE" w:rsidR="008A57FB" w:rsidRDefault="008A57FB" w:rsidP="00B77CC6">
      <w:pPr>
        <w:pStyle w:val="whitespace-normal"/>
      </w:pPr>
      <w:r>
        <w:rPr>
          <w:rStyle w:val="Fett"/>
          <w:rFonts w:eastAsiaTheme="majorEastAsia"/>
        </w:rPr>
        <w:t>Der Vers beschreibt:</w:t>
      </w:r>
      <w:r>
        <w:t xml:space="preserve"> Historisches Beispiel – Gott wird die Kanaaniter vernichten wie Sichon und Og.</w:t>
      </w:r>
    </w:p>
    <w:p w14:paraId="67CC4BED" w14:textId="77777777" w:rsidR="008A57FB" w:rsidRPr="008D48A3" w:rsidRDefault="008A57FB" w:rsidP="008D48A3">
      <w:pPr>
        <w:pStyle w:val="Bibelberschrift"/>
      </w:pPr>
      <w:r w:rsidRPr="008D48A3">
        <w:rPr>
          <w:rStyle w:val="Fett"/>
          <w:b/>
          <w:bCs w:val="0"/>
        </w:rPr>
        <w:t>Deuteronomium 31,5</w:t>
      </w:r>
    </w:p>
    <w:p w14:paraId="2389B285" w14:textId="77777777" w:rsidR="008A57FB" w:rsidRDefault="008A57FB" w:rsidP="008A57FB">
      <w:pPr>
        <w:pStyle w:val="whitespace-normal"/>
      </w:pPr>
      <w:r>
        <w:rPr>
          <w:rStyle w:val="Fett"/>
          <w:rFonts w:eastAsiaTheme="majorEastAsia"/>
        </w:rPr>
        <w:t>Hebräisch:</w:t>
      </w:r>
      <w:r>
        <w:t xml:space="preserve"> </w:t>
      </w:r>
      <w:r>
        <w:rPr>
          <w:rtl/>
        </w:rPr>
        <w:t>וּנְתָנָם יְהוָה לִפְנֵיכֶם וַעֲשִׂיתֶם לָהֶם כְּכָל־הַמִּצְוָה אֲשֶׁר צִוִּיתִי אֶתְכֶם׃</w:t>
      </w:r>
    </w:p>
    <w:p w14:paraId="74924F9C" w14:textId="77777777" w:rsidR="008A57FB" w:rsidRDefault="008A57FB" w:rsidP="008A57FB">
      <w:pPr>
        <w:pStyle w:val="whitespace-normal"/>
      </w:pPr>
      <w:r>
        <w:rPr>
          <w:rStyle w:val="Fett"/>
          <w:rFonts w:eastAsiaTheme="majorEastAsia"/>
        </w:rPr>
        <w:t>Deutsch:</w:t>
      </w:r>
      <w:r>
        <w:t xml:space="preserve"> Und dahingeben wird sie der Ewige vor euch, und ihr sollt ihnen tun nach dem ganzen Gebot, das ich euch geboten habe.</w:t>
      </w:r>
    </w:p>
    <w:p w14:paraId="2C0515D3" w14:textId="77777777" w:rsidR="008A57FB" w:rsidRDefault="004F5CEB" w:rsidP="008A57FB">
      <w:r>
        <w:rPr>
          <w:noProof/>
        </w:rPr>
        <w:pict w14:anchorId="4C12C082">
          <v:rect id="_x0000_i1867" style="width:0;height:1.5pt" o:hralign="center" o:hrstd="t" o:hr="t" fillcolor="#a0a0a0" stroked="f"/>
        </w:pict>
      </w:r>
    </w:p>
    <w:p w14:paraId="5A2306C2"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וּנְתָנָם יְהוָה לִפְנֵיכֶם וַעֲשִׂיתֶם לָהֶם כְּכָל־הַמִּצְוָה אֲשֶׁר צִוִּיתִי אֶתְכֶם</w:t>
      </w:r>
      <w:r>
        <w:rPr>
          <w:rtl/>
        </w:rPr>
        <w:t xml:space="preserve"> </w:t>
      </w:r>
      <w:r>
        <w:t xml:space="preserve">sind zwei Aussagen: </w:t>
      </w:r>
      <w:r>
        <w:rPr>
          <w:rStyle w:val="Fett"/>
          <w:rFonts w:eastAsiaTheme="majorEastAsia"/>
          <w:rtl/>
        </w:rPr>
        <w:t>וּנְתָנָם יְהוָה לִפְנֵיכֶם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נתן</w:t>
      </w:r>
      <w:r>
        <w:t xml:space="preserve">, Qal Perfekt, 3. Person Maskulinum Singular, mit Suffix 3. Person Maskulinum Plural, </w:t>
      </w:r>
      <w:r>
        <w:rPr>
          <w:rStyle w:val="Fett"/>
          <w:rFonts w:eastAsiaTheme="majorEastAsia"/>
          <w:rtl/>
        </w:rPr>
        <w:t>יְהוָה</w:t>
      </w:r>
      <w:r>
        <w:rPr>
          <w:rtl/>
        </w:rPr>
        <w:t xml:space="preserve"> </w:t>
      </w:r>
      <w:r>
        <w:t xml:space="preserve">als Subjekt, </w:t>
      </w:r>
      <w:r>
        <w:rPr>
          <w:rStyle w:val="Fett"/>
          <w:rFonts w:eastAsiaTheme="majorEastAsia"/>
          <w:rtl/>
        </w:rPr>
        <w:t>לִפְנֵיכֶם</w:t>
      </w:r>
      <w:r>
        <w:t xml:space="preserve">, mit </w:t>
      </w:r>
      <w:r>
        <w:rPr>
          <w:rStyle w:val="Fett"/>
          <w:rFonts w:eastAsiaTheme="majorEastAsia"/>
        </w:rPr>
        <w:t>Waw</w:t>
      </w:r>
      <w:r>
        <w:t xml:space="preserve"> consecutivum), </w:t>
      </w:r>
      <w:r>
        <w:rPr>
          <w:rStyle w:val="Fett"/>
          <w:rFonts w:eastAsiaTheme="majorEastAsia"/>
          <w:rtl/>
        </w:rPr>
        <w:t>וַעֲשִׂיתֶם לָהֶם כְּכָל־הַמִּצְוָה אֲשֶׁר צִוִּיתִי אֶתְכֶם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עשׂה</w:t>
      </w:r>
      <w:r>
        <w:t xml:space="preserve">, Qal Perfekt, 2. Person Plural, </w:t>
      </w:r>
      <w:r>
        <w:rPr>
          <w:rStyle w:val="Fett"/>
          <w:rFonts w:eastAsiaTheme="majorEastAsia"/>
          <w:rtl/>
        </w:rPr>
        <w:t>לָהֶם</w:t>
      </w:r>
      <w:r>
        <w:t xml:space="preserve">, </w:t>
      </w:r>
      <w:r>
        <w:rPr>
          <w:rStyle w:val="Fett"/>
          <w:rFonts w:eastAsiaTheme="majorEastAsia"/>
          <w:rtl/>
        </w:rPr>
        <w:t>כְּכָל־מִצְוָה</w:t>
      </w:r>
      <w:r>
        <w:rPr>
          <w:rtl/>
        </w:rPr>
        <w:t xml:space="preserve"> </w:t>
      </w:r>
      <w:r>
        <w:t xml:space="preserve">mit Artikel, Relativsatz wie üblich, mit </w:t>
      </w:r>
      <w:r>
        <w:rPr>
          <w:rStyle w:val="Fett"/>
          <w:rFonts w:eastAsiaTheme="majorEastAsia"/>
        </w:rPr>
        <w:t>Waw</w:t>
      </w:r>
      <w:r>
        <w:t xml:space="preserve"> consecutivum).</w:t>
      </w:r>
    </w:p>
    <w:p w14:paraId="0CC728C8" w14:textId="569643D1" w:rsidR="008A57FB" w:rsidRDefault="008A57FB" w:rsidP="008A57FB">
      <w:pPr>
        <w:pStyle w:val="whitespace-normal"/>
      </w:pPr>
      <w:r>
        <w:lastRenderedPageBreak/>
        <w:t xml:space="preserve">Der Vers verbindet Gottes Handeln mit Israels Verantwortung. Die erste Aussage: </w:t>
      </w:r>
      <w:r>
        <w:rPr>
          <w:rStyle w:val="Fett"/>
          <w:rFonts w:eastAsiaTheme="majorEastAsia"/>
          <w:rtl/>
        </w:rPr>
        <w:t>וּנְתָנָם יְהוָה לִפְנֵיכֶם</w:t>
      </w:r>
      <w:r>
        <w:rPr>
          <w:rtl/>
        </w:rPr>
        <w:t xml:space="preserve"> </w:t>
      </w:r>
      <w:r>
        <w:t xml:space="preserve">(„und dahingeben wird sie </w:t>
      </w:r>
      <w:r w:rsidR="00272EAD">
        <w:t>JHWH</w:t>
      </w:r>
      <w:r>
        <w:t xml:space="preserve"> vor euch"). Gott übergibt die Feinde in Israels Hand (vgl. 2,33; 3,2-3; 7,2.23). Die zweite Aussage: </w:t>
      </w:r>
      <w:r>
        <w:rPr>
          <w:rStyle w:val="Fett"/>
          <w:rFonts w:eastAsiaTheme="majorEastAsia"/>
          <w:rtl/>
        </w:rPr>
        <w:t>וַעֲשִׂיתֶם לָהֶם כְּכָל־הַמִּצְוָה אֲשֶׁר צִוִּיתִי אֶתְכֶם</w:t>
      </w:r>
      <w:r>
        <w:rPr>
          <w:rtl/>
        </w:rPr>
        <w:t xml:space="preserve"> </w:t>
      </w:r>
      <w:r>
        <w:t xml:space="preserve">(„und ihr sollt ihnen tun nach dem ganzen Gebot, das ich euch geboten habe"). Israel hat die Verantwortung, nach den Geboten zu handeln. Die Formulierung </w:t>
      </w:r>
      <w:r>
        <w:rPr>
          <w:rStyle w:val="Fett"/>
          <w:rFonts w:eastAsiaTheme="majorEastAsia"/>
          <w:rtl/>
        </w:rPr>
        <w:t>כְּכָל־הַמִּצְוָה</w:t>
      </w:r>
      <w:r>
        <w:rPr>
          <w:rtl/>
        </w:rPr>
        <w:t xml:space="preserve"> </w:t>
      </w:r>
      <w:r>
        <w:t>(„nach dem ganzen Gebot") bezieht sich wahrscheinlich auf die Kriegsgesetze in 7,1-5.16-26; 20,1-20, besonders den Bann (</w:t>
      </w:r>
      <w:r>
        <w:rPr>
          <w:rStyle w:val="Fett"/>
          <w:rFonts w:eastAsiaTheme="majorEastAsia"/>
          <w:rtl/>
        </w:rPr>
        <w:t>חֵרֶם</w:t>
      </w:r>
      <w:r>
        <w:t>) gegen die Kanaaniter (7,2).</w:t>
      </w:r>
    </w:p>
    <w:p w14:paraId="4F742E23" w14:textId="604F0436" w:rsidR="008A57FB" w:rsidRDefault="008A57FB" w:rsidP="008A57FB">
      <w:pPr>
        <w:pStyle w:val="whitespace-normal"/>
      </w:pPr>
      <w:r>
        <w:rPr>
          <w:rStyle w:val="Fett"/>
          <w:rFonts w:eastAsiaTheme="majorEastAsia"/>
        </w:rPr>
        <w:t>Die Satzstruktur:</w:t>
      </w:r>
      <w:r>
        <w:t xml:space="preserve"> Zwei Aussagen (und dahingeben wird sie </w:t>
      </w:r>
      <w:r w:rsidR="00272EAD">
        <w:t>JHWH</w:t>
      </w:r>
      <w:r>
        <w:t xml:space="preserve"> vor euch, und ihr sollt ihnen tun nach dem ganzen Gebot, das ich euch geboten habe).</w:t>
      </w:r>
    </w:p>
    <w:p w14:paraId="1BEB7E52" w14:textId="2CEC82A8" w:rsidR="008A57FB" w:rsidRDefault="008A57FB" w:rsidP="00B77CC6">
      <w:pPr>
        <w:pStyle w:val="whitespace-normal"/>
      </w:pPr>
      <w:r>
        <w:rPr>
          <w:rStyle w:val="Fett"/>
          <w:rFonts w:eastAsiaTheme="majorEastAsia"/>
        </w:rPr>
        <w:t>Der Vers beschreibt:</w:t>
      </w:r>
      <w:r>
        <w:t xml:space="preserve"> Gottes Handeln und Israels Verantwortung – Gott gibt die Feinde dahin, Israel soll nach den Geboten handeln.</w:t>
      </w:r>
    </w:p>
    <w:p w14:paraId="3459C00B" w14:textId="77777777" w:rsidR="008A57FB" w:rsidRPr="008D48A3" w:rsidRDefault="008A57FB" w:rsidP="008D48A3">
      <w:pPr>
        <w:pStyle w:val="Bibelberschrift"/>
      </w:pPr>
      <w:r w:rsidRPr="008D48A3">
        <w:rPr>
          <w:rStyle w:val="Fett"/>
          <w:b/>
          <w:bCs w:val="0"/>
        </w:rPr>
        <w:t>Deuteronomium 31,6</w:t>
      </w:r>
    </w:p>
    <w:p w14:paraId="72293EEF" w14:textId="77777777" w:rsidR="008A57FB" w:rsidRDefault="008A57FB" w:rsidP="008A57FB">
      <w:pPr>
        <w:pStyle w:val="whitespace-normal"/>
      </w:pPr>
      <w:r>
        <w:rPr>
          <w:rStyle w:val="Fett"/>
          <w:rFonts w:eastAsiaTheme="majorEastAsia"/>
        </w:rPr>
        <w:t>Hebräisch:</w:t>
      </w:r>
      <w:r>
        <w:t xml:space="preserve"> </w:t>
      </w:r>
      <w:r>
        <w:rPr>
          <w:rtl/>
        </w:rPr>
        <w:t>חִזְקוּ וְאִמְצוּ אַל־תִּירְאוּ וְאַל־תַּעַרְצוּ מִפְּנֵיהֶם כִּי יְהוָה אֱלֹהֶיךָ הוּא הַהֹלֵךְ עִמָּךְ לֹא יַרְפְּךָ וְלֹא יַעַזְבֶךָּ׃</w:t>
      </w:r>
    </w:p>
    <w:p w14:paraId="336047F8" w14:textId="77777777" w:rsidR="008A57FB" w:rsidRDefault="008A57FB" w:rsidP="008A57FB">
      <w:pPr>
        <w:pStyle w:val="whitespace-normal"/>
      </w:pPr>
      <w:r>
        <w:rPr>
          <w:rStyle w:val="Fett"/>
          <w:rFonts w:eastAsiaTheme="majorEastAsia"/>
        </w:rPr>
        <w:t>Deutsch:</w:t>
      </w:r>
      <w:r>
        <w:t xml:space="preserve"> Seid stark und mutig, fürchtet euch nicht und erschreckt nicht vor ihnen! Denn der Ewige, dein Gott, er ist es, der mit dir geht; er wird dich nicht aufgeben und dich nicht verlassen.</w:t>
      </w:r>
    </w:p>
    <w:p w14:paraId="0FB5B35D" w14:textId="77777777" w:rsidR="008A57FB" w:rsidRDefault="004F5CEB" w:rsidP="008A57FB">
      <w:r>
        <w:rPr>
          <w:noProof/>
        </w:rPr>
        <w:pict w14:anchorId="16496ED0">
          <v:rect id="_x0000_i1868" style="width:0;height:1.5pt" o:hralign="center" o:hrstd="t" o:hr="t" fillcolor="#a0a0a0" stroked="f"/>
        </w:pict>
      </w:r>
    </w:p>
    <w:p w14:paraId="48AEA816"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חִזְקוּ וְאִמְצוּ אַל־תִּירְאוּ וְאַל־תַּעַרְצוּ מִפְּנֵיהֶם כִּי יְהוָה אֱלֹהֶיךָ הוּא הַהֹלֵךְ עִמָּךְ לֹא יַרְפְּךָ וְלֹא יַעַזְבֶךָּ</w:t>
      </w:r>
      <w:r>
        <w:rPr>
          <w:rtl/>
        </w:rPr>
        <w:t xml:space="preserve"> </w:t>
      </w:r>
      <w:r>
        <w:t xml:space="preserve">sind vier Imperative/Prohibitive und Begründung: </w:t>
      </w:r>
      <w:r>
        <w:rPr>
          <w:rStyle w:val="Fett"/>
          <w:rFonts w:eastAsiaTheme="majorEastAsia"/>
          <w:rtl/>
        </w:rPr>
        <w:t>חִזְקוּ וְאִמְצוּ</w:t>
      </w:r>
      <w:r>
        <w:rPr>
          <w:rtl/>
        </w:rPr>
        <w:t xml:space="preserve"> </w:t>
      </w:r>
      <w:r>
        <w:t>(</w:t>
      </w:r>
      <w:r>
        <w:rPr>
          <w:rStyle w:val="Fett"/>
          <w:rFonts w:eastAsiaTheme="majorEastAsia"/>
          <w:rtl/>
        </w:rPr>
        <w:t>חזק</w:t>
      </w:r>
      <w:r>
        <w:t xml:space="preserve">, Qal Imperativ, Maskulinum Plural, „stark sein", koordiniert durch </w:t>
      </w:r>
      <w:r>
        <w:rPr>
          <w:rStyle w:val="Fett"/>
          <w:rFonts w:eastAsiaTheme="majorEastAsia"/>
          <w:rtl/>
        </w:rPr>
        <w:t>וְ</w:t>
      </w:r>
      <w:r>
        <w:rPr>
          <w:rtl/>
        </w:rPr>
        <w:t xml:space="preserve"> </w:t>
      </w:r>
      <w:r>
        <w:t xml:space="preserve">mit </w:t>
      </w:r>
      <w:r>
        <w:rPr>
          <w:rStyle w:val="Fett"/>
          <w:rFonts w:eastAsiaTheme="majorEastAsia"/>
          <w:rtl/>
        </w:rPr>
        <w:t>אמץ</w:t>
      </w:r>
      <w:r>
        <w:t xml:space="preserve">, Qal Imperativ, Maskulinum Plural, „mutig sein, fest sein"), </w:t>
      </w:r>
      <w:r>
        <w:rPr>
          <w:rStyle w:val="Fett"/>
          <w:rFonts w:eastAsiaTheme="majorEastAsia"/>
          <w:rtl/>
        </w:rPr>
        <w:t>אַל־תִּירְאוּ וְאַל־תַּעַרְצוּ מִפְּנֵיהֶם</w:t>
      </w:r>
      <w:r>
        <w:rPr>
          <w:rtl/>
        </w:rPr>
        <w:t xml:space="preserve"> </w:t>
      </w:r>
      <w:r>
        <w:t xml:space="preserve">(Prohibitiv mit </w:t>
      </w:r>
      <w:r>
        <w:rPr>
          <w:rStyle w:val="Fett"/>
          <w:rFonts w:eastAsiaTheme="majorEastAsia"/>
          <w:rtl/>
        </w:rPr>
        <w:t>אַל</w:t>
      </w:r>
      <w:r>
        <w:t xml:space="preserve">, </w:t>
      </w:r>
      <w:r>
        <w:rPr>
          <w:rStyle w:val="Fett"/>
          <w:rFonts w:eastAsiaTheme="majorEastAsia"/>
          <w:rtl/>
        </w:rPr>
        <w:t>ירא</w:t>
      </w:r>
      <w:r>
        <w:t xml:space="preserve">, Qal Imperfekt, 2. Person Plural, koordiniert durch </w:t>
      </w:r>
      <w:r>
        <w:rPr>
          <w:rStyle w:val="Fett"/>
          <w:rFonts w:eastAsiaTheme="majorEastAsia"/>
          <w:rtl/>
        </w:rPr>
        <w:t>וְ</w:t>
      </w:r>
      <w:r>
        <w:rPr>
          <w:rtl/>
        </w:rPr>
        <w:t xml:space="preserve"> </w:t>
      </w:r>
      <w:r>
        <w:t xml:space="preserve">mit Prohibitiv </w:t>
      </w:r>
      <w:r>
        <w:rPr>
          <w:rStyle w:val="Fett"/>
          <w:rFonts w:eastAsiaTheme="majorEastAsia"/>
          <w:rtl/>
        </w:rPr>
        <w:t>אַל</w:t>
      </w:r>
      <w:r>
        <w:t xml:space="preserve">, </w:t>
      </w:r>
      <w:r>
        <w:rPr>
          <w:rStyle w:val="Fett"/>
          <w:rFonts w:eastAsiaTheme="majorEastAsia"/>
          <w:rtl/>
        </w:rPr>
        <w:t>ערץ</w:t>
      </w:r>
      <w:r>
        <w:t xml:space="preserve">, Qal Imperfekt, 2. Person Plural, „erschrecken, in Panik geraten", </w:t>
      </w:r>
      <w:r>
        <w:rPr>
          <w:rStyle w:val="Fett"/>
          <w:rFonts w:eastAsiaTheme="majorEastAsia"/>
          <w:rtl/>
        </w:rPr>
        <w:t>מִפְּנֵיהֶם</w:t>
      </w:r>
      <w:r>
        <w:t xml:space="preserve">), </w:t>
      </w:r>
      <w:r>
        <w:rPr>
          <w:rStyle w:val="Fett"/>
          <w:rFonts w:eastAsiaTheme="majorEastAsia"/>
          <w:rtl/>
        </w:rPr>
        <w:t>כִּי יְהוָה אֱלֹהֶיךָ הוּא הַהֹלֵךְ עִמָּךְ לֹא יַרְפְּךָ וְלֹא יַעַזְבֶךָּ</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יְהוָה אֱלֹהֶיךָ הוּא</w:t>
      </w:r>
      <w:r>
        <w:t xml:space="preserve">, </w:t>
      </w:r>
      <w:r>
        <w:rPr>
          <w:rStyle w:val="Fett"/>
          <w:rFonts w:eastAsiaTheme="majorEastAsia"/>
          <w:rtl/>
        </w:rPr>
        <w:t>הלך</w:t>
      </w:r>
      <w:r>
        <w:t xml:space="preserve">, Qal Partizip Maskulinum Singular mit Artikel, </w:t>
      </w:r>
      <w:r>
        <w:rPr>
          <w:rStyle w:val="Fett"/>
          <w:rFonts w:eastAsiaTheme="majorEastAsia"/>
          <w:rtl/>
        </w:rPr>
        <w:t>עִמָּךְ</w:t>
      </w:r>
      <w:r>
        <w:t xml:space="preserve">, zwei negative Aussagen: Negation, </w:t>
      </w:r>
      <w:r>
        <w:rPr>
          <w:rStyle w:val="Fett"/>
          <w:rFonts w:eastAsiaTheme="majorEastAsia"/>
          <w:rtl/>
        </w:rPr>
        <w:t>רפה</w:t>
      </w:r>
      <w:r>
        <w:t xml:space="preserve">, Hiphil Imperfekt, 3. Person Maskulinum Singular, mit Suffix 2. Person Maskulinum Singular, „loslassen, aufgeben", koordiniert mit Negation, </w:t>
      </w:r>
      <w:r>
        <w:rPr>
          <w:rStyle w:val="Fett"/>
          <w:rFonts w:eastAsiaTheme="majorEastAsia"/>
          <w:rtl/>
        </w:rPr>
        <w:t>עזב</w:t>
      </w:r>
      <w:r>
        <w:t xml:space="preserve">, Qal Imperfekt, 3. Person Maskulinum Singular, mit Suffix, „verlassen"). Die </w:t>
      </w:r>
      <w:r>
        <w:rPr>
          <w:rStyle w:val="Fett"/>
          <w:rFonts w:eastAsiaTheme="majorEastAsia"/>
        </w:rPr>
        <w:t>Petucha</w:t>
      </w:r>
      <w:r>
        <w:t xml:space="preserve"> (</w:t>
      </w:r>
      <w:r>
        <w:rPr>
          <w:rtl/>
        </w:rPr>
        <w:t>פ</w:t>
      </w:r>
      <w:r>
        <w:t>) markiert das Ende dieses Abschnitts (V. 1-6).</w:t>
      </w:r>
    </w:p>
    <w:p w14:paraId="6F7341C2" w14:textId="1B61811D" w:rsidR="008A57FB" w:rsidRDefault="008A57FB" w:rsidP="008A57FB">
      <w:pPr>
        <w:pStyle w:val="whitespace-normal"/>
      </w:pPr>
      <w:r>
        <w:t xml:space="preserve">Der Vers ist Moses Ermutigung an ganz Israel. Die vier Imperative/Prohibitive: </w:t>
      </w:r>
      <w:r>
        <w:rPr>
          <w:rStyle w:val="Fett"/>
          <w:rFonts w:eastAsiaTheme="majorEastAsia"/>
          <w:rtl/>
        </w:rPr>
        <w:t>חִזְקוּ וְאִמְצוּ אַל־תִּירְאוּ וְאַל־תַּעַרְצוּ מִפְּנֵיהֶם</w:t>
      </w:r>
      <w:r>
        <w:rPr>
          <w:rtl/>
        </w:rPr>
        <w:t xml:space="preserve"> </w:t>
      </w:r>
      <w:r>
        <w:t xml:space="preserve">(„seid stark und mutig, fürchtet euch nicht und erschreckt nicht vor ihnen"). Die beiden positiven Imperative </w:t>
      </w:r>
      <w:r>
        <w:rPr>
          <w:rStyle w:val="Fett"/>
          <w:rFonts w:eastAsiaTheme="majorEastAsia"/>
          <w:rtl/>
        </w:rPr>
        <w:t>חזק ואמץ</w:t>
      </w:r>
      <w:r>
        <w:rPr>
          <w:rtl/>
        </w:rPr>
        <w:t xml:space="preserve"> </w:t>
      </w:r>
      <w:r>
        <w:t xml:space="preserve">sind eine klassische Formel (vgl. V. 7.23; Jos 1,6-7.9.18; 10,25; </w:t>
      </w:r>
      <w:r w:rsidR="00664EB6">
        <w:t>1Chr</w:t>
      </w:r>
      <w:r>
        <w:t xml:space="preserve"> 22,13; 28,20; </w:t>
      </w:r>
      <w:r w:rsidR="00664EB6">
        <w:t>2Chr</w:t>
      </w:r>
      <w:r>
        <w:t xml:space="preserve"> 32,7). Die beiden Prohibitive </w:t>
      </w:r>
      <w:r>
        <w:rPr>
          <w:rStyle w:val="Fett"/>
          <w:rFonts w:eastAsiaTheme="majorEastAsia"/>
          <w:rtl/>
        </w:rPr>
        <w:t>אל־תיראו ואל־תערצו</w:t>
      </w:r>
      <w:r>
        <w:rPr>
          <w:rtl/>
        </w:rPr>
        <w:t xml:space="preserve"> </w:t>
      </w:r>
      <w:r>
        <w:t xml:space="preserve">sind ebenfalls eine Formel (vgl. 1,21.29; 7,18; 20,1.3; Jos 8,1; 10,25). Die Begründung: </w:t>
      </w:r>
      <w:r>
        <w:rPr>
          <w:rStyle w:val="Fett"/>
          <w:rFonts w:eastAsiaTheme="majorEastAsia"/>
          <w:rtl/>
        </w:rPr>
        <w:t>כִּי יְהוָה אֱלֹהֶיךָ הוּא הַהֹלֵךְ עִמָּךְ לֹא יַרְפְּךָ וְלֹא יַעַזְבֶךָּ</w:t>
      </w:r>
      <w:r>
        <w:rPr>
          <w:rtl/>
        </w:rPr>
        <w:t xml:space="preserve"> </w:t>
      </w:r>
      <w:r>
        <w:t xml:space="preserve">(„denn </w:t>
      </w:r>
      <w:r w:rsidR="00272EAD">
        <w:t>JHWH</w:t>
      </w:r>
      <w:r>
        <w:t xml:space="preserve">, dein Gott, er ist es, der mit dir geht; nicht wird er dich aufgeben und nicht wird er dich verlassen"). Die Betonung </w:t>
      </w:r>
      <w:r>
        <w:rPr>
          <w:rStyle w:val="Fett"/>
          <w:rFonts w:eastAsiaTheme="majorEastAsia"/>
          <w:rtl/>
        </w:rPr>
        <w:t>הוּא</w:t>
      </w:r>
      <w:r>
        <w:rPr>
          <w:rtl/>
        </w:rPr>
        <w:t xml:space="preserve"> </w:t>
      </w:r>
      <w:r>
        <w:t xml:space="preserve">(„er") verstärkt. Die Formulierung </w:t>
      </w:r>
      <w:r>
        <w:rPr>
          <w:rStyle w:val="Fett"/>
          <w:rFonts w:eastAsiaTheme="majorEastAsia"/>
          <w:rtl/>
        </w:rPr>
        <w:t>הַהֹלֵךְ עִמָּךְ</w:t>
      </w:r>
      <w:r>
        <w:rPr>
          <w:rtl/>
        </w:rPr>
        <w:t xml:space="preserve"> </w:t>
      </w:r>
      <w:r>
        <w:t xml:space="preserve">(„der mit dir geht") betont Gottes begleitende Gegenwart (vgl. 2,7; 20,4; 23,15; Jos 1,5.9). Die beiden Verben </w:t>
      </w:r>
      <w:r>
        <w:rPr>
          <w:rStyle w:val="Fett"/>
          <w:rFonts w:eastAsiaTheme="majorEastAsia"/>
          <w:rtl/>
        </w:rPr>
        <w:t>רפה</w:t>
      </w:r>
      <w:r>
        <w:rPr>
          <w:rtl/>
        </w:rPr>
        <w:t xml:space="preserve"> </w:t>
      </w:r>
      <w:r>
        <w:t xml:space="preserve">(„loslassen, aufgeben") und </w:t>
      </w:r>
      <w:r>
        <w:rPr>
          <w:rStyle w:val="Fett"/>
          <w:rFonts w:eastAsiaTheme="majorEastAsia"/>
          <w:rtl/>
        </w:rPr>
        <w:t>עזב</w:t>
      </w:r>
      <w:r>
        <w:rPr>
          <w:rtl/>
        </w:rPr>
        <w:t xml:space="preserve"> </w:t>
      </w:r>
      <w:r>
        <w:t xml:space="preserve">(„verlassen") sind synonyme Parallelausdrücke (vgl. V. 8; Jos 1,5; </w:t>
      </w:r>
      <w:r w:rsidR="00664EB6">
        <w:t>1Chr</w:t>
      </w:r>
      <w:r>
        <w:t xml:space="preserve"> 28,20).</w:t>
      </w:r>
    </w:p>
    <w:p w14:paraId="4E717EF2" w14:textId="5734CAA7" w:rsidR="00C367A0" w:rsidRDefault="00C367A0" w:rsidP="008A57FB">
      <w:pPr>
        <w:pStyle w:val="whitespace-normal"/>
      </w:pPr>
      <w:r>
        <w:rPr>
          <w:rStyle w:val="Fett"/>
        </w:rPr>
        <w:lastRenderedPageBreak/>
        <w:t>Die LXX</w:t>
      </w:r>
      <w:r>
        <w:t xml:space="preserve"> übersetzt </w:t>
      </w:r>
      <w:r>
        <w:rPr>
          <w:rtl/>
        </w:rPr>
        <w:t>חִזְקוּ וְאִמְצוּ</w:t>
      </w:r>
      <w:r>
        <w:t xml:space="preserve"> (seid stark und mutig) mit </w:t>
      </w:r>
      <w:proofErr w:type="spellStart"/>
      <w:r>
        <w:t>ἀνδρίζου</w:t>
      </w:r>
      <w:proofErr w:type="spellEnd"/>
      <w:r>
        <w:t xml:space="preserve"> καὶ </w:t>
      </w:r>
      <w:proofErr w:type="spellStart"/>
      <w:r>
        <w:t>ἴσχυε</w:t>
      </w:r>
      <w:proofErr w:type="spellEnd"/>
      <w:r>
        <w:t xml:space="preserve"> (sei mannhaft und stark) – wobei </w:t>
      </w:r>
      <w:proofErr w:type="spellStart"/>
      <w:r>
        <w:t>ἀνδρίζομ</w:t>
      </w:r>
      <w:proofErr w:type="spellEnd"/>
      <w:r>
        <w:t xml:space="preserve">αι "sich wie ein Mann verhalten, mannhaft sein" bedeutet. Das Verb </w:t>
      </w:r>
      <w:r>
        <w:rPr>
          <w:rtl/>
        </w:rPr>
        <w:t>תַּעַרְצוּ</w:t>
      </w:r>
      <w:r>
        <w:t xml:space="preserve"> (fürchtet euch/erschreckt) wird mit π</w:t>
      </w:r>
      <w:proofErr w:type="spellStart"/>
      <w:r>
        <w:t>τοηθῇς</w:t>
      </w:r>
      <w:proofErr w:type="spellEnd"/>
      <w:r>
        <w:t xml:space="preserve"> (erschreckt werdet) übersetzt – ein stärkeres Verb für plötzlichen Schrecken.</w:t>
      </w:r>
    </w:p>
    <w:p w14:paraId="33AEB3A7" w14:textId="0CF0FA86" w:rsidR="008A57FB" w:rsidRDefault="008A57FB" w:rsidP="008A57FB">
      <w:pPr>
        <w:pStyle w:val="whitespace-normal"/>
      </w:pPr>
      <w:r>
        <w:rPr>
          <w:rStyle w:val="Fett"/>
          <w:rFonts w:eastAsiaTheme="majorEastAsia"/>
        </w:rPr>
        <w:t>Die Satzstruktur:</w:t>
      </w:r>
      <w:r>
        <w:t xml:space="preserve"> Vier Imperative/Prohibitive und Begründung (seid stark und mutig, fürchtet euch nicht und erschreckt nicht vor ihnen; denn </w:t>
      </w:r>
      <w:r w:rsidR="00272EAD">
        <w:t>JHWH</w:t>
      </w:r>
      <w:r>
        <w:t>, dein Gott, er ist es, der mit dir geht; nicht wird er dich aufgeben und nicht wird er dich verlassen).</w:t>
      </w:r>
    </w:p>
    <w:p w14:paraId="2F15DEB3" w14:textId="78A349D1" w:rsidR="008A57FB" w:rsidRDefault="008A57FB" w:rsidP="00B77CC6">
      <w:pPr>
        <w:pStyle w:val="whitespace-normal"/>
      </w:pPr>
      <w:r>
        <w:rPr>
          <w:rStyle w:val="Fett"/>
          <w:rFonts w:eastAsiaTheme="majorEastAsia"/>
        </w:rPr>
        <w:t>Der Vers beschreibt:</w:t>
      </w:r>
      <w:r>
        <w:t xml:space="preserve"> Ermutigung an ganz Israel – Stärke, Mut, keine Furcht, weil Gott mitgeht und nicht verlässt.</w:t>
      </w:r>
    </w:p>
    <w:p w14:paraId="750D34BE" w14:textId="77777777" w:rsidR="008A57FB" w:rsidRPr="008D48A3" w:rsidRDefault="008A57FB" w:rsidP="008D48A3">
      <w:pPr>
        <w:pStyle w:val="Bibelberschrift"/>
      </w:pPr>
      <w:r w:rsidRPr="008D48A3">
        <w:rPr>
          <w:rStyle w:val="Fett"/>
          <w:b/>
          <w:bCs w:val="0"/>
        </w:rPr>
        <w:t>Deuteronomium 31,7</w:t>
      </w:r>
    </w:p>
    <w:p w14:paraId="16AD5450" w14:textId="77777777" w:rsidR="008A57FB" w:rsidRDefault="008A57FB" w:rsidP="008A57FB">
      <w:pPr>
        <w:pStyle w:val="whitespace-normal"/>
      </w:pPr>
      <w:r>
        <w:rPr>
          <w:rStyle w:val="Fett"/>
          <w:rFonts w:eastAsiaTheme="majorEastAsia"/>
        </w:rPr>
        <w:t>Hebräisch:</w:t>
      </w:r>
      <w:r>
        <w:t xml:space="preserve"> </w:t>
      </w:r>
      <w:r>
        <w:rPr>
          <w:rtl/>
        </w:rPr>
        <w:t>וַיִּקְרָא מֹשֶׁה לִיהוֹשֻׁעַ וַיֹּאמֶר אֵלָיו לְעֵינֵי כָל־יִשְׂרָאֵל חֲזַק וֶאֱמָץ כִּי אַתָּה תָּבוֹא אֶת־הָעָם הַזֶּה אֶל־הָאָרֶץ אֲשֶׁר נִשְׁבַּע יְהוָה לַאֲבֹתָם לָתֵת לָהֶם וְאַתָּה תַּנְחִילֶנָּה אוֹתָם׃</w:t>
      </w:r>
    </w:p>
    <w:p w14:paraId="12883B23" w14:textId="77777777" w:rsidR="008A57FB" w:rsidRDefault="008A57FB" w:rsidP="008A57FB">
      <w:pPr>
        <w:pStyle w:val="whitespace-normal"/>
      </w:pPr>
      <w:r>
        <w:rPr>
          <w:rStyle w:val="Fett"/>
          <w:rFonts w:eastAsiaTheme="majorEastAsia"/>
        </w:rPr>
        <w:t>Deutsch:</w:t>
      </w:r>
      <w:r>
        <w:t xml:space="preserve"> Und Mosche rief Josua und sprach zu ihm vor den Augen von ganz Israel: Sei stark und mutig! Denn du, du wirst mit diesem Volk in das Land kommen, das der Ewige ihren Vätern geschworen hat, ihnen zu geben; und du, du wirst es ihnen als Erbe austeilen.</w:t>
      </w:r>
    </w:p>
    <w:p w14:paraId="0F51586D" w14:textId="77777777" w:rsidR="008A57FB" w:rsidRDefault="004F5CEB" w:rsidP="008A57FB">
      <w:r>
        <w:rPr>
          <w:noProof/>
        </w:rPr>
        <w:pict w14:anchorId="48CCC613">
          <v:rect id="_x0000_i1869" style="width:0;height:1.5pt" o:hralign="center" o:hrstd="t" o:hr="t" fillcolor="#a0a0a0" stroked="f"/>
        </w:pict>
      </w:r>
    </w:p>
    <w:p w14:paraId="3EBA159B"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וַיִּקְרָא מֹשֶׁה לִיהוֹשֻׁעַ וַיֹּאמֶר אֵלָיו לְעֵינֵי כָל־יִשְׂרָאֵל חֲזַק וֶאֱמָץ כִּי אַתָּה תָּבוֹא אֶת־הָעָם הַזֶּה אֶל־הָאָרֶץ אֲשֶׁר נִשְׁבַּע יְהוָה לַאֲבֹתָם לָתֵת לָהֶם וְאַתָּה תַּנְחִילֶנָּה אוֹתָם</w:t>
      </w:r>
      <w:r>
        <w:rPr>
          <w:rtl/>
        </w:rPr>
        <w:t xml:space="preserve"> </w:t>
      </w:r>
      <w:r>
        <w:t xml:space="preserve">sind Einleitung, Imperative und Begründung: </w:t>
      </w:r>
      <w:r>
        <w:rPr>
          <w:rStyle w:val="Fett"/>
          <w:rFonts w:eastAsiaTheme="majorEastAsia"/>
          <w:rtl/>
        </w:rPr>
        <w:t>וַיִּקְרָא מֹשֶׁה לִיהוֹשֻׁעַ וַיֹּאמֶר אֵלָיו לְעֵינֵי כָל־יִשְׂרָאֵל</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קרא</w:t>
      </w:r>
      <w:r>
        <w:t xml:space="preserve">, Qal Imperfekt mit </w:t>
      </w:r>
      <w:r>
        <w:rPr>
          <w:rStyle w:val="Fett"/>
          <w:rFonts w:eastAsiaTheme="majorEastAsia"/>
        </w:rPr>
        <w:t>Waw</w:t>
      </w:r>
      <w:r>
        <w:t xml:space="preserve"> consecutivum, 3. Person Maskulinum Singular, </w:t>
      </w:r>
      <w:r>
        <w:rPr>
          <w:rStyle w:val="Fett"/>
          <w:rFonts w:eastAsiaTheme="majorEastAsia"/>
          <w:rtl/>
        </w:rPr>
        <w:t>מֹשֶׁה</w:t>
      </w:r>
      <w:r>
        <w:rPr>
          <w:rtl/>
        </w:rPr>
        <w:t xml:space="preserve"> </w:t>
      </w:r>
      <w:r>
        <w:t xml:space="preserve">als Subjekt, </w:t>
      </w:r>
      <w:r>
        <w:rPr>
          <w:rStyle w:val="Fett"/>
          <w:rFonts w:eastAsiaTheme="majorEastAsia"/>
          <w:rtl/>
        </w:rPr>
        <w:t>לִיהוֹשֻׁעַ</w:t>
      </w:r>
      <w:r>
        <w:t xml:space="preserve">, koordiniert durch </w:t>
      </w:r>
      <w:r>
        <w:rPr>
          <w:rStyle w:val="Fett"/>
          <w:rFonts w:eastAsiaTheme="majorEastAsia"/>
          <w:rtl/>
        </w:rPr>
        <w:t>וְ</w:t>
      </w:r>
      <w:r>
        <w:rPr>
          <w:rtl/>
        </w:rPr>
        <w:t xml:space="preserve"> </w:t>
      </w:r>
      <w:r>
        <w:t xml:space="preserve">mit </w:t>
      </w:r>
      <w:r>
        <w:rPr>
          <w:rStyle w:val="Fett"/>
          <w:rFonts w:eastAsiaTheme="majorEastAsia"/>
          <w:rtl/>
        </w:rPr>
        <w:t>אמר</w:t>
      </w:r>
      <w:r>
        <w:t xml:space="preserve">, Qal Imperfekt mit </w:t>
      </w:r>
      <w:r>
        <w:rPr>
          <w:rStyle w:val="Fett"/>
          <w:rFonts w:eastAsiaTheme="majorEastAsia"/>
        </w:rPr>
        <w:t>Waw</w:t>
      </w:r>
      <w:r>
        <w:t xml:space="preserve"> consecutivum, 3. Person Maskulinum Singular, </w:t>
      </w:r>
      <w:r>
        <w:rPr>
          <w:rStyle w:val="Fett"/>
          <w:rFonts w:eastAsiaTheme="majorEastAsia"/>
          <w:rtl/>
        </w:rPr>
        <w:t>אֵלָיו</w:t>
      </w:r>
      <w:r>
        <w:t xml:space="preserve">, </w:t>
      </w:r>
      <w:r>
        <w:rPr>
          <w:rStyle w:val="Fett"/>
          <w:rFonts w:eastAsiaTheme="majorEastAsia"/>
          <w:rtl/>
        </w:rPr>
        <w:t>לְעֵינֵי כָל־יִשְׂרָאֵל</w:t>
      </w:r>
      <w:r>
        <w:t xml:space="preserve">), </w:t>
      </w:r>
      <w:r>
        <w:rPr>
          <w:rStyle w:val="Fett"/>
          <w:rFonts w:eastAsiaTheme="majorEastAsia"/>
          <w:rtl/>
        </w:rPr>
        <w:t>חֲזַק וֶאֱמָץ</w:t>
      </w:r>
      <w:r>
        <w:rPr>
          <w:rtl/>
        </w:rPr>
        <w:t xml:space="preserve"> </w:t>
      </w:r>
      <w:r>
        <w:t xml:space="preserve">(beide Qal Imperativ, Maskulinum Singular), </w:t>
      </w:r>
      <w:r>
        <w:rPr>
          <w:rStyle w:val="Fett"/>
          <w:rFonts w:eastAsiaTheme="majorEastAsia"/>
          <w:rtl/>
        </w:rPr>
        <w:t>כִּי אַתָּה תָּבוֹא אֶת־הָעָם הַזֶּה אֶל־הָאָרֶץ אֲשֶׁר נִשְׁבַּע יְהוָה לַאֲבֹתָם לָתֵת לָהֶם וְאַתָּה תַּנְחִילֶנָּה אוֹתָם</w:t>
      </w:r>
      <w:r>
        <w:rPr>
          <w:rtl/>
        </w:rPr>
        <w:t xml:space="preserve"> </w:t>
      </w:r>
      <w:r>
        <w:t xml:space="preserve">(Kausalsatz: </w:t>
      </w:r>
      <w:r>
        <w:rPr>
          <w:rStyle w:val="Fett"/>
          <w:rFonts w:eastAsiaTheme="majorEastAsia"/>
          <w:rtl/>
        </w:rPr>
        <w:t>כִּי אַתָּה</w:t>
      </w:r>
      <w:r>
        <w:t xml:space="preserve">, </w:t>
      </w:r>
      <w:r>
        <w:rPr>
          <w:rStyle w:val="Fett"/>
          <w:rFonts w:eastAsiaTheme="majorEastAsia"/>
          <w:rtl/>
        </w:rPr>
        <w:t>בוא</w:t>
      </w:r>
      <w:r>
        <w:t xml:space="preserve">, Qal Imperfekt, 2. Person Maskulinum Singular, Objektpartikel </w:t>
      </w:r>
      <w:r>
        <w:rPr>
          <w:rStyle w:val="Fett"/>
          <w:rFonts w:eastAsiaTheme="majorEastAsia"/>
          <w:rtl/>
        </w:rPr>
        <w:t>אֵת</w:t>
      </w:r>
      <w:r>
        <w:rPr>
          <w:rtl/>
        </w:rPr>
        <w:t xml:space="preserve"> </w:t>
      </w:r>
      <w:r>
        <w:t xml:space="preserve">mit </w:t>
      </w:r>
      <w:r>
        <w:rPr>
          <w:rStyle w:val="Fett"/>
          <w:rFonts w:eastAsiaTheme="majorEastAsia"/>
          <w:rtl/>
        </w:rPr>
        <w:t>עַם</w:t>
      </w:r>
      <w:r>
        <w:rPr>
          <w:rtl/>
        </w:rPr>
        <w:t xml:space="preserve"> </w:t>
      </w:r>
      <w:r>
        <w:t xml:space="preserve">mit Artikel, </w:t>
      </w:r>
      <w:r>
        <w:rPr>
          <w:rStyle w:val="Fett"/>
          <w:rFonts w:eastAsiaTheme="majorEastAsia"/>
          <w:rtl/>
        </w:rPr>
        <w:t>זֶה</w:t>
      </w:r>
      <w:r>
        <w:t xml:space="preserve">, </w:t>
      </w:r>
      <w:r>
        <w:rPr>
          <w:rStyle w:val="Fett"/>
          <w:rFonts w:eastAsiaTheme="majorEastAsia"/>
          <w:rtl/>
        </w:rPr>
        <w:t>אֶל־הָאָרֶץ</w:t>
      </w:r>
      <w:r>
        <w:t xml:space="preserve">, Relativsatz wie üblich mit Finalsatz </w:t>
      </w:r>
      <w:r>
        <w:rPr>
          <w:rStyle w:val="Fett"/>
          <w:rFonts w:eastAsiaTheme="majorEastAsia"/>
          <w:rtl/>
        </w:rPr>
        <w:t>לָתֵת לָהֶם</w:t>
      </w:r>
      <w:r>
        <w:t xml:space="preserve">, koordiniert durch </w:t>
      </w:r>
      <w:r>
        <w:rPr>
          <w:rStyle w:val="Fett"/>
          <w:rFonts w:eastAsiaTheme="majorEastAsia"/>
          <w:rtl/>
        </w:rPr>
        <w:t>וְ</w:t>
      </w:r>
      <w:r>
        <w:rPr>
          <w:rtl/>
        </w:rPr>
        <w:t xml:space="preserve"> </w:t>
      </w:r>
      <w:r>
        <w:t xml:space="preserve">mit </w:t>
      </w:r>
      <w:r>
        <w:rPr>
          <w:rStyle w:val="Fett"/>
          <w:rFonts w:eastAsiaTheme="majorEastAsia"/>
          <w:rtl/>
        </w:rPr>
        <w:t>אַתָּה</w:t>
      </w:r>
      <w:r>
        <w:t xml:space="preserve">, </w:t>
      </w:r>
      <w:r>
        <w:rPr>
          <w:rStyle w:val="Fett"/>
          <w:rFonts w:eastAsiaTheme="majorEastAsia"/>
          <w:rtl/>
        </w:rPr>
        <w:t>נחל</w:t>
      </w:r>
      <w:r>
        <w:t xml:space="preserve">, Hiphil Imperfekt, 2. Person Maskulinum Singular, mit Suffix 3. Person Femininum Singular, „als Erbe austeilen, zum Erbe geben", Objektpartikel </w:t>
      </w:r>
      <w:r>
        <w:rPr>
          <w:rStyle w:val="Fett"/>
          <w:rFonts w:eastAsiaTheme="majorEastAsia"/>
          <w:rtl/>
        </w:rPr>
        <w:t>אֵת</w:t>
      </w:r>
      <w:r>
        <w:rPr>
          <w:rtl/>
        </w:rPr>
        <w:t xml:space="preserve"> </w:t>
      </w:r>
      <w:r>
        <w:t>mit Suffix 3. Person Maskulinum Plural).</w:t>
      </w:r>
    </w:p>
    <w:p w14:paraId="03DBA425" w14:textId="4A6830BE" w:rsidR="008A57FB" w:rsidRDefault="008A57FB" w:rsidP="008A57FB">
      <w:pPr>
        <w:pStyle w:val="whitespace-normal"/>
      </w:pPr>
      <w:r>
        <w:t xml:space="preserve">Der Vers beschreibt Moses öffentliche Einsetzung Josuas. Die Einleitung: </w:t>
      </w:r>
      <w:r>
        <w:rPr>
          <w:rStyle w:val="Fett"/>
          <w:rFonts w:eastAsiaTheme="majorEastAsia"/>
          <w:rtl/>
        </w:rPr>
        <w:t>וַיִּקְרָא מֹשֶׁה לִיהוֹשֻׁעַ וַיֹּאמֶר אֵלָיו לְעֵינֵי כָל־יִשְׂרָאֵל</w:t>
      </w:r>
      <w:r>
        <w:rPr>
          <w:rtl/>
        </w:rPr>
        <w:t xml:space="preserve"> </w:t>
      </w:r>
      <w:r>
        <w:t xml:space="preserve">(„und Mosche rief Josua und sprach zu ihm vor den Augen von ganz Israel"). Die Formulierung </w:t>
      </w:r>
      <w:r>
        <w:rPr>
          <w:rStyle w:val="Fett"/>
          <w:rFonts w:eastAsiaTheme="majorEastAsia"/>
          <w:rtl/>
        </w:rPr>
        <w:t>לְעֵינֵי כָל־יִשְׂרָאֵל</w:t>
      </w:r>
      <w:r>
        <w:rPr>
          <w:rtl/>
        </w:rPr>
        <w:t xml:space="preserve"> </w:t>
      </w:r>
      <w:r>
        <w:t xml:space="preserve">(„vor den Augen von ganz Israel") betont: öffentliche Zeremonie (vgl. 34,12). Die Imperative: </w:t>
      </w:r>
      <w:r>
        <w:rPr>
          <w:rStyle w:val="Fett"/>
          <w:rFonts w:eastAsiaTheme="majorEastAsia"/>
          <w:rtl/>
        </w:rPr>
        <w:t>חֲזַק וֶאֱמָץ</w:t>
      </w:r>
      <w:r>
        <w:rPr>
          <w:rtl/>
        </w:rPr>
        <w:t xml:space="preserve"> </w:t>
      </w:r>
      <w:r>
        <w:t xml:space="preserve">(„sei stark und mutig") wie V. 6, aber jetzt direkt an Josua gerichtet. Die Begründung: </w:t>
      </w:r>
      <w:r>
        <w:rPr>
          <w:rStyle w:val="Fett"/>
          <w:rFonts w:eastAsiaTheme="majorEastAsia"/>
          <w:rtl/>
        </w:rPr>
        <w:t>כִּי אַתָּה תָּבוֹא אֶת־הָעָם הַזֶּה אֶל־הָאָרֶץ אֲשֶׁר נִשְׁבַּע יְהוָה לַאֲבֹתָם לָתֵת לָהֶם וְאַתָּה תַּנְחִילֶנָּה אוֹתָם</w:t>
      </w:r>
      <w:r>
        <w:rPr>
          <w:rtl/>
        </w:rPr>
        <w:t xml:space="preserve"> </w:t>
      </w:r>
      <w:r>
        <w:t xml:space="preserve">(„denn du, du wirst mit diesem Volk in das Land kommen, das </w:t>
      </w:r>
      <w:r w:rsidR="00272EAD">
        <w:t>JHWH</w:t>
      </w:r>
      <w:r>
        <w:t xml:space="preserve"> ihren Vätern geschworen hat, ihnen zu geben; und du, du wirst es ihnen als Erbe austeilen"). Die zweifache Betonung </w:t>
      </w:r>
      <w:r>
        <w:rPr>
          <w:rStyle w:val="Fett"/>
          <w:rFonts w:eastAsiaTheme="majorEastAsia"/>
          <w:rtl/>
        </w:rPr>
        <w:t>אַתָּה... וְאַתָּה</w:t>
      </w:r>
      <w:r>
        <w:rPr>
          <w:rtl/>
        </w:rPr>
        <w:t xml:space="preserve"> </w:t>
      </w:r>
      <w:r>
        <w:t xml:space="preserve">(„du... und du") verstärkt Josuas persönliche Verantwortung. Das Verb </w:t>
      </w:r>
      <w:r>
        <w:rPr>
          <w:rStyle w:val="Fett"/>
          <w:rFonts w:eastAsiaTheme="majorEastAsia"/>
          <w:rtl/>
        </w:rPr>
        <w:t>נחל</w:t>
      </w:r>
      <w:r>
        <w:rPr>
          <w:rtl/>
        </w:rPr>
        <w:t xml:space="preserve"> </w:t>
      </w:r>
      <w:r>
        <w:t>im Hiphil („als Erbe austeilen") beschreibt Josuas Aufgabe der Landverteilung (vgl. Jos 13-21; Num 34,17-29).</w:t>
      </w:r>
    </w:p>
    <w:p w14:paraId="1C34C1D6" w14:textId="4BB286FC" w:rsidR="008A57FB" w:rsidRDefault="008A57FB" w:rsidP="008A57FB">
      <w:pPr>
        <w:pStyle w:val="whitespace-normal"/>
      </w:pPr>
      <w:r>
        <w:rPr>
          <w:rStyle w:val="Fett"/>
          <w:rFonts w:eastAsiaTheme="majorEastAsia"/>
        </w:rPr>
        <w:lastRenderedPageBreak/>
        <w:t>Die Satzstruktur:</w:t>
      </w:r>
      <w:r>
        <w:t xml:space="preserve"> Einleitung, Imperative und Begründung (und Mosche rief Josua und sprach zu ihm vor den Augen von ganz Israel: Sei stark und mutig! Denn du, du wirst mit diesem Volk in das Land kommen, das </w:t>
      </w:r>
      <w:r w:rsidR="00272EAD">
        <w:t>JHWH</w:t>
      </w:r>
      <w:r>
        <w:t xml:space="preserve"> ihren Vätern geschworen hat, ihnen zu geben; und du, du wirst es ihnen als Erbe austeilen).</w:t>
      </w:r>
    </w:p>
    <w:p w14:paraId="2EFCF088" w14:textId="77777777" w:rsidR="008A57FB" w:rsidRDefault="008A57FB" w:rsidP="008A57FB">
      <w:pPr>
        <w:pStyle w:val="whitespace-normal"/>
      </w:pPr>
      <w:r>
        <w:rPr>
          <w:rStyle w:val="Fett"/>
          <w:rFonts w:eastAsiaTheme="majorEastAsia"/>
        </w:rPr>
        <w:t>Der Vers beschreibt:</w:t>
      </w:r>
      <w:r>
        <w:t xml:space="preserve"> Öffentliche Einsetzung Josuas – Ermutigung und Aufgabenbeschreibung (Landnahme und Landverteilung).</w:t>
      </w:r>
    </w:p>
    <w:p w14:paraId="38A45751" w14:textId="2B53C320" w:rsidR="008A57FB" w:rsidRDefault="008A57FB" w:rsidP="008A57FB"/>
    <w:p w14:paraId="13B683F6" w14:textId="77777777" w:rsidR="008A57FB" w:rsidRPr="008D48A3" w:rsidRDefault="008A57FB" w:rsidP="008D48A3">
      <w:pPr>
        <w:pStyle w:val="Bibelberschrift"/>
      </w:pPr>
      <w:r w:rsidRPr="008D48A3">
        <w:rPr>
          <w:rStyle w:val="Fett"/>
          <w:b/>
          <w:bCs w:val="0"/>
        </w:rPr>
        <w:t>Deuteronomium 31,8</w:t>
      </w:r>
    </w:p>
    <w:p w14:paraId="5BF13D6C" w14:textId="77777777" w:rsidR="008A57FB" w:rsidRDefault="008A57FB" w:rsidP="008A57FB">
      <w:pPr>
        <w:pStyle w:val="whitespace-normal"/>
      </w:pPr>
      <w:r>
        <w:rPr>
          <w:rStyle w:val="Fett"/>
          <w:rFonts w:eastAsiaTheme="majorEastAsia"/>
        </w:rPr>
        <w:t>Hebräisch:</w:t>
      </w:r>
      <w:r>
        <w:t xml:space="preserve"> </w:t>
      </w:r>
      <w:r>
        <w:rPr>
          <w:rtl/>
        </w:rPr>
        <w:t>וַיהוָה הוּא הַהֹלֵךְ לְפָנֶיךָ הוּא יִהְיֶה עִמָּךְ לֹא יַרְפְּךָ וְלֹא יַעַזְבֶךָּ לֹא תִירָא וְלֹא תֵחָת׃</w:t>
      </w:r>
    </w:p>
    <w:p w14:paraId="50CE35E5" w14:textId="77777777" w:rsidR="008A57FB" w:rsidRDefault="008A57FB" w:rsidP="008A57FB">
      <w:pPr>
        <w:pStyle w:val="whitespace-normal"/>
      </w:pPr>
      <w:r>
        <w:rPr>
          <w:rStyle w:val="Fett"/>
          <w:rFonts w:eastAsiaTheme="majorEastAsia"/>
        </w:rPr>
        <w:t>Deutsch:</w:t>
      </w:r>
      <w:r>
        <w:t xml:space="preserve"> Und der Ewige, er ist es, der vor dir herzieht; er wird mit dir sein, er wird dich nicht aufgeben und dich nicht verlassen; fürchte dich nicht und sei nicht niedergeschlagen!</w:t>
      </w:r>
    </w:p>
    <w:p w14:paraId="11F66DFB" w14:textId="77777777" w:rsidR="008A57FB" w:rsidRDefault="004F5CEB" w:rsidP="008A57FB">
      <w:r>
        <w:rPr>
          <w:noProof/>
        </w:rPr>
        <w:pict w14:anchorId="56AE5A24">
          <v:rect id="_x0000_i1870" style="width:0;height:1.5pt" o:hralign="center" o:hrstd="t" o:hr="t" fillcolor="#a0a0a0" stroked="f"/>
        </w:pict>
      </w:r>
    </w:p>
    <w:p w14:paraId="35E5FD37"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וַיהוָה הוּא הַהֹלֵךְ לְפָנֶיךָ הוּא יִהְיֶה עִמָּךְ לֹא יַרְפְּךָ וְלֹא יַעַזְבֶךָּ לֹא תִירָא וְלֹא תֵחָת</w:t>
      </w:r>
      <w:r>
        <w:rPr>
          <w:rtl/>
        </w:rPr>
        <w:t xml:space="preserve"> </w:t>
      </w:r>
      <w:r>
        <w:t xml:space="preserve">sind drei Aussagen und zwei Prohibitive: </w:t>
      </w:r>
      <w:r>
        <w:rPr>
          <w:rStyle w:val="Fett"/>
          <w:rFonts w:eastAsiaTheme="majorEastAsia"/>
          <w:rtl/>
        </w:rPr>
        <w:t>וַיהוָה הוּא הַהֹלֵךְ לְפָנֶיךָ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יְהוָה הוּא</w:t>
      </w:r>
      <w:r>
        <w:t xml:space="preserve">, </w:t>
      </w:r>
      <w:r>
        <w:rPr>
          <w:rStyle w:val="Fett"/>
          <w:rFonts w:eastAsiaTheme="majorEastAsia"/>
          <w:rtl/>
        </w:rPr>
        <w:t>הלך</w:t>
      </w:r>
      <w:r>
        <w:t xml:space="preserve">, Qal Partizip Maskulinum Singular mit Artikel, </w:t>
      </w:r>
      <w:r>
        <w:rPr>
          <w:rStyle w:val="Fett"/>
          <w:rFonts w:eastAsiaTheme="majorEastAsia"/>
          <w:rtl/>
        </w:rPr>
        <w:t>לְפָנֶיךָ</w:t>
      </w:r>
      <w:r>
        <w:t xml:space="preserve">, mit </w:t>
      </w:r>
      <w:r>
        <w:rPr>
          <w:rStyle w:val="Fett"/>
          <w:rFonts w:eastAsiaTheme="majorEastAsia"/>
        </w:rPr>
        <w:t>Waw</w:t>
      </w:r>
      <w:r>
        <w:t xml:space="preserve"> consecutivum), </w:t>
      </w:r>
      <w:r>
        <w:rPr>
          <w:rStyle w:val="Fett"/>
          <w:rFonts w:eastAsiaTheme="majorEastAsia"/>
          <w:rtl/>
        </w:rPr>
        <w:t>הוּא יִהְיֶה עִמָּךְ</w:t>
      </w:r>
      <w:r>
        <w:rPr>
          <w:rtl/>
        </w:rPr>
        <w:t xml:space="preserve"> </w:t>
      </w:r>
      <w:r>
        <w:t>(</w:t>
      </w:r>
      <w:r>
        <w:rPr>
          <w:rStyle w:val="Fett"/>
          <w:rFonts w:eastAsiaTheme="majorEastAsia"/>
          <w:rtl/>
        </w:rPr>
        <w:t>הוּא</w:t>
      </w:r>
      <w:r>
        <w:t xml:space="preserve">, </w:t>
      </w:r>
      <w:r>
        <w:rPr>
          <w:rStyle w:val="Fett"/>
          <w:rFonts w:eastAsiaTheme="majorEastAsia"/>
          <w:rtl/>
        </w:rPr>
        <w:t>היה</w:t>
      </w:r>
      <w:r>
        <w:t xml:space="preserve">, Qal Imperfekt, 3. Person Maskulinum Singular, </w:t>
      </w:r>
      <w:r>
        <w:rPr>
          <w:rStyle w:val="Fett"/>
          <w:rFonts w:eastAsiaTheme="majorEastAsia"/>
          <w:rtl/>
        </w:rPr>
        <w:t>עִמָּךְ</w:t>
      </w:r>
      <w:r>
        <w:t xml:space="preserve">), </w:t>
      </w:r>
      <w:r>
        <w:rPr>
          <w:rStyle w:val="Fett"/>
          <w:rFonts w:eastAsiaTheme="majorEastAsia"/>
          <w:rtl/>
        </w:rPr>
        <w:t>לֹא יַרְפְּךָ וְלֹא יַעַזְבֶךָּ</w:t>
      </w:r>
      <w:r>
        <w:rPr>
          <w:rtl/>
        </w:rPr>
        <w:t xml:space="preserve"> </w:t>
      </w:r>
      <w:r>
        <w:t xml:space="preserve">(wie V. 6), </w:t>
      </w:r>
      <w:r>
        <w:rPr>
          <w:rStyle w:val="Fett"/>
          <w:rFonts w:eastAsiaTheme="majorEastAsia"/>
          <w:rtl/>
        </w:rPr>
        <w:t>לֹא תִירָא וְלֹא תֵחָת</w:t>
      </w:r>
      <w:r>
        <w:rPr>
          <w:rtl/>
        </w:rPr>
        <w:t xml:space="preserve"> </w:t>
      </w:r>
      <w:r>
        <w:t xml:space="preserve">(Prohibitiv mit </w:t>
      </w:r>
      <w:r>
        <w:rPr>
          <w:rStyle w:val="Fett"/>
          <w:rFonts w:eastAsiaTheme="majorEastAsia"/>
          <w:rtl/>
        </w:rPr>
        <w:t>לֹא</w:t>
      </w:r>
      <w:r>
        <w:t xml:space="preserve">, </w:t>
      </w:r>
      <w:r>
        <w:rPr>
          <w:rStyle w:val="Fett"/>
          <w:rFonts w:eastAsiaTheme="majorEastAsia"/>
          <w:rtl/>
        </w:rPr>
        <w:t>ירא</w:t>
      </w:r>
      <w:r>
        <w:t xml:space="preserve">, Qal Imperfekt, 2. Person Maskulinum Singular, koordiniert mit Prohibitiv </w:t>
      </w:r>
      <w:r>
        <w:rPr>
          <w:rStyle w:val="Fett"/>
          <w:rFonts w:eastAsiaTheme="majorEastAsia"/>
          <w:rtl/>
        </w:rPr>
        <w:t>לֹא</w:t>
      </w:r>
      <w:r>
        <w:t xml:space="preserve">, </w:t>
      </w:r>
      <w:r>
        <w:rPr>
          <w:rStyle w:val="Fett"/>
          <w:rFonts w:eastAsiaTheme="majorEastAsia"/>
          <w:rtl/>
        </w:rPr>
        <w:t>חתת</w:t>
      </w:r>
      <w:r>
        <w:t>, Qal Imperfekt, 2. Person Maskulinum Singular, „niedergeschlagen sein, verzagen").</w:t>
      </w:r>
    </w:p>
    <w:p w14:paraId="53300850" w14:textId="2BB5D188" w:rsidR="008A57FB" w:rsidRDefault="008A57FB" w:rsidP="008A57FB">
      <w:pPr>
        <w:pStyle w:val="whitespace-normal"/>
      </w:pPr>
      <w:r>
        <w:t xml:space="preserve">Der Vers wiederholt und verstärkt die Zusage aus V. 6, jetzt direkt an Josua gerichtet. Die drei Aussagen: </w:t>
      </w:r>
      <w:r>
        <w:rPr>
          <w:rStyle w:val="Fett"/>
          <w:rFonts w:eastAsiaTheme="majorEastAsia"/>
          <w:rtl/>
        </w:rPr>
        <w:t>וַיהוָה הוּא הַהֹלֵךְ לְפָנֶיךָ הוּא יִהְיֶה עִמָּךְ לֹא יַרְפְּךָ וְלֹא יַעַזְבֶךָּ</w:t>
      </w:r>
      <w:r>
        <w:rPr>
          <w:rtl/>
        </w:rPr>
        <w:t xml:space="preserve"> </w:t>
      </w:r>
      <w:r>
        <w:t xml:space="preserve">(„und </w:t>
      </w:r>
      <w:r w:rsidR="00272EAD">
        <w:t>JHWH</w:t>
      </w:r>
      <w:r>
        <w:t xml:space="preserve">, er ist es, der vor dir herzieht; er wird mit dir sein, nicht wird er dich aufgeben und nicht wird er dich verlassen"). Die Formulierung </w:t>
      </w:r>
      <w:r>
        <w:rPr>
          <w:rStyle w:val="Fett"/>
          <w:rFonts w:eastAsiaTheme="majorEastAsia"/>
          <w:rtl/>
        </w:rPr>
        <w:t>הַהֹלֵךְ לְפָנֶיךָ</w:t>
      </w:r>
      <w:r>
        <w:rPr>
          <w:rtl/>
        </w:rPr>
        <w:t xml:space="preserve"> </w:t>
      </w:r>
      <w:r>
        <w:t xml:space="preserve">(„der vor dir herzieht") ist stärker als </w:t>
      </w:r>
      <w:r>
        <w:rPr>
          <w:rStyle w:val="Fett"/>
          <w:rFonts w:eastAsiaTheme="majorEastAsia"/>
          <w:rtl/>
        </w:rPr>
        <w:t>הַהֹלֵךְ עִמָּךְ</w:t>
      </w:r>
      <w:r>
        <w:rPr>
          <w:rtl/>
        </w:rPr>
        <w:t xml:space="preserve"> </w:t>
      </w:r>
      <w:r>
        <w:t xml:space="preserve">(„der mit dir geht") aus V. 6 – Gott geht voran als Anführer (vgl. V. 3; Ex 13,21; 33,14). Die beiden Prohibitive: </w:t>
      </w:r>
      <w:r>
        <w:rPr>
          <w:rStyle w:val="Fett"/>
          <w:rFonts w:eastAsiaTheme="majorEastAsia"/>
          <w:rtl/>
        </w:rPr>
        <w:t>לֹא תִירָא וְלֹא תֵחָת</w:t>
      </w:r>
      <w:r>
        <w:rPr>
          <w:rtl/>
        </w:rPr>
        <w:t xml:space="preserve"> </w:t>
      </w:r>
      <w:r>
        <w:t xml:space="preserve">(„fürchte dich nicht und sei nicht niedergeschlagen"). Das Verb </w:t>
      </w:r>
      <w:r>
        <w:rPr>
          <w:rStyle w:val="Fett"/>
          <w:rFonts w:eastAsiaTheme="majorEastAsia"/>
          <w:rtl/>
        </w:rPr>
        <w:t>חתת</w:t>
      </w:r>
      <w:r>
        <w:rPr>
          <w:rtl/>
        </w:rPr>
        <w:t xml:space="preserve"> </w:t>
      </w:r>
      <w:r>
        <w:t xml:space="preserve">(„niedergeschlagen sein, verzagen") ist stärker als </w:t>
      </w:r>
      <w:r>
        <w:rPr>
          <w:rStyle w:val="Fett"/>
          <w:rFonts w:eastAsiaTheme="majorEastAsia"/>
          <w:rtl/>
        </w:rPr>
        <w:t>ערץ</w:t>
      </w:r>
      <w:r>
        <w:rPr>
          <w:rtl/>
        </w:rPr>
        <w:t xml:space="preserve"> </w:t>
      </w:r>
      <w:r>
        <w:t xml:space="preserve">(„erschrecken") aus V. 6 (vgl. Jos 1,9; 8,1; 10,25; Jes 51,7; Jer 1,17; 10,2; </w:t>
      </w:r>
      <w:r w:rsidR="00BF3748">
        <w:t>Hes</w:t>
      </w:r>
      <w:r>
        <w:t xml:space="preserve"> 2,6; 3,9).</w:t>
      </w:r>
    </w:p>
    <w:p w14:paraId="74BBBD07" w14:textId="4C98E6BD" w:rsidR="008A57FB" w:rsidRDefault="008A57FB" w:rsidP="008A57FB">
      <w:pPr>
        <w:pStyle w:val="whitespace-normal"/>
      </w:pPr>
      <w:r>
        <w:rPr>
          <w:rStyle w:val="Fett"/>
          <w:rFonts w:eastAsiaTheme="majorEastAsia"/>
        </w:rPr>
        <w:t>Die Satzstruktur:</w:t>
      </w:r>
      <w:r>
        <w:t xml:space="preserve"> Drei Aussagen und zwei Prohibitive (und </w:t>
      </w:r>
      <w:r w:rsidR="00272EAD">
        <w:t>JHWH</w:t>
      </w:r>
      <w:r>
        <w:t>, er ist es, der vor dir herzieht; er wird mit dir sein, nicht wird er dich aufgeben und nicht wird er dich verlassen; fürchte dich nicht und sei nicht niedergeschlagen).</w:t>
      </w:r>
    </w:p>
    <w:p w14:paraId="45A6A40E" w14:textId="63AA61FA" w:rsidR="008A57FB" w:rsidRDefault="008A57FB" w:rsidP="00B77CC6">
      <w:pPr>
        <w:pStyle w:val="whitespace-normal"/>
      </w:pPr>
      <w:r>
        <w:rPr>
          <w:rStyle w:val="Fett"/>
          <w:rFonts w:eastAsiaTheme="majorEastAsia"/>
        </w:rPr>
        <w:t>Der Vers beschreibt:</w:t>
      </w:r>
      <w:r>
        <w:t xml:space="preserve"> Zusage an Josua – Gott geht voran, ist bei ihm, verlässt nicht; daher keine Furcht.</w:t>
      </w:r>
    </w:p>
    <w:p w14:paraId="24F078EA" w14:textId="77777777" w:rsidR="008A57FB" w:rsidRPr="008D48A3" w:rsidRDefault="008A57FB" w:rsidP="008D48A3">
      <w:pPr>
        <w:pStyle w:val="Bibelberschrift"/>
      </w:pPr>
      <w:r w:rsidRPr="008D48A3">
        <w:rPr>
          <w:rStyle w:val="Fett"/>
          <w:b/>
          <w:bCs w:val="0"/>
        </w:rPr>
        <w:t>Deuteronomium 31,9</w:t>
      </w:r>
    </w:p>
    <w:p w14:paraId="385B7BF4" w14:textId="77777777" w:rsidR="008A57FB" w:rsidRDefault="008A57FB" w:rsidP="008A57FB">
      <w:pPr>
        <w:pStyle w:val="whitespace-normal"/>
      </w:pPr>
      <w:r>
        <w:rPr>
          <w:rStyle w:val="Fett"/>
          <w:rFonts w:eastAsiaTheme="majorEastAsia"/>
        </w:rPr>
        <w:t>Hebräisch:</w:t>
      </w:r>
      <w:r>
        <w:t xml:space="preserve"> </w:t>
      </w:r>
      <w:r>
        <w:rPr>
          <w:rtl/>
        </w:rPr>
        <w:t>וַיִּכְתֹּב מֹשֶׁה אֶת־הַתּוֹרָה הַזֹּאת וַיִּתְּנָהּ אֶל־הַכֹּהֲנִים בְּנֵי לֵוִי הַנֹּשְׂאִים אֶת־אֲרוֹן בְּרִית יְהוָה וְאֶל־כָּל־זִקְנֵי יִשְׂרָאֵל׃</w:t>
      </w:r>
    </w:p>
    <w:p w14:paraId="28AF1C67" w14:textId="44AD131A" w:rsidR="008A57FB" w:rsidRDefault="008A57FB" w:rsidP="008A57FB">
      <w:pPr>
        <w:pStyle w:val="whitespace-normal"/>
      </w:pPr>
      <w:r>
        <w:rPr>
          <w:rStyle w:val="Fett"/>
          <w:rFonts w:eastAsiaTheme="majorEastAsia"/>
        </w:rPr>
        <w:lastRenderedPageBreak/>
        <w:t>Deutsch:</w:t>
      </w:r>
      <w:r>
        <w:t xml:space="preserve"> Und Mosche schrieb diese </w:t>
      </w:r>
      <w:r w:rsidR="006D3FED">
        <w:t>Torah</w:t>
      </w:r>
      <w:r>
        <w:t xml:space="preserve"> nieder und gab sie den Priestern, den Söhnen Levis, die die Lade des Bundes des Ewigen trugen, und allen Ältesten von Israel.</w:t>
      </w:r>
    </w:p>
    <w:p w14:paraId="60E1704F" w14:textId="77777777" w:rsidR="008A57FB" w:rsidRDefault="004F5CEB" w:rsidP="008A57FB">
      <w:r>
        <w:rPr>
          <w:noProof/>
        </w:rPr>
        <w:pict w14:anchorId="14BFA902">
          <v:rect id="_x0000_i1871" style="width:0;height:1.5pt" o:hralign="center" o:hrstd="t" o:hr="t" fillcolor="#a0a0a0" stroked="f"/>
        </w:pict>
      </w:r>
    </w:p>
    <w:p w14:paraId="439E7F2F"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וַיִּכְתֹּב מֹשֶׁה אֶת־הַתּוֹרָה הַזֹּאת וַיִּתְּנָהּ אֶל־הַכֹּהֲנִים בְּנֵי לֵוִי הַנֹּשְׂאִים אֶת־אֲרוֹן בְּרִית יְהוָה וְאֶל־כָּל־זִקְנֵי יִשְׂרָאֵל</w:t>
      </w:r>
      <w:r>
        <w:rPr>
          <w:rtl/>
        </w:rPr>
        <w:t xml:space="preserve"> </w:t>
      </w:r>
      <w:r>
        <w:t xml:space="preserve">sind zwei Aussagen: </w:t>
      </w:r>
      <w:r>
        <w:rPr>
          <w:rStyle w:val="Fett"/>
          <w:rFonts w:eastAsiaTheme="majorEastAsia"/>
          <w:rtl/>
        </w:rPr>
        <w:t>וַיִּכְתֹּב מֹשֶׁה אֶת־הַתּוֹרָה הַזֹּאת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כתב</w:t>
      </w:r>
      <w:r>
        <w:t xml:space="preserve">, Qal Imperfekt mit </w:t>
      </w:r>
      <w:r>
        <w:rPr>
          <w:rStyle w:val="Fett"/>
          <w:rFonts w:eastAsiaTheme="majorEastAsia"/>
        </w:rPr>
        <w:t>Waw</w:t>
      </w:r>
      <w:r>
        <w:t xml:space="preserve"> consecutivum, 3. Person Maskulinum Singular, </w:t>
      </w:r>
      <w:r>
        <w:rPr>
          <w:rStyle w:val="Fett"/>
          <w:rFonts w:eastAsiaTheme="majorEastAsia"/>
          <w:rtl/>
        </w:rPr>
        <w:t>מֹשֶׁה</w:t>
      </w:r>
      <w:r>
        <w:rPr>
          <w:rtl/>
        </w:rPr>
        <w:t xml:space="preserve"> </w:t>
      </w:r>
      <w:r>
        <w:t xml:space="preserve">als Subjekt, Objektpartikel </w:t>
      </w:r>
      <w:r>
        <w:rPr>
          <w:rStyle w:val="Fett"/>
          <w:rFonts w:eastAsiaTheme="majorEastAsia"/>
          <w:rtl/>
        </w:rPr>
        <w:t>אֵת</w:t>
      </w:r>
      <w:r>
        <w:rPr>
          <w:rtl/>
        </w:rPr>
        <w:t xml:space="preserve"> </w:t>
      </w:r>
      <w:r>
        <w:t xml:space="preserve">mit </w:t>
      </w:r>
      <w:r>
        <w:rPr>
          <w:rStyle w:val="Fett"/>
          <w:rFonts w:eastAsiaTheme="majorEastAsia"/>
          <w:rtl/>
        </w:rPr>
        <w:t>תּוֹרָה</w:t>
      </w:r>
      <w:r>
        <w:rPr>
          <w:rtl/>
        </w:rPr>
        <w:t xml:space="preserve"> </w:t>
      </w:r>
      <w:r>
        <w:t xml:space="preserve">mit Artikel, </w:t>
      </w:r>
      <w:r>
        <w:rPr>
          <w:rStyle w:val="Fett"/>
          <w:rFonts w:eastAsiaTheme="majorEastAsia"/>
          <w:rtl/>
        </w:rPr>
        <w:t>זֹאת</w:t>
      </w:r>
      <w:r>
        <w:t xml:space="preserve">), </w:t>
      </w:r>
      <w:r>
        <w:rPr>
          <w:rStyle w:val="Fett"/>
          <w:rFonts w:eastAsiaTheme="majorEastAsia"/>
          <w:rtl/>
        </w:rPr>
        <w:t>וַיִּתְּנָהּ אֶל־הַכֹּהֲנִים בְּנֵי לֵוִי הַנֹּשְׂאִים אֶת־אֲרוֹן בְּרִית יְהוָה וְאֶל־כָּל־זִקְנֵי יִשְׂרָאֵל</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נתן</w:t>
      </w:r>
      <w:r>
        <w:t xml:space="preserve">, Qal Imperfekt mit </w:t>
      </w:r>
      <w:r>
        <w:rPr>
          <w:rStyle w:val="Fett"/>
          <w:rFonts w:eastAsiaTheme="majorEastAsia"/>
        </w:rPr>
        <w:t>Waw</w:t>
      </w:r>
      <w:r>
        <w:t xml:space="preserve"> consecutivum, 3. Person Maskulinum Singular, mit Suffix 3. Person Femininum Singular, zwei Präpositionen </w:t>
      </w:r>
      <w:r>
        <w:rPr>
          <w:rStyle w:val="Fett"/>
          <w:rFonts w:eastAsiaTheme="majorEastAsia"/>
          <w:rtl/>
        </w:rPr>
        <w:t>אֶל</w:t>
      </w:r>
      <w:r>
        <w:t xml:space="preserve">: (1) </w:t>
      </w:r>
      <w:r>
        <w:rPr>
          <w:rStyle w:val="Fett"/>
          <w:rFonts w:eastAsiaTheme="majorEastAsia"/>
          <w:rtl/>
        </w:rPr>
        <w:t>כֹּהֵן</w:t>
      </w:r>
      <w:r>
        <w:rPr>
          <w:rtl/>
        </w:rPr>
        <w:t xml:space="preserve"> </w:t>
      </w:r>
      <w:r>
        <w:t xml:space="preserve">Plural mit Artikel, Apposition: </w:t>
      </w:r>
      <w:r>
        <w:rPr>
          <w:rStyle w:val="Fett"/>
          <w:rFonts w:eastAsiaTheme="majorEastAsia"/>
          <w:rtl/>
        </w:rPr>
        <w:t>בֵּן</w:t>
      </w:r>
      <w:r>
        <w:rPr>
          <w:rtl/>
        </w:rPr>
        <w:t xml:space="preserve"> </w:t>
      </w:r>
      <w:r>
        <w:t xml:space="preserve">Plural Construct mit </w:t>
      </w:r>
      <w:r>
        <w:rPr>
          <w:rStyle w:val="Fett"/>
          <w:rFonts w:eastAsiaTheme="majorEastAsia"/>
          <w:rtl/>
        </w:rPr>
        <w:t>לֵוִי</w:t>
      </w:r>
      <w:r>
        <w:t xml:space="preserve">, Partizipialsatz: </w:t>
      </w:r>
      <w:r>
        <w:rPr>
          <w:rStyle w:val="Fett"/>
          <w:rFonts w:eastAsiaTheme="majorEastAsia"/>
          <w:rtl/>
        </w:rPr>
        <w:t>הַנֹּשְׂאִים אֶת־אֲרוֹן בְּרִית יְהוָה</w:t>
      </w:r>
      <w:r>
        <w:rPr>
          <w:rtl/>
        </w:rPr>
        <w:t xml:space="preserve"> </w:t>
      </w:r>
      <w:r>
        <w:t xml:space="preserve">mit </w:t>
      </w:r>
      <w:r>
        <w:rPr>
          <w:rStyle w:val="Fett"/>
          <w:rFonts w:eastAsiaTheme="majorEastAsia"/>
          <w:rtl/>
        </w:rPr>
        <w:t>נשׂא</w:t>
      </w:r>
      <w:r>
        <w:t xml:space="preserve">, Qal Partizip Maskulinum Plural mit Artikel, Objektpartikel </w:t>
      </w:r>
      <w:r>
        <w:rPr>
          <w:rStyle w:val="Fett"/>
          <w:rFonts w:eastAsiaTheme="majorEastAsia"/>
          <w:rtl/>
        </w:rPr>
        <w:t>אֵת</w:t>
      </w:r>
      <w:r>
        <w:rPr>
          <w:rtl/>
        </w:rPr>
        <w:t xml:space="preserve"> </w:t>
      </w:r>
      <w:r>
        <w:t xml:space="preserve">mit </w:t>
      </w:r>
      <w:r>
        <w:rPr>
          <w:rStyle w:val="Fett"/>
          <w:rFonts w:eastAsiaTheme="majorEastAsia"/>
          <w:rtl/>
        </w:rPr>
        <w:t>אָרוֹן בְּרִית יְהוָה</w:t>
      </w:r>
      <w:r>
        <w:t xml:space="preserve">, (2) koordiniert durch </w:t>
      </w:r>
      <w:r>
        <w:rPr>
          <w:rStyle w:val="Fett"/>
          <w:rFonts w:eastAsiaTheme="majorEastAsia"/>
          <w:rtl/>
        </w:rPr>
        <w:t>וְ</w:t>
      </w:r>
      <w:r>
        <w:rPr>
          <w:rtl/>
        </w:rPr>
        <w:t xml:space="preserve"> </w:t>
      </w:r>
      <w:r>
        <w:t xml:space="preserve">mit </w:t>
      </w:r>
      <w:r>
        <w:rPr>
          <w:rStyle w:val="Fett"/>
          <w:rFonts w:eastAsiaTheme="majorEastAsia"/>
          <w:rtl/>
        </w:rPr>
        <w:t>אֶל</w:t>
      </w:r>
      <w:r>
        <w:t xml:space="preserve">, </w:t>
      </w:r>
      <w:r>
        <w:rPr>
          <w:rStyle w:val="Fett"/>
          <w:rFonts w:eastAsiaTheme="majorEastAsia"/>
          <w:rtl/>
        </w:rPr>
        <w:t>כָּל־זָקֵן</w:t>
      </w:r>
      <w:r>
        <w:rPr>
          <w:rtl/>
        </w:rPr>
        <w:t xml:space="preserve"> </w:t>
      </w:r>
      <w:r>
        <w:t xml:space="preserve">Plural Construct mit </w:t>
      </w:r>
      <w:r>
        <w:rPr>
          <w:rStyle w:val="Fett"/>
          <w:rFonts w:eastAsiaTheme="majorEastAsia"/>
          <w:rtl/>
        </w:rPr>
        <w:t>יִשְׂרָאֵל</w:t>
      </w:r>
      <w:r>
        <w:t>).</w:t>
      </w:r>
    </w:p>
    <w:p w14:paraId="32820AE9" w14:textId="3B54CDEE" w:rsidR="008A57FB" w:rsidRDefault="008A57FB" w:rsidP="008A57FB">
      <w:pPr>
        <w:pStyle w:val="whitespace-normal"/>
      </w:pPr>
      <w:r>
        <w:t xml:space="preserve">Der Vers berichtet über die Niederschrift und Übergabe der </w:t>
      </w:r>
      <w:r w:rsidR="006D3FED">
        <w:t>Torah</w:t>
      </w:r>
      <w:r>
        <w:t xml:space="preserve">. Die erste Aussage: </w:t>
      </w:r>
      <w:r>
        <w:rPr>
          <w:rStyle w:val="Fett"/>
          <w:rFonts w:eastAsiaTheme="majorEastAsia"/>
          <w:rtl/>
        </w:rPr>
        <w:t>וַיִּכְתֹּב מֹשֶׁה אֶת־הַתּוֹרָה הַזֹּאת</w:t>
      </w:r>
      <w:r>
        <w:rPr>
          <w:rtl/>
        </w:rPr>
        <w:t xml:space="preserve"> </w:t>
      </w:r>
      <w:r>
        <w:t xml:space="preserve">(„und Mosche schrieb diese </w:t>
      </w:r>
      <w:r w:rsidR="006D3FED">
        <w:t>Torah</w:t>
      </w:r>
      <w:r>
        <w:t xml:space="preserve"> nieder"). Die Formulierung </w:t>
      </w:r>
      <w:r>
        <w:rPr>
          <w:rStyle w:val="Fett"/>
          <w:rFonts w:eastAsiaTheme="majorEastAsia"/>
          <w:rtl/>
        </w:rPr>
        <w:t>הַתּוֹרָה הַזֹּאת</w:t>
      </w:r>
      <w:r>
        <w:rPr>
          <w:rtl/>
        </w:rPr>
        <w:t xml:space="preserve"> </w:t>
      </w:r>
      <w:r>
        <w:t xml:space="preserve">(„diese </w:t>
      </w:r>
      <w:r w:rsidR="006D3FED">
        <w:t>Torah</w:t>
      </w:r>
      <w:r>
        <w:t xml:space="preserve">") bezieht sich wahrscheinlich auf das gesamte Deuteronomium (vgl. 1,5; 4,8.44; 17,18-19; 27,3.8.26; 28,58.61; 29,20.28; 30,10; 31,11-12.24.26; 32,46). Die zweite Aussage: </w:t>
      </w:r>
      <w:r>
        <w:rPr>
          <w:rStyle w:val="Fett"/>
          <w:rFonts w:eastAsiaTheme="majorEastAsia"/>
          <w:rtl/>
        </w:rPr>
        <w:t>וַיִּתְּנָהּ אֶל־הַכֹּהֲנִים בְּנֵי לֵוִי הַנֹּשְׂאִים אֶת־אֲרוֹן בְּרִית יְהוָה וְאֶל־כָּל־זִקְנֵי יִשְׂרָאֵל</w:t>
      </w:r>
      <w:r>
        <w:rPr>
          <w:rtl/>
        </w:rPr>
        <w:t xml:space="preserve"> </w:t>
      </w:r>
      <w:r>
        <w:t xml:space="preserve">(„und gab sie den Priestern, den Söhnen Levis, die die Lade des Bundes </w:t>
      </w:r>
      <w:r w:rsidR="00DF3D1A">
        <w:t>JHWHs</w:t>
      </w:r>
      <w:r>
        <w:t xml:space="preserve"> trugen, und allen Ältesten von Israel"). Zwei Gruppen als Hüter der </w:t>
      </w:r>
      <w:r w:rsidR="006D3FED">
        <w:t>Torah</w:t>
      </w:r>
      <w:r>
        <w:t>: (1) Die levitischen Priester, die die Bundeslade tragen (vgl. 10,8; 17,9.18; 18,1; 24,8; 27,9; Jos 3,3; 8,33). (2) Alle Ältesten von Israel als Repräsentanten des Volkes (vgl. 5,23; 19,12; 21,2-6.19-20; 22,15-18; 25,7-9; 27,1; 29,9).</w:t>
      </w:r>
    </w:p>
    <w:p w14:paraId="32C718C2" w14:textId="52277130" w:rsidR="00C367A0" w:rsidRDefault="00C367A0" w:rsidP="008A57FB">
      <w:pPr>
        <w:pStyle w:val="whitespace-normal"/>
      </w:pPr>
      <w:r>
        <w:rPr>
          <w:rStyle w:val="Fett"/>
        </w:rPr>
        <w:t>Die LXX</w:t>
      </w:r>
      <w:r>
        <w:t xml:space="preserve"> übersetzt </w:t>
      </w:r>
      <w:r>
        <w:rPr>
          <w:rtl/>
        </w:rPr>
        <w:t>וַיִּכְתֹּב מֹשֶׁה אֶת־הַתּוֹרָה הַזֹּאת</w:t>
      </w:r>
      <w:r>
        <w:t xml:space="preserve"> (und Mose schrieb diese </w:t>
      </w:r>
      <w:r w:rsidR="006D3FED">
        <w:t>Torah</w:t>
      </w:r>
      <w:r>
        <w:t xml:space="preserve">) mit Καὶ </w:t>
      </w:r>
      <w:proofErr w:type="spellStart"/>
      <w:r>
        <w:t>ἔγρ</w:t>
      </w:r>
      <w:proofErr w:type="spellEnd"/>
      <w:r>
        <w:t xml:space="preserve">αψεν Μωυσῆς </w:t>
      </w:r>
      <w:proofErr w:type="spellStart"/>
      <w:r>
        <w:t>τὰ</w:t>
      </w:r>
      <w:proofErr w:type="spellEnd"/>
      <w:r>
        <w:t xml:space="preserve"> </w:t>
      </w:r>
      <w:proofErr w:type="spellStart"/>
      <w:r>
        <w:t>ῥήμ</w:t>
      </w:r>
      <w:proofErr w:type="spellEnd"/>
      <w:r>
        <w:t xml:space="preserve">ατα </w:t>
      </w:r>
      <w:proofErr w:type="spellStart"/>
      <w:r>
        <w:t>τοῦ</w:t>
      </w:r>
      <w:proofErr w:type="spellEnd"/>
      <w:r>
        <w:t xml:space="preserve"> </w:t>
      </w:r>
      <w:proofErr w:type="spellStart"/>
      <w:r>
        <w:t>νόμου</w:t>
      </w:r>
      <w:proofErr w:type="spellEnd"/>
      <w:r>
        <w:t xml:space="preserve"> </w:t>
      </w:r>
      <w:proofErr w:type="spellStart"/>
      <w:r>
        <w:t>τούτου</w:t>
      </w:r>
      <w:proofErr w:type="spellEnd"/>
      <w:r>
        <w:t xml:space="preserve"> </w:t>
      </w:r>
      <w:proofErr w:type="spellStart"/>
      <w:r>
        <w:t>εἰς</w:t>
      </w:r>
      <w:proofErr w:type="spellEnd"/>
      <w:r>
        <w:t xml:space="preserve"> βιβ</w:t>
      </w:r>
      <w:proofErr w:type="spellStart"/>
      <w:r>
        <w:t>λίον</w:t>
      </w:r>
      <w:proofErr w:type="spellEnd"/>
      <w:r>
        <w:t xml:space="preserve"> (und Mose schrieb die Worte dieses Gesetzes in ein Buch) – mit der expliziten Ergänzung "in ein Buch". Der Begriff π</w:t>
      </w:r>
      <w:proofErr w:type="spellStart"/>
      <w:r>
        <w:t>ρεσ</w:t>
      </w:r>
      <w:proofErr w:type="spellEnd"/>
      <w:r>
        <w:t xml:space="preserve">βυτέροις (Ältesten) für </w:t>
      </w:r>
      <w:r>
        <w:rPr>
          <w:rtl/>
        </w:rPr>
        <w:t>זִקְנֵי</w:t>
      </w:r>
      <w:r>
        <w:t xml:space="preserve"> ist die standardmäßige LXX-Übersetzung.</w:t>
      </w:r>
    </w:p>
    <w:p w14:paraId="41E96882" w14:textId="5BBEF26F" w:rsidR="008A57FB" w:rsidRDefault="008A57FB" w:rsidP="008A57FB">
      <w:pPr>
        <w:pStyle w:val="whitespace-normal"/>
      </w:pPr>
      <w:r>
        <w:rPr>
          <w:rStyle w:val="Fett"/>
          <w:rFonts w:eastAsiaTheme="majorEastAsia"/>
        </w:rPr>
        <w:t>Die Satzstruktur:</w:t>
      </w:r>
      <w:r>
        <w:t xml:space="preserve"> Zwei Aussagen (und Mosche schrieb diese </w:t>
      </w:r>
      <w:r w:rsidR="006D3FED">
        <w:t>Torah</w:t>
      </w:r>
      <w:r>
        <w:t xml:space="preserve"> nieder und gab sie den Priestern, den Söhnen Levis, die die Lade des Bundes </w:t>
      </w:r>
      <w:r w:rsidR="00DF3D1A">
        <w:t>JHWHs</w:t>
      </w:r>
      <w:r>
        <w:t xml:space="preserve"> trugen, und allen Ältesten von Israel).</w:t>
      </w:r>
    </w:p>
    <w:p w14:paraId="6AB0BB47" w14:textId="67DDA75D" w:rsidR="008A57FB" w:rsidRDefault="008A57FB" w:rsidP="00B77CC6">
      <w:pPr>
        <w:pStyle w:val="whitespace-normal"/>
      </w:pPr>
      <w:r>
        <w:rPr>
          <w:rStyle w:val="Fett"/>
          <w:rFonts w:eastAsiaTheme="majorEastAsia"/>
        </w:rPr>
        <w:t>Der Vers beschreibt:</w:t>
      </w:r>
      <w:r>
        <w:t xml:space="preserve"> Niederschrift und Übergabe der </w:t>
      </w:r>
      <w:r w:rsidR="006D3FED">
        <w:t>Torah</w:t>
      </w:r>
      <w:r>
        <w:t xml:space="preserve"> – an Priester und Älteste als Hüter.</w:t>
      </w:r>
    </w:p>
    <w:p w14:paraId="190D9180" w14:textId="77777777" w:rsidR="008A57FB" w:rsidRPr="008D48A3" w:rsidRDefault="008A57FB" w:rsidP="008D48A3">
      <w:pPr>
        <w:pStyle w:val="Bibelberschrift"/>
      </w:pPr>
      <w:r w:rsidRPr="008D48A3">
        <w:rPr>
          <w:rStyle w:val="Fett"/>
          <w:b/>
          <w:bCs w:val="0"/>
        </w:rPr>
        <w:t>Deuteronomium 31,10</w:t>
      </w:r>
    </w:p>
    <w:p w14:paraId="389394E5" w14:textId="77777777" w:rsidR="008A57FB" w:rsidRDefault="008A57FB" w:rsidP="008A57FB">
      <w:pPr>
        <w:pStyle w:val="whitespace-normal"/>
      </w:pPr>
      <w:r>
        <w:rPr>
          <w:rStyle w:val="Fett"/>
          <w:rFonts w:eastAsiaTheme="majorEastAsia"/>
        </w:rPr>
        <w:t>Hebräisch:</w:t>
      </w:r>
      <w:r>
        <w:t xml:space="preserve"> </w:t>
      </w:r>
      <w:r>
        <w:rPr>
          <w:rtl/>
        </w:rPr>
        <w:t>וַיְצַו מֹשֶׁה אוֹתָם לֵאמֹר מִקֵּץ שֶׁבַע שָׁנִים בְּמֹעֵד שְׁנַת הַשְּׁמִטָּה בְּחַג הַסֻּכּוֹת׃</w:t>
      </w:r>
    </w:p>
    <w:p w14:paraId="10C3F447" w14:textId="77777777" w:rsidR="008A57FB" w:rsidRDefault="008A57FB" w:rsidP="008A57FB">
      <w:pPr>
        <w:pStyle w:val="whitespace-normal"/>
      </w:pPr>
      <w:r>
        <w:rPr>
          <w:rStyle w:val="Fett"/>
          <w:rFonts w:eastAsiaTheme="majorEastAsia"/>
        </w:rPr>
        <w:t>Deutsch:</w:t>
      </w:r>
      <w:r>
        <w:t xml:space="preserve"> Und Mosche gebot ihnen und sprach: Am Ende von sieben Jahren, zur Zeit des Erlassjahres, am Laubhüttenfest.</w:t>
      </w:r>
    </w:p>
    <w:p w14:paraId="487F0E86" w14:textId="77777777" w:rsidR="008A57FB" w:rsidRDefault="004F5CEB" w:rsidP="008A57FB">
      <w:r>
        <w:rPr>
          <w:noProof/>
        </w:rPr>
        <w:pict w14:anchorId="41EB2113">
          <v:rect id="_x0000_i1872" style="width:0;height:1.5pt" o:hralign="center" o:hrstd="t" o:hr="t" fillcolor="#a0a0a0" stroked="f"/>
        </w:pict>
      </w:r>
    </w:p>
    <w:p w14:paraId="4D5D1680" w14:textId="77777777" w:rsidR="008A57FB" w:rsidRDefault="008A57FB" w:rsidP="008A57FB">
      <w:pPr>
        <w:pStyle w:val="whitespace-normal"/>
      </w:pPr>
      <w:r>
        <w:rPr>
          <w:rStyle w:val="Fett"/>
          <w:rFonts w:eastAsiaTheme="majorEastAsia"/>
        </w:rPr>
        <w:lastRenderedPageBreak/>
        <w:t>Kommentar:</w:t>
      </w:r>
      <w:r>
        <w:t xml:space="preserve"> </w:t>
      </w:r>
      <w:r>
        <w:rPr>
          <w:rStyle w:val="Fett"/>
          <w:rFonts w:eastAsiaTheme="majorEastAsia"/>
          <w:rtl/>
        </w:rPr>
        <w:t>וַיְצַו מֹשֶׁה אוֹתָם לֵאמֹר מִקֵּץ שֶׁבַע שָׁנִים בְּמֹעֵד שְׁנַת הַשְּׁמִטָּה בְּחַג הַסֻּכּוֹת</w:t>
      </w:r>
      <w:r>
        <w:rPr>
          <w:rtl/>
        </w:rPr>
        <w:t xml:space="preserve"> </w:t>
      </w:r>
      <w:r>
        <w:t xml:space="preserve">sind Einleitung und Zeitangabe: </w:t>
      </w:r>
      <w:r>
        <w:rPr>
          <w:rStyle w:val="Fett"/>
          <w:rFonts w:eastAsiaTheme="majorEastAsia"/>
          <w:rtl/>
        </w:rPr>
        <w:t>וַיְצַו מֹשֶׁה אוֹתָם לֵאמֹר</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צוה</w:t>
      </w:r>
      <w:r>
        <w:t xml:space="preserve">, Piel Imperfekt mit </w:t>
      </w:r>
      <w:r>
        <w:rPr>
          <w:rStyle w:val="Fett"/>
          <w:rFonts w:eastAsiaTheme="majorEastAsia"/>
        </w:rPr>
        <w:t>Waw</w:t>
      </w:r>
      <w:r>
        <w:t xml:space="preserve"> consecutivum, 3. Person Maskulinum Singular, </w:t>
      </w:r>
      <w:r>
        <w:rPr>
          <w:rStyle w:val="Fett"/>
          <w:rFonts w:eastAsiaTheme="majorEastAsia"/>
          <w:rtl/>
        </w:rPr>
        <w:t>מֹשֶׁה</w:t>
      </w:r>
      <w:r>
        <w:rPr>
          <w:rtl/>
        </w:rPr>
        <w:t xml:space="preserve"> </w:t>
      </w:r>
      <w:r>
        <w:t xml:space="preserve">als Subjekt, Objektpartikel </w:t>
      </w:r>
      <w:r>
        <w:rPr>
          <w:rStyle w:val="Fett"/>
          <w:rFonts w:eastAsiaTheme="majorEastAsia"/>
          <w:rtl/>
        </w:rPr>
        <w:t>אֵת</w:t>
      </w:r>
      <w:r>
        <w:rPr>
          <w:rtl/>
        </w:rPr>
        <w:t xml:space="preserve"> </w:t>
      </w:r>
      <w:r>
        <w:t xml:space="preserve">mit Suffix 3. Person Maskulinum Plural, Präposition </w:t>
      </w:r>
      <w:r>
        <w:rPr>
          <w:rStyle w:val="Fett"/>
          <w:rFonts w:eastAsiaTheme="majorEastAsia"/>
          <w:rtl/>
        </w:rPr>
        <w:t>לְ</w:t>
      </w:r>
      <w:r>
        <w:rPr>
          <w:rtl/>
        </w:rPr>
        <w:t xml:space="preserve"> </w:t>
      </w:r>
      <w:r>
        <w:t xml:space="preserve">+ Qal Infinitiv Construct von </w:t>
      </w:r>
      <w:r>
        <w:rPr>
          <w:rStyle w:val="Fett"/>
          <w:rFonts w:eastAsiaTheme="majorEastAsia"/>
          <w:rtl/>
        </w:rPr>
        <w:t>אמר</w:t>
      </w:r>
      <w:r>
        <w:t xml:space="preserve">), </w:t>
      </w:r>
      <w:r>
        <w:rPr>
          <w:rStyle w:val="Fett"/>
          <w:rFonts w:eastAsiaTheme="majorEastAsia"/>
          <w:rtl/>
        </w:rPr>
        <w:t>מִקֵּץ שֶׁבַע שָׁנִים בְּמֹעֵד שְׁנַת הַשְּׁמִטָּה בְּחַג הַסֻּכּוֹת</w:t>
      </w:r>
      <w:r>
        <w:rPr>
          <w:rtl/>
        </w:rPr>
        <w:t xml:space="preserve"> </w:t>
      </w:r>
      <w:r>
        <w:t>(</w:t>
      </w:r>
      <w:r>
        <w:rPr>
          <w:rStyle w:val="Fett"/>
          <w:rFonts w:eastAsiaTheme="majorEastAsia"/>
          <w:rtl/>
        </w:rPr>
        <w:t>מִקֵּץ</w:t>
      </w:r>
      <w:r>
        <w:t xml:space="preserve">, „am Ende von", </w:t>
      </w:r>
      <w:r>
        <w:rPr>
          <w:rStyle w:val="Fett"/>
          <w:rFonts w:eastAsiaTheme="majorEastAsia"/>
          <w:rtl/>
        </w:rPr>
        <w:t>שֶׁבַע שָׁנִים</w:t>
      </w:r>
      <w:r>
        <w:t xml:space="preserve">, drei Präpositionen </w:t>
      </w:r>
      <w:r>
        <w:rPr>
          <w:rStyle w:val="Fett"/>
          <w:rFonts w:eastAsiaTheme="majorEastAsia"/>
          <w:rtl/>
        </w:rPr>
        <w:t>בְּ</w:t>
      </w:r>
      <w:r>
        <w:t xml:space="preserve">: </w:t>
      </w:r>
      <w:r>
        <w:rPr>
          <w:rStyle w:val="Fett"/>
          <w:rFonts w:eastAsiaTheme="majorEastAsia"/>
          <w:rtl/>
        </w:rPr>
        <w:t>מוֹעֵד</w:t>
      </w:r>
      <w:r>
        <w:t xml:space="preserve">, „festgesetzte Zeit", Construct mit </w:t>
      </w:r>
      <w:r>
        <w:rPr>
          <w:rStyle w:val="Fett"/>
          <w:rFonts w:eastAsiaTheme="majorEastAsia"/>
          <w:rtl/>
        </w:rPr>
        <w:t>שָׁנָה שְׁמִטָּה</w:t>
      </w:r>
      <w:r>
        <w:rPr>
          <w:rtl/>
        </w:rPr>
        <w:t xml:space="preserve"> </w:t>
      </w:r>
      <w:r>
        <w:t xml:space="preserve">mit Artikel, </w:t>
      </w:r>
      <w:r>
        <w:rPr>
          <w:rStyle w:val="Fett"/>
          <w:rFonts w:eastAsiaTheme="majorEastAsia"/>
          <w:rtl/>
        </w:rPr>
        <w:t>חַג הַסֻּכּוֹת</w:t>
      </w:r>
      <w:r>
        <w:t>).</w:t>
      </w:r>
    </w:p>
    <w:p w14:paraId="073514F4" w14:textId="3A9B322F" w:rsidR="008A57FB" w:rsidRDefault="008A57FB" w:rsidP="008A57FB">
      <w:pPr>
        <w:pStyle w:val="whitespace-normal"/>
      </w:pPr>
      <w:r>
        <w:t xml:space="preserve">Der Vers beginnt die Anweisungen für die öffentliche </w:t>
      </w:r>
      <w:r w:rsidR="006D3FED">
        <w:t>Torah</w:t>
      </w:r>
      <w:r>
        <w:t xml:space="preserve">lektüre. Die Einleitung: </w:t>
      </w:r>
      <w:r>
        <w:rPr>
          <w:rStyle w:val="Fett"/>
          <w:rFonts w:eastAsiaTheme="majorEastAsia"/>
          <w:rtl/>
        </w:rPr>
        <w:t>וַיְצַו מֹשֶׁה אוֹתָם לֵאמֹר</w:t>
      </w:r>
      <w:r>
        <w:rPr>
          <w:rtl/>
        </w:rPr>
        <w:t xml:space="preserve"> </w:t>
      </w:r>
      <w:r>
        <w:t xml:space="preserve">(„und Mosche gebot ihnen und sprach"). Die Zeitangabe: </w:t>
      </w:r>
      <w:r>
        <w:rPr>
          <w:rStyle w:val="Fett"/>
          <w:rFonts w:eastAsiaTheme="majorEastAsia"/>
          <w:rtl/>
        </w:rPr>
        <w:t>מִקֵּץ שֶׁבַע שָׁנִים בְּמֹעֵד שְׁנַת הַשְּׁמִטָּה בְּחַג הַסֻּכּוֹת</w:t>
      </w:r>
      <w:r>
        <w:rPr>
          <w:rtl/>
        </w:rPr>
        <w:t xml:space="preserve"> </w:t>
      </w:r>
      <w:r>
        <w:t xml:space="preserve">(„am Ende von sieben Jahren, zur Zeit des Erlassjahres, am Laubhüttenfest"). Drei Präzisierungen: (1) </w:t>
      </w:r>
      <w:r>
        <w:rPr>
          <w:rStyle w:val="Fett"/>
          <w:rFonts w:eastAsiaTheme="majorEastAsia"/>
          <w:rtl/>
        </w:rPr>
        <w:t>מִקֵּץ שֶׁבַע שָׁנִים</w:t>
      </w:r>
      <w:r>
        <w:rPr>
          <w:rtl/>
        </w:rPr>
        <w:t xml:space="preserve"> </w:t>
      </w:r>
      <w:r>
        <w:t xml:space="preserve">(„am Ende von sieben Jahren") – siebenjähriger Zyklus (vgl. 15,1-2; Ex 23,10-11; Lev 25,1-7). (2) </w:t>
      </w:r>
      <w:r>
        <w:rPr>
          <w:rStyle w:val="Fett"/>
          <w:rFonts w:eastAsiaTheme="majorEastAsia"/>
          <w:rtl/>
        </w:rPr>
        <w:t>בְּמֹעֵד שְׁנַת הַשְּׁמִטָּה</w:t>
      </w:r>
      <w:r>
        <w:rPr>
          <w:rtl/>
        </w:rPr>
        <w:t xml:space="preserve"> </w:t>
      </w:r>
      <w:r>
        <w:t xml:space="preserve">(„zur Zeit des Erlassjahres") – das </w:t>
      </w:r>
      <w:r>
        <w:rPr>
          <w:rStyle w:val="Fett"/>
          <w:rFonts w:eastAsiaTheme="majorEastAsia"/>
          <w:rtl/>
        </w:rPr>
        <w:t>שְׁמִטָּה</w:t>
      </w:r>
      <w:r>
        <w:t xml:space="preserve">-Jahr, in dem Schulden erlassen und das Land brachliegt (vgl. 15,1-11). (3) </w:t>
      </w:r>
      <w:r>
        <w:rPr>
          <w:rStyle w:val="Fett"/>
          <w:rFonts w:eastAsiaTheme="majorEastAsia"/>
          <w:rtl/>
        </w:rPr>
        <w:t>בְּחַג הַסֻּכּוֹת</w:t>
      </w:r>
      <w:r>
        <w:rPr>
          <w:rtl/>
        </w:rPr>
        <w:t xml:space="preserve"> </w:t>
      </w:r>
      <w:r>
        <w:t>(„am Laubhüttenfest") – das Herbstfest im siebten Monat (vgl. 16,13-15; Lev 23,33-43; Num 29,12-38). V. 11-13 werden den Zweck und die Durchführung beschreiben.</w:t>
      </w:r>
    </w:p>
    <w:p w14:paraId="0DA99F9E" w14:textId="1750ACDC" w:rsidR="00C367A0" w:rsidRDefault="00C367A0" w:rsidP="008A57FB">
      <w:pPr>
        <w:pStyle w:val="whitespace-normal"/>
      </w:pPr>
      <w:r>
        <w:rPr>
          <w:rStyle w:val="Fett"/>
        </w:rPr>
        <w:t>Die LXX</w:t>
      </w:r>
      <w:r>
        <w:t xml:space="preserve"> übersetzt </w:t>
      </w:r>
      <w:r>
        <w:rPr>
          <w:rtl/>
        </w:rPr>
        <w:t>שְׁנַת הַשְּׁמִטָּה</w:t>
      </w:r>
      <w:r>
        <w:t xml:space="preserve"> (Jahr der Freilassung) mit </w:t>
      </w:r>
      <w:proofErr w:type="spellStart"/>
      <w:r>
        <w:t>ἐνι</w:t>
      </w:r>
      <w:proofErr w:type="spellEnd"/>
      <w:r>
        <w:t xml:space="preserve">αυτοῦ </w:t>
      </w:r>
      <w:proofErr w:type="spellStart"/>
      <w:r>
        <w:t>ἀφέσεως</w:t>
      </w:r>
      <w:proofErr w:type="spellEnd"/>
      <w:r>
        <w:t xml:space="preserve"> (Jahr der Vergebung/Freilassung) – wobei </w:t>
      </w:r>
      <w:proofErr w:type="spellStart"/>
      <w:r>
        <w:t>ἄφεσις</w:t>
      </w:r>
      <w:proofErr w:type="spellEnd"/>
      <w:r>
        <w:t xml:space="preserve"> sowohl "Freilassung" als auch "Vergebung" bedeuten kann. Der Begriff </w:t>
      </w:r>
      <w:proofErr w:type="spellStart"/>
      <w:r>
        <w:t>σκηνο</w:t>
      </w:r>
      <w:proofErr w:type="spellEnd"/>
      <w:r>
        <w:t xml:space="preserve">πηγίας (Laubhüttenfest) für </w:t>
      </w:r>
      <w:r>
        <w:rPr>
          <w:rtl/>
        </w:rPr>
        <w:t>חַג הַסֻּכּוֹת</w:t>
      </w:r>
      <w:r>
        <w:t xml:space="preserve"> ist die griechische Bezeichnung, die wörtlich "Zeltaufbau" bedeutet.</w:t>
      </w:r>
    </w:p>
    <w:p w14:paraId="1A719010" w14:textId="77777777" w:rsidR="008A57FB" w:rsidRDefault="008A57FB" w:rsidP="008A57FB">
      <w:pPr>
        <w:pStyle w:val="whitespace-normal"/>
      </w:pPr>
      <w:r>
        <w:rPr>
          <w:rStyle w:val="Fett"/>
          <w:rFonts w:eastAsiaTheme="majorEastAsia"/>
        </w:rPr>
        <w:t>Die Satzstruktur:</w:t>
      </w:r>
      <w:r>
        <w:t xml:space="preserve"> Einleitung und Zeitangabe (und Mosche gebot ihnen und sprach: Am Ende von sieben Jahren, zur Zeit des Erlassjahres, am Laubhüttenfest).</w:t>
      </w:r>
    </w:p>
    <w:p w14:paraId="38006AD7" w14:textId="47824129" w:rsidR="008A57FB" w:rsidRDefault="008A57FB" w:rsidP="00B77CC6">
      <w:pPr>
        <w:pStyle w:val="whitespace-normal"/>
      </w:pPr>
      <w:r>
        <w:rPr>
          <w:rStyle w:val="Fett"/>
          <w:rFonts w:eastAsiaTheme="majorEastAsia"/>
        </w:rPr>
        <w:t>Der Vers beschreibt:</w:t>
      </w:r>
      <w:r>
        <w:t xml:space="preserve"> Zeitangabe für die öffentliche </w:t>
      </w:r>
      <w:r w:rsidR="006D3FED">
        <w:t>Torah</w:t>
      </w:r>
      <w:r>
        <w:t>lektüre – alle sieben Jahre beim Laubhüttenfest im Erlassjahr.</w:t>
      </w:r>
    </w:p>
    <w:p w14:paraId="030F89AF" w14:textId="77777777" w:rsidR="008A57FB" w:rsidRPr="008D48A3" w:rsidRDefault="008A57FB" w:rsidP="008D48A3">
      <w:pPr>
        <w:pStyle w:val="Bibelberschrift"/>
      </w:pPr>
      <w:r w:rsidRPr="008D48A3">
        <w:rPr>
          <w:rStyle w:val="Fett"/>
          <w:b/>
          <w:bCs w:val="0"/>
        </w:rPr>
        <w:t>Deuteronomium 31,11</w:t>
      </w:r>
    </w:p>
    <w:p w14:paraId="0621AE4F" w14:textId="77777777" w:rsidR="008A57FB" w:rsidRDefault="008A57FB" w:rsidP="008A57FB">
      <w:pPr>
        <w:pStyle w:val="whitespace-normal"/>
      </w:pPr>
      <w:r>
        <w:rPr>
          <w:rStyle w:val="Fett"/>
          <w:rFonts w:eastAsiaTheme="majorEastAsia"/>
        </w:rPr>
        <w:t>Hebräisch:</w:t>
      </w:r>
      <w:r>
        <w:t xml:space="preserve"> </w:t>
      </w:r>
      <w:r>
        <w:rPr>
          <w:rtl/>
        </w:rPr>
        <w:t>בְּבוֹא כָל־יִשְׂרָאֵל לֵרָאוֹת אֶת־פְּנֵי יְהוָה אֱלֹהֶיךָ בַּמָּקוֹם אֲשֶׁר יִבְחָר תִּקְרָא אֶת־הַתּוֹרָה הַזֹּאת נֶגֶד כָּל־יִשְׂרָאֵל בְּאָזְנֵיהֶם׃</w:t>
      </w:r>
    </w:p>
    <w:p w14:paraId="5528B4DD" w14:textId="0ECC2694" w:rsidR="008A57FB" w:rsidRDefault="008A57FB" w:rsidP="008A57FB">
      <w:pPr>
        <w:pStyle w:val="whitespace-normal"/>
      </w:pPr>
      <w:r>
        <w:rPr>
          <w:rStyle w:val="Fett"/>
          <w:rFonts w:eastAsiaTheme="majorEastAsia"/>
        </w:rPr>
        <w:t>Deutsch:</w:t>
      </w:r>
      <w:r>
        <w:t xml:space="preserve"> Wenn ganz Israel kommt, um vor dem Angesicht des Ewigen, deines Gottes, zu erscheinen an dem Ort, den er erwählen wird, sollst du diese </w:t>
      </w:r>
      <w:r w:rsidR="006D3FED">
        <w:t>Torah</w:t>
      </w:r>
      <w:r>
        <w:t xml:space="preserve"> lesen vor ganz Israel, vor ihren Ohren.</w:t>
      </w:r>
    </w:p>
    <w:p w14:paraId="15AF5A8B" w14:textId="77777777" w:rsidR="008A57FB" w:rsidRDefault="004F5CEB" w:rsidP="008A57FB">
      <w:r>
        <w:rPr>
          <w:noProof/>
        </w:rPr>
        <w:pict w14:anchorId="3C769B5E">
          <v:rect id="_x0000_i1873" style="width:0;height:1.5pt" o:hralign="center" o:hrstd="t" o:hr="t" fillcolor="#a0a0a0" stroked="f"/>
        </w:pict>
      </w:r>
    </w:p>
    <w:p w14:paraId="03315001"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בְּבוֹא כָל־יִשְׂרָאֵל לֵרָאוֹת אֶת־פְּנֵי יְהוָה אֱלֹהֶיךָ בַּמָּקוֹם אֲשֶׁר יִבְחָר תִּקְרָא אֶת־הַתּוֹרָה הַזֹּאת נֶגֶד כָּל־יִשְׂרָאֵל בְּאָזְנֵיהֶם</w:t>
      </w:r>
      <w:r>
        <w:rPr>
          <w:rtl/>
        </w:rPr>
        <w:t xml:space="preserve"> </w:t>
      </w:r>
      <w:r>
        <w:t xml:space="preserve">sind Temporalsatz und Aussage: </w:t>
      </w:r>
      <w:r>
        <w:rPr>
          <w:rStyle w:val="Fett"/>
          <w:rFonts w:eastAsiaTheme="majorEastAsia"/>
          <w:rtl/>
        </w:rPr>
        <w:t>בְּבוֹא כָל־יִשְׂרָאֵל לֵרָאוֹת אֶת־פְּנֵי יְהוָה אֱלֹהֶיךָ בַּמָּקוֹם אֲשֶׁר יִבְחָר</w:t>
      </w:r>
      <w:r>
        <w:rPr>
          <w:rtl/>
        </w:rPr>
        <w:t xml:space="preserve"> </w:t>
      </w:r>
      <w:r>
        <w:t xml:space="preserve">(Temporalsatz: </w:t>
      </w:r>
      <w:r>
        <w:rPr>
          <w:rStyle w:val="Fett"/>
          <w:rFonts w:eastAsiaTheme="majorEastAsia"/>
          <w:rtl/>
        </w:rPr>
        <w:t>בְּ</w:t>
      </w:r>
      <w:r>
        <w:rPr>
          <w:rtl/>
        </w:rPr>
        <w:t xml:space="preserve"> </w:t>
      </w:r>
      <w:r>
        <w:t xml:space="preserve">+ Qal Infinitiv Construct von </w:t>
      </w:r>
      <w:r>
        <w:rPr>
          <w:rStyle w:val="Fett"/>
          <w:rFonts w:eastAsiaTheme="majorEastAsia"/>
          <w:rtl/>
        </w:rPr>
        <w:t>בוא</w:t>
      </w:r>
      <w:r>
        <w:t xml:space="preserve">, </w:t>
      </w:r>
      <w:r>
        <w:rPr>
          <w:rStyle w:val="Fett"/>
          <w:rFonts w:eastAsiaTheme="majorEastAsia"/>
          <w:rtl/>
        </w:rPr>
        <w:t>כָּל־יִשְׂרָאֵל</w:t>
      </w:r>
      <w:r>
        <w:rPr>
          <w:rtl/>
        </w:rPr>
        <w:t xml:space="preserve"> </w:t>
      </w:r>
      <w:r>
        <w:t xml:space="preserve">als Subjekt, Finalsatz: </w:t>
      </w:r>
      <w:r>
        <w:rPr>
          <w:rStyle w:val="Fett"/>
          <w:rFonts w:eastAsiaTheme="majorEastAsia"/>
          <w:rtl/>
        </w:rPr>
        <w:t>לֵרָאוֹת אֶת־פְּנֵי יְהוָה אֱלֹהֶיךָ</w:t>
      </w:r>
      <w:r>
        <w:rPr>
          <w:rtl/>
        </w:rPr>
        <w:t xml:space="preserve"> </w:t>
      </w:r>
      <w:r>
        <w:t xml:space="preserve">mit Präposition </w:t>
      </w:r>
      <w:r>
        <w:rPr>
          <w:rStyle w:val="Fett"/>
          <w:rFonts w:eastAsiaTheme="majorEastAsia"/>
          <w:rtl/>
        </w:rPr>
        <w:t>לְ</w:t>
      </w:r>
      <w:r>
        <w:rPr>
          <w:rtl/>
        </w:rPr>
        <w:t xml:space="preserve"> </w:t>
      </w:r>
      <w:r>
        <w:t xml:space="preserve">+ Niphal Infinitiv Construct von </w:t>
      </w:r>
      <w:r>
        <w:rPr>
          <w:rStyle w:val="Fett"/>
          <w:rFonts w:eastAsiaTheme="majorEastAsia"/>
          <w:rtl/>
        </w:rPr>
        <w:t>ראה</w:t>
      </w:r>
      <w:r>
        <w:t xml:space="preserve">, „erscheinen, gesehen werden", Objektpartikel </w:t>
      </w:r>
      <w:r>
        <w:rPr>
          <w:rStyle w:val="Fett"/>
          <w:rFonts w:eastAsiaTheme="majorEastAsia"/>
          <w:rtl/>
        </w:rPr>
        <w:t>אֵת</w:t>
      </w:r>
      <w:r>
        <w:rPr>
          <w:rtl/>
        </w:rPr>
        <w:t xml:space="preserve"> </w:t>
      </w:r>
      <w:r>
        <w:t xml:space="preserve">mit </w:t>
      </w:r>
      <w:r>
        <w:rPr>
          <w:rStyle w:val="Fett"/>
          <w:rFonts w:eastAsiaTheme="majorEastAsia"/>
          <w:rtl/>
        </w:rPr>
        <w:t>פָּנִים</w:t>
      </w:r>
      <w:r>
        <w:rPr>
          <w:rtl/>
        </w:rPr>
        <w:t xml:space="preserve"> </w:t>
      </w:r>
      <w:r>
        <w:t xml:space="preserve">Plural Construct mit </w:t>
      </w:r>
      <w:r>
        <w:rPr>
          <w:rStyle w:val="Fett"/>
          <w:rFonts w:eastAsiaTheme="majorEastAsia"/>
          <w:rtl/>
        </w:rPr>
        <w:t>יְהוָה אֱלֹהֶיךָ</w:t>
      </w:r>
      <w:r>
        <w:t xml:space="preserve">, </w:t>
      </w:r>
      <w:r>
        <w:rPr>
          <w:rStyle w:val="Fett"/>
          <w:rFonts w:eastAsiaTheme="majorEastAsia"/>
          <w:rtl/>
        </w:rPr>
        <w:t>בַּמָּקוֹם</w:t>
      </w:r>
      <w:r>
        <w:t xml:space="preserve">, Relativsatz wie üblich), </w:t>
      </w:r>
      <w:r>
        <w:rPr>
          <w:rStyle w:val="Fett"/>
          <w:rFonts w:eastAsiaTheme="majorEastAsia"/>
          <w:rtl/>
        </w:rPr>
        <w:t>תִּקְרָא אֶת־הַתּוֹרָה הַזֹּאת נֶגֶד כָּל־יִשְׂרָאֵל בְּאָזְנֵיהֶם</w:t>
      </w:r>
      <w:r>
        <w:rPr>
          <w:rtl/>
        </w:rPr>
        <w:t xml:space="preserve"> </w:t>
      </w:r>
      <w:r>
        <w:t>(</w:t>
      </w:r>
      <w:r>
        <w:rPr>
          <w:rStyle w:val="Fett"/>
          <w:rFonts w:eastAsiaTheme="majorEastAsia"/>
          <w:rtl/>
        </w:rPr>
        <w:t>קרא</w:t>
      </w:r>
      <w:r>
        <w:t xml:space="preserve">, Qal Imperfekt, 2. Person Maskulinum Singular, „lesen, vorlesen", Objektpartikel </w:t>
      </w:r>
      <w:r>
        <w:rPr>
          <w:rStyle w:val="Fett"/>
          <w:rFonts w:eastAsiaTheme="majorEastAsia"/>
          <w:rtl/>
        </w:rPr>
        <w:t>אֵת</w:t>
      </w:r>
      <w:r>
        <w:rPr>
          <w:rtl/>
        </w:rPr>
        <w:t xml:space="preserve"> </w:t>
      </w:r>
      <w:r>
        <w:t xml:space="preserve">mit </w:t>
      </w:r>
      <w:r>
        <w:rPr>
          <w:rStyle w:val="Fett"/>
          <w:rFonts w:eastAsiaTheme="majorEastAsia"/>
          <w:rtl/>
        </w:rPr>
        <w:t>תּוֹרָה</w:t>
      </w:r>
      <w:r>
        <w:rPr>
          <w:rtl/>
        </w:rPr>
        <w:t xml:space="preserve"> </w:t>
      </w:r>
      <w:r>
        <w:t xml:space="preserve">mit Artikel, </w:t>
      </w:r>
      <w:r>
        <w:rPr>
          <w:rStyle w:val="Fett"/>
          <w:rFonts w:eastAsiaTheme="majorEastAsia"/>
          <w:rtl/>
        </w:rPr>
        <w:t>זֹאת</w:t>
      </w:r>
      <w:r>
        <w:t xml:space="preserve">, </w:t>
      </w:r>
      <w:r>
        <w:rPr>
          <w:rStyle w:val="Fett"/>
          <w:rFonts w:eastAsiaTheme="majorEastAsia"/>
          <w:rtl/>
        </w:rPr>
        <w:t>נֶגֶד כָּל־יִשְׂרָאֵל</w:t>
      </w:r>
      <w:r>
        <w:t xml:space="preserve">, </w:t>
      </w:r>
      <w:r>
        <w:rPr>
          <w:rStyle w:val="Fett"/>
          <w:rFonts w:eastAsiaTheme="majorEastAsia"/>
          <w:rtl/>
        </w:rPr>
        <w:t>בְּאָזְנֵיהֶם</w:t>
      </w:r>
      <w:r>
        <w:t>).</w:t>
      </w:r>
    </w:p>
    <w:p w14:paraId="15D6F11C" w14:textId="573C7293" w:rsidR="008A57FB" w:rsidRDefault="008A57FB" w:rsidP="008A57FB">
      <w:pPr>
        <w:pStyle w:val="whitespace-normal"/>
      </w:pPr>
      <w:r>
        <w:lastRenderedPageBreak/>
        <w:t xml:space="preserve">Der Vers beschreibt den Anlass und die Durchführung der </w:t>
      </w:r>
      <w:r w:rsidR="006D3FED">
        <w:t>Torah</w:t>
      </w:r>
      <w:r>
        <w:t xml:space="preserve">lektüre. Der Temporalsatz: </w:t>
      </w:r>
      <w:r>
        <w:rPr>
          <w:rStyle w:val="Fett"/>
          <w:rFonts w:eastAsiaTheme="majorEastAsia"/>
          <w:rtl/>
        </w:rPr>
        <w:t>בְּבוֹא כָל־יִשְׂרָאֵל לֵרָאוֹת אֶת־פְּנֵי יְהוָה אֱלֹהֶיךָ בַּמָּקוֹם אֲשֶׁר יִבְחָר</w:t>
      </w:r>
      <w:r>
        <w:rPr>
          <w:rtl/>
        </w:rPr>
        <w:t xml:space="preserve"> </w:t>
      </w:r>
      <w:r>
        <w:t xml:space="preserve">(„wenn ganz Israel kommt, um zu erscheinen vor dem Angesicht </w:t>
      </w:r>
      <w:r w:rsidR="00DF3D1A">
        <w:t>JHWHs</w:t>
      </w:r>
      <w:r>
        <w:t xml:space="preserve">, deines Gottes, an dem Ort, den er erwählen wird"). Die Formulierung </w:t>
      </w:r>
      <w:r>
        <w:rPr>
          <w:rStyle w:val="Fett"/>
          <w:rFonts w:eastAsiaTheme="majorEastAsia"/>
          <w:rtl/>
        </w:rPr>
        <w:t>לֵרָאוֹת אֶת־פְּנֵי יְהוָה</w:t>
      </w:r>
      <w:r>
        <w:rPr>
          <w:rtl/>
        </w:rPr>
        <w:t xml:space="preserve"> </w:t>
      </w:r>
      <w:r>
        <w:t xml:space="preserve">(„zu erscheinen vor dem Angesicht </w:t>
      </w:r>
      <w:r w:rsidR="00DF3D1A">
        <w:t xml:space="preserve">JHWHs </w:t>
      </w:r>
      <w:r>
        <w:t xml:space="preserve">") ist die klassische Formel für Wallfahrt zum Heiligtum (vgl. 16,16; Ex 23,17; 34,23-24; </w:t>
      </w:r>
      <w:r w:rsidR="00664EB6">
        <w:t>1Sam</w:t>
      </w:r>
      <w:r>
        <w:t xml:space="preserve"> 1,22; Jes 1,12). Die Formulierung </w:t>
      </w:r>
      <w:r>
        <w:rPr>
          <w:rStyle w:val="Fett"/>
          <w:rFonts w:eastAsiaTheme="majorEastAsia"/>
          <w:rtl/>
        </w:rPr>
        <w:t>בַּמָּקוֹם אֲשֶׁר יִבְחָר</w:t>
      </w:r>
      <w:r>
        <w:rPr>
          <w:rtl/>
        </w:rPr>
        <w:t xml:space="preserve"> </w:t>
      </w:r>
      <w:r>
        <w:t xml:space="preserve">(„an dem Ort, den er erwählen wird") ist die charakteristische deuteronomistische Formel für das zentrale Heiligtum (vgl. 12,5.11.14.18.21.26; 14,23-25; 16,2.6-7.11.15-16; 17,8.10; 18,6; 26,2). Die Aussage: </w:t>
      </w:r>
      <w:r>
        <w:rPr>
          <w:rStyle w:val="Fett"/>
          <w:rFonts w:eastAsiaTheme="majorEastAsia"/>
          <w:rtl/>
        </w:rPr>
        <w:t>תִּקְרָא אֶת־הַתּוֹרָה הַזֹּאת נֶגֶד כָּל־יִשְׂרָאֵל בְּאָזְנֵיהֶם</w:t>
      </w:r>
      <w:r>
        <w:rPr>
          <w:rtl/>
        </w:rPr>
        <w:t xml:space="preserve"> </w:t>
      </w:r>
      <w:r>
        <w:t xml:space="preserve">(„sollst du lesen diese </w:t>
      </w:r>
      <w:r w:rsidR="006D3FED">
        <w:t>Torah</w:t>
      </w:r>
      <w:r>
        <w:t xml:space="preserve"> vor ganz Israel, vor ihren Ohren"). Die beiden Formulierungen </w:t>
      </w:r>
      <w:r>
        <w:rPr>
          <w:rStyle w:val="Fett"/>
          <w:rFonts w:eastAsiaTheme="majorEastAsia"/>
          <w:rtl/>
        </w:rPr>
        <w:t>נֶגֶד כָּל־יִשְׂרָאֵל</w:t>
      </w:r>
      <w:r>
        <w:rPr>
          <w:rtl/>
        </w:rPr>
        <w:t xml:space="preserve"> </w:t>
      </w:r>
      <w:r>
        <w:t xml:space="preserve">(„vor ganz Israel") und </w:t>
      </w:r>
      <w:r>
        <w:rPr>
          <w:rStyle w:val="Fett"/>
          <w:rFonts w:eastAsiaTheme="majorEastAsia"/>
          <w:rtl/>
        </w:rPr>
        <w:t>בְּאָזְנֵיהֶם</w:t>
      </w:r>
      <w:r>
        <w:rPr>
          <w:rtl/>
        </w:rPr>
        <w:t xml:space="preserve"> </w:t>
      </w:r>
      <w:r>
        <w:t>(„vor ihren Ohren") betonen: öffentliche, hörbare Lektüre für alle.</w:t>
      </w:r>
    </w:p>
    <w:p w14:paraId="71EC823B" w14:textId="53BE390D" w:rsidR="008A57FB" w:rsidRDefault="008A57FB" w:rsidP="008A57FB">
      <w:pPr>
        <w:pStyle w:val="whitespace-normal"/>
      </w:pPr>
      <w:r>
        <w:rPr>
          <w:rStyle w:val="Fett"/>
          <w:rFonts w:eastAsiaTheme="majorEastAsia"/>
        </w:rPr>
        <w:t>Die Satzstruktur:</w:t>
      </w:r>
      <w:r>
        <w:t xml:space="preserve"> Temporalsatz und Aussage (wenn ganz Israel kommt, um zu erscheinen vor dem Angesicht </w:t>
      </w:r>
      <w:r w:rsidR="00DF3D1A">
        <w:t>JHWHs</w:t>
      </w:r>
      <w:r>
        <w:t xml:space="preserve">, deines Gottes, an dem Ort, den er erwählen wird, sollst du lesen diese </w:t>
      </w:r>
      <w:r w:rsidR="006D3FED">
        <w:t>Torah</w:t>
      </w:r>
      <w:r>
        <w:t xml:space="preserve"> vor ganz Israel, vor ihren Ohren).</w:t>
      </w:r>
    </w:p>
    <w:p w14:paraId="194D1815" w14:textId="5CD7D957" w:rsidR="008A57FB" w:rsidRDefault="008A57FB" w:rsidP="008A57FB">
      <w:pPr>
        <w:pStyle w:val="whitespace-normal"/>
      </w:pPr>
      <w:r>
        <w:rPr>
          <w:rStyle w:val="Fett"/>
          <w:rFonts w:eastAsiaTheme="majorEastAsia"/>
        </w:rPr>
        <w:t>Der Vers beschreibt:</w:t>
      </w:r>
      <w:r>
        <w:t xml:space="preserve"> Anlass und Durchführung – bei der Wallfahrt zum zentralen Heiligtum soll die </w:t>
      </w:r>
      <w:r w:rsidR="006D3FED">
        <w:t>Torah</w:t>
      </w:r>
      <w:r>
        <w:t xml:space="preserve"> öffentlich vorgelesen werden.</w:t>
      </w:r>
    </w:p>
    <w:p w14:paraId="7DD91591" w14:textId="77777777" w:rsidR="008A57FB" w:rsidRPr="008D48A3" w:rsidRDefault="008A57FB" w:rsidP="008D48A3">
      <w:pPr>
        <w:pStyle w:val="Bibelberschrift"/>
      </w:pPr>
      <w:r w:rsidRPr="008D48A3">
        <w:rPr>
          <w:rStyle w:val="Fett"/>
          <w:b/>
          <w:bCs w:val="0"/>
        </w:rPr>
        <w:t>Deuteronomium 31,12</w:t>
      </w:r>
    </w:p>
    <w:p w14:paraId="0C1D567D" w14:textId="77777777" w:rsidR="008A57FB" w:rsidRDefault="008A57FB" w:rsidP="008A57FB">
      <w:pPr>
        <w:pStyle w:val="whitespace-normal"/>
      </w:pPr>
      <w:r>
        <w:rPr>
          <w:rStyle w:val="Fett"/>
          <w:rFonts w:eastAsiaTheme="majorEastAsia"/>
        </w:rPr>
        <w:t>Hebräisch:</w:t>
      </w:r>
      <w:r>
        <w:t xml:space="preserve"> </w:t>
      </w:r>
      <w:r>
        <w:rPr>
          <w:rtl/>
        </w:rPr>
        <w:t>הַקְהֵל אֶת־הָעָם הָאֲנָשִׁים וְהַנָּשִׁים וְהַטַּף וְגֵרְךָ אֲשֶׁר בִּשְׁעָרֶיךָ לְמַעַן יִשְׁמְעוּ וּלְמַעַן יִלְמְדוּ וְיָרְאוּ אֶת־יְהוָה אֱלֹהֵיכֶם וְשָׁמְרוּ לַעֲשׂוֹת אֶת־כָּל־דִּבְרֵי הַתּוֹרָה הַזֹּאת׃</w:t>
      </w:r>
    </w:p>
    <w:p w14:paraId="5C8BA1CC" w14:textId="753024B3" w:rsidR="008A57FB" w:rsidRDefault="008A57FB" w:rsidP="008A57FB">
      <w:pPr>
        <w:pStyle w:val="whitespace-normal"/>
      </w:pPr>
      <w:r>
        <w:rPr>
          <w:rStyle w:val="Fett"/>
          <w:rFonts w:eastAsiaTheme="majorEastAsia"/>
        </w:rPr>
        <w:t>Deutsch:</w:t>
      </w:r>
      <w:r>
        <w:t xml:space="preserve"> Versammle das Volk, die Männer und die Frauen und die Kinder und deinen Fremden, der in deinen Toren ist, damit sie hören und damit sie lernen und den Ewigen, euren Gott, fürchten und darauf achten, alle Worte dieser </w:t>
      </w:r>
      <w:r w:rsidR="006D3FED">
        <w:t>Torah</w:t>
      </w:r>
      <w:r>
        <w:t xml:space="preserve"> zu tun.</w:t>
      </w:r>
    </w:p>
    <w:p w14:paraId="73CAE546" w14:textId="77777777" w:rsidR="008A57FB" w:rsidRDefault="004F5CEB" w:rsidP="008A57FB">
      <w:r>
        <w:rPr>
          <w:noProof/>
        </w:rPr>
        <w:pict w14:anchorId="7A10596D">
          <v:rect id="_x0000_i1874" style="width:0;height:1.5pt" o:hralign="center" o:hrstd="t" o:hr="t" fillcolor="#a0a0a0" stroked="f"/>
        </w:pict>
      </w:r>
    </w:p>
    <w:p w14:paraId="49CAAA49"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הַקְהֵל אֶת־הָעָם הָאֲנָשִׁים וְהַנָּשִׁים וְהַטַּף וְגֵרְךָ אֲשֶׁר בִּשְׁעָרֶיךָ לְמַעַן יִשְׁמְעוּ וּלְמַעַן יִלְמְדוּ וְיָרְאוּ אֶת־יְהוָה אֱלֹהֵיכֶם וְשָׁמְרוּ לַעֲשׂוֹת אֶת־כָּל־דִּבְרֵי הַתּוֹרָה הַזֹּאת</w:t>
      </w:r>
      <w:r>
        <w:rPr>
          <w:rtl/>
        </w:rPr>
        <w:t xml:space="preserve"> </w:t>
      </w:r>
      <w:r>
        <w:t xml:space="preserve">sind Imperativ und vier Finalsätze: </w:t>
      </w:r>
      <w:r>
        <w:rPr>
          <w:rStyle w:val="Fett"/>
          <w:rFonts w:eastAsiaTheme="majorEastAsia"/>
          <w:rtl/>
        </w:rPr>
        <w:t>הַקְהֵל אֶת־הָעָם הָאֲנָשִׁים וְהַנָּשִׁים וְהַטַּף וְגֵרְךָ אֲשֶׁר בִּשְׁעָרֶיךָ</w:t>
      </w:r>
      <w:r>
        <w:rPr>
          <w:rtl/>
        </w:rPr>
        <w:t xml:space="preserve"> </w:t>
      </w:r>
      <w:r>
        <w:t>(</w:t>
      </w:r>
      <w:r>
        <w:rPr>
          <w:rStyle w:val="Fett"/>
          <w:rFonts w:eastAsiaTheme="majorEastAsia"/>
          <w:rtl/>
        </w:rPr>
        <w:t>קהל</w:t>
      </w:r>
      <w:r>
        <w:t xml:space="preserve">, Hiphil Imperativ, Maskulinum Singular, „versammeln", Objektpartikel </w:t>
      </w:r>
      <w:r>
        <w:rPr>
          <w:rStyle w:val="Fett"/>
          <w:rFonts w:eastAsiaTheme="majorEastAsia"/>
          <w:rtl/>
        </w:rPr>
        <w:t>אֵת</w:t>
      </w:r>
      <w:r>
        <w:rPr>
          <w:rtl/>
        </w:rPr>
        <w:t xml:space="preserve"> </w:t>
      </w:r>
      <w:r>
        <w:t xml:space="preserve">mit </w:t>
      </w:r>
      <w:r>
        <w:rPr>
          <w:rStyle w:val="Fett"/>
          <w:rFonts w:eastAsiaTheme="majorEastAsia"/>
          <w:rtl/>
        </w:rPr>
        <w:t>עַם</w:t>
      </w:r>
      <w:r>
        <w:rPr>
          <w:rtl/>
        </w:rPr>
        <w:t xml:space="preserve"> </w:t>
      </w:r>
      <w:r>
        <w:t xml:space="preserve">mit Artikel, vier Appositionen koordiniert: </w:t>
      </w:r>
      <w:r>
        <w:rPr>
          <w:rStyle w:val="Fett"/>
          <w:rFonts w:eastAsiaTheme="majorEastAsia"/>
          <w:rtl/>
        </w:rPr>
        <w:t>אִישׁ</w:t>
      </w:r>
      <w:r>
        <w:rPr>
          <w:rtl/>
        </w:rPr>
        <w:t xml:space="preserve"> </w:t>
      </w:r>
      <w:r>
        <w:t xml:space="preserve">Plural mit Artikel, „Männer", </w:t>
      </w:r>
      <w:r>
        <w:rPr>
          <w:rStyle w:val="Fett"/>
          <w:rFonts w:eastAsiaTheme="majorEastAsia"/>
          <w:rtl/>
        </w:rPr>
        <w:t>אִשָּׁה</w:t>
      </w:r>
      <w:r>
        <w:rPr>
          <w:rtl/>
        </w:rPr>
        <w:t xml:space="preserve"> </w:t>
      </w:r>
      <w:r>
        <w:t xml:space="preserve">Plural mit Artikel, „Frauen", </w:t>
      </w:r>
      <w:r>
        <w:rPr>
          <w:rStyle w:val="Fett"/>
          <w:rFonts w:eastAsiaTheme="majorEastAsia"/>
          <w:rtl/>
        </w:rPr>
        <w:t>טַף</w:t>
      </w:r>
      <w:r>
        <w:rPr>
          <w:rtl/>
        </w:rPr>
        <w:t xml:space="preserve"> </w:t>
      </w:r>
      <w:r>
        <w:t xml:space="preserve">mit Artikel, „Kinder, Kleinkinder", </w:t>
      </w:r>
      <w:r>
        <w:rPr>
          <w:rStyle w:val="Fett"/>
          <w:rFonts w:eastAsiaTheme="majorEastAsia"/>
          <w:rtl/>
        </w:rPr>
        <w:t>גֵּר</w:t>
      </w:r>
      <w:r>
        <w:rPr>
          <w:rtl/>
        </w:rPr>
        <w:t xml:space="preserve"> </w:t>
      </w:r>
      <w:r>
        <w:t xml:space="preserve">mit Suffix 2. Person Maskulinum Singular, „Fremder", Relativsatz: </w:t>
      </w:r>
      <w:r>
        <w:rPr>
          <w:rStyle w:val="Fett"/>
          <w:rFonts w:eastAsiaTheme="majorEastAsia"/>
          <w:rtl/>
        </w:rPr>
        <w:t>אֲשֶׁר בִּשְׁעָרֶיךָ</w:t>
      </w:r>
      <w:r>
        <w:t xml:space="preserve">), </w:t>
      </w:r>
      <w:r>
        <w:rPr>
          <w:rStyle w:val="Fett"/>
          <w:rFonts w:eastAsiaTheme="majorEastAsia"/>
          <w:rtl/>
        </w:rPr>
        <w:t>לְמַעַן יִשְׁמְעוּ וּלְמַעַן יִלְמְדוּ וְיָרְאוּ אֶת־יְהוָה אֱלֹהֵיכֶם וְשָׁמְרוּ לַעֲשׂוֹת אֶת־כָּל־דִּבְרֵי הַתּוֹרָה הַזֹּאת</w:t>
      </w:r>
      <w:r>
        <w:rPr>
          <w:rtl/>
        </w:rPr>
        <w:t xml:space="preserve"> </w:t>
      </w:r>
      <w:r>
        <w:t xml:space="preserve">(vier Finalsätze: (1) </w:t>
      </w:r>
      <w:r>
        <w:rPr>
          <w:rStyle w:val="Fett"/>
          <w:rFonts w:eastAsiaTheme="majorEastAsia"/>
          <w:rtl/>
        </w:rPr>
        <w:t>לְמַעַן</w:t>
      </w:r>
      <w:r>
        <w:rPr>
          <w:rtl/>
        </w:rPr>
        <w:t xml:space="preserve"> </w:t>
      </w:r>
      <w:r>
        <w:t xml:space="preserve">mit </w:t>
      </w:r>
      <w:r>
        <w:rPr>
          <w:rStyle w:val="Fett"/>
          <w:rFonts w:eastAsiaTheme="majorEastAsia"/>
          <w:rtl/>
        </w:rPr>
        <w:t>שׁמע</w:t>
      </w:r>
      <w:r>
        <w:t xml:space="preserve">, Qal Imperfekt, 3. Person Plural, (2) koordiniert durch </w:t>
      </w:r>
      <w:r>
        <w:rPr>
          <w:rStyle w:val="Fett"/>
          <w:rFonts w:eastAsiaTheme="majorEastAsia"/>
          <w:rtl/>
        </w:rPr>
        <w:t>וּ</w:t>
      </w:r>
      <w:r>
        <w:rPr>
          <w:rtl/>
        </w:rPr>
        <w:t xml:space="preserve"> </w:t>
      </w:r>
      <w:r>
        <w:t xml:space="preserve">mit </w:t>
      </w:r>
      <w:r>
        <w:rPr>
          <w:rStyle w:val="Fett"/>
          <w:rFonts w:eastAsiaTheme="majorEastAsia"/>
          <w:rtl/>
        </w:rPr>
        <w:t>לְמַעַן</w:t>
      </w:r>
      <w:r>
        <w:t xml:space="preserve">, </w:t>
      </w:r>
      <w:r>
        <w:rPr>
          <w:rStyle w:val="Fett"/>
          <w:rFonts w:eastAsiaTheme="majorEastAsia"/>
          <w:rtl/>
        </w:rPr>
        <w:t>למד</w:t>
      </w:r>
      <w:r>
        <w:t xml:space="preserve">, Qal Imperfekt, 3. Person Plural, (3) koordiniert durch </w:t>
      </w:r>
      <w:r>
        <w:rPr>
          <w:rStyle w:val="Fett"/>
          <w:rFonts w:eastAsiaTheme="majorEastAsia"/>
          <w:rtl/>
        </w:rPr>
        <w:t>וְ</w:t>
      </w:r>
      <w:r>
        <w:rPr>
          <w:rtl/>
        </w:rPr>
        <w:t xml:space="preserve"> </w:t>
      </w:r>
      <w:r>
        <w:t xml:space="preserve">mit </w:t>
      </w:r>
      <w:r>
        <w:rPr>
          <w:rStyle w:val="Fett"/>
          <w:rFonts w:eastAsiaTheme="majorEastAsia"/>
          <w:rtl/>
        </w:rPr>
        <w:t>ירא</w:t>
      </w:r>
      <w:r>
        <w:t xml:space="preserve">, Qal Perfekt, 3. Person Plural, Objektpartikel </w:t>
      </w:r>
      <w:r>
        <w:rPr>
          <w:rStyle w:val="Fett"/>
          <w:rFonts w:eastAsiaTheme="majorEastAsia"/>
          <w:rtl/>
        </w:rPr>
        <w:t>אֵת</w:t>
      </w:r>
      <w:r>
        <w:rPr>
          <w:rtl/>
        </w:rPr>
        <w:t xml:space="preserve"> </w:t>
      </w:r>
      <w:r>
        <w:t xml:space="preserve">mit </w:t>
      </w:r>
      <w:r>
        <w:rPr>
          <w:rStyle w:val="Fett"/>
          <w:rFonts w:eastAsiaTheme="majorEastAsia"/>
          <w:rtl/>
        </w:rPr>
        <w:t>יְהוָה אֱלֹהֵיכֶם</w:t>
      </w:r>
      <w:r>
        <w:t xml:space="preserve">, mit </w:t>
      </w:r>
      <w:r>
        <w:rPr>
          <w:rStyle w:val="Fett"/>
          <w:rFonts w:eastAsiaTheme="majorEastAsia"/>
        </w:rPr>
        <w:t>Waw</w:t>
      </w:r>
      <w:r>
        <w:t xml:space="preserve"> consecutivum, (4) koordiniert durch </w:t>
      </w:r>
      <w:r>
        <w:rPr>
          <w:rStyle w:val="Fett"/>
          <w:rFonts w:eastAsiaTheme="majorEastAsia"/>
          <w:rtl/>
        </w:rPr>
        <w:t>וְ</w:t>
      </w:r>
      <w:r>
        <w:rPr>
          <w:rtl/>
        </w:rPr>
        <w:t xml:space="preserve"> </w:t>
      </w:r>
      <w:r>
        <w:t xml:space="preserve">mit </w:t>
      </w:r>
      <w:r>
        <w:rPr>
          <w:rStyle w:val="Fett"/>
          <w:rFonts w:eastAsiaTheme="majorEastAsia"/>
          <w:rtl/>
        </w:rPr>
        <w:t>שׁמר</w:t>
      </w:r>
      <w:r>
        <w:t xml:space="preserve">, Qal Perfekt, 3. Person Plural, Finalsatz </w:t>
      </w:r>
      <w:r>
        <w:rPr>
          <w:rStyle w:val="Fett"/>
          <w:rFonts w:eastAsiaTheme="majorEastAsia"/>
          <w:rtl/>
        </w:rPr>
        <w:t>לַעֲשׂוֹת</w:t>
      </w:r>
      <w:r>
        <w:rPr>
          <w:rtl/>
        </w:rPr>
        <w:t xml:space="preserve"> </w:t>
      </w:r>
      <w:r>
        <w:t xml:space="preserve">mit Präposition </w:t>
      </w:r>
      <w:r>
        <w:rPr>
          <w:rStyle w:val="Fett"/>
          <w:rFonts w:eastAsiaTheme="majorEastAsia"/>
          <w:rtl/>
        </w:rPr>
        <w:t>לְ</w:t>
      </w:r>
      <w:r>
        <w:rPr>
          <w:rtl/>
        </w:rPr>
        <w:t xml:space="preserve"> </w:t>
      </w:r>
      <w:r>
        <w:t xml:space="preserve">+ Qal Infinitiv Construct von </w:t>
      </w:r>
      <w:r>
        <w:rPr>
          <w:rStyle w:val="Fett"/>
          <w:rFonts w:eastAsiaTheme="majorEastAsia"/>
          <w:rtl/>
        </w:rPr>
        <w:t>עשׂה</w:t>
      </w:r>
      <w:r>
        <w:t xml:space="preserve">, Objektpartikel </w:t>
      </w:r>
      <w:r>
        <w:rPr>
          <w:rStyle w:val="Fett"/>
          <w:rFonts w:eastAsiaTheme="majorEastAsia"/>
          <w:rtl/>
        </w:rPr>
        <w:t>אֵת</w:t>
      </w:r>
      <w:r>
        <w:rPr>
          <w:rtl/>
        </w:rPr>
        <w:t xml:space="preserve"> </w:t>
      </w:r>
      <w:r>
        <w:t xml:space="preserve">mit </w:t>
      </w:r>
      <w:r>
        <w:rPr>
          <w:rStyle w:val="Fett"/>
          <w:rFonts w:eastAsiaTheme="majorEastAsia"/>
          <w:rtl/>
        </w:rPr>
        <w:t>כָּל־דָּבָר</w:t>
      </w:r>
      <w:r>
        <w:rPr>
          <w:rtl/>
        </w:rPr>
        <w:t xml:space="preserve"> </w:t>
      </w:r>
      <w:r>
        <w:t xml:space="preserve">Plural Construct mit </w:t>
      </w:r>
      <w:r>
        <w:rPr>
          <w:rStyle w:val="Fett"/>
          <w:rFonts w:eastAsiaTheme="majorEastAsia"/>
          <w:rtl/>
        </w:rPr>
        <w:t>תּוֹרָה</w:t>
      </w:r>
      <w:r>
        <w:rPr>
          <w:rtl/>
        </w:rPr>
        <w:t xml:space="preserve"> </w:t>
      </w:r>
      <w:r>
        <w:t xml:space="preserve">mit Artikel, </w:t>
      </w:r>
      <w:r>
        <w:rPr>
          <w:rStyle w:val="Fett"/>
          <w:rFonts w:eastAsiaTheme="majorEastAsia"/>
          <w:rtl/>
        </w:rPr>
        <w:t>זֹאת</w:t>
      </w:r>
      <w:r>
        <w:t xml:space="preserve">, mit </w:t>
      </w:r>
      <w:r>
        <w:rPr>
          <w:rStyle w:val="Fett"/>
          <w:rFonts w:eastAsiaTheme="majorEastAsia"/>
        </w:rPr>
        <w:t>Waw</w:t>
      </w:r>
      <w:r>
        <w:t xml:space="preserve"> consecutivum).</w:t>
      </w:r>
    </w:p>
    <w:p w14:paraId="7EF39619" w14:textId="4EFF2959" w:rsidR="008A57FB" w:rsidRDefault="008A57FB" w:rsidP="008A57FB">
      <w:pPr>
        <w:pStyle w:val="whitespace-normal"/>
      </w:pPr>
      <w:r>
        <w:t xml:space="preserve">Der Vers beschreibt die universale Teilnahme und den vierfachen Zweck der </w:t>
      </w:r>
      <w:r w:rsidR="006D3FED">
        <w:t>Torah</w:t>
      </w:r>
      <w:r>
        <w:t xml:space="preserve">lektüre. Der Imperativ: </w:t>
      </w:r>
      <w:r>
        <w:rPr>
          <w:rStyle w:val="Fett"/>
          <w:rFonts w:eastAsiaTheme="majorEastAsia"/>
          <w:rtl/>
        </w:rPr>
        <w:t>הַקְהֵל אֶת־הָעָם הָאֲנָשִׁים וְהַנָּשִׁים וְהַטַּף וְגֵרְךָ אֲשֶׁר בִּשְׁעָרֶיךָ</w:t>
      </w:r>
      <w:r>
        <w:rPr>
          <w:rtl/>
        </w:rPr>
        <w:t xml:space="preserve"> </w:t>
      </w:r>
      <w:r>
        <w:t xml:space="preserve">(„versammle das Volk, die Männer und die Frauen und die Kinder und deinen Fremden, der in deinen Toren ist"). Vier </w:t>
      </w:r>
      <w:r>
        <w:lastRenderedPageBreak/>
        <w:t xml:space="preserve">Gruppen werden ausdrücklich genannt: (1) </w:t>
      </w:r>
      <w:r>
        <w:rPr>
          <w:rStyle w:val="Fett"/>
          <w:rFonts w:eastAsiaTheme="majorEastAsia"/>
          <w:rtl/>
        </w:rPr>
        <w:t>הָאֲנָשִׁים</w:t>
      </w:r>
      <w:r>
        <w:rPr>
          <w:rtl/>
        </w:rPr>
        <w:t xml:space="preserve"> </w:t>
      </w:r>
      <w:r>
        <w:t xml:space="preserve">(„die Männer"), (2) </w:t>
      </w:r>
      <w:r>
        <w:rPr>
          <w:rStyle w:val="Fett"/>
          <w:rFonts w:eastAsiaTheme="majorEastAsia"/>
          <w:rtl/>
        </w:rPr>
        <w:t>הַנָּשִׁים</w:t>
      </w:r>
      <w:r>
        <w:rPr>
          <w:rtl/>
        </w:rPr>
        <w:t xml:space="preserve"> </w:t>
      </w:r>
      <w:r>
        <w:t xml:space="preserve">(„die Frauen") – ungewöhnlich, da Frauen oft nicht explizit erwähnt werden, (3) </w:t>
      </w:r>
      <w:r>
        <w:rPr>
          <w:rStyle w:val="Fett"/>
          <w:rFonts w:eastAsiaTheme="majorEastAsia"/>
          <w:rtl/>
        </w:rPr>
        <w:t>הַטַּף</w:t>
      </w:r>
      <w:r>
        <w:rPr>
          <w:rtl/>
        </w:rPr>
        <w:t xml:space="preserve"> </w:t>
      </w:r>
      <w:r>
        <w:t xml:space="preserve">(„die Kinder, Kleinkinder") – noch bemerkenswerter, (4) </w:t>
      </w:r>
      <w:r>
        <w:rPr>
          <w:rStyle w:val="Fett"/>
          <w:rFonts w:eastAsiaTheme="majorEastAsia"/>
          <w:rtl/>
        </w:rPr>
        <w:t>גֵרְךָ אֲשֶׁר בִּשְׁעָרֶיךָ</w:t>
      </w:r>
      <w:r>
        <w:rPr>
          <w:rtl/>
        </w:rPr>
        <w:t xml:space="preserve"> </w:t>
      </w:r>
      <w:r>
        <w:t xml:space="preserve">(„dein Fremder, der in deinen Toren ist") – auch die Fremden sollen teilnehmen. Dies ist eine der inklusivsten Versammlungen im Alten Testament. Die vier Finalsätze beschreiben den Zweck: </w:t>
      </w:r>
      <w:r>
        <w:rPr>
          <w:rStyle w:val="Fett"/>
          <w:rFonts w:eastAsiaTheme="majorEastAsia"/>
          <w:rtl/>
        </w:rPr>
        <w:t>לְמַעַן יִשְׁמְעוּ וּלְמַעַן יִלְמְדוּ וְיָרְאוּ אֶת־יְהוָה אֱלֹהֵיכֶם וְשָׁמְרוּ לַעֲשׂוֹת אֶת־כָּל־דִּבְרֵי הַתּוֹרָה הַזֹּאת</w:t>
      </w:r>
      <w:r>
        <w:rPr>
          <w:rtl/>
        </w:rPr>
        <w:t xml:space="preserve"> </w:t>
      </w:r>
      <w:r>
        <w:t xml:space="preserve">(„damit sie hören und damit sie lernen und fürchten </w:t>
      </w:r>
      <w:r w:rsidR="00DF3D1A">
        <w:t>JHWH</w:t>
      </w:r>
      <w:r>
        <w:t xml:space="preserve">, euren Gott, und darauf achten, zu tun alle Worte dieser </w:t>
      </w:r>
      <w:r w:rsidR="006D3FED">
        <w:t>Torah</w:t>
      </w:r>
      <w:r>
        <w:t xml:space="preserve">"). Vier Stufen: (1) </w:t>
      </w:r>
      <w:r>
        <w:rPr>
          <w:rStyle w:val="Fett"/>
          <w:rFonts w:eastAsiaTheme="majorEastAsia"/>
          <w:rtl/>
        </w:rPr>
        <w:t>ישׁמעו</w:t>
      </w:r>
      <w:r>
        <w:rPr>
          <w:rtl/>
        </w:rPr>
        <w:t xml:space="preserve"> </w:t>
      </w:r>
      <w:r>
        <w:t xml:space="preserve">(„hören"), (2) </w:t>
      </w:r>
      <w:r>
        <w:rPr>
          <w:rStyle w:val="Fett"/>
          <w:rFonts w:eastAsiaTheme="majorEastAsia"/>
          <w:rtl/>
        </w:rPr>
        <w:t>ילמדו</w:t>
      </w:r>
      <w:r>
        <w:rPr>
          <w:rtl/>
        </w:rPr>
        <w:t xml:space="preserve"> </w:t>
      </w:r>
      <w:r>
        <w:t xml:space="preserve">(„lernen"), (3) </w:t>
      </w:r>
      <w:r>
        <w:rPr>
          <w:rStyle w:val="Fett"/>
          <w:rFonts w:eastAsiaTheme="majorEastAsia"/>
          <w:rtl/>
        </w:rPr>
        <w:t>יראו</w:t>
      </w:r>
      <w:r>
        <w:rPr>
          <w:rtl/>
        </w:rPr>
        <w:t xml:space="preserve"> </w:t>
      </w:r>
      <w:r>
        <w:t xml:space="preserve">(„fürchten"), (4) </w:t>
      </w:r>
      <w:r>
        <w:rPr>
          <w:rStyle w:val="Fett"/>
          <w:rFonts w:eastAsiaTheme="majorEastAsia"/>
          <w:rtl/>
        </w:rPr>
        <w:t>שׁמרו לעשׂות</w:t>
      </w:r>
      <w:r>
        <w:rPr>
          <w:rtl/>
        </w:rPr>
        <w:t xml:space="preserve"> </w:t>
      </w:r>
      <w:r>
        <w:t>(„achten darauf zu tun") – vollständige Kette von Hören bis zum Tun (vgl. 4,1.5-6.10; 5,1; 6,1-3).</w:t>
      </w:r>
    </w:p>
    <w:p w14:paraId="61D22648" w14:textId="56362070" w:rsidR="008A57FB" w:rsidRDefault="008A57FB" w:rsidP="008A57FB">
      <w:pPr>
        <w:pStyle w:val="whitespace-normal"/>
      </w:pPr>
      <w:r>
        <w:rPr>
          <w:rStyle w:val="Fett"/>
          <w:rFonts w:eastAsiaTheme="majorEastAsia"/>
        </w:rPr>
        <w:t>Die Satzstruktur:</w:t>
      </w:r>
      <w:r>
        <w:t xml:space="preserve"> Imperativ und vier Finalsätze (versammle das Volk, die Männer und die Frauen und die Kinder und deinen Fremden, der in deinen Toren ist, damit sie hören und damit sie lernen und fürchten </w:t>
      </w:r>
      <w:r w:rsidR="00DF3D1A">
        <w:t>JHWH</w:t>
      </w:r>
      <w:r>
        <w:t xml:space="preserve">, euren Gott, und darauf achten, zu tun alle Worte dieser </w:t>
      </w:r>
      <w:r w:rsidR="006D3FED">
        <w:t>Torah</w:t>
      </w:r>
      <w:r>
        <w:t>).</w:t>
      </w:r>
    </w:p>
    <w:p w14:paraId="432B93C2" w14:textId="274505BC" w:rsidR="008A57FB" w:rsidRDefault="008A57FB" w:rsidP="00B77CC6">
      <w:pPr>
        <w:pStyle w:val="whitespace-normal"/>
      </w:pPr>
      <w:r>
        <w:rPr>
          <w:rStyle w:val="Fett"/>
          <w:rFonts w:eastAsiaTheme="majorEastAsia"/>
        </w:rPr>
        <w:t>Der Vers beschreibt:</w:t>
      </w:r>
      <w:r>
        <w:t xml:space="preserve"> Universale Teilnahme und vierfacher Zweck – alle (auch Frauen, Kinder, Fremde) sollen hören, lernen, fürchten, tun.</w:t>
      </w:r>
    </w:p>
    <w:p w14:paraId="79D047C6" w14:textId="77777777" w:rsidR="008A57FB" w:rsidRPr="008D48A3" w:rsidRDefault="008A57FB" w:rsidP="008D48A3">
      <w:pPr>
        <w:pStyle w:val="Bibelberschrift"/>
      </w:pPr>
      <w:r w:rsidRPr="008D48A3">
        <w:rPr>
          <w:rStyle w:val="Fett"/>
          <w:b/>
          <w:bCs w:val="0"/>
        </w:rPr>
        <w:t>Deuteronomium 31,13</w:t>
      </w:r>
    </w:p>
    <w:p w14:paraId="465E7004" w14:textId="77777777" w:rsidR="008A57FB" w:rsidRDefault="008A57FB" w:rsidP="008A57FB">
      <w:pPr>
        <w:pStyle w:val="whitespace-normal"/>
      </w:pPr>
      <w:r>
        <w:rPr>
          <w:rStyle w:val="Fett"/>
          <w:rFonts w:eastAsiaTheme="majorEastAsia"/>
        </w:rPr>
        <w:t>Hebräisch:</w:t>
      </w:r>
      <w:r>
        <w:t xml:space="preserve"> </w:t>
      </w:r>
      <w:r>
        <w:rPr>
          <w:rtl/>
        </w:rPr>
        <w:t>וּבְנֵיהֶם אֲשֶׁר לֹא־יָדְעוּ יִשְׁמְעוּ וְלָמְדוּ לְיִרְאָה אֶת־יְהוָה אֱלֹהֵיכֶם כָּל־הַיָּמִים אֲשֶׁר אַתֶּם חַיִּים עַל־הָאֲדָמָה אֲשֶׁר אַתֶּם עֹבְרִים אֶת־הַיַּרְדֵּן שָׁמָּה לְרִשְׁתָּהּ׃</w:t>
      </w:r>
    </w:p>
    <w:p w14:paraId="2FFC1150" w14:textId="77777777" w:rsidR="008A57FB" w:rsidRDefault="008A57FB" w:rsidP="008A57FB">
      <w:pPr>
        <w:pStyle w:val="whitespace-normal"/>
      </w:pPr>
      <w:r>
        <w:rPr>
          <w:rStyle w:val="Fett"/>
          <w:rFonts w:eastAsiaTheme="majorEastAsia"/>
        </w:rPr>
        <w:t>Deutsch:</w:t>
      </w:r>
      <w:r>
        <w:t xml:space="preserve"> Und ihre Kinder, die es nicht wissen, sollen hören und lernen, den Ewigen, euren Gott, zu fürchten alle Tage, die ihr in dem Land lebt, wohin ihr über den Jordan zieht, um es in Besitz zu nehmen.</w:t>
      </w:r>
    </w:p>
    <w:p w14:paraId="7430E4F4" w14:textId="77777777" w:rsidR="008A57FB" w:rsidRDefault="004F5CEB" w:rsidP="008A57FB">
      <w:r>
        <w:rPr>
          <w:noProof/>
        </w:rPr>
        <w:pict w14:anchorId="1E97B0AC">
          <v:rect id="_x0000_i1875" style="width:0;height:1.5pt" o:hralign="center" o:hrstd="t" o:hr="t" fillcolor="#a0a0a0" stroked="f"/>
        </w:pict>
      </w:r>
    </w:p>
    <w:p w14:paraId="12CC5C01"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וּבְנֵיהֶם אֲשֶׁר לֹא־יָדְעוּ יִשְׁמְעוּ וְלָמְדוּ לְיִרְאָה אֶת־יְהוָה אֱלֹהֵיכֶם כָּל־הַיָּמִים אֲשֶׁר אַתֶּם חַיִּים עַל־הָאֲדָמָה אֲשֶׁר אַתֶּם עֹבְרִים אֶת־הַיַּרְדֵּן שָׁמָּה לְרִשְׁתָּהּ</w:t>
      </w:r>
      <w:r>
        <w:rPr>
          <w:rtl/>
        </w:rPr>
        <w:t xml:space="preserve"> </w:t>
      </w:r>
      <w:r>
        <w:t xml:space="preserve">sind drei Aussagen: </w:t>
      </w:r>
      <w:r>
        <w:rPr>
          <w:rStyle w:val="Fett"/>
          <w:rFonts w:eastAsiaTheme="majorEastAsia"/>
          <w:rtl/>
        </w:rPr>
        <w:t>וּבְנֵיהֶם אֲשֶׁר לֹא־יָדְעוּ יִשְׁמְעוּ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בֵּן</w:t>
      </w:r>
      <w:r>
        <w:rPr>
          <w:rtl/>
        </w:rPr>
        <w:t xml:space="preserve"> </w:t>
      </w:r>
      <w:r>
        <w:t xml:space="preserve">Plural mit Suffix 3. Person Maskulinum Plural als Subjekt, Relativsatz: </w:t>
      </w:r>
      <w:r>
        <w:rPr>
          <w:rStyle w:val="Fett"/>
          <w:rFonts w:eastAsiaTheme="majorEastAsia"/>
          <w:rtl/>
        </w:rPr>
        <w:t>אֲשֶׁר לֹא־יָדְעוּ</w:t>
      </w:r>
      <w:r>
        <w:rPr>
          <w:rtl/>
        </w:rPr>
        <w:t xml:space="preserve"> </w:t>
      </w:r>
      <w:r>
        <w:t xml:space="preserve">mit Negation, </w:t>
      </w:r>
      <w:r>
        <w:rPr>
          <w:rStyle w:val="Fett"/>
          <w:rFonts w:eastAsiaTheme="majorEastAsia"/>
          <w:rtl/>
        </w:rPr>
        <w:t>ידע</w:t>
      </w:r>
      <w:r>
        <w:t xml:space="preserve">, Qal Perfekt, 3. Person Plural, </w:t>
      </w:r>
      <w:r>
        <w:rPr>
          <w:rStyle w:val="Fett"/>
          <w:rFonts w:eastAsiaTheme="majorEastAsia"/>
          <w:rtl/>
        </w:rPr>
        <w:t>שׁמע</w:t>
      </w:r>
      <w:r>
        <w:t xml:space="preserve">, Qal Imperfekt, 3. Person Plural), </w:t>
      </w:r>
      <w:r>
        <w:rPr>
          <w:rStyle w:val="Fett"/>
          <w:rFonts w:eastAsiaTheme="majorEastAsia"/>
          <w:rtl/>
        </w:rPr>
        <w:t>וְלָמְדוּ לְיִרְאָה אֶת־יְהוָה אֱלֹהֵיכֶם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למד</w:t>
      </w:r>
      <w:r>
        <w:t xml:space="preserve">, Qal Perfekt, 3. Person Plural, Finalsatz: </w:t>
      </w:r>
      <w:r>
        <w:rPr>
          <w:rStyle w:val="Fett"/>
          <w:rFonts w:eastAsiaTheme="majorEastAsia"/>
          <w:rtl/>
        </w:rPr>
        <w:t>לְיִרְאָה</w:t>
      </w:r>
      <w:r>
        <w:rPr>
          <w:rtl/>
        </w:rPr>
        <w:t xml:space="preserve"> </w:t>
      </w:r>
      <w:r>
        <w:t xml:space="preserve">mit Präposition </w:t>
      </w:r>
      <w:r>
        <w:rPr>
          <w:rStyle w:val="Fett"/>
          <w:rFonts w:eastAsiaTheme="majorEastAsia"/>
          <w:rtl/>
        </w:rPr>
        <w:t>לְ</w:t>
      </w:r>
      <w:r>
        <w:rPr>
          <w:rtl/>
        </w:rPr>
        <w:t xml:space="preserve"> </w:t>
      </w:r>
      <w:r>
        <w:t xml:space="preserve">+ Qal Infinitiv Construct von </w:t>
      </w:r>
      <w:r>
        <w:rPr>
          <w:rStyle w:val="Fett"/>
          <w:rFonts w:eastAsiaTheme="majorEastAsia"/>
          <w:rtl/>
        </w:rPr>
        <w:t>ירא</w:t>
      </w:r>
      <w:r>
        <w:t xml:space="preserve">, Objektpartikel </w:t>
      </w:r>
      <w:r>
        <w:rPr>
          <w:rStyle w:val="Fett"/>
          <w:rFonts w:eastAsiaTheme="majorEastAsia"/>
          <w:rtl/>
        </w:rPr>
        <w:t>אֵת</w:t>
      </w:r>
      <w:r>
        <w:rPr>
          <w:rtl/>
        </w:rPr>
        <w:t xml:space="preserve"> </w:t>
      </w:r>
      <w:r>
        <w:t xml:space="preserve">mit </w:t>
      </w:r>
      <w:r>
        <w:rPr>
          <w:rStyle w:val="Fett"/>
          <w:rFonts w:eastAsiaTheme="majorEastAsia"/>
          <w:rtl/>
        </w:rPr>
        <w:t>יְהוָה אֱלֹהֵיכֶם</w:t>
      </w:r>
      <w:r>
        <w:t xml:space="preserve">, mit </w:t>
      </w:r>
      <w:r>
        <w:rPr>
          <w:rStyle w:val="Fett"/>
          <w:rFonts w:eastAsiaTheme="majorEastAsia"/>
        </w:rPr>
        <w:t>Waw</w:t>
      </w:r>
      <w:r>
        <w:t xml:space="preserve"> consecutivum), </w:t>
      </w:r>
      <w:r>
        <w:rPr>
          <w:rStyle w:val="Fett"/>
          <w:rFonts w:eastAsiaTheme="majorEastAsia"/>
          <w:rtl/>
        </w:rPr>
        <w:t>כָּל־הַיָּמִים אֲשֶׁר אַתֶּם חַיִּים עַל־הָאֲדָמָה אֲשֶׁר אַתֶּם עֹבְרִים אֶת־הַיַּרְדֵּן שָׁמָּה לְרִשְׁתָּהּ</w:t>
      </w:r>
      <w:r>
        <w:rPr>
          <w:rtl/>
        </w:rPr>
        <w:t xml:space="preserve"> </w:t>
      </w:r>
      <w:r>
        <w:t xml:space="preserve">(temporale Erweiterung: </w:t>
      </w:r>
      <w:r>
        <w:rPr>
          <w:rStyle w:val="Fett"/>
          <w:rFonts w:eastAsiaTheme="majorEastAsia"/>
          <w:rtl/>
        </w:rPr>
        <w:t>כָּל־יָמִים</w:t>
      </w:r>
      <w:r>
        <w:rPr>
          <w:rtl/>
        </w:rPr>
        <w:t xml:space="preserve"> </w:t>
      </w:r>
      <w:r>
        <w:t xml:space="preserve">mit Artikel, Relativsatz: </w:t>
      </w:r>
      <w:r>
        <w:rPr>
          <w:rStyle w:val="Fett"/>
          <w:rFonts w:eastAsiaTheme="majorEastAsia"/>
          <w:rtl/>
        </w:rPr>
        <w:t>אֲשֶׁר אַתֶּם חַיִּים</w:t>
      </w:r>
      <w:r>
        <w:rPr>
          <w:rtl/>
        </w:rPr>
        <w:t xml:space="preserve"> </w:t>
      </w:r>
      <w:r>
        <w:t xml:space="preserve">mit </w:t>
      </w:r>
      <w:r>
        <w:rPr>
          <w:rStyle w:val="Fett"/>
          <w:rFonts w:eastAsiaTheme="majorEastAsia"/>
          <w:rtl/>
        </w:rPr>
        <w:t>חַי</w:t>
      </w:r>
      <w:r>
        <w:t xml:space="preserve">, Adjektiv Maskulinum Plural, </w:t>
      </w:r>
      <w:r>
        <w:rPr>
          <w:rStyle w:val="Fett"/>
          <w:rFonts w:eastAsiaTheme="majorEastAsia"/>
          <w:rtl/>
        </w:rPr>
        <w:t>עַל־הָאֲדָמָה</w:t>
      </w:r>
      <w:r>
        <w:t xml:space="preserve">, weiterer Relativsatz wie üblich). Die </w:t>
      </w:r>
      <w:r>
        <w:rPr>
          <w:rStyle w:val="Fett"/>
          <w:rFonts w:eastAsiaTheme="majorEastAsia"/>
        </w:rPr>
        <w:t>Petucha</w:t>
      </w:r>
      <w:r>
        <w:t xml:space="preserve"> (</w:t>
      </w:r>
      <w:r>
        <w:rPr>
          <w:rtl/>
        </w:rPr>
        <w:t>פ</w:t>
      </w:r>
      <w:r>
        <w:t>) markiert das Ende dieses Abschnitts (V. 9-13).</w:t>
      </w:r>
    </w:p>
    <w:p w14:paraId="44F2537A" w14:textId="63F2C57A" w:rsidR="008A57FB" w:rsidRDefault="008A57FB" w:rsidP="008A57FB">
      <w:pPr>
        <w:pStyle w:val="whitespace-normal"/>
      </w:pPr>
      <w:r>
        <w:t xml:space="preserve">Der Vers betont besonders die zukünftigen Generationen. Die drei Aussagen: </w:t>
      </w:r>
      <w:r>
        <w:rPr>
          <w:rStyle w:val="Fett"/>
          <w:rFonts w:eastAsiaTheme="majorEastAsia"/>
          <w:rtl/>
        </w:rPr>
        <w:t>וּבְנֵיהֶם אֲשֶׁר לֹא־יָדְעוּ יִשְׁמְעוּ וְלָמְדוּ לְיִרְאָה אֶת־יְהוָה אֱלֹהֵיכֶם כָּל־הַיָּמִים אֲשֶׁר אַתֶּם חַיִּים עַל־הָאֲדָמָה אֲשֶׁר אַתֶּם עֹבְרִים אֶת־הַיַּרְדֵּן שָׁמָּה לְרִשְׁתָּהּ</w:t>
      </w:r>
      <w:r>
        <w:rPr>
          <w:rtl/>
        </w:rPr>
        <w:t xml:space="preserve"> </w:t>
      </w:r>
      <w:r>
        <w:t xml:space="preserve">(„und ihre Kinder, die es nicht wissen, sollen hören und lernen, zu fürchten </w:t>
      </w:r>
      <w:r w:rsidR="00DF3D1A">
        <w:t>JHWH</w:t>
      </w:r>
      <w:r>
        <w:t xml:space="preserve">, euren Gott, alle Tage, die ihr lebt in dem Land, wohin ihr über den Jordan zieht, um es in Besitz zu nehmen"). Die Formulierung </w:t>
      </w:r>
      <w:r>
        <w:rPr>
          <w:rStyle w:val="Fett"/>
          <w:rFonts w:eastAsiaTheme="majorEastAsia"/>
          <w:rtl/>
        </w:rPr>
        <w:t>בְנֵיהֶם אֲשֶׁר לֹא־יָדְעוּ</w:t>
      </w:r>
      <w:r>
        <w:rPr>
          <w:rtl/>
        </w:rPr>
        <w:t xml:space="preserve"> </w:t>
      </w:r>
      <w:r>
        <w:t xml:space="preserve">(„ihre Kinder, die es nicht wissen") bezieht sich auf die zukünftigen Generationen, die die Exodus-Ereignisse nicht </w:t>
      </w:r>
      <w:r>
        <w:lastRenderedPageBreak/>
        <w:t xml:space="preserve">selbst erlebt haben (vgl. 11,2; Jos 5,6). Die drei Verben: (1) </w:t>
      </w:r>
      <w:r>
        <w:rPr>
          <w:rStyle w:val="Fett"/>
          <w:rFonts w:eastAsiaTheme="majorEastAsia"/>
          <w:rtl/>
        </w:rPr>
        <w:t>ישׁמעו</w:t>
      </w:r>
      <w:r>
        <w:rPr>
          <w:rtl/>
        </w:rPr>
        <w:t xml:space="preserve"> </w:t>
      </w:r>
      <w:r>
        <w:t xml:space="preserve">(„hören"), (2) </w:t>
      </w:r>
      <w:r>
        <w:rPr>
          <w:rStyle w:val="Fett"/>
          <w:rFonts w:eastAsiaTheme="majorEastAsia"/>
          <w:rtl/>
        </w:rPr>
        <w:t>למדו</w:t>
      </w:r>
      <w:r>
        <w:rPr>
          <w:rtl/>
        </w:rPr>
        <w:t xml:space="preserve"> </w:t>
      </w:r>
      <w:r>
        <w:t xml:space="preserve">(„lernen"), (3) </w:t>
      </w:r>
      <w:r>
        <w:rPr>
          <w:rStyle w:val="Fett"/>
          <w:rFonts w:eastAsiaTheme="majorEastAsia"/>
          <w:rtl/>
        </w:rPr>
        <w:t>ליראה</w:t>
      </w:r>
      <w:r>
        <w:rPr>
          <w:rtl/>
        </w:rPr>
        <w:t xml:space="preserve"> </w:t>
      </w:r>
      <w:r>
        <w:t xml:space="preserve">(„fürchten") – die ersten drei Stufen aus V. 12. Die temporale Erweiterung </w:t>
      </w:r>
      <w:r>
        <w:rPr>
          <w:rStyle w:val="Fett"/>
          <w:rFonts w:eastAsiaTheme="majorEastAsia"/>
          <w:rtl/>
        </w:rPr>
        <w:t>כָּל־הַיָּמִים אֲשֶׁר אַתֶּם חַיִּים עַל־הָאֲדָמָה</w:t>
      </w:r>
      <w:r>
        <w:rPr>
          <w:rtl/>
        </w:rPr>
        <w:t xml:space="preserve"> </w:t>
      </w:r>
      <w:r>
        <w:t xml:space="preserve">(„alle Tage, die ihr lebt in dem Land") betont: lebenslange Gottesfurcht. Das Ziel der siebenjährlichen </w:t>
      </w:r>
      <w:r w:rsidR="006D3FED">
        <w:t>Torah</w:t>
      </w:r>
      <w:r>
        <w:t>lektüre: Weitergabe des Glaubens an die nächste Generation.</w:t>
      </w:r>
    </w:p>
    <w:p w14:paraId="1F79433E" w14:textId="540EB5BA" w:rsidR="008A57FB" w:rsidRDefault="008A57FB" w:rsidP="008A57FB">
      <w:pPr>
        <w:pStyle w:val="whitespace-normal"/>
      </w:pPr>
      <w:r>
        <w:rPr>
          <w:rStyle w:val="Fett"/>
          <w:rFonts w:eastAsiaTheme="majorEastAsia"/>
        </w:rPr>
        <w:t>Die Satzstruktur:</w:t>
      </w:r>
      <w:r>
        <w:t xml:space="preserve"> Drei Aussagen (und ihre Kinder, die es nicht wissen, sollen hören und lernen, zu fürchten </w:t>
      </w:r>
      <w:r w:rsidR="00DF3D1A">
        <w:t>JHWH</w:t>
      </w:r>
      <w:r>
        <w:t>, euren Gott, alle Tage, die ihr lebt in dem Land, wohin ihr über den Jordan zieht, um es in Besitz zu nehmen).</w:t>
      </w:r>
    </w:p>
    <w:p w14:paraId="71EE95B3" w14:textId="46AF6438" w:rsidR="008A57FB" w:rsidRDefault="008A57FB" w:rsidP="00B77CC6">
      <w:pPr>
        <w:pStyle w:val="whitespace-normal"/>
      </w:pPr>
      <w:r>
        <w:rPr>
          <w:rStyle w:val="Fett"/>
          <w:rFonts w:eastAsiaTheme="majorEastAsia"/>
        </w:rPr>
        <w:t>Der Vers beschreibt:</w:t>
      </w:r>
      <w:r>
        <w:t xml:space="preserve"> Zukünftige Generationen – die Kinder, die es nicht wissen, sollen durch </w:t>
      </w:r>
      <w:r w:rsidR="006D3FED">
        <w:t>Torah</w:t>
      </w:r>
      <w:r>
        <w:t>lektüre lebenslang Gottesfurcht lernen.</w:t>
      </w:r>
    </w:p>
    <w:p w14:paraId="68F1F161" w14:textId="77777777" w:rsidR="008A57FB" w:rsidRPr="00257FCB" w:rsidRDefault="008A57FB" w:rsidP="00257FCB">
      <w:pPr>
        <w:pStyle w:val="Bibelberschrift"/>
        <w:rPr>
          <w:b w:val="0"/>
          <w:bCs/>
        </w:rPr>
      </w:pPr>
      <w:r w:rsidRPr="00257FCB">
        <w:rPr>
          <w:rStyle w:val="Fett"/>
          <w:b/>
          <w:bCs w:val="0"/>
        </w:rPr>
        <w:t>Deuteronomium 31,14</w:t>
      </w:r>
    </w:p>
    <w:p w14:paraId="24C61219" w14:textId="77777777" w:rsidR="008A57FB" w:rsidRDefault="008A57FB" w:rsidP="008A57FB">
      <w:pPr>
        <w:pStyle w:val="whitespace-normal"/>
      </w:pPr>
      <w:r>
        <w:rPr>
          <w:rStyle w:val="Fett"/>
          <w:rFonts w:eastAsiaTheme="majorEastAsia"/>
        </w:rPr>
        <w:t>Hebräisch:</w:t>
      </w:r>
      <w:r>
        <w:t xml:space="preserve"> </w:t>
      </w:r>
      <w:r>
        <w:rPr>
          <w:rtl/>
        </w:rPr>
        <w:t>וַיֹּאמֶר יְהוָה אֶל־מֹשֶׁה הֵן קָרְבוּ יָמֶיךָ לָמוּת קְרָא אֶת־יְהוֹשֻׁעַ וְהִתְיַצְּבוּ בְּאֹהֶל מוֹעֵד וַאֲצַוֶּנּוּ וַיֵּלֶךְ מֹשֶׁה וִיהוֹשֻׁעַ וַיִּתְיַצְּבוּ בְּאֹהֶל מוֹעֵד׃</w:t>
      </w:r>
    </w:p>
    <w:p w14:paraId="5DB10639" w14:textId="77777777" w:rsidR="008A57FB" w:rsidRDefault="008A57FB" w:rsidP="008A57FB">
      <w:pPr>
        <w:pStyle w:val="whitespace-normal"/>
      </w:pPr>
      <w:r>
        <w:rPr>
          <w:rStyle w:val="Fett"/>
          <w:rFonts w:eastAsiaTheme="majorEastAsia"/>
        </w:rPr>
        <w:t>Deutsch:</w:t>
      </w:r>
      <w:r>
        <w:t xml:space="preserve"> Und der Ewige sprach zu Mosche: Siehe, deine Tage sind herangenaht, dass du sterben wirst. Rufe Josua, und stellt euch in das Zelt der Begegnung, dass ich ihm Befehl erteile. Und Mosche und Josua gingen hin und stellten sich in das Zelt der Begegnung.</w:t>
      </w:r>
    </w:p>
    <w:p w14:paraId="6B489AF0" w14:textId="77777777" w:rsidR="008A57FB" w:rsidRDefault="004F5CEB" w:rsidP="008A57FB">
      <w:r>
        <w:rPr>
          <w:noProof/>
        </w:rPr>
        <w:pict w14:anchorId="0477C283">
          <v:rect id="_x0000_i1876" style="width:0;height:1.5pt" o:hralign="center" o:hrstd="t" o:hr="t" fillcolor="#a0a0a0" stroked="f"/>
        </w:pict>
      </w:r>
    </w:p>
    <w:p w14:paraId="5B6CC80C"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וַיֹּאמֶר יְהוָה אֶל־מֹשֶׁה הֵן קָרְבוּ יָמֶיךָ לָמוּת קְרָא אֶת־יְהוֹשֻׁעַ וְהִתְיַצְּבוּ בְּאֹהֶל מוֹעֵד וַאֲצַוֶּנּוּ וַיֵּלֶךְ מֹשֶׁה וִיהוֹשֻׁעַ וַיִּתְיַצְּבוּ בְּאֹהֶל מוֹעֵד</w:t>
      </w:r>
      <w:r>
        <w:rPr>
          <w:rtl/>
        </w:rPr>
        <w:t xml:space="preserve"> </w:t>
      </w:r>
      <w:r>
        <w:t xml:space="preserve">sind Einleitung, Aussage, drei Imperative und Ausführung: </w:t>
      </w:r>
      <w:r>
        <w:rPr>
          <w:rStyle w:val="Fett"/>
          <w:rFonts w:eastAsiaTheme="majorEastAsia"/>
          <w:rtl/>
        </w:rPr>
        <w:t>וַיֹּאמֶר יְהוָה אֶל־מֹשֶׁה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אמר</w:t>
      </w:r>
      <w:r>
        <w:t xml:space="preserve">, Qal Imperfekt mit </w:t>
      </w:r>
      <w:r>
        <w:rPr>
          <w:rStyle w:val="Fett"/>
          <w:rFonts w:eastAsiaTheme="majorEastAsia"/>
        </w:rPr>
        <w:t>Waw</w:t>
      </w:r>
      <w:r>
        <w:t xml:space="preserve"> consecutivum, 3. Person Maskulinum Singular, </w:t>
      </w:r>
      <w:r>
        <w:rPr>
          <w:rStyle w:val="Fett"/>
          <w:rFonts w:eastAsiaTheme="majorEastAsia"/>
          <w:rtl/>
        </w:rPr>
        <w:t>יְהוָה</w:t>
      </w:r>
      <w:r>
        <w:rPr>
          <w:rtl/>
        </w:rPr>
        <w:t xml:space="preserve"> </w:t>
      </w:r>
      <w:r>
        <w:t xml:space="preserve">als Subjekt, </w:t>
      </w:r>
      <w:r>
        <w:rPr>
          <w:rStyle w:val="Fett"/>
          <w:rFonts w:eastAsiaTheme="majorEastAsia"/>
          <w:rtl/>
        </w:rPr>
        <w:t>אֶל־מֹשֶׁה</w:t>
      </w:r>
      <w:r>
        <w:t xml:space="preserve">), </w:t>
      </w:r>
      <w:r>
        <w:rPr>
          <w:rStyle w:val="Fett"/>
          <w:rFonts w:eastAsiaTheme="majorEastAsia"/>
          <w:rtl/>
        </w:rPr>
        <w:t>הֵן קָרְבוּ יָמֶיךָ לָמוּת</w:t>
      </w:r>
      <w:r>
        <w:rPr>
          <w:rtl/>
        </w:rPr>
        <w:t xml:space="preserve"> </w:t>
      </w:r>
      <w:r>
        <w:t xml:space="preserve">(Interjektion </w:t>
      </w:r>
      <w:r>
        <w:rPr>
          <w:rStyle w:val="Fett"/>
          <w:rFonts w:eastAsiaTheme="majorEastAsia"/>
          <w:rtl/>
        </w:rPr>
        <w:t>הֵן</w:t>
      </w:r>
      <w:r>
        <w:t xml:space="preserve">, „siehe!", </w:t>
      </w:r>
      <w:r>
        <w:rPr>
          <w:rStyle w:val="Fett"/>
          <w:rFonts w:eastAsiaTheme="majorEastAsia"/>
          <w:rtl/>
        </w:rPr>
        <w:t>קרב</w:t>
      </w:r>
      <w:r>
        <w:t xml:space="preserve">, Qal Perfekt, 3. Person Plural, „nahen", </w:t>
      </w:r>
      <w:r>
        <w:rPr>
          <w:rStyle w:val="Fett"/>
          <w:rFonts w:eastAsiaTheme="majorEastAsia"/>
          <w:rtl/>
        </w:rPr>
        <w:t>יוֹם</w:t>
      </w:r>
      <w:r>
        <w:rPr>
          <w:rtl/>
        </w:rPr>
        <w:t xml:space="preserve"> </w:t>
      </w:r>
      <w:r>
        <w:t xml:space="preserve">Plural mit Suffix 2. Person Maskulinum Singular als Subjekt, Finalsatz: </w:t>
      </w:r>
      <w:r>
        <w:rPr>
          <w:rStyle w:val="Fett"/>
          <w:rFonts w:eastAsiaTheme="majorEastAsia"/>
          <w:rtl/>
        </w:rPr>
        <w:t>לָמוּת</w:t>
      </w:r>
      <w:r>
        <w:rPr>
          <w:rtl/>
        </w:rPr>
        <w:t xml:space="preserve"> </w:t>
      </w:r>
      <w:r>
        <w:t xml:space="preserve">mit Präposition </w:t>
      </w:r>
      <w:r>
        <w:rPr>
          <w:rStyle w:val="Fett"/>
          <w:rFonts w:eastAsiaTheme="majorEastAsia"/>
          <w:rtl/>
        </w:rPr>
        <w:t>לְ</w:t>
      </w:r>
      <w:r>
        <w:rPr>
          <w:rtl/>
        </w:rPr>
        <w:t xml:space="preserve"> </w:t>
      </w:r>
      <w:r>
        <w:t xml:space="preserve">+ Qal Infinitiv Construct von </w:t>
      </w:r>
      <w:r>
        <w:rPr>
          <w:rStyle w:val="Fett"/>
          <w:rFonts w:eastAsiaTheme="majorEastAsia"/>
          <w:rtl/>
        </w:rPr>
        <w:t>מות</w:t>
      </w:r>
      <w:r>
        <w:t xml:space="preserve">), </w:t>
      </w:r>
      <w:r>
        <w:rPr>
          <w:rStyle w:val="Fett"/>
          <w:rFonts w:eastAsiaTheme="majorEastAsia"/>
          <w:rtl/>
        </w:rPr>
        <w:t>קְרָא אֶת־יְהוֹשֻׁעַ וְהִתְיַצְּבוּ בְּאֹהֶל מוֹעֵד וַאֲצַוֶּנּוּ</w:t>
      </w:r>
      <w:r>
        <w:rPr>
          <w:rtl/>
        </w:rPr>
        <w:t xml:space="preserve"> </w:t>
      </w:r>
      <w:r>
        <w:t>(</w:t>
      </w:r>
      <w:r>
        <w:rPr>
          <w:rStyle w:val="Fett"/>
          <w:rFonts w:eastAsiaTheme="majorEastAsia"/>
          <w:rtl/>
        </w:rPr>
        <w:t>קרא</w:t>
      </w:r>
      <w:r>
        <w:t xml:space="preserve">, Qal Imperativ, Maskulinum Singular, Objektpartikel </w:t>
      </w:r>
      <w:r>
        <w:rPr>
          <w:rStyle w:val="Fett"/>
          <w:rFonts w:eastAsiaTheme="majorEastAsia"/>
          <w:rtl/>
        </w:rPr>
        <w:t>אֵת</w:t>
      </w:r>
      <w:r>
        <w:rPr>
          <w:rtl/>
        </w:rPr>
        <w:t xml:space="preserve"> </w:t>
      </w:r>
      <w:r>
        <w:t xml:space="preserve">mit </w:t>
      </w:r>
      <w:r>
        <w:rPr>
          <w:rStyle w:val="Fett"/>
          <w:rFonts w:eastAsiaTheme="majorEastAsia"/>
          <w:rtl/>
        </w:rPr>
        <w:t>יְהוֹשֻׁעַ</w:t>
      </w:r>
      <w:r>
        <w:t xml:space="preserve">, koordiniert durch </w:t>
      </w:r>
      <w:r>
        <w:rPr>
          <w:rStyle w:val="Fett"/>
          <w:rFonts w:eastAsiaTheme="majorEastAsia"/>
          <w:rtl/>
        </w:rPr>
        <w:t>וְ</w:t>
      </w:r>
      <w:r>
        <w:rPr>
          <w:rtl/>
        </w:rPr>
        <w:t xml:space="preserve"> </w:t>
      </w:r>
      <w:r>
        <w:t xml:space="preserve">mit </w:t>
      </w:r>
      <w:r>
        <w:rPr>
          <w:rStyle w:val="Fett"/>
          <w:rFonts w:eastAsiaTheme="majorEastAsia"/>
          <w:rtl/>
        </w:rPr>
        <w:t>יצב</w:t>
      </w:r>
      <w:r>
        <w:t xml:space="preserve">, Hitpael Imperativ, Maskulinum Plural, „sich hinstellen", </w:t>
      </w:r>
      <w:r>
        <w:rPr>
          <w:rStyle w:val="Fett"/>
          <w:rFonts w:eastAsiaTheme="majorEastAsia"/>
          <w:rtl/>
        </w:rPr>
        <w:t>בְּאֹהֶל מוֹעֵד</w:t>
      </w:r>
      <w:r>
        <w:t xml:space="preserve">, koordiniert durch </w:t>
      </w:r>
      <w:r>
        <w:rPr>
          <w:rStyle w:val="Fett"/>
          <w:rFonts w:eastAsiaTheme="majorEastAsia"/>
          <w:rtl/>
        </w:rPr>
        <w:t>וְ</w:t>
      </w:r>
      <w:r>
        <w:rPr>
          <w:rtl/>
        </w:rPr>
        <w:t xml:space="preserve"> </w:t>
      </w:r>
      <w:r>
        <w:t xml:space="preserve">mit </w:t>
      </w:r>
      <w:r>
        <w:rPr>
          <w:rStyle w:val="Fett"/>
          <w:rFonts w:eastAsiaTheme="majorEastAsia"/>
          <w:rtl/>
        </w:rPr>
        <w:t>צוה</w:t>
      </w:r>
      <w:r>
        <w:t xml:space="preserve">, Piel Imperfekt (Kohortativ), 1. Person Singular, mit Suffix 3. Person Maskulinum Singular, mit </w:t>
      </w:r>
      <w:r>
        <w:rPr>
          <w:rStyle w:val="Fett"/>
          <w:rFonts w:eastAsiaTheme="majorEastAsia"/>
        </w:rPr>
        <w:t>Waw</w:t>
      </w:r>
      <w:r>
        <w:t xml:space="preserve"> consecutivum), </w:t>
      </w:r>
      <w:r>
        <w:rPr>
          <w:rStyle w:val="Fett"/>
          <w:rFonts w:eastAsiaTheme="majorEastAsia"/>
          <w:rtl/>
        </w:rPr>
        <w:t>וַיֵּלֶךְ מֹשֶׁה וִיהוֹשֻׁעַ וַיִּתְיַצְּבוּ בְּאֹהֶל מוֹעֵד</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הלך</w:t>
      </w:r>
      <w:r>
        <w:t xml:space="preserve">, Qal Imperfekt mit </w:t>
      </w:r>
      <w:r>
        <w:rPr>
          <w:rStyle w:val="Fett"/>
          <w:rFonts w:eastAsiaTheme="majorEastAsia"/>
        </w:rPr>
        <w:t>Waw</w:t>
      </w:r>
      <w:r>
        <w:t xml:space="preserve"> consecutivum, 3. Person Maskulinum Singular, </w:t>
      </w:r>
      <w:r>
        <w:rPr>
          <w:rStyle w:val="Fett"/>
          <w:rFonts w:eastAsiaTheme="majorEastAsia"/>
          <w:rtl/>
        </w:rPr>
        <w:t>מֹשֶׁה</w:t>
      </w:r>
      <w:r>
        <w:rPr>
          <w:rtl/>
        </w:rPr>
        <w:t xml:space="preserve"> </w:t>
      </w:r>
      <w:r>
        <w:t xml:space="preserve">koordiniert mit </w:t>
      </w:r>
      <w:r>
        <w:rPr>
          <w:rStyle w:val="Fett"/>
          <w:rFonts w:eastAsiaTheme="majorEastAsia"/>
          <w:rtl/>
        </w:rPr>
        <w:t>יְהוֹשֻׁעַ</w:t>
      </w:r>
      <w:r>
        <w:rPr>
          <w:rtl/>
        </w:rPr>
        <w:t xml:space="preserve"> </w:t>
      </w:r>
      <w:r>
        <w:t xml:space="preserve">als Subjekt, koordiniert durch </w:t>
      </w:r>
      <w:r>
        <w:rPr>
          <w:rStyle w:val="Fett"/>
          <w:rFonts w:eastAsiaTheme="majorEastAsia"/>
          <w:rtl/>
        </w:rPr>
        <w:t>וְ</w:t>
      </w:r>
      <w:r>
        <w:rPr>
          <w:rtl/>
        </w:rPr>
        <w:t xml:space="preserve"> </w:t>
      </w:r>
      <w:r>
        <w:t xml:space="preserve">mit </w:t>
      </w:r>
      <w:r>
        <w:rPr>
          <w:rStyle w:val="Fett"/>
          <w:rFonts w:eastAsiaTheme="majorEastAsia"/>
          <w:rtl/>
        </w:rPr>
        <w:t>יצב</w:t>
      </w:r>
      <w:r>
        <w:t xml:space="preserve">, Hitpael Imperfekt mit </w:t>
      </w:r>
      <w:r>
        <w:rPr>
          <w:rStyle w:val="Fett"/>
          <w:rFonts w:eastAsiaTheme="majorEastAsia"/>
        </w:rPr>
        <w:t>Waw</w:t>
      </w:r>
      <w:r>
        <w:t xml:space="preserve"> consecutivum, 3. Person Plural, </w:t>
      </w:r>
      <w:r>
        <w:rPr>
          <w:rStyle w:val="Fett"/>
          <w:rFonts w:eastAsiaTheme="majorEastAsia"/>
          <w:rtl/>
        </w:rPr>
        <w:t>בְּאֹהֶל מוֹעֵד</w:t>
      </w:r>
      <w:r>
        <w:t>).</w:t>
      </w:r>
    </w:p>
    <w:p w14:paraId="77434CB2" w14:textId="64DA63E0" w:rsidR="008A57FB" w:rsidRDefault="008A57FB" w:rsidP="008A57FB">
      <w:pPr>
        <w:pStyle w:val="whitespace-normal"/>
      </w:pPr>
      <w:r>
        <w:t xml:space="preserve">Der Vers beginnt einen neuen Abschnitt (V. 14-23) über Moses bevorstehenden Tod und die Einsetzung Josuas durch Gott selbst. Die Einleitung: </w:t>
      </w:r>
      <w:r>
        <w:rPr>
          <w:rStyle w:val="Fett"/>
          <w:rFonts w:eastAsiaTheme="majorEastAsia"/>
          <w:rtl/>
        </w:rPr>
        <w:t>וַיֹּאמֶר יְהוָה אֶל־מֹשֶׁה</w:t>
      </w:r>
      <w:r>
        <w:rPr>
          <w:rtl/>
        </w:rPr>
        <w:t xml:space="preserve"> </w:t>
      </w:r>
      <w:r>
        <w:t xml:space="preserve">(„und </w:t>
      </w:r>
      <w:r w:rsidR="00272EAD">
        <w:t>JHWH</w:t>
      </w:r>
      <w:r>
        <w:t xml:space="preserve"> sprach zu Mosche"). Die Aussage: </w:t>
      </w:r>
      <w:r>
        <w:rPr>
          <w:rStyle w:val="Fett"/>
          <w:rFonts w:eastAsiaTheme="majorEastAsia"/>
          <w:rtl/>
        </w:rPr>
        <w:t>הֵן קָרְבוּ יָמֶיךָ לָמוּת</w:t>
      </w:r>
      <w:r>
        <w:rPr>
          <w:rtl/>
        </w:rPr>
        <w:t xml:space="preserve"> </w:t>
      </w:r>
      <w:r>
        <w:t xml:space="preserve">(„siehe, herangenaht sind deine Tage zu sterben"). Die Formulierung </w:t>
      </w:r>
      <w:r>
        <w:rPr>
          <w:rStyle w:val="Fett"/>
          <w:rFonts w:eastAsiaTheme="majorEastAsia"/>
          <w:rtl/>
        </w:rPr>
        <w:t>קָרְבוּ יָמֶיךָ לָמוּת</w:t>
      </w:r>
      <w:r>
        <w:rPr>
          <w:rtl/>
        </w:rPr>
        <w:t xml:space="preserve"> </w:t>
      </w:r>
      <w:r>
        <w:t xml:space="preserve">(„herangenaht sind deine Tage zu sterben") ist euphemistisch (vgl. </w:t>
      </w:r>
      <w:r w:rsidR="00664EB6">
        <w:t>1Kön</w:t>
      </w:r>
      <w:r>
        <w:t xml:space="preserve"> 2,1; Gen 47,29). Die drei Imperative: </w:t>
      </w:r>
      <w:r>
        <w:rPr>
          <w:rStyle w:val="Fett"/>
          <w:rFonts w:eastAsiaTheme="majorEastAsia"/>
          <w:rtl/>
        </w:rPr>
        <w:t>קְרָא אֶת־יְהוֹשֻׁעַ וְהִתְיַצְּבוּ בְּאֹהֶל מוֹעֵד וַאֲצַוֶּנּוּ</w:t>
      </w:r>
      <w:r>
        <w:rPr>
          <w:rtl/>
        </w:rPr>
        <w:t xml:space="preserve"> </w:t>
      </w:r>
      <w:r>
        <w:t xml:space="preserve">(„rufe Josua, und stellt euch in das Zelt der Begegnung, und ich werde ihm Befehl erteilen"). Das </w:t>
      </w:r>
      <w:r>
        <w:rPr>
          <w:rStyle w:val="Fett"/>
          <w:rFonts w:eastAsiaTheme="majorEastAsia"/>
          <w:rtl/>
        </w:rPr>
        <w:t>אֹהֶל מוֹעֵד</w:t>
      </w:r>
      <w:r>
        <w:rPr>
          <w:rtl/>
        </w:rPr>
        <w:t xml:space="preserve"> </w:t>
      </w:r>
      <w:r>
        <w:t xml:space="preserve">(„Zelt der Begegnung") ist das Offenbarungszelt (vgl. Ex 27,21; 28,43; 29,4.10-11.30.32.42.44; 30,16.18.20.26.36; 31,7; 33,7; 35,21; 38,8.30; 39,32.40; </w:t>
      </w:r>
      <w:r>
        <w:lastRenderedPageBreak/>
        <w:t xml:space="preserve">40,2.6-7.12.22.24.26.29-30.32.34-35; Lev 1,1.3.5; etc.). Die Ausführung: </w:t>
      </w:r>
      <w:r>
        <w:rPr>
          <w:rStyle w:val="Fett"/>
          <w:rFonts w:eastAsiaTheme="majorEastAsia"/>
          <w:rtl/>
        </w:rPr>
        <w:t>וַיֵּלֶךְ מֹשֶׁה וִיהוֹשֻׁעַ וַיִּתְיַצְּבוּ בְּאֹהֶל מוֹעֵד</w:t>
      </w:r>
      <w:r>
        <w:rPr>
          <w:rtl/>
        </w:rPr>
        <w:t xml:space="preserve"> </w:t>
      </w:r>
      <w:r>
        <w:t>(„und Mosche und Josua gingen hin und stellten sich in das Zelt der Begegnung").</w:t>
      </w:r>
    </w:p>
    <w:p w14:paraId="3052A325" w14:textId="24663FD9" w:rsidR="00C367A0" w:rsidRDefault="00C367A0" w:rsidP="008A57FB">
      <w:pPr>
        <w:pStyle w:val="whitespace-normal"/>
      </w:pPr>
      <w:r>
        <w:rPr>
          <w:rStyle w:val="Fett"/>
        </w:rPr>
        <w:t>Die LXX</w:t>
      </w:r>
      <w:r>
        <w:t xml:space="preserve"> übersetzt </w:t>
      </w:r>
      <w:r>
        <w:rPr>
          <w:rtl/>
        </w:rPr>
        <w:t>אֹהֶל מוֹעֵד</w:t>
      </w:r>
      <w:r>
        <w:t xml:space="preserve"> (Zelt der Begegnung) mit </w:t>
      </w:r>
      <w:proofErr w:type="spellStart"/>
      <w:r>
        <w:t>σκηνῆς</w:t>
      </w:r>
      <w:proofErr w:type="spellEnd"/>
      <w:r>
        <w:t xml:space="preserve"> </w:t>
      </w:r>
      <w:proofErr w:type="spellStart"/>
      <w:r>
        <w:t>τοῦ</w:t>
      </w:r>
      <w:proofErr w:type="spellEnd"/>
      <w:r>
        <w:t xml:space="preserve"> μα</w:t>
      </w:r>
      <w:proofErr w:type="spellStart"/>
      <w:r>
        <w:t>ρτυρίου</w:t>
      </w:r>
      <w:proofErr w:type="spellEnd"/>
      <w:r>
        <w:t xml:space="preserve"> (Zelt des Zeugnisses) – die standardmäßige LXX-Bezeichnung für das Heiligtum.</w:t>
      </w:r>
    </w:p>
    <w:p w14:paraId="6BE24EC9" w14:textId="31BF5040" w:rsidR="008A57FB" w:rsidRDefault="008A57FB" w:rsidP="008A57FB">
      <w:pPr>
        <w:pStyle w:val="whitespace-normal"/>
      </w:pPr>
      <w:r>
        <w:rPr>
          <w:rStyle w:val="Fett"/>
          <w:rFonts w:eastAsiaTheme="majorEastAsia"/>
        </w:rPr>
        <w:t>Die Satzstruktur:</w:t>
      </w:r>
      <w:r>
        <w:t xml:space="preserve"> Einleitung, Aussage, drei Imperative und Ausführung (und </w:t>
      </w:r>
      <w:r w:rsidR="00272EAD">
        <w:t>JHWH</w:t>
      </w:r>
      <w:r>
        <w:t xml:space="preserve"> sprach zu Mosche: Siehe, herangenaht sind deine Tage zu sterben. Rufe Josua, und stellt euch in das Zelt der Begegnung, und ich werde ihm Befehl erteilen. Und Mosche und Josua gingen hin und stellten sich in das Zelt der Begegnung).</w:t>
      </w:r>
    </w:p>
    <w:p w14:paraId="55AE165B" w14:textId="110A9611" w:rsidR="008A57FB" w:rsidRDefault="008A57FB" w:rsidP="00B77CC6">
      <w:pPr>
        <w:pStyle w:val="whitespace-normal"/>
      </w:pPr>
      <w:r>
        <w:rPr>
          <w:rStyle w:val="Fett"/>
          <w:rFonts w:eastAsiaTheme="majorEastAsia"/>
        </w:rPr>
        <w:t>Der Vers beschreibt:</w:t>
      </w:r>
      <w:r>
        <w:t xml:space="preserve"> Gottes Ruf – Moses Tod naht, er soll mit Josua zum Offenbarungszelt kommen für Josuas Beauftragung.</w:t>
      </w:r>
    </w:p>
    <w:p w14:paraId="129C8B9C" w14:textId="77777777" w:rsidR="008A57FB" w:rsidRPr="00257FCB" w:rsidRDefault="008A57FB" w:rsidP="00257FCB">
      <w:pPr>
        <w:pStyle w:val="Bibelberschrift"/>
        <w:rPr>
          <w:b w:val="0"/>
          <w:bCs/>
        </w:rPr>
      </w:pPr>
      <w:r w:rsidRPr="00257FCB">
        <w:rPr>
          <w:rStyle w:val="Fett"/>
          <w:b/>
          <w:bCs w:val="0"/>
        </w:rPr>
        <w:t>Deuteronomium 31,15</w:t>
      </w:r>
    </w:p>
    <w:p w14:paraId="1AA49E64" w14:textId="77777777" w:rsidR="008A57FB" w:rsidRDefault="008A57FB" w:rsidP="008A57FB">
      <w:pPr>
        <w:pStyle w:val="whitespace-normal"/>
      </w:pPr>
      <w:r>
        <w:rPr>
          <w:rStyle w:val="Fett"/>
          <w:rFonts w:eastAsiaTheme="majorEastAsia"/>
        </w:rPr>
        <w:t>Hebräisch:</w:t>
      </w:r>
      <w:r>
        <w:t xml:space="preserve"> </w:t>
      </w:r>
      <w:r>
        <w:rPr>
          <w:rtl/>
        </w:rPr>
        <w:t>וַיֵּרָא יְהוָה בָּאֹהֶל בְּעַמּוּד עָנָן וַיַּעֲמֹד עַמּוּד הֶעָנָן עַל־פֶּתַח הָאֹהֶל׃</w:t>
      </w:r>
    </w:p>
    <w:p w14:paraId="385D1714" w14:textId="77777777" w:rsidR="008A57FB" w:rsidRDefault="008A57FB" w:rsidP="008A57FB">
      <w:pPr>
        <w:pStyle w:val="whitespace-normal"/>
      </w:pPr>
      <w:r>
        <w:rPr>
          <w:rStyle w:val="Fett"/>
          <w:rFonts w:eastAsiaTheme="majorEastAsia"/>
        </w:rPr>
        <w:t>Deutsch:</w:t>
      </w:r>
      <w:r>
        <w:t xml:space="preserve"> Und der Ewige erschien im Zelt in der Wolkensäule; und die Wolkensäule stand über dem Eingang des Zeltes.</w:t>
      </w:r>
    </w:p>
    <w:p w14:paraId="664B2F4F" w14:textId="77777777" w:rsidR="008A57FB" w:rsidRDefault="004F5CEB" w:rsidP="008A57FB">
      <w:r>
        <w:rPr>
          <w:noProof/>
        </w:rPr>
        <w:pict w14:anchorId="6BCA7B10">
          <v:rect id="_x0000_i1877" style="width:0;height:1.5pt" o:hralign="center" o:hrstd="t" o:hr="t" fillcolor="#a0a0a0" stroked="f"/>
        </w:pict>
      </w:r>
    </w:p>
    <w:p w14:paraId="6D62C9C1"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וַיֵּרָא יְהוָה בָּאֹהֶל בְּעַמּוּד עָנָן וַיַּעֲמֹד עַמּוּד הֶעָנָן עַל־פֶּתַח הָאֹהֶל</w:t>
      </w:r>
      <w:r>
        <w:rPr>
          <w:rtl/>
        </w:rPr>
        <w:t xml:space="preserve"> </w:t>
      </w:r>
      <w:r>
        <w:t xml:space="preserve">sind zwei Aussagen: </w:t>
      </w:r>
      <w:r>
        <w:rPr>
          <w:rStyle w:val="Fett"/>
          <w:rFonts w:eastAsiaTheme="majorEastAsia"/>
          <w:rtl/>
        </w:rPr>
        <w:t>וַיֵּרָא יְהוָה בָּאֹהֶל בְּעַמּוּד עָנָן</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ראה</w:t>
      </w:r>
      <w:r>
        <w:t xml:space="preserve">, Niphal Imperfekt mit </w:t>
      </w:r>
      <w:r>
        <w:rPr>
          <w:rStyle w:val="Fett"/>
          <w:rFonts w:eastAsiaTheme="majorEastAsia"/>
        </w:rPr>
        <w:t>Waw</w:t>
      </w:r>
      <w:r>
        <w:t xml:space="preserve"> consecutivum, 3. Person Maskulinum Singular, „erscheinen, sich zeigen", </w:t>
      </w:r>
      <w:r>
        <w:rPr>
          <w:rStyle w:val="Fett"/>
          <w:rFonts w:eastAsiaTheme="majorEastAsia"/>
          <w:rtl/>
        </w:rPr>
        <w:t>יְהוָה</w:t>
      </w:r>
      <w:r>
        <w:rPr>
          <w:rtl/>
        </w:rPr>
        <w:t xml:space="preserve"> </w:t>
      </w:r>
      <w:r>
        <w:t xml:space="preserve">als Subjekt, </w:t>
      </w:r>
      <w:r>
        <w:rPr>
          <w:rStyle w:val="Fett"/>
          <w:rFonts w:eastAsiaTheme="majorEastAsia"/>
          <w:rtl/>
        </w:rPr>
        <w:t>בָּאֹהֶל</w:t>
      </w:r>
      <w:r>
        <w:t xml:space="preserve">, </w:t>
      </w:r>
      <w:r>
        <w:rPr>
          <w:rStyle w:val="Fett"/>
          <w:rFonts w:eastAsiaTheme="majorEastAsia"/>
          <w:rtl/>
        </w:rPr>
        <w:t>בְּעַמּוּד עָנָן</w:t>
      </w:r>
      <w:r>
        <w:t xml:space="preserve">), </w:t>
      </w:r>
      <w:r>
        <w:rPr>
          <w:rStyle w:val="Fett"/>
          <w:rFonts w:eastAsiaTheme="majorEastAsia"/>
          <w:rtl/>
        </w:rPr>
        <w:t>וַיַּעֲמֹד עַמּוּד הֶעָנָן עַל־פֶּתַח הָאֹהֶל</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עמד</w:t>
      </w:r>
      <w:r>
        <w:t xml:space="preserve">, Qal Imperfekt mit </w:t>
      </w:r>
      <w:r>
        <w:rPr>
          <w:rStyle w:val="Fett"/>
          <w:rFonts w:eastAsiaTheme="majorEastAsia"/>
        </w:rPr>
        <w:t>Waw</w:t>
      </w:r>
      <w:r>
        <w:t xml:space="preserve"> consecutivum, 3. Person Maskulinum Singular, </w:t>
      </w:r>
      <w:r>
        <w:rPr>
          <w:rStyle w:val="Fett"/>
          <w:rFonts w:eastAsiaTheme="majorEastAsia"/>
          <w:rtl/>
        </w:rPr>
        <w:t>עַמּוּד הֶעָנָן</w:t>
      </w:r>
      <w:r>
        <w:rPr>
          <w:rtl/>
        </w:rPr>
        <w:t xml:space="preserve"> </w:t>
      </w:r>
      <w:r>
        <w:t xml:space="preserve">als Subjekt, </w:t>
      </w:r>
      <w:r>
        <w:rPr>
          <w:rStyle w:val="Fett"/>
          <w:rFonts w:eastAsiaTheme="majorEastAsia"/>
          <w:rtl/>
        </w:rPr>
        <w:t>עַל־פֶּתַח הָאֹהֶל</w:t>
      </w:r>
      <w:r>
        <w:t xml:space="preserve">). Die </w:t>
      </w:r>
      <w:r>
        <w:rPr>
          <w:rStyle w:val="Fett"/>
          <w:rFonts w:eastAsiaTheme="majorEastAsia"/>
        </w:rPr>
        <w:t>Setumah</w:t>
      </w:r>
      <w:r>
        <w:t xml:space="preserve"> (</w:t>
      </w:r>
      <w:r>
        <w:rPr>
          <w:rtl/>
        </w:rPr>
        <w:t>ס</w:t>
      </w:r>
      <w:r>
        <w:t>) markiert das Ende dieses kurzen Abschnitts.</w:t>
      </w:r>
    </w:p>
    <w:p w14:paraId="01E2EC13" w14:textId="7725342E" w:rsidR="008A57FB" w:rsidRDefault="008A57FB" w:rsidP="008A57FB">
      <w:pPr>
        <w:pStyle w:val="whitespace-normal"/>
      </w:pPr>
      <w:r>
        <w:t xml:space="preserve">Der Vers beschreibt die Theophanie. Die beiden Aussagen: </w:t>
      </w:r>
      <w:r>
        <w:rPr>
          <w:rStyle w:val="Fett"/>
          <w:rFonts w:eastAsiaTheme="majorEastAsia"/>
          <w:rtl/>
        </w:rPr>
        <w:t>וַיֵּרָא יְהוָה בָּאֹהֶל בְּעַמּוּד עָנָן וַיַּעֲמֹד עַמּוּד הֶעָנָן עַל־פֶּתַח הָאֹהֶל</w:t>
      </w:r>
      <w:r>
        <w:rPr>
          <w:rtl/>
        </w:rPr>
        <w:t xml:space="preserve"> </w:t>
      </w:r>
      <w:r>
        <w:t xml:space="preserve">(„und </w:t>
      </w:r>
      <w:r w:rsidR="00272EAD">
        <w:t>JHWH</w:t>
      </w:r>
      <w:r>
        <w:t xml:space="preserve"> erschien im Zelt in der Wolkensäule; und die Wolkensäule stand über dem Eingang des Zeltes"). Die Formulierung </w:t>
      </w:r>
      <w:r>
        <w:rPr>
          <w:rStyle w:val="Fett"/>
          <w:rFonts w:eastAsiaTheme="majorEastAsia"/>
          <w:rtl/>
        </w:rPr>
        <w:t>בְּעַמּוּד עָנָן</w:t>
      </w:r>
      <w:r>
        <w:rPr>
          <w:rtl/>
        </w:rPr>
        <w:t xml:space="preserve"> </w:t>
      </w:r>
      <w:r>
        <w:t xml:space="preserve">(„in der Wolkensäule") beschreibt die klassische Erscheinungsweise Gottes (vgl. Ex 13,21-22; 14,19.24; 33,9-10; Num 12,5; 14,14; Ps 99,7). Die Wolkensäule steht </w:t>
      </w:r>
      <w:r>
        <w:rPr>
          <w:rStyle w:val="Fett"/>
          <w:rFonts w:eastAsiaTheme="majorEastAsia"/>
          <w:rtl/>
        </w:rPr>
        <w:t>עַל־פֶּתַח הָאֹהֶל</w:t>
      </w:r>
      <w:r>
        <w:rPr>
          <w:rtl/>
        </w:rPr>
        <w:t xml:space="preserve"> </w:t>
      </w:r>
      <w:r>
        <w:t>(„über dem Eingang des Zeltes"), wie in Ex 33,9-10; Num 12,5. Dies markiert die göttliche Gegenwart und Autorität für die folgende Rede.</w:t>
      </w:r>
    </w:p>
    <w:p w14:paraId="4BDACB13" w14:textId="679E4530" w:rsidR="00C367A0" w:rsidRDefault="00C367A0" w:rsidP="008A57FB">
      <w:pPr>
        <w:pStyle w:val="whitespace-normal"/>
      </w:pPr>
      <w:r>
        <w:rPr>
          <w:rStyle w:val="Fett"/>
        </w:rPr>
        <w:t>Die LXX</w:t>
      </w:r>
      <w:r>
        <w:t xml:space="preserve"> übersetzt </w:t>
      </w:r>
      <w:r>
        <w:rPr>
          <w:rtl/>
        </w:rPr>
        <w:t>וַיֵּרָא יְהוָה בָּאֹהֶל</w:t>
      </w:r>
      <w:r>
        <w:t xml:space="preserve"> (und der HERR erschien im Zelt) mit καὶ κα</w:t>
      </w:r>
      <w:proofErr w:type="spellStart"/>
      <w:r>
        <w:t>τέ</w:t>
      </w:r>
      <w:proofErr w:type="spellEnd"/>
      <w:r>
        <w:t xml:space="preserve">βη </w:t>
      </w:r>
      <w:proofErr w:type="spellStart"/>
      <w:r>
        <w:t>κύριος</w:t>
      </w:r>
      <w:proofErr w:type="spellEnd"/>
      <w:r>
        <w:t xml:space="preserve"> </w:t>
      </w:r>
      <w:proofErr w:type="spellStart"/>
      <w:r>
        <w:t>ἐν</w:t>
      </w:r>
      <w:proofErr w:type="spellEnd"/>
      <w:r>
        <w:t xml:space="preserve"> </w:t>
      </w:r>
      <w:proofErr w:type="spellStart"/>
      <w:r>
        <w:t>νεφέλῃ</w:t>
      </w:r>
      <w:proofErr w:type="spellEnd"/>
      <w:r>
        <w:t xml:space="preserve"> (und der Herr kam herab in einer Wolke) – wobei καταβα</w:t>
      </w:r>
      <w:proofErr w:type="spellStart"/>
      <w:r>
        <w:t>ίνω</w:t>
      </w:r>
      <w:proofErr w:type="spellEnd"/>
      <w:r>
        <w:t xml:space="preserve"> "herabkommen, herabsteigen" eine vertikale Bewegung betont.</w:t>
      </w:r>
    </w:p>
    <w:p w14:paraId="79874B39" w14:textId="23CD1108" w:rsidR="008A57FB" w:rsidRDefault="008A57FB" w:rsidP="008A57FB">
      <w:pPr>
        <w:pStyle w:val="whitespace-normal"/>
      </w:pPr>
      <w:r>
        <w:rPr>
          <w:rStyle w:val="Fett"/>
          <w:rFonts w:eastAsiaTheme="majorEastAsia"/>
        </w:rPr>
        <w:t>Die Satzstruktur:</w:t>
      </w:r>
      <w:r>
        <w:t xml:space="preserve"> Zwei Aussagen (und </w:t>
      </w:r>
      <w:r w:rsidR="00272EAD">
        <w:t>JHWH</w:t>
      </w:r>
      <w:r>
        <w:t xml:space="preserve"> erschien im Zelt in der Wolkensäule; und die Wolkensäule stand über dem Eingang des Zeltes).</w:t>
      </w:r>
    </w:p>
    <w:p w14:paraId="565DBDFF" w14:textId="77777777" w:rsidR="008A57FB" w:rsidRDefault="008A57FB" w:rsidP="008A57FB">
      <w:pPr>
        <w:pStyle w:val="whitespace-normal"/>
      </w:pPr>
      <w:r>
        <w:rPr>
          <w:rStyle w:val="Fett"/>
          <w:rFonts w:eastAsiaTheme="majorEastAsia"/>
        </w:rPr>
        <w:t>Der Vers beschreibt:</w:t>
      </w:r>
      <w:r>
        <w:t xml:space="preserve"> Theophanie – Gott erscheint in der Wolkensäule über dem Zelteingang.</w:t>
      </w:r>
    </w:p>
    <w:p w14:paraId="654ECCF5" w14:textId="77777777" w:rsidR="008A57FB" w:rsidRDefault="004F5CEB" w:rsidP="008A57FB">
      <w:r>
        <w:rPr>
          <w:noProof/>
        </w:rPr>
        <w:lastRenderedPageBreak/>
        <w:pict w14:anchorId="51E000DC">
          <v:rect id="_x0000_i1878" style="width:0;height:1.5pt" o:hralign="center" o:hrstd="t" o:hr="t" fillcolor="#a0a0a0" stroked="f"/>
        </w:pict>
      </w:r>
    </w:p>
    <w:p w14:paraId="1B19AD5F" w14:textId="77777777" w:rsidR="008A57FB" w:rsidRPr="00257FCB" w:rsidRDefault="008A57FB" w:rsidP="00257FCB">
      <w:pPr>
        <w:pStyle w:val="Bibelberschrift"/>
        <w:rPr>
          <w:b w:val="0"/>
          <w:bCs/>
        </w:rPr>
      </w:pPr>
      <w:r w:rsidRPr="00257FCB">
        <w:rPr>
          <w:rStyle w:val="Fett"/>
          <w:b/>
          <w:bCs w:val="0"/>
        </w:rPr>
        <w:t>Deuteronomium 31,16</w:t>
      </w:r>
    </w:p>
    <w:p w14:paraId="431CCB3C" w14:textId="77777777" w:rsidR="008A57FB" w:rsidRDefault="008A57FB" w:rsidP="008A57FB">
      <w:pPr>
        <w:pStyle w:val="whitespace-normal"/>
      </w:pPr>
      <w:r>
        <w:rPr>
          <w:rStyle w:val="Fett"/>
          <w:rFonts w:eastAsiaTheme="majorEastAsia"/>
        </w:rPr>
        <w:t>Hebräisch:</w:t>
      </w:r>
      <w:r>
        <w:t xml:space="preserve"> </w:t>
      </w:r>
      <w:r>
        <w:rPr>
          <w:rtl/>
        </w:rPr>
        <w:t>וַיֹּאמֶר יְהוָה אֶל־מֹשֶׁה הִנְּךָ שֹׁכֵב עִם־אֲבֹתֶיךָ וְקָם הָעָם הַזֶּה וְזָנָה אַחֲרֵי אֱלֹהֵי נֵכַר־הָאָרֶץ אֲשֶׁר הוּא בָא־שָׁמָּה בְּקִרְבּוֹ וַעֲזָבַנִי וְהֵפֵר אֶת־בְּרִיתִי אֲשֶׁר כָּרַתִּי אִתּוֹ׃</w:t>
      </w:r>
    </w:p>
    <w:p w14:paraId="42AD9FB4" w14:textId="77777777" w:rsidR="008A57FB" w:rsidRDefault="008A57FB" w:rsidP="008A57FB">
      <w:pPr>
        <w:pStyle w:val="whitespace-normal"/>
      </w:pPr>
      <w:r>
        <w:rPr>
          <w:rStyle w:val="Fett"/>
          <w:rFonts w:eastAsiaTheme="majorEastAsia"/>
        </w:rPr>
        <w:t>Deutsch:</w:t>
      </w:r>
      <w:r>
        <w:t xml:space="preserve"> Und der Ewige sprach zu Mosche: Siehe, du wirst dich zu deinen Vätern legen; und dieses Volk wird sich aufmachen und den fremden Göttern des Landes nachhuren, in dessen Mitte es kommt; und es wird mich verlassen und meinen Bund brechen, den ich mit ihm geschlossen habe.</w:t>
      </w:r>
    </w:p>
    <w:p w14:paraId="19D48D3E" w14:textId="77777777" w:rsidR="008A57FB" w:rsidRDefault="004F5CEB" w:rsidP="008A57FB">
      <w:r>
        <w:rPr>
          <w:noProof/>
        </w:rPr>
        <w:pict w14:anchorId="198DDA75">
          <v:rect id="_x0000_i1879" style="width:0;height:1.5pt" o:hralign="center" o:hrstd="t" o:hr="t" fillcolor="#a0a0a0" stroked="f"/>
        </w:pict>
      </w:r>
    </w:p>
    <w:p w14:paraId="0A3B36A1"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וַיֹּאמֶר יְהוָה אֶל־מֹשֶׁה הִנְּךָ שֹׁכֵב עִם־אֲבֹתֶיךָ וְקָם הָעָם הַזֶּה וְזָנָה אַחֲרֵי אֱלֹהֵי נֵכַר־הָאָרֶץ אֲשֶׁר הוּא בָא־שָׁמָּה בְּקִרְבּוֹ וַעֲזָבַנִי וְהֵפֵר אֶת־בְּרִיתִי אֲשֶׁר כָּרַתִּי אִתּוֹ</w:t>
      </w:r>
      <w:r>
        <w:rPr>
          <w:rtl/>
        </w:rPr>
        <w:t xml:space="preserve"> </w:t>
      </w:r>
      <w:r>
        <w:t xml:space="preserve">sind Einleitung und fünf Aussagen: </w:t>
      </w:r>
      <w:r>
        <w:rPr>
          <w:rStyle w:val="Fett"/>
          <w:rFonts w:eastAsiaTheme="majorEastAsia"/>
          <w:rtl/>
        </w:rPr>
        <w:t>וַיֹּאמֶר יְהוָה אֶל־מֹשֶׁה</w:t>
      </w:r>
      <w:r>
        <w:rPr>
          <w:rtl/>
        </w:rPr>
        <w:t xml:space="preserve"> </w:t>
      </w:r>
      <w:r>
        <w:t xml:space="preserve">(wie üblich), </w:t>
      </w:r>
      <w:r>
        <w:rPr>
          <w:rStyle w:val="Fett"/>
          <w:rFonts w:eastAsiaTheme="majorEastAsia"/>
          <w:rtl/>
        </w:rPr>
        <w:t>הִנְּךָ שֹׁכֵב עִם־אֲבֹתֶיךָ</w:t>
      </w:r>
      <w:r>
        <w:rPr>
          <w:rtl/>
        </w:rPr>
        <w:t xml:space="preserve"> </w:t>
      </w:r>
      <w:r>
        <w:t>(</w:t>
      </w:r>
      <w:r>
        <w:rPr>
          <w:rStyle w:val="Fett"/>
          <w:rFonts w:eastAsiaTheme="majorEastAsia"/>
          <w:rtl/>
        </w:rPr>
        <w:t>הִנֵּה</w:t>
      </w:r>
      <w:r>
        <w:rPr>
          <w:rtl/>
        </w:rPr>
        <w:t xml:space="preserve"> </w:t>
      </w:r>
      <w:r>
        <w:t xml:space="preserve">mit Suffix 2. Person Maskulinum Singular, </w:t>
      </w:r>
      <w:r>
        <w:rPr>
          <w:rStyle w:val="Fett"/>
          <w:rFonts w:eastAsiaTheme="majorEastAsia"/>
          <w:rtl/>
        </w:rPr>
        <w:t>שׁכב</w:t>
      </w:r>
      <w:r>
        <w:t xml:space="preserve">, Qal Partizip Maskulinum Singular, „liegen, sich legen", euphemistisch für sterben, </w:t>
      </w:r>
      <w:r>
        <w:rPr>
          <w:rStyle w:val="Fett"/>
          <w:rFonts w:eastAsiaTheme="majorEastAsia"/>
          <w:rtl/>
        </w:rPr>
        <w:t>עִם־אֲבֹתֶיךָ</w:t>
      </w:r>
      <w:r>
        <w:t xml:space="preserve">), </w:t>
      </w:r>
      <w:r>
        <w:rPr>
          <w:rStyle w:val="Fett"/>
          <w:rFonts w:eastAsiaTheme="majorEastAsia"/>
          <w:rtl/>
        </w:rPr>
        <w:t>וְקָם הָעָם הַזֶּה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קום</w:t>
      </w:r>
      <w:r>
        <w:t xml:space="preserve">, Qal Perfekt, 3. Person Maskulinum Singular, </w:t>
      </w:r>
      <w:r>
        <w:rPr>
          <w:rStyle w:val="Fett"/>
          <w:rFonts w:eastAsiaTheme="majorEastAsia"/>
          <w:rtl/>
        </w:rPr>
        <w:t>עַם</w:t>
      </w:r>
      <w:r>
        <w:rPr>
          <w:rtl/>
        </w:rPr>
        <w:t xml:space="preserve"> </w:t>
      </w:r>
      <w:r>
        <w:t xml:space="preserve">mit Artikel, </w:t>
      </w:r>
      <w:r>
        <w:rPr>
          <w:rStyle w:val="Fett"/>
          <w:rFonts w:eastAsiaTheme="majorEastAsia"/>
          <w:rtl/>
        </w:rPr>
        <w:t>זֶה</w:t>
      </w:r>
      <w:r>
        <w:t xml:space="preserve">, als Subjekt, mit </w:t>
      </w:r>
      <w:r>
        <w:rPr>
          <w:rStyle w:val="Fett"/>
          <w:rFonts w:eastAsiaTheme="majorEastAsia"/>
        </w:rPr>
        <w:t>Waw</w:t>
      </w:r>
      <w:r>
        <w:t xml:space="preserve"> consecutivum), </w:t>
      </w:r>
      <w:r>
        <w:rPr>
          <w:rStyle w:val="Fett"/>
          <w:rFonts w:eastAsiaTheme="majorEastAsia"/>
          <w:rtl/>
        </w:rPr>
        <w:t>וְזָנָה אַחֲרֵי אֱלֹהֵי נֵכַר־הָאָרֶץ אֲשֶׁר הוּא בָא־שָׁמָּה בְּקִרְבּוֹ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זנה</w:t>
      </w:r>
      <w:r>
        <w:t xml:space="preserve">, Qal Perfekt, 3. Person Maskulinum Singular, „huren, Unzucht treiben" (metaphorisch), </w:t>
      </w:r>
      <w:r>
        <w:rPr>
          <w:rStyle w:val="Fett"/>
          <w:rFonts w:eastAsiaTheme="majorEastAsia"/>
          <w:rtl/>
        </w:rPr>
        <w:t>אַחֲרֵי אֱלֹהֵי נֵכַר־הָאָרֶץ</w:t>
      </w:r>
      <w:r>
        <w:t xml:space="preserve">, Relativsatz: </w:t>
      </w:r>
      <w:r>
        <w:rPr>
          <w:rStyle w:val="Fett"/>
          <w:rFonts w:eastAsiaTheme="majorEastAsia"/>
          <w:rtl/>
        </w:rPr>
        <w:t>אֲשֶׁר הוּא בָא־שָׁמָּה בְּקִרְבּוֹ</w:t>
      </w:r>
      <w:r>
        <w:rPr>
          <w:rtl/>
        </w:rPr>
        <w:t xml:space="preserve"> </w:t>
      </w:r>
      <w:r>
        <w:t xml:space="preserve">mit </w:t>
      </w:r>
      <w:r>
        <w:rPr>
          <w:rStyle w:val="Fett"/>
          <w:rFonts w:eastAsiaTheme="majorEastAsia"/>
          <w:rtl/>
        </w:rPr>
        <w:t>בוא</w:t>
      </w:r>
      <w:r>
        <w:t xml:space="preserve">, Qal Partizip Maskulinum Singular, </w:t>
      </w:r>
      <w:r>
        <w:rPr>
          <w:rStyle w:val="Fett"/>
          <w:rFonts w:eastAsiaTheme="majorEastAsia"/>
          <w:rtl/>
        </w:rPr>
        <w:t>שָׁמָּה</w:t>
      </w:r>
      <w:r>
        <w:t xml:space="preserve">, </w:t>
      </w:r>
      <w:r>
        <w:rPr>
          <w:rStyle w:val="Fett"/>
          <w:rFonts w:eastAsiaTheme="majorEastAsia"/>
          <w:rtl/>
        </w:rPr>
        <w:t>בְּקִרְבּוֹ</w:t>
      </w:r>
      <w:r>
        <w:t xml:space="preserve">, mit </w:t>
      </w:r>
      <w:r>
        <w:rPr>
          <w:rStyle w:val="Fett"/>
          <w:rFonts w:eastAsiaTheme="majorEastAsia"/>
        </w:rPr>
        <w:t>Waw</w:t>
      </w:r>
      <w:r>
        <w:t xml:space="preserve"> consecutivum), </w:t>
      </w:r>
      <w:r>
        <w:rPr>
          <w:rStyle w:val="Fett"/>
          <w:rFonts w:eastAsiaTheme="majorEastAsia"/>
          <w:rtl/>
        </w:rPr>
        <w:t>וַעֲזָבַנִי</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עזב</w:t>
      </w:r>
      <w:r>
        <w:t xml:space="preserve">, Qal Perfekt, 3. Person Maskulinum Singular, mit Suffix 1. Person Singular, mit </w:t>
      </w:r>
      <w:r>
        <w:rPr>
          <w:rStyle w:val="Fett"/>
          <w:rFonts w:eastAsiaTheme="majorEastAsia"/>
        </w:rPr>
        <w:t>Waw</w:t>
      </w:r>
      <w:r>
        <w:t xml:space="preserve"> consecutivum), </w:t>
      </w:r>
      <w:r>
        <w:rPr>
          <w:rStyle w:val="Fett"/>
          <w:rFonts w:eastAsiaTheme="majorEastAsia"/>
          <w:rtl/>
        </w:rPr>
        <w:t>וְהֵפֵר אֶת־בְּרִיתִי אֲשֶׁר כָּרַתִּי אִתּוֹ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פרר</w:t>
      </w:r>
      <w:r>
        <w:t xml:space="preserve">, Hiphil Perfekt, 3. Person Maskulinum Singular, „brechen, ungültig machen", Objektpartikel </w:t>
      </w:r>
      <w:r>
        <w:rPr>
          <w:rStyle w:val="Fett"/>
          <w:rFonts w:eastAsiaTheme="majorEastAsia"/>
          <w:rtl/>
        </w:rPr>
        <w:t>אֵת</w:t>
      </w:r>
      <w:r>
        <w:rPr>
          <w:rtl/>
        </w:rPr>
        <w:t xml:space="preserve"> </w:t>
      </w:r>
      <w:r>
        <w:t xml:space="preserve">mit </w:t>
      </w:r>
      <w:r>
        <w:rPr>
          <w:rStyle w:val="Fett"/>
          <w:rFonts w:eastAsiaTheme="majorEastAsia"/>
          <w:rtl/>
        </w:rPr>
        <w:t>בְּרִית</w:t>
      </w:r>
      <w:r>
        <w:rPr>
          <w:rtl/>
        </w:rPr>
        <w:t xml:space="preserve"> </w:t>
      </w:r>
      <w:r>
        <w:t xml:space="preserve">mit Suffix 1. Person Singular, Relativsatz wie üblich, mit </w:t>
      </w:r>
      <w:r>
        <w:rPr>
          <w:rStyle w:val="Fett"/>
          <w:rFonts w:eastAsiaTheme="majorEastAsia"/>
        </w:rPr>
        <w:t>Waw</w:t>
      </w:r>
      <w:r>
        <w:t xml:space="preserve"> consecutivum).</w:t>
      </w:r>
    </w:p>
    <w:p w14:paraId="09C276DE" w14:textId="392A2CCC" w:rsidR="008D4C22" w:rsidRDefault="008A57FB" w:rsidP="008D4C22">
      <w:pPr>
        <w:pStyle w:val="KeinLeerraum"/>
      </w:pPr>
      <w:r>
        <w:t xml:space="preserve">Der Vers enthält Gottes düstere Prophezeiung über Israels Zukunft. Die Einleitung: </w:t>
      </w:r>
      <w:r>
        <w:rPr>
          <w:rStyle w:val="Fett"/>
          <w:rFonts w:eastAsiaTheme="majorEastAsia"/>
          <w:rtl/>
        </w:rPr>
        <w:t>וַיֹּאמֶר יְהוָה אֶל־מֹשֶׁה</w:t>
      </w:r>
      <w:r>
        <w:rPr>
          <w:rtl/>
        </w:rPr>
        <w:t xml:space="preserve"> </w:t>
      </w:r>
      <w:r>
        <w:t xml:space="preserve">(„und </w:t>
      </w:r>
      <w:r w:rsidR="00272EAD">
        <w:rPr>
          <w:rFonts w:eastAsia="Times New Roman"/>
          <w:lang w:eastAsia="de-DE"/>
        </w:rPr>
        <w:t>JHWH</w:t>
      </w:r>
      <w:r>
        <w:t xml:space="preserve"> sprach zu Mosche"). Die fünf Aussagen: </w:t>
      </w:r>
      <w:r>
        <w:rPr>
          <w:rStyle w:val="Fett"/>
          <w:rFonts w:eastAsiaTheme="majorEastAsia"/>
          <w:rtl/>
        </w:rPr>
        <w:t>הִנְּךָ שֹׁכֵב עִם־אֲבֹתֶיךָ וְקָם הָעָם הַזֶּה וְזָנָה אַחֲרֵי אֱלֹהֵי נֵכַר־הָאָרֶץ אֲשֶׁר הוּא בָא־שָׁמָּה בְּקִרְבּוֹ וַעֲזָבַנִי וְהֵפֵר אֶת־בְּרִיתִי אֲשֶׁר כָּרַתִּי אִתּוֹ</w:t>
      </w:r>
      <w:r>
        <w:rPr>
          <w:rtl/>
        </w:rPr>
        <w:t xml:space="preserve"> </w:t>
      </w:r>
      <w:r>
        <w:t xml:space="preserve">(„siehe, du wirst dich legen zu deinen Vätern; und aufmachen wird sich dieses Volk und huren nach den fremden Göttern des Landes, in dessen Mitte es kommt; und verlassen wird es mich und brechen meinen Bund, den ich mit ihm geschlossen habe"). </w:t>
      </w:r>
    </w:p>
    <w:p w14:paraId="145864AB" w14:textId="577AF652" w:rsidR="008D4C22" w:rsidRDefault="008A57FB" w:rsidP="008D4C22">
      <w:pPr>
        <w:pStyle w:val="KeinLeerraum"/>
      </w:pPr>
      <w:r w:rsidRPr="008D4C22">
        <w:rPr>
          <w:b/>
          <w:bCs/>
        </w:rPr>
        <w:t>Die erste Aussage</w:t>
      </w:r>
      <w:r>
        <w:t xml:space="preserve">: </w:t>
      </w:r>
      <w:r>
        <w:rPr>
          <w:rStyle w:val="Fett"/>
          <w:rFonts w:eastAsiaTheme="majorEastAsia"/>
          <w:rtl/>
        </w:rPr>
        <w:t>הִנְּךָ שֹׁכֵב עִם־אֲבֹתֶיךָ</w:t>
      </w:r>
      <w:r>
        <w:rPr>
          <w:rtl/>
        </w:rPr>
        <w:t xml:space="preserve"> </w:t>
      </w:r>
      <w:r>
        <w:t xml:space="preserve">(„siehe, du wirst dich legen zu deinen Vätern") – euphemistische Todesmitteilung (vgl. Gen 47,30; </w:t>
      </w:r>
      <w:r w:rsidR="00664EB6">
        <w:t>2Sam</w:t>
      </w:r>
      <w:r>
        <w:t xml:space="preserve"> 7,12; </w:t>
      </w:r>
      <w:r w:rsidR="00664EB6">
        <w:t>1Kön</w:t>
      </w:r>
      <w:r>
        <w:t xml:space="preserve"> 1,21; 2,10; 11,21.43; 14,20.31; 15,8.24; etc.). </w:t>
      </w:r>
    </w:p>
    <w:p w14:paraId="00B33DB7" w14:textId="725ADDC7" w:rsidR="008D4C22" w:rsidRDefault="008A57FB" w:rsidP="008D4C22">
      <w:pPr>
        <w:pStyle w:val="KeinLeerraum"/>
      </w:pPr>
      <w:r w:rsidRPr="008D4C22">
        <w:rPr>
          <w:b/>
          <w:bCs/>
        </w:rPr>
        <w:t>Die zweite Aussage</w:t>
      </w:r>
      <w:r>
        <w:t xml:space="preserve">: </w:t>
      </w:r>
      <w:r>
        <w:rPr>
          <w:rStyle w:val="Fett"/>
          <w:rFonts w:eastAsiaTheme="majorEastAsia"/>
          <w:rtl/>
        </w:rPr>
        <w:t>וְקָם הָעָם הַזֶּה</w:t>
      </w:r>
      <w:r>
        <w:rPr>
          <w:rtl/>
        </w:rPr>
        <w:t xml:space="preserve"> </w:t>
      </w:r>
      <w:r>
        <w:t>(„und aufmachen wird sich dieses Volk</w:t>
      </w:r>
      <w:r w:rsidR="00F63EA3">
        <w:t>, alternativ:</w:t>
      </w:r>
      <w:r w:rsidR="00272EAD">
        <w:t xml:space="preserve"> </w:t>
      </w:r>
      <w:r w:rsidR="00F63EA3">
        <w:t>wird sich erheben -im Sinne von Rebellion</w:t>
      </w:r>
      <w:r>
        <w:t xml:space="preserve">") – Israel wird aktiv werden. </w:t>
      </w:r>
    </w:p>
    <w:p w14:paraId="4EA76D42" w14:textId="5F9A1A56" w:rsidR="008D4C22" w:rsidRDefault="008A57FB" w:rsidP="008D4C22">
      <w:pPr>
        <w:pStyle w:val="KeinLeerraum"/>
      </w:pPr>
      <w:r w:rsidRPr="008D4C22">
        <w:rPr>
          <w:b/>
          <w:bCs/>
        </w:rPr>
        <w:t>Die dritte Aussage</w:t>
      </w:r>
      <w:r>
        <w:t xml:space="preserve">: </w:t>
      </w:r>
      <w:r>
        <w:rPr>
          <w:rStyle w:val="Fett"/>
          <w:rFonts w:eastAsiaTheme="majorEastAsia"/>
          <w:rtl/>
        </w:rPr>
        <w:t>וְזָנָה אַחֲרֵי אֱלֹהֵי נֵכַר־הָאָרֶץ אֲשֶׁר הוּא בָא־שָׁמָּה בְּקִרְבּוֹ</w:t>
      </w:r>
      <w:r>
        <w:rPr>
          <w:rtl/>
        </w:rPr>
        <w:t xml:space="preserve"> </w:t>
      </w:r>
      <w:r>
        <w:t xml:space="preserve">(„und huren wird es nach den fremden Göttern des Landes, in dessen Mitte es kommt"). Das Verb </w:t>
      </w:r>
      <w:r>
        <w:rPr>
          <w:rStyle w:val="Fett"/>
          <w:rFonts w:eastAsiaTheme="majorEastAsia"/>
          <w:rtl/>
        </w:rPr>
        <w:t>זנה</w:t>
      </w:r>
      <w:r>
        <w:t xml:space="preserve">(„huren") ist die klassische Metapher für Götzendienst als geistliche Untreue (vgl. Ex 34,15-16; Lev 17,7; 20,5-6; Num 15,39; Ri 2,17; 8,27.33; </w:t>
      </w:r>
      <w:r w:rsidR="00BF3748">
        <w:t>Hes</w:t>
      </w:r>
      <w:r>
        <w:t xml:space="preserve"> 6,9; 16,15-63; 20,30; 23,1-49; Hos 1,2; 2,4-7; 4,10-15; 5,3-4; 9,1). </w:t>
      </w:r>
    </w:p>
    <w:p w14:paraId="02985F88" w14:textId="77777777" w:rsidR="008D4C22" w:rsidRDefault="008A57FB" w:rsidP="008D4C22">
      <w:pPr>
        <w:pStyle w:val="KeinLeerraum"/>
      </w:pPr>
      <w:r w:rsidRPr="008D4C22">
        <w:rPr>
          <w:b/>
          <w:bCs/>
        </w:rPr>
        <w:t>Die vierte Aussage</w:t>
      </w:r>
      <w:r>
        <w:t xml:space="preserve">: </w:t>
      </w:r>
      <w:r>
        <w:rPr>
          <w:rStyle w:val="Fett"/>
          <w:rFonts w:eastAsiaTheme="majorEastAsia"/>
          <w:rtl/>
        </w:rPr>
        <w:t>וַעֲזָבַנִי</w:t>
      </w:r>
      <w:r>
        <w:rPr>
          <w:rtl/>
        </w:rPr>
        <w:t xml:space="preserve"> </w:t>
      </w:r>
      <w:r>
        <w:t xml:space="preserve">(„und verlassen wird es mich") – die Bundesbruch (vgl. 29,24; 32,15). </w:t>
      </w:r>
    </w:p>
    <w:p w14:paraId="1CAB6D52" w14:textId="01320419" w:rsidR="008A57FB" w:rsidRDefault="008A57FB" w:rsidP="008D4C22">
      <w:pPr>
        <w:pStyle w:val="KeinLeerraum"/>
      </w:pPr>
      <w:r w:rsidRPr="008D4C22">
        <w:rPr>
          <w:b/>
          <w:bCs/>
        </w:rPr>
        <w:lastRenderedPageBreak/>
        <w:t>Die fünfte Aussage</w:t>
      </w:r>
      <w:r>
        <w:t xml:space="preserve">: </w:t>
      </w:r>
      <w:r>
        <w:rPr>
          <w:rStyle w:val="Fett"/>
          <w:rFonts w:eastAsiaTheme="majorEastAsia"/>
          <w:rtl/>
        </w:rPr>
        <w:t>וְהֵפֵר אֶת־בְּרִיתִי אֲשֶׁר כָּרַתִּי אִתּוֹ</w:t>
      </w:r>
      <w:r>
        <w:rPr>
          <w:rtl/>
        </w:rPr>
        <w:t xml:space="preserve"> </w:t>
      </w:r>
      <w:r>
        <w:t xml:space="preserve">(„und brechen wird es meinen Bund, den ich mit ihm geschlossen habe") – Bundesbruch (vgl. Lev 26,15.44; Jer 11,10; 14,21; 31,32; </w:t>
      </w:r>
      <w:r w:rsidR="00BF3748">
        <w:t>Hes</w:t>
      </w:r>
      <w:r>
        <w:t xml:space="preserve"> 16,59; 17,15-19; 44,7; Sach 11,10).</w:t>
      </w:r>
    </w:p>
    <w:p w14:paraId="2D5F05BF" w14:textId="38D23C0B" w:rsidR="00C367A0" w:rsidRDefault="00C367A0" w:rsidP="008A57FB">
      <w:pPr>
        <w:pStyle w:val="whitespace-normal"/>
      </w:pPr>
      <w:r>
        <w:rPr>
          <w:rStyle w:val="Fett"/>
        </w:rPr>
        <w:t>Die LXX</w:t>
      </w:r>
      <w:r>
        <w:t xml:space="preserve"> übersetzt </w:t>
      </w:r>
      <w:r>
        <w:rPr>
          <w:rtl/>
        </w:rPr>
        <w:t>וְזָנָה</w:t>
      </w:r>
      <w:r>
        <w:t xml:space="preserve"> (und wird Hurerei treiben) mit </w:t>
      </w:r>
      <w:proofErr w:type="spellStart"/>
      <w:r>
        <w:t>ἐκ</w:t>
      </w:r>
      <w:proofErr w:type="spellEnd"/>
      <w:r>
        <w:t xml:space="preserve">πορνεύσει (wird Hurerei treiben) – ein zusammengesetztes Verb. Das Verb </w:t>
      </w:r>
      <w:r>
        <w:rPr>
          <w:rtl/>
        </w:rPr>
        <w:t>הֵפֵר</w:t>
      </w:r>
      <w:r>
        <w:t xml:space="preserve"> (brechen) wird mit </w:t>
      </w:r>
      <w:proofErr w:type="spellStart"/>
      <w:r>
        <w:t>δι</w:t>
      </w:r>
      <w:proofErr w:type="spellEnd"/>
      <w:r>
        <w:t>ασκεδάσουσιν (zerstreuen werden) übersetzt – ein stärkeres Bild der Bundesverletzung.</w:t>
      </w:r>
    </w:p>
    <w:p w14:paraId="778DAA6B" w14:textId="13A8DEDA" w:rsidR="008A57FB" w:rsidRDefault="008A57FB" w:rsidP="008A57FB">
      <w:pPr>
        <w:pStyle w:val="whitespace-normal"/>
      </w:pPr>
      <w:r>
        <w:rPr>
          <w:rStyle w:val="Fett"/>
          <w:rFonts w:eastAsiaTheme="majorEastAsia"/>
        </w:rPr>
        <w:t>Die Satzstruktur:</w:t>
      </w:r>
      <w:r>
        <w:t xml:space="preserve"> Einleitung und fünf Aussagen (und </w:t>
      </w:r>
      <w:r w:rsidR="00272EAD">
        <w:t>JHWH</w:t>
      </w:r>
      <w:r>
        <w:t xml:space="preserve"> sprach zu Mosche: Siehe, du wirst dich legen zu deinen Vätern; und aufmachen wird sich dieses Volk und huren nach den fremden Göttern des Landes, in dessen Mitte es kommt; und verlassen wird es mich und brechen meinen Bund, den ich mit ihm geschlossen habe).</w:t>
      </w:r>
    </w:p>
    <w:p w14:paraId="0CA900EE" w14:textId="519B645F" w:rsidR="008A57FB" w:rsidRDefault="008A57FB" w:rsidP="00B77CC6">
      <w:pPr>
        <w:pStyle w:val="whitespace-normal"/>
      </w:pPr>
      <w:r>
        <w:rPr>
          <w:rStyle w:val="Fett"/>
          <w:rFonts w:eastAsiaTheme="majorEastAsia"/>
        </w:rPr>
        <w:t>Der Vers beschreibt:</w:t>
      </w:r>
      <w:r>
        <w:t xml:space="preserve"> Gottes Prophezeiung – nach Moses Tod wird Israel Götzendienst treiben, Gott verlassen, den Bund brechen.</w:t>
      </w:r>
    </w:p>
    <w:p w14:paraId="4A957158" w14:textId="77777777" w:rsidR="008A57FB" w:rsidRPr="00257FCB" w:rsidRDefault="008A57FB" w:rsidP="00257FCB">
      <w:pPr>
        <w:pStyle w:val="Bibelberschrift"/>
        <w:rPr>
          <w:b w:val="0"/>
          <w:bCs/>
        </w:rPr>
      </w:pPr>
      <w:r w:rsidRPr="00257FCB">
        <w:rPr>
          <w:rStyle w:val="Fett"/>
          <w:b/>
          <w:bCs w:val="0"/>
        </w:rPr>
        <w:t>Deuteronomium 31,17</w:t>
      </w:r>
    </w:p>
    <w:p w14:paraId="622A105D" w14:textId="77777777" w:rsidR="008A57FB" w:rsidRDefault="008A57FB" w:rsidP="008A57FB">
      <w:pPr>
        <w:pStyle w:val="whitespace-normal"/>
      </w:pPr>
      <w:r>
        <w:rPr>
          <w:rStyle w:val="Fett"/>
          <w:rFonts w:eastAsiaTheme="majorEastAsia"/>
        </w:rPr>
        <w:t>Hebräisch:</w:t>
      </w:r>
      <w:r>
        <w:t xml:space="preserve"> </w:t>
      </w:r>
      <w:r>
        <w:rPr>
          <w:rtl/>
        </w:rPr>
        <w:t>וְחָרָה אַפִּי בוֹ בַיּוֹם־הַהוּא וַעֲזַבְתִּים וְהִסְתַּרְתִּי פָנַי מֵהֶם וְהָיָה לֶאֱכֹל וּמְצָאֻהוּ רָעוֹת רַבּוֹת וְצָרוֹת וְאָמַר בַּיּוֹם הַהוּא הֲלֹא עַל כִּי־אֵין אֱלֹהַי בְּקִרְבִּי מְצָאוּנִי הָרָעוֹת הָאֵלֶּה׃</w:t>
      </w:r>
    </w:p>
    <w:p w14:paraId="02C29FFF" w14:textId="77777777" w:rsidR="008A57FB" w:rsidRDefault="008A57FB" w:rsidP="008A57FB">
      <w:pPr>
        <w:pStyle w:val="whitespace-normal"/>
      </w:pPr>
      <w:r>
        <w:rPr>
          <w:rStyle w:val="Fett"/>
          <w:rFonts w:eastAsiaTheme="majorEastAsia"/>
        </w:rPr>
        <w:t>Deutsch:</w:t>
      </w:r>
      <w:r>
        <w:t xml:space="preserve"> Und entbrennen wird mein Zorn gegen es an jenem Tag, und ich werde sie verlassen und mein Angesicht vor ihnen verbergen; und es wird zum Fraß werden, und treffen werden es viele Übel und Drangsale. Und es wird sagen an jenem Tag: Haben nicht darum diese Übel mich getroffen, weil mein Gott nicht in meiner Mitte ist?</w:t>
      </w:r>
    </w:p>
    <w:p w14:paraId="7F80B5CD" w14:textId="77777777" w:rsidR="008A57FB" w:rsidRDefault="004F5CEB" w:rsidP="008A57FB">
      <w:r>
        <w:rPr>
          <w:noProof/>
        </w:rPr>
        <w:pict w14:anchorId="6170314B">
          <v:rect id="_x0000_i1880" style="width:0;height:1.5pt" o:hralign="center" o:hrstd="t" o:hr="t" fillcolor="#a0a0a0" stroked="f"/>
        </w:pict>
      </w:r>
    </w:p>
    <w:p w14:paraId="07CB7436"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וְחָרָה אַפִּי בוֹ בַיּוֹם־הַהוּא וַעֲזַבְתִּים וְהִסְתַּרְתִּי פָנַי מֵהֶם וְהָיָה לֶאֱכֹל וּמְצָאֻהוּ רָעוֹת רַבּוֹת וְצָרוֹת וְאָמַר בַּיּוֹם הַהוּא הֲלֹא עַל כִּי־אֵין אֱלֹהַי בְּקִרְבִּי מְצָאוּנִי הָרָעוֹת הָאֵלֶּה</w:t>
      </w:r>
      <w:r>
        <w:rPr>
          <w:rtl/>
        </w:rPr>
        <w:t xml:space="preserve"> </w:t>
      </w:r>
      <w:r>
        <w:t xml:space="preserve">sind sechs Aussagen und Frage: </w:t>
      </w:r>
      <w:r>
        <w:rPr>
          <w:rStyle w:val="Fett"/>
          <w:rFonts w:eastAsiaTheme="majorEastAsia"/>
          <w:rtl/>
        </w:rPr>
        <w:t>וְחָרָה אַפִּי בוֹ בַיּוֹם־הַהוּא</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חרה</w:t>
      </w:r>
      <w:r>
        <w:t xml:space="preserve">, Qal Perfekt, 3. Person Maskulinum Singular, </w:t>
      </w:r>
      <w:r>
        <w:rPr>
          <w:rStyle w:val="Fett"/>
          <w:rFonts w:eastAsiaTheme="majorEastAsia"/>
          <w:rtl/>
        </w:rPr>
        <w:t>אַף</w:t>
      </w:r>
      <w:r>
        <w:rPr>
          <w:rtl/>
        </w:rPr>
        <w:t xml:space="preserve"> </w:t>
      </w:r>
      <w:r>
        <w:t xml:space="preserve">mit Suffix 1. Person Singular als Subjekt, </w:t>
      </w:r>
      <w:r>
        <w:rPr>
          <w:rStyle w:val="Fett"/>
          <w:rFonts w:eastAsiaTheme="majorEastAsia"/>
          <w:rtl/>
        </w:rPr>
        <w:t>בּוֹ בַיּוֹם־הַהוּא</w:t>
      </w:r>
      <w:r>
        <w:t xml:space="preserve">, mit </w:t>
      </w:r>
      <w:r>
        <w:rPr>
          <w:rStyle w:val="Fett"/>
          <w:rFonts w:eastAsiaTheme="majorEastAsia"/>
        </w:rPr>
        <w:t>Waw</w:t>
      </w:r>
      <w:r>
        <w:t xml:space="preserve"> consecutivum), </w:t>
      </w:r>
      <w:r>
        <w:rPr>
          <w:rStyle w:val="Fett"/>
          <w:rFonts w:eastAsiaTheme="majorEastAsia"/>
          <w:rtl/>
        </w:rPr>
        <w:t>וַעֲזַבְתִּים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עזב</w:t>
      </w:r>
      <w:r>
        <w:t xml:space="preserve">, Qal Perfekt, 1. Person Singular, mit Suffix 3. Person Maskulinum Plural, mit </w:t>
      </w:r>
      <w:r>
        <w:rPr>
          <w:rStyle w:val="Fett"/>
          <w:rFonts w:eastAsiaTheme="majorEastAsia"/>
        </w:rPr>
        <w:t>Waw</w:t>
      </w:r>
      <w:r>
        <w:t xml:space="preserve"> consecutivum), </w:t>
      </w:r>
      <w:r>
        <w:rPr>
          <w:rStyle w:val="Fett"/>
          <w:rFonts w:eastAsiaTheme="majorEastAsia"/>
          <w:rtl/>
        </w:rPr>
        <w:t>וְהִסְתַּרְתִּי פָנַי מֵהֶם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סתר</w:t>
      </w:r>
      <w:r>
        <w:t xml:space="preserve">, Hiphil Perfekt, 1. Person Singular, „verbergen", </w:t>
      </w:r>
      <w:r>
        <w:rPr>
          <w:rStyle w:val="Fett"/>
          <w:rFonts w:eastAsiaTheme="majorEastAsia"/>
          <w:rtl/>
        </w:rPr>
        <w:t>פָּנִים</w:t>
      </w:r>
      <w:r>
        <w:rPr>
          <w:rtl/>
        </w:rPr>
        <w:t xml:space="preserve"> </w:t>
      </w:r>
      <w:r>
        <w:t xml:space="preserve">Plural mit Suffix 1. Person Singular, </w:t>
      </w:r>
      <w:r>
        <w:rPr>
          <w:rStyle w:val="Fett"/>
          <w:rFonts w:eastAsiaTheme="majorEastAsia"/>
          <w:rtl/>
        </w:rPr>
        <w:t>מֵהֶם</w:t>
      </w:r>
      <w:r>
        <w:t xml:space="preserve">, mit </w:t>
      </w:r>
      <w:r>
        <w:rPr>
          <w:rStyle w:val="Fett"/>
          <w:rFonts w:eastAsiaTheme="majorEastAsia"/>
        </w:rPr>
        <w:t>Waw</w:t>
      </w:r>
      <w:r>
        <w:t xml:space="preserve"> consecutivum), </w:t>
      </w:r>
      <w:r>
        <w:rPr>
          <w:rStyle w:val="Fett"/>
          <w:rFonts w:eastAsiaTheme="majorEastAsia"/>
          <w:rtl/>
        </w:rPr>
        <w:t>וְהָיָה לֶאֱכֹל</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3. Person Maskulinum Singular, </w:t>
      </w:r>
      <w:r>
        <w:rPr>
          <w:rStyle w:val="Fett"/>
          <w:rFonts w:eastAsiaTheme="majorEastAsia"/>
          <w:rtl/>
        </w:rPr>
        <w:t>לֶאֱכֹל</w:t>
      </w:r>
      <w:r>
        <w:t xml:space="preserve">, „zum Fraß, zur Vernichtung", mit </w:t>
      </w:r>
      <w:r>
        <w:rPr>
          <w:rStyle w:val="Fett"/>
          <w:rFonts w:eastAsiaTheme="majorEastAsia"/>
        </w:rPr>
        <w:t>Waw</w:t>
      </w:r>
      <w:r>
        <w:t xml:space="preserve"> consecutivum), </w:t>
      </w:r>
      <w:r>
        <w:rPr>
          <w:rStyle w:val="Fett"/>
          <w:rFonts w:eastAsiaTheme="majorEastAsia"/>
          <w:rtl/>
        </w:rPr>
        <w:t>וּמְצָאֻהוּ רָעוֹת רַבּוֹת וְצָרוֹת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מצא</w:t>
      </w:r>
      <w:r>
        <w:t xml:space="preserve">, Qal Perfekt, 3. Person Plural, mit Suffix 3. Person Maskulinum Singular, </w:t>
      </w:r>
      <w:r>
        <w:rPr>
          <w:rStyle w:val="Fett"/>
          <w:rFonts w:eastAsiaTheme="majorEastAsia"/>
          <w:rtl/>
        </w:rPr>
        <w:t>רָעָה</w:t>
      </w:r>
      <w:r>
        <w:t xml:space="preserve">, „Übel", Plural als Subjekt, </w:t>
      </w:r>
      <w:r>
        <w:rPr>
          <w:rStyle w:val="Fett"/>
          <w:rFonts w:eastAsiaTheme="majorEastAsia"/>
          <w:rtl/>
        </w:rPr>
        <w:t>רַב</w:t>
      </w:r>
      <w:r>
        <w:t xml:space="preserve">, „viel, zahlreich", Plural, koordiniert mit </w:t>
      </w:r>
      <w:r>
        <w:rPr>
          <w:rStyle w:val="Fett"/>
          <w:rFonts w:eastAsiaTheme="majorEastAsia"/>
          <w:rtl/>
        </w:rPr>
        <w:t>צָרָה</w:t>
      </w:r>
      <w:r>
        <w:t xml:space="preserve">, „Drangsal, Not", Plural, mit </w:t>
      </w:r>
      <w:r>
        <w:rPr>
          <w:rStyle w:val="Fett"/>
          <w:rFonts w:eastAsiaTheme="majorEastAsia"/>
        </w:rPr>
        <w:t>Waw</w:t>
      </w:r>
      <w:r>
        <w:t xml:space="preserve"> consecutivum), </w:t>
      </w:r>
      <w:r>
        <w:rPr>
          <w:rStyle w:val="Fett"/>
          <w:rFonts w:eastAsiaTheme="majorEastAsia"/>
          <w:rtl/>
        </w:rPr>
        <w:t>וְאָמַר בַּיּוֹם הַהוּא הֲלֹא עַל כִּי־אֵין אֱלֹהַי בְּקִרְבִּי מְצָאוּנִי הָרָעוֹת הָאֵלֶּה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אמר</w:t>
      </w:r>
      <w:r>
        <w:t xml:space="preserve">, Qal Perfekt, 3. Person Maskulinum Singular, </w:t>
      </w:r>
      <w:r>
        <w:rPr>
          <w:rStyle w:val="Fett"/>
          <w:rFonts w:eastAsiaTheme="majorEastAsia"/>
          <w:rtl/>
        </w:rPr>
        <w:t>בַּיּוֹם הַהוּא</w:t>
      </w:r>
      <w:r>
        <w:t xml:space="preserve">, rhetorische Frage: </w:t>
      </w:r>
      <w:r>
        <w:rPr>
          <w:rStyle w:val="Fett"/>
          <w:rFonts w:eastAsiaTheme="majorEastAsia"/>
          <w:rtl/>
        </w:rPr>
        <w:t>הֲלֹא</w:t>
      </w:r>
      <w:r>
        <w:rPr>
          <w:rtl/>
        </w:rPr>
        <w:t xml:space="preserve"> </w:t>
      </w:r>
      <w:r>
        <w:t xml:space="preserve">(Fragepartikel) mit </w:t>
      </w:r>
      <w:r>
        <w:rPr>
          <w:rStyle w:val="Fett"/>
          <w:rFonts w:eastAsiaTheme="majorEastAsia"/>
          <w:rtl/>
        </w:rPr>
        <w:t>עַל כִּי</w:t>
      </w:r>
      <w:r>
        <w:t xml:space="preserve">, „darum weil", Negation, </w:t>
      </w:r>
      <w:r>
        <w:rPr>
          <w:rStyle w:val="Fett"/>
          <w:rFonts w:eastAsiaTheme="majorEastAsia"/>
          <w:rtl/>
        </w:rPr>
        <w:t>אֵין</w:t>
      </w:r>
      <w:r>
        <w:t xml:space="preserve">, „nicht ist", </w:t>
      </w:r>
      <w:r>
        <w:rPr>
          <w:rStyle w:val="Fett"/>
          <w:rFonts w:eastAsiaTheme="majorEastAsia"/>
          <w:rtl/>
        </w:rPr>
        <w:t>אֱלֹהִים</w:t>
      </w:r>
      <w:r>
        <w:rPr>
          <w:rtl/>
        </w:rPr>
        <w:t xml:space="preserve"> </w:t>
      </w:r>
      <w:r>
        <w:t xml:space="preserve">mit Suffix 1. Person Singular, </w:t>
      </w:r>
      <w:r>
        <w:rPr>
          <w:rStyle w:val="Fett"/>
          <w:rFonts w:eastAsiaTheme="majorEastAsia"/>
          <w:rtl/>
        </w:rPr>
        <w:t>בְּקִרְבִּי</w:t>
      </w:r>
      <w:r>
        <w:t xml:space="preserve">, Aussage: </w:t>
      </w:r>
      <w:r>
        <w:rPr>
          <w:rStyle w:val="Fett"/>
          <w:rFonts w:eastAsiaTheme="majorEastAsia"/>
          <w:rtl/>
        </w:rPr>
        <w:t>מצא</w:t>
      </w:r>
      <w:r>
        <w:t xml:space="preserve">, Qal Perfekt, 3. Person Plural, mit Suffix 1. Person Singular, </w:t>
      </w:r>
      <w:r>
        <w:rPr>
          <w:rStyle w:val="Fett"/>
          <w:rFonts w:eastAsiaTheme="majorEastAsia"/>
          <w:rtl/>
        </w:rPr>
        <w:t>רָעָה</w:t>
      </w:r>
      <w:r>
        <w:rPr>
          <w:rtl/>
        </w:rPr>
        <w:t xml:space="preserve"> </w:t>
      </w:r>
      <w:r>
        <w:t xml:space="preserve">Plural mit Artikel, </w:t>
      </w:r>
      <w:r>
        <w:rPr>
          <w:rStyle w:val="Fett"/>
          <w:rFonts w:eastAsiaTheme="majorEastAsia"/>
          <w:rtl/>
        </w:rPr>
        <w:t>אֵלֶּה</w:t>
      </w:r>
      <w:r>
        <w:t xml:space="preserve">, als Subjekt, mit </w:t>
      </w:r>
      <w:r>
        <w:rPr>
          <w:rStyle w:val="Fett"/>
          <w:rFonts w:eastAsiaTheme="majorEastAsia"/>
        </w:rPr>
        <w:t>Waw</w:t>
      </w:r>
      <w:r>
        <w:t xml:space="preserve"> consecutivum).</w:t>
      </w:r>
    </w:p>
    <w:p w14:paraId="2335F40A" w14:textId="394998BF" w:rsidR="008A57FB" w:rsidRDefault="008A57FB" w:rsidP="008A57FB">
      <w:pPr>
        <w:pStyle w:val="whitespace-normal"/>
      </w:pPr>
      <w:r>
        <w:lastRenderedPageBreak/>
        <w:t xml:space="preserve">Der Vers beschreibt Gottes Gericht und Israels Reaktion. Die sechs Aussagen: </w:t>
      </w:r>
      <w:r>
        <w:rPr>
          <w:rStyle w:val="Fett"/>
          <w:rFonts w:eastAsiaTheme="majorEastAsia"/>
          <w:rtl/>
        </w:rPr>
        <w:t>וְחָרָה אַפִּי בוֹ בַיּוֹם־הַהוּא וַעֲזַבְתִּים וְהִסְתַּרְתִּי פָנַי מֵהֶם וְהָיָה לֶאֱכֹל וּמְצָאֻהוּ רָעוֹת רַבּוֹת וְצָרוֹת</w:t>
      </w:r>
      <w:r>
        <w:rPr>
          <w:rtl/>
        </w:rPr>
        <w:t xml:space="preserve"> </w:t>
      </w:r>
      <w:r>
        <w:t xml:space="preserve">(„und entbrennen wird mein Zorn gegen es an jenem Tag, und ich werde sie verlassen und verbergen mein Angesicht vor ihnen; und es wird zum Fraß werden, und treffen werden es viele Übel und Drangsale"). Die Formulierung </w:t>
      </w:r>
      <w:r>
        <w:rPr>
          <w:rStyle w:val="Fett"/>
          <w:rFonts w:eastAsiaTheme="majorEastAsia"/>
          <w:rtl/>
        </w:rPr>
        <w:t>חָרָה אַפִּי</w:t>
      </w:r>
      <w:r>
        <w:rPr>
          <w:rtl/>
        </w:rPr>
        <w:t xml:space="preserve"> </w:t>
      </w:r>
      <w:r>
        <w:t xml:space="preserve">(„entbrennen wird mein Zorn") ist klassisch (vgl. 29,26). Die beiden Verben </w:t>
      </w:r>
      <w:r>
        <w:rPr>
          <w:rStyle w:val="Fett"/>
          <w:rFonts w:eastAsiaTheme="majorEastAsia"/>
          <w:rtl/>
        </w:rPr>
        <w:t>עזב</w:t>
      </w:r>
      <w:r>
        <w:rPr>
          <w:rtl/>
        </w:rPr>
        <w:t xml:space="preserve"> </w:t>
      </w:r>
      <w:r>
        <w:t xml:space="preserve">(„verlassen") und </w:t>
      </w:r>
      <w:r>
        <w:rPr>
          <w:rStyle w:val="Fett"/>
          <w:rFonts w:eastAsiaTheme="majorEastAsia"/>
          <w:rtl/>
        </w:rPr>
        <w:t>סתר פָּנִים</w:t>
      </w:r>
      <w:r>
        <w:rPr>
          <w:rtl/>
        </w:rPr>
        <w:t xml:space="preserve"> </w:t>
      </w:r>
      <w:r>
        <w:t xml:space="preserve">(„Angesicht verbergen") beschreiben Gottes Rückzug – er lässt Israel allein. Die Formulierung </w:t>
      </w:r>
      <w:r>
        <w:rPr>
          <w:rStyle w:val="Fett"/>
          <w:rFonts w:eastAsiaTheme="majorEastAsia"/>
          <w:rtl/>
        </w:rPr>
        <w:t>הִסְתַּרְתִּי פָנַי</w:t>
      </w:r>
      <w:r>
        <w:rPr>
          <w:rtl/>
        </w:rPr>
        <w:t xml:space="preserve"> </w:t>
      </w:r>
      <w:r>
        <w:t xml:space="preserve">(„ich werde verbergen mein Angesicht") ist eine Schlüsselmetapher für Gottes Abwesenheit und Israels Schutzlosigkeit (vgl. V. 18; 32,20; Ps 13,2; 27,9; 30,8; 44,25; 69,18; 88,15; 102,3; 104,29; 143,7; Jes 8,17; 54,8; 57,17; 59,2; 64,6; </w:t>
      </w:r>
      <w:r w:rsidR="00BF3748">
        <w:t>Hes</w:t>
      </w:r>
      <w:r>
        <w:t xml:space="preserve"> 39,23-24.29; Mich 3,4). Die Formulierung </w:t>
      </w:r>
      <w:r>
        <w:rPr>
          <w:rStyle w:val="Fett"/>
          <w:rFonts w:eastAsiaTheme="majorEastAsia"/>
          <w:rtl/>
        </w:rPr>
        <w:t>הָיָה לֶאֱכֹל</w:t>
      </w:r>
      <w:r>
        <w:rPr>
          <w:rtl/>
        </w:rPr>
        <w:t xml:space="preserve"> </w:t>
      </w:r>
      <w:r>
        <w:t xml:space="preserve">(„es wird zum Fraß werden") bedeutet: zur Vernichtung preisgegeben (vgl. Jer 30,16). Die Formulierung </w:t>
      </w:r>
      <w:r>
        <w:rPr>
          <w:rStyle w:val="Fett"/>
          <w:rFonts w:eastAsiaTheme="majorEastAsia"/>
          <w:rtl/>
        </w:rPr>
        <w:t>מְצָאֻהוּ רָעוֹת רַבּוֹת וְצָרוֹת</w:t>
      </w:r>
      <w:r>
        <w:rPr>
          <w:rtl/>
        </w:rPr>
        <w:t xml:space="preserve"> </w:t>
      </w:r>
      <w:r>
        <w:t xml:space="preserve">(„treffen werden es viele Übel und Drangsale") beschreibt die konkreten Folgen (vgl. V. 21; 4,30; Ri 10,14; Neh 9,27; Ps 34,20; 71,20). Die Frage: </w:t>
      </w:r>
      <w:r>
        <w:rPr>
          <w:rStyle w:val="Fett"/>
          <w:rFonts w:eastAsiaTheme="majorEastAsia"/>
          <w:rtl/>
        </w:rPr>
        <w:t>וְאָמַר בַּיּוֹם הַהוּא הֲלֹא עַל כִּי־אֵין אֱלֹהַי בְּקִרְבִּי מְצָאוּנִי הָרָעוֹת הָאֵלֶּה</w:t>
      </w:r>
      <w:r>
        <w:rPr>
          <w:rtl/>
        </w:rPr>
        <w:t xml:space="preserve"> </w:t>
      </w:r>
      <w:r>
        <w:t>(„und es wird sagen an jenem Tag: Haben nicht darum diese Übel mich getroffen, weil mein Gott nicht in meiner Mitte ist?"). Israel wird erkennen, dass die Übel daher kommen, dass Gott nicht mehr in ihrer Mitte ist. Dies ist eine partielle Einsicht, aber noch keine volle Umkehr.</w:t>
      </w:r>
    </w:p>
    <w:p w14:paraId="1C108662" w14:textId="27B70D26" w:rsidR="00C367A0" w:rsidRDefault="00C367A0" w:rsidP="008A57FB">
      <w:pPr>
        <w:pStyle w:val="whitespace-normal"/>
      </w:pPr>
      <w:r>
        <w:rPr>
          <w:rStyle w:val="Fett"/>
        </w:rPr>
        <w:t>Die LXX</w:t>
      </w:r>
      <w:r>
        <w:t xml:space="preserve"> übersetzt </w:t>
      </w:r>
      <w:r>
        <w:rPr>
          <w:rtl/>
        </w:rPr>
        <w:t>וְהָיָה לֶאֱכֹל</w:t>
      </w:r>
      <w:r>
        <w:t xml:space="preserve"> (und er wird zum Fraß werden) mit καὶ </w:t>
      </w:r>
      <w:proofErr w:type="spellStart"/>
      <w:r>
        <w:t>ἔστ</w:t>
      </w:r>
      <w:proofErr w:type="spellEnd"/>
      <w:r>
        <w:t>αι κα</w:t>
      </w:r>
      <w:proofErr w:type="spellStart"/>
      <w:r>
        <w:t>τά</w:t>
      </w:r>
      <w:proofErr w:type="spellEnd"/>
      <w:r>
        <w:t>βρωμα (und er wird zur Speise werden) – wobei κα</w:t>
      </w:r>
      <w:proofErr w:type="spellStart"/>
      <w:r>
        <w:t>τά</w:t>
      </w:r>
      <w:proofErr w:type="spellEnd"/>
      <w:r>
        <w:t>βρωμα "das Aufgefressene, das Verzehrte" bedeutet.</w:t>
      </w:r>
    </w:p>
    <w:p w14:paraId="67DFF4DA" w14:textId="77777777" w:rsidR="008A57FB" w:rsidRDefault="008A57FB" w:rsidP="008A57FB">
      <w:pPr>
        <w:pStyle w:val="whitespace-normal"/>
      </w:pPr>
      <w:r>
        <w:rPr>
          <w:rStyle w:val="Fett"/>
          <w:rFonts w:eastAsiaTheme="majorEastAsia"/>
        </w:rPr>
        <w:t>Die Satzstruktur:</w:t>
      </w:r>
      <w:r>
        <w:t xml:space="preserve"> Sechs Aussagen und Frage (und entbrennen wird mein Zorn gegen es an jenem Tag, und ich werde sie verlassen und verbergen mein Angesicht vor ihnen; und es wird zum Fraß werden, und treffen werden es viele Übel und Drangsale. Und es wird sagen an jenem Tag: Haben nicht darum diese Übel mich getroffen, weil mein Gott nicht in meiner Mitte ist?).</w:t>
      </w:r>
    </w:p>
    <w:p w14:paraId="337A5474" w14:textId="609D9548" w:rsidR="008A57FB" w:rsidRDefault="008A57FB" w:rsidP="00B77CC6">
      <w:pPr>
        <w:pStyle w:val="whitespace-normal"/>
      </w:pPr>
      <w:r>
        <w:rPr>
          <w:rStyle w:val="Fett"/>
          <w:rFonts w:eastAsiaTheme="majorEastAsia"/>
        </w:rPr>
        <w:t>Der Vers beschreibt:</w:t>
      </w:r>
      <w:r>
        <w:t xml:space="preserve"> Gottes Gericht – Zorn, Verlassen, Verbergen des Angesichts, viele Übel; Israel erkennt Gottes Abwesenheit als Ursache.</w:t>
      </w:r>
    </w:p>
    <w:p w14:paraId="7706AFA4" w14:textId="77777777" w:rsidR="008A57FB" w:rsidRPr="00257FCB" w:rsidRDefault="008A57FB" w:rsidP="00257FCB">
      <w:pPr>
        <w:pStyle w:val="Bibelberschrift"/>
        <w:rPr>
          <w:b w:val="0"/>
          <w:bCs/>
        </w:rPr>
      </w:pPr>
      <w:r w:rsidRPr="00257FCB">
        <w:rPr>
          <w:rStyle w:val="Fett"/>
          <w:b/>
          <w:bCs w:val="0"/>
        </w:rPr>
        <w:t>Deuteronomium 31,18</w:t>
      </w:r>
    </w:p>
    <w:p w14:paraId="568D2E0C" w14:textId="77777777" w:rsidR="008A57FB" w:rsidRDefault="008A57FB" w:rsidP="008A57FB">
      <w:pPr>
        <w:pStyle w:val="whitespace-normal"/>
      </w:pPr>
      <w:r>
        <w:rPr>
          <w:rStyle w:val="Fett"/>
          <w:rFonts w:eastAsiaTheme="majorEastAsia"/>
        </w:rPr>
        <w:t>Hebräisch:</w:t>
      </w:r>
      <w:r>
        <w:t xml:space="preserve"> </w:t>
      </w:r>
      <w:r>
        <w:rPr>
          <w:rtl/>
        </w:rPr>
        <w:t>וְאָנֹכִי הַסְתֵּר אַסְתִּיר פָּנַי בַּיּוֹם הַהוּא עַל כָּל־הָרָעָה אֲשֶׁר עָשָׂה כִּי פָנָה אֶל־אֱלֹהִים אֲחֵרִים׃</w:t>
      </w:r>
    </w:p>
    <w:p w14:paraId="012C6BCA" w14:textId="77777777" w:rsidR="008A57FB" w:rsidRDefault="008A57FB" w:rsidP="008A57FB">
      <w:pPr>
        <w:pStyle w:val="whitespace-normal"/>
      </w:pPr>
      <w:r>
        <w:rPr>
          <w:rStyle w:val="Fett"/>
          <w:rFonts w:eastAsiaTheme="majorEastAsia"/>
        </w:rPr>
        <w:t>Deutsch:</w:t>
      </w:r>
      <w:r>
        <w:t xml:space="preserve"> Ich aber werde gewiss mein Angesicht verbergen an jenem Tag wegen all des Bösen, das es getan hat, weil es sich zu anderen Göttern hingewandt hat.</w:t>
      </w:r>
    </w:p>
    <w:p w14:paraId="202FC74D" w14:textId="77777777" w:rsidR="008A57FB" w:rsidRDefault="004F5CEB" w:rsidP="008A57FB">
      <w:r>
        <w:rPr>
          <w:noProof/>
        </w:rPr>
        <w:pict w14:anchorId="6F467A92">
          <v:rect id="_x0000_i1881" style="width:0;height:1.5pt" o:hralign="center" o:hrstd="t" o:hr="t" fillcolor="#a0a0a0" stroked="f"/>
        </w:pict>
      </w:r>
    </w:p>
    <w:p w14:paraId="63FDA12D"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וְאָנֹכִי הַסְתֵּר אַסְתִּיר פָּנַי בַּיּוֹם הַהוּא עַל כָּל־הָרָעָה אֲשֶׁר עָשָׂה כִּי פָנָה אֶל־אֱלֹהִים אֲחֵרִים</w:t>
      </w:r>
      <w:r>
        <w:rPr>
          <w:rtl/>
        </w:rPr>
        <w:t xml:space="preserve"> </w:t>
      </w:r>
      <w:r>
        <w:t xml:space="preserve">ist eine Aussage mit Begründung: </w:t>
      </w:r>
      <w:r>
        <w:rPr>
          <w:rStyle w:val="Fett"/>
          <w:rFonts w:eastAsiaTheme="majorEastAsia"/>
          <w:rtl/>
        </w:rPr>
        <w:t>וְאָנֹכִי הַסְתֵּר אַסְתִּיר פָּנַי בַּיּוֹם הַהוּא עַל כָּל־הָרָעָה אֲשֶׁר עָשָׂה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אָנֹכִי</w:t>
      </w:r>
      <w:r>
        <w:t xml:space="preserve">, </w:t>
      </w:r>
      <w:r>
        <w:rPr>
          <w:rStyle w:val="Fett"/>
          <w:rFonts w:eastAsiaTheme="majorEastAsia"/>
          <w:rtl/>
        </w:rPr>
        <w:t>סתר</w:t>
      </w:r>
      <w:r>
        <w:t xml:space="preserve">, Hiphil Infinitiv Absolutus, </w:t>
      </w:r>
      <w:r>
        <w:rPr>
          <w:rStyle w:val="Fett"/>
          <w:rFonts w:eastAsiaTheme="majorEastAsia"/>
          <w:rtl/>
        </w:rPr>
        <w:t>סתר</w:t>
      </w:r>
      <w:r>
        <w:t xml:space="preserve">, Hiphil Imperfekt, 1. Person Singular, </w:t>
      </w:r>
      <w:r>
        <w:rPr>
          <w:rStyle w:val="Fett"/>
          <w:rFonts w:eastAsiaTheme="majorEastAsia"/>
          <w:rtl/>
        </w:rPr>
        <w:t>פָּנִים</w:t>
      </w:r>
      <w:r>
        <w:rPr>
          <w:rtl/>
        </w:rPr>
        <w:t xml:space="preserve"> </w:t>
      </w:r>
      <w:r>
        <w:t xml:space="preserve">Plural mit Suffix 1. Person Singular (emphatische Konstruktion), </w:t>
      </w:r>
      <w:r>
        <w:rPr>
          <w:rStyle w:val="Fett"/>
          <w:rFonts w:eastAsiaTheme="majorEastAsia"/>
          <w:rtl/>
        </w:rPr>
        <w:t>בַּיּוֹם הַהוּא</w:t>
      </w:r>
      <w:r>
        <w:t xml:space="preserve">, </w:t>
      </w:r>
      <w:r>
        <w:rPr>
          <w:rStyle w:val="Fett"/>
          <w:rFonts w:eastAsiaTheme="majorEastAsia"/>
          <w:rtl/>
        </w:rPr>
        <w:t>עַל כָּל־רָעָה</w:t>
      </w:r>
      <w:r>
        <w:rPr>
          <w:rtl/>
        </w:rPr>
        <w:t xml:space="preserve"> </w:t>
      </w:r>
      <w:r>
        <w:t xml:space="preserve">mit Artikel, Relativsatz wie üblich), </w:t>
      </w:r>
      <w:r>
        <w:rPr>
          <w:rStyle w:val="Fett"/>
          <w:rFonts w:eastAsiaTheme="majorEastAsia"/>
          <w:rtl/>
        </w:rPr>
        <w:t>כִּי פָנָה אֶל־אֱלֹהִים אֲחֵרִים</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פנה</w:t>
      </w:r>
      <w:r>
        <w:t xml:space="preserve">, Qal Perfekt, 3. Person Maskulinum Singular, „sich wenden", </w:t>
      </w:r>
      <w:r>
        <w:rPr>
          <w:rStyle w:val="Fett"/>
          <w:rFonts w:eastAsiaTheme="majorEastAsia"/>
          <w:rtl/>
        </w:rPr>
        <w:t>אֶל־אֱלֹהִים אֲחֵרִים</w:t>
      </w:r>
      <w:r>
        <w:t>).</w:t>
      </w:r>
    </w:p>
    <w:p w14:paraId="141D1647" w14:textId="77777777" w:rsidR="008A57FB" w:rsidRDefault="008A57FB" w:rsidP="008A57FB">
      <w:pPr>
        <w:pStyle w:val="whitespace-normal"/>
      </w:pPr>
      <w:r>
        <w:lastRenderedPageBreak/>
        <w:t xml:space="preserve">Der Vers wiederholt und verstärkt die Aussage aus V. 17. Die Aussage mit Begründung: </w:t>
      </w:r>
      <w:r>
        <w:rPr>
          <w:rStyle w:val="Fett"/>
          <w:rFonts w:eastAsiaTheme="majorEastAsia"/>
          <w:rtl/>
        </w:rPr>
        <w:t>וְאָנֹכִי הַסְתֵּר אַסְתִּיר פָּנַי בַּיּוֹם הַהוּא עַל כָּל־הָרָעָה אֲשֶׁר עָשָׂה כִּי פָנָה אֶל־אֱלֹהִים אֲחֵרִים</w:t>
      </w:r>
      <w:r>
        <w:rPr>
          <w:rtl/>
        </w:rPr>
        <w:t xml:space="preserve"> </w:t>
      </w:r>
      <w:r>
        <w:t xml:space="preserve">(„ich aber werde gewiss verbergen, verbergen mein Angesicht an jenem Tag wegen all des Bösen, das es getan hat, weil es sich gewandt hat zu anderen Göttern"). Die Betonung </w:t>
      </w:r>
      <w:r>
        <w:rPr>
          <w:rStyle w:val="Fett"/>
          <w:rFonts w:eastAsiaTheme="majorEastAsia"/>
          <w:rtl/>
        </w:rPr>
        <w:t>וְאָנֹכִי</w:t>
      </w:r>
      <w:r>
        <w:rPr>
          <w:rtl/>
        </w:rPr>
        <w:t xml:space="preserve"> </w:t>
      </w:r>
      <w:r>
        <w:t xml:space="preserve">(„ich aber") stellt Gott als Handelnden heraus. Die Konstruktion Infinitiv Absolutus + finites Verb </w:t>
      </w:r>
      <w:r>
        <w:rPr>
          <w:rStyle w:val="Fett"/>
          <w:rFonts w:eastAsiaTheme="majorEastAsia"/>
          <w:rtl/>
        </w:rPr>
        <w:t>הַסְתֵּר אַסְתִּיר</w:t>
      </w:r>
      <w:r>
        <w:rPr>
          <w:rtl/>
        </w:rPr>
        <w:t xml:space="preserve"> </w:t>
      </w:r>
      <w:r>
        <w:t xml:space="preserve">(„gewiss verbergen, verbergen") verstärkt die Aussage: „ich werde ganz gewiss verbergen". Die Formulierung </w:t>
      </w:r>
      <w:r>
        <w:rPr>
          <w:rStyle w:val="Fett"/>
          <w:rFonts w:eastAsiaTheme="majorEastAsia"/>
          <w:rtl/>
        </w:rPr>
        <w:t>עַל כָּל־הָרָעָה אֲשֶׁר עָשָׂה</w:t>
      </w:r>
      <w:r>
        <w:rPr>
          <w:rtl/>
        </w:rPr>
        <w:t xml:space="preserve"> </w:t>
      </w:r>
      <w:r>
        <w:t xml:space="preserve">(„wegen all des Bösen, das es getan hat") nennt den Grund – Israels Sünde. Die Kausalsatz: </w:t>
      </w:r>
      <w:r>
        <w:rPr>
          <w:rStyle w:val="Fett"/>
          <w:rFonts w:eastAsiaTheme="majorEastAsia"/>
          <w:rtl/>
        </w:rPr>
        <w:t>כִּי פָנָה אֶל־אֱלֹהִים אֲחֵרִים</w:t>
      </w:r>
      <w:r>
        <w:rPr>
          <w:rtl/>
        </w:rPr>
        <w:t xml:space="preserve"> </w:t>
      </w:r>
      <w:r>
        <w:t xml:space="preserve">(„weil es sich gewandt hat zu anderen Göttern") präzisiert: der Götzendienst ist das zentrale Übel. Das Verb </w:t>
      </w:r>
      <w:r>
        <w:rPr>
          <w:rStyle w:val="Fett"/>
          <w:rFonts w:eastAsiaTheme="majorEastAsia"/>
          <w:rtl/>
        </w:rPr>
        <w:t>פנה אֶל</w:t>
      </w:r>
      <w:r>
        <w:rPr>
          <w:rtl/>
        </w:rPr>
        <w:t xml:space="preserve"> </w:t>
      </w:r>
      <w:r>
        <w:t>(„sich wenden zu") drückt bewusste Hinwendung aus (vgl. 29,25; 30,17).</w:t>
      </w:r>
    </w:p>
    <w:p w14:paraId="3AEC5233" w14:textId="77777777" w:rsidR="008A57FB" w:rsidRDefault="008A57FB" w:rsidP="008A57FB">
      <w:pPr>
        <w:pStyle w:val="whitespace-normal"/>
      </w:pPr>
      <w:r>
        <w:rPr>
          <w:rStyle w:val="Fett"/>
          <w:rFonts w:eastAsiaTheme="majorEastAsia"/>
        </w:rPr>
        <w:t>Die Satzstruktur:</w:t>
      </w:r>
      <w:r>
        <w:t xml:space="preserve"> Aussage mit Begründung (ich aber werde gewiss verbergen, verbergen mein Angesicht an jenem Tag wegen all des Bösen, das es getan hat, weil es sich gewandt hat zu anderen Göttern).</w:t>
      </w:r>
    </w:p>
    <w:p w14:paraId="171A2F0B" w14:textId="77777777" w:rsidR="008A57FB" w:rsidRDefault="008A57FB" w:rsidP="008A57FB">
      <w:pPr>
        <w:pStyle w:val="whitespace-normal"/>
      </w:pPr>
      <w:r>
        <w:rPr>
          <w:rStyle w:val="Fett"/>
          <w:rFonts w:eastAsiaTheme="majorEastAsia"/>
        </w:rPr>
        <w:t>Der Vers beschreibt:</w:t>
      </w:r>
      <w:r>
        <w:t xml:space="preserve"> Wiederholung und Verstärkung – Gott wird sein Angesicht ganz gewiss verbergen wegen Israels Götzendienst.</w:t>
      </w:r>
    </w:p>
    <w:p w14:paraId="0664A4EE" w14:textId="77777777" w:rsidR="008A57FB" w:rsidRPr="00257FCB" w:rsidRDefault="008A57FB" w:rsidP="00257FCB">
      <w:pPr>
        <w:pStyle w:val="Bibelberschrift"/>
        <w:rPr>
          <w:b w:val="0"/>
          <w:bCs/>
        </w:rPr>
      </w:pPr>
      <w:r w:rsidRPr="00257FCB">
        <w:rPr>
          <w:rStyle w:val="Fett"/>
          <w:b/>
          <w:bCs w:val="0"/>
        </w:rPr>
        <w:t>Deuteronomium 31,19</w:t>
      </w:r>
    </w:p>
    <w:p w14:paraId="5E17EA71" w14:textId="77777777" w:rsidR="008A57FB" w:rsidRDefault="008A57FB" w:rsidP="008A57FB">
      <w:pPr>
        <w:pStyle w:val="whitespace-normal"/>
      </w:pPr>
      <w:r>
        <w:rPr>
          <w:rStyle w:val="Fett"/>
          <w:rFonts w:eastAsiaTheme="majorEastAsia"/>
        </w:rPr>
        <w:t>Hebräisch:</w:t>
      </w:r>
      <w:r>
        <w:t xml:space="preserve"> </w:t>
      </w:r>
      <w:r>
        <w:rPr>
          <w:rtl/>
        </w:rPr>
        <w:t>וְעַתָּה כִּתְבוּ לָכֶם אֶת־הַשִּׁירָה הַזֹּאת וְלַמְּדָהּ אֶת־בְּנֵי־יִשְׂרָאֵל שִׂימָהּ בְּפִיהֶם לְמַעַן תִּהְיֶה־לִּי הַשִּׁירָה הַזֹּאת לְעֵד בִּבְנֵי יִשְׂרָאֵל׃</w:t>
      </w:r>
    </w:p>
    <w:p w14:paraId="5689E2CA" w14:textId="77777777" w:rsidR="008A57FB" w:rsidRDefault="008A57FB" w:rsidP="008A57FB">
      <w:pPr>
        <w:pStyle w:val="whitespace-normal"/>
      </w:pPr>
      <w:r>
        <w:rPr>
          <w:rStyle w:val="Fett"/>
          <w:rFonts w:eastAsiaTheme="majorEastAsia"/>
        </w:rPr>
        <w:t>Deutsch:</w:t>
      </w:r>
      <w:r>
        <w:t xml:space="preserve"> Und nun, schreibt euch dieses Lied auf und lehre es die Kinder Israels, lege es in ihren Mund, damit dieses Lied mir zum Zeugen sei gegen die Kinder Israels.</w:t>
      </w:r>
    </w:p>
    <w:p w14:paraId="02CE5540" w14:textId="77777777" w:rsidR="008A57FB" w:rsidRDefault="004F5CEB" w:rsidP="008A57FB">
      <w:r>
        <w:rPr>
          <w:noProof/>
        </w:rPr>
        <w:pict w14:anchorId="3242AAED">
          <v:rect id="_x0000_i1882" style="width:0;height:1.5pt" o:hralign="center" o:hrstd="t" o:hr="t" fillcolor="#a0a0a0" stroked="f"/>
        </w:pict>
      </w:r>
    </w:p>
    <w:p w14:paraId="40A92103"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וְעַתָּה כִּתְבוּ לָכֶם אֶת־הַשִּׁירָה הַזֹּאת וְלַמְּדָהּ אֶת־בְּנֵי־יִשְׂרָאֵל שִׂימָהּ בְּפִיהֶם לְמַעַן תִּהְיֶה־לִּי הַשִּׁירָה הַזֹּאת לְעֵד בִּבְנֵי יִשְׂרָאֵל</w:t>
      </w:r>
      <w:r>
        <w:rPr>
          <w:rtl/>
        </w:rPr>
        <w:t xml:space="preserve"> </w:t>
      </w:r>
      <w:r>
        <w:t xml:space="preserve">sind drei Imperative und Finalsatz: </w:t>
      </w:r>
      <w:r>
        <w:rPr>
          <w:rStyle w:val="Fett"/>
          <w:rFonts w:eastAsiaTheme="majorEastAsia"/>
          <w:rtl/>
        </w:rPr>
        <w:t>וְעַתָּה כִּתְבוּ לָכֶם אֶת־הַשִּׁירָה הַזֹּאת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עַתָּה</w:t>
      </w:r>
      <w:r>
        <w:t xml:space="preserve">, „nun", </w:t>
      </w:r>
      <w:r>
        <w:rPr>
          <w:rStyle w:val="Fett"/>
          <w:rFonts w:eastAsiaTheme="majorEastAsia"/>
          <w:rtl/>
        </w:rPr>
        <w:t>כתב</w:t>
      </w:r>
      <w:r>
        <w:t xml:space="preserve">, Qal Imperativ, Maskulinum Plural, </w:t>
      </w:r>
      <w:r>
        <w:rPr>
          <w:rStyle w:val="Fett"/>
          <w:rFonts w:eastAsiaTheme="majorEastAsia"/>
          <w:rtl/>
        </w:rPr>
        <w:t>לָכֶם</w:t>
      </w:r>
      <w:r>
        <w:t xml:space="preserve">, Objektpartikel </w:t>
      </w:r>
      <w:r>
        <w:rPr>
          <w:rStyle w:val="Fett"/>
          <w:rFonts w:eastAsiaTheme="majorEastAsia"/>
          <w:rtl/>
        </w:rPr>
        <w:t>אֵת</w:t>
      </w:r>
      <w:r>
        <w:rPr>
          <w:rtl/>
        </w:rPr>
        <w:t xml:space="preserve"> </w:t>
      </w:r>
      <w:r>
        <w:t xml:space="preserve">mit </w:t>
      </w:r>
      <w:r>
        <w:rPr>
          <w:rStyle w:val="Fett"/>
          <w:rFonts w:eastAsiaTheme="majorEastAsia"/>
          <w:rtl/>
        </w:rPr>
        <w:t>שִׁירָה</w:t>
      </w:r>
      <w:r>
        <w:rPr>
          <w:rtl/>
        </w:rPr>
        <w:t xml:space="preserve"> </w:t>
      </w:r>
      <w:r>
        <w:t xml:space="preserve">mit Artikel, „Lied", </w:t>
      </w:r>
      <w:r>
        <w:rPr>
          <w:rStyle w:val="Fett"/>
          <w:rFonts w:eastAsiaTheme="majorEastAsia"/>
          <w:rtl/>
        </w:rPr>
        <w:t>זֹאת</w:t>
      </w:r>
      <w:r>
        <w:t xml:space="preserve">), </w:t>
      </w:r>
      <w:r>
        <w:rPr>
          <w:rStyle w:val="Fett"/>
          <w:rFonts w:eastAsiaTheme="majorEastAsia"/>
          <w:rtl/>
        </w:rPr>
        <w:t>וְלַמְּדָהּ אֶת־בְּנֵי־יִשְׂרָאֵל</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למד</w:t>
      </w:r>
      <w:r>
        <w:t xml:space="preserve">, Piel Imperativ, Maskulinum Singular, mit Suffix 3. Person Femininum Singular, Objektpartikel </w:t>
      </w:r>
      <w:r>
        <w:rPr>
          <w:rStyle w:val="Fett"/>
          <w:rFonts w:eastAsiaTheme="majorEastAsia"/>
          <w:rtl/>
        </w:rPr>
        <w:t>אֵת</w:t>
      </w:r>
      <w:r>
        <w:rPr>
          <w:rtl/>
        </w:rPr>
        <w:t xml:space="preserve"> </w:t>
      </w:r>
      <w:r>
        <w:t xml:space="preserve">mit </w:t>
      </w:r>
      <w:r>
        <w:rPr>
          <w:rStyle w:val="Fett"/>
          <w:rFonts w:eastAsiaTheme="majorEastAsia"/>
          <w:rtl/>
        </w:rPr>
        <w:t>בְּנֵי־יִשְׂרָאֵל</w:t>
      </w:r>
      <w:r>
        <w:t xml:space="preserve">), </w:t>
      </w:r>
      <w:r>
        <w:rPr>
          <w:rStyle w:val="Fett"/>
          <w:rFonts w:eastAsiaTheme="majorEastAsia"/>
          <w:rtl/>
        </w:rPr>
        <w:t>שִׂימָהּ בְּפִיהֶם</w:t>
      </w:r>
      <w:r>
        <w:rPr>
          <w:rtl/>
        </w:rPr>
        <w:t xml:space="preserve"> </w:t>
      </w:r>
      <w:r>
        <w:t xml:space="preserve">(koordiniert, </w:t>
      </w:r>
      <w:r>
        <w:rPr>
          <w:rStyle w:val="Fett"/>
          <w:rFonts w:eastAsiaTheme="majorEastAsia"/>
          <w:rtl/>
        </w:rPr>
        <w:t>שׂים</w:t>
      </w:r>
      <w:r>
        <w:t xml:space="preserve">, Qal Imperativ, Maskulinum Singular, mit Suffix 3. Person Femininum Singular, „legen", </w:t>
      </w:r>
      <w:r>
        <w:rPr>
          <w:rStyle w:val="Fett"/>
          <w:rFonts w:eastAsiaTheme="majorEastAsia"/>
          <w:rtl/>
        </w:rPr>
        <w:t>בְּפִיהֶם</w:t>
      </w:r>
      <w:r>
        <w:t xml:space="preserve">), </w:t>
      </w:r>
      <w:r>
        <w:rPr>
          <w:rStyle w:val="Fett"/>
          <w:rFonts w:eastAsiaTheme="majorEastAsia"/>
          <w:rtl/>
        </w:rPr>
        <w:t>לְמַעַן תִּהְיֶה־לִּי הַשִּׁירָה הַזֹּאת לְעֵד בִּבְנֵי יִשְׂרָאֵל</w:t>
      </w:r>
      <w:r>
        <w:rPr>
          <w:rtl/>
        </w:rPr>
        <w:t xml:space="preserve"> </w:t>
      </w:r>
      <w:r>
        <w:t xml:space="preserve">(Finalsatz: </w:t>
      </w:r>
      <w:r>
        <w:rPr>
          <w:rStyle w:val="Fett"/>
          <w:rFonts w:eastAsiaTheme="majorEastAsia"/>
          <w:rtl/>
        </w:rPr>
        <w:t>לְמַעַן</w:t>
      </w:r>
      <w:r>
        <w:rPr>
          <w:rtl/>
        </w:rPr>
        <w:t xml:space="preserve"> </w:t>
      </w:r>
      <w:r>
        <w:t xml:space="preserve">mit </w:t>
      </w:r>
      <w:r>
        <w:rPr>
          <w:rStyle w:val="Fett"/>
          <w:rFonts w:eastAsiaTheme="majorEastAsia"/>
          <w:rtl/>
        </w:rPr>
        <w:t>היה</w:t>
      </w:r>
      <w:r>
        <w:t xml:space="preserve">, Qal Imperfekt, 3. Person Femininum Singular, </w:t>
      </w:r>
      <w:r>
        <w:rPr>
          <w:rStyle w:val="Fett"/>
          <w:rFonts w:eastAsiaTheme="majorEastAsia"/>
          <w:rtl/>
        </w:rPr>
        <w:t>לִּי</w:t>
      </w:r>
      <w:r>
        <w:t xml:space="preserve">, </w:t>
      </w:r>
      <w:r>
        <w:rPr>
          <w:rStyle w:val="Fett"/>
          <w:rFonts w:eastAsiaTheme="majorEastAsia"/>
          <w:rtl/>
        </w:rPr>
        <w:t>שִׁירָה</w:t>
      </w:r>
      <w:r>
        <w:rPr>
          <w:rtl/>
        </w:rPr>
        <w:t xml:space="preserve"> </w:t>
      </w:r>
      <w:r>
        <w:t xml:space="preserve">mit Artikel, </w:t>
      </w:r>
      <w:r>
        <w:rPr>
          <w:rStyle w:val="Fett"/>
          <w:rFonts w:eastAsiaTheme="majorEastAsia"/>
          <w:rtl/>
        </w:rPr>
        <w:t>זֹאת</w:t>
      </w:r>
      <w:r>
        <w:t xml:space="preserve">, </w:t>
      </w:r>
      <w:r>
        <w:rPr>
          <w:rStyle w:val="Fett"/>
          <w:rFonts w:eastAsiaTheme="majorEastAsia"/>
          <w:rtl/>
        </w:rPr>
        <w:t>לְעֵד</w:t>
      </w:r>
      <w:r>
        <w:t xml:space="preserve">, „zum Zeugen", </w:t>
      </w:r>
      <w:r>
        <w:rPr>
          <w:rStyle w:val="Fett"/>
          <w:rFonts w:eastAsiaTheme="majorEastAsia"/>
          <w:rtl/>
        </w:rPr>
        <w:t>בִּבְנֵי יִשְׂרָאֵל</w:t>
      </w:r>
      <w:r>
        <w:t>).</w:t>
      </w:r>
    </w:p>
    <w:p w14:paraId="336442BD" w14:textId="77777777" w:rsidR="008A57FB" w:rsidRDefault="008A57FB" w:rsidP="008A57FB">
      <w:pPr>
        <w:pStyle w:val="whitespace-normal"/>
      </w:pPr>
      <w:r>
        <w:t xml:space="preserve">Der Vers führt das „Lied" (Kapitel 32) ein, das als Zeuge gegen Israel dienen soll. Die drei Imperative: </w:t>
      </w:r>
      <w:r>
        <w:rPr>
          <w:rStyle w:val="Fett"/>
          <w:rFonts w:eastAsiaTheme="majorEastAsia"/>
          <w:rtl/>
        </w:rPr>
        <w:t>וְעַתָּה כִּתְבוּ לָכֶם אֶת־הַשִּׁירָה הַזֹּאת וְלַמְּדָהּ אֶת־בְּנֵי־יִשְׂרָאֵל שִׂימָהּ בְּפִיהֶם</w:t>
      </w:r>
      <w:r>
        <w:rPr>
          <w:rtl/>
        </w:rPr>
        <w:t xml:space="preserve"> </w:t>
      </w:r>
      <w:r>
        <w:t xml:space="preserve">(„und nun, schreibt euch dieses Lied auf und lehre es die Kinder Israels, lege es in ihren Mund"). Die Formulierung </w:t>
      </w:r>
      <w:r>
        <w:rPr>
          <w:rStyle w:val="Fett"/>
          <w:rFonts w:eastAsiaTheme="majorEastAsia"/>
          <w:rtl/>
        </w:rPr>
        <w:t>עַתָּה</w:t>
      </w:r>
      <w:r>
        <w:rPr>
          <w:rtl/>
        </w:rPr>
        <w:t xml:space="preserve"> </w:t>
      </w:r>
      <w:r>
        <w:t xml:space="preserve">(„nun") markiert den Übergang zur konkreten Anweisung. Drei Schritte: (1) </w:t>
      </w:r>
      <w:r>
        <w:rPr>
          <w:rStyle w:val="Fett"/>
          <w:rFonts w:eastAsiaTheme="majorEastAsia"/>
          <w:rtl/>
        </w:rPr>
        <w:t>כִּתְבוּ לָכֶם</w:t>
      </w:r>
      <w:r>
        <w:rPr>
          <w:rtl/>
        </w:rPr>
        <w:t xml:space="preserve"> </w:t>
      </w:r>
      <w:r>
        <w:t xml:space="preserve">(„schreibt euch auf") – schriftliche Fixierung, Plural adressiert Mose und Josua. (2) </w:t>
      </w:r>
      <w:r>
        <w:rPr>
          <w:rStyle w:val="Fett"/>
          <w:rFonts w:eastAsiaTheme="majorEastAsia"/>
          <w:rtl/>
        </w:rPr>
        <w:t>לַמְּדָהּ אֶת־בְּנֵי־יִשְׂרָאֵל</w:t>
      </w:r>
      <w:r>
        <w:rPr>
          <w:rtl/>
        </w:rPr>
        <w:t xml:space="preserve"> </w:t>
      </w:r>
      <w:r>
        <w:t xml:space="preserve">(„lehre es die Kinder Israels") – Unterricht, Singular adressiert wahrscheinlich Mose. (3) </w:t>
      </w:r>
      <w:r>
        <w:rPr>
          <w:rStyle w:val="Fett"/>
          <w:rFonts w:eastAsiaTheme="majorEastAsia"/>
          <w:rtl/>
        </w:rPr>
        <w:t>שִׂימָהּ בְּפִיהֶם</w:t>
      </w:r>
      <w:r>
        <w:rPr>
          <w:rtl/>
        </w:rPr>
        <w:t xml:space="preserve"> </w:t>
      </w:r>
      <w:r>
        <w:t xml:space="preserve">(„lege es in ihren Mund") – Auswendiglernen, Verinnerlichung (vgl. Ex 4,15; Num 22,38; 23,5.12.16; Jer 1,9; 5,14). Der Finalsatz: </w:t>
      </w:r>
      <w:r>
        <w:rPr>
          <w:rStyle w:val="Fett"/>
          <w:rFonts w:eastAsiaTheme="majorEastAsia"/>
          <w:rtl/>
        </w:rPr>
        <w:t>לְמַעַן תִּהְיֶה־לִּי הַשִּׁירָה הַזֹּאת לְעֵד בִּבְנֵי יִשְׂרָאֵל</w:t>
      </w:r>
      <w:r>
        <w:rPr>
          <w:rtl/>
        </w:rPr>
        <w:t xml:space="preserve"> </w:t>
      </w:r>
      <w:r>
        <w:t xml:space="preserve">(„damit dieses Lied mir zum Zeugen sei gegen die Kinder </w:t>
      </w:r>
      <w:r>
        <w:lastRenderedPageBreak/>
        <w:t xml:space="preserve">Israels"). Das Lied soll als </w:t>
      </w:r>
      <w:r>
        <w:rPr>
          <w:rStyle w:val="Fett"/>
          <w:rFonts w:eastAsiaTheme="majorEastAsia"/>
          <w:rtl/>
        </w:rPr>
        <w:t>עֵד</w:t>
      </w:r>
      <w:r>
        <w:rPr>
          <w:rtl/>
        </w:rPr>
        <w:t xml:space="preserve"> </w:t>
      </w:r>
      <w:r>
        <w:t xml:space="preserve">(„Zeuge") fungieren – es wird Israel anklagen, wenn sie vom Bund abfallen (vgl. V. 21.26; 32,1-43). Die Präposition </w:t>
      </w:r>
      <w:r>
        <w:rPr>
          <w:rStyle w:val="Fett"/>
          <w:rFonts w:eastAsiaTheme="majorEastAsia"/>
          <w:rtl/>
        </w:rPr>
        <w:t>בְּ</w:t>
      </w:r>
      <w:r>
        <w:rPr>
          <w:rtl/>
        </w:rPr>
        <w:t xml:space="preserve"> </w:t>
      </w:r>
      <w:r>
        <w:t xml:space="preserve">in </w:t>
      </w:r>
      <w:r>
        <w:rPr>
          <w:rStyle w:val="Fett"/>
          <w:rFonts w:eastAsiaTheme="majorEastAsia"/>
          <w:rtl/>
        </w:rPr>
        <w:t>בִּבְנֵי יִשְׂרָאֵל</w:t>
      </w:r>
      <w:r>
        <w:rPr>
          <w:rtl/>
        </w:rPr>
        <w:t xml:space="preserve"> </w:t>
      </w:r>
      <w:r>
        <w:t>kann „gegen" bedeuten (vgl. V. 21).</w:t>
      </w:r>
    </w:p>
    <w:p w14:paraId="2861248E" w14:textId="77777777" w:rsidR="008A57FB" w:rsidRDefault="008A57FB" w:rsidP="008A57FB">
      <w:pPr>
        <w:pStyle w:val="whitespace-normal"/>
      </w:pPr>
      <w:r>
        <w:rPr>
          <w:rStyle w:val="Fett"/>
          <w:rFonts w:eastAsiaTheme="majorEastAsia"/>
        </w:rPr>
        <w:t>Die Satzstruktur:</w:t>
      </w:r>
      <w:r>
        <w:t xml:space="preserve"> Drei Imperative und Finalsatz (und nun, schreibt euch dieses Lied auf und lehre es die Kinder Israels, lege es in ihren Mund, damit dieses Lied mir zum Zeugen sei gegen die Kinder Israels).</w:t>
      </w:r>
    </w:p>
    <w:p w14:paraId="49E18637" w14:textId="531DB7A7" w:rsidR="008A57FB" w:rsidRDefault="008A57FB" w:rsidP="00B77CC6">
      <w:pPr>
        <w:pStyle w:val="whitespace-normal"/>
      </w:pPr>
      <w:r>
        <w:rPr>
          <w:rStyle w:val="Fett"/>
          <w:rFonts w:eastAsiaTheme="majorEastAsia"/>
        </w:rPr>
        <w:t>Der Vers beschreibt:</w:t>
      </w:r>
      <w:r>
        <w:t xml:space="preserve"> Das Lied als Zeuge – Mose soll das Lied aufschreiben, lehren, einprägen, damit es als Zeuge gegen Israel dient.</w:t>
      </w:r>
    </w:p>
    <w:p w14:paraId="6BE6D6D3" w14:textId="77777777" w:rsidR="008A57FB" w:rsidRPr="00257FCB" w:rsidRDefault="008A57FB" w:rsidP="00257FCB">
      <w:pPr>
        <w:pStyle w:val="Bibelberschrift"/>
        <w:rPr>
          <w:b w:val="0"/>
          <w:bCs/>
        </w:rPr>
      </w:pPr>
      <w:r w:rsidRPr="00257FCB">
        <w:rPr>
          <w:rStyle w:val="Fett"/>
          <w:b/>
          <w:bCs w:val="0"/>
        </w:rPr>
        <w:t>Deuteronomium 31,20</w:t>
      </w:r>
    </w:p>
    <w:p w14:paraId="11CC5D9B" w14:textId="77777777" w:rsidR="008A57FB" w:rsidRDefault="008A57FB" w:rsidP="008A57FB">
      <w:pPr>
        <w:pStyle w:val="whitespace-normal"/>
      </w:pPr>
      <w:r>
        <w:rPr>
          <w:rStyle w:val="Fett"/>
          <w:rFonts w:eastAsiaTheme="majorEastAsia"/>
        </w:rPr>
        <w:t>Hebräisch:</w:t>
      </w:r>
      <w:r>
        <w:t xml:space="preserve"> </w:t>
      </w:r>
      <w:r>
        <w:rPr>
          <w:rtl/>
        </w:rPr>
        <w:t>כִּי־אֲבִיאֶנּוּ אֶל־הָאֲדָמָה אֲשֶׁר־נִשְׁבַּעְתִּי לַאֲבֹתָיו זָבַת חָלָב וּדְבַשׁ וְאָכַל וְשָׂבַע וְדָשֵׁן וּפָנָה אֶל־אֱלֹהִים אֲחֵרִים וַעֲבָדוּם וְנִאֲצוּנִי וְהֵפֵר אֶת־בְּרִיתִי׃</w:t>
      </w:r>
    </w:p>
    <w:p w14:paraId="682FCE03" w14:textId="77777777" w:rsidR="008A57FB" w:rsidRDefault="008A57FB" w:rsidP="008A57FB">
      <w:pPr>
        <w:pStyle w:val="whitespace-normal"/>
      </w:pPr>
      <w:r>
        <w:rPr>
          <w:rStyle w:val="Fett"/>
          <w:rFonts w:eastAsiaTheme="majorEastAsia"/>
        </w:rPr>
        <w:t>Deutsch:</w:t>
      </w:r>
      <w:r>
        <w:t xml:space="preserve"> Denn ich werde es in das Land bringen, das ich seinen Vätern zugeschworen habe, fließend von Milch und Honig; und es wird essen und satt und fett werden; und es wird sich zu anderen Göttern wenden, und sie werden ihnen dienen und mich verachten und meinen Bund brechen.</w:t>
      </w:r>
    </w:p>
    <w:p w14:paraId="0CFF269B" w14:textId="77777777" w:rsidR="008A57FB" w:rsidRDefault="004F5CEB" w:rsidP="008A57FB">
      <w:r>
        <w:rPr>
          <w:noProof/>
        </w:rPr>
        <w:pict w14:anchorId="29B5768A">
          <v:rect id="_x0000_i1883" style="width:0;height:1.5pt" o:hralign="center" o:hrstd="t" o:hr="t" fillcolor="#a0a0a0" stroked="f"/>
        </w:pict>
      </w:r>
    </w:p>
    <w:p w14:paraId="3378AFCC"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כִּי־אֲבִיאֶנּוּ אֶל־הָאֲדָמָה אֲשֶׁר־נִשְׁבַּעְתִּי לַאֲבֹתָיו זָבַת חָלָב וּדְבַשׁ וְאָכַל וְשָׂבַע וְדָשֵׁן וּפָנָה אֶל־אֱלֹהִים אֲחֵרִים וַעֲבָדוּם וְנִאֲצוּנִי וְהֵפֵר אֶת־בְּרִיתִי</w:t>
      </w:r>
      <w:r>
        <w:rPr>
          <w:rtl/>
        </w:rPr>
        <w:t xml:space="preserve"> </w:t>
      </w:r>
      <w:r>
        <w:t xml:space="preserve">sind sieben Aussagen: </w:t>
      </w:r>
      <w:r>
        <w:rPr>
          <w:rStyle w:val="Fett"/>
          <w:rFonts w:eastAsiaTheme="majorEastAsia"/>
          <w:rtl/>
        </w:rPr>
        <w:t>כִּי־אֲבִיאֶנּוּ אֶל־הָאֲדָמָה אֲשֶׁר־נִשְׁבַּעְתִּי לַאֲבֹתָיו זָבַת חָלָב וּדְבַשׁ</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בוא</w:t>
      </w:r>
      <w:r>
        <w:t xml:space="preserve">, Hiphil Imperfekt, 1. Person Singular, mit Suffix 3. Person Maskulinum Singular, </w:t>
      </w:r>
      <w:r>
        <w:rPr>
          <w:rStyle w:val="Fett"/>
          <w:rFonts w:eastAsiaTheme="majorEastAsia"/>
          <w:rtl/>
        </w:rPr>
        <w:t>אֶל־הָאֲדָמָה</w:t>
      </w:r>
      <w:r>
        <w:t xml:space="preserve">, Relativsatz wie üblich, Partizipialsatz: </w:t>
      </w:r>
      <w:r>
        <w:rPr>
          <w:rStyle w:val="Fett"/>
          <w:rFonts w:eastAsiaTheme="majorEastAsia"/>
          <w:rtl/>
        </w:rPr>
        <w:t>זָבַת חָלָב וּדְבַשׁ</w:t>
      </w:r>
      <w:r>
        <w:rPr>
          <w:rtl/>
        </w:rPr>
        <w:t xml:space="preserve"> </w:t>
      </w:r>
      <w:r>
        <w:t xml:space="preserve">mit </w:t>
      </w:r>
      <w:r>
        <w:rPr>
          <w:rStyle w:val="Fett"/>
          <w:rFonts w:eastAsiaTheme="majorEastAsia"/>
          <w:rtl/>
        </w:rPr>
        <w:t>זוב</w:t>
      </w:r>
      <w:r>
        <w:t xml:space="preserve">, Qal Partizip Femininum Singular, „fließen", </w:t>
      </w:r>
      <w:r>
        <w:rPr>
          <w:rStyle w:val="Fett"/>
          <w:rFonts w:eastAsiaTheme="majorEastAsia"/>
          <w:rtl/>
        </w:rPr>
        <w:t>חָלָב וּדְבַשׁ</w:t>
      </w:r>
      <w:r>
        <w:t xml:space="preserve">), </w:t>
      </w:r>
      <w:r>
        <w:rPr>
          <w:rStyle w:val="Fett"/>
          <w:rFonts w:eastAsiaTheme="majorEastAsia"/>
          <w:rtl/>
        </w:rPr>
        <w:t>וְאָכַל וְשָׂבַע וְדָשֵׁן</w:t>
      </w:r>
      <w:r>
        <w:rPr>
          <w:rtl/>
        </w:rPr>
        <w:t xml:space="preserve"> </w:t>
      </w:r>
      <w:r>
        <w:t xml:space="preserve">(drei koordinierte Aussagen mit </w:t>
      </w:r>
      <w:r>
        <w:rPr>
          <w:rStyle w:val="Fett"/>
          <w:rFonts w:eastAsiaTheme="majorEastAsia"/>
        </w:rPr>
        <w:t>Waw</w:t>
      </w:r>
      <w:r>
        <w:t xml:space="preserve"> consecutivum: </w:t>
      </w:r>
      <w:r>
        <w:rPr>
          <w:rStyle w:val="Fett"/>
          <w:rFonts w:eastAsiaTheme="majorEastAsia"/>
          <w:rtl/>
        </w:rPr>
        <w:t>אכל</w:t>
      </w:r>
      <w:r>
        <w:t xml:space="preserve">, Qal Perfekt, 3. Person Maskulinum Singular, </w:t>
      </w:r>
      <w:r>
        <w:rPr>
          <w:rStyle w:val="Fett"/>
          <w:rFonts w:eastAsiaTheme="majorEastAsia"/>
          <w:rtl/>
        </w:rPr>
        <w:t>שׂבע</w:t>
      </w:r>
      <w:r>
        <w:t xml:space="preserve">, Qal Perfekt, 3. Person Maskulinum Singular, „satt werden", </w:t>
      </w:r>
      <w:r>
        <w:rPr>
          <w:rStyle w:val="Fett"/>
          <w:rFonts w:eastAsiaTheme="majorEastAsia"/>
          <w:rtl/>
        </w:rPr>
        <w:t>דשׁן</w:t>
      </w:r>
      <w:r>
        <w:t xml:space="preserve">, Qal Perfekt, 3. Person Maskulinum Singular, „fett werden"), </w:t>
      </w:r>
      <w:r>
        <w:rPr>
          <w:rStyle w:val="Fett"/>
          <w:rFonts w:eastAsiaTheme="majorEastAsia"/>
          <w:rtl/>
        </w:rPr>
        <w:t>וּפָנָה אֶל־אֱלֹהִים אֲחֵרִים וַעֲבָדוּם וְנִאֲצוּנִי וְהֵפֵר אֶת־בְּרִיתִי</w:t>
      </w:r>
      <w:r>
        <w:rPr>
          <w:rtl/>
        </w:rPr>
        <w:t xml:space="preserve"> </w:t>
      </w:r>
      <w:r>
        <w:t xml:space="preserve">(vier weitere koordinierte Aussagen: </w:t>
      </w:r>
      <w:r>
        <w:rPr>
          <w:rStyle w:val="Fett"/>
          <w:rFonts w:eastAsiaTheme="majorEastAsia"/>
          <w:rtl/>
        </w:rPr>
        <w:t>פנה</w:t>
      </w:r>
      <w:r>
        <w:t xml:space="preserve">, Qal Perfekt, 3. Person Maskulinum Singular, </w:t>
      </w:r>
      <w:r>
        <w:rPr>
          <w:rStyle w:val="Fett"/>
          <w:rFonts w:eastAsiaTheme="majorEastAsia"/>
          <w:rtl/>
        </w:rPr>
        <w:t>אֶל־אֱלֹהִים אֲחֵרִים</w:t>
      </w:r>
      <w:r>
        <w:t xml:space="preserve">, </w:t>
      </w:r>
      <w:r>
        <w:rPr>
          <w:rStyle w:val="Fett"/>
          <w:rFonts w:eastAsiaTheme="majorEastAsia"/>
          <w:rtl/>
        </w:rPr>
        <w:t>עבד</w:t>
      </w:r>
      <w:r>
        <w:t xml:space="preserve">, Qal Perfekt, 3. Person Plural, mit Suffix 3. Person Maskulinum Plural, </w:t>
      </w:r>
      <w:r>
        <w:rPr>
          <w:rStyle w:val="Fett"/>
          <w:rFonts w:eastAsiaTheme="majorEastAsia"/>
          <w:rtl/>
        </w:rPr>
        <w:t>נאץ</w:t>
      </w:r>
      <w:r>
        <w:t xml:space="preserve">, Piel Perfekt, 3. Person Plural, „verachten, lästern", mit Suffix 1. Person Singular, </w:t>
      </w:r>
      <w:r>
        <w:rPr>
          <w:rStyle w:val="Fett"/>
          <w:rFonts w:eastAsiaTheme="majorEastAsia"/>
          <w:rtl/>
        </w:rPr>
        <w:t>פרר</w:t>
      </w:r>
      <w:r>
        <w:t xml:space="preserve">, Hiphil Perfekt, 3. Person Maskulinum Singular, Objektpartikel </w:t>
      </w:r>
      <w:r>
        <w:rPr>
          <w:rStyle w:val="Fett"/>
          <w:rFonts w:eastAsiaTheme="majorEastAsia"/>
          <w:rtl/>
        </w:rPr>
        <w:t>אֵת</w:t>
      </w:r>
      <w:r>
        <w:rPr>
          <w:rtl/>
        </w:rPr>
        <w:t xml:space="preserve"> </w:t>
      </w:r>
      <w:r>
        <w:t xml:space="preserve">mit </w:t>
      </w:r>
      <w:r>
        <w:rPr>
          <w:rStyle w:val="Fett"/>
          <w:rFonts w:eastAsiaTheme="majorEastAsia"/>
          <w:rtl/>
        </w:rPr>
        <w:t>בְּרִית</w:t>
      </w:r>
      <w:r>
        <w:rPr>
          <w:rtl/>
        </w:rPr>
        <w:t xml:space="preserve"> </w:t>
      </w:r>
      <w:r>
        <w:t xml:space="preserve">mit Suffix 1. Person Singular, alle mit </w:t>
      </w:r>
      <w:r>
        <w:rPr>
          <w:rStyle w:val="Fett"/>
          <w:rFonts w:eastAsiaTheme="majorEastAsia"/>
        </w:rPr>
        <w:t>Waw</w:t>
      </w:r>
      <w:r>
        <w:t xml:space="preserve"> consecutivum).</w:t>
      </w:r>
    </w:p>
    <w:p w14:paraId="37FCF462" w14:textId="2F42F36E" w:rsidR="008A57FB" w:rsidRDefault="008A57FB" w:rsidP="008A57FB">
      <w:pPr>
        <w:pStyle w:val="whitespace-normal"/>
      </w:pPr>
      <w:r>
        <w:t xml:space="preserve">Der Vers entfaltet den Abfall Israels im Detail. Die sieben Aussagen: </w:t>
      </w:r>
      <w:r>
        <w:rPr>
          <w:rStyle w:val="Fett"/>
          <w:rFonts w:eastAsiaTheme="majorEastAsia"/>
          <w:rtl/>
        </w:rPr>
        <w:t>כִּי־אֲבִיאֶנּוּ אֶל־הָאֲדָמָה אֲשֶׁר־נִשְׁבַּעְתִּי לַאֲבֹתָיו זָבַת חָלָב וּדְבַשׁ וְאָכַל וְשָׂבַע וְדָשֵׁן וּפָנָה אֶל־אֱלֹהִים אֲחֵרִים וַעֲבָדוּם וְנִאֲצוּנִי וְהֵפֵר אֶת־בְּרִיתִי</w:t>
      </w:r>
      <w:r>
        <w:rPr>
          <w:rtl/>
        </w:rPr>
        <w:t xml:space="preserve"> </w:t>
      </w:r>
      <w:r>
        <w:t xml:space="preserve">(„denn ich werde es bringen in das Land, das ich geschworen habe seinen Vätern, fließend von Milch und Honig; und es wird essen und satt werden und fett werden; und es wird sich wenden zu anderen Göttern, und sie werden ihnen dienen und mich verachten und brechen meinen Bund"). Die erste Aussage beschreibt Gottes Segen: </w:t>
      </w:r>
      <w:r>
        <w:rPr>
          <w:rStyle w:val="Fett"/>
          <w:rFonts w:eastAsiaTheme="majorEastAsia"/>
          <w:rtl/>
        </w:rPr>
        <w:t>אֲבִיאֶנּוּ אֶל־הָאֲדָמָה... זָבַת חָלָב וּדְבַשׁ</w:t>
      </w:r>
      <w:r>
        <w:rPr>
          <w:rtl/>
        </w:rPr>
        <w:t xml:space="preserve"> </w:t>
      </w:r>
      <w:r>
        <w:t xml:space="preserve">(„ich werde es bringen... fließend von Milch und Honig") – die klassische Formel für das verheißene Land (vgl. 6,3; 11,9; 26,9.15; 27,3; Ex 3,8.17; 13,5; 33,3; Lev 20,24; Num 13,27; 14,8; 16,13-14; Jos 5,6; Jer 11,5; 32,22; </w:t>
      </w:r>
      <w:r w:rsidR="00BF3748">
        <w:t>Hes</w:t>
      </w:r>
      <w:r>
        <w:t xml:space="preserve"> 20,6.15). Die drei Verben </w:t>
      </w:r>
      <w:r>
        <w:rPr>
          <w:rStyle w:val="Fett"/>
          <w:rFonts w:eastAsiaTheme="majorEastAsia"/>
          <w:rtl/>
        </w:rPr>
        <w:t>אָכַל וְשָׂבַע וְדָשֵׁן</w:t>
      </w:r>
      <w:r>
        <w:rPr>
          <w:rtl/>
        </w:rPr>
        <w:t xml:space="preserve"> </w:t>
      </w:r>
      <w:r>
        <w:t xml:space="preserve">(„essen und satt werden und fett werden") beschreiben zunehmenden Wohlstand (vgl. 6,11; </w:t>
      </w:r>
      <w:r>
        <w:lastRenderedPageBreak/>
        <w:t xml:space="preserve">8,10.12; 32,15; Neh 9,25). Die vier letzten Verben beschreiben den Abfall: </w:t>
      </w:r>
      <w:r>
        <w:rPr>
          <w:rStyle w:val="Fett"/>
          <w:rFonts w:eastAsiaTheme="majorEastAsia"/>
          <w:rtl/>
        </w:rPr>
        <w:t>פָנָה אֶל־אֱלֹהִים אֲחֵרִים וַעֲבָדוּם וְנִאֲצוּנִי וְהֵפֵר אֶת־בְּרִיתִי</w:t>
      </w:r>
      <w:r>
        <w:rPr>
          <w:rtl/>
        </w:rPr>
        <w:t xml:space="preserve"> </w:t>
      </w:r>
      <w:r>
        <w:t xml:space="preserve">(„sich wenden zu anderen Göttern, ihnen dienen, mich verachten, meinen Bund brechen"). Das Verb </w:t>
      </w:r>
      <w:r>
        <w:rPr>
          <w:rStyle w:val="Fett"/>
          <w:rFonts w:eastAsiaTheme="majorEastAsia"/>
          <w:rtl/>
        </w:rPr>
        <w:t>נאץ</w:t>
      </w:r>
      <w:r>
        <w:rPr>
          <w:rtl/>
        </w:rPr>
        <w:t xml:space="preserve"> </w:t>
      </w:r>
      <w:r>
        <w:t xml:space="preserve">(„verachten, lästern") ist stark und drückt bewusste Verachtung aus (vgl. Num 14,11.23; 16,30; </w:t>
      </w:r>
      <w:r w:rsidR="00664EB6">
        <w:t>2Sam</w:t>
      </w:r>
      <w:r>
        <w:t xml:space="preserve"> 12,14; Ps 10,3.13; 74,10.18; Jes 1,4; 5,24; 60,14; Jer 23,17). Die Struktur zeigt: Wohlstand führt zu Vergesslichkeit, Vergesslichkeit zu Götzendienst (vgl. 8,11-20; 32,15-18; Hos 13,6).</w:t>
      </w:r>
    </w:p>
    <w:p w14:paraId="4CF25C83" w14:textId="5383F81A" w:rsidR="00C367A0" w:rsidRDefault="00C367A0" w:rsidP="008A57FB">
      <w:pPr>
        <w:pStyle w:val="whitespace-normal"/>
      </w:pPr>
      <w:r>
        <w:rPr>
          <w:rStyle w:val="Fett"/>
        </w:rPr>
        <w:t>Die LXX</w:t>
      </w:r>
      <w:r>
        <w:t xml:space="preserve"> fügt τὴν </w:t>
      </w:r>
      <w:proofErr w:type="spellStart"/>
      <w:r>
        <w:t>ἀγ</w:t>
      </w:r>
      <w:proofErr w:type="spellEnd"/>
      <w:r>
        <w:t xml:space="preserve">αθήν (das gute [Land]) hinzu und übersetzt </w:t>
      </w:r>
      <w:r>
        <w:rPr>
          <w:rtl/>
        </w:rPr>
        <w:t>וְדָשֵׁן</w:t>
      </w:r>
      <w:r>
        <w:t xml:space="preserve"> (und fett werden) mit καὶ </w:t>
      </w:r>
      <w:proofErr w:type="spellStart"/>
      <w:r>
        <w:t>ἐμ</w:t>
      </w:r>
      <w:proofErr w:type="spellEnd"/>
      <w:r>
        <w:t xml:space="preserve">πλησθέντες </w:t>
      </w:r>
      <w:proofErr w:type="spellStart"/>
      <w:r>
        <w:t>κορήσουσιν</w:t>
      </w:r>
      <w:proofErr w:type="spellEnd"/>
      <w:r>
        <w:t xml:space="preserve"> (und gesättigt werden sie übersättigt sein) – eine doppelte Betonung der Sättigung.</w:t>
      </w:r>
    </w:p>
    <w:p w14:paraId="7E38342E" w14:textId="77777777" w:rsidR="008A57FB" w:rsidRDefault="008A57FB" w:rsidP="008A57FB">
      <w:pPr>
        <w:pStyle w:val="whitespace-normal"/>
      </w:pPr>
      <w:r>
        <w:rPr>
          <w:rStyle w:val="Fett"/>
          <w:rFonts w:eastAsiaTheme="majorEastAsia"/>
        </w:rPr>
        <w:t>Die Satzstruktur:</w:t>
      </w:r>
      <w:r>
        <w:t xml:space="preserve"> Sieben Aussagen (denn ich werde es bringen in das Land, das ich geschworen habe seinen Vätern, fließend von Milch und Honig; und es wird essen und satt werden und fett werden; und es wird sich wenden zu anderen Göttern, und sie werden ihnen dienen und mich verachten und brechen meinen Bund).</w:t>
      </w:r>
    </w:p>
    <w:p w14:paraId="4A8CE1C1" w14:textId="534493E1" w:rsidR="008A57FB" w:rsidRDefault="008A57FB" w:rsidP="00B77CC6">
      <w:pPr>
        <w:pStyle w:val="whitespace-normal"/>
      </w:pPr>
      <w:r>
        <w:rPr>
          <w:rStyle w:val="Fett"/>
          <w:rFonts w:eastAsiaTheme="majorEastAsia"/>
        </w:rPr>
        <w:t>Der Vers beschreibt:</w:t>
      </w:r>
      <w:r>
        <w:t xml:space="preserve"> Der Weg zum Abfall – Gottes Segen (Land, Wohlstand) führt paradoxerweise zu Götzendienst, Verachtung, Bundesbruch.</w:t>
      </w:r>
    </w:p>
    <w:p w14:paraId="19BD990F" w14:textId="77777777" w:rsidR="008A57FB" w:rsidRPr="00257FCB" w:rsidRDefault="008A57FB" w:rsidP="00257FCB">
      <w:pPr>
        <w:pStyle w:val="Bibelberschrift"/>
        <w:rPr>
          <w:b w:val="0"/>
          <w:bCs/>
        </w:rPr>
      </w:pPr>
      <w:r w:rsidRPr="00257FCB">
        <w:rPr>
          <w:rStyle w:val="Fett"/>
          <w:b/>
          <w:bCs w:val="0"/>
        </w:rPr>
        <w:t>Deuteronomium 31,21</w:t>
      </w:r>
    </w:p>
    <w:p w14:paraId="19A5962A" w14:textId="77777777" w:rsidR="008A57FB" w:rsidRDefault="008A57FB" w:rsidP="008A57FB">
      <w:pPr>
        <w:pStyle w:val="whitespace-normal"/>
      </w:pPr>
      <w:r>
        <w:rPr>
          <w:rStyle w:val="Fett"/>
          <w:rFonts w:eastAsiaTheme="majorEastAsia"/>
        </w:rPr>
        <w:t>Hebräisch:</w:t>
      </w:r>
      <w:r>
        <w:t xml:space="preserve"> </w:t>
      </w:r>
      <w:r>
        <w:rPr>
          <w:rtl/>
        </w:rPr>
        <w:t>וְהָיָה כִּי־תִמְצֶאןָ אֹתוֹ רָעוֹת רַבּוֹת וְצָרוֹת וְעָנְתָה הַשִּׁירָה הַזֹּאת לְפָנָיו לְעֵד כִּי לֹא תִשָּׁכַח מִפִּי זַרְעוֹ כִּי יָדַעְתִּי אֶת־יִצְרוֹ אֲשֶׁר הוּא עֹשֶׂה הַיּוֹם בְּטֶרֶם אֲבִיאֶנּוּ אֶל־הָאָרֶץ אֲשֶׁר נִשְׁבָּעְתִּי׃</w:t>
      </w:r>
    </w:p>
    <w:p w14:paraId="007E8834" w14:textId="77777777" w:rsidR="008A57FB" w:rsidRDefault="008A57FB" w:rsidP="008A57FB">
      <w:pPr>
        <w:pStyle w:val="whitespace-normal"/>
      </w:pPr>
      <w:r>
        <w:rPr>
          <w:rStyle w:val="Fett"/>
          <w:rFonts w:eastAsiaTheme="majorEastAsia"/>
        </w:rPr>
        <w:t>Deutsch:</w:t>
      </w:r>
      <w:r>
        <w:t xml:space="preserve"> Und es wird geschehen, wenn viele Übel und Drangsale es treffen, so wird dieses Lied vor ihm Zeugnis ablegen als Zeuge; denn es wird nicht vergessen werden aus dem Mund seiner Nachkommen. Denn ich kenne seine Neigung, womit es schon heute umgeht, ehe ich es in das Land bringe, von dem ich geschworen habe.</w:t>
      </w:r>
    </w:p>
    <w:p w14:paraId="113BD62F" w14:textId="77777777" w:rsidR="008A57FB" w:rsidRDefault="004F5CEB" w:rsidP="008A57FB">
      <w:r>
        <w:rPr>
          <w:noProof/>
        </w:rPr>
        <w:pict w14:anchorId="2EC5F860">
          <v:rect id="_x0000_i1884" style="width:0;height:1.5pt" o:hralign="center" o:hrstd="t" o:hr="t" fillcolor="#a0a0a0" stroked="f"/>
        </w:pict>
      </w:r>
    </w:p>
    <w:p w14:paraId="3F9491C2"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וְהָיָה כִּי־תִמְצֶאןָ אֹתוֹ רָעוֹת רַבּוֹת וְצָרוֹת וְעָנְתָה הַשִּׁירָה הַזֹּאת לְפָנָיו לְעֵד כִּי לֹא תִשָּׁכַח מִפִּי זַרְעוֹ כִּי יָדַעְתִּי אֶת־יִצְרוֹ אֲשֶׁר הוּא עֹשֶׂה הַיּוֹם בְּטֶרֶם אֲבִיאֶנּוּ אֶל־הָאָרֶץ אֲשֶׁר נִשְׁבָּעְתִּי</w:t>
      </w:r>
      <w:r>
        <w:rPr>
          <w:rtl/>
        </w:rPr>
        <w:t xml:space="preserve"> </w:t>
      </w:r>
      <w:r>
        <w:t xml:space="preserve">sind Bedingung, Aussage und zwei Begründungen: </w:t>
      </w:r>
      <w:r>
        <w:rPr>
          <w:rStyle w:val="Fett"/>
          <w:rFonts w:eastAsiaTheme="majorEastAsia"/>
          <w:rtl/>
        </w:rPr>
        <w:t>וְהָיָה כִּי־תִמְצֶאןָ אֹתוֹ רָעוֹת רַבּוֹת וְצָרוֹת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3. Person Maskulinum Singular, Konditionalsatz: </w:t>
      </w:r>
      <w:r>
        <w:rPr>
          <w:rStyle w:val="Fett"/>
          <w:rFonts w:eastAsiaTheme="majorEastAsia"/>
          <w:rtl/>
        </w:rPr>
        <w:t>כִּי־תִמְצֶאןָ אֹתוֹ רָעוֹת רַבּוֹת וְצָרוֹת</w:t>
      </w:r>
      <w:r>
        <w:rPr>
          <w:rtl/>
        </w:rPr>
        <w:t xml:space="preserve"> </w:t>
      </w:r>
      <w:r>
        <w:t xml:space="preserve">mit </w:t>
      </w:r>
      <w:r>
        <w:rPr>
          <w:rStyle w:val="Fett"/>
          <w:rFonts w:eastAsiaTheme="majorEastAsia"/>
          <w:rtl/>
        </w:rPr>
        <w:t>מצא</w:t>
      </w:r>
      <w:r>
        <w:t xml:space="preserve">, Qal Imperfekt, 3. Person Femininum Plural (energisches </w:t>
      </w:r>
      <w:r>
        <w:rPr>
          <w:rStyle w:val="Fett"/>
          <w:rFonts w:eastAsiaTheme="majorEastAsia"/>
        </w:rPr>
        <w:t>-</w:t>
      </w:r>
      <w:r>
        <w:rPr>
          <w:rStyle w:val="Fett"/>
          <w:rFonts w:eastAsiaTheme="majorEastAsia"/>
          <w:rtl/>
        </w:rPr>
        <w:t>ן</w:t>
      </w:r>
      <w:r>
        <w:t xml:space="preserve">), Objektpartikel </w:t>
      </w:r>
      <w:r>
        <w:rPr>
          <w:rStyle w:val="Fett"/>
          <w:rFonts w:eastAsiaTheme="majorEastAsia"/>
          <w:rtl/>
        </w:rPr>
        <w:t>אֵת</w:t>
      </w:r>
      <w:r>
        <w:rPr>
          <w:rtl/>
        </w:rPr>
        <w:t xml:space="preserve"> </w:t>
      </w:r>
      <w:r>
        <w:t xml:space="preserve">mit Suffix 3. Person Maskulinum Singular, </w:t>
      </w:r>
      <w:r>
        <w:rPr>
          <w:rStyle w:val="Fett"/>
          <w:rFonts w:eastAsiaTheme="majorEastAsia"/>
          <w:rtl/>
        </w:rPr>
        <w:t>רָעָה</w:t>
      </w:r>
      <w:r>
        <w:rPr>
          <w:rtl/>
        </w:rPr>
        <w:t xml:space="preserve"> </w:t>
      </w:r>
      <w:r>
        <w:t xml:space="preserve">Plural als Subjekt, </w:t>
      </w:r>
      <w:r>
        <w:rPr>
          <w:rStyle w:val="Fett"/>
          <w:rFonts w:eastAsiaTheme="majorEastAsia"/>
          <w:rtl/>
        </w:rPr>
        <w:t>רַב</w:t>
      </w:r>
      <w:r>
        <w:rPr>
          <w:rtl/>
        </w:rPr>
        <w:t xml:space="preserve"> </w:t>
      </w:r>
      <w:r>
        <w:t xml:space="preserve">Plural, koordiniert mit </w:t>
      </w:r>
      <w:r>
        <w:rPr>
          <w:rStyle w:val="Fett"/>
          <w:rFonts w:eastAsiaTheme="majorEastAsia"/>
          <w:rtl/>
        </w:rPr>
        <w:t>צָרָה</w:t>
      </w:r>
      <w:r>
        <w:rPr>
          <w:rtl/>
        </w:rPr>
        <w:t xml:space="preserve"> </w:t>
      </w:r>
      <w:r>
        <w:t xml:space="preserve">Plural, mit </w:t>
      </w:r>
      <w:r>
        <w:rPr>
          <w:rStyle w:val="Fett"/>
          <w:rFonts w:eastAsiaTheme="majorEastAsia"/>
        </w:rPr>
        <w:t>Waw</w:t>
      </w:r>
      <w:r>
        <w:t xml:space="preserve"> consecutivum), </w:t>
      </w:r>
      <w:r>
        <w:rPr>
          <w:rStyle w:val="Fett"/>
          <w:rFonts w:eastAsiaTheme="majorEastAsia"/>
          <w:rtl/>
        </w:rPr>
        <w:t>וְעָנְתָה הַשִּׁירָה הַזֹּאת לְפָנָיו לְעֵד</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ענה</w:t>
      </w:r>
      <w:r>
        <w:t xml:space="preserve">, Qal Perfekt, 3. Person Femininum Singular, „antworten, Zeugnis ablegen", </w:t>
      </w:r>
      <w:r>
        <w:rPr>
          <w:rStyle w:val="Fett"/>
          <w:rFonts w:eastAsiaTheme="majorEastAsia"/>
          <w:rtl/>
        </w:rPr>
        <w:t>שִׁירָה</w:t>
      </w:r>
      <w:r>
        <w:rPr>
          <w:rtl/>
        </w:rPr>
        <w:t xml:space="preserve"> </w:t>
      </w:r>
      <w:r>
        <w:t xml:space="preserve">mit Artikel, </w:t>
      </w:r>
      <w:r>
        <w:rPr>
          <w:rStyle w:val="Fett"/>
          <w:rFonts w:eastAsiaTheme="majorEastAsia"/>
          <w:rtl/>
        </w:rPr>
        <w:t>זֹאת</w:t>
      </w:r>
      <w:r>
        <w:t xml:space="preserve">, als Subjekt, </w:t>
      </w:r>
      <w:r>
        <w:rPr>
          <w:rStyle w:val="Fett"/>
          <w:rFonts w:eastAsiaTheme="majorEastAsia"/>
          <w:rtl/>
        </w:rPr>
        <w:t>לְפָנָיו</w:t>
      </w:r>
      <w:r>
        <w:t xml:space="preserve">, </w:t>
      </w:r>
      <w:r>
        <w:rPr>
          <w:rStyle w:val="Fett"/>
          <w:rFonts w:eastAsiaTheme="majorEastAsia"/>
          <w:rtl/>
        </w:rPr>
        <w:t>לְעֵד</w:t>
      </w:r>
      <w:r>
        <w:t xml:space="preserve">, mit </w:t>
      </w:r>
      <w:r>
        <w:rPr>
          <w:rStyle w:val="Fett"/>
          <w:rFonts w:eastAsiaTheme="majorEastAsia"/>
        </w:rPr>
        <w:t>Waw</w:t>
      </w:r>
      <w:r>
        <w:t xml:space="preserve"> consecutivum), </w:t>
      </w:r>
      <w:r>
        <w:rPr>
          <w:rStyle w:val="Fett"/>
          <w:rFonts w:eastAsiaTheme="majorEastAsia"/>
          <w:rtl/>
        </w:rPr>
        <w:t>כִּי לֹא תִשָּׁכַח מִפִּי זַרְעוֹ</w:t>
      </w:r>
      <w:r>
        <w:rPr>
          <w:rtl/>
        </w:rPr>
        <w:t xml:space="preserve"> </w:t>
      </w:r>
      <w:r>
        <w:t xml:space="preserve">(erste Begründung: </w:t>
      </w:r>
      <w:r>
        <w:rPr>
          <w:rStyle w:val="Fett"/>
          <w:rFonts w:eastAsiaTheme="majorEastAsia"/>
          <w:rtl/>
        </w:rPr>
        <w:t>כִּי</w:t>
      </w:r>
      <w:r>
        <w:rPr>
          <w:rtl/>
        </w:rPr>
        <w:t xml:space="preserve"> </w:t>
      </w:r>
      <w:r>
        <w:t xml:space="preserve">mit Negation, </w:t>
      </w:r>
      <w:r>
        <w:rPr>
          <w:rStyle w:val="Fett"/>
          <w:rFonts w:eastAsiaTheme="majorEastAsia"/>
          <w:rtl/>
        </w:rPr>
        <w:t>שׁכח</w:t>
      </w:r>
      <w:r>
        <w:t xml:space="preserve">, Niphal Imperfekt, 3. Person Femininum Singular, „vergessen werden", </w:t>
      </w:r>
      <w:r>
        <w:rPr>
          <w:rStyle w:val="Fett"/>
          <w:rFonts w:eastAsiaTheme="majorEastAsia"/>
          <w:rtl/>
        </w:rPr>
        <w:t>מִפִּי זֶרַע</w:t>
      </w:r>
      <w:r>
        <w:rPr>
          <w:rtl/>
        </w:rPr>
        <w:t xml:space="preserve"> </w:t>
      </w:r>
      <w:r>
        <w:t xml:space="preserve">mit Suffix 3. Person Maskulinum Singular), </w:t>
      </w:r>
      <w:r>
        <w:rPr>
          <w:rStyle w:val="Fett"/>
          <w:rFonts w:eastAsiaTheme="majorEastAsia"/>
          <w:rtl/>
        </w:rPr>
        <w:t>כִּי יָדַעְתִּי אֶת־יִצְרוֹ אֲשֶׁר הוּא עֹשֶׂה הַיּוֹם בְּטֶרֶם אֲבִיאֶנּוּ אֶל־הָאָרֶץ אֲשֶׁר נִשְׁבָּעְתִּי</w:t>
      </w:r>
      <w:r>
        <w:rPr>
          <w:rtl/>
        </w:rPr>
        <w:t xml:space="preserve"> </w:t>
      </w:r>
      <w:r>
        <w:t xml:space="preserve">(zweite Begründung: </w:t>
      </w:r>
      <w:r>
        <w:rPr>
          <w:rStyle w:val="Fett"/>
          <w:rFonts w:eastAsiaTheme="majorEastAsia"/>
          <w:rtl/>
        </w:rPr>
        <w:t>כִּי</w:t>
      </w:r>
      <w:r>
        <w:rPr>
          <w:rtl/>
        </w:rPr>
        <w:t xml:space="preserve"> </w:t>
      </w:r>
      <w:r>
        <w:t xml:space="preserve">mit </w:t>
      </w:r>
      <w:r>
        <w:rPr>
          <w:rStyle w:val="Fett"/>
          <w:rFonts w:eastAsiaTheme="majorEastAsia"/>
          <w:rtl/>
        </w:rPr>
        <w:t>ידע</w:t>
      </w:r>
      <w:r>
        <w:t xml:space="preserve">, Qal Perfekt, 1. Person Singular, Objektpartikel </w:t>
      </w:r>
      <w:r>
        <w:rPr>
          <w:rStyle w:val="Fett"/>
          <w:rFonts w:eastAsiaTheme="majorEastAsia"/>
          <w:rtl/>
        </w:rPr>
        <w:t>אֵת</w:t>
      </w:r>
      <w:r>
        <w:rPr>
          <w:rtl/>
        </w:rPr>
        <w:t xml:space="preserve"> </w:t>
      </w:r>
      <w:r>
        <w:t xml:space="preserve">mit </w:t>
      </w:r>
      <w:r>
        <w:rPr>
          <w:rStyle w:val="Fett"/>
          <w:rFonts w:eastAsiaTheme="majorEastAsia"/>
          <w:rtl/>
        </w:rPr>
        <w:t>יֵצֶר</w:t>
      </w:r>
      <w:r>
        <w:t xml:space="preserve">, „Neigung, Sinnen, Gebilde", mit Suffix 3. Person Maskulinum Singular, Relativsatz: </w:t>
      </w:r>
      <w:r>
        <w:rPr>
          <w:rStyle w:val="Fett"/>
          <w:rFonts w:eastAsiaTheme="majorEastAsia"/>
          <w:rtl/>
        </w:rPr>
        <w:t>אֲשֶׁר הוּא עֹשֶׂה הַיּוֹם</w:t>
      </w:r>
      <w:r>
        <w:rPr>
          <w:rtl/>
        </w:rPr>
        <w:t xml:space="preserve"> </w:t>
      </w:r>
      <w:r>
        <w:t xml:space="preserve">mit </w:t>
      </w:r>
      <w:r>
        <w:rPr>
          <w:rStyle w:val="Fett"/>
          <w:rFonts w:eastAsiaTheme="majorEastAsia"/>
          <w:rtl/>
        </w:rPr>
        <w:t>עשׂה</w:t>
      </w:r>
      <w:r>
        <w:t xml:space="preserve">, Qal Partizip Maskulinum Singular, </w:t>
      </w:r>
      <w:r>
        <w:rPr>
          <w:rStyle w:val="Fett"/>
          <w:rFonts w:eastAsiaTheme="majorEastAsia"/>
          <w:rtl/>
        </w:rPr>
        <w:t>הַיּוֹם</w:t>
      </w:r>
      <w:r>
        <w:t xml:space="preserve">, Temporalsatz: </w:t>
      </w:r>
      <w:r>
        <w:rPr>
          <w:rStyle w:val="Fett"/>
          <w:rFonts w:eastAsiaTheme="majorEastAsia"/>
          <w:rtl/>
        </w:rPr>
        <w:t>בְּטֶרֶם אֲבִיאֶנּוּ</w:t>
      </w:r>
      <w:r>
        <w:rPr>
          <w:rtl/>
        </w:rPr>
        <w:t xml:space="preserve"> </w:t>
      </w:r>
      <w:r>
        <w:t xml:space="preserve">mit </w:t>
      </w:r>
      <w:r>
        <w:rPr>
          <w:rStyle w:val="Fett"/>
          <w:rFonts w:eastAsiaTheme="majorEastAsia"/>
          <w:rtl/>
        </w:rPr>
        <w:t>בְּטֶרֶם</w:t>
      </w:r>
      <w:r>
        <w:t xml:space="preserve">, „ehe, bevor", </w:t>
      </w:r>
      <w:r>
        <w:rPr>
          <w:rStyle w:val="Fett"/>
          <w:rFonts w:eastAsiaTheme="majorEastAsia"/>
          <w:rtl/>
        </w:rPr>
        <w:t>בוא</w:t>
      </w:r>
      <w:r>
        <w:t xml:space="preserve">, Hiphil Imperfekt, 1. Person Singular, mit Suffix, </w:t>
      </w:r>
      <w:r>
        <w:rPr>
          <w:rStyle w:val="Fett"/>
          <w:rFonts w:eastAsiaTheme="majorEastAsia"/>
          <w:rtl/>
        </w:rPr>
        <w:t>אֶל־הָאָרֶץ</w:t>
      </w:r>
      <w:r>
        <w:t>, Relativsatz wie üblich).</w:t>
      </w:r>
    </w:p>
    <w:p w14:paraId="41A885CC" w14:textId="7C53357D" w:rsidR="008A57FB" w:rsidRDefault="008A57FB" w:rsidP="008A57FB">
      <w:pPr>
        <w:pStyle w:val="whitespace-normal"/>
      </w:pPr>
      <w:r>
        <w:lastRenderedPageBreak/>
        <w:t xml:space="preserve">Der Vers beschreibt die Funktion des Liedes als bleibender Zeuge. Die Bedingung und Aussage: </w:t>
      </w:r>
      <w:r>
        <w:rPr>
          <w:rStyle w:val="Fett"/>
          <w:rFonts w:eastAsiaTheme="majorEastAsia"/>
          <w:rtl/>
        </w:rPr>
        <w:t>וְהָיָה כִּי־תִמְצֶאןָ אֹתוֹ רָעוֹת רַבּוֹת וְצָרוֹת וְעָנְתָה הַשִּׁירָה הַזֹּאת לְפָנָיו לְעֵד</w:t>
      </w:r>
      <w:r>
        <w:rPr>
          <w:rtl/>
        </w:rPr>
        <w:t xml:space="preserve"> </w:t>
      </w:r>
      <w:r>
        <w:t xml:space="preserve">(„und es wird geschehen, wenn treffen es viele Übel und Drangsale, so wird antworten dieses Lied vor ihm als Zeuge"). Das Verb </w:t>
      </w:r>
      <w:r>
        <w:rPr>
          <w:rStyle w:val="Fett"/>
          <w:rFonts w:eastAsiaTheme="majorEastAsia"/>
          <w:rtl/>
        </w:rPr>
        <w:t>ענה</w:t>
      </w:r>
      <w:r>
        <w:rPr>
          <w:rtl/>
        </w:rPr>
        <w:t xml:space="preserve"> </w:t>
      </w:r>
      <w:r>
        <w:t xml:space="preserve">(„antworten, Zeugnis ablegen") drückt aus: das Lied wird sprechen, anklagen (vgl. Jos 24,27; Hiob 16,8). Die erste Begründung: </w:t>
      </w:r>
      <w:r>
        <w:rPr>
          <w:rStyle w:val="Fett"/>
          <w:rFonts w:eastAsiaTheme="majorEastAsia"/>
          <w:rtl/>
        </w:rPr>
        <w:t>כִּי לֹא תִשָּׁכַח מִפִּי זַרְעוֹ</w:t>
      </w:r>
      <w:r>
        <w:rPr>
          <w:rtl/>
        </w:rPr>
        <w:t xml:space="preserve"> </w:t>
      </w:r>
      <w:r>
        <w:t xml:space="preserve">(„denn nicht wird es vergessen werden aus dem Mund seiner Nachkommen"). Das Lied wird über Generationen hinweg bewahrt und weitergegeben. Die zweite Begründung: </w:t>
      </w:r>
      <w:r>
        <w:rPr>
          <w:rStyle w:val="Fett"/>
          <w:rFonts w:eastAsiaTheme="majorEastAsia"/>
          <w:rtl/>
        </w:rPr>
        <w:t>כִּי יָדַעְתִּי אֶת־יִצְרוֹ אֲשֶׁר הוּא עֹשֶׂה הַיּוֹם בְּטֶרֶם אֲבִיאֶנּוּ אֶל־הָאָרֶץ אֲשֶׁר נִשְׁבָּעְתִּי</w:t>
      </w:r>
      <w:r>
        <w:rPr>
          <w:rtl/>
        </w:rPr>
        <w:t xml:space="preserve"> </w:t>
      </w:r>
      <w:r>
        <w:t xml:space="preserve">(„denn ich kenne seine Neigung, womit es umgeht heute, ehe ich es bringe in das Land, von dem ich geschworen habe"). Der Begriff </w:t>
      </w:r>
      <w:r>
        <w:rPr>
          <w:rStyle w:val="Fett"/>
          <w:rFonts w:eastAsiaTheme="majorEastAsia"/>
          <w:rtl/>
        </w:rPr>
        <w:t>יֵצֶר</w:t>
      </w:r>
      <w:r>
        <w:rPr>
          <w:rtl/>
        </w:rPr>
        <w:t xml:space="preserve"> </w:t>
      </w:r>
      <w:r>
        <w:t xml:space="preserve">(„Neigung, Sinnen, Gebilde") bezeichnet die innere Disposition, die Tendenz des Herzens (vgl. Gen 6,5; 8,21; </w:t>
      </w:r>
      <w:r w:rsidR="00664EB6">
        <w:t>1Chr</w:t>
      </w:r>
      <w:r>
        <w:t xml:space="preserve"> 28,9; 29,18; Ps 103,14; Jes 26,3). Gott kennt Israels rebellische Neigung schon jetzt, bevor sie ins Land kommen – der Abfall ist vorhersehbar.</w:t>
      </w:r>
    </w:p>
    <w:p w14:paraId="133A530D" w14:textId="2ECE4B08" w:rsidR="00C367A0" w:rsidRDefault="00C367A0" w:rsidP="008A57FB">
      <w:pPr>
        <w:pStyle w:val="whitespace-normal"/>
      </w:pPr>
      <w:r>
        <w:rPr>
          <w:rStyle w:val="Fett"/>
        </w:rPr>
        <w:t>Die LXX</w:t>
      </w:r>
      <w:r>
        <w:t xml:space="preserve"> übersetzt </w:t>
      </w:r>
      <w:r>
        <w:rPr>
          <w:rtl/>
        </w:rPr>
        <w:t>וְעָנְתָה הַשִּׁירָה הַזֹּאת לְפָנָיו לְעֵד</w:t>
      </w:r>
      <w:r>
        <w:t xml:space="preserve"> (und dieses Lied wird vor ihm als Zeuge antworten) mit καὶ </w:t>
      </w:r>
      <w:proofErr w:type="spellStart"/>
      <w:r>
        <w:t>ἀντικ</w:t>
      </w:r>
      <w:proofErr w:type="spellEnd"/>
      <w:r>
        <w:t xml:space="preserve">αταστήσεται ἡ </w:t>
      </w:r>
      <w:proofErr w:type="spellStart"/>
      <w:r>
        <w:t>ᾠδὴ</w:t>
      </w:r>
      <w:proofErr w:type="spellEnd"/>
      <w:r>
        <w:t xml:space="preserve"> α</w:t>
      </w:r>
      <w:proofErr w:type="spellStart"/>
      <w:r>
        <w:t>ὕτη</w:t>
      </w:r>
      <w:proofErr w:type="spellEnd"/>
      <w:r>
        <w:t xml:space="preserve"> κα</w:t>
      </w:r>
      <w:proofErr w:type="spellStart"/>
      <w:r>
        <w:t>τὰ</w:t>
      </w:r>
      <w:proofErr w:type="spellEnd"/>
      <w:r>
        <w:t xml:space="preserve"> π</w:t>
      </w:r>
      <w:proofErr w:type="spellStart"/>
      <w:r>
        <w:t>ρόσω</w:t>
      </w:r>
      <w:proofErr w:type="spellEnd"/>
      <w:r>
        <w:t>πον μα</w:t>
      </w:r>
      <w:proofErr w:type="spellStart"/>
      <w:r>
        <w:t>ρτυροῦσ</w:t>
      </w:r>
      <w:proofErr w:type="spellEnd"/>
      <w:r>
        <w:t xml:space="preserve">α (und dieses Lied wird gegenüberstehen als Zeuge) – wobei </w:t>
      </w:r>
      <w:proofErr w:type="spellStart"/>
      <w:r>
        <w:t>ἀντικ</w:t>
      </w:r>
      <w:proofErr w:type="spellEnd"/>
      <w:r>
        <w:t xml:space="preserve">αθίστημι "gegenüberstehen, entgegentreten" bedeutet. Das Verb </w:t>
      </w:r>
      <w:r>
        <w:rPr>
          <w:rtl/>
        </w:rPr>
        <w:t>יָדַעְתִּי אֶת־יִצְרוֹ</w:t>
      </w:r>
      <w:r>
        <w:t xml:space="preserve"> (ich kenne seine Neigung/sein Gebilde) wird mit </w:t>
      </w:r>
      <w:proofErr w:type="spellStart"/>
      <w:r>
        <w:t>οἶδ</w:t>
      </w:r>
      <w:proofErr w:type="spellEnd"/>
      <w:r>
        <w:t>α τὴν π</w:t>
      </w:r>
      <w:proofErr w:type="spellStart"/>
      <w:r>
        <w:t>ονηρί</w:t>
      </w:r>
      <w:proofErr w:type="spellEnd"/>
      <w:r>
        <w:t>αν α</w:t>
      </w:r>
      <w:proofErr w:type="spellStart"/>
      <w:r>
        <w:t>ὐτῶν</w:t>
      </w:r>
      <w:proofErr w:type="spellEnd"/>
      <w:r>
        <w:t xml:space="preserve"> (ich weiß ihre Bosheit) übersetzt – eine moralische Interpretation des neutraleren hebräischen </w:t>
      </w:r>
      <w:r>
        <w:rPr>
          <w:rtl/>
        </w:rPr>
        <w:t>יֵצֶר</w:t>
      </w:r>
      <w:r>
        <w:t>.</w:t>
      </w:r>
    </w:p>
    <w:p w14:paraId="7921BBD2" w14:textId="77777777" w:rsidR="008A57FB" w:rsidRDefault="008A57FB" w:rsidP="008A57FB">
      <w:pPr>
        <w:pStyle w:val="whitespace-normal"/>
      </w:pPr>
      <w:r>
        <w:rPr>
          <w:rStyle w:val="Fett"/>
          <w:rFonts w:eastAsiaTheme="majorEastAsia"/>
        </w:rPr>
        <w:t>Die Satzstruktur:</w:t>
      </w:r>
      <w:r>
        <w:t xml:space="preserve"> Bedingung, Aussage und zwei Begründungen (und es wird geschehen, wenn treffen es viele Übel und Drangsale, so wird antworten dieses Lied vor ihm als Zeuge; denn nicht wird es vergessen werden aus dem Mund seiner Nachkommen. Denn ich kenne seine Neigung, womit es umgeht heute, ehe ich es bringe in das Land, von dem ich geschworen habe).</w:t>
      </w:r>
    </w:p>
    <w:p w14:paraId="1BFE1A62" w14:textId="7C37AE4D" w:rsidR="008A57FB" w:rsidRDefault="008A57FB" w:rsidP="00B77CC6">
      <w:pPr>
        <w:pStyle w:val="whitespace-normal"/>
      </w:pPr>
      <w:r>
        <w:rPr>
          <w:rStyle w:val="Fett"/>
          <w:rFonts w:eastAsiaTheme="majorEastAsia"/>
        </w:rPr>
        <w:t>Der Vers beschreibt:</w:t>
      </w:r>
      <w:r>
        <w:t xml:space="preserve"> Das Lied als bleibender Zeuge – es wird nicht vergessen, wird Zeugnis ablegen; Gott kennt Israels rebellische Neigung schon jetzt.</w:t>
      </w:r>
    </w:p>
    <w:p w14:paraId="7E46F12C" w14:textId="77777777" w:rsidR="008A57FB" w:rsidRPr="00257FCB" w:rsidRDefault="008A57FB" w:rsidP="00257FCB">
      <w:pPr>
        <w:pStyle w:val="Bibelberschrift"/>
        <w:rPr>
          <w:b w:val="0"/>
          <w:bCs/>
        </w:rPr>
      </w:pPr>
      <w:r w:rsidRPr="00257FCB">
        <w:rPr>
          <w:rStyle w:val="Fett"/>
          <w:b/>
          <w:bCs w:val="0"/>
        </w:rPr>
        <w:t>Deuteronomium 31,22</w:t>
      </w:r>
    </w:p>
    <w:p w14:paraId="029F2172" w14:textId="77777777" w:rsidR="008A57FB" w:rsidRDefault="008A57FB" w:rsidP="008A57FB">
      <w:pPr>
        <w:pStyle w:val="whitespace-normal"/>
      </w:pPr>
      <w:r>
        <w:rPr>
          <w:rStyle w:val="Fett"/>
          <w:rFonts w:eastAsiaTheme="majorEastAsia"/>
        </w:rPr>
        <w:t>Hebräisch:</w:t>
      </w:r>
      <w:r>
        <w:t xml:space="preserve"> </w:t>
      </w:r>
      <w:r>
        <w:rPr>
          <w:rtl/>
        </w:rPr>
        <w:t>וַיִּכְתֹּב מֹשֶׁה אֶת־הַשִּׁירָה הַזֹּאת בַּיּוֹם הַהוּא וַיְלַמְּדָהּ אֶת־בְּנֵי יִשְׂרָאֵל׃</w:t>
      </w:r>
    </w:p>
    <w:p w14:paraId="2DD2BAA7" w14:textId="77777777" w:rsidR="008A57FB" w:rsidRDefault="008A57FB" w:rsidP="008A57FB">
      <w:pPr>
        <w:pStyle w:val="whitespace-normal"/>
      </w:pPr>
      <w:r>
        <w:rPr>
          <w:rStyle w:val="Fett"/>
          <w:rFonts w:eastAsiaTheme="majorEastAsia"/>
        </w:rPr>
        <w:t>Deutsch:</w:t>
      </w:r>
      <w:r>
        <w:t xml:space="preserve"> Und Mosche schrieb dieses Lied an jenem Tag auf und lehrte es die Kinder Israels.</w:t>
      </w:r>
    </w:p>
    <w:p w14:paraId="084F60E8" w14:textId="77777777" w:rsidR="008A57FB" w:rsidRDefault="004F5CEB" w:rsidP="008A57FB">
      <w:r>
        <w:rPr>
          <w:noProof/>
        </w:rPr>
        <w:pict w14:anchorId="680F8711">
          <v:rect id="_x0000_i1885" style="width:0;height:1.5pt" o:hralign="center" o:hrstd="t" o:hr="t" fillcolor="#a0a0a0" stroked="f"/>
        </w:pict>
      </w:r>
    </w:p>
    <w:p w14:paraId="68454C4A"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וַיִּכְתֹּב מֹשֶׁה אֶת־הַשִּׁירָה הַזֹּאת בַּיּוֹם הַהוּא וַיְלַמְּדָהּ אֶת־בְּנֵי יִשְׂרָאֵל</w:t>
      </w:r>
      <w:r>
        <w:rPr>
          <w:rtl/>
        </w:rPr>
        <w:t xml:space="preserve"> </w:t>
      </w:r>
      <w:r>
        <w:t xml:space="preserve">sind zwei Aussagen: </w:t>
      </w:r>
      <w:r>
        <w:rPr>
          <w:rStyle w:val="Fett"/>
          <w:rFonts w:eastAsiaTheme="majorEastAsia"/>
          <w:rtl/>
        </w:rPr>
        <w:t>וַיִּכְתֹּב מֹשֶׁה אֶת־הַשִּׁירָה הַזֹּאת בַּיּוֹם הַהוּא</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כתב</w:t>
      </w:r>
      <w:r>
        <w:t xml:space="preserve">, Qal Imperfekt mit </w:t>
      </w:r>
      <w:r>
        <w:rPr>
          <w:rStyle w:val="Fett"/>
          <w:rFonts w:eastAsiaTheme="majorEastAsia"/>
        </w:rPr>
        <w:t>Waw</w:t>
      </w:r>
      <w:r>
        <w:t xml:space="preserve"> consecutivum, 3. Person Maskulinum Singular, </w:t>
      </w:r>
      <w:r>
        <w:rPr>
          <w:rStyle w:val="Fett"/>
          <w:rFonts w:eastAsiaTheme="majorEastAsia"/>
          <w:rtl/>
        </w:rPr>
        <w:t>מֹשֶׁה</w:t>
      </w:r>
      <w:r>
        <w:rPr>
          <w:rtl/>
        </w:rPr>
        <w:t xml:space="preserve"> </w:t>
      </w:r>
      <w:r>
        <w:t xml:space="preserve">als Subjekt, Objektpartikel </w:t>
      </w:r>
      <w:r>
        <w:rPr>
          <w:rStyle w:val="Fett"/>
          <w:rFonts w:eastAsiaTheme="majorEastAsia"/>
          <w:rtl/>
        </w:rPr>
        <w:t>אֵת</w:t>
      </w:r>
      <w:r>
        <w:rPr>
          <w:rtl/>
        </w:rPr>
        <w:t xml:space="preserve"> </w:t>
      </w:r>
      <w:r>
        <w:t xml:space="preserve">mit </w:t>
      </w:r>
      <w:r>
        <w:rPr>
          <w:rStyle w:val="Fett"/>
          <w:rFonts w:eastAsiaTheme="majorEastAsia"/>
          <w:rtl/>
        </w:rPr>
        <w:t>שִׁירָה</w:t>
      </w:r>
      <w:r>
        <w:rPr>
          <w:rtl/>
        </w:rPr>
        <w:t xml:space="preserve"> </w:t>
      </w:r>
      <w:r>
        <w:t xml:space="preserve">mit Artikel, </w:t>
      </w:r>
      <w:r>
        <w:rPr>
          <w:rStyle w:val="Fett"/>
          <w:rFonts w:eastAsiaTheme="majorEastAsia"/>
          <w:rtl/>
        </w:rPr>
        <w:t>זֹאת</w:t>
      </w:r>
      <w:r>
        <w:t xml:space="preserve">, </w:t>
      </w:r>
      <w:r>
        <w:rPr>
          <w:rStyle w:val="Fett"/>
          <w:rFonts w:eastAsiaTheme="majorEastAsia"/>
          <w:rtl/>
        </w:rPr>
        <w:t>בַּיּוֹם הַהוּא</w:t>
      </w:r>
      <w:r>
        <w:t xml:space="preserve">), </w:t>
      </w:r>
      <w:r>
        <w:rPr>
          <w:rStyle w:val="Fett"/>
          <w:rFonts w:eastAsiaTheme="majorEastAsia"/>
          <w:rtl/>
        </w:rPr>
        <w:t>וַיְלַמְּדָהּ אֶת־בְּנֵי יִשְׂרָאֵל</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למד</w:t>
      </w:r>
      <w:r>
        <w:t xml:space="preserve">, Piel Imperfekt mit </w:t>
      </w:r>
      <w:r>
        <w:rPr>
          <w:rStyle w:val="Fett"/>
          <w:rFonts w:eastAsiaTheme="majorEastAsia"/>
        </w:rPr>
        <w:t>Waw</w:t>
      </w:r>
      <w:r>
        <w:t xml:space="preserve"> consecutivum, 3. Person Maskulinum Singular, mit Suffix 3. Person Femininum Singular, Objektpartikel </w:t>
      </w:r>
      <w:r>
        <w:rPr>
          <w:rStyle w:val="Fett"/>
          <w:rFonts w:eastAsiaTheme="majorEastAsia"/>
          <w:rtl/>
        </w:rPr>
        <w:t>אֵת</w:t>
      </w:r>
      <w:r>
        <w:rPr>
          <w:rtl/>
        </w:rPr>
        <w:t xml:space="preserve"> </w:t>
      </w:r>
      <w:r>
        <w:t xml:space="preserve">mit </w:t>
      </w:r>
      <w:r>
        <w:rPr>
          <w:rStyle w:val="Fett"/>
          <w:rFonts w:eastAsiaTheme="majorEastAsia"/>
          <w:rtl/>
        </w:rPr>
        <w:t>בְּנֵי יִשְׂרָאֵל</w:t>
      </w:r>
      <w:r>
        <w:t>).</w:t>
      </w:r>
    </w:p>
    <w:p w14:paraId="458CB2EF" w14:textId="77777777" w:rsidR="008A57FB" w:rsidRDefault="008A57FB" w:rsidP="008A57FB">
      <w:pPr>
        <w:pStyle w:val="whitespace-normal"/>
      </w:pPr>
      <w:r>
        <w:t xml:space="preserve">Der Vers berichtet über Moses Ausführung der Anweisung aus V. 19. Die beiden Aussagen: </w:t>
      </w:r>
      <w:r>
        <w:rPr>
          <w:rStyle w:val="Fett"/>
          <w:rFonts w:eastAsiaTheme="majorEastAsia"/>
          <w:rtl/>
        </w:rPr>
        <w:t>וַיִּכְתֹּב מֹשֶׁה אֶת־הַשִּׁירָה הַזֹּאת בַּיּוֹם הַהוּא וַיְלַמְּדָהּ אֶת־בְּנֵי יִשְׂרָאֵל</w:t>
      </w:r>
      <w:r>
        <w:rPr>
          <w:rtl/>
        </w:rPr>
        <w:t xml:space="preserve"> </w:t>
      </w:r>
      <w:r>
        <w:t xml:space="preserve">(„und Mosche schrieb dieses Lied an jenem Tag auf und lehrte es die Kinder Israels"). Mose befolgt die ersten beiden </w:t>
      </w:r>
      <w:r>
        <w:lastRenderedPageBreak/>
        <w:t xml:space="preserve">Anweisungen aus V. 19: (1) </w:t>
      </w:r>
      <w:r>
        <w:rPr>
          <w:rStyle w:val="Fett"/>
          <w:rFonts w:eastAsiaTheme="majorEastAsia"/>
          <w:rtl/>
        </w:rPr>
        <w:t>כתב</w:t>
      </w:r>
      <w:r>
        <w:rPr>
          <w:rtl/>
        </w:rPr>
        <w:t xml:space="preserve"> </w:t>
      </w:r>
      <w:r>
        <w:t xml:space="preserve">(„aufschreiben") – schriftliche Fixierung, (2) </w:t>
      </w:r>
      <w:r>
        <w:rPr>
          <w:rStyle w:val="Fett"/>
          <w:rFonts w:eastAsiaTheme="majorEastAsia"/>
          <w:rtl/>
        </w:rPr>
        <w:t>למד</w:t>
      </w:r>
      <w:r>
        <w:rPr>
          <w:rtl/>
        </w:rPr>
        <w:t xml:space="preserve"> </w:t>
      </w:r>
      <w:r>
        <w:t xml:space="preserve">(„lehren") – Unterricht. Die Formulierung </w:t>
      </w:r>
      <w:r>
        <w:rPr>
          <w:rStyle w:val="Fett"/>
          <w:rFonts w:eastAsiaTheme="majorEastAsia"/>
          <w:rtl/>
        </w:rPr>
        <w:t>בַּיּוֹם הַהוּא</w:t>
      </w:r>
      <w:r>
        <w:rPr>
          <w:rtl/>
        </w:rPr>
        <w:t xml:space="preserve"> </w:t>
      </w:r>
      <w:r>
        <w:t>(„an jenem Tag") betont: sofortige Ausführung. Das eigentliche Lied folgt in Kapitel 32.</w:t>
      </w:r>
    </w:p>
    <w:p w14:paraId="41B964EC" w14:textId="77777777" w:rsidR="008A57FB" w:rsidRDefault="008A57FB" w:rsidP="008A57FB">
      <w:pPr>
        <w:pStyle w:val="whitespace-normal"/>
      </w:pPr>
      <w:r>
        <w:rPr>
          <w:rStyle w:val="Fett"/>
          <w:rFonts w:eastAsiaTheme="majorEastAsia"/>
        </w:rPr>
        <w:t>Die Satzstruktur:</w:t>
      </w:r>
      <w:r>
        <w:t xml:space="preserve"> Zwei Aussagen (und Mosche schrieb dieses Lied an jenem Tag auf und lehrte es die Kinder Israels).</w:t>
      </w:r>
    </w:p>
    <w:p w14:paraId="3A5F4AA0" w14:textId="0920B8B5" w:rsidR="008A57FB" w:rsidRDefault="008A57FB" w:rsidP="00B77CC6">
      <w:pPr>
        <w:pStyle w:val="whitespace-normal"/>
      </w:pPr>
      <w:r>
        <w:rPr>
          <w:rStyle w:val="Fett"/>
          <w:rFonts w:eastAsiaTheme="majorEastAsia"/>
        </w:rPr>
        <w:t>Der Vers beschreibt:</w:t>
      </w:r>
      <w:r>
        <w:t xml:space="preserve"> Moses Gehorsam – er schreibt das Lied auf und lehrt es Israel.</w:t>
      </w:r>
    </w:p>
    <w:p w14:paraId="74BEAEEB" w14:textId="77777777" w:rsidR="008A57FB" w:rsidRPr="00257FCB" w:rsidRDefault="008A57FB" w:rsidP="00257FCB">
      <w:pPr>
        <w:pStyle w:val="Bibelberschrift"/>
        <w:rPr>
          <w:b w:val="0"/>
          <w:bCs/>
        </w:rPr>
      </w:pPr>
      <w:r w:rsidRPr="00257FCB">
        <w:rPr>
          <w:rStyle w:val="Fett"/>
          <w:b/>
          <w:bCs w:val="0"/>
        </w:rPr>
        <w:t>Deuteronomium 31,23</w:t>
      </w:r>
    </w:p>
    <w:p w14:paraId="524970F2" w14:textId="77777777" w:rsidR="008A57FB" w:rsidRDefault="008A57FB" w:rsidP="008A57FB">
      <w:pPr>
        <w:pStyle w:val="whitespace-normal"/>
      </w:pPr>
      <w:r>
        <w:rPr>
          <w:rStyle w:val="Fett"/>
          <w:rFonts w:eastAsiaTheme="majorEastAsia"/>
        </w:rPr>
        <w:t>Hebräisch:</w:t>
      </w:r>
      <w:r>
        <w:t xml:space="preserve"> </w:t>
      </w:r>
      <w:r>
        <w:rPr>
          <w:rtl/>
        </w:rPr>
        <w:t>וַיְצַו אֶת־יְהוֹשֻׁעַ בִּן־נוּן וַיֹּאמֶר חֲזַק וֶאֱמָץ כִּי אַתָּה תָּבִיא אֶת־בְּנֵי יִשְׂרָאֵל אֶל־הָאָרֶץ אֲשֶׁר־נִשְׁבַּעְתִּי לָהֶם וְאָנֹכִי אֶהְיֶה עִמָּךְ׃</w:t>
      </w:r>
    </w:p>
    <w:p w14:paraId="667ECC41" w14:textId="77777777" w:rsidR="008A57FB" w:rsidRDefault="008A57FB" w:rsidP="008A57FB">
      <w:pPr>
        <w:pStyle w:val="whitespace-normal"/>
      </w:pPr>
      <w:r>
        <w:rPr>
          <w:rStyle w:val="Fett"/>
          <w:rFonts w:eastAsiaTheme="majorEastAsia"/>
        </w:rPr>
        <w:t>Deutsch:</w:t>
      </w:r>
      <w:r>
        <w:t xml:space="preserve"> Und er gebot Josua, dem Sohn Nuns, und sprach: Sei stark und mutig! Denn du, du sollst die Kinder Israels in das Land bringen, das ich ihnen zugeschworen habe; und ich werde mit dir sein.</w:t>
      </w:r>
    </w:p>
    <w:p w14:paraId="296EB960" w14:textId="77777777" w:rsidR="008A57FB" w:rsidRDefault="004F5CEB" w:rsidP="008A57FB">
      <w:r>
        <w:rPr>
          <w:noProof/>
        </w:rPr>
        <w:pict w14:anchorId="1D0CF379">
          <v:rect id="_x0000_i1886" style="width:0;height:1.5pt" o:hralign="center" o:hrstd="t" o:hr="t" fillcolor="#a0a0a0" stroked="f"/>
        </w:pict>
      </w:r>
    </w:p>
    <w:p w14:paraId="17CA5099"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וַיְצַו אֶת־יְהוֹשֻׁעַ בִּן־נוּן וַיֹּאמֶר חֲזַק וֶאֱמָץ כִּי אַתָּה תָּבִיא אֶת־בְּנֵי יִשְׂרָאֵל אֶל־הָאָרֶץ אֲשֶׁר־נִשְׁבַּעְתִּי לָהֶם וְאָנֹכִי אֶהְיֶה עִמָּךְ</w:t>
      </w:r>
      <w:r>
        <w:rPr>
          <w:rtl/>
        </w:rPr>
        <w:t xml:space="preserve"> </w:t>
      </w:r>
      <w:r>
        <w:t xml:space="preserve">sind Einleitung, Imperative und Begründung: </w:t>
      </w:r>
      <w:r>
        <w:rPr>
          <w:rStyle w:val="Fett"/>
          <w:rFonts w:eastAsiaTheme="majorEastAsia"/>
          <w:rtl/>
        </w:rPr>
        <w:t>וַיְצַו אֶת־יְהוֹשֻׁעַ בִּן־נוּן וַיֹּאמֶר</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צוה</w:t>
      </w:r>
      <w:r>
        <w:t xml:space="preserve">, Piel Imperfekt mit </w:t>
      </w:r>
      <w:r>
        <w:rPr>
          <w:rStyle w:val="Fett"/>
          <w:rFonts w:eastAsiaTheme="majorEastAsia"/>
        </w:rPr>
        <w:t>Waw</w:t>
      </w:r>
      <w:r>
        <w:t xml:space="preserve"> consecutivum, 3. Person Maskulinum Singular (Subjekt ist wahrscheinlich Gott, nicht Mose), Objektpartikel </w:t>
      </w:r>
      <w:r>
        <w:rPr>
          <w:rStyle w:val="Fett"/>
          <w:rFonts w:eastAsiaTheme="majorEastAsia"/>
          <w:rtl/>
        </w:rPr>
        <w:t>אֵת</w:t>
      </w:r>
      <w:r>
        <w:rPr>
          <w:rtl/>
        </w:rPr>
        <w:t xml:space="preserve"> </w:t>
      </w:r>
      <w:r>
        <w:t xml:space="preserve">mit </w:t>
      </w:r>
      <w:r>
        <w:rPr>
          <w:rStyle w:val="Fett"/>
          <w:rFonts w:eastAsiaTheme="majorEastAsia"/>
          <w:rtl/>
        </w:rPr>
        <w:t>יְהוֹשֻׁעַ בִּן־נוּן</w:t>
      </w:r>
      <w:r>
        <w:t xml:space="preserve">, koordiniert durch </w:t>
      </w:r>
      <w:r>
        <w:rPr>
          <w:rStyle w:val="Fett"/>
          <w:rFonts w:eastAsiaTheme="majorEastAsia"/>
          <w:rtl/>
        </w:rPr>
        <w:t>וְ</w:t>
      </w:r>
      <w:r>
        <w:rPr>
          <w:rtl/>
        </w:rPr>
        <w:t xml:space="preserve"> </w:t>
      </w:r>
      <w:r>
        <w:t xml:space="preserve">mit </w:t>
      </w:r>
      <w:r>
        <w:rPr>
          <w:rStyle w:val="Fett"/>
          <w:rFonts w:eastAsiaTheme="majorEastAsia"/>
          <w:rtl/>
        </w:rPr>
        <w:t>אמר</w:t>
      </w:r>
      <w:r>
        <w:t xml:space="preserve">, Qal Imperfekt mit </w:t>
      </w:r>
      <w:r>
        <w:rPr>
          <w:rStyle w:val="Fett"/>
          <w:rFonts w:eastAsiaTheme="majorEastAsia"/>
        </w:rPr>
        <w:t>Waw</w:t>
      </w:r>
      <w:r>
        <w:t xml:space="preserve"> consecutivum, 3. Person Maskulinum Singular), </w:t>
      </w:r>
      <w:r>
        <w:rPr>
          <w:rStyle w:val="Fett"/>
          <w:rFonts w:eastAsiaTheme="majorEastAsia"/>
          <w:rtl/>
        </w:rPr>
        <w:t>חֲזַק וֶאֱמָץ</w:t>
      </w:r>
      <w:r>
        <w:rPr>
          <w:rtl/>
        </w:rPr>
        <w:t xml:space="preserve"> </w:t>
      </w:r>
      <w:r>
        <w:t xml:space="preserve">(beide Qal Imperativ, Maskulinum Singular), </w:t>
      </w:r>
      <w:r>
        <w:rPr>
          <w:rStyle w:val="Fett"/>
          <w:rFonts w:eastAsiaTheme="majorEastAsia"/>
          <w:rtl/>
        </w:rPr>
        <w:t>כִּי אַתָּה תָּבִיא אֶת־בְּנֵי יִשְׂרָאֵל אֶל־הָאָרֶץ אֲשֶׁר־נִשְׁבַּעְתִּי לָהֶם וְאָנֹכִי אֶהְיֶה עִמָּךְ</w:t>
      </w:r>
      <w:r>
        <w:rPr>
          <w:rtl/>
        </w:rPr>
        <w:t xml:space="preserve"> </w:t>
      </w:r>
      <w:r>
        <w:t xml:space="preserve">(Kausalsatz: </w:t>
      </w:r>
      <w:r>
        <w:rPr>
          <w:rStyle w:val="Fett"/>
          <w:rFonts w:eastAsiaTheme="majorEastAsia"/>
          <w:rtl/>
        </w:rPr>
        <w:t>כִּי אַתָּה</w:t>
      </w:r>
      <w:r>
        <w:t xml:space="preserve">, </w:t>
      </w:r>
      <w:r>
        <w:rPr>
          <w:rStyle w:val="Fett"/>
          <w:rFonts w:eastAsiaTheme="majorEastAsia"/>
          <w:rtl/>
        </w:rPr>
        <w:t>בוא</w:t>
      </w:r>
      <w:r>
        <w:t xml:space="preserve">, Hiphil Imperfekt, 2. Person Maskulinum Singular, Objektpartikel </w:t>
      </w:r>
      <w:r>
        <w:rPr>
          <w:rStyle w:val="Fett"/>
          <w:rFonts w:eastAsiaTheme="majorEastAsia"/>
          <w:rtl/>
        </w:rPr>
        <w:t>אֵת</w:t>
      </w:r>
      <w:r>
        <w:rPr>
          <w:rtl/>
        </w:rPr>
        <w:t xml:space="preserve"> </w:t>
      </w:r>
      <w:r>
        <w:t xml:space="preserve">mit </w:t>
      </w:r>
      <w:r>
        <w:rPr>
          <w:rStyle w:val="Fett"/>
          <w:rFonts w:eastAsiaTheme="majorEastAsia"/>
          <w:rtl/>
        </w:rPr>
        <w:t>בְּנֵי יִשְׂרָאֵל</w:t>
      </w:r>
      <w:r>
        <w:t xml:space="preserve">, </w:t>
      </w:r>
      <w:r>
        <w:rPr>
          <w:rStyle w:val="Fett"/>
          <w:rFonts w:eastAsiaTheme="majorEastAsia"/>
          <w:rtl/>
        </w:rPr>
        <w:t>אֶל־הָאָרֶץ</w:t>
      </w:r>
      <w:r>
        <w:t xml:space="preserve">, Relativsatz wie üblich, koordiniert durch </w:t>
      </w:r>
      <w:r>
        <w:rPr>
          <w:rStyle w:val="Fett"/>
          <w:rFonts w:eastAsiaTheme="majorEastAsia"/>
          <w:rtl/>
        </w:rPr>
        <w:t>וְ</w:t>
      </w:r>
      <w:r>
        <w:rPr>
          <w:rtl/>
        </w:rPr>
        <w:t xml:space="preserve"> </w:t>
      </w:r>
      <w:r>
        <w:t xml:space="preserve">mit </w:t>
      </w:r>
      <w:r>
        <w:rPr>
          <w:rStyle w:val="Fett"/>
          <w:rFonts w:eastAsiaTheme="majorEastAsia"/>
          <w:rtl/>
        </w:rPr>
        <w:t>אָנֹכִי</w:t>
      </w:r>
      <w:r>
        <w:t xml:space="preserve">, </w:t>
      </w:r>
      <w:r>
        <w:rPr>
          <w:rStyle w:val="Fett"/>
          <w:rFonts w:eastAsiaTheme="majorEastAsia"/>
          <w:rtl/>
        </w:rPr>
        <w:t>היה</w:t>
      </w:r>
      <w:r>
        <w:t xml:space="preserve">, Qal Imperfekt, 1. Person Singular, </w:t>
      </w:r>
      <w:r>
        <w:rPr>
          <w:rStyle w:val="Fett"/>
          <w:rFonts w:eastAsiaTheme="majorEastAsia"/>
          <w:rtl/>
        </w:rPr>
        <w:t>עִמָּךְ</w:t>
      </w:r>
      <w:r>
        <w:t>).</w:t>
      </w:r>
    </w:p>
    <w:p w14:paraId="4782C450" w14:textId="77777777" w:rsidR="008A57FB" w:rsidRDefault="008A57FB" w:rsidP="008A57FB">
      <w:pPr>
        <w:pStyle w:val="whitespace-normal"/>
      </w:pPr>
      <w:r>
        <w:t xml:space="preserve">Der Vers berichtet über Gottes direkte Beauftragung Josuas (vgl. V. 14-15). Die Einleitung: </w:t>
      </w:r>
      <w:r>
        <w:rPr>
          <w:rStyle w:val="Fett"/>
          <w:rFonts w:eastAsiaTheme="majorEastAsia"/>
          <w:rtl/>
        </w:rPr>
        <w:t>וַיְצַו אֶת־יְהוֹשֻׁעַ בִּן־נוּן וַיֹּאמֶר</w:t>
      </w:r>
      <w:r>
        <w:rPr>
          <w:rtl/>
        </w:rPr>
        <w:t xml:space="preserve"> </w:t>
      </w:r>
      <w:r>
        <w:t xml:space="preserve">(„und er gebot Josua, dem Sohn Nuns, und sprach"). Das Subjekt ist wahrscheinlich Gott, nicht Mose (vgl. V. 14.23; Jos 1,1-9). Die Imperative: </w:t>
      </w:r>
      <w:r>
        <w:rPr>
          <w:rStyle w:val="Fett"/>
          <w:rFonts w:eastAsiaTheme="majorEastAsia"/>
          <w:rtl/>
        </w:rPr>
        <w:t>חֲזַק וֶאֱמָץ</w:t>
      </w:r>
      <w:r>
        <w:rPr>
          <w:rtl/>
        </w:rPr>
        <w:t xml:space="preserve"> </w:t>
      </w:r>
      <w:r>
        <w:t xml:space="preserve">(„sei stark und mutig") wie V. 6-7. Die Begründung: </w:t>
      </w:r>
      <w:r>
        <w:rPr>
          <w:rStyle w:val="Fett"/>
          <w:rFonts w:eastAsiaTheme="majorEastAsia"/>
          <w:rtl/>
        </w:rPr>
        <w:t>כִּי אַתָּה תָּבִיא אֶת־בְּנֵי יִשְׂרָאֵל אֶל־הָאָרֶץ אֲשֶׁר־נִשְׁבַּעְתִּי לָהֶם וְאָנֹכִי אֶהְיֶה עִמָּךְ</w:t>
      </w:r>
      <w:r>
        <w:rPr>
          <w:rtl/>
        </w:rPr>
        <w:t xml:space="preserve"> </w:t>
      </w:r>
      <w:r>
        <w:t xml:space="preserve">(„denn du, du wirst bringen die Kinder Israels in das Land, das ich geschworen habe ihnen; und ich werde sein mit dir"). Die Betonung </w:t>
      </w:r>
      <w:r>
        <w:rPr>
          <w:rStyle w:val="Fett"/>
          <w:rFonts w:eastAsiaTheme="majorEastAsia"/>
          <w:rtl/>
        </w:rPr>
        <w:t>אַתָּה</w:t>
      </w:r>
      <w:r>
        <w:rPr>
          <w:rtl/>
        </w:rPr>
        <w:t xml:space="preserve"> </w:t>
      </w:r>
      <w:r>
        <w:t xml:space="preserve">(„du") verstärkt Josuas persönliche Verantwortung. Die Verheißung </w:t>
      </w:r>
      <w:r>
        <w:rPr>
          <w:rStyle w:val="Fett"/>
          <w:rFonts w:eastAsiaTheme="majorEastAsia"/>
          <w:rtl/>
        </w:rPr>
        <w:t>וְאָנֹכִי אֶהְיֶה עִמָּךְ</w:t>
      </w:r>
      <w:r>
        <w:rPr>
          <w:rtl/>
        </w:rPr>
        <w:t xml:space="preserve"> </w:t>
      </w:r>
      <w:r>
        <w:t>(„und ich werde sein mit dir") ist die entscheidende Zusage (vgl. V. 8; Jos 1,5.9; Gen 26,3; 28,15; 31,3; Ex 3,12; Ri 6,16; Jer 1,8.19; 15,20; 42,11).</w:t>
      </w:r>
    </w:p>
    <w:p w14:paraId="7EB21CE1" w14:textId="77777777" w:rsidR="008A57FB" w:rsidRDefault="008A57FB" w:rsidP="008A57FB">
      <w:pPr>
        <w:pStyle w:val="whitespace-normal"/>
      </w:pPr>
      <w:r>
        <w:rPr>
          <w:rStyle w:val="Fett"/>
          <w:rFonts w:eastAsiaTheme="majorEastAsia"/>
        </w:rPr>
        <w:t>Die Satzstruktur:</w:t>
      </w:r>
      <w:r>
        <w:t xml:space="preserve"> Einleitung, Imperative und Begründung (und er gebot Josua, dem Sohn Nuns, und sprach: Sei stark und mutig! Denn du, du wirst bringen die Kinder Israels in das Land, das ich geschworen habe ihnen; und ich werde sein mit dir).</w:t>
      </w:r>
    </w:p>
    <w:p w14:paraId="4907ED27" w14:textId="7BD80E92" w:rsidR="008A57FB" w:rsidRDefault="008A57FB" w:rsidP="00B77CC6">
      <w:pPr>
        <w:pStyle w:val="whitespace-normal"/>
      </w:pPr>
      <w:r>
        <w:rPr>
          <w:rStyle w:val="Fett"/>
          <w:rFonts w:eastAsiaTheme="majorEastAsia"/>
        </w:rPr>
        <w:t>Der Vers beschreibt:</w:t>
      </w:r>
      <w:r>
        <w:t xml:space="preserve"> Gottes direkte Beauftragung Josuas – Ermutigung und Verheißung göttlicher Gegenwart.</w:t>
      </w:r>
    </w:p>
    <w:p w14:paraId="5021DA84" w14:textId="77777777" w:rsidR="008A57FB" w:rsidRPr="00257FCB" w:rsidRDefault="008A57FB" w:rsidP="00257FCB">
      <w:pPr>
        <w:pStyle w:val="Bibelberschrift"/>
        <w:rPr>
          <w:b w:val="0"/>
          <w:bCs/>
        </w:rPr>
      </w:pPr>
      <w:r w:rsidRPr="00257FCB">
        <w:rPr>
          <w:rStyle w:val="Fett"/>
          <w:b/>
          <w:bCs w:val="0"/>
        </w:rPr>
        <w:lastRenderedPageBreak/>
        <w:t>Deuteronomium 31,24</w:t>
      </w:r>
    </w:p>
    <w:p w14:paraId="3DC8E2A1" w14:textId="77777777" w:rsidR="008A57FB" w:rsidRDefault="008A57FB" w:rsidP="008A57FB">
      <w:pPr>
        <w:pStyle w:val="whitespace-normal"/>
      </w:pPr>
      <w:r>
        <w:rPr>
          <w:rStyle w:val="Fett"/>
          <w:rFonts w:eastAsiaTheme="majorEastAsia"/>
        </w:rPr>
        <w:t>Hebräisch:</w:t>
      </w:r>
      <w:r>
        <w:t xml:space="preserve"> </w:t>
      </w:r>
      <w:r>
        <w:rPr>
          <w:rtl/>
        </w:rPr>
        <w:t>וַיְהִי כְּכַלּוֹת מֹשֶׁה לִכְתֹּב אֶת־דִּבְרֵי הַתּוֹרָה־הַזֹּאת עַל־סֵפֶר עַד תֻּמָּם׃</w:t>
      </w:r>
    </w:p>
    <w:p w14:paraId="5EAB0ACF" w14:textId="312CEAE3" w:rsidR="008A57FB" w:rsidRDefault="008A57FB" w:rsidP="008A57FB">
      <w:pPr>
        <w:pStyle w:val="whitespace-normal"/>
      </w:pPr>
      <w:r>
        <w:rPr>
          <w:rStyle w:val="Fett"/>
          <w:rFonts w:eastAsiaTheme="majorEastAsia"/>
        </w:rPr>
        <w:t>Deutsch:</w:t>
      </w:r>
      <w:r>
        <w:t xml:space="preserve"> Und es begab sich, als Mosche die Worte dieser </w:t>
      </w:r>
      <w:r w:rsidR="006D3FED">
        <w:t>Torah</w:t>
      </w:r>
      <w:r>
        <w:t xml:space="preserve"> in ein Buch geschrieben hatte bis zu deren Ende.</w:t>
      </w:r>
    </w:p>
    <w:p w14:paraId="62CA9C9C" w14:textId="77777777" w:rsidR="008A57FB" w:rsidRDefault="004F5CEB" w:rsidP="008A57FB">
      <w:r>
        <w:rPr>
          <w:noProof/>
        </w:rPr>
        <w:pict w14:anchorId="3532D7FB">
          <v:rect id="_x0000_i1887" style="width:0;height:1.5pt" o:hralign="center" o:hrstd="t" o:hr="t" fillcolor="#a0a0a0" stroked="f"/>
        </w:pict>
      </w:r>
    </w:p>
    <w:p w14:paraId="11E6FEB7"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וַיְהִי כְּכַלּוֹת מֹשֶׁה לִכְתֹּב אֶת־דִּבְרֵי הַתּוֹרָה־הַזֹּאת עַל־סֵפֶר עַד תֻּמָּם</w:t>
      </w:r>
      <w:r>
        <w:rPr>
          <w:rtl/>
        </w:rPr>
        <w:t xml:space="preserve"> </w:t>
      </w:r>
      <w:r>
        <w:t xml:space="preserve">ist Einleitung mit Temporalsatz: </w:t>
      </w:r>
      <w:r>
        <w:rPr>
          <w:rStyle w:val="Fett"/>
          <w:rFonts w:eastAsiaTheme="majorEastAsia"/>
          <w:rtl/>
        </w:rPr>
        <w:t>וַיְהִי כְּכַלּוֹת מֹשֶׁה לִכְתֹּב אֶת־דִּבְרֵי הַתּוֹרָה־הַזֹּאת עַל־סֵפֶר עַד תֻּמָּם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Imperfekt mit </w:t>
      </w:r>
      <w:r>
        <w:rPr>
          <w:rStyle w:val="Fett"/>
          <w:rFonts w:eastAsiaTheme="majorEastAsia"/>
        </w:rPr>
        <w:t>Waw</w:t>
      </w:r>
      <w:r>
        <w:t xml:space="preserve"> consecutivum, 3. Person Maskulinum Singular, Temporalsatz: </w:t>
      </w:r>
      <w:r>
        <w:rPr>
          <w:rStyle w:val="Fett"/>
          <w:rFonts w:eastAsiaTheme="majorEastAsia"/>
          <w:rtl/>
        </w:rPr>
        <w:t>כְּ</w:t>
      </w:r>
      <w:r>
        <w:rPr>
          <w:rtl/>
        </w:rPr>
        <w:t xml:space="preserve"> </w:t>
      </w:r>
      <w:r>
        <w:t xml:space="preserve">+ Piel Infinitiv Construct von </w:t>
      </w:r>
      <w:r>
        <w:rPr>
          <w:rStyle w:val="Fett"/>
          <w:rFonts w:eastAsiaTheme="majorEastAsia"/>
          <w:rtl/>
        </w:rPr>
        <w:t>כלה</w:t>
      </w:r>
      <w:r>
        <w:t xml:space="preserve">, „beenden, vollenden", </w:t>
      </w:r>
      <w:r>
        <w:rPr>
          <w:rStyle w:val="Fett"/>
          <w:rFonts w:eastAsiaTheme="majorEastAsia"/>
          <w:rtl/>
        </w:rPr>
        <w:t>מֹשֶׁה</w:t>
      </w:r>
      <w:r>
        <w:rPr>
          <w:rtl/>
        </w:rPr>
        <w:t xml:space="preserve"> </w:t>
      </w:r>
      <w:r>
        <w:t xml:space="preserve">als Subjekt, Finalsatz: </w:t>
      </w:r>
      <w:r>
        <w:rPr>
          <w:rStyle w:val="Fett"/>
          <w:rFonts w:eastAsiaTheme="majorEastAsia"/>
          <w:rtl/>
        </w:rPr>
        <w:t>לִכְתֹּב</w:t>
      </w:r>
      <w:r>
        <w:rPr>
          <w:rtl/>
        </w:rPr>
        <w:t xml:space="preserve"> </w:t>
      </w:r>
      <w:r>
        <w:t xml:space="preserve">mit Präposition </w:t>
      </w:r>
      <w:r>
        <w:rPr>
          <w:rStyle w:val="Fett"/>
          <w:rFonts w:eastAsiaTheme="majorEastAsia"/>
          <w:rtl/>
        </w:rPr>
        <w:t>לְ</w:t>
      </w:r>
      <w:r>
        <w:rPr>
          <w:rtl/>
        </w:rPr>
        <w:t xml:space="preserve"> </w:t>
      </w:r>
      <w:r>
        <w:t xml:space="preserve">+ Qal Infinitiv Construct von </w:t>
      </w:r>
      <w:r>
        <w:rPr>
          <w:rStyle w:val="Fett"/>
          <w:rFonts w:eastAsiaTheme="majorEastAsia"/>
          <w:rtl/>
        </w:rPr>
        <w:t>כתב</w:t>
      </w:r>
      <w:r>
        <w:t xml:space="preserve">, Objektpartikel </w:t>
      </w:r>
      <w:r>
        <w:rPr>
          <w:rStyle w:val="Fett"/>
          <w:rFonts w:eastAsiaTheme="majorEastAsia"/>
          <w:rtl/>
        </w:rPr>
        <w:t>אֵת</w:t>
      </w:r>
      <w:r>
        <w:rPr>
          <w:rtl/>
        </w:rPr>
        <w:t xml:space="preserve"> </w:t>
      </w:r>
      <w:r>
        <w:t xml:space="preserve">mit </w:t>
      </w:r>
      <w:r>
        <w:rPr>
          <w:rStyle w:val="Fett"/>
          <w:rFonts w:eastAsiaTheme="majorEastAsia"/>
          <w:rtl/>
        </w:rPr>
        <w:t>דָּבָר</w:t>
      </w:r>
      <w:r>
        <w:rPr>
          <w:rtl/>
        </w:rPr>
        <w:t xml:space="preserve"> </w:t>
      </w:r>
      <w:r>
        <w:t xml:space="preserve">Plural Construct mit </w:t>
      </w:r>
      <w:r>
        <w:rPr>
          <w:rStyle w:val="Fett"/>
          <w:rFonts w:eastAsiaTheme="majorEastAsia"/>
          <w:rtl/>
        </w:rPr>
        <w:t>תּוֹרָה</w:t>
      </w:r>
      <w:r>
        <w:rPr>
          <w:rtl/>
        </w:rPr>
        <w:t xml:space="preserve"> </w:t>
      </w:r>
      <w:r>
        <w:t xml:space="preserve">mit Artikel, </w:t>
      </w:r>
      <w:r>
        <w:rPr>
          <w:rStyle w:val="Fett"/>
          <w:rFonts w:eastAsiaTheme="majorEastAsia"/>
          <w:rtl/>
        </w:rPr>
        <w:t>זֹאת</w:t>
      </w:r>
      <w:r>
        <w:t xml:space="preserve">, </w:t>
      </w:r>
      <w:r>
        <w:rPr>
          <w:rStyle w:val="Fett"/>
          <w:rFonts w:eastAsiaTheme="majorEastAsia"/>
          <w:rtl/>
        </w:rPr>
        <w:t>עַל־סֵפֶר</w:t>
      </w:r>
      <w:r>
        <w:t xml:space="preserve">, </w:t>
      </w:r>
      <w:r>
        <w:rPr>
          <w:rStyle w:val="Fett"/>
          <w:rFonts w:eastAsiaTheme="majorEastAsia"/>
          <w:rtl/>
        </w:rPr>
        <w:t>עַד תֻּמָּם</w:t>
      </w:r>
      <w:r>
        <w:t>, „bis zu deren Ende").</w:t>
      </w:r>
    </w:p>
    <w:p w14:paraId="65C6777D" w14:textId="121CCE77" w:rsidR="008A57FB" w:rsidRDefault="008A57FB" w:rsidP="008A57FB">
      <w:pPr>
        <w:pStyle w:val="whitespace-normal"/>
      </w:pPr>
      <w:r>
        <w:t xml:space="preserve">Der Vers markiert den Abschluss der Niederschrift der </w:t>
      </w:r>
      <w:r w:rsidR="006D3FED">
        <w:t>Torah</w:t>
      </w:r>
      <w:r>
        <w:t xml:space="preserve">. Die Einleitung mit Temporalsatz: </w:t>
      </w:r>
      <w:r>
        <w:rPr>
          <w:rStyle w:val="Fett"/>
          <w:rFonts w:eastAsiaTheme="majorEastAsia"/>
          <w:rtl/>
        </w:rPr>
        <w:t>וַיְהִי כְּכַלּוֹת מֹשֶׁה לִכְתֹּב אֶת־דִּבְרֵי הַתּוֹרָה־הַזֹּאת עַל־סֵפֶר עַד תֻּמָּם</w:t>
      </w:r>
      <w:r>
        <w:rPr>
          <w:rtl/>
        </w:rPr>
        <w:t xml:space="preserve"> </w:t>
      </w:r>
      <w:r>
        <w:t xml:space="preserve">(„und es begab sich, als Mosche vollendet hatte zu schreiben die Worte dieser </w:t>
      </w:r>
      <w:r w:rsidR="006D3FED">
        <w:t>Torah</w:t>
      </w:r>
      <w:r>
        <w:t xml:space="preserve"> auf ein Buch bis zu deren Ende"). Die Formulierung </w:t>
      </w:r>
      <w:r>
        <w:rPr>
          <w:rStyle w:val="Fett"/>
          <w:rFonts w:eastAsiaTheme="majorEastAsia"/>
          <w:rtl/>
        </w:rPr>
        <w:t>דִּבְרֵי הַתּוֹרָה־הַזֹּאת</w:t>
      </w:r>
      <w:r>
        <w:rPr>
          <w:rtl/>
        </w:rPr>
        <w:t xml:space="preserve"> </w:t>
      </w:r>
      <w:r>
        <w:t xml:space="preserve">(„die Worte dieser </w:t>
      </w:r>
      <w:r w:rsidR="006D3FED">
        <w:t>Torah</w:t>
      </w:r>
      <w:r>
        <w:t xml:space="preserve">") bezieht sich auf das gesamte Deuteronomium (vgl. V. 9). Die Formulierung </w:t>
      </w:r>
      <w:r>
        <w:rPr>
          <w:rStyle w:val="Fett"/>
          <w:rFonts w:eastAsiaTheme="majorEastAsia"/>
          <w:rtl/>
        </w:rPr>
        <w:t>עַל־סֵפֶר</w:t>
      </w:r>
      <w:r>
        <w:rPr>
          <w:rtl/>
        </w:rPr>
        <w:t xml:space="preserve"> </w:t>
      </w:r>
      <w:r>
        <w:t xml:space="preserve">(„auf ein Buch") betont die schriftliche Form (vgl. 17,18; 28,58.61; 29,19.20.26; 30,10; 31,9.11.12.26). Die Formulierung </w:t>
      </w:r>
      <w:r>
        <w:rPr>
          <w:rStyle w:val="Fett"/>
          <w:rFonts w:eastAsiaTheme="majorEastAsia"/>
          <w:rtl/>
        </w:rPr>
        <w:t>עַד תֻּמָּם</w:t>
      </w:r>
      <w:r>
        <w:rPr>
          <w:rtl/>
        </w:rPr>
        <w:t xml:space="preserve"> </w:t>
      </w:r>
      <w:r>
        <w:t>(„bis zu deren Ende") betont: vollständige Niederschrift, nichts fehlt. V. 25-29 werden beschreiben, was Mose mit diesem Buch tat.</w:t>
      </w:r>
    </w:p>
    <w:p w14:paraId="09E2DB6B" w14:textId="2FA9AED2" w:rsidR="008A57FB" w:rsidRDefault="008A57FB" w:rsidP="008A57FB">
      <w:pPr>
        <w:pStyle w:val="whitespace-normal"/>
      </w:pPr>
      <w:r>
        <w:rPr>
          <w:rStyle w:val="Fett"/>
          <w:rFonts w:eastAsiaTheme="majorEastAsia"/>
        </w:rPr>
        <w:t>Die Satzstruktur:</w:t>
      </w:r>
      <w:r>
        <w:t xml:space="preserve"> Einleitung mit Temporalsatz (und es begab sich, als Mosche vollendet hatte zu schreiben die Worte dieser </w:t>
      </w:r>
      <w:r w:rsidR="006D3FED">
        <w:t>Torah</w:t>
      </w:r>
      <w:r>
        <w:t xml:space="preserve"> auf ein Buch bis zu deren Ende).</w:t>
      </w:r>
    </w:p>
    <w:p w14:paraId="5B64F0D5" w14:textId="0DC2DCCF" w:rsidR="008A57FB" w:rsidRDefault="008A57FB" w:rsidP="00B77CC6">
      <w:pPr>
        <w:pStyle w:val="whitespace-normal"/>
      </w:pPr>
      <w:r>
        <w:rPr>
          <w:rStyle w:val="Fett"/>
          <w:rFonts w:eastAsiaTheme="majorEastAsia"/>
        </w:rPr>
        <w:t>Der Vers beschreibt:</w:t>
      </w:r>
      <w:r>
        <w:t xml:space="preserve"> Abschluss der Niederschrift – Mose hat die gesamte </w:t>
      </w:r>
      <w:r w:rsidR="006D3FED">
        <w:t>Torah</w:t>
      </w:r>
      <w:r>
        <w:t xml:space="preserve"> vollständig aufgeschrieben.</w:t>
      </w:r>
    </w:p>
    <w:p w14:paraId="4A77FB10" w14:textId="77777777" w:rsidR="008A57FB" w:rsidRPr="00257FCB" w:rsidRDefault="008A57FB" w:rsidP="00257FCB">
      <w:pPr>
        <w:pStyle w:val="Bibelberschrift"/>
        <w:rPr>
          <w:b w:val="0"/>
          <w:bCs/>
        </w:rPr>
      </w:pPr>
      <w:r w:rsidRPr="00257FCB">
        <w:rPr>
          <w:rStyle w:val="Fett"/>
          <w:b/>
          <w:bCs w:val="0"/>
        </w:rPr>
        <w:t>Deuteronomium 31,25</w:t>
      </w:r>
    </w:p>
    <w:p w14:paraId="77E76CED" w14:textId="77777777" w:rsidR="008A57FB" w:rsidRDefault="008A57FB" w:rsidP="008A57FB">
      <w:pPr>
        <w:pStyle w:val="whitespace-normal"/>
      </w:pPr>
      <w:r>
        <w:rPr>
          <w:rStyle w:val="Fett"/>
          <w:rFonts w:eastAsiaTheme="majorEastAsia"/>
        </w:rPr>
        <w:t>Hebräisch:</w:t>
      </w:r>
      <w:r>
        <w:t xml:space="preserve"> </w:t>
      </w:r>
      <w:r>
        <w:rPr>
          <w:rtl/>
        </w:rPr>
        <w:t>וַיְצַו מֹשֶׁה אֶת־הַלְוִיִּם נֹשְׂאֵי אֲרוֹן בְּרִית־יְהוָה לֵאמֹר׃</w:t>
      </w:r>
    </w:p>
    <w:p w14:paraId="044AB151" w14:textId="77777777" w:rsidR="008A57FB" w:rsidRDefault="008A57FB" w:rsidP="008A57FB">
      <w:pPr>
        <w:pStyle w:val="whitespace-normal"/>
      </w:pPr>
      <w:r>
        <w:rPr>
          <w:rStyle w:val="Fett"/>
          <w:rFonts w:eastAsiaTheme="majorEastAsia"/>
        </w:rPr>
        <w:t>Deutsch:</w:t>
      </w:r>
      <w:r>
        <w:t xml:space="preserve"> Da gebot Mosche den Leviten, die die Lade des Bundes des Ewigen trugen, und sprach:</w:t>
      </w:r>
    </w:p>
    <w:p w14:paraId="40813596" w14:textId="77777777" w:rsidR="008A57FB" w:rsidRDefault="004F5CEB" w:rsidP="008A57FB">
      <w:r>
        <w:rPr>
          <w:noProof/>
        </w:rPr>
        <w:pict w14:anchorId="2CD5EE57">
          <v:rect id="_x0000_i1888" style="width:0;height:1.5pt" o:hralign="center" o:hrstd="t" o:hr="t" fillcolor="#a0a0a0" stroked="f"/>
        </w:pict>
      </w:r>
    </w:p>
    <w:p w14:paraId="37F18812"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וַיְצַו מֹשֶׁה אֶת־הַלְוִיִּם נֹשְׂאֵי אֲרוֹן בְּרִית־יְהוָה לֵאמֹר</w:t>
      </w:r>
      <w:r>
        <w:rPr>
          <w:rtl/>
        </w:rPr>
        <w:t xml:space="preserve"> </w:t>
      </w:r>
      <w:r>
        <w:t xml:space="preserve">ist Einleitung: </w:t>
      </w:r>
      <w:r>
        <w:rPr>
          <w:rStyle w:val="Fett"/>
          <w:rFonts w:eastAsiaTheme="majorEastAsia"/>
          <w:rtl/>
        </w:rPr>
        <w:t>וַיְצַו מֹשֶׁה אֶת־הַלְוִיִּם נֹשְׂאֵי אֲרוֹן בְּרִית־יְהוָה לֵאמֹר</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צוה</w:t>
      </w:r>
      <w:r>
        <w:t xml:space="preserve">, Piel Imperfekt mit </w:t>
      </w:r>
      <w:r>
        <w:rPr>
          <w:rStyle w:val="Fett"/>
          <w:rFonts w:eastAsiaTheme="majorEastAsia"/>
        </w:rPr>
        <w:t>Waw</w:t>
      </w:r>
      <w:r>
        <w:t xml:space="preserve"> consecutivum, 3. Person Maskulinum Singular, </w:t>
      </w:r>
      <w:r>
        <w:rPr>
          <w:rStyle w:val="Fett"/>
          <w:rFonts w:eastAsiaTheme="majorEastAsia"/>
          <w:rtl/>
        </w:rPr>
        <w:t>מֹשֶׁה</w:t>
      </w:r>
      <w:r>
        <w:rPr>
          <w:rtl/>
        </w:rPr>
        <w:t xml:space="preserve"> </w:t>
      </w:r>
      <w:r>
        <w:t xml:space="preserve">als Subjekt, Objektpartikel </w:t>
      </w:r>
      <w:r>
        <w:rPr>
          <w:rStyle w:val="Fett"/>
          <w:rFonts w:eastAsiaTheme="majorEastAsia"/>
          <w:rtl/>
        </w:rPr>
        <w:t>אֵת</w:t>
      </w:r>
      <w:r>
        <w:rPr>
          <w:rtl/>
        </w:rPr>
        <w:t xml:space="preserve"> </w:t>
      </w:r>
      <w:r>
        <w:t xml:space="preserve">mit </w:t>
      </w:r>
      <w:r>
        <w:rPr>
          <w:rStyle w:val="Fett"/>
          <w:rFonts w:eastAsiaTheme="majorEastAsia"/>
          <w:rtl/>
        </w:rPr>
        <w:t>לֵוִי</w:t>
      </w:r>
      <w:r>
        <w:rPr>
          <w:rtl/>
        </w:rPr>
        <w:t xml:space="preserve"> </w:t>
      </w:r>
      <w:r>
        <w:t xml:space="preserve">Plural mit Artikel, Partizipialsatz: </w:t>
      </w:r>
      <w:r>
        <w:rPr>
          <w:rStyle w:val="Fett"/>
          <w:rFonts w:eastAsiaTheme="majorEastAsia"/>
          <w:rtl/>
        </w:rPr>
        <w:t>נֹשְׂאֵי אֲרוֹן בְּרִית־יְהוָה</w:t>
      </w:r>
      <w:r>
        <w:rPr>
          <w:rtl/>
        </w:rPr>
        <w:t xml:space="preserve"> </w:t>
      </w:r>
      <w:r>
        <w:t xml:space="preserve">mit </w:t>
      </w:r>
      <w:r>
        <w:rPr>
          <w:rStyle w:val="Fett"/>
          <w:rFonts w:eastAsiaTheme="majorEastAsia"/>
          <w:rtl/>
        </w:rPr>
        <w:t>נשׂא</w:t>
      </w:r>
      <w:r>
        <w:t xml:space="preserve">, Qal Partizip Maskulinum Plural Construct, </w:t>
      </w:r>
      <w:r>
        <w:rPr>
          <w:rStyle w:val="Fett"/>
          <w:rFonts w:eastAsiaTheme="majorEastAsia"/>
          <w:rtl/>
        </w:rPr>
        <w:t>אֲרוֹן בְּרִית־יְהוָה</w:t>
      </w:r>
      <w:r>
        <w:t xml:space="preserve">, Präposition </w:t>
      </w:r>
      <w:r>
        <w:rPr>
          <w:rStyle w:val="Fett"/>
          <w:rFonts w:eastAsiaTheme="majorEastAsia"/>
          <w:rtl/>
        </w:rPr>
        <w:t>לְ</w:t>
      </w:r>
      <w:r>
        <w:rPr>
          <w:rtl/>
        </w:rPr>
        <w:t xml:space="preserve"> </w:t>
      </w:r>
      <w:r>
        <w:t xml:space="preserve">+ Qal Infinitiv Construct von </w:t>
      </w:r>
      <w:r>
        <w:rPr>
          <w:rStyle w:val="Fett"/>
          <w:rFonts w:eastAsiaTheme="majorEastAsia"/>
          <w:rtl/>
        </w:rPr>
        <w:t>אמר</w:t>
      </w:r>
      <w:r>
        <w:t>).</w:t>
      </w:r>
    </w:p>
    <w:p w14:paraId="47FDE671" w14:textId="1491572E" w:rsidR="008A57FB" w:rsidRDefault="008A57FB" w:rsidP="008A57FB">
      <w:pPr>
        <w:pStyle w:val="whitespace-normal"/>
      </w:pPr>
      <w:r>
        <w:lastRenderedPageBreak/>
        <w:t xml:space="preserve">Der Vers leitet Moses letzte Anweisungen ein. Die Einleitung: </w:t>
      </w:r>
      <w:r>
        <w:rPr>
          <w:rStyle w:val="Fett"/>
          <w:rFonts w:eastAsiaTheme="majorEastAsia"/>
          <w:rtl/>
        </w:rPr>
        <w:t>וַיְצַו מֹשֶׁה אֶת־הַלְוִיִּם נֹשְׂאֵי אֲרוֹן בְּרִית־יְהוָה לֵאמֹר</w:t>
      </w:r>
      <w:r>
        <w:rPr>
          <w:rtl/>
        </w:rPr>
        <w:t xml:space="preserve"> </w:t>
      </w:r>
      <w:r>
        <w:t xml:space="preserve">(„da gebot Mosche den Leviten, die die Lade des Bundes </w:t>
      </w:r>
      <w:r w:rsidR="00DF3D1A">
        <w:t>JHWHs</w:t>
      </w:r>
      <w:r>
        <w:t xml:space="preserve"> trugen, und sprach"). Die Leviten werden identifiziert als </w:t>
      </w:r>
      <w:r>
        <w:rPr>
          <w:rStyle w:val="Fett"/>
          <w:rFonts w:eastAsiaTheme="majorEastAsia"/>
          <w:rtl/>
        </w:rPr>
        <w:t>נֹשְׂאֵי אֲרוֹן בְּרִית־יְהוָה</w:t>
      </w:r>
      <w:r>
        <w:rPr>
          <w:rtl/>
        </w:rPr>
        <w:t xml:space="preserve"> </w:t>
      </w:r>
      <w:r>
        <w:t xml:space="preserve">(„die Träger der Lade des Bundes </w:t>
      </w:r>
      <w:r w:rsidR="00DF3D1A">
        <w:t xml:space="preserve">JHWHs </w:t>
      </w:r>
      <w:r>
        <w:t>") wie in V. 9. V. 26-29 werden die Anweisung enthalten.</w:t>
      </w:r>
    </w:p>
    <w:p w14:paraId="727E56F6" w14:textId="392B46CE" w:rsidR="008A57FB" w:rsidRDefault="008A57FB" w:rsidP="008A57FB">
      <w:pPr>
        <w:pStyle w:val="whitespace-normal"/>
      </w:pPr>
      <w:r>
        <w:rPr>
          <w:rStyle w:val="Fett"/>
          <w:rFonts w:eastAsiaTheme="majorEastAsia"/>
        </w:rPr>
        <w:t>Die Satzstruktur:</w:t>
      </w:r>
      <w:r>
        <w:t xml:space="preserve"> Einleitung (da gebot Mosche den Leviten, die die Lade des Bundes </w:t>
      </w:r>
      <w:r w:rsidR="00DF3D1A">
        <w:t>JHWHs</w:t>
      </w:r>
      <w:r>
        <w:t xml:space="preserve"> trugen, und sprach).</w:t>
      </w:r>
    </w:p>
    <w:p w14:paraId="378F83DB" w14:textId="29732732" w:rsidR="008A57FB" w:rsidRDefault="008A57FB" w:rsidP="00B77CC6">
      <w:pPr>
        <w:pStyle w:val="whitespace-normal"/>
      </w:pPr>
      <w:r>
        <w:rPr>
          <w:rStyle w:val="Fett"/>
          <w:rFonts w:eastAsiaTheme="majorEastAsia"/>
        </w:rPr>
        <w:t>Der Vers beschreibt:</w:t>
      </w:r>
      <w:r>
        <w:t xml:space="preserve"> Einleitung – Mose wendet sich an die levitischen Träger der Bundeslade.</w:t>
      </w:r>
    </w:p>
    <w:p w14:paraId="17C23E34" w14:textId="77777777" w:rsidR="008A57FB" w:rsidRPr="00257FCB" w:rsidRDefault="008A57FB" w:rsidP="00257FCB">
      <w:pPr>
        <w:pStyle w:val="Bibelberschrift"/>
        <w:rPr>
          <w:b w:val="0"/>
          <w:bCs/>
        </w:rPr>
      </w:pPr>
      <w:r w:rsidRPr="00257FCB">
        <w:rPr>
          <w:rStyle w:val="Fett"/>
          <w:b/>
          <w:bCs w:val="0"/>
        </w:rPr>
        <w:t>Deuteronomium 31,26</w:t>
      </w:r>
    </w:p>
    <w:p w14:paraId="11D91BF9" w14:textId="77777777" w:rsidR="008A57FB" w:rsidRDefault="008A57FB" w:rsidP="008A57FB">
      <w:pPr>
        <w:pStyle w:val="whitespace-normal"/>
      </w:pPr>
      <w:r>
        <w:rPr>
          <w:rStyle w:val="Fett"/>
          <w:rFonts w:eastAsiaTheme="majorEastAsia"/>
        </w:rPr>
        <w:t>Hebräisch:</w:t>
      </w:r>
      <w:r>
        <w:t xml:space="preserve"> </w:t>
      </w:r>
      <w:r>
        <w:rPr>
          <w:rtl/>
        </w:rPr>
        <w:t>לָקֹחַ אֵת סֵפֶר הַתּוֹרָה הַזֶּה וְשַׂמְתֶּם אֹתוֹ מִצַּד אֲרוֹן בְּרִית־יְהוָה אֱלֹהֵיכֶם וְהָיָה־שָׁם בְּךָ לְעֵד׃</w:t>
      </w:r>
    </w:p>
    <w:p w14:paraId="5112D315" w14:textId="44A99F32" w:rsidR="008A57FB" w:rsidRDefault="008A57FB" w:rsidP="008A57FB">
      <w:pPr>
        <w:pStyle w:val="whitespace-normal"/>
      </w:pPr>
      <w:r>
        <w:rPr>
          <w:rStyle w:val="Fett"/>
          <w:rFonts w:eastAsiaTheme="majorEastAsia"/>
        </w:rPr>
        <w:t>Deutsch:</w:t>
      </w:r>
      <w:r>
        <w:t xml:space="preserve"> Nehmt dieses Buch der </w:t>
      </w:r>
      <w:r w:rsidR="006D3FED">
        <w:t>Torah</w:t>
      </w:r>
      <w:r>
        <w:t xml:space="preserve"> und legt es zur Seite der Lade des Bundes des Ewigen, eures Gottes, dass es dort zum Zeugen gegen dich sei.</w:t>
      </w:r>
    </w:p>
    <w:p w14:paraId="5A38AC3C" w14:textId="77777777" w:rsidR="008A57FB" w:rsidRDefault="004F5CEB" w:rsidP="008A57FB">
      <w:r>
        <w:rPr>
          <w:noProof/>
        </w:rPr>
        <w:pict w14:anchorId="0194BFB6">
          <v:rect id="_x0000_i1889" style="width:0;height:1.5pt" o:hralign="center" o:hrstd="t" o:hr="t" fillcolor="#a0a0a0" stroked="f"/>
        </w:pict>
      </w:r>
    </w:p>
    <w:p w14:paraId="4B34714F"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לָקֹחַ אֵת סֵפֶר הַתּוֹרָה הַזֶּה וְשַׂמְתֶּם אֹתוֹ מִצַּד אֲרוֹן בְּרִית־יְהוָה אֱלֹהֵיכֶם וְהָיָה־שָׁם בְּךָ לְעֵד</w:t>
      </w:r>
      <w:r>
        <w:rPr>
          <w:rtl/>
        </w:rPr>
        <w:t xml:space="preserve"> </w:t>
      </w:r>
      <w:r>
        <w:t xml:space="preserve">sind zwei Imperative und Folge: </w:t>
      </w:r>
      <w:r>
        <w:rPr>
          <w:rStyle w:val="Fett"/>
          <w:rFonts w:eastAsiaTheme="majorEastAsia"/>
          <w:rtl/>
        </w:rPr>
        <w:t>לָקֹחַ אֵת סֵפֶר הַתּוֹרָה הַזֶּה</w:t>
      </w:r>
      <w:r>
        <w:rPr>
          <w:rtl/>
        </w:rPr>
        <w:t xml:space="preserve"> </w:t>
      </w:r>
      <w:r>
        <w:t xml:space="preserve">(Qal Infinitiv Absolutus von </w:t>
      </w:r>
      <w:r>
        <w:rPr>
          <w:rStyle w:val="Fett"/>
          <w:rFonts w:eastAsiaTheme="majorEastAsia"/>
          <w:rtl/>
        </w:rPr>
        <w:t>לקח</w:t>
      </w:r>
      <w:r>
        <w:t xml:space="preserve">, „nehmen", als Imperativ verwendet, Objektpartikel </w:t>
      </w:r>
      <w:r>
        <w:rPr>
          <w:rStyle w:val="Fett"/>
          <w:rFonts w:eastAsiaTheme="majorEastAsia"/>
          <w:rtl/>
        </w:rPr>
        <w:t>אֵת</w:t>
      </w:r>
      <w:r>
        <w:rPr>
          <w:rtl/>
        </w:rPr>
        <w:t xml:space="preserve"> </w:t>
      </w:r>
      <w:r>
        <w:t xml:space="preserve">mit </w:t>
      </w:r>
      <w:r>
        <w:rPr>
          <w:rStyle w:val="Fett"/>
          <w:rFonts w:eastAsiaTheme="majorEastAsia"/>
          <w:rtl/>
        </w:rPr>
        <w:t>סֵפֶר הַתּוֹרָה הַזֶּה</w:t>
      </w:r>
      <w:r>
        <w:t xml:space="preserve">), </w:t>
      </w:r>
      <w:r>
        <w:rPr>
          <w:rStyle w:val="Fett"/>
          <w:rFonts w:eastAsiaTheme="majorEastAsia"/>
          <w:rtl/>
        </w:rPr>
        <w:t>וְשַׂמְתֶּם אֹתוֹ מִצַּד אֲרוֹן בְּרִית־יְהוָה אֱלֹהֵיכֶם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שׂים</w:t>
      </w:r>
      <w:r>
        <w:t xml:space="preserve">, Qal Perfekt, 2. Person Plural, Objektpartikel </w:t>
      </w:r>
      <w:r>
        <w:rPr>
          <w:rStyle w:val="Fett"/>
          <w:rFonts w:eastAsiaTheme="majorEastAsia"/>
          <w:rtl/>
        </w:rPr>
        <w:t>אֵת</w:t>
      </w:r>
      <w:r>
        <w:rPr>
          <w:rtl/>
        </w:rPr>
        <w:t xml:space="preserve"> </w:t>
      </w:r>
      <w:r>
        <w:t xml:space="preserve">mit Suffix 3. Person Maskulinum Singular, </w:t>
      </w:r>
      <w:r>
        <w:rPr>
          <w:rStyle w:val="Fett"/>
          <w:rFonts w:eastAsiaTheme="majorEastAsia"/>
          <w:rtl/>
        </w:rPr>
        <w:t>מִצַּד</w:t>
      </w:r>
      <w:r>
        <w:t xml:space="preserve">, „von der Seite, zur Seite", </w:t>
      </w:r>
      <w:r>
        <w:rPr>
          <w:rStyle w:val="Fett"/>
          <w:rFonts w:eastAsiaTheme="majorEastAsia"/>
          <w:rtl/>
        </w:rPr>
        <w:t>אֲרוֹן בְּרִית־יְהוָה אֱלֹהֵיכֶם</w:t>
      </w:r>
      <w:r>
        <w:t xml:space="preserve">, mit </w:t>
      </w:r>
      <w:r>
        <w:rPr>
          <w:rStyle w:val="Fett"/>
          <w:rFonts w:eastAsiaTheme="majorEastAsia"/>
        </w:rPr>
        <w:t>Waw</w:t>
      </w:r>
      <w:r>
        <w:t xml:space="preserve"> consecutivum), </w:t>
      </w:r>
      <w:r>
        <w:rPr>
          <w:rStyle w:val="Fett"/>
          <w:rFonts w:eastAsiaTheme="majorEastAsia"/>
          <w:rtl/>
        </w:rPr>
        <w:t>וְהָיָה־שָׁם בְּךָ לְעֵד</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Perfekt, 3. Person Maskulinum Singular, </w:t>
      </w:r>
      <w:r>
        <w:rPr>
          <w:rStyle w:val="Fett"/>
          <w:rFonts w:eastAsiaTheme="majorEastAsia"/>
          <w:rtl/>
        </w:rPr>
        <w:t>שָׁם</w:t>
      </w:r>
      <w:r>
        <w:t xml:space="preserve">, </w:t>
      </w:r>
      <w:r>
        <w:rPr>
          <w:rStyle w:val="Fett"/>
          <w:rFonts w:eastAsiaTheme="majorEastAsia"/>
          <w:rtl/>
        </w:rPr>
        <w:t>בְּךָ</w:t>
      </w:r>
      <w:r>
        <w:t xml:space="preserve">, „gegen dich", </w:t>
      </w:r>
      <w:r>
        <w:rPr>
          <w:rStyle w:val="Fett"/>
          <w:rFonts w:eastAsiaTheme="majorEastAsia"/>
          <w:rtl/>
        </w:rPr>
        <w:t>לְעֵד</w:t>
      </w:r>
      <w:r>
        <w:t xml:space="preserve">, mit </w:t>
      </w:r>
      <w:r>
        <w:rPr>
          <w:rStyle w:val="Fett"/>
          <w:rFonts w:eastAsiaTheme="majorEastAsia"/>
        </w:rPr>
        <w:t>Waw</w:t>
      </w:r>
      <w:r>
        <w:t xml:space="preserve"> consecutivum).</w:t>
      </w:r>
    </w:p>
    <w:p w14:paraId="35EBB2AD" w14:textId="6F2FE021" w:rsidR="008A57FB" w:rsidRDefault="008A57FB" w:rsidP="008A57FB">
      <w:pPr>
        <w:pStyle w:val="whitespace-normal"/>
      </w:pPr>
      <w:r>
        <w:t xml:space="preserve">Der Vers enthält Moses Anweisung für die Aufbewahrung der </w:t>
      </w:r>
      <w:r w:rsidR="006D3FED">
        <w:t>Torah</w:t>
      </w:r>
      <w:r>
        <w:t xml:space="preserve">. Die beiden Imperative: </w:t>
      </w:r>
      <w:r>
        <w:rPr>
          <w:rStyle w:val="Fett"/>
          <w:rFonts w:eastAsiaTheme="majorEastAsia"/>
          <w:rtl/>
        </w:rPr>
        <w:t>לָקֹחַ אֵת סֵפֶר הַתּוֹרָה הַזֶּה וְשַׂמְתֶּם אֹתוֹ מִצַּד אֲרוֹן בְּרִית־יְהוָה אֱלֹהֵיכֶם</w:t>
      </w:r>
      <w:r>
        <w:rPr>
          <w:rtl/>
        </w:rPr>
        <w:t xml:space="preserve"> </w:t>
      </w:r>
      <w:r>
        <w:t xml:space="preserve">(„nehmt dieses Buch der </w:t>
      </w:r>
      <w:r w:rsidR="006D3FED">
        <w:t>Torah</w:t>
      </w:r>
      <w:r>
        <w:t xml:space="preserve"> und legt es zur Seite der Lade des Bundes </w:t>
      </w:r>
      <w:r w:rsidR="00DF3D1A">
        <w:t>JHWHs</w:t>
      </w:r>
      <w:r>
        <w:t xml:space="preserve">, eures Gottes"). Die Formulierung </w:t>
      </w:r>
      <w:r>
        <w:rPr>
          <w:rStyle w:val="Fett"/>
          <w:rFonts w:eastAsiaTheme="majorEastAsia"/>
          <w:rtl/>
        </w:rPr>
        <w:t>מִצַּד אֲרוֹן</w:t>
      </w:r>
      <w:r>
        <w:rPr>
          <w:rtl/>
        </w:rPr>
        <w:t xml:space="preserve"> </w:t>
      </w:r>
      <w:r>
        <w:t xml:space="preserve">(„zur Seite der Lade") bedeutet: neben die Bundeslade, nicht in sie hinein (in der Lade waren nur die steinernen Tafeln, vgl. Ex 25,16.21; 40,20; </w:t>
      </w:r>
      <w:r w:rsidR="00664EB6">
        <w:t>1Kön</w:t>
      </w:r>
      <w:r>
        <w:t xml:space="preserve"> 8,9; Hebr 9,4). Die Folge: </w:t>
      </w:r>
      <w:r>
        <w:rPr>
          <w:rStyle w:val="Fett"/>
          <w:rFonts w:eastAsiaTheme="majorEastAsia"/>
          <w:rtl/>
        </w:rPr>
        <w:t>וְהָיָה־שָׁם בְּךָ לְעֵד</w:t>
      </w:r>
      <w:r>
        <w:rPr>
          <w:rtl/>
        </w:rPr>
        <w:t xml:space="preserve"> </w:t>
      </w:r>
      <w:r>
        <w:t xml:space="preserve">(„und es wird dort sein gegen dich als Zeuge"). Das </w:t>
      </w:r>
      <w:r w:rsidR="006D3FED">
        <w:t>Torah</w:t>
      </w:r>
      <w:r>
        <w:t xml:space="preserve">buch soll wie das Lied (V. 19.21) als </w:t>
      </w:r>
      <w:r>
        <w:rPr>
          <w:rStyle w:val="Fett"/>
          <w:rFonts w:eastAsiaTheme="majorEastAsia"/>
          <w:rtl/>
        </w:rPr>
        <w:t>עֵד</w:t>
      </w:r>
      <w:r>
        <w:rPr>
          <w:rtl/>
        </w:rPr>
        <w:t xml:space="preserve"> </w:t>
      </w:r>
      <w:r>
        <w:t xml:space="preserve">(„Zeuge") dienen – es wird Israel anklagen, wenn sie vom Bund abfallen. Die Präposition </w:t>
      </w:r>
      <w:r>
        <w:rPr>
          <w:rStyle w:val="Fett"/>
          <w:rFonts w:eastAsiaTheme="majorEastAsia"/>
          <w:rtl/>
        </w:rPr>
        <w:t>בְּ</w:t>
      </w:r>
      <w:r>
        <w:rPr>
          <w:rtl/>
        </w:rPr>
        <w:t xml:space="preserve"> </w:t>
      </w:r>
      <w:r>
        <w:t xml:space="preserve">in </w:t>
      </w:r>
      <w:r>
        <w:rPr>
          <w:rStyle w:val="Fett"/>
          <w:rFonts w:eastAsiaTheme="majorEastAsia"/>
          <w:rtl/>
        </w:rPr>
        <w:t>בְּךָ</w:t>
      </w:r>
      <w:r>
        <w:rPr>
          <w:rtl/>
        </w:rPr>
        <w:t xml:space="preserve"> </w:t>
      </w:r>
      <w:r>
        <w:t>bedeutet hier „gegen" (wie in V. 19.21).</w:t>
      </w:r>
    </w:p>
    <w:p w14:paraId="7C1D193C" w14:textId="64E80B95" w:rsidR="00C367A0" w:rsidRDefault="00C367A0" w:rsidP="008A57FB">
      <w:pPr>
        <w:pStyle w:val="whitespace-normal"/>
      </w:pPr>
      <w:r>
        <w:rPr>
          <w:rStyle w:val="Fett"/>
        </w:rPr>
        <w:t>Die LXX</w:t>
      </w:r>
      <w:r>
        <w:t xml:space="preserve"> übersetzt </w:t>
      </w:r>
      <w:r>
        <w:rPr>
          <w:rtl/>
        </w:rPr>
        <w:t>מִצַּד אֲרוֹן</w:t>
      </w:r>
      <w:r>
        <w:t xml:space="preserve"> (an der Seite der Lade) mit </w:t>
      </w:r>
      <w:proofErr w:type="spellStart"/>
      <w:r>
        <w:t>ἐκ</w:t>
      </w:r>
      <w:proofErr w:type="spellEnd"/>
      <w:r>
        <w:t xml:space="preserve"> πλα</w:t>
      </w:r>
      <w:proofErr w:type="spellStart"/>
      <w:r>
        <w:t>γίων</w:t>
      </w:r>
      <w:proofErr w:type="spellEnd"/>
      <w:r>
        <w:t xml:space="preserve"> </w:t>
      </w:r>
      <w:proofErr w:type="spellStart"/>
      <w:r>
        <w:t>τῆς</w:t>
      </w:r>
      <w:proofErr w:type="spellEnd"/>
      <w:r>
        <w:t xml:space="preserve"> </w:t>
      </w:r>
      <w:proofErr w:type="spellStart"/>
      <w:r>
        <w:t>κι</w:t>
      </w:r>
      <w:proofErr w:type="spellEnd"/>
      <w:r>
        <w:t>βωτοῦ (von den Seiten der Lade) – wobei πλα</w:t>
      </w:r>
      <w:proofErr w:type="spellStart"/>
      <w:r>
        <w:t>γί</w:t>
      </w:r>
      <w:proofErr w:type="spellEnd"/>
      <w:r>
        <w:t>α "Seiten" bedeutet.</w:t>
      </w:r>
    </w:p>
    <w:p w14:paraId="2E325B8F" w14:textId="5FE92EA2" w:rsidR="008A57FB" w:rsidRDefault="008A57FB" w:rsidP="008A57FB">
      <w:pPr>
        <w:pStyle w:val="whitespace-normal"/>
      </w:pPr>
      <w:r>
        <w:rPr>
          <w:rStyle w:val="Fett"/>
          <w:rFonts w:eastAsiaTheme="majorEastAsia"/>
        </w:rPr>
        <w:t>Die Satzstruktur:</w:t>
      </w:r>
      <w:r>
        <w:t xml:space="preserve"> Zwei Imperative und Folge (nehmt dieses Buch der </w:t>
      </w:r>
      <w:r w:rsidR="006D3FED">
        <w:t>Torah</w:t>
      </w:r>
      <w:r>
        <w:t xml:space="preserve"> und legt es zur Seite der Lade des Bundes </w:t>
      </w:r>
      <w:r w:rsidR="00DF3D1A">
        <w:t>JHWHs</w:t>
      </w:r>
      <w:r>
        <w:t>, eures Gottes; und es wird dort sein gegen dich als Zeuge).</w:t>
      </w:r>
    </w:p>
    <w:p w14:paraId="626051E4" w14:textId="41F07027" w:rsidR="008A57FB" w:rsidRDefault="008A57FB" w:rsidP="00B77CC6">
      <w:pPr>
        <w:pStyle w:val="whitespace-normal"/>
      </w:pPr>
      <w:r>
        <w:rPr>
          <w:rStyle w:val="Fett"/>
          <w:rFonts w:eastAsiaTheme="majorEastAsia"/>
        </w:rPr>
        <w:t>Der Vers beschreibt:</w:t>
      </w:r>
      <w:r>
        <w:t xml:space="preserve"> Aufbewahrung der </w:t>
      </w:r>
      <w:r w:rsidR="006D3FED">
        <w:t>Torah</w:t>
      </w:r>
      <w:r>
        <w:t xml:space="preserve"> – neben der Bundeslade als Zeuge gegen Israel.</w:t>
      </w:r>
    </w:p>
    <w:p w14:paraId="243295DC" w14:textId="77777777" w:rsidR="008A57FB" w:rsidRPr="00257FCB" w:rsidRDefault="008A57FB" w:rsidP="00257FCB">
      <w:pPr>
        <w:pStyle w:val="Bibelberschrift"/>
        <w:rPr>
          <w:b w:val="0"/>
          <w:bCs/>
        </w:rPr>
      </w:pPr>
      <w:r w:rsidRPr="00257FCB">
        <w:rPr>
          <w:rStyle w:val="Fett"/>
          <w:b/>
          <w:bCs w:val="0"/>
        </w:rPr>
        <w:lastRenderedPageBreak/>
        <w:t>Deuteronomium 31,27</w:t>
      </w:r>
    </w:p>
    <w:p w14:paraId="43ABE054" w14:textId="77777777" w:rsidR="008A57FB" w:rsidRDefault="008A57FB" w:rsidP="008A57FB">
      <w:pPr>
        <w:pStyle w:val="whitespace-normal"/>
      </w:pPr>
      <w:r>
        <w:rPr>
          <w:rStyle w:val="Fett"/>
          <w:rFonts w:eastAsiaTheme="majorEastAsia"/>
        </w:rPr>
        <w:t>Hebräisch:</w:t>
      </w:r>
      <w:r>
        <w:t xml:space="preserve"> </w:t>
      </w:r>
      <w:r>
        <w:rPr>
          <w:rtl/>
        </w:rPr>
        <w:t>כִּי אָנֹכִי יָדַעְתִּי אֶת־מֶרְיְךָ וְאֶת־עָרְפְּךָ הַקָּשֶׁה הֵן בְּעוֹדֶנִּי חַי עִמָּכֶם הַיּוֹם מַמְרִים הֱיִתֶם עִם־יְהֹוָה וְאַף כִּי־אַחֲרֵי מוֹתִי׃</w:t>
      </w:r>
    </w:p>
    <w:p w14:paraId="33C9D454" w14:textId="77777777" w:rsidR="008A57FB" w:rsidRDefault="008A57FB" w:rsidP="008A57FB">
      <w:pPr>
        <w:pStyle w:val="whitespace-normal"/>
      </w:pPr>
      <w:r>
        <w:rPr>
          <w:rStyle w:val="Fett"/>
          <w:rFonts w:eastAsiaTheme="majorEastAsia"/>
        </w:rPr>
        <w:t>Deutsch:</w:t>
      </w:r>
      <w:r>
        <w:t xml:space="preserve"> Denn ich kenne deine Widerspenstigkeit und deinen harten Nacken. Siehe, während ich heute noch bei euch lebe, seid ihr widerspenstig gegen den Ewigen gewesen; und wie viel mehr nach meinem Tod!</w:t>
      </w:r>
    </w:p>
    <w:p w14:paraId="60E35DE0" w14:textId="77777777" w:rsidR="008A57FB" w:rsidRDefault="004F5CEB" w:rsidP="008A57FB">
      <w:r>
        <w:rPr>
          <w:noProof/>
        </w:rPr>
        <w:pict w14:anchorId="77664526">
          <v:rect id="_x0000_i1890" style="width:0;height:1.5pt" o:hralign="center" o:hrstd="t" o:hr="t" fillcolor="#a0a0a0" stroked="f"/>
        </w:pict>
      </w:r>
    </w:p>
    <w:p w14:paraId="0D953F88"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כִּי אָנֹכִי יָדַעְתִּי אֶת־מֶרְיְךָ וְאֶת־עָרְפְּךָ הַקָּשֶׁה הֵן בְּעוֹדֶנִּי חַי עִמָּכֶם הַיּוֹם מַמְרִים הֱיִתֶם עִם־יְהֹוָה וְאַף כִּי־אַחֲרֵי מוֹתִי</w:t>
      </w:r>
      <w:r>
        <w:rPr>
          <w:rtl/>
        </w:rPr>
        <w:t xml:space="preserve"> </w:t>
      </w:r>
      <w:r>
        <w:t xml:space="preserve">sind Begründung, Aussage und Folgerung: </w:t>
      </w:r>
      <w:r>
        <w:rPr>
          <w:rStyle w:val="Fett"/>
          <w:rFonts w:eastAsiaTheme="majorEastAsia"/>
          <w:rtl/>
        </w:rPr>
        <w:t>כִּי אָנֹכִי יָדַעְתִּי אֶת־מֶרְיְךָ וְאֶת־עָרְפְּךָ הַקָּשֶׁה</w:t>
      </w:r>
      <w:r>
        <w:rPr>
          <w:rtl/>
        </w:rPr>
        <w:t xml:space="preserve"> </w:t>
      </w:r>
      <w:r>
        <w:t xml:space="preserve">(Kausalsatz: </w:t>
      </w:r>
      <w:r>
        <w:rPr>
          <w:rStyle w:val="Fett"/>
          <w:rFonts w:eastAsiaTheme="majorEastAsia"/>
          <w:rtl/>
        </w:rPr>
        <w:t>כִּי אָנֹכִי</w:t>
      </w:r>
      <w:r>
        <w:t xml:space="preserve">, </w:t>
      </w:r>
      <w:r>
        <w:rPr>
          <w:rStyle w:val="Fett"/>
          <w:rFonts w:eastAsiaTheme="majorEastAsia"/>
          <w:rtl/>
        </w:rPr>
        <w:t>ידע</w:t>
      </w:r>
      <w:r>
        <w:t xml:space="preserve">, Qal Perfekt, 1. Person Singular, Objektpartikel </w:t>
      </w:r>
      <w:r>
        <w:rPr>
          <w:rStyle w:val="Fett"/>
          <w:rFonts w:eastAsiaTheme="majorEastAsia"/>
          <w:rtl/>
        </w:rPr>
        <w:t>אֵת</w:t>
      </w:r>
      <w:r>
        <w:rPr>
          <w:rtl/>
        </w:rPr>
        <w:t xml:space="preserve"> </w:t>
      </w:r>
      <w:r>
        <w:t xml:space="preserve">mit </w:t>
      </w:r>
      <w:r>
        <w:rPr>
          <w:rStyle w:val="Fett"/>
          <w:rFonts w:eastAsiaTheme="majorEastAsia"/>
          <w:rtl/>
        </w:rPr>
        <w:t>מְרִי</w:t>
      </w:r>
      <w:r>
        <w:t xml:space="preserve">, „Widerspenstigkeit, Rebellion", mit Suffix 2. Person Maskulinum Singular, koordiniert durch </w:t>
      </w:r>
      <w:r>
        <w:rPr>
          <w:rStyle w:val="Fett"/>
          <w:rFonts w:eastAsiaTheme="majorEastAsia"/>
          <w:rtl/>
        </w:rPr>
        <w:t>וְ</w:t>
      </w:r>
      <w:r>
        <w:rPr>
          <w:rtl/>
        </w:rPr>
        <w:t xml:space="preserve"> </w:t>
      </w:r>
      <w:r>
        <w:t xml:space="preserve">mit Objektpartikel </w:t>
      </w:r>
      <w:r>
        <w:rPr>
          <w:rStyle w:val="Fett"/>
          <w:rFonts w:eastAsiaTheme="majorEastAsia"/>
          <w:rtl/>
        </w:rPr>
        <w:t>אֵת</w:t>
      </w:r>
      <w:r>
        <w:t xml:space="preserve">, </w:t>
      </w:r>
      <w:r>
        <w:rPr>
          <w:rStyle w:val="Fett"/>
          <w:rFonts w:eastAsiaTheme="majorEastAsia"/>
          <w:rtl/>
        </w:rPr>
        <w:t>עֹרֶף</w:t>
      </w:r>
      <w:r>
        <w:t xml:space="preserve">, „Nacken", mit Suffix, </w:t>
      </w:r>
      <w:r>
        <w:rPr>
          <w:rStyle w:val="Fett"/>
          <w:rFonts w:eastAsiaTheme="majorEastAsia"/>
          <w:rtl/>
        </w:rPr>
        <w:t>קָשֶׁה</w:t>
      </w:r>
      <w:r>
        <w:t xml:space="preserve">, „hart, verstockt", mit Artikel), </w:t>
      </w:r>
      <w:r>
        <w:rPr>
          <w:rStyle w:val="Fett"/>
          <w:rFonts w:eastAsiaTheme="majorEastAsia"/>
          <w:rtl/>
        </w:rPr>
        <w:t>הֵן בְּעוֹדֶנִּי חַי עִמָּכֶם הַיּוֹם מַמְרִים הֱיִתֶם עִם־יְהֹוָה</w:t>
      </w:r>
      <w:r>
        <w:rPr>
          <w:rtl/>
        </w:rPr>
        <w:t xml:space="preserve"> </w:t>
      </w:r>
      <w:r>
        <w:t xml:space="preserve">(Interjektion </w:t>
      </w:r>
      <w:r>
        <w:rPr>
          <w:rStyle w:val="Fett"/>
          <w:rFonts w:eastAsiaTheme="majorEastAsia"/>
          <w:rtl/>
        </w:rPr>
        <w:t>הֵן</w:t>
      </w:r>
      <w:r>
        <w:t xml:space="preserve">, Temporalsatz: </w:t>
      </w:r>
      <w:r>
        <w:rPr>
          <w:rStyle w:val="Fett"/>
          <w:rFonts w:eastAsiaTheme="majorEastAsia"/>
          <w:rtl/>
        </w:rPr>
        <w:t>בְּעוֹדֶנִּי חַי עִמָּכֶם הַיּוֹם</w:t>
      </w:r>
      <w:r>
        <w:rPr>
          <w:rtl/>
        </w:rPr>
        <w:t xml:space="preserve"> </w:t>
      </w:r>
      <w:r>
        <w:t xml:space="preserve">mit </w:t>
      </w:r>
      <w:r>
        <w:rPr>
          <w:rStyle w:val="Fett"/>
          <w:rFonts w:eastAsiaTheme="majorEastAsia"/>
          <w:rtl/>
        </w:rPr>
        <w:t>בְּ</w:t>
      </w:r>
      <w:r>
        <w:t xml:space="preserve">, </w:t>
      </w:r>
      <w:r>
        <w:rPr>
          <w:rStyle w:val="Fett"/>
          <w:rFonts w:eastAsiaTheme="majorEastAsia"/>
          <w:rtl/>
        </w:rPr>
        <w:t>עוֹד</w:t>
      </w:r>
      <w:r>
        <w:rPr>
          <w:rtl/>
        </w:rPr>
        <w:t xml:space="preserve"> </w:t>
      </w:r>
      <w:r>
        <w:t xml:space="preserve">mit Suffix 1. Person Singular, </w:t>
      </w:r>
      <w:r>
        <w:rPr>
          <w:rStyle w:val="Fett"/>
          <w:rFonts w:eastAsiaTheme="majorEastAsia"/>
          <w:rtl/>
        </w:rPr>
        <w:t>חַי</w:t>
      </w:r>
      <w:r>
        <w:t xml:space="preserve">, Adjektiv, </w:t>
      </w:r>
      <w:r>
        <w:rPr>
          <w:rStyle w:val="Fett"/>
          <w:rFonts w:eastAsiaTheme="majorEastAsia"/>
          <w:rtl/>
        </w:rPr>
        <w:t>עִמָּכֶם הַיּוֹם</w:t>
      </w:r>
      <w:r>
        <w:t xml:space="preserve">, Aussage: </w:t>
      </w:r>
      <w:r>
        <w:rPr>
          <w:rStyle w:val="Fett"/>
          <w:rFonts w:eastAsiaTheme="majorEastAsia"/>
          <w:rtl/>
        </w:rPr>
        <w:t>מרה</w:t>
      </w:r>
      <w:r>
        <w:t xml:space="preserve">, Hiphil Partizip Maskulinum Plural, „widerspenstig sein, rebellieren", </w:t>
      </w:r>
      <w:r>
        <w:rPr>
          <w:rStyle w:val="Fett"/>
          <w:rFonts w:eastAsiaTheme="majorEastAsia"/>
          <w:rtl/>
        </w:rPr>
        <w:t>היה</w:t>
      </w:r>
      <w:r>
        <w:t xml:space="preserve">, Qal Perfekt, 2. Person Plural, </w:t>
      </w:r>
      <w:r>
        <w:rPr>
          <w:rStyle w:val="Fett"/>
          <w:rFonts w:eastAsiaTheme="majorEastAsia"/>
          <w:rtl/>
        </w:rPr>
        <w:t>עִם־יְהֹוָה</w:t>
      </w:r>
      <w:r>
        <w:t xml:space="preserve">), </w:t>
      </w:r>
      <w:r>
        <w:rPr>
          <w:rStyle w:val="Fett"/>
          <w:rFonts w:eastAsiaTheme="majorEastAsia"/>
          <w:rtl/>
        </w:rPr>
        <w:t>וְאַף כִּי־אַחֲרֵי מוֹתִי</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אַף כִּי</w:t>
      </w:r>
      <w:r>
        <w:t xml:space="preserve">, „wie viel mehr wenn", </w:t>
      </w:r>
      <w:r>
        <w:rPr>
          <w:rStyle w:val="Fett"/>
          <w:rFonts w:eastAsiaTheme="majorEastAsia"/>
          <w:rtl/>
        </w:rPr>
        <w:t>אַחֲרֵי מָוֶת</w:t>
      </w:r>
      <w:r>
        <w:rPr>
          <w:rtl/>
        </w:rPr>
        <w:t xml:space="preserve"> </w:t>
      </w:r>
      <w:r>
        <w:t>mit Suffix 1. Person Singular).</w:t>
      </w:r>
    </w:p>
    <w:p w14:paraId="31B30020" w14:textId="109ECE2F" w:rsidR="008A57FB" w:rsidRDefault="008A57FB" w:rsidP="008A57FB">
      <w:pPr>
        <w:pStyle w:val="whitespace-normal"/>
      </w:pPr>
      <w:r>
        <w:t xml:space="preserve">Der Vers begründet, warum die </w:t>
      </w:r>
      <w:r w:rsidR="006D3FED">
        <w:t>Torah</w:t>
      </w:r>
      <w:r>
        <w:t xml:space="preserve"> als Zeuge nötig ist. Die Begründung: </w:t>
      </w:r>
      <w:r>
        <w:rPr>
          <w:rStyle w:val="Fett"/>
          <w:rFonts w:eastAsiaTheme="majorEastAsia"/>
          <w:rtl/>
        </w:rPr>
        <w:t>כִּי אָנֹכִי יָדַעְתִּי אֶת־מֶרְיְךָ וְאֶת־עָרְפְּךָ הַקָּשֶׁה</w:t>
      </w:r>
      <w:r>
        <w:rPr>
          <w:rtl/>
        </w:rPr>
        <w:t xml:space="preserve"> </w:t>
      </w:r>
      <w:r>
        <w:t xml:space="preserve">(„denn ich kenne deine Widerspenstigkeit und deinen harten Nacken"). Der Begriff </w:t>
      </w:r>
      <w:r>
        <w:rPr>
          <w:rStyle w:val="Fett"/>
          <w:rFonts w:eastAsiaTheme="majorEastAsia"/>
          <w:rtl/>
        </w:rPr>
        <w:t>מְרִי</w:t>
      </w:r>
      <w:r>
        <w:rPr>
          <w:rtl/>
        </w:rPr>
        <w:t xml:space="preserve"> </w:t>
      </w:r>
      <w:r>
        <w:t xml:space="preserve">(„Widerspenstigkeit") kommt oft vor (vgl. 9,7.23-24; Ps 68,7; Jes 30,9; </w:t>
      </w:r>
      <w:r w:rsidR="00BF3748">
        <w:t>Hes</w:t>
      </w:r>
      <w:r>
        <w:t xml:space="preserve"> 2,5-8; 3,9.26-27; 12,2-3.9.25; 17,12; 24,3; 44,6). Die Formulierung </w:t>
      </w:r>
      <w:r>
        <w:rPr>
          <w:rStyle w:val="Fett"/>
          <w:rFonts w:eastAsiaTheme="majorEastAsia"/>
          <w:rtl/>
        </w:rPr>
        <w:t>עֹרֶף קָשֶׁה</w:t>
      </w:r>
      <w:r>
        <w:rPr>
          <w:rtl/>
        </w:rPr>
        <w:t xml:space="preserve"> </w:t>
      </w:r>
      <w:r>
        <w:t xml:space="preserve">(„harter Nacken") ist die klassische Metapher für Verstocktheit (vgl. 9,6.13; 10,16; Ex 32,9; 33,3.5; 34,9; </w:t>
      </w:r>
      <w:r w:rsidR="00664EB6">
        <w:t>2Kön</w:t>
      </w:r>
      <w:r>
        <w:t xml:space="preserve"> 17,14; </w:t>
      </w:r>
      <w:r w:rsidR="00664EB6">
        <w:t>2Chr</w:t>
      </w:r>
      <w:r>
        <w:t xml:space="preserve"> 30,8; 36,13; Neh 9,16-17.29; Jer 7,26; 17,23; 19,15). Die Aussage: </w:t>
      </w:r>
      <w:r>
        <w:rPr>
          <w:rStyle w:val="Fett"/>
          <w:rFonts w:eastAsiaTheme="majorEastAsia"/>
          <w:rtl/>
        </w:rPr>
        <w:t>הֵן בְּעוֹדֶנִּי חַי עִמָּכֶם הַיּוֹם מַמְרִים הֱיִתֶם עִם־יְהֹוָה</w:t>
      </w:r>
      <w:r>
        <w:rPr>
          <w:rtl/>
        </w:rPr>
        <w:t xml:space="preserve"> </w:t>
      </w:r>
      <w:r>
        <w:t xml:space="preserve">(„siehe, während ich noch lebe bei euch heute, widerspenstig seid ihr gewesen gegen </w:t>
      </w:r>
      <w:r w:rsidR="00DF3D1A">
        <w:t xml:space="preserve">JHWH </w:t>
      </w:r>
      <w:r>
        <w:t xml:space="preserve">"). Israels Geschichte unter Mose war von ständiger Rebellion geprägt (vgl. 9,7.22-24; Ex 14,11-12; 15,24; 16,2-3; 17,2-3; 32,1-6; Num 11,1-6; 12,1-2; 14,1-4; 16,1-3.41; 20,2-5; 21,4-5; 25,1-3). Die Folgerung: </w:t>
      </w:r>
      <w:r>
        <w:rPr>
          <w:rStyle w:val="Fett"/>
          <w:rFonts w:eastAsiaTheme="majorEastAsia"/>
          <w:rtl/>
        </w:rPr>
        <w:t>וְאַף כִּי־אַחֲרֵי מוֹתִי</w:t>
      </w:r>
      <w:r>
        <w:rPr>
          <w:rtl/>
        </w:rPr>
        <w:t xml:space="preserve"> </w:t>
      </w:r>
      <w:r>
        <w:t xml:space="preserve">(„und wie viel mehr nach meinem Tod"). Die Formulierung </w:t>
      </w:r>
      <w:r>
        <w:rPr>
          <w:rStyle w:val="Fett"/>
          <w:rFonts w:eastAsiaTheme="majorEastAsia"/>
          <w:rtl/>
        </w:rPr>
        <w:t>אַף כִּי</w:t>
      </w:r>
      <w:r>
        <w:rPr>
          <w:rtl/>
        </w:rPr>
        <w:t xml:space="preserve"> </w:t>
      </w:r>
      <w:r>
        <w:t>(„wie viel mehr wenn") ist eine rhetorische Steigerung – wenn Israel schon unter Moses Führung rebellisch war, um wie viel mehr nach seinem Tod!</w:t>
      </w:r>
    </w:p>
    <w:p w14:paraId="71159982" w14:textId="7F441987" w:rsidR="00C367A0" w:rsidRDefault="00C367A0" w:rsidP="008A57FB">
      <w:pPr>
        <w:pStyle w:val="whitespace-normal"/>
      </w:pPr>
      <w:r>
        <w:rPr>
          <w:rStyle w:val="Fett"/>
        </w:rPr>
        <w:t>Die LXX</w:t>
      </w:r>
      <w:r>
        <w:t xml:space="preserve"> übersetzt </w:t>
      </w:r>
      <w:r>
        <w:rPr>
          <w:rtl/>
        </w:rPr>
        <w:t>מֶרְיְךָ</w:t>
      </w:r>
      <w:r>
        <w:t xml:space="preserve"> (deine Widerspenstigkeit) mit </w:t>
      </w:r>
      <w:proofErr w:type="spellStart"/>
      <w:r>
        <w:t>τὸν</w:t>
      </w:r>
      <w:proofErr w:type="spellEnd"/>
      <w:r>
        <w:t xml:space="preserve"> </w:t>
      </w:r>
      <w:proofErr w:type="spellStart"/>
      <w:r>
        <w:t>ἐρεθισμόν</w:t>
      </w:r>
      <w:proofErr w:type="spellEnd"/>
      <w:r>
        <w:t xml:space="preserve"> </w:t>
      </w:r>
      <w:proofErr w:type="spellStart"/>
      <w:r>
        <w:t>σου</w:t>
      </w:r>
      <w:proofErr w:type="spellEnd"/>
      <w:r>
        <w:t xml:space="preserve"> (deine Reizbarkeit/Aufsässigkeit). Die Wendung </w:t>
      </w:r>
      <w:r>
        <w:rPr>
          <w:rtl/>
        </w:rPr>
        <w:t>וְאַף כִּי־אַחֲרֵי מוֹתִי</w:t>
      </w:r>
      <w:r>
        <w:t xml:space="preserve"> (und wieviel mehr nach meinem Tod) wird mit π</w:t>
      </w:r>
      <w:proofErr w:type="spellStart"/>
      <w:r>
        <w:t>ῶς</w:t>
      </w:r>
      <w:proofErr w:type="spellEnd"/>
      <w:r>
        <w:t xml:space="preserve"> </w:t>
      </w:r>
      <w:proofErr w:type="spellStart"/>
      <w:r>
        <w:t>οὐχὶ</w:t>
      </w:r>
      <w:proofErr w:type="spellEnd"/>
      <w:r>
        <w:t xml:space="preserve"> καὶ </w:t>
      </w:r>
      <w:proofErr w:type="spellStart"/>
      <w:r>
        <w:t>ἔσχ</w:t>
      </w:r>
      <w:proofErr w:type="spellEnd"/>
      <w:r>
        <w:t xml:space="preserve">ατον </w:t>
      </w:r>
      <w:proofErr w:type="spellStart"/>
      <w:r>
        <w:t>τοῦ</w:t>
      </w:r>
      <w:proofErr w:type="spellEnd"/>
      <w:r>
        <w:t xml:space="preserve"> θα</w:t>
      </w:r>
      <w:proofErr w:type="spellStart"/>
      <w:r>
        <w:t>νάτου</w:t>
      </w:r>
      <w:proofErr w:type="spellEnd"/>
      <w:r>
        <w:t xml:space="preserve"> </w:t>
      </w:r>
      <w:proofErr w:type="spellStart"/>
      <w:r>
        <w:t>μου</w:t>
      </w:r>
      <w:proofErr w:type="spellEnd"/>
      <w:r>
        <w:t xml:space="preserve"> (wie nicht auch [erst] nach meinem Tod) übersetzt – eine rhetorische Frage.</w:t>
      </w:r>
    </w:p>
    <w:p w14:paraId="3B189C8C" w14:textId="67239828" w:rsidR="008A57FB" w:rsidRDefault="008A57FB" w:rsidP="008A57FB">
      <w:pPr>
        <w:pStyle w:val="whitespace-normal"/>
      </w:pPr>
      <w:r>
        <w:rPr>
          <w:rStyle w:val="Fett"/>
          <w:rFonts w:eastAsiaTheme="majorEastAsia"/>
        </w:rPr>
        <w:t>Die Satzstruktur:</w:t>
      </w:r>
      <w:r>
        <w:t xml:space="preserve"> Begründung, Aussage und Folgerung (denn ich kenne deine Widerspenstigkeit und deinen harten Nacken. Siehe, während ich noch lebe bei euch heute, widerspenstig seid ihr gewesen gegen </w:t>
      </w:r>
      <w:r w:rsidR="00DF3D1A">
        <w:t>JHWH</w:t>
      </w:r>
      <w:r>
        <w:t>; und wie viel mehr nach meinem Tod).</w:t>
      </w:r>
    </w:p>
    <w:p w14:paraId="72651951" w14:textId="3FFEC8DE" w:rsidR="008A57FB" w:rsidRDefault="008A57FB" w:rsidP="00B77CC6">
      <w:pPr>
        <w:pStyle w:val="whitespace-normal"/>
      </w:pPr>
      <w:r>
        <w:rPr>
          <w:rStyle w:val="Fett"/>
          <w:rFonts w:eastAsiaTheme="majorEastAsia"/>
        </w:rPr>
        <w:t>Der Vers beschreibt:</w:t>
      </w:r>
      <w:r>
        <w:t xml:space="preserve"> Begründung – Israel war schon unter Mose widerspenstig, wird es nach seinem Tod noch mehr sein.</w:t>
      </w:r>
    </w:p>
    <w:p w14:paraId="2B8926CC" w14:textId="77777777" w:rsidR="008A57FB" w:rsidRPr="00257FCB" w:rsidRDefault="008A57FB" w:rsidP="00257FCB">
      <w:pPr>
        <w:pStyle w:val="Bibelberschrift"/>
        <w:rPr>
          <w:b w:val="0"/>
          <w:bCs/>
        </w:rPr>
      </w:pPr>
      <w:r w:rsidRPr="00257FCB">
        <w:rPr>
          <w:rStyle w:val="Fett"/>
          <w:b/>
          <w:bCs w:val="0"/>
        </w:rPr>
        <w:lastRenderedPageBreak/>
        <w:t>Deuteronomium 31,28</w:t>
      </w:r>
    </w:p>
    <w:p w14:paraId="47A22904" w14:textId="77777777" w:rsidR="008A57FB" w:rsidRDefault="008A57FB" w:rsidP="008A57FB">
      <w:pPr>
        <w:pStyle w:val="whitespace-normal"/>
      </w:pPr>
      <w:r>
        <w:rPr>
          <w:rStyle w:val="Fett"/>
          <w:rFonts w:eastAsiaTheme="majorEastAsia"/>
        </w:rPr>
        <w:t>Hebräisch:</w:t>
      </w:r>
      <w:r>
        <w:t xml:space="preserve"> </w:t>
      </w:r>
      <w:r>
        <w:rPr>
          <w:rtl/>
        </w:rPr>
        <w:t>הַקְהִילוּ אֵלַי אֶת־כָּל־זִקְנֵי שִׁבְטֵיכֶם וְשֹׁטְרֵיכֶם וַאֲדַבְּרָה בְאָזְנֵיהֶם אֵת הַדְּבָרִים הָאֵלֶּה וְאָעִידָה בָּם אֶת־הַשָּׁמַיִם וְאֶת־הָאָרֶץ׃</w:t>
      </w:r>
    </w:p>
    <w:p w14:paraId="330C4E2E" w14:textId="77777777" w:rsidR="008A57FB" w:rsidRDefault="008A57FB" w:rsidP="008A57FB">
      <w:pPr>
        <w:pStyle w:val="whitespace-normal"/>
      </w:pPr>
      <w:r>
        <w:rPr>
          <w:rStyle w:val="Fett"/>
          <w:rFonts w:eastAsiaTheme="majorEastAsia"/>
        </w:rPr>
        <w:t>Deutsch:</w:t>
      </w:r>
      <w:r>
        <w:t xml:space="preserve"> Versammelt zu mir alle Ältesten eurer Stämme und eure Vorsteher, dass ich diese Worte vor ihren Ohren rede und die Himmel und die Erde gegen sie zu Zeugen nehme.</w:t>
      </w:r>
    </w:p>
    <w:p w14:paraId="7A1FF860" w14:textId="77777777" w:rsidR="008A57FB" w:rsidRDefault="004F5CEB" w:rsidP="008A57FB">
      <w:r>
        <w:rPr>
          <w:noProof/>
        </w:rPr>
        <w:pict w14:anchorId="6FA3F660">
          <v:rect id="_x0000_i1891" style="width:0;height:1.5pt" o:hralign="center" o:hrstd="t" o:hr="t" fillcolor="#a0a0a0" stroked="f"/>
        </w:pict>
      </w:r>
    </w:p>
    <w:p w14:paraId="37886786"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הַקְהִילוּ אֵלַי אֶת־כָּל־זִקְנֵי שִׁבְטֵיכֶם וְשֹׁטְרֵיכֶם וַאֲדַבְּרָה בְאָזְנֵיהֶם אֵת הַדְּבָרִים הָאֵלֶּה וְאָעִידָה בָּם אֶת־הַשָּׁמַיִם וְאֶת־הָאָרֶץ</w:t>
      </w:r>
      <w:r>
        <w:rPr>
          <w:rtl/>
        </w:rPr>
        <w:t xml:space="preserve"> </w:t>
      </w:r>
      <w:r>
        <w:t xml:space="preserve">sind Imperativ und zwei Aussagen: </w:t>
      </w:r>
      <w:r>
        <w:rPr>
          <w:rStyle w:val="Fett"/>
          <w:rFonts w:eastAsiaTheme="majorEastAsia"/>
          <w:rtl/>
        </w:rPr>
        <w:t>הַקְהִילוּ אֵלַי אֶת־כָּל־זִקְנֵי שִׁבְטֵיכֶם וְשֹׁטְרֵיכֶם</w:t>
      </w:r>
      <w:r>
        <w:rPr>
          <w:rtl/>
        </w:rPr>
        <w:t xml:space="preserve"> </w:t>
      </w:r>
      <w:r>
        <w:t>(</w:t>
      </w:r>
      <w:r>
        <w:rPr>
          <w:rStyle w:val="Fett"/>
          <w:rFonts w:eastAsiaTheme="majorEastAsia"/>
          <w:rtl/>
        </w:rPr>
        <w:t>קהל</w:t>
      </w:r>
      <w:r>
        <w:t xml:space="preserve">, Hiphil Imperativ, Maskulinum Plural, </w:t>
      </w:r>
      <w:r>
        <w:rPr>
          <w:rStyle w:val="Fett"/>
          <w:rFonts w:eastAsiaTheme="majorEastAsia"/>
          <w:rtl/>
        </w:rPr>
        <w:t>אֵלַי</w:t>
      </w:r>
      <w:r>
        <w:t xml:space="preserve">, Objektpartikel </w:t>
      </w:r>
      <w:r>
        <w:rPr>
          <w:rStyle w:val="Fett"/>
          <w:rFonts w:eastAsiaTheme="majorEastAsia"/>
          <w:rtl/>
        </w:rPr>
        <w:t>אֵת</w:t>
      </w:r>
      <w:r>
        <w:rPr>
          <w:rtl/>
        </w:rPr>
        <w:t xml:space="preserve"> </w:t>
      </w:r>
      <w:r>
        <w:t xml:space="preserve">mit </w:t>
      </w:r>
      <w:r>
        <w:rPr>
          <w:rStyle w:val="Fett"/>
          <w:rFonts w:eastAsiaTheme="majorEastAsia"/>
          <w:rtl/>
        </w:rPr>
        <w:t>כָּל־זָקֵן</w:t>
      </w:r>
      <w:r>
        <w:rPr>
          <w:rtl/>
        </w:rPr>
        <w:t xml:space="preserve"> </w:t>
      </w:r>
      <w:r>
        <w:t xml:space="preserve">Plural Construct mit </w:t>
      </w:r>
      <w:r>
        <w:rPr>
          <w:rStyle w:val="Fett"/>
          <w:rFonts w:eastAsiaTheme="majorEastAsia"/>
          <w:rtl/>
        </w:rPr>
        <w:t>שֵׁבֶט</w:t>
      </w:r>
      <w:r>
        <w:rPr>
          <w:rtl/>
        </w:rPr>
        <w:t xml:space="preserve"> </w:t>
      </w:r>
      <w:r>
        <w:t xml:space="preserve">Plural mit Suffix 2. Person Maskulinum Plural, koordiniert durch </w:t>
      </w:r>
      <w:r>
        <w:rPr>
          <w:rStyle w:val="Fett"/>
          <w:rFonts w:eastAsiaTheme="majorEastAsia"/>
          <w:rtl/>
        </w:rPr>
        <w:t>וְ</w:t>
      </w:r>
      <w:r>
        <w:rPr>
          <w:rtl/>
        </w:rPr>
        <w:t xml:space="preserve"> </w:t>
      </w:r>
      <w:r>
        <w:t xml:space="preserve">mit </w:t>
      </w:r>
      <w:r>
        <w:rPr>
          <w:rStyle w:val="Fett"/>
          <w:rFonts w:eastAsiaTheme="majorEastAsia"/>
          <w:rtl/>
        </w:rPr>
        <w:t>שֹׁטֵר</w:t>
      </w:r>
      <w:r>
        <w:t xml:space="preserve">, „Vorsteher, Aufseher", Plural mit Suffix), </w:t>
      </w:r>
      <w:r>
        <w:rPr>
          <w:rStyle w:val="Fett"/>
          <w:rFonts w:eastAsiaTheme="majorEastAsia"/>
          <w:rtl/>
        </w:rPr>
        <w:t>וַאֲדַבְּרָה בְאָזְנֵיהֶם אֵת הַדְּבָרִים הָאֵלֶּה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דבר</w:t>
      </w:r>
      <w:r>
        <w:t xml:space="preserve">, Piel Imperfekt (Kohortativ), 1. Person Singular, </w:t>
      </w:r>
      <w:r>
        <w:rPr>
          <w:rStyle w:val="Fett"/>
          <w:rFonts w:eastAsiaTheme="majorEastAsia"/>
          <w:rtl/>
        </w:rPr>
        <w:t>בְּאָזְנֵיהֶם</w:t>
      </w:r>
      <w:r>
        <w:t xml:space="preserve">, Objektpartikel </w:t>
      </w:r>
      <w:r>
        <w:rPr>
          <w:rStyle w:val="Fett"/>
          <w:rFonts w:eastAsiaTheme="majorEastAsia"/>
          <w:rtl/>
        </w:rPr>
        <w:t>אֵת</w:t>
      </w:r>
      <w:r>
        <w:rPr>
          <w:rtl/>
        </w:rPr>
        <w:t xml:space="preserve"> </w:t>
      </w:r>
      <w:r>
        <w:t xml:space="preserve">mit </w:t>
      </w:r>
      <w:r>
        <w:rPr>
          <w:rStyle w:val="Fett"/>
          <w:rFonts w:eastAsiaTheme="majorEastAsia"/>
          <w:rtl/>
        </w:rPr>
        <w:t>דָּבָר</w:t>
      </w:r>
      <w:r>
        <w:rPr>
          <w:rtl/>
        </w:rPr>
        <w:t xml:space="preserve"> </w:t>
      </w:r>
      <w:r>
        <w:t xml:space="preserve">Plural mit Artikel, </w:t>
      </w:r>
      <w:r>
        <w:rPr>
          <w:rStyle w:val="Fett"/>
          <w:rFonts w:eastAsiaTheme="majorEastAsia"/>
          <w:rtl/>
        </w:rPr>
        <w:t>אֵלֶּה</w:t>
      </w:r>
      <w:r>
        <w:t xml:space="preserve">, mit </w:t>
      </w:r>
      <w:r>
        <w:rPr>
          <w:rStyle w:val="Fett"/>
          <w:rFonts w:eastAsiaTheme="majorEastAsia"/>
        </w:rPr>
        <w:t>Waw</w:t>
      </w:r>
      <w:r>
        <w:t xml:space="preserve"> consecutivum), </w:t>
      </w:r>
      <w:r>
        <w:rPr>
          <w:rStyle w:val="Fett"/>
          <w:rFonts w:eastAsiaTheme="majorEastAsia"/>
          <w:rtl/>
        </w:rPr>
        <w:t>וְאָעִידָה בָּם אֶת־הַשָּׁמַיִם וְאֶת־הָאָרֶץ</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עוד</w:t>
      </w:r>
      <w:r>
        <w:t xml:space="preserve">, Hiphil Imperfekt (Kohortativ), 1. Person Singular, Präposition </w:t>
      </w:r>
      <w:r>
        <w:rPr>
          <w:rStyle w:val="Fett"/>
          <w:rFonts w:eastAsiaTheme="majorEastAsia"/>
          <w:rtl/>
        </w:rPr>
        <w:t>בְּ</w:t>
      </w:r>
      <w:r>
        <w:rPr>
          <w:rtl/>
        </w:rPr>
        <w:t xml:space="preserve"> </w:t>
      </w:r>
      <w:r>
        <w:t xml:space="preserve">mit Suffix 3. Person Maskulinum Plural, Objektpartikel </w:t>
      </w:r>
      <w:r>
        <w:rPr>
          <w:rStyle w:val="Fett"/>
          <w:rFonts w:eastAsiaTheme="majorEastAsia"/>
          <w:rtl/>
        </w:rPr>
        <w:t>אֵת</w:t>
      </w:r>
      <w:r>
        <w:rPr>
          <w:rtl/>
        </w:rPr>
        <w:t xml:space="preserve"> </w:t>
      </w:r>
      <w:r>
        <w:t xml:space="preserve">mit </w:t>
      </w:r>
      <w:r>
        <w:rPr>
          <w:rStyle w:val="Fett"/>
          <w:rFonts w:eastAsiaTheme="majorEastAsia"/>
          <w:rtl/>
        </w:rPr>
        <w:t>שָׁמַיִם</w:t>
      </w:r>
      <w:r>
        <w:rPr>
          <w:rtl/>
        </w:rPr>
        <w:t xml:space="preserve"> </w:t>
      </w:r>
      <w:r>
        <w:t xml:space="preserve">mit Artikel, koordiniert mit Objektpartikel </w:t>
      </w:r>
      <w:r>
        <w:rPr>
          <w:rStyle w:val="Fett"/>
          <w:rFonts w:eastAsiaTheme="majorEastAsia"/>
          <w:rtl/>
        </w:rPr>
        <w:t>אֵת</w:t>
      </w:r>
      <w:r>
        <w:t xml:space="preserve">, </w:t>
      </w:r>
      <w:r>
        <w:rPr>
          <w:rStyle w:val="Fett"/>
          <w:rFonts w:eastAsiaTheme="majorEastAsia"/>
          <w:rtl/>
        </w:rPr>
        <w:t>אֶרֶץ</w:t>
      </w:r>
      <w:r>
        <w:rPr>
          <w:rtl/>
        </w:rPr>
        <w:t xml:space="preserve"> </w:t>
      </w:r>
      <w:r>
        <w:t xml:space="preserve">mit Artikel, mit </w:t>
      </w:r>
      <w:r>
        <w:rPr>
          <w:rStyle w:val="Fett"/>
          <w:rFonts w:eastAsiaTheme="majorEastAsia"/>
        </w:rPr>
        <w:t>Waw</w:t>
      </w:r>
      <w:r>
        <w:t xml:space="preserve"> consecutivum).</w:t>
      </w:r>
    </w:p>
    <w:p w14:paraId="06F841D8" w14:textId="6AE932BE" w:rsidR="008A57FB" w:rsidRDefault="008A57FB" w:rsidP="008A57FB">
      <w:pPr>
        <w:pStyle w:val="whitespace-normal"/>
      </w:pPr>
      <w:r>
        <w:t xml:space="preserve">Der Vers beschreibt Moses Vorbereitung für sein Abschiedslied. Der Imperativ: </w:t>
      </w:r>
      <w:r>
        <w:rPr>
          <w:rStyle w:val="Fett"/>
          <w:rFonts w:eastAsiaTheme="majorEastAsia"/>
          <w:rtl/>
        </w:rPr>
        <w:t>הַקְהִילוּ אֵלַי אֶת־כָּל־זִקְנֵי שִׁבְטֵיכֶם וְשֹׁטְרֵיכֶם</w:t>
      </w:r>
      <w:r>
        <w:rPr>
          <w:rtl/>
        </w:rPr>
        <w:t xml:space="preserve"> </w:t>
      </w:r>
      <w:r>
        <w:t xml:space="preserve">(„versammelt zu mir alle Ältesten eurer Stämme und eure Vorsteher"). Die beiden Gruppen </w:t>
      </w:r>
      <w:r>
        <w:rPr>
          <w:rStyle w:val="Fett"/>
          <w:rFonts w:eastAsiaTheme="majorEastAsia"/>
          <w:rtl/>
        </w:rPr>
        <w:t>זְקֵנִים</w:t>
      </w:r>
      <w:r>
        <w:rPr>
          <w:rtl/>
        </w:rPr>
        <w:t xml:space="preserve"> </w:t>
      </w:r>
      <w:r>
        <w:t xml:space="preserve">(„Älteste") und </w:t>
      </w:r>
      <w:r>
        <w:rPr>
          <w:rStyle w:val="Fett"/>
          <w:rFonts w:eastAsiaTheme="majorEastAsia"/>
          <w:rtl/>
        </w:rPr>
        <w:t>שֹׁטְרִים</w:t>
      </w:r>
      <w:r>
        <w:rPr>
          <w:rtl/>
        </w:rPr>
        <w:t xml:space="preserve"> </w:t>
      </w:r>
      <w:r>
        <w:t xml:space="preserve">(„Vorsteher") repräsentieren das Volk (vgl. 1,15; 5,23; 16,18; 29,9). Die beiden Aussagen: </w:t>
      </w:r>
      <w:r>
        <w:rPr>
          <w:rStyle w:val="Fett"/>
          <w:rFonts w:eastAsiaTheme="majorEastAsia"/>
          <w:rtl/>
        </w:rPr>
        <w:t>וַאֲדַבְּרָה בְאָזְנֵיהֶם אֵת הַדְּבָרִים הָאֵלֶּה וְאָעִידָה בָּם אֶת־הַשָּׁמַיִם וְאֶת־הָאָרֶץ</w:t>
      </w:r>
      <w:r>
        <w:rPr>
          <w:rtl/>
        </w:rPr>
        <w:t xml:space="preserve"> </w:t>
      </w:r>
      <w:r>
        <w:t xml:space="preserve">(„dass ich rede vor ihren Ohren diese Worte und als Zeugen nehme gegen sie die Himmel und die Erde"). Die Formulierung </w:t>
      </w:r>
      <w:r>
        <w:rPr>
          <w:rStyle w:val="Fett"/>
          <w:rFonts w:eastAsiaTheme="majorEastAsia"/>
          <w:rtl/>
        </w:rPr>
        <w:t>הַדְּבָרִים הָאֵלֶּה</w:t>
      </w:r>
      <w:r>
        <w:rPr>
          <w:rtl/>
        </w:rPr>
        <w:t xml:space="preserve"> </w:t>
      </w:r>
      <w:r>
        <w:t xml:space="preserve">(„diese Worte") bezieht sich auf das Lied in Kapitel 32. Die Formulierung </w:t>
      </w:r>
      <w:r>
        <w:rPr>
          <w:rStyle w:val="Fett"/>
          <w:rFonts w:eastAsiaTheme="majorEastAsia"/>
          <w:rtl/>
        </w:rPr>
        <w:t>אָעִידָה בָּם אֶת־הַשָּׁמַיִם וְאֶת־הָאָרֶץ</w:t>
      </w:r>
      <w:r>
        <w:rPr>
          <w:rtl/>
        </w:rPr>
        <w:t xml:space="preserve"> </w:t>
      </w:r>
      <w:r>
        <w:t>(„ich werde als Zeugen nehmen gegen sie die Himmel und die Erde") wiederholt 30,19 (vgl. 4,26; 32,1; Jes 1,2; Mich 6,2).</w:t>
      </w:r>
    </w:p>
    <w:p w14:paraId="0F4C937E" w14:textId="6D61111E" w:rsidR="00C367A0" w:rsidRDefault="00C367A0" w:rsidP="008A57FB">
      <w:pPr>
        <w:pStyle w:val="whitespace-normal"/>
      </w:pPr>
      <w:r>
        <w:rPr>
          <w:rStyle w:val="Fett"/>
        </w:rPr>
        <w:t>Die LXX</w:t>
      </w:r>
      <w:r>
        <w:t xml:space="preserve"> übersetzt </w:t>
      </w:r>
      <w:r>
        <w:rPr>
          <w:rtl/>
        </w:rPr>
        <w:t>שֹׁטְרֵיכֶם</w:t>
      </w:r>
      <w:r>
        <w:t xml:space="preserve"> (eure Aufseher) mit </w:t>
      </w:r>
      <w:proofErr w:type="spellStart"/>
      <w:r>
        <w:t>τοὺς</w:t>
      </w:r>
      <w:proofErr w:type="spellEnd"/>
      <w:r>
        <w:t xml:space="preserve"> </w:t>
      </w:r>
      <w:proofErr w:type="spellStart"/>
      <w:r>
        <w:t>γρ</w:t>
      </w:r>
      <w:proofErr w:type="spellEnd"/>
      <w:r>
        <w:t xml:space="preserve">αμματοεισαγωγεῖς </w:t>
      </w:r>
      <w:proofErr w:type="spellStart"/>
      <w:r>
        <w:t>ὑμῶν</w:t>
      </w:r>
      <w:proofErr w:type="spellEnd"/>
      <w:r>
        <w:t xml:space="preserve"> (eure Schreiber/Beamten) – wie bereits zuvor ein zusammengesetztes griechisches Wort.</w:t>
      </w:r>
    </w:p>
    <w:p w14:paraId="7D02BDDA" w14:textId="77777777" w:rsidR="008A57FB" w:rsidRDefault="008A57FB" w:rsidP="008A57FB">
      <w:pPr>
        <w:pStyle w:val="whitespace-normal"/>
      </w:pPr>
      <w:r>
        <w:rPr>
          <w:rStyle w:val="Fett"/>
          <w:rFonts w:eastAsiaTheme="majorEastAsia"/>
        </w:rPr>
        <w:t>Die Satzstruktur:</w:t>
      </w:r>
      <w:r>
        <w:t xml:space="preserve"> Imperativ und zwei Aussagen (versammelt zu mir alle Ältesten eurer Stämme und eure Vorsteher, dass ich rede vor ihren Ohren diese Worte und als Zeugen nehme gegen sie die Himmel und die Erde).</w:t>
      </w:r>
    </w:p>
    <w:p w14:paraId="7162E332" w14:textId="65B3D346" w:rsidR="008A57FB" w:rsidRDefault="008A57FB" w:rsidP="00B77CC6">
      <w:pPr>
        <w:pStyle w:val="whitespace-normal"/>
      </w:pPr>
      <w:r>
        <w:rPr>
          <w:rStyle w:val="Fett"/>
          <w:rFonts w:eastAsiaTheme="majorEastAsia"/>
        </w:rPr>
        <w:t>Der Vers beschreibt:</w:t>
      </w:r>
      <w:r>
        <w:t xml:space="preserve"> Vorbereitung – Mose will vor den Führern sprechen und Himmel und Erde als Zeugen aufrufen.</w:t>
      </w:r>
    </w:p>
    <w:p w14:paraId="79B2EE9F" w14:textId="77777777" w:rsidR="008A57FB" w:rsidRPr="00257FCB" w:rsidRDefault="008A57FB" w:rsidP="00257FCB">
      <w:pPr>
        <w:pStyle w:val="Bibelberschrift"/>
        <w:rPr>
          <w:b w:val="0"/>
          <w:bCs/>
        </w:rPr>
      </w:pPr>
      <w:r w:rsidRPr="00257FCB">
        <w:rPr>
          <w:rStyle w:val="Fett"/>
          <w:b/>
          <w:bCs w:val="0"/>
        </w:rPr>
        <w:t>Deuteronomium 31,29</w:t>
      </w:r>
    </w:p>
    <w:p w14:paraId="60793488" w14:textId="77777777" w:rsidR="008A57FB" w:rsidRDefault="008A57FB" w:rsidP="008A57FB">
      <w:pPr>
        <w:pStyle w:val="whitespace-normal"/>
      </w:pPr>
      <w:r>
        <w:rPr>
          <w:rStyle w:val="Fett"/>
          <w:rFonts w:eastAsiaTheme="majorEastAsia"/>
        </w:rPr>
        <w:t>Hebräisch:</w:t>
      </w:r>
      <w:r>
        <w:t xml:space="preserve"> </w:t>
      </w:r>
      <w:r>
        <w:rPr>
          <w:rtl/>
        </w:rPr>
        <w:t>כִּי יָדַעְתִּי אַחֲרֵי מוֹתִי כִּי־הַשְׁחֵת תַּשְׁחִתוּן וְסַרְתֶּם מִן־הַדֶּרֶךְ אֲשֶׁר צִוִּיתִי אֶתְכֶם וְקָרָאת אֶתְכֶם הָרָעָה בְּאַחֲרִית הַיָּמִים כִּי־תַעֲשׂוּ אֶת־הָרַע בְּעֵינֵי יְהוָה לְהַכְעִיסוֹ בְּמַעֲשֵׂה יְדֵיכֶם׃</w:t>
      </w:r>
    </w:p>
    <w:p w14:paraId="24E13F77" w14:textId="77777777" w:rsidR="008A57FB" w:rsidRDefault="008A57FB" w:rsidP="008A57FB">
      <w:pPr>
        <w:pStyle w:val="whitespace-normal"/>
      </w:pPr>
      <w:r>
        <w:rPr>
          <w:rStyle w:val="Fett"/>
          <w:rFonts w:eastAsiaTheme="majorEastAsia"/>
        </w:rPr>
        <w:lastRenderedPageBreak/>
        <w:t>Deutsch:</w:t>
      </w:r>
      <w:r>
        <w:t xml:space="preserve"> Denn ich weiß, dass ihr nach meinem Tod gewiss verderben und von dem Weg abweichen werdet, den ich euch geboten habe; und es wird euch das Unglück begegnen am Ende der Tage, weil ihr tun werdet, was böse ist in den Augen des Ewigen, ihn zu reizen durch das Werk eurer Hände.</w:t>
      </w:r>
    </w:p>
    <w:p w14:paraId="704C8DF2" w14:textId="77777777" w:rsidR="008A57FB" w:rsidRDefault="004F5CEB" w:rsidP="008A57FB">
      <w:r>
        <w:rPr>
          <w:noProof/>
        </w:rPr>
        <w:pict w14:anchorId="3F7FB715">
          <v:rect id="_x0000_i1892" style="width:0;height:1.5pt" o:hralign="center" o:hrstd="t" o:hr="t" fillcolor="#a0a0a0" stroked="f"/>
        </w:pict>
      </w:r>
    </w:p>
    <w:p w14:paraId="43EE7553"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כִּי יָדַעְתִּי אַחֲרֵי מוֹתִי כִּי־הַשְׁחֵת תַּשְׁחִתוּן וְסַרְתֶּם מִן־הַדֶּרֶךְ אֲשֶׁר צִוִּיתִי אֶתְכֶם וְקָרָאת אֶתְכֶם הָרָעָה בְּאַחֲרִית הַיָּמִים כִּי־תַעֲשׂוּ אֶת־הָרַע בְּעֵינֵי יְהוָה לְהַכְעִיסוֹ בְּמַעֲשֵׂה יְדֵיכֶם</w:t>
      </w:r>
      <w:r>
        <w:rPr>
          <w:rtl/>
        </w:rPr>
        <w:t xml:space="preserve"> </w:t>
      </w:r>
      <w:r>
        <w:t xml:space="preserve">sind Begründung mit vier Aussagen: </w:t>
      </w:r>
      <w:r>
        <w:rPr>
          <w:rStyle w:val="Fett"/>
          <w:rFonts w:eastAsiaTheme="majorEastAsia"/>
          <w:rtl/>
        </w:rPr>
        <w:t>כִּי יָדַעְתִּי אַחֲרֵי מוֹתִי כִּי־הַשְׁחֵת תַּשְׁחִתוּן</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ידע</w:t>
      </w:r>
      <w:r>
        <w:t xml:space="preserve">, Qal Perfekt, 1. Person Singular, </w:t>
      </w:r>
      <w:r>
        <w:rPr>
          <w:rStyle w:val="Fett"/>
          <w:rFonts w:eastAsiaTheme="majorEastAsia"/>
          <w:rtl/>
        </w:rPr>
        <w:t>אַחֲרֵי מָוֶת</w:t>
      </w:r>
      <w:r>
        <w:rPr>
          <w:rtl/>
        </w:rPr>
        <w:t xml:space="preserve"> </w:t>
      </w:r>
      <w:r>
        <w:t xml:space="preserve">mit Suffix 1. Person Singular, Inhaltssatz: </w:t>
      </w:r>
      <w:r>
        <w:rPr>
          <w:rStyle w:val="Fett"/>
          <w:rFonts w:eastAsiaTheme="majorEastAsia"/>
          <w:rtl/>
        </w:rPr>
        <w:t>כִּי</w:t>
      </w:r>
      <w:r>
        <w:rPr>
          <w:rtl/>
        </w:rPr>
        <w:t xml:space="preserve"> </w:t>
      </w:r>
      <w:r>
        <w:t xml:space="preserve">mit </w:t>
      </w:r>
      <w:r>
        <w:rPr>
          <w:rStyle w:val="Fett"/>
          <w:rFonts w:eastAsiaTheme="majorEastAsia"/>
          <w:rtl/>
        </w:rPr>
        <w:t>שׁחת</w:t>
      </w:r>
      <w:r>
        <w:t xml:space="preserve">, Hiphil Infinitiv Absolutus, </w:t>
      </w:r>
      <w:r>
        <w:rPr>
          <w:rStyle w:val="Fett"/>
          <w:rFonts w:eastAsiaTheme="majorEastAsia"/>
          <w:rtl/>
        </w:rPr>
        <w:t>שׁחת</w:t>
      </w:r>
      <w:r>
        <w:t xml:space="preserve">, Hiphil Imperfekt, 2. Person Plural (emphatische Konstruktion), „verderben, zugrunde richten"), </w:t>
      </w:r>
      <w:r>
        <w:rPr>
          <w:rStyle w:val="Fett"/>
          <w:rFonts w:eastAsiaTheme="majorEastAsia"/>
          <w:rtl/>
        </w:rPr>
        <w:t>וְסַרְתֶּם מִן־הַדֶּרֶךְ אֲשֶׁר צִוִּיתִי אֶתְכֶם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סור</w:t>
      </w:r>
      <w:r>
        <w:t xml:space="preserve">, Qal Perfekt, 2. Person Plural, „abweichen", </w:t>
      </w:r>
      <w:r>
        <w:rPr>
          <w:rStyle w:val="Fett"/>
          <w:rFonts w:eastAsiaTheme="majorEastAsia"/>
          <w:rtl/>
        </w:rPr>
        <w:t>מִן־דֶּרֶך</w:t>
      </w:r>
      <w:r>
        <w:rPr>
          <w:rtl/>
        </w:rPr>
        <w:t xml:space="preserve"> </w:t>
      </w:r>
      <w:r>
        <w:t xml:space="preserve">mit Artikel, Relativsatz wie üblich, mit </w:t>
      </w:r>
      <w:r>
        <w:rPr>
          <w:rStyle w:val="Fett"/>
          <w:rFonts w:eastAsiaTheme="majorEastAsia"/>
        </w:rPr>
        <w:t>Waw</w:t>
      </w:r>
      <w:r>
        <w:t xml:space="preserve"> consecutivum), </w:t>
      </w:r>
      <w:r>
        <w:rPr>
          <w:rStyle w:val="Fett"/>
          <w:rFonts w:eastAsiaTheme="majorEastAsia"/>
          <w:rtl/>
        </w:rPr>
        <w:t>וְקָרָאת אֶתְכֶם הָרָעָה בְּאַחֲרִית הַיָּמִים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קרה</w:t>
      </w:r>
      <w:r>
        <w:t xml:space="preserve">, Qal Perfekt, 3. Person Femininum Singular, „begegnen, treffen", Objektpartikel </w:t>
      </w:r>
      <w:r>
        <w:rPr>
          <w:rStyle w:val="Fett"/>
          <w:rFonts w:eastAsiaTheme="majorEastAsia"/>
          <w:rtl/>
        </w:rPr>
        <w:t>אֵת</w:t>
      </w:r>
      <w:r>
        <w:rPr>
          <w:rtl/>
        </w:rPr>
        <w:t xml:space="preserve"> </w:t>
      </w:r>
      <w:r>
        <w:t xml:space="preserve">mit Suffix 2. Person Maskulinum Plural, </w:t>
      </w:r>
      <w:r>
        <w:rPr>
          <w:rStyle w:val="Fett"/>
          <w:rFonts w:eastAsiaTheme="majorEastAsia"/>
          <w:rtl/>
        </w:rPr>
        <w:t>רָעָה</w:t>
      </w:r>
      <w:r>
        <w:rPr>
          <w:rtl/>
        </w:rPr>
        <w:t xml:space="preserve"> </w:t>
      </w:r>
      <w:r>
        <w:t xml:space="preserve">mit Artikel als Subjekt, </w:t>
      </w:r>
      <w:r>
        <w:rPr>
          <w:rStyle w:val="Fett"/>
          <w:rFonts w:eastAsiaTheme="majorEastAsia"/>
          <w:rtl/>
        </w:rPr>
        <w:t>בְּאַחֲרִית הַיָּמִים</w:t>
      </w:r>
      <w:r>
        <w:t xml:space="preserve">, mit </w:t>
      </w:r>
      <w:r>
        <w:rPr>
          <w:rStyle w:val="Fett"/>
          <w:rFonts w:eastAsiaTheme="majorEastAsia"/>
        </w:rPr>
        <w:t>Waw</w:t>
      </w:r>
      <w:r>
        <w:t xml:space="preserve"> consecutivum), </w:t>
      </w:r>
      <w:r>
        <w:rPr>
          <w:rStyle w:val="Fett"/>
          <w:rFonts w:eastAsiaTheme="majorEastAsia"/>
          <w:rtl/>
        </w:rPr>
        <w:t>כִּי־תַעֲשׂוּ אֶת־הָרַע בְּעֵינֵי יְהוָה לְהַכְעִיסוֹ בְּמַעֲשֵׂה יְדֵיכֶם</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עשׂה</w:t>
      </w:r>
      <w:r>
        <w:t xml:space="preserve">, Qal Imperfekt, 2. Person Plural, Objektpartikel </w:t>
      </w:r>
      <w:r>
        <w:rPr>
          <w:rStyle w:val="Fett"/>
          <w:rFonts w:eastAsiaTheme="majorEastAsia"/>
          <w:rtl/>
        </w:rPr>
        <w:t>אֵת</w:t>
      </w:r>
      <w:r>
        <w:rPr>
          <w:rtl/>
        </w:rPr>
        <w:t xml:space="preserve"> </w:t>
      </w:r>
      <w:r>
        <w:t xml:space="preserve">mit </w:t>
      </w:r>
      <w:r>
        <w:rPr>
          <w:rStyle w:val="Fett"/>
          <w:rFonts w:eastAsiaTheme="majorEastAsia"/>
          <w:rtl/>
        </w:rPr>
        <w:t>רַע</w:t>
      </w:r>
      <w:r>
        <w:rPr>
          <w:rtl/>
        </w:rPr>
        <w:t xml:space="preserve"> </w:t>
      </w:r>
      <w:r>
        <w:t xml:space="preserve">mit Artikel, </w:t>
      </w:r>
      <w:r>
        <w:rPr>
          <w:rStyle w:val="Fett"/>
          <w:rFonts w:eastAsiaTheme="majorEastAsia"/>
          <w:rtl/>
        </w:rPr>
        <w:t>בְּעֵינֵי יְהוָה</w:t>
      </w:r>
      <w:r>
        <w:t xml:space="preserve">, Finalsatz: </w:t>
      </w:r>
      <w:r>
        <w:rPr>
          <w:rStyle w:val="Fett"/>
          <w:rFonts w:eastAsiaTheme="majorEastAsia"/>
          <w:rtl/>
        </w:rPr>
        <w:t>לְהַכְעִיסוֹ</w:t>
      </w:r>
      <w:r>
        <w:rPr>
          <w:rtl/>
        </w:rPr>
        <w:t xml:space="preserve"> </w:t>
      </w:r>
      <w:r>
        <w:t xml:space="preserve">mit Präposition </w:t>
      </w:r>
      <w:r>
        <w:rPr>
          <w:rStyle w:val="Fett"/>
          <w:rFonts w:eastAsiaTheme="majorEastAsia"/>
          <w:rtl/>
        </w:rPr>
        <w:t>לְ</w:t>
      </w:r>
      <w:r>
        <w:rPr>
          <w:rtl/>
        </w:rPr>
        <w:t xml:space="preserve"> </w:t>
      </w:r>
      <w:r>
        <w:t xml:space="preserve">+ Hiphil Infinitiv Construct von </w:t>
      </w:r>
      <w:r>
        <w:rPr>
          <w:rStyle w:val="Fett"/>
          <w:rFonts w:eastAsiaTheme="majorEastAsia"/>
          <w:rtl/>
        </w:rPr>
        <w:t>כעס</w:t>
      </w:r>
      <w:r>
        <w:t xml:space="preserve">, „reizen, erzürnen", mit Suffix 3. Person Maskulinum Singular, </w:t>
      </w:r>
      <w:r>
        <w:rPr>
          <w:rStyle w:val="Fett"/>
          <w:rFonts w:eastAsiaTheme="majorEastAsia"/>
          <w:rtl/>
        </w:rPr>
        <w:t>בְּמַעֲשֵׂה יְדֵיכֶם</w:t>
      </w:r>
      <w:r>
        <w:t>).</w:t>
      </w:r>
    </w:p>
    <w:p w14:paraId="2E17C719" w14:textId="234DB294" w:rsidR="008A57FB" w:rsidRDefault="008A57FB" w:rsidP="008A57FB">
      <w:pPr>
        <w:pStyle w:val="whitespace-normal"/>
      </w:pPr>
      <w:r>
        <w:t xml:space="preserve">Der Vers ist Moses düstere Prophezeiung über Israels Zukunft. Die Begründung mit vier Aussagen: </w:t>
      </w:r>
      <w:r>
        <w:rPr>
          <w:rStyle w:val="Fett"/>
          <w:rFonts w:eastAsiaTheme="majorEastAsia"/>
          <w:rtl/>
        </w:rPr>
        <w:t>כִּי יָדַעְתִּי אַחֲרֵי מוֹתִי כִּי־הַשְׁחֵת תַּשְׁחִתוּן וְסַרְתֶּם מִן־הַדֶּרֶךְ אֲשֶׁר צִוִּיתִי אֶתְכֶם וְקָרָאת אֶתְכֶם הָרָעָה בְּאַחֲרִית הַיָּמִים כִּי־תַעֲשׂוּ אֶת־הָרַע בְּעֵינֵי יְהוָה לְהַכְעִיסוֹ בְּמַעֲשֵׂה יְדֵיכֶם</w:t>
      </w:r>
      <w:r>
        <w:rPr>
          <w:rtl/>
        </w:rPr>
        <w:t xml:space="preserve"> </w:t>
      </w:r>
      <w:r>
        <w:t xml:space="preserve">(„denn ich weiß nach meinem Tod, dass verderben, verderben werdet ihr und abweichen von dem Weg, den ich euch geboten habe; und treffen wird euch das Unglück am Ende der Tage, weil ihr tun werdet das Böse in den Augen </w:t>
      </w:r>
      <w:r w:rsidR="00DF3D1A">
        <w:t>JHWHs</w:t>
      </w:r>
      <w:r>
        <w:t xml:space="preserve">, ihn zu reizen durch das Werk eurer Hände"). Die erste Aussage: </w:t>
      </w:r>
      <w:r>
        <w:rPr>
          <w:rStyle w:val="Fett"/>
          <w:rFonts w:eastAsiaTheme="majorEastAsia"/>
          <w:rtl/>
        </w:rPr>
        <w:t>הַשְׁחֵת תַּשְׁחִתוּן</w:t>
      </w:r>
      <w:r>
        <w:rPr>
          <w:rtl/>
        </w:rPr>
        <w:t xml:space="preserve"> </w:t>
      </w:r>
      <w:r>
        <w:t xml:space="preserve">(„verderben, verderben werdet ihr") – emphatische Konstruktion wie V. 17.20. Die zweite Aussage: </w:t>
      </w:r>
      <w:r>
        <w:rPr>
          <w:rStyle w:val="Fett"/>
          <w:rFonts w:eastAsiaTheme="majorEastAsia"/>
          <w:rtl/>
        </w:rPr>
        <w:t>וְסַרְתֶּם מִן־הַדֶּרֶךְ אֲשֶׁר צִוִּיתִי אֶתְכֶם</w:t>
      </w:r>
      <w:r>
        <w:rPr>
          <w:rtl/>
        </w:rPr>
        <w:t xml:space="preserve"> </w:t>
      </w:r>
      <w:r>
        <w:t xml:space="preserve">(„und abweichen werdet ihr von dem Weg, den ich euch geboten habe") – Verlassen des </w:t>
      </w:r>
      <w:proofErr w:type="spellStart"/>
      <w:r>
        <w:t>rechten</w:t>
      </w:r>
      <w:proofErr w:type="spellEnd"/>
      <w:r>
        <w:t xml:space="preserve"> Weges (vgl. 9,12.16; 11,28; Jos 23,6; Ri 2,17; </w:t>
      </w:r>
      <w:r w:rsidR="00664EB6">
        <w:t>1Sam</w:t>
      </w:r>
      <w:r>
        <w:t xml:space="preserve"> 12,20-21; </w:t>
      </w:r>
      <w:r w:rsidR="00664EB6">
        <w:t>1Kön</w:t>
      </w:r>
      <w:r>
        <w:t xml:space="preserve"> 11,33; </w:t>
      </w:r>
      <w:r w:rsidR="00664EB6">
        <w:t>2Kön</w:t>
      </w:r>
      <w:r>
        <w:t xml:space="preserve"> 18,6; 21,8; 22,2; Mal 2,8). Die dritte Aussage: </w:t>
      </w:r>
      <w:r>
        <w:rPr>
          <w:rStyle w:val="Fett"/>
          <w:rFonts w:eastAsiaTheme="majorEastAsia"/>
          <w:rtl/>
        </w:rPr>
        <w:t>וְקָרָאת אֶתְכֶם הָרָעָה בְּאַחֲרִית הַיָּמִים</w:t>
      </w:r>
      <w:r>
        <w:rPr>
          <w:rtl/>
        </w:rPr>
        <w:t xml:space="preserve"> </w:t>
      </w:r>
      <w:r>
        <w:t xml:space="preserve">(„und treffen wird euch das Unglück am Ende der Tage"). Die Formulierung </w:t>
      </w:r>
      <w:r>
        <w:rPr>
          <w:rStyle w:val="Fett"/>
          <w:rFonts w:eastAsiaTheme="majorEastAsia"/>
          <w:rtl/>
        </w:rPr>
        <w:t>אַחֲרִית הַיָּמִים</w:t>
      </w:r>
      <w:r>
        <w:rPr>
          <w:rtl/>
        </w:rPr>
        <w:t xml:space="preserve"> </w:t>
      </w:r>
      <w:r>
        <w:t xml:space="preserve">(„Ende der Tage") kann „in der Zukunft" oder „in den letzten Tagen" bedeuten (vgl. 4,30; Gen 49,1; Num 24,14; Jes 2,2; Jer 23,20; 30,24; 48,47; 49,39; </w:t>
      </w:r>
      <w:r w:rsidR="00BF3748">
        <w:t>Hes</w:t>
      </w:r>
      <w:r>
        <w:t xml:space="preserve"> 38,16; Dan 10,14; Hos 3,5; Mich 4,1). Die vierte Aussage: </w:t>
      </w:r>
      <w:r>
        <w:rPr>
          <w:rStyle w:val="Fett"/>
          <w:rFonts w:eastAsiaTheme="majorEastAsia"/>
          <w:rtl/>
        </w:rPr>
        <w:t>כִּי־תַעֲשׂוּ אֶת־הָרַע בְּעֵינֵי יְהוָה לְהַכְעִיסוֹ בְּמַעֲשֵׂה יְדֵיכֶם</w:t>
      </w:r>
      <w:r>
        <w:rPr>
          <w:rtl/>
        </w:rPr>
        <w:t xml:space="preserve"> </w:t>
      </w:r>
      <w:r>
        <w:t xml:space="preserve">(„weil ihr tun werdet das Böse in den Augen </w:t>
      </w:r>
      <w:r w:rsidR="00DF3D1A">
        <w:t>JHWHs</w:t>
      </w:r>
      <w:r>
        <w:t xml:space="preserve">, ihn zu reizen durch das Werk eurer Hände"). Die Formulierung </w:t>
      </w:r>
      <w:r>
        <w:rPr>
          <w:rStyle w:val="Fett"/>
          <w:rFonts w:eastAsiaTheme="majorEastAsia"/>
          <w:rtl/>
        </w:rPr>
        <w:t>בְּעֵינֵי יְהוָה</w:t>
      </w:r>
      <w:r>
        <w:rPr>
          <w:rtl/>
        </w:rPr>
        <w:t xml:space="preserve"> </w:t>
      </w:r>
      <w:r>
        <w:t xml:space="preserve">(„in den Augen </w:t>
      </w:r>
      <w:r w:rsidR="00DF3D1A">
        <w:t xml:space="preserve">JHWHs </w:t>
      </w:r>
      <w:r>
        <w:t xml:space="preserve">") ist die Standardformel für moralische Bewertung (vgl. 4,25; 6,18; 9,18; 12,25.28; 13,19; 17,2; 21,9; Ri 2,11; 3,7.12; 4,1; etc.). Das Verb </w:t>
      </w:r>
      <w:r>
        <w:rPr>
          <w:rStyle w:val="Fett"/>
          <w:rFonts w:eastAsiaTheme="majorEastAsia"/>
          <w:rtl/>
        </w:rPr>
        <w:t>כעס</w:t>
      </w:r>
      <w:r>
        <w:rPr>
          <w:rtl/>
        </w:rPr>
        <w:t xml:space="preserve"> </w:t>
      </w:r>
      <w:r>
        <w:t xml:space="preserve">im Hiphil („reizen, erzürnen") beschreibt bewusstes Provozieren Gottes (vgl. 4,25; 9,18; 32,16.21; </w:t>
      </w:r>
      <w:r w:rsidR="00664EB6">
        <w:t>1Kön</w:t>
      </w:r>
      <w:r>
        <w:t xml:space="preserve"> 14,9.15; 15,30; 16,2.7.13.26.33; 21,22; 22,54; </w:t>
      </w:r>
      <w:r w:rsidR="00664EB6">
        <w:t>2Kön</w:t>
      </w:r>
      <w:r>
        <w:t xml:space="preserve"> 17,11.17; 21,6.15; 22,17; 23,19.26; Jer 7,18-19; 8,19; 11,17; 25,6-7; 32,29-30.32; 44,3.8; </w:t>
      </w:r>
      <w:r w:rsidR="00BF3748">
        <w:t>Hes</w:t>
      </w:r>
      <w:r>
        <w:t xml:space="preserve"> 8,17; 16,26). Die Formulierung </w:t>
      </w:r>
      <w:r>
        <w:rPr>
          <w:rStyle w:val="Fett"/>
          <w:rFonts w:eastAsiaTheme="majorEastAsia"/>
          <w:rtl/>
        </w:rPr>
        <w:t>מַעֲשֵׂה יְדֵיכֶם</w:t>
      </w:r>
      <w:r>
        <w:rPr>
          <w:rtl/>
        </w:rPr>
        <w:t xml:space="preserve"> </w:t>
      </w:r>
      <w:r>
        <w:t xml:space="preserve">(„Werk eurer Hände") bezieht sich oft auf Götzenbilder (vgl. 4,28; 27,15; </w:t>
      </w:r>
      <w:r w:rsidR="00664EB6">
        <w:t>2Kön</w:t>
      </w:r>
      <w:r>
        <w:t xml:space="preserve"> 19,18; 22,17; </w:t>
      </w:r>
      <w:r w:rsidR="00664EB6">
        <w:t>2Chr</w:t>
      </w:r>
      <w:r>
        <w:t xml:space="preserve"> 32,19; 34,25; Ps 115,4; 135,15; Jes 2,8; 37,19; Jer 1,16; 25,6-7.14; 32,30; 44,8; Mich 5,12).</w:t>
      </w:r>
    </w:p>
    <w:p w14:paraId="0E14B391" w14:textId="1D7F65C7" w:rsidR="00C367A0" w:rsidRDefault="00C367A0" w:rsidP="008A57FB">
      <w:pPr>
        <w:pStyle w:val="whitespace-normal"/>
      </w:pPr>
      <w:r>
        <w:rPr>
          <w:rStyle w:val="Fett"/>
        </w:rPr>
        <w:lastRenderedPageBreak/>
        <w:t>Die LXX</w:t>
      </w:r>
      <w:r>
        <w:t xml:space="preserve"> übersetzt </w:t>
      </w:r>
      <w:r>
        <w:rPr>
          <w:rtl/>
        </w:rPr>
        <w:t>הַשְׁחֵת תַּשְׁחִתוּן</w:t>
      </w:r>
      <w:r>
        <w:t xml:space="preserve"> (ihr werdet gänzlich verderben) mit </w:t>
      </w:r>
      <w:proofErr w:type="spellStart"/>
      <w:r>
        <w:t>ἀνομίᾳ</w:t>
      </w:r>
      <w:proofErr w:type="spellEnd"/>
      <w:r>
        <w:t xml:space="preserve"> </w:t>
      </w:r>
      <w:proofErr w:type="spellStart"/>
      <w:r>
        <w:t>ἀνομήσετε</w:t>
      </w:r>
      <w:proofErr w:type="spellEnd"/>
      <w:r>
        <w:t xml:space="preserve"> (mit Gesetzlosigkeit werdet ihr gesetzlos handeln) – eine figura etymologica, die moralische Terminologie verwendet.</w:t>
      </w:r>
    </w:p>
    <w:p w14:paraId="613DCAAB" w14:textId="46E96AD4" w:rsidR="008A57FB" w:rsidRDefault="008A57FB" w:rsidP="008A57FB">
      <w:pPr>
        <w:pStyle w:val="whitespace-normal"/>
      </w:pPr>
      <w:r>
        <w:rPr>
          <w:rStyle w:val="Fett"/>
          <w:rFonts w:eastAsiaTheme="majorEastAsia"/>
        </w:rPr>
        <w:t>Die Satzstruktur:</w:t>
      </w:r>
      <w:r>
        <w:t xml:space="preserve"> Begründung mit vier Aussagen (denn ich weiß nach meinem Tod, dass verderben, verderben werdet ihr und abweichen von dem Weg, den ich euch geboten habe; und treffen wird euch das Unglück am Ende der Tage, weil ihr tun werdet das Böse in den Augen </w:t>
      </w:r>
      <w:r w:rsidR="00DF3D1A">
        <w:t>JHWHs</w:t>
      </w:r>
      <w:r>
        <w:t>, ihn zu reizen durch das Werk eurer Hände).</w:t>
      </w:r>
    </w:p>
    <w:p w14:paraId="5F145804" w14:textId="77E5BB86" w:rsidR="008A57FB" w:rsidRDefault="008A57FB" w:rsidP="00B77CC6">
      <w:pPr>
        <w:pStyle w:val="whitespace-normal"/>
      </w:pPr>
      <w:r>
        <w:rPr>
          <w:rStyle w:val="Fett"/>
          <w:rFonts w:eastAsiaTheme="majorEastAsia"/>
        </w:rPr>
        <w:t>Der Vers beschreibt:</w:t>
      </w:r>
      <w:r>
        <w:t xml:space="preserve"> Moses düstere Prophezeiung – Israel wird nach seinem Tod verderben, abweichen, Götzendienst treiben, Unglück erleben.</w:t>
      </w:r>
    </w:p>
    <w:p w14:paraId="2A817AE1" w14:textId="77777777" w:rsidR="008A57FB" w:rsidRPr="00257FCB" w:rsidRDefault="008A57FB" w:rsidP="00257FCB">
      <w:pPr>
        <w:pStyle w:val="Bibelberschrift"/>
        <w:rPr>
          <w:b w:val="0"/>
          <w:bCs/>
        </w:rPr>
      </w:pPr>
      <w:r w:rsidRPr="00257FCB">
        <w:rPr>
          <w:rStyle w:val="Fett"/>
          <w:b/>
          <w:bCs w:val="0"/>
        </w:rPr>
        <w:t>Deuteronomium 31,30</w:t>
      </w:r>
    </w:p>
    <w:p w14:paraId="4453D305" w14:textId="77777777" w:rsidR="008A57FB" w:rsidRDefault="008A57FB" w:rsidP="008A57FB">
      <w:pPr>
        <w:pStyle w:val="whitespace-normal"/>
      </w:pPr>
      <w:r>
        <w:rPr>
          <w:rStyle w:val="Fett"/>
          <w:rFonts w:eastAsiaTheme="majorEastAsia"/>
        </w:rPr>
        <w:t>Hebräisch:</w:t>
      </w:r>
      <w:r>
        <w:t xml:space="preserve"> </w:t>
      </w:r>
      <w:r>
        <w:rPr>
          <w:rtl/>
        </w:rPr>
        <w:t>וַיְדַבֵּר מֹשֶׁה בְּאָזְנֵי כָּל־קְהַל יִשְׂרָאֵל אֶת־דִּבְרֵי הַשִּׁירָה הַזֹּאת עַד תֻּמָּם׃</w:t>
      </w:r>
    </w:p>
    <w:p w14:paraId="5ED33304" w14:textId="77777777" w:rsidR="008A57FB" w:rsidRDefault="008A57FB" w:rsidP="008A57FB">
      <w:pPr>
        <w:pStyle w:val="whitespace-normal"/>
      </w:pPr>
      <w:r>
        <w:rPr>
          <w:rStyle w:val="Fett"/>
          <w:rFonts w:eastAsiaTheme="majorEastAsia"/>
        </w:rPr>
        <w:t>Deutsch:</w:t>
      </w:r>
      <w:r>
        <w:t xml:space="preserve"> Und Mosche redete vor den Ohren der ganzen Versammlung von Israel die Worte dieses Liedes bis zu ihrem Ende.</w:t>
      </w:r>
    </w:p>
    <w:p w14:paraId="6759163D" w14:textId="77777777" w:rsidR="008A57FB" w:rsidRDefault="004F5CEB" w:rsidP="008A57FB">
      <w:r>
        <w:rPr>
          <w:noProof/>
        </w:rPr>
        <w:pict w14:anchorId="007D32E3">
          <v:rect id="_x0000_i1893" style="width:0;height:1.5pt" o:hralign="center" o:hrstd="t" o:hr="t" fillcolor="#a0a0a0" stroked="f"/>
        </w:pict>
      </w:r>
    </w:p>
    <w:p w14:paraId="5FB710AE" w14:textId="77777777" w:rsidR="008A57FB" w:rsidRDefault="008A57FB" w:rsidP="008A57FB">
      <w:pPr>
        <w:pStyle w:val="whitespace-normal"/>
      </w:pPr>
      <w:r>
        <w:rPr>
          <w:rStyle w:val="Fett"/>
          <w:rFonts w:eastAsiaTheme="majorEastAsia"/>
        </w:rPr>
        <w:t>Kommentar:</w:t>
      </w:r>
      <w:r>
        <w:t xml:space="preserve"> </w:t>
      </w:r>
      <w:r>
        <w:rPr>
          <w:rStyle w:val="Fett"/>
          <w:rFonts w:eastAsiaTheme="majorEastAsia"/>
          <w:rtl/>
        </w:rPr>
        <w:t>וַיְדַבֵּר מֹשֶׁה בְּאָזְנֵי כָּל־קְהַל יִשְׂרָאֵל אֶת־דִּבְרֵי הַשִּׁירָה הַזֹּאת עַד תֻּמָּם</w:t>
      </w:r>
      <w:r>
        <w:rPr>
          <w:rtl/>
        </w:rPr>
        <w:t xml:space="preserve"> </w:t>
      </w:r>
      <w:r>
        <w:t xml:space="preserve">ist eine Aussage: </w:t>
      </w:r>
      <w:r>
        <w:rPr>
          <w:rStyle w:val="Fett"/>
          <w:rFonts w:eastAsiaTheme="majorEastAsia"/>
          <w:rtl/>
        </w:rPr>
        <w:t>וַיְדַבֵּר מֹשֶׁה בְּאָזְנֵי כָּל־קְהַל יִשְׂרָאֵל אֶת־דִּבְרֵי הַשִּׁירָה הַזֹּאת עַד תֻּמָּם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דבר</w:t>
      </w:r>
      <w:r>
        <w:t xml:space="preserve">, Piel Imperfekt mit </w:t>
      </w:r>
      <w:r>
        <w:rPr>
          <w:rStyle w:val="Fett"/>
          <w:rFonts w:eastAsiaTheme="majorEastAsia"/>
        </w:rPr>
        <w:t>Waw</w:t>
      </w:r>
      <w:r>
        <w:t xml:space="preserve"> consecutivum, 3. Person Maskulinum Singular, </w:t>
      </w:r>
      <w:r>
        <w:rPr>
          <w:rStyle w:val="Fett"/>
          <w:rFonts w:eastAsiaTheme="majorEastAsia"/>
          <w:rtl/>
        </w:rPr>
        <w:t>מֹשֶׁה</w:t>
      </w:r>
      <w:r>
        <w:rPr>
          <w:rtl/>
        </w:rPr>
        <w:t xml:space="preserve"> </w:t>
      </w:r>
      <w:r>
        <w:t xml:space="preserve">als Subjekt, </w:t>
      </w:r>
      <w:r>
        <w:rPr>
          <w:rStyle w:val="Fett"/>
          <w:rFonts w:eastAsiaTheme="majorEastAsia"/>
          <w:rtl/>
        </w:rPr>
        <w:t>בְּאָזְנֵי כָּל־קָהָל יִשְׂרָאֵל</w:t>
      </w:r>
      <w:r>
        <w:t xml:space="preserve">, Objektpartikel </w:t>
      </w:r>
      <w:r>
        <w:rPr>
          <w:rStyle w:val="Fett"/>
          <w:rFonts w:eastAsiaTheme="majorEastAsia"/>
          <w:rtl/>
        </w:rPr>
        <w:t>אֵת</w:t>
      </w:r>
      <w:r>
        <w:rPr>
          <w:rtl/>
        </w:rPr>
        <w:t xml:space="preserve"> </w:t>
      </w:r>
      <w:r>
        <w:t xml:space="preserve">mit </w:t>
      </w:r>
      <w:r>
        <w:rPr>
          <w:rStyle w:val="Fett"/>
          <w:rFonts w:eastAsiaTheme="majorEastAsia"/>
          <w:rtl/>
        </w:rPr>
        <w:t>דָּבָר</w:t>
      </w:r>
      <w:r>
        <w:rPr>
          <w:rtl/>
        </w:rPr>
        <w:t xml:space="preserve"> </w:t>
      </w:r>
      <w:r>
        <w:t xml:space="preserve">Plural Construct mit </w:t>
      </w:r>
      <w:r>
        <w:rPr>
          <w:rStyle w:val="Fett"/>
          <w:rFonts w:eastAsiaTheme="majorEastAsia"/>
          <w:rtl/>
        </w:rPr>
        <w:t>שִׁירָה</w:t>
      </w:r>
      <w:r>
        <w:rPr>
          <w:rtl/>
        </w:rPr>
        <w:t xml:space="preserve"> </w:t>
      </w:r>
      <w:r>
        <w:t xml:space="preserve">mit Artikel, </w:t>
      </w:r>
      <w:r>
        <w:rPr>
          <w:rStyle w:val="Fett"/>
          <w:rFonts w:eastAsiaTheme="majorEastAsia"/>
          <w:rtl/>
        </w:rPr>
        <w:t>זֹאת</w:t>
      </w:r>
      <w:r>
        <w:t xml:space="preserve">, </w:t>
      </w:r>
      <w:r>
        <w:rPr>
          <w:rStyle w:val="Fett"/>
          <w:rFonts w:eastAsiaTheme="majorEastAsia"/>
          <w:rtl/>
        </w:rPr>
        <w:t>עַד תֻּמָּם</w:t>
      </w:r>
      <w:r>
        <w:t xml:space="preserve">, „bis zu ihrem Ende"). Die </w:t>
      </w:r>
      <w:r>
        <w:rPr>
          <w:rStyle w:val="Fett"/>
          <w:rFonts w:eastAsiaTheme="majorEastAsia"/>
        </w:rPr>
        <w:t>Petucha</w:t>
      </w:r>
      <w:r>
        <w:t xml:space="preserve"> (</w:t>
      </w:r>
      <w:r>
        <w:rPr>
          <w:rtl/>
        </w:rPr>
        <w:t>פ</w:t>
      </w:r>
      <w:r>
        <w:t>) markiert das Ende von Kapitel 31.</w:t>
      </w:r>
    </w:p>
    <w:p w14:paraId="0D07B9FB" w14:textId="77777777" w:rsidR="008A57FB" w:rsidRDefault="008A57FB" w:rsidP="008A57FB">
      <w:pPr>
        <w:pStyle w:val="whitespace-normal"/>
      </w:pPr>
      <w:r>
        <w:t xml:space="preserve">Der Vers ist die Überleitung zu Kapitel 32 (dem Lied Moses). Die Aussage: </w:t>
      </w:r>
      <w:r>
        <w:rPr>
          <w:rStyle w:val="Fett"/>
          <w:rFonts w:eastAsiaTheme="majorEastAsia"/>
          <w:rtl/>
        </w:rPr>
        <w:t>וַיְדַבֵּר מֹשֶׁה בְּאָזְנֵי כָּל־קְהַל יִשְׂרָאֵל אֶת־דִּבְרֵי הַשִּׁירָה הַזֹּאת עַד תֻּמָּם</w:t>
      </w:r>
      <w:r>
        <w:rPr>
          <w:rtl/>
        </w:rPr>
        <w:t xml:space="preserve"> </w:t>
      </w:r>
      <w:r>
        <w:t xml:space="preserve">(„und Mosche redete vor den Ohren der ganzen Versammlung von Israel die Worte dieses Liedes bis zu ihrem Ende"). Die Formulierung </w:t>
      </w:r>
      <w:r>
        <w:rPr>
          <w:rStyle w:val="Fett"/>
          <w:rFonts w:eastAsiaTheme="majorEastAsia"/>
          <w:rtl/>
        </w:rPr>
        <w:t>בְּאָזְנֵי כָּל־קְהַל יִשְׂרָאֵל</w:t>
      </w:r>
      <w:r>
        <w:rPr>
          <w:rtl/>
        </w:rPr>
        <w:t xml:space="preserve"> </w:t>
      </w:r>
      <w:r>
        <w:t xml:space="preserve">(„vor den Ohren der ganzen Versammlung von Israel") betont: öffentliche Rezitation vor dem gesamten Volk (vgl. V. 28; 5,1; Ex 12,6; Lev 4,13; Num 14,5; 16,3; 20,6). Die Formulierung </w:t>
      </w:r>
      <w:r>
        <w:rPr>
          <w:rStyle w:val="Fett"/>
          <w:rFonts w:eastAsiaTheme="majorEastAsia"/>
          <w:rtl/>
        </w:rPr>
        <w:t>עַד תֻּמָּם</w:t>
      </w:r>
      <w:r>
        <w:rPr>
          <w:rtl/>
        </w:rPr>
        <w:t xml:space="preserve"> </w:t>
      </w:r>
      <w:r>
        <w:t>(„bis zu ihrem Ende") wie V. 24 betont: vollständige Rezitation. Das eigentliche Lied folgt in Kapitel 32,1-43.</w:t>
      </w:r>
    </w:p>
    <w:p w14:paraId="7C7692B2" w14:textId="77777777" w:rsidR="008A57FB" w:rsidRDefault="008A57FB" w:rsidP="008A57FB">
      <w:pPr>
        <w:pStyle w:val="whitespace-normal"/>
      </w:pPr>
      <w:r>
        <w:rPr>
          <w:rStyle w:val="Fett"/>
          <w:rFonts w:eastAsiaTheme="majorEastAsia"/>
        </w:rPr>
        <w:t>Die Satzstruktur:</w:t>
      </w:r>
      <w:r>
        <w:t xml:space="preserve"> Aussage (und Mosche redete vor den Ohren der ganzen Versammlung von Israel die Worte dieses Liedes bis zu ihrem Ende).</w:t>
      </w:r>
    </w:p>
    <w:p w14:paraId="09843C8B" w14:textId="1F6F2B52" w:rsidR="008A57FB" w:rsidRDefault="008A57FB" w:rsidP="00B77CC6">
      <w:pPr>
        <w:pStyle w:val="whitespace-normal"/>
      </w:pPr>
      <w:r>
        <w:rPr>
          <w:rStyle w:val="Fett"/>
          <w:rFonts w:eastAsiaTheme="majorEastAsia"/>
        </w:rPr>
        <w:t>Der Vers beschreibt:</w:t>
      </w:r>
      <w:r>
        <w:t xml:space="preserve"> Überleitung – Mose rezitiert das gesamte Lied vor ganz Israel.</w:t>
      </w:r>
    </w:p>
    <w:p w14:paraId="77301C4C" w14:textId="77777777" w:rsidR="00EE5F59" w:rsidRPr="00257FCB" w:rsidRDefault="00EE5F59" w:rsidP="00257FCB">
      <w:pPr>
        <w:pStyle w:val="Bibelberschrift"/>
        <w:rPr>
          <w:b w:val="0"/>
          <w:bCs/>
        </w:rPr>
      </w:pPr>
      <w:r w:rsidRPr="00257FCB">
        <w:rPr>
          <w:rStyle w:val="Fett"/>
          <w:b/>
          <w:bCs w:val="0"/>
        </w:rPr>
        <w:t>Deuteronomium 32,1</w:t>
      </w:r>
    </w:p>
    <w:p w14:paraId="0BBA81E1" w14:textId="77777777" w:rsidR="00EE5F59" w:rsidRDefault="00EE5F59" w:rsidP="00EE5F59">
      <w:pPr>
        <w:pStyle w:val="whitespace-normal"/>
      </w:pPr>
      <w:r>
        <w:rPr>
          <w:rStyle w:val="Fett"/>
          <w:rFonts w:eastAsiaTheme="majorEastAsia"/>
        </w:rPr>
        <w:t>Hebräisch:</w:t>
      </w:r>
      <w:r>
        <w:t xml:space="preserve"> </w:t>
      </w:r>
      <w:r>
        <w:rPr>
          <w:rtl/>
        </w:rPr>
        <w:t>הַאֲזִינוּ הַשָּׁמַיִם וַאֲדַבֵּרָה וְתִשְׁמַע הָאָרֶץ אִמְרֵי־פִי׃</w:t>
      </w:r>
    </w:p>
    <w:p w14:paraId="0D15485E" w14:textId="77777777" w:rsidR="00EE5F59" w:rsidRDefault="00EE5F59" w:rsidP="00EE5F59">
      <w:pPr>
        <w:pStyle w:val="whitespace-normal"/>
      </w:pPr>
      <w:r>
        <w:rPr>
          <w:rStyle w:val="Fett"/>
          <w:rFonts w:eastAsiaTheme="majorEastAsia"/>
        </w:rPr>
        <w:t>Deutsch:</w:t>
      </w:r>
      <w:r>
        <w:t xml:space="preserve"> Horcht, ihr Himmel, und ich will reden, und die Erde höre die Worte meines Mundes!</w:t>
      </w:r>
    </w:p>
    <w:p w14:paraId="0485F766" w14:textId="77777777" w:rsidR="00EE5F59" w:rsidRDefault="004F5CEB" w:rsidP="00EE5F59">
      <w:r>
        <w:rPr>
          <w:noProof/>
        </w:rPr>
        <w:lastRenderedPageBreak/>
        <w:pict w14:anchorId="1D9AB7F1">
          <v:rect id="_x0000_i1894" style="width:0;height:1.5pt" o:hralign="center" o:hrstd="t" o:hr="t" fillcolor="#a0a0a0" stroked="f"/>
        </w:pict>
      </w:r>
    </w:p>
    <w:p w14:paraId="2270AED7" w14:textId="77777777" w:rsidR="00EE5F59" w:rsidRDefault="00EE5F59" w:rsidP="00EE5F59">
      <w:pPr>
        <w:pStyle w:val="whitespace-normal"/>
      </w:pPr>
      <w:r>
        <w:rPr>
          <w:rStyle w:val="Fett"/>
          <w:rFonts w:eastAsiaTheme="majorEastAsia"/>
        </w:rPr>
        <w:t>Kommentar:</w:t>
      </w:r>
      <w:r>
        <w:t xml:space="preserve"> </w:t>
      </w:r>
      <w:r>
        <w:rPr>
          <w:rStyle w:val="Fett"/>
          <w:rFonts w:eastAsiaTheme="majorEastAsia"/>
          <w:rtl/>
        </w:rPr>
        <w:t>הַאֲזִינוּ הַשָּׁמַיִם וַאֲדַבֵּרָה וְתִשְׁמַע הָאָרֶץ אִמְרֵי־פִי</w:t>
      </w:r>
      <w:r>
        <w:rPr>
          <w:rtl/>
        </w:rPr>
        <w:t xml:space="preserve"> </w:t>
      </w:r>
      <w:r>
        <w:t xml:space="preserve">sind drei Aussagen: </w:t>
      </w:r>
      <w:r>
        <w:rPr>
          <w:rStyle w:val="Fett"/>
          <w:rFonts w:eastAsiaTheme="majorEastAsia"/>
          <w:rtl/>
        </w:rPr>
        <w:t>הַאֲזִינוּ הַשָּׁמַיִם</w:t>
      </w:r>
      <w:r>
        <w:rPr>
          <w:rtl/>
        </w:rPr>
        <w:t xml:space="preserve"> </w:t>
      </w:r>
      <w:r>
        <w:t>(</w:t>
      </w:r>
      <w:r>
        <w:rPr>
          <w:rStyle w:val="Fett"/>
          <w:rFonts w:eastAsiaTheme="majorEastAsia"/>
          <w:rtl/>
        </w:rPr>
        <w:t>אזן</w:t>
      </w:r>
      <w:r>
        <w:t xml:space="preserve">, Hiphil Imperativ, Maskulinum Plural, „horchen, hören", </w:t>
      </w:r>
      <w:r>
        <w:rPr>
          <w:rStyle w:val="Fett"/>
          <w:rFonts w:eastAsiaTheme="majorEastAsia"/>
          <w:rtl/>
        </w:rPr>
        <w:t>שָׁמַיִם</w:t>
      </w:r>
      <w:r>
        <w:rPr>
          <w:rtl/>
        </w:rPr>
        <w:t xml:space="preserve"> </w:t>
      </w:r>
      <w:r>
        <w:t xml:space="preserve">mit Artikel als Vokativ), </w:t>
      </w:r>
      <w:r>
        <w:rPr>
          <w:rStyle w:val="Fett"/>
          <w:rFonts w:eastAsiaTheme="majorEastAsia"/>
          <w:rtl/>
        </w:rPr>
        <w:t>וַאֲדַבֵּרָה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דבר</w:t>
      </w:r>
      <w:r>
        <w:t xml:space="preserve">, Piel Imperfekt, 1. Person Singular (Kohortativ), mit </w:t>
      </w:r>
      <w:r>
        <w:rPr>
          <w:rStyle w:val="Fett"/>
          <w:rFonts w:eastAsiaTheme="majorEastAsia"/>
        </w:rPr>
        <w:t>Waw</w:t>
      </w:r>
      <w:r>
        <w:t xml:space="preserve"> consecutivum), </w:t>
      </w:r>
      <w:r>
        <w:rPr>
          <w:rStyle w:val="Fett"/>
          <w:rFonts w:eastAsiaTheme="majorEastAsia"/>
          <w:rtl/>
        </w:rPr>
        <w:t>וְתִשְׁמַע הָאָרֶץ אִמְרֵי־פִי</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שׁמע</w:t>
      </w:r>
      <w:r>
        <w:t xml:space="preserve">, Qal Imperfekt, 3. Person Femininum Singular (Jussiv), </w:t>
      </w:r>
      <w:r>
        <w:rPr>
          <w:rStyle w:val="Fett"/>
          <w:rFonts w:eastAsiaTheme="majorEastAsia"/>
          <w:rtl/>
        </w:rPr>
        <w:t>אֶרֶץ</w:t>
      </w:r>
      <w:r>
        <w:rPr>
          <w:rtl/>
        </w:rPr>
        <w:t xml:space="preserve"> </w:t>
      </w:r>
      <w:r>
        <w:t xml:space="preserve">mit Artikel als Subjekt, </w:t>
      </w:r>
      <w:r>
        <w:rPr>
          <w:rStyle w:val="Fett"/>
          <w:rFonts w:eastAsiaTheme="majorEastAsia"/>
          <w:rtl/>
        </w:rPr>
        <w:t>אֵמֶר</w:t>
      </w:r>
      <w:r>
        <w:t xml:space="preserve">, „Wort, Rede", Plural Construct mit </w:t>
      </w:r>
      <w:r>
        <w:rPr>
          <w:rStyle w:val="Fett"/>
          <w:rFonts w:eastAsiaTheme="majorEastAsia"/>
          <w:rtl/>
        </w:rPr>
        <w:t>פֶּה</w:t>
      </w:r>
      <w:r>
        <w:t>, „Mund", mit Suffix 1. Person Singular).</w:t>
      </w:r>
    </w:p>
    <w:p w14:paraId="57F03D14" w14:textId="77777777" w:rsidR="00EE5F59" w:rsidRDefault="00EE5F59" w:rsidP="00EE5F59">
      <w:pPr>
        <w:pStyle w:val="whitespace-normal"/>
      </w:pPr>
      <w:r>
        <w:t xml:space="preserve">Der Vers ist der feierliche Anfang des Liedes Moses, das als Zeuge gegen Israel dienen soll (vgl. 31,19.21.26). Die drei Aussagen: </w:t>
      </w:r>
      <w:r>
        <w:rPr>
          <w:rStyle w:val="Fett"/>
          <w:rFonts w:eastAsiaTheme="majorEastAsia"/>
          <w:rtl/>
        </w:rPr>
        <w:t>הַאֲזִינוּ הַשָּׁמַיִם וַאֲדַבֵּרָה וְתִשְׁמַע הָאָרֶץ אִמְרֵי־פִי</w:t>
      </w:r>
      <w:r>
        <w:rPr>
          <w:rtl/>
        </w:rPr>
        <w:t xml:space="preserve"> </w:t>
      </w:r>
      <w:r>
        <w:t xml:space="preserve">(„horcht, ihr Himmel, und ich will reden; und höre die Erde die Worte meines Mundes"). Himmel und Erde werden als kosmische Zeugen aufgerufen (vgl. 4,26; 30,19; 31,28; Jes 1,2; Mich 6,1-2; Ps 50,4). Die beiden Verben </w:t>
      </w:r>
      <w:r>
        <w:rPr>
          <w:rStyle w:val="Fett"/>
          <w:rFonts w:eastAsiaTheme="majorEastAsia"/>
          <w:rtl/>
        </w:rPr>
        <w:t>אזן</w:t>
      </w:r>
      <w:r>
        <w:rPr>
          <w:rtl/>
        </w:rPr>
        <w:t xml:space="preserve"> </w:t>
      </w:r>
      <w:r>
        <w:t xml:space="preserve">(„horchen") und </w:t>
      </w:r>
      <w:r>
        <w:rPr>
          <w:rStyle w:val="Fett"/>
          <w:rFonts w:eastAsiaTheme="majorEastAsia"/>
          <w:rtl/>
        </w:rPr>
        <w:t>שׁמע</w:t>
      </w:r>
      <w:r>
        <w:rPr>
          <w:rtl/>
        </w:rPr>
        <w:t xml:space="preserve"> </w:t>
      </w:r>
      <w:r>
        <w:t xml:space="preserve">(„hören") sind synonyme Parallelausdrücke. Der Parallelismus </w:t>
      </w:r>
      <w:r>
        <w:rPr>
          <w:rStyle w:val="Fett"/>
          <w:rFonts w:eastAsiaTheme="majorEastAsia"/>
          <w:rtl/>
        </w:rPr>
        <w:t>שָׁמַיִם // אֶרֶץ</w:t>
      </w:r>
      <w:r>
        <w:rPr>
          <w:rtl/>
        </w:rPr>
        <w:t xml:space="preserve"> </w:t>
      </w:r>
      <w:r>
        <w:t xml:space="preserve">(„Himmel // Erde") ist klassisch für poetische Texte (vgl. Gen 1,1; Ex 20,11; Ps 115,15-16; 121,2; 124,8; 134,3; 146,6; Jes 1,2; 44,23; 49,13; Jer 23,24). Die Formulierung </w:t>
      </w:r>
      <w:r>
        <w:rPr>
          <w:rStyle w:val="Fett"/>
          <w:rFonts w:eastAsiaTheme="majorEastAsia"/>
          <w:rtl/>
        </w:rPr>
        <w:t>אִמְרֵי־פִי</w:t>
      </w:r>
      <w:r>
        <w:rPr>
          <w:rtl/>
        </w:rPr>
        <w:t xml:space="preserve"> </w:t>
      </w:r>
      <w:r>
        <w:t>(„Worte meines Mundes") ist poetisch (vgl. Ps 19,15; 54,4; 78,1; Spr 4,5; 5,7; 7,24; 8,8).</w:t>
      </w:r>
    </w:p>
    <w:p w14:paraId="36641357" w14:textId="77777777" w:rsidR="00EE5F59" w:rsidRDefault="00EE5F59" w:rsidP="00EE5F59">
      <w:pPr>
        <w:pStyle w:val="whitespace-normal"/>
      </w:pPr>
      <w:r>
        <w:rPr>
          <w:rStyle w:val="Fett"/>
          <w:rFonts w:eastAsiaTheme="majorEastAsia"/>
        </w:rPr>
        <w:t>Die Satzstruktur:</w:t>
      </w:r>
      <w:r>
        <w:t xml:space="preserve"> Drei Aussagen (horcht, ihr Himmel, und ich will reden; und höre die Erde die Worte meines Mundes).</w:t>
      </w:r>
    </w:p>
    <w:p w14:paraId="0C5045EE" w14:textId="0169EFBB" w:rsidR="00EE5F59" w:rsidRDefault="00EE5F59" w:rsidP="00B77CC6">
      <w:pPr>
        <w:pStyle w:val="whitespace-normal"/>
      </w:pPr>
      <w:r>
        <w:rPr>
          <w:rStyle w:val="Fett"/>
          <w:rFonts w:eastAsiaTheme="majorEastAsia"/>
        </w:rPr>
        <w:t>Der Vers beschreibt:</w:t>
      </w:r>
      <w:r>
        <w:t xml:space="preserve"> Feierliche Eröffnung – Himmel und Erde werden als Zeugen aufgerufen, Moses Lied zu hören.</w:t>
      </w:r>
    </w:p>
    <w:p w14:paraId="7E976CC3" w14:textId="77777777" w:rsidR="00EE5F59" w:rsidRPr="00257FCB" w:rsidRDefault="00EE5F59" w:rsidP="00257FCB">
      <w:pPr>
        <w:pStyle w:val="Bibelberschrift"/>
        <w:rPr>
          <w:b w:val="0"/>
          <w:bCs/>
        </w:rPr>
      </w:pPr>
      <w:r w:rsidRPr="00257FCB">
        <w:rPr>
          <w:rStyle w:val="Fett"/>
          <w:b/>
          <w:bCs w:val="0"/>
        </w:rPr>
        <w:t>Deuteronomium 32,2</w:t>
      </w:r>
    </w:p>
    <w:p w14:paraId="1234629D" w14:textId="77777777" w:rsidR="00EE5F59" w:rsidRDefault="00EE5F59" w:rsidP="00EE5F59">
      <w:pPr>
        <w:pStyle w:val="whitespace-normal"/>
      </w:pPr>
      <w:r>
        <w:rPr>
          <w:rStyle w:val="Fett"/>
          <w:rFonts w:eastAsiaTheme="majorEastAsia"/>
        </w:rPr>
        <w:t>Hebräisch:</w:t>
      </w:r>
      <w:r>
        <w:t xml:space="preserve"> </w:t>
      </w:r>
      <w:r>
        <w:rPr>
          <w:rtl/>
        </w:rPr>
        <w:t>יַעֲרֹף כַּמָּטָר לִקְחִי תִּזַּל כַּטַּל אִמְרָתִי כִּשְׂעִירִם עֲלֵי־דֶשֶׁא וְכִרְבִיבִים עֲלֵי־עֵשֶׂב׃</w:t>
      </w:r>
    </w:p>
    <w:p w14:paraId="7EB7D88E" w14:textId="77777777" w:rsidR="00EE5F59" w:rsidRDefault="00EE5F59" w:rsidP="00EE5F59">
      <w:pPr>
        <w:pStyle w:val="whitespace-normal"/>
      </w:pPr>
      <w:r>
        <w:rPr>
          <w:rStyle w:val="Fett"/>
          <w:rFonts w:eastAsiaTheme="majorEastAsia"/>
        </w:rPr>
        <w:t>Deutsch:</w:t>
      </w:r>
      <w:r>
        <w:t xml:space="preserve"> Es träufle wie Regen meine Lehre, es fließe wie Tau meine Rede, wie Regenschauer auf das Gras und wie Regengüsse auf das Kraut.</w:t>
      </w:r>
    </w:p>
    <w:p w14:paraId="6DFBB047" w14:textId="77777777" w:rsidR="00EE5F59" w:rsidRDefault="004F5CEB" w:rsidP="00EE5F59">
      <w:r>
        <w:rPr>
          <w:noProof/>
        </w:rPr>
        <w:pict w14:anchorId="3B533AFE">
          <v:rect id="_x0000_i1895" style="width:0;height:1.5pt" o:hralign="center" o:hrstd="t" o:hr="t" fillcolor="#a0a0a0" stroked="f"/>
        </w:pict>
      </w:r>
    </w:p>
    <w:p w14:paraId="6BA674D3" w14:textId="77777777" w:rsidR="00EE5F59" w:rsidRDefault="00EE5F59" w:rsidP="00EE5F59">
      <w:pPr>
        <w:pStyle w:val="whitespace-normal"/>
      </w:pPr>
      <w:r>
        <w:rPr>
          <w:rStyle w:val="Fett"/>
          <w:rFonts w:eastAsiaTheme="majorEastAsia"/>
        </w:rPr>
        <w:t>Kommentar:</w:t>
      </w:r>
      <w:r>
        <w:t xml:space="preserve"> </w:t>
      </w:r>
      <w:r>
        <w:rPr>
          <w:rStyle w:val="Fett"/>
          <w:rFonts w:eastAsiaTheme="majorEastAsia"/>
          <w:rtl/>
        </w:rPr>
        <w:t>יַעֲרֹף כַּמָּטָר לִקְחִי תִּזַּל כַּטַּל אִמְרָתִי כִּשְׂעִירִם עֲלֵי־דֶשֶׁא וְכִרְבִיבִים עֲלֵי־עֵשֶׂב</w:t>
      </w:r>
      <w:r>
        <w:rPr>
          <w:rtl/>
        </w:rPr>
        <w:t xml:space="preserve"> </w:t>
      </w:r>
      <w:r>
        <w:t xml:space="preserve">sind vier Aussagen mit Vergleichen: </w:t>
      </w:r>
      <w:r>
        <w:rPr>
          <w:rStyle w:val="Fett"/>
          <w:rFonts w:eastAsiaTheme="majorEastAsia"/>
          <w:rtl/>
        </w:rPr>
        <w:t>יַעֲרֹף כַּמָּטָר לִקְחִי</w:t>
      </w:r>
      <w:r>
        <w:rPr>
          <w:rtl/>
        </w:rPr>
        <w:t xml:space="preserve"> </w:t>
      </w:r>
      <w:r>
        <w:t>(</w:t>
      </w:r>
      <w:r>
        <w:rPr>
          <w:rStyle w:val="Fett"/>
          <w:rFonts w:eastAsiaTheme="majorEastAsia"/>
          <w:rtl/>
        </w:rPr>
        <w:t>ערף</w:t>
      </w:r>
      <w:r>
        <w:t xml:space="preserve">, Qal Imperfekt, 3. Person Maskulinum Singular (Jussiv), „träufeln, herabtropfen", </w:t>
      </w:r>
      <w:r>
        <w:rPr>
          <w:rStyle w:val="Fett"/>
          <w:rFonts w:eastAsiaTheme="majorEastAsia"/>
          <w:rtl/>
        </w:rPr>
        <w:t>כְּ</w:t>
      </w:r>
      <w:r>
        <w:rPr>
          <w:rtl/>
        </w:rPr>
        <w:t xml:space="preserve"> </w:t>
      </w:r>
      <w:r>
        <w:t xml:space="preserve">+ </w:t>
      </w:r>
      <w:r>
        <w:rPr>
          <w:rStyle w:val="Fett"/>
          <w:rFonts w:eastAsiaTheme="majorEastAsia"/>
          <w:rtl/>
        </w:rPr>
        <w:t>מָטָר</w:t>
      </w:r>
      <w:r>
        <w:t xml:space="preserve">, „Regen", </w:t>
      </w:r>
      <w:r>
        <w:rPr>
          <w:rStyle w:val="Fett"/>
          <w:rFonts w:eastAsiaTheme="majorEastAsia"/>
          <w:rtl/>
        </w:rPr>
        <w:t>לֶקַח</w:t>
      </w:r>
      <w:r>
        <w:t xml:space="preserve">, „Lehre, Unterweisung", mit Suffix 1. Person Singular als Subjekt), </w:t>
      </w:r>
      <w:r>
        <w:rPr>
          <w:rStyle w:val="Fett"/>
          <w:rFonts w:eastAsiaTheme="majorEastAsia"/>
          <w:rtl/>
        </w:rPr>
        <w:t>תִּזַּל כַּטַּל אִמְרָתִי</w:t>
      </w:r>
      <w:r>
        <w:rPr>
          <w:rtl/>
        </w:rPr>
        <w:t xml:space="preserve"> </w:t>
      </w:r>
      <w:r>
        <w:t>(</w:t>
      </w:r>
      <w:r>
        <w:rPr>
          <w:rStyle w:val="Fett"/>
          <w:rFonts w:eastAsiaTheme="majorEastAsia"/>
          <w:rtl/>
        </w:rPr>
        <w:t>נזל</w:t>
      </w:r>
      <w:r>
        <w:t xml:space="preserve">, Qal Imperfekt, 3. Person Femininum Singular (Jussiv), „fließen, herabfließen", </w:t>
      </w:r>
      <w:r>
        <w:rPr>
          <w:rStyle w:val="Fett"/>
          <w:rFonts w:eastAsiaTheme="majorEastAsia"/>
          <w:rtl/>
        </w:rPr>
        <w:t>כְּ</w:t>
      </w:r>
      <w:r>
        <w:rPr>
          <w:rtl/>
        </w:rPr>
        <w:t xml:space="preserve"> </w:t>
      </w:r>
      <w:r>
        <w:t xml:space="preserve">+ </w:t>
      </w:r>
      <w:r>
        <w:rPr>
          <w:rStyle w:val="Fett"/>
          <w:rFonts w:eastAsiaTheme="majorEastAsia"/>
          <w:rtl/>
        </w:rPr>
        <w:t>טַל</w:t>
      </w:r>
      <w:r>
        <w:t xml:space="preserve">, „Tau", </w:t>
      </w:r>
      <w:r>
        <w:rPr>
          <w:rStyle w:val="Fett"/>
          <w:rFonts w:eastAsiaTheme="majorEastAsia"/>
          <w:rtl/>
        </w:rPr>
        <w:t>אִמְרָה</w:t>
      </w:r>
      <w:r>
        <w:t xml:space="preserve">, „Rede, Wort", mit Suffix 1. Person Singular als Subjekt), </w:t>
      </w:r>
      <w:r>
        <w:rPr>
          <w:rStyle w:val="Fett"/>
          <w:rFonts w:eastAsiaTheme="majorEastAsia"/>
          <w:rtl/>
        </w:rPr>
        <w:t>כִּשְׂעִירִם עֲלֵי־דֶשֶׁא</w:t>
      </w:r>
      <w:r>
        <w:rPr>
          <w:rtl/>
        </w:rPr>
        <w:t xml:space="preserve"> </w:t>
      </w:r>
      <w:r>
        <w:t xml:space="preserve">(weiterer Vergleich: </w:t>
      </w:r>
      <w:r>
        <w:rPr>
          <w:rStyle w:val="Fett"/>
          <w:rFonts w:eastAsiaTheme="majorEastAsia"/>
          <w:rtl/>
        </w:rPr>
        <w:t>כְּ</w:t>
      </w:r>
      <w:r>
        <w:rPr>
          <w:rtl/>
        </w:rPr>
        <w:t xml:space="preserve"> </w:t>
      </w:r>
      <w:r>
        <w:t xml:space="preserve">+ </w:t>
      </w:r>
      <w:r>
        <w:rPr>
          <w:rStyle w:val="Fett"/>
          <w:rFonts w:eastAsiaTheme="majorEastAsia"/>
          <w:rtl/>
        </w:rPr>
        <w:t>שְׂעִיר</w:t>
      </w:r>
      <w:r>
        <w:t xml:space="preserve">, „Regenschauer", Plural, </w:t>
      </w:r>
      <w:r>
        <w:rPr>
          <w:rStyle w:val="Fett"/>
          <w:rFonts w:eastAsiaTheme="majorEastAsia"/>
          <w:rtl/>
        </w:rPr>
        <w:t>עַל</w:t>
      </w:r>
      <w:r>
        <w:rPr>
          <w:rtl/>
        </w:rPr>
        <w:t xml:space="preserve"> </w:t>
      </w:r>
      <w:r>
        <w:t xml:space="preserve">mit </w:t>
      </w:r>
      <w:r>
        <w:rPr>
          <w:rStyle w:val="Fett"/>
          <w:rFonts w:eastAsiaTheme="majorEastAsia"/>
          <w:rtl/>
        </w:rPr>
        <w:t>דֶּשֶׁא</w:t>
      </w:r>
      <w:r>
        <w:t xml:space="preserve">, „junges Gras, zartes Grün"), </w:t>
      </w:r>
      <w:r>
        <w:rPr>
          <w:rStyle w:val="Fett"/>
          <w:rFonts w:eastAsiaTheme="majorEastAsia"/>
          <w:rtl/>
        </w:rPr>
        <w:t>וְכִרְבִיבִים עֲלֵי־עֵשֶׂב</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כְּ</w:t>
      </w:r>
      <w:r>
        <w:rPr>
          <w:rtl/>
        </w:rPr>
        <w:t xml:space="preserve"> </w:t>
      </w:r>
      <w:r>
        <w:t xml:space="preserve">+ </w:t>
      </w:r>
      <w:r>
        <w:rPr>
          <w:rStyle w:val="Fett"/>
          <w:rFonts w:eastAsiaTheme="majorEastAsia"/>
          <w:rtl/>
        </w:rPr>
        <w:t>רְבִיבִים</w:t>
      </w:r>
      <w:r>
        <w:t xml:space="preserve">, „Regengüsse, Regentropfen", Plural, </w:t>
      </w:r>
      <w:r>
        <w:rPr>
          <w:rStyle w:val="Fett"/>
          <w:rFonts w:eastAsiaTheme="majorEastAsia"/>
          <w:rtl/>
        </w:rPr>
        <w:t>עַל</w:t>
      </w:r>
      <w:r>
        <w:rPr>
          <w:rtl/>
        </w:rPr>
        <w:t xml:space="preserve"> </w:t>
      </w:r>
      <w:r>
        <w:t xml:space="preserve">mit </w:t>
      </w:r>
      <w:r>
        <w:rPr>
          <w:rStyle w:val="Fett"/>
          <w:rFonts w:eastAsiaTheme="majorEastAsia"/>
          <w:rtl/>
        </w:rPr>
        <w:t>עֵשֶׂב</w:t>
      </w:r>
      <w:r>
        <w:t>, „Kraut, Gras").</w:t>
      </w:r>
    </w:p>
    <w:p w14:paraId="6BDCA52E" w14:textId="3BA42B1D" w:rsidR="00EE5F59" w:rsidRDefault="00EE5F59" w:rsidP="00EE5F59">
      <w:pPr>
        <w:pStyle w:val="whitespace-normal"/>
      </w:pPr>
      <w:r>
        <w:t xml:space="preserve">Der Vers beschreibt die Wirkung von Moses Lehre mit vier Wassermetaphern. Die vier Aussagen: </w:t>
      </w:r>
      <w:r>
        <w:rPr>
          <w:rStyle w:val="Fett"/>
          <w:rFonts w:eastAsiaTheme="majorEastAsia"/>
          <w:rtl/>
        </w:rPr>
        <w:t>יַעֲרֹף כַּמָּטָר לִקְחִי תִּזַּל כַּטַּל אִמְרָתִי כִּשְׂעִירִם עֲלֵי־דֶשֶׁא וְכִרְבִיבִים עֲלֵי־עֵשֶׂב</w:t>
      </w:r>
      <w:r>
        <w:rPr>
          <w:rtl/>
        </w:rPr>
        <w:t xml:space="preserve"> </w:t>
      </w:r>
      <w:r>
        <w:t xml:space="preserve">(„es träufle wie Regen meine Lehre, es fließe wie Tau meine Rede, wie Regenschauer auf das junge Gras und </w:t>
      </w:r>
      <w:r>
        <w:lastRenderedPageBreak/>
        <w:t xml:space="preserve">wie Regengüsse auf das Kraut"). Vier Wassermetaphern beschreiben die belebende, fruchtbringende Wirkung der göttlichen Lehre: (1) </w:t>
      </w:r>
      <w:r>
        <w:rPr>
          <w:rStyle w:val="Fett"/>
          <w:rFonts w:eastAsiaTheme="majorEastAsia"/>
          <w:rtl/>
        </w:rPr>
        <w:t>מָטָר</w:t>
      </w:r>
      <w:r>
        <w:rPr>
          <w:rtl/>
        </w:rPr>
        <w:t xml:space="preserve"> </w:t>
      </w:r>
      <w:r>
        <w:t xml:space="preserve">(„Regen"), (2) </w:t>
      </w:r>
      <w:r>
        <w:rPr>
          <w:rStyle w:val="Fett"/>
          <w:rFonts w:eastAsiaTheme="majorEastAsia"/>
          <w:rtl/>
        </w:rPr>
        <w:t>טַל</w:t>
      </w:r>
      <w:r>
        <w:rPr>
          <w:rtl/>
        </w:rPr>
        <w:t xml:space="preserve"> </w:t>
      </w:r>
      <w:r>
        <w:t xml:space="preserve">(„Tau"), (3) </w:t>
      </w:r>
      <w:r>
        <w:rPr>
          <w:rStyle w:val="Fett"/>
          <w:rFonts w:eastAsiaTheme="majorEastAsia"/>
          <w:rtl/>
        </w:rPr>
        <w:t>שְׂעִירִם</w:t>
      </w:r>
      <w:r>
        <w:rPr>
          <w:rtl/>
        </w:rPr>
        <w:t xml:space="preserve"> </w:t>
      </w:r>
      <w:r>
        <w:t xml:space="preserve">(„Regenschauer"), (4) </w:t>
      </w:r>
      <w:r>
        <w:rPr>
          <w:rStyle w:val="Fett"/>
          <w:rFonts w:eastAsiaTheme="majorEastAsia"/>
          <w:rtl/>
        </w:rPr>
        <w:t>רְבִיבִים</w:t>
      </w:r>
      <w:r>
        <w:rPr>
          <w:rtl/>
        </w:rPr>
        <w:t xml:space="preserve"> </w:t>
      </w:r>
      <w:r>
        <w:t xml:space="preserve">(„Regengüsse"). Die beiden Begriffe </w:t>
      </w:r>
      <w:r>
        <w:rPr>
          <w:rStyle w:val="Fett"/>
          <w:rFonts w:eastAsiaTheme="majorEastAsia"/>
          <w:rtl/>
        </w:rPr>
        <w:t>לֶקַח</w:t>
      </w:r>
      <w:r>
        <w:rPr>
          <w:rtl/>
        </w:rPr>
        <w:t xml:space="preserve"> </w:t>
      </w:r>
      <w:r>
        <w:t xml:space="preserve">(„Lehre") und </w:t>
      </w:r>
      <w:r>
        <w:rPr>
          <w:rStyle w:val="Fett"/>
          <w:rFonts w:eastAsiaTheme="majorEastAsia"/>
          <w:rtl/>
        </w:rPr>
        <w:t>אִמְרָה</w:t>
      </w:r>
      <w:r>
        <w:rPr>
          <w:rtl/>
        </w:rPr>
        <w:t xml:space="preserve"> </w:t>
      </w:r>
      <w:r>
        <w:t xml:space="preserve">(„Rede") sind synonyme Parallelausdrücke für die göttliche Unterweisung (vgl. Spr 4,2; Jes 29,24; Hiob 11,4). Die beiden Begriffe </w:t>
      </w:r>
      <w:r>
        <w:rPr>
          <w:rStyle w:val="Fett"/>
          <w:rFonts w:eastAsiaTheme="majorEastAsia"/>
          <w:rtl/>
        </w:rPr>
        <w:t>דֶּשֶׁא</w:t>
      </w:r>
      <w:r>
        <w:rPr>
          <w:rtl/>
        </w:rPr>
        <w:t xml:space="preserve"> </w:t>
      </w:r>
      <w:r>
        <w:t xml:space="preserve">(„junges Gras") und </w:t>
      </w:r>
      <w:r>
        <w:rPr>
          <w:rStyle w:val="Fett"/>
          <w:rFonts w:eastAsiaTheme="majorEastAsia"/>
          <w:rtl/>
        </w:rPr>
        <w:t>עֵשֶׂב</w:t>
      </w:r>
      <w:r>
        <w:rPr>
          <w:rtl/>
        </w:rPr>
        <w:t xml:space="preserve"> </w:t>
      </w:r>
      <w:r>
        <w:t xml:space="preserve">(„Kraut") sind ebenfalls synonyme Parallelausdrücke (vgl. Gen 1,11-12; </w:t>
      </w:r>
      <w:r w:rsidR="00664EB6">
        <w:t>2Kön</w:t>
      </w:r>
      <w:r>
        <w:t xml:space="preserve"> 19,26; Jes 37,27; Ps 37,2). Die Metaphorik: Wie Regen und Tau die Vegetation beleben, so soll die göttliche Lehre Israel beleben und fruchtbar machen (vgl. Ps 72,6; Jes 55,10-11; Hos 6,3; 14,6; Mich 5,6).</w:t>
      </w:r>
    </w:p>
    <w:p w14:paraId="0AB9D086" w14:textId="77777777" w:rsidR="00EE5F59" w:rsidRDefault="00EE5F59" w:rsidP="00EE5F59">
      <w:pPr>
        <w:pStyle w:val="whitespace-normal"/>
      </w:pPr>
      <w:r>
        <w:rPr>
          <w:rStyle w:val="Fett"/>
          <w:rFonts w:eastAsiaTheme="majorEastAsia"/>
        </w:rPr>
        <w:t>Die Satzstruktur:</w:t>
      </w:r>
      <w:r>
        <w:t xml:space="preserve"> Vier Aussagen mit Vergleichen (es träufle wie Regen meine Lehre, es fließe wie Tau meine Rede, wie Regenschauer auf das junge Gras und wie Regengüsse auf das Kraut).</w:t>
      </w:r>
    </w:p>
    <w:p w14:paraId="1C765B59" w14:textId="2448A8FD" w:rsidR="00EE5F59" w:rsidRDefault="00EE5F59" w:rsidP="00B77CC6">
      <w:pPr>
        <w:pStyle w:val="whitespace-normal"/>
      </w:pPr>
      <w:r>
        <w:rPr>
          <w:rStyle w:val="Fett"/>
          <w:rFonts w:eastAsiaTheme="majorEastAsia"/>
        </w:rPr>
        <w:t>Der Vers beschreibt:</w:t>
      </w:r>
      <w:r>
        <w:t xml:space="preserve"> Wassermetaphern – die göttliche Lehre soll wie Regen und Tau Israel beleben und fruchtbar machen.</w:t>
      </w:r>
    </w:p>
    <w:p w14:paraId="039B1477" w14:textId="77777777" w:rsidR="00EE5F59" w:rsidRPr="00257FCB" w:rsidRDefault="00EE5F59" w:rsidP="00257FCB">
      <w:pPr>
        <w:pStyle w:val="Bibelberschrift"/>
        <w:rPr>
          <w:b w:val="0"/>
          <w:bCs/>
        </w:rPr>
      </w:pPr>
      <w:r w:rsidRPr="00257FCB">
        <w:rPr>
          <w:rStyle w:val="Fett"/>
          <w:b/>
          <w:bCs w:val="0"/>
        </w:rPr>
        <w:t>Deuteronomium 32,3</w:t>
      </w:r>
    </w:p>
    <w:p w14:paraId="6F6CD65F" w14:textId="77777777" w:rsidR="00EE5F59" w:rsidRDefault="00EE5F59" w:rsidP="00EE5F59">
      <w:pPr>
        <w:pStyle w:val="whitespace-normal"/>
      </w:pPr>
      <w:r>
        <w:rPr>
          <w:rStyle w:val="Fett"/>
          <w:rFonts w:eastAsiaTheme="majorEastAsia"/>
        </w:rPr>
        <w:t>Hebräisch:</w:t>
      </w:r>
      <w:r>
        <w:t xml:space="preserve"> </w:t>
      </w:r>
      <w:r>
        <w:rPr>
          <w:rtl/>
        </w:rPr>
        <w:t>כִּי שֵׁם יְהוָה אֶקְרָא הָבוּ גֹדֶל לֵאלֹהֵינוּ׃</w:t>
      </w:r>
    </w:p>
    <w:p w14:paraId="3D68DCBE" w14:textId="77777777" w:rsidR="00EE5F59" w:rsidRDefault="00EE5F59" w:rsidP="00EE5F59">
      <w:pPr>
        <w:pStyle w:val="whitespace-normal"/>
      </w:pPr>
      <w:r>
        <w:rPr>
          <w:rStyle w:val="Fett"/>
          <w:rFonts w:eastAsiaTheme="majorEastAsia"/>
        </w:rPr>
        <w:t>Deutsch:</w:t>
      </w:r>
      <w:r>
        <w:t xml:space="preserve"> Denn den Namen des Ewigen will ich ausrufen: Gebt Größe unserem Gott!</w:t>
      </w:r>
    </w:p>
    <w:p w14:paraId="7AE943F4" w14:textId="77777777" w:rsidR="00EE5F59" w:rsidRDefault="004F5CEB" w:rsidP="00EE5F59">
      <w:r>
        <w:rPr>
          <w:noProof/>
        </w:rPr>
        <w:pict w14:anchorId="555A4E85">
          <v:rect id="_x0000_i1896" style="width:0;height:1.5pt" o:hralign="center" o:hrstd="t" o:hr="t" fillcolor="#a0a0a0" stroked="f"/>
        </w:pict>
      </w:r>
    </w:p>
    <w:p w14:paraId="61E0ED29" w14:textId="77777777" w:rsidR="00EE5F59" w:rsidRDefault="00EE5F59" w:rsidP="00EE5F59">
      <w:pPr>
        <w:pStyle w:val="whitespace-normal"/>
      </w:pPr>
      <w:r>
        <w:rPr>
          <w:rStyle w:val="Fett"/>
          <w:rFonts w:eastAsiaTheme="majorEastAsia"/>
        </w:rPr>
        <w:t>Kommentar:</w:t>
      </w:r>
      <w:r>
        <w:t xml:space="preserve"> </w:t>
      </w:r>
      <w:r>
        <w:rPr>
          <w:rStyle w:val="Fett"/>
          <w:rFonts w:eastAsiaTheme="majorEastAsia"/>
          <w:rtl/>
        </w:rPr>
        <w:t>כִּי שֵׁם יְהוָה אֶקְרָא הָבוּ גֹדֶל לֵאלֹהֵינוּ</w:t>
      </w:r>
      <w:r>
        <w:rPr>
          <w:rtl/>
        </w:rPr>
        <w:t xml:space="preserve"> </w:t>
      </w:r>
      <w:r>
        <w:t xml:space="preserve">sind zwei Aussagen: </w:t>
      </w:r>
      <w:r>
        <w:rPr>
          <w:rStyle w:val="Fett"/>
          <w:rFonts w:eastAsiaTheme="majorEastAsia"/>
          <w:rtl/>
        </w:rPr>
        <w:t>כִּי שֵׁם יְהוָה אֶקְרָא</w:t>
      </w:r>
      <w:r>
        <w:rPr>
          <w:rtl/>
        </w:rPr>
        <w:t xml:space="preserve"> </w:t>
      </w:r>
      <w:r>
        <w:t>(</w:t>
      </w:r>
      <w:r>
        <w:rPr>
          <w:rStyle w:val="Fett"/>
          <w:rFonts w:eastAsiaTheme="majorEastAsia"/>
          <w:rtl/>
        </w:rPr>
        <w:t>כִּי</w:t>
      </w:r>
      <w:r>
        <w:rPr>
          <w:rtl/>
        </w:rPr>
        <w:t xml:space="preserve"> </w:t>
      </w:r>
      <w:r>
        <w:t xml:space="preserve">einleitend, </w:t>
      </w:r>
      <w:r>
        <w:rPr>
          <w:rStyle w:val="Fett"/>
          <w:rFonts w:eastAsiaTheme="majorEastAsia"/>
          <w:rtl/>
        </w:rPr>
        <w:t>שֵׁם יְהוָה</w:t>
      </w:r>
      <w:r>
        <w:rPr>
          <w:rtl/>
        </w:rPr>
        <w:t xml:space="preserve"> </w:t>
      </w:r>
      <w:r>
        <w:t xml:space="preserve">als Objekt vorangestellt, </w:t>
      </w:r>
      <w:r>
        <w:rPr>
          <w:rStyle w:val="Fett"/>
          <w:rFonts w:eastAsiaTheme="majorEastAsia"/>
          <w:rtl/>
        </w:rPr>
        <w:t>קרא</w:t>
      </w:r>
      <w:r>
        <w:t xml:space="preserve">, Qal Imperfekt, 1. Person Singular, „ausrufen, verkünden"), </w:t>
      </w:r>
      <w:r>
        <w:rPr>
          <w:rStyle w:val="Fett"/>
          <w:rFonts w:eastAsiaTheme="majorEastAsia"/>
          <w:rtl/>
        </w:rPr>
        <w:t>הָבוּ גֹדֶל לֵאלֹהֵינוּ</w:t>
      </w:r>
      <w:r>
        <w:rPr>
          <w:rtl/>
        </w:rPr>
        <w:t xml:space="preserve"> </w:t>
      </w:r>
      <w:r>
        <w:t>(</w:t>
      </w:r>
      <w:r>
        <w:rPr>
          <w:rStyle w:val="Fett"/>
          <w:rFonts w:eastAsiaTheme="majorEastAsia"/>
          <w:rtl/>
        </w:rPr>
        <w:t>יהב</w:t>
      </w:r>
      <w:r>
        <w:t xml:space="preserve">, Qal Imperativ, Maskulinum Plural, „geben", </w:t>
      </w:r>
      <w:r>
        <w:rPr>
          <w:rStyle w:val="Fett"/>
          <w:rFonts w:eastAsiaTheme="majorEastAsia"/>
          <w:rtl/>
        </w:rPr>
        <w:t>גֹּדֶל</w:t>
      </w:r>
      <w:r>
        <w:t xml:space="preserve">, „Größe, Majestät", </w:t>
      </w:r>
      <w:r>
        <w:rPr>
          <w:rStyle w:val="Fett"/>
          <w:rFonts w:eastAsiaTheme="majorEastAsia"/>
          <w:rtl/>
        </w:rPr>
        <w:t>לֵאלֹהֵינוּ</w:t>
      </w:r>
      <w:r>
        <w:t>).</w:t>
      </w:r>
    </w:p>
    <w:p w14:paraId="0CF7321D" w14:textId="054EF34F" w:rsidR="00EE5F59" w:rsidRDefault="00EE5F59" w:rsidP="00EE5F59">
      <w:pPr>
        <w:pStyle w:val="whitespace-normal"/>
      </w:pPr>
      <w:r>
        <w:t xml:space="preserve">Der Vers ist Moses Aufforderung zum Lobpreis. Die beiden Aussagen: </w:t>
      </w:r>
      <w:r>
        <w:rPr>
          <w:rStyle w:val="Fett"/>
          <w:rFonts w:eastAsiaTheme="majorEastAsia"/>
          <w:rtl/>
        </w:rPr>
        <w:t>כִּי שֵׁם יְהוָה אֶקְרָא הָבוּ גֹדֶל לֵאלֹהֵינוּ</w:t>
      </w:r>
      <w:r>
        <w:rPr>
          <w:rtl/>
        </w:rPr>
        <w:t xml:space="preserve"> </w:t>
      </w:r>
      <w:r>
        <w:t xml:space="preserve">(„denn den Namen </w:t>
      </w:r>
      <w:r w:rsidR="00DF3D1A">
        <w:t>JHWHs</w:t>
      </w:r>
      <w:r>
        <w:t xml:space="preserve"> will ich ausrufen: Gebt Größe unserem Gott"). Die erste Aussage: </w:t>
      </w:r>
      <w:r>
        <w:rPr>
          <w:rStyle w:val="Fett"/>
          <w:rFonts w:eastAsiaTheme="majorEastAsia"/>
          <w:rtl/>
        </w:rPr>
        <w:t>כִּי שֵׁם יְהוָה אֶקְרָא</w:t>
      </w:r>
      <w:r>
        <w:rPr>
          <w:rtl/>
        </w:rPr>
        <w:t xml:space="preserve"> </w:t>
      </w:r>
      <w:r>
        <w:t xml:space="preserve">(„denn den Namen </w:t>
      </w:r>
      <w:r w:rsidR="00DF3D1A">
        <w:t>JHWHs</w:t>
      </w:r>
      <w:r>
        <w:t xml:space="preserve"> will ich ausrufen"). Die Formulierung </w:t>
      </w:r>
      <w:r>
        <w:rPr>
          <w:rStyle w:val="Fett"/>
          <w:rFonts w:eastAsiaTheme="majorEastAsia"/>
          <w:rtl/>
        </w:rPr>
        <w:t>קרא בְּשֵׁם יְהוָה</w:t>
      </w:r>
      <w:r>
        <w:rPr>
          <w:rtl/>
        </w:rPr>
        <w:t xml:space="preserve"> </w:t>
      </w:r>
      <w:r>
        <w:t xml:space="preserve">(„den Namen </w:t>
      </w:r>
      <w:r w:rsidR="00DF3D1A">
        <w:t>JHWHs</w:t>
      </w:r>
      <w:r>
        <w:t xml:space="preserve"> ausrufen/anrufen") bedeutet: Gott öffentlich verkünden, preisen, anbeten (vgl. Gen 12,8; 13,4; 21,33; 26,25; Ex 33,19; 34,5; </w:t>
      </w:r>
      <w:r w:rsidR="00664EB6">
        <w:t>1Kön</w:t>
      </w:r>
      <w:r>
        <w:t xml:space="preserve"> 18,24; Ps 116,4.13.17; Jes 12,4; Joel 3,5; Zeph 3,9). Die zweite Aussage: </w:t>
      </w:r>
      <w:r>
        <w:rPr>
          <w:rStyle w:val="Fett"/>
          <w:rFonts w:eastAsiaTheme="majorEastAsia"/>
          <w:rtl/>
        </w:rPr>
        <w:t>הָבוּ גֹדֶל לֵאלֹהֵינוּ</w:t>
      </w:r>
      <w:r>
        <w:rPr>
          <w:rtl/>
        </w:rPr>
        <w:t xml:space="preserve"> </w:t>
      </w:r>
      <w:r>
        <w:t xml:space="preserve">(„gebt Größe unserem Gott"). Der Imperativ </w:t>
      </w:r>
      <w:r>
        <w:rPr>
          <w:rStyle w:val="Fett"/>
          <w:rFonts w:eastAsiaTheme="majorEastAsia"/>
          <w:rtl/>
        </w:rPr>
        <w:t>הָבוּ</w:t>
      </w:r>
      <w:r>
        <w:rPr>
          <w:rtl/>
        </w:rPr>
        <w:t xml:space="preserve"> </w:t>
      </w:r>
      <w:r>
        <w:t xml:space="preserve">(„gebt") fordert das Volk auf, Gott Ehre zu geben. Die Formulierung </w:t>
      </w:r>
      <w:r>
        <w:rPr>
          <w:rStyle w:val="Fett"/>
          <w:rFonts w:eastAsiaTheme="majorEastAsia"/>
          <w:rtl/>
        </w:rPr>
        <w:t>גֹּדֶל</w:t>
      </w:r>
      <w:r>
        <w:rPr>
          <w:rtl/>
        </w:rPr>
        <w:t xml:space="preserve"> </w:t>
      </w:r>
      <w:r>
        <w:t>(„Größe") drückt Gottes Majestät aus (vgl. 3,24; 5,24; 9,26; 11,2; Ps 150,2). Das Lied beginnt mit Doxologie – Lobpreis Gottes.</w:t>
      </w:r>
    </w:p>
    <w:p w14:paraId="024A2B73" w14:textId="3AD52F7E" w:rsidR="00EE5F59" w:rsidRDefault="00EE5F59" w:rsidP="00EE5F59">
      <w:pPr>
        <w:pStyle w:val="whitespace-normal"/>
      </w:pPr>
      <w:r>
        <w:rPr>
          <w:rStyle w:val="Fett"/>
          <w:rFonts w:eastAsiaTheme="majorEastAsia"/>
        </w:rPr>
        <w:t>Die Satzstruktur:</w:t>
      </w:r>
      <w:r>
        <w:t xml:space="preserve"> Zwei Aussagen (denn den Namen </w:t>
      </w:r>
      <w:r w:rsidR="00DF3D1A">
        <w:t>JHWHs</w:t>
      </w:r>
      <w:r>
        <w:t xml:space="preserve"> will ich ausrufen: Gebt Größe unserem Gott).</w:t>
      </w:r>
    </w:p>
    <w:p w14:paraId="0A6DD9A7" w14:textId="79E34CFF" w:rsidR="00EE5F59" w:rsidRDefault="00EE5F59" w:rsidP="00B77CC6">
      <w:pPr>
        <w:pStyle w:val="whitespace-normal"/>
      </w:pPr>
      <w:r>
        <w:rPr>
          <w:rStyle w:val="Fett"/>
          <w:rFonts w:eastAsiaTheme="majorEastAsia"/>
        </w:rPr>
        <w:t>Der Vers beschreibt:</w:t>
      </w:r>
      <w:r>
        <w:t xml:space="preserve"> Aufforderung zum Lobpreis – Mose will Gottes Namen verkünden, das Volk soll Gott Ehre geben.</w:t>
      </w:r>
    </w:p>
    <w:p w14:paraId="33438C26" w14:textId="77777777" w:rsidR="00EE5F59" w:rsidRPr="00257FCB" w:rsidRDefault="00EE5F59" w:rsidP="00257FCB">
      <w:pPr>
        <w:pStyle w:val="Bibelberschrift"/>
        <w:rPr>
          <w:b w:val="0"/>
          <w:bCs/>
        </w:rPr>
      </w:pPr>
      <w:r w:rsidRPr="00257FCB">
        <w:rPr>
          <w:rStyle w:val="Fett"/>
          <w:b/>
          <w:bCs w:val="0"/>
        </w:rPr>
        <w:lastRenderedPageBreak/>
        <w:t>Deuteronomium 32,4</w:t>
      </w:r>
    </w:p>
    <w:p w14:paraId="41645549" w14:textId="77777777" w:rsidR="00EE5F59" w:rsidRDefault="00EE5F59" w:rsidP="00EE5F59">
      <w:pPr>
        <w:pStyle w:val="whitespace-normal"/>
      </w:pPr>
      <w:r>
        <w:rPr>
          <w:rStyle w:val="Fett"/>
          <w:rFonts w:eastAsiaTheme="majorEastAsia"/>
        </w:rPr>
        <w:t>Hebräisch:</w:t>
      </w:r>
      <w:r>
        <w:t xml:space="preserve"> </w:t>
      </w:r>
      <w:r>
        <w:rPr>
          <w:rtl/>
        </w:rPr>
        <w:t>הַצּוּר תָּמִים פָּעֳלוֹ כִּי כָל־דְּרָכָיו מִשְׁפָּט אֵל אֱמוּנָה וְאֵין עָוֶל צַדִּיק וְיָשָׁר הוּא׃</w:t>
      </w:r>
    </w:p>
    <w:p w14:paraId="4128B64C" w14:textId="77777777" w:rsidR="00EE5F59" w:rsidRDefault="00EE5F59" w:rsidP="00EE5F59">
      <w:pPr>
        <w:pStyle w:val="whitespace-normal"/>
      </w:pPr>
      <w:r>
        <w:rPr>
          <w:rStyle w:val="Fett"/>
          <w:rFonts w:eastAsiaTheme="majorEastAsia"/>
        </w:rPr>
        <w:t>Deutsch:</w:t>
      </w:r>
      <w:r>
        <w:t xml:space="preserve"> Der Fels: Vollkommen ist sein Tun; denn alle seine Wege sind recht. Ein Gott der Treue und ohne Trug, gerecht und gerade ist er.</w:t>
      </w:r>
    </w:p>
    <w:p w14:paraId="51E66736" w14:textId="77777777" w:rsidR="00EE5F59" w:rsidRDefault="004F5CEB" w:rsidP="00EE5F59">
      <w:r>
        <w:rPr>
          <w:noProof/>
        </w:rPr>
        <w:pict w14:anchorId="3637010D">
          <v:rect id="_x0000_i1897" style="width:0;height:1.5pt" o:hralign="center" o:hrstd="t" o:hr="t" fillcolor="#a0a0a0" stroked="f"/>
        </w:pict>
      </w:r>
    </w:p>
    <w:p w14:paraId="0F126826" w14:textId="77777777" w:rsidR="00EE5F59" w:rsidRDefault="00EE5F59" w:rsidP="00EE5F59">
      <w:pPr>
        <w:pStyle w:val="whitespace-normal"/>
      </w:pPr>
      <w:r>
        <w:rPr>
          <w:rStyle w:val="Fett"/>
          <w:rFonts w:eastAsiaTheme="majorEastAsia"/>
        </w:rPr>
        <w:t>Kommentar:</w:t>
      </w:r>
      <w:r>
        <w:t xml:space="preserve"> </w:t>
      </w:r>
      <w:r>
        <w:rPr>
          <w:rStyle w:val="Fett"/>
          <w:rFonts w:eastAsiaTheme="majorEastAsia"/>
          <w:rtl/>
        </w:rPr>
        <w:t>הַצּוּר תָּמִים פָּעֳלוֹ כִּי כָל־דְּרָכָיו מִשְׁפָּט אֵל אֱמוּנָה וְאֵין עָוֶל צַדִּיק וְיָשָׁר הוּא</w:t>
      </w:r>
      <w:r>
        <w:rPr>
          <w:rtl/>
        </w:rPr>
        <w:t xml:space="preserve"> </w:t>
      </w:r>
      <w:r>
        <w:t xml:space="preserve">sind sechs Prädikationen: </w:t>
      </w:r>
      <w:r>
        <w:rPr>
          <w:rStyle w:val="Fett"/>
          <w:rFonts w:eastAsiaTheme="majorEastAsia"/>
          <w:rtl/>
        </w:rPr>
        <w:t>הַצּוּר תָּמִים פָּעֳלוֹ</w:t>
      </w:r>
      <w:r>
        <w:rPr>
          <w:rtl/>
        </w:rPr>
        <w:t xml:space="preserve"> </w:t>
      </w:r>
      <w:r>
        <w:t>(</w:t>
      </w:r>
      <w:r>
        <w:rPr>
          <w:rStyle w:val="Fett"/>
          <w:rFonts w:eastAsiaTheme="majorEastAsia"/>
          <w:rtl/>
        </w:rPr>
        <w:t>צוּר</w:t>
      </w:r>
      <w:r>
        <w:rPr>
          <w:rtl/>
        </w:rPr>
        <w:t xml:space="preserve"> </w:t>
      </w:r>
      <w:r>
        <w:t xml:space="preserve">mit Artikel, „Fels" (Metapher für Gott), </w:t>
      </w:r>
      <w:r>
        <w:rPr>
          <w:rStyle w:val="Fett"/>
          <w:rFonts w:eastAsiaTheme="majorEastAsia"/>
          <w:rtl/>
        </w:rPr>
        <w:t>תָּמִים</w:t>
      </w:r>
      <w:r>
        <w:t xml:space="preserve">, Adjektiv, „vollkommen, untadelig", </w:t>
      </w:r>
      <w:r>
        <w:rPr>
          <w:rStyle w:val="Fett"/>
          <w:rFonts w:eastAsiaTheme="majorEastAsia"/>
          <w:rtl/>
        </w:rPr>
        <w:t>פֹּעַל</w:t>
      </w:r>
      <w:r>
        <w:t xml:space="preserve">, „Tun, Werk", mit Suffix 3. Person Maskulinum Singular als Subjekt), </w:t>
      </w:r>
      <w:r>
        <w:rPr>
          <w:rStyle w:val="Fett"/>
          <w:rFonts w:eastAsiaTheme="majorEastAsia"/>
          <w:rtl/>
        </w:rPr>
        <w:t>כִּי כָל־דְּרָכָיו מִשְׁפָּט</w:t>
      </w:r>
      <w:r>
        <w:rPr>
          <w:rtl/>
        </w:rPr>
        <w:t xml:space="preserve"> </w:t>
      </w:r>
      <w:r>
        <w:t xml:space="preserve">(Begründung: </w:t>
      </w:r>
      <w:r>
        <w:rPr>
          <w:rStyle w:val="Fett"/>
          <w:rFonts w:eastAsiaTheme="majorEastAsia"/>
          <w:rtl/>
        </w:rPr>
        <w:t>כִּי</w:t>
      </w:r>
      <w:r>
        <w:rPr>
          <w:rtl/>
        </w:rPr>
        <w:t xml:space="preserve"> </w:t>
      </w:r>
      <w:r>
        <w:t xml:space="preserve">mit </w:t>
      </w:r>
      <w:r>
        <w:rPr>
          <w:rStyle w:val="Fett"/>
          <w:rFonts w:eastAsiaTheme="majorEastAsia"/>
          <w:rtl/>
        </w:rPr>
        <w:t>כָּל־דֶּרֶךְ</w:t>
      </w:r>
      <w:r>
        <w:t xml:space="preserve">, „Weg", Plural mit Suffix 3. Person Maskulinum Singular, </w:t>
      </w:r>
      <w:r>
        <w:rPr>
          <w:rStyle w:val="Fett"/>
          <w:rFonts w:eastAsiaTheme="majorEastAsia"/>
          <w:rtl/>
        </w:rPr>
        <w:t>מִשְׁפָּט</w:t>
      </w:r>
      <w:r>
        <w:t xml:space="preserve">, „Recht, Gericht"), </w:t>
      </w:r>
      <w:r>
        <w:rPr>
          <w:rStyle w:val="Fett"/>
          <w:rFonts w:eastAsiaTheme="majorEastAsia"/>
          <w:rtl/>
        </w:rPr>
        <w:t>אֵל אֱמוּנָה</w:t>
      </w:r>
      <w:r>
        <w:rPr>
          <w:rtl/>
        </w:rPr>
        <w:t xml:space="preserve"> </w:t>
      </w:r>
      <w:r>
        <w:t>(</w:t>
      </w:r>
      <w:r>
        <w:rPr>
          <w:rStyle w:val="Fett"/>
          <w:rFonts w:eastAsiaTheme="majorEastAsia"/>
          <w:rtl/>
        </w:rPr>
        <w:t>אֵל</w:t>
      </w:r>
      <w:r>
        <w:rPr>
          <w:rtl/>
        </w:rPr>
        <w:t xml:space="preserve"> </w:t>
      </w:r>
      <w:r>
        <w:t xml:space="preserve">mit </w:t>
      </w:r>
      <w:r>
        <w:rPr>
          <w:rStyle w:val="Fett"/>
          <w:rFonts w:eastAsiaTheme="majorEastAsia"/>
          <w:rtl/>
        </w:rPr>
        <w:t>אֱמוּנָה</w:t>
      </w:r>
      <w:r>
        <w:t xml:space="preserve">, „Treue, Zuverlässigkeit"), </w:t>
      </w:r>
      <w:r>
        <w:rPr>
          <w:rStyle w:val="Fett"/>
          <w:rFonts w:eastAsiaTheme="majorEastAsia"/>
          <w:rtl/>
        </w:rPr>
        <w:t>וְאֵין עָוֶל</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אֵין</w:t>
      </w:r>
      <w:r>
        <w:t xml:space="preserve">, </w:t>
      </w:r>
      <w:r>
        <w:rPr>
          <w:rStyle w:val="Fett"/>
          <w:rFonts w:eastAsiaTheme="majorEastAsia"/>
          <w:rtl/>
        </w:rPr>
        <w:t>עָוֶל</w:t>
      </w:r>
      <w:r>
        <w:t xml:space="preserve">, „Unrecht, Trug"), </w:t>
      </w:r>
      <w:r>
        <w:rPr>
          <w:rStyle w:val="Fett"/>
          <w:rFonts w:eastAsiaTheme="majorEastAsia"/>
          <w:rtl/>
        </w:rPr>
        <w:t>צַדִּיק</w:t>
      </w:r>
      <w:r>
        <w:rPr>
          <w:rtl/>
        </w:rPr>
        <w:t xml:space="preserve"> </w:t>
      </w:r>
      <w:r>
        <w:t xml:space="preserve">(Adjektiv, „gerecht"), </w:t>
      </w:r>
      <w:r>
        <w:rPr>
          <w:rStyle w:val="Fett"/>
          <w:rFonts w:eastAsiaTheme="majorEastAsia"/>
          <w:rtl/>
        </w:rPr>
        <w:t>וְיָשָׁר הוּא</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יָשָׁר</w:t>
      </w:r>
      <w:r>
        <w:t xml:space="preserve">, Adjektiv, „gerade, aufrichtig", </w:t>
      </w:r>
      <w:r>
        <w:rPr>
          <w:rStyle w:val="Fett"/>
          <w:rFonts w:eastAsiaTheme="majorEastAsia"/>
          <w:rtl/>
        </w:rPr>
        <w:t>הוּא</w:t>
      </w:r>
      <w:r>
        <w:t>).</w:t>
      </w:r>
    </w:p>
    <w:p w14:paraId="50323200" w14:textId="22BA350E" w:rsidR="00EE5F59" w:rsidRDefault="00EE5F59" w:rsidP="00EE5F59">
      <w:pPr>
        <w:pStyle w:val="whitespace-normal"/>
      </w:pPr>
      <w:r>
        <w:t xml:space="preserve">Der Vers ist eine umfassende Beschreibung von Gottes Charakter und bildet die theologische Grundlage des gesamten Liedes. Die sechs Prädikationen: </w:t>
      </w:r>
      <w:r>
        <w:rPr>
          <w:rStyle w:val="Fett"/>
          <w:rFonts w:eastAsiaTheme="majorEastAsia"/>
          <w:rtl/>
        </w:rPr>
        <w:t>הַצּוּר תָּמִים פָּעֳלוֹ כִּי כָל־דְּרָכָיו מִשְׁפָּט אֵל אֱמוּנָה וְאֵין עָוֶל צַדִּיק וְיָשָׁר הוּא</w:t>
      </w:r>
      <w:r>
        <w:rPr>
          <w:rtl/>
        </w:rPr>
        <w:t xml:space="preserve"> </w:t>
      </w:r>
      <w:r>
        <w:t xml:space="preserve">(„der Fels: vollkommen ist sein Tun; denn alle seine Wege sind Recht. Ein Gott der Treue und ohne Unrecht, gerecht und gerade ist er"). Die Metapher </w:t>
      </w:r>
      <w:r>
        <w:rPr>
          <w:rStyle w:val="Fett"/>
          <w:rFonts w:eastAsiaTheme="majorEastAsia"/>
          <w:rtl/>
        </w:rPr>
        <w:t>צוּר</w:t>
      </w:r>
      <w:r>
        <w:rPr>
          <w:rtl/>
        </w:rPr>
        <w:t xml:space="preserve"> </w:t>
      </w:r>
      <w:r>
        <w:t xml:space="preserve">(„Fels") für Gott ist charakteristisch für dieses Lied (vgl. V. 15.18.30.31.37; </w:t>
      </w:r>
      <w:r w:rsidR="00664EB6">
        <w:t>2Sam</w:t>
      </w:r>
      <w:r>
        <w:t xml:space="preserve"> 22,2-3.32.47; 23,3; Ps 18,3.32.47; 19,15; 28,1; 31,3-4; 42,10; 62,3.7-8; 71,3; 78,35; 89,27; 92,16; 94,22; 95,1; Jes 17,10; 26,4; 30,29; 44,8; Hab 1,12). Die sechs Attribute: (1) </w:t>
      </w:r>
      <w:r>
        <w:rPr>
          <w:rStyle w:val="Fett"/>
          <w:rFonts w:eastAsiaTheme="majorEastAsia"/>
          <w:rtl/>
        </w:rPr>
        <w:t>תָּמִים פָּעֳלוֹ</w:t>
      </w:r>
      <w:r>
        <w:rPr>
          <w:rtl/>
        </w:rPr>
        <w:t xml:space="preserve"> </w:t>
      </w:r>
      <w:r>
        <w:t xml:space="preserve">(„vollkommen ist sein Tun") – Gottes Handeln ist makellos. (2) </w:t>
      </w:r>
      <w:r>
        <w:rPr>
          <w:rStyle w:val="Fett"/>
          <w:rFonts w:eastAsiaTheme="majorEastAsia"/>
          <w:rtl/>
        </w:rPr>
        <w:t>כָל־דְּרָכָיו מִשְׁפָּט</w:t>
      </w:r>
      <w:r>
        <w:rPr>
          <w:rtl/>
        </w:rPr>
        <w:t xml:space="preserve"> </w:t>
      </w:r>
      <w:r>
        <w:t xml:space="preserve">(„alle seine Wege sind Recht") – Gottes Wege sind gerecht. (3) </w:t>
      </w:r>
      <w:r>
        <w:rPr>
          <w:rStyle w:val="Fett"/>
          <w:rFonts w:eastAsiaTheme="majorEastAsia"/>
          <w:rtl/>
        </w:rPr>
        <w:t>אֵל אֱמוּנָה</w:t>
      </w:r>
      <w:r>
        <w:rPr>
          <w:rtl/>
        </w:rPr>
        <w:t xml:space="preserve"> </w:t>
      </w:r>
      <w:r>
        <w:t xml:space="preserve">(„ein Gott der Treue") – Gott ist zuverlässig, treu. (4) </w:t>
      </w:r>
      <w:r>
        <w:rPr>
          <w:rStyle w:val="Fett"/>
          <w:rFonts w:eastAsiaTheme="majorEastAsia"/>
          <w:rtl/>
        </w:rPr>
        <w:t>אֵין עָוֶל</w:t>
      </w:r>
      <w:r>
        <w:rPr>
          <w:rtl/>
        </w:rPr>
        <w:t xml:space="preserve"> </w:t>
      </w:r>
      <w:r>
        <w:t xml:space="preserve">(„ohne Unrecht") – kein Trug, keine Ungerechtigkeit. (5) </w:t>
      </w:r>
      <w:r>
        <w:rPr>
          <w:rStyle w:val="Fett"/>
          <w:rFonts w:eastAsiaTheme="majorEastAsia"/>
          <w:rtl/>
        </w:rPr>
        <w:t>צַדִּיק</w:t>
      </w:r>
      <w:r>
        <w:rPr>
          <w:rtl/>
        </w:rPr>
        <w:t xml:space="preserve"> </w:t>
      </w:r>
      <w:r>
        <w:t xml:space="preserve">(„gerecht"). (6) </w:t>
      </w:r>
      <w:r>
        <w:rPr>
          <w:rStyle w:val="Fett"/>
          <w:rFonts w:eastAsiaTheme="majorEastAsia"/>
          <w:rtl/>
        </w:rPr>
        <w:t>יָשָׁר</w:t>
      </w:r>
      <w:r>
        <w:rPr>
          <w:rtl/>
        </w:rPr>
        <w:t xml:space="preserve"> </w:t>
      </w:r>
      <w:r>
        <w:t>(„gerade, aufrichtig"). Diese Verse 3-4 bilden einen scharfen Kontrast zu Israels Untreue, die in V. 5-6 beschrieben wird.</w:t>
      </w:r>
    </w:p>
    <w:p w14:paraId="4C030900" w14:textId="672707BC" w:rsidR="00C367A0" w:rsidRDefault="00C367A0" w:rsidP="00EE5F59">
      <w:pPr>
        <w:pStyle w:val="whitespace-normal"/>
      </w:pPr>
      <w:r>
        <w:rPr>
          <w:rStyle w:val="Fett"/>
        </w:rPr>
        <w:t>Die LXX</w:t>
      </w:r>
      <w:r>
        <w:t xml:space="preserve"> übersetzt </w:t>
      </w:r>
      <w:r>
        <w:rPr>
          <w:rtl/>
        </w:rPr>
        <w:t>הַצּוּר</w:t>
      </w:r>
      <w:r>
        <w:t xml:space="preserve"> (der Fels) mit </w:t>
      </w:r>
      <w:proofErr w:type="spellStart"/>
      <w:r>
        <w:t>θεός</w:t>
      </w:r>
      <w:proofErr w:type="spellEnd"/>
      <w:r>
        <w:t xml:space="preserve"> (Gott) – vermeidet die Metapher und verwendet direkt die theologische Bezeichnung. Das Wort </w:t>
      </w:r>
      <w:proofErr w:type="spellStart"/>
      <w:r>
        <w:t>ὅσιος</w:t>
      </w:r>
      <w:proofErr w:type="spellEnd"/>
      <w:r>
        <w:t xml:space="preserve"> (heilig, fromm) für </w:t>
      </w:r>
      <w:r>
        <w:rPr>
          <w:rtl/>
        </w:rPr>
        <w:t>יָשָׁר</w:t>
      </w:r>
      <w:r>
        <w:t xml:space="preserve"> (gerecht, aufrichtig) fügt eine kultische Dimension hinzu.</w:t>
      </w:r>
    </w:p>
    <w:p w14:paraId="30B50CAF" w14:textId="77777777" w:rsidR="00EE5F59" w:rsidRDefault="00EE5F59" w:rsidP="00EE5F59">
      <w:pPr>
        <w:pStyle w:val="whitespace-normal"/>
      </w:pPr>
      <w:r>
        <w:rPr>
          <w:rStyle w:val="Fett"/>
          <w:rFonts w:eastAsiaTheme="majorEastAsia"/>
        </w:rPr>
        <w:t>Die Satzstruktur:</w:t>
      </w:r>
      <w:r>
        <w:t xml:space="preserve"> Sechs Prädikationen (der Fels: vollkommen ist sein Tun; denn alle seine Wege sind Recht. Ein Gott der Treue und ohne Unrecht, gerecht und gerade ist er).</w:t>
      </w:r>
    </w:p>
    <w:p w14:paraId="2CB45185" w14:textId="77777777" w:rsidR="00EE5F59" w:rsidRDefault="00EE5F59" w:rsidP="00EE5F59">
      <w:pPr>
        <w:pStyle w:val="whitespace-normal"/>
      </w:pPr>
      <w:r>
        <w:rPr>
          <w:rStyle w:val="Fett"/>
          <w:rFonts w:eastAsiaTheme="majorEastAsia"/>
        </w:rPr>
        <w:t>Der Vers beschreibt:</w:t>
      </w:r>
      <w:r>
        <w:t xml:space="preserve"> Gottes Charakter – vollkommen, gerecht, treu, ohne Trug, gerade; der Fels als Metapher.</w:t>
      </w:r>
    </w:p>
    <w:p w14:paraId="794B6FED" w14:textId="77777777" w:rsidR="00EE5F59" w:rsidRPr="00257FCB" w:rsidRDefault="00EE5F59" w:rsidP="00257FCB">
      <w:pPr>
        <w:pStyle w:val="Bibelberschrift"/>
        <w:rPr>
          <w:b w:val="0"/>
          <w:bCs/>
        </w:rPr>
      </w:pPr>
      <w:r w:rsidRPr="00257FCB">
        <w:rPr>
          <w:rStyle w:val="Fett"/>
          <w:b/>
          <w:bCs w:val="0"/>
        </w:rPr>
        <w:t>Deuteronomium 32,5</w:t>
      </w:r>
    </w:p>
    <w:p w14:paraId="5E11DF64" w14:textId="77777777" w:rsidR="00EE5F59" w:rsidRDefault="00EE5F59" w:rsidP="00EE5F59">
      <w:pPr>
        <w:pStyle w:val="whitespace-normal"/>
      </w:pPr>
      <w:r>
        <w:rPr>
          <w:rStyle w:val="Fett"/>
          <w:rFonts w:eastAsiaTheme="majorEastAsia"/>
        </w:rPr>
        <w:t>Hebräisch:</w:t>
      </w:r>
      <w:r>
        <w:t xml:space="preserve"> </w:t>
      </w:r>
      <w:r>
        <w:rPr>
          <w:rtl/>
        </w:rPr>
        <w:t>שִׁחֵת לוֹ לֹא בָּנָיו מוּמָם דּוֹר עִקֵּשׁ וּפְתַלְתֹּל׃</w:t>
      </w:r>
    </w:p>
    <w:p w14:paraId="6EB3E8C0" w14:textId="77777777" w:rsidR="00EE5F59" w:rsidRDefault="00EE5F59" w:rsidP="00EE5F59">
      <w:pPr>
        <w:pStyle w:val="whitespace-normal"/>
      </w:pPr>
      <w:r>
        <w:rPr>
          <w:rStyle w:val="Fett"/>
          <w:rFonts w:eastAsiaTheme="majorEastAsia"/>
        </w:rPr>
        <w:t>Deutsch:</w:t>
      </w:r>
      <w:r>
        <w:t xml:space="preserve"> Man hat gegen ihn gefrevelt: nicht seine Söhne sind sie, sondern ihr eigener Schandfleck – eine Generation verdreht und verkehrt.</w:t>
      </w:r>
    </w:p>
    <w:p w14:paraId="06F4FD66" w14:textId="77777777" w:rsidR="00EE5F59" w:rsidRDefault="004F5CEB" w:rsidP="00EE5F59">
      <w:r>
        <w:rPr>
          <w:noProof/>
        </w:rPr>
        <w:lastRenderedPageBreak/>
        <w:pict w14:anchorId="3EE79A50">
          <v:rect id="_x0000_i1898" style="width:0;height:1.5pt" o:hralign="center" o:hrstd="t" o:hr="t" fillcolor="#a0a0a0" stroked="f"/>
        </w:pict>
      </w:r>
    </w:p>
    <w:p w14:paraId="7FA9D80A" w14:textId="77777777" w:rsidR="00EE5F59" w:rsidRDefault="00EE5F59" w:rsidP="00EE5F59">
      <w:pPr>
        <w:pStyle w:val="whitespace-normal"/>
      </w:pPr>
      <w:r>
        <w:rPr>
          <w:rStyle w:val="Fett"/>
          <w:rFonts w:eastAsiaTheme="majorEastAsia"/>
        </w:rPr>
        <w:t>Kommentar:</w:t>
      </w:r>
      <w:r>
        <w:t xml:space="preserve"> </w:t>
      </w:r>
      <w:r>
        <w:rPr>
          <w:rStyle w:val="Fett"/>
          <w:rFonts w:eastAsiaTheme="majorEastAsia"/>
          <w:rtl/>
        </w:rPr>
        <w:t>שִׁחֵת לוֹ לֹא בָּנָיו מוּמָם דּוֹר עִקֵּשׁ וּפְתַלְתֹּל</w:t>
      </w:r>
      <w:r>
        <w:rPr>
          <w:rtl/>
        </w:rPr>
        <w:t xml:space="preserve"> </w:t>
      </w:r>
      <w:r>
        <w:t xml:space="preserve">ist ein grammatisch schwieriger Vers mit mehreren Aussagen: </w:t>
      </w:r>
      <w:r>
        <w:rPr>
          <w:rStyle w:val="Fett"/>
          <w:rFonts w:eastAsiaTheme="majorEastAsia"/>
          <w:rtl/>
        </w:rPr>
        <w:t>שִׁחֵת לוֹ</w:t>
      </w:r>
      <w:r>
        <w:rPr>
          <w:rtl/>
        </w:rPr>
        <w:t xml:space="preserve"> </w:t>
      </w:r>
      <w:r>
        <w:t>(</w:t>
      </w:r>
      <w:r>
        <w:rPr>
          <w:rStyle w:val="Fett"/>
          <w:rFonts w:eastAsiaTheme="majorEastAsia"/>
          <w:rtl/>
        </w:rPr>
        <w:t>שׁחת</w:t>
      </w:r>
      <w:r>
        <w:t xml:space="preserve">, Piel Perfekt, 3. Person Maskulinum Singular, „verderben, freveln", </w:t>
      </w:r>
      <w:r>
        <w:rPr>
          <w:rStyle w:val="Fett"/>
          <w:rFonts w:eastAsiaTheme="majorEastAsia"/>
          <w:rtl/>
        </w:rPr>
        <w:t>לוֹ</w:t>
      </w:r>
      <w:r>
        <w:t xml:space="preserve">, „gegen ihn"), </w:t>
      </w:r>
      <w:r>
        <w:rPr>
          <w:rStyle w:val="Fett"/>
          <w:rFonts w:eastAsiaTheme="majorEastAsia"/>
          <w:rtl/>
        </w:rPr>
        <w:t>לֹא בָּנָיו מוּמָם</w:t>
      </w:r>
      <w:r>
        <w:rPr>
          <w:rtl/>
        </w:rPr>
        <w:t xml:space="preserve"> </w:t>
      </w:r>
      <w:r>
        <w:t xml:space="preserve">(Negation, </w:t>
      </w:r>
      <w:r>
        <w:rPr>
          <w:rStyle w:val="Fett"/>
          <w:rFonts w:eastAsiaTheme="majorEastAsia"/>
          <w:rtl/>
        </w:rPr>
        <w:t>בֵּן</w:t>
      </w:r>
      <w:r>
        <w:rPr>
          <w:rtl/>
        </w:rPr>
        <w:t xml:space="preserve"> </w:t>
      </w:r>
      <w:r>
        <w:t xml:space="preserve">Plural mit Suffix 3. Person Maskulinum Singular, </w:t>
      </w:r>
      <w:r>
        <w:rPr>
          <w:rStyle w:val="Fett"/>
          <w:rFonts w:eastAsiaTheme="majorEastAsia"/>
          <w:rtl/>
        </w:rPr>
        <w:t>מוּם</w:t>
      </w:r>
      <w:r>
        <w:t xml:space="preserve">, „Makel, Schandfleck", mit Suffix 3. Person Maskulinum Plural), </w:t>
      </w:r>
      <w:r>
        <w:rPr>
          <w:rStyle w:val="Fett"/>
          <w:rFonts w:eastAsiaTheme="majorEastAsia"/>
          <w:rtl/>
        </w:rPr>
        <w:t>דּוֹר עִקֵּשׁ וּפְתַלְתֹּל</w:t>
      </w:r>
      <w:r>
        <w:rPr>
          <w:rtl/>
        </w:rPr>
        <w:t xml:space="preserve"> </w:t>
      </w:r>
      <w:r>
        <w:t>(</w:t>
      </w:r>
      <w:r>
        <w:rPr>
          <w:rStyle w:val="Fett"/>
          <w:rFonts w:eastAsiaTheme="majorEastAsia"/>
          <w:rtl/>
        </w:rPr>
        <w:t>דּוֹר</w:t>
      </w:r>
      <w:r>
        <w:t xml:space="preserve">, „Generation", </w:t>
      </w:r>
      <w:r>
        <w:rPr>
          <w:rStyle w:val="Fett"/>
          <w:rFonts w:eastAsiaTheme="majorEastAsia"/>
          <w:rtl/>
        </w:rPr>
        <w:t>עִקֵּשׁ</w:t>
      </w:r>
      <w:r>
        <w:t xml:space="preserve">, Adjektiv, „verdreht, verkehrt", koordiniert mit </w:t>
      </w:r>
      <w:r>
        <w:rPr>
          <w:rStyle w:val="Fett"/>
          <w:rFonts w:eastAsiaTheme="majorEastAsia"/>
          <w:rtl/>
        </w:rPr>
        <w:t>פְתַלְתֹּל</w:t>
      </w:r>
      <w:r>
        <w:t>, „verkehrt, gewunden").</w:t>
      </w:r>
    </w:p>
    <w:p w14:paraId="31D1FB5C" w14:textId="6DED9324" w:rsidR="00EE5F59" w:rsidRDefault="00EE5F59" w:rsidP="00EE5F59">
      <w:pPr>
        <w:pStyle w:val="whitespace-normal"/>
      </w:pPr>
      <w:r>
        <w:t xml:space="preserve">Der Vers ist der Übergang von Gottes Vollkommenheit (V. 4) zu Israels Verdorbenheit. Die Aussagen (der Vers ist textkritisch unsicher): </w:t>
      </w:r>
      <w:r>
        <w:rPr>
          <w:rStyle w:val="Fett"/>
          <w:rFonts w:eastAsiaTheme="majorEastAsia"/>
          <w:rtl/>
        </w:rPr>
        <w:t>שִׁחֵת לוֹ לֹא בָּנָיו מוּמָם דּוֹר עִקֵּשׁ וּפְתַלְתֹּל</w:t>
      </w:r>
      <w:r>
        <w:rPr>
          <w:rtl/>
        </w:rPr>
        <w:t xml:space="preserve"> </w:t>
      </w:r>
      <w:r>
        <w:t xml:space="preserve">(„man hat gefrevelt gegen ihn: nicht seine Söhne sind sie, sondern ihr eigener Schandfleck – eine Generation verdreht und verkehrt"). Die erste Aussage: </w:t>
      </w:r>
      <w:r>
        <w:rPr>
          <w:rStyle w:val="Fett"/>
          <w:rFonts w:eastAsiaTheme="majorEastAsia"/>
          <w:rtl/>
        </w:rPr>
        <w:t>שִׁחֵת לוֹ</w:t>
      </w:r>
      <w:r>
        <w:rPr>
          <w:rtl/>
        </w:rPr>
        <w:t xml:space="preserve"> </w:t>
      </w:r>
      <w:r>
        <w:t xml:space="preserve">(„man hat gefrevelt gegen ihn") – Israel hat gegen Gott gesündigt. Die zweite Aussage: </w:t>
      </w:r>
      <w:r>
        <w:rPr>
          <w:rStyle w:val="Fett"/>
          <w:rFonts w:eastAsiaTheme="majorEastAsia"/>
          <w:rtl/>
        </w:rPr>
        <w:t>לֹא בָּנָיו מוּמָם</w:t>
      </w:r>
      <w:r>
        <w:rPr>
          <w:rtl/>
        </w:rPr>
        <w:t xml:space="preserve"> </w:t>
      </w:r>
      <w:r>
        <w:t xml:space="preserve">(„nicht seine Söhne sind sie, sondern ihr eigener Schandfleck") – durch ihre Sünde haben sie ihren Status als Gottes Söhne verloren (vgl. 14,1; Ex 4,22-23; Hos 1,9-10; 11,1). Der Begriff </w:t>
      </w:r>
      <w:r>
        <w:rPr>
          <w:rStyle w:val="Fett"/>
          <w:rFonts w:eastAsiaTheme="majorEastAsia"/>
          <w:rtl/>
        </w:rPr>
        <w:t>מוּם</w:t>
      </w:r>
      <w:r>
        <w:rPr>
          <w:rtl/>
        </w:rPr>
        <w:t xml:space="preserve"> </w:t>
      </w:r>
      <w:r>
        <w:t xml:space="preserve">(„Makel, Schandfleck") wird sonst für physische Mängel bei Opfertieren oder Priestern verwendet (vgl. Lev 21,17-23; 22,20-25; 24,19-20; Num 19,2; </w:t>
      </w:r>
      <w:r w:rsidR="00664EB6">
        <w:t>2Sam</w:t>
      </w:r>
      <w:r>
        <w:t xml:space="preserve"> 14,25; Mal 1,8.13-14), hier metaphorisch für moralische Verdorbenheit. Die dritte Aussage: </w:t>
      </w:r>
      <w:r>
        <w:rPr>
          <w:rStyle w:val="Fett"/>
          <w:rFonts w:eastAsiaTheme="majorEastAsia"/>
          <w:rtl/>
        </w:rPr>
        <w:t>דּוֹר עִקֵּשׁ וּפְתַלְתֹּל</w:t>
      </w:r>
      <w:r>
        <w:rPr>
          <w:rtl/>
        </w:rPr>
        <w:t xml:space="preserve"> </w:t>
      </w:r>
      <w:r>
        <w:t xml:space="preserve">(„eine Generation verdreht und verkehrt"). Die beiden Adjektive </w:t>
      </w:r>
      <w:r>
        <w:rPr>
          <w:rStyle w:val="Fett"/>
          <w:rFonts w:eastAsiaTheme="majorEastAsia"/>
          <w:rtl/>
        </w:rPr>
        <w:t>עִקֵּשׁ</w:t>
      </w:r>
      <w:r>
        <w:rPr>
          <w:rtl/>
        </w:rPr>
        <w:t xml:space="preserve"> </w:t>
      </w:r>
      <w:r>
        <w:t xml:space="preserve">(„verdreht") und </w:t>
      </w:r>
      <w:r>
        <w:rPr>
          <w:rStyle w:val="Fett"/>
          <w:rFonts w:eastAsiaTheme="majorEastAsia"/>
          <w:rtl/>
        </w:rPr>
        <w:t>פְתַלְתֹּל</w:t>
      </w:r>
      <w:r>
        <w:rPr>
          <w:rtl/>
        </w:rPr>
        <w:t xml:space="preserve"> </w:t>
      </w:r>
      <w:r>
        <w:t>(„verkehrt, gewunden") sind synonyme Parallelausdrücke für moralische Verkehrtheit (vgl. Spr 2,15; 8,8; Ps 18,27; 101,4).</w:t>
      </w:r>
    </w:p>
    <w:p w14:paraId="4DB716CC" w14:textId="0C0BC227" w:rsidR="00C367A0" w:rsidRDefault="00C367A0" w:rsidP="00EE5F59">
      <w:pPr>
        <w:pStyle w:val="whitespace-normal"/>
      </w:pPr>
      <w:r>
        <w:rPr>
          <w:rStyle w:val="Fett"/>
        </w:rPr>
        <w:t>Die LXX</w:t>
      </w:r>
      <w:r>
        <w:t xml:space="preserve"> bietet eine völlig andere Syntax: </w:t>
      </w:r>
      <w:proofErr w:type="spellStart"/>
      <w:r>
        <w:t>ἡμάρτοσ</w:t>
      </w:r>
      <w:proofErr w:type="spellEnd"/>
      <w:r>
        <w:t xml:space="preserve">αν </w:t>
      </w:r>
      <w:proofErr w:type="spellStart"/>
      <w:r>
        <w:t>οὐκ</w:t>
      </w:r>
      <w:proofErr w:type="spellEnd"/>
      <w:r>
        <w:t xml:space="preserve"> α</w:t>
      </w:r>
      <w:proofErr w:type="spellStart"/>
      <w:r>
        <w:t>ὐτῷ</w:t>
      </w:r>
      <w:proofErr w:type="spellEnd"/>
      <w:r>
        <w:t xml:space="preserve"> </w:t>
      </w:r>
      <w:proofErr w:type="spellStart"/>
      <w:r>
        <w:t>τέκν</w:t>
      </w:r>
      <w:proofErr w:type="spellEnd"/>
      <w:r>
        <w:t xml:space="preserve">α </w:t>
      </w:r>
      <w:proofErr w:type="spellStart"/>
      <w:r>
        <w:t>μωμητά</w:t>
      </w:r>
      <w:proofErr w:type="spellEnd"/>
      <w:r>
        <w:t xml:space="preserve"> (sie sündigten, nicht ihm – tadelnswerte Kinder) statt </w:t>
      </w:r>
      <w:r>
        <w:rPr>
          <w:rtl/>
        </w:rPr>
        <w:t>שִׁחֵת לוֹ לֹא בָּנָיו מוּמָם</w:t>
      </w:r>
      <w:r>
        <w:t xml:space="preserve"> (es hat verdorben – nicht seine Kinder – ihr Makel). Die LXX macht aus der dunkel konstruierten hebräischen Zeile eine klare Aussage über Sünde.</w:t>
      </w:r>
    </w:p>
    <w:p w14:paraId="5FA4B87C" w14:textId="77777777" w:rsidR="00EE5F59" w:rsidRDefault="00EE5F59" w:rsidP="00EE5F59">
      <w:pPr>
        <w:pStyle w:val="whitespace-normal"/>
      </w:pPr>
      <w:r>
        <w:rPr>
          <w:rStyle w:val="Fett"/>
          <w:rFonts w:eastAsiaTheme="majorEastAsia"/>
        </w:rPr>
        <w:t>Die Satzstruktur:</w:t>
      </w:r>
      <w:r>
        <w:t xml:space="preserve"> Mehrere Aussagen (man hat gefrevelt gegen ihn: nicht seine Söhne sind sie, sondern ihr eigener Schandfleck – eine Generation verdreht und verkehrt).</w:t>
      </w:r>
    </w:p>
    <w:p w14:paraId="4D465280" w14:textId="77777777" w:rsidR="00EE5F59" w:rsidRDefault="00EE5F59" w:rsidP="00EE5F59">
      <w:pPr>
        <w:pStyle w:val="whitespace-normal"/>
      </w:pPr>
      <w:r>
        <w:rPr>
          <w:rStyle w:val="Fett"/>
          <w:rFonts w:eastAsiaTheme="majorEastAsia"/>
        </w:rPr>
        <w:t>Der Vers beschreibt:</w:t>
      </w:r>
      <w:r>
        <w:t xml:space="preserve"> Kontrast zu V. 4 – Israel hat gesündigt, ist nicht mehr Gottes Söhne, eine verdrehte Generation.</w:t>
      </w:r>
    </w:p>
    <w:p w14:paraId="7B56E927" w14:textId="77777777" w:rsidR="00EE5F59" w:rsidRPr="00257FCB" w:rsidRDefault="00EE5F59" w:rsidP="00257FCB">
      <w:pPr>
        <w:pStyle w:val="Bibelberschrift"/>
        <w:rPr>
          <w:b w:val="0"/>
          <w:bCs/>
        </w:rPr>
      </w:pPr>
      <w:r w:rsidRPr="00257FCB">
        <w:rPr>
          <w:rStyle w:val="Fett"/>
          <w:b/>
          <w:bCs w:val="0"/>
        </w:rPr>
        <w:t>Deuteronomium 32,6</w:t>
      </w:r>
    </w:p>
    <w:p w14:paraId="503B8576" w14:textId="77777777" w:rsidR="00EE5F59" w:rsidRDefault="00EE5F59" w:rsidP="00EE5F59">
      <w:pPr>
        <w:pStyle w:val="whitespace-normal"/>
      </w:pPr>
      <w:r>
        <w:rPr>
          <w:rStyle w:val="Fett"/>
          <w:rFonts w:eastAsiaTheme="majorEastAsia"/>
        </w:rPr>
        <w:t>Hebräisch:</w:t>
      </w:r>
      <w:r>
        <w:t xml:space="preserve"> </w:t>
      </w:r>
      <w:r>
        <w:rPr>
          <w:rtl/>
        </w:rPr>
        <w:t>הֲ־לַיְהוָה תִּגְמְלוּ־זֹאת עַם נָבָל וְלֹא חָכָם הֲלוֹא־הוּא אָבִיךָ קָנֶךָ הוּא עָשְׂךָ וַיְכֹנְנֶךָ׃</w:t>
      </w:r>
    </w:p>
    <w:p w14:paraId="167BE94B" w14:textId="77777777" w:rsidR="00EE5F59" w:rsidRDefault="00EE5F59" w:rsidP="00EE5F59">
      <w:pPr>
        <w:pStyle w:val="whitespace-normal"/>
      </w:pPr>
      <w:r>
        <w:rPr>
          <w:rStyle w:val="Fett"/>
          <w:rFonts w:eastAsiaTheme="majorEastAsia"/>
        </w:rPr>
        <w:t>Deutsch:</w:t>
      </w:r>
      <w:r>
        <w:t xml:space="preserve"> Wollt ihr so dem Ewigen vergelten, törichtes und unweises Volk? Ist er nicht dein Vater, der dich erschaffen hat? Er hat dich gemacht und dich bereitet.</w:t>
      </w:r>
    </w:p>
    <w:p w14:paraId="2AB1AB87" w14:textId="77777777" w:rsidR="00EE5F59" w:rsidRDefault="004F5CEB" w:rsidP="00EE5F59">
      <w:r>
        <w:rPr>
          <w:noProof/>
        </w:rPr>
        <w:pict w14:anchorId="667DDA60">
          <v:rect id="_x0000_i1899" style="width:0;height:1.5pt" o:hralign="center" o:hrstd="t" o:hr="t" fillcolor="#a0a0a0" stroked="f"/>
        </w:pict>
      </w:r>
    </w:p>
    <w:p w14:paraId="7D0E263E" w14:textId="77777777" w:rsidR="00EE5F59" w:rsidRDefault="00EE5F59" w:rsidP="00EE5F59">
      <w:pPr>
        <w:pStyle w:val="whitespace-normal"/>
      </w:pPr>
      <w:r>
        <w:rPr>
          <w:rStyle w:val="Fett"/>
          <w:rFonts w:eastAsiaTheme="majorEastAsia"/>
        </w:rPr>
        <w:t>Kommentar:</w:t>
      </w:r>
      <w:r>
        <w:t xml:space="preserve"> </w:t>
      </w:r>
      <w:r>
        <w:rPr>
          <w:rStyle w:val="Fett"/>
          <w:rFonts w:eastAsiaTheme="majorEastAsia"/>
          <w:rtl/>
        </w:rPr>
        <w:t>הֲ־לַיְהוָה תִּגְמְלוּ־זֹאת עַם נָבָל וְלֹא חָכָם הֲלוֹא־הוּא אָבִיךָ קָנֶךָ הוּא עָשְׂךָ וַיְכֹנְנֶךָ</w:t>
      </w:r>
      <w:r>
        <w:rPr>
          <w:rtl/>
        </w:rPr>
        <w:t xml:space="preserve"> </w:t>
      </w:r>
      <w:r>
        <w:t xml:space="preserve">sind zwei rhetorische Fragen und drei Aussagen: </w:t>
      </w:r>
      <w:r>
        <w:rPr>
          <w:rStyle w:val="Fett"/>
          <w:rFonts w:eastAsiaTheme="majorEastAsia"/>
          <w:rtl/>
        </w:rPr>
        <w:t>הֲ־לַיְהוָה תִּגְמְלוּ־זֹאת עַם נָבָל וְלֹא חָכָם</w:t>
      </w:r>
      <w:r>
        <w:rPr>
          <w:rtl/>
        </w:rPr>
        <w:t xml:space="preserve"> </w:t>
      </w:r>
      <w:r>
        <w:t xml:space="preserve">(rhetorische Frage: </w:t>
      </w:r>
      <w:r>
        <w:rPr>
          <w:rStyle w:val="Fett"/>
          <w:rFonts w:eastAsiaTheme="majorEastAsia"/>
          <w:rtl/>
        </w:rPr>
        <w:t>הֲ</w:t>
      </w:r>
      <w:r>
        <w:rPr>
          <w:rtl/>
        </w:rPr>
        <w:t xml:space="preserve"> </w:t>
      </w:r>
      <w:r>
        <w:t xml:space="preserve">(Fragepartikel) mit </w:t>
      </w:r>
      <w:r>
        <w:rPr>
          <w:rStyle w:val="Fett"/>
          <w:rFonts w:eastAsiaTheme="majorEastAsia"/>
          <w:rtl/>
        </w:rPr>
        <w:t>לַיְהוָה</w:t>
      </w:r>
      <w:r>
        <w:t xml:space="preserve">, </w:t>
      </w:r>
      <w:r>
        <w:rPr>
          <w:rStyle w:val="Fett"/>
          <w:rFonts w:eastAsiaTheme="majorEastAsia"/>
          <w:rtl/>
        </w:rPr>
        <w:t>גמל</w:t>
      </w:r>
      <w:r>
        <w:t xml:space="preserve">, Qal Imperfekt, 2. Person Plural, „vergelten, erwidern", </w:t>
      </w:r>
      <w:r>
        <w:rPr>
          <w:rStyle w:val="Fett"/>
          <w:rFonts w:eastAsiaTheme="majorEastAsia"/>
          <w:rtl/>
        </w:rPr>
        <w:t>זֹאת</w:t>
      </w:r>
      <w:r>
        <w:t xml:space="preserve">, Apposition: </w:t>
      </w:r>
      <w:r>
        <w:rPr>
          <w:rStyle w:val="Fett"/>
          <w:rFonts w:eastAsiaTheme="majorEastAsia"/>
          <w:rtl/>
        </w:rPr>
        <w:t>עַם נָבָל</w:t>
      </w:r>
      <w:r>
        <w:t xml:space="preserve">, „törichtes Volk", koordiniert mit Negation, </w:t>
      </w:r>
      <w:r>
        <w:rPr>
          <w:rStyle w:val="Fett"/>
          <w:rFonts w:eastAsiaTheme="majorEastAsia"/>
          <w:rtl/>
        </w:rPr>
        <w:t>חָכָם</w:t>
      </w:r>
      <w:r>
        <w:t xml:space="preserve">, Adjektiv, „weise"), </w:t>
      </w:r>
      <w:r>
        <w:rPr>
          <w:rStyle w:val="Fett"/>
          <w:rFonts w:eastAsiaTheme="majorEastAsia"/>
          <w:rtl/>
        </w:rPr>
        <w:t>הֲלוֹא־</w:t>
      </w:r>
      <w:r>
        <w:rPr>
          <w:rStyle w:val="Fett"/>
          <w:rFonts w:eastAsiaTheme="majorEastAsia"/>
          <w:rtl/>
        </w:rPr>
        <w:lastRenderedPageBreak/>
        <w:t>הוּא אָבִיךָ קָנֶךָ</w:t>
      </w:r>
      <w:r>
        <w:rPr>
          <w:rtl/>
        </w:rPr>
        <w:t xml:space="preserve"> </w:t>
      </w:r>
      <w:r>
        <w:t xml:space="preserve">(rhetorische Frage: </w:t>
      </w:r>
      <w:r>
        <w:rPr>
          <w:rStyle w:val="Fett"/>
          <w:rFonts w:eastAsiaTheme="majorEastAsia"/>
          <w:rtl/>
        </w:rPr>
        <w:t>הֲלוֹא</w:t>
      </w:r>
      <w:r>
        <w:rPr>
          <w:rtl/>
        </w:rPr>
        <w:t xml:space="preserve"> </w:t>
      </w:r>
      <w:r>
        <w:t xml:space="preserve">(Fragepartikel + Negation) mit </w:t>
      </w:r>
      <w:r>
        <w:rPr>
          <w:rStyle w:val="Fett"/>
          <w:rFonts w:eastAsiaTheme="majorEastAsia"/>
          <w:rtl/>
        </w:rPr>
        <w:t>הוּא</w:t>
      </w:r>
      <w:r>
        <w:t xml:space="preserve">, </w:t>
      </w:r>
      <w:r>
        <w:rPr>
          <w:rStyle w:val="Fett"/>
          <w:rFonts w:eastAsiaTheme="majorEastAsia"/>
          <w:rtl/>
        </w:rPr>
        <w:t>אָב</w:t>
      </w:r>
      <w:r>
        <w:rPr>
          <w:rtl/>
        </w:rPr>
        <w:t xml:space="preserve"> </w:t>
      </w:r>
      <w:r>
        <w:t xml:space="preserve">mit Suffix 2. Person Maskulinum Singular, </w:t>
      </w:r>
      <w:r>
        <w:rPr>
          <w:rStyle w:val="Fett"/>
          <w:rFonts w:eastAsiaTheme="majorEastAsia"/>
          <w:rtl/>
        </w:rPr>
        <w:t>קנה</w:t>
      </w:r>
      <w:r>
        <w:t xml:space="preserve">, Qal Perfekt, 3. Person Maskulinum Singular, mit Suffix 2. Person Maskulinum Singular, „erschaffen, erwerben"), </w:t>
      </w:r>
      <w:r>
        <w:rPr>
          <w:rStyle w:val="Fett"/>
          <w:rFonts w:eastAsiaTheme="majorEastAsia"/>
          <w:rtl/>
        </w:rPr>
        <w:t>הוּא עָשְׂךָ וַיְכֹנְנֶךָ</w:t>
      </w:r>
      <w:r>
        <w:rPr>
          <w:rtl/>
        </w:rPr>
        <w:t xml:space="preserve"> </w:t>
      </w:r>
      <w:r>
        <w:t>(</w:t>
      </w:r>
      <w:r>
        <w:rPr>
          <w:rStyle w:val="Fett"/>
          <w:rFonts w:eastAsiaTheme="majorEastAsia"/>
          <w:rtl/>
        </w:rPr>
        <w:t>הוּא</w:t>
      </w:r>
      <w:r>
        <w:t xml:space="preserve">, </w:t>
      </w:r>
      <w:r>
        <w:rPr>
          <w:rStyle w:val="Fett"/>
          <w:rFonts w:eastAsiaTheme="majorEastAsia"/>
          <w:rtl/>
        </w:rPr>
        <w:t>עשׂה</w:t>
      </w:r>
      <w:r>
        <w:t xml:space="preserve">, Qal Perfekt, 3. Person Maskulinum Singular, mit Suffix, koordiniert durch </w:t>
      </w:r>
      <w:r>
        <w:rPr>
          <w:rStyle w:val="Fett"/>
          <w:rFonts w:eastAsiaTheme="majorEastAsia"/>
          <w:rtl/>
        </w:rPr>
        <w:t>וְ</w:t>
      </w:r>
      <w:r>
        <w:rPr>
          <w:rtl/>
        </w:rPr>
        <w:t xml:space="preserve"> </w:t>
      </w:r>
      <w:r>
        <w:t xml:space="preserve">mit </w:t>
      </w:r>
      <w:r>
        <w:rPr>
          <w:rStyle w:val="Fett"/>
          <w:rFonts w:eastAsiaTheme="majorEastAsia"/>
          <w:rtl/>
        </w:rPr>
        <w:t>כון</w:t>
      </w:r>
      <w:r>
        <w:t xml:space="preserve">, Polel Imperfekt mit </w:t>
      </w:r>
      <w:r>
        <w:rPr>
          <w:rStyle w:val="Fett"/>
          <w:rFonts w:eastAsiaTheme="majorEastAsia"/>
        </w:rPr>
        <w:t>Waw</w:t>
      </w:r>
      <w:r>
        <w:t xml:space="preserve"> consecutivum, 3. Person Maskulinum Singular, mit Suffix, „fest machen, bereiten, gründen").</w:t>
      </w:r>
    </w:p>
    <w:p w14:paraId="22DE0E50" w14:textId="0B5E3427" w:rsidR="00EE5F59" w:rsidRDefault="00EE5F59" w:rsidP="00EE5F59">
      <w:pPr>
        <w:pStyle w:val="whitespace-normal"/>
      </w:pPr>
      <w:r>
        <w:t xml:space="preserve">Der Vers ist eine scharfe Anklage gegen Israel. Die beiden rhetorischen Fragen: </w:t>
      </w:r>
      <w:r>
        <w:rPr>
          <w:rStyle w:val="Fett"/>
          <w:rFonts w:eastAsiaTheme="majorEastAsia"/>
          <w:rtl/>
        </w:rPr>
        <w:t>הֲ־לַיְהוָה תִּגְמְלוּ־זֹאת עַם נָבָל וְלֹא חָכָם הֲלוֹא־הוּא אָבִיךָ קָנֶךָ</w:t>
      </w:r>
      <w:r>
        <w:rPr>
          <w:rtl/>
        </w:rPr>
        <w:t xml:space="preserve"> </w:t>
      </w:r>
      <w:r>
        <w:t>(„wollt ihr so</w:t>
      </w:r>
      <w:r w:rsidR="00281FDB" w:rsidRPr="00281FDB">
        <w:t xml:space="preserve"> </w:t>
      </w:r>
      <w:r w:rsidR="00281FDB">
        <w:t>JHWH</w:t>
      </w:r>
      <w:r>
        <w:t xml:space="preserve"> vergelten, törichtes und unweises Volk? Ist er nicht dein Vater, der dich erschaffen hat?"). Die erste Frage klagt Israel der Undankbarkeit an. Das Verb </w:t>
      </w:r>
      <w:r>
        <w:rPr>
          <w:rStyle w:val="Fett"/>
          <w:rFonts w:eastAsiaTheme="majorEastAsia"/>
          <w:rtl/>
        </w:rPr>
        <w:t>גמל</w:t>
      </w:r>
      <w:r>
        <w:rPr>
          <w:rtl/>
        </w:rPr>
        <w:t xml:space="preserve"> </w:t>
      </w:r>
      <w:r>
        <w:t xml:space="preserve">(„vergelten") wird oft für Vergeltung von Gutem oder Bösem verwendet (vgl. Gen 50,15.17; </w:t>
      </w:r>
      <w:r w:rsidR="00664EB6">
        <w:t>1Sam</w:t>
      </w:r>
      <w:r>
        <w:t xml:space="preserve"> 24,18; </w:t>
      </w:r>
      <w:r w:rsidR="00664EB6">
        <w:t>2Sam</w:t>
      </w:r>
      <w:r>
        <w:t xml:space="preserve"> 19,37; Ps 7,5; 13,6; 18,21; 103,10; 116,7; 119,17; 142,8; Spr 3,30; 11,17; Jes 3,9; Joel 4,4). Die Anrede </w:t>
      </w:r>
      <w:r>
        <w:rPr>
          <w:rStyle w:val="Fett"/>
          <w:rFonts w:eastAsiaTheme="majorEastAsia"/>
          <w:rtl/>
        </w:rPr>
        <w:t>עַם נָבָל וְלֹא חָכָם</w:t>
      </w:r>
      <w:r>
        <w:rPr>
          <w:rtl/>
        </w:rPr>
        <w:t xml:space="preserve"> </w:t>
      </w:r>
      <w:r>
        <w:t xml:space="preserve">(„törichtes und unweises Volk") ist vernichtend – </w:t>
      </w:r>
      <w:r>
        <w:rPr>
          <w:rStyle w:val="Fett"/>
          <w:rFonts w:eastAsiaTheme="majorEastAsia"/>
          <w:rtl/>
        </w:rPr>
        <w:t>נָבָל</w:t>
      </w:r>
      <w:r>
        <w:rPr>
          <w:rtl/>
        </w:rPr>
        <w:t xml:space="preserve"> </w:t>
      </w:r>
      <w:r>
        <w:t xml:space="preserve">(„töricht, gottlos") bezeichnet nicht nur intellektuelle, sondern vor allem moralische Dummheit (vgl. </w:t>
      </w:r>
      <w:r w:rsidR="00664EB6">
        <w:t>1Sam</w:t>
      </w:r>
      <w:r>
        <w:t xml:space="preserve"> 25,25; Ps 14,1; 53,2; 74,18.22; Jes 32,5-6; Jer 17,11). Die zweite Frage: </w:t>
      </w:r>
      <w:r>
        <w:rPr>
          <w:rStyle w:val="Fett"/>
          <w:rFonts w:eastAsiaTheme="majorEastAsia"/>
          <w:rtl/>
        </w:rPr>
        <w:t>הֲלוֹא־הוּא אָבִיךָ קָנֶךָ</w:t>
      </w:r>
      <w:r>
        <w:rPr>
          <w:rtl/>
        </w:rPr>
        <w:t xml:space="preserve"> </w:t>
      </w:r>
      <w:r>
        <w:t xml:space="preserve">(„ist er nicht dein Vater, der dich erschaffen hat?"). Gott als Vater Israels (vgl. 1,31; 8,5; 14,1; Ex 4,22-23; Jes 63,16; 64,7; Jer 3,4.19; 31,9; Hos 11,1; Mal 1,6; 2,10). Das Verb </w:t>
      </w:r>
      <w:r>
        <w:rPr>
          <w:rStyle w:val="Fett"/>
          <w:rFonts w:eastAsiaTheme="majorEastAsia"/>
          <w:rtl/>
        </w:rPr>
        <w:t>קנה</w:t>
      </w:r>
      <w:r>
        <w:rPr>
          <w:rtl/>
        </w:rPr>
        <w:t xml:space="preserve"> </w:t>
      </w:r>
      <w:r>
        <w:t xml:space="preserve">(„erwerben, erschaffen") wird für Gottes Schöpfungshandeln verwendet (vgl. Gen 14,19.22; Ps 139,13; Spr 8,22). Die drei Aussagen: </w:t>
      </w:r>
      <w:r>
        <w:rPr>
          <w:rStyle w:val="Fett"/>
          <w:rFonts w:eastAsiaTheme="majorEastAsia"/>
          <w:rtl/>
        </w:rPr>
        <w:t>הוּא עָשְׂךָ וַיְכֹנְנֶךָ</w:t>
      </w:r>
      <w:r>
        <w:rPr>
          <w:rtl/>
        </w:rPr>
        <w:t xml:space="preserve"> </w:t>
      </w:r>
      <w:r>
        <w:t xml:space="preserve">(„er hat dich gemacht und dich bereitet"). Die beiden Verben </w:t>
      </w:r>
      <w:r>
        <w:rPr>
          <w:rStyle w:val="Fett"/>
          <w:rFonts w:eastAsiaTheme="majorEastAsia"/>
          <w:rtl/>
        </w:rPr>
        <w:t>עשׂה</w:t>
      </w:r>
      <w:r>
        <w:rPr>
          <w:rtl/>
        </w:rPr>
        <w:t xml:space="preserve"> </w:t>
      </w:r>
      <w:r>
        <w:t xml:space="preserve">(„machen") und </w:t>
      </w:r>
      <w:r>
        <w:rPr>
          <w:rStyle w:val="Fett"/>
          <w:rFonts w:eastAsiaTheme="majorEastAsia"/>
          <w:rtl/>
        </w:rPr>
        <w:t>כון</w:t>
      </w:r>
      <w:r>
        <w:rPr>
          <w:rtl/>
        </w:rPr>
        <w:t xml:space="preserve"> </w:t>
      </w:r>
      <w:r>
        <w:t>(„fest machen, bereiten") beschreiben Gottes Schöpfungs- und Erlösungshandeln an Israel (vgl. Ex 15,17; Ps 68,10; 87,5).</w:t>
      </w:r>
    </w:p>
    <w:p w14:paraId="3BD7DB38" w14:textId="04D201B0" w:rsidR="00EE5F59" w:rsidRDefault="00EE5F59" w:rsidP="00EE5F59">
      <w:pPr>
        <w:pStyle w:val="whitespace-normal"/>
      </w:pPr>
      <w:r>
        <w:rPr>
          <w:rStyle w:val="Fett"/>
          <w:rFonts w:eastAsiaTheme="majorEastAsia"/>
        </w:rPr>
        <w:t>Die Satzstruktur:</w:t>
      </w:r>
      <w:r>
        <w:t xml:space="preserve"> Zwei rhetorische Fragen und drei Aussagen (wollt ihr so </w:t>
      </w:r>
      <w:r w:rsidR="00ED2181">
        <w:t>JHWH</w:t>
      </w:r>
      <w:r>
        <w:t xml:space="preserve"> vergelten, törichtes und unweises Volk? Ist er nicht dein Vater, der dich erschaffen hat? Er hat dich gemacht und dich bereitet).</w:t>
      </w:r>
    </w:p>
    <w:p w14:paraId="56B37B0C" w14:textId="272A208D" w:rsidR="00EE5F59" w:rsidRDefault="00EE5F59" w:rsidP="00F63EA3">
      <w:pPr>
        <w:pStyle w:val="whitespace-normal"/>
      </w:pPr>
      <w:r>
        <w:rPr>
          <w:rStyle w:val="Fett"/>
          <w:rFonts w:eastAsiaTheme="majorEastAsia"/>
        </w:rPr>
        <w:t>Der Vers beschreibt:</w:t>
      </w:r>
      <w:r>
        <w:t xml:space="preserve"> Anklage der Undankbarkeit – törichtes Volk vergilt Gott Böses für Gutes; er ist doch ihr Vater und Schöpfer.</w:t>
      </w:r>
    </w:p>
    <w:p w14:paraId="3E846442" w14:textId="77777777" w:rsidR="00EE5F59" w:rsidRPr="00257FCB" w:rsidRDefault="00EE5F59" w:rsidP="00257FCB">
      <w:pPr>
        <w:pStyle w:val="Bibelberschrift"/>
        <w:rPr>
          <w:b w:val="0"/>
          <w:bCs/>
        </w:rPr>
      </w:pPr>
      <w:r w:rsidRPr="00257FCB">
        <w:rPr>
          <w:rStyle w:val="Fett"/>
          <w:b/>
          <w:bCs w:val="0"/>
        </w:rPr>
        <w:t>Deuteronomium 32,7</w:t>
      </w:r>
    </w:p>
    <w:p w14:paraId="78071D34" w14:textId="77777777" w:rsidR="00EE5F59" w:rsidRDefault="00EE5F59" w:rsidP="00EE5F59">
      <w:pPr>
        <w:pStyle w:val="whitespace-normal"/>
      </w:pPr>
      <w:r>
        <w:rPr>
          <w:rStyle w:val="Fett"/>
          <w:rFonts w:eastAsiaTheme="majorEastAsia"/>
        </w:rPr>
        <w:t>Hebräisch:</w:t>
      </w:r>
      <w:r>
        <w:t xml:space="preserve"> </w:t>
      </w:r>
      <w:r>
        <w:rPr>
          <w:rtl/>
        </w:rPr>
        <w:t>זְכֹר יְמוֹת עוֹלָם בִּינוּ שְׁנוֹת דּוֹר־וָדוֹר שְׁאַל אָבִיךָ וְיַגֵּדְךָ זְקֵנֶיךָ וְיֹאמְרוּ לָךְ׃</w:t>
      </w:r>
    </w:p>
    <w:p w14:paraId="43F83CF1" w14:textId="77777777" w:rsidR="00EE5F59" w:rsidRDefault="00EE5F59" w:rsidP="00EE5F59">
      <w:pPr>
        <w:pStyle w:val="whitespace-normal"/>
      </w:pPr>
      <w:r>
        <w:rPr>
          <w:rStyle w:val="Fett"/>
          <w:rFonts w:eastAsiaTheme="majorEastAsia"/>
        </w:rPr>
        <w:t>Deutsch:</w:t>
      </w:r>
      <w:r>
        <w:t xml:space="preserve"> Gedenke der Tage der Vorzeit, betrachte die Jahre von Generation zu Generation; frage deinen Vater, und er wird es dir kundtun, deine Ältesten, und sie werden es dir sagen.</w:t>
      </w:r>
    </w:p>
    <w:p w14:paraId="2546B681" w14:textId="77777777" w:rsidR="00EE5F59" w:rsidRDefault="004F5CEB" w:rsidP="00EE5F59">
      <w:r>
        <w:rPr>
          <w:noProof/>
        </w:rPr>
        <w:pict w14:anchorId="0CCD5992">
          <v:rect id="_x0000_i1900" style="width:0;height:1.5pt" o:hralign="center" o:hrstd="t" o:hr="t" fillcolor="#a0a0a0" stroked="f"/>
        </w:pict>
      </w:r>
    </w:p>
    <w:p w14:paraId="24D43B3F" w14:textId="77777777" w:rsidR="00EE5F59" w:rsidRDefault="00EE5F59" w:rsidP="00EE5F59">
      <w:pPr>
        <w:pStyle w:val="whitespace-normal"/>
      </w:pPr>
      <w:r>
        <w:rPr>
          <w:rStyle w:val="Fett"/>
          <w:rFonts w:eastAsiaTheme="majorEastAsia"/>
        </w:rPr>
        <w:t>Kommentar:</w:t>
      </w:r>
      <w:r>
        <w:t xml:space="preserve"> </w:t>
      </w:r>
      <w:r>
        <w:rPr>
          <w:rStyle w:val="Fett"/>
          <w:rFonts w:eastAsiaTheme="majorEastAsia"/>
          <w:rtl/>
        </w:rPr>
        <w:t>זְכֹר יְמוֹת עוֹלָם בִּינוּ שְׁנוֹת דּוֹר־וָדוֹר שְׁאַל אָבִיךָ וְיַגֵּדְךָ זְקֵנֶיךָ וְיֹאמְרוּ לָךְ</w:t>
      </w:r>
      <w:r>
        <w:rPr>
          <w:rtl/>
        </w:rPr>
        <w:t xml:space="preserve"> </w:t>
      </w:r>
      <w:r>
        <w:t xml:space="preserve">sind vier Imperative und Folgen: </w:t>
      </w:r>
      <w:r>
        <w:rPr>
          <w:rStyle w:val="Fett"/>
          <w:rFonts w:eastAsiaTheme="majorEastAsia"/>
          <w:rtl/>
        </w:rPr>
        <w:t>זְכֹר יְמוֹת עוֹלָם</w:t>
      </w:r>
      <w:r>
        <w:rPr>
          <w:rtl/>
        </w:rPr>
        <w:t xml:space="preserve"> </w:t>
      </w:r>
      <w:r>
        <w:t>(</w:t>
      </w:r>
      <w:r>
        <w:rPr>
          <w:rStyle w:val="Fett"/>
          <w:rFonts w:eastAsiaTheme="majorEastAsia"/>
          <w:rtl/>
        </w:rPr>
        <w:t>זכר</w:t>
      </w:r>
      <w:r>
        <w:t xml:space="preserve">, Qal Imperativ, Maskulinum Singular, </w:t>
      </w:r>
      <w:r>
        <w:rPr>
          <w:rStyle w:val="Fett"/>
          <w:rFonts w:eastAsiaTheme="majorEastAsia"/>
          <w:rtl/>
        </w:rPr>
        <w:t>יוֹם</w:t>
      </w:r>
      <w:r>
        <w:rPr>
          <w:rtl/>
        </w:rPr>
        <w:t xml:space="preserve"> </w:t>
      </w:r>
      <w:r>
        <w:t xml:space="preserve">Plural Construct mit </w:t>
      </w:r>
      <w:r>
        <w:rPr>
          <w:rStyle w:val="Fett"/>
          <w:rFonts w:eastAsiaTheme="majorEastAsia"/>
          <w:rtl/>
        </w:rPr>
        <w:t>עוֹלָם</w:t>
      </w:r>
      <w:r>
        <w:t xml:space="preserve">, „Vorzeit, Ewigkeit"), </w:t>
      </w:r>
      <w:r>
        <w:rPr>
          <w:rStyle w:val="Fett"/>
          <w:rFonts w:eastAsiaTheme="majorEastAsia"/>
          <w:rtl/>
        </w:rPr>
        <w:t>בִּינוּ שְׁנוֹת דּוֹר־וָדוֹר</w:t>
      </w:r>
      <w:r>
        <w:rPr>
          <w:rtl/>
        </w:rPr>
        <w:t xml:space="preserve"> </w:t>
      </w:r>
      <w:r>
        <w:t>(</w:t>
      </w:r>
      <w:r>
        <w:rPr>
          <w:rStyle w:val="Fett"/>
          <w:rFonts w:eastAsiaTheme="majorEastAsia"/>
          <w:rtl/>
        </w:rPr>
        <w:t>בין</w:t>
      </w:r>
      <w:r>
        <w:t xml:space="preserve">, Qal Imperativ, Maskulinum Plural, „verstehen, betrachten", </w:t>
      </w:r>
      <w:r>
        <w:rPr>
          <w:rStyle w:val="Fett"/>
          <w:rFonts w:eastAsiaTheme="majorEastAsia"/>
          <w:rtl/>
        </w:rPr>
        <w:t>שָׁנָה</w:t>
      </w:r>
      <w:r>
        <w:rPr>
          <w:rtl/>
        </w:rPr>
        <w:t xml:space="preserve"> </w:t>
      </w:r>
      <w:r>
        <w:t xml:space="preserve">Plural Construct mit </w:t>
      </w:r>
      <w:r>
        <w:rPr>
          <w:rStyle w:val="Fett"/>
          <w:rFonts w:eastAsiaTheme="majorEastAsia"/>
          <w:rtl/>
        </w:rPr>
        <w:t>דּוֹר־וָדוֹר</w:t>
      </w:r>
      <w:r>
        <w:t xml:space="preserve">, „Generation zu Generation"), </w:t>
      </w:r>
      <w:r>
        <w:rPr>
          <w:rStyle w:val="Fett"/>
          <w:rFonts w:eastAsiaTheme="majorEastAsia"/>
          <w:rtl/>
        </w:rPr>
        <w:t>שְׁאַל אָבִיךָ וְיַגֵּדְךָ</w:t>
      </w:r>
      <w:r>
        <w:rPr>
          <w:rtl/>
        </w:rPr>
        <w:t xml:space="preserve"> </w:t>
      </w:r>
      <w:r>
        <w:t>(</w:t>
      </w:r>
      <w:r>
        <w:rPr>
          <w:rStyle w:val="Fett"/>
          <w:rFonts w:eastAsiaTheme="majorEastAsia"/>
          <w:rtl/>
        </w:rPr>
        <w:t>שׁאל</w:t>
      </w:r>
      <w:r>
        <w:t xml:space="preserve">, Qal Imperativ, Maskulinum Singular, </w:t>
      </w:r>
      <w:r>
        <w:rPr>
          <w:rStyle w:val="Fett"/>
          <w:rFonts w:eastAsiaTheme="majorEastAsia"/>
          <w:rtl/>
        </w:rPr>
        <w:t>אָב</w:t>
      </w:r>
      <w:r>
        <w:rPr>
          <w:rtl/>
        </w:rPr>
        <w:t xml:space="preserve"> </w:t>
      </w:r>
      <w:r>
        <w:t xml:space="preserve">mit Suffix, koordiniert durch </w:t>
      </w:r>
      <w:r>
        <w:rPr>
          <w:rStyle w:val="Fett"/>
          <w:rFonts w:eastAsiaTheme="majorEastAsia"/>
          <w:rtl/>
        </w:rPr>
        <w:t>וְ</w:t>
      </w:r>
      <w:r>
        <w:rPr>
          <w:rtl/>
        </w:rPr>
        <w:t xml:space="preserve"> </w:t>
      </w:r>
      <w:r>
        <w:t xml:space="preserve">mit </w:t>
      </w:r>
      <w:r>
        <w:rPr>
          <w:rStyle w:val="Fett"/>
          <w:rFonts w:eastAsiaTheme="majorEastAsia"/>
          <w:rtl/>
        </w:rPr>
        <w:t>נגד</w:t>
      </w:r>
      <w:r>
        <w:t xml:space="preserve">, Hiphil Imperfekt (Jussiv), 3. Person Maskulinum Singular, mit Suffix, „kundtun"), </w:t>
      </w:r>
      <w:r>
        <w:rPr>
          <w:rStyle w:val="Fett"/>
          <w:rFonts w:eastAsiaTheme="majorEastAsia"/>
          <w:rtl/>
        </w:rPr>
        <w:t>זְקֵנֶיךָ וְיֹאמְרוּ לָךְ</w:t>
      </w:r>
      <w:r>
        <w:rPr>
          <w:rtl/>
        </w:rPr>
        <w:t xml:space="preserve"> </w:t>
      </w:r>
      <w:r>
        <w:t>(</w:t>
      </w:r>
      <w:r>
        <w:rPr>
          <w:rStyle w:val="Fett"/>
          <w:rFonts w:eastAsiaTheme="majorEastAsia"/>
          <w:rtl/>
        </w:rPr>
        <w:t>זָקֵן</w:t>
      </w:r>
      <w:r>
        <w:t xml:space="preserve">, „Älteste", Plural mit Suffix, koordiniert durch </w:t>
      </w:r>
      <w:r>
        <w:rPr>
          <w:rStyle w:val="Fett"/>
          <w:rFonts w:eastAsiaTheme="majorEastAsia"/>
          <w:rtl/>
        </w:rPr>
        <w:t>וְ</w:t>
      </w:r>
      <w:r>
        <w:rPr>
          <w:rtl/>
        </w:rPr>
        <w:t xml:space="preserve"> </w:t>
      </w:r>
      <w:r>
        <w:t xml:space="preserve">mit </w:t>
      </w:r>
      <w:r>
        <w:rPr>
          <w:rStyle w:val="Fett"/>
          <w:rFonts w:eastAsiaTheme="majorEastAsia"/>
          <w:rtl/>
        </w:rPr>
        <w:t>אמר</w:t>
      </w:r>
      <w:r>
        <w:t xml:space="preserve">, Qal Imperfekt (Jussiv), 3. Person Plural, </w:t>
      </w:r>
      <w:r>
        <w:rPr>
          <w:rStyle w:val="Fett"/>
          <w:rFonts w:eastAsiaTheme="majorEastAsia"/>
          <w:rtl/>
        </w:rPr>
        <w:t>לָךְ</w:t>
      </w:r>
      <w:r>
        <w:t>).</w:t>
      </w:r>
    </w:p>
    <w:p w14:paraId="7CF1A531" w14:textId="77777777" w:rsidR="00EE5F59" w:rsidRDefault="00EE5F59" w:rsidP="00EE5F59">
      <w:pPr>
        <w:pStyle w:val="whitespace-normal"/>
      </w:pPr>
      <w:r>
        <w:lastRenderedPageBreak/>
        <w:t xml:space="preserve">Der Vers fordert Israel auf, die Heilsgeschichte zu erinnern. Die vier Imperative und Folgen: </w:t>
      </w:r>
      <w:r>
        <w:rPr>
          <w:rStyle w:val="Fett"/>
          <w:rFonts w:eastAsiaTheme="majorEastAsia"/>
          <w:rtl/>
        </w:rPr>
        <w:t>זְכֹר יְמוֹת עוֹלָם בִּינוּ שְׁנוֹת דּוֹר־וָדוֹר שְׁאַל אָבִיךָ וְיַגֵּדְךָ זְקֵנֶיךָ וְיֹאמְרוּ לָךְ</w:t>
      </w:r>
      <w:r>
        <w:rPr>
          <w:rtl/>
        </w:rPr>
        <w:t xml:space="preserve"> </w:t>
      </w:r>
      <w:r>
        <w:t xml:space="preserve">(„gedenke der Tage der Vorzeit, betrachtet die Jahre von Generation zu Generation; frage deinen Vater, und er wird es dir kundtun, deine Ältesten, und sie werden es dir sagen"). Die ersten beiden Imperative fordern zur Erinnerung auf: </w:t>
      </w:r>
      <w:r>
        <w:rPr>
          <w:rStyle w:val="Fett"/>
          <w:rFonts w:eastAsiaTheme="majorEastAsia"/>
          <w:rtl/>
        </w:rPr>
        <w:t>זְכֹר יְמוֹת עוֹלָם</w:t>
      </w:r>
      <w:r>
        <w:rPr>
          <w:rtl/>
        </w:rPr>
        <w:t xml:space="preserve"> </w:t>
      </w:r>
      <w:r>
        <w:t xml:space="preserve">(„gedenke der Tage der Vorzeit") und </w:t>
      </w:r>
      <w:r>
        <w:rPr>
          <w:rStyle w:val="Fett"/>
          <w:rFonts w:eastAsiaTheme="majorEastAsia"/>
          <w:rtl/>
        </w:rPr>
        <w:t>בִּינוּ שְׁנוֹת דּוֹר־וָדוֹר</w:t>
      </w:r>
      <w:r>
        <w:rPr>
          <w:rtl/>
        </w:rPr>
        <w:t xml:space="preserve"> </w:t>
      </w:r>
      <w:r>
        <w:t xml:space="preserve">(„betrachtet die Jahre von Generation zu Generation"). Die Formulierung </w:t>
      </w:r>
      <w:r>
        <w:rPr>
          <w:rStyle w:val="Fett"/>
          <w:rFonts w:eastAsiaTheme="majorEastAsia"/>
          <w:rtl/>
        </w:rPr>
        <w:t>יְמוֹת עוֹלָם</w:t>
      </w:r>
      <w:r>
        <w:rPr>
          <w:rtl/>
        </w:rPr>
        <w:t xml:space="preserve"> </w:t>
      </w:r>
      <w:r>
        <w:t xml:space="preserve">(„Tage der Vorzeit") bezieht sich auf die frühe Heilsgeschichte (vgl. Jes 51,9; 63,9.11; Amos 9,11; Mich 7,14; Mal 3,4). Die Formulierung </w:t>
      </w:r>
      <w:r>
        <w:rPr>
          <w:rStyle w:val="Fett"/>
          <w:rFonts w:eastAsiaTheme="majorEastAsia"/>
          <w:rtl/>
        </w:rPr>
        <w:t>דּוֹר־וָדוֹר</w:t>
      </w:r>
      <w:r>
        <w:rPr>
          <w:rtl/>
        </w:rPr>
        <w:t xml:space="preserve"> </w:t>
      </w:r>
      <w:r>
        <w:t xml:space="preserve">(„Generation zu Generation") betont den kontinuierlichen Geschichtsverlauf (vgl. Ps 10,6; 49,12; 90,1; Jes 34,10.17; 51,8; Joel 2,2). Die letzten beiden Imperative fordern zur Befragung der älteren Generation auf: </w:t>
      </w:r>
      <w:r>
        <w:rPr>
          <w:rStyle w:val="Fett"/>
          <w:rFonts w:eastAsiaTheme="majorEastAsia"/>
          <w:rtl/>
        </w:rPr>
        <w:t>שְׁאַל אָבִיךָ וְיַגֵּדְךָ זְקֵנֶיךָ וְיֹאמְרוּ לָךְ</w:t>
      </w:r>
      <w:r>
        <w:rPr>
          <w:rtl/>
        </w:rPr>
        <w:t xml:space="preserve"> </w:t>
      </w:r>
      <w:r>
        <w:t>(„frage deinen Vater, und er wird es dir kundtun, deine Ältesten, und sie werden es dir sagen"). Die mündliche Überlieferung ist wichtig für die Weitergabe der Heilsgeschichte (vgl. 4,32; 6,20-25; Ex 10,2; 12,26-27; 13,8.14; Jos 4,6-7.21-24; Ps 44,2; 78,3-4).</w:t>
      </w:r>
    </w:p>
    <w:p w14:paraId="5D5B49AD" w14:textId="77777777" w:rsidR="00EE5F59" w:rsidRDefault="00EE5F59" w:rsidP="00EE5F59">
      <w:pPr>
        <w:pStyle w:val="whitespace-normal"/>
      </w:pPr>
      <w:r>
        <w:rPr>
          <w:rStyle w:val="Fett"/>
          <w:rFonts w:eastAsiaTheme="majorEastAsia"/>
        </w:rPr>
        <w:t>Die Satzstruktur:</w:t>
      </w:r>
      <w:r>
        <w:t xml:space="preserve"> Vier Imperative und Folgen (gedenke der Tage der Vorzeit, betrachtet die Jahre von Generation zu Generation; frage deinen Vater, und er wird es dir kundtun, deine Ältesten, und sie werden es dir sagen).</w:t>
      </w:r>
    </w:p>
    <w:p w14:paraId="649F54AC" w14:textId="3A821050" w:rsidR="00EE5F59" w:rsidRDefault="00EE5F59" w:rsidP="00F63EA3">
      <w:pPr>
        <w:pStyle w:val="whitespace-normal"/>
      </w:pPr>
      <w:r>
        <w:rPr>
          <w:rStyle w:val="Fett"/>
          <w:rFonts w:eastAsiaTheme="majorEastAsia"/>
        </w:rPr>
        <w:t>Der Vers beschreibt:</w:t>
      </w:r>
      <w:r>
        <w:t xml:space="preserve"> Aufruf zur Erinnerung – Israel soll die Heilsgeschichte erinnern und die älteren Generationen befragen.</w:t>
      </w:r>
    </w:p>
    <w:p w14:paraId="4F804272" w14:textId="77777777" w:rsidR="00EE5F59" w:rsidRPr="00257FCB" w:rsidRDefault="00EE5F59" w:rsidP="00257FCB">
      <w:pPr>
        <w:pStyle w:val="Bibelberschrift"/>
        <w:rPr>
          <w:b w:val="0"/>
          <w:bCs/>
        </w:rPr>
      </w:pPr>
      <w:r w:rsidRPr="00257FCB">
        <w:rPr>
          <w:rStyle w:val="Fett"/>
          <w:b/>
          <w:bCs w:val="0"/>
        </w:rPr>
        <w:t>Deuteronomium 32,8</w:t>
      </w:r>
    </w:p>
    <w:p w14:paraId="0681E1D7" w14:textId="77777777" w:rsidR="00EE5F59" w:rsidRDefault="00EE5F59" w:rsidP="00EE5F59">
      <w:pPr>
        <w:pStyle w:val="whitespace-normal"/>
      </w:pPr>
      <w:r>
        <w:rPr>
          <w:rStyle w:val="Fett"/>
          <w:rFonts w:eastAsiaTheme="majorEastAsia"/>
        </w:rPr>
        <w:t>Hebräisch:</w:t>
      </w:r>
      <w:r>
        <w:t xml:space="preserve"> </w:t>
      </w:r>
      <w:r>
        <w:rPr>
          <w:rtl/>
        </w:rPr>
        <w:t>בְּהַנְחֵל עֶלְיוֹן גּוֹיִם בְּהַפְרִידוֹ בְּנֵי אָדָם יַצֵּב גְּבֻלֹת עַמִּים לְמִסְפַּר בְּנֵי יִשְׂרָאֵל׃</w:t>
      </w:r>
    </w:p>
    <w:p w14:paraId="3FC1A117" w14:textId="77777777" w:rsidR="00EE5F59" w:rsidRDefault="00EE5F59" w:rsidP="00EE5F59">
      <w:pPr>
        <w:pStyle w:val="whitespace-normal"/>
      </w:pPr>
      <w:r>
        <w:rPr>
          <w:rStyle w:val="Fett"/>
          <w:rFonts w:eastAsiaTheme="majorEastAsia"/>
        </w:rPr>
        <w:t>Deutsch:</w:t>
      </w:r>
      <w:r>
        <w:t xml:space="preserve"> Als der Höchste den Nationen das Erbe austeilte, als er die Menschensöhne voneinander schied, setzte er die Grenzen der Völker fest nach der Zahl der Kinder Israels.</w:t>
      </w:r>
    </w:p>
    <w:p w14:paraId="024DBABD" w14:textId="77777777" w:rsidR="00EE5F59" w:rsidRDefault="004F5CEB" w:rsidP="00EE5F59">
      <w:r>
        <w:rPr>
          <w:noProof/>
        </w:rPr>
        <w:pict w14:anchorId="29784907">
          <v:rect id="_x0000_i1901" style="width:0;height:1.5pt" o:hralign="center" o:hrstd="t" o:hr="t" fillcolor="#a0a0a0" stroked="f"/>
        </w:pict>
      </w:r>
    </w:p>
    <w:p w14:paraId="7B018DCB" w14:textId="77777777" w:rsidR="00EE5F59" w:rsidRDefault="00EE5F59" w:rsidP="00EE5F59">
      <w:pPr>
        <w:pStyle w:val="whitespace-normal"/>
      </w:pPr>
      <w:r>
        <w:rPr>
          <w:rStyle w:val="Fett"/>
          <w:rFonts w:eastAsiaTheme="majorEastAsia"/>
        </w:rPr>
        <w:t>Kommentar:</w:t>
      </w:r>
      <w:r>
        <w:t xml:space="preserve"> </w:t>
      </w:r>
      <w:r>
        <w:rPr>
          <w:rStyle w:val="Fett"/>
          <w:rFonts w:eastAsiaTheme="majorEastAsia"/>
          <w:rtl/>
        </w:rPr>
        <w:t>בְּהַנְחֵל עֶלְיוֹן גּוֹיִם בְּהַפְרִידוֹ בְּנֵי אָדָם יַצֵּב גְּבֻלֹת עַמִּים לְמִסְפַּר בְּנֵי יִשְׂרָאֵל</w:t>
      </w:r>
      <w:r>
        <w:rPr>
          <w:rtl/>
        </w:rPr>
        <w:t xml:space="preserve"> </w:t>
      </w:r>
      <w:r>
        <w:t xml:space="preserve">sind zwei Temporalsätze und Hauptaussage: </w:t>
      </w:r>
      <w:r>
        <w:rPr>
          <w:rStyle w:val="Fett"/>
          <w:rFonts w:eastAsiaTheme="majorEastAsia"/>
          <w:rtl/>
        </w:rPr>
        <w:t>בְּהַנְחֵל עֶלְיוֹן גּוֹיִם</w:t>
      </w:r>
      <w:r>
        <w:rPr>
          <w:rtl/>
        </w:rPr>
        <w:t xml:space="preserve"> </w:t>
      </w:r>
      <w:r>
        <w:t xml:space="preserve">(Temporalsatz: </w:t>
      </w:r>
      <w:r>
        <w:rPr>
          <w:rStyle w:val="Fett"/>
          <w:rFonts w:eastAsiaTheme="majorEastAsia"/>
          <w:rtl/>
        </w:rPr>
        <w:t>בְּ</w:t>
      </w:r>
      <w:r>
        <w:rPr>
          <w:rtl/>
        </w:rPr>
        <w:t xml:space="preserve"> </w:t>
      </w:r>
      <w:r>
        <w:t xml:space="preserve">+ Hiphil Infinitiv Construct von </w:t>
      </w:r>
      <w:r>
        <w:rPr>
          <w:rStyle w:val="Fett"/>
          <w:rFonts w:eastAsiaTheme="majorEastAsia"/>
          <w:rtl/>
        </w:rPr>
        <w:t>נחל</w:t>
      </w:r>
      <w:r>
        <w:t xml:space="preserve">, „als Erbe austeilen", </w:t>
      </w:r>
      <w:r>
        <w:rPr>
          <w:rStyle w:val="Fett"/>
          <w:rFonts w:eastAsiaTheme="majorEastAsia"/>
          <w:rtl/>
        </w:rPr>
        <w:t>עֶלְיוֹן</w:t>
      </w:r>
      <w:r>
        <w:t xml:space="preserve">, „Höchster" (Gottesname), als Subjekt, </w:t>
      </w:r>
      <w:r>
        <w:rPr>
          <w:rStyle w:val="Fett"/>
          <w:rFonts w:eastAsiaTheme="majorEastAsia"/>
          <w:rtl/>
        </w:rPr>
        <w:t>גּוֹי</w:t>
      </w:r>
      <w:r>
        <w:t xml:space="preserve">, „Völker", Plural), </w:t>
      </w:r>
      <w:r>
        <w:rPr>
          <w:rStyle w:val="Fett"/>
          <w:rFonts w:eastAsiaTheme="majorEastAsia"/>
          <w:rtl/>
        </w:rPr>
        <w:t>בְּהַפְרִידוֹ בְּנֵי אָדָם</w:t>
      </w:r>
      <w:r>
        <w:rPr>
          <w:rtl/>
        </w:rPr>
        <w:t xml:space="preserve"> </w:t>
      </w:r>
      <w:r>
        <w:t xml:space="preserve">(zweiter Temporalsatz: </w:t>
      </w:r>
      <w:r>
        <w:rPr>
          <w:rStyle w:val="Fett"/>
          <w:rFonts w:eastAsiaTheme="majorEastAsia"/>
          <w:rtl/>
        </w:rPr>
        <w:t>בְּ</w:t>
      </w:r>
      <w:r>
        <w:rPr>
          <w:rtl/>
        </w:rPr>
        <w:t xml:space="preserve"> </w:t>
      </w:r>
      <w:r>
        <w:t xml:space="preserve">+ Hiphil Infinitiv Construct von </w:t>
      </w:r>
      <w:r>
        <w:rPr>
          <w:rStyle w:val="Fett"/>
          <w:rFonts w:eastAsiaTheme="majorEastAsia"/>
          <w:rtl/>
        </w:rPr>
        <w:t>פרד</w:t>
      </w:r>
      <w:r>
        <w:t xml:space="preserve">, „trennen, scheiden", mit Suffix 3. Person Maskulinum Singular, </w:t>
      </w:r>
      <w:r>
        <w:rPr>
          <w:rStyle w:val="Fett"/>
          <w:rFonts w:eastAsiaTheme="majorEastAsia"/>
          <w:rtl/>
        </w:rPr>
        <w:t>בְּנֵי אָדָם</w:t>
      </w:r>
      <w:r>
        <w:t xml:space="preserve">, „Menschensöhne"), </w:t>
      </w:r>
      <w:r>
        <w:rPr>
          <w:rStyle w:val="Fett"/>
          <w:rFonts w:eastAsiaTheme="majorEastAsia"/>
          <w:rtl/>
        </w:rPr>
        <w:t>יַצֵּב גְּבֻלֹת עַמִּים לְמִסְפַּר בְּנֵי יִשְׂרָאֵל</w:t>
      </w:r>
      <w:r>
        <w:rPr>
          <w:rtl/>
        </w:rPr>
        <w:t xml:space="preserve"> </w:t>
      </w:r>
      <w:r>
        <w:t>(</w:t>
      </w:r>
      <w:r>
        <w:rPr>
          <w:rStyle w:val="Fett"/>
          <w:rFonts w:eastAsiaTheme="majorEastAsia"/>
          <w:rtl/>
        </w:rPr>
        <w:t>נצב</w:t>
      </w:r>
      <w:r>
        <w:t xml:space="preserve">, Hiphil Imperfekt, 3. Person Maskulinum Singular, „festsetzen, aufstellen", </w:t>
      </w:r>
      <w:r>
        <w:rPr>
          <w:rStyle w:val="Fett"/>
          <w:rFonts w:eastAsiaTheme="majorEastAsia"/>
          <w:rtl/>
        </w:rPr>
        <w:t>גְּבוּל</w:t>
      </w:r>
      <w:r>
        <w:t xml:space="preserve">, „Grenze", Plural Construct mit </w:t>
      </w:r>
      <w:r>
        <w:rPr>
          <w:rStyle w:val="Fett"/>
          <w:rFonts w:eastAsiaTheme="majorEastAsia"/>
          <w:rtl/>
        </w:rPr>
        <w:t>עַם</w:t>
      </w:r>
      <w:r>
        <w:rPr>
          <w:rtl/>
        </w:rPr>
        <w:t xml:space="preserve"> </w:t>
      </w:r>
      <w:r>
        <w:t xml:space="preserve">Plural, </w:t>
      </w:r>
      <w:r>
        <w:rPr>
          <w:rStyle w:val="Fett"/>
          <w:rFonts w:eastAsiaTheme="majorEastAsia"/>
          <w:rtl/>
        </w:rPr>
        <w:t>לְמִסְפַּר</w:t>
      </w:r>
      <w:r>
        <w:t xml:space="preserve">, „nach der Zahl", </w:t>
      </w:r>
      <w:r>
        <w:rPr>
          <w:rStyle w:val="Fett"/>
          <w:rFonts w:eastAsiaTheme="majorEastAsia"/>
          <w:rtl/>
        </w:rPr>
        <w:t>בְּנֵי יִשְׂרָאֵל</w:t>
      </w:r>
      <w:r>
        <w:t>).</w:t>
      </w:r>
    </w:p>
    <w:p w14:paraId="05A99A3D" w14:textId="36B29DAB" w:rsidR="00EE5F59" w:rsidRDefault="00EE5F59" w:rsidP="00EE5F59">
      <w:pPr>
        <w:pStyle w:val="whitespace-normal"/>
      </w:pPr>
      <w:r>
        <w:t xml:space="preserve">Der Vers beschreibt Gottes Einteilung der Völkerwelt mit Israel im Zentrum. Die beiden Temporalsätze und Hauptaussage: </w:t>
      </w:r>
      <w:r>
        <w:rPr>
          <w:rStyle w:val="Fett"/>
          <w:rFonts w:eastAsiaTheme="majorEastAsia"/>
          <w:rtl/>
        </w:rPr>
        <w:t>בְּהַנְחֵל עֶלְיוֹן גּוֹיִם בְּהַפְרִידוֹ בְּנֵי אָדָם יַצֵּב גְּבֻלֹת עַמִּים לְמִסְפַּר בְּנֵי יִשְׂרָאֵל</w:t>
      </w:r>
      <w:r>
        <w:rPr>
          <w:rtl/>
        </w:rPr>
        <w:t xml:space="preserve"> </w:t>
      </w:r>
      <w:r>
        <w:t xml:space="preserve">(„als der Höchste den Völkern das Erbe austeilte, als er schied die Menschensöhne, setzte er fest die Grenzen der Völker nach der Zahl der Kinder Israels"). Der Gottesname </w:t>
      </w:r>
      <w:r>
        <w:rPr>
          <w:rStyle w:val="Fett"/>
          <w:rFonts w:eastAsiaTheme="majorEastAsia"/>
          <w:rtl/>
        </w:rPr>
        <w:t>עֶלְיוֹן</w:t>
      </w:r>
      <w:r>
        <w:rPr>
          <w:rtl/>
        </w:rPr>
        <w:t xml:space="preserve"> </w:t>
      </w:r>
      <w:r>
        <w:t xml:space="preserve">(„Höchster") ist poetisch und archaisch (vgl. Gen 14,18-22; Num 24,16; Ps 7,18; 9,3; 18,14; 21,8; 46,5; 47,3; 50,14; 73,11; 77,11; 78,17.35.56; 82,6; 83,19; 87,5; 91,1.9; 92,2; 107,11; Jes 14,14; Lam 3,35.38; Dan 3,26; 4,14.21.29.31; 5,18.21; 7,18.22.25.27). Der Vers </w:t>
      </w:r>
      <w:r>
        <w:lastRenderedPageBreak/>
        <w:t xml:space="preserve">bezieht sich auf die Urzeit, wahrscheinlich auf die Völkertafel in Gen 10-11. Die Aussage: </w:t>
      </w:r>
      <w:r>
        <w:rPr>
          <w:rStyle w:val="Fett"/>
          <w:rFonts w:eastAsiaTheme="majorEastAsia"/>
          <w:rtl/>
        </w:rPr>
        <w:t>יַצֵּב גְּבֻלֹת עַמִּים לְמִסְפַּר בְּנֵי יִשְׂרָאֵל</w:t>
      </w:r>
      <w:r>
        <w:rPr>
          <w:rtl/>
        </w:rPr>
        <w:t xml:space="preserve"> </w:t>
      </w:r>
      <w:r>
        <w:t xml:space="preserve">(„er setzte fest die Grenzen der Völker nach der Zahl der Kinder Israels"). Die Formulierung </w:t>
      </w:r>
      <w:r>
        <w:rPr>
          <w:rStyle w:val="Fett"/>
          <w:rFonts w:eastAsiaTheme="majorEastAsia"/>
          <w:rtl/>
        </w:rPr>
        <w:t>לְמִסְפַּר בְּנֵי יִשְׂרָאֵל</w:t>
      </w:r>
      <w:r>
        <w:rPr>
          <w:rtl/>
        </w:rPr>
        <w:t xml:space="preserve"> </w:t>
      </w:r>
      <w:r>
        <w:t xml:space="preserve">(„nach der Zahl der Kinder Israels") ist theologisch bedeutsam – Gott hat die Völkerwelt von Anfang an mit Blick auf Israel geordnet (vgl. Gen 15,13-16; Amos 9,7). Die Septuaginta liest hier „nach der Zahl der </w:t>
      </w:r>
      <w:r w:rsidR="00C367A0">
        <w:t>Söhne</w:t>
      </w:r>
      <w:r>
        <w:t xml:space="preserve"> Gottes" (was sich in einigen Qumran-Handschriften findet), aber der masoretische Text betont stärker Israels zentrale Stellung.</w:t>
      </w:r>
    </w:p>
    <w:p w14:paraId="586C2968" w14:textId="678BDB7D" w:rsidR="00C367A0" w:rsidRDefault="00C367A0" w:rsidP="00EE5F59">
      <w:pPr>
        <w:pStyle w:val="whitespace-normal"/>
      </w:pPr>
      <w:r>
        <w:rPr>
          <w:rStyle w:val="Fett"/>
        </w:rPr>
        <w:t>KRITISCHER UNTERSCHIED</w:t>
      </w:r>
      <w:r>
        <w:t xml:space="preserve">: </w:t>
      </w:r>
      <w:r w:rsidRPr="00C367A0">
        <w:rPr>
          <w:b/>
          <w:bCs/>
        </w:rPr>
        <w:t>Die LXX</w:t>
      </w:r>
      <w:r>
        <w:t xml:space="preserve"> liest κα</w:t>
      </w:r>
      <w:proofErr w:type="spellStart"/>
      <w:r>
        <w:t>τὰ</w:t>
      </w:r>
      <w:proofErr w:type="spellEnd"/>
      <w:r>
        <w:t xml:space="preserve"> </w:t>
      </w:r>
      <w:proofErr w:type="spellStart"/>
      <w:r>
        <w:t>ἀριθμὸν</w:t>
      </w:r>
      <w:proofErr w:type="spellEnd"/>
      <w:r>
        <w:t xml:space="preserve"> </w:t>
      </w:r>
      <w:proofErr w:type="spellStart"/>
      <w:r>
        <w:t>υἱῶν</w:t>
      </w:r>
      <w:proofErr w:type="spellEnd"/>
      <w:r>
        <w:t xml:space="preserve"> </w:t>
      </w:r>
      <w:proofErr w:type="spellStart"/>
      <w:r>
        <w:t>θεοῦ</w:t>
      </w:r>
      <w:proofErr w:type="spellEnd"/>
      <w:r>
        <w:t xml:space="preserve"> (nach der Zahl der Söhne Gottes) statt </w:t>
      </w:r>
      <w:r>
        <w:rPr>
          <w:rtl/>
        </w:rPr>
        <w:t>לְמִסְפַּר בְּנֵי יִשְׂרָאֵל</w:t>
      </w:r>
      <w:r>
        <w:t xml:space="preserve"> (nach der Zahl der Söhne Israels). Dies reflektiert eine andere hebräische Vorlage (</w:t>
      </w:r>
      <w:r>
        <w:rPr>
          <w:rtl/>
        </w:rPr>
        <w:t>בְּנֵי אֱלֹהִים</w:t>
      </w:r>
      <w:r>
        <w:t xml:space="preserve"> statt </w:t>
      </w:r>
      <w:r>
        <w:rPr>
          <w:rtl/>
        </w:rPr>
        <w:t>בְּנֵי יִשְׂרָאֵל</w:t>
      </w:r>
      <w:r>
        <w:t>) und hat große theologische Bedeutung – es deutet auf eine himmlische Versammlung hin. Die Qumran-Handschriften (4QDeu</w:t>
      </w:r>
      <w:r w:rsidR="000115C1">
        <w:t xml:space="preserve"> j</w:t>
      </w:r>
      <w:r>
        <w:t>) unterstützen die LXX-Lesart.</w:t>
      </w:r>
    </w:p>
    <w:p w14:paraId="568ED985" w14:textId="77777777" w:rsidR="00EE5F59" w:rsidRDefault="00EE5F59" w:rsidP="00EE5F59">
      <w:pPr>
        <w:pStyle w:val="whitespace-normal"/>
      </w:pPr>
      <w:r>
        <w:rPr>
          <w:rStyle w:val="Fett"/>
          <w:rFonts w:eastAsiaTheme="majorEastAsia"/>
        </w:rPr>
        <w:t>Die Satzstruktur:</w:t>
      </w:r>
      <w:r>
        <w:t xml:space="preserve"> Zwei Temporalsätze und Hauptaussage (als der Höchste den Völkern das Erbe austeilte, als er schied die Menschensöhne, setzte er fest die Grenzen der Völker nach der Zahl der Kinder Israels).</w:t>
      </w:r>
    </w:p>
    <w:p w14:paraId="28BAE5AD" w14:textId="09C7F382" w:rsidR="00EE5F59" w:rsidRDefault="00EE5F59" w:rsidP="00F63EA3">
      <w:pPr>
        <w:pStyle w:val="whitespace-normal"/>
      </w:pPr>
      <w:r>
        <w:rPr>
          <w:rStyle w:val="Fett"/>
          <w:rFonts w:eastAsiaTheme="majorEastAsia"/>
        </w:rPr>
        <w:t>Der Vers beschreibt:</w:t>
      </w:r>
      <w:r>
        <w:t xml:space="preserve"> Urgeschichte – Gott teilte die Völkerwelt ein mit Israel im Zentrum, die Völkergrenzen nach Israels Zahl.</w:t>
      </w:r>
    </w:p>
    <w:p w14:paraId="2509EEC6" w14:textId="77777777" w:rsidR="00EE5F59" w:rsidRPr="00257FCB" w:rsidRDefault="00EE5F59" w:rsidP="00257FCB">
      <w:pPr>
        <w:pStyle w:val="Bibelberschrift"/>
        <w:rPr>
          <w:b w:val="0"/>
          <w:bCs/>
        </w:rPr>
      </w:pPr>
      <w:r w:rsidRPr="00257FCB">
        <w:rPr>
          <w:rStyle w:val="Fett"/>
          <w:b/>
          <w:bCs w:val="0"/>
        </w:rPr>
        <w:t>Deuteronomium 32,9</w:t>
      </w:r>
    </w:p>
    <w:p w14:paraId="0919DC01" w14:textId="77777777" w:rsidR="00EE5F59" w:rsidRDefault="00EE5F59" w:rsidP="00EE5F59">
      <w:pPr>
        <w:pStyle w:val="whitespace-normal"/>
      </w:pPr>
      <w:r>
        <w:rPr>
          <w:rStyle w:val="Fett"/>
          <w:rFonts w:eastAsiaTheme="majorEastAsia"/>
        </w:rPr>
        <w:t>Hebräisch:</w:t>
      </w:r>
      <w:r>
        <w:t xml:space="preserve"> </w:t>
      </w:r>
      <w:r>
        <w:rPr>
          <w:rtl/>
        </w:rPr>
        <w:t>כִּי חֵלֶק יְהֹוָה עַמּוֹ יַעֲקֹב חֶבֶל נַחֲלָתוֹ׃</w:t>
      </w:r>
    </w:p>
    <w:p w14:paraId="4019BD13" w14:textId="77777777" w:rsidR="00EE5F59" w:rsidRDefault="00EE5F59" w:rsidP="00EE5F59">
      <w:pPr>
        <w:pStyle w:val="whitespace-normal"/>
      </w:pPr>
      <w:r>
        <w:rPr>
          <w:rStyle w:val="Fett"/>
          <w:rFonts w:eastAsiaTheme="majorEastAsia"/>
        </w:rPr>
        <w:t>Deutsch:</w:t>
      </w:r>
      <w:r>
        <w:t xml:space="preserve"> Denn der Anteil des Ewigen ist sein Volk, Jakob das Los seines Erbteils.</w:t>
      </w:r>
    </w:p>
    <w:p w14:paraId="367749E9" w14:textId="77777777" w:rsidR="00EE5F59" w:rsidRDefault="004F5CEB" w:rsidP="00EE5F59">
      <w:r>
        <w:rPr>
          <w:noProof/>
        </w:rPr>
        <w:pict w14:anchorId="53EA3D0A">
          <v:rect id="_x0000_i1902" style="width:0;height:1.5pt" o:hralign="center" o:hrstd="t" o:hr="t" fillcolor="#a0a0a0" stroked="f"/>
        </w:pict>
      </w:r>
    </w:p>
    <w:p w14:paraId="195B387A" w14:textId="77777777" w:rsidR="00EE5F59" w:rsidRDefault="00EE5F59" w:rsidP="00EE5F59">
      <w:pPr>
        <w:pStyle w:val="whitespace-normal"/>
      </w:pPr>
      <w:r>
        <w:rPr>
          <w:rStyle w:val="Fett"/>
          <w:rFonts w:eastAsiaTheme="majorEastAsia"/>
        </w:rPr>
        <w:t>Kommentar:</w:t>
      </w:r>
      <w:r>
        <w:t xml:space="preserve"> </w:t>
      </w:r>
      <w:r>
        <w:rPr>
          <w:rStyle w:val="Fett"/>
          <w:rFonts w:eastAsiaTheme="majorEastAsia"/>
          <w:rtl/>
        </w:rPr>
        <w:t>כִּי חֵלֶק יְהֹוָה עַמּוֹ יַעֲקֹב חֶבֶל נַחֲלָתוֹ</w:t>
      </w:r>
      <w:r>
        <w:rPr>
          <w:rtl/>
        </w:rPr>
        <w:t xml:space="preserve"> </w:t>
      </w:r>
      <w:r>
        <w:t xml:space="preserve">sind zwei parallele Aussagen: </w:t>
      </w:r>
      <w:r>
        <w:rPr>
          <w:rStyle w:val="Fett"/>
          <w:rFonts w:eastAsiaTheme="majorEastAsia"/>
          <w:rtl/>
        </w:rPr>
        <w:t>כִּי חֵלֶק יְהֹוָה עַמּוֹ</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חֵלֶק</w:t>
      </w:r>
      <w:r>
        <w:t xml:space="preserve">, „Anteil, Teil", Construct mit </w:t>
      </w:r>
      <w:r>
        <w:rPr>
          <w:rStyle w:val="Fett"/>
          <w:rFonts w:eastAsiaTheme="majorEastAsia"/>
          <w:rtl/>
        </w:rPr>
        <w:t>יְהוָה</w:t>
      </w:r>
      <w:r>
        <w:t xml:space="preserve">, </w:t>
      </w:r>
      <w:r>
        <w:rPr>
          <w:rStyle w:val="Fett"/>
          <w:rFonts w:eastAsiaTheme="majorEastAsia"/>
          <w:rtl/>
        </w:rPr>
        <w:t>עַם</w:t>
      </w:r>
      <w:r>
        <w:rPr>
          <w:rtl/>
        </w:rPr>
        <w:t xml:space="preserve"> </w:t>
      </w:r>
      <w:r>
        <w:t xml:space="preserve">mit Suffix 3. Person Maskulinum Singular), </w:t>
      </w:r>
      <w:r>
        <w:rPr>
          <w:rStyle w:val="Fett"/>
          <w:rFonts w:eastAsiaTheme="majorEastAsia"/>
          <w:rtl/>
        </w:rPr>
        <w:t>יַעֲקֹב חֶבֶל נַחֲלָתוֹ</w:t>
      </w:r>
      <w:r>
        <w:rPr>
          <w:rtl/>
        </w:rPr>
        <w:t xml:space="preserve"> </w:t>
      </w:r>
      <w:r>
        <w:t>(</w:t>
      </w:r>
      <w:r>
        <w:rPr>
          <w:rStyle w:val="Fett"/>
          <w:rFonts w:eastAsiaTheme="majorEastAsia"/>
          <w:rtl/>
        </w:rPr>
        <w:t>יַעֲקֹב</w:t>
      </w:r>
      <w:r>
        <w:rPr>
          <w:rtl/>
        </w:rPr>
        <w:t xml:space="preserve"> </w:t>
      </w:r>
      <w:r>
        <w:t xml:space="preserve">als Apposition, </w:t>
      </w:r>
      <w:r>
        <w:rPr>
          <w:rStyle w:val="Fett"/>
          <w:rFonts w:eastAsiaTheme="majorEastAsia"/>
          <w:rtl/>
        </w:rPr>
        <w:t>חֶבֶל</w:t>
      </w:r>
      <w:r>
        <w:t xml:space="preserve">, „Messschnur, Los, Erbteil", Construct mit </w:t>
      </w:r>
      <w:r>
        <w:rPr>
          <w:rStyle w:val="Fett"/>
          <w:rFonts w:eastAsiaTheme="majorEastAsia"/>
          <w:rtl/>
        </w:rPr>
        <w:t>נַחֲלָה</w:t>
      </w:r>
      <w:r>
        <w:t>, „Erbe, Erbbesitz", mit Suffix).</w:t>
      </w:r>
    </w:p>
    <w:p w14:paraId="5B926913" w14:textId="79D2DC99" w:rsidR="00EE5F59" w:rsidRDefault="00EE5F59" w:rsidP="00EE5F59">
      <w:pPr>
        <w:pStyle w:val="whitespace-normal"/>
      </w:pPr>
      <w:r>
        <w:t xml:space="preserve">Der Vers ist die theologische Mitte des Abschnitts über die Erwählung Israels. Die beiden parallelen Aussagen: </w:t>
      </w:r>
      <w:r>
        <w:rPr>
          <w:rStyle w:val="Fett"/>
          <w:rFonts w:eastAsiaTheme="majorEastAsia"/>
          <w:rtl/>
        </w:rPr>
        <w:t>כִּי חֵלֶק יְהֹוָה עַמּוֹ יַעֲקֹב חֶבֶל נַחֲלָתוֹ</w:t>
      </w:r>
      <w:r>
        <w:rPr>
          <w:rtl/>
        </w:rPr>
        <w:t xml:space="preserve"> </w:t>
      </w:r>
      <w:r>
        <w:t xml:space="preserve">(„denn der Anteil </w:t>
      </w:r>
      <w:r w:rsidR="00DF3D1A">
        <w:t>JHWHs</w:t>
      </w:r>
      <w:r>
        <w:t xml:space="preserve"> ist sein Volk, Jakob das Los seines Erbteils"). Die beiden Begriffe </w:t>
      </w:r>
      <w:r>
        <w:rPr>
          <w:rStyle w:val="Fett"/>
          <w:rFonts w:eastAsiaTheme="majorEastAsia"/>
          <w:rtl/>
        </w:rPr>
        <w:t>חֵלֶק</w:t>
      </w:r>
      <w:r>
        <w:rPr>
          <w:rtl/>
        </w:rPr>
        <w:t xml:space="preserve"> </w:t>
      </w:r>
      <w:r>
        <w:t xml:space="preserve">(„Anteil") und </w:t>
      </w:r>
      <w:r>
        <w:rPr>
          <w:rStyle w:val="Fett"/>
          <w:rFonts w:eastAsiaTheme="majorEastAsia"/>
          <w:rtl/>
        </w:rPr>
        <w:t>חֶבֶל</w:t>
      </w:r>
      <w:r>
        <w:rPr>
          <w:rtl/>
        </w:rPr>
        <w:t xml:space="preserve"> </w:t>
      </w:r>
      <w:r>
        <w:t xml:space="preserve">(„Los, Erbteil") sind synonyme Parallelausdrücke (vgl. Ps 16,5-6; 78,55; 105,11). Die Aussage ist bemerkenswert: Während normalerweise Gott Israels Erbteil ist (vgl. Num 18,20; Ps 16,5; 73,26; 119,57; 142,6; Jer 10,16; 51,19; Lam 3,24), wird hier umgekehrt Israel als Gottes Erbteil bezeichnet (vgl. 4,20; 9,26.29; </w:t>
      </w:r>
      <w:r w:rsidR="00664EB6">
        <w:t>1Sam</w:t>
      </w:r>
      <w:r>
        <w:t xml:space="preserve"> 10,1; </w:t>
      </w:r>
      <w:r w:rsidR="00664EB6">
        <w:t>2Sam</w:t>
      </w:r>
      <w:r>
        <w:t xml:space="preserve"> 14,16; 20,19; 21,3; </w:t>
      </w:r>
      <w:r w:rsidR="00664EB6">
        <w:t>1Kön</w:t>
      </w:r>
      <w:r>
        <w:t xml:space="preserve"> 8,51.53; Ps 28,9; 33,12; 78,62.71; 94,5.14; 106,5.40; Jes 19,25; 47,6; 63,17; Jer 2,7; 10,16; 12,7-9; 50,11; 51,19; Joel 2,17; 4,2; Mich 7,14.18; Zech 2,16). Der Parallelismus </w:t>
      </w:r>
      <w:r>
        <w:rPr>
          <w:rStyle w:val="Fett"/>
          <w:rFonts w:eastAsiaTheme="majorEastAsia"/>
          <w:rtl/>
        </w:rPr>
        <w:t>עַמּוֹ // יַעֲקֹב</w:t>
      </w:r>
      <w:r>
        <w:rPr>
          <w:rtl/>
        </w:rPr>
        <w:t xml:space="preserve"> </w:t>
      </w:r>
      <w:r>
        <w:t>(„sein Volk // Jakob") ist klassisch (vgl. Ps 14,7; 53,7; 78,71; 105,6.23.43; 135,4; Jes 40,27; 41,8.14; 43,1.22; 44,1-2.21.23; 45,4; 48,1.12.20; 49,5-6; Jer 10,16; 30,10; 46,27-28; 51,19; Mich 1,5; 2,7.12; 3,1.8-9; Mal 1,2; 2,12; 3,6).</w:t>
      </w:r>
    </w:p>
    <w:p w14:paraId="1AD5E60E" w14:textId="142084D7" w:rsidR="00EE5F59" w:rsidRDefault="00EE5F59" w:rsidP="00EE5F59">
      <w:pPr>
        <w:pStyle w:val="whitespace-normal"/>
      </w:pPr>
      <w:r>
        <w:rPr>
          <w:rStyle w:val="Fett"/>
          <w:rFonts w:eastAsiaTheme="majorEastAsia"/>
        </w:rPr>
        <w:lastRenderedPageBreak/>
        <w:t>Die Satzstruktur:</w:t>
      </w:r>
      <w:r>
        <w:t xml:space="preserve"> Zwei parallele Aussagen (denn der Anteil </w:t>
      </w:r>
      <w:r w:rsidR="00B77E5E">
        <w:t>JHWHs</w:t>
      </w:r>
      <w:r>
        <w:t xml:space="preserve"> ist sein Volk, Jakob das Los seines Erbteils).</w:t>
      </w:r>
    </w:p>
    <w:p w14:paraId="3B4D382C" w14:textId="53D265ED" w:rsidR="00EE5F59" w:rsidRDefault="00EE5F59" w:rsidP="00F63EA3">
      <w:pPr>
        <w:pStyle w:val="whitespace-normal"/>
      </w:pPr>
      <w:r>
        <w:rPr>
          <w:rStyle w:val="Fett"/>
          <w:rFonts w:eastAsiaTheme="majorEastAsia"/>
        </w:rPr>
        <w:t>Der Vers beschreibt:</w:t>
      </w:r>
      <w:r>
        <w:t xml:space="preserve"> Israels Erwählung – Israel ist Gottes besonderer Anteil und Erbe unter allen Völkern.</w:t>
      </w:r>
    </w:p>
    <w:p w14:paraId="1C70B90B" w14:textId="77777777" w:rsidR="00EE5F59" w:rsidRPr="00257FCB" w:rsidRDefault="00EE5F59" w:rsidP="00257FCB">
      <w:pPr>
        <w:pStyle w:val="Bibelberschrift"/>
        <w:rPr>
          <w:b w:val="0"/>
          <w:bCs/>
        </w:rPr>
      </w:pPr>
      <w:r w:rsidRPr="00257FCB">
        <w:rPr>
          <w:rStyle w:val="Fett"/>
          <w:b/>
          <w:bCs w:val="0"/>
        </w:rPr>
        <w:t>Deuteronomium 32,10</w:t>
      </w:r>
    </w:p>
    <w:p w14:paraId="2B77924B" w14:textId="77777777" w:rsidR="00EE5F59" w:rsidRDefault="00EE5F59" w:rsidP="00EE5F59">
      <w:pPr>
        <w:pStyle w:val="whitespace-normal"/>
      </w:pPr>
      <w:r>
        <w:rPr>
          <w:rStyle w:val="Fett"/>
          <w:rFonts w:eastAsiaTheme="majorEastAsia"/>
        </w:rPr>
        <w:t>Hebräisch:</w:t>
      </w:r>
      <w:r>
        <w:t xml:space="preserve"> </w:t>
      </w:r>
      <w:r>
        <w:rPr>
          <w:rtl/>
        </w:rPr>
        <w:t>יִמְצָאֵהוּ בְּאֶרֶץ מִדְבָּר וּבְתֹהוּ יְלֵל יְשִׁמֹן יְסֹבְבֶנְהוּ יְבוֹנְנֵהוּ יִצְּרֶנְהוּ כְּאִישׁוֹן עֵינוֹ׃</w:t>
      </w:r>
    </w:p>
    <w:p w14:paraId="25342309" w14:textId="77777777" w:rsidR="00EE5F59" w:rsidRDefault="00EE5F59" w:rsidP="00EE5F59">
      <w:pPr>
        <w:pStyle w:val="whitespace-normal"/>
      </w:pPr>
      <w:r>
        <w:rPr>
          <w:rStyle w:val="Fett"/>
          <w:rFonts w:eastAsiaTheme="majorEastAsia"/>
        </w:rPr>
        <w:t>Deutsch:</w:t>
      </w:r>
      <w:r>
        <w:t xml:space="preserve"> Er fand ihn im Land der Wüste und in der Öde, dem Geheul der Wildnis; er umgab ihn, gab acht auf ihn, behütete ihn wie seinen Augapfel.</w:t>
      </w:r>
    </w:p>
    <w:p w14:paraId="5C30D74D" w14:textId="77777777" w:rsidR="00EE5F59" w:rsidRDefault="004F5CEB" w:rsidP="00EE5F59">
      <w:r>
        <w:rPr>
          <w:noProof/>
        </w:rPr>
        <w:pict w14:anchorId="673BB995">
          <v:rect id="_x0000_i1903" style="width:0;height:1.5pt" o:hralign="center" o:hrstd="t" o:hr="t" fillcolor="#a0a0a0" stroked="f"/>
        </w:pict>
      </w:r>
    </w:p>
    <w:p w14:paraId="58C0864E" w14:textId="77777777" w:rsidR="00EE5F59" w:rsidRDefault="00EE5F59" w:rsidP="00EE5F59">
      <w:pPr>
        <w:pStyle w:val="whitespace-normal"/>
      </w:pPr>
      <w:r>
        <w:rPr>
          <w:rStyle w:val="Fett"/>
          <w:rFonts w:eastAsiaTheme="majorEastAsia"/>
        </w:rPr>
        <w:t>Kommentar:</w:t>
      </w:r>
      <w:r>
        <w:t xml:space="preserve"> </w:t>
      </w:r>
      <w:r>
        <w:rPr>
          <w:rStyle w:val="Fett"/>
          <w:rFonts w:eastAsiaTheme="majorEastAsia"/>
          <w:rtl/>
        </w:rPr>
        <w:t>יִמְצָאֵהוּ בְּאֶרֶץ מִדְבָּר וּבְתֹהוּ יְלֵל יְשִׁמֹן יְסֹבְבֶנְהוּ יְבוֹנְנֵהוּ יִצְּרֶנְהוּ כְּאִישׁוֹן עֵינוֹ</w:t>
      </w:r>
      <w:r>
        <w:rPr>
          <w:rtl/>
        </w:rPr>
        <w:t xml:space="preserve"> </w:t>
      </w:r>
      <w:r>
        <w:t xml:space="preserve">sind vier Aussagen: </w:t>
      </w:r>
      <w:r>
        <w:rPr>
          <w:rStyle w:val="Fett"/>
          <w:rFonts w:eastAsiaTheme="majorEastAsia"/>
          <w:rtl/>
        </w:rPr>
        <w:t>יִמְצָאֵהוּ בְּאֶרֶץ מִדְבָּר וּבְתֹהוּ יְלֵל יְשִׁמֹן</w:t>
      </w:r>
      <w:r>
        <w:rPr>
          <w:rtl/>
        </w:rPr>
        <w:t xml:space="preserve"> </w:t>
      </w:r>
      <w:r>
        <w:t>(</w:t>
      </w:r>
      <w:r>
        <w:rPr>
          <w:rStyle w:val="Fett"/>
          <w:rFonts w:eastAsiaTheme="majorEastAsia"/>
          <w:rtl/>
        </w:rPr>
        <w:t>מצא</w:t>
      </w:r>
      <w:r>
        <w:t xml:space="preserve">, Qal Imperfekt, 3. Person Maskulinum Singular, mit Suffix 3. Person Maskulinum Singular, </w:t>
      </w:r>
      <w:r>
        <w:rPr>
          <w:rStyle w:val="Fett"/>
          <w:rFonts w:eastAsiaTheme="majorEastAsia"/>
          <w:rtl/>
        </w:rPr>
        <w:t>בְּאֶרֶץ מִדְבָּר</w:t>
      </w:r>
      <w:r>
        <w:t xml:space="preserve">, „im Land der Wüste", koordiniert durch </w:t>
      </w:r>
      <w:r>
        <w:rPr>
          <w:rStyle w:val="Fett"/>
          <w:rFonts w:eastAsiaTheme="majorEastAsia"/>
          <w:rtl/>
        </w:rPr>
        <w:t>וּ</w:t>
      </w:r>
      <w:r>
        <w:rPr>
          <w:rtl/>
        </w:rPr>
        <w:t xml:space="preserve"> </w:t>
      </w:r>
      <w:r>
        <w:t xml:space="preserve">mit </w:t>
      </w:r>
      <w:r>
        <w:rPr>
          <w:rStyle w:val="Fett"/>
          <w:rFonts w:eastAsiaTheme="majorEastAsia"/>
          <w:rtl/>
        </w:rPr>
        <w:t>בְּתֹהוּ</w:t>
      </w:r>
      <w:r>
        <w:t xml:space="preserve">, „in der Öde", zwei Appositionen: </w:t>
      </w:r>
      <w:r>
        <w:rPr>
          <w:rStyle w:val="Fett"/>
          <w:rFonts w:eastAsiaTheme="majorEastAsia"/>
          <w:rtl/>
        </w:rPr>
        <w:t>יְלֵל</w:t>
      </w:r>
      <w:r>
        <w:t xml:space="preserve">, „Geheul", Construct mit </w:t>
      </w:r>
      <w:r>
        <w:rPr>
          <w:rStyle w:val="Fett"/>
          <w:rFonts w:eastAsiaTheme="majorEastAsia"/>
          <w:rtl/>
        </w:rPr>
        <w:t>יְשִׁימוֹן</w:t>
      </w:r>
      <w:r>
        <w:t xml:space="preserve">, „Wildnis, Einöde"), </w:t>
      </w:r>
      <w:r>
        <w:rPr>
          <w:rStyle w:val="Fett"/>
          <w:rFonts w:eastAsiaTheme="majorEastAsia"/>
          <w:rtl/>
        </w:rPr>
        <w:t>יְסֹבְבֶנְהוּ</w:t>
      </w:r>
      <w:r>
        <w:rPr>
          <w:rtl/>
        </w:rPr>
        <w:t xml:space="preserve"> </w:t>
      </w:r>
      <w:r>
        <w:t>(</w:t>
      </w:r>
      <w:r>
        <w:rPr>
          <w:rStyle w:val="Fett"/>
          <w:rFonts w:eastAsiaTheme="majorEastAsia"/>
          <w:rtl/>
        </w:rPr>
        <w:t>סבב</w:t>
      </w:r>
      <w:r>
        <w:t xml:space="preserve">, Polel Imperfekt, 3. Person Maskulinum Singular, mit Suffix 3. Person Maskulinum Singular (energisches </w:t>
      </w:r>
      <w:r>
        <w:rPr>
          <w:rStyle w:val="Fett"/>
          <w:rFonts w:eastAsiaTheme="majorEastAsia"/>
        </w:rPr>
        <w:t>-</w:t>
      </w:r>
      <w:r>
        <w:rPr>
          <w:rStyle w:val="Fett"/>
          <w:rFonts w:eastAsiaTheme="majorEastAsia"/>
          <w:rtl/>
        </w:rPr>
        <w:t>ן</w:t>
      </w:r>
      <w:r>
        <w:t xml:space="preserve">), „umgeben, umringen"), </w:t>
      </w:r>
      <w:r>
        <w:rPr>
          <w:rStyle w:val="Fett"/>
          <w:rFonts w:eastAsiaTheme="majorEastAsia"/>
          <w:rtl/>
        </w:rPr>
        <w:t>יְבוֹנְנֵהוּ</w:t>
      </w:r>
      <w:r>
        <w:rPr>
          <w:rtl/>
        </w:rPr>
        <w:t xml:space="preserve"> </w:t>
      </w:r>
      <w:r>
        <w:t>(</w:t>
      </w:r>
      <w:r>
        <w:rPr>
          <w:rStyle w:val="Fett"/>
          <w:rFonts w:eastAsiaTheme="majorEastAsia"/>
          <w:rtl/>
        </w:rPr>
        <w:t>בין</w:t>
      </w:r>
      <w:r>
        <w:t xml:space="preserve">, Polel Imperfekt, 3. Person Maskulinum Singular, mit Suffix, „verstehen lassen, achtgeben auf"), </w:t>
      </w:r>
      <w:r>
        <w:rPr>
          <w:rStyle w:val="Fett"/>
          <w:rFonts w:eastAsiaTheme="majorEastAsia"/>
          <w:rtl/>
        </w:rPr>
        <w:t>יִצְּרֶנְהוּ כְּאִישׁוֹן עֵינוֹ</w:t>
      </w:r>
      <w:r>
        <w:rPr>
          <w:rtl/>
        </w:rPr>
        <w:t xml:space="preserve"> </w:t>
      </w:r>
      <w:r>
        <w:t>(</w:t>
      </w:r>
      <w:r>
        <w:rPr>
          <w:rStyle w:val="Fett"/>
          <w:rFonts w:eastAsiaTheme="majorEastAsia"/>
          <w:rtl/>
        </w:rPr>
        <w:t>נצר</w:t>
      </w:r>
      <w:r>
        <w:t xml:space="preserve">, Qal Imperfekt, 3. Person Maskulinum Singular, mit Suffix, „behüten, bewahren", </w:t>
      </w:r>
      <w:r>
        <w:rPr>
          <w:rStyle w:val="Fett"/>
          <w:rFonts w:eastAsiaTheme="majorEastAsia"/>
          <w:rtl/>
        </w:rPr>
        <w:t>כְּ</w:t>
      </w:r>
      <w:r>
        <w:rPr>
          <w:rtl/>
        </w:rPr>
        <w:t xml:space="preserve"> </w:t>
      </w:r>
      <w:r>
        <w:t xml:space="preserve">+ </w:t>
      </w:r>
      <w:r>
        <w:rPr>
          <w:rStyle w:val="Fett"/>
          <w:rFonts w:eastAsiaTheme="majorEastAsia"/>
          <w:rtl/>
        </w:rPr>
        <w:t>אִישׁוֹן</w:t>
      </w:r>
      <w:r>
        <w:t xml:space="preserve">, „Pupille, Augapfel", Construct mit </w:t>
      </w:r>
      <w:r>
        <w:rPr>
          <w:rStyle w:val="Fett"/>
          <w:rFonts w:eastAsiaTheme="majorEastAsia"/>
          <w:rtl/>
        </w:rPr>
        <w:t>עַיִן</w:t>
      </w:r>
      <w:r>
        <w:rPr>
          <w:rtl/>
        </w:rPr>
        <w:t xml:space="preserve"> </w:t>
      </w:r>
      <w:r>
        <w:t>mit Suffix).</w:t>
      </w:r>
    </w:p>
    <w:p w14:paraId="6CED364D" w14:textId="7B703AB9" w:rsidR="00EE5F59" w:rsidRDefault="00EE5F59" w:rsidP="00EE5F59">
      <w:pPr>
        <w:pStyle w:val="whitespace-normal"/>
      </w:pPr>
      <w:r>
        <w:t xml:space="preserve">Der Vers beschreibt Gottes fürsorgliche Führung Israels durch die Wüste. Die vier Aussagen: </w:t>
      </w:r>
      <w:r>
        <w:rPr>
          <w:rStyle w:val="Fett"/>
          <w:rFonts w:eastAsiaTheme="majorEastAsia"/>
          <w:rtl/>
        </w:rPr>
        <w:t>יִמְצָאֵהוּ בְּאֶרֶץ מִדְבָּר וּבְתֹהוּ יְלֵל יְשִׁמֹן יְסֹבְבֶנְהוּ יְבוֹנְנֵהוּ יִצְּרֶנְהוּ כְּאִישׁוֹן עֵינוֹ</w:t>
      </w:r>
      <w:r>
        <w:rPr>
          <w:rtl/>
        </w:rPr>
        <w:t xml:space="preserve"> </w:t>
      </w:r>
      <w:r>
        <w:t xml:space="preserve">(„er fand ihn im Land der Wüste und in der Öde, dem Geheul der Wildnis; er umgab ihn, gab acht auf ihn, behütete ihn wie seinen Augapfel"). Die erste Aussage: </w:t>
      </w:r>
      <w:r>
        <w:rPr>
          <w:rStyle w:val="Fett"/>
          <w:rFonts w:eastAsiaTheme="majorEastAsia"/>
          <w:rtl/>
        </w:rPr>
        <w:t>יִמְצָאֵהוּ בְּאֶרֶץ מִדְבָּר וּבְתֹהוּ יְלֵל יְשִׁמֹן</w:t>
      </w:r>
      <w:r>
        <w:rPr>
          <w:rtl/>
        </w:rPr>
        <w:t xml:space="preserve"> </w:t>
      </w:r>
      <w:r>
        <w:t xml:space="preserve">(„er fand ihn im Land der Wüste und in der Öde, dem Geheul der Wildnis"). Das Verb </w:t>
      </w:r>
      <w:r>
        <w:rPr>
          <w:rStyle w:val="Fett"/>
          <w:rFonts w:eastAsiaTheme="majorEastAsia"/>
          <w:rtl/>
        </w:rPr>
        <w:t>מצא</w:t>
      </w:r>
      <w:r>
        <w:rPr>
          <w:rtl/>
        </w:rPr>
        <w:t xml:space="preserve"> </w:t>
      </w:r>
      <w:r>
        <w:t xml:space="preserve">(„finden") beschreibt nicht zufälliges Finden, sondern erwählendes Finden (vgl. Hos 9,10). Die drei Begriffe </w:t>
      </w:r>
      <w:r>
        <w:rPr>
          <w:rStyle w:val="Fett"/>
          <w:rFonts w:eastAsiaTheme="majorEastAsia"/>
          <w:rtl/>
        </w:rPr>
        <w:t>מִדְבָּר</w:t>
      </w:r>
      <w:r>
        <w:rPr>
          <w:rtl/>
        </w:rPr>
        <w:t xml:space="preserve"> </w:t>
      </w:r>
      <w:r>
        <w:t xml:space="preserve">(„Wüste"), </w:t>
      </w:r>
      <w:r>
        <w:rPr>
          <w:rStyle w:val="Fett"/>
          <w:rFonts w:eastAsiaTheme="majorEastAsia"/>
          <w:rtl/>
        </w:rPr>
        <w:t>תֹהוּ</w:t>
      </w:r>
      <w:r>
        <w:rPr>
          <w:rtl/>
        </w:rPr>
        <w:t xml:space="preserve"> </w:t>
      </w:r>
      <w:r>
        <w:t xml:space="preserve">(„Öde, Chaos") und </w:t>
      </w:r>
      <w:r>
        <w:rPr>
          <w:rStyle w:val="Fett"/>
          <w:rFonts w:eastAsiaTheme="majorEastAsia"/>
          <w:rtl/>
        </w:rPr>
        <w:t>יְשִׁימוֹן</w:t>
      </w:r>
      <w:r>
        <w:rPr>
          <w:rtl/>
        </w:rPr>
        <w:t xml:space="preserve"> </w:t>
      </w:r>
      <w:r>
        <w:t xml:space="preserve">(„Wildnis") beschreiben die lebensfeindliche Wüste (vgl. Gen 1,2; Hiob 6,18; 12,24; 26,7; Ps 107,40; Jes 24,10; 34,11; 40,17.23; 41,29; 44,9; 45,18-19; 49,4; 59,4; Jer 4,23). Die Formulierung </w:t>
      </w:r>
      <w:r>
        <w:rPr>
          <w:rStyle w:val="Fett"/>
          <w:rFonts w:eastAsiaTheme="majorEastAsia"/>
          <w:rtl/>
        </w:rPr>
        <w:t>יְלֵל יְשִׁמֹן</w:t>
      </w:r>
      <w:r>
        <w:rPr>
          <w:rtl/>
        </w:rPr>
        <w:t xml:space="preserve"> </w:t>
      </w:r>
      <w:r>
        <w:t xml:space="preserve">(„Geheul der Wildnis") beschreibt das Heulen wilder Tiere (vgl. Jes 13,21-22; 34,13-14; Jer 9,10; 50,39; 51,37; Mich 1,8; Mal 1,3). Die drei weiteren Aussagen beschreiben Gottes Fürsorge: </w:t>
      </w:r>
      <w:r>
        <w:rPr>
          <w:rStyle w:val="Fett"/>
          <w:rFonts w:eastAsiaTheme="majorEastAsia"/>
          <w:rtl/>
        </w:rPr>
        <w:t>יְסֹבְבֶנְהוּ</w:t>
      </w:r>
      <w:r>
        <w:rPr>
          <w:rtl/>
        </w:rPr>
        <w:t xml:space="preserve"> </w:t>
      </w:r>
      <w:r>
        <w:t xml:space="preserve">(„er umgab ihn") – Schutz, </w:t>
      </w:r>
      <w:r>
        <w:rPr>
          <w:rStyle w:val="Fett"/>
          <w:rFonts w:eastAsiaTheme="majorEastAsia"/>
          <w:rtl/>
        </w:rPr>
        <w:t>יְבוֹנְנֵהוּ</w:t>
      </w:r>
      <w:r>
        <w:rPr>
          <w:rtl/>
        </w:rPr>
        <w:t xml:space="preserve"> </w:t>
      </w:r>
      <w:r>
        <w:t xml:space="preserve">(„er gab acht auf ihn") – Aufmerksamkeit, </w:t>
      </w:r>
      <w:r>
        <w:rPr>
          <w:rStyle w:val="Fett"/>
          <w:rFonts w:eastAsiaTheme="majorEastAsia"/>
          <w:rtl/>
        </w:rPr>
        <w:t>יִצְּרֶנְהוּ כְּאִישׁוֹן עֵינוֹ</w:t>
      </w:r>
      <w:r>
        <w:rPr>
          <w:rtl/>
        </w:rPr>
        <w:t xml:space="preserve"> </w:t>
      </w:r>
      <w:r>
        <w:t xml:space="preserve">(„er behütete ihn wie seinen Augapfel"). Die Metapher </w:t>
      </w:r>
      <w:r>
        <w:rPr>
          <w:rStyle w:val="Fett"/>
          <w:rFonts w:eastAsiaTheme="majorEastAsia"/>
          <w:rtl/>
        </w:rPr>
        <w:t>אִישׁוֹן עַיִן</w:t>
      </w:r>
      <w:r>
        <w:rPr>
          <w:rtl/>
        </w:rPr>
        <w:t xml:space="preserve"> </w:t>
      </w:r>
      <w:r>
        <w:t>(„Pupille des Auges, Augapfel") drückt höchste Wertschätzung und Schutz aus (vgl. Ps 17,8; Spr 7,2; Sach 2,12).</w:t>
      </w:r>
    </w:p>
    <w:p w14:paraId="1B89D620" w14:textId="7C7E1165" w:rsidR="000115C1" w:rsidRDefault="000115C1" w:rsidP="00EE5F59">
      <w:pPr>
        <w:pStyle w:val="whitespace-normal"/>
      </w:pPr>
      <w:r>
        <w:rPr>
          <w:rStyle w:val="Fett"/>
        </w:rPr>
        <w:t>Die LXX</w:t>
      </w:r>
      <w:r>
        <w:t xml:space="preserve"> übersetzt </w:t>
      </w:r>
      <w:r>
        <w:rPr>
          <w:rtl/>
        </w:rPr>
        <w:t>בְּתֹהוּ יְלֵל יְשִׁמֹן</w:t>
      </w:r>
      <w:r>
        <w:t xml:space="preserve"> (in der Wüste des Heulens, der Öde) mit </w:t>
      </w:r>
      <w:proofErr w:type="spellStart"/>
      <w:r>
        <w:t>ἐν</w:t>
      </w:r>
      <w:proofErr w:type="spellEnd"/>
      <w:r>
        <w:t xml:space="preserve"> </w:t>
      </w:r>
      <w:proofErr w:type="spellStart"/>
      <w:r>
        <w:t>δίψει</w:t>
      </w:r>
      <w:proofErr w:type="spellEnd"/>
      <w:r>
        <w:t xml:space="preserve"> κα</w:t>
      </w:r>
      <w:proofErr w:type="spellStart"/>
      <w:r>
        <w:t>ύμ</w:t>
      </w:r>
      <w:proofErr w:type="spellEnd"/>
      <w:r>
        <w:t xml:space="preserve">ατος </w:t>
      </w:r>
      <w:proofErr w:type="spellStart"/>
      <w:r>
        <w:t>ἐν</w:t>
      </w:r>
      <w:proofErr w:type="spellEnd"/>
      <w:r>
        <w:t xml:space="preserve"> </w:t>
      </w:r>
      <w:proofErr w:type="spellStart"/>
      <w:r>
        <w:t>ἀνύδρῳ</w:t>
      </w:r>
      <w:proofErr w:type="spellEnd"/>
      <w:r>
        <w:t xml:space="preserve"> (im Durst der Hitze, im Wasserlosen) – eine interpretierende Übersetzung, die die poetischen hebräischen Begriffe durch konkrete physische Bedingungen ersetzt.</w:t>
      </w:r>
    </w:p>
    <w:p w14:paraId="63490B40" w14:textId="77777777" w:rsidR="00EE5F59" w:rsidRDefault="00EE5F59" w:rsidP="00EE5F59">
      <w:pPr>
        <w:pStyle w:val="whitespace-normal"/>
      </w:pPr>
      <w:r>
        <w:rPr>
          <w:rStyle w:val="Fett"/>
          <w:rFonts w:eastAsiaTheme="majorEastAsia"/>
        </w:rPr>
        <w:t>Die Satzstruktur:</w:t>
      </w:r>
      <w:r>
        <w:t xml:space="preserve"> Vier Aussagen (er fand ihn im Land der Wüste und in der Öde, dem Geheul der Wildnis; er umgab ihn, gab acht auf ihn, behütete ihn wie seinen Augapfel).</w:t>
      </w:r>
    </w:p>
    <w:p w14:paraId="04418A05" w14:textId="77777777" w:rsidR="00EE5F59" w:rsidRDefault="00EE5F59" w:rsidP="00EE5F59">
      <w:pPr>
        <w:pStyle w:val="whitespace-normal"/>
      </w:pPr>
      <w:r>
        <w:rPr>
          <w:rStyle w:val="Fett"/>
          <w:rFonts w:eastAsiaTheme="majorEastAsia"/>
        </w:rPr>
        <w:lastRenderedPageBreak/>
        <w:t>Der Vers beschreibt:</w:t>
      </w:r>
      <w:r>
        <w:t xml:space="preserve"> Wüstenzeit – Gott fand Israel in der lebensfeindlichen Wüste und umgab es mit höchster Fürsorge.</w:t>
      </w:r>
    </w:p>
    <w:p w14:paraId="35750821" w14:textId="77777777" w:rsidR="00EE5F59" w:rsidRPr="00257FCB" w:rsidRDefault="00EE5F59" w:rsidP="00257FCB">
      <w:pPr>
        <w:pStyle w:val="Bibelberschrift"/>
        <w:rPr>
          <w:b w:val="0"/>
          <w:bCs/>
        </w:rPr>
      </w:pPr>
      <w:r w:rsidRPr="00257FCB">
        <w:rPr>
          <w:rStyle w:val="Fett"/>
          <w:b/>
          <w:bCs w:val="0"/>
        </w:rPr>
        <w:t>Deuteronomium 32,11</w:t>
      </w:r>
    </w:p>
    <w:p w14:paraId="65C59C5F" w14:textId="77777777" w:rsidR="00EE5F59" w:rsidRDefault="00EE5F59" w:rsidP="00EE5F59">
      <w:pPr>
        <w:pStyle w:val="whitespace-normal"/>
      </w:pPr>
      <w:r>
        <w:rPr>
          <w:rStyle w:val="Fett"/>
          <w:rFonts w:eastAsiaTheme="majorEastAsia"/>
        </w:rPr>
        <w:t>Hebräisch:</w:t>
      </w:r>
      <w:r>
        <w:t xml:space="preserve"> </w:t>
      </w:r>
      <w:r>
        <w:rPr>
          <w:rtl/>
        </w:rPr>
        <w:t>כְּנֶשֶׁר יָעִיר קִנּוֹ עַל־גּוֹזָלָיו יְרַחֵף יִפְרֹשׂ כְּנָפָיו יִקָּחֵהוּ יִשָּׂאֵהוּ עַל־אֶבְרָתוֹ׃</w:t>
      </w:r>
    </w:p>
    <w:p w14:paraId="690CE62A" w14:textId="77777777" w:rsidR="00EE5F59" w:rsidRDefault="00EE5F59" w:rsidP="00EE5F59">
      <w:pPr>
        <w:pStyle w:val="whitespace-normal"/>
      </w:pPr>
      <w:r>
        <w:rPr>
          <w:rStyle w:val="Fett"/>
          <w:rFonts w:eastAsiaTheme="majorEastAsia"/>
        </w:rPr>
        <w:t>Deutsch:</w:t>
      </w:r>
      <w:r>
        <w:t xml:space="preserve"> Wie ein Adler sein Nest aufstört, über seinen Jungen schwebt, seine Flügel ausbreitet, sie aufnimmt, sie trägt auf seinen Schwingen.</w:t>
      </w:r>
    </w:p>
    <w:p w14:paraId="2EE6CA8D" w14:textId="77777777" w:rsidR="00EE5F59" w:rsidRDefault="004F5CEB" w:rsidP="00EE5F59">
      <w:r>
        <w:rPr>
          <w:noProof/>
        </w:rPr>
        <w:pict w14:anchorId="6808E271">
          <v:rect id="_x0000_i1904" style="width:0;height:1.5pt" o:hralign="center" o:hrstd="t" o:hr="t" fillcolor="#a0a0a0" stroked="f"/>
        </w:pict>
      </w:r>
    </w:p>
    <w:p w14:paraId="66F54F46" w14:textId="77777777" w:rsidR="00EE5F59" w:rsidRDefault="00EE5F59" w:rsidP="00EE5F59">
      <w:pPr>
        <w:pStyle w:val="whitespace-normal"/>
      </w:pPr>
      <w:r>
        <w:rPr>
          <w:rStyle w:val="Fett"/>
          <w:rFonts w:eastAsiaTheme="majorEastAsia"/>
        </w:rPr>
        <w:t>Kommentar:</w:t>
      </w:r>
      <w:r>
        <w:t xml:space="preserve"> </w:t>
      </w:r>
      <w:r>
        <w:rPr>
          <w:rStyle w:val="Fett"/>
          <w:rFonts w:eastAsiaTheme="majorEastAsia"/>
          <w:rtl/>
        </w:rPr>
        <w:t>כְּנֶשֶׁר יָעִיר קִנּוֹ עַל־גּוֹזָלָיו יְרַחֵף יִפְרֹשׂ כְּנָפָיו יִקָּחֵהוּ יִשָּׂאֵהוּ עַל־אֶבְרָתוֹ</w:t>
      </w:r>
      <w:r>
        <w:rPr>
          <w:rtl/>
        </w:rPr>
        <w:t xml:space="preserve"> </w:t>
      </w:r>
      <w:r>
        <w:t xml:space="preserve">sind fünf Aussagen mit Vergleich: </w:t>
      </w:r>
      <w:r>
        <w:rPr>
          <w:rStyle w:val="Fett"/>
          <w:rFonts w:eastAsiaTheme="majorEastAsia"/>
          <w:rtl/>
        </w:rPr>
        <w:t>כְּנֶשֶׁר יָעִיר קִנּוֹ</w:t>
      </w:r>
      <w:r>
        <w:rPr>
          <w:rtl/>
        </w:rPr>
        <w:t xml:space="preserve"> </w:t>
      </w:r>
      <w:r>
        <w:t xml:space="preserve">(Vergleich: </w:t>
      </w:r>
      <w:r>
        <w:rPr>
          <w:rStyle w:val="Fett"/>
          <w:rFonts w:eastAsiaTheme="majorEastAsia"/>
          <w:rtl/>
        </w:rPr>
        <w:t>כְּ</w:t>
      </w:r>
      <w:r>
        <w:rPr>
          <w:rtl/>
        </w:rPr>
        <w:t xml:space="preserve"> </w:t>
      </w:r>
      <w:r>
        <w:t xml:space="preserve">+ </w:t>
      </w:r>
      <w:r>
        <w:rPr>
          <w:rStyle w:val="Fett"/>
          <w:rFonts w:eastAsiaTheme="majorEastAsia"/>
          <w:rtl/>
        </w:rPr>
        <w:t>נֶשֶׁר</w:t>
      </w:r>
      <w:r>
        <w:t xml:space="preserve">, „Adler", </w:t>
      </w:r>
      <w:r>
        <w:rPr>
          <w:rStyle w:val="Fett"/>
          <w:rFonts w:eastAsiaTheme="majorEastAsia"/>
          <w:rtl/>
        </w:rPr>
        <w:t>עור</w:t>
      </w:r>
      <w:r>
        <w:t xml:space="preserve">, Hiphil Imperfekt, 3. Person Maskulinum Singular, „aufwecken, aufstören", </w:t>
      </w:r>
      <w:r>
        <w:rPr>
          <w:rStyle w:val="Fett"/>
          <w:rFonts w:eastAsiaTheme="majorEastAsia"/>
          <w:rtl/>
        </w:rPr>
        <w:t>קֵן</w:t>
      </w:r>
      <w:r>
        <w:t xml:space="preserve">, „Nest", mit Suffix), </w:t>
      </w:r>
      <w:r>
        <w:rPr>
          <w:rStyle w:val="Fett"/>
          <w:rFonts w:eastAsiaTheme="majorEastAsia"/>
          <w:rtl/>
        </w:rPr>
        <w:t>עַל־גּוֹזָלָיו יְרַחֵף</w:t>
      </w:r>
      <w:r>
        <w:rPr>
          <w:rtl/>
        </w:rPr>
        <w:t xml:space="preserve"> </w:t>
      </w:r>
      <w:r>
        <w:t>(</w:t>
      </w:r>
      <w:r>
        <w:rPr>
          <w:rStyle w:val="Fett"/>
          <w:rFonts w:eastAsiaTheme="majorEastAsia"/>
          <w:rtl/>
        </w:rPr>
        <w:t>עַל</w:t>
      </w:r>
      <w:r>
        <w:rPr>
          <w:rtl/>
        </w:rPr>
        <w:t xml:space="preserve"> </w:t>
      </w:r>
      <w:r>
        <w:t xml:space="preserve">mit </w:t>
      </w:r>
      <w:r>
        <w:rPr>
          <w:rStyle w:val="Fett"/>
          <w:rFonts w:eastAsiaTheme="majorEastAsia"/>
          <w:rtl/>
        </w:rPr>
        <w:t>גּוֹזָל</w:t>
      </w:r>
      <w:r>
        <w:t xml:space="preserve">, „Junges, Küken", Plural mit Suffix, </w:t>
      </w:r>
      <w:r>
        <w:rPr>
          <w:rStyle w:val="Fett"/>
          <w:rFonts w:eastAsiaTheme="majorEastAsia"/>
          <w:rtl/>
        </w:rPr>
        <w:t>רחף</w:t>
      </w:r>
      <w:r>
        <w:t xml:space="preserve">, Piel Imperfekt, 3. Person Maskulinum Singular, „schweben, flattern"), </w:t>
      </w:r>
      <w:r>
        <w:rPr>
          <w:rStyle w:val="Fett"/>
          <w:rFonts w:eastAsiaTheme="majorEastAsia"/>
          <w:rtl/>
        </w:rPr>
        <w:t>יִפְרֹשׂ כְּנָפָיו</w:t>
      </w:r>
      <w:r>
        <w:rPr>
          <w:rtl/>
        </w:rPr>
        <w:t xml:space="preserve"> </w:t>
      </w:r>
      <w:r>
        <w:t>(</w:t>
      </w:r>
      <w:r>
        <w:rPr>
          <w:rStyle w:val="Fett"/>
          <w:rFonts w:eastAsiaTheme="majorEastAsia"/>
          <w:rtl/>
        </w:rPr>
        <w:t>פרשׂ</w:t>
      </w:r>
      <w:r>
        <w:t xml:space="preserve">, Qal Imperfekt, 3. Person Maskulinum Singular, „ausbreiten", </w:t>
      </w:r>
      <w:r>
        <w:rPr>
          <w:rStyle w:val="Fett"/>
          <w:rFonts w:eastAsiaTheme="majorEastAsia"/>
          <w:rtl/>
        </w:rPr>
        <w:t>כָּנָף</w:t>
      </w:r>
      <w:r>
        <w:t xml:space="preserve">, „Flügel, Schwinge", Dual mit Suffix), </w:t>
      </w:r>
      <w:r>
        <w:rPr>
          <w:rStyle w:val="Fett"/>
          <w:rFonts w:eastAsiaTheme="majorEastAsia"/>
          <w:rtl/>
        </w:rPr>
        <w:t>יִקָּחֵהוּ</w:t>
      </w:r>
      <w:r>
        <w:rPr>
          <w:rtl/>
        </w:rPr>
        <w:t xml:space="preserve"> </w:t>
      </w:r>
      <w:r>
        <w:t>(</w:t>
      </w:r>
      <w:r>
        <w:rPr>
          <w:rStyle w:val="Fett"/>
          <w:rFonts w:eastAsiaTheme="majorEastAsia"/>
          <w:rtl/>
        </w:rPr>
        <w:t>לקח</w:t>
      </w:r>
      <w:r>
        <w:t xml:space="preserve">, Qal Imperfekt, 3. Person Maskulinum Singular, mit Suffix 3. Person Maskulinum Singular), </w:t>
      </w:r>
      <w:r>
        <w:rPr>
          <w:rStyle w:val="Fett"/>
          <w:rFonts w:eastAsiaTheme="majorEastAsia"/>
          <w:rtl/>
        </w:rPr>
        <w:t>יִשָּׂאֵהוּ עַל־אֶבְרָתוֹ</w:t>
      </w:r>
      <w:r>
        <w:rPr>
          <w:rtl/>
        </w:rPr>
        <w:t xml:space="preserve"> </w:t>
      </w:r>
      <w:r>
        <w:t>(</w:t>
      </w:r>
      <w:r>
        <w:rPr>
          <w:rStyle w:val="Fett"/>
          <w:rFonts w:eastAsiaTheme="majorEastAsia"/>
          <w:rtl/>
        </w:rPr>
        <w:t>נשׂא</w:t>
      </w:r>
      <w:r>
        <w:t xml:space="preserve">, Qal Imperfekt, 3. Person Maskulinum Singular, mit Suffix, </w:t>
      </w:r>
      <w:r>
        <w:rPr>
          <w:rStyle w:val="Fett"/>
          <w:rFonts w:eastAsiaTheme="majorEastAsia"/>
          <w:rtl/>
        </w:rPr>
        <w:t>עַל</w:t>
      </w:r>
      <w:r>
        <w:rPr>
          <w:rtl/>
        </w:rPr>
        <w:t xml:space="preserve"> </w:t>
      </w:r>
      <w:r>
        <w:t xml:space="preserve">mit </w:t>
      </w:r>
      <w:r>
        <w:rPr>
          <w:rStyle w:val="Fett"/>
          <w:rFonts w:eastAsiaTheme="majorEastAsia"/>
          <w:rtl/>
        </w:rPr>
        <w:t>אֶבְרָה</w:t>
      </w:r>
      <w:r>
        <w:t>, „Schwinge, Fittich", mit Suffix).</w:t>
      </w:r>
    </w:p>
    <w:p w14:paraId="6BEF1847" w14:textId="77777777" w:rsidR="00EE5F59" w:rsidRDefault="00EE5F59" w:rsidP="00EE5F59">
      <w:pPr>
        <w:pStyle w:val="whitespace-normal"/>
      </w:pPr>
      <w:r>
        <w:t xml:space="preserve">Der Vers setzt die Adlermetapher für Gottes Fürsorge fort. Die fünf Aussagen mit Vergleich: </w:t>
      </w:r>
      <w:r>
        <w:rPr>
          <w:rStyle w:val="Fett"/>
          <w:rFonts w:eastAsiaTheme="majorEastAsia"/>
          <w:rtl/>
        </w:rPr>
        <w:t>כְּנֶשֶׁר יָעִיר קִנּוֹ עַל־גּוֹזָלָיו יְרַחֵף יִפְרֹשׂ כְּנָפָיו יִקָּחֵהוּ יִשָּׂאֵהוּ עַל־אֶבְרָתוֹ</w:t>
      </w:r>
      <w:r>
        <w:rPr>
          <w:rtl/>
        </w:rPr>
        <w:t xml:space="preserve"> </w:t>
      </w:r>
      <w:r>
        <w:t xml:space="preserve">(„wie ein Adler sein Nest aufstört, über seinen Jungen schwebt, seine Flügel ausbreitet, sie aufnimmt, sie trägt auf seinen Schwingen"). Die Adlermetapher beschreibt fünf Aktionen: (1) </w:t>
      </w:r>
      <w:r>
        <w:rPr>
          <w:rStyle w:val="Fett"/>
          <w:rFonts w:eastAsiaTheme="majorEastAsia"/>
          <w:rtl/>
        </w:rPr>
        <w:t>יָעִיר קִנּוֹ</w:t>
      </w:r>
      <w:r>
        <w:rPr>
          <w:rtl/>
        </w:rPr>
        <w:t xml:space="preserve"> </w:t>
      </w:r>
      <w:r>
        <w:t xml:space="preserve">(„er stört sein Nest auf") – der Adler stört das Nest, um die Jungen zum Fliegen zu ermutigen. (2) </w:t>
      </w:r>
      <w:r>
        <w:rPr>
          <w:rStyle w:val="Fett"/>
          <w:rFonts w:eastAsiaTheme="majorEastAsia"/>
          <w:rtl/>
        </w:rPr>
        <w:t>עַל־גּוֹזָלָיו יְרַחֵף</w:t>
      </w:r>
      <w:r>
        <w:rPr>
          <w:rtl/>
        </w:rPr>
        <w:t xml:space="preserve"> </w:t>
      </w:r>
      <w:r>
        <w:t xml:space="preserve">(„über seinen Jungen schwebt er") – schützende Präsenz (vgl. Gen 1,2 für das Verb </w:t>
      </w:r>
      <w:r>
        <w:rPr>
          <w:rStyle w:val="Fett"/>
          <w:rFonts w:eastAsiaTheme="majorEastAsia"/>
          <w:rtl/>
        </w:rPr>
        <w:t>רחף</w:t>
      </w:r>
      <w:r>
        <w:t xml:space="preserve">). (3) </w:t>
      </w:r>
      <w:r>
        <w:rPr>
          <w:rStyle w:val="Fett"/>
          <w:rFonts w:eastAsiaTheme="majorEastAsia"/>
          <w:rtl/>
        </w:rPr>
        <w:t>יִפְרֹשׂ כְּנָפָיו</w:t>
      </w:r>
      <w:r>
        <w:rPr>
          <w:rtl/>
        </w:rPr>
        <w:t xml:space="preserve"> </w:t>
      </w:r>
      <w:r>
        <w:t xml:space="preserve">(„er breitet aus seine Flügel") – Schutz und Bereitschaft zum Auffangen. (4) </w:t>
      </w:r>
      <w:r>
        <w:rPr>
          <w:rStyle w:val="Fett"/>
          <w:rFonts w:eastAsiaTheme="majorEastAsia"/>
          <w:rtl/>
        </w:rPr>
        <w:t>יִקָּחֵהוּ</w:t>
      </w:r>
      <w:r>
        <w:rPr>
          <w:rtl/>
        </w:rPr>
        <w:t xml:space="preserve"> </w:t>
      </w:r>
      <w:r>
        <w:t xml:space="preserve">(„er nimmt sie auf"). (5) </w:t>
      </w:r>
      <w:r>
        <w:rPr>
          <w:rStyle w:val="Fett"/>
          <w:rFonts w:eastAsiaTheme="majorEastAsia"/>
          <w:rtl/>
        </w:rPr>
        <w:t>יִשָּׂאֵהוּ עַל־אֶבְרָתוֹ</w:t>
      </w:r>
      <w:r>
        <w:rPr>
          <w:rtl/>
        </w:rPr>
        <w:t xml:space="preserve"> </w:t>
      </w:r>
      <w:r>
        <w:t>(„er trägt sie auf seinen Schwingen") – der Adler trägt die Jungen auf seinen Flügeln (vgl. Ex 19,4; Jes 40,31; 63,9). Diese poetische Beschreibung illustriert Gottes fürsorgliche Führung Israels durch die Wüste – er fordert heraus (Aufbruch aus Ägypten), schützt (Wolkensäule), fängt auf (Wunder), trägt (Versorgung).</w:t>
      </w:r>
    </w:p>
    <w:p w14:paraId="4E83528E" w14:textId="77777777" w:rsidR="00EE5F59" w:rsidRDefault="00EE5F59" w:rsidP="00EE5F59">
      <w:pPr>
        <w:pStyle w:val="whitespace-normal"/>
      </w:pPr>
      <w:r>
        <w:rPr>
          <w:rStyle w:val="Fett"/>
          <w:rFonts w:eastAsiaTheme="majorEastAsia"/>
        </w:rPr>
        <w:t>Die Satzstruktur:</w:t>
      </w:r>
      <w:r>
        <w:t xml:space="preserve"> Fünf Aussagen mit Vergleich (wie ein Adler sein Nest aufstört, über seinen Jungen schwebt, seine Flügel ausbreitet, sie aufnimmt, sie trägt auf seinen Schwingen).</w:t>
      </w:r>
    </w:p>
    <w:p w14:paraId="4D7ECCBC" w14:textId="2C0A7F90" w:rsidR="00EE5F59" w:rsidRDefault="00EE5F59" w:rsidP="00F63EA3">
      <w:pPr>
        <w:pStyle w:val="whitespace-normal"/>
      </w:pPr>
      <w:r>
        <w:rPr>
          <w:rStyle w:val="Fett"/>
          <w:rFonts w:eastAsiaTheme="majorEastAsia"/>
        </w:rPr>
        <w:t>Der Vers beschreibt:</w:t>
      </w:r>
      <w:r>
        <w:t xml:space="preserve"> Adlermetapher – Gott stört, schwebt, breitet aus, nimmt auf, trägt Israel wie ein Adler seine Jungen.</w:t>
      </w:r>
    </w:p>
    <w:p w14:paraId="14812FED" w14:textId="77777777" w:rsidR="00EE5F59" w:rsidRPr="00257FCB" w:rsidRDefault="00EE5F59" w:rsidP="00257FCB">
      <w:pPr>
        <w:pStyle w:val="Bibelberschrift"/>
        <w:rPr>
          <w:b w:val="0"/>
          <w:bCs/>
        </w:rPr>
      </w:pPr>
      <w:r w:rsidRPr="00257FCB">
        <w:rPr>
          <w:rStyle w:val="Fett"/>
          <w:b/>
          <w:bCs w:val="0"/>
        </w:rPr>
        <w:t>Deuteronomium 32,12</w:t>
      </w:r>
    </w:p>
    <w:p w14:paraId="3B185297" w14:textId="77777777" w:rsidR="00EE5F59" w:rsidRDefault="00EE5F59" w:rsidP="00EE5F59">
      <w:pPr>
        <w:pStyle w:val="whitespace-normal"/>
      </w:pPr>
      <w:r>
        <w:rPr>
          <w:rStyle w:val="Fett"/>
          <w:rFonts w:eastAsiaTheme="majorEastAsia"/>
        </w:rPr>
        <w:t>Hebräisch:</w:t>
      </w:r>
      <w:r>
        <w:t xml:space="preserve"> </w:t>
      </w:r>
      <w:r>
        <w:rPr>
          <w:rtl/>
        </w:rPr>
        <w:t>יְהוָה בָּדָד יַנְחֶנּוּ וְאֵין עִמּוֹ אֵל נֵכָר׃</w:t>
      </w:r>
    </w:p>
    <w:p w14:paraId="2F254D3D" w14:textId="77777777" w:rsidR="00EE5F59" w:rsidRDefault="00EE5F59" w:rsidP="00EE5F59">
      <w:pPr>
        <w:pStyle w:val="whitespace-normal"/>
      </w:pPr>
      <w:r>
        <w:rPr>
          <w:rStyle w:val="Fett"/>
          <w:rFonts w:eastAsiaTheme="majorEastAsia"/>
        </w:rPr>
        <w:t>Deutsch:</w:t>
      </w:r>
      <w:r>
        <w:t xml:space="preserve"> Der Ewige allein leitete ihn, und kein fremder Gott war mit ihm.</w:t>
      </w:r>
    </w:p>
    <w:p w14:paraId="4510E398" w14:textId="77777777" w:rsidR="00EE5F59" w:rsidRDefault="004F5CEB" w:rsidP="00EE5F59">
      <w:r>
        <w:rPr>
          <w:noProof/>
        </w:rPr>
        <w:lastRenderedPageBreak/>
        <w:pict w14:anchorId="420A56DF">
          <v:rect id="_x0000_i1905" style="width:0;height:1.5pt" o:hralign="center" o:hrstd="t" o:hr="t" fillcolor="#a0a0a0" stroked="f"/>
        </w:pict>
      </w:r>
    </w:p>
    <w:p w14:paraId="33F80E2B" w14:textId="77777777" w:rsidR="00EE5F59" w:rsidRDefault="00EE5F59" w:rsidP="00EE5F59">
      <w:pPr>
        <w:pStyle w:val="whitespace-normal"/>
      </w:pPr>
      <w:r>
        <w:rPr>
          <w:rStyle w:val="Fett"/>
          <w:rFonts w:eastAsiaTheme="majorEastAsia"/>
        </w:rPr>
        <w:t>Kommentar:</w:t>
      </w:r>
      <w:r>
        <w:t xml:space="preserve"> </w:t>
      </w:r>
      <w:r>
        <w:rPr>
          <w:rStyle w:val="Fett"/>
          <w:rFonts w:eastAsiaTheme="majorEastAsia"/>
          <w:rtl/>
        </w:rPr>
        <w:t>יְהוָה בָּדָד יַנְחֶנּוּ וְאֵין עִמּוֹ אֵל נֵכָר</w:t>
      </w:r>
      <w:r>
        <w:rPr>
          <w:rtl/>
        </w:rPr>
        <w:t xml:space="preserve"> </w:t>
      </w:r>
      <w:r>
        <w:t xml:space="preserve">sind zwei Aussagen: </w:t>
      </w:r>
      <w:r>
        <w:rPr>
          <w:rStyle w:val="Fett"/>
          <w:rFonts w:eastAsiaTheme="majorEastAsia"/>
          <w:rtl/>
        </w:rPr>
        <w:t>יְהוָה בָּדָד יַנְחֶנּוּ</w:t>
      </w:r>
      <w:r>
        <w:rPr>
          <w:rtl/>
        </w:rPr>
        <w:t xml:space="preserve"> </w:t>
      </w:r>
      <w:r>
        <w:t>(</w:t>
      </w:r>
      <w:r>
        <w:rPr>
          <w:rStyle w:val="Fett"/>
          <w:rFonts w:eastAsiaTheme="majorEastAsia"/>
          <w:rtl/>
        </w:rPr>
        <w:t>יְהוָה</w:t>
      </w:r>
      <w:r>
        <w:rPr>
          <w:rtl/>
        </w:rPr>
        <w:t xml:space="preserve"> </w:t>
      </w:r>
      <w:r>
        <w:t xml:space="preserve">als Subjekt, </w:t>
      </w:r>
      <w:r>
        <w:rPr>
          <w:rStyle w:val="Fett"/>
          <w:rFonts w:eastAsiaTheme="majorEastAsia"/>
          <w:rtl/>
        </w:rPr>
        <w:t>בָּדָד</w:t>
      </w:r>
      <w:r>
        <w:t xml:space="preserve">, „allein", </w:t>
      </w:r>
      <w:r>
        <w:rPr>
          <w:rStyle w:val="Fett"/>
          <w:rFonts w:eastAsiaTheme="majorEastAsia"/>
          <w:rtl/>
        </w:rPr>
        <w:t>נחה</w:t>
      </w:r>
      <w:r>
        <w:t xml:space="preserve">, Hiphil Imperfekt, 3. Person Maskulinum Singular, mit Suffix 3. Person Maskulinum Singular, „leiten, führen"), </w:t>
      </w:r>
      <w:r>
        <w:rPr>
          <w:rStyle w:val="Fett"/>
          <w:rFonts w:eastAsiaTheme="majorEastAsia"/>
          <w:rtl/>
        </w:rPr>
        <w:t>וְאֵין עִמּוֹ אֵל נֵכָר</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אֵין</w:t>
      </w:r>
      <w:r>
        <w:t xml:space="preserve">, </w:t>
      </w:r>
      <w:r>
        <w:rPr>
          <w:rStyle w:val="Fett"/>
          <w:rFonts w:eastAsiaTheme="majorEastAsia"/>
          <w:rtl/>
        </w:rPr>
        <w:t>עִמּוֹ</w:t>
      </w:r>
      <w:r>
        <w:t xml:space="preserve">, </w:t>
      </w:r>
      <w:r>
        <w:rPr>
          <w:rStyle w:val="Fett"/>
          <w:rFonts w:eastAsiaTheme="majorEastAsia"/>
          <w:rtl/>
        </w:rPr>
        <w:t>אֵל</w:t>
      </w:r>
      <w:r>
        <w:t xml:space="preserve">, „Gott", </w:t>
      </w:r>
      <w:r>
        <w:rPr>
          <w:rStyle w:val="Fett"/>
          <w:rFonts w:eastAsiaTheme="majorEastAsia"/>
          <w:rtl/>
        </w:rPr>
        <w:t>נֵכָר</w:t>
      </w:r>
      <w:r>
        <w:t>, „fremd").</w:t>
      </w:r>
    </w:p>
    <w:p w14:paraId="4E445A31" w14:textId="2A5B3A77" w:rsidR="00EE5F59" w:rsidRDefault="00EE5F59" w:rsidP="00EE5F59">
      <w:pPr>
        <w:pStyle w:val="whitespace-normal"/>
      </w:pPr>
      <w:r>
        <w:t xml:space="preserve">Der Vers betont Gottes exklusive Führung Israels. Die beiden Aussagen: </w:t>
      </w:r>
      <w:r>
        <w:rPr>
          <w:rStyle w:val="Fett"/>
          <w:rFonts w:eastAsiaTheme="majorEastAsia"/>
          <w:rtl/>
        </w:rPr>
        <w:t>יְהוָה בָּדָד יַנְחֶנּוּ וְאֵין עִמּוֹ אֵל נֵכָר</w:t>
      </w:r>
      <w:r>
        <w:rPr>
          <w:rtl/>
        </w:rPr>
        <w:t xml:space="preserve"> </w:t>
      </w:r>
      <w:r>
        <w:t>(„</w:t>
      </w:r>
      <w:r w:rsidR="00272EAD">
        <w:t>JHWH</w:t>
      </w:r>
      <w:r>
        <w:t xml:space="preserve"> allein leitete ihn, und nicht war mit ihm ein fremder Gott"). Die Betonung </w:t>
      </w:r>
      <w:r>
        <w:rPr>
          <w:rStyle w:val="Fett"/>
          <w:rFonts w:eastAsiaTheme="majorEastAsia"/>
          <w:rtl/>
        </w:rPr>
        <w:t>בָּדָד</w:t>
      </w:r>
      <w:r>
        <w:rPr>
          <w:rtl/>
        </w:rPr>
        <w:t xml:space="preserve"> </w:t>
      </w:r>
      <w:r>
        <w:t xml:space="preserve">(„allein") ist entscheidend – Gott allein, ohne Hilfe anderer Götter, führte Israel (vgl. Jes 63,3; Hos 13,4). Das Verb </w:t>
      </w:r>
      <w:r>
        <w:rPr>
          <w:rStyle w:val="Fett"/>
          <w:rFonts w:eastAsiaTheme="majorEastAsia"/>
          <w:rtl/>
        </w:rPr>
        <w:t>נחה</w:t>
      </w:r>
      <w:r>
        <w:rPr>
          <w:rtl/>
        </w:rPr>
        <w:t xml:space="preserve"> </w:t>
      </w:r>
      <w:r>
        <w:t xml:space="preserve">(„leiten, führen") wird oft für Gottes Führung in der Wüste verwendet (vgl. Ex 13,17.21; 15,13; Ps 77,21; 78,14.52-53; Neh 9,12.19). Die negative Aussage </w:t>
      </w:r>
      <w:r>
        <w:rPr>
          <w:rStyle w:val="Fett"/>
          <w:rFonts w:eastAsiaTheme="majorEastAsia"/>
          <w:rtl/>
        </w:rPr>
        <w:t>וְאֵין עִמּוֹ אֵל נֵכָר</w:t>
      </w:r>
      <w:r>
        <w:rPr>
          <w:rtl/>
        </w:rPr>
        <w:t xml:space="preserve"> </w:t>
      </w:r>
      <w:r>
        <w:t>(„und nicht war mit ihm ein fremder Gott") bereitet den Kontrast zu V. 16-17 vor, wo Israel fremde Götter anbetet. Dieser Vers bildet einen scharfen Kontrast zu Israels späterem Götzendienst – obwohl Gott allein Israel führte, wandte sich Israel fremden Göttern zu.</w:t>
      </w:r>
    </w:p>
    <w:p w14:paraId="2F44EA16" w14:textId="165CBA43" w:rsidR="00EE5F59" w:rsidRDefault="00EE5F59" w:rsidP="00EE5F59">
      <w:pPr>
        <w:pStyle w:val="whitespace-normal"/>
      </w:pPr>
      <w:r>
        <w:rPr>
          <w:rStyle w:val="Fett"/>
          <w:rFonts w:eastAsiaTheme="majorEastAsia"/>
        </w:rPr>
        <w:t>Die Satzstruktur:</w:t>
      </w:r>
      <w:r>
        <w:t xml:space="preserve"> Zwei Aussagen (</w:t>
      </w:r>
      <w:r w:rsidR="00272EAD">
        <w:t>JHWH</w:t>
      </w:r>
      <w:r>
        <w:t xml:space="preserve"> allein leitete ihn, und nicht war mit ihm ein fremder Gott).</w:t>
      </w:r>
    </w:p>
    <w:p w14:paraId="65FEEF3C" w14:textId="27DDD75C" w:rsidR="00EE5F59" w:rsidRDefault="00EE5F59" w:rsidP="00F63EA3">
      <w:pPr>
        <w:pStyle w:val="whitespace-normal"/>
      </w:pPr>
      <w:r>
        <w:rPr>
          <w:rStyle w:val="Fett"/>
          <w:rFonts w:eastAsiaTheme="majorEastAsia"/>
        </w:rPr>
        <w:t>Der Vers beschreibt:</w:t>
      </w:r>
      <w:r>
        <w:t xml:space="preserve"> Exklusive Führung – Gott allein, ohne fremde Götter, leitete Israel durch die Wüste.</w:t>
      </w:r>
    </w:p>
    <w:p w14:paraId="4FB19453" w14:textId="77777777" w:rsidR="00EE5F59" w:rsidRPr="00257FCB" w:rsidRDefault="00EE5F59" w:rsidP="00257FCB">
      <w:pPr>
        <w:pStyle w:val="Bibelberschrift"/>
        <w:rPr>
          <w:b w:val="0"/>
          <w:bCs/>
        </w:rPr>
      </w:pPr>
      <w:r w:rsidRPr="00257FCB">
        <w:rPr>
          <w:rStyle w:val="Fett"/>
          <w:b/>
          <w:bCs w:val="0"/>
        </w:rPr>
        <w:t>Deuteronomium 32,13-14</w:t>
      </w:r>
    </w:p>
    <w:p w14:paraId="4E201B5D" w14:textId="136C00A1" w:rsidR="00EE5F59" w:rsidRDefault="00F63EA3" w:rsidP="00EE5F59">
      <w:pPr>
        <w:pStyle w:val="whitespace-normal"/>
      </w:pPr>
      <w:r>
        <w:rPr>
          <w:rStyle w:val="Fett"/>
          <w:rFonts w:eastAsiaTheme="majorEastAsia"/>
        </w:rPr>
        <w:t xml:space="preserve">V. 13 </w:t>
      </w:r>
      <w:r w:rsidR="00EE5F59">
        <w:rPr>
          <w:rStyle w:val="Fett"/>
          <w:rFonts w:eastAsiaTheme="majorEastAsia"/>
        </w:rPr>
        <w:t>Hebräisch:</w:t>
      </w:r>
      <w:r w:rsidR="00EE5F59">
        <w:t xml:space="preserve"> </w:t>
      </w:r>
      <w:r w:rsidR="00EE5F59">
        <w:rPr>
          <w:rtl/>
        </w:rPr>
        <w:t>יַרְכִּבֵהוּ עַל־בָּמוֹתֵי אָרֶץ וַיֹּאכַל תְּנוּבֹת שָׂדָי וַיֵּנִקֵהוּ דְבַשׁ מִסֶּלַע וְשֶׁמֶן מֵחַלְמִישׁ צוּר׃</w:t>
      </w:r>
    </w:p>
    <w:p w14:paraId="40C6A2AA" w14:textId="77777777" w:rsidR="00EE5F59" w:rsidRDefault="00EE5F59" w:rsidP="00EE5F59">
      <w:pPr>
        <w:pStyle w:val="whitespace-normal"/>
      </w:pPr>
      <w:r>
        <w:rPr>
          <w:rStyle w:val="Fett"/>
          <w:rFonts w:eastAsiaTheme="majorEastAsia"/>
        </w:rPr>
        <w:t>Deutsch:</w:t>
      </w:r>
      <w:r>
        <w:t xml:space="preserve"> Er ließ ihn einherfahren auf den Höhen der Erde, und er aß die Früchte des Feldes; und er ließ ihn Honig saugen aus dem Felsen und Öl aus dem Kieselgestein.</w:t>
      </w:r>
    </w:p>
    <w:p w14:paraId="13AE61B0" w14:textId="77777777" w:rsidR="003933AB" w:rsidRDefault="00EE5F59" w:rsidP="003933AB">
      <w:pPr>
        <w:pStyle w:val="whitespace-normal"/>
      </w:pPr>
      <w:r>
        <w:rPr>
          <w:rStyle w:val="Fett"/>
          <w:rFonts w:eastAsiaTheme="majorEastAsia"/>
        </w:rPr>
        <w:t>Kommentar:</w:t>
      </w:r>
      <w:r>
        <w:t xml:space="preserve"> Vier Aussagen beschreiben den Überfluss: </w:t>
      </w:r>
      <w:r>
        <w:rPr>
          <w:rStyle w:val="Fett"/>
          <w:rFonts w:eastAsiaTheme="majorEastAsia"/>
          <w:rtl/>
        </w:rPr>
        <w:t>רכב</w:t>
      </w:r>
      <w:r>
        <w:rPr>
          <w:rtl/>
        </w:rPr>
        <w:t xml:space="preserve"> </w:t>
      </w:r>
      <w:r>
        <w:t xml:space="preserve">im Hiphil („einherfahren lassen") auf </w:t>
      </w:r>
      <w:r>
        <w:rPr>
          <w:rStyle w:val="Fett"/>
          <w:rFonts w:eastAsiaTheme="majorEastAsia"/>
          <w:rtl/>
        </w:rPr>
        <w:t>בָּמוֹת אֶרֶץ</w:t>
      </w:r>
      <w:r>
        <w:rPr>
          <w:rtl/>
        </w:rPr>
        <w:t xml:space="preserve"> </w:t>
      </w:r>
      <w:r>
        <w:t xml:space="preserve">(„Höhen der Erde") bedeutet: Herrschaft über das Land (vgl. Amos 4,13; Mich 1,3; Hab 3,19; Ps 18,34). </w:t>
      </w:r>
      <w:r>
        <w:rPr>
          <w:rStyle w:val="Fett"/>
          <w:rFonts w:eastAsiaTheme="majorEastAsia"/>
          <w:rtl/>
        </w:rPr>
        <w:t>תְּנוּבוֹת שָׂדַי</w:t>
      </w:r>
      <w:r>
        <w:rPr>
          <w:rtl/>
        </w:rPr>
        <w:t xml:space="preserve"> </w:t>
      </w:r>
      <w:r>
        <w:t xml:space="preserve">(„Früchte des Feldes") – Ernte. </w:t>
      </w:r>
      <w:r>
        <w:rPr>
          <w:rStyle w:val="Fett"/>
          <w:rFonts w:eastAsiaTheme="majorEastAsia"/>
          <w:rtl/>
        </w:rPr>
        <w:t>דְבַשׁ מִסֶּלַע</w:t>
      </w:r>
      <w:r>
        <w:rPr>
          <w:rtl/>
        </w:rPr>
        <w:t xml:space="preserve"> </w:t>
      </w:r>
      <w:r>
        <w:t xml:space="preserve">(„Honig aus Felsen") – Wildhonig in Felsspalten (vgl. Ps 81,17). </w:t>
      </w:r>
      <w:r>
        <w:rPr>
          <w:rStyle w:val="Fett"/>
          <w:rFonts w:eastAsiaTheme="majorEastAsia"/>
          <w:rtl/>
        </w:rPr>
        <w:t>שֶׁמֶן מֵחַלְמִישׁ צוּר</w:t>
      </w:r>
      <w:r>
        <w:rPr>
          <w:rtl/>
        </w:rPr>
        <w:t xml:space="preserve"> </w:t>
      </w:r>
      <w:r>
        <w:t xml:space="preserve">(„Öl aus Kieselgestein") – Olivenöl von Olivenbäumen auf felsigem Boden. </w:t>
      </w:r>
      <w:r w:rsidR="003933AB">
        <w:t>Die hyperbolischen Bilder betonen Gottes außerordentlichen Segen.</w:t>
      </w:r>
    </w:p>
    <w:p w14:paraId="08ABEFDA" w14:textId="1C195A6A" w:rsidR="00EE5F59" w:rsidRDefault="00EE5F59" w:rsidP="003933AB">
      <w:pPr>
        <w:pStyle w:val="whitespace-normal"/>
      </w:pPr>
      <w:r>
        <w:rPr>
          <w:rStyle w:val="Fett"/>
          <w:rFonts w:eastAsiaTheme="majorEastAsia"/>
        </w:rPr>
        <w:t>V. 14 Hebräisch:</w:t>
      </w:r>
      <w:r>
        <w:t xml:space="preserve"> </w:t>
      </w:r>
      <w:r>
        <w:rPr>
          <w:rtl/>
        </w:rPr>
        <w:t>חֶמְאַת בָּקָר וַחֲלֵב צֹאן עִם־חֵלֶב כָּרִים וְאֵילִים בְּנֵי־בָשָׁן וְעַתּוּדִים עִם־חֵלֶב כִּלְיוֹת חִטָּה וְדַם־עֵנָב תִּשְׁתֶּה־חָמֶר׃</w:t>
      </w:r>
    </w:p>
    <w:p w14:paraId="471D31E5" w14:textId="77777777" w:rsidR="00EE5F59" w:rsidRDefault="00EE5F59" w:rsidP="00EE5F59">
      <w:pPr>
        <w:pStyle w:val="whitespace-normal"/>
      </w:pPr>
      <w:r>
        <w:rPr>
          <w:rStyle w:val="Fett"/>
          <w:rFonts w:eastAsiaTheme="majorEastAsia"/>
        </w:rPr>
        <w:t>Deutsch:</w:t>
      </w:r>
      <w:r>
        <w:t xml:space="preserve"> Butter der Kühe und Milch der Schafe, samt dem Fett der Lämmer und Widder, der Söhne Baschans, und der Böcke, samt dem Nierenfett des Weizens; und Traubenblut trankst du, feurigen Wein.</w:t>
      </w:r>
    </w:p>
    <w:p w14:paraId="461004C5" w14:textId="475BC186" w:rsidR="00EE5F59" w:rsidRDefault="00EE5F59" w:rsidP="00EE5F59">
      <w:pPr>
        <w:pStyle w:val="whitespace-normal"/>
      </w:pPr>
      <w:r>
        <w:rPr>
          <w:rStyle w:val="Fett"/>
          <w:rFonts w:eastAsiaTheme="majorEastAsia"/>
        </w:rPr>
        <w:t>Kommentar:</w:t>
      </w:r>
      <w:r>
        <w:t xml:space="preserve"> Eine lange Liste von Luxusgütern: </w:t>
      </w:r>
      <w:r>
        <w:rPr>
          <w:rStyle w:val="Fett"/>
          <w:rFonts w:eastAsiaTheme="majorEastAsia"/>
          <w:rtl/>
        </w:rPr>
        <w:t>חֶמְאָה</w:t>
      </w:r>
      <w:r>
        <w:rPr>
          <w:rtl/>
        </w:rPr>
        <w:t xml:space="preserve"> </w:t>
      </w:r>
      <w:r>
        <w:t xml:space="preserve">(„Butter, Sahne"), </w:t>
      </w:r>
      <w:r>
        <w:rPr>
          <w:rStyle w:val="Fett"/>
          <w:rFonts w:eastAsiaTheme="majorEastAsia"/>
          <w:rtl/>
        </w:rPr>
        <w:t>חָלָב</w:t>
      </w:r>
      <w:r>
        <w:rPr>
          <w:rtl/>
        </w:rPr>
        <w:t xml:space="preserve"> </w:t>
      </w:r>
      <w:r>
        <w:t xml:space="preserve">(„Milch"), </w:t>
      </w:r>
      <w:r>
        <w:rPr>
          <w:rStyle w:val="Fett"/>
          <w:rFonts w:eastAsiaTheme="majorEastAsia"/>
          <w:rtl/>
        </w:rPr>
        <w:t>חֵלֶב</w:t>
      </w:r>
      <w:r>
        <w:rPr>
          <w:rtl/>
        </w:rPr>
        <w:t xml:space="preserve"> </w:t>
      </w:r>
      <w:r>
        <w:t xml:space="preserve">(„Fett" – das Beste), </w:t>
      </w:r>
      <w:r>
        <w:rPr>
          <w:rStyle w:val="Fett"/>
          <w:rFonts w:eastAsiaTheme="majorEastAsia"/>
          <w:rtl/>
        </w:rPr>
        <w:t>כָּרִים</w:t>
      </w:r>
      <w:r>
        <w:rPr>
          <w:rtl/>
        </w:rPr>
        <w:t xml:space="preserve"> </w:t>
      </w:r>
      <w:r>
        <w:t xml:space="preserve">(„Lämmer"), </w:t>
      </w:r>
      <w:r>
        <w:rPr>
          <w:rStyle w:val="Fett"/>
          <w:rFonts w:eastAsiaTheme="majorEastAsia"/>
          <w:rtl/>
        </w:rPr>
        <w:t>אֵילִים בְּנֵי־בָשָׁן</w:t>
      </w:r>
      <w:r>
        <w:rPr>
          <w:rtl/>
        </w:rPr>
        <w:t xml:space="preserve"> </w:t>
      </w:r>
      <w:r>
        <w:t xml:space="preserve">(„Widder, Söhne Baschans" – Baschan war berühmt für fettes Vieh, vgl. Amos 4,1; </w:t>
      </w:r>
      <w:r w:rsidR="00BF3748">
        <w:t>Hes</w:t>
      </w:r>
      <w:r>
        <w:t xml:space="preserve"> 39,18; Ps 22,13), </w:t>
      </w:r>
      <w:r>
        <w:rPr>
          <w:rStyle w:val="Fett"/>
          <w:rFonts w:eastAsiaTheme="majorEastAsia"/>
          <w:rtl/>
        </w:rPr>
        <w:t>עַתּוּדִים</w:t>
      </w:r>
      <w:r>
        <w:rPr>
          <w:rtl/>
        </w:rPr>
        <w:t xml:space="preserve"> </w:t>
      </w:r>
      <w:r>
        <w:t xml:space="preserve">(„Böcke"), </w:t>
      </w:r>
      <w:r>
        <w:rPr>
          <w:rStyle w:val="Fett"/>
          <w:rFonts w:eastAsiaTheme="majorEastAsia"/>
          <w:rtl/>
        </w:rPr>
        <w:t xml:space="preserve">חֵלֶב </w:t>
      </w:r>
      <w:r>
        <w:rPr>
          <w:rStyle w:val="Fett"/>
          <w:rFonts w:eastAsiaTheme="majorEastAsia"/>
          <w:rtl/>
        </w:rPr>
        <w:lastRenderedPageBreak/>
        <w:t>כִּלְיוֹת חִטָּה</w:t>
      </w:r>
      <w:r>
        <w:rPr>
          <w:rtl/>
        </w:rPr>
        <w:t xml:space="preserve"> </w:t>
      </w:r>
      <w:r>
        <w:t xml:space="preserve">(„Nierenfett des Weizens" – metaphorisch für den besten Weizen, vgl. Ps 81,17; 147,14), </w:t>
      </w:r>
      <w:r>
        <w:rPr>
          <w:rStyle w:val="Fett"/>
          <w:rFonts w:eastAsiaTheme="majorEastAsia"/>
          <w:rtl/>
        </w:rPr>
        <w:t>דַם־עֵנָב</w:t>
      </w:r>
      <w:r>
        <w:rPr>
          <w:rtl/>
        </w:rPr>
        <w:t xml:space="preserve"> </w:t>
      </w:r>
      <w:r>
        <w:t xml:space="preserve">(„Traubenblut" – Rotwein, vgl. Gen 49,11), </w:t>
      </w:r>
      <w:r>
        <w:rPr>
          <w:rStyle w:val="Fett"/>
          <w:rFonts w:eastAsiaTheme="majorEastAsia"/>
          <w:rtl/>
        </w:rPr>
        <w:t>חָמֶר</w:t>
      </w:r>
      <w:r>
        <w:rPr>
          <w:rtl/>
        </w:rPr>
        <w:t xml:space="preserve"> </w:t>
      </w:r>
      <w:r>
        <w:t>(„feuriger Wein, schäumender Wein"). Die Fülle der Güter beschreibt den paradiesischen Zustand im Land.</w:t>
      </w:r>
    </w:p>
    <w:p w14:paraId="13368492" w14:textId="77777777" w:rsidR="00EE5F59" w:rsidRPr="00257FCB" w:rsidRDefault="00EE5F59" w:rsidP="00257FCB">
      <w:pPr>
        <w:pStyle w:val="Bibelberschrift"/>
        <w:rPr>
          <w:b w:val="0"/>
          <w:bCs/>
        </w:rPr>
      </w:pPr>
      <w:r w:rsidRPr="00257FCB">
        <w:rPr>
          <w:rStyle w:val="Fett"/>
          <w:b/>
          <w:bCs w:val="0"/>
        </w:rPr>
        <w:t>Deuteronomium 32,15</w:t>
      </w:r>
    </w:p>
    <w:p w14:paraId="2D88964E" w14:textId="77777777" w:rsidR="00EE5F59" w:rsidRDefault="00EE5F59" w:rsidP="00EE5F59">
      <w:pPr>
        <w:pStyle w:val="whitespace-normal"/>
      </w:pPr>
      <w:r>
        <w:rPr>
          <w:rStyle w:val="Fett"/>
          <w:rFonts w:eastAsiaTheme="majorEastAsia"/>
        </w:rPr>
        <w:t>Hebräisch:</w:t>
      </w:r>
      <w:r>
        <w:t xml:space="preserve"> </w:t>
      </w:r>
      <w:r>
        <w:rPr>
          <w:rtl/>
        </w:rPr>
        <w:t>וַיִּשְׁמַן יְשֻׁרוּן וַיִּבְעָט שָׁמַנְתָּ עָבִיתָ כָּשִׂיתָ וַיִּטֹּשׁ אֱלוֹהַ עָשָׂהוּ וַיְנַבֵּל צוּר יְשֻׁעָתוֹ׃</w:t>
      </w:r>
    </w:p>
    <w:p w14:paraId="6BFAE9D4" w14:textId="77777777" w:rsidR="00EE5F59" w:rsidRDefault="00EE5F59" w:rsidP="00EE5F59">
      <w:pPr>
        <w:pStyle w:val="whitespace-normal"/>
      </w:pPr>
      <w:r>
        <w:rPr>
          <w:rStyle w:val="Fett"/>
          <w:rFonts w:eastAsiaTheme="majorEastAsia"/>
        </w:rPr>
        <w:t>Deutsch:</w:t>
      </w:r>
      <w:r>
        <w:t xml:space="preserve"> Da wurde Jeschurun fett und schlug aus; du wurdest fett, dick, feist! Und er verließ Gott, der ihn gemacht hatte, und verachtete den Fels seiner Rettung.</w:t>
      </w:r>
    </w:p>
    <w:p w14:paraId="13E94C66" w14:textId="77777777" w:rsidR="00EE5F59" w:rsidRDefault="004F5CEB" w:rsidP="00EE5F59">
      <w:r>
        <w:rPr>
          <w:noProof/>
        </w:rPr>
        <w:pict w14:anchorId="5D483062">
          <v:rect id="_x0000_i1906" style="width:0;height:1.5pt" o:hralign="center" o:hrstd="t" o:hr="t" fillcolor="#a0a0a0" stroked="f"/>
        </w:pict>
      </w:r>
    </w:p>
    <w:p w14:paraId="7824AB8F" w14:textId="77777777" w:rsidR="00EE5F59" w:rsidRDefault="00EE5F59" w:rsidP="00EE5F59">
      <w:pPr>
        <w:pStyle w:val="whitespace-normal"/>
      </w:pPr>
      <w:r>
        <w:rPr>
          <w:rStyle w:val="Fett"/>
          <w:rFonts w:eastAsiaTheme="majorEastAsia"/>
        </w:rPr>
        <w:t>Kommentar:</w:t>
      </w:r>
      <w:r>
        <w:t xml:space="preserve"> </w:t>
      </w:r>
      <w:r>
        <w:rPr>
          <w:rStyle w:val="Fett"/>
          <w:rFonts w:eastAsiaTheme="majorEastAsia"/>
          <w:rtl/>
        </w:rPr>
        <w:t>וַיִּשְׁמַן יְשֻׁרוּן וַיִּבְעָט שָׁמַנְתָּ עָבִיתָ כָּשִׂיתָ וַיִּטֹּשׁ אֱלוֹהַ עָשָׂהוּ וַיְנַבֵּל צוּר יְשֻׁעָתוֹ</w:t>
      </w:r>
      <w:r>
        <w:rPr>
          <w:rtl/>
        </w:rPr>
        <w:t xml:space="preserve"> </w:t>
      </w:r>
      <w:r>
        <w:t xml:space="preserve">sind fünf Aussagen: </w:t>
      </w:r>
      <w:r>
        <w:rPr>
          <w:rStyle w:val="Fett"/>
          <w:rFonts w:eastAsiaTheme="majorEastAsia"/>
          <w:rtl/>
        </w:rPr>
        <w:t>וַיִּשְׁמַן יְשֻׁרוּן וַיִּבְעָט</w:t>
      </w:r>
      <w:r>
        <w:rPr>
          <w:rtl/>
        </w:rPr>
        <w:t xml:space="preserve"> </w:t>
      </w:r>
      <w:r>
        <w:t>(</w:t>
      </w:r>
      <w:r>
        <w:rPr>
          <w:rStyle w:val="Fett"/>
          <w:rFonts w:eastAsiaTheme="majorEastAsia"/>
          <w:rtl/>
        </w:rPr>
        <w:t>שׁמן</w:t>
      </w:r>
      <w:r>
        <w:t xml:space="preserve">, Qal Imperfekt mit </w:t>
      </w:r>
      <w:r>
        <w:rPr>
          <w:rStyle w:val="Fett"/>
          <w:rFonts w:eastAsiaTheme="majorEastAsia"/>
        </w:rPr>
        <w:t>Waw</w:t>
      </w:r>
      <w:r>
        <w:t xml:space="preserve"> consecutivum, 3. Person Maskulinum Singular, „fett werden", </w:t>
      </w:r>
      <w:r>
        <w:rPr>
          <w:rStyle w:val="Fett"/>
          <w:rFonts w:eastAsiaTheme="majorEastAsia"/>
          <w:rtl/>
        </w:rPr>
        <w:t>יְשֻׁרוּן</w:t>
      </w:r>
      <w:r>
        <w:rPr>
          <w:rtl/>
        </w:rPr>
        <w:t xml:space="preserve"> </w:t>
      </w:r>
      <w:r>
        <w:t xml:space="preserve">als Subjekt (poetischer Name für Israel, vgl. 33,5.26; Jes 44,2), </w:t>
      </w:r>
      <w:r>
        <w:rPr>
          <w:rStyle w:val="Fett"/>
          <w:rFonts w:eastAsiaTheme="majorEastAsia"/>
          <w:rtl/>
        </w:rPr>
        <w:t>בעט</w:t>
      </w:r>
      <w:r>
        <w:t xml:space="preserve">, Qal Imperfekt mit </w:t>
      </w:r>
      <w:r>
        <w:rPr>
          <w:rStyle w:val="Fett"/>
          <w:rFonts w:eastAsiaTheme="majorEastAsia"/>
        </w:rPr>
        <w:t>Waw</w:t>
      </w:r>
      <w:r>
        <w:t xml:space="preserve"> consecutivum, 3. Person Maskulinum Singular, „ausschlagen, treten" (wie ein überfüttertes Tier)), </w:t>
      </w:r>
      <w:r>
        <w:rPr>
          <w:rStyle w:val="Fett"/>
          <w:rFonts w:eastAsiaTheme="majorEastAsia"/>
          <w:rtl/>
        </w:rPr>
        <w:t>שָׁמַנְתָּ עָבִיתָ כָּשִׂיתָ</w:t>
      </w:r>
      <w:r>
        <w:rPr>
          <w:rtl/>
        </w:rPr>
        <w:t xml:space="preserve"> </w:t>
      </w:r>
      <w:r>
        <w:t xml:space="preserve">(drei synonyme Perfektformen 2. Person Maskulinum Singular: </w:t>
      </w:r>
      <w:r>
        <w:rPr>
          <w:rStyle w:val="Fett"/>
          <w:rFonts w:eastAsiaTheme="majorEastAsia"/>
          <w:rtl/>
        </w:rPr>
        <w:t>שׁמן</w:t>
      </w:r>
      <w:r>
        <w:t xml:space="preserve">, „fett werden", </w:t>
      </w:r>
      <w:r>
        <w:rPr>
          <w:rStyle w:val="Fett"/>
          <w:rFonts w:eastAsiaTheme="majorEastAsia"/>
          <w:rtl/>
        </w:rPr>
        <w:t>עבה</w:t>
      </w:r>
      <w:r>
        <w:t xml:space="preserve">, „dick werden", </w:t>
      </w:r>
      <w:r>
        <w:rPr>
          <w:rStyle w:val="Fett"/>
          <w:rFonts w:eastAsiaTheme="majorEastAsia"/>
          <w:rtl/>
        </w:rPr>
        <w:t>כשׂה</w:t>
      </w:r>
      <w:r>
        <w:t xml:space="preserve">, „feist/bedeckt werden"), </w:t>
      </w:r>
      <w:r>
        <w:rPr>
          <w:rStyle w:val="Fett"/>
          <w:rFonts w:eastAsiaTheme="majorEastAsia"/>
          <w:rtl/>
        </w:rPr>
        <w:t>וַיִּטֹּשׁ אֱלוֹהַ עָשָׂהוּ</w:t>
      </w:r>
      <w:r>
        <w:rPr>
          <w:rtl/>
        </w:rPr>
        <w:t xml:space="preserve"> </w:t>
      </w:r>
      <w:r>
        <w:t>(</w:t>
      </w:r>
      <w:r>
        <w:rPr>
          <w:rStyle w:val="Fett"/>
          <w:rFonts w:eastAsiaTheme="majorEastAsia"/>
          <w:rtl/>
        </w:rPr>
        <w:t>נטשׁ</w:t>
      </w:r>
      <w:r>
        <w:t xml:space="preserve">, Qal Imperfekt mit </w:t>
      </w:r>
      <w:r>
        <w:rPr>
          <w:rStyle w:val="Fett"/>
          <w:rFonts w:eastAsiaTheme="majorEastAsia"/>
        </w:rPr>
        <w:t>Waw</w:t>
      </w:r>
      <w:r>
        <w:t xml:space="preserve"> consecutivum, 3. Person Maskulinum Singular, „verlassen, aufgeben", </w:t>
      </w:r>
      <w:r>
        <w:rPr>
          <w:rStyle w:val="Fett"/>
          <w:rFonts w:eastAsiaTheme="majorEastAsia"/>
          <w:rtl/>
        </w:rPr>
        <w:t>אֱלוֹהַ</w:t>
      </w:r>
      <w:r>
        <w:t xml:space="preserve">, „Gott", </w:t>
      </w:r>
      <w:r>
        <w:rPr>
          <w:rStyle w:val="Fett"/>
          <w:rFonts w:eastAsiaTheme="majorEastAsia"/>
          <w:rtl/>
        </w:rPr>
        <w:t>עשׂה</w:t>
      </w:r>
      <w:r>
        <w:t xml:space="preserve">, Qal Partizip mit Suffix als Relativsatz), </w:t>
      </w:r>
      <w:r>
        <w:rPr>
          <w:rStyle w:val="Fett"/>
          <w:rFonts w:eastAsiaTheme="majorEastAsia"/>
          <w:rtl/>
        </w:rPr>
        <w:t>וַיְנַבֵּל צוּר יְשֻׁעָתוֹ</w:t>
      </w:r>
      <w:r>
        <w:rPr>
          <w:rtl/>
        </w:rPr>
        <w:t xml:space="preserve"> </w:t>
      </w:r>
      <w:r>
        <w:t>(</w:t>
      </w:r>
      <w:r>
        <w:rPr>
          <w:rStyle w:val="Fett"/>
          <w:rFonts w:eastAsiaTheme="majorEastAsia"/>
          <w:rtl/>
        </w:rPr>
        <w:t>נבל</w:t>
      </w:r>
      <w:r>
        <w:t xml:space="preserve">, Piel Imperfekt mit </w:t>
      </w:r>
      <w:r>
        <w:rPr>
          <w:rStyle w:val="Fett"/>
          <w:rFonts w:eastAsiaTheme="majorEastAsia"/>
        </w:rPr>
        <w:t>Waw</w:t>
      </w:r>
      <w:r>
        <w:t xml:space="preserve"> consecutivum, 3. Person Maskulinum Singular, „verachten, gering schätzen, entehren", </w:t>
      </w:r>
      <w:r>
        <w:rPr>
          <w:rStyle w:val="Fett"/>
          <w:rFonts w:eastAsiaTheme="majorEastAsia"/>
          <w:rtl/>
        </w:rPr>
        <w:t>צוּר</w:t>
      </w:r>
      <w:r>
        <w:rPr>
          <w:rtl/>
        </w:rPr>
        <w:t xml:space="preserve"> </w:t>
      </w:r>
      <w:r>
        <w:t xml:space="preserve">Construct mit </w:t>
      </w:r>
      <w:r>
        <w:rPr>
          <w:rStyle w:val="Fett"/>
          <w:rFonts w:eastAsiaTheme="majorEastAsia"/>
          <w:rtl/>
        </w:rPr>
        <w:t>יְשׁוּעָה</w:t>
      </w:r>
      <w:r>
        <w:t>, „Rettung", mit Suffix).</w:t>
      </w:r>
    </w:p>
    <w:p w14:paraId="31D68A3B" w14:textId="3380B62E" w:rsidR="00EE5F59" w:rsidRDefault="00EE5F59" w:rsidP="00EE5F59">
      <w:pPr>
        <w:pStyle w:val="whitespace-normal"/>
      </w:pPr>
      <w:r>
        <w:t xml:space="preserve">Der entscheidende Wendepunkt des Liedes – vom Segen zum Abfall. Die fünf Aussagen zeigen die Tragödie: Wohlstand führt zu Rebellion (vgl. 8,11-20; 31,20; Hos 13,6; Neh 9,25-26). </w:t>
      </w:r>
      <w:r>
        <w:rPr>
          <w:rStyle w:val="Fett"/>
          <w:rFonts w:eastAsiaTheme="majorEastAsia"/>
          <w:rtl/>
        </w:rPr>
        <w:t>יְשֻׁרוּן</w:t>
      </w:r>
      <w:r>
        <w:rPr>
          <w:rtl/>
        </w:rPr>
        <w:t xml:space="preserve"> </w:t>
      </w:r>
      <w:r>
        <w:t xml:space="preserve">(„Jeschurun") bedeutet „der Aufrechte" und ist ironisch in diesem Kontext – der „Aufrechte" wird rebellisch. Die drei Verben </w:t>
      </w:r>
      <w:r>
        <w:rPr>
          <w:rStyle w:val="Fett"/>
          <w:rFonts w:eastAsiaTheme="majorEastAsia"/>
          <w:rtl/>
        </w:rPr>
        <w:t>שָׁמַנְתָּ עָבִיתָ כָּשִׂיתָ</w:t>
      </w:r>
      <w:r>
        <w:rPr>
          <w:rtl/>
        </w:rPr>
        <w:t xml:space="preserve"> </w:t>
      </w:r>
      <w:r>
        <w:t>hämmern die Botschaft ein: „du wurdest fett, dick, feist". Das Bild des ausschlagenden Tieres (</w:t>
      </w:r>
      <w:r>
        <w:rPr>
          <w:rStyle w:val="Fett"/>
          <w:rFonts w:eastAsiaTheme="majorEastAsia"/>
          <w:rtl/>
        </w:rPr>
        <w:t>בעט</w:t>
      </w:r>
      <w:r>
        <w:t xml:space="preserve">) illustriert undankbare Rebellion. Die beiden letzten Verben </w:t>
      </w:r>
      <w:r>
        <w:rPr>
          <w:rStyle w:val="Fett"/>
          <w:rFonts w:eastAsiaTheme="majorEastAsia"/>
          <w:rtl/>
        </w:rPr>
        <w:t>נטשׁ</w:t>
      </w:r>
      <w:r>
        <w:rPr>
          <w:rtl/>
        </w:rPr>
        <w:t xml:space="preserve"> </w:t>
      </w:r>
      <w:r>
        <w:t xml:space="preserve">(„verlassen") und </w:t>
      </w:r>
      <w:r>
        <w:rPr>
          <w:rStyle w:val="Fett"/>
          <w:rFonts w:eastAsiaTheme="majorEastAsia"/>
          <w:rtl/>
        </w:rPr>
        <w:t>נבל</w:t>
      </w:r>
      <w:r>
        <w:rPr>
          <w:rtl/>
        </w:rPr>
        <w:t xml:space="preserve"> </w:t>
      </w:r>
      <w:r>
        <w:t>(„verachten") beschreiben den kompletten Bruch mit Gott.</w:t>
      </w:r>
    </w:p>
    <w:p w14:paraId="6BD9BF07" w14:textId="381DAEB7" w:rsidR="000115C1" w:rsidRDefault="000115C1" w:rsidP="00EE5F59">
      <w:pPr>
        <w:pStyle w:val="whitespace-normal"/>
      </w:pPr>
      <w:r>
        <w:rPr>
          <w:rStyle w:val="Fett"/>
        </w:rPr>
        <w:t>Die LXX</w:t>
      </w:r>
      <w:r>
        <w:t xml:space="preserve"> fügt hinzu: καὶ </w:t>
      </w:r>
      <w:proofErr w:type="spellStart"/>
      <w:r>
        <w:t>ἔφ</w:t>
      </w:r>
      <w:proofErr w:type="spellEnd"/>
      <w:r>
        <w:t>αγεν Ἰα</w:t>
      </w:r>
      <w:proofErr w:type="spellStart"/>
      <w:r>
        <w:t>κὼ</w:t>
      </w:r>
      <w:proofErr w:type="spellEnd"/>
      <w:r>
        <w:t xml:space="preserve">β καὶ </w:t>
      </w:r>
      <w:proofErr w:type="spellStart"/>
      <w:r>
        <w:t>ἐνε</w:t>
      </w:r>
      <w:proofErr w:type="spellEnd"/>
      <w:r>
        <w:t xml:space="preserve">πλήσθη (und Jakob aß und wurde gesättigt) vor der Erwähnung von Jeschurun. Der Name </w:t>
      </w:r>
      <w:r>
        <w:rPr>
          <w:rtl/>
        </w:rPr>
        <w:t>יְשֻׁרוּן</w:t>
      </w:r>
      <w:r>
        <w:t xml:space="preserve"> wird mit ὁ </w:t>
      </w:r>
      <w:proofErr w:type="spellStart"/>
      <w:r>
        <w:t>ἠγ</w:t>
      </w:r>
      <w:proofErr w:type="spellEnd"/>
      <w:r>
        <w:t>απημένος (der Geliebte) übersetzt – eine interpretierende Wiedergabe statt einer Transliteration.</w:t>
      </w:r>
    </w:p>
    <w:p w14:paraId="0E81C7E3" w14:textId="77777777" w:rsidR="00EE5F59" w:rsidRDefault="00EE5F59" w:rsidP="00EE5F59">
      <w:pPr>
        <w:pStyle w:val="whitespace-normal"/>
      </w:pPr>
      <w:r>
        <w:rPr>
          <w:rStyle w:val="Fett"/>
          <w:rFonts w:eastAsiaTheme="majorEastAsia"/>
        </w:rPr>
        <w:t>Die Satzstruktur:</w:t>
      </w:r>
      <w:r>
        <w:t xml:space="preserve"> Fünf Aussagen (da wurde Jeschurun fett und schlug aus; du wurdest fett, dick, feist! Und er verließ Gott, der ihn gemacht hatte, und verachtete den Fels seiner Rettung).</w:t>
      </w:r>
    </w:p>
    <w:p w14:paraId="23DE09C3" w14:textId="77777777" w:rsidR="00EE5F59" w:rsidRDefault="00EE5F59" w:rsidP="00EE5F59">
      <w:pPr>
        <w:pStyle w:val="whitespace-normal"/>
      </w:pPr>
      <w:r>
        <w:rPr>
          <w:rStyle w:val="Fett"/>
          <w:rFonts w:eastAsiaTheme="majorEastAsia"/>
        </w:rPr>
        <w:t>Der Vers beschreibt:</w:t>
      </w:r>
      <w:r>
        <w:t xml:space="preserve"> Wendepunkt – Wohlstand führt zu Rebellion; Israel wird fett, schlägt aus, verlässt und verachtet Gott.</w:t>
      </w:r>
    </w:p>
    <w:p w14:paraId="6557EBF6" w14:textId="77777777" w:rsidR="00EE5F59" w:rsidRPr="00257FCB" w:rsidRDefault="00EE5F59" w:rsidP="00257FCB">
      <w:pPr>
        <w:pStyle w:val="Bibelberschrift"/>
        <w:rPr>
          <w:b w:val="0"/>
          <w:bCs/>
        </w:rPr>
      </w:pPr>
      <w:r w:rsidRPr="00257FCB">
        <w:rPr>
          <w:rStyle w:val="Fett"/>
          <w:b/>
          <w:bCs w:val="0"/>
        </w:rPr>
        <w:t>Deuteronomium 32,16-18</w:t>
      </w:r>
    </w:p>
    <w:p w14:paraId="7904294F" w14:textId="77777777" w:rsidR="00EE5F59" w:rsidRDefault="00EE5F59" w:rsidP="00EE5F59">
      <w:pPr>
        <w:pStyle w:val="whitespace-normal"/>
      </w:pPr>
      <w:r>
        <w:rPr>
          <w:rStyle w:val="Fett"/>
          <w:rFonts w:eastAsiaTheme="majorEastAsia"/>
        </w:rPr>
        <w:t>V. 16 Hebräisch:</w:t>
      </w:r>
      <w:r>
        <w:t xml:space="preserve"> </w:t>
      </w:r>
      <w:r>
        <w:rPr>
          <w:rtl/>
        </w:rPr>
        <w:t>יַקְנִאֻהוּ בְּזָרִים בְּתוֹעֵבֹת יַכְעִיסֻהוּ׃</w:t>
      </w:r>
    </w:p>
    <w:p w14:paraId="2FB1BFF3" w14:textId="77777777" w:rsidR="00EE5F59" w:rsidRDefault="00EE5F59" w:rsidP="00EE5F59">
      <w:pPr>
        <w:pStyle w:val="whitespace-normal"/>
      </w:pPr>
      <w:r>
        <w:rPr>
          <w:rStyle w:val="Fett"/>
          <w:rFonts w:eastAsiaTheme="majorEastAsia"/>
        </w:rPr>
        <w:lastRenderedPageBreak/>
        <w:t>Deutsch:</w:t>
      </w:r>
      <w:r>
        <w:t xml:space="preserve"> Sie erregten ihn zur Eifersucht durch fremde Götter, durch Gräuel reizten sie ihn zum Zorn.</w:t>
      </w:r>
    </w:p>
    <w:p w14:paraId="511D97AE" w14:textId="77777777" w:rsidR="00EE5F59" w:rsidRDefault="00EE5F59" w:rsidP="00EE5F59">
      <w:pPr>
        <w:pStyle w:val="whitespace-normal"/>
      </w:pPr>
      <w:r>
        <w:rPr>
          <w:rStyle w:val="Fett"/>
          <w:rFonts w:eastAsiaTheme="majorEastAsia"/>
        </w:rPr>
        <w:t>Kommentar:</w:t>
      </w:r>
      <w:r>
        <w:t xml:space="preserve"> </w:t>
      </w:r>
      <w:r>
        <w:rPr>
          <w:rStyle w:val="Fett"/>
          <w:rFonts w:eastAsiaTheme="majorEastAsia"/>
          <w:rtl/>
        </w:rPr>
        <w:t>קנא</w:t>
      </w:r>
      <w:r>
        <w:rPr>
          <w:rtl/>
        </w:rPr>
        <w:t xml:space="preserve"> </w:t>
      </w:r>
      <w:r>
        <w:t xml:space="preserve">im Hiphil („zur Eifersucht reizen") und </w:t>
      </w:r>
      <w:r>
        <w:rPr>
          <w:rStyle w:val="Fett"/>
          <w:rFonts w:eastAsiaTheme="majorEastAsia"/>
          <w:rtl/>
        </w:rPr>
        <w:t>כעס</w:t>
      </w:r>
      <w:r>
        <w:rPr>
          <w:rtl/>
        </w:rPr>
        <w:t xml:space="preserve"> </w:t>
      </w:r>
      <w:r>
        <w:t xml:space="preserve">im Hiphil („zum Zorn reizen") beschreiben Gottes Reaktion auf Götzendienst. </w:t>
      </w:r>
      <w:r>
        <w:rPr>
          <w:rStyle w:val="Fett"/>
          <w:rFonts w:eastAsiaTheme="majorEastAsia"/>
          <w:rtl/>
        </w:rPr>
        <w:t>זָרִים</w:t>
      </w:r>
      <w:r>
        <w:rPr>
          <w:rtl/>
        </w:rPr>
        <w:t xml:space="preserve"> </w:t>
      </w:r>
      <w:r>
        <w:t xml:space="preserve">(„Fremde" = fremde Götter), </w:t>
      </w:r>
      <w:r>
        <w:rPr>
          <w:rStyle w:val="Fett"/>
          <w:rFonts w:eastAsiaTheme="majorEastAsia"/>
          <w:rtl/>
        </w:rPr>
        <w:t>תּוֹעֵבוֹת</w:t>
      </w:r>
      <w:r>
        <w:rPr>
          <w:rtl/>
        </w:rPr>
        <w:t xml:space="preserve"> </w:t>
      </w:r>
      <w:r>
        <w:t>(„Gräuel") – beide Begriffe für Götzen.</w:t>
      </w:r>
    </w:p>
    <w:p w14:paraId="7750D635" w14:textId="77777777" w:rsidR="00EE5F59" w:rsidRDefault="00EE5F59" w:rsidP="00EE5F59">
      <w:pPr>
        <w:pStyle w:val="whitespace-normal"/>
      </w:pPr>
      <w:r>
        <w:rPr>
          <w:rStyle w:val="Fett"/>
          <w:rFonts w:eastAsiaTheme="majorEastAsia"/>
        </w:rPr>
        <w:t>V. 17 Hebräisch:</w:t>
      </w:r>
      <w:r>
        <w:t xml:space="preserve"> </w:t>
      </w:r>
      <w:r>
        <w:rPr>
          <w:rtl/>
        </w:rPr>
        <w:t>יִזְבְּחוּ לַשֵּׁדִים לֹא אֱלֹהַ אֱלֹהִים לֹא יְדָעוּם חֲדָשִׁים מִקָּרֹב בָּאוּ לֹא שְׂעָרוּם אֲבֹתֵיכֶם׃</w:t>
      </w:r>
    </w:p>
    <w:p w14:paraId="7336B3F3" w14:textId="77777777" w:rsidR="00EE5F59" w:rsidRDefault="00EE5F59" w:rsidP="00EE5F59">
      <w:pPr>
        <w:pStyle w:val="whitespace-normal"/>
      </w:pPr>
      <w:r>
        <w:rPr>
          <w:rStyle w:val="Fett"/>
          <w:rFonts w:eastAsiaTheme="majorEastAsia"/>
        </w:rPr>
        <w:t>Deutsch:</w:t>
      </w:r>
      <w:r>
        <w:t xml:space="preserve"> Sie opferten den Dämonen, die nicht Gott sind, Göttern, die sie nicht kannten, neuen, die vor kurzem aufgekommen waren, die eure Väter nicht fürchteten.</w:t>
      </w:r>
    </w:p>
    <w:p w14:paraId="14A2657E" w14:textId="1431FEDF" w:rsidR="00EE5F59" w:rsidRDefault="00EE5F59" w:rsidP="00EE5F59">
      <w:pPr>
        <w:pStyle w:val="whitespace-normal"/>
      </w:pPr>
      <w:r>
        <w:rPr>
          <w:rStyle w:val="Fett"/>
          <w:rFonts w:eastAsiaTheme="majorEastAsia"/>
        </w:rPr>
        <w:t>Kommentar:</w:t>
      </w:r>
      <w:r>
        <w:t xml:space="preserve"> </w:t>
      </w:r>
      <w:r>
        <w:rPr>
          <w:rStyle w:val="Fett"/>
          <w:rFonts w:eastAsiaTheme="majorEastAsia"/>
          <w:rtl/>
        </w:rPr>
        <w:t>שֵׁדִים</w:t>
      </w:r>
      <w:r>
        <w:rPr>
          <w:rtl/>
        </w:rPr>
        <w:t xml:space="preserve"> </w:t>
      </w:r>
      <w:r>
        <w:t xml:space="preserve">(„Dämonen") – einziges weiteres Vorkommen in Ps 106,37. Die Aussage </w:t>
      </w:r>
      <w:r>
        <w:rPr>
          <w:rStyle w:val="Fett"/>
          <w:rFonts w:eastAsiaTheme="majorEastAsia"/>
          <w:rtl/>
        </w:rPr>
        <w:t>לֹא אֱלֹהַ</w:t>
      </w:r>
      <w:r>
        <w:rPr>
          <w:rtl/>
        </w:rPr>
        <w:t xml:space="preserve"> </w:t>
      </w:r>
      <w:r>
        <w:t xml:space="preserve">(„nicht Gott") betont die Nichtigkeit der Götzen. </w:t>
      </w:r>
      <w:r>
        <w:rPr>
          <w:rStyle w:val="Fett"/>
          <w:rFonts w:eastAsiaTheme="majorEastAsia"/>
          <w:rtl/>
        </w:rPr>
        <w:t>לֹא יְדָעוּם</w:t>
      </w:r>
      <w:r>
        <w:rPr>
          <w:rtl/>
        </w:rPr>
        <w:t xml:space="preserve"> </w:t>
      </w:r>
      <w:r>
        <w:t xml:space="preserve">(„die sie nicht kannten") – unbekannte, neue Götter. </w:t>
      </w:r>
      <w:r>
        <w:rPr>
          <w:rStyle w:val="Fett"/>
          <w:rFonts w:eastAsiaTheme="majorEastAsia"/>
          <w:rtl/>
        </w:rPr>
        <w:t>חֲדָשִׁים מִקָּרֹב בָּאוּ</w:t>
      </w:r>
      <w:r>
        <w:rPr>
          <w:rtl/>
        </w:rPr>
        <w:t xml:space="preserve"> </w:t>
      </w:r>
      <w:r>
        <w:t xml:space="preserve">(„neu, vor kurzem gekommen") – Modeerscheinungen. </w:t>
      </w:r>
      <w:r>
        <w:rPr>
          <w:rStyle w:val="Fett"/>
          <w:rFonts w:eastAsiaTheme="majorEastAsia"/>
          <w:rtl/>
        </w:rPr>
        <w:t>לֹא שְׂעָרוּם</w:t>
      </w:r>
      <w:r>
        <w:rPr>
          <w:rtl/>
        </w:rPr>
        <w:t xml:space="preserve"> </w:t>
      </w:r>
      <w:r>
        <w:t xml:space="preserve">(von </w:t>
      </w:r>
      <w:r>
        <w:rPr>
          <w:rStyle w:val="Fett"/>
          <w:rFonts w:eastAsiaTheme="majorEastAsia"/>
          <w:rtl/>
        </w:rPr>
        <w:t>שׂער</w:t>
      </w:r>
      <w:r>
        <w:t>, „fürchten, erschauern") – die Väter kannten diese Götter nicht.</w:t>
      </w:r>
    </w:p>
    <w:p w14:paraId="5D0B7C77" w14:textId="16FFE5CC" w:rsidR="000115C1" w:rsidRDefault="000115C1" w:rsidP="00EE5F59">
      <w:pPr>
        <w:pStyle w:val="whitespace-normal"/>
      </w:pPr>
      <w:r>
        <w:rPr>
          <w:rStyle w:val="Fett"/>
        </w:rPr>
        <w:t>Die LXX</w:t>
      </w:r>
      <w:r>
        <w:t xml:space="preserve"> übersetzt </w:t>
      </w:r>
      <w:r>
        <w:rPr>
          <w:rtl/>
        </w:rPr>
        <w:t>לַשֵּׁדִים</w:t>
      </w:r>
      <w:r>
        <w:t xml:space="preserve"> (zu den Dämonen/Gespenstern) mit δα</w:t>
      </w:r>
      <w:proofErr w:type="spellStart"/>
      <w:r>
        <w:t>ιμονίοις</w:t>
      </w:r>
      <w:proofErr w:type="spellEnd"/>
      <w:r>
        <w:t xml:space="preserve"> (zu Dämonen) – der griechische Begriff, der später im Neuen Testament verwendet wird (1 Kor 10,20).</w:t>
      </w:r>
    </w:p>
    <w:p w14:paraId="351C6220" w14:textId="77777777" w:rsidR="00EE5F59" w:rsidRDefault="00EE5F59" w:rsidP="00EE5F59">
      <w:pPr>
        <w:pStyle w:val="whitespace-normal"/>
      </w:pPr>
      <w:r>
        <w:rPr>
          <w:rStyle w:val="Fett"/>
          <w:rFonts w:eastAsiaTheme="majorEastAsia"/>
        </w:rPr>
        <w:t>V. 18 Hebräisch:</w:t>
      </w:r>
      <w:r>
        <w:t xml:space="preserve"> </w:t>
      </w:r>
      <w:r>
        <w:rPr>
          <w:rtl/>
        </w:rPr>
        <w:t>צוּר יְלָדְךָ תֶּשִׁי וַתִּשְׁכַּח אֵל מְחֹלְלֶךָ׃</w:t>
      </w:r>
    </w:p>
    <w:p w14:paraId="1CED26D1" w14:textId="77777777" w:rsidR="00EE5F59" w:rsidRDefault="00EE5F59" w:rsidP="00EE5F59">
      <w:pPr>
        <w:pStyle w:val="whitespace-normal"/>
      </w:pPr>
      <w:r>
        <w:rPr>
          <w:rStyle w:val="Fett"/>
          <w:rFonts w:eastAsiaTheme="majorEastAsia"/>
        </w:rPr>
        <w:t>Deutsch:</w:t>
      </w:r>
      <w:r>
        <w:t xml:space="preserve"> Den Fels, der dich gezeugt hat, vernachlässigtest du, und vergaßest den Gott, der dich geboren hat.</w:t>
      </w:r>
    </w:p>
    <w:p w14:paraId="50F6D473" w14:textId="695B19CF" w:rsidR="00EE5F59" w:rsidRDefault="00EE5F59" w:rsidP="00EE5F59">
      <w:pPr>
        <w:pStyle w:val="whitespace-normal"/>
      </w:pPr>
      <w:r>
        <w:rPr>
          <w:rStyle w:val="Fett"/>
          <w:rFonts w:eastAsiaTheme="majorEastAsia"/>
        </w:rPr>
        <w:t>Kommentar:</w:t>
      </w:r>
      <w:r>
        <w:t xml:space="preserve"> Zwei Verben für Vergessen: </w:t>
      </w:r>
      <w:r>
        <w:rPr>
          <w:rStyle w:val="Fett"/>
          <w:rFonts w:eastAsiaTheme="majorEastAsia"/>
          <w:rtl/>
        </w:rPr>
        <w:t>נשׁה</w:t>
      </w:r>
      <w:r>
        <w:rPr>
          <w:rtl/>
        </w:rPr>
        <w:t xml:space="preserve"> </w:t>
      </w:r>
      <w:r>
        <w:t xml:space="preserve">(„vernachlässigen, vergessen") und </w:t>
      </w:r>
      <w:r>
        <w:rPr>
          <w:rStyle w:val="Fett"/>
          <w:rFonts w:eastAsiaTheme="majorEastAsia"/>
          <w:rtl/>
        </w:rPr>
        <w:t>שׁכח</w:t>
      </w:r>
      <w:r>
        <w:rPr>
          <w:rtl/>
        </w:rPr>
        <w:t xml:space="preserve"> </w:t>
      </w:r>
      <w:r>
        <w:t xml:space="preserve">(„vergessen"). Zwei Geburtsmetaphern: </w:t>
      </w:r>
      <w:r>
        <w:rPr>
          <w:rStyle w:val="Fett"/>
          <w:rFonts w:eastAsiaTheme="majorEastAsia"/>
          <w:rtl/>
        </w:rPr>
        <w:t>ילד</w:t>
      </w:r>
      <w:r>
        <w:rPr>
          <w:rtl/>
        </w:rPr>
        <w:t xml:space="preserve"> </w:t>
      </w:r>
      <w:r>
        <w:t xml:space="preserve">(„zeugen") und </w:t>
      </w:r>
      <w:r>
        <w:rPr>
          <w:rStyle w:val="Fett"/>
          <w:rFonts w:eastAsiaTheme="majorEastAsia"/>
          <w:rtl/>
        </w:rPr>
        <w:t>חול</w:t>
      </w:r>
      <w:r>
        <w:rPr>
          <w:rtl/>
        </w:rPr>
        <w:t xml:space="preserve"> </w:t>
      </w:r>
      <w:r>
        <w:t>im Polel („gebären, winden") – Gott wird hier mit väterlichen und mütterlichen Bildern beschrieben.</w:t>
      </w:r>
    </w:p>
    <w:p w14:paraId="28412648" w14:textId="6A2F2238" w:rsidR="00EE5F59" w:rsidRDefault="000115C1" w:rsidP="00F63EA3">
      <w:pPr>
        <w:pStyle w:val="whitespace-normal"/>
      </w:pPr>
      <w:r>
        <w:rPr>
          <w:rStyle w:val="Fett"/>
        </w:rPr>
        <w:t>Die LXX</w:t>
      </w:r>
      <w:r>
        <w:t xml:space="preserve"> übersetzt </w:t>
      </w:r>
      <w:r>
        <w:rPr>
          <w:rtl/>
        </w:rPr>
        <w:t>אֵל מְחֹלְלֶךָ</w:t>
      </w:r>
      <w:r>
        <w:t xml:space="preserve"> (Gott, der dich gebar/hervorbrachte) mit </w:t>
      </w:r>
      <w:proofErr w:type="spellStart"/>
      <w:r>
        <w:t>θεοῦ</w:t>
      </w:r>
      <w:proofErr w:type="spellEnd"/>
      <w:r>
        <w:t xml:space="preserve"> </w:t>
      </w:r>
      <w:proofErr w:type="spellStart"/>
      <w:r>
        <w:t>τοῦ</w:t>
      </w:r>
      <w:proofErr w:type="spellEnd"/>
      <w:r>
        <w:t xml:space="preserve"> </w:t>
      </w:r>
      <w:proofErr w:type="spellStart"/>
      <w:r>
        <w:t>τρέφοντός</w:t>
      </w:r>
      <w:proofErr w:type="spellEnd"/>
      <w:r>
        <w:t xml:space="preserve"> </w:t>
      </w:r>
      <w:proofErr w:type="spellStart"/>
      <w:r>
        <w:t>σε</w:t>
      </w:r>
      <w:proofErr w:type="spellEnd"/>
      <w:r>
        <w:t xml:space="preserve"> (Gott, der dich nährt) – eine weniger kühne metaphorische Ausdrucksweise.</w:t>
      </w:r>
    </w:p>
    <w:p w14:paraId="66665E36" w14:textId="77777777" w:rsidR="00EE5F59" w:rsidRPr="00257FCB" w:rsidRDefault="00EE5F59" w:rsidP="00257FCB">
      <w:pPr>
        <w:pStyle w:val="Bibelberschrift"/>
        <w:rPr>
          <w:b w:val="0"/>
          <w:bCs/>
        </w:rPr>
      </w:pPr>
      <w:r w:rsidRPr="00257FCB">
        <w:rPr>
          <w:rStyle w:val="Fett"/>
          <w:b/>
          <w:bCs w:val="0"/>
        </w:rPr>
        <w:t>Deuteronomium 32,19-22</w:t>
      </w:r>
    </w:p>
    <w:p w14:paraId="00393774" w14:textId="77777777" w:rsidR="00EE5F59" w:rsidRDefault="00EE5F59" w:rsidP="00EE5F59">
      <w:pPr>
        <w:pStyle w:val="whitespace-normal"/>
      </w:pPr>
      <w:r>
        <w:rPr>
          <w:rStyle w:val="Fett"/>
          <w:rFonts w:eastAsiaTheme="majorEastAsia"/>
        </w:rPr>
        <w:t>V. 19 Hebräisch:</w:t>
      </w:r>
      <w:r>
        <w:t xml:space="preserve"> </w:t>
      </w:r>
      <w:r>
        <w:rPr>
          <w:rtl/>
        </w:rPr>
        <w:t>וַיַּרְא יְהוָה וַיִּנְאָץ מִכַּעַס בָּנָיו וּבְנֹתָיו׃</w:t>
      </w:r>
    </w:p>
    <w:p w14:paraId="2E111DF4" w14:textId="77777777" w:rsidR="00EE5F59" w:rsidRDefault="00EE5F59" w:rsidP="00EE5F59">
      <w:pPr>
        <w:pStyle w:val="whitespace-normal"/>
      </w:pPr>
      <w:r>
        <w:rPr>
          <w:rStyle w:val="Fett"/>
          <w:rFonts w:eastAsiaTheme="majorEastAsia"/>
        </w:rPr>
        <w:t>Deutsch:</w:t>
      </w:r>
      <w:r>
        <w:t xml:space="preserve"> Und der Ewige sah es und verwarf sie, vor Unmut über seine Söhne und seine Töchter.</w:t>
      </w:r>
    </w:p>
    <w:p w14:paraId="61B6F80D" w14:textId="77777777" w:rsidR="00EE5F59" w:rsidRDefault="00EE5F59" w:rsidP="00EE5F59">
      <w:pPr>
        <w:pStyle w:val="whitespace-normal"/>
      </w:pPr>
      <w:r>
        <w:rPr>
          <w:rStyle w:val="Fett"/>
          <w:rFonts w:eastAsiaTheme="majorEastAsia"/>
        </w:rPr>
        <w:t>Kommentar:</w:t>
      </w:r>
      <w:r>
        <w:t xml:space="preserve"> </w:t>
      </w:r>
      <w:r>
        <w:rPr>
          <w:rStyle w:val="Fett"/>
          <w:rFonts w:eastAsiaTheme="majorEastAsia"/>
          <w:rtl/>
        </w:rPr>
        <w:t>נאץ</w:t>
      </w:r>
      <w:r>
        <w:rPr>
          <w:rtl/>
        </w:rPr>
        <w:t xml:space="preserve"> </w:t>
      </w:r>
      <w:r>
        <w:t xml:space="preserve">(„verwerfen, verschmähen") – Gottes Reaktion. </w:t>
      </w:r>
      <w:r>
        <w:rPr>
          <w:rStyle w:val="Fett"/>
          <w:rFonts w:eastAsiaTheme="majorEastAsia"/>
          <w:rtl/>
        </w:rPr>
        <w:t>מִכַּעַס</w:t>
      </w:r>
      <w:r>
        <w:rPr>
          <w:rtl/>
        </w:rPr>
        <w:t xml:space="preserve"> </w:t>
      </w:r>
      <w:r>
        <w:t>(„vor Unmut, wegen des Zorns").</w:t>
      </w:r>
    </w:p>
    <w:p w14:paraId="4356EDDA" w14:textId="77777777" w:rsidR="00EE5F59" w:rsidRDefault="00EE5F59" w:rsidP="00EE5F59">
      <w:pPr>
        <w:pStyle w:val="whitespace-normal"/>
      </w:pPr>
      <w:r>
        <w:rPr>
          <w:rStyle w:val="Fett"/>
          <w:rFonts w:eastAsiaTheme="majorEastAsia"/>
        </w:rPr>
        <w:t>V. 20 Hebräisch:</w:t>
      </w:r>
      <w:r>
        <w:t xml:space="preserve"> </w:t>
      </w:r>
      <w:r>
        <w:rPr>
          <w:rtl/>
        </w:rPr>
        <w:t>וַיֹּאמֶר אַסְתִּירָה פָנַי מֵהֶם אֶרְאֶה מָה אַחֲרִיתָם כִּי דוֹר תַּהְפֻּכֹת הֵמָּה בָּנִים לֹא־אֵמֻן בָּם׃</w:t>
      </w:r>
    </w:p>
    <w:p w14:paraId="78EFA9F2" w14:textId="77777777" w:rsidR="00EE5F59" w:rsidRDefault="00EE5F59" w:rsidP="00EE5F59">
      <w:pPr>
        <w:pStyle w:val="whitespace-normal"/>
      </w:pPr>
      <w:r>
        <w:rPr>
          <w:rStyle w:val="Fett"/>
          <w:rFonts w:eastAsiaTheme="majorEastAsia"/>
        </w:rPr>
        <w:lastRenderedPageBreak/>
        <w:t>Deutsch:</w:t>
      </w:r>
      <w:r>
        <w:t xml:space="preserve"> Und er sprach: Ich will mein Angesicht vor ihnen verbergen, will sehen, was ihr Ende sein wird; denn ein Geschlecht voller Verkehrtheit sind sie, Kinder, in denen keine Treue ist.</w:t>
      </w:r>
    </w:p>
    <w:p w14:paraId="1D579C62" w14:textId="77777777" w:rsidR="00EE5F59" w:rsidRDefault="00EE5F59" w:rsidP="00EE5F59">
      <w:pPr>
        <w:pStyle w:val="whitespace-normal"/>
      </w:pPr>
      <w:r>
        <w:rPr>
          <w:rStyle w:val="Fett"/>
          <w:rFonts w:eastAsiaTheme="majorEastAsia"/>
        </w:rPr>
        <w:t>Kommentar:</w:t>
      </w:r>
      <w:r>
        <w:t xml:space="preserve"> </w:t>
      </w:r>
      <w:r>
        <w:rPr>
          <w:rStyle w:val="Fett"/>
          <w:rFonts w:eastAsiaTheme="majorEastAsia"/>
          <w:rtl/>
        </w:rPr>
        <w:t>אַסְתִּירָה פָנַי</w:t>
      </w:r>
      <w:r>
        <w:rPr>
          <w:rtl/>
        </w:rPr>
        <w:t xml:space="preserve"> </w:t>
      </w:r>
      <w:r>
        <w:t xml:space="preserve">(„ich will verbergen mein Angesicht") – die schreckliche Strafe (vgl. 31,17-18). </w:t>
      </w:r>
      <w:r>
        <w:rPr>
          <w:rStyle w:val="Fett"/>
          <w:rFonts w:eastAsiaTheme="majorEastAsia"/>
          <w:rtl/>
        </w:rPr>
        <w:t>דּוֹר תַּהְפֻּכֹת</w:t>
      </w:r>
      <w:r>
        <w:rPr>
          <w:rtl/>
        </w:rPr>
        <w:t xml:space="preserve"> </w:t>
      </w:r>
      <w:r>
        <w:t xml:space="preserve">(„Geschlecht der Verkehrtheiten"). </w:t>
      </w:r>
      <w:r>
        <w:rPr>
          <w:rStyle w:val="Fett"/>
          <w:rFonts w:eastAsiaTheme="majorEastAsia"/>
          <w:rtl/>
        </w:rPr>
        <w:t>לֹא־אֵמֻן בָּם</w:t>
      </w:r>
      <w:r>
        <w:rPr>
          <w:rtl/>
        </w:rPr>
        <w:t xml:space="preserve"> </w:t>
      </w:r>
      <w:r>
        <w:t>(„keine Treue in ihnen").</w:t>
      </w:r>
    </w:p>
    <w:p w14:paraId="45170BA1" w14:textId="77777777" w:rsidR="00EE5F59" w:rsidRDefault="00EE5F59" w:rsidP="00EE5F59">
      <w:pPr>
        <w:pStyle w:val="whitespace-normal"/>
      </w:pPr>
      <w:r>
        <w:rPr>
          <w:rStyle w:val="Fett"/>
          <w:rFonts w:eastAsiaTheme="majorEastAsia"/>
        </w:rPr>
        <w:t>V. 21 Hebräisch:</w:t>
      </w:r>
      <w:r>
        <w:t xml:space="preserve"> </w:t>
      </w:r>
      <w:r>
        <w:rPr>
          <w:rtl/>
        </w:rPr>
        <w:t>הֵם קִנְאוּנִי בְלֹא־אֵל כִּעֲסוּנִי בְּהַבְלֵיהֶם וַאֲנִי אַקְנִיאֵם בְּלֹא־עָם בְּגוֹי נָבָל אַכְעִיסֵם׃</w:t>
      </w:r>
    </w:p>
    <w:p w14:paraId="202609E4" w14:textId="77777777" w:rsidR="00EE5F59" w:rsidRDefault="00EE5F59" w:rsidP="00EE5F59">
      <w:pPr>
        <w:pStyle w:val="whitespace-normal"/>
      </w:pPr>
      <w:r>
        <w:rPr>
          <w:rStyle w:val="Fett"/>
          <w:rFonts w:eastAsiaTheme="majorEastAsia"/>
        </w:rPr>
        <w:t>Deutsch:</w:t>
      </w:r>
      <w:r>
        <w:t xml:space="preserve"> Sie haben mich zur Eifersucht gereizt durch einen Nicht-Gott, haben mich erzürnt durch ihre Nichtigkeiten; so will auch ich sie zur Eifersucht reizen durch ein Nicht-Volk, durch eine törichte Nation will ich sie erzürnen.</w:t>
      </w:r>
    </w:p>
    <w:p w14:paraId="6E56209B" w14:textId="2D66B0A6" w:rsidR="00EE5F59" w:rsidRDefault="00EE5F59" w:rsidP="00EE5F59">
      <w:pPr>
        <w:pStyle w:val="whitespace-normal"/>
      </w:pPr>
      <w:r>
        <w:rPr>
          <w:rStyle w:val="Fett"/>
          <w:rFonts w:eastAsiaTheme="majorEastAsia"/>
        </w:rPr>
        <w:t>Kommentar:</w:t>
      </w:r>
      <w:r>
        <w:t xml:space="preserve"> Lex talionis (Vergeltungsprinzip) – Maß für Maß. </w:t>
      </w:r>
      <w:r>
        <w:rPr>
          <w:rStyle w:val="Fett"/>
          <w:rFonts w:eastAsiaTheme="majorEastAsia"/>
          <w:rtl/>
        </w:rPr>
        <w:t>בְלֹא־אֵל</w:t>
      </w:r>
      <w:r>
        <w:rPr>
          <w:rtl/>
        </w:rPr>
        <w:t xml:space="preserve"> </w:t>
      </w:r>
      <w:r>
        <w:t xml:space="preserve">(„durch Nicht-Gott") wird vergolten mit </w:t>
      </w:r>
      <w:r>
        <w:rPr>
          <w:rStyle w:val="Fett"/>
          <w:rFonts w:eastAsiaTheme="majorEastAsia"/>
          <w:rtl/>
        </w:rPr>
        <w:t>בְּלֹא־עָם</w:t>
      </w:r>
      <w:r>
        <w:rPr>
          <w:rtl/>
        </w:rPr>
        <w:t xml:space="preserve"> </w:t>
      </w:r>
      <w:r>
        <w:t xml:space="preserve">(„durch Nicht-Volk"). </w:t>
      </w:r>
      <w:r>
        <w:rPr>
          <w:rStyle w:val="Fett"/>
          <w:rFonts w:eastAsiaTheme="majorEastAsia"/>
          <w:rtl/>
        </w:rPr>
        <w:t>הֲבָלִים</w:t>
      </w:r>
      <w:r>
        <w:rPr>
          <w:rtl/>
        </w:rPr>
        <w:t xml:space="preserve"> </w:t>
      </w:r>
      <w:r>
        <w:t xml:space="preserve">(„Nichtigkeiten, Eitelkeiten") – für Götzen. </w:t>
      </w:r>
      <w:r>
        <w:rPr>
          <w:rStyle w:val="Fett"/>
          <w:rFonts w:eastAsiaTheme="majorEastAsia"/>
          <w:rtl/>
        </w:rPr>
        <w:t>גּוֹי נָבָל</w:t>
      </w:r>
      <w:r>
        <w:rPr>
          <w:rtl/>
        </w:rPr>
        <w:t xml:space="preserve"> </w:t>
      </w:r>
      <w:r>
        <w:t>(„törichte Nation") – wahrscheinlich fremde Völker als Gottes Werkzeug (vgl. Röm 10,19, wo Paulus diesen Vers zitiert).</w:t>
      </w:r>
    </w:p>
    <w:p w14:paraId="57938E58" w14:textId="55A3433F" w:rsidR="000115C1" w:rsidRDefault="000115C1" w:rsidP="00EE5F59">
      <w:pPr>
        <w:pStyle w:val="whitespace-normal"/>
      </w:pPr>
      <w:r>
        <w:rPr>
          <w:rStyle w:val="Fett"/>
        </w:rPr>
        <w:t>Die LXX</w:t>
      </w:r>
      <w:r>
        <w:t xml:space="preserve"> übersetzt </w:t>
      </w:r>
      <w:r>
        <w:rPr>
          <w:rtl/>
        </w:rPr>
        <w:t>בְּהַבְלֵיהֶם</w:t>
      </w:r>
      <w:r>
        <w:t xml:space="preserve"> (mit ihren Nichtigkeiten) mit </w:t>
      </w:r>
      <w:proofErr w:type="spellStart"/>
      <w:r>
        <w:t>ἐν</w:t>
      </w:r>
      <w:proofErr w:type="spellEnd"/>
      <w:r>
        <w:t xml:space="preserve"> </w:t>
      </w:r>
      <w:proofErr w:type="spellStart"/>
      <w:r>
        <w:t>τοῖς</w:t>
      </w:r>
      <w:proofErr w:type="spellEnd"/>
      <w:r>
        <w:t xml:space="preserve"> </w:t>
      </w:r>
      <w:proofErr w:type="spellStart"/>
      <w:r>
        <w:t>εἰδώλοις</w:t>
      </w:r>
      <w:proofErr w:type="spellEnd"/>
      <w:r>
        <w:t xml:space="preserve"> α</w:t>
      </w:r>
      <w:proofErr w:type="spellStart"/>
      <w:r>
        <w:t>ὐτῶν</w:t>
      </w:r>
      <w:proofErr w:type="spellEnd"/>
      <w:r>
        <w:t xml:space="preserve"> (mit ihren Götzenbildern) – macht die Bedeutung explizit.</w:t>
      </w:r>
    </w:p>
    <w:p w14:paraId="792DBDA9" w14:textId="77777777" w:rsidR="00EE5F59" w:rsidRDefault="00EE5F59" w:rsidP="00EE5F59">
      <w:pPr>
        <w:pStyle w:val="whitespace-normal"/>
      </w:pPr>
      <w:r>
        <w:rPr>
          <w:rStyle w:val="Fett"/>
          <w:rFonts w:eastAsiaTheme="majorEastAsia"/>
        </w:rPr>
        <w:t>V. 22 Hebräisch:</w:t>
      </w:r>
      <w:r>
        <w:t xml:space="preserve"> </w:t>
      </w:r>
      <w:r>
        <w:rPr>
          <w:rtl/>
        </w:rPr>
        <w:t>כִּי־אֵשׁ קָדְחָה בְאַפִּי וַתִּיקַד עַד־שְׁאוֹל תַּחְתִּית וַתֹּאכַל אֶרֶץ וִיבֻלָהּ וַתְּלַהֵט מוֹסְדֵי הָרִים׃</w:t>
      </w:r>
    </w:p>
    <w:p w14:paraId="6AD1F733" w14:textId="77777777" w:rsidR="00EE5F59" w:rsidRDefault="00EE5F59" w:rsidP="00EE5F59">
      <w:pPr>
        <w:pStyle w:val="whitespace-normal"/>
      </w:pPr>
      <w:r>
        <w:rPr>
          <w:rStyle w:val="Fett"/>
          <w:rFonts w:eastAsiaTheme="majorEastAsia"/>
        </w:rPr>
        <w:t>Deutsch:</w:t>
      </w:r>
      <w:r>
        <w:t xml:space="preserve"> Denn ein Feuer ist entbrannt in meinem Zorn und wird brennen bis in den untersten Scheol und wird verzehren die Erde und ihren Ertrag und entzünden die Grundfesten der Berge.</w:t>
      </w:r>
    </w:p>
    <w:p w14:paraId="2B8CEDD2" w14:textId="26D53E4D" w:rsidR="00EE5F59" w:rsidRDefault="00EE5F59" w:rsidP="00F63EA3">
      <w:pPr>
        <w:pStyle w:val="whitespace-normal"/>
      </w:pPr>
      <w:r>
        <w:rPr>
          <w:rStyle w:val="Fett"/>
          <w:rFonts w:eastAsiaTheme="majorEastAsia"/>
        </w:rPr>
        <w:t>Kommentar:</w:t>
      </w:r>
      <w:r>
        <w:t xml:space="preserve"> Kosmisches Gericht – </w:t>
      </w:r>
      <w:r>
        <w:rPr>
          <w:rStyle w:val="Fett"/>
          <w:rFonts w:eastAsiaTheme="majorEastAsia"/>
          <w:rtl/>
        </w:rPr>
        <w:t>אֵשׁ</w:t>
      </w:r>
      <w:r>
        <w:rPr>
          <w:rtl/>
        </w:rPr>
        <w:t xml:space="preserve"> </w:t>
      </w:r>
      <w:r>
        <w:t xml:space="preserve">(„Feuer") von Gottes Zorn. </w:t>
      </w:r>
      <w:r>
        <w:rPr>
          <w:rStyle w:val="Fett"/>
          <w:rFonts w:eastAsiaTheme="majorEastAsia"/>
          <w:rtl/>
        </w:rPr>
        <w:t>שְׁאוֹל תַּחְתִּית</w:t>
      </w:r>
      <w:r>
        <w:rPr>
          <w:rtl/>
        </w:rPr>
        <w:t xml:space="preserve"> </w:t>
      </w:r>
      <w:r>
        <w:t xml:space="preserve">(„unterster Scheol") – tiefste Unterwelt. </w:t>
      </w:r>
      <w:r>
        <w:rPr>
          <w:rStyle w:val="Fett"/>
          <w:rFonts w:eastAsiaTheme="majorEastAsia"/>
          <w:rtl/>
        </w:rPr>
        <w:t>מוֹסְדֵי הָרִים</w:t>
      </w:r>
      <w:r>
        <w:rPr>
          <w:rtl/>
        </w:rPr>
        <w:t xml:space="preserve"> </w:t>
      </w:r>
      <w:r>
        <w:t>(„Grundfesten der Berge") – das gesamte Universum wird erschüttert.</w:t>
      </w:r>
    </w:p>
    <w:p w14:paraId="588C6DC0" w14:textId="77777777" w:rsidR="00EE5F59" w:rsidRPr="00257FCB" w:rsidRDefault="00EE5F59" w:rsidP="00257FCB">
      <w:pPr>
        <w:pStyle w:val="Bibelberschrift"/>
        <w:rPr>
          <w:b w:val="0"/>
          <w:bCs/>
        </w:rPr>
      </w:pPr>
      <w:r w:rsidRPr="00257FCB">
        <w:rPr>
          <w:rStyle w:val="Fett"/>
          <w:b/>
          <w:bCs w:val="0"/>
        </w:rPr>
        <w:t>Deuteronomium 32,23-29</w:t>
      </w:r>
    </w:p>
    <w:p w14:paraId="1E5B3E23" w14:textId="1AA4462B" w:rsidR="00EE5F59" w:rsidRDefault="00EE5F59" w:rsidP="00EE5F59">
      <w:pPr>
        <w:pStyle w:val="whitespace-normal"/>
      </w:pPr>
      <w:r>
        <w:rPr>
          <w:rStyle w:val="Fett"/>
          <w:rFonts w:eastAsiaTheme="majorEastAsia"/>
        </w:rPr>
        <w:t>V. 23-25:</w:t>
      </w:r>
      <w:r>
        <w:t xml:space="preserve"> Diese Verse beschreiben detailliert die Katastrophen: </w:t>
      </w:r>
      <w:r>
        <w:rPr>
          <w:rStyle w:val="Fett"/>
          <w:rFonts w:eastAsiaTheme="majorEastAsia"/>
          <w:rtl/>
        </w:rPr>
        <w:t>רָעוֹת</w:t>
      </w:r>
      <w:r>
        <w:rPr>
          <w:rtl/>
        </w:rPr>
        <w:t xml:space="preserve"> </w:t>
      </w:r>
      <w:r>
        <w:t xml:space="preserve">(„Übel"), </w:t>
      </w:r>
      <w:r>
        <w:rPr>
          <w:rStyle w:val="Fett"/>
          <w:rFonts w:eastAsiaTheme="majorEastAsia"/>
          <w:rtl/>
        </w:rPr>
        <w:t>חִצַּי</w:t>
      </w:r>
      <w:r>
        <w:rPr>
          <w:rtl/>
        </w:rPr>
        <w:t xml:space="preserve"> </w:t>
      </w:r>
      <w:r>
        <w:t xml:space="preserve">(„meine Pfeile"), </w:t>
      </w:r>
      <w:r>
        <w:rPr>
          <w:rStyle w:val="Fett"/>
          <w:rFonts w:eastAsiaTheme="majorEastAsia"/>
          <w:rtl/>
        </w:rPr>
        <w:t>מְזֵי רָעָב</w:t>
      </w:r>
      <w:r>
        <w:rPr>
          <w:rtl/>
        </w:rPr>
        <w:t xml:space="preserve"> </w:t>
      </w:r>
      <w:r>
        <w:t xml:space="preserve">(„Auszehrung durch Hunger"), </w:t>
      </w:r>
      <w:r>
        <w:rPr>
          <w:rStyle w:val="Fett"/>
          <w:rFonts w:eastAsiaTheme="majorEastAsia"/>
          <w:rtl/>
        </w:rPr>
        <w:t>לְחֻמֵי רֶשֶׁף</w:t>
      </w:r>
      <w:r>
        <w:rPr>
          <w:rtl/>
        </w:rPr>
        <w:t xml:space="preserve"> </w:t>
      </w:r>
      <w:r>
        <w:t xml:space="preserve">(„Fieberglut"), </w:t>
      </w:r>
      <w:r>
        <w:rPr>
          <w:rStyle w:val="Fett"/>
          <w:rFonts w:eastAsiaTheme="majorEastAsia"/>
          <w:rtl/>
        </w:rPr>
        <w:t>קֶטֶב מְרִירִי</w:t>
      </w:r>
      <w:r>
        <w:rPr>
          <w:rtl/>
        </w:rPr>
        <w:t xml:space="preserve"> </w:t>
      </w:r>
      <w:r>
        <w:t xml:space="preserve">(„bittere Pest"), </w:t>
      </w:r>
      <w:r>
        <w:rPr>
          <w:rStyle w:val="Fett"/>
          <w:rFonts w:eastAsiaTheme="majorEastAsia"/>
          <w:rtl/>
        </w:rPr>
        <w:t>שֶׁן־בְּהֵמוֹת</w:t>
      </w:r>
      <w:r>
        <w:rPr>
          <w:rtl/>
        </w:rPr>
        <w:t xml:space="preserve"> </w:t>
      </w:r>
      <w:r>
        <w:t xml:space="preserve">(„Zahn wilder Tiere"), </w:t>
      </w:r>
      <w:r>
        <w:rPr>
          <w:rStyle w:val="Fett"/>
          <w:rFonts w:eastAsiaTheme="majorEastAsia"/>
          <w:rtl/>
        </w:rPr>
        <w:t>חֲמַת זֹחֲלֵי עָפָר</w:t>
      </w:r>
      <w:r>
        <w:rPr>
          <w:rtl/>
        </w:rPr>
        <w:t xml:space="preserve"> </w:t>
      </w:r>
      <w:r>
        <w:t xml:space="preserve">(„Gift der im Staub Kriechenden" = Schlangen), </w:t>
      </w:r>
      <w:r>
        <w:rPr>
          <w:rStyle w:val="Fett"/>
          <w:rFonts w:eastAsiaTheme="majorEastAsia"/>
          <w:rtl/>
        </w:rPr>
        <w:t>חֶרֶב</w:t>
      </w:r>
      <w:r>
        <w:rPr>
          <w:rtl/>
        </w:rPr>
        <w:t xml:space="preserve"> </w:t>
      </w:r>
      <w:r>
        <w:t xml:space="preserve">(„Schwert"), </w:t>
      </w:r>
      <w:r>
        <w:rPr>
          <w:rStyle w:val="Fett"/>
          <w:rFonts w:eastAsiaTheme="majorEastAsia"/>
          <w:rtl/>
        </w:rPr>
        <w:t>אֵימָה</w:t>
      </w:r>
      <w:r>
        <w:rPr>
          <w:rtl/>
        </w:rPr>
        <w:t xml:space="preserve"> </w:t>
      </w:r>
      <w:r>
        <w:t xml:space="preserve">(„Schrecken"). Alle Altersgruppen betroffen: </w:t>
      </w:r>
      <w:r>
        <w:rPr>
          <w:rStyle w:val="Fett"/>
          <w:rFonts w:eastAsiaTheme="majorEastAsia"/>
          <w:rtl/>
        </w:rPr>
        <w:t>בָּחוּר</w:t>
      </w:r>
      <w:r>
        <w:rPr>
          <w:rtl/>
        </w:rPr>
        <w:t xml:space="preserve"> </w:t>
      </w:r>
      <w:r>
        <w:t xml:space="preserve">(„Jüngling"), </w:t>
      </w:r>
      <w:r>
        <w:rPr>
          <w:rStyle w:val="Fett"/>
          <w:rFonts w:eastAsiaTheme="majorEastAsia"/>
          <w:rtl/>
        </w:rPr>
        <w:t>בְּתוּלָה</w:t>
      </w:r>
      <w:r>
        <w:rPr>
          <w:rtl/>
        </w:rPr>
        <w:t xml:space="preserve"> </w:t>
      </w:r>
      <w:r>
        <w:t xml:space="preserve">(„Jungfrau"), </w:t>
      </w:r>
      <w:r>
        <w:rPr>
          <w:rStyle w:val="Fett"/>
          <w:rFonts w:eastAsiaTheme="majorEastAsia"/>
          <w:rtl/>
        </w:rPr>
        <w:t>יוֹנֵק</w:t>
      </w:r>
      <w:r>
        <w:rPr>
          <w:rtl/>
        </w:rPr>
        <w:t xml:space="preserve"> </w:t>
      </w:r>
      <w:r>
        <w:t xml:space="preserve">(„Säugling"), </w:t>
      </w:r>
      <w:r>
        <w:rPr>
          <w:rStyle w:val="Fett"/>
          <w:rFonts w:eastAsiaTheme="majorEastAsia"/>
          <w:rtl/>
        </w:rPr>
        <w:t>אִישׁ שֵׂיבָה</w:t>
      </w:r>
      <w:r>
        <w:rPr>
          <w:rtl/>
        </w:rPr>
        <w:t xml:space="preserve"> </w:t>
      </w:r>
      <w:r>
        <w:t>(„greiser Mann").</w:t>
      </w:r>
    </w:p>
    <w:p w14:paraId="2B24A528" w14:textId="6496BFEC" w:rsidR="000115C1" w:rsidRDefault="000115C1" w:rsidP="00EE5F59">
      <w:pPr>
        <w:pStyle w:val="whitespace-normal"/>
      </w:pPr>
      <w:r>
        <w:rPr>
          <w:rStyle w:val="Fett"/>
        </w:rPr>
        <w:t>Die LXX</w:t>
      </w:r>
      <w:r>
        <w:t xml:space="preserve"> übersetzt </w:t>
      </w:r>
      <w:r>
        <w:rPr>
          <w:rtl/>
        </w:rPr>
        <w:t>מְזֵי רָעָב</w:t>
      </w:r>
      <w:r>
        <w:t xml:space="preserve"> (ausgemergelt vom Hunger) mit </w:t>
      </w:r>
      <w:proofErr w:type="spellStart"/>
      <w:r>
        <w:t>τηκόμενοι</w:t>
      </w:r>
      <w:proofErr w:type="spellEnd"/>
      <w:r>
        <w:t xml:space="preserve"> </w:t>
      </w:r>
      <w:proofErr w:type="spellStart"/>
      <w:r>
        <w:t>λιμῷ</w:t>
      </w:r>
      <w:proofErr w:type="spellEnd"/>
      <w:r>
        <w:t xml:space="preserve"> (dahinschmelzend vom Hunger). Der Begriff </w:t>
      </w:r>
      <w:r>
        <w:rPr>
          <w:rtl/>
        </w:rPr>
        <w:t>לְחֻמֵי רֶשֶׁף</w:t>
      </w:r>
      <w:r>
        <w:t xml:space="preserve"> (verzehrt von der Glut/Pest) wird mit καὶ β</w:t>
      </w:r>
      <w:proofErr w:type="spellStart"/>
      <w:r>
        <w:t>ρώσει</w:t>
      </w:r>
      <w:proofErr w:type="spellEnd"/>
      <w:r>
        <w:t xml:space="preserve"> </w:t>
      </w:r>
      <w:proofErr w:type="spellStart"/>
      <w:r>
        <w:t>ὀρνέων</w:t>
      </w:r>
      <w:proofErr w:type="spellEnd"/>
      <w:r>
        <w:t xml:space="preserve"> (und vom Fraß der Vögel) übersetzt – eine völlig andere Interpretation. Das Wort </w:t>
      </w:r>
      <w:r>
        <w:rPr>
          <w:rtl/>
        </w:rPr>
        <w:t>קֶטֶב מְרִירִי</w:t>
      </w:r>
      <w:r>
        <w:t xml:space="preserve"> (bittere Pest) wird mit ὀπ</w:t>
      </w:r>
      <w:proofErr w:type="spellStart"/>
      <w:r>
        <w:t>ισθότονος</w:t>
      </w:r>
      <w:proofErr w:type="spellEnd"/>
      <w:r>
        <w:t xml:space="preserve"> </w:t>
      </w:r>
      <w:proofErr w:type="spellStart"/>
      <w:r>
        <w:t>ἀνί</w:t>
      </w:r>
      <w:proofErr w:type="spellEnd"/>
      <w:r>
        <w:t>ατος (unheilbarer Tetanus) übersetzt – eine spezifische medizinische Diagnose.</w:t>
      </w:r>
    </w:p>
    <w:p w14:paraId="2D6B80F5" w14:textId="77777777" w:rsidR="00EE5F59" w:rsidRDefault="00EE5F59" w:rsidP="00EE5F59">
      <w:pPr>
        <w:pStyle w:val="whitespace-normal"/>
      </w:pPr>
      <w:r>
        <w:rPr>
          <w:rStyle w:val="Fett"/>
          <w:rFonts w:eastAsiaTheme="majorEastAsia"/>
        </w:rPr>
        <w:t>V. 26-27:</w:t>
      </w:r>
      <w:r>
        <w:t xml:space="preserve"> Gott erwägt totale Vernichtung (</w:t>
      </w:r>
      <w:r>
        <w:rPr>
          <w:rStyle w:val="Fett"/>
          <w:rFonts w:eastAsiaTheme="majorEastAsia"/>
          <w:rtl/>
        </w:rPr>
        <w:t>אַפְאֵיהֶם</w:t>
      </w:r>
      <w:r>
        <w:rPr>
          <w:rtl/>
        </w:rPr>
        <w:t xml:space="preserve"> </w:t>
      </w:r>
      <w:r>
        <w:t xml:space="preserve">von </w:t>
      </w:r>
      <w:r>
        <w:rPr>
          <w:rStyle w:val="Fett"/>
          <w:rFonts w:eastAsiaTheme="majorEastAsia"/>
          <w:rtl/>
        </w:rPr>
        <w:t>פאה</w:t>
      </w:r>
      <w:r>
        <w:t xml:space="preserve">, „zerstreuen", </w:t>
      </w:r>
      <w:r>
        <w:rPr>
          <w:rStyle w:val="Fett"/>
          <w:rFonts w:eastAsiaTheme="majorEastAsia"/>
          <w:rtl/>
        </w:rPr>
        <w:t>אַשְׁבִּיתָה מֵאֱנוֹשׁ זִכְרָם</w:t>
      </w:r>
      <w:r>
        <w:t xml:space="preserve">, „ich will aufhören lassen von Menschen ihr Gedächtnis"), aber </w:t>
      </w:r>
      <w:r>
        <w:rPr>
          <w:rStyle w:val="Fett"/>
          <w:rFonts w:eastAsiaTheme="majorEastAsia"/>
        </w:rPr>
        <w:t>V. 27</w:t>
      </w:r>
      <w:r>
        <w:t xml:space="preserve"> gibt den Grund, warum </w:t>
      </w:r>
      <w:r>
        <w:lastRenderedPageBreak/>
        <w:t xml:space="preserve">er es nicht tut: </w:t>
      </w:r>
      <w:r>
        <w:rPr>
          <w:rStyle w:val="Fett"/>
          <w:rFonts w:eastAsiaTheme="majorEastAsia"/>
          <w:rtl/>
        </w:rPr>
        <w:t>לוּלֵי כַּעַס אוֹיֵב אָגוּר</w:t>
      </w:r>
      <w:r>
        <w:rPr>
          <w:rtl/>
        </w:rPr>
        <w:t xml:space="preserve"> </w:t>
      </w:r>
      <w:r>
        <w:t xml:space="preserve">(„wenn ich nicht fürchtete den Unmut des Feindes") – damit die Feinde nicht falsch deuten und sagen: </w:t>
      </w:r>
      <w:r>
        <w:rPr>
          <w:rStyle w:val="Fett"/>
          <w:rFonts w:eastAsiaTheme="majorEastAsia"/>
          <w:rtl/>
        </w:rPr>
        <w:t>יָדֵינוּ רָמָה</w:t>
      </w:r>
      <w:r>
        <w:rPr>
          <w:rtl/>
        </w:rPr>
        <w:t xml:space="preserve"> </w:t>
      </w:r>
      <w:r>
        <w:t>(„unsere Hand war erhaben") statt Gott die Ehre zu geben.</w:t>
      </w:r>
    </w:p>
    <w:p w14:paraId="103F1258" w14:textId="77777777" w:rsidR="00EE5F59" w:rsidRDefault="00EE5F59" w:rsidP="00EE5F59">
      <w:pPr>
        <w:pStyle w:val="whitespace-normal"/>
      </w:pPr>
      <w:r>
        <w:rPr>
          <w:rStyle w:val="Fett"/>
          <w:rFonts w:eastAsiaTheme="majorEastAsia"/>
        </w:rPr>
        <w:t>V. 28-29:</w:t>
      </w:r>
      <w:r>
        <w:t xml:space="preserve"> Kritik an Israels Feinden: </w:t>
      </w:r>
      <w:r>
        <w:rPr>
          <w:rStyle w:val="Fett"/>
          <w:rFonts w:eastAsiaTheme="majorEastAsia"/>
          <w:rtl/>
        </w:rPr>
        <w:t>גּוֹי אֹבַד עֵצוֹת הֵמָּה</w:t>
      </w:r>
      <w:r>
        <w:rPr>
          <w:rtl/>
        </w:rPr>
        <w:t xml:space="preserve"> </w:t>
      </w:r>
      <w:r>
        <w:t xml:space="preserve">(„eine Nation, die allen Rat verloren hat"), </w:t>
      </w:r>
      <w:r>
        <w:rPr>
          <w:rStyle w:val="Fett"/>
          <w:rFonts w:eastAsiaTheme="majorEastAsia"/>
          <w:rtl/>
        </w:rPr>
        <w:t>לוּ חָכְמוּ</w:t>
      </w:r>
      <w:r>
        <w:rPr>
          <w:rtl/>
        </w:rPr>
        <w:t xml:space="preserve"> </w:t>
      </w:r>
      <w:r>
        <w:t>(„wenn sie weise wären"), würden sie ihr eigenes Ende verstehen (</w:t>
      </w:r>
      <w:r>
        <w:rPr>
          <w:rStyle w:val="Fett"/>
          <w:rFonts w:eastAsiaTheme="majorEastAsia"/>
          <w:rtl/>
        </w:rPr>
        <w:t>יָבִינוּ לְאַחֲרִיתָם</w:t>
      </w:r>
      <w:r>
        <w:t>).</w:t>
      </w:r>
    </w:p>
    <w:p w14:paraId="5EAF7D8D" w14:textId="77777777" w:rsidR="00EE5F59" w:rsidRDefault="004F5CEB" w:rsidP="00EE5F59">
      <w:r>
        <w:rPr>
          <w:noProof/>
        </w:rPr>
        <w:pict w14:anchorId="6EA9BA2E">
          <v:rect id="_x0000_i1907" style="width:0;height:1.5pt" o:hralign="center" o:hrstd="t" o:hr="t" fillcolor="#a0a0a0" stroked="f"/>
        </w:pict>
      </w:r>
    </w:p>
    <w:p w14:paraId="0D708449" w14:textId="77777777" w:rsidR="00EE5F59" w:rsidRPr="00257FCB" w:rsidRDefault="00EE5F59" w:rsidP="00257FCB">
      <w:pPr>
        <w:pStyle w:val="Bibelberschrift"/>
        <w:rPr>
          <w:b w:val="0"/>
          <w:bCs/>
        </w:rPr>
      </w:pPr>
      <w:r w:rsidRPr="00257FCB">
        <w:rPr>
          <w:rStyle w:val="Fett"/>
          <w:b/>
          <w:bCs w:val="0"/>
        </w:rPr>
        <w:t>Deuteronomium 32,30-35</w:t>
      </w:r>
    </w:p>
    <w:p w14:paraId="308F93E0" w14:textId="63732592" w:rsidR="00EE5F59" w:rsidRDefault="00EE5F59" w:rsidP="00EE5F59">
      <w:pPr>
        <w:pStyle w:val="whitespace-normal"/>
      </w:pPr>
      <w:r>
        <w:rPr>
          <w:rStyle w:val="Fett"/>
          <w:rFonts w:eastAsiaTheme="majorEastAsia"/>
        </w:rPr>
        <w:t>V. 30-31:</w:t>
      </w:r>
      <w:r>
        <w:t xml:space="preserve"> Rhetorische Frage zeigt, dass nur Gottes Handeln Israels Niederlagen erklärt: </w:t>
      </w:r>
      <w:r>
        <w:rPr>
          <w:rStyle w:val="Fett"/>
          <w:rFonts w:eastAsiaTheme="majorEastAsia"/>
          <w:rtl/>
        </w:rPr>
        <w:t>אֵיכָה יִרְדֹּף אֶחָד אֶלֶף</w:t>
      </w:r>
      <w:r>
        <w:rPr>
          <w:rtl/>
        </w:rPr>
        <w:t xml:space="preserve"> </w:t>
      </w:r>
      <w:r>
        <w:t xml:space="preserve">(„wie könnte einer 1000 jagen") – nur weil </w:t>
      </w:r>
      <w:r>
        <w:rPr>
          <w:rStyle w:val="Fett"/>
          <w:rFonts w:eastAsiaTheme="majorEastAsia"/>
          <w:rtl/>
        </w:rPr>
        <w:t>צוּרָם מְכָרָם</w:t>
      </w:r>
      <w:r>
        <w:rPr>
          <w:rtl/>
        </w:rPr>
        <w:t xml:space="preserve"> </w:t>
      </w:r>
      <w:r>
        <w:t xml:space="preserve">(„ihr Fels sie verkauft hat"). </w:t>
      </w:r>
      <w:r>
        <w:rPr>
          <w:rStyle w:val="Fett"/>
          <w:rFonts w:eastAsiaTheme="majorEastAsia"/>
        </w:rPr>
        <w:t>V. 31:</w:t>
      </w:r>
      <w:r>
        <w:t xml:space="preserve"> </w:t>
      </w:r>
      <w:r>
        <w:rPr>
          <w:rStyle w:val="Fett"/>
          <w:rFonts w:eastAsiaTheme="majorEastAsia"/>
          <w:rtl/>
        </w:rPr>
        <w:t>לֹא כְצוּרֵנוּ צוּרָם</w:t>
      </w:r>
      <w:r>
        <w:rPr>
          <w:rtl/>
        </w:rPr>
        <w:t xml:space="preserve"> </w:t>
      </w:r>
      <w:r>
        <w:t>(„nicht wie unser Fels ist ihr Fels") – selbst die Feinde erkennen dies.</w:t>
      </w:r>
    </w:p>
    <w:p w14:paraId="53752E93" w14:textId="213C8388" w:rsidR="000115C1" w:rsidRDefault="000115C1" w:rsidP="00EE5F59">
      <w:pPr>
        <w:pStyle w:val="whitespace-normal"/>
      </w:pPr>
      <w:r>
        <w:rPr>
          <w:rStyle w:val="Fett"/>
        </w:rPr>
        <w:t>Die LXX</w:t>
      </w:r>
      <w:r>
        <w:t xml:space="preserve"> fügt hinzu: </w:t>
      </w:r>
      <w:proofErr w:type="spellStart"/>
      <w:r>
        <w:t>οἱ</w:t>
      </w:r>
      <w:proofErr w:type="spellEnd"/>
      <w:r>
        <w:t xml:space="preserve"> </w:t>
      </w:r>
      <w:proofErr w:type="spellStart"/>
      <w:r>
        <w:t>δὲ</w:t>
      </w:r>
      <w:proofErr w:type="spellEnd"/>
      <w:r>
        <w:t xml:space="preserve"> </w:t>
      </w:r>
      <w:proofErr w:type="spellStart"/>
      <w:r>
        <w:t>ἐχθροὶ</w:t>
      </w:r>
      <w:proofErr w:type="spellEnd"/>
      <w:r>
        <w:t xml:space="preserve"> </w:t>
      </w:r>
      <w:proofErr w:type="spellStart"/>
      <w:r>
        <w:t>ἡμῶν</w:t>
      </w:r>
      <w:proofErr w:type="spellEnd"/>
      <w:r>
        <w:t xml:space="preserve"> </w:t>
      </w:r>
      <w:proofErr w:type="spellStart"/>
      <w:r>
        <w:t>ἀνόητοι</w:t>
      </w:r>
      <w:proofErr w:type="spellEnd"/>
      <w:r>
        <w:t xml:space="preserve"> (unsere Feinde aber sind unverständig) – eine Erweiterung, die im MT nicht vorhanden ist.</w:t>
      </w:r>
    </w:p>
    <w:p w14:paraId="0F28CA6D" w14:textId="77777777" w:rsidR="00EE5F59" w:rsidRDefault="00EE5F59" w:rsidP="00EE5F59">
      <w:pPr>
        <w:pStyle w:val="whitespace-normal"/>
      </w:pPr>
      <w:r>
        <w:rPr>
          <w:rStyle w:val="Fett"/>
          <w:rFonts w:eastAsiaTheme="majorEastAsia"/>
        </w:rPr>
        <w:t>V. 32-33:</w:t>
      </w:r>
      <w:r>
        <w:t xml:space="preserve"> Die Feinde werden mit Sodom/Gomorra verglichen: </w:t>
      </w:r>
      <w:r>
        <w:rPr>
          <w:rStyle w:val="Fett"/>
          <w:rFonts w:eastAsiaTheme="majorEastAsia"/>
          <w:rtl/>
        </w:rPr>
        <w:t>מִגֶּפֶן סְדֹם גַּפְנָם</w:t>
      </w:r>
      <w:r>
        <w:rPr>
          <w:rtl/>
        </w:rPr>
        <w:t xml:space="preserve"> </w:t>
      </w:r>
      <w:r>
        <w:t xml:space="preserve">(„von Sodoms Weinstock ist ihr Weinstock"), </w:t>
      </w:r>
      <w:r>
        <w:rPr>
          <w:rStyle w:val="Fett"/>
          <w:rFonts w:eastAsiaTheme="majorEastAsia"/>
          <w:rtl/>
        </w:rPr>
        <w:t>עִנְּבֵי־רוֹשׁ</w:t>
      </w:r>
      <w:r>
        <w:rPr>
          <w:rtl/>
        </w:rPr>
        <w:t xml:space="preserve"> </w:t>
      </w:r>
      <w:r>
        <w:t xml:space="preserve">(„Gifttrauben"), </w:t>
      </w:r>
      <w:r>
        <w:rPr>
          <w:rStyle w:val="Fett"/>
          <w:rFonts w:eastAsiaTheme="majorEastAsia"/>
          <w:rtl/>
        </w:rPr>
        <w:t>חֲמַת תַּנִּינִם יֵינָם</w:t>
      </w:r>
      <w:r>
        <w:rPr>
          <w:rtl/>
        </w:rPr>
        <w:t xml:space="preserve"> </w:t>
      </w:r>
      <w:r>
        <w:t xml:space="preserve">(„Gift der Drachen ist ihr Wein"), </w:t>
      </w:r>
      <w:r>
        <w:rPr>
          <w:rStyle w:val="Fett"/>
          <w:rFonts w:eastAsiaTheme="majorEastAsia"/>
          <w:rtl/>
        </w:rPr>
        <w:t>רֹאשׁ פְּתָנִים אַכְזָר</w:t>
      </w:r>
      <w:r>
        <w:rPr>
          <w:rtl/>
        </w:rPr>
        <w:t xml:space="preserve"> </w:t>
      </w:r>
      <w:r>
        <w:t>(„grausames Otterngift").</w:t>
      </w:r>
    </w:p>
    <w:p w14:paraId="2AEA671B" w14:textId="79120782" w:rsidR="00EE5F59" w:rsidRDefault="00EE5F59" w:rsidP="00EE5F59">
      <w:pPr>
        <w:pStyle w:val="whitespace-normal"/>
      </w:pPr>
      <w:r>
        <w:rPr>
          <w:rStyle w:val="Fett"/>
          <w:rFonts w:eastAsiaTheme="majorEastAsia"/>
        </w:rPr>
        <w:t>V. 34-35:</w:t>
      </w:r>
      <w:r>
        <w:t xml:space="preserve"> Gottes Vergeltung ist bereit: </w:t>
      </w:r>
      <w:r>
        <w:rPr>
          <w:rStyle w:val="Fett"/>
          <w:rFonts w:eastAsiaTheme="majorEastAsia"/>
          <w:rtl/>
        </w:rPr>
        <w:t>כָּמֻס עִמָּדִי חָתֻם בְּאוֹצְרֹתָי</w:t>
      </w:r>
      <w:r>
        <w:rPr>
          <w:rtl/>
        </w:rPr>
        <w:t xml:space="preserve"> </w:t>
      </w:r>
      <w:r>
        <w:t xml:space="preserve">(„aufbewahrt bei mir, versiegelt in meinen Schatzkammern"), </w:t>
      </w:r>
      <w:r>
        <w:rPr>
          <w:rStyle w:val="Fett"/>
          <w:rFonts w:eastAsiaTheme="majorEastAsia"/>
          <w:rtl/>
        </w:rPr>
        <w:t>לִי נָקָם וְשִׁלֵּם</w:t>
      </w:r>
      <w:r>
        <w:rPr>
          <w:rtl/>
        </w:rPr>
        <w:t xml:space="preserve"> </w:t>
      </w:r>
      <w:r>
        <w:t xml:space="preserve">(„mein ist Rache und Vergeltung") – berühmter Vers, zitiert in Röm 12,19; Hebr 10,30. </w:t>
      </w:r>
      <w:r>
        <w:rPr>
          <w:rStyle w:val="Fett"/>
          <w:rFonts w:eastAsiaTheme="majorEastAsia"/>
          <w:rtl/>
        </w:rPr>
        <w:t>לְעֵת תָּמוּט רַגְלָם</w:t>
      </w:r>
      <w:r>
        <w:rPr>
          <w:rtl/>
        </w:rPr>
        <w:t xml:space="preserve"> </w:t>
      </w:r>
      <w:r>
        <w:t xml:space="preserve">(„zur Zeit, da ihr Fuß wankt"), </w:t>
      </w:r>
      <w:r>
        <w:rPr>
          <w:rStyle w:val="Fett"/>
          <w:rFonts w:eastAsiaTheme="majorEastAsia"/>
          <w:rtl/>
        </w:rPr>
        <w:t>כִּי קָרוֹב יוֹם אֵידָם</w:t>
      </w:r>
      <w:r>
        <w:rPr>
          <w:rtl/>
        </w:rPr>
        <w:t xml:space="preserve"> </w:t>
      </w:r>
      <w:r>
        <w:t>(„denn nahe ist der Tag ihres Verderbens").</w:t>
      </w:r>
    </w:p>
    <w:p w14:paraId="43B6FCEA" w14:textId="7B28DD31" w:rsidR="000115C1" w:rsidRDefault="000115C1" w:rsidP="00EE5F59">
      <w:pPr>
        <w:pStyle w:val="whitespace-normal"/>
      </w:pPr>
      <w:r>
        <w:rPr>
          <w:rStyle w:val="Fett"/>
        </w:rPr>
        <w:t>Die LXX</w:t>
      </w:r>
      <w:r>
        <w:t xml:space="preserve"> übersetzt </w:t>
      </w:r>
      <w:r>
        <w:rPr>
          <w:rtl/>
        </w:rPr>
        <w:t>לִי נָקָם וְשִׁלֵּם</w:t>
      </w:r>
      <w:r>
        <w:t xml:space="preserve"> (Mein ist die Rache und die Vergeltung) – dieser Vers wird im Neuen Testament zitiert (Röm 12,19; Hebr 10,30).</w:t>
      </w:r>
    </w:p>
    <w:p w14:paraId="7D82306D" w14:textId="77777777" w:rsidR="00EE5F59" w:rsidRDefault="004F5CEB" w:rsidP="00EE5F59">
      <w:r>
        <w:rPr>
          <w:noProof/>
        </w:rPr>
        <w:pict w14:anchorId="00587259">
          <v:rect id="_x0000_i1908" style="width:0;height:1.5pt" o:hralign="center" o:hrstd="t" o:hr="t" fillcolor="#a0a0a0" stroked="f"/>
        </w:pict>
      </w:r>
    </w:p>
    <w:p w14:paraId="0688B997" w14:textId="77777777" w:rsidR="00EE5F59" w:rsidRPr="00257FCB" w:rsidRDefault="00EE5F59" w:rsidP="00257FCB">
      <w:pPr>
        <w:pStyle w:val="Bibelberschrift"/>
        <w:rPr>
          <w:b w:val="0"/>
          <w:bCs/>
        </w:rPr>
      </w:pPr>
      <w:r w:rsidRPr="00257FCB">
        <w:rPr>
          <w:rStyle w:val="Fett"/>
          <w:b/>
          <w:bCs w:val="0"/>
        </w:rPr>
        <w:t>Deuteronomium 32,36-39</w:t>
      </w:r>
    </w:p>
    <w:p w14:paraId="46449039" w14:textId="1317575E" w:rsidR="00EE5F59" w:rsidRDefault="00EE5F59" w:rsidP="00EE5F59">
      <w:pPr>
        <w:pStyle w:val="whitespace-normal"/>
      </w:pPr>
      <w:r>
        <w:rPr>
          <w:rStyle w:val="Fett"/>
          <w:rFonts w:eastAsiaTheme="majorEastAsia"/>
        </w:rPr>
        <w:t>V. 36:</w:t>
      </w:r>
      <w:r>
        <w:t xml:space="preserve"> Der Wendepunkt – Gott wendet sich Israel wieder zu: </w:t>
      </w:r>
      <w:r>
        <w:rPr>
          <w:rStyle w:val="Fett"/>
          <w:rFonts w:eastAsiaTheme="majorEastAsia"/>
          <w:rtl/>
        </w:rPr>
        <w:t>כִּי־יָדִין יְהוָה עַמּוֹ</w:t>
      </w:r>
      <w:r>
        <w:rPr>
          <w:rtl/>
        </w:rPr>
        <w:t xml:space="preserve"> </w:t>
      </w:r>
      <w:r>
        <w:t xml:space="preserve">(„denn richten wird </w:t>
      </w:r>
      <w:r w:rsidR="00272EAD">
        <w:t>JHWH</w:t>
      </w:r>
      <w:r>
        <w:t xml:space="preserve"> sein Volk") – hier positiv im Sinne von „Recht schaffen". </w:t>
      </w:r>
      <w:r>
        <w:rPr>
          <w:rStyle w:val="Fett"/>
          <w:rFonts w:eastAsiaTheme="majorEastAsia"/>
          <w:rtl/>
        </w:rPr>
        <w:t>וְעַל־עֲבָדָיו יִתְנֶחָם</w:t>
      </w:r>
      <w:r>
        <w:rPr>
          <w:rtl/>
        </w:rPr>
        <w:t xml:space="preserve"> </w:t>
      </w:r>
      <w:r>
        <w:t xml:space="preserve">(„und über seine Knechte wird er sich erbarmen"). </w:t>
      </w:r>
      <w:r>
        <w:rPr>
          <w:rStyle w:val="Fett"/>
          <w:rFonts w:eastAsiaTheme="majorEastAsia"/>
          <w:rtl/>
        </w:rPr>
        <w:t>כִּי יִרְאֶה כִּי־אָזְלַת יָד</w:t>
      </w:r>
      <w:r>
        <w:rPr>
          <w:rtl/>
        </w:rPr>
        <w:t xml:space="preserve"> </w:t>
      </w:r>
      <w:r>
        <w:t xml:space="preserve">(„wenn er sieht, dass geschwunden ist die Kraft"), </w:t>
      </w:r>
      <w:r>
        <w:rPr>
          <w:rStyle w:val="Fett"/>
          <w:rFonts w:eastAsiaTheme="majorEastAsia"/>
          <w:rtl/>
        </w:rPr>
        <w:t>וְאֶפֶס עָצוּר וְעָזוּב</w:t>
      </w:r>
      <w:r>
        <w:rPr>
          <w:rtl/>
        </w:rPr>
        <w:t xml:space="preserve"> </w:t>
      </w:r>
      <w:r>
        <w:t>(„und dahin ist der Gebundene und der Freie" – ein Merismus für „alle").</w:t>
      </w:r>
    </w:p>
    <w:p w14:paraId="1A25AE0D" w14:textId="760D6D96" w:rsidR="000115C1" w:rsidRDefault="000115C1" w:rsidP="00EE5F59">
      <w:pPr>
        <w:pStyle w:val="whitespace-normal"/>
      </w:pPr>
      <w:r>
        <w:rPr>
          <w:rStyle w:val="Fett"/>
        </w:rPr>
        <w:t>Die LXX</w:t>
      </w:r>
      <w:r>
        <w:t xml:space="preserve"> übersetzt </w:t>
      </w:r>
      <w:r>
        <w:rPr>
          <w:rtl/>
        </w:rPr>
        <w:t>יִתְנֶחָם</w:t>
      </w:r>
      <w:r>
        <w:t xml:space="preserve"> (er wird Mitleid haben) mit παρα</w:t>
      </w:r>
      <w:proofErr w:type="spellStart"/>
      <w:r>
        <w:t>κληθήσετ</w:t>
      </w:r>
      <w:proofErr w:type="spellEnd"/>
      <w:r>
        <w:t xml:space="preserve">αι (er wird getröstet werden/Mitleid haben). Die Wendung </w:t>
      </w:r>
      <w:r>
        <w:rPr>
          <w:rtl/>
        </w:rPr>
        <w:t>אָזְלַת יָד</w:t>
      </w:r>
      <w:r>
        <w:t xml:space="preserve"> (die Hand ist erschöpft) wird mit παρα</w:t>
      </w:r>
      <w:proofErr w:type="spellStart"/>
      <w:r>
        <w:t>λελυμένους</w:t>
      </w:r>
      <w:proofErr w:type="spellEnd"/>
      <w:r>
        <w:t xml:space="preserve"> (gelähmt) übersetzt.</w:t>
      </w:r>
    </w:p>
    <w:p w14:paraId="4F5DC7A7" w14:textId="77777777" w:rsidR="00EE5F59" w:rsidRDefault="00EE5F59" w:rsidP="00EE5F59">
      <w:pPr>
        <w:pStyle w:val="whitespace-normal"/>
      </w:pPr>
      <w:r>
        <w:rPr>
          <w:rStyle w:val="Fett"/>
          <w:rFonts w:eastAsiaTheme="majorEastAsia"/>
        </w:rPr>
        <w:lastRenderedPageBreak/>
        <w:t>V. 37-38:</w:t>
      </w:r>
      <w:r>
        <w:t xml:space="preserve"> Spöttische Fragen über die Götzen: </w:t>
      </w:r>
      <w:r>
        <w:rPr>
          <w:rStyle w:val="Fett"/>
          <w:rFonts w:eastAsiaTheme="majorEastAsia"/>
          <w:rtl/>
        </w:rPr>
        <w:t>אֵי אֱלֹהֵימוֹ צוּר חָסָיוּ בוֹ</w:t>
      </w:r>
      <w:r>
        <w:rPr>
          <w:rtl/>
        </w:rPr>
        <w:t xml:space="preserve"> </w:t>
      </w:r>
      <w:r>
        <w:t xml:space="preserve">(„wo sind ihre Götter, der Fels, bei dem sie Zuflucht suchten?"), </w:t>
      </w:r>
      <w:r>
        <w:rPr>
          <w:rStyle w:val="Fett"/>
          <w:rFonts w:eastAsiaTheme="majorEastAsia"/>
          <w:rtl/>
        </w:rPr>
        <w:t>אֲשֶׁר חֵלֶב זְבָחֵימוֹ יֹאכֵלוּ</w:t>
      </w:r>
      <w:r>
        <w:rPr>
          <w:rtl/>
        </w:rPr>
        <w:t xml:space="preserve"> </w:t>
      </w:r>
      <w:r>
        <w:t xml:space="preserve">(„die das Fett ihrer Opfer aßen"). Ironische Aufforderung: </w:t>
      </w:r>
      <w:r>
        <w:rPr>
          <w:rStyle w:val="Fett"/>
          <w:rFonts w:eastAsiaTheme="majorEastAsia"/>
          <w:rtl/>
        </w:rPr>
        <w:t>יָקוּמוּ וְיַעְזְרֻכֶם</w:t>
      </w:r>
      <w:r>
        <w:rPr>
          <w:rtl/>
        </w:rPr>
        <w:t xml:space="preserve"> </w:t>
      </w:r>
      <w:r>
        <w:t>(„sie mögen aufstehen und euch helfen") – natürlich können sie es nicht.</w:t>
      </w:r>
    </w:p>
    <w:p w14:paraId="5BC12F8D" w14:textId="0615C6B1" w:rsidR="00EE5F59" w:rsidRDefault="00EE5F59" w:rsidP="00EE5F59">
      <w:pPr>
        <w:pStyle w:val="whitespace-normal"/>
      </w:pPr>
      <w:r>
        <w:rPr>
          <w:rStyle w:val="Fett"/>
          <w:rFonts w:eastAsiaTheme="majorEastAsia"/>
        </w:rPr>
        <w:t>V. 39:</w:t>
      </w:r>
      <w:r>
        <w:t xml:space="preserve"> Der großartige monotheistische Höhepunkt: </w:t>
      </w:r>
      <w:r>
        <w:rPr>
          <w:rStyle w:val="Fett"/>
          <w:rFonts w:eastAsiaTheme="majorEastAsia"/>
          <w:rtl/>
        </w:rPr>
        <w:t>רְאוּ עַתָּה כִּי אֲנִי אֲנִי הוּא</w:t>
      </w:r>
      <w:r>
        <w:rPr>
          <w:rtl/>
        </w:rPr>
        <w:t xml:space="preserve"> </w:t>
      </w:r>
      <w:r>
        <w:t xml:space="preserve">(„seht nun, dass ich, ich es bin"), </w:t>
      </w:r>
      <w:r>
        <w:rPr>
          <w:rStyle w:val="Fett"/>
          <w:rFonts w:eastAsiaTheme="majorEastAsia"/>
          <w:rtl/>
        </w:rPr>
        <w:t>וְאֵין אֱלֹהִים עִמָּדִי</w:t>
      </w:r>
      <w:r>
        <w:rPr>
          <w:rtl/>
        </w:rPr>
        <w:t xml:space="preserve"> </w:t>
      </w:r>
      <w:r>
        <w:t xml:space="preserve">(„und kein Gott ist neben mir"). Vier souveräne Handlungen: </w:t>
      </w:r>
      <w:r>
        <w:rPr>
          <w:rStyle w:val="Fett"/>
          <w:rFonts w:eastAsiaTheme="majorEastAsia"/>
          <w:rtl/>
        </w:rPr>
        <w:t>אֲנִי אָמִית וַאֲחַיֶּה</w:t>
      </w:r>
      <w:r>
        <w:rPr>
          <w:rtl/>
        </w:rPr>
        <w:t xml:space="preserve"> </w:t>
      </w:r>
      <w:r>
        <w:t xml:space="preserve">(„ich töte und ich mache lebendig"), </w:t>
      </w:r>
      <w:r>
        <w:rPr>
          <w:rStyle w:val="Fett"/>
          <w:rFonts w:eastAsiaTheme="majorEastAsia"/>
          <w:rtl/>
        </w:rPr>
        <w:t>מָחַצְתִּי וַאֲנִי אֶרְפָּא</w:t>
      </w:r>
      <w:r>
        <w:rPr>
          <w:rtl/>
        </w:rPr>
        <w:t xml:space="preserve"> </w:t>
      </w:r>
      <w:r>
        <w:t xml:space="preserve">(„ich zerschlage und ich heile"), </w:t>
      </w:r>
      <w:r>
        <w:rPr>
          <w:rStyle w:val="Fett"/>
          <w:rFonts w:eastAsiaTheme="majorEastAsia"/>
          <w:rtl/>
        </w:rPr>
        <w:t>וְאֵין מִיָּדִי מַצִּיל</w:t>
      </w:r>
      <w:r>
        <w:rPr>
          <w:rtl/>
        </w:rPr>
        <w:t xml:space="preserve"> </w:t>
      </w:r>
      <w:r>
        <w:t>(„und niemand errettet aus meiner Hand").</w:t>
      </w:r>
    </w:p>
    <w:p w14:paraId="1D4A24EB" w14:textId="6604DFC0" w:rsidR="00EE5F59" w:rsidRDefault="000115C1" w:rsidP="00F63EA3">
      <w:pPr>
        <w:pStyle w:val="whitespace-normal"/>
      </w:pPr>
      <w:r>
        <w:rPr>
          <w:rStyle w:val="Fett"/>
        </w:rPr>
        <w:t>Die LXX</w:t>
      </w:r>
      <w:r>
        <w:t xml:space="preserve"> übersetzt </w:t>
      </w:r>
      <w:r>
        <w:rPr>
          <w:rtl/>
        </w:rPr>
        <w:t>אֲנִי אֲנִי הוּא</w:t>
      </w:r>
      <w:r>
        <w:t xml:space="preserve"> (Ich, Ich bin er) mit </w:t>
      </w:r>
      <w:proofErr w:type="spellStart"/>
      <w:r>
        <w:t>ἐγώ</w:t>
      </w:r>
      <w:proofErr w:type="spellEnd"/>
      <w:r>
        <w:t xml:space="preserve"> </w:t>
      </w:r>
      <w:proofErr w:type="spellStart"/>
      <w:r>
        <w:t>εἰμι</w:t>
      </w:r>
      <w:proofErr w:type="spellEnd"/>
      <w:r>
        <w:t xml:space="preserve"> (Ich bin) – die berühmte Formel, die an das "Ich bin" aus Exodus 3,14 und </w:t>
      </w:r>
      <w:r w:rsidR="003933AB">
        <w:t xml:space="preserve">an den </w:t>
      </w:r>
      <w:r>
        <w:t>Jesus</w:t>
      </w:r>
      <w:r w:rsidR="003933AB">
        <w:t xml:space="preserve"> Christus aus Johannes</w:t>
      </w:r>
      <w:r>
        <w:t xml:space="preserve"> erinnert.</w:t>
      </w:r>
    </w:p>
    <w:p w14:paraId="4077060A" w14:textId="77777777" w:rsidR="00EE5F59" w:rsidRPr="00257FCB" w:rsidRDefault="00EE5F59" w:rsidP="00257FCB">
      <w:pPr>
        <w:pStyle w:val="Bibelberschrift"/>
        <w:rPr>
          <w:b w:val="0"/>
          <w:bCs/>
        </w:rPr>
      </w:pPr>
      <w:r w:rsidRPr="00257FCB">
        <w:rPr>
          <w:rStyle w:val="Fett"/>
          <w:b/>
          <w:bCs w:val="0"/>
        </w:rPr>
        <w:t>Deuteronomium 32,40-43</w:t>
      </w:r>
    </w:p>
    <w:p w14:paraId="312F9017" w14:textId="77777777" w:rsidR="00EE5F59" w:rsidRDefault="00EE5F59" w:rsidP="00EE5F59">
      <w:pPr>
        <w:pStyle w:val="whitespace-normal"/>
      </w:pPr>
      <w:r>
        <w:rPr>
          <w:rStyle w:val="Fett"/>
          <w:rFonts w:eastAsiaTheme="majorEastAsia"/>
        </w:rPr>
        <w:t>V. 40-42:</w:t>
      </w:r>
      <w:r>
        <w:t xml:space="preserve"> Gottes Schwur und Rache: </w:t>
      </w:r>
      <w:r>
        <w:rPr>
          <w:rStyle w:val="Fett"/>
          <w:rFonts w:eastAsiaTheme="majorEastAsia"/>
          <w:rtl/>
        </w:rPr>
        <w:t>אֶשָּׂא אֶל־שָׁמַיִם יָדִי</w:t>
      </w:r>
      <w:r>
        <w:rPr>
          <w:rtl/>
        </w:rPr>
        <w:t xml:space="preserve"> </w:t>
      </w:r>
      <w:r>
        <w:t xml:space="preserve">(„ich erhebe zum Himmel meine Hand") – Schwurgeste. </w:t>
      </w:r>
      <w:r>
        <w:rPr>
          <w:rStyle w:val="Fett"/>
          <w:rFonts w:eastAsiaTheme="majorEastAsia"/>
          <w:rtl/>
        </w:rPr>
        <w:t>חַי אָנֹכִי לְעֹלָם</w:t>
      </w:r>
      <w:r>
        <w:rPr>
          <w:rtl/>
        </w:rPr>
        <w:t xml:space="preserve"> </w:t>
      </w:r>
      <w:r>
        <w:t xml:space="preserve">(„so wahr ich ewig lebe"). </w:t>
      </w:r>
      <w:r>
        <w:rPr>
          <w:rStyle w:val="Fett"/>
          <w:rFonts w:eastAsiaTheme="majorEastAsia"/>
          <w:rtl/>
        </w:rPr>
        <w:t>אִם־שַׁנּוֹתִי בְּרַק חַרְבִּי</w:t>
      </w:r>
      <w:r>
        <w:rPr>
          <w:rtl/>
        </w:rPr>
        <w:t xml:space="preserve"> </w:t>
      </w:r>
      <w:r>
        <w:t xml:space="preserve">(„wenn ich schärfe mein blitzendes Schwert"), </w:t>
      </w:r>
      <w:r>
        <w:rPr>
          <w:rStyle w:val="Fett"/>
          <w:rFonts w:eastAsiaTheme="majorEastAsia"/>
          <w:rtl/>
        </w:rPr>
        <w:t>אָשִׁיב נָקָם לְצָרָי</w:t>
      </w:r>
      <w:r>
        <w:rPr>
          <w:rtl/>
        </w:rPr>
        <w:t xml:space="preserve"> </w:t>
      </w:r>
      <w:r>
        <w:t xml:space="preserve">(„ich werde erstatten Rache meinen Feinden"). </w:t>
      </w:r>
      <w:r>
        <w:rPr>
          <w:rStyle w:val="Fett"/>
          <w:rFonts w:eastAsiaTheme="majorEastAsia"/>
          <w:rtl/>
        </w:rPr>
        <w:t>אַשְׁכִּיר חִצַּי מִדָּם</w:t>
      </w:r>
      <w:r>
        <w:rPr>
          <w:rtl/>
        </w:rPr>
        <w:t xml:space="preserve"> </w:t>
      </w:r>
      <w:r>
        <w:t xml:space="preserve">(„ich werde berauschen meine Pfeile mit Blut"), </w:t>
      </w:r>
      <w:r>
        <w:rPr>
          <w:rStyle w:val="Fett"/>
          <w:rFonts w:eastAsiaTheme="majorEastAsia"/>
          <w:rtl/>
        </w:rPr>
        <w:t>וְחַרְבִּי תֹּאכַל בָּשָׂר</w:t>
      </w:r>
      <w:r>
        <w:rPr>
          <w:rtl/>
        </w:rPr>
        <w:t xml:space="preserve"> </w:t>
      </w:r>
      <w:r>
        <w:t>(„und mein Schwert wird fressen Fleisch").</w:t>
      </w:r>
    </w:p>
    <w:p w14:paraId="08B78FC3" w14:textId="6871FB83" w:rsidR="00EE5F59" w:rsidRDefault="00EE5F59" w:rsidP="00EE5F59">
      <w:pPr>
        <w:pStyle w:val="whitespace-normal"/>
      </w:pPr>
      <w:r>
        <w:rPr>
          <w:rStyle w:val="Fett"/>
          <w:rFonts w:eastAsiaTheme="majorEastAsia"/>
        </w:rPr>
        <w:t>V. 43:</w:t>
      </w:r>
      <w:r>
        <w:t xml:space="preserve"> Der abschließende Jubelruf: </w:t>
      </w:r>
      <w:r>
        <w:rPr>
          <w:rStyle w:val="Fett"/>
          <w:rFonts w:eastAsiaTheme="majorEastAsia"/>
          <w:rtl/>
        </w:rPr>
        <w:t>הַרְנִינוּ גוֹיִם עַמּוֹ</w:t>
      </w:r>
      <w:r>
        <w:rPr>
          <w:rtl/>
        </w:rPr>
        <w:t xml:space="preserve"> </w:t>
      </w:r>
      <w:r>
        <w:t xml:space="preserve">(„jubelt, ihr Völker, sein Volk!") – bemerkenswert, dass die Völker aufgefordert werden, mit Israel zu jubeln. </w:t>
      </w:r>
      <w:r>
        <w:rPr>
          <w:rStyle w:val="Fett"/>
          <w:rFonts w:eastAsiaTheme="majorEastAsia"/>
          <w:rtl/>
        </w:rPr>
        <w:t>כִּי דַם־עֲבָדָיו יִקּוֹם</w:t>
      </w:r>
      <w:r>
        <w:rPr>
          <w:rtl/>
        </w:rPr>
        <w:t xml:space="preserve"> </w:t>
      </w:r>
      <w:r>
        <w:t xml:space="preserve">(„denn er rächt das Blut seiner Knechte"), </w:t>
      </w:r>
      <w:r>
        <w:rPr>
          <w:rStyle w:val="Fett"/>
          <w:rFonts w:eastAsiaTheme="majorEastAsia"/>
          <w:rtl/>
        </w:rPr>
        <w:t>וְנָקָם יָשִׁיב לְצָרָיו</w:t>
      </w:r>
      <w:r>
        <w:rPr>
          <w:rtl/>
        </w:rPr>
        <w:t xml:space="preserve"> </w:t>
      </w:r>
      <w:r>
        <w:t xml:space="preserve">(„und Rache erstattet er seinen Feinden"), </w:t>
      </w:r>
      <w:r>
        <w:rPr>
          <w:rStyle w:val="Fett"/>
          <w:rFonts w:eastAsiaTheme="majorEastAsia"/>
          <w:rtl/>
        </w:rPr>
        <w:t>וְכִפֶּר אַדְמָתוֹ עַמּוֹ</w:t>
      </w:r>
      <w:r>
        <w:rPr>
          <w:rtl/>
        </w:rPr>
        <w:t xml:space="preserve"> </w:t>
      </w:r>
      <w:r>
        <w:t>(„und Sühne schafft er für sein Land, sein Volk") – das Lied endet mit Versöhnung und Sühne.</w:t>
      </w:r>
    </w:p>
    <w:p w14:paraId="7ED404DA" w14:textId="77777777" w:rsidR="000115C1" w:rsidRDefault="000115C1" w:rsidP="000115C1">
      <w:pPr>
        <w:pStyle w:val="font-claude-response-body"/>
      </w:pPr>
      <w:r>
        <w:rPr>
          <w:rStyle w:val="Fett"/>
          <w:rFonts w:eastAsiaTheme="majorEastAsia"/>
        </w:rPr>
        <w:t>MASSIVER UNTERSCHIED</w:t>
      </w:r>
      <w:r>
        <w:t>: Die LXX hat einen viel längeren und erweiterten Vers:</w:t>
      </w:r>
    </w:p>
    <w:p w14:paraId="26CB0CAB" w14:textId="77777777" w:rsidR="000115C1" w:rsidRDefault="000115C1" w:rsidP="000115C1">
      <w:pPr>
        <w:pStyle w:val="font-claude-response-body"/>
      </w:pPr>
      <w:r>
        <w:rPr>
          <w:rStyle w:val="Fett"/>
          <w:rFonts w:eastAsiaTheme="majorEastAsia"/>
        </w:rPr>
        <w:t>MT</w:t>
      </w:r>
      <w:r>
        <w:t>: "Jubelt, Nationen, sein Volk, denn er rächt das Blut seiner Knechte und erstattet Rache seinen Feinden und sühnt sein Land, sein Volk."</w:t>
      </w:r>
    </w:p>
    <w:p w14:paraId="56B1BE22" w14:textId="77777777" w:rsidR="000115C1" w:rsidRDefault="000115C1" w:rsidP="000115C1">
      <w:pPr>
        <w:pStyle w:val="font-claude-response-body"/>
      </w:pPr>
      <w:r>
        <w:rPr>
          <w:rStyle w:val="Fett"/>
          <w:rFonts w:eastAsiaTheme="majorEastAsia"/>
        </w:rPr>
        <w:t>LXX</w:t>
      </w:r>
      <w:r>
        <w:t xml:space="preserve"> fügt hinzu:</w:t>
      </w:r>
    </w:p>
    <w:p w14:paraId="7BD7F929" w14:textId="77777777" w:rsidR="000115C1" w:rsidRDefault="000115C1" w:rsidP="000115C1">
      <w:pPr>
        <w:pStyle w:val="whitespace-normal"/>
        <w:numPr>
          <w:ilvl w:val="0"/>
          <w:numId w:val="26"/>
        </w:numPr>
      </w:pPr>
      <w:r>
        <w:t>"Freut euch, Himmel, mit ihm"</w:t>
      </w:r>
    </w:p>
    <w:p w14:paraId="277E9FCB" w14:textId="77777777" w:rsidR="000115C1" w:rsidRDefault="000115C1" w:rsidP="000115C1">
      <w:pPr>
        <w:pStyle w:val="whitespace-normal"/>
        <w:numPr>
          <w:ilvl w:val="0"/>
          <w:numId w:val="26"/>
        </w:numPr>
      </w:pPr>
      <w:r>
        <w:t>"und alle Söhne Gottes sollen ihn anbeten"</w:t>
      </w:r>
    </w:p>
    <w:p w14:paraId="3FC4F900" w14:textId="77777777" w:rsidR="000115C1" w:rsidRDefault="000115C1" w:rsidP="000115C1">
      <w:pPr>
        <w:pStyle w:val="whitespace-normal"/>
        <w:numPr>
          <w:ilvl w:val="0"/>
          <w:numId w:val="26"/>
        </w:numPr>
      </w:pPr>
      <w:r>
        <w:t>"Freut euch, Völker, mit seinem Volk"</w:t>
      </w:r>
    </w:p>
    <w:p w14:paraId="02914F11" w14:textId="77777777" w:rsidR="000115C1" w:rsidRDefault="000115C1" w:rsidP="000115C1">
      <w:pPr>
        <w:pStyle w:val="whitespace-normal"/>
        <w:numPr>
          <w:ilvl w:val="0"/>
          <w:numId w:val="26"/>
        </w:numPr>
      </w:pPr>
      <w:r>
        <w:t>"und alle Engel Gottes sollen ihn stärken"</w:t>
      </w:r>
    </w:p>
    <w:p w14:paraId="0512D14F" w14:textId="21096421" w:rsidR="00EE5F59" w:rsidRDefault="000115C1" w:rsidP="00F63EA3">
      <w:pPr>
        <w:pStyle w:val="font-claude-response-body"/>
      </w:pPr>
      <w:r>
        <w:t>Diese Erweiterungen werden im Neuen Testament zitiert (Röm 15,10; Hebr 1,6). Die Qumran-Handschrift 4QDeut unterstützt teilweise die längere LXX-Version, was darauf hindeutet, dass die LXX hier eine ältere oder alternative hebräische Vorlage bewahrt hat.</w:t>
      </w:r>
    </w:p>
    <w:p w14:paraId="3DF47048" w14:textId="77777777" w:rsidR="00EE5F59" w:rsidRPr="00257FCB" w:rsidRDefault="00EE5F59" w:rsidP="00257FCB">
      <w:pPr>
        <w:pStyle w:val="Bibelberschrift"/>
        <w:rPr>
          <w:b w:val="0"/>
          <w:bCs/>
        </w:rPr>
      </w:pPr>
      <w:r w:rsidRPr="00257FCB">
        <w:rPr>
          <w:rStyle w:val="Fett"/>
          <w:b/>
          <w:bCs w:val="0"/>
        </w:rPr>
        <w:lastRenderedPageBreak/>
        <w:t>Deuteronomium 32,44-47 (Epilog Teil 1)</w:t>
      </w:r>
    </w:p>
    <w:p w14:paraId="658456EA" w14:textId="38935AF2" w:rsidR="00EE5F59" w:rsidRDefault="00EE5F59" w:rsidP="00EE5F59">
      <w:pPr>
        <w:pStyle w:val="whitespace-normal"/>
      </w:pPr>
      <w:r>
        <w:rPr>
          <w:rStyle w:val="Fett"/>
          <w:rFonts w:eastAsiaTheme="majorEastAsia"/>
        </w:rPr>
        <w:t>V. 44:</w:t>
      </w:r>
      <w:r>
        <w:t xml:space="preserve"> </w:t>
      </w:r>
      <w:r>
        <w:rPr>
          <w:rStyle w:val="Fett"/>
          <w:rFonts w:eastAsiaTheme="majorEastAsia"/>
          <w:rtl/>
        </w:rPr>
        <w:t>וַיָּבֹא מֹשֶׁה וַיְדַבֵּר אֶת־כָּל־דִּבְרֵי הַשִּׁירָה־הַזֹּאת בְּאָזְנֵי הָעָם הוּא וְהוֹשֵׁעַ בִּן־נוּן</w:t>
      </w:r>
      <w:r>
        <w:rPr>
          <w:rtl/>
        </w:rPr>
        <w:t xml:space="preserve"> </w:t>
      </w:r>
      <w:r>
        <w:t xml:space="preserve">(„und Mosche kam und redete alle Worte dieses Liedes vor den Ohren des Volkes, er und Hoschea, der Sohn Nuns"). </w:t>
      </w:r>
      <w:r>
        <w:rPr>
          <w:rStyle w:val="Fett"/>
          <w:rFonts w:eastAsiaTheme="majorEastAsia"/>
          <w:rtl/>
        </w:rPr>
        <w:t>הוֹשֵׁעַ</w:t>
      </w:r>
      <w:r>
        <w:rPr>
          <w:rtl/>
        </w:rPr>
        <w:t xml:space="preserve"> </w:t>
      </w:r>
      <w:r>
        <w:t xml:space="preserve">ist die ursprüngliche Form von </w:t>
      </w:r>
      <w:r>
        <w:rPr>
          <w:rStyle w:val="Fett"/>
          <w:rFonts w:eastAsiaTheme="majorEastAsia"/>
          <w:rtl/>
        </w:rPr>
        <w:t>יְהוֹשֻׁעַ</w:t>
      </w:r>
      <w:r>
        <w:rPr>
          <w:rtl/>
        </w:rPr>
        <w:t xml:space="preserve"> </w:t>
      </w:r>
      <w:r>
        <w:t>(Josua), vgl. Num 13,8.16.</w:t>
      </w:r>
    </w:p>
    <w:p w14:paraId="0814C4BE" w14:textId="5B493547" w:rsidR="000115C1" w:rsidRDefault="000115C1" w:rsidP="00EE5F59">
      <w:pPr>
        <w:pStyle w:val="whitespace-normal"/>
      </w:pPr>
      <w:r>
        <w:rPr>
          <w:rStyle w:val="Fett"/>
        </w:rPr>
        <w:t>Die LXX</w:t>
      </w:r>
      <w:r>
        <w:t xml:space="preserve"> kombiniert diesen Vers mit Material aus Kapitel 31 und fügt hinzu: καὶ </w:t>
      </w:r>
      <w:proofErr w:type="spellStart"/>
      <w:r>
        <w:t>εἰσῆλθεν</w:t>
      </w:r>
      <w:proofErr w:type="spellEnd"/>
      <w:r>
        <w:t xml:space="preserve"> Μωυσῆς καὶ </w:t>
      </w:r>
      <w:proofErr w:type="spellStart"/>
      <w:r>
        <w:t>ἐλάλησεν</w:t>
      </w:r>
      <w:proofErr w:type="spellEnd"/>
      <w:r>
        <w:t xml:space="preserve"> (und Mose ging hinein und sprach).</w:t>
      </w:r>
    </w:p>
    <w:p w14:paraId="21074A44" w14:textId="77777777" w:rsidR="00EE5F59" w:rsidRDefault="00EE5F59" w:rsidP="00EE5F59">
      <w:pPr>
        <w:pStyle w:val="whitespace-normal"/>
      </w:pPr>
      <w:r>
        <w:rPr>
          <w:rStyle w:val="Fett"/>
          <w:rFonts w:eastAsiaTheme="majorEastAsia"/>
        </w:rPr>
        <w:t>V. 45:</w:t>
      </w:r>
      <w:r>
        <w:t xml:space="preserve"> </w:t>
      </w:r>
      <w:r>
        <w:rPr>
          <w:rStyle w:val="Fett"/>
          <w:rFonts w:eastAsiaTheme="majorEastAsia"/>
          <w:rtl/>
        </w:rPr>
        <w:t>וַיְכַל מֹשֶׁה לְדַבֵּר אֶת־כָּל־הַדְּבָרִים הָאֵלֶּה אֶל־כָּל־יִשְׂרָאֵל</w:t>
      </w:r>
      <w:r>
        <w:rPr>
          <w:rtl/>
        </w:rPr>
        <w:t xml:space="preserve"> </w:t>
      </w:r>
      <w:r>
        <w:t>(„und Mosche vollendete zu reden alle diese Worte zu ganz Israel").</w:t>
      </w:r>
    </w:p>
    <w:p w14:paraId="2FB8E4D3" w14:textId="5F2A75A8" w:rsidR="00EE5F59" w:rsidRDefault="00EE5F59" w:rsidP="00EE5F59">
      <w:pPr>
        <w:pStyle w:val="whitespace-normal"/>
      </w:pPr>
      <w:r>
        <w:rPr>
          <w:rStyle w:val="Fett"/>
          <w:rFonts w:eastAsiaTheme="majorEastAsia"/>
        </w:rPr>
        <w:t>V. 46-47:</w:t>
      </w:r>
      <w:r>
        <w:t xml:space="preserve"> Moses eindringliche Ermahnung: </w:t>
      </w:r>
      <w:r>
        <w:rPr>
          <w:rStyle w:val="Fett"/>
          <w:rFonts w:eastAsiaTheme="majorEastAsia"/>
          <w:rtl/>
        </w:rPr>
        <w:t>שִׂימוּ לְבַבְכֶם לְכָל־הַדְּבָרִים</w:t>
      </w:r>
      <w:r>
        <w:rPr>
          <w:rtl/>
        </w:rPr>
        <w:t xml:space="preserve"> </w:t>
      </w:r>
      <w:r>
        <w:t xml:space="preserve">(„richtet euer Herz auf alle Worte"), </w:t>
      </w:r>
      <w:r>
        <w:rPr>
          <w:rStyle w:val="Fett"/>
          <w:rFonts w:eastAsiaTheme="majorEastAsia"/>
          <w:rtl/>
        </w:rPr>
        <w:t>אֲשֶׁר אָנֹכִי מֵעִיד בָּכֶם הַיּוֹם</w:t>
      </w:r>
      <w:r>
        <w:rPr>
          <w:rtl/>
        </w:rPr>
        <w:t xml:space="preserve"> </w:t>
      </w:r>
      <w:r>
        <w:t xml:space="preserve">(„die ich euch heute bezeuge"), </w:t>
      </w:r>
      <w:r>
        <w:rPr>
          <w:rStyle w:val="Fett"/>
          <w:rFonts w:eastAsiaTheme="majorEastAsia"/>
          <w:rtl/>
        </w:rPr>
        <w:t>אֲשֶׁר תְּצַוֻּם אֶת־בְּנֵיכֶם</w:t>
      </w:r>
      <w:r>
        <w:rPr>
          <w:rtl/>
        </w:rPr>
        <w:t xml:space="preserve"> </w:t>
      </w:r>
      <w:r>
        <w:t xml:space="preserve">(„damit ihr sie euren Kindern befehlt"), </w:t>
      </w:r>
      <w:r>
        <w:rPr>
          <w:rStyle w:val="Fett"/>
          <w:rFonts w:eastAsiaTheme="majorEastAsia"/>
          <w:rtl/>
        </w:rPr>
        <w:t>לִשְׁמֹר לַעֲשׂוֹת אֶת־כָּל־דִּבְרֵי הַתּוֹרָה הַזֹּאת</w:t>
      </w:r>
      <w:r>
        <w:rPr>
          <w:rtl/>
        </w:rPr>
        <w:t xml:space="preserve"> </w:t>
      </w:r>
      <w:r>
        <w:t xml:space="preserve">(„zu bewahren, zu tun alle Worte dieser </w:t>
      </w:r>
      <w:r w:rsidR="006D3FED">
        <w:t>Torah</w:t>
      </w:r>
      <w:r>
        <w:t xml:space="preserve">"). </w:t>
      </w:r>
      <w:r>
        <w:rPr>
          <w:rStyle w:val="Fett"/>
          <w:rFonts w:eastAsiaTheme="majorEastAsia"/>
        </w:rPr>
        <w:t>V. 47:</w:t>
      </w:r>
      <w:r>
        <w:t xml:space="preserve"> </w:t>
      </w:r>
      <w:r>
        <w:rPr>
          <w:rStyle w:val="Fett"/>
          <w:rFonts w:eastAsiaTheme="majorEastAsia"/>
          <w:rtl/>
        </w:rPr>
        <w:t>כִּי לֹא־דָבָר רֵק הוּא מִכֶּם</w:t>
      </w:r>
      <w:r>
        <w:rPr>
          <w:rtl/>
        </w:rPr>
        <w:t xml:space="preserve"> </w:t>
      </w:r>
      <w:r>
        <w:t xml:space="preserve">(„denn es ist nicht ein leeres Wort für euch"), </w:t>
      </w:r>
      <w:r>
        <w:rPr>
          <w:rStyle w:val="Fett"/>
          <w:rFonts w:eastAsiaTheme="majorEastAsia"/>
          <w:rtl/>
        </w:rPr>
        <w:t>כִּי־הוּא חַיֵּיכֶם</w:t>
      </w:r>
      <w:r>
        <w:rPr>
          <w:rtl/>
        </w:rPr>
        <w:t xml:space="preserve"> </w:t>
      </w:r>
      <w:r>
        <w:t xml:space="preserve">(„sondern es ist euer Leben") – wie 30,20. </w:t>
      </w:r>
      <w:r>
        <w:rPr>
          <w:rStyle w:val="Fett"/>
          <w:rFonts w:eastAsiaTheme="majorEastAsia"/>
          <w:rtl/>
        </w:rPr>
        <w:t>וּבַדָּבָר הַזֶּה תַּאֲרִיכוּ יָמִים עַל־הָאֲדָמָה</w:t>
      </w:r>
      <w:r>
        <w:rPr>
          <w:rtl/>
        </w:rPr>
        <w:t xml:space="preserve"> </w:t>
      </w:r>
      <w:r>
        <w:t>(„und durch dieses Wort werdet ihr verlängern Tage auf dem Land").</w:t>
      </w:r>
    </w:p>
    <w:p w14:paraId="632F4F7D" w14:textId="77777777" w:rsidR="00EE5F59" w:rsidRDefault="004F5CEB" w:rsidP="00EE5F59">
      <w:r>
        <w:rPr>
          <w:noProof/>
        </w:rPr>
        <w:pict w14:anchorId="030A23F9">
          <v:rect id="_x0000_i1909" style="width:0;height:1.5pt" o:hralign="center" o:hrstd="t" o:hr="t" fillcolor="#a0a0a0" stroked="f"/>
        </w:pict>
      </w:r>
    </w:p>
    <w:p w14:paraId="29094A46" w14:textId="77777777" w:rsidR="00EE5F59" w:rsidRPr="00257FCB" w:rsidRDefault="00EE5F59" w:rsidP="00257FCB">
      <w:pPr>
        <w:pStyle w:val="Bibelberschrift"/>
        <w:rPr>
          <w:b w:val="0"/>
          <w:bCs/>
        </w:rPr>
      </w:pPr>
      <w:r w:rsidRPr="00257FCB">
        <w:rPr>
          <w:rStyle w:val="Fett"/>
          <w:b/>
          <w:bCs w:val="0"/>
        </w:rPr>
        <w:t>Deuteronomium 32,48-52 (Epilog Teil 2 – Moses bevorstehender Tod)</w:t>
      </w:r>
    </w:p>
    <w:p w14:paraId="64732D6E" w14:textId="6C833F5D" w:rsidR="00EE5F59" w:rsidRDefault="00EE5F59" w:rsidP="00EE5F59">
      <w:pPr>
        <w:pStyle w:val="whitespace-normal"/>
      </w:pPr>
      <w:r>
        <w:rPr>
          <w:rStyle w:val="Fett"/>
          <w:rFonts w:eastAsiaTheme="majorEastAsia"/>
        </w:rPr>
        <w:t>V. 48-49:</w:t>
      </w:r>
      <w:r>
        <w:t xml:space="preserve"> </w:t>
      </w:r>
      <w:r>
        <w:rPr>
          <w:rStyle w:val="Fett"/>
          <w:rFonts w:eastAsiaTheme="majorEastAsia"/>
          <w:rtl/>
        </w:rPr>
        <w:t>וַיְדַבֵּר יְהוָה אֶל־מֹשֶׁה בְּעֶצֶם הַיּוֹם הַזֶּה לֵאמֹר</w:t>
      </w:r>
      <w:r>
        <w:rPr>
          <w:rtl/>
        </w:rPr>
        <w:t xml:space="preserve"> </w:t>
      </w:r>
      <w:r>
        <w:t xml:space="preserve">(„und </w:t>
      </w:r>
      <w:r w:rsidR="00272EAD">
        <w:t>JHWH</w:t>
      </w:r>
      <w:r>
        <w:t xml:space="preserve"> redete zu Mosche an eben diesem Tag"). </w:t>
      </w:r>
      <w:r>
        <w:rPr>
          <w:rStyle w:val="Fett"/>
          <w:rFonts w:eastAsiaTheme="majorEastAsia"/>
          <w:rtl/>
        </w:rPr>
        <w:t>עֲלֵה אֶל־הַר הָעֲבָרִים הַזֶּה הַר־נְבוֹ</w:t>
      </w:r>
      <w:r>
        <w:rPr>
          <w:rtl/>
        </w:rPr>
        <w:t xml:space="preserve"> </w:t>
      </w:r>
      <w:r>
        <w:t xml:space="preserve">(„steige auf dieses Gebirge Abarim, den Berg Nebo"), </w:t>
      </w:r>
      <w:r>
        <w:rPr>
          <w:rStyle w:val="Fett"/>
          <w:rFonts w:eastAsiaTheme="majorEastAsia"/>
          <w:rtl/>
        </w:rPr>
        <w:t>אֲשֶׁר בְּאֶרֶץ מוֹאָב אֲשֶׁר עַל־פְּנֵי יְרֵחוֹ</w:t>
      </w:r>
      <w:r>
        <w:rPr>
          <w:rtl/>
        </w:rPr>
        <w:t xml:space="preserve"> </w:t>
      </w:r>
      <w:r>
        <w:t xml:space="preserve">(„der im Land Moab liegt, der Jericho gegenüber ist"), </w:t>
      </w:r>
      <w:r>
        <w:rPr>
          <w:rStyle w:val="Fett"/>
          <w:rFonts w:eastAsiaTheme="majorEastAsia"/>
          <w:rtl/>
        </w:rPr>
        <w:t>וּרְאֵה אֶת־אֶרֶץ כְּנַעַן</w:t>
      </w:r>
      <w:r>
        <w:rPr>
          <w:rtl/>
        </w:rPr>
        <w:t xml:space="preserve"> </w:t>
      </w:r>
      <w:r>
        <w:t xml:space="preserve">(„und sieh das Land Kanaan"), </w:t>
      </w:r>
      <w:r>
        <w:rPr>
          <w:rStyle w:val="Fett"/>
          <w:rFonts w:eastAsiaTheme="majorEastAsia"/>
          <w:rtl/>
        </w:rPr>
        <w:t>אֲשֶׁר אֲנִי נֹתֵן לִבְנֵי יִשְׂרָאֵל לַאֲחֻזָּה</w:t>
      </w:r>
      <w:r>
        <w:rPr>
          <w:rtl/>
        </w:rPr>
        <w:t xml:space="preserve"> </w:t>
      </w:r>
      <w:r>
        <w:t>(„das ich gebe den Kindern Israels zum Eigentum").</w:t>
      </w:r>
    </w:p>
    <w:p w14:paraId="31A2B22C" w14:textId="77777777" w:rsidR="00EE5F59" w:rsidRDefault="00EE5F59" w:rsidP="00EE5F59">
      <w:pPr>
        <w:pStyle w:val="whitespace-normal"/>
      </w:pPr>
      <w:r>
        <w:rPr>
          <w:rStyle w:val="Fett"/>
          <w:rFonts w:eastAsiaTheme="majorEastAsia"/>
        </w:rPr>
        <w:t>V. 50:</w:t>
      </w:r>
      <w:r>
        <w:t xml:space="preserve"> </w:t>
      </w:r>
      <w:r>
        <w:rPr>
          <w:rStyle w:val="Fett"/>
          <w:rFonts w:eastAsiaTheme="majorEastAsia"/>
          <w:rtl/>
        </w:rPr>
        <w:t>וּמֻת בָּהָר אֲשֶׁר אַתָּה עֹלֶה שָׁמָּה וְהֵאָסֵף אֶל־עַמֶּיךָ</w:t>
      </w:r>
      <w:r>
        <w:rPr>
          <w:rtl/>
        </w:rPr>
        <w:t xml:space="preserve"> </w:t>
      </w:r>
      <w:r>
        <w:t xml:space="preserve">(„und stirb auf dem Berg, auf den du steigst, und werde versammelt zu deinen Völkern"), </w:t>
      </w:r>
      <w:r>
        <w:rPr>
          <w:rStyle w:val="Fett"/>
          <w:rFonts w:eastAsiaTheme="majorEastAsia"/>
          <w:rtl/>
        </w:rPr>
        <w:t>כַּאֲשֶׁר־מֵת אַהֲרֹן אָחִיךָ בְּהֹר הָהָר וַיֵּאָסֶף אֶל־עַמָּיו</w:t>
      </w:r>
      <w:r>
        <w:rPr>
          <w:rtl/>
        </w:rPr>
        <w:t xml:space="preserve"> </w:t>
      </w:r>
      <w:r>
        <w:t>(„wie dein Bruder Aaron starb auf dem Berg Hor und versammelt wurde zu seinen Völkern" – vgl. Num 20,22-29; 33,38-39).</w:t>
      </w:r>
    </w:p>
    <w:p w14:paraId="499A1A53" w14:textId="63DD36EF" w:rsidR="00EE5F59" w:rsidRDefault="00EE5F59" w:rsidP="00EE5F59">
      <w:pPr>
        <w:pStyle w:val="whitespace-normal"/>
      </w:pPr>
      <w:r>
        <w:rPr>
          <w:rStyle w:val="Fett"/>
          <w:rFonts w:eastAsiaTheme="majorEastAsia"/>
        </w:rPr>
        <w:t>V. 51:</w:t>
      </w:r>
      <w:r>
        <w:t xml:space="preserve"> </w:t>
      </w:r>
      <w:r>
        <w:rPr>
          <w:rStyle w:val="Fett"/>
          <w:rFonts w:eastAsiaTheme="majorEastAsia"/>
          <w:rtl/>
        </w:rPr>
        <w:t>עַל אֲשֶׁר מְעַלְתֶּם בִּי בְּתוֹךְ בְּנֵי יִשְׂרָאֵל בְּמֵי־מְרִיבַת קָדֵשׁ מִדְבַּר־צִן</w:t>
      </w:r>
      <w:r>
        <w:rPr>
          <w:rtl/>
        </w:rPr>
        <w:t xml:space="preserve"> </w:t>
      </w:r>
      <w:r>
        <w:t xml:space="preserve">(„weil ihr treulos gegen mich gehandelt habt inmitten der Kinder Israels bei den Wassern von Meriba-Kadesch in der Wüste Zin" – vgl. Num 20,1-13), </w:t>
      </w:r>
      <w:r>
        <w:rPr>
          <w:rStyle w:val="Fett"/>
          <w:rFonts w:eastAsiaTheme="majorEastAsia"/>
          <w:rtl/>
        </w:rPr>
        <w:t>עַל אֲשֶׁר לֹא־קִדַּשְׁתֶּם אוֹתִי בְּתוֹךְ בְּנֵי יִשְׂרָאֵל</w:t>
      </w:r>
      <w:r>
        <w:rPr>
          <w:rtl/>
        </w:rPr>
        <w:t xml:space="preserve"> </w:t>
      </w:r>
      <w:r>
        <w:t>(„weil ihr mich nicht geheiligt habt inmitten der Kinder Israels").</w:t>
      </w:r>
    </w:p>
    <w:p w14:paraId="38915840" w14:textId="4D4A91A2" w:rsidR="000115C1" w:rsidRDefault="000115C1" w:rsidP="00EE5F59">
      <w:pPr>
        <w:pStyle w:val="whitespace-normal"/>
      </w:pPr>
      <w:r>
        <w:rPr>
          <w:rStyle w:val="Fett"/>
        </w:rPr>
        <w:t>Die LXX</w:t>
      </w:r>
      <w:r>
        <w:t xml:space="preserve"> übersetzt </w:t>
      </w:r>
      <w:r>
        <w:rPr>
          <w:rtl/>
        </w:rPr>
        <w:t>מְעַלְתֶּם</w:t>
      </w:r>
      <w:r>
        <w:t xml:space="preserve"> (ihr habt Untreue begangen) mit ἠπ</w:t>
      </w:r>
      <w:proofErr w:type="spellStart"/>
      <w:r>
        <w:t>ειθήσ</w:t>
      </w:r>
      <w:proofErr w:type="spellEnd"/>
      <w:r>
        <w:t>ατε (ihr habt ungehorsam gehandelt) – ein direkteres Verb.</w:t>
      </w:r>
    </w:p>
    <w:p w14:paraId="37F0C1E9" w14:textId="77777777" w:rsidR="00EE5F59" w:rsidRDefault="00EE5F59" w:rsidP="00EE5F59">
      <w:pPr>
        <w:pStyle w:val="whitespace-normal"/>
      </w:pPr>
      <w:r>
        <w:rPr>
          <w:rStyle w:val="Fett"/>
          <w:rFonts w:eastAsiaTheme="majorEastAsia"/>
        </w:rPr>
        <w:t>V. 52:</w:t>
      </w:r>
      <w:r>
        <w:t xml:space="preserve"> </w:t>
      </w:r>
      <w:r>
        <w:rPr>
          <w:rStyle w:val="Fett"/>
          <w:rFonts w:eastAsiaTheme="majorEastAsia"/>
          <w:rtl/>
        </w:rPr>
        <w:t>כִּי מִנֶּגֶד תִּרְאֶה אֶת־הָאָרֶץ וְשָׁמָּה לֹא תָבוֹא</w:t>
      </w:r>
      <w:r>
        <w:rPr>
          <w:rtl/>
        </w:rPr>
        <w:t xml:space="preserve"> </w:t>
      </w:r>
      <w:r>
        <w:t xml:space="preserve">(„denn von ferne wirst du sehen das Land, aber dorthin wirst du nicht kommen"), </w:t>
      </w:r>
      <w:r>
        <w:rPr>
          <w:rStyle w:val="Fett"/>
          <w:rFonts w:eastAsiaTheme="majorEastAsia"/>
          <w:rtl/>
        </w:rPr>
        <w:t>אֶל־הָאָרֶץ אֲשֶׁר־אֲנִי נֹתֵן לִבְנֵי יִשְׂרָאֵל</w:t>
      </w:r>
      <w:r>
        <w:rPr>
          <w:rtl/>
        </w:rPr>
        <w:t xml:space="preserve"> </w:t>
      </w:r>
      <w:r>
        <w:t xml:space="preserve">(„in das Land, das ich gebe den Kindern Israels"). Die </w:t>
      </w:r>
      <w:r>
        <w:rPr>
          <w:rStyle w:val="Fett"/>
          <w:rFonts w:eastAsiaTheme="majorEastAsia"/>
        </w:rPr>
        <w:t>Petucha</w:t>
      </w:r>
      <w:r>
        <w:t xml:space="preserve"> (</w:t>
      </w:r>
      <w:r>
        <w:rPr>
          <w:rtl/>
        </w:rPr>
        <w:t>פ</w:t>
      </w:r>
      <w:r>
        <w:t>) markiert das Ende von Kapitel 32.</w:t>
      </w:r>
    </w:p>
    <w:p w14:paraId="2A4BE6BB" w14:textId="77777777" w:rsidR="00EE5F59" w:rsidRDefault="004F5CEB" w:rsidP="00EE5F59">
      <w:r>
        <w:rPr>
          <w:noProof/>
        </w:rPr>
        <w:lastRenderedPageBreak/>
        <w:pict w14:anchorId="3712BFE1">
          <v:rect id="_x0000_i1910" style="width:0;height:1.5pt" o:hralign="center" o:hrstd="t" o:hr="t" fillcolor="#a0a0a0" stroked="f"/>
        </w:pict>
      </w:r>
    </w:p>
    <w:p w14:paraId="3CDF5AAB" w14:textId="77777777" w:rsidR="00EE5F59" w:rsidRDefault="00EE5F59" w:rsidP="00EE5F59">
      <w:pPr>
        <w:pStyle w:val="whitespace-normal"/>
      </w:pPr>
      <w:r>
        <w:rPr>
          <w:rStyle w:val="Fett"/>
          <w:rFonts w:eastAsiaTheme="majorEastAsia"/>
        </w:rPr>
        <w:t>Ende von Deuteronomium 32.</w:t>
      </w:r>
    </w:p>
    <w:p w14:paraId="5FA61794" w14:textId="77777777" w:rsidR="00EE5F59" w:rsidRDefault="00EE5F59" w:rsidP="00EE5F59">
      <w:pPr>
        <w:pStyle w:val="whitespace-normal"/>
      </w:pPr>
      <w:r>
        <w:t>Dies ist das große „Lied Moses", eines der längsten und theologisch dichtesten Gedichte im Alten Testament. Die Struktur:</w:t>
      </w:r>
    </w:p>
    <w:p w14:paraId="01E37138" w14:textId="77777777" w:rsidR="00EE5F59" w:rsidRDefault="00EE5F59" w:rsidP="00EE5F59">
      <w:pPr>
        <w:pStyle w:val="whitespace-normal"/>
        <w:numPr>
          <w:ilvl w:val="0"/>
          <w:numId w:val="21"/>
        </w:numPr>
      </w:pPr>
      <w:r>
        <w:rPr>
          <w:rStyle w:val="Fett"/>
          <w:rFonts w:eastAsiaTheme="majorEastAsia"/>
        </w:rPr>
        <w:t>V. 1-4:</w:t>
      </w:r>
      <w:r>
        <w:t xml:space="preserve"> Einleitung mit Lobpreis Gottes</w:t>
      </w:r>
    </w:p>
    <w:p w14:paraId="0D7B2CC4" w14:textId="77777777" w:rsidR="00EE5F59" w:rsidRDefault="00EE5F59" w:rsidP="00EE5F59">
      <w:pPr>
        <w:pStyle w:val="whitespace-normal"/>
        <w:numPr>
          <w:ilvl w:val="0"/>
          <w:numId w:val="21"/>
        </w:numPr>
      </w:pPr>
      <w:r>
        <w:rPr>
          <w:rStyle w:val="Fett"/>
          <w:rFonts w:eastAsiaTheme="majorEastAsia"/>
        </w:rPr>
        <w:t>V. 5-6:</w:t>
      </w:r>
      <w:r>
        <w:t xml:space="preserve"> Anklage Israels</w:t>
      </w:r>
    </w:p>
    <w:p w14:paraId="49711041" w14:textId="77777777" w:rsidR="00EE5F59" w:rsidRDefault="00EE5F59" w:rsidP="00EE5F59">
      <w:pPr>
        <w:pStyle w:val="whitespace-normal"/>
        <w:numPr>
          <w:ilvl w:val="0"/>
          <w:numId w:val="21"/>
        </w:numPr>
      </w:pPr>
      <w:r>
        <w:rPr>
          <w:rStyle w:val="Fett"/>
          <w:rFonts w:eastAsiaTheme="majorEastAsia"/>
        </w:rPr>
        <w:t>V. 7-14:</w:t>
      </w:r>
      <w:r>
        <w:t xml:space="preserve"> Heilsgeschichte – Gottes Erwählung und Fürsorge</w:t>
      </w:r>
    </w:p>
    <w:p w14:paraId="11896F2C" w14:textId="77777777" w:rsidR="00EE5F59" w:rsidRDefault="00EE5F59" w:rsidP="00EE5F59">
      <w:pPr>
        <w:pStyle w:val="whitespace-normal"/>
        <w:numPr>
          <w:ilvl w:val="0"/>
          <w:numId w:val="21"/>
        </w:numPr>
      </w:pPr>
      <w:r>
        <w:rPr>
          <w:rStyle w:val="Fett"/>
          <w:rFonts w:eastAsiaTheme="majorEastAsia"/>
        </w:rPr>
        <w:t>V. 15-18:</w:t>
      </w:r>
      <w:r>
        <w:t xml:space="preserve"> Israels Abfall und Undankbarkeit</w:t>
      </w:r>
    </w:p>
    <w:p w14:paraId="607AB17E" w14:textId="77777777" w:rsidR="00EE5F59" w:rsidRDefault="00EE5F59" w:rsidP="00EE5F59">
      <w:pPr>
        <w:pStyle w:val="whitespace-normal"/>
        <w:numPr>
          <w:ilvl w:val="0"/>
          <w:numId w:val="21"/>
        </w:numPr>
      </w:pPr>
      <w:r>
        <w:rPr>
          <w:rStyle w:val="Fett"/>
          <w:rFonts w:eastAsiaTheme="majorEastAsia"/>
        </w:rPr>
        <w:t>V. 19-29:</w:t>
      </w:r>
      <w:r>
        <w:t xml:space="preserve"> Gottes Gericht über Israel</w:t>
      </w:r>
    </w:p>
    <w:p w14:paraId="5DF805B0" w14:textId="77777777" w:rsidR="00EE5F59" w:rsidRDefault="00EE5F59" w:rsidP="00EE5F59">
      <w:pPr>
        <w:pStyle w:val="whitespace-normal"/>
        <w:numPr>
          <w:ilvl w:val="0"/>
          <w:numId w:val="21"/>
        </w:numPr>
      </w:pPr>
      <w:r>
        <w:rPr>
          <w:rStyle w:val="Fett"/>
          <w:rFonts w:eastAsiaTheme="majorEastAsia"/>
        </w:rPr>
        <w:t>V. 30-35:</w:t>
      </w:r>
      <w:r>
        <w:t xml:space="preserve"> Gericht über Israels Feinde</w:t>
      </w:r>
    </w:p>
    <w:p w14:paraId="0EFF25C1" w14:textId="77777777" w:rsidR="00EE5F59" w:rsidRDefault="00EE5F59" w:rsidP="00EE5F59">
      <w:pPr>
        <w:pStyle w:val="whitespace-normal"/>
        <w:numPr>
          <w:ilvl w:val="0"/>
          <w:numId w:val="21"/>
        </w:numPr>
      </w:pPr>
      <w:r>
        <w:rPr>
          <w:rStyle w:val="Fett"/>
          <w:rFonts w:eastAsiaTheme="majorEastAsia"/>
        </w:rPr>
        <w:t>V. 36-39:</w:t>
      </w:r>
      <w:r>
        <w:t xml:space="preserve"> Gottes Erbarmen und monotheistisches Bekenntnis</w:t>
      </w:r>
    </w:p>
    <w:p w14:paraId="6D581768" w14:textId="77777777" w:rsidR="00EE5F59" w:rsidRDefault="00EE5F59" w:rsidP="00EE5F59">
      <w:pPr>
        <w:pStyle w:val="whitespace-normal"/>
        <w:numPr>
          <w:ilvl w:val="0"/>
          <w:numId w:val="21"/>
        </w:numPr>
      </w:pPr>
      <w:r>
        <w:rPr>
          <w:rStyle w:val="Fett"/>
          <w:rFonts w:eastAsiaTheme="majorEastAsia"/>
        </w:rPr>
        <w:t>V. 40-43:</w:t>
      </w:r>
      <w:r>
        <w:t xml:space="preserve"> Endgültige Rache und Versöhnung</w:t>
      </w:r>
    </w:p>
    <w:p w14:paraId="6786D6C2" w14:textId="77777777" w:rsidR="00EE5F59" w:rsidRDefault="00EE5F59" w:rsidP="00EE5F59">
      <w:pPr>
        <w:pStyle w:val="whitespace-normal"/>
        <w:numPr>
          <w:ilvl w:val="0"/>
          <w:numId w:val="21"/>
        </w:numPr>
      </w:pPr>
      <w:r>
        <w:rPr>
          <w:rStyle w:val="Fett"/>
          <w:rFonts w:eastAsiaTheme="majorEastAsia"/>
        </w:rPr>
        <w:t>V. 44-52:</w:t>
      </w:r>
      <w:r>
        <w:t xml:space="preserve"> Epilog – Anwendung und Moses Tod</w:t>
      </w:r>
    </w:p>
    <w:p w14:paraId="3AE9B28F" w14:textId="7AC9CE76" w:rsidR="00EE5F59" w:rsidRDefault="00EE5F59" w:rsidP="00EE5F59">
      <w:pPr>
        <w:pStyle w:val="whitespace-normal"/>
      </w:pPr>
      <w:r>
        <w:t>Zentrale Themen: Gottes Vollkommenheit vs. Israels Untreue, Heilsgeschichte, Gericht und Gnade, Monotheismus (V. 39), Vergeltung (</w:t>
      </w:r>
      <w:r>
        <w:rPr>
          <w:rStyle w:val="Fett"/>
          <w:rFonts w:eastAsiaTheme="majorEastAsia"/>
          <w:rtl/>
        </w:rPr>
        <w:t>נָקָם</w:t>
      </w:r>
      <w:r>
        <w:t xml:space="preserve">), Wiederherstellung, die </w:t>
      </w:r>
      <w:r w:rsidR="006D3FED">
        <w:t>Torah</w:t>
      </w:r>
      <w:r>
        <w:t xml:space="preserve"> als Leben (V. 47). Das Lied dient als Zeuge (</w:t>
      </w:r>
      <w:r>
        <w:rPr>
          <w:rStyle w:val="Fett"/>
          <w:rFonts w:eastAsiaTheme="majorEastAsia"/>
          <w:rtl/>
        </w:rPr>
        <w:t>עֵד</w:t>
      </w:r>
      <w:r>
        <w:t xml:space="preserve">) gegen Israel (vgl. 31,19.21.26), dokumentiert sowohl Gottes Treue als auch Israels vorhersehbaren Abfall. Es ist ein Meisterwerk hebräischer Poesie mit durchgehendem Parallelismus </w:t>
      </w:r>
      <w:r w:rsidR="000115C1">
        <w:t>(</w:t>
      </w:r>
      <w:r>
        <w:t>membrorum</w:t>
      </w:r>
      <w:r w:rsidR="000115C1">
        <w:t>)</w:t>
      </w:r>
      <w:r>
        <w:t xml:space="preserve"> und endet hoffnungsvoll mit Sühne (</w:t>
      </w:r>
      <w:r>
        <w:rPr>
          <w:rStyle w:val="Fett"/>
          <w:rFonts w:eastAsiaTheme="majorEastAsia"/>
          <w:rtl/>
        </w:rPr>
        <w:t>כִּפֶּר</w:t>
      </w:r>
      <w:r>
        <w:t>, V. 43).</w:t>
      </w:r>
    </w:p>
    <w:p w14:paraId="60803503" w14:textId="77777777" w:rsidR="00EE5F59" w:rsidRPr="00257FCB" w:rsidRDefault="00EE5F59" w:rsidP="00257FCB">
      <w:pPr>
        <w:pStyle w:val="Bibelberschrift"/>
        <w:rPr>
          <w:b w:val="0"/>
          <w:bCs/>
        </w:rPr>
      </w:pPr>
      <w:r w:rsidRPr="00257FCB">
        <w:rPr>
          <w:rStyle w:val="Fett"/>
          <w:b/>
          <w:bCs w:val="0"/>
        </w:rPr>
        <w:t>Deuteronomium 33,1</w:t>
      </w:r>
    </w:p>
    <w:p w14:paraId="317E8B3C" w14:textId="77777777" w:rsidR="00EE5F59" w:rsidRDefault="00EE5F59" w:rsidP="00EE5F59">
      <w:pPr>
        <w:pStyle w:val="whitespace-normal"/>
      </w:pPr>
      <w:r>
        <w:rPr>
          <w:rStyle w:val="Fett"/>
          <w:rFonts w:eastAsiaTheme="majorEastAsia"/>
        </w:rPr>
        <w:t>Hebräisch:</w:t>
      </w:r>
      <w:r>
        <w:t xml:space="preserve"> </w:t>
      </w:r>
      <w:r>
        <w:rPr>
          <w:rtl/>
        </w:rPr>
        <w:t>וְזֹאת הַבְּרָכָה אֲשֶׁר בֵּרַךְ מֹשֶׁה אִישׁ הָאֱלֹהִים אֶת־בְּנֵי יִשְׂרָאֵל לִפְנֵי מוֹתוֹ׃</w:t>
      </w:r>
    </w:p>
    <w:p w14:paraId="5EB039C9" w14:textId="77777777" w:rsidR="00EE5F59" w:rsidRDefault="00EE5F59" w:rsidP="00EE5F59">
      <w:pPr>
        <w:pStyle w:val="whitespace-normal"/>
      </w:pPr>
      <w:r>
        <w:rPr>
          <w:rStyle w:val="Fett"/>
          <w:rFonts w:eastAsiaTheme="majorEastAsia"/>
        </w:rPr>
        <w:t>Deutsch:</w:t>
      </w:r>
      <w:r>
        <w:t xml:space="preserve"> Und dies ist der Segen, womit Mosche, der Mann Gottes, die Kinder Israels vor seinem Tod gesegnet hat.</w:t>
      </w:r>
    </w:p>
    <w:p w14:paraId="29A5CEAE" w14:textId="77777777" w:rsidR="00EE5F59" w:rsidRDefault="004F5CEB" w:rsidP="00EE5F59">
      <w:r>
        <w:rPr>
          <w:noProof/>
        </w:rPr>
        <w:pict w14:anchorId="64DC56CE">
          <v:rect id="_x0000_i1911" style="width:0;height:1.5pt" o:hralign="center" o:hrstd="t" o:hr="t" fillcolor="#a0a0a0" stroked="f"/>
        </w:pict>
      </w:r>
    </w:p>
    <w:p w14:paraId="58F6A9F3" w14:textId="77777777" w:rsidR="00EE5F59" w:rsidRDefault="00EE5F59" w:rsidP="00EE5F59">
      <w:pPr>
        <w:pStyle w:val="whitespace-normal"/>
      </w:pPr>
      <w:r>
        <w:rPr>
          <w:rStyle w:val="Fett"/>
          <w:rFonts w:eastAsiaTheme="majorEastAsia"/>
        </w:rPr>
        <w:t>Kommentar:</w:t>
      </w:r>
      <w:r>
        <w:t xml:space="preserve"> </w:t>
      </w:r>
      <w:r>
        <w:rPr>
          <w:rStyle w:val="Fett"/>
          <w:rFonts w:eastAsiaTheme="majorEastAsia"/>
          <w:rtl/>
        </w:rPr>
        <w:t>וְזֹאת הַבְּרָכָה אֲשֶׁר בֵּרַךְ מֹשֶׁה אִישׁ הָאֱלֹהִים אֶת־בְּנֵי יִשְׂרָאֵל לִפְנֵי מוֹתוֹ</w:t>
      </w:r>
      <w:r>
        <w:rPr>
          <w:rtl/>
        </w:rPr>
        <w:t xml:space="preserve"> </w:t>
      </w:r>
      <w:r>
        <w:t xml:space="preserve">ist Überschrift: </w:t>
      </w:r>
      <w:r>
        <w:rPr>
          <w:rStyle w:val="Fett"/>
          <w:rFonts w:eastAsiaTheme="majorEastAsia"/>
          <w:rtl/>
        </w:rPr>
        <w:t>וְזֹאת הַבְּרָכָה אֲשֶׁר בֵּרַךְ מֹשֶׁה אִישׁ הָאֱלֹהִים אֶת־בְּנֵי יִשְׂרָאֵל לִפְנֵי מוֹתוֹ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זֹאת</w:t>
      </w:r>
      <w:r>
        <w:t xml:space="preserve">, </w:t>
      </w:r>
      <w:r>
        <w:rPr>
          <w:rStyle w:val="Fett"/>
          <w:rFonts w:eastAsiaTheme="majorEastAsia"/>
          <w:rtl/>
        </w:rPr>
        <w:t>בְּרָכָה</w:t>
      </w:r>
      <w:r>
        <w:rPr>
          <w:rtl/>
        </w:rPr>
        <w:t xml:space="preserve"> </w:t>
      </w:r>
      <w:r>
        <w:t xml:space="preserve">mit Artikel, Relativsatz: </w:t>
      </w:r>
      <w:r>
        <w:rPr>
          <w:rStyle w:val="Fett"/>
          <w:rFonts w:eastAsiaTheme="majorEastAsia"/>
          <w:rtl/>
        </w:rPr>
        <w:t>אֲשֶׁר בֵּרַךְ מֹשֶׁה</w:t>
      </w:r>
      <w:r>
        <w:rPr>
          <w:rtl/>
        </w:rPr>
        <w:t xml:space="preserve"> </w:t>
      </w:r>
      <w:r>
        <w:t xml:space="preserve">mit </w:t>
      </w:r>
      <w:r>
        <w:rPr>
          <w:rStyle w:val="Fett"/>
          <w:rFonts w:eastAsiaTheme="majorEastAsia"/>
          <w:rtl/>
        </w:rPr>
        <w:t>ברך</w:t>
      </w:r>
      <w:r>
        <w:t xml:space="preserve">, Piel Perfekt, 3. Person Maskulinum Singular, </w:t>
      </w:r>
      <w:r>
        <w:rPr>
          <w:rStyle w:val="Fett"/>
          <w:rFonts w:eastAsiaTheme="majorEastAsia"/>
          <w:rtl/>
        </w:rPr>
        <w:t>מֹשֶׁה</w:t>
      </w:r>
      <w:r>
        <w:rPr>
          <w:rtl/>
        </w:rPr>
        <w:t xml:space="preserve"> </w:t>
      </w:r>
      <w:r>
        <w:t xml:space="preserve">als Subjekt, Apposition: </w:t>
      </w:r>
      <w:r>
        <w:rPr>
          <w:rStyle w:val="Fett"/>
          <w:rFonts w:eastAsiaTheme="majorEastAsia"/>
          <w:rtl/>
        </w:rPr>
        <w:t>אִישׁ הָאֱלֹהִים</w:t>
      </w:r>
      <w:r>
        <w:t xml:space="preserve">, Objektpartikel </w:t>
      </w:r>
      <w:r>
        <w:rPr>
          <w:rStyle w:val="Fett"/>
          <w:rFonts w:eastAsiaTheme="majorEastAsia"/>
          <w:rtl/>
        </w:rPr>
        <w:t>אֶת</w:t>
      </w:r>
      <w:r>
        <w:rPr>
          <w:rtl/>
        </w:rPr>
        <w:t xml:space="preserve"> </w:t>
      </w:r>
      <w:r>
        <w:t xml:space="preserve">mit </w:t>
      </w:r>
      <w:r>
        <w:rPr>
          <w:rStyle w:val="Fett"/>
          <w:rFonts w:eastAsiaTheme="majorEastAsia"/>
          <w:rtl/>
        </w:rPr>
        <w:t>בְּנֵי יִשְׂרָאֵל</w:t>
      </w:r>
      <w:r>
        <w:t xml:space="preserve">, Temporalsatz: </w:t>
      </w:r>
      <w:r>
        <w:rPr>
          <w:rStyle w:val="Fett"/>
          <w:rFonts w:eastAsiaTheme="majorEastAsia"/>
          <w:rtl/>
        </w:rPr>
        <w:t>לִפְנֵי מָוֶת</w:t>
      </w:r>
      <w:r>
        <w:rPr>
          <w:rtl/>
        </w:rPr>
        <w:t xml:space="preserve"> </w:t>
      </w:r>
      <w:r>
        <w:t>mit Suffix 3. Person Maskulinum Singular).</w:t>
      </w:r>
    </w:p>
    <w:p w14:paraId="09E2A6B9" w14:textId="09B776FD" w:rsidR="00EE5F59" w:rsidRDefault="00EE5F59" w:rsidP="00EE5F59">
      <w:pPr>
        <w:pStyle w:val="whitespace-normal"/>
      </w:pPr>
      <w:r>
        <w:t xml:space="preserve">Der Vers ist die Überschrift zu Moses letztem Segen. Die Überschrift: </w:t>
      </w:r>
      <w:r>
        <w:rPr>
          <w:rStyle w:val="Fett"/>
          <w:rFonts w:eastAsiaTheme="majorEastAsia"/>
          <w:rtl/>
        </w:rPr>
        <w:t>וְזֹאת הַבְּרָכָה אֲשֶׁר בֵּרַךְ מֹשֶׁה אִישׁ הָאֱלֹהִים אֶת־בְּנֵי יִשְׂרָאֵל לִפְנֵי מוֹתוֹ</w:t>
      </w:r>
      <w:r>
        <w:rPr>
          <w:rtl/>
        </w:rPr>
        <w:t xml:space="preserve"> </w:t>
      </w:r>
      <w:r>
        <w:t xml:space="preserve">(„und dies ist der Segen, womit Mosche, der Mann Gottes, die Kinder Israels gesegnet hat vor seinem Tod"). Der Titel </w:t>
      </w:r>
      <w:r>
        <w:rPr>
          <w:rStyle w:val="Fett"/>
          <w:rFonts w:eastAsiaTheme="majorEastAsia"/>
          <w:rtl/>
        </w:rPr>
        <w:t>אִישׁ הָאֱלֹהִים</w:t>
      </w:r>
      <w:r>
        <w:rPr>
          <w:rtl/>
        </w:rPr>
        <w:t xml:space="preserve"> </w:t>
      </w:r>
      <w:r>
        <w:t xml:space="preserve">(„Mann Gottes") ist feierlich und ehrenvoll – er kommt nur hier im Pentateuch vor (aber vgl. Jos 14,6; Ps 90,1 Überschrift; </w:t>
      </w:r>
      <w:r w:rsidR="00664EB6">
        <w:t>1Chr</w:t>
      </w:r>
      <w:r>
        <w:t xml:space="preserve"> 23,14; </w:t>
      </w:r>
      <w:r w:rsidR="00664EB6">
        <w:t>2Chr</w:t>
      </w:r>
      <w:r>
        <w:t xml:space="preserve"> 30,16; Esr 3,2; Neh 12,24.36). Später wird der Titel für Propheten verwendet (vgl. </w:t>
      </w:r>
      <w:r w:rsidR="00664EB6">
        <w:t>1Sam</w:t>
      </w:r>
      <w:r>
        <w:t xml:space="preserve"> 2,27; 9,6-10; </w:t>
      </w:r>
      <w:r w:rsidR="00664EB6">
        <w:t>1Kön</w:t>
      </w:r>
      <w:r>
        <w:t xml:space="preserve"> 12,22; 13,1ff; 17,18.24; 20,28; </w:t>
      </w:r>
      <w:r w:rsidR="00664EB6">
        <w:t>2Kön</w:t>
      </w:r>
      <w:r>
        <w:t xml:space="preserve"> 1,9-13; 4,7-42; 5,8-20; 6,6-15; 7,2.17-19; 8,2-11; 13,19; 23,16-17). Die Formulierung </w:t>
      </w:r>
      <w:r>
        <w:rPr>
          <w:rStyle w:val="Fett"/>
          <w:rFonts w:eastAsiaTheme="majorEastAsia"/>
          <w:rtl/>
        </w:rPr>
        <w:t>לִפְנֵי מוֹתוֹ</w:t>
      </w:r>
      <w:r>
        <w:rPr>
          <w:rtl/>
        </w:rPr>
        <w:t xml:space="preserve"> </w:t>
      </w:r>
      <w:r>
        <w:t xml:space="preserve">(„vor seinem Tod") erinnert an Jakobs Segen in Gen 49,1 und betont die Bedeutung von </w:t>
      </w:r>
      <w:r>
        <w:lastRenderedPageBreak/>
        <w:t>Sterbeworten. Dieses Kapitel bildet ein Gegenstück zu Gen 49 (Jakobs Segen) und zu Kap. 32 (Moses Lied).</w:t>
      </w:r>
    </w:p>
    <w:p w14:paraId="5722B9B5" w14:textId="77777777" w:rsidR="00EE5F59" w:rsidRDefault="00EE5F59" w:rsidP="00EE5F59">
      <w:pPr>
        <w:pStyle w:val="whitespace-normal"/>
      </w:pPr>
      <w:r>
        <w:rPr>
          <w:rStyle w:val="Fett"/>
          <w:rFonts w:eastAsiaTheme="majorEastAsia"/>
        </w:rPr>
        <w:t>Die Satzstruktur:</w:t>
      </w:r>
      <w:r>
        <w:t xml:space="preserve"> Überschrift (und dies ist der Segen, womit Mosche, der Mann Gottes, die Kinder Israels gesegnet hat vor seinem Tod).</w:t>
      </w:r>
    </w:p>
    <w:p w14:paraId="7DE9F2B2" w14:textId="10E8B521" w:rsidR="00EE5F59" w:rsidRDefault="00EE5F59" w:rsidP="00B77CC6">
      <w:pPr>
        <w:pStyle w:val="whitespace-normal"/>
      </w:pPr>
      <w:r>
        <w:rPr>
          <w:rStyle w:val="Fett"/>
          <w:rFonts w:eastAsiaTheme="majorEastAsia"/>
        </w:rPr>
        <w:t>Der Vers beschreibt:</w:t>
      </w:r>
      <w:r>
        <w:t xml:space="preserve"> Überschrift – Moses letzter Segen über Israel, gesprochen vom „Mann Gottes" vor seinem Tod.</w:t>
      </w:r>
    </w:p>
    <w:p w14:paraId="13108663" w14:textId="77777777" w:rsidR="00EE5F59" w:rsidRPr="00257FCB" w:rsidRDefault="00EE5F59" w:rsidP="00257FCB">
      <w:pPr>
        <w:pStyle w:val="Bibelberschrift"/>
        <w:rPr>
          <w:b w:val="0"/>
          <w:bCs/>
        </w:rPr>
      </w:pPr>
      <w:r w:rsidRPr="00257FCB">
        <w:rPr>
          <w:rStyle w:val="Fett"/>
          <w:b/>
          <w:bCs w:val="0"/>
        </w:rPr>
        <w:t>Deuteronomium 33,2</w:t>
      </w:r>
    </w:p>
    <w:p w14:paraId="7C0030D8" w14:textId="77777777" w:rsidR="00EE5F59" w:rsidRDefault="00EE5F59" w:rsidP="00EE5F59">
      <w:pPr>
        <w:pStyle w:val="whitespace-normal"/>
      </w:pPr>
      <w:r>
        <w:rPr>
          <w:rStyle w:val="Fett"/>
          <w:rFonts w:eastAsiaTheme="majorEastAsia"/>
        </w:rPr>
        <w:t>Hebräisch:</w:t>
      </w:r>
      <w:r>
        <w:t xml:space="preserve"> </w:t>
      </w:r>
      <w:r>
        <w:rPr>
          <w:rtl/>
        </w:rPr>
        <w:t>וַיֹּאמַר יְהוָה מִסִּינַי בָּא וְזָרַח מִשֵּׂעִיר לָמוֹ הוֹפִיעַ מֵהַר פָּארָן וְאָתָה מֵרִבְבֹת קֹדֶשׁ מִימִינוֹ אֵשְׁדָּת לָמוֹ׃</w:t>
      </w:r>
    </w:p>
    <w:p w14:paraId="2E5EC71B" w14:textId="77777777" w:rsidR="00EE5F59" w:rsidRDefault="00EE5F59" w:rsidP="00EE5F59">
      <w:pPr>
        <w:pStyle w:val="whitespace-normal"/>
      </w:pPr>
      <w:r>
        <w:rPr>
          <w:rStyle w:val="Fett"/>
          <w:rFonts w:eastAsiaTheme="majorEastAsia"/>
        </w:rPr>
        <w:t>Deutsch:</w:t>
      </w:r>
      <w:r>
        <w:t xml:space="preserve"> Und er sprach: Der Ewige ist vom Sinai gekommen und ist ihnen aufgegangen von Seir; er ist hervorgestrahlt vom Berg Paran und ist von heiligen Myriaden gekommen. Aus seiner Rechten ging Gesetzesfeuer für sie hervor.</w:t>
      </w:r>
    </w:p>
    <w:p w14:paraId="05091B5F" w14:textId="77777777" w:rsidR="00EE5F59" w:rsidRDefault="004F5CEB" w:rsidP="00EE5F59">
      <w:r>
        <w:rPr>
          <w:noProof/>
        </w:rPr>
        <w:pict w14:anchorId="7F0C8E8C">
          <v:rect id="_x0000_i1912" style="width:0;height:1.5pt" o:hralign="center" o:hrstd="t" o:hr="t" fillcolor="#a0a0a0" stroked="f"/>
        </w:pict>
      </w:r>
    </w:p>
    <w:p w14:paraId="496BC6B4" w14:textId="77777777" w:rsidR="00EE5F59" w:rsidRDefault="00EE5F59" w:rsidP="00EE5F59">
      <w:pPr>
        <w:pStyle w:val="whitespace-normal"/>
      </w:pPr>
      <w:r>
        <w:rPr>
          <w:rStyle w:val="Fett"/>
          <w:rFonts w:eastAsiaTheme="majorEastAsia"/>
        </w:rPr>
        <w:t>Kommentar:</w:t>
      </w:r>
      <w:r>
        <w:t xml:space="preserve"> </w:t>
      </w:r>
      <w:r>
        <w:rPr>
          <w:rStyle w:val="Fett"/>
          <w:rFonts w:eastAsiaTheme="majorEastAsia"/>
          <w:rtl/>
        </w:rPr>
        <w:t>וַיֹּאמַר יְהוָה מִסִּינַי בָּא וְזָרַח מִשֵּׂעִיר לָמוֹ הוֹפִיעַ מֵהַר פָּארָן וְאָתָה מֵרִבְבֹת קֹדֶשׁ מִימִינוֹ אֵשְׁדָּת לָמוֹ</w:t>
      </w:r>
      <w:r>
        <w:rPr>
          <w:rtl/>
        </w:rPr>
        <w:t xml:space="preserve"> </w:t>
      </w:r>
      <w:r>
        <w:t xml:space="preserve">sind fünf Aussagen: </w:t>
      </w:r>
      <w:r>
        <w:rPr>
          <w:rStyle w:val="Fett"/>
          <w:rFonts w:eastAsiaTheme="majorEastAsia"/>
          <w:rtl/>
        </w:rPr>
        <w:t>וַיֹּאמַר</w:t>
      </w:r>
      <w:r>
        <w:rPr>
          <w:rtl/>
        </w:rPr>
        <w:t xml:space="preserve"> </w:t>
      </w:r>
      <w:r>
        <w:t>(</w:t>
      </w:r>
      <w:r>
        <w:rPr>
          <w:rStyle w:val="Fett"/>
          <w:rFonts w:eastAsiaTheme="majorEastAsia"/>
          <w:rtl/>
        </w:rPr>
        <w:t>אמר</w:t>
      </w:r>
      <w:r>
        <w:t xml:space="preserve">, Qal Imperfekt mit </w:t>
      </w:r>
      <w:r>
        <w:rPr>
          <w:rStyle w:val="Fett"/>
          <w:rFonts w:eastAsiaTheme="majorEastAsia"/>
        </w:rPr>
        <w:t>Waw</w:t>
      </w:r>
      <w:r>
        <w:t xml:space="preserve"> consecutivum, 3. Person Maskulinum Singular), </w:t>
      </w:r>
      <w:r>
        <w:rPr>
          <w:rStyle w:val="Fett"/>
          <w:rFonts w:eastAsiaTheme="majorEastAsia"/>
          <w:rtl/>
        </w:rPr>
        <w:t>יְהוָה מִסִּינַי בָּא</w:t>
      </w:r>
      <w:r>
        <w:rPr>
          <w:rtl/>
        </w:rPr>
        <w:t xml:space="preserve"> </w:t>
      </w:r>
      <w:r>
        <w:t>(</w:t>
      </w:r>
      <w:r>
        <w:rPr>
          <w:rStyle w:val="Fett"/>
          <w:rFonts w:eastAsiaTheme="majorEastAsia"/>
          <w:rtl/>
        </w:rPr>
        <w:t>יְהוָה</w:t>
      </w:r>
      <w:r>
        <w:rPr>
          <w:rtl/>
        </w:rPr>
        <w:t xml:space="preserve"> </w:t>
      </w:r>
      <w:r>
        <w:t xml:space="preserve">als Subjekt, </w:t>
      </w:r>
      <w:r>
        <w:rPr>
          <w:rStyle w:val="Fett"/>
          <w:rFonts w:eastAsiaTheme="majorEastAsia"/>
          <w:rtl/>
        </w:rPr>
        <w:t>מִן</w:t>
      </w:r>
      <w:r>
        <w:rPr>
          <w:rtl/>
        </w:rPr>
        <w:t xml:space="preserve"> </w:t>
      </w:r>
      <w:r>
        <w:t xml:space="preserve">mit </w:t>
      </w:r>
      <w:r>
        <w:rPr>
          <w:rStyle w:val="Fett"/>
          <w:rFonts w:eastAsiaTheme="majorEastAsia"/>
          <w:rtl/>
        </w:rPr>
        <w:t>סִינַי</w:t>
      </w:r>
      <w:r>
        <w:t xml:space="preserve">, </w:t>
      </w:r>
      <w:r>
        <w:rPr>
          <w:rStyle w:val="Fett"/>
          <w:rFonts w:eastAsiaTheme="majorEastAsia"/>
          <w:rtl/>
        </w:rPr>
        <w:t>בוא</w:t>
      </w:r>
      <w:r>
        <w:t xml:space="preserve">, Qal Perfekt, 3. Person Maskulinum Singular), </w:t>
      </w:r>
      <w:r>
        <w:rPr>
          <w:rStyle w:val="Fett"/>
          <w:rFonts w:eastAsiaTheme="majorEastAsia"/>
          <w:rtl/>
        </w:rPr>
        <w:t>וְזָרַח מִשֵּׂעִיר לָמוֹ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זרח</w:t>
      </w:r>
      <w:r>
        <w:t xml:space="preserve">, Qal Perfekt, 3. Person Maskulinum Singular, „aufgehen, leuchten", </w:t>
      </w:r>
      <w:r>
        <w:rPr>
          <w:rStyle w:val="Fett"/>
          <w:rFonts w:eastAsiaTheme="majorEastAsia"/>
          <w:rtl/>
        </w:rPr>
        <w:t>מִן</w:t>
      </w:r>
      <w:r>
        <w:rPr>
          <w:rtl/>
        </w:rPr>
        <w:t xml:space="preserve"> </w:t>
      </w:r>
      <w:r>
        <w:t xml:space="preserve">mit </w:t>
      </w:r>
      <w:r>
        <w:rPr>
          <w:rStyle w:val="Fett"/>
          <w:rFonts w:eastAsiaTheme="majorEastAsia"/>
          <w:rtl/>
        </w:rPr>
        <w:t>שֵׂעִיר</w:t>
      </w:r>
      <w:r>
        <w:t xml:space="preserve">, „Seir", </w:t>
      </w:r>
      <w:r>
        <w:rPr>
          <w:rStyle w:val="Fett"/>
          <w:rFonts w:eastAsiaTheme="majorEastAsia"/>
          <w:rtl/>
        </w:rPr>
        <w:t>לָמוֹ</w:t>
      </w:r>
      <w:r>
        <w:t xml:space="preserve">), </w:t>
      </w:r>
      <w:r>
        <w:rPr>
          <w:rStyle w:val="Fett"/>
          <w:rFonts w:eastAsiaTheme="majorEastAsia"/>
          <w:rtl/>
        </w:rPr>
        <w:t>הוֹפִיעַ מֵהַר פָּארָן</w:t>
      </w:r>
      <w:r>
        <w:rPr>
          <w:rtl/>
        </w:rPr>
        <w:t xml:space="preserve"> </w:t>
      </w:r>
      <w:r>
        <w:t>(</w:t>
      </w:r>
      <w:r>
        <w:rPr>
          <w:rStyle w:val="Fett"/>
          <w:rFonts w:eastAsiaTheme="majorEastAsia"/>
          <w:rtl/>
        </w:rPr>
        <w:t>יפע</w:t>
      </w:r>
      <w:r>
        <w:t xml:space="preserve">, Hiphil Perfekt, 3. Person Maskulinum Singular, „hervorstrahlen, erscheinen", </w:t>
      </w:r>
      <w:r>
        <w:rPr>
          <w:rStyle w:val="Fett"/>
          <w:rFonts w:eastAsiaTheme="majorEastAsia"/>
          <w:rtl/>
        </w:rPr>
        <w:t>מִן</w:t>
      </w:r>
      <w:r>
        <w:rPr>
          <w:rtl/>
        </w:rPr>
        <w:t xml:space="preserve"> </w:t>
      </w:r>
      <w:r>
        <w:t xml:space="preserve">mit </w:t>
      </w:r>
      <w:r>
        <w:rPr>
          <w:rStyle w:val="Fett"/>
          <w:rFonts w:eastAsiaTheme="majorEastAsia"/>
          <w:rtl/>
        </w:rPr>
        <w:t>הַר פָּארָן</w:t>
      </w:r>
      <w:r>
        <w:t xml:space="preserve">), </w:t>
      </w:r>
      <w:r>
        <w:rPr>
          <w:rStyle w:val="Fett"/>
          <w:rFonts w:eastAsiaTheme="majorEastAsia"/>
          <w:rtl/>
        </w:rPr>
        <w:t>וְאָתָה מֵרִבְבֹת קֹדֶשׁ מִימִינוֹ אֵשְׁדָּת לָמוֹ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אתה</w:t>
      </w:r>
      <w:r>
        <w:t xml:space="preserve">, Qal Perfekt, 3. Person Maskulinum Singular, „kommen", </w:t>
      </w:r>
      <w:r>
        <w:rPr>
          <w:rStyle w:val="Fett"/>
          <w:rFonts w:eastAsiaTheme="majorEastAsia"/>
          <w:rtl/>
        </w:rPr>
        <w:t>מִן</w:t>
      </w:r>
      <w:r>
        <w:rPr>
          <w:rtl/>
        </w:rPr>
        <w:t xml:space="preserve"> </w:t>
      </w:r>
      <w:r>
        <w:t xml:space="preserve">mit </w:t>
      </w:r>
      <w:r>
        <w:rPr>
          <w:rStyle w:val="Fett"/>
          <w:rFonts w:eastAsiaTheme="majorEastAsia"/>
          <w:rtl/>
        </w:rPr>
        <w:t>רְבָבָה</w:t>
      </w:r>
      <w:r>
        <w:t xml:space="preserve">, „Myriade, Zehntausend", Plural Construct mit </w:t>
      </w:r>
      <w:r>
        <w:rPr>
          <w:rStyle w:val="Fett"/>
          <w:rFonts w:eastAsiaTheme="majorEastAsia"/>
          <w:rtl/>
        </w:rPr>
        <w:t>קֹדֶשׁ</w:t>
      </w:r>
      <w:r>
        <w:t xml:space="preserve">, „Heiligkeit" (= „heilige Myriaden"), </w:t>
      </w:r>
      <w:r>
        <w:rPr>
          <w:rStyle w:val="Fett"/>
          <w:rFonts w:eastAsiaTheme="majorEastAsia"/>
          <w:rtl/>
        </w:rPr>
        <w:t>מִימִינוֹ</w:t>
      </w:r>
      <w:r>
        <w:t xml:space="preserve">, </w:t>
      </w:r>
      <w:r>
        <w:rPr>
          <w:rStyle w:val="Fett"/>
          <w:rFonts w:eastAsiaTheme="majorEastAsia"/>
          <w:rtl/>
        </w:rPr>
        <w:t>אֵשׁ דָּת</w:t>
      </w:r>
      <w:r>
        <w:rPr>
          <w:rtl/>
        </w:rPr>
        <w:t xml:space="preserve"> </w:t>
      </w:r>
      <w:r>
        <w:t xml:space="preserve">(schwierige Formulierung, wahrscheinlich: „Feuergesetz" oder „Gesetzesfeuer"), </w:t>
      </w:r>
      <w:r>
        <w:rPr>
          <w:rStyle w:val="Fett"/>
          <w:rFonts w:eastAsiaTheme="majorEastAsia"/>
          <w:rtl/>
        </w:rPr>
        <w:t>לָמוֹ</w:t>
      </w:r>
      <w:r>
        <w:t>).</w:t>
      </w:r>
    </w:p>
    <w:p w14:paraId="46B2D443" w14:textId="22E10517" w:rsidR="00EE5F59" w:rsidRDefault="00EE5F59" w:rsidP="00EE5F59">
      <w:pPr>
        <w:pStyle w:val="whitespace-normal"/>
      </w:pPr>
      <w:r>
        <w:t xml:space="preserve">Der Vers beschreibt Gottes Theophanie in poetischer Sprache. Die fünf Aussagen zeigen Gottes Kommen von verschiedenen Orten: </w:t>
      </w:r>
      <w:r>
        <w:rPr>
          <w:rStyle w:val="Fett"/>
          <w:rFonts w:eastAsiaTheme="majorEastAsia"/>
          <w:rtl/>
        </w:rPr>
        <w:t>יְהוָה מִסִּינַי בָּא וְזָרַח מִשֵּׂעִיר לָמוֹ הוֹפִיעַ מֵהַר פָּארָן וְאָתָה מֵרִבְבֹת קֹדֶשׁ מִימִינוֹ אֵשְׁדָּת לָמוֹ</w:t>
      </w:r>
      <w:r>
        <w:rPr>
          <w:rtl/>
        </w:rPr>
        <w:t xml:space="preserve"> </w:t>
      </w:r>
      <w:r>
        <w:t>(„</w:t>
      </w:r>
      <w:r w:rsidR="00272EAD">
        <w:t>JHWH</w:t>
      </w:r>
      <w:r>
        <w:t xml:space="preserve"> ist vom Sinai gekommen und aufgegangen von Seir für sie, hervorgestrahlt vom Berg Paran und gekommen von heiligen Myriaden; aus seiner Rechten Gesetzesfeuer für sie"). Drei geographische Orte: (1) </w:t>
      </w:r>
      <w:r>
        <w:rPr>
          <w:rStyle w:val="Fett"/>
          <w:rFonts w:eastAsiaTheme="majorEastAsia"/>
          <w:rtl/>
        </w:rPr>
        <w:t>סִינַי</w:t>
      </w:r>
      <w:r>
        <w:rPr>
          <w:rtl/>
        </w:rPr>
        <w:t xml:space="preserve"> </w:t>
      </w:r>
      <w:r>
        <w:t xml:space="preserve">(„Sinai") – der Berg der Gesetzgebung (vgl. Ex 19-20). (2) </w:t>
      </w:r>
      <w:r>
        <w:rPr>
          <w:rStyle w:val="Fett"/>
          <w:rFonts w:eastAsiaTheme="majorEastAsia"/>
          <w:rtl/>
        </w:rPr>
        <w:t>שֵׂעִיר</w:t>
      </w:r>
      <w:r>
        <w:rPr>
          <w:rtl/>
        </w:rPr>
        <w:t xml:space="preserve"> </w:t>
      </w:r>
      <w:r>
        <w:t xml:space="preserve">(„Seir") – Gebirge in Edom (vgl. Gen 32,4; 36,8-9; Num 24,18; Jos 24,4; Ri 5,4). (3) </w:t>
      </w:r>
      <w:r>
        <w:rPr>
          <w:rStyle w:val="Fett"/>
          <w:rFonts w:eastAsiaTheme="majorEastAsia"/>
          <w:rtl/>
        </w:rPr>
        <w:t>הַר פָּארָן</w:t>
      </w:r>
      <w:r>
        <w:rPr>
          <w:rtl/>
        </w:rPr>
        <w:t xml:space="preserve"> </w:t>
      </w:r>
      <w:r>
        <w:t xml:space="preserve">(„Berg Paran") – in der Wildnis Paran südlich von Kanaan (vgl. Gen 21,21; Num 10,12; 12,16; 13,3.26; </w:t>
      </w:r>
      <w:r w:rsidR="00664EB6">
        <w:t>1Sam</w:t>
      </w:r>
      <w:r>
        <w:t xml:space="preserve"> 25,1; Hab 3,3). Die drei Verben </w:t>
      </w:r>
      <w:r>
        <w:rPr>
          <w:rStyle w:val="Fett"/>
          <w:rFonts w:eastAsiaTheme="majorEastAsia"/>
          <w:rtl/>
        </w:rPr>
        <w:t>בוא</w:t>
      </w:r>
      <w:r>
        <w:rPr>
          <w:rtl/>
        </w:rPr>
        <w:t xml:space="preserve"> </w:t>
      </w:r>
      <w:r>
        <w:t xml:space="preserve">(„kommen"), </w:t>
      </w:r>
      <w:r>
        <w:rPr>
          <w:rStyle w:val="Fett"/>
          <w:rFonts w:eastAsiaTheme="majorEastAsia"/>
          <w:rtl/>
        </w:rPr>
        <w:t>זרח</w:t>
      </w:r>
      <w:r>
        <w:rPr>
          <w:rtl/>
        </w:rPr>
        <w:t xml:space="preserve"> </w:t>
      </w:r>
      <w:r>
        <w:t xml:space="preserve">(„aufgehen, leuchten") und </w:t>
      </w:r>
      <w:r>
        <w:rPr>
          <w:rStyle w:val="Fett"/>
          <w:rFonts w:eastAsiaTheme="majorEastAsia"/>
          <w:rtl/>
        </w:rPr>
        <w:t>יפע</w:t>
      </w:r>
      <w:r>
        <w:rPr>
          <w:rtl/>
        </w:rPr>
        <w:t xml:space="preserve"> </w:t>
      </w:r>
      <w:r>
        <w:t xml:space="preserve">(„hervorstrahlen") sind Steigerungen und beschreiben Gottes glorreiche Erscheinung wie die aufgehende Sonne (vgl. Ri 5,4-5; Ps 68,8-9.18; Hab 3,3). Die Formulierung </w:t>
      </w:r>
      <w:r>
        <w:rPr>
          <w:rStyle w:val="Fett"/>
          <w:rFonts w:eastAsiaTheme="majorEastAsia"/>
          <w:rtl/>
        </w:rPr>
        <w:t>מֵרִבְבֹת קֹדֶשׁ</w:t>
      </w:r>
      <w:r>
        <w:rPr>
          <w:rtl/>
        </w:rPr>
        <w:t xml:space="preserve"> </w:t>
      </w:r>
      <w:r>
        <w:t xml:space="preserve">(„von heiligen Myriaden") beschreibt Gottes himmlisches Gefolge – Engel (vgl. Ps 68,18; Dan 7,10; Sach 14,5). </w:t>
      </w:r>
      <w:r w:rsidR="00AD6187">
        <w:t xml:space="preserve">Alternativ wird </w:t>
      </w:r>
      <w:r w:rsidR="00AD6187">
        <w:rPr>
          <w:rtl/>
        </w:rPr>
        <w:t>מֵרִבְבֹת קֹדֶשׁ</w:t>
      </w:r>
      <w:r w:rsidR="00AD6187">
        <w:t xml:space="preserve"> manchmal als geographische Angabe „von Meriba-Kadesch" verstanden (die LXX liest </w:t>
      </w:r>
      <w:proofErr w:type="spellStart"/>
      <w:r w:rsidR="00AD6187">
        <w:t>σὺν</w:t>
      </w:r>
      <w:proofErr w:type="spellEnd"/>
      <w:r w:rsidR="00AD6187">
        <w:t xml:space="preserve"> </w:t>
      </w:r>
      <w:proofErr w:type="spellStart"/>
      <w:r w:rsidR="00AD6187">
        <w:t>μυριάσιν</w:t>
      </w:r>
      <w:proofErr w:type="spellEnd"/>
      <w:r w:rsidR="00AD6187">
        <w:t xml:space="preserve"> </w:t>
      </w:r>
      <w:proofErr w:type="spellStart"/>
      <w:r w:rsidR="00AD6187">
        <w:t>Κάδης</w:t>
      </w:r>
      <w:proofErr w:type="spellEnd"/>
      <w:r w:rsidR="00AD6187">
        <w:t xml:space="preserve"> „mit Myriaden von Kadesch" und scheint diese Interpretation zu stützen), doch die Parallelität mit den himmlischen Heerscharen in der poetischen Struktur spricht eher für „heilige Myriaden" als Engel. </w:t>
      </w:r>
      <w:r>
        <w:t xml:space="preserve">Die schwierige Formulierung </w:t>
      </w:r>
      <w:r>
        <w:rPr>
          <w:rStyle w:val="Fett"/>
          <w:rFonts w:eastAsiaTheme="majorEastAsia"/>
          <w:rtl/>
        </w:rPr>
        <w:t>אֵשְׁדָּת</w:t>
      </w:r>
      <w:r>
        <w:rPr>
          <w:rtl/>
        </w:rPr>
        <w:t xml:space="preserve"> </w:t>
      </w:r>
      <w:r>
        <w:t xml:space="preserve">wird meist als </w:t>
      </w:r>
      <w:r>
        <w:rPr>
          <w:rStyle w:val="Fett"/>
          <w:rFonts w:eastAsiaTheme="majorEastAsia"/>
          <w:rtl/>
        </w:rPr>
        <w:t>אֵשׁ דָּת</w:t>
      </w:r>
      <w:r>
        <w:rPr>
          <w:rtl/>
        </w:rPr>
        <w:t xml:space="preserve"> </w:t>
      </w:r>
      <w:r>
        <w:t xml:space="preserve">(„Feuergesetz" oder „Gesetzesfeuer") verstanden – das Gesetz ging aus wie Feuer von Gottes </w:t>
      </w:r>
      <w:r>
        <w:lastRenderedPageBreak/>
        <w:t>rechter Hand (vgl. Ex 19,18; 20,18; 24,17; Hab 3,4). Die Septuaginta liest hier „Engel zu seiner Rechten mit ihm".</w:t>
      </w:r>
    </w:p>
    <w:p w14:paraId="78AFEF12" w14:textId="0A7AA8DE" w:rsidR="000115C1" w:rsidRDefault="000115C1" w:rsidP="00EE5F59">
      <w:pPr>
        <w:pStyle w:val="whitespace-normal"/>
      </w:pPr>
      <w:r>
        <w:rPr>
          <w:rStyle w:val="Fett"/>
        </w:rPr>
        <w:t>Die LXX</w:t>
      </w:r>
      <w:r>
        <w:t xml:space="preserve"> übersetzt die schwierige Wendung </w:t>
      </w:r>
      <w:r w:rsidRPr="00AD6187">
        <w:rPr>
          <w:b/>
          <w:bCs/>
          <w:rtl/>
        </w:rPr>
        <w:t>וְאָתָה מֵרִבְבֹת קֹדֶשׁ</w:t>
      </w:r>
      <w:r>
        <w:t xml:space="preserve"> (und er kam von Zehntausenden der Heiligkeit) mit </w:t>
      </w:r>
      <w:proofErr w:type="spellStart"/>
      <w:r>
        <w:t>σὺν</w:t>
      </w:r>
      <w:proofErr w:type="spellEnd"/>
      <w:r>
        <w:t xml:space="preserve"> </w:t>
      </w:r>
      <w:proofErr w:type="spellStart"/>
      <w:r>
        <w:t>μυριάσιν</w:t>
      </w:r>
      <w:proofErr w:type="spellEnd"/>
      <w:r>
        <w:t xml:space="preserve"> Κα</w:t>
      </w:r>
      <w:proofErr w:type="spellStart"/>
      <w:r>
        <w:t>δής</w:t>
      </w:r>
      <w:proofErr w:type="spellEnd"/>
      <w:r>
        <w:t xml:space="preserve"> (mit Myriaden von Kadesch) – eine geographische Interpretation statt einer Beschreibung himmlischer Heerscharen. Das Wort </w:t>
      </w:r>
      <w:r>
        <w:rPr>
          <w:rtl/>
        </w:rPr>
        <w:t>אֵשְׁדָּת</w:t>
      </w:r>
      <w:r>
        <w:t xml:space="preserve"> (Feuer des Gesetzes? oder Abhänge?) wird mit </w:t>
      </w:r>
      <w:proofErr w:type="spellStart"/>
      <w:r>
        <w:t>ἄγγελοι</w:t>
      </w:r>
      <w:proofErr w:type="spellEnd"/>
      <w:r>
        <w:t xml:space="preserve"> </w:t>
      </w:r>
      <w:proofErr w:type="spellStart"/>
      <w:r>
        <w:t>μετʼ</w:t>
      </w:r>
      <w:proofErr w:type="spellEnd"/>
      <w:r>
        <w:t xml:space="preserve"> α</w:t>
      </w:r>
      <w:proofErr w:type="spellStart"/>
      <w:r>
        <w:t>ὐτοῦ</w:t>
      </w:r>
      <w:proofErr w:type="spellEnd"/>
      <w:r>
        <w:t xml:space="preserve"> (Engel mit ihm) übersetzt – eine theologisch bedeutsame Interpretation, die im NT (Apg 7,53; Gal 3,19; Hebr 2,2) aufgegriffen wird.</w:t>
      </w:r>
    </w:p>
    <w:p w14:paraId="5585E541" w14:textId="1412AB72" w:rsidR="00EE5F59" w:rsidRDefault="00EE5F59" w:rsidP="00EE5F59">
      <w:pPr>
        <w:pStyle w:val="whitespace-normal"/>
      </w:pPr>
      <w:r>
        <w:rPr>
          <w:rStyle w:val="Fett"/>
          <w:rFonts w:eastAsiaTheme="majorEastAsia"/>
        </w:rPr>
        <w:t>Die Satzstruktur:</w:t>
      </w:r>
      <w:r>
        <w:t xml:space="preserve"> Fünf Aussagen (</w:t>
      </w:r>
      <w:r w:rsidR="00272EAD">
        <w:t>JHWH</w:t>
      </w:r>
      <w:r>
        <w:t xml:space="preserve"> ist vom Sinai gekommen und aufgegangen von Seir für sie, hervorgestrahlt vom Berg Paran und gekommen von heiligen Myriaden; aus seiner Rechten Gesetzesfeuer für sie).</w:t>
      </w:r>
    </w:p>
    <w:p w14:paraId="2BF9AD42" w14:textId="31BDEDFA" w:rsidR="00EE5F59" w:rsidRDefault="00EE5F59" w:rsidP="00B77CC6">
      <w:pPr>
        <w:pStyle w:val="whitespace-normal"/>
      </w:pPr>
      <w:r>
        <w:rPr>
          <w:rStyle w:val="Fett"/>
          <w:rFonts w:eastAsiaTheme="majorEastAsia"/>
        </w:rPr>
        <w:t>Der Vers beschreibt:</w:t>
      </w:r>
      <w:r>
        <w:t xml:space="preserve"> Theophanie – Gottes glorreiche Erscheinung vom Sinai, Seir, Paran mit himmlischem Gefolge und Feuergesetz.</w:t>
      </w:r>
    </w:p>
    <w:p w14:paraId="24787C98" w14:textId="77777777" w:rsidR="00EE5F59" w:rsidRPr="00257FCB" w:rsidRDefault="00EE5F59" w:rsidP="00257FCB">
      <w:pPr>
        <w:pStyle w:val="Bibelberschrift"/>
        <w:rPr>
          <w:b w:val="0"/>
          <w:bCs/>
        </w:rPr>
      </w:pPr>
      <w:r w:rsidRPr="00257FCB">
        <w:rPr>
          <w:rStyle w:val="Fett"/>
          <w:b/>
          <w:bCs w:val="0"/>
        </w:rPr>
        <w:t>Deuteronomium 33,3</w:t>
      </w:r>
    </w:p>
    <w:p w14:paraId="3D508EDD" w14:textId="77777777" w:rsidR="00EE5F59" w:rsidRDefault="00EE5F59" w:rsidP="00EE5F59">
      <w:pPr>
        <w:pStyle w:val="whitespace-normal"/>
      </w:pPr>
      <w:r>
        <w:rPr>
          <w:rStyle w:val="Fett"/>
          <w:rFonts w:eastAsiaTheme="majorEastAsia"/>
        </w:rPr>
        <w:t>Hebräisch:</w:t>
      </w:r>
      <w:r>
        <w:t xml:space="preserve"> </w:t>
      </w:r>
      <w:r>
        <w:rPr>
          <w:rtl/>
        </w:rPr>
        <w:t>אַף חֹבֵב עַמִּים כָּל־קְדֹשָׁיו בְּיָדֶךָ וְהֵם תֻּכּוּ לְרַגְלֶךָ יִשָּׂא מִדַּבְּרֹתֶיךָ׃</w:t>
      </w:r>
    </w:p>
    <w:p w14:paraId="56857E3D" w14:textId="77777777" w:rsidR="00EE5F59" w:rsidRDefault="00EE5F59" w:rsidP="00EE5F59">
      <w:pPr>
        <w:pStyle w:val="whitespace-normal"/>
      </w:pPr>
      <w:r>
        <w:rPr>
          <w:rStyle w:val="Fett"/>
          <w:rFonts w:eastAsiaTheme="majorEastAsia"/>
        </w:rPr>
        <w:t>Deutsch:</w:t>
      </w:r>
      <w:r>
        <w:t xml:space="preserve"> Ja, er liebt die Völker; alle seine Heiligen sind in deiner Hand; und sie lagern zu deinen Füßen, ein jeder empfängt von deinen Worten.</w:t>
      </w:r>
    </w:p>
    <w:p w14:paraId="5A48CEB6" w14:textId="77777777" w:rsidR="00EE5F59" w:rsidRDefault="004F5CEB" w:rsidP="00EE5F59">
      <w:r>
        <w:rPr>
          <w:noProof/>
        </w:rPr>
        <w:pict w14:anchorId="7B99CAB1">
          <v:rect id="_x0000_i1913" style="width:0;height:1.5pt" o:hralign="center" o:hrstd="t" o:hr="t" fillcolor="#a0a0a0" stroked="f"/>
        </w:pict>
      </w:r>
    </w:p>
    <w:p w14:paraId="362F132E" w14:textId="77777777" w:rsidR="00EE5F59" w:rsidRDefault="00EE5F59" w:rsidP="00EE5F59">
      <w:pPr>
        <w:pStyle w:val="whitespace-normal"/>
      </w:pPr>
      <w:r>
        <w:rPr>
          <w:rStyle w:val="Fett"/>
          <w:rFonts w:eastAsiaTheme="majorEastAsia"/>
        </w:rPr>
        <w:t>Kommentar:</w:t>
      </w:r>
      <w:r>
        <w:t xml:space="preserve"> </w:t>
      </w:r>
      <w:r>
        <w:rPr>
          <w:rStyle w:val="Fett"/>
          <w:rFonts w:eastAsiaTheme="majorEastAsia"/>
          <w:rtl/>
        </w:rPr>
        <w:t>אַף חֹבֵב עַמִּים כָּל־קְדֹשָׁיו בְּיָדֶךָ וְהֵם תֻּכּוּ לְרַגְלֶךָ יִשָּׂא מִדַּבְּרֹתֶיךָ</w:t>
      </w:r>
      <w:r>
        <w:rPr>
          <w:rtl/>
        </w:rPr>
        <w:t xml:space="preserve"> </w:t>
      </w:r>
      <w:r>
        <w:t xml:space="preserve">sind vier Aussagen: </w:t>
      </w:r>
      <w:r>
        <w:rPr>
          <w:rStyle w:val="Fett"/>
          <w:rFonts w:eastAsiaTheme="majorEastAsia"/>
          <w:rtl/>
        </w:rPr>
        <w:t>אַף חֹבֵב עַמִּים</w:t>
      </w:r>
      <w:r>
        <w:rPr>
          <w:rtl/>
        </w:rPr>
        <w:t xml:space="preserve"> </w:t>
      </w:r>
      <w:r>
        <w:t>(</w:t>
      </w:r>
      <w:r>
        <w:rPr>
          <w:rStyle w:val="Fett"/>
          <w:rFonts w:eastAsiaTheme="majorEastAsia"/>
          <w:rtl/>
        </w:rPr>
        <w:t>אַף</w:t>
      </w:r>
      <w:r>
        <w:t xml:space="preserve">, „ja, auch", </w:t>
      </w:r>
      <w:r>
        <w:rPr>
          <w:rStyle w:val="Fett"/>
          <w:rFonts w:eastAsiaTheme="majorEastAsia"/>
          <w:rtl/>
        </w:rPr>
        <w:t>חבב</w:t>
      </w:r>
      <w:r>
        <w:t xml:space="preserve">, Qal Partizip Maskulinum Singular, „lieben", </w:t>
      </w:r>
      <w:r>
        <w:rPr>
          <w:rStyle w:val="Fett"/>
          <w:rFonts w:eastAsiaTheme="majorEastAsia"/>
          <w:rtl/>
        </w:rPr>
        <w:t>עַם</w:t>
      </w:r>
      <w:r>
        <w:t xml:space="preserve">, „Völker, Stämme", Plural), </w:t>
      </w:r>
      <w:r>
        <w:rPr>
          <w:rStyle w:val="Fett"/>
          <w:rFonts w:eastAsiaTheme="majorEastAsia"/>
          <w:rtl/>
        </w:rPr>
        <w:t>כָּל־קְדֹשָׁיו בְּיָדֶךָ</w:t>
      </w:r>
      <w:r>
        <w:rPr>
          <w:rtl/>
        </w:rPr>
        <w:t xml:space="preserve"> </w:t>
      </w:r>
      <w:r>
        <w:t>(</w:t>
      </w:r>
      <w:r>
        <w:rPr>
          <w:rStyle w:val="Fett"/>
          <w:rFonts w:eastAsiaTheme="majorEastAsia"/>
          <w:rtl/>
        </w:rPr>
        <w:t>כָּל־קָדוֹשׁ</w:t>
      </w:r>
      <w:r>
        <w:t xml:space="preserve">, „Heiliger", Plural mit Suffix 3. Person Maskulinum Singular, </w:t>
      </w:r>
      <w:r>
        <w:rPr>
          <w:rStyle w:val="Fett"/>
          <w:rFonts w:eastAsiaTheme="majorEastAsia"/>
          <w:rtl/>
        </w:rPr>
        <w:t>בְּיָדֶךָ</w:t>
      </w:r>
      <w:r>
        <w:t xml:space="preserve">), </w:t>
      </w:r>
      <w:r>
        <w:rPr>
          <w:rStyle w:val="Fett"/>
          <w:rFonts w:eastAsiaTheme="majorEastAsia"/>
          <w:rtl/>
        </w:rPr>
        <w:t>וְהֵם תֻּכּוּ לְרַגְלֶךָ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הֵם</w:t>
      </w:r>
      <w:r>
        <w:t xml:space="preserve">, </w:t>
      </w:r>
      <w:r>
        <w:rPr>
          <w:rStyle w:val="Fett"/>
          <w:rFonts w:eastAsiaTheme="majorEastAsia"/>
          <w:rtl/>
        </w:rPr>
        <w:t>תכה</w:t>
      </w:r>
      <w:r>
        <w:t xml:space="preserve">, schwierige Form, wahrscheinlich von </w:t>
      </w:r>
      <w:r>
        <w:rPr>
          <w:rStyle w:val="Fett"/>
          <w:rFonts w:eastAsiaTheme="majorEastAsia"/>
          <w:rtl/>
        </w:rPr>
        <w:t>תכה</w:t>
      </w:r>
      <w:r>
        <w:rPr>
          <w:rtl/>
        </w:rPr>
        <w:t xml:space="preserve"> </w:t>
      </w:r>
      <w:r>
        <w:t xml:space="preserve">oder zu lesen als </w:t>
      </w:r>
      <w:r>
        <w:rPr>
          <w:rStyle w:val="Fett"/>
          <w:rFonts w:eastAsiaTheme="majorEastAsia"/>
          <w:rtl/>
        </w:rPr>
        <w:t>תּוּכוּ</w:t>
      </w:r>
      <w:r>
        <w:rPr>
          <w:rtl/>
        </w:rPr>
        <w:t xml:space="preserve"> </w:t>
      </w:r>
      <w:r>
        <w:t xml:space="preserve">von </w:t>
      </w:r>
      <w:r>
        <w:rPr>
          <w:rStyle w:val="Fett"/>
          <w:rFonts w:eastAsiaTheme="majorEastAsia"/>
          <w:rtl/>
        </w:rPr>
        <w:t>תוך</w:t>
      </w:r>
      <w:r>
        <w:t xml:space="preserve">, „lagern, sich niederlassen", Pual Perfekt, 3. Person Plural, </w:t>
      </w:r>
      <w:r>
        <w:rPr>
          <w:rStyle w:val="Fett"/>
          <w:rFonts w:eastAsiaTheme="majorEastAsia"/>
          <w:rtl/>
        </w:rPr>
        <w:t>לְרֶגֶל</w:t>
      </w:r>
      <w:r>
        <w:rPr>
          <w:rtl/>
        </w:rPr>
        <w:t xml:space="preserve"> </w:t>
      </w:r>
      <w:r>
        <w:t xml:space="preserve">mit Suffix), </w:t>
      </w:r>
      <w:r>
        <w:rPr>
          <w:rStyle w:val="Fett"/>
          <w:rFonts w:eastAsiaTheme="majorEastAsia"/>
          <w:rtl/>
        </w:rPr>
        <w:t>יִשָּׂא מִדַּבְּרֹתֶיךָ</w:t>
      </w:r>
      <w:r>
        <w:rPr>
          <w:rtl/>
        </w:rPr>
        <w:t xml:space="preserve"> </w:t>
      </w:r>
      <w:r>
        <w:t>(</w:t>
      </w:r>
      <w:r>
        <w:rPr>
          <w:rStyle w:val="Fett"/>
          <w:rFonts w:eastAsiaTheme="majorEastAsia"/>
          <w:rtl/>
        </w:rPr>
        <w:t>נשׂא</w:t>
      </w:r>
      <w:r>
        <w:t xml:space="preserve">, Qal Imperfekt, 3. Person Maskulinum Singular, „tragen, empfangen", </w:t>
      </w:r>
      <w:r>
        <w:rPr>
          <w:rStyle w:val="Fett"/>
          <w:rFonts w:eastAsiaTheme="majorEastAsia"/>
          <w:rtl/>
        </w:rPr>
        <w:t>מִן</w:t>
      </w:r>
      <w:r>
        <w:rPr>
          <w:rtl/>
        </w:rPr>
        <w:t xml:space="preserve"> </w:t>
      </w:r>
      <w:r>
        <w:t xml:space="preserve">mit </w:t>
      </w:r>
      <w:r>
        <w:rPr>
          <w:rStyle w:val="Fett"/>
          <w:rFonts w:eastAsiaTheme="majorEastAsia"/>
          <w:rtl/>
        </w:rPr>
        <w:t>דַּבָּרָה</w:t>
      </w:r>
      <w:r>
        <w:t>, „Wort, Rede", Plural mit Suffix).</w:t>
      </w:r>
    </w:p>
    <w:p w14:paraId="46FF973D" w14:textId="7A374315" w:rsidR="00EE5F59" w:rsidRDefault="00EE5F59" w:rsidP="00EE5F59">
      <w:pPr>
        <w:pStyle w:val="whitespace-normal"/>
      </w:pPr>
      <w:r>
        <w:t xml:space="preserve">Der Vers beschreibt Gottes Liebe zu seinem Volk und ihre Unterwerfung unter ihn. Die vier Aussagen: </w:t>
      </w:r>
      <w:r>
        <w:rPr>
          <w:rStyle w:val="Fett"/>
          <w:rFonts w:eastAsiaTheme="majorEastAsia"/>
          <w:rtl/>
        </w:rPr>
        <w:t>אַף חֹבֵב עַמִּים כָּל־קְדֹשָׁיו בְּיָדֶךָ וְהֵם תֻּכּוּ לְרַגְלֶךָ יִשָּׂא מִדַּבְּרֹתֶיךָ</w:t>
      </w:r>
      <w:r>
        <w:rPr>
          <w:rtl/>
        </w:rPr>
        <w:t xml:space="preserve"> </w:t>
      </w:r>
      <w:r>
        <w:t xml:space="preserve">(„ja, er liebt die Völker/Stämme; alle seine Heiligen sind in deiner Hand; und sie lagern zu deinen Füßen, ein jeder empfängt von deinen Worten"). Die erste Aussage: </w:t>
      </w:r>
      <w:r>
        <w:rPr>
          <w:rStyle w:val="Fett"/>
          <w:rFonts w:eastAsiaTheme="majorEastAsia"/>
          <w:rtl/>
        </w:rPr>
        <w:t>חֹבֵב עַמִּים</w:t>
      </w:r>
      <w:r>
        <w:rPr>
          <w:rtl/>
        </w:rPr>
        <w:t xml:space="preserve"> </w:t>
      </w:r>
      <w:r>
        <w:t xml:space="preserve">(„er liebt die Völker/Stämme"). Der Begriff </w:t>
      </w:r>
      <w:r>
        <w:rPr>
          <w:rStyle w:val="Fett"/>
          <w:rFonts w:eastAsiaTheme="majorEastAsia"/>
          <w:rtl/>
        </w:rPr>
        <w:t>עַמִּים</w:t>
      </w:r>
      <w:r>
        <w:rPr>
          <w:rtl/>
        </w:rPr>
        <w:t xml:space="preserve"> </w:t>
      </w:r>
      <w:r>
        <w:t xml:space="preserve">kann hier „Völker" im allgemeinen Sinne bedeuten (dann: Gott liebt alle Völker) oder „Stämme" (dann: die Stämme Israels). Der Kontext spricht eher für „Stämme Israels" (vgl. die Segnung der einzelnen Stämme in V. 6-25). Die zweite Aussage: </w:t>
      </w:r>
      <w:r>
        <w:rPr>
          <w:rStyle w:val="Fett"/>
          <w:rFonts w:eastAsiaTheme="majorEastAsia"/>
          <w:rtl/>
        </w:rPr>
        <w:t>כָּל־קְדֹשָׁיו בְּיָדֶךָ</w:t>
      </w:r>
      <w:r>
        <w:rPr>
          <w:rtl/>
        </w:rPr>
        <w:t xml:space="preserve"> </w:t>
      </w:r>
      <w:r>
        <w:t xml:space="preserve">(„alle seine Heiligen sind in deiner Hand"). Die </w:t>
      </w:r>
      <w:r>
        <w:rPr>
          <w:rStyle w:val="Fett"/>
          <w:rFonts w:eastAsiaTheme="majorEastAsia"/>
          <w:rtl/>
        </w:rPr>
        <w:t>קְדֹשִׁים</w:t>
      </w:r>
      <w:r>
        <w:rPr>
          <w:rtl/>
        </w:rPr>
        <w:t xml:space="preserve"> </w:t>
      </w:r>
      <w:r>
        <w:t xml:space="preserve">(„Heiligen") sind die Israeliten (vgl. Ex 19,6; Lev 19,2; Num 16,3; Ps 16,3; 34,10; Dan 7,18.21-22.25.27). Die Formulierung </w:t>
      </w:r>
      <w:r>
        <w:rPr>
          <w:rStyle w:val="Fett"/>
          <w:rFonts w:eastAsiaTheme="majorEastAsia"/>
          <w:rtl/>
        </w:rPr>
        <w:t>בְּיָדֶךָ</w:t>
      </w:r>
      <w:r>
        <w:rPr>
          <w:rtl/>
        </w:rPr>
        <w:t xml:space="preserve"> </w:t>
      </w:r>
      <w:r>
        <w:t xml:space="preserve">(„in deiner Hand") drückt Schutz und Bewahrung aus (vgl. 1,31; Jes 41,10; 43,1; Joh 10,28-29). Die dritte Aussage: </w:t>
      </w:r>
      <w:r>
        <w:rPr>
          <w:rStyle w:val="Fett"/>
          <w:rFonts w:eastAsiaTheme="majorEastAsia"/>
          <w:rtl/>
        </w:rPr>
        <w:t>תֻּכּוּ לְרַגְלֶךָ</w:t>
      </w:r>
      <w:r>
        <w:rPr>
          <w:rtl/>
        </w:rPr>
        <w:t xml:space="preserve"> </w:t>
      </w:r>
      <w:r>
        <w:t xml:space="preserve">(„sie lagern zu deinen Füßen") beschreibt die Position von Schülern oder Untergebenen (vgl. Ri 4,10; 5,15; </w:t>
      </w:r>
      <w:r w:rsidR="00664EB6">
        <w:t>2Kön</w:t>
      </w:r>
      <w:r>
        <w:t xml:space="preserve"> 4,37; Lk </w:t>
      </w:r>
      <w:r>
        <w:lastRenderedPageBreak/>
        <w:t xml:space="preserve">10,39; Apg 22,3). Die vierte Aussage: </w:t>
      </w:r>
      <w:r>
        <w:rPr>
          <w:rStyle w:val="Fett"/>
          <w:rFonts w:eastAsiaTheme="majorEastAsia"/>
          <w:rtl/>
        </w:rPr>
        <w:t>יִשָּׂא מִדַּבְּרֹתֶיךָ</w:t>
      </w:r>
      <w:r>
        <w:rPr>
          <w:rtl/>
        </w:rPr>
        <w:t xml:space="preserve"> </w:t>
      </w:r>
      <w:r>
        <w:t>(„ein jeder empfängt von deinen Worten") – sie nehmen Gottes Worte auf.</w:t>
      </w:r>
    </w:p>
    <w:p w14:paraId="6600CEE5" w14:textId="4E75A44F" w:rsidR="000115C1" w:rsidRDefault="000115C1" w:rsidP="00EE5F59">
      <w:pPr>
        <w:pStyle w:val="whitespace-normal"/>
      </w:pPr>
      <w:r>
        <w:rPr>
          <w:rStyle w:val="Fett"/>
        </w:rPr>
        <w:t>Die LXX</w:t>
      </w:r>
      <w:r>
        <w:t xml:space="preserve"> übersetzt </w:t>
      </w:r>
      <w:r>
        <w:rPr>
          <w:rtl/>
        </w:rPr>
        <w:t>אַף חֹבֵב עַמִּים</w:t>
      </w:r>
      <w:r>
        <w:t xml:space="preserve"> (ja, er liebt die Völker) mit καὶ </w:t>
      </w:r>
      <w:proofErr w:type="spellStart"/>
      <w:r>
        <w:t>ἐφείσ</w:t>
      </w:r>
      <w:proofErr w:type="spellEnd"/>
      <w:r>
        <w:t xml:space="preserve">ατο </w:t>
      </w:r>
      <w:proofErr w:type="spellStart"/>
      <w:r>
        <w:t>τοῦ</w:t>
      </w:r>
      <w:proofErr w:type="spellEnd"/>
      <w:r>
        <w:t xml:space="preserve"> λα</w:t>
      </w:r>
      <w:proofErr w:type="spellStart"/>
      <w:r>
        <w:t>οῦ</w:t>
      </w:r>
      <w:proofErr w:type="spellEnd"/>
      <w:r>
        <w:t xml:space="preserve"> α</w:t>
      </w:r>
      <w:proofErr w:type="spellStart"/>
      <w:r>
        <w:t>ὐτοῦ</w:t>
      </w:r>
      <w:proofErr w:type="spellEnd"/>
      <w:r>
        <w:t xml:space="preserve"> (und er schonte sein Volk) – eine völlig andere Bedeutung. Die Wendung </w:t>
      </w:r>
      <w:r>
        <w:rPr>
          <w:rtl/>
        </w:rPr>
        <w:t>וְהֵם תֻּכּוּ לְרַגְלֶךָ</w:t>
      </w:r>
      <w:r>
        <w:t xml:space="preserve"> (und sie lagerten sich zu deinen Füßen) wird mit καὶ </w:t>
      </w:r>
      <w:proofErr w:type="spellStart"/>
      <w:r>
        <w:t>οὗτοι</w:t>
      </w:r>
      <w:proofErr w:type="spellEnd"/>
      <w:r>
        <w:t xml:space="preserve"> ὑπὸ </w:t>
      </w:r>
      <w:proofErr w:type="spellStart"/>
      <w:r>
        <w:t>σέ</w:t>
      </w:r>
      <w:proofErr w:type="spellEnd"/>
      <w:r>
        <w:t xml:space="preserve"> </w:t>
      </w:r>
      <w:proofErr w:type="spellStart"/>
      <w:r>
        <w:t>εἰσιν</w:t>
      </w:r>
      <w:proofErr w:type="spellEnd"/>
      <w:r>
        <w:t xml:space="preserve"> (und diese sind unter dir) übersetzt.</w:t>
      </w:r>
    </w:p>
    <w:p w14:paraId="5659DC98" w14:textId="77777777" w:rsidR="00EE5F59" w:rsidRDefault="00EE5F59" w:rsidP="00EE5F59">
      <w:pPr>
        <w:pStyle w:val="whitespace-normal"/>
      </w:pPr>
      <w:r>
        <w:rPr>
          <w:rStyle w:val="Fett"/>
          <w:rFonts w:eastAsiaTheme="majorEastAsia"/>
        </w:rPr>
        <w:t>Die Satzstruktur:</w:t>
      </w:r>
      <w:r>
        <w:t xml:space="preserve"> Vier Aussagen (ja, er liebt die Völker/Stämme; alle seine Heiligen sind in deiner Hand; und sie lagern zu deinen Füßen, ein jeder empfängt von deinen Worten).</w:t>
      </w:r>
    </w:p>
    <w:p w14:paraId="0BC8C8A1" w14:textId="0B6880F6" w:rsidR="00EE5F59" w:rsidRDefault="00EE5F59" w:rsidP="00B77CC6">
      <w:pPr>
        <w:pStyle w:val="whitespace-normal"/>
      </w:pPr>
      <w:r>
        <w:rPr>
          <w:rStyle w:val="Fett"/>
          <w:rFonts w:eastAsiaTheme="majorEastAsia"/>
        </w:rPr>
        <w:t>Der Vers beschreibt:</w:t>
      </w:r>
      <w:r>
        <w:t xml:space="preserve"> Gottes Liebe und Schutz – die Stämme Israels sind Gottes Heilige, in seiner Hand, lagern zu seinen Füßen, empfangen seine Worte.</w:t>
      </w:r>
    </w:p>
    <w:p w14:paraId="30C58256" w14:textId="77777777" w:rsidR="00EE5F59" w:rsidRPr="00257FCB" w:rsidRDefault="00EE5F59" w:rsidP="00257FCB">
      <w:pPr>
        <w:pStyle w:val="Bibelberschrift"/>
        <w:rPr>
          <w:b w:val="0"/>
          <w:bCs/>
        </w:rPr>
      </w:pPr>
      <w:r w:rsidRPr="00257FCB">
        <w:rPr>
          <w:rStyle w:val="Fett"/>
          <w:b/>
          <w:bCs w:val="0"/>
        </w:rPr>
        <w:t>Deuteronomium 33,4</w:t>
      </w:r>
    </w:p>
    <w:p w14:paraId="2425D969" w14:textId="77777777" w:rsidR="00EE5F59" w:rsidRDefault="00EE5F59" w:rsidP="00EE5F59">
      <w:pPr>
        <w:pStyle w:val="whitespace-normal"/>
      </w:pPr>
      <w:r>
        <w:rPr>
          <w:rStyle w:val="Fett"/>
          <w:rFonts w:eastAsiaTheme="majorEastAsia"/>
        </w:rPr>
        <w:t>Hebräisch:</w:t>
      </w:r>
      <w:r>
        <w:t xml:space="preserve"> </w:t>
      </w:r>
      <w:r>
        <w:rPr>
          <w:rtl/>
        </w:rPr>
        <w:t>תּוֹרָה צִוָּה־לָנוּ מֹשֶׁה מוֹרָשָׁה קְהִלַּת יַעֲקֹב׃</w:t>
      </w:r>
    </w:p>
    <w:p w14:paraId="5B126583" w14:textId="77777777" w:rsidR="00EE5F59" w:rsidRDefault="00EE5F59" w:rsidP="00EE5F59">
      <w:pPr>
        <w:pStyle w:val="whitespace-normal"/>
      </w:pPr>
      <w:r>
        <w:rPr>
          <w:rStyle w:val="Fett"/>
          <w:rFonts w:eastAsiaTheme="majorEastAsia"/>
        </w:rPr>
        <w:t>Deutsch:</w:t>
      </w:r>
      <w:r>
        <w:t xml:space="preserve"> Ein Gesetz hat uns Mosche geboten, ein Erbe der Versammlung Jakobs.</w:t>
      </w:r>
    </w:p>
    <w:p w14:paraId="6BCD40A8" w14:textId="77777777" w:rsidR="00EE5F59" w:rsidRDefault="004F5CEB" w:rsidP="00EE5F59">
      <w:r>
        <w:rPr>
          <w:noProof/>
        </w:rPr>
        <w:pict w14:anchorId="2072A382">
          <v:rect id="_x0000_i1914" style="width:0;height:1.5pt" o:hralign="center" o:hrstd="t" o:hr="t" fillcolor="#a0a0a0" stroked="f"/>
        </w:pict>
      </w:r>
    </w:p>
    <w:p w14:paraId="3C3666B7" w14:textId="77777777" w:rsidR="00EE5F59" w:rsidRDefault="00EE5F59" w:rsidP="00EE5F59">
      <w:pPr>
        <w:pStyle w:val="whitespace-normal"/>
      </w:pPr>
      <w:r>
        <w:rPr>
          <w:rStyle w:val="Fett"/>
          <w:rFonts w:eastAsiaTheme="majorEastAsia"/>
        </w:rPr>
        <w:t>Kommentar:</w:t>
      </w:r>
      <w:r>
        <w:t xml:space="preserve"> </w:t>
      </w:r>
      <w:r>
        <w:rPr>
          <w:rStyle w:val="Fett"/>
          <w:rFonts w:eastAsiaTheme="majorEastAsia"/>
          <w:rtl/>
        </w:rPr>
        <w:t>תּוֹרָה צִוָּה־לָנוּ מֹשֶׁה מוֹרָשָׁה קְהִלַּת יַעֲקֹב</w:t>
      </w:r>
      <w:r>
        <w:rPr>
          <w:rtl/>
        </w:rPr>
        <w:t xml:space="preserve"> </w:t>
      </w:r>
      <w:r>
        <w:t xml:space="preserve">sind zwei Aussagen: </w:t>
      </w:r>
      <w:r>
        <w:rPr>
          <w:rStyle w:val="Fett"/>
          <w:rFonts w:eastAsiaTheme="majorEastAsia"/>
          <w:rtl/>
        </w:rPr>
        <w:t>תּוֹרָה צִוָּה־לָנוּ מֹשֶׁה</w:t>
      </w:r>
      <w:r>
        <w:rPr>
          <w:rtl/>
        </w:rPr>
        <w:t xml:space="preserve"> </w:t>
      </w:r>
      <w:r>
        <w:t>(</w:t>
      </w:r>
      <w:r>
        <w:rPr>
          <w:rStyle w:val="Fett"/>
          <w:rFonts w:eastAsiaTheme="majorEastAsia"/>
          <w:rtl/>
        </w:rPr>
        <w:t>תּוֹרָה</w:t>
      </w:r>
      <w:r>
        <w:rPr>
          <w:rtl/>
        </w:rPr>
        <w:t xml:space="preserve"> </w:t>
      </w:r>
      <w:r>
        <w:t xml:space="preserve">als Objekt vorangestellt, </w:t>
      </w:r>
      <w:r>
        <w:rPr>
          <w:rStyle w:val="Fett"/>
          <w:rFonts w:eastAsiaTheme="majorEastAsia"/>
          <w:rtl/>
        </w:rPr>
        <w:t>צוה</w:t>
      </w:r>
      <w:r>
        <w:t xml:space="preserve">, Piel Perfekt, 3. Person Maskulinum Singular, </w:t>
      </w:r>
      <w:r>
        <w:rPr>
          <w:rStyle w:val="Fett"/>
          <w:rFonts w:eastAsiaTheme="majorEastAsia"/>
          <w:rtl/>
        </w:rPr>
        <w:t>לָנוּ</w:t>
      </w:r>
      <w:r>
        <w:t xml:space="preserve">, </w:t>
      </w:r>
      <w:r>
        <w:rPr>
          <w:rStyle w:val="Fett"/>
          <w:rFonts w:eastAsiaTheme="majorEastAsia"/>
          <w:rtl/>
        </w:rPr>
        <w:t>מֹשֶׁה</w:t>
      </w:r>
      <w:r>
        <w:rPr>
          <w:rtl/>
        </w:rPr>
        <w:t xml:space="preserve"> </w:t>
      </w:r>
      <w:r>
        <w:t xml:space="preserve">als Subjekt), </w:t>
      </w:r>
      <w:r>
        <w:rPr>
          <w:rStyle w:val="Fett"/>
          <w:rFonts w:eastAsiaTheme="majorEastAsia"/>
          <w:rtl/>
        </w:rPr>
        <w:t>מוֹרָשָׁה קְהִלַּת יַעֲקֹב</w:t>
      </w:r>
      <w:r>
        <w:rPr>
          <w:rtl/>
        </w:rPr>
        <w:t xml:space="preserve"> </w:t>
      </w:r>
      <w:r>
        <w:t>(</w:t>
      </w:r>
      <w:r>
        <w:rPr>
          <w:rStyle w:val="Fett"/>
          <w:rFonts w:eastAsiaTheme="majorEastAsia"/>
          <w:rtl/>
        </w:rPr>
        <w:t>מוֹרָשָׁה</w:t>
      </w:r>
      <w:r>
        <w:t xml:space="preserve">, „Erbe, Besitz", Apposition, </w:t>
      </w:r>
      <w:r>
        <w:rPr>
          <w:rStyle w:val="Fett"/>
          <w:rFonts w:eastAsiaTheme="majorEastAsia"/>
          <w:rtl/>
        </w:rPr>
        <w:t>קְהִלָּה</w:t>
      </w:r>
      <w:r>
        <w:t xml:space="preserve">, „Versammlung, Gemeinde", Construct mit </w:t>
      </w:r>
      <w:r>
        <w:rPr>
          <w:rStyle w:val="Fett"/>
          <w:rFonts w:eastAsiaTheme="majorEastAsia"/>
          <w:rtl/>
        </w:rPr>
        <w:t>יַעֲקֹב</w:t>
      </w:r>
      <w:r>
        <w:t>).</w:t>
      </w:r>
    </w:p>
    <w:p w14:paraId="0E0F53B9" w14:textId="4C10F5FB" w:rsidR="00EE5F59" w:rsidRDefault="00EE5F59" w:rsidP="00EE5F59">
      <w:pPr>
        <w:pStyle w:val="whitespace-normal"/>
      </w:pPr>
      <w:r>
        <w:t xml:space="preserve">Der Vers ist ein zentrales Bekenntnis über die </w:t>
      </w:r>
      <w:r w:rsidR="006D3FED">
        <w:t>Torah</w:t>
      </w:r>
      <w:r>
        <w:t xml:space="preserve">. Die beiden Aussagen: </w:t>
      </w:r>
      <w:r>
        <w:rPr>
          <w:rStyle w:val="Fett"/>
          <w:rFonts w:eastAsiaTheme="majorEastAsia"/>
          <w:rtl/>
        </w:rPr>
        <w:t>תּוֹרָה צִוָּה־לָנוּ מֹשֶׁה מוֹרָשָׁה קְהִלַּת יַעֲקֹב</w:t>
      </w:r>
      <w:r>
        <w:rPr>
          <w:rtl/>
        </w:rPr>
        <w:t xml:space="preserve"> </w:t>
      </w:r>
      <w:r>
        <w:t xml:space="preserve">(„ein Gesetz hat uns Mosche geboten, ein Erbe der Versammlung Jakobs"). Die erste Aussage: </w:t>
      </w:r>
      <w:r>
        <w:rPr>
          <w:rStyle w:val="Fett"/>
          <w:rFonts w:eastAsiaTheme="majorEastAsia"/>
          <w:rtl/>
        </w:rPr>
        <w:t>תּוֹרָה צִוָּה־לָנוּ מֹשֶׁה</w:t>
      </w:r>
      <w:r>
        <w:rPr>
          <w:rtl/>
        </w:rPr>
        <w:t xml:space="preserve"> </w:t>
      </w:r>
      <w:r>
        <w:t xml:space="preserve">(„ein Gesetz hat uns Mosche geboten"). Die </w:t>
      </w:r>
      <w:r w:rsidR="006D3FED">
        <w:t>Torah</w:t>
      </w:r>
      <w:r>
        <w:t xml:space="preserve"> wird als Geschenk durch Mose dargestellt (vgl. 4,8; 5,31; 6,1; Joh 1,17; 7,19). Die zweite Aussage: </w:t>
      </w:r>
      <w:r>
        <w:rPr>
          <w:rStyle w:val="Fett"/>
          <w:rFonts w:eastAsiaTheme="majorEastAsia"/>
          <w:rtl/>
        </w:rPr>
        <w:t>מוֹרָשָׁה קְהִלַּת יַעֲקֹב</w:t>
      </w:r>
      <w:r>
        <w:rPr>
          <w:rtl/>
        </w:rPr>
        <w:t xml:space="preserve"> </w:t>
      </w:r>
      <w:r>
        <w:t xml:space="preserve">(„ein Erbe der Versammlung Jakobs"). Der Begriff </w:t>
      </w:r>
      <w:r>
        <w:rPr>
          <w:rStyle w:val="Fett"/>
          <w:rFonts w:eastAsiaTheme="majorEastAsia"/>
          <w:rtl/>
        </w:rPr>
        <w:t>מוֹרָשָׁה</w:t>
      </w:r>
      <w:r>
        <w:rPr>
          <w:rtl/>
        </w:rPr>
        <w:t xml:space="preserve"> </w:t>
      </w:r>
      <w:r>
        <w:t xml:space="preserve">(„Erbe, Besitz") ist wichtig – die </w:t>
      </w:r>
      <w:r w:rsidR="006D3FED">
        <w:t>Torah</w:t>
      </w:r>
      <w:r>
        <w:t xml:space="preserve"> ist Israels unveräußerliches Erbteil (vgl. Ex 6,8; Sir 24,23 [griech.]; im rabbinischen Judentum wurde dieser Vers zentral). Die Formulierung </w:t>
      </w:r>
      <w:r>
        <w:rPr>
          <w:rStyle w:val="Fett"/>
          <w:rFonts w:eastAsiaTheme="majorEastAsia"/>
          <w:rtl/>
        </w:rPr>
        <w:t>קְהִלַּת יַעֲקֹב</w:t>
      </w:r>
      <w:r>
        <w:rPr>
          <w:rtl/>
        </w:rPr>
        <w:t xml:space="preserve"> </w:t>
      </w:r>
      <w:r>
        <w:t>(„Versammlung Jakobs") betont die Gemeinschaft des ganzen Volkes (vgl. Gen 28,3; 35,11; 48,4; 49,6; Ps 22,23; 107,32). Dieser Vers wird im Judentum als eines der ersten Verse gelehrt, die ein Kind lernt, und wird täglich im Morgengottesdienst rezitiert.</w:t>
      </w:r>
    </w:p>
    <w:p w14:paraId="7D0BA07E" w14:textId="77777777" w:rsidR="00EE5F59" w:rsidRDefault="00EE5F59" w:rsidP="00EE5F59">
      <w:pPr>
        <w:pStyle w:val="whitespace-normal"/>
      </w:pPr>
      <w:r>
        <w:rPr>
          <w:rStyle w:val="Fett"/>
          <w:rFonts w:eastAsiaTheme="majorEastAsia"/>
        </w:rPr>
        <w:t>Die Satzstruktur:</w:t>
      </w:r>
      <w:r>
        <w:t xml:space="preserve"> Zwei Aussagen (ein Gesetz hat uns Mosche geboten, ein Erbe der Versammlung Jakobs).</w:t>
      </w:r>
    </w:p>
    <w:p w14:paraId="4218FC22" w14:textId="01A34259" w:rsidR="00EE5F59" w:rsidRDefault="00EE5F59" w:rsidP="00EE5F59">
      <w:pPr>
        <w:pStyle w:val="whitespace-normal"/>
      </w:pPr>
      <w:r>
        <w:rPr>
          <w:rStyle w:val="Fett"/>
          <w:rFonts w:eastAsiaTheme="majorEastAsia"/>
        </w:rPr>
        <w:t>Der Vers beschreibt:</w:t>
      </w:r>
      <w:r>
        <w:t xml:space="preserve"> Die </w:t>
      </w:r>
      <w:r w:rsidR="006D3FED">
        <w:t>Torah</w:t>
      </w:r>
      <w:r>
        <w:t xml:space="preserve"> als Erbe – Mose gab uns das Gesetz, es ist das Erbteil der ganzen Gemeinschaft Jakobs.</w:t>
      </w:r>
    </w:p>
    <w:p w14:paraId="538D6FA7" w14:textId="77777777" w:rsidR="00EE5F59" w:rsidRDefault="004F5CEB" w:rsidP="00EE5F59">
      <w:r>
        <w:rPr>
          <w:noProof/>
        </w:rPr>
        <w:pict w14:anchorId="68F77E80">
          <v:rect id="_x0000_i1915" style="width:0;height:1.5pt" o:hralign="center" o:hrstd="t" o:hr="t" fillcolor="#a0a0a0" stroked="f"/>
        </w:pict>
      </w:r>
    </w:p>
    <w:p w14:paraId="7401488F" w14:textId="77777777" w:rsidR="00EE5F59" w:rsidRPr="00257FCB" w:rsidRDefault="00EE5F59" w:rsidP="00257FCB">
      <w:pPr>
        <w:pStyle w:val="Bibelberschrift"/>
        <w:rPr>
          <w:b w:val="0"/>
          <w:bCs/>
        </w:rPr>
      </w:pPr>
      <w:r w:rsidRPr="00257FCB">
        <w:rPr>
          <w:rStyle w:val="Fett"/>
          <w:b/>
          <w:bCs w:val="0"/>
        </w:rPr>
        <w:lastRenderedPageBreak/>
        <w:t>Deuteronomium 33,5</w:t>
      </w:r>
    </w:p>
    <w:p w14:paraId="70498F8E" w14:textId="77777777" w:rsidR="00EE5F59" w:rsidRDefault="00EE5F59" w:rsidP="00EE5F59">
      <w:pPr>
        <w:pStyle w:val="whitespace-normal"/>
      </w:pPr>
      <w:r>
        <w:rPr>
          <w:rStyle w:val="Fett"/>
          <w:rFonts w:eastAsiaTheme="majorEastAsia"/>
        </w:rPr>
        <w:t>Hebräisch:</w:t>
      </w:r>
      <w:r>
        <w:t xml:space="preserve"> </w:t>
      </w:r>
      <w:r>
        <w:rPr>
          <w:rtl/>
        </w:rPr>
        <w:t>וַיְהִי בִישֻׁרוּן מֶלֶךְ בְּהִתְאַסֵּף רָאשֵׁי עָם יַחַד שִׁבְטֵי יִשְׂרָאֵל׃</w:t>
      </w:r>
    </w:p>
    <w:p w14:paraId="5115334B" w14:textId="77777777" w:rsidR="00EE5F59" w:rsidRDefault="00EE5F59" w:rsidP="00EE5F59">
      <w:pPr>
        <w:pStyle w:val="whitespace-normal"/>
      </w:pPr>
      <w:r>
        <w:rPr>
          <w:rStyle w:val="Fett"/>
          <w:rFonts w:eastAsiaTheme="majorEastAsia"/>
        </w:rPr>
        <w:t>Deutsch:</w:t>
      </w:r>
      <w:r>
        <w:t xml:space="preserve"> Und er wurde König in Jeschurun, als sich die Häupter des Volkes versammelten, die Stämme Israels insgesamt.</w:t>
      </w:r>
    </w:p>
    <w:p w14:paraId="355DB610" w14:textId="77777777" w:rsidR="00EE5F59" w:rsidRDefault="004F5CEB" w:rsidP="00EE5F59">
      <w:r>
        <w:rPr>
          <w:noProof/>
        </w:rPr>
        <w:pict w14:anchorId="79BCF141">
          <v:rect id="_x0000_i1916" style="width:0;height:1.5pt" o:hralign="center" o:hrstd="t" o:hr="t" fillcolor="#a0a0a0" stroked="f"/>
        </w:pict>
      </w:r>
    </w:p>
    <w:p w14:paraId="671E5A47" w14:textId="77777777" w:rsidR="00EE5F59" w:rsidRDefault="00EE5F59" w:rsidP="00EE5F59">
      <w:pPr>
        <w:pStyle w:val="whitespace-normal"/>
      </w:pPr>
      <w:r>
        <w:rPr>
          <w:rStyle w:val="Fett"/>
          <w:rFonts w:eastAsiaTheme="majorEastAsia"/>
        </w:rPr>
        <w:t>Kommentar:</w:t>
      </w:r>
      <w:r>
        <w:t xml:space="preserve"> </w:t>
      </w:r>
      <w:r>
        <w:rPr>
          <w:rStyle w:val="Fett"/>
          <w:rFonts w:eastAsiaTheme="majorEastAsia"/>
          <w:rtl/>
        </w:rPr>
        <w:t>וַיְהִי בִישֻׁרוּן מֶלֶךְ בְּהִתְאַסֵּף רָאשֵׁי עָם יַחַד שִׁבְטֵי יִשְׂרָאֵל</w:t>
      </w:r>
      <w:r>
        <w:rPr>
          <w:rtl/>
        </w:rPr>
        <w:t xml:space="preserve"> </w:t>
      </w:r>
      <w:r>
        <w:t xml:space="preserve">ist Aussage mit Temporalsatz: </w:t>
      </w:r>
      <w:r>
        <w:rPr>
          <w:rStyle w:val="Fett"/>
          <w:rFonts w:eastAsiaTheme="majorEastAsia"/>
          <w:rtl/>
        </w:rPr>
        <w:t>וַיְהִי בִישֻׁרוּן מֶלֶךְ</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Imperfekt mit </w:t>
      </w:r>
      <w:r>
        <w:rPr>
          <w:rStyle w:val="Fett"/>
          <w:rFonts w:eastAsiaTheme="majorEastAsia"/>
        </w:rPr>
        <w:t>Waw</w:t>
      </w:r>
      <w:r>
        <w:t xml:space="preserve"> consecutivum, 3. Person Maskulinum Singular, </w:t>
      </w:r>
      <w:r>
        <w:rPr>
          <w:rStyle w:val="Fett"/>
          <w:rFonts w:eastAsiaTheme="majorEastAsia"/>
          <w:rtl/>
        </w:rPr>
        <w:t>בְּיְשֻׁרוּן</w:t>
      </w:r>
      <w:r>
        <w:t xml:space="preserve">, </w:t>
      </w:r>
      <w:r>
        <w:rPr>
          <w:rStyle w:val="Fett"/>
          <w:rFonts w:eastAsiaTheme="majorEastAsia"/>
          <w:rtl/>
        </w:rPr>
        <w:t>מֶלֶךְ</w:t>
      </w:r>
      <w:r>
        <w:t xml:space="preserve">, „König"), </w:t>
      </w:r>
      <w:r>
        <w:rPr>
          <w:rStyle w:val="Fett"/>
          <w:rFonts w:eastAsiaTheme="majorEastAsia"/>
          <w:rtl/>
        </w:rPr>
        <w:t>בְּהִתְאַסֵּף רָאשֵׁי עָם יַחַד שִׁבְטֵי יִשְׂרָאֵל</w:t>
      </w:r>
      <w:r>
        <w:rPr>
          <w:rtl/>
        </w:rPr>
        <w:t xml:space="preserve"> </w:t>
      </w:r>
      <w:r>
        <w:t xml:space="preserve">(Temporalsatz: </w:t>
      </w:r>
      <w:r>
        <w:rPr>
          <w:rStyle w:val="Fett"/>
          <w:rFonts w:eastAsiaTheme="majorEastAsia"/>
          <w:rtl/>
        </w:rPr>
        <w:t>בְּ</w:t>
      </w:r>
      <w:r>
        <w:rPr>
          <w:rtl/>
        </w:rPr>
        <w:t xml:space="preserve"> </w:t>
      </w:r>
      <w:r>
        <w:t xml:space="preserve">+ Hithpael Infinitiv Construct von </w:t>
      </w:r>
      <w:r>
        <w:rPr>
          <w:rStyle w:val="Fett"/>
          <w:rFonts w:eastAsiaTheme="majorEastAsia"/>
          <w:rtl/>
        </w:rPr>
        <w:t>אסף</w:t>
      </w:r>
      <w:r>
        <w:t xml:space="preserve">, „sich versammeln", </w:t>
      </w:r>
      <w:r>
        <w:rPr>
          <w:rStyle w:val="Fett"/>
          <w:rFonts w:eastAsiaTheme="majorEastAsia"/>
          <w:rtl/>
        </w:rPr>
        <w:t>רֹאשׁ</w:t>
      </w:r>
      <w:r>
        <w:t xml:space="preserve">, „Häupter", Plural Construct mit </w:t>
      </w:r>
      <w:r>
        <w:rPr>
          <w:rStyle w:val="Fett"/>
          <w:rFonts w:eastAsiaTheme="majorEastAsia"/>
          <w:rtl/>
        </w:rPr>
        <w:t>עַם</w:t>
      </w:r>
      <w:r>
        <w:t xml:space="preserve">, </w:t>
      </w:r>
      <w:r>
        <w:rPr>
          <w:rStyle w:val="Fett"/>
          <w:rFonts w:eastAsiaTheme="majorEastAsia"/>
          <w:rtl/>
        </w:rPr>
        <w:t>יַחַד</w:t>
      </w:r>
      <w:r>
        <w:t xml:space="preserve">, „zusammen, insgesamt", Apposition: </w:t>
      </w:r>
      <w:r>
        <w:rPr>
          <w:rStyle w:val="Fett"/>
          <w:rFonts w:eastAsiaTheme="majorEastAsia"/>
          <w:rtl/>
        </w:rPr>
        <w:t>שִׁבְטֵי יִשְׂרָאֵל</w:t>
      </w:r>
      <w:r>
        <w:t>).</w:t>
      </w:r>
    </w:p>
    <w:p w14:paraId="127A472A" w14:textId="520F7396" w:rsidR="00EE5F59" w:rsidRDefault="00EE5F59" w:rsidP="00EE5F59">
      <w:pPr>
        <w:pStyle w:val="whitespace-normal"/>
      </w:pPr>
      <w:r>
        <w:t xml:space="preserve">Der Vers beschreibt Gottes Königtum über Israel. Die Aussage mit Temporalsatz: </w:t>
      </w:r>
      <w:r>
        <w:rPr>
          <w:rStyle w:val="Fett"/>
          <w:rFonts w:eastAsiaTheme="majorEastAsia"/>
          <w:rtl/>
        </w:rPr>
        <w:t>וַיְהִי בִישֻׁרוּן מֶלֶךְ בְּהִתְאַסֵּף רָאשֵׁי עָם יַחַד שִׁבְטֵי יִשְׂרָאֵל</w:t>
      </w:r>
      <w:r>
        <w:rPr>
          <w:rtl/>
        </w:rPr>
        <w:t xml:space="preserve"> </w:t>
      </w:r>
      <w:r>
        <w:t xml:space="preserve">(„und er wurde König in Jeschurun, als sich versammelten die Häupter des Volkes zusammen, die Stämme Israels"). Das Subjekt von </w:t>
      </w:r>
      <w:r>
        <w:rPr>
          <w:rStyle w:val="Fett"/>
          <w:rFonts w:eastAsiaTheme="majorEastAsia"/>
          <w:rtl/>
        </w:rPr>
        <w:t>וַיְהִי... מֶלֶךְ</w:t>
      </w:r>
      <w:r>
        <w:rPr>
          <w:rtl/>
        </w:rPr>
        <w:t xml:space="preserve"> </w:t>
      </w:r>
      <w:r>
        <w:t xml:space="preserve">(„er wurde König") ist wahrscheinlich Gott (vgl. Ex 15,18; Num 23,21; Ps 93,1; 96,10; 97,1; 99,1; Jes 52,7), nicht Mose oder ein menschlicher König. Der poetische Name </w:t>
      </w:r>
      <w:r>
        <w:rPr>
          <w:rStyle w:val="Fett"/>
          <w:rFonts w:eastAsiaTheme="majorEastAsia"/>
          <w:rtl/>
        </w:rPr>
        <w:t>יְשֻׁרוּן</w:t>
      </w:r>
      <w:r>
        <w:rPr>
          <w:rtl/>
        </w:rPr>
        <w:t xml:space="preserve"> </w:t>
      </w:r>
      <w:r>
        <w:t xml:space="preserve">(„Jeschurun") für Israel (vgl. 32,15; Jes 44,2). Die Versammlung </w:t>
      </w:r>
      <w:r>
        <w:rPr>
          <w:rStyle w:val="Fett"/>
          <w:rFonts w:eastAsiaTheme="majorEastAsia"/>
          <w:rtl/>
        </w:rPr>
        <w:t>רָאשֵׁי עָם... שִׁבְטֵי יִשְׂרָאֵל</w:t>
      </w:r>
      <w:r>
        <w:rPr>
          <w:rtl/>
        </w:rPr>
        <w:t xml:space="preserve"> </w:t>
      </w:r>
      <w:r>
        <w:t>(„Häupter des Volkes... Stämme Israels") beschreibt die nationale Einheit (vgl. 31,28; Jos 24,1). Dieser Vers bildet die Überleitung von der Einleitung (V. 2-5) zu den Einzelsegnungen der Stämme (V. 6-25).</w:t>
      </w:r>
    </w:p>
    <w:p w14:paraId="35D21557" w14:textId="6D359C87" w:rsidR="000115C1" w:rsidRDefault="000115C1" w:rsidP="00EE5F59">
      <w:pPr>
        <w:pStyle w:val="whitespace-normal"/>
      </w:pPr>
      <w:r>
        <w:rPr>
          <w:rStyle w:val="Fett"/>
        </w:rPr>
        <w:t>Die LXX</w:t>
      </w:r>
      <w:r>
        <w:t xml:space="preserve"> übersetzt </w:t>
      </w:r>
      <w:r>
        <w:rPr>
          <w:rtl/>
        </w:rPr>
        <w:t>וַיְהִי בִישֻׁרוּן מֶלֶךְ</w:t>
      </w:r>
      <w:r>
        <w:t xml:space="preserve"> (und er wurde König in Jeschurun) mit καὶ </w:t>
      </w:r>
      <w:proofErr w:type="spellStart"/>
      <w:r>
        <w:t>ἔστ</w:t>
      </w:r>
      <w:proofErr w:type="spellEnd"/>
      <w:r>
        <w:t xml:space="preserve">αι </w:t>
      </w:r>
      <w:proofErr w:type="spellStart"/>
      <w:r>
        <w:t>ἐν</w:t>
      </w:r>
      <w:proofErr w:type="spellEnd"/>
      <w:r>
        <w:t xml:space="preserve"> </w:t>
      </w:r>
      <w:proofErr w:type="spellStart"/>
      <w:r>
        <w:t>τῷ</w:t>
      </w:r>
      <w:proofErr w:type="spellEnd"/>
      <w:r>
        <w:t xml:space="preserve"> </w:t>
      </w:r>
      <w:proofErr w:type="spellStart"/>
      <w:r>
        <w:t>ἠγ</w:t>
      </w:r>
      <w:proofErr w:type="spellEnd"/>
      <w:r>
        <w:t xml:space="preserve">απημένῳ </w:t>
      </w:r>
      <w:proofErr w:type="spellStart"/>
      <w:r>
        <w:t>ἄρχων</w:t>
      </w:r>
      <w:proofErr w:type="spellEnd"/>
      <w:r>
        <w:t xml:space="preserve"> (und er wird im Geliebten Herrscher sein) – wobei "der Geliebte" wieder die Übersetzung von Jeschurun ist.</w:t>
      </w:r>
    </w:p>
    <w:p w14:paraId="7808C2E9" w14:textId="77777777" w:rsidR="00EE5F59" w:rsidRDefault="00EE5F59" w:rsidP="00EE5F59">
      <w:pPr>
        <w:pStyle w:val="whitespace-normal"/>
      </w:pPr>
      <w:r>
        <w:rPr>
          <w:rStyle w:val="Fett"/>
          <w:rFonts w:eastAsiaTheme="majorEastAsia"/>
        </w:rPr>
        <w:t>Die Satzstruktur:</w:t>
      </w:r>
      <w:r>
        <w:t xml:space="preserve"> Aussage mit Temporalsatz (und er wurde König in Jeschurun, als sich versammelten die Häupter des Volkes zusammen, die Stämme Israels).</w:t>
      </w:r>
    </w:p>
    <w:p w14:paraId="032A6EBE" w14:textId="7CFD60DC" w:rsidR="00EE5F59" w:rsidRDefault="00EE5F59" w:rsidP="00EE5F59">
      <w:pPr>
        <w:pStyle w:val="whitespace-normal"/>
      </w:pPr>
      <w:r>
        <w:rPr>
          <w:rStyle w:val="Fett"/>
          <w:rFonts w:eastAsiaTheme="majorEastAsia"/>
        </w:rPr>
        <w:t>Der Vers beschreibt:</w:t>
      </w:r>
      <w:r>
        <w:t xml:space="preserve"> Gottes Königtum – er wurde König über Jeschurun bei der Versammlung aller Stämme.</w:t>
      </w:r>
    </w:p>
    <w:p w14:paraId="74C70130" w14:textId="77777777" w:rsidR="00C8349A" w:rsidRDefault="00C8349A" w:rsidP="00C8349A">
      <w:pPr>
        <w:pStyle w:val="KeinLeerraum"/>
      </w:pPr>
      <w:r w:rsidRPr="00C8349A">
        <w:rPr>
          <w:b/>
          <w:bCs/>
        </w:rPr>
        <w:t>STRUKTURELLE ANMERKUNGEN ZU DEN STÄMME-SEGEN</w:t>
      </w:r>
      <w:r w:rsidRPr="00C8349A">
        <w:t xml:space="preserve"> (V. 6-25)</w:t>
      </w:r>
      <w:r>
        <w:t xml:space="preserve"> </w:t>
      </w:r>
    </w:p>
    <w:p w14:paraId="7D94C7E0" w14:textId="77777777" w:rsidR="00C8349A" w:rsidRDefault="00C8349A" w:rsidP="00C8349A">
      <w:pPr>
        <w:pStyle w:val="KeinLeerraum"/>
      </w:pPr>
      <w:r w:rsidRPr="00C8349A">
        <w:rPr>
          <w:b/>
          <w:bCs/>
        </w:rPr>
        <w:t xml:space="preserve">Die Reihenfolge der Stämme </w:t>
      </w:r>
      <w:r w:rsidRPr="00C8349A">
        <w:t>in Kapitel 33 unterscheidet sich von</w:t>
      </w:r>
      <w:r w:rsidRPr="00C8349A">
        <w:rPr>
          <w:b/>
          <w:bCs/>
        </w:rPr>
        <w:t xml:space="preserve"> Gen 49 (Jakobs Segen) und von der Lagerordnung in Num 2</w:t>
      </w:r>
      <w:r>
        <w:t xml:space="preserve">. </w:t>
      </w:r>
    </w:p>
    <w:p w14:paraId="1F79DA00" w14:textId="6D9EBBBA" w:rsidR="00C8349A" w:rsidRDefault="00C8349A" w:rsidP="00C8349A">
      <w:pPr>
        <w:pStyle w:val="KeinLeerraum"/>
      </w:pPr>
      <w:r>
        <w:t xml:space="preserve">Hier: Ruben (6), Juda (7), Levi (8-11), Benjamin (12), Josef/Ephraim-Manasse (13-17), Sebulon-Issachar (18-19), Gad (20-21), Dan (22), Naphtali (23), Asser (24-25). Auffällig: </w:t>
      </w:r>
      <w:r w:rsidRPr="00AD6187">
        <w:rPr>
          <w:b/>
          <w:bCs/>
        </w:rPr>
        <w:t>Simeon fehlt vollständig – wahrscheinlich, weil Simeon bereits in Juda aufgegangen war</w:t>
      </w:r>
      <w:r>
        <w:t xml:space="preserve"> (</w:t>
      </w:r>
      <w:r w:rsidRPr="00AD6187">
        <w:rPr>
          <w:b/>
          <w:bCs/>
        </w:rPr>
        <w:t>vgl. Jos 19,1.9: „das Erbteil der Söhne Simeons war inmitten des Erbteils der Söhne Judas"; später verschwindet der Stamm aus der Geschichte</w:t>
      </w:r>
      <w:r>
        <w:t>). Die Auslassung Simeons könnte auch mit Gen 49,5-7 zusammenhängen, wo Jakob Simeon und Levi wegen des Massakers in Sichem (Gen 34) verflucht – während Levi durch den Priesterdienst rehabilitiert wurde (V. 8-11), blieb Simeon ohne eigene Identität.</w:t>
      </w:r>
    </w:p>
    <w:p w14:paraId="2C52EE40" w14:textId="77777777" w:rsidR="00EE5F59" w:rsidRPr="00257FCB" w:rsidRDefault="00EE5F59" w:rsidP="00257FCB">
      <w:pPr>
        <w:pStyle w:val="Bibelberschrift"/>
        <w:rPr>
          <w:b w:val="0"/>
          <w:bCs/>
        </w:rPr>
      </w:pPr>
      <w:r w:rsidRPr="00257FCB">
        <w:rPr>
          <w:rStyle w:val="Fett"/>
          <w:b/>
          <w:bCs w:val="0"/>
        </w:rPr>
        <w:lastRenderedPageBreak/>
        <w:t>Deuteronomium 33,6 (Ruben)</w:t>
      </w:r>
    </w:p>
    <w:p w14:paraId="048ACDD8" w14:textId="77777777" w:rsidR="00EE5F59" w:rsidRDefault="00EE5F59" w:rsidP="00EE5F59">
      <w:pPr>
        <w:pStyle w:val="whitespace-normal"/>
      </w:pPr>
      <w:r>
        <w:rPr>
          <w:rStyle w:val="Fett"/>
          <w:rFonts w:eastAsiaTheme="majorEastAsia"/>
        </w:rPr>
        <w:t>Hebräisch:</w:t>
      </w:r>
      <w:r>
        <w:t xml:space="preserve"> </w:t>
      </w:r>
      <w:r>
        <w:rPr>
          <w:rtl/>
        </w:rPr>
        <w:t>יְחִי רְאוּבֵן וְאַל־יָמֹת וִיהִי מְתָיו מִסְפָּר׃</w:t>
      </w:r>
    </w:p>
    <w:p w14:paraId="5C077A9C" w14:textId="77777777" w:rsidR="00EE5F59" w:rsidRDefault="00EE5F59" w:rsidP="00EE5F59">
      <w:pPr>
        <w:pStyle w:val="whitespace-normal"/>
      </w:pPr>
      <w:r>
        <w:rPr>
          <w:rStyle w:val="Fett"/>
          <w:rFonts w:eastAsiaTheme="majorEastAsia"/>
        </w:rPr>
        <w:t>Deutsch:</w:t>
      </w:r>
      <w:r>
        <w:t xml:space="preserve"> Ruben lebe und sterbe nicht, und seine Männer seien eine Zahl!</w:t>
      </w:r>
    </w:p>
    <w:p w14:paraId="25F793C8" w14:textId="77777777" w:rsidR="00EE5F59" w:rsidRDefault="004F5CEB" w:rsidP="00EE5F59">
      <w:r>
        <w:rPr>
          <w:noProof/>
        </w:rPr>
        <w:pict w14:anchorId="30A0DFEA">
          <v:rect id="_x0000_i1917" style="width:0;height:1.5pt" o:hralign="center" o:hrstd="t" o:hr="t" fillcolor="#a0a0a0" stroked="f"/>
        </w:pict>
      </w:r>
    </w:p>
    <w:p w14:paraId="25ED22B8" w14:textId="77777777" w:rsidR="00EE5F59" w:rsidRDefault="00EE5F59" w:rsidP="00EE5F59">
      <w:pPr>
        <w:pStyle w:val="whitespace-normal"/>
      </w:pPr>
      <w:r>
        <w:rPr>
          <w:rStyle w:val="Fett"/>
          <w:rFonts w:eastAsiaTheme="majorEastAsia"/>
        </w:rPr>
        <w:t>Kommentar:</w:t>
      </w:r>
      <w:r>
        <w:t xml:space="preserve"> Drei Aussagen: </w:t>
      </w:r>
      <w:r>
        <w:rPr>
          <w:rStyle w:val="Fett"/>
          <w:rFonts w:eastAsiaTheme="majorEastAsia"/>
          <w:rtl/>
        </w:rPr>
        <w:t>יְחִי רְאוּבֵן</w:t>
      </w:r>
      <w:r>
        <w:rPr>
          <w:rtl/>
        </w:rPr>
        <w:t xml:space="preserve"> </w:t>
      </w:r>
      <w:r>
        <w:t>(</w:t>
      </w:r>
      <w:r>
        <w:rPr>
          <w:rStyle w:val="Fett"/>
          <w:rFonts w:eastAsiaTheme="majorEastAsia"/>
          <w:rtl/>
        </w:rPr>
        <w:t>חיה</w:t>
      </w:r>
      <w:r>
        <w:t xml:space="preserve">, Qal Jussiv, 3. Person Maskulinum Singular, „leben", </w:t>
      </w:r>
      <w:r>
        <w:rPr>
          <w:rStyle w:val="Fett"/>
          <w:rFonts w:eastAsiaTheme="majorEastAsia"/>
          <w:rtl/>
        </w:rPr>
        <w:t>רְאוּבֵן</w:t>
      </w:r>
      <w:r>
        <w:rPr>
          <w:rtl/>
        </w:rPr>
        <w:t xml:space="preserve"> </w:t>
      </w:r>
      <w:r>
        <w:t xml:space="preserve">als Subjekt), </w:t>
      </w:r>
      <w:r>
        <w:rPr>
          <w:rStyle w:val="Fett"/>
          <w:rFonts w:eastAsiaTheme="majorEastAsia"/>
          <w:rtl/>
        </w:rPr>
        <w:t>וְאַל־יָמֹת</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אַל</w:t>
      </w:r>
      <w:r>
        <w:t xml:space="preserve">, Negation für Jussiv, </w:t>
      </w:r>
      <w:r>
        <w:rPr>
          <w:rStyle w:val="Fett"/>
          <w:rFonts w:eastAsiaTheme="majorEastAsia"/>
          <w:rtl/>
        </w:rPr>
        <w:t>מות</w:t>
      </w:r>
      <w:r>
        <w:t xml:space="preserve">, Qal Imperfekt (Jussiv), 3. Person Maskulinum Singular), </w:t>
      </w:r>
      <w:r>
        <w:rPr>
          <w:rStyle w:val="Fett"/>
          <w:rFonts w:eastAsiaTheme="majorEastAsia"/>
          <w:rtl/>
        </w:rPr>
        <w:t>וִיהִי מְתָיו מִסְפָּר</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היה</w:t>
      </w:r>
      <w:r>
        <w:t xml:space="preserve">, Qal Jussiv, 3. Person Maskulinum Plural, </w:t>
      </w:r>
      <w:r>
        <w:rPr>
          <w:rStyle w:val="Fett"/>
          <w:rFonts w:eastAsiaTheme="majorEastAsia"/>
          <w:rtl/>
        </w:rPr>
        <w:t>מַת</w:t>
      </w:r>
      <w:r>
        <w:t xml:space="preserve">, „Mann, Mensch" (poetisch), Plural mit Suffix 3. Person Maskulinum Singular, </w:t>
      </w:r>
      <w:r>
        <w:rPr>
          <w:rStyle w:val="Fett"/>
          <w:rFonts w:eastAsiaTheme="majorEastAsia"/>
          <w:rtl/>
        </w:rPr>
        <w:t>מִסְפָּר</w:t>
      </w:r>
      <w:r>
        <w:t>, „Zahl" (im Sinne von „zahlreich")).</w:t>
      </w:r>
    </w:p>
    <w:p w14:paraId="1559B620" w14:textId="0120D9B9" w:rsidR="00EE5F59" w:rsidRDefault="00EE5F59" w:rsidP="00EE5F59">
      <w:pPr>
        <w:pStyle w:val="whitespace-normal"/>
      </w:pPr>
      <w:r>
        <w:t xml:space="preserve">Der kürzeste Segen – nur ein Wunsch für Rubens Überleben. Ruben war der Erstgeborene (vgl. Gen 29,32; 35,23; 49,3), aber er verlor seine Vorrechte wegen seiner Sünde mit Bilha (vgl. Gen 35,22; 49,3-4; </w:t>
      </w:r>
      <w:r w:rsidR="00664EB6">
        <w:t>1Chr</w:t>
      </w:r>
      <w:r>
        <w:t xml:space="preserve"> 5,1). Der Wunsch </w:t>
      </w:r>
      <w:r>
        <w:rPr>
          <w:rStyle w:val="Fett"/>
          <w:rFonts w:eastAsiaTheme="majorEastAsia"/>
          <w:rtl/>
        </w:rPr>
        <w:t>יְחִי רְאוּבֵן וְאַל־יָמֹת</w:t>
      </w:r>
      <w:r>
        <w:rPr>
          <w:rtl/>
        </w:rPr>
        <w:t xml:space="preserve"> </w:t>
      </w:r>
      <w:r>
        <w:t>(„Ruben lebe und sterbe nicht") könnte implizieren, dass der Stamm Ruben in G</w:t>
      </w:r>
      <w:r w:rsidR="00413630">
        <w:t>ef</w:t>
      </w:r>
      <w:r w:rsidR="00743283">
        <w:t>a</w:t>
      </w:r>
      <w:r>
        <w:t xml:space="preserve">hr war auszusterben oder marginalisiert zu werden. Der Wunsch </w:t>
      </w:r>
      <w:r>
        <w:rPr>
          <w:rStyle w:val="Fett"/>
          <w:rFonts w:eastAsiaTheme="majorEastAsia"/>
          <w:rtl/>
        </w:rPr>
        <w:t>וִיהִי מְתָיו מִסְפָּר</w:t>
      </w:r>
      <w:r>
        <w:rPr>
          <w:rtl/>
        </w:rPr>
        <w:t xml:space="preserve"> </w:t>
      </w:r>
      <w:r>
        <w:t xml:space="preserve">(„seine Männer seien eine Zahl") bedeutet: möge er eine zählbare, bedeutende Anzahl haben (vgl. Num 26,7: 43.730 Männer). </w:t>
      </w:r>
      <w:r>
        <w:rPr>
          <w:rStyle w:val="Fett"/>
          <w:rFonts w:eastAsiaTheme="majorEastAsia"/>
        </w:rPr>
        <w:t>Setuma</w:t>
      </w:r>
      <w:r>
        <w:t xml:space="preserve"> (</w:t>
      </w:r>
      <w:r>
        <w:rPr>
          <w:rtl/>
        </w:rPr>
        <w:t>ס</w:t>
      </w:r>
      <w:r>
        <w:t>) markiert Abschnittende.</w:t>
      </w:r>
    </w:p>
    <w:p w14:paraId="2DACB5D4" w14:textId="659543CF" w:rsidR="00EE5F59" w:rsidRDefault="000115C1" w:rsidP="00B77CC6">
      <w:pPr>
        <w:pStyle w:val="whitespace-normal"/>
      </w:pPr>
      <w:r>
        <w:rPr>
          <w:rStyle w:val="Fett"/>
        </w:rPr>
        <w:t>Die LXX</w:t>
      </w:r>
      <w:r>
        <w:t xml:space="preserve"> übersetzt </w:t>
      </w:r>
      <w:r>
        <w:rPr>
          <w:rtl/>
        </w:rPr>
        <w:t>וִיהִי מְתָיו מִסְפָּר</w:t>
      </w:r>
      <w:r>
        <w:t xml:space="preserve"> (und seine Männer seien eine Zahl/zahlreich) mit καὶ </w:t>
      </w:r>
      <w:proofErr w:type="spellStart"/>
      <w:r>
        <w:t>ἔστω</w:t>
      </w:r>
      <w:proofErr w:type="spellEnd"/>
      <w:r>
        <w:t xml:space="preserve"> π</w:t>
      </w:r>
      <w:proofErr w:type="spellStart"/>
      <w:r>
        <w:t>ολὺς</w:t>
      </w:r>
      <w:proofErr w:type="spellEnd"/>
      <w:r>
        <w:t xml:space="preserve"> </w:t>
      </w:r>
      <w:proofErr w:type="spellStart"/>
      <w:r>
        <w:t>ἐν</w:t>
      </w:r>
      <w:proofErr w:type="spellEnd"/>
      <w:r>
        <w:t xml:space="preserve"> </w:t>
      </w:r>
      <w:proofErr w:type="spellStart"/>
      <w:r>
        <w:t>ἀριθμῷ</w:t>
      </w:r>
      <w:proofErr w:type="spellEnd"/>
      <w:r>
        <w:t xml:space="preserve"> (und er sei zahlreich an Zahl).</w:t>
      </w:r>
    </w:p>
    <w:p w14:paraId="55C85570" w14:textId="77777777" w:rsidR="00EE5F59" w:rsidRPr="00257FCB" w:rsidRDefault="00EE5F59" w:rsidP="00257FCB">
      <w:pPr>
        <w:pStyle w:val="Bibelberschrift"/>
        <w:rPr>
          <w:b w:val="0"/>
          <w:bCs/>
        </w:rPr>
      </w:pPr>
      <w:r w:rsidRPr="00257FCB">
        <w:rPr>
          <w:rStyle w:val="Fett"/>
          <w:b/>
          <w:bCs w:val="0"/>
        </w:rPr>
        <w:t>Deuteronomium 33,7 (Juda)</w:t>
      </w:r>
    </w:p>
    <w:p w14:paraId="01829836" w14:textId="77777777" w:rsidR="00EE5F59" w:rsidRDefault="00EE5F59" w:rsidP="00EE5F59">
      <w:pPr>
        <w:pStyle w:val="whitespace-normal"/>
      </w:pPr>
      <w:r>
        <w:rPr>
          <w:rStyle w:val="Fett"/>
          <w:rFonts w:eastAsiaTheme="majorEastAsia"/>
        </w:rPr>
        <w:t>Hebräisch:</w:t>
      </w:r>
      <w:r>
        <w:t xml:space="preserve"> </w:t>
      </w:r>
      <w:r>
        <w:rPr>
          <w:rtl/>
        </w:rPr>
        <w:t>וְזֹאת לִיהוּדָה וַיֹּאמַר שְׁמַע יְהוָה קוֹל יְהוּדָה וְאֶל־עַמּוֹ תְּבִיאֶנּוּ יָדָיו רָב לוֹ וְעֵזֶר מִצָּרָיו תִּהְיֶה׃</w:t>
      </w:r>
    </w:p>
    <w:p w14:paraId="0A160006" w14:textId="77777777" w:rsidR="00EE5F59" w:rsidRDefault="00EE5F59" w:rsidP="00EE5F59">
      <w:pPr>
        <w:pStyle w:val="whitespace-normal"/>
      </w:pPr>
      <w:r>
        <w:rPr>
          <w:rStyle w:val="Fett"/>
          <w:rFonts w:eastAsiaTheme="majorEastAsia"/>
        </w:rPr>
        <w:t>Deutsch:</w:t>
      </w:r>
      <w:r>
        <w:t xml:space="preserve"> Und dies von Juda, und er sprach: Höre, Ewiger, die Stimme Judas und bring ihn zu seinem Volk; seine Hände seien mächtig für ihn, und sei ihm eine Hilfe vor seinen Feinden!</w:t>
      </w:r>
    </w:p>
    <w:p w14:paraId="090BA6B3" w14:textId="77777777" w:rsidR="00EE5F59" w:rsidRDefault="004F5CEB" w:rsidP="00EE5F59">
      <w:r>
        <w:rPr>
          <w:noProof/>
        </w:rPr>
        <w:pict w14:anchorId="69AB6D60">
          <v:rect id="_x0000_i1918" style="width:0;height:1.5pt" o:hralign="center" o:hrstd="t" o:hr="t" fillcolor="#a0a0a0" stroked="f"/>
        </w:pict>
      </w:r>
    </w:p>
    <w:p w14:paraId="1F06C8B4" w14:textId="77777777" w:rsidR="00EE5F59" w:rsidRDefault="00EE5F59" w:rsidP="00EE5F59">
      <w:pPr>
        <w:pStyle w:val="whitespace-normal"/>
      </w:pPr>
      <w:r>
        <w:rPr>
          <w:rStyle w:val="Fett"/>
          <w:rFonts w:eastAsiaTheme="majorEastAsia"/>
        </w:rPr>
        <w:t>Kommentar:</w:t>
      </w:r>
      <w:r>
        <w:t xml:space="preserve"> Vier Bitten: </w:t>
      </w:r>
      <w:r>
        <w:rPr>
          <w:rStyle w:val="Fett"/>
          <w:rFonts w:eastAsiaTheme="majorEastAsia"/>
          <w:rtl/>
        </w:rPr>
        <w:t>שְׁמַע יְהוָה קוֹל יְהוּדָה</w:t>
      </w:r>
      <w:r>
        <w:rPr>
          <w:rtl/>
        </w:rPr>
        <w:t xml:space="preserve"> </w:t>
      </w:r>
      <w:r>
        <w:t>(</w:t>
      </w:r>
      <w:r>
        <w:rPr>
          <w:rStyle w:val="Fett"/>
          <w:rFonts w:eastAsiaTheme="majorEastAsia"/>
          <w:rtl/>
        </w:rPr>
        <w:t>שׁמע</w:t>
      </w:r>
      <w:r>
        <w:t xml:space="preserve">, Qal Imperativ, Maskulinum Singular, </w:t>
      </w:r>
      <w:r>
        <w:rPr>
          <w:rStyle w:val="Fett"/>
          <w:rFonts w:eastAsiaTheme="majorEastAsia"/>
          <w:rtl/>
        </w:rPr>
        <w:t>יְהוָה</w:t>
      </w:r>
      <w:r>
        <w:rPr>
          <w:rtl/>
        </w:rPr>
        <w:t xml:space="preserve"> </w:t>
      </w:r>
      <w:r>
        <w:t xml:space="preserve">als Vokativ, </w:t>
      </w:r>
      <w:r>
        <w:rPr>
          <w:rStyle w:val="Fett"/>
          <w:rFonts w:eastAsiaTheme="majorEastAsia"/>
          <w:rtl/>
        </w:rPr>
        <w:t>קוֹל</w:t>
      </w:r>
      <w:r>
        <w:rPr>
          <w:rtl/>
        </w:rPr>
        <w:t xml:space="preserve"> </w:t>
      </w:r>
      <w:r>
        <w:t xml:space="preserve">Construct mit </w:t>
      </w:r>
      <w:r>
        <w:rPr>
          <w:rStyle w:val="Fett"/>
          <w:rFonts w:eastAsiaTheme="majorEastAsia"/>
          <w:rtl/>
        </w:rPr>
        <w:t>יְהוּדָה</w:t>
      </w:r>
      <w:r>
        <w:t xml:space="preserve">), </w:t>
      </w:r>
      <w:r>
        <w:rPr>
          <w:rStyle w:val="Fett"/>
          <w:rFonts w:eastAsiaTheme="majorEastAsia"/>
          <w:rtl/>
        </w:rPr>
        <w:t>וְאֶל־עַמּוֹ תְּבִיאֶנּוּ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אֶל־עַם</w:t>
      </w:r>
      <w:r>
        <w:rPr>
          <w:rtl/>
        </w:rPr>
        <w:t xml:space="preserve"> </w:t>
      </w:r>
      <w:r>
        <w:t xml:space="preserve">mit Suffix, </w:t>
      </w:r>
      <w:r>
        <w:rPr>
          <w:rStyle w:val="Fett"/>
          <w:rFonts w:eastAsiaTheme="majorEastAsia"/>
          <w:rtl/>
        </w:rPr>
        <w:t>בוא</w:t>
      </w:r>
      <w:r>
        <w:t xml:space="preserve">, Hiphil Imperfekt (Jussiv), 2. Person Maskulinum Singular, mit Suffix 3. Person Maskulinum Singular, „bringen"), </w:t>
      </w:r>
      <w:r>
        <w:rPr>
          <w:rStyle w:val="Fett"/>
          <w:rFonts w:eastAsiaTheme="majorEastAsia"/>
          <w:rtl/>
        </w:rPr>
        <w:t>יָדָיו רָב לוֹ</w:t>
      </w:r>
      <w:r>
        <w:rPr>
          <w:rtl/>
        </w:rPr>
        <w:t xml:space="preserve"> </w:t>
      </w:r>
      <w:r>
        <w:t>(</w:t>
      </w:r>
      <w:r>
        <w:rPr>
          <w:rStyle w:val="Fett"/>
          <w:rFonts w:eastAsiaTheme="majorEastAsia"/>
          <w:rtl/>
        </w:rPr>
        <w:t>יָד</w:t>
      </w:r>
      <w:r>
        <w:rPr>
          <w:rtl/>
        </w:rPr>
        <w:t xml:space="preserve"> </w:t>
      </w:r>
      <w:r>
        <w:t xml:space="preserve">Dual mit Suffix, </w:t>
      </w:r>
      <w:r>
        <w:rPr>
          <w:rStyle w:val="Fett"/>
          <w:rFonts w:eastAsiaTheme="majorEastAsia"/>
          <w:rtl/>
        </w:rPr>
        <w:t>רָב</w:t>
      </w:r>
      <w:r>
        <w:t xml:space="preserve">, „groß, mächtig", </w:t>
      </w:r>
      <w:r>
        <w:rPr>
          <w:rStyle w:val="Fett"/>
          <w:rFonts w:eastAsiaTheme="majorEastAsia"/>
          <w:rtl/>
        </w:rPr>
        <w:t>לוֹ</w:t>
      </w:r>
      <w:r>
        <w:t xml:space="preserve">), </w:t>
      </w:r>
      <w:r>
        <w:rPr>
          <w:rStyle w:val="Fett"/>
          <w:rFonts w:eastAsiaTheme="majorEastAsia"/>
          <w:rtl/>
        </w:rPr>
        <w:t>וְעֵזֶר מִצָּרָיו תִּהְיֶה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עֵזֶר</w:t>
      </w:r>
      <w:r>
        <w:t xml:space="preserve">, „Hilfe", </w:t>
      </w:r>
      <w:r>
        <w:rPr>
          <w:rStyle w:val="Fett"/>
          <w:rFonts w:eastAsiaTheme="majorEastAsia"/>
          <w:rtl/>
        </w:rPr>
        <w:t>מִן</w:t>
      </w:r>
      <w:r>
        <w:rPr>
          <w:rtl/>
        </w:rPr>
        <w:t xml:space="preserve"> </w:t>
      </w:r>
      <w:r>
        <w:t xml:space="preserve">mit </w:t>
      </w:r>
      <w:r>
        <w:rPr>
          <w:rStyle w:val="Fett"/>
          <w:rFonts w:eastAsiaTheme="majorEastAsia"/>
          <w:rtl/>
        </w:rPr>
        <w:t>צַר</w:t>
      </w:r>
      <w:r>
        <w:t xml:space="preserve">, „Feind", Plural mit Suffix, </w:t>
      </w:r>
      <w:r>
        <w:rPr>
          <w:rStyle w:val="Fett"/>
          <w:rFonts w:eastAsiaTheme="majorEastAsia"/>
          <w:rtl/>
        </w:rPr>
        <w:t>היה</w:t>
      </w:r>
      <w:r>
        <w:t>, Qal Imperfekt, 2. Person Maskulinum Singular).</w:t>
      </w:r>
    </w:p>
    <w:p w14:paraId="624E6EE7" w14:textId="4E717A3F" w:rsidR="00EE5F59" w:rsidRDefault="00EE5F59" w:rsidP="00EE5F59">
      <w:pPr>
        <w:pStyle w:val="whitespace-normal"/>
      </w:pPr>
      <w:r>
        <w:t xml:space="preserve">Ein Segensgebet für Juda mit vier Bitten um göttliche Hilfe. Anders als in Gen 49,8-12, wo Juda als Löwe und Herrscher gepriesen wird, ist dieser Segen eine Bitte um Hilfe – möglicherweise in einer Zeit militärischer Bedrängnis. </w:t>
      </w:r>
      <w:r>
        <w:rPr>
          <w:rStyle w:val="Fett"/>
          <w:rFonts w:eastAsiaTheme="majorEastAsia"/>
          <w:rtl/>
        </w:rPr>
        <w:t>שְׁמַע יְהוָה קוֹל יְהוּדָה</w:t>
      </w:r>
      <w:r>
        <w:rPr>
          <w:rtl/>
        </w:rPr>
        <w:t xml:space="preserve"> </w:t>
      </w:r>
      <w:r>
        <w:t xml:space="preserve">(„höre, Ewiger, die Stimme Judas") – Erhörungsbitte im Gebet (vgl. Ps 5,2-3; 17,1; 27,7; 28,2; 64,2; 86,6; 130,2; 140,7; 143,1). </w:t>
      </w:r>
      <w:r>
        <w:rPr>
          <w:rStyle w:val="Fett"/>
          <w:rFonts w:eastAsiaTheme="majorEastAsia"/>
          <w:rtl/>
        </w:rPr>
        <w:t>וְאֶל־עַמּוֹ תְּבִיאֶנּוּ</w:t>
      </w:r>
      <w:r>
        <w:rPr>
          <w:rtl/>
        </w:rPr>
        <w:t xml:space="preserve"> </w:t>
      </w:r>
      <w:r>
        <w:t xml:space="preserve">(„und zu seinem Volk bring ihn") – könnte bedeuten: </w:t>
      </w:r>
      <w:r>
        <w:lastRenderedPageBreak/>
        <w:t xml:space="preserve">Wiedervereinigung nach Trennung, oder: sicher heimführen aus dem Krieg. </w:t>
      </w:r>
      <w:r>
        <w:rPr>
          <w:rStyle w:val="Fett"/>
          <w:rFonts w:eastAsiaTheme="majorEastAsia"/>
          <w:rtl/>
        </w:rPr>
        <w:t>יָדָיו רָב לוֹ</w:t>
      </w:r>
      <w:r>
        <w:rPr>
          <w:rtl/>
        </w:rPr>
        <w:t xml:space="preserve"> </w:t>
      </w:r>
      <w:r>
        <w:t xml:space="preserve">(„seine Hände seien mächtig für ihn") – militärische Stärke. </w:t>
      </w:r>
      <w:r>
        <w:rPr>
          <w:rStyle w:val="Fett"/>
          <w:rFonts w:eastAsiaTheme="majorEastAsia"/>
          <w:rtl/>
        </w:rPr>
        <w:t>וְעֵזֶר מִצָּרָיו תִּהְיֶה</w:t>
      </w:r>
      <w:r>
        <w:rPr>
          <w:rtl/>
        </w:rPr>
        <w:t xml:space="preserve"> </w:t>
      </w:r>
      <w:r>
        <w:t xml:space="preserve">(„und Hilfe vor seinen Feinden sei du") – direkte Bitte an Gott. </w:t>
      </w:r>
      <w:r>
        <w:rPr>
          <w:rStyle w:val="Fett"/>
          <w:rFonts w:eastAsiaTheme="majorEastAsia"/>
        </w:rPr>
        <w:t>Setuma</w:t>
      </w:r>
      <w:r>
        <w:t xml:space="preserve"> (</w:t>
      </w:r>
      <w:r>
        <w:rPr>
          <w:rtl/>
        </w:rPr>
        <w:t>ס</w:t>
      </w:r>
      <w:r>
        <w:t>).</w:t>
      </w:r>
    </w:p>
    <w:p w14:paraId="726B95FB" w14:textId="3C3743FE" w:rsidR="000115C1" w:rsidRDefault="000115C1" w:rsidP="00EE5F59">
      <w:pPr>
        <w:pStyle w:val="whitespace-normal"/>
      </w:pPr>
      <w:r>
        <w:rPr>
          <w:rStyle w:val="Fett"/>
        </w:rPr>
        <w:t>Die LXX</w:t>
      </w:r>
      <w:r>
        <w:t xml:space="preserve"> übersetzt </w:t>
      </w:r>
      <w:r>
        <w:rPr>
          <w:rtl/>
        </w:rPr>
        <w:t>יָדָיו רָב לוֹ</w:t>
      </w:r>
      <w:r>
        <w:t xml:space="preserve"> (seine Hände mögen für ihn kämpfen) mit αἱ </w:t>
      </w:r>
      <w:proofErr w:type="spellStart"/>
      <w:r>
        <w:t>χεῖρες</w:t>
      </w:r>
      <w:proofErr w:type="spellEnd"/>
      <w:r>
        <w:t xml:space="preserve"> α</w:t>
      </w:r>
      <w:proofErr w:type="spellStart"/>
      <w:r>
        <w:t>ὐτοῦ</w:t>
      </w:r>
      <w:proofErr w:type="spellEnd"/>
      <w:r>
        <w:t xml:space="preserve"> </w:t>
      </w:r>
      <w:proofErr w:type="spellStart"/>
      <w:r>
        <w:t>δι</w:t>
      </w:r>
      <w:proofErr w:type="spellEnd"/>
      <w:r>
        <w:t>ακρινοῦσιν α</w:t>
      </w:r>
      <w:proofErr w:type="spellStart"/>
      <w:r>
        <w:t>ὐτῷ</w:t>
      </w:r>
      <w:proofErr w:type="spellEnd"/>
      <w:r>
        <w:t xml:space="preserve"> (seine Hände werden für ihn entscheiden/richten).</w:t>
      </w:r>
    </w:p>
    <w:p w14:paraId="76017D60" w14:textId="572D4223" w:rsidR="00EE5F59" w:rsidRDefault="004F5CEB" w:rsidP="00EE5F59">
      <w:r>
        <w:rPr>
          <w:noProof/>
        </w:rPr>
        <w:pict w14:anchorId="26604B16">
          <v:rect id="_x0000_i1919" style="width:0;height:1.5pt" o:hralign="center" o:hrstd="t" o:hr="t" fillcolor="#a0a0a0" stroked="f"/>
        </w:pict>
      </w:r>
    </w:p>
    <w:p w14:paraId="0911C277" w14:textId="77777777" w:rsidR="00EE5F59" w:rsidRPr="00257FCB" w:rsidRDefault="00EE5F59" w:rsidP="00257FCB">
      <w:pPr>
        <w:pStyle w:val="Bibelberschrift"/>
        <w:rPr>
          <w:b w:val="0"/>
          <w:bCs/>
        </w:rPr>
      </w:pPr>
      <w:r w:rsidRPr="00257FCB">
        <w:rPr>
          <w:rStyle w:val="Fett"/>
          <w:b/>
          <w:bCs w:val="0"/>
        </w:rPr>
        <w:t>Deuteronomium 33,8-11 (Levi)</w:t>
      </w:r>
    </w:p>
    <w:p w14:paraId="095E0DB9" w14:textId="77777777" w:rsidR="00EE5F59" w:rsidRDefault="00EE5F59" w:rsidP="00EE5F59">
      <w:pPr>
        <w:pStyle w:val="whitespace-normal"/>
      </w:pPr>
      <w:r>
        <w:t>Der längste und detaillierteste Segen nach Josef:</w:t>
      </w:r>
    </w:p>
    <w:p w14:paraId="78413869" w14:textId="3E741CF0" w:rsidR="00EE5F59" w:rsidRDefault="00EE5F59" w:rsidP="00EE5F59">
      <w:pPr>
        <w:pStyle w:val="whitespace-normal"/>
      </w:pPr>
      <w:r>
        <w:rPr>
          <w:rStyle w:val="Fett"/>
          <w:rFonts w:eastAsiaTheme="majorEastAsia"/>
        </w:rPr>
        <w:t>V. 8:</w:t>
      </w:r>
      <w:r>
        <w:t xml:space="preserve"> </w:t>
      </w:r>
      <w:r>
        <w:rPr>
          <w:rStyle w:val="Fett"/>
          <w:rFonts w:eastAsiaTheme="majorEastAsia"/>
          <w:rtl/>
        </w:rPr>
        <w:t>וּלְלֵוִי אָמַר תֻּמֶּיךָ וְאוּרֶיךָ לְאִישׁ חֲסִידֶךָ אֲשֶׁר נִסִּיתוֹ בְּמַסָּה תְּרִיבֵהוּ עַל־מֵי מְרִיבָה׃</w:t>
      </w:r>
      <w:r>
        <w:rPr>
          <w:rtl/>
        </w:rPr>
        <w:t xml:space="preserve"> </w:t>
      </w:r>
      <w:r>
        <w:t xml:space="preserve">Die </w:t>
      </w:r>
      <w:r>
        <w:rPr>
          <w:rStyle w:val="Fett"/>
          <w:rFonts w:eastAsiaTheme="majorEastAsia"/>
          <w:rtl/>
        </w:rPr>
        <w:t>תֻּמִּים</w:t>
      </w:r>
      <w:r>
        <w:rPr>
          <w:rtl/>
        </w:rPr>
        <w:t xml:space="preserve"> </w:t>
      </w:r>
      <w:r>
        <w:t>(„</w:t>
      </w:r>
      <w:r w:rsidR="003933AB">
        <w:t>Tummim</w:t>
      </w:r>
      <w:r>
        <w:t xml:space="preserve">") und </w:t>
      </w:r>
      <w:r>
        <w:rPr>
          <w:rStyle w:val="Fett"/>
          <w:rFonts w:eastAsiaTheme="majorEastAsia"/>
          <w:rtl/>
        </w:rPr>
        <w:t>אוּרִים</w:t>
      </w:r>
      <w:r>
        <w:rPr>
          <w:rtl/>
        </w:rPr>
        <w:t xml:space="preserve"> </w:t>
      </w:r>
      <w:r>
        <w:t xml:space="preserve">(„Urim") waren Orakelgeräte im Brustschild des Hohenpriesters (vgl. Ex 28,30; Lev 8,8; Num 27,21; </w:t>
      </w:r>
      <w:r w:rsidR="00664EB6">
        <w:t>1Sam</w:t>
      </w:r>
      <w:r>
        <w:t xml:space="preserve"> 14,41-42; 28,6; Esr 2,63; Neh 7,65). </w:t>
      </w:r>
      <w:r>
        <w:rPr>
          <w:rStyle w:val="Fett"/>
          <w:rFonts w:eastAsiaTheme="majorEastAsia"/>
          <w:rtl/>
        </w:rPr>
        <w:t>לְאִישׁ חֲסִידֶךָ</w:t>
      </w:r>
      <w:r>
        <w:rPr>
          <w:rtl/>
        </w:rPr>
        <w:t xml:space="preserve"> </w:t>
      </w:r>
      <w:r>
        <w:t xml:space="preserve">(„für deinen getreuen Mann") – der Hohepriester oder der ganze Stamm Levi. </w:t>
      </w:r>
      <w:r>
        <w:rPr>
          <w:rStyle w:val="Fett"/>
          <w:rFonts w:eastAsiaTheme="majorEastAsia"/>
          <w:rtl/>
        </w:rPr>
        <w:t>נִסִּיתוֹ בְּמַסָּה</w:t>
      </w:r>
      <w:r>
        <w:rPr>
          <w:rtl/>
        </w:rPr>
        <w:t xml:space="preserve"> </w:t>
      </w:r>
      <w:r>
        <w:t xml:space="preserve">(„du hast ihn geprüft bei Massa") – vgl. Ex 17,1-7. </w:t>
      </w:r>
      <w:r>
        <w:rPr>
          <w:rStyle w:val="Fett"/>
          <w:rFonts w:eastAsiaTheme="majorEastAsia"/>
          <w:rtl/>
        </w:rPr>
        <w:t>תְּרִיבֵהוּ עַל־מֵי מְרִיבָה</w:t>
      </w:r>
      <w:r>
        <w:rPr>
          <w:rtl/>
        </w:rPr>
        <w:t xml:space="preserve"> </w:t>
      </w:r>
      <w:r>
        <w:t>(„du hast mit ihm gehadert an den Wassern von Meriba") – vgl. Num 20,1-13. Bemerkenswerterweise wird die Sünde Moses und Aarons hier positiv als Prüfung Levis gedeutet.</w:t>
      </w:r>
    </w:p>
    <w:p w14:paraId="10358F7E" w14:textId="06B13535" w:rsidR="000115C1" w:rsidRDefault="000115C1" w:rsidP="00EE5F59">
      <w:pPr>
        <w:pStyle w:val="whitespace-normal"/>
      </w:pPr>
      <w:r>
        <w:rPr>
          <w:rStyle w:val="Fett"/>
        </w:rPr>
        <w:t>Die LXX</w:t>
      </w:r>
      <w:r>
        <w:t xml:space="preserve"> übersetzt </w:t>
      </w:r>
      <w:r>
        <w:rPr>
          <w:rtl/>
        </w:rPr>
        <w:t>תֻּמֶּיךָ וְאוּרֶיךָ</w:t>
      </w:r>
      <w:r>
        <w:t xml:space="preserve"> (deine Tummim und deine Urim) mit </w:t>
      </w:r>
      <w:proofErr w:type="spellStart"/>
      <w:r>
        <w:t>Δότε</w:t>
      </w:r>
      <w:proofErr w:type="spellEnd"/>
      <w:r>
        <w:t xml:space="preserve"> </w:t>
      </w:r>
      <w:proofErr w:type="spellStart"/>
      <w:r>
        <w:t>Λευὶ</w:t>
      </w:r>
      <w:proofErr w:type="spellEnd"/>
      <w:r>
        <w:t xml:space="preserve"> </w:t>
      </w:r>
      <w:proofErr w:type="spellStart"/>
      <w:r>
        <w:t>δήλους</w:t>
      </w:r>
      <w:proofErr w:type="spellEnd"/>
      <w:r>
        <w:t xml:space="preserve"> α</w:t>
      </w:r>
      <w:proofErr w:type="spellStart"/>
      <w:r>
        <w:t>ὐτοῦ</w:t>
      </w:r>
      <w:proofErr w:type="spellEnd"/>
      <w:r>
        <w:t xml:space="preserve">, καὶ </w:t>
      </w:r>
      <w:proofErr w:type="spellStart"/>
      <w:r>
        <w:t>ἀλήθει</w:t>
      </w:r>
      <w:proofErr w:type="spellEnd"/>
      <w:r>
        <w:t>αν α</w:t>
      </w:r>
      <w:proofErr w:type="spellStart"/>
      <w:r>
        <w:t>ὐτοῦ</w:t>
      </w:r>
      <w:proofErr w:type="spellEnd"/>
      <w:r>
        <w:t xml:space="preserve"> (Gebt Levi seine Offenbarungen und seine Wahrheit) – wobei </w:t>
      </w:r>
      <w:proofErr w:type="spellStart"/>
      <w:r>
        <w:t>δῆλος</w:t>
      </w:r>
      <w:proofErr w:type="spellEnd"/>
      <w:r>
        <w:t xml:space="preserve"> "offenbar, klar" bedeutet und </w:t>
      </w:r>
      <w:proofErr w:type="spellStart"/>
      <w:r>
        <w:t>ἀλήθει</w:t>
      </w:r>
      <w:proofErr w:type="spellEnd"/>
      <w:r>
        <w:t>α "Wahrheit" ist, eine interpretierende Übersetzung der heiligen Losobjekte.</w:t>
      </w:r>
    </w:p>
    <w:p w14:paraId="791E1BE9" w14:textId="77777777" w:rsidR="00EE5F59" w:rsidRDefault="00EE5F59" w:rsidP="00EE5F59">
      <w:pPr>
        <w:pStyle w:val="whitespace-normal"/>
      </w:pPr>
      <w:r>
        <w:rPr>
          <w:rStyle w:val="Fett"/>
          <w:rFonts w:eastAsiaTheme="majorEastAsia"/>
        </w:rPr>
        <w:t>V. 9:</w:t>
      </w:r>
      <w:r>
        <w:t xml:space="preserve"> </w:t>
      </w:r>
      <w:r>
        <w:rPr>
          <w:rStyle w:val="Fett"/>
          <w:rFonts w:eastAsiaTheme="majorEastAsia"/>
          <w:rtl/>
        </w:rPr>
        <w:t>הָאֹמֵר לְאָבִיו וּלְאִמּוֹ לֹא רְאִיתִיו וְאֶת־אֶחָיו לֹא הִכִּיר וְאֶת־בָּנוֹ לֹא יָדָע כִּי שָׁמְרוּ אִמְרָתֶךָ וּבְרִיתְךָ יִנְצֹרוּ׃</w:t>
      </w:r>
      <w:r>
        <w:rPr>
          <w:rtl/>
        </w:rPr>
        <w:t xml:space="preserve"> </w:t>
      </w:r>
      <w:r>
        <w:t>(„der von seinem Vater und von seiner Mutter sprach: Ich sehe sie nicht; und der seine Brüder nicht anerkannte und von seinen Söhnen nichts wusste. Denn sie haben dein Wort beobachtet, und deinen Bund bewahren sie"). Dies bezieht sich wahrscheinlich auf Ex 32,25-29, wo die Leviten nach dem Goldenen Kalb auf Moses Seite traten und sogar gegen eigene Familienmitglieder vorgingen. Der radikale Gehorsam gegenüber Gott über Familienbindungen wird hier gelobt (vgl. Mt 10,37; Lk 14,26).</w:t>
      </w:r>
    </w:p>
    <w:p w14:paraId="1321BEF2" w14:textId="14E6A6E5" w:rsidR="00EE5F59" w:rsidRDefault="00EE5F59" w:rsidP="00EE5F59">
      <w:pPr>
        <w:pStyle w:val="whitespace-normal"/>
      </w:pPr>
      <w:r>
        <w:rPr>
          <w:rStyle w:val="Fett"/>
          <w:rFonts w:eastAsiaTheme="majorEastAsia"/>
        </w:rPr>
        <w:t>V. 10:</w:t>
      </w:r>
      <w:r>
        <w:t xml:space="preserve"> </w:t>
      </w:r>
      <w:r>
        <w:rPr>
          <w:rStyle w:val="Fett"/>
          <w:rFonts w:eastAsiaTheme="majorEastAsia"/>
          <w:rtl/>
        </w:rPr>
        <w:t>יוֹרוּ מִשְׁפָּטֶיךָ לְיַעֲקֹב וְתוֹרָתְךָ לְיִשְׂרָאֵל יָשִׂימוּ קְטוֹרָה בְּאַפֶּךָ וְכָלִיל עַל־מִזְבְּחֶךָ׃</w:t>
      </w:r>
      <w:r>
        <w:rPr>
          <w:rtl/>
        </w:rPr>
        <w:t xml:space="preserve"> </w:t>
      </w:r>
      <w:r>
        <w:t xml:space="preserve">(„Sie werden Jakob deine Rechte lehren und Israel deine </w:t>
      </w:r>
      <w:r w:rsidR="006D3FED">
        <w:t>Torah</w:t>
      </w:r>
      <w:r>
        <w:t xml:space="preserve">; sie werden Räucherwerk legen vor deiner Nase und Ganzopfer auf deinen Altar"). Die beiden Aufgaben Levis: (1) </w:t>
      </w:r>
      <w:r>
        <w:rPr>
          <w:rStyle w:val="Fett"/>
          <w:rFonts w:eastAsiaTheme="majorEastAsia"/>
          <w:rtl/>
        </w:rPr>
        <w:t>יוֹרוּ</w:t>
      </w:r>
      <w:r>
        <w:rPr>
          <w:rtl/>
        </w:rPr>
        <w:t xml:space="preserve"> </w:t>
      </w:r>
      <w:r>
        <w:t xml:space="preserve">(„lehren") – von </w:t>
      </w:r>
      <w:r>
        <w:rPr>
          <w:rStyle w:val="Fett"/>
          <w:rFonts w:eastAsiaTheme="majorEastAsia"/>
          <w:rtl/>
        </w:rPr>
        <w:t>ירה</w:t>
      </w:r>
      <w:r>
        <w:t xml:space="preserve">, Hiphil, die </w:t>
      </w:r>
      <w:r w:rsidR="006D3FED">
        <w:t>Torah</w:t>
      </w:r>
      <w:r>
        <w:t xml:space="preserve"> lehren (vgl. 17,11; Lev 10,11; Mal 2,6-7). (2) Opferdienst: </w:t>
      </w:r>
      <w:r>
        <w:rPr>
          <w:rStyle w:val="Fett"/>
          <w:rFonts w:eastAsiaTheme="majorEastAsia"/>
          <w:rtl/>
        </w:rPr>
        <w:t>קְטוֹרָה</w:t>
      </w:r>
      <w:r>
        <w:rPr>
          <w:rtl/>
        </w:rPr>
        <w:t xml:space="preserve"> </w:t>
      </w:r>
      <w:r>
        <w:t xml:space="preserve">(„Räucherwerk") und </w:t>
      </w:r>
      <w:r>
        <w:rPr>
          <w:rStyle w:val="Fett"/>
          <w:rFonts w:eastAsiaTheme="majorEastAsia"/>
          <w:rtl/>
        </w:rPr>
        <w:t>כָּלִיל</w:t>
      </w:r>
      <w:r>
        <w:rPr>
          <w:rtl/>
        </w:rPr>
        <w:t xml:space="preserve"> </w:t>
      </w:r>
      <w:r>
        <w:t xml:space="preserve">(„Ganzopfer") darbringen. Die Formulierung </w:t>
      </w:r>
      <w:r>
        <w:rPr>
          <w:rStyle w:val="Fett"/>
          <w:rFonts w:eastAsiaTheme="majorEastAsia"/>
          <w:rtl/>
        </w:rPr>
        <w:t>בְּאַפֶּךָ</w:t>
      </w:r>
      <w:r>
        <w:rPr>
          <w:rtl/>
        </w:rPr>
        <w:t xml:space="preserve"> </w:t>
      </w:r>
      <w:r>
        <w:t>(„vor deiner Nase") ist anthropomorphe Ausdrucksweise (vgl. Gen 8,21; Lev 26,31).</w:t>
      </w:r>
    </w:p>
    <w:p w14:paraId="3BF9FD99" w14:textId="158E6FE7" w:rsidR="000115C1" w:rsidRDefault="000115C1" w:rsidP="00EE5F59">
      <w:pPr>
        <w:pStyle w:val="whitespace-normal"/>
      </w:pPr>
      <w:r>
        <w:rPr>
          <w:rStyle w:val="Fett"/>
        </w:rPr>
        <w:t>Die LXX</w:t>
      </w:r>
      <w:r>
        <w:t xml:space="preserve"> übersetzt </w:t>
      </w:r>
      <w:r>
        <w:rPr>
          <w:rtl/>
        </w:rPr>
        <w:t>בְּאַפֶּךָ</w:t>
      </w:r>
      <w:r>
        <w:t xml:space="preserve"> (in deiner Nase/vor dir) mit </w:t>
      </w:r>
      <w:proofErr w:type="spellStart"/>
      <w:r>
        <w:t>ἐν</w:t>
      </w:r>
      <w:proofErr w:type="spellEnd"/>
      <w:r>
        <w:t xml:space="preserve"> </w:t>
      </w:r>
      <w:proofErr w:type="spellStart"/>
      <w:r>
        <w:t>ὀργῇ</w:t>
      </w:r>
      <w:proofErr w:type="spellEnd"/>
      <w:r>
        <w:t xml:space="preserve"> </w:t>
      </w:r>
      <w:proofErr w:type="spellStart"/>
      <w:r>
        <w:t>σου</w:t>
      </w:r>
      <w:proofErr w:type="spellEnd"/>
      <w:r>
        <w:t xml:space="preserve"> (in deinem Zorn) – eine ungewöhnliche Übersetzung, die möglicherweise </w:t>
      </w:r>
      <w:r>
        <w:rPr>
          <w:rtl/>
        </w:rPr>
        <w:t>אַף</w:t>
      </w:r>
      <w:r>
        <w:t xml:space="preserve"> als "Zorn" statt als "Nase" versteht.</w:t>
      </w:r>
    </w:p>
    <w:p w14:paraId="10A702CA" w14:textId="2E3ABAB9" w:rsidR="00EE5F59" w:rsidRDefault="00EE5F59" w:rsidP="00EE5F59">
      <w:pPr>
        <w:pStyle w:val="whitespace-normal"/>
      </w:pPr>
      <w:r>
        <w:rPr>
          <w:rStyle w:val="Fett"/>
          <w:rFonts w:eastAsiaTheme="majorEastAsia"/>
        </w:rPr>
        <w:t>V. 11:</w:t>
      </w:r>
      <w:r>
        <w:t xml:space="preserve"> </w:t>
      </w:r>
      <w:r>
        <w:rPr>
          <w:rStyle w:val="Fett"/>
          <w:rFonts w:eastAsiaTheme="majorEastAsia"/>
          <w:rtl/>
        </w:rPr>
        <w:t>בָּרֵךְ יְהוָה חֵילוֹ וּפֹעַל יָדָיו תִּרְצֶה מְחַץ מָתְנַיִם קָמָיו וּמְשַׂנְאָיו מִן־יְקוּמוּן׃</w:t>
      </w:r>
      <w:r>
        <w:rPr>
          <w:rtl/>
        </w:rPr>
        <w:t xml:space="preserve"> </w:t>
      </w:r>
      <w:r>
        <w:t>(„Segne, Ewiger, seine Kraft, und das Werk seiner Hände lass dir wohl</w:t>
      </w:r>
      <w:r w:rsidR="00D47758">
        <w:t>gefallen</w:t>
      </w:r>
      <w:r>
        <w:t xml:space="preserve">; zerschmettere die Lenden derer, die sich gegen ihn erheben, und sein Hasser, dass sie nicht aufstehen"). Drei Bitten: (1) Segen für </w:t>
      </w:r>
      <w:r>
        <w:lastRenderedPageBreak/>
        <w:t xml:space="preserve">Levis </w:t>
      </w:r>
      <w:r>
        <w:rPr>
          <w:rStyle w:val="Fett"/>
          <w:rFonts w:eastAsiaTheme="majorEastAsia"/>
          <w:rtl/>
        </w:rPr>
        <w:t>חַיִל</w:t>
      </w:r>
      <w:r>
        <w:rPr>
          <w:rtl/>
        </w:rPr>
        <w:t xml:space="preserve"> </w:t>
      </w:r>
      <w:r>
        <w:t>(„Kraft, Vermögen"), (2) Gottes Wohl</w:t>
      </w:r>
      <w:r w:rsidR="00D47758">
        <w:t>gefallen</w:t>
      </w:r>
      <w:r>
        <w:t xml:space="preserve"> am priesterlichen Dienst, (3) Schutz vor Feinden (vgl. Num 16; </w:t>
      </w:r>
      <w:r w:rsidR="00664EB6">
        <w:t>1Sam</w:t>
      </w:r>
      <w:r>
        <w:t xml:space="preserve"> 2,12-17.22-36; </w:t>
      </w:r>
      <w:r w:rsidR="00664EB6">
        <w:t>1Kön</w:t>
      </w:r>
      <w:r>
        <w:t xml:space="preserve"> 2,26-27). </w:t>
      </w:r>
      <w:r>
        <w:rPr>
          <w:rStyle w:val="Fett"/>
          <w:rFonts w:eastAsiaTheme="majorEastAsia"/>
        </w:rPr>
        <w:t>Setuma</w:t>
      </w:r>
      <w:r>
        <w:t xml:space="preserve"> (</w:t>
      </w:r>
      <w:r>
        <w:rPr>
          <w:rtl/>
        </w:rPr>
        <w:t>ס</w:t>
      </w:r>
      <w:r>
        <w:t>).</w:t>
      </w:r>
    </w:p>
    <w:p w14:paraId="7222ADB0" w14:textId="77777777" w:rsidR="00EE5F59" w:rsidRDefault="004F5CEB" w:rsidP="00EE5F59">
      <w:r>
        <w:rPr>
          <w:noProof/>
        </w:rPr>
        <w:pict w14:anchorId="5DA409FF">
          <v:rect id="_x0000_i1920" style="width:0;height:1.5pt" o:hralign="center" o:hrstd="t" o:hr="t" fillcolor="#a0a0a0" stroked="f"/>
        </w:pict>
      </w:r>
    </w:p>
    <w:p w14:paraId="376E1C85" w14:textId="77777777" w:rsidR="00EE5F59" w:rsidRPr="00257FCB" w:rsidRDefault="00EE5F59" w:rsidP="00257FCB">
      <w:pPr>
        <w:pStyle w:val="Bibelberschrift"/>
        <w:rPr>
          <w:b w:val="0"/>
          <w:bCs/>
        </w:rPr>
      </w:pPr>
      <w:r w:rsidRPr="00257FCB">
        <w:rPr>
          <w:rStyle w:val="Fett"/>
          <w:b/>
          <w:bCs w:val="0"/>
        </w:rPr>
        <w:t>Deuteronomium 33,12 (Benjamin)</w:t>
      </w:r>
    </w:p>
    <w:p w14:paraId="1648DD3B" w14:textId="77777777" w:rsidR="00EE5F59" w:rsidRDefault="00EE5F59" w:rsidP="00EE5F59">
      <w:pPr>
        <w:pStyle w:val="whitespace-normal"/>
      </w:pPr>
      <w:r>
        <w:rPr>
          <w:rStyle w:val="Fett"/>
          <w:rFonts w:eastAsiaTheme="majorEastAsia"/>
        </w:rPr>
        <w:t>Hebräisch:</w:t>
      </w:r>
      <w:r>
        <w:t xml:space="preserve"> </w:t>
      </w:r>
      <w:r>
        <w:rPr>
          <w:rtl/>
        </w:rPr>
        <w:t>לְבִנְיָמִן אָמַר יְדִיד יְהֹוָה יִשְׁכֹּן לָבֶטַח עָלָיו חֹפֵף עָלָיו כָּל־הַיּוֹם וּבֵין כְּתֵיפָיו שָׁכֵן׃</w:t>
      </w:r>
    </w:p>
    <w:p w14:paraId="045BDBC8" w14:textId="77777777" w:rsidR="00EE5F59" w:rsidRDefault="00EE5F59" w:rsidP="00EE5F59">
      <w:pPr>
        <w:pStyle w:val="whitespace-normal"/>
      </w:pPr>
      <w:r>
        <w:rPr>
          <w:rStyle w:val="Fett"/>
          <w:rFonts w:eastAsiaTheme="majorEastAsia"/>
        </w:rPr>
        <w:t>Deutsch:</w:t>
      </w:r>
      <w:r>
        <w:t xml:space="preserve"> Von Benjamin sprach er: Der Liebling des Ewigen! In Sicherheit wird er bei ihm wohnen; er beschirmt ihn den ganzen Tag, und zwischen seinen Schultern wohnt er.</w:t>
      </w:r>
    </w:p>
    <w:p w14:paraId="530B35BC" w14:textId="77777777" w:rsidR="00EE5F59" w:rsidRDefault="004F5CEB" w:rsidP="00EE5F59">
      <w:r>
        <w:rPr>
          <w:noProof/>
        </w:rPr>
        <w:pict w14:anchorId="792075B1">
          <v:rect id="_x0000_i1921" style="width:0;height:1.5pt" o:hralign="center" o:hrstd="t" o:hr="t" fillcolor="#a0a0a0" stroked="f"/>
        </w:pict>
      </w:r>
    </w:p>
    <w:p w14:paraId="70196255" w14:textId="1FD85DA0" w:rsidR="00EE5F59" w:rsidRDefault="00EE5F59" w:rsidP="00EE5F59">
      <w:pPr>
        <w:pStyle w:val="whitespace-normal"/>
      </w:pPr>
      <w:r>
        <w:rPr>
          <w:rStyle w:val="Fett"/>
          <w:rFonts w:eastAsiaTheme="majorEastAsia"/>
        </w:rPr>
        <w:t>Kommentar:</w:t>
      </w:r>
      <w:r>
        <w:t xml:space="preserve"> Der kürzeste vollständige Segen (außer Ruben). </w:t>
      </w:r>
      <w:r>
        <w:rPr>
          <w:rStyle w:val="Fett"/>
          <w:rFonts w:eastAsiaTheme="majorEastAsia"/>
          <w:rtl/>
        </w:rPr>
        <w:t>יְדִיד יְהֹוָה</w:t>
      </w:r>
      <w:r>
        <w:rPr>
          <w:rtl/>
        </w:rPr>
        <w:t xml:space="preserve"> </w:t>
      </w:r>
      <w:r>
        <w:t xml:space="preserve">(„Liebling </w:t>
      </w:r>
      <w:r w:rsidR="00B77E5E">
        <w:t xml:space="preserve">JHWHs </w:t>
      </w:r>
      <w:r>
        <w:t xml:space="preserve">") – einzigartige Bezeichnung (vgl. Jer 11,15; Ps 127,2 für </w:t>
      </w:r>
      <w:r>
        <w:rPr>
          <w:rStyle w:val="Fett"/>
          <w:rFonts w:eastAsiaTheme="majorEastAsia"/>
          <w:rtl/>
        </w:rPr>
        <w:t>יְדִיד</w:t>
      </w:r>
      <w:r>
        <w:t xml:space="preserve">). </w:t>
      </w:r>
      <w:r>
        <w:rPr>
          <w:rStyle w:val="Fett"/>
          <w:rFonts w:eastAsiaTheme="majorEastAsia"/>
          <w:rtl/>
        </w:rPr>
        <w:t>יִשְׁכֹּן לָבֶטַח עָלָיו</w:t>
      </w:r>
      <w:r>
        <w:rPr>
          <w:rtl/>
        </w:rPr>
        <w:t xml:space="preserve"> </w:t>
      </w:r>
      <w:r>
        <w:t xml:space="preserve">(„in Sicherheit wird er bei ihm wohnen") – </w:t>
      </w:r>
      <w:r>
        <w:rPr>
          <w:rStyle w:val="Fett"/>
          <w:rFonts w:eastAsiaTheme="majorEastAsia"/>
          <w:rtl/>
        </w:rPr>
        <w:t>לָבֶטַח</w:t>
      </w:r>
      <w:r>
        <w:rPr>
          <w:rtl/>
        </w:rPr>
        <w:t xml:space="preserve"> </w:t>
      </w:r>
      <w:r>
        <w:t xml:space="preserve">(„in Sicherheit") ist wichtig (vgl. 12,10; Lev 25,18-19; 26,5; Ps 4,9; 16,9; Jer 23,6; 33,16; </w:t>
      </w:r>
      <w:r w:rsidR="00BF3748">
        <w:t>Hes</w:t>
      </w:r>
      <w:r>
        <w:t xml:space="preserve"> 28,26; 34,25.28; 38,8.11.14; 39,26). </w:t>
      </w:r>
      <w:r>
        <w:rPr>
          <w:rStyle w:val="Fett"/>
          <w:rFonts w:eastAsiaTheme="majorEastAsia"/>
          <w:rtl/>
        </w:rPr>
        <w:t>חֹפֵף עָלָיו כָּל־הַיּוֹם</w:t>
      </w:r>
      <w:r>
        <w:rPr>
          <w:rtl/>
        </w:rPr>
        <w:t xml:space="preserve"> </w:t>
      </w:r>
      <w:r>
        <w:t xml:space="preserve">(„er beschirmt ihn den ganzen Tag") – </w:t>
      </w:r>
      <w:r>
        <w:rPr>
          <w:rStyle w:val="Fett"/>
          <w:rFonts w:eastAsiaTheme="majorEastAsia"/>
          <w:rtl/>
        </w:rPr>
        <w:t>חפף</w:t>
      </w:r>
      <w:r>
        <w:rPr>
          <w:rtl/>
        </w:rPr>
        <w:t xml:space="preserve"> </w:t>
      </w:r>
      <w:r>
        <w:t xml:space="preserve">(„beschirmen, bedecken") nur hier (vgl. Ps 91,4). </w:t>
      </w:r>
      <w:r>
        <w:rPr>
          <w:rStyle w:val="Fett"/>
          <w:rFonts w:eastAsiaTheme="majorEastAsia"/>
          <w:rtl/>
        </w:rPr>
        <w:t>וּבֵין כְּתֵיפָיו שָׁכֵן</w:t>
      </w:r>
      <w:r>
        <w:rPr>
          <w:rtl/>
        </w:rPr>
        <w:t xml:space="preserve"> </w:t>
      </w:r>
      <w:r>
        <w:t xml:space="preserve">(„und zwischen seinen Schultern wohnt er") – geografisch könnte dies auf Jerusalem hindeuten, das an der Grenze zwischen Benjamin und Juda lag (vgl. Jos 18,11-28; Ri 1,21; der Tempel lag im Gebiet Benjamins). </w:t>
      </w:r>
      <w:r>
        <w:rPr>
          <w:rStyle w:val="Fett"/>
          <w:rFonts w:eastAsiaTheme="majorEastAsia"/>
        </w:rPr>
        <w:t>Setuma</w:t>
      </w:r>
      <w:r>
        <w:t xml:space="preserve"> (</w:t>
      </w:r>
      <w:r>
        <w:rPr>
          <w:rtl/>
        </w:rPr>
        <w:t>ס</w:t>
      </w:r>
      <w:r>
        <w:t>).</w:t>
      </w:r>
    </w:p>
    <w:p w14:paraId="18DE4C72" w14:textId="724A6690" w:rsidR="00EE5F59" w:rsidRDefault="000115C1" w:rsidP="00B77CC6">
      <w:pPr>
        <w:pStyle w:val="whitespace-normal"/>
      </w:pPr>
      <w:r>
        <w:rPr>
          <w:rStyle w:val="Fett"/>
        </w:rPr>
        <w:t>Die LXX</w:t>
      </w:r>
      <w:r>
        <w:t xml:space="preserve"> übersetzt </w:t>
      </w:r>
      <w:r>
        <w:rPr>
          <w:rtl/>
        </w:rPr>
        <w:t>חֹפֵף עָלָיו</w:t>
      </w:r>
      <w:r>
        <w:t xml:space="preserve"> (schützend über ihm) mit ὁ </w:t>
      </w:r>
      <w:proofErr w:type="spellStart"/>
      <w:r>
        <w:t>θεὸς</w:t>
      </w:r>
      <w:proofErr w:type="spellEnd"/>
      <w:r>
        <w:t xml:space="preserve"> </w:t>
      </w:r>
      <w:proofErr w:type="spellStart"/>
      <w:r>
        <w:t>σκιάζει</w:t>
      </w:r>
      <w:proofErr w:type="spellEnd"/>
      <w:r>
        <w:t xml:space="preserve"> ἐπʼ α</w:t>
      </w:r>
      <w:proofErr w:type="spellStart"/>
      <w:r>
        <w:t>ὐτῷ</w:t>
      </w:r>
      <w:proofErr w:type="spellEnd"/>
      <w:r>
        <w:t xml:space="preserve"> (Gott beschattet ihn) – macht das Subjekt explizit.</w:t>
      </w:r>
    </w:p>
    <w:p w14:paraId="232764BE" w14:textId="77777777" w:rsidR="00EE5F59" w:rsidRPr="00257FCB" w:rsidRDefault="00EE5F59" w:rsidP="00257FCB">
      <w:pPr>
        <w:pStyle w:val="Bibelberschrift"/>
        <w:rPr>
          <w:b w:val="0"/>
          <w:bCs/>
        </w:rPr>
      </w:pPr>
      <w:r w:rsidRPr="00257FCB">
        <w:rPr>
          <w:rStyle w:val="Fett"/>
          <w:b/>
          <w:bCs w:val="0"/>
        </w:rPr>
        <w:t>Deuteronomium 33,13-17 (Josef = Ephraim &amp; Manasse)</w:t>
      </w:r>
    </w:p>
    <w:p w14:paraId="395090C2" w14:textId="77777777" w:rsidR="00EE5F59" w:rsidRDefault="00EE5F59" w:rsidP="00C8349A">
      <w:pPr>
        <w:pStyle w:val="KeinLeerraum"/>
      </w:pPr>
      <w:r>
        <w:t>Der längste und prächtigste Segen:</w:t>
      </w:r>
    </w:p>
    <w:p w14:paraId="48D0A3D5" w14:textId="77777777" w:rsidR="00C8349A" w:rsidRDefault="00EE5F59" w:rsidP="00C8349A">
      <w:pPr>
        <w:pStyle w:val="KeinLeerraum"/>
      </w:pPr>
      <w:r>
        <w:rPr>
          <w:rStyle w:val="Fett"/>
          <w:rFonts w:eastAsiaTheme="majorEastAsia"/>
        </w:rPr>
        <w:t>V. 13-16:</w:t>
      </w:r>
      <w:r>
        <w:t xml:space="preserve"> Acht </w:t>
      </w:r>
      <w:r>
        <w:rPr>
          <w:rStyle w:val="Fett"/>
          <w:rFonts w:eastAsiaTheme="majorEastAsia"/>
          <w:rtl/>
        </w:rPr>
        <w:t>מִן</w:t>
      </w:r>
      <w:r>
        <w:t xml:space="preserve">-Phrasen beschreiben den Segen: </w:t>
      </w:r>
    </w:p>
    <w:p w14:paraId="70AC82CA" w14:textId="77777777" w:rsidR="00C8349A" w:rsidRDefault="00EE5F59" w:rsidP="00C8349A">
      <w:pPr>
        <w:pStyle w:val="KeinLeerraum"/>
      </w:pPr>
      <w:r>
        <w:t xml:space="preserve">(1) </w:t>
      </w:r>
      <w:r>
        <w:rPr>
          <w:rStyle w:val="Fett"/>
          <w:rFonts w:eastAsiaTheme="majorEastAsia"/>
          <w:rtl/>
        </w:rPr>
        <w:t>מִמֶּגֶד שָׁמַיִם מִטָּל</w:t>
      </w:r>
      <w:r>
        <w:rPr>
          <w:rtl/>
        </w:rPr>
        <w:t xml:space="preserve"> </w:t>
      </w:r>
      <w:r>
        <w:t xml:space="preserve">(„vom Köstlichsten des Himmels, vom Tau"), </w:t>
      </w:r>
    </w:p>
    <w:p w14:paraId="3569078E" w14:textId="77777777" w:rsidR="00C8349A" w:rsidRDefault="00EE5F59" w:rsidP="00C8349A">
      <w:pPr>
        <w:pStyle w:val="KeinLeerraum"/>
      </w:pPr>
      <w:r>
        <w:t xml:space="preserve">(2) </w:t>
      </w:r>
      <w:r>
        <w:rPr>
          <w:rStyle w:val="Fett"/>
          <w:rFonts w:eastAsiaTheme="majorEastAsia"/>
          <w:rtl/>
        </w:rPr>
        <w:t>וּמִתְּהוֹם רֹבֶצֶת תָּחַת</w:t>
      </w:r>
      <w:r>
        <w:rPr>
          <w:rtl/>
        </w:rPr>
        <w:t xml:space="preserve"> </w:t>
      </w:r>
      <w:r>
        <w:t xml:space="preserve">(„und von der Tiefe, die unten lagert") – vgl. Gen 49,25, </w:t>
      </w:r>
    </w:p>
    <w:p w14:paraId="36646D4D" w14:textId="77777777" w:rsidR="00C8349A" w:rsidRDefault="00EE5F59" w:rsidP="00C8349A">
      <w:pPr>
        <w:pStyle w:val="KeinLeerraum"/>
      </w:pPr>
      <w:r>
        <w:t xml:space="preserve">(3) </w:t>
      </w:r>
      <w:r>
        <w:rPr>
          <w:rStyle w:val="Fett"/>
          <w:rFonts w:eastAsiaTheme="majorEastAsia"/>
          <w:rtl/>
        </w:rPr>
        <w:t>וּמִמֶּגֶד תְּבוּאֹת שָׁמֶשׁ</w:t>
      </w:r>
      <w:r>
        <w:rPr>
          <w:rtl/>
        </w:rPr>
        <w:t xml:space="preserve"> </w:t>
      </w:r>
      <w:r>
        <w:t xml:space="preserve">(„und vom Köstlichsten der Erträge der Sonne"), </w:t>
      </w:r>
    </w:p>
    <w:p w14:paraId="3D79EFD5" w14:textId="77777777" w:rsidR="00C8349A" w:rsidRDefault="00EE5F59" w:rsidP="00C8349A">
      <w:pPr>
        <w:pStyle w:val="KeinLeerraum"/>
      </w:pPr>
      <w:r>
        <w:t xml:space="preserve">(4) </w:t>
      </w:r>
      <w:r>
        <w:rPr>
          <w:rStyle w:val="Fett"/>
          <w:rFonts w:eastAsiaTheme="majorEastAsia"/>
          <w:rtl/>
        </w:rPr>
        <w:t>וּמִמֶּגֶד גֶּרֶשׁ יְרָחִים</w:t>
      </w:r>
      <w:r>
        <w:rPr>
          <w:rtl/>
        </w:rPr>
        <w:t xml:space="preserve"> </w:t>
      </w:r>
      <w:r>
        <w:t xml:space="preserve">(„und vom Köstlichsten der Triebe der Monde" – monatliche Ernten), </w:t>
      </w:r>
    </w:p>
    <w:p w14:paraId="37B5B153" w14:textId="77777777" w:rsidR="00C8349A" w:rsidRDefault="00EE5F59" w:rsidP="00C8349A">
      <w:pPr>
        <w:pStyle w:val="KeinLeerraum"/>
      </w:pPr>
      <w:r>
        <w:t xml:space="preserve">(5) </w:t>
      </w:r>
      <w:r>
        <w:rPr>
          <w:rStyle w:val="Fett"/>
          <w:rFonts w:eastAsiaTheme="majorEastAsia"/>
          <w:rtl/>
        </w:rPr>
        <w:t>וּמֵרֹאשׁ הַרְרֵי־קֶדֶם</w:t>
      </w:r>
      <w:r>
        <w:rPr>
          <w:rtl/>
        </w:rPr>
        <w:t xml:space="preserve"> </w:t>
      </w:r>
      <w:r>
        <w:t xml:space="preserve">(„und vom Besten der uralten Berge"), </w:t>
      </w:r>
    </w:p>
    <w:p w14:paraId="209C6D57" w14:textId="77777777" w:rsidR="00C8349A" w:rsidRDefault="00EE5F59" w:rsidP="00C8349A">
      <w:pPr>
        <w:pStyle w:val="KeinLeerraum"/>
      </w:pPr>
      <w:r>
        <w:t xml:space="preserve">(6) </w:t>
      </w:r>
      <w:r>
        <w:rPr>
          <w:rStyle w:val="Fett"/>
          <w:rFonts w:eastAsiaTheme="majorEastAsia"/>
          <w:rtl/>
        </w:rPr>
        <w:t>וּמִמֶּגֶד גִּבְעוֹת עוֹלָם</w:t>
      </w:r>
      <w:r>
        <w:rPr>
          <w:rtl/>
        </w:rPr>
        <w:t xml:space="preserve"> </w:t>
      </w:r>
      <w:r>
        <w:t xml:space="preserve">(„und vom Köstlichsten der ewigen Hügel"), </w:t>
      </w:r>
    </w:p>
    <w:p w14:paraId="33BEA764" w14:textId="77777777" w:rsidR="00C8349A" w:rsidRDefault="00EE5F59" w:rsidP="00C8349A">
      <w:pPr>
        <w:pStyle w:val="KeinLeerraum"/>
      </w:pPr>
      <w:r>
        <w:t xml:space="preserve">(7) </w:t>
      </w:r>
      <w:r>
        <w:rPr>
          <w:rStyle w:val="Fett"/>
          <w:rFonts w:eastAsiaTheme="majorEastAsia"/>
          <w:rtl/>
        </w:rPr>
        <w:t>וּמִמֶּגֶד אֶרֶץ וּמְלֹאָהּ</w:t>
      </w:r>
      <w:r>
        <w:rPr>
          <w:rtl/>
        </w:rPr>
        <w:t xml:space="preserve"> </w:t>
      </w:r>
      <w:r>
        <w:t xml:space="preserve">(„und vom Köstlichsten der Erde und ihrer Fülle"), </w:t>
      </w:r>
    </w:p>
    <w:p w14:paraId="62CE441B" w14:textId="2C1B70AF" w:rsidR="00EE5F59" w:rsidRDefault="00EE5F59" w:rsidP="00C8349A">
      <w:pPr>
        <w:pStyle w:val="KeinLeerraum"/>
      </w:pPr>
      <w:r>
        <w:t xml:space="preserve">(8) </w:t>
      </w:r>
      <w:r>
        <w:rPr>
          <w:rStyle w:val="Fett"/>
          <w:rFonts w:eastAsiaTheme="majorEastAsia"/>
          <w:rtl/>
        </w:rPr>
        <w:t>וּרְצוֹן שֹׁכְנִי סְנֶה</w:t>
      </w:r>
      <w:r>
        <w:rPr>
          <w:rtl/>
        </w:rPr>
        <w:t xml:space="preserve"> </w:t>
      </w:r>
      <w:r>
        <w:t>(„und das Wohl</w:t>
      </w:r>
      <w:r w:rsidR="00D47758">
        <w:t>gefallen</w:t>
      </w:r>
      <w:r>
        <w:t xml:space="preserve"> dessen, der im Dornbusch wohnte") – Verweis auf Ex 3,2-4. </w:t>
      </w:r>
      <w:r>
        <w:rPr>
          <w:rStyle w:val="Fett"/>
          <w:rFonts w:eastAsiaTheme="majorEastAsia"/>
          <w:rtl/>
        </w:rPr>
        <w:t>לְרֹאשׁ יוֹסֵף וּלְקָדְקֹד נְזִיר אֶחָיו</w:t>
      </w:r>
      <w:r>
        <w:rPr>
          <w:rtl/>
        </w:rPr>
        <w:t xml:space="preserve"> </w:t>
      </w:r>
      <w:r>
        <w:t xml:space="preserve">(„es komme auf das Haupt Josefs und auf den Scheitel des Abgesonderten unter seinen Brüdern") – </w:t>
      </w:r>
      <w:r>
        <w:rPr>
          <w:rStyle w:val="Fett"/>
          <w:rFonts w:eastAsiaTheme="majorEastAsia"/>
          <w:rtl/>
        </w:rPr>
        <w:t>נָזִיר</w:t>
      </w:r>
      <w:r>
        <w:rPr>
          <w:rtl/>
        </w:rPr>
        <w:t xml:space="preserve"> </w:t>
      </w:r>
      <w:r>
        <w:t>(„Abgesonderter, Geweihter") ehrt Josef (vgl. Gen 49,26).</w:t>
      </w:r>
    </w:p>
    <w:p w14:paraId="03B23F41" w14:textId="34539CD6" w:rsidR="000115C1" w:rsidRDefault="000115C1" w:rsidP="00EE5F59">
      <w:pPr>
        <w:pStyle w:val="whitespace-normal"/>
      </w:pPr>
      <w:r>
        <w:rPr>
          <w:rStyle w:val="Fett"/>
        </w:rPr>
        <w:t>Die LXX</w:t>
      </w:r>
      <w:r>
        <w:t xml:space="preserve"> übersetzt in Vers 13 </w:t>
      </w:r>
      <w:r w:rsidRPr="00C8349A">
        <w:rPr>
          <w:b/>
          <w:bCs/>
          <w:rtl/>
        </w:rPr>
        <w:t>מִמֶּגֶד</w:t>
      </w:r>
      <w:r>
        <w:t xml:space="preserve"> (von den Kostbarkeiten) mit ἀπʼ </w:t>
      </w:r>
      <w:proofErr w:type="spellStart"/>
      <w:r>
        <w:t>εὐλογί</w:t>
      </w:r>
      <w:proofErr w:type="spellEnd"/>
      <w:r>
        <w:t>ας (von dem Segen) – eine allgemeinere theologische Formulierung.</w:t>
      </w:r>
    </w:p>
    <w:p w14:paraId="06B4956A" w14:textId="3DFBEB15" w:rsidR="000115C1" w:rsidRDefault="000115C1" w:rsidP="00EE5F59">
      <w:pPr>
        <w:pStyle w:val="whitespace-normal"/>
      </w:pPr>
      <w:r>
        <w:rPr>
          <w:rStyle w:val="Fett"/>
        </w:rPr>
        <w:t>Die LXX</w:t>
      </w:r>
      <w:r>
        <w:t xml:space="preserve"> übersetzt in Vers 16 </w:t>
      </w:r>
      <w:r w:rsidRPr="00C8349A">
        <w:rPr>
          <w:b/>
          <w:bCs/>
          <w:rtl/>
        </w:rPr>
        <w:t>רְצוֹן שֹׁכְנִי סְנֶה</w:t>
      </w:r>
      <w:r>
        <w:t xml:space="preserve"> (Wohl</w:t>
      </w:r>
      <w:r w:rsidR="00D47758">
        <w:t>gefallen</w:t>
      </w:r>
      <w:r>
        <w:t xml:space="preserve"> des im Dornbusch Wohnenden) mit </w:t>
      </w:r>
      <w:proofErr w:type="spellStart"/>
      <w:r w:rsidRPr="00C8349A">
        <w:t>τὰ</w:t>
      </w:r>
      <w:proofErr w:type="spellEnd"/>
      <w:r w:rsidRPr="00C8349A">
        <w:t xml:space="preserve"> </w:t>
      </w:r>
      <w:proofErr w:type="spellStart"/>
      <w:r w:rsidRPr="00C8349A">
        <w:t>δεκτὰ</w:t>
      </w:r>
      <w:proofErr w:type="spellEnd"/>
      <w:r w:rsidRPr="00C8349A">
        <w:t xml:space="preserve"> </w:t>
      </w:r>
      <w:proofErr w:type="spellStart"/>
      <w:r w:rsidRPr="00C8349A">
        <w:t>τῷ</w:t>
      </w:r>
      <w:proofErr w:type="spellEnd"/>
      <w:r w:rsidRPr="00C8349A">
        <w:t xml:space="preserve"> </w:t>
      </w:r>
      <w:proofErr w:type="spellStart"/>
      <w:r w:rsidRPr="00C8349A">
        <w:t>ὀφθέντι</w:t>
      </w:r>
      <w:proofErr w:type="spellEnd"/>
      <w:r w:rsidRPr="00C8349A">
        <w:t xml:space="preserve"> </w:t>
      </w:r>
      <w:proofErr w:type="spellStart"/>
      <w:r w:rsidRPr="00C8349A">
        <w:t>ἐν</w:t>
      </w:r>
      <w:proofErr w:type="spellEnd"/>
      <w:r w:rsidRPr="00C8349A">
        <w:t xml:space="preserve"> </w:t>
      </w:r>
      <w:proofErr w:type="spellStart"/>
      <w:r w:rsidRPr="00C8349A">
        <w:t>τῇ</w:t>
      </w:r>
      <w:proofErr w:type="spellEnd"/>
      <w:r w:rsidRPr="00C8349A">
        <w:t xml:space="preserve"> β</w:t>
      </w:r>
      <w:proofErr w:type="spellStart"/>
      <w:r w:rsidRPr="00C8349A">
        <w:t>άτῳ</w:t>
      </w:r>
      <w:proofErr w:type="spellEnd"/>
      <w:r>
        <w:t xml:space="preserve"> (das Angenehme dem, der im Dornbusch erschien) – eine </w:t>
      </w:r>
      <w:r>
        <w:lastRenderedPageBreak/>
        <w:t xml:space="preserve">Anspielung auf Exodus 3. Der Begriff </w:t>
      </w:r>
      <w:r>
        <w:rPr>
          <w:rtl/>
        </w:rPr>
        <w:t>נְזִיר אֶחָיו</w:t>
      </w:r>
      <w:r>
        <w:t xml:space="preserve"> (Geweihter/Abgesonderter unter seinen Brüdern) wird mit </w:t>
      </w:r>
      <w:proofErr w:type="spellStart"/>
      <w:r>
        <w:t>δοξ</w:t>
      </w:r>
      <w:proofErr w:type="spellEnd"/>
      <w:r>
        <w:t xml:space="preserve">ασθεὶς </w:t>
      </w:r>
      <w:proofErr w:type="spellStart"/>
      <w:r>
        <w:t>ἐν</w:t>
      </w:r>
      <w:proofErr w:type="spellEnd"/>
      <w:r>
        <w:t xml:space="preserve"> </w:t>
      </w:r>
      <w:proofErr w:type="spellStart"/>
      <w:r>
        <w:t>ἀδελφοῖς</w:t>
      </w:r>
      <w:proofErr w:type="spellEnd"/>
      <w:r>
        <w:t xml:space="preserve"> (verherrlicht unter den Brüdern) übersetzt.</w:t>
      </w:r>
    </w:p>
    <w:p w14:paraId="1E17B3A6" w14:textId="4C6EBF32" w:rsidR="00EE5F59" w:rsidRDefault="00EE5F59" w:rsidP="00EE5F59">
      <w:pPr>
        <w:pStyle w:val="whitespace-normal"/>
      </w:pPr>
      <w:r>
        <w:rPr>
          <w:rStyle w:val="Fett"/>
          <w:rFonts w:eastAsiaTheme="majorEastAsia"/>
        </w:rPr>
        <w:t>V. 17:</w:t>
      </w:r>
      <w:r>
        <w:t xml:space="preserve"> </w:t>
      </w:r>
      <w:r>
        <w:rPr>
          <w:rStyle w:val="Fett"/>
          <w:rFonts w:eastAsiaTheme="majorEastAsia"/>
          <w:rtl/>
        </w:rPr>
        <w:t>בְּכוֹר שׁוֹרוֹ הָדָר לוֹ וְקַרְנֵי רְאֵם קַרְנָיו בָּהֶם עַמִּים יְנַגַּח יַחְדָּו אַפְסֵי־אָרֶץ וְהֵם רִבְבוֹת אֶפְרַיִם וְהֵם אַלְפֵי מְנַשֶּׁה׃</w:t>
      </w:r>
      <w:r>
        <w:rPr>
          <w:rtl/>
        </w:rPr>
        <w:t xml:space="preserve"> </w:t>
      </w:r>
      <w:r>
        <w:t xml:space="preserve">(„Sein erstgeborener Stier ist ihm Pracht, und Büffelhörner sind seine Hörner; mit ihnen wird er die Völker niederstoßen allzumal bis an die Enden der Erde. Und das sind die Zehntausende Ephraims, und das sind die Tausende Manasses"). Tiermetaphern: </w:t>
      </w:r>
      <w:r>
        <w:rPr>
          <w:rStyle w:val="Fett"/>
          <w:rFonts w:eastAsiaTheme="majorEastAsia"/>
          <w:rtl/>
        </w:rPr>
        <w:t>בְּכוֹר שׁוֹר</w:t>
      </w:r>
      <w:r>
        <w:rPr>
          <w:rtl/>
        </w:rPr>
        <w:t xml:space="preserve"> </w:t>
      </w:r>
      <w:r>
        <w:t xml:space="preserve">(„erstgeborener Stier") – Kraft, </w:t>
      </w:r>
      <w:r>
        <w:rPr>
          <w:rStyle w:val="Fett"/>
          <w:rFonts w:eastAsiaTheme="majorEastAsia"/>
          <w:rtl/>
        </w:rPr>
        <w:t>רְאֵם</w:t>
      </w:r>
      <w:r>
        <w:rPr>
          <w:rtl/>
        </w:rPr>
        <w:t xml:space="preserve"> </w:t>
      </w:r>
      <w:r>
        <w:t>(„Büffel, Wildstier") – Macht (vgl. Num 23,22; 24,8; Ps 22,22; 29,6; 92,11; Jes 34,7; Hiob 39,9-10).</w:t>
      </w:r>
      <w:r w:rsidR="00AD6187" w:rsidRPr="00AD6187">
        <w:t xml:space="preserve"> </w:t>
      </w:r>
      <w:r w:rsidR="00AD6187">
        <w:t>Die Formulierung „erstgeborener Stier" bezieht sich möglicherweise auf Josefs Status als Erstgeborener Rahels (vgl. Gen 30,22-24; 48,15-20 – obwohl Jakob die Vorrechte auf Ephraim übertrug, bleibt Josef der bevorzugte Sohn), was seine herausragende Stellung unter den Stämmen erklärt.</w:t>
      </w:r>
      <w:r>
        <w:t xml:space="preserve"> </w:t>
      </w:r>
      <w:r>
        <w:rPr>
          <w:rStyle w:val="Fett"/>
          <w:rFonts w:eastAsiaTheme="majorEastAsia"/>
          <w:rtl/>
        </w:rPr>
        <w:t>רִבְבוֹת אֶפְרַיִם</w:t>
      </w:r>
      <w:r>
        <w:rPr>
          <w:rtl/>
        </w:rPr>
        <w:t xml:space="preserve"> </w:t>
      </w:r>
      <w:r>
        <w:t xml:space="preserve">(„Zehntausende Ephraims") &gt; </w:t>
      </w:r>
      <w:r>
        <w:rPr>
          <w:rStyle w:val="Fett"/>
          <w:rFonts w:eastAsiaTheme="majorEastAsia"/>
          <w:rtl/>
        </w:rPr>
        <w:t>אַלְפֵי מְנַשֶּׁה</w:t>
      </w:r>
      <w:r>
        <w:rPr>
          <w:rtl/>
        </w:rPr>
        <w:t xml:space="preserve"> </w:t>
      </w:r>
      <w:r>
        <w:t xml:space="preserve">(„Tausende Manasses") – Ephraim ist zahlreicher und mächtiger (vgl. Gen 48,13-20; Num 26,34.37; Jos 17,17). </w:t>
      </w:r>
      <w:r>
        <w:rPr>
          <w:rStyle w:val="Fett"/>
          <w:rFonts w:eastAsiaTheme="majorEastAsia"/>
        </w:rPr>
        <w:t>Setuma</w:t>
      </w:r>
      <w:r>
        <w:t xml:space="preserve"> (</w:t>
      </w:r>
      <w:r>
        <w:rPr>
          <w:rtl/>
        </w:rPr>
        <w:t>ס</w:t>
      </w:r>
      <w:r>
        <w:t>).</w:t>
      </w:r>
    </w:p>
    <w:p w14:paraId="0E53BA1B" w14:textId="5D3DC9AA" w:rsidR="00EE5F59" w:rsidRDefault="00556D10" w:rsidP="00B77CC6">
      <w:pPr>
        <w:pStyle w:val="whitespace-normal"/>
      </w:pPr>
      <w:r>
        <w:rPr>
          <w:rStyle w:val="Fett"/>
        </w:rPr>
        <w:t>Die LXX</w:t>
      </w:r>
      <w:r>
        <w:t xml:space="preserve"> übersetzt </w:t>
      </w:r>
      <w:r>
        <w:rPr>
          <w:rtl/>
        </w:rPr>
        <w:t>רְאֵם</w:t>
      </w:r>
      <w:r>
        <w:t xml:space="preserve"> (Wildstier) mit </w:t>
      </w:r>
      <w:proofErr w:type="spellStart"/>
      <w:r>
        <w:t>μονοκέρωτος</w:t>
      </w:r>
      <w:proofErr w:type="spellEnd"/>
      <w:r>
        <w:t xml:space="preserve"> (Einhorn) – die berühmte Übersetzung, die in die westliche Mythologie einging. Das Verb </w:t>
      </w:r>
      <w:r>
        <w:rPr>
          <w:rtl/>
        </w:rPr>
        <w:t>יְנַגַּח</w:t>
      </w:r>
      <w:r>
        <w:t xml:space="preserve"> (er wird stoßen) wird mit </w:t>
      </w:r>
      <w:proofErr w:type="spellStart"/>
      <w:r>
        <w:t>κερ</w:t>
      </w:r>
      <w:proofErr w:type="spellEnd"/>
      <w:r>
        <w:t xml:space="preserve">ατιεῖ (er wird mit Hörnern stoßen) übersetzt – ein vom griechischen </w:t>
      </w:r>
      <w:proofErr w:type="spellStart"/>
      <w:r>
        <w:t>κέρ</w:t>
      </w:r>
      <w:proofErr w:type="spellEnd"/>
      <w:r>
        <w:t>ας (Horn) abgeleitetes Verb.</w:t>
      </w:r>
    </w:p>
    <w:p w14:paraId="3D174645" w14:textId="77777777" w:rsidR="00EE5F59" w:rsidRPr="00257FCB" w:rsidRDefault="00EE5F59" w:rsidP="00257FCB">
      <w:pPr>
        <w:pStyle w:val="Bibelberschrift"/>
        <w:rPr>
          <w:b w:val="0"/>
          <w:bCs/>
        </w:rPr>
      </w:pPr>
      <w:r w:rsidRPr="00257FCB">
        <w:rPr>
          <w:rStyle w:val="Fett"/>
          <w:b/>
          <w:bCs w:val="0"/>
        </w:rPr>
        <w:t>Deuteronomium 33,18-19 (Sebulon &amp; Issachar)</w:t>
      </w:r>
    </w:p>
    <w:p w14:paraId="40EFA234" w14:textId="77777777" w:rsidR="00EE5F59" w:rsidRDefault="00EE5F59" w:rsidP="00EE5F59">
      <w:pPr>
        <w:pStyle w:val="whitespace-normal"/>
      </w:pPr>
      <w:r>
        <w:rPr>
          <w:rStyle w:val="Fett"/>
          <w:rFonts w:eastAsiaTheme="majorEastAsia"/>
        </w:rPr>
        <w:t>V. 18:</w:t>
      </w:r>
      <w:r>
        <w:t xml:space="preserve"> </w:t>
      </w:r>
      <w:r>
        <w:rPr>
          <w:rStyle w:val="Fett"/>
          <w:rFonts w:eastAsiaTheme="majorEastAsia"/>
          <w:rtl/>
        </w:rPr>
        <w:t>וְלִזְבוּלֻן אָמַר שְׂמַח זְבוּלֻן בְּצֵאתֶךָ וְיִשָּׂשכָר בְּאֹהָלֶיךָ׃</w:t>
      </w:r>
      <w:r>
        <w:rPr>
          <w:rtl/>
        </w:rPr>
        <w:t xml:space="preserve"> </w:t>
      </w:r>
      <w:r>
        <w:t xml:space="preserve">(„Freue dich, Sebulon, deines Auszugs, und du, Issachar, deiner Zelte"). Komplementäre Segen: Sebulon im </w:t>
      </w:r>
      <w:r>
        <w:rPr>
          <w:rStyle w:val="Fett"/>
          <w:rFonts w:eastAsiaTheme="majorEastAsia"/>
          <w:rtl/>
        </w:rPr>
        <w:t>צֵאת</w:t>
      </w:r>
      <w:r>
        <w:rPr>
          <w:rtl/>
        </w:rPr>
        <w:t xml:space="preserve"> </w:t>
      </w:r>
      <w:r>
        <w:t xml:space="preserve">(„Ausziehen, Handel") – Seehandel (vgl. Gen 49,13), Issachar in </w:t>
      </w:r>
      <w:r>
        <w:rPr>
          <w:rStyle w:val="Fett"/>
          <w:rFonts w:eastAsiaTheme="majorEastAsia"/>
          <w:rtl/>
        </w:rPr>
        <w:t>אֹהָלִים</w:t>
      </w:r>
      <w:r>
        <w:rPr>
          <w:rtl/>
        </w:rPr>
        <w:t xml:space="preserve"> </w:t>
      </w:r>
      <w:r>
        <w:t>(„Zelten") – sesshaft.</w:t>
      </w:r>
    </w:p>
    <w:p w14:paraId="442E7643" w14:textId="55D4DBF7" w:rsidR="00EE5F59" w:rsidRDefault="00EE5F59" w:rsidP="00EE5F59">
      <w:pPr>
        <w:pStyle w:val="whitespace-normal"/>
      </w:pPr>
      <w:r>
        <w:rPr>
          <w:rStyle w:val="Fett"/>
          <w:rFonts w:eastAsiaTheme="majorEastAsia"/>
        </w:rPr>
        <w:t>V. 19:</w:t>
      </w:r>
      <w:r>
        <w:t xml:space="preserve"> </w:t>
      </w:r>
      <w:r>
        <w:rPr>
          <w:rStyle w:val="Fett"/>
          <w:rFonts w:eastAsiaTheme="majorEastAsia"/>
          <w:rtl/>
        </w:rPr>
        <w:t>עַמִּים הַר־יִקְרָאוּ שָׁם יִזְבְּחוּ זִבְחֵי־צֶדֶק כִּי שֶׁפַע יַמִּים יִינָקוּ וּשְׂפוּנֵי טְמוּנֵי חוֹל׃</w:t>
      </w:r>
      <w:r>
        <w:rPr>
          <w:rtl/>
        </w:rPr>
        <w:t xml:space="preserve"> </w:t>
      </w:r>
      <w:r>
        <w:t xml:space="preserve">(„Sie werden Völker zum Berg rufen; dort werden sie Opfer der Gerechtigkeit opfern; denn sie saugen die Fülle des Meeres und die verborgenen Schätze des Sandes"). </w:t>
      </w:r>
      <w:r>
        <w:rPr>
          <w:rStyle w:val="Fett"/>
          <w:rFonts w:eastAsiaTheme="majorEastAsia"/>
          <w:rtl/>
        </w:rPr>
        <w:t>שֶׁפַע יַמִּים</w:t>
      </w:r>
      <w:r>
        <w:rPr>
          <w:rtl/>
        </w:rPr>
        <w:t xml:space="preserve"> </w:t>
      </w:r>
      <w:r>
        <w:t xml:space="preserve">(„Fülle des Meeres") – Seehandel, Fischfang. </w:t>
      </w:r>
      <w:r>
        <w:rPr>
          <w:rStyle w:val="Fett"/>
          <w:rFonts w:eastAsiaTheme="majorEastAsia"/>
          <w:rtl/>
        </w:rPr>
        <w:t>טְמוּנֵי חוֹל</w:t>
      </w:r>
      <w:r>
        <w:rPr>
          <w:rtl/>
        </w:rPr>
        <w:t xml:space="preserve"> </w:t>
      </w:r>
      <w:r>
        <w:t xml:space="preserve">(„verborgene Schätze des Sandes") – vielleicht Purpurschnecken für Farbstoff, oder Glas (Phönizier stellten Glas aus Sand her). </w:t>
      </w:r>
      <w:r>
        <w:rPr>
          <w:rStyle w:val="Fett"/>
          <w:rFonts w:eastAsiaTheme="majorEastAsia"/>
        </w:rPr>
        <w:t>Setuma</w:t>
      </w:r>
      <w:r>
        <w:t xml:space="preserve"> (</w:t>
      </w:r>
      <w:r>
        <w:rPr>
          <w:rtl/>
        </w:rPr>
        <w:t>ס</w:t>
      </w:r>
      <w:r>
        <w:t>).</w:t>
      </w:r>
    </w:p>
    <w:p w14:paraId="620771F6" w14:textId="7675C5D8" w:rsidR="00556D10" w:rsidRDefault="00556D10" w:rsidP="00EE5F59">
      <w:pPr>
        <w:pStyle w:val="whitespace-normal"/>
      </w:pPr>
      <w:r>
        <w:rPr>
          <w:rStyle w:val="Fett"/>
        </w:rPr>
        <w:t>Die LXX</w:t>
      </w:r>
      <w:r>
        <w:t xml:space="preserve"> fügt hinzu: </w:t>
      </w:r>
      <w:proofErr w:type="spellStart"/>
      <w:r>
        <w:t>ἔθνη</w:t>
      </w:r>
      <w:proofErr w:type="spellEnd"/>
      <w:r>
        <w:t xml:space="preserve"> </w:t>
      </w:r>
      <w:proofErr w:type="spellStart"/>
      <w:r>
        <w:t>ἐξολεθρεύσουσιν</w:t>
      </w:r>
      <w:proofErr w:type="spellEnd"/>
      <w:r>
        <w:t xml:space="preserve"> (sie werden Völker vernichten) am Versanfang. Das Wort </w:t>
      </w:r>
      <w:r>
        <w:rPr>
          <w:rtl/>
        </w:rPr>
        <w:t>שְׂפוּנֵי טְמוּנֵי חוֹל</w:t>
      </w:r>
      <w:r>
        <w:t xml:space="preserve"> (verborgene Schätze des Sandes) wird mit </w:t>
      </w:r>
      <w:proofErr w:type="spellStart"/>
      <w:r>
        <w:t>ἐμ</w:t>
      </w:r>
      <w:proofErr w:type="spellEnd"/>
      <w:r>
        <w:t>πόρια πα</w:t>
      </w:r>
      <w:proofErr w:type="spellStart"/>
      <w:r>
        <w:t>ράλιον</w:t>
      </w:r>
      <w:proofErr w:type="spellEnd"/>
      <w:r>
        <w:t xml:space="preserve"> κα</w:t>
      </w:r>
      <w:proofErr w:type="spellStart"/>
      <w:r>
        <w:t>τοικούντων</w:t>
      </w:r>
      <w:proofErr w:type="spellEnd"/>
      <w:r>
        <w:t xml:space="preserve"> (Handelsgüter der Küstenbewohner) übersetzt – eine konkrete wirtschaftliche Interpretation.</w:t>
      </w:r>
    </w:p>
    <w:p w14:paraId="1AFF3589" w14:textId="77777777" w:rsidR="00EE5F59" w:rsidRPr="00257FCB" w:rsidRDefault="00EE5F59" w:rsidP="00257FCB">
      <w:pPr>
        <w:pStyle w:val="Bibelberschrift"/>
        <w:rPr>
          <w:b w:val="0"/>
          <w:bCs/>
        </w:rPr>
      </w:pPr>
      <w:r w:rsidRPr="00257FCB">
        <w:rPr>
          <w:rStyle w:val="Fett"/>
          <w:b/>
          <w:bCs w:val="0"/>
        </w:rPr>
        <w:t>Deuteronomium 33,20-21 (Gad), 22 (Dan), 23 (Naphtali), 24-25 (Asser)</w:t>
      </w:r>
    </w:p>
    <w:p w14:paraId="4BB58576" w14:textId="0786E833" w:rsidR="00EE5F59" w:rsidRDefault="00EE5F59" w:rsidP="00EE5F59">
      <w:pPr>
        <w:pStyle w:val="whitespace-normal"/>
      </w:pPr>
      <w:r>
        <w:rPr>
          <w:rStyle w:val="Fett"/>
          <w:rFonts w:eastAsiaTheme="majorEastAsia"/>
        </w:rPr>
        <w:t>V. 20-21 (Gad):</w:t>
      </w:r>
      <w:r>
        <w:t xml:space="preserve"> </w:t>
      </w:r>
      <w:r>
        <w:rPr>
          <w:rStyle w:val="Fett"/>
          <w:rFonts w:eastAsiaTheme="majorEastAsia"/>
          <w:rtl/>
        </w:rPr>
        <w:t>בָּרוּךְ מַרְחִיב גָּד</w:t>
      </w:r>
      <w:r>
        <w:rPr>
          <w:rtl/>
        </w:rPr>
        <w:t xml:space="preserve"> </w:t>
      </w:r>
      <w:r>
        <w:t xml:space="preserve">(„Gesegnet sei, der Gad Raum schafft") – Gad erhielt Ostjordanland (vgl. Num 32; Jos 13,24-28). </w:t>
      </w:r>
      <w:r>
        <w:rPr>
          <w:rStyle w:val="Fett"/>
          <w:rFonts w:eastAsiaTheme="majorEastAsia"/>
          <w:rtl/>
        </w:rPr>
        <w:t>כְּלָבִיא שָׁכֵן וְטָרַף זְרוֹעַ אַף־קָדְקֹד</w:t>
      </w:r>
      <w:r>
        <w:rPr>
          <w:rtl/>
        </w:rPr>
        <w:t xml:space="preserve"> </w:t>
      </w:r>
      <w:r>
        <w:t xml:space="preserve">(„Wie eine Löwin lagert er und zerreißt Arm und Scheitel") – Löwenmetapher wie bei Juda (Gen 49,9). </w:t>
      </w:r>
      <w:r>
        <w:rPr>
          <w:rStyle w:val="Fett"/>
          <w:rFonts w:eastAsiaTheme="majorEastAsia"/>
        </w:rPr>
        <w:t>V. 21:</w:t>
      </w:r>
      <w:r>
        <w:t xml:space="preserve"> </w:t>
      </w:r>
      <w:r>
        <w:rPr>
          <w:rStyle w:val="Fett"/>
          <w:rFonts w:eastAsiaTheme="majorEastAsia"/>
          <w:rtl/>
        </w:rPr>
        <w:t>וַיַּרְא רֵאשִׁית לוֹ כִּי־שָׁם חֶלְקַת מְחֹקֵק סָפוּן</w:t>
      </w:r>
      <w:r>
        <w:rPr>
          <w:rtl/>
        </w:rPr>
        <w:t xml:space="preserve"> </w:t>
      </w:r>
      <w:r>
        <w:t xml:space="preserve">(„Und er sah das Erste für sich, denn dort war der Anteil des Gesetzgebers aufbewahrt") – Gad wählte zuerst sein Land (Num 32), wo ein </w:t>
      </w:r>
      <w:r>
        <w:rPr>
          <w:rStyle w:val="Fett"/>
          <w:rFonts w:eastAsiaTheme="majorEastAsia"/>
          <w:rtl/>
        </w:rPr>
        <w:t>מְחֹקֵק</w:t>
      </w:r>
      <w:r>
        <w:rPr>
          <w:rtl/>
        </w:rPr>
        <w:t xml:space="preserve"> </w:t>
      </w:r>
      <w:r>
        <w:t xml:space="preserve">(„Gesetzgeber") = Moses Grab lag (vgl. 34,6). </w:t>
      </w:r>
      <w:r>
        <w:rPr>
          <w:rStyle w:val="Fett"/>
          <w:rFonts w:eastAsiaTheme="majorEastAsia"/>
          <w:rtl/>
        </w:rPr>
        <w:t>וַיֵּתֵא רָאשֵׁי עָם צִדְקַת יְהוָה עָשָׂה וּמִשְׁפָּטָיו עִם־יִשְׂרָאֵל</w:t>
      </w:r>
      <w:r>
        <w:rPr>
          <w:rtl/>
        </w:rPr>
        <w:t xml:space="preserve"> </w:t>
      </w:r>
      <w:r>
        <w:t xml:space="preserve">(„und er kam mit den Häuptern des Volkes; die Gerechtigkeit </w:t>
      </w:r>
      <w:r w:rsidR="00B77E5E">
        <w:t>JHWHs</w:t>
      </w:r>
      <w:r>
        <w:t xml:space="preserve"> hat er ausgeübt, und </w:t>
      </w:r>
      <w:r>
        <w:lastRenderedPageBreak/>
        <w:t>seine Rechtsbestimmungen mit Israel") – Gad half trotzdem beim Eroberungskrieg westlich des Jordan (Jos 4,12-13; 22,1-6).</w:t>
      </w:r>
      <w:r w:rsidR="00AD6187" w:rsidRPr="00AD6187">
        <w:t xml:space="preserve"> </w:t>
      </w:r>
      <w:r w:rsidR="00AD6187">
        <w:t xml:space="preserve">Die Formulierung </w:t>
      </w:r>
      <w:r w:rsidR="00AD6187" w:rsidRPr="00AD6187">
        <w:rPr>
          <w:b/>
          <w:bCs/>
          <w:rtl/>
        </w:rPr>
        <w:t>צִדְקַת יְהוָה עָשָׂה</w:t>
      </w:r>
      <w:r w:rsidR="00AD6187">
        <w:t xml:space="preserve"> („die Gerechtigkeit </w:t>
      </w:r>
      <w:r w:rsidR="00B77E5E">
        <w:t>JHWHs</w:t>
      </w:r>
      <w:r w:rsidR="00AD6187">
        <w:t xml:space="preserve"> hat er ausgeübt") ist theologisch bedeutsam – Gad wird als exemplarischer Stamm dargestellt, der trotz eigenen Landbesitzes östlich des Jordan seine bundesgemäße Verpflichtung zur Solidarität mit den Bruderstämmen erfüllte (vgl. Jos 22,1-6: „ihr habt alles gehalten, was euch Mose... geboten hat"). Gad wird damit zum Vorbild des Gehorsams und der Bundstreue. Die Formulierung </w:t>
      </w:r>
      <w:r w:rsidR="00AD6187" w:rsidRPr="00AD6187">
        <w:rPr>
          <w:b/>
          <w:bCs/>
          <w:rtl/>
        </w:rPr>
        <w:t>וּמִשְׁפָּטָיו עִם־יִשְׂרָאֵל</w:t>
      </w:r>
      <w:r w:rsidR="00AD6187">
        <w:t xml:space="preserve"> („und seine Rechtsbestimmungen mit Israel") unterstreicht: Gad handelte nicht isoliert, sondern in Gemeinschaft mit ganz Israel.</w:t>
      </w:r>
      <w:r>
        <w:t xml:space="preserve"> </w:t>
      </w:r>
      <w:r>
        <w:rPr>
          <w:rStyle w:val="Fett"/>
          <w:rFonts w:eastAsiaTheme="majorEastAsia"/>
        </w:rPr>
        <w:t>Setuma</w:t>
      </w:r>
      <w:r>
        <w:t xml:space="preserve"> (</w:t>
      </w:r>
      <w:r>
        <w:rPr>
          <w:rtl/>
        </w:rPr>
        <w:t>ס</w:t>
      </w:r>
      <w:r>
        <w:t>).</w:t>
      </w:r>
    </w:p>
    <w:p w14:paraId="76EE832F" w14:textId="5EC43A72" w:rsidR="00556D10" w:rsidRDefault="00556D10" w:rsidP="00EE5F59">
      <w:pPr>
        <w:pStyle w:val="whitespace-normal"/>
      </w:pPr>
      <w:r>
        <w:rPr>
          <w:rStyle w:val="Fett"/>
        </w:rPr>
        <w:t>Die LXX</w:t>
      </w:r>
      <w:r>
        <w:t xml:space="preserve"> übersetzt </w:t>
      </w:r>
      <w:r>
        <w:rPr>
          <w:rtl/>
        </w:rPr>
        <w:t>חֶלְקַת מְחֹקֵק סָפוּן</w:t>
      </w:r>
      <w:r>
        <w:t xml:space="preserve"> (der Anteil des Gesetzgebers war aufbewahrt) mit </w:t>
      </w:r>
      <w:proofErr w:type="spellStart"/>
      <w:r>
        <w:t>ἐμερίσθη</w:t>
      </w:r>
      <w:proofErr w:type="spellEnd"/>
      <w:r>
        <w:t xml:space="preserve"> </w:t>
      </w:r>
      <w:proofErr w:type="spellStart"/>
      <w:r>
        <w:t>γῆ</w:t>
      </w:r>
      <w:proofErr w:type="spellEnd"/>
      <w:r>
        <w:t xml:space="preserve">, </w:t>
      </w:r>
      <w:proofErr w:type="spellStart"/>
      <w:r>
        <w:t>ἀρχόντων</w:t>
      </w:r>
      <w:proofErr w:type="spellEnd"/>
      <w:r>
        <w:t xml:space="preserve"> (das Land der Fürsten wurde geteilt).</w:t>
      </w:r>
    </w:p>
    <w:p w14:paraId="0DCDDEA8" w14:textId="77777777" w:rsidR="00EE5F59" w:rsidRDefault="00EE5F59" w:rsidP="00EE5F59">
      <w:pPr>
        <w:pStyle w:val="whitespace-normal"/>
      </w:pPr>
      <w:r>
        <w:rPr>
          <w:rStyle w:val="Fett"/>
          <w:rFonts w:eastAsiaTheme="majorEastAsia"/>
        </w:rPr>
        <w:t>V. 22 (Dan):</w:t>
      </w:r>
      <w:r>
        <w:t xml:space="preserve"> </w:t>
      </w:r>
      <w:r>
        <w:rPr>
          <w:rStyle w:val="Fett"/>
          <w:rFonts w:eastAsiaTheme="majorEastAsia"/>
          <w:rtl/>
        </w:rPr>
        <w:t>וּלְדָן אָמַר דָּן גּוּר אַרְיֵה יְזַנֵּק מִן־הַבָּשָׁן׃</w:t>
      </w:r>
      <w:r>
        <w:rPr>
          <w:rtl/>
        </w:rPr>
        <w:t xml:space="preserve"> </w:t>
      </w:r>
      <w:r>
        <w:t xml:space="preserve">(„Und von Dan sprach er: Dan ist ein junger Löwe; er springt hervor aus Baschan"). </w:t>
      </w:r>
      <w:r>
        <w:rPr>
          <w:rStyle w:val="Fett"/>
          <w:rFonts w:eastAsiaTheme="majorEastAsia"/>
          <w:rtl/>
        </w:rPr>
        <w:t>גּוּר אַרְיֵה</w:t>
      </w:r>
      <w:r>
        <w:rPr>
          <w:rtl/>
        </w:rPr>
        <w:t xml:space="preserve"> </w:t>
      </w:r>
      <w:r>
        <w:t xml:space="preserve">(„junger Löwe") – vgl. Gen 49,17 (wo Dan eine Schlange ist). Dans spätere Migration von Süden (Jos 19,40-48) nach Norden (Ri 18) könnte im Bild des springenden Löwen angedeutet sein. </w:t>
      </w:r>
      <w:r>
        <w:rPr>
          <w:rStyle w:val="Fett"/>
          <w:rFonts w:eastAsiaTheme="majorEastAsia"/>
          <w:rtl/>
        </w:rPr>
        <w:t>מִן־הַבָּשָׁן</w:t>
      </w:r>
      <w:r>
        <w:rPr>
          <w:rtl/>
        </w:rPr>
        <w:t xml:space="preserve"> </w:t>
      </w:r>
      <w:r>
        <w:t>(„aus Baschan") – geografische Anspielung.</w:t>
      </w:r>
    </w:p>
    <w:p w14:paraId="2DE37DE4" w14:textId="01D8FF41" w:rsidR="00EE5F59" w:rsidRDefault="00EE5F59" w:rsidP="00EE5F59">
      <w:pPr>
        <w:pStyle w:val="whitespace-normal"/>
      </w:pPr>
      <w:r>
        <w:rPr>
          <w:rStyle w:val="Fett"/>
          <w:rFonts w:eastAsiaTheme="majorEastAsia"/>
        </w:rPr>
        <w:t>V. 23 (Naphtali):</w:t>
      </w:r>
      <w:r>
        <w:t xml:space="preserve"> </w:t>
      </w:r>
      <w:r>
        <w:rPr>
          <w:rStyle w:val="Fett"/>
          <w:rFonts w:eastAsiaTheme="majorEastAsia"/>
          <w:rtl/>
        </w:rPr>
        <w:t>וּלְנַפְתָּלִי אָמַר נַפְתָּלִי שְׂבַע רָצוֹן וּמָלֵא בִּרְכַּת יְהוָה יָם וְדָרוֹם יְרָשָׁה׃</w:t>
      </w:r>
      <w:r>
        <w:rPr>
          <w:rtl/>
        </w:rPr>
        <w:t xml:space="preserve"> </w:t>
      </w:r>
      <w:r>
        <w:t xml:space="preserve">(„Und von Naphtali sprach er: Naphtali, gesättigt mit Huld und voll des Segens </w:t>
      </w:r>
      <w:r w:rsidR="00B77E5E">
        <w:t>JHWHs</w:t>
      </w:r>
      <w:r>
        <w:t xml:space="preserve">! Westen und Süden nimm in Besitz"). </w:t>
      </w:r>
      <w:r>
        <w:rPr>
          <w:rStyle w:val="Fett"/>
          <w:rFonts w:eastAsiaTheme="majorEastAsia"/>
          <w:rtl/>
        </w:rPr>
        <w:t>שְׂבַע רָצוֹן</w:t>
      </w:r>
      <w:r>
        <w:rPr>
          <w:rtl/>
        </w:rPr>
        <w:t xml:space="preserve"> </w:t>
      </w:r>
      <w:r>
        <w:t xml:space="preserve">(„gesättigt mit Huld") – Gottes Gunst. </w:t>
      </w:r>
      <w:r>
        <w:rPr>
          <w:rStyle w:val="Fett"/>
          <w:rFonts w:eastAsiaTheme="majorEastAsia"/>
          <w:rtl/>
        </w:rPr>
        <w:t>יָם וְדָרוֹם יְרָשָׁה</w:t>
      </w:r>
      <w:r>
        <w:rPr>
          <w:rtl/>
        </w:rPr>
        <w:t xml:space="preserve"> </w:t>
      </w:r>
      <w:r>
        <w:t xml:space="preserve">(„Westen und Süden nimm in Besitz") – </w:t>
      </w:r>
      <w:r>
        <w:rPr>
          <w:rStyle w:val="Fett"/>
          <w:rFonts w:eastAsiaTheme="majorEastAsia"/>
          <w:rtl/>
        </w:rPr>
        <w:t>יָם</w:t>
      </w:r>
      <w:r>
        <w:rPr>
          <w:rtl/>
        </w:rPr>
        <w:t xml:space="preserve"> </w:t>
      </w:r>
      <w:r>
        <w:t xml:space="preserve">(„Meer, Westen") und </w:t>
      </w:r>
      <w:r>
        <w:rPr>
          <w:rStyle w:val="Fett"/>
          <w:rFonts w:eastAsiaTheme="majorEastAsia"/>
          <w:rtl/>
        </w:rPr>
        <w:t>דָּרוֹם</w:t>
      </w:r>
      <w:r>
        <w:rPr>
          <w:rtl/>
        </w:rPr>
        <w:t xml:space="preserve"> </w:t>
      </w:r>
      <w:r>
        <w:t xml:space="preserve">(„Süden") beschreiben Naphthalis Territorium am See Genezareth (Jos 19,32-39). </w:t>
      </w:r>
      <w:r>
        <w:rPr>
          <w:rStyle w:val="Fett"/>
          <w:rFonts w:eastAsiaTheme="majorEastAsia"/>
        </w:rPr>
        <w:t>Setuma</w:t>
      </w:r>
      <w:r>
        <w:t xml:space="preserve"> (</w:t>
      </w:r>
      <w:r>
        <w:rPr>
          <w:rtl/>
        </w:rPr>
        <w:t>ס</w:t>
      </w:r>
      <w:r>
        <w:t>).</w:t>
      </w:r>
    </w:p>
    <w:p w14:paraId="0B6169C6" w14:textId="5BEA0839" w:rsidR="00EE5F59" w:rsidRDefault="00EE5F59" w:rsidP="00EE5F59">
      <w:pPr>
        <w:pStyle w:val="whitespace-normal"/>
      </w:pPr>
      <w:r>
        <w:rPr>
          <w:rStyle w:val="Fett"/>
          <w:rFonts w:eastAsiaTheme="majorEastAsia"/>
        </w:rPr>
        <w:t>V. 24-25 (Asser):</w:t>
      </w:r>
      <w:r>
        <w:t xml:space="preserve"> </w:t>
      </w:r>
      <w:r>
        <w:rPr>
          <w:rStyle w:val="Fett"/>
          <w:rFonts w:eastAsiaTheme="majorEastAsia"/>
          <w:rtl/>
        </w:rPr>
        <w:t>בָּרוּךְ מִבָּנִים אָשֵׁר יְהִי רְצוּי אֶחָיו וְטֹבֵל בַּשֶּׁמֶן רַגְלוֹ׃</w:t>
      </w:r>
      <w:r>
        <w:rPr>
          <w:rtl/>
        </w:rPr>
        <w:t xml:space="preserve"> </w:t>
      </w:r>
      <w:r>
        <w:t xml:space="preserve">(„Gesegnet an Söhnen sei Asser; er sei der Liebling seiner Brüder, und er tauche in Öl seinen Fuß"). </w:t>
      </w:r>
      <w:r>
        <w:rPr>
          <w:rStyle w:val="Fett"/>
          <w:rFonts w:eastAsiaTheme="majorEastAsia"/>
          <w:rtl/>
        </w:rPr>
        <w:t>בָּרוּךְ מִבָּנִים</w:t>
      </w:r>
      <w:r>
        <w:rPr>
          <w:rtl/>
        </w:rPr>
        <w:t xml:space="preserve"> </w:t>
      </w:r>
      <w:r>
        <w:t xml:space="preserve">(„gesegnet an Söhnen") – Kinderreichtum. </w:t>
      </w:r>
      <w:r>
        <w:rPr>
          <w:rStyle w:val="Fett"/>
          <w:rFonts w:eastAsiaTheme="majorEastAsia"/>
          <w:rtl/>
        </w:rPr>
        <w:t>וְטֹבֵל בַּשֶּׁמֶן רַגְלוֹ</w:t>
      </w:r>
      <w:r>
        <w:rPr>
          <w:rtl/>
        </w:rPr>
        <w:t xml:space="preserve"> </w:t>
      </w:r>
      <w:r>
        <w:t xml:space="preserve">(„und er tauche in Öl seinen Fuß") – Olivenölreichtum (vgl. Gen 49,20; Jos 19,24-31; Ri 1,31-32; Assers Gebiet in der fruchtbaren Küstenebene). </w:t>
      </w:r>
      <w:r>
        <w:rPr>
          <w:rStyle w:val="Fett"/>
          <w:rFonts w:eastAsiaTheme="majorEastAsia"/>
        </w:rPr>
        <w:t>V. 25:</w:t>
      </w:r>
      <w:r>
        <w:t xml:space="preserve"> </w:t>
      </w:r>
      <w:r>
        <w:rPr>
          <w:rStyle w:val="Fett"/>
          <w:rFonts w:eastAsiaTheme="majorEastAsia"/>
          <w:rtl/>
        </w:rPr>
        <w:t>בַּרְזֶל וּנְחֹשֶׁת מִנְעָלֶיךָ וּכְיָמֶיךָ דָּבְאֶךָ׃</w:t>
      </w:r>
      <w:r>
        <w:rPr>
          <w:rtl/>
        </w:rPr>
        <w:t xml:space="preserve"> </w:t>
      </w:r>
      <w:r>
        <w:t xml:space="preserve">(„Eisen und Erz seien deine Riegel, und wie deine Tage, so deine Kraft"). </w:t>
      </w:r>
      <w:r>
        <w:rPr>
          <w:rStyle w:val="Fett"/>
          <w:rFonts w:eastAsiaTheme="majorEastAsia"/>
          <w:rtl/>
        </w:rPr>
        <w:t>מִנְעָלֶיךָ</w:t>
      </w:r>
      <w:r>
        <w:rPr>
          <w:rtl/>
        </w:rPr>
        <w:t xml:space="preserve"> </w:t>
      </w:r>
      <w:r>
        <w:t xml:space="preserve">kann „Riegel" oder „Schuhe" bedeuten – entweder befestigte Städte oder dauerhafter Wohlstand. </w:t>
      </w:r>
      <w:r>
        <w:rPr>
          <w:rStyle w:val="Fett"/>
          <w:rFonts w:eastAsiaTheme="majorEastAsia"/>
          <w:rtl/>
        </w:rPr>
        <w:t>וּכְיָמֶיךָ דָּבְאֶךָ</w:t>
      </w:r>
      <w:r>
        <w:rPr>
          <w:rtl/>
        </w:rPr>
        <w:t xml:space="preserve"> </w:t>
      </w:r>
      <w:r>
        <w:t>(„und wie deine Tage, so deine Kraft") – die Kraft wird nicht nachlassen (vgl. Ps 103,5; Jes 40,29-31).</w:t>
      </w:r>
    </w:p>
    <w:p w14:paraId="3C4A547D" w14:textId="1885F6AE" w:rsidR="00556D10" w:rsidRDefault="00556D10" w:rsidP="00EE5F59">
      <w:pPr>
        <w:pStyle w:val="whitespace-normal"/>
      </w:pPr>
      <w:r>
        <w:rPr>
          <w:rStyle w:val="Fett"/>
        </w:rPr>
        <w:t>Die LXX</w:t>
      </w:r>
      <w:r>
        <w:t xml:space="preserve"> übersetzt in Vers 24 </w:t>
      </w:r>
      <w:r>
        <w:rPr>
          <w:rtl/>
        </w:rPr>
        <w:t>וְטֹבֵל בַּשֶּׁמֶן רַגְלוֹ</w:t>
      </w:r>
      <w:r>
        <w:t xml:space="preserve"> (und er tauche seinen Fuß in Öl) mit β</w:t>
      </w:r>
      <w:proofErr w:type="spellStart"/>
      <w:r>
        <w:t>άψει</w:t>
      </w:r>
      <w:proofErr w:type="spellEnd"/>
      <w:r>
        <w:t xml:space="preserve"> </w:t>
      </w:r>
      <w:proofErr w:type="spellStart"/>
      <w:r>
        <w:t>ἐν</w:t>
      </w:r>
      <w:proofErr w:type="spellEnd"/>
      <w:r>
        <w:t xml:space="preserve"> </w:t>
      </w:r>
      <w:proofErr w:type="spellStart"/>
      <w:r>
        <w:t>ἐλ</w:t>
      </w:r>
      <w:proofErr w:type="spellEnd"/>
      <w:r>
        <w:t xml:space="preserve">αίῳ </w:t>
      </w:r>
      <w:proofErr w:type="spellStart"/>
      <w:r>
        <w:t>τὸν</w:t>
      </w:r>
      <w:proofErr w:type="spellEnd"/>
      <w:r>
        <w:t xml:space="preserve"> π</w:t>
      </w:r>
      <w:proofErr w:type="spellStart"/>
      <w:r>
        <w:t>όδ</w:t>
      </w:r>
      <w:proofErr w:type="spellEnd"/>
      <w:r>
        <w:t>α α</w:t>
      </w:r>
      <w:proofErr w:type="spellStart"/>
      <w:r>
        <w:t>ὐτοῦ</w:t>
      </w:r>
      <w:proofErr w:type="spellEnd"/>
      <w:r>
        <w:t xml:space="preserve"> (er wird seinen Fuß in Öl tauchen) – präzise Entsprechung.</w:t>
      </w:r>
    </w:p>
    <w:p w14:paraId="161EE9C6" w14:textId="3AFB17E3" w:rsidR="00AD6187" w:rsidRDefault="00556D10" w:rsidP="00AD6187">
      <w:pPr>
        <w:pStyle w:val="whitespace-normal"/>
      </w:pPr>
      <w:r>
        <w:rPr>
          <w:rStyle w:val="Fett"/>
        </w:rPr>
        <w:t>Die LXX</w:t>
      </w:r>
      <w:r>
        <w:t xml:space="preserve"> übersetzt in Vers 25 </w:t>
      </w:r>
      <w:r>
        <w:rPr>
          <w:rtl/>
        </w:rPr>
        <w:t>מִנְעָלֶיךָ</w:t>
      </w:r>
      <w:r>
        <w:t xml:space="preserve"> (deine Riegel) mit </w:t>
      </w:r>
      <w:proofErr w:type="spellStart"/>
      <w:r>
        <w:t>τὸ</w:t>
      </w:r>
      <w:proofErr w:type="spellEnd"/>
      <w:r>
        <w:t xml:space="preserve"> ὑπ</w:t>
      </w:r>
      <w:proofErr w:type="spellStart"/>
      <w:r>
        <w:t>όδημ</w:t>
      </w:r>
      <w:proofErr w:type="spellEnd"/>
      <w:r>
        <w:t>α α</w:t>
      </w:r>
      <w:proofErr w:type="spellStart"/>
      <w:r>
        <w:t>ὐτοῦ</w:t>
      </w:r>
      <w:proofErr w:type="spellEnd"/>
      <w:r>
        <w:t xml:space="preserve"> (sein Schuh) – versteht das Wort als von </w:t>
      </w:r>
      <w:r>
        <w:rPr>
          <w:rtl/>
        </w:rPr>
        <w:t>נַעַל</w:t>
      </w:r>
      <w:r>
        <w:t xml:space="preserve"> (Schuh) abgeleitet statt von </w:t>
      </w:r>
      <w:r>
        <w:rPr>
          <w:rtl/>
        </w:rPr>
        <w:t>מַנְעוּל</w:t>
      </w:r>
      <w:r>
        <w:t xml:space="preserve"> (Riegel). Das Wort </w:t>
      </w:r>
      <w:r>
        <w:rPr>
          <w:rtl/>
        </w:rPr>
        <w:t>דָּבְאֶךָ</w:t>
      </w:r>
      <w:r>
        <w:t xml:space="preserve"> (deine Kraft/Ruhe) wird mit ἡ </w:t>
      </w:r>
      <w:proofErr w:type="spellStart"/>
      <w:r>
        <w:t>ἰσχύς</w:t>
      </w:r>
      <w:proofErr w:type="spellEnd"/>
      <w:r>
        <w:t xml:space="preserve"> </w:t>
      </w:r>
      <w:proofErr w:type="spellStart"/>
      <w:r>
        <w:t>σου</w:t>
      </w:r>
      <w:proofErr w:type="spellEnd"/>
      <w:r>
        <w:t xml:space="preserve"> (deine Kraft) übersetzt.</w:t>
      </w:r>
    </w:p>
    <w:p w14:paraId="769264D1" w14:textId="77777777" w:rsidR="00EE5F59" w:rsidRPr="00257FCB" w:rsidRDefault="00EE5F59" w:rsidP="00EE5F59">
      <w:pPr>
        <w:pStyle w:val="berschrift1"/>
        <w:rPr>
          <w:rFonts w:ascii="Times New Roman" w:hAnsi="Times New Roman"/>
          <w:sz w:val="36"/>
          <w:szCs w:val="36"/>
        </w:rPr>
      </w:pPr>
      <w:r w:rsidRPr="00257FCB">
        <w:rPr>
          <w:rStyle w:val="Fett"/>
          <w:rFonts w:ascii="Times New Roman" w:hAnsi="Times New Roman"/>
          <w:color w:val="auto"/>
          <w:sz w:val="36"/>
          <w:szCs w:val="36"/>
        </w:rPr>
        <w:t>Deuteronomium 33,26-29 (Großer Schluss)</w:t>
      </w:r>
    </w:p>
    <w:p w14:paraId="6932AD65" w14:textId="41DCB727" w:rsidR="00EE5F59" w:rsidRDefault="00EE5F59" w:rsidP="00EE5F59">
      <w:pPr>
        <w:pStyle w:val="whitespace-normal"/>
      </w:pPr>
      <w:r>
        <w:rPr>
          <w:rStyle w:val="Fett"/>
          <w:rFonts w:eastAsiaTheme="majorEastAsia"/>
        </w:rPr>
        <w:t>V. 26:</w:t>
      </w:r>
      <w:r>
        <w:t xml:space="preserve"> </w:t>
      </w:r>
      <w:r>
        <w:rPr>
          <w:rStyle w:val="Fett"/>
          <w:rFonts w:eastAsiaTheme="majorEastAsia"/>
          <w:rtl/>
        </w:rPr>
        <w:t>אֵין כָּאֵל יְשֻׁרוּן רֹכֵב שָׁמַיִם בְעֶזְרֶךָ וּבְגַאֲוָתוֹ שְׁחָקִים׃</w:t>
      </w:r>
      <w:r>
        <w:rPr>
          <w:rtl/>
        </w:rPr>
        <w:t xml:space="preserve"> </w:t>
      </w:r>
      <w:r>
        <w:t xml:space="preserve">(„Keiner ist wie der Gott Jeschuruns, der auf den Himmeln einherfährt zu deiner Hilfe, und in seiner Hoheit auf den Wolken"). </w:t>
      </w:r>
      <w:r>
        <w:rPr>
          <w:rStyle w:val="Fett"/>
          <w:rFonts w:eastAsiaTheme="majorEastAsia"/>
          <w:rtl/>
        </w:rPr>
        <w:t>אֵין כָּאֵל יְשֻׁרוּן</w:t>
      </w:r>
      <w:r>
        <w:rPr>
          <w:rtl/>
        </w:rPr>
        <w:t xml:space="preserve"> </w:t>
      </w:r>
      <w:r>
        <w:t xml:space="preserve">(„keiner ist wie der Gott Jeschuruns") – Unvergleichlichkeitsformel (vgl. Ex 15,11; </w:t>
      </w:r>
      <w:r w:rsidR="00664EB6">
        <w:t>2Sam</w:t>
      </w:r>
      <w:r>
        <w:t xml:space="preserve"> 7,22; Ps 86,8; Jes 40,18.25; 46,5.9; Jer 10,6-7; Mich 7,18). </w:t>
      </w:r>
      <w:r>
        <w:rPr>
          <w:rStyle w:val="Fett"/>
          <w:rFonts w:eastAsiaTheme="majorEastAsia"/>
          <w:rtl/>
        </w:rPr>
        <w:t>רֹכֵב שָׁמַיִם</w:t>
      </w:r>
      <w:r>
        <w:rPr>
          <w:rtl/>
        </w:rPr>
        <w:t xml:space="preserve"> </w:t>
      </w:r>
      <w:r>
        <w:t xml:space="preserve">(„der auf den </w:t>
      </w:r>
      <w:r>
        <w:lastRenderedPageBreak/>
        <w:t>Himmeln einherfährt") – poetisches Bild von Gottes Majestät (vgl. Ps 68,5.34; 104,3; Jes 19,1; Hab 3,8).</w:t>
      </w:r>
    </w:p>
    <w:p w14:paraId="6FFC511A" w14:textId="1D761767" w:rsidR="00556D10" w:rsidRDefault="00556D10" w:rsidP="00EE5F59">
      <w:pPr>
        <w:pStyle w:val="whitespace-normal"/>
      </w:pPr>
      <w:r>
        <w:rPr>
          <w:rStyle w:val="Fett"/>
        </w:rPr>
        <w:t>Die LXX</w:t>
      </w:r>
      <w:r>
        <w:t xml:space="preserve"> übersetzt </w:t>
      </w:r>
      <w:r>
        <w:rPr>
          <w:rtl/>
        </w:rPr>
        <w:t>יְשֻׁרוּן</w:t>
      </w:r>
      <w:r>
        <w:t xml:space="preserve"> (Jeschurun) wieder mit </w:t>
      </w:r>
      <w:proofErr w:type="spellStart"/>
      <w:r>
        <w:t>τοῦ</w:t>
      </w:r>
      <w:proofErr w:type="spellEnd"/>
      <w:r>
        <w:t xml:space="preserve"> </w:t>
      </w:r>
      <w:proofErr w:type="spellStart"/>
      <w:r>
        <w:t>ἠγ</w:t>
      </w:r>
      <w:proofErr w:type="spellEnd"/>
      <w:r>
        <w:t xml:space="preserve">απημένου (des Geliebten). Das Wort </w:t>
      </w:r>
      <w:r>
        <w:rPr>
          <w:rtl/>
        </w:rPr>
        <w:t>גַאֲוָה</w:t>
      </w:r>
      <w:r>
        <w:t xml:space="preserve"> (Majestät, Stolz) wird mit </w:t>
      </w:r>
      <w:proofErr w:type="spellStart"/>
      <w:r>
        <w:t>μεγ</w:t>
      </w:r>
      <w:proofErr w:type="spellEnd"/>
      <w:r>
        <w:t>αλοπρεπής (prächtig, großartig) übersetzt.</w:t>
      </w:r>
    </w:p>
    <w:p w14:paraId="5832E51D" w14:textId="43F47C6C" w:rsidR="00EE5F59" w:rsidRDefault="00EE5F59" w:rsidP="00EE5F59">
      <w:pPr>
        <w:pStyle w:val="whitespace-normal"/>
      </w:pPr>
      <w:r>
        <w:rPr>
          <w:rStyle w:val="Fett"/>
          <w:rFonts w:eastAsiaTheme="majorEastAsia"/>
        </w:rPr>
        <w:t>V. 27:</w:t>
      </w:r>
      <w:r>
        <w:t xml:space="preserve"> </w:t>
      </w:r>
      <w:r>
        <w:rPr>
          <w:rStyle w:val="Fett"/>
          <w:rFonts w:eastAsiaTheme="majorEastAsia"/>
          <w:rtl/>
        </w:rPr>
        <w:t>מְעֹנָה אֱלֹהֵי קֶדֶם וּמִתַּחַת זְרֹעֹת עוֹלָם וַיְגָרֶשׁ מִפָּנֶיךָ אוֹיֵב וַיֹּאמֶר הַשְׁמֵד׃</w:t>
      </w:r>
      <w:r>
        <w:rPr>
          <w:rtl/>
        </w:rPr>
        <w:t xml:space="preserve"> </w:t>
      </w:r>
      <w:r>
        <w:t xml:space="preserve">(„Eine Wohnung ist der Gott der Vorzeit, und unter dir sind ewige Arme; und er vertreibt vor dir den Feind und spricht: Vertilge"). </w:t>
      </w:r>
      <w:r>
        <w:rPr>
          <w:rStyle w:val="Fett"/>
          <w:rFonts w:eastAsiaTheme="majorEastAsia"/>
          <w:rtl/>
        </w:rPr>
        <w:t>מְעֹנָה אֱלֹהֵי קֶדֶם</w:t>
      </w:r>
      <w:r>
        <w:rPr>
          <w:rtl/>
        </w:rPr>
        <w:t xml:space="preserve"> </w:t>
      </w:r>
      <w:r>
        <w:t xml:space="preserve">(„Wohnung ist der Gott der Vorzeit") – Gott als Zuflucht (vgl. Ps 90,1; 91,9). </w:t>
      </w:r>
      <w:r>
        <w:rPr>
          <w:rStyle w:val="Fett"/>
          <w:rFonts w:eastAsiaTheme="majorEastAsia"/>
          <w:rtl/>
        </w:rPr>
        <w:t>זְרֹעֹת עוֹלָם</w:t>
      </w:r>
      <w:r>
        <w:rPr>
          <w:rtl/>
        </w:rPr>
        <w:t xml:space="preserve"> </w:t>
      </w:r>
      <w:r>
        <w:t xml:space="preserve">(„ewige Arme") – Gottes tragende, schützende Macht (vgl. Jes 40,11; Hos 11,3). </w:t>
      </w:r>
      <w:r>
        <w:rPr>
          <w:rStyle w:val="Fett"/>
          <w:rFonts w:eastAsiaTheme="majorEastAsia"/>
          <w:rtl/>
        </w:rPr>
        <w:t>וַיְגָרֶשׁ מִפָּנֶיךָ אוֹיֵב</w:t>
      </w:r>
      <w:r>
        <w:rPr>
          <w:rtl/>
        </w:rPr>
        <w:t xml:space="preserve"> </w:t>
      </w:r>
      <w:r>
        <w:t>(„und er vertreibt vor dir den Feind") – wie beim Exodus und der Eroberung (vgl. Ex 23,27-31; 33,2; 34,11).</w:t>
      </w:r>
    </w:p>
    <w:p w14:paraId="155604E4" w14:textId="7C3AAB92" w:rsidR="00556D10" w:rsidRPr="00556D10" w:rsidRDefault="00556D10" w:rsidP="00556D10">
      <w:pPr>
        <w:spacing w:before="100" w:beforeAutospacing="1" w:after="100" w:afterAutospacing="1" w:line="240" w:lineRule="auto"/>
        <w:rPr>
          <w:rFonts w:eastAsia="Times New Roman"/>
          <w:lang w:eastAsia="de-DE"/>
        </w:rPr>
      </w:pPr>
      <w:r w:rsidRPr="00556D10">
        <w:rPr>
          <w:rFonts w:eastAsia="Times New Roman"/>
          <w:b/>
          <w:bCs/>
          <w:lang w:eastAsia="de-DE"/>
        </w:rPr>
        <w:t>Die LXX</w:t>
      </w:r>
      <w:r w:rsidRPr="00556D10">
        <w:rPr>
          <w:rFonts w:eastAsia="Times New Roman"/>
          <w:lang w:eastAsia="de-DE"/>
        </w:rPr>
        <w:t xml:space="preserve"> übersetzt </w:t>
      </w:r>
      <w:r w:rsidRPr="00556D10">
        <w:rPr>
          <w:rFonts w:eastAsia="Times New Roman"/>
          <w:rtl/>
          <w:lang w:eastAsia="de-DE"/>
        </w:rPr>
        <w:t>מְעֹנָה</w:t>
      </w:r>
      <w:r w:rsidRPr="00556D10">
        <w:rPr>
          <w:rFonts w:eastAsia="Times New Roman"/>
          <w:lang w:eastAsia="de-DE"/>
        </w:rPr>
        <w:t xml:space="preserve"> (Wohnung, Zuflucht) mit </w:t>
      </w:r>
      <w:proofErr w:type="spellStart"/>
      <w:r w:rsidRPr="00556D10">
        <w:rPr>
          <w:rFonts w:eastAsia="Times New Roman"/>
          <w:lang w:eastAsia="de-DE"/>
        </w:rPr>
        <w:t>σκέ</w:t>
      </w:r>
      <w:proofErr w:type="spellEnd"/>
      <w:r w:rsidRPr="00556D10">
        <w:rPr>
          <w:rFonts w:eastAsia="Times New Roman"/>
          <w:lang w:eastAsia="de-DE"/>
        </w:rPr>
        <w:t xml:space="preserve">πασις (Schutz, Bedeckung). Die Wendung </w:t>
      </w:r>
      <w:r w:rsidRPr="00556D10">
        <w:rPr>
          <w:rFonts w:eastAsia="Times New Roman"/>
          <w:rtl/>
          <w:lang w:eastAsia="de-DE"/>
        </w:rPr>
        <w:t>זְרֹעֹת עוֹלָם</w:t>
      </w:r>
      <w:r w:rsidRPr="00556D10">
        <w:rPr>
          <w:rFonts w:eastAsia="Times New Roman"/>
          <w:lang w:eastAsia="de-DE"/>
        </w:rPr>
        <w:t xml:space="preserve"> (ewige Arme) wird mit βρα</w:t>
      </w:r>
      <w:proofErr w:type="spellStart"/>
      <w:r w:rsidRPr="00556D10">
        <w:rPr>
          <w:rFonts w:eastAsia="Times New Roman"/>
          <w:lang w:eastAsia="de-DE"/>
        </w:rPr>
        <w:t>χιόνων</w:t>
      </w:r>
      <w:proofErr w:type="spellEnd"/>
      <w:r w:rsidRPr="00556D10">
        <w:rPr>
          <w:rFonts w:eastAsia="Times New Roman"/>
          <w:lang w:eastAsia="de-DE"/>
        </w:rPr>
        <w:t xml:space="preserve"> </w:t>
      </w:r>
      <w:proofErr w:type="spellStart"/>
      <w:r w:rsidRPr="00556D10">
        <w:rPr>
          <w:rFonts w:eastAsia="Times New Roman"/>
          <w:lang w:eastAsia="de-DE"/>
        </w:rPr>
        <w:t>ἀενάων</w:t>
      </w:r>
      <w:proofErr w:type="spellEnd"/>
      <w:r w:rsidRPr="00556D10">
        <w:rPr>
          <w:rFonts w:eastAsia="Times New Roman"/>
          <w:lang w:eastAsia="de-DE"/>
        </w:rPr>
        <w:t xml:space="preserve"> (immerströmende/immerwährende Arme) übersetzt.</w:t>
      </w:r>
    </w:p>
    <w:p w14:paraId="338C792E" w14:textId="71D4FCA4" w:rsidR="00EE5F59" w:rsidRDefault="00EE5F59" w:rsidP="00EE5F59">
      <w:pPr>
        <w:pStyle w:val="whitespace-normal"/>
      </w:pPr>
      <w:r>
        <w:rPr>
          <w:rStyle w:val="Fett"/>
          <w:rFonts w:eastAsiaTheme="majorEastAsia"/>
        </w:rPr>
        <w:t>V. 28:</w:t>
      </w:r>
      <w:r>
        <w:t xml:space="preserve"> </w:t>
      </w:r>
      <w:r>
        <w:rPr>
          <w:rStyle w:val="Fett"/>
          <w:rFonts w:eastAsiaTheme="majorEastAsia"/>
          <w:rtl/>
        </w:rPr>
        <w:t>וַיִּשְׁכֹּן יִשְׂרָאֵל בֶּטַח בָּדָד עֵין יַעֲקֹב אֶל־אֶרֶץ דָּגָן וְתִירוֹשׁ אַף־שָׁמָיו יַעַרְפוּ טָל׃</w:t>
      </w:r>
      <w:r>
        <w:rPr>
          <w:rtl/>
        </w:rPr>
        <w:t xml:space="preserve"> </w:t>
      </w:r>
      <w:r>
        <w:t xml:space="preserve">(„Und Israel wohnt sicher, abgesondert der Quell Jakobs, in einem Land von Korn und Most; auch sein Himmel träufelt Tau"). </w:t>
      </w:r>
      <w:r>
        <w:rPr>
          <w:rStyle w:val="Fett"/>
          <w:rFonts w:eastAsiaTheme="majorEastAsia"/>
          <w:rtl/>
        </w:rPr>
        <w:t>בֶּטַח בָּדָד</w:t>
      </w:r>
      <w:r>
        <w:rPr>
          <w:rtl/>
        </w:rPr>
        <w:t xml:space="preserve"> </w:t>
      </w:r>
      <w:r>
        <w:t xml:space="preserve">(„sicher, abgesondert") – ideale Sicherheit (vgl. Jer 23,6; 33,16; Mich 4,4; Sach 14,11). </w:t>
      </w:r>
      <w:r>
        <w:rPr>
          <w:rStyle w:val="Fett"/>
          <w:rFonts w:eastAsiaTheme="majorEastAsia"/>
          <w:rtl/>
        </w:rPr>
        <w:t>דָּגָן וְתִירוֹשׁ</w:t>
      </w:r>
      <w:r>
        <w:rPr>
          <w:rtl/>
        </w:rPr>
        <w:t xml:space="preserve"> </w:t>
      </w:r>
      <w:r>
        <w:t xml:space="preserve">(„Korn und Most") – die klassische Segenspaarung (vgl. 7,13; 11,14; 12,17; 14,23; 18,4; 28,51; Hos 2,10.24; Joel 2,19; Sach 9,17). </w:t>
      </w:r>
      <w:r>
        <w:rPr>
          <w:rStyle w:val="Fett"/>
          <w:rFonts w:eastAsiaTheme="majorEastAsia"/>
          <w:rtl/>
        </w:rPr>
        <w:t>יַעַרְפוּ טָל</w:t>
      </w:r>
      <w:r>
        <w:rPr>
          <w:rtl/>
        </w:rPr>
        <w:t xml:space="preserve"> </w:t>
      </w:r>
      <w:r>
        <w:t>(„träufelt Tau") – wie V. 2.13.</w:t>
      </w:r>
    </w:p>
    <w:p w14:paraId="12ED227B" w14:textId="00FC0AEB" w:rsidR="00556D10" w:rsidRDefault="00556D10" w:rsidP="00556D10">
      <w:pPr>
        <w:pStyle w:val="font-claude-response-body"/>
      </w:pPr>
      <w:r>
        <w:rPr>
          <w:rStyle w:val="Fett"/>
          <w:rFonts w:eastAsiaTheme="majorEastAsia"/>
        </w:rPr>
        <w:t>Die LXX</w:t>
      </w:r>
      <w:r>
        <w:t xml:space="preserve"> übersetzt </w:t>
      </w:r>
      <w:r>
        <w:rPr>
          <w:rtl/>
        </w:rPr>
        <w:t>עֵין יַעֲקֹב</w:t>
      </w:r>
      <w:r>
        <w:t xml:space="preserve"> (die Quelle Jakobs) mit ἐπὶ </w:t>
      </w:r>
      <w:proofErr w:type="spellStart"/>
      <w:r>
        <w:t>γῆς</w:t>
      </w:r>
      <w:proofErr w:type="spellEnd"/>
      <w:r>
        <w:t xml:space="preserve"> Ἰα</w:t>
      </w:r>
      <w:proofErr w:type="spellStart"/>
      <w:r>
        <w:t>κώ</w:t>
      </w:r>
      <w:proofErr w:type="spellEnd"/>
      <w:r>
        <w:t xml:space="preserve">β (auf dem Land Jakobs) – versteht </w:t>
      </w:r>
      <w:r>
        <w:rPr>
          <w:rtl/>
        </w:rPr>
        <w:t>עַיִן</w:t>
      </w:r>
      <w:r>
        <w:t xml:space="preserve"> möglicherweise anders. Das Wort </w:t>
      </w:r>
      <w:r>
        <w:rPr>
          <w:rtl/>
        </w:rPr>
        <w:t>יַעַרְפוּ</w:t>
      </w:r>
      <w:r>
        <w:t xml:space="preserve"> (werden träufeln) wird mit </w:t>
      </w:r>
      <w:proofErr w:type="spellStart"/>
      <w:r>
        <w:t>συννεφής</w:t>
      </w:r>
      <w:proofErr w:type="spellEnd"/>
      <w:r>
        <w:t xml:space="preserve"> (bewölkt, mit Wolken bedeckt) übersetzt – eine atmosphärische Beschreibung.</w:t>
      </w:r>
    </w:p>
    <w:p w14:paraId="2F11A5EA" w14:textId="66BC3927" w:rsidR="00EE5F59" w:rsidRDefault="00EE5F59" w:rsidP="00EE5F59">
      <w:pPr>
        <w:pStyle w:val="whitespace-normal"/>
      </w:pPr>
      <w:r>
        <w:rPr>
          <w:rStyle w:val="Fett"/>
          <w:rFonts w:eastAsiaTheme="majorEastAsia"/>
        </w:rPr>
        <w:t>V. 29:</w:t>
      </w:r>
      <w:r>
        <w:t xml:space="preserve"> </w:t>
      </w:r>
      <w:r>
        <w:rPr>
          <w:rStyle w:val="Fett"/>
          <w:rFonts w:eastAsiaTheme="majorEastAsia"/>
          <w:rtl/>
        </w:rPr>
        <w:t>אַשְׁרֶיךָ יִשְׂרָאֵל מִי כָמוֹךָ עַם נוֹשַׁע בַּיהוָה מָגֵן עֶזְרֶךָ וַאֲשֶׁר־חֶרֶב גַּאֲוָתֶךָ וְיִכָּחֲשׁוּ אֹיְבֶיךָ לָךְ וְאַתָּה עַל־בָּמוֹתֵימוֹ תִדְרֹךְ׃</w:t>
      </w:r>
      <w:r>
        <w:rPr>
          <w:rtl/>
        </w:rPr>
        <w:t xml:space="preserve"> </w:t>
      </w:r>
      <w:r>
        <w:t xml:space="preserve">(„Glücklich bist du, Israel! Wer ist wie du, ein Volk, gerettet durch </w:t>
      </w:r>
      <w:r w:rsidR="00DF3D1A">
        <w:t>JHWH</w:t>
      </w:r>
      <w:r>
        <w:t xml:space="preserve">, den Schild deiner Hilfe, und der das Schwert deiner Hoheit ist? Und es werden dir schmeicheln deine Feinde, und du, du wirst auf ihren Höhen einherschreiten"). </w:t>
      </w:r>
      <w:r>
        <w:rPr>
          <w:rStyle w:val="Fett"/>
          <w:rFonts w:eastAsiaTheme="majorEastAsia"/>
          <w:rtl/>
        </w:rPr>
        <w:t>אַשְׁרֶיךָ יִשְׂרָאֵל</w:t>
      </w:r>
      <w:r>
        <w:rPr>
          <w:rtl/>
        </w:rPr>
        <w:t xml:space="preserve"> </w:t>
      </w:r>
      <w:r>
        <w:t xml:space="preserve">(„glücklich bist du, Israel") – Seligpreisung (vgl. Ps 1,1; 32,1-2; 33,12; 65,5; 84,5-6.13; 89,16; 94,12; 112,1; 119,1-2; 128,1; 144,15; 146,5). </w:t>
      </w:r>
      <w:r>
        <w:rPr>
          <w:rStyle w:val="Fett"/>
          <w:rFonts w:eastAsiaTheme="majorEastAsia"/>
          <w:rtl/>
        </w:rPr>
        <w:t>מִי כָמוֹךָ עַם נוֹשַׁע בַּיהוָה</w:t>
      </w:r>
      <w:r>
        <w:rPr>
          <w:rtl/>
        </w:rPr>
        <w:t xml:space="preserve"> </w:t>
      </w:r>
      <w:r>
        <w:t xml:space="preserve">(„wer ist wie du, ein Volk, gerettet durch </w:t>
      </w:r>
      <w:r w:rsidR="00DF3D1A">
        <w:t>JHWH</w:t>
      </w:r>
      <w:r>
        <w:t xml:space="preserve">") – Israels Einzigartigkeit (vgl. Ex 15,11; </w:t>
      </w:r>
      <w:r w:rsidR="00664EB6">
        <w:t>2Sam</w:t>
      </w:r>
      <w:r>
        <w:t xml:space="preserve"> 7,23; Ps 113,5; Mich 7,18). </w:t>
      </w:r>
      <w:r>
        <w:rPr>
          <w:rStyle w:val="Fett"/>
          <w:rFonts w:eastAsiaTheme="majorEastAsia"/>
          <w:rtl/>
        </w:rPr>
        <w:t>מָגֵן עֶזְרֶךָ</w:t>
      </w:r>
      <w:r>
        <w:rPr>
          <w:rtl/>
        </w:rPr>
        <w:t xml:space="preserve"> </w:t>
      </w:r>
      <w:r>
        <w:t xml:space="preserve">(„Schild deiner Hilfe") – Gott als Schild (vgl. Gen 15,1; Ps 3,4; 18,3.31.36; 28,7; 33,20; 84,10.12; 115,9-11; 119,114; 144,2). </w:t>
      </w:r>
      <w:r>
        <w:rPr>
          <w:rStyle w:val="Fett"/>
          <w:rFonts w:eastAsiaTheme="majorEastAsia"/>
          <w:rtl/>
        </w:rPr>
        <w:t>וַאֲשֶׁר־חֶרֶב גַּאֲוָתֶךָ</w:t>
      </w:r>
      <w:r>
        <w:rPr>
          <w:rtl/>
        </w:rPr>
        <w:t xml:space="preserve"> </w:t>
      </w:r>
      <w:r>
        <w:t xml:space="preserve">(„und der das Schwert deiner Hoheit ist") – Gott kämpft für Israel (vgl. Ex 15,3; Jos 5,13-15; Ps 7,13; 17,13; 45,4; Jes 27,1; 34,5-6; 66,16; Jer 12,12; 47,6; </w:t>
      </w:r>
      <w:r w:rsidR="00BF3748">
        <w:t>Hes</w:t>
      </w:r>
      <w:r>
        <w:t xml:space="preserve"> 21,8-22; 30,24-25). </w:t>
      </w:r>
      <w:r>
        <w:rPr>
          <w:rStyle w:val="Fett"/>
          <w:rFonts w:eastAsiaTheme="majorEastAsia"/>
          <w:rtl/>
        </w:rPr>
        <w:t>וְיִכָּחֲשׁוּ אֹיְבֶיךָ לָךְ</w:t>
      </w:r>
      <w:r>
        <w:rPr>
          <w:rtl/>
        </w:rPr>
        <w:t xml:space="preserve"> </w:t>
      </w:r>
      <w:r>
        <w:t xml:space="preserve">(„und es werden dir schmeicheln deine Feinde") – </w:t>
      </w:r>
      <w:r>
        <w:rPr>
          <w:rStyle w:val="Fett"/>
          <w:rFonts w:eastAsiaTheme="majorEastAsia"/>
          <w:rtl/>
        </w:rPr>
        <w:t>כחשׁ</w:t>
      </w:r>
      <w:r>
        <w:rPr>
          <w:rtl/>
        </w:rPr>
        <w:t xml:space="preserve"> </w:t>
      </w:r>
      <w:r>
        <w:t xml:space="preserve">im Hithpael bedeutet „sich unterwerfen, kriechen, schmeicheln" (vgl. Ps 18,45; 66,3; 81,16). </w:t>
      </w:r>
      <w:r>
        <w:rPr>
          <w:rStyle w:val="Fett"/>
          <w:rFonts w:eastAsiaTheme="majorEastAsia"/>
          <w:rtl/>
        </w:rPr>
        <w:t>וְאַתָּה עַל־בָּמוֹתֵימוֹ תִדְרֹךְ</w:t>
      </w:r>
      <w:r>
        <w:rPr>
          <w:rtl/>
        </w:rPr>
        <w:t xml:space="preserve"> </w:t>
      </w:r>
      <w:r>
        <w:t xml:space="preserve">(„und du, du wirst auf ihren Höhen einherschreiten") – vollständiger Sieg (vgl. V. 13; Hab 3,19; Amos 4,13; Mich 1,3). </w:t>
      </w:r>
      <w:r>
        <w:rPr>
          <w:rStyle w:val="Fett"/>
          <w:rFonts w:eastAsiaTheme="majorEastAsia"/>
        </w:rPr>
        <w:t>Setuma</w:t>
      </w:r>
      <w:r>
        <w:t xml:space="preserve"> (</w:t>
      </w:r>
      <w:r>
        <w:rPr>
          <w:rtl/>
        </w:rPr>
        <w:t>ס</w:t>
      </w:r>
      <w:r>
        <w:t>) markiert das Ende von Kapitel 33.</w:t>
      </w:r>
    </w:p>
    <w:p w14:paraId="65300E2E" w14:textId="561971A0" w:rsidR="00556D10" w:rsidRDefault="00556D10" w:rsidP="00EE5F59">
      <w:pPr>
        <w:pStyle w:val="whitespace-normal"/>
      </w:pPr>
      <w:r>
        <w:rPr>
          <w:rStyle w:val="Fett"/>
        </w:rPr>
        <w:t>Die LXX</w:t>
      </w:r>
      <w:r>
        <w:t xml:space="preserve"> übersetzt </w:t>
      </w:r>
      <w:r>
        <w:rPr>
          <w:rtl/>
        </w:rPr>
        <w:t>מָגֵן עֶזְרֶךָ</w:t>
      </w:r>
      <w:r>
        <w:t xml:space="preserve"> (Schild deiner Hilfe) mit ὑπ</w:t>
      </w:r>
      <w:proofErr w:type="spellStart"/>
      <w:r>
        <w:t>ερ</w:t>
      </w:r>
      <w:proofErr w:type="spellEnd"/>
      <w:r>
        <w:t>ασπιεῖ ὁ β</w:t>
      </w:r>
      <w:proofErr w:type="spellStart"/>
      <w:r>
        <w:t>οηθός</w:t>
      </w:r>
      <w:proofErr w:type="spellEnd"/>
      <w:r>
        <w:t xml:space="preserve"> </w:t>
      </w:r>
      <w:proofErr w:type="spellStart"/>
      <w:r>
        <w:t>σου</w:t>
      </w:r>
      <w:proofErr w:type="spellEnd"/>
      <w:r>
        <w:t xml:space="preserve"> (beschützen wird dein Helfer). Das Verb </w:t>
      </w:r>
      <w:r>
        <w:rPr>
          <w:rtl/>
        </w:rPr>
        <w:t>וְיִכָּחֲשׁוּ</w:t>
      </w:r>
      <w:r>
        <w:t xml:space="preserve"> (und sie werden sich unterwerfen/kriechen) wird mit </w:t>
      </w:r>
      <w:proofErr w:type="spellStart"/>
      <w:r>
        <w:t>ψεύσοντ</w:t>
      </w:r>
      <w:proofErr w:type="spellEnd"/>
      <w:r>
        <w:t xml:space="preserve">αί (sie werden lügen/täuschen) übersetzt. Die letzte Zeile </w:t>
      </w:r>
      <w:r>
        <w:rPr>
          <w:rtl/>
        </w:rPr>
        <w:t>עַל־בָּמוֹתֵימוֹ תִדְרֹךְ</w:t>
      </w:r>
      <w:r>
        <w:t xml:space="preserve"> (auf ihre </w:t>
      </w:r>
      <w:r>
        <w:lastRenderedPageBreak/>
        <w:t xml:space="preserve">Höhen wirst du treten) wird mit ἐπὶ </w:t>
      </w:r>
      <w:proofErr w:type="spellStart"/>
      <w:r>
        <w:t>τὸν</w:t>
      </w:r>
      <w:proofErr w:type="spellEnd"/>
      <w:r>
        <w:t xml:space="preserve"> </w:t>
      </w:r>
      <w:proofErr w:type="spellStart"/>
      <w:r>
        <w:t>τράχηλον</w:t>
      </w:r>
      <w:proofErr w:type="spellEnd"/>
      <w:r>
        <w:t xml:space="preserve"> α</w:t>
      </w:r>
      <w:proofErr w:type="spellStart"/>
      <w:r>
        <w:t>ὐτῶν</w:t>
      </w:r>
      <w:proofErr w:type="spellEnd"/>
      <w:r>
        <w:t xml:space="preserve"> ἐπιβ</w:t>
      </w:r>
      <w:proofErr w:type="spellStart"/>
      <w:r>
        <w:t>ήσῃ</w:t>
      </w:r>
      <w:proofErr w:type="spellEnd"/>
      <w:r>
        <w:t xml:space="preserve"> (auf ihren Nacken wirst du steigen) übersetzt – ein Bild der vollständigen Unterwerfung.</w:t>
      </w:r>
    </w:p>
    <w:p w14:paraId="6E50ADF7" w14:textId="77777777" w:rsidR="00EE5F59" w:rsidRPr="00257FCB" w:rsidRDefault="00EE5F59" w:rsidP="00EE5F59">
      <w:pPr>
        <w:pStyle w:val="berschrift1"/>
        <w:rPr>
          <w:rFonts w:ascii="Times New Roman" w:hAnsi="Times New Roman"/>
          <w:color w:val="auto"/>
          <w:sz w:val="36"/>
          <w:szCs w:val="36"/>
        </w:rPr>
      </w:pPr>
      <w:r w:rsidRPr="00257FCB">
        <w:rPr>
          <w:rStyle w:val="Fett"/>
          <w:rFonts w:ascii="Times New Roman" w:hAnsi="Times New Roman"/>
          <w:color w:val="auto"/>
          <w:sz w:val="36"/>
          <w:szCs w:val="36"/>
        </w:rPr>
        <w:t>Deuteronomium 34,1</w:t>
      </w:r>
    </w:p>
    <w:p w14:paraId="282ED092" w14:textId="77777777" w:rsidR="00EE5F59" w:rsidRDefault="00EE5F59" w:rsidP="00EE5F59">
      <w:pPr>
        <w:pStyle w:val="whitespace-normal"/>
      </w:pPr>
      <w:r>
        <w:rPr>
          <w:rStyle w:val="Fett"/>
          <w:rFonts w:eastAsiaTheme="majorEastAsia"/>
        </w:rPr>
        <w:t>Hebräisch:</w:t>
      </w:r>
      <w:r>
        <w:t xml:space="preserve"> </w:t>
      </w:r>
      <w:r>
        <w:rPr>
          <w:rtl/>
        </w:rPr>
        <w:t>וַיַּעַל מֹשֶׁה מֵעַרְבֹת מוֹאָב אֶל־הַר נְבוֹ רֹאשׁ הַפִּסְגָּה אֲשֶׁר עַל־פְּנֵי יְרֵחוֹ וַיַּרְאֵהוּ יְהוָה אֶת־כָּל־הָאָרֶץ אֶת־הַגִּלְעָד עַד־דָּן׃</w:t>
      </w:r>
    </w:p>
    <w:p w14:paraId="270443FD" w14:textId="77777777" w:rsidR="00EE5F59" w:rsidRDefault="00EE5F59" w:rsidP="00EE5F59">
      <w:pPr>
        <w:pStyle w:val="whitespace-normal"/>
      </w:pPr>
      <w:r>
        <w:rPr>
          <w:rStyle w:val="Fett"/>
          <w:rFonts w:eastAsiaTheme="majorEastAsia"/>
        </w:rPr>
        <w:t>Deutsch:</w:t>
      </w:r>
      <w:r>
        <w:t xml:space="preserve"> Und Mosche stieg von den Steppen Moabs auf den Berg Nebo, den Gipfel des Pisga, der Jericho gegenüber liegt. Und der Ewige ließ ihn das ganze Land sehen: das Gilead bis Dan.</w:t>
      </w:r>
    </w:p>
    <w:p w14:paraId="69B0F74E" w14:textId="77777777" w:rsidR="00EE5F59" w:rsidRDefault="004F5CEB" w:rsidP="00EE5F59">
      <w:r>
        <w:rPr>
          <w:noProof/>
        </w:rPr>
        <w:pict w14:anchorId="21C07924">
          <v:rect id="_x0000_i1922" style="width:0;height:1.5pt" o:hralign="center" o:hrstd="t" o:hr="t" fillcolor="#a0a0a0" stroked="f"/>
        </w:pict>
      </w:r>
    </w:p>
    <w:p w14:paraId="450C6698" w14:textId="77777777" w:rsidR="00EE5F59" w:rsidRDefault="00EE5F59" w:rsidP="00EE5F59">
      <w:pPr>
        <w:pStyle w:val="whitespace-normal"/>
      </w:pPr>
      <w:r>
        <w:rPr>
          <w:rStyle w:val="Fett"/>
          <w:rFonts w:eastAsiaTheme="majorEastAsia"/>
        </w:rPr>
        <w:t>Kommentar:</w:t>
      </w:r>
      <w:r>
        <w:t xml:space="preserve"> </w:t>
      </w:r>
      <w:r>
        <w:rPr>
          <w:rStyle w:val="Fett"/>
          <w:rFonts w:eastAsiaTheme="majorEastAsia"/>
          <w:rtl/>
        </w:rPr>
        <w:t>וַיַּעַל מֹשֶׁה מֵעַרְבֹת מוֹאָב אֶל־הַר נְבוֹ רֹאשׁ הַפִּסְגָּה אֲשֶׁר עַל־פְּנֵי יְרֵחוֹ וַיַּרְאֵהוּ יְהוָה אֶת־כָּל־הָאָרֶץ אֶת־הַגִּלְעָד עַד־דָּן</w:t>
      </w:r>
      <w:r>
        <w:rPr>
          <w:rtl/>
        </w:rPr>
        <w:t xml:space="preserve"> </w:t>
      </w:r>
      <w:r>
        <w:t xml:space="preserve">sind zwei Aussagen: </w:t>
      </w:r>
      <w:r>
        <w:rPr>
          <w:rStyle w:val="Fett"/>
          <w:rFonts w:eastAsiaTheme="majorEastAsia"/>
          <w:rtl/>
        </w:rPr>
        <w:t>וַיַּעַל מֹשֶׁה מֵעַרְבֹת מוֹאָב אֶל־הַר נְבוֹ רֹאשׁ הַפִּסְגָּה אֲשֶׁר עַל־פְּנֵי יְרֵחוֹ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עלה</w:t>
      </w:r>
      <w:r>
        <w:t xml:space="preserve">, Qal Imperfekt mit </w:t>
      </w:r>
      <w:r>
        <w:rPr>
          <w:rStyle w:val="Fett"/>
          <w:rFonts w:eastAsiaTheme="majorEastAsia"/>
        </w:rPr>
        <w:t>Waw</w:t>
      </w:r>
      <w:r>
        <w:t xml:space="preserve"> consecutivum, 3. Person Maskulinum Singular, </w:t>
      </w:r>
      <w:r>
        <w:rPr>
          <w:rStyle w:val="Fett"/>
          <w:rFonts w:eastAsiaTheme="majorEastAsia"/>
          <w:rtl/>
        </w:rPr>
        <w:t>מֹשֶׁה</w:t>
      </w:r>
      <w:r>
        <w:rPr>
          <w:rtl/>
        </w:rPr>
        <w:t xml:space="preserve"> </w:t>
      </w:r>
      <w:r>
        <w:t xml:space="preserve">als Subjekt, </w:t>
      </w:r>
      <w:r>
        <w:rPr>
          <w:rStyle w:val="Fett"/>
          <w:rFonts w:eastAsiaTheme="majorEastAsia"/>
          <w:rtl/>
        </w:rPr>
        <w:t>מִן</w:t>
      </w:r>
      <w:r>
        <w:rPr>
          <w:rtl/>
        </w:rPr>
        <w:t xml:space="preserve"> </w:t>
      </w:r>
      <w:r>
        <w:t xml:space="preserve">mit </w:t>
      </w:r>
      <w:r>
        <w:rPr>
          <w:rStyle w:val="Fett"/>
          <w:rFonts w:eastAsiaTheme="majorEastAsia"/>
          <w:rtl/>
        </w:rPr>
        <w:t>עֲרָבָה</w:t>
      </w:r>
      <w:r>
        <w:t xml:space="preserve">, „Steppe, Wüstenebene", Plural Construct mit </w:t>
      </w:r>
      <w:r>
        <w:rPr>
          <w:rStyle w:val="Fett"/>
          <w:rFonts w:eastAsiaTheme="majorEastAsia"/>
          <w:rtl/>
        </w:rPr>
        <w:t>מוֹאָב</w:t>
      </w:r>
      <w:r>
        <w:t xml:space="preserve">, </w:t>
      </w:r>
      <w:r>
        <w:rPr>
          <w:rStyle w:val="Fett"/>
          <w:rFonts w:eastAsiaTheme="majorEastAsia"/>
          <w:rtl/>
        </w:rPr>
        <w:t>אֶל־הַר נְבוֹ</w:t>
      </w:r>
      <w:r>
        <w:t xml:space="preserve">, Apposition: </w:t>
      </w:r>
      <w:r>
        <w:rPr>
          <w:rStyle w:val="Fett"/>
          <w:rFonts w:eastAsiaTheme="majorEastAsia"/>
          <w:rtl/>
        </w:rPr>
        <w:t>רֹאשׁ הַפִּסְגָּה</w:t>
      </w:r>
      <w:r>
        <w:t xml:space="preserve">, „Gipfel des Pisga", Relativsatz: </w:t>
      </w:r>
      <w:r>
        <w:rPr>
          <w:rStyle w:val="Fett"/>
          <w:rFonts w:eastAsiaTheme="majorEastAsia"/>
          <w:rtl/>
        </w:rPr>
        <w:t>אֲשֶׁר עַל־פְּנֵי יְרֵחוֹ</w:t>
      </w:r>
      <w:r>
        <w:t xml:space="preserve">), </w:t>
      </w:r>
      <w:r>
        <w:rPr>
          <w:rStyle w:val="Fett"/>
          <w:rFonts w:eastAsiaTheme="majorEastAsia"/>
          <w:rtl/>
        </w:rPr>
        <w:t>וַיַּרְאֵהוּ יְהוָה אֶת־כָּל־הָאָרֶץ אֶת־הַגִּלְעָד עַד־דָּן</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ראה</w:t>
      </w:r>
      <w:r>
        <w:t xml:space="preserve">, Hiphil Imperfekt mit </w:t>
      </w:r>
      <w:r>
        <w:rPr>
          <w:rStyle w:val="Fett"/>
          <w:rFonts w:eastAsiaTheme="majorEastAsia"/>
        </w:rPr>
        <w:t>Waw</w:t>
      </w:r>
      <w:r>
        <w:t xml:space="preserve"> consecutivum, 3. Person Maskulinum Singular, mit Suffix 3. Person Maskulinum Singular, </w:t>
      </w:r>
      <w:r>
        <w:rPr>
          <w:rStyle w:val="Fett"/>
          <w:rFonts w:eastAsiaTheme="majorEastAsia"/>
          <w:rtl/>
        </w:rPr>
        <w:t>יְהוָה</w:t>
      </w:r>
      <w:r>
        <w:rPr>
          <w:rtl/>
        </w:rPr>
        <w:t xml:space="preserve"> </w:t>
      </w:r>
      <w:r>
        <w:t xml:space="preserve">als Subjekt, Objektpartikel </w:t>
      </w:r>
      <w:r>
        <w:rPr>
          <w:rStyle w:val="Fett"/>
          <w:rFonts w:eastAsiaTheme="majorEastAsia"/>
          <w:rtl/>
        </w:rPr>
        <w:t>אֶת</w:t>
      </w:r>
      <w:r>
        <w:rPr>
          <w:rtl/>
        </w:rPr>
        <w:t xml:space="preserve"> </w:t>
      </w:r>
      <w:r>
        <w:t xml:space="preserve">mit </w:t>
      </w:r>
      <w:r>
        <w:rPr>
          <w:rStyle w:val="Fett"/>
          <w:rFonts w:eastAsiaTheme="majorEastAsia"/>
          <w:rtl/>
        </w:rPr>
        <w:t>כָּל־אֶרֶץ</w:t>
      </w:r>
      <w:r>
        <w:rPr>
          <w:rtl/>
        </w:rPr>
        <w:t xml:space="preserve"> </w:t>
      </w:r>
      <w:r>
        <w:t xml:space="preserve">mit Artikel, Objektpartikel </w:t>
      </w:r>
      <w:r>
        <w:rPr>
          <w:rStyle w:val="Fett"/>
          <w:rFonts w:eastAsiaTheme="majorEastAsia"/>
          <w:rtl/>
        </w:rPr>
        <w:t>אֶת</w:t>
      </w:r>
      <w:r>
        <w:rPr>
          <w:rtl/>
        </w:rPr>
        <w:t xml:space="preserve"> </w:t>
      </w:r>
      <w:r>
        <w:t xml:space="preserve">mit </w:t>
      </w:r>
      <w:r>
        <w:rPr>
          <w:rStyle w:val="Fett"/>
          <w:rFonts w:eastAsiaTheme="majorEastAsia"/>
          <w:rtl/>
        </w:rPr>
        <w:t>גִּלְעָד</w:t>
      </w:r>
      <w:r>
        <w:rPr>
          <w:rtl/>
        </w:rPr>
        <w:t xml:space="preserve"> </w:t>
      </w:r>
      <w:r>
        <w:t xml:space="preserve">mit Artikel, </w:t>
      </w:r>
      <w:r>
        <w:rPr>
          <w:rStyle w:val="Fett"/>
          <w:rFonts w:eastAsiaTheme="majorEastAsia"/>
          <w:rtl/>
        </w:rPr>
        <w:t>עַד־דָּן</w:t>
      </w:r>
      <w:r>
        <w:t>).</w:t>
      </w:r>
    </w:p>
    <w:p w14:paraId="0C65EF23" w14:textId="35490E79" w:rsidR="00413630" w:rsidRDefault="00EE5F59" w:rsidP="00EE5F59">
      <w:pPr>
        <w:pStyle w:val="whitespace-normal"/>
      </w:pPr>
      <w:r>
        <w:t xml:space="preserve">Der Vers beschreibt Moses Aufstieg auf den Berg Nebo und Gottes Panoramavision. Die beiden Aussagen: </w:t>
      </w:r>
      <w:r>
        <w:rPr>
          <w:rStyle w:val="Fett"/>
          <w:rFonts w:eastAsiaTheme="majorEastAsia"/>
          <w:rtl/>
        </w:rPr>
        <w:t>וַיַּעַל מֹשֶׁה מֵעַרְבֹת מוֹאָב אֶל־הַר נְבוֹ רֹאשׁ הַפִּסְגָּה אֲשֶׁר עַל־פְּנֵי יְרֵחוֹ וַיַּרְאֵהוּ יְהוָה אֶת־כָּל־הָאָרֶץ אֶת־הַגִּלְעָד עַד־דָּן</w:t>
      </w:r>
      <w:r>
        <w:rPr>
          <w:rtl/>
        </w:rPr>
        <w:t xml:space="preserve"> </w:t>
      </w:r>
      <w:r>
        <w:t xml:space="preserve">(„und Mosche stieg von den Steppen Moabs auf den Berg Nebo, den Gipfel des Pisga, der Jericho gegenüber liegt; und </w:t>
      </w:r>
      <w:r w:rsidR="00272EAD">
        <w:t>JHWH</w:t>
      </w:r>
      <w:r>
        <w:t xml:space="preserve"> ließ ihn sehen das ganze Land: das Gilead bis Dan"). </w:t>
      </w:r>
    </w:p>
    <w:p w14:paraId="6A372C81" w14:textId="257FFEA0" w:rsidR="00413630" w:rsidRDefault="00EE5F59" w:rsidP="00EE5F59">
      <w:pPr>
        <w:pStyle w:val="whitespace-normal"/>
      </w:pPr>
      <w:r>
        <w:t xml:space="preserve">Die erste Aussage beschreibt Moses letzten Aufstieg. Der </w:t>
      </w:r>
      <w:r>
        <w:rPr>
          <w:rStyle w:val="Fett"/>
          <w:rFonts w:eastAsiaTheme="majorEastAsia"/>
          <w:rtl/>
        </w:rPr>
        <w:t>הַר נְבוֹ</w:t>
      </w:r>
      <w:r>
        <w:rPr>
          <w:rtl/>
        </w:rPr>
        <w:t xml:space="preserve"> </w:t>
      </w:r>
      <w:r>
        <w:t xml:space="preserve">(„Berg Nebo") ist Teil des </w:t>
      </w:r>
      <w:r>
        <w:rPr>
          <w:rStyle w:val="Fett"/>
          <w:rFonts w:eastAsiaTheme="majorEastAsia"/>
          <w:rtl/>
        </w:rPr>
        <w:t>פִּסְגָּה</w:t>
      </w:r>
      <w:r>
        <w:rPr>
          <w:rtl/>
        </w:rPr>
        <w:t xml:space="preserve"> </w:t>
      </w:r>
      <w:r>
        <w:t xml:space="preserve">(„Pisga") Gebirgszugs östlich des Jordan, etwa 12 km östlich der Jordanmündung ins Tote Meer (vgl. 3,27; 32,49; Num 21,20; 23,14). Von dort hatte Mose einen weiten Blick über das verheißene Land. </w:t>
      </w:r>
      <w:r w:rsidR="00413630">
        <w:t>Man soll dort tatsächlich einen weiten Panoramablick haben (bei klarem Wetter bis zum Mittelmeer).</w:t>
      </w:r>
    </w:p>
    <w:p w14:paraId="07C8A758" w14:textId="1C77DC54" w:rsidR="00EE5F59" w:rsidRDefault="00EE5F59" w:rsidP="00EE5F59">
      <w:pPr>
        <w:pStyle w:val="whitespace-normal"/>
      </w:pPr>
      <w:r>
        <w:t xml:space="preserve">Die zweite Aussage: </w:t>
      </w:r>
      <w:r>
        <w:rPr>
          <w:rStyle w:val="Fett"/>
          <w:rFonts w:eastAsiaTheme="majorEastAsia"/>
          <w:rtl/>
        </w:rPr>
        <w:t>וַיַּרְאֵהוּ יְהוָה אֶת־כָּל־הָאָרֶץ</w:t>
      </w:r>
      <w:r>
        <w:rPr>
          <w:rtl/>
        </w:rPr>
        <w:t xml:space="preserve"> </w:t>
      </w:r>
      <w:r>
        <w:t xml:space="preserve">(„und </w:t>
      </w:r>
      <w:r w:rsidR="00272EAD">
        <w:t>JHWH</w:t>
      </w:r>
      <w:r>
        <w:t xml:space="preserve"> ließ ihn sehen das ganze Land"). Das Verb </w:t>
      </w:r>
      <w:r>
        <w:rPr>
          <w:rStyle w:val="Fett"/>
          <w:rFonts w:eastAsiaTheme="majorEastAsia"/>
          <w:rtl/>
        </w:rPr>
        <w:t>ראה</w:t>
      </w:r>
      <w:r>
        <w:rPr>
          <w:rtl/>
        </w:rPr>
        <w:t xml:space="preserve"> </w:t>
      </w:r>
      <w:r>
        <w:t xml:space="preserve">im Hiphil („sehen lassen, zeigen") betont: Gott gewährte Mose diese Vision (vgl. 3,27). Die erste geografische Angabe: </w:t>
      </w:r>
      <w:r>
        <w:rPr>
          <w:rStyle w:val="Fett"/>
          <w:rFonts w:eastAsiaTheme="majorEastAsia"/>
          <w:rtl/>
        </w:rPr>
        <w:t>אֶת־הַגִּלְעָד עַד־דָּן</w:t>
      </w:r>
      <w:r>
        <w:rPr>
          <w:rtl/>
        </w:rPr>
        <w:t xml:space="preserve"> </w:t>
      </w:r>
      <w:r>
        <w:t xml:space="preserve">(„das Gilead bis Dan") – von Ost nach Nord, das Transjordanland und der äußerste Norden (vgl. Gen 14,14; Ri 18,29; 20,1; </w:t>
      </w:r>
      <w:r w:rsidR="00664EB6">
        <w:t>1Sam</w:t>
      </w:r>
      <w:r>
        <w:t xml:space="preserve"> 3,20; </w:t>
      </w:r>
      <w:r w:rsidR="00664EB6">
        <w:t>2Sam</w:t>
      </w:r>
      <w:r>
        <w:t xml:space="preserve"> 3,10; 17,11; 24,2.15; </w:t>
      </w:r>
      <w:r w:rsidR="00664EB6">
        <w:t>1Kön</w:t>
      </w:r>
      <w:r>
        <w:t xml:space="preserve"> 5,5; </w:t>
      </w:r>
      <w:r w:rsidR="00664EB6">
        <w:t>2Chr</w:t>
      </w:r>
      <w:r>
        <w:t xml:space="preserve"> 30,5).</w:t>
      </w:r>
    </w:p>
    <w:p w14:paraId="1E74F8DA" w14:textId="16D92EA5" w:rsidR="00556D10" w:rsidRDefault="00556D10" w:rsidP="00EE5F59">
      <w:pPr>
        <w:pStyle w:val="whitespace-normal"/>
      </w:pPr>
      <w:r>
        <w:rPr>
          <w:rStyle w:val="Fett"/>
        </w:rPr>
        <w:t>Die LXX</w:t>
      </w:r>
      <w:r>
        <w:t xml:space="preserve"> übersetzt </w:t>
      </w:r>
      <w:r>
        <w:rPr>
          <w:rtl/>
        </w:rPr>
        <w:t>רֹאשׁ הַפִּסְגָּה</w:t>
      </w:r>
      <w:r>
        <w:t xml:space="preserve"> (das Haupt der Pisga) mit ἐπὶ </w:t>
      </w:r>
      <w:proofErr w:type="spellStart"/>
      <w:r>
        <w:t>κορυφὴν</w:t>
      </w:r>
      <w:proofErr w:type="spellEnd"/>
      <w:r>
        <w:t xml:space="preserve"> Φα</w:t>
      </w:r>
      <w:proofErr w:type="spellStart"/>
      <w:r>
        <w:t>σγά</w:t>
      </w:r>
      <w:proofErr w:type="spellEnd"/>
      <w:r>
        <w:t xml:space="preserve"> (auf den Gipfel der </w:t>
      </w:r>
      <w:proofErr w:type="spellStart"/>
      <w:r>
        <w:t>Phasga</w:t>
      </w:r>
      <w:proofErr w:type="spellEnd"/>
      <w:r>
        <w:t>) – eine gräzisierte Form des Namens.</w:t>
      </w:r>
    </w:p>
    <w:p w14:paraId="37C89171" w14:textId="7B527C7A" w:rsidR="00EE5F59" w:rsidRDefault="00EE5F59" w:rsidP="00EE5F59">
      <w:pPr>
        <w:pStyle w:val="whitespace-normal"/>
      </w:pPr>
      <w:r>
        <w:rPr>
          <w:rStyle w:val="Fett"/>
          <w:rFonts w:eastAsiaTheme="majorEastAsia"/>
        </w:rPr>
        <w:lastRenderedPageBreak/>
        <w:t>Die Satzstruktur:</w:t>
      </w:r>
      <w:r>
        <w:t xml:space="preserve"> Zwei Aussagen (und Mosche stieg von den Steppen Moabs auf den Berg Nebo, den Gipfel des Pisga, der Jericho gegenüber liegt; und </w:t>
      </w:r>
      <w:r w:rsidR="00272EAD">
        <w:t>JHWH</w:t>
      </w:r>
      <w:r>
        <w:t xml:space="preserve"> ließ ihn sehen das ganze Land: das Gilead bis Dan).</w:t>
      </w:r>
    </w:p>
    <w:p w14:paraId="6F851A01" w14:textId="380E7901" w:rsidR="00EE5F59" w:rsidRDefault="00EE5F59" w:rsidP="00B77CC6">
      <w:pPr>
        <w:pStyle w:val="whitespace-normal"/>
      </w:pPr>
      <w:r>
        <w:rPr>
          <w:rStyle w:val="Fett"/>
          <w:rFonts w:eastAsiaTheme="majorEastAsia"/>
        </w:rPr>
        <w:t>Der Vers beschreibt:</w:t>
      </w:r>
      <w:r>
        <w:t xml:space="preserve"> Moses letzter Aufstieg – er steigt auf den Nebo, Gott zeigt ihm das ganze Land von Nord bis Süd.</w:t>
      </w:r>
    </w:p>
    <w:p w14:paraId="60439BF0" w14:textId="77777777" w:rsidR="00EE5F59" w:rsidRPr="00257FCB" w:rsidRDefault="00EE5F59" w:rsidP="00EE5F59">
      <w:pPr>
        <w:pStyle w:val="berschrift1"/>
        <w:rPr>
          <w:rFonts w:ascii="Times New Roman" w:hAnsi="Times New Roman"/>
          <w:color w:val="auto"/>
          <w:sz w:val="36"/>
          <w:szCs w:val="36"/>
        </w:rPr>
      </w:pPr>
      <w:r w:rsidRPr="00257FCB">
        <w:rPr>
          <w:rStyle w:val="Fett"/>
          <w:rFonts w:ascii="Times New Roman" w:hAnsi="Times New Roman"/>
          <w:color w:val="auto"/>
          <w:sz w:val="36"/>
          <w:szCs w:val="36"/>
        </w:rPr>
        <w:t>Deuteronomium 34,2-3</w:t>
      </w:r>
    </w:p>
    <w:p w14:paraId="1CC21E88" w14:textId="77777777" w:rsidR="00EE5F59" w:rsidRDefault="00EE5F59" w:rsidP="00EE5F59">
      <w:pPr>
        <w:pStyle w:val="whitespace-normal"/>
      </w:pPr>
      <w:r>
        <w:rPr>
          <w:rStyle w:val="Fett"/>
          <w:rFonts w:eastAsiaTheme="majorEastAsia"/>
        </w:rPr>
        <w:t>V. 2 Hebräisch:</w:t>
      </w:r>
      <w:r>
        <w:t xml:space="preserve"> </w:t>
      </w:r>
      <w:r>
        <w:rPr>
          <w:rtl/>
        </w:rPr>
        <w:t>וְאֵת כָּל־נַפְתָּלִי וְאֶת־אֶרֶץ אֶפְרַיִם וּמְנַשֶּׁה וְאֵת כָּל־אֶרֶץ יְהוּדָה עַד הַיָּם הָאַחֲרוֹן׃</w:t>
      </w:r>
    </w:p>
    <w:p w14:paraId="5E1A00CD" w14:textId="77777777" w:rsidR="00EE5F59" w:rsidRDefault="00EE5F59" w:rsidP="00EE5F59">
      <w:pPr>
        <w:pStyle w:val="whitespace-normal"/>
      </w:pPr>
      <w:r>
        <w:rPr>
          <w:rStyle w:val="Fett"/>
          <w:rFonts w:eastAsiaTheme="majorEastAsia"/>
        </w:rPr>
        <w:t>Deutsch:</w:t>
      </w:r>
      <w:r>
        <w:t xml:space="preserve"> Und das ganze Naphtali und das Land Ephraim und Manasse, und das ganze Land Juda bis zum hinteren Meer.</w:t>
      </w:r>
    </w:p>
    <w:p w14:paraId="269D978F" w14:textId="77777777" w:rsidR="00EE5F59" w:rsidRDefault="00EE5F59" w:rsidP="00EE5F59">
      <w:pPr>
        <w:pStyle w:val="whitespace-normal"/>
      </w:pPr>
      <w:r>
        <w:rPr>
          <w:rStyle w:val="Fett"/>
          <w:rFonts w:eastAsiaTheme="majorEastAsia"/>
        </w:rPr>
        <w:t>Kommentar:</w:t>
      </w:r>
      <w:r>
        <w:t xml:space="preserve"> Fortsetzung der geografischen Beschreibung mit vier weiteren Regionen: </w:t>
      </w:r>
      <w:r>
        <w:rPr>
          <w:rStyle w:val="Fett"/>
          <w:rFonts w:eastAsiaTheme="majorEastAsia"/>
          <w:rtl/>
        </w:rPr>
        <w:t>וְאֵת כָּל־נַפְתָּלִי</w:t>
      </w:r>
      <w:r>
        <w:rPr>
          <w:rtl/>
        </w:rPr>
        <w:t xml:space="preserve"> </w:t>
      </w:r>
      <w:r>
        <w:t xml:space="preserve">(„und das ganze Naphtali") – der nördliche Stammesbereich (vgl. 33,23; Jos 19,32-39), </w:t>
      </w:r>
      <w:r>
        <w:rPr>
          <w:rStyle w:val="Fett"/>
          <w:rFonts w:eastAsiaTheme="majorEastAsia"/>
          <w:rtl/>
        </w:rPr>
        <w:t>וְאֶת־אֶרֶץ אֶפְרַיִם וּמְנַשֶּׁה</w:t>
      </w:r>
      <w:r>
        <w:rPr>
          <w:rtl/>
        </w:rPr>
        <w:t xml:space="preserve"> </w:t>
      </w:r>
      <w:r>
        <w:t xml:space="preserve">(„und das Land Ephraim und Manasse") – das zentrale Bergland (vgl. 33,13-17; Jos 16-17), </w:t>
      </w:r>
      <w:r>
        <w:rPr>
          <w:rStyle w:val="Fett"/>
          <w:rFonts w:eastAsiaTheme="majorEastAsia"/>
          <w:rtl/>
        </w:rPr>
        <w:t>וְאֵת כָּל־אֶרֶץ יְהוּדָה</w:t>
      </w:r>
      <w:r>
        <w:rPr>
          <w:rtl/>
        </w:rPr>
        <w:t xml:space="preserve"> </w:t>
      </w:r>
      <w:r>
        <w:t xml:space="preserve">(„und das ganze Land Juda") – das südliche Bergland (vgl. 33,7; Jos 15), </w:t>
      </w:r>
      <w:r>
        <w:rPr>
          <w:rStyle w:val="Fett"/>
          <w:rFonts w:eastAsiaTheme="majorEastAsia"/>
          <w:rtl/>
        </w:rPr>
        <w:t>עַד הַיָּם הָאַחֲרוֹן</w:t>
      </w:r>
      <w:r>
        <w:rPr>
          <w:rtl/>
        </w:rPr>
        <w:t xml:space="preserve"> </w:t>
      </w:r>
      <w:r>
        <w:t xml:space="preserve">(„bis zum hinteren Meer"). Die Formulierung </w:t>
      </w:r>
      <w:r>
        <w:rPr>
          <w:rStyle w:val="Fett"/>
          <w:rFonts w:eastAsiaTheme="majorEastAsia"/>
          <w:rtl/>
        </w:rPr>
        <w:t>הַיָּם הָאַחֲרוֹן</w:t>
      </w:r>
      <w:r>
        <w:rPr>
          <w:rtl/>
        </w:rPr>
        <w:t xml:space="preserve"> </w:t>
      </w:r>
      <w:r>
        <w:t>(„das hintere Meer, das westliche Meer") bezeichnet das Mittelmeer (vgl. 11,24; Joel 2,20; Sach 14,8; von Osten gesehen liegt es „hinten" = im Westen).</w:t>
      </w:r>
    </w:p>
    <w:p w14:paraId="06CC0FAF" w14:textId="77777777" w:rsidR="00EE5F59" w:rsidRDefault="00EE5F59" w:rsidP="00EE5F59">
      <w:pPr>
        <w:pStyle w:val="whitespace-normal"/>
      </w:pPr>
      <w:r>
        <w:rPr>
          <w:rStyle w:val="Fett"/>
          <w:rFonts w:eastAsiaTheme="majorEastAsia"/>
        </w:rPr>
        <w:t>V. 3 Hebräisch:</w:t>
      </w:r>
      <w:r>
        <w:t xml:space="preserve"> </w:t>
      </w:r>
      <w:r>
        <w:rPr>
          <w:rtl/>
        </w:rPr>
        <w:t>וְאֶת־הַנֶּגֶב וְאֶת־הַכִּכָּר בִּקְעַת יְרֵחוֹ עִיר הַתְּמָרִים עַד־צֹעַר׃</w:t>
      </w:r>
    </w:p>
    <w:p w14:paraId="5D827208" w14:textId="77777777" w:rsidR="00EE5F59" w:rsidRDefault="00EE5F59" w:rsidP="00EE5F59">
      <w:pPr>
        <w:pStyle w:val="whitespace-normal"/>
      </w:pPr>
      <w:r>
        <w:rPr>
          <w:rStyle w:val="Fett"/>
          <w:rFonts w:eastAsiaTheme="majorEastAsia"/>
        </w:rPr>
        <w:t>Deutsch:</w:t>
      </w:r>
      <w:r>
        <w:t xml:space="preserve"> Und den Negev und den Jordan-Kreis, die Ebene von Jericho, der Palmenstadt, bis Zoar.</w:t>
      </w:r>
    </w:p>
    <w:p w14:paraId="705D855B" w14:textId="324D63C6" w:rsidR="00EE5F59" w:rsidRDefault="00EE5F59" w:rsidP="00EE5F59">
      <w:pPr>
        <w:pStyle w:val="whitespace-normal"/>
      </w:pPr>
      <w:r>
        <w:rPr>
          <w:rStyle w:val="Fett"/>
          <w:rFonts w:eastAsiaTheme="majorEastAsia"/>
        </w:rPr>
        <w:t>Kommentar:</w:t>
      </w:r>
      <w:r>
        <w:t xml:space="preserve"> Drei weitere geografische Angaben: </w:t>
      </w:r>
      <w:r>
        <w:rPr>
          <w:rStyle w:val="Fett"/>
          <w:rFonts w:eastAsiaTheme="majorEastAsia"/>
          <w:rtl/>
        </w:rPr>
        <w:t>וְאֶת־הַנֶּגֶב</w:t>
      </w:r>
      <w:r>
        <w:rPr>
          <w:rtl/>
        </w:rPr>
        <w:t xml:space="preserve"> </w:t>
      </w:r>
      <w:r>
        <w:t xml:space="preserve">(„und den Negev") – das südliche Trockengebiet (vgl. Gen 12,9; 13,1.3; 20,1; 24,62; Num 13,17.22.29; Jos 10,40; 11,16; 12,8; 15,19; Ri 1,9.15-16), </w:t>
      </w:r>
      <w:r>
        <w:rPr>
          <w:rStyle w:val="Fett"/>
          <w:rFonts w:eastAsiaTheme="majorEastAsia"/>
          <w:rtl/>
        </w:rPr>
        <w:t>וְאֶת־הַכִּכָּר בִּקְעַת יְרֵחוֹ עִיר הַתְּמָרִים</w:t>
      </w:r>
      <w:r>
        <w:rPr>
          <w:rtl/>
        </w:rPr>
        <w:t xml:space="preserve"> </w:t>
      </w:r>
      <w:r>
        <w:t xml:space="preserve">(„und den Kreis, die Ebene von Jericho, der Palmenstadt"). Der Begriff </w:t>
      </w:r>
      <w:r>
        <w:rPr>
          <w:rStyle w:val="Fett"/>
          <w:rFonts w:eastAsiaTheme="majorEastAsia"/>
          <w:rtl/>
        </w:rPr>
        <w:t>כִּכָּר</w:t>
      </w:r>
      <w:r>
        <w:rPr>
          <w:rtl/>
        </w:rPr>
        <w:t xml:space="preserve"> </w:t>
      </w:r>
      <w:r>
        <w:t xml:space="preserve">(„Kreis, Runde") bezeichnet die Jordanebene (vgl. Gen 13,10-12; 19,17.25.28-29; </w:t>
      </w:r>
      <w:r w:rsidR="00664EB6">
        <w:t>1Kön</w:t>
      </w:r>
      <w:r>
        <w:t xml:space="preserve"> 7,46; </w:t>
      </w:r>
      <w:r w:rsidR="00664EB6">
        <w:t>2Chr</w:t>
      </w:r>
      <w:r>
        <w:t xml:space="preserve"> 4,17; Neh 3,22; 12,28). </w:t>
      </w:r>
      <w:r>
        <w:rPr>
          <w:rStyle w:val="Fett"/>
          <w:rFonts w:eastAsiaTheme="majorEastAsia"/>
          <w:rtl/>
        </w:rPr>
        <w:t>עִיר הַתְּמָרִים</w:t>
      </w:r>
      <w:r>
        <w:rPr>
          <w:rtl/>
        </w:rPr>
        <w:t xml:space="preserve"> </w:t>
      </w:r>
      <w:r>
        <w:t xml:space="preserve">(„Stadt der Palmen") ist eine poetische Bezeichnung für Jericho (vgl. Ri 1,16; 3,13; </w:t>
      </w:r>
      <w:r w:rsidR="00664EB6">
        <w:t>2Chr</w:t>
      </w:r>
      <w:r>
        <w:t xml:space="preserve"> 28,15). </w:t>
      </w:r>
      <w:r>
        <w:rPr>
          <w:rStyle w:val="Fett"/>
          <w:rFonts w:eastAsiaTheme="majorEastAsia"/>
          <w:rtl/>
        </w:rPr>
        <w:t>עַד־צֹעַר</w:t>
      </w:r>
      <w:r>
        <w:rPr>
          <w:rtl/>
        </w:rPr>
        <w:t xml:space="preserve"> </w:t>
      </w:r>
      <w:r>
        <w:t>(„bis Zoar") – die Stadt am südlichen Ende des Toten Meeres, die bei Sodoms Zerstörung verschont wurde (vgl. Gen 13,10; 14,2.8; 19,22-23.30; Jes 15,5; Jer 48,34).</w:t>
      </w:r>
    </w:p>
    <w:p w14:paraId="6A4E5900" w14:textId="510F164F" w:rsidR="00556D10" w:rsidRDefault="00556D10" w:rsidP="00EE5F59">
      <w:pPr>
        <w:pStyle w:val="whitespace-normal"/>
      </w:pPr>
      <w:r>
        <w:rPr>
          <w:rStyle w:val="Fett"/>
        </w:rPr>
        <w:t>Die LXX</w:t>
      </w:r>
      <w:r>
        <w:t xml:space="preserve"> übersetzt </w:t>
      </w:r>
      <w:r>
        <w:rPr>
          <w:rtl/>
        </w:rPr>
        <w:t>הַנֶּגֶב</w:t>
      </w:r>
      <w:r>
        <w:t xml:space="preserve"> (den Negev/Süden) mit τὴν </w:t>
      </w:r>
      <w:proofErr w:type="spellStart"/>
      <w:r>
        <w:t>ἔρημον</w:t>
      </w:r>
      <w:proofErr w:type="spellEnd"/>
      <w:r>
        <w:t xml:space="preserve"> (die Wüste) – eine beschreibende Übersetzung. Das Wort </w:t>
      </w:r>
      <w:r>
        <w:rPr>
          <w:rtl/>
        </w:rPr>
        <w:t>הַכִּכָּר</w:t>
      </w:r>
      <w:r>
        <w:t xml:space="preserve"> (die Kreisebene/Jordanebene) wird mit </w:t>
      </w:r>
      <w:proofErr w:type="spellStart"/>
      <w:r>
        <w:t>τὰ</w:t>
      </w:r>
      <w:proofErr w:type="spellEnd"/>
      <w:r>
        <w:t xml:space="preserve"> π</w:t>
      </w:r>
      <w:proofErr w:type="spellStart"/>
      <w:r>
        <w:t>ερίχωρ</w:t>
      </w:r>
      <w:proofErr w:type="spellEnd"/>
      <w:r>
        <w:t xml:space="preserve">α (die Umgebung) übersetzt. Der Begriff </w:t>
      </w:r>
      <w:r>
        <w:rPr>
          <w:rtl/>
        </w:rPr>
        <w:t>עִיר הַתְּמָרִים</w:t>
      </w:r>
      <w:r>
        <w:t xml:space="preserve"> (Stadt der Palmen) wird mit π</w:t>
      </w:r>
      <w:proofErr w:type="spellStart"/>
      <w:r>
        <w:t>όλιν</w:t>
      </w:r>
      <w:proofErr w:type="spellEnd"/>
      <w:r>
        <w:t xml:space="preserve"> </w:t>
      </w:r>
      <w:proofErr w:type="spellStart"/>
      <w:r>
        <w:t>φοινίκων</w:t>
      </w:r>
      <w:proofErr w:type="spellEnd"/>
      <w:r>
        <w:t xml:space="preserve"> (Stadt der Palmen/Phönixe) übersetzt – wobei </w:t>
      </w:r>
      <w:proofErr w:type="spellStart"/>
      <w:r>
        <w:t>φοῖνιξ</w:t>
      </w:r>
      <w:proofErr w:type="spellEnd"/>
      <w:r>
        <w:t xml:space="preserve"> sowohl "Palme" als auch "Phönix" bedeutet, hier aber eindeutig "Dattelpalme" gemeint ist.</w:t>
      </w:r>
    </w:p>
    <w:p w14:paraId="4ED1D5D7" w14:textId="77777777" w:rsidR="00EE5F59" w:rsidRDefault="00EE5F59" w:rsidP="00EE5F59">
      <w:pPr>
        <w:pStyle w:val="whitespace-normal"/>
      </w:pPr>
      <w:r>
        <w:rPr>
          <w:rStyle w:val="Fett"/>
          <w:rFonts w:eastAsiaTheme="majorEastAsia"/>
        </w:rPr>
        <w:t>Die Struktur der Panoramavision (V. 1-3):</w:t>
      </w:r>
      <w:r>
        <w:t xml:space="preserve"> Von Ost nach West, von Nord nach Süd – das gesamte verheißene Land wird systematisch durchgegangen:</w:t>
      </w:r>
    </w:p>
    <w:p w14:paraId="63057497" w14:textId="77777777" w:rsidR="00EE5F59" w:rsidRDefault="00EE5F59" w:rsidP="00EE5F59">
      <w:pPr>
        <w:pStyle w:val="whitespace-normal"/>
        <w:numPr>
          <w:ilvl w:val="0"/>
          <w:numId w:val="22"/>
        </w:numPr>
      </w:pPr>
      <w:r>
        <w:rPr>
          <w:rStyle w:val="Fett"/>
          <w:rFonts w:eastAsiaTheme="majorEastAsia"/>
        </w:rPr>
        <w:t>Gilead bis Dan</w:t>
      </w:r>
      <w:r>
        <w:t xml:space="preserve"> (V. 1) – Norden/Nordosten</w:t>
      </w:r>
    </w:p>
    <w:p w14:paraId="6356BCBD" w14:textId="77777777" w:rsidR="00EE5F59" w:rsidRDefault="00EE5F59" w:rsidP="00EE5F59">
      <w:pPr>
        <w:pStyle w:val="whitespace-normal"/>
        <w:numPr>
          <w:ilvl w:val="0"/>
          <w:numId w:val="22"/>
        </w:numPr>
      </w:pPr>
      <w:r>
        <w:rPr>
          <w:rStyle w:val="Fett"/>
          <w:rFonts w:eastAsiaTheme="majorEastAsia"/>
        </w:rPr>
        <w:t>Naphtali</w:t>
      </w:r>
      <w:r>
        <w:t xml:space="preserve"> (V. 2) – äußerster Norden</w:t>
      </w:r>
    </w:p>
    <w:p w14:paraId="1193907B" w14:textId="77777777" w:rsidR="00EE5F59" w:rsidRDefault="00EE5F59" w:rsidP="00EE5F59">
      <w:pPr>
        <w:pStyle w:val="whitespace-normal"/>
        <w:numPr>
          <w:ilvl w:val="0"/>
          <w:numId w:val="22"/>
        </w:numPr>
      </w:pPr>
      <w:r>
        <w:rPr>
          <w:rStyle w:val="Fett"/>
          <w:rFonts w:eastAsiaTheme="majorEastAsia"/>
        </w:rPr>
        <w:lastRenderedPageBreak/>
        <w:t>Ephraim und Manasse</w:t>
      </w:r>
      <w:r>
        <w:t xml:space="preserve"> (V. 2) – zentrales Bergland</w:t>
      </w:r>
    </w:p>
    <w:p w14:paraId="651A6EC9" w14:textId="77777777" w:rsidR="00EE5F59" w:rsidRDefault="00EE5F59" w:rsidP="00EE5F59">
      <w:pPr>
        <w:pStyle w:val="whitespace-normal"/>
        <w:numPr>
          <w:ilvl w:val="0"/>
          <w:numId w:val="22"/>
        </w:numPr>
      </w:pPr>
      <w:r>
        <w:rPr>
          <w:rStyle w:val="Fett"/>
          <w:rFonts w:eastAsiaTheme="majorEastAsia"/>
        </w:rPr>
        <w:t>Juda bis zum Mittelmeer</w:t>
      </w:r>
      <w:r>
        <w:t xml:space="preserve"> (V. 2) – Süden bis Westen</w:t>
      </w:r>
    </w:p>
    <w:p w14:paraId="42190663" w14:textId="77777777" w:rsidR="00EE5F59" w:rsidRDefault="00EE5F59" w:rsidP="00EE5F59">
      <w:pPr>
        <w:pStyle w:val="whitespace-normal"/>
        <w:numPr>
          <w:ilvl w:val="0"/>
          <w:numId w:val="22"/>
        </w:numPr>
      </w:pPr>
      <w:r>
        <w:rPr>
          <w:rStyle w:val="Fett"/>
          <w:rFonts w:eastAsiaTheme="majorEastAsia"/>
        </w:rPr>
        <w:t>Negev</w:t>
      </w:r>
      <w:r>
        <w:t xml:space="preserve"> (V. 3) – äußerster Süden</w:t>
      </w:r>
    </w:p>
    <w:p w14:paraId="5516D6FC" w14:textId="77777777" w:rsidR="00EE5F59" w:rsidRDefault="00EE5F59" w:rsidP="00EE5F59">
      <w:pPr>
        <w:pStyle w:val="whitespace-normal"/>
        <w:numPr>
          <w:ilvl w:val="0"/>
          <w:numId w:val="22"/>
        </w:numPr>
      </w:pPr>
      <w:r>
        <w:rPr>
          <w:rStyle w:val="Fett"/>
          <w:rFonts w:eastAsiaTheme="majorEastAsia"/>
        </w:rPr>
        <w:t>Jordanebene von Jericho bis Zoar</w:t>
      </w:r>
      <w:r>
        <w:t xml:space="preserve"> (V. 3) – Jordantal von Nord nach Süd</w:t>
      </w:r>
    </w:p>
    <w:p w14:paraId="56342591" w14:textId="562C4150" w:rsidR="00EE5F59" w:rsidRDefault="00EE5F59" w:rsidP="00B77CC6">
      <w:pPr>
        <w:pStyle w:val="whitespace-normal"/>
      </w:pPr>
      <w:r>
        <w:t>Die Vision ist umfassend und systematisch – Mose sieht das gesamte verheißene Land, von Dan bis Beerscheba, vom Jordan bis zum Mittelmeer.</w:t>
      </w:r>
    </w:p>
    <w:p w14:paraId="2991FE2C" w14:textId="77777777" w:rsidR="00EE5F59" w:rsidRPr="00257FCB" w:rsidRDefault="00EE5F59" w:rsidP="00EE5F59">
      <w:pPr>
        <w:pStyle w:val="berschrift1"/>
        <w:rPr>
          <w:rFonts w:ascii="Times New Roman" w:hAnsi="Times New Roman"/>
          <w:color w:val="auto"/>
          <w:sz w:val="36"/>
          <w:szCs w:val="36"/>
        </w:rPr>
      </w:pPr>
      <w:r w:rsidRPr="00257FCB">
        <w:rPr>
          <w:rStyle w:val="Fett"/>
          <w:rFonts w:ascii="Times New Roman" w:hAnsi="Times New Roman"/>
          <w:color w:val="auto"/>
          <w:sz w:val="36"/>
          <w:szCs w:val="36"/>
        </w:rPr>
        <w:t>Deuteronomium 34,4</w:t>
      </w:r>
    </w:p>
    <w:p w14:paraId="60D0B74C" w14:textId="77777777" w:rsidR="00EE5F59" w:rsidRDefault="00EE5F59" w:rsidP="00EE5F59">
      <w:pPr>
        <w:pStyle w:val="whitespace-normal"/>
      </w:pPr>
      <w:r>
        <w:rPr>
          <w:rStyle w:val="Fett"/>
          <w:rFonts w:eastAsiaTheme="majorEastAsia"/>
        </w:rPr>
        <w:t>Hebräisch:</w:t>
      </w:r>
      <w:r>
        <w:t xml:space="preserve"> </w:t>
      </w:r>
      <w:r>
        <w:rPr>
          <w:rtl/>
        </w:rPr>
        <w:t>וַיֹּאמֶר יְהוָה אֵלָיו זֹאת הָאָרֶץ אֲשֶׁר נִשְׁבַּעְתִּי לְאַבְרָהָם לְיִצְחָק וּלְיַעֲקֹב לֵאמֹר לְזַרְעֲךָ אֶתְּנֶנָּה הֶרְאִיתִיךָ בְעֵינֶיךָ וְשָׁמָּה לֹא תַעֲבֹר׃</w:t>
      </w:r>
    </w:p>
    <w:p w14:paraId="4214CC3B" w14:textId="77777777" w:rsidR="00EE5F59" w:rsidRDefault="00EE5F59" w:rsidP="00EE5F59">
      <w:pPr>
        <w:pStyle w:val="whitespace-normal"/>
      </w:pPr>
      <w:r>
        <w:rPr>
          <w:rStyle w:val="Fett"/>
          <w:rFonts w:eastAsiaTheme="majorEastAsia"/>
        </w:rPr>
        <w:t>Deutsch:</w:t>
      </w:r>
      <w:r>
        <w:t xml:space="preserve"> Und der Ewige sprach zu ihm: Dies ist das Land, das ich Abraham, Isaak und Jakob zugeschworen habe, sagend: Deinem Samen will ich es geben. Ich habe es dich mit deinen Augen sehen lassen, aber hinübergehen sollst du nicht.</w:t>
      </w:r>
    </w:p>
    <w:p w14:paraId="32EBC34F" w14:textId="77777777" w:rsidR="00EE5F59" w:rsidRDefault="004F5CEB" w:rsidP="00EE5F59">
      <w:r>
        <w:rPr>
          <w:noProof/>
        </w:rPr>
        <w:pict w14:anchorId="357C50B7">
          <v:rect id="_x0000_i1923" style="width:0;height:1.5pt" o:hralign="center" o:hrstd="t" o:hr="t" fillcolor="#a0a0a0" stroked="f"/>
        </w:pict>
      </w:r>
    </w:p>
    <w:p w14:paraId="19B0794E" w14:textId="77777777" w:rsidR="00EE5F59" w:rsidRDefault="00EE5F59" w:rsidP="00EE5F59">
      <w:pPr>
        <w:pStyle w:val="whitespace-normal"/>
      </w:pPr>
      <w:r>
        <w:rPr>
          <w:rStyle w:val="Fett"/>
          <w:rFonts w:eastAsiaTheme="majorEastAsia"/>
        </w:rPr>
        <w:t>Kommentar:</w:t>
      </w:r>
      <w:r>
        <w:t xml:space="preserve"> </w:t>
      </w:r>
      <w:r>
        <w:rPr>
          <w:rStyle w:val="Fett"/>
          <w:rFonts w:eastAsiaTheme="majorEastAsia"/>
          <w:rtl/>
        </w:rPr>
        <w:t>וַיֹּאמֶר יְהוָה אֵלָיו זֹאת הָאָרֶץ אֲשֶׁר נִשְׁבַּעְתִּי לְאַבְרָהָם לְיִצְחָק וּלְיַעֲקֹב לֵאמֹר לְזַרְעֲךָ אֶתְּנֶנָּה הֶרְאִיתִיךָ בְעֵינֶיךָ וְשָׁמָּה לֹא תַעֲבֹר</w:t>
      </w:r>
      <w:r>
        <w:rPr>
          <w:rtl/>
        </w:rPr>
        <w:t xml:space="preserve"> </w:t>
      </w:r>
      <w:r>
        <w:t xml:space="preserve">sind drei Aussagen: </w:t>
      </w:r>
      <w:r>
        <w:rPr>
          <w:rStyle w:val="Fett"/>
          <w:rFonts w:eastAsiaTheme="majorEastAsia"/>
          <w:rtl/>
        </w:rPr>
        <w:t>וַיֹּאמֶר יְהוָה אֵלָיו זֹאת הָאָרֶץ אֲשֶׁר נִשְׁבַּעְתִּי לְאַבְרָהָם לְיִצְחָק וּלְיַעֲקֹב לֵאמֹר לְזַרְעֲךָ אֶתְּנֶנָּה</w:t>
      </w:r>
      <w:r>
        <w:rPr>
          <w:rtl/>
        </w:rPr>
        <w:t xml:space="preserve"> </w:t>
      </w:r>
      <w:r>
        <w:t xml:space="preserve">(Einleitung: </w:t>
      </w:r>
      <w:r>
        <w:rPr>
          <w:rStyle w:val="Fett"/>
          <w:rFonts w:eastAsiaTheme="majorEastAsia"/>
          <w:rtl/>
        </w:rPr>
        <w:t>וַיֹּאמֶר יְהוָה אֵלָיו</w:t>
      </w:r>
      <w:r>
        <w:t xml:space="preserve">, </w:t>
      </w:r>
      <w:r>
        <w:rPr>
          <w:rStyle w:val="Fett"/>
          <w:rFonts w:eastAsiaTheme="majorEastAsia"/>
          <w:rtl/>
        </w:rPr>
        <w:t>זֹאת הָאָרֶץ</w:t>
      </w:r>
      <w:r>
        <w:t xml:space="preserve">, Relativsatz: </w:t>
      </w:r>
      <w:r>
        <w:rPr>
          <w:rStyle w:val="Fett"/>
          <w:rFonts w:eastAsiaTheme="majorEastAsia"/>
          <w:rtl/>
        </w:rPr>
        <w:t>אֲשֶׁר נִשְׁבַּעְתִּי</w:t>
      </w:r>
      <w:r>
        <w:rPr>
          <w:rtl/>
        </w:rPr>
        <w:t xml:space="preserve"> </w:t>
      </w:r>
      <w:r>
        <w:t xml:space="preserve">mit </w:t>
      </w:r>
      <w:r>
        <w:rPr>
          <w:rStyle w:val="Fett"/>
          <w:rFonts w:eastAsiaTheme="majorEastAsia"/>
          <w:rtl/>
        </w:rPr>
        <w:t>שׁבע</w:t>
      </w:r>
      <w:r>
        <w:t xml:space="preserve">, Niphal Perfekt, 1. Person Singular, </w:t>
      </w:r>
      <w:r>
        <w:rPr>
          <w:rStyle w:val="Fett"/>
          <w:rFonts w:eastAsiaTheme="majorEastAsia"/>
          <w:rtl/>
        </w:rPr>
        <w:t>לְאַבְרָהָם לְיִצְחָק וּלְיַעֲקֹב</w:t>
      </w:r>
      <w:r>
        <w:t xml:space="preserve">, Infinitivsatz: </w:t>
      </w:r>
      <w:r>
        <w:rPr>
          <w:rStyle w:val="Fett"/>
          <w:rFonts w:eastAsiaTheme="majorEastAsia"/>
          <w:rtl/>
        </w:rPr>
        <w:t>לֵאמֹר לְזַרְעֲךָ אֶתְּנֶנָּה</w:t>
      </w:r>
      <w:r>
        <w:rPr>
          <w:rtl/>
        </w:rPr>
        <w:t xml:space="preserve"> </w:t>
      </w:r>
      <w:r>
        <w:t xml:space="preserve">mit </w:t>
      </w:r>
      <w:r>
        <w:rPr>
          <w:rStyle w:val="Fett"/>
          <w:rFonts w:eastAsiaTheme="majorEastAsia"/>
          <w:rtl/>
        </w:rPr>
        <w:t>נתן</w:t>
      </w:r>
      <w:r>
        <w:t xml:space="preserve">, Qal Imperfekt, 1. Person Singular, mit Suffix 3. Person Femininum Singular), </w:t>
      </w:r>
      <w:r>
        <w:rPr>
          <w:rStyle w:val="Fett"/>
          <w:rFonts w:eastAsiaTheme="majorEastAsia"/>
          <w:rtl/>
        </w:rPr>
        <w:t>הֶרְאִיתִיךָ בְעֵינֶיךָ</w:t>
      </w:r>
      <w:r>
        <w:rPr>
          <w:rtl/>
        </w:rPr>
        <w:t xml:space="preserve"> </w:t>
      </w:r>
      <w:r>
        <w:t>(</w:t>
      </w:r>
      <w:r>
        <w:rPr>
          <w:rStyle w:val="Fett"/>
          <w:rFonts w:eastAsiaTheme="majorEastAsia"/>
          <w:rtl/>
        </w:rPr>
        <w:t>ראה</w:t>
      </w:r>
      <w:r>
        <w:t xml:space="preserve">, Hiphil Perfekt, 1. Person Singular, mit Suffix 2. Person Maskulinum Singular, </w:t>
      </w:r>
      <w:r>
        <w:rPr>
          <w:rStyle w:val="Fett"/>
          <w:rFonts w:eastAsiaTheme="majorEastAsia"/>
          <w:rtl/>
        </w:rPr>
        <w:t>בְּעֵינֶיךָ</w:t>
      </w:r>
      <w:r>
        <w:t xml:space="preserve">), </w:t>
      </w:r>
      <w:r>
        <w:rPr>
          <w:rStyle w:val="Fett"/>
          <w:rFonts w:eastAsiaTheme="majorEastAsia"/>
          <w:rtl/>
        </w:rPr>
        <w:t>וְשָׁמָּה לֹא תַעֲבֹר</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שָׁמָּה</w:t>
      </w:r>
      <w:r>
        <w:t xml:space="preserve">, Negation, </w:t>
      </w:r>
      <w:r>
        <w:rPr>
          <w:rStyle w:val="Fett"/>
          <w:rFonts w:eastAsiaTheme="majorEastAsia"/>
          <w:rtl/>
        </w:rPr>
        <w:t>עבר</w:t>
      </w:r>
      <w:r>
        <w:t>, Qal Imperfekt, 2. Person Maskulinum Singular).</w:t>
      </w:r>
    </w:p>
    <w:p w14:paraId="23B91460" w14:textId="77777777" w:rsidR="00413630" w:rsidRDefault="00EE5F59" w:rsidP="00413630">
      <w:pPr>
        <w:pStyle w:val="KeinLeerraum"/>
      </w:pPr>
      <w:r>
        <w:t xml:space="preserve">Der Vers ist Gottes bittersüßes Wort an Mose. </w:t>
      </w:r>
    </w:p>
    <w:p w14:paraId="160A9292" w14:textId="24643CD9" w:rsidR="00413630" w:rsidRDefault="00EE5F59" w:rsidP="00413630">
      <w:pPr>
        <w:pStyle w:val="KeinLeerraum"/>
      </w:pPr>
      <w:r>
        <w:t xml:space="preserve">Die drei Aussagen: </w:t>
      </w:r>
      <w:r>
        <w:rPr>
          <w:rStyle w:val="Fett"/>
          <w:rFonts w:eastAsiaTheme="majorEastAsia"/>
          <w:rtl/>
        </w:rPr>
        <w:t>וַיֹּאמֶר יְהוָה אֵלָיו זֹאת הָאָרֶץ אֲשֶׁר נִשְׁבַּעְתִּי לְאַבְרָהָם לְיִצְחָק וּלְיַעֲקֹב לֵאמֹר לְזַרְעֲךָ אֶתְּנֶנָּה הֶרְאִיתִיךָ בְעֵינֶיךָ וְשָׁמָּה לֹא תַעֲבֹר</w:t>
      </w:r>
      <w:r>
        <w:rPr>
          <w:rtl/>
        </w:rPr>
        <w:t xml:space="preserve"> </w:t>
      </w:r>
      <w:r>
        <w:t xml:space="preserve">(„und </w:t>
      </w:r>
      <w:r w:rsidR="00272EAD">
        <w:rPr>
          <w:rFonts w:eastAsia="Times New Roman"/>
          <w:lang w:eastAsia="de-DE"/>
        </w:rPr>
        <w:t>JHWH</w:t>
      </w:r>
      <w:r>
        <w:t xml:space="preserve"> sprach zu ihm: Dies ist das Land, das ich geschworen habe Abraham, Isaak und Jakob, sagend: Deinem Samen will ich es geben. Ich habe es dich sehen lassen mit deinen Augen, aber dorthin wirst du nicht hinübergehen"). </w:t>
      </w:r>
    </w:p>
    <w:p w14:paraId="5FDD966E" w14:textId="52E0D2FA" w:rsidR="00413630" w:rsidRDefault="00EE5F59" w:rsidP="00EE5F59">
      <w:pPr>
        <w:pStyle w:val="whitespace-normal"/>
      </w:pPr>
      <w:r w:rsidRPr="00D448AB">
        <w:rPr>
          <w:b/>
          <w:bCs/>
        </w:rPr>
        <w:t>Die erste Aussage</w:t>
      </w:r>
      <w:r>
        <w:t xml:space="preserve"> erinnert an die patriarchale Verheißung – die klassische Formel </w:t>
      </w:r>
      <w:r>
        <w:rPr>
          <w:rStyle w:val="Fett"/>
          <w:rFonts w:eastAsiaTheme="majorEastAsia"/>
          <w:rtl/>
        </w:rPr>
        <w:t>אַבְרָהָם יִצְחָק וְיַעֲקֹב</w:t>
      </w:r>
      <w:r>
        <w:rPr>
          <w:rtl/>
        </w:rPr>
        <w:t xml:space="preserve"> </w:t>
      </w:r>
      <w:r>
        <w:t xml:space="preserve">(vgl. Gen 12,7; 13,15; 15,18; 17,8; 26,3; 28,13; 35,12; Ex 6,8; 13,5.11; 32,13; 33,1; Num 32,11; Dtn 1,8; 6,10; 9,5.27; 29,12; 30,20). </w:t>
      </w:r>
    </w:p>
    <w:p w14:paraId="31C4AE8C" w14:textId="77777777" w:rsidR="00413630" w:rsidRDefault="00EE5F59" w:rsidP="00EE5F59">
      <w:pPr>
        <w:pStyle w:val="whitespace-normal"/>
      </w:pPr>
      <w:r w:rsidRPr="00D448AB">
        <w:rPr>
          <w:b/>
          <w:bCs/>
        </w:rPr>
        <w:t>Die zweite Aussage</w:t>
      </w:r>
      <w:r>
        <w:t xml:space="preserve">: </w:t>
      </w:r>
      <w:r>
        <w:rPr>
          <w:rStyle w:val="Fett"/>
          <w:rFonts w:eastAsiaTheme="majorEastAsia"/>
          <w:rtl/>
        </w:rPr>
        <w:t>הֶרְאִיתִיךָ בְעֵינֶיךָ</w:t>
      </w:r>
      <w:r>
        <w:rPr>
          <w:rtl/>
        </w:rPr>
        <w:t xml:space="preserve"> </w:t>
      </w:r>
      <w:r>
        <w:t xml:space="preserve">(„ich habe es dich sehen lassen mit deinen Augen") – Gott gewährte Mose wenigstens diese Vision. </w:t>
      </w:r>
    </w:p>
    <w:p w14:paraId="46403197" w14:textId="77777777" w:rsidR="00D448AB" w:rsidRDefault="00EE5F59" w:rsidP="00D448AB">
      <w:pPr>
        <w:pStyle w:val="KeinLeerraum"/>
      </w:pPr>
      <w:r w:rsidRPr="00D448AB">
        <w:rPr>
          <w:b/>
          <w:bCs/>
        </w:rPr>
        <w:t>Die dritte Aussage</w:t>
      </w:r>
      <w:r>
        <w:t xml:space="preserve">: </w:t>
      </w:r>
      <w:r>
        <w:rPr>
          <w:rStyle w:val="Fett"/>
          <w:rFonts w:eastAsiaTheme="majorEastAsia"/>
          <w:rtl/>
        </w:rPr>
        <w:t>וְשָׁמָּה לֹא תַעֲבֹר</w:t>
      </w:r>
      <w:r>
        <w:rPr>
          <w:rtl/>
        </w:rPr>
        <w:t xml:space="preserve"> </w:t>
      </w:r>
      <w:r>
        <w:t xml:space="preserve">(„aber dorthin wirst du nicht hinübergehen") – die schmerzliche Einschränkung (vgl. 1,37; 3,25-27; 4,21-22; 31,2; 32,51-52; Num 20,12; 27,12-14). Das Verb </w:t>
      </w:r>
      <w:r>
        <w:rPr>
          <w:rStyle w:val="Fett"/>
          <w:rFonts w:eastAsiaTheme="majorEastAsia"/>
          <w:rtl/>
        </w:rPr>
        <w:t>עבר</w:t>
      </w:r>
      <w:r>
        <w:rPr>
          <w:rtl/>
        </w:rPr>
        <w:t xml:space="preserve"> </w:t>
      </w:r>
      <w:r>
        <w:t>(„hinübergehen") ist zentral im Deuteronomium – Israel wird hinübergehen, Mose nicht (vgl. 3,25.27-28; 4,21-22.26; 9,1; 11,31; 12,10; 27,2-4; 30,18; 31,2-3.13; 32,47).</w:t>
      </w:r>
      <w:r w:rsidR="00413630">
        <w:t xml:space="preserve"> </w:t>
      </w:r>
    </w:p>
    <w:p w14:paraId="77CAA9DF" w14:textId="071185A1" w:rsidR="00D448AB" w:rsidRDefault="00D448AB" w:rsidP="00D448AB">
      <w:pPr>
        <w:pStyle w:val="KeinLeerraum"/>
      </w:pPr>
      <w:r>
        <w:lastRenderedPageBreak/>
        <w:t xml:space="preserve">Das Verb </w:t>
      </w:r>
      <w:r w:rsidRPr="00D448AB">
        <w:rPr>
          <w:b/>
          <w:bCs/>
          <w:rtl/>
        </w:rPr>
        <w:t>עבר</w:t>
      </w:r>
      <w:r>
        <w:t xml:space="preserve"> („hinübergehen") ist geradezu das Leitwort des Deuteronomiums (vgl. Deu 3,25.27-28; 4,21-22.26; 9,1; 11,31; 12,10; 27,2-4; 30,18; 31,2-3.13; 32,47) – Israel wird als das Volk der „Hinübergehenden" (</w:t>
      </w:r>
      <w:r w:rsidRPr="00D448AB">
        <w:rPr>
          <w:b/>
          <w:bCs/>
          <w:rtl/>
        </w:rPr>
        <w:t>הָעֹבְרִים</w:t>
      </w:r>
      <w:r>
        <w:t>) charakterisiert, das den Jordan überquert und in die neue Existenz im verheißenen Land eintritt. Moses Tragödie liegt darin, dass gerade er, der Führer des Exodus, von diesem finalen „Hinübergehen" ausgeschlossen bleibt.</w:t>
      </w:r>
    </w:p>
    <w:p w14:paraId="46308F01" w14:textId="1DD10C1E" w:rsidR="00556D10" w:rsidRDefault="00556D10" w:rsidP="00413630">
      <w:pPr>
        <w:pStyle w:val="whitespace-normal"/>
      </w:pPr>
      <w:r>
        <w:rPr>
          <w:rStyle w:val="Fett"/>
        </w:rPr>
        <w:t>Die LXX</w:t>
      </w:r>
      <w:r>
        <w:t xml:space="preserve"> ändert </w:t>
      </w:r>
      <w:r w:rsidRPr="00D448AB">
        <w:rPr>
          <w:b/>
          <w:bCs/>
          <w:rtl/>
        </w:rPr>
        <w:t>לְזַרְעֲךָ אֶתְּנֶנָּה</w:t>
      </w:r>
      <w:r>
        <w:t xml:space="preserve"> (deinem Samen werde ich es geben) zu </w:t>
      </w:r>
      <w:proofErr w:type="spellStart"/>
      <w:r>
        <w:t>Τῷ</w:t>
      </w:r>
      <w:proofErr w:type="spellEnd"/>
      <w:r>
        <w:t xml:space="preserve"> σπ</w:t>
      </w:r>
      <w:proofErr w:type="spellStart"/>
      <w:r>
        <w:t>έρμ</w:t>
      </w:r>
      <w:proofErr w:type="spellEnd"/>
      <w:r>
        <w:t xml:space="preserve">ατι </w:t>
      </w:r>
      <w:proofErr w:type="spellStart"/>
      <w:r>
        <w:t>ὑμῶν</w:t>
      </w:r>
      <w:proofErr w:type="spellEnd"/>
      <w:r>
        <w:t xml:space="preserve"> </w:t>
      </w:r>
      <w:proofErr w:type="spellStart"/>
      <w:r>
        <w:t>δώσω</w:t>
      </w:r>
      <w:proofErr w:type="spellEnd"/>
      <w:r>
        <w:t xml:space="preserve"> α</w:t>
      </w:r>
      <w:proofErr w:type="spellStart"/>
      <w:r>
        <w:t>ὐτήν</w:t>
      </w:r>
      <w:proofErr w:type="spellEnd"/>
      <w:r>
        <w:t xml:space="preserve"> (eurem Samen werde ich es geben) – vom Singular zum Plural, was die kollektive Verheißung an alle Patriarchen betont.</w:t>
      </w:r>
    </w:p>
    <w:p w14:paraId="4F334300" w14:textId="375C768C" w:rsidR="00EE5F59" w:rsidRDefault="00EE5F59" w:rsidP="00EE5F59">
      <w:pPr>
        <w:pStyle w:val="whitespace-normal"/>
      </w:pPr>
      <w:r>
        <w:rPr>
          <w:rStyle w:val="Fett"/>
          <w:rFonts w:eastAsiaTheme="majorEastAsia"/>
        </w:rPr>
        <w:t>Die Satzstruktur:</w:t>
      </w:r>
      <w:r>
        <w:t xml:space="preserve"> Drei Aussagen (und </w:t>
      </w:r>
      <w:r w:rsidR="00272EAD">
        <w:t>JHWH</w:t>
      </w:r>
      <w:r>
        <w:t xml:space="preserve"> sprach zu ihm: Dies ist das Land, das ich geschworen habe Abraham, Isaak und Jakob, sagend: Deinem Samen will ich es geben. Ich habe es dich sehen lassen mit deinen Augen, aber dorthin wirst du nicht hinübergehen).</w:t>
      </w:r>
    </w:p>
    <w:p w14:paraId="5ADBA440" w14:textId="774D8FBC" w:rsidR="00EE5F59" w:rsidRDefault="00EE5F59" w:rsidP="00B77CC6">
      <w:pPr>
        <w:pStyle w:val="whitespace-normal"/>
      </w:pPr>
      <w:r>
        <w:rPr>
          <w:rStyle w:val="Fett"/>
          <w:rFonts w:eastAsiaTheme="majorEastAsia"/>
        </w:rPr>
        <w:t>Der Vers beschreibt:</w:t>
      </w:r>
      <w:r>
        <w:t xml:space="preserve"> Bittersüßes Wort – Gott zeigt Mose das verheißene Land, aber er darf nicht hinein.</w:t>
      </w:r>
    </w:p>
    <w:p w14:paraId="37391F9D" w14:textId="77777777" w:rsidR="00EE5F59" w:rsidRPr="00257FCB" w:rsidRDefault="00EE5F59" w:rsidP="00EE5F59">
      <w:pPr>
        <w:pStyle w:val="berschrift1"/>
        <w:rPr>
          <w:rFonts w:ascii="Times New Roman" w:hAnsi="Times New Roman"/>
          <w:color w:val="auto"/>
          <w:sz w:val="36"/>
          <w:szCs w:val="36"/>
        </w:rPr>
      </w:pPr>
      <w:r w:rsidRPr="00257FCB">
        <w:rPr>
          <w:rStyle w:val="Fett"/>
          <w:rFonts w:ascii="Times New Roman" w:hAnsi="Times New Roman"/>
          <w:color w:val="auto"/>
          <w:sz w:val="36"/>
          <w:szCs w:val="36"/>
        </w:rPr>
        <w:t>Deuteronomium 34,5</w:t>
      </w:r>
    </w:p>
    <w:p w14:paraId="257EA73F" w14:textId="77777777" w:rsidR="00EE5F59" w:rsidRDefault="00EE5F59" w:rsidP="00EE5F59">
      <w:pPr>
        <w:pStyle w:val="whitespace-normal"/>
      </w:pPr>
      <w:r>
        <w:rPr>
          <w:rStyle w:val="Fett"/>
          <w:rFonts w:eastAsiaTheme="majorEastAsia"/>
        </w:rPr>
        <w:t>Hebräisch:</w:t>
      </w:r>
      <w:r>
        <w:t xml:space="preserve"> </w:t>
      </w:r>
      <w:r>
        <w:rPr>
          <w:rtl/>
        </w:rPr>
        <w:t>וַיָּמָת שָׁם מֹשֶׁה עֶבֶד־יְהוָה בְּאֶרֶץ מוֹאָב עַל־פִּי יְהוָה׃</w:t>
      </w:r>
    </w:p>
    <w:p w14:paraId="06E2F43B" w14:textId="77777777" w:rsidR="00EE5F59" w:rsidRDefault="00EE5F59" w:rsidP="00EE5F59">
      <w:pPr>
        <w:pStyle w:val="whitespace-normal"/>
      </w:pPr>
      <w:r>
        <w:rPr>
          <w:rStyle w:val="Fett"/>
          <w:rFonts w:eastAsiaTheme="majorEastAsia"/>
        </w:rPr>
        <w:t>Deutsch:</w:t>
      </w:r>
      <w:r>
        <w:t xml:space="preserve"> Und Mosche, der Knecht des Ewigen, starb dort im Land Moab, nach dem Befehl des Ewigen.</w:t>
      </w:r>
    </w:p>
    <w:p w14:paraId="4BC034D4" w14:textId="77777777" w:rsidR="00EE5F59" w:rsidRDefault="004F5CEB" w:rsidP="00EE5F59">
      <w:r>
        <w:rPr>
          <w:noProof/>
        </w:rPr>
        <w:pict w14:anchorId="652EB9FA">
          <v:rect id="_x0000_i1924" style="width:0;height:1.5pt" o:hralign="center" o:hrstd="t" o:hr="t" fillcolor="#a0a0a0" stroked="f"/>
        </w:pict>
      </w:r>
    </w:p>
    <w:p w14:paraId="27B7881A" w14:textId="2D1A0A49" w:rsidR="00EE5F59" w:rsidRDefault="00EE5F59" w:rsidP="00EE5F59">
      <w:pPr>
        <w:pStyle w:val="whitespace-normal"/>
      </w:pPr>
      <w:r>
        <w:rPr>
          <w:rStyle w:val="Fett"/>
          <w:rFonts w:eastAsiaTheme="majorEastAsia"/>
        </w:rPr>
        <w:t>Kommentar:</w:t>
      </w:r>
      <w:r>
        <w:t xml:space="preserve"> </w:t>
      </w:r>
      <w:r>
        <w:rPr>
          <w:rStyle w:val="Fett"/>
          <w:rFonts w:eastAsiaTheme="majorEastAsia"/>
          <w:rtl/>
        </w:rPr>
        <w:t>וַיָּמָת שָׁם מֹשֶׁה עֶבֶד־יְהוָה בְּאֶרֶץ מוֹאָב עַל־פִּי יְהוָה</w:t>
      </w:r>
      <w:r>
        <w:rPr>
          <w:rtl/>
        </w:rPr>
        <w:t xml:space="preserve"> </w:t>
      </w:r>
      <w:r>
        <w:t xml:space="preserve">ist eine Aussage: </w:t>
      </w:r>
      <w:r>
        <w:rPr>
          <w:rStyle w:val="Fett"/>
          <w:rFonts w:eastAsiaTheme="majorEastAsia"/>
          <w:rtl/>
        </w:rPr>
        <w:t>וַיָּמָת שָׁם מֹשֶׁה עֶבֶד־יְהוָה בְּאֶרֶץ מוֹאָב עַל־פִּי יְהוָה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מות</w:t>
      </w:r>
      <w:r>
        <w:t xml:space="preserve">, Qal Imperfekt mit </w:t>
      </w:r>
      <w:r>
        <w:rPr>
          <w:rStyle w:val="Fett"/>
          <w:rFonts w:eastAsiaTheme="majorEastAsia"/>
        </w:rPr>
        <w:t>Waw</w:t>
      </w:r>
      <w:r>
        <w:t xml:space="preserve"> consecutivum, 3. Person Maskulinum Singular, </w:t>
      </w:r>
      <w:r>
        <w:rPr>
          <w:rStyle w:val="Fett"/>
          <w:rFonts w:eastAsiaTheme="majorEastAsia"/>
          <w:rtl/>
        </w:rPr>
        <w:t>שָׁם</w:t>
      </w:r>
      <w:r>
        <w:t xml:space="preserve">, </w:t>
      </w:r>
      <w:r>
        <w:rPr>
          <w:rStyle w:val="Fett"/>
          <w:rFonts w:eastAsiaTheme="majorEastAsia"/>
          <w:rtl/>
        </w:rPr>
        <w:t>מֹשֶׁה</w:t>
      </w:r>
      <w:r>
        <w:rPr>
          <w:rtl/>
        </w:rPr>
        <w:t xml:space="preserve"> </w:t>
      </w:r>
      <w:r>
        <w:t xml:space="preserve">als Subjekt, Apposition: </w:t>
      </w:r>
      <w:r>
        <w:rPr>
          <w:rStyle w:val="Fett"/>
          <w:rFonts w:eastAsiaTheme="majorEastAsia"/>
          <w:rtl/>
        </w:rPr>
        <w:t>עֶבֶד־יְהוָה</w:t>
      </w:r>
      <w:r>
        <w:t xml:space="preserve">, „Knecht </w:t>
      </w:r>
      <w:r w:rsidR="00B77E5E">
        <w:t xml:space="preserve">JHWHs </w:t>
      </w:r>
      <w:r>
        <w:t xml:space="preserve">", </w:t>
      </w:r>
      <w:r>
        <w:rPr>
          <w:rStyle w:val="Fett"/>
          <w:rFonts w:eastAsiaTheme="majorEastAsia"/>
          <w:rtl/>
        </w:rPr>
        <w:t>בְּאֶרֶץ מוֹאָב</w:t>
      </w:r>
      <w:r>
        <w:t xml:space="preserve">, </w:t>
      </w:r>
      <w:r>
        <w:rPr>
          <w:rStyle w:val="Fett"/>
          <w:rFonts w:eastAsiaTheme="majorEastAsia"/>
          <w:rtl/>
        </w:rPr>
        <w:t>עַל־פִּי יְהוָה</w:t>
      </w:r>
      <w:r>
        <w:t>).</w:t>
      </w:r>
    </w:p>
    <w:p w14:paraId="258BE7A4" w14:textId="77777777" w:rsidR="0071044D" w:rsidRDefault="00EE5F59" w:rsidP="00EE5F59">
      <w:pPr>
        <w:pStyle w:val="whitespace-normal"/>
      </w:pPr>
      <w:r>
        <w:t xml:space="preserve">Der Vers berichtet Moses Tod mit zwei bemerkenswerten Details. Die Aussage: </w:t>
      </w:r>
      <w:r>
        <w:rPr>
          <w:rStyle w:val="Fett"/>
          <w:rFonts w:eastAsiaTheme="majorEastAsia"/>
          <w:rtl/>
        </w:rPr>
        <w:t>וַיָּמָת שָׁם מֹשֶׁה עֶבֶד־יְהוָה בְּאֶרֶץ מוֹאָב עַל־פִּי יְהוָה</w:t>
      </w:r>
      <w:r>
        <w:rPr>
          <w:rtl/>
        </w:rPr>
        <w:t xml:space="preserve"> </w:t>
      </w:r>
      <w:r>
        <w:t xml:space="preserve">(„und Mosche, der Knecht </w:t>
      </w:r>
      <w:r w:rsidR="00B77E5E">
        <w:t>JHWHs</w:t>
      </w:r>
      <w:r>
        <w:t xml:space="preserve">, starb dort im Land Moab nach dem Befehl </w:t>
      </w:r>
      <w:r w:rsidR="00B77E5E">
        <w:t xml:space="preserve">JHWHs </w:t>
      </w:r>
      <w:r>
        <w:t xml:space="preserve">"). </w:t>
      </w:r>
    </w:p>
    <w:p w14:paraId="1EDA4580" w14:textId="77777777" w:rsidR="0071044D" w:rsidRDefault="00EE5F59" w:rsidP="00EE5F59">
      <w:pPr>
        <w:pStyle w:val="whitespace-normal"/>
      </w:pPr>
      <w:r>
        <w:t xml:space="preserve">Das erste Detail ist der Ehrentitel </w:t>
      </w:r>
      <w:r>
        <w:rPr>
          <w:rStyle w:val="Fett"/>
          <w:rFonts w:eastAsiaTheme="majorEastAsia"/>
          <w:rtl/>
        </w:rPr>
        <w:t>עֶבֶד־יְהוָה</w:t>
      </w:r>
      <w:r>
        <w:rPr>
          <w:rtl/>
        </w:rPr>
        <w:t xml:space="preserve"> </w:t>
      </w:r>
      <w:r>
        <w:t xml:space="preserve">(„Knecht </w:t>
      </w:r>
      <w:r w:rsidR="00B77E5E">
        <w:t xml:space="preserve">JHWHs </w:t>
      </w:r>
      <w:r>
        <w:t xml:space="preserve">") – dieser Titel kommt im Pentateuch nur hier und in 33,1 vor (aber vgl. Ex 14,31; Num 12,7-8 </w:t>
      </w:r>
      <w:proofErr w:type="spellStart"/>
      <w:r>
        <w:t>wo</w:t>
      </w:r>
      <w:proofErr w:type="spellEnd"/>
      <w:r>
        <w:t xml:space="preserve"> Gott Mose </w:t>
      </w:r>
      <w:r>
        <w:rPr>
          <w:rStyle w:val="Fett"/>
          <w:rFonts w:eastAsiaTheme="majorEastAsia"/>
          <w:rtl/>
        </w:rPr>
        <w:t>עַבְדִּי</w:t>
      </w:r>
      <w:r>
        <w:t xml:space="preserve">, „mein Knecht", nennt; Jos 1,1-2.7.13.15; 8,31.33; 9,24; 11,12.15; 12,6; 13,8; 14,7; 18,7; 22,2.4-5; 24,29; Ri 2,8; </w:t>
      </w:r>
      <w:r w:rsidR="00664EB6">
        <w:t>2Kön</w:t>
      </w:r>
      <w:r>
        <w:t xml:space="preserve"> 18,12; 21,8; </w:t>
      </w:r>
      <w:r w:rsidR="00664EB6">
        <w:t>1Chr</w:t>
      </w:r>
      <w:r>
        <w:t xml:space="preserve"> 6,34; </w:t>
      </w:r>
      <w:r w:rsidR="00664EB6">
        <w:t>2Chr</w:t>
      </w:r>
      <w:r>
        <w:t xml:space="preserve"> 1,3; 24,6.9; Neh 1,7-8; 9,14; 10,30; Ps 105,26; Dan 9,11; Mal 3,22). </w:t>
      </w:r>
    </w:p>
    <w:p w14:paraId="46ED142D" w14:textId="03423AE6" w:rsidR="00EE5F59" w:rsidRDefault="00EE5F59" w:rsidP="00EE5F59">
      <w:pPr>
        <w:pStyle w:val="whitespace-normal"/>
      </w:pPr>
      <w:r>
        <w:t xml:space="preserve">Das zweite Detail ist die schwierige Formulierung </w:t>
      </w:r>
      <w:r>
        <w:rPr>
          <w:rStyle w:val="Fett"/>
          <w:rFonts w:eastAsiaTheme="majorEastAsia"/>
          <w:rtl/>
        </w:rPr>
        <w:t>עַל־פִּי יְהוָה</w:t>
      </w:r>
      <w:r>
        <w:rPr>
          <w:rtl/>
        </w:rPr>
        <w:t xml:space="preserve"> </w:t>
      </w:r>
      <w:r>
        <w:t xml:space="preserve">(„nach dem Befehl/Mund </w:t>
      </w:r>
      <w:r w:rsidR="00B77E5E">
        <w:t xml:space="preserve">JHWHs </w:t>
      </w:r>
      <w:r>
        <w:t xml:space="preserve">"). Die wörtliche Übersetzung „durch den Mund </w:t>
      </w:r>
      <w:r w:rsidR="00B77E5E">
        <w:t xml:space="preserve">JHWHs </w:t>
      </w:r>
      <w:r>
        <w:t xml:space="preserve">" führte zur rabbinischen Tradition, dass Mose durch einen göttlichen Kuss starb (vgl. Midrasch Sifre; Babylonischer Talmud Baba Batra 17a; Sotah 13b). Die Formulierung könnte aber auch einfach bedeuten: „gemäß dem Befehl </w:t>
      </w:r>
      <w:r w:rsidR="00B77E5E">
        <w:t xml:space="preserve">JHWHs </w:t>
      </w:r>
      <w:r>
        <w:t xml:space="preserve">" (vgl. 3,16; 9,23; 34,5; Num 3,16.39.51; 4,37.41.45.49; </w:t>
      </w:r>
      <w:r>
        <w:lastRenderedPageBreak/>
        <w:t xml:space="preserve">9,18.20.23; 10,13; 13,3; 20,24; 33,2.38; Jos 15,13; 19,50; 21,3; 22,9; </w:t>
      </w:r>
      <w:r w:rsidR="00664EB6">
        <w:t>1Kön</w:t>
      </w:r>
      <w:r>
        <w:t xml:space="preserve"> 13,26; </w:t>
      </w:r>
      <w:r w:rsidR="00664EB6">
        <w:t>2Chr</w:t>
      </w:r>
      <w:r>
        <w:t xml:space="preserve"> 35,16).</w:t>
      </w:r>
    </w:p>
    <w:p w14:paraId="72E324E8" w14:textId="6432EE44" w:rsidR="00556D10" w:rsidRDefault="00556D10" w:rsidP="00EE5F59">
      <w:pPr>
        <w:pStyle w:val="whitespace-normal"/>
      </w:pPr>
      <w:r>
        <w:rPr>
          <w:rStyle w:val="Fett"/>
        </w:rPr>
        <w:t>Die LXX</w:t>
      </w:r>
      <w:r>
        <w:t xml:space="preserve"> übersetzt </w:t>
      </w:r>
      <w:r>
        <w:rPr>
          <w:rtl/>
        </w:rPr>
        <w:t>עֶבֶד־יְהוָה</w:t>
      </w:r>
      <w:r>
        <w:t xml:space="preserve"> (Knecht des HERRN) mit </w:t>
      </w:r>
      <w:proofErr w:type="spellStart"/>
      <w:r>
        <w:t>οἰκέτης</w:t>
      </w:r>
      <w:proofErr w:type="spellEnd"/>
      <w:r>
        <w:t xml:space="preserve"> </w:t>
      </w:r>
      <w:proofErr w:type="spellStart"/>
      <w:r>
        <w:t>κυρίου</w:t>
      </w:r>
      <w:proofErr w:type="spellEnd"/>
      <w:r>
        <w:t xml:space="preserve"> (Diener des Herrn) – wobei </w:t>
      </w:r>
      <w:proofErr w:type="spellStart"/>
      <w:r>
        <w:t>οἰκέτης</w:t>
      </w:r>
      <w:proofErr w:type="spellEnd"/>
      <w:r>
        <w:t xml:space="preserve"> "Hausdiener" bedeutet, ein etwas milderer Begriff als </w:t>
      </w:r>
      <w:proofErr w:type="spellStart"/>
      <w:r>
        <w:t>δοῦλος</w:t>
      </w:r>
      <w:proofErr w:type="spellEnd"/>
      <w:r>
        <w:t xml:space="preserve"> (Sklave). Die berühmte Wendung </w:t>
      </w:r>
      <w:r>
        <w:rPr>
          <w:rtl/>
        </w:rPr>
        <w:t>עַל־פִּי יְהוָה</w:t>
      </w:r>
      <w:r>
        <w:t xml:space="preserve"> (gemäß dem Mund des HERRN, wörtl. "auf den Mund des HERRN") wird mit </w:t>
      </w:r>
      <w:proofErr w:type="spellStart"/>
      <w:r>
        <w:t>διὰ</w:t>
      </w:r>
      <w:proofErr w:type="spellEnd"/>
      <w:r>
        <w:t xml:space="preserve"> </w:t>
      </w:r>
      <w:proofErr w:type="spellStart"/>
      <w:r>
        <w:t>ῥήμ</w:t>
      </w:r>
      <w:proofErr w:type="spellEnd"/>
      <w:r>
        <w:t xml:space="preserve">ατος </w:t>
      </w:r>
      <w:proofErr w:type="spellStart"/>
      <w:r>
        <w:t>κυρίου</w:t>
      </w:r>
      <w:proofErr w:type="spellEnd"/>
      <w:r>
        <w:t xml:space="preserve"> (durch das Wort des Herrn) übersetzt. Diese Wendung wurde traditionell als "auf den Kuss des HERRN" verstanden – eine rabbinische Interpretation, dass Mose durch einen göttlichen Kuss starb. Die LXX vermeidet diese kühne Metapher.</w:t>
      </w:r>
    </w:p>
    <w:p w14:paraId="102BEE2C" w14:textId="3444FF91" w:rsidR="00EE5F59" w:rsidRDefault="00EE5F59" w:rsidP="00EE5F59">
      <w:pPr>
        <w:pStyle w:val="whitespace-normal"/>
      </w:pPr>
      <w:r>
        <w:rPr>
          <w:rStyle w:val="Fett"/>
          <w:rFonts w:eastAsiaTheme="majorEastAsia"/>
        </w:rPr>
        <w:t>Die Satzstruktur:</w:t>
      </w:r>
      <w:r>
        <w:t xml:space="preserve"> Aussage (und Mosche, der Knecht </w:t>
      </w:r>
      <w:r w:rsidR="00B77E5E">
        <w:t>JHWHs</w:t>
      </w:r>
      <w:r>
        <w:t xml:space="preserve">, starb dort im Land Moab nach dem Befehl </w:t>
      </w:r>
      <w:r w:rsidR="00B77E5E">
        <w:t>JHWHs</w:t>
      </w:r>
      <w:r>
        <w:t>).</w:t>
      </w:r>
    </w:p>
    <w:p w14:paraId="03A72453" w14:textId="310A71CE" w:rsidR="00EE5F59" w:rsidRDefault="00EE5F59" w:rsidP="00B77CC6">
      <w:pPr>
        <w:pStyle w:val="whitespace-normal"/>
      </w:pPr>
      <w:r>
        <w:rPr>
          <w:rStyle w:val="Fett"/>
          <w:rFonts w:eastAsiaTheme="majorEastAsia"/>
        </w:rPr>
        <w:t>Der Vers beschreibt:</w:t>
      </w:r>
      <w:r>
        <w:t xml:space="preserve"> Moses Tod – der Knecht Gottes stirbt nach Gottes Befehl/durch Gottes Kuss.</w:t>
      </w:r>
    </w:p>
    <w:p w14:paraId="3E293934" w14:textId="77777777" w:rsidR="00EE5F59" w:rsidRPr="00257FCB" w:rsidRDefault="00EE5F59" w:rsidP="00EE5F59">
      <w:pPr>
        <w:pStyle w:val="berschrift1"/>
        <w:rPr>
          <w:rFonts w:ascii="Times New Roman" w:hAnsi="Times New Roman"/>
          <w:color w:val="auto"/>
          <w:sz w:val="36"/>
          <w:szCs w:val="36"/>
        </w:rPr>
      </w:pPr>
      <w:r w:rsidRPr="00257FCB">
        <w:rPr>
          <w:rStyle w:val="Fett"/>
          <w:rFonts w:ascii="Times New Roman" w:hAnsi="Times New Roman"/>
          <w:color w:val="auto"/>
          <w:sz w:val="36"/>
          <w:szCs w:val="36"/>
        </w:rPr>
        <w:t>Deuteronomium 34,6</w:t>
      </w:r>
    </w:p>
    <w:p w14:paraId="4E8458D1" w14:textId="77777777" w:rsidR="00EE5F59" w:rsidRDefault="00EE5F59" w:rsidP="00EE5F59">
      <w:pPr>
        <w:pStyle w:val="whitespace-normal"/>
      </w:pPr>
      <w:r>
        <w:rPr>
          <w:rStyle w:val="Fett"/>
          <w:rFonts w:eastAsiaTheme="majorEastAsia"/>
        </w:rPr>
        <w:t>Hebräisch:</w:t>
      </w:r>
      <w:r>
        <w:t xml:space="preserve"> </w:t>
      </w:r>
      <w:r>
        <w:rPr>
          <w:rtl/>
        </w:rPr>
        <w:t>וַיִּקְבֹּר אֹתוֹ בַגַּי בְּאֶרֶץ מוֹאָב מוּל בֵּית פְּעוֹר וְלֹא־יָדַע אִישׁ אֶת־קְבֻרָתוֹ עַד הַיּוֹם הַזֶּה׃</w:t>
      </w:r>
    </w:p>
    <w:p w14:paraId="46502437" w14:textId="77777777" w:rsidR="00EE5F59" w:rsidRDefault="00EE5F59" w:rsidP="00EE5F59">
      <w:pPr>
        <w:pStyle w:val="whitespace-normal"/>
      </w:pPr>
      <w:r>
        <w:rPr>
          <w:rStyle w:val="Fett"/>
          <w:rFonts w:eastAsiaTheme="majorEastAsia"/>
        </w:rPr>
        <w:t>Deutsch:</w:t>
      </w:r>
      <w:r>
        <w:t xml:space="preserve"> Und er begrub ihn im Tal, im Land Moab, Beth-Peor gegenüber; und niemand kennt sein Grab bis auf diesen Tag.</w:t>
      </w:r>
    </w:p>
    <w:p w14:paraId="0B8A271A" w14:textId="77777777" w:rsidR="00EE5F59" w:rsidRDefault="004F5CEB" w:rsidP="00EE5F59">
      <w:r>
        <w:rPr>
          <w:noProof/>
        </w:rPr>
        <w:pict w14:anchorId="6CEA668B">
          <v:rect id="_x0000_i1925" style="width:0;height:1.5pt" o:hralign="center" o:hrstd="t" o:hr="t" fillcolor="#a0a0a0" stroked="f"/>
        </w:pict>
      </w:r>
    </w:p>
    <w:p w14:paraId="4E0AD11C" w14:textId="77777777" w:rsidR="00EE5F59" w:rsidRDefault="00EE5F59" w:rsidP="00EE5F59">
      <w:pPr>
        <w:pStyle w:val="whitespace-normal"/>
      </w:pPr>
      <w:r>
        <w:rPr>
          <w:rStyle w:val="Fett"/>
          <w:rFonts w:eastAsiaTheme="majorEastAsia"/>
        </w:rPr>
        <w:t>Kommentar:</w:t>
      </w:r>
      <w:r>
        <w:t xml:space="preserve"> </w:t>
      </w:r>
      <w:r>
        <w:rPr>
          <w:rStyle w:val="Fett"/>
          <w:rFonts w:eastAsiaTheme="majorEastAsia"/>
          <w:rtl/>
        </w:rPr>
        <w:t>וַיִּקְבֹּר אֹתוֹ בַגַּי בְּאֶרֶץ מוֹאָב מוּל בֵּית פְּעוֹר וְלֹא־יָדַע אִישׁ אֶת־קְבֻרָתוֹ עַד הַיּוֹם הַזֶּה</w:t>
      </w:r>
      <w:r>
        <w:rPr>
          <w:rtl/>
        </w:rPr>
        <w:t xml:space="preserve"> </w:t>
      </w:r>
      <w:r>
        <w:t xml:space="preserve">sind zwei Aussagen: </w:t>
      </w:r>
      <w:r>
        <w:rPr>
          <w:rStyle w:val="Fett"/>
          <w:rFonts w:eastAsiaTheme="majorEastAsia"/>
          <w:rtl/>
        </w:rPr>
        <w:t>וַיִּקְבֹּר אֹתוֹ בַגַּי בְּאֶרֶץ מוֹאָב מוּל בֵּית פְּעוֹר</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קבר</w:t>
      </w:r>
      <w:r>
        <w:t xml:space="preserve">, Qal Imperfekt mit </w:t>
      </w:r>
      <w:r>
        <w:rPr>
          <w:rStyle w:val="Fett"/>
          <w:rFonts w:eastAsiaTheme="majorEastAsia"/>
        </w:rPr>
        <w:t>Waw</w:t>
      </w:r>
      <w:r>
        <w:t xml:space="preserve"> consecutivum, 3. Person Maskulinum Singular, Objektpartikel </w:t>
      </w:r>
      <w:r>
        <w:rPr>
          <w:rStyle w:val="Fett"/>
          <w:rFonts w:eastAsiaTheme="majorEastAsia"/>
          <w:rtl/>
        </w:rPr>
        <w:t>אֵת</w:t>
      </w:r>
      <w:r>
        <w:rPr>
          <w:rtl/>
        </w:rPr>
        <w:t xml:space="preserve"> </w:t>
      </w:r>
      <w:r>
        <w:t xml:space="preserve">mit Suffix 3. Person Maskulinum Singular, </w:t>
      </w:r>
      <w:r>
        <w:rPr>
          <w:rStyle w:val="Fett"/>
          <w:rFonts w:eastAsiaTheme="majorEastAsia"/>
          <w:rtl/>
        </w:rPr>
        <w:t>בַּגַּי</w:t>
      </w:r>
      <w:r>
        <w:t xml:space="preserve">, „im Tal", </w:t>
      </w:r>
      <w:r>
        <w:rPr>
          <w:rStyle w:val="Fett"/>
          <w:rFonts w:eastAsiaTheme="majorEastAsia"/>
          <w:rtl/>
        </w:rPr>
        <w:t>בְּאֶרֶץ מוֹאָב</w:t>
      </w:r>
      <w:r>
        <w:t xml:space="preserve">, </w:t>
      </w:r>
      <w:r>
        <w:rPr>
          <w:rStyle w:val="Fett"/>
          <w:rFonts w:eastAsiaTheme="majorEastAsia"/>
          <w:rtl/>
        </w:rPr>
        <w:t>מוּל</w:t>
      </w:r>
      <w:r>
        <w:t xml:space="preserve">, „gegenüber", </w:t>
      </w:r>
      <w:r>
        <w:rPr>
          <w:rStyle w:val="Fett"/>
          <w:rFonts w:eastAsiaTheme="majorEastAsia"/>
          <w:rtl/>
        </w:rPr>
        <w:t>בֵּית פְּעוֹר</w:t>
      </w:r>
      <w:r>
        <w:t xml:space="preserve">), </w:t>
      </w:r>
      <w:r>
        <w:rPr>
          <w:rStyle w:val="Fett"/>
          <w:rFonts w:eastAsiaTheme="majorEastAsia"/>
          <w:rtl/>
        </w:rPr>
        <w:t>וְלֹא־יָדַע אִישׁ אֶת־קְבֻרָתוֹ עַד הַיּוֹם הַזֶּה</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ידע</w:t>
      </w:r>
      <w:r>
        <w:t xml:space="preserve">, Qal Perfekt, 3. Person Maskulinum Singular, </w:t>
      </w:r>
      <w:r>
        <w:rPr>
          <w:rStyle w:val="Fett"/>
          <w:rFonts w:eastAsiaTheme="majorEastAsia"/>
          <w:rtl/>
        </w:rPr>
        <w:t>אִישׁ</w:t>
      </w:r>
      <w:r>
        <w:rPr>
          <w:rtl/>
        </w:rPr>
        <w:t xml:space="preserve"> </w:t>
      </w:r>
      <w:r>
        <w:t xml:space="preserve">als Subjekt, Objektpartikel </w:t>
      </w:r>
      <w:r>
        <w:rPr>
          <w:rStyle w:val="Fett"/>
          <w:rFonts w:eastAsiaTheme="majorEastAsia"/>
          <w:rtl/>
        </w:rPr>
        <w:t>אֵת</w:t>
      </w:r>
      <w:r>
        <w:rPr>
          <w:rtl/>
        </w:rPr>
        <w:t xml:space="preserve"> </w:t>
      </w:r>
      <w:r>
        <w:t xml:space="preserve">mit </w:t>
      </w:r>
      <w:r>
        <w:rPr>
          <w:rStyle w:val="Fett"/>
          <w:rFonts w:eastAsiaTheme="majorEastAsia"/>
          <w:rtl/>
        </w:rPr>
        <w:t>קְבוּרָה</w:t>
      </w:r>
      <w:r>
        <w:t xml:space="preserve">, „Grab, Begräbnis", mit Suffix, </w:t>
      </w:r>
      <w:r>
        <w:rPr>
          <w:rStyle w:val="Fett"/>
          <w:rFonts w:eastAsiaTheme="majorEastAsia"/>
          <w:rtl/>
        </w:rPr>
        <w:t>עַד הַיּוֹם הַזֶּה</w:t>
      </w:r>
      <w:r>
        <w:t>).</w:t>
      </w:r>
    </w:p>
    <w:p w14:paraId="1004EFA6" w14:textId="7F0BE329" w:rsidR="00EE5F59" w:rsidRDefault="00EE5F59" w:rsidP="00EE5F59">
      <w:pPr>
        <w:pStyle w:val="whitespace-normal"/>
      </w:pPr>
      <w:r>
        <w:t xml:space="preserve">Der Vers enthält ein doppeltes Geheimnis. Die beiden Aussagen: </w:t>
      </w:r>
      <w:r>
        <w:rPr>
          <w:rStyle w:val="Fett"/>
          <w:rFonts w:eastAsiaTheme="majorEastAsia"/>
          <w:rtl/>
        </w:rPr>
        <w:t>וַיִּקְבֹּר אֹתוֹ בַגַּי בְּאֶרֶץ מוֹאָב מוּל בֵּית פְּעוֹר וְלֹא־יָדַע אִישׁ אֶת־קְבֻרָתוֹ עַד הַיּוֹם הַזֶּה</w:t>
      </w:r>
      <w:r>
        <w:rPr>
          <w:rtl/>
        </w:rPr>
        <w:t xml:space="preserve"> </w:t>
      </w:r>
      <w:r>
        <w:t xml:space="preserve">(„und er begrub ihn im Tal im Land Moab, Beth-Peor gegenüber; und nicht weiß jemand sein Grab bis auf diesen Tag"). Das erste Geheimnis: Wer ist das Subjekt von </w:t>
      </w:r>
      <w:r>
        <w:rPr>
          <w:rStyle w:val="Fett"/>
          <w:rFonts w:eastAsiaTheme="majorEastAsia"/>
          <w:rtl/>
        </w:rPr>
        <w:t>וַיִּקְבֹּר</w:t>
      </w:r>
      <w:r>
        <w:rPr>
          <w:rtl/>
        </w:rPr>
        <w:t xml:space="preserve"> </w:t>
      </w:r>
      <w:r>
        <w:t xml:space="preserve">(„er begrub")? Die rabbinische Tradition sagt: Gott selbst begrub Mose (vgl. Sotah 14a; Sifre Deuteronomium 357). Die christliche Auslegung deutet das Subjekt manchmal als Josua oder als unbestimmtes „man". Der Ortsbezug </w:t>
      </w:r>
      <w:r>
        <w:rPr>
          <w:rStyle w:val="Fett"/>
          <w:rFonts w:eastAsiaTheme="majorEastAsia"/>
          <w:rtl/>
        </w:rPr>
        <w:t>מוּל בֵּית פְּעוֹר</w:t>
      </w:r>
      <w:r>
        <w:rPr>
          <w:rtl/>
        </w:rPr>
        <w:t xml:space="preserve"> </w:t>
      </w:r>
      <w:r>
        <w:t xml:space="preserve">(„Beth-Peor gegenüber") – vgl. 3,29; 4,46; Num 23,28; 25,1-5.18; 31,16; Jos 13,20; Hos 9,10; Ps 106,28 (Baal-Peor). Das zweite Geheimnis: </w:t>
      </w:r>
      <w:r>
        <w:rPr>
          <w:rStyle w:val="Fett"/>
          <w:rFonts w:eastAsiaTheme="majorEastAsia"/>
          <w:rtl/>
        </w:rPr>
        <w:t>וְלֹא־יָדַע אִישׁ אֶת־קְבֻרָתוֹ עַד הַיּוֹם הַזֶּה</w:t>
      </w:r>
      <w:r>
        <w:rPr>
          <w:rtl/>
        </w:rPr>
        <w:t xml:space="preserve"> </w:t>
      </w:r>
      <w:r>
        <w:t xml:space="preserve">(„und nicht weiß jemand sein Grab bis auf diesen Tag"). Die Formulierung </w:t>
      </w:r>
      <w:r>
        <w:rPr>
          <w:rStyle w:val="Fett"/>
          <w:rFonts w:eastAsiaTheme="majorEastAsia"/>
          <w:rtl/>
        </w:rPr>
        <w:t>עַד הַיּוֹם הַזֶּה</w:t>
      </w:r>
      <w:r>
        <w:rPr>
          <w:rtl/>
        </w:rPr>
        <w:t xml:space="preserve"> </w:t>
      </w:r>
      <w:r>
        <w:t xml:space="preserve">(„bis auf diesen Tag") kommt oft im Deuteronomium vor (vgl. 2,22; 3,14; 10,8; 11,4; 29,3.27; Jos 4,9; 5,9; 6,25; 7,26; 8,28-29; 9,27; 10,27; 13,13; 14,14; 15,63; 16,10; 23,8-9; Ri 1,21.26; 6,24; 10,4; 15,19; 18,12; </w:t>
      </w:r>
      <w:r w:rsidR="00664EB6">
        <w:t>1Sam</w:t>
      </w:r>
      <w:r>
        <w:t xml:space="preserve"> 5,5; 6,18; 27,6; 30,25; </w:t>
      </w:r>
      <w:r w:rsidR="00664EB6">
        <w:t>2Sam</w:t>
      </w:r>
      <w:r>
        <w:t xml:space="preserve"> 4,3; 6,8; </w:t>
      </w:r>
      <w:r w:rsidR="00664EB6">
        <w:t>1Kön</w:t>
      </w:r>
      <w:r>
        <w:t xml:space="preserve"> 8,8; 9,13.21; 12,19; </w:t>
      </w:r>
      <w:r w:rsidR="00664EB6">
        <w:t>2Kön</w:t>
      </w:r>
      <w:r>
        <w:t xml:space="preserve"> 2,22; 8,22; 10,27; 14,7; 16,6; 17,23.34.41; </w:t>
      </w:r>
      <w:r w:rsidR="00664EB6">
        <w:t>2Chr</w:t>
      </w:r>
      <w:r>
        <w:t xml:space="preserve"> 5,9; 10,19; 20,26; 21,10; 35,25; Jer 11,5; </w:t>
      </w:r>
      <w:r>
        <w:lastRenderedPageBreak/>
        <w:t>25,18; 32,20; 44,6.22-23). Der Zweck der Geheimhaltung: Verhinderung eines Mose-Kults oder Pilgerstätte (vgl. Jud 9, wo Michael und der Teufel um Moses Leib streiten).</w:t>
      </w:r>
    </w:p>
    <w:p w14:paraId="2F2BE5D2" w14:textId="225476E6" w:rsidR="00556D10" w:rsidRDefault="00556D10" w:rsidP="00EE5F59">
      <w:pPr>
        <w:pStyle w:val="whitespace-normal"/>
      </w:pPr>
      <w:r>
        <w:rPr>
          <w:rStyle w:val="Fett"/>
        </w:rPr>
        <w:t>Die LXX</w:t>
      </w:r>
      <w:r>
        <w:t xml:space="preserve"> hat </w:t>
      </w:r>
      <w:proofErr w:type="spellStart"/>
      <w:r>
        <w:t>ἔθ</w:t>
      </w:r>
      <w:proofErr w:type="spellEnd"/>
      <w:r>
        <w:t>αψαν α</w:t>
      </w:r>
      <w:proofErr w:type="spellStart"/>
      <w:r>
        <w:t>ὐτόν</w:t>
      </w:r>
      <w:proofErr w:type="spellEnd"/>
      <w:r>
        <w:t xml:space="preserve"> (sie begruben ihn) – Plural statt </w:t>
      </w:r>
      <w:r>
        <w:rPr>
          <w:rtl/>
        </w:rPr>
        <w:t>וַיִּקְבֹּר אֹתוֹ</w:t>
      </w:r>
      <w:r>
        <w:t xml:space="preserve"> (und er begrub ihn) – Singular im MT. Die Frage, wer das Subjekt ist, bleibt im MT ambig (Gott? anonyme Personen?). Die LXX macht daraus ein </w:t>
      </w:r>
      <w:proofErr w:type="spellStart"/>
      <w:r>
        <w:t>passivum</w:t>
      </w:r>
      <w:proofErr w:type="spellEnd"/>
      <w:r>
        <w:t xml:space="preserve"> </w:t>
      </w:r>
      <w:proofErr w:type="spellStart"/>
      <w:r>
        <w:t>divinum</w:t>
      </w:r>
      <w:proofErr w:type="spellEnd"/>
      <w:r>
        <w:t xml:space="preserve"> oder versteht es als indefinites Plural-Subjekt. Der Ortsname </w:t>
      </w:r>
      <w:r>
        <w:rPr>
          <w:rtl/>
        </w:rPr>
        <w:t>בֵּית פְּעוֹר</w:t>
      </w:r>
      <w:r>
        <w:t xml:space="preserve"> wird mit </w:t>
      </w:r>
      <w:proofErr w:type="spellStart"/>
      <w:r>
        <w:t>οἴκου</w:t>
      </w:r>
      <w:proofErr w:type="spellEnd"/>
      <w:r>
        <w:t xml:space="preserve"> </w:t>
      </w:r>
      <w:proofErr w:type="spellStart"/>
      <w:r>
        <w:t>Φογώρ</w:t>
      </w:r>
      <w:proofErr w:type="spellEnd"/>
      <w:r>
        <w:t xml:space="preserve"> gräzisiert.</w:t>
      </w:r>
    </w:p>
    <w:p w14:paraId="286A69EE" w14:textId="77777777" w:rsidR="00EE5F59" w:rsidRDefault="00EE5F59" w:rsidP="00EE5F59">
      <w:pPr>
        <w:pStyle w:val="whitespace-normal"/>
      </w:pPr>
      <w:r>
        <w:rPr>
          <w:rStyle w:val="Fett"/>
          <w:rFonts w:eastAsiaTheme="majorEastAsia"/>
        </w:rPr>
        <w:t>Die Satzstruktur:</w:t>
      </w:r>
      <w:r>
        <w:t xml:space="preserve"> Zwei Aussagen (und er begrub ihn im Tal im Land Moab, Beth-Peor gegenüber; und nicht weiß jemand sein Grab bis auf diesen Tag).</w:t>
      </w:r>
    </w:p>
    <w:p w14:paraId="4E064750" w14:textId="7C1259DD" w:rsidR="00EE5F59" w:rsidRDefault="00EE5F59" w:rsidP="00B77CC6">
      <w:pPr>
        <w:pStyle w:val="whitespace-normal"/>
      </w:pPr>
      <w:r>
        <w:rPr>
          <w:rStyle w:val="Fett"/>
          <w:rFonts w:eastAsiaTheme="majorEastAsia"/>
        </w:rPr>
        <w:t>Der Vers beschreibt:</w:t>
      </w:r>
      <w:r>
        <w:t xml:space="preserve"> Geheimnis – jemand (Gott?) begrub Mose, niemand kennt sein Grab bis heute.</w:t>
      </w:r>
    </w:p>
    <w:p w14:paraId="61EAA605" w14:textId="77777777" w:rsidR="00EE5F59" w:rsidRPr="00257FCB" w:rsidRDefault="00EE5F59" w:rsidP="00EE5F59">
      <w:pPr>
        <w:pStyle w:val="berschrift1"/>
        <w:rPr>
          <w:rFonts w:ascii="Times New Roman" w:hAnsi="Times New Roman"/>
          <w:color w:val="auto"/>
          <w:sz w:val="36"/>
          <w:szCs w:val="36"/>
        </w:rPr>
      </w:pPr>
      <w:r w:rsidRPr="00257FCB">
        <w:rPr>
          <w:rStyle w:val="Fett"/>
          <w:rFonts w:ascii="Times New Roman" w:hAnsi="Times New Roman"/>
          <w:color w:val="auto"/>
          <w:sz w:val="36"/>
          <w:szCs w:val="36"/>
        </w:rPr>
        <w:t>Deuteronomium 34,7</w:t>
      </w:r>
    </w:p>
    <w:p w14:paraId="01F0057B" w14:textId="77777777" w:rsidR="00EE5F59" w:rsidRDefault="00EE5F59" w:rsidP="00EE5F59">
      <w:pPr>
        <w:pStyle w:val="whitespace-normal"/>
      </w:pPr>
      <w:r>
        <w:rPr>
          <w:rStyle w:val="Fett"/>
          <w:rFonts w:eastAsiaTheme="majorEastAsia"/>
        </w:rPr>
        <w:t>Hebräisch:</w:t>
      </w:r>
      <w:r>
        <w:t xml:space="preserve"> </w:t>
      </w:r>
      <w:r>
        <w:rPr>
          <w:rtl/>
        </w:rPr>
        <w:t>וּמֹשֶׁה בֶּן־מֵאָה וְעֶשְׂרִים שָׁנָה בְּמֹתוֹ לֹא־כָהֲתָה עֵינוֹ וְלֹא־נָס לֵחֹה׃</w:t>
      </w:r>
    </w:p>
    <w:p w14:paraId="700EF63B" w14:textId="77777777" w:rsidR="00EE5F59" w:rsidRDefault="00EE5F59" w:rsidP="00EE5F59">
      <w:pPr>
        <w:pStyle w:val="whitespace-normal"/>
      </w:pPr>
      <w:r>
        <w:rPr>
          <w:rStyle w:val="Fett"/>
          <w:rFonts w:eastAsiaTheme="majorEastAsia"/>
        </w:rPr>
        <w:t>Deutsch:</w:t>
      </w:r>
      <w:r>
        <w:t xml:space="preserve"> Und Mosche war 120 Jahre alt, als er starb; sein Auge war nicht schwach geworden, und seine Frische war nicht geschwunden.</w:t>
      </w:r>
    </w:p>
    <w:p w14:paraId="09091845" w14:textId="77777777" w:rsidR="00EE5F59" w:rsidRDefault="004F5CEB" w:rsidP="00EE5F59">
      <w:r>
        <w:rPr>
          <w:noProof/>
        </w:rPr>
        <w:pict w14:anchorId="27D1784F">
          <v:rect id="_x0000_i1926" style="width:0;height:1.5pt" o:hralign="center" o:hrstd="t" o:hr="t" fillcolor="#a0a0a0" stroked="f"/>
        </w:pict>
      </w:r>
    </w:p>
    <w:p w14:paraId="3CF4C996" w14:textId="77777777" w:rsidR="00EE5F59" w:rsidRDefault="00EE5F59" w:rsidP="00EE5F59">
      <w:pPr>
        <w:pStyle w:val="whitespace-normal"/>
      </w:pPr>
      <w:r>
        <w:rPr>
          <w:rStyle w:val="Fett"/>
          <w:rFonts w:eastAsiaTheme="majorEastAsia"/>
        </w:rPr>
        <w:t>Kommentar:</w:t>
      </w:r>
      <w:r>
        <w:t xml:space="preserve"> </w:t>
      </w:r>
      <w:r>
        <w:rPr>
          <w:rStyle w:val="Fett"/>
          <w:rFonts w:eastAsiaTheme="majorEastAsia"/>
          <w:rtl/>
        </w:rPr>
        <w:t>וּמֹשֶׁה בֶּן־מֵאָה וְעֶשְׂרִים שָׁנָה בְּמֹתוֹ לֹא־כָהֲתָה עֵינוֹ וְלֹא־נָס לֵחֹה</w:t>
      </w:r>
      <w:r>
        <w:rPr>
          <w:rtl/>
        </w:rPr>
        <w:t xml:space="preserve"> </w:t>
      </w:r>
      <w:r>
        <w:t xml:space="preserve">sind drei Aussagen: </w:t>
      </w:r>
      <w:r>
        <w:rPr>
          <w:rStyle w:val="Fett"/>
          <w:rFonts w:eastAsiaTheme="majorEastAsia"/>
          <w:rtl/>
        </w:rPr>
        <w:t>וּמֹשֶׁה בֶּן־מֵאָה וְעֶשְׂרִים שָׁנָה בְּמֹתוֹ</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מֹשֶׁה</w:t>
      </w:r>
      <w:r>
        <w:t xml:space="preserve">, </w:t>
      </w:r>
      <w:r>
        <w:rPr>
          <w:rStyle w:val="Fett"/>
          <w:rFonts w:eastAsiaTheme="majorEastAsia"/>
          <w:rtl/>
        </w:rPr>
        <w:t>בֶּן־מֵאָה וְעֶשְׂרִים שָׁנָה</w:t>
      </w:r>
      <w:r>
        <w:t xml:space="preserve">, Temporalsatz: </w:t>
      </w:r>
      <w:r>
        <w:rPr>
          <w:rStyle w:val="Fett"/>
          <w:rFonts w:eastAsiaTheme="majorEastAsia"/>
          <w:rtl/>
        </w:rPr>
        <w:t>בְּמוֹת</w:t>
      </w:r>
      <w:r>
        <w:rPr>
          <w:rtl/>
        </w:rPr>
        <w:t xml:space="preserve"> </w:t>
      </w:r>
      <w:r>
        <w:t xml:space="preserve">mit Suffix), </w:t>
      </w:r>
      <w:r>
        <w:rPr>
          <w:rStyle w:val="Fett"/>
          <w:rFonts w:eastAsiaTheme="majorEastAsia"/>
          <w:rtl/>
        </w:rPr>
        <w:t>לֹא־כָהֲתָה עֵינוֹ</w:t>
      </w:r>
      <w:r>
        <w:rPr>
          <w:rtl/>
        </w:rPr>
        <w:t xml:space="preserve"> </w:t>
      </w:r>
      <w:r>
        <w:t xml:space="preserve">(Negation, </w:t>
      </w:r>
      <w:r>
        <w:rPr>
          <w:rStyle w:val="Fett"/>
          <w:rFonts w:eastAsiaTheme="majorEastAsia"/>
          <w:rtl/>
        </w:rPr>
        <w:t>כהה</w:t>
      </w:r>
      <w:r>
        <w:t xml:space="preserve">, Qal Perfekt, 3. Person Femininum Singular, „schwach werden, trübe werden", </w:t>
      </w:r>
      <w:r>
        <w:rPr>
          <w:rStyle w:val="Fett"/>
          <w:rFonts w:eastAsiaTheme="majorEastAsia"/>
          <w:rtl/>
        </w:rPr>
        <w:t>עַיִן</w:t>
      </w:r>
      <w:r>
        <w:rPr>
          <w:rtl/>
        </w:rPr>
        <w:t xml:space="preserve"> </w:t>
      </w:r>
      <w:r>
        <w:t xml:space="preserve">mit Suffix als Subjekt), </w:t>
      </w:r>
      <w:r>
        <w:rPr>
          <w:rStyle w:val="Fett"/>
          <w:rFonts w:eastAsiaTheme="majorEastAsia"/>
          <w:rtl/>
        </w:rPr>
        <w:t>וְלֹא־נָס לֵחֹה</w:t>
      </w:r>
      <w:r>
        <w:rPr>
          <w:rtl/>
        </w:rPr>
        <w:t xml:space="preserve"> </w:t>
      </w:r>
      <w:r>
        <w:t xml:space="preserve">(koordiniert durch </w:t>
      </w:r>
      <w:r>
        <w:rPr>
          <w:rStyle w:val="Fett"/>
          <w:rFonts w:eastAsiaTheme="majorEastAsia"/>
          <w:rtl/>
        </w:rPr>
        <w:t>וְ</w:t>
      </w:r>
      <w:r>
        <w:rPr>
          <w:rtl/>
        </w:rPr>
        <w:t xml:space="preserve"> </w:t>
      </w:r>
      <w:r>
        <w:t xml:space="preserve">mit Negation, </w:t>
      </w:r>
      <w:r>
        <w:rPr>
          <w:rStyle w:val="Fett"/>
          <w:rFonts w:eastAsiaTheme="majorEastAsia"/>
          <w:rtl/>
        </w:rPr>
        <w:t>נוס</w:t>
      </w:r>
      <w:r>
        <w:t xml:space="preserve">, Qal Perfekt, 3. Person Maskulinum Singular, „fliehen, schwinden", </w:t>
      </w:r>
      <w:r>
        <w:rPr>
          <w:rStyle w:val="Fett"/>
          <w:rFonts w:eastAsiaTheme="majorEastAsia"/>
          <w:rtl/>
        </w:rPr>
        <w:t>לֵחַ</w:t>
      </w:r>
      <w:r>
        <w:t>, „Frische, Lebenskraft, Feuchtigkeit", mit Suffix als Subjekt).</w:t>
      </w:r>
    </w:p>
    <w:p w14:paraId="15E65404" w14:textId="2B97A674" w:rsidR="00EE5F59" w:rsidRDefault="00EE5F59" w:rsidP="00EE5F59">
      <w:pPr>
        <w:pStyle w:val="whitespace-normal"/>
      </w:pPr>
      <w:r>
        <w:t xml:space="preserve">Der Vers beschreibt Moses bemerkenswerte Vitalität bis zuletzt. Die drei Aussagen: </w:t>
      </w:r>
      <w:r>
        <w:rPr>
          <w:rStyle w:val="Fett"/>
          <w:rFonts w:eastAsiaTheme="majorEastAsia"/>
          <w:rtl/>
        </w:rPr>
        <w:t>וּמֹשֶׁה בֶּן־מֵאָה וְעֶשְׂרִים שָׁנָה בְּמֹתוֹ לֹא־כָהֲתָה עֵינוֹ וְלֹא־נָס לֵחֹה</w:t>
      </w:r>
      <w:r>
        <w:rPr>
          <w:rtl/>
        </w:rPr>
        <w:t xml:space="preserve"> </w:t>
      </w:r>
      <w:r>
        <w:t xml:space="preserve">(„und Mosche war Sohn von 120 Jahren bei seinem Tod; nicht war schwach geworden sein Auge, und nicht geschwunden seine Frische"). Das Alter 120 Jahre ist symbolisch perfekt – drei Perioden von je 40 Jahren: (1) 0-40 Jahre in Ägypten (Apg 7,23), (2) 40-80 Jahre in Midian (Ex 7,7; Apg 7,30), (3) 80-120 Jahre als Führer Israels. Die Zahl 120 wurde später zur idealen Lebensdauer (vgl. Gen 6,3; </w:t>
      </w:r>
      <w:r w:rsidR="00664EB6">
        <w:t>1Chr</w:t>
      </w:r>
      <w:r>
        <w:t xml:space="preserve"> 23,1; </w:t>
      </w:r>
      <w:r w:rsidR="00664EB6">
        <w:t>2Chr</w:t>
      </w:r>
      <w:r>
        <w:t xml:space="preserve"> 24,15). Die beiden negativen Aussagen betonen Moses unveränderte Kraft: </w:t>
      </w:r>
      <w:r>
        <w:rPr>
          <w:rStyle w:val="Fett"/>
          <w:rFonts w:eastAsiaTheme="majorEastAsia"/>
          <w:rtl/>
        </w:rPr>
        <w:t>לֹא־כָהֲתָה עֵינוֹ</w:t>
      </w:r>
      <w:r>
        <w:rPr>
          <w:rtl/>
        </w:rPr>
        <w:t xml:space="preserve"> </w:t>
      </w:r>
      <w:r>
        <w:t xml:space="preserve">(„nicht war schwach geworden sein Auge") – scharfes Sehen bis zuletzt (Gegensatz: Gen 27,1; 48,10; </w:t>
      </w:r>
      <w:r w:rsidR="00664EB6">
        <w:t>1Sam</w:t>
      </w:r>
      <w:r>
        <w:t xml:space="preserve"> 3,2; 4,15; </w:t>
      </w:r>
      <w:r w:rsidR="00664EB6">
        <w:t>1Kön</w:t>
      </w:r>
      <w:r>
        <w:t xml:space="preserve"> 14,4; Ps 69,24; Sach 11,17), </w:t>
      </w:r>
      <w:r>
        <w:rPr>
          <w:rStyle w:val="Fett"/>
          <w:rFonts w:eastAsiaTheme="majorEastAsia"/>
          <w:rtl/>
        </w:rPr>
        <w:t>וְלֹא־נָס לֵחֹה</w:t>
      </w:r>
      <w:r>
        <w:rPr>
          <w:rtl/>
        </w:rPr>
        <w:t xml:space="preserve"> </w:t>
      </w:r>
      <w:r>
        <w:t xml:space="preserve">(„und nicht geschwunden seine Frische") – volle Lebenskraft (der Begriff </w:t>
      </w:r>
      <w:r>
        <w:rPr>
          <w:rStyle w:val="Fett"/>
          <w:rFonts w:eastAsiaTheme="majorEastAsia"/>
          <w:rtl/>
        </w:rPr>
        <w:t>לֵחַ</w:t>
      </w:r>
      <w:r>
        <w:rPr>
          <w:rtl/>
        </w:rPr>
        <w:t xml:space="preserve"> </w:t>
      </w:r>
      <w:r>
        <w:t>bedeutet wörtlich „Feuchtigkeit, Saft" und metaphorisch „Frische, Vitalität"; vgl. Num 11,8; Ri 16,7-8; Hiob 8,16; Ps 32,4; 73,4).</w:t>
      </w:r>
    </w:p>
    <w:p w14:paraId="539E507B" w14:textId="7E441C34" w:rsidR="00556D10" w:rsidRDefault="00556D10" w:rsidP="00EE5F59">
      <w:pPr>
        <w:pStyle w:val="whitespace-normal"/>
      </w:pPr>
      <w:r>
        <w:rPr>
          <w:rStyle w:val="Fett"/>
        </w:rPr>
        <w:t>Die LXX</w:t>
      </w:r>
      <w:r>
        <w:t xml:space="preserve"> übersetzt </w:t>
      </w:r>
      <w:r>
        <w:rPr>
          <w:rtl/>
        </w:rPr>
        <w:t>לֹא־כָהֲתָה עֵינוֹ</w:t>
      </w:r>
      <w:r>
        <w:t xml:space="preserve"> (sein Auge wurde nicht trübe) mit </w:t>
      </w:r>
      <w:proofErr w:type="spellStart"/>
      <w:r>
        <w:t>οὐκ</w:t>
      </w:r>
      <w:proofErr w:type="spellEnd"/>
      <w:r>
        <w:t xml:space="preserve"> </w:t>
      </w:r>
      <w:proofErr w:type="spellStart"/>
      <w:r>
        <w:t>ἠμ</w:t>
      </w:r>
      <w:proofErr w:type="spellEnd"/>
      <w:r>
        <w:t xml:space="preserve">αυρώθησαν </w:t>
      </w:r>
      <w:proofErr w:type="spellStart"/>
      <w:r>
        <w:t>οἱ</w:t>
      </w:r>
      <w:proofErr w:type="spellEnd"/>
      <w:r>
        <w:t xml:space="preserve"> </w:t>
      </w:r>
      <w:proofErr w:type="spellStart"/>
      <w:r>
        <w:t>ὀφθ</w:t>
      </w:r>
      <w:proofErr w:type="spellEnd"/>
      <w:r>
        <w:t>αλμοὶ α</w:t>
      </w:r>
      <w:proofErr w:type="spellStart"/>
      <w:r>
        <w:t>ὐτοῦ</w:t>
      </w:r>
      <w:proofErr w:type="spellEnd"/>
      <w:r>
        <w:t xml:space="preserve"> (seine Augen wurden nicht verdunkelt) – wobei </w:t>
      </w:r>
      <w:proofErr w:type="spellStart"/>
      <w:r>
        <w:t>ἀμ</w:t>
      </w:r>
      <w:proofErr w:type="spellEnd"/>
      <w:r>
        <w:t xml:space="preserve">αυρόω "verdunkeln, trüben" bedeutet. Das Wort </w:t>
      </w:r>
      <w:r>
        <w:rPr>
          <w:rtl/>
        </w:rPr>
        <w:t>לֵחֹה</w:t>
      </w:r>
      <w:r>
        <w:t xml:space="preserve"> (Frische, Kraft) wird mit </w:t>
      </w:r>
      <w:proofErr w:type="spellStart"/>
      <w:r>
        <w:t>ἐφθάρησ</w:t>
      </w:r>
      <w:proofErr w:type="spellEnd"/>
      <w:r>
        <w:t xml:space="preserve">αν (wurden verdorben/zerstört) übersetzt – das Verb </w:t>
      </w:r>
      <w:proofErr w:type="spellStart"/>
      <w:r>
        <w:t>φθείρω</w:t>
      </w:r>
      <w:proofErr w:type="spellEnd"/>
      <w:r>
        <w:t xml:space="preserve"> bedeutet "verderben, zerstören, schwächen".</w:t>
      </w:r>
    </w:p>
    <w:p w14:paraId="4031CCBC" w14:textId="77777777" w:rsidR="00EE5F59" w:rsidRDefault="00EE5F59" w:rsidP="00EE5F59">
      <w:pPr>
        <w:pStyle w:val="whitespace-normal"/>
      </w:pPr>
      <w:r>
        <w:rPr>
          <w:rStyle w:val="Fett"/>
          <w:rFonts w:eastAsiaTheme="majorEastAsia"/>
        </w:rPr>
        <w:lastRenderedPageBreak/>
        <w:t>Die Satzstruktur:</w:t>
      </w:r>
      <w:r>
        <w:t xml:space="preserve"> Drei Aussagen (und Mosche war Sohn von 120 Jahren bei seinem Tod; nicht war schwach geworden sein Auge, und nicht geschwunden seine Frische).</w:t>
      </w:r>
    </w:p>
    <w:p w14:paraId="6C5C23DD" w14:textId="2E0FEF93" w:rsidR="00EE5F59" w:rsidRDefault="00EE5F59" w:rsidP="00B77CC6">
      <w:pPr>
        <w:pStyle w:val="whitespace-normal"/>
      </w:pPr>
      <w:r>
        <w:rPr>
          <w:rStyle w:val="Fett"/>
          <w:rFonts w:eastAsiaTheme="majorEastAsia"/>
        </w:rPr>
        <w:t>Der Vers beschreibt:</w:t>
      </w:r>
      <w:r>
        <w:t xml:space="preserve"> Moses Vitalität – 120 Jahre alt, aber Augen und Kraft ungeschwächt bis zuletzt.</w:t>
      </w:r>
    </w:p>
    <w:p w14:paraId="25D8B4E5" w14:textId="77777777" w:rsidR="00EE5F59" w:rsidRPr="00257FCB" w:rsidRDefault="00EE5F59" w:rsidP="00EE5F59">
      <w:pPr>
        <w:pStyle w:val="berschrift1"/>
        <w:rPr>
          <w:rFonts w:ascii="Times New Roman" w:hAnsi="Times New Roman"/>
          <w:color w:val="auto"/>
          <w:sz w:val="36"/>
          <w:szCs w:val="36"/>
        </w:rPr>
      </w:pPr>
      <w:r w:rsidRPr="00257FCB">
        <w:rPr>
          <w:rStyle w:val="Fett"/>
          <w:rFonts w:ascii="Times New Roman" w:hAnsi="Times New Roman"/>
          <w:color w:val="auto"/>
          <w:sz w:val="36"/>
          <w:szCs w:val="36"/>
        </w:rPr>
        <w:t>Deuteronomium 34,8</w:t>
      </w:r>
    </w:p>
    <w:p w14:paraId="05A08658" w14:textId="77777777" w:rsidR="00EE5F59" w:rsidRDefault="00EE5F59" w:rsidP="00EE5F59">
      <w:pPr>
        <w:pStyle w:val="whitespace-normal"/>
      </w:pPr>
      <w:r>
        <w:rPr>
          <w:rStyle w:val="Fett"/>
          <w:rFonts w:eastAsiaTheme="majorEastAsia"/>
        </w:rPr>
        <w:t>Hebräisch:</w:t>
      </w:r>
      <w:r>
        <w:t xml:space="preserve"> </w:t>
      </w:r>
      <w:r>
        <w:rPr>
          <w:rtl/>
        </w:rPr>
        <w:t>וַיִּבְכּוּ בְנֵי יִשְׂרָאֵל אֶת־מֹשֶׁה בְּעַרְבֹת מוֹאָב שְׁלֹשִׁים יוֹם וַיִּתְּמוּ יְמֵי בְכִי אֵבֶל מֹשֶׁה׃</w:t>
      </w:r>
    </w:p>
    <w:p w14:paraId="7A4E8694" w14:textId="77777777" w:rsidR="00EE5F59" w:rsidRDefault="00EE5F59" w:rsidP="00EE5F59">
      <w:pPr>
        <w:pStyle w:val="whitespace-normal"/>
      </w:pPr>
      <w:r>
        <w:rPr>
          <w:rStyle w:val="Fett"/>
          <w:rFonts w:eastAsiaTheme="majorEastAsia"/>
        </w:rPr>
        <w:t>Deutsch:</w:t>
      </w:r>
      <w:r>
        <w:t xml:space="preserve"> Und die Kinder Israels beweinten Mosche in den Steppen Moabs 30 Tage lang; und die Tage des Weinens der Trauer um Mosche wurden vollendet.</w:t>
      </w:r>
    </w:p>
    <w:p w14:paraId="318DC6D7" w14:textId="77777777" w:rsidR="00EE5F59" w:rsidRDefault="004F5CEB" w:rsidP="00EE5F59">
      <w:r>
        <w:rPr>
          <w:noProof/>
        </w:rPr>
        <w:pict w14:anchorId="0D237500">
          <v:rect id="_x0000_i1927" style="width:0;height:1.5pt" o:hralign="center" o:hrstd="t" o:hr="t" fillcolor="#a0a0a0" stroked="f"/>
        </w:pict>
      </w:r>
    </w:p>
    <w:p w14:paraId="2711EF50" w14:textId="77777777" w:rsidR="00EE5F59" w:rsidRDefault="00EE5F59" w:rsidP="00EE5F59">
      <w:pPr>
        <w:pStyle w:val="whitespace-normal"/>
      </w:pPr>
      <w:r>
        <w:rPr>
          <w:rStyle w:val="Fett"/>
          <w:rFonts w:eastAsiaTheme="majorEastAsia"/>
        </w:rPr>
        <w:t>Kommentar:</w:t>
      </w:r>
      <w:r>
        <w:t xml:space="preserve"> </w:t>
      </w:r>
      <w:r>
        <w:rPr>
          <w:rStyle w:val="Fett"/>
          <w:rFonts w:eastAsiaTheme="majorEastAsia"/>
          <w:rtl/>
        </w:rPr>
        <w:t>וַיִּבְכּוּ בְנֵי יִשְׂרָאֵל אֶת־מֹשֶׁה בְּעַרְבֹת מוֹאָב שְׁלֹשִׁים יוֹם וַיִּתְּמוּ יְמֵי בְכִי אֵבֶל מֹשֶׁה</w:t>
      </w:r>
      <w:r>
        <w:rPr>
          <w:rtl/>
        </w:rPr>
        <w:t xml:space="preserve"> </w:t>
      </w:r>
      <w:r>
        <w:t xml:space="preserve">sind zwei Aussagen: </w:t>
      </w:r>
      <w:r>
        <w:rPr>
          <w:rStyle w:val="Fett"/>
          <w:rFonts w:eastAsiaTheme="majorEastAsia"/>
          <w:rtl/>
        </w:rPr>
        <w:t>וַיִּבְכּוּ בְנֵי יִשְׂרָאֵל אֶת־מֹשֶׁה בְּעַרְבֹת מוֹאָב שְׁלֹשִׁים יוֹם</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בכה</w:t>
      </w:r>
      <w:r>
        <w:t xml:space="preserve">, Qal Imperfekt mit </w:t>
      </w:r>
      <w:r>
        <w:rPr>
          <w:rStyle w:val="Fett"/>
          <w:rFonts w:eastAsiaTheme="majorEastAsia"/>
        </w:rPr>
        <w:t>Waw</w:t>
      </w:r>
      <w:r>
        <w:t xml:space="preserve"> consecutivum, 3. Person Plural, </w:t>
      </w:r>
      <w:r>
        <w:rPr>
          <w:rStyle w:val="Fett"/>
          <w:rFonts w:eastAsiaTheme="majorEastAsia"/>
          <w:rtl/>
        </w:rPr>
        <w:t>בְּנֵי יִשְׂרָאֵל</w:t>
      </w:r>
      <w:r>
        <w:rPr>
          <w:rtl/>
        </w:rPr>
        <w:t xml:space="preserve"> </w:t>
      </w:r>
      <w:r>
        <w:t xml:space="preserve">als Subjekt, Objektpartikel </w:t>
      </w:r>
      <w:r>
        <w:rPr>
          <w:rStyle w:val="Fett"/>
          <w:rFonts w:eastAsiaTheme="majorEastAsia"/>
          <w:rtl/>
        </w:rPr>
        <w:t>אֶת</w:t>
      </w:r>
      <w:r>
        <w:rPr>
          <w:rtl/>
        </w:rPr>
        <w:t xml:space="preserve"> </w:t>
      </w:r>
      <w:r>
        <w:t xml:space="preserve">mit </w:t>
      </w:r>
      <w:r>
        <w:rPr>
          <w:rStyle w:val="Fett"/>
          <w:rFonts w:eastAsiaTheme="majorEastAsia"/>
          <w:rtl/>
        </w:rPr>
        <w:t>מֹשֶׁה</w:t>
      </w:r>
      <w:r>
        <w:t xml:space="preserve">, </w:t>
      </w:r>
      <w:r>
        <w:rPr>
          <w:rStyle w:val="Fett"/>
          <w:rFonts w:eastAsiaTheme="majorEastAsia"/>
          <w:rtl/>
        </w:rPr>
        <w:t>בְּעַרְבֹת מוֹאָב</w:t>
      </w:r>
      <w:r>
        <w:t xml:space="preserve">, </w:t>
      </w:r>
      <w:r>
        <w:rPr>
          <w:rStyle w:val="Fett"/>
          <w:rFonts w:eastAsiaTheme="majorEastAsia"/>
          <w:rtl/>
        </w:rPr>
        <w:t>שְׁלֹשִׁים יוֹם</w:t>
      </w:r>
      <w:r>
        <w:t xml:space="preserve">), </w:t>
      </w:r>
      <w:r>
        <w:rPr>
          <w:rStyle w:val="Fett"/>
          <w:rFonts w:eastAsiaTheme="majorEastAsia"/>
          <w:rtl/>
        </w:rPr>
        <w:t>וַיִּתְּמוּ יְמֵי בְכִי אֵבֶל מֹשֶׁה</w:t>
      </w:r>
      <w:r>
        <w:rPr>
          <w:rtl/>
        </w:rPr>
        <w:t xml:space="preserve"> </w:t>
      </w:r>
      <w:r>
        <w:t xml:space="preserve">(koordiniert durch </w:t>
      </w:r>
      <w:r>
        <w:rPr>
          <w:rStyle w:val="Fett"/>
          <w:rFonts w:eastAsiaTheme="majorEastAsia"/>
          <w:rtl/>
        </w:rPr>
        <w:t>וְ</w:t>
      </w:r>
      <w:r>
        <w:rPr>
          <w:rtl/>
        </w:rPr>
        <w:t xml:space="preserve"> </w:t>
      </w:r>
      <w:r>
        <w:t xml:space="preserve">mit </w:t>
      </w:r>
      <w:r>
        <w:rPr>
          <w:rStyle w:val="Fett"/>
          <w:rFonts w:eastAsiaTheme="majorEastAsia"/>
          <w:rtl/>
        </w:rPr>
        <w:t>תמם</w:t>
      </w:r>
      <w:r>
        <w:t xml:space="preserve">, Qal Imperfekt mit </w:t>
      </w:r>
      <w:r>
        <w:rPr>
          <w:rStyle w:val="Fett"/>
          <w:rFonts w:eastAsiaTheme="majorEastAsia"/>
        </w:rPr>
        <w:t>Waw</w:t>
      </w:r>
      <w:r>
        <w:t xml:space="preserve"> consecutivum, 3. Person Plural, </w:t>
      </w:r>
      <w:r>
        <w:rPr>
          <w:rStyle w:val="Fett"/>
          <w:rFonts w:eastAsiaTheme="majorEastAsia"/>
          <w:rtl/>
        </w:rPr>
        <w:t>יוֹם</w:t>
      </w:r>
      <w:r>
        <w:t xml:space="preserve">, „Tage", Plural Construct mit </w:t>
      </w:r>
      <w:r>
        <w:rPr>
          <w:rStyle w:val="Fett"/>
          <w:rFonts w:eastAsiaTheme="majorEastAsia"/>
          <w:rtl/>
        </w:rPr>
        <w:t>בְּכִי</w:t>
      </w:r>
      <w:r>
        <w:t xml:space="preserve">, „Weinen", Apposition: </w:t>
      </w:r>
      <w:r>
        <w:rPr>
          <w:rStyle w:val="Fett"/>
          <w:rFonts w:eastAsiaTheme="majorEastAsia"/>
          <w:rtl/>
        </w:rPr>
        <w:t>אֵבֶל מֹשֶׁה</w:t>
      </w:r>
      <w:r>
        <w:t>, „Trauer um Mosche", als Subjekt).</w:t>
      </w:r>
    </w:p>
    <w:p w14:paraId="7616954B" w14:textId="0E5703CD" w:rsidR="00EE5F59" w:rsidRDefault="00EE5F59" w:rsidP="00EE5F59">
      <w:pPr>
        <w:pStyle w:val="whitespace-normal"/>
      </w:pPr>
      <w:r>
        <w:t xml:space="preserve">Der Vers beschreibt die offizielle Trauerzeit. Die beiden Aussagen: </w:t>
      </w:r>
      <w:r>
        <w:rPr>
          <w:rStyle w:val="Fett"/>
          <w:rFonts w:eastAsiaTheme="majorEastAsia"/>
          <w:rtl/>
        </w:rPr>
        <w:t>וַיִּבְכּוּ בְנֵי יִשְׂרָאֵל אֶת־מֹשֶׁה בְּעַרְבֹת מוֹאָב שְׁלֹשִׁים יוֹם וַיִּתְּמוּ יְמֵי בְכִי אֵבֶל מֹשֶׁה</w:t>
      </w:r>
      <w:r>
        <w:rPr>
          <w:rtl/>
        </w:rPr>
        <w:t xml:space="preserve"> </w:t>
      </w:r>
      <w:r>
        <w:t xml:space="preserve">(„und die Kinder Israels beweinten Mosche in den Steppen Moabs 30 Tage; und vollendet wurden die Tage des Weinens der Trauer um Mosche"). Die Trauerzeit von </w:t>
      </w:r>
      <w:r>
        <w:rPr>
          <w:rStyle w:val="Fett"/>
          <w:rFonts w:eastAsiaTheme="majorEastAsia"/>
          <w:rtl/>
        </w:rPr>
        <w:t>שְׁלֹשִׁים יוֹם</w:t>
      </w:r>
      <w:r>
        <w:rPr>
          <w:rtl/>
        </w:rPr>
        <w:t xml:space="preserve"> </w:t>
      </w:r>
      <w:r>
        <w:t xml:space="preserve">(„30 Tage") entspricht der Trauer um Aaron (Num 20,29), die offizielle Trauerzeit für hohe Führer (vgl. Gen 50,3.10 – 70 bzw. 7 Tage für Jakob; </w:t>
      </w:r>
      <w:r w:rsidR="00664EB6">
        <w:t>1Sam</w:t>
      </w:r>
      <w:r>
        <w:t xml:space="preserve"> 31,13; </w:t>
      </w:r>
      <w:r w:rsidR="00664EB6">
        <w:t>1Chr</w:t>
      </w:r>
      <w:r>
        <w:t xml:space="preserve"> 10,12 – 7 Tage für Saul; später wurde die jüdische Trauerpraxis </w:t>
      </w:r>
      <w:r>
        <w:rPr>
          <w:rStyle w:val="Fett"/>
          <w:rFonts w:eastAsiaTheme="majorEastAsia"/>
          <w:rtl/>
        </w:rPr>
        <w:t>שְׁלֹשִׁים</w:t>
      </w:r>
      <w:r>
        <w:rPr>
          <w:rtl/>
        </w:rPr>
        <w:t xml:space="preserve"> </w:t>
      </w:r>
      <w:r>
        <w:t xml:space="preserve">(„dreißig") genannt). Die Formulierung </w:t>
      </w:r>
      <w:r>
        <w:rPr>
          <w:rStyle w:val="Fett"/>
          <w:rFonts w:eastAsiaTheme="majorEastAsia"/>
          <w:rtl/>
        </w:rPr>
        <w:t>וַיִּתְּמוּ יְמֵי בְכִי אֵבֶל מֹשֶׁה</w:t>
      </w:r>
      <w:r>
        <w:rPr>
          <w:rtl/>
        </w:rPr>
        <w:t xml:space="preserve"> </w:t>
      </w:r>
      <w:r>
        <w:t>(„und vollendet wurden die Tage des Weinens der Trauer um Mosche") markiert das Ende der formellen Trauerperiode.</w:t>
      </w:r>
    </w:p>
    <w:p w14:paraId="2192660B" w14:textId="5111DC7A" w:rsidR="00556D10" w:rsidRDefault="00556D10" w:rsidP="00EE5F59">
      <w:pPr>
        <w:pStyle w:val="whitespace-normal"/>
      </w:pPr>
      <w:r>
        <w:rPr>
          <w:rStyle w:val="Fett"/>
        </w:rPr>
        <w:t>Die LXX</w:t>
      </w:r>
      <w:r>
        <w:t xml:space="preserve"> fügt hinzu: ἐπὶ </w:t>
      </w:r>
      <w:proofErr w:type="spellStart"/>
      <w:r>
        <w:t>τοῦ</w:t>
      </w:r>
      <w:proofErr w:type="spellEnd"/>
      <w:r>
        <w:t xml:space="preserve"> </w:t>
      </w:r>
      <w:proofErr w:type="spellStart"/>
      <w:r>
        <w:t>Ἰορδάνου</w:t>
      </w:r>
      <w:proofErr w:type="spellEnd"/>
      <w:r>
        <w:t xml:space="preserve"> κα</w:t>
      </w:r>
      <w:proofErr w:type="spellStart"/>
      <w:r>
        <w:t>τὰ</w:t>
      </w:r>
      <w:proofErr w:type="spellEnd"/>
      <w:r>
        <w:t xml:space="preserve"> </w:t>
      </w:r>
      <w:proofErr w:type="spellStart"/>
      <w:r>
        <w:t>Ἰεριχώ</w:t>
      </w:r>
      <w:proofErr w:type="spellEnd"/>
      <w:r>
        <w:t xml:space="preserve"> (am Jordan gegenüber Jericho) – eine geographische Präzisierung, die im MT nicht vorhanden ist.</w:t>
      </w:r>
    </w:p>
    <w:p w14:paraId="5B6A5827" w14:textId="77777777" w:rsidR="00EE5F59" w:rsidRDefault="00EE5F59" w:rsidP="00EE5F59">
      <w:pPr>
        <w:pStyle w:val="whitespace-normal"/>
      </w:pPr>
      <w:r>
        <w:rPr>
          <w:rStyle w:val="Fett"/>
          <w:rFonts w:eastAsiaTheme="majorEastAsia"/>
        </w:rPr>
        <w:t>Die Satzstruktur:</w:t>
      </w:r>
      <w:r>
        <w:t xml:space="preserve"> Zwei Aussagen (und die Kinder Israels beweinten Mosche in den Steppen Moabs 30 Tage; und vollendet wurden die Tage des Weinens der Trauer um Mosche).</w:t>
      </w:r>
    </w:p>
    <w:p w14:paraId="2BC8BD39" w14:textId="62CA23F2" w:rsidR="00EE5F59" w:rsidRDefault="00EE5F59" w:rsidP="00B77CC6">
      <w:pPr>
        <w:pStyle w:val="whitespace-normal"/>
      </w:pPr>
      <w:r>
        <w:rPr>
          <w:rStyle w:val="Fett"/>
          <w:rFonts w:eastAsiaTheme="majorEastAsia"/>
        </w:rPr>
        <w:t>Der Vers beschreibt:</w:t>
      </w:r>
      <w:r>
        <w:t xml:space="preserve"> Trauerzeit – Israel beweint Mose 30 Tage lang in den Steppen Moabs.</w:t>
      </w:r>
    </w:p>
    <w:p w14:paraId="4F1004B4" w14:textId="77777777" w:rsidR="00EE5F59" w:rsidRPr="00257FCB" w:rsidRDefault="00EE5F59" w:rsidP="00EE5F59">
      <w:pPr>
        <w:pStyle w:val="berschrift1"/>
        <w:rPr>
          <w:rFonts w:ascii="Times New Roman" w:hAnsi="Times New Roman"/>
          <w:color w:val="auto"/>
          <w:sz w:val="36"/>
          <w:szCs w:val="36"/>
        </w:rPr>
      </w:pPr>
      <w:r w:rsidRPr="00257FCB">
        <w:rPr>
          <w:rStyle w:val="Fett"/>
          <w:rFonts w:ascii="Times New Roman" w:hAnsi="Times New Roman"/>
          <w:color w:val="auto"/>
          <w:sz w:val="36"/>
          <w:szCs w:val="36"/>
        </w:rPr>
        <w:t>Deuteronomium 34,9</w:t>
      </w:r>
    </w:p>
    <w:p w14:paraId="349154CB" w14:textId="77777777" w:rsidR="00EE5F59" w:rsidRDefault="00EE5F59" w:rsidP="00EE5F59">
      <w:pPr>
        <w:pStyle w:val="whitespace-normal"/>
      </w:pPr>
      <w:r>
        <w:rPr>
          <w:rStyle w:val="Fett"/>
          <w:rFonts w:eastAsiaTheme="majorEastAsia"/>
        </w:rPr>
        <w:t>Hebräisch:</w:t>
      </w:r>
      <w:r>
        <w:t xml:space="preserve"> </w:t>
      </w:r>
      <w:r>
        <w:rPr>
          <w:rtl/>
        </w:rPr>
        <w:t>וִיהוֹשֻׁעַ בִּן־נוּן מָלֵא רוּחַ חָכְמָה כִּי־סָמַךְ מֹשֶׁה אֶת־יָדָיו עָלָיו וַיִּשְׁמְעוּ אֵלָיו בְּנֵי־יִשְׂרָאֵל וַיַּעֲשׂוּ כַּאֲשֶׁר צִוָּה יְהוָה אֶת־מֹשֶׁה׃</w:t>
      </w:r>
    </w:p>
    <w:p w14:paraId="466EBCB3" w14:textId="77777777" w:rsidR="00EE5F59" w:rsidRDefault="00EE5F59" w:rsidP="00EE5F59">
      <w:pPr>
        <w:pStyle w:val="whitespace-normal"/>
      </w:pPr>
      <w:r>
        <w:rPr>
          <w:rStyle w:val="Fett"/>
          <w:rFonts w:eastAsiaTheme="majorEastAsia"/>
        </w:rPr>
        <w:t>Deutsch:</w:t>
      </w:r>
      <w:r>
        <w:t xml:space="preserve"> Und Josua, der Sohn Nuns, war erfüllt mit dem Geist der Weisheit; denn Mosche hatte seine Hände auf ihn gelegt; und die Kinder Israels gehorchten ihm und taten, wie der Ewige dem Mosche geboten hatte.</w:t>
      </w:r>
    </w:p>
    <w:p w14:paraId="2149E769" w14:textId="77777777" w:rsidR="00EE5F59" w:rsidRDefault="004F5CEB" w:rsidP="00EE5F59">
      <w:r>
        <w:rPr>
          <w:noProof/>
        </w:rPr>
        <w:lastRenderedPageBreak/>
        <w:pict w14:anchorId="1A35819E">
          <v:rect id="_x0000_i1928" style="width:0;height:1.5pt" o:hralign="center" o:hrstd="t" o:hr="t" fillcolor="#a0a0a0" stroked="f"/>
        </w:pict>
      </w:r>
    </w:p>
    <w:p w14:paraId="2B3F6C74" w14:textId="77777777" w:rsidR="00EE5F59" w:rsidRDefault="00EE5F59" w:rsidP="00EE5F59">
      <w:pPr>
        <w:pStyle w:val="whitespace-normal"/>
      </w:pPr>
      <w:r>
        <w:rPr>
          <w:rStyle w:val="Fett"/>
          <w:rFonts w:eastAsiaTheme="majorEastAsia"/>
        </w:rPr>
        <w:t>Kommentar:</w:t>
      </w:r>
      <w:r>
        <w:t xml:space="preserve"> Drei Aussagen über den Führungswechsel: </w:t>
      </w:r>
      <w:r>
        <w:rPr>
          <w:rStyle w:val="Fett"/>
          <w:rFonts w:eastAsiaTheme="majorEastAsia"/>
          <w:rtl/>
        </w:rPr>
        <w:t>וִיהוֹשֻׁעַ בִּן־נוּן מָלֵא רוּחַ חָכְמָה</w:t>
      </w:r>
      <w:r>
        <w:rPr>
          <w:rtl/>
        </w:rPr>
        <w:t xml:space="preserve"> </w:t>
      </w:r>
      <w:r>
        <w:t>(</w:t>
      </w:r>
      <w:r>
        <w:rPr>
          <w:rStyle w:val="Fett"/>
          <w:rFonts w:eastAsiaTheme="majorEastAsia"/>
          <w:rtl/>
        </w:rPr>
        <w:t>יְהוֹשֻׁעַ בִּן־נוּן</w:t>
      </w:r>
      <w:r>
        <w:t xml:space="preserve">, </w:t>
      </w:r>
      <w:r>
        <w:rPr>
          <w:rStyle w:val="Fett"/>
          <w:rFonts w:eastAsiaTheme="majorEastAsia"/>
          <w:rtl/>
        </w:rPr>
        <w:t>מלא</w:t>
      </w:r>
      <w:r>
        <w:t xml:space="preserve">, Qal Partizip Maskulinum Singular, „voll, erfüllt", </w:t>
      </w:r>
      <w:r>
        <w:rPr>
          <w:rStyle w:val="Fett"/>
          <w:rFonts w:eastAsiaTheme="majorEastAsia"/>
          <w:rtl/>
        </w:rPr>
        <w:t>רוּחַ חָכְמָה</w:t>
      </w:r>
      <w:r>
        <w:t xml:space="preserve">, „Geist der Weisheit"), </w:t>
      </w:r>
      <w:r>
        <w:rPr>
          <w:rStyle w:val="Fett"/>
          <w:rFonts w:eastAsiaTheme="majorEastAsia"/>
          <w:rtl/>
        </w:rPr>
        <w:t>כִּי־סָמַךְ מֹשֶׁה אֶת־יָדָיו עָלָיו</w:t>
      </w:r>
      <w:r>
        <w:rPr>
          <w:rtl/>
        </w:rPr>
        <w:t xml:space="preserve"> </w:t>
      </w:r>
      <w:r>
        <w:t xml:space="preserve">(Kausalsatz: </w:t>
      </w:r>
      <w:r>
        <w:rPr>
          <w:rStyle w:val="Fett"/>
          <w:rFonts w:eastAsiaTheme="majorEastAsia"/>
          <w:rtl/>
        </w:rPr>
        <w:t>כִּי</w:t>
      </w:r>
      <w:r>
        <w:rPr>
          <w:rtl/>
        </w:rPr>
        <w:t xml:space="preserve"> </w:t>
      </w:r>
      <w:r>
        <w:t xml:space="preserve">mit </w:t>
      </w:r>
      <w:r>
        <w:rPr>
          <w:rStyle w:val="Fett"/>
          <w:rFonts w:eastAsiaTheme="majorEastAsia"/>
          <w:rtl/>
        </w:rPr>
        <w:t>סמך</w:t>
      </w:r>
      <w:r>
        <w:t xml:space="preserve">, Qal Perfekt, 3. Person Maskulinum Singular, „legen, stützen", </w:t>
      </w:r>
      <w:r>
        <w:rPr>
          <w:rStyle w:val="Fett"/>
          <w:rFonts w:eastAsiaTheme="majorEastAsia"/>
          <w:rtl/>
        </w:rPr>
        <w:t>מֹשֶׁה</w:t>
      </w:r>
      <w:r>
        <w:rPr>
          <w:rtl/>
        </w:rPr>
        <w:t xml:space="preserve"> </w:t>
      </w:r>
      <w:r>
        <w:t xml:space="preserve">als Subjekt, Objektpartikel </w:t>
      </w:r>
      <w:r>
        <w:rPr>
          <w:rStyle w:val="Fett"/>
          <w:rFonts w:eastAsiaTheme="majorEastAsia"/>
          <w:rtl/>
        </w:rPr>
        <w:t>אֶת</w:t>
      </w:r>
      <w:r>
        <w:rPr>
          <w:rtl/>
        </w:rPr>
        <w:t xml:space="preserve"> </w:t>
      </w:r>
      <w:r>
        <w:t xml:space="preserve">mit </w:t>
      </w:r>
      <w:r>
        <w:rPr>
          <w:rStyle w:val="Fett"/>
          <w:rFonts w:eastAsiaTheme="majorEastAsia"/>
          <w:rtl/>
        </w:rPr>
        <w:t>יָד</w:t>
      </w:r>
      <w:r>
        <w:rPr>
          <w:rtl/>
        </w:rPr>
        <w:t xml:space="preserve"> </w:t>
      </w:r>
      <w:r>
        <w:t xml:space="preserve">Dual mit Suffix, </w:t>
      </w:r>
      <w:r>
        <w:rPr>
          <w:rStyle w:val="Fett"/>
          <w:rFonts w:eastAsiaTheme="majorEastAsia"/>
          <w:rtl/>
        </w:rPr>
        <w:t>עָלָיו</w:t>
      </w:r>
      <w:r>
        <w:t xml:space="preserve">), </w:t>
      </w:r>
      <w:r>
        <w:rPr>
          <w:rStyle w:val="Fett"/>
          <w:rFonts w:eastAsiaTheme="majorEastAsia"/>
          <w:rtl/>
        </w:rPr>
        <w:t>וַיִּשְׁמְעוּ אֵלָיו בְּנֵי־יִשְׂרָאֵל וַיַּעֲשׂוּ כַּאֲשֶׁר צִוָּה יְהוָה אֶת־מֹשֶׁה</w:t>
      </w:r>
      <w:r>
        <w:rPr>
          <w:rtl/>
        </w:rPr>
        <w:t xml:space="preserve"> </w:t>
      </w:r>
      <w:r>
        <w:t xml:space="preserve">(zwei koordinierte Aussagen: </w:t>
      </w:r>
      <w:r>
        <w:rPr>
          <w:rStyle w:val="Fett"/>
          <w:rFonts w:eastAsiaTheme="majorEastAsia"/>
          <w:rtl/>
        </w:rPr>
        <w:t>שׁמע</w:t>
      </w:r>
      <w:r>
        <w:t xml:space="preserve">, Qal Imperfekt mit </w:t>
      </w:r>
      <w:r>
        <w:rPr>
          <w:rStyle w:val="Fett"/>
          <w:rFonts w:eastAsiaTheme="majorEastAsia"/>
        </w:rPr>
        <w:t>Waw</w:t>
      </w:r>
      <w:r>
        <w:t xml:space="preserve"> consecutivum, 3. Person Plural, </w:t>
      </w:r>
      <w:r>
        <w:rPr>
          <w:rStyle w:val="Fett"/>
          <w:rFonts w:eastAsiaTheme="majorEastAsia"/>
          <w:rtl/>
        </w:rPr>
        <w:t>אֵלָיו</w:t>
      </w:r>
      <w:r>
        <w:t xml:space="preserve">, </w:t>
      </w:r>
      <w:r>
        <w:rPr>
          <w:rStyle w:val="Fett"/>
          <w:rFonts w:eastAsiaTheme="majorEastAsia"/>
          <w:rtl/>
        </w:rPr>
        <w:t>בְּנֵי יִשְׂרָאֵל</w:t>
      </w:r>
      <w:r>
        <w:rPr>
          <w:rtl/>
        </w:rPr>
        <w:t xml:space="preserve"> </w:t>
      </w:r>
      <w:r>
        <w:t xml:space="preserve">als Subjekt, koordiniert mit </w:t>
      </w:r>
      <w:r>
        <w:rPr>
          <w:rStyle w:val="Fett"/>
          <w:rFonts w:eastAsiaTheme="majorEastAsia"/>
          <w:rtl/>
        </w:rPr>
        <w:t>עשׂה</w:t>
      </w:r>
      <w:r>
        <w:t xml:space="preserve">, Qal Imperfekt mit </w:t>
      </w:r>
      <w:r>
        <w:rPr>
          <w:rStyle w:val="Fett"/>
          <w:rFonts w:eastAsiaTheme="majorEastAsia"/>
        </w:rPr>
        <w:t>Waw</w:t>
      </w:r>
      <w:r>
        <w:t xml:space="preserve"> consecutivum, 3. Person Plural, </w:t>
      </w:r>
      <w:r>
        <w:rPr>
          <w:rStyle w:val="Fett"/>
          <w:rFonts w:eastAsiaTheme="majorEastAsia"/>
          <w:rtl/>
        </w:rPr>
        <w:t>כַּאֲשֶׁר</w:t>
      </w:r>
      <w:r>
        <w:rPr>
          <w:rtl/>
        </w:rPr>
        <w:t xml:space="preserve"> </w:t>
      </w:r>
      <w:r>
        <w:t>mit Relativsatz).</w:t>
      </w:r>
    </w:p>
    <w:p w14:paraId="3B3078A8" w14:textId="2D13BA9C" w:rsidR="00EE5F59" w:rsidRDefault="00EE5F59" w:rsidP="00EE5F59">
      <w:pPr>
        <w:pStyle w:val="whitespace-normal"/>
      </w:pPr>
      <w:r>
        <w:t xml:space="preserve">Der erfolgreiche Führungswechsel. Die drei Aussagen: </w:t>
      </w:r>
      <w:r>
        <w:rPr>
          <w:rStyle w:val="Fett"/>
          <w:rFonts w:eastAsiaTheme="majorEastAsia"/>
          <w:rtl/>
        </w:rPr>
        <w:t>וִיהוֹשֻׁעַ בִּן־נוּן מָלֵא רוּחַ חָכְמָה כִּי־סָמַךְ מֹשֶׁה אֶת־יָדָיו עָלָיו וַיִּשְׁמְעוּ אֵלָיו בְּנֵי־יִשְׂרָאֵל וַיַּעֲשׂוּ כַּאֲשֶׁר צִוָּה יְהוָה אֶת־מֹשֶׁה</w:t>
      </w:r>
      <w:r>
        <w:rPr>
          <w:rtl/>
        </w:rPr>
        <w:t xml:space="preserve"> </w:t>
      </w:r>
      <w:r>
        <w:t xml:space="preserve">(„und Josua, Sohn Nuns, war erfüllt mit Geist der Weisheit, denn Mosche hatte gelegt seine Hände auf ihn; und die Kinder Israels gehorchten ihm und taten, wie geboten hatte </w:t>
      </w:r>
      <w:r w:rsidR="00272EAD">
        <w:t>JHWH</w:t>
      </w:r>
      <w:r>
        <w:t xml:space="preserve"> dem Mosche"). Die erste Aussage: </w:t>
      </w:r>
      <w:r>
        <w:rPr>
          <w:rStyle w:val="Fett"/>
          <w:rFonts w:eastAsiaTheme="majorEastAsia"/>
          <w:rtl/>
        </w:rPr>
        <w:t>מָלֵא רוּחַ חָכְמָה</w:t>
      </w:r>
      <w:r>
        <w:rPr>
          <w:rtl/>
        </w:rPr>
        <w:t xml:space="preserve"> </w:t>
      </w:r>
      <w:r>
        <w:t xml:space="preserve">(„erfüllt mit Geist der Weisheit") – die Befähigung zur Führung (vgl. Ex 28,3; 31,3; 35,31 für Handwerker; Jes 11,2 für den Messias). Die zweite Aussage: </w:t>
      </w:r>
      <w:r>
        <w:rPr>
          <w:rStyle w:val="Fett"/>
          <w:rFonts w:eastAsiaTheme="majorEastAsia"/>
          <w:rtl/>
        </w:rPr>
        <w:t>כִּי־סָמַךְ מֹשֶׁה אֶת־יָדָיו עָלָיו</w:t>
      </w:r>
      <w:r>
        <w:rPr>
          <w:rtl/>
        </w:rPr>
        <w:t xml:space="preserve"> </w:t>
      </w:r>
      <w:r>
        <w:t xml:space="preserve">(„denn Mosche hatte gelegt seine Hände auf ihn") – die Handauflegung als Ordinationsakt (vgl. 31,7-8.14.23; Num 27,18-23; später rabbinische </w:t>
      </w:r>
      <w:r>
        <w:rPr>
          <w:rStyle w:val="Fett"/>
          <w:rFonts w:eastAsiaTheme="majorEastAsia"/>
          <w:rtl/>
        </w:rPr>
        <w:t>סְמִיכָה</w:t>
      </w:r>
      <w:r>
        <w:t xml:space="preserve">, „Ordination"). Die dritte Aussage: </w:t>
      </w:r>
      <w:r>
        <w:rPr>
          <w:rStyle w:val="Fett"/>
          <w:rFonts w:eastAsiaTheme="majorEastAsia"/>
          <w:rtl/>
        </w:rPr>
        <w:t>וַיִּשְׁמְעוּ אֵלָיו בְּנֵי־יִשְׂרָאֵל</w:t>
      </w:r>
      <w:r>
        <w:rPr>
          <w:rtl/>
        </w:rPr>
        <w:t xml:space="preserve"> </w:t>
      </w:r>
      <w:r>
        <w:t>(„und die Kinder Israels gehorchten ihm") – erfolgreiche Anerkennung der neuen Führung.</w:t>
      </w:r>
    </w:p>
    <w:p w14:paraId="0D86C8CD" w14:textId="6593B429" w:rsidR="00556D10" w:rsidRDefault="00556D10" w:rsidP="00EE5F59">
      <w:pPr>
        <w:pStyle w:val="whitespace-normal"/>
      </w:pPr>
      <w:r>
        <w:rPr>
          <w:rStyle w:val="Fett"/>
        </w:rPr>
        <w:t>Die LXX</w:t>
      </w:r>
      <w:r>
        <w:t xml:space="preserve"> übersetzt </w:t>
      </w:r>
      <w:r>
        <w:rPr>
          <w:rtl/>
        </w:rPr>
        <w:t>רוּחַ חָכְמָה</w:t>
      </w:r>
      <w:r>
        <w:t xml:space="preserve"> (Geist der Weisheit) mit π</w:t>
      </w:r>
      <w:proofErr w:type="spellStart"/>
      <w:r>
        <w:t>νεύμ</w:t>
      </w:r>
      <w:proofErr w:type="spellEnd"/>
      <w:r>
        <w:t xml:space="preserve">ατος </w:t>
      </w:r>
      <w:proofErr w:type="spellStart"/>
      <w:r>
        <w:t>συνέσεως</w:t>
      </w:r>
      <w:proofErr w:type="spellEnd"/>
      <w:r>
        <w:t xml:space="preserve"> (Geist des Verstands) – wobei </w:t>
      </w:r>
      <w:proofErr w:type="spellStart"/>
      <w:r>
        <w:t>σύνεσις</w:t>
      </w:r>
      <w:proofErr w:type="spellEnd"/>
      <w:r>
        <w:t xml:space="preserve"> "Verständnis, Einsicht, Klugheit" bedeutet, ein etwas intellektuellerer Begriff als </w:t>
      </w:r>
      <w:proofErr w:type="spellStart"/>
      <w:r>
        <w:t>σοφί</w:t>
      </w:r>
      <w:proofErr w:type="spellEnd"/>
      <w:r>
        <w:t>α (Weisheit).</w:t>
      </w:r>
    </w:p>
    <w:p w14:paraId="4D9188B1" w14:textId="41EE621C" w:rsidR="00EE5F59" w:rsidRDefault="00EE5F59" w:rsidP="00EE5F59">
      <w:pPr>
        <w:pStyle w:val="whitespace-normal"/>
      </w:pPr>
      <w:r>
        <w:rPr>
          <w:rStyle w:val="Fett"/>
          <w:rFonts w:eastAsiaTheme="majorEastAsia"/>
        </w:rPr>
        <w:t>Die Satzstruktur:</w:t>
      </w:r>
      <w:r>
        <w:t xml:space="preserve"> Drei Aussagen (und Josua, Sohn Nuns, war erfüllt mit Geist der Weisheit, denn Mosche hatte gelegt seine Hände auf ihn; und die Kinder Israels gehorchten ihm und taten, wie geboten hatte </w:t>
      </w:r>
      <w:r w:rsidR="00272EAD">
        <w:t>JHWH</w:t>
      </w:r>
      <w:r>
        <w:t xml:space="preserve"> dem Mosche).</w:t>
      </w:r>
    </w:p>
    <w:p w14:paraId="216B7D54" w14:textId="30741AEF" w:rsidR="00EE5F59" w:rsidRDefault="00EE5F59" w:rsidP="00B77CC6">
      <w:pPr>
        <w:pStyle w:val="whitespace-normal"/>
      </w:pPr>
      <w:r>
        <w:rPr>
          <w:rStyle w:val="Fett"/>
          <w:rFonts w:eastAsiaTheme="majorEastAsia"/>
        </w:rPr>
        <w:t>Der Vers beschreibt:</w:t>
      </w:r>
      <w:r>
        <w:t xml:space="preserve"> Führungswechsel – Josua ist durch Handauflegung befähigt, Israel gehorcht ihm.</w:t>
      </w:r>
    </w:p>
    <w:p w14:paraId="33B3D1F0" w14:textId="77777777" w:rsidR="00EE5F59" w:rsidRPr="00257FCB" w:rsidRDefault="00EE5F59" w:rsidP="00EE5F59">
      <w:pPr>
        <w:pStyle w:val="berschrift1"/>
        <w:rPr>
          <w:rFonts w:ascii="Times New Roman" w:hAnsi="Times New Roman"/>
          <w:color w:val="auto"/>
          <w:sz w:val="36"/>
          <w:szCs w:val="36"/>
        </w:rPr>
      </w:pPr>
      <w:r w:rsidRPr="00257FCB">
        <w:rPr>
          <w:rStyle w:val="Fett"/>
          <w:rFonts w:ascii="Times New Roman" w:hAnsi="Times New Roman"/>
          <w:color w:val="auto"/>
          <w:sz w:val="36"/>
          <w:szCs w:val="36"/>
        </w:rPr>
        <w:t>Deuteronomium 34,10-12 (Epilog – Moses Einzigartigkeit)</w:t>
      </w:r>
    </w:p>
    <w:p w14:paraId="1489B689" w14:textId="0B9C3515" w:rsidR="00EE5F59" w:rsidRDefault="00EE5F59" w:rsidP="00EE5F59">
      <w:pPr>
        <w:pStyle w:val="whitespace-normal"/>
      </w:pPr>
      <w:r>
        <w:rPr>
          <w:rStyle w:val="Fett"/>
          <w:rFonts w:eastAsiaTheme="majorEastAsia"/>
        </w:rPr>
        <w:t>V. 10:</w:t>
      </w:r>
      <w:r>
        <w:t xml:space="preserve"> </w:t>
      </w:r>
      <w:r>
        <w:rPr>
          <w:rStyle w:val="Fett"/>
          <w:rFonts w:eastAsiaTheme="majorEastAsia"/>
          <w:rtl/>
        </w:rPr>
        <w:t>וְלֹא־קָם נָבִיא עוֹד בְּיִשְׂרָאֵל כְּמֹשֶׁה אֲשֶׁר יְדָעוֹ יְהוָה פָּנִים אֶל־פָּנִים׃</w:t>
      </w:r>
      <w:r>
        <w:rPr>
          <w:rtl/>
        </w:rPr>
        <w:t xml:space="preserve"> </w:t>
      </w:r>
      <w:r>
        <w:t xml:space="preserve">(„Und es stand in Israel kein Prophet mehr auf wie Mosche, den </w:t>
      </w:r>
      <w:r w:rsidR="00272EAD">
        <w:t>JHWH</w:t>
      </w:r>
      <w:r>
        <w:t xml:space="preserve"> gekannt hätte von Angesicht zu Angesicht"). </w:t>
      </w:r>
      <w:r>
        <w:rPr>
          <w:rStyle w:val="Fett"/>
          <w:rFonts w:eastAsiaTheme="majorEastAsia"/>
          <w:rtl/>
        </w:rPr>
        <w:t>וְלֹא־קָם נָבִיא עוֹד בְּיִשְׂרָאֵל כְּמֹשֶׁה</w:t>
      </w:r>
      <w:r>
        <w:rPr>
          <w:rtl/>
        </w:rPr>
        <w:t xml:space="preserve"> </w:t>
      </w:r>
      <w:r>
        <w:t xml:space="preserve">– die Unvergleichlichkeit Moses (vgl. 18,15.18; Num 12,6-8; Hos 12,14). </w:t>
      </w:r>
      <w:r>
        <w:rPr>
          <w:rStyle w:val="Fett"/>
          <w:rFonts w:eastAsiaTheme="majorEastAsia"/>
          <w:rtl/>
        </w:rPr>
        <w:t>אֲשֶׁר יְדָעוֹ יְהוָה פָּנִים אֶל־פָּנִים</w:t>
      </w:r>
      <w:r>
        <w:rPr>
          <w:rtl/>
        </w:rPr>
        <w:t xml:space="preserve"> </w:t>
      </w:r>
      <w:r>
        <w:t xml:space="preserve">(„den </w:t>
      </w:r>
      <w:r w:rsidR="00272EAD">
        <w:t>JHWH</w:t>
      </w:r>
      <w:r>
        <w:t xml:space="preserve"> kannte Angesicht zu Angesicht") – die einzigartige Intimität Moses mit Gott (vgl. Ex 33,11; Num 12,8; 14,14). Das Verb </w:t>
      </w:r>
      <w:r>
        <w:rPr>
          <w:rStyle w:val="Fett"/>
          <w:rFonts w:eastAsiaTheme="majorEastAsia"/>
          <w:rtl/>
        </w:rPr>
        <w:t>ידע</w:t>
      </w:r>
      <w:r>
        <w:rPr>
          <w:rtl/>
        </w:rPr>
        <w:t xml:space="preserve"> </w:t>
      </w:r>
      <w:r>
        <w:t>(„kennen") drückt persönliche, intime Beziehung aus (vgl. Gen 4,1; Am 3,2; Hos 13,5).</w:t>
      </w:r>
    </w:p>
    <w:p w14:paraId="2E7E5D1C" w14:textId="40B80C15" w:rsidR="00556D10" w:rsidRDefault="00556D10" w:rsidP="00EE5F59">
      <w:pPr>
        <w:pStyle w:val="whitespace-normal"/>
      </w:pPr>
      <w:r>
        <w:rPr>
          <w:rStyle w:val="Fett"/>
        </w:rPr>
        <w:t>Die LXX</w:t>
      </w:r>
      <w:r>
        <w:t xml:space="preserve"> übersetzt </w:t>
      </w:r>
      <w:r>
        <w:rPr>
          <w:rtl/>
        </w:rPr>
        <w:t>אֲשֶׁר יְדָעוֹ יְהוָה</w:t>
      </w:r>
      <w:r>
        <w:t xml:space="preserve"> (den der HERR kannte) mit </w:t>
      </w:r>
      <w:proofErr w:type="spellStart"/>
      <w:r>
        <w:t>ὃν</w:t>
      </w:r>
      <w:proofErr w:type="spellEnd"/>
      <w:r>
        <w:t xml:space="preserve"> </w:t>
      </w:r>
      <w:proofErr w:type="spellStart"/>
      <w:r>
        <w:t>ἔγνω</w:t>
      </w:r>
      <w:proofErr w:type="spellEnd"/>
      <w:r>
        <w:t xml:space="preserve"> </w:t>
      </w:r>
      <w:proofErr w:type="spellStart"/>
      <w:r>
        <w:t>κύριος</w:t>
      </w:r>
      <w:proofErr w:type="spellEnd"/>
      <w:r>
        <w:t xml:space="preserve"> α</w:t>
      </w:r>
      <w:proofErr w:type="spellStart"/>
      <w:r>
        <w:t>ὐτόν</w:t>
      </w:r>
      <w:proofErr w:type="spellEnd"/>
      <w:r>
        <w:t xml:space="preserve"> (den der Herr kannte) – eine präzise Entsprechung. Der berühmte Ausdruck </w:t>
      </w:r>
      <w:r>
        <w:rPr>
          <w:rtl/>
        </w:rPr>
        <w:t>פָּנִים אֶל־פָּנִים</w:t>
      </w:r>
      <w:r>
        <w:t xml:space="preserve"> (Angesicht zu Angesicht) wird mit π</w:t>
      </w:r>
      <w:proofErr w:type="spellStart"/>
      <w:r>
        <w:t>ρόσω</w:t>
      </w:r>
      <w:proofErr w:type="spellEnd"/>
      <w:r>
        <w:t>πον κα</w:t>
      </w:r>
      <w:proofErr w:type="spellStart"/>
      <w:r>
        <w:t>τὰ</w:t>
      </w:r>
      <w:proofErr w:type="spellEnd"/>
      <w:r>
        <w:t xml:space="preserve"> π</w:t>
      </w:r>
      <w:proofErr w:type="spellStart"/>
      <w:r>
        <w:t>ρόσω</w:t>
      </w:r>
      <w:proofErr w:type="spellEnd"/>
      <w:r>
        <w:t>πον (Angesicht gegenüber Angesicht) übersetzt.</w:t>
      </w:r>
    </w:p>
    <w:p w14:paraId="022C7127" w14:textId="20211715" w:rsidR="00EE5F59" w:rsidRDefault="00EE5F59" w:rsidP="00EE5F59">
      <w:pPr>
        <w:pStyle w:val="whitespace-normal"/>
      </w:pPr>
      <w:r>
        <w:rPr>
          <w:rStyle w:val="Fett"/>
          <w:rFonts w:eastAsiaTheme="majorEastAsia"/>
        </w:rPr>
        <w:t>V. 11:</w:t>
      </w:r>
      <w:r>
        <w:t xml:space="preserve"> </w:t>
      </w:r>
      <w:r>
        <w:rPr>
          <w:rStyle w:val="Fett"/>
          <w:rFonts w:eastAsiaTheme="majorEastAsia"/>
          <w:rtl/>
        </w:rPr>
        <w:t>לְכָל־הָאֹתוֹת וְהַמּוֹפְתִים אֲשֶׁר שְׁלָחוֹ יְהוָה לַעֲשׂוֹת בְּאֶרֶץ מִצְרָיִם לְפַרְעֹה וּלְכָל־עֲבָדָיו וּלְכָל־אַרְצוֹ׃</w:t>
      </w:r>
      <w:r>
        <w:rPr>
          <w:rtl/>
        </w:rPr>
        <w:t xml:space="preserve"> </w:t>
      </w:r>
      <w:r>
        <w:t xml:space="preserve">(„nach all den Zeichen und Wundern, die </w:t>
      </w:r>
      <w:r w:rsidR="00272EAD">
        <w:t>JHWH</w:t>
      </w:r>
      <w:r>
        <w:t xml:space="preserve"> ihn gesandt hatte zu tun im Land Ägypten, </w:t>
      </w:r>
      <w:r>
        <w:lastRenderedPageBreak/>
        <w:t xml:space="preserve">an </w:t>
      </w:r>
      <w:r w:rsidR="003F0E7B">
        <w:t>Par’o</w:t>
      </w:r>
      <w:r>
        <w:t xml:space="preserve"> und an allen seinen Knechten und an seinem ganzen Land"). Die Paarung </w:t>
      </w:r>
      <w:r>
        <w:rPr>
          <w:rStyle w:val="Fett"/>
          <w:rFonts w:eastAsiaTheme="majorEastAsia"/>
          <w:rtl/>
        </w:rPr>
        <w:t>אֹתוֹת וּמוֹפְתִים</w:t>
      </w:r>
      <w:r>
        <w:rPr>
          <w:rtl/>
        </w:rPr>
        <w:t xml:space="preserve"> </w:t>
      </w:r>
      <w:r>
        <w:t xml:space="preserve">(„Zeichen und Wunder") ist charakteristisch für die Exodus-Wunder (vgl. 4,34; 6,22; 7,19; 26,8; 29,2; Ex 7,3; 11,9-10; Ps 78,43; 105,27; 135,9; Jer 32,20-21; Neh 9,10). Die drei Adressaten: </w:t>
      </w:r>
      <w:r>
        <w:rPr>
          <w:rStyle w:val="Fett"/>
          <w:rFonts w:eastAsiaTheme="majorEastAsia"/>
          <w:rtl/>
        </w:rPr>
        <w:t>לְפַרְעֹה וּלְכָל־עֲבָדָיו וּלְכָל־אַרְצוֹ</w:t>
      </w:r>
      <w:r>
        <w:rPr>
          <w:rtl/>
        </w:rPr>
        <w:t xml:space="preserve"> </w:t>
      </w:r>
      <w:r>
        <w:t xml:space="preserve">(„an </w:t>
      </w:r>
      <w:r w:rsidR="003F0E7B">
        <w:t>Par’o</w:t>
      </w:r>
      <w:r>
        <w:t xml:space="preserve"> und an allen seinen Knechten und an seinem ganzen Land") – umfassend.</w:t>
      </w:r>
    </w:p>
    <w:p w14:paraId="7DFD8E4D" w14:textId="2A69CA0B" w:rsidR="00EE5F59" w:rsidRDefault="00EE5F59" w:rsidP="00EE5F59">
      <w:pPr>
        <w:pStyle w:val="whitespace-normal"/>
      </w:pPr>
      <w:r>
        <w:rPr>
          <w:rStyle w:val="Fett"/>
          <w:rFonts w:eastAsiaTheme="majorEastAsia"/>
        </w:rPr>
        <w:t>V. 12:</w:t>
      </w:r>
      <w:r>
        <w:t xml:space="preserve"> </w:t>
      </w:r>
      <w:r>
        <w:rPr>
          <w:rStyle w:val="Fett"/>
          <w:rFonts w:eastAsiaTheme="majorEastAsia"/>
          <w:rtl/>
        </w:rPr>
        <w:t>וּלְכֹל הַיָּד הַחֲזָקָה וּלְכֹל הַמּוֹרָא הַגָּדוֹל אֲשֶׁר עָשָׂה מֹשֶׁה לְעֵינֵי כָּל־יִשְׂרָאֵל׃</w:t>
      </w:r>
      <w:r>
        <w:rPr>
          <w:rtl/>
        </w:rPr>
        <w:t xml:space="preserve"> </w:t>
      </w:r>
      <w:r>
        <w:t xml:space="preserve">(„und nach all der starken Hand und nach all dem Großen und Furchtbaren, das Mosche vor den Augen von ganz Israel getan hat"). Die Formulierung </w:t>
      </w:r>
      <w:r>
        <w:rPr>
          <w:rStyle w:val="Fett"/>
          <w:rFonts w:eastAsiaTheme="majorEastAsia"/>
          <w:rtl/>
        </w:rPr>
        <w:t>הַיָּד הַחֲזָקָה</w:t>
      </w:r>
      <w:r>
        <w:rPr>
          <w:rtl/>
        </w:rPr>
        <w:t xml:space="preserve"> </w:t>
      </w:r>
      <w:r>
        <w:t xml:space="preserve">(„die starke Hand") ist charakteristisch für Gottes machtvollen Exodus (vgl. 3,24; 4,34; 5,15; 6,21; 7,8.19; 9,26; 11,2; 26,8; Ex 3,19; 6,1; 13,3.9.14.16; 32,11; Neh 1,10; Jer 32,21; </w:t>
      </w:r>
      <w:r w:rsidR="00BF3748">
        <w:t>Hes</w:t>
      </w:r>
      <w:r>
        <w:t xml:space="preserve"> 20,33-34; Dan 9,15; Ps 136,12). </w:t>
      </w:r>
      <w:r>
        <w:rPr>
          <w:rStyle w:val="Fett"/>
          <w:rFonts w:eastAsiaTheme="majorEastAsia"/>
          <w:rtl/>
        </w:rPr>
        <w:t>הַמּוֹרָא הַגָּדוֹל</w:t>
      </w:r>
      <w:r>
        <w:rPr>
          <w:rtl/>
        </w:rPr>
        <w:t xml:space="preserve"> </w:t>
      </w:r>
      <w:r>
        <w:t xml:space="preserve">(„das Große und Furchtbare") – die Paarung betont die Ehrfurcht gebietenden Taten (vgl. 4,34; 10,21; </w:t>
      </w:r>
      <w:r w:rsidR="00664EB6">
        <w:t>2Sam</w:t>
      </w:r>
      <w:r>
        <w:t xml:space="preserve"> 7,23; </w:t>
      </w:r>
      <w:r w:rsidR="00664EB6">
        <w:t>1Chr</w:t>
      </w:r>
      <w:r>
        <w:t xml:space="preserve"> 17,21; Neh 1,10; 4,8; 9,32; Ps 106,21-22; 145,6; Jer 32,21). </w:t>
      </w:r>
      <w:r>
        <w:rPr>
          <w:rStyle w:val="Fett"/>
          <w:rFonts w:eastAsiaTheme="majorEastAsia"/>
          <w:rtl/>
        </w:rPr>
        <w:t>לְעֵינֵי כָּל־יִשְׂרָאֵל</w:t>
      </w:r>
      <w:r>
        <w:rPr>
          <w:rtl/>
        </w:rPr>
        <w:t xml:space="preserve"> </w:t>
      </w:r>
      <w:r>
        <w:t>(„vor den Augen von ganz Israel") – die gesamte Nation war Zeuge (vgl. 4,34; 29,1; 31,7; Jos 3,7; 4,14; 10,12).</w:t>
      </w:r>
    </w:p>
    <w:p w14:paraId="52900BBA" w14:textId="4C058CE6" w:rsidR="00556D10" w:rsidRDefault="00556D10" w:rsidP="00EE5F59">
      <w:pPr>
        <w:pStyle w:val="whitespace-normal"/>
      </w:pPr>
      <w:r>
        <w:rPr>
          <w:rStyle w:val="Fett"/>
        </w:rPr>
        <w:t>Die LXX</w:t>
      </w:r>
      <w:r>
        <w:t xml:space="preserve"> übersetzt </w:t>
      </w:r>
      <w:r>
        <w:rPr>
          <w:rtl/>
        </w:rPr>
        <w:t>הַיָּד הַחֲזָקָה</w:t>
      </w:r>
      <w:r>
        <w:t xml:space="preserve"> (die starke Hand) mit τὴν </w:t>
      </w:r>
      <w:proofErr w:type="spellStart"/>
      <w:r>
        <w:t>χεῖρ</w:t>
      </w:r>
      <w:proofErr w:type="spellEnd"/>
      <w:r>
        <w:t xml:space="preserve">α τὴν </w:t>
      </w:r>
      <w:proofErr w:type="spellStart"/>
      <w:r>
        <w:t>κρ</w:t>
      </w:r>
      <w:proofErr w:type="spellEnd"/>
      <w:r>
        <w:t xml:space="preserve">αταιάν (die mächtige Hand). Das Wort </w:t>
      </w:r>
      <w:r>
        <w:rPr>
          <w:rtl/>
        </w:rPr>
        <w:t>הַמּוֹרָא הַגָּדוֹל</w:t>
      </w:r>
      <w:r>
        <w:t xml:space="preserve"> (die große Furcht/das große Schreckliche) wird mit </w:t>
      </w:r>
      <w:proofErr w:type="spellStart"/>
      <w:r>
        <w:t>τὰ</w:t>
      </w:r>
      <w:proofErr w:type="spellEnd"/>
      <w:r>
        <w:t xml:space="preserve"> θα</w:t>
      </w:r>
      <w:proofErr w:type="spellStart"/>
      <w:r>
        <w:t>υμάσι</w:t>
      </w:r>
      <w:proofErr w:type="spellEnd"/>
      <w:r>
        <w:t xml:space="preserve">α </w:t>
      </w:r>
      <w:proofErr w:type="spellStart"/>
      <w:r>
        <w:t>τὰ</w:t>
      </w:r>
      <w:proofErr w:type="spellEnd"/>
      <w:r>
        <w:t xml:space="preserve"> </w:t>
      </w:r>
      <w:proofErr w:type="spellStart"/>
      <w:r>
        <w:t>μεγάλ</w:t>
      </w:r>
      <w:proofErr w:type="spellEnd"/>
      <w:r>
        <w:t>α (die großen Wundertaten) übersetzt – eine positive Umdeutung von "Schrecken" zu "Wunder".</w:t>
      </w:r>
    </w:p>
    <w:p w14:paraId="03491577" w14:textId="77777777" w:rsidR="00EE5F59" w:rsidRDefault="004F5CEB" w:rsidP="00EE5F59">
      <w:r>
        <w:rPr>
          <w:noProof/>
        </w:rPr>
        <w:pict w14:anchorId="30DECC4F">
          <v:rect id="_x0000_i1929" style="width:0;height:1.5pt" o:hralign="center" o:hrstd="t" o:hr="t" fillcolor="#a0a0a0" stroked="f"/>
        </w:pict>
      </w:r>
    </w:p>
    <w:p w14:paraId="25C93998" w14:textId="04A3D754" w:rsidR="00EE5F59" w:rsidRDefault="00EE5F59" w:rsidP="00EE5F59">
      <w:pPr>
        <w:pStyle w:val="whitespace-normal"/>
      </w:pPr>
      <w:r>
        <w:rPr>
          <w:rStyle w:val="Fett"/>
          <w:rFonts w:eastAsiaTheme="majorEastAsia"/>
        </w:rPr>
        <w:t xml:space="preserve">Ende von Deuteronomium 34 und der gesamten </w:t>
      </w:r>
      <w:r w:rsidR="006D3FED">
        <w:rPr>
          <w:rStyle w:val="Fett"/>
          <w:rFonts w:eastAsiaTheme="majorEastAsia"/>
        </w:rPr>
        <w:t>Torah</w:t>
      </w:r>
      <w:r>
        <w:rPr>
          <w:rStyle w:val="Fett"/>
          <w:rFonts w:eastAsiaTheme="majorEastAsia"/>
        </w:rPr>
        <w:t>.</w:t>
      </w:r>
    </w:p>
    <w:p w14:paraId="33B33B03" w14:textId="35D6CA1F" w:rsidR="00EE5F59" w:rsidRDefault="00EE5F59" w:rsidP="00EE5F59">
      <w:pPr>
        <w:pStyle w:val="whitespace-normal"/>
      </w:pPr>
      <w:r>
        <w:t xml:space="preserve">Dies ist das Schlusskapitel der </w:t>
      </w:r>
      <w:r w:rsidR="006D3FED">
        <w:t>Torah</w:t>
      </w:r>
      <w:r>
        <w:t>, das Moses Tod und Begräbnis beschreibt. Die Struktur:</w:t>
      </w:r>
    </w:p>
    <w:p w14:paraId="7DEBB4CF" w14:textId="0DE4F107" w:rsidR="00EE5F59" w:rsidRDefault="00EE5F59" w:rsidP="00EE5F59">
      <w:pPr>
        <w:pStyle w:val="whitespace-normal"/>
        <w:numPr>
          <w:ilvl w:val="0"/>
          <w:numId w:val="23"/>
        </w:numPr>
      </w:pPr>
      <w:r>
        <w:rPr>
          <w:rStyle w:val="Fett"/>
          <w:rFonts w:eastAsiaTheme="majorEastAsia"/>
        </w:rPr>
        <w:t>V. 1-4:</w:t>
      </w:r>
      <w:r>
        <w:t xml:space="preserve"> Moses </w:t>
      </w:r>
      <w:r w:rsidR="00F27DCE">
        <w:t>Schau</w:t>
      </w:r>
      <w:r>
        <w:t xml:space="preserve"> des verheißenen Landes vom Berg Nebo</w:t>
      </w:r>
    </w:p>
    <w:p w14:paraId="5684576B" w14:textId="77777777" w:rsidR="00EE5F59" w:rsidRDefault="00EE5F59" w:rsidP="00EE5F59">
      <w:pPr>
        <w:pStyle w:val="whitespace-normal"/>
        <w:numPr>
          <w:ilvl w:val="0"/>
          <w:numId w:val="23"/>
        </w:numPr>
      </w:pPr>
      <w:r>
        <w:rPr>
          <w:rStyle w:val="Fett"/>
          <w:rFonts w:eastAsiaTheme="majorEastAsia"/>
        </w:rPr>
        <w:t>V. 5-6:</w:t>
      </w:r>
      <w:r>
        <w:t xml:space="preserve"> Moses Tod und geheimnisvolles Begräbnis</w:t>
      </w:r>
    </w:p>
    <w:p w14:paraId="2E1A8534" w14:textId="77777777" w:rsidR="00EE5F59" w:rsidRDefault="00EE5F59" w:rsidP="00EE5F59">
      <w:pPr>
        <w:pStyle w:val="whitespace-normal"/>
        <w:numPr>
          <w:ilvl w:val="0"/>
          <w:numId w:val="23"/>
        </w:numPr>
      </w:pPr>
      <w:r>
        <w:rPr>
          <w:rStyle w:val="Fett"/>
          <w:rFonts w:eastAsiaTheme="majorEastAsia"/>
        </w:rPr>
        <w:t>V. 7:</w:t>
      </w:r>
      <w:r>
        <w:t xml:space="preserve"> Moses ungeschwächte Vitalität bis zuletzt</w:t>
      </w:r>
    </w:p>
    <w:p w14:paraId="4A74F3DB" w14:textId="77777777" w:rsidR="00EE5F59" w:rsidRDefault="00EE5F59" w:rsidP="00EE5F59">
      <w:pPr>
        <w:pStyle w:val="whitespace-normal"/>
        <w:numPr>
          <w:ilvl w:val="0"/>
          <w:numId w:val="23"/>
        </w:numPr>
      </w:pPr>
      <w:r>
        <w:rPr>
          <w:rStyle w:val="Fett"/>
          <w:rFonts w:eastAsiaTheme="majorEastAsia"/>
        </w:rPr>
        <w:t>V. 8:</w:t>
      </w:r>
      <w:r>
        <w:t xml:space="preserve"> 30-tägige Trauerzeit</w:t>
      </w:r>
    </w:p>
    <w:p w14:paraId="03BBFBD8" w14:textId="77777777" w:rsidR="00EE5F59" w:rsidRDefault="00EE5F59" w:rsidP="00EE5F59">
      <w:pPr>
        <w:pStyle w:val="whitespace-normal"/>
        <w:numPr>
          <w:ilvl w:val="0"/>
          <w:numId w:val="23"/>
        </w:numPr>
      </w:pPr>
      <w:r>
        <w:rPr>
          <w:rStyle w:val="Fett"/>
          <w:rFonts w:eastAsiaTheme="majorEastAsia"/>
        </w:rPr>
        <w:t>V. 9:</w:t>
      </w:r>
      <w:r>
        <w:t xml:space="preserve"> Josuas Nachfolge durch Handauflegung</w:t>
      </w:r>
    </w:p>
    <w:p w14:paraId="5DB9346E" w14:textId="77777777" w:rsidR="00EE5F59" w:rsidRDefault="00EE5F59" w:rsidP="00EE5F59">
      <w:pPr>
        <w:pStyle w:val="whitespace-normal"/>
        <w:numPr>
          <w:ilvl w:val="0"/>
          <w:numId w:val="23"/>
        </w:numPr>
      </w:pPr>
      <w:r>
        <w:rPr>
          <w:rStyle w:val="Fett"/>
          <w:rFonts w:eastAsiaTheme="majorEastAsia"/>
        </w:rPr>
        <w:t>V. 10-12:</w:t>
      </w:r>
      <w:r>
        <w:t xml:space="preserve"> Epilog über Moses Einzigartigkeit</w:t>
      </w:r>
    </w:p>
    <w:p w14:paraId="251D4B2F" w14:textId="1696C4EF" w:rsidR="00EE5F59" w:rsidRDefault="00EE5F59" w:rsidP="00EE5F59">
      <w:pPr>
        <w:pStyle w:val="whitespace-normal"/>
      </w:pPr>
      <w:r>
        <w:t xml:space="preserve">Zentrale Themen: Die bittere Ironie – Mose sieht das Land, darf aber nicht hinein (V. 4); das Geheimnis von Moses Tod und Grab (V. 5-6); Moses außerordentliche Vitalität (V. 7); erfolgreicher Führungswechsel zu Josua (V. 9); Moses absolute Einzigartigkeit als Prophet (V. 10-12). Der Vers </w:t>
      </w:r>
      <w:r>
        <w:rPr>
          <w:rStyle w:val="Fett"/>
          <w:rFonts w:eastAsiaTheme="majorEastAsia"/>
          <w:rtl/>
        </w:rPr>
        <w:t>וְלֹא־קָם נָבִיא עוֹד בְּיִשְׂרָאֵל כְּמֹשֶׁה</w:t>
      </w:r>
      <w:r>
        <w:rPr>
          <w:rtl/>
        </w:rPr>
        <w:t xml:space="preserve"> </w:t>
      </w:r>
      <w:r>
        <w:t xml:space="preserve">(„und es stand in Israel kein Prophet mehr auf wie Mosche", V. 10) wurde zum klassischen Bekenntnis von Moses Überlegenheit über alle anderen Propheten. Die </w:t>
      </w:r>
      <w:r w:rsidR="006D3FED">
        <w:t>Torah</w:t>
      </w:r>
      <w:r>
        <w:t xml:space="preserve"> endet nicht mit dem triumphalen Einzug ins Land, sondern mit dem Tod des großen Führers – ein realistisches, menschliches Ende für das größte Buch der Geschichte.</w:t>
      </w:r>
    </w:p>
    <w:p w14:paraId="6FDA2123" w14:textId="761F36BF" w:rsidR="00EE5F59" w:rsidRDefault="00EE5F59" w:rsidP="00EE5F59">
      <w:pPr>
        <w:pStyle w:val="whitespace-normal"/>
      </w:pPr>
      <w:r>
        <w:rPr>
          <w:rStyle w:val="Fett"/>
          <w:rFonts w:eastAsiaTheme="majorEastAsia"/>
        </w:rPr>
        <w:t>Bemerkenswerte rabbinische Frage:</w:t>
      </w:r>
      <w:r>
        <w:t xml:space="preserve"> Wer schrieb die letzten acht Verse (34,5-12), die Moses Tod beschreiben? </w:t>
      </w:r>
      <w:r>
        <w:rPr>
          <w:rStyle w:val="Fett"/>
          <w:rFonts w:eastAsiaTheme="majorEastAsia"/>
        </w:rPr>
        <w:t>Talmud Baba Batra 15a</w:t>
      </w:r>
      <w:r>
        <w:t xml:space="preserve"> diskutiert: Rabbi Jehuda sagte: Josua schrieb sie. Rabbi Schimon sagte: Mose schrieb sie weinend (d.h. in Antizipation seines Todes). Die traditionelle Auffassung: Mose schrieb die gesamte </w:t>
      </w:r>
      <w:r w:rsidR="006D3FED">
        <w:t>Torah</w:t>
      </w:r>
      <w:r>
        <w:t xml:space="preserve"> unter göttlicher Inspiration, einschließlich der Prophezeiung seines eigenen Todes.</w:t>
      </w:r>
    </w:p>
    <w:p w14:paraId="1E363E78" w14:textId="37BD7850" w:rsidR="00EE5F59" w:rsidRDefault="00EE5F59" w:rsidP="00EE5F59">
      <w:pPr>
        <w:pStyle w:val="whitespace-normal"/>
      </w:pPr>
      <w:r>
        <w:rPr>
          <w:rStyle w:val="Fett"/>
          <w:rFonts w:eastAsiaTheme="majorEastAsia"/>
          <w:rtl/>
        </w:rPr>
        <w:lastRenderedPageBreak/>
        <w:t>חזק חזק ונתחזק</w:t>
      </w:r>
      <w:r>
        <w:rPr>
          <w:rtl/>
        </w:rPr>
        <w:t xml:space="preserve"> </w:t>
      </w:r>
      <w:r>
        <w:t>(</w:t>
      </w:r>
      <w:proofErr w:type="spellStart"/>
      <w:r>
        <w:t>Chazak</w:t>
      </w:r>
      <w:proofErr w:type="spellEnd"/>
      <w:r>
        <w:t xml:space="preserve">, </w:t>
      </w:r>
      <w:proofErr w:type="spellStart"/>
      <w:r>
        <w:t>chazak</w:t>
      </w:r>
      <w:proofErr w:type="spellEnd"/>
      <w:r>
        <w:t xml:space="preserve">, </w:t>
      </w:r>
      <w:proofErr w:type="spellStart"/>
      <w:r>
        <w:t>venitchazek</w:t>
      </w:r>
      <w:proofErr w:type="spellEnd"/>
      <w:r>
        <w:t xml:space="preserve"> – „Sei stark, sei stark, und lasst uns gestärkt werden!") – der traditionelle Ruf beim Abschluss eines </w:t>
      </w:r>
      <w:proofErr w:type="spellStart"/>
      <w:r w:rsidR="006D3FED">
        <w:t>Torah</w:t>
      </w:r>
      <w:r>
        <w:t>buches</w:t>
      </w:r>
      <w:proofErr w:type="spellEnd"/>
      <w:r>
        <w:t>.</w:t>
      </w:r>
    </w:p>
    <w:p w14:paraId="4AAE3EB5" w14:textId="08D2DF9B" w:rsidR="005D0B3C" w:rsidRDefault="005D0B3C" w:rsidP="005D0B3C"/>
    <w:p w14:paraId="3131879C" w14:textId="77777777" w:rsidR="00132368" w:rsidRDefault="00132368" w:rsidP="00132368">
      <w:pPr>
        <w:spacing w:before="100" w:beforeAutospacing="1" w:after="100" w:afterAutospacing="1" w:line="240" w:lineRule="auto"/>
        <w:rPr>
          <w:rFonts w:eastAsia="Times New Roman"/>
          <w:lang w:eastAsia="de-DE"/>
        </w:rPr>
      </w:pPr>
      <w:r>
        <w:rPr>
          <w:rFonts w:eastAsia="Times New Roman"/>
          <w:lang w:eastAsia="de-DE"/>
        </w:rPr>
        <w:t>Peter Streitenberger / Ingolstadt &amp; Thomas Schneider / Rennerod im Dezember 2025</w:t>
      </w:r>
    </w:p>
    <w:p w14:paraId="2C3CAC81" w14:textId="77777777" w:rsidR="008445C7" w:rsidRDefault="008445C7" w:rsidP="00565D0C"/>
    <w:p w14:paraId="59AC2EBE" w14:textId="29C72A5C" w:rsidR="00355406" w:rsidRPr="00355406" w:rsidRDefault="00355406" w:rsidP="00355406">
      <w:pPr>
        <w:spacing w:before="100" w:beforeAutospacing="1" w:after="100" w:afterAutospacing="1" w:line="240" w:lineRule="auto"/>
        <w:rPr>
          <w:rFonts w:eastAsia="Times New Roman"/>
          <w:lang w:eastAsia="de-DE"/>
        </w:rPr>
      </w:pPr>
    </w:p>
    <w:p w14:paraId="1BDB77F5" w14:textId="7D0236D8" w:rsidR="00D94821" w:rsidRPr="00D94821" w:rsidRDefault="00D94821" w:rsidP="00D94821">
      <w:pPr>
        <w:spacing w:before="100" w:beforeAutospacing="1" w:after="100" w:afterAutospacing="1" w:line="240" w:lineRule="auto"/>
        <w:rPr>
          <w:rFonts w:eastAsia="Times New Roman"/>
          <w:lang w:eastAsia="de-DE"/>
        </w:rPr>
      </w:pPr>
    </w:p>
    <w:p w14:paraId="494701C3" w14:textId="2BAF7A16" w:rsidR="008D099B" w:rsidRPr="008D099B" w:rsidRDefault="008D099B" w:rsidP="008D099B">
      <w:pPr>
        <w:spacing w:before="100" w:beforeAutospacing="1" w:after="100" w:afterAutospacing="1" w:line="240" w:lineRule="auto"/>
        <w:rPr>
          <w:rFonts w:eastAsia="Times New Roman"/>
          <w:lang w:eastAsia="de-DE"/>
        </w:rPr>
      </w:pPr>
    </w:p>
    <w:p w14:paraId="0AAF4C34" w14:textId="60ADFACC" w:rsidR="00233F30" w:rsidRPr="00233F30" w:rsidRDefault="00233F30" w:rsidP="00233F30">
      <w:pPr>
        <w:spacing w:before="100" w:beforeAutospacing="1" w:after="100" w:afterAutospacing="1" w:line="240" w:lineRule="auto"/>
        <w:rPr>
          <w:rFonts w:eastAsia="Times New Roman"/>
          <w:lang w:eastAsia="de-DE"/>
        </w:rPr>
      </w:pPr>
    </w:p>
    <w:p w14:paraId="0B0CC99B" w14:textId="2EB2A30A" w:rsidR="007B72C7" w:rsidRPr="007B72C7" w:rsidRDefault="007B72C7" w:rsidP="007B72C7">
      <w:pPr>
        <w:spacing w:before="100" w:beforeAutospacing="1" w:after="100" w:afterAutospacing="1" w:line="240" w:lineRule="auto"/>
        <w:rPr>
          <w:rFonts w:eastAsia="Times New Roman"/>
          <w:lang w:eastAsia="de-DE"/>
        </w:rPr>
      </w:pPr>
    </w:p>
    <w:p w14:paraId="173F8972" w14:textId="262FA713" w:rsidR="007B72C7" w:rsidRPr="007B72C7" w:rsidRDefault="007B72C7" w:rsidP="007B72C7">
      <w:pPr>
        <w:spacing w:before="100" w:beforeAutospacing="1" w:after="100" w:afterAutospacing="1" w:line="240" w:lineRule="auto"/>
        <w:rPr>
          <w:rFonts w:eastAsia="Times New Roman"/>
          <w:lang w:eastAsia="de-DE"/>
        </w:rPr>
      </w:pPr>
    </w:p>
    <w:p w14:paraId="2AECF77C" w14:textId="77777777" w:rsidR="00400209" w:rsidRPr="00400209" w:rsidRDefault="00400209" w:rsidP="00400209"/>
    <w:sectPr w:rsidR="00400209" w:rsidRPr="00400209">
      <w:foot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68234" w14:textId="77777777" w:rsidR="004F5CEB" w:rsidRDefault="004F5CEB" w:rsidP="008149DC">
      <w:pPr>
        <w:spacing w:after="0" w:line="240" w:lineRule="auto"/>
      </w:pPr>
      <w:r>
        <w:separator/>
      </w:r>
    </w:p>
  </w:endnote>
  <w:endnote w:type="continuationSeparator" w:id="0">
    <w:p w14:paraId="01D213CC" w14:textId="77777777" w:rsidR="004F5CEB" w:rsidRDefault="004F5CEB" w:rsidP="00814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3625925"/>
      <w:docPartObj>
        <w:docPartGallery w:val="Page Numbers (Bottom of Page)"/>
        <w:docPartUnique/>
      </w:docPartObj>
    </w:sdtPr>
    <w:sdtEndPr/>
    <w:sdtContent>
      <w:p w14:paraId="3008EB15" w14:textId="5590053B" w:rsidR="008149DC" w:rsidRDefault="008149DC">
        <w:pPr>
          <w:jc w:val="center"/>
        </w:pPr>
        <w:r>
          <w:rPr>
            <w:noProof/>
          </w:rPr>
          <mc:AlternateContent>
            <mc:Choice Requires="wps">
              <w:drawing>
                <wp:inline distT="0" distB="0" distL="0" distR="0" wp14:anchorId="527B69E4" wp14:editId="12FB9E06">
                  <wp:extent cx="5467350" cy="45085"/>
                  <wp:effectExtent l="9525" t="9525" r="0" b="2540"/>
                  <wp:docPr id="1" name="Flussdiagramm: Verzweigung 1" descr="Light horizont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type w14:anchorId="3068E26C" id="_x0000_t110" coordsize="21600,21600" o:spt="110" path="m10800,l,10800,10800,21600,21600,10800xe">
                  <v:stroke joinstyle="miter"/>
                  <v:path gradientshapeok="t" o:connecttype="rect" textboxrect="5400,5400,16200,16200"/>
                </v:shapetype>
                <v:shape id="Flussdiagramm: Verzweigung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" fillcolor="black" stroked="f">
                  <v:fill r:id="rId1" o:title="" type="pattern"/>
                  <w10:anchorlock/>
                </v:shape>
              </w:pict>
            </mc:Fallback>
          </mc:AlternateContent>
        </w:r>
      </w:p>
      <w:p w14:paraId="612F522E" w14:textId="048DF8D7" w:rsidR="008149DC" w:rsidRDefault="008149DC">
        <w:pPr>
          <w:jc w:val="center"/>
        </w:pPr>
        <w:r>
          <w:fldChar w:fldCharType="begin"/>
        </w:r>
        <w:r>
          <w:instrText>PAGE    \* MERGEFORMAT</w:instrText>
        </w:r>
        <w:r>
          <w:fldChar w:fldCharType="separate"/>
        </w:r>
        <w:r>
          <w:t>2</w:t>
        </w:r>
        <w:r>
          <w:fldChar w:fldCharType="end"/>
        </w:r>
      </w:p>
    </w:sdtContent>
  </w:sdt>
  <w:p w14:paraId="3433117C" w14:textId="77777777" w:rsidR="008149DC" w:rsidRDefault="008149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A37A6" w14:textId="77777777" w:rsidR="004F5CEB" w:rsidRDefault="004F5CEB" w:rsidP="008149DC">
      <w:pPr>
        <w:spacing w:after="0" w:line="240" w:lineRule="auto"/>
      </w:pPr>
      <w:r>
        <w:separator/>
      </w:r>
    </w:p>
  </w:footnote>
  <w:footnote w:type="continuationSeparator" w:id="0">
    <w:p w14:paraId="581482C5" w14:textId="77777777" w:rsidR="004F5CEB" w:rsidRDefault="004F5CEB" w:rsidP="008149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6B33"/>
    <w:multiLevelType w:val="multilevel"/>
    <w:tmpl w:val="BAE0C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FA7A92"/>
    <w:multiLevelType w:val="multilevel"/>
    <w:tmpl w:val="2054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5A2107"/>
    <w:multiLevelType w:val="hybridMultilevel"/>
    <w:tmpl w:val="95CE69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2E5062"/>
    <w:multiLevelType w:val="multilevel"/>
    <w:tmpl w:val="23A02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356431"/>
    <w:multiLevelType w:val="multilevel"/>
    <w:tmpl w:val="EC6A4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5145CF"/>
    <w:multiLevelType w:val="multilevel"/>
    <w:tmpl w:val="AF76F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966C4F"/>
    <w:multiLevelType w:val="hybridMultilevel"/>
    <w:tmpl w:val="FC7484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D393A96"/>
    <w:multiLevelType w:val="multilevel"/>
    <w:tmpl w:val="8D64C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5A4262"/>
    <w:multiLevelType w:val="hybridMultilevel"/>
    <w:tmpl w:val="E9064BB8"/>
    <w:lvl w:ilvl="0" w:tplc="04070015">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23AF2B42"/>
    <w:multiLevelType w:val="multilevel"/>
    <w:tmpl w:val="77BE1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2B6F80"/>
    <w:multiLevelType w:val="multilevel"/>
    <w:tmpl w:val="8FE81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2F6A4F"/>
    <w:multiLevelType w:val="multilevel"/>
    <w:tmpl w:val="4E0C7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DE4806"/>
    <w:multiLevelType w:val="hybridMultilevel"/>
    <w:tmpl w:val="C03C6A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0DD0D30"/>
    <w:multiLevelType w:val="hybridMultilevel"/>
    <w:tmpl w:val="282228D2"/>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4" w15:restartNumberingAfterBreak="0">
    <w:nsid w:val="41D665B6"/>
    <w:multiLevelType w:val="multilevel"/>
    <w:tmpl w:val="86C81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5A63266"/>
    <w:multiLevelType w:val="multilevel"/>
    <w:tmpl w:val="63AE9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2E2052"/>
    <w:multiLevelType w:val="hybridMultilevel"/>
    <w:tmpl w:val="3A4259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EBC49EF"/>
    <w:multiLevelType w:val="multilevel"/>
    <w:tmpl w:val="564E4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111BC5"/>
    <w:multiLevelType w:val="hybridMultilevel"/>
    <w:tmpl w:val="807CAB1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EB473F7"/>
    <w:multiLevelType w:val="multilevel"/>
    <w:tmpl w:val="3BC687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430218"/>
    <w:multiLevelType w:val="hybridMultilevel"/>
    <w:tmpl w:val="04741F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6871939"/>
    <w:multiLevelType w:val="multilevel"/>
    <w:tmpl w:val="96825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F6D670F"/>
    <w:multiLevelType w:val="multilevel"/>
    <w:tmpl w:val="CD5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FD68B0"/>
    <w:multiLevelType w:val="multilevel"/>
    <w:tmpl w:val="D01EA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6B771F"/>
    <w:multiLevelType w:val="multilevel"/>
    <w:tmpl w:val="6EE4B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3BB2D21"/>
    <w:multiLevelType w:val="multilevel"/>
    <w:tmpl w:val="05E0C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E9008B"/>
    <w:multiLevelType w:val="multilevel"/>
    <w:tmpl w:val="05525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095A16"/>
    <w:multiLevelType w:val="multilevel"/>
    <w:tmpl w:val="63AE9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B890BAD"/>
    <w:multiLevelType w:val="multilevel"/>
    <w:tmpl w:val="38BAA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B95CD9"/>
    <w:multiLevelType w:val="hybridMultilevel"/>
    <w:tmpl w:val="75140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6"/>
  </w:num>
  <w:num w:numId="4">
    <w:abstractNumId w:val="2"/>
  </w:num>
  <w:num w:numId="5">
    <w:abstractNumId w:val="20"/>
  </w:num>
  <w:num w:numId="6">
    <w:abstractNumId w:val="16"/>
  </w:num>
  <w:num w:numId="7">
    <w:abstractNumId w:val="12"/>
  </w:num>
  <w:num w:numId="8">
    <w:abstractNumId w:val="19"/>
  </w:num>
  <w:num w:numId="9">
    <w:abstractNumId w:val="13"/>
  </w:num>
  <w:num w:numId="10">
    <w:abstractNumId w:val="0"/>
  </w:num>
  <w:num w:numId="11">
    <w:abstractNumId w:val="5"/>
  </w:num>
  <w:num w:numId="12">
    <w:abstractNumId w:val="8"/>
  </w:num>
  <w:num w:numId="13">
    <w:abstractNumId w:val="28"/>
  </w:num>
  <w:num w:numId="14">
    <w:abstractNumId w:val="9"/>
  </w:num>
  <w:num w:numId="15">
    <w:abstractNumId w:val="23"/>
  </w:num>
  <w:num w:numId="16">
    <w:abstractNumId w:val="11"/>
  </w:num>
  <w:num w:numId="17">
    <w:abstractNumId w:val="24"/>
  </w:num>
  <w:num w:numId="18">
    <w:abstractNumId w:val="1"/>
  </w:num>
  <w:num w:numId="19">
    <w:abstractNumId w:val="10"/>
  </w:num>
  <w:num w:numId="20">
    <w:abstractNumId w:val="7"/>
  </w:num>
  <w:num w:numId="21">
    <w:abstractNumId w:val="4"/>
  </w:num>
  <w:num w:numId="22">
    <w:abstractNumId w:val="17"/>
  </w:num>
  <w:num w:numId="23">
    <w:abstractNumId w:val="26"/>
  </w:num>
  <w:num w:numId="24">
    <w:abstractNumId w:val="15"/>
  </w:num>
  <w:num w:numId="25">
    <w:abstractNumId w:val="27"/>
  </w:num>
  <w:num w:numId="26">
    <w:abstractNumId w:val="22"/>
  </w:num>
  <w:num w:numId="27">
    <w:abstractNumId w:val="29"/>
  </w:num>
  <w:num w:numId="28">
    <w:abstractNumId w:val="21"/>
  </w:num>
  <w:num w:numId="29">
    <w:abstractNumId w:val="14"/>
  </w:num>
  <w:num w:numId="30">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209"/>
    <w:rsid w:val="00003E41"/>
    <w:rsid w:val="000115C1"/>
    <w:rsid w:val="00034E3C"/>
    <w:rsid w:val="00071B30"/>
    <w:rsid w:val="00094BCE"/>
    <w:rsid w:val="000B2AE7"/>
    <w:rsid w:val="000F3014"/>
    <w:rsid w:val="000F34F9"/>
    <w:rsid w:val="00113C10"/>
    <w:rsid w:val="00115C43"/>
    <w:rsid w:val="00117C17"/>
    <w:rsid w:val="00132368"/>
    <w:rsid w:val="00146FBA"/>
    <w:rsid w:val="0016376A"/>
    <w:rsid w:val="00166F02"/>
    <w:rsid w:val="001855DE"/>
    <w:rsid w:val="001A04EF"/>
    <w:rsid w:val="001D3171"/>
    <w:rsid w:val="001E0205"/>
    <w:rsid w:val="001F6DF8"/>
    <w:rsid w:val="00212F8D"/>
    <w:rsid w:val="00232434"/>
    <w:rsid w:val="00233F30"/>
    <w:rsid w:val="0023432A"/>
    <w:rsid w:val="00242989"/>
    <w:rsid w:val="00257FCB"/>
    <w:rsid w:val="00261D20"/>
    <w:rsid w:val="00266B37"/>
    <w:rsid w:val="002700A8"/>
    <w:rsid w:val="00272EAD"/>
    <w:rsid w:val="00277B46"/>
    <w:rsid w:val="00281FDB"/>
    <w:rsid w:val="0029407C"/>
    <w:rsid w:val="002B747B"/>
    <w:rsid w:val="0030589B"/>
    <w:rsid w:val="003217AF"/>
    <w:rsid w:val="00323822"/>
    <w:rsid w:val="00324616"/>
    <w:rsid w:val="0032647F"/>
    <w:rsid w:val="0033521D"/>
    <w:rsid w:val="00344263"/>
    <w:rsid w:val="00346CE0"/>
    <w:rsid w:val="00355406"/>
    <w:rsid w:val="00367E7C"/>
    <w:rsid w:val="00371C95"/>
    <w:rsid w:val="00384D86"/>
    <w:rsid w:val="003905B8"/>
    <w:rsid w:val="003933AB"/>
    <w:rsid w:val="00394F78"/>
    <w:rsid w:val="0039595E"/>
    <w:rsid w:val="003B3706"/>
    <w:rsid w:val="003B5012"/>
    <w:rsid w:val="003D0043"/>
    <w:rsid w:val="003D0A53"/>
    <w:rsid w:val="003D657E"/>
    <w:rsid w:val="003D743A"/>
    <w:rsid w:val="003E41E1"/>
    <w:rsid w:val="003F0E7B"/>
    <w:rsid w:val="00400209"/>
    <w:rsid w:val="0040483F"/>
    <w:rsid w:val="00413630"/>
    <w:rsid w:val="0045060F"/>
    <w:rsid w:val="004551CE"/>
    <w:rsid w:val="00461277"/>
    <w:rsid w:val="00463080"/>
    <w:rsid w:val="00465BF0"/>
    <w:rsid w:val="004736F4"/>
    <w:rsid w:val="004768A6"/>
    <w:rsid w:val="004C566C"/>
    <w:rsid w:val="004D33BE"/>
    <w:rsid w:val="004D7A19"/>
    <w:rsid w:val="004F00CA"/>
    <w:rsid w:val="004F2264"/>
    <w:rsid w:val="004F5CEB"/>
    <w:rsid w:val="004F7BB4"/>
    <w:rsid w:val="00516967"/>
    <w:rsid w:val="00517C15"/>
    <w:rsid w:val="00530BCD"/>
    <w:rsid w:val="00532A64"/>
    <w:rsid w:val="0054771B"/>
    <w:rsid w:val="00553D34"/>
    <w:rsid w:val="00556D10"/>
    <w:rsid w:val="00560E23"/>
    <w:rsid w:val="00564C2A"/>
    <w:rsid w:val="00565D0C"/>
    <w:rsid w:val="00570487"/>
    <w:rsid w:val="005918EB"/>
    <w:rsid w:val="00595796"/>
    <w:rsid w:val="005A3602"/>
    <w:rsid w:val="005D0B3C"/>
    <w:rsid w:val="005D6A69"/>
    <w:rsid w:val="005E1580"/>
    <w:rsid w:val="005E18F7"/>
    <w:rsid w:val="005F56B0"/>
    <w:rsid w:val="00601BE1"/>
    <w:rsid w:val="00607566"/>
    <w:rsid w:val="00613CB3"/>
    <w:rsid w:val="00632F0C"/>
    <w:rsid w:val="00647BA8"/>
    <w:rsid w:val="006538EF"/>
    <w:rsid w:val="00664BA3"/>
    <w:rsid w:val="00664EB6"/>
    <w:rsid w:val="00684135"/>
    <w:rsid w:val="006D3FED"/>
    <w:rsid w:val="006D44EB"/>
    <w:rsid w:val="00705F3D"/>
    <w:rsid w:val="007064FD"/>
    <w:rsid w:val="0071044D"/>
    <w:rsid w:val="00711910"/>
    <w:rsid w:val="00713867"/>
    <w:rsid w:val="0071413A"/>
    <w:rsid w:val="00724090"/>
    <w:rsid w:val="00731060"/>
    <w:rsid w:val="007316F4"/>
    <w:rsid w:val="00734E2E"/>
    <w:rsid w:val="0073552A"/>
    <w:rsid w:val="00743283"/>
    <w:rsid w:val="00751B65"/>
    <w:rsid w:val="007638C8"/>
    <w:rsid w:val="0077321D"/>
    <w:rsid w:val="00780485"/>
    <w:rsid w:val="00796A84"/>
    <w:rsid w:val="007B72C7"/>
    <w:rsid w:val="007D65FD"/>
    <w:rsid w:val="007E2044"/>
    <w:rsid w:val="007E7473"/>
    <w:rsid w:val="007E7AC6"/>
    <w:rsid w:val="007F3E46"/>
    <w:rsid w:val="00805CE2"/>
    <w:rsid w:val="008068F7"/>
    <w:rsid w:val="008149DC"/>
    <w:rsid w:val="00821B3B"/>
    <w:rsid w:val="008225C0"/>
    <w:rsid w:val="0082305E"/>
    <w:rsid w:val="0082635F"/>
    <w:rsid w:val="008306D7"/>
    <w:rsid w:val="008445C7"/>
    <w:rsid w:val="008610DF"/>
    <w:rsid w:val="00864B28"/>
    <w:rsid w:val="00880F63"/>
    <w:rsid w:val="0089100C"/>
    <w:rsid w:val="008A279E"/>
    <w:rsid w:val="008A3A15"/>
    <w:rsid w:val="008A57FB"/>
    <w:rsid w:val="008C1A51"/>
    <w:rsid w:val="008D099B"/>
    <w:rsid w:val="008D3E71"/>
    <w:rsid w:val="008D48A3"/>
    <w:rsid w:val="008D4C22"/>
    <w:rsid w:val="008D5AF6"/>
    <w:rsid w:val="008E2218"/>
    <w:rsid w:val="008E3C9E"/>
    <w:rsid w:val="00911F17"/>
    <w:rsid w:val="0091730D"/>
    <w:rsid w:val="00923D7E"/>
    <w:rsid w:val="00956228"/>
    <w:rsid w:val="00973866"/>
    <w:rsid w:val="009772EE"/>
    <w:rsid w:val="009A724F"/>
    <w:rsid w:val="009B1EBB"/>
    <w:rsid w:val="009B686A"/>
    <w:rsid w:val="009C22FD"/>
    <w:rsid w:val="009C316F"/>
    <w:rsid w:val="00A330A9"/>
    <w:rsid w:val="00A449B0"/>
    <w:rsid w:val="00A51E18"/>
    <w:rsid w:val="00A560F3"/>
    <w:rsid w:val="00A600C6"/>
    <w:rsid w:val="00A705B7"/>
    <w:rsid w:val="00A709A3"/>
    <w:rsid w:val="00A739DA"/>
    <w:rsid w:val="00A73D7A"/>
    <w:rsid w:val="00A8036F"/>
    <w:rsid w:val="00A924F1"/>
    <w:rsid w:val="00A93C3C"/>
    <w:rsid w:val="00AA14B9"/>
    <w:rsid w:val="00AB12A0"/>
    <w:rsid w:val="00AB44EE"/>
    <w:rsid w:val="00AD6187"/>
    <w:rsid w:val="00AE1705"/>
    <w:rsid w:val="00B27A64"/>
    <w:rsid w:val="00B33854"/>
    <w:rsid w:val="00B53ACC"/>
    <w:rsid w:val="00B77CC6"/>
    <w:rsid w:val="00B77E5E"/>
    <w:rsid w:val="00B81D31"/>
    <w:rsid w:val="00B82D82"/>
    <w:rsid w:val="00BC2371"/>
    <w:rsid w:val="00BC5063"/>
    <w:rsid w:val="00BC555A"/>
    <w:rsid w:val="00BF3748"/>
    <w:rsid w:val="00C068EC"/>
    <w:rsid w:val="00C111E7"/>
    <w:rsid w:val="00C13523"/>
    <w:rsid w:val="00C178BF"/>
    <w:rsid w:val="00C21CEF"/>
    <w:rsid w:val="00C25194"/>
    <w:rsid w:val="00C320AC"/>
    <w:rsid w:val="00C3501C"/>
    <w:rsid w:val="00C367A0"/>
    <w:rsid w:val="00C46784"/>
    <w:rsid w:val="00C47F14"/>
    <w:rsid w:val="00C50326"/>
    <w:rsid w:val="00C5644E"/>
    <w:rsid w:val="00C8349A"/>
    <w:rsid w:val="00C90AB0"/>
    <w:rsid w:val="00C91766"/>
    <w:rsid w:val="00C91CB2"/>
    <w:rsid w:val="00CB256D"/>
    <w:rsid w:val="00CB4F6A"/>
    <w:rsid w:val="00CC72BF"/>
    <w:rsid w:val="00CE2C60"/>
    <w:rsid w:val="00D0044F"/>
    <w:rsid w:val="00D00836"/>
    <w:rsid w:val="00D146F5"/>
    <w:rsid w:val="00D30C9F"/>
    <w:rsid w:val="00D3615F"/>
    <w:rsid w:val="00D44481"/>
    <w:rsid w:val="00D448AB"/>
    <w:rsid w:val="00D47758"/>
    <w:rsid w:val="00D644AF"/>
    <w:rsid w:val="00D66CD5"/>
    <w:rsid w:val="00D84597"/>
    <w:rsid w:val="00D91A0B"/>
    <w:rsid w:val="00D936E2"/>
    <w:rsid w:val="00D94014"/>
    <w:rsid w:val="00D94821"/>
    <w:rsid w:val="00DC2F43"/>
    <w:rsid w:val="00DC5087"/>
    <w:rsid w:val="00DD2E9B"/>
    <w:rsid w:val="00DD45BE"/>
    <w:rsid w:val="00DE0DFC"/>
    <w:rsid w:val="00DE4665"/>
    <w:rsid w:val="00DF3D1A"/>
    <w:rsid w:val="00E01E90"/>
    <w:rsid w:val="00E10FF9"/>
    <w:rsid w:val="00E235C0"/>
    <w:rsid w:val="00E3356A"/>
    <w:rsid w:val="00E531E0"/>
    <w:rsid w:val="00E606BB"/>
    <w:rsid w:val="00E724E6"/>
    <w:rsid w:val="00E7395F"/>
    <w:rsid w:val="00E80EEB"/>
    <w:rsid w:val="00EC21B0"/>
    <w:rsid w:val="00ED2181"/>
    <w:rsid w:val="00ED2ABB"/>
    <w:rsid w:val="00EE5F59"/>
    <w:rsid w:val="00F0029F"/>
    <w:rsid w:val="00F1615F"/>
    <w:rsid w:val="00F23549"/>
    <w:rsid w:val="00F27DCE"/>
    <w:rsid w:val="00F30413"/>
    <w:rsid w:val="00F4751E"/>
    <w:rsid w:val="00F55674"/>
    <w:rsid w:val="00F63EA3"/>
    <w:rsid w:val="00F867E5"/>
    <w:rsid w:val="00F90130"/>
    <w:rsid w:val="00FA7F06"/>
    <w:rsid w:val="00FB3791"/>
    <w:rsid w:val="00FC5592"/>
    <w:rsid w:val="00FD17A7"/>
    <w:rsid w:val="00FE3DFE"/>
    <w:rsid w:val="00FF2B82"/>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F74737"/>
  <w15:chartTrackingRefBased/>
  <w15:docId w15:val="{F2D171F3-C738-48D1-BDC7-D3955F8D3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de-DE"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0209"/>
    <w:pPr>
      <w:spacing w:line="252" w:lineRule="auto"/>
    </w:pPr>
  </w:style>
  <w:style w:type="paragraph" w:styleId="berschrift1">
    <w:name w:val="heading 1"/>
    <w:basedOn w:val="Standard"/>
    <w:next w:val="Standard"/>
    <w:link w:val="berschrift1Zchn"/>
    <w:uiPriority w:val="9"/>
    <w:qFormat/>
    <w:rsid w:val="00D644AF"/>
    <w:pPr>
      <w:keepNext/>
      <w:keepLines/>
      <w:spacing w:before="240" w:after="0"/>
      <w:outlineLvl w:val="0"/>
    </w:pPr>
    <w:rPr>
      <w:rFonts w:asciiTheme="majorHAnsi" w:eastAsiaTheme="majorEastAsia" w:hAnsiTheme="majorHAnsi"/>
      <w:color w:val="2F5496" w:themeColor="accent1" w:themeShade="BF"/>
      <w:sz w:val="32"/>
      <w:szCs w:val="32"/>
    </w:rPr>
  </w:style>
  <w:style w:type="paragraph" w:styleId="berschrift2">
    <w:name w:val="heading 2"/>
    <w:basedOn w:val="Standard"/>
    <w:link w:val="berschrift2Zchn"/>
    <w:uiPriority w:val="9"/>
    <w:qFormat/>
    <w:rsid w:val="00394F78"/>
    <w:pPr>
      <w:spacing w:before="100" w:beforeAutospacing="1" w:after="100" w:afterAutospacing="1" w:line="240" w:lineRule="auto"/>
      <w:outlineLvl w:val="1"/>
    </w:pPr>
    <w:rPr>
      <w:rFonts w:eastAsia="Times New Roman"/>
      <w:b/>
      <w:bCs/>
      <w:sz w:val="36"/>
      <w:szCs w:val="36"/>
      <w:lang w:eastAsia="de-DE"/>
    </w:rPr>
  </w:style>
  <w:style w:type="paragraph" w:styleId="berschrift3">
    <w:name w:val="heading 3"/>
    <w:basedOn w:val="Standard"/>
    <w:next w:val="Standard"/>
    <w:link w:val="berschrift3Zchn"/>
    <w:uiPriority w:val="9"/>
    <w:semiHidden/>
    <w:unhideWhenUsed/>
    <w:qFormat/>
    <w:rsid w:val="00D936E2"/>
    <w:pPr>
      <w:keepNext/>
      <w:keepLines/>
      <w:spacing w:before="40" w:after="0"/>
      <w:outlineLvl w:val="2"/>
    </w:pPr>
    <w:rPr>
      <w:rFonts w:asciiTheme="majorHAnsi" w:eastAsiaTheme="majorEastAsia" w:hAnsiTheme="majorHAnsi"/>
      <w:color w:val="1F3763" w:themeColor="accent1" w:themeShade="7F"/>
    </w:rPr>
  </w:style>
  <w:style w:type="paragraph" w:styleId="berschrift4">
    <w:name w:val="heading 4"/>
    <w:basedOn w:val="Standard"/>
    <w:next w:val="Standard"/>
    <w:link w:val="berschrift4Zchn"/>
    <w:uiPriority w:val="9"/>
    <w:semiHidden/>
    <w:unhideWhenUsed/>
    <w:qFormat/>
    <w:rsid w:val="00D936E2"/>
    <w:pPr>
      <w:keepNext/>
      <w:keepLines/>
      <w:spacing w:before="40" w:after="0"/>
      <w:outlineLvl w:val="3"/>
    </w:pPr>
    <w:rPr>
      <w:rFonts w:asciiTheme="majorHAnsi" w:eastAsiaTheme="majorEastAsia" w:hAnsiTheme="majorHAns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644AF"/>
    <w:rPr>
      <w:rFonts w:asciiTheme="majorHAnsi" w:eastAsiaTheme="majorEastAsia" w:hAnsiTheme="majorHAnsi"/>
      <w:color w:val="2F5496" w:themeColor="accent1" w:themeShade="BF"/>
      <w:sz w:val="32"/>
      <w:szCs w:val="32"/>
    </w:rPr>
  </w:style>
  <w:style w:type="character" w:customStyle="1" w:styleId="berschrift2Zchn">
    <w:name w:val="Überschrift 2 Zchn"/>
    <w:basedOn w:val="Absatz-Standardschriftart"/>
    <w:link w:val="berschrift2"/>
    <w:uiPriority w:val="9"/>
    <w:rsid w:val="00394F78"/>
    <w:rPr>
      <w:rFonts w:eastAsia="Times New Roman" w:cs="Times New Roman"/>
      <w:b/>
      <w:bCs/>
      <w:sz w:val="36"/>
      <w:szCs w:val="36"/>
      <w:lang w:eastAsia="de-DE"/>
    </w:rPr>
  </w:style>
  <w:style w:type="character" w:customStyle="1" w:styleId="berschrift3Zchn">
    <w:name w:val="Überschrift 3 Zchn"/>
    <w:basedOn w:val="Absatz-Standardschriftart"/>
    <w:link w:val="berschrift3"/>
    <w:uiPriority w:val="9"/>
    <w:semiHidden/>
    <w:rsid w:val="00D936E2"/>
    <w:rPr>
      <w:rFonts w:asciiTheme="majorHAnsi" w:eastAsiaTheme="majorEastAsia" w:hAnsiTheme="majorHAnsi"/>
      <w:color w:val="1F3763" w:themeColor="accent1" w:themeShade="7F"/>
    </w:rPr>
  </w:style>
  <w:style w:type="character" w:customStyle="1" w:styleId="berschrift4Zchn">
    <w:name w:val="Überschrift 4 Zchn"/>
    <w:basedOn w:val="Absatz-Standardschriftart"/>
    <w:link w:val="berschrift4"/>
    <w:uiPriority w:val="9"/>
    <w:semiHidden/>
    <w:rsid w:val="00D936E2"/>
    <w:rPr>
      <w:rFonts w:asciiTheme="majorHAnsi" w:eastAsiaTheme="majorEastAsia" w:hAnsiTheme="majorHAnsi"/>
      <w:i/>
      <w:iCs/>
      <w:color w:val="2F5496" w:themeColor="accent1" w:themeShade="BF"/>
    </w:rPr>
  </w:style>
  <w:style w:type="paragraph" w:customStyle="1" w:styleId="whitespace-normal">
    <w:name w:val="whitespace-normal"/>
    <w:basedOn w:val="Standard"/>
    <w:rsid w:val="00394F78"/>
    <w:pPr>
      <w:spacing w:before="100" w:beforeAutospacing="1" w:after="100" w:afterAutospacing="1" w:line="240" w:lineRule="auto"/>
    </w:pPr>
    <w:rPr>
      <w:rFonts w:eastAsia="Times New Roman"/>
      <w:lang w:eastAsia="de-DE"/>
    </w:rPr>
  </w:style>
  <w:style w:type="character" w:styleId="Fett">
    <w:name w:val="Strong"/>
    <w:basedOn w:val="Absatz-Standardschriftart"/>
    <w:uiPriority w:val="22"/>
    <w:qFormat/>
    <w:rsid w:val="00394F78"/>
    <w:rPr>
      <w:b/>
      <w:bCs/>
    </w:rPr>
  </w:style>
  <w:style w:type="paragraph" w:customStyle="1" w:styleId="whitespace-pre-wrap">
    <w:name w:val="whitespace-pre-wrap"/>
    <w:basedOn w:val="Standard"/>
    <w:rsid w:val="007B72C7"/>
    <w:pPr>
      <w:spacing w:before="100" w:beforeAutospacing="1" w:after="100" w:afterAutospacing="1" w:line="240" w:lineRule="auto"/>
    </w:pPr>
    <w:rPr>
      <w:rFonts w:eastAsia="Times New Roman"/>
      <w:lang w:eastAsia="de-DE"/>
    </w:rPr>
  </w:style>
  <w:style w:type="character" w:customStyle="1" w:styleId="hovertext-text-300">
    <w:name w:val="hover:text-text-300"/>
    <w:basedOn w:val="Absatz-Standardschriftart"/>
    <w:rsid w:val="009C22FD"/>
  </w:style>
  <w:style w:type="paragraph" w:customStyle="1" w:styleId="is-empty">
    <w:name w:val="is-empty"/>
    <w:basedOn w:val="Standard"/>
    <w:rsid w:val="009C22FD"/>
    <w:pPr>
      <w:spacing w:before="100" w:beforeAutospacing="1" w:after="100" w:afterAutospacing="1" w:line="240" w:lineRule="auto"/>
    </w:pPr>
    <w:rPr>
      <w:rFonts w:eastAsia="Times New Roman"/>
      <w:lang w:eastAsia="de-DE"/>
    </w:rPr>
  </w:style>
  <w:style w:type="paragraph" w:styleId="Kopfzeile">
    <w:name w:val="header"/>
    <w:basedOn w:val="Standard"/>
    <w:link w:val="KopfzeileZchn"/>
    <w:uiPriority w:val="99"/>
    <w:unhideWhenUsed/>
    <w:rsid w:val="008149D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49DC"/>
  </w:style>
  <w:style w:type="paragraph" w:styleId="Fuzeile">
    <w:name w:val="footer"/>
    <w:basedOn w:val="Standard"/>
    <w:link w:val="FuzeileZchn"/>
    <w:uiPriority w:val="99"/>
    <w:unhideWhenUsed/>
    <w:rsid w:val="008149D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49DC"/>
  </w:style>
  <w:style w:type="paragraph" w:styleId="KeinLeerraum">
    <w:name w:val="No Spacing"/>
    <w:uiPriority w:val="1"/>
    <w:qFormat/>
    <w:rsid w:val="00346CE0"/>
    <w:pPr>
      <w:spacing w:after="0" w:line="240" w:lineRule="auto"/>
    </w:pPr>
  </w:style>
  <w:style w:type="paragraph" w:styleId="StandardWeb">
    <w:name w:val="Normal (Web)"/>
    <w:basedOn w:val="Standard"/>
    <w:uiPriority w:val="99"/>
    <w:unhideWhenUsed/>
    <w:rsid w:val="00AE1705"/>
    <w:pPr>
      <w:spacing w:before="100" w:beforeAutospacing="1" w:after="100" w:afterAutospacing="1" w:line="240" w:lineRule="auto"/>
    </w:pPr>
    <w:rPr>
      <w:rFonts w:eastAsia="Times New Roman"/>
      <w:lang w:eastAsia="de-DE"/>
    </w:rPr>
  </w:style>
  <w:style w:type="paragraph" w:styleId="Listenabsatz">
    <w:name w:val="List Paragraph"/>
    <w:basedOn w:val="Standard"/>
    <w:uiPriority w:val="34"/>
    <w:qFormat/>
    <w:rsid w:val="00B82D82"/>
    <w:pPr>
      <w:ind w:left="720"/>
      <w:contextualSpacing/>
    </w:pPr>
  </w:style>
  <w:style w:type="character" w:styleId="Hervorhebung">
    <w:name w:val="Emphasis"/>
    <w:basedOn w:val="Absatz-Standardschriftart"/>
    <w:uiPriority w:val="20"/>
    <w:qFormat/>
    <w:rsid w:val="00277B46"/>
    <w:rPr>
      <w:i/>
      <w:iCs/>
    </w:rPr>
  </w:style>
  <w:style w:type="character" w:customStyle="1" w:styleId="self-center">
    <w:name w:val="self-center"/>
    <w:basedOn w:val="Absatz-Standardschriftart"/>
    <w:rsid w:val="00A709A3"/>
  </w:style>
  <w:style w:type="paragraph" w:customStyle="1" w:styleId="font-claude-response-body">
    <w:name w:val="font-claude-response-body"/>
    <w:basedOn w:val="Standard"/>
    <w:rsid w:val="0077321D"/>
    <w:pPr>
      <w:spacing w:before="100" w:beforeAutospacing="1" w:after="100" w:afterAutospacing="1" w:line="240" w:lineRule="auto"/>
    </w:pPr>
    <w:rPr>
      <w:rFonts w:eastAsia="Times New Roman"/>
      <w:lang w:eastAsia="de-DE"/>
    </w:rPr>
  </w:style>
  <w:style w:type="character" w:styleId="Hyperlink">
    <w:name w:val="Hyperlink"/>
    <w:basedOn w:val="Absatz-Standardschriftart"/>
    <w:uiPriority w:val="99"/>
    <w:unhideWhenUsed/>
    <w:rsid w:val="00595796"/>
    <w:rPr>
      <w:color w:val="0563C1" w:themeColor="hyperlink"/>
      <w:u w:val="single"/>
    </w:rPr>
  </w:style>
  <w:style w:type="character" w:styleId="NichtaufgelsteErwhnung">
    <w:name w:val="Unresolved Mention"/>
    <w:basedOn w:val="Absatz-Standardschriftart"/>
    <w:uiPriority w:val="99"/>
    <w:semiHidden/>
    <w:unhideWhenUsed/>
    <w:rsid w:val="00595796"/>
    <w:rPr>
      <w:color w:val="605E5C"/>
      <w:shd w:val="clear" w:color="auto" w:fill="E1DFDD"/>
    </w:rPr>
  </w:style>
  <w:style w:type="character" w:styleId="BesuchterLink">
    <w:name w:val="FollowedHyperlink"/>
    <w:basedOn w:val="Absatz-Standardschriftart"/>
    <w:uiPriority w:val="99"/>
    <w:semiHidden/>
    <w:unhideWhenUsed/>
    <w:rsid w:val="00595796"/>
    <w:rPr>
      <w:color w:val="954F72" w:themeColor="followedHyperlink"/>
      <w:u w:val="single"/>
    </w:rPr>
  </w:style>
  <w:style w:type="paragraph" w:customStyle="1" w:styleId="Bibelberschrift">
    <w:name w:val="Bibelüberschrift"/>
    <w:basedOn w:val="berschrift1"/>
    <w:link w:val="BibelberschriftZchn"/>
    <w:qFormat/>
    <w:rsid w:val="00713867"/>
    <w:rPr>
      <w:rFonts w:ascii="Times New Roman" w:hAnsi="Times New Roman"/>
      <w:b/>
      <w:color w:val="auto"/>
      <w:sz w:val="36"/>
      <w:szCs w:val="36"/>
    </w:rPr>
  </w:style>
  <w:style w:type="character" w:customStyle="1" w:styleId="BibelberschriftZchn">
    <w:name w:val="Bibelüberschrift Zchn"/>
    <w:basedOn w:val="berschrift1Zchn"/>
    <w:link w:val="Bibelberschrift"/>
    <w:rsid w:val="00713867"/>
    <w:rPr>
      <w:rFonts w:asciiTheme="majorHAnsi" w:eastAsiaTheme="majorEastAsia" w:hAnsiTheme="majorHAnsi"/>
      <w:b/>
      <w:color w:val="2F5496" w:themeColor="accent1" w:themeShade="BF"/>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20925">
      <w:bodyDiv w:val="1"/>
      <w:marLeft w:val="0"/>
      <w:marRight w:val="0"/>
      <w:marTop w:val="0"/>
      <w:marBottom w:val="0"/>
      <w:divBdr>
        <w:top w:val="none" w:sz="0" w:space="0" w:color="auto"/>
        <w:left w:val="none" w:sz="0" w:space="0" w:color="auto"/>
        <w:bottom w:val="none" w:sz="0" w:space="0" w:color="auto"/>
        <w:right w:val="none" w:sz="0" w:space="0" w:color="auto"/>
      </w:divBdr>
    </w:div>
    <w:div w:id="10424691">
      <w:bodyDiv w:val="1"/>
      <w:marLeft w:val="0"/>
      <w:marRight w:val="0"/>
      <w:marTop w:val="0"/>
      <w:marBottom w:val="0"/>
      <w:divBdr>
        <w:top w:val="none" w:sz="0" w:space="0" w:color="auto"/>
        <w:left w:val="none" w:sz="0" w:space="0" w:color="auto"/>
        <w:bottom w:val="none" w:sz="0" w:space="0" w:color="auto"/>
        <w:right w:val="none" w:sz="0" w:space="0" w:color="auto"/>
      </w:divBdr>
      <w:divsChild>
        <w:div w:id="1416511785">
          <w:marLeft w:val="0"/>
          <w:marRight w:val="0"/>
          <w:marTop w:val="0"/>
          <w:marBottom w:val="0"/>
          <w:divBdr>
            <w:top w:val="none" w:sz="0" w:space="0" w:color="auto"/>
            <w:left w:val="none" w:sz="0" w:space="0" w:color="auto"/>
            <w:bottom w:val="none" w:sz="0" w:space="0" w:color="auto"/>
            <w:right w:val="none" w:sz="0" w:space="0" w:color="auto"/>
          </w:divBdr>
          <w:divsChild>
            <w:div w:id="860434219">
              <w:marLeft w:val="0"/>
              <w:marRight w:val="0"/>
              <w:marTop w:val="0"/>
              <w:marBottom w:val="0"/>
              <w:divBdr>
                <w:top w:val="none" w:sz="0" w:space="0" w:color="auto"/>
                <w:left w:val="none" w:sz="0" w:space="0" w:color="auto"/>
                <w:bottom w:val="none" w:sz="0" w:space="0" w:color="auto"/>
                <w:right w:val="none" w:sz="0" w:space="0" w:color="auto"/>
              </w:divBdr>
              <w:divsChild>
                <w:div w:id="956911783">
                  <w:marLeft w:val="0"/>
                  <w:marRight w:val="0"/>
                  <w:marTop w:val="0"/>
                  <w:marBottom w:val="0"/>
                  <w:divBdr>
                    <w:top w:val="none" w:sz="0" w:space="0" w:color="auto"/>
                    <w:left w:val="none" w:sz="0" w:space="0" w:color="auto"/>
                    <w:bottom w:val="none" w:sz="0" w:space="0" w:color="auto"/>
                    <w:right w:val="none" w:sz="0" w:space="0" w:color="auto"/>
                  </w:divBdr>
                  <w:divsChild>
                    <w:div w:id="1789006230">
                      <w:marLeft w:val="0"/>
                      <w:marRight w:val="0"/>
                      <w:marTop w:val="0"/>
                      <w:marBottom w:val="0"/>
                      <w:divBdr>
                        <w:top w:val="none" w:sz="0" w:space="0" w:color="auto"/>
                        <w:left w:val="none" w:sz="0" w:space="0" w:color="auto"/>
                        <w:bottom w:val="none" w:sz="0" w:space="0" w:color="auto"/>
                        <w:right w:val="none" w:sz="0" w:space="0" w:color="auto"/>
                      </w:divBdr>
                      <w:divsChild>
                        <w:div w:id="734819719">
                          <w:marLeft w:val="0"/>
                          <w:marRight w:val="0"/>
                          <w:marTop w:val="0"/>
                          <w:marBottom w:val="0"/>
                          <w:divBdr>
                            <w:top w:val="none" w:sz="0" w:space="0" w:color="auto"/>
                            <w:left w:val="none" w:sz="0" w:space="0" w:color="auto"/>
                            <w:bottom w:val="none" w:sz="0" w:space="0" w:color="auto"/>
                            <w:right w:val="none" w:sz="0" w:space="0" w:color="auto"/>
                          </w:divBdr>
                          <w:divsChild>
                            <w:div w:id="118886719">
                              <w:marLeft w:val="0"/>
                              <w:marRight w:val="0"/>
                              <w:marTop w:val="0"/>
                              <w:marBottom w:val="0"/>
                              <w:divBdr>
                                <w:top w:val="none" w:sz="0" w:space="0" w:color="auto"/>
                                <w:left w:val="none" w:sz="0" w:space="0" w:color="auto"/>
                                <w:bottom w:val="none" w:sz="0" w:space="0" w:color="auto"/>
                                <w:right w:val="none" w:sz="0" w:space="0" w:color="auto"/>
                              </w:divBdr>
                              <w:divsChild>
                                <w:div w:id="10932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74703">
                          <w:marLeft w:val="0"/>
                          <w:marRight w:val="0"/>
                          <w:marTop w:val="0"/>
                          <w:marBottom w:val="0"/>
                          <w:divBdr>
                            <w:top w:val="none" w:sz="0" w:space="0" w:color="auto"/>
                            <w:left w:val="none" w:sz="0" w:space="0" w:color="auto"/>
                            <w:bottom w:val="none" w:sz="0" w:space="0" w:color="auto"/>
                            <w:right w:val="none" w:sz="0" w:space="0" w:color="auto"/>
                          </w:divBdr>
                          <w:divsChild>
                            <w:div w:id="899095353">
                              <w:marLeft w:val="0"/>
                              <w:marRight w:val="0"/>
                              <w:marTop w:val="0"/>
                              <w:marBottom w:val="0"/>
                              <w:divBdr>
                                <w:top w:val="none" w:sz="0" w:space="0" w:color="auto"/>
                                <w:left w:val="none" w:sz="0" w:space="0" w:color="auto"/>
                                <w:bottom w:val="none" w:sz="0" w:space="0" w:color="auto"/>
                                <w:right w:val="none" w:sz="0" w:space="0" w:color="auto"/>
                              </w:divBdr>
                              <w:divsChild>
                                <w:div w:id="891623230">
                                  <w:marLeft w:val="0"/>
                                  <w:marRight w:val="0"/>
                                  <w:marTop w:val="0"/>
                                  <w:marBottom w:val="0"/>
                                  <w:divBdr>
                                    <w:top w:val="none" w:sz="0" w:space="0" w:color="auto"/>
                                    <w:left w:val="none" w:sz="0" w:space="0" w:color="auto"/>
                                    <w:bottom w:val="none" w:sz="0" w:space="0" w:color="auto"/>
                                    <w:right w:val="none" w:sz="0" w:space="0" w:color="auto"/>
                                  </w:divBdr>
                                  <w:divsChild>
                                    <w:div w:id="162202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658925">
              <w:marLeft w:val="0"/>
              <w:marRight w:val="0"/>
              <w:marTop w:val="0"/>
              <w:marBottom w:val="0"/>
              <w:divBdr>
                <w:top w:val="none" w:sz="0" w:space="0" w:color="auto"/>
                <w:left w:val="none" w:sz="0" w:space="0" w:color="auto"/>
                <w:bottom w:val="none" w:sz="0" w:space="0" w:color="auto"/>
                <w:right w:val="none" w:sz="0" w:space="0" w:color="auto"/>
              </w:divBdr>
              <w:divsChild>
                <w:div w:id="1216163126">
                  <w:marLeft w:val="0"/>
                  <w:marRight w:val="0"/>
                  <w:marTop w:val="0"/>
                  <w:marBottom w:val="0"/>
                  <w:divBdr>
                    <w:top w:val="none" w:sz="0" w:space="0" w:color="auto"/>
                    <w:left w:val="none" w:sz="0" w:space="0" w:color="auto"/>
                    <w:bottom w:val="none" w:sz="0" w:space="0" w:color="auto"/>
                    <w:right w:val="none" w:sz="0" w:space="0" w:color="auto"/>
                  </w:divBdr>
                  <w:divsChild>
                    <w:div w:id="58098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025945">
          <w:marLeft w:val="0"/>
          <w:marRight w:val="0"/>
          <w:marTop w:val="0"/>
          <w:marBottom w:val="0"/>
          <w:divBdr>
            <w:top w:val="none" w:sz="0" w:space="0" w:color="auto"/>
            <w:left w:val="none" w:sz="0" w:space="0" w:color="auto"/>
            <w:bottom w:val="none" w:sz="0" w:space="0" w:color="auto"/>
            <w:right w:val="none" w:sz="0" w:space="0" w:color="auto"/>
          </w:divBdr>
          <w:divsChild>
            <w:div w:id="1771462399">
              <w:marLeft w:val="0"/>
              <w:marRight w:val="0"/>
              <w:marTop w:val="0"/>
              <w:marBottom w:val="0"/>
              <w:divBdr>
                <w:top w:val="none" w:sz="0" w:space="0" w:color="auto"/>
                <w:left w:val="none" w:sz="0" w:space="0" w:color="auto"/>
                <w:bottom w:val="none" w:sz="0" w:space="0" w:color="auto"/>
                <w:right w:val="none" w:sz="0" w:space="0" w:color="auto"/>
              </w:divBdr>
              <w:divsChild>
                <w:div w:id="1558205926">
                  <w:marLeft w:val="0"/>
                  <w:marRight w:val="0"/>
                  <w:marTop w:val="0"/>
                  <w:marBottom w:val="0"/>
                  <w:divBdr>
                    <w:top w:val="none" w:sz="0" w:space="0" w:color="auto"/>
                    <w:left w:val="none" w:sz="0" w:space="0" w:color="auto"/>
                    <w:bottom w:val="none" w:sz="0" w:space="0" w:color="auto"/>
                    <w:right w:val="none" w:sz="0" w:space="0" w:color="auto"/>
                  </w:divBdr>
                  <w:divsChild>
                    <w:div w:id="660472604">
                      <w:marLeft w:val="0"/>
                      <w:marRight w:val="0"/>
                      <w:marTop w:val="0"/>
                      <w:marBottom w:val="0"/>
                      <w:divBdr>
                        <w:top w:val="none" w:sz="0" w:space="0" w:color="auto"/>
                        <w:left w:val="none" w:sz="0" w:space="0" w:color="auto"/>
                        <w:bottom w:val="none" w:sz="0" w:space="0" w:color="auto"/>
                        <w:right w:val="none" w:sz="0" w:space="0" w:color="auto"/>
                      </w:divBdr>
                      <w:divsChild>
                        <w:div w:id="331951588">
                          <w:marLeft w:val="0"/>
                          <w:marRight w:val="0"/>
                          <w:marTop w:val="0"/>
                          <w:marBottom w:val="0"/>
                          <w:divBdr>
                            <w:top w:val="none" w:sz="0" w:space="0" w:color="auto"/>
                            <w:left w:val="none" w:sz="0" w:space="0" w:color="auto"/>
                            <w:bottom w:val="none" w:sz="0" w:space="0" w:color="auto"/>
                            <w:right w:val="none" w:sz="0" w:space="0" w:color="auto"/>
                          </w:divBdr>
                          <w:divsChild>
                            <w:div w:id="139573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81201">
                      <w:marLeft w:val="0"/>
                      <w:marRight w:val="0"/>
                      <w:marTop w:val="0"/>
                      <w:marBottom w:val="0"/>
                      <w:divBdr>
                        <w:top w:val="none" w:sz="0" w:space="0" w:color="auto"/>
                        <w:left w:val="none" w:sz="0" w:space="0" w:color="auto"/>
                        <w:bottom w:val="none" w:sz="0" w:space="0" w:color="auto"/>
                        <w:right w:val="none" w:sz="0" w:space="0" w:color="auto"/>
                      </w:divBdr>
                      <w:divsChild>
                        <w:div w:id="97724680">
                          <w:marLeft w:val="0"/>
                          <w:marRight w:val="0"/>
                          <w:marTop w:val="0"/>
                          <w:marBottom w:val="0"/>
                          <w:divBdr>
                            <w:top w:val="none" w:sz="0" w:space="0" w:color="auto"/>
                            <w:left w:val="none" w:sz="0" w:space="0" w:color="auto"/>
                            <w:bottom w:val="none" w:sz="0" w:space="0" w:color="auto"/>
                            <w:right w:val="none" w:sz="0" w:space="0" w:color="auto"/>
                          </w:divBdr>
                          <w:divsChild>
                            <w:div w:id="749277856">
                              <w:marLeft w:val="0"/>
                              <w:marRight w:val="0"/>
                              <w:marTop w:val="0"/>
                              <w:marBottom w:val="0"/>
                              <w:divBdr>
                                <w:top w:val="none" w:sz="0" w:space="0" w:color="auto"/>
                                <w:left w:val="none" w:sz="0" w:space="0" w:color="auto"/>
                                <w:bottom w:val="none" w:sz="0" w:space="0" w:color="auto"/>
                                <w:right w:val="none" w:sz="0" w:space="0" w:color="auto"/>
                              </w:divBdr>
                              <w:divsChild>
                                <w:div w:id="1602494931">
                                  <w:marLeft w:val="0"/>
                                  <w:marRight w:val="0"/>
                                  <w:marTop w:val="0"/>
                                  <w:marBottom w:val="0"/>
                                  <w:divBdr>
                                    <w:top w:val="none" w:sz="0" w:space="0" w:color="auto"/>
                                    <w:left w:val="none" w:sz="0" w:space="0" w:color="auto"/>
                                    <w:bottom w:val="none" w:sz="0" w:space="0" w:color="auto"/>
                                    <w:right w:val="none" w:sz="0" w:space="0" w:color="auto"/>
                                  </w:divBdr>
                                  <w:divsChild>
                                    <w:div w:id="12949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94026">
      <w:bodyDiv w:val="1"/>
      <w:marLeft w:val="0"/>
      <w:marRight w:val="0"/>
      <w:marTop w:val="0"/>
      <w:marBottom w:val="0"/>
      <w:divBdr>
        <w:top w:val="none" w:sz="0" w:space="0" w:color="auto"/>
        <w:left w:val="none" w:sz="0" w:space="0" w:color="auto"/>
        <w:bottom w:val="none" w:sz="0" w:space="0" w:color="auto"/>
        <w:right w:val="none" w:sz="0" w:space="0" w:color="auto"/>
      </w:divBdr>
    </w:div>
    <w:div w:id="18481525">
      <w:bodyDiv w:val="1"/>
      <w:marLeft w:val="0"/>
      <w:marRight w:val="0"/>
      <w:marTop w:val="0"/>
      <w:marBottom w:val="0"/>
      <w:divBdr>
        <w:top w:val="none" w:sz="0" w:space="0" w:color="auto"/>
        <w:left w:val="none" w:sz="0" w:space="0" w:color="auto"/>
        <w:bottom w:val="none" w:sz="0" w:space="0" w:color="auto"/>
        <w:right w:val="none" w:sz="0" w:space="0" w:color="auto"/>
      </w:divBdr>
    </w:div>
    <w:div w:id="20011435">
      <w:bodyDiv w:val="1"/>
      <w:marLeft w:val="0"/>
      <w:marRight w:val="0"/>
      <w:marTop w:val="0"/>
      <w:marBottom w:val="0"/>
      <w:divBdr>
        <w:top w:val="none" w:sz="0" w:space="0" w:color="auto"/>
        <w:left w:val="none" w:sz="0" w:space="0" w:color="auto"/>
        <w:bottom w:val="none" w:sz="0" w:space="0" w:color="auto"/>
        <w:right w:val="none" w:sz="0" w:space="0" w:color="auto"/>
      </w:divBdr>
    </w:div>
    <w:div w:id="23099143">
      <w:bodyDiv w:val="1"/>
      <w:marLeft w:val="0"/>
      <w:marRight w:val="0"/>
      <w:marTop w:val="0"/>
      <w:marBottom w:val="0"/>
      <w:divBdr>
        <w:top w:val="none" w:sz="0" w:space="0" w:color="auto"/>
        <w:left w:val="none" w:sz="0" w:space="0" w:color="auto"/>
        <w:bottom w:val="none" w:sz="0" w:space="0" w:color="auto"/>
        <w:right w:val="none" w:sz="0" w:space="0" w:color="auto"/>
      </w:divBdr>
    </w:div>
    <w:div w:id="24721004">
      <w:bodyDiv w:val="1"/>
      <w:marLeft w:val="0"/>
      <w:marRight w:val="0"/>
      <w:marTop w:val="0"/>
      <w:marBottom w:val="0"/>
      <w:divBdr>
        <w:top w:val="none" w:sz="0" w:space="0" w:color="auto"/>
        <w:left w:val="none" w:sz="0" w:space="0" w:color="auto"/>
        <w:bottom w:val="none" w:sz="0" w:space="0" w:color="auto"/>
        <w:right w:val="none" w:sz="0" w:space="0" w:color="auto"/>
      </w:divBdr>
      <w:divsChild>
        <w:div w:id="897058853">
          <w:marLeft w:val="0"/>
          <w:marRight w:val="0"/>
          <w:marTop w:val="0"/>
          <w:marBottom w:val="0"/>
          <w:divBdr>
            <w:top w:val="none" w:sz="0" w:space="0" w:color="auto"/>
            <w:left w:val="none" w:sz="0" w:space="0" w:color="auto"/>
            <w:bottom w:val="none" w:sz="0" w:space="0" w:color="auto"/>
            <w:right w:val="none" w:sz="0" w:space="0" w:color="auto"/>
          </w:divBdr>
          <w:divsChild>
            <w:div w:id="267931261">
              <w:marLeft w:val="0"/>
              <w:marRight w:val="0"/>
              <w:marTop w:val="0"/>
              <w:marBottom w:val="0"/>
              <w:divBdr>
                <w:top w:val="none" w:sz="0" w:space="0" w:color="auto"/>
                <w:left w:val="none" w:sz="0" w:space="0" w:color="auto"/>
                <w:bottom w:val="none" w:sz="0" w:space="0" w:color="auto"/>
                <w:right w:val="none" w:sz="0" w:space="0" w:color="auto"/>
              </w:divBdr>
              <w:divsChild>
                <w:div w:id="797643998">
                  <w:marLeft w:val="0"/>
                  <w:marRight w:val="0"/>
                  <w:marTop w:val="0"/>
                  <w:marBottom w:val="0"/>
                  <w:divBdr>
                    <w:top w:val="none" w:sz="0" w:space="0" w:color="auto"/>
                    <w:left w:val="none" w:sz="0" w:space="0" w:color="auto"/>
                    <w:bottom w:val="none" w:sz="0" w:space="0" w:color="auto"/>
                    <w:right w:val="none" w:sz="0" w:space="0" w:color="auto"/>
                  </w:divBdr>
                  <w:divsChild>
                    <w:div w:id="291400700">
                      <w:marLeft w:val="0"/>
                      <w:marRight w:val="0"/>
                      <w:marTop w:val="0"/>
                      <w:marBottom w:val="0"/>
                      <w:divBdr>
                        <w:top w:val="none" w:sz="0" w:space="0" w:color="auto"/>
                        <w:left w:val="none" w:sz="0" w:space="0" w:color="auto"/>
                        <w:bottom w:val="none" w:sz="0" w:space="0" w:color="auto"/>
                        <w:right w:val="none" w:sz="0" w:space="0" w:color="auto"/>
                      </w:divBdr>
                      <w:divsChild>
                        <w:div w:id="1775706859">
                          <w:marLeft w:val="0"/>
                          <w:marRight w:val="0"/>
                          <w:marTop w:val="0"/>
                          <w:marBottom w:val="0"/>
                          <w:divBdr>
                            <w:top w:val="none" w:sz="0" w:space="0" w:color="auto"/>
                            <w:left w:val="none" w:sz="0" w:space="0" w:color="auto"/>
                            <w:bottom w:val="none" w:sz="0" w:space="0" w:color="auto"/>
                            <w:right w:val="none" w:sz="0" w:space="0" w:color="auto"/>
                          </w:divBdr>
                          <w:divsChild>
                            <w:div w:id="115954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75401">
                      <w:marLeft w:val="0"/>
                      <w:marRight w:val="0"/>
                      <w:marTop w:val="0"/>
                      <w:marBottom w:val="0"/>
                      <w:divBdr>
                        <w:top w:val="none" w:sz="0" w:space="0" w:color="auto"/>
                        <w:left w:val="none" w:sz="0" w:space="0" w:color="auto"/>
                        <w:bottom w:val="none" w:sz="0" w:space="0" w:color="auto"/>
                        <w:right w:val="none" w:sz="0" w:space="0" w:color="auto"/>
                      </w:divBdr>
                      <w:divsChild>
                        <w:div w:id="112218352">
                          <w:marLeft w:val="0"/>
                          <w:marRight w:val="0"/>
                          <w:marTop w:val="0"/>
                          <w:marBottom w:val="0"/>
                          <w:divBdr>
                            <w:top w:val="none" w:sz="0" w:space="0" w:color="auto"/>
                            <w:left w:val="none" w:sz="0" w:space="0" w:color="auto"/>
                            <w:bottom w:val="none" w:sz="0" w:space="0" w:color="auto"/>
                            <w:right w:val="none" w:sz="0" w:space="0" w:color="auto"/>
                          </w:divBdr>
                          <w:divsChild>
                            <w:div w:id="264122468">
                              <w:marLeft w:val="0"/>
                              <w:marRight w:val="0"/>
                              <w:marTop w:val="0"/>
                              <w:marBottom w:val="0"/>
                              <w:divBdr>
                                <w:top w:val="none" w:sz="0" w:space="0" w:color="auto"/>
                                <w:left w:val="none" w:sz="0" w:space="0" w:color="auto"/>
                                <w:bottom w:val="none" w:sz="0" w:space="0" w:color="auto"/>
                                <w:right w:val="none" w:sz="0" w:space="0" w:color="auto"/>
                              </w:divBdr>
                              <w:divsChild>
                                <w:div w:id="94411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6502">
                      <w:marLeft w:val="0"/>
                      <w:marRight w:val="0"/>
                      <w:marTop w:val="0"/>
                      <w:marBottom w:val="0"/>
                      <w:divBdr>
                        <w:top w:val="none" w:sz="0" w:space="0" w:color="auto"/>
                        <w:left w:val="none" w:sz="0" w:space="0" w:color="auto"/>
                        <w:bottom w:val="none" w:sz="0" w:space="0" w:color="auto"/>
                        <w:right w:val="none" w:sz="0" w:space="0" w:color="auto"/>
                      </w:divBdr>
                      <w:divsChild>
                        <w:div w:id="1023239516">
                          <w:marLeft w:val="0"/>
                          <w:marRight w:val="0"/>
                          <w:marTop w:val="0"/>
                          <w:marBottom w:val="0"/>
                          <w:divBdr>
                            <w:top w:val="none" w:sz="0" w:space="0" w:color="auto"/>
                            <w:left w:val="none" w:sz="0" w:space="0" w:color="auto"/>
                            <w:bottom w:val="none" w:sz="0" w:space="0" w:color="auto"/>
                            <w:right w:val="none" w:sz="0" w:space="0" w:color="auto"/>
                          </w:divBdr>
                          <w:divsChild>
                            <w:div w:id="1079718173">
                              <w:marLeft w:val="0"/>
                              <w:marRight w:val="0"/>
                              <w:marTop w:val="0"/>
                              <w:marBottom w:val="0"/>
                              <w:divBdr>
                                <w:top w:val="none" w:sz="0" w:space="0" w:color="auto"/>
                                <w:left w:val="none" w:sz="0" w:space="0" w:color="auto"/>
                                <w:bottom w:val="none" w:sz="0" w:space="0" w:color="auto"/>
                                <w:right w:val="none" w:sz="0" w:space="0" w:color="auto"/>
                              </w:divBdr>
                              <w:divsChild>
                                <w:div w:id="18119180">
                                  <w:marLeft w:val="0"/>
                                  <w:marRight w:val="0"/>
                                  <w:marTop w:val="0"/>
                                  <w:marBottom w:val="0"/>
                                  <w:divBdr>
                                    <w:top w:val="none" w:sz="0" w:space="0" w:color="auto"/>
                                    <w:left w:val="none" w:sz="0" w:space="0" w:color="auto"/>
                                    <w:bottom w:val="none" w:sz="0" w:space="0" w:color="auto"/>
                                    <w:right w:val="none" w:sz="0" w:space="0" w:color="auto"/>
                                  </w:divBdr>
                                </w:div>
                              </w:divsChild>
                            </w:div>
                            <w:div w:id="8702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16505">
      <w:bodyDiv w:val="1"/>
      <w:marLeft w:val="0"/>
      <w:marRight w:val="0"/>
      <w:marTop w:val="0"/>
      <w:marBottom w:val="0"/>
      <w:divBdr>
        <w:top w:val="none" w:sz="0" w:space="0" w:color="auto"/>
        <w:left w:val="none" w:sz="0" w:space="0" w:color="auto"/>
        <w:bottom w:val="none" w:sz="0" w:space="0" w:color="auto"/>
        <w:right w:val="none" w:sz="0" w:space="0" w:color="auto"/>
      </w:divBdr>
    </w:div>
    <w:div w:id="50810251">
      <w:bodyDiv w:val="1"/>
      <w:marLeft w:val="0"/>
      <w:marRight w:val="0"/>
      <w:marTop w:val="0"/>
      <w:marBottom w:val="0"/>
      <w:divBdr>
        <w:top w:val="none" w:sz="0" w:space="0" w:color="auto"/>
        <w:left w:val="none" w:sz="0" w:space="0" w:color="auto"/>
        <w:bottom w:val="none" w:sz="0" w:space="0" w:color="auto"/>
        <w:right w:val="none" w:sz="0" w:space="0" w:color="auto"/>
      </w:divBdr>
    </w:div>
    <w:div w:id="56172841">
      <w:bodyDiv w:val="1"/>
      <w:marLeft w:val="0"/>
      <w:marRight w:val="0"/>
      <w:marTop w:val="0"/>
      <w:marBottom w:val="0"/>
      <w:divBdr>
        <w:top w:val="none" w:sz="0" w:space="0" w:color="auto"/>
        <w:left w:val="none" w:sz="0" w:space="0" w:color="auto"/>
        <w:bottom w:val="none" w:sz="0" w:space="0" w:color="auto"/>
        <w:right w:val="none" w:sz="0" w:space="0" w:color="auto"/>
      </w:divBdr>
      <w:divsChild>
        <w:div w:id="494105688">
          <w:marLeft w:val="0"/>
          <w:marRight w:val="0"/>
          <w:marTop w:val="0"/>
          <w:marBottom w:val="0"/>
          <w:divBdr>
            <w:top w:val="none" w:sz="0" w:space="0" w:color="auto"/>
            <w:left w:val="none" w:sz="0" w:space="0" w:color="auto"/>
            <w:bottom w:val="none" w:sz="0" w:space="0" w:color="auto"/>
            <w:right w:val="none" w:sz="0" w:space="0" w:color="auto"/>
          </w:divBdr>
          <w:divsChild>
            <w:div w:id="113141546">
              <w:marLeft w:val="0"/>
              <w:marRight w:val="0"/>
              <w:marTop w:val="0"/>
              <w:marBottom w:val="0"/>
              <w:divBdr>
                <w:top w:val="none" w:sz="0" w:space="0" w:color="auto"/>
                <w:left w:val="none" w:sz="0" w:space="0" w:color="auto"/>
                <w:bottom w:val="none" w:sz="0" w:space="0" w:color="auto"/>
                <w:right w:val="none" w:sz="0" w:space="0" w:color="auto"/>
              </w:divBdr>
              <w:divsChild>
                <w:div w:id="850484401">
                  <w:marLeft w:val="0"/>
                  <w:marRight w:val="0"/>
                  <w:marTop w:val="0"/>
                  <w:marBottom w:val="0"/>
                  <w:divBdr>
                    <w:top w:val="none" w:sz="0" w:space="0" w:color="auto"/>
                    <w:left w:val="none" w:sz="0" w:space="0" w:color="auto"/>
                    <w:bottom w:val="none" w:sz="0" w:space="0" w:color="auto"/>
                    <w:right w:val="none" w:sz="0" w:space="0" w:color="auto"/>
                  </w:divBdr>
                  <w:divsChild>
                    <w:div w:id="1718704282">
                      <w:marLeft w:val="0"/>
                      <w:marRight w:val="0"/>
                      <w:marTop w:val="0"/>
                      <w:marBottom w:val="0"/>
                      <w:divBdr>
                        <w:top w:val="none" w:sz="0" w:space="0" w:color="auto"/>
                        <w:left w:val="none" w:sz="0" w:space="0" w:color="auto"/>
                        <w:bottom w:val="none" w:sz="0" w:space="0" w:color="auto"/>
                        <w:right w:val="none" w:sz="0" w:space="0" w:color="auto"/>
                      </w:divBdr>
                      <w:divsChild>
                        <w:div w:id="364184370">
                          <w:marLeft w:val="0"/>
                          <w:marRight w:val="0"/>
                          <w:marTop w:val="0"/>
                          <w:marBottom w:val="0"/>
                          <w:divBdr>
                            <w:top w:val="none" w:sz="0" w:space="0" w:color="auto"/>
                            <w:left w:val="none" w:sz="0" w:space="0" w:color="auto"/>
                            <w:bottom w:val="none" w:sz="0" w:space="0" w:color="auto"/>
                            <w:right w:val="none" w:sz="0" w:space="0" w:color="auto"/>
                          </w:divBdr>
                          <w:divsChild>
                            <w:div w:id="1947345402">
                              <w:marLeft w:val="0"/>
                              <w:marRight w:val="0"/>
                              <w:marTop w:val="0"/>
                              <w:marBottom w:val="0"/>
                              <w:divBdr>
                                <w:top w:val="none" w:sz="0" w:space="0" w:color="auto"/>
                                <w:left w:val="none" w:sz="0" w:space="0" w:color="auto"/>
                                <w:bottom w:val="none" w:sz="0" w:space="0" w:color="auto"/>
                                <w:right w:val="none" w:sz="0" w:space="0" w:color="auto"/>
                              </w:divBdr>
                              <w:divsChild>
                                <w:div w:id="183903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02638">
                          <w:marLeft w:val="0"/>
                          <w:marRight w:val="0"/>
                          <w:marTop w:val="0"/>
                          <w:marBottom w:val="0"/>
                          <w:divBdr>
                            <w:top w:val="none" w:sz="0" w:space="0" w:color="auto"/>
                            <w:left w:val="none" w:sz="0" w:space="0" w:color="auto"/>
                            <w:bottom w:val="none" w:sz="0" w:space="0" w:color="auto"/>
                            <w:right w:val="none" w:sz="0" w:space="0" w:color="auto"/>
                          </w:divBdr>
                          <w:divsChild>
                            <w:div w:id="226963394">
                              <w:marLeft w:val="0"/>
                              <w:marRight w:val="0"/>
                              <w:marTop w:val="0"/>
                              <w:marBottom w:val="0"/>
                              <w:divBdr>
                                <w:top w:val="none" w:sz="0" w:space="0" w:color="auto"/>
                                <w:left w:val="none" w:sz="0" w:space="0" w:color="auto"/>
                                <w:bottom w:val="none" w:sz="0" w:space="0" w:color="auto"/>
                                <w:right w:val="none" w:sz="0" w:space="0" w:color="auto"/>
                              </w:divBdr>
                              <w:divsChild>
                                <w:div w:id="1271084817">
                                  <w:marLeft w:val="0"/>
                                  <w:marRight w:val="0"/>
                                  <w:marTop w:val="0"/>
                                  <w:marBottom w:val="0"/>
                                  <w:divBdr>
                                    <w:top w:val="none" w:sz="0" w:space="0" w:color="auto"/>
                                    <w:left w:val="none" w:sz="0" w:space="0" w:color="auto"/>
                                    <w:bottom w:val="none" w:sz="0" w:space="0" w:color="auto"/>
                                    <w:right w:val="none" w:sz="0" w:space="0" w:color="auto"/>
                                  </w:divBdr>
                                  <w:divsChild>
                                    <w:div w:id="71161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559864">
              <w:marLeft w:val="0"/>
              <w:marRight w:val="0"/>
              <w:marTop w:val="0"/>
              <w:marBottom w:val="0"/>
              <w:divBdr>
                <w:top w:val="none" w:sz="0" w:space="0" w:color="auto"/>
                <w:left w:val="none" w:sz="0" w:space="0" w:color="auto"/>
                <w:bottom w:val="none" w:sz="0" w:space="0" w:color="auto"/>
                <w:right w:val="none" w:sz="0" w:space="0" w:color="auto"/>
              </w:divBdr>
              <w:divsChild>
                <w:div w:id="1892421494">
                  <w:marLeft w:val="0"/>
                  <w:marRight w:val="0"/>
                  <w:marTop w:val="0"/>
                  <w:marBottom w:val="0"/>
                  <w:divBdr>
                    <w:top w:val="none" w:sz="0" w:space="0" w:color="auto"/>
                    <w:left w:val="none" w:sz="0" w:space="0" w:color="auto"/>
                    <w:bottom w:val="none" w:sz="0" w:space="0" w:color="auto"/>
                    <w:right w:val="none" w:sz="0" w:space="0" w:color="auto"/>
                  </w:divBdr>
                  <w:divsChild>
                    <w:div w:id="181660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01045">
      <w:bodyDiv w:val="1"/>
      <w:marLeft w:val="0"/>
      <w:marRight w:val="0"/>
      <w:marTop w:val="0"/>
      <w:marBottom w:val="0"/>
      <w:divBdr>
        <w:top w:val="none" w:sz="0" w:space="0" w:color="auto"/>
        <w:left w:val="none" w:sz="0" w:space="0" w:color="auto"/>
        <w:bottom w:val="none" w:sz="0" w:space="0" w:color="auto"/>
        <w:right w:val="none" w:sz="0" w:space="0" w:color="auto"/>
      </w:divBdr>
    </w:div>
    <w:div w:id="61025245">
      <w:bodyDiv w:val="1"/>
      <w:marLeft w:val="0"/>
      <w:marRight w:val="0"/>
      <w:marTop w:val="0"/>
      <w:marBottom w:val="0"/>
      <w:divBdr>
        <w:top w:val="none" w:sz="0" w:space="0" w:color="auto"/>
        <w:left w:val="none" w:sz="0" w:space="0" w:color="auto"/>
        <w:bottom w:val="none" w:sz="0" w:space="0" w:color="auto"/>
        <w:right w:val="none" w:sz="0" w:space="0" w:color="auto"/>
      </w:divBdr>
    </w:div>
    <w:div w:id="73288262">
      <w:bodyDiv w:val="1"/>
      <w:marLeft w:val="0"/>
      <w:marRight w:val="0"/>
      <w:marTop w:val="0"/>
      <w:marBottom w:val="0"/>
      <w:divBdr>
        <w:top w:val="none" w:sz="0" w:space="0" w:color="auto"/>
        <w:left w:val="none" w:sz="0" w:space="0" w:color="auto"/>
        <w:bottom w:val="none" w:sz="0" w:space="0" w:color="auto"/>
        <w:right w:val="none" w:sz="0" w:space="0" w:color="auto"/>
      </w:divBdr>
    </w:div>
    <w:div w:id="78989217">
      <w:bodyDiv w:val="1"/>
      <w:marLeft w:val="0"/>
      <w:marRight w:val="0"/>
      <w:marTop w:val="0"/>
      <w:marBottom w:val="0"/>
      <w:divBdr>
        <w:top w:val="none" w:sz="0" w:space="0" w:color="auto"/>
        <w:left w:val="none" w:sz="0" w:space="0" w:color="auto"/>
        <w:bottom w:val="none" w:sz="0" w:space="0" w:color="auto"/>
        <w:right w:val="none" w:sz="0" w:space="0" w:color="auto"/>
      </w:divBdr>
    </w:div>
    <w:div w:id="83696607">
      <w:bodyDiv w:val="1"/>
      <w:marLeft w:val="0"/>
      <w:marRight w:val="0"/>
      <w:marTop w:val="0"/>
      <w:marBottom w:val="0"/>
      <w:divBdr>
        <w:top w:val="none" w:sz="0" w:space="0" w:color="auto"/>
        <w:left w:val="none" w:sz="0" w:space="0" w:color="auto"/>
        <w:bottom w:val="none" w:sz="0" w:space="0" w:color="auto"/>
        <w:right w:val="none" w:sz="0" w:space="0" w:color="auto"/>
      </w:divBdr>
    </w:div>
    <w:div w:id="93211700">
      <w:bodyDiv w:val="1"/>
      <w:marLeft w:val="0"/>
      <w:marRight w:val="0"/>
      <w:marTop w:val="0"/>
      <w:marBottom w:val="0"/>
      <w:divBdr>
        <w:top w:val="none" w:sz="0" w:space="0" w:color="auto"/>
        <w:left w:val="none" w:sz="0" w:space="0" w:color="auto"/>
        <w:bottom w:val="none" w:sz="0" w:space="0" w:color="auto"/>
        <w:right w:val="none" w:sz="0" w:space="0" w:color="auto"/>
      </w:divBdr>
    </w:div>
    <w:div w:id="94251738">
      <w:bodyDiv w:val="1"/>
      <w:marLeft w:val="0"/>
      <w:marRight w:val="0"/>
      <w:marTop w:val="0"/>
      <w:marBottom w:val="0"/>
      <w:divBdr>
        <w:top w:val="none" w:sz="0" w:space="0" w:color="auto"/>
        <w:left w:val="none" w:sz="0" w:space="0" w:color="auto"/>
        <w:bottom w:val="none" w:sz="0" w:space="0" w:color="auto"/>
        <w:right w:val="none" w:sz="0" w:space="0" w:color="auto"/>
      </w:divBdr>
    </w:div>
    <w:div w:id="96340961">
      <w:bodyDiv w:val="1"/>
      <w:marLeft w:val="0"/>
      <w:marRight w:val="0"/>
      <w:marTop w:val="0"/>
      <w:marBottom w:val="0"/>
      <w:divBdr>
        <w:top w:val="none" w:sz="0" w:space="0" w:color="auto"/>
        <w:left w:val="none" w:sz="0" w:space="0" w:color="auto"/>
        <w:bottom w:val="none" w:sz="0" w:space="0" w:color="auto"/>
        <w:right w:val="none" w:sz="0" w:space="0" w:color="auto"/>
      </w:divBdr>
    </w:div>
    <w:div w:id="103162284">
      <w:bodyDiv w:val="1"/>
      <w:marLeft w:val="0"/>
      <w:marRight w:val="0"/>
      <w:marTop w:val="0"/>
      <w:marBottom w:val="0"/>
      <w:divBdr>
        <w:top w:val="none" w:sz="0" w:space="0" w:color="auto"/>
        <w:left w:val="none" w:sz="0" w:space="0" w:color="auto"/>
        <w:bottom w:val="none" w:sz="0" w:space="0" w:color="auto"/>
        <w:right w:val="none" w:sz="0" w:space="0" w:color="auto"/>
      </w:divBdr>
    </w:div>
    <w:div w:id="104662252">
      <w:bodyDiv w:val="1"/>
      <w:marLeft w:val="0"/>
      <w:marRight w:val="0"/>
      <w:marTop w:val="0"/>
      <w:marBottom w:val="0"/>
      <w:divBdr>
        <w:top w:val="none" w:sz="0" w:space="0" w:color="auto"/>
        <w:left w:val="none" w:sz="0" w:space="0" w:color="auto"/>
        <w:bottom w:val="none" w:sz="0" w:space="0" w:color="auto"/>
        <w:right w:val="none" w:sz="0" w:space="0" w:color="auto"/>
      </w:divBdr>
    </w:div>
    <w:div w:id="109015939">
      <w:bodyDiv w:val="1"/>
      <w:marLeft w:val="0"/>
      <w:marRight w:val="0"/>
      <w:marTop w:val="0"/>
      <w:marBottom w:val="0"/>
      <w:divBdr>
        <w:top w:val="none" w:sz="0" w:space="0" w:color="auto"/>
        <w:left w:val="none" w:sz="0" w:space="0" w:color="auto"/>
        <w:bottom w:val="none" w:sz="0" w:space="0" w:color="auto"/>
        <w:right w:val="none" w:sz="0" w:space="0" w:color="auto"/>
      </w:divBdr>
    </w:div>
    <w:div w:id="109207436">
      <w:bodyDiv w:val="1"/>
      <w:marLeft w:val="0"/>
      <w:marRight w:val="0"/>
      <w:marTop w:val="0"/>
      <w:marBottom w:val="0"/>
      <w:divBdr>
        <w:top w:val="none" w:sz="0" w:space="0" w:color="auto"/>
        <w:left w:val="none" w:sz="0" w:space="0" w:color="auto"/>
        <w:bottom w:val="none" w:sz="0" w:space="0" w:color="auto"/>
        <w:right w:val="none" w:sz="0" w:space="0" w:color="auto"/>
      </w:divBdr>
    </w:div>
    <w:div w:id="111022386">
      <w:bodyDiv w:val="1"/>
      <w:marLeft w:val="0"/>
      <w:marRight w:val="0"/>
      <w:marTop w:val="0"/>
      <w:marBottom w:val="0"/>
      <w:divBdr>
        <w:top w:val="none" w:sz="0" w:space="0" w:color="auto"/>
        <w:left w:val="none" w:sz="0" w:space="0" w:color="auto"/>
        <w:bottom w:val="none" w:sz="0" w:space="0" w:color="auto"/>
        <w:right w:val="none" w:sz="0" w:space="0" w:color="auto"/>
      </w:divBdr>
    </w:div>
    <w:div w:id="120732378">
      <w:bodyDiv w:val="1"/>
      <w:marLeft w:val="0"/>
      <w:marRight w:val="0"/>
      <w:marTop w:val="0"/>
      <w:marBottom w:val="0"/>
      <w:divBdr>
        <w:top w:val="none" w:sz="0" w:space="0" w:color="auto"/>
        <w:left w:val="none" w:sz="0" w:space="0" w:color="auto"/>
        <w:bottom w:val="none" w:sz="0" w:space="0" w:color="auto"/>
        <w:right w:val="none" w:sz="0" w:space="0" w:color="auto"/>
      </w:divBdr>
    </w:div>
    <w:div w:id="124348493">
      <w:bodyDiv w:val="1"/>
      <w:marLeft w:val="0"/>
      <w:marRight w:val="0"/>
      <w:marTop w:val="0"/>
      <w:marBottom w:val="0"/>
      <w:divBdr>
        <w:top w:val="none" w:sz="0" w:space="0" w:color="auto"/>
        <w:left w:val="none" w:sz="0" w:space="0" w:color="auto"/>
        <w:bottom w:val="none" w:sz="0" w:space="0" w:color="auto"/>
        <w:right w:val="none" w:sz="0" w:space="0" w:color="auto"/>
      </w:divBdr>
    </w:div>
    <w:div w:id="147136498">
      <w:bodyDiv w:val="1"/>
      <w:marLeft w:val="0"/>
      <w:marRight w:val="0"/>
      <w:marTop w:val="0"/>
      <w:marBottom w:val="0"/>
      <w:divBdr>
        <w:top w:val="none" w:sz="0" w:space="0" w:color="auto"/>
        <w:left w:val="none" w:sz="0" w:space="0" w:color="auto"/>
        <w:bottom w:val="none" w:sz="0" w:space="0" w:color="auto"/>
        <w:right w:val="none" w:sz="0" w:space="0" w:color="auto"/>
      </w:divBdr>
    </w:div>
    <w:div w:id="153374936">
      <w:bodyDiv w:val="1"/>
      <w:marLeft w:val="0"/>
      <w:marRight w:val="0"/>
      <w:marTop w:val="0"/>
      <w:marBottom w:val="0"/>
      <w:divBdr>
        <w:top w:val="none" w:sz="0" w:space="0" w:color="auto"/>
        <w:left w:val="none" w:sz="0" w:space="0" w:color="auto"/>
        <w:bottom w:val="none" w:sz="0" w:space="0" w:color="auto"/>
        <w:right w:val="none" w:sz="0" w:space="0" w:color="auto"/>
      </w:divBdr>
    </w:div>
    <w:div w:id="159081636">
      <w:bodyDiv w:val="1"/>
      <w:marLeft w:val="0"/>
      <w:marRight w:val="0"/>
      <w:marTop w:val="0"/>
      <w:marBottom w:val="0"/>
      <w:divBdr>
        <w:top w:val="none" w:sz="0" w:space="0" w:color="auto"/>
        <w:left w:val="none" w:sz="0" w:space="0" w:color="auto"/>
        <w:bottom w:val="none" w:sz="0" w:space="0" w:color="auto"/>
        <w:right w:val="none" w:sz="0" w:space="0" w:color="auto"/>
      </w:divBdr>
    </w:div>
    <w:div w:id="165020647">
      <w:bodyDiv w:val="1"/>
      <w:marLeft w:val="0"/>
      <w:marRight w:val="0"/>
      <w:marTop w:val="0"/>
      <w:marBottom w:val="0"/>
      <w:divBdr>
        <w:top w:val="none" w:sz="0" w:space="0" w:color="auto"/>
        <w:left w:val="none" w:sz="0" w:space="0" w:color="auto"/>
        <w:bottom w:val="none" w:sz="0" w:space="0" w:color="auto"/>
        <w:right w:val="none" w:sz="0" w:space="0" w:color="auto"/>
      </w:divBdr>
    </w:div>
    <w:div w:id="168372687">
      <w:bodyDiv w:val="1"/>
      <w:marLeft w:val="0"/>
      <w:marRight w:val="0"/>
      <w:marTop w:val="0"/>
      <w:marBottom w:val="0"/>
      <w:divBdr>
        <w:top w:val="none" w:sz="0" w:space="0" w:color="auto"/>
        <w:left w:val="none" w:sz="0" w:space="0" w:color="auto"/>
        <w:bottom w:val="none" w:sz="0" w:space="0" w:color="auto"/>
        <w:right w:val="none" w:sz="0" w:space="0" w:color="auto"/>
      </w:divBdr>
      <w:divsChild>
        <w:div w:id="2014988171">
          <w:marLeft w:val="0"/>
          <w:marRight w:val="0"/>
          <w:marTop w:val="0"/>
          <w:marBottom w:val="0"/>
          <w:divBdr>
            <w:top w:val="none" w:sz="0" w:space="0" w:color="auto"/>
            <w:left w:val="none" w:sz="0" w:space="0" w:color="auto"/>
            <w:bottom w:val="none" w:sz="0" w:space="0" w:color="auto"/>
            <w:right w:val="none" w:sz="0" w:space="0" w:color="auto"/>
          </w:divBdr>
          <w:divsChild>
            <w:div w:id="866605065">
              <w:marLeft w:val="0"/>
              <w:marRight w:val="0"/>
              <w:marTop w:val="0"/>
              <w:marBottom w:val="0"/>
              <w:divBdr>
                <w:top w:val="none" w:sz="0" w:space="0" w:color="auto"/>
                <w:left w:val="none" w:sz="0" w:space="0" w:color="auto"/>
                <w:bottom w:val="none" w:sz="0" w:space="0" w:color="auto"/>
                <w:right w:val="none" w:sz="0" w:space="0" w:color="auto"/>
              </w:divBdr>
            </w:div>
          </w:divsChild>
        </w:div>
        <w:div w:id="329259857">
          <w:marLeft w:val="0"/>
          <w:marRight w:val="0"/>
          <w:marTop w:val="0"/>
          <w:marBottom w:val="0"/>
          <w:divBdr>
            <w:top w:val="none" w:sz="0" w:space="0" w:color="auto"/>
            <w:left w:val="none" w:sz="0" w:space="0" w:color="auto"/>
            <w:bottom w:val="none" w:sz="0" w:space="0" w:color="auto"/>
            <w:right w:val="none" w:sz="0" w:space="0" w:color="auto"/>
          </w:divBdr>
          <w:divsChild>
            <w:div w:id="107505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63316">
      <w:bodyDiv w:val="1"/>
      <w:marLeft w:val="0"/>
      <w:marRight w:val="0"/>
      <w:marTop w:val="0"/>
      <w:marBottom w:val="0"/>
      <w:divBdr>
        <w:top w:val="none" w:sz="0" w:space="0" w:color="auto"/>
        <w:left w:val="none" w:sz="0" w:space="0" w:color="auto"/>
        <w:bottom w:val="none" w:sz="0" w:space="0" w:color="auto"/>
        <w:right w:val="none" w:sz="0" w:space="0" w:color="auto"/>
      </w:divBdr>
    </w:div>
    <w:div w:id="170684791">
      <w:bodyDiv w:val="1"/>
      <w:marLeft w:val="0"/>
      <w:marRight w:val="0"/>
      <w:marTop w:val="0"/>
      <w:marBottom w:val="0"/>
      <w:divBdr>
        <w:top w:val="none" w:sz="0" w:space="0" w:color="auto"/>
        <w:left w:val="none" w:sz="0" w:space="0" w:color="auto"/>
        <w:bottom w:val="none" w:sz="0" w:space="0" w:color="auto"/>
        <w:right w:val="none" w:sz="0" w:space="0" w:color="auto"/>
      </w:divBdr>
    </w:div>
    <w:div w:id="182595210">
      <w:bodyDiv w:val="1"/>
      <w:marLeft w:val="0"/>
      <w:marRight w:val="0"/>
      <w:marTop w:val="0"/>
      <w:marBottom w:val="0"/>
      <w:divBdr>
        <w:top w:val="none" w:sz="0" w:space="0" w:color="auto"/>
        <w:left w:val="none" w:sz="0" w:space="0" w:color="auto"/>
        <w:bottom w:val="none" w:sz="0" w:space="0" w:color="auto"/>
        <w:right w:val="none" w:sz="0" w:space="0" w:color="auto"/>
      </w:divBdr>
      <w:divsChild>
        <w:div w:id="121388710">
          <w:marLeft w:val="0"/>
          <w:marRight w:val="0"/>
          <w:marTop w:val="0"/>
          <w:marBottom w:val="0"/>
          <w:divBdr>
            <w:top w:val="none" w:sz="0" w:space="0" w:color="auto"/>
            <w:left w:val="none" w:sz="0" w:space="0" w:color="auto"/>
            <w:bottom w:val="none" w:sz="0" w:space="0" w:color="auto"/>
            <w:right w:val="none" w:sz="0" w:space="0" w:color="auto"/>
          </w:divBdr>
          <w:divsChild>
            <w:div w:id="1624727766">
              <w:marLeft w:val="0"/>
              <w:marRight w:val="0"/>
              <w:marTop w:val="0"/>
              <w:marBottom w:val="0"/>
              <w:divBdr>
                <w:top w:val="none" w:sz="0" w:space="0" w:color="auto"/>
                <w:left w:val="none" w:sz="0" w:space="0" w:color="auto"/>
                <w:bottom w:val="none" w:sz="0" w:space="0" w:color="auto"/>
                <w:right w:val="none" w:sz="0" w:space="0" w:color="auto"/>
              </w:divBdr>
              <w:divsChild>
                <w:div w:id="2118326626">
                  <w:marLeft w:val="0"/>
                  <w:marRight w:val="0"/>
                  <w:marTop w:val="0"/>
                  <w:marBottom w:val="0"/>
                  <w:divBdr>
                    <w:top w:val="none" w:sz="0" w:space="0" w:color="auto"/>
                    <w:left w:val="none" w:sz="0" w:space="0" w:color="auto"/>
                    <w:bottom w:val="none" w:sz="0" w:space="0" w:color="auto"/>
                    <w:right w:val="none" w:sz="0" w:space="0" w:color="auto"/>
                  </w:divBdr>
                  <w:divsChild>
                    <w:div w:id="238946111">
                      <w:marLeft w:val="0"/>
                      <w:marRight w:val="0"/>
                      <w:marTop w:val="0"/>
                      <w:marBottom w:val="0"/>
                      <w:divBdr>
                        <w:top w:val="none" w:sz="0" w:space="0" w:color="auto"/>
                        <w:left w:val="none" w:sz="0" w:space="0" w:color="auto"/>
                        <w:bottom w:val="none" w:sz="0" w:space="0" w:color="auto"/>
                        <w:right w:val="none" w:sz="0" w:space="0" w:color="auto"/>
                      </w:divBdr>
                      <w:divsChild>
                        <w:div w:id="1212881392">
                          <w:marLeft w:val="0"/>
                          <w:marRight w:val="0"/>
                          <w:marTop w:val="0"/>
                          <w:marBottom w:val="0"/>
                          <w:divBdr>
                            <w:top w:val="none" w:sz="0" w:space="0" w:color="auto"/>
                            <w:left w:val="none" w:sz="0" w:space="0" w:color="auto"/>
                            <w:bottom w:val="none" w:sz="0" w:space="0" w:color="auto"/>
                            <w:right w:val="none" w:sz="0" w:space="0" w:color="auto"/>
                          </w:divBdr>
                          <w:divsChild>
                            <w:div w:id="59868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93057">
      <w:bodyDiv w:val="1"/>
      <w:marLeft w:val="0"/>
      <w:marRight w:val="0"/>
      <w:marTop w:val="0"/>
      <w:marBottom w:val="0"/>
      <w:divBdr>
        <w:top w:val="none" w:sz="0" w:space="0" w:color="auto"/>
        <w:left w:val="none" w:sz="0" w:space="0" w:color="auto"/>
        <w:bottom w:val="none" w:sz="0" w:space="0" w:color="auto"/>
        <w:right w:val="none" w:sz="0" w:space="0" w:color="auto"/>
      </w:divBdr>
    </w:div>
    <w:div w:id="187181607">
      <w:bodyDiv w:val="1"/>
      <w:marLeft w:val="0"/>
      <w:marRight w:val="0"/>
      <w:marTop w:val="0"/>
      <w:marBottom w:val="0"/>
      <w:divBdr>
        <w:top w:val="none" w:sz="0" w:space="0" w:color="auto"/>
        <w:left w:val="none" w:sz="0" w:space="0" w:color="auto"/>
        <w:bottom w:val="none" w:sz="0" w:space="0" w:color="auto"/>
        <w:right w:val="none" w:sz="0" w:space="0" w:color="auto"/>
      </w:divBdr>
    </w:div>
    <w:div w:id="194005647">
      <w:bodyDiv w:val="1"/>
      <w:marLeft w:val="0"/>
      <w:marRight w:val="0"/>
      <w:marTop w:val="0"/>
      <w:marBottom w:val="0"/>
      <w:divBdr>
        <w:top w:val="none" w:sz="0" w:space="0" w:color="auto"/>
        <w:left w:val="none" w:sz="0" w:space="0" w:color="auto"/>
        <w:bottom w:val="none" w:sz="0" w:space="0" w:color="auto"/>
        <w:right w:val="none" w:sz="0" w:space="0" w:color="auto"/>
      </w:divBdr>
    </w:div>
    <w:div w:id="204174249">
      <w:bodyDiv w:val="1"/>
      <w:marLeft w:val="0"/>
      <w:marRight w:val="0"/>
      <w:marTop w:val="0"/>
      <w:marBottom w:val="0"/>
      <w:divBdr>
        <w:top w:val="none" w:sz="0" w:space="0" w:color="auto"/>
        <w:left w:val="none" w:sz="0" w:space="0" w:color="auto"/>
        <w:bottom w:val="none" w:sz="0" w:space="0" w:color="auto"/>
        <w:right w:val="none" w:sz="0" w:space="0" w:color="auto"/>
      </w:divBdr>
    </w:div>
    <w:div w:id="219827893">
      <w:bodyDiv w:val="1"/>
      <w:marLeft w:val="0"/>
      <w:marRight w:val="0"/>
      <w:marTop w:val="0"/>
      <w:marBottom w:val="0"/>
      <w:divBdr>
        <w:top w:val="none" w:sz="0" w:space="0" w:color="auto"/>
        <w:left w:val="none" w:sz="0" w:space="0" w:color="auto"/>
        <w:bottom w:val="none" w:sz="0" w:space="0" w:color="auto"/>
        <w:right w:val="none" w:sz="0" w:space="0" w:color="auto"/>
      </w:divBdr>
    </w:div>
    <w:div w:id="222954411">
      <w:bodyDiv w:val="1"/>
      <w:marLeft w:val="0"/>
      <w:marRight w:val="0"/>
      <w:marTop w:val="0"/>
      <w:marBottom w:val="0"/>
      <w:divBdr>
        <w:top w:val="none" w:sz="0" w:space="0" w:color="auto"/>
        <w:left w:val="none" w:sz="0" w:space="0" w:color="auto"/>
        <w:bottom w:val="none" w:sz="0" w:space="0" w:color="auto"/>
        <w:right w:val="none" w:sz="0" w:space="0" w:color="auto"/>
      </w:divBdr>
      <w:divsChild>
        <w:div w:id="592205404">
          <w:marLeft w:val="0"/>
          <w:marRight w:val="0"/>
          <w:marTop w:val="0"/>
          <w:marBottom w:val="0"/>
          <w:divBdr>
            <w:top w:val="none" w:sz="0" w:space="0" w:color="auto"/>
            <w:left w:val="none" w:sz="0" w:space="0" w:color="auto"/>
            <w:bottom w:val="none" w:sz="0" w:space="0" w:color="auto"/>
            <w:right w:val="none" w:sz="0" w:space="0" w:color="auto"/>
          </w:divBdr>
          <w:divsChild>
            <w:div w:id="1627614543">
              <w:marLeft w:val="0"/>
              <w:marRight w:val="0"/>
              <w:marTop w:val="0"/>
              <w:marBottom w:val="0"/>
              <w:divBdr>
                <w:top w:val="none" w:sz="0" w:space="0" w:color="auto"/>
                <w:left w:val="none" w:sz="0" w:space="0" w:color="auto"/>
                <w:bottom w:val="none" w:sz="0" w:space="0" w:color="auto"/>
                <w:right w:val="none" w:sz="0" w:space="0" w:color="auto"/>
              </w:divBdr>
            </w:div>
          </w:divsChild>
        </w:div>
        <w:div w:id="280386609">
          <w:marLeft w:val="0"/>
          <w:marRight w:val="0"/>
          <w:marTop w:val="0"/>
          <w:marBottom w:val="0"/>
          <w:divBdr>
            <w:top w:val="none" w:sz="0" w:space="0" w:color="auto"/>
            <w:left w:val="none" w:sz="0" w:space="0" w:color="auto"/>
            <w:bottom w:val="none" w:sz="0" w:space="0" w:color="auto"/>
            <w:right w:val="none" w:sz="0" w:space="0" w:color="auto"/>
          </w:divBdr>
          <w:divsChild>
            <w:div w:id="409354962">
              <w:marLeft w:val="0"/>
              <w:marRight w:val="0"/>
              <w:marTop w:val="0"/>
              <w:marBottom w:val="0"/>
              <w:divBdr>
                <w:top w:val="none" w:sz="0" w:space="0" w:color="auto"/>
                <w:left w:val="none" w:sz="0" w:space="0" w:color="auto"/>
                <w:bottom w:val="none" w:sz="0" w:space="0" w:color="auto"/>
                <w:right w:val="none" w:sz="0" w:space="0" w:color="auto"/>
              </w:divBdr>
            </w:div>
          </w:divsChild>
        </w:div>
        <w:div w:id="604772719">
          <w:marLeft w:val="0"/>
          <w:marRight w:val="0"/>
          <w:marTop w:val="0"/>
          <w:marBottom w:val="0"/>
          <w:divBdr>
            <w:top w:val="none" w:sz="0" w:space="0" w:color="auto"/>
            <w:left w:val="none" w:sz="0" w:space="0" w:color="auto"/>
            <w:bottom w:val="none" w:sz="0" w:space="0" w:color="auto"/>
            <w:right w:val="none" w:sz="0" w:space="0" w:color="auto"/>
          </w:divBdr>
          <w:divsChild>
            <w:div w:id="1442148958">
              <w:marLeft w:val="0"/>
              <w:marRight w:val="0"/>
              <w:marTop w:val="0"/>
              <w:marBottom w:val="0"/>
              <w:divBdr>
                <w:top w:val="none" w:sz="0" w:space="0" w:color="auto"/>
                <w:left w:val="none" w:sz="0" w:space="0" w:color="auto"/>
                <w:bottom w:val="none" w:sz="0" w:space="0" w:color="auto"/>
                <w:right w:val="none" w:sz="0" w:space="0" w:color="auto"/>
              </w:divBdr>
            </w:div>
          </w:divsChild>
        </w:div>
        <w:div w:id="1634482212">
          <w:marLeft w:val="0"/>
          <w:marRight w:val="0"/>
          <w:marTop w:val="0"/>
          <w:marBottom w:val="0"/>
          <w:divBdr>
            <w:top w:val="none" w:sz="0" w:space="0" w:color="auto"/>
            <w:left w:val="none" w:sz="0" w:space="0" w:color="auto"/>
            <w:bottom w:val="none" w:sz="0" w:space="0" w:color="auto"/>
            <w:right w:val="none" w:sz="0" w:space="0" w:color="auto"/>
          </w:divBdr>
          <w:divsChild>
            <w:div w:id="1387266641">
              <w:marLeft w:val="0"/>
              <w:marRight w:val="0"/>
              <w:marTop w:val="0"/>
              <w:marBottom w:val="0"/>
              <w:divBdr>
                <w:top w:val="none" w:sz="0" w:space="0" w:color="auto"/>
                <w:left w:val="none" w:sz="0" w:space="0" w:color="auto"/>
                <w:bottom w:val="none" w:sz="0" w:space="0" w:color="auto"/>
                <w:right w:val="none" w:sz="0" w:space="0" w:color="auto"/>
              </w:divBdr>
            </w:div>
          </w:divsChild>
        </w:div>
        <w:div w:id="930623021">
          <w:marLeft w:val="0"/>
          <w:marRight w:val="0"/>
          <w:marTop w:val="0"/>
          <w:marBottom w:val="0"/>
          <w:divBdr>
            <w:top w:val="none" w:sz="0" w:space="0" w:color="auto"/>
            <w:left w:val="none" w:sz="0" w:space="0" w:color="auto"/>
            <w:bottom w:val="none" w:sz="0" w:space="0" w:color="auto"/>
            <w:right w:val="none" w:sz="0" w:space="0" w:color="auto"/>
          </w:divBdr>
          <w:divsChild>
            <w:div w:id="1230264061">
              <w:marLeft w:val="0"/>
              <w:marRight w:val="0"/>
              <w:marTop w:val="0"/>
              <w:marBottom w:val="0"/>
              <w:divBdr>
                <w:top w:val="none" w:sz="0" w:space="0" w:color="auto"/>
                <w:left w:val="none" w:sz="0" w:space="0" w:color="auto"/>
                <w:bottom w:val="none" w:sz="0" w:space="0" w:color="auto"/>
                <w:right w:val="none" w:sz="0" w:space="0" w:color="auto"/>
              </w:divBdr>
            </w:div>
          </w:divsChild>
        </w:div>
        <w:div w:id="238028052">
          <w:marLeft w:val="0"/>
          <w:marRight w:val="0"/>
          <w:marTop w:val="0"/>
          <w:marBottom w:val="0"/>
          <w:divBdr>
            <w:top w:val="none" w:sz="0" w:space="0" w:color="auto"/>
            <w:left w:val="none" w:sz="0" w:space="0" w:color="auto"/>
            <w:bottom w:val="none" w:sz="0" w:space="0" w:color="auto"/>
            <w:right w:val="none" w:sz="0" w:space="0" w:color="auto"/>
          </w:divBdr>
          <w:divsChild>
            <w:div w:id="70083424">
              <w:marLeft w:val="0"/>
              <w:marRight w:val="0"/>
              <w:marTop w:val="0"/>
              <w:marBottom w:val="0"/>
              <w:divBdr>
                <w:top w:val="none" w:sz="0" w:space="0" w:color="auto"/>
                <w:left w:val="none" w:sz="0" w:space="0" w:color="auto"/>
                <w:bottom w:val="none" w:sz="0" w:space="0" w:color="auto"/>
                <w:right w:val="none" w:sz="0" w:space="0" w:color="auto"/>
              </w:divBdr>
            </w:div>
          </w:divsChild>
        </w:div>
        <w:div w:id="824737000">
          <w:marLeft w:val="0"/>
          <w:marRight w:val="0"/>
          <w:marTop w:val="0"/>
          <w:marBottom w:val="0"/>
          <w:divBdr>
            <w:top w:val="none" w:sz="0" w:space="0" w:color="auto"/>
            <w:left w:val="none" w:sz="0" w:space="0" w:color="auto"/>
            <w:bottom w:val="none" w:sz="0" w:space="0" w:color="auto"/>
            <w:right w:val="none" w:sz="0" w:space="0" w:color="auto"/>
          </w:divBdr>
          <w:divsChild>
            <w:div w:id="1185827379">
              <w:marLeft w:val="0"/>
              <w:marRight w:val="0"/>
              <w:marTop w:val="0"/>
              <w:marBottom w:val="0"/>
              <w:divBdr>
                <w:top w:val="none" w:sz="0" w:space="0" w:color="auto"/>
                <w:left w:val="none" w:sz="0" w:space="0" w:color="auto"/>
                <w:bottom w:val="none" w:sz="0" w:space="0" w:color="auto"/>
                <w:right w:val="none" w:sz="0" w:space="0" w:color="auto"/>
              </w:divBdr>
            </w:div>
          </w:divsChild>
        </w:div>
        <w:div w:id="1803960295">
          <w:marLeft w:val="0"/>
          <w:marRight w:val="0"/>
          <w:marTop w:val="0"/>
          <w:marBottom w:val="0"/>
          <w:divBdr>
            <w:top w:val="none" w:sz="0" w:space="0" w:color="auto"/>
            <w:left w:val="none" w:sz="0" w:space="0" w:color="auto"/>
            <w:bottom w:val="none" w:sz="0" w:space="0" w:color="auto"/>
            <w:right w:val="none" w:sz="0" w:space="0" w:color="auto"/>
          </w:divBdr>
          <w:divsChild>
            <w:div w:id="193270031">
              <w:marLeft w:val="0"/>
              <w:marRight w:val="0"/>
              <w:marTop w:val="0"/>
              <w:marBottom w:val="0"/>
              <w:divBdr>
                <w:top w:val="none" w:sz="0" w:space="0" w:color="auto"/>
                <w:left w:val="none" w:sz="0" w:space="0" w:color="auto"/>
                <w:bottom w:val="none" w:sz="0" w:space="0" w:color="auto"/>
                <w:right w:val="none" w:sz="0" w:space="0" w:color="auto"/>
              </w:divBdr>
            </w:div>
          </w:divsChild>
        </w:div>
        <w:div w:id="120391115">
          <w:marLeft w:val="0"/>
          <w:marRight w:val="0"/>
          <w:marTop w:val="0"/>
          <w:marBottom w:val="0"/>
          <w:divBdr>
            <w:top w:val="none" w:sz="0" w:space="0" w:color="auto"/>
            <w:left w:val="none" w:sz="0" w:space="0" w:color="auto"/>
            <w:bottom w:val="none" w:sz="0" w:space="0" w:color="auto"/>
            <w:right w:val="none" w:sz="0" w:space="0" w:color="auto"/>
          </w:divBdr>
          <w:divsChild>
            <w:div w:id="697046204">
              <w:marLeft w:val="0"/>
              <w:marRight w:val="0"/>
              <w:marTop w:val="0"/>
              <w:marBottom w:val="0"/>
              <w:divBdr>
                <w:top w:val="none" w:sz="0" w:space="0" w:color="auto"/>
                <w:left w:val="none" w:sz="0" w:space="0" w:color="auto"/>
                <w:bottom w:val="none" w:sz="0" w:space="0" w:color="auto"/>
                <w:right w:val="none" w:sz="0" w:space="0" w:color="auto"/>
              </w:divBdr>
            </w:div>
          </w:divsChild>
        </w:div>
        <w:div w:id="2117552552">
          <w:marLeft w:val="0"/>
          <w:marRight w:val="0"/>
          <w:marTop w:val="0"/>
          <w:marBottom w:val="0"/>
          <w:divBdr>
            <w:top w:val="none" w:sz="0" w:space="0" w:color="auto"/>
            <w:left w:val="none" w:sz="0" w:space="0" w:color="auto"/>
            <w:bottom w:val="none" w:sz="0" w:space="0" w:color="auto"/>
            <w:right w:val="none" w:sz="0" w:space="0" w:color="auto"/>
          </w:divBdr>
          <w:divsChild>
            <w:div w:id="973215805">
              <w:marLeft w:val="0"/>
              <w:marRight w:val="0"/>
              <w:marTop w:val="0"/>
              <w:marBottom w:val="0"/>
              <w:divBdr>
                <w:top w:val="none" w:sz="0" w:space="0" w:color="auto"/>
                <w:left w:val="none" w:sz="0" w:space="0" w:color="auto"/>
                <w:bottom w:val="none" w:sz="0" w:space="0" w:color="auto"/>
                <w:right w:val="none" w:sz="0" w:space="0" w:color="auto"/>
              </w:divBdr>
            </w:div>
          </w:divsChild>
        </w:div>
        <w:div w:id="1288270140">
          <w:marLeft w:val="0"/>
          <w:marRight w:val="0"/>
          <w:marTop w:val="0"/>
          <w:marBottom w:val="0"/>
          <w:divBdr>
            <w:top w:val="none" w:sz="0" w:space="0" w:color="auto"/>
            <w:left w:val="none" w:sz="0" w:space="0" w:color="auto"/>
            <w:bottom w:val="none" w:sz="0" w:space="0" w:color="auto"/>
            <w:right w:val="none" w:sz="0" w:space="0" w:color="auto"/>
          </w:divBdr>
          <w:divsChild>
            <w:div w:id="1444763836">
              <w:marLeft w:val="0"/>
              <w:marRight w:val="0"/>
              <w:marTop w:val="0"/>
              <w:marBottom w:val="0"/>
              <w:divBdr>
                <w:top w:val="none" w:sz="0" w:space="0" w:color="auto"/>
                <w:left w:val="none" w:sz="0" w:space="0" w:color="auto"/>
                <w:bottom w:val="none" w:sz="0" w:space="0" w:color="auto"/>
                <w:right w:val="none" w:sz="0" w:space="0" w:color="auto"/>
              </w:divBdr>
            </w:div>
          </w:divsChild>
        </w:div>
        <w:div w:id="480728746">
          <w:marLeft w:val="0"/>
          <w:marRight w:val="0"/>
          <w:marTop w:val="0"/>
          <w:marBottom w:val="0"/>
          <w:divBdr>
            <w:top w:val="none" w:sz="0" w:space="0" w:color="auto"/>
            <w:left w:val="none" w:sz="0" w:space="0" w:color="auto"/>
            <w:bottom w:val="none" w:sz="0" w:space="0" w:color="auto"/>
            <w:right w:val="none" w:sz="0" w:space="0" w:color="auto"/>
          </w:divBdr>
          <w:divsChild>
            <w:div w:id="1096249062">
              <w:marLeft w:val="0"/>
              <w:marRight w:val="0"/>
              <w:marTop w:val="0"/>
              <w:marBottom w:val="0"/>
              <w:divBdr>
                <w:top w:val="none" w:sz="0" w:space="0" w:color="auto"/>
                <w:left w:val="none" w:sz="0" w:space="0" w:color="auto"/>
                <w:bottom w:val="none" w:sz="0" w:space="0" w:color="auto"/>
                <w:right w:val="none" w:sz="0" w:space="0" w:color="auto"/>
              </w:divBdr>
            </w:div>
          </w:divsChild>
        </w:div>
        <w:div w:id="1056466883">
          <w:marLeft w:val="0"/>
          <w:marRight w:val="0"/>
          <w:marTop w:val="0"/>
          <w:marBottom w:val="0"/>
          <w:divBdr>
            <w:top w:val="none" w:sz="0" w:space="0" w:color="auto"/>
            <w:left w:val="none" w:sz="0" w:space="0" w:color="auto"/>
            <w:bottom w:val="none" w:sz="0" w:space="0" w:color="auto"/>
            <w:right w:val="none" w:sz="0" w:space="0" w:color="auto"/>
          </w:divBdr>
          <w:divsChild>
            <w:div w:id="1407268015">
              <w:marLeft w:val="0"/>
              <w:marRight w:val="0"/>
              <w:marTop w:val="0"/>
              <w:marBottom w:val="0"/>
              <w:divBdr>
                <w:top w:val="none" w:sz="0" w:space="0" w:color="auto"/>
                <w:left w:val="none" w:sz="0" w:space="0" w:color="auto"/>
                <w:bottom w:val="none" w:sz="0" w:space="0" w:color="auto"/>
                <w:right w:val="none" w:sz="0" w:space="0" w:color="auto"/>
              </w:divBdr>
            </w:div>
          </w:divsChild>
        </w:div>
        <w:div w:id="77022352">
          <w:marLeft w:val="0"/>
          <w:marRight w:val="0"/>
          <w:marTop w:val="0"/>
          <w:marBottom w:val="0"/>
          <w:divBdr>
            <w:top w:val="none" w:sz="0" w:space="0" w:color="auto"/>
            <w:left w:val="none" w:sz="0" w:space="0" w:color="auto"/>
            <w:bottom w:val="none" w:sz="0" w:space="0" w:color="auto"/>
            <w:right w:val="none" w:sz="0" w:space="0" w:color="auto"/>
          </w:divBdr>
          <w:divsChild>
            <w:div w:id="1173489931">
              <w:marLeft w:val="0"/>
              <w:marRight w:val="0"/>
              <w:marTop w:val="0"/>
              <w:marBottom w:val="0"/>
              <w:divBdr>
                <w:top w:val="none" w:sz="0" w:space="0" w:color="auto"/>
                <w:left w:val="none" w:sz="0" w:space="0" w:color="auto"/>
                <w:bottom w:val="none" w:sz="0" w:space="0" w:color="auto"/>
                <w:right w:val="none" w:sz="0" w:space="0" w:color="auto"/>
              </w:divBdr>
            </w:div>
          </w:divsChild>
        </w:div>
        <w:div w:id="970938666">
          <w:marLeft w:val="0"/>
          <w:marRight w:val="0"/>
          <w:marTop w:val="0"/>
          <w:marBottom w:val="0"/>
          <w:divBdr>
            <w:top w:val="none" w:sz="0" w:space="0" w:color="auto"/>
            <w:left w:val="none" w:sz="0" w:space="0" w:color="auto"/>
            <w:bottom w:val="none" w:sz="0" w:space="0" w:color="auto"/>
            <w:right w:val="none" w:sz="0" w:space="0" w:color="auto"/>
          </w:divBdr>
          <w:divsChild>
            <w:div w:id="1573542736">
              <w:marLeft w:val="0"/>
              <w:marRight w:val="0"/>
              <w:marTop w:val="0"/>
              <w:marBottom w:val="0"/>
              <w:divBdr>
                <w:top w:val="none" w:sz="0" w:space="0" w:color="auto"/>
                <w:left w:val="none" w:sz="0" w:space="0" w:color="auto"/>
                <w:bottom w:val="none" w:sz="0" w:space="0" w:color="auto"/>
                <w:right w:val="none" w:sz="0" w:space="0" w:color="auto"/>
              </w:divBdr>
            </w:div>
          </w:divsChild>
        </w:div>
        <w:div w:id="1463772382">
          <w:marLeft w:val="0"/>
          <w:marRight w:val="0"/>
          <w:marTop w:val="0"/>
          <w:marBottom w:val="0"/>
          <w:divBdr>
            <w:top w:val="none" w:sz="0" w:space="0" w:color="auto"/>
            <w:left w:val="none" w:sz="0" w:space="0" w:color="auto"/>
            <w:bottom w:val="none" w:sz="0" w:space="0" w:color="auto"/>
            <w:right w:val="none" w:sz="0" w:space="0" w:color="auto"/>
          </w:divBdr>
          <w:divsChild>
            <w:div w:id="933249141">
              <w:marLeft w:val="0"/>
              <w:marRight w:val="0"/>
              <w:marTop w:val="0"/>
              <w:marBottom w:val="0"/>
              <w:divBdr>
                <w:top w:val="none" w:sz="0" w:space="0" w:color="auto"/>
                <w:left w:val="none" w:sz="0" w:space="0" w:color="auto"/>
                <w:bottom w:val="none" w:sz="0" w:space="0" w:color="auto"/>
                <w:right w:val="none" w:sz="0" w:space="0" w:color="auto"/>
              </w:divBdr>
            </w:div>
          </w:divsChild>
        </w:div>
        <w:div w:id="1426998506">
          <w:marLeft w:val="0"/>
          <w:marRight w:val="0"/>
          <w:marTop w:val="0"/>
          <w:marBottom w:val="0"/>
          <w:divBdr>
            <w:top w:val="none" w:sz="0" w:space="0" w:color="auto"/>
            <w:left w:val="none" w:sz="0" w:space="0" w:color="auto"/>
            <w:bottom w:val="none" w:sz="0" w:space="0" w:color="auto"/>
            <w:right w:val="none" w:sz="0" w:space="0" w:color="auto"/>
          </w:divBdr>
          <w:divsChild>
            <w:div w:id="746920137">
              <w:marLeft w:val="0"/>
              <w:marRight w:val="0"/>
              <w:marTop w:val="0"/>
              <w:marBottom w:val="0"/>
              <w:divBdr>
                <w:top w:val="none" w:sz="0" w:space="0" w:color="auto"/>
                <w:left w:val="none" w:sz="0" w:space="0" w:color="auto"/>
                <w:bottom w:val="none" w:sz="0" w:space="0" w:color="auto"/>
                <w:right w:val="none" w:sz="0" w:space="0" w:color="auto"/>
              </w:divBdr>
            </w:div>
          </w:divsChild>
        </w:div>
        <w:div w:id="1301493742">
          <w:marLeft w:val="0"/>
          <w:marRight w:val="0"/>
          <w:marTop w:val="0"/>
          <w:marBottom w:val="0"/>
          <w:divBdr>
            <w:top w:val="none" w:sz="0" w:space="0" w:color="auto"/>
            <w:left w:val="none" w:sz="0" w:space="0" w:color="auto"/>
            <w:bottom w:val="none" w:sz="0" w:space="0" w:color="auto"/>
            <w:right w:val="none" w:sz="0" w:space="0" w:color="auto"/>
          </w:divBdr>
          <w:divsChild>
            <w:div w:id="1631857575">
              <w:marLeft w:val="0"/>
              <w:marRight w:val="0"/>
              <w:marTop w:val="0"/>
              <w:marBottom w:val="0"/>
              <w:divBdr>
                <w:top w:val="none" w:sz="0" w:space="0" w:color="auto"/>
                <w:left w:val="none" w:sz="0" w:space="0" w:color="auto"/>
                <w:bottom w:val="none" w:sz="0" w:space="0" w:color="auto"/>
                <w:right w:val="none" w:sz="0" w:space="0" w:color="auto"/>
              </w:divBdr>
            </w:div>
          </w:divsChild>
        </w:div>
        <w:div w:id="729882159">
          <w:marLeft w:val="0"/>
          <w:marRight w:val="0"/>
          <w:marTop w:val="0"/>
          <w:marBottom w:val="0"/>
          <w:divBdr>
            <w:top w:val="none" w:sz="0" w:space="0" w:color="auto"/>
            <w:left w:val="none" w:sz="0" w:space="0" w:color="auto"/>
            <w:bottom w:val="none" w:sz="0" w:space="0" w:color="auto"/>
            <w:right w:val="none" w:sz="0" w:space="0" w:color="auto"/>
          </w:divBdr>
          <w:divsChild>
            <w:div w:id="73231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84625">
      <w:bodyDiv w:val="1"/>
      <w:marLeft w:val="0"/>
      <w:marRight w:val="0"/>
      <w:marTop w:val="0"/>
      <w:marBottom w:val="0"/>
      <w:divBdr>
        <w:top w:val="none" w:sz="0" w:space="0" w:color="auto"/>
        <w:left w:val="none" w:sz="0" w:space="0" w:color="auto"/>
        <w:bottom w:val="none" w:sz="0" w:space="0" w:color="auto"/>
        <w:right w:val="none" w:sz="0" w:space="0" w:color="auto"/>
      </w:divBdr>
    </w:div>
    <w:div w:id="231283907">
      <w:bodyDiv w:val="1"/>
      <w:marLeft w:val="0"/>
      <w:marRight w:val="0"/>
      <w:marTop w:val="0"/>
      <w:marBottom w:val="0"/>
      <w:divBdr>
        <w:top w:val="none" w:sz="0" w:space="0" w:color="auto"/>
        <w:left w:val="none" w:sz="0" w:space="0" w:color="auto"/>
        <w:bottom w:val="none" w:sz="0" w:space="0" w:color="auto"/>
        <w:right w:val="none" w:sz="0" w:space="0" w:color="auto"/>
      </w:divBdr>
      <w:divsChild>
        <w:div w:id="232547181">
          <w:marLeft w:val="0"/>
          <w:marRight w:val="0"/>
          <w:marTop w:val="0"/>
          <w:marBottom w:val="0"/>
          <w:divBdr>
            <w:top w:val="none" w:sz="0" w:space="0" w:color="auto"/>
            <w:left w:val="none" w:sz="0" w:space="0" w:color="auto"/>
            <w:bottom w:val="none" w:sz="0" w:space="0" w:color="auto"/>
            <w:right w:val="none" w:sz="0" w:space="0" w:color="auto"/>
          </w:divBdr>
          <w:divsChild>
            <w:div w:id="1014964600">
              <w:marLeft w:val="0"/>
              <w:marRight w:val="0"/>
              <w:marTop w:val="0"/>
              <w:marBottom w:val="0"/>
              <w:divBdr>
                <w:top w:val="none" w:sz="0" w:space="0" w:color="auto"/>
                <w:left w:val="none" w:sz="0" w:space="0" w:color="auto"/>
                <w:bottom w:val="none" w:sz="0" w:space="0" w:color="auto"/>
                <w:right w:val="none" w:sz="0" w:space="0" w:color="auto"/>
              </w:divBdr>
            </w:div>
          </w:divsChild>
        </w:div>
        <w:div w:id="991835218">
          <w:marLeft w:val="0"/>
          <w:marRight w:val="0"/>
          <w:marTop w:val="0"/>
          <w:marBottom w:val="0"/>
          <w:divBdr>
            <w:top w:val="none" w:sz="0" w:space="0" w:color="auto"/>
            <w:left w:val="none" w:sz="0" w:space="0" w:color="auto"/>
            <w:bottom w:val="none" w:sz="0" w:space="0" w:color="auto"/>
            <w:right w:val="none" w:sz="0" w:space="0" w:color="auto"/>
          </w:divBdr>
          <w:divsChild>
            <w:div w:id="1823690959">
              <w:marLeft w:val="0"/>
              <w:marRight w:val="0"/>
              <w:marTop w:val="0"/>
              <w:marBottom w:val="0"/>
              <w:divBdr>
                <w:top w:val="none" w:sz="0" w:space="0" w:color="auto"/>
                <w:left w:val="none" w:sz="0" w:space="0" w:color="auto"/>
                <w:bottom w:val="none" w:sz="0" w:space="0" w:color="auto"/>
                <w:right w:val="none" w:sz="0" w:space="0" w:color="auto"/>
              </w:divBdr>
            </w:div>
          </w:divsChild>
        </w:div>
        <w:div w:id="1141383942">
          <w:marLeft w:val="0"/>
          <w:marRight w:val="0"/>
          <w:marTop w:val="0"/>
          <w:marBottom w:val="0"/>
          <w:divBdr>
            <w:top w:val="none" w:sz="0" w:space="0" w:color="auto"/>
            <w:left w:val="none" w:sz="0" w:space="0" w:color="auto"/>
            <w:bottom w:val="none" w:sz="0" w:space="0" w:color="auto"/>
            <w:right w:val="none" w:sz="0" w:space="0" w:color="auto"/>
          </w:divBdr>
          <w:divsChild>
            <w:div w:id="1024208591">
              <w:marLeft w:val="0"/>
              <w:marRight w:val="0"/>
              <w:marTop w:val="0"/>
              <w:marBottom w:val="0"/>
              <w:divBdr>
                <w:top w:val="none" w:sz="0" w:space="0" w:color="auto"/>
                <w:left w:val="none" w:sz="0" w:space="0" w:color="auto"/>
                <w:bottom w:val="none" w:sz="0" w:space="0" w:color="auto"/>
                <w:right w:val="none" w:sz="0" w:space="0" w:color="auto"/>
              </w:divBdr>
            </w:div>
          </w:divsChild>
        </w:div>
        <w:div w:id="1791513072">
          <w:marLeft w:val="0"/>
          <w:marRight w:val="0"/>
          <w:marTop w:val="0"/>
          <w:marBottom w:val="0"/>
          <w:divBdr>
            <w:top w:val="none" w:sz="0" w:space="0" w:color="auto"/>
            <w:left w:val="none" w:sz="0" w:space="0" w:color="auto"/>
            <w:bottom w:val="none" w:sz="0" w:space="0" w:color="auto"/>
            <w:right w:val="none" w:sz="0" w:space="0" w:color="auto"/>
          </w:divBdr>
          <w:divsChild>
            <w:div w:id="56842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18069">
      <w:bodyDiv w:val="1"/>
      <w:marLeft w:val="0"/>
      <w:marRight w:val="0"/>
      <w:marTop w:val="0"/>
      <w:marBottom w:val="0"/>
      <w:divBdr>
        <w:top w:val="none" w:sz="0" w:space="0" w:color="auto"/>
        <w:left w:val="none" w:sz="0" w:space="0" w:color="auto"/>
        <w:bottom w:val="none" w:sz="0" w:space="0" w:color="auto"/>
        <w:right w:val="none" w:sz="0" w:space="0" w:color="auto"/>
      </w:divBdr>
    </w:div>
    <w:div w:id="236594633">
      <w:bodyDiv w:val="1"/>
      <w:marLeft w:val="0"/>
      <w:marRight w:val="0"/>
      <w:marTop w:val="0"/>
      <w:marBottom w:val="0"/>
      <w:divBdr>
        <w:top w:val="none" w:sz="0" w:space="0" w:color="auto"/>
        <w:left w:val="none" w:sz="0" w:space="0" w:color="auto"/>
        <w:bottom w:val="none" w:sz="0" w:space="0" w:color="auto"/>
        <w:right w:val="none" w:sz="0" w:space="0" w:color="auto"/>
      </w:divBdr>
      <w:divsChild>
        <w:div w:id="532889306">
          <w:marLeft w:val="0"/>
          <w:marRight w:val="0"/>
          <w:marTop w:val="0"/>
          <w:marBottom w:val="0"/>
          <w:divBdr>
            <w:top w:val="none" w:sz="0" w:space="0" w:color="auto"/>
            <w:left w:val="none" w:sz="0" w:space="0" w:color="auto"/>
            <w:bottom w:val="none" w:sz="0" w:space="0" w:color="auto"/>
            <w:right w:val="none" w:sz="0" w:space="0" w:color="auto"/>
          </w:divBdr>
          <w:divsChild>
            <w:div w:id="954363225">
              <w:marLeft w:val="0"/>
              <w:marRight w:val="0"/>
              <w:marTop w:val="0"/>
              <w:marBottom w:val="0"/>
              <w:divBdr>
                <w:top w:val="none" w:sz="0" w:space="0" w:color="auto"/>
                <w:left w:val="none" w:sz="0" w:space="0" w:color="auto"/>
                <w:bottom w:val="none" w:sz="0" w:space="0" w:color="auto"/>
                <w:right w:val="none" w:sz="0" w:space="0" w:color="auto"/>
              </w:divBdr>
            </w:div>
          </w:divsChild>
        </w:div>
        <w:div w:id="961225494">
          <w:marLeft w:val="0"/>
          <w:marRight w:val="0"/>
          <w:marTop w:val="0"/>
          <w:marBottom w:val="0"/>
          <w:divBdr>
            <w:top w:val="none" w:sz="0" w:space="0" w:color="auto"/>
            <w:left w:val="none" w:sz="0" w:space="0" w:color="auto"/>
            <w:bottom w:val="none" w:sz="0" w:space="0" w:color="auto"/>
            <w:right w:val="none" w:sz="0" w:space="0" w:color="auto"/>
          </w:divBdr>
          <w:divsChild>
            <w:div w:id="1403261678">
              <w:marLeft w:val="0"/>
              <w:marRight w:val="0"/>
              <w:marTop w:val="0"/>
              <w:marBottom w:val="0"/>
              <w:divBdr>
                <w:top w:val="none" w:sz="0" w:space="0" w:color="auto"/>
                <w:left w:val="none" w:sz="0" w:space="0" w:color="auto"/>
                <w:bottom w:val="none" w:sz="0" w:space="0" w:color="auto"/>
                <w:right w:val="none" w:sz="0" w:space="0" w:color="auto"/>
              </w:divBdr>
            </w:div>
          </w:divsChild>
        </w:div>
        <w:div w:id="217593629">
          <w:marLeft w:val="0"/>
          <w:marRight w:val="0"/>
          <w:marTop w:val="0"/>
          <w:marBottom w:val="0"/>
          <w:divBdr>
            <w:top w:val="none" w:sz="0" w:space="0" w:color="auto"/>
            <w:left w:val="none" w:sz="0" w:space="0" w:color="auto"/>
            <w:bottom w:val="none" w:sz="0" w:space="0" w:color="auto"/>
            <w:right w:val="none" w:sz="0" w:space="0" w:color="auto"/>
          </w:divBdr>
          <w:divsChild>
            <w:div w:id="323163605">
              <w:marLeft w:val="0"/>
              <w:marRight w:val="0"/>
              <w:marTop w:val="0"/>
              <w:marBottom w:val="0"/>
              <w:divBdr>
                <w:top w:val="none" w:sz="0" w:space="0" w:color="auto"/>
                <w:left w:val="none" w:sz="0" w:space="0" w:color="auto"/>
                <w:bottom w:val="none" w:sz="0" w:space="0" w:color="auto"/>
                <w:right w:val="none" w:sz="0" w:space="0" w:color="auto"/>
              </w:divBdr>
            </w:div>
          </w:divsChild>
        </w:div>
        <w:div w:id="1474831459">
          <w:marLeft w:val="0"/>
          <w:marRight w:val="0"/>
          <w:marTop w:val="0"/>
          <w:marBottom w:val="0"/>
          <w:divBdr>
            <w:top w:val="none" w:sz="0" w:space="0" w:color="auto"/>
            <w:left w:val="none" w:sz="0" w:space="0" w:color="auto"/>
            <w:bottom w:val="none" w:sz="0" w:space="0" w:color="auto"/>
            <w:right w:val="none" w:sz="0" w:space="0" w:color="auto"/>
          </w:divBdr>
          <w:divsChild>
            <w:div w:id="1624730640">
              <w:marLeft w:val="0"/>
              <w:marRight w:val="0"/>
              <w:marTop w:val="0"/>
              <w:marBottom w:val="0"/>
              <w:divBdr>
                <w:top w:val="none" w:sz="0" w:space="0" w:color="auto"/>
                <w:left w:val="none" w:sz="0" w:space="0" w:color="auto"/>
                <w:bottom w:val="none" w:sz="0" w:space="0" w:color="auto"/>
                <w:right w:val="none" w:sz="0" w:space="0" w:color="auto"/>
              </w:divBdr>
            </w:div>
          </w:divsChild>
        </w:div>
        <w:div w:id="1235815735">
          <w:marLeft w:val="0"/>
          <w:marRight w:val="0"/>
          <w:marTop w:val="0"/>
          <w:marBottom w:val="0"/>
          <w:divBdr>
            <w:top w:val="none" w:sz="0" w:space="0" w:color="auto"/>
            <w:left w:val="none" w:sz="0" w:space="0" w:color="auto"/>
            <w:bottom w:val="none" w:sz="0" w:space="0" w:color="auto"/>
            <w:right w:val="none" w:sz="0" w:space="0" w:color="auto"/>
          </w:divBdr>
          <w:divsChild>
            <w:div w:id="26484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4649">
      <w:bodyDiv w:val="1"/>
      <w:marLeft w:val="0"/>
      <w:marRight w:val="0"/>
      <w:marTop w:val="0"/>
      <w:marBottom w:val="0"/>
      <w:divBdr>
        <w:top w:val="none" w:sz="0" w:space="0" w:color="auto"/>
        <w:left w:val="none" w:sz="0" w:space="0" w:color="auto"/>
        <w:bottom w:val="none" w:sz="0" w:space="0" w:color="auto"/>
        <w:right w:val="none" w:sz="0" w:space="0" w:color="auto"/>
      </w:divBdr>
    </w:div>
    <w:div w:id="266542489">
      <w:bodyDiv w:val="1"/>
      <w:marLeft w:val="0"/>
      <w:marRight w:val="0"/>
      <w:marTop w:val="0"/>
      <w:marBottom w:val="0"/>
      <w:divBdr>
        <w:top w:val="none" w:sz="0" w:space="0" w:color="auto"/>
        <w:left w:val="none" w:sz="0" w:space="0" w:color="auto"/>
        <w:bottom w:val="none" w:sz="0" w:space="0" w:color="auto"/>
        <w:right w:val="none" w:sz="0" w:space="0" w:color="auto"/>
      </w:divBdr>
    </w:div>
    <w:div w:id="266931625">
      <w:bodyDiv w:val="1"/>
      <w:marLeft w:val="0"/>
      <w:marRight w:val="0"/>
      <w:marTop w:val="0"/>
      <w:marBottom w:val="0"/>
      <w:divBdr>
        <w:top w:val="none" w:sz="0" w:space="0" w:color="auto"/>
        <w:left w:val="none" w:sz="0" w:space="0" w:color="auto"/>
        <w:bottom w:val="none" w:sz="0" w:space="0" w:color="auto"/>
        <w:right w:val="none" w:sz="0" w:space="0" w:color="auto"/>
      </w:divBdr>
    </w:div>
    <w:div w:id="278727076">
      <w:bodyDiv w:val="1"/>
      <w:marLeft w:val="0"/>
      <w:marRight w:val="0"/>
      <w:marTop w:val="0"/>
      <w:marBottom w:val="0"/>
      <w:divBdr>
        <w:top w:val="none" w:sz="0" w:space="0" w:color="auto"/>
        <w:left w:val="none" w:sz="0" w:space="0" w:color="auto"/>
        <w:bottom w:val="none" w:sz="0" w:space="0" w:color="auto"/>
        <w:right w:val="none" w:sz="0" w:space="0" w:color="auto"/>
      </w:divBdr>
    </w:div>
    <w:div w:id="288243998">
      <w:bodyDiv w:val="1"/>
      <w:marLeft w:val="0"/>
      <w:marRight w:val="0"/>
      <w:marTop w:val="0"/>
      <w:marBottom w:val="0"/>
      <w:divBdr>
        <w:top w:val="none" w:sz="0" w:space="0" w:color="auto"/>
        <w:left w:val="none" w:sz="0" w:space="0" w:color="auto"/>
        <w:bottom w:val="none" w:sz="0" w:space="0" w:color="auto"/>
        <w:right w:val="none" w:sz="0" w:space="0" w:color="auto"/>
      </w:divBdr>
      <w:divsChild>
        <w:div w:id="525948471">
          <w:marLeft w:val="0"/>
          <w:marRight w:val="0"/>
          <w:marTop w:val="0"/>
          <w:marBottom w:val="0"/>
          <w:divBdr>
            <w:top w:val="none" w:sz="0" w:space="0" w:color="auto"/>
            <w:left w:val="none" w:sz="0" w:space="0" w:color="auto"/>
            <w:bottom w:val="none" w:sz="0" w:space="0" w:color="auto"/>
            <w:right w:val="none" w:sz="0" w:space="0" w:color="auto"/>
          </w:divBdr>
          <w:divsChild>
            <w:div w:id="1389500712">
              <w:marLeft w:val="0"/>
              <w:marRight w:val="0"/>
              <w:marTop w:val="0"/>
              <w:marBottom w:val="0"/>
              <w:divBdr>
                <w:top w:val="none" w:sz="0" w:space="0" w:color="auto"/>
                <w:left w:val="none" w:sz="0" w:space="0" w:color="auto"/>
                <w:bottom w:val="none" w:sz="0" w:space="0" w:color="auto"/>
                <w:right w:val="none" w:sz="0" w:space="0" w:color="auto"/>
              </w:divBdr>
              <w:divsChild>
                <w:div w:id="1407528602">
                  <w:marLeft w:val="0"/>
                  <w:marRight w:val="0"/>
                  <w:marTop w:val="0"/>
                  <w:marBottom w:val="0"/>
                  <w:divBdr>
                    <w:top w:val="none" w:sz="0" w:space="0" w:color="auto"/>
                    <w:left w:val="none" w:sz="0" w:space="0" w:color="auto"/>
                    <w:bottom w:val="none" w:sz="0" w:space="0" w:color="auto"/>
                    <w:right w:val="none" w:sz="0" w:space="0" w:color="auto"/>
                  </w:divBdr>
                  <w:divsChild>
                    <w:div w:id="2108231199">
                      <w:marLeft w:val="0"/>
                      <w:marRight w:val="0"/>
                      <w:marTop w:val="0"/>
                      <w:marBottom w:val="0"/>
                      <w:divBdr>
                        <w:top w:val="none" w:sz="0" w:space="0" w:color="auto"/>
                        <w:left w:val="none" w:sz="0" w:space="0" w:color="auto"/>
                        <w:bottom w:val="none" w:sz="0" w:space="0" w:color="auto"/>
                        <w:right w:val="none" w:sz="0" w:space="0" w:color="auto"/>
                      </w:divBdr>
                      <w:divsChild>
                        <w:div w:id="88045243">
                          <w:marLeft w:val="0"/>
                          <w:marRight w:val="0"/>
                          <w:marTop w:val="0"/>
                          <w:marBottom w:val="0"/>
                          <w:divBdr>
                            <w:top w:val="none" w:sz="0" w:space="0" w:color="auto"/>
                            <w:left w:val="none" w:sz="0" w:space="0" w:color="auto"/>
                            <w:bottom w:val="none" w:sz="0" w:space="0" w:color="auto"/>
                            <w:right w:val="none" w:sz="0" w:space="0" w:color="auto"/>
                          </w:divBdr>
                          <w:divsChild>
                            <w:div w:id="5350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15200">
                      <w:marLeft w:val="0"/>
                      <w:marRight w:val="0"/>
                      <w:marTop w:val="0"/>
                      <w:marBottom w:val="0"/>
                      <w:divBdr>
                        <w:top w:val="none" w:sz="0" w:space="0" w:color="auto"/>
                        <w:left w:val="none" w:sz="0" w:space="0" w:color="auto"/>
                        <w:bottom w:val="none" w:sz="0" w:space="0" w:color="auto"/>
                        <w:right w:val="none" w:sz="0" w:space="0" w:color="auto"/>
                      </w:divBdr>
                      <w:divsChild>
                        <w:div w:id="1510021948">
                          <w:marLeft w:val="0"/>
                          <w:marRight w:val="0"/>
                          <w:marTop w:val="0"/>
                          <w:marBottom w:val="0"/>
                          <w:divBdr>
                            <w:top w:val="none" w:sz="0" w:space="0" w:color="auto"/>
                            <w:left w:val="none" w:sz="0" w:space="0" w:color="auto"/>
                            <w:bottom w:val="none" w:sz="0" w:space="0" w:color="auto"/>
                            <w:right w:val="none" w:sz="0" w:space="0" w:color="auto"/>
                          </w:divBdr>
                          <w:divsChild>
                            <w:div w:id="513961203">
                              <w:marLeft w:val="0"/>
                              <w:marRight w:val="0"/>
                              <w:marTop w:val="0"/>
                              <w:marBottom w:val="0"/>
                              <w:divBdr>
                                <w:top w:val="none" w:sz="0" w:space="0" w:color="auto"/>
                                <w:left w:val="none" w:sz="0" w:space="0" w:color="auto"/>
                                <w:bottom w:val="none" w:sz="0" w:space="0" w:color="auto"/>
                                <w:right w:val="none" w:sz="0" w:space="0" w:color="auto"/>
                              </w:divBdr>
                              <w:divsChild>
                                <w:div w:id="105612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889448">
      <w:bodyDiv w:val="1"/>
      <w:marLeft w:val="0"/>
      <w:marRight w:val="0"/>
      <w:marTop w:val="0"/>
      <w:marBottom w:val="0"/>
      <w:divBdr>
        <w:top w:val="none" w:sz="0" w:space="0" w:color="auto"/>
        <w:left w:val="none" w:sz="0" w:space="0" w:color="auto"/>
        <w:bottom w:val="none" w:sz="0" w:space="0" w:color="auto"/>
        <w:right w:val="none" w:sz="0" w:space="0" w:color="auto"/>
      </w:divBdr>
    </w:div>
    <w:div w:id="306517212">
      <w:bodyDiv w:val="1"/>
      <w:marLeft w:val="0"/>
      <w:marRight w:val="0"/>
      <w:marTop w:val="0"/>
      <w:marBottom w:val="0"/>
      <w:divBdr>
        <w:top w:val="none" w:sz="0" w:space="0" w:color="auto"/>
        <w:left w:val="none" w:sz="0" w:space="0" w:color="auto"/>
        <w:bottom w:val="none" w:sz="0" w:space="0" w:color="auto"/>
        <w:right w:val="none" w:sz="0" w:space="0" w:color="auto"/>
      </w:divBdr>
    </w:div>
    <w:div w:id="320541800">
      <w:bodyDiv w:val="1"/>
      <w:marLeft w:val="0"/>
      <w:marRight w:val="0"/>
      <w:marTop w:val="0"/>
      <w:marBottom w:val="0"/>
      <w:divBdr>
        <w:top w:val="none" w:sz="0" w:space="0" w:color="auto"/>
        <w:left w:val="none" w:sz="0" w:space="0" w:color="auto"/>
        <w:bottom w:val="none" w:sz="0" w:space="0" w:color="auto"/>
        <w:right w:val="none" w:sz="0" w:space="0" w:color="auto"/>
      </w:divBdr>
    </w:div>
    <w:div w:id="328483701">
      <w:bodyDiv w:val="1"/>
      <w:marLeft w:val="0"/>
      <w:marRight w:val="0"/>
      <w:marTop w:val="0"/>
      <w:marBottom w:val="0"/>
      <w:divBdr>
        <w:top w:val="none" w:sz="0" w:space="0" w:color="auto"/>
        <w:left w:val="none" w:sz="0" w:space="0" w:color="auto"/>
        <w:bottom w:val="none" w:sz="0" w:space="0" w:color="auto"/>
        <w:right w:val="none" w:sz="0" w:space="0" w:color="auto"/>
      </w:divBdr>
    </w:div>
    <w:div w:id="329717381">
      <w:bodyDiv w:val="1"/>
      <w:marLeft w:val="0"/>
      <w:marRight w:val="0"/>
      <w:marTop w:val="0"/>
      <w:marBottom w:val="0"/>
      <w:divBdr>
        <w:top w:val="none" w:sz="0" w:space="0" w:color="auto"/>
        <w:left w:val="none" w:sz="0" w:space="0" w:color="auto"/>
        <w:bottom w:val="none" w:sz="0" w:space="0" w:color="auto"/>
        <w:right w:val="none" w:sz="0" w:space="0" w:color="auto"/>
      </w:divBdr>
    </w:div>
    <w:div w:id="335769557">
      <w:bodyDiv w:val="1"/>
      <w:marLeft w:val="0"/>
      <w:marRight w:val="0"/>
      <w:marTop w:val="0"/>
      <w:marBottom w:val="0"/>
      <w:divBdr>
        <w:top w:val="none" w:sz="0" w:space="0" w:color="auto"/>
        <w:left w:val="none" w:sz="0" w:space="0" w:color="auto"/>
        <w:bottom w:val="none" w:sz="0" w:space="0" w:color="auto"/>
        <w:right w:val="none" w:sz="0" w:space="0" w:color="auto"/>
      </w:divBdr>
    </w:div>
    <w:div w:id="343753132">
      <w:bodyDiv w:val="1"/>
      <w:marLeft w:val="0"/>
      <w:marRight w:val="0"/>
      <w:marTop w:val="0"/>
      <w:marBottom w:val="0"/>
      <w:divBdr>
        <w:top w:val="none" w:sz="0" w:space="0" w:color="auto"/>
        <w:left w:val="none" w:sz="0" w:space="0" w:color="auto"/>
        <w:bottom w:val="none" w:sz="0" w:space="0" w:color="auto"/>
        <w:right w:val="none" w:sz="0" w:space="0" w:color="auto"/>
      </w:divBdr>
      <w:divsChild>
        <w:div w:id="1352564395">
          <w:marLeft w:val="0"/>
          <w:marRight w:val="0"/>
          <w:marTop w:val="0"/>
          <w:marBottom w:val="0"/>
          <w:divBdr>
            <w:top w:val="none" w:sz="0" w:space="0" w:color="auto"/>
            <w:left w:val="none" w:sz="0" w:space="0" w:color="auto"/>
            <w:bottom w:val="none" w:sz="0" w:space="0" w:color="auto"/>
            <w:right w:val="none" w:sz="0" w:space="0" w:color="auto"/>
          </w:divBdr>
          <w:divsChild>
            <w:div w:id="902527204">
              <w:marLeft w:val="0"/>
              <w:marRight w:val="0"/>
              <w:marTop w:val="0"/>
              <w:marBottom w:val="0"/>
              <w:divBdr>
                <w:top w:val="none" w:sz="0" w:space="0" w:color="auto"/>
                <w:left w:val="none" w:sz="0" w:space="0" w:color="auto"/>
                <w:bottom w:val="none" w:sz="0" w:space="0" w:color="auto"/>
                <w:right w:val="none" w:sz="0" w:space="0" w:color="auto"/>
              </w:divBdr>
              <w:divsChild>
                <w:div w:id="1979451944">
                  <w:marLeft w:val="0"/>
                  <w:marRight w:val="0"/>
                  <w:marTop w:val="0"/>
                  <w:marBottom w:val="0"/>
                  <w:divBdr>
                    <w:top w:val="none" w:sz="0" w:space="0" w:color="auto"/>
                    <w:left w:val="none" w:sz="0" w:space="0" w:color="auto"/>
                    <w:bottom w:val="none" w:sz="0" w:space="0" w:color="auto"/>
                    <w:right w:val="none" w:sz="0" w:space="0" w:color="auto"/>
                  </w:divBdr>
                  <w:divsChild>
                    <w:div w:id="2142529226">
                      <w:marLeft w:val="0"/>
                      <w:marRight w:val="0"/>
                      <w:marTop w:val="0"/>
                      <w:marBottom w:val="0"/>
                      <w:divBdr>
                        <w:top w:val="none" w:sz="0" w:space="0" w:color="auto"/>
                        <w:left w:val="none" w:sz="0" w:space="0" w:color="auto"/>
                        <w:bottom w:val="none" w:sz="0" w:space="0" w:color="auto"/>
                        <w:right w:val="none" w:sz="0" w:space="0" w:color="auto"/>
                      </w:divBdr>
                      <w:divsChild>
                        <w:div w:id="2002081961">
                          <w:marLeft w:val="0"/>
                          <w:marRight w:val="0"/>
                          <w:marTop w:val="0"/>
                          <w:marBottom w:val="0"/>
                          <w:divBdr>
                            <w:top w:val="none" w:sz="0" w:space="0" w:color="auto"/>
                            <w:left w:val="none" w:sz="0" w:space="0" w:color="auto"/>
                            <w:bottom w:val="none" w:sz="0" w:space="0" w:color="auto"/>
                            <w:right w:val="none" w:sz="0" w:space="0" w:color="auto"/>
                          </w:divBdr>
                          <w:divsChild>
                            <w:div w:id="1606842236">
                              <w:marLeft w:val="0"/>
                              <w:marRight w:val="0"/>
                              <w:marTop w:val="0"/>
                              <w:marBottom w:val="0"/>
                              <w:divBdr>
                                <w:top w:val="none" w:sz="0" w:space="0" w:color="auto"/>
                                <w:left w:val="none" w:sz="0" w:space="0" w:color="auto"/>
                                <w:bottom w:val="none" w:sz="0" w:space="0" w:color="auto"/>
                                <w:right w:val="none" w:sz="0" w:space="0" w:color="auto"/>
                              </w:divBdr>
                              <w:divsChild>
                                <w:div w:id="403260861">
                                  <w:marLeft w:val="0"/>
                                  <w:marRight w:val="0"/>
                                  <w:marTop w:val="0"/>
                                  <w:marBottom w:val="0"/>
                                  <w:divBdr>
                                    <w:top w:val="none" w:sz="0" w:space="0" w:color="auto"/>
                                    <w:left w:val="none" w:sz="0" w:space="0" w:color="auto"/>
                                    <w:bottom w:val="none" w:sz="0" w:space="0" w:color="auto"/>
                                    <w:right w:val="none" w:sz="0" w:space="0" w:color="auto"/>
                                  </w:divBdr>
                                  <w:divsChild>
                                    <w:div w:id="1209756570">
                                      <w:marLeft w:val="0"/>
                                      <w:marRight w:val="0"/>
                                      <w:marTop w:val="0"/>
                                      <w:marBottom w:val="0"/>
                                      <w:divBdr>
                                        <w:top w:val="none" w:sz="0" w:space="0" w:color="auto"/>
                                        <w:left w:val="none" w:sz="0" w:space="0" w:color="auto"/>
                                        <w:bottom w:val="none" w:sz="0" w:space="0" w:color="auto"/>
                                        <w:right w:val="none" w:sz="0" w:space="0" w:color="auto"/>
                                      </w:divBdr>
                                    </w:div>
                                  </w:divsChild>
                                </w:div>
                                <w:div w:id="1626542445">
                                  <w:marLeft w:val="0"/>
                                  <w:marRight w:val="0"/>
                                  <w:marTop w:val="0"/>
                                  <w:marBottom w:val="0"/>
                                  <w:divBdr>
                                    <w:top w:val="none" w:sz="0" w:space="0" w:color="auto"/>
                                    <w:left w:val="none" w:sz="0" w:space="0" w:color="auto"/>
                                    <w:bottom w:val="none" w:sz="0" w:space="0" w:color="auto"/>
                                    <w:right w:val="none" w:sz="0" w:space="0" w:color="auto"/>
                                  </w:divBdr>
                                  <w:divsChild>
                                    <w:div w:id="82379912">
                                      <w:marLeft w:val="0"/>
                                      <w:marRight w:val="0"/>
                                      <w:marTop w:val="0"/>
                                      <w:marBottom w:val="0"/>
                                      <w:divBdr>
                                        <w:top w:val="none" w:sz="0" w:space="0" w:color="auto"/>
                                        <w:left w:val="none" w:sz="0" w:space="0" w:color="auto"/>
                                        <w:bottom w:val="none" w:sz="0" w:space="0" w:color="auto"/>
                                        <w:right w:val="none" w:sz="0" w:space="0" w:color="auto"/>
                                      </w:divBdr>
                                    </w:div>
                                  </w:divsChild>
                                </w:div>
                                <w:div w:id="80567683">
                                  <w:marLeft w:val="0"/>
                                  <w:marRight w:val="0"/>
                                  <w:marTop w:val="0"/>
                                  <w:marBottom w:val="0"/>
                                  <w:divBdr>
                                    <w:top w:val="none" w:sz="0" w:space="0" w:color="auto"/>
                                    <w:left w:val="none" w:sz="0" w:space="0" w:color="auto"/>
                                    <w:bottom w:val="none" w:sz="0" w:space="0" w:color="auto"/>
                                    <w:right w:val="none" w:sz="0" w:space="0" w:color="auto"/>
                                  </w:divBdr>
                                  <w:divsChild>
                                    <w:div w:id="2133402893">
                                      <w:marLeft w:val="0"/>
                                      <w:marRight w:val="0"/>
                                      <w:marTop w:val="0"/>
                                      <w:marBottom w:val="0"/>
                                      <w:divBdr>
                                        <w:top w:val="none" w:sz="0" w:space="0" w:color="auto"/>
                                        <w:left w:val="none" w:sz="0" w:space="0" w:color="auto"/>
                                        <w:bottom w:val="none" w:sz="0" w:space="0" w:color="auto"/>
                                        <w:right w:val="none" w:sz="0" w:space="0" w:color="auto"/>
                                      </w:divBdr>
                                    </w:div>
                                  </w:divsChild>
                                </w:div>
                                <w:div w:id="1674995185">
                                  <w:marLeft w:val="0"/>
                                  <w:marRight w:val="0"/>
                                  <w:marTop w:val="0"/>
                                  <w:marBottom w:val="0"/>
                                  <w:divBdr>
                                    <w:top w:val="none" w:sz="0" w:space="0" w:color="auto"/>
                                    <w:left w:val="none" w:sz="0" w:space="0" w:color="auto"/>
                                    <w:bottom w:val="none" w:sz="0" w:space="0" w:color="auto"/>
                                    <w:right w:val="none" w:sz="0" w:space="0" w:color="auto"/>
                                  </w:divBdr>
                                  <w:divsChild>
                                    <w:div w:id="199369102">
                                      <w:marLeft w:val="0"/>
                                      <w:marRight w:val="0"/>
                                      <w:marTop w:val="0"/>
                                      <w:marBottom w:val="0"/>
                                      <w:divBdr>
                                        <w:top w:val="none" w:sz="0" w:space="0" w:color="auto"/>
                                        <w:left w:val="none" w:sz="0" w:space="0" w:color="auto"/>
                                        <w:bottom w:val="none" w:sz="0" w:space="0" w:color="auto"/>
                                        <w:right w:val="none" w:sz="0" w:space="0" w:color="auto"/>
                                      </w:divBdr>
                                    </w:div>
                                  </w:divsChild>
                                </w:div>
                                <w:div w:id="537665541">
                                  <w:marLeft w:val="0"/>
                                  <w:marRight w:val="0"/>
                                  <w:marTop w:val="0"/>
                                  <w:marBottom w:val="0"/>
                                  <w:divBdr>
                                    <w:top w:val="none" w:sz="0" w:space="0" w:color="auto"/>
                                    <w:left w:val="none" w:sz="0" w:space="0" w:color="auto"/>
                                    <w:bottom w:val="none" w:sz="0" w:space="0" w:color="auto"/>
                                    <w:right w:val="none" w:sz="0" w:space="0" w:color="auto"/>
                                  </w:divBdr>
                                  <w:divsChild>
                                    <w:div w:id="205593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80275">
              <w:marLeft w:val="0"/>
              <w:marRight w:val="0"/>
              <w:marTop w:val="0"/>
              <w:marBottom w:val="0"/>
              <w:divBdr>
                <w:top w:val="none" w:sz="0" w:space="0" w:color="auto"/>
                <w:left w:val="none" w:sz="0" w:space="0" w:color="auto"/>
                <w:bottom w:val="none" w:sz="0" w:space="0" w:color="auto"/>
                <w:right w:val="none" w:sz="0" w:space="0" w:color="auto"/>
              </w:divBdr>
              <w:divsChild>
                <w:div w:id="272133935">
                  <w:marLeft w:val="0"/>
                  <w:marRight w:val="0"/>
                  <w:marTop w:val="0"/>
                  <w:marBottom w:val="0"/>
                  <w:divBdr>
                    <w:top w:val="none" w:sz="0" w:space="0" w:color="auto"/>
                    <w:left w:val="none" w:sz="0" w:space="0" w:color="auto"/>
                    <w:bottom w:val="none" w:sz="0" w:space="0" w:color="auto"/>
                    <w:right w:val="none" w:sz="0" w:space="0" w:color="auto"/>
                  </w:divBdr>
                  <w:divsChild>
                    <w:div w:id="17868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837171">
          <w:marLeft w:val="0"/>
          <w:marRight w:val="0"/>
          <w:marTop w:val="0"/>
          <w:marBottom w:val="0"/>
          <w:divBdr>
            <w:top w:val="none" w:sz="0" w:space="0" w:color="auto"/>
            <w:left w:val="none" w:sz="0" w:space="0" w:color="auto"/>
            <w:bottom w:val="none" w:sz="0" w:space="0" w:color="auto"/>
            <w:right w:val="none" w:sz="0" w:space="0" w:color="auto"/>
          </w:divBdr>
          <w:divsChild>
            <w:div w:id="445075822">
              <w:marLeft w:val="0"/>
              <w:marRight w:val="0"/>
              <w:marTop w:val="0"/>
              <w:marBottom w:val="0"/>
              <w:divBdr>
                <w:top w:val="none" w:sz="0" w:space="0" w:color="auto"/>
                <w:left w:val="none" w:sz="0" w:space="0" w:color="auto"/>
                <w:bottom w:val="none" w:sz="0" w:space="0" w:color="auto"/>
                <w:right w:val="none" w:sz="0" w:space="0" w:color="auto"/>
              </w:divBdr>
              <w:divsChild>
                <w:div w:id="904486045">
                  <w:marLeft w:val="0"/>
                  <w:marRight w:val="0"/>
                  <w:marTop w:val="0"/>
                  <w:marBottom w:val="0"/>
                  <w:divBdr>
                    <w:top w:val="none" w:sz="0" w:space="0" w:color="auto"/>
                    <w:left w:val="none" w:sz="0" w:space="0" w:color="auto"/>
                    <w:bottom w:val="none" w:sz="0" w:space="0" w:color="auto"/>
                    <w:right w:val="none" w:sz="0" w:space="0" w:color="auto"/>
                  </w:divBdr>
                  <w:divsChild>
                    <w:div w:id="617108635">
                      <w:marLeft w:val="0"/>
                      <w:marRight w:val="0"/>
                      <w:marTop w:val="0"/>
                      <w:marBottom w:val="0"/>
                      <w:divBdr>
                        <w:top w:val="none" w:sz="0" w:space="0" w:color="auto"/>
                        <w:left w:val="none" w:sz="0" w:space="0" w:color="auto"/>
                        <w:bottom w:val="none" w:sz="0" w:space="0" w:color="auto"/>
                        <w:right w:val="none" w:sz="0" w:space="0" w:color="auto"/>
                      </w:divBdr>
                      <w:divsChild>
                        <w:div w:id="679817133">
                          <w:marLeft w:val="0"/>
                          <w:marRight w:val="0"/>
                          <w:marTop w:val="0"/>
                          <w:marBottom w:val="0"/>
                          <w:divBdr>
                            <w:top w:val="none" w:sz="0" w:space="0" w:color="auto"/>
                            <w:left w:val="none" w:sz="0" w:space="0" w:color="auto"/>
                            <w:bottom w:val="none" w:sz="0" w:space="0" w:color="auto"/>
                            <w:right w:val="none" w:sz="0" w:space="0" w:color="auto"/>
                          </w:divBdr>
                          <w:divsChild>
                            <w:div w:id="4347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315262">
                      <w:marLeft w:val="0"/>
                      <w:marRight w:val="0"/>
                      <w:marTop w:val="0"/>
                      <w:marBottom w:val="0"/>
                      <w:divBdr>
                        <w:top w:val="none" w:sz="0" w:space="0" w:color="auto"/>
                        <w:left w:val="none" w:sz="0" w:space="0" w:color="auto"/>
                        <w:bottom w:val="none" w:sz="0" w:space="0" w:color="auto"/>
                        <w:right w:val="none" w:sz="0" w:space="0" w:color="auto"/>
                      </w:divBdr>
                      <w:divsChild>
                        <w:div w:id="1784769449">
                          <w:marLeft w:val="0"/>
                          <w:marRight w:val="0"/>
                          <w:marTop w:val="0"/>
                          <w:marBottom w:val="0"/>
                          <w:divBdr>
                            <w:top w:val="none" w:sz="0" w:space="0" w:color="auto"/>
                            <w:left w:val="none" w:sz="0" w:space="0" w:color="auto"/>
                            <w:bottom w:val="none" w:sz="0" w:space="0" w:color="auto"/>
                            <w:right w:val="none" w:sz="0" w:space="0" w:color="auto"/>
                          </w:divBdr>
                          <w:divsChild>
                            <w:div w:id="1164320116">
                              <w:marLeft w:val="0"/>
                              <w:marRight w:val="0"/>
                              <w:marTop w:val="0"/>
                              <w:marBottom w:val="0"/>
                              <w:divBdr>
                                <w:top w:val="none" w:sz="0" w:space="0" w:color="auto"/>
                                <w:left w:val="none" w:sz="0" w:space="0" w:color="auto"/>
                                <w:bottom w:val="none" w:sz="0" w:space="0" w:color="auto"/>
                                <w:right w:val="none" w:sz="0" w:space="0" w:color="auto"/>
                              </w:divBdr>
                              <w:divsChild>
                                <w:div w:id="1261719072">
                                  <w:marLeft w:val="0"/>
                                  <w:marRight w:val="0"/>
                                  <w:marTop w:val="0"/>
                                  <w:marBottom w:val="0"/>
                                  <w:divBdr>
                                    <w:top w:val="none" w:sz="0" w:space="0" w:color="auto"/>
                                    <w:left w:val="none" w:sz="0" w:space="0" w:color="auto"/>
                                    <w:bottom w:val="none" w:sz="0" w:space="0" w:color="auto"/>
                                    <w:right w:val="none" w:sz="0" w:space="0" w:color="auto"/>
                                  </w:divBdr>
                                  <w:divsChild>
                                    <w:div w:id="178857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8921121">
      <w:bodyDiv w:val="1"/>
      <w:marLeft w:val="0"/>
      <w:marRight w:val="0"/>
      <w:marTop w:val="0"/>
      <w:marBottom w:val="0"/>
      <w:divBdr>
        <w:top w:val="none" w:sz="0" w:space="0" w:color="auto"/>
        <w:left w:val="none" w:sz="0" w:space="0" w:color="auto"/>
        <w:bottom w:val="none" w:sz="0" w:space="0" w:color="auto"/>
        <w:right w:val="none" w:sz="0" w:space="0" w:color="auto"/>
      </w:divBdr>
    </w:div>
    <w:div w:id="358312804">
      <w:bodyDiv w:val="1"/>
      <w:marLeft w:val="0"/>
      <w:marRight w:val="0"/>
      <w:marTop w:val="0"/>
      <w:marBottom w:val="0"/>
      <w:divBdr>
        <w:top w:val="none" w:sz="0" w:space="0" w:color="auto"/>
        <w:left w:val="none" w:sz="0" w:space="0" w:color="auto"/>
        <w:bottom w:val="none" w:sz="0" w:space="0" w:color="auto"/>
        <w:right w:val="none" w:sz="0" w:space="0" w:color="auto"/>
      </w:divBdr>
      <w:divsChild>
        <w:div w:id="561791600">
          <w:marLeft w:val="0"/>
          <w:marRight w:val="0"/>
          <w:marTop w:val="0"/>
          <w:marBottom w:val="0"/>
          <w:divBdr>
            <w:top w:val="none" w:sz="0" w:space="0" w:color="auto"/>
            <w:left w:val="none" w:sz="0" w:space="0" w:color="auto"/>
            <w:bottom w:val="none" w:sz="0" w:space="0" w:color="auto"/>
            <w:right w:val="none" w:sz="0" w:space="0" w:color="auto"/>
          </w:divBdr>
          <w:divsChild>
            <w:div w:id="654377198">
              <w:marLeft w:val="0"/>
              <w:marRight w:val="0"/>
              <w:marTop w:val="0"/>
              <w:marBottom w:val="0"/>
              <w:divBdr>
                <w:top w:val="none" w:sz="0" w:space="0" w:color="auto"/>
                <w:left w:val="none" w:sz="0" w:space="0" w:color="auto"/>
                <w:bottom w:val="none" w:sz="0" w:space="0" w:color="auto"/>
                <w:right w:val="none" w:sz="0" w:space="0" w:color="auto"/>
              </w:divBdr>
            </w:div>
          </w:divsChild>
        </w:div>
        <w:div w:id="994526359">
          <w:marLeft w:val="0"/>
          <w:marRight w:val="0"/>
          <w:marTop w:val="0"/>
          <w:marBottom w:val="0"/>
          <w:divBdr>
            <w:top w:val="none" w:sz="0" w:space="0" w:color="auto"/>
            <w:left w:val="none" w:sz="0" w:space="0" w:color="auto"/>
            <w:bottom w:val="none" w:sz="0" w:space="0" w:color="auto"/>
            <w:right w:val="none" w:sz="0" w:space="0" w:color="auto"/>
          </w:divBdr>
          <w:divsChild>
            <w:div w:id="1818834215">
              <w:marLeft w:val="0"/>
              <w:marRight w:val="0"/>
              <w:marTop w:val="0"/>
              <w:marBottom w:val="0"/>
              <w:divBdr>
                <w:top w:val="none" w:sz="0" w:space="0" w:color="auto"/>
                <w:left w:val="none" w:sz="0" w:space="0" w:color="auto"/>
                <w:bottom w:val="none" w:sz="0" w:space="0" w:color="auto"/>
                <w:right w:val="none" w:sz="0" w:space="0" w:color="auto"/>
              </w:divBdr>
            </w:div>
          </w:divsChild>
        </w:div>
        <w:div w:id="160052209">
          <w:marLeft w:val="0"/>
          <w:marRight w:val="0"/>
          <w:marTop w:val="0"/>
          <w:marBottom w:val="0"/>
          <w:divBdr>
            <w:top w:val="none" w:sz="0" w:space="0" w:color="auto"/>
            <w:left w:val="none" w:sz="0" w:space="0" w:color="auto"/>
            <w:bottom w:val="none" w:sz="0" w:space="0" w:color="auto"/>
            <w:right w:val="none" w:sz="0" w:space="0" w:color="auto"/>
          </w:divBdr>
          <w:divsChild>
            <w:div w:id="2016347854">
              <w:marLeft w:val="0"/>
              <w:marRight w:val="0"/>
              <w:marTop w:val="0"/>
              <w:marBottom w:val="0"/>
              <w:divBdr>
                <w:top w:val="none" w:sz="0" w:space="0" w:color="auto"/>
                <w:left w:val="none" w:sz="0" w:space="0" w:color="auto"/>
                <w:bottom w:val="none" w:sz="0" w:space="0" w:color="auto"/>
                <w:right w:val="none" w:sz="0" w:space="0" w:color="auto"/>
              </w:divBdr>
            </w:div>
          </w:divsChild>
        </w:div>
        <w:div w:id="1173448878">
          <w:marLeft w:val="0"/>
          <w:marRight w:val="0"/>
          <w:marTop w:val="0"/>
          <w:marBottom w:val="0"/>
          <w:divBdr>
            <w:top w:val="none" w:sz="0" w:space="0" w:color="auto"/>
            <w:left w:val="none" w:sz="0" w:space="0" w:color="auto"/>
            <w:bottom w:val="none" w:sz="0" w:space="0" w:color="auto"/>
            <w:right w:val="none" w:sz="0" w:space="0" w:color="auto"/>
          </w:divBdr>
          <w:divsChild>
            <w:div w:id="117750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16046">
      <w:bodyDiv w:val="1"/>
      <w:marLeft w:val="0"/>
      <w:marRight w:val="0"/>
      <w:marTop w:val="0"/>
      <w:marBottom w:val="0"/>
      <w:divBdr>
        <w:top w:val="none" w:sz="0" w:space="0" w:color="auto"/>
        <w:left w:val="none" w:sz="0" w:space="0" w:color="auto"/>
        <w:bottom w:val="none" w:sz="0" w:space="0" w:color="auto"/>
        <w:right w:val="none" w:sz="0" w:space="0" w:color="auto"/>
      </w:divBdr>
      <w:divsChild>
        <w:div w:id="846214994">
          <w:marLeft w:val="0"/>
          <w:marRight w:val="0"/>
          <w:marTop w:val="0"/>
          <w:marBottom w:val="0"/>
          <w:divBdr>
            <w:top w:val="none" w:sz="0" w:space="0" w:color="auto"/>
            <w:left w:val="none" w:sz="0" w:space="0" w:color="auto"/>
            <w:bottom w:val="none" w:sz="0" w:space="0" w:color="auto"/>
            <w:right w:val="none" w:sz="0" w:space="0" w:color="auto"/>
          </w:divBdr>
          <w:divsChild>
            <w:div w:id="991836989">
              <w:marLeft w:val="0"/>
              <w:marRight w:val="0"/>
              <w:marTop w:val="0"/>
              <w:marBottom w:val="0"/>
              <w:divBdr>
                <w:top w:val="none" w:sz="0" w:space="0" w:color="auto"/>
                <w:left w:val="none" w:sz="0" w:space="0" w:color="auto"/>
                <w:bottom w:val="none" w:sz="0" w:space="0" w:color="auto"/>
                <w:right w:val="none" w:sz="0" w:space="0" w:color="auto"/>
              </w:divBdr>
            </w:div>
          </w:divsChild>
        </w:div>
        <w:div w:id="2121677188">
          <w:marLeft w:val="0"/>
          <w:marRight w:val="0"/>
          <w:marTop w:val="0"/>
          <w:marBottom w:val="0"/>
          <w:divBdr>
            <w:top w:val="none" w:sz="0" w:space="0" w:color="auto"/>
            <w:left w:val="none" w:sz="0" w:space="0" w:color="auto"/>
            <w:bottom w:val="none" w:sz="0" w:space="0" w:color="auto"/>
            <w:right w:val="none" w:sz="0" w:space="0" w:color="auto"/>
          </w:divBdr>
          <w:divsChild>
            <w:div w:id="1263686021">
              <w:marLeft w:val="0"/>
              <w:marRight w:val="0"/>
              <w:marTop w:val="0"/>
              <w:marBottom w:val="0"/>
              <w:divBdr>
                <w:top w:val="none" w:sz="0" w:space="0" w:color="auto"/>
                <w:left w:val="none" w:sz="0" w:space="0" w:color="auto"/>
                <w:bottom w:val="none" w:sz="0" w:space="0" w:color="auto"/>
                <w:right w:val="none" w:sz="0" w:space="0" w:color="auto"/>
              </w:divBdr>
            </w:div>
          </w:divsChild>
        </w:div>
        <w:div w:id="691498255">
          <w:marLeft w:val="0"/>
          <w:marRight w:val="0"/>
          <w:marTop w:val="0"/>
          <w:marBottom w:val="0"/>
          <w:divBdr>
            <w:top w:val="none" w:sz="0" w:space="0" w:color="auto"/>
            <w:left w:val="none" w:sz="0" w:space="0" w:color="auto"/>
            <w:bottom w:val="none" w:sz="0" w:space="0" w:color="auto"/>
            <w:right w:val="none" w:sz="0" w:space="0" w:color="auto"/>
          </w:divBdr>
          <w:divsChild>
            <w:div w:id="550113896">
              <w:marLeft w:val="0"/>
              <w:marRight w:val="0"/>
              <w:marTop w:val="0"/>
              <w:marBottom w:val="0"/>
              <w:divBdr>
                <w:top w:val="none" w:sz="0" w:space="0" w:color="auto"/>
                <w:left w:val="none" w:sz="0" w:space="0" w:color="auto"/>
                <w:bottom w:val="none" w:sz="0" w:space="0" w:color="auto"/>
                <w:right w:val="none" w:sz="0" w:space="0" w:color="auto"/>
              </w:divBdr>
            </w:div>
          </w:divsChild>
        </w:div>
        <w:div w:id="1235123336">
          <w:marLeft w:val="0"/>
          <w:marRight w:val="0"/>
          <w:marTop w:val="0"/>
          <w:marBottom w:val="0"/>
          <w:divBdr>
            <w:top w:val="none" w:sz="0" w:space="0" w:color="auto"/>
            <w:left w:val="none" w:sz="0" w:space="0" w:color="auto"/>
            <w:bottom w:val="none" w:sz="0" w:space="0" w:color="auto"/>
            <w:right w:val="none" w:sz="0" w:space="0" w:color="auto"/>
          </w:divBdr>
          <w:divsChild>
            <w:div w:id="1928686638">
              <w:marLeft w:val="0"/>
              <w:marRight w:val="0"/>
              <w:marTop w:val="0"/>
              <w:marBottom w:val="0"/>
              <w:divBdr>
                <w:top w:val="none" w:sz="0" w:space="0" w:color="auto"/>
                <w:left w:val="none" w:sz="0" w:space="0" w:color="auto"/>
                <w:bottom w:val="none" w:sz="0" w:space="0" w:color="auto"/>
                <w:right w:val="none" w:sz="0" w:space="0" w:color="auto"/>
              </w:divBdr>
            </w:div>
          </w:divsChild>
        </w:div>
        <w:div w:id="762721983">
          <w:marLeft w:val="0"/>
          <w:marRight w:val="0"/>
          <w:marTop w:val="0"/>
          <w:marBottom w:val="0"/>
          <w:divBdr>
            <w:top w:val="none" w:sz="0" w:space="0" w:color="auto"/>
            <w:left w:val="none" w:sz="0" w:space="0" w:color="auto"/>
            <w:bottom w:val="none" w:sz="0" w:space="0" w:color="auto"/>
            <w:right w:val="none" w:sz="0" w:space="0" w:color="auto"/>
          </w:divBdr>
          <w:divsChild>
            <w:div w:id="392511447">
              <w:marLeft w:val="0"/>
              <w:marRight w:val="0"/>
              <w:marTop w:val="0"/>
              <w:marBottom w:val="0"/>
              <w:divBdr>
                <w:top w:val="none" w:sz="0" w:space="0" w:color="auto"/>
                <w:left w:val="none" w:sz="0" w:space="0" w:color="auto"/>
                <w:bottom w:val="none" w:sz="0" w:space="0" w:color="auto"/>
                <w:right w:val="none" w:sz="0" w:space="0" w:color="auto"/>
              </w:divBdr>
            </w:div>
          </w:divsChild>
        </w:div>
        <w:div w:id="1123961421">
          <w:marLeft w:val="0"/>
          <w:marRight w:val="0"/>
          <w:marTop w:val="0"/>
          <w:marBottom w:val="0"/>
          <w:divBdr>
            <w:top w:val="none" w:sz="0" w:space="0" w:color="auto"/>
            <w:left w:val="none" w:sz="0" w:space="0" w:color="auto"/>
            <w:bottom w:val="none" w:sz="0" w:space="0" w:color="auto"/>
            <w:right w:val="none" w:sz="0" w:space="0" w:color="auto"/>
          </w:divBdr>
          <w:divsChild>
            <w:div w:id="174838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40165">
      <w:bodyDiv w:val="1"/>
      <w:marLeft w:val="0"/>
      <w:marRight w:val="0"/>
      <w:marTop w:val="0"/>
      <w:marBottom w:val="0"/>
      <w:divBdr>
        <w:top w:val="none" w:sz="0" w:space="0" w:color="auto"/>
        <w:left w:val="none" w:sz="0" w:space="0" w:color="auto"/>
        <w:bottom w:val="none" w:sz="0" w:space="0" w:color="auto"/>
        <w:right w:val="none" w:sz="0" w:space="0" w:color="auto"/>
      </w:divBdr>
    </w:div>
    <w:div w:id="367805562">
      <w:bodyDiv w:val="1"/>
      <w:marLeft w:val="0"/>
      <w:marRight w:val="0"/>
      <w:marTop w:val="0"/>
      <w:marBottom w:val="0"/>
      <w:divBdr>
        <w:top w:val="none" w:sz="0" w:space="0" w:color="auto"/>
        <w:left w:val="none" w:sz="0" w:space="0" w:color="auto"/>
        <w:bottom w:val="none" w:sz="0" w:space="0" w:color="auto"/>
        <w:right w:val="none" w:sz="0" w:space="0" w:color="auto"/>
      </w:divBdr>
    </w:div>
    <w:div w:id="378482824">
      <w:bodyDiv w:val="1"/>
      <w:marLeft w:val="0"/>
      <w:marRight w:val="0"/>
      <w:marTop w:val="0"/>
      <w:marBottom w:val="0"/>
      <w:divBdr>
        <w:top w:val="none" w:sz="0" w:space="0" w:color="auto"/>
        <w:left w:val="none" w:sz="0" w:space="0" w:color="auto"/>
        <w:bottom w:val="none" w:sz="0" w:space="0" w:color="auto"/>
        <w:right w:val="none" w:sz="0" w:space="0" w:color="auto"/>
      </w:divBdr>
    </w:div>
    <w:div w:id="391544805">
      <w:bodyDiv w:val="1"/>
      <w:marLeft w:val="0"/>
      <w:marRight w:val="0"/>
      <w:marTop w:val="0"/>
      <w:marBottom w:val="0"/>
      <w:divBdr>
        <w:top w:val="none" w:sz="0" w:space="0" w:color="auto"/>
        <w:left w:val="none" w:sz="0" w:space="0" w:color="auto"/>
        <w:bottom w:val="none" w:sz="0" w:space="0" w:color="auto"/>
        <w:right w:val="none" w:sz="0" w:space="0" w:color="auto"/>
      </w:divBdr>
      <w:divsChild>
        <w:div w:id="559755580">
          <w:marLeft w:val="0"/>
          <w:marRight w:val="0"/>
          <w:marTop w:val="0"/>
          <w:marBottom w:val="0"/>
          <w:divBdr>
            <w:top w:val="none" w:sz="0" w:space="0" w:color="auto"/>
            <w:left w:val="none" w:sz="0" w:space="0" w:color="auto"/>
            <w:bottom w:val="none" w:sz="0" w:space="0" w:color="auto"/>
            <w:right w:val="none" w:sz="0" w:space="0" w:color="auto"/>
          </w:divBdr>
          <w:divsChild>
            <w:div w:id="317463525">
              <w:marLeft w:val="0"/>
              <w:marRight w:val="0"/>
              <w:marTop w:val="0"/>
              <w:marBottom w:val="0"/>
              <w:divBdr>
                <w:top w:val="none" w:sz="0" w:space="0" w:color="auto"/>
                <w:left w:val="none" w:sz="0" w:space="0" w:color="auto"/>
                <w:bottom w:val="none" w:sz="0" w:space="0" w:color="auto"/>
                <w:right w:val="none" w:sz="0" w:space="0" w:color="auto"/>
              </w:divBdr>
            </w:div>
          </w:divsChild>
        </w:div>
        <w:div w:id="1339844839">
          <w:marLeft w:val="0"/>
          <w:marRight w:val="0"/>
          <w:marTop w:val="0"/>
          <w:marBottom w:val="0"/>
          <w:divBdr>
            <w:top w:val="none" w:sz="0" w:space="0" w:color="auto"/>
            <w:left w:val="none" w:sz="0" w:space="0" w:color="auto"/>
            <w:bottom w:val="none" w:sz="0" w:space="0" w:color="auto"/>
            <w:right w:val="none" w:sz="0" w:space="0" w:color="auto"/>
          </w:divBdr>
          <w:divsChild>
            <w:div w:id="176934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31234">
      <w:bodyDiv w:val="1"/>
      <w:marLeft w:val="0"/>
      <w:marRight w:val="0"/>
      <w:marTop w:val="0"/>
      <w:marBottom w:val="0"/>
      <w:divBdr>
        <w:top w:val="none" w:sz="0" w:space="0" w:color="auto"/>
        <w:left w:val="none" w:sz="0" w:space="0" w:color="auto"/>
        <w:bottom w:val="none" w:sz="0" w:space="0" w:color="auto"/>
        <w:right w:val="none" w:sz="0" w:space="0" w:color="auto"/>
      </w:divBdr>
      <w:divsChild>
        <w:div w:id="1652176306">
          <w:marLeft w:val="0"/>
          <w:marRight w:val="0"/>
          <w:marTop w:val="0"/>
          <w:marBottom w:val="0"/>
          <w:divBdr>
            <w:top w:val="none" w:sz="0" w:space="0" w:color="auto"/>
            <w:left w:val="none" w:sz="0" w:space="0" w:color="auto"/>
            <w:bottom w:val="none" w:sz="0" w:space="0" w:color="auto"/>
            <w:right w:val="none" w:sz="0" w:space="0" w:color="auto"/>
          </w:divBdr>
          <w:divsChild>
            <w:div w:id="1333534306">
              <w:marLeft w:val="0"/>
              <w:marRight w:val="0"/>
              <w:marTop w:val="0"/>
              <w:marBottom w:val="0"/>
              <w:divBdr>
                <w:top w:val="none" w:sz="0" w:space="0" w:color="auto"/>
                <w:left w:val="none" w:sz="0" w:space="0" w:color="auto"/>
                <w:bottom w:val="none" w:sz="0" w:space="0" w:color="auto"/>
                <w:right w:val="none" w:sz="0" w:space="0" w:color="auto"/>
              </w:divBdr>
              <w:divsChild>
                <w:div w:id="1309167884">
                  <w:marLeft w:val="0"/>
                  <w:marRight w:val="0"/>
                  <w:marTop w:val="0"/>
                  <w:marBottom w:val="0"/>
                  <w:divBdr>
                    <w:top w:val="none" w:sz="0" w:space="0" w:color="auto"/>
                    <w:left w:val="none" w:sz="0" w:space="0" w:color="auto"/>
                    <w:bottom w:val="none" w:sz="0" w:space="0" w:color="auto"/>
                    <w:right w:val="none" w:sz="0" w:space="0" w:color="auto"/>
                  </w:divBdr>
                  <w:divsChild>
                    <w:div w:id="1597859642">
                      <w:marLeft w:val="0"/>
                      <w:marRight w:val="0"/>
                      <w:marTop w:val="0"/>
                      <w:marBottom w:val="0"/>
                      <w:divBdr>
                        <w:top w:val="none" w:sz="0" w:space="0" w:color="auto"/>
                        <w:left w:val="none" w:sz="0" w:space="0" w:color="auto"/>
                        <w:bottom w:val="none" w:sz="0" w:space="0" w:color="auto"/>
                        <w:right w:val="none" w:sz="0" w:space="0" w:color="auto"/>
                      </w:divBdr>
                      <w:divsChild>
                        <w:div w:id="2090074899">
                          <w:marLeft w:val="0"/>
                          <w:marRight w:val="0"/>
                          <w:marTop w:val="0"/>
                          <w:marBottom w:val="0"/>
                          <w:divBdr>
                            <w:top w:val="none" w:sz="0" w:space="0" w:color="auto"/>
                            <w:left w:val="none" w:sz="0" w:space="0" w:color="auto"/>
                            <w:bottom w:val="none" w:sz="0" w:space="0" w:color="auto"/>
                            <w:right w:val="none" w:sz="0" w:space="0" w:color="auto"/>
                          </w:divBdr>
                          <w:divsChild>
                            <w:div w:id="1702897543">
                              <w:marLeft w:val="0"/>
                              <w:marRight w:val="0"/>
                              <w:marTop w:val="0"/>
                              <w:marBottom w:val="0"/>
                              <w:divBdr>
                                <w:top w:val="none" w:sz="0" w:space="0" w:color="auto"/>
                                <w:left w:val="none" w:sz="0" w:space="0" w:color="auto"/>
                                <w:bottom w:val="none" w:sz="0" w:space="0" w:color="auto"/>
                                <w:right w:val="none" w:sz="0" w:space="0" w:color="auto"/>
                              </w:divBdr>
                              <w:divsChild>
                                <w:div w:id="71481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4715">
                          <w:marLeft w:val="0"/>
                          <w:marRight w:val="0"/>
                          <w:marTop w:val="0"/>
                          <w:marBottom w:val="0"/>
                          <w:divBdr>
                            <w:top w:val="none" w:sz="0" w:space="0" w:color="auto"/>
                            <w:left w:val="none" w:sz="0" w:space="0" w:color="auto"/>
                            <w:bottom w:val="none" w:sz="0" w:space="0" w:color="auto"/>
                            <w:right w:val="none" w:sz="0" w:space="0" w:color="auto"/>
                          </w:divBdr>
                          <w:divsChild>
                            <w:div w:id="1312753808">
                              <w:marLeft w:val="0"/>
                              <w:marRight w:val="0"/>
                              <w:marTop w:val="0"/>
                              <w:marBottom w:val="0"/>
                              <w:divBdr>
                                <w:top w:val="none" w:sz="0" w:space="0" w:color="auto"/>
                                <w:left w:val="none" w:sz="0" w:space="0" w:color="auto"/>
                                <w:bottom w:val="none" w:sz="0" w:space="0" w:color="auto"/>
                                <w:right w:val="none" w:sz="0" w:space="0" w:color="auto"/>
                              </w:divBdr>
                              <w:divsChild>
                                <w:div w:id="1866670705">
                                  <w:marLeft w:val="0"/>
                                  <w:marRight w:val="0"/>
                                  <w:marTop w:val="0"/>
                                  <w:marBottom w:val="0"/>
                                  <w:divBdr>
                                    <w:top w:val="none" w:sz="0" w:space="0" w:color="auto"/>
                                    <w:left w:val="none" w:sz="0" w:space="0" w:color="auto"/>
                                    <w:bottom w:val="none" w:sz="0" w:space="0" w:color="auto"/>
                                    <w:right w:val="none" w:sz="0" w:space="0" w:color="auto"/>
                                  </w:divBdr>
                                  <w:divsChild>
                                    <w:div w:id="12408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983787">
              <w:marLeft w:val="0"/>
              <w:marRight w:val="0"/>
              <w:marTop w:val="0"/>
              <w:marBottom w:val="0"/>
              <w:divBdr>
                <w:top w:val="none" w:sz="0" w:space="0" w:color="auto"/>
                <w:left w:val="none" w:sz="0" w:space="0" w:color="auto"/>
                <w:bottom w:val="none" w:sz="0" w:space="0" w:color="auto"/>
                <w:right w:val="none" w:sz="0" w:space="0" w:color="auto"/>
              </w:divBdr>
              <w:divsChild>
                <w:div w:id="715131430">
                  <w:marLeft w:val="0"/>
                  <w:marRight w:val="0"/>
                  <w:marTop w:val="0"/>
                  <w:marBottom w:val="0"/>
                  <w:divBdr>
                    <w:top w:val="none" w:sz="0" w:space="0" w:color="auto"/>
                    <w:left w:val="none" w:sz="0" w:space="0" w:color="auto"/>
                    <w:bottom w:val="none" w:sz="0" w:space="0" w:color="auto"/>
                    <w:right w:val="none" w:sz="0" w:space="0" w:color="auto"/>
                  </w:divBdr>
                  <w:divsChild>
                    <w:div w:id="44666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524347">
          <w:marLeft w:val="0"/>
          <w:marRight w:val="0"/>
          <w:marTop w:val="0"/>
          <w:marBottom w:val="0"/>
          <w:divBdr>
            <w:top w:val="none" w:sz="0" w:space="0" w:color="auto"/>
            <w:left w:val="none" w:sz="0" w:space="0" w:color="auto"/>
            <w:bottom w:val="none" w:sz="0" w:space="0" w:color="auto"/>
            <w:right w:val="none" w:sz="0" w:space="0" w:color="auto"/>
          </w:divBdr>
          <w:divsChild>
            <w:div w:id="993332880">
              <w:marLeft w:val="0"/>
              <w:marRight w:val="0"/>
              <w:marTop w:val="0"/>
              <w:marBottom w:val="0"/>
              <w:divBdr>
                <w:top w:val="none" w:sz="0" w:space="0" w:color="auto"/>
                <w:left w:val="none" w:sz="0" w:space="0" w:color="auto"/>
                <w:bottom w:val="none" w:sz="0" w:space="0" w:color="auto"/>
                <w:right w:val="none" w:sz="0" w:space="0" w:color="auto"/>
              </w:divBdr>
              <w:divsChild>
                <w:div w:id="1996521329">
                  <w:marLeft w:val="0"/>
                  <w:marRight w:val="0"/>
                  <w:marTop w:val="0"/>
                  <w:marBottom w:val="0"/>
                  <w:divBdr>
                    <w:top w:val="none" w:sz="0" w:space="0" w:color="auto"/>
                    <w:left w:val="none" w:sz="0" w:space="0" w:color="auto"/>
                    <w:bottom w:val="none" w:sz="0" w:space="0" w:color="auto"/>
                    <w:right w:val="none" w:sz="0" w:space="0" w:color="auto"/>
                  </w:divBdr>
                  <w:divsChild>
                    <w:div w:id="1215002161">
                      <w:marLeft w:val="0"/>
                      <w:marRight w:val="0"/>
                      <w:marTop w:val="0"/>
                      <w:marBottom w:val="0"/>
                      <w:divBdr>
                        <w:top w:val="none" w:sz="0" w:space="0" w:color="auto"/>
                        <w:left w:val="none" w:sz="0" w:space="0" w:color="auto"/>
                        <w:bottom w:val="none" w:sz="0" w:space="0" w:color="auto"/>
                        <w:right w:val="none" w:sz="0" w:space="0" w:color="auto"/>
                      </w:divBdr>
                      <w:divsChild>
                        <w:div w:id="591426593">
                          <w:marLeft w:val="0"/>
                          <w:marRight w:val="0"/>
                          <w:marTop w:val="0"/>
                          <w:marBottom w:val="0"/>
                          <w:divBdr>
                            <w:top w:val="none" w:sz="0" w:space="0" w:color="auto"/>
                            <w:left w:val="none" w:sz="0" w:space="0" w:color="auto"/>
                            <w:bottom w:val="none" w:sz="0" w:space="0" w:color="auto"/>
                            <w:right w:val="none" w:sz="0" w:space="0" w:color="auto"/>
                          </w:divBdr>
                          <w:divsChild>
                            <w:div w:id="34629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115825">
                      <w:marLeft w:val="0"/>
                      <w:marRight w:val="0"/>
                      <w:marTop w:val="0"/>
                      <w:marBottom w:val="0"/>
                      <w:divBdr>
                        <w:top w:val="none" w:sz="0" w:space="0" w:color="auto"/>
                        <w:left w:val="none" w:sz="0" w:space="0" w:color="auto"/>
                        <w:bottom w:val="none" w:sz="0" w:space="0" w:color="auto"/>
                        <w:right w:val="none" w:sz="0" w:space="0" w:color="auto"/>
                      </w:divBdr>
                      <w:divsChild>
                        <w:div w:id="2136941072">
                          <w:marLeft w:val="0"/>
                          <w:marRight w:val="0"/>
                          <w:marTop w:val="0"/>
                          <w:marBottom w:val="0"/>
                          <w:divBdr>
                            <w:top w:val="none" w:sz="0" w:space="0" w:color="auto"/>
                            <w:left w:val="none" w:sz="0" w:space="0" w:color="auto"/>
                            <w:bottom w:val="none" w:sz="0" w:space="0" w:color="auto"/>
                            <w:right w:val="none" w:sz="0" w:space="0" w:color="auto"/>
                          </w:divBdr>
                          <w:divsChild>
                            <w:div w:id="358507327">
                              <w:marLeft w:val="0"/>
                              <w:marRight w:val="0"/>
                              <w:marTop w:val="0"/>
                              <w:marBottom w:val="0"/>
                              <w:divBdr>
                                <w:top w:val="none" w:sz="0" w:space="0" w:color="auto"/>
                                <w:left w:val="none" w:sz="0" w:space="0" w:color="auto"/>
                                <w:bottom w:val="none" w:sz="0" w:space="0" w:color="auto"/>
                                <w:right w:val="none" w:sz="0" w:space="0" w:color="auto"/>
                              </w:divBdr>
                              <w:divsChild>
                                <w:div w:id="532504136">
                                  <w:marLeft w:val="0"/>
                                  <w:marRight w:val="0"/>
                                  <w:marTop w:val="0"/>
                                  <w:marBottom w:val="0"/>
                                  <w:divBdr>
                                    <w:top w:val="none" w:sz="0" w:space="0" w:color="auto"/>
                                    <w:left w:val="none" w:sz="0" w:space="0" w:color="auto"/>
                                    <w:bottom w:val="none" w:sz="0" w:space="0" w:color="auto"/>
                                    <w:right w:val="none" w:sz="0" w:space="0" w:color="auto"/>
                                  </w:divBdr>
                                  <w:divsChild>
                                    <w:div w:id="15203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2484455">
      <w:bodyDiv w:val="1"/>
      <w:marLeft w:val="0"/>
      <w:marRight w:val="0"/>
      <w:marTop w:val="0"/>
      <w:marBottom w:val="0"/>
      <w:divBdr>
        <w:top w:val="none" w:sz="0" w:space="0" w:color="auto"/>
        <w:left w:val="none" w:sz="0" w:space="0" w:color="auto"/>
        <w:bottom w:val="none" w:sz="0" w:space="0" w:color="auto"/>
        <w:right w:val="none" w:sz="0" w:space="0" w:color="auto"/>
      </w:divBdr>
    </w:div>
    <w:div w:id="411199059">
      <w:bodyDiv w:val="1"/>
      <w:marLeft w:val="0"/>
      <w:marRight w:val="0"/>
      <w:marTop w:val="0"/>
      <w:marBottom w:val="0"/>
      <w:divBdr>
        <w:top w:val="none" w:sz="0" w:space="0" w:color="auto"/>
        <w:left w:val="none" w:sz="0" w:space="0" w:color="auto"/>
        <w:bottom w:val="none" w:sz="0" w:space="0" w:color="auto"/>
        <w:right w:val="none" w:sz="0" w:space="0" w:color="auto"/>
      </w:divBdr>
    </w:div>
    <w:div w:id="411240123">
      <w:bodyDiv w:val="1"/>
      <w:marLeft w:val="0"/>
      <w:marRight w:val="0"/>
      <w:marTop w:val="0"/>
      <w:marBottom w:val="0"/>
      <w:divBdr>
        <w:top w:val="none" w:sz="0" w:space="0" w:color="auto"/>
        <w:left w:val="none" w:sz="0" w:space="0" w:color="auto"/>
        <w:bottom w:val="none" w:sz="0" w:space="0" w:color="auto"/>
        <w:right w:val="none" w:sz="0" w:space="0" w:color="auto"/>
      </w:divBdr>
      <w:divsChild>
        <w:div w:id="1270351887">
          <w:marLeft w:val="0"/>
          <w:marRight w:val="0"/>
          <w:marTop w:val="0"/>
          <w:marBottom w:val="0"/>
          <w:divBdr>
            <w:top w:val="none" w:sz="0" w:space="0" w:color="auto"/>
            <w:left w:val="none" w:sz="0" w:space="0" w:color="auto"/>
            <w:bottom w:val="none" w:sz="0" w:space="0" w:color="auto"/>
            <w:right w:val="none" w:sz="0" w:space="0" w:color="auto"/>
          </w:divBdr>
          <w:divsChild>
            <w:div w:id="1971326255">
              <w:marLeft w:val="0"/>
              <w:marRight w:val="0"/>
              <w:marTop w:val="0"/>
              <w:marBottom w:val="0"/>
              <w:divBdr>
                <w:top w:val="none" w:sz="0" w:space="0" w:color="auto"/>
                <w:left w:val="none" w:sz="0" w:space="0" w:color="auto"/>
                <w:bottom w:val="none" w:sz="0" w:space="0" w:color="auto"/>
                <w:right w:val="none" w:sz="0" w:space="0" w:color="auto"/>
              </w:divBdr>
            </w:div>
          </w:divsChild>
        </w:div>
        <w:div w:id="1344825169">
          <w:marLeft w:val="0"/>
          <w:marRight w:val="0"/>
          <w:marTop w:val="0"/>
          <w:marBottom w:val="0"/>
          <w:divBdr>
            <w:top w:val="none" w:sz="0" w:space="0" w:color="auto"/>
            <w:left w:val="none" w:sz="0" w:space="0" w:color="auto"/>
            <w:bottom w:val="none" w:sz="0" w:space="0" w:color="auto"/>
            <w:right w:val="none" w:sz="0" w:space="0" w:color="auto"/>
          </w:divBdr>
          <w:divsChild>
            <w:div w:id="1041974379">
              <w:marLeft w:val="0"/>
              <w:marRight w:val="0"/>
              <w:marTop w:val="0"/>
              <w:marBottom w:val="0"/>
              <w:divBdr>
                <w:top w:val="none" w:sz="0" w:space="0" w:color="auto"/>
                <w:left w:val="none" w:sz="0" w:space="0" w:color="auto"/>
                <w:bottom w:val="none" w:sz="0" w:space="0" w:color="auto"/>
                <w:right w:val="none" w:sz="0" w:space="0" w:color="auto"/>
              </w:divBdr>
            </w:div>
          </w:divsChild>
        </w:div>
        <w:div w:id="912423818">
          <w:marLeft w:val="0"/>
          <w:marRight w:val="0"/>
          <w:marTop w:val="0"/>
          <w:marBottom w:val="0"/>
          <w:divBdr>
            <w:top w:val="none" w:sz="0" w:space="0" w:color="auto"/>
            <w:left w:val="none" w:sz="0" w:space="0" w:color="auto"/>
            <w:bottom w:val="none" w:sz="0" w:space="0" w:color="auto"/>
            <w:right w:val="none" w:sz="0" w:space="0" w:color="auto"/>
          </w:divBdr>
          <w:divsChild>
            <w:div w:id="930090473">
              <w:marLeft w:val="0"/>
              <w:marRight w:val="0"/>
              <w:marTop w:val="0"/>
              <w:marBottom w:val="0"/>
              <w:divBdr>
                <w:top w:val="none" w:sz="0" w:space="0" w:color="auto"/>
                <w:left w:val="none" w:sz="0" w:space="0" w:color="auto"/>
                <w:bottom w:val="none" w:sz="0" w:space="0" w:color="auto"/>
                <w:right w:val="none" w:sz="0" w:space="0" w:color="auto"/>
              </w:divBdr>
            </w:div>
          </w:divsChild>
        </w:div>
        <w:div w:id="1444496446">
          <w:marLeft w:val="0"/>
          <w:marRight w:val="0"/>
          <w:marTop w:val="0"/>
          <w:marBottom w:val="0"/>
          <w:divBdr>
            <w:top w:val="none" w:sz="0" w:space="0" w:color="auto"/>
            <w:left w:val="none" w:sz="0" w:space="0" w:color="auto"/>
            <w:bottom w:val="none" w:sz="0" w:space="0" w:color="auto"/>
            <w:right w:val="none" w:sz="0" w:space="0" w:color="auto"/>
          </w:divBdr>
          <w:divsChild>
            <w:div w:id="1462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18026">
      <w:bodyDiv w:val="1"/>
      <w:marLeft w:val="0"/>
      <w:marRight w:val="0"/>
      <w:marTop w:val="0"/>
      <w:marBottom w:val="0"/>
      <w:divBdr>
        <w:top w:val="none" w:sz="0" w:space="0" w:color="auto"/>
        <w:left w:val="none" w:sz="0" w:space="0" w:color="auto"/>
        <w:bottom w:val="none" w:sz="0" w:space="0" w:color="auto"/>
        <w:right w:val="none" w:sz="0" w:space="0" w:color="auto"/>
      </w:divBdr>
    </w:div>
    <w:div w:id="421417418">
      <w:bodyDiv w:val="1"/>
      <w:marLeft w:val="0"/>
      <w:marRight w:val="0"/>
      <w:marTop w:val="0"/>
      <w:marBottom w:val="0"/>
      <w:divBdr>
        <w:top w:val="none" w:sz="0" w:space="0" w:color="auto"/>
        <w:left w:val="none" w:sz="0" w:space="0" w:color="auto"/>
        <w:bottom w:val="none" w:sz="0" w:space="0" w:color="auto"/>
        <w:right w:val="none" w:sz="0" w:space="0" w:color="auto"/>
      </w:divBdr>
    </w:div>
    <w:div w:id="424305710">
      <w:bodyDiv w:val="1"/>
      <w:marLeft w:val="0"/>
      <w:marRight w:val="0"/>
      <w:marTop w:val="0"/>
      <w:marBottom w:val="0"/>
      <w:divBdr>
        <w:top w:val="none" w:sz="0" w:space="0" w:color="auto"/>
        <w:left w:val="none" w:sz="0" w:space="0" w:color="auto"/>
        <w:bottom w:val="none" w:sz="0" w:space="0" w:color="auto"/>
        <w:right w:val="none" w:sz="0" w:space="0" w:color="auto"/>
      </w:divBdr>
    </w:div>
    <w:div w:id="429931420">
      <w:bodyDiv w:val="1"/>
      <w:marLeft w:val="0"/>
      <w:marRight w:val="0"/>
      <w:marTop w:val="0"/>
      <w:marBottom w:val="0"/>
      <w:divBdr>
        <w:top w:val="none" w:sz="0" w:space="0" w:color="auto"/>
        <w:left w:val="none" w:sz="0" w:space="0" w:color="auto"/>
        <w:bottom w:val="none" w:sz="0" w:space="0" w:color="auto"/>
        <w:right w:val="none" w:sz="0" w:space="0" w:color="auto"/>
      </w:divBdr>
    </w:div>
    <w:div w:id="445124577">
      <w:bodyDiv w:val="1"/>
      <w:marLeft w:val="0"/>
      <w:marRight w:val="0"/>
      <w:marTop w:val="0"/>
      <w:marBottom w:val="0"/>
      <w:divBdr>
        <w:top w:val="none" w:sz="0" w:space="0" w:color="auto"/>
        <w:left w:val="none" w:sz="0" w:space="0" w:color="auto"/>
        <w:bottom w:val="none" w:sz="0" w:space="0" w:color="auto"/>
        <w:right w:val="none" w:sz="0" w:space="0" w:color="auto"/>
      </w:divBdr>
    </w:div>
    <w:div w:id="448012081">
      <w:bodyDiv w:val="1"/>
      <w:marLeft w:val="0"/>
      <w:marRight w:val="0"/>
      <w:marTop w:val="0"/>
      <w:marBottom w:val="0"/>
      <w:divBdr>
        <w:top w:val="none" w:sz="0" w:space="0" w:color="auto"/>
        <w:left w:val="none" w:sz="0" w:space="0" w:color="auto"/>
        <w:bottom w:val="none" w:sz="0" w:space="0" w:color="auto"/>
        <w:right w:val="none" w:sz="0" w:space="0" w:color="auto"/>
      </w:divBdr>
    </w:div>
    <w:div w:id="448208011">
      <w:bodyDiv w:val="1"/>
      <w:marLeft w:val="0"/>
      <w:marRight w:val="0"/>
      <w:marTop w:val="0"/>
      <w:marBottom w:val="0"/>
      <w:divBdr>
        <w:top w:val="none" w:sz="0" w:space="0" w:color="auto"/>
        <w:left w:val="none" w:sz="0" w:space="0" w:color="auto"/>
        <w:bottom w:val="none" w:sz="0" w:space="0" w:color="auto"/>
        <w:right w:val="none" w:sz="0" w:space="0" w:color="auto"/>
      </w:divBdr>
    </w:div>
    <w:div w:id="460349442">
      <w:bodyDiv w:val="1"/>
      <w:marLeft w:val="0"/>
      <w:marRight w:val="0"/>
      <w:marTop w:val="0"/>
      <w:marBottom w:val="0"/>
      <w:divBdr>
        <w:top w:val="none" w:sz="0" w:space="0" w:color="auto"/>
        <w:left w:val="none" w:sz="0" w:space="0" w:color="auto"/>
        <w:bottom w:val="none" w:sz="0" w:space="0" w:color="auto"/>
        <w:right w:val="none" w:sz="0" w:space="0" w:color="auto"/>
      </w:divBdr>
    </w:div>
    <w:div w:id="465587265">
      <w:bodyDiv w:val="1"/>
      <w:marLeft w:val="0"/>
      <w:marRight w:val="0"/>
      <w:marTop w:val="0"/>
      <w:marBottom w:val="0"/>
      <w:divBdr>
        <w:top w:val="none" w:sz="0" w:space="0" w:color="auto"/>
        <w:left w:val="none" w:sz="0" w:space="0" w:color="auto"/>
        <w:bottom w:val="none" w:sz="0" w:space="0" w:color="auto"/>
        <w:right w:val="none" w:sz="0" w:space="0" w:color="auto"/>
      </w:divBdr>
      <w:divsChild>
        <w:div w:id="825168368">
          <w:marLeft w:val="0"/>
          <w:marRight w:val="0"/>
          <w:marTop w:val="0"/>
          <w:marBottom w:val="0"/>
          <w:divBdr>
            <w:top w:val="none" w:sz="0" w:space="0" w:color="auto"/>
            <w:left w:val="none" w:sz="0" w:space="0" w:color="auto"/>
            <w:bottom w:val="none" w:sz="0" w:space="0" w:color="auto"/>
            <w:right w:val="none" w:sz="0" w:space="0" w:color="auto"/>
          </w:divBdr>
          <w:divsChild>
            <w:div w:id="2129277350">
              <w:marLeft w:val="0"/>
              <w:marRight w:val="0"/>
              <w:marTop w:val="0"/>
              <w:marBottom w:val="0"/>
              <w:divBdr>
                <w:top w:val="none" w:sz="0" w:space="0" w:color="auto"/>
                <w:left w:val="none" w:sz="0" w:space="0" w:color="auto"/>
                <w:bottom w:val="none" w:sz="0" w:space="0" w:color="auto"/>
                <w:right w:val="none" w:sz="0" w:space="0" w:color="auto"/>
              </w:divBdr>
              <w:divsChild>
                <w:div w:id="1491478467">
                  <w:marLeft w:val="0"/>
                  <w:marRight w:val="0"/>
                  <w:marTop w:val="0"/>
                  <w:marBottom w:val="0"/>
                  <w:divBdr>
                    <w:top w:val="none" w:sz="0" w:space="0" w:color="auto"/>
                    <w:left w:val="none" w:sz="0" w:space="0" w:color="auto"/>
                    <w:bottom w:val="none" w:sz="0" w:space="0" w:color="auto"/>
                    <w:right w:val="none" w:sz="0" w:space="0" w:color="auto"/>
                  </w:divBdr>
                  <w:divsChild>
                    <w:div w:id="2098137107">
                      <w:marLeft w:val="0"/>
                      <w:marRight w:val="0"/>
                      <w:marTop w:val="0"/>
                      <w:marBottom w:val="0"/>
                      <w:divBdr>
                        <w:top w:val="none" w:sz="0" w:space="0" w:color="auto"/>
                        <w:left w:val="none" w:sz="0" w:space="0" w:color="auto"/>
                        <w:bottom w:val="none" w:sz="0" w:space="0" w:color="auto"/>
                        <w:right w:val="none" w:sz="0" w:space="0" w:color="auto"/>
                      </w:divBdr>
                      <w:divsChild>
                        <w:div w:id="756285673">
                          <w:marLeft w:val="0"/>
                          <w:marRight w:val="0"/>
                          <w:marTop w:val="0"/>
                          <w:marBottom w:val="0"/>
                          <w:divBdr>
                            <w:top w:val="none" w:sz="0" w:space="0" w:color="auto"/>
                            <w:left w:val="none" w:sz="0" w:space="0" w:color="auto"/>
                            <w:bottom w:val="none" w:sz="0" w:space="0" w:color="auto"/>
                            <w:right w:val="none" w:sz="0" w:space="0" w:color="auto"/>
                          </w:divBdr>
                          <w:divsChild>
                            <w:div w:id="176213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20607">
                      <w:marLeft w:val="0"/>
                      <w:marRight w:val="0"/>
                      <w:marTop w:val="0"/>
                      <w:marBottom w:val="0"/>
                      <w:divBdr>
                        <w:top w:val="none" w:sz="0" w:space="0" w:color="auto"/>
                        <w:left w:val="none" w:sz="0" w:space="0" w:color="auto"/>
                        <w:bottom w:val="none" w:sz="0" w:space="0" w:color="auto"/>
                        <w:right w:val="none" w:sz="0" w:space="0" w:color="auto"/>
                      </w:divBdr>
                      <w:divsChild>
                        <w:div w:id="1497843923">
                          <w:marLeft w:val="0"/>
                          <w:marRight w:val="0"/>
                          <w:marTop w:val="0"/>
                          <w:marBottom w:val="0"/>
                          <w:divBdr>
                            <w:top w:val="none" w:sz="0" w:space="0" w:color="auto"/>
                            <w:left w:val="none" w:sz="0" w:space="0" w:color="auto"/>
                            <w:bottom w:val="none" w:sz="0" w:space="0" w:color="auto"/>
                            <w:right w:val="none" w:sz="0" w:space="0" w:color="auto"/>
                          </w:divBdr>
                          <w:divsChild>
                            <w:div w:id="1337537065">
                              <w:marLeft w:val="0"/>
                              <w:marRight w:val="0"/>
                              <w:marTop w:val="0"/>
                              <w:marBottom w:val="0"/>
                              <w:divBdr>
                                <w:top w:val="none" w:sz="0" w:space="0" w:color="auto"/>
                                <w:left w:val="none" w:sz="0" w:space="0" w:color="auto"/>
                                <w:bottom w:val="none" w:sz="0" w:space="0" w:color="auto"/>
                                <w:right w:val="none" w:sz="0" w:space="0" w:color="auto"/>
                              </w:divBdr>
                              <w:divsChild>
                                <w:div w:id="127128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436943">
          <w:marLeft w:val="0"/>
          <w:marRight w:val="0"/>
          <w:marTop w:val="0"/>
          <w:marBottom w:val="0"/>
          <w:divBdr>
            <w:top w:val="none" w:sz="0" w:space="0" w:color="auto"/>
            <w:left w:val="none" w:sz="0" w:space="0" w:color="auto"/>
            <w:bottom w:val="none" w:sz="0" w:space="0" w:color="auto"/>
            <w:right w:val="none" w:sz="0" w:space="0" w:color="auto"/>
          </w:divBdr>
          <w:divsChild>
            <w:div w:id="1686130109">
              <w:marLeft w:val="0"/>
              <w:marRight w:val="0"/>
              <w:marTop w:val="0"/>
              <w:marBottom w:val="0"/>
              <w:divBdr>
                <w:top w:val="none" w:sz="0" w:space="0" w:color="auto"/>
                <w:left w:val="none" w:sz="0" w:space="0" w:color="auto"/>
                <w:bottom w:val="none" w:sz="0" w:space="0" w:color="auto"/>
                <w:right w:val="none" w:sz="0" w:space="0" w:color="auto"/>
              </w:divBdr>
              <w:divsChild>
                <w:div w:id="576404206">
                  <w:marLeft w:val="0"/>
                  <w:marRight w:val="0"/>
                  <w:marTop w:val="0"/>
                  <w:marBottom w:val="0"/>
                  <w:divBdr>
                    <w:top w:val="none" w:sz="0" w:space="0" w:color="auto"/>
                    <w:left w:val="none" w:sz="0" w:space="0" w:color="auto"/>
                    <w:bottom w:val="none" w:sz="0" w:space="0" w:color="auto"/>
                    <w:right w:val="none" w:sz="0" w:space="0" w:color="auto"/>
                  </w:divBdr>
                  <w:divsChild>
                    <w:div w:id="81072610">
                      <w:marLeft w:val="0"/>
                      <w:marRight w:val="0"/>
                      <w:marTop w:val="0"/>
                      <w:marBottom w:val="0"/>
                      <w:divBdr>
                        <w:top w:val="none" w:sz="0" w:space="0" w:color="auto"/>
                        <w:left w:val="none" w:sz="0" w:space="0" w:color="auto"/>
                        <w:bottom w:val="none" w:sz="0" w:space="0" w:color="auto"/>
                        <w:right w:val="none" w:sz="0" w:space="0" w:color="auto"/>
                      </w:divBdr>
                      <w:divsChild>
                        <w:div w:id="1090154327">
                          <w:marLeft w:val="0"/>
                          <w:marRight w:val="0"/>
                          <w:marTop w:val="0"/>
                          <w:marBottom w:val="0"/>
                          <w:divBdr>
                            <w:top w:val="none" w:sz="0" w:space="0" w:color="auto"/>
                            <w:left w:val="none" w:sz="0" w:space="0" w:color="auto"/>
                            <w:bottom w:val="none" w:sz="0" w:space="0" w:color="auto"/>
                            <w:right w:val="none" w:sz="0" w:space="0" w:color="auto"/>
                          </w:divBdr>
                          <w:divsChild>
                            <w:div w:id="63029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168353">
      <w:bodyDiv w:val="1"/>
      <w:marLeft w:val="0"/>
      <w:marRight w:val="0"/>
      <w:marTop w:val="0"/>
      <w:marBottom w:val="0"/>
      <w:divBdr>
        <w:top w:val="none" w:sz="0" w:space="0" w:color="auto"/>
        <w:left w:val="none" w:sz="0" w:space="0" w:color="auto"/>
        <w:bottom w:val="none" w:sz="0" w:space="0" w:color="auto"/>
        <w:right w:val="none" w:sz="0" w:space="0" w:color="auto"/>
      </w:divBdr>
    </w:div>
    <w:div w:id="487526266">
      <w:bodyDiv w:val="1"/>
      <w:marLeft w:val="0"/>
      <w:marRight w:val="0"/>
      <w:marTop w:val="0"/>
      <w:marBottom w:val="0"/>
      <w:divBdr>
        <w:top w:val="none" w:sz="0" w:space="0" w:color="auto"/>
        <w:left w:val="none" w:sz="0" w:space="0" w:color="auto"/>
        <w:bottom w:val="none" w:sz="0" w:space="0" w:color="auto"/>
        <w:right w:val="none" w:sz="0" w:space="0" w:color="auto"/>
      </w:divBdr>
    </w:div>
    <w:div w:id="490295187">
      <w:bodyDiv w:val="1"/>
      <w:marLeft w:val="0"/>
      <w:marRight w:val="0"/>
      <w:marTop w:val="0"/>
      <w:marBottom w:val="0"/>
      <w:divBdr>
        <w:top w:val="none" w:sz="0" w:space="0" w:color="auto"/>
        <w:left w:val="none" w:sz="0" w:space="0" w:color="auto"/>
        <w:bottom w:val="none" w:sz="0" w:space="0" w:color="auto"/>
        <w:right w:val="none" w:sz="0" w:space="0" w:color="auto"/>
      </w:divBdr>
    </w:div>
    <w:div w:id="493037808">
      <w:bodyDiv w:val="1"/>
      <w:marLeft w:val="0"/>
      <w:marRight w:val="0"/>
      <w:marTop w:val="0"/>
      <w:marBottom w:val="0"/>
      <w:divBdr>
        <w:top w:val="none" w:sz="0" w:space="0" w:color="auto"/>
        <w:left w:val="none" w:sz="0" w:space="0" w:color="auto"/>
        <w:bottom w:val="none" w:sz="0" w:space="0" w:color="auto"/>
        <w:right w:val="none" w:sz="0" w:space="0" w:color="auto"/>
      </w:divBdr>
    </w:div>
    <w:div w:id="515198293">
      <w:bodyDiv w:val="1"/>
      <w:marLeft w:val="0"/>
      <w:marRight w:val="0"/>
      <w:marTop w:val="0"/>
      <w:marBottom w:val="0"/>
      <w:divBdr>
        <w:top w:val="none" w:sz="0" w:space="0" w:color="auto"/>
        <w:left w:val="none" w:sz="0" w:space="0" w:color="auto"/>
        <w:bottom w:val="none" w:sz="0" w:space="0" w:color="auto"/>
        <w:right w:val="none" w:sz="0" w:space="0" w:color="auto"/>
      </w:divBdr>
    </w:div>
    <w:div w:id="518931961">
      <w:bodyDiv w:val="1"/>
      <w:marLeft w:val="0"/>
      <w:marRight w:val="0"/>
      <w:marTop w:val="0"/>
      <w:marBottom w:val="0"/>
      <w:divBdr>
        <w:top w:val="none" w:sz="0" w:space="0" w:color="auto"/>
        <w:left w:val="none" w:sz="0" w:space="0" w:color="auto"/>
        <w:bottom w:val="none" w:sz="0" w:space="0" w:color="auto"/>
        <w:right w:val="none" w:sz="0" w:space="0" w:color="auto"/>
      </w:divBdr>
    </w:div>
    <w:div w:id="538470888">
      <w:bodyDiv w:val="1"/>
      <w:marLeft w:val="0"/>
      <w:marRight w:val="0"/>
      <w:marTop w:val="0"/>
      <w:marBottom w:val="0"/>
      <w:divBdr>
        <w:top w:val="none" w:sz="0" w:space="0" w:color="auto"/>
        <w:left w:val="none" w:sz="0" w:space="0" w:color="auto"/>
        <w:bottom w:val="none" w:sz="0" w:space="0" w:color="auto"/>
        <w:right w:val="none" w:sz="0" w:space="0" w:color="auto"/>
      </w:divBdr>
      <w:divsChild>
        <w:div w:id="1336372647">
          <w:marLeft w:val="0"/>
          <w:marRight w:val="0"/>
          <w:marTop w:val="0"/>
          <w:marBottom w:val="0"/>
          <w:divBdr>
            <w:top w:val="none" w:sz="0" w:space="0" w:color="auto"/>
            <w:left w:val="none" w:sz="0" w:space="0" w:color="auto"/>
            <w:bottom w:val="none" w:sz="0" w:space="0" w:color="auto"/>
            <w:right w:val="none" w:sz="0" w:space="0" w:color="auto"/>
          </w:divBdr>
          <w:divsChild>
            <w:div w:id="1988776557">
              <w:marLeft w:val="0"/>
              <w:marRight w:val="0"/>
              <w:marTop w:val="0"/>
              <w:marBottom w:val="0"/>
              <w:divBdr>
                <w:top w:val="none" w:sz="0" w:space="0" w:color="auto"/>
                <w:left w:val="none" w:sz="0" w:space="0" w:color="auto"/>
                <w:bottom w:val="none" w:sz="0" w:space="0" w:color="auto"/>
                <w:right w:val="none" w:sz="0" w:space="0" w:color="auto"/>
              </w:divBdr>
              <w:divsChild>
                <w:div w:id="414136557">
                  <w:marLeft w:val="0"/>
                  <w:marRight w:val="0"/>
                  <w:marTop w:val="0"/>
                  <w:marBottom w:val="0"/>
                  <w:divBdr>
                    <w:top w:val="none" w:sz="0" w:space="0" w:color="auto"/>
                    <w:left w:val="none" w:sz="0" w:space="0" w:color="auto"/>
                    <w:bottom w:val="none" w:sz="0" w:space="0" w:color="auto"/>
                    <w:right w:val="none" w:sz="0" w:space="0" w:color="auto"/>
                  </w:divBdr>
                  <w:divsChild>
                    <w:div w:id="909579238">
                      <w:marLeft w:val="0"/>
                      <w:marRight w:val="0"/>
                      <w:marTop w:val="0"/>
                      <w:marBottom w:val="0"/>
                      <w:divBdr>
                        <w:top w:val="none" w:sz="0" w:space="0" w:color="auto"/>
                        <w:left w:val="none" w:sz="0" w:space="0" w:color="auto"/>
                        <w:bottom w:val="none" w:sz="0" w:space="0" w:color="auto"/>
                        <w:right w:val="none" w:sz="0" w:space="0" w:color="auto"/>
                      </w:divBdr>
                      <w:divsChild>
                        <w:div w:id="1749384018">
                          <w:marLeft w:val="0"/>
                          <w:marRight w:val="0"/>
                          <w:marTop w:val="0"/>
                          <w:marBottom w:val="0"/>
                          <w:divBdr>
                            <w:top w:val="none" w:sz="0" w:space="0" w:color="auto"/>
                            <w:left w:val="none" w:sz="0" w:space="0" w:color="auto"/>
                            <w:bottom w:val="none" w:sz="0" w:space="0" w:color="auto"/>
                            <w:right w:val="none" w:sz="0" w:space="0" w:color="auto"/>
                          </w:divBdr>
                          <w:divsChild>
                            <w:div w:id="3612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85331">
                      <w:marLeft w:val="0"/>
                      <w:marRight w:val="0"/>
                      <w:marTop w:val="0"/>
                      <w:marBottom w:val="0"/>
                      <w:divBdr>
                        <w:top w:val="none" w:sz="0" w:space="0" w:color="auto"/>
                        <w:left w:val="none" w:sz="0" w:space="0" w:color="auto"/>
                        <w:bottom w:val="none" w:sz="0" w:space="0" w:color="auto"/>
                        <w:right w:val="none" w:sz="0" w:space="0" w:color="auto"/>
                      </w:divBdr>
                      <w:divsChild>
                        <w:div w:id="751199968">
                          <w:marLeft w:val="0"/>
                          <w:marRight w:val="0"/>
                          <w:marTop w:val="0"/>
                          <w:marBottom w:val="0"/>
                          <w:divBdr>
                            <w:top w:val="none" w:sz="0" w:space="0" w:color="auto"/>
                            <w:left w:val="none" w:sz="0" w:space="0" w:color="auto"/>
                            <w:bottom w:val="none" w:sz="0" w:space="0" w:color="auto"/>
                            <w:right w:val="none" w:sz="0" w:space="0" w:color="auto"/>
                          </w:divBdr>
                          <w:divsChild>
                            <w:div w:id="631063478">
                              <w:marLeft w:val="0"/>
                              <w:marRight w:val="0"/>
                              <w:marTop w:val="0"/>
                              <w:marBottom w:val="0"/>
                              <w:divBdr>
                                <w:top w:val="none" w:sz="0" w:space="0" w:color="auto"/>
                                <w:left w:val="none" w:sz="0" w:space="0" w:color="auto"/>
                                <w:bottom w:val="none" w:sz="0" w:space="0" w:color="auto"/>
                                <w:right w:val="none" w:sz="0" w:space="0" w:color="auto"/>
                              </w:divBdr>
                              <w:divsChild>
                                <w:div w:id="151303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632767">
          <w:marLeft w:val="0"/>
          <w:marRight w:val="0"/>
          <w:marTop w:val="0"/>
          <w:marBottom w:val="0"/>
          <w:divBdr>
            <w:top w:val="none" w:sz="0" w:space="0" w:color="auto"/>
            <w:left w:val="none" w:sz="0" w:space="0" w:color="auto"/>
            <w:bottom w:val="none" w:sz="0" w:space="0" w:color="auto"/>
            <w:right w:val="none" w:sz="0" w:space="0" w:color="auto"/>
          </w:divBdr>
          <w:divsChild>
            <w:div w:id="841895702">
              <w:marLeft w:val="0"/>
              <w:marRight w:val="0"/>
              <w:marTop w:val="0"/>
              <w:marBottom w:val="0"/>
              <w:divBdr>
                <w:top w:val="none" w:sz="0" w:space="0" w:color="auto"/>
                <w:left w:val="none" w:sz="0" w:space="0" w:color="auto"/>
                <w:bottom w:val="none" w:sz="0" w:space="0" w:color="auto"/>
                <w:right w:val="none" w:sz="0" w:space="0" w:color="auto"/>
              </w:divBdr>
              <w:divsChild>
                <w:div w:id="2128619921">
                  <w:marLeft w:val="0"/>
                  <w:marRight w:val="0"/>
                  <w:marTop w:val="0"/>
                  <w:marBottom w:val="0"/>
                  <w:divBdr>
                    <w:top w:val="none" w:sz="0" w:space="0" w:color="auto"/>
                    <w:left w:val="none" w:sz="0" w:space="0" w:color="auto"/>
                    <w:bottom w:val="none" w:sz="0" w:space="0" w:color="auto"/>
                    <w:right w:val="none" w:sz="0" w:space="0" w:color="auto"/>
                  </w:divBdr>
                  <w:divsChild>
                    <w:div w:id="1109348658">
                      <w:marLeft w:val="0"/>
                      <w:marRight w:val="0"/>
                      <w:marTop w:val="0"/>
                      <w:marBottom w:val="0"/>
                      <w:divBdr>
                        <w:top w:val="none" w:sz="0" w:space="0" w:color="auto"/>
                        <w:left w:val="none" w:sz="0" w:space="0" w:color="auto"/>
                        <w:bottom w:val="none" w:sz="0" w:space="0" w:color="auto"/>
                        <w:right w:val="none" w:sz="0" w:space="0" w:color="auto"/>
                      </w:divBdr>
                      <w:divsChild>
                        <w:div w:id="2126456639">
                          <w:marLeft w:val="0"/>
                          <w:marRight w:val="0"/>
                          <w:marTop w:val="0"/>
                          <w:marBottom w:val="0"/>
                          <w:divBdr>
                            <w:top w:val="none" w:sz="0" w:space="0" w:color="auto"/>
                            <w:left w:val="none" w:sz="0" w:space="0" w:color="auto"/>
                            <w:bottom w:val="none" w:sz="0" w:space="0" w:color="auto"/>
                            <w:right w:val="none" w:sz="0" w:space="0" w:color="auto"/>
                          </w:divBdr>
                          <w:divsChild>
                            <w:div w:id="102644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968395">
      <w:bodyDiv w:val="1"/>
      <w:marLeft w:val="0"/>
      <w:marRight w:val="0"/>
      <w:marTop w:val="0"/>
      <w:marBottom w:val="0"/>
      <w:divBdr>
        <w:top w:val="none" w:sz="0" w:space="0" w:color="auto"/>
        <w:left w:val="none" w:sz="0" w:space="0" w:color="auto"/>
        <w:bottom w:val="none" w:sz="0" w:space="0" w:color="auto"/>
        <w:right w:val="none" w:sz="0" w:space="0" w:color="auto"/>
      </w:divBdr>
    </w:div>
    <w:div w:id="555244659">
      <w:bodyDiv w:val="1"/>
      <w:marLeft w:val="0"/>
      <w:marRight w:val="0"/>
      <w:marTop w:val="0"/>
      <w:marBottom w:val="0"/>
      <w:divBdr>
        <w:top w:val="none" w:sz="0" w:space="0" w:color="auto"/>
        <w:left w:val="none" w:sz="0" w:space="0" w:color="auto"/>
        <w:bottom w:val="none" w:sz="0" w:space="0" w:color="auto"/>
        <w:right w:val="none" w:sz="0" w:space="0" w:color="auto"/>
      </w:divBdr>
    </w:div>
    <w:div w:id="556208888">
      <w:bodyDiv w:val="1"/>
      <w:marLeft w:val="0"/>
      <w:marRight w:val="0"/>
      <w:marTop w:val="0"/>
      <w:marBottom w:val="0"/>
      <w:divBdr>
        <w:top w:val="none" w:sz="0" w:space="0" w:color="auto"/>
        <w:left w:val="none" w:sz="0" w:space="0" w:color="auto"/>
        <w:bottom w:val="none" w:sz="0" w:space="0" w:color="auto"/>
        <w:right w:val="none" w:sz="0" w:space="0" w:color="auto"/>
      </w:divBdr>
    </w:div>
    <w:div w:id="561672762">
      <w:bodyDiv w:val="1"/>
      <w:marLeft w:val="0"/>
      <w:marRight w:val="0"/>
      <w:marTop w:val="0"/>
      <w:marBottom w:val="0"/>
      <w:divBdr>
        <w:top w:val="none" w:sz="0" w:space="0" w:color="auto"/>
        <w:left w:val="none" w:sz="0" w:space="0" w:color="auto"/>
        <w:bottom w:val="none" w:sz="0" w:space="0" w:color="auto"/>
        <w:right w:val="none" w:sz="0" w:space="0" w:color="auto"/>
      </w:divBdr>
    </w:div>
    <w:div w:id="567769810">
      <w:bodyDiv w:val="1"/>
      <w:marLeft w:val="0"/>
      <w:marRight w:val="0"/>
      <w:marTop w:val="0"/>
      <w:marBottom w:val="0"/>
      <w:divBdr>
        <w:top w:val="none" w:sz="0" w:space="0" w:color="auto"/>
        <w:left w:val="none" w:sz="0" w:space="0" w:color="auto"/>
        <w:bottom w:val="none" w:sz="0" w:space="0" w:color="auto"/>
        <w:right w:val="none" w:sz="0" w:space="0" w:color="auto"/>
      </w:divBdr>
    </w:div>
    <w:div w:id="592669589">
      <w:bodyDiv w:val="1"/>
      <w:marLeft w:val="0"/>
      <w:marRight w:val="0"/>
      <w:marTop w:val="0"/>
      <w:marBottom w:val="0"/>
      <w:divBdr>
        <w:top w:val="none" w:sz="0" w:space="0" w:color="auto"/>
        <w:left w:val="none" w:sz="0" w:space="0" w:color="auto"/>
        <w:bottom w:val="none" w:sz="0" w:space="0" w:color="auto"/>
        <w:right w:val="none" w:sz="0" w:space="0" w:color="auto"/>
      </w:divBdr>
    </w:div>
    <w:div w:id="592973506">
      <w:bodyDiv w:val="1"/>
      <w:marLeft w:val="0"/>
      <w:marRight w:val="0"/>
      <w:marTop w:val="0"/>
      <w:marBottom w:val="0"/>
      <w:divBdr>
        <w:top w:val="none" w:sz="0" w:space="0" w:color="auto"/>
        <w:left w:val="none" w:sz="0" w:space="0" w:color="auto"/>
        <w:bottom w:val="none" w:sz="0" w:space="0" w:color="auto"/>
        <w:right w:val="none" w:sz="0" w:space="0" w:color="auto"/>
      </w:divBdr>
      <w:divsChild>
        <w:div w:id="619845270">
          <w:marLeft w:val="0"/>
          <w:marRight w:val="0"/>
          <w:marTop w:val="0"/>
          <w:marBottom w:val="0"/>
          <w:divBdr>
            <w:top w:val="none" w:sz="0" w:space="0" w:color="auto"/>
            <w:left w:val="none" w:sz="0" w:space="0" w:color="auto"/>
            <w:bottom w:val="none" w:sz="0" w:space="0" w:color="auto"/>
            <w:right w:val="none" w:sz="0" w:space="0" w:color="auto"/>
          </w:divBdr>
          <w:divsChild>
            <w:div w:id="952782197">
              <w:marLeft w:val="0"/>
              <w:marRight w:val="0"/>
              <w:marTop w:val="0"/>
              <w:marBottom w:val="0"/>
              <w:divBdr>
                <w:top w:val="none" w:sz="0" w:space="0" w:color="auto"/>
                <w:left w:val="none" w:sz="0" w:space="0" w:color="auto"/>
                <w:bottom w:val="none" w:sz="0" w:space="0" w:color="auto"/>
                <w:right w:val="none" w:sz="0" w:space="0" w:color="auto"/>
              </w:divBdr>
              <w:divsChild>
                <w:div w:id="363136292">
                  <w:marLeft w:val="0"/>
                  <w:marRight w:val="0"/>
                  <w:marTop w:val="0"/>
                  <w:marBottom w:val="0"/>
                  <w:divBdr>
                    <w:top w:val="none" w:sz="0" w:space="0" w:color="auto"/>
                    <w:left w:val="none" w:sz="0" w:space="0" w:color="auto"/>
                    <w:bottom w:val="none" w:sz="0" w:space="0" w:color="auto"/>
                    <w:right w:val="none" w:sz="0" w:space="0" w:color="auto"/>
                  </w:divBdr>
                  <w:divsChild>
                    <w:div w:id="1066798425">
                      <w:marLeft w:val="0"/>
                      <w:marRight w:val="0"/>
                      <w:marTop w:val="0"/>
                      <w:marBottom w:val="0"/>
                      <w:divBdr>
                        <w:top w:val="none" w:sz="0" w:space="0" w:color="auto"/>
                        <w:left w:val="none" w:sz="0" w:space="0" w:color="auto"/>
                        <w:bottom w:val="none" w:sz="0" w:space="0" w:color="auto"/>
                        <w:right w:val="none" w:sz="0" w:space="0" w:color="auto"/>
                      </w:divBdr>
                      <w:divsChild>
                        <w:div w:id="1735228236">
                          <w:marLeft w:val="0"/>
                          <w:marRight w:val="0"/>
                          <w:marTop w:val="0"/>
                          <w:marBottom w:val="0"/>
                          <w:divBdr>
                            <w:top w:val="none" w:sz="0" w:space="0" w:color="auto"/>
                            <w:left w:val="none" w:sz="0" w:space="0" w:color="auto"/>
                            <w:bottom w:val="none" w:sz="0" w:space="0" w:color="auto"/>
                            <w:right w:val="none" w:sz="0" w:space="0" w:color="auto"/>
                          </w:divBdr>
                          <w:divsChild>
                            <w:div w:id="180207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510620">
          <w:marLeft w:val="0"/>
          <w:marRight w:val="0"/>
          <w:marTop w:val="0"/>
          <w:marBottom w:val="0"/>
          <w:divBdr>
            <w:top w:val="none" w:sz="0" w:space="0" w:color="auto"/>
            <w:left w:val="none" w:sz="0" w:space="0" w:color="auto"/>
            <w:bottom w:val="none" w:sz="0" w:space="0" w:color="auto"/>
            <w:right w:val="none" w:sz="0" w:space="0" w:color="auto"/>
          </w:divBdr>
          <w:divsChild>
            <w:div w:id="1841387297">
              <w:marLeft w:val="0"/>
              <w:marRight w:val="0"/>
              <w:marTop w:val="0"/>
              <w:marBottom w:val="0"/>
              <w:divBdr>
                <w:top w:val="none" w:sz="0" w:space="0" w:color="auto"/>
                <w:left w:val="none" w:sz="0" w:space="0" w:color="auto"/>
                <w:bottom w:val="none" w:sz="0" w:space="0" w:color="auto"/>
                <w:right w:val="none" w:sz="0" w:space="0" w:color="auto"/>
              </w:divBdr>
              <w:divsChild>
                <w:div w:id="505366586">
                  <w:marLeft w:val="0"/>
                  <w:marRight w:val="0"/>
                  <w:marTop w:val="0"/>
                  <w:marBottom w:val="0"/>
                  <w:divBdr>
                    <w:top w:val="none" w:sz="0" w:space="0" w:color="auto"/>
                    <w:left w:val="none" w:sz="0" w:space="0" w:color="auto"/>
                    <w:bottom w:val="none" w:sz="0" w:space="0" w:color="auto"/>
                    <w:right w:val="none" w:sz="0" w:space="0" w:color="auto"/>
                  </w:divBdr>
                  <w:divsChild>
                    <w:div w:id="1511219951">
                      <w:marLeft w:val="0"/>
                      <w:marRight w:val="0"/>
                      <w:marTop w:val="0"/>
                      <w:marBottom w:val="0"/>
                      <w:divBdr>
                        <w:top w:val="none" w:sz="0" w:space="0" w:color="auto"/>
                        <w:left w:val="none" w:sz="0" w:space="0" w:color="auto"/>
                        <w:bottom w:val="none" w:sz="0" w:space="0" w:color="auto"/>
                        <w:right w:val="none" w:sz="0" w:space="0" w:color="auto"/>
                      </w:divBdr>
                      <w:divsChild>
                        <w:div w:id="1939367620">
                          <w:marLeft w:val="0"/>
                          <w:marRight w:val="0"/>
                          <w:marTop w:val="0"/>
                          <w:marBottom w:val="0"/>
                          <w:divBdr>
                            <w:top w:val="none" w:sz="0" w:space="0" w:color="auto"/>
                            <w:left w:val="none" w:sz="0" w:space="0" w:color="auto"/>
                            <w:bottom w:val="none" w:sz="0" w:space="0" w:color="auto"/>
                            <w:right w:val="none" w:sz="0" w:space="0" w:color="auto"/>
                          </w:divBdr>
                          <w:divsChild>
                            <w:div w:id="1958754915">
                              <w:marLeft w:val="0"/>
                              <w:marRight w:val="0"/>
                              <w:marTop w:val="0"/>
                              <w:marBottom w:val="0"/>
                              <w:divBdr>
                                <w:top w:val="none" w:sz="0" w:space="0" w:color="auto"/>
                                <w:left w:val="none" w:sz="0" w:space="0" w:color="auto"/>
                                <w:bottom w:val="none" w:sz="0" w:space="0" w:color="auto"/>
                                <w:right w:val="none" w:sz="0" w:space="0" w:color="auto"/>
                              </w:divBdr>
                            </w:div>
                          </w:divsChild>
                        </w:div>
                        <w:div w:id="18710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433260">
          <w:marLeft w:val="0"/>
          <w:marRight w:val="0"/>
          <w:marTop w:val="0"/>
          <w:marBottom w:val="0"/>
          <w:divBdr>
            <w:top w:val="none" w:sz="0" w:space="0" w:color="auto"/>
            <w:left w:val="none" w:sz="0" w:space="0" w:color="auto"/>
            <w:bottom w:val="none" w:sz="0" w:space="0" w:color="auto"/>
            <w:right w:val="none" w:sz="0" w:space="0" w:color="auto"/>
          </w:divBdr>
          <w:divsChild>
            <w:div w:id="1682661538">
              <w:marLeft w:val="0"/>
              <w:marRight w:val="0"/>
              <w:marTop w:val="0"/>
              <w:marBottom w:val="0"/>
              <w:divBdr>
                <w:top w:val="none" w:sz="0" w:space="0" w:color="auto"/>
                <w:left w:val="none" w:sz="0" w:space="0" w:color="auto"/>
                <w:bottom w:val="none" w:sz="0" w:space="0" w:color="auto"/>
                <w:right w:val="none" w:sz="0" w:space="0" w:color="auto"/>
              </w:divBdr>
              <w:divsChild>
                <w:div w:id="533812086">
                  <w:marLeft w:val="0"/>
                  <w:marRight w:val="0"/>
                  <w:marTop w:val="0"/>
                  <w:marBottom w:val="0"/>
                  <w:divBdr>
                    <w:top w:val="none" w:sz="0" w:space="0" w:color="auto"/>
                    <w:left w:val="none" w:sz="0" w:space="0" w:color="auto"/>
                    <w:bottom w:val="none" w:sz="0" w:space="0" w:color="auto"/>
                    <w:right w:val="none" w:sz="0" w:space="0" w:color="auto"/>
                  </w:divBdr>
                  <w:divsChild>
                    <w:div w:id="655304881">
                      <w:marLeft w:val="0"/>
                      <w:marRight w:val="0"/>
                      <w:marTop w:val="0"/>
                      <w:marBottom w:val="0"/>
                      <w:divBdr>
                        <w:top w:val="none" w:sz="0" w:space="0" w:color="auto"/>
                        <w:left w:val="none" w:sz="0" w:space="0" w:color="auto"/>
                        <w:bottom w:val="none" w:sz="0" w:space="0" w:color="auto"/>
                        <w:right w:val="none" w:sz="0" w:space="0" w:color="auto"/>
                      </w:divBdr>
                      <w:divsChild>
                        <w:div w:id="913467083">
                          <w:marLeft w:val="0"/>
                          <w:marRight w:val="0"/>
                          <w:marTop w:val="0"/>
                          <w:marBottom w:val="0"/>
                          <w:divBdr>
                            <w:top w:val="none" w:sz="0" w:space="0" w:color="auto"/>
                            <w:left w:val="none" w:sz="0" w:space="0" w:color="auto"/>
                            <w:bottom w:val="none" w:sz="0" w:space="0" w:color="auto"/>
                            <w:right w:val="none" w:sz="0" w:space="0" w:color="auto"/>
                          </w:divBdr>
                          <w:divsChild>
                            <w:div w:id="355351194">
                              <w:marLeft w:val="0"/>
                              <w:marRight w:val="0"/>
                              <w:marTop w:val="0"/>
                              <w:marBottom w:val="0"/>
                              <w:divBdr>
                                <w:top w:val="none" w:sz="0" w:space="0" w:color="auto"/>
                                <w:left w:val="none" w:sz="0" w:space="0" w:color="auto"/>
                                <w:bottom w:val="none" w:sz="0" w:space="0" w:color="auto"/>
                                <w:right w:val="none" w:sz="0" w:space="0" w:color="auto"/>
                              </w:divBdr>
                              <w:divsChild>
                                <w:div w:id="1914506405">
                                  <w:marLeft w:val="0"/>
                                  <w:marRight w:val="0"/>
                                  <w:marTop w:val="0"/>
                                  <w:marBottom w:val="0"/>
                                  <w:divBdr>
                                    <w:top w:val="none" w:sz="0" w:space="0" w:color="auto"/>
                                    <w:left w:val="none" w:sz="0" w:space="0" w:color="auto"/>
                                    <w:bottom w:val="none" w:sz="0" w:space="0" w:color="auto"/>
                                    <w:right w:val="none" w:sz="0" w:space="0" w:color="auto"/>
                                  </w:divBdr>
                                </w:div>
                              </w:divsChild>
                            </w:div>
                            <w:div w:id="1080178470">
                              <w:marLeft w:val="0"/>
                              <w:marRight w:val="0"/>
                              <w:marTop w:val="0"/>
                              <w:marBottom w:val="0"/>
                              <w:divBdr>
                                <w:top w:val="none" w:sz="0" w:space="0" w:color="auto"/>
                                <w:left w:val="none" w:sz="0" w:space="0" w:color="auto"/>
                                <w:bottom w:val="none" w:sz="0" w:space="0" w:color="auto"/>
                                <w:right w:val="none" w:sz="0" w:space="0" w:color="auto"/>
                              </w:divBdr>
                              <w:divsChild>
                                <w:div w:id="792478212">
                                  <w:marLeft w:val="0"/>
                                  <w:marRight w:val="0"/>
                                  <w:marTop w:val="0"/>
                                  <w:marBottom w:val="0"/>
                                  <w:divBdr>
                                    <w:top w:val="none" w:sz="0" w:space="0" w:color="auto"/>
                                    <w:left w:val="none" w:sz="0" w:space="0" w:color="auto"/>
                                    <w:bottom w:val="none" w:sz="0" w:space="0" w:color="auto"/>
                                    <w:right w:val="none" w:sz="0" w:space="0" w:color="auto"/>
                                  </w:divBdr>
                                </w:div>
                              </w:divsChild>
                            </w:div>
                            <w:div w:id="1773436643">
                              <w:marLeft w:val="0"/>
                              <w:marRight w:val="0"/>
                              <w:marTop w:val="0"/>
                              <w:marBottom w:val="0"/>
                              <w:divBdr>
                                <w:top w:val="none" w:sz="0" w:space="0" w:color="auto"/>
                                <w:left w:val="none" w:sz="0" w:space="0" w:color="auto"/>
                                <w:bottom w:val="none" w:sz="0" w:space="0" w:color="auto"/>
                                <w:right w:val="none" w:sz="0" w:space="0" w:color="auto"/>
                              </w:divBdr>
                              <w:divsChild>
                                <w:div w:id="1353729432">
                                  <w:marLeft w:val="0"/>
                                  <w:marRight w:val="0"/>
                                  <w:marTop w:val="0"/>
                                  <w:marBottom w:val="0"/>
                                  <w:divBdr>
                                    <w:top w:val="none" w:sz="0" w:space="0" w:color="auto"/>
                                    <w:left w:val="none" w:sz="0" w:space="0" w:color="auto"/>
                                    <w:bottom w:val="none" w:sz="0" w:space="0" w:color="auto"/>
                                    <w:right w:val="none" w:sz="0" w:space="0" w:color="auto"/>
                                  </w:divBdr>
                                </w:div>
                              </w:divsChild>
                            </w:div>
                            <w:div w:id="1149438331">
                              <w:marLeft w:val="0"/>
                              <w:marRight w:val="0"/>
                              <w:marTop w:val="0"/>
                              <w:marBottom w:val="0"/>
                              <w:divBdr>
                                <w:top w:val="none" w:sz="0" w:space="0" w:color="auto"/>
                                <w:left w:val="none" w:sz="0" w:space="0" w:color="auto"/>
                                <w:bottom w:val="none" w:sz="0" w:space="0" w:color="auto"/>
                                <w:right w:val="none" w:sz="0" w:space="0" w:color="auto"/>
                              </w:divBdr>
                              <w:divsChild>
                                <w:div w:id="1993293833">
                                  <w:marLeft w:val="0"/>
                                  <w:marRight w:val="0"/>
                                  <w:marTop w:val="0"/>
                                  <w:marBottom w:val="0"/>
                                  <w:divBdr>
                                    <w:top w:val="none" w:sz="0" w:space="0" w:color="auto"/>
                                    <w:left w:val="none" w:sz="0" w:space="0" w:color="auto"/>
                                    <w:bottom w:val="none" w:sz="0" w:space="0" w:color="auto"/>
                                    <w:right w:val="none" w:sz="0" w:space="0" w:color="auto"/>
                                  </w:divBdr>
                                </w:div>
                              </w:divsChild>
                            </w:div>
                            <w:div w:id="1944337637">
                              <w:marLeft w:val="0"/>
                              <w:marRight w:val="0"/>
                              <w:marTop w:val="0"/>
                              <w:marBottom w:val="0"/>
                              <w:divBdr>
                                <w:top w:val="none" w:sz="0" w:space="0" w:color="auto"/>
                                <w:left w:val="none" w:sz="0" w:space="0" w:color="auto"/>
                                <w:bottom w:val="none" w:sz="0" w:space="0" w:color="auto"/>
                                <w:right w:val="none" w:sz="0" w:space="0" w:color="auto"/>
                              </w:divBdr>
                              <w:divsChild>
                                <w:div w:id="13174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9337865">
      <w:bodyDiv w:val="1"/>
      <w:marLeft w:val="0"/>
      <w:marRight w:val="0"/>
      <w:marTop w:val="0"/>
      <w:marBottom w:val="0"/>
      <w:divBdr>
        <w:top w:val="none" w:sz="0" w:space="0" w:color="auto"/>
        <w:left w:val="none" w:sz="0" w:space="0" w:color="auto"/>
        <w:bottom w:val="none" w:sz="0" w:space="0" w:color="auto"/>
        <w:right w:val="none" w:sz="0" w:space="0" w:color="auto"/>
      </w:divBdr>
      <w:divsChild>
        <w:div w:id="873424090">
          <w:marLeft w:val="0"/>
          <w:marRight w:val="0"/>
          <w:marTop w:val="0"/>
          <w:marBottom w:val="0"/>
          <w:divBdr>
            <w:top w:val="none" w:sz="0" w:space="0" w:color="auto"/>
            <w:left w:val="none" w:sz="0" w:space="0" w:color="auto"/>
            <w:bottom w:val="none" w:sz="0" w:space="0" w:color="auto"/>
            <w:right w:val="none" w:sz="0" w:space="0" w:color="auto"/>
          </w:divBdr>
          <w:divsChild>
            <w:div w:id="1544755550">
              <w:marLeft w:val="0"/>
              <w:marRight w:val="0"/>
              <w:marTop w:val="0"/>
              <w:marBottom w:val="0"/>
              <w:divBdr>
                <w:top w:val="none" w:sz="0" w:space="0" w:color="auto"/>
                <w:left w:val="none" w:sz="0" w:space="0" w:color="auto"/>
                <w:bottom w:val="none" w:sz="0" w:space="0" w:color="auto"/>
                <w:right w:val="none" w:sz="0" w:space="0" w:color="auto"/>
              </w:divBdr>
            </w:div>
          </w:divsChild>
        </w:div>
        <w:div w:id="52895192">
          <w:marLeft w:val="0"/>
          <w:marRight w:val="0"/>
          <w:marTop w:val="0"/>
          <w:marBottom w:val="0"/>
          <w:divBdr>
            <w:top w:val="none" w:sz="0" w:space="0" w:color="auto"/>
            <w:left w:val="none" w:sz="0" w:space="0" w:color="auto"/>
            <w:bottom w:val="none" w:sz="0" w:space="0" w:color="auto"/>
            <w:right w:val="none" w:sz="0" w:space="0" w:color="auto"/>
          </w:divBdr>
          <w:divsChild>
            <w:div w:id="623534797">
              <w:marLeft w:val="0"/>
              <w:marRight w:val="0"/>
              <w:marTop w:val="0"/>
              <w:marBottom w:val="0"/>
              <w:divBdr>
                <w:top w:val="none" w:sz="0" w:space="0" w:color="auto"/>
                <w:left w:val="none" w:sz="0" w:space="0" w:color="auto"/>
                <w:bottom w:val="none" w:sz="0" w:space="0" w:color="auto"/>
                <w:right w:val="none" w:sz="0" w:space="0" w:color="auto"/>
              </w:divBdr>
            </w:div>
          </w:divsChild>
        </w:div>
        <w:div w:id="1280723503">
          <w:marLeft w:val="0"/>
          <w:marRight w:val="0"/>
          <w:marTop w:val="0"/>
          <w:marBottom w:val="0"/>
          <w:divBdr>
            <w:top w:val="none" w:sz="0" w:space="0" w:color="auto"/>
            <w:left w:val="none" w:sz="0" w:space="0" w:color="auto"/>
            <w:bottom w:val="none" w:sz="0" w:space="0" w:color="auto"/>
            <w:right w:val="none" w:sz="0" w:space="0" w:color="auto"/>
          </w:divBdr>
          <w:divsChild>
            <w:div w:id="1719234656">
              <w:marLeft w:val="0"/>
              <w:marRight w:val="0"/>
              <w:marTop w:val="0"/>
              <w:marBottom w:val="0"/>
              <w:divBdr>
                <w:top w:val="none" w:sz="0" w:space="0" w:color="auto"/>
                <w:left w:val="none" w:sz="0" w:space="0" w:color="auto"/>
                <w:bottom w:val="none" w:sz="0" w:space="0" w:color="auto"/>
                <w:right w:val="none" w:sz="0" w:space="0" w:color="auto"/>
              </w:divBdr>
            </w:div>
          </w:divsChild>
        </w:div>
        <w:div w:id="2091805360">
          <w:marLeft w:val="0"/>
          <w:marRight w:val="0"/>
          <w:marTop w:val="0"/>
          <w:marBottom w:val="0"/>
          <w:divBdr>
            <w:top w:val="none" w:sz="0" w:space="0" w:color="auto"/>
            <w:left w:val="none" w:sz="0" w:space="0" w:color="auto"/>
            <w:bottom w:val="none" w:sz="0" w:space="0" w:color="auto"/>
            <w:right w:val="none" w:sz="0" w:space="0" w:color="auto"/>
          </w:divBdr>
          <w:divsChild>
            <w:div w:id="2016684328">
              <w:marLeft w:val="0"/>
              <w:marRight w:val="0"/>
              <w:marTop w:val="0"/>
              <w:marBottom w:val="0"/>
              <w:divBdr>
                <w:top w:val="none" w:sz="0" w:space="0" w:color="auto"/>
                <w:left w:val="none" w:sz="0" w:space="0" w:color="auto"/>
                <w:bottom w:val="none" w:sz="0" w:space="0" w:color="auto"/>
                <w:right w:val="none" w:sz="0" w:space="0" w:color="auto"/>
              </w:divBdr>
            </w:div>
          </w:divsChild>
        </w:div>
        <w:div w:id="671026689">
          <w:marLeft w:val="0"/>
          <w:marRight w:val="0"/>
          <w:marTop w:val="0"/>
          <w:marBottom w:val="0"/>
          <w:divBdr>
            <w:top w:val="none" w:sz="0" w:space="0" w:color="auto"/>
            <w:left w:val="none" w:sz="0" w:space="0" w:color="auto"/>
            <w:bottom w:val="none" w:sz="0" w:space="0" w:color="auto"/>
            <w:right w:val="none" w:sz="0" w:space="0" w:color="auto"/>
          </w:divBdr>
          <w:divsChild>
            <w:div w:id="428159768">
              <w:marLeft w:val="0"/>
              <w:marRight w:val="0"/>
              <w:marTop w:val="0"/>
              <w:marBottom w:val="0"/>
              <w:divBdr>
                <w:top w:val="none" w:sz="0" w:space="0" w:color="auto"/>
                <w:left w:val="none" w:sz="0" w:space="0" w:color="auto"/>
                <w:bottom w:val="none" w:sz="0" w:space="0" w:color="auto"/>
                <w:right w:val="none" w:sz="0" w:space="0" w:color="auto"/>
              </w:divBdr>
            </w:div>
          </w:divsChild>
        </w:div>
        <w:div w:id="459691157">
          <w:marLeft w:val="0"/>
          <w:marRight w:val="0"/>
          <w:marTop w:val="0"/>
          <w:marBottom w:val="0"/>
          <w:divBdr>
            <w:top w:val="none" w:sz="0" w:space="0" w:color="auto"/>
            <w:left w:val="none" w:sz="0" w:space="0" w:color="auto"/>
            <w:bottom w:val="none" w:sz="0" w:space="0" w:color="auto"/>
            <w:right w:val="none" w:sz="0" w:space="0" w:color="auto"/>
          </w:divBdr>
          <w:divsChild>
            <w:div w:id="962879389">
              <w:marLeft w:val="0"/>
              <w:marRight w:val="0"/>
              <w:marTop w:val="0"/>
              <w:marBottom w:val="0"/>
              <w:divBdr>
                <w:top w:val="none" w:sz="0" w:space="0" w:color="auto"/>
                <w:left w:val="none" w:sz="0" w:space="0" w:color="auto"/>
                <w:bottom w:val="none" w:sz="0" w:space="0" w:color="auto"/>
                <w:right w:val="none" w:sz="0" w:space="0" w:color="auto"/>
              </w:divBdr>
            </w:div>
          </w:divsChild>
        </w:div>
        <w:div w:id="1170801051">
          <w:marLeft w:val="0"/>
          <w:marRight w:val="0"/>
          <w:marTop w:val="0"/>
          <w:marBottom w:val="0"/>
          <w:divBdr>
            <w:top w:val="none" w:sz="0" w:space="0" w:color="auto"/>
            <w:left w:val="none" w:sz="0" w:space="0" w:color="auto"/>
            <w:bottom w:val="none" w:sz="0" w:space="0" w:color="auto"/>
            <w:right w:val="none" w:sz="0" w:space="0" w:color="auto"/>
          </w:divBdr>
          <w:divsChild>
            <w:div w:id="2141533997">
              <w:marLeft w:val="0"/>
              <w:marRight w:val="0"/>
              <w:marTop w:val="0"/>
              <w:marBottom w:val="0"/>
              <w:divBdr>
                <w:top w:val="none" w:sz="0" w:space="0" w:color="auto"/>
                <w:left w:val="none" w:sz="0" w:space="0" w:color="auto"/>
                <w:bottom w:val="none" w:sz="0" w:space="0" w:color="auto"/>
                <w:right w:val="none" w:sz="0" w:space="0" w:color="auto"/>
              </w:divBdr>
            </w:div>
          </w:divsChild>
        </w:div>
        <w:div w:id="1638532479">
          <w:marLeft w:val="0"/>
          <w:marRight w:val="0"/>
          <w:marTop w:val="0"/>
          <w:marBottom w:val="0"/>
          <w:divBdr>
            <w:top w:val="none" w:sz="0" w:space="0" w:color="auto"/>
            <w:left w:val="none" w:sz="0" w:space="0" w:color="auto"/>
            <w:bottom w:val="none" w:sz="0" w:space="0" w:color="auto"/>
            <w:right w:val="none" w:sz="0" w:space="0" w:color="auto"/>
          </w:divBdr>
          <w:divsChild>
            <w:div w:id="270741450">
              <w:marLeft w:val="0"/>
              <w:marRight w:val="0"/>
              <w:marTop w:val="0"/>
              <w:marBottom w:val="0"/>
              <w:divBdr>
                <w:top w:val="none" w:sz="0" w:space="0" w:color="auto"/>
                <w:left w:val="none" w:sz="0" w:space="0" w:color="auto"/>
                <w:bottom w:val="none" w:sz="0" w:space="0" w:color="auto"/>
                <w:right w:val="none" w:sz="0" w:space="0" w:color="auto"/>
              </w:divBdr>
            </w:div>
          </w:divsChild>
        </w:div>
        <w:div w:id="2052874779">
          <w:marLeft w:val="0"/>
          <w:marRight w:val="0"/>
          <w:marTop w:val="0"/>
          <w:marBottom w:val="0"/>
          <w:divBdr>
            <w:top w:val="none" w:sz="0" w:space="0" w:color="auto"/>
            <w:left w:val="none" w:sz="0" w:space="0" w:color="auto"/>
            <w:bottom w:val="none" w:sz="0" w:space="0" w:color="auto"/>
            <w:right w:val="none" w:sz="0" w:space="0" w:color="auto"/>
          </w:divBdr>
          <w:divsChild>
            <w:div w:id="1725712505">
              <w:marLeft w:val="0"/>
              <w:marRight w:val="0"/>
              <w:marTop w:val="0"/>
              <w:marBottom w:val="0"/>
              <w:divBdr>
                <w:top w:val="none" w:sz="0" w:space="0" w:color="auto"/>
                <w:left w:val="none" w:sz="0" w:space="0" w:color="auto"/>
                <w:bottom w:val="none" w:sz="0" w:space="0" w:color="auto"/>
                <w:right w:val="none" w:sz="0" w:space="0" w:color="auto"/>
              </w:divBdr>
            </w:div>
          </w:divsChild>
        </w:div>
        <w:div w:id="1044401934">
          <w:marLeft w:val="0"/>
          <w:marRight w:val="0"/>
          <w:marTop w:val="0"/>
          <w:marBottom w:val="0"/>
          <w:divBdr>
            <w:top w:val="none" w:sz="0" w:space="0" w:color="auto"/>
            <w:left w:val="none" w:sz="0" w:space="0" w:color="auto"/>
            <w:bottom w:val="none" w:sz="0" w:space="0" w:color="auto"/>
            <w:right w:val="none" w:sz="0" w:space="0" w:color="auto"/>
          </w:divBdr>
          <w:divsChild>
            <w:div w:id="1560675056">
              <w:marLeft w:val="0"/>
              <w:marRight w:val="0"/>
              <w:marTop w:val="0"/>
              <w:marBottom w:val="0"/>
              <w:divBdr>
                <w:top w:val="none" w:sz="0" w:space="0" w:color="auto"/>
                <w:left w:val="none" w:sz="0" w:space="0" w:color="auto"/>
                <w:bottom w:val="none" w:sz="0" w:space="0" w:color="auto"/>
                <w:right w:val="none" w:sz="0" w:space="0" w:color="auto"/>
              </w:divBdr>
            </w:div>
          </w:divsChild>
        </w:div>
        <w:div w:id="302740022">
          <w:marLeft w:val="0"/>
          <w:marRight w:val="0"/>
          <w:marTop w:val="0"/>
          <w:marBottom w:val="0"/>
          <w:divBdr>
            <w:top w:val="none" w:sz="0" w:space="0" w:color="auto"/>
            <w:left w:val="none" w:sz="0" w:space="0" w:color="auto"/>
            <w:bottom w:val="none" w:sz="0" w:space="0" w:color="auto"/>
            <w:right w:val="none" w:sz="0" w:space="0" w:color="auto"/>
          </w:divBdr>
          <w:divsChild>
            <w:div w:id="181293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14123">
      <w:bodyDiv w:val="1"/>
      <w:marLeft w:val="0"/>
      <w:marRight w:val="0"/>
      <w:marTop w:val="0"/>
      <w:marBottom w:val="0"/>
      <w:divBdr>
        <w:top w:val="none" w:sz="0" w:space="0" w:color="auto"/>
        <w:left w:val="none" w:sz="0" w:space="0" w:color="auto"/>
        <w:bottom w:val="none" w:sz="0" w:space="0" w:color="auto"/>
        <w:right w:val="none" w:sz="0" w:space="0" w:color="auto"/>
      </w:divBdr>
    </w:div>
    <w:div w:id="609051545">
      <w:bodyDiv w:val="1"/>
      <w:marLeft w:val="0"/>
      <w:marRight w:val="0"/>
      <w:marTop w:val="0"/>
      <w:marBottom w:val="0"/>
      <w:divBdr>
        <w:top w:val="none" w:sz="0" w:space="0" w:color="auto"/>
        <w:left w:val="none" w:sz="0" w:space="0" w:color="auto"/>
        <w:bottom w:val="none" w:sz="0" w:space="0" w:color="auto"/>
        <w:right w:val="none" w:sz="0" w:space="0" w:color="auto"/>
      </w:divBdr>
      <w:divsChild>
        <w:div w:id="449126450">
          <w:marLeft w:val="0"/>
          <w:marRight w:val="0"/>
          <w:marTop w:val="0"/>
          <w:marBottom w:val="0"/>
          <w:divBdr>
            <w:top w:val="none" w:sz="0" w:space="0" w:color="auto"/>
            <w:left w:val="none" w:sz="0" w:space="0" w:color="auto"/>
            <w:bottom w:val="none" w:sz="0" w:space="0" w:color="auto"/>
            <w:right w:val="none" w:sz="0" w:space="0" w:color="auto"/>
          </w:divBdr>
          <w:divsChild>
            <w:div w:id="1545171887">
              <w:marLeft w:val="0"/>
              <w:marRight w:val="0"/>
              <w:marTop w:val="0"/>
              <w:marBottom w:val="0"/>
              <w:divBdr>
                <w:top w:val="none" w:sz="0" w:space="0" w:color="auto"/>
                <w:left w:val="none" w:sz="0" w:space="0" w:color="auto"/>
                <w:bottom w:val="none" w:sz="0" w:space="0" w:color="auto"/>
                <w:right w:val="none" w:sz="0" w:space="0" w:color="auto"/>
              </w:divBdr>
            </w:div>
          </w:divsChild>
        </w:div>
        <w:div w:id="856770103">
          <w:marLeft w:val="0"/>
          <w:marRight w:val="0"/>
          <w:marTop w:val="0"/>
          <w:marBottom w:val="0"/>
          <w:divBdr>
            <w:top w:val="none" w:sz="0" w:space="0" w:color="auto"/>
            <w:left w:val="none" w:sz="0" w:space="0" w:color="auto"/>
            <w:bottom w:val="none" w:sz="0" w:space="0" w:color="auto"/>
            <w:right w:val="none" w:sz="0" w:space="0" w:color="auto"/>
          </w:divBdr>
          <w:divsChild>
            <w:div w:id="715667564">
              <w:marLeft w:val="0"/>
              <w:marRight w:val="0"/>
              <w:marTop w:val="0"/>
              <w:marBottom w:val="0"/>
              <w:divBdr>
                <w:top w:val="none" w:sz="0" w:space="0" w:color="auto"/>
                <w:left w:val="none" w:sz="0" w:space="0" w:color="auto"/>
                <w:bottom w:val="none" w:sz="0" w:space="0" w:color="auto"/>
                <w:right w:val="none" w:sz="0" w:space="0" w:color="auto"/>
              </w:divBdr>
            </w:div>
          </w:divsChild>
        </w:div>
        <w:div w:id="1595165592">
          <w:marLeft w:val="0"/>
          <w:marRight w:val="0"/>
          <w:marTop w:val="0"/>
          <w:marBottom w:val="0"/>
          <w:divBdr>
            <w:top w:val="none" w:sz="0" w:space="0" w:color="auto"/>
            <w:left w:val="none" w:sz="0" w:space="0" w:color="auto"/>
            <w:bottom w:val="none" w:sz="0" w:space="0" w:color="auto"/>
            <w:right w:val="none" w:sz="0" w:space="0" w:color="auto"/>
          </w:divBdr>
          <w:divsChild>
            <w:div w:id="153446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963797">
      <w:bodyDiv w:val="1"/>
      <w:marLeft w:val="0"/>
      <w:marRight w:val="0"/>
      <w:marTop w:val="0"/>
      <w:marBottom w:val="0"/>
      <w:divBdr>
        <w:top w:val="none" w:sz="0" w:space="0" w:color="auto"/>
        <w:left w:val="none" w:sz="0" w:space="0" w:color="auto"/>
        <w:bottom w:val="none" w:sz="0" w:space="0" w:color="auto"/>
        <w:right w:val="none" w:sz="0" w:space="0" w:color="auto"/>
      </w:divBdr>
    </w:div>
    <w:div w:id="635647612">
      <w:bodyDiv w:val="1"/>
      <w:marLeft w:val="0"/>
      <w:marRight w:val="0"/>
      <w:marTop w:val="0"/>
      <w:marBottom w:val="0"/>
      <w:divBdr>
        <w:top w:val="none" w:sz="0" w:space="0" w:color="auto"/>
        <w:left w:val="none" w:sz="0" w:space="0" w:color="auto"/>
        <w:bottom w:val="none" w:sz="0" w:space="0" w:color="auto"/>
        <w:right w:val="none" w:sz="0" w:space="0" w:color="auto"/>
      </w:divBdr>
      <w:divsChild>
        <w:div w:id="1862667620">
          <w:marLeft w:val="0"/>
          <w:marRight w:val="0"/>
          <w:marTop w:val="0"/>
          <w:marBottom w:val="0"/>
          <w:divBdr>
            <w:top w:val="none" w:sz="0" w:space="0" w:color="auto"/>
            <w:left w:val="none" w:sz="0" w:space="0" w:color="auto"/>
            <w:bottom w:val="none" w:sz="0" w:space="0" w:color="auto"/>
            <w:right w:val="none" w:sz="0" w:space="0" w:color="auto"/>
          </w:divBdr>
          <w:divsChild>
            <w:div w:id="404955471">
              <w:marLeft w:val="0"/>
              <w:marRight w:val="0"/>
              <w:marTop w:val="0"/>
              <w:marBottom w:val="0"/>
              <w:divBdr>
                <w:top w:val="none" w:sz="0" w:space="0" w:color="auto"/>
                <w:left w:val="none" w:sz="0" w:space="0" w:color="auto"/>
                <w:bottom w:val="none" w:sz="0" w:space="0" w:color="auto"/>
                <w:right w:val="none" w:sz="0" w:space="0" w:color="auto"/>
              </w:divBdr>
            </w:div>
          </w:divsChild>
        </w:div>
        <w:div w:id="1519660114">
          <w:marLeft w:val="0"/>
          <w:marRight w:val="0"/>
          <w:marTop w:val="0"/>
          <w:marBottom w:val="0"/>
          <w:divBdr>
            <w:top w:val="none" w:sz="0" w:space="0" w:color="auto"/>
            <w:left w:val="none" w:sz="0" w:space="0" w:color="auto"/>
            <w:bottom w:val="none" w:sz="0" w:space="0" w:color="auto"/>
            <w:right w:val="none" w:sz="0" w:space="0" w:color="auto"/>
          </w:divBdr>
          <w:divsChild>
            <w:div w:id="1330140051">
              <w:marLeft w:val="0"/>
              <w:marRight w:val="0"/>
              <w:marTop w:val="0"/>
              <w:marBottom w:val="0"/>
              <w:divBdr>
                <w:top w:val="none" w:sz="0" w:space="0" w:color="auto"/>
                <w:left w:val="none" w:sz="0" w:space="0" w:color="auto"/>
                <w:bottom w:val="none" w:sz="0" w:space="0" w:color="auto"/>
                <w:right w:val="none" w:sz="0" w:space="0" w:color="auto"/>
              </w:divBdr>
            </w:div>
          </w:divsChild>
        </w:div>
        <w:div w:id="483736458">
          <w:marLeft w:val="0"/>
          <w:marRight w:val="0"/>
          <w:marTop w:val="0"/>
          <w:marBottom w:val="0"/>
          <w:divBdr>
            <w:top w:val="none" w:sz="0" w:space="0" w:color="auto"/>
            <w:left w:val="none" w:sz="0" w:space="0" w:color="auto"/>
            <w:bottom w:val="none" w:sz="0" w:space="0" w:color="auto"/>
            <w:right w:val="none" w:sz="0" w:space="0" w:color="auto"/>
          </w:divBdr>
          <w:divsChild>
            <w:div w:id="1542399937">
              <w:marLeft w:val="0"/>
              <w:marRight w:val="0"/>
              <w:marTop w:val="0"/>
              <w:marBottom w:val="0"/>
              <w:divBdr>
                <w:top w:val="none" w:sz="0" w:space="0" w:color="auto"/>
                <w:left w:val="none" w:sz="0" w:space="0" w:color="auto"/>
                <w:bottom w:val="none" w:sz="0" w:space="0" w:color="auto"/>
                <w:right w:val="none" w:sz="0" w:space="0" w:color="auto"/>
              </w:divBdr>
            </w:div>
          </w:divsChild>
        </w:div>
        <w:div w:id="1538397156">
          <w:marLeft w:val="0"/>
          <w:marRight w:val="0"/>
          <w:marTop w:val="0"/>
          <w:marBottom w:val="0"/>
          <w:divBdr>
            <w:top w:val="none" w:sz="0" w:space="0" w:color="auto"/>
            <w:left w:val="none" w:sz="0" w:space="0" w:color="auto"/>
            <w:bottom w:val="none" w:sz="0" w:space="0" w:color="auto"/>
            <w:right w:val="none" w:sz="0" w:space="0" w:color="auto"/>
          </w:divBdr>
          <w:divsChild>
            <w:div w:id="6938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540404">
      <w:bodyDiv w:val="1"/>
      <w:marLeft w:val="0"/>
      <w:marRight w:val="0"/>
      <w:marTop w:val="0"/>
      <w:marBottom w:val="0"/>
      <w:divBdr>
        <w:top w:val="none" w:sz="0" w:space="0" w:color="auto"/>
        <w:left w:val="none" w:sz="0" w:space="0" w:color="auto"/>
        <w:bottom w:val="none" w:sz="0" w:space="0" w:color="auto"/>
        <w:right w:val="none" w:sz="0" w:space="0" w:color="auto"/>
      </w:divBdr>
    </w:div>
    <w:div w:id="638077140">
      <w:bodyDiv w:val="1"/>
      <w:marLeft w:val="0"/>
      <w:marRight w:val="0"/>
      <w:marTop w:val="0"/>
      <w:marBottom w:val="0"/>
      <w:divBdr>
        <w:top w:val="none" w:sz="0" w:space="0" w:color="auto"/>
        <w:left w:val="none" w:sz="0" w:space="0" w:color="auto"/>
        <w:bottom w:val="none" w:sz="0" w:space="0" w:color="auto"/>
        <w:right w:val="none" w:sz="0" w:space="0" w:color="auto"/>
      </w:divBdr>
      <w:divsChild>
        <w:div w:id="1591815339">
          <w:marLeft w:val="0"/>
          <w:marRight w:val="0"/>
          <w:marTop w:val="0"/>
          <w:marBottom w:val="0"/>
          <w:divBdr>
            <w:top w:val="none" w:sz="0" w:space="0" w:color="auto"/>
            <w:left w:val="none" w:sz="0" w:space="0" w:color="auto"/>
            <w:bottom w:val="none" w:sz="0" w:space="0" w:color="auto"/>
            <w:right w:val="none" w:sz="0" w:space="0" w:color="auto"/>
          </w:divBdr>
          <w:divsChild>
            <w:div w:id="666640268">
              <w:marLeft w:val="0"/>
              <w:marRight w:val="0"/>
              <w:marTop w:val="0"/>
              <w:marBottom w:val="0"/>
              <w:divBdr>
                <w:top w:val="none" w:sz="0" w:space="0" w:color="auto"/>
                <w:left w:val="none" w:sz="0" w:space="0" w:color="auto"/>
                <w:bottom w:val="none" w:sz="0" w:space="0" w:color="auto"/>
                <w:right w:val="none" w:sz="0" w:space="0" w:color="auto"/>
              </w:divBdr>
            </w:div>
          </w:divsChild>
        </w:div>
        <w:div w:id="249504732">
          <w:marLeft w:val="0"/>
          <w:marRight w:val="0"/>
          <w:marTop w:val="0"/>
          <w:marBottom w:val="0"/>
          <w:divBdr>
            <w:top w:val="none" w:sz="0" w:space="0" w:color="auto"/>
            <w:left w:val="none" w:sz="0" w:space="0" w:color="auto"/>
            <w:bottom w:val="none" w:sz="0" w:space="0" w:color="auto"/>
            <w:right w:val="none" w:sz="0" w:space="0" w:color="auto"/>
          </w:divBdr>
          <w:divsChild>
            <w:div w:id="978995075">
              <w:marLeft w:val="0"/>
              <w:marRight w:val="0"/>
              <w:marTop w:val="0"/>
              <w:marBottom w:val="0"/>
              <w:divBdr>
                <w:top w:val="none" w:sz="0" w:space="0" w:color="auto"/>
                <w:left w:val="none" w:sz="0" w:space="0" w:color="auto"/>
                <w:bottom w:val="none" w:sz="0" w:space="0" w:color="auto"/>
                <w:right w:val="none" w:sz="0" w:space="0" w:color="auto"/>
              </w:divBdr>
            </w:div>
          </w:divsChild>
        </w:div>
        <w:div w:id="1891382741">
          <w:marLeft w:val="0"/>
          <w:marRight w:val="0"/>
          <w:marTop w:val="0"/>
          <w:marBottom w:val="0"/>
          <w:divBdr>
            <w:top w:val="none" w:sz="0" w:space="0" w:color="auto"/>
            <w:left w:val="none" w:sz="0" w:space="0" w:color="auto"/>
            <w:bottom w:val="none" w:sz="0" w:space="0" w:color="auto"/>
            <w:right w:val="none" w:sz="0" w:space="0" w:color="auto"/>
          </w:divBdr>
          <w:divsChild>
            <w:div w:id="1285889366">
              <w:marLeft w:val="0"/>
              <w:marRight w:val="0"/>
              <w:marTop w:val="0"/>
              <w:marBottom w:val="0"/>
              <w:divBdr>
                <w:top w:val="none" w:sz="0" w:space="0" w:color="auto"/>
                <w:left w:val="none" w:sz="0" w:space="0" w:color="auto"/>
                <w:bottom w:val="none" w:sz="0" w:space="0" w:color="auto"/>
                <w:right w:val="none" w:sz="0" w:space="0" w:color="auto"/>
              </w:divBdr>
            </w:div>
          </w:divsChild>
        </w:div>
        <w:div w:id="672953750">
          <w:marLeft w:val="0"/>
          <w:marRight w:val="0"/>
          <w:marTop w:val="0"/>
          <w:marBottom w:val="0"/>
          <w:divBdr>
            <w:top w:val="none" w:sz="0" w:space="0" w:color="auto"/>
            <w:left w:val="none" w:sz="0" w:space="0" w:color="auto"/>
            <w:bottom w:val="none" w:sz="0" w:space="0" w:color="auto"/>
            <w:right w:val="none" w:sz="0" w:space="0" w:color="auto"/>
          </w:divBdr>
          <w:divsChild>
            <w:div w:id="90853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64486">
      <w:bodyDiv w:val="1"/>
      <w:marLeft w:val="0"/>
      <w:marRight w:val="0"/>
      <w:marTop w:val="0"/>
      <w:marBottom w:val="0"/>
      <w:divBdr>
        <w:top w:val="none" w:sz="0" w:space="0" w:color="auto"/>
        <w:left w:val="none" w:sz="0" w:space="0" w:color="auto"/>
        <w:bottom w:val="none" w:sz="0" w:space="0" w:color="auto"/>
        <w:right w:val="none" w:sz="0" w:space="0" w:color="auto"/>
      </w:divBdr>
    </w:div>
    <w:div w:id="650597893">
      <w:bodyDiv w:val="1"/>
      <w:marLeft w:val="0"/>
      <w:marRight w:val="0"/>
      <w:marTop w:val="0"/>
      <w:marBottom w:val="0"/>
      <w:divBdr>
        <w:top w:val="none" w:sz="0" w:space="0" w:color="auto"/>
        <w:left w:val="none" w:sz="0" w:space="0" w:color="auto"/>
        <w:bottom w:val="none" w:sz="0" w:space="0" w:color="auto"/>
        <w:right w:val="none" w:sz="0" w:space="0" w:color="auto"/>
      </w:divBdr>
    </w:div>
    <w:div w:id="659190101">
      <w:bodyDiv w:val="1"/>
      <w:marLeft w:val="0"/>
      <w:marRight w:val="0"/>
      <w:marTop w:val="0"/>
      <w:marBottom w:val="0"/>
      <w:divBdr>
        <w:top w:val="none" w:sz="0" w:space="0" w:color="auto"/>
        <w:left w:val="none" w:sz="0" w:space="0" w:color="auto"/>
        <w:bottom w:val="none" w:sz="0" w:space="0" w:color="auto"/>
        <w:right w:val="none" w:sz="0" w:space="0" w:color="auto"/>
      </w:divBdr>
    </w:div>
    <w:div w:id="664167032">
      <w:bodyDiv w:val="1"/>
      <w:marLeft w:val="0"/>
      <w:marRight w:val="0"/>
      <w:marTop w:val="0"/>
      <w:marBottom w:val="0"/>
      <w:divBdr>
        <w:top w:val="none" w:sz="0" w:space="0" w:color="auto"/>
        <w:left w:val="none" w:sz="0" w:space="0" w:color="auto"/>
        <w:bottom w:val="none" w:sz="0" w:space="0" w:color="auto"/>
        <w:right w:val="none" w:sz="0" w:space="0" w:color="auto"/>
      </w:divBdr>
    </w:div>
    <w:div w:id="674379812">
      <w:bodyDiv w:val="1"/>
      <w:marLeft w:val="0"/>
      <w:marRight w:val="0"/>
      <w:marTop w:val="0"/>
      <w:marBottom w:val="0"/>
      <w:divBdr>
        <w:top w:val="none" w:sz="0" w:space="0" w:color="auto"/>
        <w:left w:val="none" w:sz="0" w:space="0" w:color="auto"/>
        <w:bottom w:val="none" w:sz="0" w:space="0" w:color="auto"/>
        <w:right w:val="none" w:sz="0" w:space="0" w:color="auto"/>
      </w:divBdr>
      <w:divsChild>
        <w:div w:id="845704476">
          <w:marLeft w:val="0"/>
          <w:marRight w:val="0"/>
          <w:marTop w:val="0"/>
          <w:marBottom w:val="0"/>
          <w:divBdr>
            <w:top w:val="none" w:sz="0" w:space="0" w:color="auto"/>
            <w:left w:val="none" w:sz="0" w:space="0" w:color="auto"/>
            <w:bottom w:val="none" w:sz="0" w:space="0" w:color="auto"/>
            <w:right w:val="none" w:sz="0" w:space="0" w:color="auto"/>
          </w:divBdr>
          <w:divsChild>
            <w:div w:id="1835488256">
              <w:marLeft w:val="0"/>
              <w:marRight w:val="0"/>
              <w:marTop w:val="0"/>
              <w:marBottom w:val="0"/>
              <w:divBdr>
                <w:top w:val="none" w:sz="0" w:space="0" w:color="auto"/>
                <w:left w:val="none" w:sz="0" w:space="0" w:color="auto"/>
                <w:bottom w:val="none" w:sz="0" w:space="0" w:color="auto"/>
                <w:right w:val="none" w:sz="0" w:space="0" w:color="auto"/>
              </w:divBdr>
            </w:div>
          </w:divsChild>
        </w:div>
        <w:div w:id="888806554">
          <w:marLeft w:val="0"/>
          <w:marRight w:val="0"/>
          <w:marTop w:val="0"/>
          <w:marBottom w:val="0"/>
          <w:divBdr>
            <w:top w:val="none" w:sz="0" w:space="0" w:color="auto"/>
            <w:left w:val="none" w:sz="0" w:space="0" w:color="auto"/>
            <w:bottom w:val="none" w:sz="0" w:space="0" w:color="auto"/>
            <w:right w:val="none" w:sz="0" w:space="0" w:color="auto"/>
          </w:divBdr>
          <w:divsChild>
            <w:div w:id="2026248041">
              <w:marLeft w:val="0"/>
              <w:marRight w:val="0"/>
              <w:marTop w:val="0"/>
              <w:marBottom w:val="0"/>
              <w:divBdr>
                <w:top w:val="none" w:sz="0" w:space="0" w:color="auto"/>
                <w:left w:val="none" w:sz="0" w:space="0" w:color="auto"/>
                <w:bottom w:val="none" w:sz="0" w:space="0" w:color="auto"/>
                <w:right w:val="none" w:sz="0" w:space="0" w:color="auto"/>
              </w:divBdr>
            </w:div>
          </w:divsChild>
        </w:div>
        <w:div w:id="948774962">
          <w:marLeft w:val="0"/>
          <w:marRight w:val="0"/>
          <w:marTop w:val="0"/>
          <w:marBottom w:val="0"/>
          <w:divBdr>
            <w:top w:val="none" w:sz="0" w:space="0" w:color="auto"/>
            <w:left w:val="none" w:sz="0" w:space="0" w:color="auto"/>
            <w:bottom w:val="none" w:sz="0" w:space="0" w:color="auto"/>
            <w:right w:val="none" w:sz="0" w:space="0" w:color="auto"/>
          </w:divBdr>
          <w:divsChild>
            <w:div w:id="134108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23711">
      <w:bodyDiv w:val="1"/>
      <w:marLeft w:val="0"/>
      <w:marRight w:val="0"/>
      <w:marTop w:val="0"/>
      <w:marBottom w:val="0"/>
      <w:divBdr>
        <w:top w:val="none" w:sz="0" w:space="0" w:color="auto"/>
        <w:left w:val="none" w:sz="0" w:space="0" w:color="auto"/>
        <w:bottom w:val="none" w:sz="0" w:space="0" w:color="auto"/>
        <w:right w:val="none" w:sz="0" w:space="0" w:color="auto"/>
      </w:divBdr>
    </w:div>
    <w:div w:id="682247529">
      <w:bodyDiv w:val="1"/>
      <w:marLeft w:val="0"/>
      <w:marRight w:val="0"/>
      <w:marTop w:val="0"/>
      <w:marBottom w:val="0"/>
      <w:divBdr>
        <w:top w:val="none" w:sz="0" w:space="0" w:color="auto"/>
        <w:left w:val="none" w:sz="0" w:space="0" w:color="auto"/>
        <w:bottom w:val="none" w:sz="0" w:space="0" w:color="auto"/>
        <w:right w:val="none" w:sz="0" w:space="0" w:color="auto"/>
      </w:divBdr>
      <w:divsChild>
        <w:div w:id="364524245">
          <w:marLeft w:val="0"/>
          <w:marRight w:val="0"/>
          <w:marTop w:val="0"/>
          <w:marBottom w:val="0"/>
          <w:divBdr>
            <w:top w:val="none" w:sz="0" w:space="0" w:color="auto"/>
            <w:left w:val="none" w:sz="0" w:space="0" w:color="auto"/>
            <w:bottom w:val="none" w:sz="0" w:space="0" w:color="auto"/>
            <w:right w:val="none" w:sz="0" w:space="0" w:color="auto"/>
          </w:divBdr>
          <w:divsChild>
            <w:div w:id="1964144138">
              <w:marLeft w:val="0"/>
              <w:marRight w:val="0"/>
              <w:marTop w:val="0"/>
              <w:marBottom w:val="0"/>
              <w:divBdr>
                <w:top w:val="none" w:sz="0" w:space="0" w:color="auto"/>
                <w:left w:val="none" w:sz="0" w:space="0" w:color="auto"/>
                <w:bottom w:val="none" w:sz="0" w:space="0" w:color="auto"/>
                <w:right w:val="none" w:sz="0" w:space="0" w:color="auto"/>
              </w:divBdr>
            </w:div>
          </w:divsChild>
        </w:div>
        <w:div w:id="253132264">
          <w:marLeft w:val="0"/>
          <w:marRight w:val="0"/>
          <w:marTop w:val="0"/>
          <w:marBottom w:val="0"/>
          <w:divBdr>
            <w:top w:val="none" w:sz="0" w:space="0" w:color="auto"/>
            <w:left w:val="none" w:sz="0" w:space="0" w:color="auto"/>
            <w:bottom w:val="none" w:sz="0" w:space="0" w:color="auto"/>
            <w:right w:val="none" w:sz="0" w:space="0" w:color="auto"/>
          </w:divBdr>
          <w:divsChild>
            <w:div w:id="679739956">
              <w:marLeft w:val="0"/>
              <w:marRight w:val="0"/>
              <w:marTop w:val="0"/>
              <w:marBottom w:val="0"/>
              <w:divBdr>
                <w:top w:val="none" w:sz="0" w:space="0" w:color="auto"/>
                <w:left w:val="none" w:sz="0" w:space="0" w:color="auto"/>
                <w:bottom w:val="none" w:sz="0" w:space="0" w:color="auto"/>
                <w:right w:val="none" w:sz="0" w:space="0" w:color="auto"/>
              </w:divBdr>
            </w:div>
          </w:divsChild>
        </w:div>
        <w:div w:id="620117215">
          <w:marLeft w:val="0"/>
          <w:marRight w:val="0"/>
          <w:marTop w:val="0"/>
          <w:marBottom w:val="0"/>
          <w:divBdr>
            <w:top w:val="none" w:sz="0" w:space="0" w:color="auto"/>
            <w:left w:val="none" w:sz="0" w:space="0" w:color="auto"/>
            <w:bottom w:val="none" w:sz="0" w:space="0" w:color="auto"/>
            <w:right w:val="none" w:sz="0" w:space="0" w:color="auto"/>
          </w:divBdr>
          <w:divsChild>
            <w:div w:id="1563639376">
              <w:marLeft w:val="0"/>
              <w:marRight w:val="0"/>
              <w:marTop w:val="0"/>
              <w:marBottom w:val="0"/>
              <w:divBdr>
                <w:top w:val="none" w:sz="0" w:space="0" w:color="auto"/>
                <w:left w:val="none" w:sz="0" w:space="0" w:color="auto"/>
                <w:bottom w:val="none" w:sz="0" w:space="0" w:color="auto"/>
                <w:right w:val="none" w:sz="0" w:space="0" w:color="auto"/>
              </w:divBdr>
            </w:div>
          </w:divsChild>
        </w:div>
        <w:div w:id="2018992340">
          <w:marLeft w:val="0"/>
          <w:marRight w:val="0"/>
          <w:marTop w:val="0"/>
          <w:marBottom w:val="0"/>
          <w:divBdr>
            <w:top w:val="none" w:sz="0" w:space="0" w:color="auto"/>
            <w:left w:val="none" w:sz="0" w:space="0" w:color="auto"/>
            <w:bottom w:val="none" w:sz="0" w:space="0" w:color="auto"/>
            <w:right w:val="none" w:sz="0" w:space="0" w:color="auto"/>
          </w:divBdr>
          <w:divsChild>
            <w:div w:id="1465587607">
              <w:marLeft w:val="0"/>
              <w:marRight w:val="0"/>
              <w:marTop w:val="0"/>
              <w:marBottom w:val="0"/>
              <w:divBdr>
                <w:top w:val="none" w:sz="0" w:space="0" w:color="auto"/>
                <w:left w:val="none" w:sz="0" w:space="0" w:color="auto"/>
                <w:bottom w:val="none" w:sz="0" w:space="0" w:color="auto"/>
                <w:right w:val="none" w:sz="0" w:space="0" w:color="auto"/>
              </w:divBdr>
            </w:div>
          </w:divsChild>
        </w:div>
        <w:div w:id="1437754088">
          <w:marLeft w:val="0"/>
          <w:marRight w:val="0"/>
          <w:marTop w:val="0"/>
          <w:marBottom w:val="0"/>
          <w:divBdr>
            <w:top w:val="none" w:sz="0" w:space="0" w:color="auto"/>
            <w:left w:val="none" w:sz="0" w:space="0" w:color="auto"/>
            <w:bottom w:val="none" w:sz="0" w:space="0" w:color="auto"/>
            <w:right w:val="none" w:sz="0" w:space="0" w:color="auto"/>
          </w:divBdr>
          <w:divsChild>
            <w:div w:id="929242466">
              <w:marLeft w:val="0"/>
              <w:marRight w:val="0"/>
              <w:marTop w:val="0"/>
              <w:marBottom w:val="0"/>
              <w:divBdr>
                <w:top w:val="none" w:sz="0" w:space="0" w:color="auto"/>
                <w:left w:val="none" w:sz="0" w:space="0" w:color="auto"/>
                <w:bottom w:val="none" w:sz="0" w:space="0" w:color="auto"/>
                <w:right w:val="none" w:sz="0" w:space="0" w:color="auto"/>
              </w:divBdr>
            </w:div>
          </w:divsChild>
        </w:div>
        <w:div w:id="959645875">
          <w:marLeft w:val="0"/>
          <w:marRight w:val="0"/>
          <w:marTop w:val="0"/>
          <w:marBottom w:val="0"/>
          <w:divBdr>
            <w:top w:val="none" w:sz="0" w:space="0" w:color="auto"/>
            <w:left w:val="none" w:sz="0" w:space="0" w:color="auto"/>
            <w:bottom w:val="none" w:sz="0" w:space="0" w:color="auto"/>
            <w:right w:val="none" w:sz="0" w:space="0" w:color="auto"/>
          </w:divBdr>
          <w:divsChild>
            <w:div w:id="241567996">
              <w:marLeft w:val="0"/>
              <w:marRight w:val="0"/>
              <w:marTop w:val="0"/>
              <w:marBottom w:val="0"/>
              <w:divBdr>
                <w:top w:val="none" w:sz="0" w:space="0" w:color="auto"/>
                <w:left w:val="none" w:sz="0" w:space="0" w:color="auto"/>
                <w:bottom w:val="none" w:sz="0" w:space="0" w:color="auto"/>
                <w:right w:val="none" w:sz="0" w:space="0" w:color="auto"/>
              </w:divBdr>
            </w:div>
          </w:divsChild>
        </w:div>
        <w:div w:id="1650014816">
          <w:marLeft w:val="0"/>
          <w:marRight w:val="0"/>
          <w:marTop w:val="0"/>
          <w:marBottom w:val="0"/>
          <w:divBdr>
            <w:top w:val="none" w:sz="0" w:space="0" w:color="auto"/>
            <w:left w:val="none" w:sz="0" w:space="0" w:color="auto"/>
            <w:bottom w:val="none" w:sz="0" w:space="0" w:color="auto"/>
            <w:right w:val="none" w:sz="0" w:space="0" w:color="auto"/>
          </w:divBdr>
          <w:divsChild>
            <w:div w:id="1200585692">
              <w:marLeft w:val="0"/>
              <w:marRight w:val="0"/>
              <w:marTop w:val="0"/>
              <w:marBottom w:val="0"/>
              <w:divBdr>
                <w:top w:val="none" w:sz="0" w:space="0" w:color="auto"/>
                <w:left w:val="none" w:sz="0" w:space="0" w:color="auto"/>
                <w:bottom w:val="none" w:sz="0" w:space="0" w:color="auto"/>
                <w:right w:val="none" w:sz="0" w:space="0" w:color="auto"/>
              </w:divBdr>
            </w:div>
          </w:divsChild>
        </w:div>
        <w:div w:id="1570075413">
          <w:marLeft w:val="0"/>
          <w:marRight w:val="0"/>
          <w:marTop w:val="0"/>
          <w:marBottom w:val="0"/>
          <w:divBdr>
            <w:top w:val="none" w:sz="0" w:space="0" w:color="auto"/>
            <w:left w:val="none" w:sz="0" w:space="0" w:color="auto"/>
            <w:bottom w:val="none" w:sz="0" w:space="0" w:color="auto"/>
            <w:right w:val="none" w:sz="0" w:space="0" w:color="auto"/>
          </w:divBdr>
          <w:divsChild>
            <w:div w:id="74010939">
              <w:marLeft w:val="0"/>
              <w:marRight w:val="0"/>
              <w:marTop w:val="0"/>
              <w:marBottom w:val="0"/>
              <w:divBdr>
                <w:top w:val="none" w:sz="0" w:space="0" w:color="auto"/>
                <w:left w:val="none" w:sz="0" w:space="0" w:color="auto"/>
                <w:bottom w:val="none" w:sz="0" w:space="0" w:color="auto"/>
                <w:right w:val="none" w:sz="0" w:space="0" w:color="auto"/>
              </w:divBdr>
            </w:div>
          </w:divsChild>
        </w:div>
        <w:div w:id="1573274765">
          <w:marLeft w:val="0"/>
          <w:marRight w:val="0"/>
          <w:marTop w:val="0"/>
          <w:marBottom w:val="0"/>
          <w:divBdr>
            <w:top w:val="none" w:sz="0" w:space="0" w:color="auto"/>
            <w:left w:val="none" w:sz="0" w:space="0" w:color="auto"/>
            <w:bottom w:val="none" w:sz="0" w:space="0" w:color="auto"/>
            <w:right w:val="none" w:sz="0" w:space="0" w:color="auto"/>
          </w:divBdr>
          <w:divsChild>
            <w:div w:id="545526971">
              <w:marLeft w:val="0"/>
              <w:marRight w:val="0"/>
              <w:marTop w:val="0"/>
              <w:marBottom w:val="0"/>
              <w:divBdr>
                <w:top w:val="none" w:sz="0" w:space="0" w:color="auto"/>
                <w:left w:val="none" w:sz="0" w:space="0" w:color="auto"/>
                <w:bottom w:val="none" w:sz="0" w:space="0" w:color="auto"/>
                <w:right w:val="none" w:sz="0" w:space="0" w:color="auto"/>
              </w:divBdr>
            </w:div>
          </w:divsChild>
        </w:div>
        <w:div w:id="1061059955">
          <w:marLeft w:val="0"/>
          <w:marRight w:val="0"/>
          <w:marTop w:val="0"/>
          <w:marBottom w:val="0"/>
          <w:divBdr>
            <w:top w:val="none" w:sz="0" w:space="0" w:color="auto"/>
            <w:left w:val="none" w:sz="0" w:space="0" w:color="auto"/>
            <w:bottom w:val="none" w:sz="0" w:space="0" w:color="auto"/>
            <w:right w:val="none" w:sz="0" w:space="0" w:color="auto"/>
          </w:divBdr>
          <w:divsChild>
            <w:div w:id="1922182065">
              <w:marLeft w:val="0"/>
              <w:marRight w:val="0"/>
              <w:marTop w:val="0"/>
              <w:marBottom w:val="0"/>
              <w:divBdr>
                <w:top w:val="none" w:sz="0" w:space="0" w:color="auto"/>
                <w:left w:val="none" w:sz="0" w:space="0" w:color="auto"/>
                <w:bottom w:val="none" w:sz="0" w:space="0" w:color="auto"/>
                <w:right w:val="none" w:sz="0" w:space="0" w:color="auto"/>
              </w:divBdr>
            </w:div>
          </w:divsChild>
        </w:div>
        <w:div w:id="438720054">
          <w:marLeft w:val="0"/>
          <w:marRight w:val="0"/>
          <w:marTop w:val="0"/>
          <w:marBottom w:val="0"/>
          <w:divBdr>
            <w:top w:val="none" w:sz="0" w:space="0" w:color="auto"/>
            <w:left w:val="none" w:sz="0" w:space="0" w:color="auto"/>
            <w:bottom w:val="none" w:sz="0" w:space="0" w:color="auto"/>
            <w:right w:val="none" w:sz="0" w:space="0" w:color="auto"/>
          </w:divBdr>
          <w:divsChild>
            <w:div w:id="1338926174">
              <w:marLeft w:val="0"/>
              <w:marRight w:val="0"/>
              <w:marTop w:val="0"/>
              <w:marBottom w:val="0"/>
              <w:divBdr>
                <w:top w:val="none" w:sz="0" w:space="0" w:color="auto"/>
                <w:left w:val="none" w:sz="0" w:space="0" w:color="auto"/>
                <w:bottom w:val="none" w:sz="0" w:space="0" w:color="auto"/>
                <w:right w:val="none" w:sz="0" w:space="0" w:color="auto"/>
              </w:divBdr>
            </w:div>
          </w:divsChild>
        </w:div>
        <w:div w:id="2081556045">
          <w:marLeft w:val="0"/>
          <w:marRight w:val="0"/>
          <w:marTop w:val="0"/>
          <w:marBottom w:val="0"/>
          <w:divBdr>
            <w:top w:val="none" w:sz="0" w:space="0" w:color="auto"/>
            <w:left w:val="none" w:sz="0" w:space="0" w:color="auto"/>
            <w:bottom w:val="none" w:sz="0" w:space="0" w:color="auto"/>
            <w:right w:val="none" w:sz="0" w:space="0" w:color="auto"/>
          </w:divBdr>
          <w:divsChild>
            <w:div w:id="1841458577">
              <w:marLeft w:val="0"/>
              <w:marRight w:val="0"/>
              <w:marTop w:val="0"/>
              <w:marBottom w:val="0"/>
              <w:divBdr>
                <w:top w:val="none" w:sz="0" w:space="0" w:color="auto"/>
                <w:left w:val="none" w:sz="0" w:space="0" w:color="auto"/>
                <w:bottom w:val="none" w:sz="0" w:space="0" w:color="auto"/>
                <w:right w:val="none" w:sz="0" w:space="0" w:color="auto"/>
              </w:divBdr>
            </w:div>
          </w:divsChild>
        </w:div>
        <w:div w:id="580020295">
          <w:marLeft w:val="0"/>
          <w:marRight w:val="0"/>
          <w:marTop w:val="0"/>
          <w:marBottom w:val="0"/>
          <w:divBdr>
            <w:top w:val="none" w:sz="0" w:space="0" w:color="auto"/>
            <w:left w:val="none" w:sz="0" w:space="0" w:color="auto"/>
            <w:bottom w:val="none" w:sz="0" w:space="0" w:color="auto"/>
            <w:right w:val="none" w:sz="0" w:space="0" w:color="auto"/>
          </w:divBdr>
          <w:divsChild>
            <w:div w:id="1297370165">
              <w:marLeft w:val="0"/>
              <w:marRight w:val="0"/>
              <w:marTop w:val="0"/>
              <w:marBottom w:val="0"/>
              <w:divBdr>
                <w:top w:val="none" w:sz="0" w:space="0" w:color="auto"/>
                <w:left w:val="none" w:sz="0" w:space="0" w:color="auto"/>
                <w:bottom w:val="none" w:sz="0" w:space="0" w:color="auto"/>
                <w:right w:val="none" w:sz="0" w:space="0" w:color="auto"/>
              </w:divBdr>
            </w:div>
          </w:divsChild>
        </w:div>
        <w:div w:id="1969429444">
          <w:marLeft w:val="0"/>
          <w:marRight w:val="0"/>
          <w:marTop w:val="0"/>
          <w:marBottom w:val="0"/>
          <w:divBdr>
            <w:top w:val="none" w:sz="0" w:space="0" w:color="auto"/>
            <w:left w:val="none" w:sz="0" w:space="0" w:color="auto"/>
            <w:bottom w:val="none" w:sz="0" w:space="0" w:color="auto"/>
            <w:right w:val="none" w:sz="0" w:space="0" w:color="auto"/>
          </w:divBdr>
          <w:divsChild>
            <w:div w:id="472411560">
              <w:marLeft w:val="0"/>
              <w:marRight w:val="0"/>
              <w:marTop w:val="0"/>
              <w:marBottom w:val="0"/>
              <w:divBdr>
                <w:top w:val="none" w:sz="0" w:space="0" w:color="auto"/>
                <w:left w:val="none" w:sz="0" w:space="0" w:color="auto"/>
                <w:bottom w:val="none" w:sz="0" w:space="0" w:color="auto"/>
                <w:right w:val="none" w:sz="0" w:space="0" w:color="auto"/>
              </w:divBdr>
            </w:div>
          </w:divsChild>
        </w:div>
        <w:div w:id="416290936">
          <w:marLeft w:val="0"/>
          <w:marRight w:val="0"/>
          <w:marTop w:val="0"/>
          <w:marBottom w:val="0"/>
          <w:divBdr>
            <w:top w:val="none" w:sz="0" w:space="0" w:color="auto"/>
            <w:left w:val="none" w:sz="0" w:space="0" w:color="auto"/>
            <w:bottom w:val="none" w:sz="0" w:space="0" w:color="auto"/>
            <w:right w:val="none" w:sz="0" w:space="0" w:color="auto"/>
          </w:divBdr>
          <w:divsChild>
            <w:div w:id="914362019">
              <w:marLeft w:val="0"/>
              <w:marRight w:val="0"/>
              <w:marTop w:val="0"/>
              <w:marBottom w:val="0"/>
              <w:divBdr>
                <w:top w:val="none" w:sz="0" w:space="0" w:color="auto"/>
                <w:left w:val="none" w:sz="0" w:space="0" w:color="auto"/>
                <w:bottom w:val="none" w:sz="0" w:space="0" w:color="auto"/>
                <w:right w:val="none" w:sz="0" w:space="0" w:color="auto"/>
              </w:divBdr>
            </w:div>
          </w:divsChild>
        </w:div>
        <w:div w:id="698356252">
          <w:marLeft w:val="0"/>
          <w:marRight w:val="0"/>
          <w:marTop w:val="0"/>
          <w:marBottom w:val="0"/>
          <w:divBdr>
            <w:top w:val="none" w:sz="0" w:space="0" w:color="auto"/>
            <w:left w:val="none" w:sz="0" w:space="0" w:color="auto"/>
            <w:bottom w:val="none" w:sz="0" w:space="0" w:color="auto"/>
            <w:right w:val="none" w:sz="0" w:space="0" w:color="auto"/>
          </w:divBdr>
          <w:divsChild>
            <w:div w:id="1441098720">
              <w:marLeft w:val="0"/>
              <w:marRight w:val="0"/>
              <w:marTop w:val="0"/>
              <w:marBottom w:val="0"/>
              <w:divBdr>
                <w:top w:val="none" w:sz="0" w:space="0" w:color="auto"/>
                <w:left w:val="none" w:sz="0" w:space="0" w:color="auto"/>
                <w:bottom w:val="none" w:sz="0" w:space="0" w:color="auto"/>
                <w:right w:val="none" w:sz="0" w:space="0" w:color="auto"/>
              </w:divBdr>
            </w:div>
          </w:divsChild>
        </w:div>
        <w:div w:id="622662466">
          <w:marLeft w:val="0"/>
          <w:marRight w:val="0"/>
          <w:marTop w:val="0"/>
          <w:marBottom w:val="0"/>
          <w:divBdr>
            <w:top w:val="none" w:sz="0" w:space="0" w:color="auto"/>
            <w:left w:val="none" w:sz="0" w:space="0" w:color="auto"/>
            <w:bottom w:val="none" w:sz="0" w:space="0" w:color="auto"/>
            <w:right w:val="none" w:sz="0" w:space="0" w:color="auto"/>
          </w:divBdr>
          <w:divsChild>
            <w:div w:id="1216551035">
              <w:marLeft w:val="0"/>
              <w:marRight w:val="0"/>
              <w:marTop w:val="0"/>
              <w:marBottom w:val="0"/>
              <w:divBdr>
                <w:top w:val="none" w:sz="0" w:space="0" w:color="auto"/>
                <w:left w:val="none" w:sz="0" w:space="0" w:color="auto"/>
                <w:bottom w:val="none" w:sz="0" w:space="0" w:color="auto"/>
                <w:right w:val="none" w:sz="0" w:space="0" w:color="auto"/>
              </w:divBdr>
            </w:div>
          </w:divsChild>
        </w:div>
        <w:div w:id="1380789421">
          <w:marLeft w:val="0"/>
          <w:marRight w:val="0"/>
          <w:marTop w:val="0"/>
          <w:marBottom w:val="0"/>
          <w:divBdr>
            <w:top w:val="none" w:sz="0" w:space="0" w:color="auto"/>
            <w:left w:val="none" w:sz="0" w:space="0" w:color="auto"/>
            <w:bottom w:val="none" w:sz="0" w:space="0" w:color="auto"/>
            <w:right w:val="none" w:sz="0" w:space="0" w:color="auto"/>
          </w:divBdr>
          <w:divsChild>
            <w:div w:id="1393653120">
              <w:marLeft w:val="0"/>
              <w:marRight w:val="0"/>
              <w:marTop w:val="0"/>
              <w:marBottom w:val="0"/>
              <w:divBdr>
                <w:top w:val="none" w:sz="0" w:space="0" w:color="auto"/>
                <w:left w:val="none" w:sz="0" w:space="0" w:color="auto"/>
                <w:bottom w:val="none" w:sz="0" w:space="0" w:color="auto"/>
                <w:right w:val="none" w:sz="0" w:space="0" w:color="auto"/>
              </w:divBdr>
            </w:div>
          </w:divsChild>
        </w:div>
        <w:div w:id="1847556532">
          <w:marLeft w:val="0"/>
          <w:marRight w:val="0"/>
          <w:marTop w:val="0"/>
          <w:marBottom w:val="0"/>
          <w:divBdr>
            <w:top w:val="none" w:sz="0" w:space="0" w:color="auto"/>
            <w:left w:val="none" w:sz="0" w:space="0" w:color="auto"/>
            <w:bottom w:val="none" w:sz="0" w:space="0" w:color="auto"/>
            <w:right w:val="none" w:sz="0" w:space="0" w:color="auto"/>
          </w:divBdr>
          <w:divsChild>
            <w:div w:id="1948996760">
              <w:marLeft w:val="0"/>
              <w:marRight w:val="0"/>
              <w:marTop w:val="0"/>
              <w:marBottom w:val="0"/>
              <w:divBdr>
                <w:top w:val="none" w:sz="0" w:space="0" w:color="auto"/>
                <w:left w:val="none" w:sz="0" w:space="0" w:color="auto"/>
                <w:bottom w:val="none" w:sz="0" w:space="0" w:color="auto"/>
                <w:right w:val="none" w:sz="0" w:space="0" w:color="auto"/>
              </w:divBdr>
            </w:div>
          </w:divsChild>
        </w:div>
        <w:div w:id="1337803998">
          <w:marLeft w:val="0"/>
          <w:marRight w:val="0"/>
          <w:marTop w:val="0"/>
          <w:marBottom w:val="0"/>
          <w:divBdr>
            <w:top w:val="none" w:sz="0" w:space="0" w:color="auto"/>
            <w:left w:val="none" w:sz="0" w:space="0" w:color="auto"/>
            <w:bottom w:val="none" w:sz="0" w:space="0" w:color="auto"/>
            <w:right w:val="none" w:sz="0" w:space="0" w:color="auto"/>
          </w:divBdr>
          <w:divsChild>
            <w:div w:id="531843246">
              <w:marLeft w:val="0"/>
              <w:marRight w:val="0"/>
              <w:marTop w:val="0"/>
              <w:marBottom w:val="0"/>
              <w:divBdr>
                <w:top w:val="none" w:sz="0" w:space="0" w:color="auto"/>
                <w:left w:val="none" w:sz="0" w:space="0" w:color="auto"/>
                <w:bottom w:val="none" w:sz="0" w:space="0" w:color="auto"/>
                <w:right w:val="none" w:sz="0" w:space="0" w:color="auto"/>
              </w:divBdr>
            </w:div>
          </w:divsChild>
        </w:div>
        <w:div w:id="922952523">
          <w:marLeft w:val="0"/>
          <w:marRight w:val="0"/>
          <w:marTop w:val="0"/>
          <w:marBottom w:val="0"/>
          <w:divBdr>
            <w:top w:val="none" w:sz="0" w:space="0" w:color="auto"/>
            <w:left w:val="none" w:sz="0" w:space="0" w:color="auto"/>
            <w:bottom w:val="none" w:sz="0" w:space="0" w:color="auto"/>
            <w:right w:val="none" w:sz="0" w:space="0" w:color="auto"/>
          </w:divBdr>
          <w:divsChild>
            <w:div w:id="667252639">
              <w:marLeft w:val="0"/>
              <w:marRight w:val="0"/>
              <w:marTop w:val="0"/>
              <w:marBottom w:val="0"/>
              <w:divBdr>
                <w:top w:val="none" w:sz="0" w:space="0" w:color="auto"/>
                <w:left w:val="none" w:sz="0" w:space="0" w:color="auto"/>
                <w:bottom w:val="none" w:sz="0" w:space="0" w:color="auto"/>
                <w:right w:val="none" w:sz="0" w:space="0" w:color="auto"/>
              </w:divBdr>
            </w:div>
          </w:divsChild>
        </w:div>
        <w:div w:id="1842354570">
          <w:marLeft w:val="0"/>
          <w:marRight w:val="0"/>
          <w:marTop w:val="0"/>
          <w:marBottom w:val="0"/>
          <w:divBdr>
            <w:top w:val="none" w:sz="0" w:space="0" w:color="auto"/>
            <w:left w:val="none" w:sz="0" w:space="0" w:color="auto"/>
            <w:bottom w:val="none" w:sz="0" w:space="0" w:color="auto"/>
            <w:right w:val="none" w:sz="0" w:space="0" w:color="auto"/>
          </w:divBdr>
          <w:divsChild>
            <w:div w:id="207497288">
              <w:marLeft w:val="0"/>
              <w:marRight w:val="0"/>
              <w:marTop w:val="0"/>
              <w:marBottom w:val="0"/>
              <w:divBdr>
                <w:top w:val="none" w:sz="0" w:space="0" w:color="auto"/>
                <w:left w:val="none" w:sz="0" w:space="0" w:color="auto"/>
                <w:bottom w:val="none" w:sz="0" w:space="0" w:color="auto"/>
                <w:right w:val="none" w:sz="0" w:space="0" w:color="auto"/>
              </w:divBdr>
            </w:div>
          </w:divsChild>
        </w:div>
        <w:div w:id="458762295">
          <w:marLeft w:val="0"/>
          <w:marRight w:val="0"/>
          <w:marTop w:val="0"/>
          <w:marBottom w:val="0"/>
          <w:divBdr>
            <w:top w:val="none" w:sz="0" w:space="0" w:color="auto"/>
            <w:left w:val="none" w:sz="0" w:space="0" w:color="auto"/>
            <w:bottom w:val="none" w:sz="0" w:space="0" w:color="auto"/>
            <w:right w:val="none" w:sz="0" w:space="0" w:color="auto"/>
          </w:divBdr>
          <w:divsChild>
            <w:div w:id="1163395153">
              <w:marLeft w:val="0"/>
              <w:marRight w:val="0"/>
              <w:marTop w:val="0"/>
              <w:marBottom w:val="0"/>
              <w:divBdr>
                <w:top w:val="none" w:sz="0" w:space="0" w:color="auto"/>
                <w:left w:val="none" w:sz="0" w:space="0" w:color="auto"/>
                <w:bottom w:val="none" w:sz="0" w:space="0" w:color="auto"/>
                <w:right w:val="none" w:sz="0" w:space="0" w:color="auto"/>
              </w:divBdr>
            </w:div>
          </w:divsChild>
        </w:div>
        <w:div w:id="901602810">
          <w:marLeft w:val="0"/>
          <w:marRight w:val="0"/>
          <w:marTop w:val="0"/>
          <w:marBottom w:val="0"/>
          <w:divBdr>
            <w:top w:val="none" w:sz="0" w:space="0" w:color="auto"/>
            <w:left w:val="none" w:sz="0" w:space="0" w:color="auto"/>
            <w:bottom w:val="none" w:sz="0" w:space="0" w:color="auto"/>
            <w:right w:val="none" w:sz="0" w:space="0" w:color="auto"/>
          </w:divBdr>
          <w:divsChild>
            <w:div w:id="1515924638">
              <w:marLeft w:val="0"/>
              <w:marRight w:val="0"/>
              <w:marTop w:val="0"/>
              <w:marBottom w:val="0"/>
              <w:divBdr>
                <w:top w:val="none" w:sz="0" w:space="0" w:color="auto"/>
                <w:left w:val="none" w:sz="0" w:space="0" w:color="auto"/>
                <w:bottom w:val="none" w:sz="0" w:space="0" w:color="auto"/>
                <w:right w:val="none" w:sz="0" w:space="0" w:color="auto"/>
              </w:divBdr>
            </w:div>
          </w:divsChild>
        </w:div>
        <w:div w:id="1270157726">
          <w:marLeft w:val="0"/>
          <w:marRight w:val="0"/>
          <w:marTop w:val="0"/>
          <w:marBottom w:val="0"/>
          <w:divBdr>
            <w:top w:val="none" w:sz="0" w:space="0" w:color="auto"/>
            <w:left w:val="none" w:sz="0" w:space="0" w:color="auto"/>
            <w:bottom w:val="none" w:sz="0" w:space="0" w:color="auto"/>
            <w:right w:val="none" w:sz="0" w:space="0" w:color="auto"/>
          </w:divBdr>
          <w:divsChild>
            <w:div w:id="1739933456">
              <w:marLeft w:val="0"/>
              <w:marRight w:val="0"/>
              <w:marTop w:val="0"/>
              <w:marBottom w:val="0"/>
              <w:divBdr>
                <w:top w:val="none" w:sz="0" w:space="0" w:color="auto"/>
                <w:left w:val="none" w:sz="0" w:space="0" w:color="auto"/>
                <w:bottom w:val="none" w:sz="0" w:space="0" w:color="auto"/>
                <w:right w:val="none" w:sz="0" w:space="0" w:color="auto"/>
              </w:divBdr>
            </w:div>
          </w:divsChild>
        </w:div>
        <w:div w:id="1508784881">
          <w:marLeft w:val="0"/>
          <w:marRight w:val="0"/>
          <w:marTop w:val="0"/>
          <w:marBottom w:val="0"/>
          <w:divBdr>
            <w:top w:val="none" w:sz="0" w:space="0" w:color="auto"/>
            <w:left w:val="none" w:sz="0" w:space="0" w:color="auto"/>
            <w:bottom w:val="none" w:sz="0" w:space="0" w:color="auto"/>
            <w:right w:val="none" w:sz="0" w:space="0" w:color="auto"/>
          </w:divBdr>
          <w:divsChild>
            <w:div w:id="1861890691">
              <w:marLeft w:val="0"/>
              <w:marRight w:val="0"/>
              <w:marTop w:val="0"/>
              <w:marBottom w:val="0"/>
              <w:divBdr>
                <w:top w:val="none" w:sz="0" w:space="0" w:color="auto"/>
                <w:left w:val="none" w:sz="0" w:space="0" w:color="auto"/>
                <w:bottom w:val="none" w:sz="0" w:space="0" w:color="auto"/>
                <w:right w:val="none" w:sz="0" w:space="0" w:color="auto"/>
              </w:divBdr>
            </w:div>
          </w:divsChild>
        </w:div>
        <w:div w:id="524945791">
          <w:marLeft w:val="0"/>
          <w:marRight w:val="0"/>
          <w:marTop w:val="0"/>
          <w:marBottom w:val="0"/>
          <w:divBdr>
            <w:top w:val="none" w:sz="0" w:space="0" w:color="auto"/>
            <w:left w:val="none" w:sz="0" w:space="0" w:color="auto"/>
            <w:bottom w:val="none" w:sz="0" w:space="0" w:color="auto"/>
            <w:right w:val="none" w:sz="0" w:space="0" w:color="auto"/>
          </w:divBdr>
          <w:divsChild>
            <w:div w:id="1278953001">
              <w:marLeft w:val="0"/>
              <w:marRight w:val="0"/>
              <w:marTop w:val="0"/>
              <w:marBottom w:val="0"/>
              <w:divBdr>
                <w:top w:val="none" w:sz="0" w:space="0" w:color="auto"/>
                <w:left w:val="none" w:sz="0" w:space="0" w:color="auto"/>
                <w:bottom w:val="none" w:sz="0" w:space="0" w:color="auto"/>
                <w:right w:val="none" w:sz="0" w:space="0" w:color="auto"/>
              </w:divBdr>
            </w:div>
          </w:divsChild>
        </w:div>
        <w:div w:id="1736662316">
          <w:marLeft w:val="0"/>
          <w:marRight w:val="0"/>
          <w:marTop w:val="0"/>
          <w:marBottom w:val="0"/>
          <w:divBdr>
            <w:top w:val="none" w:sz="0" w:space="0" w:color="auto"/>
            <w:left w:val="none" w:sz="0" w:space="0" w:color="auto"/>
            <w:bottom w:val="none" w:sz="0" w:space="0" w:color="auto"/>
            <w:right w:val="none" w:sz="0" w:space="0" w:color="auto"/>
          </w:divBdr>
          <w:divsChild>
            <w:div w:id="1504781908">
              <w:marLeft w:val="0"/>
              <w:marRight w:val="0"/>
              <w:marTop w:val="0"/>
              <w:marBottom w:val="0"/>
              <w:divBdr>
                <w:top w:val="none" w:sz="0" w:space="0" w:color="auto"/>
                <w:left w:val="none" w:sz="0" w:space="0" w:color="auto"/>
                <w:bottom w:val="none" w:sz="0" w:space="0" w:color="auto"/>
                <w:right w:val="none" w:sz="0" w:space="0" w:color="auto"/>
              </w:divBdr>
            </w:div>
          </w:divsChild>
        </w:div>
        <w:div w:id="423035450">
          <w:marLeft w:val="0"/>
          <w:marRight w:val="0"/>
          <w:marTop w:val="0"/>
          <w:marBottom w:val="0"/>
          <w:divBdr>
            <w:top w:val="none" w:sz="0" w:space="0" w:color="auto"/>
            <w:left w:val="none" w:sz="0" w:space="0" w:color="auto"/>
            <w:bottom w:val="none" w:sz="0" w:space="0" w:color="auto"/>
            <w:right w:val="none" w:sz="0" w:space="0" w:color="auto"/>
          </w:divBdr>
          <w:divsChild>
            <w:div w:id="180290607">
              <w:marLeft w:val="0"/>
              <w:marRight w:val="0"/>
              <w:marTop w:val="0"/>
              <w:marBottom w:val="0"/>
              <w:divBdr>
                <w:top w:val="none" w:sz="0" w:space="0" w:color="auto"/>
                <w:left w:val="none" w:sz="0" w:space="0" w:color="auto"/>
                <w:bottom w:val="none" w:sz="0" w:space="0" w:color="auto"/>
                <w:right w:val="none" w:sz="0" w:space="0" w:color="auto"/>
              </w:divBdr>
            </w:div>
          </w:divsChild>
        </w:div>
        <w:div w:id="1054280011">
          <w:marLeft w:val="0"/>
          <w:marRight w:val="0"/>
          <w:marTop w:val="0"/>
          <w:marBottom w:val="0"/>
          <w:divBdr>
            <w:top w:val="none" w:sz="0" w:space="0" w:color="auto"/>
            <w:left w:val="none" w:sz="0" w:space="0" w:color="auto"/>
            <w:bottom w:val="none" w:sz="0" w:space="0" w:color="auto"/>
            <w:right w:val="none" w:sz="0" w:space="0" w:color="auto"/>
          </w:divBdr>
          <w:divsChild>
            <w:div w:id="13381707">
              <w:marLeft w:val="0"/>
              <w:marRight w:val="0"/>
              <w:marTop w:val="0"/>
              <w:marBottom w:val="0"/>
              <w:divBdr>
                <w:top w:val="none" w:sz="0" w:space="0" w:color="auto"/>
                <w:left w:val="none" w:sz="0" w:space="0" w:color="auto"/>
                <w:bottom w:val="none" w:sz="0" w:space="0" w:color="auto"/>
                <w:right w:val="none" w:sz="0" w:space="0" w:color="auto"/>
              </w:divBdr>
            </w:div>
          </w:divsChild>
        </w:div>
        <w:div w:id="1884167637">
          <w:marLeft w:val="0"/>
          <w:marRight w:val="0"/>
          <w:marTop w:val="0"/>
          <w:marBottom w:val="0"/>
          <w:divBdr>
            <w:top w:val="none" w:sz="0" w:space="0" w:color="auto"/>
            <w:left w:val="none" w:sz="0" w:space="0" w:color="auto"/>
            <w:bottom w:val="none" w:sz="0" w:space="0" w:color="auto"/>
            <w:right w:val="none" w:sz="0" w:space="0" w:color="auto"/>
          </w:divBdr>
          <w:divsChild>
            <w:div w:id="480004581">
              <w:marLeft w:val="0"/>
              <w:marRight w:val="0"/>
              <w:marTop w:val="0"/>
              <w:marBottom w:val="0"/>
              <w:divBdr>
                <w:top w:val="none" w:sz="0" w:space="0" w:color="auto"/>
                <w:left w:val="none" w:sz="0" w:space="0" w:color="auto"/>
                <w:bottom w:val="none" w:sz="0" w:space="0" w:color="auto"/>
                <w:right w:val="none" w:sz="0" w:space="0" w:color="auto"/>
              </w:divBdr>
            </w:div>
          </w:divsChild>
        </w:div>
        <w:div w:id="2144233826">
          <w:marLeft w:val="0"/>
          <w:marRight w:val="0"/>
          <w:marTop w:val="0"/>
          <w:marBottom w:val="0"/>
          <w:divBdr>
            <w:top w:val="none" w:sz="0" w:space="0" w:color="auto"/>
            <w:left w:val="none" w:sz="0" w:space="0" w:color="auto"/>
            <w:bottom w:val="none" w:sz="0" w:space="0" w:color="auto"/>
            <w:right w:val="none" w:sz="0" w:space="0" w:color="auto"/>
          </w:divBdr>
          <w:divsChild>
            <w:div w:id="372772825">
              <w:marLeft w:val="0"/>
              <w:marRight w:val="0"/>
              <w:marTop w:val="0"/>
              <w:marBottom w:val="0"/>
              <w:divBdr>
                <w:top w:val="none" w:sz="0" w:space="0" w:color="auto"/>
                <w:left w:val="none" w:sz="0" w:space="0" w:color="auto"/>
                <w:bottom w:val="none" w:sz="0" w:space="0" w:color="auto"/>
                <w:right w:val="none" w:sz="0" w:space="0" w:color="auto"/>
              </w:divBdr>
            </w:div>
          </w:divsChild>
        </w:div>
        <w:div w:id="715085652">
          <w:marLeft w:val="0"/>
          <w:marRight w:val="0"/>
          <w:marTop w:val="0"/>
          <w:marBottom w:val="0"/>
          <w:divBdr>
            <w:top w:val="none" w:sz="0" w:space="0" w:color="auto"/>
            <w:left w:val="none" w:sz="0" w:space="0" w:color="auto"/>
            <w:bottom w:val="none" w:sz="0" w:space="0" w:color="auto"/>
            <w:right w:val="none" w:sz="0" w:space="0" w:color="auto"/>
          </w:divBdr>
          <w:divsChild>
            <w:div w:id="1990547870">
              <w:marLeft w:val="0"/>
              <w:marRight w:val="0"/>
              <w:marTop w:val="0"/>
              <w:marBottom w:val="0"/>
              <w:divBdr>
                <w:top w:val="none" w:sz="0" w:space="0" w:color="auto"/>
                <w:left w:val="none" w:sz="0" w:space="0" w:color="auto"/>
                <w:bottom w:val="none" w:sz="0" w:space="0" w:color="auto"/>
                <w:right w:val="none" w:sz="0" w:space="0" w:color="auto"/>
              </w:divBdr>
            </w:div>
          </w:divsChild>
        </w:div>
        <w:div w:id="737246345">
          <w:marLeft w:val="0"/>
          <w:marRight w:val="0"/>
          <w:marTop w:val="0"/>
          <w:marBottom w:val="0"/>
          <w:divBdr>
            <w:top w:val="none" w:sz="0" w:space="0" w:color="auto"/>
            <w:left w:val="none" w:sz="0" w:space="0" w:color="auto"/>
            <w:bottom w:val="none" w:sz="0" w:space="0" w:color="auto"/>
            <w:right w:val="none" w:sz="0" w:space="0" w:color="auto"/>
          </w:divBdr>
          <w:divsChild>
            <w:div w:id="1492940746">
              <w:marLeft w:val="0"/>
              <w:marRight w:val="0"/>
              <w:marTop w:val="0"/>
              <w:marBottom w:val="0"/>
              <w:divBdr>
                <w:top w:val="none" w:sz="0" w:space="0" w:color="auto"/>
                <w:left w:val="none" w:sz="0" w:space="0" w:color="auto"/>
                <w:bottom w:val="none" w:sz="0" w:space="0" w:color="auto"/>
                <w:right w:val="none" w:sz="0" w:space="0" w:color="auto"/>
              </w:divBdr>
            </w:div>
          </w:divsChild>
        </w:div>
        <w:div w:id="480465985">
          <w:marLeft w:val="0"/>
          <w:marRight w:val="0"/>
          <w:marTop w:val="0"/>
          <w:marBottom w:val="0"/>
          <w:divBdr>
            <w:top w:val="none" w:sz="0" w:space="0" w:color="auto"/>
            <w:left w:val="none" w:sz="0" w:space="0" w:color="auto"/>
            <w:bottom w:val="none" w:sz="0" w:space="0" w:color="auto"/>
            <w:right w:val="none" w:sz="0" w:space="0" w:color="auto"/>
          </w:divBdr>
          <w:divsChild>
            <w:div w:id="1361590213">
              <w:marLeft w:val="0"/>
              <w:marRight w:val="0"/>
              <w:marTop w:val="0"/>
              <w:marBottom w:val="0"/>
              <w:divBdr>
                <w:top w:val="none" w:sz="0" w:space="0" w:color="auto"/>
                <w:left w:val="none" w:sz="0" w:space="0" w:color="auto"/>
                <w:bottom w:val="none" w:sz="0" w:space="0" w:color="auto"/>
                <w:right w:val="none" w:sz="0" w:space="0" w:color="auto"/>
              </w:divBdr>
            </w:div>
          </w:divsChild>
        </w:div>
        <w:div w:id="1956251964">
          <w:marLeft w:val="0"/>
          <w:marRight w:val="0"/>
          <w:marTop w:val="0"/>
          <w:marBottom w:val="0"/>
          <w:divBdr>
            <w:top w:val="none" w:sz="0" w:space="0" w:color="auto"/>
            <w:left w:val="none" w:sz="0" w:space="0" w:color="auto"/>
            <w:bottom w:val="none" w:sz="0" w:space="0" w:color="auto"/>
            <w:right w:val="none" w:sz="0" w:space="0" w:color="auto"/>
          </w:divBdr>
          <w:divsChild>
            <w:div w:id="1756591412">
              <w:marLeft w:val="0"/>
              <w:marRight w:val="0"/>
              <w:marTop w:val="0"/>
              <w:marBottom w:val="0"/>
              <w:divBdr>
                <w:top w:val="none" w:sz="0" w:space="0" w:color="auto"/>
                <w:left w:val="none" w:sz="0" w:space="0" w:color="auto"/>
                <w:bottom w:val="none" w:sz="0" w:space="0" w:color="auto"/>
                <w:right w:val="none" w:sz="0" w:space="0" w:color="auto"/>
              </w:divBdr>
            </w:div>
          </w:divsChild>
        </w:div>
        <w:div w:id="1235504303">
          <w:marLeft w:val="0"/>
          <w:marRight w:val="0"/>
          <w:marTop w:val="0"/>
          <w:marBottom w:val="0"/>
          <w:divBdr>
            <w:top w:val="none" w:sz="0" w:space="0" w:color="auto"/>
            <w:left w:val="none" w:sz="0" w:space="0" w:color="auto"/>
            <w:bottom w:val="none" w:sz="0" w:space="0" w:color="auto"/>
            <w:right w:val="none" w:sz="0" w:space="0" w:color="auto"/>
          </w:divBdr>
          <w:divsChild>
            <w:div w:id="1247958194">
              <w:marLeft w:val="0"/>
              <w:marRight w:val="0"/>
              <w:marTop w:val="0"/>
              <w:marBottom w:val="0"/>
              <w:divBdr>
                <w:top w:val="none" w:sz="0" w:space="0" w:color="auto"/>
                <w:left w:val="none" w:sz="0" w:space="0" w:color="auto"/>
                <w:bottom w:val="none" w:sz="0" w:space="0" w:color="auto"/>
                <w:right w:val="none" w:sz="0" w:space="0" w:color="auto"/>
              </w:divBdr>
            </w:div>
          </w:divsChild>
        </w:div>
        <w:div w:id="409156671">
          <w:marLeft w:val="0"/>
          <w:marRight w:val="0"/>
          <w:marTop w:val="0"/>
          <w:marBottom w:val="0"/>
          <w:divBdr>
            <w:top w:val="none" w:sz="0" w:space="0" w:color="auto"/>
            <w:left w:val="none" w:sz="0" w:space="0" w:color="auto"/>
            <w:bottom w:val="none" w:sz="0" w:space="0" w:color="auto"/>
            <w:right w:val="none" w:sz="0" w:space="0" w:color="auto"/>
          </w:divBdr>
          <w:divsChild>
            <w:div w:id="2043361004">
              <w:marLeft w:val="0"/>
              <w:marRight w:val="0"/>
              <w:marTop w:val="0"/>
              <w:marBottom w:val="0"/>
              <w:divBdr>
                <w:top w:val="none" w:sz="0" w:space="0" w:color="auto"/>
                <w:left w:val="none" w:sz="0" w:space="0" w:color="auto"/>
                <w:bottom w:val="none" w:sz="0" w:space="0" w:color="auto"/>
                <w:right w:val="none" w:sz="0" w:space="0" w:color="auto"/>
              </w:divBdr>
            </w:div>
          </w:divsChild>
        </w:div>
        <w:div w:id="797802431">
          <w:marLeft w:val="0"/>
          <w:marRight w:val="0"/>
          <w:marTop w:val="0"/>
          <w:marBottom w:val="0"/>
          <w:divBdr>
            <w:top w:val="none" w:sz="0" w:space="0" w:color="auto"/>
            <w:left w:val="none" w:sz="0" w:space="0" w:color="auto"/>
            <w:bottom w:val="none" w:sz="0" w:space="0" w:color="auto"/>
            <w:right w:val="none" w:sz="0" w:space="0" w:color="auto"/>
          </w:divBdr>
          <w:divsChild>
            <w:div w:id="1211191156">
              <w:marLeft w:val="0"/>
              <w:marRight w:val="0"/>
              <w:marTop w:val="0"/>
              <w:marBottom w:val="0"/>
              <w:divBdr>
                <w:top w:val="none" w:sz="0" w:space="0" w:color="auto"/>
                <w:left w:val="none" w:sz="0" w:space="0" w:color="auto"/>
                <w:bottom w:val="none" w:sz="0" w:space="0" w:color="auto"/>
                <w:right w:val="none" w:sz="0" w:space="0" w:color="auto"/>
              </w:divBdr>
            </w:div>
          </w:divsChild>
        </w:div>
        <w:div w:id="733701742">
          <w:marLeft w:val="0"/>
          <w:marRight w:val="0"/>
          <w:marTop w:val="0"/>
          <w:marBottom w:val="0"/>
          <w:divBdr>
            <w:top w:val="none" w:sz="0" w:space="0" w:color="auto"/>
            <w:left w:val="none" w:sz="0" w:space="0" w:color="auto"/>
            <w:bottom w:val="none" w:sz="0" w:space="0" w:color="auto"/>
            <w:right w:val="none" w:sz="0" w:space="0" w:color="auto"/>
          </w:divBdr>
          <w:divsChild>
            <w:div w:id="1886257366">
              <w:marLeft w:val="0"/>
              <w:marRight w:val="0"/>
              <w:marTop w:val="0"/>
              <w:marBottom w:val="0"/>
              <w:divBdr>
                <w:top w:val="none" w:sz="0" w:space="0" w:color="auto"/>
                <w:left w:val="none" w:sz="0" w:space="0" w:color="auto"/>
                <w:bottom w:val="none" w:sz="0" w:space="0" w:color="auto"/>
                <w:right w:val="none" w:sz="0" w:space="0" w:color="auto"/>
              </w:divBdr>
            </w:div>
          </w:divsChild>
        </w:div>
        <w:div w:id="2086683145">
          <w:marLeft w:val="0"/>
          <w:marRight w:val="0"/>
          <w:marTop w:val="0"/>
          <w:marBottom w:val="0"/>
          <w:divBdr>
            <w:top w:val="none" w:sz="0" w:space="0" w:color="auto"/>
            <w:left w:val="none" w:sz="0" w:space="0" w:color="auto"/>
            <w:bottom w:val="none" w:sz="0" w:space="0" w:color="auto"/>
            <w:right w:val="none" w:sz="0" w:space="0" w:color="auto"/>
          </w:divBdr>
          <w:divsChild>
            <w:div w:id="687829246">
              <w:marLeft w:val="0"/>
              <w:marRight w:val="0"/>
              <w:marTop w:val="0"/>
              <w:marBottom w:val="0"/>
              <w:divBdr>
                <w:top w:val="none" w:sz="0" w:space="0" w:color="auto"/>
                <w:left w:val="none" w:sz="0" w:space="0" w:color="auto"/>
                <w:bottom w:val="none" w:sz="0" w:space="0" w:color="auto"/>
                <w:right w:val="none" w:sz="0" w:space="0" w:color="auto"/>
              </w:divBdr>
            </w:div>
          </w:divsChild>
        </w:div>
        <w:div w:id="485324734">
          <w:marLeft w:val="0"/>
          <w:marRight w:val="0"/>
          <w:marTop w:val="0"/>
          <w:marBottom w:val="0"/>
          <w:divBdr>
            <w:top w:val="none" w:sz="0" w:space="0" w:color="auto"/>
            <w:left w:val="none" w:sz="0" w:space="0" w:color="auto"/>
            <w:bottom w:val="none" w:sz="0" w:space="0" w:color="auto"/>
            <w:right w:val="none" w:sz="0" w:space="0" w:color="auto"/>
          </w:divBdr>
          <w:divsChild>
            <w:div w:id="1974631400">
              <w:marLeft w:val="0"/>
              <w:marRight w:val="0"/>
              <w:marTop w:val="0"/>
              <w:marBottom w:val="0"/>
              <w:divBdr>
                <w:top w:val="none" w:sz="0" w:space="0" w:color="auto"/>
                <w:left w:val="none" w:sz="0" w:space="0" w:color="auto"/>
                <w:bottom w:val="none" w:sz="0" w:space="0" w:color="auto"/>
                <w:right w:val="none" w:sz="0" w:space="0" w:color="auto"/>
              </w:divBdr>
            </w:div>
          </w:divsChild>
        </w:div>
        <w:div w:id="1568538809">
          <w:marLeft w:val="0"/>
          <w:marRight w:val="0"/>
          <w:marTop w:val="0"/>
          <w:marBottom w:val="0"/>
          <w:divBdr>
            <w:top w:val="none" w:sz="0" w:space="0" w:color="auto"/>
            <w:left w:val="none" w:sz="0" w:space="0" w:color="auto"/>
            <w:bottom w:val="none" w:sz="0" w:space="0" w:color="auto"/>
            <w:right w:val="none" w:sz="0" w:space="0" w:color="auto"/>
          </w:divBdr>
          <w:divsChild>
            <w:div w:id="1833909308">
              <w:marLeft w:val="0"/>
              <w:marRight w:val="0"/>
              <w:marTop w:val="0"/>
              <w:marBottom w:val="0"/>
              <w:divBdr>
                <w:top w:val="none" w:sz="0" w:space="0" w:color="auto"/>
                <w:left w:val="none" w:sz="0" w:space="0" w:color="auto"/>
                <w:bottom w:val="none" w:sz="0" w:space="0" w:color="auto"/>
                <w:right w:val="none" w:sz="0" w:space="0" w:color="auto"/>
              </w:divBdr>
            </w:div>
          </w:divsChild>
        </w:div>
        <w:div w:id="221721221">
          <w:marLeft w:val="0"/>
          <w:marRight w:val="0"/>
          <w:marTop w:val="0"/>
          <w:marBottom w:val="0"/>
          <w:divBdr>
            <w:top w:val="none" w:sz="0" w:space="0" w:color="auto"/>
            <w:left w:val="none" w:sz="0" w:space="0" w:color="auto"/>
            <w:bottom w:val="none" w:sz="0" w:space="0" w:color="auto"/>
            <w:right w:val="none" w:sz="0" w:space="0" w:color="auto"/>
          </w:divBdr>
          <w:divsChild>
            <w:div w:id="777942521">
              <w:marLeft w:val="0"/>
              <w:marRight w:val="0"/>
              <w:marTop w:val="0"/>
              <w:marBottom w:val="0"/>
              <w:divBdr>
                <w:top w:val="none" w:sz="0" w:space="0" w:color="auto"/>
                <w:left w:val="none" w:sz="0" w:space="0" w:color="auto"/>
                <w:bottom w:val="none" w:sz="0" w:space="0" w:color="auto"/>
                <w:right w:val="none" w:sz="0" w:space="0" w:color="auto"/>
              </w:divBdr>
            </w:div>
          </w:divsChild>
        </w:div>
        <w:div w:id="1189442162">
          <w:marLeft w:val="0"/>
          <w:marRight w:val="0"/>
          <w:marTop w:val="0"/>
          <w:marBottom w:val="0"/>
          <w:divBdr>
            <w:top w:val="none" w:sz="0" w:space="0" w:color="auto"/>
            <w:left w:val="none" w:sz="0" w:space="0" w:color="auto"/>
            <w:bottom w:val="none" w:sz="0" w:space="0" w:color="auto"/>
            <w:right w:val="none" w:sz="0" w:space="0" w:color="auto"/>
          </w:divBdr>
          <w:divsChild>
            <w:div w:id="993947064">
              <w:marLeft w:val="0"/>
              <w:marRight w:val="0"/>
              <w:marTop w:val="0"/>
              <w:marBottom w:val="0"/>
              <w:divBdr>
                <w:top w:val="none" w:sz="0" w:space="0" w:color="auto"/>
                <w:left w:val="none" w:sz="0" w:space="0" w:color="auto"/>
                <w:bottom w:val="none" w:sz="0" w:space="0" w:color="auto"/>
                <w:right w:val="none" w:sz="0" w:space="0" w:color="auto"/>
              </w:divBdr>
            </w:div>
          </w:divsChild>
        </w:div>
        <w:div w:id="1670792049">
          <w:marLeft w:val="0"/>
          <w:marRight w:val="0"/>
          <w:marTop w:val="0"/>
          <w:marBottom w:val="0"/>
          <w:divBdr>
            <w:top w:val="none" w:sz="0" w:space="0" w:color="auto"/>
            <w:left w:val="none" w:sz="0" w:space="0" w:color="auto"/>
            <w:bottom w:val="none" w:sz="0" w:space="0" w:color="auto"/>
            <w:right w:val="none" w:sz="0" w:space="0" w:color="auto"/>
          </w:divBdr>
          <w:divsChild>
            <w:div w:id="700741753">
              <w:marLeft w:val="0"/>
              <w:marRight w:val="0"/>
              <w:marTop w:val="0"/>
              <w:marBottom w:val="0"/>
              <w:divBdr>
                <w:top w:val="none" w:sz="0" w:space="0" w:color="auto"/>
                <w:left w:val="none" w:sz="0" w:space="0" w:color="auto"/>
                <w:bottom w:val="none" w:sz="0" w:space="0" w:color="auto"/>
                <w:right w:val="none" w:sz="0" w:space="0" w:color="auto"/>
              </w:divBdr>
            </w:div>
          </w:divsChild>
        </w:div>
        <w:div w:id="385685568">
          <w:marLeft w:val="0"/>
          <w:marRight w:val="0"/>
          <w:marTop w:val="0"/>
          <w:marBottom w:val="0"/>
          <w:divBdr>
            <w:top w:val="none" w:sz="0" w:space="0" w:color="auto"/>
            <w:left w:val="none" w:sz="0" w:space="0" w:color="auto"/>
            <w:bottom w:val="none" w:sz="0" w:space="0" w:color="auto"/>
            <w:right w:val="none" w:sz="0" w:space="0" w:color="auto"/>
          </w:divBdr>
          <w:divsChild>
            <w:div w:id="1535145069">
              <w:marLeft w:val="0"/>
              <w:marRight w:val="0"/>
              <w:marTop w:val="0"/>
              <w:marBottom w:val="0"/>
              <w:divBdr>
                <w:top w:val="none" w:sz="0" w:space="0" w:color="auto"/>
                <w:left w:val="none" w:sz="0" w:space="0" w:color="auto"/>
                <w:bottom w:val="none" w:sz="0" w:space="0" w:color="auto"/>
                <w:right w:val="none" w:sz="0" w:space="0" w:color="auto"/>
              </w:divBdr>
            </w:div>
          </w:divsChild>
        </w:div>
        <w:div w:id="1632009198">
          <w:marLeft w:val="0"/>
          <w:marRight w:val="0"/>
          <w:marTop w:val="0"/>
          <w:marBottom w:val="0"/>
          <w:divBdr>
            <w:top w:val="none" w:sz="0" w:space="0" w:color="auto"/>
            <w:left w:val="none" w:sz="0" w:space="0" w:color="auto"/>
            <w:bottom w:val="none" w:sz="0" w:space="0" w:color="auto"/>
            <w:right w:val="none" w:sz="0" w:space="0" w:color="auto"/>
          </w:divBdr>
          <w:divsChild>
            <w:div w:id="1885631498">
              <w:marLeft w:val="0"/>
              <w:marRight w:val="0"/>
              <w:marTop w:val="0"/>
              <w:marBottom w:val="0"/>
              <w:divBdr>
                <w:top w:val="none" w:sz="0" w:space="0" w:color="auto"/>
                <w:left w:val="none" w:sz="0" w:space="0" w:color="auto"/>
                <w:bottom w:val="none" w:sz="0" w:space="0" w:color="auto"/>
                <w:right w:val="none" w:sz="0" w:space="0" w:color="auto"/>
              </w:divBdr>
            </w:div>
          </w:divsChild>
        </w:div>
        <w:div w:id="106974110">
          <w:marLeft w:val="0"/>
          <w:marRight w:val="0"/>
          <w:marTop w:val="0"/>
          <w:marBottom w:val="0"/>
          <w:divBdr>
            <w:top w:val="none" w:sz="0" w:space="0" w:color="auto"/>
            <w:left w:val="none" w:sz="0" w:space="0" w:color="auto"/>
            <w:bottom w:val="none" w:sz="0" w:space="0" w:color="auto"/>
            <w:right w:val="none" w:sz="0" w:space="0" w:color="auto"/>
          </w:divBdr>
          <w:divsChild>
            <w:div w:id="415245004">
              <w:marLeft w:val="0"/>
              <w:marRight w:val="0"/>
              <w:marTop w:val="0"/>
              <w:marBottom w:val="0"/>
              <w:divBdr>
                <w:top w:val="none" w:sz="0" w:space="0" w:color="auto"/>
                <w:left w:val="none" w:sz="0" w:space="0" w:color="auto"/>
                <w:bottom w:val="none" w:sz="0" w:space="0" w:color="auto"/>
                <w:right w:val="none" w:sz="0" w:space="0" w:color="auto"/>
              </w:divBdr>
            </w:div>
          </w:divsChild>
        </w:div>
        <w:div w:id="716709229">
          <w:marLeft w:val="0"/>
          <w:marRight w:val="0"/>
          <w:marTop w:val="0"/>
          <w:marBottom w:val="0"/>
          <w:divBdr>
            <w:top w:val="none" w:sz="0" w:space="0" w:color="auto"/>
            <w:left w:val="none" w:sz="0" w:space="0" w:color="auto"/>
            <w:bottom w:val="none" w:sz="0" w:space="0" w:color="auto"/>
            <w:right w:val="none" w:sz="0" w:space="0" w:color="auto"/>
          </w:divBdr>
          <w:divsChild>
            <w:div w:id="2103186217">
              <w:marLeft w:val="0"/>
              <w:marRight w:val="0"/>
              <w:marTop w:val="0"/>
              <w:marBottom w:val="0"/>
              <w:divBdr>
                <w:top w:val="none" w:sz="0" w:space="0" w:color="auto"/>
                <w:left w:val="none" w:sz="0" w:space="0" w:color="auto"/>
                <w:bottom w:val="none" w:sz="0" w:space="0" w:color="auto"/>
                <w:right w:val="none" w:sz="0" w:space="0" w:color="auto"/>
              </w:divBdr>
            </w:div>
          </w:divsChild>
        </w:div>
        <w:div w:id="1055588460">
          <w:marLeft w:val="0"/>
          <w:marRight w:val="0"/>
          <w:marTop w:val="0"/>
          <w:marBottom w:val="0"/>
          <w:divBdr>
            <w:top w:val="none" w:sz="0" w:space="0" w:color="auto"/>
            <w:left w:val="none" w:sz="0" w:space="0" w:color="auto"/>
            <w:bottom w:val="none" w:sz="0" w:space="0" w:color="auto"/>
            <w:right w:val="none" w:sz="0" w:space="0" w:color="auto"/>
          </w:divBdr>
          <w:divsChild>
            <w:div w:id="156009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83415">
      <w:bodyDiv w:val="1"/>
      <w:marLeft w:val="0"/>
      <w:marRight w:val="0"/>
      <w:marTop w:val="0"/>
      <w:marBottom w:val="0"/>
      <w:divBdr>
        <w:top w:val="none" w:sz="0" w:space="0" w:color="auto"/>
        <w:left w:val="none" w:sz="0" w:space="0" w:color="auto"/>
        <w:bottom w:val="none" w:sz="0" w:space="0" w:color="auto"/>
        <w:right w:val="none" w:sz="0" w:space="0" w:color="auto"/>
      </w:divBdr>
    </w:div>
    <w:div w:id="702095258">
      <w:bodyDiv w:val="1"/>
      <w:marLeft w:val="0"/>
      <w:marRight w:val="0"/>
      <w:marTop w:val="0"/>
      <w:marBottom w:val="0"/>
      <w:divBdr>
        <w:top w:val="none" w:sz="0" w:space="0" w:color="auto"/>
        <w:left w:val="none" w:sz="0" w:space="0" w:color="auto"/>
        <w:bottom w:val="none" w:sz="0" w:space="0" w:color="auto"/>
        <w:right w:val="none" w:sz="0" w:space="0" w:color="auto"/>
      </w:divBdr>
    </w:div>
    <w:div w:id="709452071">
      <w:bodyDiv w:val="1"/>
      <w:marLeft w:val="0"/>
      <w:marRight w:val="0"/>
      <w:marTop w:val="0"/>
      <w:marBottom w:val="0"/>
      <w:divBdr>
        <w:top w:val="none" w:sz="0" w:space="0" w:color="auto"/>
        <w:left w:val="none" w:sz="0" w:space="0" w:color="auto"/>
        <w:bottom w:val="none" w:sz="0" w:space="0" w:color="auto"/>
        <w:right w:val="none" w:sz="0" w:space="0" w:color="auto"/>
      </w:divBdr>
    </w:div>
    <w:div w:id="715668731">
      <w:bodyDiv w:val="1"/>
      <w:marLeft w:val="0"/>
      <w:marRight w:val="0"/>
      <w:marTop w:val="0"/>
      <w:marBottom w:val="0"/>
      <w:divBdr>
        <w:top w:val="none" w:sz="0" w:space="0" w:color="auto"/>
        <w:left w:val="none" w:sz="0" w:space="0" w:color="auto"/>
        <w:bottom w:val="none" w:sz="0" w:space="0" w:color="auto"/>
        <w:right w:val="none" w:sz="0" w:space="0" w:color="auto"/>
      </w:divBdr>
      <w:divsChild>
        <w:div w:id="1931503252">
          <w:marLeft w:val="0"/>
          <w:marRight w:val="0"/>
          <w:marTop w:val="0"/>
          <w:marBottom w:val="0"/>
          <w:divBdr>
            <w:top w:val="none" w:sz="0" w:space="0" w:color="auto"/>
            <w:left w:val="none" w:sz="0" w:space="0" w:color="auto"/>
            <w:bottom w:val="none" w:sz="0" w:space="0" w:color="auto"/>
            <w:right w:val="none" w:sz="0" w:space="0" w:color="auto"/>
          </w:divBdr>
          <w:divsChild>
            <w:div w:id="1404254058">
              <w:marLeft w:val="0"/>
              <w:marRight w:val="0"/>
              <w:marTop w:val="0"/>
              <w:marBottom w:val="0"/>
              <w:divBdr>
                <w:top w:val="none" w:sz="0" w:space="0" w:color="auto"/>
                <w:left w:val="none" w:sz="0" w:space="0" w:color="auto"/>
                <w:bottom w:val="none" w:sz="0" w:space="0" w:color="auto"/>
                <w:right w:val="none" w:sz="0" w:space="0" w:color="auto"/>
              </w:divBdr>
            </w:div>
          </w:divsChild>
        </w:div>
        <w:div w:id="1947497982">
          <w:marLeft w:val="0"/>
          <w:marRight w:val="0"/>
          <w:marTop w:val="0"/>
          <w:marBottom w:val="0"/>
          <w:divBdr>
            <w:top w:val="none" w:sz="0" w:space="0" w:color="auto"/>
            <w:left w:val="none" w:sz="0" w:space="0" w:color="auto"/>
            <w:bottom w:val="none" w:sz="0" w:space="0" w:color="auto"/>
            <w:right w:val="none" w:sz="0" w:space="0" w:color="auto"/>
          </w:divBdr>
          <w:divsChild>
            <w:div w:id="15609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479937">
      <w:bodyDiv w:val="1"/>
      <w:marLeft w:val="0"/>
      <w:marRight w:val="0"/>
      <w:marTop w:val="0"/>
      <w:marBottom w:val="0"/>
      <w:divBdr>
        <w:top w:val="none" w:sz="0" w:space="0" w:color="auto"/>
        <w:left w:val="none" w:sz="0" w:space="0" w:color="auto"/>
        <w:bottom w:val="none" w:sz="0" w:space="0" w:color="auto"/>
        <w:right w:val="none" w:sz="0" w:space="0" w:color="auto"/>
      </w:divBdr>
    </w:div>
    <w:div w:id="720708915">
      <w:bodyDiv w:val="1"/>
      <w:marLeft w:val="0"/>
      <w:marRight w:val="0"/>
      <w:marTop w:val="0"/>
      <w:marBottom w:val="0"/>
      <w:divBdr>
        <w:top w:val="none" w:sz="0" w:space="0" w:color="auto"/>
        <w:left w:val="none" w:sz="0" w:space="0" w:color="auto"/>
        <w:bottom w:val="none" w:sz="0" w:space="0" w:color="auto"/>
        <w:right w:val="none" w:sz="0" w:space="0" w:color="auto"/>
      </w:divBdr>
      <w:divsChild>
        <w:div w:id="398672418">
          <w:marLeft w:val="0"/>
          <w:marRight w:val="0"/>
          <w:marTop w:val="0"/>
          <w:marBottom w:val="0"/>
          <w:divBdr>
            <w:top w:val="none" w:sz="0" w:space="0" w:color="auto"/>
            <w:left w:val="none" w:sz="0" w:space="0" w:color="auto"/>
            <w:bottom w:val="none" w:sz="0" w:space="0" w:color="auto"/>
            <w:right w:val="none" w:sz="0" w:space="0" w:color="auto"/>
          </w:divBdr>
          <w:divsChild>
            <w:div w:id="1450975261">
              <w:marLeft w:val="0"/>
              <w:marRight w:val="0"/>
              <w:marTop w:val="0"/>
              <w:marBottom w:val="0"/>
              <w:divBdr>
                <w:top w:val="none" w:sz="0" w:space="0" w:color="auto"/>
                <w:left w:val="none" w:sz="0" w:space="0" w:color="auto"/>
                <w:bottom w:val="none" w:sz="0" w:space="0" w:color="auto"/>
                <w:right w:val="none" w:sz="0" w:space="0" w:color="auto"/>
              </w:divBdr>
              <w:divsChild>
                <w:div w:id="1867672195">
                  <w:marLeft w:val="0"/>
                  <w:marRight w:val="0"/>
                  <w:marTop w:val="0"/>
                  <w:marBottom w:val="0"/>
                  <w:divBdr>
                    <w:top w:val="none" w:sz="0" w:space="0" w:color="auto"/>
                    <w:left w:val="none" w:sz="0" w:space="0" w:color="auto"/>
                    <w:bottom w:val="none" w:sz="0" w:space="0" w:color="auto"/>
                    <w:right w:val="none" w:sz="0" w:space="0" w:color="auto"/>
                  </w:divBdr>
                  <w:divsChild>
                    <w:div w:id="396824657">
                      <w:marLeft w:val="0"/>
                      <w:marRight w:val="0"/>
                      <w:marTop w:val="0"/>
                      <w:marBottom w:val="0"/>
                      <w:divBdr>
                        <w:top w:val="none" w:sz="0" w:space="0" w:color="auto"/>
                        <w:left w:val="none" w:sz="0" w:space="0" w:color="auto"/>
                        <w:bottom w:val="none" w:sz="0" w:space="0" w:color="auto"/>
                        <w:right w:val="none" w:sz="0" w:space="0" w:color="auto"/>
                      </w:divBdr>
                      <w:divsChild>
                        <w:div w:id="858394994">
                          <w:marLeft w:val="0"/>
                          <w:marRight w:val="0"/>
                          <w:marTop w:val="0"/>
                          <w:marBottom w:val="0"/>
                          <w:divBdr>
                            <w:top w:val="none" w:sz="0" w:space="0" w:color="auto"/>
                            <w:left w:val="none" w:sz="0" w:space="0" w:color="auto"/>
                            <w:bottom w:val="none" w:sz="0" w:space="0" w:color="auto"/>
                            <w:right w:val="none" w:sz="0" w:space="0" w:color="auto"/>
                          </w:divBdr>
                          <w:divsChild>
                            <w:div w:id="1259020575">
                              <w:marLeft w:val="0"/>
                              <w:marRight w:val="0"/>
                              <w:marTop w:val="0"/>
                              <w:marBottom w:val="0"/>
                              <w:divBdr>
                                <w:top w:val="none" w:sz="0" w:space="0" w:color="auto"/>
                                <w:left w:val="none" w:sz="0" w:space="0" w:color="auto"/>
                                <w:bottom w:val="none" w:sz="0" w:space="0" w:color="auto"/>
                                <w:right w:val="none" w:sz="0" w:space="0" w:color="auto"/>
                              </w:divBdr>
                              <w:divsChild>
                                <w:div w:id="149942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40307">
                          <w:marLeft w:val="0"/>
                          <w:marRight w:val="0"/>
                          <w:marTop w:val="0"/>
                          <w:marBottom w:val="0"/>
                          <w:divBdr>
                            <w:top w:val="none" w:sz="0" w:space="0" w:color="auto"/>
                            <w:left w:val="none" w:sz="0" w:space="0" w:color="auto"/>
                            <w:bottom w:val="none" w:sz="0" w:space="0" w:color="auto"/>
                            <w:right w:val="none" w:sz="0" w:space="0" w:color="auto"/>
                          </w:divBdr>
                          <w:divsChild>
                            <w:div w:id="798301719">
                              <w:marLeft w:val="0"/>
                              <w:marRight w:val="0"/>
                              <w:marTop w:val="0"/>
                              <w:marBottom w:val="0"/>
                              <w:divBdr>
                                <w:top w:val="none" w:sz="0" w:space="0" w:color="auto"/>
                                <w:left w:val="none" w:sz="0" w:space="0" w:color="auto"/>
                                <w:bottom w:val="none" w:sz="0" w:space="0" w:color="auto"/>
                                <w:right w:val="none" w:sz="0" w:space="0" w:color="auto"/>
                              </w:divBdr>
                              <w:divsChild>
                                <w:div w:id="147325106">
                                  <w:marLeft w:val="0"/>
                                  <w:marRight w:val="0"/>
                                  <w:marTop w:val="0"/>
                                  <w:marBottom w:val="0"/>
                                  <w:divBdr>
                                    <w:top w:val="none" w:sz="0" w:space="0" w:color="auto"/>
                                    <w:left w:val="none" w:sz="0" w:space="0" w:color="auto"/>
                                    <w:bottom w:val="none" w:sz="0" w:space="0" w:color="auto"/>
                                    <w:right w:val="none" w:sz="0" w:space="0" w:color="auto"/>
                                  </w:divBdr>
                                  <w:divsChild>
                                    <w:div w:id="164712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614">
              <w:marLeft w:val="0"/>
              <w:marRight w:val="0"/>
              <w:marTop w:val="0"/>
              <w:marBottom w:val="0"/>
              <w:divBdr>
                <w:top w:val="none" w:sz="0" w:space="0" w:color="auto"/>
                <w:left w:val="none" w:sz="0" w:space="0" w:color="auto"/>
                <w:bottom w:val="none" w:sz="0" w:space="0" w:color="auto"/>
                <w:right w:val="none" w:sz="0" w:space="0" w:color="auto"/>
              </w:divBdr>
              <w:divsChild>
                <w:div w:id="1994025337">
                  <w:marLeft w:val="0"/>
                  <w:marRight w:val="0"/>
                  <w:marTop w:val="0"/>
                  <w:marBottom w:val="0"/>
                  <w:divBdr>
                    <w:top w:val="none" w:sz="0" w:space="0" w:color="auto"/>
                    <w:left w:val="none" w:sz="0" w:space="0" w:color="auto"/>
                    <w:bottom w:val="none" w:sz="0" w:space="0" w:color="auto"/>
                    <w:right w:val="none" w:sz="0" w:space="0" w:color="auto"/>
                  </w:divBdr>
                  <w:divsChild>
                    <w:div w:id="20817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10857">
          <w:marLeft w:val="0"/>
          <w:marRight w:val="0"/>
          <w:marTop w:val="0"/>
          <w:marBottom w:val="0"/>
          <w:divBdr>
            <w:top w:val="none" w:sz="0" w:space="0" w:color="auto"/>
            <w:left w:val="none" w:sz="0" w:space="0" w:color="auto"/>
            <w:bottom w:val="none" w:sz="0" w:space="0" w:color="auto"/>
            <w:right w:val="none" w:sz="0" w:space="0" w:color="auto"/>
          </w:divBdr>
          <w:divsChild>
            <w:div w:id="1918128295">
              <w:marLeft w:val="0"/>
              <w:marRight w:val="0"/>
              <w:marTop w:val="0"/>
              <w:marBottom w:val="0"/>
              <w:divBdr>
                <w:top w:val="none" w:sz="0" w:space="0" w:color="auto"/>
                <w:left w:val="none" w:sz="0" w:space="0" w:color="auto"/>
                <w:bottom w:val="none" w:sz="0" w:space="0" w:color="auto"/>
                <w:right w:val="none" w:sz="0" w:space="0" w:color="auto"/>
              </w:divBdr>
              <w:divsChild>
                <w:div w:id="1672954140">
                  <w:marLeft w:val="0"/>
                  <w:marRight w:val="0"/>
                  <w:marTop w:val="0"/>
                  <w:marBottom w:val="0"/>
                  <w:divBdr>
                    <w:top w:val="none" w:sz="0" w:space="0" w:color="auto"/>
                    <w:left w:val="none" w:sz="0" w:space="0" w:color="auto"/>
                    <w:bottom w:val="none" w:sz="0" w:space="0" w:color="auto"/>
                    <w:right w:val="none" w:sz="0" w:space="0" w:color="auto"/>
                  </w:divBdr>
                  <w:divsChild>
                    <w:div w:id="68695435">
                      <w:marLeft w:val="0"/>
                      <w:marRight w:val="0"/>
                      <w:marTop w:val="0"/>
                      <w:marBottom w:val="0"/>
                      <w:divBdr>
                        <w:top w:val="none" w:sz="0" w:space="0" w:color="auto"/>
                        <w:left w:val="none" w:sz="0" w:space="0" w:color="auto"/>
                        <w:bottom w:val="none" w:sz="0" w:space="0" w:color="auto"/>
                        <w:right w:val="none" w:sz="0" w:space="0" w:color="auto"/>
                      </w:divBdr>
                      <w:divsChild>
                        <w:div w:id="101727333">
                          <w:marLeft w:val="0"/>
                          <w:marRight w:val="0"/>
                          <w:marTop w:val="0"/>
                          <w:marBottom w:val="0"/>
                          <w:divBdr>
                            <w:top w:val="none" w:sz="0" w:space="0" w:color="auto"/>
                            <w:left w:val="none" w:sz="0" w:space="0" w:color="auto"/>
                            <w:bottom w:val="none" w:sz="0" w:space="0" w:color="auto"/>
                            <w:right w:val="none" w:sz="0" w:space="0" w:color="auto"/>
                          </w:divBdr>
                          <w:divsChild>
                            <w:div w:id="62442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52278">
                      <w:marLeft w:val="0"/>
                      <w:marRight w:val="0"/>
                      <w:marTop w:val="0"/>
                      <w:marBottom w:val="0"/>
                      <w:divBdr>
                        <w:top w:val="none" w:sz="0" w:space="0" w:color="auto"/>
                        <w:left w:val="none" w:sz="0" w:space="0" w:color="auto"/>
                        <w:bottom w:val="none" w:sz="0" w:space="0" w:color="auto"/>
                        <w:right w:val="none" w:sz="0" w:space="0" w:color="auto"/>
                      </w:divBdr>
                      <w:divsChild>
                        <w:div w:id="1020937987">
                          <w:marLeft w:val="0"/>
                          <w:marRight w:val="0"/>
                          <w:marTop w:val="0"/>
                          <w:marBottom w:val="0"/>
                          <w:divBdr>
                            <w:top w:val="none" w:sz="0" w:space="0" w:color="auto"/>
                            <w:left w:val="none" w:sz="0" w:space="0" w:color="auto"/>
                            <w:bottom w:val="none" w:sz="0" w:space="0" w:color="auto"/>
                            <w:right w:val="none" w:sz="0" w:space="0" w:color="auto"/>
                          </w:divBdr>
                          <w:divsChild>
                            <w:div w:id="951059831">
                              <w:marLeft w:val="0"/>
                              <w:marRight w:val="0"/>
                              <w:marTop w:val="0"/>
                              <w:marBottom w:val="0"/>
                              <w:divBdr>
                                <w:top w:val="none" w:sz="0" w:space="0" w:color="auto"/>
                                <w:left w:val="none" w:sz="0" w:space="0" w:color="auto"/>
                                <w:bottom w:val="none" w:sz="0" w:space="0" w:color="auto"/>
                                <w:right w:val="none" w:sz="0" w:space="0" w:color="auto"/>
                              </w:divBdr>
                              <w:divsChild>
                                <w:div w:id="972755257">
                                  <w:marLeft w:val="0"/>
                                  <w:marRight w:val="0"/>
                                  <w:marTop w:val="0"/>
                                  <w:marBottom w:val="0"/>
                                  <w:divBdr>
                                    <w:top w:val="none" w:sz="0" w:space="0" w:color="auto"/>
                                    <w:left w:val="none" w:sz="0" w:space="0" w:color="auto"/>
                                    <w:bottom w:val="none" w:sz="0" w:space="0" w:color="auto"/>
                                    <w:right w:val="none" w:sz="0" w:space="0" w:color="auto"/>
                                  </w:divBdr>
                                  <w:divsChild>
                                    <w:div w:id="76488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7220002">
      <w:bodyDiv w:val="1"/>
      <w:marLeft w:val="0"/>
      <w:marRight w:val="0"/>
      <w:marTop w:val="0"/>
      <w:marBottom w:val="0"/>
      <w:divBdr>
        <w:top w:val="none" w:sz="0" w:space="0" w:color="auto"/>
        <w:left w:val="none" w:sz="0" w:space="0" w:color="auto"/>
        <w:bottom w:val="none" w:sz="0" w:space="0" w:color="auto"/>
        <w:right w:val="none" w:sz="0" w:space="0" w:color="auto"/>
      </w:divBdr>
    </w:div>
    <w:div w:id="727534876">
      <w:bodyDiv w:val="1"/>
      <w:marLeft w:val="0"/>
      <w:marRight w:val="0"/>
      <w:marTop w:val="0"/>
      <w:marBottom w:val="0"/>
      <w:divBdr>
        <w:top w:val="none" w:sz="0" w:space="0" w:color="auto"/>
        <w:left w:val="none" w:sz="0" w:space="0" w:color="auto"/>
        <w:bottom w:val="none" w:sz="0" w:space="0" w:color="auto"/>
        <w:right w:val="none" w:sz="0" w:space="0" w:color="auto"/>
      </w:divBdr>
    </w:div>
    <w:div w:id="730272738">
      <w:bodyDiv w:val="1"/>
      <w:marLeft w:val="0"/>
      <w:marRight w:val="0"/>
      <w:marTop w:val="0"/>
      <w:marBottom w:val="0"/>
      <w:divBdr>
        <w:top w:val="none" w:sz="0" w:space="0" w:color="auto"/>
        <w:left w:val="none" w:sz="0" w:space="0" w:color="auto"/>
        <w:bottom w:val="none" w:sz="0" w:space="0" w:color="auto"/>
        <w:right w:val="none" w:sz="0" w:space="0" w:color="auto"/>
      </w:divBdr>
    </w:div>
    <w:div w:id="737440068">
      <w:bodyDiv w:val="1"/>
      <w:marLeft w:val="0"/>
      <w:marRight w:val="0"/>
      <w:marTop w:val="0"/>
      <w:marBottom w:val="0"/>
      <w:divBdr>
        <w:top w:val="none" w:sz="0" w:space="0" w:color="auto"/>
        <w:left w:val="none" w:sz="0" w:space="0" w:color="auto"/>
        <w:bottom w:val="none" w:sz="0" w:space="0" w:color="auto"/>
        <w:right w:val="none" w:sz="0" w:space="0" w:color="auto"/>
      </w:divBdr>
    </w:div>
    <w:div w:id="779762307">
      <w:bodyDiv w:val="1"/>
      <w:marLeft w:val="0"/>
      <w:marRight w:val="0"/>
      <w:marTop w:val="0"/>
      <w:marBottom w:val="0"/>
      <w:divBdr>
        <w:top w:val="none" w:sz="0" w:space="0" w:color="auto"/>
        <w:left w:val="none" w:sz="0" w:space="0" w:color="auto"/>
        <w:bottom w:val="none" w:sz="0" w:space="0" w:color="auto"/>
        <w:right w:val="none" w:sz="0" w:space="0" w:color="auto"/>
      </w:divBdr>
    </w:div>
    <w:div w:id="792094408">
      <w:bodyDiv w:val="1"/>
      <w:marLeft w:val="0"/>
      <w:marRight w:val="0"/>
      <w:marTop w:val="0"/>
      <w:marBottom w:val="0"/>
      <w:divBdr>
        <w:top w:val="none" w:sz="0" w:space="0" w:color="auto"/>
        <w:left w:val="none" w:sz="0" w:space="0" w:color="auto"/>
        <w:bottom w:val="none" w:sz="0" w:space="0" w:color="auto"/>
        <w:right w:val="none" w:sz="0" w:space="0" w:color="auto"/>
      </w:divBdr>
    </w:div>
    <w:div w:id="803693282">
      <w:bodyDiv w:val="1"/>
      <w:marLeft w:val="0"/>
      <w:marRight w:val="0"/>
      <w:marTop w:val="0"/>
      <w:marBottom w:val="0"/>
      <w:divBdr>
        <w:top w:val="none" w:sz="0" w:space="0" w:color="auto"/>
        <w:left w:val="none" w:sz="0" w:space="0" w:color="auto"/>
        <w:bottom w:val="none" w:sz="0" w:space="0" w:color="auto"/>
        <w:right w:val="none" w:sz="0" w:space="0" w:color="auto"/>
      </w:divBdr>
    </w:div>
    <w:div w:id="812520983">
      <w:bodyDiv w:val="1"/>
      <w:marLeft w:val="0"/>
      <w:marRight w:val="0"/>
      <w:marTop w:val="0"/>
      <w:marBottom w:val="0"/>
      <w:divBdr>
        <w:top w:val="none" w:sz="0" w:space="0" w:color="auto"/>
        <w:left w:val="none" w:sz="0" w:space="0" w:color="auto"/>
        <w:bottom w:val="none" w:sz="0" w:space="0" w:color="auto"/>
        <w:right w:val="none" w:sz="0" w:space="0" w:color="auto"/>
      </w:divBdr>
    </w:div>
    <w:div w:id="819923033">
      <w:bodyDiv w:val="1"/>
      <w:marLeft w:val="0"/>
      <w:marRight w:val="0"/>
      <w:marTop w:val="0"/>
      <w:marBottom w:val="0"/>
      <w:divBdr>
        <w:top w:val="none" w:sz="0" w:space="0" w:color="auto"/>
        <w:left w:val="none" w:sz="0" w:space="0" w:color="auto"/>
        <w:bottom w:val="none" w:sz="0" w:space="0" w:color="auto"/>
        <w:right w:val="none" w:sz="0" w:space="0" w:color="auto"/>
      </w:divBdr>
    </w:div>
    <w:div w:id="826673410">
      <w:bodyDiv w:val="1"/>
      <w:marLeft w:val="0"/>
      <w:marRight w:val="0"/>
      <w:marTop w:val="0"/>
      <w:marBottom w:val="0"/>
      <w:divBdr>
        <w:top w:val="none" w:sz="0" w:space="0" w:color="auto"/>
        <w:left w:val="none" w:sz="0" w:space="0" w:color="auto"/>
        <w:bottom w:val="none" w:sz="0" w:space="0" w:color="auto"/>
        <w:right w:val="none" w:sz="0" w:space="0" w:color="auto"/>
      </w:divBdr>
    </w:div>
    <w:div w:id="830633364">
      <w:bodyDiv w:val="1"/>
      <w:marLeft w:val="0"/>
      <w:marRight w:val="0"/>
      <w:marTop w:val="0"/>
      <w:marBottom w:val="0"/>
      <w:divBdr>
        <w:top w:val="none" w:sz="0" w:space="0" w:color="auto"/>
        <w:left w:val="none" w:sz="0" w:space="0" w:color="auto"/>
        <w:bottom w:val="none" w:sz="0" w:space="0" w:color="auto"/>
        <w:right w:val="none" w:sz="0" w:space="0" w:color="auto"/>
      </w:divBdr>
    </w:div>
    <w:div w:id="832141820">
      <w:bodyDiv w:val="1"/>
      <w:marLeft w:val="0"/>
      <w:marRight w:val="0"/>
      <w:marTop w:val="0"/>
      <w:marBottom w:val="0"/>
      <w:divBdr>
        <w:top w:val="none" w:sz="0" w:space="0" w:color="auto"/>
        <w:left w:val="none" w:sz="0" w:space="0" w:color="auto"/>
        <w:bottom w:val="none" w:sz="0" w:space="0" w:color="auto"/>
        <w:right w:val="none" w:sz="0" w:space="0" w:color="auto"/>
      </w:divBdr>
    </w:div>
    <w:div w:id="845678635">
      <w:bodyDiv w:val="1"/>
      <w:marLeft w:val="0"/>
      <w:marRight w:val="0"/>
      <w:marTop w:val="0"/>
      <w:marBottom w:val="0"/>
      <w:divBdr>
        <w:top w:val="none" w:sz="0" w:space="0" w:color="auto"/>
        <w:left w:val="none" w:sz="0" w:space="0" w:color="auto"/>
        <w:bottom w:val="none" w:sz="0" w:space="0" w:color="auto"/>
        <w:right w:val="none" w:sz="0" w:space="0" w:color="auto"/>
      </w:divBdr>
    </w:div>
    <w:div w:id="846097495">
      <w:bodyDiv w:val="1"/>
      <w:marLeft w:val="0"/>
      <w:marRight w:val="0"/>
      <w:marTop w:val="0"/>
      <w:marBottom w:val="0"/>
      <w:divBdr>
        <w:top w:val="none" w:sz="0" w:space="0" w:color="auto"/>
        <w:left w:val="none" w:sz="0" w:space="0" w:color="auto"/>
        <w:bottom w:val="none" w:sz="0" w:space="0" w:color="auto"/>
        <w:right w:val="none" w:sz="0" w:space="0" w:color="auto"/>
      </w:divBdr>
    </w:div>
    <w:div w:id="851727674">
      <w:bodyDiv w:val="1"/>
      <w:marLeft w:val="0"/>
      <w:marRight w:val="0"/>
      <w:marTop w:val="0"/>
      <w:marBottom w:val="0"/>
      <w:divBdr>
        <w:top w:val="none" w:sz="0" w:space="0" w:color="auto"/>
        <w:left w:val="none" w:sz="0" w:space="0" w:color="auto"/>
        <w:bottom w:val="none" w:sz="0" w:space="0" w:color="auto"/>
        <w:right w:val="none" w:sz="0" w:space="0" w:color="auto"/>
      </w:divBdr>
    </w:div>
    <w:div w:id="852109284">
      <w:bodyDiv w:val="1"/>
      <w:marLeft w:val="0"/>
      <w:marRight w:val="0"/>
      <w:marTop w:val="0"/>
      <w:marBottom w:val="0"/>
      <w:divBdr>
        <w:top w:val="none" w:sz="0" w:space="0" w:color="auto"/>
        <w:left w:val="none" w:sz="0" w:space="0" w:color="auto"/>
        <w:bottom w:val="none" w:sz="0" w:space="0" w:color="auto"/>
        <w:right w:val="none" w:sz="0" w:space="0" w:color="auto"/>
      </w:divBdr>
    </w:div>
    <w:div w:id="861212591">
      <w:bodyDiv w:val="1"/>
      <w:marLeft w:val="0"/>
      <w:marRight w:val="0"/>
      <w:marTop w:val="0"/>
      <w:marBottom w:val="0"/>
      <w:divBdr>
        <w:top w:val="none" w:sz="0" w:space="0" w:color="auto"/>
        <w:left w:val="none" w:sz="0" w:space="0" w:color="auto"/>
        <w:bottom w:val="none" w:sz="0" w:space="0" w:color="auto"/>
        <w:right w:val="none" w:sz="0" w:space="0" w:color="auto"/>
      </w:divBdr>
      <w:divsChild>
        <w:div w:id="1574317899">
          <w:marLeft w:val="0"/>
          <w:marRight w:val="0"/>
          <w:marTop w:val="0"/>
          <w:marBottom w:val="0"/>
          <w:divBdr>
            <w:top w:val="none" w:sz="0" w:space="0" w:color="auto"/>
            <w:left w:val="none" w:sz="0" w:space="0" w:color="auto"/>
            <w:bottom w:val="none" w:sz="0" w:space="0" w:color="auto"/>
            <w:right w:val="none" w:sz="0" w:space="0" w:color="auto"/>
          </w:divBdr>
          <w:divsChild>
            <w:div w:id="1963730659">
              <w:marLeft w:val="0"/>
              <w:marRight w:val="0"/>
              <w:marTop w:val="0"/>
              <w:marBottom w:val="0"/>
              <w:divBdr>
                <w:top w:val="none" w:sz="0" w:space="0" w:color="auto"/>
                <w:left w:val="none" w:sz="0" w:space="0" w:color="auto"/>
                <w:bottom w:val="none" w:sz="0" w:space="0" w:color="auto"/>
                <w:right w:val="none" w:sz="0" w:space="0" w:color="auto"/>
              </w:divBdr>
              <w:divsChild>
                <w:div w:id="121926337">
                  <w:marLeft w:val="0"/>
                  <w:marRight w:val="0"/>
                  <w:marTop w:val="0"/>
                  <w:marBottom w:val="0"/>
                  <w:divBdr>
                    <w:top w:val="none" w:sz="0" w:space="0" w:color="auto"/>
                    <w:left w:val="none" w:sz="0" w:space="0" w:color="auto"/>
                    <w:bottom w:val="none" w:sz="0" w:space="0" w:color="auto"/>
                    <w:right w:val="none" w:sz="0" w:space="0" w:color="auto"/>
                  </w:divBdr>
                  <w:divsChild>
                    <w:div w:id="1161584540">
                      <w:marLeft w:val="0"/>
                      <w:marRight w:val="0"/>
                      <w:marTop w:val="0"/>
                      <w:marBottom w:val="0"/>
                      <w:divBdr>
                        <w:top w:val="none" w:sz="0" w:space="0" w:color="auto"/>
                        <w:left w:val="none" w:sz="0" w:space="0" w:color="auto"/>
                        <w:bottom w:val="none" w:sz="0" w:space="0" w:color="auto"/>
                        <w:right w:val="none" w:sz="0" w:space="0" w:color="auto"/>
                      </w:divBdr>
                      <w:divsChild>
                        <w:div w:id="1507746432">
                          <w:marLeft w:val="0"/>
                          <w:marRight w:val="0"/>
                          <w:marTop w:val="0"/>
                          <w:marBottom w:val="0"/>
                          <w:divBdr>
                            <w:top w:val="none" w:sz="0" w:space="0" w:color="auto"/>
                            <w:left w:val="none" w:sz="0" w:space="0" w:color="auto"/>
                            <w:bottom w:val="none" w:sz="0" w:space="0" w:color="auto"/>
                            <w:right w:val="none" w:sz="0" w:space="0" w:color="auto"/>
                          </w:divBdr>
                          <w:divsChild>
                            <w:div w:id="1546986501">
                              <w:marLeft w:val="0"/>
                              <w:marRight w:val="0"/>
                              <w:marTop w:val="0"/>
                              <w:marBottom w:val="0"/>
                              <w:divBdr>
                                <w:top w:val="none" w:sz="0" w:space="0" w:color="auto"/>
                                <w:left w:val="none" w:sz="0" w:space="0" w:color="auto"/>
                                <w:bottom w:val="none" w:sz="0" w:space="0" w:color="auto"/>
                                <w:right w:val="none" w:sz="0" w:space="0" w:color="auto"/>
                              </w:divBdr>
                              <w:divsChild>
                                <w:div w:id="162237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200229">
                          <w:marLeft w:val="0"/>
                          <w:marRight w:val="0"/>
                          <w:marTop w:val="0"/>
                          <w:marBottom w:val="0"/>
                          <w:divBdr>
                            <w:top w:val="none" w:sz="0" w:space="0" w:color="auto"/>
                            <w:left w:val="none" w:sz="0" w:space="0" w:color="auto"/>
                            <w:bottom w:val="none" w:sz="0" w:space="0" w:color="auto"/>
                            <w:right w:val="none" w:sz="0" w:space="0" w:color="auto"/>
                          </w:divBdr>
                          <w:divsChild>
                            <w:div w:id="1400783923">
                              <w:marLeft w:val="0"/>
                              <w:marRight w:val="0"/>
                              <w:marTop w:val="0"/>
                              <w:marBottom w:val="0"/>
                              <w:divBdr>
                                <w:top w:val="none" w:sz="0" w:space="0" w:color="auto"/>
                                <w:left w:val="none" w:sz="0" w:space="0" w:color="auto"/>
                                <w:bottom w:val="none" w:sz="0" w:space="0" w:color="auto"/>
                                <w:right w:val="none" w:sz="0" w:space="0" w:color="auto"/>
                              </w:divBdr>
                              <w:divsChild>
                                <w:div w:id="857894678">
                                  <w:marLeft w:val="0"/>
                                  <w:marRight w:val="0"/>
                                  <w:marTop w:val="0"/>
                                  <w:marBottom w:val="0"/>
                                  <w:divBdr>
                                    <w:top w:val="none" w:sz="0" w:space="0" w:color="auto"/>
                                    <w:left w:val="none" w:sz="0" w:space="0" w:color="auto"/>
                                    <w:bottom w:val="none" w:sz="0" w:space="0" w:color="auto"/>
                                    <w:right w:val="none" w:sz="0" w:space="0" w:color="auto"/>
                                  </w:divBdr>
                                  <w:divsChild>
                                    <w:div w:id="191339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544749">
              <w:marLeft w:val="0"/>
              <w:marRight w:val="0"/>
              <w:marTop w:val="0"/>
              <w:marBottom w:val="0"/>
              <w:divBdr>
                <w:top w:val="none" w:sz="0" w:space="0" w:color="auto"/>
                <w:left w:val="none" w:sz="0" w:space="0" w:color="auto"/>
                <w:bottom w:val="none" w:sz="0" w:space="0" w:color="auto"/>
                <w:right w:val="none" w:sz="0" w:space="0" w:color="auto"/>
              </w:divBdr>
              <w:divsChild>
                <w:div w:id="1364013353">
                  <w:marLeft w:val="0"/>
                  <w:marRight w:val="0"/>
                  <w:marTop w:val="0"/>
                  <w:marBottom w:val="0"/>
                  <w:divBdr>
                    <w:top w:val="none" w:sz="0" w:space="0" w:color="auto"/>
                    <w:left w:val="none" w:sz="0" w:space="0" w:color="auto"/>
                    <w:bottom w:val="none" w:sz="0" w:space="0" w:color="auto"/>
                    <w:right w:val="none" w:sz="0" w:space="0" w:color="auto"/>
                  </w:divBdr>
                  <w:divsChild>
                    <w:div w:id="145956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719336">
          <w:marLeft w:val="0"/>
          <w:marRight w:val="0"/>
          <w:marTop w:val="0"/>
          <w:marBottom w:val="0"/>
          <w:divBdr>
            <w:top w:val="none" w:sz="0" w:space="0" w:color="auto"/>
            <w:left w:val="none" w:sz="0" w:space="0" w:color="auto"/>
            <w:bottom w:val="none" w:sz="0" w:space="0" w:color="auto"/>
            <w:right w:val="none" w:sz="0" w:space="0" w:color="auto"/>
          </w:divBdr>
          <w:divsChild>
            <w:div w:id="1174027644">
              <w:marLeft w:val="0"/>
              <w:marRight w:val="0"/>
              <w:marTop w:val="0"/>
              <w:marBottom w:val="0"/>
              <w:divBdr>
                <w:top w:val="none" w:sz="0" w:space="0" w:color="auto"/>
                <w:left w:val="none" w:sz="0" w:space="0" w:color="auto"/>
                <w:bottom w:val="none" w:sz="0" w:space="0" w:color="auto"/>
                <w:right w:val="none" w:sz="0" w:space="0" w:color="auto"/>
              </w:divBdr>
              <w:divsChild>
                <w:div w:id="262304658">
                  <w:marLeft w:val="0"/>
                  <w:marRight w:val="0"/>
                  <w:marTop w:val="0"/>
                  <w:marBottom w:val="0"/>
                  <w:divBdr>
                    <w:top w:val="none" w:sz="0" w:space="0" w:color="auto"/>
                    <w:left w:val="none" w:sz="0" w:space="0" w:color="auto"/>
                    <w:bottom w:val="none" w:sz="0" w:space="0" w:color="auto"/>
                    <w:right w:val="none" w:sz="0" w:space="0" w:color="auto"/>
                  </w:divBdr>
                  <w:divsChild>
                    <w:div w:id="414283952">
                      <w:marLeft w:val="0"/>
                      <w:marRight w:val="0"/>
                      <w:marTop w:val="0"/>
                      <w:marBottom w:val="0"/>
                      <w:divBdr>
                        <w:top w:val="none" w:sz="0" w:space="0" w:color="auto"/>
                        <w:left w:val="none" w:sz="0" w:space="0" w:color="auto"/>
                        <w:bottom w:val="none" w:sz="0" w:space="0" w:color="auto"/>
                        <w:right w:val="none" w:sz="0" w:space="0" w:color="auto"/>
                      </w:divBdr>
                      <w:divsChild>
                        <w:div w:id="44959929">
                          <w:marLeft w:val="0"/>
                          <w:marRight w:val="0"/>
                          <w:marTop w:val="0"/>
                          <w:marBottom w:val="0"/>
                          <w:divBdr>
                            <w:top w:val="none" w:sz="0" w:space="0" w:color="auto"/>
                            <w:left w:val="none" w:sz="0" w:space="0" w:color="auto"/>
                            <w:bottom w:val="none" w:sz="0" w:space="0" w:color="auto"/>
                            <w:right w:val="none" w:sz="0" w:space="0" w:color="auto"/>
                          </w:divBdr>
                          <w:divsChild>
                            <w:div w:id="142418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05529">
                      <w:marLeft w:val="0"/>
                      <w:marRight w:val="0"/>
                      <w:marTop w:val="0"/>
                      <w:marBottom w:val="0"/>
                      <w:divBdr>
                        <w:top w:val="none" w:sz="0" w:space="0" w:color="auto"/>
                        <w:left w:val="none" w:sz="0" w:space="0" w:color="auto"/>
                        <w:bottom w:val="none" w:sz="0" w:space="0" w:color="auto"/>
                        <w:right w:val="none" w:sz="0" w:space="0" w:color="auto"/>
                      </w:divBdr>
                      <w:divsChild>
                        <w:div w:id="1395854376">
                          <w:marLeft w:val="0"/>
                          <w:marRight w:val="0"/>
                          <w:marTop w:val="0"/>
                          <w:marBottom w:val="0"/>
                          <w:divBdr>
                            <w:top w:val="none" w:sz="0" w:space="0" w:color="auto"/>
                            <w:left w:val="none" w:sz="0" w:space="0" w:color="auto"/>
                            <w:bottom w:val="none" w:sz="0" w:space="0" w:color="auto"/>
                            <w:right w:val="none" w:sz="0" w:space="0" w:color="auto"/>
                          </w:divBdr>
                          <w:divsChild>
                            <w:div w:id="846015700">
                              <w:marLeft w:val="0"/>
                              <w:marRight w:val="0"/>
                              <w:marTop w:val="0"/>
                              <w:marBottom w:val="0"/>
                              <w:divBdr>
                                <w:top w:val="none" w:sz="0" w:space="0" w:color="auto"/>
                                <w:left w:val="none" w:sz="0" w:space="0" w:color="auto"/>
                                <w:bottom w:val="none" w:sz="0" w:space="0" w:color="auto"/>
                                <w:right w:val="none" w:sz="0" w:space="0" w:color="auto"/>
                              </w:divBdr>
                              <w:divsChild>
                                <w:div w:id="559365362">
                                  <w:marLeft w:val="0"/>
                                  <w:marRight w:val="0"/>
                                  <w:marTop w:val="0"/>
                                  <w:marBottom w:val="0"/>
                                  <w:divBdr>
                                    <w:top w:val="none" w:sz="0" w:space="0" w:color="auto"/>
                                    <w:left w:val="none" w:sz="0" w:space="0" w:color="auto"/>
                                    <w:bottom w:val="none" w:sz="0" w:space="0" w:color="auto"/>
                                    <w:right w:val="none" w:sz="0" w:space="0" w:color="auto"/>
                                  </w:divBdr>
                                  <w:divsChild>
                                    <w:div w:id="46670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962873">
      <w:bodyDiv w:val="1"/>
      <w:marLeft w:val="0"/>
      <w:marRight w:val="0"/>
      <w:marTop w:val="0"/>
      <w:marBottom w:val="0"/>
      <w:divBdr>
        <w:top w:val="none" w:sz="0" w:space="0" w:color="auto"/>
        <w:left w:val="none" w:sz="0" w:space="0" w:color="auto"/>
        <w:bottom w:val="none" w:sz="0" w:space="0" w:color="auto"/>
        <w:right w:val="none" w:sz="0" w:space="0" w:color="auto"/>
      </w:divBdr>
    </w:div>
    <w:div w:id="878393687">
      <w:bodyDiv w:val="1"/>
      <w:marLeft w:val="0"/>
      <w:marRight w:val="0"/>
      <w:marTop w:val="0"/>
      <w:marBottom w:val="0"/>
      <w:divBdr>
        <w:top w:val="none" w:sz="0" w:space="0" w:color="auto"/>
        <w:left w:val="none" w:sz="0" w:space="0" w:color="auto"/>
        <w:bottom w:val="none" w:sz="0" w:space="0" w:color="auto"/>
        <w:right w:val="none" w:sz="0" w:space="0" w:color="auto"/>
      </w:divBdr>
    </w:div>
    <w:div w:id="881406656">
      <w:bodyDiv w:val="1"/>
      <w:marLeft w:val="0"/>
      <w:marRight w:val="0"/>
      <w:marTop w:val="0"/>
      <w:marBottom w:val="0"/>
      <w:divBdr>
        <w:top w:val="none" w:sz="0" w:space="0" w:color="auto"/>
        <w:left w:val="none" w:sz="0" w:space="0" w:color="auto"/>
        <w:bottom w:val="none" w:sz="0" w:space="0" w:color="auto"/>
        <w:right w:val="none" w:sz="0" w:space="0" w:color="auto"/>
      </w:divBdr>
    </w:div>
    <w:div w:id="883827541">
      <w:bodyDiv w:val="1"/>
      <w:marLeft w:val="0"/>
      <w:marRight w:val="0"/>
      <w:marTop w:val="0"/>
      <w:marBottom w:val="0"/>
      <w:divBdr>
        <w:top w:val="none" w:sz="0" w:space="0" w:color="auto"/>
        <w:left w:val="none" w:sz="0" w:space="0" w:color="auto"/>
        <w:bottom w:val="none" w:sz="0" w:space="0" w:color="auto"/>
        <w:right w:val="none" w:sz="0" w:space="0" w:color="auto"/>
      </w:divBdr>
    </w:div>
    <w:div w:id="883954404">
      <w:bodyDiv w:val="1"/>
      <w:marLeft w:val="0"/>
      <w:marRight w:val="0"/>
      <w:marTop w:val="0"/>
      <w:marBottom w:val="0"/>
      <w:divBdr>
        <w:top w:val="none" w:sz="0" w:space="0" w:color="auto"/>
        <w:left w:val="none" w:sz="0" w:space="0" w:color="auto"/>
        <w:bottom w:val="none" w:sz="0" w:space="0" w:color="auto"/>
        <w:right w:val="none" w:sz="0" w:space="0" w:color="auto"/>
      </w:divBdr>
      <w:divsChild>
        <w:div w:id="1947154439">
          <w:marLeft w:val="0"/>
          <w:marRight w:val="0"/>
          <w:marTop w:val="0"/>
          <w:marBottom w:val="0"/>
          <w:divBdr>
            <w:top w:val="none" w:sz="0" w:space="0" w:color="auto"/>
            <w:left w:val="none" w:sz="0" w:space="0" w:color="auto"/>
            <w:bottom w:val="none" w:sz="0" w:space="0" w:color="auto"/>
            <w:right w:val="none" w:sz="0" w:space="0" w:color="auto"/>
          </w:divBdr>
          <w:divsChild>
            <w:div w:id="366640483">
              <w:marLeft w:val="0"/>
              <w:marRight w:val="0"/>
              <w:marTop w:val="0"/>
              <w:marBottom w:val="0"/>
              <w:divBdr>
                <w:top w:val="none" w:sz="0" w:space="0" w:color="auto"/>
                <w:left w:val="none" w:sz="0" w:space="0" w:color="auto"/>
                <w:bottom w:val="none" w:sz="0" w:space="0" w:color="auto"/>
                <w:right w:val="none" w:sz="0" w:space="0" w:color="auto"/>
              </w:divBdr>
            </w:div>
          </w:divsChild>
        </w:div>
        <w:div w:id="754404806">
          <w:marLeft w:val="0"/>
          <w:marRight w:val="0"/>
          <w:marTop w:val="0"/>
          <w:marBottom w:val="0"/>
          <w:divBdr>
            <w:top w:val="none" w:sz="0" w:space="0" w:color="auto"/>
            <w:left w:val="none" w:sz="0" w:space="0" w:color="auto"/>
            <w:bottom w:val="none" w:sz="0" w:space="0" w:color="auto"/>
            <w:right w:val="none" w:sz="0" w:space="0" w:color="auto"/>
          </w:divBdr>
          <w:divsChild>
            <w:div w:id="17799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089955">
      <w:bodyDiv w:val="1"/>
      <w:marLeft w:val="0"/>
      <w:marRight w:val="0"/>
      <w:marTop w:val="0"/>
      <w:marBottom w:val="0"/>
      <w:divBdr>
        <w:top w:val="none" w:sz="0" w:space="0" w:color="auto"/>
        <w:left w:val="none" w:sz="0" w:space="0" w:color="auto"/>
        <w:bottom w:val="none" w:sz="0" w:space="0" w:color="auto"/>
        <w:right w:val="none" w:sz="0" w:space="0" w:color="auto"/>
      </w:divBdr>
    </w:div>
    <w:div w:id="916523511">
      <w:bodyDiv w:val="1"/>
      <w:marLeft w:val="0"/>
      <w:marRight w:val="0"/>
      <w:marTop w:val="0"/>
      <w:marBottom w:val="0"/>
      <w:divBdr>
        <w:top w:val="none" w:sz="0" w:space="0" w:color="auto"/>
        <w:left w:val="none" w:sz="0" w:space="0" w:color="auto"/>
        <w:bottom w:val="none" w:sz="0" w:space="0" w:color="auto"/>
        <w:right w:val="none" w:sz="0" w:space="0" w:color="auto"/>
      </w:divBdr>
    </w:div>
    <w:div w:id="920875332">
      <w:bodyDiv w:val="1"/>
      <w:marLeft w:val="0"/>
      <w:marRight w:val="0"/>
      <w:marTop w:val="0"/>
      <w:marBottom w:val="0"/>
      <w:divBdr>
        <w:top w:val="none" w:sz="0" w:space="0" w:color="auto"/>
        <w:left w:val="none" w:sz="0" w:space="0" w:color="auto"/>
        <w:bottom w:val="none" w:sz="0" w:space="0" w:color="auto"/>
        <w:right w:val="none" w:sz="0" w:space="0" w:color="auto"/>
      </w:divBdr>
    </w:div>
    <w:div w:id="921766430">
      <w:bodyDiv w:val="1"/>
      <w:marLeft w:val="0"/>
      <w:marRight w:val="0"/>
      <w:marTop w:val="0"/>
      <w:marBottom w:val="0"/>
      <w:divBdr>
        <w:top w:val="none" w:sz="0" w:space="0" w:color="auto"/>
        <w:left w:val="none" w:sz="0" w:space="0" w:color="auto"/>
        <w:bottom w:val="none" w:sz="0" w:space="0" w:color="auto"/>
        <w:right w:val="none" w:sz="0" w:space="0" w:color="auto"/>
      </w:divBdr>
    </w:div>
    <w:div w:id="933704659">
      <w:bodyDiv w:val="1"/>
      <w:marLeft w:val="0"/>
      <w:marRight w:val="0"/>
      <w:marTop w:val="0"/>
      <w:marBottom w:val="0"/>
      <w:divBdr>
        <w:top w:val="none" w:sz="0" w:space="0" w:color="auto"/>
        <w:left w:val="none" w:sz="0" w:space="0" w:color="auto"/>
        <w:bottom w:val="none" w:sz="0" w:space="0" w:color="auto"/>
        <w:right w:val="none" w:sz="0" w:space="0" w:color="auto"/>
      </w:divBdr>
    </w:div>
    <w:div w:id="939023721">
      <w:bodyDiv w:val="1"/>
      <w:marLeft w:val="0"/>
      <w:marRight w:val="0"/>
      <w:marTop w:val="0"/>
      <w:marBottom w:val="0"/>
      <w:divBdr>
        <w:top w:val="none" w:sz="0" w:space="0" w:color="auto"/>
        <w:left w:val="none" w:sz="0" w:space="0" w:color="auto"/>
        <w:bottom w:val="none" w:sz="0" w:space="0" w:color="auto"/>
        <w:right w:val="none" w:sz="0" w:space="0" w:color="auto"/>
      </w:divBdr>
      <w:divsChild>
        <w:div w:id="1895852860">
          <w:marLeft w:val="0"/>
          <w:marRight w:val="0"/>
          <w:marTop w:val="0"/>
          <w:marBottom w:val="0"/>
          <w:divBdr>
            <w:top w:val="none" w:sz="0" w:space="0" w:color="auto"/>
            <w:left w:val="none" w:sz="0" w:space="0" w:color="auto"/>
            <w:bottom w:val="none" w:sz="0" w:space="0" w:color="auto"/>
            <w:right w:val="none" w:sz="0" w:space="0" w:color="auto"/>
          </w:divBdr>
          <w:divsChild>
            <w:div w:id="1078558508">
              <w:marLeft w:val="0"/>
              <w:marRight w:val="0"/>
              <w:marTop w:val="0"/>
              <w:marBottom w:val="0"/>
              <w:divBdr>
                <w:top w:val="none" w:sz="0" w:space="0" w:color="auto"/>
                <w:left w:val="none" w:sz="0" w:space="0" w:color="auto"/>
                <w:bottom w:val="none" w:sz="0" w:space="0" w:color="auto"/>
                <w:right w:val="none" w:sz="0" w:space="0" w:color="auto"/>
              </w:divBdr>
              <w:divsChild>
                <w:div w:id="745953508">
                  <w:marLeft w:val="0"/>
                  <w:marRight w:val="0"/>
                  <w:marTop w:val="0"/>
                  <w:marBottom w:val="0"/>
                  <w:divBdr>
                    <w:top w:val="none" w:sz="0" w:space="0" w:color="auto"/>
                    <w:left w:val="none" w:sz="0" w:space="0" w:color="auto"/>
                    <w:bottom w:val="none" w:sz="0" w:space="0" w:color="auto"/>
                    <w:right w:val="none" w:sz="0" w:space="0" w:color="auto"/>
                  </w:divBdr>
                  <w:divsChild>
                    <w:div w:id="1965648910">
                      <w:marLeft w:val="0"/>
                      <w:marRight w:val="0"/>
                      <w:marTop w:val="0"/>
                      <w:marBottom w:val="0"/>
                      <w:divBdr>
                        <w:top w:val="none" w:sz="0" w:space="0" w:color="auto"/>
                        <w:left w:val="none" w:sz="0" w:space="0" w:color="auto"/>
                        <w:bottom w:val="none" w:sz="0" w:space="0" w:color="auto"/>
                        <w:right w:val="none" w:sz="0" w:space="0" w:color="auto"/>
                      </w:divBdr>
                      <w:divsChild>
                        <w:div w:id="655648792">
                          <w:marLeft w:val="0"/>
                          <w:marRight w:val="0"/>
                          <w:marTop w:val="0"/>
                          <w:marBottom w:val="0"/>
                          <w:divBdr>
                            <w:top w:val="none" w:sz="0" w:space="0" w:color="auto"/>
                            <w:left w:val="none" w:sz="0" w:space="0" w:color="auto"/>
                            <w:bottom w:val="none" w:sz="0" w:space="0" w:color="auto"/>
                            <w:right w:val="none" w:sz="0" w:space="0" w:color="auto"/>
                          </w:divBdr>
                          <w:divsChild>
                            <w:div w:id="2434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51971">
                      <w:marLeft w:val="0"/>
                      <w:marRight w:val="0"/>
                      <w:marTop w:val="0"/>
                      <w:marBottom w:val="0"/>
                      <w:divBdr>
                        <w:top w:val="none" w:sz="0" w:space="0" w:color="auto"/>
                        <w:left w:val="none" w:sz="0" w:space="0" w:color="auto"/>
                        <w:bottom w:val="none" w:sz="0" w:space="0" w:color="auto"/>
                        <w:right w:val="none" w:sz="0" w:space="0" w:color="auto"/>
                      </w:divBdr>
                      <w:divsChild>
                        <w:div w:id="1093941735">
                          <w:marLeft w:val="0"/>
                          <w:marRight w:val="0"/>
                          <w:marTop w:val="0"/>
                          <w:marBottom w:val="0"/>
                          <w:divBdr>
                            <w:top w:val="none" w:sz="0" w:space="0" w:color="auto"/>
                            <w:left w:val="none" w:sz="0" w:space="0" w:color="auto"/>
                            <w:bottom w:val="none" w:sz="0" w:space="0" w:color="auto"/>
                            <w:right w:val="none" w:sz="0" w:space="0" w:color="auto"/>
                          </w:divBdr>
                          <w:divsChild>
                            <w:div w:id="1915970609">
                              <w:marLeft w:val="0"/>
                              <w:marRight w:val="0"/>
                              <w:marTop w:val="0"/>
                              <w:marBottom w:val="0"/>
                              <w:divBdr>
                                <w:top w:val="none" w:sz="0" w:space="0" w:color="auto"/>
                                <w:left w:val="none" w:sz="0" w:space="0" w:color="auto"/>
                                <w:bottom w:val="none" w:sz="0" w:space="0" w:color="auto"/>
                                <w:right w:val="none" w:sz="0" w:space="0" w:color="auto"/>
                              </w:divBdr>
                              <w:divsChild>
                                <w:div w:id="1214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93418">
          <w:marLeft w:val="0"/>
          <w:marRight w:val="0"/>
          <w:marTop w:val="0"/>
          <w:marBottom w:val="0"/>
          <w:divBdr>
            <w:top w:val="none" w:sz="0" w:space="0" w:color="auto"/>
            <w:left w:val="none" w:sz="0" w:space="0" w:color="auto"/>
            <w:bottom w:val="none" w:sz="0" w:space="0" w:color="auto"/>
            <w:right w:val="none" w:sz="0" w:space="0" w:color="auto"/>
          </w:divBdr>
          <w:divsChild>
            <w:div w:id="974531621">
              <w:marLeft w:val="0"/>
              <w:marRight w:val="0"/>
              <w:marTop w:val="0"/>
              <w:marBottom w:val="0"/>
              <w:divBdr>
                <w:top w:val="none" w:sz="0" w:space="0" w:color="auto"/>
                <w:left w:val="none" w:sz="0" w:space="0" w:color="auto"/>
                <w:bottom w:val="none" w:sz="0" w:space="0" w:color="auto"/>
                <w:right w:val="none" w:sz="0" w:space="0" w:color="auto"/>
              </w:divBdr>
              <w:divsChild>
                <w:div w:id="643703688">
                  <w:marLeft w:val="0"/>
                  <w:marRight w:val="0"/>
                  <w:marTop w:val="0"/>
                  <w:marBottom w:val="0"/>
                  <w:divBdr>
                    <w:top w:val="none" w:sz="0" w:space="0" w:color="auto"/>
                    <w:left w:val="none" w:sz="0" w:space="0" w:color="auto"/>
                    <w:bottom w:val="none" w:sz="0" w:space="0" w:color="auto"/>
                    <w:right w:val="none" w:sz="0" w:space="0" w:color="auto"/>
                  </w:divBdr>
                  <w:divsChild>
                    <w:div w:id="1225146477">
                      <w:marLeft w:val="0"/>
                      <w:marRight w:val="0"/>
                      <w:marTop w:val="0"/>
                      <w:marBottom w:val="0"/>
                      <w:divBdr>
                        <w:top w:val="none" w:sz="0" w:space="0" w:color="auto"/>
                        <w:left w:val="none" w:sz="0" w:space="0" w:color="auto"/>
                        <w:bottom w:val="none" w:sz="0" w:space="0" w:color="auto"/>
                        <w:right w:val="none" w:sz="0" w:space="0" w:color="auto"/>
                      </w:divBdr>
                      <w:divsChild>
                        <w:div w:id="676494710">
                          <w:marLeft w:val="0"/>
                          <w:marRight w:val="0"/>
                          <w:marTop w:val="0"/>
                          <w:marBottom w:val="0"/>
                          <w:divBdr>
                            <w:top w:val="none" w:sz="0" w:space="0" w:color="auto"/>
                            <w:left w:val="none" w:sz="0" w:space="0" w:color="auto"/>
                            <w:bottom w:val="none" w:sz="0" w:space="0" w:color="auto"/>
                            <w:right w:val="none" w:sz="0" w:space="0" w:color="auto"/>
                          </w:divBdr>
                          <w:divsChild>
                            <w:div w:id="133186415">
                              <w:marLeft w:val="0"/>
                              <w:marRight w:val="0"/>
                              <w:marTop w:val="0"/>
                              <w:marBottom w:val="0"/>
                              <w:divBdr>
                                <w:top w:val="none" w:sz="0" w:space="0" w:color="auto"/>
                                <w:left w:val="none" w:sz="0" w:space="0" w:color="auto"/>
                                <w:bottom w:val="none" w:sz="0" w:space="0" w:color="auto"/>
                                <w:right w:val="none" w:sz="0" w:space="0" w:color="auto"/>
                              </w:divBdr>
                            </w:div>
                          </w:divsChild>
                        </w:div>
                        <w:div w:id="8915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063310">
          <w:marLeft w:val="0"/>
          <w:marRight w:val="0"/>
          <w:marTop w:val="0"/>
          <w:marBottom w:val="0"/>
          <w:divBdr>
            <w:top w:val="none" w:sz="0" w:space="0" w:color="auto"/>
            <w:left w:val="none" w:sz="0" w:space="0" w:color="auto"/>
            <w:bottom w:val="none" w:sz="0" w:space="0" w:color="auto"/>
            <w:right w:val="none" w:sz="0" w:space="0" w:color="auto"/>
          </w:divBdr>
          <w:divsChild>
            <w:div w:id="1688092925">
              <w:marLeft w:val="0"/>
              <w:marRight w:val="0"/>
              <w:marTop w:val="0"/>
              <w:marBottom w:val="0"/>
              <w:divBdr>
                <w:top w:val="none" w:sz="0" w:space="0" w:color="auto"/>
                <w:left w:val="none" w:sz="0" w:space="0" w:color="auto"/>
                <w:bottom w:val="none" w:sz="0" w:space="0" w:color="auto"/>
                <w:right w:val="none" w:sz="0" w:space="0" w:color="auto"/>
              </w:divBdr>
              <w:divsChild>
                <w:div w:id="500393653">
                  <w:marLeft w:val="0"/>
                  <w:marRight w:val="0"/>
                  <w:marTop w:val="0"/>
                  <w:marBottom w:val="0"/>
                  <w:divBdr>
                    <w:top w:val="none" w:sz="0" w:space="0" w:color="auto"/>
                    <w:left w:val="none" w:sz="0" w:space="0" w:color="auto"/>
                    <w:bottom w:val="none" w:sz="0" w:space="0" w:color="auto"/>
                    <w:right w:val="none" w:sz="0" w:space="0" w:color="auto"/>
                  </w:divBdr>
                  <w:divsChild>
                    <w:div w:id="592249450">
                      <w:marLeft w:val="0"/>
                      <w:marRight w:val="0"/>
                      <w:marTop w:val="0"/>
                      <w:marBottom w:val="0"/>
                      <w:divBdr>
                        <w:top w:val="none" w:sz="0" w:space="0" w:color="auto"/>
                        <w:left w:val="none" w:sz="0" w:space="0" w:color="auto"/>
                        <w:bottom w:val="none" w:sz="0" w:space="0" w:color="auto"/>
                        <w:right w:val="none" w:sz="0" w:space="0" w:color="auto"/>
                      </w:divBdr>
                      <w:divsChild>
                        <w:div w:id="427310709">
                          <w:marLeft w:val="0"/>
                          <w:marRight w:val="0"/>
                          <w:marTop w:val="0"/>
                          <w:marBottom w:val="0"/>
                          <w:divBdr>
                            <w:top w:val="none" w:sz="0" w:space="0" w:color="auto"/>
                            <w:left w:val="none" w:sz="0" w:space="0" w:color="auto"/>
                            <w:bottom w:val="none" w:sz="0" w:space="0" w:color="auto"/>
                            <w:right w:val="none" w:sz="0" w:space="0" w:color="auto"/>
                          </w:divBdr>
                          <w:divsChild>
                            <w:div w:id="1921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959471">
      <w:bodyDiv w:val="1"/>
      <w:marLeft w:val="0"/>
      <w:marRight w:val="0"/>
      <w:marTop w:val="0"/>
      <w:marBottom w:val="0"/>
      <w:divBdr>
        <w:top w:val="none" w:sz="0" w:space="0" w:color="auto"/>
        <w:left w:val="none" w:sz="0" w:space="0" w:color="auto"/>
        <w:bottom w:val="none" w:sz="0" w:space="0" w:color="auto"/>
        <w:right w:val="none" w:sz="0" w:space="0" w:color="auto"/>
      </w:divBdr>
      <w:divsChild>
        <w:div w:id="2113938356">
          <w:marLeft w:val="0"/>
          <w:marRight w:val="0"/>
          <w:marTop w:val="0"/>
          <w:marBottom w:val="0"/>
          <w:divBdr>
            <w:top w:val="none" w:sz="0" w:space="0" w:color="auto"/>
            <w:left w:val="none" w:sz="0" w:space="0" w:color="auto"/>
            <w:bottom w:val="none" w:sz="0" w:space="0" w:color="auto"/>
            <w:right w:val="none" w:sz="0" w:space="0" w:color="auto"/>
          </w:divBdr>
          <w:divsChild>
            <w:div w:id="1969121764">
              <w:marLeft w:val="0"/>
              <w:marRight w:val="0"/>
              <w:marTop w:val="0"/>
              <w:marBottom w:val="0"/>
              <w:divBdr>
                <w:top w:val="none" w:sz="0" w:space="0" w:color="auto"/>
                <w:left w:val="none" w:sz="0" w:space="0" w:color="auto"/>
                <w:bottom w:val="none" w:sz="0" w:space="0" w:color="auto"/>
                <w:right w:val="none" w:sz="0" w:space="0" w:color="auto"/>
              </w:divBdr>
            </w:div>
          </w:divsChild>
        </w:div>
        <w:div w:id="471101866">
          <w:marLeft w:val="0"/>
          <w:marRight w:val="0"/>
          <w:marTop w:val="0"/>
          <w:marBottom w:val="0"/>
          <w:divBdr>
            <w:top w:val="none" w:sz="0" w:space="0" w:color="auto"/>
            <w:left w:val="none" w:sz="0" w:space="0" w:color="auto"/>
            <w:bottom w:val="none" w:sz="0" w:space="0" w:color="auto"/>
            <w:right w:val="none" w:sz="0" w:space="0" w:color="auto"/>
          </w:divBdr>
          <w:divsChild>
            <w:div w:id="118011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49257">
      <w:bodyDiv w:val="1"/>
      <w:marLeft w:val="0"/>
      <w:marRight w:val="0"/>
      <w:marTop w:val="0"/>
      <w:marBottom w:val="0"/>
      <w:divBdr>
        <w:top w:val="none" w:sz="0" w:space="0" w:color="auto"/>
        <w:left w:val="none" w:sz="0" w:space="0" w:color="auto"/>
        <w:bottom w:val="none" w:sz="0" w:space="0" w:color="auto"/>
        <w:right w:val="none" w:sz="0" w:space="0" w:color="auto"/>
      </w:divBdr>
    </w:div>
    <w:div w:id="949891741">
      <w:bodyDiv w:val="1"/>
      <w:marLeft w:val="0"/>
      <w:marRight w:val="0"/>
      <w:marTop w:val="0"/>
      <w:marBottom w:val="0"/>
      <w:divBdr>
        <w:top w:val="none" w:sz="0" w:space="0" w:color="auto"/>
        <w:left w:val="none" w:sz="0" w:space="0" w:color="auto"/>
        <w:bottom w:val="none" w:sz="0" w:space="0" w:color="auto"/>
        <w:right w:val="none" w:sz="0" w:space="0" w:color="auto"/>
      </w:divBdr>
    </w:div>
    <w:div w:id="959528371">
      <w:bodyDiv w:val="1"/>
      <w:marLeft w:val="0"/>
      <w:marRight w:val="0"/>
      <w:marTop w:val="0"/>
      <w:marBottom w:val="0"/>
      <w:divBdr>
        <w:top w:val="none" w:sz="0" w:space="0" w:color="auto"/>
        <w:left w:val="none" w:sz="0" w:space="0" w:color="auto"/>
        <w:bottom w:val="none" w:sz="0" w:space="0" w:color="auto"/>
        <w:right w:val="none" w:sz="0" w:space="0" w:color="auto"/>
      </w:divBdr>
    </w:div>
    <w:div w:id="960305346">
      <w:bodyDiv w:val="1"/>
      <w:marLeft w:val="0"/>
      <w:marRight w:val="0"/>
      <w:marTop w:val="0"/>
      <w:marBottom w:val="0"/>
      <w:divBdr>
        <w:top w:val="none" w:sz="0" w:space="0" w:color="auto"/>
        <w:left w:val="none" w:sz="0" w:space="0" w:color="auto"/>
        <w:bottom w:val="none" w:sz="0" w:space="0" w:color="auto"/>
        <w:right w:val="none" w:sz="0" w:space="0" w:color="auto"/>
      </w:divBdr>
    </w:div>
    <w:div w:id="960765277">
      <w:bodyDiv w:val="1"/>
      <w:marLeft w:val="0"/>
      <w:marRight w:val="0"/>
      <w:marTop w:val="0"/>
      <w:marBottom w:val="0"/>
      <w:divBdr>
        <w:top w:val="none" w:sz="0" w:space="0" w:color="auto"/>
        <w:left w:val="none" w:sz="0" w:space="0" w:color="auto"/>
        <w:bottom w:val="none" w:sz="0" w:space="0" w:color="auto"/>
        <w:right w:val="none" w:sz="0" w:space="0" w:color="auto"/>
      </w:divBdr>
    </w:div>
    <w:div w:id="963268375">
      <w:bodyDiv w:val="1"/>
      <w:marLeft w:val="0"/>
      <w:marRight w:val="0"/>
      <w:marTop w:val="0"/>
      <w:marBottom w:val="0"/>
      <w:divBdr>
        <w:top w:val="none" w:sz="0" w:space="0" w:color="auto"/>
        <w:left w:val="none" w:sz="0" w:space="0" w:color="auto"/>
        <w:bottom w:val="none" w:sz="0" w:space="0" w:color="auto"/>
        <w:right w:val="none" w:sz="0" w:space="0" w:color="auto"/>
      </w:divBdr>
      <w:divsChild>
        <w:div w:id="1760635505">
          <w:marLeft w:val="0"/>
          <w:marRight w:val="0"/>
          <w:marTop w:val="0"/>
          <w:marBottom w:val="0"/>
          <w:divBdr>
            <w:top w:val="none" w:sz="0" w:space="0" w:color="auto"/>
            <w:left w:val="none" w:sz="0" w:space="0" w:color="auto"/>
            <w:bottom w:val="none" w:sz="0" w:space="0" w:color="auto"/>
            <w:right w:val="none" w:sz="0" w:space="0" w:color="auto"/>
          </w:divBdr>
          <w:divsChild>
            <w:div w:id="545409489">
              <w:marLeft w:val="0"/>
              <w:marRight w:val="0"/>
              <w:marTop w:val="0"/>
              <w:marBottom w:val="0"/>
              <w:divBdr>
                <w:top w:val="none" w:sz="0" w:space="0" w:color="auto"/>
                <w:left w:val="none" w:sz="0" w:space="0" w:color="auto"/>
                <w:bottom w:val="none" w:sz="0" w:space="0" w:color="auto"/>
                <w:right w:val="none" w:sz="0" w:space="0" w:color="auto"/>
              </w:divBdr>
            </w:div>
          </w:divsChild>
        </w:div>
        <w:div w:id="747504138">
          <w:marLeft w:val="0"/>
          <w:marRight w:val="0"/>
          <w:marTop w:val="0"/>
          <w:marBottom w:val="0"/>
          <w:divBdr>
            <w:top w:val="none" w:sz="0" w:space="0" w:color="auto"/>
            <w:left w:val="none" w:sz="0" w:space="0" w:color="auto"/>
            <w:bottom w:val="none" w:sz="0" w:space="0" w:color="auto"/>
            <w:right w:val="none" w:sz="0" w:space="0" w:color="auto"/>
          </w:divBdr>
          <w:divsChild>
            <w:div w:id="1329871754">
              <w:marLeft w:val="0"/>
              <w:marRight w:val="0"/>
              <w:marTop w:val="0"/>
              <w:marBottom w:val="0"/>
              <w:divBdr>
                <w:top w:val="none" w:sz="0" w:space="0" w:color="auto"/>
                <w:left w:val="none" w:sz="0" w:space="0" w:color="auto"/>
                <w:bottom w:val="none" w:sz="0" w:space="0" w:color="auto"/>
                <w:right w:val="none" w:sz="0" w:space="0" w:color="auto"/>
              </w:divBdr>
            </w:div>
          </w:divsChild>
        </w:div>
        <w:div w:id="1612857120">
          <w:marLeft w:val="0"/>
          <w:marRight w:val="0"/>
          <w:marTop w:val="0"/>
          <w:marBottom w:val="0"/>
          <w:divBdr>
            <w:top w:val="none" w:sz="0" w:space="0" w:color="auto"/>
            <w:left w:val="none" w:sz="0" w:space="0" w:color="auto"/>
            <w:bottom w:val="none" w:sz="0" w:space="0" w:color="auto"/>
            <w:right w:val="none" w:sz="0" w:space="0" w:color="auto"/>
          </w:divBdr>
          <w:divsChild>
            <w:div w:id="137769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4667">
      <w:bodyDiv w:val="1"/>
      <w:marLeft w:val="0"/>
      <w:marRight w:val="0"/>
      <w:marTop w:val="0"/>
      <w:marBottom w:val="0"/>
      <w:divBdr>
        <w:top w:val="none" w:sz="0" w:space="0" w:color="auto"/>
        <w:left w:val="none" w:sz="0" w:space="0" w:color="auto"/>
        <w:bottom w:val="none" w:sz="0" w:space="0" w:color="auto"/>
        <w:right w:val="none" w:sz="0" w:space="0" w:color="auto"/>
      </w:divBdr>
    </w:div>
    <w:div w:id="974531518">
      <w:bodyDiv w:val="1"/>
      <w:marLeft w:val="0"/>
      <w:marRight w:val="0"/>
      <w:marTop w:val="0"/>
      <w:marBottom w:val="0"/>
      <w:divBdr>
        <w:top w:val="none" w:sz="0" w:space="0" w:color="auto"/>
        <w:left w:val="none" w:sz="0" w:space="0" w:color="auto"/>
        <w:bottom w:val="none" w:sz="0" w:space="0" w:color="auto"/>
        <w:right w:val="none" w:sz="0" w:space="0" w:color="auto"/>
      </w:divBdr>
    </w:div>
    <w:div w:id="991174073">
      <w:bodyDiv w:val="1"/>
      <w:marLeft w:val="0"/>
      <w:marRight w:val="0"/>
      <w:marTop w:val="0"/>
      <w:marBottom w:val="0"/>
      <w:divBdr>
        <w:top w:val="none" w:sz="0" w:space="0" w:color="auto"/>
        <w:left w:val="none" w:sz="0" w:space="0" w:color="auto"/>
        <w:bottom w:val="none" w:sz="0" w:space="0" w:color="auto"/>
        <w:right w:val="none" w:sz="0" w:space="0" w:color="auto"/>
      </w:divBdr>
    </w:div>
    <w:div w:id="998465867">
      <w:bodyDiv w:val="1"/>
      <w:marLeft w:val="0"/>
      <w:marRight w:val="0"/>
      <w:marTop w:val="0"/>
      <w:marBottom w:val="0"/>
      <w:divBdr>
        <w:top w:val="none" w:sz="0" w:space="0" w:color="auto"/>
        <w:left w:val="none" w:sz="0" w:space="0" w:color="auto"/>
        <w:bottom w:val="none" w:sz="0" w:space="0" w:color="auto"/>
        <w:right w:val="none" w:sz="0" w:space="0" w:color="auto"/>
      </w:divBdr>
    </w:div>
    <w:div w:id="1002049204">
      <w:bodyDiv w:val="1"/>
      <w:marLeft w:val="0"/>
      <w:marRight w:val="0"/>
      <w:marTop w:val="0"/>
      <w:marBottom w:val="0"/>
      <w:divBdr>
        <w:top w:val="none" w:sz="0" w:space="0" w:color="auto"/>
        <w:left w:val="none" w:sz="0" w:space="0" w:color="auto"/>
        <w:bottom w:val="none" w:sz="0" w:space="0" w:color="auto"/>
        <w:right w:val="none" w:sz="0" w:space="0" w:color="auto"/>
      </w:divBdr>
      <w:divsChild>
        <w:div w:id="419760564">
          <w:marLeft w:val="0"/>
          <w:marRight w:val="0"/>
          <w:marTop w:val="0"/>
          <w:marBottom w:val="0"/>
          <w:divBdr>
            <w:top w:val="none" w:sz="0" w:space="0" w:color="auto"/>
            <w:left w:val="none" w:sz="0" w:space="0" w:color="auto"/>
            <w:bottom w:val="none" w:sz="0" w:space="0" w:color="auto"/>
            <w:right w:val="none" w:sz="0" w:space="0" w:color="auto"/>
          </w:divBdr>
          <w:divsChild>
            <w:div w:id="1984188123">
              <w:marLeft w:val="0"/>
              <w:marRight w:val="0"/>
              <w:marTop w:val="0"/>
              <w:marBottom w:val="0"/>
              <w:divBdr>
                <w:top w:val="none" w:sz="0" w:space="0" w:color="auto"/>
                <w:left w:val="none" w:sz="0" w:space="0" w:color="auto"/>
                <w:bottom w:val="none" w:sz="0" w:space="0" w:color="auto"/>
                <w:right w:val="none" w:sz="0" w:space="0" w:color="auto"/>
              </w:divBdr>
              <w:divsChild>
                <w:div w:id="124854871">
                  <w:marLeft w:val="0"/>
                  <w:marRight w:val="0"/>
                  <w:marTop w:val="0"/>
                  <w:marBottom w:val="0"/>
                  <w:divBdr>
                    <w:top w:val="none" w:sz="0" w:space="0" w:color="auto"/>
                    <w:left w:val="none" w:sz="0" w:space="0" w:color="auto"/>
                    <w:bottom w:val="none" w:sz="0" w:space="0" w:color="auto"/>
                    <w:right w:val="none" w:sz="0" w:space="0" w:color="auto"/>
                  </w:divBdr>
                  <w:divsChild>
                    <w:div w:id="32466434">
                      <w:marLeft w:val="0"/>
                      <w:marRight w:val="0"/>
                      <w:marTop w:val="0"/>
                      <w:marBottom w:val="0"/>
                      <w:divBdr>
                        <w:top w:val="none" w:sz="0" w:space="0" w:color="auto"/>
                        <w:left w:val="none" w:sz="0" w:space="0" w:color="auto"/>
                        <w:bottom w:val="none" w:sz="0" w:space="0" w:color="auto"/>
                        <w:right w:val="none" w:sz="0" w:space="0" w:color="auto"/>
                      </w:divBdr>
                      <w:divsChild>
                        <w:div w:id="279919614">
                          <w:marLeft w:val="0"/>
                          <w:marRight w:val="0"/>
                          <w:marTop w:val="0"/>
                          <w:marBottom w:val="0"/>
                          <w:divBdr>
                            <w:top w:val="none" w:sz="0" w:space="0" w:color="auto"/>
                            <w:left w:val="none" w:sz="0" w:space="0" w:color="auto"/>
                            <w:bottom w:val="none" w:sz="0" w:space="0" w:color="auto"/>
                            <w:right w:val="none" w:sz="0" w:space="0" w:color="auto"/>
                          </w:divBdr>
                          <w:divsChild>
                            <w:div w:id="572472188">
                              <w:marLeft w:val="0"/>
                              <w:marRight w:val="0"/>
                              <w:marTop w:val="0"/>
                              <w:marBottom w:val="0"/>
                              <w:divBdr>
                                <w:top w:val="none" w:sz="0" w:space="0" w:color="auto"/>
                                <w:left w:val="none" w:sz="0" w:space="0" w:color="auto"/>
                                <w:bottom w:val="none" w:sz="0" w:space="0" w:color="auto"/>
                                <w:right w:val="none" w:sz="0" w:space="0" w:color="auto"/>
                              </w:divBdr>
                              <w:divsChild>
                                <w:div w:id="63768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2876">
                          <w:marLeft w:val="0"/>
                          <w:marRight w:val="0"/>
                          <w:marTop w:val="0"/>
                          <w:marBottom w:val="0"/>
                          <w:divBdr>
                            <w:top w:val="none" w:sz="0" w:space="0" w:color="auto"/>
                            <w:left w:val="none" w:sz="0" w:space="0" w:color="auto"/>
                            <w:bottom w:val="none" w:sz="0" w:space="0" w:color="auto"/>
                            <w:right w:val="none" w:sz="0" w:space="0" w:color="auto"/>
                          </w:divBdr>
                          <w:divsChild>
                            <w:div w:id="1124930683">
                              <w:marLeft w:val="0"/>
                              <w:marRight w:val="0"/>
                              <w:marTop w:val="0"/>
                              <w:marBottom w:val="0"/>
                              <w:divBdr>
                                <w:top w:val="none" w:sz="0" w:space="0" w:color="auto"/>
                                <w:left w:val="none" w:sz="0" w:space="0" w:color="auto"/>
                                <w:bottom w:val="none" w:sz="0" w:space="0" w:color="auto"/>
                                <w:right w:val="none" w:sz="0" w:space="0" w:color="auto"/>
                              </w:divBdr>
                              <w:divsChild>
                                <w:div w:id="296642309">
                                  <w:marLeft w:val="0"/>
                                  <w:marRight w:val="0"/>
                                  <w:marTop w:val="0"/>
                                  <w:marBottom w:val="0"/>
                                  <w:divBdr>
                                    <w:top w:val="none" w:sz="0" w:space="0" w:color="auto"/>
                                    <w:left w:val="none" w:sz="0" w:space="0" w:color="auto"/>
                                    <w:bottom w:val="none" w:sz="0" w:space="0" w:color="auto"/>
                                    <w:right w:val="none" w:sz="0" w:space="0" w:color="auto"/>
                                  </w:divBdr>
                                  <w:divsChild>
                                    <w:div w:id="19019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405893">
              <w:marLeft w:val="0"/>
              <w:marRight w:val="0"/>
              <w:marTop w:val="0"/>
              <w:marBottom w:val="0"/>
              <w:divBdr>
                <w:top w:val="none" w:sz="0" w:space="0" w:color="auto"/>
                <w:left w:val="none" w:sz="0" w:space="0" w:color="auto"/>
                <w:bottom w:val="none" w:sz="0" w:space="0" w:color="auto"/>
                <w:right w:val="none" w:sz="0" w:space="0" w:color="auto"/>
              </w:divBdr>
              <w:divsChild>
                <w:div w:id="662664047">
                  <w:marLeft w:val="0"/>
                  <w:marRight w:val="0"/>
                  <w:marTop w:val="0"/>
                  <w:marBottom w:val="0"/>
                  <w:divBdr>
                    <w:top w:val="none" w:sz="0" w:space="0" w:color="auto"/>
                    <w:left w:val="none" w:sz="0" w:space="0" w:color="auto"/>
                    <w:bottom w:val="none" w:sz="0" w:space="0" w:color="auto"/>
                    <w:right w:val="none" w:sz="0" w:space="0" w:color="auto"/>
                  </w:divBdr>
                  <w:divsChild>
                    <w:div w:id="104125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636957">
      <w:bodyDiv w:val="1"/>
      <w:marLeft w:val="0"/>
      <w:marRight w:val="0"/>
      <w:marTop w:val="0"/>
      <w:marBottom w:val="0"/>
      <w:divBdr>
        <w:top w:val="none" w:sz="0" w:space="0" w:color="auto"/>
        <w:left w:val="none" w:sz="0" w:space="0" w:color="auto"/>
        <w:bottom w:val="none" w:sz="0" w:space="0" w:color="auto"/>
        <w:right w:val="none" w:sz="0" w:space="0" w:color="auto"/>
      </w:divBdr>
    </w:div>
    <w:div w:id="1010717388">
      <w:bodyDiv w:val="1"/>
      <w:marLeft w:val="0"/>
      <w:marRight w:val="0"/>
      <w:marTop w:val="0"/>
      <w:marBottom w:val="0"/>
      <w:divBdr>
        <w:top w:val="none" w:sz="0" w:space="0" w:color="auto"/>
        <w:left w:val="none" w:sz="0" w:space="0" w:color="auto"/>
        <w:bottom w:val="none" w:sz="0" w:space="0" w:color="auto"/>
        <w:right w:val="none" w:sz="0" w:space="0" w:color="auto"/>
      </w:divBdr>
    </w:div>
    <w:div w:id="1015423527">
      <w:bodyDiv w:val="1"/>
      <w:marLeft w:val="0"/>
      <w:marRight w:val="0"/>
      <w:marTop w:val="0"/>
      <w:marBottom w:val="0"/>
      <w:divBdr>
        <w:top w:val="none" w:sz="0" w:space="0" w:color="auto"/>
        <w:left w:val="none" w:sz="0" w:space="0" w:color="auto"/>
        <w:bottom w:val="none" w:sz="0" w:space="0" w:color="auto"/>
        <w:right w:val="none" w:sz="0" w:space="0" w:color="auto"/>
      </w:divBdr>
    </w:div>
    <w:div w:id="1017855121">
      <w:bodyDiv w:val="1"/>
      <w:marLeft w:val="0"/>
      <w:marRight w:val="0"/>
      <w:marTop w:val="0"/>
      <w:marBottom w:val="0"/>
      <w:divBdr>
        <w:top w:val="none" w:sz="0" w:space="0" w:color="auto"/>
        <w:left w:val="none" w:sz="0" w:space="0" w:color="auto"/>
        <w:bottom w:val="none" w:sz="0" w:space="0" w:color="auto"/>
        <w:right w:val="none" w:sz="0" w:space="0" w:color="auto"/>
      </w:divBdr>
    </w:div>
    <w:div w:id="1018000937">
      <w:bodyDiv w:val="1"/>
      <w:marLeft w:val="0"/>
      <w:marRight w:val="0"/>
      <w:marTop w:val="0"/>
      <w:marBottom w:val="0"/>
      <w:divBdr>
        <w:top w:val="none" w:sz="0" w:space="0" w:color="auto"/>
        <w:left w:val="none" w:sz="0" w:space="0" w:color="auto"/>
        <w:bottom w:val="none" w:sz="0" w:space="0" w:color="auto"/>
        <w:right w:val="none" w:sz="0" w:space="0" w:color="auto"/>
      </w:divBdr>
    </w:div>
    <w:div w:id="1025059659">
      <w:bodyDiv w:val="1"/>
      <w:marLeft w:val="0"/>
      <w:marRight w:val="0"/>
      <w:marTop w:val="0"/>
      <w:marBottom w:val="0"/>
      <w:divBdr>
        <w:top w:val="none" w:sz="0" w:space="0" w:color="auto"/>
        <w:left w:val="none" w:sz="0" w:space="0" w:color="auto"/>
        <w:bottom w:val="none" w:sz="0" w:space="0" w:color="auto"/>
        <w:right w:val="none" w:sz="0" w:space="0" w:color="auto"/>
      </w:divBdr>
    </w:div>
    <w:div w:id="1029570931">
      <w:bodyDiv w:val="1"/>
      <w:marLeft w:val="0"/>
      <w:marRight w:val="0"/>
      <w:marTop w:val="0"/>
      <w:marBottom w:val="0"/>
      <w:divBdr>
        <w:top w:val="none" w:sz="0" w:space="0" w:color="auto"/>
        <w:left w:val="none" w:sz="0" w:space="0" w:color="auto"/>
        <w:bottom w:val="none" w:sz="0" w:space="0" w:color="auto"/>
        <w:right w:val="none" w:sz="0" w:space="0" w:color="auto"/>
      </w:divBdr>
    </w:div>
    <w:div w:id="1032875887">
      <w:bodyDiv w:val="1"/>
      <w:marLeft w:val="0"/>
      <w:marRight w:val="0"/>
      <w:marTop w:val="0"/>
      <w:marBottom w:val="0"/>
      <w:divBdr>
        <w:top w:val="none" w:sz="0" w:space="0" w:color="auto"/>
        <w:left w:val="none" w:sz="0" w:space="0" w:color="auto"/>
        <w:bottom w:val="none" w:sz="0" w:space="0" w:color="auto"/>
        <w:right w:val="none" w:sz="0" w:space="0" w:color="auto"/>
      </w:divBdr>
    </w:div>
    <w:div w:id="1037314841">
      <w:bodyDiv w:val="1"/>
      <w:marLeft w:val="0"/>
      <w:marRight w:val="0"/>
      <w:marTop w:val="0"/>
      <w:marBottom w:val="0"/>
      <w:divBdr>
        <w:top w:val="none" w:sz="0" w:space="0" w:color="auto"/>
        <w:left w:val="none" w:sz="0" w:space="0" w:color="auto"/>
        <w:bottom w:val="none" w:sz="0" w:space="0" w:color="auto"/>
        <w:right w:val="none" w:sz="0" w:space="0" w:color="auto"/>
      </w:divBdr>
    </w:div>
    <w:div w:id="1040277767">
      <w:bodyDiv w:val="1"/>
      <w:marLeft w:val="0"/>
      <w:marRight w:val="0"/>
      <w:marTop w:val="0"/>
      <w:marBottom w:val="0"/>
      <w:divBdr>
        <w:top w:val="none" w:sz="0" w:space="0" w:color="auto"/>
        <w:left w:val="none" w:sz="0" w:space="0" w:color="auto"/>
        <w:bottom w:val="none" w:sz="0" w:space="0" w:color="auto"/>
        <w:right w:val="none" w:sz="0" w:space="0" w:color="auto"/>
      </w:divBdr>
    </w:div>
    <w:div w:id="1067386777">
      <w:bodyDiv w:val="1"/>
      <w:marLeft w:val="0"/>
      <w:marRight w:val="0"/>
      <w:marTop w:val="0"/>
      <w:marBottom w:val="0"/>
      <w:divBdr>
        <w:top w:val="none" w:sz="0" w:space="0" w:color="auto"/>
        <w:left w:val="none" w:sz="0" w:space="0" w:color="auto"/>
        <w:bottom w:val="none" w:sz="0" w:space="0" w:color="auto"/>
        <w:right w:val="none" w:sz="0" w:space="0" w:color="auto"/>
      </w:divBdr>
      <w:divsChild>
        <w:div w:id="1682926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350377930">
          <w:blockQuote w:val="1"/>
          <w:marLeft w:val="720"/>
          <w:marRight w:val="720"/>
          <w:marTop w:val="100"/>
          <w:marBottom w:val="100"/>
          <w:divBdr>
            <w:top w:val="none" w:sz="0" w:space="0" w:color="auto"/>
            <w:left w:val="none" w:sz="0" w:space="0" w:color="auto"/>
            <w:bottom w:val="none" w:sz="0" w:space="0" w:color="auto"/>
            <w:right w:val="none" w:sz="0" w:space="0" w:color="auto"/>
          </w:divBdr>
        </w:div>
        <w:div w:id="328599919">
          <w:blockQuote w:val="1"/>
          <w:marLeft w:val="720"/>
          <w:marRight w:val="720"/>
          <w:marTop w:val="100"/>
          <w:marBottom w:val="100"/>
          <w:divBdr>
            <w:top w:val="none" w:sz="0" w:space="0" w:color="auto"/>
            <w:left w:val="none" w:sz="0" w:space="0" w:color="auto"/>
            <w:bottom w:val="none" w:sz="0" w:space="0" w:color="auto"/>
            <w:right w:val="none" w:sz="0" w:space="0" w:color="auto"/>
          </w:divBdr>
        </w:div>
        <w:div w:id="4579885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78287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1109585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2108319">
          <w:blockQuote w:val="1"/>
          <w:marLeft w:val="720"/>
          <w:marRight w:val="720"/>
          <w:marTop w:val="100"/>
          <w:marBottom w:val="100"/>
          <w:divBdr>
            <w:top w:val="none" w:sz="0" w:space="0" w:color="auto"/>
            <w:left w:val="none" w:sz="0" w:space="0" w:color="auto"/>
            <w:bottom w:val="none" w:sz="0" w:space="0" w:color="auto"/>
            <w:right w:val="none" w:sz="0" w:space="0" w:color="auto"/>
          </w:divBdr>
        </w:div>
        <w:div w:id="284193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604498">
      <w:bodyDiv w:val="1"/>
      <w:marLeft w:val="0"/>
      <w:marRight w:val="0"/>
      <w:marTop w:val="0"/>
      <w:marBottom w:val="0"/>
      <w:divBdr>
        <w:top w:val="none" w:sz="0" w:space="0" w:color="auto"/>
        <w:left w:val="none" w:sz="0" w:space="0" w:color="auto"/>
        <w:bottom w:val="none" w:sz="0" w:space="0" w:color="auto"/>
        <w:right w:val="none" w:sz="0" w:space="0" w:color="auto"/>
      </w:divBdr>
    </w:div>
    <w:div w:id="1067605199">
      <w:bodyDiv w:val="1"/>
      <w:marLeft w:val="0"/>
      <w:marRight w:val="0"/>
      <w:marTop w:val="0"/>
      <w:marBottom w:val="0"/>
      <w:divBdr>
        <w:top w:val="none" w:sz="0" w:space="0" w:color="auto"/>
        <w:left w:val="none" w:sz="0" w:space="0" w:color="auto"/>
        <w:bottom w:val="none" w:sz="0" w:space="0" w:color="auto"/>
        <w:right w:val="none" w:sz="0" w:space="0" w:color="auto"/>
      </w:divBdr>
    </w:div>
    <w:div w:id="1071579903">
      <w:bodyDiv w:val="1"/>
      <w:marLeft w:val="0"/>
      <w:marRight w:val="0"/>
      <w:marTop w:val="0"/>
      <w:marBottom w:val="0"/>
      <w:divBdr>
        <w:top w:val="none" w:sz="0" w:space="0" w:color="auto"/>
        <w:left w:val="none" w:sz="0" w:space="0" w:color="auto"/>
        <w:bottom w:val="none" w:sz="0" w:space="0" w:color="auto"/>
        <w:right w:val="none" w:sz="0" w:space="0" w:color="auto"/>
      </w:divBdr>
    </w:div>
    <w:div w:id="1076366135">
      <w:bodyDiv w:val="1"/>
      <w:marLeft w:val="0"/>
      <w:marRight w:val="0"/>
      <w:marTop w:val="0"/>
      <w:marBottom w:val="0"/>
      <w:divBdr>
        <w:top w:val="none" w:sz="0" w:space="0" w:color="auto"/>
        <w:left w:val="none" w:sz="0" w:space="0" w:color="auto"/>
        <w:bottom w:val="none" w:sz="0" w:space="0" w:color="auto"/>
        <w:right w:val="none" w:sz="0" w:space="0" w:color="auto"/>
      </w:divBdr>
    </w:div>
    <w:div w:id="1080173136">
      <w:bodyDiv w:val="1"/>
      <w:marLeft w:val="0"/>
      <w:marRight w:val="0"/>
      <w:marTop w:val="0"/>
      <w:marBottom w:val="0"/>
      <w:divBdr>
        <w:top w:val="none" w:sz="0" w:space="0" w:color="auto"/>
        <w:left w:val="none" w:sz="0" w:space="0" w:color="auto"/>
        <w:bottom w:val="none" w:sz="0" w:space="0" w:color="auto"/>
        <w:right w:val="none" w:sz="0" w:space="0" w:color="auto"/>
      </w:divBdr>
    </w:div>
    <w:div w:id="1080252645">
      <w:bodyDiv w:val="1"/>
      <w:marLeft w:val="0"/>
      <w:marRight w:val="0"/>
      <w:marTop w:val="0"/>
      <w:marBottom w:val="0"/>
      <w:divBdr>
        <w:top w:val="none" w:sz="0" w:space="0" w:color="auto"/>
        <w:left w:val="none" w:sz="0" w:space="0" w:color="auto"/>
        <w:bottom w:val="none" w:sz="0" w:space="0" w:color="auto"/>
        <w:right w:val="none" w:sz="0" w:space="0" w:color="auto"/>
      </w:divBdr>
    </w:div>
    <w:div w:id="1082027807">
      <w:bodyDiv w:val="1"/>
      <w:marLeft w:val="0"/>
      <w:marRight w:val="0"/>
      <w:marTop w:val="0"/>
      <w:marBottom w:val="0"/>
      <w:divBdr>
        <w:top w:val="none" w:sz="0" w:space="0" w:color="auto"/>
        <w:left w:val="none" w:sz="0" w:space="0" w:color="auto"/>
        <w:bottom w:val="none" w:sz="0" w:space="0" w:color="auto"/>
        <w:right w:val="none" w:sz="0" w:space="0" w:color="auto"/>
      </w:divBdr>
    </w:div>
    <w:div w:id="1089304689">
      <w:bodyDiv w:val="1"/>
      <w:marLeft w:val="0"/>
      <w:marRight w:val="0"/>
      <w:marTop w:val="0"/>
      <w:marBottom w:val="0"/>
      <w:divBdr>
        <w:top w:val="none" w:sz="0" w:space="0" w:color="auto"/>
        <w:left w:val="none" w:sz="0" w:space="0" w:color="auto"/>
        <w:bottom w:val="none" w:sz="0" w:space="0" w:color="auto"/>
        <w:right w:val="none" w:sz="0" w:space="0" w:color="auto"/>
      </w:divBdr>
    </w:div>
    <w:div w:id="1093935834">
      <w:bodyDiv w:val="1"/>
      <w:marLeft w:val="0"/>
      <w:marRight w:val="0"/>
      <w:marTop w:val="0"/>
      <w:marBottom w:val="0"/>
      <w:divBdr>
        <w:top w:val="none" w:sz="0" w:space="0" w:color="auto"/>
        <w:left w:val="none" w:sz="0" w:space="0" w:color="auto"/>
        <w:bottom w:val="none" w:sz="0" w:space="0" w:color="auto"/>
        <w:right w:val="none" w:sz="0" w:space="0" w:color="auto"/>
      </w:divBdr>
    </w:div>
    <w:div w:id="1096367742">
      <w:bodyDiv w:val="1"/>
      <w:marLeft w:val="0"/>
      <w:marRight w:val="0"/>
      <w:marTop w:val="0"/>
      <w:marBottom w:val="0"/>
      <w:divBdr>
        <w:top w:val="none" w:sz="0" w:space="0" w:color="auto"/>
        <w:left w:val="none" w:sz="0" w:space="0" w:color="auto"/>
        <w:bottom w:val="none" w:sz="0" w:space="0" w:color="auto"/>
        <w:right w:val="none" w:sz="0" w:space="0" w:color="auto"/>
      </w:divBdr>
    </w:div>
    <w:div w:id="1101684467">
      <w:bodyDiv w:val="1"/>
      <w:marLeft w:val="0"/>
      <w:marRight w:val="0"/>
      <w:marTop w:val="0"/>
      <w:marBottom w:val="0"/>
      <w:divBdr>
        <w:top w:val="none" w:sz="0" w:space="0" w:color="auto"/>
        <w:left w:val="none" w:sz="0" w:space="0" w:color="auto"/>
        <w:bottom w:val="none" w:sz="0" w:space="0" w:color="auto"/>
        <w:right w:val="none" w:sz="0" w:space="0" w:color="auto"/>
      </w:divBdr>
    </w:div>
    <w:div w:id="1106536679">
      <w:bodyDiv w:val="1"/>
      <w:marLeft w:val="0"/>
      <w:marRight w:val="0"/>
      <w:marTop w:val="0"/>
      <w:marBottom w:val="0"/>
      <w:divBdr>
        <w:top w:val="none" w:sz="0" w:space="0" w:color="auto"/>
        <w:left w:val="none" w:sz="0" w:space="0" w:color="auto"/>
        <w:bottom w:val="none" w:sz="0" w:space="0" w:color="auto"/>
        <w:right w:val="none" w:sz="0" w:space="0" w:color="auto"/>
      </w:divBdr>
    </w:div>
    <w:div w:id="1106853913">
      <w:bodyDiv w:val="1"/>
      <w:marLeft w:val="0"/>
      <w:marRight w:val="0"/>
      <w:marTop w:val="0"/>
      <w:marBottom w:val="0"/>
      <w:divBdr>
        <w:top w:val="none" w:sz="0" w:space="0" w:color="auto"/>
        <w:left w:val="none" w:sz="0" w:space="0" w:color="auto"/>
        <w:bottom w:val="none" w:sz="0" w:space="0" w:color="auto"/>
        <w:right w:val="none" w:sz="0" w:space="0" w:color="auto"/>
      </w:divBdr>
    </w:div>
    <w:div w:id="1107624188">
      <w:bodyDiv w:val="1"/>
      <w:marLeft w:val="0"/>
      <w:marRight w:val="0"/>
      <w:marTop w:val="0"/>
      <w:marBottom w:val="0"/>
      <w:divBdr>
        <w:top w:val="none" w:sz="0" w:space="0" w:color="auto"/>
        <w:left w:val="none" w:sz="0" w:space="0" w:color="auto"/>
        <w:bottom w:val="none" w:sz="0" w:space="0" w:color="auto"/>
        <w:right w:val="none" w:sz="0" w:space="0" w:color="auto"/>
      </w:divBdr>
      <w:divsChild>
        <w:div w:id="722674850">
          <w:marLeft w:val="0"/>
          <w:marRight w:val="0"/>
          <w:marTop w:val="0"/>
          <w:marBottom w:val="0"/>
          <w:divBdr>
            <w:top w:val="none" w:sz="0" w:space="0" w:color="auto"/>
            <w:left w:val="none" w:sz="0" w:space="0" w:color="auto"/>
            <w:bottom w:val="none" w:sz="0" w:space="0" w:color="auto"/>
            <w:right w:val="none" w:sz="0" w:space="0" w:color="auto"/>
          </w:divBdr>
          <w:divsChild>
            <w:div w:id="412706517">
              <w:marLeft w:val="0"/>
              <w:marRight w:val="0"/>
              <w:marTop w:val="0"/>
              <w:marBottom w:val="0"/>
              <w:divBdr>
                <w:top w:val="none" w:sz="0" w:space="0" w:color="auto"/>
                <w:left w:val="none" w:sz="0" w:space="0" w:color="auto"/>
                <w:bottom w:val="none" w:sz="0" w:space="0" w:color="auto"/>
                <w:right w:val="none" w:sz="0" w:space="0" w:color="auto"/>
              </w:divBdr>
            </w:div>
          </w:divsChild>
        </w:div>
        <w:div w:id="1985544375">
          <w:marLeft w:val="0"/>
          <w:marRight w:val="0"/>
          <w:marTop w:val="0"/>
          <w:marBottom w:val="0"/>
          <w:divBdr>
            <w:top w:val="none" w:sz="0" w:space="0" w:color="auto"/>
            <w:left w:val="none" w:sz="0" w:space="0" w:color="auto"/>
            <w:bottom w:val="none" w:sz="0" w:space="0" w:color="auto"/>
            <w:right w:val="none" w:sz="0" w:space="0" w:color="auto"/>
          </w:divBdr>
          <w:divsChild>
            <w:div w:id="1799492165">
              <w:marLeft w:val="0"/>
              <w:marRight w:val="0"/>
              <w:marTop w:val="0"/>
              <w:marBottom w:val="0"/>
              <w:divBdr>
                <w:top w:val="none" w:sz="0" w:space="0" w:color="auto"/>
                <w:left w:val="none" w:sz="0" w:space="0" w:color="auto"/>
                <w:bottom w:val="none" w:sz="0" w:space="0" w:color="auto"/>
                <w:right w:val="none" w:sz="0" w:space="0" w:color="auto"/>
              </w:divBdr>
            </w:div>
          </w:divsChild>
        </w:div>
        <w:div w:id="365958248">
          <w:marLeft w:val="0"/>
          <w:marRight w:val="0"/>
          <w:marTop w:val="0"/>
          <w:marBottom w:val="0"/>
          <w:divBdr>
            <w:top w:val="none" w:sz="0" w:space="0" w:color="auto"/>
            <w:left w:val="none" w:sz="0" w:space="0" w:color="auto"/>
            <w:bottom w:val="none" w:sz="0" w:space="0" w:color="auto"/>
            <w:right w:val="none" w:sz="0" w:space="0" w:color="auto"/>
          </w:divBdr>
          <w:divsChild>
            <w:div w:id="2073306402">
              <w:marLeft w:val="0"/>
              <w:marRight w:val="0"/>
              <w:marTop w:val="0"/>
              <w:marBottom w:val="0"/>
              <w:divBdr>
                <w:top w:val="none" w:sz="0" w:space="0" w:color="auto"/>
                <w:left w:val="none" w:sz="0" w:space="0" w:color="auto"/>
                <w:bottom w:val="none" w:sz="0" w:space="0" w:color="auto"/>
                <w:right w:val="none" w:sz="0" w:space="0" w:color="auto"/>
              </w:divBdr>
            </w:div>
          </w:divsChild>
        </w:div>
        <w:div w:id="1744794333">
          <w:marLeft w:val="0"/>
          <w:marRight w:val="0"/>
          <w:marTop w:val="0"/>
          <w:marBottom w:val="0"/>
          <w:divBdr>
            <w:top w:val="none" w:sz="0" w:space="0" w:color="auto"/>
            <w:left w:val="none" w:sz="0" w:space="0" w:color="auto"/>
            <w:bottom w:val="none" w:sz="0" w:space="0" w:color="auto"/>
            <w:right w:val="none" w:sz="0" w:space="0" w:color="auto"/>
          </w:divBdr>
          <w:divsChild>
            <w:div w:id="1438872597">
              <w:marLeft w:val="0"/>
              <w:marRight w:val="0"/>
              <w:marTop w:val="0"/>
              <w:marBottom w:val="0"/>
              <w:divBdr>
                <w:top w:val="none" w:sz="0" w:space="0" w:color="auto"/>
                <w:left w:val="none" w:sz="0" w:space="0" w:color="auto"/>
                <w:bottom w:val="none" w:sz="0" w:space="0" w:color="auto"/>
                <w:right w:val="none" w:sz="0" w:space="0" w:color="auto"/>
              </w:divBdr>
            </w:div>
          </w:divsChild>
        </w:div>
        <w:div w:id="941108716">
          <w:marLeft w:val="0"/>
          <w:marRight w:val="0"/>
          <w:marTop w:val="0"/>
          <w:marBottom w:val="0"/>
          <w:divBdr>
            <w:top w:val="none" w:sz="0" w:space="0" w:color="auto"/>
            <w:left w:val="none" w:sz="0" w:space="0" w:color="auto"/>
            <w:bottom w:val="none" w:sz="0" w:space="0" w:color="auto"/>
            <w:right w:val="none" w:sz="0" w:space="0" w:color="auto"/>
          </w:divBdr>
          <w:divsChild>
            <w:div w:id="789519794">
              <w:marLeft w:val="0"/>
              <w:marRight w:val="0"/>
              <w:marTop w:val="0"/>
              <w:marBottom w:val="0"/>
              <w:divBdr>
                <w:top w:val="none" w:sz="0" w:space="0" w:color="auto"/>
                <w:left w:val="none" w:sz="0" w:space="0" w:color="auto"/>
                <w:bottom w:val="none" w:sz="0" w:space="0" w:color="auto"/>
                <w:right w:val="none" w:sz="0" w:space="0" w:color="auto"/>
              </w:divBdr>
            </w:div>
          </w:divsChild>
        </w:div>
        <w:div w:id="2137336435">
          <w:marLeft w:val="0"/>
          <w:marRight w:val="0"/>
          <w:marTop w:val="0"/>
          <w:marBottom w:val="0"/>
          <w:divBdr>
            <w:top w:val="none" w:sz="0" w:space="0" w:color="auto"/>
            <w:left w:val="none" w:sz="0" w:space="0" w:color="auto"/>
            <w:bottom w:val="none" w:sz="0" w:space="0" w:color="auto"/>
            <w:right w:val="none" w:sz="0" w:space="0" w:color="auto"/>
          </w:divBdr>
          <w:divsChild>
            <w:div w:id="1468473389">
              <w:marLeft w:val="0"/>
              <w:marRight w:val="0"/>
              <w:marTop w:val="0"/>
              <w:marBottom w:val="0"/>
              <w:divBdr>
                <w:top w:val="none" w:sz="0" w:space="0" w:color="auto"/>
                <w:left w:val="none" w:sz="0" w:space="0" w:color="auto"/>
                <w:bottom w:val="none" w:sz="0" w:space="0" w:color="auto"/>
                <w:right w:val="none" w:sz="0" w:space="0" w:color="auto"/>
              </w:divBdr>
            </w:div>
          </w:divsChild>
        </w:div>
        <w:div w:id="1571619040">
          <w:marLeft w:val="0"/>
          <w:marRight w:val="0"/>
          <w:marTop w:val="0"/>
          <w:marBottom w:val="0"/>
          <w:divBdr>
            <w:top w:val="none" w:sz="0" w:space="0" w:color="auto"/>
            <w:left w:val="none" w:sz="0" w:space="0" w:color="auto"/>
            <w:bottom w:val="none" w:sz="0" w:space="0" w:color="auto"/>
            <w:right w:val="none" w:sz="0" w:space="0" w:color="auto"/>
          </w:divBdr>
          <w:divsChild>
            <w:div w:id="106969805">
              <w:marLeft w:val="0"/>
              <w:marRight w:val="0"/>
              <w:marTop w:val="0"/>
              <w:marBottom w:val="0"/>
              <w:divBdr>
                <w:top w:val="none" w:sz="0" w:space="0" w:color="auto"/>
                <w:left w:val="none" w:sz="0" w:space="0" w:color="auto"/>
                <w:bottom w:val="none" w:sz="0" w:space="0" w:color="auto"/>
                <w:right w:val="none" w:sz="0" w:space="0" w:color="auto"/>
              </w:divBdr>
            </w:div>
          </w:divsChild>
        </w:div>
        <w:div w:id="1519083201">
          <w:marLeft w:val="0"/>
          <w:marRight w:val="0"/>
          <w:marTop w:val="0"/>
          <w:marBottom w:val="0"/>
          <w:divBdr>
            <w:top w:val="none" w:sz="0" w:space="0" w:color="auto"/>
            <w:left w:val="none" w:sz="0" w:space="0" w:color="auto"/>
            <w:bottom w:val="none" w:sz="0" w:space="0" w:color="auto"/>
            <w:right w:val="none" w:sz="0" w:space="0" w:color="auto"/>
          </w:divBdr>
          <w:divsChild>
            <w:div w:id="731807348">
              <w:marLeft w:val="0"/>
              <w:marRight w:val="0"/>
              <w:marTop w:val="0"/>
              <w:marBottom w:val="0"/>
              <w:divBdr>
                <w:top w:val="none" w:sz="0" w:space="0" w:color="auto"/>
                <w:left w:val="none" w:sz="0" w:space="0" w:color="auto"/>
                <w:bottom w:val="none" w:sz="0" w:space="0" w:color="auto"/>
                <w:right w:val="none" w:sz="0" w:space="0" w:color="auto"/>
              </w:divBdr>
            </w:div>
          </w:divsChild>
        </w:div>
        <w:div w:id="1365980355">
          <w:marLeft w:val="0"/>
          <w:marRight w:val="0"/>
          <w:marTop w:val="0"/>
          <w:marBottom w:val="0"/>
          <w:divBdr>
            <w:top w:val="none" w:sz="0" w:space="0" w:color="auto"/>
            <w:left w:val="none" w:sz="0" w:space="0" w:color="auto"/>
            <w:bottom w:val="none" w:sz="0" w:space="0" w:color="auto"/>
            <w:right w:val="none" w:sz="0" w:space="0" w:color="auto"/>
          </w:divBdr>
          <w:divsChild>
            <w:div w:id="119014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2967">
      <w:bodyDiv w:val="1"/>
      <w:marLeft w:val="0"/>
      <w:marRight w:val="0"/>
      <w:marTop w:val="0"/>
      <w:marBottom w:val="0"/>
      <w:divBdr>
        <w:top w:val="none" w:sz="0" w:space="0" w:color="auto"/>
        <w:left w:val="none" w:sz="0" w:space="0" w:color="auto"/>
        <w:bottom w:val="none" w:sz="0" w:space="0" w:color="auto"/>
        <w:right w:val="none" w:sz="0" w:space="0" w:color="auto"/>
      </w:divBdr>
      <w:divsChild>
        <w:div w:id="433209383">
          <w:marLeft w:val="0"/>
          <w:marRight w:val="0"/>
          <w:marTop w:val="0"/>
          <w:marBottom w:val="0"/>
          <w:divBdr>
            <w:top w:val="none" w:sz="0" w:space="0" w:color="auto"/>
            <w:left w:val="none" w:sz="0" w:space="0" w:color="auto"/>
            <w:bottom w:val="none" w:sz="0" w:space="0" w:color="auto"/>
            <w:right w:val="none" w:sz="0" w:space="0" w:color="auto"/>
          </w:divBdr>
          <w:divsChild>
            <w:div w:id="8022007">
              <w:marLeft w:val="0"/>
              <w:marRight w:val="0"/>
              <w:marTop w:val="0"/>
              <w:marBottom w:val="0"/>
              <w:divBdr>
                <w:top w:val="none" w:sz="0" w:space="0" w:color="auto"/>
                <w:left w:val="none" w:sz="0" w:space="0" w:color="auto"/>
                <w:bottom w:val="none" w:sz="0" w:space="0" w:color="auto"/>
                <w:right w:val="none" w:sz="0" w:space="0" w:color="auto"/>
              </w:divBdr>
            </w:div>
          </w:divsChild>
        </w:div>
        <w:div w:id="1254511073">
          <w:marLeft w:val="0"/>
          <w:marRight w:val="0"/>
          <w:marTop w:val="0"/>
          <w:marBottom w:val="0"/>
          <w:divBdr>
            <w:top w:val="none" w:sz="0" w:space="0" w:color="auto"/>
            <w:left w:val="none" w:sz="0" w:space="0" w:color="auto"/>
            <w:bottom w:val="none" w:sz="0" w:space="0" w:color="auto"/>
            <w:right w:val="none" w:sz="0" w:space="0" w:color="auto"/>
          </w:divBdr>
          <w:divsChild>
            <w:div w:id="71423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18359">
      <w:bodyDiv w:val="1"/>
      <w:marLeft w:val="0"/>
      <w:marRight w:val="0"/>
      <w:marTop w:val="0"/>
      <w:marBottom w:val="0"/>
      <w:divBdr>
        <w:top w:val="none" w:sz="0" w:space="0" w:color="auto"/>
        <w:left w:val="none" w:sz="0" w:space="0" w:color="auto"/>
        <w:bottom w:val="none" w:sz="0" w:space="0" w:color="auto"/>
        <w:right w:val="none" w:sz="0" w:space="0" w:color="auto"/>
      </w:divBdr>
    </w:div>
    <w:div w:id="1147353879">
      <w:bodyDiv w:val="1"/>
      <w:marLeft w:val="0"/>
      <w:marRight w:val="0"/>
      <w:marTop w:val="0"/>
      <w:marBottom w:val="0"/>
      <w:divBdr>
        <w:top w:val="none" w:sz="0" w:space="0" w:color="auto"/>
        <w:left w:val="none" w:sz="0" w:space="0" w:color="auto"/>
        <w:bottom w:val="none" w:sz="0" w:space="0" w:color="auto"/>
        <w:right w:val="none" w:sz="0" w:space="0" w:color="auto"/>
      </w:divBdr>
    </w:div>
    <w:div w:id="1165129660">
      <w:bodyDiv w:val="1"/>
      <w:marLeft w:val="0"/>
      <w:marRight w:val="0"/>
      <w:marTop w:val="0"/>
      <w:marBottom w:val="0"/>
      <w:divBdr>
        <w:top w:val="none" w:sz="0" w:space="0" w:color="auto"/>
        <w:left w:val="none" w:sz="0" w:space="0" w:color="auto"/>
        <w:bottom w:val="none" w:sz="0" w:space="0" w:color="auto"/>
        <w:right w:val="none" w:sz="0" w:space="0" w:color="auto"/>
      </w:divBdr>
    </w:div>
    <w:div w:id="1165822324">
      <w:bodyDiv w:val="1"/>
      <w:marLeft w:val="0"/>
      <w:marRight w:val="0"/>
      <w:marTop w:val="0"/>
      <w:marBottom w:val="0"/>
      <w:divBdr>
        <w:top w:val="none" w:sz="0" w:space="0" w:color="auto"/>
        <w:left w:val="none" w:sz="0" w:space="0" w:color="auto"/>
        <w:bottom w:val="none" w:sz="0" w:space="0" w:color="auto"/>
        <w:right w:val="none" w:sz="0" w:space="0" w:color="auto"/>
      </w:divBdr>
    </w:div>
    <w:div w:id="1195583394">
      <w:bodyDiv w:val="1"/>
      <w:marLeft w:val="0"/>
      <w:marRight w:val="0"/>
      <w:marTop w:val="0"/>
      <w:marBottom w:val="0"/>
      <w:divBdr>
        <w:top w:val="none" w:sz="0" w:space="0" w:color="auto"/>
        <w:left w:val="none" w:sz="0" w:space="0" w:color="auto"/>
        <w:bottom w:val="none" w:sz="0" w:space="0" w:color="auto"/>
        <w:right w:val="none" w:sz="0" w:space="0" w:color="auto"/>
      </w:divBdr>
      <w:divsChild>
        <w:div w:id="1430853678">
          <w:marLeft w:val="0"/>
          <w:marRight w:val="0"/>
          <w:marTop w:val="0"/>
          <w:marBottom w:val="0"/>
          <w:divBdr>
            <w:top w:val="none" w:sz="0" w:space="0" w:color="auto"/>
            <w:left w:val="none" w:sz="0" w:space="0" w:color="auto"/>
            <w:bottom w:val="none" w:sz="0" w:space="0" w:color="auto"/>
            <w:right w:val="none" w:sz="0" w:space="0" w:color="auto"/>
          </w:divBdr>
          <w:divsChild>
            <w:div w:id="416639846">
              <w:marLeft w:val="0"/>
              <w:marRight w:val="0"/>
              <w:marTop w:val="0"/>
              <w:marBottom w:val="0"/>
              <w:divBdr>
                <w:top w:val="none" w:sz="0" w:space="0" w:color="auto"/>
                <w:left w:val="none" w:sz="0" w:space="0" w:color="auto"/>
                <w:bottom w:val="none" w:sz="0" w:space="0" w:color="auto"/>
                <w:right w:val="none" w:sz="0" w:space="0" w:color="auto"/>
              </w:divBdr>
              <w:divsChild>
                <w:div w:id="45841868">
                  <w:marLeft w:val="0"/>
                  <w:marRight w:val="0"/>
                  <w:marTop w:val="0"/>
                  <w:marBottom w:val="0"/>
                  <w:divBdr>
                    <w:top w:val="none" w:sz="0" w:space="0" w:color="auto"/>
                    <w:left w:val="none" w:sz="0" w:space="0" w:color="auto"/>
                    <w:bottom w:val="none" w:sz="0" w:space="0" w:color="auto"/>
                    <w:right w:val="none" w:sz="0" w:space="0" w:color="auto"/>
                  </w:divBdr>
                  <w:divsChild>
                    <w:div w:id="1845440166">
                      <w:marLeft w:val="0"/>
                      <w:marRight w:val="0"/>
                      <w:marTop w:val="0"/>
                      <w:marBottom w:val="0"/>
                      <w:divBdr>
                        <w:top w:val="none" w:sz="0" w:space="0" w:color="auto"/>
                        <w:left w:val="none" w:sz="0" w:space="0" w:color="auto"/>
                        <w:bottom w:val="none" w:sz="0" w:space="0" w:color="auto"/>
                        <w:right w:val="none" w:sz="0" w:space="0" w:color="auto"/>
                      </w:divBdr>
                      <w:divsChild>
                        <w:div w:id="979072912">
                          <w:marLeft w:val="0"/>
                          <w:marRight w:val="0"/>
                          <w:marTop w:val="0"/>
                          <w:marBottom w:val="0"/>
                          <w:divBdr>
                            <w:top w:val="none" w:sz="0" w:space="0" w:color="auto"/>
                            <w:left w:val="none" w:sz="0" w:space="0" w:color="auto"/>
                            <w:bottom w:val="none" w:sz="0" w:space="0" w:color="auto"/>
                            <w:right w:val="none" w:sz="0" w:space="0" w:color="auto"/>
                          </w:divBdr>
                          <w:divsChild>
                            <w:div w:id="192467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5178">
                      <w:marLeft w:val="0"/>
                      <w:marRight w:val="0"/>
                      <w:marTop w:val="0"/>
                      <w:marBottom w:val="0"/>
                      <w:divBdr>
                        <w:top w:val="none" w:sz="0" w:space="0" w:color="auto"/>
                        <w:left w:val="none" w:sz="0" w:space="0" w:color="auto"/>
                        <w:bottom w:val="none" w:sz="0" w:space="0" w:color="auto"/>
                        <w:right w:val="none" w:sz="0" w:space="0" w:color="auto"/>
                      </w:divBdr>
                      <w:divsChild>
                        <w:div w:id="1966959757">
                          <w:marLeft w:val="0"/>
                          <w:marRight w:val="0"/>
                          <w:marTop w:val="0"/>
                          <w:marBottom w:val="0"/>
                          <w:divBdr>
                            <w:top w:val="none" w:sz="0" w:space="0" w:color="auto"/>
                            <w:left w:val="none" w:sz="0" w:space="0" w:color="auto"/>
                            <w:bottom w:val="none" w:sz="0" w:space="0" w:color="auto"/>
                            <w:right w:val="none" w:sz="0" w:space="0" w:color="auto"/>
                          </w:divBdr>
                          <w:divsChild>
                            <w:div w:id="1630894575">
                              <w:marLeft w:val="0"/>
                              <w:marRight w:val="0"/>
                              <w:marTop w:val="0"/>
                              <w:marBottom w:val="0"/>
                              <w:divBdr>
                                <w:top w:val="none" w:sz="0" w:space="0" w:color="auto"/>
                                <w:left w:val="none" w:sz="0" w:space="0" w:color="auto"/>
                                <w:bottom w:val="none" w:sz="0" w:space="0" w:color="auto"/>
                                <w:right w:val="none" w:sz="0" w:space="0" w:color="auto"/>
                              </w:divBdr>
                              <w:divsChild>
                                <w:div w:id="42900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638140">
          <w:marLeft w:val="0"/>
          <w:marRight w:val="0"/>
          <w:marTop w:val="0"/>
          <w:marBottom w:val="0"/>
          <w:divBdr>
            <w:top w:val="none" w:sz="0" w:space="0" w:color="auto"/>
            <w:left w:val="none" w:sz="0" w:space="0" w:color="auto"/>
            <w:bottom w:val="none" w:sz="0" w:space="0" w:color="auto"/>
            <w:right w:val="none" w:sz="0" w:space="0" w:color="auto"/>
          </w:divBdr>
          <w:divsChild>
            <w:div w:id="1472333072">
              <w:marLeft w:val="0"/>
              <w:marRight w:val="0"/>
              <w:marTop w:val="0"/>
              <w:marBottom w:val="0"/>
              <w:divBdr>
                <w:top w:val="none" w:sz="0" w:space="0" w:color="auto"/>
                <w:left w:val="none" w:sz="0" w:space="0" w:color="auto"/>
                <w:bottom w:val="none" w:sz="0" w:space="0" w:color="auto"/>
                <w:right w:val="none" w:sz="0" w:space="0" w:color="auto"/>
              </w:divBdr>
              <w:divsChild>
                <w:div w:id="222840239">
                  <w:marLeft w:val="0"/>
                  <w:marRight w:val="0"/>
                  <w:marTop w:val="0"/>
                  <w:marBottom w:val="0"/>
                  <w:divBdr>
                    <w:top w:val="none" w:sz="0" w:space="0" w:color="auto"/>
                    <w:left w:val="none" w:sz="0" w:space="0" w:color="auto"/>
                    <w:bottom w:val="none" w:sz="0" w:space="0" w:color="auto"/>
                    <w:right w:val="none" w:sz="0" w:space="0" w:color="auto"/>
                  </w:divBdr>
                  <w:divsChild>
                    <w:div w:id="375085959">
                      <w:marLeft w:val="0"/>
                      <w:marRight w:val="0"/>
                      <w:marTop w:val="0"/>
                      <w:marBottom w:val="0"/>
                      <w:divBdr>
                        <w:top w:val="none" w:sz="0" w:space="0" w:color="auto"/>
                        <w:left w:val="none" w:sz="0" w:space="0" w:color="auto"/>
                        <w:bottom w:val="none" w:sz="0" w:space="0" w:color="auto"/>
                        <w:right w:val="none" w:sz="0" w:space="0" w:color="auto"/>
                      </w:divBdr>
                      <w:divsChild>
                        <w:div w:id="951128033">
                          <w:marLeft w:val="0"/>
                          <w:marRight w:val="0"/>
                          <w:marTop w:val="0"/>
                          <w:marBottom w:val="0"/>
                          <w:divBdr>
                            <w:top w:val="none" w:sz="0" w:space="0" w:color="auto"/>
                            <w:left w:val="none" w:sz="0" w:space="0" w:color="auto"/>
                            <w:bottom w:val="none" w:sz="0" w:space="0" w:color="auto"/>
                            <w:right w:val="none" w:sz="0" w:space="0" w:color="auto"/>
                          </w:divBdr>
                          <w:divsChild>
                            <w:div w:id="610016726">
                              <w:marLeft w:val="0"/>
                              <w:marRight w:val="0"/>
                              <w:marTop w:val="0"/>
                              <w:marBottom w:val="0"/>
                              <w:divBdr>
                                <w:top w:val="none" w:sz="0" w:space="0" w:color="auto"/>
                                <w:left w:val="none" w:sz="0" w:space="0" w:color="auto"/>
                                <w:bottom w:val="none" w:sz="0" w:space="0" w:color="auto"/>
                                <w:right w:val="none" w:sz="0" w:space="0" w:color="auto"/>
                              </w:divBdr>
                            </w:div>
                          </w:divsChild>
                        </w:div>
                        <w:div w:id="888029212">
                          <w:marLeft w:val="0"/>
                          <w:marRight w:val="0"/>
                          <w:marTop w:val="0"/>
                          <w:marBottom w:val="0"/>
                          <w:divBdr>
                            <w:top w:val="none" w:sz="0" w:space="0" w:color="auto"/>
                            <w:left w:val="none" w:sz="0" w:space="0" w:color="auto"/>
                            <w:bottom w:val="none" w:sz="0" w:space="0" w:color="auto"/>
                            <w:right w:val="none" w:sz="0" w:space="0" w:color="auto"/>
                          </w:divBdr>
                          <w:divsChild>
                            <w:div w:id="103299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32065">
                      <w:marLeft w:val="0"/>
                      <w:marRight w:val="0"/>
                      <w:marTop w:val="0"/>
                      <w:marBottom w:val="0"/>
                      <w:divBdr>
                        <w:top w:val="none" w:sz="0" w:space="0" w:color="auto"/>
                        <w:left w:val="none" w:sz="0" w:space="0" w:color="auto"/>
                        <w:bottom w:val="none" w:sz="0" w:space="0" w:color="auto"/>
                        <w:right w:val="none" w:sz="0" w:space="0" w:color="auto"/>
                      </w:divBdr>
                      <w:divsChild>
                        <w:div w:id="1621717535">
                          <w:marLeft w:val="0"/>
                          <w:marRight w:val="0"/>
                          <w:marTop w:val="0"/>
                          <w:marBottom w:val="0"/>
                          <w:divBdr>
                            <w:top w:val="none" w:sz="0" w:space="0" w:color="auto"/>
                            <w:left w:val="none" w:sz="0" w:space="0" w:color="auto"/>
                            <w:bottom w:val="none" w:sz="0" w:space="0" w:color="auto"/>
                            <w:right w:val="none" w:sz="0" w:space="0" w:color="auto"/>
                          </w:divBdr>
                          <w:divsChild>
                            <w:div w:id="2109931916">
                              <w:marLeft w:val="0"/>
                              <w:marRight w:val="0"/>
                              <w:marTop w:val="0"/>
                              <w:marBottom w:val="0"/>
                              <w:divBdr>
                                <w:top w:val="none" w:sz="0" w:space="0" w:color="auto"/>
                                <w:left w:val="none" w:sz="0" w:space="0" w:color="auto"/>
                                <w:bottom w:val="none" w:sz="0" w:space="0" w:color="auto"/>
                                <w:right w:val="none" w:sz="0" w:space="0" w:color="auto"/>
                              </w:divBdr>
                              <w:divsChild>
                                <w:div w:id="1204093361">
                                  <w:marLeft w:val="0"/>
                                  <w:marRight w:val="0"/>
                                  <w:marTop w:val="0"/>
                                  <w:marBottom w:val="0"/>
                                  <w:divBdr>
                                    <w:top w:val="none" w:sz="0" w:space="0" w:color="auto"/>
                                    <w:left w:val="none" w:sz="0" w:space="0" w:color="auto"/>
                                    <w:bottom w:val="none" w:sz="0" w:space="0" w:color="auto"/>
                                    <w:right w:val="none" w:sz="0" w:space="0" w:color="auto"/>
                                  </w:divBdr>
                                  <w:divsChild>
                                    <w:div w:id="166208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1959124">
          <w:marLeft w:val="0"/>
          <w:marRight w:val="0"/>
          <w:marTop w:val="0"/>
          <w:marBottom w:val="0"/>
          <w:divBdr>
            <w:top w:val="none" w:sz="0" w:space="0" w:color="auto"/>
            <w:left w:val="none" w:sz="0" w:space="0" w:color="auto"/>
            <w:bottom w:val="none" w:sz="0" w:space="0" w:color="auto"/>
            <w:right w:val="none" w:sz="0" w:space="0" w:color="auto"/>
          </w:divBdr>
          <w:divsChild>
            <w:div w:id="1752773167">
              <w:marLeft w:val="0"/>
              <w:marRight w:val="0"/>
              <w:marTop w:val="0"/>
              <w:marBottom w:val="0"/>
              <w:divBdr>
                <w:top w:val="none" w:sz="0" w:space="0" w:color="auto"/>
                <w:left w:val="none" w:sz="0" w:space="0" w:color="auto"/>
                <w:bottom w:val="none" w:sz="0" w:space="0" w:color="auto"/>
                <w:right w:val="none" w:sz="0" w:space="0" w:color="auto"/>
              </w:divBdr>
              <w:divsChild>
                <w:div w:id="1406417129">
                  <w:marLeft w:val="0"/>
                  <w:marRight w:val="0"/>
                  <w:marTop w:val="0"/>
                  <w:marBottom w:val="0"/>
                  <w:divBdr>
                    <w:top w:val="none" w:sz="0" w:space="0" w:color="auto"/>
                    <w:left w:val="none" w:sz="0" w:space="0" w:color="auto"/>
                    <w:bottom w:val="none" w:sz="0" w:space="0" w:color="auto"/>
                    <w:right w:val="none" w:sz="0" w:space="0" w:color="auto"/>
                  </w:divBdr>
                  <w:divsChild>
                    <w:div w:id="1564217334">
                      <w:marLeft w:val="0"/>
                      <w:marRight w:val="0"/>
                      <w:marTop w:val="0"/>
                      <w:marBottom w:val="0"/>
                      <w:divBdr>
                        <w:top w:val="none" w:sz="0" w:space="0" w:color="auto"/>
                        <w:left w:val="none" w:sz="0" w:space="0" w:color="auto"/>
                        <w:bottom w:val="none" w:sz="0" w:space="0" w:color="auto"/>
                        <w:right w:val="none" w:sz="0" w:space="0" w:color="auto"/>
                      </w:divBdr>
                      <w:divsChild>
                        <w:div w:id="1813016609">
                          <w:marLeft w:val="0"/>
                          <w:marRight w:val="0"/>
                          <w:marTop w:val="0"/>
                          <w:marBottom w:val="0"/>
                          <w:divBdr>
                            <w:top w:val="none" w:sz="0" w:space="0" w:color="auto"/>
                            <w:left w:val="none" w:sz="0" w:space="0" w:color="auto"/>
                            <w:bottom w:val="none" w:sz="0" w:space="0" w:color="auto"/>
                            <w:right w:val="none" w:sz="0" w:space="0" w:color="auto"/>
                          </w:divBdr>
                          <w:divsChild>
                            <w:div w:id="132411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937527">
      <w:bodyDiv w:val="1"/>
      <w:marLeft w:val="0"/>
      <w:marRight w:val="0"/>
      <w:marTop w:val="0"/>
      <w:marBottom w:val="0"/>
      <w:divBdr>
        <w:top w:val="none" w:sz="0" w:space="0" w:color="auto"/>
        <w:left w:val="none" w:sz="0" w:space="0" w:color="auto"/>
        <w:bottom w:val="none" w:sz="0" w:space="0" w:color="auto"/>
        <w:right w:val="none" w:sz="0" w:space="0" w:color="auto"/>
      </w:divBdr>
    </w:div>
    <w:div w:id="1208493595">
      <w:bodyDiv w:val="1"/>
      <w:marLeft w:val="0"/>
      <w:marRight w:val="0"/>
      <w:marTop w:val="0"/>
      <w:marBottom w:val="0"/>
      <w:divBdr>
        <w:top w:val="none" w:sz="0" w:space="0" w:color="auto"/>
        <w:left w:val="none" w:sz="0" w:space="0" w:color="auto"/>
        <w:bottom w:val="none" w:sz="0" w:space="0" w:color="auto"/>
        <w:right w:val="none" w:sz="0" w:space="0" w:color="auto"/>
      </w:divBdr>
    </w:div>
    <w:div w:id="1209338822">
      <w:bodyDiv w:val="1"/>
      <w:marLeft w:val="0"/>
      <w:marRight w:val="0"/>
      <w:marTop w:val="0"/>
      <w:marBottom w:val="0"/>
      <w:divBdr>
        <w:top w:val="none" w:sz="0" w:space="0" w:color="auto"/>
        <w:left w:val="none" w:sz="0" w:space="0" w:color="auto"/>
        <w:bottom w:val="none" w:sz="0" w:space="0" w:color="auto"/>
        <w:right w:val="none" w:sz="0" w:space="0" w:color="auto"/>
      </w:divBdr>
    </w:div>
    <w:div w:id="1213469443">
      <w:bodyDiv w:val="1"/>
      <w:marLeft w:val="0"/>
      <w:marRight w:val="0"/>
      <w:marTop w:val="0"/>
      <w:marBottom w:val="0"/>
      <w:divBdr>
        <w:top w:val="none" w:sz="0" w:space="0" w:color="auto"/>
        <w:left w:val="none" w:sz="0" w:space="0" w:color="auto"/>
        <w:bottom w:val="none" w:sz="0" w:space="0" w:color="auto"/>
        <w:right w:val="none" w:sz="0" w:space="0" w:color="auto"/>
      </w:divBdr>
    </w:div>
    <w:div w:id="1219246419">
      <w:bodyDiv w:val="1"/>
      <w:marLeft w:val="0"/>
      <w:marRight w:val="0"/>
      <w:marTop w:val="0"/>
      <w:marBottom w:val="0"/>
      <w:divBdr>
        <w:top w:val="none" w:sz="0" w:space="0" w:color="auto"/>
        <w:left w:val="none" w:sz="0" w:space="0" w:color="auto"/>
        <w:bottom w:val="none" w:sz="0" w:space="0" w:color="auto"/>
        <w:right w:val="none" w:sz="0" w:space="0" w:color="auto"/>
      </w:divBdr>
    </w:div>
    <w:div w:id="1220744344">
      <w:bodyDiv w:val="1"/>
      <w:marLeft w:val="0"/>
      <w:marRight w:val="0"/>
      <w:marTop w:val="0"/>
      <w:marBottom w:val="0"/>
      <w:divBdr>
        <w:top w:val="none" w:sz="0" w:space="0" w:color="auto"/>
        <w:left w:val="none" w:sz="0" w:space="0" w:color="auto"/>
        <w:bottom w:val="none" w:sz="0" w:space="0" w:color="auto"/>
        <w:right w:val="none" w:sz="0" w:space="0" w:color="auto"/>
      </w:divBdr>
    </w:div>
    <w:div w:id="1239293053">
      <w:bodyDiv w:val="1"/>
      <w:marLeft w:val="0"/>
      <w:marRight w:val="0"/>
      <w:marTop w:val="0"/>
      <w:marBottom w:val="0"/>
      <w:divBdr>
        <w:top w:val="none" w:sz="0" w:space="0" w:color="auto"/>
        <w:left w:val="none" w:sz="0" w:space="0" w:color="auto"/>
        <w:bottom w:val="none" w:sz="0" w:space="0" w:color="auto"/>
        <w:right w:val="none" w:sz="0" w:space="0" w:color="auto"/>
      </w:divBdr>
    </w:div>
    <w:div w:id="1242059582">
      <w:bodyDiv w:val="1"/>
      <w:marLeft w:val="0"/>
      <w:marRight w:val="0"/>
      <w:marTop w:val="0"/>
      <w:marBottom w:val="0"/>
      <w:divBdr>
        <w:top w:val="none" w:sz="0" w:space="0" w:color="auto"/>
        <w:left w:val="none" w:sz="0" w:space="0" w:color="auto"/>
        <w:bottom w:val="none" w:sz="0" w:space="0" w:color="auto"/>
        <w:right w:val="none" w:sz="0" w:space="0" w:color="auto"/>
      </w:divBdr>
      <w:divsChild>
        <w:div w:id="1971982727">
          <w:marLeft w:val="0"/>
          <w:marRight w:val="0"/>
          <w:marTop w:val="0"/>
          <w:marBottom w:val="0"/>
          <w:divBdr>
            <w:top w:val="none" w:sz="0" w:space="0" w:color="auto"/>
            <w:left w:val="none" w:sz="0" w:space="0" w:color="auto"/>
            <w:bottom w:val="none" w:sz="0" w:space="0" w:color="auto"/>
            <w:right w:val="none" w:sz="0" w:space="0" w:color="auto"/>
          </w:divBdr>
          <w:divsChild>
            <w:div w:id="1244410253">
              <w:marLeft w:val="0"/>
              <w:marRight w:val="0"/>
              <w:marTop w:val="0"/>
              <w:marBottom w:val="0"/>
              <w:divBdr>
                <w:top w:val="none" w:sz="0" w:space="0" w:color="auto"/>
                <w:left w:val="none" w:sz="0" w:space="0" w:color="auto"/>
                <w:bottom w:val="none" w:sz="0" w:space="0" w:color="auto"/>
                <w:right w:val="none" w:sz="0" w:space="0" w:color="auto"/>
              </w:divBdr>
            </w:div>
          </w:divsChild>
        </w:div>
        <w:div w:id="410584531">
          <w:marLeft w:val="0"/>
          <w:marRight w:val="0"/>
          <w:marTop w:val="0"/>
          <w:marBottom w:val="0"/>
          <w:divBdr>
            <w:top w:val="none" w:sz="0" w:space="0" w:color="auto"/>
            <w:left w:val="none" w:sz="0" w:space="0" w:color="auto"/>
            <w:bottom w:val="none" w:sz="0" w:space="0" w:color="auto"/>
            <w:right w:val="none" w:sz="0" w:space="0" w:color="auto"/>
          </w:divBdr>
          <w:divsChild>
            <w:div w:id="1801260881">
              <w:marLeft w:val="0"/>
              <w:marRight w:val="0"/>
              <w:marTop w:val="0"/>
              <w:marBottom w:val="0"/>
              <w:divBdr>
                <w:top w:val="none" w:sz="0" w:space="0" w:color="auto"/>
                <w:left w:val="none" w:sz="0" w:space="0" w:color="auto"/>
                <w:bottom w:val="none" w:sz="0" w:space="0" w:color="auto"/>
                <w:right w:val="none" w:sz="0" w:space="0" w:color="auto"/>
              </w:divBdr>
            </w:div>
          </w:divsChild>
        </w:div>
        <w:div w:id="944848064">
          <w:marLeft w:val="0"/>
          <w:marRight w:val="0"/>
          <w:marTop w:val="0"/>
          <w:marBottom w:val="0"/>
          <w:divBdr>
            <w:top w:val="none" w:sz="0" w:space="0" w:color="auto"/>
            <w:left w:val="none" w:sz="0" w:space="0" w:color="auto"/>
            <w:bottom w:val="none" w:sz="0" w:space="0" w:color="auto"/>
            <w:right w:val="none" w:sz="0" w:space="0" w:color="auto"/>
          </w:divBdr>
          <w:divsChild>
            <w:div w:id="1974555442">
              <w:marLeft w:val="0"/>
              <w:marRight w:val="0"/>
              <w:marTop w:val="0"/>
              <w:marBottom w:val="0"/>
              <w:divBdr>
                <w:top w:val="none" w:sz="0" w:space="0" w:color="auto"/>
                <w:left w:val="none" w:sz="0" w:space="0" w:color="auto"/>
                <w:bottom w:val="none" w:sz="0" w:space="0" w:color="auto"/>
                <w:right w:val="none" w:sz="0" w:space="0" w:color="auto"/>
              </w:divBdr>
            </w:div>
          </w:divsChild>
        </w:div>
        <w:div w:id="993994604">
          <w:marLeft w:val="0"/>
          <w:marRight w:val="0"/>
          <w:marTop w:val="0"/>
          <w:marBottom w:val="0"/>
          <w:divBdr>
            <w:top w:val="none" w:sz="0" w:space="0" w:color="auto"/>
            <w:left w:val="none" w:sz="0" w:space="0" w:color="auto"/>
            <w:bottom w:val="none" w:sz="0" w:space="0" w:color="auto"/>
            <w:right w:val="none" w:sz="0" w:space="0" w:color="auto"/>
          </w:divBdr>
          <w:divsChild>
            <w:div w:id="657273344">
              <w:marLeft w:val="0"/>
              <w:marRight w:val="0"/>
              <w:marTop w:val="0"/>
              <w:marBottom w:val="0"/>
              <w:divBdr>
                <w:top w:val="none" w:sz="0" w:space="0" w:color="auto"/>
                <w:left w:val="none" w:sz="0" w:space="0" w:color="auto"/>
                <w:bottom w:val="none" w:sz="0" w:space="0" w:color="auto"/>
                <w:right w:val="none" w:sz="0" w:space="0" w:color="auto"/>
              </w:divBdr>
            </w:div>
          </w:divsChild>
        </w:div>
        <w:div w:id="1158882568">
          <w:marLeft w:val="0"/>
          <w:marRight w:val="0"/>
          <w:marTop w:val="0"/>
          <w:marBottom w:val="0"/>
          <w:divBdr>
            <w:top w:val="none" w:sz="0" w:space="0" w:color="auto"/>
            <w:left w:val="none" w:sz="0" w:space="0" w:color="auto"/>
            <w:bottom w:val="none" w:sz="0" w:space="0" w:color="auto"/>
            <w:right w:val="none" w:sz="0" w:space="0" w:color="auto"/>
          </w:divBdr>
          <w:divsChild>
            <w:div w:id="1555656346">
              <w:marLeft w:val="0"/>
              <w:marRight w:val="0"/>
              <w:marTop w:val="0"/>
              <w:marBottom w:val="0"/>
              <w:divBdr>
                <w:top w:val="none" w:sz="0" w:space="0" w:color="auto"/>
                <w:left w:val="none" w:sz="0" w:space="0" w:color="auto"/>
                <w:bottom w:val="none" w:sz="0" w:space="0" w:color="auto"/>
                <w:right w:val="none" w:sz="0" w:space="0" w:color="auto"/>
              </w:divBdr>
            </w:div>
          </w:divsChild>
        </w:div>
        <w:div w:id="588077309">
          <w:marLeft w:val="0"/>
          <w:marRight w:val="0"/>
          <w:marTop w:val="0"/>
          <w:marBottom w:val="0"/>
          <w:divBdr>
            <w:top w:val="none" w:sz="0" w:space="0" w:color="auto"/>
            <w:left w:val="none" w:sz="0" w:space="0" w:color="auto"/>
            <w:bottom w:val="none" w:sz="0" w:space="0" w:color="auto"/>
            <w:right w:val="none" w:sz="0" w:space="0" w:color="auto"/>
          </w:divBdr>
          <w:divsChild>
            <w:div w:id="603458955">
              <w:marLeft w:val="0"/>
              <w:marRight w:val="0"/>
              <w:marTop w:val="0"/>
              <w:marBottom w:val="0"/>
              <w:divBdr>
                <w:top w:val="none" w:sz="0" w:space="0" w:color="auto"/>
                <w:left w:val="none" w:sz="0" w:space="0" w:color="auto"/>
                <w:bottom w:val="none" w:sz="0" w:space="0" w:color="auto"/>
                <w:right w:val="none" w:sz="0" w:space="0" w:color="auto"/>
              </w:divBdr>
            </w:div>
          </w:divsChild>
        </w:div>
        <w:div w:id="1881088359">
          <w:marLeft w:val="0"/>
          <w:marRight w:val="0"/>
          <w:marTop w:val="0"/>
          <w:marBottom w:val="0"/>
          <w:divBdr>
            <w:top w:val="none" w:sz="0" w:space="0" w:color="auto"/>
            <w:left w:val="none" w:sz="0" w:space="0" w:color="auto"/>
            <w:bottom w:val="none" w:sz="0" w:space="0" w:color="auto"/>
            <w:right w:val="none" w:sz="0" w:space="0" w:color="auto"/>
          </w:divBdr>
          <w:divsChild>
            <w:div w:id="2131048241">
              <w:marLeft w:val="0"/>
              <w:marRight w:val="0"/>
              <w:marTop w:val="0"/>
              <w:marBottom w:val="0"/>
              <w:divBdr>
                <w:top w:val="none" w:sz="0" w:space="0" w:color="auto"/>
                <w:left w:val="none" w:sz="0" w:space="0" w:color="auto"/>
                <w:bottom w:val="none" w:sz="0" w:space="0" w:color="auto"/>
                <w:right w:val="none" w:sz="0" w:space="0" w:color="auto"/>
              </w:divBdr>
            </w:div>
          </w:divsChild>
        </w:div>
        <w:div w:id="1801613268">
          <w:marLeft w:val="0"/>
          <w:marRight w:val="0"/>
          <w:marTop w:val="0"/>
          <w:marBottom w:val="0"/>
          <w:divBdr>
            <w:top w:val="none" w:sz="0" w:space="0" w:color="auto"/>
            <w:left w:val="none" w:sz="0" w:space="0" w:color="auto"/>
            <w:bottom w:val="none" w:sz="0" w:space="0" w:color="auto"/>
            <w:right w:val="none" w:sz="0" w:space="0" w:color="auto"/>
          </w:divBdr>
          <w:divsChild>
            <w:div w:id="29452895">
              <w:marLeft w:val="0"/>
              <w:marRight w:val="0"/>
              <w:marTop w:val="0"/>
              <w:marBottom w:val="0"/>
              <w:divBdr>
                <w:top w:val="none" w:sz="0" w:space="0" w:color="auto"/>
                <w:left w:val="none" w:sz="0" w:space="0" w:color="auto"/>
                <w:bottom w:val="none" w:sz="0" w:space="0" w:color="auto"/>
                <w:right w:val="none" w:sz="0" w:space="0" w:color="auto"/>
              </w:divBdr>
            </w:div>
          </w:divsChild>
        </w:div>
        <w:div w:id="1184517619">
          <w:marLeft w:val="0"/>
          <w:marRight w:val="0"/>
          <w:marTop w:val="0"/>
          <w:marBottom w:val="0"/>
          <w:divBdr>
            <w:top w:val="none" w:sz="0" w:space="0" w:color="auto"/>
            <w:left w:val="none" w:sz="0" w:space="0" w:color="auto"/>
            <w:bottom w:val="none" w:sz="0" w:space="0" w:color="auto"/>
            <w:right w:val="none" w:sz="0" w:space="0" w:color="auto"/>
          </w:divBdr>
          <w:divsChild>
            <w:div w:id="1052920275">
              <w:marLeft w:val="0"/>
              <w:marRight w:val="0"/>
              <w:marTop w:val="0"/>
              <w:marBottom w:val="0"/>
              <w:divBdr>
                <w:top w:val="none" w:sz="0" w:space="0" w:color="auto"/>
                <w:left w:val="none" w:sz="0" w:space="0" w:color="auto"/>
                <w:bottom w:val="none" w:sz="0" w:space="0" w:color="auto"/>
                <w:right w:val="none" w:sz="0" w:space="0" w:color="auto"/>
              </w:divBdr>
            </w:div>
          </w:divsChild>
        </w:div>
        <w:div w:id="818957015">
          <w:marLeft w:val="0"/>
          <w:marRight w:val="0"/>
          <w:marTop w:val="0"/>
          <w:marBottom w:val="0"/>
          <w:divBdr>
            <w:top w:val="none" w:sz="0" w:space="0" w:color="auto"/>
            <w:left w:val="none" w:sz="0" w:space="0" w:color="auto"/>
            <w:bottom w:val="none" w:sz="0" w:space="0" w:color="auto"/>
            <w:right w:val="none" w:sz="0" w:space="0" w:color="auto"/>
          </w:divBdr>
          <w:divsChild>
            <w:div w:id="18892319">
              <w:marLeft w:val="0"/>
              <w:marRight w:val="0"/>
              <w:marTop w:val="0"/>
              <w:marBottom w:val="0"/>
              <w:divBdr>
                <w:top w:val="none" w:sz="0" w:space="0" w:color="auto"/>
                <w:left w:val="none" w:sz="0" w:space="0" w:color="auto"/>
                <w:bottom w:val="none" w:sz="0" w:space="0" w:color="auto"/>
                <w:right w:val="none" w:sz="0" w:space="0" w:color="auto"/>
              </w:divBdr>
            </w:div>
          </w:divsChild>
        </w:div>
        <w:div w:id="787745541">
          <w:marLeft w:val="0"/>
          <w:marRight w:val="0"/>
          <w:marTop w:val="0"/>
          <w:marBottom w:val="0"/>
          <w:divBdr>
            <w:top w:val="none" w:sz="0" w:space="0" w:color="auto"/>
            <w:left w:val="none" w:sz="0" w:space="0" w:color="auto"/>
            <w:bottom w:val="none" w:sz="0" w:space="0" w:color="auto"/>
            <w:right w:val="none" w:sz="0" w:space="0" w:color="auto"/>
          </w:divBdr>
          <w:divsChild>
            <w:div w:id="104340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731732">
      <w:bodyDiv w:val="1"/>
      <w:marLeft w:val="0"/>
      <w:marRight w:val="0"/>
      <w:marTop w:val="0"/>
      <w:marBottom w:val="0"/>
      <w:divBdr>
        <w:top w:val="none" w:sz="0" w:space="0" w:color="auto"/>
        <w:left w:val="none" w:sz="0" w:space="0" w:color="auto"/>
        <w:bottom w:val="none" w:sz="0" w:space="0" w:color="auto"/>
        <w:right w:val="none" w:sz="0" w:space="0" w:color="auto"/>
      </w:divBdr>
    </w:div>
    <w:div w:id="1248998547">
      <w:bodyDiv w:val="1"/>
      <w:marLeft w:val="0"/>
      <w:marRight w:val="0"/>
      <w:marTop w:val="0"/>
      <w:marBottom w:val="0"/>
      <w:divBdr>
        <w:top w:val="none" w:sz="0" w:space="0" w:color="auto"/>
        <w:left w:val="none" w:sz="0" w:space="0" w:color="auto"/>
        <w:bottom w:val="none" w:sz="0" w:space="0" w:color="auto"/>
        <w:right w:val="none" w:sz="0" w:space="0" w:color="auto"/>
      </w:divBdr>
    </w:div>
    <w:div w:id="1258176781">
      <w:bodyDiv w:val="1"/>
      <w:marLeft w:val="0"/>
      <w:marRight w:val="0"/>
      <w:marTop w:val="0"/>
      <w:marBottom w:val="0"/>
      <w:divBdr>
        <w:top w:val="none" w:sz="0" w:space="0" w:color="auto"/>
        <w:left w:val="none" w:sz="0" w:space="0" w:color="auto"/>
        <w:bottom w:val="none" w:sz="0" w:space="0" w:color="auto"/>
        <w:right w:val="none" w:sz="0" w:space="0" w:color="auto"/>
      </w:divBdr>
    </w:div>
    <w:div w:id="1259869928">
      <w:bodyDiv w:val="1"/>
      <w:marLeft w:val="0"/>
      <w:marRight w:val="0"/>
      <w:marTop w:val="0"/>
      <w:marBottom w:val="0"/>
      <w:divBdr>
        <w:top w:val="none" w:sz="0" w:space="0" w:color="auto"/>
        <w:left w:val="none" w:sz="0" w:space="0" w:color="auto"/>
        <w:bottom w:val="none" w:sz="0" w:space="0" w:color="auto"/>
        <w:right w:val="none" w:sz="0" w:space="0" w:color="auto"/>
      </w:divBdr>
    </w:div>
    <w:div w:id="1274433243">
      <w:bodyDiv w:val="1"/>
      <w:marLeft w:val="0"/>
      <w:marRight w:val="0"/>
      <w:marTop w:val="0"/>
      <w:marBottom w:val="0"/>
      <w:divBdr>
        <w:top w:val="none" w:sz="0" w:space="0" w:color="auto"/>
        <w:left w:val="none" w:sz="0" w:space="0" w:color="auto"/>
        <w:bottom w:val="none" w:sz="0" w:space="0" w:color="auto"/>
        <w:right w:val="none" w:sz="0" w:space="0" w:color="auto"/>
      </w:divBdr>
    </w:div>
    <w:div w:id="1278175190">
      <w:bodyDiv w:val="1"/>
      <w:marLeft w:val="0"/>
      <w:marRight w:val="0"/>
      <w:marTop w:val="0"/>
      <w:marBottom w:val="0"/>
      <w:divBdr>
        <w:top w:val="none" w:sz="0" w:space="0" w:color="auto"/>
        <w:left w:val="none" w:sz="0" w:space="0" w:color="auto"/>
        <w:bottom w:val="none" w:sz="0" w:space="0" w:color="auto"/>
        <w:right w:val="none" w:sz="0" w:space="0" w:color="auto"/>
      </w:divBdr>
    </w:div>
    <w:div w:id="1296642776">
      <w:bodyDiv w:val="1"/>
      <w:marLeft w:val="0"/>
      <w:marRight w:val="0"/>
      <w:marTop w:val="0"/>
      <w:marBottom w:val="0"/>
      <w:divBdr>
        <w:top w:val="none" w:sz="0" w:space="0" w:color="auto"/>
        <w:left w:val="none" w:sz="0" w:space="0" w:color="auto"/>
        <w:bottom w:val="none" w:sz="0" w:space="0" w:color="auto"/>
        <w:right w:val="none" w:sz="0" w:space="0" w:color="auto"/>
      </w:divBdr>
    </w:div>
    <w:div w:id="1297100557">
      <w:bodyDiv w:val="1"/>
      <w:marLeft w:val="0"/>
      <w:marRight w:val="0"/>
      <w:marTop w:val="0"/>
      <w:marBottom w:val="0"/>
      <w:divBdr>
        <w:top w:val="none" w:sz="0" w:space="0" w:color="auto"/>
        <w:left w:val="none" w:sz="0" w:space="0" w:color="auto"/>
        <w:bottom w:val="none" w:sz="0" w:space="0" w:color="auto"/>
        <w:right w:val="none" w:sz="0" w:space="0" w:color="auto"/>
      </w:divBdr>
    </w:div>
    <w:div w:id="1301302040">
      <w:bodyDiv w:val="1"/>
      <w:marLeft w:val="0"/>
      <w:marRight w:val="0"/>
      <w:marTop w:val="0"/>
      <w:marBottom w:val="0"/>
      <w:divBdr>
        <w:top w:val="none" w:sz="0" w:space="0" w:color="auto"/>
        <w:left w:val="none" w:sz="0" w:space="0" w:color="auto"/>
        <w:bottom w:val="none" w:sz="0" w:space="0" w:color="auto"/>
        <w:right w:val="none" w:sz="0" w:space="0" w:color="auto"/>
      </w:divBdr>
      <w:divsChild>
        <w:div w:id="100154643">
          <w:marLeft w:val="0"/>
          <w:marRight w:val="0"/>
          <w:marTop w:val="0"/>
          <w:marBottom w:val="0"/>
          <w:divBdr>
            <w:top w:val="none" w:sz="0" w:space="0" w:color="auto"/>
            <w:left w:val="none" w:sz="0" w:space="0" w:color="auto"/>
            <w:bottom w:val="none" w:sz="0" w:space="0" w:color="auto"/>
            <w:right w:val="none" w:sz="0" w:space="0" w:color="auto"/>
          </w:divBdr>
          <w:divsChild>
            <w:div w:id="837571897">
              <w:marLeft w:val="0"/>
              <w:marRight w:val="0"/>
              <w:marTop w:val="0"/>
              <w:marBottom w:val="0"/>
              <w:divBdr>
                <w:top w:val="none" w:sz="0" w:space="0" w:color="auto"/>
                <w:left w:val="none" w:sz="0" w:space="0" w:color="auto"/>
                <w:bottom w:val="none" w:sz="0" w:space="0" w:color="auto"/>
                <w:right w:val="none" w:sz="0" w:space="0" w:color="auto"/>
              </w:divBdr>
              <w:divsChild>
                <w:div w:id="538130300">
                  <w:marLeft w:val="0"/>
                  <w:marRight w:val="0"/>
                  <w:marTop w:val="0"/>
                  <w:marBottom w:val="0"/>
                  <w:divBdr>
                    <w:top w:val="none" w:sz="0" w:space="0" w:color="auto"/>
                    <w:left w:val="none" w:sz="0" w:space="0" w:color="auto"/>
                    <w:bottom w:val="none" w:sz="0" w:space="0" w:color="auto"/>
                    <w:right w:val="none" w:sz="0" w:space="0" w:color="auto"/>
                  </w:divBdr>
                  <w:divsChild>
                    <w:div w:id="1815029525">
                      <w:marLeft w:val="0"/>
                      <w:marRight w:val="0"/>
                      <w:marTop w:val="0"/>
                      <w:marBottom w:val="0"/>
                      <w:divBdr>
                        <w:top w:val="none" w:sz="0" w:space="0" w:color="auto"/>
                        <w:left w:val="none" w:sz="0" w:space="0" w:color="auto"/>
                        <w:bottom w:val="none" w:sz="0" w:space="0" w:color="auto"/>
                        <w:right w:val="none" w:sz="0" w:space="0" w:color="auto"/>
                      </w:divBdr>
                      <w:divsChild>
                        <w:div w:id="1173689251">
                          <w:marLeft w:val="0"/>
                          <w:marRight w:val="0"/>
                          <w:marTop w:val="0"/>
                          <w:marBottom w:val="0"/>
                          <w:divBdr>
                            <w:top w:val="none" w:sz="0" w:space="0" w:color="auto"/>
                            <w:left w:val="none" w:sz="0" w:space="0" w:color="auto"/>
                            <w:bottom w:val="none" w:sz="0" w:space="0" w:color="auto"/>
                            <w:right w:val="none" w:sz="0" w:space="0" w:color="auto"/>
                          </w:divBdr>
                          <w:divsChild>
                            <w:div w:id="155631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07606">
                      <w:marLeft w:val="0"/>
                      <w:marRight w:val="0"/>
                      <w:marTop w:val="0"/>
                      <w:marBottom w:val="0"/>
                      <w:divBdr>
                        <w:top w:val="none" w:sz="0" w:space="0" w:color="auto"/>
                        <w:left w:val="none" w:sz="0" w:space="0" w:color="auto"/>
                        <w:bottom w:val="none" w:sz="0" w:space="0" w:color="auto"/>
                        <w:right w:val="none" w:sz="0" w:space="0" w:color="auto"/>
                      </w:divBdr>
                      <w:divsChild>
                        <w:div w:id="320743057">
                          <w:marLeft w:val="0"/>
                          <w:marRight w:val="0"/>
                          <w:marTop w:val="0"/>
                          <w:marBottom w:val="0"/>
                          <w:divBdr>
                            <w:top w:val="none" w:sz="0" w:space="0" w:color="auto"/>
                            <w:left w:val="none" w:sz="0" w:space="0" w:color="auto"/>
                            <w:bottom w:val="none" w:sz="0" w:space="0" w:color="auto"/>
                            <w:right w:val="none" w:sz="0" w:space="0" w:color="auto"/>
                          </w:divBdr>
                          <w:divsChild>
                            <w:div w:id="1656058665">
                              <w:marLeft w:val="0"/>
                              <w:marRight w:val="0"/>
                              <w:marTop w:val="0"/>
                              <w:marBottom w:val="0"/>
                              <w:divBdr>
                                <w:top w:val="none" w:sz="0" w:space="0" w:color="auto"/>
                                <w:left w:val="none" w:sz="0" w:space="0" w:color="auto"/>
                                <w:bottom w:val="none" w:sz="0" w:space="0" w:color="auto"/>
                                <w:right w:val="none" w:sz="0" w:space="0" w:color="auto"/>
                              </w:divBdr>
                              <w:divsChild>
                                <w:div w:id="19324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95305">
          <w:marLeft w:val="0"/>
          <w:marRight w:val="0"/>
          <w:marTop w:val="0"/>
          <w:marBottom w:val="0"/>
          <w:divBdr>
            <w:top w:val="none" w:sz="0" w:space="0" w:color="auto"/>
            <w:left w:val="none" w:sz="0" w:space="0" w:color="auto"/>
            <w:bottom w:val="none" w:sz="0" w:space="0" w:color="auto"/>
            <w:right w:val="none" w:sz="0" w:space="0" w:color="auto"/>
          </w:divBdr>
          <w:divsChild>
            <w:div w:id="2056274351">
              <w:marLeft w:val="0"/>
              <w:marRight w:val="0"/>
              <w:marTop w:val="0"/>
              <w:marBottom w:val="0"/>
              <w:divBdr>
                <w:top w:val="none" w:sz="0" w:space="0" w:color="auto"/>
                <w:left w:val="none" w:sz="0" w:space="0" w:color="auto"/>
                <w:bottom w:val="none" w:sz="0" w:space="0" w:color="auto"/>
                <w:right w:val="none" w:sz="0" w:space="0" w:color="auto"/>
              </w:divBdr>
              <w:divsChild>
                <w:div w:id="1124739418">
                  <w:marLeft w:val="0"/>
                  <w:marRight w:val="0"/>
                  <w:marTop w:val="0"/>
                  <w:marBottom w:val="0"/>
                  <w:divBdr>
                    <w:top w:val="none" w:sz="0" w:space="0" w:color="auto"/>
                    <w:left w:val="none" w:sz="0" w:space="0" w:color="auto"/>
                    <w:bottom w:val="none" w:sz="0" w:space="0" w:color="auto"/>
                    <w:right w:val="none" w:sz="0" w:space="0" w:color="auto"/>
                  </w:divBdr>
                  <w:divsChild>
                    <w:div w:id="882715289">
                      <w:marLeft w:val="0"/>
                      <w:marRight w:val="0"/>
                      <w:marTop w:val="0"/>
                      <w:marBottom w:val="0"/>
                      <w:divBdr>
                        <w:top w:val="none" w:sz="0" w:space="0" w:color="auto"/>
                        <w:left w:val="none" w:sz="0" w:space="0" w:color="auto"/>
                        <w:bottom w:val="none" w:sz="0" w:space="0" w:color="auto"/>
                        <w:right w:val="none" w:sz="0" w:space="0" w:color="auto"/>
                      </w:divBdr>
                      <w:divsChild>
                        <w:div w:id="537208514">
                          <w:marLeft w:val="0"/>
                          <w:marRight w:val="0"/>
                          <w:marTop w:val="0"/>
                          <w:marBottom w:val="0"/>
                          <w:divBdr>
                            <w:top w:val="none" w:sz="0" w:space="0" w:color="auto"/>
                            <w:left w:val="none" w:sz="0" w:space="0" w:color="auto"/>
                            <w:bottom w:val="none" w:sz="0" w:space="0" w:color="auto"/>
                            <w:right w:val="none" w:sz="0" w:space="0" w:color="auto"/>
                          </w:divBdr>
                          <w:divsChild>
                            <w:div w:id="252469969">
                              <w:marLeft w:val="0"/>
                              <w:marRight w:val="0"/>
                              <w:marTop w:val="0"/>
                              <w:marBottom w:val="0"/>
                              <w:divBdr>
                                <w:top w:val="none" w:sz="0" w:space="0" w:color="auto"/>
                                <w:left w:val="none" w:sz="0" w:space="0" w:color="auto"/>
                                <w:bottom w:val="none" w:sz="0" w:space="0" w:color="auto"/>
                                <w:right w:val="none" w:sz="0" w:space="0" w:color="auto"/>
                              </w:divBdr>
                            </w:div>
                          </w:divsChild>
                        </w:div>
                        <w:div w:id="1100682683">
                          <w:marLeft w:val="0"/>
                          <w:marRight w:val="0"/>
                          <w:marTop w:val="0"/>
                          <w:marBottom w:val="0"/>
                          <w:divBdr>
                            <w:top w:val="none" w:sz="0" w:space="0" w:color="auto"/>
                            <w:left w:val="none" w:sz="0" w:space="0" w:color="auto"/>
                            <w:bottom w:val="none" w:sz="0" w:space="0" w:color="auto"/>
                            <w:right w:val="none" w:sz="0" w:space="0" w:color="auto"/>
                          </w:divBdr>
                          <w:divsChild>
                            <w:div w:id="201267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577679">
          <w:marLeft w:val="0"/>
          <w:marRight w:val="0"/>
          <w:marTop w:val="0"/>
          <w:marBottom w:val="0"/>
          <w:divBdr>
            <w:top w:val="none" w:sz="0" w:space="0" w:color="auto"/>
            <w:left w:val="none" w:sz="0" w:space="0" w:color="auto"/>
            <w:bottom w:val="none" w:sz="0" w:space="0" w:color="auto"/>
            <w:right w:val="none" w:sz="0" w:space="0" w:color="auto"/>
          </w:divBdr>
          <w:divsChild>
            <w:div w:id="954752872">
              <w:marLeft w:val="0"/>
              <w:marRight w:val="0"/>
              <w:marTop w:val="0"/>
              <w:marBottom w:val="0"/>
              <w:divBdr>
                <w:top w:val="none" w:sz="0" w:space="0" w:color="auto"/>
                <w:left w:val="none" w:sz="0" w:space="0" w:color="auto"/>
                <w:bottom w:val="none" w:sz="0" w:space="0" w:color="auto"/>
                <w:right w:val="none" w:sz="0" w:space="0" w:color="auto"/>
              </w:divBdr>
              <w:divsChild>
                <w:div w:id="1071002045">
                  <w:marLeft w:val="0"/>
                  <w:marRight w:val="0"/>
                  <w:marTop w:val="0"/>
                  <w:marBottom w:val="0"/>
                  <w:divBdr>
                    <w:top w:val="none" w:sz="0" w:space="0" w:color="auto"/>
                    <w:left w:val="none" w:sz="0" w:space="0" w:color="auto"/>
                    <w:bottom w:val="none" w:sz="0" w:space="0" w:color="auto"/>
                    <w:right w:val="none" w:sz="0" w:space="0" w:color="auto"/>
                  </w:divBdr>
                  <w:divsChild>
                    <w:div w:id="681857952">
                      <w:marLeft w:val="0"/>
                      <w:marRight w:val="0"/>
                      <w:marTop w:val="0"/>
                      <w:marBottom w:val="0"/>
                      <w:divBdr>
                        <w:top w:val="none" w:sz="0" w:space="0" w:color="auto"/>
                        <w:left w:val="none" w:sz="0" w:space="0" w:color="auto"/>
                        <w:bottom w:val="none" w:sz="0" w:space="0" w:color="auto"/>
                        <w:right w:val="none" w:sz="0" w:space="0" w:color="auto"/>
                      </w:divBdr>
                      <w:divsChild>
                        <w:div w:id="781149332">
                          <w:marLeft w:val="0"/>
                          <w:marRight w:val="0"/>
                          <w:marTop w:val="0"/>
                          <w:marBottom w:val="0"/>
                          <w:divBdr>
                            <w:top w:val="none" w:sz="0" w:space="0" w:color="auto"/>
                            <w:left w:val="none" w:sz="0" w:space="0" w:color="auto"/>
                            <w:bottom w:val="none" w:sz="0" w:space="0" w:color="auto"/>
                            <w:right w:val="none" w:sz="0" w:space="0" w:color="auto"/>
                          </w:divBdr>
                          <w:divsChild>
                            <w:div w:id="194664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130548">
      <w:bodyDiv w:val="1"/>
      <w:marLeft w:val="0"/>
      <w:marRight w:val="0"/>
      <w:marTop w:val="0"/>
      <w:marBottom w:val="0"/>
      <w:divBdr>
        <w:top w:val="none" w:sz="0" w:space="0" w:color="auto"/>
        <w:left w:val="none" w:sz="0" w:space="0" w:color="auto"/>
        <w:bottom w:val="none" w:sz="0" w:space="0" w:color="auto"/>
        <w:right w:val="none" w:sz="0" w:space="0" w:color="auto"/>
      </w:divBdr>
    </w:div>
    <w:div w:id="1310289178">
      <w:bodyDiv w:val="1"/>
      <w:marLeft w:val="0"/>
      <w:marRight w:val="0"/>
      <w:marTop w:val="0"/>
      <w:marBottom w:val="0"/>
      <w:divBdr>
        <w:top w:val="none" w:sz="0" w:space="0" w:color="auto"/>
        <w:left w:val="none" w:sz="0" w:space="0" w:color="auto"/>
        <w:bottom w:val="none" w:sz="0" w:space="0" w:color="auto"/>
        <w:right w:val="none" w:sz="0" w:space="0" w:color="auto"/>
      </w:divBdr>
    </w:div>
    <w:div w:id="1315600447">
      <w:bodyDiv w:val="1"/>
      <w:marLeft w:val="0"/>
      <w:marRight w:val="0"/>
      <w:marTop w:val="0"/>
      <w:marBottom w:val="0"/>
      <w:divBdr>
        <w:top w:val="none" w:sz="0" w:space="0" w:color="auto"/>
        <w:left w:val="none" w:sz="0" w:space="0" w:color="auto"/>
        <w:bottom w:val="none" w:sz="0" w:space="0" w:color="auto"/>
        <w:right w:val="none" w:sz="0" w:space="0" w:color="auto"/>
      </w:divBdr>
    </w:div>
    <w:div w:id="1317222057">
      <w:bodyDiv w:val="1"/>
      <w:marLeft w:val="0"/>
      <w:marRight w:val="0"/>
      <w:marTop w:val="0"/>
      <w:marBottom w:val="0"/>
      <w:divBdr>
        <w:top w:val="none" w:sz="0" w:space="0" w:color="auto"/>
        <w:left w:val="none" w:sz="0" w:space="0" w:color="auto"/>
        <w:bottom w:val="none" w:sz="0" w:space="0" w:color="auto"/>
        <w:right w:val="none" w:sz="0" w:space="0" w:color="auto"/>
      </w:divBdr>
    </w:div>
    <w:div w:id="1324237330">
      <w:bodyDiv w:val="1"/>
      <w:marLeft w:val="0"/>
      <w:marRight w:val="0"/>
      <w:marTop w:val="0"/>
      <w:marBottom w:val="0"/>
      <w:divBdr>
        <w:top w:val="none" w:sz="0" w:space="0" w:color="auto"/>
        <w:left w:val="none" w:sz="0" w:space="0" w:color="auto"/>
        <w:bottom w:val="none" w:sz="0" w:space="0" w:color="auto"/>
        <w:right w:val="none" w:sz="0" w:space="0" w:color="auto"/>
      </w:divBdr>
    </w:div>
    <w:div w:id="1324967467">
      <w:bodyDiv w:val="1"/>
      <w:marLeft w:val="0"/>
      <w:marRight w:val="0"/>
      <w:marTop w:val="0"/>
      <w:marBottom w:val="0"/>
      <w:divBdr>
        <w:top w:val="none" w:sz="0" w:space="0" w:color="auto"/>
        <w:left w:val="none" w:sz="0" w:space="0" w:color="auto"/>
        <w:bottom w:val="none" w:sz="0" w:space="0" w:color="auto"/>
        <w:right w:val="none" w:sz="0" w:space="0" w:color="auto"/>
      </w:divBdr>
    </w:div>
    <w:div w:id="1329289184">
      <w:bodyDiv w:val="1"/>
      <w:marLeft w:val="0"/>
      <w:marRight w:val="0"/>
      <w:marTop w:val="0"/>
      <w:marBottom w:val="0"/>
      <w:divBdr>
        <w:top w:val="none" w:sz="0" w:space="0" w:color="auto"/>
        <w:left w:val="none" w:sz="0" w:space="0" w:color="auto"/>
        <w:bottom w:val="none" w:sz="0" w:space="0" w:color="auto"/>
        <w:right w:val="none" w:sz="0" w:space="0" w:color="auto"/>
      </w:divBdr>
    </w:div>
    <w:div w:id="1344473940">
      <w:bodyDiv w:val="1"/>
      <w:marLeft w:val="0"/>
      <w:marRight w:val="0"/>
      <w:marTop w:val="0"/>
      <w:marBottom w:val="0"/>
      <w:divBdr>
        <w:top w:val="none" w:sz="0" w:space="0" w:color="auto"/>
        <w:left w:val="none" w:sz="0" w:space="0" w:color="auto"/>
        <w:bottom w:val="none" w:sz="0" w:space="0" w:color="auto"/>
        <w:right w:val="none" w:sz="0" w:space="0" w:color="auto"/>
      </w:divBdr>
    </w:div>
    <w:div w:id="1352951333">
      <w:bodyDiv w:val="1"/>
      <w:marLeft w:val="0"/>
      <w:marRight w:val="0"/>
      <w:marTop w:val="0"/>
      <w:marBottom w:val="0"/>
      <w:divBdr>
        <w:top w:val="none" w:sz="0" w:space="0" w:color="auto"/>
        <w:left w:val="none" w:sz="0" w:space="0" w:color="auto"/>
        <w:bottom w:val="none" w:sz="0" w:space="0" w:color="auto"/>
        <w:right w:val="none" w:sz="0" w:space="0" w:color="auto"/>
      </w:divBdr>
    </w:div>
    <w:div w:id="1353528863">
      <w:bodyDiv w:val="1"/>
      <w:marLeft w:val="0"/>
      <w:marRight w:val="0"/>
      <w:marTop w:val="0"/>
      <w:marBottom w:val="0"/>
      <w:divBdr>
        <w:top w:val="none" w:sz="0" w:space="0" w:color="auto"/>
        <w:left w:val="none" w:sz="0" w:space="0" w:color="auto"/>
        <w:bottom w:val="none" w:sz="0" w:space="0" w:color="auto"/>
        <w:right w:val="none" w:sz="0" w:space="0" w:color="auto"/>
      </w:divBdr>
    </w:div>
    <w:div w:id="1371689018">
      <w:bodyDiv w:val="1"/>
      <w:marLeft w:val="0"/>
      <w:marRight w:val="0"/>
      <w:marTop w:val="0"/>
      <w:marBottom w:val="0"/>
      <w:divBdr>
        <w:top w:val="none" w:sz="0" w:space="0" w:color="auto"/>
        <w:left w:val="none" w:sz="0" w:space="0" w:color="auto"/>
        <w:bottom w:val="none" w:sz="0" w:space="0" w:color="auto"/>
        <w:right w:val="none" w:sz="0" w:space="0" w:color="auto"/>
      </w:divBdr>
    </w:div>
    <w:div w:id="1380402982">
      <w:bodyDiv w:val="1"/>
      <w:marLeft w:val="0"/>
      <w:marRight w:val="0"/>
      <w:marTop w:val="0"/>
      <w:marBottom w:val="0"/>
      <w:divBdr>
        <w:top w:val="none" w:sz="0" w:space="0" w:color="auto"/>
        <w:left w:val="none" w:sz="0" w:space="0" w:color="auto"/>
        <w:bottom w:val="none" w:sz="0" w:space="0" w:color="auto"/>
        <w:right w:val="none" w:sz="0" w:space="0" w:color="auto"/>
      </w:divBdr>
    </w:div>
    <w:div w:id="1393115998">
      <w:bodyDiv w:val="1"/>
      <w:marLeft w:val="0"/>
      <w:marRight w:val="0"/>
      <w:marTop w:val="0"/>
      <w:marBottom w:val="0"/>
      <w:divBdr>
        <w:top w:val="none" w:sz="0" w:space="0" w:color="auto"/>
        <w:left w:val="none" w:sz="0" w:space="0" w:color="auto"/>
        <w:bottom w:val="none" w:sz="0" w:space="0" w:color="auto"/>
        <w:right w:val="none" w:sz="0" w:space="0" w:color="auto"/>
      </w:divBdr>
    </w:div>
    <w:div w:id="1395472251">
      <w:bodyDiv w:val="1"/>
      <w:marLeft w:val="0"/>
      <w:marRight w:val="0"/>
      <w:marTop w:val="0"/>
      <w:marBottom w:val="0"/>
      <w:divBdr>
        <w:top w:val="none" w:sz="0" w:space="0" w:color="auto"/>
        <w:left w:val="none" w:sz="0" w:space="0" w:color="auto"/>
        <w:bottom w:val="none" w:sz="0" w:space="0" w:color="auto"/>
        <w:right w:val="none" w:sz="0" w:space="0" w:color="auto"/>
      </w:divBdr>
    </w:div>
    <w:div w:id="1415973741">
      <w:bodyDiv w:val="1"/>
      <w:marLeft w:val="0"/>
      <w:marRight w:val="0"/>
      <w:marTop w:val="0"/>
      <w:marBottom w:val="0"/>
      <w:divBdr>
        <w:top w:val="none" w:sz="0" w:space="0" w:color="auto"/>
        <w:left w:val="none" w:sz="0" w:space="0" w:color="auto"/>
        <w:bottom w:val="none" w:sz="0" w:space="0" w:color="auto"/>
        <w:right w:val="none" w:sz="0" w:space="0" w:color="auto"/>
      </w:divBdr>
    </w:div>
    <w:div w:id="1419325885">
      <w:bodyDiv w:val="1"/>
      <w:marLeft w:val="0"/>
      <w:marRight w:val="0"/>
      <w:marTop w:val="0"/>
      <w:marBottom w:val="0"/>
      <w:divBdr>
        <w:top w:val="none" w:sz="0" w:space="0" w:color="auto"/>
        <w:left w:val="none" w:sz="0" w:space="0" w:color="auto"/>
        <w:bottom w:val="none" w:sz="0" w:space="0" w:color="auto"/>
        <w:right w:val="none" w:sz="0" w:space="0" w:color="auto"/>
      </w:divBdr>
      <w:divsChild>
        <w:div w:id="1367633823">
          <w:marLeft w:val="0"/>
          <w:marRight w:val="0"/>
          <w:marTop w:val="0"/>
          <w:marBottom w:val="0"/>
          <w:divBdr>
            <w:top w:val="none" w:sz="0" w:space="0" w:color="auto"/>
            <w:left w:val="none" w:sz="0" w:space="0" w:color="auto"/>
            <w:bottom w:val="none" w:sz="0" w:space="0" w:color="auto"/>
            <w:right w:val="none" w:sz="0" w:space="0" w:color="auto"/>
          </w:divBdr>
          <w:divsChild>
            <w:div w:id="47345944">
              <w:marLeft w:val="0"/>
              <w:marRight w:val="0"/>
              <w:marTop w:val="0"/>
              <w:marBottom w:val="0"/>
              <w:divBdr>
                <w:top w:val="none" w:sz="0" w:space="0" w:color="auto"/>
                <w:left w:val="none" w:sz="0" w:space="0" w:color="auto"/>
                <w:bottom w:val="none" w:sz="0" w:space="0" w:color="auto"/>
                <w:right w:val="none" w:sz="0" w:space="0" w:color="auto"/>
              </w:divBdr>
            </w:div>
          </w:divsChild>
        </w:div>
        <w:div w:id="227570224">
          <w:marLeft w:val="0"/>
          <w:marRight w:val="0"/>
          <w:marTop w:val="0"/>
          <w:marBottom w:val="0"/>
          <w:divBdr>
            <w:top w:val="none" w:sz="0" w:space="0" w:color="auto"/>
            <w:left w:val="none" w:sz="0" w:space="0" w:color="auto"/>
            <w:bottom w:val="none" w:sz="0" w:space="0" w:color="auto"/>
            <w:right w:val="none" w:sz="0" w:space="0" w:color="auto"/>
          </w:divBdr>
          <w:divsChild>
            <w:div w:id="1466846274">
              <w:marLeft w:val="0"/>
              <w:marRight w:val="0"/>
              <w:marTop w:val="0"/>
              <w:marBottom w:val="0"/>
              <w:divBdr>
                <w:top w:val="none" w:sz="0" w:space="0" w:color="auto"/>
                <w:left w:val="none" w:sz="0" w:space="0" w:color="auto"/>
                <w:bottom w:val="none" w:sz="0" w:space="0" w:color="auto"/>
                <w:right w:val="none" w:sz="0" w:space="0" w:color="auto"/>
              </w:divBdr>
            </w:div>
          </w:divsChild>
        </w:div>
        <w:div w:id="2078549136">
          <w:marLeft w:val="0"/>
          <w:marRight w:val="0"/>
          <w:marTop w:val="0"/>
          <w:marBottom w:val="0"/>
          <w:divBdr>
            <w:top w:val="none" w:sz="0" w:space="0" w:color="auto"/>
            <w:left w:val="none" w:sz="0" w:space="0" w:color="auto"/>
            <w:bottom w:val="none" w:sz="0" w:space="0" w:color="auto"/>
            <w:right w:val="none" w:sz="0" w:space="0" w:color="auto"/>
          </w:divBdr>
          <w:divsChild>
            <w:div w:id="1108310394">
              <w:marLeft w:val="0"/>
              <w:marRight w:val="0"/>
              <w:marTop w:val="0"/>
              <w:marBottom w:val="0"/>
              <w:divBdr>
                <w:top w:val="none" w:sz="0" w:space="0" w:color="auto"/>
                <w:left w:val="none" w:sz="0" w:space="0" w:color="auto"/>
                <w:bottom w:val="none" w:sz="0" w:space="0" w:color="auto"/>
                <w:right w:val="none" w:sz="0" w:space="0" w:color="auto"/>
              </w:divBdr>
            </w:div>
          </w:divsChild>
        </w:div>
        <w:div w:id="1857184215">
          <w:marLeft w:val="0"/>
          <w:marRight w:val="0"/>
          <w:marTop w:val="0"/>
          <w:marBottom w:val="0"/>
          <w:divBdr>
            <w:top w:val="none" w:sz="0" w:space="0" w:color="auto"/>
            <w:left w:val="none" w:sz="0" w:space="0" w:color="auto"/>
            <w:bottom w:val="none" w:sz="0" w:space="0" w:color="auto"/>
            <w:right w:val="none" w:sz="0" w:space="0" w:color="auto"/>
          </w:divBdr>
          <w:divsChild>
            <w:div w:id="1205871845">
              <w:marLeft w:val="0"/>
              <w:marRight w:val="0"/>
              <w:marTop w:val="0"/>
              <w:marBottom w:val="0"/>
              <w:divBdr>
                <w:top w:val="none" w:sz="0" w:space="0" w:color="auto"/>
                <w:left w:val="none" w:sz="0" w:space="0" w:color="auto"/>
                <w:bottom w:val="none" w:sz="0" w:space="0" w:color="auto"/>
                <w:right w:val="none" w:sz="0" w:space="0" w:color="auto"/>
              </w:divBdr>
            </w:div>
          </w:divsChild>
        </w:div>
        <w:div w:id="1614634719">
          <w:marLeft w:val="0"/>
          <w:marRight w:val="0"/>
          <w:marTop w:val="0"/>
          <w:marBottom w:val="0"/>
          <w:divBdr>
            <w:top w:val="none" w:sz="0" w:space="0" w:color="auto"/>
            <w:left w:val="none" w:sz="0" w:space="0" w:color="auto"/>
            <w:bottom w:val="none" w:sz="0" w:space="0" w:color="auto"/>
            <w:right w:val="none" w:sz="0" w:space="0" w:color="auto"/>
          </w:divBdr>
          <w:divsChild>
            <w:div w:id="533928591">
              <w:marLeft w:val="0"/>
              <w:marRight w:val="0"/>
              <w:marTop w:val="0"/>
              <w:marBottom w:val="0"/>
              <w:divBdr>
                <w:top w:val="none" w:sz="0" w:space="0" w:color="auto"/>
                <w:left w:val="none" w:sz="0" w:space="0" w:color="auto"/>
                <w:bottom w:val="none" w:sz="0" w:space="0" w:color="auto"/>
                <w:right w:val="none" w:sz="0" w:space="0" w:color="auto"/>
              </w:divBdr>
            </w:div>
          </w:divsChild>
        </w:div>
        <w:div w:id="1721900294">
          <w:marLeft w:val="0"/>
          <w:marRight w:val="0"/>
          <w:marTop w:val="0"/>
          <w:marBottom w:val="0"/>
          <w:divBdr>
            <w:top w:val="none" w:sz="0" w:space="0" w:color="auto"/>
            <w:left w:val="none" w:sz="0" w:space="0" w:color="auto"/>
            <w:bottom w:val="none" w:sz="0" w:space="0" w:color="auto"/>
            <w:right w:val="none" w:sz="0" w:space="0" w:color="auto"/>
          </w:divBdr>
          <w:divsChild>
            <w:div w:id="927541894">
              <w:marLeft w:val="0"/>
              <w:marRight w:val="0"/>
              <w:marTop w:val="0"/>
              <w:marBottom w:val="0"/>
              <w:divBdr>
                <w:top w:val="none" w:sz="0" w:space="0" w:color="auto"/>
                <w:left w:val="none" w:sz="0" w:space="0" w:color="auto"/>
                <w:bottom w:val="none" w:sz="0" w:space="0" w:color="auto"/>
                <w:right w:val="none" w:sz="0" w:space="0" w:color="auto"/>
              </w:divBdr>
            </w:div>
          </w:divsChild>
        </w:div>
        <w:div w:id="1663242083">
          <w:marLeft w:val="0"/>
          <w:marRight w:val="0"/>
          <w:marTop w:val="0"/>
          <w:marBottom w:val="0"/>
          <w:divBdr>
            <w:top w:val="none" w:sz="0" w:space="0" w:color="auto"/>
            <w:left w:val="none" w:sz="0" w:space="0" w:color="auto"/>
            <w:bottom w:val="none" w:sz="0" w:space="0" w:color="auto"/>
            <w:right w:val="none" w:sz="0" w:space="0" w:color="auto"/>
          </w:divBdr>
          <w:divsChild>
            <w:div w:id="1923640974">
              <w:marLeft w:val="0"/>
              <w:marRight w:val="0"/>
              <w:marTop w:val="0"/>
              <w:marBottom w:val="0"/>
              <w:divBdr>
                <w:top w:val="none" w:sz="0" w:space="0" w:color="auto"/>
                <w:left w:val="none" w:sz="0" w:space="0" w:color="auto"/>
                <w:bottom w:val="none" w:sz="0" w:space="0" w:color="auto"/>
                <w:right w:val="none" w:sz="0" w:space="0" w:color="auto"/>
              </w:divBdr>
            </w:div>
          </w:divsChild>
        </w:div>
        <w:div w:id="295574505">
          <w:marLeft w:val="0"/>
          <w:marRight w:val="0"/>
          <w:marTop w:val="0"/>
          <w:marBottom w:val="0"/>
          <w:divBdr>
            <w:top w:val="none" w:sz="0" w:space="0" w:color="auto"/>
            <w:left w:val="none" w:sz="0" w:space="0" w:color="auto"/>
            <w:bottom w:val="none" w:sz="0" w:space="0" w:color="auto"/>
            <w:right w:val="none" w:sz="0" w:space="0" w:color="auto"/>
          </w:divBdr>
          <w:divsChild>
            <w:div w:id="15623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64780">
      <w:bodyDiv w:val="1"/>
      <w:marLeft w:val="0"/>
      <w:marRight w:val="0"/>
      <w:marTop w:val="0"/>
      <w:marBottom w:val="0"/>
      <w:divBdr>
        <w:top w:val="none" w:sz="0" w:space="0" w:color="auto"/>
        <w:left w:val="none" w:sz="0" w:space="0" w:color="auto"/>
        <w:bottom w:val="none" w:sz="0" w:space="0" w:color="auto"/>
        <w:right w:val="none" w:sz="0" w:space="0" w:color="auto"/>
      </w:divBdr>
    </w:div>
    <w:div w:id="1425105671">
      <w:bodyDiv w:val="1"/>
      <w:marLeft w:val="0"/>
      <w:marRight w:val="0"/>
      <w:marTop w:val="0"/>
      <w:marBottom w:val="0"/>
      <w:divBdr>
        <w:top w:val="none" w:sz="0" w:space="0" w:color="auto"/>
        <w:left w:val="none" w:sz="0" w:space="0" w:color="auto"/>
        <w:bottom w:val="none" w:sz="0" w:space="0" w:color="auto"/>
        <w:right w:val="none" w:sz="0" w:space="0" w:color="auto"/>
      </w:divBdr>
    </w:div>
    <w:div w:id="1425877218">
      <w:bodyDiv w:val="1"/>
      <w:marLeft w:val="0"/>
      <w:marRight w:val="0"/>
      <w:marTop w:val="0"/>
      <w:marBottom w:val="0"/>
      <w:divBdr>
        <w:top w:val="none" w:sz="0" w:space="0" w:color="auto"/>
        <w:left w:val="none" w:sz="0" w:space="0" w:color="auto"/>
        <w:bottom w:val="none" w:sz="0" w:space="0" w:color="auto"/>
        <w:right w:val="none" w:sz="0" w:space="0" w:color="auto"/>
      </w:divBdr>
    </w:div>
    <w:div w:id="1427115867">
      <w:bodyDiv w:val="1"/>
      <w:marLeft w:val="0"/>
      <w:marRight w:val="0"/>
      <w:marTop w:val="0"/>
      <w:marBottom w:val="0"/>
      <w:divBdr>
        <w:top w:val="none" w:sz="0" w:space="0" w:color="auto"/>
        <w:left w:val="none" w:sz="0" w:space="0" w:color="auto"/>
        <w:bottom w:val="none" w:sz="0" w:space="0" w:color="auto"/>
        <w:right w:val="none" w:sz="0" w:space="0" w:color="auto"/>
      </w:divBdr>
      <w:divsChild>
        <w:div w:id="286661554">
          <w:marLeft w:val="0"/>
          <w:marRight w:val="0"/>
          <w:marTop w:val="0"/>
          <w:marBottom w:val="0"/>
          <w:divBdr>
            <w:top w:val="none" w:sz="0" w:space="0" w:color="auto"/>
            <w:left w:val="none" w:sz="0" w:space="0" w:color="auto"/>
            <w:bottom w:val="none" w:sz="0" w:space="0" w:color="auto"/>
            <w:right w:val="none" w:sz="0" w:space="0" w:color="auto"/>
          </w:divBdr>
          <w:divsChild>
            <w:div w:id="1633173637">
              <w:marLeft w:val="0"/>
              <w:marRight w:val="0"/>
              <w:marTop w:val="0"/>
              <w:marBottom w:val="0"/>
              <w:divBdr>
                <w:top w:val="none" w:sz="0" w:space="0" w:color="auto"/>
                <w:left w:val="none" w:sz="0" w:space="0" w:color="auto"/>
                <w:bottom w:val="none" w:sz="0" w:space="0" w:color="auto"/>
                <w:right w:val="none" w:sz="0" w:space="0" w:color="auto"/>
              </w:divBdr>
              <w:divsChild>
                <w:div w:id="1729718832">
                  <w:marLeft w:val="0"/>
                  <w:marRight w:val="0"/>
                  <w:marTop w:val="0"/>
                  <w:marBottom w:val="0"/>
                  <w:divBdr>
                    <w:top w:val="none" w:sz="0" w:space="0" w:color="auto"/>
                    <w:left w:val="none" w:sz="0" w:space="0" w:color="auto"/>
                    <w:bottom w:val="none" w:sz="0" w:space="0" w:color="auto"/>
                    <w:right w:val="none" w:sz="0" w:space="0" w:color="auto"/>
                  </w:divBdr>
                  <w:divsChild>
                    <w:div w:id="1391734436">
                      <w:marLeft w:val="0"/>
                      <w:marRight w:val="0"/>
                      <w:marTop w:val="0"/>
                      <w:marBottom w:val="0"/>
                      <w:divBdr>
                        <w:top w:val="none" w:sz="0" w:space="0" w:color="auto"/>
                        <w:left w:val="none" w:sz="0" w:space="0" w:color="auto"/>
                        <w:bottom w:val="none" w:sz="0" w:space="0" w:color="auto"/>
                        <w:right w:val="none" w:sz="0" w:space="0" w:color="auto"/>
                      </w:divBdr>
                      <w:divsChild>
                        <w:div w:id="384186332">
                          <w:marLeft w:val="0"/>
                          <w:marRight w:val="0"/>
                          <w:marTop w:val="0"/>
                          <w:marBottom w:val="0"/>
                          <w:divBdr>
                            <w:top w:val="none" w:sz="0" w:space="0" w:color="auto"/>
                            <w:left w:val="none" w:sz="0" w:space="0" w:color="auto"/>
                            <w:bottom w:val="none" w:sz="0" w:space="0" w:color="auto"/>
                            <w:right w:val="none" w:sz="0" w:space="0" w:color="auto"/>
                          </w:divBdr>
                          <w:divsChild>
                            <w:div w:id="1360206156">
                              <w:marLeft w:val="0"/>
                              <w:marRight w:val="0"/>
                              <w:marTop w:val="0"/>
                              <w:marBottom w:val="0"/>
                              <w:divBdr>
                                <w:top w:val="none" w:sz="0" w:space="0" w:color="auto"/>
                                <w:left w:val="none" w:sz="0" w:space="0" w:color="auto"/>
                                <w:bottom w:val="none" w:sz="0" w:space="0" w:color="auto"/>
                                <w:right w:val="none" w:sz="0" w:space="0" w:color="auto"/>
                              </w:divBdr>
                              <w:divsChild>
                                <w:div w:id="59271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9123">
                          <w:marLeft w:val="0"/>
                          <w:marRight w:val="0"/>
                          <w:marTop w:val="0"/>
                          <w:marBottom w:val="0"/>
                          <w:divBdr>
                            <w:top w:val="none" w:sz="0" w:space="0" w:color="auto"/>
                            <w:left w:val="none" w:sz="0" w:space="0" w:color="auto"/>
                            <w:bottom w:val="none" w:sz="0" w:space="0" w:color="auto"/>
                            <w:right w:val="none" w:sz="0" w:space="0" w:color="auto"/>
                          </w:divBdr>
                          <w:divsChild>
                            <w:div w:id="294141676">
                              <w:marLeft w:val="0"/>
                              <w:marRight w:val="0"/>
                              <w:marTop w:val="0"/>
                              <w:marBottom w:val="0"/>
                              <w:divBdr>
                                <w:top w:val="none" w:sz="0" w:space="0" w:color="auto"/>
                                <w:left w:val="none" w:sz="0" w:space="0" w:color="auto"/>
                                <w:bottom w:val="none" w:sz="0" w:space="0" w:color="auto"/>
                                <w:right w:val="none" w:sz="0" w:space="0" w:color="auto"/>
                              </w:divBdr>
                              <w:divsChild>
                                <w:div w:id="1738818161">
                                  <w:marLeft w:val="0"/>
                                  <w:marRight w:val="0"/>
                                  <w:marTop w:val="0"/>
                                  <w:marBottom w:val="0"/>
                                  <w:divBdr>
                                    <w:top w:val="none" w:sz="0" w:space="0" w:color="auto"/>
                                    <w:left w:val="none" w:sz="0" w:space="0" w:color="auto"/>
                                    <w:bottom w:val="none" w:sz="0" w:space="0" w:color="auto"/>
                                    <w:right w:val="none" w:sz="0" w:space="0" w:color="auto"/>
                                  </w:divBdr>
                                  <w:divsChild>
                                    <w:div w:id="31268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739783">
              <w:marLeft w:val="0"/>
              <w:marRight w:val="0"/>
              <w:marTop w:val="0"/>
              <w:marBottom w:val="0"/>
              <w:divBdr>
                <w:top w:val="none" w:sz="0" w:space="0" w:color="auto"/>
                <w:left w:val="none" w:sz="0" w:space="0" w:color="auto"/>
                <w:bottom w:val="none" w:sz="0" w:space="0" w:color="auto"/>
                <w:right w:val="none" w:sz="0" w:space="0" w:color="auto"/>
              </w:divBdr>
              <w:divsChild>
                <w:div w:id="114064283">
                  <w:marLeft w:val="0"/>
                  <w:marRight w:val="0"/>
                  <w:marTop w:val="0"/>
                  <w:marBottom w:val="0"/>
                  <w:divBdr>
                    <w:top w:val="none" w:sz="0" w:space="0" w:color="auto"/>
                    <w:left w:val="none" w:sz="0" w:space="0" w:color="auto"/>
                    <w:bottom w:val="none" w:sz="0" w:space="0" w:color="auto"/>
                    <w:right w:val="none" w:sz="0" w:space="0" w:color="auto"/>
                  </w:divBdr>
                  <w:divsChild>
                    <w:div w:id="111275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060126">
          <w:marLeft w:val="0"/>
          <w:marRight w:val="0"/>
          <w:marTop w:val="0"/>
          <w:marBottom w:val="0"/>
          <w:divBdr>
            <w:top w:val="none" w:sz="0" w:space="0" w:color="auto"/>
            <w:left w:val="none" w:sz="0" w:space="0" w:color="auto"/>
            <w:bottom w:val="none" w:sz="0" w:space="0" w:color="auto"/>
            <w:right w:val="none" w:sz="0" w:space="0" w:color="auto"/>
          </w:divBdr>
          <w:divsChild>
            <w:div w:id="2051614565">
              <w:marLeft w:val="0"/>
              <w:marRight w:val="0"/>
              <w:marTop w:val="0"/>
              <w:marBottom w:val="0"/>
              <w:divBdr>
                <w:top w:val="none" w:sz="0" w:space="0" w:color="auto"/>
                <w:left w:val="none" w:sz="0" w:space="0" w:color="auto"/>
                <w:bottom w:val="none" w:sz="0" w:space="0" w:color="auto"/>
                <w:right w:val="none" w:sz="0" w:space="0" w:color="auto"/>
              </w:divBdr>
              <w:divsChild>
                <w:div w:id="258029758">
                  <w:marLeft w:val="0"/>
                  <w:marRight w:val="0"/>
                  <w:marTop w:val="0"/>
                  <w:marBottom w:val="0"/>
                  <w:divBdr>
                    <w:top w:val="none" w:sz="0" w:space="0" w:color="auto"/>
                    <w:left w:val="none" w:sz="0" w:space="0" w:color="auto"/>
                    <w:bottom w:val="none" w:sz="0" w:space="0" w:color="auto"/>
                    <w:right w:val="none" w:sz="0" w:space="0" w:color="auto"/>
                  </w:divBdr>
                  <w:divsChild>
                    <w:div w:id="935290352">
                      <w:marLeft w:val="0"/>
                      <w:marRight w:val="0"/>
                      <w:marTop w:val="0"/>
                      <w:marBottom w:val="0"/>
                      <w:divBdr>
                        <w:top w:val="none" w:sz="0" w:space="0" w:color="auto"/>
                        <w:left w:val="none" w:sz="0" w:space="0" w:color="auto"/>
                        <w:bottom w:val="none" w:sz="0" w:space="0" w:color="auto"/>
                        <w:right w:val="none" w:sz="0" w:space="0" w:color="auto"/>
                      </w:divBdr>
                      <w:divsChild>
                        <w:div w:id="1743987709">
                          <w:marLeft w:val="0"/>
                          <w:marRight w:val="0"/>
                          <w:marTop w:val="0"/>
                          <w:marBottom w:val="0"/>
                          <w:divBdr>
                            <w:top w:val="none" w:sz="0" w:space="0" w:color="auto"/>
                            <w:left w:val="none" w:sz="0" w:space="0" w:color="auto"/>
                            <w:bottom w:val="none" w:sz="0" w:space="0" w:color="auto"/>
                            <w:right w:val="none" w:sz="0" w:space="0" w:color="auto"/>
                          </w:divBdr>
                          <w:divsChild>
                            <w:div w:id="918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052753">
                      <w:marLeft w:val="0"/>
                      <w:marRight w:val="0"/>
                      <w:marTop w:val="0"/>
                      <w:marBottom w:val="0"/>
                      <w:divBdr>
                        <w:top w:val="none" w:sz="0" w:space="0" w:color="auto"/>
                        <w:left w:val="none" w:sz="0" w:space="0" w:color="auto"/>
                        <w:bottom w:val="none" w:sz="0" w:space="0" w:color="auto"/>
                        <w:right w:val="none" w:sz="0" w:space="0" w:color="auto"/>
                      </w:divBdr>
                      <w:divsChild>
                        <w:div w:id="1103763002">
                          <w:marLeft w:val="0"/>
                          <w:marRight w:val="0"/>
                          <w:marTop w:val="0"/>
                          <w:marBottom w:val="0"/>
                          <w:divBdr>
                            <w:top w:val="none" w:sz="0" w:space="0" w:color="auto"/>
                            <w:left w:val="none" w:sz="0" w:space="0" w:color="auto"/>
                            <w:bottom w:val="none" w:sz="0" w:space="0" w:color="auto"/>
                            <w:right w:val="none" w:sz="0" w:space="0" w:color="auto"/>
                          </w:divBdr>
                          <w:divsChild>
                            <w:div w:id="1831751357">
                              <w:marLeft w:val="0"/>
                              <w:marRight w:val="0"/>
                              <w:marTop w:val="0"/>
                              <w:marBottom w:val="0"/>
                              <w:divBdr>
                                <w:top w:val="none" w:sz="0" w:space="0" w:color="auto"/>
                                <w:left w:val="none" w:sz="0" w:space="0" w:color="auto"/>
                                <w:bottom w:val="none" w:sz="0" w:space="0" w:color="auto"/>
                                <w:right w:val="none" w:sz="0" w:space="0" w:color="auto"/>
                              </w:divBdr>
                              <w:divsChild>
                                <w:div w:id="472867796">
                                  <w:marLeft w:val="0"/>
                                  <w:marRight w:val="0"/>
                                  <w:marTop w:val="0"/>
                                  <w:marBottom w:val="0"/>
                                  <w:divBdr>
                                    <w:top w:val="none" w:sz="0" w:space="0" w:color="auto"/>
                                    <w:left w:val="none" w:sz="0" w:space="0" w:color="auto"/>
                                    <w:bottom w:val="none" w:sz="0" w:space="0" w:color="auto"/>
                                    <w:right w:val="none" w:sz="0" w:space="0" w:color="auto"/>
                                  </w:divBdr>
                                  <w:divsChild>
                                    <w:div w:id="122764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6557943">
      <w:bodyDiv w:val="1"/>
      <w:marLeft w:val="0"/>
      <w:marRight w:val="0"/>
      <w:marTop w:val="0"/>
      <w:marBottom w:val="0"/>
      <w:divBdr>
        <w:top w:val="none" w:sz="0" w:space="0" w:color="auto"/>
        <w:left w:val="none" w:sz="0" w:space="0" w:color="auto"/>
        <w:bottom w:val="none" w:sz="0" w:space="0" w:color="auto"/>
        <w:right w:val="none" w:sz="0" w:space="0" w:color="auto"/>
      </w:divBdr>
    </w:div>
    <w:div w:id="1441947226">
      <w:bodyDiv w:val="1"/>
      <w:marLeft w:val="0"/>
      <w:marRight w:val="0"/>
      <w:marTop w:val="0"/>
      <w:marBottom w:val="0"/>
      <w:divBdr>
        <w:top w:val="none" w:sz="0" w:space="0" w:color="auto"/>
        <w:left w:val="none" w:sz="0" w:space="0" w:color="auto"/>
        <w:bottom w:val="none" w:sz="0" w:space="0" w:color="auto"/>
        <w:right w:val="none" w:sz="0" w:space="0" w:color="auto"/>
      </w:divBdr>
    </w:div>
    <w:div w:id="1444376112">
      <w:bodyDiv w:val="1"/>
      <w:marLeft w:val="0"/>
      <w:marRight w:val="0"/>
      <w:marTop w:val="0"/>
      <w:marBottom w:val="0"/>
      <w:divBdr>
        <w:top w:val="none" w:sz="0" w:space="0" w:color="auto"/>
        <w:left w:val="none" w:sz="0" w:space="0" w:color="auto"/>
        <w:bottom w:val="none" w:sz="0" w:space="0" w:color="auto"/>
        <w:right w:val="none" w:sz="0" w:space="0" w:color="auto"/>
      </w:divBdr>
    </w:div>
    <w:div w:id="1448548136">
      <w:bodyDiv w:val="1"/>
      <w:marLeft w:val="0"/>
      <w:marRight w:val="0"/>
      <w:marTop w:val="0"/>
      <w:marBottom w:val="0"/>
      <w:divBdr>
        <w:top w:val="none" w:sz="0" w:space="0" w:color="auto"/>
        <w:left w:val="none" w:sz="0" w:space="0" w:color="auto"/>
        <w:bottom w:val="none" w:sz="0" w:space="0" w:color="auto"/>
        <w:right w:val="none" w:sz="0" w:space="0" w:color="auto"/>
      </w:divBdr>
    </w:div>
    <w:div w:id="1450665947">
      <w:bodyDiv w:val="1"/>
      <w:marLeft w:val="0"/>
      <w:marRight w:val="0"/>
      <w:marTop w:val="0"/>
      <w:marBottom w:val="0"/>
      <w:divBdr>
        <w:top w:val="none" w:sz="0" w:space="0" w:color="auto"/>
        <w:left w:val="none" w:sz="0" w:space="0" w:color="auto"/>
        <w:bottom w:val="none" w:sz="0" w:space="0" w:color="auto"/>
        <w:right w:val="none" w:sz="0" w:space="0" w:color="auto"/>
      </w:divBdr>
    </w:div>
    <w:div w:id="1462456203">
      <w:bodyDiv w:val="1"/>
      <w:marLeft w:val="0"/>
      <w:marRight w:val="0"/>
      <w:marTop w:val="0"/>
      <w:marBottom w:val="0"/>
      <w:divBdr>
        <w:top w:val="none" w:sz="0" w:space="0" w:color="auto"/>
        <w:left w:val="none" w:sz="0" w:space="0" w:color="auto"/>
        <w:bottom w:val="none" w:sz="0" w:space="0" w:color="auto"/>
        <w:right w:val="none" w:sz="0" w:space="0" w:color="auto"/>
      </w:divBdr>
    </w:div>
    <w:div w:id="1464734754">
      <w:bodyDiv w:val="1"/>
      <w:marLeft w:val="0"/>
      <w:marRight w:val="0"/>
      <w:marTop w:val="0"/>
      <w:marBottom w:val="0"/>
      <w:divBdr>
        <w:top w:val="none" w:sz="0" w:space="0" w:color="auto"/>
        <w:left w:val="none" w:sz="0" w:space="0" w:color="auto"/>
        <w:bottom w:val="none" w:sz="0" w:space="0" w:color="auto"/>
        <w:right w:val="none" w:sz="0" w:space="0" w:color="auto"/>
      </w:divBdr>
    </w:div>
    <w:div w:id="1466311270">
      <w:bodyDiv w:val="1"/>
      <w:marLeft w:val="0"/>
      <w:marRight w:val="0"/>
      <w:marTop w:val="0"/>
      <w:marBottom w:val="0"/>
      <w:divBdr>
        <w:top w:val="none" w:sz="0" w:space="0" w:color="auto"/>
        <w:left w:val="none" w:sz="0" w:space="0" w:color="auto"/>
        <w:bottom w:val="none" w:sz="0" w:space="0" w:color="auto"/>
        <w:right w:val="none" w:sz="0" w:space="0" w:color="auto"/>
      </w:divBdr>
    </w:div>
    <w:div w:id="1466387658">
      <w:bodyDiv w:val="1"/>
      <w:marLeft w:val="0"/>
      <w:marRight w:val="0"/>
      <w:marTop w:val="0"/>
      <w:marBottom w:val="0"/>
      <w:divBdr>
        <w:top w:val="none" w:sz="0" w:space="0" w:color="auto"/>
        <w:left w:val="none" w:sz="0" w:space="0" w:color="auto"/>
        <w:bottom w:val="none" w:sz="0" w:space="0" w:color="auto"/>
        <w:right w:val="none" w:sz="0" w:space="0" w:color="auto"/>
      </w:divBdr>
    </w:div>
    <w:div w:id="1469979825">
      <w:bodyDiv w:val="1"/>
      <w:marLeft w:val="0"/>
      <w:marRight w:val="0"/>
      <w:marTop w:val="0"/>
      <w:marBottom w:val="0"/>
      <w:divBdr>
        <w:top w:val="none" w:sz="0" w:space="0" w:color="auto"/>
        <w:left w:val="none" w:sz="0" w:space="0" w:color="auto"/>
        <w:bottom w:val="none" w:sz="0" w:space="0" w:color="auto"/>
        <w:right w:val="none" w:sz="0" w:space="0" w:color="auto"/>
      </w:divBdr>
    </w:div>
    <w:div w:id="1475290604">
      <w:bodyDiv w:val="1"/>
      <w:marLeft w:val="0"/>
      <w:marRight w:val="0"/>
      <w:marTop w:val="0"/>
      <w:marBottom w:val="0"/>
      <w:divBdr>
        <w:top w:val="none" w:sz="0" w:space="0" w:color="auto"/>
        <w:left w:val="none" w:sz="0" w:space="0" w:color="auto"/>
        <w:bottom w:val="none" w:sz="0" w:space="0" w:color="auto"/>
        <w:right w:val="none" w:sz="0" w:space="0" w:color="auto"/>
      </w:divBdr>
    </w:div>
    <w:div w:id="1478642977">
      <w:bodyDiv w:val="1"/>
      <w:marLeft w:val="0"/>
      <w:marRight w:val="0"/>
      <w:marTop w:val="0"/>
      <w:marBottom w:val="0"/>
      <w:divBdr>
        <w:top w:val="none" w:sz="0" w:space="0" w:color="auto"/>
        <w:left w:val="none" w:sz="0" w:space="0" w:color="auto"/>
        <w:bottom w:val="none" w:sz="0" w:space="0" w:color="auto"/>
        <w:right w:val="none" w:sz="0" w:space="0" w:color="auto"/>
      </w:divBdr>
    </w:div>
    <w:div w:id="1485464290">
      <w:bodyDiv w:val="1"/>
      <w:marLeft w:val="0"/>
      <w:marRight w:val="0"/>
      <w:marTop w:val="0"/>
      <w:marBottom w:val="0"/>
      <w:divBdr>
        <w:top w:val="none" w:sz="0" w:space="0" w:color="auto"/>
        <w:left w:val="none" w:sz="0" w:space="0" w:color="auto"/>
        <w:bottom w:val="none" w:sz="0" w:space="0" w:color="auto"/>
        <w:right w:val="none" w:sz="0" w:space="0" w:color="auto"/>
      </w:divBdr>
    </w:div>
    <w:div w:id="1489323917">
      <w:bodyDiv w:val="1"/>
      <w:marLeft w:val="0"/>
      <w:marRight w:val="0"/>
      <w:marTop w:val="0"/>
      <w:marBottom w:val="0"/>
      <w:divBdr>
        <w:top w:val="none" w:sz="0" w:space="0" w:color="auto"/>
        <w:left w:val="none" w:sz="0" w:space="0" w:color="auto"/>
        <w:bottom w:val="none" w:sz="0" w:space="0" w:color="auto"/>
        <w:right w:val="none" w:sz="0" w:space="0" w:color="auto"/>
      </w:divBdr>
    </w:div>
    <w:div w:id="1493982836">
      <w:bodyDiv w:val="1"/>
      <w:marLeft w:val="0"/>
      <w:marRight w:val="0"/>
      <w:marTop w:val="0"/>
      <w:marBottom w:val="0"/>
      <w:divBdr>
        <w:top w:val="none" w:sz="0" w:space="0" w:color="auto"/>
        <w:left w:val="none" w:sz="0" w:space="0" w:color="auto"/>
        <w:bottom w:val="none" w:sz="0" w:space="0" w:color="auto"/>
        <w:right w:val="none" w:sz="0" w:space="0" w:color="auto"/>
      </w:divBdr>
      <w:divsChild>
        <w:div w:id="733704083">
          <w:marLeft w:val="0"/>
          <w:marRight w:val="0"/>
          <w:marTop w:val="0"/>
          <w:marBottom w:val="0"/>
          <w:divBdr>
            <w:top w:val="none" w:sz="0" w:space="0" w:color="auto"/>
            <w:left w:val="none" w:sz="0" w:space="0" w:color="auto"/>
            <w:bottom w:val="none" w:sz="0" w:space="0" w:color="auto"/>
            <w:right w:val="none" w:sz="0" w:space="0" w:color="auto"/>
          </w:divBdr>
          <w:divsChild>
            <w:div w:id="1656492374">
              <w:marLeft w:val="0"/>
              <w:marRight w:val="0"/>
              <w:marTop w:val="0"/>
              <w:marBottom w:val="0"/>
              <w:divBdr>
                <w:top w:val="none" w:sz="0" w:space="0" w:color="auto"/>
                <w:left w:val="none" w:sz="0" w:space="0" w:color="auto"/>
                <w:bottom w:val="none" w:sz="0" w:space="0" w:color="auto"/>
                <w:right w:val="none" w:sz="0" w:space="0" w:color="auto"/>
              </w:divBdr>
            </w:div>
          </w:divsChild>
        </w:div>
        <w:div w:id="150292928">
          <w:marLeft w:val="0"/>
          <w:marRight w:val="0"/>
          <w:marTop w:val="0"/>
          <w:marBottom w:val="0"/>
          <w:divBdr>
            <w:top w:val="none" w:sz="0" w:space="0" w:color="auto"/>
            <w:left w:val="none" w:sz="0" w:space="0" w:color="auto"/>
            <w:bottom w:val="none" w:sz="0" w:space="0" w:color="auto"/>
            <w:right w:val="none" w:sz="0" w:space="0" w:color="auto"/>
          </w:divBdr>
          <w:divsChild>
            <w:div w:id="664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51247">
      <w:bodyDiv w:val="1"/>
      <w:marLeft w:val="0"/>
      <w:marRight w:val="0"/>
      <w:marTop w:val="0"/>
      <w:marBottom w:val="0"/>
      <w:divBdr>
        <w:top w:val="none" w:sz="0" w:space="0" w:color="auto"/>
        <w:left w:val="none" w:sz="0" w:space="0" w:color="auto"/>
        <w:bottom w:val="none" w:sz="0" w:space="0" w:color="auto"/>
        <w:right w:val="none" w:sz="0" w:space="0" w:color="auto"/>
      </w:divBdr>
    </w:div>
    <w:div w:id="1501040081">
      <w:bodyDiv w:val="1"/>
      <w:marLeft w:val="0"/>
      <w:marRight w:val="0"/>
      <w:marTop w:val="0"/>
      <w:marBottom w:val="0"/>
      <w:divBdr>
        <w:top w:val="none" w:sz="0" w:space="0" w:color="auto"/>
        <w:left w:val="none" w:sz="0" w:space="0" w:color="auto"/>
        <w:bottom w:val="none" w:sz="0" w:space="0" w:color="auto"/>
        <w:right w:val="none" w:sz="0" w:space="0" w:color="auto"/>
      </w:divBdr>
    </w:div>
    <w:div w:id="1502622586">
      <w:bodyDiv w:val="1"/>
      <w:marLeft w:val="0"/>
      <w:marRight w:val="0"/>
      <w:marTop w:val="0"/>
      <w:marBottom w:val="0"/>
      <w:divBdr>
        <w:top w:val="none" w:sz="0" w:space="0" w:color="auto"/>
        <w:left w:val="none" w:sz="0" w:space="0" w:color="auto"/>
        <w:bottom w:val="none" w:sz="0" w:space="0" w:color="auto"/>
        <w:right w:val="none" w:sz="0" w:space="0" w:color="auto"/>
      </w:divBdr>
    </w:div>
    <w:div w:id="1506046576">
      <w:bodyDiv w:val="1"/>
      <w:marLeft w:val="0"/>
      <w:marRight w:val="0"/>
      <w:marTop w:val="0"/>
      <w:marBottom w:val="0"/>
      <w:divBdr>
        <w:top w:val="none" w:sz="0" w:space="0" w:color="auto"/>
        <w:left w:val="none" w:sz="0" w:space="0" w:color="auto"/>
        <w:bottom w:val="none" w:sz="0" w:space="0" w:color="auto"/>
        <w:right w:val="none" w:sz="0" w:space="0" w:color="auto"/>
      </w:divBdr>
    </w:div>
    <w:div w:id="1509127661">
      <w:bodyDiv w:val="1"/>
      <w:marLeft w:val="0"/>
      <w:marRight w:val="0"/>
      <w:marTop w:val="0"/>
      <w:marBottom w:val="0"/>
      <w:divBdr>
        <w:top w:val="none" w:sz="0" w:space="0" w:color="auto"/>
        <w:left w:val="none" w:sz="0" w:space="0" w:color="auto"/>
        <w:bottom w:val="none" w:sz="0" w:space="0" w:color="auto"/>
        <w:right w:val="none" w:sz="0" w:space="0" w:color="auto"/>
      </w:divBdr>
    </w:div>
    <w:div w:id="1513564225">
      <w:bodyDiv w:val="1"/>
      <w:marLeft w:val="0"/>
      <w:marRight w:val="0"/>
      <w:marTop w:val="0"/>
      <w:marBottom w:val="0"/>
      <w:divBdr>
        <w:top w:val="none" w:sz="0" w:space="0" w:color="auto"/>
        <w:left w:val="none" w:sz="0" w:space="0" w:color="auto"/>
        <w:bottom w:val="none" w:sz="0" w:space="0" w:color="auto"/>
        <w:right w:val="none" w:sz="0" w:space="0" w:color="auto"/>
      </w:divBdr>
    </w:div>
    <w:div w:id="1521045595">
      <w:bodyDiv w:val="1"/>
      <w:marLeft w:val="0"/>
      <w:marRight w:val="0"/>
      <w:marTop w:val="0"/>
      <w:marBottom w:val="0"/>
      <w:divBdr>
        <w:top w:val="none" w:sz="0" w:space="0" w:color="auto"/>
        <w:left w:val="none" w:sz="0" w:space="0" w:color="auto"/>
        <w:bottom w:val="none" w:sz="0" w:space="0" w:color="auto"/>
        <w:right w:val="none" w:sz="0" w:space="0" w:color="auto"/>
      </w:divBdr>
    </w:div>
    <w:div w:id="1521624650">
      <w:bodyDiv w:val="1"/>
      <w:marLeft w:val="0"/>
      <w:marRight w:val="0"/>
      <w:marTop w:val="0"/>
      <w:marBottom w:val="0"/>
      <w:divBdr>
        <w:top w:val="none" w:sz="0" w:space="0" w:color="auto"/>
        <w:left w:val="none" w:sz="0" w:space="0" w:color="auto"/>
        <w:bottom w:val="none" w:sz="0" w:space="0" w:color="auto"/>
        <w:right w:val="none" w:sz="0" w:space="0" w:color="auto"/>
      </w:divBdr>
    </w:div>
    <w:div w:id="1534078282">
      <w:bodyDiv w:val="1"/>
      <w:marLeft w:val="0"/>
      <w:marRight w:val="0"/>
      <w:marTop w:val="0"/>
      <w:marBottom w:val="0"/>
      <w:divBdr>
        <w:top w:val="none" w:sz="0" w:space="0" w:color="auto"/>
        <w:left w:val="none" w:sz="0" w:space="0" w:color="auto"/>
        <w:bottom w:val="none" w:sz="0" w:space="0" w:color="auto"/>
        <w:right w:val="none" w:sz="0" w:space="0" w:color="auto"/>
      </w:divBdr>
    </w:div>
    <w:div w:id="1534145905">
      <w:bodyDiv w:val="1"/>
      <w:marLeft w:val="0"/>
      <w:marRight w:val="0"/>
      <w:marTop w:val="0"/>
      <w:marBottom w:val="0"/>
      <w:divBdr>
        <w:top w:val="none" w:sz="0" w:space="0" w:color="auto"/>
        <w:left w:val="none" w:sz="0" w:space="0" w:color="auto"/>
        <w:bottom w:val="none" w:sz="0" w:space="0" w:color="auto"/>
        <w:right w:val="none" w:sz="0" w:space="0" w:color="auto"/>
      </w:divBdr>
    </w:div>
    <w:div w:id="1542016203">
      <w:bodyDiv w:val="1"/>
      <w:marLeft w:val="0"/>
      <w:marRight w:val="0"/>
      <w:marTop w:val="0"/>
      <w:marBottom w:val="0"/>
      <w:divBdr>
        <w:top w:val="none" w:sz="0" w:space="0" w:color="auto"/>
        <w:left w:val="none" w:sz="0" w:space="0" w:color="auto"/>
        <w:bottom w:val="none" w:sz="0" w:space="0" w:color="auto"/>
        <w:right w:val="none" w:sz="0" w:space="0" w:color="auto"/>
      </w:divBdr>
    </w:div>
    <w:div w:id="1547331028">
      <w:bodyDiv w:val="1"/>
      <w:marLeft w:val="0"/>
      <w:marRight w:val="0"/>
      <w:marTop w:val="0"/>
      <w:marBottom w:val="0"/>
      <w:divBdr>
        <w:top w:val="none" w:sz="0" w:space="0" w:color="auto"/>
        <w:left w:val="none" w:sz="0" w:space="0" w:color="auto"/>
        <w:bottom w:val="none" w:sz="0" w:space="0" w:color="auto"/>
        <w:right w:val="none" w:sz="0" w:space="0" w:color="auto"/>
      </w:divBdr>
    </w:div>
    <w:div w:id="1554273960">
      <w:bodyDiv w:val="1"/>
      <w:marLeft w:val="0"/>
      <w:marRight w:val="0"/>
      <w:marTop w:val="0"/>
      <w:marBottom w:val="0"/>
      <w:divBdr>
        <w:top w:val="none" w:sz="0" w:space="0" w:color="auto"/>
        <w:left w:val="none" w:sz="0" w:space="0" w:color="auto"/>
        <w:bottom w:val="none" w:sz="0" w:space="0" w:color="auto"/>
        <w:right w:val="none" w:sz="0" w:space="0" w:color="auto"/>
      </w:divBdr>
    </w:div>
    <w:div w:id="1562331789">
      <w:bodyDiv w:val="1"/>
      <w:marLeft w:val="0"/>
      <w:marRight w:val="0"/>
      <w:marTop w:val="0"/>
      <w:marBottom w:val="0"/>
      <w:divBdr>
        <w:top w:val="none" w:sz="0" w:space="0" w:color="auto"/>
        <w:left w:val="none" w:sz="0" w:space="0" w:color="auto"/>
        <w:bottom w:val="none" w:sz="0" w:space="0" w:color="auto"/>
        <w:right w:val="none" w:sz="0" w:space="0" w:color="auto"/>
      </w:divBdr>
    </w:div>
    <w:div w:id="1570070287">
      <w:bodyDiv w:val="1"/>
      <w:marLeft w:val="0"/>
      <w:marRight w:val="0"/>
      <w:marTop w:val="0"/>
      <w:marBottom w:val="0"/>
      <w:divBdr>
        <w:top w:val="none" w:sz="0" w:space="0" w:color="auto"/>
        <w:left w:val="none" w:sz="0" w:space="0" w:color="auto"/>
        <w:bottom w:val="none" w:sz="0" w:space="0" w:color="auto"/>
        <w:right w:val="none" w:sz="0" w:space="0" w:color="auto"/>
      </w:divBdr>
    </w:div>
    <w:div w:id="1582792564">
      <w:bodyDiv w:val="1"/>
      <w:marLeft w:val="0"/>
      <w:marRight w:val="0"/>
      <w:marTop w:val="0"/>
      <w:marBottom w:val="0"/>
      <w:divBdr>
        <w:top w:val="none" w:sz="0" w:space="0" w:color="auto"/>
        <w:left w:val="none" w:sz="0" w:space="0" w:color="auto"/>
        <w:bottom w:val="none" w:sz="0" w:space="0" w:color="auto"/>
        <w:right w:val="none" w:sz="0" w:space="0" w:color="auto"/>
      </w:divBdr>
    </w:div>
    <w:div w:id="1583443231">
      <w:bodyDiv w:val="1"/>
      <w:marLeft w:val="0"/>
      <w:marRight w:val="0"/>
      <w:marTop w:val="0"/>
      <w:marBottom w:val="0"/>
      <w:divBdr>
        <w:top w:val="none" w:sz="0" w:space="0" w:color="auto"/>
        <w:left w:val="none" w:sz="0" w:space="0" w:color="auto"/>
        <w:bottom w:val="none" w:sz="0" w:space="0" w:color="auto"/>
        <w:right w:val="none" w:sz="0" w:space="0" w:color="auto"/>
      </w:divBdr>
      <w:divsChild>
        <w:div w:id="675962892">
          <w:marLeft w:val="0"/>
          <w:marRight w:val="0"/>
          <w:marTop w:val="0"/>
          <w:marBottom w:val="0"/>
          <w:divBdr>
            <w:top w:val="none" w:sz="0" w:space="0" w:color="auto"/>
            <w:left w:val="none" w:sz="0" w:space="0" w:color="auto"/>
            <w:bottom w:val="none" w:sz="0" w:space="0" w:color="auto"/>
            <w:right w:val="none" w:sz="0" w:space="0" w:color="auto"/>
          </w:divBdr>
          <w:divsChild>
            <w:div w:id="545875159">
              <w:marLeft w:val="0"/>
              <w:marRight w:val="0"/>
              <w:marTop w:val="0"/>
              <w:marBottom w:val="0"/>
              <w:divBdr>
                <w:top w:val="none" w:sz="0" w:space="0" w:color="auto"/>
                <w:left w:val="none" w:sz="0" w:space="0" w:color="auto"/>
                <w:bottom w:val="none" w:sz="0" w:space="0" w:color="auto"/>
                <w:right w:val="none" w:sz="0" w:space="0" w:color="auto"/>
              </w:divBdr>
              <w:divsChild>
                <w:div w:id="991561486">
                  <w:marLeft w:val="0"/>
                  <w:marRight w:val="0"/>
                  <w:marTop w:val="0"/>
                  <w:marBottom w:val="0"/>
                  <w:divBdr>
                    <w:top w:val="none" w:sz="0" w:space="0" w:color="auto"/>
                    <w:left w:val="none" w:sz="0" w:space="0" w:color="auto"/>
                    <w:bottom w:val="none" w:sz="0" w:space="0" w:color="auto"/>
                    <w:right w:val="none" w:sz="0" w:space="0" w:color="auto"/>
                  </w:divBdr>
                  <w:divsChild>
                    <w:div w:id="219902985">
                      <w:marLeft w:val="0"/>
                      <w:marRight w:val="0"/>
                      <w:marTop w:val="0"/>
                      <w:marBottom w:val="0"/>
                      <w:divBdr>
                        <w:top w:val="none" w:sz="0" w:space="0" w:color="auto"/>
                        <w:left w:val="none" w:sz="0" w:space="0" w:color="auto"/>
                        <w:bottom w:val="none" w:sz="0" w:space="0" w:color="auto"/>
                        <w:right w:val="none" w:sz="0" w:space="0" w:color="auto"/>
                      </w:divBdr>
                      <w:divsChild>
                        <w:div w:id="249122788">
                          <w:marLeft w:val="0"/>
                          <w:marRight w:val="0"/>
                          <w:marTop w:val="0"/>
                          <w:marBottom w:val="0"/>
                          <w:divBdr>
                            <w:top w:val="none" w:sz="0" w:space="0" w:color="auto"/>
                            <w:left w:val="none" w:sz="0" w:space="0" w:color="auto"/>
                            <w:bottom w:val="none" w:sz="0" w:space="0" w:color="auto"/>
                            <w:right w:val="none" w:sz="0" w:space="0" w:color="auto"/>
                          </w:divBdr>
                          <w:divsChild>
                            <w:div w:id="105743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23293">
                      <w:marLeft w:val="0"/>
                      <w:marRight w:val="0"/>
                      <w:marTop w:val="0"/>
                      <w:marBottom w:val="0"/>
                      <w:divBdr>
                        <w:top w:val="none" w:sz="0" w:space="0" w:color="auto"/>
                        <w:left w:val="none" w:sz="0" w:space="0" w:color="auto"/>
                        <w:bottom w:val="none" w:sz="0" w:space="0" w:color="auto"/>
                        <w:right w:val="none" w:sz="0" w:space="0" w:color="auto"/>
                      </w:divBdr>
                      <w:divsChild>
                        <w:div w:id="2085180256">
                          <w:marLeft w:val="0"/>
                          <w:marRight w:val="0"/>
                          <w:marTop w:val="0"/>
                          <w:marBottom w:val="0"/>
                          <w:divBdr>
                            <w:top w:val="none" w:sz="0" w:space="0" w:color="auto"/>
                            <w:left w:val="none" w:sz="0" w:space="0" w:color="auto"/>
                            <w:bottom w:val="none" w:sz="0" w:space="0" w:color="auto"/>
                            <w:right w:val="none" w:sz="0" w:space="0" w:color="auto"/>
                          </w:divBdr>
                          <w:divsChild>
                            <w:div w:id="801775424">
                              <w:marLeft w:val="0"/>
                              <w:marRight w:val="0"/>
                              <w:marTop w:val="0"/>
                              <w:marBottom w:val="0"/>
                              <w:divBdr>
                                <w:top w:val="none" w:sz="0" w:space="0" w:color="auto"/>
                                <w:left w:val="none" w:sz="0" w:space="0" w:color="auto"/>
                                <w:bottom w:val="none" w:sz="0" w:space="0" w:color="auto"/>
                                <w:right w:val="none" w:sz="0" w:space="0" w:color="auto"/>
                              </w:divBdr>
                              <w:divsChild>
                                <w:div w:id="81109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80731">
          <w:marLeft w:val="0"/>
          <w:marRight w:val="0"/>
          <w:marTop w:val="0"/>
          <w:marBottom w:val="0"/>
          <w:divBdr>
            <w:top w:val="none" w:sz="0" w:space="0" w:color="auto"/>
            <w:left w:val="none" w:sz="0" w:space="0" w:color="auto"/>
            <w:bottom w:val="none" w:sz="0" w:space="0" w:color="auto"/>
            <w:right w:val="none" w:sz="0" w:space="0" w:color="auto"/>
          </w:divBdr>
          <w:divsChild>
            <w:div w:id="716856056">
              <w:marLeft w:val="0"/>
              <w:marRight w:val="0"/>
              <w:marTop w:val="0"/>
              <w:marBottom w:val="0"/>
              <w:divBdr>
                <w:top w:val="none" w:sz="0" w:space="0" w:color="auto"/>
                <w:left w:val="none" w:sz="0" w:space="0" w:color="auto"/>
                <w:bottom w:val="none" w:sz="0" w:space="0" w:color="auto"/>
                <w:right w:val="none" w:sz="0" w:space="0" w:color="auto"/>
              </w:divBdr>
              <w:divsChild>
                <w:div w:id="97142440">
                  <w:marLeft w:val="0"/>
                  <w:marRight w:val="0"/>
                  <w:marTop w:val="0"/>
                  <w:marBottom w:val="0"/>
                  <w:divBdr>
                    <w:top w:val="none" w:sz="0" w:space="0" w:color="auto"/>
                    <w:left w:val="none" w:sz="0" w:space="0" w:color="auto"/>
                    <w:bottom w:val="none" w:sz="0" w:space="0" w:color="auto"/>
                    <w:right w:val="none" w:sz="0" w:space="0" w:color="auto"/>
                  </w:divBdr>
                  <w:divsChild>
                    <w:div w:id="1062170955">
                      <w:marLeft w:val="0"/>
                      <w:marRight w:val="0"/>
                      <w:marTop w:val="0"/>
                      <w:marBottom w:val="0"/>
                      <w:divBdr>
                        <w:top w:val="none" w:sz="0" w:space="0" w:color="auto"/>
                        <w:left w:val="none" w:sz="0" w:space="0" w:color="auto"/>
                        <w:bottom w:val="none" w:sz="0" w:space="0" w:color="auto"/>
                        <w:right w:val="none" w:sz="0" w:space="0" w:color="auto"/>
                      </w:divBdr>
                      <w:divsChild>
                        <w:div w:id="1787501782">
                          <w:marLeft w:val="0"/>
                          <w:marRight w:val="0"/>
                          <w:marTop w:val="0"/>
                          <w:marBottom w:val="0"/>
                          <w:divBdr>
                            <w:top w:val="none" w:sz="0" w:space="0" w:color="auto"/>
                            <w:left w:val="none" w:sz="0" w:space="0" w:color="auto"/>
                            <w:bottom w:val="none" w:sz="0" w:space="0" w:color="auto"/>
                            <w:right w:val="none" w:sz="0" w:space="0" w:color="auto"/>
                          </w:divBdr>
                          <w:divsChild>
                            <w:div w:id="159023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762361">
      <w:bodyDiv w:val="1"/>
      <w:marLeft w:val="0"/>
      <w:marRight w:val="0"/>
      <w:marTop w:val="0"/>
      <w:marBottom w:val="0"/>
      <w:divBdr>
        <w:top w:val="none" w:sz="0" w:space="0" w:color="auto"/>
        <w:left w:val="none" w:sz="0" w:space="0" w:color="auto"/>
        <w:bottom w:val="none" w:sz="0" w:space="0" w:color="auto"/>
        <w:right w:val="none" w:sz="0" w:space="0" w:color="auto"/>
      </w:divBdr>
      <w:divsChild>
        <w:div w:id="246813273">
          <w:marLeft w:val="0"/>
          <w:marRight w:val="0"/>
          <w:marTop w:val="0"/>
          <w:marBottom w:val="0"/>
          <w:divBdr>
            <w:top w:val="none" w:sz="0" w:space="0" w:color="auto"/>
            <w:left w:val="none" w:sz="0" w:space="0" w:color="auto"/>
            <w:bottom w:val="none" w:sz="0" w:space="0" w:color="auto"/>
            <w:right w:val="none" w:sz="0" w:space="0" w:color="auto"/>
          </w:divBdr>
          <w:divsChild>
            <w:div w:id="2022931615">
              <w:marLeft w:val="0"/>
              <w:marRight w:val="0"/>
              <w:marTop w:val="0"/>
              <w:marBottom w:val="0"/>
              <w:divBdr>
                <w:top w:val="none" w:sz="0" w:space="0" w:color="auto"/>
                <w:left w:val="none" w:sz="0" w:space="0" w:color="auto"/>
                <w:bottom w:val="none" w:sz="0" w:space="0" w:color="auto"/>
                <w:right w:val="none" w:sz="0" w:space="0" w:color="auto"/>
              </w:divBdr>
              <w:divsChild>
                <w:div w:id="2072265542">
                  <w:marLeft w:val="0"/>
                  <w:marRight w:val="0"/>
                  <w:marTop w:val="0"/>
                  <w:marBottom w:val="0"/>
                  <w:divBdr>
                    <w:top w:val="none" w:sz="0" w:space="0" w:color="auto"/>
                    <w:left w:val="none" w:sz="0" w:space="0" w:color="auto"/>
                    <w:bottom w:val="none" w:sz="0" w:space="0" w:color="auto"/>
                    <w:right w:val="none" w:sz="0" w:space="0" w:color="auto"/>
                  </w:divBdr>
                  <w:divsChild>
                    <w:div w:id="1415855317">
                      <w:marLeft w:val="0"/>
                      <w:marRight w:val="0"/>
                      <w:marTop w:val="0"/>
                      <w:marBottom w:val="0"/>
                      <w:divBdr>
                        <w:top w:val="none" w:sz="0" w:space="0" w:color="auto"/>
                        <w:left w:val="none" w:sz="0" w:space="0" w:color="auto"/>
                        <w:bottom w:val="none" w:sz="0" w:space="0" w:color="auto"/>
                        <w:right w:val="none" w:sz="0" w:space="0" w:color="auto"/>
                      </w:divBdr>
                      <w:divsChild>
                        <w:div w:id="1446269923">
                          <w:marLeft w:val="0"/>
                          <w:marRight w:val="0"/>
                          <w:marTop w:val="0"/>
                          <w:marBottom w:val="0"/>
                          <w:divBdr>
                            <w:top w:val="none" w:sz="0" w:space="0" w:color="auto"/>
                            <w:left w:val="none" w:sz="0" w:space="0" w:color="auto"/>
                            <w:bottom w:val="none" w:sz="0" w:space="0" w:color="auto"/>
                            <w:right w:val="none" w:sz="0" w:space="0" w:color="auto"/>
                          </w:divBdr>
                          <w:divsChild>
                            <w:div w:id="29618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28169">
                      <w:marLeft w:val="0"/>
                      <w:marRight w:val="0"/>
                      <w:marTop w:val="0"/>
                      <w:marBottom w:val="0"/>
                      <w:divBdr>
                        <w:top w:val="none" w:sz="0" w:space="0" w:color="auto"/>
                        <w:left w:val="none" w:sz="0" w:space="0" w:color="auto"/>
                        <w:bottom w:val="none" w:sz="0" w:space="0" w:color="auto"/>
                        <w:right w:val="none" w:sz="0" w:space="0" w:color="auto"/>
                      </w:divBdr>
                      <w:divsChild>
                        <w:div w:id="190580594">
                          <w:marLeft w:val="0"/>
                          <w:marRight w:val="0"/>
                          <w:marTop w:val="0"/>
                          <w:marBottom w:val="0"/>
                          <w:divBdr>
                            <w:top w:val="none" w:sz="0" w:space="0" w:color="auto"/>
                            <w:left w:val="none" w:sz="0" w:space="0" w:color="auto"/>
                            <w:bottom w:val="none" w:sz="0" w:space="0" w:color="auto"/>
                            <w:right w:val="none" w:sz="0" w:space="0" w:color="auto"/>
                          </w:divBdr>
                          <w:divsChild>
                            <w:div w:id="2029678400">
                              <w:marLeft w:val="0"/>
                              <w:marRight w:val="0"/>
                              <w:marTop w:val="0"/>
                              <w:marBottom w:val="0"/>
                              <w:divBdr>
                                <w:top w:val="none" w:sz="0" w:space="0" w:color="auto"/>
                                <w:left w:val="none" w:sz="0" w:space="0" w:color="auto"/>
                                <w:bottom w:val="none" w:sz="0" w:space="0" w:color="auto"/>
                                <w:right w:val="none" w:sz="0" w:space="0" w:color="auto"/>
                              </w:divBdr>
                              <w:divsChild>
                                <w:div w:id="122036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534061">
          <w:marLeft w:val="0"/>
          <w:marRight w:val="0"/>
          <w:marTop w:val="0"/>
          <w:marBottom w:val="0"/>
          <w:divBdr>
            <w:top w:val="none" w:sz="0" w:space="0" w:color="auto"/>
            <w:left w:val="none" w:sz="0" w:space="0" w:color="auto"/>
            <w:bottom w:val="none" w:sz="0" w:space="0" w:color="auto"/>
            <w:right w:val="none" w:sz="0" w:space="0" w:color="auto"/>
          </w:divBdr>
          <w:divsChild>
            <w:div w:id="195122643">
              <w:marLeft w:val="0"/>
              <w:marRight w:val="0"/>
              <w:marTop w:val="0"/>
              <w:marBottom w:val="0"/>
              <w:divBdr>
                <w:top w:val="none" w:sz="0" w:space="0" w:color="auto"/>
                <w:left w:val="none" w:sz="0" w:space="0" w:color="auto"/>
                <w:bottom w:val="none" w:sz="0" w:space="0" w:color="auto"/>
                <w:right w:val="none" w:sz="0" w:space="0" w:color="auto"/>
              </w:divBdr>
              <w:divsChild>
                <w:div w:id="1600599841">
                  <w:marLeft w:val="0"/>
                  <w:marRight w:val="0"/>
                  <w:marTop w:val="0"/>
                  <w:marBottom w:val="0"/>
                  <w:divBdr>
                    <w:top w:val="none" w:sz="0" w:space="0" w:color="auto"/>
                    <w:left w:val="none" w:sz="0" w:space="0" w:color="auto"/>
                    <w:bottom w:val="none" w:sz="0" w:space="0" w:color="auto"/>
                    <w:right w:val="none" w:sz="0" w:space="0" w:color="auto"/>
                  </w:divBdr>
                  <w:divsChild>
                    <w:div w:id="663512674">
                      <w:marLeft w:val="0"/>
                      <w:marRight w:val="0"/>
                      <w:marTop w:val="0"/>
                      <w:marBottom w:val="0"/>
                      <w:divBdr>
                        <w:top w:val="none" w:sz="0" w:space="0" w:color="auto"/>
                        <w:left w:val="none" w:sz="0" w:space="0" w:color="auto"/>
                        <w:bottom w:val="none" w:sz="0" w:space="0" w:color="auto"/>
                        <w:right w:val="none" w:sz="0" w:space="0" w:color="auto"/>
                      </w:divBdr>
                      <w:divsChild>
                        <w:div w:id="1262371545">
                          <w:marLeft w:val="0"/>
                          <w:marRight w:val="0"/>
                          <w:marTop w:val="0"/>
                          <w:marBottom w:val="0"/>
                          <w:divBdr>
                            <w:top w:val="none" w:sz="0" w:space="0" w:color="auto"/>
                            <w:left w:val="none" w:sz="0" w:space="0" w:color="auto"/>
                            <w:bottom w:val="none" w:sz="0" w:space="0" w:color="auto"/>
                            <w:right w:val="none" w:sz="0" w:space="0" w:color="auto"/>
                          </w:divBdr>
                          <w:divsChild>
                            <w:div w:id="1857696280">
                              <w:marLeft w:val="0"/>
                              <w:marRight w:val="0"/>
                              <w:marTop w:val="0"/>
                              <w:marBottom w:val="0"/>
                              <w:divBdr>
                                <w:top w:val="none" w:sz="0" w:space="0" w:color="auto"/>
                                <w:left w:val="none" w:sz="0" w:space="0" w:color="auto"/>
                                <w:bottom w:val="none" w:sz="0" w:space="0" w:color="auto"/>
                                <w:right w:val="none" w:sz="0" w:space="0" w:color="auto"/>
                              </w:divBdr>
                            </w:div>
                          </w:divsChild>
                        </w:div>
                        <w:div w:id="36775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022828">
          <w:marLeft w:val="0"/>
          <w:marRight w:val="0"/>
          <w:marTop w:val="0"/>
          <w:marBottom w:val="0"/>
          <w:divBdr>
            <w:top w:val="none" w:sz="0" w:space="0" w:color="auto"/>
            <w:left w:val="none" w:sz="0" w:space="0" w:color="auto"/>
            <w:bottom w:val="none" w:sz="0" w:space="0" w:color="auto"/>
            <w:right w:val="none" w:sz="0" w:space="0" w:color="auto"/>
          </w:divBdr>
          <w:divsChild>
            <w:div w:id="1058288779">
              <w:marLeft w:val="0"/>
              <w:marRight w:val="0"/>
              <w:marTop w:val="0"/>
              <w:marBottom w:val="0"/>
              <w:divBdr>
                <w:top w:val="none" w:sz="0" w:space="0" w:color="auto"/>
                <w:left w:val="none" w:sz="0" w:space="0" w:color="auto"/>
                <w:bottom w:val="none" w:sz="0" w:space="0" w:color="auto"/>
                <w:right w:val="none" w:sz="0" w:space="0" w:color="auto"/>
              </w:divBdr>
              <w:divsChild>
                <w:div w:id="471675052">
                  <w:marLeft w:val="0"/>
                  <w:marRight w:val="0"/>
                  <w:marTop w:val="0"/>
                  <w:marBottom w:val="0"/>
                  <w:divBdr>
                    <w:top w:val="none" w:sz="0" w:space="0" w:color="auto"/>
                    <w:left w:val="none" w:sz="0" w:space="0" w:color="auto"/>
                    <w:bottom w:val="none" w:sz="0" w:space="0" w:color="auto"/>
                    <w:right w:val="none" w:sz="0" w:space="0" w:color="auto"/>
                  </w:divBdr>
                  <w:divsChild>
                    <w:div w:id="113250903">
                      <w:marLeft w:val="0"/>
                      <w:marRight w:val="0"/>
                      <w:marTop w:val="0"/>
                      <w:marBottom w:val="0"/>
                      <w:divBdr>
                        <w:top w:val="none" w:sz="0" w:space="0" w:color="auto"/>
                        <w:left w:val="none" w:sz="0" w:space="0" w:color="auto"/>
                        <w:bottom w:val="none" w:sz="0" w:space="0" w:color="auto"/>
                        <w:right w:val="none" w:sz="0" w:space="0" w:color="auto"/>
                      </w:divBdr>
                      <w:divsChild>
                        <w:div w:id="1495685423">
                          <w:marLeft w:val="0"/>
                          <w:marRight w:val="0"/>
                          <w:marTop w:val="0"/>
                          <w:marBottom w:val="0"/>
                          <w:divBdr>
                            <w:top w:val="none" w:sz="0" w:space="0" w:color="auto"/>
                            <w:left w:val="none" w:sz="0" w:space="0" w:color="auto"/>
                            <w:bottom w:val="none" w:sz="0" w:space="0" w:color="auto"/>
                            <w:right w:val="none" w:sz="0" w:space="0" w:color="auto"/>
                          </w:divBdr>
                          <w:divsChild>
                            <w:div w:id="17169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425829">
      <w:bodyDiv w:val="1"/>
      <w:marLeft w:val="0"/>
      <w:marRight w:val="0"/>
      <w:marTop w:val="0"/>
      <w:marBottom w:val="0"/>
      <w:divBdr>
        <w:top w:val="none" w:sz="0" w:space="0" w:color="auto"/>
        <w:left w:val="none" w:sz="0" w:space="0" w:color="auto"/>
        <w:bottom w:val="none" w:sz="0" w:space="0" w:color="auto"/>
        <w:right w:val="none" w:sz="0" w:space="0" w:color="auto"/>
      </w:divBdr>
    </w:div>
    <w:div w:id="1628853238">
      <w:bodyDiv w:val="1"/>
      <w:marLeft w:val="0"/>
      <w:marRight w:val="0"/>
      <w:marTop w:val="0"/>
      <w:marBottom w:val="0"/>
      <w:divBdr>
        <w:top w:val="none" w:sz="0" w:space="0" w:color="auto"/>
        <w:left w:val="none" w:sz="0" w:space="0" w:color="auto"/>
        <w:bottom w:val="none" w:sz="0" w:space="0" w:color="auto"/>
        <w:right w:val="none" w:sz="0" w:space="0" w:color="auto"/>
      </w:divBdr>
    </w:div>
    <w:div w:id="1638029667">
      <w:bodyDiv w:val="1"/>
      <w:marLeft w:val="0"/>
      <w:marRight w:val="0"/>
      <w:marTop w:val="0"/>
      <w:marBottom w:val="0"/>
      <w:divBdr>
        <w:top w:val="none" w:sz="0" w:space="0" w:color="auto"/>
        <w:left w:val="none" w:sz="0" w:space="0" w:color="auto"/>
        <w:bottom w:val="none" w:sz="0" w:space="0" w:color="auto"/>
        <w:right w:val="none" w:sz="0" w:space="0" w:color="auto"/>
      </w:divBdr>
    </w:div>
    <w:div w:id="1638995799">
      <w:bodyDiv w:val="1"/>
      <w:marLeft w:val="0"/>
      <w:marRight w:val="0"/>
      <w:marTop w:val="0"/>
      <w:marBottom w:val="0"/>
      <w:divBdr>
        <w:top w:val="none" w:sz="0" w:space="0" w:color="auto"/>
        <w:left w:val="none" w:sz="0" w:space="0" w:color="auto"/>
        <w:bottom w:val="none" w:sz="0" w:space="0" w:color="auto"/>
        <w:right w:val="none" w:sz="0" w:space="0" w:color="auto"/>
      </w:divBdr>
    </w:div>
    <w:div w:id="1648779691">
      <w:bodyDiv w:val="1"/>
      <w:marLeft w:val="0"/>
      <w:marRight w:val="0"/>
      <w:marTop w:val="0"/>
      <w:marBottom w:val="0"/>
      <w:divBdr>
        <w:top w:val="none" w:sz="0" w:space="0" w:color="auto"/>
        <w:left w:val="none" w:sz="0" w:space="0" w:color="auto"/>
        <w:bottom w:val="none" w:sz="0" w:space="0" w:color="auto"/>
        <w:right w:val="none" w:sz="0" w:space="0" w:color="auto"/>
      </w:divBdr>
    </w:div>
    <w:div w:id="1656185230">
      <w:bodyDiv w:val="1"/>
      <w:marLeft w:val="0"/>
      <w:marRight w:val="0"/>
      <w:marTop w:val="0"/>
      <w:marBottom w:val="0"/>
      <w:divBdr>
        <w:top w:val="none" w:sz="0" w:space="0" w:color="auto"/>
        <w:left w:val="none" w:sz="0" w:space="0" w:color="auto"/>
        <w:bottom w:val="none" w:sz="0" w:space="0" w:color="auto"/>
        <w:right w:val="none" w:sz="0" w:space="0" w:color="auto"/>
      </w:divBdr>
    </w:div>
    <w:div w:id="1659185004">
      <w:bodyDiv w:val="1"/>
      <w:marLeft w:val="0"/>
      <w:marRight w:val="0"/>
      <w:marTop w:val="0"/>
      <w:marBottom w:val="0"/>
      <w:divBdr>
        <w:top w:val="none" w:sz="0" w:space="0" w:color="auto"/>
        <w:left w:val="none" w:sz="0" w:space="0" w:color="auto"/>
        <w:bottom w:val="none" w:sz="0" w:space="0" w:color="auto"/>
        <w:right w:val="none" w:sz="0" w:space="0" w:color="auto"/>
      </w:divBdr>
    </w:div>
    <w:div w:id="1661738698">
      <w:bodyDiv w:val="1"/>
      <w:marLeft w:val="0"/>
      <w:marRight w:val="0"/>
      <w:marTop w:val="0"/>
      <w:marBottom w:val="0"/>
      <w:divBdr>
        <w:top w:val="none" w:sz="0" w:space="0" w:color="auto"/>
        <w:left w:val="none" w:sz="0" w:space="0" w:color="auto"/>
        <w:bottom w:val="none" w:sz="0" w:space="0" w:color="auto"/>
        <w:right w:val="none" w:sz="0" w:space="0" w:color="auto"/>
      </w:divBdr>
    </w:div>
    <w:div w:id="1664118651">
      <w:bodyDiv w:val="1"/>
      <w:marLeft w:val="0"/>
      <w:marRight w:val="0"/>
      <w:marTop w:val="0"/>
      <w:marBottom w:val="0"/>
      <w:divBdr>
        <w:top w:val="none" w:sz="0" w:space="0" w:color="auto"/>
        <w:left w:val="none" w:sz="0" w:space="0" w:color="auto"/>
        <w:bottom w:val="none" w:sz="0" w:space="0" w:color="auto"/>
        <w:right w:val="none" w:sz="0" w:space="0" w:color="auto"/>
      </w:divBdr>
    </w:div>
    <w:div w:id="1681930983">
      <w:bodyDiv w:val="1"/>
      <w:marLeft w:val="0"/>
      <w:marRight w:val="0"/>
      <w:marTop w:val="0"/>
      <w:marBottom w:val="0"/>
      <w:divBdr>
        <w:top w:val="none" w:sz="0" w:space="0" w:color="auto"/>
        <w:left w:val="none" w:sz="0" w:space="0" w:color="auto"/>
        <w:bottom w:val="none" w:sz="0" w:space="0" w:color="auto"/>
        <w:right w:val="none" w:sz="0" w:space="0" w:color="auto"/>
      </w:divBdr>
    </w:div>
    <w:div w:id="1686320567">
      <w:bodyDiv w:val="1"/>
      <w:marLeft w:val="0"/>
      <w:marRight w:val="0"/>
      <w:marTop w:val="0"/>
      <w:marBottom w:val="0"/>
      <w:divBdr>
        <w:top w:val="none" w:sz="0" w:space="0" w:color="auto"/>
        <w:left w:val="none" w:sz="0" w:space="0" w:color="auto"/>
        <w:bottom w:val="none" w:sz="0" w:space="0" w:color="auto"/>
        <w:right w:val="none" w:sz="0" w:space="0" w:color="auto"/>
      </w:divBdr>
    </w:div>
    <w:div w:id="1687639084">
      <w:bodyDiv w:val="1"/>
      <w:marLeft w:val="0"/>
      <w:marRight w:val="0"/>
      <w:marTop w:val="0"/>
      <w:marBottom w:val="0"/>
      <w:divBdr>
        <w:top w:val="none" w:sz="0" w:space="0" w:color="auto"/>
        <w:left w:val="none" w:sz="0" w:space="0" w:color="auto"/>
        <w:bottom w:val="none" w:sz="0" w:space="0" w:color="auto"/>
        <w:right w:val="none" w:sz="0" w:space="0" w:color="auto"/>
      </w:divBdr>
    </w:div>
    <w:div w:id="1689215271">
      <w:bodyDiv w:val="1"/>
      <w:marLeft w:val="0"/>
      <w:marRight w:val="0"/>
      <w:marTop w:val="0"/>
      <w:marBottom w:val="0"/>
      <w:divBdr>
        <w:top w:val="none" w:sz="0" w:space="0" w:color="auto"/>
        <w:left w:val="none" w:sz="0" w:space="0" w:color="auto"/>
        <w:bottom w:val="none" w:sz="0" w:space="0" w:color="auto"/>
        <w:right w:val="none" w:sz="0" w:space="0" w:color="auto"/>
      </w:divBdr>
      <w:divsChild>
        <w:div w:id="534927635">
          <w:marLeft w:val="0"/>
          <w:marRight w:val="0"/>
          <w:marTop w:val="0"/>
          <w:marBottom w:val="0"/>
          <w:divBdr>
            <w:top w:val="none" w:sz="0" w:space="0" w:color="auto"/>
            <w:left w:val="none" w:sz="0" w:space="0" w:color="auto"/>
            <w:bottom w:val="none" w:sz="0" w:space="0" w:color="auto"/>
            <w:right w:val="none" w:sz="0" w:space="0" w:color="auto"/>
          </w:divBdr>
          <w:divsChild>
            <w:div w:id="2004778224">
              <w:marLeft w:val="0"/>
              <w:marRight w:val="0"/>
              <w:marTop w:val="0"/>
              <w:marBottom w:val="0"/>
              <w:divBdr>
                <w:top w:val="none" w:sz="0" w:space="0" w:color="auto"/>
                <w:left w:val="none" w:sz="0" w:space="0" w:color="auto"/>
                <w:bottom w:val="none" w:sz="0" w:space="0" w:color="auto"/>
                <w:right w:val="none" w:sz="0" w:space="0" w:color="auto"/>
              </w:divBdr>
            </w:div>
          </w:divsChild>
        </w:div>
        <w:div w:id="1671760473">
          <w:marLeft w:val="0"/>
          <w:marRight w:val="0"/>
          <w:marTop w:val="0"/>
          <w:marBottom w:val="0"/>
          <w:divBdr>
            <w:top w:val="none" w:sz="0" w:space="0" w:color="auto"/>
            <w:left w:val="none" w:sz="0" w:space="0" w:color="auto"/>
            <w:bottom w:val="none" w:sz="0" w:space="0" w:color="auto"/>
            <w:right w:val="none" w:sz="0" w:space="0" w:color="auto"/>
          </w:divBdr>
          <w:divsChild>
            <w:div w:id="1492865459">
              <w:marLeft w:val="0"/>
              <w:marRight w:val="0"/>
              <w:marTop w:val="0"/>
              <w:marBottom w:val="0"/>
              <w:divBdr>
                <w:top w:val="none" w:sz="0" w:space="0" w:color="auto"/>
                <w:left w:val="none" w:sz="0" w:space="0" w:color="auto"/>
                <w:bottom w:val="none" w:sz="0" w:space="0" w:color="auto"/>
                <w:right w:val="none" w:sz="0" w:space="0" w:color="auto"/>
              </w:divBdr>
            </w:div>
          </w:divsChild>
        </w:div>
        <w:div w:id="1444106103">
          <w:marLeft w:val="0"/>
          <w:marRight w:val="0"/>
          <w:marTop w:val="0"/>
          <w:marBottom w:val="0"/>
          <w:divBdr>
            <w:top w:val="none" w:sz="0" w:space="0" w:color="auto"/>
            <w:left w:val="none" w:sz="0" w:space="0" w:color="auto"/>
            <w:bottom w:val="none" w:sz="0" w:space="0" w:color="auto"/>
            <w:right w:val="none" w:sz="0" w:space="0" w:color="auto"/>
          </w:divBdr>
          <w:divsChild>
            <w:div w:id="2038042771">
              <w:marLeft w:val="0"/>
              <w:marRight w:val="0"/>
              <w:marTop w:val="0"/>
              <w:marBottom w:val="0"/>
              <w:divBdr>
                <w:top w:val="none" w:sz="0" w:space="0" w:color="auto"/>
                <w:left w:val="none" w:sz="0" w:space="0" w:color="auto"/>
                <w:bottom w:val="none" w:sz="0" w:space="0" w:color="auto"/>
                <w:right w:val="none" w:sz="0" w:space="0" w:color="auto"/>
              </w:divBdr>
            </w:div>
          </w:divsChild>
        </w:div>
        <w:div w:id="801191302">
          <w:marLeft w:val="0"/>
          <w:marRight w:val="0"/>
          <w:marTop w:val="0"/>
          <w:marBottom w:val="0"/>
          <w:divBdr>
            <w:top w:val="none" w:sz="0" w:space="0" w:color="auto"/>
            <w:left w:val="none" w:sz="0" w:space="0" w:color="auto"/>
            <w:bottom w:val="none" w:sz="0" w:space="0" w:color="auto"/>
            <w:right w:val="none" w:sz="0" w:space="0" w:color="auto"/>
          </w:divBdr>
          <w:divsChild>
            <w:div w:id="360907410">
              <w:marLeft w:val="0"/>
              <w:marRight w:val="0"/>
              <w:marTop w:val="0"/>
              <w:marBottom w:val="0"/>
              <w:divBdr>
                <w:top w:val="none" w:sz="0" w:space="0" w:color="auto"/>
                <w:left w:val="none" w:sz="0" w:space="0" w:color="auto"/>
                <w:bottom w:val="none" w:sz="0" w:space="0" w:color="auto"/>
                <w:right w:val="none" w:sz="0" w:space="0" w:color="auto"/>
              </w:divBdr>
            </w:div>
          </w:divsChild>
        </w:div>
        <w:div w:id="1543787489">
          <w:marLeft w:val="0"/>
          <w:marRight w:val="0"/>
          <w:marTop w:val="0"/>
          <w:marBottom w:val="0"/>
          <w:divBdr>
            <w:top w:val="none" w:sz="0" w:space="0" w:color="auto"/>
            <w:left w:val="none" w:sz="0" w:space="0" w:color="auto"/>
            <w:bottom w:val="none" w:sz="0" w:space="0" w:color="auto"/>
            <w:right w:val="none" w:sz="0" w:space="0" w:color="auto"/>
          </w:divBdr>
          <w:divsChild>
            <w:div w:id="1534996175">
              <w:marLeft w:val="0"/>
              <w:marRight w:val="0"/>
              <w:marTop w:val="0"/>
              <w:marBottom w:val="0"/>
              <w:divBdr>
                <w:top w:val="none" w:sz="0" w:space="0" w:color="auto"/>
                <w:left w:val="none" w:sz="0" w:space="0" w:color="auto"/>
                <w:bottom w:val="none" w:sz="0" w:space="0" w:color="auto"/>
                <w:right w:val="none" w:sz="0" w:space="0" w:color="auto"/>
              </w:divBdr>
            </w:div>
          </w:divsChild>
        </w:div>
        <w:div w:id="946234994">
          <w:marLeft w:val="0"/>
          <w:marRight w:val="0"/>
          <w:marTop w:val="0"/>
          <w:marBottom w:val="0"/>
          <w:divBdr>
            <w:top w:val="none" w:sz="0" w:space="0" w:color="auto"/>
            <w:left w:val="none" w:sz="0" w:space="0" w:color="auto"/>
            <w:bottom w:val="none" w:sz="0" w:space="0" w:color="auto"/>
            <w:right w:val="none" w:sz="0" w:space="0" w:color="auto"/>
          </w:divBdr>
          <w:divsChild>
            <w:div w:id="125779884">
              <w:marLeft w:val="0"/>
              <w:marRight w:val="0"/>
              <w:marTop w:val="0"/>
              <w:marBottom w:val="0"/>
              <w:divBdr>
                <w:top w:val="none" w:sz="0" w:space="0" w:color="auto"/>
                <w:left w:val="none" w:sz="0" w:space="0" w:color="auto"/>
                <w:bottom w:val="none" w:sz="0" w:space="0" w:color="auto"/>
                <w:right w:val="none" w:sz="0" w:space="0" w:color="auto"/>
              </w:divBdr>
            </w:div>
          </w:divsChild>
        </w:div>
        <w:div w:id="629476151">
          <w:marLeft w:val="0"/>
          <w:marRight w:val="0"/>
          <w:marTop w:val="0"/>
          <w:marBottom w:val="0"/>
          <w:divBdr>
            <w:top w:val="none" w:sz="0" w:space="0" w:color="auto"/>
            <w:left w:val="none" w:sz="0" w:space="0" w:color="auto"/>
            <w:bottom w:val="none" w:sz="0" w:space="0" w:color="auto"/>
            <w:right w:val="none" w:sz="0" w:space="0" w:color="auto"/>
          </w:divBdr>
          <w:divsChild>
            <w:div w:id="1369987326">
              <w:marLeft w:val="0"/>
              <w:marRight w:val="0"/>
              <w:marTop w:val="0"/>
              <w:marBottom w:val="0"/>
              <w:divBdr>
                <w:top w:val="none" w:sz="0" w:space="0" w:color="auto"/>
                <w:left w:val="none" w:sz="0" w:space="0" w:color="auto"/>
                <w:bottom w:val="none" w:sz="0" w:space="0" w:color="auto"/>
                <w:right w:val="none" w:sz="0" w:space="0" w:color="auto"/>
              </w:divBdr>
            </w:div>
          </w:divsChild>
        </w:div>
        <w:div w:id="579366594">
          <w:marLeft w:val="0"/>
          <w:marRight w:val="0"/>
          <w:marTop w:val="0"/>
          <w:marBottom w:val="0"/>
          <w:divBdr>
            <w:top w:val="none" w:sz="0" w:space="0" w:color="auto"/>
            <w:left w:val="none" w:sz="0" w:space="0" w:color="auto"/>
            <w:bottom w:val="none" w:sz="0" w:space="0" w:color="auto"/>
            <w:right w:val="none" w:sz="0" w:space="0" w:color="auto"/>
          </w:divBdr>
          <w:divsChild>
            <w:div w:id="1136143747">
              <w:marLeft w:val="0"/>
              <w:marRight w:val="0"/>
              <w:marTop w:val="0"/>
              <w:marBottom w:val="0"/>
              <w:divBdr>
                <w:top w:val="none" w:sz="0" w:space="0" w:color="auto"/>
                <w:left w:val="none" w:sz="0" w:space="0" w:color="auto"/>
                <w:bottom w:val="none" w:sz="0" w:space="0" w:color="auto"/>
                <w:right w:val="none" w:sz="0" w:space="0" w:color="auto"/>
              </w:divBdr>
            </w:div>
          </w:divsChild>
        </w:div>
        <w:div w:id="2118140778">
          <w:marLeft w:val="0"/>
          <w:marRight w:val="0"/>
          <w:marTop w:val="0"/>
          <w:marBottom w:val="0"/>
          <w:divBdr>
            <w:top w:val="none" w:sz="0" w:space="0" w:color="auto"/>
            <w:left w:val="none" w:sz="0" w:space="0" w:color="auto"/>
            <w:bottom w:val="none" w:sz="0" w:space="0" w:color="auto"/>
            <w:right w:val="none" w:sz="0" w:space="0" w:color="auto"/>
          </w:divBdr>
          <w:divsChild>
            <w:div w:id="1149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72835">
      <w:bodyDiv w:val="1"/>
      <w:marLeft w:val="0"/>
      <w:marRight w:val="0"/>
      <w:marTop w:val="0"/>
      <w:marBottom w:val="0"/>
      <w:divBdr>
        <w:top w:val="none" w:sz="0" w:space="0" w:color="auto"/>
        <w:left w:val="none" w:sz="0" w:space="0" w:color="auto"/>
        <w:bottom w:val="none" w:sz="0" w:space="0" w:color="auto"/>
        <w:right w:val="none" w:sz="0" w:space="0" w:color="auto"/>
      </w:divBdr>
    </w:div>
    <w:div w:id="1706247290">
      <w:bodyDiv w:val="1"/>
      <w:marLeft w:val="0"/>
      <w:marRight w:val="0"/>
      <w:marTop w:val="0"/>
      <w:marBottom w:val="0"/>
      <w:divBdr>
        <w:top w:val="none" w:sz="0" w:space="0" w:color="auto"/>
        <w:left w:val="none" w:sz="0" w:space="0" w:color="auto"/>
        <w:bottom w:val="none" w:sz="0" w:space="0" w:color="auto"/>
        <w:right w:val="none" w:sz="0" w:space="0" w:color="auto"/>
      </w:divBdr>
    </w:div>
    <w:div w:id="1712072861">
      <w:bodyDiv w:val="1"/>
      <w:marLeft w:val="0"/>
      <w:marRight w:val="0"/>
      <w:marTop w:val="0"/>
      <w:marBottom w:val="0"/>
      <w:divBdr>
        <w:top w:val="none" w:sz="0" w:space="0" w:color="auto"/>
        <w:left w:val="none" w:sz="0" w:space="0" w:color="auto"/>
        <w:bottom w:val="none" w:sz="0" w:space="0" w:color="auto"/>
        <w:right w:val="none" w:sz="0" w:space="0" w:color="auto"/>
      </w:divBdr>
    </w:div>
    <w:div w:id="1721439320">
      <w:bodyDiv w:val="1"/>
      <w:marLeft w:val="0"/>
      <w:marRight w:val="0"/>
      <w:marTop w:val="0"/>
      <w:marBottom w:val="0"/>
      <w:divBdr>
        <w:top w:val="none" w:sz="0" w:space="0" w:color="auto"/>
        <w:left w:val="none" w:sz="0" w:space="0" w:color="auto"/>
        <w:bottom w:val="none" w:sz="0" w:space="0" w:color="auto"/>
        <w:right w:val="none" w:sz="0" w:space="0" w:color="auto"/>
      </w:divBdr>
    </w:div>
    <w:div w:id="1728725745">
      <w:bodyDiv w:val="1"/>
      <w:marLeft w:val="0"/>
      <w:marRight w:val="0"/>
      <w:marTop w:val="0"/>
      <w:marBottom w:val="0"/>
      <w:divBdr>
        <w:top w:val="none" w:sz="0" w:space="0" w:color="auto"/>
        <w:left w:val="none" w:sz="0" w:space="0" w:color="auto"/>
        <w:bottom w:val="none" w:sz="0" w:space="0" w:color="auto"/>
        <w:right w:val="none" w:sz="0" w:space="0" w:color="auto"/>
      </w:divBdr>
    </w:div>
    <w:div w:id="1749843077">
      <w:bodyDiv w:val="1"/>
      <w:marLeft w:val="0"/>
      <w:marRight w:val="0"/>
      <w:marTop w:val="0"/>
      <w:marBottom w:val="0"/>
      <w:divBdr>
        <w:top w:val="none" w:sz="0" w:space="0" w:color="auto"/>
        <w:left w:val="none" w:sz="0" w:space="0" w:color="auto"/>
        <w:bottom w:val="none" w:sz="0" w:space="0" w:color="auto"/>
        <w:right w:val="none" w:sz="0" w:space="0" w:color="auto"/>
      </w:divBdr>
    </w:div>
    <w:div w:id="1763447464">
      <w:bodyDiv w:val="1"/>
      <w:marLeft w:val="0"/>
      <w:marRight w:val="0"/>
      <w:marTop w:val="0"/>
      <w:marBottom w:val="0"/>
      <w:divBdr>
        <w:top w:val="none" w:sz="0" w:space="0" w:color="auto"/>
        <w:left w:val="none" w:sz="0" w:space="0" w:color="auto"/>
        <w:bottom w:val="none" w:sz="0" w:space="0" w:color="auto"/>
        <w:right w:val="none" w:sz="0" w:space="0" w:color="auto"/>
      </w:divBdr>
      <w:divsChild>
        <w:div w:id="2008827541">
          <w:marLeft w:val="0"/>
          <w:marRight w:val="0"/>
          <w:marTop w:val="0"/>
          <w:marBottom w:val="0"/>
          <w:divBdr>
            <w:top w:val="none" w:sz="0" w:space="0" w:color="auto"/>
            <w:left w:val="none" w:sz="0" w:space="0" w:color="auto"/>
            <w:bottom w:val="none" w:sz="0" w:space="0" w:color="auto"/>
            <w:right w:val="none" w:sz="0" w:space="0" w:color="auto"/>
          </w:divBdr>
          <w:divsChild>
            <w:div w:id="831331366">
              <w:marLeft w:val="0"/>
              <w:marRight w:val="0"/>
              <w:marTop w:val="0"/>
              <w:marBottom w:val="0"/>
              <w:divBdr>
                <w:top w:val="none" w:sz="0" w:space="0" w:color="auto"/>
                <w:left w:val="none" w:sz="0" w:space="0" w:color="auto"/>
                <w:bottom w:val="none" w:sz="0" w:space="0" w:color="auto"/>
                <w:right w:val="none" w:sz="0" w:space="0" w:color="auto"/>
              </w:divBdr>
            </w:div>
          </w:divsChild>
        </w:div>
        <w:div w:id="704907104">
          <w:marLeft w:val="0"/>
          <w:marRight w:val="0"/>
          <w:marTop w:val="0"/>
          <w:marBottom w:val="0"/>
          <w:divBdr>
            <w:top w:val="none" w:sz="0" w:space="0" w:color="auto"/>
            <w:left w:val="none" w:sz="0" w:space="0" w:color="auto"/>
            <w:bottom w:val="none" w:sz="0" w:space="0" w:color="auto"/>
            <w:right w:val="none" w:sz="0" w:space="0" w:color="auto"/>
          </w:divBdr>
          <w:divsChild>
            <w:div w:id="166208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6543">
      <w:bodyDiv w:val="1"/>
      <w:marLeft w:val="0"/>
      <w:marRight w:val="0"/>
      <w:marTop w:val="0"/>
      <w:marBottom w:val="0"/>
      <w:divBdr>
        <w:top w:val="none" w:sz="0" w:space="0" w:color="auto"/>
        <w:left w:val="none" w:sz="0" w:space="0" w:color="auto"/>
        <w:bottom w:val="none" w:sz="0" w:space="0" w:color="auto"/>
        <w:right w:val="none" w:sz="0" w:space="0" w:color="auto"/>
      </w:divBdr>
    </w:div>
    <w:div w:id="1779258820">
      <w:bodyDiv w:val="1"/>
      <w:marLeft w:val="0"/>
      <w:marRight w:val="0"/>
      <w:marTop w:val="0"/>
      <w:marBottom w:val="0"/>
      <w:divBdr>
        <w:top w:val="none" w:sz="0" w:space="0" w:color="auto"/>
        <w:left w:val="none" w:sz="0" w:space="0" w:color="auto"/>
        <w:bottom w:val="none" w:sz="0" w:space="0" w:color="auto"/>
        <w:right w:val="none" w:sz="0" w:space="0" w:color="auto"/>
      </w:divBdr>
    </w:div>
    <w:div w:id="1781684700">
      <w:bodyDiv w:val="1"/>
      <w:marLeft w:val="0"/>
      <w:marRight w:val="0"/>
      <w:marTop w:val="0"/>
      <w:marBottom w:val="0"/>
      <w:divBdr>
        <w:top w:val="none" w:sz="0" w:space="0" w:color="auto"/>
        <w:left w:val="none" w:sz="0" w:space="0" w:color="auto"/>
        <w:bottom w:val="none" w:sz="0" w:space="0" w:color="auto"/>
        <w:right w:val="none" w:sz="0" w:space="0" w:color="auto"/>
      </w:divBdr>
    </w:div>
    <w:div w:id="1789397002">
      <w:bodyDiv w:val="1"/>
      <w:marLeft w:val="0"/>
      <w:marRight w:val="0"/>
      <w:marTop w:val="0"/>
      <w:marBottom w:val="0"/>
      <w:divBdr>
        <w:top w:val="none" w:sz="0" w:space="0" w:color="auto"/>
        <w:left w:val="none" w:sz="0" w:space="0" w:color="auto"/>
        <w:bottom w:val="none" w:sz="0" w:space="0" w:color="auto"/>
        <w:right w:val="none" w:sz="0" w:space="0" w:color="auto"/>
      </w:divBdr>
    </w:div>
    <w:div w:id="1793358140">
      <w:bodyDiv w:val="1"/>
      <w:marLeft w:val="0"/>
      <w:marRight w:val="0"/>
      <w:marTop w:val="0"/>
      <w:marBottom w:val="0"/>
      <w:divBdr>
        <w:top w:val="none" w:sz="0" w:space="0" w:color="auto"/>
        <w:left w:val="none" w:sz="0" w:space="0" w:color="auto"/>
        <w:bottom w:val="none" w:sz="0" w:space="0" w:color="auto"/>
        <w:right w:val="none" w:sz="0" w:space="0" w:color="auto"/>
      </w:divBdr>
      <w:divsChild>
        <w:div w:id="1606234680">
          <w:marLeft w:val="0"/>
          <w:marRight w:val="0"/>
          <w:marTop w:val="0"/>
          <w:marBottom w:val="0"/>
          <w:divBdr>
            <w:top w:val="none" w:sz="0" w:space="0" w:color="auto"/>
            <w:left w:val="none" w:sz="0" w:space="0" w:color="auto"/>
            <w:bottom w:val="none" w:sz="0" w:space="0" w:color="auto"/>
            <w:right w:val="none" w:sz="0" w:space="0" w:color="auto"/>
          </w:divBdr>
          <w:divsChild>
            <w:div w:id="1167284006">
              <w:marLeft w:val="0"/>
              <w:marRight w:val="0"/>
              <w:marTop w:val="0"/>
              <w:marBottom w:val="0"/>
              <w:divBdr>
                <w:top w:val="none" w:sz="0" w:space="0" w:color="auto"/>
                <w:left w:val="none" w:sz="0" w:space="0" w:color="auto"/>
                <w:bottom w:val="none" w:sz="0" w:space="0" w:color="auto"/>
                <w:right w:val="none" w:sz="0" w:space="0" w:color="auto"/>
              </w:divBdr>
            </w:div>
          </w:divsChild>
        </w:div>
        <w:div w:id="106514165">
          <w:marLeft w:val="0"/>
          <w:marRight w:val="0"/>
          <w:marTop w:val="0"/>
          <w:marBottom w:val="0"/>
          <w:divBdr>
            <w:top w:val="none" w:sz="0" w:space="0" w:color="auto"/>
            <w:left w:val="none" w:sz="0" w:space="0" w:color="auto"/>
            <w:bottom w:val="none" w:sz="0" w:space="0" w:color="auto"/>
            <w:right w:val="none" w:sz="0" w:space="0" w:color="auto"/>
          </w:divBdr>
          <w:divsChild>
            <w:div w:id="877160485">
              <w:marLeft w:val="0"/>
              <w:marRight w:val="0"/>
              <w:marTop w:val="0"/>
              <w:marBottom w:val="0"/>
              <w:divBdr>
                <w:top w:val="none" w:sz="0" w:space="0" w:color="auto"/>
                <w:left w:val="none" w:sz="0" w:space="0" w:color="auto"/>
                <w:bottom w:val="none" w:sz="0" w:space="0" w:color="auto"/>
                <w:right w:val="none" w:sz="0" w:space="0" w:color="auto"/>
              </w:divBdr>
            </w:div>
          </w:divsChild>
        </w:div>
        <w:div w:id="225843520">
          <w:marLeft w:val="0"/>
          <w:marRight w:val="0"/>
          <w:marTop w:val="0"/>
          <w:marBottom w:val="0"/>
          <w:divBdr>
            <w:top w:val="none" w:sz="0" w:space="0" w:color="auto"/>
            <w:left w:val="none" w:sz="0" w:space="0" w:color="auto"/>
            <w:bottom w:val="none" w:sz="0" w:space="0" w:color="auto"/>
            <w:right w:val="none" w:sz="0" w:space="0" w:color="auto"/>
          </w:divBdr>
          <w:divsChild>
            <w:div w:id="868033542">
              <w:marLeft w:val="0"/>
              <w:marRight w:val="0"/>
              <w:marTop w:val="0"/>
              <w:marBottom w:val="0"/>
              <w:divBdr>
                <w:top w:val="none" w:sz="0" w:space="0" w:color="auto"/>
                <w:left w:val="none" w:sz="0" w:space="0" w:color="auto"/>
                <w:bottom w:val="none" w:sz="0" w:space="0" w:color="auto"/>
                <w:right w:val="none" w:sz="0" w:space="0" w:color="auto"/>
              </w:divBdr>
            </w:div>
          </w:divsChild>
        </w:div>
        <w:div w:id="962462472">
          <w:marLeft w:val="0"/>
          <w:marRight w:val="0"/>
          <w:marTop w:val="0"/>
          <w:marBottom w:val="0"/>
          <w:divBdr>
            <w:top w:val="none" w:sz="0" w:space="0" w:color="auto"/>
            <w:left w:val="none" w:sz="0" w:space="0" w:color="auto"/>
            <w:bottom w:val="none" w:sz="0" w:space="0" w:color="auto"/>
            <w:right w:val="none" w:sz="0" w:space="0" w:color="auto"/>
          </w:divBdr>
          <w:divsChild>
            <w:div w:id="947011026">
              <w:marLeft w:val="0"/>
              <w:marRight w:val="0"/>
              <w:marTop w:val="0"/>
              <w:marBottom w:val="0"/>
              <w:divBdr>
                <w:top w:val="none" w:sz="0" w:space="0" w:color="auto"/>
                <w:left w:val="none" w:sz="0" w:space="0" w:color="auto"/>
                <w:bottom w:val="none" w:sz="0" w:space="0" w:color="auto"/>
                <w:right w:val="none" w:sz="0" w:space="0" w:color="auto"/>
              </w:divBdr>
            </w:div>
          </w:divsChild>
        </w:div>
        <w:div w:id="1802767463">
          <w:marLeft w:val="0"/>
          <w:marRight w:val="0"/>
          <w:marTop w:val="0"/>
          <w:marBottom w:val="0"/>
          <w:divBdr>
            <w:top w:val="none" w:sz="0" w:space="0" w:color="auto"/>
            <w:left w:val="none" w:sz="0" w:space="0" w:color="auto"/>
            <w:bottom w:val="none" w:sz="0" w:space="0" w:color="auto"/>
            <w:right w:val="none" w:sz="0" w:space="0" w:color="auto"/>
          </w:divBdr>
          <w:divsChild>
            <w:div w:id="1242064078">
              <w:marLeft w:val="0"/>
              <w:marRight w:val="0"/>
              <w:marTop w:val="0"/>
              <w:marBottom w:val="0"/>
              <w:divBdr>
                <w:top w:val="none" w:sz="0" w:space="0" w:color="auto"/>
                <w:left w:val="none" w:sz="0" w:space="0" w:color="auto"/>
                <w:bottom w:val="none" w:sz="0" w:space="0" w:color="auto"/>
                <w:right w:val="none" w:sz="0" w:space="0" w:color="auto"/>
              </w:divBdr>
            </w:div>
          </w:divsChild>
        </w:div>
        <w:div w:id="2067676918">
          <w:marLeft w:val="0"/>
          <w:marRight w:val="0"/>
          <w:marTop w:val="0"/>
          <w:marBottom w:val="0"/>
          <w:divBdr>
            <w:top w:val="none" w:sz="0" w:space="0" w:color="auto"/>
            <w:left w:val="none" w:sz="0" w:space="0" w:color="auto"/>
            <w:bottom w:val="none" w:sz="0" w:space="0" w:color="auto"/>
            <w:right w:val="none" w:sz="0" w:space="0" w:color="auto"/>
          </w:divBdr>
          <w:divsChild>
            <w:div w:id="1725713306">
              <w:marLeft w:val="0"/>
              <w:marRight w:val="0"/>
              <w:marTop w:val="0"/>
              <w:marBottom w:val="0"/>
              <w:divBdr>
                <w:top w:val="none" w:sz="0" w:space="0" w:color="auto"/>
                <w:left w:val="none" w:sz="0" w:space="0" w:color="auto"/>
                <w:bottom w:val="none" w:sz="0" w:space="0" w:color="auto"/>
                <w:right w:val="none" w:sz="0" w:space="0" w:color="auto"/>
              </w:divBdr>
            </w:div>
          </w:divsChild>
        </w:div>
        <w:div w:id="1354766700">
          <w:marLeft w:val="0"/>
          <w:marRight w:val="0"/>
          <w:marTop w:val="0"/>
          <w:marBottom w:val="0"/>
          <w:divBdr>
            <w:top w:val="none" w:sz="0" w:space="0" w:color="auto"/>
            <w:left w:val="none" w:sz="0" w:space="0" w:color="auto"/>
            <w:bottom w:val="none" w:sz="0" w:space="0" w:color="auto"/>
            <w:right w:val="none" w:sz="0" w:space="0" w:color="auto"/>
          </w:divBdr>
          <w:divsChild>
            <w:div w:id="2028022906">
              <w:marLeft w:val="0"/>
              <w:marRight w:val="0"/>
              <w:marTop w:val="0"/>
              <w:marBottom w:val="0"/>
              <w:divBdr>
                <w:top w:val="none" w:sz="0" w:space="0" w:color="auto"/>
                <w:left w:val="none" w:sz="0" w:space="0" w:color="auto"/>
                <w:bottom w:val="none" w:sz="0" w:space="0" w:color="auto"/>
                <w:right w:val="none" w:sz="0" w:space="0" w:color="auto"/>
              </w:divBdr>
            </w:div>
          </w:divsChild>
        </w:div>
        <w:div w:id="107818973">
          <w:marLeft w:val="0"/>
          <w:marRight w:val="0"/>
          <w:marTop w:val="0"/>
          <w:marBottom w:val="0"/>
          <w:divBdr>
            <w:top w:val="none" w:sz="0" w:space="0" w:color="auto"/>
            <w:left w:val="none" w:sz="0" w:space="0" w:color="auto"/>
            <w:bottom w:val="none" w:sz="0" w:space="0" w:color="auto"/>
            <w:right w:val="none" w:sz="0" w:space="0" w:color="auto"/>
          </w:divBdr>
          <w:divsChild>
            <w:div w:id="1718120549">
              <w:marLeft w:val="0"/>
              <w:marRight w:val="0"/>
              <w:marTop w:val="0"/>
              <w:marBottom w:val="0"/>
              <w:divBdr>
                <w:top w:val="none" w:sz="0" w:space="0" w:color="auto"/>
                <w:left w:val="none" w:sz="0" w:space="0" w:color="auto"/>
                <w:bottom w:val="none" w:sz="0" w:space="0" w:color="auto"/>
                <w:right w:val="none" w:sz="0" w:space="0" w:color="auto"/>
              </w:divBdr>
            </w:div>
          </w:divsChild>
        </w:div>
        <w:div w:id="147212831">
          <w:marLeft w:val="0"/>
          <w:marRight w:val="0"/>
          <w:marTop w:val="0"/>
          <w:marBottom w:val="0"/>
          <w:divBdr>
            <w:top w:val="none" w:sz="0" w:space="0" w:color="auto"/>
            <w:left w:val="none" w:sz="0" w:space="0" w:color="auto"/>
            <w:bottom w:val="none" w:sz="0" w:space="0" w:color="auto"/>
            <w:right w:val="none" w:sz="0" w:space="0" w:color="auto"/>
          </w:divBdr>
          <w:divsChild>
            <w:div w:id="1135440807">
              <w:marLeft w:val="0"/>
              <w:marRight w:val="0"/>
              <w:marTop w:val="0"/>
              <w:marBottom w:val="0"/>
              <w:divBdr>
                <w:top w:val="none" w:sz="0" w:space="0" w:color="auto"/>
                <w:left w:val="none" w:sz="0" w:space="0" w:color="auto"/>
                <w:bottom w:val="none" w:sz="0" w:space="0" w:color="auto"/>
                <w:right w:val="none" w:sz="0" w:space="0" w:color="auto"/>
              </w:divBdr>
            </w:div>
          </w:divsChild>
        </w:div>
        <w:div w:id="857349215">
          <w:marLeft w:val="0"/>
          <w:marRight w:val="0"/>
          <w:marTop w:val="0"/>
          <w:marBottom w:val="0"/>
          <w:divBdr>
            <w:top w:val="none" w:sz="0" w:space="0" w:color="auto"/>
            <w:left w:val="none" w:sz="0" w:space="0" w:color="auto"/>
            <w:bottom w:val="none" w:sz="0" w:space="0" w:color="auto"/>
            <w:right w:val="none" w:sz="0" w:space="0" w:color="auto"/>
          </w:divBdr>
          <w:divsChild>
            <w:div w:id="736048893">
              <w:marLeft w:val="0"/>
              <w:marRight w:val="0"/>
              <w:marTop w:val="0"/>
              <w:marBottom w:val="0"/>
              <w:divBdr>
                <w:top w:val="none" w:sz="0" w:space="0" w:color="auto"/>
                <w:left w:val="none" w:sz="0" w:space="0" w:color="auto"/>
                <w:bottom w:val="none" w:sz="0" w:space="0" w:color="auto"/>
                <w:right w:val="none" w:sz="0" w:space="0" w:color="auto"/>
              </w:divBdr>
            </w:div>
          </w:divsChild>
        </w:div>
        <w:div w:id="503936865">
          <w:marLeft w:val="0"/>
          <w:marRight w:val="0"/>
          <w:marTop w:val="0"/>
          <w:marBottom w:val="0"/>
          <w:divBdr>
            <w:top w:val="none" w:sz="0" w:space="0" w:color="auto"/>
            <w:left w:val="none" w:sz="0" w:space="0" w:color="auto"/>
            <w:bottom w:val="none" w:sz="0" w:space="0" w:color="auto"/>
            <w:right w:val="none" w:sz="0" w:space="0" w:color="auto"/>
          </w:divBdr>
          <w:divsChild>
            <w:div w:id="203734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5509">
      <w:bodyDiv w:val="1"/>
      <w:marLeft w:val="0"/>
      <w:marRight w:val="0"/>
      <w:marTop w:val="0"/>
      <w:marBottom w:val="0"/>
      <w:divBdr>
        <w:top w:val="none" w:sz="0" w:space="0" w:color="auto"/>
        <w:left w:val="none" w:sz="0" w:space="0" w:color="auto"/>
        <w:bottom w:val="none" w:sz="0" w:space="0" w:color="auto"/>
        <w:right w:val="none" w:sz="0" w:space="0" w:color="auto"/>
      </w:divBdr>
    </w:div>
    <w:div w:id="1814761196">
      <w:bodyDiv w:val="1"/>
      <w:marLeft w:val="0"/>
      <w:marRight w:val="0"/>
      <w:marTop w:val="0"/>
      <w:marBottom w:val="0"/>
      <w:divBdr>
        <w:top w:val="none" w:sz="0" w:space="0" w:color="auto"/>
        <w:left w:val="none" w:sz="0" w:space="0" w:color="auto"/>
        <w:bottom w:val="none" w:sz="0" w:space="0" w:color="auto"/>
        <w:right w:val="none" w:sz="0" w:space="0" w:color="auto"/>
      </w:divBdr>
    </w:div>
    <w:div w:id="1820268902">
      <w:bodyDiv w:val="1"/>
      <w:marLeft w:val="0"/>
      <w:marRight w:val="0"/>
      <w:marTop w:val="0"/>
      <w:marBottom w:val="0"/>
      <w:divBdr>
        <w:top w:val="none" w:sz="0" w:space="0" w:color="auto"/>
        <w:left w:val="none" w:sz="0" w:space="0" w:color="auto"/>
        <w:bottom w:val="none" w:sz="0" w:space="0" w:color="auto"/>
        <w:right w:val="none" w:sz="0" w:space="0" w:color="auto"/>
      </w:divBdr>
    </w:div>
    <w:div w:id="1820612517">
      <w:bodyDiv w:val="1"/>
      <w:marLeft w:val="0"/>
      <w:marRight w:val="0"/>
      <w:marTop w:val="0"/>
      <w:marBottom w:val="0"/>
      <w:divBdr>
        <w:top w:val="none" w:sz="0" w:space="0" w:color="auto"/>
        <w:left w:val="none" w:sz="0" w:space="0" w:color="auto"/>
        <w:bottom w:val="none" w:sz="0" w:space="0" w:color="auto"/>
        <w:right w:val="none" w:sz="0" w:space="0" w:color="auto"/>
      </w:divBdr>
    </w:div>
    <w:div w:id="1825924444">
      <w:bodyDiv w:val="1"/>
      <w:marLeft w:val="0"/>
      <w:marRight w:val="0"/>
      <w:marTop w:val="0"/>
      <w:marBottom w:val="0"/>
      <w:divBdr>
        <w:top w:val="none" w:sz="0" w:space="0" w:color="auto"/>
        <w:left w:val="none" w:sz="0" w:space="0" w:color="auto"/>
        <w:bottom w:val="none" w:sz="0" w:space="0" w:color="auto"/>
        <w:right w:val="none" w:sz="0" w:space="0" w:color="auto"/>
      </w:divBdr>
    </w:div>
    <w:div w:id="1837064936">
      <w:bodyDiv w:val="1"/>
      <w:marLeft w:val="0"/>
      <w:marRight w:val="0"/>
      <w:marTop w:val="0"/>
      <w:marBottom w:val="0"/>
      <w:divBdr>
        <w:top w:val="none" w:sz="0" w:space="0" w:color="auto"/>
        <w:left w:val="none" w:sz="0" w:space="0" w:color="auto"/>
        <w:bottom w:val="none" w:sz="0" w:space="0" w:color="auto"/>
        <w:right w:val="none" w:sz="0" w:space="0" w:color="auto"/>
      </w:divBdr>
    </w:div>
    <w:div w:id="1841851057">
      <w:bodyDiv w:val="1"/>
      <w:marLeft w:val="0"/>
      <w:marRight w:val="0"/>
      <w:marTop w:val="0"/>
      <w:marBottom w:val="0"/>
      <w:divBdr>
        <w:top w:val="none" w:sz="0" w:space="0" w:color="auto"/>
        <w:left w:val="none" w:sz="0" w:space="0" w:color="auto"/>
        <w:bottom w:val="none" w:sz="0" w:space="0" w:color="auto"/>
        <w:right w:val="none" w:sz="0" w:space="0" w:color="auto"/>
      </w:divBdr>
    </w:div>
    <w:div w:id="1843859806">
      <w:bodyDiv w:val="1"/>
      <w:marLeft w:val="0"/>
      <w:marRight w:val="0"/>
      <w:marTop w:val="0"/>
      <w:marBottom w:val="0"/>
      <w:divBdr>
        <w:top w:val="none" w:sz="0" w:space="0" w:color="auto"/>
        <w:left w:val="none" w:sz="0" w:space="0" w:color="auto"/>
        <w:bottom w:val="none" w:sz="0" w:space="0" w:color="auto"/>
        <w:right w:val="none" w:sz="0" w:space="0" w:color="auto"/>
      </w:divBdr>
      <w:divsChild>
        <w:div w:id="1259869778">
          <w:marLeft w:val="0"/>
          <w:marRight w:val="0"/>
          <w:marTop w:val="0"/>
          <w:marBottom w:val="0"/>
          <w:divBdr>
            <w:top w:val="none" w:sz="0" w:space="0" w:color="auto"/>
            <w:left w:val="none" w:sz="0" w:space="0" w:color="auto"/>
            <w:bottom w:val="none" w:sz="0" w:space="0" w:color="auto"/>
            <w:right w:val="none" w:sz="0" w:space="0" w:color="auto"/>
          </w:divBdr>
          <w:divsChild>
            <w:div w:id="102849037">
              <w:marLeft w:val="0"/>
              <w:marRight w:val="0"/>
              <w:marTop w:val="0"/>
              <w:marBottom w:val="0"/>
              <w:divBdr>
                <w:top w:val="none" w:sz="0" w:space="0" w:color="auto"/>
                <w:left w:val="none" w:sz="0" w:space="0" w:color="auto"/>
                <w:bottom w:val="none" w:sz="0" w:space="0" w:color="auto"/>
                <w:right w:val="none" w:sz="0" w:space="0" w:color="auto"/>
              </w:divBdr>
            </w:div>
          </w:divsChild>
        </w:div>
        <w:div w:id="1622304616">
          <w:marLeft w:val="0"/>
          <w:marRight w:val="0"/>
          <w:marTop w:val="0"/>
          <w:marBottom w:val="0"/>
          <w:divBdr>
            <w:top w:val="none" w:sz="0" w:space="0" w:color="auto"/>
            <w:left w:val="none" w:sz="0" w:space="0" w:color="auto"/>
            <w:bottom w:val="none" w:sz="0" w:space="0" w:color="auto"/>
            <w:right w:val="none" w:sz="0" w:space="0" w:color="auto"/>
          </w:divBdr>
          <w:divsChild>
            <w:div w:id="1145971700">
              <w:marLeft w:val="0"/>
              <w:marRight w:val="0"/>
              <w:marTop w:val="0"/>
              <w:marBottom w:val="0"/>
              <w:divBdr>
                <w:top w:val="none" w:sz="0" w:space="0" w:color="auto"/>
                <w:left w:val="none" w:sz="0" w:space="0" w:color="auto"/>
                <w:bottom w:val="none" w:sz="0" w:space="0" w:color="auto"/>
                <w:right w:val="none" w:sz="0" w:space="0" w:color="auto"/>
              </w:divBdr>
            </w:div>
          </w:divsChild>
        </w:div>
        <w:div w:id="1148862463">
          <w:marLeft w:val="0"/>
          <w:marRight w:val="0"/>
          <w:marTop w:val="0"/>
          <w:marBottom w:val="0"/>
          <w:divBdr>
            <w:top w:val="none" w:sz="0" w:space="0" w:color="auto"/>
            <w:left w:val="none" w:sz="0" w:space="0" w:color="auto"/>
            <w:bottom w:val="none" w:sz="0" w:space="0" w:color="auto"/>
            <w:right w:val="none" w:sz="0" w:space="0" w:color="auto"/>
          </w:divBdr>
          <w:divsChild>
            <w:div w:id="696001600">
              <w:marLeft w:val="0"/>
              <w:marRight w:val="0"/>
              <w:marTop w:val="0"/>
              <w:marBottom w:val="0"/>
              <w:divBdr>
                <w:top w:val="none" w:sz="0" w:space="0" w:color="auto"/>
                <w:left w:val="none" w:sz="0" w:space="0" w:color="auto"/>
                <w:bottom w:val="none" w:sz="0" w:space="0" w:color="auto"/>
                <w:right w:val="none" w:sz="0" w:space="0" w:color="auto"/>
              </w:divBdr>
            </w:div>
          </w:divsChild>
        </w:div>
        <w:div w:id="2057045380">
          <w:marLeft w:val="0"/>
          <w:marRight w:val="0"/>
          <w:marTop w:val="0"/>
          <w:marBottom w:val="0"/>
          <w:divBdr>
            <w:top w:val="none" w:sz="0" w:space="0" w:color="auto"/>
            <w:left w:val="none" w:sz="0" w:space="0" w:color="auto"/>
            <w:bottom w:val="none" w:sz="0" w:space="0" w:color="auto"/>
            <w:right w:val="none" w:sz="0" w:space="0" w:color="auto"/>
          </w:divBdr>
          <w:divsChild>
            <w:div w:id="851721010">
              <w:marLeft w:val="0"/>
              <w:marRight w:val="0"/>
              <w:marTop w:val="0"/>
              <w:marBottom w:val="0"/>
              <w:divBdr>
                <w:top w:val="none" w:sz="0" w:space="0" w:color="auto"/>
                <w:left w:val="none" w:sz="0" w:space="0" w:color="auto"/>
                <w:bottom w:val="none" w:sz="0" w:space="0" w:color="auto"/>
                <w:right w:val="none" w:sz="0" w:space="0" w:color="auto"/>
              </w:divBdr>
            </w:div>
          </w:divsChild>
        </w:div>
        <w:div w:id="1016804377">
          <w:marLeft w:val="0"/>
          <w:marRight w:val="0"/>
          <w:marTop w:val="0"/>
          <w:marBottom w:val="0"/>
          <w:divBdr>
            <w:top w:val="none" w:sz="0" w:space="0" w:color="auto"/>
            <w:left w:val="none" w:sz="0" w:space="0" w:color="auto"/>
            <w:bottom w:val="none" w:sz="0" w:space="0" w:color="auto"/>
            <w:right w:val="none" w:sz="0" w:space="0" w:color="auto"/>
          </w:divBdr>
          <w:divsChild>
            <w:div w:id="466632266">
              <w:marLeft w:val="0"/>
              <w:marRight w:val="0"/>
              <w:marTop w:val="0"/>
              <w:marBottom w:val="0"/>
              <w:divBdr>
                <w:top w:val="none" w:sz="0" w:space="0" w:color="auto"/>
                <w:left w:val="none" w:sz="0" w:space="0" w:color="auto"/>
                <w:bottom w:val="none" w:sz="0" w:space="0" w:color="auto"/>
                <w:right w:val="none" w:sz="0" w:space="0" w:color="auto"/>
              </w:divBdr>
            </w:div>
          </w:divsChild>
        </w:div>
        <w:div w:id="1409956645">
          <w:marLeft w:val="0"/>
          <w:marRight w:val="0"/>
          <w:marTop w:val="0"/>
          <w:marBottom w:val="0"/>
          <w:divBdr>
            <w:top w:val="none" w:sz="0" w:space="0" w:color="auto"/>
            <w:left w:val="none" w:sz="0" w:space="0" w:color="auto"/>
            <w:bottom w:val="none" w:sz="0" w:space="0" w:color="auto"/>
            <w:right w:val="none" w:sz="0" w:space="0" w:color="auto"/>
          </w:divBdr>
          <w:divsChild>
            <w:div w:id="707411174">
              <w:marLeft w:val="0"/>
              <w:marRight w:val="0"/>
              <w:marTop w:val="0"/>
              <w:marBottom w:val="0"/>
              <w:divBdr>
                <w:top w:val="none" w:sz="0" w:space="0" w:color="auto"/>
                <w:left w:val="none" w:sz="0" w:space="0" w:color="auto"/>
                <w:bottom w:val="none" w:sz="0" w:space="0" w:color="auto"/>
                <w:right w:val="none" w:sz="0" w:space="0" w:color="auto"/>
              </w:divBdr>
            </w:div>
          </w:divsChild>
        </w:div>
        <w:div w:id="1205945725">
          <w:marLeft w:val="0"/>
          <w:marRight w:val="0"/>
          <w:marTop w:val="0"/>
          <w:marBottom w:val="0"/>
          <w:divBdr>
            <w:top w:val="none" w:sz="0" w:space="0" w:color="auto"/>
            <w:left w:val="none" w:sz="0" w:space="0" w:color="auto"/>
            <w:bottom w:val="none" w:sz="0" w:space="0" w:color="auto"/>
            <w:right w:val="none" w:sz="0" w:space="0" w:color="auto"/>
          </w:divBdr>
          <w:divsChild>
            <w:div w:id="135149707">
              <w:marLeft w:val="0"/>
              <w:marRight w:val="0"/>
              <w:marTop w:val="0"/>
              <w:marBottom w:val="0"/>
              <w:divBdr>
                <w:top w:val="none" w:sz="0" w:space="0" w:color="auto"/>
                <w:left w:val="none" w:sz="0" w:space="0" w:color="auto"/>
                <w:bottom w:val="none" w:sz="0" w:space="0" w:color="auto"/>
                <w:right w:val="none" w:sz="0" w:space="0" w:color="auto"/>
              </w:divBdr>
            </w:div>
          </w:divsChild>
        </w:div>
        <w:div w:id="388967390">
          <w:marLeft w:val="0"/>
          <w:marRight w:val="0"/>
          <w:marTop w:val="0"/>
          <w:marBottom w:val="0"/>
          <w:divBdr>
            <w:top w:val="none" w:sz="0" w:space="0" w:color="auto"/>
            <w:left w:val="none" w:sz="0" w:space="0" w:color="auto"/>
            <w:bottom w:val="none" w:sz="0" w:space="0" w:color="auto"/>
            <w:right w:val="none" w:sz="0" w:space="0" w:color="auto"/>
          </w:divBdr>
          <w:divsChild>
            <w:div w:id="181109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2090">
      <w:bodyDiv w:val="1"/>
      <w:marLeft w:val="0"/>
      <w:marRight w:val="0"/>
      <w:marTop w:val="0"/>
      <w:marBottom w:val="0"/>
      <w:divBdr>
        <w:top w:val="none" w:sz="0" w:space="0" w:color="auto"/>
        <w:left w:val="none" w:sz="0" w:space="0" w:color="auto"/>
        <w:bottom w:val="none" w:sz="0" w:space="0" w:color="auto"/>
        <w:right w:val="none" w:sz="0" w:space="0" w:color="auto"/>
      </w:divBdr>
    </w:div>
    <w:div w:id="1884709423">
      <w:bodyDiv w:val="1"/>
      <w:marLeft w:val="0"/>
      <w:marRight w:val="0"/>
      <w:marTop w:val="0"/>
      <w:marBottom w:val="0"/>
      <w:divBdr>
        <w:top w:val="none" w:sz="0" w:space="0" w:color="auto"/>
        <w:left w:val="none" w:sz="0" w:space="0" w:color="auto"/>
        <w:bottom w:val="none" w:sz="0" w:space="0" w:color="auto"/>
        <w:right w:val="none" w:sz="0" w:space="0" w:color="auto"/>
      </w:divBdr>
      <w:divsChild>
        <w:div w:id="196937037">
          <w:marLeft w:val="0"/>
          <w:marRight w:val="0"/>
          <w:marTop w:val="0"/>
          <w:marBottom w:val="0"/>
          <w:divBdr>
            <w:top w:val="none" w:sz="0" w:space="0" w:color="auto"/>
            <w:left w:val="none" w:sz="0" w:space="0" w:color="auto"/>
            <w:bottom w:val="none" w:sz="0" w:space="0" w:color="auto"/>
            <w:right w:val="none" w:sz="0" w:space="0" w:color="auto"/>
          </w:divBdr>
          <w:divsChild>
            <w:div w:id="584605239">
              <w:marLeft w:val="0"/>
              <w:marRight w:val="0"/>
              <w:marTop w:val="0"/>
              <w:marBottom w:val="0"/>
              <w:divBdr>
                <w:top w:val="none" w:sz="0" w:space="0" w:color="auto"/>
                <w:left w:val="none" w:sz="0" w:space="0" w:color="auto"/>
                <w:bottom w:val="none" w:sz="0" w:space="0" w:color="auto"/>
                <w:right w:val="none" w:sz="0" w:space="0" w:color="auto"/>
              </w:divBdr>
            </w:div>
          </w:divsChild>
        </w:div>
        <w:div w:id="946087411">
          <w:marLeft w:val="0"/>
          <w:marRight w:val="0"/>
          <w:marTop w:val="0"/>
          <w:marBottom w:val="0"/>
          <w:divBdr>
            <w:top w:val="none" w:sz="0" w:space="0" w:color="auto"/>
            <w:left w:val="none" w:sz="0" w:space="0" w:color="auto"/>
            <w:bottom w:val="none" w:sz="0" w:space="0" w:color="auto"/>
            <w:right w:val="none" w:sz="0" w:space="0" w:color="auto"/>
          </w:divBdr>
          <w:divsChild>
            <w:div w:id="155781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66208">
      <w:bodyDiv w:val="1"/>
      <w:marLeft w:val="0"/>
      <w:marRight w:val="0"/>
      <w:marTop w:val="0"/>
      <w:marBottom w:val="0"/>
      <w:divBdr>
        <w:top w:val="none" w:sz="0" w:space="0" w:color="auto"/>
        <w:left w:val="none" w:sz="0" w:space="0" w:color="auto"/>
        <w:bottom w:val="none" w:sz="0" w:space="0" w:color="auto"/>
        <w:right w:val="none" w:sz="0" w:space="0" w:color="auto"/>
      </w:divBdr>
    </w:div>
    <w:div w:id="1889146126">
      <w:bodyDiv w:val="1"/>
      <w:marLeft w:val="0"/>
      <w:marRight w:val="0"/>
      <w:marTop w:val="0"/>
      <w:marBottom w:val="0"/>
      <w:divBdr>
        <w:top w:val="none" w:sz="0" w:space="0" w:color="auto"/>
        <w:left w:val="none" w:sz="0" w:space="0" w:color="auto"/>
        <w:bottom w:val="none" w:sz="0" w:space="0" w:color="auto"/>
        <w:right w:val="none" w:sz="0" w:space="0" w:color="auto"/>
      </w:divBdr>
    </w:div>
    <w:div w:id="1891578374">
      <w:bodyDiv w:val="1"/>
      <w:marLeft w:val="0"/>
      <w:marRight w:val="0"/>
      <w:marTop w:val="0"/>
      <w:marBottom w:val="0"/>
      <w:divBdr>
        <w:top w:val="none" w:sz="0" w:space="0" w:color="auto"/>
        <w:left w:val="none" w:sz="0" w:space="0" w:color="auto"/>
        <w:bottom w:val="none" w:sz="0" w:space="0" w:color="auto"/>
        <w:right w:val="none" w:sz="0" w:space="0" w:color="auto"/>
      </w:divBdr>
    </w:div>
    <w:div w:id="1909724450">
      <w:bodyDiv w:val="1"/>
      <w:marLeft w:val="0"/>
      <w:marRight w:val="0"/>
      <w:marTop w:val="0"/>
      <w:marBottom w:val="0"/>
      <w:divBdr>
        <w:top w:val="none" w:sz="0" w:space="0" w:color="auto"/>
        <w:left w:val="none" w:sz="0" w:space="0" w:color="auto"/>
        <w:bottom w:val="none" w:sz="0" w:space="0" w:color="auto"/>
        <w:right w:val="none" w:sz="0" w:space="0" w:color="auto"/>
      </w:divBdr>
    </w:div>
    <w:div w:id="1960142035">
      <w:bodyDiv w:val="1"/>
      <w:marLeft w:val="0"/>
      <w:marRight w:val="0"/>
      <w:marTop w:val="0"/>
      <w:marBottom w:val="0"/>
      <w:divBdr>
        <w:top w:val="none" w:sz="0" w:space="0" w:color="auto"/>
        <w:left w:val="none" w:sz="0" w:space="0" w:color="auto"/>
        <w:bottom w:val="none" w:sz="0" w:space="0" w:color="auto"/>
        <w:right w:val="none" w:sz="0" w:space="0" w:color="auto"/>
      </w:divBdr>
      <w:divsChild>
        <w:div w:id="440881147">
          <w:marLeft w:val="0"/>
          <w:marRight w:val="0"/>
          <w:marTop w:val="0"/>
          <w:marBottom w:val="0"/>
          <w:divBdr>
            <w:top w:val="none" w:sz="0" w:space="0" w:color="auto"/>
            <w:left w:val="none" w:sz="0" w:space="0" w:color="auto"/>
            <w:bottom w:val="none" w:sz="0" w:space="0" w:color="auto"/>
            <w:right w:val="none" w:sz="0" w:space="0" w:color="auto"/>
          </w:divBdr>
          <w:divsChild>
            <w:div w:id="68769929">
              <w:marLeft w:val="0"/>
              <w:marRight w:val="0"/>
              <w:marTop w:val="0"/>
              <w:marBottom w:val="0"/>
              <w:divBdr>
                <w:top w:val="none" w:sz="0" w:space="0" w:color="auto"/>
                <w:left w:val="none" w:sz="0" w:space="0" w:color="auto"/>
                <w:bottom w:val="none" w:sz="0" w:space="0" w:color="auto"/>
                <w:right w:val="none" w:sz="0" w:space="0" w:color="auto"/>
              </w:divBdr>
              <w:divsChild>
                <w:div w:id="1427845811">
                  <w:marLeft w:val="0"/>
                  <w:marRight w:val="0"/>
                  <w:marTop w:val="0"/>
                  <w:marBottom w:val="0"/>
                  <w:divBdr>
                    <w:top w:val="none" w:sz="0" w:space="0" w:color="auto"/>
                    <w:left w:val="none" w:sz="0" w:space="0" w:color="auto"/>
                    <w:bottom w:val="none" w:sz="0" w:space="0" w:color="auto"/>
                    <w:right w:val="none" w:sz="0" w:space="0" w:color="auto"/>
                  </w:divBdr>
                  <w:divsChild>
                    <w:div w:id="1392273100">
                      <w:marLeft w:val="0"/>
                      <w:marRight w:val="0"/>
                      <w:marTop w:val="0"/>
                      <w:marBottom w:val="0"/>
                      <w:divBdr>
                        <w:top w:val="none" w:sz="0" w:space="0" w:color="auto"/>
                        <w:left w:val="none" w:sz="0" w:space="0" w:color="auto"/>
                        <w:bottom w:val="none" w:sz="0" w:space="0" w:color="auto"/>
                        <w:right w:val="none" w:sz="0" w:space="0" w:color="auto"/>
                      </w:divBdr>
                      <w:divsChild>
                        <w:div w:id="363018893">
                          <w:marLeft w:val="0"/>
                          <w:marRight w:val="0"/>
                          <w:marTop w:val="0"/>
                          <w:marBottom w:val="0"/>
                          <w:divBdr>
                            <w:top w:val="none" w:sz="0" w:space="0" w:color="auto"/>
                            <w:left w:val="none" w:sz="0" w:space="0" w:color="auto"/>
                            <w:bottom w:val="none" w:sz="0" w:space="0" w:color="auto"/>
                            <w:right w:val="none" w:sz="0" w:space="0" w:color="auto"/>
                          </w:divBdr>
                          <w:divsChild>
                            <w:div w:id="164477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762652">
                      <w:marLeft w:val="0"/>
                      <w:marRight w:val="0"/>
                      <w:marTop w:val="0"/>
                      <w:marBottom w:val="0"/>
                      <w:divBdr>
                        <w:top w:val="none" w:sz="0" w:space="0" w:color="auto"/>
                        <w:left w:val="none" w:sz="0" w:space="0" w:color="auto"/>
                        <w:bottom w:val="none" w:sz="0" w:space="0" w:color="auto"/>
                        <w:right w:val="none" w:sz="0" w:space="0" w:color="auto"/>
                      </w:divBdr>
                      <w:divsChild>
                        <w:div w:id="146286278">
                          <w:marLeft w:val="0"/>
                          <w:marRight w:val="0"/>
                          <w:marTop w:val="0"/>
                          <w:marBottom w:val="0"/>
                          <w:divBdr>
                            <w:top w:val="none" w:sz="0" w:space="0" w:color="auto"/>
                            <w:left w:val="none" w:sz="0" w:space="0" w:color="auto"/>
                            <w:bottom w:val="none" w:sz="0" w:space="0" w:color="auto"/>
                            <w:right w:val="none" w:sz="0" w:space="0" w:color="auto"/>
                          </w:divBdr>
                          <w:divsChild>
                            <w:div w:id="1781534691">
                              <w:marLeft w:val="0"/>
                              <w:marRight w:val="0"/>
                              <w:marTop w:val="0"/>
                              <w:marBottom w:val="0"/>
                              <w:divBdr>
                                <w:top w:val="none" w:sz="0" w:space="0" w:color="auto"/>
                                <w:left w:val="none" w:sz="0" w:space="0" w:color="auto"/>
                                <w:bottom w:val="none" w:sz="0" w:space="0" w:color="auto"/>
                                <w:right w:val="none" w:sz="0" w:space="0" w:color="auto"/>
                              </w:divBdr>
                              <w:divsChild>
                                <w:div w:id="140379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13024">
                      <w:marLeft w:val="0"/>
                      <w:marRight w:val="0"/>
                      <w:marTop w:val="0"/>
                      <w:marBottom w:val="0"/>
                      <w:divBdr>
                        <w:top w:val="none" w:sz="0" w:space="0" w:color="auto"/>
                        <w:left w:val="none" w:sz="0" w:space="0" w:color="auto"/>
                        <w:bottom w:val="none" w:sz="0" w:space="0" w:color="auto"/>
                        <w:right w:val="none" w:sz="0" w:space="0" w:color="auto"/>
                      </w:divBdr>
                      <w:divsChild>
                        <w:div w:id="1610235499">
                          <w:marLeft w:val="0"/>
                          <w:marRight w:val="0"/>
                          <w:marTop w:val="0"/>
                          <w:marBottom w:val="0"/>
                          <w:divBdr>
                            <w:top w:val="none" w:sz="0" w:space="0" w:color="auto"/>
                            <w:left w:val="none" w:sz="0" w:space="0" w:color="auto"/>
                            <w:bottom w:val="none" w:sz="0" w:space="0" w:color="auto"/>
                            <w:right w:val="none" w:sz="0" w:space="0" w:color="auto"/>
                          </w:divBdr>
                          <w:divsChild>
                            <w:div w:id="1412660203">
                              <w:marLeft w:val="0"/>
                              <w:marRight w:val="0"/>
                              <w:marTop w:val="0"/>
                              <w:marBottom w:val="0"/>
                              <w:divBdr>
                                <w:top w:val="none" w:sz="0" w:space="0" w:color="auto"/>
                                <w:left w:val="none" w:sz="0" w:space="0" w:color="auto"/>
                                <w:bottom w:val="none" w:sz="0" w:space="0" w:color="auto"/>
                                <w:right w:val="none" w:sz="0" w:space="0" w:color="auto"/>
                              </w:divBdr>
                              <w:divsChild>
                                <w:div w:id="721095636">
                                  <w:marLeft w:val="0"/>
                                  <w:marRight w:val="0"/>
                                  <w:marTop w:val="0"/>
                                  <w:marBottom w:val="0"/>
                                  <w:divBdr>
                                    <w:top w:val="none" w:sz="0" w:space="0" w:color="auto"/>
                                    <w:left w:val="none" w:sz="0" w:space="0" w:color="auto"/>
                                    <w:bottom w:val="none" w:sz="0" w:space="0" w:color="auto"/>
                                    <w:right w:val="none" w:sz="0" w:space="0" w:color="auto"/>
                                  </w:divBdr>
                                </w:div>
                              </w:divsChild>
                            </w:div>
                            <w:div w:id="45633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034165">
      <w:bodyDiv w:val="1"/>
      <w:marLeft w:val="0"/>
      <w:marRight w:val="0"/>
      <w:marTop w:val="0"/>
      <w:marBottom w:val="0"/>
      <w:divBdr>
        <w:top w:val="none" w:sz="0" w:space="0" w:color="auto"/>
        <w:left w:val="none" w:sz="0" w:space="0" w:color="auto"/>
        <w:bottom w:val="none" w:sz="0" w:space="0" w:color="auto"/>
        <w:right w:val="none" w:sz="0" w:space="0" w:color="auto"/>
      </w:divBdr>
    </w:div>
    <w:div w:id="1965381403">
      <w:bodyDiv w:val="1"/>
      <w:marLeft w:val="0"/>
      <w:marRight w:val="0"/>
      <w:marTop w:val="0"/>
      <w:marBottom w:val="0"/>
      <w:divBdr>
        <w:top w:val="none" w:sz="0" w:space="0" w:color="auto"/>
        <w:left w:val="none" w:sz="0" w:space="0" w:color="auto"/>
        <w:bottom w:val="none" w:sz="0" w:space="0" w:color="auto"/>
        <w:right w:val="none" w:sz="0" w:space="0" w:color="auto"/>
      </w:divBdr>
      <w:divsChild>
        <w:div w:id="542986649">
          <w:marLeft w:val="0"/>
          <w:marRight w:val="0"/>
          <w:marTop w:val="0"/>
          <w:marBottom w:val="0"/>
          <w:divBdr>
            <w:top w:val="none" w:sz="0" w:space="0" w:color="auto"/>
            <w:left w:val="none" w:sz="0" w:space="0" w:color="auto"/>
            <w:bottom w:val="none" w:sz="0" w:space="0" w:color="auto"/>
            <w:right w:val="none" w:sz="0" w:space="0" w:color="auto"/>
          </w:divBdr>
          <w:divsChild>
            <w:div w:id="1353338786">
              <w:marLeft w:val="0"/>
              <w:marRight w:val="0"/>
              <w:marTop w:val="0"/>
              <w:marBottom w:val="0"/>
              <w:divBdr>
                <w:top w:val="none" w:sz="0" w:space="0" w:color="auto"/>
                <w:left w:val="none" w:sz="0" w:space="0" w:color="auto"/>
                <w:bottom w:val="none" w:sz="0" w:space="0" w:color="auto"/>
                <w:right w:val="none" w:sz="0" w:space="0" w:color="auto"/>
              </w:divBdr>
              <w:divsChild>
                <w:div w:id="588270342">
                  <w:marLeft w:val="0"/>
                  <w:marRight w:val="0"/>
                  <w:marTop w:val="0"/>
                  <w:marBottom w:val="0"/>
                  <w:divBdr>
                    <w:top w:val="none" w:sz="0" w:space="0" w:color="auto"/>
                    <w:left w:val="none" w:sz="0" w:space="0" w:color="auto"/>
                    <w:bottom w:val="none" w:sz="0" w:space="0" w:color="auto"/>
                    <w:right w:val="none" w:sz="0" w:space="0" w:color="auto"/>
                  </w:divBdr>
                  <w:divsChild>
                    <w:div w:id="1455754864">
                      <w:marLeft w:val="0"/>
                      <w:marRight w:val="0"/>
                      <w:marTop w:val="0"/>
                      <w:marBottom w:val="0"/>
                      <w:divBdr>
                        <w:top w:val="none" w:sz="0" w:space="0" w:color="auto"/>
                        <w:left w:val="none" w:sz="0" w:space="0" w:color="auto"/>
                        <w:bottom w:val="none" w:sz="0" w:space="0" w:color="auto"/>
                        <w:right w:val="none" w:sz="0" w:space="0" w:color="auto"/>
                      </w:divBdr>
                      <w:divsChild>
                        <w:div w:id="1137726872">
                          <w:marLeft w:val="0"/>
                          <w:marRight w:val="0"/>
                          <w:marTop w:val="0"/>
                          <w:marBottom w:val="0"/>
                          <w:divBdr>
                            <w:top w:val="none" w:sz="0" w:space="0" w:color="auto"/>
                            <w:left w:val="none" w:sz="0" w:space="0" w:color="auto"/>
                            <w:bottom w:val="none" w:sz="0" w:space="0" w:color="auto"/>
                            <w:right w:val="none" w:sz="0" w:space="0" w:color="auto"/>
                          </w:divBdr>
                          <w:divsChild>
                            <w:div w:id="114373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81278">
                      <w:marLeft w:val="0"/>
                      <w:marRight w:val="0"/>
                      <w:marTop w:val="0"/>
                      <w:marBottom w:val="0"/>
                      <w:divBdr>
                        <w:top w:val="none" w:sz="0" w:space="0" w:color="auto"/>
                        <w:left w:val="none" w:sz="0" w:space="0" w:color="auto"/>
                        <w:bottom w:val="none" w:sz="0" w:space="0" w:color="auto"/>
                        <w:right w:val="none" w:sz="0" w:space="0" w:color="auto"/>
                      </w:divBdr>
                      <w:divsChild>
                        <w:div w:id="1226575158">
                          <w:marLeft w:val="0"/>
                          <w:marRight w:val="0"/>
                          <w:marTop w:val="0"/>
                          <w:marBottom w:val="0"/>
                          <w:divBdr>
                            <w:top w:val="none" w:sz="0" w:space="0" w:color="auto"/>
                            <w:left w:val="none" w:sz="0" w:space="0" w:color="auto"/>
                            <w:bottom w:val="none" w:sz="0" w:space="0" w:color="auto"/>
                            <w:right w:val="none" w:sz="0" w:space="0" w:color="auto"/>
                          </w:divBdr>
                          <w:divsChild>
                            <w:div w:id="31660616">
                              <w:marLeft w:val="0"/>
                              <w:marRight w:val="0"/>
                              <w:marTop w:val="0"/>
                              <w:marBottom w:val="0"/>
                              <w:divBdr>
                                <w:top w:val="none" w:sz="0" w:space="0" w:color="auto"/>
                                <w:left w:val="none" w:sz="0" w:space="0" w:color="auto"/>
                                <w:bottom w:val="none" w:sz="0" w:space="0" w:color="auto"/>
                                <w:right w:val="none" w:sz="0" w:space="0" w:color="auto"/>
                              </w:divBdr>
                              <w:divsChild>
                                <w:div w:id="182858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4492247">
          <w:marLeft w:val="0"/>
          <w:marRight w:val="0"/>
          <w:marTop w:val="0"/>
          <w:marBottom w:val="0"/>
          <w:divBdr>
            <w:top w:val="none" w:sz="0" w:space="0" w:color="auto"/>
            <w:left w:val="none" w:sz="0" w:space="0" w:color="auto"/>
            <w:bottom w:val="none" w:sz="0" w:space="0" w:color="auto"/>
            <w:right w:val="none" w:sz="0" w:space="0" w:color="auto"/>
          </w:divBdr>
          <w:divsChild>
            <w:div w:id="1182625099">
              <w:marLeft w:val="0"/>
              <w:marRight w:val="0"/>
              <w:marTop w:val="0"/>
              <w:marBottom w:val="0"/>
              <w:divBdr>
                <w:top w:val="none" w:sz="0" w:space="0" w:color="auto"/>
                <w:left w:val="none" w:sz="0" w:space="0" w:color="auto"/>
                <w:bottom w:val="none" w:sz="0" w:space="0" w:color="auto"/>
                <w:right w:val="none" w:sz="0" w:space="0" w:color="auto"/>
              </w:divBdr>
              <w:divsChild>
                <w:div w:id="41905508">
                  <w:marLeft w:val="0"/>
                  <w:marRight w:val="0"/>
                  <w:marTop w:val="0"/>
                  <w:marBottom w:val="0"/>
                  <w:divBdr>
                    <w:top w:val="none" w:sz="0" w:space="0" w:color="auto"/>
                    <w:left w:val="none" w:sz="0" w:space="0" w:color="auto"/>
                    <w:bottom w:val="none" w:sz="0" w:space="0" w:color="auto"/>
                    <w:right w:val="none" w:sz="0" w:space="0" w:color="auto"/>
                  </w:divBdr>
                  <w:divsChild>
                    <w:div w:id="1203052386">
                      <w:marLeft w:val="0"/>
                      <w:marRight w:val="0"/>
                      <w:marTop w:val="0"/>
                      <w:marBottom w:val="0"/>
                      <w:divBdr>
                        <w:top w:val="none" w:sz="0" w:space="0" w:color="auto"/>
                        <w:left w:val="none" w:sz="0" w:space="0" w:color="auto"/>
                        <w:bottom w:val="none" w:sz="0" w:space="0" w:color="auto"/>
                        <w:right w:val="none" w:sz="0" w:space="0" w:color="auto"/>
                      </w:divBdr>
                      <w:divsChild>
                        <w:div w:id="826896842">
                          <w:marLeft w:val="0"/>
                          <w:marRight w:val="0"/>
                          <w:marTop w:val="0"/>
                          <w:marBottom w:val="0"/>
                          <w:divBdr>
                            <w:top w:val="none" w:sz="0" w:space="0" w:color="auto"/>
                            <w:left w:val="none" w:sz="0" w:space="0" w:color="auto"/>
                            <w:bottom w:val="none" w:sz="0" w:space="0" w:color="auto"/>
                            <w:right w:val="none" w:sz="0" w:space="0" w:color="auto"/>
                          </w:divBdr>
                          <w:divsChild>
                            <w:div w:id="98721897">
                              <w:marLeft w:val="0"/>
                              <w:marRight w:val="0"/>
                              <w:marTop w:val="0"/>
                              <w:marBottom w:val="0"/>
                              <w:divBdr>
                                <w:top w:val="none" w:sz="0" w:space="0" w:color="auto"/>
                                <w:left w:val="none" w:sz="0" w:space="0" w:color="auto"/>
                                <w:bottom w:val="none" w:sz="0" w:space="0" w:color="auto"/>
                                <w:right w:val="none" w:sz="0" w:space="0" w:color="auto"/>
                              </w:divBdr>
                            </w:div>
                          </w:divsChild>
                        </w:div>
                        <w:div w:id="185789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02572">
          <w:marLeft w:val="0"/>
          <w:marRight w:val="0"/>
          <w:marTop w:val="0"/>
          <w:marBottom w:val="0"/>
          <w:divBdr>
            <w:top w:val="none" w:sz="0" w:space="0" w:color="auto"/>
            <w:left w:val="none" w:sz="0" w:space="0" w:color="auto"/>
            <w:bottom w:val="none" w:sz="0" w:space="0" w:color="auto"/>
            <w:right w:val="none" w:sz="0" w:space="0" w:color="auto"/>
          </w:divBdr>
          <w:divsChild>
            <w:div w:id="1434518739">
              <w:marLeft w:val="0"/>
              <w:marRight w:val="0"/>
              <w:marTop w:val="0"/>
              <w:marBottom w:val="0"/>
              <w:divBdr>
                <w:top w:val="none" w:sz="0" w:space="0" w:color="auto"/>
                <w:left w:val="none" w:sz="0" w:space="0" w:color="auto"/>
                <w:bottom w:val="none" w:sz="0" w:space="0" w:color="auto"/>
                <w:right w:val="none" w:sz="0" w:space="0" w:color="auto"/>
              </w:divBdr>
              <w:divsChild>
                <w:div w:id="2146971263">
                  <w:marLeft w:val="0"/>
                  <w:marRight w:val="0"/>
                  <w:marTop w:val="0"/>
                  <w:marBottom w:val="0"/>
                  <w:divBdr>
                    <w:top w:val="none" w:sz="0" w:space="0" w:color="auto"/>
                    <w:left w:val="none" w:sz="0" w:space="0" w:color="auto"/>
                    <w:bottom w:val="none" w:sz="0" w:space="0" w:color="auto"/>
                    <w:right w:val="none" w:sz="0" w:space="0" w:color="auto"/>
                  </w:divBdr>
                  <w:divsChild>
                    <w:div w:id="744569269">
                      <w:marLeft w:val="0"/>
                      <w:marRight w:val="0"/>
                      <w:marTop w:val="0"/>
                      <w:marBottom w:val="0"/>
                      <w:divBdr>
                        <w:top w:val="none" w:sz="0" w:space="0" w:color="auto"/>
                        <w:left w:val="none" w:sz="0" w:space="0" w:color="auto"/>
                        <w:bottom w:val="none" w:sz="0" w:space="0" w:color="auto"/>
                        <w:right w:val="none" w:sz="0" w:space="0" w:color="auto"/>
                      </w:divBdr>
                      <w:divsChild>
                        <w:div w:id="929658999">
                          <w:marLeft w:val="0"/>
                          <w:marRight w:val="0"/>
                          <w:marTop w:val="0"/>
                          <w:marBottom w:val="0"/>
                          <w:divBdr>
                            <w:top w:val="none" w:sz="0" w:space="0" w:color="auto"/>
                            <w:left w:val="none" w:sz="0" w:space="0" w:color="auto"/>
                            <w:bottom w:val="none" w:sz="0" w:space="0" w:color="auto"/>
                            <w:right w:val="none" w:sz="0" w:space="0" w:color="auto"/>
                          </w:divBdr>
                          <w:divsChild>
                            <w:div w:id="6092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9041455">
      <w:bodyDiv w:val="1"/>
      <w:marLeft w:val="0"/>
      <w:marRight w:val="0"/>
      <w:marTop w:val="0"/>
      <w:marBottom w:val="0"/>
      <w:divBdr>
        <w:top w:val="none" w:sz="0" w:space="0" w:color="auto"/>
        <w:left w:val="none" w:sz="0" w:space="0" w:color="auto"/>
        <w:bottom w:val="none" w:sz="0" w:space="0" w:color="auto"/>
        <w:right w:val="none" w:sz="0" w:space="0" w:color="auto"/>
      </w:divBdr>
    </w:div>
    <w:div w:id="1974364267">
      <w:bodyDiv w:val="1"/>
      <w:marLeft w:val="0"/>
      <w:marRight w:val="0"/>
      <w:marTop w:val="0"/>
      <w:marBottom w:val="0"/>
      <w:divBdr>
        <w:top w:val="none" w:sz="0" w:space="0" w:color="auto"/>
        <w:left w:val="none" w:sz="0" w:space="0" w:color="auto"/>
        <w:bottom w:val="none" w:sz="0" w:space="0" w:color="auto"/>
        <w:right w:val="none" w:sz="0" w:space="0" w:color="auto"/>
      </w:divBdr>
    </w:div>
    <w:div w:id="1980572677">
      <w:bodyDiv w:val="1"/>
      <w:marLeft w:val="0"/>
      <w:marRight w:val="0"/>
      <w:marTop w:val="0"/>
      <w:marBottom w:val="0"/>
      <w:divBdr>
        <w:top w:val="none" w:sz="0" w:space="0" w:color="auto"/>
        <w:left w:val="none" w:sz="0" w:space="0" w:color="auto"/>
        <w:bottom w:val="none" w:sz="0" w:space="0" w:color="auto"/>
        <w:right w:val="none" w:sz="0" w:space="0" w:color="auto"/>
      </w:divBdr>
    </w:div>
    <w:div w:id="2005550503">
      <w:bodyDiv w:val="1"/>
      <w:marLeft w:val="0"/>
      <w:marRight w:val="0"/>
      <w:marTop w:val="0"/>
      <w:marBottom w:val="0"/>
      <w:divBdr>
        <w:top w:val="none" w:sz="0" w:space="0" w:color="auto"/>
        <w:left w:val="none" w:sz="0" w:space="0" w:color="auto"/>
        <w:bottom w:val="none" w:sz="0" w:space="0" w:color="auto"/>
        <w:right w:val="none" w:sz="0" w:space="0" w:color="auto"/>
      </w:divBdr>
      <w:divsChild>
        <w:div w:id="1691877438">
          <w:marLeft w:val="0"/>
          <w:marRight w:val="0"/>
          <w:marTop w:val="0"/>
          <w:marBottom w:val="0"/>
          <w:divBdr>
            <w:top w:val="none" w:sz="0" w:space="0" w:color="auto"/>
            <w:left w:val="none" w:sz="0" w:space="0" w:color="auto"/>
            <w:bottom w:val="none" w:sz="0" w:space="0" w:color="auto"/>
            <w:right w:val="none" w:sz="0" w:space="0" w:color="auto"/>
          </w:divBdr>
          <w:divsChild>
            <w:div w:id="577442847">
              <w:marLeft w:val="0"/>
              <w:marRight w:val="0"/>
              <w:marTop w:val="0"/>
              <w:marBottom w:val="0"/>
              <w:divBdr>
                <w:top w:val="none" w:sz="0" w:space="0" w:color="auto"/>
                <w:left w:val="none" w:sz="0" w:space="0" w:color="auto"/>
                <w:bottom w:val="none" w:sz="0" w:space="0" w:color="auto"/>
                <w:right w:val="none" w:sz="0" w:space="0" w:color="auto"/>
              </w:divBdr>
            </w:div>
          </w:divsChild>
        </w:div>
        <w:div w:id="1947350576">
          <w:marLeft w:val="0"/>
          <w:marRight w:val="0"/>
          <w:marTop w:val="0"/>
          <w:marBottom w:val="0"/>
          <w:divBdr>
            <w:top w:val="none" w:sz="0" w:space="0" w:color="auto"/>
            <w:left w:val="none" w:sz="0" w:space="0" w:color="auto"/>
            <w:bottom w:val="none" w:sz="0" w:space="0" w:color="auto"/>
            <w:right w:val="none" w:sz="0" w:space="0" w:color="auto"/>
          </w:divBdr>
          <w:divsChild>
            <w:div w:id="1188713404">
              <w:marLeft w:val="0"/>
              <w:marRight w:val="0"/>
              <w:marTop w:val="0"/>
              <w:marBottom w:val="0"/>
              <w:divBdr>
                <w:top w:val="none" w:sz="0" w:space="0" w:color="auto"/>
                <w:left w:val="none" w:sz="0" w:space="0" w:color="auto"/>
                <w:bottom w:val="none" w:sz="0" w:space="0" w:color="auto"/>
                <w:right w:val="none" w:sz="0" w:space="0" w:color="auto"/>
              </w:divBdr>
            </w:div>
          </w:divsChild>
        </w:div>
        <w:div w:id="347605380">
          <w:marLeft w:val="0"/>
          <w:marRight w:val="0"/>
          <w:marTop w:val="0"/>
          <w:marBottom w:val="0"/>
          <w:divBdr>
            <w:top w:val="none" w:sz="0" w:space="0" w:color="auto"/>
            <w:left w:val="none" w:sz="0" w:space="0" w:color="auto"/>
            <w:bottom w:val="none" w:sz="0" w:space="0" w:color="auto"/>
            <w:right w:val="none" w:sz="0" w:space="0" w:color="auto"/>
          </w:divBdr>
          <w:divsChild>
            <w:div w:id="1589269247">
              <w:marLeft w:val="0"/>
              <w:marRight w:val="0"/>
              <w:marTop w:val="0"/>
              <w:marBottom w:val="0"/>
              <w:divBdr>
                <w:top w:val="none" w:sz="0" w:space="0" w:color="auto"/>
                <w:left w:val="none" w:sz="0" w:space="0" w:color="auto"/>
                <w:bottom w:val="none" w:sz="0" w:space="0" w:color="auto"/>
                <w:right w:val="none" w:sz="0" w:space="0" w:color="auto"/>
              </w:divBdr>
            </w:div>
          </w:divsChild>
        </w:div>
        <w:div w:id="867839271">
          <w:marLeft w:val="0"/>
          <w:marRight w:val="0"/>
          <w:marTop w:val="0"/>
          <w:marBottom w:val="0"/>
          <w:divBdr>
            <w:top w:val="none" w:sz="0" w:space="0" w:color="auto"/>
            <w:left w:val="none" w:sz="0" w:space="0" w:color="auto"/>
            <w:bottom w:val="none" w:sz="0" w:space="0" w:color="auto"/>
            <w:right w:val="none" w:sz="0" w:space="0" w:color="auto"/>
          </w:divBdr>
          <w:divsChild>
            <w:div w:id="655568814">
              <w:marLeft w:val="0"/>
              <w:marRight w:val="0"/>
              <w:marTop w:val="0"/>
              <w:marBottom w:val="0"/>
              <w:divBdr>
                <w:top w:val="none" w:sz="0" w:space="0" w:color="auto"/>
                <w:left w:val="none" w:sz="0" w:space="0" w:color="auto"/>
                <w:bottom w:val="none" w:sz="0" w:space="0" w:color="auto"/>
                <w:right w:val="none" w:sz="0" w:space="0" w:color="auto"/>
              </w:divBdr>
            </w:div>
          </w:divsChild>
        </w:div>
        <w:div w:id="1074006782">
          <w:marLeft w:val="0"/>
          <w:marRight w:val="0"/>
          <w:marTop w:val="0"/>
          <w:marBottom w:val="0"/>
          <w:divBdr>
            <w:top w:val="none" w:sz="0" w:space="0" w:color="auto"/>
            <w:left w:val="none" w:sz="0" w:space="0" w:color="auto"/>
            <w:bottom w:val="none" w:sz="0" w:space="0" w:color="auto"/>
            <w:right w:val="none" w:sz="0" w:space="0" w:color="auto"/>
          </w:divBdr>
          <w:divsChild>
            <w:div w:id="1264613316">
              <w:marLeft w:val="0"/>
              <w:marRight w:val="0"/>
              <w:marTop w:val="0"/>
              <w:marBottom w:val="0"/>
              <w:divBdr>
                <w:top w:val="none" w:sz="0" w:space="0" w:color="auto"/>
                <w:left w:val="none" w:sz="0" w:space="0" w:color="auto"/>
                <w:bottom w:val="none" w:sz="0" w:space="0" w:color="auto"/>
                <w:right w:val="none" w:sz="0" w:space="0" w:color="auto"/>
              </w:divBdr>
            </w:div>
          </w:divsChild>
        </w:div>
        <w:div w:id="627199832">
          <w:marLeft w:val="0"/>
          <w:marRight w:val="0"/>
          <w:marTop w:val="0"/>
          <w:marBottom w:val="0"/>
          <w:divBdr>
            <w:top w:val="none" w:sz="0" w:space="0" w:color="auto"/>
            <w:left w:val="none" w:sz="0" w:space="0" w:color="auto"/>
            <w:bottom w:val="none" w:sz="0" w:space="0" w:color="auto"/>
            <w:right w:val="none" w:sz="0" w:space="0" w:color="auto"/>
          </w:divBdr>
          <w:divsChild>
            <w:div w:id="1126241439">
              <w:marLeft w:val="0"/>
              <w:marRight w:val="0"/>
              <w:marTop w:val="0"/>
              <w:marBottom w:val="0"/>
              <w:divBdr>
                <w:top w:val="none" w:sz="0" w:space="0" w:color="auto"/>
                <w:left w:val="none" w:sz="0" w:space="0" w:color="auto"/>
                <w:bottom w:val="none" w:sz="0" w:space="0" w:color="auto"/>
                <w:right w:val="none" w:sz="0" w:space="0" w:color="auto"/>
              </w:divBdr>
            </w:div>
          </w:divsChild>
        </w:div>
        <w:div w:id="762216378">
          <w:marLeft w:val="0"/>
          <w:marRight w:val="0"/>
          <w:marTop w:val="0"/>
          <w:marBottom w:val="0"/>
          <w:divBdr>
            <w:top w:val="none" w:sz="0" w:space="0" w:color="auto"/>
            <w:left w:val="none" w:sz="0" w:space="0" w:color="auto"/>
            <w:bottom w:val="none" w:sz="0" w:space="0" w:color="auto"/>
            <w:right w:val="none" w:sz="0" w:space="0" w:color="auto"/>
          </w:divBdr>
          <w:divsChild>
            <w:div w:id="2000842924">
              <w:marLeft w:val="0"/>
              <w:marRight w:val="0"/>
              <w:marTop w:val="0"/>
              <w:marBottom w:val="0"/>
              <w:divBdr>
                <w:top w:val="none" w:sz="0" w:space="0" w:color="auto"/>
                <w:left w:val="none" w:sz="0" w:space="0" w:color="auto"/>
                <w:bottom w:val="none" w:sz="0" w:space="0" w:color="auto"/>
                <w:right w:val="none" w:sz="0" w:space="0" w:color="auto"/>
              </w:divBdr>
            </w:div>
          </w:divsChild>
        </w:div>
        <w:div w:id="107358581">
          <w:marLeft w:val="0"/>
          <w:marRight w:val="0"/>
          <w:marTop w:val="0"/>
          <w:marBottom w:val="0"/>
          <w:divBdr>
            <w:top w:val="none" w:sz="0" w:space="0" w:color="auto"/>
            <w:left w:val="none" w:sz="0" w:space="0" w:color="auto"/>
            <w:bottom w:val="none" w:sz="0" w:space="0" w:color="auto"/>
            <w:right w:val="none" w:sz="0" w:space="0" w:color="auto"/>
          </w:divBdr>
          <w:divsChild>
            <w:div w:id="544295181">
              <w:marLeft w:val="0"/>
              <w:marRight w:val="0"/>
              <w:marTop w:val="0"/>
              <w:marBottom w:val="0"/>
              <w:divBdr>
                <w:top w:val="none" w:sz="0" w:space="0" w:color="auto"/>
                <w:left w:val="none" w:sz="0" w:space="0" w:color="auto"/>
                <w:bottom w:val="none" w:sz="0" w:space="0" w:color="auto"/>
                <w:right w:val="none" w:sz="0" w:space="0" w:color="auto"/>
              </w:divBdr>
            </w:div>
          </w:divsChild>
        </w:div>
        <w:div w:id="450637283">
          <w:marLeft w:val="0"/>
          <w:marRight w:val="0"/>
          <w:marTop w:val="0"/>
          <w:marBottom w:val="0"/>
          <w:divBdr>
            <w:top w:val="none" w:sz="0" w:space="0" w:color="auto"/>
            <w:left w:val="none" w:sz="0" w:space="0" w:color="auto"/>
            <w:bottom w:val="none" w:sz="0" w:space="0" w:color="auto"/>
            <w:right w:val="none" w:sz="0" w:space="0" w:color="auto"/>
          </w:divBdr>
          <w:divsChild>
            <w:div w:id="205954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44777">
      <w:bodyDiv w:val="1"/>
      <w:marLeft w:val="0"/>
      <w:marRight w:val="0"/>
      <w:marTop w:val="0"/>
      <w:marBottom w:val="0"/>
      <w:divBdr>
        <w:top w:val="none" w:sz="0" w:space="0" w:color="auto"/>
        <w:left w:val="none" w:sz="0" w:space="0" w:color="auto"/>
        <w:bottom w:val="none" w:sz="0" w:space="0" w:color="auto"/>
        <w:right w:val="none" w:sz="0" w:space="0" w:color="auto"/>
      </w:divBdr>
    </w:div>
    <w:div w:id="2029719248">
      <w:bodyDiv w:val="1"/>
      <w:marLeft w:val="0"/>
      <w:marRight w:val="0"/>
      <w:marTop w:val="0"/>
      <w:marBottom w:val="0"/>
      <w:divBdr>
        <w:top w:val="none" w:sz="0" w:space="0" w:color="auto"/>
        <w:left w:val="none" w:sz="0" w:space="0" w:color="auto"/>
        <w:bottom w:val="none" w:sz="0" w:space="0" w:color="auto"/>
        <w:right w:val="none" w:sz="0" w:space="0" w:color="auto"/>
      </w:divBdr>
      <w:divsChild>
        <w:div w:id="649021916">
          <w:marLeft w:val="0"/>
          <w:marRight w:val="0"/>
          <w:marTop w:val="0"/>
          <w:marBottom w:val="0"/>
          <w:divBdr>
            <w:top w:val="none" w:sz="0" w:space="0" w:color="auto"/>
            <w:left w:val="none" w:sz="0" w:space="0" w:color="auto"/>
            <w:bottom w:val="none" w:sz="0" w:space="0" w:color="auto"/>
            <w:right w:val="none" w:sz="0" w:space="0" w:color="auto"/>
          </w:divBdr>
          <w:divsChild>
            <w:div w:id="860975213">
              <w:marLeft w:val="0"/>
              <w:marRight w:val="0"/>
              <w:marTop w:val="0"/>
              <w:marBottom w:val="0"/>
              <w:divBdr>
                <w:top w:val="none" w:sz="0" w:space="0" w:color="auto"/>
                <w:left w:val="none" w:sz="0" w:space="0" w:color="auto"/>
                <w:bottom w:val="none" w:sz="0" w:space="0" w:color="auto"/>
                <w:right w:val="none" w:sz="0" w:space="0" w:color="auto"/>
              </w:divBdr>
            </w:div>
          </w:divsChild>
        </w:div>
        <w:div w:id="1651517093">
          <w:marLeft w:val="0"/>
          <w:marRight w:val="0"/>
          <w:marTop w:val="0"/>
          <w:marBottom w:val="0"/>
          <w:divBdr>
            <w:top w:val="none" w:sz="0" w:space="0" w:color="auto"/>
            <w:left w:val="none" w:sz="0" w:space="0" w:color="auto"/>
            <w:bottom w:val="none" w:sz="0" w:space="0" w:color="auto"/>
            <w:right w:val="none" w:sz="0" w:space="0" w:color="auto"/>
          </w:divBdr>
          <w:divsChild>
            <w:div w:id="280262980">
              <w:marLeft w:val="0"/>
              <w:marRight w:val="0"/>
              <w:marTop w:val="0"/>
              <w:marBottom w:val="0"/>
              <w:divBdr>
                <w:top w:val="none" w:sz="0" w:space="0" w:color="auto"/>
                <w:left w:val="none" w:sz="0" w:space="0" w:color="auto"/>
                <w:bottom w:val="none" w:sz="0" w:space="0" w:color="auto"/>
                <w:right w:val="none" w:sz="0" w:space="0" w:color="auto"/>
              </w:divBdr>
            </w:div>
          </w:divsChild>
        </w:div>
        <w:div w:id="2029985696">
          <w:marLeft w:val="0"/>
          <w:marRight w:val="0"/>
          <w:marTop w:val="0"/>
          <w:marBottom w:val="0"/>
          <w:divBdr>
            <w:top w:val="none" w:sz="0" w:space="0" w:color="auto"/>
            <w:left w:val="none" w:sz="0" w:space="0" w:color="auto"/>
            <w:bottom w:val="none" w:sz="0" w:space="0" w:color="auto"/>
            <w:right w:val="none" w:sz="0" w:space="0" w:color="auto"/>
          </w:divBdr>
          <w:divsChild>
            <w:div w:id="194395277">
              <w:marLeft w:val="0"/>
              <w:marRight w:val="0"/>
              <w:marTop w:val="0"/>
              <w:marBottom w:val="0"/>
              <w:divBdr>
                <w:top w:val="none" w:sz="0" w:space="0" w:color="auto"/>
                <w:left w:val="none" w:sz="0" w:space="0" w:color="auto"/>
                <w:bottom w:val="none" w:sz="0" w:space="0" w:color="auto"/>
                <w:right w:val="none" w:sz="0" w:space="0" w:color="auto"/>
              </w:divBdr>
            </w:div>
          </w:divsChild>
        </w:div>
        <w:div w:id="1812402699">
          <w:marLeft w:val="0"/>
          <w:marRight w:val="0"/>
          <w:marTop w:val="0"/>
          <w:marBottom w:val="0"/>
          <w:divBdr>
            <w:top w:val="none" w:sz="0" w:space="0" w:color="auto"/>
            <w:left w:val="none" w:sz="0" w:space="0" w:color="auto"/>
            <w:bottom w:val="none" w:sz="0" w:space="0" w:color="auto"/>
            <w:right w:val="none" w:sz="0" w:space="0" w:color="auto"/>
          </w:divBdr>
          <w:divsChild>
            <w:div w:id="1433545737">
              <w:marLeft w:val="0"/>
              <w:marRight w:val="0"/>
              <w:marTop w:val="0"/>
              <w:marBottom w:val="0"/>
              <w:divBdr>
                <w:top w:val="none" w:sz="0" w:space="0" w:color="auto"/>
                <w:left w:val="none" w:sz="0" w:space="0" w:color="auto"/>
                <w:bottom w:val="none" w:sz="0" w:space="0" w:color="auto"/>
                <w:right w:val="none" w:sz="0" w:space="0" w:color="auto"/>
              </w:divBdr>
            </w:div>
          </w:divsChild>
        </w:div>
        <w:div w:id="1715612700">
          <w:marLeft w:val="0"/>
          <w:marRight w:val="0"/>
          <w:marTop w:val="0"/>
          <w:marBottom w:val="0"/>
          <w:divBdr>
            <w:top w:val="none" w:sz="0" w:space="0" w:color="auto"/>
            <w:left w:val="none" w:sz="0" w:space="0" w:color="auto"/>
            <w:bottom w:val="none" w:sz="0" w:space="0" w:color="auto"/>
            <w:right w:val="none" w:sz="0" w:space="0" w:color="auto"/>
          </w:divBdr>
          <w:divsChild>
            <w:div w:id="706875049">
              <w:marLeft w:val="0"/>
              <w:marRight w:val="0"/>
              <w:marTop w:val="0"/>
              <w:marBottom w:val="0"/>
              <w:divBdr>
                <w:top w:val="none" w:sz="0" w:space="0" w:color="auto"/>
                <w:left w:val="none" w:sz="0" w:space="0" w:color="auto"/>
                <w:bottom w:val="none" w:sz="0" w:space="0" w:color="auto"/>
                <w:right w:val="none" w:sz="0" w:space="0" w:color="auto"/>
              </w:divBdr>
            </w:div>
          </w:divsChild>
        </w:div>
        <w:div w:id="1758671853">
          <w:marLeft w:val="0"/>
          <w:marRight w:val="0"/>
          <w:marTop w:val="0"/>
          <w:marBottom w:val="0"/>
          <w:divBdr>
            <w:top w:val="none" w:sz="0" w:space="0" w:color="auto"/>
            <w:left w:val="none" w:sz="0" w:space="0" w:color="auto"/>
            <w:bottom w:val="none" w:sz="0" w:space="0" w:color="auto"/>
            <w:right w:val="none" w:sz="0" w:space="0" w:color="auto"/>
          </w:divBdr>
          <w:divsChild>
            <w:div w:id="1200314867">
              <w:marLeft w:val="0"/>
              <w:marRight w:val="0"/>
              <w:marTop w:val="0"/>
              <w:marBottom w:val="0"/>
              <w:divBdr>
                <w:top w:val="none" w:sz="0" w:space="0" w:color="auto"/>
                <w:left w:val="none" w:sz="0" w:space="0" w:color="auto"/>
                <w:bottom w:val="none" w:sz="0" w:space="0" w:color="auto"/>
                <w:right w:val="none" w:sz="0" w:space="0" w:color="auto"/>
              </w:divBdr>
            </w:div>
          </w:divsChild>
        </w:div>
        <w:div w:id="1812868350">
          <w:marLeft w:val="0"/>
          <w:marRight w:val="0"/>
          <w:marTop w:val="0"/>
          <w:marBottom w:val="0"/>
          <w:divBdr>
            <w:top w:val="none" w:sz="0" w:space="0" w:color="auto"/>
            <w:left w:val="none" w:sz="0" w:space="0" w:color="auto"/>
            <w:bottom w:val="none" w:sz="0" w:space="0" w:color="auto"/>
            <w:right w:val="none" w:sz="0" w:space="0" w:color="auto"/>
          </w:divBdr>
          <w:divsChild>
            <w:div w:id="597953326">
              <w:marLeft w:val="0"/>
              <w:marRight w:val="0"/>
              <w:marTop w:val="0"/>
              <w:marBottom w:val="0"/>
              <w:divBdr>
                <w:top w:val="none" w:sz="0" w:space="0" w:color="auto"/>
                <w:left w:val="none" w:sz="0" w:space="0" w:color="auto"/>
                <w:bottom w:val="none" w:sz="0" w:space="0" w:color="auto"/>
                <w:right w:val="none" w:sz="0" w:space="0" w:color="auto"/>
              </w:divBdr>
            </w:div>
          </w:divsChild>
        </w:div>
        <w:div w:id="274873645">
          <w:marLeft w:val="0"/>
          <w:marRight w:val="0"/>
          <w:marTop w:val="0"/>
          <w:marBottom w:val="0"/>
          <w:divBdr>
            <w:top w:val="none" w:sz="0" w:space="0" w:color="auto"/>
            <w:left w:val="none" w:sz="0" w:space="0" w:color="auto"/>
            <w:bottom w:val="none" w:sz="0" w:space="0" w:color="auto"/>
            <w:right w:val="none" w:sz="0" w:space="0" w:color="auto"/>
          </w:divBdr>
          <w:divsChild>
            <w:div w:id="606036422">
              <w:marLeft w:val="0"/>
              <w:marRight w:val="0"/>
              <w:marTop w:val="0"/>
              <w:marBottom w:val="0"/>
              <w:divBdr>
                <w:top w:val="none" w:sz="0" w:space="0" w:color="auto"/>
                <w:left w:val="none" w:sz="0" w:space="0" w:color="auto"/>
                <w:bottom w:val="none" w:sz="0" w:space="0" w:color="auto"/>
                <w:right w:val="none" w:sz="0" w:space="0" w:color="auto"/>
              </w:divBdr>
            </w:div>
          </w:divsChild>
        </w:div>
        <w:div w:id="1823042249">
          <w:marLeft w:val="0"/>
          <w:marRight w:val="0"/>
          <w:marTop w:val="0"/>
          <w:marBottom w:val="0"/>
          <w:divBdr>
            <w:top w:val="none" w:sz="0" w:space="0" w:color="auto"/>
            <w:left w:val="none" w:sz="0" w:space="0" w:color="auto"/>
            <w:bottom w:val="none" w:sz="0" w:space="0" w:color="auto"/>
            <w:right w:val="none" w:sz="0" w:space="0" w:color="auto"/>
          </w:divBdr>
          <w:divsChild>
            <w:div w:id="2042582775">
              <w:marLeft w:val="0"/>
              <w:marRight w:val="0"/>
              <w:marTop w:val="0"/>
              <w:marBottom w:val="0"/>
              <w:divBdr>
                <w:top w:val="none" w:sz="0" w:space="0" w:color="auto"/>
                <w:left w:val="none" w:sz="0" w:space="0" w:color="auto"/>
                <w:bottom w:val="none" w:sz="0" w:space="0" w:color="auto"/>
                <w:right w:val="none" w:sz="0" w:space="0" w:color="auto"/>
              </w:divBdr>
            </w:div>
          </w:divsChild>
        </w:div>
        <w:div w:id="2027830562">
          <w:marLeft w:val="0"/>
          <w:marRight w:val="0"/>
          <w:marTop w:val="0"/>
          <w:marBottom w:val="0"/>
          <w:divBdr>
            <w:top w:val="none" w:sz="0" w:space="0" w:color="auto"/>
            <w:left w:val="none" w:sz="0" w:space="0" w:color="auto"/>
            <w:bottom w:val="none" w:sz="0" w:space="0" w:color="auto"/>
            <w:right w:val="none" w:sz="0" w:space="0" w:color="auto"/>
          </w:divBdr>
          <w:divsChild>
            <w:div w:id="1359894480">
              <w:marLeft w:val="0"/>
              <w:marRight w:val="0"/>
              <w:marTop w:val="0"/>
              <w:marBottom w:val="0"/>
              <w:divBdr>
                <w:top w:val="none" w:sz="0" w:space="0" w:color="auto"/>
                <w:left w:val="none" w:sz="0" w:space="0" w:color="auto"/>
                <w:bottom w:val="none" w:sz="0" w:space="0" w:color="auto"/>
                <w:right w:val="none" w:sz="0" w:space="0" w:color="auto"/>
              </w:divBdr>
            </w:div>
          </w:divsChild>
        </w:div>
        <w:div w:id="823202040">
          <w:marLeft w:val="0"/>
          <w:marRight w:val="0"/>
          <w:marTop w:val="0"/>
          <w:marBottom w:val="0"/>
          <w:divBdr>
            <w:top w:val="none" w:sz="0" w:space="0" w:color="auto"/>
            <w:left w:val="none" w:sz="0" w:space="0" w:color="auto"/>
            <w:bottom w:val="none" w:sz="0" w:space="0" w:color="auto"/>
            <w:right w:val="none" w:sz="0" w:space="0" w:color="auto"/>
          </w:divBdr>
          <w:divsChild>
            <w:div w:id="172001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92959">
      <w:bodyDiv w:val="1"/>
      <w:marLeft w:val="0"/>
      <w:marRight w:val="0"/>
      <w:marTop w:val="0"/>
      <w:marBottom w:val="0"/>
      <w:divBdr>
        <w:top w:val="none" w:sz="0" w:space="0" w:color="auto"/>
        <w:left w:val="none" w:sz="0" w:space="0" w:color="auto"/>
        <w:bottom w:val="none" w:sz="0" w:space="0" w:color="auto"/>
        <w:right w:val="none" w:sz="0" w:space="0" w:color="auto"/>
      </w:divBdr>
    </w:div>
    <w:div w:id="2073430593">
      <w:bodyDiv w:val="1"/>
      <w:marLeft w:val="0"/>
      <w:marRight w:val="0"/>
      <w:marTop w:val="0"/>
      <w:marBottom w:val="0"/>
      <w:divBdr>
        <w:top w:val="none" w:sz="0" w:space="0" w:color="auto"/>
        <w:left w:val="none" w:sz="0" w:space="0" w:color="auto"/>
        <w:bottom w:val="none" w:sz="0" w:space="0" w:color="auto"/>
        <w:right w:val="none" w:sz="0" w:space="0" w:color="auto"/>
      </w:divBdr>
    </w:div>
    <w:div w:id="2094471445">
      <w:bodyDiv w:val="1"/>
      <w:marLeft w:val="0"/>
      <w:marRight w:val="0"/>
      <w:marTop w:val="0"/>
      <w:marBottom w:val="0"/>
      <w:divBdr>
        <w:top w:val="none" w:sz="0" w:space="0" w:color="auto"/>
        <w:left w:val="none" w:sz="0" w:space="0" w:color="auto"/>
        <w:bottom w:val="none" w:sz="0" w:space="0" w:color="auto"/>
        <w:right w:val="none" w:sz="0" w:space="0" w:color="auto"/>
      </w:divBdr>
    </w:div>
    <w:div w:id="2102142908">
      <w:bodyDiv w:val="1"/>
      <w:marLeft w:val="0"/>
      <w:marRight w:val="0"/>
      <w:marTop w:val="0"/>
      <w:marBottom w:val="0"/>
      <w:divBdr>
        <w:top w:val="none" w:sz="0" w:space="0" w:color="auto"/>
        <w:left w:val="none" w:sz="0" w:space="0" w:color="auto"/>
        <w:bottom w:val="none" w:sz="0" w:space="0" w:color="auto"/>
        <w:right w:val="none" w:sz="0" w:space="0" w:color="auto"/>
      </w:divBdr>
      <w:divsChild>
        <w:div w:id="1108624903">
          <w:marLeft w:val="0"/>
          <w:marRight w:val="0"/>
          <w:marTop w:val="0"/>
          <w:marBottom w:val="0"/>
          <w:divBdr>
            <w:top w:val="none" w:sz="0" w:space="0" w:color="auto"/>
            <w:left w:val="none" w:sz="0" w:space="0" w:color="auto"/>
            <w:bottom w:val="none" w:sz="0" w:space="0" w:color="auto"/>
            <w:right w:val="none" w:sz="0" w:space="0" w:color="auto"/>
          </w:divBdr>
          <w:divsChild>
            <w:div w:id="1793787836">
              <w:marLeft w:val="0"/>
              <w:marRight w:val="0"/>
              <w:marTop w:val="0"/>
              <w:marBottom w:val="0"/>
              <w:divBdr>
                <w:top w:val="none" w:sz="0" w:space="0" w:color="auto"/>
                <w:left w:val="none" w:sz="0" w:space="0" w:color="auto"/>
                <w:bottom w:val="none" w:sz="0" w:space="0" w:color="auto"/>
                <w:right w:val="none" w:sz="0" w:space="0" w:color="auto"/>
              </w:divBdr>
            </w:div>
          </w:divsChild>
        </w:div>
        <w:div w:id="344332118">
          <w:marLeft w:val="0"/>
          <w:marRight w:val="0"/>
          <w:marTop w:val="0"/>
          <w:marBottom w:val="0"/>
          <w:divBdr>
            <w:top w:val="none" w:sz="0" w:space="0" w:color="auto"/>
            <w:left w:val="none" w:sz="0" w:space="0" w:color="auto"/>
            <w:bottom w:val="none" w:sz="0" w:space="0" w:color="auto"/>
            <w:right w:val="none" w:sz="0" w:space="0" w:color="auto"/>
          </w:divBdr>
          <w:divsChild>
            <w:div w:id="135027739">
              <w:marLeft w:val="0"/>
              <w:marRight w:val="0"/>
              <w:marTop w:val="0"/>
              <w:marBottom w:val="0"/>
              <w:divBdr>
                <w:top w:val="none" w:sz="0" w:space="0" w:color="auto"/>
                <w:left w:val="none" w:sz="0" w:space="0" w:color="auto"/>
                <w:bottom w:val="none" w:sz="0" w:space="0" w:color="auto"/>
                <w:right w:val="none" w:sz="0" w:space="0" w:color="auto"/>
              </w:divBdr>
            </w:div>
          </w:divsChild>
        </w:div>
        <w:div w:id="1174488203">
          <w:marLeft w:val="0"/>
          <w:marRight w:val="0"/>
          <w:marTop w:val="0"/>
          <w:marBottom w:val="0"/>
          <w:divBdr>
            <w:top w:val="none" w:sz="0" w:space="0" w:color="auto"/>
            <w:left w:val="none" w:sz="0" w:space="0" w:color="auto"/>
            <w:bottom w:val="none" w:sz="0" w:space="0" w:color="auto"/>
            <w:right w:val="none" w:sz="0" w:space="0" w:color="auto"/>
          </w:divBdr>
          <w:divsChild>
            <w:div w:id="1328751186">
              <w:marLeft w:val="0"/>
              <w:marRight w:val="0"/>
              <w:marTop w:val="0"/>
              <w:marBottom w:val="0"/>
              <w:divBdr>
                <w:top w:val="none" w:sz="0" w:space="0" w:color="auto"/>
                <w:left w:val="none" w:sz="0" w:space="0" w:color="auto"/>
                <w:bottom w:val="none" w:sz="0" w:space="0" w:color="auto"/>
                <w:right w:val="none" w:sz="0" w:space="0" w:color="auto"/>
              </w:divBdr>
            </w:div>
          </w:divsChild>
        </w:div>
        <w:div w:id="1778795740">
          <w:marLeft w:val="0"/>
          <w:marRight w:val="0"/>
          <w:marTop w:val="0"/>
          <w:marBottom w:val="0"/>
          <w:divBdr>
            <w:top w:val="none" w:sz="0" w:space="0" w:color="auto"/>
            <w:left w:val="none" w:sz="0" w:space="0" w:color="auto"/>
            <w:bottom w:val="none" w:sz="0" w:space="0" w:color="auto"/>
            <w:right w:val="none" w:sz="0" w:space="0" w:color="auto"/>
          </w:divBdr>
          <w:divsChild>
            <w:div w:id="394857472">
              <w:marLeft w:val="0"/>
              <w:marRight w:val="0"/>
              <w:marTop w:val="0"/>
              <w:marBottom w:val="0"/>
              <w:divBdr>
                <w:top w:val="none" w:sz="0" w:space="0" w:color="auto"/>
                <w:left w:val="none" w:sz="0" w:space="0" w:color="auto"/>
                <w:bottom w:val="none" w:sz="0" w:space="0" w:color="auto"/>
                <w:right w:val="none" w:sz="0" w:space="0" w:color="auto"/>
              </w:divBdr>
            </w:div>
          </w:divsChild>
        </w:div>
        <w:div w:id="1791246280">
          <w:marLeft w:val="0"/>
          <w:marRight w:val="0"/>
          <w:marTop w:val="0"/>
          <w:marBottom w:val="0"/>
          <w:divBdr>
            <w:top w:val="none" w:sz="0" w:space="0" w:color="auto"/>
            <w:left w:val="none" w:sz="0" w:space="0" w:color="auto"/>
            <w:bottom w:val="none" w:sz="0" w:space="0" w:color="auto"/>
            <w:right w:val="none" w:sz="0" w:space="0" w:color="auto"/>
          </w:divBdr>
          <w:divsChild>
            <w:div w:id="1097096278">
              <w:marLeft w:val="0"/>
              <w:marRight w:val="0"/>
              <w:marTop w:val="0"/>
              <w:marBottom w:val="0"/>
              <w:divBdr>
                <w:top w:val="none" w:sz="0" w:space="0" w:color="auto"/>
                <w:left w:val="none" w:sz="0" w:space="0" w:color="auto"/>
                <w:bottom w:val="none" w:sz="0" w:space="0" w:color="auto"/>
                <w:right w:val="none" w:sz="0" w:space="0" w:color="auto"/>
              </w:divBdr>
            </w:div>
          </w:divsChild>
        </w:div>
        <w:div w:id="1971588033">
          <w:marLeft w:val="0"/>
          <w:marRight w:val="0"/>
          <w:marTop w:val="0"/>
          <w:marBottom w:val="0"/>
          <w:divBdr>
            <w:top w:val="none" w:sz="0" w:space="0" w:color="auto"/>
            <w:left w:val="none" w:sz="0" w:space="0" w:color="auto"/>
            <w:bottom w:val="none" w:sz="0" w:space="0" w:color="auto"/>
            <w:right w:val="none" w:sz="0" w:space="0" w:color="auto"/>
          </w:divBdr>
          <w:divsChild>
            <w:div w:id="2139100488">
              <w:marLeft w:val="0"/>
              <w:marRight w:val="0"/>
              <w:marTop w:val="0"/>
              <w:marBottom w:val="0"/>
              <w:divBdr>
                <w:top w:val="none" w:sz="0" w:space="0" w:color="auto"/>
                <w:left w:val="none" w:sz="0" w:space="0" w:color="auto"/>
                <w:bottom w:val="none" w:sz="0" w:space="0" w:color="auto"/>
                <w:right w:val="none" w:sz="0" w:space="0" w:color="auto"/>
              </w:divBdr>
            </w:div>
          </w:divsChild>
        </w:div>
        <w:div w:id="1965574387">
          <w:marLeft w:val="0"/>
          <w:marRight w:val="0"/>
          <w:marTop w:val="0"/>
          <w:marBottom w:val="0"/>
          <w:divBdr>
            <w:top w:val="none" w:sz="0" w:space="0" w:color="auto"/>
            <w:left w:val="none" w:sz="0" w:space="0" w:color="auto"/>
            <w:bottom w:val="none" w:sz="0" w:space="0" w:color="auto"/>
            <w:right w:val="none" w:sz="0" w:space="0" w:color="auto"/>
          </w:divBdr>
          <w:divsChild>
            <w:div w:id="1930625701">
              <w:marLeft w:val="0"/>
              <w:marRight w:val="0"/>
              <w:marTop w:val="0"/>
              <w:marBottom w:val="0"/>
              <w:divBdr>
                <w:top w:val="none" w:sz="0" w:space="0" w:color="auto"/>
                <w:left w:val="none" w:sz="0" w:space="0" w:color="auto"/>
                <w:bottom w:val="none" w:sz="0" w:space="0" w:color="auto"/>
                <w:right w:val="none" w:sz="0" w:space="0" w:color="auto"/>
              </w:divBdr>
            </w:div>
          </w:divsChild>
        </w:div>
        <w:div w:id="619267808">
          <w:marLeft w:val="0"/>
          <w:marRight w:val="0"/>
          <w:marTop w:val="0"/>
          <w:marBottom w:val="0"/>
          <w:divBdr>
            <w:top w:val="none" w:sz="0" w:space="0" w:color="auto"/>
            <w:left w:val="none" w:sz="0" w:space="0" w:color="auto"/>
            <w:bottom w:val="none" w:sz="0" w:space="0" w:color="auto"/>
            <w:right w:val="none" w:sz="0" w:space="0" w:color="auto"/>
          </w:divBdr>
          <w:divsChild>
            <w:div w:id="605888922">
              <w:marLeft w:val="0"/>
              <w:marRight w:val="0"/>
              <w:marTop w:val="0"/>
              <w:marBottom w:val="0"/>
              <w:divBdr>
                <w:top w:val="none" w:sz="0" w:space="0" w:color="auto"/>
                <w:left w:val="none" w:sz="0" w:space="0" w:color="auto"/>
                <w:bottom w:val="none" w:sz="0" w:space="0" w:color="auto"/>
                <w:right w:val="none" w:sz="0" w:space="0" w:color="auto"/>
              </w:divBdr>
            </w:div>
          </w:divsChild>
        </w:div>
        <w:div w:id="695421328">
          <w:marLeft w:val="0"/>
          <w:marRight w:val="0"/>
          <w:marTop w:val="0"/>
          <w:marBottom w:val="0"/>
          <w:divBdr>
            <w:top w:val="none" w:sz="0" w:space="0" w:color="auto"/>
            <w:left w:val="none" w:sz="0" w:space="0" w:color="auto"/>
            <w:bottom w:val="none" w:sz="0" w:space="0" w:color="auto"/>
            <w:right w:val="none" w:sz="0" w:space="0" w:color="auto"/>
          </w:divBdr>
          <w:divsChild>
            <w:div w:id="466318602">
              <w:marLeft w:val="0"/>
              <w:marRight w:val="0"/>
              <w:marTop w:val="0"/>
              <w:marBottom w:val="0"/>
              <w:divBdr>
                <w:top w:val="none" w:sz="0" w:space="0" w:color="auto"/>
                <w:left w:val="none" w:sz="0" w:space="0" w:color="auto"/>
                <w:bottom w:val="none" w:sz="0" w:space="0" w:color="auto"/>
                <w:right w:val="none" w:sz="0" w:space="0" w:color="auto"/>
              </w:divBdr>
            </w:div>
          </w:divsChild>
        </w:div>
        <w:div w:id="1796945677">
          <w:marLeft w:val="0"/>
          <w:marRight w:val="0"/>
          <w:marTop w:val="0"/>
          <w:marBottom w:val="0"/>
          <w:divBdr>
            <w:top w:val="none" w:sz="0" w:space="0" w:color="auto"/>
            <w:left w:val="none" w:sz="0" w:space="0" w:color="auto"/>
            <w:bottom w:val="none" w:sz="0" w:space="0" w:color="auto"/>
            <w:right w:val="none" w:sz="0" w:space="0" w:color="auto"/>
          </w:divBdr>
          <w:divsChild>
            <w:div w:id="61317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21192">
      <w:bodyDiv w:val="1"/>
      <w:marLeft w:val="0"/>
      <w:marRight w:val="0"/>
      <w:marTop w:val="0"/>
      <w:marBottom w:val="0"/>
      <w:divBdr>
        <w:top w:val="none" w:sz="0" w:space="0" w:color="auto"/>
        <w:left w:val="none" w:sz="0" w:space="0" w:color="auto"/>
        <w:bottom w:val="none" w:sz="0" w:space="0" w:color="auto"/>
        <w:right w:val="none" w:sz="0" w:space="0" w:color="auto"/>
      </w:divBdr>
    </w:div>
    <w:div w:id="2103602114">
      <w:bodyDiv w:val="1"/>
      <w:marLeft w:val="0"/>
      <w:marRight w:val="0"/>
      <w:marTop w:val="0"/>
      <w:marBottom w:val="0"/>
      <w:divBdr>
        <w:top w:val="none" w:sz="0" w:space="0" w:color="auto"/>
        <w:left w:val="none" w:sz="0" w:space="0" w:color="auto"/>
        <w:bottom w:val="none" w:sz="0" w:space="0" w:color="auto"/>
        <w:right w:val="none" w:sz="0" w:space="0" w:color="auto"/>
      </w:divBdr>
    </w:div>
    <w:div w:id="2104832763">
      <w:bodyDiv w:val="1"/>
      <w:marLeft w:val="0"/>
      <w:marRight w:val="0"/>
      <w:marTop w:val="0"/>
      <w:marBottom w:val="0"/>
      <w:divBdr>
        <w:top w:val="none" w:sz="0" w:space="0" w:color="auto"/>
        <w:left w:val="none" w:sz="0" w:space="0" w:color="auto"/>
        <w:bottom w:val="none" w:sz="0" w:space="0" w:color="auto"/>
        <w:right w:val="none" w:sz="0" w:space="0" w:color="auto"/>
      </w:divBdr>
    </w:div>
    <w:div w:id="2126389317">
      <w:bodyDiv w:val="1"/>
      <w:marLeft w:val="0"/>
      <w:marRight w:val="0"/>
      <w:marTop w:val="0"/>
      <w:marBottom w:val="0"/>
      <w:divBdr>
        <w:top w:val="none" w:sz="0" w:space="0" w:color="auto"/>
        <w:left w:val="none" w:sz="0" w:space="0" w:color="auto"/>
        <w:bottom w:val="none" w:sz="0" w:space="0" w:color="auto"/>
        <w:right w:val="none" w:sz="0" w:space="0" w:color="auto"/>
      </w:divBdr>
    </w:div>
    <w:div w:id="2128621428">
      <w:bodyDiv w:val="1"/>
      <w:marLeft w:val="0"/>
      <w:marRight w:val="0"/>
      <w:marTop w:val="0"/>
      <w:marBottom w:val="0"/>
      <w:divBdr>
        <w:top w:val="none" w:sz="0" w:space="0" w:color="auto"/>
        <w:left w:val="none" w:sz="0" w:space="0" w:color="auto"/>
        <w:bottom w:val="none" w:sz="0" w:space="0" w:color="auto"/>
        <w:right w:val="none" w:sz="0" w:space="0" w:color="auto"/>
      </w:divBdr>
    </w:div>
    <w:div w:id="2135098393">
      <w:bodyDiv w:val="1"/>
      <w:marLeft w:val="0"/>
      <w:marRight w:val="0"/>
      <w:marTop w:val="0"/>
      <w:marBottom w:val="0"/>
      <w:divBdr>
        <w:top w:val="none" w:sz="0" w:space="0" w:color="auto"/>
        <w:left w:val="none" w:sz="0" w:space="0" w:color="auto"/>
        <w:bottom w:val="none" w:sz="0" w:space="0" w:color="auto"/>
        <w:right w:val="none" w:sz="0" w:space="0" w:color="auto"/>
      </w:divBdr>
    </w:div>
    <w:div w:id="2143764882">
      <w:bodyDiv w:val="1"/>
      <w:marLeft w:val="0"/>
      <w:marRight w:val="0"/>
      <w:marTop w:val="0"/>
      <w:marBottom w:val="0"/>
      <w:divBdr>
        <w:top w:val="none" w:sz="0" w:space="0" w:color="auto"/>
        <w:left w:val="none" w:sz="0" w:space="0" w:color="auto"/>
        <w:bottom w:val="none" w:sz="0" w:space="0" w:color="auto"/>
        <w:right w:val="none" w:sz="0" w:space="0" w:color="auto"/>
      </w:divBdr>
      <w:divsChild>
        <w:div w:id="284042805">
          <w:marLeft w:val="0"/>
          <w:marRight w:val="0"/>
          <w:marTop w:val="0"/>
          <w:marBottom w:val="0"/>
          <w:divBdr>
            <w:top w:val="none" w:sz="0" w:space="0" w:color="auto"/>
            <w:left w:val="none" w:sz="0" w:space="0" w:color="auto"/>
            <w:bottom w:val="none" w:sz="0" w:space="0" w:color="auto"/>
            <w:right w:val="none" w:sz="0" w:space="0" w:color="auto"/>
          </w:divBdr>
          <w:divsChild>
            <w:div w:id="99296949">
              <w:marLeft w:val="0"/>
              <w:marRight w:val="0"/>
              <w:marTop w:val="0"/>
              <w:marBottom w:val="0"/>
              <w:divBdr>
                <w:top w:val="none" w:sz="0" w:space="0" w:color="auto"/>
                <w:left w:val="none" w:sz="0" w:space="0" w:color="auto"/>
                <w:bottom w:val="none" w:sz="0" w:space="0" w:color="auto"/>
                <w:right w:val="none" w:sz="0" w:space="0" w:color="auto"/>
              </w:divBdr>
            </w:div>
          </w:divsChild>
        </w:div>
        <w:div w:id="202442533">
          <w:marLeft w:val="0"/>
          <w:marRight w:val="0"/>
          <w:marTop w:val="0"/>
          <w:marBottom w:val="0"/>
          <w:divBdr>
            <w:top w:val="none" w:sz="0" w:space="0" w:color="auto"/>
            <w:left w:val="none" w:sz="0" w:space="0" w:color="auto"/>
            <w:bottom w:val="none" w:sz="0" w:space="0" w:color="auto"/>
            <w:right w:val="none" w:sz="0" w:space="0" w:color="auto"/>
          </w:divBdr>
          <w:divsChild>
            <w:div w:id="1622179415">
              <w:marLeft w:val="0"/>
              <w:marRight w:val="0"/>
              <w:marTop w:val="0"/>
              <w:marBottom w:val="0"/>
              <w:divBdr>
                <w:top w:val="none" w:sz="0" w:space="0" w:color="auto"/>
                <w:left w:val="none" w:sz="0" w:space="0" w:color="auto"/>
                <w:bottom w:val="none" w:sz="0" w:space="0" w:color="auto"/>
                <w:right w:val="none" w:sz="0" w:space="0" w:color="auto"/>
              </w:divBdr>
            </w:div>
          </w:divsChild>
        </w:div>
        <w:div w:id="63994724">
          <w:marLeft w:val="0"/>
          <w:marRight w:val="0"/>
          <w:marTop w:val="0"/>
          <w:marBottom w:val="0"/>
          <w:divBdr>
            <w:top w:val="none" w:sz="0" w:space="0" w:color="auto"/>
            <w:left w:val="none" w:sz="0" w:space="0" w:color="auto"/>
            <w:bottom w:val="none" w:sz="0" w:space="0" w:color="auto"/>
            <w:right w:val="none" w:sz="0" w:space="0" w:color="auto"/>
          </w:divBdr>
          <w:divsChild>
            <w:div w:id="749038136">
              <w:marLeft w:val="0"/>
              <w:marRight w:val="0"/>
              <w:marTop w:val="0"/>
              <w:marBottom w:val="0"/>
              <w:divBdr>
                <w:top w:val="none" w:sz="0" w:space="0" w:color="auto"/>
                <w:left w:val="none" w:sz="0" w:space="0" w:color="auto"/>
                <w:bottom w:val="none" w:sz="0" w:space="0" w:color="auto"/>
                <w:right w:val="none" w:sz="0" w:space="0" w:color="auto"/>
              </w:divBdr>
            </w:div>
          </w:divsChild>
        </w:div>
        <w:div w:id="1363482389">
          <w:marLeft w:val="0"/>
          <w:marRight w:val="0"/>
          <w:marTop w:val="0"/>
          <w:marBottom w:val="0"/>
          <w:divBdr>
            <w:top w:val="none" w:sz="0" w:space="0" w:color="auto"/>
            <w:left w:val="none" w:sz="0" w:space="0" w:color="auto"/>
            <w:bottom w:val="none" w:sz="0" w:space="0" w:color="auto"/>
            <w:right w:val="none" w:sz="0" w:space="0" w:color="auto"/>
          </w:divBdr>
          <w:divsChild>
            <w:div w:id="134613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35688">
      <w:bodyDiv w:val="1"/>
      <w:marLeft w:val="0"/>
      <w:marRight w:val="0"/>
      <w:marTop w:val="0"/>
      <w:marBottom w:val="0"/>
      <w:divBdr>
        <w:top w:val="none" w:sz="0" w:space="0" w:color="auto"/>
        <w:left w:val="none" w:sz="0" w:space="0" w:color="auto"/>
        <w:bottom w:val="none" w:sz="0" w:space="0" w:color="auto"/>
        <w:right w:val="none" w:sz="0" w:space="0" w:color="auto"/>
      </w:divBdr>
      <w:divsChild>
        <w:div w:id="558636946">
          <w:marLeft w:val="0"/>
          <w:marRight w:val="0"/>
          <w:marTop w:val="0"/>
          <w:marBottom w:val="0"/>
          <w:divBdr>
            <w:top w:val="none" w:sz="0" w:space="0" w:color="auto"/>
            <w:left w:val="none" w:sz="0" w:space="0" w:color="auto"/>
            <w:bottom w:val="none" w:sz="0" w:space="0" w:color="auto"/>
            <w:right w:val="none" w:sz="0" w:space="0" w:color="auto"/>
          </w:divBdr>
          <w:divsChild>
            <w:div w:id="130172607">
              <w:marLeft w:val="0"/>
              <w:marRight w:val="0"/>
              <w:marTop w:val="0"/>
              <w:marBottom w:val="0"/>
              <w:divBdr>
                <w:top w:val="none" w:sz="0" w:space="0" w:color="auto"/>
                <w:left w:val="none" w:sz="0" w:space="0" w:color="auto"/>
                <w:bottom w:val="none" w:sz="0" w:space="0" w:color="auto"/>
                <w:right w:val="none" w:sz="0" w:space="0" w:color="auto"/>
              </w:divBdr>
            </w:div>
          </w:divsChild>
        </w:div>
        <w:div w:id="1636597075">
          <w:marLeft w:val="0"/>
          <w:marRight w:val="0"/>
          <w:marTop w:val="0"/>
          <w:marBottom w:val="0"/>
          <w:divBdr>
            <w:top w:val="none" w:sz="0" w:space="0" w:color="auto"/>
            <w:left w:val="none" w:sz="0" w:space="0" w:color="auto"/>
            <w:bottom w:val="none" w:sz="0" w:space="0" w:color="auto"/>
            <w:right w:val="none" w:sz="0" w:space="0" w:color="auto"/>
          </w:divBdr>
          <w:divsChild>
            <w:div w:id="972639323">
              <w:marLeft w:val="0"/>
              <w:marRight w:val="0"/>
              <w:marTop w:val="0"/>
              <w:marBottom w:val="0"/>
              <w:divBdr>
                <w:top w:val="none" w:sz="0" w:space="0" w:color="auto"/>
                <w:left w:val="none" w:sz="0" w:space="0" w:color="auto"/>
                <w:bottom w:val="none" w:sz="0" w:space="0" w:color="auto"/>
                <w:right w:val="none" w:sz="0" w:space="0" w:color="auto"/>
              </w:divBdr>
            </w:div>
          </w:divsChild>
        </w:div>
        <w:div w:id="1506628264">
          <w:marLeft w:val="0"/>
          <w:marRight w:val="0"/>
          <w:marTop w:val="0"/>
          <w:marBottom w:val="0"/>
          <w:divBdr>
            <w:top w:val="none" w:sz="0" w:space="0" w:color="auto"/>
            <w:left w:val="none" w:sz="0" w:space="0" w:color="auto"/>
            <w:bottom w:val="none" w:sz="0" w:space="0" w:color="auto"/>
            <w:right w:val="none" w:sz="0" w:space="0" w:color="auto"/>
          </w:divBdr>
          <w:divsChild>
            <w:div w:id="226497907">
              <w:marLeft w:val="0"/>
              <w:marRight w:val="0"/>
              <w:marTop w:val="0"/>
              <w:marBottom w:val="0"/>
              <w:divBdr>
                <w:top w:val="none" w:sz="0" w:space="0" w:color="auto"/>
                <w:left w:val="none" w:sz="0" w:space="0" w:color="auto"/>
                <w:bottom w:val="none" w:sz="0" w:space="0" w:color="auto"/>
                <w:right w:val="none" w:sz="0" w:space="0" w:color="auto"/>
              </w:divBdr>
            </w:div>
          </w:divsChild>
        </w:div>
        <w:div w:id="1963533121">
          <w:marLeft w:val="0"/>
          <w:marRight w:val="0"/>
          <w:marTop w:val="0"/>
          <w:marBottom w:val="0"/>
          <w:divBdr>
            <w:top w:val="none" w:sz="0" w:space="0" w:color="auto"/>
            <w:left w:val="none" w:sz="0" w:space="0" w:color="auto"/>
            <w:bottom w:val="none" w:sz="0" w:space="0" w:color="auto"/>
            <w:right w:val="none" w:sz="0" w:space="0" w:color="auto"/>
          </w:divBdr>
          <w:divsChild>
            <w:div w:id="668993836">
              <w:marLeft w:val="0"/>
              <w:marRight w:val="0"/>
              <w:marTop w:val="0"/>
              <w:marBottom w:val="0"/>
              <w:divBdr>
                <w:top w:val="none" w:sz="0" w:space="0" w:color="auto"/>
                <w:left w:val="none" w:sz="0" w:space="0" w:color="auto"/>
                <w:bottom w:val="none" w:sz="0" w:space="0" w:color="auto"/>
                <w:right w:val="none" w:sz="0" w:space="0" w:color="auto"/>
              </w:divBdr>
            </w:div>
          </w:divsChild>
        </w:div>
        <w:div w:id="1758793465">
          <w:marLeft w:val="0"/>
          <w:marRight w:val="0"/>
          <w:marTop w:val="0"/>
          <w:marBottom w:val="0"/>
          <w:divBdr>
            <w:top w:val="none" w:sz="0" w:space="0" w:color="auto"/>
            <w:left w:val="none" w:sz="0" w:space="0" w:color="auto"/>
            <w:bottom w:val="none" w:sz="0" w:space="0" w:color="auto"/>
            <w:right w:val="none" w:sz="0" w:space="0" w:color="auto"/>
          </w:divBdr>
          <w:divsChild>
            <w:div w:id="92676344">
              <w:marLeft w:val="0"/>
              <w:marRight w:val="0"/>
              <w:marTop w:val="0"/>
              <w:marBottom w:val="0"/>
              <w:divBdr>
                <w:top w:val="none" w:sz="0" w:space="0" w:color="auto"/>
                <w:left w:val="none" w:sz="0" w:space="0" w:color="auto"/>
                <w:bottom w:val="none" w:sz="0" w:space="0" w:color="auto"/>
                <w:right w:val="none" w:sz="0" w:space="0" w:color="auto"/>
              </w:divBdr>
            </w:div>
          </w:divsChild>
        </w:div>
        <w:div w:id="974873760">
          <w:marLeft w:val="0"/>
          <w:marRight w:val="0"/>
          <w:marTop w:val="0"/>
          <w:marBottom w:val="0"/>
          <w:divBdr>
            <w:top w:val="none" w:sz="0" w:space="0" w:color="auto"/>
            <w:left w:val="none" w:sz="0" w:space="0" w:color="auto"/>
            <w:bottom w:val="none" w:sz="0" w:space="0" w:color="auto"/>
            <w:right w:val="none" w:sz="0" w:space="0" w:color="auto"/>
          </w:divBdr>
          <w:divsChild>
            <w:div w:id="1766925543">
              <w:marLeft w:val="0"/>
              <w:marRight w:val="0"/>
              <w:marTop w:val="0"/>
              <w:marBottom w:val="0"/>
              <w:divBdr>
                <w:top w:val="none" w:sz="0" w:space="0" w:color="auto"/>
                <w:left w:val="none" w:sz="0" w:space="0" w:color="auto"/>
                <w:bottom w:val="none" w:sz="0" w:space="0" w:color="auto"/>
                <w:right w:val="none" w:sz="0" w:space="0" w:color="auto"/>
              </w:divBdr>
            </w:div>
          </w:divsChild>
        </w:div>
        <w:div w:id="1548296367">
          <w:marLeft w:val="0"/>
          <w:marRight w:val="0"/>
          <w:marTop w:val="0"/>
          <w:marBottom w:val="0"/>
          <w:divBdr>
            <w:top w:val="none" w:sz="0" w:space="0" w:color="auto"/>
            <w:left w:val="none" w:sz="0" w:space="0" w:color="auto"/>
            <w:bottom w:val="none" w:sz="0" w:space="0" w:color="auto"/>
            <w:right w:val="none" w:sz="0" w:space="0" w:color="auto"/>
          </w:divBdr>
          <w:divsChild>
            <w:div w:id="1748502971">
              <w:marLeft w:val="0"/>
              <w:marRight w:val="0"/>
              <w:marTop w:val="0"/>
              <w:marBottom w:val="0"/>
              <w:divBdr>
                <w:top w:val="none" w:sz="0" w:space="0" w:color="auto"/>
                <w:left w:val="none" w:sz="0" w:space="0" w:color="auto"/>
                <w:bottom w:val="none" w:sz="0" w:space="0" w:color="auto"/>
                <w:right w:val="none" w:sz="0" w:space="0" w:color="auto"/>
              </w:divBdr>
            </w:div>
          </w:divsChild>
        </w:div>
        <w:div w:id="48070577">
          <w:marLeft w:val="0"/>
          <w:marRight w:val="0"/>
          <w:marTop w:val="0"/>
          <w:marBottom w:val="0"/>
          <w:divBdr>
            <w:top w:val="none" w:sz="0" w:space="0" w:color="auto"/>
            <w:left w:val="none" w:sz="0" w:space="0" w:color="auto"/>
            <w:bottom w:val="none" w:sz="0" w:space="0" w:color="auto"/>
            <w:right w:val="none" w:sz="0" w:space="0" w:color="auto"/>
          </w:divBdr>
          <w:divsChild>
            <w:div w:id="1576624348">
              <w:marLeft w:val="0"/>
              <w:marRight w:val="0"/>
              <w:marTop w:val="0"/>
              <w:marBottom w:val="0"/>
              <w:divBdr>
                <w:top w:val="none" w:sz="0" w:space="0" w:color="auto"/>
                <w:left w:val="none" w:sz="0" w:space="0" w:color="auto"/>
                <w:bottom w:val="none" w:sz="0" w:space="0" w:color="auto"/>
                <w:right w:val="none" w:sz="0" w:space="0" w:color="auto"/>
              </w:divBdr>
            </w:div>
          </w:divsChild>
        </w:div>
        <w:div w:id="2008707846">
          <w:marLeft w:val="0"/>
          <w:marRight w:val="0"/>
          <w:marTop w:val="0"/>
          <w:marBottom w:val="0"/>
          <w:divBdr>
            <w:top w:val="none" w:sz="0" w:space="0" w:color="auto"/>
            <w:left w:val="none" w:sz="0" w:space="0" w:color="auto"/>
            <w:bottom w:val="none" w:sz="0" w:space="0" w:color="auto"/>
            <w:right w:val="none" w:sz="0" w:space="0" w:color="auto"/>
          </w:divBdr>
          <w:divsChild>
            <w:div w:id="1280603664">
              <w:marLeft w:val="0"/>
              <w:marRight w:val="0"/>
              <w:marTop w:val="0"/>
              <w:marBottom w:val="0"/>
              <w:divBdr>
                <w:top w:val="none" w:sz="0" w:space="0" w:color="auto"/>
                <w:left w:val="none" w:sz="0" w:space="0" w:color="auto"/>
                <w:bottom w:val="none" w:sz="0" w:space="0" w:color="auto"/>
                <w:right w:val="none" w:sz="0" w:space="0" w:color="auto"/>
              </w:divBdr>
            </w:div>
          </w:divsChild>
        </w:div>
        <w:div w:id="1878276192">
          <w:marLeft w:val="0"/>
          <w:marRight w:val="0"/>
          <w:marTop w:val="0"/>
          <w:marBottom w:val="0"/>
          <w:divBdr>
            <w:top w:val="none" w:sz="0" w:space="0" w:color="auto"/>
            <w:left w:val="none" w:sz="0" w:space="0" w:color="auto"/>
            <w:bottom w:val="none" w:sz="0" w:space="0" w:color="auto"/>
            <w:right w:val="none" w:sz="0" w:space="0" w:color="auto"/>
          </w:divBdr>
          <w:divsChild>
            <w:div w:id="1221937143">
              <w:marLeft w:val="0"/>
              <w:marRight w:val="0"/>
              <w:marTop w:val="0"/>
              <w:marBottom w:val="0"/>
              <w:divBdr>
                <w:top w:val="none" w:sz="0" w:space="0" w:color="auto"/>
                <w:left w:val="none" w:sz="0" w:space="0" w:color="auto"/>
                <w:bottom w:val="none" w:sz="0" w:space="0" w:color="auto"/>
                <w:right w:val="none" w:sz="0" w:space="0" w:color="auto"/>
              </w:divBdr>
            </w:div>
          </w:divsChild>
        </w:div>
        <w:div w:id="1614819611">
          <w:marLeft w:val="0"/>
          <w:marRight w:val="0"/>
          <w:marTop w:val="0"/>
          <w:marBottom w:val="0"/>
          <w:divBdr>
            <w:top w:val="none" w:sz="0" w:space="0" w:color="auto"/>
            <w:left w:val="none" w:sz="0" w:space="0" w:color="auto"/>
            <w:bottom w:val="none" w:sz="0" w:space="0" w:color="auto"/>
            <w:right w:val="none" w:sz="0" w:space="0" w:color="auto"/>
          </w:divBdr>
          <w:divsChild>
            <w:div w:id="116486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335074</Words>
  <Characters>2110967</Characters>
  <Application>Microsoft Office Word</Application>
  <DocSecurity>0</DocSecurity>
  <Lines>17591</Lines>
  <Paragraphs>4882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2441159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Schneider</dc:creator>
  <cp:keywords/>
  <dc:description/>
  <cp:lastModifiedBy>Thomas Schneider</cp:lastModifiedBy>
  <cp:revision>71</cp:revision>
  <dcterms:created xsi:type="dcterms:W3CDTF">2025-09-29T17:38:00Z</dcterms:created>
  <dcterms:modified xsi:type="dcterms:W3CDTF">2025-12-22T14:08:00Z</dcterms:modified>
</cp:coreProperties>
</file>